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37.xml" ContentType="application/vnd.openxmlformats-officedocument.wordprocessingml.footer+xml"/>
  <Override PartName="/word/header26.xml" ContentType="application/vnd.openxmlformats-officedocument.wordprocessingml.header+xml"/>
  <Override PartName="/word/footer38.xml" ContentType="application/vnd.openxmlformats-officedocument.wordprocessingml.footer+xml"/>
  <Override PartName="/word/header2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42.xml" ContentType="application/vnd.openxmlformats-officedocument.wordprocessingml.footer+xml"/>
  <Override PartName="/word/header30.xml" ContentType="application/vnd.openxmlformats-officedocument.wordprocessingml.header+xml"/>
  <Override PartName="/word/footer43.xml" ContentType="application/vnd.openxmlformats-officedocument.wordprocessingml.footer+xml"/>
  <Override PartName="/word/header31.xml" ContentType="application/vnd.openxmlformats-officedocument.wordprocessingml.header+xml"/>
  <Override PartName="/word/footer44.xml" ContentType="application/vnd.openxmlformats-officedocument.wordprocessingml.footer+xml"/>
  <Override PartName="/word/header32.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47.xml" ContentType="application/vnd.openxmlformats-officedocument.wordprocessingml.footer+xml"/>
  <Override PartName="/word/header35.xml" ContentType="application/vnd.openxmlformats-officedocument.wordprocessingml.header+xml"/>
  <Override PartName="/word/footer48.xml" ContentType="application/vnd.openxmlformats-officedocument.wordprocessingml.footer+xml"/>
  <Override PartName="/word/header36.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5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4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58.xml" ContentType="application/vnd.openxmlformats-officedocument.wordprocessingml.footer+xml"/>
  <Override PartName="/word/header44.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45.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64.xml" ContentType="application/vnd.openxmlformats-officedocument.wordprocessingml.footer+xml"/>
  <Override PartName="/word/header48.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49.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70.xml" ContentType="application/vnd.openxmlformats-officedocument.wordprocessingml.footer+xml"/>
  <Override PartName="/word/header52.xml" ContentType="application/vnd.openxmlformats-officedocument.wordprocessingml.header+xml"/>
  <Override PartName="/word/footer71.xml" ContentType="application/vnd.openxmlformats-officedocument.wordprocessingml.footer+xml"/>
  <Override PartName="/word/header53.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76.xml" ContentType="application/vnd.openxmlformats-officedocument.wordprocessingml.footer+xml"/>
  <Override PartName="/word/header56.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80.xml" ContentType="application/vnd.openxmlformats-officedocument.wordprocessingml.footer+xml"/>
  <Override PartName="/word/header59.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84.xml" ContentType="application/vnd.openxmlformats-officedocument.wordprocessingml.footer+xml"/>
  <Override PartName="/word/header62.xml" ContentType="application/vnd.openxmlformats-officedocument.wordprocessingml.header+xml"/>
  <Override PartName="/word/footer85.xml" ContentType="application/vnd.openxmlformats-officedocument.wordprocessingml.footer+xml"/>
  <Override PartName="/word/header63.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071D" w:rsidRPr="0050146A" w:rsidRDefault="000F071D" w:rsidP="000F071D">
      <w:pPr>
        <w:ind w:left="0"/>
        <w:jc w:val="center"/>
        <w:rPr>
          <w:rFonts w:cs="Guttman Hodes"/>
          <w:sz w:val="32"/>
          <w:szCs w:val="32"/>
          <w:rtl/>
        </w:rPr>
      </w:pPr>
      <w:bookmarkStart w:id="0" w:name="_Toc522028101"/>
      <w:bookmarkStart w:id="1" w:name="_Toc522086103"/>
      <w:bookmarkStart w:id="2" w:name="_Toc522099519"/>
      <w:bookmarkStart w:id="3" w:name="_Toc54038907"/>
      <w:bookmarkStart w:id="4" w:name="_Toc54039001"/>
      <w:bookmarkStart w:id="5" w:name="_Toc54087426"/>
      <w:bookmarkStart w:id="6" w:name="_Toc54109227"/>
      <w:bookmarkStart w:id="7" w:name="_Toc54125626"/>
      <w:bookmarkStart w:id="8" w:name="_Toc54133838"/>
      <w:bookmarkStart w:id="9" w:name="_Toc524638689"/>
      <w:bookmarkStart w:id="10" w:name="_Toc523760816"/>
      <w:bookmarkStart w:id="11" w:name="_Toc523697879"/>
      <w:bookmarkStart w:id="12" w:name="_Toc523490273"/>
      <w:bookmarkStart w:id="13" w:name="_Toc523397169"/>
      <w:r w:rsidRPr="0050146A">
        <w:rPr>
          <w:rFonts w:cs="Guttman Hodes"/>
          <w:noProof/>
          <w:sz w:val="32"/>
          <w:szCs w:val="32"/>
          <w:rtl/>
        </w:rPr>
        <mc:AlternateContent>
          <mc:Choice Requires="wps">
            <w:drawing>
              <wp:anchor distT="0" distB="0" distL="114300" distR="114300" simplePos="0" relativeHeight="251661312" behindDoc="1" locked="0" layoutInCell="1" allowOverlap="1" wp14:anchorId="455B93E0" wp14:editId="6544D55C">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265073" w:rsidRDefault="00265073" w:rsidP="000F071D">
                            <w:pPr>
                              <w:ind w:left="0"/>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455B93E0"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" filled="f" strokecolor="black [3213]" strokeweight="2.5pt">
                <v:stroke linestyle="thickBetweenThin" endcap="round"/>
                <v:textbox>
                  <w:txbxContent>
                    <w:p w:rsidR="00265073" w:rsidRDefault="00265073" w:rsidP="000F071D">
                      <w:pPr>
                        <w:ind w:left="0"/>
                        <w:jc w:val="center"/>
                      </w:pPr>
                    </w:p>
                  </w:txbxContent>
                </v:textbox>
              </v:roundrect>
            </w:pict>
          </mc:Fallback>
        </mc:AlternateContent>
      </w:r>
    </w:p>
    <w:p w:rsidR="000F071D" w:rsidRPr="0050146A" w:rsidRDefault="000F071D" w:rsidP="000F071D">
      <w:pPr>
        <w:ind w:left="0"/>
        <w:jc w:val="center"/>
        <w:rPr>
          <w:rFonts w:cs="Guttman Hodes"/>
          <w:sz w:val="32"/>
          <w:szCs w:val="32"/>
          <w:rtl/>
        </w:rPr>
      </w:pPr>
    </w:p>
    <w:p w:rsidR="000F071D" w:rsidRPr="0050146A" w:rsidRDefault="000F071D" w:rsidP="000F071D">
      <w:pPr>
        <w:ind w:left="0"/>
        <w:jc w:val="center"/>
        <w:rPr>
          <w:rFonts w:cs="Guttman Hodes"/>
          <w:sz w:val="32"/>
          <w:szCs w:val="32"/>
          <w:rtl/>
        </w:rPr>
      </w:pPr>
    </w:p>
    <w:p w:rsidR="000F071D" w:rsidRPr="0050146A" w:rsidRDefault="005F31E1" w:rsidP="005F31E1">
      <w:pPr>
        <w:ind w:left="0"/>
        <w:jc w:val="center"/>
        <w:rPr>
          <w:rFonts w:cs="Guttman Hodes"/>
          <w:sz w:val="32"/>
          <w:szCs w:val="32"/>
          <w:rtl/>
        </w:rPr>
      </w:pPr>
      <w:r>
        <w:rPr>
          <w:rFonts w:cs="Guttman Hodes" w:hint="cs"/>
          <w:sz w:val="32"/>
          <w:szCs w:val="32"/>
          <w:rtl/>
        </w:rPr>
        <w:t>מראי מקומות וביאורים</w:t>
      </w:r>
    </w:p>
    <w:p w:rsidR="000F071D" w:rsidRPr="0050146A" w:rsidRDefault="000F071D" w:rsidP="000F071D">
      <w:pPr>
        <w:pStyle w:val="a9"/>
        <w:ind w:left="0"/>
        <w:jc w:val="center"/>
        <w:rPr>
          <w:rFonts w:cs="Guttman Hodes"/>
          <w:b/>
          <w:bCs/>
          <w:sz w:val="96"/>
          <w:szCs w:val="96"/>
          <w:rtl/>
        </w:rPr>
      </w:pPr>
      <w:r w:rsidRPr="0050146A">
        <w:rPr>
          <w:rFonts w:cs="Guttman Hodes" w:hint="cs"/>
          <w:b/>
          <w:bCs/>
          <w:sz w:val="96"/>
          <w:szCs w:val="96"/>
          <w:rtl/>
        </w:rPr>
        <w:t>משנתם סדורה</w:t>
      </w:r>
    </w:p>
    <w:p w:rsidR="000F071D" w:rsidRPr="0050146A" w:rsidRDefault="000F071D" w:rsidP="000F071D">
      <w:pPr>
        <w:ind w:left="0"/>
        <w:jc w:val="center"/>
        <w:rPr>
          <w:rFonts w:cs="Guttman Hodes"/>
          <w:sz w:val="32"/>
          <w:szCs w:val="32"/>
          <w:rtl/>
        </w:rPr>
      </w:pPr>
    </w:p>
    <w:p w:rsidR="000F071D" w:rsidRDefault="000F071D" w:rsidP="000F071D">
      <w:pPr>
        <w:ind w:left="0"/>
        <w:jc w:val="center"/>
        <w:rPr>
          <w:rFonts w:cs="Guttman Hodes"/>
          <w:b/>
          <w:bCs/>
          <w:sz w:val="44"/>
          <w:szCs w:val="44"/>
          <w:rtl/>
        </w:rPr>
      </w:pPr>
    </w:p>
    <w:p w:rsidR="000F071D" w:rsidRPr="00600560" w:rsidRDefault="000F071D" w:rsidP="000F071D">
      <w:pPr>
        <w:ind w:left="0"/>
        <w:jc w:val="center"/>
        <w:rPr>
          <w:rFonts w:cs="Guttman Hodes"/>
          <w:b/>
          <w:bCs/>
          <w:sz w:val="44"/>
          <w:szCs w:val="44"/>
        </w:rPr>
      </w:pPr>
      <w:r>
        <w:rPr>
          <w:rFonts w:cs="Guttman Hodes" w:hint="cs"/>
          <w:b/>
          <w:bCs/>
          <w:sz w:val="44"/>
          <w:szCs w:val="44"/>
          <w:rtl/>
        </w:rPr>
        <w:t>על</w:t>
      </w:r>
    </w:p>
    <w:p w:rsidR="000F071D" w:rsidRPr="00600560" w:rsidRDefault="000F071D" w:rsidP="000F071D">
      <w:pPr>
        <w:ind w:left="0"/>
        <w:jc w:val="center"/>
        <w:rPr>
          <w:rFonts w:cs="Guttman Hodes"/>
          <w:b/>
          <w:bCs/>
          <w:sz w:val="32"/>
          <w:szCs w:val="32"/>
          <w:rtl/>
        </w:rPr>
      </w:pPr>
      <w:r>
        <w:rPr>
          <w:rFonts w:cs="Guttman Hodes" w:hint="cs"/>
          <w:b/>
          <w:bCs/>
          <w:sz w:val="44"/>
          <w:szCs w:val="44"/>
          <w:rtl/>
        </w:rPr>
        <w:t>פרק חזקת הבתים</w:t>
      </w:r>
    </w:p>
    <w:p w:rsidR="000F071D" w:rsidRDefault="000F071D" w:rsidP="000F071D">
      <w:pPr>
        <w:ind w:left="0"/>
        <w:jc w:val="center"/>
        <w:rPr>
          <w:rFonts w:cs="Guttman Hodes"/>
          <w:sz w:val="32"/>
          <w:szCs w:val="32"/>
          <w:rtl/>
        </w:rPr>
      </w:pPr>
    </w:p>
    <w:p w:rsidR="000F071D" w:rsidRDefault="000F071D" w:rsidP="000F071D">
      <w:pPr>
        <w:ind w:left="0"/>
        <w:jc w:val="center"/>
        <w:rPr>
          <w:rFonts w:cs="Guttman Hodes"/>
          <w:sz w:val="32"/>
          <w:szCs w:val="32"/>
          <w:rtl/>
        </w:rPr>
      </w:pPr>
    </w:p>
    <w:p w:rsidR="000F071D" w:rsidRPr="0050146A" w:rsidRDefault="000F071D" w:rsidP="000F071D">
      <w:pPr>
        <w:ind w:left="0"/>
        <w:jc w:val="center"/>
        <w:rPr>
          <w:rFonts w:cs="Guttman Hodes"/>
          <w:sz w:val="32"/>
          <w:szCs w:val="32"/>
          <w:rtl/>
        </w:rPr>
      </w:pPr>
    </w:p>
    <w:p w:rsidR="000F071D" w:rsidRPr="0050146A" w:rsidRDefault="000F071D" w:rsidP="000F071D">
      <w:pPr>
        <w:ind w:left="0"/>
        <w:jc w:val="center"/>
        <w:rPr>
          <w:rFonts w:cs="Guttman Hodes"/>
          <w:sz w:val="32"/>
          <w:szCs w:val="32"/>
          <w:rtl/>
        </w:rPr>
      </w:pPr>
    </w:p>
    <w:p w:rsidR="000F071D" w:rsidRPr="0050146A" w:rsidRDefault="00085A63" w:rsidP="00085A63">
      <w:pPr>
        <w:ind w:left="0"/>
        <w:jc w:val="center"/>
        <w:rPr>
          <w:rFonts w:cs="Guttman Hodes"/>
          <w:sz w:val="32"/>
          <w:szCs w:val="32"/>
          <w:rtl/>
        </w:rPr>
      </w:pPr>
      <w:r>
        <w:rPr>
          <w:rFonts w:cs="Guttman Hodes" w:hint="cs"/>
          <w:sz w:val="32"/>
          <w:szCs w:val="32"/>
          <w:rtl/>
        </w:rPr>
        <w:t>כולל ביאורי ראשי הישיבות</w:t>
      </w:r>
    </w:p>
    <w:p w:rsidR="000F071D" w:rsidRPr="0050146A" w:rsidRDefault="000F071D" w:rsidP="000F071D">
      <w:pPr>
        <w:ind w:left="0"/>
        <w:jc w:val="center"/>
        <w:rPr>
          <w:rFonts w:cs="Guttman Hodes"/>
          <w:sz w:val="32"/>
          <w:szCs w:val="32"/>
          <w:rtl/>
          <w14:textOutline w14:w="9525" w14:cap="rnd" w14:cmpd="sng" w14:algn="ctr">
            <w14:solidFill>
              <w14:schemeClr w14:val="tx1"/>
            </w14:solidFill>
            <w14:prstDash w14:val="solid"/>
            <w14:bevel/>
          </w14:textOutline>
        </w:rPr>
      </w:pPr>
    </w:p>
    <w:p w:rsidR="000F071D" w:rsidRPr="0050146A" w:rsidRDefault="000F071D" w:rsidP="000F071D">
      <w:pPr>
        <w:spacing w:line="240" w:lineRule="auto"/>
        <w:ind w:left="0"/>
        <w:jc w:val="center"/>
        <w:rPr>
          <w:rFonts w:ascii="Times New Roman" w:eastAsia="Times New Roman" w:hAnsi="Times New Roman" w:cs="Guttman Hodes"/>
          <w:sz w:val="36"/>
          <w:szCs w:val="36"/>
          <w:rtl/>
          <w:lang w:eastAsia="he-IL"/>
        </w:rPr>
      </w:pPr>
    </w:p>
    <w:p w:rsidR="000F071D" w:rsidRPr="0050146A" w:rsidRDefault="000F071D" w:rsidP="000F071D">
      <w:pPr>
        <w:spacing w:line="240" w:lineRule="auto"/>
        <w:ind w:left="0"/>
        <w:jc w:val="center"/>
        <w:rPr>
          <w:rFonts w:ascii="Times New Roman" w:eastAsia="Times New Roman" w:hAnsi="Times New Roman" w:cs="Guttman Hodes"/>
          <w:sz w:val="36"/>
          <w:szCs w:val="36"/>
          <w:rtl/>
          <w:lang w:eastAsia="he-IL"/>
        </w:rPr>
      </w:pPr>
    </w:p>
    <w:p w:rsidR="000F071D" w:rsidRPr="0050146A" w:rsidRDefault="000F071D" w:rsidP="000F071D">
      <w:pPr>
        <w:spacing w:line="240" w:lineRule="auto"/>
        <w:ind w:left="0"/>
        <w:jc w:val="center"/>
        <w:rPr>
          <w:rFonts w:ascii="Times New Roman" w:eastAsia="Times New Roman" w:hAnsi="Times New Roman" w:cs="Guttman Hodes"/>
          <w:b/>
          <w:bCs/>
          <w:sz w:val="36"/>
          <w:szCs w:val="36"/>
          <w:rtl/>
          <w:lang w:eastAsia="he-IL"/>
        </w:rPr>
      </w:pPr>
      <w:r w:rsidRPr="0050146A">
        <w:rPr>
          <w:rFonts w:ascii="Times New Roman" w:eastAsia="Times New Roman" w:hAnsi="Times New Roman" w:cs="Guttman Hodes" w:hint="cs"/>
          <w:b/>
          <w:bCs/>
          <w:sz w:val="40"/>
          <w:szCs w:val="40"/>
          <w:rtl/>
          <w:lang w:eastAsia="he-IL"/>
        </w:rPr>
        <w:t>שלמה זושא הכהן הנדל</w:t>
      </w:r>
    </w:p>
    <w:p w:rsidR="000F071D" w:rsidRPr="0050146A" w:rsidRDefault="000F071D" w:rsidP="000F071D">
      <w:pPr>
        <w:spacing w:line="240" w:lineRule="auto"/>
        <w:ind w:left="0"/>
        <w:jc w:val="center"/>
        <w:rPr>
          <w:rFonts w:ascii="Times New Roman" w:eastAsia="Times New Roman" w:hAnsi="Times New Roman" w:cs="Guttman Hodes"/>
          <w:sz w:val="36"/>
          <w:szCs w:val="36"/>
          <w:rtl/>
          <w:lang w:eastAsia="he-IL"/>
        </w:rPr>
      </w:pPr>
      <w:r w:rsidRPr="0050146A">
        <w:rPr>
          <w:rFonts w:ascii="Times New Roman" w:eastAsia="Times New Roman" w:hAnsi="Times New Roman" w:cs="Guttman Hodes" w:hint="cs"/>
          <w:sz w:val="36"/>
          <w:szCs w:val="36"/>
          <w:rtl/>
          <w:lang w:eastAsia="he-IL"/>
        </w:rPr>
        <w:t xml:space="preserve">בלאאמו"ר הרב </w:t>
      </w:r>
      <w:r w:rsidRPr="0050146A">
        <w:rPr>
          <w:rFonts w:ascii="Times New Roman" w:eastAsia="Times New Roman" w:hAnsi="Times New Roman" w:cs="Guttman Hodes" w:hint="cs"/>
          <w:b/>
          <w:bCs/>
          <w:sz w:val="40"/>
          <w:szCs w:val="40"/>
          <w:rtl/>
          <w:lang w:eastAsia="he-IL"/>
        </w:rPr>
        <w:t>אהרן</w:t>
      </w:r>
      <w:r w:rsidRPr="0050146A">
        <w:rPr>
          <w:rFonts w:ascii="Times New Roman" w:eastAsia="Times New Roman" w:hAnsi="Times New Roman" w:cs="Guttman Hodes" w:hint="cs"/>
          <w:sz w:val="36"/>
          <w:szCs w:val="36"/>
          <w:rtl/>
          <w:lang w:eastAsia="he-IL"/>
        </w:rPr>
        <w:t xml:space="preserve"> שליט"א</w:t>
      </w:r>
    </w:p>
    <w:p w:rsidR="000F071D" w:rsidRPr="0050146A" w:rsidRDefault="000F071D" w:rsidP="000F071D">
      <w:pPr>
        <w:spacing w:line="240" w:lineRule="auto"/>
        <w:ind w:left="0"/>
        <w:jc w:val="center"/>
        <w:rPr>
          <w:rFonts w:ascii="Times New Roman" w:eastAsia="Times New Roman" w:hAnsi="Times New Roman" w:cs="Guttman Hodes"/>
          <w:sz w:val="36"/>
          <w:szCs w:val="36"/>
          <w:rtl/>
          <w:lang w:eastAsia="he-IL"/>
        </w:rPr>
      </w:pPr>
    </w:p>
    <w:p w:rsidR="000F071D" w:rsidRPr="0050146A" w:rsidRDefault="000F071D" w:rsidP="000F071D">
      <w:pPr>
        <w:spacing w:line="240" w:lineRule="auto"/>
        <w:ind w:left="0"/>
        <w:jc w:val="center"/>
        <w:rPr>
          <w:rFonts w:ascii="Times New Roman" w:eastAsia="Times New Roman" w:hAnsi="Times New Roman" w:cs="Guttman Hodes"/>
          <w:sz w:val="36"/>
          <w:szCs w:val="36"/>
          <w:rtl/>
          <w:lang w:eastAsia="he-IL"/>
        </w:rPr>
      </w:pPr>
      <w:r w:rsidRPr="0050146A">
        <w:rPr>
          <w:rFonts w:ascii="Times New Roman" w:eastAsia="Times New Roman" w:hAnsi="Times New Roman" w:cs="Guttman Hodes" w:hint="cs"/>
          <w:sz w:val="36"/>
          <w:szCs w:val="36"/>
          <w:rtl/>
          <w:lang w:eastAsia="he-IL"/>
        </w:rPr>
        <w:t xml:space="preserve">ישיבת בית הלל </w:t>
      </w:r>
    </w:p>
    <w:p w:rsidR="000F071D" w:rsidRPr="0050146A" w:rsidRDefault="000F071D" w:rsidP="000F071D">
      <w:pPr>
        <w:spacing w:line="240" w:lineRule="auto"/>
        <w:ind w:left="0"/>
        <w:jc w:val="center"/>
        <w:rPr>
          <w:rFonts w:ascii="Guttman Hodes" w:eastAsia="Guttman Hodes" w:hAnsi="Guttman Hodes" w:cs="Guttman Hodes"/>
          <w:b/>
          <w:bCs/>
          <w:rtl/>
        </w:rPr>
        <w:sectPr w:rsidR="000F071D" w:rsidRPr="0050146A" w:rsidSect="000F071D">
          <w:footerReference w:type="default" r:id="rId8"/>
          <w:headerReference w:type="first" r:id="rId9"/>
          <w:footerReference w:type="first" r:id="rId10"/>
          <w:type w:val="continuous"/>
          <w:pgSz w:w="11906" w:h="16838"/>
          <w:pgMar w:top="720" w:right="720" w:bottom="720" w:left="720" w:header="283" w:footer="283" w:gutter="0"/>
          <w:pgNumType w:fmt="hebrew1"/>
          <w:cols w:space="567"/>
          <w:bidi/>
          <w:rtlGutter/>
          <w:docGrid w:linePitch="299"/>
        </w:sectPr>
      </w:pPr>
      <w:r w:rsidRPr="0050146A">
        <w:rPr>
          <w:rFonts w:ascii="Times New Roman" w:eastAsia="Times New Roman" w:hAnsi="Times New Roman" w:cs="Guttman Hodes" w:hint="cs"/>
          <w:sz w:val="36"/>
          <w:szCs w:val="36"/>
          <w:rtl/>
          <w:lang w:eastAsia="he-IL"/>
        </w:rPr>
        <w:t>בני ברק</w:t>
      </w:r>
    </w:p>
    <w:p w:rsidR="00B43C68" w:rsidRDefault="00B43C68" w:rsidP="00B43C68">
      <w:pPr>
        <w:spacing w:before="240" w:line="240" w:lineRule="auto"/>
        <w:ind w:left="0"/>
        <w:rPr>
          <w:rFonts w:ascii="Guttman Hodes" w:eastAsia="Guttman Hodes" w:hAnsi="Guttman Hodes" w:cs="Guttman Hodes"/>
          <w:sz w:val="20"/>
          <w:szCs w:val="20"/>
          <w:rtl/>
        </w:rPr>
      </w:pPr>
    </w:p>
    <w:p w:rsidR="00767EA9" w:rsidRDefault="00D60D12" w:rsidP="00767EA9">
      <w:pPr>
        <w:spacing w:before="240" w:line="240" w:lineRule="auto"/>
        <w:ind w:left="0"/>
        <w:rPr>
          <w:rFonts w:ascii="Guttman Hodes" w:eastAsia="Guttman Hodes" w:hAnsi="Guttman Hodes" w:cs="Guttman Hodes"/>
          <w:sz w:val="20"/>
          <w:szCs w:val="20"/>
          <w:rtl/>
        </w:rPr>
      </w:pPr>
      <w:r w:rsidRPr="00B43C68">
        <w:rPr>
          <w:rFonts w:ascii="Guttman Hodes" w:eastAsia="Guttman Hodes" w:hAnsi="Guttman Hodes" w:cs="Guttman Hodes" w:hint="cs"/>
          <w:sz w:val="20"/>
          <w:szCs w:val="20"/>
          <w:rtl/>
        </w:rPr>
        <w:lastRenderedPageBreak/>
        <w:t>עיקר מטר</w:t>
      </w:r>
      <w:r w:rsidR="00E770A7">
        <w:rPr>
          <w:rFonts w:ascii="Guttman Hodes" w:eastAsia="Guttman Hodes" w:hAnsi="Guttman Hodes" w:cs="Guttman Hodes" w:hint="cs"/>
          <w:sz w:val="20"/>
          <w:szCs w:val="20"/>
          <w:rtl/>
        </w:rPr>
        <w:t>ת</w:t>
      </w:r>
      <w:r w:rsidRPr="00B43C68">
        <w:rPr>
          <w:rFonts w:ascii="Guttman Hodes" w:eastAsia="Guttman Hodes" w:hAnsi="Guttman Hodes" w:cs="Guttman Hodes" w:hint="cs"/>
          <w:sz w:val="20"/>
          <w:szCs w:val="20"/>
          <w:rtl/>
        </w:rPr>
        <w:t xml:space="preserve"> המראי מקומות בספר זה, היא להביא לפני הלומד את </w:t>
      </w:r>
      <w:r w:rsidRPr="0075277D">
        <w:rPr>
          <w:rFonts w:ascii="Guttman Hodes" w:eastAsia="Guttman Hodes" w:hAnsi="Guttman Hodes" w:cs="Guttman Hodes" w:hint="cs"/>
          <w:b/>
          <w:bCs/>
          <w:sz w:val="20"/>
          <w:szCs w:val="20"/>
          <w:rtl/>
        </w:rPr>
        <w:t>"משנתם"</w:t>
      </w:r>
      <w:r w:rsidRPr="00B43C68">
        <w:rPr>
          <w:rFonts w:ascii="Guttman Hodes" w:eastAsia="Guttman Hodes" w:hAnsi="Guttman Hodes" w:cs="Guttman Hodes" w:hint="cs"/>
          <w:sz w:val="20"/>
          <w:szCs w:val="20"/>
          <w:rtl/>
        </w:rPr>
        <w:t xml:space="preserve"> של הראשונים, האחרונים</w:t>
      </w:r>
      <w:r w:rsidR="00E770A7">
        <w:rPr>
          <w:rFonts w:ascii="Guttman Hodes" w:eastAsia="Guttman Hodes" w:hAnsi="Guttman Hodes" w:cs="Guttman Hodes" w:hint="cs"/>
          <w:sz w:val="20"/>
          <w:szCs w:val="20"/>
          <w:rtl/>
        </w:rPr>
        <w:t>,</w:t>
      </w:r>
      <w:r w:rsidRPr="00B43C68">
        <w:rPr>
          <w:rFonts w:ascii="Guttman Hodes" w:eastAsia="Guttman Hodes" w:hAnsi="Guttman Hodes" w:cs="Guttman Hodes" w:hint="cs"/>
          <w:sz w:val="20"/>
          <w:szCs w:val="20"/>
          <w:rtl/>
        </w:rPr>
        <w:t xml:space="preserve"> וראשי הישיבות</w:t>
      </w:r>
      <w:r w:rsidR="00366EF0">
        <w:rPr>
          <w:rFonts w:ascii="Guttman Hodes" w:eastAsia="Guttman Hodes" w:hAnsi="Guttman Hodes" w:cs="Guttman Hodes" w:hint="cs"/>
          <w:sz w:val="20"/>
          <w:szCs w:val="20"/>
          <w:rtl/>
        </w:rPr>
        <w:t xml:space="preserve">, כשהיא </w:t>
      </w:r>
      <w:r w:rsidR="00366EF0" w:rsidRPr="00366EF0">
        <w:rPr>
          <w:rFonts w:ascii="Guttman Hodes" w:eastAsia="Guttman Hodes" w:hAnsi="Guttman Hodes" w:cs="Guttman Hodes" w:hint="cs"/>
          <w:b/>
          <w:bCs/>
          <w:sz w:val="20"/>
          <w:szCs w:val="20"/>
          <w:rtl/>
        </w:rPr>
        <w:t>"סדורה"</w:t>
      </w:r>
      <w:r w:rsidRPr="00B43C68">
        <w:rPr>
          <w:rFonts w:ascii="Guttman Hodes" w:eastAsia="Guttman Hodes" w:hAnsi="Guttman Hodes" w:cs="Guttman Hodes" w:hint="cs"/>
          <w:sz w:val="20"/>
          <w:szCs w:val="20"/>
          <w:rtl/>
        </w:rPr>
        <w:t xml:space="preserve"> בלשון קלה ובהירה, ונעשתה השתדלות גדולה שיהיו </w:t>
      </w:r>
      <w:r w:rsidRPr="00366EF0">
        <w:rPr>
          <w:rFonts w:ascii="Guttman Hodes" w:eastAsia="Guttman Hodes" w:hAnsi="Guttman Hodes" w:cs="Guttman Hodes" w:hint="cs"/>
          <w:sz w:val="20"/>
          <w:szCs w:val="20"/>
          <w:rtl/>
        </w:rPr>
        <w:t>הדברים ככתבם, בלא</w:t>
      </w:r>
      <w:r w:rsidRPr="00B43C68">
        <w:rPr>
          <w:rFonts w:ascii="Guttman Hodes" w:eastAsia="Guttman Hodes" w:hAnsi="Guttman Hodes" w:cs="Guttman Hodes" w:hint="cs"/>
          <w:sz w:val="20"/>
          <w:szCs w:val="20"/>
          <w:rtl/>
        </w:rPr>
        <w:t xml:space="preserve"> להוסיף ולפרשם יותר מן הנצרך להבנת הדברים</w:t>
      </w:r>
    </w:p>
    <w:p w:rsidR="00D60D12" w:rsidRPr="00B43C68" w:rsidRDefault="00767EA9" w:rsidP="00767EA9">
      <w:pPr>
        <w:spacing w:before="240" w:line="240" w:lineRule="auto"/>
        <w:ind w:left="0"/>
        <w:rPr>
          <w:rFonts w:ascii="Guttman Hodes" w:eastAsia="Guttman Hodes" w:hAnsi="Guttman Hodes" w:cs="Guttman Hodes"/>
          <w:sz w:val="20"/>
          <w:szCs w:val="20"/>
          <w:rtl/>
        </w:rPr>
      </w:pPr>
      <w:r>
        <w:rPr>
          <w:rFonts w:ascii="Guttman Hodes" w:eastAsia="Guttman Hodes" w:hAnsi="Guttman Hodes" w:cs="Guttman Hodes" w:hint="cs"/>
          <w:sz w:val="20"/>
          <w:szCs w:val="20"/>
          <w:rtl/>
        </w:rPr>
        <w:t xml:space="preserve">אך כיון </w:t>
      </w:r>
      <w:r w:rsidR="00366EF0">
        <w:rPr>
          <w:rFonts w:ascii="Guttman Hodes" w:eastAsia="Guttman Hodes" w:hAnsi="Guttman Hodes" w:cs="Guttman Hodes" w:hint="cs"/>
          <w:sz w:val="20"/>
          <w:szCs w:val="20"/>
          <w:rtl/>
        </w:rPr>
        <w:t xml:space="preserve">שודאי </w:t>
      </w:r>
      <w:r w:rsidR="007B6DA5" w:rsidRPr="00B43C68">
        <w:rPr>
          <w:rFonts w:ascii="Guttman Hodes" w:eastAsia="Guttman Hodes" w:hAnsi="Guttman Hodes" w:cs="Guttman Hodes" w:hint="cs"/>
          <w:sz w:val="20"/>
          <w:szCs w:val="20"/>
          <w:rtl/>
        </w:rPr>
        <w:t>יש מקומות בהם ניתן לבאר את כוונת הראשונים והאחרונים</w:t>
      </w:r>
      <w:r>
        <w:rPr>
          <w:rFonts w:ascii="Guttman Hodes" w:eastAsia="Guttman Hodes" w:hAnsi="Guttman Hodes" w:cs="Guttman Hodes" w:hint="cs"/>
          <w:sz w:val="20"/>
          <w:szCs w:val="20"/>
          <w:rtl/>
        </w:rPr>
        <w:t>,</w:t>
      </w:r>
      <w:r w:rsidR="007B6DA5" w:rsidRPr="00B43C68">
        <w:rPr>
          <w:rFonts w:ascii="Guttman Hodes" w:eastAsia="Guttman Hodes" w:hAnsi="Guttman Hodes" w:cs="Guttman Hodes" w:hint="cs"/>
          <w:sz w:val="20"/>
          <w:szCs w:val="20"/>
          <w:rtl/>
        </w:rPr>
        <w:t xml:space="preserve"> באופן שונה ממה שכתבתי, לכן בקשתי שטוחה מכל לומד, שבכל מקום ש</w:t>
      </w:r>
      <w:r w:rsidR="000208DD" w:rsidRPr="00B43C68">
        <w:rPr>
          <w:rFonts w:ascii="Guttman Hodes" w:eastAsia="Guttman Hodes" w:hAnsi="Guttman Hodes" w:cs="Guttman Hodes" w:hint="cs"/>
          <w:sz w:val="20"/>
          <w:szCs w:val="20"/>
          <w:rtl/>
        </w:rPr>
        <w:t>ימצא טעות בביאור דבריהם, או שאפשר לפרשם באופן שונה</w:t>
      </w:r>
      <w:r w:rsidR="0075277D" w:rsidRPr="0075277D">
        <w:rPr>
          <w:rFonts w:ascii="Guttman Hodes" w:eastAsia="Guttman Hodes" w:hAnsi="Guttman Hodes" w:cs="Guttman Hodes"/>
          <w:sz w:val="20"/>
          <w:szCs w:val="20"/>
          <w:rtl/>
        </w:rPr>
        <w:t xml:space="preserve">, אם יוכל להעירני ולהעמידני על </w:t>
      </w:r>
      <w:r w:rsidR="00366EF0">
        <w:rPr>
          <w:rFonts w:ascii="Guttman Hodes" w:eastAsia="Guttman Hodes" w:hAnsi="Guttman Hodes" w:cs="Guttman Hodes" w:hint="cs"/>
          <w:sz w:val="20"/>
          <w:szCs w:val="20"/>
          <w:rtl/>
        </w:rPr>
        <w:t>כך</w:t>
      </w:r>
      <w:r w:rsidR="0075277D" w:rsidRPr="0075277D">
        <w:rPr>
          <w:rFonts w:ascii="Guttman Hodes" w:eastAsia="Guttman Hodes" w:hAnsi="Guttman Hodes" w:cs="Guttman Hodes"/>
          <w:sz w:val="20"/>
          <w:szCs w:val="20"/>
          <w:rtl/>
        </w:rPr>
        <w:t>, אודה לו מאוד</w:t>
      </w:r>
      <w:r w:rsidR="000208DD" w:rsidRPr="00B43C68">
        <w:rPr>
          <w:rFonts w:ascii="Guttman Hodes" w:eastAsia="Guttman Hodes" w:hAnsi="Guttman Hodes" w:cs="Guttman Hodes" w:hint="cs"/>
          <w:sz w:val="20"/>
          <w:szCs w:val="20"/>
          <w:rtl/>
        </w:rPr>
        <w:t>.</w:t>
      </w:r>
    </w:p>
    <w:p w:rsidR="000F071D" w:rsidRDefault="000F071D" w:rsidP="000F071D">
      <w:pPr>
        <w:pStyle w:val="a3"/>
        <w:rPr>
          <w:rtl/>
        </w:rPr>
      </w:pPr>
    </w:p>
    <w:p w:rsidR="00E41F86" w:rsidRDefault="00E41F86" w:rsidP="00E41F86">
      <w:pPr>
        <w:pStyle w:val="11"/>
        <w:rPr>
          <w:rtl/>
        </w:rPr>
      </w:pPr>
    </w:p>
    <w:p w:rsidR="00E41F86" w:rsidRDefault="00E41F86" w:rsidP="00E41F86">
      <w:pPr>
        <w:pStyle w:val="11"/>
        <w:jc w:val="center"/>
        <w:rPr>
          <w:rtl/>
        </w:rPr>
      </w:pPr>
      <w:r>
        <w:rPr>
          <w:rFonts w:hint="cs"/>
          <w:rtl/>
        </w:rPr>
        <w:t>לתשומת לב המעיינים בקובץ ממוחשב:</w:t>
      </w:r>
    </w:p>
    <w:p w:rsidR="00E41F86" w:rsidRDefault="00E41F86" w:rsidP="00ED296A">
      <w:pPr>
        <w:pStyle w:val="11"/>
        <w:jc w:val="center"/>
        <w:rPr>
          <w:rtl/>
        </w:rPr>
      </w:pPr>
      <w:r>
        <w:rPr>
          <w:rFonts w:hint="cs"/>
          <w:rtl/>
        </w:rPr>
        <w:t xml:space="preserve">בכל מקום שמופיעה </w:t>
      </w:r>
      <w:r w:rsidR="00ED296A" w:rsidRPr="00ED296A">
        <w:rPr>
          <w:rFonts w:hint="cs"/>
          <w:u w:val="single"/>
          <w:rtl/>
        </w:rPr>
        <w:t>בתוך הסימן</w:t>
      </w:r>
      <w:r w:rsidR="00ED296A">
        <w:rPr>
          <w:rFonts w:hint="cs"/>
          <w:rtl/>
        </w:rPr>
        <w:t xml:space="preserve"> </w:t>
      </w:r>
      <w:r>
        <w:rPr>
          <w:rFonts w:hint="cs"/>
          <w:rtl/>
        </w:rPr>
        <w:t>קישורית לאות אחרת לדוגמא: (עי' אות א'),</w:t>
      </w:r>
    </w:p>
    <w:p w:rsidR="00E41F86" w:rsidRDefault="00E41F86" w:rsidP="00E41F86">
      <w:pPr>
        <w:pStyle w:val="11"/>
        <w:jc w:val="center"/>
        <w:rPr>
          <w:rFonts w:cs="Cambria"/>
          <w:rtl/>
        </w:rPr>
      </w:pPr>
      <w:r>
        <w:rPr>
          <w:rFonts w:hint="cs"/>
          <w:rtl/>
        </w:rPr>
        <w:t>ניתן לעבור לאות המצויינת, ע"י הקשה בעכבר על האות המצוינת, יחד עם מקש קונטרול [</w:t>
      </w:r>
      <w:r>
        <w:rPr>
          <w:rFonts w:cs="Cambria" w:hint="cs"/>
        </w:rPr>
        <w:t>CTRL</w:t>
      </w:r>
      <w:r>
        <w:rPr>
          <w:rFonts w:hint="cs"/>
          <w:rtl/>
        </w:rPr>
        <w:t>]</w:t>
      </w:r>
      <w:r>
        <w:rPr>
          <w:rFonts w:cs="Cambria" w:hint="cs"/>
          <w:rtl/>
        </w:rPr>
        <w:t>.</w:t>
      </w:r>
    </w:p>
    <w:p w:rsidR="00F0650D" w:rsidRDefault="00F0650D" w:rsidP="00F0650D">
      <w:pPr>
        <w:pStyle w:val="11"/>
        <w:jc w:val="center"/>
        <w:rPr>
          <w:rtl/>
        </w:rPr>
      </w:pPr>
      <w:r w:rsidRPr="00F0650D">
        <w:rPr>
          <w:rFonts w:hint="cs"/>
          <w:rtl/>
        </w:rPr>
        <w:t xml:space="preserve">וכן </w:t>
      </w:r>
      <w:r>
        <w:rPr>
          <w:rFonts w:hint="cs"/>
          <w:rtl/>
        </w:rPr>
        <w:t>בתוכן העניינים המודפס בתחילת הספר, ניתן לעבור לכל סימן לעמוד שבו הוא מצויין,</w:t>
      </w:r>
      <w:r w:rsidRPr="00F0650D">
        <w:rPr>
          <w:rFonts w:hint="cs"/>
          <w:rtl/>
        </w:rPr>
        <w:t xml:space="preserve"> </w:t>
      </w:r>
    </w:p>
    <w:p w:rsidR="00F0650D" w:rsidRPr="00F0650D" w:rsidRDefault="00F0650D" w:rsidP="00ED296A">
      <w:pPr>
        <w:pStyle w:val="11"/>
        <w:jc w:val="center"/>
        <w:rPr>
          <w:rtl/>
        </w:rPr>
      </w:pPr>
      <w:r>
        <w:rPr>
          <w:rFonts w:hint="cs"/>
          <w:rtl/>
        </w:rPr>
        <w:t xml:space="preserve">ע"י הקשה בעכבר על </w:t>
      </w:r>
      <w:r w:rsidR="00ED296A">
        <w:rPr>
          <w:rFonts w:hint="cs"/>
          <w:rtl/>
        </w:rPr>
        <w:t>מספר העמוד</w:t>
      </w:r>
      <w:r>
        <w:rPr>
          <w:rFonts w:hint="cs"/>
          <w:rtl/>
        </w:rPr>
        <w:t>, יחד עם מקש קונטרול [</w:t>
      </w:r>
      <w:r>
        <w:rPr>
          <w:rFonts w:cs="Cambria" w:hint="cs"/>
        </w:rPr>
        <w:t>CTRL</w:t>
      </w:r>
      <w:r>
        <w:rPr>
          <w:rFonts w:hint="cs"/>
          <w:rtl/>
        </w:rPr>
        <w:t>]</w:t>
      </w:r>
      <w:r>
        <w:rPr>
          <w:rFonts w:cs="Cambria" w:hint="cs"/>
          <w:rtl/>
        </w:rPr>
        <w:t>.</w:t>
      </w:r>
      <w:r>
        <w:rPr>
          <w:rFonts w:hint="cs"/>
          <w:rtl/>
        </w:rPr>
        <w:t xml:space="preserve"> </w:t>
      </w:r>
    </w:p>
    <w:p w:rsidR="00B43C68" w:rsidRDefault="00B43C68" w:rsidP="00B43C68">
      <w:pPr>
        <w:pStyle w:val="aff7"/>
        <w:rPr>
          <w:rtl/>
        </w:rPr>
      </w:pPr>
    </w:p>
    <w:p w:rsidR="00B43C68" w:rsidRDefault="00B43C68" w:rsidP="00B43C68">
      <w:pPr>
        <w:pStyle w:val="a3"/>
        <w:rPr>
          <w:rtl/>
        </w:rPr>
      </w:pPr>
    </w:p>
    <w:p w:rsidR="00B43C68" w:rsidRDefault="00B43C68" w:rsidP="00B43C68">
      <w:pPr>
        <w:pStyle w:val="aff7"/>
        <w:rPr>
          <w:rtl/>
        </w:rPr>
      </w:pPr>
    </w:p>
    <w:p w:rsidR="00B43C68" w:rsidRPr="00B43C68" w:rsidRDefault="00B43C68" w:rsidP="00B43C68">
      <w:pPr>
        <w:pStyle w:val="aff7"/>
        <w:rPr>
          <w:rtl/>
        </w:rPr>
      </w:pPr>
    </w:p>
    <w:p w:rsidR="000F071D" w:rsidRDefault="000F071D" w:rsidP="000F071D">
      <w:pPr>
        <w:pStyle w:val="a3"/>
        <w:rPr>
          <w:rtl/>
        </w:rPr>
      </w:pPr>
    </w:p>
    <w:p w:rsidR="000F071D" w:rsidRDefault="000F071D" w:rsidP="000F071D">
      <w:pPr>
        <w:pStyle w:val="a3"/>
        <w:rPr>
          <w:rtl/>
        </w:rPr>
      </w:pPr>
    </w:p>
    <w:p w:rsidR="000F071D" w:rsidRPr="0050146A" w:rsidRDefault="000F071D" w:rsidP="000F071D">
      <w:pPr>
        <w:pStyle w:val="a3"/>
        <w:rPr>
          <w:rtl/>
        </w:rPr>
      </w:pPr>
      <w:r w:rsidRPr="0050146A">
        <w:rPr>
          <w:rFonts w:hint="cs"/>
          <w:rtl/>
        </w:rPr>
        <w:t>© כל הזכויות שמורות</w:t>
      </w:r>
    </w:p>
    <w:p w:rsidR="000F071D" w:rsidRPr="0050146A" w:rsidRDefault="000F071D" w:rsidP="000F071D">
      <w:pPr>
        <w:spacing w:line="240" w:lineRule="auto"/>
        <w:jc w:val="center"/>
        <w:rPr>
          <w:rFonts w:cs="Guttman Hodes"/>
          <w:rtl/>
        </w:rPr>
      </w:pPr>
    </w:p>
    <w:p w:rsidR="00B43C68" w:rsidRDefault="00B43C68" w:rsidP="000F071D">
      <w:pPr>
        <w:spacing w:line="240" w:lineRule="auto"/>
        <w:ind w:left="0"/>
        <w:jc w:val="center"/>
        <w:rPr>
          <w:rFonts w:cs="Guttman Hodes"/>
          <w:rtl/>
        </w:rPr>
      </w:pPr>
      <w:r>
        <w:rPr>
          <w:rFonts w:cs="Guttman Hodes" w:hint="cs"/>
          <w:rtl/>
        </w:rPr>
        <w:t xml:space="preserve">להערות והארות </w:t>
      </w:r>
    </w:p>
    <w:p w:rsidR="000F071D" w:rsidRPr="0050146A" w:rsidRDefault="00B43C68" w:rsidP="000F071D">
      <w:pPr>
        <w:spacing w:line="240" w:lineRule="auto"/>
        <w:ind w:left="0"/>
        <w:jc w:val="center"/>
        <w:rPr>
          <w:rFonts w:cs="Guttman Hodes"/>
          <w:rtl/>
        </w:rPr>
      </w:pPr>
      <w:r>
        <w:rPr>
          <w:rFonts w:cs="Guttman Hodes" w:hint="cs"/>
          <w:rtl/>
        </w:rPr>
        <w:t>ו</w:t>
      </w:r>
      <w:r w:rsidR="000F071D" w:rsidRPr="0050146A">
        <w:rPr>
          <w:rFonts w:cs="Guttman Hodes" w:hint="cs"/>
          <w:rtl/>
        </w:rPr>
        <w:t>בכל עניני הספר</w:t>
      </w:r>
    </w:p>
    <w:p w:rsidR="000F071D" w:rsidRPr="0050146A" w:rsidRDefault="000F071D" w:rsidP="000F071D">
      <w:pPr>
        <w:spacing w:line="240" w:lineRule="auto"/>
        <w:ind w:left="0"/>
        <w:jc w:val="center"/>
        <w:rPr>
          <w:rFonts w:cs="Guttman Hodes"/>
          <w:rtl/>
        </w:rPr>
      </w:pPr>
      <w:r w:rsidRPr="0050146A">
        <w:rPr>
          <w:rFonts w:cs="Guttman Hodes" w:hint="cs"/>
          <w:rtl/>
        </w:rPr>
        <w:t>ניתן לפנות:</w:t>
      </w:r>
    </w:p>
    <w:p w:rsidR="000F071D" w:rsidRPr="0050146A" w:rsidRDefault="000F071D" w:rsidP="000F071D">
      <w:pPr>
        <w:spacing w:line="240" w:lineRule="auto"/>
        <w:ind w:left="0"/>
        <w:jc w:val="center"/>
        <w:rPr>
          <w:rFonts w:cs="Guttman Hodes"/>
          <w:rtl/>
        </w:rPr>
      </w:pPr>
      <w:r w:rsidRPr="0050146A">
        <w:rPr>
          <w:rFonts w:cs="Guttman Hodes" w:hint="cs"/>
          <w:rtl/>
        </w:rPr>
        <w:t>שלמה הנדל</w:t>
      </w:r>
    </w:p>
    <w:p w:rsidR="000F071D" w:rsidRPr="0050146A" w:rsidRDefault="000F071D" w:rsidP="000F071D">
      <w:pPr>
        <w:spacing w:line="240" w:lineRule="auto"/>
        <w:ind w:left="0"/>
        <w:jc w:val="center"/>
        <w:rPr>
          <w:rFonts w:cs="Guttman Hodes"/>
          <w:rtl/>
        </w:rPr>
      </w:pPr>
      <w:r w:rsidRPr="0050146A">
        <w:rPr>
          <w:rFonts w:cs="Guttman Hodes" w:hint="cs"/>
          <w:rtl/>
        </w:rPr>
        <w:t>רבי יהושע 13 בני ברק</w:t>
      </w:r>
    </w:p>
    <w:p w:rsidR="000F071D" w:rsidRPr="0050146A" w:rsidRDefault="000F071D" w:rsidP="000F071D">
      <w:pPr>
        <w:spacing w:line="240" w:lineRule="auto"/>
        <w:ind w:left="0"/>
        <w:jc w:val="center"/>
        <w:rPr>
          <w:rFonts w:cs="Guttman Hodes"/>
          <w:rtl/>
        </w:rPr>
      </w:pPr>
      <w:r w:rsidRPr="0050146A">
        <w:rPr>
          <w:rFonts w:cs="Guttman Hodes" w:hint="cs"/>
          <w:rtl/>
        </w:rPr>
        <w:t>טל 052-7676412</w:t>
      </w:r>
    </w:p>
    <w:p w:rsidR="000F071D" w:rsidRPr="0050146A" w:rsidRDefault="000F071D" w:rsidP="000F071D">
      <w:pPr>
        <w:spacing w:line="240" w:lineRule="auto"/>
        <w:ind w:left="0"/>
        <w:jc w:val="center"/>
        <w:rPr>
          <w:rFonts w:cs="Cambria"/>
          <w:rtl/>
        </w:rPr>
      </w:pPr>
      <w:r w:rsidRPr="0050146A">
        <w:rPr>
          <w:rFonts w:cs="Guttman Hodes" w:hint="cs"/>
          <w:rtl/>
        </w:rPr>
        <w:t xml:space="preserve">ניתן לשלוח גם לכתובת מייל: </w:t>
      </w:r>
    </w:p>
    <w:p w:rsidR="000F071D" w:rsidRPr="0050146A" w:rsidRDefault="000F071D" w:rsidP="000F071D">
      <w:pPr>
        <w:bidi w:val="0"/>
        <w:spacing w:line="240" w:lineRule="auto"/>
        <w:ind w:left="0"/>
        <w:jc w:val="center"/>
        <w:rPr>
          <w:rFonts w:cs="Arial"/>
        </w:rPr>
      </w:pPr>
      <w:r>
        <w:rPr>
          <w:rFonts w:cs="Cambria"/>
        </w:rPr>
        <w:t>A0</w:t>
      </w:r>
      <w:r w:rsidRPr="0050146A">
        <w:rPr>
          <w:rFonts w:cs="Cambria" w:hint="cs"/>
          <w:rtl/>
        </w:rPr>
        <w:t>527676412</w:t>
      </w:r>
      <w:r w:rsidRPr="0050146A">
        <w:rPr>
          <w:rFonts w:cs="Cambria"/>
        </w:rPr>
        <w:t>@GMAIL</w:t>
      </w:r>
      <w:r w:rsidRPr="0050146A">
        <w:rPr>
          <w:rFonts w:cs="Arial" w:hint="cs"/>
          <w:rtl/>
        </w:rPr>
        <w:t>.</w:t>
      </w:r>
      <w:r w:rsidRPr="0050146A">
        <w:rPr>
          <w:rFonts w:cs="Arial"/>
        </w:rPr>
        <w:t>COM</w:t>
      </w:r>
    </w:p>
    <w:p w:rsidR="003855E8" w:rsidRDefault="003855E8" w:rsidP="000F071D">
      <w:pPr>
        <w:pStyle w:val="a3"/>
        <w:spacing w:before="0" w:line="240" w:lineRule="auto"/>
        <w:rPr>
          <w:noProof/>
          <w:sz w:val="20"/>
          <w:szCs w:val="20"/>
          <w:rtl/>
        </w:rPr>
      </w:pPr>
    </w:p>
    <w:p w:rsidR="003855E8" w:rsidRDefault="003855E8" w:rsidP="003855E8">
      <w:pPr>
        <w:pStyle w:val="aff7"/>
        <w:rPr>
          <w:rtl/>
        </w:rPr>
      </w:pPr>
    </w:p>
    <w:p w:rsidR="003855E8" w:rsidRPr="003855E8" w:rsidRDefault="003855E8" w:rsidP="003855E8">
      <w:pPr>
        <w:pStyle w:val="a3"/>
        <w:rPr>
          <w:rtl/>
        </w:rPr>
      </w:pPr>
    </w:p>
    <w:p w:rsidR="000F071D" w:rsidRDefault="000F071D" w:rsidP="000F071D">
      <w:pPr>
        <w:pStyle w:val="a3"/>
        <w:spacing w:before="0" w:line="240" w:lineRule="auto"/>
        <w:rPr>
          <w:b w:val="0"/>
          <w:bCs w:val="0"/>
          <w:noProof/>
          <w:sz w:val="20"/>
          <w:szCs w:val="20"/>
          <w:rtl/>
        </w:rPr>
      </w:pPr>
    </w:p>
    <w:p w:rsidR="000F071D" w:rsidRDefault="000F071D" w:rsidP="000F071D">
      <w:pPr>
        <w:pStyle w:val="a3"/>
        <w:spacing w:before="0" w:line="240" w:lineRule="auto"/>
        <w:rPr>
          <w:b w:val="0"/>
          <w:bCs w:val="0"/>
          <w:noProof/>
          <w:sz w:val="20"/>
          <w:szCs w:val="20"/>
          <w:rtl/>
        </w:rPr>
      </w:pPr>
    </w:p>
    <w:p w:rsidR="000F071D" w:rsidRDefault="000F071D" w:rsidP="000F071D">
      <w:pPr>
        <w:pStyle w:val="11"/>
        <w:rPr>
          <w:noProof/>
          <w:rtl/>
        </w:rPr>
      </w:pPr>
    </w:p>
    <w:p w:rsidR="000F071D" w:rsidRDefault="000F071D" w:rsidP="000F071D">
      <w:pPr>
        <w:pStyle w:val="11"/>
        <w:rPr>
          <w:rtl/>
        </w:rPr>
      </w:pPr>
    </w:p>
    <w:p w:rsidR="00246F8C" w:rsidRDefault="00246F8C" w:rsidP="00246F8C">
      <w:pPr>
        <w:pStyle w:val="a3"/>
        <w:spacing w:before="0" w:line="240" w:lineRule="auto"/>
        <w:rPr>
          <w:b w:val="0"/>
          <w:bCs w:val="0"/>
          <w:noProof/>
          <w:sz w:val="20"/>
          <w:szCs w:val="20"/>
        </w:rPr>
      </w:pPr>
      <w:r>
        <w:rPr>
          <w:rFonts w:hint="cs"/>
          <w:b w:val="0"/>
          <w:bCs w:val="0"/>
          <w:noProof/>
          <w:sz w:val="20"/>
          <w:szCs w:val="20"/>
          <w:rtl/>
        </w:rPr>
        <w:t>כמו"כ ניתן להשיג בכתובת הנ"ל את ספרי "משנתם סדורה":</w:t>
      </w:r>
    </w:p>
    <w:p w:rsidR="00246F8C" w:rsidRPr="008D0597" w:rsidRDefault="00246F8C" w:rsidP="00246F8C">
      <w:pPr>
        <w:pStyle w:val="11"/>
        <w:rPr>
          <w:noProof/>
          <w:sz w:val="20"/>
          <w:szCs w:val="20"/>
          <w:rtl/>
        </w:rPr>
      </w:pPr>
    </w:p>
    <w:p w:rsidR="00246F8C" w:rsidRPr="008D0597" w:rsidRDefault="00246F8C" w:rsidP="00246F8C">
      <w:pPr>
        <w:pStyle w:val="11"/>
        <w:bidi w:val="0"/>
        <w:rPr>
          <w:rFonts w:asciiTheme="minorHAnsi" w:hAnsiTheme="minorHAnsi"/>
          <w:sz w:val="20"/>
          <w:szCs w:val="20"/>
          <w:rtl/>
        </w:rPr>
        <w:sectPr w:rsidR="00246F8C" w:rsidRPr="008D0597" w:rsidSect="00246F8C">
          <w:type w:val="continuous"/>
          <w:pgSz w:w="11906" w:h="16838"/>
          <w:pgMar w:top="1440" w:right="1800" w:bottom="1440" w:left="1800" w:header="708" w:footer="708" w:gutter="0"/>
          <w:cols w:space="720"/>
          <w:bidi/>
          <w:rtlGutter/>
        </w:sectPr>
      </w:pPr>
    </w:p>
    <w:p w:rsidR="00246F8C" w:rsidRPr="00AD31F4" w:rsidRDefault="00246F8C" w:rsidP="00246F8C">
      <w:pPr>
        <w:pStyle w:val="11"/>
        <w:jc w:val="center"/>
        <w:rPr>
          <w:b/>
          <w:bCs/>
          <w:sz w:val="20"/>
          <w:szCs w:val="20"/>
          <w:rtl/>
        </w:rPr>
      </w:pPr>
      <w:r w:rsidRPr="00AD31F4">
        <w:rPr>
          <w:rFonts w:hint="cs"/>
          <w:b/>
          <w:bCs/>
          <w:sz w:val="20"/>
          <w:szCs w:val="20"/>
          <w:rtl/>
        </w:rPr>
        <w:t>על פרק "המפקיד"</w:t>
      </w:r>
    </w:p>
    <w:p w:rsidR="00246F8C" w:rsidRPr="00AD31F4" w:rsidRDefault="00246F8C" w:rsidP="00246F8C">
      <w:pPr>
        <w:pStyle w:val="11"/>
        <w:jc w:val="center"/>
        <w:rPr>
          <w:b/>
          <w:bCs/>
          <w:noProof/>
          <w:sz w:val="20"/>
          <w:szCs w:val="20"/>
          <w:rtl/>
        </w:rPr>
      </w:pPr>
      <w:r w:rsidRPr="00AD31F4">
        <w:rPr>
          <w:rFonts w:hint="cs"/>
          <w:b/>
          <w:bCs/>
          <w:noProof/>
          <w:sz w:val="20"/>
          <w:szCs w:val="20"/>
          <w:rtl/>
        </w:rPr>
        <w:t>על פרק "איזהו נשך"</w:t>
      </w:r>
    </w:p>
    <w:p w:rsidR="00246F8C" w:rsidRPr="00B43C68" w:rsidRDefault="00246F8C" w:rsidP="00246F8C">
      <w:pPr>
        <w:pStyle w:val="11"/>
        <w:jc w:val="center"/>
        <w:rPr>
          <w:b/>
          <w:bCs/>
          <w:sz w:val="20"/>
          <w:szCs w:val="20"/>
          <w:rtl/>
        </w:rPr>
      </w:pPr>
      <w:r w:rsidRPr="00B43C68">
        <w:rPr>
          <w:b/>
          <w:bCs/>
          <w:sz w:val="20"/>
          <w:szCs w:val="20"/>
          <w:rtl/>
        </w:rPr>
        <w:t>על עניני רוב וחזקה הגרמה ובן פקועה</w:t>
      </w:r>
      <w:r>
        <w:rPr>
          <w:rFonts w:hint="cs"/>
          <w:b/>
          <w:bCs/>
          <w:sz w:val="20"/>
          <w:szCs w:val="20"/>
          <w:rtl/>
        </w:rPr>
        <w:t xml:space="preserve"> </w:t>
      </w:r>
      <w:r w:rsidRPr="00B43C68">
        <w:rPr>
          <w:b/>
          <w:bCs/>
          <w:sz w:val="20"/>
          <w:szCs w:val="20"/>
          <w:rtl/>
        </w:rPr>
        <w:t>במסכת חולין</w:t>
      </w:r>
      <w:r w:rsidRPr="00B43C68">
        <w:rPr>
          <w:rFonts w:hint="cs"/>
          <w:b/>
          <w:bCs/>
          <w:sz w:val="20"/>
          <w:szCs w:val="20"/>
          <w:rtl/>
        </w:rPr>
        <w:t>.</w:t>
      </w:r>
    </w:p>
    <w:p w:rsidR="00246F8C" w:rsidRDefault="00246F8C" w:rsidP="00246F8C">
      <w:pPr>
        <w:pStyle w:val="11"/>
        <w:jc w:val="center"/>
        <w:rPr>
          <w:b/>
          <w:bCs/>
          <w:sz w:val="20"/>
          <w:szCs w:val="20"/>
          <w:rtl/>
        </w:rPr>
      </w:pPr>
      <w:r w:rsidRPr="00B43C68">
        <w:rPr>
          <w:b/>
          <w:bCs/>
          <w:sz w:val="20"/>
          <w:szCs w:val="20"/>
          <w:rtl/>
        </w:rPr>
        <w:t xml:space="preserve">על תערובות </w:t>
      </w:r>
      <w:r w:rsidRPr="00B43C68">
        <w:rPr>
          <w:rFonts w:hint="cs"/>
          <w:b/>
          <w:bCs/>
          <w:sz w:val="20"/>
          <w:szCs w:val="20"/>
          <w:rtl/>
        </w:rPr>
        <w:t xml:space="preserve">ובשר בחלב </w:t>
      </w:r>
      <w:r w:rsidRPr="00B43C68">
        <w:rPr>
          <w:b/>
          <w:bCs/>
          <w:sz w:val="20"/>
          <w:szCs w:val="20"/>
          <w:rtl/>
        </w:rPr>
        <w:t>במסכתות חולין וע"ז</w:t>
      </w:r>
      <w:r>
        <w:rPr>
          <w:rFonts w:hint="cs"/>
          <w:b/>
          <w:bCs/>
          <w:sz w:val="20"/>
          <w:szCs w:val="20"/>
          <w:rtl/>
        </w:rPr>
        <w:t>.</w:t>
      </w:r>
    </w:p>
    <w:p w:rsidR="00246F8C" w:rsidRPr="00B43C68" w:rsidRDefault="00246F8C" w:rsidP="00246F8C">
      <w:pPr>
        <w:pStyle w:val="11"/>
        <w:jc w:val="center"/>
        <w:rPr>
          <w:b/>
          <w:bCs/>
          <w:sz w:val="20"/>
          <w:szCs w:val="20"/>
          <w:rtl/>
        </w:rPr>
      </w:pPr>
      <w:r>
        <w:rPr>
          <w:rFonts w:hint="cs"/>
          <w:b/>
          <w:bCs/>
          <w:sz w:val="20"/>
          <w:szCs w:val="20"/>
          <w:rtl/>
        </w:rPr>
        <w:t>על מסכת נדרים פ"א ופרק נערה המאורסה</w:t>
      </w:r>
    </w:p>
    <w:p w:rsidR="000F071D" w:rsidRDefault="000F071D" w:rsidP="000F071D">
      <w:pPr>
        <w:pStyle w:val="11"/>
        <w:rPr>
          <w:rtl/>
        </w:rPr>
      </w:pPr>
    </w:p>
    <w:p w:rsidR="000F071D" w:rsidRDefault="000F071D" w:rsidP="000F071D">
      <w:pPr>
        <w:pStyle w:val="11"/>
        <w:rPr>
          <w:rtl/>
        </w:rPr>
      </w:pPr>
    </w:p>
    <w:p w:rsidR="000F071D" w:rsidRDefault="000F071D" w:rsidP="000F071D">
      <w:pPr>
        <w:pStyle w:val="11"/>
        <w:rPr>
          <w:rtl/>
        </w:rPr>
      </w:pPr>
    </w:p>
    <w:p w:rsidR="00246F8C" w:rsidRDefault="00246F8C" w:rsidP="00246F8C">
      <w:pPr>
        <w:pStyle w:val="a3"/>
        <w:spacing w:before="0" w:line="240" w:lineRule="auto"/>
        <w:rPr>
          <w:noProof/>
          <w:sz w:val="20"/>
          <w:szCs w:val="20"/>
          <w:rtl/>
        </w:rPr>
      </w:pPr>
      <w:r>
        <w:rPr>
          <w:rFonts w:hint="cs"/>
          <w:noProof/>
          <w:sz w:val="20"/>
          <w:szCs w:val="20"/>
          <w:rtl/>
        </w:rPr>
        <w:t>ניתן לקבל קובץ ממוחשב של הספרים במייל:</w:t>
      </w:r>
    </w:p>
    <w:p w:rsidR="00246F8C" w:rsidRPr="00CA78D2" w:rsidRDefault="00246F8C" w:rsidP="00246F8C">
      <w:pPr>
        <w:bidi w:val="0"/>
        <w:spacing w:line="240" w:lineRule="auto"/>
        <w:ind w:left="0"/>
        <w:jc w:val="center"/>
        <w:rPr>
          <w:rFonts w:cs="Arial"/>
          <w:b/>
          <w:bCs/>
        </w:rPr>
      </w:pPr>
      <w:r w:rsidRPr="00CA78D2">
        <w:rPr>
          <w:rFonts w:cs="Cambria"/>
          <w:b/>
          <w:bCs/>
        </w:rPr>
        <w:t>A0</w:t>
      </w:r>
      <w:r w:rsidRPr="00CA78D2">
        <w:rPr>
          <w:rFonts w:cs="Cambria" w:hint="cs"/>
          <w:b/>
          <w:bCs/>
          <w:rtl/>
        </w:rPr>
        <w:t>527676412</w:t>
      </w:r>
      <w:r w:rsidRPr="00CA78D2">
        <w:rPr>
          <w:rFonts w:cs="Cambria"/>
          <w:b/>
          <w:bCs/>
        </w:rPr>
        <w:t>@GMAIL</w:t>
      </w:r>
      <w:r w:rsidRPr="00CA78D2">
        <w:rPr>
          <w:rFonts w:cs="Arial" w:hint="cs"/>
          <w:b/>
          <w:bCs/>
          <w:rtl/>
        </w:rPr>
        <w:t>.</w:t>
      </w:r>
      <w:r w:rsidRPr="00CA78D2">
        <w:rPr>
          <w:rFonts w:cs="Arial"/>
          <w:b/>
          <w:bCs/>
        </w:rPr>
        <w:t>COM</w:t>
      </w:r>
    </w:p>
    <w:p w:rsidR="000F071D" w:rsidRDefault="000F071D" w:rsidP="000F071D">
      <w:pPr>
        <w:pStyle w:val="11"/>
        <w:rPr>
          <w:rtl/>
        </w:rPr>
      </w:pPr>
    </w:p>
    <w:p w:rsidR="000F071D" w:rsidRDefault="000F071D" w:rsidP="000F071D">
      <w:pPr>
        <w:pStyle w:val="11"/>
        <w:rPr>
          <w:noProof/>
          <w:rtl/>
        </w:rPr>
      </w:pPr>
    </w:p>
    <w:p w:rsidR="00AF62D9" w:rsidRDefault="00AF62D9" w:rsidP="00AF62D9">
      <w:pPr>
        <w:pStyle w:val="11"/>
        <w:jc w:val="center"/>
        <w:rPr>
          <w:b/>
          <w:bCs/>
          <w:sz w:val="20"/>
          <w:szCs w:val="20"/>
          <w:rtl/>
        </w:rPr>
        <w:sectPr w:rsidR="00AF62D9" w:rsidSect="00AF62D9">
          <w:type w:val="continuous"/>
          <w:pgSz w:w="11906" w:h="16838"/>
          <w:pgMar w:top="1440" w:right="1800" w:bottom="1440" w:left="1800" w:header="708" w:footer="708" w:gutter="0"/>
          <w:cols w:space="0"/>
          <w:bidi/>
          <w:rtlGutter/>
        </w:sectPr>
      </w:pPr>
    </w:p>
    <w:p w:rsidR="000F071D" w:rsidRPr="00B43C68" w:rsidRDefault="000F071D" w:rsidP="00B2187A">
      <w:pPr>
        <w:pStyle w:val="11"/>
        <w:rPr>
          <w:b/>
          <w:bCs/>
          <w:sz w:val="20"/>
          <w:szCs w:val="20"/>
          <w:rtl/>
        </w:rPr>
      </w:pPr>
    </w:p>
    <w:p w:rsidR="00B2187A" w:rsidRPr="0050146A" w:rsidRDefault="00B2187A" w:rsidP="00B2187A">
      <w:pPr>
        <w:ind w:left="0"/>
        <w:rPr>
          <w:rtl/>
        </w:rPr>
      </w:pPr>
      <w:r w:rsidRPr="0050146A">
        <w:rPr>
          <w:noProof/>
          <w:rtl/>
        </w:rPr>
        <mc:AlternateContent>
          <mc:Choice Requires="wps">
            <w:drawing>
              <wp:anchor distT="45720" distB="45720" distL="114300" distR="114300" simplePos="0" relativeHeight="251668480" behindDoc="0" locked="0" layoutInCell="1" allowOverlap="1" wp14:anchorId="58F648E0" wp14:editId="7B5695D5">
                <wp:simplePos x="0" y="0"/>
                <wp:positionH relativeFrom="margin">
                  <wp:align>center</wp:align>
                </wp:positionH>
                <wp:positionV relativeFrom="paragraph">
                  <wp:posOffset>10783</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chemeClr val="tx1"/>
                          </a:solidFill>
                          <a:prstDash val="solid"/>
                          <a:round/>
                          <a:headEnd/>
                          <a:tailEnd/>
                        </a:ln>
                      </wps:spPr>
                      <wps:txbx>
                        <w:txbxContent>
                          <w:p w:rsidR="00265073" w:rsidRPr="00E94D6C" w:rsidRDefault="00265073" w:rsidP="00B2187A">
                            <w:pPr>
                              <w:ind w:left="0"/>
                              <w:jc w:val="center"/>
                              <w:rPr>
                                <w:rFonts w:cs="Guttman Hodes"/>
                                <w:sz w:val="24"/>
                                <w:szCs w:val="24"/>
                                <w:rtl/>
                              </w:rPr>
                            </w:pPr>
                            <w:r w:rsidRPr="00E94D6C">
                              <w:rPr>
                                <w:rFonts w:cs="Guttman Hodes" w:hint="cs"/>
                                <w:sz w:val="24"/>
                                <w:szCs w:val="24"/>
                                <w:rtl/>
                              </w:rPr>
                              <w:t>לע"נ</w:t>
                            </w:r>
                          </w:p>
                          <w:p w:rsidR="00265073" w:rsidRPr="00807603" w:rsidRDefault="00265073" w:rsidP="00B2187A">
                            <w:pPr>
                              <w:ind w:left="0"/>
                              <w:jc w:val="center"/>
                              <w:rPr>
                                <w:rFonts w:cs="Guttman Hodes"/>
                                <w:b/>
                                <w:bCs/>
                                <w:sz w:val="44"/>
                                <w:szCs w:val="44"/>
                                <w:rtl/>
                              </w:rPr>
                            </w:pPr>
                            <w:r w:rsidRPr="00807603">
                              <w:rPr>
                                <w:rFonts w:cs="Guttman Hodes" w:hint="cs"/>
                                <w:b/>
                                <w:bCs/>
                                <w:sz w:val="44"/>
                                <w:szCs w:val="44"/>
                                <w:rtl/>
                              </w:rPr>
                              <w:t xml:space="preserve"> אמי מורתי</w:t>
                            </w:r>
                          </w:p>
                          <w:p w:rsidR="00265073" w:rsidRDefault="00265073" w:rsidP="00B2187A">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265073" w:rsidRPr="009A3AD9" w:rsidRDefault="00265073" w:rsidP="00B2187A">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265073" w:rsidRPr="005723BD" w:rsidRDefault="00265073" w:rsidP="00B2187A">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265073" w:rsidRPr="003F2095" w:rsidRDefault="00265073" w:rsidP="00B2187A">
                            <w:pPr>
                              <w:ind w:left="0"/>
                              <w:jc w:val="center"/>
                              <w:rPr>
                                <w:rFonts w:cs="Guttman Hodes"/>
                                <w:sz w:val="10"/>
                                <w:szCs w:val="10"/>
                                <w:rtl/>
                                <w:cs/>
                              </w:rPr>
                            </w:pPr>
                          </w:p>
                          <w:p w:rsidR="00265073" w:rsidRPr="005723BD" w:rsidRDefault="00265073" w:rsidP="00B2187A">
                            <w:pPr>
                              <w:ind w:left="0"/>
                              <w:jc w:val="center"/>
                              <w:rPr>
                                <w:rFonts w:cs="Guttman Hodes"/>
                                <w:rtl/>
                                <w:cs/>
                              </w:rPr>
                            </w:pPr>
                            <w:r w:rsidRPr="005723BD">
                              <w:rPr>
                                <w:rFonts w:cs="Guttman Hodes" w:hint="cs"/>
                                <w:rtl/>
                                <w:cs/>
                              </w:rPr>
                              <w:t>אהבת התורה שפיעמה בקרבה, ושמחתה השלימה בגומרה של תורה,</w:t>
                            </w:r>
                          </w:p>
                          <w:p w:rsidR="00265073" w:rsidRPr="005723BD" w:rsidRDefault="00265073" w:rsidP="00B2187A">
                            <w:pPr>
                              <w:ind w:left="0"/>
                              <w:jc w:val="center"/>
                              <w:rPr>
                                <w:rFonts w:cs="Guttman Hodes"/>
                                <w:rtl/>
                                <w:cs/>
                              </w:rPr>
                            </w:pPr>
                            <w:r w:rsidRPr="005723BD">
                              <w:rPr>
                                <w:rFonts w:cs="Guttman Hodes" w:hint="cs"/>
                                <w:rtl/>
                                <w:cs/>
                              </w:rPr>
                              <w:t>הם שנתנו לי את הכוח למלאכה גדולה זו.</w:t>
                            </w:r>
                          </w:p>
                          <w:p w:rsidR="00265073" w:rsidRPr="003F2095" w:rsidRDefault="00265073" w:rsidP="00B2187A">
                            <w:pPr>
                              <w:ind w:left="0"/>
                              <w:jc w:val="center"/>
                              <w:rPr>
                                <w:rFonts w:cs="Guttman Hodes"/>
                                <w:sz w:val="10"/>
                                <w:szCs w:val="10"/>
                                <w:rtl/>
                                <w:cs/>
                              </w:rPr>
                            </w:pPr>
                          </w:p>
                          <w:p w:rsidR="00265073" w:rsidRDefault="00265073" w:rsidP="00B2187A">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265073" w:rsidRDefault="00265073" w:rsidP="00B2187A">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265073" w:rsidRDefault="00265073" w:rsidP="00B2187A">
                            <w:pPr>
                              <w:ind w:left="0"/>
                              <w:jc w:val="center"/>
                              <w:rPr>
                                <w:rFonts w:cs="Guttman Hodes"/>
                                <w:rtl/>
                                <w:cs/>
                              </w:rPr>
                            </w:pPr>
                            <w:r>
                              <w:rPr>
                                <w:rFonts w:cs="Guttman Hodes" w:hint="cs"/>
                                <w:rtl/>
                                <w:cs/>
                              </w:rPr>
                              <w:t>ת.נ.צ.ב.ה.</w:t>
                            </w:r>
                            <w:r w:rsidRPr="005723BD">
                              <w:rPr>
                                <w:rFonts w:cs="Guttman Hodes" w:hint="cs"/>
                                <w:rtl/>
                                <w:cs/>
                              </w:rPr>
                              <w:t xml:space="preserve"> </w:t>
                            </w:r>
                          </w:p>
                          <w:p w:rsidR="00265073" w:rsidRDefault="00265073" w:rsidP="00B2187A">
                            <w:pPr>
                              <w:jc w:val="center"/>
                              <w:rPr>
                                <w:rFonts w:cs="Guttman Hodes"/>
                                <w:rtl/>
                                <w:cs/>
                              </w:rPr>
                            </w:pPr>
                          </w:p>
                          <w:p w:rsidR="00265073" w:rsidRDefault="00265073" w:rsidP="00B2187A">
                            <w:pPr>
                              <w:jc w:val="center"/>
                              <w:rPr>
                                <w:rFonts w:cs="Guttman Hodes"/>
                                <w:rtl/>
                                <w:cs/>
                              </w:rPr>
                            </w:pPr>
                          </w:p>
                          <w:p w:rsidR="00265073" w:rsidRPr="005723BD" w:rsidRDefault="00265073" w:rsidP="00B2187A">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8F648E0" id="תיבת טקסט 2" o:spid="_x0000_s1027" style="position:absolute;left:0;text-align:left;margin-left:0;margin-top:.85pt;width:498.55pt;height:362.2pt;flip:x;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" strokecolor="black [3213]" strokeweight="2.25pt">
                <v:stroke linestyle="thickThin" endcap="round"/>
                <v:textbox>
                  <w:txbxContent>
                    <w:p w:rsidR="00265073" w:rsidRPr="00E94D6C" w:rsidRDefault="00265073" w:rsidP="00B2187A">
                      <w:pPr>
                        <w:ind w:left="0"/>
                        <w:jc w:val="center"/>
                        <w:rPr>
                          <w:rFonts w:cs="Guttman Hodes"/>
                          <w:sz w:val="24"/>
                          <w:szCs w:val="24"/>
                          <w:rtl/>
                        </w:rPr>
                      </w:pPr>
                      <w:r w:rsidRPr="00E94D6C">
                        <w:rPr>
                          <w:rFonts w:cs="Guttman Hodes" w:hint="cs"/>
                          <w:sz w:val="24"/>
                          <w:szCs w:val="24"/>
                          <w:rtl/>
                        </w:rPr>
                        <w:t>לע"נ</w:t>
                      </w:r>
                    </w:p>
                    <w:p w:rsidR="00265073" w:rsidRPr="00807603" w:rsidRDefault="00265073" w:rsidP="00B2187A">
                      <w:pPr>
                        <w:ind w:left="0"/>
                        <w:jc w:val="center"/>
                        <w:rPr>
                          <w:rFonts w:cs="Guttman Hodes"/>
                          <w:b/>
                          <w:bCs/>
                          <w:sz w:val="44"/>
                          <w:szCs w:val="44"/>
                          <w:rtl/>
                        </w:rPr>
                      </w:pPr>
                      <w:r w:rsidRPr="00807603">
                        <w:rPr>
                          <w:rFonts w:cs="Guttman Hodes" w:hint="cs"/>
                          <w:b/>
                          <w:bCs/>
                          <w:sz w:val="44"/>
                          <w:szCs w:val="44"/>
                          <w:rtl/>
                        </w:rPr>
                        <w:t xml:space="preserve"> אמי מורתי</w:t>
                      </w:r>
                    </w:p>
                    <w:p w:rsidR="00265073" w:rsidRDefault="00265073" w:rsidP="00B2187A">
                      <w:pPr>
                        <w:ind w:left="0"/>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rsidR="00265073" w:rsidRPr="009A3AD9" w:rsidRDefault="00265073" w:rsidP="00B2187A">
                      <w:pPr>
                        <w:ind w:left="0"/>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rsidR="00265073" w:rsidRPr="005723BD" w:rsidRDefault="00265073" w:rsidP="00B2187A">
                      <w:pPr>
                        <w:ind w:left="0"/>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rsidR="00265073" w:rsidRPr="003F2095" w:rsidRDefault="00265073" w:rsidP="00B2187A">
                      <w:pPr>
                        <w:ind w:left="0"/>
                        <w:jc w:val="center"/>
                        <w:rPr>
                          <w:rFonts w:cs="Guttman Hodes"/>
                          <w:sz w:val="10"/>
                          <w:szCs w:val="10"/>
                          <w:rtl/>
                          <w:cs/>
                        </w:rPr>
                      </w:pPr>
                    </w:p>
                    <w:p w:rsidR="00265073" w:rsidRPr="005723BD" w:rsidRDefault="00265073" w:rsidP="00B2187A">
                      <w:pPr>
                        <w:ind w:left="0"/>
                        <w:jc w:val="center"/>
                        <w:rPr>
                          <w:rFonts w:cs="Guttman Hodes"/>
                          <w:rtl/>
                          <w:cs/>
                        </w:rPr>
                      </w:pPr>
                      <w:r w:rsidRPr="005723BD">
                        <w:rPr>
                          <w:rFonts w:cs="Guttman Hodes" w:hint="cs"/>
                          <w:rtl/>
                          <w:cs/>
                        </w:rPr>
                        <w:t>אהבת התורה שפיעמה בקרבה, ושמחתה השלימה בגומרה של תורה,</w:t>
                      </w:r>
                    </w:p>
                    <w:p w:rsidR="00265073" w:rsidRPr="005723BD" w:rsidRDefault="00265073" w:rsidP="00B2187A">
                      <w:pPr>
                        <w:ind w:left="0"/>
                        <w:jc w:val="center"/>
                        <w:rPr>
                          <w:rFonts w:cs="Guttman Hodes"/>
                          <w:rtl/>
                          <w:cs/>
                        </w:rPr>
                      </w:pPr>
                      <w:r w:rsidRPr="005723BD">
                        <w:rPr>
                          <w:rFonts w:cs="Guttman Hodes" w:hint="cs"/>
                          <w:rtl/>
                          <w:cs/>
                        </w:rPr>
                        <w:t>הם שנתנו לי את הכוח למלאכה גדולה זו.</w:t>
                      </w:r>
                    </w:p>
                    <w:p w:rsidR="00265073" w:rsidRPr="003F2095" w:rsidRDefault="00265073" w:rsidP="00B2187A">
                      <w:pPr>
                        <w:ind w:left="0"/>
                        <w:jc w:val="center"/>
                        <w:rPr>
                          <w:rFonts w:cs="Guttman Hodes"/>
                          <w:sz w:val="10"/>
                          <w:szCs w:val="10"/>
                          <w:rtl/>
                          <w:cs/>
                        </w:rPr>
                      </w:pPr>
                    </w:p>
                    <w:p w:rsidR="00265073" w:rsidRDefault="00265073" w:rsidP="00B2187A">
                      <w:pPr>
                        <w:ind w:left="0"/>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rsidR="00265073" w:rsidRDefault="00265073" w:rsidP="00B2187A">
                      <w:pPr>
                        <w:ind w:left="0"/>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rsidR="00265073" w:rsidRDefault="00265073" w:rsidP="00B2187A">
                      <w:pPr>
                        <w:ind w:left="0"/>
                        <w:jc w:val="center"/>
                        <w:rPr>
                          <w:rFonts w:cs="Guttman Hodes"/>
                          <w:rtl/>
                          <w:cs/>
                        </w:rPr>
                      </w:pPr>
                      <w:r>
                        <w:rPr>
                          <w:rFonts w:cs="Guttman Hodes" w:hint="cs"/>
                          <w:rtl/>
                          <w:cs/>
                        </w:rPr>
                        <w:t>ת.נ.צ.ב.ה.</w:t>
                      </w:r>
                      <w:r w:rsidRPr="005723BD">
                        <w:rPr>
                          <w:rFonts w:cs="Guttman Hodes" w:hint="cs"/>
                          <w:rtl/>
                          <w:cs/>
                        </w:rPr>
                        <w:t xml:space="preserve"> </w:t>
                      </w:r>
                    </w:p>
                    <w:p w:rsidR="00265073" w:rsidRDefault="00265073" w:rsidP="00B2187A">
                      <w:pPr>
                        <w:jc w:val="center"/>
                        <w:rPr>
                          <w:rFonts w:cs="Guttman Hodes"/>
                          <w:rtl/>
                          <w:cs/>
                        </w:rPr>
                      </w:pPr>
                    </w:p>
                    <w:p w:rsidR="00265073" w:rsidRDefault="00265073" w:rsidP="00B2187A">
                      <w:pPr>
                        <w:jc w:val="center"/>
                        <w:rPr>
                          <w:rFonts w:cs="Guttman Hodes"/>
                          <w:rtl/>
                          <w:cs/>
                        </w:rPr>
                      </w:pPr>
                    </w:p>
                    <w:p w:rsidR="00265073" w:rsidRPr="005723BD" w:rsidRDefault="00265073" w:rsidP="00B2187A">
                      <w:pPr>
                        <w:jc w:val="center"/>
                        <w:rPr>
                          <w:rFonts w:cs="Guttman Hodes"/>
                          <w:rtl/>
                          <w:cs/>
                        </w:rPr>
                      </w:pPr>
                    </w:p>
                  </w:txbxContent>
                </v:textbox>
                <w10:wrap type="square" anchorx="margin"/>
              </v:roundrect>
            </w:pict>
          </mc:Fallback>
        </mc:AlternateContent>
      </w:r>
    </w:p>
    <w:p w:rsidR="000F071D" w:rsidRPr="00AD31F4" w:rsidRDefault="000F071D" w:rsidP="00B2187A">
      <w:pPr>
        <w:pStyle w:val="11"/>
        <w:rPr>
          <w:noProof/>
          <w:sz w:val="20"/>
          <w:szCs w:val="20"/>
          <w:rtl/>
        </w:rPr>
        <w:sectPr w:rsidR="000F071D" w:rsidRPr="00AD31F4" w:rsidSect="000F071D">
          <w:type w:val="continuous"/>
          <w:pgSz w:w="11906" w:h="16838"/>
          <w:pgMar w:top="1440" w:right="1800" w:bottom="1440" w:left="1800" w:header="708" w:footer="708" w:gutter="0"/>
          <w:cols w:num="2" w:space="113"/>
          <w:bidi/>
          <w:rtlGutter/>
        </w:sectPr>
      </w:pPr>
    </w:p>
    <w:p w:rsidR="000F071D" w:rsidRPr="00AD31F4" w:rsidRDefault="000F071D" w:rsidP="00B2187A">
      <w:pPr>
        <w:bidi w:val="0"/>
        <w:spacing w:line="240" w:lineRule="auto"/>
        <w:ind w:left="0"/>
        <w:jc w:val="left"/>
        <w:rPr>
          <w:rFonts w:eastAsia="Guttman Hodes" w:cs="Guttman Hodes"/>
          <w:noProof/>
          <w:sz w:val="20"/>
          <w:szCs w:val="20"/>
        </w:rPr>
        <w:sectPr w:rsidR="000F071D" w:rsidRPr="00AD31F4">
          <w:type w:val="continuous"/>
          <w:pgSz w:w="11906" w:h="16838"/>
          <w:pgMar w:top="1440" w:right="1800" w:bottom="1440" w:left="1800" w:header="708" w:footer="708" w:gutter="0"/>
          <w:cols w:num="2" w:space="709"/>
          <w:bidi/>
          <w:rtlGutter/>
        </w:sectPr>
      </w:pPr>
    </w:p>
    <w:p w:rsidR="000F071D" w:rsidRPr="0050146A" w:rsidRDefault="000F071D" w:rsidP="00B2187A">
      <w:pPr>
        <w:ind w:left="0"/>
        <w:jc w:val="center"/>
        <w:rPr>
          <w:rFonts w:ascii="Guttman Hodes" w:eastAsia="Guttman Hodes" w:hAnsi="Guttman Hodes" w:cs="Guttman Hodes"/>
          <w:b/>
          <w:bCs/>
        </w:rPr>
      </w:pPr>
      <w:r w:rsidRPr="0050146A">
        <w:rPr>
          <w:rFonts w:ascii="Guttman Hodes" w:eastAsia="Guttman Hodes" w:hAnsi="Guttman Hodes" w:cs="Guttman Hodes" w:hint="cs"/>
          <w:b/>
          <w:bCs/>
          <w:rtl/>
        </w:rPr>
        <w:lastRenderedPageBreak/>
        <w:t>דברים אחדים</w:t>
      </w:r>
    </w:p>
    <w:p w:rsidR="000F071D" w:rsidRPr="0050146A"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"אודה ה' בכל לבב בסוד ישרים ועדה", על הזכות הגדולה שנפלה בחלקי, לערוך ולסדר לפני עמלי התורה, את דברי הראשונים, האחרונים, וראשי הישיבות, לפי סדר ה</w:t>
      </w:r>
      <w:r>
        <w:rPr>
          <w:rFonts w:ascii="Guttman Hodes" w:eastAsia="Guttman Hodes" w:hAnsi="Guttman Hodes" w:cs="Guttman Hodes" w:hint="cs"/>
          <w:sz w:val="18"/>
          <w:szCs w:val="18"/>
          <w:rtl/>
        </w:rPr>
        <w:t>סוגית</w:t>
      </w:r>
      <w:r w:rsidRPr="0050146A">
        <w:rPr>
          <w:rFonts w:ascii="Guttman Hodes" w:eastAsia="Guttman Hodes" w:hAnsi="Guttman Hodes" w:cs="Guttman Hodes" w:hint="cs"/>
          <w:sz w:val="18"/>
          <w:szCs w:val="18"/>
          <w:rtl/>
        </w:rPr>
        <w:t xml:space="preserve">. </w:t>
      </w:r>
    </w:p>
    <w:p w:rsidR="000F071D" w:rsidRPr="0050146A"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 xml:space="preserve">לתועלת הלומדים אפרט את סדר העריכה שבספר זה, בכל </w:t>
      </w:r>
      <w:r>
        <w:rPr>
          <w:rFonts w:ascii="Guttman Hodes" w:eastAsia="Guttman Hodes" w:hAnsi="Guttman Hodes" w:cs="Guttman Hodes" w:hint="cs"/>
          <w:sz w:val="18"/>
          <w:szCs w:val="18"/>
          <w:rtl/>
        </w:rPr>
        <w:t>סוגי</w:t>
      </w:r>
      <w:r w:rsidR="00A77F33">
        <w:rPr>
          <w:rFonts w:ascii="Guttman Hodes" w:eastAsia="Guttman Hodes" w:hAnsi="Guttman Hodes" w:cs="Guttman Hodes" w:hint="cs"/>
          <w:sz w:val="18"/>
          <w:szCs w:val="18"/>
          <w:rtl/>
        </w:rPr>
        <w:t>א</w:t>
      </w:r>
      <w:r w:rsidRPr="0050146A">
        <w:rPr>
          <w:rFonts w:ascii="Guttman Hodes" w:eastAsia="Guttman Hodes" w:hAnsi="Guttman Hodes" w:cs="Guttman Hodes" w:hint="cs"/>
          <w:sz w:val="18"/>
          <w:szCs w:val="18"/>
          <w:rtl/>
        </w:rPr>
        <w:t xml:space="preserve"> ו</w:t>
      </w:r>
      <w:r>
        <w:rPr>
          <w:rFonts w:ascii="Guttman Hodes" w:eastAsia="Guttman Hodes" w:hAnsi="Guttman Hodes" w:cs="Guttman Hodes" w:hint="cs"/>
          <w:sz w:val="18"/>
          <w:szCs w:val="18"/>
          <w:rtl/>
        </w:rPr>
        <w:t>סוגי</w:t>
      </w:r>
      <w:r w:rsidR="00A77F33">
        <w:rPr>
          <w:rFonts w:ascii="Guttman Hodes" w:eastAsia="Guttman Hodes" w:hAnsi="Guttman Hodes" w:cs="Guttman Hodes" w:hint="cs"/>
          <w:sz w:val="18"/>
          <w:szCs w:val="18"/>
          <w:rtl/>
        </w:rPr>
        <w:t>א</w:t>
      </w:r>
      <w:r w:rsidRPr="0050146A">
        <w:rPr>
          <w:rFonts w:ascii="Guttman Hodes" w:eastAsia="Guttman Hodes" w:hAnsi="Guttman Hodes" w:cs="Guttman Hodes" w:hint="cs"/>
          <w:sz w:val="18"/>
          <w:szCs w:val="18"/>
          <w:rtl/>
        </w:rPr>
        <w:t xml:space="preserve"> ערוכה לפני הלומד </w:t>
      </w:r>
      <w:r w:rsidRPr="003F08A6">
        <w:rPr>
          <w:rFonts w:ascii="Guttman Hodes" w:eastAsia="Guttman Hodes" w:hAnsi="Guttman Hodes" w:cs="Guttman Hodes" w:hint="cs"/>
          <w:b/>
          <w:bCs/>
          <w:sz w:val="18"/>
          <w:szCs w:val="18"/>
          <w:rtl/>
        </w:rPr>
        <w:t>"משנתם"</w:t>
      </w:r>
      <w:r w:rsidRPr="0050146A">
        <w:rPr>
          <w:rFonts w:ascii="Guttman Hodes" w:eastAsia="Guttman Hodes" w:hAnsi="Guttman Hodes" w:cs="Guttman Hodes" w:hint="cs"/>
          <w:sz w:val="18"/>
          <w:szCs w:val="18"/>
          <w:rtl/>
        </w:rPr>
        <w:t xml:space="preserve"> של הראשונים, האחרונים וראשי הישיבות </w:t>
      </w:r>
      <w:r w:rsidR="003F08A6" w:rsidRPr="003F08A6">
        <w:rPr>
          <w:rFonts w:ascii="Guttman Hodes" w:eastAsia="Guttman Hodes" w:hAnsi="Guttman Hodes" w:cs="Guttman Hodes" w:hint="cs"/>
          <w:b/>
          <w:bCs/>
          <w:sz w:val="18"/>
          <w:szCs w:val="18"/>
          <w:rtl/>
        </w:rPr>
        <w:t>"סדורה"</w:t>
      </w:r>
      <w:r w:rsidR="003F08A6">
        <w:rPr>
          <w:rFonts w:ascii="Guttman Hodes" w:eastAsia="Guttman Hodes" w:hAnsi="Guttman Hodes" w:cs="Guttman Hodes" w:hint="cs"/>
          <w:sz w:val="18"/>
          <w:szCs w:val="18"/>
          <w:rtl/>
        </w:rPr>
        <w:t xml:space="preserve"> </w:t>
      </w:r>
      <w:r w:rsidRPr="0050146A">
        <w:rPr>
          <w:rFonts w:ascii="Guttman Hodes" w:eastAsia="Guttman Hodes" w:hAnsi="Guttman Hodes" w:cs="Guttman Hodes" w:hint="cs"/>
          <w:sz w:val="18"/>
          <w:szCs w:val="18"/>
          <w:rtl/>
        </w:rPr>
        <w:t>בלשון קלה ובהירה, ואף שלא הובאו דבריהם "בלשונם", מ"מ נעשתה השתדלות גדולה שיהיו הדברים ככתבם, בלא להוסיף ולפרשם יותר מן הנצרך להבנת הדברים,</w:t>
      </w:r>
      <w:r>
        <w:rPr>
          <w:rFonts w:ascii="Guttman Hodes" w:eastAsia="Guttman Hodes" w:hAnsi="Guttman Hodes" w:cs="Guttman Hodes" w:hint="cs"/>
          <w:sz w:val="18"/>
          <w:szCs w:val="18"/>
          <w:rtl/>
        </w:rPr>
        <w:t xml:space="preserve"> אלא שנסדרו וחולקו לפי עניני וסדרי הסוגית, כך שהלומד שעוסק בתוך הסוגית, יכול למצא בהם תועלת גדולה, ובפרט כשיראה את הדברים במקומם, ו</w:t>
      </w:r>
      <w:r w:rsidR="003F08A6">
        <w:rPr>
          <w:rFonts w:ascii="Guttman Hodes" w:eastAsia="Guttman Hodes" w:hAnsi="Guttman Hodes" w:cs="Guttman Hodes" w:hint="cs"/>
          <w:sz w:val="18"/>
          <w:szCs w:val="18"/>
          <w:rtl/>
        </w:rPr>
        <w:t>ל</w:t>
      </w:r>
      <w:r>
        <w:rPr>
          <w:rFonts w:ascii="Guttman Hodes" w:eastAsia="Guttman Hodes" w:hAnsi="Guttman Hodes" w:cs="Guttman Hodes" w:hint="cs"/>
          <w:sz w:val="18"/>
          <w:szCs w:val="18"/>
          <w:rtl/>
        </w:rPr>
        <w:t xml:space="preserve">כן קראתי את שם הספר </w:t>
      </w:r>
      <w:r w:rsidRPr="0050146A">
        <w:rPr>
          <w:rFonts w:ascii="Guttman Hodes" w:eastAsia="Guttman Hodes" w:hAnsi="Guttman Hodes" w:cs="Guttman Hodes" w:hint="cs"/>
          <w:sz w:val="18"/>
          <w:szCs w:val="18"/>
          <w:rtl/>
        </w:rPr>
        <w:t>"</w:t>
      </w:r>
      <w:r w:rsidRPr="0050146A">
        <w:rPr>
          <w:rFonts w:ascii="Guttman Hodes" w:eastAsia="Guttman Hodes" w:hAnsi="Guttman Hodes" w:cs="Guttman Hodes" w:hint="cs"/>
          <w:b/>
          <w:bCs/>
          <w:sz w:val="18"/>
          <w:szCs w:val="18"/>
          <w:rtl/>
        </w:rPr>
        <w:t>משנתם סדורה</w:t>
      </w:r>
      <w:r w:rsidRPr="0050146A">
        <w:rPr>
          <w:rFonts w:ascii="Guttman Hodes" w:eastAsia="Guttman Hodes" w:hAnsi="Guttman Hodes" w:cs="Guttman Hodes" w:hint="cs"/>
          <w:sz w:val="18"/>
          <w:szCs w:val="18"/>
          <w:rtl/>
        </w:rPr>
        <w:t>"</w:t>
      </w:r>
      <w:r>
        <w:rPr>
          <w:rFonts w:ascii="Guttman Hodes" w:eastAsia="Guttman Hodes" w:hAnsi="Guttman Hodes" w:cs="Guttman Hodes" w:hint="cs"/>
          <w:sz w:val="18"/>
          <w:szCs w:val="18"/>
          <w:rtl/>
        </w:rPr>
        <w:t xml:space="preserve">, שהוא </w:t>
      </w:r>
      <w:r w:rsidRPr="003F08A6">
        <w:rPr>
          <w:rFonts w:ascii="Guttman Hodes" w:eastAsia="Guttman Hodes" w:hAnsi="Guttman Hodes" w:cs="Guttman Hodes" w:hint="cs"/>
          <w:b/>
          <w:bCs/>
          <w:sz w:val="18"/>
          <w:szCs w:val="18"/>
          <w:rtl/>
        </w:rPr>
        <w:t>"משנתם"</w:t>
      </w:r>
      <w:r>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w:t>
      </w:r>
      <w:r w:rsidR="00AE7338">
        <w:rPr>
          <w:rFonts w:ascii="Guttman Hodes" w:eastAsia="Guttman Hodes" w:hAnsi="Guttman Hodes" w:cs="Guttman Hodes" w:hint="cs"/>
          <w:sz w:val="18"/>
          <w:szCs w:val="18"/>
          <w:rtl/>
        </w:rPr>
        <w:t>א</w:t>
      </w:r>
      <w:r>
        <w:rPr>
          <w:rFonts w:ascii="Guttman Hodes" w:eastAsia="Guttman Hodes" w:hAnsi="Guttman Hodes" w:cs="Guttman Hodes" w:hint="cs"/>
          <w:sz w:val="18"/>
          <w:szCs w:val="18"/>
          <w:rtl/>
        </w:rPr>
        <w:t xml:space="preserve"> </w:t>
      </w:r>
      <w:r w:rsidRPr="003F08A6">
        <w:rPr>
          <w:rFonts w:ascii="Guttman Hodes" w:eastAsia="Guttman Hodes" w:hAnsi="Guttman Hodes" w:cs="Guttman Hodes" w:hint="cs"/>
          <w:b/>
          <w:bCs/>
          <w:sz w:val="18"/>
          <w:szCs w:val="18"/>
          <w:rtl/>
        </w:rPr>
        <w:t>"סדורה"</w:t>
      </w:r>
      <w:r w:rsidRPr="0050146A">
        <w:rPr>
          <w:rFonts w:ascii="Guttman Hodes" w:eastAsia="Guttman Hodes" w:hAnsi="Guttman Hodes" w:cs="Guttman Hodes" w:hint="cs"/>
          <w:sz w:val="18"/>
          <w:szCs w:val="18"/>
          <w:rtl/>
        </w:rPr>
        <w:t xml:space="preserve"> לפני הלומד.</w:t>
      </w:r>
    </w:p>
    <w:p w:rsidR="000F071D" w:rsidRDefault="000F071D" w:rsidP="000B328B">
      <w:pPr>
        <w:spacing w:before="240" w:line="240" w:lineRule="auto"/>
        <w:ind w:left="0"/>
        <w:rPr>
          <w:rFonts w:ascii="Guttman Hodes" w:eastAsia="Guttman Hodes" w:hAnsi="Guttman Hodes" w:cs="Guttman Hodes"/>
          <w:sz w:val="18"/>
          <w:szCs w:val="18"/>
        </w:rPr>
      </w:pPr>
      <w:r>
        <w:rPr>
          <w:rFonts w:ascii="Guttman Hodes" w:eastAsia="Guttman Hodes" w:hAnsi="Guttman Hodes" w:cs="Guttman Hodes" w:hint="cs"/>
          <w:sz w:val="18"/>
          <w:szCs w:val="18"/>
          <w:rtl/>
        </w:rPr>
        <w:t>בתחילת כל סימן נכתב "</w:t>
      </w:r>
      <w:r w:rsidR="000B328B">
        <w:rPr>
          <w:rFonts w:ascii="Guttman Hodes" w:eastAsia="Guttman Hodes" w:hAnsi="Guttman Hodes" w:cs="Guttman Hodes" w:hint="cs"/>
          <w:b/>
          <w:bCs/>
          <w:sz w:val="18"/>
          <w:szCs w:val="18"/>
          <w:rtl/>
        </w:rPr>
        <w:t>תוכן הענינים</w:t>
      </w:r>
      <w:r>
        <w:rPr>
          <w:rFonts w:ascii="Guttman Hodes" w:eastAsia="Guttman Hodes" w:hAnsi="Guttman Hodes" w:cs="Guttman Hodes" w:hint="cs"/>
          <w:sz w:val="18"/>
          <w:szCs w:val="18"/>
          <w:rtl/>
        </w:rPr>
        <w:t xml:space="preserve">", בו הובאו כל הכותרות וכותרות המשנה, מסודרים לפי סדר האותיות שבתוך הסימן, עיקר מטרתו של מדור זה הוא בכדי שימצא הלומד בקל את מבוקשו </w:t>
      </w:r>
      <w:r w:rsidR="00AE7338">
        <w:rPr>
          <w:rFonts w:ascii="Guttman Hodes" w:eastAsia="Guttman Hodes" w:hAnsi="Guttman Hodes" w:cs="Guttman Hodes" w:hint="cs"/>
          <w:sz w:val="18"/>
          <w:szCs w:val="18"/>
          <w:rtl/>
        </w:rPr>
        <w:t>בתוך הסוגיא</w:t>
      </w:r>
      <w:r>
        <w:rPr>
          <w:rFonts w:ascii="Guttman Hodes" w:eastAsia="Guttman Hodes" w:hAnsi="Guttman Hodes" w:cs="Guttman Hodes" w:hint="cs"/>
          <w:sz w:val="18"/>
          <w:szCs w:val="18"/>
          <w:rtl/>
        </w:rPr>
        <w:t>, ויוכל לעיין בתוך הסימן באותיות של הנושא שעוסק בו, ולא יצטרך לטרוח ולראות בתחילת הסוגי</w:t>
      </w:r>
      <w:r w:rsidR="00B9557E">
        <w:rPr>
          <w:rFonts w:ascii="Guttman Hodes" w:eastAsia="Guttman Hodes" w:hAnsi="Guttman Hodes" w:cs="Guttman Hodes" w:hint="cs"/>
          <w:sz w:val="18"/>
          <w:szCs w:val="18"/>
          <w:rtl/>
        </w:rPr>
        <w:t>א</w:t>
      </w:r>
      <w:r>
        <w:rPr>
          <w:rFonts w:ascii="Guttman Hodes" w:eastAsia="Guttman Hodes" w:hAnsi="Guttman Hodes" w:cs="Guttman Hodes" w:hint="cs"/>
          <w:sz w:val="18"/>
          <w:szCs w:val="18"/>
          <w:rtl/>
        </w:rPr>
        <w:t xml:space="preserve">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w:t>
      </w:r>
      <w:r w:rsidR="00B9557E">
        <w:rPr>
          <w:rFonts w:ascii="Guttman Hodes" w:eastAsia="Guttman Hodes" w:hAnsi="Guttman Hodes" w:cs="Guttman Hodes" w:hint="cs"/>
          <w:sz w:val="18"/>
          <w:szCs w:val="18"/>
          <w:rtl/>
        </w:rPr>
        <w:t xml:space="preserve"> ה</w:t>
      </w:r>
      <w:r>
        <w:rPr>
          <w:rFonts w:ascii="Guttman Hodes" w:eastAsia="Guttman Hodes" w:hAnsi="Guttman Hodes" w:cs="Guttman Hodes" w:hint="cs"/>
          <w:sz w:val="18"/>
          <w:szCs w:val="18"/>
          <w:rtl/>
        </w:rPr>
        <w:t xml:space="preserve">ם הנדונים </w:t>
      </w:r>
      <w:r w:rsidR="00B9557E">
        <w:rPr>
          <w:rFonts w:ascii="Guttman Hodes" w:eastAsia="Guttman Hodes" w:hAnsi="Guttman Hodes" w:cs="Guttman Hodes" w:hint="cs"/>
          <w:sz w:val="18"/>
          <w:szCs w:val="18"/>
          <w:rtl/>
        </w:rPr>
        <w:t>בסוגיא</w:t>
      </w:r>
      <w:r>
        <w:rPr>
          <w:rFonts w:ascii="Guttman Hodes" w:eastAsia="Guttman Hodes" w:hAnsi="Guttman Hodes" w:cs="Guttman Hodes" w:hint="cs"/>
          <w:sz w:val="18"/>
          <w:szCs w:val="18"/>
          <w:rtl/>
        </w:rPr>
        <w:t>, ולעיין במה שלבו חפץ.</w:t>
      </w:r>
    </w:p>
    <w:p w:rsidR="000F071D" w:rsidRPr="0050146A" w:rsidRDefault="000F071D" w:rsidP="00085A63">
      <w:pPr>
        <w:spacing w:before="240" w:line="240" w:lineRule="auto"/>
        <w:ind w:left="0"/>
        <w:rPr>
          <w:rFonts w:ascii="Cambria" w:eastAsia="Guttman Hodes" w:hAnsi="Cambria" w:cs="Guttman Hodes"/>
          <w:sz w:val="18"/>
          <w:szCs w:val="18"/>
          <w:rtl/>
        </w:rPr>
      </w:pPr>
      <w:r>
        <w:rPr>
          <w:rFonts w:ascii="Guttman Hodes" w:eastAsia="Guttman Hodes" w:hAnsi="Guttman Hodes" w:cs="Guttman Hodes" w:hint="cs"/>
          <w:sz w:val="18"/>
          <w:szCs w:val="18"/>
          <w:rtl/>
        </w:rPr>
        <w:t xml:space="preserve">בתוך הסימן הובאו באריכות </w:t>
      </w:r>
      <w:r w:rsidRPr="0050146A">
        <w:rPr>
          <w:rFonts w:ascii="Guttman Hodes" w:eastAsia="Guttman Hodes" w:hAnsi="Guttman Hodes" w:cs="Guttman Hodes" w:hint="cs"/>
          <w:sz w:val="18"/>
          <w:szCs w:val="18"/>
          <w:rtl/>
        </w:rPr>
        <w:t xml:space="preserve">דברי הראשונים והאחרונים, </w:t>
      </w:r>
      <w:r>
        <w:rPr>
          <w:rFonts w:ascii="Guttman Hodes" w:eastAsia="Guttman Hodes" w:hAnsi="Guttman Hodes" w:cs="Guttman Hodes" w:hint="cs"/>
          <w:sz w:val="18"/>
          <w:szCs w:val="18"/>
          <w:rtl/>
        </w:rPr>
        <w:t>ו</w:t>
      </w:r>
      <w:r w:rsidRPr="0050146A">
        <w:rPr>
          <w:rFonts w:ascii="Guttman Hodes" w:eastAsia="Guttman Hodes" w:hAnsi="Guttman Hodes" w:cs="Guttman Hodes" w:hint="cs"/>
          <w:sz w:val="18"/>
          <w:szCs w:val="18"/>
          <w:rtl/>
        </w:rPr>
        <w:t>אחר</w:t>
      </w:r>
      <w:r>
        <w:rPr>
          <w:rFonts w:ascii="Guttman Hodes" w:eastAsia="Guttman Hodes" w:hAnsi="Guttman Hodes" w:cs="Guttman Hodes" w:hint="cs"/>
          <w:sz w:val="18"/>
          <w:szCs w:val="18"/>
          <w:rtl/>
        </w:rPr>
        <w:t>יהם</w:t>
      </w:r>
      <w:r w:rsidRPr="0050146A">
        <w:rPr>
          <w:rFonts w:ascii="Guttman Hodes" w:eastAsia="Guttman Hodes" w:hAnsi="Guttman Hodes" w:cs="Guttman Hodes" w:hint="cs"/>
          <w:sz w:val="18"/>
          <w:szCs w:val="18"/>
          <w:rtl/>
        </w:rPr>
        <w:t xml:space="preserve"> נכתבו </w:t>
      </w:r>
      <w:r w:rsidRPr="0050146A">
        <w:rPr>
          <w:rFonts w:ascii="Cambria" w:eastAsia="Guttman Hodes" w:hAnsi="Cambria" w:cs="Guttman Hodes" w:hint="cs"/>
          <w:sz w:val="18"/>
          <w:szCs w:val="18"/>
          <w:rtl/>
        </w:rPr>
        <w:t>במדור נפרד "</w:t>
      </w:r>
      <w:r w:rsidR="00085A63">
        <w:rPr>
          <w:rFonts w:ascii="Cambria" w:eastAsia="Guttman Hodes" w:hAnsi="Cambria" w:cs="Guttman Hodes" w:hint="cs"/>
          <w:b/>
          <w:bCs/>
          <w:sz w:val="18"/>
          <w:szCs w:val="18"/>
          <w:rtl/>
        </w:rPr>
        <w:t>ביאורי ראשי הישיבות</w:t>
      </w:r>
      <w:r w:rsidRPr="0050146A">
        <w:rPr>
          <w:rFonts w:ascii="Cambria" w:eastAsia="Guttman Hodes" w:hAnsi="Cambria" w:cs="Guttman Hodes" w:hint="cs"/>
          <w:sz w:val="18"/>
          <w:szCs w:val="18"/>
          <w:rtl/>
        </w:rPr>
        <w:t>", בו הובאו דבריהם של רבותינו ראשי הישיבות</w:t>
      </w:r>
      <w:r>
        <w:rPr>
          <w:rFonts w:ascii="Cambria" w:eastAsia="Guttman Hodes" w:hAnsi="Cambria" w:cs="Guttman Hodes" w:hint="cs"/>
          <w:sz w:val="18"/>
          <w:szCs w:val="18"/>
          <w:rtl/>
        </w:rPr>
        <w:t>, החל מרבינו הגר"ח מבריסק ואילך, כאשר המטרה בחלוקה זו, היא בכדי להעמיד בבירור את גדרי הדינים והבנת הסברות, כפי דרך הלימוד המקובלת בישיבות</w:t>
      </w:r>
      <w:r w:rsidRPr="0050146A">
        <w:rPr>
          <w:rFonts w:ascii="Cambria" w:eastAsia="Guttman Hodes" w:hAnsi="Cambria" w:cs="Guttman Hodes" w:hint="cs"/>
          <w:sz w:val="18"/>
          <w:szCs w:val="18"/>
          <w:rtl/>
        </w:rPr>
        <w:t>.</w:t>
      </w:r>
    </w:p>
    <w:p w:rsidR="00A77F33"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מראי מקומות אלו נכתבו תוך כדי לימוד ה</w:t>
      </w:r>
      <w:r>
        <w:rPr>
          <w:rFonts w:ascii="Guttman Hodes" w:eastAsia="Guttman Hodes" w:hAnsi="Guttman Hodes" w:cs="Guttman Hodes" w:hint="cs"/>
          <w:sz w:val="18"/>
          <w:szCs w:val="18"/>
          <w:rtl/>
        </w:rPr>
        <w:t>סוגי</w:t>
      </w:r>
      <w:r w:rsidR="00CA78D2">
        <w:rPr>
          <w:rFonts w:ascii="Guttman Hodes" w:eastAsia="Guttman Hodes" w:hAnsi="Guttman Hodes" w:cs="Guttman Hodes" w:hint="cs"/>
          <w:sz w:val="18"/>
          <w:szCs w:val="18"/>
          <w:rtl/>
        </w:rPr>
        <w:t>ו</w:t>
      </w:r>
      <w:r>
        <w:rPr>
          <w:rFonts w:ascii="Guttman Hodes" w:eastAsia="Guttman Hodes" w:hAnsi="Guttman Hodes" w:cs="Guttman Hodes" w:hint="cs"/>
          <w:sz w:val="18"/>
          <w:szCs w:val="18"/>
          <w:rtl/>
        </w:rPr>
        <w:t>ת</w:t>
      </w:r>
      <w:r w:rsidRPr="0050146A">
        <w:rPr>
          <w:rFonts w:ascii="Guttman Hodes" w:eastAsia="Guttman Hodes" w:hAnsi="Guttman Hodes" w:cs="Guttman Hodes" w:hint="cs"/>
          <w:sz w:val="18"/>
          <w:szCs w:val="18"/>
          <w:rtl/>
        </w:rPr>
        <w:t xml:space="preserve"> </w:t>
      </w:r>
      <w:r>
        <w:rPr>
          <w:rFonts w:ascii="Guttman Hodes" w:eastAsia="Guttman Hodes" w:hAnsi="Guttman Hodes" w:cs="Guttman Hodes" w:hint="cs"/>
          <w:sz w:val="18"/>
          <w:szCs w:val="18"/>
          <w:rtl/>
        </w:rPr>
        <w:t xml:space="preserve">בזמן חורף ה' תשפ"א, </w:t>
      </w:r>
      <w:r w:rsidRPr="0089143A">
        <w:rPr>
          <w:rFonts w:ascii="Guttman Hodes" w:eastAsia="Guttman Hodes" w:hAnsi="Guttman Hodes" w:cs="Guttman Hodes" w:hint="cs"/>
          <w:b/>
          <w:bCs/>
          <w:sz w:val="18"/>
          <w:szCs w:val="18"/>
          <w:rtl/>
        </w:rPr>
        <w:t xml:space="preserve">במבצר התורה "ישיבת בית הלל" </w:t>
      </w:r>
      <w:r w:rsidR="0089143A" w:rsidRPr="0089143A">
        <w:rPr>
          <w:rFonts w:ascii="Guttman Hodes" w:eastAsia="Guttman Hodes" w:hAnsi="Guttman Hodes" w:cs="Guttman Hodes" w:hint="cs"/>
          <w:b/>
          <w:bCs/>
          <w:sz w:val="18"/>
          <w:szCs w:val="18"/>
          <w:rtl/>
        </w:rPr>
        <w:t>בעיר התורה</w:t>
      </w:r>
      <w:r w:rsidRPr="0089143A">
        <w:rPr>
          <w:rFonts w:ascii="Guttman Hodes" w:eastAsia="Guttman Hodes" w:hAnsi="Guttman Hodes" w:cs="Guttman Hodes" w:hint="cs"/>
          <w:b/>
          <w:bCs/>
          <w:sz w:val="18"/>
          <w:szCs w:val="18"/>
          <w:rtl/>
        </w:rPr>
        <w:t xml:space="preserve"> בני ברק</w:t>
      </w:r>
      <w:r w:rsidRPr="0050146A">
        <w:rPr>
          <w:rFonts w:ascii="Guttman Hodes" w:eastAsia="Guttman Hodes" w:hAnsi="Guttman Hodes" w:cs="Guttman Hodes" w:hint="cs"/>
          <w:sz w:val="18"/>
          <w:szCs w:val="18"/>
          <w:rtl/>
        </w:rPr>
        <w:t xml:space="preserve">, </w:t>
      </w:r>
      <w:r w:rsidR="00A77F33">
        <w:rPr>
          <w:rFonts w:ascii="Guttman Hodes" w:eastAsia="Guttman Hodes" w:hAnsi="Guttman Hodes" w:cs="Guttman Hodes" w:hint="cs"/>
          <w:sz w:val="18"/>
          <w:szCs w:val="18"/>
          <w:rtl/>
        </w:rPr>
        <w:t>סדר הלימוד וכן הספק הסוגיות</w:t>
      </w:r>
      <w:r w:rsidR="0035217A">
        <w:rPr>
          <w:rFonts w:ascii="Guttman Hodes" w:eastAsia="Guttman Hodes" w:hAnsi="Guttman Hodes" w:cs="Guttman Hodes" w:hint="cs"/>
          <w:sz w:val="18"/>
          <w:szCs w:val="18"/>
          <w:rtl/>
        </w:rPr>
        <w:t>,</w:t>
      </w:r>
      <w:r w:rsidR="00A77F33">
        <w:rPr>
          <w:rFonts w:ascii="Guttman Hodes" w:eastAsia="Guttman Hodes" w:hAnsi="Guttman Hodes" w:cs="Guttman Hodes" w:hint="cs"/>
          <w:sz w:val="18"/>
          <w:szCs w:val="18"/>
          <w:rtl/>
        </w:rPr>
        <w:t xml:space="preserve"> הוא כפי מה שהספקתי לכתוב</w:t>
      </w:r>
      <w:r w:rsidR="00E64DBC">
        <w:rPr>
          <w:rFonts w:ascii="Guttman Hodes" w:eastAsia="Guttman Hodes" w:hAnsi="Guttman Hodes" w:cs="Guttman Hodes" w:hint="cs"/>
          <w:sz w:val="18"/>
          <w:szCs w:val="18"/>
          <w:rtl/>
        </w:rPr>
        <w:t>,</w:t>
      </w:r>
      <w:r w:rsidR="00A77F33">
        <w:rPr>
          <w:rFonts w:ascii="Guttman Hodes" w:eastAsia="Guttman Hodes" w:hAnsi="Guttman Hodes" w:cs="Guttman Hodes" w:hint="cs"/>
          <w:sz w:val="18"/>
          <w:szCs w:val="18"/>
          <w:rtl/>
        </w:rPr>
        <w:t xml:space="preserve"> בכפוף לקצב הלימוד וההתקדמות בכולל, כך שישנם סוגיות שהתאפשר </w:t>
      </w:r>
      <w:r w:rsidR="00E64DBC">
        <w:rPr>
          <w:rFonts w:ascii="Guttman Hodes" w:eastAsia="Guttman Hodes" w:hAnsi="Guttman Hodes" w:cs="Guttman Hodes" w:hint="cs"/>
          <w:sz w:val="18"/>
          <w:szCs w:val="18"/>
          <w:rtl/>
        </w:rPr>
        <w:t xml:space="preserve">לי </w:t>
      </w:r>
      <w:r w:rsidR="00A77F33">
        <w:rPr>
          <w:rFonts w:ascii="Guttman Hodes" w:eastAsia="Guttman Hodes" w:hAnsi="Guttman Hodes" w:cs="Guttman Hodes" w:hint="cs"/>
          <w:sz w:val="18"/>
          <w:szCs w:val="18"/>
          <w:rtl/>
        </w:rPr>
        <w:t>להאריך בהם יותר, וישנם סוגיות שנאלצתי לקצר, ומיעוט מהסוגיות לא הספקתי לכתוב כלל.</w:t>
      </w:r>
    </w:p>
    <w:p w:rsidR="000F071D" w:rsidRPr="0050146A"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 xml:space="preserve">בראש ובראשונה נתונה התודה </w:t>
      </w:r>
      <w:r w:rsidRPr="0089143A">
        <w:rPr>
          <w:rFonts w:ascii="Guttman Hodes" w:eastAsia="Guttman Hodes" w:hAnsi="Guttman Hodes" w:cs="Guttman Hodes" w:hint="cs"/>
          <w:b/>
          <w:bCs/>
          <w:sz w:val="18"/>
          <w:szCs w:val="18"/>
          <w:rtl/>
        </w:rPr>
        <w:t>למורינו ראש הכולל הגאון</w:t>
      </w:r>
      <w:r w:rsidRPr="0050146A">
        <w:rPr>
          <w:rFonts w:ascii="Guttman Hodes" w:eastAsia="Guttman Hodes" w:hAnsi="Guttman Hodes" w:cs="Guttman Hodes" w:hint="cs"/>
          <w:b/>
          <w:bCs/>
          <w:sz w:val="18"/>
          <w:szCs w:val="18"/>
          <w:rtl/>
        </w:rPr>
        <w:t xml:space="preserve"> רבי יוסף יעקב מן שליט"א</w:t>
      </w:r>
      <w:r w:rsidRPr="0050146A">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00E64DBC" w:rsidRPr="00A414D0">
        <w:rPr>
          <w:rFonts w:ascii="Guttman Hodes" w:eastAsia="Guttman Hodes" w:hAnsi="Guttman Hodes" w:cs="Guttman Hodes" w:hint="cs"/>
          <w:b/>
          <w:bCs/>
          <w:sz w:val="18"/>
          <w:szCs w:val="18"/>
          <w:rtl/>
        </w:rPr>
        <w:t xml:space="preserve">ומסור בכל לבו ונפשו </w:t>
      </w:r>
      <w:r w:rsidRPr="00A414D0">
        <w:rPr>
          <w:rFonts w:ascii="Guttman Hodes" w:eastAsia="Guttman Hodes" w:hAnsi="Guttman Hodes" w:cs="Guttman Hodes" w:hint="cs"/>
          <w:b/>
          <w:bCs/>
          <w:sz w:val="18"/>
          <w:szCs w:val="18"/>
          <w:rtl/>
        </w:rPr>
        <w:t>לראות איך כל אברך ואברך יקיף בעיון את כל הסוגית מכל עבריה מחד, ומאידך יספיק ללמוד בהספק גדול ככל הניתן</w:t>
      </w:r>
      <w:r w:rsidRPr="00A414D0">
        <w:rPr>
          <w:rFonts w:ascii="Guttman Hodes" w:eastAsia="Guttman Hodes" w:hAnsi="Guttman Hodes" w:cs="Guttman Hodes" w:hint="cs"/>
          <w:sz w:val="18"/>
          <w:szCs w:val="18"/>
          <w:rtl/>
        </w:rPr>
        <w:t>,</w:t>
      </w:r>
      <w:r w:rsidRPr="0050146A">
        <w:rPr>
          <w:rtl/>
        </w:rPr>
        <w:t xml:space="preserve"> </w:t>
      </w:r>
      <w:r w:rsidRPr="0050146A">
        <w:rPr>
          <w:rFonts w:ascii="Guttman Hodes" w:eastAsia="Guttman Hodes" w:hAnsi="Guttman Hodes" w:cs="Guttman Hodes" w:hint="cs"/>
          <w:sz w:val="18"/>
          <w:szCs w:val="18"/>
          <w:rtl/>
        </w:rPr>
        <w:t xml:space="preserve">וכל זאת בהשקפה גדולה להמשיך את צורת הישיבה, כפי שהנחילו אביו </w:t>
      </w:r>
      <w:r w:rsidR="00E64DBC">
        <w:rPr>
          <w:rFonts w:ascii="Guttman Hodes" w:eastAsia="Guttman Hodes" w:hAnsi="Guttman Hodes" w:cs="Guttman Hodes" w:hint="cs"/>
          <w:sz w:val="18"/>
          <w:szCs w:val="18"/>
          <w:rtl/>
        </w:rPr>
        <w:t xml:space="preserve">מרן </w:t>
      </w:r>
      <w:r w:rsidRPr="0050146A">
        <w:rPr>
          <w:rFonts w:ascii="Guttman Hodes" w:eastAsia="Guttman Hodes" w:hAnsi="Guttman Hodes" w:cs="Guttman Hodes" w:hint="cs"/>
          <w:sz w:val="18"/>
          <w:szCs w:val="18"/>
          <w:rtl/>
        </w:rPr>
        <w:t>הגאון הגדול רבי מרדכי לייב מן זצוק"ל, הברכה אחת היא שיזכה להגדיל תורה ולהאדירה, וירחיב ה' את גבולו בעמלי תורה, מתוך מנוחת הדעת ושלוות הנפש.</w:t>
      </w:r>
    </w:p>
    <w:p w:rsidR="000F071D" w:rsidRPr="0050146A"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 xml:space="preserve">כאן המקום להודות ולהכיר טובה, לכל רבותי שלימדוני תורה, והעמידוני בקרן אורה, ולימדוני את דרכי הלימוד הגירסא ההבנה והסברא, </w:t>
      </w:r>
      <w:r w:rsidR="00E6343E">
        <w:rPr>
          <w:rFonts w:ascii="Guttman Hodes" w:eastAsia="Guttman Hodes" w:hAnsi="Guttman Hodes" w:cs="Guttman Hodes" w:hint="cs"/>
          <w:sz w:val="18"/>
          <w:szCs w:val="18"/>
          <w:rtl/>
        </w:rPr>
        <w:t>ואברכם בברכת כהן, ש</w:t>
      </w:r>
      <w:r w:rsidRPr="0050146A">
        <w:rPr>
          <w:rFonts w:ascii="Guttman Hodes" w:eastAsia="Guttman Hodes" w:hAnsi="Guttman Hodes" w:cs="Guttman Hodes" w:hint="cs"/>
          <w:sz w:val="18"/>
          <w:szCs w:val="18"/>
          <w:rtl/>
        </w:rPr>
        <w:t>יזכו להמשיך ולהרביץ תורה, ולהעמיד תלמידים הרבה, מעוטרים בכתרה של תורה.</w:t>
      </w:r>
    </w:p>
    <w:p w:rsidR="000F071D" w:rsidRPr="0050146A"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 xml:space="preserve">וכן אודה לכל בני החבורה בישיבת בית הלל כל אחד ואחד לפי מעלתו, אשר היו שותפים בעצה ובתבונה והאירו עיני בהרבה ענינים, </w:t>
      </w:r>
      <w:r w:rsidR="00E6343E">
        <w:rPr>
          <w:rFonts w:ascii="Guttman Hodes" w:eastAsia="Guttman Hodes" w:hAnsi="Guttman Hodes" w:cs="Guttman Hodes" w:hint="cs"/>
          <w:sz w:val="18"/>
          <w:szCs w:val="18"/>
          <w:rtl/>
        </w:rPr>
        <w:t>ופעמים רבות עד למאוד תיקנו והעירו על כל הדרו</w:t>
      </w:r>
      <w:r w:rsidR="00DD130B">
        <w:rPr>
          <w:rFonts w:ascii="Guttman Hodes" w:eastAsia="Guttman Hodes" w:hAnsi="Guttman Hodes" w:cs="Guttman Hodes" w:hint="cs"/>
          <w:sz w:val="18"/>
          <w:szCs w:val="18"/>
          <w:rtl/>
        </w:rPr>
        <w:t>ש</w:t>
      </w:r>
      <w:r w:rsidR="00E6343E">
        <w:rPr>
          <w:rFonts w:ascii="Guttman Hodes" w:eastAsia="Guttman Hodes" w:hAnsi="Guttman Hodes" w:cs="Guttman Hodes" w:hint="cs"/>
          <w:sz w:val="18"/>
          <w:szCs w:val="18"/>
          <w:rtl/>
        </w:rPr>
        <w:t xml:space="preserve"> תיקון, </w:t>
      </w:r>
      <w:r w:rsidRPr="0050146A">
        <w:rPr>
          <w:rFonts w:ascii="Guttman Hodes" w:eastAsia="Guttman Hodes" w:hAnsi="Guttman Hodes" w:cs="Guttman Hodes" w:hint="cs"/>
          <w:sz w:val="18"/>
          <w:szCs w:val="18"/>
          <w:rtl/>
        </w:rPr>
        <w:t>וניתן לומר שהכתיבה היתה כידא אריכתא של בני הכולל, אברכם שיזכו להמשיך לעמול ולהתיגע בתורה, ולא תמוש התורה מפיהם ומפי זרעם עד עולם.</w:t>
      </w:r>
    </w:p>
    <w:p w:rsidR="000F071D" w:rsidRPr="0050146A"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 xml:space="preserve">וכן אודה לכל הת"ח הגדולים </w:t>
      </w:r>
      <w:r w:rsidRPr="00E6343E">
        <w:rPr>
          <w:rFonts w:ascii="Guttman Hodes" w:eastAsia="Guttman Hodes" w:hAnsi="Guttman Hodes" w:cs="Guttman Hodes" w:hint="cs"/>
          <w:b/>
          <w:bCs/>
          <w:sz w:val="18"/>
          <w:szCs w:val="18"/>
          <w:rtl/>
        </w:rPr>
        <w:t>מחברי הספרים והמראי מקומות על פרק חזקת הבתים</w:t>
      </w:r>
      <w:r w:rsidRPr="0050146A">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89143A">
        <w:rPr>
          <w:rFonts w:ascii="Guttman Hodes" w:eastAsia="Guttman Hodes" w:hAnsi="Guttman Hodes" w:cs="Guttman Hodes" w:hint="cs"/>
          <w:b/>
          <w:bCs/>
          <w:sz w:val="18"/>
          <w:szCs w:val="18"/>
          <w:rtl/>
        </w:rPr>
        <w:t>שנעזרתי בהם רבות בלימוד המסכת</w:t>
      </w:r>
      <w:r w:rsidRPr="0050146A">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rsidR="000F071D" w:rsidRPr="0050146A"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rsidR="000F071D" w:rsidRPr="0050146A"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rsidR="000F071D" w:rsidRPr="0050146A" w:rsidRDefault="000F071D" w:rsidP="00B2187A">
      <w:pPr>
        <w:spacing w:before="240" w:line="240" w:lineRule="auto"/>
        <w:ind w:left="0"/>
        <w:rPr>
          <w:rFonts w:ascii="Guttman Hodes" w:eastAsia="Guttman Hodes" w:hAnsi="Guttman Hodes" w:cs="Guttman Hodes"/>
          <w:sz w:val="18"/>
          <w:szCs w:val="18"/>
          <w:rtl/>
        </w:rPr>
      </w:pPr>
      <w:r w:rsidRPr="0050146A">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rsidR="000F071D" w:rsidRPr="0050146A" w:rsidRDefault="000F071D" w:rsidP="00B2187A">
      <w:pPr>
        <w:spacing w:before="240" w:line="240" w:lineRule="auto"/>
        <w:ind w:left="0"/>
        <w:rPr>
          <w:rFonts w:ascii="Guttman Hodes" w:eastAsia="Guttman Hodes" w:hAnsi="Guttman Hodes" w:cs="Guttman Hodes"/>
          <w:sz w:val="18"/>
          <w:szCs w:val="18"/>
          <w:rtl/>
        </w:rPr>
      </w:pPr>
    </w:p>
    <w:p w:rsidR="000F071D" w:rsidRDefault="000F071D" w:rsidP="00B2187A">
      <w:pPr>
        <w:pStyle w:val="11"/>
        <w:jc w:val="right"/>
        <w:rPr>
          <w:sz w:val="18"/>
          <w:szCs w:val="18"/>
          <w:rtl/>
        </w:rPr>
      </w:pPr>
    </w:p>
    <w:p w:rsidR="000F071D" w:rsidRDefault="000F071D" w:rsidP="00B2187A">
      <w:pPr>
        <w:pStyle w:val="11"/>
        <w:jc w:val="right"/>
        <w:rPr>
          <w:sz w:val="18"/>
          <w:szCs w:val="18"/>
          <w:rtl/>
        </w:rPr>
      </w:pPr>
    </w:p>
    <w:p w:rsidR="000F071D" w:rsidRPr="0050146A" w:rsidRDefault="000F071D" w:rsidP="00B2187A">
      <w:pPr>
        <w:pStyle w:val="11"/>
        <w:jc w:val="right"/>
        <w:rPr>
          <w:sz w:val="18"/>
          <w:szCs w:val="18"/>
          <w:rtl/>
        </w:rPr>
      </w:pPr>
      <w:r w:rsidRPr="0050146A">
        <w:rPr>
          <w:rFonts w:hint="cs"/>
          <w:sz w:val="18"/>
          <w:szCs w:val="18"/>
          <w:rtl/>
        </w:rPr>
        <w:t>שלמה זושא הכהן הנדל</w:t>
      </w:r>
    </w:p>
    <w:p w:rsidR="000F071D" w:rsidRPr="0050146A" w:rsidRDefault="000F071D" w:rsidP="00B2187A">
      <w:pPr>
        <w:pStyle w:val="11"/>
        <w:jc w:val="right"/>
        <w:rPr>
          <w:sz w:val="18"/>
          <w:szCs w:val="18"/>
          <w:rtl/>
        </w:rPr>
      </w:pPr>
      <w:r w:rsidRPr="0050146A">
        <w:rPr>
          <w:rFonts w:hint="cs"/>
          <w:sz w:val="18"/>
          <w:szCs w:val="18"/>
          <w:rtl/>
        </w:rPr>
        <w:t>ישיבת בית הלל בני ברק</w:t>
      </w:r>
    </w:p>
    <w:p w:rsidR="000F071D" w:rsidRPr="0050146A" w:rsidRDefault="000F071D" w:rsidP="00B2187A">
      <w:pPr>
        <w:bidi w:val="0"/>
        <w:spacing w:line="240" w:lineRule="auto"/>
        <w:ind w:left="0"/>
        <w:jc w:val="left"/>
        <w:rPr>
          <w:rFonts w:eastAsia="Guttman Hodes" w:cs="Guttman Hodes"/>
          <w:sz w:val="18"/>
          <w:szCs w:val="18"/>
        </w:rPr>
        <w:sectPr w:rsidR="000F071D" w:rsidRPr="0050146A">
          <w:headerReference w:type="default" r:id="rId11"/>
          <w:pgSz w:w="11906" w:h="16838"/>
          <w:pgMar w:top="720" w:right="720" w:bottom="720" w:left="720" w:header="283" w:footer="283" w:gutter="0"/>
          <w:pgNumType w:fmt="hebrew1"/>
          <w:cols w:space="720"/>
          <w:bidi/>
          <w:rtlGutter/>
        </w:sectPr>
      </w:pPr>
    </w:p>
    <w:p w:rsidR="000F071D" w:rsidRPr="0050146A" w:rsidRDefault="000F071D" w:rsidP="00B2187A">
      <w:pPr>
        <w:spacing w:line="240" w:lineRule="auto"/>
        <w:ind w:left="0"/>
        <w:jc w:val="center"/>
        <w:rPr>
          <w:rFonts w:ascii="Guttman Hodes" w:eastAsia="Guttman Hodes" w:hAnsi="Guttman Hodes" w:cs="Guttman Hodes"/>
          <w:b/>
          <w:bCs/>
        </w:rPr>
      </w:pPr>
    </w:p>
    <w:p w:rsidR="00B2187A" w:rsidRDefault="00B2187A" w:rsidP="00B2187A">
      <w:pPr>
        <w:spacing w:line="240" w:lineRule="auto"/>
        <w:ind w:left="0"/>
        <w:jc w:val="center"/>
        <w:rPr>
          <w:rFonts w:ascii="Calibri" w:eastAsia="Calibri" w:hAnsi="Calibri" w:cs="Guttman Hodes"/>
          <w:rtl/>
        </w:rPr>
      </w:pPr>
      <w:r w:rsidRPr="00553801">
        <w:rPr>
          <w:rFonts w:ascii="Calibri" w:eastAsia="Calibri" w:hAnsi="Calibri" w:cs="Guttman Hodes"/>
          <w:b/>
          <w:bCs/>
          <w:noProof/>
          <w:sz w:val="28"/>
          <w:szCs w:val="28"/>
          <w:rtl/>
        </w:rPr>
        <mc:AlternateContent>
          <mc:Choice Requires="wps">
            <w:drawing>
              <wp:anchor distT="45720" distB="45720" distL="114300" distR="114300" simplePos="0" relativeHeight="251671552" behindDoc="1" locked="0" layoutInCell="1" allowOverlap="1" wp14:anchorId="49845D9E" wp14:editId="76086524">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rsidR="00265073" w:rsidRDefault="00265073" w:rsidP="00B2187A">
                            <w:pPr>
                              <w:jc w:val="center"/>
                              <w:rPr>
                                <w:rFonts w:cs="Guttman Hodes"/>
                                <w:rtl/>
                                <w:cs/>
                              </w:rPr>
                            </w:pPr>
                          </w:p>
                          <w:p w:rsidR="00265073" w:rsidRDefault="00265073" w:rsidP="00B2187A">
                            <w:pPr>
                              <w:jc w:val="center"/>
                              <w:rPr>
                                <w:rFonts w:cs="Guttman Hodes"/>
                                <w:rtl/>
                                <w:cs/>
                              </w:rPr>
                            </w:pPr>
                          </w:p>
                          <w:p w:rsidR="00265073" w:rsidRDefault="00265073" w:rsidP="00B2187A">
                            <w:pPr>
                              <w:jc w:val="center"/>
                              <w:rPr>
                                <w:rFonts w:cs="Guttman Hodes"/>
                                <w:rtl/>
                                <w:cs/>
                              </w:rPr>
                            </w:pPr>
                          </w:p>
                          <w:p w:rsidR="00265073" w:rsidRPr="005723BD" w:rsidRDefault="00265073" w:rsidP="00B2187A">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9845D9E" id="_x0000_s1028" style="position:absolute;left:0;text-align:left;margin-left:28.5pt;margin-top:1.5pt;width:361.35pt;height:157.5pt;flip:x;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rsidR="00265073" w:rsidRDefault="00265073" w:rsidP="00B2187A">
                      <w:pPr>
                        <w:jc w:val="center"/>
                        <w:rPr>
                          <w:rFonts w:cs="Guttman Hodes"/>
                          <w:rtl/>
                          <w:cs/>
                        </w:rPr>
                      </w:pPr>
                    </w:p>
                    <w:p w:rsidR="00265073" w:rsidRDefault="00265073" w:rsidP="00B2187A">
                      <w:pPr>
                        <w:jc w:val="center"/>
                        <w:rPr>
                          <w:rFonts w:cs="Guttman Hodes"/>
                          <w:rtl/>
                          <w:cs/>
                        </w:rPr>
                      </w:pPr>
                    </w:p>
                    <w:p w:rsidR="00265073" w:rsidRDefault="00265073" w:rsidP="00B2187A">
                      <w:pPr>
                        <w:jc w:val="center"/>
                        <w:rPr>
                          <w:rFonts w:cs="Guttman Hodes"/>
                          <w:rtl/>
                          <w:cs/>
                        </w:rPr>
                      </w:pPr>
                    </w:p>
                    <w:p w:rsidR="00265073" w:rsidRPr="005723BD" w:rsidRDefault="00265073" w:rsidP="00B2187A">
                      <w:pPr>
                        <w:jc w:val="center"/>
                        <w:rPr>
                          <w:rFonts w:cs="Guttman Hodes"/>
                          <w:rtl/>
                          <w:cs/>
                        </w:rPr>
                      </w:pPr>
                    </w:p>
                  </w:txbxContent>
                </v:textbox>
              </v:roundrect>
            </w:pict>
          </mc:Fallback>
        </mc:AlternateContent>
      </w:r>
    </w:p>
    <w:p w:rsidR="00B2187A" w:rsidRPr="00553801" w:rsidRDefault="00B2187A" w:rsidP="00B2187A">
      <w:pPr>
        <w:spacing w:line="240" w:lineRule="auto"/>
        <w:ind w:left="0"/>
        <w:jc w:val="center"/>
        <w:rPr>
          <w:rFonts w:ascii="Calibri" w:eastAsia="Calibri" w:hAnsi="Calibri" w:cs="Guttman Hodes"/>
          <w:b/>
          <w:bCs/>
          <w:sz w:val="28"/>
          <w:szCs w:val="28"/>
          <w:rtl/>
        </w:rPr>
      </w:pPr>
      <w:r w:rsidRPr="00553801">
        <w:rPr>
          <w:rFonts w:ascii="Calibri" w:eastAsia="Calibri" w:hAnsi="Calibri" w:cs="Guttman Hodes" w:hint="cs"/>
          <w:b/>
          <w:bCs/>
          <w:sz w:val="28"/>
          <w:szCs w:val="28"/>
          <w:rtl/>
        </w:rPr>
        <w:t>לזכר עולם יהיה צדיק</w:t>
      </w:r>
    </w:p>
    <w:p w:rsidR="00B2187A" w:rsidRPr="00553801" w:rsidRDefault="00B2187A" w:rsidP="00B2187A">
      <w:pPr>
        <w:spacing w:line="240" w:lineRule="auto"/>
        <w:ind w:left="0"/>
        <w:jc w:val="center"/>
        <w:rPr>
          <w:rFonts w:ascii="Calibri" w:eastAsia="Calibri" w:hAnsi="Calibri" w:cs="Guttman Hodes"/>
          <w:rtl/>
        </w:rPr>
      </w:pPr>
      <w:r w:rsidRPr="00553801">
        <w:rPr>
          <w:rFonts w:ascii="Calibri" w:eastAsia="Calibri" w:hAnsi="Calibri" w:cs="Guttman Hodes" w:hint="cs"/>
          <w:rtl/>
        </w:rPr>
        <w:t>לע"נ מוח"ז הגה"ק</w:t>
      </w:r>
    </w:p>
    <w:p w:rsidR="00B2187A" w:rsidRPr="00553801" w:rsidRDefault="00B2187A" w:rsidP="00B2187A">
      <w:pPr>
        <w:spacing w:line="240" w:lineRule="auto"/>
        <w:ind w:left="0"/>
        <w:jc w:val="center"/>
        <w:rPr>
          <w:rFonts w:ascii="Calibri" w:eastAsia="Calibri" w:hAnsi="Calibri" w:cs="Guttman Hodes"/>
          <w:rtl/>
        </w:rPr>
      </w:pPr>
      <w:r w:rsidRPr="00553801">
        <w:rPr>
          <w:rFonts w:ascii="Calibri" w:eastAsia="Calibri" w:hAnsi="Calibri" w:cs="Guttman Hodes" w:hint="cs"/>
          <w:rtl/>
        </w:rPr>
        <w:t xml:space="preserve">רבי </w:t>
      </w:r>
      <w:r w:rsidRPr="00553801">
        <w:rPr>
          <w:rFonts w:ascii="Calibri" w:eastAsia="Calibri" w:hAnsi="Calibri" w:cs="Guttman Hodes" w:hint="cs"/>
          <w:b/>
          <w:bCs/>
          <w:sz w:val="28"/>
          <w:szCs w:val="28"/>
          <w:rtl/>
        </w:rPr>
        <w:t xml:space="preserve">חיים משה </w:t>
      </w:r>
      <w:r w:rsidRPr="00553801">
        <w:rPr>
          <w:rFonts w:ascii="Calibri" w:eastAsia="Calibri" w:hAnsi="Calibri" w:cs="Guttman Hodes" w:hint="cs"/>
          <w:rtl/>
        </w:rPr>
        <w:t xml:space="preserve">ב"ר מאיר יוסף </w:t>
      </w:r>
      <w:r w:rsidRPr="00553801">
        <w:rPr>
          <w:rFonts w:ascii="Calibri" w:eastAsia="Calibri" w:hAnsi="Calibri" w:cs="Guttman Hodes" w:hint="cs"/>
          <w:b/>
          <w:bCs/>
          <w:sz w:val="28"/>
          <w:szCs w:val="28"/>
          <w:rtl/>
        </w:rPr>
        <w:t>מנדל</w:t>
      </w:r>
      <w:r w:rsidRPr="00553801">
        <w:rPr>
          <w:rFonts w:ascii="Calibri" w:eastAsia="Calibri" w:hAnsi="Calibri" w:cs="Guttman Hodes" w:hint="cs"/>
          <w:rtl/>
        </w:rPr>
        <w:t xml:space="preserve"> זצוקלל"ה</w:t>
      </w:r>
    </w:p>
    <w:p w:rsidR="00B2187A" w:rsidRPr="00553801" w:rsidRDefault="00B2187A" w:rsidP="00B2187A">
      <w:pPr>
        <w:spacing w:line="240" w:lineRule="auto"/>
        <w:ind w:left="0"/>
        <w:jc w:val="center"/>
        <w:rPr>
          <w:rFonts w:ascii="Calibri" w:eastAsia="Calibri" w:hAnsi="Calibri" w:cs="Guttman Hodes"/>
          <w:rtl/>
        </w:rPr>
      </w:pPr>
      <w:r w:rsidRPr="00553801">
        <w:rPr>
          <w:rFonts w:ascii="Calibri" w:eastAsia="Calibri" w:hAnsi="Calibri" w:cs="Guttman Hodes" w:hint="cs"/>
          <w:rtl/>
        </w:rPr>
        <w:t>נלב"ע ד' תמוז</w:t>
      </w:r>
    </w:p>
    <w:p w:rsidR="00B2187A" w:rsidRPr="00553801" w:rsidRDefault="00B2187A" w:rsidP="00B2187A">
      <w:pPr>
        <w:spacing w:line="240" w:lineRule="auto"/>
        <w:ind w:left="0"/>
        <w:jc w:val="center"/>
        <w:rPr>
          <w:rFonts w:ascii="Calibri" w:eastAsia="Calibri" w:hAnsi="Calibri" w:cs="Guttman Hodes"/>
          <w:rtl/>
        </w:rPr>
      </w:pPr>
      <w:r w:rsidRPr="00553801">
        <w:rPr>
          <w:rFonts w:ascii="Calibri" w:eastAsia="Calibri" w:hAnsi="Calibri" w:cs="Guttman Hodes" w:hint="cs"/>
          <w:rtl/>
        </w:rPr>
        <w:t>ת.נ.צ.ב.ה.</w:t>
      </w:r>
    </w:p>
    <w:p w:rsidR="00B2187A" w:rsidRPr="00553801" w:rsidRDefault="00B2187A" w:rsidP="00B2187A">
      <w:pPr>
        <w:spacing w:line="240" w:lineRule="auto"/>
        <w:ind w:left="0"/>
        <w:jc w:val="center"/>
        <w:rPr>
          <w:rFonts w:ascii="Calibri" w:eastAsia="Calibri" w:hAnsi="Calibri" w:cs="Guttman Hodes"/>
          <w:rtl/>
        </w:rPr>
      </w:pPr>
    </w:p>
    <w:p w:rsidR="00B2187A" w:rsidRPr="00465A71" w:rsidRDefault="00B2187A" w:rsidP="00B2187A">
      <w:pPr>
        <w:spacing w:line="240" w:lineRule="auto"/>
        <w:ind w:left="0"/>
        <w:jc w:val="center"/>
        <w:rPr>
          <w:rFonts w:ascii="Calibri" w:eastAsia="Calibri" w:hAnsi="Calibri" w:cs="Guttman Hodes"/>
          <w:rtl/>
        </w:rPr>
      </w:pPr>
      <w:r w:rsidRPr="00465A71">
        <w:rPr>
          <w:rFonts w:ascii="Calibri" w:eastAsia="Calibri" w:hAnsi="Calibri" w:cs="Guttman Hodes" w:hint="cs"/>
          <w:rtl/>
        </w:rPr>
        <w:t xml:space="preserve">ורעיתו </w:t>
      </w:r>
      <w:r>
        <w:rPr>
          <w:rFonts w:ascii="Calibri" w:eastAsia="Calibri" w:hAnsi="Calibri" w:cs="Guttman Hodes" w:hint="cs"/>
          <w:rtl/>
        </w:rPr>
        <w:t xml:space="preserve">הרבנית </w:t>
      </w:r>
      <w:r w:rsidRPr="00465A71">
        <w:rPr>
          <w:rFonts w:ascii="Calibri" w:eastAsia="Calibri" w:hAnsi="Calibri" w:cs="Guttman Hodes" w:hint="cs"/>
          <w:rtl/>
        </w:rPr>
        <w:t>מרת פערל ע"ה ב"ר ישראל זצ</w:t>
      </w:r>
      <w:r>
        <w:rPr>
          <w:rFonts w:ascii="Calibri" w:eastAsia="Calibri" w:hAnsi="Calibri" w:cs="Guttman Hodes" w:hint="cs"/>
          <w:rtl/>
        </w:rPr>
        <w:t>וק</w:t>
      </w:r>
      <w:r w:rsidRPr="00465A71">
        <w:rPr>
          <w:rFonts w:ascii="Calibri" w:eastAsia="Calibri" w:hAnsi="Calibri" w:cs="Guttman Hodes" w:hint="cs"/>
          <w:rtl/>
        </w:rPr>
        <w:t>"ל</w:t>
      </w:r>
    </w:p>
    <w:p w:rsidR="00B2187A" w:rsidRPr="00553801" w:rsidRDefault="00B2187A" w:rsidP="00B2187A">
      <w:pPr>
        <w:spacing w:line="240" w:lineRule="auto"/>
        <w:ind w:left="0"/>
        <w:jc w:val="center"/>
        <w:rPr>
          <w:rFonts w:ascii="Calibri" w:eastAsia="Calibri" w:hAnsi="Calibri" w:cs="Guttman Hodes"/>
          <w:rtl/>
        </w:rPr>
      </w:pPr>
      <w:r w:rsidRPr="00553801">
        <w:rPr>
          <w:rFonts w:ascii="Calibri" w:eastAsia="Calibri" w:hAnsi="Calibri" w:cs="Guttman Hodes" w:hint="cs"/>
          <w:rtl/>
        </w:rPr>
        <w:t>נלב"ע ג' חשון</w:t>
      </w:r>
    </w:p>
    <w:p w:rsidR="00B2187A" w:rsidRPr="00553801" w:rsidRDefault="00B2187A" w:rsidP="00B2187A">
      <w:pPr>
        <w:spacing w:line="240" w:lineRule="auto"/>
        <w:ind w:left="0"/>
        <w:jc w:val="center"/>
        <w:rPr>
          <w:rFonts w:ascii="Calibri" w:eastAsia="Calibri" w:hAnsi="Calibri" w:cs="Guttman Hodes"/>
          <w:rtl/>
        </w:rPr>
      </w:pPr>
      <w:r w:rsidRPr="00553801">
        <w:rPr>
          <w:rFonts w:ascii="Calibri" w:eastAsia="Calibri" w:hAnsi="Calibri" w:cs="Guttman Hodes" w:hint="cs"/>
          <w:rtl/>
        </w:rPr>
        <w:t>ת.נ.צ.ב.ה.</w:t>
      </w:r>
    </w:p>
    <w:p w:rsidR="00B2187A" w:rsidRPr="00553801" w:rsidRDefault="00B2187A" w:rsidP="00B2187A">
      <w:pPr>
        <w:spacing w:line="240" w:lineRule="auto"/>
        <w:ind w:left="0"/>
        <w:jc w:val="center"/>
        <w:rPr>
          <w:rFonts w:ascii="Calibri" w:eastAsia="Calibri" w:hAnsi="Calibri" w:cs="Guttman Hodes"/>
          <w:rtl/>
        </w:rPr>
      </w:pPr>
      <w:r w:rsidRPr="00553801">
        <w:rPr>
          <w:rFonts w:ascii="Calibri" w:eastAsia="Calibri" w:hAnsi="Calibri" w:cs="Arial"/>
          <w:noProof/>
          <w:rtl/>
        </w:rPr>
        <mc:AlternateContent>
          <mc:Choice Requires="wps">
            <w:drawing>
              <wp:anchor distT="45720" distB="45720" distL="114300" distR="114300" simplePos="0" relativeHeight="251670528" behindDoc="1" locked="0" layoutInCell="1" allowOverlap="1" wp14:anchorId="3B1D01C0" wp14:editId="62D8FD56">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rsidR="00265073" w:rsidRDefault="00265073" w:rsidP="00B2187A">
                            <w:pPr>
                              <w:jc w:val="center"/>
                              <w:rPr>
                                <w:rFonts w:cs="Guttman Hodes"/>
                                <w:rtl/>
                                <w:cs/>
                              </w:rPr>
                            </w:pPr>
                          </w:p>
                          <w:p w:rsidR="00265073" w:rsidRDefault="00265073" w:rsidP="00B2187A">
                            <w:pPr>
                              <w:jc w:val="center"/>
                              <w:rPr>
                                <w:rFonts w:cs="Guttman Hodes"/>
                                <w:rtl/>
                                <w:cs/>
                              </w:rPr>
                            </w:pPr>
                          </w:p>
                          <w:p w:rsidR="00265073" w:rsidRPr="005723BD" w:rsidRDefault="00265073" w:rsidP="00B2187A">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B1D01C0" id="תיבת טקסט 34" o:spid="_x0000_s1029" style="position:absolute;left:0;text-align:left;margin-left:-26.35pt;margin-top:15.3pt;width:472.75pt;height:356.3pt;flip:x;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rsidR="00265073" w:rsidRDefault="00265073" w:rsidP="00B2187A">
                      <w:pPr>
                        <w:jc w:val="center"/>
                        <w:rPr>
                          <w:rFonts w:cs="Guttman Hodes"/>
                          <w:rtl/>
                          <w:cs/>
                        </w:rPr>
                      </w:pPr>
                    </w:p>
                    <w:p w:rsidR="00265073" w:rsidRDefault="00265073" w:rsidP="00B2187A">
                      <w:pPr>
                        <w:jc w:val="center"/>
                        <w:rPr>
                          <w:rFonts w:cs="Guttman Hodes"/>
                          <w:rtl/>
                          <w:cs/>
                        </w:rPr>
                      </w:pPr>
                    </w:p>
                    <w:p w:rsidR="00265073" w:rsidRPr="005723BD" w:rsidRDefault="00265073" w:rsidP="00B2187A">
                      <w:pPr>
                        <w:jc w:val="center"/>
                        <w:rPr>
                          <w:rFonts w:cs="Guttman Hodes"/>
                          <w:rtl/>
                          <w:cs/>
                        </w:rPr>
                      </w:pPr>
                    </w:p>
                  </w:txbxContent>
                </v:textbox>
                <w10:wrap anchorx="margin"/>
              </v:roundrect>
            </w:pict>
          </mc:Fallback>
        </mc:AlternateContent>
      </w:r>
    </w:p>
    <w:p w:rsidR="00B2187A" w:rsidRPr="00553801" w:rsidRDefault="00B2187A" w:rsidP="00B2187A">
      <w:pPr>
        <w:spacing w:line="240" w:lineRule="auto"/>
        <w:ind w:left="0"/>
        <w:jc w:val="center"/>
        <w:rPr>
          <w:rFonts w:ascii="Calibri" w:eastAsia="Calibri" w:hAnsi="Calibri" w:cs="Guttman Hodes"/>
          <w:rtl/>
        </w:rPr>
        <w:sectPr w:rsidR="00B2187A" w:rsidRPr="00553801" w:rsidSect="000F071D">
          <w:pgSz w:w="11906" w:h="16838"/>
          <w:pgMar w:top="1440" w:right="1800" w:bottom="1440" w:left="1800" w:header="708" w:footer="708" w:gutter="0"/>
          <w:cols w:space="709"/>
          <w:bidi/>
          <w:rtlGutter/>
          <w:docGrid w:linePitch="360"/>
        </w:sectPr>
      </w:pPr>
    </w:p>
    <w:p w:rsidR="00B2187A" w:rsidRPr="00A4779E" w:rsidRDefault="00B2187A" w:rsidP="00B2187A">
      <w:pPr>
        <w:spacing w:line="240" w:lineRule="auto"/>
        <w:ind w:left="0"/>
        <w:jc w:val="center"/>
        <w:rPr>
          <w:rFonts w:ascii="Calibri" w:eastAsia="Calibri" w:hAnsi="Calibri" w:cs="Guttman Hodes"/>
          <w:sz w:val="20"/>
          <w:szCs w:val="20"/>
          <w:rtl/>
        </w:rPr>
      </w:pP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דוד משה הכהן הנדל זצ"ל</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בן ציון ז"ל</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ט"ו אב</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ורעיתו א"ז מרת רחל פייגא הנדל ע"ה</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אהרן הי"ד</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ח' טבת</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rsidR="00B2187A" w:rsidRPr="00C54D53" w:rsidRDefault="00B2187A" w:rsidP="00B2187A">
      <w:pPr>
        <w:spacing w:line="240" w:lineRule="auto"/>
        <w:ind w:left="0"/>
        <w:jc w:val="center"/>
        <w:rPr>
          <w:rFonts w:ascii="Calibri" w:eastAsia="Calibri" w:hAnsi="Calibri" w:cs="Guttman Hodes"/>
          <w:sz w:val="18"/>
          <w:szCs w:val="18"/>
          <w:rtl/>
        </w:rPr>
      </w:pPr>
      <w:r w:rsidRPr="00C54D53">
        <w:rPr>
          <w:rFonts w:ascii="Calibri" w:eastAsia="Calibri" w:hAnsi="Calibri" w:cs="Guttman Hodes" w:hint="cs"/>
          <w:sz w:val="18"/>
          <w:szCs w:val="18"/>
          <w:rtl/>
        </w:rPr>
        <w:t>הרב שמחה גרינבוים זצ"ל</w:t>
      </w:r>
    </w:p>
    <w:p w:rsidR="00B2187A" w:rsidRPr="00C54D53" w:rsidRDefault="00B2187A" w:rsidP="00B2187A">
      <w:pPr>
        <w:spacing w:line="240" w:lineRule="auto"/>
        <w:ind w:left="0"/>
        <w:jc w:val="center"/>
        <w:rPr>
          <w:rFonts w:ascii="Calibri" w:eastAsia="Calibri" w:hAnsi="Calibri" w:cs="Guttman Hodes"/>
          <w:sz w:val="18"/>
          <w:szCs w:val="18"/>
          <w:rtl/>
        </w:rPr>
      </w:pPr>
      <w:r w:rsidRPr="00C54D53">
        <w:rPr>
          <w:rFonts w:ascii="Calibri" w:eastAsia="Calibri" w:hAnsi="Calibri" w:cs="Guttman Hodes" w:hint="cs"/>
          <w:sz w:val="18"/>
          <w:szCs w:val="18"/>
          <w:rtl/>
        </w:rPr>
        <w:t>ב"ר יהודה זצ"ל</w:t>
      </w:r>
    </w:p>
    <w:p w:rsidR="00B2187A" w:rsidRPr="00C54D53" w:rsidRDefault="00B2187A" w:rsidP="00B2187A">
      <w:pPr>
        <w:spacing w:line="240" w:lineRule="auto"/>
        <w:ind w:left="0"/>
        <w:jc w:val="center"/>
        <w:rPr>
          <w:rFonts w:ascii="Calibri" w:eastAsia="Calibri" w:hAnsi="Calibri" w:cs="Guttman Hodes"/>
          <w:sz w:val="18"/>
          <w:szCs w:val="18"/>
          <w:rtl/>
        </w:rPr>
      </w:pPr>
      <w:r w:rsidRPr="00C54D53">
        <w:rPr>
          <w:rFonts w:ascii="Calibri" w:eastAsia="Calibri" w:hAnsi="Calibri" w:cs="Guttman Hodes" w:hint="cs"/>
          <w:sz w:val="18"/>
          <w:szCs w:val="18"/>
          <w:rtl/>
        </w:rPr>
        <w:t>נלב"ע כ"ג שבט</w:t>
      </w:r>
    </w:p>
    <w:p w:rsidR="00B2187A" w:rsidRPr="00C54D53" w:rsidRDefault="00B2187A" w:rsidP="00B2187A">
      <w:pPr>
        <w:spacing w:line="240" w:lineRule="auto"/>
        <w:ind w:left="0"/>
        <w:jc w:val="center"/>
        <w:rPr>
          <w:rFonts w:ascii="Calibri" w:eastAsia="Calibri" w:hAnsi="Calibri" w:cs="Guttman Hodes"/>
          <w:sz w:val="18"/>
          <w:szCs w:val="18"/>
          <w:rtl/>
        </w:rPr>
      </w:pPr>
      <w:r w:rsidRPr="00C54D53">
        <w:rPr>
          <w:rFonts w:ascii="Calibri" w:eastAsia="Calibri" w:hAnsi="Calibri" w:cs="Guttman Hodes" w:hint="cs"/>
          <w:sz w:val="18"/>
          <w:szCs w:val="18"/>
          <w:rtl/>
        </w:rPr>
        <w:t>ת.נ.צ.ב.ה.</w:t>
      </w: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לע"נ אא"ז</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יהודה גרינבוים זצ"ל</w:t>
      </w:r>
    </w:p>
    <w:p w:rsidR="00B2187A"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ב"ר שמחה זצ"ל </w:t>
      </w:r>
    </w:p>
    <w:p w:rsidR="00B2187A" w:rsidRPr="00A4779E" w:rsidRDefault="00B2187A" w:rsidP="00746868">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נלב"ע י"ב אב</w:t>
      </w:r>
    </w:p>
    <w:p w:rsidR="00265073" w:rsidRPr="00A4779E" w:rsidRDefault="00265073" w:rsidP="00265073">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6D60E1" w:rsidRDefault="006D60E1" w:rsidP="00B2187A">
      <w:pPr>
        <w:spacing w:line="240" w:lineRule="auto"/>
        <w:ind w:left="0"/>
        <w:jc w:val="center"/>
        <w:rPr>
          <w:rFonts w:ascii="Calibri" w:eastAsia="Calibri" w:hAnsi="Calibri" w:cs="Guttman Hodes"/>
          <w:sz w:val="18"/>
          <w:szCs w:val="18"/>
          <w:rtl/>
        </w:rPr>
      </w:pPr>
    </w:p>
    <w:p w:rsidR="00265073" w:rsidRDefault="00265073" w:rsidP="00B2187A">
      <w:pPr>
        <w:spacing w:line="240" w:lineRule="auto"/>
        <w:ind w:left="0"/>
        <w:jc w:val="center"/>
        <w:rPr>
          <w:rFonts w:ascii="Calibri" w:eastAsia="Calibri" w:hAnsi="Calibri" w:cs="Guttman Hodes"/>
          <w:sz w:val="18"/>
          <w:szCs w:val="18"/>
          <w:rtl/>
        </w:rPr>
      </w:pPr>
    </w:p>
    <w:p w:rsidR="00265073" w:rsidRDefault="00265073"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לע"ז מוח"ז</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 גבריאל שטרנפלד זצ"ל</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מיכאל ז"ל נלב"ע ז' ניסן</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ורעיתו מרת מרת רעכל שטרנפלד ע"ה</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ב"ר יוסף יצחק זצ"ל</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כ' כסליו</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לע"נ אמי זקנתי </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הרבנית מרת רחל לאה בירנצוויג ע"ה</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בת הרה"צ רבי חיים משה מנדל זצוק"ל </w:t>
      </w:r>
    </w:p>
    <w:p w:rsidR="00B2187A" w:rsidRPr="00A4779E"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י"א ניסן</w:t>
      </w:r>
    </w:p>
    <w:p w:rsidR="00B2187A" w:rsidRDefault="00B2187A" w:rsidP="00B2187A">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DB16DF" w:rsidRDefault="00DB16DF" w:rsidP="00B2187A">
      <w:pPr>
        <w:spacing w:line="240" w:lineRule="auto"/>
        <w:ind w:left="0"/>
        <w:jc w:val="center"/>
        <w:rPr>
          <w:rFonts w:ascii="Calibri" w:eastAsia="Calibri" w:hAnsi="Calibri" w:cs="Guttman Hodes"/>
          <w:sz w:val="18"/>
          <w:szCs w:val="18"/>
          <w:rtl/>
        </w:rPr>
      </w:pPr>
    </w:p>
    <w:p w:rsidR="006D60E1" w:rsidRDefault="006D60E1" w:rsidP="006D60E1">
      <w:pPr>
        <w:spacing w:line="240" w:lineRule="auto"/>
        <w:ind w:left="0"/>
        <w:jc w:val="center"/>
        <w:rPr>
          <w:rFonts w:ascii="Calibri" w:eastAsia="Calibri" w:hAnsi="Calibri" w:cs="Guttman Hodes"/>
          <w:sz w:val="16"/>
          <w:szCs w:val="16"/>
          <w:rtl/>
        </w:rPr>
      </w:pPr>
    </w:p>
    <w:p w:rsidR="00DB16DF" w:rsidRPr="00DB16DF" w:rsidRDefault="00DB16DF" w:rsidP="00DB16DF">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לע"נ מו"</w:t>
      </w:r>
      <w:r w:rsidRPr="00DB16DF">
        <w:rPr>
          <w:rFonts w:ascii="Calibri" w:eastAsia="Calibri" w:hAnsi="Calibri" w:cs="Guttman Hodes" w:hint="cs"/>
          <w:sz w:val="18"/>
          <w:szCs w:val="18"/>
          <w:rtl/>
        </w:rPr>
        <w:t>ר</w:t>
      </w:r>
    </w:p>
    <w:p w:rsidR="00DB16DF" w:rsidRDefault="00DB16DF" w:rsidP="00B2187A">
      <w:pPr>
        <w:spacing w:line="240" w:lineRule="auto"/>
        <w:ind w:left="0"/>
        <w:jc w:val="center"/>
        <w:rPr>
          <w:rFonts w:ascii="Calibri" w:eastAsia="Calibri" w:hAnsi="Calibri" w:cs="Guttman Hodes"/>
          <w:sz w:val="18"/>
          <w:szCs w:val="18"/>
          <w:rtl/>
        </w:rPr>
      </w:pPr>
      <w:r w:rsidRPr="00DB16DF">
        <w:rPr>
          <w:rFonts w:ascii="Calibri" w:eastAsia="Calibri" w:hAnsi="Calibri" w:cs="Guttman Hodes" w:hint="cs"/>
          <w:sz w:val="18"/>
          <w:szCs w:val="18"/>
          <w:rtl/>
        </w:rPr>
        <w:t>הג</w:t>
      </w:r>
      <w:r>
        <w:rPr>
          <w:rFonts w:ascii="Calibri" w:eastAsia="Calibri" w:hAnsi="Calibri" w:cs="Guttman Hodes" w:hint="cs"/>
          <w:sz w:val="18"/>
          <w:szCs w:val="18"/>
          <w:rtl/>
        </w:rPr>
        <w:t>"ר צבי שינקר זצ"ל</w:t>
      </w:r>
    </w:p>
    <w:p w:rsidR="00DB16DF" w:rsidRDefault="00DB16DF" w:rsidP="00B2187A">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בן הרב דוד יצחק</w:t>
      </w:r>
    </w:p>
    <w:p w:rsidR="00DB16DF" w:rsidRDefault="00DB16DF" w:rsidP="00B2187A">
      <w:pPr>
        <w:spacing w:line="240" w:lineRule="auto"/>
        <w:ind w:left="0"/>
        <w:jc w:val="center"/>
        <w:rPr>
          <w:rFonts w:ascii="Calibri" w:eastAsia="Calibri" w:hAnsi="Calibri" w:cs="Guttman Hodes"/>
          <w:sz w:val="18"/>
          <w:szCs w:val="18"/>
          <w:rtl/>
        </w:rPr>
      </w:pPr>
      <w:r>
        <w:rPr>
          <w:rFonts w:ascii="Calibri" w:eastAsia="Calibri" w:hAnsi="Calibri" w:cs="Guttman Hodes" w:hint="cs"/>
          <w:sz w:val="18"/>
          <w:szCs w:val="18"/>
          <w:rtl/>
        </w:rPr>
        <w:t>נבל"ע ג' ניסן</w:t>
      </w:r>
    </w:p>
    <w:p w:rsidR="00746868" w:rsidRDefault="00746868" w:rsidP="00746868">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B2187A" w:rsidRPr="00A4779E" w:rsidRDefault="00B2187A" w:rsidP="00B2187A">
      <w:pPr>
        <w:spacing w:line="240" w:lineRule="auto"/>
        <w:ind w:left="0"/>
        <w:jc w:val="center"/>
        <w:rPr>
          <w:rFonts w:ascii="Calibri" w:eastAsia="Calibri" w:hAnsi="Calibri" w:cs="Guttman Hodes"/>
          <w:sz w:val="18"/>
          <w:szCs w:val="18"/>
          <w:rtl/>
        </w:rPr>
        <w:sectPr w:rsidR="00B2187A" w:rsidRPr="00A4779E" w:rsidSect="000F071D">
          <w:type w:val="continuous"/>
          <w:pgSz w:w="11906" w:h="16838"/>
          <w:pgMar w:top="1440" w:right="1800" w:bottom="1440" w:left="1800" w:header="708" w:footer="708" w:gutter="0"/>
          <w:cols w:num="2" w:space="709"/>
          <w:bidi/>
          <w:rtlGutter/>
          <w:docGrid w:linePitch="360"/>
        </w:sectPr>
      </w:pPr>
    </w:p>
    <w:p w:rsidR="00265073" w:rsidRPr="00A4779E" w:rsidRDefault="00265073" w:rsidP="00265073">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ורעיתו א"ז מרת ביילא גרינבוים ע"ה </w:t>
      </w:r>
    </w:p>
    <w:p w:rsidR="00265073" w:rsidRPr="00A4779E" w:rsidRDefault="00265073" w:rsidP="00265073">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 xml:space="preserve">ב"ר אליעזר </w:t>
      </w:r>
      <w:bookmarkStart w:id="14" w:name="_GoBack"/>
      <w:bookmarkEnd w:id="14"/>
      <w:r w:rsidRPr="00A4779E">
        <w:rPr>
          <w:rFonts w:ascii="Calibri" w:eastAsia="Calibri" w:hAnsi="Calibri" w:cs="Guttman Hodes" w:hint="cs"/>
          <w:sz w:val="18"/>
          <w:szCs w:val="18"/>
          <w:rtl/>
        </w:rPr>
        <w:t>ליפא הי"ד</w:t>
      </w:r>
    </w:p>
    <w:p w:rsidR="00265073" w:rsidRPr="00A4779E" w:rsidRDefault="00265073" w:rsidP="00265073">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נלב"ע כ"ט ניסן</w:t>
      </w:r>
    </w:p>
    <w:p w:rsidR="00265073" w:rsidRPr="00A4779E" w:rsidRDefault="00265073" w:rsidP="00265073">
      <w:pPr>
        <w:spacing w:line="240" w:lineRule="auto"/>
        <w:ind w:left="0"/>
        <w:jc w:val="center"/>
        <w:rPr>
          <w:rFonts w:ascii="Calibri" w:eastAsia="Calibri" w:hAnsi="Calibri" w:cs="Guttman Hodes"/>
          <w:sz w:val="18"/>
          <w:szCs w:val="18"/>
          <w:rtl/>
        </w:rPr>
      </w:pPr>
      <w:r w:rsidRPr="00A4779E">
        <w:rPr>
          <w:rFonts w:ascii="Calibri" w:eastAsia="Calibri" w:hAnsi="Calibri" w:cs="Guttman Hodes" w:hint="cs"/>
          <w:sz w:val="18"/>
          <w:szCs w:val="18"/>
          <w:rtl/>
        </w:rPr>
        <w:t>ת.נ.צ.ב.ה.</w:t>
      </w: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Default="00B2187A" w:rsidP="00B2187A">
      <w:pPr>
        <w:spacing w:line="240" w:lineRule="auto"/>
        <w:ind w:left="0"/>
        <w:jc w:val="center"/>
        <w:rPr>
          <w:rFonts w:ascii="Calibri" w:eastAsia="Calibri" w:hAnsi="Calibri" w:cs="Guttman Hodes"/>
          <w:sz w:val="16"/>
          <w:szCs w:val="16"/>
          <w:rtl/>
        </w:rPr>
      </w:pPr>
    </w:p>
    <w:p w:rsidR="00B2187A" w:rsidRPr="00A4779E" w:rsidRDefault="00B2187A" w:rsidP="00B2187A">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לע"נ דודי הרב</w:t>
      </w:r>
      <w:r>
        <w:rPr>
          <w:rFonts w:ascii="Calibri" w:eastAsia="Calibri" w:hAnsi="Calibri" w:cs="Guttman Hodes" w:hint="cs"/>
          <w:sz w:val="16"/>
          <w:szCs w:val="16"/>
          <w:rtl/>
        </w:rPr>
        <w:t xml:space="preserve"> </w:t>
      </w:r>
      <w:r w:rsidRPr="00A4779E">
        <w:rPr>
          <w:rFonts w:ascii="Calibri" w:eastAsia="Calibri" w:hAnsi="Calibri" w:cs="Guttman Hodes"/>
          <w:sz w:val="16"/>
          <w:szCs w:val="16"/>
          <w:rtl/>
        </w:rPr>
        <w:t xml:space="preserve">אברהם אבא הכהן רובין </w:t>
      </w:r>
      <w:r w:rsidRPr="00A4779E">
        <w:rPr>
          <w:rFonts w:ascii="Calibri" w:eastAsia="Calibri" w:hAnsi="Calibri" w:cs="Guttman Hodes" w:hint="cs"/>
          <w:sz w:val="16"/>
          <w:szCs w:val="16"/>
          <w:rtl/>
        </w:rPr>
        <w:t>זצ"ל</w:t>
      </w:r>
    </w:p>
    <w:p w:rsidR="00B2187A" w:rsidRPr="00A4779E" w:rsidRDefault="00B2187A" w:rsidP="00B2187A">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 xml:space="preserve">ב"ר יחיאל מיכל </w:t>
      </w:r>
      <w:r w:rsidRPr="00A4779E">
        <w:rPr>
          <w:rFonts w:ascii="Calibri" w:eastAsia="Calibri" w:hAnsi="Calibri" w:cs="Guttman Hodes" w:hint="cs"/>
          <w:sz w:val="16"/>
          <w:szCs w:val="16"/>
          <w:rtl/>
        </w:rPr>
        <w:t>שיבלט"א</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נלב"ע י"ד תשרי</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ת.נ.צ.ב.ה.</w:t>
      </w:r>
    </w:p>
    <w:p w:rsidR="00B2187A" w:rsidRPr="00A4779E" w:rsidRDefault="00B2187A" w:rsidP="00B2187A">
      <w:pPr>
        <w:spacing w:line="240" w:lineRule="auto"/>
        <w:ind w:left="0"/>
        <w:jc w:val="center"/>
        <w:rPr>
          <w:rFonts w:ascii="Calibri" w:eastAsia="Calibri" w:hAnsi="Calibri" w:cs="Guttman Hodes"/>
          <w:sz w:val="16"/>
          <w:szCs w:val="16"/>
          <w:rtl/>
        </w:rPr>
      </w:pPr>
    </w:p>
    <w:p w:rsidR="00B2187A" w:rsidRPr="00A4779E" w:rsidRDefault="00B2187A" w:rsidP="00B2187A">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לע"נ דודי הרב</w:t>
      </w:r>
      <w:r>
        <w:rPr>
          <w:rFonts w:ascii="Calibri" w:eastAsia="Calibri" w:hAnsi="Calibri" w:cs="Guttman Hodes" w:hint="cs"/>
          <w:sz w:val="16"/>
          <w:szCs w:val="16"/>
          <w:rtl/>
        </w:rPr>
        <w:t xml:space="preserve"> </w:t>
      </w:r>
      <w:r w:rsidRPr="00A4779E">
        <w:rPr>
          <w:rFonts w:ascii="Calibri" w:eastAsia="Calibri" w:hAnsi="Calibri" w:cs="Guttman Hodes"/>
          <w:sz w:val="16"/>
          <w:szCs w:val="16"/>
          <w:rtl/>
        </w:rPr>
        <w:t>משה שטרנפלד</w:t>
      </w:r>
      <w:r w:rsidRPr="00A4779E">
        <w:rPr>
          <w:rFonts w:ascii="Calibri" w:eastAsia="Calibri" w:hAnsi="Calibri" w:cs="Guttman Hodes" w:hint="cs"/>
          <w:sz w:val="16"/>
          <w:szCs w:val="16"/>
          <w:rtl/>
        </w:rPr>
        <w:t xml:space="preserve"> זצ"ל</w:t>
      </w:r>
    </w:p>
    <w:p w:rsidR="00B2187A" w:rsidRPr="00A4779E" w:rsidRDefault="00B2187A" w:rsidP="00B2187A">
      <w:pPr>
        <w:spacing w:line="240" w:lineRule="auto"/>
        <w:ind w:left="0"/>
        <w:jc w:val="center"/>
        <w:rPr>
          <w:rFonts w:ascii="Calibri" w:eastAsia="Calibri" w:hAnsi="Calibri" w:cs="Guttman Hodes"/>
          <w:sz w:val="16"/>
          <w:szCs w:val="16"/>
          <w:rtl/>
        </w:rPr>
      </w:pPr>
      <w:r w:rsidRPr="00A4779E">
        <w:rPr>
          <w:rFonts w:ascii="Calibri" w:eastAsia="Calibri" w:hAnsi="Calibri" w:cs="Guttman Hodes"/>
          <w:sz w:val="16"/>
          <w:szCs w:val="16"/>
          <w:rtl/>
        </w:rPr>
        <w:t>ב"ר גבריאל ז</w:t>
      </w:r>
      <w:r w:rsidRPr="00A4779E">
        <w:rPr>
          <w:rFonts w:ascii="Calibri" w:eastAsia="Calibri" w:hAnsi="Calibri" w:cs="Guttman Hodes" w:hint="cs"/>
          <w:sz w:val="16"/>
          <w:szCs w:val="16"/>
          <w:rtl/>
        </w:rPr>
        <w:t>צ</w:t>
      </w:r>
      <w:r w:rsidRPr="00A4779E">
        <w:rPr>
          <w:rFonts w:ascii="Calibri" w:eastAsia="Calibri" w:hAnsi="Calibri" w:cs="Guttman Hodes"/>
          <w:sz w:val="16"/>
          <w:szCs w:val="16"/>
          <w:rtl/>
        </w:rPr>
        <w:t>"ל</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נלב"ע כ"ג אב</w:t>
      </w:r>
      <w:r>
        <w:rPr>
          <w:rFonts w:ascii="Calibri" w:eastAsia="Calibri" w:hAnsi="Calibri" w:cs="Guttman Hodes" w:hint="cs"/>
          <w:sz w:val="16"/>
          <w:szCs w:val="16"/>
          <w:rtl/>
        </w:rPr>
        <w:t xml:space="preserve"> </w:t>
      </w:r>
      <w:r w:rsidRPr="00A4779E">
        <w:rPr>
          <w:rFonts w:ascii="Calibri" w:eastAsia="Calibri" w:hAnsi="Calibri" w:cs="Guttman Hodes" w:hint="cs"/>
          <w:sz w:val="16"/>
          <w:szCs w:val="16"/>
          <w:rtl/>
        </w:rPr>
        <w:t>ת.נ.צ.ב.ה.</w:t>
      </w:r>
    </w:p>
    <w:p w:rsidR="00B2187A" w:rsidRDefault="00B2187A" w:rsidP="00B2187A">
      <w:pPr>
        <w:spacing w:line="240" w:lineRule="auto"/>
        <w:ind w:left="0"/>
        <w:jc w:val="center"/>
        <w:rPr>
          <w:rFonts w:ascii="Calibri" w:eastAsia="Calibri" w:hAnsi="Calibri" w:cs="Guttman Hodes"/>
          <w:sz w:val="16"/>
          <w:szCs w:val="16"/>
          <w:rtl/>
        </w:rPr>
      </w:pPr>
    </w:p>
    <w:p w:rsidR="00B2187A" w:rsidRDefault="00B2187A" w:rsidP="00B2187A">
      <w:pPr>
        <w:spacing w:line="240" w:lineRule="auto"/>
        <w:ind w:left="0"/>
        <w:jc w:val="center"/>
        <w:rPr>
          <w:rFonts w:ascii="Calibri" w:eastAsia="Calibri" w:hAnsi="Calibri" w:cs="Guttman Hodes"/>
          <w:sz w:val="16"/>
          <w:szCs w:val="16"/>
          <w:rtl/>
        </w:rPr>
      </w:pPr>
    </w:p>
    <w:p w:rsidR="00B2187A" w:rsidRDefault="00B2187A" w:rsidP="00B2187A">
      <w:pPr>
        <w:spacing w:line="240" w:lineRule="auto"/>
        <w:ind w:left="0"/>
        <w:jc w:val="center"/>
        <w:rPr>
          <w:rFonts w:ascii="Calibri" w:eastAsia="Calibri" w:hAnsi="Calibri" w:cs="Guttman Hodes"/>
          <w:sz w:val="16"/>
          <w:szCs w:val="16"/>
          <w:rtl/>
        </w:rPr>
      </w:pPr>
    </w:p>
    <w:p w:rsidR="00B2187A" w:rsidRDefault="00B2187A" w:rsidP="00B2187A">
      <w:pPr>
        <w:spacing w:line="240" w:lineRule="auto"/>
        <w:ind w:left="0"/>
        <w:jc w:val="center"/>
        <w:rPr>
          <w:rFonts w:ascii="Calibri" w:eastAsia="Calibri" w:hAnsi="Calibri" w:cs="Guttman Hodes"/>
          <w:sz w:val="16"/>
          <w:szCs w:val="16"/>
          <w:rtl/>
        </w:rPr>
      </w:pPr>
    </w:p>
    <w:p w:rsidR="00B2187A" w:rsidRDefault="00B2187A" w:rsidP="00B2187A">
      <w:pPr>
        <w:spacing w:line="240" w:lineRule="auto"/>
        <w:ind w:left="0"/>
        <w:jc w:val="center"/>
        <w:rPr>
          <w:rFonts w:ascii="Calibri" w:eastAsia="Calibri" w:hAnsi="Calibri" w:cs="Guttman Hodes"/>
          <w:sz w:val="16"/>
          <w:szCs w:val="16"/>
          <w:rtl/>
        </w:rPr>
      </w:pPr>
    </w:p>
    <w:p w:rsidR="00B2187A" w:rsidRDefault="00B2187A" w:rsidP="00B2187A">
      <w:pPr>
        <w:spacing w:line="240" w:lineRule="auto"/>
        <w:ind w:left="0"/>
        <w:jc w:val="center"/>
        <w:rPr>
          <w:rFonts w:ascii="Calibri" w:eastAsia="Calibri" w:hAnsi="Calibri" w:cs="Guttman Hodes"/>
          <w:sz w:val="16"/>
          <w:szCs w:val="16"/>
          <w:rtl/>
        </w:rPr>
      </w:pPr>
    </w:p>
    <w:p w:rsidR="00B2187A" w:rsidRPr="00A4779E" w:rsidRDefault="00B2187A" w:rsidP="00B2187A">
      <w:pPr>
        <w:spacing w:line="240" w:lineRule="auto"/>
        <w:ind w:left="0"/>
        <w:jc w:val="center"/>
        <w:rPr>
          <w:rFonts w:ascii="Calibri" w:eastAsia="Calibri" w:hAnsi="Calibri" w:cs="Guttman Hodes"/>
          <w:sz w:val="16"/>
          <w:szCs w:val="16"/>
          <w:rtl/>
        </w:rPr>
      </w:pPr>
    </w:p>
    <w:p w:rsidR="00B2187A" w:rsidRPr="00A4779E" w:rsidRDefault="00B2187A" w:rsidP="00B2187A">
      <w:pPr>
        <w:spacing w:line="240" w:lineRule="auto"/>
        <w:ind w:left="0"/>
        <w:jc w:val="center"/>
        <w:rPr>
          <w:rFonts w:ascii="Calibri" w:eastAsia="Calibri" w:hAnsi="Calibri" w:cs="Guttman Hodes"/>
          <w:sz w:val="16"/>
          <w:szCs w:val="16"/>
          <w:rtl/>
        </w:rPr>
      </w:pPr>
    </w:p>
    <w:p w:rsidR="00B2187A" w:rsidRPr="00A4779E" w:rsidRDefault="00B2187A" w:rsidP="00B2187A">
      <w:pPr>
        <w:spacing w:line="240" w:lineRule="auto"/>
        <w:ind w:left="0"/>
        <w:jc w:val="center"/>
        <w:rPr>
          <w:rFonts w:ascii="Calibri" w:eastAsia="Calibri" w:hAnsi="Calibri" w:cs="Guttman Hodes"/>
          <w:sz w:val="16"/>
          <w:szCs w:val="16"/>
          <w:rtl/>
        </w:rPr>
      </w:pPr>
    </w:p>
    <w:p w:rsidR="00B2187A" w:rsidRPr="00A4779E" w:rsidRDefault="00B2187A" w:rsidP="00B2187A">
      <w:pPr>
        <w:spacing w:line="240" w:lineRule="auto"/>
        <w:ind w:left="0"/>
        <w:jc w:val="center"/>
        <w:rPr>
          <w:rFonts w:ascii="Calibri" w:eastAsia="Calibri" w:hAnsi="Calibri" w:cs="Guttman Hodes"/>
          <w:sz w:val="16"/>
          <w:szCs w:val="16"/>
          <w:rtl/>
        </w:rPr>
      </w:pPr>
      <w:r w:rsidRPr="00A4779E">
        <w:rPr>
          <w:rFonts w:ascii="Calibri" w:eastAsia="Calibri" w:hAnsi="Calibri" w:cs="Arial"/>
          <w:noProof/>
          <w:sz w:val="18"/>
          <w:szCs w:val="18"/>
          <w:rtl/>
        </w:rPr>
        <mc:AlternateContent>
          <mc:Choice Requires="wps">
            <w:drawing>
              <wp:anchor distT="45720" distB="45720" distL="114300" distR="114300" simplePos="0" relativeHeight="251672576" behindDoc="1" locked="0" layoutInCell="1" allowOverlap="1" wp14:anchorId="397BBD3C" wp14:editId="5B177D56">
                <wp:simplePos x="0" y="0"/>
                <wp:positionH relativeFrom="margin">
                  <wp:posOffset>-470475</wp:posOffset>
                </wp:positionH>
                <wp:positionV relativeFrom="paragraph">
                  <wp:posOffset>186874</wp:posOffset>
                </wp:positionV>
                <wp:extent cx="6003925" cy="1179871"/>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71"/>
                        </a:xfrm>
                        <a:prstGeom prst="roundRect">
                          <a:avLst/>
                        </a:prstGeom>
                        <a:solidFill>
                          <a:srgbClr val="FFFFFF"/>
                        </a:solidFill>
                        <a:ln w="28575" cap="rnd">
                          <a:solidFill>
                            <a:sysClr val="windowText" lastClr="000000"/>
                          </a:solidFill>
                          <a:prstDash val="solid"/>
                          <a:round/>
                          <a:headEnd/>
                          <a:tailEnd/>
                        </a:ln>
                      </wps:spPr>
                      <wps:txbx>
                        <w:txbxContent>
                          <w:p w:rsidR="00265073" w:rsidRDefault="00265073" w:rsidP="00B2187A">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97BBD3C" id="תיבת טקסט 40" o:spid="_x0000_s1030" style="position:absolute;left:0;text-align:left;margin-left:-37.05pt;margin-top:14.7pt;width:472.75pt;height:92.9pt;flip:x;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" strokecolor="windowText" strokeweight="2.25pt">
                <v:stroke endcap="round"/>
                <v:textbox>
                  <w:txbxContent>
                    <w:p w:rsidR="00265073" w:rsidRDefault="00265073" w:rsidP="00B2187A">
                      <w:pPr>
                        <w:rPr>
                          <w:rFonts w:cs="Guttman Hodes"/>
                          <w:rtl/>
                          <w:cs/>
                        </w:rPr>
                      </w:pPr>
                    </w:p>
                  </w:txbxContent>
                </v:textbox>
                <w10:wrap anchorx="margin"/>
              </v:roundrect>
            </w:pict>
          </mc:Fallback>
        </mc:AlternateContent>
      </w: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Pr="00A4779E" w:rsidRDefault="00B2187A" w:rsidP="00B2187A">
      <w:pPr>
        <w:spacing w:line="240" w:lineRule="auto"/>
        <w:ind w:left="0"/>
        <w:jc w:val="center"/>
        <w:rPr>
          <w:rFonts w:ascii="Calibri" w:eastAsia="Calibri" w:hAnsi="Calibri" w:cs="Guttman Hodes"/>
          <w:sz w:val="18"/>
          <w:szCs w:val="18"/>
          <w:rtl/>
        </w:rPr>
      </w:pPr>
    </w:p>
    <w:p w:rsidR="00B2187A" w:rsidRDefault="00B2187A" w:rsidP="00B2187A">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לע"נ</w:t>
      </w:r>
      <w:r>
        <w:rPr>
          <w:rFonts w:ascii="Calibri" w:eastAsia="Calibri" w:hAnsi="Calibri" w:cs="Guttman Hodes" w:hint="cs"/>
          <w:sz w:val="16"/>
          <w:szCs w:val="16"/>
          <w:rtl/>
        </w:rPr>
        <w:t xml:space="preserve"> </w:t>
      </w:r>
      <w:r w:rsidRPr="00627AB4">
        <w:rPr>
          <w:rFonts w:ascii="Calibri" w:eastAsia="Calibri" w:hAnsi="Calibri" w:cs="Guttman Hodes"/>
          <w:sz w:val="16"/>
          <w:szCs w:val="16"/>
          <w:rtl/>
        </w:rPr>
        <w:t>הרב אליעזר דוד</w:t>
      </w:r>
      <w:r w:rsidRPr="00627AB4">
        <w:rPr>
          <w:rFonts w:ascii="Calibri" w:eastAsia="Calibri" w:hAnsi="Calibri" w:cs="Guttman Hodes" w:hint="cs"/>
          <w:sz w:val="16"/>
          <w:szCs w:val="16"/>
          <w:rtl/>
        </w:rPr>
        <w:t xml:space="preserve"> זצ"ל</w:t>
      </w:r>
      <w:r>
        <w:rPr>
          <w:rFonts w:ascii="Calibri" w:eastAsia="Calibri" w:hAnsi="Calibri" w:cs="Guttman Hodes" w:hint="cs"/>
          <w:sz w:val="16"/>
          <w:szCs w:val="16"/>
          <w:rtl/>
        </w:rPr>
        <w:t xml:space="preserve"> </w:t>
      </w:r>
      <w:r w:rsidRPr="00627AB4">
        <w:rPr>
          <w:rFonts w:ascii="Calibri" w:eastAsia="Calibri" w:hAnsi="Calibri" w:cs="Guttman Hodes"/>
          <w:sz w:val="16"/>
          <w:szCs w:val="16"/>
          <w:rtl/>
        </w:rPr>
        <w:t>ב"ר משה יהושע ז</w:t>
      </w:r>
      <w:r w:rsidRPr="00627AB4">
        <w:rPr>
          <w:rFonts w:ascii="Calibri" w:eastAsia="Calibri" w:hAnsi="Calibri" w:cs="Guttman Hodes" w:hint="cs"/>
          <w:sz w:val="16"/>
          <w:szCs w:val="16"/>
          <w:rtl/>
        </w:rPr>
        <w:t>צ</w:t>
      </w:r>
      <w:r w:rsidRPr="00627AB4">
        <w:rPr>
          <w:rFonts w:ascii="Calibri" w:eastAsia="Calibri" w:hAnsi="Calibri" w:cs="Guttman Hodes"/>
          <w:sz w:val="16"/>
          <w:szCs w:val="16"/>
          <w:rtl/>
        </w:rPr>
        <w:t>"ל</w:t>
      </w:r>
    </w:p>
    <w:p w:rsidR="00B2187A" w:rsidRPr="00627AB4" w:rsidRDefault="00B2187A" w:rsidP="00B2187A">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נלב"ע כ"ד אייר</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ת.נ.צ.ב.ה.</w:t>
      </w:r>
    </w:p>
    <w:p w:rsidR="00B2187A" w:rsidRDefault="00B2187A" w:rsidP="00B2187A">
      <w:pPr>
        <w:spacing w:line="240" w:lineRule="auto"/>
        <w:ind w:left="0"/>
        <w:jc w:val="center"/>
        <w:rPr>
          <w:rFonts w:ascii="Calibri" w:eastAsia="Calibri" w:hAnsi="Calibri" w:cs="Guttman Hodes"/>
          <w:sz w:val="16"/>
          <w:szCs w:val="16"/>
          <w:rtl/>
        </w:rPr>
      </w:pPr>
    </w:p>
    <w:p w:rsidR="00B2187A" w:rsidRPr="00627AB4" w:rsidRDefault="00B2187A" w:rsidP="00B2187A">
      <w:pPr>
        <w:spacing w:line="240" w:lineRule="auto"/>
        <w:ind w:left="0"/>
        <w:jc w:val="center"/>
        <w:rPr>
          <w:rFonts w:ascii="Calibri" w:eastAsia="Calibri" w:hAnsi="Calibri" w:cs="Guttman Hodes"/>
          <w:sz w:val="16"/>
          <w:szCs w:val="16"/>
          <w:rtl/>
        </w:rPr>
      </w:pPr>
      <w:r w:rsidRPr="00627AB4">
        <w:rPr>
          <w:rFonts w:ascii="Calibri" w:eastAsia="Calibri" w:hAnsi="Calibri" w:cs="Guttman Hodes"/>
          <w:sz w:val="16"/>
          <w:szCs w:val="16"/>
          <w:rtl/>
        </w:rPr>
        <w:t xml:space="preserve">לע"נ </w:t>
      </w:r>
      <w:r w:rsidRPr="00627AB4">
        <w:rPr>
          <w:rFonts w:ascii="Calibri" w:eastAsia="Calibri" w:hAnsi="Calibri" w:cs="Guttman Hodes" w:hint="cs"/>
          <w:sz w:val="16"/>
          <w:szCs w:val="16"/>
          <w:rtl/>
        </w:rPr>
        <w:t>הרב משה זצ"ל</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ב"ר יצחק זצ"ל</w:t>
      </w:r>
    </w:p>
    <w:p w:rsidR="00B2187A" w:rsidRPr="00627AB4" w:rsidRDefault="00B2187A" w:rsidP="00B2187A">
      <w:pPr>
        <w:spacing w:line="240" w:lineRule="auto"/>
        <w:ind w:left="0"/>
        <w:jc w:val="center"/>
        <w:rPr>
          <w:rFonts w:ascii="Calibri" w:eastAsia="Calibri" w:hAnsi="Calibri" w:cs="Guttman Hodes"/>
          <w:sz w:val="16"/>
          <w:szCs w:val="16"/>
          <w:rtl/>
        </w:rPr>
      </w:pPr>
      <w:r w:rsidRPr="00627AB4">
        <w:rPr>
          <w:rFonts w:ascii="Calibri" w:eastAsia="Calibri" w:hAnsi="Calibri" w:cs="Guttman Hodes" w:hint="cs"/>
          <w:sz w:val="16"/>
          <w:szCs w:val="16"/>
          <w:rtl/>
        </w:rPr>
        <w:t>נלב"ע י"ז סיון</w:t>
      </w:r>
      <w:r>
        <w:rPr>
          <w:rFonts w:ascii="Calibri" w:eastAsia="Calibri" w:hAnsi="Calibri" w:cs="Guttman Hodes" w:hint="cs"/>
          <w:sz w:val="16"/>
          <w:szCs w:val="16"/>
          <w:rtl/>
        </w:rPr>
        <w:t xml:space="preserve"> </w:t>
      </w:r>
      <w:r w:rsidRPr="00627AB4">
        <w:rPr>
          <w:rFonts w:ascii="Calibri" w:eastAsia="Calibri" w:hAnsi="Calibri" w:cs="Guttman Hodes" w:hint="cs"/>
          <w:sz w:val="16"/>
          <w:szCs w:val="16"/>
          <w:rtl/>
        </w:rPr>
        <w:t>ת.נ.צ.ב.ה.</w:t>
      </w:r>
    </w:p>
    <w:p w:rsidR="00B2187A" w:rsidRPr="00627AB4" w:rsidRDefault="00B2187A" w:rsidP="00B2187A">
      <w:pPr>
        <w:spacing w:line="240" w:lineRule="auto"/>
        <w:ind w:left="0"/>
        <w:jc w:val="center"/>
        <w:rPr>
          <w:rFonts w:ascii="Calibri" w:eastAsia="Calibri" w:hAnsi="Calibri" w:cs="Guttman Hodes"/>
          <w:sz w:val="16"/>
          <w:szCs w:val="16"/>
          <w:rtl/>
        </w:rPr>
      </w:pPr>
    </w:p>
    <w:p w:rsidR="00B2187A" w:rsidRPr="00553801" w:rsidRDefault="00B2187A" w:rsidP="00B2187A">
      <w:pPr>
        <w:spacing w:line="240" w:lineRule="auto"/>
        <w:ind w:left="0"/>
        <w:rPr>
          <w:rFonts w:ascii="Calibri" w:eastAsia="Calibri" w:hAnsi="Calibri" w:cs="Guttman Hodes"/>
          <w:rtl/>
        </w:rPr>
        <w:sectPr w:rsidR="00B2187A" w:rsidRPr="00553801" w:rsidSect="000F071D">
          <w:type w:val="continuous"/>
          <w:pgSz w:w="11906" w:h="16838"/>
          <w:pgMar w:top="1440" w:right="1800" w:bottom="1440" w:left="1800" w:header="708" w:footer="708" w:gutter="0"/>
          <w:cols w:num="2" w:space="709"/>
          <w:bidi/>
          <w:rtlGutter/>
          <w:docGrid w:linePitch="360"/>
        </w:sectPr>
      </w:pPr>
    </w:p>
    <w:p w:rsidR="00B2187A" w:rsidRPr="00553801" w:rsidRDefault="00B2187A" w:rsidP="00B2187A">
      <w:pPr>
        <w:spacing w:line="240" w:lineRule="auto"/>
        <w:ind w:left="0"/>
        <w:jc w:val="left"/>
        <w:rPr>
          <w:rFonts w:ascii="Calibri" w:eastAsia="Calibri" w:hAnsi="Calibri" w:cs="Arial"/>
          <w:rtl/>
        </w:rPr>
        <w:sectPr w:rsidR="00B2187A" w:rsidRPr="00553801" w:rsidSect="000F071D">
          <w:type w:val="continuous"/>
          <w:pgSz w:w="11906" w:h="16838"/>
          <w:pgMar w:top="1440" w:right="1800" w:bottom="1440" w:left="1800" w:header="708" w:footer="708" w:gutter="0"/>
          <w:cols w:space="708"/>
          <w:bidi/>
          <w:rtlGutter/>
          <w:docGrid w:linePitch="360"/>
        </w:sectPr>
      </w:pPr>
    </w:p>
    <w:p w:rsidR="00997248" w:rsidRPr="00BF39B2" w:rsidRDefault="00997248" w:rsidP="000B328B">
      <w:pPr>
        <w:tabs>
          <w:tab w:val="center" w:pos="4153"/>
          <w:tab w:val="right" w:pos="8306"/>
        </w:tabs>
        <w:spacing w:line="240" w:lineRule="auto"/>
        <w:ind w:left="0"/>
        <w:jc w:val="center"/>
        <w:rPr>
          <w:rFonts w:ascii="Calibri" w:eastAsia="Calibri" w:hAnsi="Calibri" w:cs="Guttman Hodes"/>
          <w:b/>
          <w:bCs/>
          <w:sz w:val="28"/>
          <w:szCs w:val="28"/>
          <w:rtl/>
        </w:rPr>
      </w:pPr>
      <w:r w:rsidRPr="00BF39B2">
        <w:rPr>
          <w:rFonts w:ascii="Calibri" w:eastAsia="Calibri" w:hAnsi="Calibri" w:cs="Guttman Hodes" w:hint="cs"/>
          <w:b/>
          <w:bCs/>
          <w:sz w:val="28"/>
          <w:szCs w:val="28"/>
          <w:rtl/>
        </w:rPr>
        <w:lastRenderedPageBreak/>
        <w:t>תוכן הענינים</w:t>
      </w:r>
    </w:p>
    <w:p w:rsidR="00997248" w:rsidRDefault="00997248" w:rsidP="00B2187A">
      <w:pPr>
        <w:tabs>
          <w:tab w:val="center" w:pos="4153"/>
          <w:tab w:val="right" w:pos="8306"/>
        </w:tabs>
        <w:spacing w:line="240" w:lineRule="auto"/>
        <w:ind w:left="0"/>
        <w:jc w:val="center"/>
        <w:rPr>
          <w:rFonts w:ascii="Calibri" w:eastAsia="Calibri" w:hAnsi="Calibri" w:cs="Guttman Hodes"/>
          <w:rtl/>
        </w:rPr>
      </w:pPr>
    </w:p>
    <w:p w:rsidR="00997248" w:rsidRPr="00E41EDA" w:rsidRDefault="0074599B" w:rsidP="000B328B">
      <w:pPr>
        <w:tabs>
          <w:tab w:val="center" w:pos="4153"/>
          <w:tab w:val="right" w:pos="8306"/>
        </w:tabs>
        <w:spacing w:line="240" w:lineRule="auto"/>
        <w:ind w:left="0"/>
        <w:jc w:val="center"/>
        <w:rPr>
          <w:rFonts w:ascii="Calibri" w:eastAsia="Calibri" w:hAnsi="Calibri" w:cs="Guttman Hodes"/>
          <w:rtl/>
        </w:rPr>
      </w:pPr>
      <w:r>
        <w:rPr>
          <w:rFonts w:ascii="Calibri" w:eastAsia="Calibri" w:hAnsi="Calibri" w:cs="Guttman Hodes" w:hint="cs"/>
          <w:rtl/>
        </w:rPr>
        <w:t>תוכן ענ</w:t>
      </w:r>
      <w:r w:rsidR="00997248" w:rsidRPr="00E41EDA">
        <w:rPr>
          <w:rFonts w:ascii="Calibri" w:eastAsia="Calibri" w:hAnsi="Calibri" w:cs="Guttman Hodes" w:hint="cs"/>
          <w:rtl/>
        </w:rPr>
        <w:t xml:space="preserve">ינים מורחב נדפס בתחילת כל סימן במדור </w:t>
      </w:r>
      <w:r w:rsidR="000B328B">
        <w:rPr>
          <w:rFonts w:ascii="Calibri" w:eastAsia="Calibri" w:hAnsi="Calibri" w:cs="Guttman Hodes" w:hint="cs"/>
          <w:rtl/>
        </w:rPr>
        <w:t>תוכן הענינים</w:t>
      </w:r>
    </w:p>
    <w:p w:rsidR="00997248" w:rsidRDefault="00997248" w:rsidP="00B2187A">
      <w:pPr>
        <w:tabs>
          <w:tab w:val="center" w:pos="4153"/>
          <w:tab w:val="right" w:pos="8306"/>
        </w:tabs>
        <w:spacing w:line="240" w:lineRule="auto"/>
        <w:ind w:left="0"/>
        <w:jc w:val="center"/>
        <w:rPr>
          <w:rFonts w:ascii="Calibri" w:eastAsia="Calibri" w:hAnsi="Calibri" w:cs="Guttman Hodes"/>
          <w:b/>
          <w:bCs/>
          <w:sz w:val="28"/>
          <w:szCs w:val="28"/>
          <w:rtl/>
        </w:rPr>
      </w:pPr>
    </w:p>
    <w:p w:rsidR="008347F3" w:rsidRPr="00ED296A" w:rsidRDefault="00997248" w:rsidP="00ED296A">
      <w:pPr>
        <w:pStyle w:val="TOC2"/>
        <w:rPr>
          <w:rStyle w:val="Hyperlink"/>
          <w:rFonts w:cs="Guttman Hodes"/>
          <w:b/>
          <w:bCs/>
          <w:i w:val="0"/>
          <w:iCs w:val="0"/>
          <w:noProof/>
          <w:rtl/>
        </w:rPr>
      </w:pPr>
      <w:r w:rsidRPr="00ED296A">
        <w:rPr>
          <w:rFonts w:ascii="Calibri" w:eastAsia="Calibri" w:hAnsi="Calibri"/>
          <w:noProof/>
          <w:rtl/>
        </w:rPr>
        <w:fldChar w:fldCharType="begin"/>
      </w:r>
      <w:r w:rsidRPr="00ED296A">
        <w:rPr>
          <w:rFonts w:ascii="Calibri" w:eastAsia="Calibri" w:hAnsi="Calibri"/>
          <w:noProof/>
          <w:rtl/>
        </w:rPr>
        <w:instrText xml:space="preserve"> </w:instrText>
      </w:r>
      <w:r w:rsidRPr="00ED296A">
        <w:rPr>
          <w:rFonts w:ascii="Calibri" w:eastAsia="Calibri" w:hAnsi="Calibri"/>
          <w:noProof/>
        </w:rPr>
        <w:instrText>TOC</w:instrText>
      </w:r>
      <w:r w:rsidRPr="00ED296A">
        <w:rPr>
          <w:rFonts w:ascii="Calibri" w:eastAsia="Calibri" w:hAnsi="Calibri"/>
          <w:noProof/>
          <w:rtl/>
        </w:rPr>
        <w:instrText xml:space="preserve"> \</w:instrText>
      </w:r>
      <w:r w:rsidRPr="00ED296A">
        <w:rPr>
          <w:rFonts w:ascii="Calibri" w:eastAsia="Calibri" w:hAnsi="Calibri"/>
          <w:noProof/>
        </w:rPr>
        <w:instrText>h \z \t</w:instrText>
      </w:r>
      <w:r w:rsidRPr="00ED296A">
        <w:rPr>
          <w:rFonts w:ascii="Calibri" w:eastAsia="Calibri" w:hAnsi="Calibri"/>
          <w:noProof/>
          <w:rtl/>
        </w:rPr>
        <w:instrText xml:space="preserve"> "כות מקטע,2" </w:instrText>
      </w:r>
      <w:r w:rsidRPr="00ED296A">
        <w:rPr>
          <w:rFonts w:ascii="Calibri" w:eastAsia="Calibri" w:hAnsi="Calibri"/>
          <w:noProof/>
          <w:rtl/>
        </w:rPr>
        <w:fldChar w:fldCharType="separate"/>
      </w:r>
      <w:hyperlink w:anchor="_Toc66209190" w:history="1">
        <w:r w:rsidR="008347F3" w:rsidRPr="00ED296A">
          <w:rPr>
            <w:rStyle w:val="Hyperlink"/>
            <w:rFonts w:cs="Guttman Hodes"/>
            <w:b/>
            <w:bCs/>
            <w:i w:val="0"/>
            <w:iCs w:val="0"/>
            <w:noProof/>
            <w:rtl/>
          </w:rPr>
          <w:t>סימן א'</w:t>
        </w:r>
        <w:r w:rsidR="0074599B" w:rsidRPr="00ED296A">
          <w:rPr>
            <w:rStyle w:val="Hyperlink"/>
            <w:rFonts w:cs="Guttman Hodes"/>
            <w:b/>
            <w:bCs/>
            <w:i w:val="0"/>
            <w:iCs w:val="0"/>
            <w:noProof/>
            <w:rtl/>
          </w:rPr>
          <w:t xml:space="preserve"> בגדרי מוחזקות המר"ק והמחזיק בקרקע ובמטלטלין ובחזקת עבדים וגודרות</w:t>
        </w:r>
        <w:r w:rsidR="008347F3" w:rsidRPr="00ED296A">
          <w:rPr>
            <w:rStyle w:val="Hyperlink"/>
            <w:rFonts w:cs="Guttman Hodes"/>
            <w:b/>
            <w:bCs/>
            <w:i w:val="0"/>
            <w:iCs w:val="0"/>
            <w:noProof/>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noProof/>
            <w:webHidden/>
            <w:rtl/>
          </w:rPr>
          <w:instrText xml:space="preserve"> </w:instrText>
        </w:r>
        <w:r w:rsidR="008347F3" w:rsidRPr="00ED296A">
          <w:rPr>
            <w:rStyle w:val="Hyperlink"/>
            <w:rFonts w:cs="Guttman Hodes"/>
            <w:b/>
            <w:bCs/>
            <w:i w:val="0"/>
            <w:iCs w:val="0"/>
            <w:noProof/>
            <w:webHidden/>
          </w:rPr>
          <w:instrText>PAGEREF</w:instrText>
        </w:r>
        <w:r w:rsidR="008347F3" w:rsidRPr="00ED296A">
          <w:rPr>
            <w:rStyle w:val="Hyperlink"/>
            <w:rFonts w:cs="Guttman Hodes"/>
            <w:b/>
            <w:bCs/>
            <w:i w:val="0"/>
            <w:iCs w:val="0"/>
            <w:noProof/>
            <w:webHidden/>
            <w:rtl/>
          </w:rPr>
          <w:instrText xml:space="preserve"> _</w:instrText>
        </w:r>
        <w:r w:rsidR="008347F3" w:rsidRPr="00ED296A">
          <w:rPr>
            <w:rStyle w:val="Hyperlink"/>
            <w:rFonts w:cs="Guttman Hodes"/>
            <w:b/>
            <w:bCs/>
            <w:i w:val="0"/>
            <w:iCs w:val="0"/>
            <w:noProof/>
            <w:webHidden/>
          </w:rPr>
          <w:instrText>Toc66209190 \h</w:instrText>
        </w:r>
        <w:r w:rsidR="008347F3" w:rsidRPr="00ED296A">
          <w:rPr>
            <w:rStyle w:val="Hyperlink"/>
            <w:rFonts w:cs="Guttman Hodes"/>
            <w:b/>
            <w:bCs/>
            <w:i w:val="0"/>
            <w:iCs w:val="0"/>
            <w:noProof/>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1</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noProof/>
          <w:rtl/>
        </w:rPr>
      </w:pPr>
      <w:hyperlink w:anchor="_Toc66209192" w:history="1">
        <w:r w:rsidR="008347F3" w:rsidRPr="00ED296A">
          <w:rPr>
            <w:rStyle w:val="Hyperlink"/>
            <w:rFonts w:cs="Guttman Hodes"/>
            <w:b/>
            <w:bCs/>
            <w:i w:val="0"/>
            <w:iCs w:val="0"/>
            <w:noProof/>
            <w:rtl/>
          </w:rPr>
          <w:t>סימן ב'</w:t>
        </w:r>
        <w:r w:rsidR="0074599B" w:rsidRPr="00ED296A">
          <w:rPr>
            <w:rStyle w:val="Hyperlink"/>
            <w:rFonts w:cs="Guttman Hodes"/>
            <w:b/>
            <w:bCs/>
            <w:i w:val="0"/>
            <w:iCs w:val="0"/>
            <w:noProof/>
            <w:rtl/>
          </w:rPr>
          <w:t xml:space="preserve"> בפלוגתת רבנן ורבי ישמעאל ור"ע בחזקת ג"ש</w:t>
        </w:r>
        <w:r w:rsidR="008347F3" w:rsidRPr="00ED296A">
          <w:rPr>
            <w:rStyle w:val="Hyperlink"/>
            <w:rFonts w:cs="Guttman Hodes"/>
            <w:b/>
            <w:bCs/>
            <w:i w:val="0"/>
            <w:iCs w:val="0"/>
            <w:noProof/>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noProof/>
            <w:webHidden/>
            <w:rtl/>
          </w:rPr>
          <w:instrText xml:space="preserve"> </w:instrText>
        </w:r>
        <w:r w:rsidR="008347F3" w:rsidRPr="00ED296A">
          <w:rPr>
            <w:rStyle w:val="Hyperlink"/>
            <w:rFonts w:cs="Guttman Hodes"/>
            <w:b/>
            <w:bCs/>
            <w:i w:val="0"/>
            <w:iCs w:val="0"/>
            <w:noProof/>
            <w:webHidden/>
          </w:rPr>
          <w:instrText>PAGEREF</w:instrText>
        </w:r>
        <w:r w:rsidR="008347F3" w:rsidRPr="00ED296A">
          <w:rPr>
            <w:rStyle w:val="Hyperlink"/>
            <w:rFonts w:cs="Guttman Hodes"/>
            <w:b/>
            <w:bCs/>
            <w:i w:val="0"/>
            <w:iCs w:val="0"/>
            <w:noProof/>
            <w:webHidden/>
            <w:rtl/>
          </w:rPr>
          <w:instrText xml:space="preserve"> _</w:instrText>
        </w:r>
        <w:r w:rsidR="008347F3" w:rsidRPr="00ED296A">
          <w:rPr>
            <w:rStyle w:val="Hyperlink"/>
            <w:rFonts w:cs="Guttman Hodes"/>
            <w:b/>
            <w:bCs/>
            <w:i w:val="0"/>
            <w:iCs w:val="0"/>
            <w:noProof/>
            <w:webHidden/>
          </w:rPr>
          <w:instrText>Toc66209192 \h</w:instrText>
        </w:r>
        <w:r w:rsidR="008347F3" w:rsidRPr="00ED296A">
          <w:rPr>
            <w:rStyle w:val="Hyperlink"/>
            <w:rFonts w:cs="Guttman Hodes"/>
            <w:b/>
            <w:bCs/>
            <w:i w:val="0"/>
            <w:iCs w:val="0"/>
            <w:noProof/>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15</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noProof/>
          <w:rtl/>
        </w:rPr>
      </w:pPr>
      <w:hyperlink w:anchor="_Toc66209194" w:history="1">
        <w:r w:rsidR="008347F3" w:rsidRPr="00ED296A">
          <w:rPr>
            <w:rStyle w:val="Hyperlink"/>
            <w:rFonts w:cs="Guttman Hodes"/>
            <w:b/>
            <w:bCs/>
            <w:i w:val="0"/>
            <w:iCs w:val="0"/>
            <w:noProof/>
            <w:rtl/>
          </w:rPr>
          <w:t>סימן ג'</w:t>
        </w:r>
        <w:r w:rsidR="0074599B" w:rsidRPr="00ED296A">
          <w:rPr>
            <w:rStyle w:val="Hyperlink"/>
            <w:rFonts w:cs="Guttman Hodes"/>
            <w:b/>
            <w:bCs/>
            <w:i w:val="0"/>
            <w:iCs w:val="0"/>
            <w:noProof/>
            <w:rtl/>
          </w:rPr>
          <w:t xml:space="preserve"> בביאור הילפותא דחזקת ג"ש מג' נגיחות בשור המועד ובדין חזקה שאין עמה טענה</w:t>
        </w:r>
        <w:r w:rsidR="008347F3" w:rsidRPr="00ED296A">
          <w:rPr>
            <w:rStyle w:val="Hyperlink"/>
            <w:rFonts w:cs="Guttman Hodes"/>
            <w:b/>
            <w:bCs/>
            <w:i w:val="0"/>
            <w:iCs w:val="0"/>
            <w:noProof/>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noProof/>
            <w:webHidden/>
            <w:rtl/>
          </w:rPr>
          <w:instrText xml:space="preserve"> </w:instrText>
        </w:r>
        <w:r w:rsidR="008347F3" w:rsidRPr="00ED296A">
          <w:rPr>
            <w:rStyle w:val="Hyperlink"/>
            <w:rFonts w:cs="Guttman Hodes"/>
            <w:b/>
            <w:bCs/>
            <w:i w:val="0"/>
            <w:iCs w:val="0"/>
            <w:noProof/>
            <w:webHidden/>
          </w:rPr>
          <w:instrText>PAGEREF</w:instrText>
        </w:r>
        <w:r w:rsidR="008347F3" w:rsidRPr="00ED296A">
          <w:rPr>
            <w:rStyle w:val="Hyperlink"/>
            <w:rFonts w:cs="Guttman Hodes"/>
            <w:b/>
            <w:bCs/>
            <w:i w:val="0"/>
            <w:iCs w:val="0"/>
            <w:noProof/>
            <w:webHidden/>
            <w:rtl/>
          </w:rPr>
          <w:instrText xml:space="preserve"> _</w:instrText>
        </w:r>
        <w:r w:rsidR="008347F3" w:rsidRPr="00ED296A">
          <w:rPr>
            <w:rStyle w:val="Hyperlink"/>
            <w:rFonts w:cs="Guttman Hodes"/>
            <w:b/>
            <w:bCs/>
            <w:i w:val="0"/>
            <w:iCs w:val="0"/>
            <w:noProof/>
            <w:webHidden/>
          </w:rPr>
          <w:instrText>Toc66209194 \h</w:instrText>
        </w:r>
        <w:r w:rsidR="008347F3" w:rsidRPr="00ED296A">
          <w:rPr>
            <w:rStyle w:val="Hyperlink"/>
            <w:rFonts w:cs="Guttman Hodes"/>
            <w:b/>
            <w:bCs/>
            <w:i w:val="0"/>
            <w:iCs w:val="0"/>
            <w:noProof/>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26</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noProof/>
          <w:rtl/>
        </w:rPr>
      </w:pPr>
      <w:hyperlink w:anchor="_Toc66209196" w:history="1">
        <w:r w:rsidR="008347F3" w:rsidRPr="00ED296A">
          <w:rPr>
            <w:rStyle w:val="Hyperlink"/>
            <w:rFonts w:cs="Guttman Hodes"/>
            <w:b/>
            <w:bCs/>
            <w:i w:val="0"/>
            <w:iCs w:val="0"/>
            <w:noProof/>
            <w:rtl/>
          </w:rPr>
          <w:t>סימן ד'</w:t>
        </w:r>
        <w:r w:rsidR="0074599B" w:rsidRPr="00ED296A">
          <w:rPr>
            <w:rStyle w:val="Hyperlink"/>
            <w:rFonts w:cs="Guttman Hodes"/>
            <w:b/>
            <w:bCs/>
            <w:i w:val="0"/>
            <w:iCs w:val="0"/>
            <w:noProof/>
            <w:rtl/>
          </w:rPr>
          <w:t xml:space="preserve"> סוגיא דהולכי אושא (ב') בדין מחאה וחזקה שלא בפניו להולכי אושא ולרבנן</w:t>
        </w:r>
        <w:r w:rsidR="008347F3" w:rsidRPr="00ED296A">
          <w:rPr>
            <w:rStyle w:val="Hyperlink"/>
            <w:rFonts w:cs="Guttman Hodes"/>
            <w:b/>
            <w:bCs/>
            <w:i w:val="0"/>
            <w:iCs w:val="0"/>
            <w:noProof/>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noProof/>
            <w:webHidden/>
            <w:rtl/>
          </w:rPr>
          <w:instrText xml:space="preserve"> </w:instrText>
        </w:r>
        <w:r w:rsidR="008347F3" w:rsidRPr="00ED296A">
          <w:rPr>
            <w:rStyle w:val="Hyperlink"/>
            <w:rFonts w:cs="Guttman Hodes"/>
            <w:b/>
            <w:bCs/>
            <w:i w:val="0"/>
            <w:iCs w:val="0"/>
            <w:noProof/>
            <w:webHidden/>
          </w:rPr>
          <w:instrText>PAGEREF</w:instrText>
        </w:r>
        <w:r w:rsidR="008347F3" w:rsidRPr="00ED296A">
          <w:rPr>
            <w:rStyle w:val="Hyperlink"/>
            <w:rFonts w:cs="Guttman Hodes"/>
            <w:b/>
            <w:bCs/>
            <w:i w:val="0"/>
            <w:iCs w:val="0"/>
            <w:noProof/>
            <w:webHidden/>
            <w:rtl/>
          </w:rPr>
          <w:instrText xml:space="preserve"> _</w:instrText>
        </w:r>
        <w:r w:rsidR="008347F3" w:rsidRPr="00ED296A">
          <w:rPr>
            <w:rStyle w:val="Hyperlink"/>
            <w:rFonts w:cs="Guttman Hodes"/>
            <w:b/>
            <w:bCs/>
            <w:i w:val="0"/>
            <w:iCs w:val="0"/>
            <w:noProof/>
            <w:webHidden/>
          </w:rPr>
          <w:instrText>Toc66209196 \h</w:instrText>
        </w:r>
        <w:r w:rsidR="008347F3" w:rsidRPr="00ED296A">
          <w:rPr>
            <w:rStyle w:val="Hyperlink"/>
            <w:rFonts w:cs="Guttman Hodes"/>
            <w:b/>
            <w:bCs/>
            <w:i w:val="0"/>
            <w:iCs w:val="0"/>
            <w:noProof/>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41</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199" w:history="1">
        <w:r w:rsidR="008347F3" w:rsidRPr="00ED296A">
          <w:rPr>
            <w:rStyle w:val="Hyperlink"/>
            <w:rFonts w:cs="Guttman Hodes"/>
            <w:b/>
            <w:bCs/>
            <w:i w:val="0"/>
            <w:iCs w:val="0"/>
            <w:noProof/>
            <w:rtl/>
          </w:rPr>
          <w:t>סימן ה'</w:t>
        </w:r>
        <w:r w:rsidR="00CD58AA" w:rsidRPr="00ED296A">
          <w:rPr>
            <w:rStyle w:val="Hyperlink"/>
            <w:rFonts w:cs="Guttman Hodes"/>
            <w:b/>
            <w:bCs/>
            <w:i w:val="0"/>
            <w:iCs w:val="0"/>
            <w:noProof/>
            <w:rtl/>
          </w:rPr>
          <w:t xml:space="preserve"> בטעם חזקת ג"ש לרבנן (א')</w:t>
        </w:r>
      </w:hyperlink>
      <w:r w:rsidR="00CD58AA" w:rsidRPr="00ED296A">
        <w:rPr>
          <w:rStyle w:val="Hyperlink"/>
          <w:rFonts w:cs="Guttman Hodes"/>
          <w:b/>
          <w:bCs/>
          <w:i w:val="0"/>
          <w:iCs w:val="0"/>
          <w:rtl/>
        </w:rPr>
        <w:t xml:space="preserve"> </w:t>
      </w:r>
    </w:p>
    <w:p w:rsidR="008347F3" w:rsidRPr="00ED296A" w:rsidRDefault="000E55D0" w:rsidP="00ED296A">
      <w:pPr>
        <w:pStyle w:val="TOC2"/>
        <w:rPr>
          <w:rStyle w:val="Hyperlink"/>
          <w:rFonts w:cs="Guttman Hodes"/>
          <w:b/>
          <w:bCs/>
          <w:i w:val="0"/>
          <w:iCs w:val="0"/>
          <w:rtl/>
        </w:rPr>
      </w:pPr>
      <w:hyperlink w:anchor="_Toc66209201" w:history="1">
        <w:r w:rsidR="008347F3" w:rsidRPr="00ED296A">
          <w:rPr>
            <w:rStyle w:val="Hyperlink"/>
            <w:rFonts w:cs="Guttman Hodes"/>
            <w:b/>
            <w:bCs/>
            <w:i w:val="0"/>
            <w:iCs w:val="0"/>
            <w:noProof/>
            <w:rtl/>
          </w:rPr>
          <w:t>בביאור דעות הסוברים דכיון דלא מחה המרא קמא לכן מהני חזקת ג"ש</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Toc66209201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56</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02" w:history="1">
        <w:r w:rsidR="008347F3" w:rsidRPr="00ED296A">
          <w:rPr>
            <w:rStyle w:val="Hyperlink"/>
            <w:rFonts w:cs="Guttman Hodes"/>
            <w:b/>
            <w:bCs/>
            <w:i w:val="0"/>
            <w:iCs w:val="0"/>
            <w:noProof/>
            <w:rtl/>
          </w:rPr>
          <w:t>סימן ו'</w:t>
        </w:r>
        <w:r w:rsidR="00CD58AA" w:rsidRPr="00ED296A">
          <w:rPr>
            <w:rStyle w:val="Hyperlink"/>
            <w:rFonts w:cs="Guttman Hodes"/>
            <w:b/>
            <w:bCs/>
            <w:i w:val="0"/>
            <w:iCs w:val="0"/>
            <w:noProof/>
            <w:rtl/>
          </w:rPr>
          <w:t xml:space="preserve"> </w:t>
        </w:r>
        <w:r w:rsidR="008347F3" w:rsidRPr="00ED296A">
          <w:rPr>
            <w:rStyle w:val="Hyperlink"/>
            <w:rFonts w:cs="Guttman Hodes"/>
            <w:b/>
            <w:bCs/>
            <w:i w:val="0"/>
            <w:iCs w:val="0"/>
            <w:rtl/>
          </w:rPr>
          <w:t>בטעם חזקת ג"ש לרבנן (ב')</w:t>
        </w:r>
        <w:r w:rsidR="00CD58AA" w:rsidRPr="00ED296A">
          <w:rPr>
            <w:rStyle w:val="Hyperlink"/>
            <w:rFonts w:cs="Guttman Hodes"/>
            <w:b/>
            <w:bCs/>
            <w:i w:val="0"/>
            <w:iCs w:val="0"/>
            <w:noProof/>
            <w:rtl/>
          </w:rPr>
          <w:t xml:space="preserve"> </w:t>
        </w:r>
        <w:r w:rsidR="008347F3" w:rsidRPr="00ED296A">
          <w:rPr>
            <w:rStyle w:val="Hyperlink"/>
            <w:rFonts w:cs="Guttman Hodes"/>
            <w:b/>
            <w:bCs/>
            <w:i w:val="0"/>
            <w:iCs w:val="0"/>
            <w:rtl/>
          </w:rPr>
          <w:t>בביאור דעות הסוברים דחזקת ג"ש היא תקנת חכמים</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Toc66209202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73</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05" w:history="1">
        <w:r w:rsidR="008347F3" w:rsidRPr="00ED296A">
          <w:rPr>
            <w:rStyle w:val="Hyperlink"/>
            <w:rFonts w:cs="Guttman Hodes"/>
            <w:b/>
            <w:bCs/>
            <w:i w:val="0"/>
            <w:iCs w:val="0"/>
            <w:noProof/>
            <w:rtl/>
          </w:rPr>
          <w:t>סימן ז'</w:t>
        </w:r>
        <w:r w:rsidR="00CD58AA" w:rsidRPr="00ED296A">
          <w:rPr>
            <w:rtl/>
          </w:rPr>
          <w:t xml:space="preserve"> </w:t>
        </w:r>
        <w:r w:rsidR="00CD58AA" w:rsidRPr="00ED296A">
          <w:rPr>
            <w:rStyle w:val="Hyperlink"/>
            <w:rFonts w:cs="Guttman Hodes"/>
            <w:b/>
            <w:bCs/>
            <w:i w:val="0"/>
            <w:iCs w:val="0"/>
            <w:rtl/>
          </w:rPr>
          <w:t>בסוגיא דשכוני גוואי ובפלוגתת רבא ור"נ בדין המוחזקות בספק בחזקת ג"ש</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Toc66209205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89</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07" w:history="1">
        <w:r w:rsidR="008347F3" w:rsidRPr="00ED296A">
          <w:rPr>
            <w:rStyle w:val="Hyperlink"/>
            <w:rFonts w:cs="Guttman Hodes"/>
            <w:b/>
            <w:bCs/>
            <w:i w:val="0"/>
            <w:iCs w:val="0"/>
            <w:noProof/>
            <w:rtl/>
          </w:rPr>
          <w:t>סימן ח'</w:t>
        </w:r>
        <w:r w:rsidR="00CD58AA" w:rsidRPr="00ED296A">
          <w:rPr>
            <w:rtl/>
          </w:rPr>
          <w:t xml:space="preserve"> </w:t>
        </w:r>
        <w:r w:rsidR="00CD58AA" w:rsidRPr="00ED296A">
          <w:rPr>
            <w:rStyle w:val="Hyperlink"/>
            <w:rFonts w:cs="Guttman Hodes"/>
            <w:b/>
            <w:bCs/>
            <w:i w:val="0"/>
            <w:iCs w:val="0"/>
            <w:rtl/>
          </w:rPr>
          <w:t>בסוגיא דלאו קא מודית (א')</w:t>
        </w:r>
        <w:r w:rsidR="00CD58AA" w:rsidRPr="00ED296A">
          <w:rPr>
            <w:rStyle w:val="Hyperlink"/>
            <w:rFonts w:cs="Guttman Hodes"/>
            <w:b/>
            <w:bCs/>
            <w:i w:val="0"/>
            <w:iCs w:val="0"/>
            <w:noProof/>
            <w:rtl/>
          </w:rPr>
          <w:t xml:space="preserve"> </w:t>
        </w:r>
      </w:hyperlink>
    </w:p>
    <w:p w:rsidR="008347F3" w:rsidRPr="00ED296A" w:rsidRDefault="000E55D0" w:rsidP="00ED296A">
      <w:pPr>
        <w:pStyle w:val="TOC2"/>
        <w:rPr>
          <w:rStyle w:val="Hyperlink"/>
          <w:rFonts w:cs="Guttman Hodes"/>
          <w:b/>
          <w:bCs/>
          <w:i w:val="0"/>
          <w:iCs w:val="0"/>
          <w:rtl/>
        </w:rPr>
      </w:pPr>
      <w:hyperlink w:anchor="_Toc66209209" w:history="1">
        <w:r w:rsidR="008347F3" w:rsidRPr="00ED296A">
          <w:rPr>
            <w:rStyle w:val="Hyperlink"/>
            <w:rFonts w:cs="Guttman Hodes"/>
            <w:b/>
            <w:bCs/>
            <w:i w:val="0"/>
            <w:iCs w:val="0"/>
            <w:noProof/>
            <w:rtl/>
          </w:rPr>
          <w:t>בביאור הודאת המחזיק למערער ואמאי ל"מ לו מיגו דמינך זבינתה ולהד"ם</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Toc66209209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107</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10" w:history="1">
        <w:r w:rsidR="008347F3" w:rsidRPr="00ED296A">
          <w:rPr>
            <w:rStyle w:val="Hyperlink"/>
            <w:rFonts w:cs="Guttman Hodes"/>
            <w:b/>
            <w:bCs/>
            <w:i w:val="0"/>
            <w:iCs w:val="0"/>
            <w:noProof/>
            <w:rtl/>
          </w:rPr>
          <w:t>סימן ט'</w:t>
        </w:r>
        <w:r w:rsidR="00ED296A" w:rsidRPr="00ED296A">
          <w:rPr>
            <w:rtl/>
          </w:rPr>
          <w:t xml:space="preserve"> </w:t>
        </w:r>
        <w:r w:rsidR="00ED296A" w:rsidRPr="00ED296A">
          <w:rPr>
            <w:rStyle w:val="Hyperlink"/>
            <w:rFonts w:cs="Guttman Hodes"/>
            <w:b/>
            <w:bCs/>
            <w:i w:val="0"/>
            <w:iCs w:val="0"/>
            <w:rtl/>
          </w:rPr>
          <w:t>בסוגיא דלאו קא מודית (ב')</w:t>
        </w:r>
        <w:r w:rsidR="00ED296A" w:rsidRPr="00ED296A">
          <w:rPr>
            <w:rStyle w:val="Hyperlink"/>
            <w:rFonts w:cs="Guttman Hodes"/>
            <w:b/>
            <w:bCs/>
            <w:i w:val="0"/>
            <w:iCs w:val="0"/>
            <w:noProof/>
            <w:rtl/>
          </w:rPr>
          <w:t xml:space="preserve"> </w:t>
        </w:r>
      </w:hyperlink>
    </w:p>
    <w:p w:rsidR="008347F3" w:rsidRPr="00ED296A" w:rsidRDefault="000E55D0" w:rsidP="00ED296A">
      <w:pPr>
        <w:pStyle w:val="TOC2"/>
        <w:rPr>
          <w:rStyle w:val="Hyperlink"/>
          <w:rFonts w:cs="Guttman Hodes"/>
          <w:b/>
          <w:bCs/>
          <w:i w:val="0"/>
          <w:iCs w:val="0"/>
          <w:rtl/>
        </w:rPr>
      </w:pPr>
      <w:hyperlink w:anchor="_Toc66209212" w:history="1">
        <w:r w:rsidR="008347F3" w:rsidRPr="00ED296A">
          <w:rPr>
            <w:rStyle w:val="Hyperlink"/>
            <w:rFonts w:cs="Guttman Hodes"/>
            <w:b/>
            <w:bCs/>
            <w:i w:val="0"/>
            <w:iCs w:val="0"/>
            <w:noProof/>
            <w:rtl/>
          </w:rPr>
          <w:t>בהביא המחזיק עדים דהמוכר דר חד יומא או דטוען המחזיק קמי דידי זבנה מינך</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Toc66209212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124</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13" w:history="1">
        <w:r w:rsidR="008347F3" w:rsidRPr="00ED296A">
          <w:rPr>
            <w:rStyle w:val="Hyperlink"/>
            <w:rFonts w:cs="Guttman Hodes"/>
            <w:b/>
            <w:bCs/>
            <w:i w:val="0"/>
            <w:iCs w:val="0"/>
            <w:noProof/>
            <w:rtl/>
          </w:rPr>
          <w:t>סימן י'</w:t>
        </w:r>
        <w:r w:rsidR="00ED296A" w:rsidRPr="00ED296A">
          <w:rPr>
            <w:rtl/>
          </w:rPr>
          <w:t xml:space="preserve"> </w:t>
        </w:r>
        <w:r w:rsidR="00ED296A" w:rsidRPr="00ED296A">
          <w:rPr>
            <w:rStyle w:val="Hyperlink"/>
            <w:rFonts w:cs="Guttman Hodes"/>
            <w:b/>
            <w:bCs/>
            <w:i w:val="0"/>
            <w:iCs w:val="0"/>
            <w:rtl/>
          </w:rPr>
          <w:t>בסוגיא דלאו קא מודית (ג')</w:t>
        </w:r>
        <w:r w:rsidR="00ED296A" w:rsidRPr="00ED296A">
          <w:rPr>
            <w:rStyle w:val="Hyperlink"/>
            <w:rFonts w:cs="Guttman Hodes"/>
            <w:b/>
            <w:bCs/>
            <w:i w:val="0"/>
            <w:iCs w:val="0"/>
            <w:noProof/>
            <w:rtl/>
          </w:rPr>
          <w:t xml:space="preserve"> </w:t>
        </w:r>
      </w:hyperlink>
    </w:p>
    <w:p w:rsidR="008347F3" w:rsidRPr="00ED296A" w:rsidRDefault="000E55D0" w:rsidP="00ED296A">
      <w:pPr>
        <w:pStyle w:val="TOC2"/>
        <w:rPr>
          <w:rStyle w:val="Hyperlink"/>
          <w:rFonts w:cs="Guttman Hodes"/>
          <w:b/>
          <w:bCs/>
          <w:i w:val="0"/>
          <w:iCs w:val="0"/>
          <w:rtl/>
        </w:rPr>
      </w:pPr>
      <w:hyperlink w:anchor="_Toc66209215" w:history="1">
        <w:r w:rsidR="008347F3" w:rsidRPr="00ED296A">
          <w:rPr>
            <w:rStyle w:val="Hyperlink"/>
            <w:rFonts w:cs="Guttman Hodes"/>
            <w:b/>
            <w:bCs/>
            <w:i w:val="0"/>
            <w:iCs w:val="0"/>
            <w:noProof/>
            <w:rtl/>
          </w:rPr>
          <w:t>בגדר דין טענינן בקמי דידי דר בה חד יומא ובדברי הרשב"א בתוס' ור"י</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Toc66209215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141</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16" w:history="1">
        <w:r w:rsidR="008347F3" w:rsidRPr="00ED296A">
          <w:rPr>
            <w:rStyle w:val="Hyperlink"/>
            <w:rFonts w:cs="Guttman Hodes"/>
            <w:b/>
            <w:bCs/>
            <w:i w:val="0"/>
            <w:iCs w:val="0"/>
            <w:noProof/>
            <w:rtl/>
          </w:rPr>
          <w:t>סימן י"א</w:t>
        </w:r>
        <w:r w:rsidR="00ED296A" w:rsidRPr="00ED296A">
          <w:rPr>
            <w:rtl/>
          </w:rPr>
          <w:t xml:space="preserve"> </w:t>
        </w:r>
        <w:r w:rsidR="00ED296A" w:rsidRPr="00ED296A">
          <w:rPr>
            <w:rStyle w:val="Hyperlink"/>
            <w:rFonts w:cs="Guttman Hodes"/>
            <w:b/>
            <w:bCs/>
            <w:i w:val="0"/>
            <w:iCs w:val="0"/>
            <w:rtl/>
          </w:rPr>
          <w:t>בסוגיא דלאו קא מודית (ד')</w:t>
        </w:r>
        <w:r w:rsidR="00ED296A" w:rsidRPr="00ED296A">
          <w:rPr>
            <w:rStyle w:val="Hyperlink"/>
            <w:rFonts w:cs="Guttman Hodes"/>
            <w:b/>
            <w:bCs/>
            <w:i w:val="0"/>
            <w:iCs w:val="0"/>
            <w:noProof/>
            <w:rtl/>
          </w:rPr>
          <w:t xml:space="preserve"> </w:t>
        </w:r>
      </w:hyperlink>
    </w:p>
    <w:p w:rsidR="008347F3" w:rsidRPr="00ED296A" w:rsidRDefault="000E55D0" w:rsidP="00ED296A">
      <w:pPr>
        <w:pStyle w:val="TOC2"/>
        <w:rPr>
          <w:rStyle w:val="Hyperlink"/>
          <w:rFonts w:cs="Guttman Hodes"/>
          <w:b/>
          <w:bCs/>
          <w:i w:val="0"/>
          <w:iCs w:val="0"/>
          <w:rtl/>
        </w:rPr>
      </w:pPr>
      <w:hyperlink w:anchor="_Toc66209218" w:history="1">
        <w:r w:rsidR="008347F3" w:rsidRPr="00ED296A">
          <w:rPr>
            <w:rStyle w:val="Hyperlink"/>
            <w:rFonts w:cs="Guttman Hodes"/>
            <w:b/>
            <w:bCs/>
            <w:i w:val="0"/>
            <w:iCs w:val="0"/>
            <w:noProof/>
            <w:rtl/>
          </w:rPr>
          <w:t>במיגו למפרע ומיגו כנגד אחוי שטרך ובדברי הרשב"ם ור"ח אי המחזיק בע"ד</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Toc66209218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157</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19" w:history="1">
        <w:r w:rsidR="008347F3" w:rsidRPr="00ED296A">
          <w:rPr>
            <w:rStyle w:val="Hyperlink"/>
            <w:rFonts w:cs="Guttman Hodes"/>
            <w:b/>
            <w:bCs/>
            <w:i w:val="0"/>
            <w:iCs w:val="0"/>
            <w:noProof/>
            <w:rtl/>
          </w:rPr>
          <w:t>סימן י"ב</w:t>
        </w:r>
        <w:r w:rsidR="00ED296A" w:rsidRPr="00ED296A">
          <w:rPr>
            <w:rtl/>
          </w:rPr>
          <w:t xml:space="preserve"> </w:t>
        </w:r>
        <w:r w:rsidR="00ED296A" w:rsidRPr="00ED296A">
          <w:rPr>
            <w:rStyle w:val="Hyperlink"/>
            <w:rFonts w:cs="Guttman Hodes"/>
            <w:b/>
            <w:bCs/>
            <w:i w:val="0"/>
            <w:iCs w:val="0"/>
            <w:rtl/>
          </w:rPr>
          <w:t>בביאור המחלוקת אי אמרינן מיגו במקום עדים</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Toc66209219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173</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21" w:history="1">
        <w:r w:rsidR="008347F3" w:rsidRPr="00ED296A">
          <w:rPr>
            <w:rStyle w:val="Hyperlink"/>
            <w:rFonts w:cs="Guttman Hodes"/>
            <w:b/>
            <w:bCs/>
            <w:i w:val="0"/>
            <w:iCs w:val="0"/>
            <w:noProof/>
            <w:rtl/>
          </w:rPr>
          <w:t>סימן י"ג</w:t>
        </w:r>
        <w:r w:rsidR="00ED296A" w:rsidRPr="00ED296A">
          <w:rPr>
            <w:rtl/>
          </w:rPr>
          <w:t xml:space="preserve"> </w:t>
        </w:r>
        <w:r w:rsidR="00ED296A" w:rsidRPr="00ED296A">
          <w:rPr>
            <w:rStyle w:val="Hyperlink"/>
            <w:rFonts w:cs="Guttman Hodes"/>
            <w:b/>
            <w:bCs/>
            <w:i w:val="0"/>
            <w:iCs w:val="0"/>
            <w:rtl/>
          </w:rPr>
          <w:t>בפלוגתת עולא ונהרדעי בטוען וחוזר וטוען ובדין חוזר וטוען מפטור לפטור</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Toc66209221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186</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23" w:history="1">
        <w:r w:rsidR="008347F3" w:rsidRPr="00ED296A">
          <w:rPr>
            <w:rStyle w:val="Hyperlink"/>
            <w:rFonts w:cs="Guttman Hodes"/>
            <w:b/>
            <w:bCs/>
            <w:i w:val="0"/>
            <w:iCs w:val="0"/>
            <w:noProof/>
            <w:rtl/>
          </w:rPr>
          <w:t>סימן י"ד</w:t>
        </w:r>
        <w:r w:rsidR="00ED296A" w:rsidRPr="00ED296A">
          <w:rPr>
            <w:rtl/>
          </w:rPr>
          <w:t xml:space="preserve"> </w:t>
        </w:r>
        <w:r w:rsidR="00ED296A" w:rsidRPr="00ED296A">
          <w:rPr>
            <w:rStyle w:val="Hyperlink"/>
            <w:rFonts w:cs="Guttman Hodes"/>
            <w:b/>
            <w:bCs/>
            <w:i w:val="0"/>
            <w:iCs w:val="0"/>
            <w:rtl/>
          </w:rPr>
          <w:t>בסוגיא דשטרא זייפא ובדין מיגו להוציא</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Toc66209223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205</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25" w:history="1">
        <w:r w:rsidR="008347F3" w:rsidRPr="00ED296A">
          <w:rPr>
            <w:rStyle w:val="Hyperlink"/>
            <w:rFonts w:cs="Guttman Hodes"/>
            <w:b/>
            <w:bCs/>
            <w:i w:val="0"/>
            <w:iCs w:val="0"/>
            <w:noProof/>
            <w:rtl/>
          </w:rPr>
          <w:t>סימן ט"ו</w:t>
        </w:r>
        <w:r w:rsidR="00ED296A" w:rsidRPr="00ED296A">
          <w:rPr>
            <w:rtl/>
          </w:rPr>
          <w:t xml:space="preserve"> </w:t>
        </w:r>
        <w:r w:rsidR="00ED296A" w:rsidRPr="00ED296A">
          <w:rPr>
            <w:rStyle w:val="Hyperlink"/>
            <w:rFonts w:cs="Guttman Hodes"/>
            <w:b/>
            <w:bCs/>
            <w:i w:val="0"/>
            <w:iCs w:val="0"/>
            <w:rtl/>
          </w:rPr>
          <w:t>בסוגיא דרבא בר שרשום</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Toc66209225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224</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27" w:history="1">
        <w:r w:rsidR="008347F3" w:rsidRPr="00ED296A">
          <w:rPr>
            <w:rStyle w:val="Hyperlink"/>
            <w:rFonts w:cs="Guttman Hodes"/>
            <w:b/>
            <w:bCs/>
            <w:i w:val="0"/>
            <w:iCs w:val="0"/>
            <w:noProof/>
            <w:rtl/>
          </w:rPr>
          <w:t>סימן ט"ז</w:t>
        </w:r>
        <w:r w:rsidR="00ED296A" w:rsidRPr="00ED296A">
          <w:rPr>
            <w:rStyle w:val="Hyperlink"/>
            <w:rFonts w:cs="Guttman Hodes" w:hint="cs"/>
            <w:b/>
            <w:bCs/>
            <w:i w:val="0"/>
            <w:iCs w:val="0"/>
            <w:noProof/>
            <w:rtl/>
          </w:rPr>
          <w:t xml:space="preserve"> </w:t>
        </w:r>
        <w:r w:rsidR="00ED296A" w:rsidRPr="00ED296A">
          <w:rPr>
            <w:rStyle w:val="Hyperlink"/>
            <w:rFonts w:cs="Guttman Hodes"/>
            <w:b/>
            <w:bCs/>
            <w:i w:val="0"/>
            <w:iCs w:val="0"/>
            <w:rtl/>
          </w:rPr>
          <w:t>בסוגיא דקריביה דרב איד</w:t>
        </w:r>
        <w:r w:rsidR="00ED296A" w:rsidRPr="00ED296A">
          <w:rPr>
            <w:rStyle w:val="Hyperlink"/>
            <w:rFonts w:cs="Guttman Hodes" w:hint="cs"/>
            <w:b/>
            <w:bCs/>
            <w:i w:val="0"/>
            <w:iCs w:val="0"/>
            <w:rtl/>
          </w:rPr>
          <w:t>י</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Toc66209227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241</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29" w:history="1">
        <w:r w:rsidR="008347F3" w:rsidRPr="00ED296A">
          <w:rPr>
            <w:rStyle w:val="Hyperlink"/>
            <w:rFonts w:cs="Guttman Hodes"/>
            <w:b/>
            <w:bCs/>
            <w:i w:val="0"/>
            <w:iCs w:val="0"/>
            <w:noProof/>
            <w:rtl/>
          </w:rPr>
          <w:t>סימן י"ז</w:t>
        </w:r>
        <w:r w:rsidR="00ED296A" w:rsidRPr="00ED296A">
          <w:rPr>
            <w:rtl/>
          </w:rPr>
          <w:t xml:space="preserve"> </w:t>
        </w:r>
        <w:r w:rsidR="00ED296A" w:rsidRPr="00ED296A">
          <w:rPr>
            <w:rStyle w:val="Hyperlink"/>
            <w:rFonts w:cs="Guttman Hodes"/>
            <w:b/>
            <w:bCs/>
            <w:i w:val="0"/>
            <w:iCs w:val="0"/>
            <w:rtl/>
          </w:rPr>
          <w:t>בסוגיא דנסכא דרבי אבא (א')</w:t>
        </w:r>
        <w:r w:rsidR="00ED296A" w:rsidRPr="00ED296A">
          <w:rPr>
            <w:rStyle w:val="Hyperlink"/>
            <w:rFonts w:cs="Guttman Hodes"/>
            <w:b/>
            <w:bCs/>
            <w:i w:val="0"/>
            <w:iCs w:val="0"/>
            <w:noProof/>
            <w:rtl/>
          </w:rPr>
          <w:t xml:space="preserve"> </w:t>
        </w:r>
      </w:hyperlink>
    </w:p>
    <w:p w:rsidR="008347F3" w:rsidRPr="00ED296A" w:rsidRDefault="000E55D0" w:rsidP="00ED296A">
      <w:pPr>
        <w:pStyle w:val="TOC2"/>
        <w:rPr>
          <w:rStyle w:val="Hyperlink"/>
          <w:rFonts w:cs="Guttman Hodes"/>
          <w:b/>
          <w:bCs/>
          <w:i w:val="0"/>
          <w:iCs w:val="0"/>
          <w:rtl/>
        </w:rPr>
      </w:pPr>
      <w:hyperlink w:anchor="_Toc66209230" w:history="1">
        <w:r w:rsidR="008347F3" w:rsidRPr="00ED296A">
          <w:rPr>
            <w:rStyle w:val="Hyperlink"/>
            <w:rFonts w:cs="Guttman Hodes"/>
            <w:b/>
            <w:bCs/>
            <w:i w:val="0"/>
            <w:iCs w:val="0"/>
            <w:rtl/>
          </w:rPr>
          <w:t>בהא דא"א לחייבו או לפוטרו ואינו יכול להשבע ובדין ע"א באכילת פירות</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Toc66209230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258</w:t>
        </w:r>
        <w:r w:rsidR="008347F3" w:rsidRPr="00ED296A">
          <w:rPr>
            <w:rStyle w:val="Hyperlink"/>
            <w:rFonts w:cs="Guttman Hodes"/>
            <w:b/>
            <w:bCs/>
            <w:i w:val="0"/>
            <w:iCs w:val="0"/>
            <w:noProof/>
            <w:rtl/>
          </w:rPr>
          <w:fldChar w:fldCharType="end"/>
        </w:r>
      </w:hyperlink>
    </w:p>
    <w:p w:rsidR="008347F3" w:rsidRPr="00ED296A" w:rsidRDefault="000E55D0" w:rsidP="00ED296A">
      <w:pPr>
        <w:pStyle w:val="TOC2"/>
        <w:rPr>
          <w:rStyle w:val="Hyperlink"/>
          <w:rFonts w:cs="Guttman Hodes"/>
          <w:b/>
          <w:bCs/>
          <w:i w:val="0"/>
          <w:iCs w:val="0"/>
          <w:rtl/>
        </w:rPr>
      </w:pPr>
      <w:hyperlink w:anchor="_Toc66209231" w:history="1">
        <w:r w:rsidR="008347F3" w:rsidRPr="00ED296A">
          <w:rPr>
            <w:rStyle w:val="Hyperlink"/>
            <w:rFonts w:cs="Guttman Hodes"/>
            <w:b/>
            <w:bCs/>
            <w:i w:val="0"/>
            <w:iCs w:val="0"/>
            <w:noProof/>
            <w:rtl/>
          </w:rPr>
          <w:t>סימן י"ח</w:t>
        </w:r>
        <w:r w:rsidR="00ED296A" w:rsidRPr="00ED296A">
          <w:rPr>
            <w:rtl/>
          </w:rPr>
          <w:t xml:space="preserve"> </w:t>
        </w:r>
        <w:r w:rsidR="00ED296A" w:rsidRPr="00ED296A">
          <w:rPr>
            <w:rStyle w:val="Hyperlink"/>
            <w:rFonts w:cs="Guttman Hodes"/>
            <w:b/>
            <w:bCs/>
            <w:i w:val="0"/>
            <w:iCs w:val="0"/>
            <w:rtl/>
          </w:rPr>
          <w:t>בסוגיא דנסכא דרבי אבא (ב')</w:t>
        </w:r>
        <w:r w:rsidR="00ED296A" w:rsidRPr="00ED296A">
          <w:rPr>
            <w:rStyle w:val="Hyperlink"/>
            <w:rFonts w:cs="Guttman Hodes"/>
            <w:b/>
            <w:bCs/>
            <w:i w:val="0"/>
            <w:iCs w:val="0"/>
            <w:noProof/>
            <w:rtl/>
          </w:rPr>
          <w:t xml:space="preserve"> </w:t>
        </w:r>
      </w:hyperlink>
    </w:p>
    <w:p w:rsidR="008347F3" w:rsidRPr="00ED296A" w:rsidRDefault="000E55D0" w:rsidP="00ED296A">
      <w:pPr>
        <w:pStyle w:val="TOC2"/>
        <w:rPr>
          <w:rFonts w:eastAsiaTheme="minorEastAsia"/>
          <w:noProof/>
          <w:sz w:val="22"/>
          <w:szCs w:val="22"/>
          <w:rtl/>
        </w:rPr>
      </w:pPr>
      <w:hyperlink w:anchor="_Toc66209232" w:history="1">
        <w:r w:rsidR="008347F3" w:rsidRPr="00ED296A">
          <w:rPr>
            <w:rStyle w:val="Hyperlink"/>
            <w:rFonts w:cs="Guttman Hodes"/>
            <w:b/>
            <w:bCs/>
            <w:i w:val="0"/>
            <w:iCs w:val="0"/>
            <w:noProof/>
            <w:rtl/>
          </w:rPr>
          <w:t xml:space="preserve"> </w:t>
        </w:r>
        <w:r w:rsidR="008347F3" w:rsidRPr="00ED296A">
          <w:rPr>
            <w:rStyle w:val="Hyperlink"/>
            <w:rFonts w:cs="Guttman Hodes"/>
            <w:b/>
            <w:bCs/>
            <w:i w:val="0"/>
            <w:iCs w:val="0"/>
            <w:rtl/>
          </w:rPr>
          <w:t>בהא דלא נאמן בשבועה במיגו ובגדר שבועת ע"א ובמיגו נגד חזקה דמה שתח"י</w:t>
        </w:r>
        <w:r w:rsidR="008347F3" w:rsidRPr="00ED296A">
          <w:rPr>
            <w:rStyle w:val="Hyperlink"/>
            <w:rFonts w:cs="Guttman Hodes"/>
            <w:b/>
            <w:bCs/>
            <w:i w:val="0"/>
            <w:iCs w:val="0"/>
            <w:webHidden/>
            <w:rtl/>
          </w:rPr>
          <w:tab/>
        </w:r>
        <w:r w:rsidR="008347F3" w:rsidRPr="00ED296A">
          <w:rPr>
            <w:rStyle w:val="Hyperlink"/>
            <w:rFonts w:cs="Guttman Hodes"/>
            <w:b/>
            <w:bCs/>
            <w:i w:val="0"/>
            <w:iCs w:val="0"/>
            <w:noProof/>
            <w:rtl/>
          </w:rPr>
          <w:fldChar w:fldCharType="begin"/>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webHidden/>
          </w:rPr>
          <w:instrText>PAGEREF</w:instrText>
        </w:r>
        <w:r w:rsidR="008347F3" w:rsidRPr="00ED296A">
          <w:rPr>
            <w:rStyle w:val="Hyperlink"/>
            <w:rFonts w:cs="Guttman Hodes"/>
            <w:b/>
            <w:bCs/>
            <w:i w:val="0"/>
            <w:iCs w:val="0"/>
            <w:webHidden/>
            <w:rtl/>
          </w:rPr>
          <w:instrText xml:space="preserve"> _</w:instrText>
        </w:r>
        <w:r w:rsidR="008347F3" w:rsidRPr="00ED296A">
          <w:rPr>
            <w:rStyle w:val="Hyperlink"/>
            <w:rFonts w:cs="Guttman Hodes"/>
            <w:b/>
            <w:bCs/>
            <w:i w:val="0"/>
            <w:iCs w:val="0"/>
            <w:webHidden/>
          </w:rPr>
          <w:instrText>Toc66209232 \h</w:instrText>
        </w:r>
        <w:r w:rsidR="008347F3" w:rsidRPr="00ED296A">
          <w:rPr>
            <w:rStyle w:val="Hyperlink"/>
            <w:rFonts w:cs="Guttman Hodes"/>
            <w:b/>
            <w:bCs/>
            <w:i w:val="0"/>
            <w:iCs w:val="0"/>
            <w:webHidden/>
            <w:rtl/>
          </w:rPr>
          <w:instrText xml:space="preserve"> </w:instrText>
        </w:r>
        <w:r w:rsidR="008347F3" w:rsidRPr="00ED296A">
          <w:rPr>
            <w:rStyle w:val="Hyperlink"/>
            <w:rFonts w:cs="Guttman Hodes"/>
            <w:b/>
            <w:bCs/>
            <w:i w:val="0"/>
            <w:iCs w:val="0"/>
            <w:noProof/>
            <w:rtl/>
          </w:rPr>
        </w:r>
        <w:r w:rsidR="008347F3" w:rsidRPr="00ED296A">
          <w:rPr>
            <w:rStyle w:val="Hyperlink"/>
            <w:rFonts w:cs="Guttman Hodes"/>
            <w:b/>
            <w:bCs/>
            <w:i w:val="0"/>
            <w:iCs w:val="0"/>
            <w:noProof/>
            <w:rtl/>
          </w:rPr>
          <w:fldChar w:fldCharType="separate"/>
        </w:r>
        <w:r w:rsidR="00265073">
          <w:rPr>
            <w:rStyle w:val="Hyperlink"/>
            <w:rFonts w:cs="Guttman Hodes"/>
            <w:b/>
            <w:bCs/>
            <w:i w:val="0"/>
            <w:iCs w:val="0"/>
            <w:noProof/>
            <w:webHidden/>
            <w:rtl/>
          </w:rPr>
          <w:t>271</w:t>
        </w:r>
        <w:r w:rsidR="008347F3" w:rsidRPr="00ED296A">
          <w:rPr>
            <w:rStyle w:val="Hyperlink"/>
            <w:rFonts w:cs="Guttman Hodes"/>
            <w:b/>
            <w:bCs/>
            <w:i w:val="0"/>
            <w:iCs w:val="0"/>
            <w:noProof/>
            <w:rtl/>
          </w:rPr>
          <w:fldChar w:fldCharType="end"/>
        </w:r>
      </w:hyperlink>
    </w:p>
    <w:p w:rsidR="00997248" w:rsidRPr="00B2187A" w:rsidRDefault="00997248" w:rsidP="0074599B">
      <w:pPr>
        <w:spacing w:line="240" w:lineRule="auto"/>
        <w:ind w:left="0"/>
        <w:jc w:val="center"/>
        <w:rPr>
          <w:rFonts w:ascii="Guttman Hodes" w:eastAsia="Guttman Hodes" w:hAnsi="Guttman Hodes" w:cs="Guttman Hodes"/>
          <w:b/>
          <w:bCs/>
          <w:rtl/>
        </w:rPr>
        <w:sectPr w:rsidR="00997248" w:rsidRPr="00B2187A" w:rsidSect="00ED296A">
          <w:pgSz w:w="11906" w:h="16838"/>
          <w:pgMar w:top="1440" w:right="1800" w:bottom="1440" w:left="1800" w:header="708" w:footer="708" w:gutter="0"/>
          <w:cols w:space="709"/>
          <w:bidi/>
          <w:rtlGutter/>
          <w:docGrid w:linePitch="360"/>
        </w:sectPr>
      </w:pPr>
      <w:r w:rsidRPr="00ED296A">
        <w:rPr>
          <w:rFonts w:ascii="Calibri" w:eastAsia="Calibri" w:hAnsi="Calibri" w:cs="Guttman Hodes"/>
          <w:b/>
          <w:bCs/>
          <w:noProof/>
          <w:sz w:val="20"/>
          <w:szCs w:val="20"/>
          <w:rtl/>
        </w:rPr>
        <w:fldChar w:fldCharType="end"/>
      </w:r>
    </w:p>
    <w:p w:rsidR="000F071D" w:rsidRPr="0050146A" w:rsidRDefault="000F071D" w:rsidP="00997248">
      <w:pPr>
        <w:spacing w:line="240" w:lineRule="auto"/>
        <w:ind w:left="0"/>
        <w:jc w:val="center"/>
        <w:rPr>
          <w:rFonts w:ascii="Guttman Hodes" w:eastAsia="Guttman Hodes" w:hAnsi="Guttman Hodes" w:cs="Guttman Hodes"/>
          <w:b/>
          <w:bCs/>
          <w:rtl/>
        </w:rPr>
      </w:pPr>
      <w:r w:rsidRPr="0050146A">
        <w:rPr>
          <w:rFonts w:ascii="Guttman Hodes" w:eastAsia="Guttman Hodes" w:hAnsi="Guttman Hodes" w:cs="Guttman Hodes" w:hint="cs"/>
          <w:b/>
          <w:bCs/>
          <w:rtl/>
        </w:rPr>
        <w:lastRenderedPageBreak/>
        <w:t>מכתב ברכה ממורינו ראש הכולל הגאון רבי יעקב יוסף מן שליט"א</w:t>
      </w:r>
    </w:p>
    <w:p w:rsidR="000F071D" w:rsidRPr="0050146A" w:rsidRDefault="000F071D" w:rsidP="000F071D">
      <w:pPr>
        <w:spacing w:line="240" w:lineRule="auto"/>
        <w:ind w:left="0"/>
        <w:jc w:val="center"/>
        <w:rPr>
          <w:rFonts w:ascii="Guttman Hodes" w:eastAsia="Guttman Hodes" w:hAnsi="Guttman Hodes" w:cs="Guttman Hodes"/>
          <w:b/>
          <w:bCs/>
          <w:rtl/>
        </w:rPr>
      </w:pPr>
    </w:p>
    <w:p w:rsidR="000F071D" w:rsidRPr="0050146A" w:rsidRDefault="000F071D" w:rsidP="000F071D">
      <w:pPr>
        <w:spacing w:line="240" w:lineRule="auto"/>
        <w:ind w:left="0"/>
        <w:jc w:val="center"/>
        <w:rPr>
          <w:rFonts w:ascii="Guttman Hodes" w:eastAsia="Guttman Hodes" w:hAnsi="Guttman Hodes" w:cs="Guttman Hodes"/>
          <w:b/>
          <w:bCs/>
          <w:rtl/>
        </w:rPr>
      </w:pPr>
    </w:p>
    <w:p w:rsidR="000F071D" w:rsidRPr="0050146A" w:rsidRDefault="000F071D" w:rsidP="000F071D">
      <w:pPr>
        <w:spacing w:line="240" w:lineRule="auto"/>
        <w:ind w:left="0"/>
        <w:jc w:val="center"/>
        <w:rPr>
          <w:rFonts w:ascii="Guttman Hodes" w:eastAsia="Guttman Hodes" w:hAnsi="Guttman Hodes" w:cs="Guttman Hodes"/>
          <w:b/>
          <w:bCs/>
          <w:noProof/>
          <w:rtl/>
        </w:rPr>
      </w:pPr>
      <w:r w:rsidRPr="0050146A">
        <w:rPr>
          <w:rFonts w:ascii="Guttman Hodes" w:eastAsia="Guttman Hodes" w:hAnsi="Guttman Hodes" w:cs="Guttman Hodes"/>
          <w:b/>
          <w:bCs/>
          <w:noProof/>
          <w:rtl/>
        </w:rPr>
        <w:drawing>
          <wp:inline distT="0" distB="0" distL="0" distR="0" wp14:anchorId="1CBA1439" wp14:editId="29A69478">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rsidR="000F071D" w:rsidRPr="0050146A" w:rsidRDefault="000F071D" w:rsidP="000F071D">
      <w:pPr>
        <w:spacing w:line="240" w:lineRule="auto"/>
        <w:ind w:left="0"/>
        <w:jc w:val="center"/>
        <w:rPr>
          <w:rFonts w:ascii="Guttman Hodes" w:eastAsia="Guttman Hodes" w:hAnsi="Guttman Hodes" w:cs="Guttman Hodes"/>
          <w:b/>
          <w:bCs/>
          <w:rtl/>
        </w:rPr>
      </w:pPr>
    </w:p>
    <w:p w:rsidR="000F071D" w:rsidRPr="0050146A" w:rsidRDefault="000F071D" w:rsidP="000F071D">
      <w:pPr>
        <w:spacing w:line="240" w:lineRule="auto"/>
        <w:ind w:left="0"/>
        <w:jc w:val="center"/>
        <w:rPr>
          <w:rFonts w:ascii="Guttman Hodes" w:eastAsia="Guttman Hodes" w:hAnsi="Guttman Hodes" w:cs="Guttman Hodes"/>
          <w:b/>
          <w:bCs/>
          <w:rtl/>
        </w:rPr>
      </w:pPr>
    </w:p>
    <w:p w:rsidR="000F071D" w:rsidRPr="0050146A" w:rsidRDefault="000F071D" w:rsidP="000F071D">
      <w:pPr>
        <w:spacing w:line="240" w:lineRule="auto"/>
        <w:ind w:left="0"/>
        <w:jc w:val="center"/>
        <w:rPr>
          <w:rFonts w:ascii="Guttman Hodes" w:eastAsia="Guttman Hodes" w:hAnsi="Guttman Hodes" w:cs="Guttman Hodes"/>
          <w:b/>
          <w:bCs/>
          <w:rtl/>
        </w:rPr>
        <w:sectPr w:rsidR="000F071D" w:rsidRPr="0050146A" w:rsidSect="000F071D">
          <w:headerReference w:type="default" r:id="rId13"/>
          <w:pgSz w:w="11906" w:h="16838"/>
          <w:pgMar w:top="1440" w:right="1800" w:bottom="1440" w:left="1800" w:header="708" w:footer="708" w:gutter="0"/>
          <w:cols w:space="709"/>
          <w:bidi/>
          <w:rtlGutter/>
          <w:docGrid w:linePitch="360"/>
        </w:sectPr>
      </w:pPr>
    </w:p>
    <w:p w:rsidR="000F071D" w:rsidRPr="0050146A" w:rsidRDefault="000F071D" w:rsidP="000F071D">
      <w:pPr>
        <w:spacing w:line="240" w:lineRule="auto"/>
        <w:ind w:left="0"/>
        <w:jc w:val="center"/>
        <w:rPr>
          <w:rFonts w:ascii="Guttman Hodes" w:eastAsia="Guttman Hodes" w:hAnsi="Guttman Hodes" w:cs="Guttman Hodes"/>
          <w:b/>
          <w:bCs/>
          <w:rtl/>
        </w:rPr>
      </w:pPr>
      <w:r w:rsidRPr="0050146A">
        <w:rPr>
          <w:rFonts w:ascii="Guttman Hodes" w:eastAsia="Guttman Hodes" w:hAnsi="Guttman Hodes" w:cs="Guttman Hodes" w:hint="cs"/>
          <w:b/>
          <w:bCs/>
          <w:rtl/>
        </w:rPr>
        <w:lastRenderedPageBreak/>
        <w:t>מכתב ברכה מהגאון רבי דוד מילר שליט"א מראשי ישיבת פוניבז'</w:t>
      </w:r>
    </w:p>
    <w:p w:rsidR="000F071D" w:rsidRPr="0050146A" w:rsidRDefault="000F071D" w:rsidP="000F071D">
      <w:pPr>
        <w:tabs>
          <w:tab w:val="left" w:pos="1163"/>
        </w:tabs>
        <w:spacing w:after="120" w:line="240" w:lineRule="auto"/>
        <w:ind w:left="284" w:right="284"/>
        <w:rPr>
          <w:rFonts w:ascii="David" w:eastAsia="Guttman Hodes" w:hAnsi="David" w:cs="David"/>
          <w:b/>
          <w:bCs/>
          <w:noProof/>
          <w:sz w:val="30"/>
          <w:szCs w:val="30"/>
          <w:rtl/>
        </w:rPr>
      </w:pPr>
    </w:p>
    <w:p w:rsidR="000F071D" w:rsidRPr="0050146A" w:rsidRDefault="000F071D" w:rsidP="000F071D">
      <w:pPr>
        <w:tabs>
          <w:tab w:val="left" w:pos="1163"/>
        </w:tabs>
        <w:spacing w:after="120" w:line="240" w:lineRule="auto"/>
        <w:ind w:left="284" w:right="284"/>
        <w:rPr>
          <w:rFonts w:ascii="David" w:eastAsia="Guttman Hodes" w:hAnsi="David" w:cs="David"/>
          <w:b/>
          <w:bCs/>
          <w:noProof/>
          <w:sz w:val="30"/>
          <w:szCs w:val="30"/>
          <w:rtl/>
        </w:rPr>
      </w:pPr>
      <w:r w:rsidRPr="0050146A">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769A7730" wp14:editId="1EDB641A">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071D" w:rsidRPr="0050146A" w:rsidRDefault="000F071D" w:rsidP="000F071D">
      <w:pPr>
        <w:tabs>
          <w:tab w:val="left" w:pos="1163"/>
        </w:tabs>
        <w:spacing w:after="120" w:line="240" w:lineRule="auto"/>
        <w:ind w:left="284" w:right="284"/>
        <w:rPr>
          <w:rFonts w:ascii="David" w:eastAsia="Guttman Hodes" w:hAnsi="David" w:cs="David"/>
          <w:b/>
          <w:bCs/>
          <w:noProof/>
          <w:sz w:val="30"/>
          <w:szCs w:val="30"/>
          <w:rtl/>
        </w:rPr>
      </w:pPr>
    </w:p>
    <w:p w:rsidR="000F071D" w:rsidRPr="0050146A" w:rsidRDefault="000F071D" w:rsidP="000F071D">
      <w:pPr>
        <w:tabs>
          <w:tab w:val="left" w:pos="1163"/>
        </w:tabs>
        <w:spacing w:after="120" w:line="240" w:lineRule="auto"/>
        <w:ind w:left="284" w:right="284"/>
        <w:rPr>
          <w:rFonts w:ascii="David" w:eastAsia="Guttman Hodes" w:hAnsi="David" w:cs="David"/>
          <w:b/>
          <w:bCs/>
          <w:noProof/>
          <w:sz w:val="30"/>
          <w:szCs w:val="30"/>
          <w:rtl/>
        </w:rPr>
      </w:pPr>
    </w:p>
    <w:p w:rsidR="000F071D" w:rsidRPr="0050146A" w:rsidRDefault="000F071D" w:rsidP="000F071D">
      <w:pPr>
        <w:tabs>
          <w:tab w:val="left" w:pos="1163"/>
        </w:tabs>
        <w:spacing w:after="120" w:line="240" w:lineRule="auto"/>
        <w:ind w:left="284" w:right="284"/>
        <w:rPr>
          <w:rFonts w:ascii="David" w:eastAsia="Guttman Hodes" w:hAnsi="David" w:cs="David"/>
          <w:b/>
          <w:bCs/>
          <w:noProof/>
          <w:sz w:val="30"/>
          <w:szCs w:val="30"/>
          <w:rtl/>
        </w:rPr>
      </w:pPr>
    </w:p>
    <w:p w:rsidR="000F071D" w:rsidRPr="0050146A" w:rsidRDefault="000F071D" w:rsidP="000F071D">
      <w:pPr>
        <w:tabs>
          <w:tab w:val="left" w:pos="1163"/>
        </w:tabs>
        <w:spacing w:after="120" w:line="240" w:lineRule="auto"/>
        <w:ind w:left="284" w:right="284"/>
        <w:rPr>
          <w:rFonts w:ascii="David" w:eastAsia="Guttman Hodes" w:hAnsi="David" w:cs="David"/>
          <w:b/>
          <w:bCs/>
          <w:noProof/>
          <w:sz w:val="30"/>
          <w:szCs w:val="30"/>
          <w:rtl/>
        </w:rPr>
      </w:pPr>
    </w:p>
    <w:p w:rsidR="000F071D" w:rsidRPr="0050146A" w:rsidRDefault="000F071D" w:rsidP="000F071D">
      <w:pPr>
        <w:tabs>
          <w:tab w:val="left" w:pos="1163"/>
        </w:tabs>
        <w:spacing w:after="120" w:line="240" w:lineRule="auto"/>
        <w:ind w:left="284" w:right="284"/>
        <w:rPr>
          <w:rFonts w:ascii="David" w:eastAsia="Guttman Hodes" w:hAnsi="David" w:cs="David"/>
          <w:b/>
          <w:bCs/>
          <w:noProof/>
          <w:sz w:val="30"/>
          <w:szCs w:val="30"/>
          <w:rtl/>
        </w:rPr>
      </w:pPr>
    </w:p>
    <w:p w:rsidR="000F071D" w:rsidRPr="0050146A" w:rsidRDefault="000F071D" w:rsidP="000F071D">
      <w:pPr>
        <w:tabs>
          <w:tab w:val="left" w:pos="1163"/>
        </w:tabs>
        <w:spacing w:after="120" w:line="240" w:lineRule="auto"/>
        <w:ind w:left="284" w:right="284"/>
        <w:rPr>
          <w:rFonts w:ascii="David" w:eastAsia="Guttman Hodes" w:hAnsi="David" w:cs="David"/>
          <w:b/>
          <w:bCs/>
          <w:noProof/>
          <w:sz w:val="31"/>
          <w:szCs w:val="31"/>
          <w:rtl/>
        </w:rPr>
      </w:pPr>
    </w:p>
    <w:p w:rsidR="000F071D" w:rsidRPr="0050146A" w:rsidRDefault="000F071D" w:rsidP="000F071D">
      <w:pPr>
        <w:tabs>
          <w:tab w:val="left" w:pos="1163"/>
        </w:tabs>
        <w:spacing w:after="120" w:line="240" w:lineRule="auto"/>
        <w:ind w:left="454" w:right="454"/>
        <w:rPr>
          <w:rFonts w:ascii="David" w:eastAsia="Guttman Hodes" w:hAnsi="David" w:cs="David"/>
          <w:b/>
          <w:bCs/>
          <w:noProof/>
          <w:sz w:val="31"/>
          <w:szCs w:val="31"/>
          <w:rtl/>
        </w:rPr>
      </w:pPr>
    </w:p>
    <w:p w:rsidR="000F071D" w:rsidRDefault="000F071D" w:rsidP="000F071D">
      <w:pPr>
        <w:tabs>
          <w:tab w:val="left" w:pos="1163"/>
        </w:tabs>
        <w:spacing w:after="120" w:line="240" w:lineRule="auto"/>
        <w:ind w:left="454" w:right="454"/>
        <w:rPr>
          <w:rFonts w:ascii="David" w:eastAsia="Guttman Hodes" w:hAnsi="David" w:cs="David"/>
          <w:b/>
          <w:bCs/>
          <w:noProof/>
          <w:sz w:val="36"/>
          <w:szCs w:val="36"/>
          <w:rtl/>
        </w:rPr>
      </w:pPr>
    </w:p>
    <w:p w:rsidR="000F071D" w:rsidRPr="0050146A" w:rsidRDefault="000F071D" w:rsidP="000F071D">
      <w:pPr>
        <w:tabs>
          <w:tab w:val="left" w:pos="1163"/>
        </w:tabs>
        <w:spacing w:after="120" w:line="240" w:lineRule="auto"/>
        <w:ind w:left="454" w:right="454"/>
        <w:rPr>
          <w:rFonts w:ascii="David" w:eastAsia="Guttman Hodes" w:hAnsi="David" w:cs="David"/>
          <w:b/>
          <w:bCs/>
          <w:noProof/>
          <w:sz w:val="36"/>
          <w:szCs w:val="36"/>
        </w:rPr>
      </w:pPr>
      <w:r w:rsidRPr="0050146A">
        <w:rPr>
          <w:rFonts w:ascii="David" w:eastAsia="Guttman Hodes" w:hAnsi="David" w:cs="David"/>
          <w:b/>
          <w:bCs/>
          <w:noProof/>
          <w:sz w:val="36"/>
          <w:szCs w:val="36"/>
          <w:rtl/>
        </w:rPr>
        <w:t>לכב' הרב הגאון ר' שלמה הנדל שליט"א</w:t>
      </w:r>
    </w:p>
    <w:p w:rsidR="000F071D" w:rsidRPr="0050146A" w:rsidRDefault="000F071D" w:rsidP="000F071D">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שלום וברכה !</w:t>
      </w:r>
    </w:p>
    <w:p w:rsidR="000F071D" w:rsidRPr="0050146A" w:rsidRDefault="000F071D" w:rsidP="005F31E1">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 xml:space="preserve">הנני להודות לכת"ר על הקונטרס הנפלא "ליקוטי </w:t>
      </w:r>
      <w:r>
        <w:rPr>
          <w:rFonts w:ascii="David" w:eastAsia="Guttman Hodes" w:hAnsi="David" w:cs="David" w:hint="cs"/>
          <w:b/>
          <w:bCs/>
          <w:noProof/>
          <w:sz w:val="36"/>
          <w:szCs w:val="36"/>
          <w:rtl/>
        </w:rPr>
        <w:t>הרמב"ם</w:t>
      </w:r>
      <w:r w:rsidRPr="00A25FA5">
        <w:rPr>
          <w:rFonts w:ascii="David" w:eastAsia="Guttman Hodes" w:hAnsi="David" w:cs="David" w:hint="cs"/>
          <w:b/>
          <w:bCs/>
          <w:noProof/>
          <w:sz w:val="36"/>
          <w:szCs w:val="36"/>
          <w:vertAlign w:val="superscript"/>
          <w:rtl/>
        </w:rPr>
        <w:t>*</w:t>
      </w:r>
      <w:r w:rsidRPr="0050146A">
        <w:rPr>
          <w:rFonts w:ascii="David" w:eastAsia="Guttman Hodes" w:hAnsi="David" w:cs="David"/>
          <w:b/>
          <w:bCs/>
          <w:noProof/>
          <w:sz w:val="36"/>
          <w:szCs w:val="36"/>
          <w:rtl/>
        </w:rPr>
        <w:t xml:space="preserve"> עם </w:t>
      </w:r>
      <w:r w:rsidR="005F31E1">
        <w:rPr>
          <w:rFonts w:ascii="David" w:eastAsia="Guttman Hodes" w:hAnsi="David" w:cs="David"/>
          <w:b/>
          <w:bCs/>
          <w:noProof/>
          <w:sz w:val="36"/>
          <w:szCs w:val="36"/>
          <w:rtl/>
        </w:rPr>
        <w:t>מראי מקומות וביאורים</w:t>
      </w:r>
      <w:r w:rsidRPr="0050146A">
        <w:rPr>
          <w:rFonts w:ascii="David" w:eastAsia="Guttman Hodes" w:hAnsi="David" w:cs="David"/>
          <w:b/>
          <w:bCs/>
          <w:noProof/>
          <w:sz w:val="36"/>
          <w:szCs w:val="36"/>
          <w:rtl/>
        </w:rPr>
        <w:t>" עמ"ס בב"מ ששדר מר לכולל "שיח יצחק" שכון ה' ב"ב, אשר הוא לתועלת גדולה ללומדי ביהמד"ר, בהיותו "משנה סדורה" בכל נושא ו</w:t>
      </w:r>
      <w:r>
        <w:rPr>
          <w:rFonts w:ascii="David" w:eastAsia="Guttman Hodes" w:hAnsi="David" w:cs="David"/>
          <w:b/>
          <w:bCs/>
          <w:noProof/>
          <w:sz w:val="36"/>
          <w:szCs w:val="36"/>
          <w:rtl/>
        </w:rPr>
        <w:t>סוגית</w:t>
      </w:r>
      <w:r w:rsidRPr="0050146A">
        <w:rPr>
          <w:rFonts w:ascii="David" w:eastAsia="Guttman Hodes" w:hAnsi="David" w:cs="David"/>
          <w:b/>
          <w:bCs/>
          <w:noProof/>
          <w:sz w:val="36"/>
          <w:szCs w:val="36"/>
          <w:rtl/>
        </w:rPr>
        <w:t>, בהבאת השיטות השונות ובביאורם, ובחישוב הנפ"מ שביניהם, והמו"מ בדבריהם, מתוך ה</w:t>
      </w:r>
      <w:r>
        <w:rPr>
          <w:rFonts w:ascii="David" w:eastAsia="Guttman Hodes" w:hAnsi="David" w:cs="David"/>
          <w:b/>
          <w:bCs/>
          <w:noProof/>
          <w:sz w:val="36"/>
          <w:szCs w:val="36"/>
          <w:rtl/>
        </w:rPr>
        <w:t>סוגית</w:t>
      </w:r>
      <w:r w:rsidRPr="0050146A">
        <w:rPr>
          <w:rFonts w:ascii="David" w:eastAsia="Guttman Hodes" w:hAnsi="David" w:cs="David"/>
          <w:b/>
          <w:bCs/>
          <w:noProof/>
          <w:sz w:val="36"/>
          <w:szCs w:val="36"/>
          <w:rtl/>
        </w:rPr>
        <w:t xml:space="preserve"> בבהירות נפלאה, ובלשון צחה וקצרה מועט המחזיק את המרובה</w:t>
      </w:r>
      <w:r w:rsidRPr="0050146A">
        <w:rPr>
          <w:rFonts w:ascii="David" w:eastAsia="Guttman Hodes" w:hAnsi="David" w:cs="David" w:hint="cs"/>
          <w:b/>
          <w:bCs/>
          <w:noProof/>
          <w:sz w:val="36"/>
          <w:szCs w:val="36"/>
          <w:rtl/>
        </w:rPr>
        <w:t>.</w:t>
      </w:r>
    </w:p>
    <w:p w:rsidR="000F071D" w:rsidRPr="0050146A" w:rsidRDefault="000F071D" w:rsidP="000F071D">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כולו "חכמה" ואינה מלאכה</w:t>
      </w:r>
      <w:r w:rsidRPr="0050146A">
        <w:rPr>
          <w:rFonts w:ascii="David" w:eastAsia="Guttman Hodes" w:hAnsi="David" w:cs="David" w:hint="cs"/>
          <w:b/>
          <w:bCs/>
          <w:noProof/>
          <w:sz w:val="36"/>
          <w:szCs w:val="36"/>
          <w:rtl/>
        </w:rPr>
        <w:t>.</w:t>
      </w:r>
    </w:p>
    <w:p w:rsidR="000F071D" w:rsidRPr="0050146A" w:rsidRDefault="000F071D" w:rsidP="000F071D">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ישר כוחכם על כך.</w:t>
      </w:r>
    </w:p>
    <w:p w:rsidR="000F071D" w:rsidRPr="0050146A" w:rsidRDefault="000F071D" w:rsidP="000F071D">
      <w:pPr>
        <w:tabs>
          <w:tab w:val="left" w:pos="1163"/>
        </w:tabs>
        <w:spacing w:after="120" w:line="240" w:lineRule="auto"/>
        <w:ind w:left="454" w:right="454"/>
        <w:rPr>
          <w:rFonts w:ascii="David" w:eastAsia="Guttman Hodes" w:hAnsi="David" w:cs="David"/>
          <w:b/>
          <w:bCs/>
          <w:noProof/>
          <w:sz w:val="36"/>
          <w:szCs w:val="36"/>
          <w:rtl/>
        </w:rPr>
      </w:pPr>
      <w:r w:rsidRPr="0050146A">
        <w:rPr>
          <w:rFonts w:ascii="David" w:eastAsia="Guttman Hodes" w:hAnsi="David" w:cs="David"/>
          <w:b/>
          <w:bCs/>
          <w:noProof/>
          <w:sz w:val="36"/>
          <w:szCs w:val="36"/>
          <w:rtl/>
        </w:rPr>
        <w:t>והנני לברכך שתזכה לברר עוד</w:t>
      </w:r>
      <w:r w:rsidR="00A77F33">
        <w:rPr>
          <w:rFonts w:ascii="David" w:eastAsia="Guttman Hodes" w:hAnsi="David" w:cs="David"/>
          <w:b/>
          <w:bCs/>
          <w:noProof/>
          <w:sz w:val="36"/>
          <w:szCs w:val="36"/>
          <w:rtl/>
        </w:rPr>
        <w:t xml:space="preserve"> </w:t>
      </w:r>
      <w:r w:rsidRPr="0050146A">
        <w:rPr>
          <w:rFonts w:ascii="David" w:eastAsia="Guttman Hodes" w:hAnsi="David" w:cs="David"/>
          <w:b/>
          <w:bCs/>
          <w:noProof/>
          <w:sz w:val="36"/>
          <w:szCs w:val="36"/>
          <w:rtl/>
        </w:rPr>
        <w:t>חלקים בתוה"ק מתוך מנוחת הנפש ולהעלותם עלי כתב להפיצם בישראל.</w:t>
      </w:r>
      <w:r w:rsidR="00A77F33">
        <w:rPr>
          <w:rFonts w:ascii="David" w:eastAsia="Guttman Hodes" w:hAnsi="David" w:cs="David"/>
          <w:b/>
          <w:bCs/>
          <w:noProof/>
          <w:sz w:val="36"/>
          <w:szCs w:val="36"/>
          <w:rtl/>
        </w:rPr>
        <w:t xml:space="preserve"> </w:t>
      </w:r>
    </w:p>
    <w:p w:rsidR="000F071D" w:rsidRPr="0050146A" w:rsidRDefault="000F071D" w:rsidP="000F071D">
      <w:pPr>
        <w:spacing w:after="160" w:line="259" w:lineRule="auto"/>
        <w:ind w:left="0"/>
        <w:jc w:val="left"/>
        <w:rPr>
          <w:rFonts w:ascii="Calibri" w:eastAsia="Calibri" w:hAnsi="Calibri" w:cs="Arial"/>
        </w:rPr>
      </w:pPr>
    </w:p>
    <w:p w:rsidR="000F071D" w:rsidRPr="0050146A" w:rsidRDefault="000F071D" w:rsidP="000F071D">
      <w:pPr>
        <w:spacing w:after="160" w:line="259" w:lineRule="auto"/>
        <w:ind w:left="0"/>
        <w:jc w:val="left"/>
        <w:rPr>
          <w:rFonts w:ascii="Calibri" w:eastAsia="Calibri" w:hAnsi="Calibri" w:cs="Arial"/>
          <w:b/>
          <w:bCs/>
          <w:rtl/>
        </w:rPr>
      </w:pPr>
    </w:p>
    <w:p w:rsidR="000F071D" w:rsidRPr="0050146A" w:rsidRDefault="000F071D" w:rsidP="000F071D">
      <w:pPr>
        <w:spacing w:after="160" w:line="259" w:lineRule="auto"/>
        <w:ind w:left="0"/>
        <w:jc w:val="left"/>
        <w:rPr>
          <w:rFonts w:ascii="Calibri" w:eastAsia="Calibri" w:hAnsi="Calibri" w:cs="Arial"/>
          <w:b/>
          <w:bCs/>
          <w:rtl/>
        </w:rPr>
      </w:pPr>
    </w:p>
    <w:p w:rsidR="000F071D" w:rsidRPr="0050146A" w:rsidRDefault="000F071D" w:rsidP="000F071D">
      <w:pPr>
        <w:spacing w:after="160" w:line="259" w:lineRule="auto"/>
        <w:ind w:left="0"/>
        <w:jc w:val="left"/>
        <w:rPr>
          <w:rFonts w:ascii="Calibri" w:eastAsia="Calibri" w:hAnsi="Calibri" w:cs="Arial"/>
          <w:b/>
          <w:bCs/>
          <w:rtl/>
        </w:rPr>
      </w:pPr>
      <w:r w:rsidRPr="00A25FA5">
        <w:rPr>
          <w:rFonts w:ascii="David" w:eastAsia="Guttman Hodes" w:hAnsi="David" w:cs="David" w:hint="cs"/>
          <w:b/>
          <w:bCs/>
          <w:noProof/>
          <w:sz w:val="36"/>
          <w:szCs w:val="36"/>
          <w:vertAlign w:val="superscript"/>
          <w:rtl/>
        </w:rPr>
        <w:t>*</w:t>
      </w:r>
      <w:r>
        <w:rPr>
          <w:rFonts w:ascii="Calibri" w:eastAsia="Calibri" w:hAnsi="Calibri" w:cs="Arial" w:hint="cs"/>
          <w:b/>
          <w:bCs/>
          <w:rtl/>
        </w:rPr>
        <w:t xml:space="preserve"> </w:t>
      </w:r>
      <w:r w:rsidRPr="006345E2">
        <w:rPr>
          <w:rFonts w:ascii="David" w:eastAsia="Guttman Hodes" w:hAnsi="David" w:cs="David" w:hint="cs"/>
          <w:noProof/>
          <w:sz w:val="18"/>
          <w:szCs w:val="18"/>
          <w:rtl/>
        </w:rPr>
        <w:t xml:space="preserve">ספר </w:t>
      </w:r>
      <w:r>
        <w:rPr>
          <w:rFonts w:ascii="David" w:eastAsia="Guttman Hodes" w:hAnsi="David" w:cs="David" w:hint="cs"/>
          <w:noProof/>
          <w:sz w:val="18"/>
          <w:szCs w:val="18"/>
          <w:rtl/>
        </w:rPr>
        <w:t>"</w:t>
      </w:r>
      <w:r w:rsidRPr="006345E2">
        <w:rPr>
          <w:rFonts w:ascii="David" w:eastAsia="Guttman Hodes" w:hAnsi="David" w:cs="David" w:hint="cs"/>
          <w:noProof/>
          <w:sz w:val="18"/>
          <w:szCs w:val="18"/>
          <w:rtl/>
        </w:rPr>
        <w:t>משנתם סדורה</w:t>
      </w:r>
      <w:r>
        <w:rPr>
          <w:rFonts w:ascii="David" w:eastAsia="Guttman Hodes" w:hAnsi="David" w:cs="David" w:hint="cs"/>
          <w:noProof/>
          <w:sz w:val="18"/>
          <w:szCs w:val="18"/>
          <w:rtl/>
        </w:rPr>
        <w:t>"</w:t>
      </w:r>
      <w:r w:rsidRPr="006345E2">
        <w:rPr>
          <w:rFonts w:ascii="David" w:eastAsia="Guttman Hodes" w:hAnsi="David" w:cs="David" w:hint="cs"/>
          <w:noProof/>
          <w:sz w:val="18"/>
          <w:szCs w:val="18"/>
          <w:rtl/>
        </w:rPr>
        <w:t xml:space="preserve"> </w:t>
      </w:r>
      <w:r>
        <w:rPr>
          <w:rFonts w:ascii="David" w:eastAsia="Guttman Hodes" w:hAnsi="David" w:cs="David" w:hint="cs"/>
          <w:noProof/>
          <w:sz w:val="18"/>
          <w:szCs w:val="18"/>
          <w:rtl/>
        </w:rPr>
        <w:t>נד'</w:t>
      </w:r>
      <w:r w:rsidRPr="006345E2">
        <w:rPr>
          <w:rFonts w:ascii="David" w:eastAsia="Guttman Hodes" w:hAnsi="David" w:cs="David" w:hint="cs"/>
          <w:noProof/>
          <w:sz w:val="18"/>
          <w:szCs w:val="18"/>
          <w:rtl/>
        </w:rPr>
        <w:t xml:space="preserve"> בתחילה </w:t>
      </w:r>
      <w:r>
        <w:rPr>
          <w:rFonts w:ascii="David" w:eastAsia="Guttman Hodes" w:hAnsi="David" w:cs="David" w:hint="cs"/>
          <w:noProof/>
          <w:sz w:val="18"/>
          <w:szCs w:val="18"/>
          <w:rtl/>
        </w:rPr>
        <w:t xml:space="preserve">בקונט' </w:t>
      </w:r>
      <w:r w:rsidRPr="006345E2">
        <w:rPr>
          <w:rFonts w:ascii="David" w:eastAsia="Guttman Hodes" w:hAnsi="David" w:cs="David" w:hint="cs"/>
          <w:noProof/>
          <w:sz w:val="18"/>
          <w:szCs w:val="18"/>
          <w:rtl/>
        </w:rPr>
        <w:t>בשם זה.</w:t>
      </w:r>
    </w:p>
    <w:p w:rsidR="000F071D" w:rsidRPr="0050146A" w:rsidRDefault="000F071D" w:rsidP="000F071D">
      <w:pPr>
        <w:spacing w:after="160" w:line="259" w:lineRule="auto"/>
        <w:ind w:left="0"/>
        <w:jc w:val="left"/>
        <w:rPr>
          <w:rFonts w:ascii="Calibri" w:eastAsia="Calibri" w:hAnsi="Calibri" w:cs="Arial"/>
          <w:b/>
          <w:bCs/>
          <w:rtl/>
        </w:rPr>
      </w:pPr>
    </w:p>
    <w:p w:rsidR="000F071D" w:rsidRPr="0050146A" w:rsidRDefault="000F071D" w:rsidP="000F071D">
      <w:pPr>
        <w:spacing w:after="160" w:line="259" w:lineRule="auto"/>
        <w:ind w:left="0"/>
        <w:jc w:val="left"/>
        <w:rPr>
          <w:rFonts w:ascii="Calibri" w:eastAsia="Calibri" w:hAnsi="Calibri" w:cs="Arial"/>
          <w:b/>
          <w:bCs/>
          <w:rtl/>
        </w:rPr>
      </w:pPr>
    </w:p>
    <w:p w:rsidR="000F071D" w:rsidRPr="0050146A" w:rsidRDefault="000F071D" w:rsidP="000F071D">
      <w:pPr>
        <w:spacing w:after="160" w:line="259" w:lineRule="auto"/>
        <w:ind w:left="0"/>
        <w:jc w:val="left"/>
        <w:rPr>
          <w:rFonts w:ascii="Calibri" w:eastAsia="Calibri" w:hAnsi="Calibri" w:cs="Arial"/>
          <w:b/>
          <w:bCs/>
          <w:rtl/>
        </w:rPr>
      </w:pPr>
    </w:p>
    <w:p w:rsidR="000F071D" w:rsidRPr="0050146A" w:rsidRDefault="000F071D" w:rsidP="000F071D">
      <w:pPr>
        <w:spacing w:after="160" w:line="259" w:lineRule="auto"/>
        <w:ind w:left="0"/>
        <w:jc w:val="left"/>
        <w:rPr>
          <w:rFonts w:ascii="Calibri" w:eastAsia="Calibri" w:hAnsi="Calibri" w:cs="Arial"/>
          <w:b/>
          <w:bCs/>
          <w:rtl/>
        </w:rPr>
      </w:pPr>
    </w:p>
    <w:p w:rsidR="000F071D" w:rsidRPr="0050146A" w:rsidRDefault="000F071D" w:rsidP="000F071D">
      <w:pPr>
        <w:spacing w:after="160" w:line="259" w:lineRule="auto"/>
        <w:ind w:left="0"/>
        <w:jc w:val="left"/>
        <w:rPr>
          <w:rFonts w:ascii="Calibri" w:eastAsia="Calibri" w:hAnsi="Calibri" w:cs="Arial"/>
          <w:b/>
          <w:bCs/>
          <w:rtl/>
        </w:rPr>
      </w:pPr>
    </w:p>
    <w:p w:rsidR="000F071D" w:rsidRPr="0050146A" w:rsidRDefault="000F071D" w:rsidP="000F071D">
      <w:pPr>
        <w:spacing w:after="160" w:line="259" w:lineRule="auto"/>
        <w:ind w:left="0"/>
        <w:jc w:val="left"/>
        <w:rPr>
          <w:rFonts w:ascii="Calibri" w:eastAsia="Calibri" w:hAnsi="Calibri" w:cs="Arial"/>
          <w:b/>
          <w:bCs/>
          <w:rtl/>
        </w:rPr>
      </w:pPr>
    </w:p>
    <w:p w:rsidR="000F071D" w:rsidRPr="0050146A" w:rsidRDefault="000F071D" w:rsidP="000F071D">
      <w:pPr>
        <w:spacing w:after="160" w:line="480" w:lineRule="auto"/>
        <w:ind w:left="0" w:right="1418"/>
        <w:jc w:val="left"/>
        <w:rPr>
          <w:rFonts w:ascii="David" w:eastAsia="Calibri" w:hAnsi="David" w:cs="David"/>
          <w:b/>
          <w:bCs/>
          <w:sz w:val="36"/>
          <w:szCs w:val="36"/>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r w:rsidRPr="0050146A">
        <w:rPr>
          <w:rFonts w:ascii="Guttman Hodes" w:eastAsia="Guttman Hodes" w:hAnsi="Guttman Hodes" w:cs="Guttman Hodes" w:hint="cs"/>
          <w:sz w:val="20"/>
          <w:szCs w:val="20"/>
          <w:rtl/>
        </w:rPr>
        <w:t>מכתב זה ניתן לספר "משנתם סדורה" על פרק איזהו נשך</w:t>
      </w:r>
      <w:r>
        <w:rPr>
          <w:rFonts w:ascii="Guttman Hodes" w:eastAsia="Guttman Hodes" w:hAnsi="Guttman Hodes" w:cs="Guttman Hodes" w:hint="cs"/>
          <w:sz w:val="20"/>
          <w:szCs w:val="20"/>
          <w:rtl/>
        </w:rPr>
        <w:t xml:space="preserve"> ונדפס כאן ברשות ראש הישיבה שליט"א</w:t>
      </w:r>
    </w:p>
    <w:p w:rsidR="000F071D" w:rsidRPr="0050146A" w:rsidRDefault="000F071D" w:rsidP="000F071D">
      <w:pPr>
        <w:spacing w:line="240" w:lineRule="auto"/>
        <w:ind w:left="0"/>
        <w:jc w:val="center"/>
        <w:rPr>
          <w:rFonts w:ascii="Guttman Hodes" w:eastAsia="Guttman Hodes" w:hAnsi="Guttman Hodes" w:cs="Guttman Hodes"/>
          <w:b/>
          <w:bCs/>
          <w:rtl/>
        </w:rPr>
      </w:pPr>
    </w:p>
    <w:p w:rsidR="000F071D" w:rsidRPr="0050146A" w:rsidRDefault="000F071D" w:rsidP="000F071D">
      <w:pPr>
        <w:spacing w:line="240" w:lineRule="auto"/>
        <w:ind w:left="0"/>
        <w:jc w:val="center"/>
        <w:rPr>
          <w:rFonts w:ascii="Guttman Hodes" w:eastAsia="Guttman Hodes" w:hAnsi="Guttman Hodes" w:cs="Guttman Hodes"/>
          <w:b/>
          <w:bCs/>
          <w:rtl/>
        </w:rPr>
      </w:pPr>
    </w:p>
    <w:p w:rsidR="000F071D" w:rsidRPr="0050146A" w:rsidRDefault="000F071D" w:rsidP="000F071D">
      <w:pPr>
        <w:spacing w:line="240" w:lineRule="auto"/>
        <w:ind w:left="0"/>
        <w:jc w:val="center"/>
        <w:rPr>
          <w:rFonts w:ascii="Guttman Hodes" w:eastAsia="Guttman Hodes" w:hAnsi="Guttman Hodes" w:cs="Guttman Hodes"/>
          <w:b/>
          <w:bCs/>
          <w:rtl/>
        </w:rPr>
      </w:pPr>
      <w:r w:rsidRPr="0050146A">
        <w:rPr>
          <w:rFonts w:ascii="Guttman Hodes" w:eastAsia="Guttman Hodes" w:hAnsi="Guttman Hodes" w:cs="Guttman Hodes" w:hint="cs"/>
          <w:b/>
          <w:bCs/>
          <w:rtl/>
        </w:rPr>
        <w:t>מכתב ברכה מהגאון רבי איתמר גרבוז שליט"א ראש ישיבת אורחות תורה</w:t>
      </w:r>
    </w:p>
    <w:p w:rsidR="000F071D" w:rsidRPr="0050146A" w:rsidRDefault="000F071D" w:rsidP="000F071D">
      <w:pPr>
        <w:spacing w:after="160" w:line="480" w:lineRule="auto"/>
        <w:ind w:left="0" w:right="1418"/>
        <w:jc w:val="left"/>
        <w:rPr>
          <w:rFonts w:ascii="David" w:eastAsia="Calibri" w:hAnsi="David" w:cs="David"/>
          <w:b/>
          <w:bCs/>
          <w:sz w:val="36"/>
          <w:szCs w:val="36"/>
          <w:rtl/>
        </w:rPr>
      </w:pPr>
      <w:r w:rsidRPr="0050146A">
        <w:rPr>
          <w:rFonts w:hint="cs"/>
          <w:noProof/>
          <w:rtl/>
        </w:rPr>
        <w:drawing>
          <wp:anchor distT="0" distB="0" distL="114300" distR="114300" simplePos="0" relativeHeight="251659264" behindDoc="1" locked="0" layoutInCell="1" allowOverlap="1" wp14:anchorId="619BF011" wp14:editId="3655A5FA">
            <wp:simplePos x="0" y="0"/>
            <wp:positionH relativeFrom="margin">
              <wp:align>left</wp:align>
            </wp:positionH>
            <wp:positionV relativeFrom="page">
              <wp:posOffset>1414021</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00A77F33">
        <w:rPr>
          <w:rFonts w:ascii="David" w:eastAsia="Calibri" w:hAnsi="David" w:cs="David"/>
          <w:b/>
          <w:bCs/>
          <w:sz w:val="36"/>
          <w:szCs w:val="36"/>
          <w:rtl/>
        </w:rPr>
        <w:t xml:space="preserve"> </w:t>
      </w:r>
    </w:p>
    <w:p w:rsidR="000F071D" w:rsidRPr="0050146A" w:rsidRDefault="000F071D" w:rsidP="000F071D">
      <w:pPr>
        <w:spacing w:after="160" w:line="480" w:lineRule="auto"/>
        <w:ind w:left="0" w:right="1418"/>
        <w:jc w:val="left"/>
        <w:rPr>
          <w:rFonts w:ascii="David" w:eastAsia="Calibri" w:hAnsi="David" w:cs="David"/>
          <w:b/>
          <w:bCs/>
          <w:sz w:val="36"/>
          <w:szCs w:val="36"/>
          <w:rtl/>
        </w:rPr>
      </w:pPr>
    </w:p>
    <w:p w:rsidR="000F071D" w:rsidRPr="0050146A" w:rsidRDefault="000F071D" w:rsidP="000F071D">
      <w:pPr>
        <w:spacing w:after="160" w:line="480" w:lineRule="auto"/>
        <w:ind w:left="0" w:right="1418"/>
        <w:jc w:val="left"/>
        <w:rPr>
          <w:rFonts w:ascii="David" w:eastAsia="Calibri" w:hAnsi="David" w:cs="David"/>
          <w:b/>
          <w:bCs/>
          <w:sz w:val="36"/>
          <w:szCs w:val="36"/>
          <w:rtl/>
        </w:rPr>
      </w:pPr>
    </w:p>
    <w:p w:rsidR="000F071D" w:rsidRPr="0050146A" w:rsidRDefault="000F071D" w:rsidP="000F071D">
      <w:pPr>
        <w:spacing w:after="160" w:line="480" w:lineRule="auto"/>
        <w:ind w:left="0" w:right="1418"/>
        <w:jc w:val="left"/>
        <w:rPr>
          <w:rFonts w:ascii="David" w:eastAsia="Calibri" w:hAnsi="David" w:cs="David"/>
          <w:b/>
          <w:bCs/>
          <w:sz w:val="16"/>
          <w:szCs w:val="16"/>
          <w:rtl/>
        </w:rPr>
      </w:pPr>
    </w:p>
    <w:p w:rsidR="000F071D" w:rsidRPr="0050146A" w:rsidRDefault="000F071D" w:rsidP="000F071D">
      <w:pPr>
        <w:spacing w:after="160" w:line="480" w:lineRule="auto"/>
        <w:ind w:left="340" w:right="1418"/>
        <w:jc w:val="left"/>
        <w:rPr>
          <w:rFonts w:ascii="David" w:eastAsia="Calibri" w:hAnsi="David" w:cs="David"/>
          <w:b/>
          <w:bCs/>
          <w:sz w:val="36"/>
          <w:szCs w:val="36"/>
          <w:rtl/>
        </w:rPr>
      </w:pPr>
    </w:p>
    <w:p w:rsidR="000F071D" w:rsidRPr="0050146A" w:rsidRDefault="000F071D" w:rsidP="000F071D">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הנני בזה להוקיר את הרה"ג הנעלה והמצויין</w:t>
      </w:r>
    </w:p>
    <w:p w:rsidR="000F071D" w:rsidRPr="0050146A" w:rsidRDefault="000F071D" w:rsidP="000F071D">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רבי שלמה הנדל שליט"א מטובי האברכים</w:t>
      </w:r>
    </w:p>
    <w:p w:rsidR="000F071D" w:rsidRPr="0050146A" w:rsidRDefault="000F071D" w:rsidP="000F071D">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בישיבת בית הלל, אשר עורך ומסדר בטוטו"ד</w:t>
      </w:r>
    </w:p>
    <w:p w:rsidR="000F071D" w:rsidRPr="0050146A" w:rsidRDefault="000F071D" w:rsidP="000F071D">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יסודות הסוגיות החמורות דפרק איזהו נשך,</w:t>
      </w:r>
    </w:p>
    <w:p w:rsidR="000F071D" w:rsidRPr="0050146A" w:rsidRDefault="000F071D" w:rsidP="000F071D">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מדברי רבותינו ראשי הישיבות,</w:t>
      </w:r>
    </w:p>
    <w:p w:rsidR="000F071D" w:rsidRPr="0050146A" w:rsidRDefault="000F071D" w:rsidP="000F071D">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 xml:space="preserve">וגם מאריך לבאר שיטת הרמב"ם בכל </w:t>
      </w:r>
      <w:r>
        <w:rPr>
          <w:rFonts w:ascii="David" w:eastAsia="Calibri" w:hAnsi="David" w:cs="David"/>
          <w:b/>
          <w:bCs/>
          <w:sz w:val="36"/>
          <w:szCs w:val="36"/>
          <w:rtl/>
        </w:rPr>
        <w:t>סוגית</w:t>
      </w:r>
      <w:r w:rsidRPr="0050146A">
        <w:rPr>
          <w:rFonts w:ascii="David" w:eastAsia="Calibri" w:hAnsi="David" w:cs="David"/>
          <w:b/>
          <w:bCs/>
          <w:sz w:val="36"/>
          <w:szCs w:val="36"/>
          <w:rtl/>
        </w:rPr>
        <w:t xml:space="preserve"> ו</w:t>
      </w:r>
      <w:r>
        <w:rPr>
          <w:rFonts w:ascii="David" w:eastAsia="Calibri" w:hAnsi="David" w:cs="David"/>
          <w:b/>
          <w:bCs/>
          <w:sz w:val="36"/>
          <w:szCs w:val="36"/>
          <w:rtl/>
        </w:rPr>
        <w:t>סוגית</w:t>
      </w:r>
      <w:r w:rsidRPr="0050146A">
        <w:rPr>
          <w:rFonts w:ascii="David" w:eastAsia="Calibri" w:hAnsi="David" w:cs="David"/>
          <w:b/>
          <w:bCs/>
          <w:sz w:val="36"/>
          <w:szCs w:val="36"/>
          <w:rtl/>
        </w:rPr>
        <w:t>,</w:t>
      </w:r>
    </w:p>
    <w:p w:rsidR="000F071D" w:rsidRPr="0050146A" w:rsidRDefault="000F071D" w:rsidP="000F071D">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בדברים מאירים ומשמחים,</w:t>
      </w:r>
    </w:p>
    <w:p w:rsidR="000F071D" w:rsidRPr="0050146A" w:rsidRDefault="000F071D" w:rsidP="000F071D">
      <w:pPr>
        <w:spacing w:after="160" w:line="480" w:lineRule="auto"/>
        <w:ind w:left="340" w:right="1418"/>
        <w:jc w:val="left"/>
        <w:rPr>
          <w:rFonts w:ascii="David" w:eastAsia="Calibri" w:hAnsi="David" w:cs="David"/>
          <w:b/>
          <w:bCs/>
          <w:sz w:val="36"/>
          <w:szCs w:val="36"/>
          <w:rtl/>
        </w:rPr>
      </w:pPr>
      <w:r w:rsidRPr="0050146A">
        <w:rPr>
          <w:rFonts w:ascii="David" w:eastAsia="Calibri" w:hAnsi="David" w:cs="David"/>
          <w:b/>
          <w:bCs/>
          <w:sz w:val="36"/>
          <w:szCs w:val="36"/>
          <w:rtl/>
        </w:rPr>
        <w:t>ורבים נהנו מזה והיה לתועלת.</w:t>
      </w: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p>
    <w:p w:rsidR="000F071D" w:rsidRPr="0050146A" w:rsidRDefault="000F071D" w:rsidP="000F071D">
      <w:pPr>
        <w:spacing w:line="240" w:lineRule="auto"/>
        <w:ind w:left="0"/>
        <w:jc w:val="center"/>
        <w:rPr>
          <w:rFonts w:ascii="Guttman Hodes" w:eastAsia="Guttman Hodes" w:hAnsi="Guttman Hodes" w:cs="Guttman Hodes"/>
          <w:sz w:val="20"/>
          <w:szCs w:val="20"/>
          <w:rtl/>
        </w:rPr>
      </w:pPr>
      <w:r w:rsidRPr="0050146A">
        <w:rPr>
          <w:rFonts w:ascii="Guttman Hodes" w:eastAsia="Guttman Hodes" w:hAnsi="Guttman Hodes" w:cs="Guttman Hodes" w:hint="cs"/>
          <w:sz w:val="20"/>
          <w:szCs w:val="20"/>
          <w:rtl/>
        </w:rPr>
        <w:t>מכתב זה ניתן לספר "משנתם סדורה" על פרק איזהו נשך</w:t>
      </w:r>
      <w:r w:rsidRPr="003C66B2">
        <w:rPr>
          <w:rFonts w:ascii="Guttman Hodes" w:eastAsia="Guttman Hodes" w:hAnsi="Guttman Hodes" w:cs="Guttman Hodes" w:hint="cs"/>
          <w:sz w:val="20"/>
          <w:szCs w:val="20"/>
          <w:rtl/>
        </w:rPr>
        <w:t xml:space="preserve"> </w:t>
      </w:r>
      <w:r>
        <w:rPr>
          <w:rFonts w:ascii="Guttman Hodes" w:eastAsia="Guttman Hodes" w:hAnsi="Guttman Hodes" w:cs="Guttman Hodes" w:hint="cs"/>
          <w:sz w:val="20"/>
          <w:szCs w:val="20"/>
          <w:rtl/>
        </w:rPr>
        <w:t>ונדפס כאן ברשות ראש הישיבה שליט"א</w:t>
      </w:r>
    </w:p>
    <w:p w:rsidR="000F071D" w:rsidRPr="0050146A" w:rsidRDefault="000F071D" w:rsidP="000F071D">
      <w:pPr>
        <w:ind w:left="0"/>
        <w:jc w:val="right"/>
        <w:rPr>
          <w:rtl/>
        </w:rPr>
        <w:sectPr w:rsidR="000F071D" w:rsidRPr="0050146A" w:rsidSect="000F071D">
          <w:headerReference w:type="default" r:id="rId16"/>
          <w:pgSz w:w="11906" w:h="16838"/>
          <w:pgMar w:top="720" w:right="720" w:bottom="720" w:left="720" w:header="283" w:footer="283" w:gutter="0"/>
          <w:pgNumType w:fmt="hebrew1"/>
          <w:cols w:space="567"/>
          <w:bidi/>
          <w:rtlGutter/>
          <w:docGrid w:linePitch="299"/>
        </w:sectPr>
      </w:pPr>
    </w:p>
    <w:p w:rsidR="000F071D" w:rsidRDefault="000F071D" w:rsidP="000F071D">
      <w:pPr>
        <w:tabs>
          <w:tab w:val="center" w:pos="4153"/>
          <w:tab w:val="right" w:pos="8306"/>
        </w:tabs>
        <w:spacing w:line="240" w:lineRule="auto"/>
        <w:ind w:left="0"/>
        <w:jc w:val="center"/>
        <w:rPr>
          <w:rFonts w:ascii="Calibri" w:eastAsia="Calibri" w:hAnsi="Calibri" w:cs="Guttman Hodes"/>
          <w:b/>
          <w:bCs/>
          <w:sz w:val="28"/>
          <w:szCs w:val="28"/>
          <w:rtl/>
        </w:rPr>
        <w:sectPr w:rsidR="000F071D" w:rsidSect="000F071D">
          <w:footerReference w:type="default" r:id="rId17"/>
          <w:type w:val="continuous"/>
          <w:pgSz w:w="11906" w:h="16838"/>
          <w:pgMar w:top="720" w:right="720" w:bottom="720" w:left="720" w:header="283" w:footer="283" w:gutter="0"/>
          <w:cols w:space="567"/>
          <w:titlePg/>
          <w:bidi/>
          <w:rtlGutter/>
          <w:docGrid w:linePitch="299"/>
        </w:sectPr>
      </w:pPr>
    </w:p>
    <w:p w:rsidR="00F7388D" w:rsidRDefault="00F7388D" w:rsidP="000F071D">
      <w:pPr>
        <w:tabs>
          <w:tab w:val="center" w:pos="4153"/>
          <w:tab w:val="right" w:pos="8306"/>
        </w:tabs>
        <w:spacing w:line="240" w:lineRule="auto"/>
        <w:ind w:left="0"/>
        <w:jc w:val="center"/>
        <w:rPr>
          <w:rFonts w:ascii="Calibri" w:eastAsia="Calibri" w:hAnsi="Calibri" w:cs="Guttman Hodes"/>
          <w:b/>
          <w:bCs/>
          <w:sz w:val="28"/>
          <w:szCs w:val="28"/>
          <w:rtl/>
        </w:rPr>
        <w:sectPr w:rsidR="00F7388D" w:rsidSect="007544F5">
          <w:headerReference w:type="default" r:id="rId18"/>
          <w:footerReference w:type="default" r:id="rId19"/>
          <w:headerReference w:type="first" r:id="rId20"/>
          <w:footerReference w:type="first" r:id="rId21"/>
          <w:type w:val="continuous"/>
          <w:pgSz w:w="11906" w:h="16838"/>
          <w:pgMar w:top="720" w:right="720" w:bottom="720" w:left="720" w:header="283" w:footer="283" w:gutter="0"/>
          <w:cols w:space="113"/>
          <w:titlePg/>
          <w:bidi/>
          <w:rtlGutter/>
          <w:docGrid w:linePitch="299"/>
        </w:sectPr>
      </w:pPr>
    </w:p>
    <w:p w:rsidR="00C345F0" w:rsidRPr="00C03D92" w:rsidRDefault="00C345F0" w:rsidP="000F071D">
      <w:pPr>
        <w:pStyle w:val="afd"/>
        <w:rPr>
          <w:rtl/>
        </w:rPr>
      </w:pPr>
      <w:bookmarkStart w:id="15" w:name="_Toc66209190"/>
      <w:bookmarkEnd w:id="0"/>
      <w:bookmarkEnd w:id="1"/>
      <w:bookmarkEnd w:id="2"/>
      <w:r w:rsidRPr="00C03D92">
        <w:rPr>
          <w:rFonts w:hint="cs"/>
          <w:rtl/>
        </w:rPr>
        <w:lastRenderedPageBreak/>
        <w:t xml:space="preserve">סימן </w:t>
      </w:r>
      <w:r>
        <w:rPr>
          <w:rFonts w:hint="cs"/>
          <w:rtl/>
        </w:rPr>
        <w:t>א'</w:t>
      </w:r>
      <w:bookmarkEnd w:id="3"/>
      <w:bookmarkEnd w:id="4"/>
      <w:bookmarkEnd w:id="5"/>
      <w:bookmarkEnd w:id="6"/>
      <w:bookmarkEnd w:id="7"/>
      <w:bookmarkEnd w:id="8"/>
      <w:bookmarkEnd w:id="15"/>
    </w:p>
    <w:p w:rsidR="00C345F0" w:rsidRPr="00C03D92" w:rsidRDefault="00C345F0" w:rsidP="008E43CF">
      <w:pPr>
        <w:pStyle w:val="afd"/>
        <w:rPr>
          <w:rFonts w:ascii="FrankRuehl" w:hAnsi="FrankRuehl"/>
          <w:b/>
          <w:noProof/>
          <w:rtl/>
        </w:rPr>
      </w:pPr>
      <w:bookmarkStart w:id="16" w:name="_Toc54038908"/>
      <w:bookmarkStart w:id="17" w:name="_Toc54039002"/>
      <w:bookmarkStart w:id="18" w:name="_Toc54087427"/>
      <w:bookmarkStart w:id="19" w:name="_Toc54109228"/>
      <w:bookmarkStart w:id="20" w:name="_Toc54125627"/>
      <w:bookmarkStart w:id="21" w:name="_Toc54133839"/>
      <w:bookmarkStart w:id="22" w:name="_Toc66209191"/>
      <w:r>
        <w:rPr>
          <w:rFonts w:ascii="FrankRuehl" w:hAnsi="FrankRuehl" w:hint="cs"/>
          <w:b/>
          <w:noProof/>
          <w:rtl/>
        </w:rPr>
        <w:t>בגדרי מוחזקות המר</w:t>
      </w:r>
      <w:r w:rsidR="008E43CF">
        <w:rPr>
          <w:rFonts w:ascii="FrankRuehl" w:hAnsi="FrankRuehl" w:hint="cs"/>
          <w:b/>
          <w:noProof/>
          <w:rtl/>
        </w:rPr>
        <w:t>"</w:t>
      </w:r>
      <w:r>
        <w:rPr>
          <w:rFonts w:ascii="FrankRuehl" w:hAnsi="FrankRuehl" w:hint="cs"/>
          <w:b/>
          <w:noProof/>
          <w:rtl/>
        </w:rPr>
        <w:t xml:space="preserve">ק והמחזיק </w:t>
      </w:r>
      <w:r w:rsidR="008E43CF">
        <w:rPr>
          <w:rFonts w:ascii="FrankRuehl" w:hAnsi="FrankRuehl" w:hint="cs"/>
          <w:b/>
          <w:noProof/>
          <w:rtl/>
        </w:rPr>
        <w:t xml:space="preserve">בקרקע ובמטלטלין </w:t>
      </w:r>
      <w:r>
        <w:rPr>
          <w:rFonts w:ascii="FrankRuehl" w:hAnsi="FrankRuehl" w:hint="cs"/>
          <w:b/>
          <w:noProof/>
          <w:rtl/>
        </w:rPr>
        <w:t>ובחזקת עבדים וגודרות</w:t>
      </w:r>
      <w:bookmarkEnd w:id="16"/>
      <w:bookmarkEnd w:id="17"/>
      <w:bookmarkEnd w:id="18"/>
      <w:bookmarkEnd w:id="19"/>
      <w:bookmarkEnd w:id="20"/>
      <w:bookmarkEnd w:id="21"/>
      <w:bookmarkEnd w:id="22"/>
    </w:p>
    <w:p w:rsidR="00C345F0" w:rsidRDefault="000B328B" w:rsidP="00C345F0">
      <w:pPr>
        <w:pStyle w:val="2"/>
        <w:rPr>
          <w:rtl/>
        </w:rPr>
      </w:pPr>
      <w:r>
        <w:rPr>
          <w:rFonts w:hint="cs"/>
          <w:rtl/>
        </w:rPr>
        <w:t xml:space="preserve">~~~~~~~ תוכן הענינים ~~~~~~~ </w:t>
      </w:r>
    </w:p>
    <w:p w:rsidR="00C345F0" w:rsidRDefault="00C345F0" w:rsidP="0007171D">
      <w:pPr>
        <w:pStyle w:val="aff4"/>
        <w:rPr>
          <w:rtl/>
        </w:rPr>
        <w:sectPr w:rsidR="00C345F0" w:rsidSect="00F7388D">
          <w:headerReference w:type="default" r:id="rId22"/>
          <w:footerReference w:type="default" r:id="rId23"/>
          <w:pgSz w:w="11906" w:h="16838"/>
          <w:pgMar w:top="720" w:right="720" w:bottom="720" w:left="720" w:header="283" w:footer="283" w:gutter="0"/>
          <w:pgNumType w:start="1"/>
          <w:cols w:space="113"/>
          <w:bidi/>
          <w:rtlGutter/>
          <w:docGrid w:linePitch="299"/>
        </w:sectPr>
      </w:pPr>
    </w:p>
    <w:p w:rsidR="000F1F09" w:rsidRDefault="008B1981" w:rsidP="000F1F09">
      <w:pPr>
        <w:pStyle w:val="2"/>
        <w:rPr>
          <w:rFonts w:eastAsiaTheme="minorEastAsia" w:cstheme="minorBidi"/>
          <w:i/>
          <w:iCs/>
          <w:sz w:val="22"/>
          <w:szCs w:val="22"/>
          <w:rtl/>
        </w:rPr>
      </w:pPr>
      <w:r>
        <w:rPr>
          <w:i/>
          <w:i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i/>
          <w:iCs/>
          <w:rtl/>
        </w:rPr>
        <w:fldChar w:fldCharType="separate"/>
      </w:r>
      <w:r w:rsidR="006C4F47">
        <w:rPr>
          <w:rtl/>
        </w:rPr>
        <w:t>~~~~~~~ מראי מקומות וביאורים ~~~~~~~</w:t>
      </w:r>
    </w:p>
    <w:p w:rsidR="000F1F09" w:rsidRDefault="000F1F09" w:rsidP="000F1F09">
      <w:pPr>
        <w:pStyle w:val="2"/>
        <w:rPr>
          <w:rFonts w:eastAsiaTheme="minorEastAsia" w:cstheme="minorBidi"/>
          <w:i/>
          <w:iCs/>
          <w:sz w:val="22"/>
          <w:szCs w:val="22"/>
          <w:rtl/>
        </w:rPr>
      </w:pPr>
      <w:r>
        <w:rPr>
          <w:rtl/>
        </w:rPr>
        <w:t>דברי הראשונים דלמר"ק סגי ביום א'</w:t>
      </w:r>
    </w:p>
    <w:p w:rsidR="000F1F09" w:rsidRDefault="000F1F09" w:rsidP="0007171D">
      <w:pPr>
        <w:pStyle w:val="aff4"/>
        <w:rPr>
          <w:rFonts w:eastAsiaTheme="minorEastAsia" w:cstheme="minorBidi"/>
          <w:i/>
          <w:iCs/>
          <w:noProof/>
          <w:sz w:val="22"/>
          <w:szCs w:val="22"/>
          <w:rtl/>
        </w:rPr>
      </w:pPr>
      <w:r>
        <w:rPr>
          <w:noProof/>
          <w:rtl/>
        </w:rPr>
        <w:t>דעת הראשונים דחזקת מר"ק היא בהביא עדים שהחזיק יום א'</w:t>
      </w:r>
    </w:p>
    <w:p w:rsidR="000F1F09" w:rsidRDefault="000F1F09" w:rsidP="007E4E81">
      <w:pPr>
        <w:pStyle w:val="a"/>
        <w:rPr>
          <w:rFonts w:eastAsiaTheme="minorEastAsia" w:cstheme="minorBidi"/>
          <w:sz w:val="22"/>
          <w:szCs w:val="22"/>
          <w:rtl/>
        </w:rPr>
      </w:pPr>
      <w:r>
        <w:rPr>
          <w:rtl/>
        </w:rPr>
        <w:t>דברי רבינו יונה והרמ"ה והרשב"א דבהחזיק יום א' הוי מר"ק אף שאין לו עידי חזקת ג"ש</w:t>
      </w:r>
    </w:p>
    <w:p w:rsidR="000F1F09" w:rsidRDefault="000F1F09" w:rsidP="007E4E81">
      <w:pPr>
        <w:pStyle w:val="a"/>
        <w:rPr>
          <w:rFonts w:eastAsiaTheme="minorEastAsia" w:cstheme="minorBidi"/>
          <w:sz w:val="22"/>
          <w:szCs w:val="22"/>
          <w:rtl/>
        </w:rPr>
      </w:pPr>
      <w:r>
        <w:rPr>
          <w:rtl/>
        </w:rPr>
        <w:t>דברי הגר"א דמוכח בגמ' לקמן דכל שיש עדים שדר בה יום אחד דינו כמרא קמא</w:t>
      </w:r>
    </w:p>
    <w:p w:rsidR="000F1F09" w:rsidRDefault="000F1F09" w:rsidP="007E4E81">
      <w:pPr>
        <w:pStyle w:val="a"/>
        <w:rPr>
          <w:rFonts w:eastAsiaTheme="minorEastAsia" w:cstheme="minorBidi"/>
          <w:sz w:val="22"/>
          <w:szCs w:val="22"/>
          <w:rtl/>
        </w:rPr>
      </w:pPr>
      <w:r>
        <w:rPr>
          <w:rtl/>
        </w:rPr>
        <w:t>ביאור הרשב"א בתשו' דהראשון לעולם מוחזק ואינו צריך להביא ראיה היאך הקרקע שלו</w:t>
      </w:r>
    </w:p>
    <w:p w:rsidR="000F1F09" w:rsidRDefault="000F1F09" w:rsidP="007E4E81">
      <w:pPr>
        <w:pStyle w:val="a"/>
        <w:rPr>
          <w:rFonts w:eastAsiaTheme="minorEastAsia" w:cstheme="minorBidi"/>
          <w:sz w:val="22"/>
          <w:szCs w:val="22"/>
          <w:rtl/>
        </w:rPr>
      </w:pPr>
      <w:r>
        <w:rPr>
          <w:rtl/>
        </w:rPr>
        <w:t>ביאור הרמ"ה דכל שנקראת הקרקע על שם אביו של המרא קמא א"צ עדים היאך קנאה אביו</w:t>
      </w:r>
    </w:p>
    <w:p w:rsidR="000F1F09" w:rsidRDefault="000F1F09" w:rsidP="0007171D">
      <w:pPr>
        <w:pStyle w:val="aff4"/>
        <w:rPr>
          <w:rFonts w:eastAsiaTheme="minorEastAsia" w:cstheme="minorBidi"/>
          <w:i/>
          <w:iCs/>
          <w:noProof/>
          <w:sz w:val="22"/>
          <w:szCs w:val="22"/>
          <w:rtl/>
        </w:rPr>
      </w:pPr>
      <w:r>
        <w:rPr>
          <w:noProof/>
          <w:rtl/>
        </w:rPr>
        <w:t>בדעת הרמב"ם אי לחזקת מר"ק סגי ביום א' או שצריך עדים</w:t>
      </w:r>
    </w:p>
    <w:p w:rsidR="000F1F09" w:rsidRDefault="000F1F09" w:rsidP="007E4E81">
      <w:pPr>
        <w:pStyle w:val="a"/>
        <w:rPr>
          <w:rFonts w:eastAsiaTheme="minorEastAsia" w:cstheme="minorBidi"/>
          <w:sz w:val="22"/>
          <w:szCs w:val="22"/>
          <w:rtl/>
        </w:rPr>
      </w:pPr>
      <w:r>
        <w:rPr>
          <w:rtl/>
        </w:rPr>
        <w:t>דברי הרמב"ם דקרקע שידועה בעדים שהיא של המרא קמא הרי היא בחזקתו</w:t>
      </w:r>
    </w:p>
    <w:p w:rsidR="000F1F09" w:rsidRDefault="000F1F09" w:rsidP="007E4E81">
      <w:pPr>
        <w:pStyle w:val="a"/>
        <w:rPr>
          <w:rFonts w:eastAsiaTheme="minorEastAsia" w:cstheme="minorBidi"/>
          <w:sz w:val="22"/>
          <w:szCs w:val="22"/>
          <w:rtl/>
        </w:rPr>
      </w:pPr>
      <w:r>
        <w:rPr>
          <w:rtl/>
        </w:rPr>
        <w:t>דברי הרמב"ם דבהביא המחזיק עידי חזקת ג"ש ולא מחה המערער הקרקע בחזקת המחזיק</w:t>
      </w:r>
    </w:p>
    <w:p w:rsidR="000F1F09" w:rsidRDefault="000F1F09" w:rsidP="007E4E81">
      <w:pPr>
        <w:pStyle w:val="a"/>
        <w:rPr>
          <w:rFonts w:eastAsiaTheme="minorEastAsia" w:cstheme="minorBidi"/>
          <w:sz w:val="22"/>
          <w:szCs w:val="22"/>
          <w:rtl/>
        </w:rPr>
      </w:pPr>
      <w:r>
        <w:rPr>
          <w:rtl/>
        </w:rPr>
        <w:t>דברי הרמב"ם דבטוען שקנה מפלוני שקנה מהמר"ק שדר בה יום א' נאמן במיגו דקנה מהמר"ק</w:t>
      </w:r>
    </w:p>
    <w:p w:rsidR="000F1F09" w:rsidRDefault="000F1F09" w:rsidP="007E4E81">
      <w:pPr>
        <w:pStyle w:val="a"/>
        <w:rPr>
          <w:rFonts w:eastAsiaTheme="minorEastAsia" w:cstheme="minorBidi"/>
          <w:sz w:val="22"/>
          <w:szCs w:val="22"/>
          <w:rtl/>
        </w:rPr>
      </w:pPr>
      <w:r>
        <w:rPr>
          <w:rtl/>
        </w:rPr>
        <w:t>ביאור הב"ח ברמב"ם דכל שיש למרא קמא עדים שדר בה יום אחד דינו כמרא קמא</w:t>
      </w:r>
    </w:p>
    <w:p w:rsidR="000F1F09" w:rsidRDefault="000F1F09" w:rsidP="0007171D">
      <w:pPr>
        <w:pStyle w:val="aff4"/>
        <w:rPr>
          <w:rFonts w:eastAsiaTheme="minorEastAsia" w:cstheme="minorBidi"/>
          <w:i/>
          <w:iCs/>
          <w:noProof/>
          <w:sz w:val="22"/>
          <w:szCs w:val="22"/>
          <w:rtl/>
        </w:rPr>
      </w:pPr>
      <w:r>
        <w:rPr>
          <w:noProof/>
          <w:rtl/>
        </w:rPr>
        <w:t>ביאור חי' הרי"ם ברשב"א דבשניהם מודים המר"ק מוחזק בודאי</w:t>
      </w:r>
    </w:p>
    <w:p w:rsidR="000F1F09" w:rsidRDefault="000F1F09" w:rsidP="007E4E81">
      <w:pPr>
        <w:pStyle w:val="a"/>
        <w:rPr>
          <w:rFonts w:eastAsiaTheme="minorEastAsia" w:cstheme="minorBidi"/>
          <w:sz w:val="22"/>
          <w:szCs w:val="22"/>
          <w:rtl/>
        </w:rPr>
      </w:pPr>
      <w:r>
        <w:rPr>
          <w:rtl/>
        </w:rPr>
        <w:t>קושית חי' הרי"ם היאך מהני חזקת יום אחד להוציא מהמוחזק הרי יש להם אותה ראיה</w:t>
      </w:r>
    </w:p>
    <w:p w:rsidR="000F1F09" w:rsidRDefault="000F1F09" w:rsidP="007E4E81">
      <w:pPr>
        <w:pStyle w:val="a"/>
        <w:rPr>
          <w:rFonts w:eastAsiaTheme="minorEastAsia" w:cstheme="minorBidi"/>
          <w:sz w:val="22"/>
          <w:szCs w:val="22"/>
          <w:rtl/>
        </w:rPr>
      </w:pPr>
      <w:r>
        <w:rPr>
          <w:rtl/>
        </w:rPr>
        <w:t>תירוץ חי' הרי"ם דכששניהם מודים שהראשון מר"ק הוא מוחזק בודאי והמחזיק מוחזק בספק</w:t>
      </w:r>
    </w:p>
    <w:p w:rsidR="000F1F09" w:rsidRDefault="000F1F09" w:rsidP="007E4E81">
      <w:pPr>
        <w:pStyle w:val="a"/>
        <w:rPr>
          <w:rFonts w:eastAsiaTheme="minorEastAsia" w:cstheme="minorBidi"/>
          <w:sz w:val="22"/>
          <w:szCs w:val="22"/>
          <w:rtl/>
        </w:rPr>
      </w:pPr>
      <w:r>
        <w:rPr>
          <w:rtl/>
        </w:rPr>
        <w:t>קושית חי' הרי"ם דהמחזיק יהיה נאמן לומר דביום שהביא המר"ק עדים הייתה ברשות המחזיק</w:t>
      </w:r>
    </w:p>
    <w:p w:rsidR="000F1F09" w:rsidRDefault="000F1F09" w:rsidP="007E4E81">
      <w:pPr>
        <w:pStyle w:val="a"/>
        <w:rPr>
          <w:rFonts w:eastAsiaTheme="minorEastAsia" w:cstheme="minorBidi"/>
          <w:sz w:val="22"/>
          <w:szCs w:val="22"/>
          <w:rtl/>
        </w:rPr>
      </w:pPr>
      <w:r>
        <w:rPr>
          <w:rtl/>
        </w:rPr>
        <w:t>דברי חי' הרי"ם דכשכ"א מערער על חזקת השני מעמידים בחזקת המר"ק שהוא המוחזק</w:t>
      </w:r>
    </w:p>
    <w:p w:rsidR="000F1F09" w:rsidRDefault="000F1F09" w:rsidP="0007171D">
      <w:pPr>
        <w:pStyle w:val="aff4"/>
        <w:rPr>
          <w:rFonts w:eastAsiaTheme="minorEastAsia" w:cstheme="minorBidi"/>
          <w:i/>
          <w:iCs/>
          <w:noProof/>
          <w:sz w:val="22"/>
          <w:szCs w:val="22"/>
          <w:rtl/>
        </w:rPr>
      </w:pPr>
      <w:r>
        <w:rPr>
          <w:noProof/>
          <w:rtl/>
        </w:rPr>
        <w:t>דברי הראשונים דאם אין למר"ק עדים המחזיק נאמן במיגו</w:t>
      </w:r>
    </w:p>
    <w:p w:rsidR="000F1F09" w:rsidRDefault="000F1F09" w:rsidP="007E4E81">
      <w:pPr>
        <w:pStyle w:val="a"/>
        <w:rPr>
          <w:rFonts w:eastAsiaTheme="minorEastAsia" w:cstheme="minorBidi"/>
          <w:sz w:val="22"/>
          <w:szCs w:val="22"/>
          <w:rtl/>
        </w:rPr>
      </w:pPr>
      <w:r>
        <w:rPr>
          <w:rtl/>
        </w:rPr>
        <w:t>דברי הרי"ף ורבינו יונה והרא"ש דכשאין למערער ראיה נאמן המחזיק במיגו דאינו המר"ק</w:t>
      </w:r>
    </w:p>
    <w:p w:rsidR="000F1F09" w:rsidRDefault="000F1F09" w:rsidP="0007171D">
      <w:pPr>
        <w:pStyle w:val="aff4"/>
        <w:rPr>
          <w:rFonts w:eastAsiaTheme="minorEastAsia" w:cstheme="minorBidi"/>
          <w:i/>
          <w:iCs/>
          <w:noProof/>
          <w:sz w:val="22"/>
          <w:szCs w:val="22"/>
          <w:rtl/>
        </w:rPr>
      </w:pPr>
      <w:r>
        <w:rPr>
          <w:noProof/>
          <w:rtl/>
        </w:rPr>
        <w:t>דברי הריטב"א דחזקת ראיה לא דמי כלל לחזקת קנין</w:t>
      </w:r>
    </w:p>
    <w:p w:rsidR="000F1F09" w:rsidRDefault="000F1F09" w:rsidP="007E4E81">
      <w:pPr>
        <w:pStyle w:val="a"/>
        <w:rPr>
          <w:rFonts w:eastAsiaTheme="minorEastAsia" w:cstheme="minorBidi"/>
          <w:sz w:val="22"/>
          <w:szCs w:val="22"/>
          <w:rtl/>
        </w:rPr>
      </w:pPr>
      <w:r>
        <w:rPr>
          <w:rtl/>
        </w:rPr>
        <w:t>דברי הריטב"א דחזקת ג"ש היא ראיה מאכילת פירות ואינה תיקון בקרקע כחזקת קנין</w:t>
      </w:r>
    </w:p>
    <w:p w:rsidR="000F1F09" w:rsidRDefault="000F1F09" w:rsidP="007E4E81">
      <w:pPr>
        <w:pStyle w:val="a"/>
        <w:rPr>
          <w:rFonts w:eastAsiaTheme="minorEastAsia" w:cstheme="minorBidi"/>
          <w:sz w:val="22"/>
          <w:szCs w:val="22"/>
          <w:rtl/>
        </w:rPr>
      </w:pPr>
      <w:r>
        <w:rPr>
          <w:rtl/>
        </w:rPr>
        <w:t>דברי ר"ח דיש ב' אופנים בחזקה חזקת קנין כשהמוכר מודה וחזקת ג"ש כשהמוכר מכחיש</w:t>
      </w:r>
    </w:p>
    <w:p w:rsidR="000F1F09" w:rsidRDefault="000F1F09" w:rsidP="00514FF3">
      <w:pPr>
        <w:pStyle w:val="2"/>
        <w:rPr>
          <w:rFonts w:eastAsiaTheme="minorEastAsia" w:cstheme="minorBidi"/>
          <w:i/>
          <w:iCs/>
          <w:sz w:val="22"/>
          <w:szCs w:val="22"/>
          <w:rtl/>
        </w:rPr>
      </w:pPr>
      <w:r>
        <w:rPr>
          <w:rtl/>
        </w:rPr>
        <w:t>בחילוק בין חזקת קרקע לחזקת מטלטלין</w:t>
      </w:r>
    </w:p>
    <w:p w:rsidR="000F1F09" w:rsidRDefault="000F1F09" w:rsidP="0007171D">
      <w:pPr>
        <w:pStyle w:val="aff4"/>
        <w:rPr>
          <w:rFonts w:eastAsiaTheme="minorEastAsia" w:cstheme="minorBidi"/>
          <w:i/>
          <w:iCs/>
          <w:noProof/>
          <w:sz w:val="22"/>
          <w:szCs w:val="22"/>
          <w:rtl/>
        </w:rPr>
      </w:pPr>
      <w:r>
        <w:rPr>
          <w:noProof/>
          <w:rtl/>
        </w:rPr>
        <w:t>דברי הרשב"ם דבקרקע מהני חזקת ג"ש ובמטלטלין מה שתח"י</w:t>
      </w:r>
    </w:p>
    <w:p w:rsidR="000F1F09" w:rsidRDefault="000F1F09" w:rsidP="007E4E81">
      <w:pPr>
        <w:pStyle w:val="a"/>
        <w:rPr>
          <w:rFonts w:eastAsiaTheme="minorEastAsia" w:cstheme="minorBidi"/>
          <w:sz w:val="22"/>
          <w:szCs w:val="22"/>
          <w:rtl/>
        </w:rPr>
      </w:pPr>
      <w:r>
        <w:rPr>
          <w:rtl/>
        </w:rPr>
        <w:t>דברי הרשב"ם דחזקת ג"ש רק בקרקע ולא במטלטלין דאין בהם שטר ומה שתח"י שלו הוא</w:t>
      </w:r>
    </w:p>
    <w:p w:rsidR="000F1F09" w:rsidRDefault="000F1F09" w:rsidP="0007171D">
      <w:pPr>
        <w:pStyle w:val="aff4"/>
        <w:rPr>
          <w:rFonts w:eastAsiaTheme="minorEastAsia" w:cstheme="minorBidi"/>
          <w:i/>
          <w:iCs/>
          <w:noProof/>
          <w:sz w:val="22"/>
          <w:szCs w:val="22"/>
          <w:rtl/>
        </w:rPr>
      </w:pPr>
      <w:r>
        <w:rPr>
          <w:noProof/>
          <w:rtl/>
        </w:rPr>
        <w:t>ב' הסברות ברבינו יונה בחילוק חזקת קרקע מחזקת מטלטלין</w:t>
      </w:r>
    </w:p>
    <w:p w:rsidR="000F1F09" w:rsidRDefault="000F1F09" w:rsidP="007E4E81">
      <w:pPr>
        <w:pStyle w:val="a"/>
        <w:rPr>
          <w:rFonts w:eastAsiaTheme="minorEastAsia" w:cstheme="minorBidi"/>
          <w:sz w:val="22"/>
          <w:szCs w:val="22"/>
          <w:rtl/>
        </w:rPr>
      </w:pPr>
      <w:r>
        <w:rPr>
          <w:rtl/>
        </w:rPr>
        <w:t>דברי רבינו יונה דחזקה בלא טענה ל"מ בקרקע ומהני במטלטלין דיצאו מרשות המר"ק לתפוס</w:t>
      </w:r>
    </w:p>
    <w:p w:rsidR="000F1F09" w:rsidRDefault="000F1F09" w:rsidP="007E4E81">
      <w:pPr>
        <w:pStyle w:val="a"/>
        <w:rPr>
          <w:rFonts w:eastAsiaTheme="minorEastAsia" w:cstheme="minorBidi"/>
          <w:sz w:val="22"/>
          <w:szCs w:val="22"/>
          <w:rtl/>
        </w:rPr>
      </w:pPr>
      <w:r>
        <w:rPr>
          <w:rtl/>
        </w:rPr>
        <w:t>דברי רבינו יונה דחזקה בלא טענה ל"מ בקרקע דבחזקת בעליה ומהני במטלטלין דקיבלם ברשות</w:t>
      </w:r>
    </w:p>
    <w:p w:rsidR="000F1F09" w:rsidRDefault="000F1F09" w:rsidP="0007171D">
      <w:pPr>
        <w:pStyle w:val="aff4"/>
        <w:rPr>
          <w:rFonts w:eastAsiaTheme="minorEastAsia" w:cstheme="minorBidi"/>
          <w:i/>
          <w:iCs/>
          <w:noProof/>
          <w:sz w:val="22"/>
          <w:szCs w:val="22"/>
          <w:rtl/>
        </w:rPr>
      </w:pPr>
      <w:r>
        <w:rPr>
          <w:noProof/>
          <w:rtl/>
        </w:rPr>
        <w:t>דברי הריטב"א דבחזקת קרקע אין התפיסה ראיה</w:t>
      </w:r>
    </w:p>
    <w:p w:rsidR="000F1F09" w:rsidRDefault="000F1F09" w:rsidP="007E4E81">
      <w:pPr>
        <w:pStyle w:val="a"/>
        <w:rPr>
          <w:rFonts w:eastAsiaTheme="minorEastAsia" w:cstheme="minorBidi"/>
          <w:sz w:val="22"/>
          <w:szCs w:val="22"/>
          <w:rtl/>
        </w:rPr>
      </w:pPr>
      <w:r>
        <w:rPr>
          <w:rtl/>
        </w:rPr>
        <w:t>ביאור הריטב"א בקושית הגמ' דאין חילוק מהראיה בתפיסת קרקע מהראיה בתפיסת מטלטלין</w:t>
      </w:r>
    </w:p>
    <w:p w:rsidR="000F1F09" w:rsidRDefault="000F1F09" w:rsidP="007E4E81">
      <w:pPr>
        <w:pStyle w:val="a"/>
        <w:rPr>
          <w:rFonts w:eastAsiaTheme="minorEastAsia" w:cstheme="minorBidi"/>
          <w:sz w:val="22"/>
          <w:szCs w:val="22"/>
          <w:rtl/>
        </w:rPr>
      </w:pPr>
      <w:r>
        <w:rPr>
          <w:rtl/>
        </w:rPr>
        <w:t>דברי הריטב"א דלמסקנא הראיה מחזקת קרקע היא לאלתר כמטלטלין וצריך ג"ש מחמת השטר</w:t>
      </w:r>
    </w:p>
    <w:p w:rsidR="000F1F09" w:rsidRDefault="000F1F09" w:rsidP="007E4E81">
      <w:pPr>
        <w:pStyle w:val="a"/>
        <w:rPr>
          <w:rFonts w:eastAsiaTheme="minorEastAsia" w:cstheme="minorBidi"/>
          <w:sz w:val="22"/>
          <w:szCs w:val="22"/>
          <w:rtl/>
        </w:rPr>
      </w:pPr>
      <w:r>
        <w:rPr>
          <w:rtl/>
        </w:rPr>
        <w:t>דברי הרמב"ן דהראיה בחזקה בקרקע היא לאלתר וצריך ג"ש רק מחמת השטר</w:t>
      </w:r>
    </w:p>
    <w:p w:rsidR="000F1F09" w:rsidRDefault="000F1F09" w:rsidP="0007171D">
      <w:pPr>
        <w:pStyle w:val="aff4"/>
        <w:rPr>
          <w:rFonts w:eastAsiaTheme="minorEastAsia" w:cstheme="minorBidi"/>
          <w:i/>
          <w:iCs/>
          <w:noProof/>
          <w:sz w:val="22"/>
          <w:szCs w:val="22"/>
          <w:rtl/>
        </w:rPr>
      </w:pPr>
      <w:r>
        <w:rPr>
          <w:noProof/>
          <w:rtl/>
        </w:rPr>
        <w:t>דברי המהרי"ט והלבוש דתפיסה בקרקע אינה ראיה שקנאה</w:t>
      </w:r>
    </w:p>
    <w:p w:rsidR="000F1F09" w:rsidRDefault="000F1F09" w:rsidP="007E4E81">
      <w:pPr>
        <w:pStyle w:val="a"/>
        <w:rPr>
          <w:rFonts w:eastAsiaTheme="minorEastAsia" w:cstheme="minorBidi"/>
          <w:sz w:val="22"/>
          <w:szCs w:val="22"/>
          <w:rtl/>
        </w:rPr>
      </w:pPr>
      <w:r>
        <w:rPr>
          <w:rtl/>
        </w:rPr>
        <w:t>דברי המהרי"ט דקרקע אינה כמטלטלין דאפשר להכנס לתוכה בלא קנין ולכן צריך חזקת ג"ש</w:t>
      </w:r>
    </w:p>
    <w:p w:rsidR="000F1F09" w:rsidRDefault="000F1F09" w:rsidP="007E4E81">
      <w:pPr>
        <w:pStyle w:val="a"/>
        <w:rPr>
          <w:rFonts w:eastAsiaTheme="minorEastAsia" w:cstheme="minorBidi"/>
          <w:sz w:val="22"/>
          <w:szCs w:val="22"/>
          <w:rtl/>
        </w:rPr>
      </w:pPr>
      <w:r>
        <w:rPr>
          <w:rtl/>
        </w:rPr>
        <w:t>דברי המהרי"ט דבקרקע שא"א לקחתה בלא קנין דינה כמטלטלין כעבד קטן המוטל בעריסה</w:t>
      </w:r>
    </w:p>
    <w:p w:rsidR="000F1F09" w:rsidRDefault="000F1F09" w:rsidP="007E4E81">
      <w:pPr>
        <w:pStyle w:val="a"/>
        <w:rPr>
          <w:rFonts w:eastAsiaTheme="minorEastAsia" w:cstheme="minorBidi"/>
          <w:sz w:val="22"/>
          <w:szCs w:val="22"/>
          <w:rtl/>
        </w:rPr>
      </w:pPr>
      <w:r>
        <w:rPr>
          <w:rtl/>
        </w:rPr>
        <w:t>דברי המהרי"ט דמטלטלין שאפשר לקחתם בלא קנין ככלים העשויים להשאיל דינם כקרקע</w:t>
      </w:r>
    </w:p>
    <w:p w:rsidR="000F1F09" w:rsidRDefault="000F1F09" w:rsidP="007E4E81">
      <w:pPr>
        <w:pStyle w:val="a"/>
        <w:rPr>
          <w:rFonts w:eastAsiaTheme="minorEastAsia" w:cstheme="minorBidi"/>
          <w:sz w:val="22"/>
          <w:szCs w:val="22"/>
          <w:rtl/>
        </w:rPr>
      </w:pPr>
      <w:r>
        <w:rPr>
          <w:rtl/>
        </w:rPr>
        <w:t>דברי הלבוש דבמטלטלין יש ראיה שקיבל מהבעלים משא"כ בקרקע דיתכן שנכנס שלא ברשות</w:t>
      </w:r>
    </w:p>
    <w:p w:rsidR="000F1F09" w:rsidRDefault="000F1F09" w:rsidP="0007171D">
      <w:pPr>
        <w:pStyle w:val="aff4"/>
        <w:rPr>
          <w:rFonts w:eastAsiaTheme="minorEastAsia" w:cstheme="minorBidi"/>
          <w:i/>
          <w:iCs/>
          <w:noProof/>
          <w:sz w:val="22"/>
          <w:szCs w:val="22"/>
          <w:rtl/>
        </w:rPr>
      </w:pPr>
      <w:r>
        <w:rPr>
          <w:noProof/>
          <w:rtl/>
        </w:rPr>
        <w:t>הסוברים דקרקע בחזקת בעליה היינו בכל ספק שיש בקרקע</w:t>
      </w:r>
    </w:p>
    <w:p w:rsidR="000F1F09" w:rsidRDefault="000F1F09" w:rsidP="007E4E81">
      <w:pPr>
        <w:pStyle w:val="a"/>
        <w:rPr>
          <w:rFonts w:eastAsiaTheme="minorEastAsia" w:cstheme="minorBidi"/>
          <w:sz w:val="22"/>
          <w:szCs w:val="22"/>
          <w:rtl/>
        </w:rPr>
      </w:pPr>
      <w:r>
        <w:rPr>
          <w:rtl/>
        </w:rPr>
        <w:t>דברי הטור דבמטלטלין מה שתח"י נאמן לטעון לקוח בידי אבל קרקע בחזקת בעליה עומדת</w:t>
      </w:r>
    </w:p>
    <w:p w:rsidR="000F1F09" w:rsidRDefault="000F1F09" w:rsidP="007E4E81">
      <w:pPr>
        <w:pStyle w:val="a"/>
        <w:rPr>
          <w:rFonts w:eastAsiaTheme="minorEastAsia" w:cstheme="minorBidi"/>
          <w:sz w:val="22"/>
          <w:szCs w:val="22"/>
          <w:rtl/>
        </w:rPr>
      </w:pPr>
      <w:r>
        <w:rPr>
          <w:rtl/>
        </w:rPr>
        <w:t>דברי הב"י והגר"א דמקור דברי הטור מהא דבספיקות בקרקע מעמידים בחזקת הבעלים</w:t>
      </w:r>
    </w:p>
    <w:p w:rsidR="000F1F09" w:rsidRDefault="000F1F09" w:rsidP="007E4E81">
      <w:pPr>
        <w:pStyle w:val="a"/>
        <w:rPr>
          <w:rFonts w:eastAsiaTheme="minorEastAsia" w:cstheme="minorBidi"/>
          <w:sz w:val="22"/>
          <w:szCs w:val="22"/>
          <w:rtl/>
        </w:rPr>
      </w:pPr>
      <w:r>
        <w:rPr>
          <w:rtl/>
        </w:rPr>
        <w:t>דברי הגר"א דכן מצינו בירושלמי דכהעמידו ב"ד ביד המחזיק ואח"כ יש ספק היא בחזקתו</w:t>
      </w:r>
    </w:p>
    <w:p w:rsidR="000F1F09" w:rsidRDefault="000F1F09" w:rsidP="007E4E81">
      <w:pPr>
        <w:pStyle w:val="a"/>
        <w:rPr>
          <w:rFonts w:eastAsiaTheme="minorEastAsia" w:cstheme="minorBidi"/>
          <w:sz w:val="22"/>
          <w:szCs w:val="22"/>
          <w:rtl/>
        </w:rPr>
      </w:pPr>
      <w:r>
        <w:rPr>
          <w:rtl/>
        </w:rPr>
        <w:t>דברי רש"י בב"מ והרשב"ם לקמן דבספק בחודש העיבור הקרקע בחזקת בעליה עומדת</w:t>
      </w:r>
    </w:p>
    <w:p w:rsidR="000F1F09" w:rsidRDefault="000F1F09" w:rsidP="007E4E81">
      <w:pPr>
        <w:pStyle w:val="a"/>
        <w:rPr>
          <w:rFonts w:eastAsiaTheme="minorEastAsia" w:cstheme="minorBidi"/>
          <w:sz w:val="22"/>
          <w:szCs w:val="22"/>
          <w:rtl/>
        </w:rPr>
      </w:pPr>
      <w:r>
        <w:rPr>
          <w:rtl/>
        </w:rPr>
        <w:t>דברי התוס' בב"מ דקרקע בחזקת בעליה דא"א לשומטה מהבעלים אבל מטלטלין הוא תפוס בהם</w:t>
      </w:r>
    </w:p>
    <w:p w:rsidR="000F1F09" w:rsidRDefault="000F1F09" w:rsidP="007E4E81">
      <w:pPr>
        <w:pStyle w:val="a"/>
        <w:rPr>
          <w:rFonts w:eastAsiaTheme="minorEastAsia" w:cstheme="minorBidi"/>
          <w:sz w:val="22"/>
          <w:szCs w:val="22"/>
        </w:rPr>
      </w:pPr>
      <w:r>
        <w:rPr>
          <w:rtl/>
        </w:rPr>
        <w:t>דברי התוס' בכתובות דכשמכר ויש ספק אם חלה המכירה רק בקרקע מעמידים בחזקת המוכר</w:t>
      </w:r>
    </w:p>
    <w:p w:rsidR="000F1F09" w:rsidRDefault="000F1F09" w:rsidP="00514FF3">
      <w:pPr>
        <w:pStyle w:val="2"/>
        <w:rPr>
          <w:rFonts w:eastAsiaTheme="minorEastAsia" w:cstheme="minorBidi"/>
          <w:i/>
          <w:iCs/>
          <w:sz w:val="22"/>
          <w:szCs w:val="22"/>
          <w:rtl/>
        </w:rPr>
      </w:pPr>
      <w:r>
        <w:rPr>
          <w:rtl/>
        </w:rPr>
        <w:t>בגדר מוחזקות המחזיק בחזקת ג"ש</w:t>
      </w:r>
    </w:p>
    <w:p w:rsidR="000F1F09" w:rsidRDefault="000F1F09" w:rsidP="0007171D">
      <w:pPr>
        <w:pStyle w:val="aff4"/>
        <w:rPr>
          <w:rFonts w:eastAsiaTheme="minorEastAsia" w:cstheme="minorBidi"/>
          <w:i/>
          <w:iCs/>
          <w:noProof/>
          <w:sz w:val="22"/>
          <w:szCs w:val="22"/>
          <w:rtl/>
        </w:rPr>
      </w:pPr>
      <w:r>
        <w:rPr>
          <w:noProof/>
          <w:rtl/>
        </w:rPr>
        <w:t>דברי התוס' בתי' הב' והרמב"ן והרשב"א דבג"ש חשיב כמוחזק</w:t>
      </w:r>
    </w:p>
    <w:p w:rsidR="000F1F09" w:rsidRDefault="000F1F09" w:rsidP="007E4E81">
      <w:pPr>
        <w:pStyle w:val="a"/>
        <w:rPr>
          <w:rFonts w:eastAsiaTheme="minorEastAsia" w:cstheme="minorBidi"/>
          <w:sz w:val="22"/>
          <w:szCs w:val="22"/>
          <w:rtl/>
        </w:rPr>
      </w:pPr>
      <w:r>
        <w:rPr>
          <w:rtl/>
        </w:rPr>
        <w:t>קושית התוס' בב"מ דיהיה המערער נאמן דגזלה ממנו במיגו דנתן לו לאוכלה במשכתנא</w:t>
      </w:r>
    </w:p>
    <w:p w:rsidR="000F1F09" w:rsidRDefault="000F1F09" w:rsidP="007E4E81">
      <w:pPr>
        <w:pStyle w:val="a"/>
        <w:rPr>
          <w:rFonts w:eastAsiaTheme="minorEastAsia" w:cstheme="minorBidi"/>
          <w:sz w:val="22"/>
          <w:szCs w:val="22"/>
          <w:rtl/>
        </w:rPr>
      </w:pPr>
      <w:r>
        <w:rPr>
          <w:rtl/>
        </w:rPr>
        <w:t>התי' הב' בתוס' בב"מ דכיון שהמחזיק אכל שני חזקה הוא המוחזק והוי מיגו להוציא</w:t>
      </w:r>
    </w:p>
    <w:p w:rsidR="000F1F09" w:rsidRDefault="000F1F09" w:rsidP="007E4E81">
      <w:pPr>
        <w:pStyle w:val="a"/>
        <w:rPr>
          <w:rFonts w:eastAsiaTheme="minorEastAsia" w:cstheme="minorBidi"/>
          <w:sz w:val="22"/>
          <w:szCs w:val="22"/>
          <w:rtl/>
        </w:rPr>
      </w:pPr>
      <w:r>
        <w:rPr>
          <w:rtl/>
        </w:rPr>
        <w:t>דברי הר"י מגאש דהמחזיק בקרקע בשטר מסופק וטוען מיגו הוא מיגו להוציא מהמר"ק המוחזק</w:t>
      </w:r>
    </w:p>
    <w:p w:rsidR="000F1F09" w:rsidRDefault="000F1F09" w:rsidP="007E4E81">
      <w:pPr>
        <w:pStyle w:val="a"/>
        <w:rPr>
          <w:rFonts w:eastAsiaTheme="minorEastAsia" w:cstheme="minorBidi"/>
          <w:sz w:val="22"/>
          <w:szCs w:val="22"/>
          <w:rtl/>
        </w:rPr>
      </w:pPr>
      <w:r>
        <w:rPr>
          <w:rtl/>
        </w:rPr>
        <w:t>ביאור הרשב"א בר"י מגאש דהא דמהני מיגו בקרקע היינו בהחזיק ג"ש דהמחזיק נעשה מוחזק</w:t>
      </w:r>
    </w:p>
    <w:p w:rsidR="000F1F09" w:rsidRDefault="000F1F09" w:rsidP="007E4E81">
      <w:pPr>
        <w:pStyle w:val="a"/>
        <w:rPr>
          <w:rFonts w:eastAsiaTheme="minorEastAsia" w:cstheme="minorBidi"/>
          <w:sz w:val="22"/>
          <w:szCs w:val="22"/>
          <w:rtl/>
        </w:rPr>
      </w:pPr>
      <w:r>
        <w:rPr>
          <w:rtl/>
        </w:rPr>
        <w:t>דברי הרמב"ן דהמחזיק בקרקע בשטר מסופק וטוען מיגו נאמן כיון דהוא תפוס ויש לו מיגו</w:t>
      </w:r>
    </w:p>
    <w:p w:rsidR="000F1F09" w:rsidRDefault="000F1F09" w:rsidP="007E4E81">
      <w:pPr>
        <w:pStyle w:val="a"/>
        <w:rPr>
          <w:rFonts w:eastAsiaTheme="minorEastAsia" w:cstheme="minorBidi"/>
          <w:sz w:val="22"/>
          <w:szCs w:val="22"/>
          <w:rtl/>
        </w:rPr>
      </w:pPr>
      <w:r>
        <w:rPr>
          <w:rtl/>
        </w:rPr>
        <w:t>הביאור הב' ברמב"ן דרק כשהחזיק ג"ש נעשית הקרקע בחזקתו וכתופס מטלטלין דמוחזק לגמרי</w:t>
      </w:r>
    </w:p>
    <w:p w:rsidR="000F1F09" w:rsidRDefault="000F1F09" w:rsidP="00514FF3">
      <w:pPr>
        <w:pStyle w:val="2"/>
        <w:rPr>
          <w:rFonts w:eastAsiaTheme="minorEastAsia" w:cstheme="minorBidi"/>
          <w:i/>
          <w:iCs/>
          <w:sz w:val="22"/>
          <w:szCs w:val="22"/>
          <w:rtl/>
        </w:rPr>
      </w:pPr>
      <w:r>
        <w:rPr>
          <w:rtl/>
        </w:rPr>
        <w:t>בחזקת ג"ש כשאין המחזיק יושב בקרקע</w:t>
      </w:r>
    </w:p>
    <w:p w:rsidR="000F1F09" w:rsidRDefault="000F1F09" w:rsidP="0007171D">
      <w:pPr>
        <w:pStyle w:val="aff4"/>
        <w:rPr>
          <w:rFonts w:eastAsiaTheme="minorEastAsia" w:cstheme="minorBidi"/>
          <w:i/>
          <w:iCs/>
          <w:noProof/>
          <w:sz w:val="22"/>
          <w:szCs w:val="22"/>
          <w:rtl/>
        </w:rPr>
      </w:pPr>
      <w:r>
        <w:rPr>
          <w:noProof/>
          <w:rtl/>
        </w:rPr>
        <w:t>דעת המאירי והי"מ בריטב"א דחזקת ג"ש הוא רק ביושב בקרקע</w:t>
      </w:r>
    </w:p>
    <w:p w:rsidR="000F1F09" w:rsidRDefault="000F1F09" w:rsidP="007E4E81">
      <w:pPr>
        <w:pStyle w:val="a"/>
        <w:rPr>
          <w:rFonts w:eastAsiaTheme="minorEastAsia" w:cstheme="minorBidi"/>
          <w:sz w:val="22"/>
          <w:szCs w:val="22"/>
          <w:rtl/>
        </w:rPr>
      </w:pPr>
      <w:r>
        <w:rPr>
          <w:rtl/>
        </w:rPr>
        <w:t>דעת המאירי והי"מ בריטב"א דמחזיק שאינו יושב בקרקע ל"מ לו חזקת ג"ש להוציא מהיושב בה</w:t>
      </w:r>
    </w:p>
    <w:p w:rsidR="000F1F09" w:rsidRDefault="000F1F09" w:rsidP="0007171D">
      <w:pPr>
        <w:pStyle w:val="aff4"/>
        <w:rPr>
          <w:rFonts w:eastAsiaTheme="minorEastAsia" w:cstheme="minorBidi"/>
          <w:i/>
          <w:iCs/>
          <w:noProof/>
          <w:sz w:val="22"/>
          <w:szCs w:val="22"/>
          <w:rtl/>
        </w:rPr>
      </w:pPr>
      <w:r>
        <w:rPr>
          <w:noProof/>
          <w:rtl/>
        </w:rPr>
        <w:t>דעת הריטב"א דחזקת ג"ש מהני אף כשאין המחזיק בקרקע</w:t>
      </w:r>
    </w:p>
    <w:p w:rsidR="000F1F09" w:rsidRDefault="000F1F09" w:rsidP="007E4E81">
      <w:pPr>
        <w:pStyle w:val="a"/>
        <w:rPr>
          <w:rFonts w:eastAsiaTheme="minorEastAsia" w:cstheme="minorBidi"/>
          <w:sz w:val="22"/>
          <w:szCs w:val="22"/>
          <w:rtl/>
        </w:rPr>
      </w:pPr>
      <w:r>
        <w:rPr>
          <w:rtl/>
        </w:rPr>
        <w:t>דברי הריטב"א דא"א לומר דחזקת ג"ש מהני רק ביושב בקרקע דא"כ המערער יכנס ויזכה בה</w:t>
      </w:r>
    </w:p>
    <w:p w:rsidR="000F1F09" w:rsidRDefault="000F1F09" w:rsidP="00514FF3">
      <w:pPr>
        <w:pStyle w:val="2"/>
        <w:rPr>
          <w:rFonts w:eastAsiaTheme="minorEastAsia" w:cstheme="minorBidi"/>
          <w:i/>
          <w:iCs/>
          <w:sz w:val="22"/>
          <w:szCs w:val="22"/>
          <w:rtl/>
        </w:rPr>
      </w:pPr>
      <w:r>
        <w:rPr>
          <w:rtl/>
        </w:rPr>
        <w:t>בטענות המחזיק על שטרו אחר ג"ש</w:t>
      </w:r>
    </w:p>
    <w:p w:rsidR="000F1F09" w:rsidRDefault="000F1F09" w:rsidP="0007171D">
      <w:pPr>
        <w:pStyle w:val="aff4"/>
        <w:rPr>
          <w:rFonts w:eastAsiaTheme="minorEastAsia" w:cstheme="minorBidi"/>
          <w:i/>
          <w:iCs/>
          <w:noProof/>
          <w:sz w:val="22"/>
          <w:szCs w:val="22"/>
          <w:rtl/>
        </w:rPr>
      </w:pPr>
      <w:r>
        <w:rPr>
          <w:noProof/>
          <w:rtl/>
        </w:rPr>
        <w:t>בטענת המחזיק דהיה לו שטר ואבד ואם אינו טוען שהיה לו שטר</w:t>
      </w:r>
    </w:p>
    <w:p w:rsidR="000F1F09" w:rsidRDefault="000F1F09" w:rsidP="007E4E81">
      <w:pPr>
        <w:pStyle w:val="a"/>
        <w:rPr>
          <w:rFonts w:eastAsiaTheme="minorEastAsia" w:cstheme="minorBidi"/>
          <w:sz w:val="22"/>
          <w:szCs w:val="22"/>
          <w:rtl/>
        </w:rPr>
      </w:pPr>
      <w:r>
        <w:rPr>
          <w:rtl/>
        </w:rPr>
        <w:t>דברי רש"י דבחזקת ג"ש א"צ להביא שטר ואם אמר דאבד שטרו מהני החזקה</w:t>
      </w:r>
    </w:p>
    <w:p w:rsidR="000F1F09" w:rsidRDefault="000F1F09" w:rsidP="007E4E81">
      <w:pPr>
        <w:pStyle w:val="a"/>
        <w:rPr>
          <w:rFonts w:eastAsiaTheme="minorEastAsia" w:cstheme="minorBidi"/>
          <w:sz w:val="22"/>
          <w:szCs w:val="22"/>
          <w:rtl/>
        </w:rPr>
      </w:pPr>
      <w:r>
        <w:rPr>
          <w:rtl/>
        </w:rPr>
        <w:t>דברי רבינו גרשום דבהחזיק ג"ש וטוען שקנה אף שאין לו שטר טענינן ליה שהיה לו שטר ואבד</w:t>
      </w:r>
    </w:p>
    <w:p w:rsidR="000F1F09" w:rsidRDefault="000F1F09" w:rsidP="007E4E81">
      <w:pPr>
        <w:pStyle w:val="a"/>
        <w:rPr>
          <w:rFonts w:eastAsiaTheme="minorEastAsia" w:cstheme="minorBidi"/>
          <w:sz w:val="22"/>
          <w:szCs w:val="22"/>
          <w:rtl/>
        </w:rPr>
      </w:pPr>
      <w:r>
        <w:rPr>
          <w:rtl/>
        </w:rPr>
        <w:t>ספק השע"מ במודה שלא היה שטר אי נאמן במיגו דאבד או דהוא כמיגו במקום עדים</w:t>
      </w:r>
    </w:p>
    <w:p w:rsidR="000F1F09" w:rsidRDefault="000F1F09" w:rsidP="00514FF3">
      <w:pPr>
        <w:pStyle w:val="2"/>
        <w:rPr>
          <w:rFonts w:eastAsiaTheme="minorEastAsia" w:cstheme="minorBidi"/>
          <w:i/>
          <w:iCs/>
          <w:sz w:val="22"/>
          <w:szCs w:val="22"/>
          <w:rtl/>
        </w:rPr>
      </w:pPr>
      <w:r w:rsidRPr="00B022AD">
        <w:rPr>
          <w:rtl/>
        </w:rPr>
        <w:t>ד' הסוברים דג"ש בעבדים ולא בגודרות</w:t>
      </w:r>
    </w:p>
    <w:p w:rsidR="000F1F09" w:rsidRDefault="000F1F09" w:rsidP="0007171D">
      <w:pPr>
        <w:pStyle w:val="aff4"/>
        <w:rPr>
          <w:rFonts w:eastAsiaTheme="minorEastAsia" w:cstheme="minorBidi"/>
          <w:i/>
          <w:iCs/>
          <w:noProof/>
          <w:sz w:val="22"/>
          <w:szCs w:val="22"/>
          <w:rtl/>
        </w:rPr>
      </w:pPr>
      <w:r>
        <w:rPr>
          <w:noProof/>
          <w:rtl/>
        </w:rPr>
        <w:t>ד' הרשב"א דעבדים עושים פירות תדיר וחזקתן ג"ש ולא גודרות</w:t>
      </w:r>
    </w:p>
    <w:p w:rsidR="000F1F09" w:rsidRDefault="000F1F09" w:rsidP="007E4E81">
      <w:pPr>
        <w:pStyle w:val="a"/>
        <w:rPr>
          <w:rFonts w:eastAsiaTheme="minorEastAsia" w:cstheme="minorBidi"/>
          <w:sz w:val="22"/>
          <w:szCs w:val="22"/>
          <w:rtl/>
        </w:rPr>
      </w:pPr>
      <w:r>
        <w:rPr>
          <w:rtl/>
        </w:rPr>
        <w:t>קושית הרשב"א דאף אי עבדים אינם עושים פירות תדיר דינם כגודרות דחזקתם לאחר ג"ש</w:t>
      </w:r>
    </w:p>
    <w:p w:rsidR="000F1F09" w:rsidRDefault="000F1F09" w:rsidP="007E4E81">
      <w:pPr>
        <w:pStyle w:val="a"/>
        <w:rPr>
          <w:rFonts w:eastAsiaTheme="minorEastAsia" w:cstheme="minorBidi"/>
          <w:sz w:val="22"/>
          <w:szCs w:val="22"/>
          <w:rtl/>
        </w:rPr>
      </w:pPr>
      <w:r>
        <w:rPr>
          <w:rtl/>
        </w:rPr>
        <w:t>תירוץ הרשב"א דבגודרות אין חזקה לאלתר אך יש לאחר זמן שרגילים להקפיד משא"כ בעבדים</w:t>
      </w:r>
    </w:p>
    <w:p w:rsidR="000F1F09" w:rsidRDefault="000F1F09" w:rsidP="007E4E81">
      <w:pPr>
        <w:pStyle w:val="a"/>
        <w:rPr>
          <w:rFonts w:eastAsiaTheme="minorEastAsia" w:cstheme="minorBidi"/>
          <w:sz w:val="22"/>
          <w:szCs w:val="22"/>
          <w:rtl/>
        </w:rPr>
      </w:pPr>
      <w:r>
        <w:rPr>
          <w:rtl/>
        </w:rPr>
        <w:t>ביאור הריטב"א ברשב"א דעבדים שעושים פירות תדיר יתכן שישהו ג"ש בחזקת המחזיק</w:t>
      </w:r>
    </w:p>
    <w:p w:rsidR="000F1F09" w:rsidRDefault="000F1F09" w:rsidP="007E4E81">
      <w:pPr>
        <w:pStyle w:val="a"/>
        <w:rPr>
          <w:rFonts w:eastAsiaTheme="minorEastAsia" w:cstheme="minorBidi"/>
          <w:sz w:val="22"/>
          <w:szCs w:val="22"/>
          <w:rtl/>
        </w:rPr>
      </w:pPr>
      <w:r>
        <w:rPr>
          <w:rtl/>
        </w:rPr>
        <w:t>ביאור הרשב"א בגמ' לקמן דרק בעבדים מהני חזקת ג"ש ולא לגודרות</w:t>
      </w:r>
    </w:p>
    <w:p w:rsidR="000F1F09" w:rsidRDefault="000F1F09" w:rsidP="007E4E81">
      <w:pPr>
        <w:pStyle w:val="a"/>
        <w:rPr>
          <w:rFonts w:eastAsiaTheme="minorEastAsia" w:cstheme="minorBidi"/>
          <w:sz w:val="22"/>
          <w:szCs w:val="22"/>
          <w:rtl/>
        </w:rPr>
      </w:pPr>
      <w:r>
        <w:rPr>
          <w:rtl/>
        </w:rPr>
        <w:t>דברי הרשב"א דכן משמע בר"ח דכתב דבעבדים שהשתמש בהם ג"ש קנאם המחזיק בחזקה</w:t>
      </w:r>
    </w:p>
    <w:p w:rsidR="000F1F09" w:rsidRDefault="000F1F09" w:rsidP="0007171D">
      <w:pPr>
        <w:pStyle w:val="aff4"/>
        <w:rPr>
          <w:rFonts w:eastAsiaTheme="minorEastAsia" w:cstheme="minorBidi"/>
          <w:i/>
          <w:iCs/>
          <w:noProof/>
          <w:sz w:val="22"/>
          <w:szCs w:val="22"/>
          <w:rtl/>
        </w:rPr>
      </w:pPr>
      <w:r>
        <w:rPr>
          <w:noProof/>
          <w:rtl/>
        </w:rPr>
        <w:t>הביאור הב' ברשב"א דבעבדים יש חזקה דדמו לקרקע ולגודרות</w:t>
      </w:r>
    </w:p>
    <w:p w:rsidR="000F1F09" w:rsidRDefault="000F1F09" w:rsidP="007E4E81">
      <w:pPr>
        <w:pStyle w:val="a"/>
        <w:rPr>
          <w:rFonts w:eastAsiaTheme="minorEastAsia" w:cstheme="minorBidi"/>
          <w:sz w:val="22"/>
          <w:szCs w:val="22"/>
          <w:rtl/>
        </w:rPr>
      </w:pPr>
      <w:r>
        <w:rPr>
          <w:rtl/>
        </w:rPr>
        <w:t>הביאור הב' ברשב"א דבעבדים צריך חזקת ג"ש דהם כגודרות ועושים פירות תדיר כקרקעות</w:t>
      </w:r>
    </w:p>
    <w:p w:rsidR="000F1F09" w:rsidRDefault="000F1F09" w:rsidP="00514FF3">
      <w:pPr>
        <w:pStyle w:val="2"/>
        <w:rPr>
          <w:rFonts w:eastAsiaTheme="minorEastAsia" w:cstheme="minorBidi"/>
          <w:i/>
          <w:iCs/>
          <w:sz w:val="22"/>
          <w:szCs w:val="22"/>
          <w:rtl/>
        </w:rPr>
      </w:pPr>
      <w:r>
        <w:rPr>
          <w:rtl/>
        </w:rPr>
        <w:t>דעת הראשונים דעבדים הוקשו לקרקעות</w:t>
      </w:r>
    </w:p>
    <w:p w:rsidR="000F1F09" w:rsidRDefault="000F1F09" w:rsidP="0007171D">
      <w:pPr>
        <w:pStyle w:val="aff4"/>
        <w:rPr>
          <w:rFonts w:eastAsiaTheme="minorEastAsia" w:cstheme="minorBidi"/>
          <w:i/>
          <w:iCs/>
          <w:noProof/>
          <w:sz w:val="22"/>
          <w:szCs w:val="22"/>
          <w:rtl/>
        </w:rPr>
      </w:pPr>
      <w:r>
        <w:rPr>
          <w:noProof/>
          <w:rtl/>
        </w:rPr>
        <w:t>דברי רבינו גרשום והמאירי דעבדים הוקשו לקרקעות</w:t>
      </w:r>
    </w:p>
    <w:p w:rsidR="000F1F09" w:rsidRDefault="000F1F09" w:rsidP="007E4E81">
      <w:pPr>
        <w:pStyle w:val="a"/>
        <w:rPr>
          <w:rFonts w:eastAsiaTheme="minorEastAsia" w:cstheme="minorBidi"/>
          <w:sz w:val="22"/>
          <w:szCs w:val="22"/>
          <w:rtl/>
        </w:rPr>
      </w:pPr>
      <w:r>
        <w:rPr>
          <w:rtl/>
        </w:rPr>
        <w:t>דברי רבינו גרשום דבעבדים מהני חזקת ג"ש כיון דהוקשו לקרקעות שעובד בהם בכל יום</w:t>
      </w:r>
    </w:p>
    <w:p w:rsidR="000F1F09" w:rsidRDefault="000F1F09" w:rsidP="007E4E81">
      <w:pPr>
        <w:pStyle w:val="a"/>
        <w:rPr>
          <w:rFonts w:eastAsiaTheme="minorEastAsia" w:cstheme="minorBidi"/>
          <w:sz w:val="22"/>
          <w:szCs w:val="22"/>
          <w:rtl/>
        </w:rPr>
      </w:pPr>
      <w:r>
        <w:rPr>
          <w:rtl/>
        </w:rPr>
        <w:t>דברי רבינו גרשום דרק בבהמה דקה אין חזקה לאלתר ולא בהמה גסה ולכן לא תני לה במתני'</w:t>
      </w:r>
    </w:p>
    <w:p w:rsidR="000F1F09" w:rsidRDefault="000F1F09" w:rsidP="007E4E81">
      <w:pPr>
        <w:pStyle w:val="a"/>
        <w:rPr>
          <w:rFonts w:eastAsiaTheme="minorEastAsia" w:cstheme="minorBidi"/>
          <w:sz w:val="22"/>
          <w:szCs w:val="22"/>
          <w:rtl/>
        </w:rPr>
      </w:pPr>
      <w:r>
        <w:rPr>
          <w:rtl/>
        </w:rPr>
        <w:t>דברי המאירי דעבדים הם כגודרות דאין להם חזקה ותנן עבדים במתני' דהוקשו לקרקעות</w:t>
      </w:r>
    </w:p>
    <w:p w:rsidR="000F1F09" w:rsidRDefault="000F1F09" w:rsidP="0007171D">
      <w:pPr>
        <w:pStyle w:val="aff4"/>
        <w:rPr>
          <w:rFonts w:eastAsiaTheme="minorEastAsia" w:cstheme="minorBidi"/>
          <w:i/>
          <w:iCs/>
          <w:noProof/>
          <w:sz w:val="22"/>
          <w:szCs w:val="22"/>
          <w:rtl/>
        </w:rPr>
      </w:pPr>
      <w:r>
        <w:rPr>
          <w:noProof/>
          <w:rtl/>
        </w:rPr>
        <w:t>דברי הרמ"ה דלגודרות אין חזקה בלא ראיה כדמוכח במתני'</w:t>
      </w:r>
    </w:p>
    <w:p w:rsidR="000F1F09" w:rsidRDefault="000F1F09" w:rsidP="007E4E81">
      <w:pPr>
        <w:pStyle w:val="a"/>
        <w:rPr>
          <w:rFonts w:eastAsiaTheme="minorEastAsia" w:cstheme="minorBidi"/>
          <w:sz w:val="22"/>
          <w:szCs w:val="22"/>
          <w:rtl/>
        </w:rPr>
      </w:pPr>
      <w:r>
        <w:rPr>
          <w:rtl/>
        </w:rPr>
        <w:t>דברי הרמ"ה דעבדים הם בני שטרא ויש חזקת ג"ש אבל גודרות דאין להם שמות אין חזקת ג"ש</w:t>
      </w:r>
    </w:p>
    <w:p w:rsidR="000F1F09" w:rsidRDefault="000F1F09" w:rsidP="007E4E81">
      <w:pPr>
        <w:pStyle w:val="a"/>
        <w:rPr>
          <w:rFonts w:eastAsiaTheme="minorEastAsia" w:cstheme="minorBidi"/>
          <w:sz w:val="22"/>
          <w:szCs w:val="22"/>
          <w:rtl/>
        </w:rPr>
      </w:pPr>
      <w:r>
        <w:rPr>
          <w:rtl/>
        </w:rPr>
        <w:t>דברי הרמ"ה דכן מוכח דבמתני' תנן קרקעות ועבדים אבל גודרות לעולם אין חזקה בלא ראיה</w:t>
      </w:r>
    </w:p>
    <w:p w:rsidR="000F1F09" w:rsidRDefault="000F1F09" w:rsidP="004A762C">
      <w:pPr>
        <w:pStyle w:val="2"/>
        <w:rPr>
          <w:rFonts w:eastAsiaTheme="minorEastAsia" w:cstheme="minorBidi"/>
          <w:i/>
          <w:iCs/>
          <w:sz w:val="22"/>
          <w:szCs w:val="22"/>
          <w:rtl/>
        </w:rPr>
      </w:pPr>
      <w:r>
        <w:rPr>
          <w:rtl/>
        </w:rPr>
        <w:t>ד' הסוברים דחזקת ג"ש בעבדים וגודרות</w:t>
      </w:r>
    </w:p>
    <w:p w:rsidR="000F1F09" w:rsidRDefault="000F1F09" w:rsidP="0007171D">
      <w:pPr>
        <w:pStyle w:val="aff4"/>
        <w:rPr>
          <w:rFonts w:eastAsiaTheme="minorEastAsia" w:cstheme="minorBidi"/>
          <w:i/>
          <w:iCs/>
          <w:noProof/>
          <w:sz w:val="22"/>
          <w:szCs w:val="22"/>
          <w:rtl/>
        </w:rPr>
      </w:pPr>
      <w:r>
        <w:rPr>
          <w:noProof/>
          <w:rtl/>
        </w:rPr>
        <w:t>דעת הרשב"ם דבעבדים ובגודרות מהני חזקת ג"ש מדלא מיחה</w:t>
      </w:r>
    </w:p>
    <w:p w:rsidR="000F1F09" w:rsidRDefault="000F1F09" w:rsidP="007E4E81">
      <w:pPr>
        <w:pStyle w:val="a"/>
        <w:rPr>
          <w:rFonts w:eastAsiaTheme="minorEastAsia" w:cstheme="minorBidi"/>
          <w:sz w:val="22"/>
          <w:szCs w:val="22"/>
          <w:rtl/>
        </w:rPr>
      </w:pPr>
      <w:r>
        <w:rPr>
          <w:rtl/>
        </w:rPr>
        <w:t>דברי הרשב"ם לקמן דלמסקנת הגמ' מהני חזקת ג"ש בעבדים וגודרות כיון דלא מחה הבעלים</w:t>
      </w:r>
    </w:p>
    <w:p w:rsidR="000F1F09" w:rsidRDefault="000F1F09" w:rsidP="007E4E81">
      <w:pPr>
        <w:pStyle w:val="a"/>
        <w:rPr>
          <w:rFonts w:eastAsiaTheme="minorEastAsia" w:cstheme="minorBidi"/>
          <w:sz w:val="22"/>
          <w:szCs w:val="22"/>
          <w:rtl/>
        </w:rPr>
      </w:pPr>
      <w:r>
        <w:rPr>
          <w:rtl/>
        </w:rPr>
        <w:t>דעת התוס' בגיטין והרמב"ן והריטב"א דחזקת ג"ש מהני בין בעבדים ובין בגודרות</w:t>
      </w:r>
    </w:p>
    <w:p w:rsidR="000F1F09" w:rsidRDefault="000F1F09" w:rsidP="0007171D">
      <w:pPr>
        <w:pStyle w:val="aff4"/>
        <w:rPr>
          <w:rFonts w:eastAsiaTheme="minorEastAsia" w:cstheme="minorBidi"/>
          <w:i/>
          <w:iCs/>
          <w:noProof/>
          <w:sz w:val="22"/>
          <w:szCs w:val="22"/>
          <w:rtl/>
        </w:rPr>
      </w:pPr>
      <w:r>
        <w:rPr>
          <w:noProof/>
          <w:rtl/>
        </w:rPr>
        <w:t>ביאור רבינו יונה דגודרות לא דמו לעשויים להשאיל ולהשכיר</w:t>
      </w:r>
    </w:p>
    <w:p w:rsidR="000F1F09" w:rsidRDefault="000F1F09" w:rsidP="007E4E81">
      <w:pPr>
        <w:pStyle w:val="a"/>
        <w:rPr>
          <w:rFonts w:eastAsiaTheme="minorEastAsia" w:cstheme="minorBidi"/>
          <w:sz w:val="22"/>
          <w:szCs w:val="22"/>
          <w:rtl/>
        </w:rPr>
      </w:pPr>
      <w:r>
        <w:rPr>
          <w:rtl/>
        </w:rPr>
        <w:t>דברי רבינו יונה דבעשויים להשאיל ולהשכיר יש סברא דלא היה לו למחות אף שעברו ג"ש</w:t>
      </w:r>
    </w:p>
    <w:p w:rsidR="000F1F09" w:rsidRDefault="000F1F09" w:rsidP="007E4E81">
      <w:pPr>
        <w:pStyle w:val="a"/>
        <w:rPr>
          <w:rFonts w:eastAsiaTheme="minorEastAsia" w:cstheme="minorBidi"/>
          <w:sz w:val="22"/>
          <w:szCs w:val="22"/>
        </w:rPr>
      </w:pPr>
      <w:r>
        <w:rPr>
          <w:rtl/>
        </w:rPr>
        <w:t>דברי רבינו יונה דבגודרות מהני חזקת ג"ש דאין דרך להשהותם והיה לבעלים למחות ולא מחה</w:t>
      </w:r>
    </w:p>
    <w:p w:rsidR="004A762C" w:rsidRDefault="004A762C" w:rsidP="007E4E81">
      <w:pPr>
        <w:pStyle w:val="a"/>
        <w:numPr>
          <w:ilvl w:val="0"/>
          <w:numId w:val="0"/>
        </w:numPr>
        <w:rPr>
          <w:rtl/>
        </w:rPr>
      </w:pPr>
    </w:p>
    <w:p w:rsidR="000F1F09" w:rsidRDefault="000F1F09" w:rsidP="0007171D">
      <w:pPr>
        <w:pStyle w:val="aff4"/>
        <w:rPr>
          <w:rFonts w:eastAsiaTheme="minorEastAsia" w:cstheme="minorBidi"/>
          <w:i/>
          <w:iCs/>
          <w:noProof/>
          <w:sz w:val="22"/>
          <w:szCs w:val="22"/>
          <w:rtl/>
        </w:rPr>
      </w:pPr>
      <w:r>
        <w:rPr>
          <w:noProof/>
          <w:rtl/>
        </w:rPr>
        <w:t>ביאור הריטב"א דבגודרות אין פירות תדיר אך ל"פ רבנן בחזקה</w:t>
      </w:r>
    </w:p>
    <w:p w:rsidR="000F1F09" w:rsidRDefault="000F1F09" w:rsidP="007E4E81">
      <w:pPr>
        <w:pStyle w:val="a"/>
        <w:rPr>
          <w:rFonts w:eastAsiaTheme="minorEastAsia" w:cstheme="minorBidi"/>
          <w:sz w:val="22"/>
          <w:szCs w:val="22"/>
          <w:rtl/>
        </w:rPr>
      </w:pPr>
      <w:r>
        <w:rPr>
          <w:rtl/>
        </w:rPr>
        <w:t>דברי הריטב"א דאף דגודרות אינם עושים פירות תדיר לא פלוג רבנן וחזקתם ג"ש</w:t>
      </w:r>
    </w:p>
    <w:p w:rsidR="000F1F09" w:rsidRDefault="000F1F09" w:rsidP="007E4E81">
      <w:pPr>
        <w:pStyle w:val="a"/>
        <w:rPr>
          <w:rFonts w:eastAsiaTheme="minorEastAsia" w:cstheme="minorBidi"/>
          <w:sz w:val="22"/>
          <w:szCs w:val="22"/>
          <w:rtl/>
        </w:rPr>
      </w:pPr>
      <w:r>
        <w:rPr>
          <w:rtl/>
        </w:rPr>
        <w:t>דברי הריטב"א דמוכח דבגודרות לא פלוג דאין בהם שטר והא דעבדים תני במתני' דדמו לקרקע</w:t>
      </w:r>
    </w:p>
    <w:p w:rsidR="000F1F09" w:rsidRDefault="000F1F09" w:rsidP="007E4E81">
      <w:pPr>
        <w:pStyle w:val="a"/>
        <w:rPr>
          <w:rFonts w:eastAsiaTheme="minorEastAsia" w:cstheme="minorBidi"/>
          <w:sz w:val="22"/>
          <w:szCs w:val="22"/>
          <w:rtl/>
        </w:rPr>
      </w:pPr>
      <w:r>
        <w:rPr>
          <w:rtl/>
        </w:rPr>
        <w:t>דברי הנתיה"מ דגודרות אף דאינם בני שטרא מ"מ דימתה אותם הגמ' לעבדים שהם כקרקע</w:t>
      </w:r>
    </w:p>
    <w:p w:rsidR="000F1F09" w:rsidRDefault="000F1F09" w:rsidP="007E4E81">
      <w:pPr>
        <w:pStyle w:val="a"/>
        <w:rPr>
          <w:rFonts w:eastAsiaTheme="minorEastAsia" w:cstheme="minorBidi"/>
          <w:sz w:val="22"/>
          <w:szCs w:val="22"/>
          <w:rtl/>
        </w:rPr>
      </w:pPr>
      <w:r>
        <w:rPr>
          <w:rtl/>
        </w:rPr>
        <w:t>דברי הנתיה"מ דחזקה שלא בפניו מהני בגודרות אף שאינם בני שטר דדינם כעבדים וקרקעות</w:t>
      </w:r>
    </w:p>
    <w:p w:rsidR="000F1F09" w:rsidRDefault="000F1F09" w:rsidP="007E4E81">
      <w:pPr>
        <w:pStyle w:val="a"/>
        <w:rPr>
          <w:rFonts w:eastAsiaTheme="minorEastAsia" w:cstheme="minorBidi"/>
          <w:sz w:val="22"/>
          <w:szCs w:val="22"/>
          <w:rtl/>
        </w:rPr>
      </w:pPr>
      <w:r>
        <w:rPr>
          <w:rtl/>
        </w:rPr>
        <w:t>דברי הנתיה"מ דאף דגודרות אינם בני שטרא תיקנו בהם חזקה אף באופן דהמחאה לא מהני</w:t>
      </w:r>
    </w:p>
    <w:p w:rsidR="000F1F09" w:rsidRDefault="000F1F09" w:rsidP="00514FF3">
      <w:pPr>
        <w:pStyle w:val="2"/>
        <w:rPr>
          <w:rFonts w:eastAsiaTheme="minorEastAsia" w:cstheme="minorBidi"/>
          <w:i/>
          <w:iCs/>
          <w:sz w:val="22"/>
          <w:szCs w:val="22"/>
          <w:rtl/>
        </w:rPr>
      </w:pPr>
      <w:r>
        <w:rPr>
          <w:rtl/>
        </w:rPr>
        <w:t>בדעת הרמב"ם בחזקת עבדים וגודרות</w:t>
      </w:r>
    </w:p>
    <w:p w:rsidR="000F1F09" w:rsidRDefault="000F1F09" w:rsidP="0007171D">
      <w:pPr>
        <w:pStyle w:val="aff4"/>
        <w:rPr>
          <w:rFonts w:eastAsiaTheme="minorEastAsia" w:cstheme="minorBidi"/>
          <w:i/>
          <w:iCs/>
          <w:noProof/>
          <w:sz w:val="22"/>
          <w:szCs w:val="22"/>
          <w:rtl/>
        </w:rPr>
      </w:pPr>
      <w:r>
        <w:rPr>
          <w:noProof/>
          <w:rtl/>
        </w:rPr>
        <w:t>דברי הרמב"ם דלגודרות אין חזקה ובעבדים מהני חזקת ג"ש</w:t>
      </w:r>
    </w:p>
    <w:p w:rsidR="000F1F09" w:rsidRDefault="000F1F09" w:rsidP="007E4E81">
      <w:pPr>
        <w:pStyle w:val="a"/>
        <w:rPr>
          <w:rFonts w:eastAsiaTheme="minorEastAsia" w:cstheme="minorBidi"/>
          <w:sz w:val="22"/>
          <w:szCs w:val="22"/>
          <w:rtl/>
        </w:rPr>
      </w:pPr>
      <w:r>
        <w:rPr>
          <w:rtl/>
        </w:rPr>
        <w:t>דברי הרמב"ם דלגודרות אין חזקה בתפיסה דיתכן שמעצמם נכנסו לרשותו</w:t>
      </w:r>
    </w:p>
    <w:p w:rsidR="000F1F09" w:rsidRDefault="000F1F09" w:rsidP="007E4E81">
      <w:pPr>
        <w:pStyle w:val="a"/>
        <w:rPr>
          <w:rFonts w:eastAsiaTheme="minorEastAsia" w:cstheme="minorBidi"/>
          <w:sz w:val="22"/>
          <w:szCs w:val="22"/>
          <w:rtl/>
        </w:rPr>
      </w:pPr>
      <w:r>
        <w:rPr>
          <w:rtl/>
        </w:rPr>
        <w:t>דברי הרמב"ם דעבדים כגודרות אך מהני חזקה כשהתשמש בהם ג"ש ועבד קטן חזקתו לאלתר</w:t>
      </w:r>
    </w:p>
    <w:p w:rsidR="000F1F09" w:rsidRDefault="000F1F09" w:rsidP="0007171D">
      <w:pPr>
        <w:pStyle w:val="aff4"/>
        <w:rPr>
          <w:rFonts w:eastAsiaTheme="minorEastAsia" w:cstheme="minorBidi"/>
          <w:i/>
          <w:iCs/>
          <w:noProof/>
          <w:sz w:val="22"/>
          <w:szCs w:val="22"/>
          <w:rtl/>
        </w:rPr>
      </w:pPr>
      <w:r>
        <w:rPr>
          <w:noProof/>
          <w:rtl/>
        </w:rPr>
        <w:lastRenderedPageBreak/>
        <w:t>ביאור המ"מ ברמב"ם דבעבדים מהני חזקת ג"ש ולא בגודרות</w:t>
      </w:r>
    </w:p>
    <w:p w:rsidR="000F1F09" w:rsidRDefault="000F1F09" w:rsidP="007E4E81">
      <w:pPr>
        <w:pStyle w:val="a"/>
        <w:rPr>
          <w:rFonts w:eastAsiaTheme="minorEastAsia" w:cstheme="minorBidi"/>
          <w:sz w:val="22"/>
          <w:szCs w:val="22"/>
          <w:rtl/>
        </w:rPr>
      </w:pPr>
      <w:r>
        <w:rPr>
          <w:rtl/>
        </w:rPr>
        <w:t>ביאור המ"מ ברמב"ם דרק בעבדים מהני חזקת ג"ש כדתנן במתני אבל בגודרות ל"מ חזקת ג"ש</w:t>
      </w:r>
    </w:p>
    <w:p w:rsidR="000F1F09" w:rsidRDefault="000F1F09" w:rsidP="007E4E81">
      <w:pPr>
        <w:pStyle w:val="a"/>
        <w:rPr>
          <w:rFonts w:eastAsiaTheme="minorEastAsia" w:cstheme="minorBidi"/>
          <w:sz w:val="22"/>
          <w:szCs w:val="22"/>
          <w:rtl/>
        </w:rPr>
      </w:pPr>
      <w:r>
        <w:rPr>
          <w:rtl/>
        </w:rPr>
        <w:t>דברי העיטור דעבדים הם בני שטרא ומהני חזקת ג"ש משא"כ בכלים העשויים להשאיל ולהשכיר</w:t>
      </w:r>
    </w:p>
    <w:p w:rsidR="000F1F09" w:rsidRDefault="000F1F09" w:rsidP="007E4E81">
      <w:pPr>
        <w:pStyle w:val="a"/>
        <w:rPr>
          <w:rFonts w:eastAsiaTheme="minorEastAsia" w:cstheme="minorBidi"/>
          <w:sz w:val="22"/>
          <w:szCs w:val="22"/>
          <w:rtl/>
        </w:rPr>
      </w:pPr>
      <w:r>
        <w:rPr>
          <w:rtl/>
        </w:rPr>
        <w:t>דברי הגר"א דבירושלמי מבואר כרמב"ם דחזקת ג"ש מהני בעבדים שהם כקרקע ולא בגודרות</w:t>
      </w:r>
    </w:p>
    <w:p w:rsidR="000F1F09" w:rsidRDefault="000F1F09" w:rsidP="007E4E81">
      <w:pPr>
        <w:pStyle w:val="a"/>
        <w:rPr>
          <w:rFonts w:eastAsiaTheme="minorEastAsia" w:cstheme="minorBidi"/>
          <w:sz w:val="22"/>
          <w:szCs w:val="22"/>
          <w:rtl/>
        </w:rPr>
      </w:pPr>
      <w:r>
        <w:rPr>
          <w:rtl/>
        </w:rPr>
        <w:t>ביאור הסמ"ע ברמב"ם דבגודרות ל"מ חזקת ג"ש דאינם בני שטרא כעבדים</w:t>
      </w:r>
    </w:p>
    <w:p w:rsidR="000F1F09" w:rsidRDefault="000F1F09" w:rsidP="0007171D">
      <w:pPr>
        <w:pStyle w:val="aff4"/>
        <w:rPr>
          <w:rFonts w:eastAsiaTheme="minorEastAsia" w:cstheme="minorBidi"/>
          <w:i/>
          <w:iCs/>
          <w:noProof/>
          <w:sz w:val="22"/>
          <w:szCs w:val="22"/>
          <w:rtl/>
        </w:rPr>
      </w:pPr>
      <w:r>
        <w:rPr>
          <w:noProof/>
          <w:rtl/>
        </w:rPr>
        <w:t>ביאור הב"ח והש"ך ברמב"ם דבעבדים וגודרות מהני חזקת ג"ש</w:t>
      </w:r>
    </w:p>
    <w:p w:rsidR="000F1F09" w:rsidRDefault="000F1F09" w:rsidP="007E4E81">
      <w:pPr>
        <w:pStyle w:val="a"/>
        <w:rPr>
          <w:rFonts w:eastAsiaTheme="minorEastAsia" w:cstheme="minorBidi"/>
          <w:sz w:val="22"/>
          <w:szCs w:val="22"/>
          <w:rtl/>
        </w:rPr>
      </w:pPr>
      <w:r>
        <w:rPr>
          <w:rtl/>
        </w:rPr>
        <w:t>דברי הב"ח והש"ך דאף להרמב"ם מהני חזקת ג"ש בגודרות כמו דמהני בעבדים</w:t>
      </w:r>
    </w:p>
    <w:p w:rsidR="000F1F09" w:rsidRDefault="000F1F09" w:rsidP="007E4E81">
      <w:pPr>
        <w:pStyle w:val="a"/>
        <w:rPr>
          <w:rFonts w:eastAsiaTheme="minorEastAsia" w:cstheme="minorBidi"/>
          <w:sz w:val="22"/>
          <w:szCs w:val="22"/>
          <w:rtl/>
        </w:rPr>
      </w:pPr>
      <w:r>
        <w:rPr>
          <w:rtl/>
        </w:rPr>
        <w:t>דברי הש"ך דכן מבואר ברמב"ם בפיהמ"ש דעבדים כגודרות דאין להם חזקה אך מהני חזקת ג"ש</w:t>
      </w:r>
    </w:p>
    <w:p w:rsidR="000F1F09" w:rsidRDefault="000F1F09" w:rsidP="0007171D">
      <w:pPr>
        <w:pStyle w:val="aff4"/>
        <w:rPr>
          <w:rFonts w:eastAsiaTheme="minorEastAsia" w:cstheme="minorBidi"/>
          <w:noProof/>
          <w:sz w:val="22"/>
          <w:szCs w:val="22"/>
          <w:rtl/>
        </w:rPr>
      </w:pPr>
      <w:r>
        <w:rPr>
          <w:noProof/>
          <w:rtl/>
        </w:rPr>
        <w:t>דברי הקצוה"ח דבעבד קטן יש ראיה ול"מ אחוי שטרך</w:t>
      </w:r>
    </w:p>
    <w:p w:rsidR="000F1F09" w:rsidRDefault="000F1F09" w:rsidP="007E4E81">
      <w:pPr>
        <w:pStyle w:val="a"/>
        <w:rPr>
          <w:rFonts w:eastAsiaTheme="minorEastAsia" w:cstheme="minorBidi"/>
          <w:sz w:val="22"/>
          <w:szCs w:val="22"/>
          <w:rtl/>
        </w:rPr>
      </w:pPr>
      <w:r>
        <w:rPr>
          <w:rtl/>
        </w:rPr>
        <w:t>קושית הקצוה"ח על הרמב"ן דבעבד קטן אמאי מהני חזקה לאלתר הא נימא ליה אחוי שטרך</w:t>
      </w:r>
    </w:p>
    <w:p w:rsidR="000F1F09" w:rsidRDefault="000F1F09" w:rsidP="007E4E81">
      <w:pPr>
        <w:pStyle w:val="a"/>
        <w:rPr>
          <w:rFonts w:eastAsiaTheme="minorEastAsia" w:cstheme="minorBidi"/>
          <w:sz w:val="22"/>
          <w:szCs w:val="22"/>
          <w:rtl/>
        </w:rPr>
      </w:pPr>
      <w:r>
        <w:rPr>
          <w:rtl/>
        </w:rPr>
        <w:t>תירוץ הקצוה"ח דבעבד קטן יש ראיה גדולה שהוא של המחזיק ול"מ כנגדה טענת אחוי שטרך</w:t>
      </w:r>
    </w:p>
    <w:p w:rsidR="000F1F09" w:rsidRDefault="001B6519" w:rsidP="00514FF3">
      <w:pPr>
        <w:pStyle w:val="2"/>
        <w:rPr>
          <w:rFonts w:eastAsiaTheme="minorEastAsia" w:cstheme="minorBidi"/>
          <w:i/>
          <w:iCs/>
          <w:sz w:val="22"/>
          <w:szCs w:val="22"/>
          <w:rtl/>
        </w:rPr>
      </w:pPr>
      <w:r>
        <w:rPr>
          <w:rtl/>
        </w:rPr>
        <w:t>~~~~~~~ ביאורי ראשי הישיבות ~~~~~~~</w:t>
      </w:r>
    </w:p>
    <w:p w:rsidR="000F1F09" w:rsidRDefault="000F1F09" w:rsidP="00514FF3">
      <w:pPr>
        <w:pStyle w:val="2"/>
        <w:rPr>
          <w:rFonts w:eastAsiaTheme="minorEastAsia" w:cstheme="minorBidi"/>
          <w:i/>
          <w:iCs/>
          <w:sz w:val="22"/>
          <w:szCs w:val="22"/>
          <w:rtl/>
        </w:rPr>
      </w:pPr>
      <w:r>
        <w:rPr>
          <w:rtl/>
        </w:rPr>
        <w:t>בדעת הרמב"ם בחזקת מר"ק ביום א'</w:t>
      </w:r>
    </w:p>
    <w:p w:rsidR="000F1F09" w:rsidRDefault="000F1F09" w:rsidP="0007171D">
      <w:pPr>
        <w:pStyle w:val="aff4"/>
        <w:rPr>
          <w:rFonts w:eastAsiaTheme="minorEastAsia" w:cstheme="minorBidi"/>
          <w:i/>
          <w:iCs/>
          <w:noProof/>
          <w:sz w:val="22"/>
          <w:szCs w:val="22"/>
          <w:rtl/>
        </w:rPr>
      </w:pPr>
      <w:r>
        <w:rPr>
          <w:noProof/>
          <w:rtl/>
        </w:rPr>
        <w:t>ביאור האבהא"ז ברמב"ם דל"מ חזקת יום אחד למערער</w:t>
      </w:r>
    </w:p>
    <w:p w:rsidR="000F1F09" w:rsidRDefault="000F1F09" w:rsidP="007E4E81">
      <w:pPr>
        <w:pStyle w:val="a"/>
        <w:rPr>
          <w:rFonts w:eastAsiaTheme="minorEastAsia" w:cstheme="minorBidi"/>
          <w:sz w:val="22"/>
          <w:szCs w:val="22"/>
          <w:rtl/>
        </w:rPr>
      </w:pPr>
      <w:r>
        <w:rPr>
          <w:rtl/>
        </w:rPr>
        <w:t>דברי האבאה"ז דמבואר ברמב"ם דחזקת מר"ק מהני רק כשיש לו עדים ולא בדר בה יום אחד</w:t>
      </w:r>
    </w:p>
    <w:p w:rsidR="000F1F09" w:rsidRDefault="000F1F09" w:rsidP="00514FF3">
      <w:pPr>
        <w:pStyle w:val="2"/>
        <w:rPr>
          <w:rFonts w:eastAsiaTheme="minorEastAsia" w:cstheme="minorBidi"/>
          <w:i/>
          <w:iCs/>
          <w:sz w:val="22"/>
          <w:szCs w:val="22"/>
          <w:rtl/>
        </w:rPr>
      </w:pPr>
      <w:r>
        <w:rPr>
          <w:rtl/>
        </w:rPr>
        <w:t>בחילוק בחזקה בין קרקע למטלטלין</w:t>
      </w:r>
    </w:p>
    <w:p w:rsidR="000F1F09" w:rsidRDefault="000F1F09" w:rsidP="0007171D">
      <w:pPr>
        <w:pStyle w:val="aff4"/>
        <w:rPr>
          <w:rFonts w:eastAsiaTheme="minorEastAsia" w:cstheme="minorBidi"/>
          <w:i/>
          <w:iCs/>
          <w:noProof/>
          <w:sz w:val="22"/>
          <w:szCs w:val="22"/>
          <w:rtl/>
        </w:rPr>
      </w:pPr>
      <w:r>
        <w:rPr>
          <w:noProof/>
          <w:rtl/>
        </w:rPr>
        <w:t>ביאור הברכ"ש דבמטלטלין תפוס מהני אף כנגד חזקה</w:t>
      </w:r>
    </w:p>
    <w:p w:rsidR="000F1F09" w:rsidRDefault="000F1F09" w:rsidP="007E4E81">
      <w:pPr>
        <w:pStyle w:val="a"/>
        <w:rPr>
          <w:rFonts w:eastAsiaTheme="minorEastAsia" w:cstheme="minorBidi"/>
          <w:sz w:val="22"/>
          <w:szCs w:val="22"/>
          <w:rtl/>
        </w:rPr>
      </w:pPr>
      <w:r>
        <w:rPr>
          <w:rtl/>
        </w:rPr>
        <w:t>דברי הברכ"ש דבחזקת ג"ש בקרקע אינו נאמן דהיא שלו במיגו דקנה ובמטלטלין נאמן</w:t>
      </w:r>
    </w:p>
    <w:p w:rsidR="000F1F09" w:rsidRDefault="000F1F09" w:rsidP="007E4E81">
      <w:pPr>
        <w:pStyle w:val="a"/>
        <w:rPr>
          <w:rFonts w:eastAsiaTheme="minorEastAsia" w:cstheme="minorBidi"/>
          <w:sz w:val="22"/>
          <w:szCs w:val="22"/>
          <w:rtl/>
        </w:rPr>
      </w:pPr>
      <w:r>
        <w:rPr>
          <w:rtl/>
        </w:rPr>
        <w:t>ביאור הברכ"ש דהתפיסה במטלטלין מהני כנגד חזקה אבל חזקת ג"ש היא רק ראיה שקנה ממנו</w:t>
      </w:r>
    </w:p>
    <w:p w:rsidR="000F1F09" w:rsidRDefault="000F1F09" w:rsidP="0007171D">
      <w:pPr>
        <w:pStyle w:val="aff4"/>
        <w:rPr>
          <w:rFonts w:eastAsiaTheme="minorEastAsia" w:cstheme="minorBidi"/>
          <w:i/>
          <w:iCs/>
          <w:noProof/>
          <w:sz w:val="22"/>
          <w:szCs w:val="22"/>
          <w:rtl/>
        </w:rPr>
      </w:pPr>
      <w:r>
        <w:rPr>
          <w:noProof/>
          <w:rtl/>
        </w:rPr>
        <w:t>ביאור הברכ"ש דחזקת ג"ש מהני רק כשאינה סותרת את המר"ק</w:t>
      </w:r>
    </w:p>
    <w:p w:rsidR="000F1F09" w:rsidRDefault="000F1F09" w:rsidP="007E4E81">
      <w:pPr>
        <w:pStyle w:val="a"/>
        <w:rPr>
          <w:rFonts w:eastAsiaTheme="minorEastAsia" w:cstheme="minorBidi"/>
          <w:sz w:val="22"/>
          <w:szCs w:val="22"/>
          <w:rtl/>
        </w:rPr>
      </w:pPr>
      <w:r>
        <w:rPr>
          <w:rtl/>
        </w:rPr>
        <w:t>דברי הברכ"ש דחזקת ג"ש מהני כשאינה סותרת לחזקת המר"ק ובלא"ה הוי מיגו במקום עדים</w:t>
      </w:r>
    </w:p>
    <w:p w:rsidR="000F1F09" w:rsidRDefault="000F1F09" w:rsidP="0007171D">
      <w:pPr>
        <w:pStyle w:val="aff4"/>
        <w:rPr>
          <w:rFonts w:eastAsiaTheme="minorEastAsia" w:cstheme="minorBidi"/>
          <w:i/>
          <w:iCs/>
          <w:noProof/>
          <w:sz w:val="22"/>
          <w:szCs w:val="22"/>
          <w:rtl/>
        </w:rPr>
      </w:pPr>
      <w:r>
        <w:rPr>
          <w:noProof/>
          <w:rtl/>
        </w:rPr>
        <w:t>ביאור הברכ"ש דחזקת ג"ש בקרקע אינה תפיסה אלא ראיה</w:t>
      </w:r>
    </w:p>
    <w:p w:rsidR="000F1F09" w:rsidRDefault="000F1F09" w:rsidP="007E4E81">
      <w:pPr>
        <w:pStyle w:val="a"/>
        <w:rPr>
          <w:rFonts w:eastAsiaTheme="minorEastAsia" w:cstheme="minorBidi"/>
          <w:sz w:val="22"/>
          <w:szCs w:val="22"/>
          <w:rtl/>
        </w:rPr>
      </w:pPr>
      <w:r>
        <w:rPr>
          <w:rtl/>
        </w:rPr>
        <w:t>ביאור הברכ"ש דתפוס במטלטלין הוא מוחזק ומכח המוחזקות נאמן לטעון מיגו דלקוח בידי</w:t>
      </w:r>
    </w:p>
    <w:p w:rsidR="000F1F09" w:rsidRDefault="000F1F09" w:rsidP="007E4E81">
      <w:pPr>
        <w:pStyle w:val="a"/>
        <w:rPr>
          <w:rFonts w:eastAsiaTheme="minorEastAsia" w:cstheme="minorBidi"/>
          <w:sz w:val="22"/>
          <w:szCs w:val="22"/>
          <w:rtl/>
        </w:rPr>
      </w:pPr>
      <w:r>
        <w:rPr>
          <w:rtl/>
        </w:rPr>
        <w:t>ביאור הברכ"ש דתפוס בקרקע אינו מוחזק וכל נאמנותו היא מכח הראיה דחזקת ג"ש שקנאה</w:t>
      </w:r>
    </w:p>
    <w:p w:rsidR="000F1F09" w:rsidRDefault="000F1F09" w:rsidP="0007171D">
      <w:pPr>
        <w:pStyle w:val="aff4"/>
        <w:rPr>
          <w:rFonts w:eastAsiaTheme="minorEastAsia" w:cstheme="minorBidi"/>
          <w:i/>
          <w:iCs/>
          <w:noProof/>
          <w:sz w:val="22"/>
          <w:szCs w:val="22"/>
          <w:rtl/>
        </w:rPr>
      </w:pPr>
      <w:r>
        <w:rPr>
          <w:noProof/>
          <w:rtl/>
        </w:rPr>
        <w:t>דברי הגרש"ר דקרקע אינה תפוסה בידו ול"ד למטלטלין דתח"י</w:t>
      </w:r>
    </w:p>
    <w:p w:rsidR="000F1F09" w:rsidRDefault="000F1F09" w:rsidP="007E4E81">
      <w:pPr>
        <w:pStyle w:val="a"/>
        <w:rPr>
          <w:rFonts w:eastAsiaTheme="minorEastAsia" w:cstheme="minorBidi"/>
          <w:sz w:val="22"/>
          <w:szCs w:val="22"/>
          <w:rtl/>
        </w:rPr>
      </w:pPr>
      <w:r>
        <w:rPr>
          <w:rtl/>
        </w:rPr>
        <w:t>דברי הגרש"ר דבפשטות ל"מ תפיסה בקרקע דאינה תח"י ולא שייך לומר דאינו מוחזק בגזלנותא</w:t>
      </w:r>
    </w:p>
    <w:p w:rsidR="000F1F09" w:rsidRDefault="000F1F09" w:rsidP="0007171D">
      <w:pPr>
        <w:pStyle w:val="aff4"/>
        <w:rPr>
          <w:rFonts w:eastAsiaTheme="minorEastAsia" w:cstheme="minorBidi"/>
          <w:i/>
          <w:iCs/>
          <w:noProof/>
          <w:sz w:val="22"/>
          <w:szCs w:val="22"/>
          <w:rtl/>
        </w:rPr>
      </w:pPr>
      <w:r>
        <w:rPr>
          <w:noProof/>
          <w:rtl/>
        </w:rPr>
        <w:t>ביאור הגרש"ר דתפיסה עושה ספק והקרקע בחזקת המר"ק</w:t>
      </w:r>
    </w:p>
    <w:p w:rsidR="000F1F09" w:rsidRDefault="000F1F09" w:rsidP="007E4E81">
      <w:pPr>
        <w:pStyle w:val="a"/>
        <w:rPr>
          <w:rFonts w:eastAsiaTheme="minorEastAsia" w:cstheme="minorBidi"/>
          <w:sz w:val="22"/>
          <w:szCs w:val="22"/>
          <w:rtl/>
        </w:rPr>
      </w:pPr>
      <w:r>
        <w:rPr>
          <w:rtl/>
        </w:rPr>
        <w:t>דברי הגרש"ר דאף בקרקע שייך לומר דאינו מוחזק בגזלנותא במה שהוא יושב בקרקע</w:t>
      </w:r>
    </w:p>
    <w:p w:rsidR="000F1F09" w:rsidRDefault="000F1F09" w:rsidP="007E4E81">
      <w:pPr>
        <w:pStyle w:val="a"/>
        <w:rPr>
          <w:rFonts w:eastAsiaTheme="minorEastAsia" w:cstheme="minorBidi"/>
          <w:sz w:val="22"/>
          <w:szCs w:val="22"/>
          <w:rtl/>
        </w:rPr>
      </w:pPr>
      <w:r>
        <w:rPr>
          <w:rtl/>
        </w:rPr>
        <w:t>ביאור הגרש"ר דבמטלטלין כשהם תח"י הוא דררא דהם שלו ומעמידים ביד המוחזק כדין המע"ה</w:t>
      </w:r>
    </w:p>
    <w:p w:rsidR="000F1F09" w:rsidRDefault="000F1F09" w:rsidP="007E4E81">
      <w:pPr>
        <w:pStyle w:val="a"/>
        <w:rPr>
          <w:rFonts w:eastAsiaTheme="minorEastAsia" w:cstheme="minorBidi"/>
          <w:sz w:val="22"/>
          <w:szCs w:val="22"/>
          <w:rtl/>
        </w:rPr>
      </w:pPr>
      <w:r>
        <w:rPr>
          <w:rtl/>
        </w:rPr>
        <w:t>דברי הגרש"ר דבקרקע אף דאינו מוחזק בגזלנותא ויש דררא מ"מ מעמידים בחזקת מר"ק</w:t>
      </w:r>
    </w:p>
    <w:p w:rsidR="000F1F09" w:rsidRDefault="000F1F09" w:rsidP="00514FF3">
      <w:pPr>
        <w:pStyle w:val="2"/>
        <w:rPr>
          <w:rFonts w:eastAsiaTheme="minorEastAsia" w:cstheme="minorBidi"/>
          <w:i/>
          <w:iCs/>
          <w:sz w:val="22"/>
          <w:szCs w:val="22"/>
          <w:rtl/>
        </w:rPr>
      </w:pPr>
      <w:r>
        <w:rPr>
          <w:rtl/>
        </w:rPr>
        <w:t>בגדר מוחזקות המחזיק בחזקת ג"ש</w:t>
      </w:r>
    </w:p>
    <w:p w:rsidR="000F1F09" w:rsidRDefault="000F1F09" w:rsidP="0007171D">
      <w:pPr>
        <w:pStyle w:val="aff4"/>
        <w:rPr>
          <w:rFonts w:eastAsiaTheme="minorEastAsia" w:cstheme="minorBidi"/>
          <w:i/>
          <w:iCs/>
          <w:noProof/>
          <w:sz w:val="22"/>
          <w:szCs w:val="22"/>
          <w:rtl/>
        </w:rPr>
      </w:pPr>
      <w:r>
        <w:rPr>
          <w:noProof/>
          <w:rtl/>
        </w:rPr>
        <w:t>ביאור הגרנ"פ ברמב"ם וברשב"א ובמאירי דהמחזיק כמוחזק</w:t>
      </w:r>
    </w:p>
    <w:p w:rsidR="000F1F09" w:rsidRDefault="000F1F09" w:rsidP="007E4E81">
      <w:pPr>
        <w:pStyle w:val="a"/>
        <w:rPr>
          <w:rFonts w:eastAsiaTheme="minorEastAsia" w:cstheme="minorBidi"/>
          <w:sz w:val="22"/>
          <w:szCs w:val="22"/>
          <w:rtl/>
        </w:rPr>
      </w:pPr>
      <w:r>
        <w:rPr>
          <w:rtl/>
        </w:rPr>
        <w:t>דברי הגרנ"פ דלמאירי א"א לומר דמדלא מיחה אנן סהדי דקנה ממנו דא"כ אף בלא יושב מהני</w:t>
      </w:r>
    </w:p>
    <w:p w:rsidR="000F1F09" w:rsidRDefault="000F1F09" w:rsidP="007E4E81">
      <w:pPr>
        <w:pStyle w:val="a"/>
        <w:rPr>
          <w:rFonts w:eastAsiaTheme="minorEastAsia" w:cstheme="minorBidi"/>
          <w:sz w:val="22"/>
          <w:szCs w:val="22"/>
          <w:rtl/>
        </w:rPr>
      </w:pPr>
      <w:r>
        <w:rPr>
          <w:rtl/>
        </w:rPr>
        <w:t>ביאור הגרנ"פ במאירי דבראיה דאנן סהדי א"א להוציא ממוחזק ורק כשיושב ונעשה מוחזק מהני</w:t>
      </w:r>
    </w:p>
    <w:p w:rsidR="000F1F09" w:rsidRDefault="000F1F09" w:rsidP="007E4E81">
      <w:pPr>
        <w:pStyle w:val="a"/>
        <w:rPr>
          <w:rFonts w:eastAsiaTheme="minorEastAsia" w:cstheme="minorBidi"/>
          <w:sz w:val="22"/>
          <w:szCs w:val="22"/>
          <w:rtl/>
        </w:rPr>
      </w:pPr>
      <w:r>
        <w:rPr>
          <w:rtl/>
        </w:rPr>
        <w:t>ביאור הגרנ"פ בריטב"א דבחזקת ג"ש נעשה מוחזק כמר"ק ומהני אף כשאינו יושב בקרקע</w:t>
      </w:r>
    </w:p>
    <w:p w:rsidR="000F1F09" w:rsidRDefault="000F1F09" w:rsidP="007E4E81">
      <w:pPr>
        <w:pStyle w:val="a"/>
        <w:rPr>
          <w:rFonts w:eastAsiaTheme="minorEastAsia" w:cstheme="minorBidi"/>
          <w:sz w:val="22"/>
          <w:szCs w:val="22"/>
          <w:rtl/>
        </w:rPr>
      </w:pPr>
      <w:r>
        <w:rPr>
          <w:rtl/>
        </w:rPr>
        <w:t>ביאור הגרנ"פ ברשב"א דבחזקת ג"ש יצאה הקרקע מחזקת המוכר ונעשה המחזיק למוחזק</w:t>
      </w:r>
    </w:p>
    <w:p w:rsidR="000F1F09" w:rsidRDefault="000F1F09" w:rsidP="007E4E81">
      <w:pPr>
        <w:pStyle w:val="a"/>
        <w:rPr>
          <w:rFonts w:eastAsiaTheme="minorEastAsia" w:cstheme="minorBidi"/>
          <w:sz w:val="22"/>
          <w:szCs w:val="22"/>
        </w:rPr>
      </w:pPr>
      <w:r>
        <w:rPr>
          <w:rtl/>
        </w:rPr>
        <w:t>ביאור הגרנ"פ ברמב"ם דחזקת ג"ש אינה ראיה אלא הוא סיבה להוציא מהמר"ק לחזקת המחזיק</w:t>
      </w:r>
    </w:p>
    <w:p w:rsidR="000F1F09" w:rsidRDefault="000F1F09" w:rsidP="00514FF3">
      <w:pPr>
        <w:pStyle w:val="2"/>
        <w:rPr>
          <w:rFonts w:eastAsiaTheme="minorEastAsia" w:cstheme="minorBidi"/>
          <w:i/>
          <w:iCs/>
          <w:sz w:val="22"/>
          <w:szCs w:val="22"/>
          <w:rtl/>
        </w:rPr>
      </w:pPr>
      <w:r>
        <w:rPr>
          <w:rtl/>
        </w:rPr>
        <w:t>בתפיסה בפחות מג"ש בקרקעות ועבדים</w:t>
      </w:r>
    </w:p>
    <w:p w:rsidR="000F1F09" w:rsidRDefault="000F1F09" w:rsidP="0007171D">
      <w:pPr>
        <w:pStyle w:val="aff4"/>
        <w:rPr>
          <w:rFonts w:eastAsiaTheme="minorEastAsia" w:cstheme="minorBidi"/>
          <w:i/>
          <w:iCs/>
          <w:noProof/>
          <w:sz w:val="22"/>
          <w:szCs w:val="22"/>
          <w:rtl/>
        </w:rPr>
      </w:pPr>
      <w:r>
        <w:rPr>
          <w:noProof/>
          <w:rtl/>
        </w:rPr>
        <w:t>חקירת הגרב"ב אי חזקה בפחות מג"ש היא ספק וחשיב כתפוס</w:t>
      </w:r>
    </w:p>
    <w:p w:rsidR="000F1F09" w:rsidRDefault="000F1F09" w:rsidP="007E4E81">
      <w:pPr>
        <w:pStyle w:val="a"/>
        <w:rPr>
          <w:rFonts w:eastAsiaTheme="minorEastAsia" w:cstheme="minorBidi"/>
          <w:sz w:val="22"/>
          <w:szCs w:val="22"/>
          <w:rtl/>
        </w:rPr>
      </w:pPr>
      <w:r>
        <w:rPr>
          <w:rtl/>
        </w:rPr>
        <w:t>הצד הא' בגרב"ב דבפחות מג"ש כיון שאין לו שטר אין כל ספק וודאי דהקרקע בחזקת מר"ק</w:t>
      </w:r>
    </w:p>
    <w:p w:rsidR="000F1F09" w:rsidRDefault="000F1F09" w:rsidP="007E4E81">
      <w:pPr>
        <w:pStyle w:val="a"/>
        <w:rPr>
          <w:rFonts w:eastAsiaTheme="minorEastAsia" w:cstheme="minorBidi"/>
          <w:sz w:val="22"/>
          <w:szCs w:val="22"/>
          <w:rtl/>
        </w:rPr>
      </w:pPr>
      <w:r>
        <w:rPr>
          <w:rtl/>
        </w:rPr>
        <w:t>הצד הב' בגרב"ב דכל שהוא מחזיק בקרקע יש ספק אלא דמעמידים בחזקת המר"ק ותפיסתו ל"מ</w:t>
      </w:r>
    </w:p>
    <w:p w:rsidR="000F1F09" w:rsidRDefault="000F1F09" w:rsidP="0007171D">
      <w:pPr>
        <w:pStyle w:val="aff4"/>
        <w:rPr>
          <w:rFonts w:eastAsiaTheme="minorEastAsia" w:cstheme="minorBidi"/>
          <w:i/>
          <w:iCs/>
          <w:noProof/>
          <w:sz w:val="22"/>
          <w:szCs w:val="22"/>
          <w:rtl/>
        </w:rPr>
      </w:pPr>
      <w:r>
        <w:rPr>
          <w:noProof/>
          <w:rtl/>
        </w:rPr>
        <w:t>דברי הגרב"ב דבגודרות הוי תפוס מספק אך הם בחזקת המר"ק</w:t>
      </w:r>
    </w:p>
    <w:p w:rsidR="000F1F09" w:rsidRDefault="000F1F09" w:rsidP="007E4E81">
      <w:pPr>
        <w:pStyle w:val="a"/>
        <w:rPr>
          <w:rFonts w:eastAsiaTheme="minorEastAsia" w:cstheme="minorBidi"/>
          <w:sz w:val="22"/>
          <w:szCs w:val="22"/>
        </w:rPr>
      </w:pPr>
      <w:r>
        <w:rPr>
          <w:rtl/>
        </w:rPr>
        <w:t>דברי הגרב"ב דבגודרות בפחות מג"ש א"א לומר דבודאי אינם בחזקת המחזיק אלא הוא ספק</w:t>
      </w:r>
    </w:p>
    <w:p w:rsidR="006E1D13" w:rsidRDefault="006E1D13" w:rsidP="007E4E81">
      <w:pPr>
        <w:pStyle w:val="a"/>
        <w:numPr>
          <w:ilvl w:val="0"/>
          <w:numId w:val="0"/>
        </w:numPr>
        <w:rPr>
          <w:rtl/>
        </w:rPr>
      </w:pPr>
    </w:p>
    <w:p w:rsidR="000F1F09" w:rsidRDefault="000F1F09" w:rsidP="0007171D">
      <w:pPr>
        <w:pStyle w:val="aff4"/>
        <w:rPr>
          <w:rFonts w:eastAsiaTheme="minorEastAsia" w:cstheme="minorBidi"/>
          <w:i/>
          <w:iCs/>
          <w:noProof/>
          <w:sz w:val="22"/>
          <w:szCs w:val="22"/>
          <w:rtl/>
        </w:rPr>
      </w:pPr>
      <w:r>
        <w:rPr>
          <w:noProof/>
          <w:rtl/>
        </w:rPr>
        <w:t>דברי הגרב"ב דבקרקע בפחות מג"ש אינו תפוס ואין כל ספק</w:t>
      </w:r>
    </w:p>
    <w:p w:rsidR="000F1F09" w:rsidRDefault="000F1F09" w:rsidP="007E4E81">
      <w:pPr>
        <w:pStyle w:val="a"/>
        <w:rPr>
          <w:rFonts w:eastAsiaTheme="minorEastAsia" w:cstheme="minorBidi"/>
          <w:sz w:val="22"/>
          <w:szCs w:val="22"/>
          <w:rtl/>
        </w:rPr>
      </w:pPr>
      <w:r>
        <w:rPr>
          <w:rtl/>
        </w:rPr>
        <w:t>דברי הגר"י מפונביז' דמהא מוציאים מידי המחזיק בקרקע מוכח דאין כל ספק ולא חשיב תפוס</w:t>
      </w:r>
    </w:p>
    <w:p w:rsidR="000F1F09" w:rsidRDefault="000F1F09" w:rsidP="007E4E81">
      <w:pPr>
        <w:pStyle w:val="a"/>
        <w:rPr>
          <w:rFonts w:eastAsiaTheme="minorEastAsia" w:cstheme="minorBidi"/>
          <w:sz w:val="22"/>
          <w:szCs w:val="22"/>
          <w:rtl/>
        </w:rPr>
      </w:pPr>
      <w:r>
        <w:rPr>
          <w:rtl/>
        </w:rPr>
        <w:t>הוכחת הגר"ח דאין כל ספק בקרקע מהא דהדרא פירא ולא מעמידים אותם בחזקת התפוס</w:t>
      </w:r>
    </w:p>
    <w:p w:rsidR="000F1F09" w:rsidRDefault="000F1F09" w:rsidP="0007171D">
      <w:pPr>
        <w:pStyle w:val="aff4"/>
        <w:rPr>
          <w:rFonts w:eastAsiaTheme="minorEastAsia" w:cstheme="minorBidi"/>
          <w:i/>
          <w:iCs/>
          <w:noProof/>
          <w:sz w:val="22"/>
          <w:szCs w:val="22"/>
          <w:rtl/>
        </w:rPr>
      </w:pPr>
      <w:r>
        <w:rPr>
          <w:noProof/>
          <w:rtl/>
        </w:rPr>
        <w:t>דברי הגרב"ב דחזקת ג"ש בעבדים דהם כגודרות ולא כקרקע</w:t>
      </w:r>
    </w:p>
    <w:p w:rsidR="000F1F09" w:rsidRDefault="000F1F09" w:rsidP="007E4E81">
      <w:pPr>
        <w:pStyle w:val="a"/>
        <w:rPr>
          <w:rFonts w:eastAsiaTheme="minorEastAsia" w:cstheme="minorBidi"/>
          <w:sz w:val="22"/>
          <w:szCs w:val="22"/>
          <w:rtl/>
        </w:rPr>
      </w:pPr>
      <w:r>
        <w:rPr>
          <w:rtl/>
        </w:rPr>
        <w:t>חקירת הגרב"ב אי חזקת ג"ש בעבדים מדין גודרות או דעבדים הם כקרקע</w:t>
      </w:r>
    </w:p>
    <w:p w:rsidR="000F1F09" w:rsidRDefault="000F1F09" w:rsidP="007E4E81">
      <w:pPr>
        <w:pStyle w:val="a"/>
        <w:rPr>
          <w:rFonts w:eastAsiaTheme="minorEastAsia" w:cstheme="minorBidi"/>
          <w:sz w:val="22"/>
          <w:szCs w:val="22"/>
          <w:rtl/>
        </w:rPr>
      </w:pPr>
      <w:r>
        <w:rPr>
          <w:rtl/>
        </w:rPr>
        <w:t>דברי הגרב"ב דמהא דבעבד קטן יש חזקה לאלתר מוכח דעבדים כגודרות ולא כקרקע</w:t>
      </w:r>
    </w:p>
    <w:p w:rsidR="000F1F09" w:rsidRDefault="000F1F09" w:rsidP="0007171D">
      <w:pPr>
        <w:pStyle w:val="aff4"/>
        <w:rPr>
          <w:rFonts w:eastAsiaTheme="minorEastAsia" w:cstheme="minorBidi"/>
          <w:i/>
          <w:iCs/>
          <w:noProof/>
          <w:sz w:val="22"/>
          <w:szCs w:val="22"/>
          <w:rtl/>
        </w:rPr>
      </w:pPr>
      <w:r>
        <w:rPr>
          <w:noProof/>
          <w:rtl/>
        </w:rPr>
        <w:t>ביאור הגרב"ב בקצוה"ח דעבדים גם כגודרות וגם כקרקע</w:t>
      </w:r>
    </w:p>
    <w:p w:rsidR="000F1F09" w:rsidRDefault="000F1F09" w:rsidP="007E4E81">
      <w:pPr>
        <w:pStyle w:val="a"/>
        <w:rPr>
          <w:rFonts w:eastAsiaTheme="minorEastAsia" w:cstheme="minorBidi"/>
          <w:sz w:val="22"/>
          <w:szCs w:val="22"/>
          <w:rtl/>
        </w:rPr>
      </w:pPr>
      <w:r>
        <w:rPr>
          <w:rtl/>
        </w:rPr>
        <w:t>ביאור הגרב"ב בקושית הקצוה"ח דאף דמדין גודרות אין טענת אחוי שטרך מ"מ עבד כקרקע</w:t>
      </w:r>
    </w:p>
    <w:p w:rsidR="000F1F09" w:rsidRDefault="000F1F09" w:rsidP="007E4E81">
      <w:pPr>
        <w:pStyle w:val="a"/>
        <w:rPr>
          <w:rFonts w:eastAsiaTheme="minorEastAsia" w:cstheme="minorBidi"/>
          <w:sz w:val="22"/>
          <w:szCs w:val="22"/>
          <w:rtl/>
        </w:rPr>
      </w:pPr>
      <w:r>
        <w:rPr>
          <w:rtl/>
        </w:rPr>
        <w:t>ביאור הגרב"ב בתירוץ הקצוה"ח דבעבדים יש גם דין קרקע וגם דין גודרות</w:t>
      </w:r>
    </w:p>
    <w:p w:rsidR="000F1F09" w:rsidRDefault="000F1F09" w:rsidP="0007171D">
      <w:pPr>
        <w:pStyle w:val="aff4"/>
        <w:rPr>
          <w:rFonts w:eastAsiaTheme="minorEastAsia" w:cstheme="minorBidi"/>
          <w:i/>
          <w:iCs/>
          <w:noProof/>
          <w:sz w:val="22"/>
          <w:szCs w:val="22"/>
          <w:rtl/>
        </w:rPr>
      </w:pPr>
      <w:r>
        <w:rPr>
          <w:noProof/>
          <w:rtl/>
        </w:rPr>
        <w:t>ביאור הגרב"ב ברמב"ן דקרקע בחזקת המחזיק מסברת לא חציף</w:t>
      </w:r>
    </w:p>
    <w:p w:rsidR="000F1F09" w:rsidRDefault="000F1F09" w:rsidP="007E4E81">
      <w:pPr>
        <w:pStyle w:val="a"/>
        <w:rPr>
          <w:rFonts w:eastAsiaTheme="minorEastAsia" w:cstheme="minorBidi"/>
          <w:sz w:val="22"/>
          <w:szCs w:val="22"/>
          <w:rtl/>
        </w:rPr>
      </w:pPr>
      <w:r>
        <w:rPr>
          <w:rtl/>
        </w:rPr>
        <w:t>קושית הגרב"ב על הרמב"ן דהאיך יש ראיה להחשיב את המחזיק כמוחזק הא אין תפיסה בקרקע</w:t>
      </w:r>
    </w:p>
    <w:p w:rsidR="000F1F09" w:rsidRDefault="000F1F09" w:rsidP="007E4E81">
      <w:pPr>
        <w:pStyle w:val="a"/>
        <w:rPr>
          <w:rFonts w:eastAsiaTheme="minorEastAsia" w:cstheme="minorBidi"/>
          <w:sz w:val="22"/>
          <w:szCs w:val="22"/>
          <w:rtl/>
        </w:rPr>
      </w:pPr>
      <w:r>
        <w:rPr>
          <w:rtl/>
        </w:rPr>
        <w:t>ביאור הגרב"ב ברמב"ן דהקרקע בחזקת המחזיק מחמת סברת לא חציף ולא מכח תפיסה</w:t>
      </w:r>
    </w:p>
    <w:p w:rsidR="000F1F09" w:rsidRDefault="000F1F09" w:rsidP="00514FF3">
      <w:pPr>
        <w:pStyle w:val="2"/>
        <w:rPr>
          <w:rFonts w:eastAsiaTheme="minorEastAsia" w:cstheme="minorBidi"/>
          <w:i/>
          <w:iCs/>
          <w:sz w:val="22"/>
          <w:szCs w:val="22"/>
          <w:rtl/>
        </w:rPr>
      </w:pPr>
      <w:r>
        <w:rPr>
          <w:rtl/>
        </w:rPr>
        <w:t>בחזקת ג"ש בעבדים וגודרות</w:t>
      </w:r>
    </w:p>
    <w:p w:rsidR="000F1F09" w:rsidRDefault="000F1F09" w:rsidP="0007171D">
      <w:pPr>
        <w:pStyle w:val="aff4"/>
        <w:rPr>
          <w:rFonts w:eastAsiaTheme="minorEastAsia" w:cstheme="minorBidi"/>
          <w:i/>
          <w:iCs/>
          <w:noProof/>
          <w:sz w:val="22"/>
          <w:szCs w:val="22"/>
          <w:rtl/>
        </w:rPr>
      </w:pPr>
      <w:r>
        <w:rPr>
          <w:noProof/>
          <w:rtl/>
        </w:rPr>
        <w:t>ביאור הברכ"ש ברשב"א דהריעותא דגודרות אינו מצריך ג"ש</w:t>
      </w:r>
    </w:p>
    <w:p w:rsidR="000F1F09" w:rsidRDefault="000F1F09" w:rsidP="007E4E81">
      <w:pPr>
        <w:pStyle w:val="a"/>
        <w:rPr>
          <w:rFonts w:eastAsiaTheme="minorEastAsia" w:cstheme="minorBidi"/>
          <w:sz w:val="22"/>
          <w:szCs w:val="22"/>
          <w:rtl/>
        </w:rPr>
      </w:pPr>
      <w:r>
        <w:rPr>
          <w:rtl/>
        </w:rPr>
        <w:t>ביאור הברכ"ש בקושית הרשב"א דבהולכים מעצמם לא שייך אכילה והג"ש מהני כמו בגודרות</w:t>
      </w:r>
    </w:p>
    <w:p w:rsidR="000F1F09" w:rsidRDefault="000F1F09" w:rsidP="007E4E81">
      <w:pPr>
        <w:pStyle w:val="a"/>
        <w:rPr>
          <w:rFonts w:eastAsiaTheme="minorEastAsia" w:cstheme="minorBidi"/>
          <w:sz w:val="22"/>
          <w:szCs w:val="22"/>
          <w:rtl/>
        </w:rPr>
      </w:pPr>
      <w:r>
        <w:rPr>
          <w:rtl/>
        </w:rPr>
        <w:t>ביאור הברכ"ש בתירוץ הרשב"א דהריעותא דהולכים מעצמם אינה גורמת להצריך חזקת ג"ש</w:t>
      </w:r>
    </w:p>
    <w:p w:rsidR="000F1F09" w:rsidRDefault="000F1F09" w:rsidP="0007171D">
      <w:pPr>
        <w:pStyle w:val="aff4"/>
        <w:rPr>
          <w:rFonts w:eastAsiaTheme="minorEastAsia" w:cstheme="minorBidi"/>
          <w:i/>
          <w:iCs/>
          <w:noProof/>
          <w:sz w:val="22"/>
          <w:szCs w:val="22"/>
          <w:rtl/>
        </w:rPr>
      </w:pPr>
      <w:r>
        <w:rPr>
          <w:noProof/>
          <w:rtl/>
        </w:rPr>
        <w:t>קושית הברכ"ש דאמאי מהני חזקה בעבד קטן הא הוא כקרקע</w:t>
      </w:r>
    </w:p>
    <w:p w:rsidR="000F1F09" w:rsidRDefault="000F1F09" w:rsidP="007E4E81">
      <w:pPr>
        <w:pStyle w:val="a"/>
        <w:rPr>
          <w:rFonts w:eastAsiaTheme="minorEastAsia" w:cstheme="minorBidi"/>
          <w:sz w:val="22"/>
          <w:szCs w:val="22"/>
          <w:rtl/>
        </w:rPr>
      </w:pPr>
      <w:r>
        <w:rPr>
          <w:rtl/>
        </w:rPr>
        <w:t>דברי הברכ"ש דמוכח ברשב"א דעבד הוא כקרקע וא"כ קשה אמאי עבד קטן חזקתו לאלתר</w:t>
      </w:r>
    </w:p>
    <w:p w:rsidR="000F1F09" w:rsidRDefault="000F1F09" w:rsidP="0007171D">
      <w:pPr>
        <w:pStyle w:val="aff4"/>
        <w:rPr>
          <w:rFonts w:eastAsiaTheme="minorEastAsia" w:cstheme="minorBidi"/>
          <w:i/>
          <w:iCs/>
          <w:noProof/>
          <w:sz w:val="22"/>
          <w:szCs w:val="22"/>
          <w:rtl/>
        </w:rPr>
      </w:pPr>
      <w:r>
        <w:rPr>
          <w:noProof/>
          <w:rtl/>
        </w:rPr>
        <w:t>ביאור הברכ"ש ברמב"ן דבלא ג"ש יש ריעותא בראיה דלא מחה</w:t>
      </w:r>
    </w:p>
    <w:p w:rsidR="000F1F09" w:rsidRDefault="000F1F09" w:rsidP="007E4E81">
      <w:pPr>
        <w:pStyle w:val="a"/>
        <w:rPr>
          <w:rFonts w:eastAsiaTheme="minorEastAsia" w:cstheme="minorBidi"/>
          <w:sz w:val="22"/>
          <w:szCs w:val="22"/>
          <w:rtl/>
        </w:rPr>
      </w:pPr>
      <w:r>
        <w:rPr>
          <w:rtl/>
        </w:rPr>
        <w:t>ביאור הברכ"ש ברמב"ן דמדלא מחה מתבטלת הריעותא דאחוי שטרך ונשארת בחזקת המר"ק</w:t>
      </w:r>
    </w:p>
    <w:p w:rsidR="000F1F09" w:rsidRDefault="000F1F09" w:rsidP="007E4E81">
      <w:pPr>
        <w:pStyle w:val="a"/>
        <w:rPr>
          <w:rFonts w:eastAsiaTheme="minorEastAsia" w:cstheme="minorBidi"/>
          <w:sz w:val="22"/>
          <w:szCs w:val="22"/>
          <w:rtl/>
        </w:rPr>
      </w:pPr>
      <w:r>
        <w:rPr>
          <w:rtl/>
        </w:rPr>
        <w:t>ביאור הברכ"ש ברמב"ן דבהחזיק ג"ש וטוען לקוח בידי אחוי שטרך אינה ריעותא דהוא תפוס</w:t>
      </w:r>
    </w:p>
    <w:p w:rsidR="000F1F09" w:rsidRDefault="000F1F09" w:rsidP="0007171D">
      <w:pPr>
        <w:pStyle w:val="aff4"/>
        <w:rPr>
          <w:rFonts w:eastAsiaTheme="minorEastAsia" w:cstheme="minorBidi"/>
          <w:i/>
          <w:iCs/>
          <w:noProof/>
          <w:sz w:val="22"/>
          <w:szCs w:val="22"/>
          <w:rtl/>
        </w:rPr>
      </w:pPr>
      <w:r>
        <w:rPr>
          <w:noProof/>
          <w:rtl/>
        </w:rPr>
        <w:t>ביאור הברכ"ש ברשב"א דג"ש הוא רק כנגד אחוי שטרך</w:t>
      </w:r>
    </w:p>
    <w:p w:rsidR="000F1F09" w:rsidRDefault="000F1F09" w:rsidP="007E4E81">
      <w:pPr>
        <w:pStyle w:val="a"/>
        <w:rPr>
          <w:rFonts w:eastAsiaTheme="minorEastAsia" w:cstheme="minorBidi"/>
          <w:sz w:val="22"/>
          <w:szCs w:val="22"/>
          <w:rtl/>
        </w:rPr>
      </w:pPr>
      <w:r>
        <w:rPr>
          <w:rtl/>
        </w:rPr>
        <w:t>ביאור הברכ"ש ברשב"א דבגודרות אין תפיסה והחזקה היא מדלא מיחה ואין טענת אחוי שטרך</w:t>
      </w:r>
    </w:p>
    <w:p w:rsidR="000F1F09" w:rsidRDefault="000F1F09" w:rsidP="007E4E81">
      <w:pPr>
        <w:pStyle w:val="a"/>
        <w:rPr>
          <w:rFonts w:eastAsiaTheme="minorEastAsia" w:cstheme="minorBidi"/>
          <w:sz w:val="22"/>
          <w:szCs w:val="22"/>
          <w:rtl/>
        </w:rPr>
      </w:pPr>
      <w:r>
        <w:rPr>
          <w:rtl/>
        </w:rPr>
        <w:t>ביאור הברכ"ש ברשב"א דבעבדים יש ראיה מדלא מיחה וצריך ג"ש מחמת טענת אחוי שטרך</w:t>
      </w:r>
    </w:p>
    <w:p w:rsidR="000F1F09" w:rsidRDefault="000F1F09" w:rsidP="007E4E81">
      <w:pPr>
        <w:pStyle w:val="a"/>
        <w:rPr>
          <w:rFonts w:eastAsiaTheme="minorEastAsia" w:cstheme="minorBidi"/>
          <w:sz w:val="22"/>
          <w:szCs w:val="22"/>
          <w:rtl/>
        </w:rPr>
      </w:pPr>
      <w:r>
        <w:rPr>
          <w:rtl/>
        </w:rPr>
        <w:t>תירוץ הברכ"ש דבעבד קטן הוא כמטלטלין ואין בו טענת אחוי שטרך ולכן א"צ ג"ש</w:t>
      </w:r>
    </w:p>
    <w:p w:rsidR="000F1F09" w:rsidRDefault="000F1F09" w:rsidP="007E4E81">
      <w:pPr>
        <w:pStyle w:val="a"/>
        <w:rPr>
          <w:rFonts w:eastAsiaTheme="minorEastAsia" w:cstheme="minorBidi"/>
          <w:sz w:val="22"/>
          <w:szCs w:val="22"/>
          <w:rtl/>
        </w:rPr>
      </w:pPr>
      <w:r>
        <w:rPr>
          <w:rtl/>
        </w:rPr>
        <w:t>ביאור הברכ"ש בקצוה"ח דראית המחזיק היא מחמת התפיסה ולכן הוקשה לו דנימא אחוי שטרך</w:t>
      </w:r>
    </w:p>
    <w:p w:rsidR="000F1F09" w:rsidRDefault="000F1F09" w:rsidP="0007171D">
      <w:pPr>
        <w:pStyle w:val="aff4"/>
        <w:rPr>
          <w:rFonts w:eastAsiaTheme="minorEastAsia" w:cstheme="minorBidi"/>
          <w:i/>
          <w:iCs/>
          <w:noProof/>
          <w:sz w:val="22"/>
          <w:szCs w:val="22"/>
          <w:rtl/>
        </w:rPr>
      </w:pPr>
      <w:r>
        <w:rPr>
          <w:noProof/>
          <w:rtl/>
        </w:rPr>
        <w:t>ביאור הגרש"ר ברשב"ם דגודרות אינם כקרקע ועבדים כקרקע</w:t>
      </w:r>
    </w:p>
    <w:p w:rsidR="000F1F09" w:rsidRDefault="000F1F09" w:rsidP="007E4E81">
      <w:pPr>
        <w:pStyle w:val="a"/>
        <w:rPr>
          <w:rFonts w:eastAsiaTheme="minorEastAsia" w:cstheme="minorBidi"/>
          <w:sz w:val="22"/>
          <w:szCs w:val="22"/>
          <w:rtl/>
        </w:rPr>
      </w:pPr>
      <w:r>
        <w:rPr>
          <w:rtl/>
        </w:rPr>
        <w:t>דברי הגרש"ר דלא תנן חזקת ג"ש בגודרות דאינם מדין שטר אלא דבטלה הריעותא דבאו לבדם</w:t>
      </w:r>
    </w:p>
    <w:p w:rsidR="000F1F09" w:rsidRDefault="000F1F09" w:rsidP="007E4E81">
      <w:pPr>
        <w:pStyle w:val="a"/>
        <w:rPr>
          <w:rFonts w:eastAsiaTheme="minorEastAsia" w:cstheme="minorBidi"/>
          <w:sz w:val="22"/>
          <w:szCs w:val="22"/>
          <w:rtl/>
        </w:rPr>
      </w:pPr>
      <w:r>
        <w:rPr>
          <w:rtl/>
        </w:rPr>
        <w:t>דברי הגרש"ר דמהא דתנן במתני' חזקת ג"ש בעבדים מוכח דעבדים כקרקע</w:t>
      </w:r>
    </w:p>
    <w:p w:rsidR="000F1F09" w:rsidRDefault="000F1F09" w:rsidP="0007171D">
      <w:pPr>
        <w:pStyle w:val="aff4"/>
        <w:rPr>
          <w:rFonts w:eastAsiaTheme="minorEastAsia" w:cstheme="minorBidi"/>
          <w:i/>
          <w:iCs/>
          <w:noProof/>
          <w:sz w:val="22"/>
          <w:szCs w:val="22"/>
          <w:rtl/>
        </w:rPr>
      </w:pPr>
      <w:r>
        <w:rPr>
          <w:noProof/>
          <w:rtl/>
        </w:rPr>
        <w:t>ביאור הגרש"ר ברשב"א דעבדים כמטלטלין אך יש שטר</w:t>
      </w:r>
    </w:p>
    <w:p w:rsidR="000F1F09" w:rsidRDefault="000F1F09" w:rsidP="007E4E81">
      <w:pPr>
        <w:pStyle w:val="a"/>
        <w:rPr>
          <w:rFonts w:eastAsiaTheme="minorEastAsia" w:cstheme="minorBidi"/>
          <w:sz w:val="22"/>
          <w:szCs w:val="22"/>
          <w:rtl/>
        </w:rPr>
      </w:pPr>
      <w:r>
        <w:rPr>
          <w:rtl/>
        </w:rPr>
        <w:t>ביאור הגרש"ר ברשב"א דבעבדים שייכא טענת אחוי שטרך אף שהם כמטלטלין</w:t>
      </w:r>
    </w:p>
    <w:p w:rsidR="000F1F09" w:rsidRDefault="000F1F09" w:rsidP="0007171D">
      <w:pPr>
        <w:pStyle w:val="aff4"/>
        <w:rPr>
          <w:rFonts w:eastAsiaTheme="minorEastAsia" w:cstheme="minorBidi"/>
          <w:i/>
          <w:iCs/>
          <w:noProof/>
          <w:sz w:val="22"/>
          <w:szCs w:val="22"/>
          <w:rtl/>
        </w:rPr>
      </w:pPr>
      <w:r>
        <w:rPr>
          <w:noProof/>
          <w:rtl/>
        </w:rPr>
        <w:t>ביאור הגרש"ר בירושלמי דהא דתנן עבדים דהוקשו לקרקעות</w:t>
      </w:r>
    </w:p>
    <w:p w:rsidR="000F1F09" w:rsidRDefault="000F1F09" w:rsidP="007E4E81">
      <w:pPr>
        <w:pStyle w:val="a"/>
        <w:rPr>
          <w:rFonts w:eastAsiaTheme="minorEastAsia" w:cstheme="minorBidi"/>
          <w:sz w:val="22"/>
          <w:szCs w:val="22"/>
          <w:rtl/>
        </w:rPr>
      </w:pPr>
      <w:r>
        <w:rPr>
          <w:rtl/>
        </w:rPr>
        <w:t>קושית הגרש"ר על הירושלמי דבעבדים כמטלטלין ורק הראיה אחר ג"ש כקרקעות</w:t>
      </w:r>
    </w:p>
    <w:p w:rsidR="000F1F09" w:rsidRDefault="000F1F09" w:rsidP="007E4E81">
      <w:pPr>
        <w:pStyle w:val="a"/>
        <w:rPr>
          <w:rFonts w:eastAsiaTheme="minorEastAsia" w:cstheme="minorBidi"/>
          <w:sz w:val="22"/>
          <w:szCs w:val="22"/>
          <w:rtl/>
        </w:rPr>
      </w:pPr>
      <w:r>
        <w:rPr>
          <w:rtl/>
        </w:rPr>
        <w:t>ביאור הגרש"ר בירושלמי דעבדים כמטלטלין אלא דתני להו במתני' כיון דהוקשו לקרקעות</w:t>
      </w:r>
    </w:p>
    <w:p w:rsidR="000F1F09" w:rsidRDefault="000F1F09" w:rsidP="0007171D">
      <w:pPr>
        <w:pStyle w:val="aff4"/>
        <w:rPr>
          <w:rFonts w:eastAsiaTheme="minorEastAsia" w:cstheme="minorBidi"/>
          <w:i/>
          <w:iCs/>
          <w:noProof/>
          <w:sz w:val="22"/>
          <w:szCs w:val="22"/>
          <w:rtl/>
        </w:rPr>
      </w:pPr>
      <w:r>
        <w:rPr>
          <w:noProof/>
          <w:rtl/>
        </w:rPr>
        <w:t>דברי הקוב"ש דלרשב"ם רק לרבי ישמעאל יש חזקה בגודרות</w:t>
      </w:r>
    </w:p>
    <w:p w:rsidR="000F1F09" w:rsidRDefault="000F1F09" w:rsidP="007E4E81">
      <w:pPr>
        <w:pStyle w:val="a"/>
        <w:rPr>
          <w:rFonts w:eastAsiaTheme="minorEastAsia" w:cstheme="minorBidi"/>
          <w:sz w:val="22"/>
          <w:szCs w:val="22"/>
          <w:rtl/>
        </w:rPr>
      </w:pPr>
      <w:r>
        <w:rPr>
          <w:rtl/>
        </w:rPr>
        <w:t>ביאור הקוב"ש ברשב"ם דרק לת"ק מהני חזקת ג"ש בגודרות אבל לרבנן ל"מ דאינם בני שטרא</w:t>
      </w:r>
    </w:p>
    <w:p w:rsidR="000F1F09" w:rsidRDefault="000F1F09" w:rsidP="007E4E81">
      <w:pPr>
        <w:pStyle w:val="a"/>
        <w:rPr>
          <w:rFonts w:eastAsiaTheme="minorEastAsia" w:cstheme="minorBidi"/>
          <w:sz w:val="22"/>
          <w:szCs w:val="22"/>
          <w:rtl/>
        </w:rPr>
      </w:pPr>
      <w:r>
        <w:rPr>
          <w:rtl/>
        </w:rPr>
        <w:t>דברי הקוב"ש דלהרי"ף דת"ק דמתני' כרבנן צ"ל דס"ל כרשב"א דלא מהני חזקת ג"ש בעבדים</w:t>
      </w:r>
    </w:p>
    <w:p w:rsidR="000F1F09" w:rsidRDefault="000F1F09" w:rsidP="0007171D">
      <w:pPr>
        <w:pStyle w:val="aff4"/>
        <w:rPr>
          <w:rFonts w:eastAsiaTheme="minorEastAsia" w:cstheme="minorBidi"/>
          <w:i/>
          <w:iCs/>
          <w:noProof/>
          <w:sz w:val="22"/>
          <w:szCs w:val="22"/>
          <w:rtl/>
        </w:rPr>
      </w:pPr>
      <w:r>
        <w:rPr>
          <w:noProof/>
          <w:rtl/>
        </w:rPr>
        <w:t>תירוץ הקוב"ש על קו' הקצוה"ח דעבד קטן מוחזק כמטלטלין</w:t>
      </w:r>
    </w:p>
    <w:p w:rsidR="000F1F09" w:rsidRDefault="000F1F09" w:rsidP="007E4E81">
      <w:pPr>
        <w:pStyle w:val="a"/>
        <w:rPr>
          <w:rFonts w:eastAsiaTheme="minorEastAsia" w:cstheme="minorBidi"/>
          <w:sz w:val="22"/>
          <w:szCs w:val="22"/>
          <w:rtl/>
        </w:rPr>
      </w:pPr>
      <w:r>
        <w:rPr>
          <w:rtl/>
        </w:rPr>
        <w:t>דברי הקוב"ש דבמטלטלין התפיסה היא ראיה ואחוי שטרך יוצר ספק ומעמידים בחזקת המוחזק</w:t>
      </w:r>
    </w:p>
    <w:p w:rsidR="000F1F09" w:rsidRDefault="000F1F09" w:rsidP="007E4E81">
      <w:pPr>
        <w:pStyle w:val="a"/>
        <w:rPr>
          <w:rFonts w:eastAsiaTheme="minorEastAsia" w:cstheme="minorBidi"/>
          <w:sz w:val="22"/>
          <w:szCs w:val="22"/>
          <w:rtl/>
        </w:rPr>
      </w:pPr>
      <w:r>
        <w:rPr>
          <w:rtl/>
        </w:rPr>
        <w:t>דברי הקוב"ש דעבד קטן לענין מוחזקות כמטלטלין ומהני תפיסה כנגד טענת אחוי שטרך</w:t>
      </w:r>
    </w:p>
    <w:p w:rsidR="000F1F09" w:rsidRDefault="000F1F09" w:rsidP="0007171D">
      <w:pPr>
        <w:pStyle w:val="aff4"/>
        <w:rPr>
          <w:rFonts w:eastAsiaTheme="minorEastAsia" w:cstheme="minorBidi"/>
          <w:i/>
          <w:iCs/>
          <w:noProof/>
          <w:sz w:val="22"/>
          <w:szCs w:val="22"/>
          <w:rtl/>
        </w:rPr>
      </w:pPr>
      <w:r>
        <w:rPr>
          <w:noProof/>
          <w:rtl/>
        </w:rPr>
        <w:t>ביאור הקה"י בסמ"ע דבגודרות אין חזקה דאינם בני שטרא</w:t>
      </w:r>
    </w:p>
    <w:p w:rsidR="000F1F09" w:rsidRDefault="000F1F09" w:rsidP="007E4E81">
      <w:pPr>
        <w:pStyle w:val="a"/>
        <w:rPr>
          <w:rFonts w:eastAsiaTheme="minorEastAsia" w:cstheme="minorBidi"/>
          <w:sz w:val="22"/>
          <w:szCs w:val="22"/>
          <w:rtl/>
        </w:rPr>
      </w:pPr>
      <w:r>
        <w:rPr>
          <w:rtl/>
        </w:rPr>
        <w:t>קושית הקה"י דאי חזקת ג"ש היא ראיה או תקנ"ח אמאי לא מהני חזקת ג"ש בגודרות להרמב"ם</w:t>
      </w:r>
    </w:p>
    <w:p w:rsidR="000F1F09" w:rsidRDefault="000F1F09" w:rsidP="007E4E81">
      <w:pPr>
        <w:pStyle w:val="a"/>
        <w:rPr>
          <w:rFonts w:eastAsiaTheme="minorEastAsia" w:cstheme="minorBidi"/>
          <w:sz w:val="22"/>
          <w:szCs w:val="22"/>
          <w:rtl/>
        </w:rPr>
      </w:pPr>
      <w:r>
        <w:rPr>
          <w:rtl/>
        </w:rPr>
        <w:t>קושית הקה"י דאף אי בפחות מג"ש אין ראיה בגודרות מ"מ אמאי גרעו מעבדים דמהני בהו</w:t>
      </w:r>
    </w:p>
    <w:p w:rsidR="000F1F09" w:rsidRDefault="000F1F09" w:rsidP="007E4E81">
      <w:pPr>
        <w:pStyle w:val="a"/>
        <w:rPr>
          <w:rFonts w:eastAsiaTheme="minorEastAsia" w:cstheme="minorBidi"/>
          <w:sz w:val="22"/>
          <w:szCs w:val="22"/>
          <w:rtl/>
        </w:rPr>
      </w:pPr>
      <w:r>
        <w:rPr>
          <w:rtl/>
        </w:rPr>
        <w:t>ביאור הקה"י בי"מ ברמב"ן דהראיה מדלא מיחה דהיה לו לעשות ריעותא דאחוי שטרך</w:t>
      </w:r>
    </w:p>
    <w:p w:rsidR="0049409D" w:rsidRDefault="000F1F09" w:rsidP="007E4E81">
      <w:pPr>
        <w:pStyle w:val="a"/>
        <w:rPr>
          <w:rtl/>
        </w:rPr>
        <w:sectPr w:rsidR="0049409D" w:rsidSect="00DC277F">
          <w:type w:val="continuous"/>
          <w:pgSz w:w="11906" w:h="16838"/>
          <w:pgMar w:top="720" w:right="720" w:bottom="720" w:left="720" w:header="283" w:footer="283" w:gutter="0"/>
          <w:cols w:num="2" w:space="113"/>
          <w:titlePg/>
          <w:bidi/>
          <w:rtlGutter/>
          <w:docGrid w:linePitch="299"/>
        </w:sectPr>
      </w:pPr>
      <w:r>
        <w:rPr>
          <w:rtl/>
        </w:rPr>
        <w:t>דברי הקה"י דלי"מ ברמב"ן בגודרות שאין שטר לא שייכא מחאה וממילא אין בהם חזקת ג"ש</w:t>
      </w:r>
    </w:p>
    <w:p w:rsidR="00514FF3" w:rsidRDefault="00514FF3" w:rsidP="007E4E81">
      <w:pPr>
        <w:pStyle w:val="a"/>
        <w:rPr>
          <w:rtl/>
        </w:rPr>
        <w:sectPr w:rsidR="00514FF3" w:rsidSect="00DC277F">
          <w:type w:val="continuous"/>
          <w:pgSz w:w="11906" w:h="16838"/>
          <w:pgMar w:top="720" w:right="720" w:bottom="720" w:left="720" w:header="283" w:footer="283" w:gutter="0"/>
          <w:cols w:num="2" w:space="113"/>
          <w:titlePg/>
          <w:bidi/>
          <w:rtlGutter/>
          <w:docGrid w:linePitch="299"/>
        </w:sectPr>
      </w:pPr>
    </w:p>
    <w:p w:rsidR="007544F5" w:rsidRPr="0081356D" w:rsidRDefault="008B1981" w:rsidP="007544F5">
      <w:pPr>
        <w:pStyle w:val="afe"/>
        <w:rPr>
          <w:rtl/>
        </w:rPr>
      </w:pPr>
      <w:r>
        <w:rPr>
          <w:rtl/>
        </w:rPr>
        <w:lastRenderedPageBreak/>
        <w:fldChar w:fldCharType="end"/>
      </w:r>
      <w:bookmarkEnd w:id="9"/>
      <w:bookmarkEnd w:id="10"/>
      <w:bookmarkEnd w:id="11"/>
      <w:bookmarkEnd w:id="12"/>
      <w:bookmarkEnd w:id="13"/>
      <w:r w:rsidR="001C39BB" w:rsidRPr="00B21444">
        <w:rPr>
          <w:rtl/>
        </w:rPr>
        <w:t xml:space="preserve"> </w:t>
      </w:r>
      <w:r w:rsidR="006C4F47">
        <w:rPr>
          <w:rFonts w:hint="cs"/>
          <w:rtl/>
        </w:rPr>
        <w:t>~~~~~~~ מראי מקומות וביאורים ~~~~~~~</w:t>
      </w:r>
    </w:p>
    <w:p w:rsidR="007544F5" w:rsidRPr="00B21444" w:rsidRDefault="007544F5" w:rsidP="007544F5">
      <w:pPr>
        <w:pStyle w:val="2"/>
        <w:bidi w:val="0"/>
        <w:rPr>
          <w:rtl/>
        </w:rPr>
        <w:sectPr w:rsidR="007544F5" w:rsidRPr="00B21444" w:rsidSect="007544F5">
          <w:pgSz w:w="11906" w:h="16838"/>
          <w:pgMar w:top="720" w:right="720" w:bottom="720" w:left="720" w:header="283" w:footer="283" w:gutter="0"/>
          <w:cols w:space="720"/>
          <w:bidi/>
          <w:rtlGutter/>
          <w:docGrid w:linePitch="299"/>
        </w:sectPr>
      </w:pPr>
    </w:p>
    <w:p w:rsidR="00FF386B" w:rsidRDefault="00FF386B" w:rsidP="00FF386B">
      <w:pPr>
        <w:pStyle w:val="afe"/>
        <w:rPr>
          <w:rtl/>
        </w:rPr>
      </w:pPr>
      <w:bookmarkStart w:id="23" w:name="_Toc53941206"/>
      <w:bookmarkStart w:id="24" w:name="_Toc54000480"/>
      <w:bookmarkStart w:id="25" w:name="_Toc54038912"/>
      <w:bookmarkStart w:id="26" w:name="_Toc54039006"/>
      <w:bookmarkStart w:id="27" w:name="_Toc54087431"/>
      <w:bookmarkStart w:id="28" w:name="_Toc54109232"/>
      <w:bookmarkStart w:id="29" w:name="_Toc54125631"/>
      <w:bookmarkStart w:id="30" w:name="_Toc54133843"/>
      <w:bookmarkStart w:id="31" w:name="_Toc17889836"/>
      <w:bookmarkStart w:id="32" w:name="_Toc17975458"/>
      <w:bookmarkStart w:id="33" w:name="_Toc17984146"/>
      <w:bookmarkStart w:id="34" w:name="_Toc18228271"/>
      <w:bookmarkStart w:id="35" w:name="_Toc18250815"/>
      <w:bookmarkStart w:id="36" w:name="_Toc18266272"/>
      <w:bookmarkStart w:id="37" w:name="_Toc18269183"/>
      <w:bookmarkStart w:id="38" w:name="_Toc18323883"/>
      <w:bookmarkStart w:id="39" w:name="_Toc18513279"/>
      <w:bookmarkStart w:id="40" w:name="_Toc18874382"/>
      <w:r>
        <w:rPr>
          <w:rFonts w:hint="cs"/>
          <w:rtl/>
        </w:rPr>
        <w:t>דברי הראשונים דלמר"ק סגי ביום א'</w:t>
      </w:r>
      <w:bookmarkEnd w:id="23"/>
      <w:bookmarkEnd w:id="24"/>
      <w:bookmarkEnd w:id="25"/>
      <w:bookmarkEnd w:id="26"/>
      <w:bookmarkEnd w:id="27"/>
      <w:bookmarkEnd w:id="28"/>
      <w:bookmarkEnd w:id="29"/>
      <w:bookmarkEnd w:id="30"/>
    </w:p>
    <w:p w:rsidR="00FF386B" w:rsidRPr="00BE3FAD" w:rsidRDefault="00FF386B" w:rsidP="00FF386B">
      <w:pPr>
        <w:pStyle w:val="1"/>
        <w:rPr>
          <w:rtl/>
        </w:rPr>
      </w:pPr>
      <w:bookmarkStart w:id="41" w:name="_Toc54000481"/>
      <w:bookmarkStart w:id="42" w:name="_Toc54038913"/>
      <w:bookmarkStart w:id="43" w:name="_Toc54039007"/>
      <w:bookmarkStart w:id="44" w:name="_Toc54087432"/>
      <w:bookmarkStart w:id="45" w:name="_Toc54109233"/>
      <w:bookmarkStart w:id="46" w:name="_Toc54125632"/>
      <w:bookmarkStart w:id="47" w:name="_Toc54133844"/>
      <w:r>
        <w:rPr>
          <w:rFonts w:hint="cs"/>
          <w:rtl/>
        </w:rPr>
        <w:t>דעת הראשונים דחזקת מר"ק היא בהביא עדים שהחזיק יום א'</w:t>
      </w:r>
      <w:bookmarkEnd w:id="41"/>
      <w:bookmarkEnd w:id="42"/>
      <w:bookmarkEnd w:id="43"/>
      <w:bookmarkEnd w:id="44"/>
      <w:bookmarkEnd w:id="45"/>
      <w:bookmarkEnd w:id="46"/>
      <w:bookmarkEnd w:id="47"/>
      <w:r>
        <w:rPr>
          <w:rFonts w:hint="cs"/>
          <w:rtl/>
        </w:rPr>
        <w:t xml:space="preserve"> </w:t>
      </w:r>
    </w:p>
    <w:p w:rsidR="00FF386B" w:rsidRDefault="00FF386B" w:rsidP="00FF386B">
      <w:pPr>
        <w:pStyle w:val="a3"/>
      </w:pPr>
      <w:bookmarkStart w:id="48" w:name="_Toc54000482"/>
      <w:bookmarkStart w:id="49" w:name="_Toc54038914"/>
      <w:bookmarkStart w:id="50" w:name="_Toc54039008"/>
      <w:bookmarkStart w:id="51" w:name="_Toc54087433"/>
      <w:bookmarkStart w:id="52" w:name="_Toc54109234"/>
      <w:bookmarkStart w:id="53" w:name="_Toc54125633"/>
      <w:bookmarkStart w:id="54" w:name="_Toc54133845"/>
      <w:r>
        <w:rPr>
          <w:rFonts w:hint="cs"/>
          <w:rtl/>
        </w:rPr>
        <w:t>דברי רבינו יונה והרמ"ה והרשב"א דבהחזיק יום א' הוי מר"ק אף שאין לו עידי חזקת ג"ש</w:t>
      </w:r>
      <w:bookmarkEnd w:id="48"/>
      <w:bookmarkEnd w:id="49"/>
      <w:bookmarkEnd w:id="50"/>
      <w:bookmarkEnd w:id="51"/>
      <w:bookmarkEnd w:id="52"/>
      <w:bookmarkEnd w:id="53"/>
      <w:bookmarkEnd w:id="54"/>
    </w:p>
    <w:p w:rsidR="00FF386B" w:rsidRDefault="00FF386B" w:rsidP="007E4E81">
      <w:pPr>
        <w:pStyle w:val="a0"/>
      </w:pPr>
      <w:bookmarkStart w:id="55" w:name="_Ref53999256"/>
      <w:r>
        <w:rPr>
          <w:rFonts w:hint="cs"/>
          <w:rtl/>
        </w:rPr>
        <w:t xml:space="preserve">כתבו </w:t>
      </w:r>
      <w:r w:rsidRPr="006177F0">
        <w:rPr>
          <w:rStyle w:val="af9"/>
          <w:rFonts w:hint="cs"/>
          <w:rtl/>
        </w:rPr>
        <w:t>רבינו יונה</w:t>
      </w:r>
      <w:r>
        <w:rPr>
          <w:rFonts w:hint="cs"/>
          <w:rtl/>
        </w:rPr>
        <w:t xml:space="preserve"> </w:t>
      </w:r>
      <w:r w:rsidRPr="00826BFD">
        <w:rPr>
          <w:rStyle w:val="af7"/>
          <w:rFonts w:eastAsia="Guttman Hodes" w:hint="cs"/>
          <w:rtl/>
        </w:rPr>
        <w:t>(ד"ה חזקת)</w:t>
      </w:r>
      <w:r>
        <w:rPr>
          <w:rFonts w:hint="cs"/>
          <w:rtl/>
        </w:rPr>
        <w:t xml:space="preserve"> </w:t>
      </w:r>
      <w:r w:rsidRPr="006177F0">
        <w:rPr>
          <w:rStyle w:val="af9"/>
          <w:rFonts w:hint="cs"/>
          <w:rtl/>
        </w:rPr>
        <w:t>והיד רמ"ה</w:t>
      </w:r>
      <w:r w:rsidRPr="00843C1D">
        <w:rPr>
          <w:rFonts w:hint="cs"/>
          <w:rtl/>
        </w:rPr>
        <w:t xml:space="preserve"> </w:t>
      </w:r>
      <w:r w:rsidRPr="00826BFD">
        <w:rPr>
          <w:rStyle w:val="af7"/>
          <w:rFonts w:eastAsia="Guttman Hodes" w:hint="cs"/>
          <w:rtl/>
        </w:rPr>
        <w:t>(או' א', ד"ה מתני')</w:t>
      </w:r>
      <w:r w:rsidRPr="00843C1D">
        <w:rPr>
          <w:rFonts w:hint="cs"/>
          <w:rtl/>
        </w:rPr>
        <w:t xml:space="preserve"> </w:t>
      </w:r>
      <w:r w:rsidRPr="006177F0">
        <w:rPr>
          <w:rStyle w:val="af9"/>
          <w:rFonts w:hint="cs"/>
          <w:rtl/>
        </w:rPr>
        <w:t>והרשב"א בתשו'</w:t>
      </w:r>
      <w:r>
        <w:rPr>
          <w:rFonts w:hint="cs"/>
          <w:rtl/>
        </w:rPr>
        <w:t xml:space="preserve"> </w:t>
      </w:r>
      <w:r w:rsidRPr="00826BFD">
        <w:rPr>
          <w:rStyle w:val="af7"/>
          <w:rFonts w:eastAsia="Guttman Hodes" w:hint="cs"/>
          <w:rtl/>
        </w:rPr>
        <w:t>(ח"ב סי' קפ"ב ד"ה עוד)</w:t>
      </w:r>
      <w:r>
        <w:rPr>
          <w:rFonts w:hint="cs"/>
          <w:rtl/>
        </w:rPr>
        <w:t xml:space="preserve"> </w:t>
      </w:r>
      <w:r w:rsidRPr="006177F0">
        <w:rPr>
          <w:rStyle w:val="af9"/>
          <w:rFonts w:hint="cs"/>
          <w:rtl/>
        </w:rPr>
        <w:t>והריטב"א</w:t>
      </w:r>
      <w:r>
        <w:rPr>
          <w:rFonts w:hint="cs"/>
          <w:rtl/>
        </w:rPr>
        <w:t xml:space="preserve"> </w:t>
      </w:r>
      <w:r w:rsidRPr="00826BFD">
        <w:rPr>
          <w:rStyle w:val="af7"/>
          <w:rFonts w:eastAsia="Guttman Hodes" w:hint="cs"/>
          <w:rtl/>
        </w:rPr>
        <w:t>(ד"ה ולעולם)</w:t>
      </w:r>
      <w:r>
        <w:rPr>
          <w:rFonts w:hint="cs"/>
          <w:rtl/>
        </w:rPr>
        <w:t xml:space="preserve"> </w:t>
      </w:r>
      <w:r w:rsidRPr="006177F0">
        <w:rPr>
          <w:rStyle w:val="af9"/>
          <w:rFonts w:hint="cs"/>
          <w:rtl/>
        </w:rPr>
        <w:t>והנימוק"י</w:t>
      </w:r>
      <w:r>
        <w:rPr>
          <w:rFonts w:hint="cs"/>
          <w:rtl/>
        </w:rPr>
        <w:t xml:space="preserve"> </w:t>
      </w:r>
      <w:r w:rsidRPr="00826BFD">
        <w:rPr>
          <w:rStyle w:val="af7"/>
          <w:rFonts w:eastAsia="Guttman Hodes" w:hint="cs"/>
          <w:rtl/>
        </w:rPr>
        <w:t>(יד. מדה"ר ד"ה חזקת)</w:t>
      </w:r>
      <w:r>
        <w:rPr>
          <w:rFonts w:hint="cs"/>
          <w:rtl/>
        </w:rPr>
        <w:t xml:space="preserve"> דכל שהביא המערער עדים, שהקרקע הייתה שלו או של אבותיו, והחזיק בה אפילו יום אחד, הקרקע ברשותו, אף שאינם מעידים שהחזיק בה ג"ש, דלענין המערער לא הוזכרה חזקת ג"ש כלל</w:t>
      </w:r>
      <w:r w:rsidR="00A66627">
        <w:rPr>
          <w:rFonts w:hint="cs"/>
          <w:rtl/>
        </w:rPr>
        <w:t xml:space="preserve">, וכן פסק </w:t>
      </w:r>
      <w:r w:rsidR="00A66627" w:rsidRPr="004C3389">
        <w:rPr>
          <w:rStyle w:val="af9"/>
          <w:rFonts w:hint="cs"/>
          <w:rtl/>
        </w:rPr>
        <w:t xml:space="preserve">הטור </w:t>
      </w:r>
      <w:r w:rsidR="00A66627" w:rsidRPr="004C3389">
        <w:rPr>
          <w:rStyle w:val="af7"/>
          <w:rFonts w:eastAsia="Guttman Hodes" w:hint="cs"/>
          <w:rtl/>
        </w:rPr>
        <w:t>(סי' ק"מ א')</w:t>
      </w:r>
      <w:r>
        <w:rPr>
          <w:rFonts w:hint="cs"/>
          <w:rtl/>
        </w:rPr>
        <w:t>.</w:t>
      </w:r>
      <w:bookmarkEnd w:id="55"/>
      <w:r w:rsidRPr="00615F3D">
        <w:rPr>
          <w:rFonts w:hint="cs"/>
          <w:rtl/>
        </w:rPr>
        <w:t xml:space="preserve"> </w:t>
      </w:r>
    </w:p>
    <w:p w:rsidR="00FF386B" w:rsidRDefault="00FF386B" w:rsidP="00FF386B">
      <w:pPr>
        <w:pStyle w:val="a3"/>
      </w:pPr>
      <w:bookmarkStart w:id="56" w:name="_Toc54000483"/>
      <w:bookmarkStart w:id="57" w:name="_Toc54038915"/>
      <w:bookmarkStart w:id="58" w:name="_Toc54039009"/>
      <w:bookmarkStart w:id="59" w:name="_Toc54087434"/>
      <w:bookmarkStart w:id="60" w:name="_Toc54109235"/>
      <w:bookmarkStart w:id="61" w:name="_Toc54125634"/>
      <w:bookmarkStart w:id="62" w:name="_Toc54133846"/>
      <w:r>
        <w:rPr>
          <w:rFonts w:hint="cs"/>
          <w:rtl/>
        </w:rPr>
        <w:t>דברי הגר"א דמוכח בגמ' לקמן דכל שיש עדים שדר בה יום אחד דינו כמרא קמא</w:t>
      </w:r>
      <w:bookmarkEnd w:id="56"/>
      <w:bookmarkEnd w:id="57"/>
      <w:bookmarkEnd w:id="58"/>
      <w:bookmarkEnd w:id="59"/>
      <w:bookmarkEnd w:id="60"/>
      <w:bookmarkEnd w:id="61"/>
      <w:bookmarkEnd w:id="62"/>
    </w:p>
    <w:p w:rsidR="00FF386B" w:rsidRDefault="00FF386B" w:rsidP="007E4E81">
      <w:pPr>
        <w:pStyle w:val="a0"/>
        <w:rPr>
          <w:rtl/>
        </w:rPr>
      </w:pPr>
      <w:bookmarkStart w:id="63" w:name="_Ref54108619"/>
      <w:r>
        <w:rPr>
          <w:rFonts w:hint="cs"/>
          <w:rtl/>
        </w:rPr>
        <w:t xml:space="preserve">וכתב </w:t>
      </w:r>
      <w:r w:rsidRPr="006177F0">
        <w:rPr>
          <w:rStyle w:val="af9"/>
          <w:rFonts w:hint="cs"/>
          <w:rtl/>
        </w:rPr>
        <w:t xml:space="preserve">הגר"א </w:t>
      </w:r>
      <w:r w:rsidRPr="00826BFD">
        <w:rPr>
          <w:rStyle w:val="af7"/>
          <w:rFonts w:eastAsia="Guttman Hodes" w:hint="cs"/>
          <w:rtl/>
        </w:rPr>
        <w:t>(סי' ק"מ סק"ג)</w:t>
      </w:r>
      <w:r>
        <w:rPr>
          <w:rFonts w:hint="cs"/>
          <w:rtl/>
        </w:rPr>
        <w:t xml:space="preserve"> דהא דביום אחד סגי להחשב כמרא כן מבואר מהא דאיתא בגמ' לקמן </w:t>
      </w:r>
      <w:r w:rsidRPr="00826BFD">
        <w:rPr>
          <w:rStyle w:val="af7"/>
          <w:rFonts w:eastAsia="Guttman Hodes" w:hint="cs"/>
          <w:rtl/>
        </w:rPr>
        <w:t>(מא:)</w:t>
      </w:r>
      <w:r>
        <w:rPr>
          <w:rFonts w:hint="cs"/>
          <w:rtl/>
        </w:rPr>
        <w:t xml:space="preserve"> דבחזקת ג"ש אם טוען המחזיק שקנה מפלוני שהוא קנה מהמערער, אם יש לו עדים שדר בה אותו פלוני יום אחד הוי חזקה, ומוכח דכיון שדר בה אותו פלוני יום אחד דינו כמרא קמא, אף שאין לו עדים שדר בה ג"ש.</w:t>
      </w:r>
      <w:bookmarkEnd w:id="63"/>
    </w:p>
    <w:p w:rsidR="00FF386B" w:rsidRDefault="00FF386B" w:rsidP="00FF386B">
      <w:pPr>
        <w:pStyle w:val="a3"/>
        <w:rPr>
          <w:rtl/>
        </w:rPr>
      </w:pPr>
      <w:bookmarkStart w:id="64" w:name="_Toc54000484"/>
      <w:bookmarkStart w:id="65" w:name="_Toc54038916"/>
      <w:bookmarkStart w:id="66" w:name="_Toc54039010"/>
      <w:bookmarkStart w:id="67" w:name="_Toc54087435"/>
      <w:bookmarkStart w:id="68" w:name="_Toc54109236"/>
      <w:bookmarkStart w:id="69" w:name="_Toc54125635"/>
      <w:bookmarkStart w:id="70" w:name="_Toc54133847"/>
      <w:r>
        <w:rPr>
          <w:rFonts w:hint="cs"/>
          <w:rtl/>
        </w:rPr>
        <w:t>ביאור הרשב"א בתשו' דהראשון לעולם מוחזק ואינו צריך להביא ראיה היאך הקרקע שלו</w:t>
      </w:r>
      <w:bookmarkEnd w:id="64"/>
      <w:bookmarkEnd w:id="65"/>
      <w:bookmarkEnd w:id="66"/>
      <w:bookmarkEnd w:id="67"/>
      <w:bookmarkEnd w:id="68"/>
      <w:bookmarkEnd w:id="69"/>
      <w:bookmarkEnd w:id="70"/>
    </w:p>
    <w:p w:rsidR="00FF386B" w:rsidRDefault="00FF386B" w:rsidP="007E4E81">
      <w:pPr>
        <w:pStyle w:val="a0"/>
        <w:rPr>
          <w:rStyle w:val="afb"/>
          <w:rtl/>
        </w:rPr>
      </w:pPr>
      <w:r>
        <w:rPr>
          <w:rFonts w:hint="cs"/>
          <w:rtl/>
        </w:rPr>
        <w:t xml:space="preserve">וביאר </w:t>
      </w:r>
      <w:r w:rsidRPr="006177F0">
        <w:rPr>
          <w:rStyle w:val="af9"/>
          <w:rFonts w:hint="cs"/>
          <w:rtl/>
        </w:rPr>
        <w:t>הרשב"א בתשו'</w:t>
      </w:r>
      <w:r>
        <w:rPr>
          <w:rFonts w:hint="cs"/>
          <w:rtl/>
        </w:rPr>
        <w:t xml:space="preserve"> דהמחזיק אינו יכול לומר למערער שיביא ראיה מנין באה הקרקע לידו, דלעולם הראשון הוא המוחזק, כיון דכל מי שאוכל את הקרקע הרי היא בחזקתו, ומי שבא להוציאו מחזקתו עליו להביא ראיה, וכעי"ז כתב </w:t>
      </w:r>
      <w:r w:rsidRPr="006177F0">
        <w:rPr>
          <w:rStyle w:val="af9"/>
          <w:rFonts w:hint="cs"/>
          <w:rtl/>
        </w:rPr>
        <w:t>הרשב"א בתשו'</w:t>
      </w:r>
      <w:r>
        <w:rPr>
          <w:rFonts w:hint="cs"/>
          <w:rtl/>
        </w:rPr>
        <w:t xml:space="preserve"> </w:t>
      </w:r>
      <w:r w:rsidRPr="00826BFD">
        <w:rPr>
          <w:rStyle w:val="af7"/>
          <w:rFonts w:eastAsia="Guttman Hodes" w:hint="cs"/>
          <w:rtl/>
        </w:rPr>
        <w:t>(ח"א סי' תתק"ג)</w:t>
      </w:r>
      <w:r>
        <w:rPr>
          <w:rFonts w:hint="cs"/>
          <w:rtl/>
        </w:rPr>
        <w:t xml:space="preserve">. </w:t>
      </w:r>
      <w:r w:rsidRPr="0034253F">
        <w:rPr>
          <w:rStyle w:val="afb"/>
          <w:rFonts w:hint="cs"/>
          <w:rtl/>
        </w:rPr>
        <w:t xml:space="preserve">[וביאר </w:t>
      </w:r>
      <w:r w:rsidRPr="00B47676">
        <w:rPr>
          <w:rStyle w:val="affa"/>
          <w:rFonts w:hint="cs"/>
          <w:rtl/>
        </w:rPr>
        <w:t>האבאה"ז</w:t>
      </w:r>
      <w:r w:rsidRPr="00B47676">
        <w:rPr>
          <w:rStyle w:val="aff6"/>
          <w:rFonts w:hint="cs"/>
          <w:rtl/>
        </w:rPr>
        <w:t xml:space="preserve"> (שכנים פ"ב הי"ח ד"ה והנה התוס')</w:t>
      </w:r>
      <w:r w:rsidRPr="0034253F">
        <w:rPr>
          <w:rStyle w:val="afb"/>
          <w:rFonts w:hint="cs"/>
          <w:rtl/>
        </w:rPr>
        <w:t xml:space="preserve"> </w:t>
      </w:r>
      <w:r>
        <w:rPr>
          <w:rStyle w:val="afb"/>
          <w:rFonts w:hint="cs"/>
          <w:rtl/>
        </w:rPr>
        <w:t xml:space="preserve">את דברי </w:t>
      </w:r>
      <w:r w:rsidRPr="00B47676">
        <w:rPr>
          <w:rStyle w:val="affa"/>
          <w:rFonts w:hint="cs"/>
          <w:rtl/>
        </w:rPr>
        <w:t>הרשב"א בתשו'</w:t>
      </w:r>
      <w:r>
        <w:rPr>
          <w:rStyle w:val="afb"/>
          <w:rFonts w:hint="cs"/>
          <w:rtl/>
        </w:rPr>
        <w:t xml:space="preserve"> </w:t>
      </w:r>
      <w:r w:rsidRPr="0034253F">
        <w:rPr>
          <w:rStyle w:val="afb"/>
          <w:rFonts w:hint="cs"/>
          <w:rtl/>
        </w:rPr>
        <w:t>דאף שהשני החזיק ג"ש, מ"מ לא מהני חזקתו לבטל את חזקת הראשון</w:t>
      </w:r>
      <w:r>
        <w:rPr>
          <w:rStyle w:val="afb"/>
          <w:rFonts w:hint="cs"/>
          <w:rtl/>
        </w:rPr>
        <w:t>,</w:t>
      </w:r>
      <w:r w:rsidRPr="0034253F">
        <w:rPr>
          <w:rStyle w:val="afb"/>
          <w:rFonts w:hint="cs"/>
          <w:rtl/>
        </w:rPr>
        <w:t xml:space="preserve"> א</w:t>
      </w:r>
      <w:r>
        <w:rPr>
          <w:rStyle w:val="afb"/>
          <w:rFonts w:hint="cs"/>
          <w:rtl/>
        </w:rPr>
        <w:t>ף</w:t>
      </w:r>
      <w:r w:rsidRPr="0034253F">
        <w:rPr>
          <w:rStyle w:val="afb"/>
          <w:rFonts w:hint="cs"/>
          <w:rtl/>
        </w:rPr>
        <w:t xml:space="preserve"> שהחזיק </w:t>
      </w:r>
      <w:r>
        <w:rPr>
          <w:rStyle w:val="afb"/>
          <w:rFonts w:hint="cs"/>
          <w:rtl/>
        </w:rPr>
        <w:t xml:space="preserve">רק </w:t>
      </w:r>
      <w:r w:rsidRPr="0034253F">
        <w:rPr>
          <w:rStyle w:val="afb"/>
          <w:rFonts w:hint="cs"/>
          <w:rtl/>
        </w:rPr>
        <w:t>יום אחד, ורק כשהשני טוען לקוח הוא ביד, דחזקתו אינה מבטלת את חזקת הראשון, מהני חזקת ג"ש להחשיבו כמוחזק</w:t>
      </w:r>
      <w:r>
        <w:rPr>
          <w:rStyle w:val="afb"/>
          <w:rFonts w:hint="cs"/>
          <w:rtl/>
        </w:rPr>
        <w:t>, וה"ה במטלטלין בחזקה מה שתח"י שלו הוא, דנאמן לטעון לקוח הוא בידי</w:t>
      </w:r>
      <w:r w:rsidRPr="0034253F">
        <w:rPr>
          <w:rStyle w:val="afb"/>
          <w:rFonts w:hint="cs"/>
          <w:rtl/>
        </w:rPr>
        <w:t>].</w:t>
      </w:r>
    </w:p>
    <w:p w:rsidR="00FF386B" w:rsidRDefault="00FF386B" w:rsidP="00FF386B">
      <w:pPr>
        <w:pStyle w:val="a3"/>
        <w:rPr>
          <w:rtl/>
        </w:rPr>
      </w:pPr>
      <w:bookmarkStart w:id="71" w:name="_Toc54000485"/>
      <w:bookmarkStart w:id="72" w:name="_Toc54038917"/>
      <w:bookmarkStart w:id="73" w:name="_Toc54039011"/>
      <w:bookmarkStart w:id="74" w:name="_Toc54087436"/>
      <w:bookmarkStart w:id="75" w:name="_Toc54109237"/>
      <w:bookmarkStart w:id="76" w:name="_Toc54125636"/>
      <w:bookmarkStart w:id="77" w:name="_Toc54133848"/>
      <w:r>
        <w:rPr>
          <w:rFonts w:hint="cs"/>
          <w:rtl/>
        </w:rPr>
        <w:t>ביאור הרמ"ה דכל שנקראת הקרקע על שם אביו של המרא קמא א"צ עדים היאך קנאה אביו</w:t>
      </w:r>
      <w:bookmarkEnd w:id="71"/>
      <w:bookmarkEnd w:id="72"/>
      <w:bookmarkEnd w:id="73"/>
      <w:bookmarkEnd w:id="74"/>
      <w:bookmarkEnd w:id="75"/>
      <w:bookmarkEnd w:id="76"/>
      <w:bookmarkEnd w:id="77"/>
    </w:p>
    <w:p w:rsidR="00FF386B" w:rsidRDefault="00FF386B" w:rsidP="007E4E81">
      <w:pPr>
        <w:pStyle w:val="a0"/>
      </w:pPr>
      <w:r>
        <w:rPr>
          <w:rFonts w:hint="cs"/>
          <w:rtl/>
        </w:rPr>
        <w:t xml:space="preserve">וע"ע </w:t>
      </w:r>
      <w:r>
        <w:rPr>
          <w:rStyle w:val="af9"/>
          <w:rFonts w:hint="cs"/>
          <w:rtl/>
        </w:rPr>
        <w:t>ב</w:t>
      </w:r>
      <w:r w:rsidRPr="006177F0">
        <w:rPr>
          <w:rStyle w:val="af9"/>
          <w:rFonts w:hint="cs"/>
          <w:rtl/>
        </w:rPr>
        <w:t>יד רמ"ה לקמן</w:t>
      </w:r>
      <w:r>
        <w:rPr>
          <w:rFonts w:hint="cs"/>
          <w:rtl/>
        </w:rPr>
        <w:t xml:space="preserve"> </w:t>
      </w:r>
      <w:r w:rsidRPr="00826BFD">
        <w:rPr>
          <w:rStyle w:val="af7"/>
          <w:rFonts w:eastAsia="Guttman Hodes" w:hint="cs"/>
          <w:rtl/>
        </w:rPr>
        <w:t>(או' ל"ח, לא: ד"ה והאי)</w:t>
      </w:r>
      <w:r>
        <w:rPr>
          <w:rFonts w:hint="cs"/>
          <w:rtl/>
        </w:rPr>
        <w:t xml:space="preserve"> דכתב דכל שהביא עדים שהייתה נקראת הקרקע על שם אבותיו, אינו צריך להביא עדים היאך קנאה אביו, דכיון שכל מי שרוצה לקרות את הקרקע בשם הבעלים קורא לה בשם אביו, הוי חזקה, אף שאין עדים שאביו החזיק בה בשעת מיתתו.</w:t>
      </w:r>
    </w:p>
    <w:p w:rsidR="00B10615" w:rsidRDefault="00B10615" w:rsidP="00B10615">
      <w:pPr>
        <w:pStyle w:val="1"/>
        <w:rPr>
          <w:rtl/>
        </w:rPr>
      </w:pPr>
      <w:bookmarkStart w:id="78" w:name="_Toc54109238"/>
      <w:bookmarkStart w:id="79" w:name="_Toc54125637"/>
      <w:bookmarkStart w:id="80" w:name="_Toc54133849"/>
      <w:bookmarkStart w:id="81" w:name="_Toc53941207"/>
      <w:bookmarkStart w:id="82" w:name="_Toc54000486"/>
      <w:bookmarkStart w:id="83" w:name="_Toc54038918"/>
      <w:bookmarkStart w:id="84" w:name="_Toc54039012"/>
      <w:bookmarkStart w:id="85" w:name="_Toc54087437"/>
      <w:r>
        <w:rPr>
          <w:rFonts w:hint="cs"/>
          <w:rtl/>
        </w:rPr>
        <w:t>בדעת הרמב"ם אי לחזקת מר"ק סגי ביום א' או שצריך עדים</w:t>
      </w:r>
      <w:bookmarkEnd w:id="78"/>
      <w:bookmarkEnd w:id="79"/>
      <w:bookmarkEnd w:id="80"/>
    </w:p>
    <w:p w:rsidR="00B10615" w:rsidRPr="000A7637" w:rsidRDefault="00B10615" w:rsidP="00B10615">
      <w:pPr>
        <w:pStyle w:val="a3"/>
        <w:rPr>
          <w:rtl/>
        </w:rPr>
      </w:pPr>
      <w:bookmarkStart w:id="86" w:name="_Toc54000492"/>
      <w:bookmarkStart w:id="87" w:name="_Toc54038924"/>
      <w:bookmarkStart w:id="88" w:name="_Toc54039018"/>
      <w:bookmarkStart w:id="89" w:name="_Toc54087443"/>
      <w:bookmarkStart w:id="90" w:name="_Toc54109239"/>
      <w:bookmarkStart w:id="91" w:name="_Toc54125638"/>
      <w:bookmarkStart w:id="92" w:name="_Toc54133850"/>
      <w:r>
        <w:rPr>
          <w:rFonts w:hint="cs"/>
          <w:rtl/>
        </w:rPr>
        <w:t>דברי הרמב"ם דקרקע שידועה בעדים שהיא של המרא קמא הרי היא בחזקתו</w:t>
      </w:r>
      <w:bookmarkEnd w:id="86"/>
      <w:bookmarkEnd w:id="87"/>
      <w:bookmarkEnd w:id="88"/>
      <w:bookmarkEnd w:id="89"/>
      <w:bookmarkEnd w:id="90"/>
      <w:bookmarkEnd w:id="91"/>
      <w:bookmarkEnd w:id="92"/>
    </w:p>
    <w:p w:rsidR="00B10615" w:rsidRDefault="00B10615" w:rsidP="007E4E81">
      <w:pPr>
        <w:pStyle w:val="a0"/>
        <w:rPr>
          <w:rtl/>
        </w:rPr>
      </w:pPr>
      <w:bookmarkStart w:id="93" w:name="_Ref53934882"/>
      <w:r>
        <w:rPr>
          <w:rFonts w:hint="cs"/>
          <w:rtl/>
        </w:rPr>
        <w:t xml:space="preserve">כתב </w:t>
      </w:r>
      <w:r w:rsidRPr="006177F0">
        <w:rPr>
          <w:rStyle w:val="af9"/>
          <w:rFonts w:hint="cs"/>
          <w:rtl/>
        </w:rPr>
        <w:t>הרמב"ם</w:t>
      </w:r>
      <w:r>
        <w:rPr>
          <w:rFonts w:hint="cs"/>
          <w:rtl/>
        </w:rPr>
        <w:t xml:space="preserve"> </w:t>
      </w:r>
      <w:r w:rsidRPr="00826BFD">
        <w:rPr>
          <w:rStyle w:val="af7"/>
          <w:rFonts w:eastAsia="Guttman Hodes" w:hint="cs"/>
          <w:rtl/>
        </w:rPr>
        <w:t>(טו</w:t>
      </w:r>
      <w:r w:rsidRPr="00826BFD">
        <w:rPr>
          <w:rStyle w:val="af7"/>
          <w:rFonts w:eastAsia="Guttman Hodes"/>
          <w:rtl/>
        </w:rPr>
        <w:t>"</w:t>
      </w:r>
      <w:r w:rsidRPr="00826BFD">
        <w:rPr>
          <w:rStyle w:val="af7"/>
          <w:rFonts w:eastAsia="Guttman Hodes" w:hint="cs"/>
          <w:rtl/>
        </w:rPr>
        <w:t>נ פי"א ה"א)</w:t>
      </w:r>
      <w:r>
        <w:rPr>
          <w:rFonts w:hint="cs"/>
          <w:rtl/>
        </w:rPr>
        <w:t xml:space="preserve"> דקרקע שידועה שהיא של אדם אחד, אף שעכשיו היא תחת יד אחר, וטוען המחזיק שקנה מהבעלים, הרי היא בחזקת הבעלים, עד שיביא המחזיק ראיה שקנה מהם, ואם יש לבעלים עדים שהייתה הקרקע שלו, אף אם המחזיק אינו מודה שקנה ממנו, וטוען שלא הייתה של המערער כלל, מ"מ היא בחזקת המערער כיון שיש לו עדים, ואם אין למערער עדים שהייתה שלו, המחזיק נשבע היסת, והקרקע ברשותו, ועי' במ"ש </w:t>
      </w:r>
      <w:r w:rsidRPr="006177F0">
        <w:rPr>
          <w:rStyle w:val="af9"/>
          <w:rFonts w:hint="cs"/>
          <w:rtl/>
        </w:rPr>
        <w:t>האבה</w:t>
      </w:r>
      <w:r w:rsidR="0055721A" w:rsidRPr="006177F0">
        <w:rPr>
          <w:rStyle w:val="af9"/>
          <w:rFonts w:hint="cs"/>
          <w:rtl/>
        </w:rPr>
        <w:t>א</w:t>
      </w:r>
      <w:r w:rsidRPr="006177F0">
        <w:rPr>
          <w:rStyle w:val="af9"/>
          <w:rFonts w:hint="cs"/>
          <w:rtl/>
        </w:rPr>
        <w:t>"ז</w:t>
      </w:r>
      <w:r>
        <w:rPr>
          <w:rFonts w:hint="cs"/>
          <w:rtl/>
        </w:rPr>
        <w:t xml:space="preserve"> </w:t>
      </w:r>
      <w:r w:rsidRPr="00826BFD">
        <w:rPr>
          <w:rStyle w:val="af7"/>
          <w:rFonts w:eastAsia="Guttman Hodes" w:hint="cs"/>
          <w:rtl/>
        </w:rPr>
        <w:t>(עי'</w:t>
      </w:r>
      <w:r>
        <w:rPr>
          <w:rFonts w:hint="cs"/>
          <w:rtl/>
        </w:rPr>
        <w:t xml:space="preserve"> </w:t>
      </w:r>
      <w:r w:rsidRPr="00826BFD">
        <w:rPr>
          <w:rStyle w:val="af7"/>
          <w:rFonts w:eastAsia="Guttman Hodes" w:hint="cs"/>
          <w:rtl/>
        </w:rPr>
        <w:t xml:space="preserve">אות </w:t>
      </w:r>
      <w:r w:rsidRPr="00826BFD">
        <w:rPr>
          <w:rStyle w:val="af7"/>
          <w:rFonts w:eastAsia="Guttman Hodes"/>
          <w:rtl/>
        </w:rPr>
        <w:fldChar w:fldCharType="begin"/>
      </w:r>
      <w:r w:rsidRPr="00826BFD">
        <w:rPr>
          <w:rStyle w:val="af7"/>
          <w:rFonts w:eastAsia="Guttman Hodes"/>
          <w:rtl/>
        </w:rPr>
        <w:instrText xml:space="preserve"> </w:instrText>
      </w:r>
      <w:r w:rsidRPr="00826BFD">
        <w:rPr>
          <w:rStyle w:val="af7"/>
          <w:rFonts w:eastAsia="Guttman Hodes" w:hint="cs"/>
        </w:rPr>
        <w:instrText>REF</w:instrText>
      </w:r>
      <w:r w:rsidRPr="00826BFD">
        <w:rPr>
          <w:rStyle w:val="af7"/>
          <w:rFonts w:eastAsia="Guttman Hodes" w:hint="cs"/>
          <w:rtl/>
        </w:rPr>
        <w:instrText xml:space="preserve"> _</w:instrText>
      </w:r>
      <w:r w:rsidRPr="00826BFD">
        <w:rPr>
          <w:rStyle w:val="af7"/>
          <w:rFonts w:eastAsia="Guttman Hodes" w:hint="cs"/>
        </w:rPr>
        <w:instrText>Ref53935015 \r \h</w:instrText>
      </w:r>
      <w:r w:rsidRPr="00826BFD">
        <w:rPr>
          <w:rStyle w:val="af7"/>
          <w:rFonts w:eastAsia="Guttman Hodes"/>
          <w:rtl/>
        </w:rPr>
        <w:instrText xml:space="preserve"> </w:instrText>
      </w:r>
      <w:r w:rsidRPr="00826BFD">
        <w:rPr>
          <w:rStyle w:val="af7"/>
          <w:rFonts w:eastAsia="Guttman Hodes"/>
          <w:rtl/>
        </w:rPr>
      </w:r>
      <w:r w:rsidRPr="00826BFD">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826BFD">
        <w:rPr>
          <w:rStyle w:val="af7"/>
          <w:rFonts w:eastAsia="Guttman Hodes"/>
          <w:rtl/>
        </w:rPr>
        <w:fldChar w:fldCharType="end"/>
      </w:r>
      <w:r>
        <w:rPr>
          <w:rFonts w:hint="cs"/>
          <w:rtl/>
        </w:rPr>
        <w:t xml:space="preserve"> דמשמע מדברי </w:t>
      </w:r>
      <w:r w:rsidRPr="006177F0">
        <w:rPr>
          <w:rStyle w:val="af9"/>
          <w:rFonts w:hint="cs"/>
          <w:rtl/>
        </w:rPr>
        <w:t>הרמב"ם</w:t>
      </w:r>
      <w:r>
        <w:rPr>
          <w:rFonts w:hint="cs"/>
          <w:rtl/>
        </w:rPr>
        <w:t xml:space="preserve"> דלא סגי בעדים שהחזיק בה יום אחד, ודלא </w:t>
      </w:r>
      <w:r w:rsidRPr="004C3389">
        <w:rPr>
          <w:rStyle w:val="af9"/>
          <w:rFonts w:hint="cs"/>
          <w:rtl/>
        </w:rPr>
        <w:t>כהב"ח</w:t>
      </w:r>
      <w:r>
        <w:rPr>
          <w:rFonts w:hint="cs"/>
          <w:rtl/>
        </w:rPr>
        <w:t xml:space="preserve"> </w:t>
      </w:r>
      <w:r w:rsidRPr="004C3389">
        <w:rPr>
          <w:rStyle w:val="af7"/>
          <w:rFonts w:eastAsia="Guttman Hodes" w:hint="cs"/>
          <w:rtl/>
        </w:rPr>
        <w:t xml:space="preserve">(עי' אות </w:t>
      </w:r>
      <w:r w:rsidR="004C3389" w:rsidRPr="004C3389">
        <w:rPr>
          <w:rStyle w:val="af7"/>
          <w:rFonts w:eastAsia="Guttman Hodes"/>
          <w:rtl/>
        </w:rPr>
        <w:fldChar w:fldCharType="begin"/>
      </w:r>
      <w:r w:rsidR="004C3389" w:rsidRPr="004C3389">
        <w:rPr>
          <w:rStyle w:val="af7"/>
          <w:rFonts w:eastAsia="Guttman Hodes"/>
          <w:rtl/>
        </w:rPr>
        <w:instrText xml:space="preserve"> </w:instrText>
      </w:r>
      <w:r w:rsidR="004C3389" w:rsidRPr="004C3389">
        <w:rPr>
          <w:rStyle w:val="af7"/>
          <w:rFonts w:eastAsia="Guttman Hodes" w:hint="cs"/>
        </w:rPr>
        <w:instrText>REF</w:instrText>
      </w:r>
      <w:r w:rsidR="004C3389" w:rsidRPr="004C3389">
        <w:rPr>
          <w:rStyle w:val="af7"/>
          <w:rFonts w:eastAsia="Guttman Hodes" w:hint="cs"/>
          <w:rtl/>
        </w:rPr>
        <w:instrText xml:space="preserve"> _</w:instrText>
      </w:r>
      <w:r w:rsidR="004C3389" w:rsidRPr="004C3389">
        <w:rPr>
          <w:rStyle w:val="af7"/>
          <w:rFonts w:eastAsia="Guttman Hodes" w:hint="cs"/>
        </w:rPr>
        <w:instrText>Ref54108689 \r \h</w:instrText>
      </w:r>
      <w:r w:rsidR="004C3389" w:rsidRPr="004C3389">
        <w:rPr>
          <w:rStyle w:val="af7"/>
          <w:rFonts w:eastAsia="Guttman Hodes"/>
          <w:rtl/>
        </w:rPr>
        <w:instrText xml:space="preserve"> </w:instrText>
      </w:r>
      <w:r w:rsidR="004C3389" w:rsidRPr="004C3389">
        <w:rPr>
          <w:rStyle w:val="af7"/>
          <w:rFonts w:eastAsia="Guttman Hodes"/>
          <w:rtl/>
        </w:rPr>
      </w:r>
      <w:r w:rsidR="004C3389" w:rsidRPr="004C3389">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004C3389" w:rsidRPr="004C3389">
        <w:rPr>
          <w:rStyle w:val="af7"/>
          <w:rFonts w:eastAsia="Guttman Hodes"/>
          <w:rtl/>
        </w:rPr>
        <w:fldChar w:fldCharType="end"/>
      </w:r>
      <w:r>
        <w:rPr>
          <w:rFonts w:hint="cs"/>
          <w:rtl/>
        </w:rPr>
        <w:t>.</w:t>
      </w:r>
      <w:bookmarkEnd w:id="93"/>
    </w:p>
    <w:p w:rsidR="00B10615" w:rsidRPr="00CA65A6" w:rsidRDefault="00B10615" w:rsidP="00B10615">
      <w:pPr>
        <w:pStyle w:val="a3"/>
        <w:rPr>
          <w:rtl/>
        </w:rPr>
      </w:pPr>
      <w:bookmarkStart w:id="94" w:name="_Toc54000493"/>
      <w:bookmarkStart w:id="95" w:name="_Toc54038925"/>
      <w:bookmarkStart w:id="96" w:name="_Toc54039019"/>
      <w:bookmarkStart w:id="97" w:name="_Toc54087444"/>
      <w:bookmarkStart w:id="98" w:name="_Toc54109240"/>
      <w:bookmarkStart w:id="99" w:name="_Toc54125639"/>
      <w:bookmarkStart w:id="100" w:name="_Toc54133851"/>
      <w:r>
        <w:rPr>
          <w:rFonts w:hint="cs"/>
          <w:rtl/>
        </w:rPr>
        <w:t xml:space="preserve">דברי הרמב"ם דבהביא המחזיק עידי חזקת ג"ש ולא מחה המערער </w:t>
      </w:r>
      <w:bookmarkEnd w:id="94"/>
      <w:r>
        <w:rPr>
          <w:rFonts w:hint="cs"/>
          <w:rtl/>
        </w:rPr>
        <w:t>הקרקע בחזקת המחזיק</w:t>
      </w:r>
      <w:bookmarkEnd w:id="95"/>
      <w:bookmarkEnd w:id="96"/>
      <w:bookmarkEnd w:id="97"/>
      <w:bookmarkEnd w:id="98"/>
      <w:bookmarkEnd w:id="99"/>
      <w:bookmarkEnd w:id="100"/>
    </w:p>
    <w:p w:rsidR="00B10615" w:rsidRDefault="00B10615" w:rsidP="007E4E81">
      <w:pPr>
        <w:pStyle w:val="a0"/>
        <w:rPr>
          <w:rtl/>
        </w:rPr>
      </w:pPr>
      <w:bookmarkStart w:id="101" w:name="_Ref54034873"/>
      <w:r>
        <w:rPr>
          <w:rFonts w:hint="cs"/>
          <w:rtl/>
        </w:rPr>
        <w:t xml:space="preserve">וכתב </w:t>
      </w:r>
      <w:r w:rsidRPr="006177F0">
        <w:rPr>
          <w:rStyle w:val="af9"/>
          <w:rFonts w:hint="cs"/>
          <w:rtl/>
        </w:rPr>
        <w:t>הרמב"ם</w:t>
      </w:r>
      <w:r>
        <w:rPr>
          <w:rFonts w:hint="cs"/>
          <w:rtl/>
        </w:rPr>
        <w:t xml:space="preserve"> </w:t>
      </w:r>
      <w:r w:rsidRPr="00826BFD">
        <w:rPr>
          <w:rStyle w:val="af7"/>
          <w:rFonts w:eastAsia="Guttman Hodes" w:hint="cs"/>
          <w:rtl/>
        </w:rPr>
        <w:t>(טו</w:t>
      </w:r>
      <w:r w:rsidRPr="00826BFD">
        <w:rPr>
          <w:rStyle w:val="af7"/>
          <w:rFonts w:eastAsia="Guttman Hodes"/>
          <w:rtl/>
        </w:rPr>
        <w:t>"</w:t>
      </w:r>
      <w:r w:rsidRPr="00826BFD">
        <w:rPr>
          <w:rStyle w:val="af7"/>
          <w:rFonts w:eastAsia="Guttman Hodes" w:hint="cs"/>
          <w:rtl/>
        </w:rPr>
        <w:t>נ פי"א ה"ב)</w:t>
      </w:r>
      <w:r>
        <w:rPr>
          <w:rFonts w:hint="cs"/>
          <w:rtl/>
        </w:rPr>
        <w:t xml:space="preserve"> דאם הביא המחזיק עדים שאכלה ג"ש רצופות, ולא מיחו בו הבעלים, מעמידים אותה בחזקה המחזיק, וצריך להשבע שבועת היסת שהבעלים מכר לו, דאמרינן לבעלים דאם לא מכר לו, היאך החזיק בה המחזיק ג"ש ואין לך עליו שטר שכירות או משכנתא, ולא מחית בו, ואומר המחזיק למערער דבג"ש לא יתכן שלש שמע על החזקה, וכיון ששמע ולא מיחה בפני עדים הפסיד המערער לעצמו, ועי' במה שביאר </w:t>
      </w:r>
      <w:r w:rsidRPr="0052094F">
        <w:rPr>
          <w:rStyle w:val="af9"/>
          <w:rFonts w:hint="cs"/>
          <w:rtl/>
        </w:rPr>
        <w:t>בחי' רבי נחום</w:t>
      </w:r>
      <w:r>
        <w:rPr>
          <w:rFonts w:hint="cs"/>
          <w:rtl/>
        </w:rPr>
        <w:t xml:space="preserve"> </w:t>
      </w:r>
      <w:r w:rsidRPr="00E26F6E">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Ref54034956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52094F">
        <w:rPr>
          <w:rStyle w:val="af9"/>
          <w:rFonts w:hint="cs"/>
          <w:rtl/>
        </w:rPr>
        <w:t>הרמב"ם</w:t>
      </w:r>
      <w:r>
        <w:rPr>
          <w:rFonts w:hint="cs"/>
          <w:rtl/>
        </w:rPr>
        <w:t>.</w:t>
      </w:r>
      <w:bookmarkEnd w:id="101"/>
    </w:p>
    <w:p w:rsidR="00B10615" w:rsidRPr="00B10615" w:rsidRDefault="004C3389" w:rsidP="004C3389">
      <w:pPr>
        <w:pStyle w:val="a3"/>
        <w:rPr>
          <w:rtl/>
        </w:rPr>
      </w:pPr>
      <w:bookmarkStart w:id="102" w:name="_Toc54109241"/>
      <w:bookmarkStart w:id="103" w:name="_Toc54125640"/>
      <w:bookmarkStart w:id="104" w:name="_Toc54133852"/>
      <w:r>
        <w:rPr>
          <w:rFonts w:hint="cs"/>
          <w:rtl/>
        </w:rPr>
        <w:t>דברי הרמב"ם דבטוען שקנה מפלוני שקנה מהמר"ק שדר בה יום א' נאמן במיגו דקנה מהמר"ק</w:t>
      </w:r>
      <w:bookmarkEnd w:id="102"/>
      <w:bookmarkEnd w:id="103"/>
      <w:bookmarkEnd w:id="104"/>
    </w:p>
    <w:p w:rsidR="00B10615" w:rsidRDefault="00B10615" w:rsidP="007E4E81">
      <w:pPr>
        <w:pStyle w:val="a0"/>
        <w:rPr>
          <w:rtl/>
        </w:rPr>
      </w:pPr>
      <w:r>
        <w:rPr>
          <w:rFonts w:hint="cs"/>
          <w:rtl/>
        </w:rPr>
        <w:t xml:space="preserve">ועוד כתב </w:t>
      </w:r>
      <w:r w:rsidRPr="004C3389">
        <w:rPr>
          <w:rStyle w:val="af9"/>
          <w:rFonts w:hint="cs"/>
          <w:rtl/>
        </w:rPr>
        <w:t xml:space="preserve">הרמב"ם </w:t>
      </w:r>
      <w:r w:rsidRPr="004C3389">
        <w:rPr>
          <w:rStyle w:val="af7"/>
          <w:rFonts w:eastAsia="Guttman Hodes" w:hint="cs"/>
          <w:rtl/>
        </w:rPr>
        <w:t>(טו"נ פי"ד הי"ד)</w:t>
      </w:r>
      <w:r>
        <w:rPr>
          <w:rFonts w:hint="cs"/>
          <w:rtl/>
        </w:rPr>
        <w:t xml:space="preserve"> דבהחזיק ג"ש וטוען המחזיק שקנה מפלוני שהוא קנה מהמערער, אם יש לו עדים שדר בה אותו פלוני יום אחד, מעמידים את הקרקע בחזקת המחזיק, כיון שיש לו טענה עם החזקה שלו, דהיה יכול לטעון מינך זבנתיה, כיון שהחזיק בה ג"ש.</w:t>
      </w:r>
    </w:p>
    <w:p w:rsidR="00B10615" w:rsidRPr="00B10615" w:rsidRDefault="003A6D1D" w:rsidP="00B10615">
      <w:pPr>
        <w:pStyle w:val="a3"/>
      </w:pPr>
      <w:bookmarkStart w:id="105" w:name="_Toc54109242"/>
      <w:bookmarkStart w:id="106" w:name="_Toc54125641"/>
      <w:bookmarkStart w:id="107" w:name="_Toc54133853"/>
      <w:r>
        <w:rPr>
          <w:rFonts w:hint="cs"/>
          <w:rtl/>
        </w:rPr>
        <w:t>ביאור הב"ח ברמב"ם דכל שיש למרא קמא עדים שדר בה יום אחד דינו כמרא קמא</w:t>
      </w:r>
      <w:bookmarkEnd w:id="105"/>
      <w:bookmarkEnd w:id="106"/>
      <w:bookmarkEnd w:id="107"/>
    </w:p>
    <w:p w:rsidR="00B10615" w:rsidRPr="00B10615" w:rsidRDefault="00B10615" w:rsidP="007E4E81">
      <w:pPr>
        <w:pStyle w:val="a0"/>
        <w:rPr>
          <w:rStyle w:val="afb"/>
          <w:rtl/>
        </w:rPr>
      </w:pPr>
      <w:bookmarkStart w:id="108" w:name="_Ref54108689"/>
      <w:r>
        <w:rPr>
          <w:rFonts w:hint="cs"/>
          <w:rtl/>
        </w:rPr>
        <w:t xml:space="preserve">וכתב </w:t>
      </w:r>
      <w:r w:rsidRPr="004C3389">
        <w:rPr>
          <w:rStyle w:val="af9"/>
          <w:rFonts w:hint="cs"/>
          <w:rtl/>
        </w:rPr>
        <w:t xml:space="preserve">הב"ח </w:t>
      </w:r>
      <w:r w:rsidRPr="004C3389">
        <w:rPr>
          <w:rStyle w:val="af7"/>
          <w:rFonts w:eastAsia="Guttman Hodes" w:hint="cs"/>
          <w:rtl/>
        </w:rPr>
        <w:t>(סי' ק"מ א')</w:t>
      </w:r>
      <w:r>
        <w:rPr>
          <w:rFonts w:hint="cs"/>
          <w:rtl/>
        </w:rPr>
        <w:t xml:space="preserve"> דמבואר מדברי </w:t>
      </w:r>
      <w:r w:rsidRPr="004C3389">
        <w:rPr>
          <w:rStyle w:val="af9"/>
          <w:rFonts w:hint="cs"/>
          <w:rtl/>
        </w:rPr>
        <w:t>הרמב"ם</w:t>
      </w:r>
      <w:r>
        <w:rPr>
          <w:rFonts w:hint="cs"/>
          <w:rtl/>
        </w:rPr>
        <w:t xml:space="preserve"> דס"ל כדעת </w:t>
      </w:r>
      <w:r w:rsidRPr="004C3389">
        <w:rPr>
          <w:rStyle w:val="af9"/>
          <w:rFonts w:hint="cs"/>
          <w:rtl/>
        </w:rPr>
        <w:t xml:space="preserve">הרשב"א והריטב"א </w:t>
      </w:r>
      <w:r w:rsidRPr="004C3389">
        <w:rPr>
          <w:rStyle w:val="af7"/>
          <w:rFonts w:eastAsia="Guttman Hodes" w:hint="cs"/>
          <w:rtl/>
        </w:rPr>
        <w:t xml:space="preserve">(עי' אות </w:t>
      </w:r>
      <w:r w:rsidR="004C3389" w:rsidRPr="004C3389">
        <w:rPr>
          <w:rStyle w:val="af7"/>
          <w:rFonts w:eastAsia="Guttman Hodes"/>
          <w:rtl/>
        </w:rPr>
        <w:fldChar w:fldCharType="begin"/>
      </w:r>
      <w:r w:rsidR="004C3389" w:rsidRPr="004C3389">
        <w:rPr>
          <w:rStyle w:val="af7"/>
          <w:rFonts w:eastAsia="Guttman Hodes"/>
          <w:rtl/>
        </w:rPr>
        <w:instrText xml:space="preserve"> </w:instrText>
      </w:r>
      <w:r w:rsidR="004C3389" w:rsidRPr="004C3389">
        <w:rPr>
          <w:rStyle w:val="af7"/>
          <w:rFonts w:eastAsia="Guttman Hodes" w:hint="cs"/>
        </w:rPr>
        <w:instrText>REF</w:instrText>
      </w:r>
      <w:r w:rsidR="004C3389" w:rsidRPr="004C3389">
        <w:rPr>
          <w:rStyle w:val="af7"/>
          <w:rFonts w:eastAsia="Guttman Hodes" w:hint="cs"/>
          <w:rtl/>
        </w:rPr>
        <w:instrText xml:space="preserve"> _</w:instrText>
      </w:r>
      <w:r w:rsidR="004C3389" w:rsidRPr="004C3389">
        <w:rPr>
          <w:rStyle w:val="af7"/>
          <w:rFonts w:eastAsia="Guttman Hodes" w:hint="cs"/>
        </w:rPr>
        <w:instrText>Ref53999256 \r \h</w:instrText>
      </w:r>
      <w:r w:rsidR="004C3389" w:rsidRPr="004C3389">
        <w:rPr>
          <w:rStyle w:val="af7"/>
          <w:rFonts w:eastAsia="Guttman Hodes"/>
          <w:rtl/>
        </w:rPr>
        <w:instrText xml:space="preserve"> </w:instrText>
      </w:r>
      <w:r w:rsidR="004C3389" w:rsidRPr="004C3389">
        <w:rPr>
          <w:rStyle w:val="af7"/>
          <w:rFonts w:eastAsia="Guttman Hodes"/>
          <w:rtl/>
        </w:rPr>
      </w:r>
      <w:r w:rsidR="004C3389" w:rsidRPr="004C3389">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004C3389" w:rsidRPr="004C3389">
        <w:rPr>
          <w:rStyle w:val="af7"/>
          <w:rFonts w:eastAsia="Guttman Hodes"/>
          <w:rtl/>
        </w:rPr>
        <w:fldChar w:fldCharType="end"/>
      </w:r>
      <w:r w:rsidRPr="004C3389">
        <w:rPr>
          <w:rStyle w:val="af7"/>
          <w:rFonts w:eastAsia="Guttman Hodes" w:hint="cs"/>
          <w:rtl/>
        </w:rPr>
        <w:t xml:space="preserve"> </w:t>
      </w:r>
      <w:r>
        <w:rPr>
          <w:rFonts w:hint="cs"/>
          <w:rtl/>
        </w:rPr>
        <w:t xml:space="preserve">דכל שהחזיק בה המרא קמא אף יום אחד, מעמידים את הקרקע ברשותו, ודלא </w:t>
      </w:r>
      <w:r w:rsidR="0055721A">
        <w:rPr>
          <w:rStyle w:val="af9"/>
          <w:rFonts w:hint="cs"/>
          <w:rtl/>
        </w:rPr>
        <w:t>כ</w:t>
      </w:r>
      <w:r w:rsidRPr="004C3389">
        <w:rPr>
          <w:rStyle w:val="af9"/>
          <w:rFonts w:hint="cs"/>
          <w:rtl/>
        </w:rPr>
        <w:t>אב</w:t>
      </w:r>
      <w:r w:rsidR="0055721A">
        <w:rPr>
          <w:rStyle w:val="af9"/>
          <w:rFonts w:hint="cs"/>
          <w:rtl/>
        </w:rPr>
        <w:t>ה</w:t>
      </w:r>
      <w:r w:rsidR="0055721A" w:rsidRPr="004C3389">
        <w:rPr>
          <w:rStyle w:val="af9"/>
          <w:rFonts w:hint="cs"/>
          <w:rtl/>
        </w:rPr>
        <w:t>א</w:t>
      </w:r>
      <w:r w:rsidRPr="004C3389">
        <w:rPr>
          <w:rStyle w:val="af9"/>
          <w:rFonts w:hint="cs"/>
          <w:rtl/>
        </w:rPr>
        <w:t xml:space="preserve">"ז </w:t>
      </w:r>
      <w:r w:rsidRPr="004C3389">
        <w:rPr>
          <w:rStyle w:val="af7"/>
          <w:rFonts w:eastAsia="Guttman Hodes" w:hint="cs"/>
          <w:rtl/>
        </w:rPr>
        <w:t xml:space="preserve">(עי' אות </w:t>
      </w:r>
      <w:r w:rsidR="004C3389" w:rsidRPr="004C3389">
        <w:rPr>
          <w:rStyle w:val="af7"/>
          <w:rFonts w:eastAsia="Guttman Hodes"/>
          <w:rtl/>
        </w:rPr>
        <w:fldChar w:fldCharType="begin"/>
      </w:r>
      <w:r w:rsidR="004C3389" w:rsidRPr="004C3389">
        <w:rPr>
          <w:rStyle w:val="af7"/>
          <w:rFonts w:eastAsia="Guttman Hodes"/>
          <w:rtl/>
        </w:rPr>
        <w:instrText xml:space="preserve"> </w:instrText>
      </w:r>
      <w:r w:rsidR="004C3389" w:rsidRPr="004C3389">
        <w:rPr>
          <w:rStyle w:val="af7"/>
          <w:rFonts w:eastAsia="Guttman Hodes" w:hint="cs"/>
        </w:rPr>
        <w:instrText>REF</w:instrText>
      </w:r>
      <w:r w:rsidR="004C3389" w:rsidRPr="004C3389">
        <w:rPr>
          <w:rStyle w:val="af7"/>
          <w:rFonts w:eastAsia="Guttman Hodes" w:hint="cs"/>
          <w:rtl/>
        </w:rPr>
        <w:instrText xml:space="preserve"> _</w:instrText>
      </w:r>
      <w:r w:rsidR="004C3389" w:rsidRPr="004C3389">
        <w:rPr>
          <w:rStyle w:val="af7"/>
          <w:rFonts w:eastAsia="Guttman Hodes" w:hint="cs"/>
        </w:rPr>
        <w:instrText>Ref53935015 \r \h</w:instrText>
      </w:r>
      <w:r w:rsidR="004C3389" w:rsidRPr="004C3389">
        <w:rPr>
          <w:rStyle w:val="af7"/>
          <w:rFonts w:eastAsia="Guttman Hodes"/>
          <w:rtl/>
        </w:rPr>
        <w:instrText xml:space="preserve"> </w:instrText>
      </w:r>
      <w:r w:rsidR="004C3389" w:rsidRPr="004C3389">
        <w:rPr>
          <w:rStyle w:val="af7"/>
          <w:rFonts w:eastAsia="Guttman Hodes"/>
          <w:rtl/>
        </w:rPr>
      </w:r>
      <w:r w:rsidR="004C3389" w:rsidRPr="004C3389">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004C3389" w:rsidRPr="004C3389">
        <w:rPr>
          <w:rStyle w:val="af7"/>
          <w:rFonts w:eastAsia="Guttman Hodes"/>
          <w:rtl/>
        </w:rPr>
        <w:fldChar w:fldCharType="end"/>
      </w:r>
      <w:r>
        <w:rPr>
          <w:rFonts w:hint="cs"/>
          <w:rtl/>
        </w:rPr>
        <w:t xml:space="preserve">. </w:t>
      </w:r>
      <w:r w:rsidRPr="00B10615">
        <w:rPr>
          <w:rStyle w:val="afb"/>
          <w:rFonts w:hint="cs"/>
          <w:rtl/>
        </w:rPr>
        <w:t xml:space="preserve">[והיינו כדביאר </w:t>
      </w:r>
      <w:r w:rsidRPr="004C3389">
        <w:rPr>
          <w:rStyle w:val="affa"/>
          <w:rFonts w:hint="cs"/>
          <w:rtl/>
        </w:rPr>
        <w:t>הגר"א</w:t>
      </w:r>
      <w:r w:rsidRPr="004C3389">
        <w:rPr>
          <w:rStyle w:val="aff6"/>
          <w:rFonts w:hint="cs"/>
          <w:rtl/>
        </w:rPr>
        <w:t xml:space="preserve"> (עי' אות </w:t>
      </w:r>
      <w:r w:rsidR="004C3389" w:rsidRPr="004C3389">
        <w:rPr>
          <w:rStyle w:val="aff6"/>
          <w:rtl/>
        </w:rPr>
        <w:fldChar w:fldCharType="begin"/>
      </w:r>
      <w:r w:rsidR="004C3389" w:rsidRPr="004C3389">
        <w:rPr>
          <w:rStyle w:val="aff6"/>
          <w:rtl/>
        </w:rPr>
        <w:instrText xml:space="preserve"> </w:instrText>
      </w:r>
      <w:r w:rsidR="004C3389" w:rsidRPr="004C3389">
        <w:rPr>
          <w:rStyle w:val="aff6"/>
          <w:rFonts w:hint="cs"/>
        </w:rPr>
        <w:instrText>REF</w:instrText>
      </w:r>
      <w:r w:rsidR="004C3389" w:rsidRPr="004C3389">
        <w:rPr>
          <w:rStyle w:val="aff6"/>
          <w:rFonts w:hint="cs"/>
          <w:rtl/>
        </w:rPr>
        <w:instrText xml:space="preserve"> _</w:instrText>
      </w:r>
      <w:r w:rsidR="004C3389" w:rsidRPr="004C3389">
        <w:rPr>
          <w:rStyle w:val="aff6"/>
          <w:rFonts w:hint="cs"/>
        </w:rPr>
        <w:instrText>Ref54108619 \r \h</w:instrText>
      </w:r>
      <w:r w:rsidR="004C3389" w:rsidRPr="004C3389">
        <w:rPr>
          <w:rStyle w:val="aff6"/>
          <w:rtl/>
        </w:rPr>
        <w:instrText xml:space="preserve"> </w:instrText>
      </w:r>
      <w:r w:rsidR="004C3389" w:rsidRPr="004C3389">
        <w:rPr>
          <w:rStyle w:val="aff6"/>
          <w:rtl/>
        </w:rPr>
      </w:r>
      <w:r w:rsidR="004C3389" w:rsidRPr="004C3389">
        <w:rPr>
          <w:rStyle w:val="aff6"/>
          <w:rtl/>
        </w:rPr>
        <w:fldChar w:fldCharType="separate"/>
      </w:r>
      <w:r w:rsidR="00265073">
        <w:rPr>
          <w:rStyle w:val="aff6"/>
          <w:cs/>
        </w:rPr>
        <w:t>‎</w:t>
      </w:r>
      <w:r w:rsidR="00265073">
        <w:rPr>
          <w:rStyle w:val="aff6"/>
          <w:rtl/>
        </w:rPr>
        <w:t>ב)</w:t>
      </w:r>
      <w:r w:rsidR="004C3389" w:rsidRPr="004C3389">
        <w:rPr>
          <w:rStyle w:val="aff6"/>
          <w:rtl/>
        </w:rPr>
        <w:fldChar w:fldCharType="end"/>
      </w:r>
      <w:r w:rsidRPr="00B10615">
        <w:rPr>
          <w:rStyle w:val="afb"/>
          <w:rFonts w:hint="cs"/>
          <w:rtl/>
        </w:rPr>
        <w:t xml:space="preserve"> </w:t>
      </w:r>
      <w:r w:rsidR="00A66627">
        <w:rPr>
          <w:rStyle w:val="afb"/>
          <w:rFonts w:hint="cs"/>
          <w:rtl/>
        </w:rPr>
        <w:t xml:space="preserve">דמקור דברי </w:t>
      </w:r>
      <w:r w:rsidR="004C3389" w:rsidRPr="004C3389">
        <w:rPr>
          <w:rStyle w:val="affa"/>
          <w:rFonts w:hint="cs"/>
          <w:rtl/>
        </w:rPr>
        <w:t>הרשב"א והריטב"א ו</w:t>
      </w:r>
      <w:r w:rsidR="00A66627" w:rsidRPr="004C3389">
        <w:rPr>
          <w:rStyle w:val="affa"/>
          <w:rFonts w:hint="cs"/>
          <w:rtl/>
        </w:rPr>
        <w:t>הטור</w:t>
      </w:r>
      <w:r w:rsidR="00A66627">
        <w:rPr>
          <w:rStyle w:val="afb"/>
          <w:rFonts w:hint="cs"/>
          <w:rtl/>
        </w:rPr>
        <w:t xml:space="preserve"> </w:t>
      </w:r>
      <w:r w:rsidR="004C3389" w:rsidRPr="004C3389">
        <w:rPr>
          <w:rStyle w:val="aff6"/>
          <w:rFonts w:hint="cs"/>
          <w:rtl/>
        </w:rPr>
        <w:t xml:space="preserve">(עי' אות </w:t>
      </w:r>
      <w:r w:rsidR="004C3389" w:rsidRPr="004C3389">
        <w:rPr>
          <w:rStyle w:val="aff6"/>
          <w:rtl/>
        </w:rPr>
        <w:fldChar w:fldCharType="begin"/>
      </w:r>
      <w:r w:rsidR="004C3389" w:rsidRPr="004C3389">
        <w:rPr>
          <w:rStyle w:val="aff6"/>
          <w:rtl/>
        </w:rPr>
        <w:instrText xml:space="preserve"> </w:instrText>
      </w:r>
      <w:r w:rsidR="004C3389" w:rsidRPr="004C3389">
        <w:rPr>
          <w:rStyle w:val="aff6"/>
          <w:rFonts w:hint="cs"/>
        </w:rPr>
        <w:instrText>REF</w:instrText>
      </w:r>
      <w:r w:rsidR="004C3389" w:rsidRPr="004C3389">
        <w:rPr>
          <w:rStyle w:val="aff6"/>
          <w:rFonts w:hint="cs"/>
          <w:rtl/>
        </w:rPr>
        <w:instrText xml:space="preserve"> _</w:instrText>
      </w:r>
      <w:r w:rsidR="004C3389" w:rsidRPr="004C3389">
        <w:rPr>
          <w:rStyle w:val="aff6"/>
          <w:rFonts w:hint="cs"/>
        </w:rPr>
        <w:instrText>Ref53999256 \r \h</w:instrText>
      </w:r>
      <w:r w:rsidR="004C3389" w:rsidRPr="004C3389">
        <w:rPr>
          <w:rStyle w:val="aff6"/>
          <w:rtl/>
        </w:rPr>
        <w:instrText xml:space="preserve"> </w:instrText>
      </w:r>
      <w:r w:rsidR="004C3389" w:rsidRPr="004C3389">
        <w:rPr>
          <w:rStyle w:val="aff6"/>
          <w:rtl/>
        </w:rPr>
      </w:r>
      <w:r w:rsidR="004C3389" w:rsidRPr="004C3389">
        <w:rPr>
          <w:rStyle w:val="aff6"/>
          <w:rtl/>
        </w:rPr>
        <w:fldChar w:fldCharType="separate"/>
      </w:r>
      <w:r w:rsidR="00265073">
        <w:rPr>
          <w:rStyle w:val="aff6"/>
          <w:cs/>
        </w:rPr>
        <w:t>‎</w:t>
      </w:r>
      <w:r w:rsidR="00265073">
        <w:rPr>
          <w:rStyle w:val="aff6"/>
          <w:rtl/>
        </w:rPr>
        <w:t>א)</w:t>
      </w:r>
      <w:r w:rsidR="004C3389" w:rsidRPr="004C3389">
        <w:rPr>
          <w:rStyle w:val="aff6"/>
          <w:rtl/>
        </w:rPr>
        <w:fldChar w:fldCharType="end"/>
      </w:r>
      <w:r w:rsidR="004C3389">
        <w:rPr>
          <w:rStyle w:val="afb"/>
          <w:rFonts w:hint="cs"/>
          <w:rtl/>
        </w:rPr>
        <w:t xml:space="preserve"> </w:t>
      </w:r>
      <w:r w:rsidR="00A66627">
        <w:rPr>
          <w:rStyle w:val="afb"/>
          <w:rFonts w:hint="cs"/>
          <w:rtl/>
        </w:rPr>
        <w:t>הוא מה</w:t>
      </w:r>
      <w:r w:rsidRPr="00B10615">
        <w:rPr>
          <w:rStyle w:val="afb"/>
          <w:rFonts w:hint="cs"/>
          <w:rtl/>
        </w:rPr>
        <w:t xml:space="preserve">גמ' לקמן </w:t>
      </w:r>
      <w:r w:rsidRPr="004C3389">
        <w:rPr>
          <w:rStyle w:val="aff6"/>
          <w:rFonts w:hint="cs"/>
          <w:rtl/>
        </w:rPr>
        <w:t>(מא:)</w:t>
      </w:r>
      <w:r w:rsidRPr="00B10615">
        <w:rPr>
          <w:rStyle w:val="afb"/>
          <w:rFonts w:hint="cs"/>
          <w:rtl/>
        </w:rPr>
        <w:t xml:space="preserve"> </w:t>
      </w:r>
      <w:r w:rsidR="00A66627">
        <w:rPr>
          <w:rStyle w:val="afb"/>
          <w:rFonts w:hint="cs"/>
          <w:rtl/>
        </w:rPr>
        <w:t>דב</w:t>
      </w:r>
      <w:r w:rsidRPr="00B10615">
        <w:rPr>
          <w:rStyle w:val="afb"/>
          <w:rFonts w:hint="cs"/>
          <w:rtl/>
        </w:rPr>
        <w:t xml:space="preserve">טוען שקנה מפלוני </w:t>
      </w:r>
      <w:r w:rsidR="00A66627">
        <w:rPr>
          <w:rStyle w:val="afb"/>
          <w:rFonts w:hint="cs"/>
          <w:rtl/>
        </w:rPr>
        <w:t>ו</w:t>
      </w:r>
      <w:r w:rsidRPr="00B10615">
        <w:rPr>
          <w:rStyle w:val="afb"/>
          <w:rFonts w:hint="cs"/>
          <w:rtl/>
        </w:rPr>
        <w:t>יש לו עדים שדר בה אותו פלוני יום אחד הוי חזקה].</w:t>
      </w:r>
      <w:bookmarkEnd w:id="108"/>
    </w:p>
    <w:p w:rsidR="00E05B68" w:rsidRDefault="00E05B68" w:rsidP="00FE5999">
      <w:pPr>
        <w:pStyle w:val="1"/>
        <w:rPr>
          <w:rFonts w:eastAsiaTheme="minorEastAsia" w:cstheme="minorBidi"/>
          <w:i/>
          <w:iCs/>
          <w:noProof/>
          <w:sz w:val="22"/>
          <w:szCs w:val="22"/>
          <w:rtl/>
        </w:rPr>
      </w:pPr>
      <w:bookmarkStart w:id="109" w:name="_Toc54133854"/>
      <w:bookmarkStart w:id="110" w:name="_Toc54000487"/>
      <w:bookmarkStart w:id="111" w:name="_Toc54038919"/>
      <w:bookmarkStart w:id="112" w:name="_Toc54039013"/>
      <w:bookmarkStart w:id="113" w:name="_Toc54087438"/>
      <w:bookmarkStart w:id="114" w:name="_Toc54109244"/>
      <w:bookmarkStart w:id="115" w:name="_Toc54125643"/>
      <w:bookmarkEnd w:id="81"/>
      <w:bookmarkEnd w:id="82"/>
      <w:bookmarkEnd w:id="83"/>
      <w:bookmarkEnd w:id="84"/>
      <w:bookmarkEnd w:id="85"/>
      <w:r>
        <w:rPr>
          <w:noProof/>
          <w:rtl/>
        </w:rPr>
        <w:t>ביאור חי' הרי"ם ברשב"א</w:t>
      </w:r>
      <w:r>
        <w:rPr>
          <w:rFonts w:hint="cs"/>
          <w:noProof/>
          <w:rtl/>
        </w:rPr>
        <w:t xml:space="preserve"> ד</w:t>
      </w:r>
      <w:r w:rsidR="00FE5999">
        <w:rPr>
          <w:rFonts w:hint="cs"/>
          <w:noProof/>
          <w:rtl/>
        </w:rPr>
        <w:t>ב</w:t>
      </w:r>
      <w:r>
        <w:rPr>
          <w:rFonts w:hint="cs"/>
          <w:noProof/>
          <w:rtl/>
        </w:rPr>
        <w:t>שניהם מודים המר"ק מוחזק בודאי</w:t>
      </w:r>
      <w:bookmarkEnd w:id="109"/>
    </w:p>
    <w:p w:rsidR="00FF386B" w:rsidRDefault="00FF386B" w:rsidP="00FF386B">
      <w:pPr>
        <w:pStyle w:val="a3"/>
        <w:rPr>
          <w:rtl/>
        </w:rPr>
      </w:pPr>
      <w:bookmarkStart w:id="116" w:name="_Toc54133855"/>
      <w:r>
        <w:rPr>
          <w:rFonts w:hint="cs"/>
          <w:rtl/>
        </w:rPr>
        <w:t>קושית חי' הרי"ם היאך מהני חזקת יום אחד להוציא מהמוחזק הרי יש להם אותה ראיה</w:t>
      </w:r>
      <w:bookmarkEnd w:id="110"/>
      <w:bookmarkEnd w:id="111"/>
      <w:bookmarkEnd w:id="112"/>
      <w:bookmarkEnd w:id="113"/>
      <w:bookmarkEnd w:id="114"/>
      <w:bookmarkEnd w:id="115"/>
      <w:bookmarkEnd w:id="116"/>
    </w:p>
    <w:p w:rsidR="00FF386B" w:rsidRDefault="00FF386B" w:rsidP="007E4E81">
      <w:pPr>
        <w:pStyle w:val="a0"/>
        <w:rPr>
          <w:rtl/>
        </w:rPr>
      </w:pPr>
      <w:r>
        <w:rPr>
          <w:rFonts w:hint="cs"/>
          <w:rtl/>
        </w:rPr>
        <w:t xml:space="preserve">במ"ש </w:t>
      </w:r>
      <w:r w:rsidRPr="006177F0">
        <w:rPr>
          <w:rStyle w:val="af9"/>
          <w:rFonts w:hint="cs"/>
          <w:rtl/>
        </w:rPr>
        <w:t>הרשב"א והנימוק"י</w:t>
      </w:r>
      <w:r>
        <w:rPr>
          <w:rFonts w:hint="cs"/>
          <w:rtl/>
        </w:rPr>
        <w:t xml:space="preserve"> </w:t>
      </w:r>
      <w:r w:rsidRPr="00826BFD">
        <w:rPr>
          <w:rStyle w:val="af7"/>
          <w:rFonts w:eastAsia="Guttman Hodes" w:hint="cs"/>
          <w:rtl/>
        </w:rPr>
        <w:t xml:space="preserve">(עי' אות </w:t>
      </w:r>
      <w:r w:rsidRPr="00826BFD">
        <w:rPr>
          <w:rStyle w:val="af7"/>
          <w:rFonts w:eastAsia="Guttman Hodes"/>
          <w:rtl/>
        </w:rPr>
        <w:fldChar w:fldCharType="begin"/>
      </w:r>
      <w:r w:rsidRPr="00826BFD">
        <w:rPr>
          <w:rStyle w:val="af7"/>
          <w:rFonts w:eastAsia="Guttman Hodes"/>
          <w:rtl/>
        </w:rPr>
        <w:instrText xml:space="preserve"> </w:instrText>
      </w:r>
      <w:r w:rsidRPr="00826BFD">
        <w:rPr>
          <w:rStyle w:val="af7"/>
          <w:rFonts w:eastAsia="Guttman Hodes" w:hint="cs"/>
        </w:rPr>
        <w:instrText>REF</w:instrText>
      </w:r>
      <w:r w:rsidRPr="00826BFD">
        <w:rPr>
          <w:rStyle w:val="af7"/>
          <w:rFonts w:eastAsia="Guttman Hodes" w:hint="cs"/>
          <w:rtl/>
        </w:rPr>
        <w:instrText xml:space="preserve"> _</w:instrText>
      </w:r>
      <w:r w:rsidRPr="00826BFD">
        <w:rPr>
          <w:rStyle w:val="af7"/>
          <w:rFonts w:eastAsia="Guttman Hodes" w:hint="cs"/>
        </w:rPr>
        <w:instrText>Ref53999256 \r \h</w:instrText>
      </w:r>
      <w:r w:rsidRPr="00826BFD">
        <w:rPr>
          <w:rStyle w:val="af7"/>
          <w:rFonts w:eastAsia="Guttman Hodes"/>
          <w:rtl/>
        </w:rPr>
        <w:instrText xml:space="preserve"> </w:instrText>
      </w:r>
      <w:r w:rsidRPr="00826BFD">
        <w:rPr>
          <w:rStyle w:val="af7"/>
          <w:rFonts w:eastAsia="Guttman Hodes"/>
          <w:rtl/>
        </w:rPr>
      </w:r>
      <w:r w:rsidRPr="00826BFD">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826BFD">
        <w:rPr>
          <w:rStyle w:val="af7"/>
          <w:rFonts w:eastAsia="Guttman Hodes"/>
          <w:rtl/>
        </w:rPr>
        <w:fldChar w:fldCharType="end"/>
      </w:r>
      <w:r>
        <w:rPr>
          <w:rFonts w:hint="cs"/>
          <w:rtl/>
        </w:rPr>
        <w:t xml:space="preserve"> דהמערער א"צ חזקת ג"ש, הקשה </w:t>
      </w:r>
      <w:r w:rsidRPr="006177F0">
        <w:rPr>
          <w:rStyle w:val="af9"/>
          <w:rFonts w:hint="cs"/>
          <w:rtl/>
        </w:rPr>
        <w:t>החי' הרי"ם</w:t>
      </w:r>
      <w:r>
        <w:rPr>
          <w:rFonts w:hint="cs"/>
          <w:rtl/>
        </w:rPr>
        <w:t xml:space="preserve"> </w:t>
      </w:r>
      <w:r w:rsidRPr="00826BFD">
        <w:rPr>
          <w:rStyle w:val="af7"/>
          <w:rFonts w:eastAsia="Guttman Hodes" w:hint="cs"/>
          <w:rtl/>
        </w:rPr>
        <w:t>(חו"מ סי' ק"מ או' ב')</w:t>
      </w:r>
      <w:r>
        <w:rPr>
          <w:rFonts w:hint="cs"/>
          <w:rtl/>
        </w:rPr>
        <w:t xml:space="preserve"> דהא איתא בכתובות </w:t>
      </w:r>
      <w:r w:rsidRPr="00826BFD">
        <w:rPr>
          <w:rStyle w:val="af7"/>
          <w:rFonts w:eastAsia="Guttman Hodes" w:hint="cs"/>
          <w:rtl/>
        </w:rPr>
        <w:t>(כ.)</w:t>
      </w:r>
      <w:r>
        <w:rPr>
          <w:rFonts w:hint="cs"/>
          <w:rtl/>
        </w:rPr>
        <w:t xml:space="preserve"> דבבר שטיא שהיה ספק אם מכר את נכסיו כשהוא פיקח, או כשהוא שוטה, מעמידים בחזקתו רק כיון שיש לו את חזקת אבותיו, ומשמע שאם לא היה לו את חזקת אבותיו, לא היו מוציאים מיד הלוקח, כיון שעכשיו הלוקח הוא המוחזק, וא"כ ה"ה כשאין למחזיק את חזקת אבותיו, ויש לו רק חזקת יום אחד, היאך הוא יכול להוציא מהמחזיק שיש לו חזקה גדולה יותר שהחזיק בה אף ב' שנים, ואותה הראיה שיש למערער יש גם למחזיק.</w:t>
      </w:r>
    </w:p>
    <w:p w:rsidR="00FF386B" w:rsidRDefault="00FF386B" w:rsidP="00FF386B">
      <w:pPr>
        <w:pStyle w:val="a3"/>
        <w:rPr>
          <w:rtl/>
        </w:rPr>
      </w:pPr>
      <w:bookmarkStart w:id="117" w:name="_Toc54000488"/>
      <w:bookmarkStart w:id="118" w:name="_Toc54038920"/>
      <w:bookmarkStart w:id="119" w:name="_Toc54039014"/>
      <w:bookmarkStart w:id="120" w:name="_Toc54087439"/>
      <w:bookmarkStart w:id="121" w:name="_Toc54109245"/>
      <w:bookmarkStart w:id="122" w:name="_Toc54125644"/>
      <w:bookmarkStart w:id="123" w:name="_Toc54133856"/>
      <w:r>
        <w:rPr>
          <w:rFonts w:hint="cs"/>
          <w:rtl/>
        </w:rPr>
        <w:t>תירוץ חי' הרי"ם דכששניהם מודים שהראשון מר"ק הוא מוחזק בודאי והמחזיק מוחזק בספק</w:t>
      </w:r>
      <w:bookmarkEnd w:id="117"/>
      <w:bookmarkEnd w:id="118"/>
      <w:bookmarkEnd w:id="119"/>
      <w:bookmarkEnd w:id="120"/>
      <w:bookmarkEnd w:id="121"/>
      <w:bookmarkEnd w:id="122"/>
      <w:bookmarkEnd w:id="123"/>
    </w:p>
    <w:p w:rsidR="00FF386B" w:rsidRDefault="00FF386B" w:rsidP="007E4E81">
      <w:pPr>
        <w:pStyle w:val="a0"/>
        <w:rPr>
          <w:rtl/>
        </w:rPr>
      </w:pPr>
      <w:r>
        <w:rPr>
          <w:rFonts w:hint="cs"/>
          <w:rtl/>
        </w:rPr>
        <w:t xml:space="preserve">ותירץ </w:t>
      </w:r>
      <w:r w:rsidRPr="006177F0">
        <w:rPr>
          <w:rStyle w:val="af9"/>
          <w:rFonts w:hint="cs"/>
          <w:rtl/>
        </w:rPr>
        <w:t>החי' הרי"ם</w:t>
      </w:r>
      <w:r>
        <w:rPr>
          <w:rFonts w:hint="cs"/>
          <w:rtl/>
        </w:rPr>
        <w:t xml:space="preserve"> דבבר שטיא כל שאין לו את חזקת אבותיו, א"כ כל החזקה שלו אינה בתורת ודאי, אלא היא ספק, ואף שלא היה אדם שערער על חזקתו, משא"כ בחזקת המרא קמא שלא היה בה כל דררא דממונא, ורק מחמת טענותיהם של המחזיק והמרא קמא יש ספק לב"ד, דבקרקע כל שיש מוחזק ואין עליו מערער, הוא נחשב מוחזק בודאי, ואף המחזיק מודה לחזקת המרא קמא דטוען לקוח הוא ביד, ולכן חשיבא חזקת המרא קמא של יום אחד כחזקה שאין עליה טענה, והוא מוחזק בודאי, וחזקת המחזיק היא ספק, ולכן מעמידים בחזקת המרא קמא.</w:t>
      </w:r>
    </w:p>
    <w:p w:rsidR="00510AC6" w:rsidRPr="00510AC6" w:rsidRDefault="00510AC6" w:rsidP="00510AC6">
      <w:pPr>
        <w:pStyle w:val="a3"/>
        <w:rPr>
          <w:rtl/>
        </w:rPr>
      </w:pPr>
    </w:p>
    <w:p w:rsidR="00FF386B" w:rsidRDefault="00FF386B" w:rsidP="00FF386B">
      <w:pPr>
        <w:pStyle w:val="a3"/>
        <w:rPr>
          <w:rtl/>
        </w:rPr>
      </w:pPr>
      <w:bookmarkStart w:id="124" w:name="_Toc54000489"/>
      <w:bookmarkStart w:id="125" w:name="_Toc54038921"/>
      <w:bookmarkStart w:id="126" w:name="_Toc54039015"/>
      <w:bookmarkStart w:id="127" w:name="_Toc54087440"/>
      <w:bookmarkStart w:id="128" w:name="_Toc54109246"/>
      <w:bookmarkStart w:id="129" w:name="_Toc54125645"/>
      <w:bookmarkStart w:id="130" w:name="_Toc54133857"/>
      <w:r>
        <w:rPr>
          <w:rFonts w:hint="cs"/>
          <w:rtl/>
        </w:rPr>
        <w:lastRenderedPageBreak/>
        <w:t>קושית חי' הרי"ם דהמחזיק יהיה נאמן לומר דביום שהביא המר"ק עדים הייתה ברשות המחזיק</w:t>
      </w:r>
      <w:bookmarkEnd w:id="124"/>
      <w:bookmarkEnd w:id="125"/>
      <w:bookmarkEnd w:id="126"/>
      <w:bookmarkEnd w:id="127"/>
      <w:bookmarkEnd w:id="128"/>
      <w:bookmarkEnd w:id="129"/>
      <w:bookmarkEnd w:id="130"/>
    </w:p>
    <w:p w:rsidR="00FF386B" w:rsidRDefault="00FF386B" w:rsidP="007E4E81">
      <w:pPr>
        <w:pStyle w:val="a0"/>
        <w:rPr>
          <w:rtl/>
        </w:rPr>
      </w:pPr>
      <w:r>
        <w:rPr>
          <w:rFonts w:hint="cs"/>
          <w:rtl/>
        </w:rPr>
        <w:t xml:space="preserve">אך הקשה </w:t>
      </w:r>
      <w:r w:rsidRPr="006177F0">
        <w:rPr>
          <w:rStyle w:val="af9"/>
          <w:rFonts w:hint="cs"/>
          <w:rtl/>
        </w:rPr>
        <w:t>החי' הרי"ם</w:t>
      </w:r>
      <w:r>
        <w:rPr>
          <w:rFonts w:hint="cs"/>
          <w:rtl/>
        </w:rPr>
        <w:t xml:space="preserve"> דא"כ באופן שהמחזיק טוען שאף ביום שהמרא קמא החזיק בקרקע היא הייתה שלו, והמרא קמא נכנס לתוכה ללא רשותו, אמאי אינו נאמן, דהא כמו שהמרא קמא יכול לערער על חזקת המחזיק, כך יוכל המחזיק לערער על חזקת המרא קמא, וכתב </w:t>
      </w:r>
      <w:r w:rsidRPr="00B47676">
        <w:rPr>
          <w:rStyle w:val="af9"/>
          <w:rFonts w:hint="cs"/>
          <w:rtl/>
        </w:rPr>
        <w:t>החי' הרי"ם</w:t>
      </w:r>
      <w:r>
        <w:rPr>
          <w:rFonts w:hint="cs"/>
          <w:rtl/>
        </w:rPr>
        <w:t xml:space="preserve"> דמהא דהמחזיק אינו נאמן בטענת לקוח הוא בידי, במיגו דהיה מערער על חזקת שהמרא קמא, מוכח דהמחזיק אינו יכול לערער על חזקת המרא קמא.</w:t>
      </w:r>
    </w:p>
    <w:p w:rsidR="00FF386B" w:rsidRDefault="00FF386B" w:rsidP="00FF386B">
      <w:pPr>
        <w:pStyle w:val="a3"/>
        <w:rPr>
          <w:rtl/>
        </w:rPr>
      </w:pPr>
      <w:bookmarkStart w:id="131" w:name="_Toc54000490"/>
      <w:bookmarkStart w:id="132" w:name="_Toc54038922"/>
      <w:bookmarkStart w:id="133" w:name="_Toc54039016"/>
      <w:bookmarkStart w:id="134" w:name="_Toc54087441"/>
      <w:bookmarkStart w:id="135" w:name="_Toc54109247"/>
      <w:bookmarkStart w:id="136" w:name="_Toc54125646"/>
      <w:bookmarkStart w:id="137" w:name="_Toc54133858"/>
      <w:r>
        <w:rPr>
          <w:rFonts w:hint="cs"/>
          <w:rtl/>
        </w:rPr>
        <w:t>דברי חי' הרי"ם דכשכ"א מערער על חזקת השני מעמידים בחזקת המר"ק שהוא המוחזק</w:t>
      </w:r>
      <w:bookmarkEnd w:id="131"/>
      <w:bookmarkEnd w:id="132"/>
      <w:bookmarkEnd w:id="133"/>
      <w:bookmarkEnd w:id="134"/>
      <w:bookmarkEnd w:id="135"/>
      <w:bookmarkEnd w:id="136"/>
      <w:bookmarkEnd w:id="137"/>
    </w:p>
    <w:p w:rsidR="00FF386B" w:rsidRPr="00274B03" w:rsidRDefault="00FF386B" w:rsidP="007E4E81">
      <w:pPr>
        <w:pStyle w:val="a0"/>
        <w:rPr>
          <w:rtl/>
        </w:rPr>
      </w:pPr>
      <w:r>
        <w:rPr>
          <w:rFonts w:hint="cs"/>
          <w:rtl/>
        </w:rPr>
        <w:t xml:space="preserve">ותירץ </w:t>
      </w:r>
      <w:r w:rsidRPr="006177F0">
        <w:rPr>
          <w:rStyle w:val="af9"/>
          <w:rFonts w:hint="cs"/>
          <w:rtl/>
        </w:rPr>
        <w:t>החי' הרי"ם</w:t>
      </w:r>
      <w:r>
        <w:rPr>
          <w:rFonts w:hint="cs"/>
          <w:rtl/>
        </w:rPr>
        <w:t xml:space="preserve"> דאף שהמחזיק יכול לערער על חזקת המרא קמא מ"מ כיון שגם שהמרא קמא מערער על חזקת המחזיק, לכן מעמידים בחזקת המרא קמא, וכיון שהוא המוחזק אין המחזיק יכול להוציא ממנו בלא ראיה, עיי"ש בדבריו.</w:t>
      </w:r>
    </w:p>
    <w:p w:rsidR="00FF386B" w:rsidRPr="00AF3BC8" w:rsidRDefault="00FF386B" w:rsidP="00FF386B">
      <w:pPr>
        <w:pStyle w:val="1"/>
        <w:rPr>
          <w:rtl/>
        </w:rPr>
      </w:pPr>
      <w:bookmarkStart w:id="138" w:name="_Toc52907754"/>
      <w:bookmarkStart w:id="139" w:name="_Toc53402181"/>
      <w:bookmarkStart w:id="140" w:name="_Toc53941209"/>
      <w:bookmarkStart w:id="141" w:name="_Toc54000494"/>
      <w:bookmarkStart w:id="142" w:name="_Toc54038926"/>
      <w:bookmarkStart w:id="143" w:name="_Toc54039020"/>
      <w:bookmarkStart w:id="144" w:name="_Toc54087445"/>
      <w:bookmarkStart w:id="145" w:name="_Toc54109248"/>
      <w:bookmarkStart w:id="146" w:name="_Toc54125647"/>
      <w:bookmarkStart w:id="147" w:name="_Toc54133859"/>
      <w:r>
        <w:rPr>
          <w:rFonts w:hint="cs"/>
          <w:rtl/>
        </w:rPr>
        <w:t>דברי הראשונים</w:t>
      </w:r>
      <w:bookmarkEnd w:id="138"/>
      <w:bookmarkEnd w:id="139"/>
      <w:r>
        <w:rPr>
          <w:rFonts w:hint="cs"/>
          <w:rtl/>
        </w:rPr>
        <w:t xml:space="preserve"> דאם אין למר"ק עדים המחזיק נאמן במיגו</w:t>
      </w:r>
      <w:bookmarkEnd w:id="140"/>
      <w:bookmarkEnd w:id="141"/>
      <w:bookmarkEnd w:id="142"/>
      <w:bookmarkEnd w:id="143"/>
      <w:bookmarkEnd w:id="144"/>
      <w:bookmarkEnd w:id="145"/>
      <w:bookmarkEnd w:id="146"/>
      <w:bookmarkEnd w:id="147"/>
    </w:p>
    <w:p w:rsidR="00FF386B" w:rsidRPr="00CD20F1" w:rsidRDefault="00C61BD0" w:rsidP="00FF386B">
      <w:pPr>
        <w:pStyle w:val="a3"/>
        <w:rPr>
          <w:rtl/>
        </w:rPr>
      </w:pPr>
      <w:bookmarkStart w:id="148" w:name="_Toc54038927"/>
      <w:bookmarkStart w:id="149" w:name="_Toc54039021"/>
      <w:bookmarkStart w:id="150" w:name="_Toc54087446"/>
      <w:bookmarkStart w:id="151" w:name="_Toc54109249"/>
      <w:bookmarkStart w:id="152" w:name="_Toc54125648"/>
      <w:bookmarkStart w:id="153" w:name="_Toc54133860"/>
      <w:r>
        <w:rPr>
          <w:rFonts w:hint="cs"/>
          <w:rtl/>
        </w:rPr>
        <w:t>דברי הרי"ף ורבינו יונה והרא"ש דכשאין למערער ראיה נאמן המחזיק במיגו</w:t>
      </w:r>
      <w:r w:rsidR="00C81740">
        <w:rPr>
          <w:rFonts w:hint="cs"/>
          <w:rtl/>
        </w:rPr>
        <w:t xml:space="preserve"> דאינו המר"ק</w:t>
      </w:r>
      <w:bookmarkEnd w:id="148"/>
      <w:bookmarkEnd w:id="149"/>
      <w:bookmarkEnd w:id="150"/>
      <w:bookmarkEnd w:id="151"/>
      <w:bookmarkEnd w:id="152"/>
      <w:bookmarkEnd w:id="153"/>
    </w:p>
    <w:p w:rsidR="00FF386B" w:rsidRDefault="00FF386B" w:rsidP="007E4E81">
      <w:pPr>
        <w:pStyle w:val="a0"/>
        <w:rPr>
          <w:rtl/>
        </w:rPr>
      </w:pPr>
      <w:r>
        <w:rPr>
          <w:rFonts w:hint="cs"/>
          <w:rtl/>
        </w:rPr>
        <w:t xml:space="preserve">כתבו </w:t>
      </w:r>
      <w:r w:rsidRPr="006177F0">
        <w:rPr>
          <w:rStyle w:val="af9"/>
          <w:rFonts w:hint="cs"/>
          <w:rtl/>
        </w:rPr>
        <w:t>הרי"ף</w:t>
      </w:r>
      <w:r>
        <w:rPr>
          <w:rFonts w:hint="cs"/>
          <w:rtl/>
        </w:rPr>
        <w:t xml:space="preserve"> </w:t>
      </w:r>
      <w:r w:rsidRPr="00BC2427">
        <w:rPr>
          <w:rStyle w:val="af7"/>
          <w:rFonts w:eastAsia="Guttman Hodes" w:hint="cs"/>
          <w:rtl/>
        </w:rPr>
        <w:t xml:space="preserve">(טו. מדה"ר) </w:t>
      </w:r>
      <w:r w:rsidRPr="006177F0">
        <w:rPr>
          <w:rStyle w:val="af9"/>
          <w:rFonts w:hint="cs"/>
          <w:rtl/>
        </w:rPr>
        <w:t>ורבינו יונה</w:t>
      </w:r>
      <w:r w:rsidRPr="00BC2427">
        <w:rPr>
          <w:rStyle w:val="af7"/>
          <w:rFonts w:eastAsia="Guttman Hodes" w:hint="cs"/>
          <w:rtl/>
        </w:rPr>
        <w:t xml:space="preserve"> (ד"ה חזקת) </w:t>
      </w:r>
      <w:r w:rsidRPr="006177F0">
        <w:rPr>
          <w:rStyle w:val="af9"/>
          <w:rFonts w:hint="cs"/>
          <w:rtl/>
        </w:rPr>
        <w:t>והרא"ש</w:t>
      </w:r>
      <w:r>
        <w:rPr>
          <w:rFonts w:hint="cs"/>
          <w:rtl/>
        </w:rPr>
        <w:t xml:space="preserve"> </w:t>
      </w:r>
      <w:r w:rsidRPr="00BC2427">
        <w:rPr>
          <w:rStyle w:val="af7"/>
          <w:rFonts w:eastAsia="Guttman Hodes" w:hint="cs"/>
          <w:rtl/>
        </w:rPr>
        <w:t xml:space="preserve">(סי' ב') </w:t>
      </w:r>
      <w:r w:rsidR="00C81740">
        <w:rPr>
          <w:rStyle w:val="af9"/>
          <w:rFonts w:hint="cs"/>
          <w:rtl/>
        </w:rPr>
        <w:t>ו</w:t>
      </w:r>
      <w:r w:rsidR="00C81740" w:rsidRPr="00A54A1F">
        <w:rPr>
          <w:rStyle w:val="af9"/>
          <w:rFonts w:hint="cs"/>
          <w:rtl/>
        </w:rPr>
        <w:t>הריטב"א</w:t>
      </w:r>
      <w:r w:rsidR="00C81740">
        <w:rPr>
          <w:rFonts w:hint="cs"/>
          <w:rtl/>
        </w:rPr>
        <w:t xml:space="preserve"> </w:t>
      </w:r>
      <w:r w:rsidR="00C81740" w:rsidRPr="00BC2427">
        <w:rPr>
          <w:rStyle w:val="af7"/>
          <w:rFonts w:eastAsia="Guttman Hodes" w:hint="cs"/>
          <w:rtl/>
        </w:rPr>
        <w:t xml:space="preserve">(ד"ה ולעולם) </w:t>
      </w:r>
      <w:r w:rsidRPr="006177F0">
        <w:rPr>
          <w:rStyle w:val="af9"/>
          <w:rFonts w:hint="cs"/>
          <w:rtl/>
        </w:rPr>
        <w:t>והנימוק"י</w:t>
      </w:r>
      <w:r>
        <w:rPr>
          <w:rFonts w:hint="cs"/>
          <w:rtl/>
        </w:rPr>
        <w:t xml:space="preserve"> </w:t>
      </w:r>
      <w:r w:rsidRPr="00BC2427">
        <w:rPr>
          <w:rStyle w:val="af7"/>
          <w:rFonts w:eastAsia="Guttman Hodes" w:hint="cs"/>
          <w:rtl/>
        </w:rPr>
        <w:t xml:space="preserve">(יד. מדה"ר ד"ה חזקת) </w:t>
      </w:r>
      <w:r>
        <w:rPr>
          <w:rFonts w:hint="cs"/>
          <w:rtl/>
        </w:rPr>
        <w:t>דאם אין למערער ראיה שהייתה שלו או שדר בה יום אחד, אין המחזיק צריך להביא עדים שהחזיק בה ג"ש, אף שהמחזיק מודה שלקחה מהמערער, ולא החזיק בה ג"ש הוא נאמן,</w:t>
      </w:r>
      <w:r w:rsidR="003D585C">
        <w:rPr>
          <w:rFonts w:hint="cs"/>
          <w:rtl/>
        </w:rPr>
        <w:t xml:space="preserve"> במיגו</w:t>
      </w:r>
      <w:r w:rsidR="00A77F33">
        <w:rPr>
          <w:rFonts w:hint="cs"/>
          <w:rtl/>
        </w:rPr>
        <w:t xml:space="preserve"> </w:t>
      </w:r>
      <w:r w:rsidR="00D22670">
        <w:rPr>
          <w:rFonts w:hint="cs"/>
          <w:rtl/>
        </w:rPr>
        <w:t xml:space="preserve">דלא היה מודה שהייתה של המערער, </w:t>
      </w:r>
      <w:r>
        <w:rPr>
          <w:rFonts w:hint="cs"/>
          <w:rtl/>
        </w:rPr>
        <w:t xml:space="preserve">וכדאיתא בכתובות </w:t>
      </w:r>
      <w:r w:rsidRPr="00BC2427">
        <w:rPr>
          <w:rStyle w:val="af7"/>
          <w:rFonts w:eastAsia="Guttman Hodes" w:hint="cs"/>
          <w:rtl/>
        </w:rPr>
        <w:t xml:space="preserve">(טז.) </w:t>
      </w:r>
      <w:r>
        <w:rPr>
          <w:rFonts w:hint="cs"/>
          <w:rtl/>
        </w:rPr>
        <w:t>דהאומר שדה זו של אביך הייתה ולקחתיה ממנו נאמן, דהפה שאסר הוא הפה שהתיר.</w:t>
      </w:r>
      <w:r w:rsidR="00C81740">
        <w:rPr>
          <w:rFonts w:hint="cs"/>
          <w:rtl/>
        </w:rPr>
        <w:t xml:space="preserve"> </w:t>
      </w:r>
      <w:r w:rsidR="00C81740" w:rsidRPr="00BD61C0">
        <w:rPr>
          <w:rStyle w:val="afb"/>
          <w:rFonts w:hint="cs"/>
          <w:rtl/>
        </w:rPr>
        <w:t>[</w:t>
      </w:r>
      <w:r w:rsidR="00C81740" w:rsidRPr="001C39BB">
        <w:rPr>
          <w:rStyle w:val="afb"/>
          <w:rFonts w:hint="cs"/>
          <w:rtl/>
        </w:rPr>
        <w:t xml:space="preserve">ועי' </w:t>
      </w:r>
      <w:r w:rsidR="001C39BB" w:rsidRPr="001C39BB">
        <w:rPr>
          <w:rStyle w:val="afb"/>
          <w:rFonts w:hint="cs"/>
          <w:rtl/>
        </w:rPr>
        <w:t>בדברי</w:t>
      </w:r>
      <w:r w:rsidR="00C81740" w:rsidRPr="001C39BB">
        <w:rPr>
          <w:rStyle w:val="afb"/>
          <w:rFonts w:hint="cs"/>
          <w:rtl/>
        </w:rPr>
        <w:t xml:space="preserve"> </w:t>
      </w:r>
      <w:r w:rsidR="00C81740" w:rsidRPr="001C39BB">
        <w:rPr>
          <w:rStyle w:val="affa"/>
          <w:rFonts w:hint="cs"/>
          <w:rtl/>
        </w:rPr>
        <w:t>הברכ"ש</w:t>
      </w:r>
      <w:r w:rsidR="00C81740" w:rsidRPr="001C39BB">
        <w:rPr>
          <w:rStyle w:val="afb"/>
          <w:rFonts w:hint="cs"/>
          <w:rtl/>
        </w:rPr>
        <w:t xml:space="preserve"> </w:t>
      </w:r>
      <w:r w:rsidR="001C39BB">
        <w:rPr>
          <w:rStyle w:val="aff6"/>
          <w:rFonts w:hint="cs"/>
          <w:rtl/>
        </w:rPr>
        <w:t>(</w:t>
      </w:r>
      <w:r w:rsidR="001C39BB" w:rsidRPr="001C39BB">
        <w:rPr>
          <w:rStyle w:val="aff6"/>
          <w:rFonts w:hint="cs"/>
          <w:rtl/>
        </w:rPr>
        <w:t xml:space="preserve">עי' אות </w:t>
      </w:r>
      <w:r w:rsidR="001C39BB" w:rsidRPr="001C39BB">
        <w:rPr>
          <w:rStyle w:val="aff6"/>
          <w:rtl/>
        </w:rPr>
        <w:fldChar w:fldCharType="begin"/>
      </w:r>
      <w:r w:rsidR="001C39BB" w:rsidRPr="001C39BB">
        <w:rPr>
          <w:rStyle w:val="aff6"/>
          <w:rtl/>
        </w:rPr>
        <w:instrText xml:space="preserve"> </w:instrText>
      </w:r>
      <w:r w:rsidR="001C39BB" w:rsidRPr="001C39BB">
        <w:rPr>
          <w:rStyle w:val="aff6"/>
          <w:rFonts w:hint="cs"/>
        </w:rPr>
        <w:instrText>REF</w:instrText>
      </w:r>
      <w:r w:rsidR="001C39BB" w:rsidRPr="001C39BB">
        <w:rPr>
          <w:rStyle w:val="aff6"/>
          <w:rFonts w:hint="cs"/>
          <w:rtl/>
        </w:rPr>
        <w:instrText xml:space="preserve"> _</w:instrText>
      </w:r>
      <w:r w:rsidR="001C39BB" w:rsidRPr="001C39BB">
        <w:rPr>
          <w:rStyle w:val="aff6"/>
          <w:rFonts w:hint="cs"/>
        </w:rPr>
        <w:instrText>Ref54134520 \r \h</w:instrText>
      </w:r>
      <w:r w:rsidR="001C39BB" w:rsidRPr="001C39BB">
        <w:rPr>
          <w:rStyle w:val="aff6"/>
          <w:rtl/>
        </w:rPr>
        <w:instrText xml:space="preserve"> </w:instrText>
      </w:r>
      <w:r w:rsidR="001C39BB" w:rsidRPr="001C39BB">
        <w:rPr>
          <w:rStyle w:val="aff6"/>
          <w:rtl/>
        </w:rPr>
      </w:r>
      <w:r w:rsidR="001C39BB" w:rsidRPr="001C39BB">
        <w:rPr>
          <w:rStyle w:val="aff6"/>
          <w:rtl/>
        </w:rPr>
        <w:fldChar w:fldCharType="separate"/>
      </w:r>
      <w:r w:rsidR="00265073">
        <w:rPr>
          <w:rStyle w:val="aff6"/>
          <w:cs/>
        </w:rPr>
        <w:t>‎</w:t>
      </w:r>
      <w:r w:rsidR="00265073">
        <w:rPr>
          <w:rStyle w:val="aff6"/>
          <w:rtl/>
        </w:rPr>
        <w:t>עג)</w:t>
      </w:r>
      <w:r w:rsidR="001C39BB" w:rsidRPr="001C39BB">
        <w:rPr>
          <w:rStyle w:val="aff6"/>
          <w:rtl/>
        </w:rPr>
        <w:fldChar w:fldCharType="end"/>
      </w:r>
      <w:r w:rsidR="00C81740" w:rsidRPr="00C81740">
        <w:rPr>
          <w:rStyle w:val="afb"/>
          <w:rFonts w:hint="cs"/>
          <w:rtl/>
        </w:rPr>
        <w:t>].</w:t>
      </w:r>
    </w:p>
    <w:p w:rsidR="00FF386B" w:rsidRDefault="00FF386B" w:rsidP="00FF386B">
      <w:pPr>
        <w:pStyle w:val="1"/>
        <w:rPr>
          <w:rtl/>
        </w:rPr>
      </w:pPr>
      <w:bookmarkStart w:id="154" w:name="_Toc52907757"/>
      <w:bookmarkStart w:id="155" w:name="_Toc53402184"/>
      <w:bookmarkStart w:id="156" w:name="_Toc53941210"/>
      <w:bookmarkStart w:id="157" w:name="_Toc54000495"/>
      <w:bookmarkStart w:id="158" w:name="_Toc54038928"/>
      <w:bookmarkStart w:id="159" w:name="_Toc54039022"/>
      <w:bookmarkStart w:id="160" w:name="_Toc54087447"/>
      <w:bookmarkStart w:id="161" w:name="_Toc54109250"/>
      <w:bookmarkStart w:id="162" w:name="_Toc54125649"/>
      <w:bookmarkStart w:id="163" w:name="_Toc54133861"/>
      <w:r>
        <w:rPr>
          <w:rFonts w:hint="cs"/>
          <w:rtl/>
        </w:rPr>
        <w:t>דברי הריטב"א דחזקת ראיה לא דמי כלל לחזקת קנין</w:t>
      </w:r>
      <w:bookmarkEnd w:id="154"/>
      <w:bookmarkEnd w:id="155"/>
      <w:bookmarkEnd w:id="156"/>
      <w:bookmarkEnd w:id="157"/>
      <w:bookmarkEnd w:id="158"/>
      <w:bookmarkEnd w:id="159"/>
      <w:bookmarkEnd w:id="160"/>
      <w:bookmarkEnd w:id="161"/>
      <w:bookmarkEnd w:id="162"/>
      <w:bookmarkEnd w:id="163"/>
    </w:p>
    <w:p w:rsidR="00FF386B" w:rsidRDefault="00FE4AC8" w:rsidP="00FF386B">
      <w:pPr>
        <w:pStyle w:val="a3"/>
        <w:rPr>
          <w:rtl/>
        </w:rPr>
      </w:pPr>
      <w:bookmarkStart w:id="164" w:name="_Toc54038929"/>
      <w:bookmarkStart w:id="165" w:name="_Toc54039023"/>
      <w:bookmarkStart w:id="166" w:name="_Toc54087448"/>
      <w:bookmarkStart w:id="167" w:name="_Toc54109251"/>
      <w:bookmarkStart w:id="168" w:name="_Toc54125650"/>
      <w:bookmarkStart w:id="169" w:name="_Toc54133862"/>
      <w:r>
        <w:rPr>
          <w:rFonts w:hint="cs"/>
          <w:rtl/>
        </w:rPr>
        <w:t>דברי הריטב"א דחזקת ג"ש היא ראיה מאכילת פירות ואינה תיקון בקרקע כחזקת קנין</w:t>
      </w:r>
      <w:bookmarkEnd w:id="164"/>
      <w:bookmarkEnd w:id="165"/>
      <w:bookmarkEnd w:id="166"/>
      <w:bookmarkEnd w:id="167"/>
      <w:bookmarkEnd w:id="168"/>
      <w:bookmarkEnd w:id="169"/>
    </w:p>
    <w:p w:rsidR="00FF386B" w:rsidRDefault="00FF386B" w:rsidP="007E4E81">
      <w:pPr>
        <w:pStyle w:val="afa"/>
      </w:pPr>
      <w:r w:rsidRPr="007C7B28">
        <w:rPr>
          <w:rStyle w:val="a8"/>
          <w:rFonts w:hint="cs"/>
          <w:rtl/>
        </w:rPr>
        <w:t xml:space="preserve">כתב </w:t>
      </w:r>
      <w:r w:rsidRPr="00E4673F">
        <w:rPr>
          <w:rStyle w:val="af9"/>
          <w:rFonts w:hint="cs"/>
          <w:rtl/>
        </w:rPr>
        <w:t>הריטב"א</w:t>
      </w:r>
      <w:r w:rsidRPr="007C7B28">
        <w:rPr>
          <w:rStyle w:val="a8"/>
          <w:rFonts w:hint="cs"/>
          <w:rtl/>
        </w:rPr>
        <w:t xml:space="preserve"> </w:t>
      </w:r>
      <w:r w:rsidRPr="00BC2427">
        <w:rPr>
          <w:rStyle w:val="af7"/>
          <w:rFonts w:eastAsia="Guttman Hodes" w:hint="cs"/>
          <w:rtl/>
        </w:rPr>
        <w:t xml:space="preserve">(ד"ה חזקת) </w:t>
      </w:r>
      <w:r w:rsidRPr="007C7B28">
        <w:rPr>
          <w:rStyle w:val="a8"/>
          <w:rFonts w:hint="cs"/>
          <w:rtl/>
        </w:rPr>
        <w:t xml:space="preserve">דכל החזקות שהוזכרו במתני' היינו חזקה שהיא ראיה, במקום שצריך שטר ועדים, </w:t>
      </w:r>
      <w:r w:rsidRPr="00551086">
        <w:rPr>
          <w:rFonts w:hint="cs"/>
          <w:rtl/>
        </w:rPr>
        <w:t xml:space="preserve">[והחזקה מהני במקום השטר והעדים], </w:t>
      </w:r>
      <w:r w:rsidRPr="007C7B28">
        <w:rPr>
          <w:rStyle w:val="a8"/>
          <w:rFonts w:hint="cs"/>
          <w:rtl/>
        </w:rPr>
        <w:t xml:space="preserve">וחזקת ראיה היא רק אכילת פירות בשופי, כדרך אכילת הבעלים, ולא דמי לחזקת קנין בקרקע דנקנית בחזקה, דהא חזקת קנין היא תיקון בגוף הקרקע, וכדתנן לקמן </w:t>
      </w:r>
      <w:r w:rsidRPr="00551086">
        <w:rPr>
          <w:rStyle w:val="af7"/>
          <w:rFonts w:eastAsia="Guttman Hodes" w:hint="cs"/>
          <w:rtl/>
        </w:rPr>
        <w:t xml:space="preserve">(מב.) </w:t>
      </w:r>
      <w:r w:rsidRPr="007C7B28">
        <w:rPr>
          <w:rStyle w:val="a8"/>
          <w:rFonts w:hint="cs"/>
          <w:rtl/>
        </w:rPr>
        <w:t xml:space="preserve">דנעל גדר ופרץ ה"ז חזקה, אבל חזקת ראיה היא להיפך מחזקת קנין, דבחזקת ראיה לא מהני בה תיקון בגוף הקרקע, וכדאיתא בגמ' לקמן </w:t>
      </w:r>
      <w:r w:rsidRPr="00551086">
        <w:rPr>
          <w:rStyle w:val="af7"/>
          <w:rFonts w:eastAsia="Guttman Hodes" w:hint="cs"/>
          <w:rtl/>
        </w:rPr>
        <w:t>(לו:)</w:t>
      </w:r>
      <w:r w:rsidRPr="007C7B28">
        <w:rPr>
          <w:rStyle w:val="a8"/>
          <w:rFonts w:hint="cs"/>
          <w:rtl/>
        </w:rPr>
        <w:t>, אבל אכילת פירות דהיא חזקת ראיה, לא מהני בחזקת קנין כלל.</w:t>
      </w:r>
      <w:r>
        <w:rPr>
          <w:rFonts w:hint="cs"/>
          <w:rtl/>
        </w:rPr>
        <w:t xml:space="preserve"> </w:t>
      </w:r>
      <w:r w:rsidRPr="00EA2419">
        <w:rPr>
          <w:rStyle w:val="afb"/>
          <w:rFonts w:hint="cs"/>
          <w:rtl/>
        </w:rPr>
        <w:t xml:space="preserve">[וכדעת </w:t>
      </w:r>
      <w:r w:rsidRPr="00551086">
        <w:rPr>
          <w:rStyle w:val="affa"/>
          <w:rFonts w:hint="cs"/>
          <w:rtl/>
        </w:rPr>
        <w:t>הריטב"א לקמן</w:t>
      </w:r>
      <w:r w:rsidRPr="00EA2419">
        <w:rPr>
          <w:rStyle w:val="afb"/>
          <w:rFonts w:hint="cs"/>
          <w:rtl/>
        </w:rPr>
        <w:t xml:space="preserve"> </w:t>
      </w:r>
      <w:r w:rsidRPr="00551086">
        <w:rPr>
          <w:rStyle w:val="aff6"/>
          <w:rFonts w:hint="cs"/>
          <w:rtl/>
        </w:rPr>
        <w:t>(נז. ד"ה והרי)</w:t>
      </w:r>
      <w:r w:rsidRPr="00EA2419">
        <w:rPr>
          <w:rStyle w:val="afb"/>
          <w:rFonts w:hint="cs"/>
          <w:rtl/>
        </w:rPr>
        <w:t xml:space="preserve"> </w:t>
      </w:r>
      <w:r w:rsidRPr="00551086">
        <w:rPr>
          <w:rStyle w:val="affa"/>
          <w:rFonts w:hint="cs"/>
          <w:rtl/>
        </w:rPr>
        <w:t xml:space="preserve">והראב"ד </w:t>
      </w:r>
      <w:r w:rsidRPr="00551086">
        <w:rPr>
          <w:rStyle w:val="aff6"/>
          <w:rFonts w:hint="cs"/>
          <w:rtl/>
        </w:rPr>
        <w:t>(מכירה פ"א הט"ו)</w:t>
      </w:r>
      <w:r w:rsidRPr="00EA2419">
        <w:rPr>
          <w:rStyle w:val="afb"/>
          <w:rFonts w:hint="cs"/>
          <w:rtl/>
        </w:rPr>
        <w:t xml:space="preserve"> ודלא </w:t>
      </w:r>
      <w:r w:rsidRPr="00551086">
        <w:rPr>
          <w:rStyle w:val="affa"/>
          <w:rFonts w:hint="cs"/>
          <w:rtl/>
        </w:rPr>
        <w:t>כהרמב"ם</w:t>
      </w:r>
      <w:r w:rsidRPr="00EA2419">
        <w:rPr>
          <w:rStyle w:val="afb"/>
          <w:rFonts w:hint="cs"/>
          <w:rtl/>
        </w:rPr>
        <w:t xml:space="preserve"> </w:t>
      </w:r>
      <w:r w:rsidRPr="00551086">
        <w:rPr>
          <w:rStyle w:val="aff6"/>
          <w:rFonts w:hint="cs"/>
          <w:rtl/>
        </w:rPr>
        <w:t>(מכירה פ"א הט"ו)</w:t>
      </w:r>
      <w:r w:rsidRPr="00EA2419">
        <w:rPr>
          <w:rStyle w:val="afb"/>
          <w:rFonts w:hint="cs"/>
          <w:rtl/>
        </w:rPr>
        <w:t xml:space="preserve"> דס"ל דמהני אכילת פירות </w:t>
      </w:r>
      <w:r>
        <w:rPr>
          <w:rStyle w:val="afb"/>
          <w:rFonts w:hint="cs"/>
          <w:rtl/>
        </w:rPr>
        <w:t xml:space="preserve">בחזקת </w:t>
      </w:r>
      <w:r w:rsidRPr="00EA2419">
        <w:rPr>
          <w:rStyle w:val="afb"/>
          <w:rFonts w:hint="cs"/>
          <w:rtl/>
        </w:rPr>
        <w:t>קנין</w:t>
      </w:r>
      <w:r>
        <w:rPr>
          <w:rFonts w:hint="cs"/>
          <w:rtl/>
        </w:rPr>
        <w:t xml:space="preserve">, וע"ע </w:t>
      </w:r>
      <w:r w:rsidRPr="00551086">
        <w:rPr>
          <w:rStyle w:val="affa"/>
          <w:rFonts w:hint="cs"/>
          <w:rtl/>
        </w:rPr>
        <w:t>בחי' רבי נחום</w:t>
      </w:r>
      <w:r>
        <w:rPr>
          <w:rFonts w:hint="cs"/>
          <w:rtl/>
        </w:rPr>
        <w:t xml:space="preserve"> </w:t>
      </w:r>
      <w:r w:rsidRPr="00551086">
        <w:rPr>
          <w:rStyle w:val="aff6"/>
          <w:rFonts w:hint="cs"/>
          <w:rtl/>
        </w:rPr>
        <w:t>(או' ב' ד"ה והנה לשיטת הרמב"ם)</w:t>
      </w:r>
      <w:r>
        <w:rPr>
          <w:rFonts w:hint="cs"/>
          <w:rtl/>
        </w:rPr>
        <w:t xml:space="preserve"> דכתב דמדברי </w:t>
      </w:r>
      <w:r w:rsidRPr="00551086">
        <w:rPr>
          <w:rStyle w:val="affa"/>
          <w:rFonts w:hint="cs"/>
          <w:rtl/>
        </w:rPr>
        <w:t>הרמב"ם</w:t>
      </w:r>
      <w:r>
        <w:rPr>
          <w:rFonts w:hint="cs"/>
          <w:rtl/>
        </w:rPr>
        <w:t xml:space="preserve"> מבואר דבחזקת ג"ש צריך שהמחזיק יעשה בקרקע מעשה שמורה על הבעלות שלו, כמו בחזקת קנין].</w:t>
      </w:r>
    </w:p>
    <w:p w:rsidR="00FF386B" w:rsidRDefault="00FE4AC8" w:rsidP="00FF386B">
      <w:pPr>
        <w:pStyle w:val="a3"/>
      </w:pPr>
      <w:bookmarkStart w:id="170" w:name="_Toc54038930"/>
      <w:bookmarkStart w:id="171" w:name="_Toc54039024"/>
      <w:bookmarkStart w:id="172" w:name="_Toc54087449"/>
      <w:bookmarkStart w:id="173" w:name="_Toc54109252"/>
      <w:bookmarkStart w:id="174" w:name="_Toc54125651"/>
      <w:bookmarkStart w:id="175" w:name="_Toc54133863"/>
      <w:r>
        <w:rPr>
          <w:rFonts w:hint="cs"/>
          <w:rtl/>
        </w:rPr>
        <w:t>דברי ר"ח דיש ב' אופנים בחזקה חזקת קנין כשהמוכר מודה וחזקת ג"ש כשהמוכר מכחיש</w:t>
      </w:r>
      <w:bookmarkEnd w:id="170"/>
      <w:bookmarkEnd w:id="171"/>
      <w:bookmarkEnd w:id="172"/>
      <w:bookmarkEnd w:id="173"/>
      <w:bookmarkEnd w:id="174"/>
      <w:bookmarkEnd w:id="175"/>
    </w:p>
    <w:p w:rsidR="00FF386B" w:rsidRDefault="00FF386B" w:rsidP="007E4E81">
      <w:pPr>
        <w:pStyle w:val="a0"/>
        <w:rPr>
          <w:rtl/>
        </w:rPr>
      </w:pPr>
      <w:bookmarkStart w:id="176" w:name="_Toc52907758"/>
      <w:bookmarkStart w:id="177" w:name="_Toc53402185"/>
      <w:r w:rsidRPr="00C947D2">
        <w:rPr>
          <w:rFonts w:hint="cs"/>
          <w:rtl/>
        </w:rPr>
        <w:t xml:space="preserve">ועי' בפי' </w:t>
      </w:r>
      <w:r w:rsidRPr="00551086">
        <w:rPr>
          <w:rStyle w:val="af9"/>
          <w:rFonts w:hint="cs"/>
          <w:rtl/>
        </w:rPr>
        <w:t>ר"ח</w:t>
      </w:r>
      <w:r w:rsidRPr="00C947D2">
        <w:rPr>
          <w:rFonts w:hint="cs"/>
          <w:rtl/>
        </w:rPr>
        <w:t xml:space="preserve"> </w:t>
      </w:r>
      <w:r w:rsidRPr="00C947D2">
        <w:rPr>
          <w:rStyle w:val="af7"/>
          <w:rFonts w:eastAsia="Guttman Hodes" w:hint="cs"/>
          <w:rtl/>
        </w:rPr>
        <w:t xml:space="preserve">(ד"ה החזקה, נד' בשיטת הקדמונים, הועתק בקובץ שיטות קמאי ב"ב ח"א עמ' </w:t>
      </w:r>
      <w:r w:rsidRPr="00C947D2">
        <w:rPr>
          <w:rStyle w:val="af7"/>
          <w:rFonts w:eastAsia="Guttman Hodes"/>
          <w:rtl/>
        </w:rPr>
        <w:t>תרל</w:t>
      </w:r>
      <w:r w:rsidRPr="00C947D2">
        <w:rPr>
          <w:rStyle w:val="af7"/>
          <w:rFonts w:eastAsia="Guttman Hodes" w:hint="cs"/>
          <w:rtl/>
        </w:rPr>
        <w:t>"</w:t>
      </w:r>
      <w:r w:rsidRPr="00C947D2">
        <w:rPr>
          <w:rStyle w:val="af7"/>
          <w:rFonts w:eastAsia="Guttman Hodes"/>
          <w:rtl/>
        </w:rPr>
        <w:t>ח</w:t>
      </w:r>
      <w:r w:rsidRPr="00C947D2">
        <w:rPr>
          <w:rStyle w:val="af7"/>
          <w:rFonts w:eastAsia="Guttman Hodes" w:hint="cs"/>
          <w:rtl/>
        </w:rPr>
        <w:t>)</w:t>
      </w:r>
      <w:r w:rsidRPr="00C947D2">
        <w:rPr>
          <w:rFonts w:hint="cs"/>
          <w:rtl/>
        </w:rPr>
        <w:t xml:space="preserve"> דכתב</w:t>
      </w:r>
      <w:r>
        <w:rPr>
          <w:rFonts w:hint="cs"/>
          <w:rtl/>
        </w:rPr>
        <w:t xml:space="preserve"> דיש ב' אופנים בחזקה, הא' הוא בחזקת קנין כשמוכר מודה שמכר לו, והב' הוא כשהמחזיק ירד לקרקע וטוען שקנה מהבעלים, והמרא קמא מכחישו, ובזה איירי במתני', דאין ביד המחזיק ראיה שקנה ממנו, ויש לו רק עידי חזקה.</w:t>
      </w:r>
    </w:p>
    <w:p w:rsidR="00FF7B34" w:rsidRPr="00FF7B34" w:rsidRDefault="00FF7B34" w:rsidP="00FF7B34">
      <w:pPr>
        <w:pStyle w:val="a3"/>
        <w:rPr>
          <w:rtl/>
        </w:rPr>
      </w:pPr>
    </w:p>
    <w:p w:rsidR="00FF7B34" w:rsidRPr="00FF7B34" w:rsidRDefault="00FF7B34" w:rsidP="00FF7B34">
      <w:pPr>
        <w:pStyle w:val="a3"/>
        <w:rPr>
          <w:rtl/>
        </w:rPr>
      </w:pPr>
    </w:p>
    <w:p w:rsidR="00FF7B34" w:rsidRPr="00FF7B34" w:rsidRDefault="00FF7B34" w:rsidP="00FF7B34">
      <w:pPr>
        <w:pStyle w:val="a3"/>
        <w:rPr>
          <w:rtl/>
        </w:rPr>
      </w:pPr>
    </w:p>
    <w:p w:rsidR="00FF386B" w:rsidRDefault="00FF386B" w:rsidP="00FF386B">
      <w:pPr>
        <w:pStyle w:val="afe"/>
        <w:rPr>
          <w:rtl/>
        </w:rPr>
      </w:pPr>
      <w:bookmarkStart w:id="178" w:name="_Toc53941211"/>
      <w:bookmarkStart w:id="179" w:name="_Toc54000496"/>
      <w:bookmarkStart w:id="180" w:name="_Toc54038931"/>
      <w:bookmarkStart w:id="181" w:name="_Toc54039025"/>
      <w:bookmarkStart w:id="182" w:name="_Toc54087450"/>
      <w:bookmarkStart w:id="183" w:name="_Toc54109253"/>
      <w:bookmarkStart w:id="184" w:name="_Toc54125652"/>
      <w:bookmarkStart w:id="185" w:name="_Toc54133864"/>
      <w:r>
        <w:rPr>
          <w:rFonts w:hint="cs"/>
          <w:rtl/>
        </w:rPr>
        <w:t>בחילוק בין חזקת קרקע לחזקת מטלטלין</w:t>
      </w:r>
      <w:bookmarkEnd w:id="176"/>
      <w:bookmarkEnd w:id="177"/>
      <w:bookmarkEnd w:id="178"/>
      <w:bookmarkEnd w:id="179"/>
      <w:bookmarkEnd w:id="180"/>
      <w:bookmarkEnd w:id="181"/>
      <w:bookmarkEnd w:id="182"/>
      <w:bookmarkEnd w:id="183"/>
      <w:bookmarkEnd w:id="184"/>
      <w:bookmarkEnd w:id="185"/>
    </w:p>
    <w:p w:rsidR="00FF386B" w:rsidRDefault="00FF386B" w:rsidP="00FF386B">
      <w:pPr>
        <w:pStyle w:val="1"/>
        <w:rPr>
          <w:rtl/>
        </w:rPr>
      </w:pPr>
      <w:bookmarkStart w:id="186" w:name="_Toc52907761"/>
      <w:bookmarkStart w:id="187" w:name="_Toc53402188"/>
      <w:bookmarkStart w:id="188" w:name="_Toc53941212"/>
      <w:bookmarkStart w:id="189" w:name="_Toc54000497"/>
      <w:bookmarkStart w:id="190" w:name="_Toc54038932"/>
      <w:bookmarkStart w:id="191" w:name="_Toc54039026"/>
      <w:bookmarkStart w:id="192" w:name="_Toc54087451"/>
      <w:bookmarkStart w:id="193" w:name="_Toc54109254"/>
      <w:bookmarkStart w:id="194" w:name="_Toc54125653"/>
      <w:bookmarkStart w:id="195" w:name="_Toc54133865"/>
      <w:bookmarkStart w:id="196" w:name="_Toc52907759"/>
      <w:bookmarkStart w:id="197" w:name="_Toc53402186"/>
      <w:r>
        <w:rPr>
          <w:rFonts w:hint="cs"/>
          <w:rtl/>
        </w:rPr>
        <w:t>דברי הרשב"ם</w:t>
      </w:r>
      <w:bookmarkEnd w:id="186"/>
      <w:bookmarkEnd w:id="187"/>
      <w:bookmarkEnd w:id="188"/>
      <w:bookmarkEnd w:id="189"/>
      <w:bookmarkEnd w:id="190"/>
      <w:bookmarkEnd w:id="191"/>
      <w:bookmarkEnd w:id="192"/>
      <w:bookmarkEnd w:id="193"/>
      <w:bookmarkEnd w:id="194"/>
      <w:r w:rsidR="00540A22">
        <w:rPr>
          <w:rFonts w:hint="cs"/>
          <w:rtl/>
        </w:rPr>
        <w:t xml:space="preserve"> דבקרקע מהני חזקת ג"ש ובמטלטלין מה שתח"י</w:t>
      </w:r>
      <w:bookmarkEnd w:id="195"/>
    </w:p>
    <w:p w:rsidR="00FF386B" w:rsidRDefault="002B2CBE" w:rsidP="00FF386B">
      <w:pPr>
        <w:pStyle w:val="a3"/>
        <w:rPr>
          <w:rtl/>
        </w:rPr>
      </w:pPr>
      <w:bookmarkStart w:id="198" w:name="_Toc54038933"/>
      <w:bookmarkStart w:id="199" w:name="_Toc54039027"/>
      <w:bookmarkStart w:id="200" w:name="_Toc54087452"/>
      <w:bookmarkStart w:id="201" w:name="_Toc54109255"/>
      <w:bookmarkStart w:id="202" w:name="_Toc54125654"/>
      <w:bookmarkStart w:id="203" w:name="_Toc54133866"/>
      <w:r>
        <w:rPr>
          <w:rFonts w:hint="cs"/>
          <w:rtl/>
        </w:rPr>
        <w:t>דברי הרשב"ם דחזקת ג"ש רק בקרקע ולא במטלטלין דאין בהם שטר ומה שתח"י שלו הוא</w:t>
      </w:r>
      <w:bookmarkEnd w:id="198"/>
      <w:bookmarkEnd w:id="199"/>
      <w:bookmarkEnd w:id="200"/>
      <w:bookmarkEnd w:id="201"/>
      <w:bookmarkEnd w:id="202"/>
      <w:bookmarkEnd w:id="203"/>
    </w:p>
    <w:p w:rsidR="00FF386B" w:rsidRPr="001B338A" w:rsidRDefault="00FF386B" w:rsidP="007E4E81">
      <w:pPr>
        <w:pStyle w:val="a0"/>
        <w:rPr>
          <w:rtl/>
        </w:rPr>
      </w:pPr>
      <w:r>
        <w:rPr>
          <w:rFonts w:hint="cs"/>
          <w:rtl/>
        </w:rPr>
        <w:t xml:space="preserve">כתב </w:t>
      </w:r>
      <w:r w:rsidRPr="00551086">
        <w:rPr>
          <w:rStyle w:val="af9"/>
          <w:rFonts w:hint="cs"/>
          <w:rtl/>
        </w:rPr>
        <w:t>הרשב"ם לקמן</w:t>
      </w:r>
      <w:r>
        <w:rPr>
          <w:rFonts w:hint="cs"/>
          <w:rtl/>
        </w:rPr>
        <w:t xml:space="preserve"> </w:t>
      </w:r>
      <w:r w:rsidRPr="00BC2427">
        <w:rPr>
          <w:rStyle w:val="af7"/>
          <w:rFonts w:eastAsia="Guttman Hodes" w:hint="cs"/>
          <w:rtl/>
        </w:rPr>
        <w:t xml:space="preserve">(מב. ד"ה אין) </w:t>
      </w:r>
      <w:r>
        <w:rPr>
          <w:rFonts w:hint="cs"/>
          <w:rtl/>
        </w:rPr>
        <w:t>דחזקת ג"ש נאמרה רק בקרקעות, אבל במטלטלין כל המוחזק בחפץ של חבירו אף בשעה אחת, דאנו רואים שהחפץ יוצא מתח"י המוחזק, ואף שיש לבעלים עדים שהיה שלו, נאמן המוחזק לומר שקנאו מהבעלים, כיון שסתם לוקח מטלטלין אינו קונה בעדים ושטר, חוץ מכלים העשויים להשאיל ולהשכיר, וכלי ביד אומן, שאינו מוחזק בהם, כיון שיש לו עדים שהיה שלו, וטוען שהשאילו למחזיק או נתן לו לתקנו.</w:t>
      </w:r>
    </w:p>
    <w:p w:rsidR="00FF386B" w:rsidRDefault="00F325B5" w:rsidP="00F325B5">
      <w:pPr>
        <w:pStyle w:val="1"/>
        <w:rPr>
          <w:rtl/>
        </w:rPr>
      </w:pPr>
      <w:bookmarkStart w:id="204" w:name="_Toc52907760"/>
      <w:bookmarkStart w:id="205" w:name="_Toc53402187"/>
      <w:bookmarkStart w:id="206" w:name="_Toc53941213"/>
      <w:bookmarkStart w:id="207" w:name="_Toc54000498"/>
      <w:bookmarkStart w:id="208" w:name="_Toc54038934"/>
      <w:bookmarkStart w:id="209" w:name="_Toc54039028"/>
      <w:bookmarkStart w:id="210" w:name="_Toc54087453"/>
      <w:bookmarkStart w:id="211" w:name="_Toc54109256"/>
      <w:bookmarkStart w:id="212" w:name="_Toc54125655"/>
      <w:bookmarkStart w:id="213" w:name="_Toc54133867"/>
      <w:r>
        <w:rPr>
          <w:rFonts w:hint="cs"/>
          <w:rtl/>
        </w:rPr>
        <w:t>ב' הסברות ב</w:t>
      </w:r>
      <w:r w:rsidR="00FF386B">
        <w:rPr>
          <w:rFonts w:hint="cs"/>
          <w:rtl/>
        </w:rPr>
        <w:t>רבינו יונה</w:t>
      </w:r>
      <w:bookmarkEnd w:id="204"/>
      <w:bookmarkEnd w:id="205"/>
      <w:bookmarkEnd w:id="206"/>
      <w:bookmarkEnd w:id="207"/>
      <w:r w:rsidR="00381EA9">
        <w:rPr>
          <w:rFonts w:hint="cs"/>
          <w:rtl/>
        </w:rPr>
        <w:t xml:space="preserve"> בחילוק חזקת קרקע מחזקת מטלטלין</w:t>
      </w:r>
      <w:bookmarkEnd w:id="208"/>
      <w:bookmarkEnd w:id="209"/>
      <w:bookmarkEnd w:id="210"/>
      <w:bookmarkEnd w:id="211"/>
      <w:bookmarkEnd w:id="212"/>
      <w:bookmarkEnd w:id="213"/>
    </w:p>
    <w:p w:rsidR="00FF386B" w:rsidRDefault="00222B5B" w:rsidP="00222B5B">
      <w:pPr>
        <w:pStyle w:val="a3"/>
        <w:rPr>
          <w:rtl/>
        </w:rPr>
      </w:pPr>
      <w:bookmarkStart w:id="214" w:name="_Toc54038935"/>
      <w:bookmarkStart w:id="215" w:name="_Toc54039029"/>
      <w:bookmarkStart w:id="216" w:name="_Toc54087454"/>
      <w:bookmarkStart w:id="217" w:name="_Toc54109257"/>
      <w:bookmarkStart w:id="218" w:name="_Toc54125656"/>
      <w:bookmarkStart w:id="219" w:name="_Toc54133868"/>
      <w:r>
        <w:rPr>
          <w:rFonts w:hint="cs"/>
          <w:rtl/>
        </w:rPr>
        <w:t>דברי רבינו יונה דחזקה בלא טענה ל"מ בקרקע ומהני במטלטלין דיצאו מרשות המר"ק לתפוס</w:t>
      </w:r>
      <w:bookmarkEnd w:id="214"/>
      <w:bookmarkEnd w:id="215"/>
      <w:bookmarkEnd w:id="216"/>
      <w:bookmarkEnd w:id="217"/>
      <w:bookmarkEnd w:id="218"/>
      <w:bookmarkEnd w:id="219"/>
    </w:p>
    <w:p w:rsidR="00FF386B" w:rsidRPr="00B468E4" w:rsidRDefault="00FF386B" w:rsidP="007E4E81">
      <w:pPr>
        <w:pStyle w:val="a0"/>
        <w:rPr>
          <w:rtl/>
        </w:rPr>
      </w:pPr>
      <w:r>
        <w:rPr>
          <w:rFonts w:hint="cs"/>
          <w:rtl/>
        </w:rPr>
        <w:t xml:space="preserve">כתב </w:t>
      </w:r>
      <w:r w:rsidRPr="00A54A1F">
        <w:rPr>
          <w:rStyle w:val="af9"/>
          <w:rFonts w:hint="cs"/>
          <w:rtl/>
        </w:rPr>
        <w:t>רבינו יונה</w:t>
      </w:r>
      <w:r>
        <w:rPr>
          <w:rFonts w:hint="cs"/>
          <w:rtl/>
        </w:rPr>
        <w:t xml:space="preserve"> </w:t>
      </w:r>
      <w:r w:rsidRPr="00BC2427">
        <w:rPr>
          <w:rStyle w:val="af7"/>
          <w:rFonts w:eastAsia="Guttman Hodes" w:hint="cs"/>
          <w:rtl/>
        </w:rPr>
        <w:t xml:space="preserve">(כח: ד"ה ופרקינן) </w:t>
      </w:r>
      <w:r>
        <w:rPr>
          <w:rFonts w:hint="cs"/>
          <w:rtl/>
        </w:rPr>
        <w:t xml:space="preserve">דכל שהמחזיק אינו טוען טענה, אין חזקתו חזקה, דקרקע בחזקת בעליה עומדת, אבל מטלטלין הם בחזקת מי שתפוס בהם אף </w:t>
      </w:r>
      <w:r w:rsidRPr="00B468E4">
        <w:rPr>
          <w:rFonts w:hint="cs"/>
          <w:rtl/>
        </w:rPr>
        <w:t>שאינו טוען טענה, כיון שהם יצאו מרשות המרא קמא</w:t>
      </w:r>
      <w:r w:rsidR="00222B5B" w:rsidRPr="00B468E4">
        <w:rPr>
          <w:rFonts w:hint="cs"/>
          <w:rtl/>
        </w:rPr>
        <w:t>,</w:t>
      </w:r>
      <w:r w:rsidRPr="00B468E4">
        <w:rPr>
          <w:rFonts w:hint="cs"/>
          <w:rtl/>
        </w:rPr>
        <w:t xml:space="preserve"> דהא השני תפוס בהם.</w:t>
      </w:r>
    </w:p>
    <w:p w:rsidR="00FF386B" w:rsidRPr="00B468E4" w:rsidRDefault="00222B5B" w:rsidP="00F325B5">
      <w:pPr>
        <w:pStyle w:val="a3"/>
      </w:pPr>
      <w:bookmarkStart w:id="220" w:name="_Toc54038936"/>
      <w:bookmarkStart w:id="221" w:name="_Toc54039030"/>
      <w:bookmarkStart w:id="222" w:name="_Toc54087455"/>
      <w:bookmarkStart w:id="223" w:name="_Toc54109258"/>
      <w:bookmarkStart w:id="224" w:name="_Toc54125657"/>
      <w:bookmarkStart w:id="225" w:name="_Toc54133869"/>
      <w:r w:rsidRPr="00B468E4">
        <w:rPr>
          <w:rFonts w:hint="cs"/>
          <w:rtl/>
        </w:rPr>
        <w:t xml:space="preserve">דברי רבינו יונה דחזקה בלא טענה </w:t>
      </w:r>
      <w:r w:rsidR="002C377D" w:rsidRPr="00B468E4">
        <w:rPr>
          <w:rFonts w:hint="cs"/>
          <w:rtl/>
        </w:rPr>
        <w:t xml:space="preserve">ל"מ בקרקע דבחזקת בעליה ומהני במטלטלין </w:t>
      </w:r>
      <w:r w:rsidR="00F325B5" w:rsidRPr="00B468E4">
        <w:rPr>
          <w:rFonts w:hint="cs"/>
          <w:rtl/>
        </w:rPr>
        <w:t>דקיבלם ברשות</w:t>
      </w:r>
      <w:bookmarkEnd w:id="220"/>
      <w:bookmarkEnd w:id="221"/>
      <w:bookmarkEnd w:id="222"/>
      <w:bookmarkEnd w:id="223"/>
      <w:bookmarkEnd w:id="224"/>
      <w:bookmarkEnd w:id="225"/>
    </w:p>
    <w:p w:rsidR="00FF386B" w:rsidRPr="00B468E4" w:rsidRDefault="00FF386B" w:rsidP="007E4E81">
      <w:pPr>
        <w:pStyle w:val="a0"/>
        <w:rPr>
          <w:rtl/>
        </w:rPr>
      </w:pPr>
      <w:bookmarkStart w:id="226" w:name="_Ref54109027"/>
      <w:r w:rsidRPr="00B468E4">
        <w:rPr>
          <w:rFonts w:hint="cs"/>
          <w:rtl/>
        </w:rPr>
        <w:t xml:space="preserve">ועוד ביאר </w:t>
      </w:r>
      <w:r w:rsidRPr="00B468E4">
        <w:rPr>
          <w:rStyle w:val="af9"/>
          <w:rFonts w:hint="cs"/>
          <w:rtl/>
        </w:rPr>
        <w:t>רבינו יונה</w:t>
      </w:r>
      <w:r w:rsidRPr="00B468E4">
        <w:rPr>
          <w:rFonts w:hint="cs"/>
          <w:rtl/>
        </w:rPr>
        <w:t xml:space="preserve"> דבקרקע כשאינו טוען טענה היא בחזקת בעליה, אבל במטלטלין יש סברא דאחזוקי אינשי בגנבי לא מחזקינן, </w:t>
      </w:r>
      <w:r w:rsidR="00F325B5" w:rsidRPr="00B468E4">
        <w:rPr>
          <w:rFonts w:hint="cs"/>
          <w:rtl/>
        </w:rPr>
        <w:t xml:space="preserve">א"כ ודאי דהבעלים נתן אותם לתפוס בהם, </w:t>
      </w:r>
      <w:r w:rsidRPr="00B468E4">
        <w:rPr>
          <w:rFonts w:hint="cs"/>
          <w:rtl/>
        </w:rPr>
        <w:t>כל שהם מטלטלין שאינם עשויים להשאיל ולהשכיר</w:t>
      </w:r>
      <w:r w:rsidR="00774B60">
        <w:rPr>
          <w:rFonts w:hint="cs"/>
          <w:rtl/>
        </w:rPr>
        <w:t>,</w:t>
      </w:r>
      <w:r w:rsidRPr="00B468E4">
        <w:rPr>
          <w:rFonts w:hint="cs"/>
          <w:rtl/>
        </w:rPr>
        <w:t xml:space="preserve"> </w:t>
      </w:r>
      <w:r w:rsidRPr="00B468E4">
        <w:rPr>
          <w:rStyle w:val="afb"/>
          <w:rFonts w:hint="cs"/>
          <w:rtl/>
        </w:rPr>
        <w:t xml:space="preserve">[ומבואר מדברי </w:t>
      </w:r>
      <w:r w:rsidRPr="00B468E4">
        <w:rPr>
          <w:rStyle w:val="affa"/>
          <w:rFonts w:hint="cs"/>
          <w:rtl/>
        </w:rPr>
        <w:t>רבינו יונה</w:t>
      </w:r>
      <w:r w:rsidRPr="00B468E4">
        <w:rPr>
          <w:rStyle w:val="afb"/>
          <w:rFonts w:hint="cs"/>
          <w:rtl/>
        </w:rPr>
        <w:t xml:space="preserve"> דבקרקע אין את הסברא דאחזוקי אינשי בגנבי לא מחזקינן]</w:t>
      </w:r>
      <w:r w:rsidR="00774B60">
        <w:rPr>
          <w:rStyle w:val="afb"/>
          <w:rFonts w:hint="cs"/>
          <w:rtl/>
        </w:rPr>
        <w:t>,</w:t>
      </w:r>
      <w:r w:rsidR="00774B60" w:rsidRPr="00774B60">
        <w:rPr>
          <w:rFonts w:hint="cs"/>
          <w:rtl/>
        </w:rPr>
        <w:t xml:space="preserve"> </w:t>
      </w:r>
      <w:r w:rsidR="00774B60">
        <w:rPr>
          <w:rFonts w:hint="cs"/>
          <w:rtl/>
        </w:rPr>
        <w:t xml:space="preserve">ועי' במ"ש </w:t>
      </w:r>
      <w:r w:rsidR="00774B60" w:rsidRPr="00774B60">
        <w:rPr>
          <w:rStyle w:val="af9"/>
          <w:rFonts w:hint="cs"/>
          <w:rtl/>
        </w:rPr>
        <w:t>בשיעורי רבי שמואל</w:t>
      </w:r>
      <w:r w:rsidR="00774B60">
        <w:rPr>
          <w:rFonts w:hint="cs"/>
          <w:rtl/>
        </w:rPr>
        <w:t xml:space="preserve"> </w:t>
      </w:r>
      <w:r w:rsidR="00774B60" w:rsidRPr="00774B60">
        <w:rPr>
          <w:rStyle w:val="af7"/>
          <w:rFonts w:eastAsia="Guttman Hodes" w:hint="cs"/>
          <w:rtl/>
        </w:rPr>
        <w:t xml:space="preserve">(עי' אות </w:t>
      </w:r>
      <w:r w:rsidR="00774B60" w:rsidRPr="00774B60">
        <w:rPr>
          <w:rStyle w:val="af7"/>
          <w:rFonts w:eastAsia="Guttman Hodes"/>
          <w:rtl/>
        </w:rPr>
        <w:fldChar w:fldCharType="begin"/>
      </w:r>
      <w:r w:rsidR="00774B60" w:rsidRPr="00774B60">
        <w:rPr>
          <w:rStyle w:val="af7"/>
          <w:rFonts w:eastAsia="Guttman Hodes"/>
          <w:rtl/>
        </w:rPr>
        <w:instrText xml:space="preserve"> </w:instrText>
      </w:r>
      <w:r w:rsidR="00774B60" w:rsidRPr="00774B60">
        <w:rPr>
          <w:rStyle w:val="af7"/>
          <w:rFonts w:eastAsia="Guttman Hodes" w:hint="cs"/>
        </w:rPr>
        <w:instrText>REF</w:instrText>
      </w:r>
      <w:r w:rsidR="00774B60" w:rsidRPr="00774B60">
        <w:rPr>
          <w:rStyle w:val="af7"/>
          <w:rFonts w:eastAsia="Guttman Hodes" w:hint="cs"/>
          <w:rtl/>
        </w:rPr>
        <w:instrText xml:space="preserve"> _</w:instrText>
      </w:r>
      <w:r w:rsidR="00774B60" w:rsidRPr="00774B60">
        <w:rPr>
          <w:rStyle w:val="af7"/>
          <w:rFonts w:eastAsia="Guttman Hodes" w:hint="cs"/>
        </w:rPr>
        <w:instrText>Ref54108979 \r \h</w:instrText>
      </w:r>
      <w:r w:rsidR="00774B60" w:rsidRPr="00774B60">
        <w:rPr>
          <w:rStyle w:val="af7"/>
          <w:rFonts w:eastAsia="Guttman Hodes"/>
          <w:rtl/>
        </w:rPr>
        <w:instrText xml:space="preserve"> </w:instrText>
      </w:r>
      <w:r w:rsidR="00774B60" w:rsidRPr="00774B60">
        <w:rPr>
          <w:rStyle w:val="af7"/>
          <w:rFonts w:eastAsia="Guttman Hodes"/>
          <w:rtl/>
        </w:rPr>
      </w:r>
      <w:r w:rsidR="00774B60" w:rsidRPr="00774B60">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sidR="00774B60" w:rsidRPr="00774B60">
        <w:rPr>
          <w:rStyle w:val="af7"/>
          <w:rFonts w:eastAsia="Guttman Hodes"/>
          <w:rtl/>
        </w:rPr>
        <w:fldChar w:fldCharType="end"/>
      </w:r>
      <w:r w:rsidR="00774B60" w:rsidRPr="00B468E4">
        <w:rPr>
          <w:rFonts w:hint="cs"/>
          <w:rtl/>
        </w:rPr>
        <w:t>.</w:t>
      </w:r>
      <w:bookmarkEnd w:id="226"/>
    </w:p>
    <w:p w:rsidR="00FF386B" w:rsidRPr="00333653" w:rsidRDefault="00FF386B" w:rsidP="00FF386B">
      <w:pPr>
        <w:pStyle w:val="1"/>
        <w:rPr>
          <w:rtl/>
        </w:rPr>
      </w:pPr>
      <w:bookmarkStart w:id="227" w:name="_Toc53941214"/>
      <w:bookmarkStart w:id="228" w:name="_Toc54000499"/>
      <w:bookmarkStart w:id="229" w:name="_Toc54038937"/>
      <w:bookmarkStart w:id="230" w:name="_Toc54039031"/>
      <w:bookmarkStart w:id="231" w:name="_Toc54087456"/>
      <w:bookmarkStart w:id="232" w:name="_Toc54109259"/>
      <w:bookmarkStart w:id="233" w:name="_Toc54125658"/>
      <w:bookmarkStart w:id="234" w:name="_Toc54133870"/>
      <w:r w:rsidRPr="00B468E4">
        <w:rPr>
          <w:rFonts w:hint="cs"/>
          <w:rtl/>
        </w:rPr>
        <w:t>דברי הריטב"א דבחזקת</w:t>
      </w:r>
      <w:r>
        <w:rPr>
          <w:rFonts w:hint="cs"/>
          <w:rtl/>
        </w:rPr>
        <w:t xml:space="preserve"> קרקע אין התפיסה ראיה</w:t>
      </w:r>
      <w:bookmarkEnd w:id="196"/>
      <w:bookmarkEnd w:id="197"/>
      <w:bookmarkEnd w:id="227"/>
      <w:bookmarkEnd w:id="228"/>
      <w:bookmarkEnd w:id="229"/>
      <w:bookmarkEnd w:id="230"/>
      <w:bookmarkEnd w:id="231"/>
      <w:bookmarkEnd w:id="232"/>
      <w:bookmarkEnd w:id="233"/>
      <w:bookmarkEnd w:id="234"/>
    </w:p>
    <w:p w:rsidR="00FF386B" w:rsidRPr="007D5818" w:rsidRDefault="00832EC2" w:rsidP="00843BA6">
      <w:pPr>
        <w:pStyle w:val="a3"/>
        <w:rPr>
          <w:rtl/>
        </w:rPr>
      </w:pPr>
      <w:bookmarkStart w:id="235" w:name="_Toc54038938"/>
      <w:bookmarkStart w:id="236" w:name="_Toc54039032"/>
      <w:bookmarkStart w:id="237" w:name="_Toc54087457"/>
      <w:bookmarkStart w:id="238" w:name="_Toc54109260"/>
      <w:bookmarkStart w:id="239" w:name="_Toc54125659"/>
      <w:bookmarkStart w:id="240" w:name="_Toc54133871"/>
      <w:r>
        <w:rPr>
          <w:rFonts w:hint="cs"/>
          <w:rtl/>
        </w:rPr>
        <w:t>ביאור</w:t>
      </w:r>
      <w:r w:rsidR="00646930">
        <w:rPr>
          <w:rFonts w:hint="cs"/>
          <w:rtl/>
        </w:rPr>
        <w:t xml:space="preserve"> הריטב"א </w:t>
      </w:r>
      <w:r>
        <w:rPr>
          <w:rFonts w:hint="cs"/>
          <w:rtl/>
        </w:rPr>
        <w:t xml:space="preserve">בקושית הגמ' </w:t>
      </w:r>
      <w:r w:rsidR="00646930">
        <w:rPr>
          <w:rFonts w:hint="cs"/>
          <w:rtl/>
        </w:rPr>
        <w:t xml:space="preserve">דאין חילוק </w:t>
      </w:r>
      <w:r w:rsidR="00843BA6">
        <w:rPr>
          <w:rFonts w:hint="cs"/>
          <w:rtl/>
        </w:rPr>
        <w:t>מה</w:t>
      </w:r>
      <w:r>
        <w:rPr>
          <w:rFonts w:hint="cs"/>
          <w:rtl/>
        </w:rPr>
        <w:t xml:space="preserve">ראיה </w:t>
      </w:r>
      <w:r w:rsidR="00843BA6">
        <w:rPr>
          <w:rFonts w:hint="cs"/>
          <w:rtl/>
        </w:rPr>
        <w:t>ב</w:t>
      </w:r>
      <w:r>
        <w:rPr>
          <w:rFonts w:hint="cs"/>
          <w:rtl/>
        </w:rPr>
        <w:t>תפיסת קרקע מ</w:t>
      </w:r>
      <w:r w:rsidR="00843BA6">
        <w:rPr>
          <w:rFonts w:hint="cs"/>
          <w:rtl/>
        </w:rPr>
        <w:t>הראיה ב</w:t>
      </w:r>
      <w:r>
        <w:rPr>
          <w:rFonts w:hint="cs"/>
          <w:rtl/>
        </w:rPr>
        <w:t>תפיסת מטלטלין</w:t>
      </w:r>
      <w:bookmarkEnd w:id="235"/>
      <w:bookmarkEnd w:id="236"/>
      <w:bookmarkEnd w:id="237"/>
      <w:bookmarkEnd w:id="238"/>
      <w:bookmarkEnd w:id="239"/>
      <w:bookmarkEnd w:id="240"/>
    </w:p>
    <w:p w:rsidR="00FF386B" w:rsidRPr="00FF7B34" w:rsidRDefault="00FF386B" w:rsidP="007E4E81">
      <w:pPr>
        <w:pStyle w:val="a0"/>
        <w:rPr>
          <w:rStyle w:val="afb"/>
          <w:rtl/>
        </w:rPr>
      </w:pPr>
      <w:r>
        <w:rPr>
          <w:rFonts w:hint="cs"/>
          <w:rtl/>
        </w:rPr>
        <w:t xml:space="preserve">בהא דמקשה הגמ' מנין לחזקת ג"ש, ביאר </w:t>
      </w:r>
      <w:r w:rsidRPr="00A54A1F">
        <w:rPr>
          <w:rStyle w:val="af9"/>
          <w:rFonts w:hint="cs"/>
          <w:rtl/>
        </w:rPr>
        <w:t>הריטב"א</w:t>
      </w:r>
      <w:r>
        <w:rPr>
          <w:rFonts w:hint="cs"/>
          <w:rtl/>
        </w:rPr>
        <w:t xml:space="preserve"> </w:t>
      </w:r>
      <w:r w:rsidRPr="00BC2427">
        <w:rPr>
          <w:rStyle w:val="af7"/>
          <w:rFonts w:eastAsia="Guttman Hodes" w:hint="cs"/>
          <w:rtl/>
        </w:rPr>
        <w:t xml:space="preserve">(ד"ה מנין) </w:t>
      </w:r>
      <w:r>
        <w:rPr>
          <w:rFonts w:hint="cs"/>
          <w:rtl/>
        </w:rPr>
        <w:t>דכוונת הגמ' להקשות דאי תפיסת הקרקע היא ראיה כמו תפיסת מטלטלין</w:t>
      </w:r>
      <w:r w:rsidR="00FF7B34">
        <w:rPr>
          <w:rFonts w:hint="cs"/>
          <w:rtl/>
        </w:rPr>
        <w:t>,</w:t>
      </w:r>
      <w:r>
        <w:rPr>
          <w:rFonts w:hint="cs"/>
          <w:rtl/>
        </w:rPr>
        <w:t xml:space="preserve"> דשתיקת הבעלים </w:t>
      </w:r>
      <w:r w:rsidR="00FF7B34">
        <w:rPr>
          <w:rFonts w:hint="cs"/>
          <w:rtl/>
        </w:rPr>
        <w:t xml:space="preserve">בקרקע </w:t>
      </w:r>
      <w:r>
        <w:rPr>
          <w:rFonts w:hint="cs"/>
          <w:rtl/>
        </w:rPr>
        <w:t>היא ראיה לאלתר, א"כ אף בקרקע תהיה החזקה לאלתר, ואי אין תפיסת הקרקע ראיה, כיון שאדם יכול להכנס לקרקע, א"כ לעולם לא תהיה חזקה.</w:t>
      </w:r>
      <w:r w:rsidR="00FF7B34" w:rsidRPr="00FF7B34">
        <w:rPr>
          <w:rFonts w:hint="cs"/>
          <w:rtl/>
        </w:rPr>
        <w:t xml:space="preserve"> </w:t>
      </w:r>
      <w:r w:rsidR="00FF7B34" w:rsidRPr="00FF7B34">
        <w:rPr>
          <w:rStyle w:val="afb"/>
          <w:rFonts w:hint="cs"/>
          <w:rtl/>
        </w:rPr>
        <w:t xml:space="preserve">[ועי' במה שביאר </w:t>
      </w:r>
      <w:r w:rsidR="00FF7B34" w:rsidRPr="00FF7B34">
        <w:rPr>
          <w:rStyle w:val="affa"/>
          <w:rtl/>
        </w:rPr>
        <w:t>בחי' רבי נחום</w:t>
      </w:r>
      <w:r w:rsidR="00FF7B34" w:rsidRPr="00FF7B34">
        <w:rPr>
          <w:rStyle w:val="afb"/>
          <w:rtl/>
        </w:rPr>
        <w:t xml:space="preserve"> </w:t>
      </w:r>
      <w:r w:rsidR="00FF7B34" w:rsidRPr="00FF7B34">
        <w:rPr>
          <w:rStyle w:val="aff6"/>
          <w:rtl/>
        </w:rPr>
        <w:t>(</w:t>
      </w:r>
      <w:r w:rsidR="00FF7B34" w:rsidRPr="00FF7B34">
        <w:rPr>
          <w:rStyle w:val="aff6"/>
          <w:rFonts w:hint="cs"/>
          <w:rtl/>
        </w:rPr>
        <w:t xml:space="preserve">כט. </w:t>
      </w:r>
      <w:r w:rsidR="00FF7B34" w:rsidRPr="00FF7B34">
        <w:rPr>
          <w:rStyle w:val="aff6"/>
          <w:rtl/>
        </w:rPr>
        <w:t>או' כ"ד ד"ה וצריך להוסיף)</w:t>
      </w:r>
      <w:r w:rsidR="00FF7B34" w:rsidRPr="00FF7B34">
        <w:rPr>
          <w:rStyle w:val="afb"/>
          <w:rtl/>
        </w:rPr>
        <w:t xml:space="preserve"> דאין כוונת </w:t>
      </w:r>
      <w:r w:rsidR="00FF7B34" w:rsidRPr="00FF7B34">
        <w:rPr>
          <w:rStyle w:val="affa"/>
          <w:rtl/>
        </w:rPr>
        <w:t>הריטב"א</w:t>
      </w:r>
      <w:r w:rsidR="00FF7B34" w:rsidRPr="00FF7B34">
        <w:rPr>
          <w:rStyle w:val="afb"/>
          <w:rtl/>
        </w:rPr>
        <w:t xml:space="preserve"> לדמות את חזקת קרקעות לתפיסת מטלטלין, אלא כוונת</w:t>
      </w:r>
      <w:r w:rsidR="00FF7B34" w:rsidRPr="00FF7B34">
        <w:rPr>
          <w:rStyle w:val="afb"/>
          <w:rFonts w:hint="cs"/>
          <w:rtl/>
        </w:rPr>
        <w:t>ו</w:t>
      </w:r>
      <w:r w:rsidR="00FF7B34" w:rsidRPr="00FF7B34">
        <w:rPr>
          <w:rStyle w:val="afb"/>
          <w:rtl/>
        </w:rPr>
        <w:t xml:space="preserve"> לומר דכמו שהתפיסה מהני במטלטלין לעשותו למוחזק, ה"ה בחזקה בקרקע דכשאכל פירות בשופי הוא נעשה למוחזק</w:t>
      </w:r>
      <w:r w:rsidR="00FF7B34" w:rsidRPr="00FF7B34">
        <w:rPr>
          <w:rStyle w:val="afb"/>
          <w:rFonts w:hint="cs"/>
          <w:rtl/>
        </w:rPr>
        <w:t>, עיי"ש בדבריו]</w:t>
      </w:r>
      <w:r w:rsidR="00FF7B34">
        <w:rPr>
          <w:rStyle w:val="afb"/>
          <w:rFonts w:hint="cs"/>
          <w:rtl/>
        </w:rPr>
        <w:t>.</w:t>
      </w:r>
      <w:r w:rsidR="00FF7B34" w:rsidRPr="00FF7B34">
        <w:rPr>
          <w:rStyle w:val="afb"/>
          <w:rFonts w:hint="cs"/>
          <w:rtl/>
        </w:rPr>
        <w:t xml:space="preserve"> </w:t>
      </w:r>
    </w:p>
    <w:p w:rsidR="00FF386B" w:rsidRPr="002E0C0C" w:rsidRDefault="00832EC2" w:rsidP="00FF386B">
      <w:pPr>
        <w:pStyle w:val="a3"/>
        <w:rPr>
          <w:rtl/>
        </w:rPr>
      </w:pPr>
      <w:bookmarkStart w:id="241" w:name="_Toc54038939"/>
      <w:bookmarkStart w:id="242" w:name="_Toc54039033"/>
      <w:bookmarkStart w:id="243" w:name="_Toc54087458"/>
      <w:bookmarkStart w:id="244" w:name="_Toc54109261"/>
      <w:bookmarkStart w:id="245" w:name="_Toc54125660"/>
      <w:bookmarkStart w:id="246" w:name="_Toc54133872"/>
      <w:r>
        <w:rPr>
          <w:rFonts w:hint="cs"/>
          <w:rtl/>
        </w:rPr>
        <w:t>דברי הריטב"א ד</w:t>
      </w:r>
      <w:r w:rsidR="003A7D7D">
        <w:rPr>
          <w:rFonts w:hint="cs"/>
          <w:rtl/>
        </w:rPr>
        <w:t>למסקנא הראיה מחזקת קרקע היא לאלתר כמטלטלין וצריך ג"ש מחמת השטר</w:t>
      </w:r>
      <w:bookmarkEnd w:id="241"/>
      <w:bookmarkEnd w:id="242"/>
      <w:bookmarkEnd w:id="243"/>
      <w:bookmarkEnd w:id="244"/>
      <w:bookmarkEnd w:id="245"/>
      <w:bookmarkEnd w:id="246"/>
    </w:p>
    <w:p w:rsidR="008F7851" w:rsidRDefault="009778A0" w:rsidP="007E4E81">
      <w:pPr>
        <w:pStyle w:val="a0"/>
        <w:rPr>
          <w:rtl/>
        </w:rPr>
      </w:pPr>
      <w:r>
        <w:rPr>
          <w:rFonts w:hint="cs"/>
          <w:rtl/>
        </w:rPr>
        <w:t>ובמסקנת הגמ' דטעמא דחזקה דעד ג"ש אדם נזהר בשטרו, כתב</w:t>
      </w:r>
      <w:r w:rsidR="00FF386B">
        <w:rPr>
          <w:rFonts w:hint="cs"/>
          <w:rtl/>
        </w:rPr>
        <w:t xml:space="preserve"> </w:t>
      </w:r>
      <w:r w:rsidR="00FF386B" w:rsidRPr="00551086">
        <w:rPr>
          <w:rStyle w:val="af9"/>
          <w:rFonts w:hint="cs"/>
          <w:rtl/>
        </w:rPr>
        <w:t xml:space="preserve">הריטב"א </w:t>
      </w:r>
      <w:r w:rsidR="00FF386B" w:rsidRPr="008F7851">
        <w:rPr>
          <w:rStyle w:val="af7"/>
          <w:rFonts w:eastAsia="Guttman Hodes" w:hint="cs"/>
          <w:rtl/>
        </w:rPr>
        <w:t xml:space="preserve">(כט. ד"ה אלא) </w:t>
      </w:r>
      <w:r w:rsidR="00FF386B">
        <w:rPr>
          <w:rFonts w:hint="cs"/>
          <w:rtl/>
        </w:rPr>
        <w:t xml:space="preserve">בשם </w:t>
      </w:r>
      <w:r w:rsidR="00FF386B" w:rsidRPr="00551086">
        <w:rPr>
          <w:rStyle w:val="af9"/>
          <w:rFonts w:hint="cs"/>
          <w:rtl/>
        </w:rPr>
        <w:t>הרא"ה</w:t>
      </w:r>
      <w:r w:rsidR="00FF386B">
        <w:rPr>
          <w:rFonts w:hint="cs"/>
          <w:rtl/>
        </w:rPr>
        <w:t xml:space="preserve"> דבאמת אין חילוק בין חזקת קרקע לחזקת מטלטלין, ואף בקרקע כל שיש לו ראיה על אכילה אחת שלא מחו בו הבעלים, צריכה החזקה להועיל כמו שהחזקה מועילה במטלטלין שהוא תופס בידו, אלא דכיון דקרקעות ועבדים הם בני </w:t>
      </w:r>
      <w:r w:rsidR="00FF386B">
        <w:rPr>
          <w:rFonts w:hint="cs"/>
          <w:rtl/>
        </w:rPr>
        <w:lastRenderedPageBreak/>
        <w:t>שטרא, לכן כל שאינו מראה את שטרו, הורעה חזקתו, וכדמצינו באשה שאומרת לבעלה עכשיו גירשתני</w:t>
      </w:r>
      <w:r w:rsidR="0024329A">
        <w:rPr>
          <w:rStyle w:val="af1"/>
          <w:rtl/>
        </w:rPr>
        <w:footnoteReference w:id="1"/>
      </w:r>
      <w:r w:rsidR="00FF386B">
        <w:rPr>
          <w:rFonts w:hint="cs"/>
          <w:rtl/>
        </w:rPr>
        <w:t>.</w:t>
      </w:r>
      <w:bookmarkStart w:id="247" w:name="_Toc52907762"/>
      <w:bookmarkStart w:id="248" w:name="_Toc53402189"/>
      <w:bookmarkStart w:id="249" w:name="_Toc53941215"/>
      <w:bookmarkStart w:id="250" w:name="_Toc54000500"/>
    </w:p>
    <w:p w:rsidR="00195055" w:rsidRDefault="00195055" w:rsidP="00195055">
      <w:pPr>
        <w:pStyle w:val="a3"/>
        <w:rPr>
          <w:rtl/>
        </w:rPr>
      </w:pPr>
      <w:bookmarkStart w:id="251" w:name="_Toc54038940"/>
      <w:bookmarkStart w:id="252" w:name="_Toc54039034"/>
      <w:bookmarkStart w:id="253" w:name="_Toc54087459"/>
      <w:bookmarkStart w:id="254" w:name="_Toc54109262"/>
      <w:bookmarkStart w:id="255" w:name="_Toc54125661"/>
      <w:bookmarkStart w:id="256" w:name="_Toc54133873"/>
      <w:r>
        <w:rPr>
          <w:rFonts w:hint="cs"/>
          <w:rtl/>
        </w:rPr>
        <w:t xml:space="preserve">דברי הרמב"ן דהראיה </w:t>
      </w:r>
      <w:r w:rsidR="00074F23">
        <w:rPr>
          <w:rFonts w:hint="cs"/>
          <w:rtl/>
        </w:rPr>
        <w:t>בחזקה בקרקע היא לאלתר וצריך ג"ש רק מחמת השטר</w:t>
      </w:r>
      <w:bookmarkEnd w:id="251"/>
      <w:bookmarkEnd w:id="252"/>
      <w:bookmarkEnd w:id="253"/>
      <w:bookmarkEnd w:id="254"/>
      <w:bookmarkEnd w:id="255"/>
      <w:bookmarkEnd w:id="256"/>
    </w:p>
    <w:p w:rsidR="00195055" w:rsidRPr="00195055" w:rsidRDefault="00195055" w:rsidP="007E4E81">
      <w:pPr>
        <w:pStyle w:val="a0"/>
      </w:pPr>
      <w:bookmarkStart w:id="257" w:name="_Ref54021550"/>
      <w:r>
        <w:rPr>
          <w:rFonts w:hint="cs"/>
          <w:rtl/>
        </w:rPr>
        <w:t xml:space="preserve">וע"ע בדברי </w:t>
      </w:r>
      <w:r w:rsidRPr="00195055">
        <w:rPr>
          <w:rStyle w:val="af9"/>
          <w:rFonts w:hint="cs"/>
          <w:rtl/>
        </w:rPr>
        <w:t>הרמב"ן לקמן</w:t>
      </w:r>
      <w:r>
        <w:rPr>
          <w:rFonts w:hint="cs"/>
          <w:rtl/>
        </w:rPr>
        <w:t xml:space="preserve"> </w:t>
      </w:r>
      <w:r w:rsidRPr="00195055">
        <w:rPr>
          <w:rStyle w:val="af7"/>
          <w:rFonts w:eastAsia="Guttman Hodes" w:hint="cs"/>
          <w:rtl/>
        </w:rPr>
        <w:t>(מב. ד"ה הא)</w:t>
      </w:r>
      <w:r>
        <w:rPr>
          <w:rFonts w:hint="cs"/>
          <w:rtl/>
        </w:rPr>
        <w:t xml:space="preserve"> דביאר דהטעם של חזקת ג"ש, אינו רק מחמת דאחר ג"ש אינו נזהר בשטרו, אלא דכיון שהמערער שותק למחזיק, יש רגלים לדבר דמכר לו, אך בתוך</w:t>
      </w:r>
      <w:r w:rsidRPr="002F34B1">
        <w:rPr>
          <w:rFonts w:hint="cs"/>
          <w:rtl/>
        </w:rPr>
        <w:t xml:space="preserve"> </w:t>
      </w:r>
      <w:r>
        <w:rPr>
          <w:rFonts w:hint="cs"/>
          <w:rtl/>
        </w:rPr>
        <w:t>ג"ש אעפ"י שיש רגלים לדבר, עדיין טוענים למחזיק אחוי שטרך, ואחר ג"ש כיון שאינו נזהר בשטרו, יש ריעותא בטענת אחוי שטרך, ואחר שיש ריעותא בטענה, אמרינן דלא לחינם שתק לו המערער</w:t>
      </w:r>
      <w:r w:rsidR="00796D7E">
        <w:rPr>
          <w:rFonts w:hint="cs"/>
          <w:rtl/>
        </w:rPr>
        <w:t xml:space="preserve">, ועי' במה שהקשה </w:t>
      </w:r>
      <w:r w:rsidR="00796D7E" w:rsidRPr="00796D7E">
        <w:rPr>
          <w:rStyle w:val="af9"/>
          <w:rFonts w:hint="cs"/>
          <w:rtl/>
        </w:rPr>
        <w:t xml:space="preserve">הקצוה"ח </w:t>
      </w:r>
      <w:r w:rsidR="00796D7E" w:rsidRPr="005E1522">
        <w:rPr>
          <w:rStyle w:val="af7"/>
          <w:rFonts w:eastAsia="Guttman Hodes" w:hint="cs"/>
          <w:rtl/>
        </w:rPr>
        <w:t xml:space="preserve">(עי' אות </w:t>
      </w:r>
      <w:r w:rsidR="005E1522" w:rsidRPr="005E1522">
        <w:rPr>
          <w:rStyle w:val="af7"/>
          <w:rFonts w:eastAsia="Guttman Hodes"/>
          <w:rtl/>
        </w:rPr>
        <w:fldChar w:fldCharType="begin"/>
      </w:r>
      <w:r w:rsidR="005E1522" w:rsidRPr="005E1522">
        <w:rPr>
          <w:rStyle w:val="af7"/>
          <w:rFonts w:eastAsia="Guttman Hodes"/>
          <w:rtl/>
        </w:rPr>
        <w:instrText xml:space="preserve"> </w:instrText>
      </w:r>
      <w:r w:rsidR="005E1522" w:rsidRPr="005E1522">
        <w:rPr>
          <w:rStyle w:val="af7"/>
          <w:rFonts w:eastAsia="Guttman Hodes" w:hint="cs"/>
        </w:rPr>
        <w:instrText>REF</w:instrText>
      </w:r>
      <w:r w:rsidR="005E1522" w:rsidRPr="005E1522">
        <w:rPr>
          <w:rStyle w:val="af7"/>
          <w:rFonts w:eastAsia="Guttman Hodes" w:hint="cs"/>
          <w:rtl/>
        </w:rPr>
        <w:instrText xml:space="preserve"> _</w:instrText>
      </w:r>
      <w:r w:rsidR="005E1522" w:rsidRPr="005E1522">
        <w:rPr>
          <w:rStyle w:val="af7"/>
          <w:rFonts w:eastAsia="Guttman Hodes" w:hint="cs"/>
        </w:rPr>
        <w:instrText>Ref53467648 \r \h</w:instrText>
      </w:r>
      <w:r w:rsidR="005E1522" w:rsidRPr="005E1522">
        <w:rPr>
          <w:rStyle w:val="af7"/>
          <w:rFonts w:eastAsia="Guttman Hodes"/>
          <w:rtl/>
        </w:rPr>
        <w:instrText xml:space="preserve"> </w:instrText>
      </w:r>
      <w:r w:rsidR="005E1522" w:rsidRPr="005E1522">
        <w:rPr>
          <w:rStyle w:val="af7"/>
          <w:rFonts w:eastAsia="Guttman Hodes"/>
          <w:rtl/>
        </w:rPr>
      </w:r>
      <w:r w:rsidR="005E1522" w:rsidRPr="005E1522">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005E1522" w:rsidRPr="005E1522">
        <w:rPr>
          <w:rStyle w:val="af7"/>
          <w:rFonts w:eastAsia="Guttman Hodes"/>
          <w:rtl/>
        </w:rPr>
        <w:fldChar w:fldCharType="end"/>
      </w:r>
      <w:r w:rsidR="00796D7E">
        <w:rPr>
          <w:rFonts w:hint="cs"/>
          <w:rtl/>
        </w:rPr>
        <w:t xml:space="preserve"> על דברי </w:t>
      </w:r>
      <w:r w:rsidR="00796D7E" w:rsidRPr="00796D7E">
        <w:rPr>
          <w:rStyle w:val="af9"/>
          <w:rFonts w:hint="cs"/>
          <w:rtl/>
        </w:rPr>
        <w:t>הרמב"ן</w:t>
      </w:r>
      <w:r w:rsidR="00F15E1B">
        <w:rPr>
          <w:rFonts w:hint="cs"/>
          <w:rtl/>
        </w:rPr>
        <w:t xml:space="preserve">, ובמה שביאר </w:t>
      </w:r>
      <w:r w:rsidR="00F15E1B" w:rsidRPr="00F15E1B">
        <w:rPr>
          <w:rStyle w:val="af9"/>
          <w:rFonts w:hint="cs"/>
          <w:rtl/>
        </w:rPr>
        <w:t>בברכ"ש</w:t>
      </w:r>
      <w:r w:rsidR="00F15E1B">
        <w:rPr>
          <w:rFonts w:hint="cs"/>
          <w:rtl/>
        </w:rPr>
        <w:t xml:space="preserve"> </w:t>
      </w:r>
      <w:r w:rsidR="00F15E1B" w:rsidRPr="00504367">
        <w:rPr>
          <w:rStyle w:val="af7"/>
          <w:rFonts w:eastAsia="Guttman Hodes" w:hint="cs"/>
          <w:rtl/>
        </w:rPr>
        <w:t xml:space="preserve">(עי' אות </w:t>
      </w:r>
      <w:r w:rsidR="00504367" w:rsidRPr="00504367">
        <w:rPr>
          <w:rStyle w:val="af7"/>
          <w:rFonts w:eastAsia="Guttman Hodes"/>
          <w:rtl/>
        </w:rPr>
        <w:fldChar w:fldCharType="begin"/>
      </w:r>
      <w:r w:rsidR="00504367" w:rsidRPr="00504367">
        <w:rPr>
          <w:rStyle w:val="af7"/>
          <w:rFonts w:eastAsia="Guttman Hodes"/>
          <w:rtl/>
        </w:rPr>
        <w:instrText xml:space="preserve"> </w:instrText>
      </w:r>
      <w:r w:rsidR="00504367" w:rsidRPr="00504367">
        <w:rPr>
          <w:rStyle w:val="af7"/>
          <w:rFonts w:eastAsia="Guttman Hodes" w:hint="cs"/>
        </w:rPr>
        <w:instrText>REF</w:instrText>
      </w:r>
      <w:r w:rsidR="00504367" w:rsidRPr="00504367">
        <w:rPr>
          <w:rStyle w:val="af7"/>
          <w:rFonts w:eastAsia="Guttman Hodes" w:hint="cs"/>
          <w:rtl/>
        </w:rPr>
        <w:instrText xml:space="preserve"> _</w:instrText>
      </w:r>
      <w:r w:rsidR="00504367" w:rsidRPr="00504367">
        <w:rPr>
          <w:rStyle w:val="af7"/>
          <w:rFonts w:eastAsia="Guttman Hodes" w:hint="cs"/>
        </w:rPr>
        <w:instrText>Ref54091104 \r \h</w:instrText>
      </w:r>
      <w:r w:rsidR="00504367" w:rsidRPr="00504367">
        <w:rPr>
          <w:rStyle w:val="af7"/>
          <w:rFonts w:eastAsia="Guttman Hodes"/>
          <w:rtl/>
        </w:rPr>
        <w:instrText xml:space="preserve"> </w:instrText>
      </w:r>
      <w:r w:rsidR="00504367" w:rsidRPr="00504367">
        <w:rPr>
          <w:rStyle w:val="af7"/>
          <w:rFonts w:eastAsia="Guttman Hodes"/>
          <w:rtl/>
        </w:rPr>
      </w:r>
      <w:r w:rsidR="00504367" w:rsidRPr="00504367">
        <w:rPr>
          <w:rStyle w:val="af7"/>
          <w:rFonts w:eastAsia="Guttman Hodes"/>
          <w:rtl/>
        </w:rPr>
        <w:fldChar w:fldCharType="separate"/>
      </w:r>
      <w:r w:rsidR="00265073">
        <w:rPr>
          <w:rStyle w:val="af7"/>
          <w:rFonts w:eastAsia="Guttman Hodes"/>
          <w:cs/>
        </w:rPr>
        <w:t>‎</w:t>
      </w:r>
      <w:r w:rsidR="00265073">
        <w:rPr>
          <w:rStyle w:val="af7"/>
          <w:rFonts w:eastAsia="Guttman Hodes"/>
          <w:rtl/>
        </w:rPr>
        <w:t>קא)</w:t>
      </w:r>
      <w:r w:rsidR="00504367" w:rsidRPr="00504367">
        <w:rPr>
          <w:rStyle w:val="af7"/>
          <w:rFonts w:eastAsia="Guttman Hodes"/>
          <w:rtl/>
        </w:rPr>
        <w:fldChar w:fldCharType="end"/>
      </w:r>
      <w:r w:rsidR="00F15E1B">
        <w:rPr>
          <w:rFonts w:hint="cs"/>
          <w:rtl/>
        </w:rPr>
        <w:t xml:space="preserve"> </w:t>
      </w:r>
      <w:r w:rsidR="00F15E1B" w:rsidRPr="00F15E1B">
        <w:rPr>
          <w:rStyle w:val="af9"/>
          <w:rFonts w:hint="cs"/>
          <w:rtl/>
        </w:rPr>
        <w:t>ובחו"ש הגרב"ב</w:t>
      </w:r>
      <w:r w:rsidR="00F15E1B">
        <w:rPr>
          <w:rFonts w:hint="cs"/>
          <w:rtl/>
        </w:rPr>
        <w:t xml:space="preserve"> </w:t>
      </w:r>
      <w:r w:rsidR="00F15E1B" w:rsidRPr="00504367">
        <w:rPr>
          <w:rStyle w:val="af7"/>
          <w:rFonts w:eastAsia="Guttman Hodes" w:hint="cs"/>
          <w:rtl/>
        </w:rPr>
        <w:t xml:space="preserve">(עי' אות </w:t>
      </w:r>
      <w:r w:rsidR="00504367" w:rsidRPr="00504367">
        <w:rPr>
          <w:rStyle w:val="af7"/>
          <w:rFonts w:eastAsia="Guttman Hodes"/>
          <w:rtl/>
        </w:rPr>
        <w:fldChar w:fldCharType="begin"/>
      </w:r>
      <w:r w:rsidR="00504367" w:rsidRPr="00504367">
        <w:rPr>
          <w:rStyle w:val="af7"/>
          <w:rFonts w:eastAsia="Guttman Hodes"/>
          <w:rtl/>
        </w:rPr>
        <w:instrText xml:space="preserve"> </w:instrText>
      </w:r>
      <w:r w:rsidR="00504367" w:rsidRPr="00504367">
        <w:rPr>
          <w:rStyle w:val="af7"/>
          <w:rFonts w:eastAsia="Guttman Hodes" w:hint="cs"/>
        </w:rPr>
        <w:instrText>REF</w:instrText>
      </w:r>
      <w:r w:rsidR="00504367" w:rsidRPr="00504367">
        <w:rPr>
          <w:rStyle w:val="af7"/>
          <w:rFonts w:eastAsia="Guttman Hodes" w:hint="cs"/>
          <w:rtl/>
        </w:rPr>
        <w:instrText xml:space="preserve"> _</w:instrText>
      </w:r>
      <w:r w:rsidR="00504367" w:rsidRPr="00504367">
        <w:rPr>
          <w:rStyle w:val="af7"/>
          <w:rFonts w:eastAsia="Guttman Hodes" w:hint="cs"/>
        </w:rPr>
        <w:instrText>Ref54091119 \r \h</w:instrText>
      </w:r>
      <w:r w:rsidR="00504367" w:rsidRPr="00504367">
        <w:rPr>
          <w:rStyle w:val="af7"/>
          <w:rFonts w:eastAsia="Guttman Hodes"/>
          <w:rtl/>
        </w:rPr>
        <w:instrText xml:space="preserve"> </w:instrText>
      </w:r>
      <w:r w:rsidR="00504367" w:rsidRPr="00504367">
        <w:rPr>
          <w:rStyle w:val="af7"/>
          <w:rFonts w:eastAsia="Guttman Hodes"/>
          <w:rtl/>
        </w:rPr>
      </w:r>
      <w:r w:rsidR="00504367" w:rsidRPr="00504367">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00504367" w:rsidRPr="00504367">
        <w:rPr>
          <w:rStyle w:val="af7"/>
          <w:rFonts w:eastAsia="Guttman Hodes"/>
          <w:rtl/>
        </w:rPr>
        <w:fldChar w:fldCharType="end"/>
      </w:r>
      <w:r w:rsidR="00504367">
        <w:rPr>
          <w:rFonts w:hint="cs"/>
          <w:rtl/>
        </w:rPr>
        <w:t xml:space="preserve"> </w:t>
      </w:r>
      <w:r w:rsidR="00F15E1B">
        <w:rPr>
          <w:rFonts w:hint="cs"/>
          <w:rtl/>
        </w:rPr>
        <w:t xml:space="preserve">בדברי </w:t>
      </w:r>
      <w:r w:rsidR="00F15E1B" w:rsidRPr="00F15E1B">
        <w:rPr>
          <w:rStyle w:val="af9"/>
          <w:rFonts w:hint="cs"/>
          <w:rtl/>
        </w:rPr>
        <w:t>הרמב"ן</w:t>
      </w:r>
      <w:r>
        <w:rPr>
          <w:rFonts w:hint="cs"/>
          <w:rtl/>
        </w:rPr>
        <w:t xml:space="preserve">. </w:t>
      </w:r>
      <w:r w:rsidRPr="00074F23">
        <w:rPr>
          <w:rStyle w:val="afb"/>
          <w:rFonts w:hint="cs"/>
          <w:rtl/>
        </w:rPr>
        <w:t>[</w:t>
      </w:r>
      <w:r w:rsidR="00BC7265">
        <w:rPr>
          <w:rStyle w:val="afb"/>
          <w:rFonts w:hint="cs"/>
          <w:rtl/>
        </w:rPr>
        <w:t>וע"ע במ"ש בביאור</w:t>
      </w:r>
      <w:r w:rsidR="00DE052E">
        <w:rPr>
          <w:rStyle w:val="afb"/>
          <w:rFonts w:hint="cs"/>
          <w:rtl/>
        </w:rPr>
        <w:t xml:space="preserve"> דברי</w:t>
      </w:r>
      <w:r w:rsidR="00BC7265">
        <w:rPr>
          <w:rStyle w:val="afb"/>
          <w:rFonts w:hint="cs"/>
          <w:rtl/>
        </w:rPr>
        <w:t xml:space="preserve"> </w:t>
      </w:r>
      <w:r w:rsidRPr="00074F23">
        <w:rPr>
          <w:rStyle w:val="affa"/>
          <w:rFonts w:hint="cs"/>
          <w:rtl/>
        </w:rPr>
        <w:t xml:space="preserve">הרמב"ן </w:t>
      </w:r>
      <w:r w:rsidR="00BC7265" w:rsidRPr="00BC7265">
        <w:rPr>
          <w:rStyle w:val="affa"/>
          <w:rtl/>
        </w:rPr>
        <w:t xml:space="preserve">לקמן </w:t>
      </w:r>
      <w:r w:rsidR="00BC7265" w:rsidRPr="00BC7265">
        <w:rPr>
          <w:rStyle w:val="aff6"/>
          <w:rtl/>
        </w:rPr>
        <w:t>(מב. ד"ה הא, הובא בסימן ה' אות ז')</w:t>
      </w:r>
      <w:r w:rsidR="00BC7265" w:rsidRPr="00BC7265">
        <w:rPr>
          <w:rStyle w:val="affa"/>
          <w:rtl/>
        </w:rPr>
        <w:t xml:space="preserve"> </w:t>
      </w:r>
      <w:r w:rsidRPr="00074F23">
        <w:rPr>
          <w:rStyle w:val="affa"/>
          <w:rFonts w:hint="cs"/>
          <w:rtl/>
        </w:rPr>
        <w:t>ושאר הראשונים</w:t>
      </w:r>
      <w:r w:rsidRPr="00074F23">
        <w:rPr>
          <w:rStyle w:val="afb"/>
          <w:rFonts w:hint="cs"/>
          <w:rtl/>
        </w:rPr>
        <w:t xml:space="preserve"> בגדר חזקת ג"ש].</w:t>
      </w:r>
      <w:bookmarkEnd w:id="257"/>
    </w:p>
    <w:p w:rsidR="00FF386B" w:rsidRDefault="00FF386B" w:rsidP="00E664DF">
      <w:pPr>
        <w:pStyle w:val="1"/>
        <w:rPr>
          <w:rtl/>
        </w:rPr>
      </w:pPr>
      <w:bookmarkStart w:id="258" w:name="_Toc54038941"/>
      <w:bookmarkStart w:id="259" w:name="_Toc54039035"/>
      <w:bookmarkStart w:id="260" w:name="_Toc54087460"/>
      <w:bookmarkStart w:id="261" w:name="_Toc54109263"/>
      <w:bookmarkStart w:id="262" w:name="_Toc54125662"/>
      <w:bookmarkStart w:id="263" w:name="_Toc54133874"/>
      <w:r>
        <w:rPr>
          <w:rFonts w:hint="cs"/>
          <w:rtl/>
        </w:rPr>
        <w:t>דברי המהרי"ט</w:t>
      </w:r>
      <w:bookmarkEnd w:id="247"/>
      <w:bookmarkEnd w:id="248"/>
      <w:r>
        <w:rPr>
          <w:rFonts w:hint="cs"/>
          <w:rtl/>
        </w:rPr>
        <w:t xml:space="preserve"> והלבוש</w:t>
      </w:r>
      <w:bookmarkEnd w:id="249"/>
      <w:bookmarkEnd w:id="250"/>
      <w:r w:rsidR="00E664DF">
        <w:rPr>
          <w:rFonts w:hint="cs"/>
          <w:rtl/>
        </w:rPr>
        <w:t xml:space="preserve"> דתפיסה בקרקע אינה ראיה שקנאה</w:t>
      </w:r>
      <w:bookmarkEnd w:id="258"/>
      <w:bookmarkEnd w:id="259"/>
      <w:bookmarkEnd w:id="260"/>
      <w:bookmarkEnd w:id="261"/>
      <w:bookmarkEnd w:id="262"/>
      <w:bookmarkEnd w:id="263"/>
    </w:p>
    <w:p w:rsidR="00FF386B" w:rsidRDefault="00843BA6" w:rsidP="00843BA6">
      <w:pPr>
        <w:pStyle w:val="a3"/>
        <w:rPr>
          <w:rtl/>
        </w:rPr>
      </w:pPr>
      <w:bookmarkStart w:id="264" w:name="_Toc54038942"/>
      <w:bookmarkStart w:id="265" w:name="_Toc54039036"/>
      <w:bookmarkStart w:id="266" w:name="_Toc54087461"/>
      <w:bookmarkStart w:id="267" w:name="_Toc54109264"/>
      <w:bookmarkStart w:id="268" w:name="_Toc54125663"/>
      <w:bookmarkStart w:id="269" w:name="_Toc54133875"/>
      <w:r>
        <w:rPr>
          <w:rFonts w:hint="cs"/>
          <w:rtl/>
        </w:rPr>
        <w:t>דברי המהרי"ט דקרקע אינה כמטלטלין דאפשר להכנס לתוכה בלא קנין ולכן צריך חזקת ג"ש</w:t>
      </w:r>
      <w:bookmarkEnd w:id="264"/>
      <w:bookmarkEnd w:id="265"/>
      <w:bookmarkEnd w:id="266"/>
      <w:bookmarkEnd w:id="267"/>
      <w:bookmarkEnd w:id="268"/>
      <w:bookmarkEnd w:id="269"/>
    </w:p>
    <w:p w:rsidR="007C43E7" w:rsidRDefault="00FF386B" w:rsidP="007E4E81">
      <w:pPr>
        <w:pStyle w:val="a0"/>
        <w:rPr>
          <w:rtl/>
        </w:rPr>
      </w:pPr>
      <w:r>
        <w:rPr>
          <w:rFonts w:hint="cs"/>
          <w:rtl/>
        </w:rPr>
        <w:t xml:space="preserve">כתב </w:t>
      </w:r>
      <w:r w:rsidRPr="00551086">
        <w:rPr>
          <w:rStyle w:val="af9"/>
          <w:rFonts w:hint="cs"/>
          <w:rtl/>
        </w:rPr>
        <w:t>המהרי"ט</w:t>
      </w:r>
      <w:r>
        <w:rPr>
          <w:rFonts w:hint="cs"/>
          <w:rtl/>
        </w:rPr>
        <w:t xml:space="preserve"> </w:t>
      </w:r>
      <w:r w:rsidRPr="00BC2427">
        <w:rPr>
          <w:rStyle w:val="af7"/>
          <w:rFonts w:eastAsia="Guttman Hodes" w:hint="cs"/>
          <w:rtl/>
        </w:rPr>
        <w:t xml:space="preserve">(ח"ב חו"מ סי' ל') </w:t>
      </w:r>
      <w:r>
        <w:rPr>
          <w:rFonts w:hint="cs"/>
          <w:rtl/>
        </w:rPr>
        <w:t xml:space="preserve">דהא דבמטלטלין אמרינן חזקה מה שתח"י של אדם שלו הוא, הוא כיון שאין באים </w:t>
      </w:r>
      <w:r w:rsidRPr="000658E1">
        <w:rPr>
          <w:rFonts w:hint="cs"/>
          <w:rtl/>
        </w:rPr>
        <w:t>לידו מאליהן, אבל בקרקע כיון שאפשר להכנס לתוכה בלא קנין, לכן צריך חזקה</w:t>
      </w:r>
      <w:r w:rsidR="007C43E7">
        <w:rPr>
          <w:rFonts w:hint="cs"/>
          <w:rtl/>
        </w:rPr>
        <w:t>.</w:t>
      </w:r>
    </w:p>
    <w:p w:rsidR="006E77CC" w:rsidRDefault="005E1522" w:rsidP="006E77CC">
      <w:pPr>
        <w:pStyle w:val="a3"/>
        <w:rPr>
          <w:rtl/>
        </w:rPr>
      </w:pPr>
      <w:bookmarkStart w:id="270" w:name="_Toc54038943"/>
      <w:bookmarkStart w:id="271" w:name="_Toc54039037"/>
      <w:bookmarkStart w:id="272" w:name="_Toc54087462"/>
      <w:bookmarkStart w:id="273" w:name="_Toc54109265"/>
      <w:bookmarkStart w:id="274" w:name="_Toc54125664"/>
      <w:bookmarkStart w:id="275" w:name="_Toc54133876"/>
      <w:r>
        <w:rPr>
          <w:rFonts w:hint="cs"/>
          <w:rtl/>
        </w:rPr>
        <w:t>דברי המהרי"ט דבקרקע שא"א ל</w:t>
      </w:r>
      <w:r w:rsidR="006E77CC">
        <w:rPr>
          <w:rFonts w:hint="cs"/>
          <w:rtl/>
        </w:rPr>
        <w:t>קחתה בלא קנין דינה כמטלטלין כעבד קטן המוטל בעריסה</w:t>
      </w:r>
      <w:bookmarkEnd w:id="270"/>
      <w:bookmarkEnd w:id="271"/>
      <w:bookmarkEnd w:id="272"/>
      <w:bookmarkEnd w:id="273"/>
      <w:bookmarkEnd w:id="274"/>
      <w:bookmarkEnd w:id="275"/>
    </w:p>
    <w:p w:rsidR="006E77CC" w:rsidRDefault="00FF386B" w:rsidP="007E4E81">
      <w:pPr>
        <w:pStyle w:val="a0"/>
        <w:rPr>
          <w:rtl/>
        </w:rPr>
      </w:pPr>
      <w:bookmarkStart w:id="276" w:name="_Ref54112790"/>
      <w:r>
        <w:rPr>
          <w:rFonts w:hint="cs"/>
          <w:rtl/>
        </w:rPr>
        <w:t>ו</w:t>
      </w:r>
      <w:r w:rsidR="007C43E7">
        <w:rPr>
          <w:rFonts w:hint="cs"/>
          <w:rtl/>
        </w:rPr>
        <w:t xml:space="preserve">כתב </w:t>
      </w:r>
      <w:r w:rsidR="007C43E7" w:rsidRPr="00551086">
        <w:rPr>
          <w:rStyle w:val="af9"/>
          <w:rFonts w:hint="cs"/>
          <w:rtl/>
        </w:rPr>
        <w:t>המהרי"ט</w:t>
      </w:r>
      <w:r w:rsidR="007C43E7">
        <w:rPr>
          <w:rFonts w:hint="cs"/>
          <w:rtl/>
        </w:rPr>
        <w:t xml:space="preserve"> </w:t>
      </w:r>
      <w:r w:rsidR="005E1522">
        <w:rPr>
          <w:rFonts w:hint="cs"/>
          <w:rtl/>
        </w:rPr>
        <w:t>ד</w:t>
      </w:r>
      <w:r w:rsidR="005E1522" w:rsidRPr="000658E1">
        <w:rPr>
          <w:rFonts w:hint="cs"/>
          <w:rtl/>
        </w:rPr>
        <w:t>יש קרקע דדינה כמטלטלין, כ</w:t>
      </w:r>
      <w:r w:rsidR="005E1522" w:rsidRPr="00805436">
        <w:rPr>
          <w:rFonts w:hint="cs"/>
          <w:rtl/>
        </w:rPr>
        <w:t xml:space="preserve">דאיתא בגמ' לקמן </w:t>
      </w:r>
      <w:r w:rsidR="005E1522" w:rsidRPr="00796D7E">
        <w:rPr>
          <w:rStyle w:val="af7"/>
          <w:rFonts w:eastAsia="Guttman Hodes" w:hint="cs"/>
          <w:rtl/>
        </w:rPr>
        <w:t>(לו.)</w:t>
      </w:r>
      <w:r w:rsidR="005E1522" w:rsidRPr="00805436">
        <w:rPr>
          <w:rFonts w:hint="cs"/>
          <w:rtl/>
        </w:rPr>
        <w:t xml:space="preserve"> דעבד קטן יש לו ח</w:t>
      </w:r>
      <w:r w:rsidR="005E1522">
        <w:rPr>
          <w:rFonts w:hint="cs"/>
          <w:rtl/>
        </w:rPr>
        <w:t xml:space="preserve">זקה לאלתר </w:t>
      </w:r>
      <w:r w:rsidR="005E1522" w:rsidRPr="000658E1">
        <w:rPr>
          <w:rFonts w:hint="cs"/>
          <w:rtl/>
        </w:rPr>
        <w:t>ד</w:t>
      </w:r>
      <w:r w:rsidR="005E1522">
        <w:rPr>
          <w:rFonts w:hint="cs"/>
          <w:rtl/>
        </w:rPr>
        <w:t xml:space="preserve">אף שעבדים הוקשו לקרקעות, מ"מ </w:t>
      </w:r>
      <w:r w:rsidR="005E1522" w:rsidRPr="000658E1">
        <w:rPr>
          <w:rFonts w:hint="cs"/>
          <w:rtl/>
        </w:rPr>
        <w:t xml:space="preserve">חזקתו לאלתר </w:t>
      </w:r>
      <w:r w:rsidR="005E1522">
        <w:rPr>
          <w:rFonts w:hint="cs"/>
          <w:rtl/>
        </w:rPr>
        <w:t>כיון שאינו יכול להלך</w:t>
      </w:r>
      <w:r w:rsidR="00A01CB8">
        <w:rPr>
          <w:rFonts w:hint="cs"/>
          <w:rtl/>
        </w:rPr>
        <w:t xml:space="preserve">, ועי' בדברי </w:t>
      </w:r>
      <w:r w:rsidR="00A01CB8" w:rsidRPr="00A01CB8">
        <w:rPr>
          <w:rStyle w:val="af9"/>
          <w:rFonts w:hint="cs"/>
          <w:rtl/>
        </w:rPr>
        <w:t>הברכ"ש</w:t>
      </w:r>
      <w:r w:rsidR="00A01CB8">
        <w:rPr>
          <w:rFonts w:hint="cs"/>
          <w:rtl/>
        </w:rPr>
        <w:t xml:space="preserve"> </w:t>
      </w:r>
      <w:r w:rsidR="00A01CB8" w:rsidRPr="00A01CB8">
        <w:rPr>
          <w:rStyle w:val="af7"/>
          <w:rFonts w:eastAsia="Guttman Hodes" w:hint="cs"/>
          <w:rtl/>
        </w:rPr>
        <w:t xml:space="preserve">(עי' אות </w:t>
      </w:r>
      <w:r w:rsidR="00A01CB8" w:rsidRPr="00A01CB8">
        <w:rPr>
          <w:rStyle w:val="af7"/>
          <w:rFonts w:eastAsia="Guttman Hodes"/>
          <w:rtl/>
        </w:rPr>
        <w:fldChar w:fldCharType="begin"/>
      </w:r>
      <w:r w:rsidR="00A01CB8" w:rsidRPr="00A01CB8">
        <w:rPr>
          <w:rStyle w:val="af7"/>
          <w:rFonts w:eastAsia="Guttman Hodes"/>
          <w:rtl/>
        </w:rPr>
        <w:instrText xml:space="preserve"> </w:instrText>
      </w:r>
      <w:r w:rsidR="00A01CB8" w:rsidRPr="00A01CB8">
        <w:rPr>
          <w:rStyle w:val="af7"/>
          <w:rFonts w:eastAsia="Guttman Hodes" w:hint="cs"/>
        </w:rPr>
        <w:instrText>REF</w:instrText>
      </w:r>
      <w:r w:rsidR="00A01CB8" w:rsidRPr="00A01CB8">
        <w:rPr>
          <w:rStyle w:val="af7"/>
          <w:rFonts w:eastAsia="Guttman Hodes" w:hint="cs"/>
          <w:rtl/>
        </w:rPr>
        <w:instrText xml:space="preserve"> _</w:instrText>
      </w:r>
      <w:r w:rsidR="00A01CB8" w:rsidRPr="00A01CB8">
        <w:rPr>
          <w:rStyle w:val="af7"/>
          <w:rFonts w:eastAsia="Guttman Hodes" w:hint="cs"/>
        </w:rPr>
        <w:instrText>Ref54112776 \r \h</w:instrText>
      </w:r>
      <w:r w:rsidR="00A01CB8" w:rsidRPr="00A01CB8">
        <w:rPr>
          <w:rStyle w:val="af7"/>
          <w:rFonts w:eastAsia="Guttman Hodes"/>
          <w:rtl/>
        </w:rPr>
        <w:instrText xml:space="preserve"> </w:instrText>
      </w:r>
      <w:r w:rsidR="00A01CB8" w:rsidRPr="00A01CB8">
        <w:rPr>
          <w:rStyle w:val="af7"/>
          <w:rFonts w:eastAsia="Guttman Hodes"/>
          <w:rtl/>
        </w:rPr>
      </w:r>
      <w:r w:rsidR="00A01CB8" w:rsidRPr="00A01CB8">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00A01CB8" w:rsidRPr="00A01CB8">
        <w:rPr>
          <w:rStyle w:val="af7"/>
          <w:rFonts w:eastAsia="Guttman Hodes"/>
          <w:rtl/>
        </w:rPr>
        <w:fldChar w:fldCharType="end"/>
      </w:r>
      <w:r w:rsidR="006E77CC">
        <w:rPr>
          <w:rFonts w:hint="cs"/>
          <w:rtl/>
        </w:rPr>
        <w:t>.</w:t>
      </w:r>
      <w:bookmarkEnd w:id="276"/>
    </w:p>
    <w:p w:rsidR="006E77CC" w:rsidRPr="006E77CC" w:rsidRDefault="006E77CC" w:rsidP="006E77CC">
      <w:pPr>
        <w:pStyle w:val="a3"/>
      </w:pPr>
      <w:bookmarkStart w:id="277" w:name="_Toc54038944"/>
      <w:bookmarkStart w:id="278" w:name="_Toc54039038"/>
      <w:bookmarkStart w:id="279" w:name="_Toc54087463"/>
      <w:bookmarkStart w:id="280" w:name="_Toc54109266"/>
      <w:bookmarkStart w:id="281" w:name="_Toc54125665"/>
      <w:bookmarkStart w:id="282" w:name="_Toc54133877"/>
      <w:r>
        <w:rPr>
          <w:rFonts w:hint="cs"/>
          <w:rtl/>
        </w:rPr>
        <w:t>דברי המהרי"ט דמטלטלין שאפשר לקחתם בלא קנין ככלים העשויים להשאיל דינם כקרקע</w:t>
      </w:r>
      <w:bookmarkEnd w:id="277"/>
      <w:bookmarkEnd w:id="278"/>
      <w:bookmarkEnd w:id="279"/>
      <w:bookmarkEnd w:id="280"/>
      <w:bookmarkEnd w:id="281"/>
      <w:bookmarkEnd w:id="282"/>
    </w:p>
    <w:p w:rsidR="00FF386B" w:rsidRDefault="006E77CC" w:rsidP="007E4E81">
      <w:pPr>
        <w:pStyle w:val="a0"/>
        <w:rPr>
          <w:rtl/>
        </w:rPr>
      </w:pPr>
      <w:r>
        <w:rPr>
          <w:rFonts w:hint="cs"/>
          <w:rtl/>
        </w:rPr>
        <w:t xml:space="preserve">וכתב </w:t>
      </w:r>
      <w:r w:rsidRPr="00551086">
        <w:rPr>
          <w:rStyle w:val="af9"/>
          <w:rFonts w:hint="cs"/>
          <w:rtl/>
        </w:rPr>
        <w:t>המהרי"ט</w:t>
      </w:r>
      <w:r>
        <w:rPr>
          <w:rFonts w:hint="cs"/>
          <w:rtl/>
        </w:rPr>
        <w:t xml:space="preserve"> </w:t>
      </w:r>
      <w:r w:rsidR="007C43E7">
        <w:rPr>
          <w:rFonts w:hint="cs"/>
          <w:rtl/>
        </w:rPr>
        <w:t>ד</w:t>
      </w:r>
      <w:r w:rsidR="00FF386B">
        <w:rPr>
          <w:rFonts w:hint="cs"/>
          <w:rtl/>
        </w:rPr>
        <w:t xml:space="preserve">כן להיפך יש מטלטלין דדינם כקרקע, כגון מטלטלין העשויים להשאיל ולהשכיר, וכן אומן שרגילים למסור לו כלים, וביאר </w:t>
      </w:r>
      <w:r w:rsidR="00FF386B" w:rsidRPr="00551086">
        <w:rPr>
          <w:rStyle w:val="af9"/>
          <w:rFonts w:hint="cs"/>
          <w:rtl/>
        </w:rPr>
        <w:t>המהרי"ט</w:t>
      </w:r>
      <w:r w:rsidR="00FF386B">
        <w:rPr>
          <w:rFonts w:hint="cs"/>
          <w:rtl/>
        </w:rPr>
        <w:t xml:space="preserve"> דכיון שאין בהם חזקה מה שתח"י שלו הוא, א"כ אין כל ריעותא בחזקת מרא קמא שלהם.</w:t>
      </w:r>
    </w:p>
    <w:p w:rsidR="00FF386B" w:rsidRPr="00772638" w:rsidRDefault="00A72F9E" w:rsidP="00FF386B">
      <w:pPr>
        <w:pStyle w:val="a3"/>
        <w:rPr>
          <w:rtl/>
        </w:rPr>
      </w:pPr>
      <w:bookmarkStart w:id="283" w:name="_Toc54038945"/>
      <w:bookmarkStart w:id="284" w:name="_Toc54039039"/>
      <w:bookmarkStart w:id="285" w:name="_Toc54087464"/>
      <w:bookmarkStart w:id="286" w:name="_Toc54109267"/>
      <w:bookmarkStart w:id="287" w:name="_Toc54125666"/>
      <w:bookmarkStart w:id="288" w:name="_Toc54133878"/>
      <w:r>
        <w:rPr>
          <w:rFonts w:hint="cs"/>
          <w:rtl/>
        </w:rPr>
        <w:t>דברי הלבוש דבמטלטלין יש ראיה שקיבל מהבעלים משא"כ בקרקע דיתכן שנכנס שלא ברשות</w:t>
      </w:r>
      <w:bookmarkEnd w:id="283"/>
      <w:bookmarkEnd w:id="284"/>
      <w:bookmarkEnd w:id="285"/>
      <w:bookmarkEnd w:id="286"/>
      <w:bookmarkEnd w:id="287"/>
      <w:bookmarkEnd w:id="288"/>
    </w:p>
    <w:p w:rsidR="00FF386B" w:rsidRDefault="00FF386B" w:rsidP="007E4E81">
      <w:pPr>
        <w:pStyle w:val="a0"/>
        <w:rPr>
          <w:rtl/>
        </w:rPr>
      </w:pPr>
      <w:r>
        <w:rPr>
          <w:rFonts w:hint="cs"/>
          <w:rtl/>
        </w:rPr>
        <w:t xml:space="preserve">כתב </w:t>
      </w:r>
      <w:r w:rsidRPr="00E4673F">
        <w:rPr>
          <w:rStyle w:val="af9"/>
          <w:rFonts w:hint="cs"/>
          <w:rtl/>
        </w:rPr>
        <w:t>הלבוש</w:t>
      </w:r>
      <w:r>
        <w:rPr>
          <w:rFonts w:hint="cs"/>
          <w:rtl/>
        </w:rPr>
        <w:t xml:space="preserve"> </w:t>
      </w:r>
      <w:r w:rsidRPr="0035137A">
        <w:rPr>
          <w:rStyle w:val="af7"/>
          <w:rFonts w:eastAsia="Guttman Hodes" w:hint="cs"/>
          <w:rtl/>
        </w:rPr>
        <w:t>(סי' ק"מ סק"א)</w:t>
      </w:r>
      <w:r>
        <w:rPr>
          <w:rFonts w:hint="cs"/>
          <w:rtl/>
        </w:rPr>
        <w:t xml:space="preserve"> דהא דקרקע בחזקת בעליה עומדת, ואין המחזיק נאמן לטעון לקוחה היא בידי כמו במטלטלין, הוא כיון דבמטלטלין יש רגלים לדבר דהבעלים נתן לו, דאל"כ היאך באו לידו, אבל קרקע שאינה זזה ממקומה, ובכל מקום היא בחזקת הבעלים, לא שייך לומר דיש רגלים לדבר שהיא ברשות המחזיק, דיתכן שהמחזיק נכנס לתוכה ועבד בה בלא ידיעת הבעלים.</w:t>
      </w:r>
    </w:p>
    <w:p w:rsidR="007449F1" w:rsidRPr="00B10938" w:rsidRDefault="007449F1" w:rsidP="007449F1">
      <w:pPr>
        <w:pStyle w:val="1"/>
        <w:rPr>
          <w:rtl/>
        </w:rPr>
      </w:pPr>
      <w:bookmarkStart w:id="289" w:name="_Toc52907763"/>
      <w:bookmarkStart w:id="290" w:name="_Toc53402190"/>
      <w:bookmarkStart w:id="291" w:name="_Toc53941216"/>
      <w:bookmarkStart w:id="292" w:name="_Toc54000501"/>
      <w:bookmarkStart w:id="293" w:name="_Toc54038946"/>
      <w:bookmarkStart w:id="294" w:name="_Toc54039040"/>
      <w:bookmarkStart w:id="295" w:name="_Toc54087465"/>
      <w:bookmarkStart w:id="296" w:name="_Toc54109268"/>
      <w:bookmarkStart w:id="297" w:name="_Toc54125667"/>
      <w:bookmarkStart w:id="298" w:name="_Toc54133879"/>
      <w:r w:rsidRPr="007449F1">
        <w:rPr>
          <w:rFonts w:hint="cs"/>
          <w:rtl/>
        </w:rPr>
        <w:t>הסוברים דקרקע בחזקת בעליה היינו בכל ספק שיש בקרקע</w:t>
      </w:r>
      <w:bookmarkEnd w:id="289"/>
      <w:bookmarkEnd w:id="290"/>
      <w:bookmarkEnd w:id="291"/>
      <w:bookmarkEnd w:id="292"/>
      <w:bookmarkEnd w:id="293"/>
      <w:bookmarkEnd w:id="294"/>
      <w:bookmarkEnd w:id="295"/>
      <w:bookmarkEnd w:id="296"/>
      <w:bookmarkEnd w:id="297"/>
      <w:bookmarkEnd w:id="298"/>
    </w:p>
    <w:p w:rsidR="00C95411" w:rsidRDefault="00256277" w:rsidP="00C95411">
      <w:pPr>
        <w:pStyle w:val="a3"/>
        <w:rPr>
          <w:rtl/>
        </w:rPr>
      </w:pPr>
      <w:bookmarkStart w:id="299" w:name="_Toc54038947"/>
      <w:bookmarkStart w:id="300" w:name="_Toc54039041"/>
      <w:bookmarkStart w:id="301" w:name="_Toc54087466"/>
      <w:bookmarkStart w:id="302" w:name="_Toc54109269"/>
      <w:bookmarkStart w:id="303" w:name="_Toc54125668"/>
      <w:bookmarkStart w:id="304" w:name="_Toc54133880"/>
      <w:r>
        <w:rPr>
          <w:rFonts w:hint="cs"/>
          <w:rtl/>
        </w:rPr>
        <w:t xml:space="preserve">דברי הטור </w:t>
      </w:r>
      <w:r w:rsidR="00E71F64">
        <w:rPr>
          <w:rFonts w:hint="cs"/>
          <w:rtl/>
        </w:rPr>
        <w:t>דבמטלטלין מה שתח"י נאמן לטעון לקוח בידי אבל קרקע בחזקת בעליה עומדת</w:t>
      </w:r>
      <w:bookmarkEnd w:id="299"/>
      <w:bookmarkEnd w:id="300"/>
      <w:bookmarkEnd w:id="301"/>
      <w:bookmarkEnd w:id="302"/>
      <w:bookmarkEnd w:id="303"/>
      <w:bookmarkEnd w:id="304"/>
    </w:p>
    <w:p w:rsidR="00C95411" w:rsidRDefault="00C95411" w:rsidP="007E4E81">
      <w:pPr>
        <w:pStyle w:val="a0"/>
        <w:rPr>
          <w:rtl/>
        </w:rPr>
      </w:pPr>
      <w:bookmarkStart w:id="305" w:name="_Ref54003935"/>
      <w:r>
        <w:rPr>
          <w:rFonts w:hint="cs"/>
          <w:rtl/>
        </w:rPr>
        <w:t xml:space="preserve">כתב </w:t>
      </w:r>
      <w:r w:rsidRPr="009034FE">
        <w:rPr>
          <w:rStyle w:val="af9"/>
          <w:rFonts w:hint="cs"/>
          <w:rtl/>
        </w:rPr>
        <w:t>הטור</w:t>
      </w:r>
      <w:r>
        <w:rPr>
          <w:rFonts w:hint="cs"/>
          <w:rtl/>
        </w:rPr>
        <w:t xml:space="preserve"> </w:t>
      </w:r>
      <w:r w:rsidRPr="009034FE">
        <w:rPr>
          <w:rStyle w:val="af7"/>
          <w:rFonts w:eastAsia="Guttman Hodes" w:hint="cs"/>
          <w:rtl/>
        </w:rPr>
        <w:t xml:space="preserve">(סי' ק"מ א') </w:t>
      </w:r>
      <w:r>
        <w:rPr>
          <w:rFonts w:hint="cs"/>
          <w:rtl/>
        </w:rPr>
        <w:t>דאף שעל מטלטלין שבידו, נאמן אדם לטעון לקוחין הם בידי, מ"מ בקרקע שידועה לראובן ועכשיו היא בחזקת שמעון, ומערער ראובן שהיא גזולה, דהוא נאמן כיון דקרקע בחזקת בעליה עומדת.</w:t>
      </w:r>
      <w:bookmarkEnd w:id="305"/>
    </w:p>
    <w:p w:rsidR="00FF7B34" w:rsidRPr="00FF7B34" w:rsidRDefault="00FF7B34" w:rsidP="00FF7B34">
      <w:pPr>
        <w:pStyle w:val="a3"/>
        <w:rPr>
          <w:rtl/>
        </w:rPr>
      </w:pPr>
    </w:p>
    <w:p w:rsidR="00C95411" w:rsidRPr="00C13E1E" w:rsidRDefault="00E71F64" w:rsidP="00C95411">
      <w:pPr>
        <w:pStyle w:val="a3"/>
        <w:rPr>
          <w:rtl/>
        </w:rPr>
      </w:pPr>
      <w:bookmarkStart w:id="306" w:name="_Toc54038948"/>
      <w:bookmarkStart w:id="307" w:name="_Toc54039042"/>
      <w:bookmarkStart w:id="308" w:name="_Toc54087467"/>
      <w:bookmarkStart w:id="309" w:name="_Toc54109270"/>
      <w:bookmarkStart w:id="310" w:name="_Toc54125669"/>
      <w:bookmarkStart w:id="311" w:name="_Toc54133881"/>
      <w:r>
        <w:rPr>
          <w:rFonts w:hint="cs"/>
          <w:rtl/>
        </w:rPr>
        <w:t xml:space="preserve">דברי הב"י והגר"א דמקור דברי הטור </w:t>
      </w:r>
      <w:r w:rsidR="00474600">
        <w:rPr>
          <w:rFonts w:hint="cs"/>
          <w:rtl/>
        </w:rPr>
        <w:t>מהא דבספיקות בקרקע מעמידים בחזקת הבעלים</w:t>
      </w:r>
      <w:bookmarkEnd w:id="306"/>
      <w:bookmarkEnd w:id="307"/>
      <w:bookmarkEnd w:id="308"/>
      <w:bookmarkEnd w:id="309"/>
      <w:bookmarkEnd w:id="310"/>
      <w:bookmarkEnd w:id="311"/>
    </w:p>
    <w:p w:rsidR="00E71F64" w:rsidRDefault="00256277" w:rsidP="007E4E81">
      <w:pPr>
        <w:pStyle w:val="a0"/>
        <w:rPr>
          <w:rtl/>
        </w:rPr>
      </w:pPr>
      <w:r>
        <w:rPr>
          <w:rFonts w:hint="cs"/>
          <w:rtl/>
        </w:rPr>
        <w:t xml:space="preserve">וכתב </w:t>
      </w:r>
      <w:r w:rsidRPr="009034FE">
        <w:rPr>
          <w:rStyle w:val="af9"/>
          <w:rFonts w:hint="cs"/>
          <w:rtl/>
        </w:rPr>
        <w:t>הב"י</w:t>
      </w:r>
      <w:r w:rsidRPr="009034FE">
        <w:rPr>
          <w:rStyle w:val="af7"/>
          <w:rFonts w:eastAsia="Guttman Hodes" w:hint="cs"/>
          <w:rtl/>
        </w:rPr>
        <w:t xml:space="preserve"> (סי' ק"מ א') </w:t>
      </w:r>
      <w:r>
        <w:rPr>
          <w:rFonts w:hint="cs"/>
          <w:rtl/>
        </w:rPr>
        <w:t>דכן איתא בכמה מקומות בגמ'</w:t>
      </w:r>
      <w:r w:rsidRPr="00C95411">
        <w:rPr>
          <w:rFonts w:hint="cs"/>
          <w:rtl/>
        </w:rPr>
        <w:t xml:space="preserve"> </w:t>
      </w:r>
      <w:r>
        <w:rPr>
          <w:rFonts w:hint="cs"/>
          <w:rtl/>
        </w:rPr>
        <w:t xml:space="preserve">בב"מ </w:t>
      </w:r>
      <w:r w:rsidRPr="009034FE">
        <w:rPr>
          <w:rStyle w:val="af7"/>
          <w:rFonts w:eastAsia="Guttman Hodes" w:hint="cs"/>
          <w:rtl/>
        </w:rPr>
        <w:t>(קב.</w:t>
      </w:r>
      <w:r>
        <w:rPr>
          <w:rStyle w:val="af7"/>
          <w:rFonts w:eastAsia="Guttman Hodes" w:hint="cs"/>
          <w:rtl/>
        </w:rPr>
        <w:t xml:space="preserve">, </w:t>
      </w:r>
      <w:r w:rsidRPr="009034FE">
        <w:rPr>
          <w:rStyle w:val="af7"/>
          <w:rFonts w:eastAsia="Guttman Hodes" w:hint="cs"/>
          <w:rtl/>
        </w:rPr>
        <w:t xml:space="preserve">קי.) </w:t>
      </w:r>
      <w:r>
        <w:rPr>
          <w:rFonts w:hint="cs"/>
          <w:rtl/>
        </w:rPr>
        <w:t xml:space="preserve">דקרקע בחזקת בעליה עומדת, </w:t>
      </w:r>
      <w:r w:rsidR="00C95411">
        <w:rPr>
          <w:rFonts w:hint="cs"/>
          <w:rtl/>
        </w:rPr>
        <w:t>ו</w:t>
      </w:r>
      <w:r>
        <w:rPr>
          <w:rFonts w:hint="cs"/>
          <w:rtl/>
        </w:rPr>
        <w:t xml:space="preserve">כן </w:t>
      </w:r>
      <w:r w:rsidR="00C95411">
        <w:rPr>
          <w:rFonts w:hint="cs"/>
          <w:rtl/>
        </w:rPr>
        <w:t xml:space="preserve">ציין </w:t>
      </w:r>
      <w:r w:rsidR="00C95411" w:rsidRPr="009034FE">
        <w:rPr>
          <w:rStyle w:val="af9"/>
          <w:rFonts w:hint="cs"/>
          <w:rtl/>
        </w:rPr>
        <w:t>הגר"א</w:t>
      </w:r>
      <w:r w:rsidR="00C95411" w:rsidRPr="009034FE">
        <w:rPr>
          <w:rStyle w:val="af7"/>
          <w:rFonts w:eastAsia="Guttman Hodes" w:hint="cs"/>
          <w:rtl/>
        </w:rPr>
        <w:t xml:space="preserve"> (סי' ק"מ סק"א) </w:t>
      </w:r>
      <w:r w:rsidR="00C95411">
        <w:rPr>
          <w:rFonts w:hint="cs"/>
          <w:rtl/>
        </w:rPr>
        <w:t xml:space="preserve">על דברי </w:t>
      </w:r>
      <w:r w:rsidR="00C95411" w:rsidRPr="009034FE">
        <w:rPr>
          <w:rStyle w:val="af9"/>
          <w:rFonts w:hint="cs"/>
          <w:rtl/>
        </w:rPr>
        <w:t>הטור והשו"ע</w:t>
      </w:r>
      <w:r w:rsidR="00C95411">
        <w:rPr>
          <w:rFonts w:hint="cs"/>
          <w:rtl/>
        </w:rPr>
        <w:t xml:space="preserve"> </w:t>
      </w:r>
      <w:r w:rsidR="00C95411" w:rsidRPr="009034FE">
        <w:rPr>
          <w:rStyle w:val="af7"/>
          <w:rFonts w:eastAsia="Guttman Hodes" w:hint="cs"/>
          <w:rtl/>
        </w:rPr>
        <w:t xml:space="preserve">(עי' אות </w:t>
      </w:r>
      <w:r w:rsidR="00C95411" w:rsidRPr="009034FE">
        <w:rPr>
          <w:rStyle w:val="af7"/>
          <w:rFonts w:eastAsia="Guttman Hodes"/>
          <w:rtl/>
        </w:rPr>
        <w:fldChar w:fldCharType="begin"/>
      </w:r>
      <w:r w:rsidR="00C95411" w:rsidRPr="009034FE">
        <w:rPr>
          <w:rStyle w:val="af7"/>
          <w:rFonts w:eastAsia="Guttman Hodes"/>
          <w:rtl/>
        </w:rPr>
        <w:instrText xml:space="preserve"> </w:instrText>
      </w:r>
      <w:r w:rsidR="00C95411" w:rsidRPr="009034FE">
        <w:rPr>
          <w:rStyle w:val="af7"/>
          <w:rFonts w:eastAsia="Guttman Hodes" w:hint="cs"/>
        </w:rPr>
        <w:instrText>REF</w:instrText>
      </w:r>
      <w:r w:rsidR="00C95411" w:rsidRPr="009034FE">
        <w:rPr>
          <w:rStyle w:val="af7"/>
          <w:rFonts w:eastAsia="Guttman Hodes" w:hint="cs"/>
          <w:rtl/>
        </w:rPr>
        <w:instrText xml:space="preserve"> _</w:instrText>
      </w:r>
      <w:r w:rsidR="00C95411" w:rsidRPr="009034FE">
        <w:rPr>
          <w:rStyle w:val="af7"/>
          <w:rFonts w:eastAsia="Guttman Hodes" w:hint="cs"/>
        </w:rPr>
        <w:instrText>Ref54003935 \r \h</w:instrText>
      </w:r>
      <w:r w:rsidR="00C95411" w:rsidRPr="009034FE">
        <w:rPr>
          <w:rStyle w:val="af7"/>
          <w:rFonts w:eastAsia="Guttman Hodes"/>
          <w:rtl/>
        </w:rPr>
        <w:instrText xml:space="preserve"> </w:instrText>
      </w:r>
      <w:r w:rsidR="00C95411" w:rsidRPr="009034FE">
        <w:rPr>
          <w:rStyle w:val="af7"/>
          <w:rFonts w:eastAsia="Guttman Hodes"/>
          <w:rtl/>
        </w:rPr>
      </w:r>
      <w:r w:rsidR="00C95411" w:rsidRPr="009034FE">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00C95411" w:rsidRPr="009034FE">
        <w:rPr>
          <w:rStyle w:val="af7"/>
          <w:rFonts w:eastAsia="Guttman Hodes"/>
          <w:rtl/>
        </w:rPr>
        <w:fldChar w:fldCharType="end"/>
      </w:r>
      <w:r w:rsidR="00C95411">
        <w:rPr>
          <w:rFonts w:hint="cs"/>
          <w:rtl/>
        </w:rPr>
        <w:t xml:space="preserve"> דקרקע בחזקת בעליה עומדת, לגמ' בב"מ </w:t>
      </w:r>
      <w:r w:rsidR="00C95411" w:rsidRPr="009034FE">
        <w:rPr>
          <w:rStyle w:val="af7"/>
          <w:rFonts w:eastAsia="Guttman Hodes" w:hint="cs"/>
          <w:rtl/>
        </w:rPr>
        <w:t xml:space="preserve">(קי.) </w:t>
      </w:r>
      <w:r w:rsidR="00C95411">
        <w:rPr>
          <w:rFonts w:hint="cs"/>
          <w:rtl/>
        </w:rPr>
        <w:t xml:space="preserve">במשכן שדה לחבירו לאכילת פירות, ויש ספק לכמה שנים משכן לו, דאמר רב יהודה דקרקע בחזקת בעליה עומדת, ועוד ציין </w:t>
      </w:r>
      <w:r w:rsidR="00C95411" w:rsidRPr="00256277">
        <w:rPr>
          <w:rStyle w:val="af9"/>
          <w:rFonts w:hint="cs"/>
          <w:rtl/>
        </w:rPr>
        <w:t>הגר"א</w:t>
      </w:r>
      <w:r w:rsidR="00C95411">
        <w:rPr>
          <w:rFonts w:hint="cs"/>
          <w:rtl/>
        </w:rPr>
        <w:t xml:space="preserve"> לגמ' בב"מ </w:t>
      </w:r>
      <w:r w:rsidR="00C95411" w:rsidRPr="009034FE">
        <w:rPr>
          <w:rStyle w:val="af7"/>
          <w:rFonts w:eastAsia="Guttman Hodes" w:hint="cs"/>
          <w:rtl/>
        </w:rPr>
        <w:t xml:space="preserve">(קב.) </w:t>
      </w:r>
      <w:r w:rsidR="00C95411">
        <w:rPr>
          <w:rFonts w:hint="cs"/>
          <w:rtl/>
        </w:rPr>
        <w:t xml:space="preserve">לספק בחודש העיבור, וכדביארו </w:t>
      </w:r>
      <w:r w:rsidR="00C95411" w:rsidRPr="00E4673F">
        <w:rPr>
          <w:rStyle w:val="af9"/>
          <w:rFonts w:hint="cs"/>
          <w:rtl/>
        </w:rPr>
        <w:t>רש"י בב"מ והרשב"ם לקמן</w:t>
      </w:r>
      <w:r w:rsidR="00C95411">
        <w:rPr>
          <w:rFonts w:hint="cs"/>
          <w:rtl/>
        </w:rPr>
        <w:t xml:space="preserve"> </w:t>
      </w:r>
      <w:r w:rsidR="00C95411" w:rsidRPr="009034FE">
        <w:rPr>
          <w:rStyle w:val="af7"/>
          <w:rFonts w:eastAsia="Guttman Hodes" w:hint="cs"/>
          <w:rtl/>
        </w:rPr>
        <w:t>(</w:t>
      </w:r>
      <w:r w:rsidR="00C95411" w:rsidRPr="0045615F">
        <w:rPr>
          <w:rStyle w:val="af7"/>
          <w:rFonts w:eastAsia="Guttman Hodes" w:hint="cs"/>
          <w:rtl/>
        </w:rPr>
        <w:t xml:space="preserve">עי' אות </w:t>
      </w:r>
      <w:r w:rsidR="00C95411" w:rsidRPr="0045615F">
        <w:rPr>
          <w:rStyle w:val="af7"/>
          <w:rFonts w:eastAsia="Guttman Hodes"/>
          <w:rtl/>
        </w:rPr>
        <w:fldChar w:fldCharType="begin"/>
      </w:r>
      <w:r w:rsidR="00C95411" w:rsidRPr="0045615F">
        <w:rPr>
          <w:rStyle w:val="af7"/>
          <w:rFonts w:eastAsia="Guttman Hodes"/>
          <w:rtl/>
        </w:rPr>
        <w:instrText xml:space="preserve"> </w:instrText>
      </w:r>
      <w:r w:rsidR="00C95411" w:rsidRPr="0045615F">
        <w:rPr>
          <w:rStyle w:val="af7"/>
          <w:rFonts w:eastAsia="Guttman Hodes" w:hint="cs"/>
        </w:rPr>
        <w:instrText>REF</w:instrText>
      </w:r>
      <w:r w:rsidR="00C95411" w:rsidRPr="0045615F">
        <w:rPr>
          <w:rStyle w:val="af7"/>
          <w:rFonts w:eastAsia="Guttman Hodes" w:hint="cs"/>
          <w:rtl/>
        </w:rPr>
        <w:instrText xml:space="preserve"> _</w:instrText>
      </w:r>
      <w:r w:rsidR="00C95411" w:rsidRPr="0045615F">
        <w:rPr>
          <w:rStyle w:val="af7"/>
          <w:rFonts w:eastAsia="Guttman Hodes" w:hint="cs"/>
        </w:rPr>
        <w:instrText>Ref54003918 \r \h</w:instrText>
      </w:r>
      <w:r w:rsidR="00C95411" w:rsidRPr="0045615F">
        <w:rPr>
          <w:rStyle w:val="af7"/>
          <w:rFonts w:eastAsia="Guttman Hodes"/>
          <w:rtl/>
        </w:rPr>
        <w:instrText xml:space="preserve"> </w:instrText>
      </w:r>
      <w:r w:rsidR="00C95411" w:rsidRPr="0045615F">
        <w:rPr>
          <w:rStyle w:val="af7"/>
          <w:rFonts w:eastAsia="Guttman Hodes"/>
          <w:rtl/>
        </w:rPr>
      </w:r>
      <w:r w:rsidR="00C95411" w:rsidRPr="0045615F">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00C95411" w:rsidRPr="0045615F">
        <w:rPr>
          <w:rStyle w:val="af7"/>
          <w:rFonts w:eastAsia="Guttman Hodes"/>
          <w:rtl/>
        </w:rPr>
        <w:fldChar w:fldCharType="end"/>
      </w:r>
      <w:r w:rsidR="00E71F64">
        <w:rPr>
          <w:rFonts w:hint="cs"/>
          <w:rtl/>
        </w:rPr>
        <w:t>.</w:t>
      </w:r>
    </w:p>
    <w:p w:rsidR="00E71F64" w:rsidRPr="00E71F64" w:rsidRDefault="00474600" w:rsidP="00E71F64">
      <w:pPr>
        <w:pStyle w:val="a3"/>
      </w:pPr>
      <w:bookmarkStart w:id="312" w:name="_Toc54038949"/>
      <w:bookmarkStart w:id="313" w:name="_Toc54039043"/>
      <w:bookmarkStart w:id="314" w:name="_Toc54087468"/>
      <w:bookmarkStart w:id="315" w:name="_Toc54109271"/>
      <w:bookmarkStart w:id="316" w:name="_Toc54125670"/>
      <w:bookmarkStart w:id="317" w:name="_Toc54133882"/>
      <w:r>
        <w:rPr>
          <w:rFonts w:hint="cs"/>
          <w:rtl/>
        </w:rPr>
        <w:t>דברי הגר"א דכן מצינו בירושלמי דכהעמידו ב"ד ביד המחזיק ואח"כ יש ספק היא בחזקתו</w:t>
      </w:r>
      <w:bookmarkEnd w:id="312"/>
      <w:bookmarkEnd w:id="313"/>
      <w:bookmarkEnd w:id="314"/>
      <w:bookmarkEnd w:id="315"/>
      <w:bookmarkEnd w:id="316"/>
      <w:bookmarkEnd w:id="317"/>
    </w:p>
    <w:p w:rsidR="00C95411" w:rsidRDefault="00C95411" w:rsidP="007E4E81">
      <w:pPr>
        <w:pStyle w:val="a0"/>
        <w:rPr>
          <w:rtl/>
        </w:rPr>
      </w:pPr>
      <w:r>
        <w:rPr>
          <w:rFonts w:hint="cs"/>
          <w:rtl/>
        </w:rPr>
        <w:t xml:space="preserve">ועוד ציין </w:t>
      </w:r>
      <w:r w:rsidRPr="00E4673F">
        <w:rPr>
          <w:rStyle w:val="af9"/>
          <w:rFonts w:hint="cs"/>
          <w:rtl/>
        </w:rPr>
        <w:t>הגר"א</w:t>
      </w:r>
      <w:r>
        <w:rPr>
          <w:rFonts w:hint="cs"/>
          <w:rtl/>
        </w:rPr>
        <w:t xml:space="preserve"> לדברי הירושלמי בפירקין </w:t>
      </w:r>
      <w:r w:rsidRPr="0035137A">
        <w:rPr>
          <w:rStyle w:val="af7"/>
          <w:rFonts w:eastAsia="Guttman Hodes" w:hint="cs"/>
          <w:rtl/>
        </w:rPr>
        <w:t>(ה"ד, י.)</w:t>
      </w:r>
      <w:r>
        <w:rPr>
          <w:rFonts w:hint="cs"/>
          <w:rtl/>
        </w:rPr>
        <w:t xml:space="preserve"> דאם הביא המערער עדים שאביו החזיק בקרקע בשעת מיתתו, והעמידו ב"ד את הקרקע בחזקת המערער, ואח"כ הביא המחזיק עדים שהכחישו את העדים הראשונים, ואמר רבי יוסי דכיון דקרקע בחזקת בעליה עומדת, אין מוציאין אותה מיד המערער, שהוא נמצא בתוכה עכשיו, והוא המוחזק בה והמוציא ממנו עליו להביא ראיה.</w:t>
      </w:r>
    </w:p>
    <w:p w:rsidR="007449F1" w:rsidRDefault="0002167D" w:rsidP="007449F1">
      <w:pPr>
        <w:pStyle w:val="a3"/>
      </w:pPr>
      <w:bookmarkStart w:id="318" w:name="_Toc54038950"/>
      <w:bookmarkStart w:id="319" w:name="_Toc54039044"/>
      <w:bookmarkStart w:id="320" w:name="_Toc54087469"/>
      <w:bookmarkStart w:id="321" w:name="_Toc54109272"/>
      <w:bookmarkStart w:id="322" w:name="_Toc54125671"/>
      <w:bookmarkStart w:id="323" w:name="_Toc54133883"/>
      <w:r>
        <w:rPr>
          <w:rFonts w:hint="cs"/>
          <w:rtl/>
        </w:rPr>
        <w:t>דברי רש"י בב"מ והרשב"ם לקמן דבספק בחודש העיבור הקרקע בחזקת בעליה עומדת</w:t>
      </w:r>
      <w:bookmarkEnd w:id="318"/>
      <w:bookmarkEnd w:id="319"/>
      <w:bookmarkEnd w:id="320"/>
      <w:bookmarkEnd w:id="321"/>
      <w:bookmarkEnd w:id="322"/>
      <w:bookmarkEnd w:id="323"/>
    </w:p>
    <w:p w:rsidR="007449F1" w:rsidRDefault="007449F1" w:rsidP="007E4E81">
      <w:pPr>
        <w:pStyle w:val="a0"/>
        <w:rPr>
          <w:rtl/>
        </w:rPr>
      </w:pPr>
      <w:bookmarkStart w:id="324" w:name="_Ref54003918"/>
      <w:r>
        <w:rPr>
          <w:rFonts w:hint="cs"/>
          <w:rtl/>
        </w:rPr>
        <w:t xml:space="preserve">וע"ע בדברי </w:t>
      </w:r>
      <w:r w:rsidRPr="0035137A">
        <w:rPr>
          <w:rStyle w:val="af9"/>
          <w:rFonts w:hint="cs"/>
          <w:rtl/>
        </w:rPr>
        <w:t>רש"י בב"מ</w:t>
      </w:r>
      <w:r>
        <w:rPr>
          <w:rFonts w:hint="cs"/>
          <w:rtl/>
        </w:rPr>
        <w:t xml:space="preserve"> </w:t>
      </w:r>
      <w:r w:rsidRPr="0035137A">
        <w:rPr>
          <w:rStyle w:val="af7"/>
          <w:rFonts w:eastAsia="Guttman Hodes" w:hint="cs"/>
          <w:rtl/>
        </w:rPr>
        <w:t>(קב: ד"ה ורב נחמן)</w:t>
      </w:r>
      <w:r>
        <w:rPr>
          <w:rFonts w:hint="cs"/>
          <w:rtl/>
        </w:rPr>
        <w:t xml:space="preserve"> דכתב דבהשכיר מרחץ ויש ספק אם השכירו גם לחודש העיבור, דאמר רב נחמן דקרקע בחזקת בעליה עומדת, והוא ברשות המשכיר, וביאר </w:t>
      </w:r>
      <w:r w:rsidRPr="0035137A">
        <w:rPr>
          <w:rStyle w:val="af9"/>
          <w:rFonts w:hint="cs"/>
          <w:rtl/>
        </w:rPr>
        <w:t>רש"י</w:t>
      </w:r>
      <w:r>
        <w:rPr>
          <w:rFonts w:hint="cs"/>
          <w:rtl/>
        </w:rPr>
        <w:t xml:space="preserve"> דאף בבאו לב"ד בסוף החודש, </w:t>
      </w:r>
      <w:r w:rsidRPr="0035137A">
        <w:rPr>
          <w:rStyle w:val="afb"/>
          <w:rFonts w:hint="cs"/>
          <w:rtl/>
        </w:rPr>
        <w:t xml:space="preserve">[והנדון הוא אינו על המרחץ עצמו אלא על דמי השכירות], </w:t>
      </w:r>
      <w:r>
        <w:rPr>
          <w:rFonts w:hint="cs"/>
          <w:rtl/>
        </w:rPr>
        <w:t xml:space="preserve">מ"מ הספק עצמו נולד בתחילת החודש, </w:t>
      </w:r>
      <w:r w:rsidRPr="0035137A">
        <w:rPr>
          <w:rStyle w:val="afb"/>
          <w:rFonts w:hint="cs"/>
          <w:rtl/>
        </w:rPr>
        <w:t>[וא"כ הספק הוא על המרחץ],</w:t>
      </w:r>
      <w:r>
        <w:rPr>
          <w:rFonts w:hint="cs"/>
          <w:rtl/>
        </w:rPr>
        <w:t xml:space="preserve"> ולכן אמרינן דקרקע בחזקת בעליה עומדת, וכ"כ</w:t>
      </w:r>
      <w:r w:rsidRPr="00542C3F">
        <w:rPr>
          <w:rFonts w:hint="cs"/>
          <w:rtl/>
        </w:rPr>
        <w:t xml:space="preserve"> </w:t>
      </w:r>
      <w:r w:rsidRPr="0035137A">
        <w:rPr>
          <w:rStyle w:val="af9"/>
          <w:rFonts w:hint="cs"/>
          <w:rtl/>
        </w:rPr>
        <w:t>הרשב"ם לקמן</w:t>
      </w:r>
      <w:r>
        <w:rPr>
          <w:rFonts w:hint="cs"/>
          <w:rtl/>
        </w:rPr>
        <w:t xml:space="preserve"> </w:t>
      </w:r>
      <w:r w:rsidRPr="0035137A">
        <w:rPr>
          <w:rStyle w:val="af7"/>
          <w:rFonts w:eastAsia="Guttman Hodes" w:hint="cs"/>
          <w:rtl/>
        </w:rPr>
        <w:t>(קה: ד"ה דהתם)</w:t>
      </w:r>
      <w:r>
        <w:rPr>
          <w:rFonts w:hint="cs"/>
          <w:rtl/>
        </w:rPr>
        <w:t>.</w:t>
      </w:r>
      <w:bookmarkEnd w:id="324"/>
    </w:p>
    <w:p w:rsidR="00FF386B" w:rsidRPr="00B20A0A" w:rsidRDefault="00A72F9E" w:rsidP="00A72F9E">
      <w:pPr>
        <w:pStyle w:val="a3"/>
        <w:rPr>
          <w:rtl/>
        </w:rPr>
      </w:pPr>
      <w:bookmarkStart w:id="325" w:name="_Toc54038951"/>
      <w:bookmarkStart w:id="326" w:name="_Toc54039045"/>
      <w:bookmarkStart w:id="327" w:name="_Toc54087470"/>
      <w:bookmarkStart w:id="328" w:name="_Toc54109273"/>
      <w:bookmarkStart w:id="329" w:name="_Toc54125672"/>
      <w:bookmarkStart w:id="330" w:name="_Toc54133884"/>
      <w:r>
        <w:rPr>
          <w:rFonts w:hint="cs"/>
          <w:rtl/>
        </w:rPr>
        <w:t>דברי התוס' בב"מ דקרקע בחזקת בעליה דא"א לשומטה מהבעלים אבל מטלטלין הוא תפוס בהם</w:t>
      </w:r>
      <w:bookmarkEnd w:id="325"/>
      <w:bookmarkEnd w:id="326"/>
      <w:bookmarkEnd w:id="327"/>
      <w:bookmarkEnd w:id="328"/>
      <w:bookmarkEnd w:id="329"/>
      <w:bookmarkEnd w:id="330"/>
    </w:p>
    <w:p w:rsidR="00FF386B" w:rsidRDefault="007449F1" w:rsidP="007E4E81">
      <w:pPr>
        <w:pStyle w:val="a0"/>
        <w:rPr>
          <w:rtl/>
        </w:rPr>
      </w:pPr>
      <w:r>
        <w:rPr>
          <w:rFonts w:hint="cs"/>
          <w:rtl/>
        </w:rPr>
        <w:t>וע"ע בדברי</w:t>
      </w:r>
      <w:r w:rsidR="00FF386B">
        <w:rPr>
          <w:rFonts w:hint="cs"/>
          <w:rtl/>
        </w:rPr>
        <w:t xml:space="preserve"> </w:t>
      </w:r>
      <w:r w:rsidR="00FF386B" w:rsidRPr="00E4673F">
        <w:rPr>
          <w:rStyle w:val="af9"/>
          <w:rFonts w:hint="cs"/>
          <w:rtl/>
        </w:rPr>
        <w:t>התוס' בב"מ</w:t>
      </w:r>
      <w:r w:rsidR="00FF386B">
        <w:rPr>
          <w:rFonts w:hint="cs"/>
          <w:rtl/>
        </w:rPr>
        <w:t xml:space="preserve"> </w:t>
      </w:r>
      <w:r w:rsidR="00FF386B" w:rsidRPr="0035137A">
        <w:rPr>
          <w:rStyle w:val="af7"/>
          <w:rFonts w:eastAsia="Guttman Hodes" w:hint="cs"/>
          <w:rtl/>
        </w:rPr>
        <w:t>(קג. ד"ה פרדיסי)</w:t>
      </w:r>
      <w:r w:rsidR="00FF386B">
        <w:rPr>
          <w:rFonts w:hint="cs"/>
          <w:rtl/>
        </w:rPr>
        <w:t xml:space="preserve"> </w:t>
      </w:r>
      <w:r>
        <w:rPr>
          <w:rFonts w:hint="cs"/>
          <w:rtl/>
        </w:rPr>
        <w:t xml:space="preserve">דכתבו </w:t>
      </w:r>
      <w:r w:rsidR="00FF386B">
        <w:rPr>
          <w:rFonts w:hint="cs"/>
          <w:rtl/>
        </w:rPr>
        <w:t xml:space="preserve">דבשואל חפץ מחבירו ויש ספק לכמה זמן השאילו, דאין השואל נחשב מוחזק, כיון שסופו להחזיר את החפץ השאול לבעלים, ודמי לקרקע דבחזקת בעליה עומדת, אך דחו </w:t>
      </w:r>
      <w:r w:rsidR="00FF386B" w:rsidRPr="00E4673F">
        <w:rPr>
          <w:rStyle w:val="af9"/>
          <w:rFonts w:hint="cs"/>
          <w:rtl/>
        </w:rPr>
        <w:t>התוס' בב"מ</w:t>
      </w:r>
      <w:r w:rsidR="00FF386B">
        <w:rPr>
          <w:rFonts w:hint="cs"/>
          <w:rtl/>
        </w:rPr>
        <w:t xml:space="preserve"> דהא דקרקע בחזקת בעליה עומדת, הוא כיון שא"א להצניע אותה ולשמוט אותה מהבעלים, אבל במטלטלין אף בסופו להחזיר, מ"מ כל שעכשיו הוא תופס בחפץ חשיב כמוחזק.</w:t>
      </w:r>
    </w:p>
    <w:p w:rsidR="00FF386B" w:rsidRPr="009A205C" w:rsidRDefault="00A766B4" w:rsidP="00A766B4">
      <w:pPr>
        <w:pStyle w:val="a3"/>
        <w:rPr>
          <w:rtl/>
        </w:rPr>
      </w:pPr>
      <w:bookmarkStart w:id="331" w:name="_Toc54038952"/>
      <w:bookmarkStart w:id="332" w:name="_Toc54039046"/>
      <w:bookmarkStart w:id="333" w:name="_Toc54087471"/>
      <w:bookmarkStart w:id="334" w:name="_Toc54109274"/>
      <w:bookmarkStart w:id="335" w:name="_Toc54125673"/>
      <w:bookmarkStart w:id="336" w:name="_Toc54133885"/>
      <w:r>
        <w:rPr>
          <w:rFonts w:hint="cs"/>
          <w:rtl/>
        </w:rPr>
        <w:t>דברי התוס' בכתובות דכשמכר ויש ספק אם חלה המכירה רק בקרקע מעמידים בחזקת המוכר</w:t>
      </w:r>
      <w:bookmarkEnd w:id="331"/>
      <w:bookmarkEnd w:id="332"/>
      <w:bookmarkEnd w:id="333"/>
      <w:bookmarkEnd w:id="334"/>
      <w:bookmarkEnd w:id="335"/>
      <w:bookmarkEnd w:id="336"/>
    </w:p>
    <w:p w:rsidR="00FF386B" w:rsidRDefault="00FF386B" w:rsidP="007E4E81">
      <w:pPr>
        <w:pStyle w:val="a0"/>
        <w:rPr>
          <w:rtl/>
        </w:rPr>
      </w:pPr>
      <w:r>
        <w:rPr>
          <w:rFonts w:hint="cs"/>
          <w:rtl/>
        </w:rPr>
        <w:t xml:space="preserve">וע"ע בדברי </w:t>
      </w:r>
      <w:r w:rsidRPr="00E4673F">
        <w:rPr>
          <w:rStyle w:val="af9"/>
          <w:rFonts w:hint="cs"/>
          <w:rtl/>
        </w:rPr>
        <w:t>התוס' בכתובות</w:t>
      </w:r>
      <w:r>
        <w:rPr>
          <w:rFonts w:hint="cs"/>
          <w:rtl/>
        </w:rPr>
        <w:t xml:space="preserve"> </w:t>
      </w:r>
      <w:r w:rsidRPr="0035137A">
        <w:rPr>
          <w:rStyle w:val="af7"/>
          <w:rFonts w:eastAsia="Guttman Hodes" w:hint="cs"/>
          <w:rtl/>
        </w:rPr>
        <w:t>(כ. ד"ה ואוקי ארעא)</w:t>
      </w:r>
      <w:r>
        <w:rPr>
          <w:rFonts w:hint="cs"/>
          <w:rtl/>
        </w:rPr>
        <w:t xml:space="preserve"> דכתבו דבבר שטיא שמכר </w:t>
      </w:r>
      <w:r w:rsidR="00A766B4">
        <w:rPr>
          <w:rFonts w:hint="cs"/>
          <w:rtl/>
        </w:rPr>
        <w:t xml:space="preserve">את </w:t>
      </w:r>
      <w:r>
        <w:rPr>
          <w:rFonts w:hint="cs"/>
          <w:rtl/>
        </w:rPr>
        <w:t>נכסיו</w:t>
      </w:r>
      <w:r w:rsidR="00A766B4">
        <w:rPr>
          <w:rFonts w:hint="cs"/>
          <w:rtl/>
        </w:rPr>
        <w:t>,</w:t>
      </w:r>
      <w:r>
        <w:rPr>
          <w:rFonts w:hint="cs"/>
          <w:rtl/>
        </w:rPr>
        <w:t xml:space="preserve"> ויש ספק אם מכרן כשהוא שוטה או פיקח, דהא דאמרינן דמעמידים את הנכסים בחזקתו, היינו דוקא בקרקע, אבל במטלטלין מעמידים בחזקת המוחזק בהם.</w:t>
      </w:r>
    </w:p>
    <w:p w:rsidR="00FF386B" w:rsidRDefault="00FF386B" w:rsidP="00FF386B">
      <w:pPr>
        <w:pStyle w:val="afe"/>
        <w:rPr>
          <w:rtl/>
        </w:rPr>
      </w:pPr>
      <w:bookmarkStart w:id="337" w:name="_Toc52907764"/>
      <w:bookmarkStart w:id="338" w:name="_Toc53402191"/>
      <w:bookmarkStart w:id="339" w:name="_Toc54000502"/>
      <w:bookmarkStart w:id="340" w:name="_Toc54038953"/>
      <w:bookmarkStart w:id="341" w:name="_Toc54039047"/>
      <w:bookmarkStart w:id="342" w:name="_Toc54087472"/>
      <w:bookmarkStart w:id="343" w:name="_Toc54109275"/>
      <w:bookmarkStart w:id="344" w:name="_Toc54125674"/>
      <w:bookmarkStart w:id="345" w:name="_Toc54133886"/>
      <w:bookmarkStart w:id="346" w:name="_Toc53941217"/>
      <w:r>
        <w:rPr>
          <w:rFonts w:hint="cs"/>
          <w:rtl/>
        </w:rPr>
        <w:t>בגדר מוחזקות המחזיק בחזקת ג"ש</w:t>
      </w:r>
      <w:bookmarkEnd w:id="337"/>
      <w:bookmarkEnd w:id="338"/>
      <w:bookmarkEnd w:id="339"/>
      <w:bookmarkEnd w:id="340"/>
      <w:bookmarkEnd w:id="341"/>
      <w:bookmarkEnd w:id="342"/>
      <w:bookmarkEnd w:id="343"/>
      <w:bookmarkEnd w:id="344"/>
      <w:bookmarkEnd w:id="345"/>
    </w:p>
    <w:p w:rsidR="00FF386B" w:rsidRDefault="00FF386B" w:rsidP="00FF386B">
      <w:pPr>
        <w:pStyle w:val="1"/>
        <w:rPr>
          <w:rtl/>
        </w:rPr>
      </w:pPr>
      <w:bookmarkStart w:id="347" w:name="_Toc54000503"/>
      <w:bookmarkStart w:id="348" w:name="_Toc54038954"/>
      <w:bookmarkStart w:id="349" w:name="_Toc54039048"/>
      <w:bookmarkStart w:id="350" w:name="_Toc54087473"/>
      <w:bookmarkStart w:id="351" w:name="_Toc54109276"/>
      <w:bookmarkStart w:id="352" w:name="_Toc54125675"/>
      <w:bookmarkStart w:id="353" w:name="_Toc54133887"/>
      <w:r>
        <w:rPr>
          <w:rFonts w:hint="cs"/>
          <w:rtl/>
        </w:rPr>
        <w:t>דברי התוס' בתי' הב' והרמב"ן והרשב"א דבג"ש חשיב כמוחזק</w:t>
      </w:r>
      <w:bookmarkEnd w:id="346"/>
      <w:bookmarkEnd w:id="347"/>
      <w:bookmarkEnd w:id="348"/>
      <w:bookmarkEnd w:id="349"/>
      <w:bookmarkEnd w:id="350"/>
      <w:bookmarkEnd w:id="351"/>
      <w:bookmarkEnd w:id="352"/>
      <w:bookmarkEnd w:id="353"/>
    </w:p>
    <w:p w:rsidR="00FF386B" w:rsidRDefault="00A906F9" w:rsidP="00FF386B">
      <w:pPr>
        <w:pStyle w:val="a3"/>
        <w:rPr>
          <w:rtl/>
        </w:rPr>
      </w:pPr>
      <w:bookmarkStart w:id="354" w:name="_Toc54038955"/>
      <w:bookmarkStart w:id="355" w:name="_Toc54039049"/>
      <w:bookmarkStart w:id="356" w:name="_Toc54087474"/>
      <w:bookmarkStart w:id="357" w:name="_Toc54109277"/>
      <w:bookmarkStart w:id="358" w:name="_Toc54125676"/>
      <w:bookmarkStart w:id="359" w:name="_Toc54133888"/>
      <w:r>
        <w:rPr>
          <w:rFonts w:hint="cs"/>
          <w:rtl/>
        </w:rPr>
        <w:t>קושית התוס' בב"מ דיהיה המער</w:t>
      </w:r>
      <w:r w:rsidR="0041058C">
        <w:rPr>
          <w:rFonts w:hint="cs"/>
          <w:rtl/>
        </w:rPr>
        <w:t>ער נאמן דגזלה ממנו במיגו דנתן לו לאוכלה במשכתנא</w:t>
      </w:r>
      <w:bookmarkEnd w:id="354"/>
      <w:bookmarkEnd w:id="355"/>
      <w:bookmarkEnd w:id="356"/>
      <w:bookmarkEnd w:id="357"/>
      <w:bookmarkEnd w:id="358"/>
      <w:bookmarkEnd w:id="359"/>
    </w:p>
    <w:p w:rsidR="00F51267" w:rsidRDefault="00F51267" w:rsidP="007E4E81">
      <w:pPr>
        <w:pStyle w:val="a0"/>
        <w:rPr>
          <w:rtl/>
        </w:rPr>
      </w:pPr>
      <w:r>
        <w:rPr>
          <w:rFonts w:hint="cs"/>
          <w:rtl/>
        </w:rPr>
        <w:lastRenderedPageBreak/>
        <w:t xml:space="preserve">כתבו </w:t>
      </w:r>
      <w:r w:rsidRPr="00E4673F">
        <w:rPr>
          <w:rStyle w:val="af9"/>
          <w:rFonts w:hint="cs"/>
          <w:rtl/>
        </w:rPr>
        <w:t>התוס' בב"מ</w:t>
      </w:r>
      <w:r w:rsidRPr="00463A2C">
        <w:rPr>
          <w:rStyle w:val="af7"/>
          <w:rFonts w:eastAsia="Guttman Hodes" w:hint="cs"/>
          <w:rtl/>
        </w:rPr>
        <w:t xml:space="preserve"> (קי. ד"ה א"ל) </w:t>
      </w:r>
      <w:r>
        <w:rPr>
          <w:rFonts w:hint="cs"/>
          <w:rtl/>
        </w:rPr>
        <w:t xml:space="preserve">דהא דבחזקת ג"ש, המחזיק נאמן לומר דהשדה לקוחה בידו, היינו דוקא כשטוען המערער דהיא גזולה ביד המחזיק, אבל אם טוען המערער דהמחזיק אכלה במשכנתא דסורא, הוא נאמן בטענה זו, מבואר בגמ' בב"מ </w:t>
      </w:r>
      <w:r w:rsidRPr="0035137A">
        <w:rPr>
          <w:rStyle w:val="af7"/>
          <w:rFonts w:eastAsia="Guttman Hodes" w:hint="cs"/>
          <w:rtl/>
        </w:rPr>
        <w:t>(קי.)</w:t>
      </w:r>
      <w:r>
        <w:rPr>
          <w:rFonts w:hint="cs"/>
          <w:rtl/>
        </w:rPr>
        <w:t xml:space="preserve">, אך הקשו </w:t>
      </w:r>
      <w:r w:rsidRPr="00E4673F">
        <w:rPr>
          <w:rStyle w:val="af9"/>
          <w:rFonts w:hint="cs"/>
          <w:rtl/>
        </w:rPr>
        <w:t xml:space="preserve">התוס' </w:t>
      </w:r>
      <w:r>
        <w:rPr>
          <w:rFonts w:hint="cs"/>
          <w:rtl/>
        </w:rPr>
        <w:t>דאף בחזקת ג"ש יוכל המערער לטעון דהיא גזולה ביד המחזיק, במיגו דהיה טוען דהמחזיק אכלה במשכנתא דסורא.</w:t>
      </w:r>
    </w:p>
    <w:p w:rsidR="00FF386B" w:rsidRPr="0042148D" w:rsidRDefault="0041058C" w:rsidP="00FF386B">
      <w:pPr>
        <w:pStyle w:val="a3"/>
      </w:pPr>
      <w:bookmarkStart w:id="360" w:name="_Toc54038956"/>
      <w:bookmarkStart w:id="361" w:name="_Toc54039050"/>
      <w:bookmarkStart w:id="362" w:name="_Toc54087475"/>
      <w:bookmarkStart w:id="363" w:name="_Toc54109278"/>
      <w:bookmarkStart w:id="364" w:name="_Toc54125677"/>
      <w:bookmarkStart w:id="365" w:name="_Toc54133889"/>
      <w:r>
        <w:rPr>
          <w:rFonts w:hint="cs"/>
          <w:rtl/>
        </w:rPr>
        <w:t>התי' הב' בתוס' בב"מ דכיון שהמחזיק אכל שני חזקה הוא המוחזק והוי מיגו להוציא</w:t>
      </w:r>
      <w:bookmarkEnd w:id="360"/>
      <w:bookmarkEnd w:id="361"/>
      <w:bookmarkEnd w:id="362"/>
      <w:bookmarkEnd w:id="363"/>
      <w:bookmarkEnd w:id="364"/>
      <w:bookmarkEnd w:id="365"/>
    </w:p>
    <w:p w:rsidR="00FF386B" w:rsidRDefault="00FF386B" w:rsidP="007E4E81">
      <w:pPr>
        <w:pStyle w:val="a0"/>
        <w:rPr>
          <w:rtl/>
        </w:rPr>
      </w:pPr>
      <w:bookmarkStart w:id="366" w:name="_Ref54111760"/>
      <w:r>
        <w:rPr>
          <w:rFonts w:hint="cs"/>
          <w:rtl/>
        </w:rPr>
        <w:t xml:space="preserve">ותירצו </w:t>
      </w:r>
      <w:r w:rsidRPr="00E4673F">
        <w:rPr>
          <w:rStyle w:val="af9"/>
          <w:rFonts w:hint="cs"/>
          <w:rtl/>
        </w:rPr>
        <w:t>התוס' בב"מ בתירוצם הא'</w:t>
      </w:r>
      <w:r>
        <w:rPr>
          <w:rFonts w:hint="cs"/>
          <w:rtl/>
        </w:rPr>
        <w:t xml:space="preserve"> דהטוען גזולה היא ביד המחזיק, במיגו דנתן לו לאוכלה במשכנתא, חשיב מיגו במקום עדים, דאנן סהדי דאם היה המחזיק דר בה ג"ש, לא היה המערער שותק</w:t>
      </w:r>
      <w:r w:rsidR="00A906F9">
        <w:rPr>
          <w:rFonts w:hint="cs"/>
          <w:rtl/>
        </w:rPr>
        <w:t>,</w:t>
      </w:r>
      <w:r w:rsidR="00EF4D2D">
        <w:rPr>
          <w:rFonts w:hint="cs"/>
          <w:rtl/>
        </w:rPr>
        <w:t xml:space="preserve"> </w:t>
      </w:r>
      <w:r w:rsidR="00EF4D2D" w:rsidRPr="00EF4D2D">
        <w:rPr>
          <w:rStyle w:val="afb"/>
          <w:rFonts w:hint="cs"/>
          <w:rtl/>
        </w:rPr>
        <w:t xml:space="preserve">[ועי' במה שביאר בזה </w:t>
      </w:r>
      <w:r w:rsidR="00EF4D2D" w:rsidRPr="00EF4D2D">
        <w:rPr>
          <w:rStyle w:val="affa"/>
          <w:rFonts w:hint="cs"/>
          <w:rtl/>
        </w:rPr>
        <w:t>בחי' רבי נחום</w:t>
      </w:r>
      <w:r w:rsidR="00EF4D2D" w:rsidRPr="00EF4D2D">
        <w:rPr>
          <w:rStyle w:val="afb"/>
          <w:rFonts w:hint="cs"/>
          <w:rtl/>
        </w:rPr>
        <w:t xml:space="preserve"> </w:t>
      </w:r>
      <w:r w:rsidR="00EF4D2D" w:rsidRPr="00EF4D2D">
        <w:rPr>
          <w:rStyle w:val="aff6"/>
          <w:rFonts w:hint="cs"/>
          <w:rtl/>
        </w:rPr>
        <w:t>(או' א' ד"ה בגדר</w:t>
      </w:r>
      <w:r w:rsidR="00D0055D">
        <w:rPr>
          <w:rStyle w:val="aff6"/>
          <w:rFonts w:hint="cs"/>
          <w:rtl/>
        </w:rPr>
        <w:t>, הובא בסימן ו' אות ק"י)</w:t>
      </w:r>
      <w:r w:rsidR="00D0055D">
        <w:rPr>
          <w:rStyle w:val="afb"/>
          <w:rFonts w:hint="cs"/>
          <w:rtl/>
        </w:rPr>
        <w:t>]</w:t>
      </w:r>
      <w:r w:rsidR="00EF4D2D" w:rsidRPr="00EF4D2D">
        <w:rPr>
          <w:rStyle w:val="afb"/>
          <w:rFonts w:hint="cs"/>
          <w:rtl/>
        </w:rPr>
        <w:t>,</w:t>
      </w:r>
      <w:r w:rsidR="00A906F9">
        <w:rPr>
          <w:rFonts w:hint="cs"/>
          <w:rtl/>
        </w:rPr>
        <w:t xml:space="preserve"> </w:t>
      </w:r>
      <w:r>
        <w:rPr>
          <w:rFonts w:hint="cs"/>
          <w:rtl/>
        </w:rPr>
        <w:t xml:space="preserve">ועוד תירצו </w:t>
      </w:r>
      <w:r w:rsidRPr="0035137A">
        <w:rPr>
          <w:rStyle w:val="af9"/>
          <w:rFonts w:hint="cs"/>
          <w:rtl/>
        </w:rPr>
        <w:t>התוס' בב"מ בתירוצם הב'</w:t>
      </w:r>
      <w:r>
        <w:rPr>
          <w:rFonts w:hint="cs"/>
          <w:rtl/>
        </w:rPr>
        <w:t xml:space="preserve"> </w:t>
      </w:r>
      <w:r w:rsidR="0041058C">
        <w:rPr>
          <w:rFonts w:hint="cs"/>
          <w:rtl/>
        </w:rPr>
        <w:t>ד</w:t>
      </w:r>
      <w:r>
        <w:rPr>
          <w:rFonts w:hint="cs"/>
          <w:rtl/>
        </w:rPr>
        <w:t>חשיב מיגו מיגו להוציא דכיון שהמחזיק אכלה שני חזקה, חשיב שהוא המוחזק.</w:t>
      </w:r>
      <w:bookmarkEnd w:id="366"/>
    </w:p>
    <w:p w:rsidR="008E18DB" w:rsidRDefault="008E18DB" w:rsidP="00F2523B">
      <w:pPr>
        <w:pStyle w:val="a3"/>
        <w:rPr>
          <w:rtl/>
        </w:rPr>
      </w:pPr>
      <w:bookmarkStart w:id="367" w:name="_Toc54038957"/>
      <w:bookmarkStart w:id="368" w:name="_Toc54039051"/>
      <w:bookmarkStart w:id="369" w:name="_Toc54087476"/>
      <w:bookmarkStart w:id="370" w:name="_Toc54109279"/>
      <w:bookmarkStart w:id="371" w:name="_Toc54125678"/>
      <w:bookmarkStart w:id="372" w:name="_Toc54133890"/>
      <w:r>
        <w:rPr>
          <w:rFonts w:hint="cs"/>
          <w:rtl/>
        </w:rPr>
        <w:t>דברי הר"י מגאש ד</w:t>
      </w:r>
      <w:r w:rsidR="00696CA1">
        <w:rPr>
          <w:rFonts w:hint="cs"/>
          <w:rtl/>
        </w:rPr>
        <w:t xml:space="preserve">המחזיק בקרקע בשטר </w:t>
      </w:r>
      <w:r w:rsidR="00F2523B">
        <w:rPr>
          <w:rFonts w:hint="cs"/>
          <w:rtl/>
        </w:rPr>
        <w:t>מסופק</w:t>
      </w:r>
      <w:r w:rsidR="00696CA1">
        <w:rPr>
          <w:rFonts w:hint="cs"/>
          <w:rtl/>
        </w:rPr>
        <w:t xml:space="preserve"> </w:t>
      </w:r>
      <w:r w:rsidR="0031007E">
        <w:rPr>
          <w:rFonts w:hint="cs"/>
          <w:rtl/>
        </w:rPr>
        <w:t>וטוען מיגו הוא מיגו להוציא מ</w:t>
      </w:r>
      <w:r w:rsidR="00696CA1">
        <w:rPr>
          <w:rFonts w:hint="cs"/>
          <w:rtl/>
        </w:rPr>
        <w:t>המר"</w:t>
      </w:r>
      <w:r w:rsidR="0031007E">
        <w:rPr>
          <w:rFonts w:hint="cs"/>
          <w:rtl/>
        </w:rPr>
        <w:t>ק</w:t>
      </w:r>
      <w:r w:rsidR="00F2523B">
        <w:rPr>
          <w:rFonts w:hint="cs"/>
          <w:rtl/>
        </w:rPr>
        <w:t xml:space="preserve"> המוחזק</w:t>
      </w:r>
      <w:bookmarkEnd w:id="367"/>
      <w:bookmarkEnd w:id="368"/>
      <w:bookmarkEnd w:id="369"/>
      <w:bookmarkEnd w:id="370"/>
      <w:bookmarkEnd w:id="371"/>
      <w:bookmarkEnd w:id="372"/>
    </w:p>
    <w:p w:rsidR="008E18DB" w:rsidRPr="008E18DB" w:rsidRDefault="008E18DB" w:rsidP="007E4E81">
      <w:pPr>
        <w:pStyle w:val="a0"/>
        <w:rPr>
          <w:rtl/>
        </w:rPr>
      </w:pPr>
      <w:bookmarkStart w:id="373" w:name="_Ref54111979"/>
      <w:r>
        <w:rPr>
          <w:rFonts w:hint="cs"/>
          <w:rtl/>
        </w:rPr>
        <w:t xml:space="preserve">כתב </w:t>
      </w:r>
      <w:r w:rsidRPr="0035137A">
        <w:rPr>
          <w:rStyle w:val="af9"/>
          <w:rFonts w:hint="cs"/>
          <w:rtl/>
        </w:rPr>
        <w:t>הרשב"א לקמן</w:t>
      </w:r>
      <w:r>
        <w:rPr>
          <w:rFonts w:hint="cs"/>
          <w:rtl/>
        </w:rPr>
        <w:t xml:space="preserve"> </w:t>
      </w:r>
      <w:r w:rsidRPr="0035137A">
        <w:rPr>
          <w:rStyle w:val="af7"/>
          <w:rFonts w:eastAsia="Guttman Hodes" w:hint="cs"/>
          <w:rtl/>
        </w:rPr>
        <w:t>(לב. ד"ה א"ל)</w:t>
      </w:r>
      <w:r>
        <w:rPr>
          <w:rFonts w:hint="cs"/>
          <w:rtl/>
        </w:rPr>
        <w:t xml:space="preserve"> בשם </w:t>
      </w:r>
      <w:r w:rsidRPr="0035137A">
        <w:rPr>
          <w:rStyle w:val="af9"/>
          <w:rFonts w:hint="cs"/>
          <w:rtl/>
        </w:rPr>
        <w:t>הר"י מגאש</w:t>
      </w:r>
      <w:r>
        <w:rPr>
          <w:rFonts w:hint="cs"/>
          <w:rtl/>
        </w:rPr>
        <w:t xml:space="preserve"> דהמחזיק בקרקע ויש לו שטר, ויש ספק בשטר, המרא קמא נחשב המוחזק כיון שיש לו עדים שהייתה בחזקתו, ואם המחזיק רוצה להביא ראיה שהקרקע שלו במיגו, חשיב כמיגו להוציא, וכ"כ </w:t>
      </w:r>
      <w:r w:rsidRPr="00E26F6E">
        <w:rPr>
          <w:rStyle w:val="af9"/>
          <w:rFonts w:hint="cs"/>
          <w:rtl/>
        </w:rPr>
        <w:t>הריב"ם בתוס' לקמן</w:t>
      </w:r>
      <w:r>
        <w:rPr>
          <w:rFonts w:hint="cs"/>
          <w:rtl/>
        </w:rPr>
        <w:t xml:space="preserve"> </w:t>
      </w:r>
      <w:r w:rsidRPr="009034FE">
        <w:rPr>
          <w:rStyle w:val="af7"/>
          <w:rFonts w:eastAsia="Guttman Hodes" w:hint="cs"/>
          <w:rtl/>
        </w:rPr>
        <w:t>(לב: ד"ה אמאי)</w:t>
      </w:r>
      <w:r>
        <w:rPr>
          <w:rFonts w:hint="cs"/>
          <w:rtl/>
        </w:rPr>
        <w:t>.</w:t>
      </w:r>
      <w:bookmarkEnd w:id="373"/>
    </w:p>
    <w:p w:rsidR="00FF386B" w:rsidRDefault="00696CA1" w:rsidP="00FF386B">
      <w:pPr>
        <w:pStyle w:val="a3"/>
        <w:rPr>
          <w:rtl/>
        </w:rPr>
      </w:pPr>
      <w:bookmarkStart w:id="374" w:name="_Toc54038958"/>
      <w:bookmarkStart w:id="375" w:name="_Toc54039052"/>
      <w:bookmarkStart w:id="376" w:name="_Toc54087477"/>
      <w:bookmarkStart w:id="377" w:name="_Toc54109280"/>
      <w:bookmarkStart w:id="378" w:name="_Toc54125679"/>
      <w:bookmarkStart w:id="379" w:name="_Toc54133891"/>
      <w:r>
        <w:rPr>
          <w:rFonts w:hint="cs"/>
          <w:rtl/>
        </w:rPr>
        <w:t xml:space="preserve">ביאור הרשב"א בר"י מגאש דהא דמהני </w:t>
      </w:r>
      <w:r w:rsidR="0031007E">
        <w:rPr>
          <w:rFonts w:hint="cs"/>
          <w:rtl/>
        </w:rPr>
        <w:t>מיגו בקרקע היינו בהחזיק ג"ש דהמחזיק נעשה מוחזק</w:t>
      </w:r>
      <w:bookmarkEnd w:id="374"/>
      <w:bookmarkEnd w:id="375"/>
      <w:bookmarkEnd w:id="376"/>
      <w:bookmarkEnd w:id="377"/>
      <w:bookmarkEnd w:id="378"/>
      <w:bookmarkEnd w:id="379"/>
    </w:p>
    <w:p w:rsidR="00FF386B" w:rsidRPr="00A87072" w:rsidRDefault="00FF386B" w:rsidP="007E4E81">
      <w:pPr>
        <w:pStyle w:val="a0"/>
        <w:rPr>
          <w:sz w:val="10"/>
          <w:szCs w:val="14"/>
          <w:rtl/>
        </w:rPr>
      </w:pPr>
      <w:bookmarkStart w:id="380" w:name="_Ref54034669"/>
      <w:r>
        <w:rPr>
          <w:rFonts w:hint="cs"/>
          <w:rtl/>
        </w:rPr>
        <w:t xml:space="preserve">וכתב </w:t>
      </w:r>
      <w:r w:rsidRPr="006238F7">
        <w:rPr>
          <w:rStyle w:val="af9"/>
          <w:rFonts w:hint="cs"/>
          <w:rtl/>
        </w:rPr>
        <w:t>הרשב"א</w:t>
      </w:r>
      <w:r>
        <w:rPr>
          <w:rFonts w:hint="cs"/>
          <w:rtl/>
        </w:rPr>
        <w:t xml:space="preserve"> דמבואר מדברי </w:t>
      </w:r>
      <w:r w:rsidRPr="006238F7">
        <w:rPr>
          <w:rStyle w:val="af9"/>
          <w:rFonts w:hint="cs"/>
          <w:rtl/>
        </w:rPr>
        <w:t>הר"י מגאש [והריב"ם]</w:t>
      </w:r>
      <w:r>
        <w:rPr>
          <w:rFonts w:hint="cs"/>
          <w:rtl/>
        </w:rPr>
        <w:t xml:space="preserve"> דהא דאמרינן בפירקין </w:t>
      </w:r>
      <w:r w:rsidRPr="009034FE">
        <w:rPr>
          <w:rStyle w:val="af7"/>
          <w:rFonts w:eastAsia="Guttman Hodes" w:hint="cs"/>
          <w:rtl/>
        </w:rPr>
        <w:t xml:space="preserve">(לג. לו. מא: נ:) </w:t>
      </w:r>
      <w:r>
        <w:rPr>
          <w:rFonts w:hint="cs"/>
          <w:rtl/>
        </w:rPr>
        <w:t>דמהני מיגו אפילו בקרקע, היינו כשיש למחזיק חזקת ג"ש, דע"י החזקה יצאה הקרקע מחזקת המוכר, והיא עומדת בחזקת הלוקח, וכדאיתא בסוגיין למ"ד דילפינן חזקה משור המועד, "ד</w:t>
      </w:r>
      <w:r>
        <w:rPr>
          <w:rtl/>
        </w:rPr>
        <w:t>נפק לה מרשות מוכר וקיימא לה ברשות לוקח</w:t>
      </w:r>
      <w:r>
        <w:rPr>
          <w:rFonts w:hint="cs"/>
          <w:rtl/>
        </w:rPr>
        <w:t>"</w:t>
      </w:r>
      <w:r w:rsidR="00E26F6E">
        <w:rPr>
          <w:rStyle w:val="af1"/>
          <w:rtl/>
        </w:rPr>
        <w:footnoteReference w:id="2"/>
      </w:r>
      <w:r w:rsidR="006238F7">
        <w:rPr>
          <w:rFonts w:hint="cs"/>
          <w:rtl/>
        </w:rPr>
        <w:t xml:space="preserve">, ועי' במה שביאר </w:t>
      </w:r>
      <w:r w:rsidR="006238F7" w:rsidRPr="006238F7">
        <w:rPr>
          <w:rStyle w:val="af9"/>
          <w:rFonts w:hint="cs"/>
          <w:rtl/>
        </w:rPr>
        <w:t>בחי' רבי נחום</w:t>
      </w:r>
      <w:r w:rsidR="006238F7">
        <w:rPr>
          <w:rFonts w:hint="cs"/>
          <w:rtl/>
        </w:rPr>
        <w:t xml:space="preserve"> </w:t>
      </w:r>
      <w:r w:rsidR="006238F7" w:rsidRPr="006238F7">
        <w:rPr>
          <w:rStyle w:val="af7"/>
          <w:rFonts w:eastAsia="Guttman Hodes" w:hint="cs"/>
          <w:rtl/>
        </w:rPr>
        <w:t xml:space="preserve">(עי' אות </w:t>
      </w:r>
      <w:r w:rsidR="006238F7" w:rsidRPr="006238F7">
        <w:rPr>
          <w:rStyle w:val="af7"/>
          <w:rFonts w:eastAsia="Guttman Hodes"/>
          <w:rtl/>
        </w:rPr>
        <w:fldChar w:fldCharType="begin"/>
      </w:r>
      <w:r w:rsidR="006238F7" w:rsidRPr="006238F7">
        <w:rPr>
          <w:rStyle w:val="af7"/>
          <w:rFonts w:eastAsia="Guttman Hodes"/>
          <w:rtl/>
        </w:rPr>
        <w:instrText xml:space="preserve"> </w:instrText>
      </w:r>
      <w:r w:rsidR="006238F7" w:rsidRPr="006238F7">
        <w:rPr>
          <w:rStyle w:val="af7"/>
          <w:rFonts w:eastAsia="Guttman Hodes" w:hint="cs"/>
        </w:rPr>
        <w:instrText>REF</w:instrText>
      </w:r>
      <w:r w:rsidR="006238F7" w:rsidRPr="006238F7">
        <w:rPr>
          <w:rStyle w:val="af7"/>
          <w:rFonts w:eastAsia="Guttman Hodes" w:hint="cs"/>
          <w:rtl/>
        </w:rPr>
        <w:instrText xml:space="preserve"> _</w:instrText>
      </w:r>
      <w:r w:rsidR="006238F7" w:rsidRPr="006238F7">
        <w:rPr>
          <w:rStyle w:val="af7"/>
          <w:rFonts w:eastAsia="Guttman Hodes" w:hint="cs"/>
        </w:rPr>
        <w:instrText>Ref54034733 \r \h</w:instrText>
      </w:r>
      <w:r w:rsidR="006238F7" w:rsidRPr="006238F7">
        <w:rPr>
          <w:rStyle w:val="af7"/>
          <w:rFonts w:eastAsia="Guttman Hodes"/>
          <w:rtl/>
        </w:rPr>
        <w:instrText xml:space="preserve"> </w:instrText>
      </w:r>
      <w:r w:rsidR="006238F7" w:rsidRPr="006238F7">
        <w:rPr>
          <w:rStyle w:val="af7"/>
          <w:rFonts w:eastAsia="Guttman Hodes"/>
          <w:rtl/>
        </w:rPr>
      </w:r>
      <w:r w:rsidR="006238F7" w:rsidRPr="006238F7">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006238F7" w:rsidRPr="006238F7">
        <w:rPr>
          <w:rStyle w:val="af7"/>
          <w:rFonts w:eastAsia="Guttman Hodes"/>
          <w:rtl/>
        </w:rPr>
        <w:fldChar w:fldCharType="end"/>
      </w:r>
      <w:r w:rsidR="006238F7">
        <w:rPr>
          <w:rFonts w:hint="cs"/>
          <w:rtl/>
        </w:rPr>
        <w:t xml:space="preserve"> בדברי </w:t>
      </w:r>
      <w:r w:rsidR="006238F7" w:rsidRPr="006238F7">
        <w:rPr>
          <w:rStyle w:val="af9"/>
          <w:rFonts w:hint="cs"/>
          <w:rtl/>
        </w:rPr>
        <w:t>הרשב"א</w:t>
      </w:r>
      <w:r w:rsidR="006238F7">
        <w:rPr>
          <w:rFonts w:hint="cs"/>
          <w:rtl/>
        </w:rPr>
        <w:t>.</w:t>
      </w:r>
      <w:r>
        <w:rPr>
          <w:rFonts w:hint="cs"/>
          <w:rtl/>
        </w:rPr>
        <w:t xml:space="preserve"> </w:t>
      </w:r>
      <w:bookmarkEnd w:id="380"/>
    </w:p>
    <w:p w:rsidR="00FF386B" w:rsidRDefault="00F2523B" w:rsidP="00F2523B">
      <w:pPr>
        <w:pStyle w:val="a3"/>
        <w:rPr>
          <w:rtl/>
        </w:rPr>
      </w:pPr>
      <w:bookmarkStart w:id="381" w:name="_Toc54038959"/>
      <w:bookmarkStart w:id="382" w:name="_Toc54039053"/>
      <w:bookmarkStart w:id="383" w:name="_Toc54087478"/>
      <w:bookmarkStart w:id="384" w:name="_Toc54109281"/>
      <w:bookmarkStart w:id="385" w:name="_Toc54125680"/>
      <w:bookmarkStart w:id="386" w:name="_Toc54133892"/>
      <w:r>
        <w:rPr>
          <w:rFonts w:hint="cs"/>
          <w:rtl/>
        </w:rPr>
        <w:t>דברי הרמב"ן דהמחזיק בקרקע בשטר מסופק וטוען מיגו נאמן כיון דהוא תפוס ויש לו מיגו</w:t>
      </w:r>
      <w:bookmarkEnd w:id="381"/>
      <w:bookmarkEnd w:id="382"/>
      <w:bookmarkEnd w:id="383"/>
      <w:bookmarkEnd w:id="384"/>
      <w:bookmarkEnd w:id="385"/>
      <w:bookmarkEnd w:id="386"/>
    </w:p>
    <w:p w:rsidR="004B1E0F" w:rsidRDefault="00FF386B" w:rsidP="007E4E81">
      <w:pPr>
        <w:pStyle w:val="a0"/>
        <w:rPr>
          <w:rtl/>
        </w:rPr>
      </w:pPr>
      <w:r w:rsidRPr="009034FE">
        <w:rPr>
          <w:rStyle w:val="af9"/>
          <w:rFonts w:hint="cs"/>
          <w:rtl/>
        </w:rPr>
        <w:t>והרמב"ן לקמן</w:t>
      </w:r>
      <w:r>
        <w:rPr>
          <w:rFonts w:hint="cs"/>
          <w:rtl/>
        </w:rPr>
        <w:t xml:space="preserve"> </w:t>
      </w:r>
      <w:r w:rsidRPr="009034FE">
        <w:rPr>
          <w:rStyle w:val="af7"/>
          <w:rFonts w:eastAsia="Guttman Hodes" w:hint="cs"/>
          <w:rtl/>
        </w:rPr>
        <w:t>(לב. ד"ה אמאי)</w:t>
      </w:r>
      <w:r>
        <w:rPr>
          <w:rFonts w:hint="cs"/>
          <w:rtl/>
        </w:rPr>
        <w:t xml:space="preserve"> כתב </w:t>
      </w:r>
      <w:r w:rsidR="00EC4FBD">
        <w:rPr>
          <w:rFonts w:hint="cs"/>
          <w:rtl/>
        </w:rPr>
        <w:t xml:space="preserve">דהמחזיק בקרקע ויש לו שטר, ויש ספק בשטר, </w:t>
      </w:r>
      <w:r>
        <w:rPr>
          <w:rFonts w:hint="cs"/>
          <w:rtl/>
        </w:rPr>
        <w:t xml:space="preserve">קיי"ל כרבה </w:t>
      </w:r>
      <w:r w:rsidR="00EC4FBD">
        <w:rPr>
          <w:rFonts w:hint="cs"/>
          <w:rtl/>
        </w:rPr>
        <w:t>בגמ' לקמן</w:t>
      </w:r>
      <w:r w:rsidR="00A77F33">
        <w:rPr>
          <w:rFonts w:hint="cs"/>
          <w:rtl/>
        </w:rPr>
        <w:t xml:space="preserve"> </w:t>
      </w:r>
      <w:r w:rsidR="00EC4FBD" w:rsidRPr="009034FE">
        <w:rPr>
          <w:rStyle w:val="af7"/>
          <w:rFonts w:eastAsia="Guttman Hodes" w:hint="cs"/>
          <w:rtl/>
        </w:rPr>
        <w:t>(לב.</w:t>
      </w:r>
      <w:r w:rsidR="00EC4FBD">
        <w:rPr>
          <w:rStyle w:val="af7"/>
          <w:rFonts w:eastAsia="Guttman Hodes" w:hint="cs"/>
          <w:rtl/>
        </w:rPr>
        <w:t xml:space="preserve">) </w:t>
      </w:r>
      <w:r>
        <w:rPr>
          <w:rFonts w:hint="cs"/>
          <w:rtl/>
        </w:rPr>
        <w:t xml:space="preserve">דהמחזיק נאמן להעמיד את הקרקע ברשותו במיגו, וכתב </w:t>
      </w:r>
      <w:r w:rsidRPr="009034FE">
        <w:rPr>
          <w:rStyle w:val="af9"/>
          <w:rFonts w:hint="cs"/>
          <w:rtl/>
        </w:rPr>
        <w:t>הרמב"ן</w:t>
      </w:r>
      <w:r>
        <w:rPr>
          <w:rFonts w:hint="cs"/>
          <w:rtl/>
        </w:rPr>
        <w:t xml:space="preserve"> דס"ל לרבה דאעפ"י דקרקע בחזקת בעליה עומדת, מ"מ כיון שהמחזיק תופס בקרקע ויש לו מיגו, הוא נאמן אף שיש למרא קמא עדים שהיא בחזקת אבותיו</w:t>
      </w:r>
      <w:r w:rsidR="004B1E0F">
        <w:rPr>
          <w:rFonts w:hint="cs"/>
          <w:rtl/>
        </w:rPr>
        <w:t>.</w:t>
      </w:r>
    </w:p>
    <w:p w:rsidR="004B1E0F" w:rsidRPr="004B1E0F" w:rsidRDefault="004F2013" w:rsidP="004B1E0F">
      <w:pPr>
        <w:pStyle w:val="a3"/>
      </w:pPr>
      <w:bookmarkStart w:id="387" w:name="_Toc54038960"/>
      <w:bookmarkStart w:id="388" w:name="_Toc54039054"/>
      <w:bookmarkStart w:id="389" w:name="_Toc54087479"/>
      <w:bookmarkStart w:id="390" w:name="_Toc54109282"/>
      <w:bookmarkStart w:id="391" w:name="_Toc54125681"/>
      <w:bookmarkStart w:id="392" w:name="_Toc54133893"/>
      <w:r>
        <w:rPr>
          <w:rFonts w:hint="cs"/>
          <w:rtl/>
        </w:rPr>
        <w:t>הביאור הב' ברמב"ן דרק כשהחזיק ג"ש נעשית הקרקע בחזקתו וכתופס מטלטלין דמוחזק לגמרי</w:t>
      </w:r>
      <w:bookmarkEnd w:id="387"/>
      <w:bookmarkEnd w:id="388"/>
      <w:bookmarkEnd w:id="389"/>
      <w:bookmarkEnd w:id="390"/>
      <w:bookmarkEnd w:id="391"/>
      <w:bookmarkEnd w:id="392"/>
    </w:p>
    <w:p w:rsidR="00FF386B" w:rsidRDefault="00FF386B" w:rsidP="007E4E81">
      <w:pPr>
        <w:pStyle w:val="a0"/>
        <w:rPr>
          <w:rtl/>
        </w:rPr>
      </w:pPr>
      <w:r>
        <w:rPr>
          <w:rFonts w:hint="cs"/>
          <w:rtl/>
        </w:rPr>
        <w:t xml:space="preserve">ועוד ביאר </w:t>
      </w:r>
      <w:r w:rsidRPr="009034FE">
        <w:rPr>
          <w:rStyle w:val="af9"/>
          <w:rFonts w:hint="cs"/>
          <w:rtl/>
        </w:rPr>
        <w:t>הרמב"ן</w:t>
      </w:r>
      <w:r w:rsidR="004B1E0F">
        <w:rPr>
          <w:rStyle w:val="af9"/>
          <w:rFonts w:hint="cs"/>
          <w:rtl/>
        </w:rPr>
        <w:t xml:space="preserve"> לקמן</w:t>
      </w:r>
      <w:r>
        <w:rPr>
          <w:rFonts w:hint="cs"/>
          <w:rtl/>
        </w:rPr>
        <w:t xml:space="preserve"> ד</w:t>
      </w:r>
      <w:r w:rsidR="00F2523B">
        <w:rPr>
          <w:rFonts w:hint="cs"/>
          <w:rtl/>
        </w:rPr>
        <w:t xml:space="preserve">רבה דס"ל דנאמן במיגו </w:t>
      </w:r>
      <w:r>
        <w:rPr>
          <w:rFonts w:hint="cs"/>
          <w:rtl/>
        </w:rPr>
        <w:t xml:space="preserve">איירי שהמחזיק החזיק בה ג"ש, והקרקע היא בחזקתו, וכ"כ </w:t>
      </w:r>
      <w:r w:rsidRPr="009034FE">
        <w:rPr>
          <w:rStyle w:val="af9"/>
          <w:rFonts w:hint="cs"/>
          <w:rtl/>
        </w:rPr>
        <w:t>הרמב"ן לקמן</w:t>
      </w:r>
      <w:r>
        <w:rPr>
          <w:rFonts w:hint="cs"/>
          <w:rtl/>
        </w:rPr>
        <w:t xml:space="preserve"> </w:t>
      </w:r>
      <w:r w:rsidRPr="009034FE">
        <w:rPr>
          <w:rStyle w:val="af7"/>
          <w:rFonts w:eastAsia="Guttman Hodes" w:hint="cs"/>
          <w:rtl/>
        </w:rPr>
        <w:t>(מא: ד"ה אבל)</w:t>
      </w:r>
      <w:r>
        <w:rPr>
          <w:rFonts w:hint="cs"/>
          <w:rtl/>
        </w:rPr>
        <w:t xml:space="preserve"> דאחר שהחזיק </w:t>
      </w:r>
      <w:r w:rsidR="004F2013">
        <w:rPr>
          <w:rFonts w:hint="cs"/>
          <w:rtl/>
        </w:rPr>
        <w:t>ב</w:t>
      </w:r>
      <w:r>
        <w:rPr>
          <w:rFonts w:hint="cs"/>
          <w:rtl/>
        </w:rPr>
        <w:t>קרקע ג"ש, דינו כתופס מטלטלין דהוא מוחזק לגמרי.</w:t>
      </w:r>
    </w:p>
    <w:p w:rsidR="002E6018" w:rsidRPr="002E6018" w:rsidRDefault="002E6018" w:rsidP="002E6018">
      <w:pPr>
        <w:pStyle w:val="afe"/>
        <w:rPr>
          <w:rtl/>
        </w:rPr>
      </w:pPr>
      <w:bookmarkStart w:id="393" w:name="_Toc54038961"/>
      <w:bookmarkStart w:id="394" w:name="_Toc54039055"/>
      <w:bookmarkStart w:id="395" w:name="_Toc54087480"/>
      <w:bookmarkStart w:id="396" w:name="_Toc54109283"/>
      <w:bookmarkStart w:id="397" w:name="_Toc54125682"/>
      <w:bookmarkStart w:id="398" w:name="_Toc54133894"/>
      <w:r>
        <w:rPr>
          <w:rFonts w:hint="cs"/>
          <w:rtl/>
        </w:rPr>
        <w:t>בחזקת ג"ש כשאין המחזיק יושב בקרקע</w:t>
      </w:r>
      <w:bookmarkEnd w:id="393"/>
      <w:bookmarkEnd w:id="394"/>
      <w:bookmarkEnd w:id="395"/>
      <w:bookmarkEnd w:id="396"/>
      <w:bookmarkEnd w:id="397"/>
      <w:bookmarkEnd w:id="398"/>
    </w:p>
    <w:p w:rsidR="00FF386B" w:rsidRDefault="00FF386B" w:rsidP="00FF386B">
      <w:pPr>
        <w:pStyle w:val="1"/>
        <w:rPr>
          <w:rtl/>
        </w:rPr>
      </w:pPr>
      <w:bookmarkStart w:id="399" w:name="_Toc53402192"/>
      <w:bookmarkStart w:id="400" w:name="_Toc53941218"/>
      <w:bookmarkStart w:id="401" w:name="_Toc54000504"/>
      <w:bookmarkStart w:id="402" w:name="_Toc54038962"/>
      <w:bookmarkStart w:id="403" w:name="_Toc54039056"/>
      <w:bookmarkStart w:id="404" w:name="_Toc54087481"/>
      <w:bookmarkStart w:id="405" w:name="_Toc54109284"/>
      <w:bookmarkStart w:id="406" w:name="_Toc54125683"/>
      <w:bookmarkStart w:id="407" w:name="_Toc54133895"/>
      <w:bookmarkStart w:id="408" w:name="_Toc52907765"/>
      <w:r>
        <w:rPr>
          <w:rFonts w:hint="cs"/>
          <w:rtl/>
        </w:rPr>
        <w:t>דעת המאירי והי"מ בריטב"א דחזקת ג"ש הוא רק ביושב בקרקע</w:t>
      </w:r>
      <w:bookmarkEnd w:id="399"/>
      <w:bookmarkEnd w:id="400"/>
      <w:bookmarkEnd w:id="401"/>
      <w:bookmarkEnd w:id="402"/>
      <w:bookmarkEnd w:id="403"/>
      <w:bookmarkEnd w:id="404"/>
      <w:bookmarkEnd w:id="405"/>
      <w:bookmarkEnd w:id="406"/>
      <w:bookmarkEnd w:id="407"/>
    </w:p>
    <w:p w:rsidR="00FF386B" w:rsidRPr="00F131E9" w:rsidRDefault="003E6EAE" w:rsidP="00FE14FB">
      <w:pPr>
        <w:pStyle w:val="a3"/>
        <w:rPr>
          <w:rtl/>
        </w:rPr>
      </w:pPr>
      <w:bookmarkStart w:id="409" w:name="_Toc54038963"/>
      <w:bookmarkStart w:id="410" w:name="_Toc54039057"/>
      <w:bookmarkStart w:id="411" w:name="_Toc54087482"/>
      <w:bookmarkStart w:id="412" w:name="_Toc54109285"/>
      <w:bookmarkStart w:id="413" w:name="_Toc54125684"/>
      <w:bookmarkStart w:id="414" w:name="_Toc54133896"/>
      <w:r>
        <w:rPr>
          <w:rFonts w:hint="cs"/>
          <w:rtl/>
        </w:rPr>
        <w:t xml:space="preserve">דעת המאירי והי"מ בריטב"א דמחזיק שאינו יושב בקרקע ל"מ לו חזקת ג"ש להוציא </w:t>
      </w:r>
      <w:r w:rsidR="00FE14FB">
        <w:rPr>
          <w:rFonts w:hint="cs"/>
          <w:rtl/>
        </w:rPr>
        <w:t>מהיושב בה</w:t>
      </w:r>
      <w:bookmarkEnd w:id="409"/>
      <w:bookmarkEnd w:id="410"/>
      <w:bookmarkEnd w:id="411"/>
      <w:bookmarkEnd w:id="412"/>
      <w:bookmarkEnd w:id="413"/>
      <w:bookmarkEnd w:id="414"/>
    </w:p>
    <w:p w:rsidR="00FF386B" w:rsidRDefault="00FF386B" w:rsidP="007E4E81">
      <w:pPr>
        <w:pStyle w:val="a0"/>
        <w:rPr>
          <w:rtl/>
        </w:rPr>
      </w:pPr>
      <w:bookmarkStart w:id="415" w:name="_Ref52965069"/>
      <w:r>
        <w:rPr>
          <w:rFonts w:hint="cs"/>
          <w:rtl/>
        </w:rPr>
        <w:t xml:space="preserve">כתב </w:t>
      </w:r>
      <w:r w:rsidRPr="00FD4B89">
        <w:rPr>
          <w:rStyle w:val="af9"/>
          <w:rFonts w:hint="cs"/>
          <w:rtl/>
        </w:rPr>
        <w:t>המאירי בב"ק</w:t>
      </w:r>
      <w:r>
        <w:rPr>
          <w:rFonts w:hint="cs"/>
          <w:rtl/>
        </w:rPr>
        <w:t xml:space="preserve"> </w:t>
      </w:r>
      <w:r w:rsidRPr="00FD4B89">
        <w:rPr>
          <w:rStyle w:val="af7"/>
          <w:rFonts w:eastAsia="Guttman Hodes" w:hint="cs"/>
          <w:rtl/>
        </w:rPr>
        <w:t>(קיב: ד"ה כבר בתו"ד)</w:t>
      </w:r>
      <w:r>
        <w:rPr>
          <w:rFonts w:hint="cs"/>
          <w:rtl/>
        </w:rPr>
        <w:t xml:space="preserve"> </w:t>
      </w:r>
      <w:r w:rsidRPr="00FD4B89">
        <w:rPr>
          <w:rStyle w:val="af9"/>
          <w:rFonts w:hint="cs"/>
          <w:rtl/>
        </w:rPr>
        <w:t>והריטב"א</w:t>
      </w:r>
      <w:r>
        <w:rPr>
          <w:rFonts w:hint="cs"/>
          <w:rtl/>
        </w:rPr>
        <w:t xml:space="preserve"> </w:t>
      </w:r>
      <w:r w:rsidRPr="00FD4B89">
        <w:rPr>
          <w:rStyle w:val="af7"/>
          <w:rFonts w:eastAsia="Guttman Hodes" w:hint="cs"/>
          <w:rtl/>
        </w:rPr>
        <w:t>(ד"ה וכל)</w:t>
      </w:r>
      <w:r>
        <w:rPr>
          <w:rFonts w:hint="cs"/>
          <w:rtl/>
        </w:rPr>
        <w:t xml:space="preserve"> בשם </w:t>
      </w:r>
      <w:r w:rsidRPr="00FD4B89">
        <w:rPr>
          <w:rStyle w:val="af9"/>
          <w:rFonts w:hint="cs"/>
          <w:rtl/>
        </w:rPr>
        <w:t>י"מ</w:t>
      </w:r>
      <w:r>
        <w:rPr>
          <w:rFonts w:hint="cs"/>
          <w:rtl/>
        </w:rPr>
        <w:t xml:space="preserve"> דחזקת ג"ש מהני רק כשהמחזיק יושב בקרקע, דעידי חזקה מהני רק להעמיד את המוחזק בחזקתו, ולא מהני החזקה בכדי להוציא, מיד </w:t>
      </w:r>
      <w:r w:rsidR="00D219F5">
        <w:rPr>
          <w:rFonts w:hint="cs"/>
          <w:rtl/>
        </w:rPr>
        <w:t>מי</w:t>
      </w:r>
      <w:r>
        <w:rPr>
          <w:rFonts w:hint="cs"/>
          <w:rtl/>
        </w:rPr>
        <w:t xml:space="preserve"> שיושב בקרקע, ועי' במה שביאר </w:t>
      </w:r>
      <w:r w:rsidRPr="00FD4B89">
        <w:rPr>
          <w:rStyle w:val="af9"/>
          <w:rFonts w:hint="cs"/>
          <w:rtl/>
        </w:rPr>
        <w:t>בחי' רבי נחום</w:t>
      </w:r>
      <w:r>
        <w:rPr>
          <w:rFonts w:hint="cs"/>
          <w:rtl/>
        </w:rPr>
        <w:t xml:space="preserve"> </w:t>
      </w:r>
      <w:r w:rsidRPr="00FD4B89">
        <w:rPr>
          <w:rStyle w:val="af7"/>
          <w:rFonts w:eastAsia="Guttman Hodes" w:hint="cs"/>
          <w:rtl/>
        </w:rPr>
        <w:t xml:space="preserve">(עי' </w:t>
      </w:r>
      <w:r w:rsidRPr="00465234">
        <w:rPr>
          <w:rStyle w:val="af7"/>
          <w:rFonts w:eastAsia="Guttman Hodes" w:hint="cs"/>
          <w:rtl/>
        </w:rPr>
        <w:t xml:space="preserve">אות </w:t>
      </w:r>
      <w:r w:rsidR="00465234" w:rsidRPr="00465234">
        <w:rPr>
          <w:rStyle w:val="af7"/>
          <w:rFonts w:eastAsia="Guttman Hodes"/>
          <w:rtl/>
        </w:rPr>
        <w:fldChar w:fldCharType="begin"/>
      </w:r>
      <w:r w:rsidR="00465234" w:rsidRPr="00465234">
        <w:rPr>
          <w:rStyle w:val="af7"/>
          <w:rFonts w:eastAsia="Guttman Hodes"/>
          <w:rtl/>
        </w:rPr>
        <w:instrText xml:space="preserve"> </w:instrText>
      </w:r>
      <w:r w:rsidR="00465234" w:rsidRPr="00465234">
        <w:rPr>
          <w:rStyle w:val="af7"/>
          <w:rFonts w:eastAsia="Guttman Hodes" w:hint="cs"/>
        </w:rPr>
        <w:instrText>REF</w:instrText>
      </w:r>
      <w:r w:rsidR="00465234" w:rsidRPr="00465234">
        <w:rPr>
          <w:rStyle w:val="af7"/>
          <w:rFonts w:eastAsia="Guttman Hodes" w:hint="cs"/>
          <w:rtl/>
        </w:rPr>
        <w:instrText xml:space="preserve"> _</w:instrText>
      </w:r>
      <w:r w:rsidR="00465234" w:rsidRPr="00465234">
        <w:rPr>
          <w:rStyle w:val="af7"/>
          <w:rFonts w:eastAsia="Guttman Hodes" w:hint="cs"/>
        </w:rPr>
        <w:instrText>Ref54036588 \r \h</w:instrText>
      </w:r>
      <w:r w:rsidR="00465234" w:rsidRPr="00465234">
        <w:rPr>
          <w:rStyle w:val="af7"/>
          <w:rFonts w:eastAsia="Guttman Hodes"/>
          <w:rtl/>
        </w:rPr>
        <w:instrText xml:space="preserve"> </w:instrText>
      </w:r>
      <w:r w:rsidR="00465234" w:rsidRPr="00465234">
        <w:rPr>
          <w:rStyle w:val="af7"/>
          <w:rFonts w:eastAsia="Guttman Hodes"/>
          <w:rtl/>
        </w:rPr>
      </w:r>
      <w:r w:rsidR="00465234" w:rsidRPr="00465234">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00465234" w:rsidRPr="00465234">
        <w:rPr>
          <w:rStyle w:val="af7"/>
          <w:rFonts w:eastAsia="Guttman Hodes"/>
          <w:rtl/>
        </w:rPr>
        <w:fldChar w:fldCharType="end"/>
      </w:r>
      <w:r>
        <w:rPr>
          <w:rFonts w:hint="cs"/>
          <w:rtl/>
        </w:rPr>
        <w:t xml:space="preserve"> בדעת </w:t>
      </w:r>
      <w:r w:rsidRPr="00FD4B89">
        <w:rPr>
          <w:rStyle w:val="af9"/>
          <w:rFonts w:hint="cs"/>
          <w:rtl/>
        </w:rPr>
        <w:t>המאירי והי"מ בריטב"א</w:t>
      </w:r>
      <w:r>
        <w:rPr>
          <w:rFonts w:hint="cs"/>
          <w:rtl/>
        </w:rPr>
        <w:t>.</w:t>
      </w:r>
      <w:bookmarkEnd w:id="415"/>
    </w:p>
    <w:p w:rsidR="00FE14FB" w:rsidRPr="00FE14FB" w:rsidRDefault="00FE14FB" w:rsidP="00FE14FB">
      <w:pPr>
        <w:pStyle w:val="1"/>
        <w:rPr>
          <w:rtl/>
        </w:rPr>
      </w:pPr>
      <w:bookmarkStart w:id="416" w:name="_Toc54038964"/>
      <w:bookmarkStart w:id="417" w:name="_Toc54039058"/>
      <w:bookmarkStart w:id="418" w:name="_Toc54087483"/>
      <w:bookmarkStart w:id="419" w:name="_Toc54109286"/>
      <w:bookmarkStart w:id="420" w:name="_Toc54125685"/>
      <w:bookmarkStart w:id="421" w:name="_Toc54133897"/>
      <w:r>
        <w:rPr>
          <w:rFonts w:hint="cs"/>
          <w:rtl/>
        </w:rPr>
        <w:t xml:space="preserve">דעת הריטב"א </w:t>
      </w:r>
      <w:r w:rsidR="00D219F5">
        <w:rPr>
          <w:rFonts w:hint="cs"/>
          <w:rtl/>
        </w:rPr>
        <w:t>דחזקת ג"ש מהני אף כשאין המחזיק בקרקע</w:t>
      </w:r>
      <w:bookmarkEnd w:id="416"/>
      <w:bookmarkEnd w:id="417"/>
      <w:bookmarkEnd w:id="418"/>
      <w:bookmarkEnd w:id="419"/>
      <w:bookmarkEnd w:id="420"/>
      <w:bookmarkEnd w:id="421"/>
    </w:p>
    <w:p w:rsidR="00FF386B" w:rsidRDefault="001A76E8" w:rsidP="001A76E8">
      <w:pPr>
        <w:pStyle w:val="a3"/>
        <w:rPr>
          <w:rtl/>
        </w:rPr>
      </w:pPr>
      <w:bookmarkStart w:id="422" w:name="_Toc54038965"/>
      <w:bookmarkStart w:id="423" w:name="_Toc54039059"/>
      <w:bookmarkStart w:id="424" w:name="_Toc54087484"/>
      <w:bookmarkStart w:id="425" w:name="_Toc54109287"/>
      <w:bookmarkStart w:id="426" w:name="_Toc54125686"/>
      <w:bookmarkStart w:id="427" w:name="_Toc54133898"/>
      <w:r>
        <w:rPr>
          <w:rFonts w:hint="cs"/>
          <w:rtl/>
        </w:rPr>
        <w:t>דברי הריטב"א דא"א לומר דחזקת ג"ש מהני רק ביושב בקרקע דא"כ המערער יכנס ויזכה בה</w:t>
      </w:r>
      <w:bookmarkEnd w:id="422"/>
      <w:bookmarkEnd w:id="423"/>
      <w:bookmarkEnd w:id="424"/>
      <w:bookmarkEnd w:id="425"/>
      <w:bookmarkEnd w:id="426"/>
      <w:bookmarkEnd w:id="427"/>
    </w:p>
    <w:p w:rsidR="00FF386B" w:rsidRDefault="00FF386B" w:rsidP="007E4E81">
      <w:pPr>
        <w:pStyle w:val="a0"/>
        <w:rPr>
          <w:rtl/>
        </w:rPr>
      </w:pPr>
      <w:bookmarkStart w:id="428" w:name="_Ref54090843"/>
      <w:r>
        <w:rPr>
          <w:rFonts w:hint="cs"/>
          <w:rtl/>
        </w:rPr>
        <w:t xml:space="preserve">ודחה </w:t>
      </w:r>
      <w:r w:rsidRPr="00B46D2D">
        <w:rPr>
          <w:rStyle w:val="af9"/>
          <w:rFonts w:hint="cs"/>
          <w:rtl/>
        </w:rPr>
        <w:t>הריטב"א</w:t>
      </w:r>
      <w:r>
        <w:rPr>
          <w:rFonts w:hint="cs"/>
          <w:rtl/>
        </w:rPr>
        <w:t xml:space="preserve"> </w:t>
      </w:r>
      <w:r w:rsidR="009526D4">
        <w:rPr>
          <w:rFonts w:hint="cs"/>
          <w:rtl/>
        </w:rPr>
        <w:t xml:space="preserve">את דעת </w:t>
      </w:r>
      <w:r w:rsidR="009526D4" w:rsidRPr="009526D4">
        <w:rPr>
          <w:rStyle w:val="af9"/>
          <w:rFonts w:hint="cs"/>
          <w:rtl/>
        </w:rPr>
        <w:t>הי"מ</w:t>
      </w:r>
      <w:r w:rsidR="009526D4">
        <w:rPr>
          <w:rFonts w:hint="cs"/>
          <w:rtl/>
        </w:rPr>
        <w:t xml:space="preserve"> </w:t>
      </w:r>
      <w:r>
        <w:rPr>
          <w:rFonts w:hint="cs"/>
          <w:rtl/>
        </w:rPr>
        <w:t xml:space="preserve">דא"א לומר דחזקת ג"ש לא מהני כשאין המחזיק יושב בקרקע, דא"כ בכל מקום שיש למחזיק חזקת ג"ש, יכנס המערער לקרקע ויסגור את הדלת בפני המחזיק, </w:t>
      </w:r>
      <w:r w:rsidRPr="00B46D2D">
        <w:rPr>
          <w:rStyle w:val="afb"/>
          <w:rFonts w:hint="cs"/>
          <w:rtl/>
        </w:rPr>
        <w:t xml:space="preserve">[וכמעשה בגמ' בב"ק </w:t>
      </w:r>
      <w:r w:rsidRPr="00B46D2D">
        <w:rPr>
          <w:rStyle w:val="aff6"/>
          <w:rFonts w:hint="cs"/>
          <w:rtl/>
        </w:rPr>
        <w:t>(קיב.)</w:t>
      </w:r>
      <w:r w:rsidRPr="00B46D2D">
        <w:rPr>
          <w:rStyle w:val="afb"/>
          <w:rFonts w:hint="cs"/>
          <w:rtl/>
        </w:rPr>
        <w:t>],</w:t>
      </w:r>
      <w:r>
        <w:rPr>
          <w:rFonts w:hint="cs"/>
          <w:rtl/>
        </w:rPr>
        <w:t xml:space="preserve"> וא"כ יתבטלו כל החזקות</w:t>
      </w:r>
      <w:r w:rsidR="00BE7586">
        <w:rPr>
          <w:rFonts w:hint="cs"/>
          <w:rtl/>
        </w:rPr>
        <w:t>,</w:t>
      </w:r>
      <w:r w:rsidR="00465234" w:rsidRPr="00465234">
        <w:rPr>
          <w:rFonts w:hint="cs"/>
          <w:rtl/>
        </w:rPr>
        <w:t xml:space="preserve"> </w:t>
      </w:r>
      <w:r w:rsidR="00465234">
        <w:rPr>
          <w:rFonts w:hint="cs"/>
          <w:rtl/>
        </w:rPr>
        <w:t xml:space="preserve">ועי' במה שביאר </w:t>
      </w:r>
      <w:r w:rsidR="00465234" w:rsidRPr="00FD4B89">
        <w:rPr>
          <w:rStyle w:val="af9"/>
          <w:rFonts w:hint="cs"/>
          <w:rtl/>
        </w:rPr>
        <w:t>בחי' רבי נחום</w:t>
      </w:r>
      <w:r w:rsidR="00465234">
        <w:rPr>
          <w:rFonts w:hint="cs"/>
          <w:rtl/>
        </w:rPr>
        <w:t xml:space="preserve"> </w:t>
      </w:r>
      <w:r w:rsidR="00465234" w:rsidRPr="00FD4B89">
        <w:rPr>
          <w:rStyle w:val="af7"/>
          <w:rFonts w:eastAsia="Guttman Hodes" w:hint="cs"/>
          <w:rtl/>
        </w:rPr>
        <w:t xml:space="preserve">(עי' </w:t>
      </w:r>
      <w:r w:rsidR="00465234" w:rsidRPr="00465234">
        <w:rPr>
          <w:rStyle w:val="af7"/>
          <w:rFonts w:eastAsia="Guttman Hodes" w:hint="cs"/>
          <w:rtl/>
        </w:rPr>
        <w:t>אות</w:t>
      </w:r>
      <w:r w:rsidR="00465234">
        <w:rPr>
          <w:rStyle w:val="af7"/>
          <w:rFonts w:eastAsia="Guttman Hodes" w:hint="cs"/>
          <w:rtl/>
        </w:rPr>
        <w:t xml:space="preserve"> </w:t>
      </w:r>
      <w:r w:rsidR="00465234">
        <w:rPr>
          <w:rStyle w:val="af7"/>
          <w:rFonts w:eastAsia="Guttman Hodes"/>
          <w:rtl/>
        </w:rPr>
        <w:fldChar w:fldCharType="begin"/>
      </w:r>
      <w:r w:rsidR="00465234">
        <w:rPr>
          <w:rStyle w:val="af7"/>
          <w:rFonts w:eastAsia="Guttman Hodes"/>
          <w:rtl/>
        </w:rPr>
        <w:instrText xml:space="preserve"> </w:instrText>
      </w:r>
      <w:r w:rsidR="00465234">
        <w:rPr>
          <w:rStyle w:val="af7"/>
          <w:rFonts w:eastAsia="Guttman Hodes" w:hint="cs"/>
        </w:rPr>
        <w:instrText>REF</w:instrText>
      </w:r>
      <w:r w:rsidR="00465234">
        <w:rPr>
          <w:rStyle w:val="af7"/>
          <w:rFonts w:eastAsia="Guttman Hodes" w:hint="cs"/>
          <w:rtl/>
        </w:rPr>
        <w:instrText xml:space="preserve"> _</w:instrText>
      </w:r>
      <w:r w:rsidR="00465234">
        <w:rPr>
          <w:rStyle w:val="af7"/>
          <w:rFonts w:eastAsia="Guttman Hodes" w:hint="cs"/>
        </w:rPr>
        <w:instrText>Ref54036625 \r \h</w:instrText>
      </w:r>
      <w:r w:rsidR="00465234">
        <w:rPr>
          <w:rStyle w:val="af7"/>
          <w:rFonts w:eastAsia="Guttman Hodes"/>
          <w:rtl/>
        </w:rPr>
        <w:instrText xml:space="preserve"> </w:instrText>
      </w:r>
      <w:r w:rsidR="00465234">
        <w:rPr>
          <w:rStyle w:val="af7"/>
          <w:rFonts w:eastAsia="Guttman Hodes"/>
          <w:rtl/>
        </w:rPr>
      </w:r>
      <w:r w:rsidR="00465234">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sidR="00465234">
        <w:rPr>
          <w:rStyle w:val="af7"/>
          <w:rFonts w:eastAsia="Guttman Hodes"/>
          <w:rtl/>
        </w:rPr>
        <w:fldChar w:fldCharType="end"/>
      </w:r>
      <w:r w:rsidR="00465234">
        <w:rPr>
          <w:rStyle w:val="af7"/>
          <w:rFonts w:eastAsia="Guttman Hodes" w:hint="cs"/>
          <w:rtl/>
        </w:rPr>
        <w:t xml:space="preserve"> </w:t>
      </w:r>
      <w:r w:rsidR="00465234">
        <w:rPr>
          <w:rFonts w:hint="cs"/>
          <w:rtl/>
        </w:rPr>
        <w:t xml:space="preserve">את דברי </w:t>
      </w:r>
      <w:r w:rsidR="00465234">
        <w:rPr>
          <w:rStyle w:val="af9"/>
          <w:rFonts w:hint="cs"/>
          <w:rtl/>
        </w:rPr>
        <w:t>ה</w:t>
      </w:r>
      <w:r w:rsidR="00465234" w:rsidRPr="00FD4B89">
        <w:rPr>
          <w:rStyle w:val="af9"/>
          <w:rFonts w:hint="cs"/>
          <w:rtl/>
        </w:rPr>
        <w:t>ריטב"א</w:t>
      </w:r>
      <w:r>
        <w:rPr>
          <w:rFonts w:hint="cs"/>
          <w:rtl/>
        </w:rPr>
        <w:t>.</w:t>
      </w:r>
      <w:bookmarkEnd w:id="428"/>
    </w:p>
    <w:p w:rsidR="001A76E8" w:rsidRPr="001A76E8" w:rsidRDefault="001A76E8" w:rsidP="001A76E8">
      <w:pPr>
        <w:pStyle w:val="afe"/>
        <w:rPr>
          <w:rtl/>
        </w:rPr>
      </w:pPr>
      <w:bookmarkStart w:id="429" w:name="_Toc54038966"/>
      <w:bookmarkStart w:id="430" w:name="_Toc54039060"/>
      <w:bookmarkStart w:id="431" w:name="_Toc54087485"/>
      <w:bookmarkStart w:id="432" w:name="_Toc54109288"/>
      <w:bookmarkStart w:id="433" w:name="_Toc54125687"/>
      <w:bookmarkStart w:id="434" w:name="_Toc54133899"/>
      <w:r>
        <w:rPr>
          <w:rFonts w:hint="cs"/>
          <w:rtl/>
        </w:rPr>
        <w:t>בטענות המחזיק על שטרו</w:t>
      </w:r>
      <w:r w:rsidR="00901E41">
        <w:rPr>
          <w:rFonts w:hint="cs"/>
          <w:rtl/>
        </w:rPr>
        <w:t xml:space="preserve"> אחר ג"ש</w:t>
      </w:r>
      <w:bookmarkEnd w:id="429"/>
      <w:bookmarkEnd w:id="430"/>
      <w:bookmarkEnd w:id="431"/>
      <w:bookmarkEnd w:id="432"/>
      <w:bookmarkEnd w:id="433"/>
      <w:bookmarkEnd w:id="434"/>
    </w:p>
    <w:p w:rsidR="00FF386B" w:rsidRDefault="00FF386B" w:rsidP="00FF386B">
      <w:pPr>
        <w:pStyle w:val="1"/>
        <w:rPr>
          <w:rtl/>
        </w:rPr>
      </w:pPr>
      <w:bookmarkStart w:id="435" w:name="_Toc53941219"/>
      <w:bookmarkStart w:id="436" w:name="_Toc54000505"/>
      <w:bookmarkStart w:id="437" w:name="_Toc54038967"/>
      <w:bookmarkStart w:id="438" w:name="_Toc54039061"/>
      <w:bookmarkStart w:id="439" w:name="_Toc54087486"/>
      <w:bookmarkStart w:id="440" w:name="_Toc54109289"/>
      <w:bookmarkStart w:id="441" w:name="_Toc54125688"/>
      <w:bookmarkStart w:id="442" w:name="_Toc54133900"/>
      <w:r>
        <w:rPr>
          <w:rFonts w:hint="cs"/>
          <w:rtl/>
        </w:rPr>
        <w:t>בטענת המחזיק דהיה לו שטר ואבד ואם אינו טוען שהיה לו שטר</w:t>
      </w:r>
      <w:bookmarkEnd w:id="435"/>
      <w:bookmarkEnd w:id="436"/>
      <w:bookmarkEnd w:id="437"/>
      <w:bookmarkEnd w:id="438"/>
      <w:bookmarkEnd w:id="439"/>
      <w:bookmarkEnd w:id="440"/>
      <w:bookmarkEnd w:id="441"/>
      <w:bookmarkEnd w:id="442"/>
    </w:p>
    <w:p w:rsidR="00FF386B" w:rsidRDefault="001A76E8" w:rsidP="00FF386B">
      <w:pPr>
        <w:pStyle w:val="a3"/>
        <w:rPr>
          <w:rtl/>
        </w:rPr>
      </w:pPr>
      <w:bookmarkStart w:id="443" w:name="_Toc54038968"/>
      <w:bookmarkStart w:id="444" w:name="_Toc54039062"/>
      <w:bookmarkStart w:id="445" w:name="_Toc54087487"/>
      <w:bookmarkStart w:id="446" w:name="_Toc54109290"/>
      <w:bookmarkStart w:id="447" w:name="_Toc54125689"/>
      <w:bookmarkStart w:id="448" w:name="_Toc54133901"/>
      <w:r>
        <w:rPr>
          <w:rFonts w:hint="cs"/>
          <w:rtl/>
        </w:rPr>
        <w:t xml:space="preserve">דברי רש"י </w:t>
      </w:r>
      <w:r w:rsidR="00CB1AEE">
        <w:rPr>
          <w:rFonts w:hint="cs"/>
          <w:rtl/>
        </w:rPr>
        <w:t>דבחזקת ג"ש א"צ להביא שטר ואם אמר דאבד שטרו מהני החזקה</w:t>
      </w:r>
      <w:bookmarkEnd w:id="443"/>
      <w:bookmarkEnd w:id="444"/>
      <w:bookmarkEnd w:id="445"/>
      <w:bookmarkEnd w:id="446"/>
      <w:bookmarkEnd w:id="447"/>
      <w:bookmarkEnd w:id="448"/>
    </w:p>
    <w:p w:rsidR="00FF386B" w:rsidRDefault="00FF386B" w:rsidP="007E4E81">
      <w:pPr>
        <w:pStyle w:val="a0"/>
        <w:rPr>
          <w:rtl/>
        </w:rPr>
      </w:pPr>
      <w:r>
        <w:rPr>
          <w:rFonts w:hint="cs"/>
          <w:rtl/>
        </w:rPr>
        <w:t xml:space="preserve">כתב </w:t>
      </w:r>
      <w:r w:rsidRPr="00B46D2D">
        <w:rPr>
          <w:rStyle w:val="af9"/>
          <w:rFonts w:hint="cs"/>
          <w:rtl/>
        </w:rPr>
        <w:t>רש"י</w:t>
      </w:r>
      <w:r>
        <w:rPr>
          <w:rFonts w:hint="cs"/>
          <w:rtl/>
        </w:rPr>
        <w:t xml:space="preserve"> </w:t>
      </w:r>
      <w:r w:rsidRPr="00B46D2D">
        <w:rPr>
          <w:rStyle w:val="af7"/>
          <w:rFonts w:eastAsia="Guttman Hodes" w:hint="cs"/>
          <w:rtl/>
        </w:rPr>
        <w:t xml:space="preserve">(ד"ה </w:t>
      </w:r>
      <w:r w:rsidRPr="00B46D2D">
        <w:rPr>
          <w:rStyle w:val="af7"/>
          <w:rFonts w:eastAsia="Guttman Hodes"/>
          <w:rtl/>
        </w:rPr>
        <w:t>בית השלחין</w:t>
      </w:r>
      <w:r w:rsidRPr="00B46D2D">
        <w:rPr>
          <w:rStyle w:val="af7"/>
          <w:rFonts w:eastAsia="Guttman Hodes" w:hint="cs"/>
          <w:rtl/>
        </w:rPr>
        <w:t>)</w:t>
      </w:r>
      <w:r>
        <w:rPr>
          <w:rFonts w:hint="cs"/>
          <w:rtl/>
        </w:rPr>
        <w:t xml:space="preserve"> דכל שהחזיק ג"ש א</w:t>
      </w:r>
      <w:r w:rsidRPr="00F74AF9">
        <w:rPr>
          <w:rFonts w:hint="cs"/>
          <w:rtl/>
        </w:rPr>
        <w:t>"צ להביא שטר מכירה, ואם ערערו הבעלים ואומר דאבד שטרו, מהני החזקה</w:t>
      </w:r>
      <w:r>
        <w:rPr>
          <w:rFonts w:hint="cs"/>
          <w:rtl/>
        </w:rPr>
        <w:t>.</w:t>
      </w:r>
    </w:p>
    <w:p w:rsidR="00CB1AEE" w:rsidRPr="00CB1AEE" w:rsidRDefault="00CB1AEE" w:rsidP="00CB1AEE">
      <w:pPr>
        <w:pStyle w:val="a3"/>
        <w:rPr>
          <w:rtl/>
        </w:rPr>
      </w:pPr>
      <w:bookmarkStart w:id="449" w:name="_Toc54038969"/>
      <w:bookmarkStart w:id="450" w:name="_Toc54039063"/>
      <w:bookmarkStart w:id="451" w:name="_Toc54087488"/>
      <w:bookmarkStart w:id="452" w:name="_Toc54109291"/>
      <w:bookmarkStart w:id="453" w:name="_Toc54125690"/>
      <w:bookmarkStart w:id="454" w:name="_Toc54133902"/>
      <w:r>
        <w:rPr>
          <w:rFonts w:hint="cs"/>
          <w:rtl/>
        </w:rPr>
        <w:t xml:space="preserve">דברי רבינו גרשום </w:t>
      </w:r>
      <w:r w:rsidR="008B076C">
        <w:rPr>
          <w:rFonts w:hint="cs"/>
          <w:rtl/>
        </w:rPr>
        <w:t>ד</w:t>
      </w:r>
      <w:r w:rsidR="00A45D53">
        <w:rPr>
          <w:rFonts w:hint="cs"/>
          <w:rtl/>
        </w:rPr>
        <w:t>בהחזיק ג"ש וטוען שקנה אף שאין לו שטר טענינן ליה שהיה לו שטר ואבד</w:t>
      </w:r>
      <w:bookmarkEnd w:id="449"/>
      <w:bookmarkEnd w:id="450"/>
      <w:bookmarkEnd w:id="451"/>
      <w:bookmarkEnd w:id="452"/>
      <w:bookmarkEnd w:id="453"/>
      <w:bookmarkEnd w:id="454"/>
    </w:p>
    <w:p w:rsidR="00FF386B" w:rsidRDefault="00682475" w:rsidP="007E4E81">
      <w:pPr>
        <w:pStyle w:val="a0"/>
        <w:rPr>
          <w:rtl/>
        </w:rPr>
      </w:pPr>
      <w:r>
        <w:rPr>
          <w:rFonts w:hint="cs"/>
          <w:rtl/>
        </w:rPr>
        <w:t>כתב</w:t>
      </w:r>
      <w:r w:rsidR="00FF386B">
        <w:rPr>
          <w:rFonts w:hint="cs"/>
          <w:rtl/>
        </w:rPr>
        <w:t xml:space="preserve"> </w:t>
      </w:r>
      <w:r w:rsidR="00FF386B" w:rsidRPr="00B46D2D">
        <w:rPr>
          <w:rStyle w:val="af9"/>
          <w:rFonts w:hint="cs"/>
          <w:rtl/>
        </w:rPr>
        <w:t>רבינו גרשום</w:t>
      </w:r>
      <w:r w:rsidR="00FF386B">
        <w:rPr>
          <w:rFonts w:hint="cs"/>
          <w:rtl/>
        </w:rPr>
        <w:t xml:space="preserve"> </w:t>
      </w:r>
      <w:r w:rsidR="00FF386B" w:rsidRPr="00B46D2D">
        <w:rPr>
          <w:rStyle w:val="af7"/>
          <w:rFonts w:eastAsia="Guttman Hodes" w:hint="cs"/>
          <w:rtl/>
        </w:rPr>
        <w:t>(כח: ד"ה אלא מעתה)</w:t>
      </w:r>
      <w:r w:rsidR="00FF386B">
        <w:rPr>
          <w:rFonts w:hint="cs"/>
          <w:rtl/>
        </w:rPr>
        <w:t xml:space="preserve"> ד</w:t>
      </w:r>
      <w:r w:rsidR="00A45D53">
        <w:rPr>
          <w:rFonts w:hint="cs"/>
          <w:rtl/>
        </w:rPr>
        <w:t xml:space="preserve">בחזקת ג"ש </w:t>
      </w:r>
      <w:r w:rsidR="00FF386B">
        <w:rPr>
          <w:rFonts w:hint="cs"/>
          <w:rtl/>
        </w:rPr>
        <w:t xml:space="preserve">כל שהמחזיק טוען שקנה מהמערער, אף שאינו טוען היה לו שטר, מ"מ אנן </w:t>
      </w:r>
      <w:r w:rsidR="008B076C">
        <w:rPr>
          <w:rFonts w:hint="cs"/>
          <w:rtl/>
        </w:rPr>
        <w:t>טענינן ליה</w:t>
      </w:r>
      <w:r w:rsidR="00FF386B">
        <w:rPr>
          <w:rFonts w:hint="cs"/>
          <w:rtl/>
        </w:rPr>
        <w:t xml:space="preserve"> שהיה לו שטר ואבד.</w:t>
      </w:r>
    </w:p>
    <w:p w:rsidR="00FF386B" w:rsidRPr="00642C99" w:rsidRDefault="00682475" w:rsidP="00285AA0">
      <w:pPr>
        <w:pStyle w:val="a3"/>
        <w:rPr>
          <w:rtl/>
        </w:rPr>
      </w:pPr>
      <w:bookmarkStart w:id="455" w:name="_Toc54038970"/>
      <w:bookmarkStart w:id="456" w:name="_Toc54039064"/>
      <w:bookmarkStart w:id="457" w:name="_Toc54087489"/>
      <w:bookmarkStart w:id="458" w:name="_Toc54109292"/>
      <w:bookmarkStart w:id="459" w:name="_Toc54125691"/>
      <w:bookmarkStart w:id="460" w:name="_Toc54133903"/>
      <w:r>
        <w:rPr>
          <w:rFonts w:hint="cs"/>
          <w:rtl/>
        </w:rPr>
        <w:t xml:space="preserve">ספק </w:t>
      </w:r>
      <w:r w:rsidR="00285AA0">
        <w:rPr>
          <w:rFonts w:hint="cs"/>
          <w:rtl/>
        </w:rPr>
        <w:t>השע"מ</w:t>
      </w:r>
      <w:r>
        <w:rPr>
          <w:rFonts w:hint="cs"/>
          <w:rtl/>
        </w:rPr>
        <w:t xml:space="preserve"> במודה שלא היה שטר אי נאמן במיגו </w:t>
      </w:r>
      <w:r w:rsidR="00285AA0">
        <w:rPr>
          <w:rFonts w:hint="cs"/>
          <w:rtl/>
        </w:rPr>
        <w:t>ד</w:t>
      </w:r>
      <w:r>
        <w:rPr>
          <w:rFonts w:hint="cs"/>
          <w:rtl/>
        </w:rPr>
        <w:t>אב</w:t>
      </w:r>
      <w:r w:rsidR="00285AA0">
        <w:rPr>
          <w:rFonts w:hint="cs"/>
          <w:rtl/>
        </w:rPr>
        <w:t>ד או דהוא כמיגו במקום עדים</w:t>
      </w:r>
      <w:bookmarkEnd w:id="455"/>
      <w:bookmarkEnd w:id="456"/>
      <w:bookmarkEnd w:id="457"/>
      <w:bookmarkEnd w:id="458"/>
      <w:bookmarkEnd w:id="459"/>
      <w:bookmarkEnd w:id="460"/>
    </w:p>
    <w:p w:rsidR="00FF386B" w:rsidRDefault="00682475" w:rsidP="007E4E81">
      <w:pPr>
        <w:pStyle w:val="a0"/>
        <w:rPr>
          <w:rtl/>
        </w:rPr>
      </w:pPr>
      <w:r>
        <w:rPr>
          <w:rFonts w:hint="cs"/>
          <w:rtl/>
        </w:rPr>
        <w:t>וכתב</w:t>
      </w:r>
      <w:r w:rsidRPr="0003169A">
        <w:rPr>
          <w:rStyle w:val="af9"/>
          <w:rFonts w:hint="cs"/>
          <w:rtl/>
        </w:rPr>
        <w:t xml:space="preserve"> </w:t>
      </w:r>
      <w:r w:rsidR="00FF386B" w:rsidRPr="0003169A">
        <w:rPr>
          <w:rStyle w:val="af9"/>
          <w:rFonts w:hint="cs"/>
          <w:rtl/>
        </w:rPr>
        <w:t>בשער משפט</w:t>
      </w:r>
      <w:r w:rsidR="00FF386B">
        <w:rPr>
          <w:rFonts w:hint="cs"/>
          <w:rtl/>
        </w:rPr>
        <w:t xml:space="preserve"> </w:t>
      </w:r>
      <w:r w:rsidR="00FF386B" w:rsidRPr="0003169A">
        <w:rPr>
          <w:rStyle w:val="af7"/>
          <w:rFonts w:eastAsia="Guttman Hodes" w:hint="cs"/>
          <w:rtl/>
        </w:rPr>
        <w:t>(סי' ק"מ סק"ד)</w:t>
      </w:r>
      <w:r w:rsidR="00FF386B">
        <w:rPr>
          <w:rFonts w:hint="cs"/>
          <w:rtl/>
        </w:rPr>
        <w:t xml:space="preserve"> דיש להסתפק במקום שמודה המחזיק שלא היה לו שטר כלל, אי נאמן במיגו דאי בעי אמר דהשטר אבד, או דכיון דהא דצריך חזקת ג"ש, הוא כיון דבתוך ג"ש </w:t>
      </w:r>
      <w:r w:rsidR="00285AA0">
        <w:rPr>
          <w:rFonts w:hint="cs"/>
          <w:rtl/>
        </w:rPr>
        <w:t>אדם</w:t>
      </w:r>
      <w:r w:rsidR="00FF386B">
        <w:rPr>
          <w:rFonts w:hint="cs"/>
          <w:rtl/>
        </w:rPr>
        <w:t xml:space="preserve"> נזהר בשטרו, </w:t>
      </w:r>
      <w:r w:rsidR="00285AA0">
        <w:rPr>
          <w:rFonts w:hint="cs"/>
          <w:rtl/>
        </w:rPr>
        <w:t>ו</w:t>
      </w:r>
      <w:r w:rsidR="00FF386B">
        <w:rPr>
          <w:rFonts w:hint="cs"/>
          <w:rtl/>
        </w:rPr>
        <w:t xml:space="preserve">א"כ מוכח דכל מי שקונה קרקע נוטל שטר, וכשמודה המחזיק שאין לו שטר חשיב כמיגו במקום עדים, והניח </w:t>
      </w:r>
      <w:r w:rsidR="00FF386B" w:rsidRPr="0003169A">
        <w:rPr>
          <w:rStyle w:val="af9"/>
          <w:rFonts w:hint="cs"/>
          <w:rtl/>
        </w:rPr>
        <w:t>השער משפט</w:t>
      </w:r>
      <w:r w:rsidR="00FF386B">
        <w:rPr>
          <w:rFonts w:hint="cs"/>
          <w:rtl/>
        </w:rPr>
        <w:t xml:space="preserve"> בצ"ע.</w:t>
      </w:r>
    </w:p>
    <w:p w:rsidR="00057B1D" w:rsidRDefault="00057B1D" w:rsidP="00057B1D">
      <w:pPr>
        <w:pStyle w:val="1"/>
        <w:rPr>
          <w:rtl/>
        </w:rPr>
      </w:pPr>
      <w:bookmarkStart w:id="461" w:name="_Toc54133904"/>
      <w:bookmarkStart w:id="462" w:name="_Toc53941223"/>
      <w:bookmarkStart w:id="463" w:name="_Toc54000509"/>
      <w:bookmarkStart w:id="464" w:name="_Toc54038972"/>
      <w:bookmarkStart w:id="465" w:name="_Toc54039066"/>
      <w:bookmarkStart w:id="466" w:name="_Toc54087491"/>
      <w:bookmarkStart w:id="467" w:name="_Toc54109294"/>
      <w:bookmarkStart w:id="468" w:name="_Toc54125693"/>
      <w:bookmarkStart w:id="469" w:name="_Toc53941221"/>
      <w:bookmarkStart w:id="470" w:name="_Toc54000507"/>
      <w:r w:rsidRPr="00057B1D">
        <w:rPr>
          <w:rFonts w:ascii="Guttman Adii-Light" w:eastAsia="Guttman Adii-Light" w:hAnsi="Guttman Adii-Light"/>
          <w:b w:val="0"/>
          <w:sz w:val="22"/>
          <w:szCs w:val="28"/>
          <w:rtl/>
        </w:rPr>
        <w:t>ד' הסוברים דג"ש בעבדים ולא בגודרות</w:t>
      </w:r>
      <w:bookmarkEnd w:id="461"/>
    </w:p>
    <w:p w:rsidR="006536A2" w:rsidRPr="00137CEA" w:rsidRDefault="006536A2" w:rsidP="00B65231">
      <w:pPr>
        <w:pStyle w:val="1"/>
        <w:rPr>
          <w:rtl/>
        </w:rPr>
      </w:pPr>
      <w:bookmarkStart w:id="471" w:name="_Toc54133905"/>
      <w:r w:rsidRPr="00B65231">
        <w:rPr>
          <w:rFonts w:hint="cs"/>
          <w:rtl/>
        </w:rPr>
        <w:t>ד</w:t>
      </w:r>
      <w:r w:rsidR="00B65231">
        <w:rPr>
          <w:rFonts w:hint="cs"/>
          <w:rtl/>
        </w:rPr>
        <w:t xml:space="preserve">' </w:t>
      </w:r>
      <w:r w:rsidRPr="00B65231">
        <w:rPr>
          <w:rFonts w:hint="cs"/>
          <w:rtl/>
        </w:rPr>
        <w:t xml:space="preserve">הרשב"א </w:t>
      </w:r>
      <w:r w:rsidR="00B65231">
        <w:rPr>
          <w:rFonts w:hint="cs"/>
          <w:rtl/>
        </w:rPr>
        <w:t>ד</w:t>
      </w:r>
      <w:r w:rsidRPr="00B65231">
        <w:rPr>
          <w:rFonts w:hint="cs"/>
          <w:rtl/>
        </w:rPr>
        <w:t xml:space="preserve">עבדים </w:t>
      </w:r>
      <w:r w:rsidR="00B65231">
        <w:rPr>
          <w:rFonts w:hint="cs"/>
          <w:rtl/>
        </w:rPr>
        <w:t>עושים פירות תדיר ו</w:t>
      </w:r>
      <w:r w:rsidR="00B65231" w:rsidRPr="00B65231">
        <w:rPr>
          <w:rFonts w:hint="cs"/>
          <w:rtl/>
        </w:rPr>
        <w:t>חזקת</w:t>
      </w:r>
      <w:r w:rsidR="00B65231">
        <w:rPr>
          <w:rFonts w:hint="cs"/>
          <w:rtl/>
        </w:rPr>
        <w:t>ן</w:t>
      </w:r>
      <w:r w:rsidR="00B65231" w:rsidRPr="00B65231">
        <w:rPr>
          <w:rFonts w:hint="cs"/>
          <w:rtl/>
        </w:rPr>
        <w:t xml:space="preserve"> ג"ש </w:t>
      </w:r>
      <w:r w:rsidRPr="00B65231">
        <w:rPr>
          <w:rFonts w:hint="cs"/>
          <w:rtl/>
        </w:rPr>
        <w:t>ו</w:t>
      </w:r>
      <w:r w:rsidR="00B65231">
        <w:rPr>
          <w:rFonts w:hint="cs"/>
          <w:rtl/>
        </w:rPr>
        <w:t xml:space="preserve">לא </w:t>
      </w:r>
      <w:r w:rsidRPr="00B65231">
        <w:rPr>
          <w:rFonts w:hint="cs"/>
          <w:rtl/>
        </w:rPr>
        <w:t>גודרות</w:t>
      </w:r>
      <w:bookmarkEnd w:id="462"/>
      <w:bookmarkEnd w:id="463"/>
      <w:bookmarkEnd w:id="464"/>
      <w:bookmarkEnd w:id="465"/>
      <w:bookmarkEnd w:id="466"/>
      <w:bookmarkEnd w:id="467"/>
      <w:bookmarkEnd w:id="468"/>
      <w:bookmarkEnd w:id="471"/>
      <w:r>
        <w:rPr>
          <w:rFonts w:hint="cs"/>
          <w:rtl/>
        </w:rPr>
        <w:t xml:space="preserve"> </w:t>
      </w:r>
    </w:p>
    <w:p w:rsidR="006536A2" w:rsidRDefault="00CE0C21" w:rsidP="006536A2">
      <w:pPr>
        <w:pStyle w:val="a3"/>
        <w:rPr>
          <w:rtl/>
        </w:rPr>
      </w:pPr>
      <w:bookmarkStart w:id="472" w:name="_Toc54038973"/>
      <w:bookmarkStart w:id="473" w:name="_Toc54039067"/>
      <w:bookmarkStart w:id="474" w:name="_Toc54087492"/>
      <w:bookmarkStart w:id="475" w:name="_Toc54109295"/>
      <w:bookmarkStart w:id="476" w:name="_Toc54125694"/>
      <w:bookmarkStart w:id="477" w:name="_Toc54133906"/>
      <w:r>
        <w:rPr>
          <w:rFonts w:hint="cs"/>
          <w:rtl/>
        </w:rPr>
        <w:t>קושית הרשב"א דאף אי עבדים אינם עושים פירות תדיר דינם כגודרות דחזקתם לאחר ג"ש</w:t>
      </w:r>
      <w:bookmarkEnd w:id="472"/>
      <w:bookmarkEnd w:id="473"/>
      <w:bookmarkEnd w:id="474"/>
      <w:bookmarkEnd w:id="475"/>
      <w:bookmarkEnd w:id="476"/>
      <w:bookmarkEnd w:id="477"/>
    </w:p>
    <w:p w:rsidR="006536A2" w:rsidRDefault="00CE0C21" w:rsidP="007E4E81">
      <w:pPr>
        <w:pStyle w:val="a0"/>
        <w:rPr>
          <w:rtl/>
        </w:rPr>
      </w:pPr>
      <w:bookmarkStart w:id="478" w:name="_Ref54090950"/>
      <w:r>
        <w:rPr>
          <w:rFonts w:hint="cs"/>
          <w:rtl/>
        </w:rPr>
        <w:t xml:space="preserve">בהא דתנן במתני' דעבדים הם בכלל הדברים שעושין פירות תדיר, ולכן חזקתם ג"ש, </w:t>
      </w:r>
      <w:r w:rsidR="006536A2">
        <w:rPr>
          <w:rFonts w:hint="cs"/>
          <w:rtl/>
        </w:rPr>
        <w:t xml:space="preserve">הקשה </w:t>
      </w:r>
      <w:r w:rsidR="006536A2" w:rsidRPr="0003169A">
        <w:rPr>
          <w:rStyle w:val="af9"/>
          <w:rFonts w:hint="cs"/>
          <w:rtl/>
        </w:rPr>
        <w:t>הרשב"א</w:t>
      </w:r>
      <w:r w:rsidR="006536A2">
        <w:rPr>
          <w:rFonts w:hint="cs"/>
          <w:rtl/>
        </w:rPr>
        <w:t xml:space="preserve"> </w:t>
      </w:r>
      <w:r w:rsidR="006536A2" w:rsidRPr="00527A92">
        <w:rPr>
          <w:rStyle w:val="af7"/>
          <w:rFonts w:eastAsia="Guttman Hodes" w:hint="cs"/>
          <w:rtl/>
        </w:rPr>
        <w:t>(ד"ה והעבדים)</w:t>
      </w:r>
      <w:r w:rsidR="006536A2">
        <w:rPr>
          <w:rFonts w:hint="cs"/>
          <w:rtl/>
        </w:rPr>
        <w:t xml:space="preserve"> </w:t>
      </w:r>
      <w:r>
        <w:rPr>
          <w:rFonts w:hint="cs"/>
          <w:rtl/>
        </w:rPr>
        <w:t>ד</w:t>
      </w:r>
      <w:r w:rsidR="006536A2">
        <w:rPr>
          <w:rFonts w:hint="cs"/>
          <w:rtl/>
        </w:rPr>
        <w:t xml:space="preserve">משמע דאם </w:t>
      </w:r>
      <w:r>
        <w:rPr>
          <w:rFonts w:hint="cs"/>
          <w:rtl/>
        </w:rPr>
        <w:t xml:space="preserve">העבדים </w:t>
      </w:r>
      <w:r w:rsidR="006536A2">
        <w:rPr>
          <w:rFonts w:hint="cs"/>
          <w:rtl/>
        </w:rPr>
        <w:t xml:space="preserve">לא היו עושים פירות תדיר, אינם צריכים חזקת ג"ש, והא כיון דהעבדים הולכים מעצמם, א"כ דינם כגודרות דאיתא לקמן </w:t>
      </w:r>
      <w:r w:rsidR="006536A2" w:rsidRPr="00527A92">
        <w:rPr>
          <w:rStyle w:val="af7"/>
          <w:rFonts w:eastAsia="Guttman Hodes" w:hint="cs"/>
          <w:rtl/>
        </w:rPr>
        <w:t>(לו.)</w:t>
      </w:r>
      <w:r w:rsidR="006536A2">
        <w:rPr>
          <w:rFonts w:hint="cs"/>
          <w:rtl/>
        </w:rPr>
        <w:t xml:space="preserve"> </w:t>
      </w:r>
      <w:r w:rsidR="006536A2">
        <w:rPr>
          <w:rFonts w:hint="cs"/>
          <w:rtl/>
        </w:rPr>
        <w:lastRenderedPageBreak/>
        <w:t xml:space="preserve">דאין להם חזקה לאלתר אלא רק לאחר ג"ש, ועי' במה שביאר </w:t>
      </w:r>
      <w:r w:rsidR="006536A2" w:rsidRPr="0003169A">
        <w:rPr>
          <w:rStyle w:val="af9"/>
          <w:rFonts w:hint="cs"/>
          <w:rtl/>
        </w:rPr>
        <w:t>הברכ"ש</w:t>
      </w:r>
      <w:r w:rsidR="006536A2">
        <w:rPr>
          <w:rFonts w:hint="cs"/>
          <w:rtl/>
        </w:rPr>
        <w:t xml:space="preserve"> </w:t>
      </w:r>
      <w:r w:rsidR="006536A2" w:rsidRPr="00F15E1B">
        <w:rPr>
          <w:rStyle w:val="af7"/>
          <w:rFonts w:eastAsia="Guttman Hodes" w:hint="cs"/>
          <w:rtl/>
        </w:rPr>
        <w:t xml:space="preserve">(עי' אות </w:t>
      </w:r>
      <w:r w:rsidR="00F15E1B" w:rsidRPr="00F15E1B">
        <w:rPr>
          <w:rStyle w:val="af7"/>
          <w:rFonts w:eastAsia="Guttman Hodes"/>
          <w:rtl/>
        </w:rPr>
        <w:fldChar w:fldCharType="begin"/>
      </w:r>
      <w:r w:rsidR="00F15E1B" w:rsidRPr="00F15E1B">
        <w:rPr>
          <w:rStyle w:val="af7"/>
          <w:rFonts w:eastAsia="Guttman Hodes"/>
          <w:rtl/>
        </w:rPr>
        <w:instrText xml:space="preserve"> </w:instrText>
      </w:r>
      <w:r w:rsidR="00F15E1B" w:rsidRPr="00F15E1B">
        <w:rPr>
          <w:rStyle w:val="af7"/>
          <w:rFonts w:eastAsia="Guttman Hodes" w:hint="cs"/>
        </w:rPr>
        <w:instrText>REF</w:instrText>
      </w:r>
      <w:r w:rsidR="00F15E1B" w:rsidRPr="00F15E1B">
        <w:rPr>
          <w:rStyle w:val="af7"/>
          <w:rFonts w:eastAsia="Guttman Hodes" w:hint="cs"/>
          <w:rtl/>
        </w:rPr>
        <w:instrText xml:space="preserve"> _</w:instrText>
      </w:r>
      <w:r w:rsidR="00F15E1B" w:rsidRPr="00F15E1B">
        <w:rPr>
          <w:rStyle w:val="af7"/>
          <w:rFonts w:eastAsia="Guttman Hodes" w:hint="cs"/>
        </w:rPr>
        <w:instrText>Ref54090980 \r \h</w:instrText>
      </w:r>
      <w:r w:rsidR="00F15E1B" w:rsidRPr="00F15E1B">
        <w:rPr>
          <w:rStyle w:val="af7"/>
          <w:rFonts w:eastAsia="Guttman Hodes"/>
          <w:rtl/>
        </w:rPr>
        <w:instrText xml:space="preserve"> </w:instrText>
      </w:r>
      <w:r w:rsidR="00F15E1B" w:rsidRPr="00F15E1B">
        <w:rPr>
          <w:rStyle w:val="af7"/>
          <w:rFonts w:eastAsia="Guttman Hodes"/>
          <w:rtl/>
        </w:rPr>
      </w:r>
      <w:r w:rsidR="00F15E1B" w:rsidRPr="00F15E1B">
        <w:rPr>
          <w:rStyle w:val="af7"/>
          <w:rFonts w:eastAsia="Guttman Hodes"/>
          <w:rtl/>
        </w:rPr>
        <w:fldChar w:fldCharType="separate"/>
      </w:r>
      <w:r w:rsidR="00265073">
        <w:rPr>
          <w:rStyle w:val="af7"/>
          <w:rFonts w:eastAsia="Guttman Hodes"/>
          <w:cs/>
        </w:rPr>
        <w:t>‎</w:t>
      </w:r>
      <w:r w:rsidR="00265073">
        <w:rPr>
          <w:rStyle w:val="af7"/>
          <w:rFonts w:eastAsia="Guttman Hodes"/>
          <w:rtl/>
        </w:rPr>
        <w:t>צח)</w:t>
      </w:r>
      <w:r w:rsidR="00F15E1B" w:rsidRPr="00F15E1B">
        <w:rPr>
          <w:rStyle w:val="af7"/>
          <w:rFonts w:eastAsia="Guttman Hodes"/>
          <w:rtl/>
        </w:rPr>
        <w:fldChar w:fldCharType="end"/>
      </w:r>
      <w:r w:rsidR="006536A2">
        <w:rPr>
          <w:rFonts w:hint="cs"/>
          <w:rtl/>
        </w:rPr>
        <w:t xml:space="preserve"> בקושית </w:t>
      </w:r>
      <w:r w:rsidR="006536A2" w:rsidRPr="0003169A">
        <w:rPr>
          <w:rStyle w:val="af9"/>
          <w:rFonts w:hint="cs"/>
          <w:rtl/>
        </w:rPr>
        <w:t>הרשב"א</w:t>
      </w:r>
      <w:r w:rsidR="006536A2">
        <w:rPr>
          <w:rFonts w:hint="cs"/>
          <w:rtl/>
        </w:rPr>
        <w:t>.</w:t>
      </w:r>
      <w:bookmarkEnd w:id="478"/>
    </w:p>
    <w:p w:rsidR="006536A2" w:rsidRDefault="00CE0C21" w:rsidP="006536A2">
      <w:pPr>
        <w:pStyle w:val="a3"/>
        <w:rPr>
          <w:rtl/>
        </w:rPr>
      </w:pPr>
      <w:bookmarkStart w:id="479" w:name="_Toc54038974"/>
      <w:bookmarkStart w:id="480" w:name="_Toc54039068"/>
      <w:bookmarkStart w:id="481" w:name="_Toc54087493"/>
      <w:bookmarkStart w:id="482" w:name="_Toc54109296"/>
      <w:bookmarkStart w:id="483" w:name="_Toc54125695"/>
      <w:bookmarkStart w:id="484" w:name="_Toc54133907"/>
      <w:r>
        <w:rPr>
          <w:rFonts w:hint="cs"/>
          <w:rtl/>
        </w:rPr>
        <w:t>תירוץ הרשב"א דבגודרות אין חזקה לאלתר אך יש לאחר זמן שרגילים להקפיד משא"כ בעבדים</w:t>
      </w:r>
      <w:bookmarkEnd w:id="479"/>
      <w:bookmarkEnd w:id="480"/>
      <w:bookmarkEnd w:id="481"/>
      <w:bookmarkEnd w:id="482"/>
      <w:bookmarkEnd w:id="483"/>
      <w:bookmarkEnd w:id="484"/>
    </w:p>
    <w:p w:rsidR="006536A2" w:rsidRDefault="006536A2" w:rsidP="007E4E81">
      <w:pPr>
        <w:pStyle w:val="a0"/>
        <w:rPr>
          <w:rtl/>
        </w:rPr>
      </w:pPr>
      <w:bookmarkStart w:id="485" w:name="_Ref54004530"/>
      <w:r>
        <w:rPr>
          <w:rFonts w:hint="cs"/>
          <w:rtl/>
        </w:rPr>
        <w:t xml:space="preserve">ותירץ </w:t>
      </w:r>
      <w:r w:rsidRPr="0003169A">
        <w:rPr>
          <w:rStyle w:val="af9"/>
          <w:rFonts w:hint="cs"/>
          <w:rtl/>
        </w:rPr>
        <w:t>הרשב"א</w:t>
      </w:r>
      <w:r>
        <w:rPr>
          <w:rFonts w:hint="cs"/>
          <w:rtl/>
        </w:rPr>
        <w:t xml:space="preserve"> דלגודרות אין חזקה לאלתר, אלא לאחר שנה או שנתיים, כיון שהדרך של הבעלים להקפיד בזמן כזה, ואינם מניחים אותם ביד אחר, ואף בעבדים היה צריך להועיל חזקה לאחר שנה או שנתיים, כיון שהולכים מעצמם</w:t>
      </w:r>
      <w:r w:rsidRPr="008258DF">
        <w:rPr>
          <w:rFonts w:hint="cs"/>
          <w:rtl/>
        </w:rPr>
        <w:t xml:space="preserve"> </w:t>
      </w:r>
      <w:r>
        <w:rPr>
          <w:rFonts w:hint="cs"/>
          <w:rtl/>
        </w:rPr>
        <w:t>כגודרות, אבל כיון שהעבדים עושים פירות תדיר, לכן חזקתם היא רק לאחר ג"ש</w:t>
      </w:r>
      <w:r w:rsidR="007E49E4">
        <w:rPr>
          <w:rFonts w:hint="cs"/>
          <w:rtl/>
        </w:rPr>
        <w:t>,</w:t>
      </w:r>
      <w:r>
        <w:rPr>
          <w:rFonts w:hint="cs"/>
          <w:rtl/>
        </w:rPr>
        <w:t xml:space="preserve"> ועי' במה שביאר </w:t>
      </w:r>
      <w:r w:rsidRPr="0003169A">
        <w:rPr>
          <w:rStyle w:val="af9"/>
          <w:rFonts w:hint="cs"/>
          <w:rtl/>
        </w:rPr>
        <w:t>הברכ"ש</w:t>
      </w:r>
      <w:r>
        <w:rPr>
          <w:rFonts w:hint="cs"/>
          <w:rtl/>
        </w:rPr>
        <w:t xml:space="preserve"> </w:t>
      </w:r>
      <w:r w:rsidRPr="00F15E1B">
        <w:rPr>
          <w:rStyle w:val="af7"/>
          <w:rFonts w:eastAsia="Guttman Hodes" w:hint="cs"/>
          <w:rtl/>
        </w:rPr>
        <w:t xml:space="preserve">(עי' אות </w:t>
      </w:r>
      <w:r w:rsidR="00F15E1B" w:rsidRPr="00F15E1B">
        <w:rPr>
          <w:rStyle w:val="af7"/>
          <w:rFonts w:eastAsia="Guttman Hodes"/>
          <w:rtl/>
        </w:rPr>
        <w:fldChar w:fldCharType="begin"/>
      </w:r>
      <w:r w:rsidR="00F15E1B" w:rsidRPr="00F15E1B">
        <w:rPr>
          <w:rStyle w:val="af7"/>
          <w:rFonts w:eastAsia="Guttman Hodes"/>
          <w:rtl/>
        </w:rPr>
        <w:instrText xml:space="preserve"> </w:instrText>
      </w:r>
      <w:r w:rsidR="00F15E1B" w:rsidRPr="00F15E1B">
        <w:rPr>
          <w:rStyle w:val="af7"/>
          <w:rFonts w:eastAsia="Guttman Hodes" w:hint="cs"/>
        </w:rPr>
        <w:instrText>REF</w:instrText>
      </w:r>
      <w:r w:rsidR="00F15E1B" w:rsidRPr="00F15E1B">
        <w:rPr>
          <w:rStyle w:val="af7"/>
          <w:rFonts w:eastAsia="Guttman Hodes" w:hint="cs"/>
          <w:rtl/>
        </w:rPr>
        <w:instrText xml:space="preserve"> _</w:instrText>
      </w:r>
      <w:r w:rsidR="00F15E1B" w:rsidRPr="00F15E1B">
        <w:rPr>
          <w:rStyle w:val="af7"/>
          <w:rFonts w:eastAsia="Guttman Hodes" w:hint="cs"/>
        </w:rPr>
        <w:instrText>Ref54090989 \r \h</w:instrText>
      </w:r>
      <w:r w:rsidR="00F15E1B" w:rsidRPr="00F15E1B">
        <w:rPr>
          <w:rStyle w:val="af7"/>
          <w:rFonts w:eastAsia="Guttman Hodes"/>
          <w:rtl/>
        </w:rPr>
        <w:instrText xml:space="preserve"> </w:instrText>
      </w:r>
      <w:r w:rsidR="00F15E1B" w:rsidRPr="00F15E1B">
        <w:rPr>
          <w:rStyle w:val="af7"/>
          <w:rFonts w:eastAsia="Guttman Hodes"/>
          <w:rtl/>
        </w:rPr>
      </w:r>
      <w:r w:rsidR="00F15E1B" w:rsidRPr="00F15E1B">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00F15E1B" w:rsidRPr="00F15E1B">
        <w:rPr>
          <w:rStyle w:val="af7"/>
          <w:rFonts w:eastAsia="Guttman Hodes"/>
          <w:rtl/>
        </w:rPr>
        <w:fldChar w:fldCharType="end"/>
      </w:r>
      <w:r>
        <w:rPr>
          <w:rFonts w:hint="cs"/>
          <w:rtl/>
        </w:rPr>
        <w:t xml:space="preserve"> בתירוץ </w:t>
      </w:r>
      <w:r w:rsidRPr="0003169A">
        <w:rPr>
          <w:rStyle w:val="af9"/>
          <w:rFonts w:hint="cs"/>
          <w:rtl/>
        </w:rPr>
        <w:t>הרשב"א</w:t>
      </w:r>
      <w:r>
        <w:rPr>
          <w:rFonts w:hint="cs"/>
          <w:rtl/>
        </w:rPr>
        <w:t>.</w:t>
      </w:r>
      <w:bookmarkEnd w:id="485"/>
    </w:p>
    <w:p w:rsidR="006536A2" w:rsidRDefault="003E613A" w:rsidP="003E613A">
      <w:pPr>
        <w:pStyle w:val="a3"/>
        <w:rPr>
          <w:rtl/>
        </w:rPr>
      </w:pPr>
      <w:bookmarkStart w:id="486" w:name="_Toc54038975"/>
      <w:bookmarkStart w:id="487" w:name="_Toc54039069"/>
      <w:bookmarkStart w:id="488" w:name="_Toc54087494"/>
      <w:bookmarkStart w:id="489" w:name="_Toc54109297"/>
      <w:bookmarkStart w:id="490" w:name="_Toc54125696"/>
      <w:bookmarkStart w:id="491" w:name="_Toc54133908"/>
      <w:r>
        <w:rPr>
          <w:rFonts w:hint="cs"/>
          <w:rtl/>
        </w:rPr>
        <w:t>ביאור הריטב"א ברשב"א דעבדים שעושים פירות תדיר יתכן שישהו ג"ש בחזקת המחזיק</w:t>
      </w:r>
      <w:bookmarkEnd w:id="486"/>
      <w:bookmarkEnd w:id="487"/>
      <w:bookmarkEnd w:id="488"/>
      <w:bookmarkEnd w:id="489"/>
      <w:bookmarkEnd w:id="490"/>
      <w:bookmarkEnd w:id="491"/>
    </w:p>
    <w:p w:rsidR="006536A2" w:rsidRPr="00CE001D" w:rsidRDefault="006536A2" w:rsidP="007E4E81">
      <w:pPr>
        <w:pStyle w:val="a0"/>
        <w:rPr>
          <w:rtl/>
        </w:rPr>
      </w:pPr>
      <w:r>
        <w:rPr>
          <w:rFonts w:hint="cs"/>
          <w:rtl/>
        </w:rPr>
        <w:t xml:space="preserve">וביאר </w:t>
      </w:r>
      <w:r w:rsidRPr="00527A92">
        <w:rPr>
          <w:rStyle w:val="af9"/>
          <w:rFonts w:hint="cs"/>
          <w:rtl/>
        </w:rPr>
        <w:t>הריטב"א לקמן</w:t>
      </w:r>
      <w:r>
        <w:rPr>
          <w:rFonts w:hint="cs"/>
          <w:rtl/>
        </w:rPr>
        <w:t xml:space="preserve"> </w:t>
      </w:r>
      <w:r w:rsidRPr="0003169A">
        <w:rPr>
          <w:rStyle w:val="af7"/>
          <w:rFonts w:eastAsia="Guttman Hodes" w:hint="cs"/>
          <w:rtl/>
        </w:rPr>
        <w:t>(לו. ד"ה ופריק)</w:t>
      </w:r>
      <w:r>
        <w:rPr>
          <w:rFonts w:hint="cs"/>
          <w:rtl/>
        </w:rPr>
        <w:t xml:space="preserve"> את דברי </w:t>
      </w:r>
      <w:r w:rsidRPr="0017670B">
        <w:rPr>
          <w:rStyle w:val="af9"/>
          <w:rFonts w:hint="cs"/>
          <w:rtl/>
        </w:rPr>
        <w:t>הרשב"א</w:t>
      </w:r>
      <w:r>
        <w:rPr>
          <w:rFonts w:hint="cs"/>
          <w:rtl/>
        </w:rPr>
        <w:t xml:space="preserve"> דכיון שהעבדים עושים פירות תדיר, לכן יתכן שישהו ברשות המחזיק זמן מרובה של ג"ש, אבל בגודרות ביאר </w:t>
      </w:r>
      <w:r w:rsidRPr="00527A92">
        <w:rPr>
          <w:rStyle w:val="af9"/>
          <w:rFonts w:hint="cs"/>
          <w:rtl/>
        </w:rPr>
        <w:t>הריטב"א בסוגיין</w:t>
      </w:r>
      <w:r>
        <w:rPr>
          <w:rFonts w:hint="cs"/>
          <w:rtl/>
        </w:rPr>
        <w:t xml:space="preserve"> </w:t>
      </w:r>
      <w:r w:rsidRPr="0003169A">
        <w:rPr>
          <w:rStyle w:val="af7"/>
          <w:rFonts w:eastAsia="Guttman Hodes" w:hint="cs"/>
          <w:rtl/>
        </w:rPr>
        <w:t>(ד"ה והעבדים)</w:t>
      </w:r>
      <w:r>
        <w:rPr>
          <w:rFonts w:hint="cs"/>
          <w:rtl/>
        </w:rPr>
        <w:t xml:space="preserve"> דכיון שאינם עושים פירות תדיר, אין בהם חזקת ג"ש, אלא חזקתן היא כמו הדרך שבנ"א רגילים להקפיד</w:t>
      </w:r>
      <w:r w:rsidR="00BE7586">
        <w:rPr>
          <w:rFonts w:hint="cs"/>
          <w:rtl/>
        </w:rPr>
        <w:t xml:space="preserve">, ועי' במה שדחה </w:t>
      </w:r>
      <w:r w:rsidR="00BE7586" w:rsidRPr="00527A92">
        <w:rPr>
          <w:rStyle w:val="af9"/>
          <w:rFonts w:hint="cs"/>
          <w:rtl/>
        </w:rPr>
        <w:t>הריטב"א</w:t>
      </w:r>
      <w:r w:rsidR="00BE7586">
        <w:rPr>
          <w:rFonts w:hint="cs"/>
          <w:rtl/>
        </w:rPr>
        <w:t xml:space="preserve"> </w:t>
      </w:r>
      <w:r w:rsidR="00BE7586" w:rsidRPr="0003169A">
        <w:rPr>
          <w:rStyle w:val="af7"/>
          <w:rFonts w:eastAsia="Guttman Hodes" w:hint="cs"/>
          <w:rtl/>
        </w:rPr>
        <w:t xml:space="preserve">(עי' </w:t>
      </w:r>
      <w:r w:rsidR="00BE7586" w:rsidRPr="007E49E4">
        <w:rPr>
          <w:rStyle w:val="af7"/>
          <w:rFonts w:eastAsia="Guttman Hodes" w:hint="cs"/>
          <w:rtl/>
        </w:rPr>
        <w:t xml:space="preserve">אות </w:t>
      </w:r>
      <w:r w:rsidR="00BE7586" w:rsidRPr="007E49E4">
        <w:rPr>
          <w:rStyle w:val="af7"/>
          <w:rFonts w:eastAsia="Guttman Hodes"/>
          <w:rtl/>
        </w:rPr>
        <w:fldChar w:fldCharType="begin"/>
      </w:r>
      <w:r w:rsidR="00BE7586" w:rsidRPr="007E49E4">
        <w:rPr>
          <w:rStyle w:val="af7"/>
          <w:rFonts w:eastAsia="Guttman Hodes"/>
          <w:rtl/>
        </w:rPr>
        <w:instrText xml:space="preserve"> </w:instrText>
      </w:r>
      <w:r w:rsidR="00BE7586" w:rsidRPr="007E49E4">
        <w:rPr>
          <w:rStyle w:val="af7"/>
          <w:rFonts w:eastAsia="Guttman Hodes" w:hint="cs"/>
        </w:rPr>
        <w:instrText>REF</w:instrText>
      </w:r>
      <w:r w:rsidR="00BE7586" w:rsidRPr="007E49E4">
        <w:rPr>
          <w:rStyle w:val="af7"/>
          <w:rFonts w:eastAsia="Guttman Hodes" w:hint="cs"/>
          <w:rtl/>
        </w:rPr>
        <w:instrText xml:space="preserve"> _</w:instrText>
      </w:r>
      <w:r w:rsidR="00BE7586" w:rsidRPr="007E49E4">
        <w:rPr>
          <w:rStyle w:val="af7"/>
          <w:rFonts w:eastAsia="Guttman Hodes" w:hint="cs"/>
        </w:rPr>
        <w:instrText>Ref54083402 \r \h</w:instrText>
      </w:r>
      <w:r w:rsidR="00BE7586" w:rsidRPr="007E49E4">
        <w:rPr>
          <w:rStyle w:val="af7"/>
          <w:rFonts w:eastAsia="Guttman Hodes"/>
          <w:rtl/>
        </w:rPr>
        <w:instrText xml:space="preserve"> </w:instrText>
      </w:r>
      <w:r w:rsidR="00BE7586" w:rsidRPr="007E49E4">
        <w:rPr>
          <w:rStyle w:val="af7"/>
          <w:rFonts w:eastAsia="Guttman Hodes"/>
          <w:rtl/>
        </w:rPr>
      </w:r>
      <w:r w:rsidR="00BE7586" w:rsidRPr="007E49E4">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00BE7586" w:rsidRPr="007E49E4">
        <w:rPr>
          <w:rStyle w:val="af7"/>
          <w:rFonts w:eastAsia="Guttman Hodes"/>
          <w:rtl/>
        </w:rPr>
        <w:fldChar w:fldCharType="end"/>
      </w:r>
      <w:r w:rsidR="00BE7586">
        <w:rPr>
          <w:rFonts w:hint="cs"/>
          <w:rtl/>
        </w:rPr>
        <w:t xml:space="preserve"> את דברי </w:t>
      </w:r>
      <w:r w:rsidR="00BE7586" w:rsidRPr="0017670B">
        <w:rPr>
          <w:rStyle w:val="af9"/>
          <w:rFonts w:hint="cs"/>
          <w:rtl/>
        </w:rPr>
        <w:t>הרשב"א</w:t>
      </w:r>
      <w:r w:rsidR="00BE7586">
        <w:rPr>
          <w:rFonts w:hint="cs"/>
          <w:rtl/>
        </w:rPr>
        <w:t xml:space="preserve"> דא"כ נתת דבריך לשיעורים</w:t>
      </w:r>
      <w:r>
        <w:rPr>
          <w:rFonts w:hint="cs"/>
          <w:rtl/>
        </w:rPr>
        <w:t>.</w:t>
      </w:r>
    </w:p>
    <w:p w:rsidR="006536A2" w:rsidRDefault="001431AE" w:rsidP="006536A2">
      <w:pPr>
        <w:pStyle w:val="a3"/>
        <w:rPr>
          <w:rtl/>
        </w:rPr>
      </w:pPr>
      <w:bookmarkStart w:id="492" w:name="_Toc54038976"/>
      <w:bookmarkStart w:id="493" w:name="_Toc54039070"/>
      <w:bookmarkStart w:id="494" w:name="_Toc54087495"/>
      <w:bookmarkStart w:id="495" w:name="_Toc54109298"/>
      <w:bookmarkStart w:id="496" w:name="_Toc54125697"/>
      <w:bookmarkStart w:id="497" w:name="_Toc54133909"/>
      <w:r>
        <w:rPr>
          <w:rFonts w:hint="cs"/>
          <w:rtl/>
        </w:rPr>
        <w:t>ביאור הרשב"א בגמ' לקמן דרק בעבדים מהני חזקת ג"ש ולא לגודרות</w:t>
      </w:r>
      <w:bookmarkEnd w:id="492"/>
      <w:bookmarkEnd w:id="493"/>
      <w:bookmarkEnd w:id="494"/>
      <w:bookmarkEnd w:id="495"/>
      <w:bookmarkEnd w:id="496"/>
      <w:bookmarkEnd w:id="497"/>
    </w:p>
    <w:p w:rsidR="006536A2" w:rsidRDefault="006536A2" w:rsidP="007E4E81">
      <w:pPr>
        <w:pStyle w:val="a0"/>
        <w:rPr>
          <w:rtl/>
        </w:rPr>
      </w:pPr>
      <w:r>
        <w:rPr>
          <w:rFonts w:hint="cs"/>
          <w:rtl/>
        </w:rPr>
        <w:t xml:space="preserve">וכתב </w:t>
      </w:r>
      <w:r w:rsidRPr="00527A92">
        <w:rPr>
          <w:rStyle w:val="af9"/>
          <w:rFonts w:hint="cs"/>
          <w:rtl/>
        </w:rPr>
        <w:t>הרשב"א</w:t>
      </w:r>
      <w:r>
        <w:rPr>
          <w:rFonts w:hint="cs"/>
          <w:rtl/>
        </w:rPr>
        <w:t xml:space="preserve"> דהא דמקשה הגמ' לקמן </w:t>
      </w:r>
      <w:r w:rsidRPr="0003169A">
        <w:rPr>
          <w:rStyle w:val="af7"/>
          <w:rFonts w:eastAsia="Guttman Hodes" w:hint="cs"/>
          <w:rtl/>
        </w:rPr>
        <w:t>(לו.)</w:t>
      </w:r>
      <w:r>
        <w:rPr>
          <w:rFonts w:hint="cs"/>
          <w:rtl/>
        </w:rPr>
        <w:t xml:space="preserve"> אמאי תנן במתני' דעבדים יש להם חזקה, והא לגודרות אין חזקה, ותירץ רבא דאין חזקה לאלתר אלא לאחר ג"ש, דאין כוונת הגמ' לומר דלגודרות יש חזקה לאחר ג"ש, אלא כוונת הגמ' לעבדים, דהם כגודרות שאין להם חזקה לאלתר, אבל לגודרות עצמם יש חזקה לאחר הזמן שהדרך של הבעלים להקפיד להניחם אצל אחרים</w:t>
      </w:r>
      <w:r w:rsidR="0016181B">
        <w:rPr>
          <w:rFonts w:hint="cs"/>
          <w:rtl/>
        </w:rPr>
        <w:t xml:space="preserve">, ועי' במה שדחה </w:t>
      </w:r>
      <w:r w:rsidR="0016181B" w:rsidRPr="00527A92">
        <w:rPr>
          <w:rStyle w:val="af9"/>
          <w:rFonts w:hint="cs"/>
          <w:rtl/>
        </w:rPr>
        <w:t>הריטב"א</w:t>
      </w:r>
      <w:r w:rsidR="0016181B">
        <w:rPr>
          <w:rFonts w:hint="cs"/>
          <w:rtl/>
        </w:rPr>
        <w:t xml:space="preserve"> את דברי </w:t>
      </w:r>
      <w:r w:rsidR="0016181B" w:rsidRPr="00527A92">
        <w:rPr>
          <w:rStyle w:val="af9"/>
          <w:rFonts w:hint="cs"/>
          <w:rtl/>
        </w:rPr>
        <w:t>הרשב"א</w:t>
      </w:r>
      <w:r w:rsidR="0016181B">
        <w:rPr>
          <w:rFonts w:hint="cs"/>
          <w:rtl/>
        </w:rPr>
        <w:t xml:space="preserve"> </w:t>
      </w:r>
      <w:r w:rsidR="0016181B" w:rsidRPr="0003169A">
        <w:rPr>
          <w:rStyle w:val="af7"/>
          <w:rFonts w:eastAsia="Guttman Hodes" w:hint="cs"/>
          <w:rtl/>
        </w:rPr>
        <w:t>(עי' אות</w:t>
      </w:r>
      <w:r w:rsidR="0016181B">
        <w:rPr>
          <w:rStyle w:val="af7"/>
          <w:rFonts w:eastAsia="Guttman Hodes" w:hint="cs"/>
          <w:rtl/>
        </w:rPr>
        <w:t xml:space="preserve"> </w:t>
      </w:r>
      <w:r w:rsidR="0016181B">
        <w:rPr>
          <w:rStyle w:val="af7"/>
          <w:rFonts w:eastAsia="Guttman Hodes"/>
          <w:rtl/>
        </w:rPr>
        <w:fldChar w:fldCharType="begin"/>
      </w:r>
      <w:r w:rsidR="0016181B">
        <w:rPr>
          <w:rStyle w:val="af7"/>
          <w:rFonts w:eastAsia="Guttman Hodes"/>
          <w:rtl/>
        </w:rPr>
        <w:instrText xml:space="preserve"> </w:instrText>
      </w:r>
      <w:r w:rsidR="0016181B">
        <w:rPr>
          <w:rStyle w:val="af7"/>
          <w:rFonts w:eastAsia="Guttman Hodes" w:hint="cs"/>
        </w:rPr>
        <w:instrText>REF</w:instrText>
      </w:r>
      <w:r w:rsidR="0016181B">
        <w:rPr>
          <w:rStyle w:val="af7"/>
          <w:rFonts w:eastAsia="Guttman Hodes" w:hint="cs"/>
          <w:rtl/>
        </w:rPr>
        <w:instrText xml:space="preserve"> _</w:instrText>
      </w:r>
      <w:r w:rsidR="0016181B">
        <w:rPr>
          <w:rStyle w:val="af7"/>
          <w:rFonts w:eastAsia="Guttman Hodes" w:hint="cs"/>
        </w:rPr>
        <w:instrText>Ref54038250 \r \h</w:instrText>
      </w:r>
      <w:r w:rsidR="0016181B">
        <w:rPr>
          <w:rStyle w:val="af7"/>
          <w:rFonts w:eastAsia="Guttman Hodes"/>
          <w:rtl/>
        </w:rPr>
        <w:instrText xml:space="preserve"> </w:instrText>
      </w:r>
      <w:r w:rsidR="0016181B">
        <w:rPr>
          <w:rStyle w:val="af7"/>
          <w:rFonts w:eastAsia="Guttman Hodes"/>
          <w:rtl/>
        </w:rPr>
      </w:r>
      <w:r w:rsidR="0016181B">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0016181B">
        <w:rPr>
          <w:rStyle w:val="af7"/>
          <w:rFonts w:eastAsia="Guttman Hodes"/>
          <w:rtl/>
        </w:rPr>
        <w:fldChar w:fldCharType="end"/>
      </w:r>
      <w:r>
        <w:rPr>
          <w:rFonts w:hint="cs"/>
          <w:rtl/>
        </w:rPr>
        <w:t>.</w:t>
      </w:r>
    </w:p>
    <w:p w:rsidR="006536A2" w:rsidRPr="002E3357" w:rsidRDefault="001431AE" w:rsidP="006536A2">
      <w:pPr>
        <w:pStyle w:val="a3"/>
        <w:rPr>
          <w:rtl/>
        </w:rPr>
      </w:pPr>
      <w:bookmarkStart w:id="498" w:name="_Toc54038977"/>
      <w:bookmarkStart w:id="499" w:name="_Toc54039071"/>
      <w:bookmarkStart w:id="500" w:name="_Toc54087496"/>
      <w:bookmarkStart w:id="501" w:name="_Toc54109299"/>
      <w:bookmarkStart w:id="502" w:name="_Toc54125698"/>
      <w:bookmarkStart w:id="503" w:name="_Toc54133910"/>
      <w:r>
        <w:rPr>
          <w:rFonts w:hint="cs"/>
          <w:rtl/>
        </w:rPr>
        <w:t>דברי הרשב"א דכן משמע בר"ח דכתב דבעבדים שהשתמש בהם ג"ש קנאם המחזיק בחזקה</w:t>
      </w:r>
      <w:bookmarkEnd w:id="498"/>
      <w:bookmarkEnd w:id="499"/>
      <w:bookmarkEnd w:id="500"/>
      <w:bookmarkEnd w:id="501"/>
      <w:bookmarkEnd w:id="502"/>
      <w:bookmarkEnd w:id="503"/>
    </w:p>
    <w:p w:rsidR="006536A2" w:rsidRDefault="006536A2" w:rsidP="007E4E81">
      <w:pPr>
        <w:pStyle w:val="a0"/>
        <w:rPr>
          <w:rtl/>
        </w:rPr>
      </w:pPr>
      <w:bookmarkStart w:id="504" w:name="_Ref54123518"/>
      <w:r>
        <w:rPr>
          <w:rFonts w:hint="cs"/>
          <w:rtl/>
        </w:rPr>
        <w:t xml:space="preserve">וכתב </w:t>
      </w:r>
      <w:r w:rsidRPr="00165F43">
        <w:rPr>
          <w:rStyle w:val="af9"/>
          <w:rFonts w:hint="cs"/>
          <w:rtl/>
        </w:rPr>
        <w:t>הרשב"א</w:t>
      </w:r>
      <w:r>
        <w:rPr>
          <w:rFonts w:hint="cs"/>
          <w:rtl/>
        </w:rPr>
        <w:t xml:space="preserve"> דכן משמע בדברי </w:t>
      </w:r>
      <w:r w:rsidRPr="00165F43">
        <w:rPr>
          <w:rStyle w:val="af9"/>
          <w:rFonts w:hint="cs"/>
          <w:rtl/>
        </w:rPr>
        <w:t>ר"ח לקמן</w:t>
      </w:r>
      <w:r w:rsidRPr="00165F43">
        <w:rPr>
          <w:rFonts w:hint="cs"/>
          <w:rtl/>
        </w:rPr>
        <w:t xml:space="preserve"> </w:t>
      </w:r>
      <w:r w:rsidRPr="00165F43">
        <w:rPr>
          <w:rStyle w:val="af7"/>
          <w:rFonts w:eastAsia="Guttman Hodes" w:hint="cs"/>
          <w:rtl/>
        </w:rPr>
        <w:t xml:space="preserve">(לו. ד"ה והעבדים, נד' בשיטת הקדמונים, הועתק בקובץ שיטות קמאי ב"ב ח"א עמ' </w:t>
      </w:r>
      <w:r w:rsidRPr="00165F43">
        <w:rPr>
          <w:rStyle w:val="af7"/>
          <w:rFonts w:eastAsia="Guttman Hodes"/>
          <w:rtl/>
        </w:rPr>
        <w:t>תתצ</w:t>
      </w:r>
      <w:r w:rsidRPr="00165F43">
        <w:rPr>
          <w:rStyle w:val="af7"/>
          <w:rFonts w:eastAsia="Guttman Hodes" w:hint="cs"/>
          <w:rtl/>
        </w:rPr>
        <w:t>"</w:t>
      </w:r>
      <w:r w:rsidRPr="00165F43">
        <w:rPr>
          <w:rStyle w:val="af7"/>
          <w:rFonts w:eastAsia="Guttman Hodes"/>
          <w:rtl/>
        </w:rPr>
        <w:t>ו</w:t>
      </w:r>
      <w:r w:rsidRPr="00165F43">
        <w:rPr>
          <w:rStyle w:val="af7"/>
          <w:rFonts w:eastAsia="Guttman Hodes" w:hint="cs"/>
          <w:rtl/>
        </w:rPr>
        <w:t>)</w:t>
      </w:r>
      <w:r w:rsidRPr="00165F43">
        <w:rPr>
          <w:rFonts w:hint="cs"/>
          <w:rtl/>
        </w:rPr>
        <w:t xml:space="preserve"> דכתב</w:t>
      </w:r>
      <w:r>
        <w:rPr>
          <w:rFonts w:hint="cs"/>
          <w:rtl/>
        </w:rPr>
        <w:t xml:space="preserve"> בביאור הגמ' לקמן דגודרות אין להם חזקה לאלתר, והא דתנן דעבדים יש להם חזקה לאחר ג"ש, היינו דכיון שהמחזיק השתמש בהם ג"ש ולא מחה בהם הבעלים, קנה אותם המחזיק בחזקה.</w:t>
      </w:r>
      <w:bookmarkEnd w:id="504"/>
    </w:p>
    <w:p w:rsidR="00B65231" w:rsidRPr="00B65231" w:rsidRDefault="00B65231" w:rsidP="00B65231">
      <w:pPr>
        <w:pStyle w:val="1"/>
        <w:rPr>
          <w:rtl/>
        </w:rPr>
      </w:pPr>
      <w:bookmarkStart w:id="505" w:name="_Toc54087497"/>
      <w:bookmarkStart w:id="506" w:name="_Toc54109300"/>
      <w:bookmarkStart w:id="507" w:name="_Toc54125699"/>
      <w:bookmarkStart w:id="508" w:name="_Toc54133911"/>
      <w:r>
        <w:rPr>
          <w:rFonts w:hint="cs"/>
          <w:rtl/>
        </w:rPr>
        <w:t>הביאור הב' ברשב"א דבעבדים יש חזקה דדמו לקרקע ולגודרות</w:t>
      </w:r>
      <w:bookmarkEnd w:id="505"/>
      <w:bookmarkEnd w:id="506"/>
      <w:bookmarkEnd w:id="507"/>
      <w:bookmarkEnd w:id="508"/>
      <w:r>
        <w:rPr>
          <w:rFonts w:hint="cs"/>
          <w:rtl/>
        </w:rPr>
        <w:t xml:space="preserve"> </w:t>
      </w:r>
    </w:p>
    <w:p w:rsidR="006536A2" w:rsidRDefault="00F85368" w:rsidP="006536A2">
      <w:pPr>
        <w:pStyle w:val="a3"/>
        <w:rPr>
          <w:rtl/>
        </w:rPr>
      </w:pPr>
      <w:bookmarkStart w:id="509" w:name="_Toc54038978"/>
      <w:bookmarkStart w:id="510" w:name="_Toc54039072"/>
      <w:bookmarkStart w:id="511" w:name="_Toc54087498"/>
      <w:bookmarkStart w:id="512" w:name="_Toc54109301"/>
      <w:bookmarkStart w:id="513" w:name="_Toc54125700"/>
      <w:bookmarkStart w:id="514" w:name="_Toc54133912"/>
      <w:r>
        <w:rPr>
          <w:rFonts w:hint="cs"/>
          <w:rtl/>
        </w:rPr>
        <w:t>הביאור הב' ברשב"א דבעבדים צריך חזקת ג"ש דהם כגודרות ועושים פירות תדיר כקרקעות</w:t>
      </w:r>
      <w:bookmarkEnd w:id="509"/>
      <w:bookmarkEnd w:id="510"/>
      <w:bookmarkEnd w:id="511"/>
      <w:bookmarkEnd w:id="512"/>
      <w:bookmarkEnd w:id="513"/>
      <w:bookmarkEnd w:id="514"/>
    </w:p>
    <w:p w:rsidR="006536A2" w:rsidRDefault="006536A2" w:rsidP="007E4E81">
      <w:pPr>
        <w:pStyle w:val="a0"/>
        <w:rPr>
          <w:rtl/>
        </w:rPr>
      </w:pPr>
      <w:r>
        <w:rPr>
          <w:rFonts w:hint="cs"/>
          <w:rtl/>
        </w:rPr>
        <w:t xml:space="preserve">ועוד ביאר </w:t>
      </w:r>
      <w:r w:rsidRPr="00541084">
        <w:rPr>
          <w:rStyle w:val="af9"/>
          <w:rFonts w:hint="cs"/>
          <w:rtl/>
        </w:rPr>
        <w:t>הרשב"א</w:t>
      </w:r>
      <w:r>
        <w:rPr>
          <w:rFonts w:hint="cs"/>
          <w:rtl/>
        </w:rPr>
        <w:t xml:space="preserve"> דהא דבעבדים יש חזקה לאחר ג"ש, הוא מב' טעמים, הא' כיון שהם הולכים מעצמם כגודרות, והב' כיון שעושים פירות תדיר, וכיון דעבדים הוקשו לקרקעות, </w:t>
      </w:r>
      <w:r w:rsidRPr="00784E34">
        <w:rPr>
          <w:rStyle w:val="afb"/>
          <w:rFonts w:hint="cs"/>
          <w:rtl/>
        </w:rPr>
        <w:t xml:space="preserve">[עי' </w:t>
      </w:r>
      <w:r w:rsidRPr="00784E34">
        <w:rPr>
          <w:rStyle w:val="affa"/>
          <w:rFonts w:hint="cs"/>
          <w:rtl/>
        </w:rPr>
        <w:t>ברבינו גרשום</w:t>
      </w:r>
      <w:r w:rsidRPr="00784E34">
        <w:rPr>
          <w:rStyle w:val="afb"/>
          <w:rFonts w:hint="cs"/>
          <w:rtl/>
        </w:rPr>
        <w:t xml:space="preserve"> </w:t>
      </w:r>
      <w:r w:rsidRPr="00784E34">
        <w:rPr>
          <w:rStyle w:val="aff6"/>
          <w:rFonts w:hint="cs"/>
          <w:rtl/>
        </w:rPr>
        <w:t xml:space="preserve">(עי' אות </w:t>
      </w:r>
      <w:r w:rsidRPr="00784E34">
        <w:rPr>
          <w:rStyle w:val="aff6"/>
          <w:rtl/>
        </w:rPr>
        <w:fldChar w:fldCharType="begin"/>
      </w:r>
      <w:r w:rsidRPr="00784E34">
        <w:rPr>
          <w:rStyle w:val="aff6"/>
          <w:rtl/>
        </w:rPr>
        <w:instrText xml:space="preserve"> </w:instrText>
      </w:r>
      <w:r w:rsidRPr="00784E34">
        <w:rPr>
          <w:rStyle w:val="aff6"/>
          <w:rFonts w:hint="cs"/>
        </w:rPr>
        <w:instrText>REF</w:instrText>
      </w:r>
      <w:r w:rsidRPr="00784E34">
        <w:rPr>
          <w:rStyle w:val="aff6"/>
          <w:rFonts w:hint="cs"/>
          <w:rtl/>
        </w:rPr>
        <w:instrText xml:space="preserve"> _</w:instrText>
      </w:r>
      <w:r w:rsidRPr="00784E34">
        <w:rPr>
          <w:rStyle w:val="aff6"/>
          <w:rFonts w:hint="cs"/>
        </w:rPr>
        <w:instrText>Ref53084142 \r \h</w:instrText>
      </w:r>
      <w:r w:rsidRPr="00784E34">
        <w:rPr>
          <w:rStyle w:val="aff6"/>
          <w:rtl/>
        </w:rPr>
        <w:instrText xml:space="preserve"> </w:instrText>
      </w:r>
      <w:r w:rsidRPr="00784E34">
        <w:rPr>
          <w:rStyle w:val="aff6"/>
          <w:rtl/>
        </w:rPr>
      </w:r>
      <w:r w:rsidRPr="00784E34">
        <w:rPr>
          <w:rStyle w:val="aff6"/>
          <w:rtl/>
        </w:rPr>
        <w:fldChar w:fldCharType="separate"/>
      </w:r>
      <w:r w:rsidR="00265073">
        <w:rPr>
          <w:rStyle w:val="aff6"/>
          <w:cs/>
        </w:rPr>
        <w:t>‎</w:t>
      </w:r>
      <w:r w:rsidR="00265073">
        <w:rPr>
          <w:rStyle w:val="aff6"/>
          <w:rtl/>
        </w:rPr>
        <w:t>מח)</w:t>
      </w:r>
      <w:r w:rsidRPr="00784E34">
        <w:rPr>
          <w:rStyle w:val="aff6"/>
          <w:rtl/>
        </w:rPr>
        <w:fldChar w:fldCharType="end"/>
      </w:r>
      <w:r w:rsidRPr="00784E34">
        <w:rPr>
          <w:rStyle w:val="afb"/>
          <w:rFonts w:hint="cs"/>
          <w:rtl/>
        </w:rPr>
        <w:t>],</w:t>
      </w:r>
      <w:r>
        <w:rPr>
          <w:rFonts w:hint="cs"/>
          <w:rtl/>
        </w:rPr>
        <w:t xml:space="preserve"> לכן תנן להו במתני' יחד עם חזקת קרקעות, כיון שגם העבדים עושים פירות תדיר כקרקעות.</w:t>
      </w:r>
    </w:p>
    <w:p w:rsidR="00E361CC" w:rsidRDefault="00E361CC" w:rsidP="00E361CC">
      <w:pPr>
        <w:pStyle w:val="afe"/>
        <w:rPr>
          <w:rtl/>
        </w:rPr>
      </w:pPr>
      <w:bookmarkStart w:id="515" w:name="_Toc54087499"/>
      <w:bookmarkStart w:id="516" w:name="_Toc54109302"/>
      <w:bookmarkStart w:id="517" w:name="_Toc54125701"/>
      <w:bookmarkStart w:id="518" w:name="_Toc54133913"/>
      <w:r>
        <w:rPr>
          <w:rFonts w:hint="cs"/>
          <w:rtl/>
        </w:rPr>
        <w:t>דעת הראשונים דעבדים הוקשו לקרקעות</w:t>
      </w:r>
      <w:bookmarkEnd w:id="515"/>
      <w:bookmarkEnd w:id="516"/>
      <w:bookmarkEnd w:id="517"/>
      <w:bookmarkEnd w:id="518"/>
    </w:p>
    <w:p w:rsidR="00E361CC" w:rsidRPr="004E55E7" w:rsidRDefault="00E361CC" w:rsidP="00E361CC">
      <w:pPr>
        <w:pStyle w:val="1"/>
        <w:rPr>
          <w:rtl/>
        </w:rPr>
      </w:pPr>
      <w:bookmarkStart w:id="519" w:name="_Toc54038988"/>
      <w:bookmarkStart w:id="520" w:name="_Toc54039082"/>
      <w:bookmarkStart w:id="521" w:name="_Toc54087500"/>
      <w:bookmarkStart w:id="522" w:name="_Toc54109303"/>
      <w:bookmarkStart w:id="523" w:name="_Toc54125702"/>
      <w:bookmarkStart w:id="524" w:name="_Toc54133914"/>
      <w:r>
        <w:rPr>
          <w:rFonts w:hint="cs"/>
          <w:rtl/>
        </w:rPr>
        <w:t xml:space="preserve">דברי רבינו גרשום </w:t>
      </w:r>
      <w:r w:rsidR="0059785D">
        <w:rPr>
          <w:rFonts w:hint="cs"/>
          <w:rtl/>
        </w:rPr>
        <w:t xml:space="preserve">והמאירי </w:t>
      </w:r>
      <w:r>
        <w:rPr>
          <w:rFonts w:hint="cs"/>
          <w:rtl/>
        </w:rPr>
        <w:t>דעבדים הוקשו לקרקעות</w:t>
      </w:r>
      <w:bookmarkEnd w:id="519"/>
      <w:bookmarkEnd w:id="520"/>
      <w:bookmarkEnd w:id="521"/>
      <w:bookmarkEnd w:id="522"/>
      <w:bookmarkEnd w:id="523"/>
      <w:bookmarkEnd w:id="524"/>
    </w:p>
    <w:p w:rsidR="00E361CC" w:rsidRPr="002E31A3" w:rsidRDefault="00E361CC" w:rsidP="00E361CC">
      <w:pPr>
        <w:pStyle w:val="a3"/>
        <w:rPr>
          <w:rtl/>
        </w:rPr>
      </w:pPr>
      <w:bookmarkStart w:id="525" w:name="_Toc54087501"/>
      <w:bookmarkStart w:id="526" w:name="_Toc54109304"/>
      <w:bookmarkStart w:id="527" w:name="_Toc54125703"/>
      <w:bookmarkStart w:id="528" w:name="_Toc54133915"/>
      <w:r>
        <w:rPr>
          <w:rFonts w:hint="cs"/>
          <w:rtl/>
        </w:rPr>
        <w:t>דברי רבינו גרשום דבעבדים מהני חזקת ג"ש כיון דהוקשו לקרקעות שעובד בהם בכל יום</w:t>
      </w:r>
      <w:bookmarkEnd w:id="525"/>
      <w:bookmarkEnd w:id="526"/>
      <w:bookmarkEnd w:id="527"/>
      <w:bookmarkEnd w:id="528"/>
    </w:p>
    <w:p w:rsidR="00E361CC" w:rsidRPr="002E31A3" w:rsidRDefault="00E361CC" w:rsidP="007E4E81">
      <w:pPr>
        <w:pStyle w:val="a0"/>
        <w:rPr>
          <w:rtl/>
        </w:rPr>
      </w:pPr>
      <w:bookmarkStart w:id="529" w:name="_Ref53084142"/>
      <w:bookmarkStart w:id="530" w:name="_Ref54091293"/>
      <w:r w:rsidRPr="002E31A3">
        <w:rPr>
          <w:rFonts w:hint="cs"/>
          <w:rtl/>
        </w:rPr>
        <w:t xml:space="preserve">כתב </w:t>
      </w:r>
      <w:r w:rsidRPr="002E31A3">
        <w:rPr>
          <w:rStyle w:val="af9"/>
          <w:rFonts w:hint="cs"/>
          <w:rtl/>
        </w:rPr>
        <w:t>רבינו גרשום</w:t>
      </w:r>
      <w:r w:rsidRPr="002E31A3">
        <w:rPr>
          <w:rFonts w:hint="cs"/>
          <w:rtl/>
        </w:rPr>
        <w:t xml:space="preserve"> </w:t>
      </w:r>
      <w:r w:rsidRPr="002E31A3">
        <w:rPr>
          <w:rStyle w:val="af7"/>
          <w:rFonts w:eastAsia="Guttman Hodes" w:hint="cs"/>
          <w:rtl/>
        </w:rPr>
        <w:t>(ד"ה והעבדים)</w:t>
      </w:r>
      <w:r w:rsidRPr="002E31A3">
        <w:rPr>
          <w:rFonts w:hint="cs"/>
          <w:rtl/>
        </w:rPr>
        <w:t xml:space="preserve"> דהא דעבדים חזקתם ג"ש, הוא כיון דהוקשו לקרקעות, שעובד בהם בכל יום.</w:t>
      </w:r>
      <w:bookmarkEnd w:id="529"/>
      <w:r w:rsidRPr="00BB1BC9">
        <w:rPr>
          <w:rStyle w:val="afb"/>
          <w:rFonts w:hint="cs"/>
          <w:rtl/>
        </w:rPr>
        <w:t xml:space="preserve"> </w:t>
      </w:r>
      <w:r w:rsidRPr="00FD4B89">
        <w:rPr>
          <w:rStyle w:val="afb"/>
          <w:rFonts w:hint="cs"/>
          <w:rtl/>
        </w:rPr>
        <w:t>[ועי' במ"ש</w:t>
      </w:r>
      <w:r>
        <w:rPr>
          <w:rStyle w:val="afb"/>
          <w:rFonts w:hint="cs"/>
          <w:rtl/>
        </w:rPr>
        <w:t xml:space="preserve"> בזה</w:t>
      </w:r>
      <w:r w:rsidRPr="00FD4B89">
        <w:rPr>
          <w:rStyle w:val="afb"/>
          <w:rFonts w:hint="cs"/>
          <w:rtl/>
        </w:rPr>
        <w:t xml:space="preserve"> </w:t>
      </w:r>
      <w:r w:rsidRPr="00FD4B89">
        <w:rPr>
          <w:rStyle w:val="affa"/>
          <w:rFonts w:hint="cs"/>
          <w:rtl/>
        </w:rPr>
        <w:t>בשיעורי רבי שמואל</w:t>
      </w:r>
      <w:r w:rsidRPr="00FD4B89">
        <w:rPr>
          <w:rStyle w:val="afb"/>
          <w:rFonts w:hint="cs"/>
          <w:rtl/>
        </w:rPr>
        <w:t xml:space="preserve"> </w:t>
      </w:r>
      <w:r w:rsidRPr="007618F8">
        <w:rPr>
          <w:rStyle w:val="aff6"/>
          <w:rFonts w:hint="cs"/>
          <w:rtl/>
        </w:rPr>
        <w:t xml:space="preserve">(עי' אות </w:t>
      </w:r>
      <w:r w:rsidR="007618F8" w:rsidRPr="007618F8">
        <w:rPr>
          <w:rStyle w:val="aff6"/>
          <w:rtl/>
        </w:rPr>
        <w:fldChar w:fldCharType="begin"/>
      </w:r>
      <w:r w:rsidR="007618F8" w:rsidRPr="007618F8">
        <w:rPr>
          <w:rStyle w:val="aff6"/>
          <w:rtl/>
        </w:rPr>
        <w:instrText xml:space="preserve"> </w:instrText>
      </w:r>
      <w:r w:rsidR="007618F8" w:rsidRPr="007618F8">
        <w:rPr>
          <w:rStyle w:val="aff6"/>
          <w:rFonts w:hint="cs"/>
        </w:rPr>
        <w:instrText>REF</w:instrText>
      </w:r>
      <w:r w:rsidR="007618F8" w:rsidRPr="007618F8">
        <w:rPr>
          <w:rStyle w:val="aff6"/>
          <w:rFonts w:hint="cs"/>
          <w:rtl/>
        </w:rPr>
        <w:instrText xml:space="preserve"> _</w:instrText>
      </w:r>
      <w:r w:rsidR="007618F8" w:rsidRPr="007618F8">
        <w:rPr>
          <w:rStyle w:val="aff6"/>
          <w:rFonts w:hint="cs"/>
        </w:rPr>
        <w:instrText>Ref54134040 \r \h</w:instrText>
      </w:r>
      <w:r w:rsidR="007618F8" w:rsidRPr="007618F8">
        <w:rPr>
          <w:rStyle w:val="aff6"/>
          <w:rtl/>
        </w:rPr>
        <w:instrText xml:space="preserve"> </w:instrText>
      </w:r>
      <w:r w:rsidR="007618F8" w:rsidRPr="007618F8">
        <w:rPr>
          <w:rStyle w:val="aff6"/>
          <w:rtl/>
        </w:rPr>
      </w:r>
      <w:r w:rsidR="007618F8" w:rsidRPr="007618F8">
        <w:rPr>
          <w:rStyle w:val="aff6"/>
          <w:rtl/>
        </w:rPr>
        <w:fldChar w:fldCharType="separate"/>
      </w:r>
      <w:r w:rsidR="00265073">
        <w:rPr>
          <w:rStyle w:val="aff6"/>
          <w:cs/>
        </w:rPr>
        <w:t>‎</w:t>
      </w:r>
      <w:r w:rsidR="00265073">
        <w:rPr>
          <w:rStyle w:val="aff6"/>
          <w:rtl/>
        </w:rPr>
        <w:t>קי)</w:t>
      </w:r>
      <w:r w:rsidR="007618F8" w:rsidRPr="007618F8">
        <w:rPr>
          <w:rStyle w:val="aff6"/>
          <w:rtl/>
        </w:rPr>
        <w:fldChar w:fldCharType="end"/>
      </w:r>
      <w:r w:rsidRPr="00FD4B89">
        <w:rPr>
          <w:rStyle w:val="afb"/>
          <w:rFonts w:hint="cs"/>
          <w:rtl/>
        </w:rPr>
        <w:t xml:space="preserve"> בביאור דברי הירושלמי</w:t>
      </w:r>
      <w:r w:rsidR="007618F8">
        <w:rPr>
          <w:rStyle w:val="afb"/>
          <w:rFonts w:hint="cs"/>
          <w:rtl/>
        </w:rPr>
        <w:t xml:space="preserve"> דעבדים הוקשו לקרקעות</w:t>
      </w:r>
      <w:r w:rsidRPr="00FD4B89">
        <w:rPr>
          <w:rStyle w:val="afb"/>
          <w:rFonts w:hint="cs"/>
          <w:rtl/>
        </w:rPr>
        <w:t>].</w:t>
      </w:r>
      <w:bookmarkEnd w:id="530"/>
    </w:p>
    <w:p w:rsidR="00E361CC" w:rsidRPr="002E31A3" w:rsidRDefault="00E361CC" w:rsidP="0086727C">
      <w:pPr>
        <w:pStyle w:val="a3"/>
        <w:rPr>
          <w:rtl/>
        </w:rPr>
      </w:pPr>
      <w:bookmarkStart w:id="531" w:name="_Toc54087502"/>
      <w:bookmarkStart w:id="532" w:name="_Toc54109305"/>
      <w:bookmarkStart w:id="533" w:name="_Toc54125704"/>
      <w:bookmarkStart w:id="534" w:name="_Toc54133916"/>
      <w:r>
        <w:rPr>
          <w:rFonts w:hint="cs"/>
          <w:rtl/>
        </w:rPr>
        <w:t xml:space="preserve">דברי רבינו גרשום דרק בבהמה דקה </w:t>
      </w:r>
      <w:r w:rsidR="009F475C">
        <w:rPr>
          <w:rFonts w:hint="cs"/>
          <w:rtl/>
        </w:rPr>
        <w:t xml:space="preserve">אין חזקה לאלתר ולא </w:t>
      </w:r>
      <w:r>
        <w:rPr>
          <w:rFonts w:hint="cs"/>
          <w:rtl/>
        </w:rPr>
        <w:t xml:space="preserve">בהמה גסה ולכן לא תני </w:t>
      </w:r>
      <w:r w:rsidR="0086727C">
        <w:rPr>
          <w:rFonts w:hint="cs"/>
          <w:rtl/>
        </w:rPr>
        <w:t>לה</w:t>
      </w:r>
      <w:r w:rsidR="009F475C">
        <w:rPr>
          <w:rFonts w:hint="cs"/>
          <w:rtl/>
        </w:rPr>
        <w:t xml:space="preserve"> </w:t>
      </w:r>
      <w:r>
        <w:rPr>
          <w:rFonts w:hint="cs"/>
          <w:rtl/>
        </w:rPr>
        <w:t>במתני'</w:t>
      </w:r>
      <w:bookmarkEnd w:id="531"/>
      <w:bookmarkEnd w:id="532"/>
      <w:bookmarkEnd w:id="533"/>
      <w:bookmarkEnd w:id="534"/>
    </w:p>
    <w:p w:rsidR="00E361CC" w:rsidRPr="00356B65" w:rsidRDefault="00E361CC" w:rsidP="007E4E81">
      <w:pPr>
        <w:pStyle w:val="a0"/>
        <w:rPr>
          <w:rStyle w:val="afb"/>
          <w:rtl/>
        </w:rPr>
      </w:pPr>
      <w:r>
        <w:rPr>
          <w:rFonts w:hint="cs"/>
          <w:rtl/>
        </w:rPr>
        <w:t xml:space="preserve">ובהא דאיתא בגמ' לקמן </w:t>
      </w:r>
      <w:r w:rsidRPr="00BF1223">
        <w:rPr>
          <w:rStyle w:val="af7"/>
          <w:rFonts w:eastAsia="Guttman Hodes" w:hint="cs"/>
          <w:rtl/>
        </w:rPr>
        <w:t>(לו:)</w:t>
      </w:r>
      <w:r>
        <w:rPr>
          <w:rFonts w:hint="cs"/>
          <w:rtl/>
        </w:rPr>
        <w:t xml:space="preserve"> דגודרות אין להם חזקה, כתב</w:t>
      </w:r>
      <w:r w:rsidRPr="002E31A3">
        <w:rPr>
          <w:rFonts w:hint="cs"/>
          <w:rtl/>
        </w:rPr>
        <w:t xml:space="preserve"> </w:t>
      </w:r>
      <w:r w:rsidRPr="002E31A3">
        <w:rPr>
          <w:rStyle w:val="af9"/>
          <w:rFonts w:hint="cs"/>
          <w:rtl/>
        </w:rPr>
        <w:t xml:space="preserve">רבינו גרשום לקמן </w:t>
      </w:r>
      <w:r w:rsidRPr="002E31A3">
        <w:rPr>
          <w:rStyle w:val="af7"/>
          <w:rFonts w:eastAsia="Guttman Hodes" w:hint="cs"/>
          <w:rtl/>
        </w:rPr>
        <w:t xml:space="preserve">(לו. ד"ה כדקתני) </w:t>
      </w:r>
      <w:r w:rsidRPr="002E31A3">
        <w:rPr>
          <w:rFonts w:hint="cs"/>
          <w:rtl/>
        </w:rPr>
        <w:t>דדוקא בגודרות שהם בהמה דקה ואין להם שמירה כ"כ, אין להם חזקה, אבל בבהמה גסה שיש לה שמירה יש לה חזקה לאלתר</w:t>
      </w:r>
      <w:r>
        <w:rPr>
          <w:rFonts w:hint="cs"/>
          <w:rtl/>
        </w:rPr>
        <w:t xml:space="preserve">. </w:t>
      </w:r>
      <w:r w:rsidRPr="00356B65">
        <w:rPr>
          <w:rStyle w:val="afb"/>
          <w:rFonts w:hint="cs"/>
          <w:rtl/>
        </w:rPr>
        <w:t xml:space="preserve">[ועיי"ש </w:t>
      </w:r>
      <w:r w:rsidRPr="00356B65">
        <w:rPr>
          <w:rStyle w:val="affa"/>
          <w:rFonts w:hint="cs"/>
          <w:rtl/>
        </w:rPr>
        <w:t>בהג' חשק שלמה על רבינו גרשום</w:t>
      </w:r>
      <w:r w:rsidRPr="00356B65">
        <w:rPr>
          <w:rStyle w:val="afb"/>
          <w:rFonts w:hint="cs"/>
          <w:rtl/>
        </w:rPr>
        <w:t xml:space="preserve"> </w:t>
      </w:r>
      <w:r w:rsidRPr="00356B65">
        <w:rPr>
          <w:rStyle w:val="aff6"/>
          <w:rFonts w:hint="cs"/>
          <w:rtl/>
        </w:rPr>
        <w:t>(נד' על הדף או' א')</w:t>
      </w:r>
      <w:r w:rsidRPr="00356B65">
        <w:rPr>
          <w:rStyle w:val="afb"/>
          <w:rFonts w:hint="cs"/>
          <w:rtl/>
        </w:rPr>
        <w:t xml:space="preserve"> דכתב דאולי הגירסא </w:t>
      </w:r>
      <w:r w:rsidRPr="00356B65">
        <w:rPr>
          <w:rStyle w:val="affa"/>
          <w:rFonts w:hint="cs"/>
          <w:rtl/>
        </w:rPr>
        <w:t>ברבינו גרשום</w:t>
      </w:r>
      <w:r w:rsidRPr="00356B65">
        <w:rPr>
          <w:rStyle w:val="afb"/>
          <w:rFonts w:hint="cs"/>
          <w:rtl/>
        </w:rPr>
        <w:t xml:space="preserve"> היא דלכן תנן במתני' עבדים ולא תנן בהמה, כיון שיש חילוק בין בהמה דקה לבהמה גסה]. </w:t>
      </w:r>
    </w:p>
    <w:p w:rsidR="00E361CC" w:rsidRDefault="00E361CC" w:rsidP="00E361CC">
      <w:pPr>
        <w:pStyle w:val="a3"/>
        <w:rPr>
          <w:rtl/>
        </w:rPr>
      </w:pPr>
      <w:bookmarkStart w:id="535" w:name="_Toc54087503"/>
      <w:bookmarkStart w:id="536" w:name="_Toc54109306"/>
      <w:bookmarkStart w:id="537" w:name="_Toc54125705"/>
      <w:bookmarkStart w:id="538" w:name="_Toc54133917"/>
      <w:r>
        <w:rPr>
          <w:rFonts w:hint="cs"/>
          <w:rtl/>
        </w:rPr>
        <w:t>דברי המאירי דעבדים הם כגודרות דאין להם חזקה ותנן עבדים במתני' דהוקשו לקרקעות</w:t>
      </w:r>
      <w:bookmarkEnd w:id="535"/>
      <w:bookmarkEnd w:id="536"/>
      <w:bookmarkEnd w:id="537"/>
      <w:bookmarkEnd w:id="538"/>
    </w:p>
    <w:p w:rsidR="00E361CC" w:rsidRDefault="00E361CC" w:rsidP="007E4E81">
      <w:pPr>
        <w:pStyle w:val="a0"/>
        <w:rPr>
          <w:rStyle w:val="afb"/>
          <w:rtl/>
        </w:rPr>
      </w:pPr>
      <w:bookmarkStart w:id="539" w:name="_Ref54122831"/>
      <w:r>
        <w:rPr>
          <w:rFonts w:hint="cs"/>
          <w:rtl/>
        </w:rPr>
        <w:t>כתב</w:t>
      </w:r>
      <w:r w:rsidR="0086727C">
        <w:rPr>
          <w:rFonts w:hint="cs"/>
          <w:rtl/>
        </w:rPr>
        <w:t xml:space="preserve"> </w:t>
      </w:r>
      <w:r w:rsidRPr="00FD4B89">
        <w:rPr>
          <w:rStyle w:val="af9"/>
          <w:rFonts w:hint="cs"/>
          <w:rtl/>
        </w:rPr>
        <w:t>המאירי</w:t>
      </w:r>
      <w:r>
        <w:rPr>
          <w:rFonts w:hint="cs"/>
          <w:rtl/>
        </w:rPr>
        <w:t xml:space="preserve"> </w:t>
      </w:r>
      <w:r w:rsidRPr="00FD4B89">
        <w:rPr>
          <w:rStyle w:val="af7"/>
          <w:rFonts w:eastAsia="Guttman Hodes" w:hint="cs"/>
          <w:rtl/>
        </w:rPr>
        <w:t>(ד"ה והמשנה בתו"ד)</w:t>
      </w:r>
      <w:r>
        <w:rPr>
          <w:rFonts w:hint="cs"/>
          <w:rtl/>
        </w:rPr>
        <w:t xml:space="preserve"> דהא דבעבדים צריך חזקת ג"ש, ואינם כשאר המטלטלין דמהני בהם חזקה לאלתר, הוא כיון דהעבדים הולכים מעצמם כמו גודרות, והוסיף </w:t>
      </w:r>
      <w:r w:rsidRPr="00FD4B89">
        <w:rPr>
          <w:rStyle w:val="af9"/>
          <w:rFonts w:hint="cs"/>
          <w:rtl/>
        </w:rPr>
        <w:t>המאירי</w:t>
      </w:r>
      <w:r>
        <w:rPr>
          <w:rFonts w:hint="cs"/>
          <w:rtl/>
        </w:rPr>
        <w:t xml:space="preserve"> </w:t>
      </w:r>
      <w:r w:rsidRPr="00FD4B89">
        <w:rPr>
          <w:rStyle w:val="af7"/>
          <w:rFonts w:eastAsia="Guttman Hodes" w:hint="cs"/>
          <w:rtl/>
        </w:rPr>
        <w:t>(ד"ה אמר המאירי בתו"ד)</w:t>
      </w:r>
      <w:r>
        <w:rPr>
          <w:rFonts w:hint="cs"/>
          <w:rtl/>
        </w:rPr>
        <w:t xml:space="preserve"> דבהא דתנן במתני' דברים שעושים פירות תדיר, תני גם עבדים, כיון שהוקשו לקרקעות.</w:t>
      </w:r>
      <w:bookmarkEnd w:id="539"/>
    </w:p>
    <w:p w:rsidR="00E361CC" w:rsidRPr="00BB1BC9" w:rsidRDefault="00E361CC" w:rsidP="00E361CC">
      <w:pPr>
        <w:pStyle w:val="1"/>
        <w:rPr>
          <w:rtl/>
        </w:rPr>
      </w:pPr>
      <w:bookmarkStart w:id="540" w:name="_Toc54087504"/>
      <w:bookmarkStart w:id="541" w:name="_Toc54109307"/>
      <w:bookmarkStart w:id="542" w:name="_Toc54125706"/>
      <w:bookmarkStart w:id="543" w:name="_Toc54133918"/>
      <w:bookmarkStart w:id="544" w:name="_Toc53941226"/>
      <w:bookmarkStart w:id="545" w:name="_Toc54000512"/>
      <w:bookmarkStart w:id="546" w:name="_Toc54038987"/>
      <w:bookmarkStart w:id="547" w:name="_Toc54039081"/>
      <w:r>
        <w:rPr>
          <w:rFonts w:hint="cs"/>
          <w:rtl/>
        </w:rPr>
        <w:t>דברי הרמ"ה דלגודרות אין חזקה בלא ראיה כדמוכח במתני'</w:t>
      </w:r>
      <w:bookmarkEnd w:id="540"/>
      <w:bookmarkEnd w:id="541"/>
      <w:bookmarkEnd w:id="542"/>
      <w:bookmarkEnd w:id="543"/>
    </w:p>
    <w:p w:rsidR="00E361CC" w:rsidRPr="00FF5B78" w:rsidRDefault="00E361CC" w:rsidP="00E361CC">
      <w:pPr>
        <w:pStyle w:val="a3"/>
        <w:rPr>
          <w:rtl/>
        </w:rPr>
      </w:pPr>
      <w:bookmarkStart w:id="548" w:name="_Toc54087505"/>
      <w:bookmarkStart w:id="549" w:name="_Toc54109308"/>
      <w:bookmarkStart w:id="550" w:name="_Toc54125707"/>
      <w:bookmarkStart w:id="551" w:name="_Toc54133919"/>
      <w:r>
        <w:rPr>
          <w:rFonts w:hint="cs"/>
          <w:rtl/>
        </w:rPr>
        <w:t>דברי הרמ"ה דעבדים הם בני שטרא ויש חזקת ג"ש אבל גודרות דאין להם שמות אין חזקת ג"ש</w:t>
      </w:r>
      <w:bookmarkEnd w:id="548"/>
      <w:bookmarkEnd w:id="549"/>
      <w:bookmarkEnd w:id="550"/>
      <w:bookmarkEnd w:id="551"/>
    </w:p>
    <w:p w:rsidR="00E361CC" w:rsidRDefault="00E361CC" w:rsidP="007E4E81">
      <w:pPr>
        <w:pStyle w:val="a0"/>
        <w:rPr>
          <w:rtl/>
        </w:rPr>
      </w:pPr>
      <w:bookmarkStart w:id="552" w:name="_Ref54037227"/>
      <w:r>
        <w:rPr>
          <w:rFonts w:hint="cs"/>
          <w:rtl/>
        </w:rPr>
        <w:t>כתב</w:t>
      </w:r>
      <w:r w:rsidRPr="006E6EB0">
        <w:rPr>
          <w:rFonts w:hint="cs"/>
          <w:rtl/>
        </w:rPr>
        <w:t xml:space="preserve"> </w:t>
      </w:r>
      <w:r w:rsidRPr="006E6EB0">
        <w:rPr>
          <w:rStyle w:val="af9"/>
          <w:rFonts w:hint="cs"/>
          <w:rtl/>
        </w:rPr>
        <w:t>היד</w:t>
      </w:r>
      <w:r w:rsidRPr="00DA72E1">
        <w:rPr>
          <w:rStyle w:val="af9"/>
          <w:rFonts w:hint="cs"/>
          <w:rtl/>
        </w:rPr>
        <w:t xml:space="preserve"> רמ"ה לקמן</w:t>
      </w:r>
      <w:r>
        <w:rPr>
          <w:rFonts w:hint="cs"/>
          <w:rtl/>
        </w:rPr>
        <w:t xml:space="preserve"> </w:t>
      </w:r>
      <w:r w:rsidRPr="00DA72E1">
        <w:rPr>
          <w:rStyle w:val="af7"/>
          <w:rFonts w:eastAsia="Guttman Hodes" w:hint="cs"/>
          <w:rtl/>
        </w:rPr>
        <w:t>(או' ע"ה, לו. ד"ה אלא)</w:t>
      </w:r>
      <w:r>
        <w:rPr>
          <w:rFonts w:hint="cs"/>
          <w:rtl/>
        </w:rPr>
        <w:t xml:space="preserve"> דדוקא עבדים שאפשר לכתוב עליהם שטר, </w:t>
      </w:r>
      <w:r w:rsidRPr="002E31A3">
        <w:rPr>
          <w:rFonts w:hint="cs"/>
          <w:rtl/>
        </w:rPr>
        <w:t>ויש רגילות לכתוב עליהם שטר, מהני בהו חזקת ג"ש, אבל בהמות שאינם בני שטרא, ואינם מוחזקים בשמות כעבדים, אלא רק בטביעות עין, א"כ לא שייך בהם הטעם דעד ג"ש אדם נזהר בשטרו, ולכן לא מהני חזקת ג"ש בגודרות</w:t>
      </w:r>
      <w:r w:rsidR="00235C6A">
        <w:rPr>
          <w:rFonts w:hint="cs"/>
          <w:rtl/>
        </w:rPr>
        <w:t xml:space="preserve">, ועי' בדברי </w:t>
      </w:r>
      <w:r w:rsidR="00235C6A" w:rsidRPr="00233471">
        <w:rPr>
          <w:rStyle w:val="af9"/>
          <w:rFonts w:hint="cs"/>
          <w:rtl/>
        </w:rPr>
        <w:t>העיטור</w:t>
      </w:r>
      <w:r w:rsidR="00235C6A">
        <w:rPr>
          <w:rFonts w:hint="cs"/>
          <w:rtl/>
        </w:rPr>
        <w:t xml:space="preserve"> </w:t>
      </w:r>
      <w:r w:rsidR="00235C6A" w:rsidRPr="00233471">
        <w:rPr>
          <w:rStyle w:val="af7"/>
          <w:rFonts w:eastAsia="Guttman Hodes" w:hint="cs"/>
          <w:rtl/>
        </w:rPr>
        <w:t xml:space="preserve">(עי' אות </w:t>
      </w:r>
      <w:r w:rsidR="00235C6A" w:rsidRPr="00233471">
        <w:rPr>
          <w:rStyle w:val="af7"/>
          <w:rFonts w:eastAsia="Guttman Hodes"/>
          <w:rtl/>
        </w:rPr>
        <w:fldChar w:fldCharType="begin"/>
      </w:r>
      <w:r w:rsidR="00235C6A" w:rsidRPr="00233471">
        <w:rPr>
          <w:rStyle w:val="af7"/>
          <w:rFonts w:eastAsia="Guttman Hodes"/>
          <w:rtl/>
        </w:rPr>
        <w:instrText xml:space="preserve"> </w:instrText>
      </w:r>
      <w:r w:rsidR="00235C6A" w:rsidRPr="00233471">
        <w:rPr>
          <w:rStyle w:val="af7"/>
          <w:rFonts w:eastAsia="Guttman Hodes" w:hint="cs"/>
        </w:rPr>
        <w:instrText>REF</w:instrText>
      </w:r>
      <w:r w:rsidR="00235C6A" w:rsidRPr="00233471">
        <w:rPr>
          <w:rStyle w:val="af7"/>
          <w:rFonts w:eastAsia="Guttman Hodes" w:hint="cs"/>
          <w:rtl/>
        </w:rPr>
        <w:instrText xml:space="preserve"> _</w:instrText>
      </w:r>
      <w:r w:rsidR="00235C6A" w:rsidRPr="00233471">
        <w:rPr>
          <w:rStyle w:val="af7"/>
          <w:rFonts w:eastAsia="Guttman Hodes" w:hint="cs"/>
        </w:rPr>
        <w:instrText>Ref54086904 \r \h</w:instrText>
      </w:r>
      <w:r w:rsidR="00235C6A" w:rsidRPr="00233471">
        <w:rPr>
          <w:rStyle w:val="af7"/>
          <w:rFonts w:eastAsia="Guttman Hodes"/>
          <w:rtl/>
        </w:rPr>
        <w:instrText xml:space="preserve"> </w:instrText>
      </w:r>
      <w:r w:rsidR="00235C6A" w:rsidRPr="00233471">
        <w:rPr>
          <w:rStyle w:val="af7"/>
          <w:rFonts w:eastAsia="Guttman Hodes"/>
          <w:rtl/>
        </w:rPr>
      </w:r>
      <w:r w:rsidR="00235C6A" w:rsidRPr="00233471">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sidR="00235C6A" w:rsidRPr="00233471">
        <w:rPr>
          <w:rStyle w:val="af7"/>
          <w:rFonts w:eastAsia="Guttman Hodes"/>
          <w:rtl/>
        </w:rPr>
        <w:fldChar w:fldCharType="end"/>
      </w:r>
      <w:r>
        <w:rPr>
          <w:rFonts w:hint="cs"/>
          <w:rtl/>
        </w:rPr>
        <w:t>.</w:t>
      </w:r>
      <w:bookmarkEnd w:id="552"/>
    </w:p>
    <w:p w:rsidR="00E361CC" w:rsidRPr="008459BA" w:rsidRDefault="00E361CC" w:rsidP="00E361CC">
      <w:pPr>
        <w:pStyle w:val="a3"/>
      </w:pPr>
      <w:bookmarkStart w:id="553" w:name="_Toc54087506"/>
      <w:bookmarkStart w:id="554" w:name="_Toc54109309"/>
      <w:bookmarkStart w:id="555" w:name="_Toc54125708"/>
      <w:bookmarkStart w:id="556" w:name="_Toc54133920"/>
      <w:r>
        <w:rPr>
          <w:rFonts w:hint="cs"/>
          <w:rtl/>
        </w:rPr>
        <w:t>דברי הרמ"ה דכן מוכח דבמתני' תנן קרקעות ועבדים אבל גודרות לעולם אין חזקה בלא ראיה</w:t>
      </w:r>
      <w:bookmarkEnd w:id="553"/>
      <w:bookmarkEnd w:id="554"/>
      <w:bookmarkEnd w:id="555"/>
      <w:bookmarkEnd w:id="556"/>
    </w:p>
    <w:p w:rsidR="00E361CC" w:rsidRPr="002E31A3" w:rsidRDefault="00E361CC" w:rsidP="007E4E81">
      <w:pPr>
        <w:pStyle w:val="a0"/>
        <w:rPr>
          <w:rtl/>
        </w:rPr>
      </w:pPr>
      <w:bookmarkStart w:id="557" w:name="_Ref54120594"/>
      <w:r w:rsidRPr="002E31A3">
        <w:rPr>
          <w:rFonts w:hint="cs"/>
          <w:rtl/>
        </w:rPr>
        <w:t>וכתב</w:t>
      </w:r>
      <w:r w:rsidRPr="002E31A3">
        <w:rPr>
          <w:rStyle w:val="af9"/>
          <w:rFonts w:hint="cs"/>
          <w:rtl/>
        </w:rPr>
        <w:t xml:space="preserve"> היד רמ"ה </w:t>
      </w:r>
      <w:r w:rsidRPr="002E31A3">
        <w:rPr>
          <w:rFonts w:hint="cs"/>
          <w:rtl/>
        </w:rPr>
        <w:t xml:space="preserve">דכן מוכח מהא דאיירי במתני' רק קרקעות ועבדים דדמי לקרקעות ולא איירי במטלטלין כלל, ומבואר דבמטלטלין לא שייכא חזקת ג"ש, וכתב </w:t>
      </w:r>
      <w:r w:rsidRPr="002E31A3">
        <w:rPr>
          <w:rStyle w:val="af9"/>
          <w:rFonts w:hint="cs"/>
          <w:rtl/>
        </w:rPr>
        <w:t xml:space="preserve">היד רמ"ה </w:t>
      </w:r>
      <w:r w:rsidRPr="002E31A3">
        <w:rPr>
          <w:rFonts w:hint="cs"/>
          <w:rtl/>
        </w:rPr>
        <w:t>דגודרות לעולם אין מעמידים אותם ביד המחזיק בהם, אלא כשיש לו ראיה, וה"ה בדברי העשויים להשאיל ולהשכיר.</w:t>
      </w:r>
      <w:bookmarkEnd w:id="557"/>
    </w:p>
    <w:p w:rsidR="0096572B" w:rsidRPr="0096572B" w:rsidRDefault="0096572B" w:rsidP="0096572B">
      <w:pPr>
        <w:pStyle w:val="afe"/>
        <w:rPr>
          <w:rtl/>
        </w:rPr>
      </w:pPr>
      <w:bookmarkStart w:id="558" w:name="_Toc54087507"/>
      <w:bookmarkStart w:id="559" w:name="_Toc54109310"/>
      <w:bookmarkStart w:id="560" w:name="_Toc54125709"/>
      <w:bookmarkStart w:id="561" w:name="_Toc54133921"/>
      <w:bookmarkEnd w:id="544"/>
      <w:bookmarkEnd w:id="545"/>
      <w:bookmarkEnd w:id="546"/>
      <w:bookmarkEnd w:id="547"/>
      <w:r>
        <w:rPr>
          <w:rFonts w:hint="cs"/>
          <w:rtl/>
        </w:rPr>
        <w:t>ד' הסוברים דחזקת ג"ש בעבדים וגודרות</w:t>
      </w:r>
      <w:bookmarkEnd w:id="558"/>
      <w:bookmarkEnd w:id="559"/>
      <w:bookmarkEnd w:id="560"/>
      <w:bookmarkEnd w:id="561"/>
    </w:p>
    <w:p w:rsidR="006536A2" w:rsidRPr="000E6A20" w:rsidRDefault="006536A2" w:rsidP="00B65231">
      <w:pPr>
        <w:pStyle w:val="1"/>
        <w:rPr>
          <w:rtl/>
        </w:rPr>
      </w:pPr>
      <w:bookmarkStart w:id="562" w:name="_Toc53402194"/>
      <w:bookmarkStart w:id="563" w:name="_Toc53941224"/>
      <w:bookmarkStart w:id="564" w:name="_Toc54000510"/>
      <w:bookmarkStart w:id="565" w:name="_Toc54038979"/>
      <w:bookmarkStart w:id="566" w:name="_Toc54039073"/>
      <w:bookmarkStart w:id="567" w:name="_Toc54087508"/>
      <w:bookmarkStart w:id="568" w:name="_Toc54109311"/>
      <w:bookmarkStart w:id="569" w:name="_Toc54125710"/>
      <w:bookmarkStart w:id="570" w:name="_Toc54133922"/>
      <w:r>
        <w:rPr>
          <w:rFonts w:hint="cs"/>
          <w:rtl/>
        </w:rPr>
        <w:t>דעת הרשב"ם</w:t>
      </w:r>
      <w:bookmarkEnd w:id="562"/>
      <w:bookmarkEnd w:id="563"/>
      <w:bookmarkEnd w:id="564"/>
      <w:bookmarkEnd w:id="565"/>
      <w:bookmarkEnd w:id="566"/>
      <w:r w:rsidR="00B65231">
        <w:rPr>
          <w:rFonts w:hint="cs"/>
          <w:rtl/>
        </w:rPr>
        <w:t xml:space="preserve"> דבעבדים ובגודרות מהני חזקת ג"ש מדלא מיחה</w:t>
      </w:r>
      <w:bookmarkEnd w:id="567"/>
      <w:bookmarkEnd w:id="568"/>
      <w:bookmarkEnd w:id="569"/>
      <w:bookmarkEnd w:id="570"/>
    </w:p>
    <w:p w:rsidR="006536A2" w:rsidRDefault="002A70A0" w:rsidP="002A70A0">
      <w:pPr>
        <w:pStyle w:val="a3"/>
        <w:rPr>
          <w:rtl/>
        </w:rPr>
      </w:pPr>
      <w:bookmarkStart w:id="571" w:name="_Toc54038980"/>
      <w:bookmarkStart w:id="572" w:name="_Toc54039074"/>
      <w:bookmarkStart w:id="573" w:name="_Toc54087509"/>
      <w:bookmarkStart w:id="574" w:name="_Toc54109312"/>
      <w:bookmarkStart w:id="575" w:name="_Toc54125711"/>
      <w:bookmarkStart w:id="576" w:name="_Toc54133923"/>
      <w:r>
        <w:rPr>
          <w:rFonts w:hint="cs"/>
          <w:rtl/>
        </w:rPr>
        <w:t>דברי הרשב"ם לקמן דלמסקנת הגמ' מהני חזקת ג"ש בעבדים וגודרות כיון דלא מחה הבעלים</w:t>
      </w:r>
      <w:bookmarkEnd w:id="571"/>
      <w:bookmarkEnd w:id="572"/>
      <w:bookmarkEnd w:id="573"/>
      <w:bookmarkEnd w:id="574"/>
      <w:bookmarkEnd w:id="575"/>
      <w:bookmarkEnd w:id="576"/>
    </w:p>
    <w:p w:rsidR="006536A2" w:rsidRDefault="006536A2" w:rsidP="007E4E81">
      <w:pPr>
        <w:pStyle w:val="a0"/>
        <w:rPr>
          <w:rtl/>
        </w:rPr>
      </w:pPr>
      <w:bookmarkStart w:id="577" w:name="_Ref54085763"/>
      <w:r>
        <w:rPr>
          <w:rFonts w:hint="cs"/>
          <w:rtl/>
        </w:rPr>
        <w:t xml:space="preserve">אבל </w:t>
      </w:r>
      <w:r w:rsidRPr="00541084">
        <w:rPr>
          <w:rStyle w:val="af9"/>
          <w:rFonts w:hint="cs"/>
          <w:rtl/>
        </w:rPr>
        <w:t>הרשב"ם לקמן</w:t>
      </w:r>
      <w:r>
        <w:rPr>
          <w:rFonts w:hint="cs"/>
          <w:rtl/>
        </w:rPr>
        <w:t xml:space="preserve"> </w:t>
      </w:r>
      <w:r w:rsidRPr="00541084">
        <w:rPr>
          <w:rStyle w:val="af7"/>
          <w:rFonts w:eastAsia="Guttman Hodes" w:hint="cs"/>
          <w:rtl/>
        </w:rPr>
        <w:t>(לו. ד"ה ומשני)</w:t>
      </w:r>
      <w:r>
        <w:rPr>
          <w:rFonts w:hint="cs"/>
          <w:rtl/>
        </w:rPr>
        <w:t xml:space="preserve"> כתב דמסקנת הגמ' לקמן דבין</w:t>
      </w:r>
      <w:r w:rsidR="00A77F33">
        <w:rPr>
          <w:rFonts w:hint="cs"/>
          <w:rtl/>
        </w:rPr>
        <w:t xml:space="preserve"> </w:t>
      </w:r>
      <w:r>
        <w:rPr>
          <w:rFonts w:hint="cs"/>
          <w:rtl/>
        </w:rPr>
        <w:t xml:space="preserve">לעבדים ובין לגודרות אין חזקה לאלתר כמו שאר מטלטלין, כיון שהם יכולים להלך ולכן המחזיק בהם אינו נאמן לומר לקוח הוא בידי, אבל יש לעבדים ולגודרות חזקה לאחר ג"ש, כיון שהיה למערער למחות ולא מחה, וכ"פ </w:t>
      </w:r>
      <w:r w:rsidRPr="00541084">
        <w:rPr>
          <w:rStyle w:val="af9"/>
          <w:rFonts w:hint="cs"/>
          <w:rtl/>
        </w:rPr>
        <w:t>הרמ"א</w:t>
      </w:r>
      <w:r>
        <w:rPr>
          <w:rFonts w:hint="cs"/>
          <w:rtl/>
        </w:rPr>
        <w:t xml:space="preserve"> </w:t>
      </w:r>
      <w:r w:rsidRPr="00541084">
        <w:rPr>
          <w:rStyle w:val="af7"/>
          <w:rFonts w:eastAsia="Guttman Hodes" w:hint="cs"/>
          <w:rtl/>
        </w:rPr>
        <w:t>(סי' קל"ה א')</w:t>
      </w:r>
      <w:r>
        <w:rPr>
          <w:rFonts w:hint="cs"/>
          <w:rtl/>
        </w:rPr>
        <w:t xml:space="preserve"> דאף בגודרות מהני חזקת ג"ש.</w:t>
      </w:r>
      <w:bookmarkEnd w:id="577"/>
    </w:p>
    <w:p w:rsidR="006536A2" w:rsidRDefault="002A70A0" w:rsidP="005634A2">
      <w:pPr>
        <w:pStyle w:val="a3"/>
        <w:rPr>
          <w:rtl/>
        </w:rPr>
      </w:pPr>
      <w:bookmarkStart w:id="578" w:name="_Toc54038981"/>
      <w:bookmarkStart w:id="579" w:name="_Toc54039075"/>
      <w:bookmarkStart w:id="580" w:name="_Toc54087510"/>
      <w:bookmarkStart w:id="581" w:name="_Toc54109313"/>
      <w:bookmarkStart w:id="582" w:name="_Toc54125712"/>
      <w:bookmarkStart w:id="583" w:name="_Toc54133924"/>
      <w:r>
        <w:rPr>
          <w:rFonts w:hint="cs"/>
          <w:rtl/>
        </w:rPr>
        <w:t xml:space="preserve">דעת התוס' בגיטין </w:t>
      </w:r>
      <w:r w:rsidR="005634A2">
        <w:rPr>
          <w:rFonts w:hint="cs"/>
          <w:rtl/>
        </w:rPr>
        <w:t xml:space="preserve">והרמב"ן </w:t>
      </w:r>
      <w:r>
        <w:rPr>
          <w:rFonts w:hint="cs"/>
          <w:rtl/>
        </w:rPr>
        <w:t>והריטב"א דחזקת ג"ש מהני בין בעבדים ובין בגודרות</w:t>
      </w:r>
      <w:bookmarkEnd w:id="578"/>
      <w:bookmarkEnd w:id="579"/>
      <w:bookmarkEnd w:id="580"/>
      <w:bookmarkEnd w:id="581"/>
      <w:bookmarkEnd w:id="582"/>
      <w:bookmarkEnd w:id="583"/>
    </w:p>
    <w:p w:rsidR="006536A2" w:rsidRDefault="006536A2" w:rsidP="007E4E81">
      <w:pPr>
        <w:pStyle w:val="a0"/>
        <w:rPr>
          <w:rtl/>
        </w:rPr>
      </w:pPr>
      <w:bookmarkStart w:id="584" w:name="_Ref54038250"/>
      <w:r>
        <w:rPr>
          <w:rFonts w:hint="cs"/>
          <w:rtl/>
        </w:rPr>
        <w:t xml:space="preserve">וכ"כ </w:t>
      </w:r>
      <w:r w:rsidRPr="005208D8">
        <w:rPr>
          <w:rStyle w:val="af9"/>
          <w:rFonts w:hint="cs"/>
          <w:rtl/>
        </w:rPr>
        <w:t>התוס' בגיטין</w:t>
      </w:r>
      <w:r>
        <w:rPr>
          <w:rFonts w:hint="cs"/>
          <w:rtl/>
        </w:rPr>
        <w:t xml:space="preserve"> </w:t>
      </w:r>
      <w:r w:rsidRPr="0017670B">
        <w:rPr>
          <w:rStyle w:val="af7"/>
          <w:rFonts w:eastAsia="Guttman Hodes" w:hint="cs"/>
          <w:rtl/>
        </w:rPr>
        <w:t xml:space="preserve">(כ: ד"ה ת"ש) </w:t>
      </w:r>
      <w:r>
        <w:rPr>
          <w:rFonts w:hint="cs"/>
          <w:rtl/>
        </w:rPr>
        <w:t xml:space="preserve">דאף בגודרות מהני חזקת ג"ש, </w:t>
      </w:r>
      <w:r w:rsidR="005634A2">
        <w:rPr>
          <w:rFonts w:hint="cs"/>
          <w:rtl/>
        </w:rPr>
        <w:t xml:space="preserve">וכתב </w:t>
      </w:r>
      <w:r w:rsidR="005634A2" w:rsidRPr="005208D8">
        <w:rPr>
          <w:rStyle w:val="af9"/>
          <w:rFonts w:hint="cs"/>
          <w:rtl/>
        </w:rPr>
        <w:t>התומים</w:t>
      </w:r>
      <w:r w:rsidR="005634A2">
        <w:rPr>
          <w:rFonts w:hint="cs"/>
          <w:rtl/>
        </w:rPr>
        <w:t xml:space="preserve"> </w:t>
      </w:r>
      <w:r w:rsidR="005634A2" w:rsidRPr="0017670B">
        <w:rPr>
          <w:rStyle w:val="af7"/>
          <w:rFonts w:eastAsia="Guttman Hodes" w:hint="cs"/>
          <w:rtl/>
        </w:rPr>
        <w:t xml:space="preserve">(סי' קל"ה סק"ב) </w:t>
      </w:r>
      <w:r w:rsidR="005634A2">
        <w:rPr>
          <w:rFonts w:hint="cs"/>
          <w:rtl/>
        </w:rPr>
        <w:t xml:space="preserve">דכן מוכח מדברי </w:t>
      </w:r>
      <w:r w:rsidR="005634A2" w:rsidRPr="005208D8">
        <w:rPr>
          <w:rStyle w:val="af9"/>
          <w:rFonts w:hint="cs"/>
          <w:rtl/>
        </w:rPr>
        <w:t>הרמב"ן לקמן</w:t>
      </w:r>
      <w:r w:rsidR="005634A2">
        <w:rPr>
          <w:rFonts w:hint="cs"/>
          <w:rtl/>
        </w:rPr>
        <w:t xml:space="preserve"> </w:t>
      </w:r>
      <w:r w:rsidR="005634A2" w:rsidRPr="0017670B">
        <w:rPr>
          <w:rStyle w:val="af7"/>
          <w:rFonts w:eastAsia="Guttman Hodes" w:hint="cs"/>
          <w:rtl/>
        </w:rPr>
        <w:t>(לו. ד"ה הא)</w:t>
      </w:r>
      <w:r w:rsidR="005634A2">
        <w:rPr>
          <w:rFonts w:hint="cs"/>
          <w:rtl/>
        </w:rPr>
        <w:t xml:space="preserve">, </w:t>
      </w:r>
      <w:r>
        <w:rPr>
          <w:rFonts w:hint="cs"/>
          <w:rtl/>
        </w:rPr>
        <w:t xml:space="preserve">וכתב </w:t>
      </w:r>
      <w:r w:rsidRPr="005208D8">
        <w:rPr>
          <w:rStyle w:val="af9"/>
          <w:rFonts w:hint="cs"/>
          <w:rtl/>
        </w:rPr>
        <w:t>הריטב"א לקמן</w:t>
      </w:r>
      <w:r w:rsidR="00A77F33">
        <w:rPr>
          <w:rFonts w:hint="cs"/>
          <w:rtl/>
        </w:rPr>
        <w:t xml:space="preserve"> </w:t>
      </w:r>
      <w:r w:rsidR="005634A2" w:rsidRPr="0017670B">
        <w:rPr>
          <w:rStyle w:val="af7"/>
          <w:rFonts w:eastAsia="Guttman Hodes" w:hint="cs"/>
          <w:rtl/>
        </w:rPr>
        <w:t>(לו. ד"ה ופריק)</w:t>
      </w:r>
      <w:r w:rsidR="005634A2">
        <w:rPr>
          <w:rFonts w:hint="cs"/>
          <w:rtl/>
        </w:rPr>
        <w:t xml:space="preserve"> </w:t>
      </w:r>
      <w:r>
        <w:rPr>
          <w:rFonts w:hint="cs"/>
          <w:rtl/>
        </w:rPr>
        <w:t xml:space="preserve">דבלשון הגמ' לקמן </w:t>
      </w:r>
      <w:r w:rsidRPr="0017670B">
        <w:rPr>
          <w:rStyle w:val="af7"/>
          <w:rFonts w:eastAsia="Guttman Hodes" w:hint="cs"/>
          <w:rtl/>
        </w:rPr>
        <w:t>(לו.)</w:t>
      </w:r>
      <w:r>
        <w:rPr>
          <w:rFonts w:hint="cs"/>
          <w:rtl/>
        </w:rPr>
        <w:t xml:space="preserve"> לא משמע כדברי</w:t>
      </w:r>
      <w:r w:rsidRPr="005208D8">
        <w:rPr>
          <w:rStyle w:val="af9"/>
          <w:rFonts w:hint="cs"/>
          <w:rtl/>
        </w:rPr>
        <w:t xml:space="preserve"> הרשב"א</w:t>
      </w:r>
      <w:r>
        <w:rPr>
          <w:rFonts w:hint="cs"/>
          <w:rtl/>
        </w:rPr>
        <w:t xml:space="preserve"> </w:t>
      </w:r>
      <w:r w:rsidRPr="0017670B">
        <w:rPr>
          <w:rStyle w:val="af7"/>
          <w:rFonts w:eastAsia="Guttman Hodes" w:hint="cs"/>
          <w:rtl/>
        </w:rPr>
        <w:t xml:space="preserve">(עי' אות </w:t>
      </w:r>
      <w:r w:rsidRPr="0017670B">
        <w:rPr>
          <w:rStyle w:val="af7"/>
          <w:rFonts w:eastAsia="Guttman Hodes"/>
          <w:rtl/>
        </w:rPr>
        <w:fldChar w:fldCharType="begin"/>
      </w:r>
      <w:r w:rsidRPr="0017670B">
        <w:rPr>
          <w:rStyle w:val="af7"/>
          <w:rFonts w:eastAsia="Guttman Hodes"/>
          <w:rtl/>
        </w:rPr>
        <w:instrText xml:space="preserve"> </w:instrText>
      </w:r>
      <w:r w:rsidRPr="0017670B">
        <w:rPr>
          <w:rStyle w:val="af7"/>
          <w:rFonts w:eastAsia="Guttman Hodes" w:hint="cs"/>
        </w:rPr>
        <w:instrText>REF</w:instrText>
      </w:r>
      <w:r w:rsidRPr="0017670B">
        <w:rPr>
          <w:rStyle w:val="af7"/>
          <w:rFonts w:eastAsia="Guttman Hodes" w:hint="cs"/>
          <w:rtl/>
        </w:rPr>
        <w:instrText xml:space="preserve"> _</w:instrText>
      </w:r>
      <w:r w:rsidRPr="0017670B">
        <w:rPr>
          <w:rStyle w:val="af7"/>
          <w:rFonts w:eastAsia="Guttman Hodes" w:hint="cs"/>
        </w:rPr>
        <w:instrText>Ref54004530 \r \h</w:instrText>
      </w:r>
      <w:r w:rsidRPr="0017670B">
        <w:rPr>
          <w:rStyle w:val="af7"/>
          <w:rFonts w:eastAsia="Guttman Hodes"/>
          <w:rtl/>
        </w:rPr>
        <w:instrText xml:space="preserve"> </w:instrText>
      </w:r>
      <w:r w:rsidRPr="0017670B">
        <w:rPr>
          <w:rStyle w:val="af7"/>
          <w:rFonts w:eastAsia="Guttman Hodes"/>
          <w:rtl/>
        </w:rPr>
      </w:r>
      <w:r w:rsidRPr="0017670B">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Pr="0017670B">
        <w:rPr>
          <w:rStyle w:val="af7"/>
          <w:rFonts w:eastAsia="Guttman Hodes"/>
          <w:rtl/>
        </w:rPr>
        <w:fldChar w:fldCharType="end"/>
      </w:r>
      <w:r>
        <w:rPr>
          <w:rFonts w:hint="cs"/>
          <w:rtl/>
        </w:rPr>
        <w:t xml:space="preserve"> דבגודרות לא מהני חזקת ג"ש, דהא תירוץ הגמ' דמהני חזקת ג"ש היינו בין בעבדים ובין בגודרות.</w:t>
      </w:r>
      <w:bookmarkEnd w:id="584"/>
    </w:p>
    <w:p w:rsidR="00FF7B34" w:rsidRPr="00FF7B34" w:rsidRDefault="00FF7B34" w:rsidP="00FF7B34">
      <w:pPr>
        <w:pStyle w:val="a3"/>
        <w:rPr>
          <w:rtl/>
        </w:rPr>
      </w:pPr>
    </w:p>
    <w:p w:rsidR="00CD57A0" w:rsidRDefault="00CD57A0" w:rsidP="00CD57A0">
      <w:pPr>
        <w:pStyle w:val="1"/>
        <w:rPr>
          <w:rtl/>
        </w:rPr>
      </w:pPr>
      <w:bookmarkStart w:id="585" w:name="_Toc53941222"/>
      <w:bookmarkStart w:id="586" w:name="_Toc54000508"/>
      <w:bookmarkStart w:id="587" w:name="_Toc54038986"/>
      <w:bookmarkStart w:id="588" w:name="_Toc54039080"/>
      <w:bookmarkStart w:id="589" w:name="_Toc54087511"/>
      <w:bookmarkStart w:id="590" w:name="_Toc54109314"/>
      <w:bookmarkStart w:id="591" w:name="_Toc54125713"/>
      <w:bookmarkStart w:id="592" w:name="_Toc54133925"/>
      <w:r>
        <w:rPr>
          <w:rFonts w:hint="cs"/>
          <w:rtl/>
        </w:rPr>
        <w:lastRenderedPageBreak/>
        <w:t>ביאור רבינו יונה דגודרות</w:t>
      </w:r>
      <w:bookmarkEnd w:id="585"/>
      <w:bookmarkEnd w:id="586"/>
      <w:bookmarkEnd w:id="587"/>
      <w:bookmarkEnd w:id="588"/>
      <w:r>
        <w:rPr>
          <w:rFonts w:hint="cs"/>
          <w:rtl/>
        </w:rPr>
        <w:t xml:space="preserve"> לא דמו לעשויים להשאיל ולהשכיר</w:t>
      </w:r>
      <w:bookmarkEnd w:id="589"/>
      <w:bookmarkEnd w:id="590"/>
      <w:bookmarkEnd w:id="591"/>
      <w:bookmarkEnd w:id="592"/>
    </w:p>
    <w:p w:rsidR="00CD57A0" w:rsidRPr="00CD57A0" w:rsidRDefault="00CD57A0" w:rsidP="00CD57A0">
      <w:pPr>
        <w:pStyle w:val="a3"/>
        <w:rPr>
          <w:rtl/>
        </w:rPr>
      </w:pPr>
      <w:bookmarkStart w:id="593" w:name="_Toc54087512"/>
      <w:bookmarkStart w:id="594" w:name="_Toc54109315"/>
      <w:bookmarkStart w:id="595" w:name="_Toc54125714"/>
      <w:bookmarkStart w:id="596" w:name="_Toc54133926"/>
      <w:r>
        <w:rPr>
          <w:rFonts w:hint="cs"/>
          <w:rtl/>
        </w:rPr>
        <w:t>דברי רבינו יונה דבעשויים להשאיל ולהשכיר יש סברא דלא היה לו למחות אף שעברו ג"ש</w:t>
      </w:r>
      <w:bookmarkEnd w:id="593"/>
      <w:bookmarkEnd w:id="594"/>
      <w:bookmarkEnd w:id="595"/>
      <w:bookmarkEnd w:id="596"/>
    </w:p>
    <w:p w:rsidR="00CD57A0" w:rsidRDefault="00CD57A0" w:rsidP="007E4E81">
      <w:pPr>
        <w:pStyle w:val="a0"/>
        <w:rPr>
          <w:rtl/>
        </w:rPr>
      </w:pPr>
      <w:bookmarkStart w:id="597" w:name="_Ref54085864"/>
      <w:r>
        <w:rPr>
          <w:rFonts w:hint="cs"/>
          <w:rtl/>
        </w:rPr>
        <w:t>וכתב</w:t>
      </w:r>
      <w:r w:rsidRPr="00527A92">
        <w:rPr>
          <w:rStyle w:val="af9"/>
          <w:rFonts w:hint="cs"/>
          <w:rtl/>
        </w:rPr>
        <w:t xml:space="preserve"> הסמ"ע</w:t>
      </w:r>
      <w:r>
        <w:rPr>
          <w:rFonts w:hint="cs"/>
          <w:rtl/>
        </w:rPr>
        <w:t xml:space="preserve"> </w:t>
      </w:r>
      <w:r w:rsidRPr="00541084">
        <w:rPr>
          <w:rStyle w:val="af7"/>
          <w:rFonts w:eastAsia="Guttman Hodes" w:hint="cs"/>
          <w:rtl/>
        </w:rPr>
        <w:t xml:space="preserve">(סי' קל"ה סק"ג) </w:t>
      </w:r>
      <w:r>
        <w:rPr>
          <w:rFonts w:hint="cs"/>
          <w:rtl/>
        </w:rPr>
        <w:t xml:space="preserve">דלדעת </w:t>
      </w:r>
      <w:r w:rsidRPr="00527A92">
        <w:rPr>
          <w:rStyle w:val="af9"/>
          <w:rFonts w:hint="cs"/>
          <w:rtl/>
        </w:rPr>
        <w:t>הרשב"ם</w:t>
      </w:r>
      <w:r>
        <w:rPr>
          <w:rFonts w:hint="cs"/>
          <w:rtl/>
        </w:rPr>
        <w:t xml:space="preserve"> דמהני בגודרות חזקת ג"ש, לא דמי לשאר מטלטלין, דבכלים העשויים להשאיל ולהשכיר, לא מהני בהם חזקת ג"ש, </w:t>
      </w:r>
      <w:r w:rsidR="0086727C">
        <w:rPr>
          <w:rFonts w:hint="cs"/>
          <w:rtl/>
        </w:rPr>
        <w:t>הביא</w:t>
      </w:r>
      <w:r>
        <w:rPr>
          <w:rFonts w:hint="cs"/>
          <w:rtl/>
        </w:rPr>
        <w:t xml:space="preserve"> </w:t>
      </w:r>
      <w:r w:rsidRPr="00541084">
        <w:rPr>
          <w:rStyle w:val="af9"/>
          <w:rFonts w:hint="cs"/>
          <w:rtl/>
        </w:rPr>
        <w:t>הטור</w:t>
      </w:r>
      <w:r>
        <w:rPr>
          <w:rFonts w:hint="cs"/>
          <w:rtl/>
        </w:rPr>
        <w:t xml:space="preserve"> </w:t>
      </w:r>
      <w:r w:rsidRPr="00541084">
        <w:rPr>
          <w:rStyle w:val="af7"/>
          <w:rFonts w:eastAsia="Guttman Hodes" w:hint="cs"/>
          <w:rtl/>
        </w:rPr>
        <w:t xml:space="preserve">(קל"ג י') </w:t>
      </w:r>
      <w:r>
        <w:rPr>
          <w:rFonts w:hint="cs"/>
          <w:rtl/>
        </w:rPr>
        <w:t xml:space="preserve">בשם </w:t>
      </w:r>
      <w:r w:rsidRPr="00B46D2D">
        <w:rPr>
          <w:rStyle w:val="af9"/>
          <w:rFonts w:hint="cs"/>
          <w:rtl/>
        </w:rPr>
        <w:t>רבינו יונה לקמן</w:t>
      </w:r>
      <w:r>
        <w:rPr>
          <w:rFonts w:hint="cs"/>
          <w:rtl/>
        </w:rPr>
        <w:t xml:space="preserve"> </w:t>
      </w:r>
      <w:r w:rsidRPr="00B46D2D">
        <w:rPr>
          <w:rStyle w:val="af7"/>
          <w:rFonts w:eastAsia="Guttman Hodes" w:hint="cs"/>
          <w:rtl/>
        </w:rPr>
        <w:t>(</w:t>
      </w:r>
      <w:r w:rsidRPr="00541084">
        <w:rPr>
          <w:rStyle w:val="af7"/>
          <w:rFonts w:eastAsia="Guttman Hodes" w:hint="cs"/>
          <w:rtl/>
        </w:rPr>
        <w:t>מה: ד"ה ראה</w:t>
      </w:r>
      <w:r>
        <w:rPr>
          <w:rStyle w:val="af7"/>
          <w:rFonts w:eastAsia="Guttman Hodes" w:hint="cs"/>
          <w:rtl/>
        </w:rPr>
        <w:t>,</w:t>
      </w:r>
      <w:r w:rsidRPr="00B46D2D">
        <w:rPr>
          <w:rStyle w:val="af7"/>
          <w:rFonts w:eastAsia="Guttman Hodes" w:hint="cs"/>
          <w:rtl/>
        </w:rPr>
        <w:t xml:space="preserve"> מו. ד"ה עלה בידינו)</w:t>
      </w:r>
      <w:r>
        <w:rPr>
          <w:rFonts w:hint="cs"/>
          <w:rtl/>
        </w:rPr>
        <w:t xml:space="preserve"> דביאר דבמטלטלין העשויים להשאיל ולהשכיר אין חזקה אף לאחר ג"ש, דאינו רואה אותם ביד השואל או שיתכן ששכח למי השאילו, או שהשאילם ליותר מג"ש, או דיתכן שהבעלים סובר דהשואל אינו משתמש בהם לאחר זמן השאילה, ולכן שהו המטלטלין ביד המחזיק זמן מרובה כ"כ. </w:t>
      </w:r>
      <w:r w:rsidRPr="00AD7339">
        <w:rPr>
          <w:rStyle w:val="afb"/>
          <w:rFonts w:hint="cs"/>
          <w:rtl/>
        </w:rPr>
        <w:t>[ו</w:t>
      </w:r>
      <w:r>
        <w:rPr>
          <w:rStyle w:val="afb"/>
          <w:rFonts w:hint="cs"/>
          <w:rtl/>
        </w:rPr>
        <w:t xml:space="preserve">כתב </w:t>
      </w:r>
      <w:r w:rsidRPr="00A82AF4">
        <w:rPr>
          <w:rStyle w:val="affa"/>
          <w:rFonts w:hint="cs"/>
          <w:rtl/>
        </w:rPr>
        <w:t>רבינו יונה לקמן</w:t>
      </w:r>
      <w:r>
        <w:rPr>
          <w:rStyle w:val="afb"/>
          <w:rFonts w:hint="cs"/>
          <w:rtl/>
        </w:rPr>
        <w:t xml:space="preserve"> ד</w:t>
      </w:r>
      <w:r w:rsidRPr="00AD7339">
        <w:rPr>
          <w:rStyle w:val="afb"/>
          <w:rFonts w:hint="cs"/>
          <w:rtl/>
        </w:rPr>
        <w:t>ה"ה באומן דאין לו חזקה במטלטלין, דכלי שתחת ידו אינו ראיה שקנה אותו, דאפשר לתלות שהביאוהו לו לתקנו, ואף לאחר ג"ש אין לו חזקה, דאפש"ל דהבעלים חושב שהאומן לא משתמש בכלי, והוא כפקדון בידו, ולכן לא מחה, או דהבעלים שכח ביד מי נתן את הכלי לתקנו</w:t>
      </w:r>
      <w:r w:rsidRPr="0058120D">
        <w:rPr>
          <w:rStyle w:val="afb"/>
          <w:rFonts w:hint="cs"/>
          <w:rtl/>
        </w:rPr>
        <w:t>]</w:t>
      </w:r>
      <w:r>
        <w:rPr>
          <w:rFonts w:hint="cs"/>
          <w:rtl/>
        </w:rPr>
        <w:t>.</w:t>
      </w:r>
      <w:bookmarkEnd w:id="597"/>
    </w:p>
    <w:p w:rsidR="00CD57A0" w:rsidRDefault="00CD57A0" w:rsidP="00CD57A0">
      <w:pPr>
        <w:pStyle w:val="a3"/>
        <w:rPr>
          <w:rtl/>
        </w:rPr>
      </w:pPr>
      <w:bookmarkStart w:id="598" w:name="_Toc54087513"/>
      <w:bookmarkStart w:id="599" w:name="_Toc54109316"/>
      <w:bookmarkStart w:id="600" w:name="_Toc54125715"/>
      <w:bookmarkStart w:id="601" w:name="_Toc54133927"/>
      <w:r>
        <w:rPr>
          <w:rFonts w:hint="cs"/>
          <w:rtl/>
        </w:rPr>
        <w:t>דברי רבינו יונה דבגודרות מהני חזקת ג"ש דאין דרך להשהותם והיה לבעלים למחות ולא מחה</w:t>
      </w:r>
      <w:bookmarkEnd w:id="598"/>
      <w:bookmarkEnd w:id="599"/>
      <w:bookmarkEnd w:id="600"/>
      <w:bookmarkEnd w:id="601"/>
    </w:p>
    <w:p w:rsidR="00CD57A0" w:rsidRPr="009E6E05" w:rsidRDefault="00CD57A0" w:rsidP="007E4E81">
      <w:pPr>
        <w:pStyle w:val="a0"/>
        <w:rPr>
          <w:rStyle w:val="afb"/>
          <w:rtl/>
        </w:rPr>
      </w:pPr>
      <w:r>
        <w:rPr>
          <w:rFonts w:hint="cs"/>
          <w:rtl/>
        </w:rPr>
        <w:t xml:space="preserve">אבל בגודרות כתב </w:t>
      </w:r>
      <w:r w:rsidRPr="00B46D2D">
        <w:rPr>
          <w:rStyle w:val="af9"/>
          <w:rFonts w:hint="cs"/>
          <w:rtl/>
        </w:rPr>
        <w:t>רבינו יונה לקמן</w:t>
      </w:r>
      <w:r>
        <w:rPr>
          <w:rFonts w:hint="cs"/>
          <w:rtl/>
        </w:rPr>
        <w:t xml:space="preserve"> דאף שאין להם חזקה לאלתר, מ"מ יש להם חזקה לאחר ג' שנים, דאין דרך להשהותם ג"ש, וכיון שהבעלים רואה את הגודרות יוצאין מידי המחזיק, ואם לא קנה אותם המחזיק מהבעלים ומחזיק בהם בגזל, היה לבעלים למחות</w:t>
      </w:r>
      <w:r w:rsidR="009E6E05">
        <w:rPr>
          <w:rFonts w:hint="cs"/>
          <w:rtl/>
        </w:rPr>
        <w:t xml:space="preserve">. </w:t>
      </w:r>
      <w:r w:rsidR="009E6E05" w:rsidRPr="009E6E05">
        <w:rPr>
          <w:rStyle w:val="afb"/>
          <w:rFonts w:hint="cs"/>
          <w:rtl/>
        </w:rPr>
        <w:t>[</w:t>
      </w:r>
      <w:r w:rsidR="009E6E05">
        <w:rPr>
          <w:rStyle w:val="afb"/>
          <w:rFonts w:hint="cs"/>
          <w:rtl/>
        </w:rPr>
        <w:t>ודלא</w:t>
      </w:r>
      <w:r w:rsidR="006F376C">
        <w:rPr>
          <w:rStyle w:val="afb"/>
          <w:rFonts w:hint="cs"/>
          <w:rtl/>
        </w:rPr>
        <w:t xml:space="preserve"> כביאור </w:t>
      </w:r>
      <w:r w:rsidR="006F376C" w:rsidRPr="006F376C">
        <w:rPr>
          <w:rStyle w:val="affa"/>
          <w:rFonts w:hint="cs"/>
          <w:rtl/>
        </w:rPr>
        <w:t>המ"מ</w:t>
      </w:r>
      <w:r w:rsidR="006F376C">
        <w:rPr>
          <w:rStyle w:val="afb"/>
          <w:rFonts w:hint="cs"/>
          <w:rtl/>
        </w:rPr>
        <w:t xml:space="preserve"> </w:t>
      </w:r>
      <w:r w:rsidR="006F376C" w:rsidRPr="009E6E05">
        <w:rPr>
          <w:rStyle w:val="aff6"/>
          <w:rFonts w:hint="cs"/>
          <w:rtl/>
        </w:rPr>
        <w:t xml:space="preserve">(עי' אות </w:t>
      </w:r>
      <w:r w:rsidR="006F376C" w:rsidRPr="009E6E05">
        <w:rPr>
          <w:rStyle w:val="aff6"/>
          <w:rtl/>
        </w:rPr>
        <w:fldChar w:fldCharType="begin"/>
      </w:r>
      <w:r w:rsidR="006F376C" w:rsidRPr="009E6E05">
        <w:rPr>
          <w:rStyle w:val="aff6"/>
          <w:rtl/>
        </w:rPr>
        <w:instrText xml:space="preserve"> </w:instrText>
      </w:r>
      <w:r w:rsidR="006F376C" w:rsidRPr="009E6E05">
        <w:rPr>
          <w:rStyle w:val="aff6"/>
          <w:rFonts w:hint="cs"/>
        </w:rPr>
        <w:instrText>REF</w:instrText>
      </w:r>
      <w:r w:rsidR="006F376C" w:rsidRPr="009E6E05">
        <w:rPr>
          <w:rStyle w:val="aff6"/>
          <w:rFonts w:hint="cs"/>
          <w:rtl/>
        </w:rPr>
        <w:instrText xml:space="preserve"> _</w:instrText>
      </w:r>
      <w:r w:rsidR="006F376C" w:rsidRPr="009E6E05">
        <w:rPr>
          <w:rStyle w:val="aff6"/>
          <w:rFonts w:hint="cs"/>
        </w:rPr>
        <w:instrText>Ref54085924 \r \h</w:instrText>
      </w:r>
      <w:r w:rsidR="006F376C" w:rsidRPr="009E6E05">
        <w:rPr>
          <w:rStyle w:val="aff6"/>
          <w:rtl/>
        </w:rPr>
        <w:instrText xml:space="preserve"> </w:instrText>
      </w:r>
      <w:r w:rsidR="006F376C" w:rsidRPr="009E6E05">
        <w:rPr>
          <w:rStyle w:val="aff6"/>
          <w:rtl/>
        </w:rPr>
      </w:r>
      <w:r w:rsidR="006F376C" w:rsidRPr="009E6E05">
        <w:rPr>
          <w:rStyle w:val="aff6"/>
          <w:rtl/>
        </w:rPr>
        <w:fldChar w:fldCharType="separate"/>
      </w:r>
      <w:r w:rsidR="00265073">
        <w:rPr>
          <w:rStyle w:val="aff6"/>
          <w:cs/>
        </w:rPr>
        <w:t>‎</w:t>
      </w:r>
      <w:r w:rsidR="00265073">
        <w:rPr>
          <w:rStyle w:val="aff6"/>
          <w:rtl/>
        </w:rPr>
        <w:t>סה)</w:t>
      </w:r>
      <w:r w:rsidR="006F376C" w:rsidRPr="009E6E05">
        <w:rPr>
          <w:rStyle w:val="aff6"/>
          <w:rtl/>
        </w:rPr>
        <w:fldChar w:fldCharType="end"/>
      </w:r>
      <w:r w:rsidR="006F376C">
        <w:rPr>
          <w:rStyle w:val="afb"/>
          <w:rFonts w:hint="cs"/>
          <w:rtl/>
        </w:rPr>
        <w:t xml:space="preserve"> בדברי</w:t>
      </w:r>
      <w:r w:rsidR="006F376C">
        <w:rPr>
          <w:rStyle w:val="affa"/>
          <w:rFonts w:hint="cs"/>
          <w:rtl/>
        </w:rPr>
        <w:t xml:space="preserve"> </w:t>
      </w:r>
      <w:r w:rsidR="009E6E05" w:rsidRPr="009E6E05">
        <w:rPr>
          <w:rStyle w:val="affa"/>
          <w:rFonts w:hint="cs"/>
          <w:rtl/>
        </w:rPr>
        <w:t>העיטור</w:t>
      </w:r>
      <w:r w:rsidR="00A77F33">
        <w:rPr>
          <w:rStyle w:val="afb"/>
          <w:rFonts w:hint="cs"/>
          <w:rtl/>
        </w:rPr>
        <w:t xml:space="preserve"> </w:t>
      </w:r>
      <w:r w:rsidR="009E6E05">
        <w:rPr>
          <w:rStyle w:val="afb"/>
          <w:rFonts w:hint="cs"/>
          <w:rtl/>
        </w:rPr>
        <w:t>ד</w:t>
      </w:r>
      <w:r w:rsidR="009E6E05" w:rsidRPr="009E6E05">
        <w:rPr>
          <w:rStyle w:val="afb"/>
          <w:rFonts w:hint="cs"/>
          <w:rtl/>
        </w:rPr>
        <w:t>דימה את דין גודרות לכלים העשויים להשאיל ולהשכיר]</w:t>
      </w:r>
      <w:r w:rsidRPr="009E6E05">
        <w:rPr>
          <w:rStyle w:val="afb"/>
          <w:rFonts w:hint="cs"/>
          <w:rtl/>
        </w:rPr>
        <w:t>.</w:t>
      </w:r>
    </w:p>
    <w:p w:rsidR="00F516E1" w:rsidRPr="00F516E1" w:rsidRDefault="00F516E1" w:rsidP="00901905">
      <w:pPr>
        <w:pStyle w:val="1"/>
        <w:rPr>
          <w:rtl/>
        </w:rPr>
      </w:pPr>
      <w:bookmarkStart w:id="602" w:name="_Toc54087514"/>
      <w:bookmarkStart w:id="603" w:name="_Toc54109317"/>
      <w:bookmarkStart w:id="604" w:name="_Toc54125716"/>
      <w:bookmarkStart w:id="605" w:name="_Toc54133928"/>
      <w:r>
        <w:rPr>
          <w:rFonts w:hint="cs"/>
          <w:rtl/>
        </w:rPr>
        <w:t>ביאור הריטב"א ד</w:t>
      </w:r>
      <w:r w:rsidR="00BE7586">
        <w:rPr>
          <w:rFonts w:hint="cs"/>
          <w:rtl/>
        </w:rPr>
        <w:t>ב</w:t>
      </w:r>
      <w:r>
        <w:rPr>
          <w:rFonts w:hint="cs"/>
          <w:rtl/>
        </w:rPr>
        <w:t xml:space="preserve">גודרות אין פירות </w:t>
      </w:r>
      <w:r w:rsidR="00901905">
        <w:rPr>
          <w:rFonts w:hint="cs"/>
          <w:rtl/>
        </w:rPr>
        <w:t xml:space="preserve">תדיר אך </w:t>
      </w:r>
      <w:r>
        <w:rPr>
          <w:rFonts w:hint="cs"/>
          <w:rtl/>
        </w:rPr>
        <w:t>ל"פ רבנן ב</w:t>
      </w:r>
      <w:r w:rsidR="00901905">
        <w:rPr>
          <w:rFonts w:hint="cs"/>
          <w:rtl/>
        </w:rPr>
        <w:t>חזקה</w:t>
      </w:r>
      <w:bookmarkEnd w:id="602"/>
      <w:bookmarkEnd w:id="603"/>
      <w:bookmarkEnd w:id="604"/>
      <w:bookmarkEnd w:id="605"/>
    </w:p>
    <w:p w:rsidR="006536A2" w:rsidRDefault="00D05366" w:rsidP="006536A2">
      <w:pPr>
        <w:pStyle w:val="a3"/>
        <w:rPr>
          <w:rtl/>
        </w:rPr>
      </w:pPr>
      <w:bookmarkStart w:id="606" w:name="_Toc54038982"/>
      <w:bookmarkStart w:id="607" w:name="_Toc54039076"/>
      <w:bookmarkStart w:id="608" w:name="_Toc54087515"/>
      <w:bookmarkStart w:id="609" w:name="_Toc54109318"/>
      <w:bookmarkStart w:id="610" w:name="_Toc54125717"/>
      <w:bookmarkStart w:id="611" w:name="_Toc54133929"/>
      <w:r>
        <w:rPr>
          <w:rFonts w:hint="cs"/>
          <w:rtl/>
        </w:rPr>
        <w:t>דברי הריטב"א דאף דגודרות אינם עושים פירות תדיר לא פלוג רבנן וחזקתם ג"ש</w:t>
      </w:r>
      <w:bookmarkEnd w:id="606"/>
      <w:bookmarkEnd w:id="607"/>
      <w:bookmarkEnd w:id="608"/>
      <w:bookmarkEnd w:id="609"/>
      <w:bookmarkEnd w:id="610"/>
      <w:bookmarkEnd w:id="611"/>
    </w:p>
    <w:p w:rsidR="00575203" w:rsidRDefault="005634A2" w:rsidP="007E4E81">
      <w:pPr>
        <w:pStyle w:val="a0"/>
        <w:rPr>
          <w:rtl/>
        </w:rPr>
      </w:pPr>
      <w:bookmarkStart w:id="612" w:name="_Ref54083402"/>
      <w:bookmarkStart w:id="613" w:name="_Ref53402167"/>
      <w:r>
        <w:rPr>
          <w:rFonts w:hint="cs"/>
          <w:rtl/>
        </w:rPr>
        <w:t>ו</w:t>
      </w:r>
      <w:r w:rsidR="006536A2">
        <w:rPr>
          <w:rFonts w:hint="cs"/>
          <w:rtl/>
        </w:rPr>
        <w:t xml:space="preserve">ביאר </w:t>
      </w:r>
      <w:r w:rsidR="006536A2" w:rsidRPr="00DA72E1">
        <w:rPr>
          <w:rStyle w:val="af9"/>
          <w:rFonts w:hint="cs"/>
          <w:rtl/>
        </w:rPr>
        <w:t>הריטב"א</w:t>
      </w:r>
      <w:r>
        <w:rPr>
          <w:rStyle w:val="af9"/>
          <w:rFonts w:hint="cs"/>
          <w:rtl/>
        </w:rPr>
        <w:t xml:space="preserve"> בסוגיין</w:t>
      </w:r>
      <w:r w:rsidR="006536A2" w:rsidRPr="0017670B">
        <w:rPr>
          <w:rStyle w:val="af7"/>
          <w:rFonts w:eastAsia="Guttman Hodes" w:hint="cs"/>
          <w:rtl/>
        </w:rPr>
        <w:t xml:space="preserve"> </w:t>
      </w:r>
      <w:r w:rsidR="006536A2" w:rsidRPr="00DA72E1">
        <w:rPr>
          <w:rStyle w:val="af7"/>
          <w:rFonts w:eastAsia="Guttman Hodes" w:hint="cs"/>
          <w:rtl/>
        </w:rPr>
        <w:t>(ד"ה והעבדים)</w:t>
      </w:r>
      <w:r w:rsidR="006536A2">
        <w:rPr>
          <w:rFonts w:hint="cs"/>
          <w:rtl/>
        </w:rPr>
        <w:t xml:space="preserve"> דאעפ"י דגודרות אינם עושים פירות תדיר, וא"כ כשעבר זמן שדרך בנ"א להקפיד, צריך להיות בהם חזקה, </w:t>
      </w:r>
      <w:r w:rsidR="006536A2" w:rsidRPr="00DA72E1">
        <w:rPr>
          <w:rStyle w:val="afb"/>
          <w:rFonts w:hint="cs"/>
          <w:rtl/>
        </w:rPr>
        <w:t xml:space="preserve">[כדביאר </w:t>
      </w:r>
      <w:r w:rsidR="006536A2" w:rsidRPr="00DA72E1">
        <w:rPr>
          <w:rStyle w:val="affa"/>
          <w:rFonts w:hint="cs"/>
          <w:rtl/>
        </w:rPr>
        <w:t>הרשב"א</w:t>
      </w:r>
      <w:r w:rsidR="006536A2" w:rsidRPr="00DA72E1">
        <w:rPr>
          <w:rStyle w:val="afb"/>
          <w:rFonts w:hint="cs"/>
          <w:rtl/>
        </w:rPr>
        <w:t xml:space="preserve"> </w:t>
      </w:r>
      <w:r w:rsidR="006536A2" w:rsidRPr="007E49E4">
        <w:rPr>
          <w:rStyle w:val="aff6"/>
          <w:rFonts w:hint="cs"/>
          <w:rtl/>
        </w:rPr>
        <w:t xml:space="preserve">(עי' אות </w:t>
      </w:r>
      <w:r w:rsidR="007E49E4" w:rsidRPr="007E49E4">
        <w:rPr>
          <w:rStyle w:val="aff6"/>
          <w:rtl/>
        </w:rPr>
        <w:fldChar w:fldCharType="begin"/>
      </w:r>
      <w:r w:rsidR="007E49E4" w:rsidRPr="007E49E4">
        <w:rPr>
          <w:rStyle w:val="aff6"/>
          <w:rtl/>
        </w:rPr>
        <w:instrText xml:space="preserve"> </w:instrText>
      </w:r>
      <w:r w:rsidR="007E49E4" w:rsidRPr="007E49E4">
        <w:rPr>
          <w:rStyle w:val="aff6"/>
          <w:rFonts w:hint="cs"/>
        </w:rPr>
        <w:instrText>REF</w:instrText>
      </w:r>
      <w:r w:rsidR="007E49E4" w:rsidRPr="007E49E4">
        <w:rPr>
          <w:rStyle w:val="aff6"/>
          <w:rFonts w:hint="cs"/>
          <w:rtl/>
        </w:rPr>
        <w:instrText xml:space="preserve"> _</w:instrText>
      </w:r>
      <w:r w:rsidR="007E49E4" w:rsidRPr="007E49E4">
        <w:rPr>
          <w:rStyle w:val="aff6"/>
          <w:rFonts w:hint="cs"/>
        </w:rPr>
        <w:instrText>Ref54004530 \r \h</w:instrText>
      </w:r>
      <w:r w:rsidR="007E49E4" w:rsidRPr="007E49E4">
        <w:rPr>
          <w:rStyle w:val="aff6"/>
          <w:rtl/>
        </w:rPr>
        <w:instrText xml:space="preserve"> </w:instrText>
      </w:r>
      <w:r w:rsidR="007E49E4" w:rsidRPr="007E49E4">
        <w:rPr>
          <w:rStyle w:val="aff6"/>
          <w:rtl/>
        </w:rPr>
      </w:r>
      <w:r w:rsidR="007E49E4" w:rsidRPr="007E49E4">
        <w:rPr>
          <w:rStyle w:val="aff6"/>
          <w:rtl/>
        </w:rPr>
        <w:fldChar w:fldCharType="separate"/>
      </w:r>
      <w:r w:rsidR="00265073">
        <w:rPr>
          <w:rStyle w:val="aff6"/>
          <w:cs/>
        </w:rPr>
        <w:t>‎</w:t>
      </w:r>
      <w:r w:rsidR="00265073">
        <w:rPr>
          <w:rStyle w:val="aff6"/>
          <w:rtl/>
        </w:rPr>
        <w:t>מג)</w:t>
      </w:r>
      <w:r w:rsidR="007E49E4" w:rsidRPr="007E49E4">
        <w:rPr>
          <w:rStyle w:val="aff6"/>
          <w:rtl/>
        </w:rPr>
        <w:fldChar w:fldCharType="end"/>
      </w:r>
      <w:r w:rsidR="006536A2" w:rsidRPr="00DA72E1">
        <w:rPr>
          <w:rStyle w:val="afb"/>
          <w:rFonts w:hint="cs"/>
          <w:rtl/>
        </w:rPr>
        <w:t>],</w:t>
      </w:r>
      <w:r w:rsidR="006536A2">
        <w:rPr>
          <w:rFonts w:hint="cs"/>
          <w:rtl/>
        </w:rPr>
        <w:t xml:space="preserve"> מ"מ אמרו חכמים דחזקתן ג"ש כדין הקרקעות, בכדי שלא לתת את דבריהם לשיעורים לפי הרגילות להקפיד</w:t>
      </w:r>
      <w:r w:rsidR="00575203">
        <w:rPr>
          <w:rFonts w:hint="cs"/>
          <w:rtl/>
        </w:rPr>
        <w:t>.</w:t>
      </w:r>
      <w:bookmarkEnd w:id="612"/>
    </w:p>
    <w:p w:rsidR="00900430" w:rsidRDefault="001315D7" w:rsidP="00BE2078">
      <w:pPr>
        <w:pStyle w:val="a3"/>
        <w:rPr>
          <w:rtl/>
        </w:rPr>
      </w:pPr>
      <w:bookmarkStart w:id="614" w:name="_Toc54038983"/>
      <w:bookmarkStart w:id="615" w:name="_Toc54039077"/>
      <w:bookmarkStart w:id="616" w:name="_Toc54087516"/>
      <w:bookmarkStart w:id="617" w:name="_Toc54109319"/>
      <w:bookmarkStart w:id="618" w:name="_Toc54125718"/>
      <w:bookmarkStart w:id="619" w:name="_Toc54133930"/>
      <w:r>
        <w:rPr>
          <w:rFonts w:hint="cs"/>
          <w:rtl/>
        </w:rPr>
        <w:t xml:space="preserve">דברי הריטב"א דמוכח </w:t>
      </w:r>
      <w:r w:rsidR="00900430">
        <w:rPr>
          <w:rFonts w:hint="cs"/>
          <w:rtl/>
        </w:rPr>
        <w:t>דבגודרות</w:t>
      </w:r>
      <w:r>
        <w:rPr>
          <w:rFonts w:hint="cs"/>
          <w:rtl/>
        </w:rPr>
        <w:t xml:space="preserve"> לא פלוג </w:t>
      </w:r>
      <w:r w:rsidR="00BE2078">
        <w:rPr>
          <w:rFonts w:hint="cs"/>
          <w:rtl/>
        </w:rPr>
        <w:t>דאין בהם שטר</w:t>
      </w:r>
      <w:r w:rsidR="00900430">
        <w:rPr>
          <w:rFonts w:hint="cs"/>
          <w:rtl/>
        </w:rPr>
        <w:t xml:space="preserve"> ו</w:t>
      </w:r>
      <w:r w:rsidR="00BE2078">
        <w:rPr>
          <w:rFonts w:hint="cs"/>
          <w:rtl/>
        </w:rPr>
        <w:t>הא ד</w:t>
      </w:r>
      <w:r w:rsidR="00900430">
        <w:rPr>
          <w:rFonts w:hint="cs"/>
          <w:rtl/>
        </w:rPr>
        <w:t>עבדים תני במתני' דדמו לקרקע</w:t>
      </w:r>
      <w:bookmarkEnd w:id="614"/>
      <w:bookmarkEnd w:id="615"/>
      <w:bookmarkEnd w:id="616"/>
      <w:bookmarkEnd w:id="617"/>
      <w:bookmarkEnd w:id="618"/>
      <w:bookmarkEnd w:id="619"/>
      <w:r w:rsidR="00900430">
        <w:rPr>
          <w:rFonts w:hint="cs"/>
          <w:rtl/>
        </w:rPr>
        <w:t xml:space="preserve"> </w:t>
      </w:r>
    </w:p>
    <w:p w:rsidR="006536A2" w:rsidRDefault="006536A2" w:rsidP="007E4E81">
      <w:pPr>
        <w:pStyle w:val="a0"/>
        <w:rPr>
          <w:rtl/>
        </w:rPr>
      </w:pPr>
      <w:r>
        <w:rPr>
          <w:rFonts w:hint="cs"/>
          <w:rtl/>
        </w:rPr>
        <w:t xml:space="preserve">וכתב </w:t>
      </w:r>
      <w:r w:rsidRPr="00DA72E1">
        <w:rPr>
          <w:rStyle w:val="af9"/>
          <w:rFonts w:hint="cs"/>
          <w:rtl/>
        </w:rPr>
        <w:t>הריטב"א</w:t>
      </w:r>
      <w:r>
        <w:rPr>
          <w:rFonts w:hint="cs"/>
          <w:rtl/>
        </w:rPr>
        <w:t xml:space="preserve"> דכן מוכח מהא דהטעם דמהני חזקת ג"ש הוא כיון דאחר ג"ש אינו נזהר בשטרו, ובגודרות בדרך כלל אינם בני שטרא, אלא מוכח דלא פלוג רבנן, והוסיף </w:t>
      </w:r>
      <w:r w:rsidRPr="00DA72E1">
        <w:rPr>
          <w:rStyle w:val="af9"/>
          <w:rFonts w:hint="cs"/>
          <w:rtl/>
        </w:rPr>
        <w:t>הריטב"א</w:t>
      </w:r>
      <w:r>
        <w:rPr>
          <w:rFonts w:hint="cs"/>
          <w:rtl/>
        </w:rPr>
        <w:t xml:space="preserve"> דהא דתנן במתני' עבדים ולא תנן גודרות, הוא כיון דעבדים הוקשו לקרקעות לכמה דברים, והם עושים פירות תדיר כמו בתים לכן תני להו יחד עם הבתים.</w:t>
      </w:r>
      <w:bookmarkEnd w:id="613"/>
    </w:p>
    <w:p w:rsidR="006536A2" w:rsidRDefault="00BE2078" w:rsidP="0014552E">
      <w:pPr>
        <w:pStyle w:val="a3"/>
        <w:rPr>
          <w:rtl/>
        </w:rPr>
      </w:pPr>
      <w:bookmarkStart w:id="620" w:name="_Toc54038984"/>
      <w:bookmarkStart w:id="621" w:name="_Toc54039078"/>
      <w:bookmarkStart w:id="622" w:name="_Toc54087517"/>
      <w:bookmarkStart w:id="623" w:name="_Toc54109320"/>
      <w:bookmarkStart w:id="624" w:name="_Toc54125719"/>
      <w:bookmarkStart w:id="625" w:name="_Toc54133931"/>
      <w:r>
        <w:rPr>
          <w:rFonts w:hint="cs"/>
          <w:rtl/>
        </w:rPr>
        <w:t xml:space="preserve">דברי הנתיה"מ דגודרות </w:t>
      </w:r>
      <w:r w:rsidR="0014552E">
        <w:rPr>
          <w:rFonts w:hint="cs"/>
          <w:rtl/>
        </w:rPr>
        <w:t>אף ד</w:t>
      </w:r>
      <w:r>
        <w:rPr>
          <w:rFonts w:hint="cs"/>
          <w:rtl/>
        </w:rPr>
        <w:t xml:space="preserve">אינם בני שטרא </w:t>
      </w:r>
      <w:r w:rsidR="0014552E">
        <w:rPr>
          <w:rFonts w:hint="cs"/>
          <w:rtl/>
        </w:rPr>
        <w:t xml:space="preserve">מ"מ דימתה </w:t>
      </w:r>
      <w:r>
        <w:rPr>
          <w:rFonts w:hint="cs"/>
          <w:rtl/>
        </w:rPr>
        <w:t xml:space="preserve">אותם </w:t>
      </w:r>
      <w:r w:rsidR="0014552E">
        <w:rPr>
          <w:rFonts w:hint="cs"/>
          <w:rtl/>
        </w:rPr>
        <w:t xml:space="preserve">הגמ' </w:t>
      </w:r>
      <w:r>
        <w:rPr>
          <w:rFonts w:hint="cs"/>
          <w:rtl/>
        </w:rPr>
        <w:t>לעבדים שהם כקרקע</w:t>
      </w:r>
      <w:bookmarkEnd w:id="620"/>
      <w:bookmarkEnd w:id="621"/>
      <w:bookmarkEnd w:id="622"/>
      <w:bookmarkEnd w:id="623"/>
      <w:bookmarkEnd w:id="624"/>
      <w:bookmarkEnd w:id="625"/>
    </w:p>
    <w:p w:rsidR="006536A2" w:rsidRDefault="006536A2" w:rsidP="007E4E81">
      <w:pPr>
        <w:pStyle w:val="a0"/>
        <w:rPr>
          <w:rtl/>
        </w:rPr>
      </w:pPr>
      <w:r>
        <w:rPr>
          <w:rFonts w:hint="cs"/>
          <w:rtl/>
        </w:rPr>
        <w:t xml:space="preserve">וכעי"ז כתב </w:t>
      </w:r>
      <w:r w:rsidRPr="00527A92">
        <w:rPr>
          <w:rStyle w:val="af9"/>
          <w:rFonts w:hint="cs"/>
          <w:rtl/>
        </w:rPr>
        <w:t>הנתיה"מ</w:t>
      </w:r>
      <w:r>
        <w:rPr>
          <w:rFonts w:hint="cs"/>
          <w:rtl/>
        </w:rPr>
        <w:t xml:space="preserve"> </w:t>
      </w:r>
      <w:r w:rsidRPr="0003169A">
        <w:rPr>
          <w:rStyle w:val="af7"/>
          <w:rFonts w:eastAsia="Guttman Hodes" w:hint="cs"/>
          <w:rtl/>
        </w:rPr>
        <w:t>(סי' קל"ה סק"א)</w:t>
      </w:r>
      <w:r>
        <w:rPr>
          <w:rFonts w:hint="cs"/>
          <w:rtl/>
        </w:rPr>
        <w:t xml:space="preserve"> דטעמא דחזקה הוא כיון דהיה למערער למחות כדי שיזהר המחזיק בשטרו, וגודרות אינם בני שטר, מ"מ כיון דדימתה הגמ' את הגודרות לעבדים, ודין העבדים הוא כדין הקרקעות, ה"ה בגודרות.</w:t>
      </w:r>
    </w:p>
    <w:p w:rsidR="006536A2" w:rsidRPr="00153061" w:rsidRDefault="00F06D2B" w:rsidP="006536A2">
      <w:pPr>
        <w:pStyle w:val="a3"/>
        <w:rPr>
          <w:rtl/>
        </w:rPr>
      </w:pPr>
      <w:bookmarkStart w:id="626" w:name="_Toc54087518"/>
      <w:bookmarkStart w:id="627" w:name="_Toc54109321"/>
      <w:bookmarkStart w:id="628" w:name="_Toc54125720"/>
      <w:bookmarkStart w:id="629" w:name="_Toc54133932"/>
      <w:r>
        <w:rPr>
          <w:rFonts w:hint="cs"/>
          <w:rtl/>
        </w:rPr>
        <w:t>דברי הנתיה"מ דחזקה שלא בפניו מהני בגודרות אף שאינם בני שטר דדינם כעבדים וקרקעות</w:t>
      </w:r>
      <w:bookmarkEnd w:id="626"/>
      <w:bookmarkEnd w:id="627"/>
      <w:bookmarkEnd w:id="628"/>
      <w:bookmarkEnd w:id="629"/>
    </w:p>
    <w:p w:rsidR="006536A2" w:rsidRDefault="0014552E" w:rsidP="007E4E81">
      <w:pPr>
        <w:pStyle w:val="a0"/>
        <w:rPr>
          <w:rtl/>
        </w:rPr>
      </w:pPr>
      <w:r>
        <w:rPr>
          <w:rFonts w:hint="cs"/>
          <w:rtl/>
        </w:rPr>
        <w:t>והוסיף</w:t>
      </w:r>
      <w:r w:rsidR="006536A2">
        <w:rPr>
          <w:rFonts w:hint="cs"/>
          <w:rtl/>
        </w:rPr>
        <w:t xml:space="preserve"> </w:t>
      </w:r>
      <w:r w:rsidR="006536A2" w:rsidRPr="00541084">
        <w:rPr>
          <w:rStyle w:val="af9"/>
          <w:rFonts w:hint="cs"/>
          <w:rtl/>
        </w:rPr>
        <w:t>הנתיה"מ</w:t>
      </w:r>
      <w:r w:rsidR="006536A2" w:rsidRPr="00541084">
        <w:rPr>
          <w:rStyle w:val="af7"/>
          <w:rFonts w:eastAsia="Guttman Hodes" w:hint="cs"/>
          <w:rtl/>
        </w:rPr>
        <w:t xml:space="preserve"> </w:t>
      </w:r>
      <w:r w:rsidR="006536A2">
        <w:rPr>
          <w:rFonts w:hint="cs"/>
          <w:rtl/>
        </w:rPr>
        <w:t xml:space="preserve">דמהני בגודרות חזקת ג"ש אף </w:t>
      </w:r>
      <w:r>
        <w:rPr>
          <w:rFonts w:hint="cs"/>
          <w:rtl/>
        </w:rPr>
        <w:t>ב</w:t>
      </w:r>
      <w:r w:rsidR="006536A2">
        <w:rPr>
          <w:rFonts w:hint="cs"/>
          <w:rtl/>
        </w:rPr>
        <w:t xml:space="preserve">החזיק שלא בפני הבעלים, וכן מחאה מהני שלא בפני המחזיק, ואעפ"י דהא דמהני </w:t>
      </w:r>
      <w:r w:rsidR="006536A2">
        <w:rPr>
          <w:rFonts w:hint="cs"/>
          <w:rtl/>
        </w:rPr>
        <w:t xml:space="preserve">מחאה שלא בפניו הוא מחמת דאמרינן דחברך חברא אית ליה, ויזהר בשטרו, וגודרות הם מטלטלין שאינם בני שטר, מ"מ כיון דהגמ' </w:t>
      </w:r>
      <w:r w:rsidR="006536A2" w:rsidRPr="00541084">
        <w:rPr>
          <w:rStyle w:val="af7"/>
          <w:rFonts w:eastAsia="Guttman Hodes" w:hint="cs"/>
          <w:rtl/>
        </w:rPr>
        <w:t>(לו.)</w:t>
      </w:r>
      <w:r w:rsidR="006536A2">
        <w:rPr>
          <w:rFonts w:hint="cs"/>
          <w:rtl/>
        </w:rPr>
        <w:t xml:space="preserve"> מדמה את דין גודרות לדין עבדים, ולעבדים יש דין קרקע ממש, א"כ ה"ה בגודרות.</w:t>
      </w:r>
    </w:p>
    <w:p w:rsidR="006536A2" w:rsidRDefault="0014552E" w:rsidP="006536A2">
      <w:pPr>
        <w:pStyle w:val="a3"/>
        <w:rPr>
          <w:rtl/>
        </w:rPr>
      </w:pPr>
      <w:bookmarkStart w:id="630" w:name="_Toc54087519"/>
      <w:bookmarkStart w:id="631" w:name="_Toc54109322"/>
      <w:bookmarkStart w:id="632" w:name="_Toc54125721"/>
      <w:bookmarkStart w:id="633" w:name="_Toc54133933"/>
      <w:r>
        <w:rPr>
          <w:rFonts w:hint="cs"/>
          <w:rtl/>
        </w:rPr>
        <w:t xml:space="preserve">דברי הנתיה"מ דאף דגודרות אינם בני שטרא תיקנו בהם חזקה </w:t>
      </w:r>
      <w:r w:rsidR="00D32AE9">
        <w:rPr>
          <w:rFonts w:hint="cs"/>
          <w:rtl/>
        </w:rPr>
        <w:t>אף באופן דהמחאה לא מהני</w:t>
      </w:r>
      <w:bookmarkEnd w:id="630"/>
      <w:bookmarkEnd w:id="631"/>
      <w:bookmarkEnd w:id="632"/>
      <w:bookmarkEnd w:id="633"/>
    </w:p>
    <w:p w:rsidR="006536A2" w:rsidRDefault="006536A2" w:rsidP="007E4E81">
      <w:pPr>
        <w:pStyle w:val="a0"/>
        <w:rPr>
          <w:rtl/>
        </w:rPr>
      </w:pPr>
      <w:bookmarkStart w:id="634" w:name="_Ref54091184"/>
      <w:r>
        <w:rPr>
          <w:rFonts w:hint="cs"/>
          <w:rtl/>
        </w:rPr>
        <w:t xml:space="preserve">ועוד כתב </w:t>
      </w:r>
      <w:r w:rsidRPr="00541084">
        <w:rPr>
          <w:rStyle w:val="af9"/>
          <w:rFonts w:hint="cs"/>
          <w:rtl/>
        </w:rPr>
        <w:t>הנתיה"מ</w:t>
      </w:r>
      <w:r>
        <w:rPr>
          <w:rFonts w:hint="cs"/>
          <w:rtl/>
        </w:rPr>
        <w:t xml:space="preserve"> </w:t>
      </w:r>
      <w:r w:rsidRPr="00541084">
        <w:rPr>
          <w:rStyle w:val="af7"/>
          <w:rFonts w:eastAsia="Guttman Hodes" w:hint="cs"/>
          <w:rtl/>
        </w:rPr>
        <w:t>(סי' קמ"ט סק"ו)</w:t>
      </w:r>
      <w:r>
        <w:rPr>
          <w:rFonts w:hint="cs"/>
          <w:rtl/>
        </w:rPr>
        <w:t xml:space="preserve"> דדגודרות אינם בני שטרא, והא דמהני בהם חזקת ג"ש, הוא מתקנת חכמים שתיקנו חזקה במטלטלין, ולכן מהני בהו חזקה אף באופן שלא מהני מחאה, [</w:t>
      </w:r>
      <w:r w:rsidRPr="00541084">
        <w:rPr>
          <w:rStyle w:val="afb"/>
          <w:rFonts w:hint="cs"/>
          <w:rtl/>
        </w:rPr>
        <w:t>כגון בהחזיק בהם קטן או שוטה],</w:t>
      </w:r>
      <w:r>
        <w:rPr>
          <w:rFonts w:hint="cs"/>
          <w:rtl/>
        </w:rPr>
        <w:t xml:space="preserve"> אבל בקרקע מהני החזקה רק במקום שע"י המחאה יזהר עי"ז בשטרו, אבל אם אינו נזהר בשטרו ע"י המחאה, </w:t>
      </w:r>
      <w:r w:rsidRPr="00541084">
        <w:rPr>
          <w:rStyle w:val="afb"/>
          <w:rFonts w:hint="cs"/>
          <w:rtl/>
        </w:rPr>
        <w:t xml:space="preserve">[כגון בהחזיק בהם קטן או שוטה], </w:t>
      </w:r>
      <w:r>
        <w:rPr>
          <w:rFonts w:hint="cs"/>
          <w:rtl/>
        </w:rPr>
        <w:t>לא הוי חזקה.</w:t>
      </w:r>
      <w:bookmarkEnd w:id="634"/>
    </w:p>
    <w:p w:rsidR="00D32AE9" w:rsidRDefault="00D32AE9" w:rsidP="00D32AE9">
      <w:pPr>
        <w:pStyle w:val="afe"/>
        <w:rPr>
          <w:rtl/>
        </w:rPr>
      </w:pPr>
      <w:bookmarkStart w:id="635" w:name="_Toc54087520"/>
      <w:bookmarkStart w:id="636" w:name="_Toc54109323"/>
      <w:bookmarkStart w:id="637" w:name="_Toc54125722"/>
      <w:bookmarkStart w:id="638" w:name="_Toc54133934"/>
      <w:r>
        <w:rPr>
          <w:rFonts w:hint="cs"/>
          <w:rtl/>
        </w:rPr>
        <w:t>בדעת הרמב"ם בחזקת עבדים וגודרות</w:t>
      </w:r>
      <w:bookmarkEnd w:id="635"/>
      <w:bookmarkEnd w:id="636"/>
      <w:bookmarkEnd w:id="637"/>
      <w:bookmarkEnd w:id="638"/>
    </w:p>
    <w:p w:rsidR="00D32AE9" w:rsidRPr="00D32AE9" w:rsidRDefault="00D32AE9" w:rsidP="00D32AE9">
      <w:pPr>
        <w:pStyle w:val="1"/>
        <w:rPr>
          <w:rtl/>
        </w:rPr>
      </w:pPr>
      <w:bookmarkStart w:id="639" w:name="_Toc54087521"/>
      <w:bookmarkStart w:id="640" w:name="_Toc54109324"/>
      <w:bookmarkStart w:id="641" w:name="_Toc54125723"/>
      <w:bookmarkStart w:id="642" w:name="_Toc54133935"/>
      <w:r>
        <w:rPr>
          <w:rFonts w:hint="cs"/>
          <w:rtl/>
        </w:rPr>
        <w:t>דברי הרמב"ם דלגודרות אין חזקה ובעבדים מהני חזקת ג"ש</w:t>
      </w:r>
      <w:bookmarkEnd w:id="639"/>
      <w:bookmarkEnd w:id="640"/>
      <w:bookmarkEnd w:id="641"/>
      <w:bookmarkEnd w:id="642"/>
    </w:p>
    <w:p w:rsidR="006536A2" w:rsidRDefault="006D4417" w:rsidP="006536A2">
      <w:pPr>
        <w:pStyle w:val="a3"/>
        <w:rPr>
          <w:rtl/>
        </w:rPr>
      </w:pPr>
      <w:bookmarkStart w:id="643" w:name="_Toc54087522"/>
      <w:bookmarkStart w:id="644" w:name="_Toc54109325"/>
      <w:bookmarkStart w:id="645" w:name="_Toc54125724"/>
      <w:bookmarkStart w:id="646" w:name="_Toc54133936"/>
      <w:r>
        <w:rPr>
          <w:rFonts w:hint="cs"/>
          <w:rtl/>
        </w:rPr>
        <w:t>דברי הרמב"ם דלגודרות אין חזקה בתפיסה דיתכן שמעצמם נכנסו לרשותו</w:t>
      </w:r>
      <w:bookmarkEnd w:id="643"/>
      <w:bookmarkEnd w:id="644"/>
      <w:bookmarkEnd w:id="645"/>
      <w:bookmarkEnd w:id="646"/>
    </w:p>
    <w:p w:rsidR="006536A2" w:rsidRDefault="006536A2" w:rsidP="007E4E81">
      <w:pPr>
        <w:pStyle w:val="a0"/>
        <w:rPr>
          <w:rtl/>
        </w:rPr>
      </w:pPr>
      <w:bookmarkStart w:id="647" w:name="_Ref54134207"/>
      <w:r>
        <w:rPr>
          <w:rFonts w:hint="cs"/>
          <w:rtl/>
        </w:rPr>
        <w:t xml:space="preserve">כתב </w:t>
      </w:r>
      <w:r w:rsidRPr="00DA72E1">
        <w:rPr>
          <w:rStyle w:val="af9"/>
          <w:rFonts w:hint="cs"/>
          <w:rtl/>
        </w:rPr>
        <w:t>הרמב"ם</w:t>
      </w:r>
      <w:r w:rsidRPr="0017670B">
        <w:rPr>
          <w:rStyle w:val="af7"/>
          <w:rFonts w:eastAsia="Guttman Hodes" w:hint="cs"/>
          <w:rtl/>
        </w:rPr>
        <w:t xml:space="preserve"> (טו"נ פ"י ה"א) </w:t>
      </w:r>
      <w:r>
        <w:rPr>
          <w:rFonts w:hint="cs"/>
          <w:rtl/>
        </w:rPr>
        <w:t>דגודרות שמהלכ</w:t>
      </w:r>
      <w:r w:rsidR="00FA7F7C">
        <w:rPr>
          <w:rFonts w:hint="cs"/>
          <w:rtl/>
        </w:rPr>
        <w:t>ות</w:t>
      </w:r>
      <w:r>
        <w:rPr>
          <w:rFonts w:hint="cs"/>
          <w:rtl/>
        </w:rPr>
        <w:t xml:space="preserve"> בכל מקום ורועות, אינם בחזקת מי שתופס בהם, כיון שהם ידועות לבעלים, וכל שהביא התובע עדים שהיא שלו, והתופס טוען מכרת לי אינו נאמן, דמה שהיא תח"י אינה ראיה כיון שהיא הלכה מעצמה ונכנסה לרשותו.</w:t>
      </w:r>
      <w:bookmarkEnd w:id="647"/>
    </w:p>
    <w:p w:rsidR="006536A2" w:rsidRDefault="006D4417" w:rsidP="006D4417">
      <w:pPr>
        <w:pStyle w:val="a3"/>
        <w:rPr>
          <w:rtl/>
        </w:rPr>
      </w:pPr>
      <w:bookmarkStart w:id="648" w:name="_Toc54087523"/>
      <w:bookmarkStart w:id="649" w:name="_Toc54109326"/>
      <w:bookmarkStart w:id="650" w:name="_Toc54125725"/>
      <w:bookmarkStart w:id="651" w:name="_Toc54133937"/>
      <w:r>
        <w:rPr>
          <w:rFonts w:hint="cs"/>
          <w:rtl/>
        </w:rPr>
        <w:t>דברי הרמב"ם דעבדים כגודרות אך מהני חזקה כשהתשמש בהם ג"ש ועבד קטן חזקתו לאלתר</w:t>
      </w:r>
      <w:bookmarkEnd w:id="648"/>
      <w:bookmarkEnd w:id="649"/>
      <w:bookmarkEnd w:id="650"/>
      <w:bookmarkEnd w:id="651"/>
    </w:p>
    <w:p w:rsidR="006536A2" w:rsidRPr="00A879AD" w:rsidRDefault="006536A2" w:rsidP="007E4E81">
      <w:pPr>
        <w:pStyle w:val="a0"/>
        <w:rPr>
          <w:rtl/>
        </w:rPr>
      </w:pPr>
      <w:bookmarkStart w:id="652" w:name="_Ref53095011"/>
      <w:r>
        <w:rPr>
          <w:rFonts w:hint="cs"/>
          <w:rtl/>
        </w:rPr>
        <w:t xml:space="preserve">וכתב </w:t>
      </w:r>
      <w:r w:rsidRPr="00DA72E1">
        <w:rPr>
          <w:rStyle w:val="af9"/>
          <w:rFonts w:hint="cs"/>
          <w:rtl/>
        </w:rPr>
        <w:t>הרמב"ם</w:t>
      </w:r>
      <w:r>
        <w:rPr>
          <w:rFonts w:hint="cs"/>
          <w:rtl/>
        </w:rPr>
        <w:t xml:space="preserve"> </w:t>
      </w:r>
      <w:r w:rsidRPr="0017670B">
        <w:rPr>
          <w:rStyle w:val="af7"/>
          <w:rFonts w:eastAsia="Guttman Hodes" w:hint="cs"/>
          <w:rtl/>
        </w:rPr>
        <w:t xml:space="preserve">(טו"נ פ"י ה"ד) </w:t>
      </w:r>
      <w:r>
        <w:rPr>
          <w:rFonts w:hint="cs"/>
          <w:rtl/>
        </w:rPr>
        <w:t>דה"ה בעבדים שיכולים להלך, דאינם בחזקת מי שהם תח"י, וכל שהביא התובע עדים שזה עבדו, וטוען התופס שמכר לו, אינו נאמן, אבל אם הביא הנתבע עדים שהחזיק בו ג"ש והשתמש בו כדרך העבדים, כיון שלא מחה בו התובע, הוא נאמן, ומעמידים את העבד בחזקת התופס, אבל בעבד קטן שאינו יכול ללכת ברגליו, דינו כשאר המטלטלין, וכל מי שהעבד הקטן ברשותו, הרי הוא בחזקתו, והמוציא ממנו צריך להביא ראיה</w:t>
      </w:r>
      <w:bookmarkEnd w:id="652"/>
      <w:r>
        <w:rPr>
          <w:rFonts w:hint="cs"/>
          <w:rtl/>
        </w:rPr>
        <w:t>.</w:t>
      </w:r>
    </w:p>
    <w:p w:rsidR="00D32AE9" w:rsidRPr="000E6A20" w:rsidRDefault="00D32AE9" w:rsidP="00D32AE9">
      <w:pPr>
        <w:pStyle w:val="1"/>
        <w:rPr>
          <w:rtl/>
        </w:rPr>
      </w:pPr>
      <w:bookmarkStart w:id="653" w:name="_Toc54038985"/>
      <w:bookmarkStart w:id="654" w:name="_Toc54039079"/>
      <w:bookmarkStart w:id="655" w:name="_Toc54087524"/>
      <w:bookmarkStart w:id="656" w:name="_Toc54109327"/>
      <w:bookmarkStart w:id="657" w:name="_Toc54125726"/>
      <w:bookmarkStart w:id="658" w:name="_Toc54133938"/>
      <w:bookmarkStart w:id="659" w:name="_Toc53941225"/>
      <w:bookmarkStart w:id="660" w:name="_Toc54000511"/>
      <w:r>
        <w:rPr>
          <w:rFonts w:hint="cs"/>
          <w:rtl/>
        </w:rPr>
        <w:t>ביאור המ"מ ברמב"ם דבעבדים מהני חזקת ג"ש ולא בגודרות</w:t>
      </w:r>
      <w:bookmarkEnd w:id="653"/>
      <w:bookmarkEnd w:id="654"/>
      <w:bookmarkEnd w:id="655"/>
      <w:bookmarkEnd w:id="656"/>
      <w:bookmarkEnd w:id="657"/>
      <w:bookmarkEnd w:id="658"/>
      <w:r>
        <w:rPr>
          <w:rFonts w:hint="cs"/>
          <w:rtl/>
        </w:rPr>
        <w:t xml:space="preserve"> </w:t>
      </w:r>
      <w:bookmarkEnd w:id="659"/>
      <w:bookmarkEnd w:id="660"/>
    </w:p>
    <w:p w:rsidR="006536A2" w:rsidRDefault="00596594" w:rsidP="006536A2">
      <w:pPr>
        <w:pStyle w:val="a3"/>
        <w:rPr>
          <w:rtl/>
        </w:rPr>
      </w:pPr>
      <w:bookmarkStart w:id="661" w:name="_Toc54087525"/>
      <w:bookmarkStart w:id="662" w:name="_Toc54109328"/>
      <w:bookmarkStart w:id="663" w:name="_Toc54125727"/>
      <w:bookmarkStart w:id="664" w:name="_Toc54133939"/>
      <w:r>
        <w:rPr>
          <w:rFonts w:hint="cs"/>
          <w:rtl/>
        </w:rPr>
        <w:t>ביאור המ"מ ברמב"ם דרק בעבדים מהני חזקת ג"ש כדתנן במתני אבל בגודרות ל"מ חזקת ג"ש</w:t>
      </w:r>
      <w:bookmarkEnd w:id="661"/>
      <w:bookmarkEnd w:id="662"/>
      <w:bookmarkEnd w:id="663"/>
      <w:bookmarkEnd w:id="664"/>
    </w:p>
    <w:p w:rsidR="006536A2" w:rsidRDefault="006536A2" w:rsidP="007E4E81">
      <w:pPr>
        <w:pStyle w:val="a0"/>
        <w:rPr>
          <w:rtl/>
        </w:rPr>
      </w:pPr>
      <w:r>
        <w:rPr>
          <w:rFonts w:hint="cs"/>
          <w:rtl/>
        </w:rPr>
        <w:t xml:space="preserve">וכתב </w:t>
      </w:r>
      <w:r w:rsidRPr="00DA72E1">
        <w:rPr>
          <w:rStyle w:val="af9"/>
          <w:rFonts w:hint="cs"/>
          <w:rtl/>
        </w:rPr>
        <w:t>המ"מ</w:t>
      </w:r>
      <w:r w:rsidRPr="003D3659">
        <w:rPr>
          <w:rFonts w:hint="cs"/>
          <w:rtl/>
        </w:rPr>
        <w:t xml:space="preserve"> </w:t>
      </w:r>
      <w:r w:rsidRPr="00DA72E1">
        <w:rPr>
          <w:rStyle w:val="af7"/>
          <w:rFonts w:eastAsia="Guttman Hodes" w:hint="cs"/>
          <w:rtl/>
        </w:rPr>
        <w:t>(טו"נ פ"י ה"ד)</w:t>
      </w:r>
      <w:r w:rsidRPr="003D3659">
        <w:rPr>
          <w:rFonts w:hint="cs"/>
          <w:rtl/>
        </w:rPr>
        <w:t xml:space="preserve"> </w:t>
      </w:r>
      <w:r w:rsidRPr="006D4417">
        <w:rPr>
          <w:rStyle w:val="af9"/>
          <w:rFonts w:hint="cs"/>
          <w:rtl/>
        </w:rPr>
        <w:t>דהרמב"ם</w:t>
      </w:r>
      <w:r w:rsidRPr="003D3659">
        <w:rPr>
          <w:rFonts w:hint="cs"/>
          <w:rtl/>
        </w:rPr>
        <w:t xml:space="preserve"> </w:t>
      </w:r>
      <w:r>
        <w:rPr>
          <w:rFonts w:hint="cs"/>
          <w:rtl/>
        </w:rPr>
        <w:t>כתב חזקת ג"ש בעבדים כדתנן במתני'</w:t>
      </w:r>
      <w:r w:rsidR="00596594">
        <w:rPr>
          <w:rFonts w:hint="cs"/>
          <w:rtl/>
        </w:rPr>
        <w:t>,</w:t>
      </w:r>
      <w:r>
        <w:rPr>
          <w:rFonts w:hint="cs"/>
          <w:rtl/>
        </w:rPr>
        <w:t xml:space="preserve"> ו</w:t>
      </w:r>
      <w:r w:rsidRPr="003D3659">
        <w:rPr>
          <w:rFonts w:hint="cs"/>
          <w:rtl/>
        </w:rPr>
        <w:t xml:space="preserve">לא הזכיר </w:t>
      </w:r>
      <w:r w:rsidRPr="00DA72E1">
        <w:rPr>
          <w:rStyle w:val="af9"/>
          <w:rFonts w:hint="cs"/>
          <w:rtl/>
        </w:rPr>
        <w:t xml:space="preserve">הרמב"ם </w:t>
      </w:r>
      <w:r w:rsidRPr="003D3659">
        <w:rPr>
          <w:rFonts w:hint="cs"/>
          <w:rtl/>
        </w:rPr>
        <w:t xml:space="preserve">את חזקת ג"ש בגודרות, ודלא </w:t>
      </w:r>
      <w:r w:rsidR="00596594">
        <w:rPr>
          <w:rFonts w:hint="cs"/>
          <w:rtl/>
        </w:rPr>
        <w:t>כדכתב</w:t>
      </w:r>
      <w:r>
        <w:rPr>
          <w:rFonts w:hint="cs"/>
          <w:rtl/>
        </w:rPr>
        <w:t xml:space="preserve"> </w:t>
      </w:r>
      <w:r w:rsidRPr="00DA72E1">
        <w:rPr>
          <w:rStyle w:val="af9"/>
          <w:rFonts w:hint="cs"/>
          <w:rtl/>
        </w:rPr>
        <w:t xml:space="preserve">הרשב"ם </w:t>
      </w:r>
      <w:r w:rsidRPr="00596594">
        <w:rPr>
          <w:rStyle w:val="af7"/>
          <w:rFonts w:eastAsia="Guttman Hodes" w:hint="cs"/>
          <w:rtl/>
        </w:rPr>
        <w:t xml:space="preserve">(עי' אות </w:t>
      </w:r>
      <w:r w:rsidR="00596594" w:rsidRPr="00596594">
        <w:rPr>
          <w:rStyle w:val="af7"/>
          <w:rFonts w:eastAsia="Guttman Hodes"/>
          <w:rtl/>
        </w:rPr>
        <w:fldChar w:fldCharType="begin"/>
      </w:r>
      <w:r w:rsidR="00596594" w:rsidRPr="00596594">
        <w:rPr>
          <w:rStyle w:val="af7"/>
          <w:rFonts w:eastAsia="Guttman Hodes"/>
          <w:rtl/>
        </w:rPr>
        <w:instrText xml:space="preserve"> </w:instrText>
      </w:r>
      <w:r w:rsidR="00596594" w:rsidRPr="00596594">
        <w:rPr>
          <w:rStyle w:val="af7"/>
          <w:rFonts w:eastAsia="Guttman Hodes" w:hint="cs"/>
        </w:rPr>
        <w:instrText>REF</w:instrText>
      </w:r>
      <w:r w:rsidR="00596594" w:rsidRPr="00596594">
        <w:rPr>
          <w:rStyle w:val="af7"/>
          <w:rFonts w:eastAsia="Guttman Hodes" w:hint="cs"/>
          <w:rtl/>
        </w:rPr>
        <w:instrText xml:space="preserve"> _</w:instrText>
      </w:r>
      <w:r w:rsidR="00596594" w:rsidRPr="00596594">
        <w:rPr>
          <w:rStyle w:val="af7"/>
          <w:rFonts w:eastAsia="Guttman Hodes" w:hint="cs"/>
        </w:rPr>
        <w:instrText>Ref54085763 \r \h</w:instrText>
      </w:r>
      <w:r w:rsidR="00596594" w:rsidRPr="00596594">
        <w:rPr>
          <w:rStyle w:val="af7"/>
          <w:rFonts w:eastAsia="Guttman Hodes"/>
          <w:rtl/>
        </w:rPr>
        <w:instrText xml:space="preserve"> </w:instrText>
      </w:r>
      <w:r w:rsidR="00596594" w:rsidRPr="00596594">
        <w:rPr>
          <w:rStyle w:val="af7"/>
          <w:rFonts w:eastAsia="Guttman Hodes"/>
          <w:rtl/>
        </w:rPr>
      </w:r>
      <w:r w:rsidR="00596594" w:rsidRPr="00596594">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00596594" w:rsidRPr="00596594">
        <w:rPr>
          <w:rStyle w:val="af7"/>
          <w:rFonts w:eastAsia="Guttman Hodes"/>
          <w:rtl/>
        </w:rPr>
        <w:fldChar w:fldCharType="end"/>
      </w:r>
      <w:r>
        <w:rPr>
          <w:rFonts w:hint="cs"/>
          <w:rtl/>
        </w:rPr>
        <w:t xml:space="preserve"> דיש חזקה לעבדים ולגודרות לאחר ג"ש.</w:t>
      </w:r>
    </w:p>
    <w:p w:rsidR="006536A2" w:rsidRDefault="006F376C" w:rsidP="006536A2">
      <w:pPr>
        <w:pStyle w:val="a3"/>
        <w:rPr>
          <w:rtl/>
        </w:rPr>
      </w:pPr>
      <w:bookmarkStart w:id="665" w:name="_Toc54087526"/>
      <w:bookmarkStart w:id="666" w:name="_Toc54109329"/>
      <w:bookmarkStart w:id="667" w:name="_Toc54125728"/>
      <w:bookmarkStart w:id="668" w:name="_Toc54133940"/>
      <w:r>
        <w:rPr>
          <w:rFonts w:hint="cs"/>
          <w:rtl/>
        </w:rPr>
        <w:t>דברי העיטור דעבדים הם בני שטרא ומהני חזקת ג"ש משא"כ בכלים העשויים להשאיל ולהשכיר</w:t>
      </w:r>
      <w:bookmarkEnd w:id="665"/>
      <w:bookmarkEnd w:id="666"/>
      <w:bookmarkEnd w:id="667"/>
      <w:bookmarkEnd w:id="668"/>
    </w:p>
    <w:p w:rsidR="006536A2" w:rsidRDefault="006536A2" w:rsidP="007E4E81">
      <w:pPr>
        <w:pStyle w:val="a0"/>
        <w:rPr>
          <w:rtl/>
        </w:rPr>
      </w:pPr>
      <w:bookmarkStart w:id="669" w:name="_Ref54085924"/>
      <w:bookmarkStart w:id="670" w:name="_Ref54086904"/>
      <w:r>
        <w:rPr>
          <w:rFonts w:hint="cs"/>
          <w:rtl/>
        </w:rPr>
        <w:t xml:space="preserve">והביא </w:t>
      </w:r>
      <w:r w:rsidRPr="00B95693">
        <w:rPr>
          <w:rStyle w:val="af9"/>
          <w:rFonts w:hint="cs"/>
          <w:rtl/>
        </w:rPr>
        <w:t>המ"</w:t>
      </w:r>
      <w:r w:rsidRPr="00DA72E1">
        <w:rPr>
          <w:rStyle w:val="af9"/>
          <w:rFonts w:hint="cs"/>
          <w:rtl/>
        </w:rPr>
        <w:t>מ</w:t>
      </w:r>
      <w:r>
        <w:rPr>
          <w:rFonts w:hint="cs"/>
          <w:rtl/>
        </w:rPr>
        <w:t xml:space="preserve"> דכן משמע מדברי </w:t>
      </w:r>
      <w:r w:rsidRPr="00DA72E1">
        <w:rPr>
          <w:rStyle w:val="af9"/>
          <w:rFonts w:hint="cs"/>
          <w:rtl/>
        </w:rPr>
        <w:t xml:space="preserve">בעל </w:t>
      </w:r>
      <w:r w:rsidR="00006CF7" w:rsidRPr="00DA72E1">
        <w:rPr>
          <w:rStyle w:val="af9"/>
          <w:rFonts w:hint="cs"/>
          <w:rtl/>
        </w:rPr>
        <w:t>העיטור</w:t>
      </w:r>
      <w:r w:rsidR="00006CF7">
        <w:rPr>
          <w:rFonts w:hint="cs"/>
          <w:rtl/>
        </w:rPr>
        <w:t xml:space="preserve"> דרק בעבדים מהני חזקת ג"ש ולא בגודרות, מ</w:t>
      </w:r>
      <w:r>
        <w:rPr>
          <w:rFonts w:hint="cs"/>
          <w:rtl/>
        </w:rPr>
        <w:t xml:space="preserve">דכתב </w:t>
      </w:r>
      <w:r w:rsidR="00006CF7" w:rsidRPr="00DA72E1">
        <w:rPr>
          <w:rStyle w:val="af9"/>
          <w:rFonts w:hint="cs"/>
          <w:rtl/>
        </w:rPr>
        <w:t>העיטור</w:t>
      </w:r>
      <w:r w:rsidR="00006CF7">
        <w:rPr>
          <w:rFonts w:hint="cs"/>
          <w:rtl/>
        </w:rPr>
        <w:t xml:space="preserve"> </w:t>
      </w:r>
      <w:r w:rsidR="00006CF7" w:rsidRPr="00DA72E1">
        <w:rPr>
          <w:rStyle w:val="af7"/>
          <w:rFonts w:eastAsia="Guttman Hodes" w:hint="cs"/>
          <w:rtl/>
        </w:rPr>
        <w:t>(או' מ' מחאה, הועתק בקובץ שיטות קמאי ב"ב ח"א עמ' תתצ"ב)</w:t>
      </w:r>
      <w:r w:rsidR="00006CF7">
        <w:rPr>
          <w:rFonts w:hint="cs"/>
          <w:rtl/>
        </w:rPr>
        <w:t xml:space="preserve"> </w:t>
      </w:r>
      <w:r>
        <w:rPr>
          <w:rFonts w:hint="cs"/>
          <w:rtl/>
        </w:rPr>
        <w:t xml:space="preserve">דעבדים יש להם חזקה, והביא את קושית הגמ' לקמן </w:t>
      </w:r>
      <w:r w:rsidRPr="00DA72E1">
        <w:rPr>
          <w:rStyle w:val="af7"/>
          <w:rFonts w:eastAsia="Guttman Hodes" w:hint="cs"/>
          <w:rtl/>
        </w:rPr>
        <w:t>(לו.)</w:t>
      </w:r>
      <w:r>
        <w:rPr>
          <w:rFonts w:hint="cs"/>
          <w:rtl/>
        </w:rPr>
        <w:t xml:space="preserve"> דהא לגודרות אין חזקה, ואת תירוץ הגמ' דלאחר ג"ש יש חזקה, והוסיף</w:t>
      </w:r>
      <w:r w:rsidRPr="00DA72E1">
        <w:rPr>
          <w:rStyle w:val="af9"/>
          <w:rFonts w:hint="cs"/>
          <w:rtl/>
        </w:rPr>
        <w:t xml:space="preserve"> העיטור</w:t>
      </w:r>
      <w:r>
        <w:rPr>
          <w:rFonts w:hint="cs"/>
          <w:rtl/>
        </w:rPr>
        <w:t xml:space="preserve"> </w:t>
      </w:r>
      <w:r w:rsidRPr="00621F50">
        <w:rPr>
          <w:rFonts w:hint="cs"/>
          <w:rtl/>
        </w:rPr>
        <w:t>דלא מסתבר לומר דאף במטלטלין העשויים להשאיל ולהשכיר מהני חזקת ג"ש, אלא רק בעבדים דהם בני שטרא, מהני חזקת ג"ש, אבל בשאר מטלטלין שאינם בני שטרא, לא שייך חזקת ג"ש</w:t>
      </w:r>
      <w:r w:rsidR="005C19D5">
        <w:rPr>
          <w:rStyle w:val="af1"/>
          <w:rtl/>
        </w:rPr>
        <w:footnoteReference w:id="3"/>
      </w:r>
      <w:r w:rsidRPr="00621F50">
        <w:rPr>
          <w:rFonts w:hint="cs"/>
          <w:rtl/>
        </w:rPr>
        <w:t>, אבל</w:t>
      </w:r>
      <w:r>
        <w:rPr>
          <w:rFonts w:hint="cs"/>
          <w:rtl/>
        </w:rPr>
        <w:t xml:space="preserve"> </w:t>
      </w:r>
      <w:r w:rsidRPr="00DA72E1">
        <w:rPr>
          <w:rStyle w:val="af9"/>
          <w:rFonts w:hint="cs"/>
          <w:rtl/>
        </w:rPr>
        <w:t>הש"ך</w:t>
      </w:r>
      <w:r>
        <w:rPr>
          <w:rFonts w:hint="cs"/>
          <w:rtl/>
        </w:rPr>
        <w:t xml:space="preserve"> </w:t>
      </w:r>
      <w:r w:rsidR="006F376C" w:rsidRPr="00733C56">
        <w:rPr>
          <w:rStyle w:val="af7"/>
          <w:rFonts w:eastAsia="Guttman Hodes" w:hint="cs"/>
          <w:rtl/>
        </w:rPr>
        <w:t>(סי' קל"ה סק"ג)</w:t>
      </w:r>
      <w:r w:rsidR="006F376C">
        <w:rPr>
          <w:rFonts w:hint="cs"/>
          <w:rtl/>
        </w:rPr>
        <w:t xml:space="preserve"> </w:t>
      </w:r>
      <w:r>
        <w:rPr>
          <w:rFonts w:hint="cs"/>
          <w:rtl/>
        </w:rPr>
        <w:t xml:space="preserve">כתב דאין כל ראיה </w:t>
      </w:r>
      <w:r w:rsidR="006F376C">
        <w:rPr>
          <w:rFonts w:hint="cs"/>
          <w:rtl/>
        </w:rPr>
        <w:t xml:space="preserve">מדברי </w:t>
      </w:r>
      <w:r w:rsidR="006F376C" w:rsidRPr="006F376C">
        <w:rPr>
          <w:rStyle w:val="af9"/>
          <w:rFonts w:hint="cs"/>
          <w:rtl/>
        </w:rPr>
        <w:lastRenderedPageBreak/>
        <w:t>העיטור</w:t>
      </w:r>
      <w:r w:rsidR="006F376C">
        <w:rPr>
          <w:rFonts w:hint="cs"/>
          <w:rtl/>
        </w:rPr>
        <w:t xml:space="preserve"> </w:t>
      </w:r>
      <w:r>
        <w:rPr>
          <w:rFonts w:hint="cs"/>
          <w:rtl/>
        </w:rPr>
        <w:t>דס"ל דלא מהני חזקת ג"ש בגודרות.</w:t>
      </w:r>
      <w:bookmarkEnd w:id="669"/>
      <w:r w:rsidR="00B36B68" w:rsidRPr="00B36B68">
        <w:rPr>
          <w:rStyle w:val="afb"/>
          <w:rFonts w:hint="cs"/>
          <w:rtl/>
        </w:rPr>
        <w:t xml:space="preserve"> </w:t>
      </w:r>
      <w:r w:rsidR="00B36B68" w:rsidRPr="002A4833">
        <w:rPr>
          <w:rStyle w:val="afb"/>
          <w:rFonts w:hint="cs"/>
          <w:rtl/>
        </w:rPr>
        <w:t xml:space="preserve">[ועי' </w:t>
      </w:r>
      <w:r w:rsidR="00F148DB" w:rsidRPr="00233471">
        <w:rPr>
          <w:rStyle w:val="affa"/>
          <w:rFonts w:hint="cs"/>
          <w:rtl/>
        </w:rPr>
        <w:t>ביד רמ"ה</w:t>
      </w:r>
      <w:r w:rsidR="00F148DB">
        <w:rPr>
          <w:rStyle w:val="afb"/>
          <w:rFonts w:hint="cs"/>
          <w:rtl/>
        </w:rPr>
        <w:t xml:space="preserve"> </w:t>
      </w:r>
      <w:r w:rsidR="00F148DB" w:rsidRPr="00233471">
        <w:rPr>
          <w:rStyle w:val="aff6"/>
          <w:rFonts w:hint="cs"/>
          <w:rtl/>
        </w:rPr>
        <w:t xml:space="preserve">(עי' אות </w:t>
      </w:r>
      <w:r w:rsidR="00233471" w:rsidRPr="00233471">
        <w:rPr>
          <w:rStyle w:val="aff6"/>
          <w:rtl/>
        </w:rPr>
        <w:fldChar w:fldCharType="begin"/>
      </w:r>
      <w:r w:rsidR="00233471" w:rsidRPr="00233471">
        <w:rPr>
          <w:rStyle w:val="aff6"/>
          <w:rtl/>
        </w:rPr>
        <w:instrText xml:space="preserve"> </w:instrText>
      </w:r>
      <w:r w:rsidR="00233471" w:rsidRPr="00233471">
        <w:rPr>
          <w:rStyle w:val="aff6"/>
          <w:rFonts w:hint="cs"/>
        </w:rPr>
        <w:instrText>REF</w:instrText>
      </w:r>
      <w:r w:rsidR="00233471" w:rsidRPr="00233471">
        <w:rPr>
          <w:rStyle w:val="aff6"/>
          <w:rFonts w:hint="cs"/>
          <w:rtl/>
        </w:rPr>
        <w:instrText xml:space="preserve"> _</w:instrText>
      </w:r>
      <w:r w:rsidR="00233471" w:rsidRPr="00233471">
        <w:rPr>
          <w:rStyle w:val="aff6"/>
          <w:rFonts w:hint="cs"/>
        </w:rPr>
        <w:instrText>Ref54037227 \r \h</w:instrText>
      </w:r>
      <w:r w:rsidR="00233471" w:rsidRPr="00233471">
        <w:rPr>
          <w:rStyle w:val="aff6"/>
          <w:rtl/>
        </w:rPr>
        <w:instrText xml:space="preserve"> </w:instrText>
      </w:r>
      <w:r w:rsidR="00233471" w:rsidRPr="00233471">
        <w:rPr>
          <w:rStyle w:val="aff6"/>
          <w:rtl/>
        </w:rPr>
      </w:r>
      <w:r w:rsidR="00233471" w:rsidRPr="00233471">
        <w:rPr>
          <w:rStyle w:val="aff6"/>
          <w:rtl/>
        </w:rPr>
        <w:fldChar w:fldCharType="separate"/>
      </w:r>
      <w:r w:rsidR="00265073">
        <w:rPr>
          <w:rStyle w:val="aff6"/>
          <w:cs/>
        </w:rPr>
        <w:t>‎</w:t>
      </w:r>
      <w:r w:rsidR="00265073">
        <w:rPr>
          <w:rStyle w:val="aff6"/>
          <w:rtl/>
        </w:rPr>
        <w:t>נא)</w:t>
      </w:r>
      <w:r w:rsidR="00233471" w:rsidRPr="00233471">
        <w:rPr>
          <w:rStyle w:val="aff6"/>
          <w:rtl/>
        </w:rPr>
        <w:fldChar w:fldCharType="end"/>
      </w:r>
      <w:r w:rsidR="00F148DB">
        <w:rPr>
          <w:rStyle w:val="afb"/>
          <w:rFonts w:hint="cs"/>
          <w:rtl/>
        </w:rPr>
        <w:t xml:space="preserve"> דכתב להדיא דבגודרות ל"מ חזקת ג"ש דאינם בני שטרא, וע"ע </w:t>
      </w:r>
      <w:r w:rsidR="00B36B68" w:rsidRPr="002A4833">
        <w:rPr>
          <w:rStyle w:val="afb"/>
          <w:rFonts w:hint="cs"/>
          <w:rtl/>
        </w:rPr>
        <w:t xml:space="preserve">במה </w:t>
      </w:r>
      <w:r w:rsidR="00B36B68">
        <w:rPr>
          <w:rStyle w:val="afb"/>
          <w:rFonts w:hint="cs"/>
          <w:rtl/>
        </w:rPr>
        <w:t>שחילק</w:t>
      </w:r>
      <w:r w:rsidR="00B36B68" w:rsidRPr="002A4833">
        <w:rPr>
          <w:rStyle w:val="afb"/>
          <w:rFonts w:hint="cs"/>
          <w:rtl/>
        </w:rPr>
        <w:t xml:space="preserve"> </w:t>
      </w:r>
      <w:r w:rsidR="00B36B68" w:rsidRPr="002A4833">
        <w:rPr>
          <w:rStyle w:val="affa"/>
          <w:rFonts w:hint="cs"/>
          <w:rtl/>
        </w:rPr>
        <w:t>רבינו יונה</w:t>
      </w:r>
      <w:r w:rsidR="00B36B68" w:rsidRPr="002A4833">
        <w:rPr>
          <w:rStyle w:val="afb"/>
          <w:rFonts w:hint="cs"/>
          <w:rtl/>
        </w:rPr>
        <w:t xml:space="preserve"> </w:t>
      </w:r>
      <w:r w:rsidR="00B36B68" w:rsidRPr="009E6E05">
        <w:rPr>
          <w:rStyle w:val="aff6"/>
          <w:rFonts w:hint="cs"/>
          <w:rtl/>
        </w:rPr>
        <w:t xml:space="preserve">(עי' אות </w:t>
      </w:r>
      <w:r w:rsidR="00B36B68" w:rsidRPr="009E6E05">
        <w:rPr>
          <w:rStyle w:val="aff6"/>
          <w:rtl/>
        </w:rPr>
        <w:fldChar w:fldCharType="begin"/>
      </w:r>
      <w:r w:rsidR="00B36B68" w:rsidRPr="009E6E05">
        <w:rPr>
          <w:rStyle w:val="aff6"/>
          <w:rtl/>
        </w:rPr>
        <w:instrText xml:space="preserve"> </w:instrText>
      </w:r>
      <w:r w:rsidR="00B36B68" w:rsidRPr="009E6E05">
        <w:rPr>
          <w:rStyle w:val="aff6"/>
          <w:rFonts w:hint="cs"/>
        </w:rPr>
        <w:instrText>REF</w:instrText>
      </w:r>
      <w:r w:rsidR="00B36B68" w:rsidRPr="009E6E05">
        <w:rPr>
          <w:rStyle w:val="aff6"/>
          <w:rFonts w:hint="cs"/>
          <w:rtl/>
        </w:rPr>
        <w:instrText xml:space="preserve"> _</w:instrText>
      </w:r>
      <w:r w:rsidR="00B36B68" w:rsidRPr="009E6E05">
        <w:rPr>
          <w:rStyle w:val="aff6"/>
          <w:rFonts w:hint="cs"/>
        </w:rPr>
        <w:instrText>Ref54085864 \r \h</w:instrText>
      </w:r>
      <w:r w:rsidR="00B36B68" w:rsidRPr="009E6E05">
        <w:rPr>
          <w:rStyle w:val="aff6"/>
          <w:rtl/>
        </w:rPr>
        <w:instrText xml:space="preserve"> </w:instrText>
      </w:r>
      <w:r w:rsidR="00B36B68" w:rsidRPr="009E6E05">
        <w:rPr>
          <w:rStyle w:val="aff6"/>
          <w:rtl/>
        </w:rPr>
      </w:r>
      <w:r w:rsidR="00B36B68" w:rsidRPr="009E6E05">
        <w:rPr>
          <w:rStyle w:val="aff6"/>
          <w:rtl/>
        </w:rPr>
        <w:fldChar w:fldCharType="separate"/>
      </w:r>
      <w:r w:rsidR="00265073">
        <w:rPr>
          <w:rStyle w:val="aff6"/>
          <w:cs/>
        </w:rPr>
        <w:t>‎</w:t>
      </w:r>
      <w:r w:rsidR="00265073">
        <w:rPr>
          <w:rStyle w:val="aff6"/>
          <w:rtl/>
        </w:rPr>
        <w:t>נה)</w:t>
      </w:r>
      <w:r w:rsidR="00B36B68" w:rsidRPr="009E6E05">
        <w:rPr>
          <w:rStyle w:val="aff6"/>
          <w:rtl/>
        </w:rPr>
        <w:fldChar w:fldCharType="end"/>
      </w:r>
      <w:r w:rsidR="00B36B68" w:rsidRPr="002A4833">
        <w:rPr>
          <w:rStyle w:val="afb"/>
          <w:rFonts w:hint="cs"/>
          <w:rtl/>
        </w:rPr>
        <w:t xml:space="preserve"> </w:t>
      </w:r>
      <w:r w:rsidR="00B36B68">
        <w:rPr>
          <w:rStyle w:val="afb"/>
          <w:rFonts w:hint="cs"/>
          <w:rtl/>
        </w:rPr>
        <w:t>בין גודרות לכלים העשויים להשאיל ולהשכיר</w:t>
      </w:r>
      <w:r w:rsidR="00B36B68" w:rsidRPr="002A4833">
        <w:rPr>
          <w:rStyle w:val="afb"/>
          <w:rFonts w:hint="cs"/>
          <w:rtl/>
        </w:rPr>
        <w:t>]</w:t>
      </w:r>
      <w:r w:rsidR="00B36B68">
        <w:rPr>
          <w:rStyle w:val="afb"/>
          <w:rFonts w:hint="cs"/>
          <w:rtl/>
        </w:rPr>
        <w:t>.</w:t>
      </w:r>
      <w:bookmarkEnd w:id="670"/>
    </w:p>
    <w:p w:rsidR="006536A2" w:rsidRPr="00BE1AA8" w:rsidRDefault="0001694D" w:rsidP="007571C3">
      <w:pPr>
        <w:pStyle w:val="a3"/>
        <w:rPr>
          <w:rtl/>
        </w:rPr>
      </w:pPr>
      <w:bookmarkStart w:id="671" w:name="_Toc54087527"/>
      <w:bookmarkStart w:id="672" w:name="_Toc54109330"/>
      <w:bookmarkStart w:id="673" w:name="_Toc54125729"/>
      <w:bookmarkStart w:id="674" w:name="_Toc54133941"/>
      <w:r>
        <w:rPr>
          <w:rFonts w:hint="cs"/>
          <w:rtl/>
        </w:rPr>
        <w:t xml:space="preserve">דברי הגר"א </w:t>
      </w:r>
      <w:r w:rsidR="007571C3">
        <w:rPr>
          <w:rFonts w:hint="cs"/>
          <w:rtl/>
        </w:rPr>
        <w:t>ד</w:t>
      </w:r>
      <w:r>
        <w:rPr>
          <w:rFonts w:hint="cs"/>
          <w:rtl/>
        </w:rPr>
        <w:t>בירושלמי מבואר כרמב"ם דחזקת ג"ש מהני בעבדים שהם כקרקע</w:t>
      </w:r>
      <w:r w:rsidR="007571C3">
        <w:rPr>
          <w:rFonts w:hint="cs"/>
          <w:rtl/>
        </w:rPr>
        <w:t xml:space="preserve"> ולא בגודרות</w:t>
      </w:r>
      <w:bookmarkEnd w:id="671"/>
      <w:bookmarkEnd w:id="672"/>
      <w:bookmarkEnd w:id="673"/>
      <w:bookmarkEnd w:id="674"/>
    </w:p>
    <w:p w:rsidR="006536A2" w:rsidRDefault="006536A2" w:rsidP="007E4E81">
      <w:pPr>
        <w:pStyle w:val="a0"/>
        <w:rPr>
          <w:rtl/>
        </w:rPr>
      </w:pPr>
      <w:bookmarkStart w:id="675" w:name="_Ref54086769"/>
      <w:r>
        <w:rPr>
          <w:rFonts w:hint="cs"/>
          <w:rtl/>
        </w:rPr>
        <w:t xml:space="preserve">וכ"כ </w:t>
      </w:r>
      <w:r w:rsidRPr="00DA72E1">
        <w:rPr>
          <w:rStyle w:val="af9"/>
          <w:rFonts w:hint="cs"/>
          <w:rtl/>
        </w:rPr>
        <w:t>הגר"א</w:t>
      </w:r>
      <w:r>
        <w:rPr>
          <w:rFonts w:hint="cs"/>
          <w:rtl/>
        </w:rPr>
        <w:t xml:space="preserve"> </w:t>
      </w:r>
      <w:r w:rsidRPr="00DA72E1">
        <w:rPr>
          <w:rStyle w:val="af7"/>
          <w:rFonts w:eastAsia="Guttman Hodes" w:hint="cs"/>
          <w:rtl/>
        </w:rPr>
        <w:t xml:space="preserve">(סי' קל"ה סק"ה) </w:t>
      </w:r>
      <w:r>
        <w:rPr>
          <w:rFonts w:hint="cs"/>
          <w:rtl/>
        </w:rPr>
        <w:t xml:space="preserve">דלדעת </w:t>
      </w:r>
      <w:r w:rsidRPr="00DA72E1">
        <w:rPr>
          <w:rStyle w:val="af9"/>
          <w:rFonts w:hint="cs"/>
          <w:rtl/>
        </w:rPr>
        <w:t xml:space="preserve">הרמב"ם </w:t>
      </w:r>
      <w:r>
        <w:rPr>
          <w:rFonts w:hint="cs"/>
          <w:rtl/>
        </w:rPr>
        <w:t xml:space="preserve">הא דאמר רבא לקמן </w:t>
      </w:r>
      <w:r w:rsidRPr="00DA72E1">
        <w:rPr>
          <w:rStyle w:val="af7"/>
          <w:rFonts w:eastAsia="Guttman Hodes" w:hint="cs"/>
          <w:rtl/>
        </w:rPr>
        <w:t xml:space="preserve">(לו.) </w:t>
      </w:r>
      <w:r>
        <w:rPr>
          <w:rFonts w:hint="cs"/>
          <w:rtl/>
        </w:rPr>
        <w:t xml:space="preserve">דיש להם חזקה לאחר ג"ש, היינו רק בעבדים ולא בגודרות, והביא </w:t>
      </w:r>
      <w:r w:rsidRPr="00DA72E1">
        <w:rPr>
          <w:rStyle w:val="af9"/>
          <w:rFonts w:hint="cs"/>
          <w:rtl/>
        </w:rPr>
        <w:t xml:space="preserve">הגר"א </w:t>
      </w:r>
      <w:r>
        <w:rPr>
          <w:rFonts w:hint="cs"/>
          <w:rtl/>
        </w:rPr>
        <w:t xml:space="preserve">דכן מבואר בירושלמי בקידושין </w:t>
      </w:r>
      <w:r w:rsidRPr="00DA72E1">
        <w:rPr>
          <w:rStyle w:val="af7"/>
          <w:rFonts w:eastAsia="Guttman Hodes" w:hint="cs"/>
          <w:rtl/>
        </w:rPr>
        <w:t>(פ"א ה"ג, יב.)</w:t>
      </w:r>
      <w:r>
        <w:rPr>
          <w:rFonts w:hint="cs"/>
          <w:rtl/>
        </w:rPr>
        <w:t xml:space="preserve"> דאיתא בירושלמי דהא דתנן במתני' דעבדים יש להם חזקת ג"ש, היינו כיון דעבדים הם כמו קרקעות, </w:t>
      </w:r>
      <w:r w:rsidRPr="00DA72E1">
        <w:rPr>
          <w:rStyle w:val="afb"/>
          <w:rFonts w:hint="cs"/>
          <w:rtl/>
        </w:rPr>
        <w:t>[וא"כ בגודרות שאינם כקרקעות לא מהני בהו חזקת ג"ש],</w:t>
      </w:r>
      <w:r>
        <w:rPr>
          <w:rFonts w:hint="cs"/>
          <w:rtl/>
        </w:rPr>
        <w:t xml:space="preserve"> וכתב </w:t>
      </w:r>
      <w:r w:rsidRPr="00DA72E1">
        <w:rPr>
          <w:rStyle w:val="af9"/>
          <w:rFonts w:hint="cs"/>
          <w:rtl/>
        </w:rPr>
        <w:t xml:space="preserve">הגר"א </w:t>
      </w:r>
      <w:r>
        <w:rPr>
          <w:rFonts w:hint="cs"/>
          <w:rtl/>
        </w:rPr>
        <w:t xml:space="preserve">דא"א לומר דהירושלמי ס"ל דאף בגודרות יש חזקה כמו בשאר מטלטלין, ופליג על דברי ר"ל בגמ' לקמן </w:t>
      </w:r>
      <w:r w:rsidRPr="00842261">
        <w:rPr>
          <w:rStyle w:val="af7"/>
          <w:rFonts w:eastAsia="Guttman Hodes" w:hint="cs"/>
          <w:rtl/>
        </w:rPr>
        <w:t>(לו.)</w:t>
      </w:r>
      <w:r>
        <w:rPr>
          <w:rFonts w:hint="cs"/>
          <w:rtl/>
        </w:rPr>
        <w:t xml:space="preserve">, דהא איתא להדיא בירושלמי בב"ב </w:t>
      </w:r>
      <w:r w:rsidRPr="00571999">
        <w:rPr>
          <w:rStyle w:val="af7"/>
          <w:rFonts w:eastAsia="Guttman Hodes" w:hint="cs"/>
          <w:rtl/>
        </w:rPr>
        <w:t>(פ"ג ה"א, ח.)</w:t>
      </w:r>
      <w:r>
        <w:rPr>
          <w:rFonts w:hint="cs"/>
          <w:rtl/>
        </w:rPr>
        <w:t xml:space="preserve"> דאמר ריו"ח ד</w:t>
      </w:r>
      <w:r>
        <w:rPr>
          <w:rtl/>
        </w:rPr>
        <w:t>עגלים וסייחים המקפצין ממקום למקום אין להן חזקה</w:t>
      </w:r>
      <w:r w:rsidR="008F11E6">
        <w:rPr>
          <w:rFonts w:hint="cs"/>
          <w:rtl/>
        </w:rPr>
        <w:t xml:space="preserve">, ועי' במה שביאר </w:t>
      </w:r>
      <w:r w:rsidR="008F11E6" w:rsidRPr="008F11E6">
        <w:rPr>
          <w:rStyle w:val="af9"/>
          <w:rFonts w:hint="cs"/>
          <w:rtl/>
        </w:rPr>
        <w:t>בשיעורי רבי שמואל</w:t>
      </w:r>
      <w:r w:rsidR="008F11E6">
        <w:rPr>
          <w:rFonts w:hint="cs"/>
          <w:rtl/>
        </w:rPr>
        <w:t xml:space="preserve"> </w:t>
      </w:r>
      <w:r w:rsidR="008F11E6" w:rsidRPr="008F11E6">
        <w:rPr>
          <w:rStyle w:val="af7"/>
          <w:rFonts w:eastAsia="Guttman Hodes" w:hint="cs"/>
          <w:rtl/>
        </w:rPr>
        <w:t xml:space="preserve">(עי' אות </w:t>
      </w:r>
      <w:r w:rsidR="008F11E6" w:rsidRPr="008F11E6">
        <w:rPr>
          <w:rStyle w:val="af7"/>
          <w:rFonts w:eastAsia="Guttman Hodes"/>
          <w:rtl/>
        </w:rPr>
        <w:fldChar w:fldCharType="begin"/>
      </w:r>
      <w:r w:rsidR="008F11E6" w:rsidRPr="008F11E6">
        <w:rPr>
          <w:rStyle w:val="af7"/>
          <w:rFonts w:eastAsia="Guttman Hodes"/>
          <w:rtl/>
        </w:rPr>
        <w:instrText xml:space="preserve"> </w:instrText>
      </w:r>
      <w:r w:rsidR="008F11E6" w:rsidRPr="008F11E6">
        <w:rPr>
          <w:rStyle w:val="af7"/>
          <w:rFonts w:eastAsia="Guttman Hodes" w:hint="cs"/>
        </w:rPr>
        <w:instrText>REF</w:instrText>
      </w:r>
      <w:r w:rsidR="008F11E6" w:rsidRPr="008F11E6">
        <w:rPr>
          <w:rStyle w:val="af7"/>
          <w:rFonts w:eastAsia="Guttman Hodes" w:hint="cs"/>
          <w:rtl/>
        </w:rPr>
        <w:instrText xml:space="preserve"> _</w:instrText>
      </w:r>
      <w:r w:rsidR="008F11E6" w:rsidRPr="008F11E6">
        <w:rPr>
          <w:rStyle w:val="af7"/>
          <w:rFonts w:eastAsia="Guttman Hodes" w:hint="cs"/>
        </w:rPr>
        <w:instrText>Ref54086801 \r \h</w:instrText>
      </w:r>
      <w:r w:rsidR="008F11E6" w:rsidRPr="008F11E6">
        <w:rPr>
          <w:rStyle w:val="af7"/>
          <w:rFonts w:eastAsia="Guttman Hodes"/>
          <w:rtl/>
        </w:rPr>
        <w:instrText xml:space="preserve"> </w:instrText>
      </w:r>
      <w:r w:rsidR="008F11E6" w:rsidRPr="008F11E6">
        <w:rPr>
          <w:rStyle w:val="af7"/>
          <w:rFonts w:eastAsia="Guttman Hodes"/>
          <w:rtl/>
        </w:rPr>
      </w:r>
      <w:r w:rsidR="008F11E6" w:rsidRPr="008F11E6">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008F11E6" w:rsidRPr="008F11E6">
        <w:rPr>
          <w:rStyle w:val="af7"/>
          <w:rFonts w:eastAsia="Guttman Hodes"/>
          <w:rtl/>
        </w:rPr>
        <w:fldChar w:fldCharType="end"/>
      </w:r>
      <w:r w:rsidR="008F11E6">
        <w:rPr>
          <w:rFonts w:hint="cs"/>
          <w:rtl/>
        </w:rPr>
        <w:t xml:space="preserve"> בדברי הירושלמי</w:t>
      </w:r>
      <w:r>
        <w:rPr>
          <w:rFonts w:hint="cs"/>
          <w:rtl/>
        </w:rPr>
        <w:t>.</w:t>
      </w:r>
      <w:bookmarkEnd w:id="675"/>
    </w:p>
    <w:p w:rsidR="006536A2" w:rsidRPr="000B6E72" w:rsidRDefault="005A5ED7" w:rsidP="006536A2">
      <w:pPr>
        <w:pStyle w:val="a3"/>
        <w:rPr>
          <w:rtl/>
        </w:rPr>
      </w:pPr>
      <w:bookmarkStart w:id="676" w:name="_Toc54087528"/>
      <w:bookmarkStart w:id="677" w:name="_Toc54109331"/>
      <w:bookmarkStart w:id="678" w:name="_Toc54125730"/>
      <w:bookmarkStart w:id="679" w:name="_Toc54133942"/>
      <w:r>
        <w:rPr>
          <w:rFonts w:hint="cs"/>
          <w:rtl/>
        </w:rPr>
        <w:t xml:space="preserve">ביאור הסמ"ע ברמב"ם </w:t>
      </w:r>
      <w:r w:rsidR="00790FB2">
        <w:rPr>
          <w:rFonts w:hint="cs"/>
          <w:rtl/>
        </w:rPr>
        <w:t>דבגודרות ל"מ חזקת ג"ש דאינם בני שטרא כעבדים</w:t>
      </w:r>
      <w:bookmarkEnd w:id="676"/>
      <w:bookmarkEnd w:id="677"/>
      <w:bookmarkEnd w:id="678"/>
      <w:bookmarkEnd w:id="679"/>
    </w:p>
    <w:p w:rsidR="006536A2" w:rsidRPr="00733C56" w:rsidRDefault="006536A2" w:rsidP="007E4E81">
      <w:pPr>
        <w:pStyle w:val="a0"/>
        <w:rPr>
          <w:rStyle w:val="afb"/>
          <w:rtl/>
        </w:rPr>
      </w:pPr>
      <w:bookmarkStart w:id="680" w:name="_Ref54134216"/>
      <w:r>
        <w:rPr>
          <w:rFonts w:hint="cs"/>
          <w:rtl/>
        </w:rPr>
        <w:t xml:space="preserve">וכתב </w:t>
      </w:r>
      <w:r w:rsidRPr="00733C56">
        <w:rPr>
          <w:rStyle w:val="af9"/>
          <w:rFonts w:hint="cs"/>
          <w:rtl/>
        </w:rPr>
        <w:t>הסמ"ע</w:t>
      </w:r>
      <w:r>
        <w:rPr>
          <w:rFonts w:hint="cs"/>
          <w:rtl/>
        </w:rPr>
        <w:t xml:space="preserve"> </w:t>
      </w:r>
      <w:r w:rsidRPr="00733C56">
        <w:rPr>
          <w:rStyle w:val="af7"/>
          <w:rFonts w:eastAsia="Guttman Hodes" w:hint="cs"/>
          <w:rtl/>
        </w:rPr>
        <w:t>(סי' קל"ה סק"ג)</w:t>
      </w:r>
      <w:r>
        <w:rPr>
          <w:rFonts w:hint="cs"/>
          <w:rtl/>
        </w:rPr>
        <w:t xml:space="preserve"> דהא דס"ל </w:t>
      </w:r>
      <w:r w:rsidRPr="00733C56">
        <w:rPr>
          <w:rStyle w:val="af9"/>
          <w:rFonts w:hint="cs"/>
          <w:rtl/>
        </w:rPr>
        <w:t>להרמב"ם</w:t>
      </w:r>
      <w:r>
        <w:rPr>
          <w:rFonts w:hint="cs"/>
          <w:rtl/>
        </w:rPr>
        <w:t xml:space="preserve"> דל"מ חזקת ג"ש בגודרות, הוא כיון שהם כמו שאר מטלטלין שאינם בני שטרא, והא דבעבדים מהני חזקת ג"ש הוא כיון שהם בני שטרא</w:t>
      </w:r>
      <w:r w:rsidR="006E6EB0">
        <w:rPr>
          <w:rFonts w:hint="cs"/>
          <w:rtl/>
        </w:rPr>
        <w:t>,</w:t>
      </w:r>
      <w:r w:rsidR="00733C56">
        <w:rPr>
          <w:rFonts w:hint="cs"/>
          <w:rtl/>
        </w:rPr>
        <w:t xml:space="preserve"> </w:t>
      </w:r>
      <w:r w:rsidR="006E6EB0">
        <w:rPr>
          <w:rFonts w:hint="cs"/>
          <w:rtl/>
        </w:rPr>
        <w:t xml:space="preserve">וכ"כ להדיא </w:t>
      </w:r>
      <w:r w:rsidR="006E6EB0" w:rsidRPr="006E6EB0">
        <w:rPr>
          <w:rStyle w:val="af9"/>
          <w:rFonts w:hint="cs"/>
          <w:rtl/>
        </w:rPr>
        <w:t>היד</w:t>
      </w:r>
      <w:r w:rsidR="006E6EB0" w:rsidRPr="00DA72E1">
        <w:rPr>
          <w:rStyle w:val="af9"/>
          <w:rFonts w:hint="cs"/>
          <w:rtl/>
        </w:rPr>
        <w:t xml:space="preserve"> רמ"ה </w:t>
      </w:r>
      <w:r w:rsidR="006E6EB0" w:rsidRPr="006E6EB0">
        <w:rPr>
          <w:rStyle w:val="af7"/>
          <w:rFonts w:eastAsia="Guttman Hodes" w:hint="cs"/>
          <w:rtl/>
        </w:rPr>
        <w:t xml:space="preserve">(עי' אות </w:t>
      </w:r>
      <w:r w:rsidR="006E6EB0" w:rsidRPr="006E6EB0">
        <w:rPr>
          <w:rStyle w:val="af7"/>
          <w:rFonts w:eastAsia="Guttman Hodes"/>
          <w:rtl/>
        </w:rPr>
        <w:fldChar w:fldCharType="begin"/>
      </w:r>
      <w:r w:rsidR="006E6EB0" w:rsidRPr="006E6EB0">
        <w:rPr>
          <w:rStyle w:val="af7"/>
          <w:rFonts w:eastAsia="Guttman Hodes"/>
          <w:rtl/>
        </w:rPr>
        <w:instrText xml:space="preserve"> </w:instrText>
      </w:r>
      <w:r w:rsidR="006E6EB0" w:rsidRPr="006E6EB0">
        <w:rPr>
          <w:rStyle w:val="af7"/>
          <w:rFonts w:eastAsia="Guttman Hodes" w:hint="cs"/>
        </w:rPr>
        <w:instrText>REF</w:instrText>
      </w:r>
      <w:r w:rsidR="006E6EB0" w:rsidRPr="006E6EB0">
        <w:rPr>
          <w:rStyle w:val="af7"/>
          <w:rFonts w:eastAsia="Guttman Hodes" w:hint="cs"/>
          <w:rtl/>
        </w:rPr>
        <w:instrText xml:space="preserve"> _</w:instrText>
      </w:r>
      <w:r w:rsidR="006E6EB0" w:rsidRPr="006E6EB0">
        <w:rPr>
          <w:rStyle w:val="af7"/>
          <w:rFonts w:eastAsia="Guttman Hodes" w:hint="cs"/>
        </w:rPr>
        <w:instrText>Ref54037227 \r \h</w:instrText>
      </w:r>
      <w:r w:rsidR="006E6EB0" w:rsidRPr="006E6EB0">
        <w:rPr>
          <w:rStyle w:val="af7"/>
          <w:rFonts w:eastAsia="Guttman Hodes"/>
          <w:rtl/>
        </w:rPr>
        <w:instrText xml:space="preserve"> </w:instrText>
      </w:r>
      <w:r w:rsidR="006E6EB0" w:rsidRPr="006E6EB0">
        <w:rPr>
          <w:rStyle w:val="af7"/>
          <w:rFonts w:eastAsia="Guttman Hodes"/>
          <w:rtl/>
        </w:rPr>
      </w:r>
      <w:r w:rsidR="006E6EB0" w:rsidRPr="006E6EB0">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006E6EB0" w:rsidRPr="006E6EB0">
        <w:rPr>
          <w:rStyle w:val="af7"/>
          <w:rFonts w:eastAsia="Guttman Hodes"/>
          <w:rtl/>
        </w:rPr>
        <w:fldChar w:fldCharType="end"/>
      </w:r>
      <w:r w:rsidR="007618F8">
        <w:rPr>
          <w:rFonts w:hint="cs"/>
          <w:rtl/>
        </w:rPr>
        <w:t xml:space="preserve">, </w:t>
      </w:r>
      <w:r w:rsidR="006E6EB0" w:rsidRPr="00733C56">
        <w:rPr>
          <w:rStyle w:val="afb"/>
          <w:rFonts w:hint="cs"/>
          <w:rtl/>
        </w:rPr>
        <w:t>[והוסיף</w:t>
      </w:r>
      <w:r w:rsidR="00A77F33">
        <w:rPr>
          <w:rStyle w:val="afb"/>
          <w:rFonts w:hint="cs"/>
          <w:rtl/>
        </w:rPr>
        <w:t xml:space="preserve"> </w:t>
      </w:r>
      <w:r w:rsidR="006E6EB0" w:rsidRPr="00733C56">
        <w:rPr>
          <w:rStyle w:val="affa"/>
          <w:rFonts w:hint="cs"/>
          <w:rtl/>
        </w:rPr>
        <w:t>בחי' הרי"ם</w:t>
      </w:r>
      <w:r w:rsidR="006E6EB0" w:rsidRPr="00733C56">
        <w:rPr>
          <w:rStyle w:val="afb"/>
          <w:rFonts w:hint="cs"/>
          <w:rtl/>
        </w:rPr>
        <w:t xml:space="preserve"> </w:t>
      </w:r>
      <w:r w:rsidR="006E6EB0" w:rsidRPr="00733C56">
        <w:rPr>
          <w:rStyle w:val="aff6"/>
          <w:rFonts w:hint="cs"/>
          <w:rtl/>
        </w:rPr>
        <w:t>(ד"ה ובבתים)</w:t>
      </w:r>
      <w:r w:rsidR="006E6EB0" w:rsidRPr="00733C56">
        <w:rPr>
          <w:rStyle w:val="afb"/>
          <w:rFonts w:hint="cs"/>
          <w:rtl/>
        </w:rPr>
        <w:t xml:space="preserve"> דלדעת </w:t>
      </w:r>
      <w:r w:rsidR="006E6EB0" w:rsidRPr="00733C56">
        <w:rPr>
          <w:rStyle w:val="affa"/>
          <w:rFonts w:hint="cs"/>
          <w:rtl/>
        </w:rPr>
        <w:t>הנימוק"י</w:t>
      </w:r>
      <w:r w:rsidR="006E6EB0" w:rsidRPr="00733C56">
        <w:rPr>
          <w:rStyle w:val="afb"/>
          <w:rFonts w:hint="cs"/>
          <w:rtl/>
        </w:rPr>
        <w:t xml:space="preserve"> </w:t>
      </w:r>
      <w:r w:rsidR="006E6EB0" w:rsidRPr="00733C56">
        <w:rPr>
          <w:rStyle w:val="aff6"/>
          <w:rFonts w:hint="cs"/>
          <w:rtl/>
        </w:rPr>
        <w:t>(יד. מדה"ר ד"ה טפי)</w:t>
      </w:r>
      <w:r w:rsidR="006E6EB0">
        <w:rPr>
          <w:rFonts w:hint="cs"/>
          <w:rtl/>
        </w:rPr>
        <w:t xml:space="preserve"> </w:t>
      </w:r>
      <w:r w:rsidR="006E6EB0" w:rsidRPr="00733C56">
        <w:rPr>
          <w:rStyle w:val="afb"/>
          <w:rFonts w:hint="cs"/>
          <w:rtl/>
        </w:rPr>
        <w:t>דחזקת ג"ש הוא תקנת חכמים כיון שהדרך להזהר בשטר רק ג"ש, א"כ מבואר דרק בעבדים שייך חזקת ג"ש]</w:t>
      </w:r>
      <w:bookmarkEnd w:id="680"/>
      <w:r w:rsidR="00F94489">
        <w:rPr>
          <w:rStyle w:val="afb"/>
          <w:rFonts w:hint="cs"/>
          <w:rtl/>
        </w:rPr>
        <w:t>,</w:t>
      </w:r>
      <w:r w:rsidR="00F94489" w:rsidRPr="00F94489">
        <w:rPr>
          <w:rFonts w:hint="cs"/>
          <w:rtl/>
        </w:rPr>
        <w:t xml:space="preserve"> </w:t>
      </w:r>
      <w:r w:rsidR="00F94489">
        <w:rPr>
          <w:rFonts w:hint="cs"/>
          <w:rtl/>
        </w:rPr>
        <w:t xml:space="preserve">ועי' במה שביאר בזה </w:t>
      </w:r>
      <w:r w:rsidR="00F94489" w:rsidRPr="00F94489">
        <w:rPr>
          <w:rStyle w:val="af9"/>
          <w:rFonts w:hint="cs"/>
          <w:rtl/>
        </w:rPr>
        <w:t>הקה"י</w:t>
      </w:r>
      <w:r w:rsidR="00F94489">
        <w:rPr>
          <w:rFonts w:hint="cs"/>
          <w:rtl/>
        </w:rPr>
        <w:t xml:space="preserve"> </w:t>
      </w:r>
      <w:r w:rsidR="00F94489" w:rsidRPr="00F94489">
        <w:rPr>
          <w:rStyle w:val="af7"/>
          <w:rFonts w:eastAsia="Guttman Hodes" w:hint="cs"/>
          <w:rtl/>
        </w:rPr>
        <w:t xml:space="preserve">(עי' אות </w:t>
      </w:r>
      <w:r w:rsidR="00F94489" w:rsidRPr="00F94489">
        <w:rPr>
          <w:rStyle w:val="af7"/>
          <w:rFonts w:eastAsia="Guttman Hodes"/>
          <w:rtl/>
        </w:rPr>
        <w:fldChar w:fldCharType="begin"/>
      </w:r>
      <w:r w:rsidR="00F94489" w:rsidRPr="00F94489">
        <w:rPr>
          <w:rStyle w:val="af7"/>
          <w:rFonts w:eastAsia="Guttman Hodes"/>
          <w:rtl/>
        </w:rPr>
        <w:instrText xml:space="preserve"> </w:instrText>
      </w:r>
      <w:r w:rsidR="00F94489" w:rsidRPr="00F94489">
        <w:rPr>
          <w:rStyle w:val="af7"/>
          <w:rFonts w:eastAsia="Guttman Hodes" w:hint="cs"/>
        </w:rPr>
        <w:instrText>REF</w:instrText>
      </w:r>
      <w:r w:rsidR="00F94489" w:rsidRPr="00F94489">
        <w:rPr>
          <w:rStyle w:val="af7"/>
          <w:rFonts w:eastAsia="Guttman Hodes" w:hint="cs"/>
          <w:rtl/>
        </w:rPr>
        <w:instrText xml:space="preserve"> _</w:instrText>
      </w:r>
      <w:r w:rsidR="00F94489" w:rsidRPr="00F94489">
        <w:rPr>
          <w:rStyle w:val="af7"/>
          <w:rFonts w:eastAsia="Guttman Hodes" w:hint="cs"/>
        </w:rPr>
        <w:instrText>Ref54134263 \r \h</w:instrText>
      </w:r>
      <w:r w:rsidR="00F94489" w:rsidRPr="00F94489">
        <w:rPr>
          <w:rStyle w:val="af7"/>
          <w:rFonts w:eastAsia="Guttman Hodes"/>
          <w:rtl/>
        </w:rPr>
        <w:instrText xml:space="preserve"> </w:instrText>
      </w:r>
      <w:r w:rsidR="00F94489" w:rsidRPr="00F94489">
        <w:rPr>
          <w:rStyle w:val="af7"/>
          <w:rFonts w:eastAsia="Guttman Hodes"/>
          <w:rtl/>
        </w:rPr>
      </w:r>
      <w:r w:rsidR="00F94489" w:rsidRPr="00F94489">
        <w:rPr>
          <w:rStyle w:val="af7"/>
          <w:rFonts w:eastAsia="Guttman Hodes"/>
          <w:rtl/>
        </w:rPr>
        <w:fldChar w:fldCharType="separate"/>
      </w:r>
      <w:r w:rsidR="00265073">
        <w:rPr>
          <w:rStyle w:val="af7"/>
          <w:rFonts w:eastAsia="Guttman Hodes"/>
          <w:cs/>
        </w:rPr>
        <w:t>‎</w:t>
      </w:r>
      <w:r w:rsidR="00265073">
        <w:rPr>
          <w:rStyle w:val="af7"/>
          <w:rFonts w:eastAsia="Guttman Hodes"/>
          <w:rtl/>
        </w:rPr>
        <w:t>קטז)</w:t>
      </w:r>
      <w:r w:rsidR="00F94489" w:rsidRPr="00F94489">
        <w:rPr>
          <w:rStyle w:val="af7"/>
          <w:rFonts w:eastAsia="Guttman Hodes"/>
          <w:rtl/>
        </w:rPr>
        <w:fldChar w:fldCharType="end"/>
      </w:r>
      <w:r w:rsidR="00F94489">
        <w:rPr>
          <w:rFonts w:hint="cs"/>
          <w:rtl/>
        </w:rPr>
        <w:t>.</w:t>
      </w:r>
    </w:p>
    <w:p w:rsidR="006536A2" w:rsidRDefault="00790FB2" w:rsidP="00790FB2">
      <w:pPr>
        <w:pStyle w:val="1"/>
        <w:rPr>
          <w:rtl/>
        </w:rPr>
      </w:pPr>
      <w:bookmarkStart w:id="681" w:name="_Toc54087529"/>
      <w:bookmarkStart w:id="682" w:name="_Toc54109332"/>
      <w:bookmarkStart w:id="683" w:name="_Toc54125731"/>
      <w:bookmarkStart w:id="684" w:name="_Toc54133943"/>
      <w:r>
        <w:rPr>
          <w:rFonts w:hint="cs"/>
          <w:rtl/>
        </w:rPr>
        <w:t>ביאור הב"ח והש"ך ברמב"ם דבעבדים וגודרות מהני חזקת ג"ש</w:t>
      </w:r>
      <w:bookmarkEnd w:id="681"/>
      <w:bookmarkEnd w:id="682"/>
      <w:bookmarkEnd w:id="683"/>
      <w:bookmarkEnd w:id="684"/>
    </w:p>
    <w:p w:rsidR="00790FB2" w:rsidRPr="00790FB2" w:rsidRDefault="00277DBC" w:rsidP="00790FB2">
      <w:pPr>
        <w:pStyle w:val="a3"/>
      </w:pPr>
      <w:bookmarkStart w:id="685" w:name="_Toc54087530"/>
      <w:bookmarkStart w:id="686" w:name="_Toc54109333"/>
      <w:bookmarkStart w:id="687" w:name="_Toc54125732"/>
      <w:bookmarkStart w:id="688" w:name="_Toc54133944"/>
      <w:r>
        <w:rPr>
          <w:rFonts w:hint="cs"/>
          <w:rtl/>
        </w:rPr>
        <w:t>דברי הב"ח והש"ך דאף להרמב"ם מהני חזקת ג"ש בגודרות כמו דמהני בעבדים</w:t>
      </w:r>
      <w:bookmarkEnd w:id="685"/>
      <w:bookmarkEnd w:id="686"/>
      <w:bookmarkEnd w:id="687"/>
      <w:bookmarkEnd w:id="688"/>
    </w:p>
    <w:p w:rsidR="006536A2" w:rsidRDefault="006536A2" w:rsidP="007E4E81">
      <w:pPr>
        <w:pStyle w:val="a0"/>
        <w:rPr>
          <w:rtl/>
        </w:rPr>
      </w:pPr>
      <w:r>
        <w:rPr>
          <w:rFonts w:hint="cs"/>
          <w:rtl/>
        </w:rPr>
        <w:t xml:space="preserve">אבל </w:t>
      </w:r>
      <w:r w:rsidRPr="00733C56">
        <w:rPr>
          <w:rStyle w:val="af9"/>
          <w:rFonts w:hint="cs"/>
          <w:rtl/>
        </w:rPr>
        <w:t>הב"ח</w:t>
      </w:r>
      <w:r>
        <w:rPr>
          <w:rFonts w:hint="cs"/>
          <w:rtl/>
        </w:rPr>
        <w:t xml:space="preserve"> </w:t>
      </w:r>
      <w:r w:rsidRPr="00733C56">
        <w:rPr>
          <w:rStyle w:val="af7"/>
          <w:rFonts w:eastAsia="Guttman Hodes" w:hint="cs"/>
          <w:rtl/>
        </w:rPr>
        <w:t>(סי' קל"ה א')</w:t>
      </w:r>
      <w:r>
        <w:rPr>
          <w:rFonts w:hint="cs"/>
          <w:rtl/>
        </w:rPr>
        <w:t xml:space="preserve"> כתב דאף </w:t>
      </w:r>
      <w:r w:rsidRPr="00733C56">
        <w:rPr>
          <w:rStyle w:val="af9"/>
          <w:rFonts w:hint="cs"/>
          <w:rtl/>
        </w:rPr>
        <w:t>להרמב"ם</w:t>
      </w:r>
      <w:r>
        <w:rPr>
          <w:rFonts w:hint="cs"/>
          <w:rtl/>
        </w:rPr>
        <w:t xml:space="preserve"> מהני חזקת ג"ש בגודרות, ומה שכתב כן רק בעבדים הוא כיון דנמשך </w:t>
      </w:r>
      <w:r w:rsidR="00277DBC">
        <w:rPr>
          <w:rFonts w:hint="cs"/>
          <w:rtl/>
        </w:rPr>
        <w:t>א</w:t>
      </w:r>
      <w:r>
        <w:rPr>
          <w:rFonts w:hint="cs"/>
          <w:rtl/>
        </w:rPr>
        <w:t xml:space="preserve">חר לשון המשנה דתני רק עבדים, וכ"כ </w:t>
      </w:r>
      <w:r w:rsidRPr="00733C56">
        <w:rPr>
          <w:rStyle w:val="af9"/>
          <w:rFonts w:hint="cs"/>
          <w:rtl/>
        </w:rPr>
        <w:t>הש"ך</w:t>
      </w:r>
      <w:r>
        <w:rPr>
          <w:rFonts w:hint="cs"/>
          <w:rtl/>
        </w:rPr>
        <w:t xml:space="preserve"> </w:t>
      </w:r>
      <w:r w:rsidRPr="00733C56">
        <w:rPr>
          <w:rStyle w:val="af7"/>
          <w:rFonts w:eastAsia="Guttman Hodes" w:hint="cs"/>
          <w:rtl/>
        </w:rPr>
        <w:t>(סי' קל"ה סק"ג)</w:t>
      </w:r>
      <w:r>
        <w:rPr>
          <w:rFonts w:hint="cs"/>
          <w:rtl/>
        </w:rPr>
        <w:t xml:space="preserve"> דלכו"ע מהני חזקת </w:t>
      </w:r>
      <w:r>
        <w:rPr>
          <w:rFonts w:hint="cs"/>
          <w:rtl/>
        </w:rPr>
        <w:t xml:space="preserve">ג"ש בגודרות, ומ"ש </w:t>
      </w:r>
      <w:r w:rsidRPr="00733C56">
        <w:rPr>
          <w:rStyle w:val="af9"/>
          <w:rFonts w:hint="cs"/>
          <w:rtl/>
        </w:rPr>
        <w:t>הרמב"ם</w:t>
      </w:r>
      <w:r>
        <w:rPr>
          <w:rFonts w:hint="cs"/>
          <w:rtl/>
        </w:rPr>
        <w:t xml:space="preserve"> רק בעבדים דמהני חזקת ג"ש, ה"ה בבהמה, כדמשמע מדברי </w:t>
      </w:r>
      <w:r w:rsidRPr="00733C56">
        <w:rPr>
          <w:rStyle w:val="af9"/>
          <w:rFonts w:hint="cs"/>
          <w:rtl/>
        </w:rPr>
        <w:t>הרמב"ם</w:t>
      </w:r>
      <w:r>
        <w:rPr>
          <w:rFonts w:hint="cs"/>
          <w:rtl/>
        </w:rPr>
        <w:t xml:space="preserve"> </w:t>
      </w:r>
      <w:r w:rsidRPr="00733C56">
        <w:rPr>
          <w:rStyle w:val="af7"/>
          <w:rFonts w:eastAsia="Guttman Hodes" w:hint="cs"/>
          <w:rtl/>
        </w:rPr>
        <w:t>(טו"נ פ"י ה"ד)</w:t>
      </w:r>
      <w:r>
        <w:rPr>
          <w:rFonts w:hint="cs"/>
          <w:rtl/>
        </w:rPr>
        <w:t xml:space="preserve"> דדין החזקה בעבדים הוא כבהמה, </w:t>
      </w:r>
      <w:r w:rsidRPr="00733C56">
        <w:rPr>
          <w:rStyle w:val="afb"/>
          <w:rFonts w:hint="cs"/>
          <w:rtl/>
        </w:rPr>
        <w:t xml:space="preserve">[דכתב </w:t>
      </w:r>
      <w:r w:rsidRPr="00733C56">
        <w:rPr>
          <w:rStyle w:val="affa"/>
          <w:rFonts w:hint="cs"/>
          <w:rtl/>
        </w:rPr>
        <w:t>הרמב"ם</w:t>
      </w:r>
      <w:r w:rsidRPr="00733C56">
        <w:rPr>
          <w:rStyle w:val="afb"/>
          <w:rFonts w:hint="cs"/>
          <w:rtl/>
        </w:rPr>
        <w:t xml:space="preserve"> את דין הגודרות דאין להם חזקה, ואח"כ כתב דה"ה בעבדים שהם יכולים להלך],</w:t>
      </w:r>
      <w:r>
        <w:rPr>
          <w:rFonts w:hint="cs"/>
          <w:rtl/>
        </w:rPr>
        <w:t xml:space="preserve"> ועי' במה שביאר </w:t>
      </w:r>
      <w:r w:rsidRPr="00733C56">
        <w:rPr>
          <w:rStyle w:val="af9"/>
          <w:rFonts w:hint="cs"/>
          <w:rtl/>
        </w:rPr>
        <w:t>בחי' הרי"ם</w:t>
      </w:r>
      <w:r>
        <w:rPr>
          <w:rFonts w:hint="cs"/>
          <w:rtl/>
        </w:rPr>
        <w:t xml:space="preserve"> </w:t>
      </w:r>
      <w:r w:rsidRPr="00733C56">
        <w:rPr>
          <w:rStyle w:val="af7"/>
          <w:rFonts w:eastAsia="Guttman Hodes" w:hint="cs"/>
          <w:rtl/>
        </w:rPr>
        <w:t>(ד"ה ובבתים)</w:t>
      </w:r>
      <w:r>
        <w:rPr>
          <w:rFonts w:hint="cs"/>
          <w:rtl/>
        </w:rPr>
        <w:t xml:space="preserve"> בדברי </w:t>
      </w:r>
      <w:r w:rsidRPr="00733C56">
        <w:rPr>
          <w:rStyle w:val="af9"/>
          <w:rFonts w:hint="cs"/>
          <w:rtl/>
        </w:rPr>
        <w:t>הש"ך</w:t>
      </w:r>
      <w:r>
        <w:rPr>
          <w:rFonts w:hint="cs"/>
          <w:rtl/>
        </w:rPr>
        <w:t>.</w:t>
      </w:r>
    </w:p>
    <w:p w:rsidR="006536A2" w:rsidRPr="001D7C7B" w:rsidRDefault="00277DBC" w:rsidP="00CB4D8F">
      <w:pPr>
        <w:pStyle w:val="a3"/>
        <w:rPr>
          <w:rtl/>
        </w:rPr>
      </w:pPr>
      <w:bookmarkStart w:id="689" w:name="_Toc54087531"/>
      <w:bookmarkStart w:id="690" w:name="_Toc54109334"/>
      <w:bookmarkStart w:id="691" w:name="_Toc54125733"/>
      <w:bookmarkStart w:id="692" w:name="_Toc54133945"/>
      <w:r>
        <w:rPr>
          <w:rFonts w:hint="cs"/>
          <w:rtl/>
        </w:rPr>
        <w:t>דברי הש"ך דכן מבואר ברמב"ם בפיהמ"ש ד</w:t>
      </w:r>
      <w:r w:rsidR="00CB4D8F">
        <w:rPr>
          <w:rFonts w:hint="cs"/>
          <w:rtl/>
        </w:rPr>
        <w:t>עבדים כ</w:t>
      </w:r>
      <w:r>
        <w:rPr>
          <w:rFonts w:hint="cs"/>
          <w:rtl/>
        </w:rPr>
        <w:t xml:space="preserve">גודרות </w:t>
      </w:r>
      <w:r w:rsidR="00CB4D8F">
        <w:rPr>
          <w:rFonts w:hint="cs"/>
          <w:rtl/>
        </w:rPr>
        <w:t>דאין להם חזקה אך מהני חזקת ג"ש</w:t>
      </w:r>
      <w:bookmarkEnd w:id="689"/>
      <w:bookmarkEnd w:id="690"/>
      <w:bookmarkEnd w:id="691"/>
      <w:bookmarkEnd w:id="692"/>
      <w:r>
        <w:rPr>
          <w:rFonts w:hint="cs"/>
          <w:rtl/>
        </w:rPr>
        <w:t xml:space="preserve"> </w:t>
      </w:r>
    </w:p>
    <w:p w:rsidR="006536A2" w:rsidRDefault="006536A2" w:rsidP="007E4E81">
      <w:pPr>
        <w:pStyle w:val="a0"/>
        <w:rPr>
          <w:rtl/>
        </w:rPr>
      </w:pPr>
      <w:r>
        <w:rPr>
          <w:rFonts w:hint="cs"/>
          <w:rtl/>
        </w:rPr>
        <w:t xml:space="preserve">והביא </w:t>
      </w:r>
      <w:r w:rsidRPr="00DA72E1">
        <w:rPr>
          <w:rStyle w:val="af9"/>
          <w:rFonts w:hint="cs"/>
          <w:rtl/>
        </w:rPr>
        <w:t>הש"ך</w:t>
      </w:r>
      <w:r>
        <w:rPr>
          <w:rFonts w:hint="cs"/>
          <w:rtl/>
        </w:rPr>
        <w:t xml:space="preserve"> דכן משמע מדברי </w:t>
      </w:r>
      <w:r w:rsidRPr="00DA72E1">
        <w:rPr>
          <w:rStyle w:val="af9"/>
          <w:rFonts w:hint="cs"/>
          <w:rtl/>
        </w:rPr>
        <w:t>הרמב"ם בפיהמ"ש</w:t>
      </w:r>
      <w:r>
        <w:rPr>
          <w:rFonts w:hint="cs"/>
          <w:rtl/>
        </w:rPr>
        <w:t xml:space="preserve"> </w:t>
      </w:r>
      <w:r w:rsidRPr="00DA72E1">
        <w:rPr>
          <w:rStyle w:val="af7"/>
          <w:rFonts w:eastAsia="Guttman Hodes" w:hint="cs"/>
          <w:rtl/>
        </w:rPr>
        <w:t>(פ"ג מ"א)</w:t>
      </w:r>
      <w:r>
        <w:rPr>
          <w:rFonts w:hint="cs"/>
          <w:rtl/>
        </w:rPr>
        <w:t xml:space="preserve"> דכתב דהא דמהני חזקת ג"ש בעבדים, הוא אעפ"י דגודרות הוא כל דבר שהולך מעצמו, והיינו כל בעלי החיים, ולגודרות אין חזקה כיון שהעבד או הבהמה ידועים לבעלים, ואין להם חזקה ביד אחר, דאמרינן שבא אליו מעצמו, מ"מ יש להם חזקה לאחר ג"ש. </w:t>
      </w:r>
    </w:p>
    <w:p w:rsidR="00141F33" w:rsidRDefault="00141F33" w:rsidP="0064097F">
      <w:pPr>
        <w:pStyle w:val="1"/>
        <w:rPr>
          <w:rtl/>
        </w:rPr>
      </w:pPr>
      <w:bookmarkStart w:id="693" w:name="_Toc54133946"/>
      <w:bookmarkStart w:id="694" w:name="_Toc54087533"/>
      <w:bookmarkStart w:id="695" w:name="_Toc54109336"/>
      <w:bookmarkStart w:id="696" w:name="_Toc54125735"/>
      <w:bookmarkEnd w:id="469"/>
      <w:bookmarkEnd w:id="470"/>
      <w:r w:rsidRPr="00141F33">
        <w:rPr>
          <w:rtl/>
        </w:rPr>
        <w:t>דברי הקצוה"ח דבעבד קטן יש ראיה ול"מ אחוי שטרך</w:t>
      </w:r>
      <w:bookmarkEnd w:id="693"/>
    </w:p>
    <w:p w:rsidR="00796D7E" w:rsidRPr="00805436" w:rsidRDefault="00CB4D8F" w:rsidP="00796D7E">
      <w:pPr>
        <w:pStyle w:val="a3"/>
        <w:rPr>
          <w:rtl/>
        </w:rPr>
      </w:pPr>
      <w:bookmarkStart w:id="697" w:name="_Toc54133947"/>
      <w:r>
        <w:rPr>
          <w:rFonts w:hint="cs"/>
          <w:rtl/>
        </w:rPr>
        <w:t>קושית הקצוה"ח על הרמב"ן דבעבד קטן אמאי מהני חזקה לאלתר הא נימא ליה אחוי שטרך</w:t>
      </w:r>
      <w:bookmarkEnd w:id="694"/>
      <w:bookmarkEnd w:id="695"/>
      <w:bookmarkEnd w:id="696"/>
      <w:bookmarkEnd w:id="697"/>
    </w:p>
    <w:p w:rsidR="00796D7E" w:rsidRPr="00805436" w:rsidRDefault="00796D7E" w:rsidP="007E4E81">
      <w:pPr>
        <w:pStyle w:val="a0"/>
        <w:rPr>
          <w:rtl/>
        </w:rPr>
      </w:pPr>
      <w:bookmarkStart w:id="698" w:name="_Ref53467648"/>
      <w:r w:rsidRPr="00805436">
        <w:rPr>
          <w:rFonts w:hint="cs"/>
          <w:rtl/>
        </w:rPr>
        <w:t xml:space="preserve">בהא דאיתא בגמ' לקמן </w:t>
      </w:r>
      <w:r w:rsidRPr="00796D7E">
        <w:rPr>
          <w:rStyle w:val="af7"/>
          <w:rFonts w:eastAsia="Guttman Hodes" w:hint="cs"/>
          <w:rtl/>
        </w:rPr>
        <w:t>(לו.)</w:t>
      </w:r>
      <w:r w:rsidRPr="00805436">
        <w:rPr>
          <w:rFonts w:hint="cs"/>
          <w:rtl/>
        </w:rPr>
        <w:t xml:space="preserve"> דעבד קטן יש לו חזקה לאלתר כיון שאינו יכול להלך, הקשה </w:t>
      </w:r>
      <w:r w:rsidRPr="00796D7E">
        <w:rPr>
          <w:rStyle w:val="af9"/>
          <w:rFonts w:hint="cs"/>
          <w:rtl/>
        </w:rPr>
        <w:t>הקצוה"ח</w:t>
      </w:r>
      <w:r w:rsidRPr="00805436">
        <w:rPr>
          <w:rFonts w:hint="cs"/>
          <w:rtl/>
        </w:rPr>
        <w:t xml:space="preserve"> </w:t>
      </w:r>
      <w:r w:rsidRPr="00796D7E">
        <w:rPr>
          <w:rStyle w:val="af7"/>
          <w:rFonts w:eastAsia="Guttman Hodes" w:hint="cs"/>
          <w:rtl/>
        </w:rPr>
        <w:t>(סי' קל"ה סק"ב)</w:t>
      </w:r>
      <w:r w:rsidRPr="00805436">
        <w:rPr>
          <w:rFonts w:hint="cs"/>
          <w:rtl/>
        </w:rPr>
        <w:t xml:space="preserve"> דלפי דעת </w:t>
      </w:r>
      <w:r w:rsidRPr="00796D7E">
        <w:rPr>
          <w:rStyle w:val="af9"/>
          <w:rFonts w:hint="cs"/>
          <w:rtl/>
        </w:rPr>
        <w:t>הרמב"ן</w:t>
      </w:r>
      <w:r w:rsidRPr="00805436">
        <w:rPr>
          <w:rFonts w:hint="cs"/>
          <w:rtl/>
        </w:rPr>
        <w:t xml:space="preserve"> </w:t>
      </w:r>
      <w:r w:rsidRPr="00796D7E">
        <w:rPr>
          <w:rStyle w:val="af7"/>
          <w:rFonts w:eastAsia="Guttman Hodes" w:hint="cs"/>
          <w:rtl/>
        </w:rPr>
        <w:t xml:space="preserve">(עי' אות </w:t>
      </w:r>
      <w:r w:rsidRPr="00796D7E">
        <w:rPr>
          <w:rStyle w:val="af7"/>
          <w:rFonts w:eastAsia="Guttman Hodes"/>
          <w:rtl/>
        </w:rPr>
        <w:fldChar w:fldCharType="begin"/>
      </w:r>
      <w:r w:rsidRPr="00796D7E">
        <w:rPr>
          <w:rStyle w:val="af7"/>
          <w:rFonts w:eastAsia="Guttman Hodes"/>
          <w:rtl/>
        </w:rPr>
        <w:instrText xml:space="preserve"> </w:instrText>
      </w:r>
      <w:r w:rsidRPr="00796D7E">
        <w:rPr>
          <w:rStyle w:val="af7"/>
          <w:rFonts w:eastAsia="Guttman Hodes" w:hint="cs"/>
        </w:rPr>
        <w:instrText>REF</w:instrText>
      </w:r>
      <w:r w:rsidRPr="00796D7E">
        <w:rPr>
          <w:rStyle w:val="af7"/>
          <w:rFonts w:eastAsia="Guttman Hodes" w:hint="cs"/>
          <w:rtl/>
        </w:rPr>
        <w:instrText xml:space="preserve"> _</w:instrText>
      </w:r>
      <w:r w:rsidRPr="00796D7E">
        <w:rPr>
          <w:rStyle w:val="af7"/>
          <w:rFonts w:eastAsia="Guttman Hodes" w:hint="cs"/>
        </w:rPr>
        <w:instrText>Ref54021550 \r \h</w:instrText>
      </w:r>
      <w:r w:rsidRPr="00796D7E">
        <w:rPr>
          <w:rStyle w:val="af7"/>
          <w:rFonts w:eastAsia="Guttman Hodes"/>
          <w:rtl/>
        </w:rPr>
        <w:instrText xml:space="preserve"> </w:instrText>
      </w:r>
      <w:r w:rsidRPr="00796D7E">
        <w:rPr>
          <w:rStyle w:val="af7"/>
          <w:rFonts w:eastAsia="Guttman Hodes"/>
          <w:rtl/>
        </w:rPr>
      </w:r>
      <w:r w:rsidRPr="00796D7E">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796D7E">
        <w:rPr>
          <w:rStyle w:val="af7"/>
          <w:rFonts w:eastAsia="Guttman Hodes"/>
          <w:rtl/>
        </w:rPr>
        <w:fldChar w:fldCharType="end"/>
      </w:r>
      <w:r>
        <w:rPr>
          <w:rFonts w:hint="cs"/>
          <w:rtl/>
        </w:rPr>
        <w:t xml:space="preserve"> </w:t>
      </w:r>
      <w:r w:rsidRPr="00805436">
        <w:rPr>
          <w:rFonts w:hint="cs"/>
          <w:rtl/>
        </w:rPr>
        <w:t>דהטעם של חזקת ג"ש, הוא דכיון שהמערער שתק יש רגלים לדבר דמכר לו, אלא דבתוך ג"ש טוענים למחזיק אחוי שטרך, א"כ כיון דעבדים בני שטרא, נימא ליה אחוי שטרך.</w:t>
      </w:r>
      <w:bookmarkEnd w:id="698"/>
    </w:p>
    <w:p w:rsidR="00796D7E" w:rsidRPr="00805436" w:rsidRDefault="00CB4D8F" w:rsidP="00796D7E">
      <w:pPr>
        <w:pStyle w:val="a3"/>
        <w:rPr>
          <w:rtl/>
        </w:rPr>
      </w:pPr>
      <w:bookmarkStart w:id="699" w:name="_Toc54087534"/>
      <w:bookmarkStart w:id="700" w:name="_Toc54109337"/>
      <w:bookmarkStart w:id="701" w:name="_Toc54125736"/>
      <w:bookmarkStart w:id="702" w:name="_Toc54133948"/>
      <w:r>
        <w:rPr>
          <w:rFonts w:hint="cs"/>
          <w:rtl/>
        </w:rPr>
        <w:t>תירוץ הקצוה"ח דבעבד קטן יש ראיה גדולה שהוא של המחזיק ול"מ כנגדה טענת אחוי שטרך</w:t>
      </w:r>
      <w:bookmarkEnd w:id="699"/>
      <w:bookmarkEnd w:id="700"/>
      <w:bookmarkEnd w:id="701"/>
      <w:bookmarkEnd w:id="702"/>
    </w:p>
    <w:p w:rsidR="00796D7E" w:rsidRPr="00796D7E" w:rsidRDefault="00796D7E" w:rsidP="007E4E81">
      <w:pPr>
        <w:pStyle w:val="a0"/>
        <w:rPr>
          <w:rtl/>
        </w:rPr>
      </w:pPr>
      <w:bookmarkStart w:id="703" w:name="_Ref54113506"/>
      <w:r w:rsidRPr="00805436">
        <w:rPr>
          <w:rFonts w:hint="cs"/>
          <w:rtl/>
        </w:rPr>
        <w:t xml:space="preserve">ותירץ </w:t>
      </w:r>
      <w:r w:rsidRPr="00796D7E">
        <w:rPr>
          <w:rStyle w:val="af9"/>
          <w:rFonts w:hint="cs"/>
          <w:rtl/>
        </w:rPr>
        <w:t>הקצוה"ח</w:t>
      </w:r>
      <w:r w:rsidRPr="00805436">
        <w:rPr>
          <w:rFonts w:hint="cs"/>
          <w:rtl/>
        </w:rPr>
        <w:t xml:space="preserve"> דהא איתא בגמ' לקמן </w:t>
      </w:r>
      <w:r w:rsidRPr="00796D7E">
        <w:rPr>
          <w:rStyle w:val="af7"/>
          <w:rFonts w:eastAsia="Guttman Hodes" w:hint="cs"/>
          <w:rtl/>
        </w:rPr>
        <w:t>(לה:)</w:t>
      </w:r>
      <w:r w:rsidRPr="00805436">
        <w:rPr>
          <w:rFonts w:hint="cs"/>
          <w:rtl/>
        </w:rPr>
        <w:t xml:space="preserve"> דבדלי ליה צנא דפירי, לא אמרינן ליה אחוי שטרך, ומבואר דבמקום שיש ראיה גדולה א"א לטעון לו אחוי שטרך, וא"כ אף בעבד קטן המוטל בעריסה, דאינו הולך מעצמו, </w:t>
      </w:r>
      <w:r w:rsidRPr="00796D7E">
        <w:rPr>
          <w:rStyle w:val="afb"/>
          <w:rFonts w:hint="cs"/>
          <w:rtl/>
        </w:rPr>
        <w:t>[ואימא לא מנשיא ברא],</w:t>
      </w:r>
      <w:r w:rsidRPr="00805436">
        <w:rPr>
          <w:rFonts w:hint="cs"/>
          <w:rtl/>
        </w:rPr>
        <w:t xml:space="preserve"> הוא ראיה גדולה ולא שייך בזה טענת אחוי שטרך, ועי' במ"ש </w:t>
      </w:r>
      <w:r>
        <w:rPr>
          <w:rStyle w:val="af9"/>
          <w:rFonts w:hint="cs"/>
          <w:rtl/>
        </w:rPr>
        <w:t>ב</w:t>
      </w:r>
      <w:r w:rsidRPr="00796D7E">
        <w:rPr>
          <w:rStyle w:val="af9"/>
          <w:rFonts w:hint="cs"/>
          <w:rtl/>
        </w:rPr>
        <w:t xml:space="preserve">ברכ"ש </w:t>
      </w:r>
      <w:r w:rsidR="001E11D7" w:rsidRPr="001E11D7">
        <w:rPr>
          <w:rStyle w:val="af7"/>
          <w:rFonts w:eastAsia="Guttman Hodes" w:hint="cs"/>
          <w:rtl/>
        </w:rPr>
        <w:t xml:space="preserve">(עי' אות </w:t>
      </w:r>
      <w:r w:rsidR="001E11D7" w:rsidRPr="001E11D7">
        <w:rPr>
          <w:rStyle w:val="af7"/>
          <w:rFonts w:eastAsia="Guttman Hodes"/>
          <w:rtl/>
        </w:rPr>
        <w:fldChar w:fldCharType="begin"/>
      </w:r>
      <w:r w:rsidR="001E11D7" w:rsidRPr="001E11D7">
        <w:rPr>
          <w:rStyle w:val="af7"/>
          <w:rFonts w:eastAsia="Guttman Hodes"/>
          <w:rtl/>
        </w:rPr>
        <w:instrText xml:space="preserve"> </w:instrText>
      </w:r>
      <w:r w:rsidR="001E11D7" w:rsidRPr="001E11D7">
        <w:rPr>
          <w:rStyle w:val="af7"/>
          <w:rFonts w:eastAsia="Guttman Hodes" w:hint="cs"/>
        </w:rPr>
        <w:instrText>REF</w:instrText>
      </w:r>
      <w:r w:rsidR="001E11D7" w:rsidRPr="001E11D7">
        <w:rPr>
          <w:rStyle w:val="af7"/>
          <w:rFonts w:eastAsia="Guttman Hodes" w:hint="cs"/>
          <w:rtl/>
        </w:rPr>
        <w:instrText xml:space="preserve"> _</w:instrText>
      </w:r>
      <w:r w:rsidR="001E11D7" w:rsidRPr="001E11D7">
        <w:rPr>
          <w:rStyle w:val="af7"/>
          <w:rFonts w:eastAsia="Guttman Hodes" w:hint="cs"/>
        </w:rPr>
        <w:instrText>Ref54113538 \r \h</w:instrText>
      </w:r>
      <w:r w:rsidR="001E11D7" w:rsidRPr="001E11D7">
        <w:rPr>
          <w:rStyle w:val="af7"/>
          <w:rFonts w:eastAsia="Guttman Hodes"/>
          <w:rtl/>
        </w:rPr>
        <w:instrText xml:space="preserve"> </w:instrText>
      </w:r>
      <w:r w:rsidR="001E11D7" w:rsidRPr="001E11D7">
        <w:rPr>
          <w:rStyle w:val="af7"/>
          <w:rFonts w:eastAsia="Guttman Hodes"/>
          <w:rtl/>
        </w:rPr>
      </w:r>
      <w:r w:rsidR="001E11D7" w:rsidRPr="001E11D7">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001E11D7" w:rsidRPr="001E11D7">
        <w:rPr>
          <w:rStyle w:val="af7"/>
          <w:rFonts w:eastAsia="Guttman Hodes"/>
          <w:rtl/>
        </w:rPr>
        <w:fldChar w:fldCharType="end"/>
      </w:r>
      <w:r w:rsidR="001E11D7">
        <w:rPr>
          <w:rStyle w:val="af9"/>
          <w:rFonts w:hint="cs"/>
          <w:rtl/>
        </w:rPr>
        <w:t xml:space="preserve"> </w:t>
      </w:r>
      <w:r w:rsidRPr="00796D7E">
        <w:rPr>
          <w:rStyle w:val="af9"/>
          <w:rFonts w:hint="cs"/>
          <w:rtl/>
        </w:rPr>
        <w:t>ובחו"ש הגרב"ב</w:t>
      </w:r>
      <w:r w:rsidRPr="00805436">
        <w:rPr>
          <w:rFonts w:hint="cs"/>
          <w:rtl/>
        </w:rPr>
        <w:t xml:space="preserve"> </w:t>
      </w:r>
      <w:r w:rsidRPr="00994656">
        <w:rPr>
          <w:rStyle w:val="af7"/>
          <w:rFonts w:eastAsia="Guttman Hodes" w:hint="cs"/>
          <w:rtl/>
        </w:rPr>
        <w:t xml:space="preserve">(עי' אות </w:t>
      </w:r>
      <w:r w:rsidR="00994656" w:rsidRPr="00994656">
        <w:rPr>
          <w:rStyle w:val="af7"/>
          <w:rFonts w:eastAsia="Guttman Hodes"/>
          <w:rtl/>
        </w:rPr>
        <w:fldChar w:fldCharType="begin"/>
      </w:r>
      <w:r w:rsidR="00994656" w:rsidRPr="00994656">
        <w:rPr>
          <w:rStyle w:val="af7"/>
          <w:rFonts w:eastAsia="Guttman Hodes"/>
          <w:rtl/>
        </w:rPr>
        <w:instrText xml:space="preserve"> </w:instrText>
      </w:r>
      <w:r w:rsidR="00994656" w:rsidRPr="00994656">
        <w:rPr>
          <w:rStyle w:val="af7"/>
          <w:rFonts w:eastAsia="Guttman Hodes" w:hint="cs"/>
        </w:rPr>
        <w:instrText>REF</w:instrText>
      </w:r>
      <w:r w:rsidR="00994656" w:rsidRPr="00994656">
        <w:rPr>
          <w:rStyle w:val="af7"/>
          <w:rFonts w:eastAsia="Guttman Hodes" w:hint="cs"/>
          <w:rtl/>
        </w:rPr>
        <w:instrText xml:space="preserve"> _</w:instrText>
      </w:r>
      <w:r w:rsidR="00994656" w:rsidRPr="00994656">
        <w:rPr>
          <w:rStyle w:val="af7"/>
          <w:rFonts w:eastAsia="Guttman Hodes" w:hint="cs"/>
        </w:rPr>
        <w:instrText>Ref54121896 \r \h</w:instrText>
      </w:r>
      <w:r w:rsidR="00994656" w:rsidRPr="00994656">
        <w:rPr>
          <w:rStyle w:val="af7"/>
          <w:rFonts w:eastAsia="Guttman Hodes"/>
          <w:rtl/>
        </w:rPr>
        <w:instrText xml:space="preserve"> </w:instrText>
      </w:r>
      <w:r w:rsidR="00994656" w:rsidRPr="00994656">
        <w:rPr>
          <w:rStyle w:val="af7"/>
          <w:rFonts w:eastAsia="Guttman Hodes"/>
          <w:rtl/>
        </w:rPr>
      </w:r>
      <w:r w:rsidR="00994656" w:rsidRPr="00994656">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00994656" w:rsidRPr="00994656">
        <w:rPr>
          <w:rStyle w:val="af7"/>
          <w:rFonts w:eastAsia="Guttman Hodes"/>
          <w:rtl/>
        </w:rPr>
        <w:fldChar w:fldCharType="end"/>
      </w:r>
      <w:r w:rsidRPr="00805436">
        <w:rPr>
          <w:rFonts w:hint="cs"/>
          <w:rtl/>
        </w:rPr>
        <w:t xml:space="preserve"> </w:t>
      </w:r>
      <w:r w:rsidRPr="00796D7E">
        <w:rPr>
          <w:rStyle w:val="af9"/>
          <w:rFonts w:hint="cs"/>
          <w:rtl/>
        </w:rPr>
        <w:t>והקוב"ש</w:t>
      </w:r>
      <w:r w:rsidRPr="00805436">
        <w:rPr>
          <w:rFonts w:hint="cs"/>
          <w:rtl/>
        </w:rPr>
        <w:t xml:space="preserve"> </w:t>
      </w:r>
      <w:r w:rsidRPr="007618F8">
        <w:rPr>
          <w:rStyle w:val="af7"/>
          <w:rFonts w:eastAsia="Guttman Hodes" w:hint="cs"/>
          <w:rtl/>
        </w:rPr>
        <w:t xml:space="preserve">(עי' אות </w:t>
      </w:r>
      <w:r w:rsidR="007618F8" w:rsidRPr="007618F8">
        <w:rPr>
          <w:rStyle w:val="af7"/>
          <w:rFonts w:eastAsia="Guttman Hodes"/>
          <w:rtl/>
        </w:rPr>
        <w:fldChar w:fldCharType="begin"/>
      </w:r>
      <w:r w:rsidR="007618F8" w:rsidRPr="007618F8">
        <w:rPr>
          <w:rStyle w:val="af7"/>
          <w:rFonts w:eastAsia="Guttman Hodes"/>
          <w:rtl/>
        </w:rPr>
        <w:instrText xml:space="preserve"> </w:instrText>
      </w:r>
      <w:r w:rsidR="007618F8" w:rsidRPr="007618F8">
        <w:rPr>
          <w:rStyle w:val="af7"/>
          <w:rFonts w:eastAsia="Guttman Hodes" w:hint="cs"/>
        </w:rPr>
        <w:instrText>REF</w:instrText>
      </w:r>
      <w:r w:rsidR="007618F8" w:rsidRPr="007618F8">
        <w:rPr>
          <w:rStyle w:val="af7"/>
          <w:rFonts w:eastAsia="Guttman Hodes" w:hint="cs"/>
          <w:rtl/>
        </w:rPr>
        <w:instrText xml:space="preserve"> _</w:instrText>
      </w:r>
      <w:r w:rsidR="007618F8" w:rsidRPr="007618F8">
        <w:rPr>
          <w:rStyle w:val="af7"/>
          <w:rFonts w:eastAsia="Guttman Hodes" w:hint="cs"/>
        </w:rPr>
        <w:instrText>Ref54134082 \r \h</w:instrText>
      </w:r>
      <w:r w:rsidR="007618F8" w:rsidRPr="007618F8">
        <w:rPr>
          <w:rStyle w:val="af7"/>
          <w:rFonts w:eastAsia="Guttman Hodes"/>
          <w:rtl/>
        </w:rPr>
        <w:instrText xml:space="preserve"> </w:instrText>
      </w:r>
      <w:r w:rsidR="007618F8" w:rsidRPr="007618F8">
        <w:rPr>
          <w:rStyle w:val="af7"/>
          <w:rFonts w:eastAsia="Guttman Hodes"/>
          <w:rtl/>
        </w:rPr>
      </w:r>
      <w:r w:rsidR="007618F8" w:rsidRPr="007618F8">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sidR="007618F8" w:rsidRPr="007618F8">
        <w:rPr>
          <w:rStyle w:val="af7"/>
          <w:rFonts w:eastAsia="Guttman Hodes"/>
          <w:rtl/>
        </w:rPr>
        <w:fldChar w:fldCharType="end"/>
      </w:r>
      <w:r w:rsidRPr="00805436">
        <w:rPr>
          <w:rFonts w:hint="cs"/>
          <w:rtl/>
        </w:rPr>
        <w:t xml:space="preserve"> בדברי </w:t>
      </w:r>
      <w:r w:rsidRPr="00796D7E">
        <w:rPr>
          <w:rStyle w:val="af9"/>
          <w:rFonts w:hint="cs"/>
          <w:rtl/>
        </w:rPr>
        <w:t>הקצוה"ח</w:t>
      </w:r>
      <w:r w:rsidRPr="00805436">
        <w:rPr>
          <w:rFonts w:hint="cs"/>
          <w:rtl/>
        </w:rPr>
        <w:t>.</w:t>
      </w:r>
      <w:bookmarkEnd w:id="703"/>
    </w:p>
    <w:bookmarkEnd w:id="408"/>
    <w:p w:rsidR="00FF386B" w:rsidRPr="00F131E9" w:rsidRDefault="00FF386B" w:rsidP="00FF386B">
      <w:pPr>
        <w:pStyle w:val="a3"/>
        <w:rPr>
          <w:rtl/>
        </w:rPr>
      </w:pPr>
    </w:p>
    <w:p w:rsidR="00FF386B" w:rsidRPr="00557EB9" w:rsidRDefault="00FF386B" w:rsidP="007E4E81">
      <w:pPr>
        <w:pStyle w:val="a0"/>
        <w:rPr>
          <w:rtl/>
        </w:rPr>
        <w:sectPr w:rsidR="00FF386B" w:rsidRPr="00557EB9" w:rsidSect="005049E2">
          <w:type w:val="continuous"/>
          <w:pgSz w:w="11906" w:h="16838"/>
          <w:pgMar w:top="720" w:right="720" w:bottom="720" w:left="720" w:header="283" w:footer="283" w:gutter="0"/>
          <w:cols w:num="2" w:space="567"/>
          <w:titlePg/>
          <w:bidi/>
          <w:rtlGutter/>
          <w:docGrid w:linePitch="299"/>
        </w:sectPr>
      </w:pPr>
    </w:p>
    <w:p w:rsidR="00FF386B" w:rsidRDefault="00FF386B" w:rsidP="00FF386B">
      <w:pPr>
        <w:tabs>
          <w:tab w:val="left" w:pos="1163"/>
        </w:tabs>
        <w:spacing w:after="120" w:line="240" w:lineRule="auto"/>
        <w:ind w:left="0"/>
        <w:rPr>
          <w:rFonts w:ascii="Guttman Hodes" w:eastAsia="Guttman Hodes" w:hAnsi="Guttman Hodes" w:cs="Guttman Hodes"/>
          <w:noProof/>
          <w:sz w:val="18"/>
          <w:szCs w:val="18"/>
        </w:rPr>
        <w:sectPr w:rsidR="00FF386B" w:rsidSect="00AE06CB">
          <w:type w:val="continuous"/>
          <w:pgSz w:w="11906" w:h="16838"/>
          <w:pgMar w:top="720" w:right="720" w:bottom="720" w:left="720" w:header="283" w:footer="283" w:gutter="0"/>
          <w:cols w:space="567"/>
          <w:bidi/>
          <w:rtlGutter/>
          <w:docGrid w:linePitch="299"/>
        </w:sectPr>
      </w:pPr>
    </w:p>
    <w:p w:rsidR="00FF386B" w:rsidRPr="00D47CE7" w:rsidRDefault="00E949D5" w:rsidP="00FF386B">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24" o:title="BD14845_"/>
          </v:shape>
        </w:pict>
      </w:r>
      <w:r w:rsidR="00FF386B" w:rsidRPr="00D47CE7">
        <w:rPr>
          <w:rFonts w:ascii="Guttman Hodes" w:eastAsia="Guttman Hodes" w:hAnsi="Guttman Hodes" w:cs="Guttman Hodes" w:hint="cs"/>
          <w:noProof/>
          <w:sz w:val="18"/>
          <w:szCs w:val="18"/>
          <w:rtl/>
        </w:rPr>
        <w:t xml:space="preserve"> </w:t>
      </w:r>
    </w:p>
    <w:p w:rsidR="00FF386B" w:rsidRPr="0081356D" w:rsidRDefault="001B6519" w:rsidP="00FF386B">
      <w:pPr>
        <w:pStyle w:val="afe"/>
        <w:rPr>
          <w:rtl/>
        </w:rPr>
        <w:sectPr w:rsidR="00FF386B" w:rsidRPr="0081356D" w:rsidSect="00361B2E">
          <w:pgSz w:w="11906" w:h="16838"/>
          <w:pgMar w:top="720" w:right="720" w:bottom="720" w:left="720" w:header="283" w:footer="283" w:gutter="0"/>
          <w:cols w:space="567"/>
          <w:bidi/>
          <w:rtlGutter/>
          <w:docGrid w:linePitch="299"/>
        </w:sectPr>
      </w:pPr>
      <w:bookmarkStart w:id="704" w:name="_Toc530411086"/>
      <w:bookmarkStart w:id="705" w:name="_Toc530476223"/>
      <w:bookmarkStart w:id="706" w:name="_Toc530477171"/>
      <w:bookmarkStart w:id="707" w:name="_Toc530503013"/>
      <w:bookmarkStart w:id="708" w:name="_Toc530504519"/>
      <w:bookmarkStart w:id="709" w:name="_Toc530514400"/>
      <w:bookmarkStart w:id="710" w:name="_Toc530514503"/>
      <w:bookmarkStart w:id="711" w:name="_Toc530521945"/>
      <w:bookmarkStart w:id="712" w:name="_Toc530525001"/>
      <w:bookmarkStart w:id="713" w:name="_Toc530551148"/>
      <w:bookmarkStart w:id="714" w:name="_Toc531629720"/>
      <w:bookmarkStart w:id="715" w:name="_Toc531638992"/>
      <w:bookmarkStart w:id="716" w:name="_Toc531894164"/>
      <w:bookmarkStart w:id="717" w:name="_Toc531894189"/>
      <w:bookmarkStart w:id="718" w:name="_Toc532203009"/>
      <w:bookmarkStart w:id="719" w:name="_Toc532302176"/>
      <w:bookmarkStart w:id="720" w:name="_Toc532453978"/>
      <w:bookmarkStart w:id="721" w:name="_Toc532454012"/>
      <w:bookmarkStart w:id="722" w:name="_Toc532550671"/>
      <w:bookmarkStart w:id="723" w:name="_Toc532550737"/>
      <w:bookmarkStart w:id="724" w:name="_Toc532810066"/>
      <w:bookmarkStart w:id="725" w:name="_Toc533413322"/>
      <w:bookmarkStart w:id="726" w:name="_Toc533441216"/>
      <w:bookmarkStart w:id="727" w:name="_Toc533441262"/>
      <w:bookmarkStart w:id="728" w:name="_Toc533490184"/>
      <w:bookmarkStart w:id="729" w:name="_Toc533506162"/>
      <w:bookmarkStart w:id="730" w:name="_Toc533544409"/>
      <w:bookmarkStart w:id="731" w:name="_Toc533544606"/>
      <w:bookmarkStart w:id="732" w:name="_Toc536787003"/>
      <w:bookmarkStart w:id="733" w:name="_Toc519050"/>
      <w:bookmarkStart w:id="734" w:name="_Toc725029"/>
      <w:bookmarkStart w:id="735" w:name="_Toc773238"/>
      <w:bookmarkStart w:id="736" w:name="_Toc862084"/>
      <w:bookmarkStart w:id="737" w:name="_Toc890757"/>
      <w:bookmarkStart w:id="738" w:name="_Toc903166"/>
      <w:bookmarkStart w:id="739" w:name="_Toc955103"/>
      <w:bookmarkStart w:id="740" w:name="_Toc974546"/>
      <w:bookmarkStart w:id="741" w:name="_Toc984462"/>
      <w:bookmarkStart w:id="742" w:name="_Toc1056596"/>
      <w:bookmarkStart w:id="743" w:name="_Toc1109754"/>
      <w:bookmarkStart w:id="744" w:name="_Toc1128733"/>
      <w:bookmarkStart w:id="745" w:name="_Toc1250119"/>
      <w:bookmarkStart w:id="746" w:name="_Toc1258123"/>
      <w:r>
        <w:rPr>
          <w:rFonts w:hint="cs"/>
          <w:rtl/>
        </w:rPr>
        <w:t>~~~~~~~ ביאורי ראשי הישיבות ~~~~~~~</w:t>
      </w:r>
      <w:r w:rsidR="00FF386B" w:rsidRPr="0081356D">
        <w:rPr>
          <w:rFonts w:hint="cs"/>
          <w:rtl/>
        </w:rPr>
        <w:t xml:space="preserve"> </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rsidR="00F15E1B" w:rsidRDefault="00F15E1B" w:rsidP="00F15E1B">
      <w:pPr>
        <w:pStyle w:val="afe"/>
        <w:rPr>
          <w:rtl/>
        </w:rPr>
      </w:pPr>
      <w:bookmarkStart w:id="747" w:name="_Toc54109339"/>
      <w:bookmarkStart w:id="748" w:name="_Toc54125738"/>
      <w:bookmarkStart w:id="749" w:name="_Toc54133950"/>
      <w:bookmarkStart w:id="750" w:name="_Toc52907771"/>
      <w:bookmarkStart w:id="751" w:name="_Toc53402200"/>
      <w:bookmarkStart w:id="752" w:name="_Toc53941231"/>
      <w:bookmarkStart w:id="753" w:name="_Toc54000517"/>
      <w:bookmarkStart w:id="754" w:name="_Toc54038993"/>
      <w:bookmarkStart w:id="755" w:name="_Toc54039087"/>
      <w:bookmarkStart w:id="756" w:name="_Toc54087538"/>
      <w:bookmarkStart w:id="757" w:name="_Toc50282709"/>
      <w:bookmarkStart w:id="758" w:name="_Toc49977869"/>
      <w:bookmarkStart w:id="759" w:name="_Toc50120243"/>
      <w:bookmarkStart w:id="760" w:name="_Toc52907769"/>
      <w:bookmarkStart w:id="761" w:name="_Toc53402198"/>
      <w:bookmarkStart w:id="762" w:name="_Toc53941229"/>
      <w:bookmarkStart w:id="763" w:name="_Toc54000515"/>
      <w:bookmarkStart w:id="764" w:name="_Toc54038991"/>
      <w:bookmarkStart w:id="765" w:name="_Toc54039085"/>
      <w:bookmarkStart w:id="766" w:name="_Toc54087536"/>
      <w:bookmarkEnd w:id="31"/>
      <w:bookmarkEnd w:id="32"/>
      <w:bookmarkEnd w:id="33"/>
      <w:bookmarkEnd w:id="34"/>
      <w:bookmarkEnd w:id="35"/>
      <w:bookmarkEnd w:id="36"/>
      <w:bookmarkEnd w:id="37"/>
      <w:bookmarkEnd w:id="38"/>
      <w:bookmarkEnd w:id="39"/>
      <w:bookmarkEnd w:id="40"/>
      <w:r>
        <w:rPr>
          <w:rFonts w:hint="cs"/>
          <w:rtl/>
        </w:rPr>
        <w:t>בדעת הרמב"ם בחזקת מר"ק ביום א'</w:t>
      </w:r>
      <w:bookmarkEnd w:id="747"/>
      <w:bookmarkEnd w:id="748"/>
      <w:bookmarkEnd w:id="749"/>
    </w:p>
    <w:p w:rsidR="00F15E1B" w:rsidRDefault="00F15E1B" w:rsidP="00F15E1B">
      <w:pPr>
        <w:pStyle w:val="1"/>
        <w:rPr>
          <w:rtl/>
        </w:rPr>
      </w:pPr>
      <w:bookmarkStart w:id="767" w:name="_Toc54109340"/>
      <w:bookmarkStart w:id="768" w:name="_Toc54125739"/>
      <w:bookmarkStart w:id="769" w:name="_Toc54133951"/>
      <w:r>
        <w:rPr>
          <w:rFonts w:hint="cs"/>
          <w:rtl/>
        </w:rPr>
        <w:t>ביאור האבהא"ז ברמב"ם דל"מ חזקת יום אחד למערער</w:t>
      </w:r>
      <w:bookmarkEnd w:id="750"/>
      <w:bookmarkEnd w:id="751"/>
      <w:bookmarkEnd w:id="752"/>
      <w:bookmarkEnd w:id="753"/>
      <w:bookmarkEnd w:id="754"/>
      <w:bookmarkEnd w:id="755"/>
      <w:bookmarkEnd w:id="756"/>
      <w:bookmarkEnd w:id="767"/>
      <w:bookmarkEnd w:id="768"/>
      <w:bookmarkEnd w:id="769"/>
    </w:p>
    <w:p w:rsidR="00F15E1B" w:rsidRDefault="00394F94" w:rsidP="00F15E1B">
      <w:pPr>
        <w:pStyle w:val="a3"/>
        <w:rPr>
          <w:rtl/>
        </w:rPr>
      </w:pPr>
      <w:bookmarkStart w:id="770" w:name="_Toc54109341"/>
      <w:bookmarkStart w:id="771" w:name="_Toc54125740"/>
      <w:bookmarkStart w:id="772" w:name="_Toc54133952"/>
      <w:r>
        <w:rPr>
          <w:rFonts w:hint="cs"/>
          <w:rtl/>
        </w:rPr>
        <w:t>דברי האבאה"ז דמבואר ברמב"ם דחזקת מר"ק מהני רק כשיש לו עדים ולא בדר בה יום אחד</w:t>
      </w:r>
      <w:bookmarkEnd w:id="770"/>
      <w:bookmarkEnd w:id="771"/>
      <w:bookmarkEnd w:id="772"/>
    </w:p>
    <w:p w:rsidR="00F15E1B" w:rsidRPr="003F2A29" w:rsidRDefault="00F15E1B" w:rsidP="007E4E81">
      <w:pPr>
        <w:pStyle w:val="a0"/>
        <w:rPr>
          <w:rStyle w:val="afb"/>
        </w:rPr>
      </w:pPr>
      <w:bookmarkStart w:id="773" w:name="_Ref53935015"/>
      <w:r>
        <w:rPr>
          <w:rFonts w:hint="cs"/>
          <w:rtl/>
        </w:rPr>
        <w:t xml:space="preserve">במ"ש </w:t>
      </w:r>
      <w:r w:rsidRPr="003F2A29">
        <w:rPr>
          <w:rStyle w:val="af9"/>
          <w:rFonts w:hint="cs"/>
          <w:rtl/>
        </w:rPr>
        <w:t>הרמב"ם</w:t>
      </w:r>
      <w:r>
        <w:rPr>
          <w:rFonts w:hint="cs"/>
          <w:rtl/>
        </w:rPr>
        <w:t xml:space="preserve"> </w:t>
      </w:r>
      <w:r w:rsidRPr="003F2A29">
        <w:rPr>
          <w:rStyle w:val="af7"/>
          <w:rFonts w:eastAsia="Guttman Hodes" w:hint="cs"/>
          <w:rtl/>
        </w:rPr>
        <w:t xml:space="preserve">(עי' אות </w:t>
      </w:r>
      <w:r w:rsidRPr="003F2A29">
        <w:rPr>
          <w:rStyle w:val="af7"/>
          <w:rFonts w:eastAsia="Guttman Hodes"/>
          <w:rtl/>
        </w:rPr>
        <w:fldChar w:fldCharType="begin"/>
      </w:r>
      <w:r w:rsidRPr="003F2A29">
        <w:rPr>
          <w:rStyle w:val="af7"/>
          <w:rFonts w:eastAsia="Guttman Hodes"/>
          <w:rtl/>
        </w:rPr>
        <w:instrText xml:space="preserve"> </w:instrText>
      </w:r>
      <w:r w:rsidRPr="003F2A29">
        <w:rPr>
          <w:rStyle w:val="af7"/>
          <w:rFonts w:eastAsia="Guttman Hodes" w:hint="cs"/>
        </w:rPr>
        <w:instrText>REF</w:instrText>
      </w:r>
      <w:r w:rsidRPr="003F2A29">
        <w:rPr>
          <w:rStyle w:val="af7"/>
          <w:rFonts w:eastAsia="Guttman Hodes" w:hint="cs"/>
          <w:rtl/>
        </w:rPr>
        <w:instrText xml:space="preserve"> _</w:instrText>
      </w:r>
      <w:r w:rsidRPr="003F2A29">
        <w:rPr>
          <w:rStyle w:val="af7"/>
          <w:rFonts w:eastAsia="Guttman Hodes" w:hint="cs"/>
        </w:rPr>
        <w:instrText>Ref53934882 \r \h</w:instrText>
      </w:r>
      <w:r w:rsidRPr="003F2A29">
        <w:rPr>
          <w:rStyle w:val="af7"/>
          <w:rFonts w:eastAsia="Guttman Hodes"/>
          <w:rtl/>
        </w:rPr>
        <w:instrText xml:space="preserve"> </w:instrText>
      </w:r>
      <w:r w:rsidRPr="003F2A29">
        <w:rPr>
          <w:rStyle w:val="af7"/>
          <w:rFonts w:eastAsia="Guttman Hodes"/>
          <w:rtl/>
        </w:rPr>
      </w:r>
      <w:r w:rsidRPr="003F2A29">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3F2A29">
        <w:rPr>
          <w:rStyle w:val="af7"/>
          <w:rFonts w:eastAsia="Guttman Hodes"/>
          <w:rtl/>
        </w:rPr>
        <w:fldChar w:fldCharType="end"/>
      </w:r>
      <w:r>
        <w:rPr>
          <w:rFonts w:hint="cs"/>
          <w:rtl/>
        </w:rPr>
        <w:t xml:space="preserve"> דקרקע שידועה שהיא של אדם אחד ועו', הרי היא בחזקת הבעלים, כתב </w:t>
      </w:r>
      <w:r w:rsidRPr="003F2A29">
        <w:rPr>
          <w:rStyle w:val="af9"/>
          <w:rFonts w:hint="cs"/>
          <w:rtl/>
        </w:rPr>
        <w:t>האבאה"ז</w:t>
      </w:r>
      <w:r>
        <w:rPr>
          <w:rFonts w:hint="cs"/>
          <w:rtl/>
        </w:rPr>
        <w:t xml:space="preserve"> </w:t>
      </w:r>
      <w:r w:rsidRPr="00621F50">
        <w:rPr>
          <w:rStyle w:val="af7"/>
          <w:rFonts w:eastAsia="Guttman Hodes" w:hint="cs"/>
          <w:rtl/>
        </w:rPr>
        <w:t>(שכנים</w:t>
      </w:r>
      <w:r w:rsidRPr="003F2A29">
        <w:rPr>
          <w:rStyle w:val="af7"/>
          <w:rFonts w:eastAsia="Guttman Hodes" w:hint="cs"/>
          <w:rtl/>
        </w:rPr>
        <w:t xml:space="preserve"> פ"ב הי"ח, </w:t>
      </w:r>
      <w:r w:rsidR="0089632D" w:rsidRPr="003F2A29">
        <w:rPr>
          <w:rStyle w:val="af7"/>
          <w:rFonts w:eastAsia="Guttman Hodes" w:hint="cs"/>
          <w:rtl/>
        </w:rPr>
        <w:t>טו</w:t>
      </w:r>
      <w:r w:rsidR="0089632D" w:rsidRPr="003F2A29">
        <w:rPr>
          <w:rStyle w:val="af7"/>
          <w:rFonts w:eastAsia="Guttman Hodes"/>
          <w:rtl/>
        </w:rPr>
        <w:t>"</w:t>
      </w:r>
      <w:r w:rsidR="0089632D" w:rsidRPr="003F2A29">
        <w:rPr>
          <w:rStyle w:val="af7"/>
          <w:rFonts w:eastAsia="Guttman Hodes" w:hint="cs"/>
          <w:rtl/>
        </w:rPr>
        <w:t xml:space="preserve">נ </w:t>
      </w:r>
      <w:r w:rsidRPr="003F2A29">
        <w:rPr>
          <w:rStyle w:val="af7"/>
          <w:rFonts w:eastAsia="Guttman Hodes" w:hint="cs"/>
          <w:rtl/>
        </w:rPr>
        <w:t>השמטות פי"א ה"א עמ' ע"ט)</w:t>
      </w:r>
      <w:r>
        <w:rPr>
          <w:rFonts w:hint="cs"/>
          <w:rtl/>
        </w:rPr>
        <w:t xml:space="preserve"> דמבואר מדברי הרמב"ם דהמערער נחשב מוחזק, ויכול להוציא את הקרקע מהמחזיק, רק כשיש לו עדים שהקרקע הייתה שלו, ולא ס"ל דסגי בעדים שהחזיק בה המערער יום אחד, ודלא </w:t>
      </w:r>
      <w:r w:rsidR="003A6D1D" w:rsidRPr="004C3389">
        <w:rPr>
          <w:rStyle w:val="af9"/>
          <w:rFonts w:hint="cs"/>
          <w:rtl/>
        </w:rPr>
        <w:t>כהב"ח</w:t>
      </w:r>
      <w:r w:rsidR="003A6D1D">
        <w:rPr>
          <w:rFonts w:hint="cs"/>
          <w:rtl/>
        </w:rPr>
        <w:t xml:space="preserve"> </w:t>
      </w:r>
      <w:r w:rsidR="003A6D1D" w:rsidRPr="004C3389">
        <w:rPr>
          <w:rStyle w:val="af7"/>
          <w:rFonts w:eastAsia="Guttman Hodes" w:hint="cs"/>
          <w:rtl/>
        </w:rPr>
        <w:t xml:space="preserve">(עי' אות </w:t>
      </w:r>
      <w:r w:rsidR="003A6D1D" w:rsidRPr="004C3389">
        <w:rPr>
          <w:rStyle w:val="af7"/>
          <w:rFonts w:eastAsia="Guttman Hodes"/>
          <w:rtl/>
        </w:rPr>
        <w:fldChar w:fldCharType="begin"/>
      </w:r>
      <w:r w:rsidR="003A6D1D" w:rsidRPr="004C3389">
        <w:rPr>
          <w:rStyle w:val="af7"/>
          <w:rFonts w:eastAsia="Guttman Hodes"/>
          <w:rtl/>
        </w:rPr>
        <w:instrText xml:space="preserve"> </w:instrText>
      </w:r>
      <w:r w:rsidR="003A6D1D" w:rsidRPr="004C3389">
        <w:rPr>
          <w:rStyle w:val="af7"/>
          <w:rFonts w:eastAsia="Guttman Hodes" w:hint="cs"/>
        </w:rPr>
        <w:instrText>REF</w:instrText>
      </w:r>
      <w:r w:rsidR="003A6D1D" w:rsidRPr="004C3389">
        <w:rPr>
          <w:rStyle w:val="af7"/>
          <w:rFonts w:eastAsia="Guttman Hodes" w:hint="cs"/>
          <w:rtl/>
        </w:rPr>
        <w:instrText xml:space="preserve"> _</w:instrText>
      </w:r>
      <w:r w:rsidR="003A6D1D" w:rsidRPr="004C3389">
        <w:rPr>
          <w:rStyle w:val="af7"/>
          <w:rFonts w:eastAsia="Guttman Hodes" w:hint="cs"/>
        </w:rPr>
        <w:instrText>Ref54108689 \r \h</w:instrText>
      </w:r>
      <w:r w:rsidR="003A6D1D" w:rsidRPr="004C3389">
        <w:rPr>
          <w:rStyle w:val="af7"/>
          <w:rFonts w:eastAsia="Guttman Hodes"/>
          <w:rtl/>
        </w:rPr>
        <w:instrText xml:space="preserve"> </w:instrText>
      </w:r>
      <w:r w:rsidR="003A6D1D" w:rsidRPr="004C3389">
        <w:rPr>
          <w:rStyle w:val="af7"/>
          <w:rFonts w:eastAsia="Guttman Hodes"/>
          <w:rtl/>
        </w:rPr>
      </w:r>
      <w:r w:rsidR="003A6D1D" w:rsidRPr="004C3389">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003A6D1D" w:rsidRPr="004C3389">
        <w:rPr>
          <w:rStyle w:val="af7"/>
          <w:rFonts w:eastAsia="Guttman Hodes"/>
          <w:rtl/>
        </w:rPr>
        <w:fldChar w:fldCharType="end"/>
      </w:r>
      <w:r>
        <w:rPr>
          <w:rFonts w:hint="cs"/>
          <w:rtl/>
        </w:rPr>
        <w:t xml:space="preserve">דכתב </w:t>
      </w:r>
      <w:r w:rsidRPr="003F2A29">
        <w:rPr>
          <w:rStyle w:val="af9"/>
          <w:rFonts w:hint="cs"/>
          <w:rtl/>
        </w:rPr>
        <w:t>דהרמב"ם</w:t>
      </w:r>
      <w:r>
        <w:rPr>
          <w:rFonts w:hint="cs"/>
          <w:rtl/>
        </w:rPr>
        <w:t xml:space="preserve"> ס"ל כדעת </w:t>
      </w:r>
      <w:r w:rsidRPr="003F2A29">
        <w:rPr>
          <w:rStyle w:val="af9"/>
          <w:rFonts w:hint="cs"/>
          <w:rtl/>
        </w:rPr>
        <w:t>הטור</w:t>
      </w:r>
      <w:r>
        <w:rPr>
          <w:rFonts w:hint="cs"/>
          <w:rtl/>
        </w:rPr>
        <w:t xml:space="preserve"> </w:t>
      </w:r>
      <w:r w:rsidRPr="003A6D1D">
        <w:rPr>
          <w:rStyle w:val="af7"/>
          <w:rFonts w:eastAsia="Guttman Hodes" w:hint="cs"/>
          <w:rtl/>
        </w:rPr>
        <w:t xml:space="preserve">(עי' אות </w:t>
      </w:r>
      <w:r w:rsidR="003A6D1D" w:rsidRPr="003A6D1D">
        <w:rPr>
          <w:rStyle w:val="af7"/>
          <w:rFonts w:eastAsia="Guttman Hodes"/>
          <w:rtl/>
        </w:rPr>
        <w:fldChar w:fldCharType="begin"/>
      </w:r>
      <w:r w:rsidR="003A6D1D" w:rsidRPr="003A6D1D">
        <w:rPr>
          <w:rStyle w:val="af7"/>
          <w:rFonts w:eastAsia="Guttman Hodes"/>
          <w:rtl/>
        </w:rPr>
        <w:instrText xml:space="preserve"> </w:instrText>
      </w:r>
      <w:r w:rsidR="003A6D1D" w:rsidRPr="003A6D1D">
        <w:rPr>
          <w:rStyle w:val="af7"/>
          <w:rFonts w:eastAsia="Guttman Hodes" w:hint="cs"/>
        </w:rPr>
        <w:instrText>REF</w:instrText>
      </w:r>
      <w:r w:rsidR="003A6D1D" w:rsidRPr="003A6D1D">
        <w:rPr>
          <w:rStyle w:val="af7"/>
          <w:rFonts w:eastAsia="Guttman Hodes" w:hint="cs"/>
          <w:rtl/>
        </w:rPr>
        <w:instrText xml:space="preserve"> _</w:instrText>
      </w:r>
      <w:r w:rsidR="003A6D1D" w:rsidRPr="003A6D1D">
        <w:rPr>
          <w:rStyle w:val="af7"/>
          <w:rFonts w:eastAsia="Guttman Hodes" w:hint="cs"/>
        </w:rPr>
        <w:instrText>Ref53999256 \r \h</w:instrText>
      </w:r>
      <w:r w:rsidR="003A6D1D" w:rsidRPr="003A6D1D">
        <w:rPr>
          <w:rStyle w:val="af7"/>
          <w:rFonts w:eastAsia="Guttman Hodes"/>
          <w:rtl/>
        </w:rPr>
        <w:instrText xml:space="preserve"> </w:instrText>
      </w:r>
      <w:r w:rsidR="003A6D1D" w:rsidRPr="003A6D1D">
        <w:rPr>
          <w:rStyle w:val="af7"/>
          <w:rFonts w:eastAsia="Guttman Hodes"/>
          <w:rtl/>
        </w:rPr>
      </w:r>
      <w:r w:rsidR="003A6D1D" w:rsidRPr="003A6D1D">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003A6D1D" w:rsidRPr="003A6D1D">
        <w:rPr>
          <w:rStyle w:val="af7"/>
          <w:rFonts w:eastAsia="Guttman Hodes"/>
          <w:rtl/>
        </w:rPr>
        <w:fldChar w:fldCharType="end"/>
      </w:r>
      <w:r>
        <w:rPr>
          <w:rFonts w:hint="cs"/>
          <w:rtl/>
        </w:rPr>
        <w:t xml:space="preserve">. </w:t>
      </w:r>
      <w:r w:rsidRPr="003F2A29">
        <w:rPr>
          <w:rStyle w:val="afb"/>
          <w:rFonts w:hint="cs"/>
          <w:rtl/>
        </w:rPr>
        <w:t xml:space="preserve">[ועיי"ש במה שביאר </w:t>
      </w:r>
      <w:r w:rsidRPr="003F2A29">
        <w:rPr>
          <w:rStyle w:val="affa"/>
          <w:rFonts w:hint="cs"/>
          <w:rtl/>
        </w:rPr>
        <w:t>האבה</w:t>
      </w:r>
      <w:r w:rsidR="0055721A" w:rsidRPr="003F2A29">
        <w:rPr>
          <w:rStyle w:val="affa"/>
          <w:rFonts w:hint="cs"/>
          <w:rtl/>
        </w:rPr>
        <w:t>א</w:t>
      </w:r>
      <w:r w:rsidRPr="003F2A29">
        <w:rPr>
          <w:rStyle w:val="affa"/>
          <w:rFonts w:hint="cs"/>
          <w:rtl/>
        </w:rPr>
        <w:t xml:space="preserve">"ז </w:t>
      </w:r>
      <w:r w:rsidRPr="003F2A29">
        <w:rPr>
          <w:rStyle w:val="afb"/>
          <w:rFonts w:hint="cs"/>
          <w:rtl/>
        </w:rPr>
        <w:t xml:space="preserve">בדעת </w:t>
      </w:r>
      <w:r w:rsidRPr="003F2A29">
        <w:rPr>
          <w:rStyle w:val="affa"/>
          <w:rFonts w:hint="cs"/>
          <w:rtl/>
        </w:rPr>
        <w:t xml:space="preserve">הרמב"ם </w:t>
      </w:r>
      <w:r w:rsidRPr="003F2A29">
        <w:rPr>
          <w:rStyle w:val="afb"/>
          <w:rFonts w:hint="cs"/>
          <w:rtl/>
        </w:rPr>
        <w:t>במטלטלין, שא"צ להביא עדים שהיו שלו].</w:t>
      </w:r>
      <w:bookmarkEnd w:id="773"/>
    </w:p>
    <w:p w:rsidR="00FF386B" w:rsidRDefault="00FF386B" w:rsidP="00FF386B">
      <w:pPr>
        <w:pStyle w:val="afe"/>
        <w:rPr>
          <w:rtl/>
        </w:rPr>
      </w:pPr>
      <w:bookmarkStart w:id="774" w:name="_Toc54109342"/>
      <w:bookmarkStart w:id="775" w:name="_Toc54125741"/>
      <w:bookmarkStart w:id="776" w:name="_Toc54133953"/>
      <w:r>
        <w:rPr>
          <w:rFonts w:hint="cs"/>
          <w:rtl/>
        </w:rPr>
        <w:t>ב</w:t>
      </w:r>
      <w:bookmarkEnd w:id="757"/>
      <w:bookmarkEnd w:id="758"/>
      <w:bookmarkEnd w:id="759"/>
      <w:r>
        <w:rPr>
          <w:rFonts w:hint="cs"/>
          <w:rtl/>
        </w:rPr>
        <w:t>חילוק בחזקה בין קרקע למטלטלין</w:t>
      </w:r>
      <w:bookmarkEnd w:id="760"/>
      <w:bookmarkEnd w:id="761"/>
      <w:bookmarkEnd w:id="762"/>
      <w:bookmarkEnd w:id="763"/>
      <w:bookmarkEnd w:id="764"/>
      <w:bookmarkEnd w:id="765"/>
      <w:bookmarkEnd w:id="766"/>
      <w:bookmarkEnd w:id="774"/>
      <w:bookmarkEnd w:id="775"/>
      <w:bookmarkEnd w:id="776"/>
      <w:r>
        <w:rPr>
          <w:rFonts w:hint="cs"/>
          <w:rtl/>
        </w:rPr>
        <w:t xml:space="preserve"> </w:t>
      </w:r>
    </w:p>
    <w:p w:rsidR="00BE10A7" w:rsidRDefault="00BE10A7" w:rsidP="00BE10A7">
      <w:pPr>
        <w:pStyle w:val="1"/>
        <w:rPr>
          <w:rtl/>
        </w:rPr>
      </w:pPr>
      <w:bookmarkStart w:id="777" w:name="_Toc54125742"/>
      <w:bookmarkStart w:id="778" w:name="_Toc54133954"/>
      <w:bookmarkStart w:id="779" w:name="_Toc52907770"/>
      <w:bookmarkStart w:id="780" w:name="_Toc53402199"/>
      <w:bookmarkStart w:id="781" w:name="_Toc53941230"/>
      <w:bookmarkStart w:id="782" w:name="_Toc54000516"/>
      <w:bookmarkStart w:id="783" w:name="_Toc54038992"/>
      <w:bookmarkStart w:id="784" w:name="_Toc54039086"/>
      <w:bookmarkStart w:id="785" w:name="_Toc54087537"/>
      <w:bookmarkStart w:id="786" w:name="_Toc54109343"/>
      <w:r>
        <w:rPr>
          <w:rFonts w:hint="cs"/>
          <w:rtl/>
        </w:rPr>
        <w:t xml:space="preserve">ביאור הברכ"ש </w:t>
      </w:r>
      <w:r w:rsidR="00367FF7">
        <w:rPr>
          <w:rFonts w:hint="cs"/>
          <w:rtl/>
        </w:rPr>
        <w:t>דבמטלטלין תפוס מהני אף כנגד חזקה</w:t>
      </w:r>
      <w:bookmarkEnd w:id="777"/>
      <w:bookmarkEnd w:id="778"/>
    </w:p>
    <w:p w:rsidR="00BE10A7" w:rsidRPr="007054CB" w:rsidRDefault="00BE10A7" w:rsidP="00BE10A7">
      <w:pPr>
        <w:pStyle w:val="a3"/>
      </w:pPr>
      <w:bookmarkStart w:id="787" w:name="_Toc54125743"/>
      <w:bookmarkStart w:id="788" w:name="_Toc54133955"/>
      <w:r>
        <w:rPr>
          <w:rFonts w:hint="cs"/>
          <w:rtl/>
        </w:rPr>
        <w:t>דברי הברכ"ש דבחזקת ג"ש בקרקע אינו נאמן דהיא שלו במיגו דקנה ובמטלטלין נאמן</w:t>
      </w:r>
      <w:bookmarkEnd w:id="787"/>
      <w:bookmarkEnd w:id="788"/>
    </w:p>
    <w:p w:rsidR="00BE10A7" w:rsidRPr="00394F94" w:rsidRDefault="00BE10A7" w:rsidP="007E4E81">
      <w:pPr>
        <w:pStyle w:val="a0"/>
        <w:rPr>
          <w:rStyle w:val="afb"/>
          <w:rtl/>
        </w:rPr>
      </w:pPr>
      <w:bookmarkStart w:id="789" w:name="_Ref54134520"/>
      <w:r>
        <w:rPr>
          <w:rFonts w:hint="cs"/>
          <w:rtl/>
        </w:rPr>
        <w:t xml:space="preserve">כתב </w:t>
      </w:r>
      <w:r w:rsidRPr="00394F94">
        <w:rPr>
          <w:rStyle w:val="af9"/>
          <w:rFonts w:hint="cs"/>
          <w:rtl/>
        </w:rPr>
        <w:t xml:space="preserve">הברכ"ש </w:t>
      </w:r>
      <w:r w:rsidRPr="00394F94">
        <w:rPr>
          <w:rStyle w:val="af7"/>
          <w:rFonts w:eastAsia="Guttman Hodes" w:hint="cs"/>
          <w:rtl/>
        </w:rPr>
        <w:t>(סי' ל"א או' א')</w:t>
      </w:r>
      <w:r>
        <w:rPr>
          <w:rFonts w:hint="cs"/>
          <w:rtl/>
        </w:rPr>
        <w:t xml:space="preserve"> דבמקום שיש למחזיק חזקת ג"ש, אבל הוא טוען דהקרקע הייתה של אבותיו, במיגו דהיה יכול לטעון מנך זבנתיה, מבואר בגמ' לקמן </w:t>
      </w:r>
      <w:r w:rsidRPr="00394F94">
        <w:rPr>
          <w:rStyle w:val="af7"/>
          <w:rFonts w:eastAsia="Guttman Hodes" w:hint="cs"/>
          <w:rtl/>
        </w:rPr>
        <w:t>(לג:)</w:t>
      </w:r>
      <w:r>
        <w:rPr>
          <w:rFonts w:hint="cs"/>
          <w:rtl/>
        </w:rPr>
        <w:t xml:space="preserve"> דכל שיש למרא קמא עדים דהייתה של אבותיו, הוא מיגו במקום עדים ואינו נאמן, אבל במטלטלין מבואר בגמ' לקמן </w:t>
      </w:r>
      <w:r w:rsidRPr="00394F94">
        <w:rPr>
          <w:rStyle w:val="af7"/>
          <w:rFonts w:eastAsia="Guttman Hodes" w:hint="cs"/>
          <w:rtl/>
        </w:rPr>
        <w:t>(לד.)</w:t>
      </w:r>
      <w:r>
        <w:rPr>
          <w:rFonts w:hint="cs"/>
          <w:rtl/>
        </w:rPr>
        <w:t xml:space="preserve"> דכל שהוא תפוס במטלטלין, נאמן בטענת שלי הייתה, אף שיש למרא קמא עדים שהייתה שלו, במיגו דהיה יכול לטעון מינך זבתיה. </w:t>
      </w:r>
      <w:r w:rsidRPr="00394F94">
        <w:rPr>
          <w:rStyle w:val="afb"/>
          <w:rFonts w:hint="cs"/>
          <w:rtl/>
        </w:rPr>
        <w:t xml:space="preserve">[עיי"ש בהערה על דברי </w:t>
      </w:r>
      <w:r w:rsidRPr="00394F94">
        <w:rPr>
          <w:rStyle w:val="affa"/>
          <w:rFonts w:hint="cs"/>
          <w:rtl/>
        </w:rPr>
        <w:t>הברכ"ש</w:t>
      </w:r>
      <w:r>
        <w:rPr>
          <w:rStyle w:val="afb"/>
          <w:rFonts w:hint="cs"/>
          <w:rtl/>
        </w:rPr>
        <w:t xml:space="preserve"> בדין מיגו במטלטלין</w:t>
      </w:r>
      <w:r w:rsidRPr="00394F94">
        <w:rPr>
          <w:rStyle w:val="afb"/>
          <w:rFonts w:hint="cs"/>
          <w:rtl/>
        </w:rPr>
        <w:t>].</w:t>
      </w:r>
      <w:bookmarkEnd w:id="789"/>
    </w:p>
    <w:p w:rsidR="00BE10A7" w:rsidRPr="00C80AB1" w:rsidRDefault="00B816E0" w:rsidP="00BE10A7">
      <w:pPr>
        <w:pStyle w:val="a3"/>
      </w:pPr>
      <w:bookmarkStart w:id="790" w:name="_Toc54125744"/>
      <w:bookmarkStart w:id="791" w:name="_Toc54133956"/>
      <w:r>
        <w:rPr>
          <w:rFonts w:hint="cs"/>
          <w:rtl/>
        </w:rPr>
        <w:t>ביאור הברכ"ש דהתפיסה במטלטלין מהני כנגד חזקה אבל חזקת ג"ש היא רק ראיה שקנה ממנו</w:t>
      </w:r>
      <w:bookmarkEnd w:id="790"/>
      <w:bookmarkEnd w:id="791"/>
    </w:p>
    <w:p w:rsidR="00BE10A7" w:rsidRDefault="00BE10A7" w:rsidP="007E4E81">
      <w:pPr>
        <w:pStyle w:val="a0"/>
        <w:rPr>
          <w:rtl/>
        </w:rPr>
      </w:pPr>
      <w:r>
        <w:rPr>
          <w:rFonts w:hint="cs"/>
          <w:rtl/>
        </w:rPr>
        <w:t xml:space="preserve">וביאר </w:t>
      </w:r>
      <w:r w:rsidRPr="00394F94">
        <w:rPr>
          <w:rStyle w:val="af9"/>
          <w:rFonts w:hint="cs"/>
          <w:rtl/>
        </w:rPr>
        <w:t xml:space="preserve">הברכ"ש </w:t>
      </w:r>
      <w:r>
        <w:rPr>
          <w:rFonts w:hint="cs"/>
          <w:rtl/>
        </w:rPr>
        <w:t>דבמטלטלין כל שהוא תפוס בהם הוא נאמן לומר שהם שלו, ואינו צריך כל ראיה לזה, והיינו דהתפיסה במטלטלין מהני אף כנגד חזקה, אבל בקרקע לא מהני התפיסה בכדי שהוא יהיה נאמן דהקרקע היא שלו, דאף כשהוא תפוס בקרקע כל הנאמנות שלו היא רק ע"י ראיה דהחזיק בה ג"ש, דהחזקה היא במקום השטר, והיא ראיה</w:t>
      </w:r>
      <w:r w:rsidR="00A77F33">
        <w:rPr>
          <w:rFonts w:hint="cs"/>
          <w:rtl/>
        </w:rPr>
        <w:t xml:space="preserve"> </w:t>
      </w:r>
      <w:r>
        <w:rPr>
          <w:rFonts w:hint="cs"/>
          <w:rtl/>
        </w:rPr>
        <w:t>דהקרקע היא שלו, כמו שהשטר הוא ראיה, אבל התפיסה עצמה לא מהני בלא ראיה, כיון דבקרקע לא מעמידים בחזקת התפוס, אלא בחזקת המרא קמא.</w:t>
      </w:r>
    </w:p>
    <w:p w:rsidR="00367FF7" w:rsidRPr="00367FF7" w:rsidRDefault="00367FF7" w:rsidP="00367FF7">
      <w:pPr>
        <w:pStyle w:val="1"/>
        <w:rPr>
          <w:rtl/>
        </w:rPr>
      </w:pPr>
      <w:bookmarkStart w:id="792" w:name="_Toc54125745"/>
      <w:bookmarkStart w:id="793" w:name="_Toc54133957"/>
      <w:r>
        <w:rPr>
          <w:rFonts w:hint="cs"/>
          <w:rtl/>
        </w:rPr>
        <w:t>ביאור הברכ"ש דחזקת ג"ש מהני רק כשאינה סותרת את המר"ק</w:t>
      </w:r>
      <w:bookmarkEnd w:id="792"/>
      <w:bookmarkEnd w:id="793"/>
    </w:p>
    <w:p w:rsidR="00BE10A7" w:rsidRDefault="00B816E0" w:rsidP="00B816E0">
      <w:pPr>
        <w:pStyle w:val="a3"/>
        <w:rPr>
          <w:rtl/>
        </w:rPr>
      </w:pPr>
      <w:bookmarkStart w:id="794" w:name="_Toc54125746"/>
      <w:bookmarkStart w:id="795" w:name="_Toc54133958"/>
      <w:r>
        <w:rPr>
          <w:rFonts w:hint="cs"/>
          <w:rtl/>
        </w:rPr>
        <w:t>דברי הברכ"ש דחזקת ג"ש מהני כשאינה סותרת לחזקת המר"ק ובלא"ה הוי מיגו במקום עדים</w:t>
      </w:r>
      <w:bookmarkEnd w:id="794"/>
      <w:bookmarkEnd w:id="795"/>
    </w:p>
    <w:p w:rsidR="00B816E0" w:rsidRDefault="00BE10A7" w:rsidP="007E4E81">
      <w:pPr>
        <w:pStyle w:val="a0"/>
        <w:rPr>
          <w:rtl/>
        </w:rPr>
      </w:pPr>
      <w:r>
        <w:rPr>
          <w:rFonts w:hint="cs"/>
          <w:rtl/>
        </w:rPr>
        <w:t xml:space="preserve">וכתב </w:t>
      </w:r>
      <w:r w:rsidRPr="00394F94">
        <w:rPr>
          <w:rStyle w:val="af9"/>
          <w:rFonts w:hint="cs"/>
          <w:rtl/>
        </w:rPr>
        <w:t xml:space="preserve">הברכ"ש </w:t>
      </w:r>
      <w:r>
        <w:rPr>
          <w:rFonts w:hint="cs"/>
          <w:rtl/>
        </w:rPr>
        <w:t xml:space="preserve">דא"כ כ"מ דמהני הראיה דחזקת ג"ש, היא רק במקום שאינה סותרת את חזקת המרא קמא, ע"י שטוען דקנה ממנו, אבל כשמכחיש את חזקת המרא קמא וטוען דהיא שלו, אף שיש לו מיגו אינו נאמן בזה, דהוא כחזקה בלא טענה, דהא כיון שהמרא קמא </w:t>
      </w:r>
      <w:r>
        <w:rPr>
          <w:rFonts w:hint="cs"/>
          <w:rtl/>
        </w:rPr>
        <w:t>מוחזק חשיב המיגו שלו כמיגו במקום עדים, ותפיסתו בקרקע לא מהני לו כלל.</w:t>
      </w:r>
    </w:p>
    <w:p w:rsidR="00367FF7" w:rsidRPr="00367FF7" w:rsidRDefault="00367FF7" w:rsidP="00367FF7">
      <w:pPr>
        <w:pStyle w:val="1"/>
        <w:rPr>
          <w:rtl/>
        </w:rPr>
      </w:pPr>
      <w:bookmarkStart w:id="796" w:name="_Toc54125747"/>
      <w:bookmarkStart w:id="797" w:name="_Toc54133959"/>
      <w:r>
        <w:rPr>
          <w:rFonts w:hint="cs"/>
          <w:rtl/>
        </w:rPr>
        <w:t>ביאור הברכ"ש דחזקת ג"ש בקרקע אינה תפיסה אלא ראיה</w:t>
      </w:r>
      <w:bookmarkEnd w:id="796"/>
      <w:bookmarkEnd w:id="797"/>
    </w:p>
    <w:p w:rsidR="00B816E0" w:rsidRPr="00B816E0" w:rsidRDefault="00B816E0" w:rsidP="007D08B4">
      <w:pPr>
        <w:pStyle w:val="a3"/>
        <w:jc w:val="both"/>
      </w:pPr>
      <w:bookmarkStart w:id="798" w:name="_Toc54125748"/>
      <w:bookmarkStart w:id="799" w:name="_Toc54133960"/>
      <w:r>
        <w:rPr>
          <w:rFonts w:hint="cs"/>
          <w:rtl/>
        </w:rPr>
        <w:t xml:space="preserve">ביאור הברכ"ש </w:t>
      </w:r>
      <w:r w:rsidR="00B40AAD">
        <w:rPr>
          <w:rFonts w:hint="cs"/>
          <w:rtl/>
        </w:rPr>
        <w:t>ד</w:t>
      </w:r>
      <w:r w:rsidR="007D08B4">
        <w:rPr>
          <w:rFonts w:hint="cs"/>
          <w:rtl/>
        </w:rPr>
        <w:t xml:space="preserve">תפוס </w:t>
      </w:r>
      <w:r w:rsidR="00B40AAD">
        <w:rPr>
          <w:rFonts w:hint="cs"/>
          <w:rtl/>
        </w:rPr>
        <w:t xml:space="preserve">במטלטלין </w:t>
      </w:r>
      <w:r w:rsidR="007D08B4">
        <w:rPr>
          <w:rFonts w:hint="cs"/>
          <w:rtl/>
        </w:rPr>
        <w:t>הוא מוחזק ומכח המוחזקות נאמן לטעון מיגו דלקוח בידי</w:t>
      </w:r>
      <w:bookmarkEnd w:id="798"/>
      <w:bookmarkEnd w:id="799"/>
    </w:p>
    <w:p w:rsidR="00B40AAD" w:rsidRDefault="00BE10A7" w:rsidP="007E4E81">
      <w:pPr>
        <w:pStyle w:val="a0"/>
        <w:rPr>
          <w:rtl/>
        </w:rPr>
      </w:pPr>
      <w:r>
        <w:rPr>
          <w:rFonts w:hint="cs"/>
          <w:rtl/>
        </w:rPr>
        <w:t xml:space="preserve">והוסיף </w:t>
      </w:r>
      <w:r w:rsidRPr="00394F94">
        <w:rPr>
          <w:rStyle w:val="af9"/>
          <w:rFonts w:hint="cs"/>
          <w:rtl/>
        </w:rPr>
        <w:t xml:space="preserve">הברכ"ש </w:t>
      </w:r>
      <w:r w:rsidRPr="00394F94">
        <w:rPr>
          <w:rStyle w:val="af7"/>
          <w:rFonts w:eastAsia="Guttman Hodes" w:hint="cs"/>
          <w:rtl/>
        </w:rPr>
        <w:t>(סי' ל"ב או' ב')</w:t>
      </w:r>
      <w:r>
        <w:rPr>
          <w:rFonts w:hint="cs"/>
          <w:rtl/>
        </w:rPr>
        <w:t xml:space="preserve"> לבאר דבמטלטלין כיון שהוא תפוס בהם ונעשה מוחזק, ואמרינן המוציא מחבירו עליו הראיה, מכח זה הוא יכול לטעון טענה דקנה את המטלטלין מהבעלים, עצם התפיסה במטלטלין נותנת נאמנות בטענת לקוח הוא בידי</w:t>
      </w:r>
      <w:r w:rsidR="00B40AAD">
        <w:rPr>
          <w:rFonts w:hint="cs"/>
          <w:rtl/>
        </w:rPr>
        <w:t>.</w:t>
      </w:r>
      <w:r>
        <w:rPr>
          <w:rFonts w:hint="cs"/>
          <w:rtl/>
        </w:rPr>
        <w:t xml:space="preserve"> </w:t>
      </w:r>
      <w:r w:rsidRPr="00B40AAD">
        <w:rPr>
          <w:rStyle w:val="afb"/>
          <w:rFonts w:hint="cs"/>
          <w:rtl/>
        </w:rPr>
        <w:t>[ולכן אף כשטוען דשלו הייתה, נאמן במיגו דהיה טוען לקוח הוא בידי]</w:t>
      </w:r>
      <w:r w:rsidR="00B40AAD">
        <w:rPr>
          <w:rStyle w:val="afb"/>
          <w:rFonts w:hint="cs"/>
          <w:rtl/>
        </w:rPr>
        <w:t>.</w:t>
      </w:r>
    </w:p>
    <w:p w:rsidR="00B40AAD" w:rsidRPr="00B40AAD" w:rsidRDefault="007D08B4" w:rsidP="00367FF7">
      <w:pPr>
        <w:pStyle w:val="a3"/>
      </w:pPr>
      <w:bookmarkStart w:id="800" w:name="_Toc54125749"/>
      <w:bookmarkStart w:id="801" w:name="_Toc54133961"/>
      <w:r>
        <w:rPr>
          <w:rFonts w:hint="cs"/>
          <w:rtl/>
        </w:rPr>
        <w:t xml:space="preserve">ביאור הברכ"ש דתפוס בקרקע אינו מוחזק וכל נאמנותו היא מכח הראיה </w:t>
      </w:r>
      <w:r w:rsidR="00367FF7">
        <w:rPr>
          <w:rFonts w:hint="cs"/>
          <w:rtl/>
        </w:rPr>
        <w:t>ד</w:t>
      </w:r>
      <w:r>
        <w:rPr>
          <w:rFonts w:hint="cs"/>
          <w:rtl/>
        </w:rPr>
        <w:t>חזקת ג"ש</w:t>
      </w:r>
      <w:r w:rsidR="00367FF7" w:rsidRPr="00367FF7">
        <w:rPr>
          <w:rFonts w:hint="cs"/>
          <w:rtl/>
        </w:rPr>
        <w:t xml:space="preserve"> </w:t>
      </w:r>
      <w:r w:rsidR="00367FF7">
        <w:rPr>
          <w:rFonts w:hint="cs"/>
          <w:rtl/>
        </w:rPr>
        <w:t>שקנאה</w:t>
      </w:r>
      <w:bookmarkEnd w:id="800"/>
      <w:bookmarkEnd w:id="801"/>
    </w:p>
    <w:p w:rsidR="00BE10A7" w:rsidRDefault="00BE10A7" w:rsidP="007E4E81">
      <w:pPr>
        <w:pStyle w:val="a0"/>
      </w:pPr>
      <w:r>
        <w:rPr>
          <w:rFonts w:hint="cs"/>
          <w:rtl/>
        </w:rPr>
        <w:t>אבל בקרק</w:t>
      </w:r>
      <w:r w:rsidR="00B40AAD">
        <w:rPr>
          <w:rFonts w:hint="cs"/>
          <w:rtl/>
        </w:rPr>
        <w:t xml:space="preserve">ע ביאר </w:t>
      </w:r>
      <w:r w:rsidR="00B40AAD" w:rsidRPr="00394F94">
        <w:rPr>
          <w:rStyle w:val="af9"/>
          <w:rFonts w:hint="cs"/>
          <w:rtl/>
        </w:rPr>
        <w:t xml:space="preserve">הברכ"ש </w:t>
      </w:r>
      <w:r>
        <w:rPr>
          <w:rFonts w:hint="cs"/>
          <w:rtl/>
        </w:rPr>
        <w:t>דהתפיסה שלו לא מהני להחשיבו כמוחזק, ולא אמרינן דהמוציא ממנו עליו הראיה, א"כ אין לו כל נאמנות מחמת התפיסה לטעון דלקוח הוא בידו, ורק מחמת הראיה שיש לו בחזקת ג"ש דהיא במקום השטר הוא נאמן.</w:t>
      </w:r>
    </w:p>
    <w:p w:rsidR="00FF386B" w:rsidRDefault="00FF386B" w:rsidP="004431F2">
      <w:pPr>
        <w:pStyle w:val="1"/>
        <w:rPr>
          <w:rtl/>
        </w:rPr>
      </w:pPr>
      <w:bookmarkStart w:id="802" w:name="_Toc54125750"/>
      <w:bookmarkStart w:id="803" w:name="_Toc54133962"/>
      <w:r>
        <w:rPr>
          <w:rFonts w:hint="cs"/>
          <w:rtl/>
        </w:rPr>
        <w:t>דברי הגרש"ר</w:t>
      </w:r>
      <w:bookmarkEnd w:id="779"/>
      <w:bookmarkEnd w:id="780"/>
      <w:bookmarkEnd w:id="781"/>
      <w:bookmarkEnd w:id="782"/>
      <w:bookmarkEnd w:id="783"/>
      <w:bookmarkEnd w:id="784"/>
      <w:bookmarkEnd w:id="785"/>
      <w:bookmarkEnd w:id="786"/>
      <w:r w:rsidR="004431F2">
        <w:rPr>
          <w:rFonts w:hint="cs"/>
          <w:rtl/>
        </w:rPr>
        <w:t xml:space="preserve"> דקרקע אינה תפוסה בידו ול"ד למטלטלין דתח"י</w:t>
      </w:r>
      <w:bookmarkEnd w:id="802"/>
      <w:bookmarkEnd w:id="803"/>
    </w:p>
    <w:p w:rsidR="00FF386B" w:rsidRDefault="0089632D" w:rsidP="007E5CC6">
      <w:pPr>
        <w:pStyle w:val="a3"/>
        <w:rPr>
          <w:rtl/>
        </w:rPr>
      </w:pPr>
      <w:bookmarkStart w:id="804" w:name="_Toc54109344"/>
      <w:bookmarkStart w:id="805" w:name="_Toc54125751"/>
      <w:bookmarkStart w:id="806" w:name="_Toc54133963"/>
      <w:r>
        <w:rPr>
          <w:rFonts w:hint="cs"/>
          <w:rtl/>
        </w:rPr>
        <w:t xml:space="preserve">דברי הגרש"ר </w:t>
      </w:r>
      <w:r w:rsidR="007E5CC6">
        <w:rPr>
          <w:rFonts w:hint="cs"/>
          <w:rtl/>
        </w:rPr>
        <w:t xml:space="preserve">דבפשטות </w:t>
      </w:r>
      <w:r>
        <w:rPr>
          <w:rFonts w:hint="cs"/>
          <w:rtl/>
        </w:rPr>
        <w:t>ל"מ תפיסה בקרקע דאינה תח"י ולא שייך לומר דאינו מוחזק בגזלנותא</w:t>
      </w:r>
      <w:bookmarkEnd w:id="804"/>
      <w:bookmarkEnd w:id="805"/>
      <w:bookmarkEnd w:id="806"/>
    </w:p>
    <w:p w:rsidR="00FF386B" w:rsidRDefault="00FF386B" w:rsidP="007E4E81">
      <w:pPr>
        <w:pStyle w:val="a0"/>
        <w:rPr>
          <w:rtl/>
        </w:rPr>
      </w:pPr>
      <w:bookmarkStart w:id="807" w:name="_Ref54108979"/>
      <w:r>
        <w:rPr>
          <w:rFonts w:hint="cs"/>
          <w:rtl/>
        </w:rPr>
        <w:t xml:space="preserve">כתב </w:t>
      </w:r>
      <w:r w:rsidRPr="00571999">
        <w:rPr>
          <w:rStyle w:val="af9"/>
          <w:rFonts w:hint="cs"/>
          <w:rtl/>
        </w:rPr>
        <w:t>בשיעורי רבי שמואל</w:t>
      </w:r>
      <w:r>
        <w:rPr>
          <w:rFonts w:hint="cs"/>
          <w:rtl/>
        </w:rPr>
        <w:t xml:space="preserve"> </w:t>
      </w:r>
      <w:r w:rsidRPr="00571999">
        <w:rPr>
          <w:rStyle w:val="af7"/>
          <w:rFonts w:eastAsia="Guttman Hodes" w:hint="cs"/>
          <w:rtl/>
        </w:rPr>
        <w:t>(או' א')</w:t>
      </w:r>
      <w:r>
        <w:rPr>
          <w:rFonts w:hint="cs"/>
          <w:rtl/>
        </w:rPr>
        <w:t xml:space="preserve"> דאעפ"י דבמטלטלין יש חזקה לאלתר, דאמרינן דחזקה מה שתח"י של אדם שלו הוא, כיון דלא מחזקינן ליה בגזלנותא, מ"מ בקרקע אין חזקה לאלתר, ובפשטות הביאור בזה הוא דהקרקע אינה תפוסה תחת ידי המחזיק, ולכן אין את הסברא דאחזוקי אינשי בגזלנותא לא מחזקינן.</w:t>
      </w:r>
      <w:bookmarkEnd w:id="807"/>
      <w:r w:rsidR="00774B60" w:rsidRPr="00774B60">
        <w:rPr>
          <w:rStyle w:val="afb"/>
          <w:rFonts w:hint="cs"/>
          <w:rtl/>
        </w:rPr>
        <w:t xml:space="preserve"> </w:t>
      </w:r>
      <w:r w:rsidR="00774B60" w:rsidRPr="00571999">
        <w:rPr>
          <w:rStyle w:val="afb"/>
          <w:rFonts w:hint="cs"/>
          <w:rtl/>
        </w:rPr>
        <w:t>[</w:t>
      </w:r>
      <w:r w:rsidR="00774B60">
        <w:rPr>
          <w:rStyle w:val="afb"/>
          <w:rFonts w:hint="cs"/>
          <w:rtl/>
        </w:rPr>
        <w:t>ו</w:t>
      </w:r>
      <w:r w:rsidR="00774B60" w:rsidRPr="00571999">
        <w:rPr>
          <w:rStyle w:val="afb"/>
          <w:rFonts w:hint="cs"/>
          <w:rtl/>
        </w:rPr>
        <w:t>עי'</w:t>
      </w:r>
      <w:r w:rsidR="00774B60">
        <w:rPr>
          <w:rStyle w:val="afb"/>
          <w:rFonts w:hint="cs"/>
          <w:rtl/>
        </w:rPr>
        <w:t xml:space="preserve"> במ"ש</w:t>
      </w:r>
      <w:r w:rsidR="00774B60" w:rsidRPr="00571999">
        <w:rPr>
          <w:rStyle w:val="afb"/>
          <w:rFonts w:hint="cs"/>
          <w:rtl/>
        </w:rPr>
        <w:t xml:space="preserve"> </w:t>
      </w:r>
      <w:r w:rsidR="00774B60" w:rsidRPr="00571999">
        <w:rPr>
          <w:rStyle w:val="affa"/>
          <w:rFonts w:hint="cs"/>
          <w:rtl/>
        </w:rPr>
        <w:t>ברבינו יונה</w:t>
      </w:r>
      <w:r w:rsidR="00774B60" w:rsidRPr="00571999">
        <w:rPr>
          <w:rStyle w:val="afb"/>
          <w:rFonts w:hint="cs"/>
          <w:rtl/>
        </w:rPr>
        <w:t xml:space="preserve"> </w:t>
      </w:r>
      <w:r w:rsidR="00774B60" w:rsidRPr="00774B60">
        <w:rPr>
          <w:rStyle w:val="aff6"/>
          <w:rFonts w:hint="cs"/>
          <w:rtl/>
        </w:rPr>
        <w:t xml:space="preserve">(עי' אות </w:t>
      </w:r>
      <w:r w:rsidR="00774B60" w:rsidRPr="00774B60">
        <w:rPr>
          <w:rStyle w:val="aff6"/>
          <w:rtl/>
        </w:rPr>
        <w:fldChar w:fldCharType="begin"/>
      </w:r>
      <w:r w:rsidR="00774B60" w:rsidRPr="00774B60">
        <w:rPr>
          <w:rStyle w:val="aff6"/>
          <w:rtl/>
        </w:rPr>
        <w:instrText xml:space="preserve"> </w:instrText>
      </w:r>
      <w:r w:rsidR="00774B60" w:rsidRPr="00774B60">
        <w:rPr>
          <w:rStyle w:val="aff6"/>
          <w:rFonts w:hint="cs"/>
        </w:rPr>
        <w:instrText>REF</w:instrText>
      </w:r>
      <w:r w:rsidR="00774B60" w:rsidRPr="00774B60">
        <w:rPr>
          <w:rStyle w:val="aff6"/>
          <w:rFonts w:hint="cs"/>
          <w:rtl/>
        </w:rPr>
        <w:instrText xml:space="preserve"> _</w:instrText>
      </w:r>
      <w:r w:rsidR="00774B60" w:rsidRPr="00774B60">
        <w:rPr>
          <w:rStyle w:val="aff6"/>
          <w:rFonts w:hint="cs"/>
        </w:rPr>
        <w:instrText>Ref54109027 \r \h</w:instrText>
      </w:r>
      <w:r w:rsidR="00774B60" w:rsidRPr="00774B60">
        <w:rPr>
          <w:rStyle w:val="aff6"/>
          <w:rtl/>
        </w:rPr>
        <w:instrText xml:space="preserve"> </w:instrText>
      </w:r>
      <w:r w:rsidR="00774B60" w:rsidRPr="00774B60">
        <w:rPr>
          <w:rStyle w:val="aff6"/>
          <w:rtl/>
        </w:rPr>
      </w:r>
      <w:r w:rsidR="00774B60" w:rsidRPr="00774B60">
        <w:rPr>
          <w:rStyle w:val="aff6"/>
          <w:rtl/>
        </w:rPr>
        <w:fldChar w:fldCharType="separate"/>
      </w:r>
      <w:r w:rsidR="00265073">
        <w:rPr>
          <w:rStyle w:val="aff6"/>
          <w:cs/>
        </w:rPr>
        <w:t>‎</w:t>
      </w:r>
      <w:r w:rsidR="00265073">
        <w:rPr>
          <w:rStyle w:val="aff6"/>
          <w:rtl/>
        </w:rPr>
        <w:t>יז)</w:t>
      </w:r>
      <w:r w:rsidR="00774B60" w:rsidRPr="00774B60">
        <w:rPr>
          <w:rStyle w:val="aff6"/>
          <w:rtl/>
        </w:rPr>
        <w:fldChar w:fldCharType="end"/>
      </w:r>
      <w:r w:rsidR="00774B60" w:rsidRPr="00571999">
        <w:rPr>
          <w:rStyle w:val="afb"/>
          <w:rFonts w:hint="cs"/>
          <w:rtl/>
        </w:rPr>
        <w:t>]</w:t>
      </w:r>
      <w:r w:rsidR="00774B60">
        <w:rPr>
          <w:rStyle w:val="afb"/>
          <w:rFonts w:hint="cs"/>
          <w:rtl/>
        </w:rPr>
        <w:t>.</w:t>
      </w:r>
    </w:p>
    <w:p w:rsidR="004431F2" w:rsidRPr="004431F2" w:rsidRDefault="004431F2" w:rsidP="00415BD7">
      <w:pPr>
        <w:pStyle w:val="1"/>
        <w:rPr>
          <w:rtl/>
        </w:rPr>
      </w:pPr>
      <w:bookmarkStart w:id="808" w:name="_Toc54125752"/>
      <w:bookmarkStart w:id="809" w:name="_Toc54133964"/>
      <w:r>
        <w:rPr>
          <w:rFonts w:hint="cs"/>
          <w:rtl/>
        </w:rPr>
        <w:t>ביאור הגרש"ר דתפיסה עושה ספק ו</w:t>
      </w:r>
      <w:r w:rsidR="00415BD7">
        <w:rPr>
          <w:rFonts w:hint="cs"/>
          <w:rtl/>
        </w:rPr>
        <w:t>ה</w:t>
      </w:r>
      <w:r>
        <w:rPr>
          <w:rFonts w:hint="cs"/>
          <w:rtl/>
        </w:rPr>
        <w:t xml:space="preserve">קרקע בחזקת </w:t>
      </w:r>
      <w:r w:rsidR="00415BD7">
        <w:rPr>
          <w:rFonts w:hint="cs"/>
          <w:rtl/>
        </w:rPr>
        <w:t>ה</w:t>
      </w:r>
      <w:r>
        <w:rPr>
          <w:rFonts w:hint="cs"/>
          <w:rtl/>
        </w:rPr>
        <w:t>מר"ק</w:t>
      </w:r>
      <w:bookmarkEnd w:id="808"/>
      <w:bookmarkEnd w:id="809"/>
    </w:p>
    <w:p w:rsidR="00FF386B" w:rsidRDefault="002A7979" w:rsidP="002A7979">
      <w:pPr>
        <w:pStyle w:val="a3"/>
        <w:rPr>
          <w:rtl/>
        </w:rPr>
      </w:pPr>
      <w:bookmarkStart w:id="810" w:name="_Toc54109345"/>
      <w:bookmarkStart w:id="811" w:name="_Toc54125753"/>
      <w:bookmarkStart w:id="812" w:name="_Toc54133965"/>
      <w:r>
        <w:rPr>
          <w:rFonts w:hint="cs"/>
          <w:rtl/>
        </w:rPr>
        <w:t>דברי</w:t>
      </w:r>
      <w:r w:rsidR="007E5CC6">
        <w:rPr>
          <w:rFonts w:hint="cs"/>
          <w:rtl/>
        </w:rPr>
        <w:t xml:space="preserve"> הגרש"ר </w:t>
      </w:r>
      <w:r>
        <w:rPr>
          <w:rFonts w:hint="cs"/>
          <w:rtl/>
        </w:rPr>
        <w:t>דאף בקרקע שייך לומר דאינו מוחזק בגזלנותא במה שהוא יושב בקרקע</w:t>
      </w:r>
      <w:bookmarkEnd w:id="810"/>
      <w:bookmarkEnd w:id="811"/>
      <w:bookmarkEnd w:id="812"/>
    </w:p>
    <w:p w:rsidR="002A7979" w:rsidRDefault="00FF386B" w:rsidP="007E4E81">
      <w:pPr>
        <w:pStyle w:val="a0"/>
        <w:rPr>
          <w:rtl/>
        </w:rPr>
      </w:pPr>
      <w:r>
        <w:rPr>
          <w:rFonts w:hint="cs"/>
          <w:rtl/>
        </w:rPr>
        <w:t xml:space="preserve">אך כתב </w:t>
      </w:r>
      <w:r w:rsidRPr="00571999">
        <w:rPr>
          <w:rStyle w:val="af9"/>
          <w:rFonts w:hint="cs"/>
          <w:rtl/>
        </w:rPr>
        <w:t>בשיעורי רבי שמואל</w:t>
      </w:r>
      <w:r>
        <w:rPr>
          <w:rFonts w:hint="cs"/>
          <w:rtl/>
        </w:rPr>
        <w:t xml:space="preserve"> דעוד אפשר לבאר דאף בקרקע שייכת הסברא דאחזוקי אינשי בגזלנותא לא מחזקינן, דבין אם הוא מחזיק את המטלטלין בידו, ובין אם הוא מחזיק בקרקע, לא מחזקינן ליה בגזלנותא</w:t>
      </w:r>
      <w:r w:rsidR="002A7979">
        <w:rPr>
          <w:rFonts w:hint="cs"/>
          <w:rtl/>
        </w:rPr>
        <w:t>.</w:t>
      </w:r>
    </w:p>
    <w:p w:rsidR="002A7979" w:rsidRPr="002A7979" w:rsidRDefault="002A7979" w:rsidP="00BA75AA">
      <w:pPr>
        <w:pStyle w:val="a3"/>
      </w:pPr>
      <w:bookmarkStart w:id="813" w:name="_Toc54109346"/>
      <w:bookmarkStart w:id="814" w:name="_Toc54125754"/>
      <w:bookmarkStart w:id="815" w:name="_Toc54133966"/>
      <w:r>
        <w:rPr>
          <w:rFonts w:hint="cs"/>
          <w:rtl/>
        </w:rPr>
        <w:t xml:space="preserve">ביאור הגרש"ר דבמטלטלין </w:t>
      </w:r>
      <w:r w:rsidR="00BA75AA">
        <w:rPr>
          <w:rFonts w:hint="cs"/>
          <w:rtl/>
        </w:rPr>
        <w:t>כש</w:t>
      </w:r>
      <w:r>
        <w:rPr>
          <w:rFonts w:hint="cs"/>
          <w:rtl/>
        </w:rPr>
        <w:t>הם תח"י הוא דררא דהם שלו ומעמידים ביד המוחזק כדין המע"ה</w:t>
      </w:r>
      <w:bookmarkEnd w:id="813"/>
      <w:bookmarkEnd w:id="814"/>
      <w:bookmarkEnd w:id="815"/>
    </w:p>
    <w:p w:rsidR="00BA75AA" w:rsidRDefault="002A7979" w:rsidP="007E4E81">
      <w:pPr>
        <w:pStyle w:val="a0"/>
        <w:rPr>
          <w:rtl/>
        </w:rPr>
      </w:pPr>
      <w:r>
        <w:rPr>
          <w:rFonts w:hint="cs"/>
          <w:rtl/>
        </w:rPr>
        <w:t>א</w:t>
      </w:r>
      <w:r w:rsidR="00FF386B">
        <w:rPr>
          <w:rFonts w:hint="cs"/>
          <w:rtl/>
        </w:rPr>
        <w:t xml:space="preserve">לא </w:t>
      </w:r>
      <w:r>
        <w:rPr>
          <w:rFonts w:hint="cs"/>
          <w:rtl/>
        </w:rPr>
        <w:t xml:space="preserve">כתב </w:t>
      </w:r>
      <w:r w:rsidRPr="00571999">
        <w:rPr>
          <w:rStyle w:val="af9"/>
          <w:rFonts w:hint="cs"/>
          <w:rtl/>
        </w:rPr>
        <w:t>בשיעורי רבי שמואל</w:t>
      </w:r>
      <w:r>
        <w:rPr>
          <w:rFonts w:hint="cs"/>
          <w:rtl/>
        </w:rPr>
        <w:t xml:space="preserve"> </w:t>
      </w:r>
      <w:r w:rsidR="00FF386B">
        <w:rPr>
          <w:rFonts w:hint="cs"/>
          <w:rtl/>
        </w:rPr>
        <w:t xml:space="preserve">דהביאור הוא כדכתב </w:t>
      </w:r>
      <w:r w:rsidR="00FF386B" w:rsidRPr="003F2A29">
        <w:rPr>
          <w:rStyle w:val="af9"/>
          <w:rFonts w:hint="cs"/>
          <w:rtl/>
        </w:rPr>
        <w:t>הגרנ"ט</w:t>
      </w:r>
      <w:r w:rsidR="00FF386B">
        <w:rPr>
          <w:rFonts w:hint="cs"/>
          <w:rtl/>
        </w:rPr>
        <w:t xml:space="preserve"> </w:t>
      </w:r>
      <w:r w:rsidR="00FF386B" w:rsidRPr="003F2A29">
        <w:rPr>
          <w:rStyle w:val="af7"/>
          <w:rFonts w:eastAsia="Guttman Hodes" w:hint="cs"/>
          <w:rtl/>
        </w:rPr>
        <w:t>(סי' קס"ו ד"ה ונראה)</w:t>
      </w:r>
      <w:r w:rsidR="00FF386B">
        <w:rPr>
          <w:rFonts w:hint="cs"/>
          <w:rtl/>
        </w:rPr>
        <w:t xml:space="preserve"> דאף במטלטלין לא מהני החזקה רק מחמת הסברא דלא מחזקינן ליה בגזלנותא, דאי"ז סברא ודאית דהמטלטלין שלו, אלא דע"י הסברא יש ספק ודררא דממונא דהמטלטלין שלו, וכיון שיש ספק והוא מוחזק במטלטלין מעמידים ביד המוחזק, ככל דין המע"ה</w:t>
      </w:r>
      <w:r w:rsidR="00BA75AA">
        <w:rPr>
          <w:rFonts w:hint="cs"/>
          <w:rtl/>
        </w:rPr>
        <w:t>.</w:t>
      </w:r>
    </w:p>
    <w:p w:rsidR="00BA75AA" w:rsidRPr="00BA75AA" w:rsidRDefault="00BA75AA" w:rsidP="00BA75AA">
      <w:pPr>
        <w:pStyle w:val="a3"/>
      </w:pPr>
      <w:bookmarkStart w:id="816" w:name="_Toc54109347"/>
      <w:bookmarkStart w:id="817" w:name="_Toc54125755"/>
      <w:bookmarkStart w:id="818" w:name="_Toc54133967"/>
      <w:r>
        <w:rPr>
          <w:rFonts w:hint="cs"/>
          <w:rtl/>
        </w:rPr>
        <w:t>דברי הגרש"ר דבקרקע אף דאינו מוחזק בגזלנותא ויש דררא מ"מ מעמידים בחזקת מר"ק</w:t>
      </w:r>
      <w:bookmarkEnd w:id="816"/>
      <w:bookmarkEnd w:id="817"/>
      <w:bookmarkEnd w:id="818"/>
    </w:p>
    <w:p w:rsidR="00FF386B" w:rsidRPr="00695E9A" w:rsidRDefault="00BA75AA" w:rsidP="007E4E81">
      <w:pPr>
        <w:pStyle w:val="a0"/>
        <w:rPr>
          <w:rtl/>
        </w:rPr>
      </w:pPr>
      <w:r>
        <w:rPr>
          <w:rFonts w:hint="cs"/>
          <w:rtl/>
        </w:rPr>
        <w:t xml:space="preserve">וכתב </w:t>
      </w:r>
      <w:r w:rsidRPr="00571999">
        <w:rPr>
          <w:rStyle w:val="af9"/>
          <w:rFonts w:hint="cs"/>
          <w:rtl/>
        </w:rPr>
        <w:t>בשיעורי רבי שמואל</w:t>
      </w:r>
      <w:r>
        <w:rPr>
          <w:rFonts w:hint="cs"/>
          <w:rtl/>
        </w:rPr>
        <w:t xml:space="preserve"> ד</w:t>
      </w:r>
      <w:r w:rsidR="00FF386B">
        <w:rPr>
          <w:rFonts w:hint="cs"/>
          <w:rtl/>
        </w:rPr>
        <w:t>א"כ בקרקע אף שמחמת הסברא דלא מחזקינן ליה בגזלנותא יש ספק שמא היא שלו, מ"מ מוקמינן בחזקת המרא קמא, כיון שאין בקרקע דין המע"ה.</w:t>
      </w:r>
    </w:p>
    <w:p w:rsidR="00F15E1B" w:rsidRDefault="00F15E1B" w:rsidP="00F15E1B">
      <w:pPr>
        <w:pStyle w:val="afe"/>
        <w:rPr>
          <w:rtl/>
        </w:rPr>
      </w:pPr>
      <w:bookmarkStart w:id="819" w:name="_Toc54109348"/>
      <w:bookmarkStart w:id="820" w:name="_Toc54125756"/>
      <w:bookmarkStart w:id="821" w:name="_Toc54133968"/>
      <w:bookmarkStart w:id="822" w:name="_Toc53402202"/>
      <w:bookmarkStart w:id="823" w:name="_Toc53941233"/>
      <w:bookmarkStart w:id="824" w:name="_Toc54000519"/>
      <w:bookmarkStart w:id="825" w:name="_Toc54038994"/>
      <w:bookmarkStart w:id="826" w:name="_Toc54039088"/>
      <w:bookmarkStart w:id="827" w:name="_Toc54087539"/>
      <w:r>
        <w:rPr>
          <w:rFonts w:hint="cs"/>
          <w:rtl/>
        </w:rPr>
        <w:lastRenderedPageBreak/>
        <w:t>בגדר מוחזקות המחזיק בחזקת ג"ש</w:t>
      </w:r>
      <w:bookmarkEnd w:id="819"/>
      <w:bookmarkEnd w:id="820"/>
      <w:bookmarkEnd w:id="821"/>
    </w:p>
    <w:p w:rsidR="00240071" w:rsidRPr="006524CE" w:rsidRDefault="00240071" w:rsidP="00240071">
      <w:pPr>
        <w:pStyle w:val="1"/>
        <w:rPr>
          <w:rtl/>
        </w:rPr>
      </w:pPr>
      <w:bookmarkStart w:id="828" w:name="_Toc54109349"/>
      <w:bookmarkStart w:id="829" w:name="_Toc54125757"/>
      <w:bookmarkStart w:id="830" w:name="_Toc54133969"/>
      <w:r w:rsidRPr="00240071">
        <w:rPr>
          <w:rFonts w:hint="cs"/>
          <w:rtl/>
        </w:rPr>
        <w:t>ביאור הגרנ"פ ברמב"ם וברשב"א ובמאירי דהמחזיק כמוחזק</w:t>
      </w:r>
      <w:bookmarkEnd w:id="822"/>
      <w:bookmarkEnd w:id="823"/>
      <w:bookmarkEnd w:id="824"/>
      <w:bookmarkEnd w:id="825"/>
      <w:bookmarkEnd w:id="826"/>
      <w:bookmarkEnd w:id="827"/>
      <w:bookmarkEnd w:id="828"/>
      <w:bookmarkEnd w:id="829"/>
      <w:bookmarkEnd w:id="830"/>
    </w:p>
    <w:p w:rsidR="00FF386B" w:rsidRDefault="009B10A5" w:rsidP="009B10A5">
      <w:pPr>
        <w:pStyle w:val="a3"/>
        <w:rPr>
          <w:rtl/>
        </w:rPr>
      </w:pPr>
      <w:bookmarkStart w:id="831" w:name="_Toc54125758"/>
      <w:bookmarkStart w:id="832" w:name="_Toc54133970"/>
      <w:r>
        <w:rPr>
          <w:rFonts w:hint="cs"/>
          <w:rtl/>
        </w:rPr>
        <w:t>דברי הגרנ"פ דלמאירי א"א לומר דמדלא מיחה אנן סהדי דקנה ממנו דא"כ אף בלא יושב מהני</w:t>
      </w:r>
      <w:bookmarkEnd w:id="831"/>
      <w:bookmarkEnd w:id="832"/>
    </w:p>
    <w:p w:rsidR="009B10A5" w:rsidRDefault="00FF386B" w:rsidP="007E4E81">
      <w:pPr>
        <w:pStyle w:val="a0"/>
        <w:rPr>
          <w:rtl/>
        </w:rPr>
      </w:pPr>
      <w:bookmarkStart w:id="833" w:name="_Ref54036588"/>
      <w:r>
        <w:rPr>
          <w:rFonts w:hint="cs"/>
          <w:rtl/>
        </w:rPr>
        <w:t xml:space="preserve">במ"ש </w:t>
      </w:r>
      <w:r w:rsidRPr="003F2A29">
        <w:rPr>
          <w:rStyle w:val="af9"/>
          <w:rFonts w:hint="cs"/>
          <w:rtl/>
        </w:rPr>
        <w:t>המאירי בב"ק והי"מ בריטב"א</w:t>
      </w:r>
      <w:r>
        <w:rPr>
          <w:rFonts w:hint="cs"/>
          <w:rtl/>
        </w:rPr>
        <w:t xml:space="preserve"> </w:t>
      </w:r>
      <w:r w:rsidRPr="003F2A29">
        <w:rPr>
          <w:rStyle w:val="af7"/>
          <w:rFonts w:eastAsia="Guttman Hodes" w:hint="cs"/>
          <w:rtl/>
        </w:rPr>
        <w:t xml:space="preserve">(עי' אות </w:t>
      </w:r>
      <w:r w:rsidRPr="003F2A29">
        <w:rPr>
          <w:rStyle w:val="af7"/>
          <w:rFonts w:eastAsia="Guttman Hodes"/>
          <w:rtl/>
        </w:rPr>
        <w:fldChar w:fldCharType="begin"/>
      </w:r>
      <w:r w:rsidRPr="003F2A29">
        <w:rPr>
          <w:rStyle w:val="af7"/>
          <w:rFonts w:eastAsia="Guttman Hodes"/>
          <w:rtl/>
        </w:rPr>
        <w:instrText xml:space="preserve"> </w:instrText>
      </w:r>
      <w:r w:rsidRPr="003F2A29">
        <w:rPr>
          <w:rStyle w:val="af7"/>
          <w:rFonts w:eastAsia="Guttman Hodes" w:hint="cs"/>
        </w:rPr>
        <w:instrText>REF</w:instrText>
      </w:r>
      <w:r w:rsidRPr="003F2A29">
        <w:rPr>
          <w:rStyle w:val="af7"/>
          <w:rFonts w:eastAsia="Guttman Hodes" w:hint="cs"/>
          <w:rtl/>
        </w:rPr>
        <w:instrText xml:space="preserve"> _</w:instrText>
      </w:r>
      <w:r w:rsidRPr="003F2A29">
        <w:rPr>
          <w:rStyle w:val="af7"/>
          <w:rFonts w:eastAsia="Guttman Hodes" w:hint="cs"/>
        </w:rPr>
        <w:instrText>Ref52965069 \r \h</w:instrText>
      </w:r>
      <w:r w:rsidRPr="003F2A29">
        <w:rPr>
          <w:rStyle w:val="af7"/>
          <w:rFonts w:eastAsia="Guttman Hodes"/>
          <w:rtl/>
        </w:rPr>
        <w:instrText xml:space="preserve"> </w:instrText>
      </w:r>
      <w:r w:rsidRPr="003F2A29">
        <w:rPr>
          <w:rStyle w:val="af7"/>
          <w:rFonts w:eastAsia="Guttman Hodes"/>
          <w:rtl/>
        </w:rPr>
      </w:r>
      <w:r w:rsidRPr="003F2A29">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3F2A29">
        <w:rPr>
          <w:rStyle w:val="af7"/>
          <w:rFonts w:eastAsia="Guttman Hodes"/>
          <w:rtl/>
        </w:rPr>
        <w:fldChar w:fldCharType="end"/>
      </w:r>
      <w:r>
        <w:rPr>
          <w:rFonts w:hint="cs"/>
          <w:rtl/>
        </w:rPr>
        <w:t xml:space="preserve"> דחזקת ג"ש מהני רק כשעכשיו המחזיק יושב בקרקע, כתב </w:t>
      </w:r>
      <w:r w:rsidRPr="003F2A29">
        <w:rPr>
          <w:rStyle w:val="af9"/>
          <w:rFonts w:hint="cs"/>
          <w:rtl/>
        </w:rPr>
        <w:t>בחי' רבי נחום</w:t>
      </w:r>
      <w:r>
        <w:rPr>
          <w:rFonts w:hint="cs"/>
          <w:rtl/>
        </w:rPr>
        <w:t xml:space="preserve"> </w:t>
      </w:r>
      <w:r w:rsidRPr="003F2A29">
        <w:rPr>
          <w:rStyle w:val="af7"/>
          <w:rFonts w:eastAsia="Guttman Hodes" w:hint="cs"/>
          <w:rtl/>
        </w:rPr>
        <w:t>(או' א' ד"ה אמנם)</w:t>
      </w:r>
      <w:r>
        <w:rPr>
          <w:rFonts w:hint="cs"/>
          <w:rtl/>
        </w:rPr>
        <w:t xml:space="preserve"> דא"א לומר דס"ל דחזקת ג"ש היא מחמת שיש </w:t>
      </w:r>
      <w:r w:rsidRPr="00187964">
        <w:rPr>
          <w:rFonts w:hint="cs"/>
          <w:rtl/>
        </w:rPr>
        <w:t xml:space="preserve">אנן סהדי מדלא מיחה בו, </w:t>
      </w:r>
      <w:r w:rsidRPr="00187964">
        <w:rPr>
          <w:rStyle w:val="afb"/>
          <w:rFonts w:hint="cs"/>
          <w:rtl/>
        </w:rPr>
        <w:t xml:space="preserve">[כדביאר </w:t>
      </w:r>
      <w:r w:rsidRPr="00187964">
        <w:rPr>
          <w:rStyle w:val="affa"/>
          <w:rFonts w:hint="cs"/>
          <w:rtl/>
        </w:rPr>
        <w:t>בחי' רבי נחום</w:t>
      </w:r>
      <w:r w:rsidR="00686040" w:rsidRPr="00686040">
        <w:rPr>
          <w:rStyle w:val="affa"/>
          <w:rFonts w:hint="cs"/>
          <w:rtl/>
        </w:rPr>
        <w:t xml:space="preserve"> </w:t>
      </w:r>
      <w:r w:rsidR="00686040" w:rsidRPr="00EF4D2D">
        <w:rPr>
          <w:rStyle w:val="aff6"/>
          <w:rFonts w:hint="cs"/>
          <w:rtl/>
        </w:rPr>
        <w:t>(או' א' ד"ה בגדר</w:t>
      </w:r>
      <w:r w:rsidR="00686040">
        <w:rPr>
          <w:rStyle w:val="aff6"/>
          <w:rFonts w:hint="cs"/>
          <w:rtl/>
        </w:rPr>
        <w:t>, הובא בסימן ו' אות ק"י)</w:t>
      </w:r>
      <w:r w:rsidRPr="00187964">
        <w:rPr>
          <w:rStyle w:val="afb"/>
          <w:rFonts w:hint="cs"/>
          <w:rtl/>
        </w:rPr>
        <w:t xml:space="preserve"> בדעת </w:t>
      </w:r>
      <w:r w:rsidRPr="00187964">
        <w:rPr>
          <w:rStyle w:val="affa"/>
          <w:rFonts w:hint="cs"/>
          <w:rtl/>
        </w:rPr>
        <w:t>התוס'</w:t>
      </w:r>
      <w:r w:rsidR="00187964" w:rsidRPr="00187964">
        <w:rPr>
          <w:rStyle w:val="affa"/>
          <w:rFonts w:hint="cs"/>
          <w:rtl/>
        </w:rPr>
        <w:t xml:space="preserve"> בב"מ</w:t>
      </w:r>
      <w:r w:rsidRPr="00187964">
        <w:rPr>
          <w:rStyle w:val="affa"/>
          <w:rFonts w:hint="cs"/>
          <w:rtl/>
        </w:rPr>
        <w:t xml:space="preserve"> </w:t>
      </w:r>
      <w:r w:rsidRPr="00187964">
        <w:rPr>
          <w:rStyle w:val="aff6"/>
          <w:rFonts w:hint="cs"/>
          <w:rtl/>
        </w:rPr>
        <w:t xml:space="preserve">(עי' אות </w:t>
      </w:r>
      <w:r w:rsidR="00187964" w:rsidRPr="00187964">
        <w:rPr>
          <w:rStyle w:val="aff6"/>
          <w:rtl/>
        </w:rPr>
        <w:fldChar w:fldCharType="begin"/>
      </w:r>
      <w:r w:rsidR="00187964" w:rsidRPr="00187964">
        <w:rPr>
          <w:rStyle w:val="aff6"/>
          <w:rtl/>
        </w:rPr>
        <w:instrText xml:space="preserve"> </w:instrText>
      </w:r>
      <w:r w:rsidR="00187964" w:rsidRPr="00187964">
        <w:rPr>
          <w:rStyle w:val="aff6"/>
          <w:rFonts w:hint="cs"/>
        </w:rPr>
        <w:instrText>REF</w:instrText>
      </w:r>
      <w:r w:rsidR="00187964" w:rsidRPr="00187964">
        <w:rPr>
          <w:rStyle w:val="aff6"/>
          <w:rFonts w:hint="cs"/>
          <w:rtl/>
        </w:rPr>
        <w:instrText xml:space="preserve"> _</w:instrText>
      </w:r>
      <w:r w:rsidR="00187964" w:rsidRPr="00187964">
        <w:rPr>
          <w:rStyle w:val="aff6"/>
          <w:rFonts w:hint="cs"/>
        </w:rPr>
        <w:instrText>Ref54111760 \r \h</w:instrText>
      </w:r>
      <w:r w:rsidR="00187964" w:rsidRPr="00187964">
        <w:rPr>
          <w:rStyle w:val="aff6"/>
          <w:rtl/>
        </w:rPr>
        <w:instrText xml:space="preserve"> </w:instrText>
      </w:r>
      <w:r w:rsidR="00187964">
        <w:rPr>
          <w:rStyle w:val="aff6"/>
          <w:rtl/>
        </w:rPr>
        <w:instrText xml:space="preserve"> \* </w:instrText>
      </w:r>
      <w:r w:rsidR="00187964">
        <w:rPr>
          <w:rStyle w:val="aff6"/>
        </w:rPr>
        <w:instrText>MERGEFORMAT</w:instrText>
      </w:r>
      <w:r w:rsidR="00187964">
        <w:rPr>
          <w:rStyle w:val="aff6"/>
          <w:rtl/>
        </w:rPr>
        <w:instrText xml:space="preserve"> </w:instrText>
      </w:r>
      <w:r w:rsidR="00187964" w:rsidRPr="00187964">
        <w:rPr>
          <w:rStyle w:val="aff6"/>
          <w:rtl/>
        </w:rPr>
      </w:r>
      <w:r w:rsidR="00187964" w:rsidRPr="00187964">
        <w:rPr>
          <w:rStyle w:val="aff6"/>
          <w:rtl/>
        </w:rPr>
        <w:fldChar w:fldCharType="separate"/>
      </w:r>
      <w:r w:rsidR="00265073">
        <w:rPr>
          <w:rStyle w:val="aff6"/>
          <w:cs/>
        </w:rPr>
        <w:t>‎</w:t>
      </w:r>
      <w:r w:rsidR="00265073">
        <w:rPr>
          <w:rStyle w:val="aff6"/>
          <w:rtl/>
        </w:rPr>
        <w:t>לב)</w:t>
      </w:r>
      <w:r w:rsidR="00187964" w:rsidRPr="00187964">
        <w:rPr>
          <w:rStyle w:val="aff6"/>
          <w:rtl/>
        </w:rPr>
        <w:fldChar w:fldCharType="end"/>
      </w:r>
      <w:r w:rsidRPr="003F2A29">
        <w:rPr>
          <w:rStyle w:val="afb"/>
          <w:rFonts w:hint="cs"/>
          <w:rtl/>
        </w:rPr>
        <w:t>],</w:t>
      </w:r>
      <w:r>
        <w:rPr>
          <w:rFonts w:hint="cs"/>
          <w:rtl/>
        </w:rPr>
        <w:t xml:space="preserve"> דא"כ אין כל נ"מ אי המחזיק יושב עכשיו בקרקע</w:t>
      </w:r>
      <w:r w:rsidR="009B10A5">
        <w:rPr>
          <w:rFonts w:hint="cs"/>
          <w:rtl/>
        </w:rPr>
        <w:t>.</w:t>
      </w:r>
    </w:p>
    <w:p w:rsidR="009B10A5" w:rsidRPr="009B10A5" w:rsidRDefault="009B10A5" w:rsidP="009B10A5">
      <w:pPr>
        <w:pStyle w:val="a3"/>
      </w:pPr>
      <w:bookmarkStart w:id="834" w:name="_Toc54125759"/>
      <w:bookmarkStart w:id="835" w:name="_Toc54133971"/>
      <w:r>
        <w:rPr>
          <w:rFonts w:hint="cs"/>
          <w:rtl/>
        </w:rPr>
        <w:t xml:space="preserve">ביאור הגרנ"פ במאירי </w:t>
      </w:r>
      <w:r w:rsidR="00F563BD">
        <w:rPr>
          <w:rFonts w:hint="cs"/>
          <w:rtl/>
        </w:rPr>
        <w:t>דבראיה דאנן סהדי א"א להוציא ממוחזק ורק כשיושב ונעשה מוחזק מהני</w:t>
      </w:r>
      <w:bookmarkEnd w:id="834"/>
      <w:bookmarkEnd w:id="835"/>
    </w:p>
    <w:p w:rsidR="00FF386B" w:rsidRDefault="00FF386B" w:rsidP="007E4E81">
      <w:pPr>
        <w:pStyle w:val="a0"/>
        <w:rPr>
          <w:rtl/>
        </w:rPr>
      </w:pPr>
      <w:r>
        <w:rPr>
          <w:rFonts w:hint="cs"/>
          <w:rtl/>
        </w:rPr>
        <w:t xml:space="preserve">אלא כתב </w:t>
      </w:r>
      <w:r w:rsidRPr="00571999">
        <w:rPr>
          <w:rStyle w:val="af9"/>
          <w:rFonts w:hint="cs"/>
          <w:rtl/>
        </w:rPr>
        <w:t>בחי' רבי נחום</w:t>
      </w:r>
      <w:r>
        <w:rPr>
          <w:rFonts w:hint="cs"/>
          <w:rtl/>
        </w:rPr>
        <w:t xml:space="preserve"> דלדעת </w:t>
      </w:r>
      <w:r w:rsidRPr="00571999">
        <w:rPr>
          <w:rStyle w:val="af9"/>
          <w:rFonts w:hint="cs"/>
          <w:rtl/>
        </w:rPr>
        <w:t>המאירי והי"מ בריטב"א</w:t>
      </w:r>
      <w:r>
        <w:rPr>
          <w:rFonts w:hint="cs"/>
          <w:rtl/>
        </w:rPr>
        <w:t xml:space="preserve"> א"א להוציא מחזקת המרא קמא ע"י האנן סהדי, אלא דע"י דלא מיחה בו כשהחזיק, יצאה הקרקע מחזקת המרא קמא, וכיון שיושב בה עכשיו כדרך הבעלים, הוא חשיב כמוחזק, ולכן מהני החזקה רק כשיושב עכשיו בקרקע.</w:t>
      </w:r>
      <w:bookmarkEnd w:id="833"/>
    </w:p>
    <w:p w:rsidR="00FF386B" w:rsidRDefault="00F563BD" w:rsidP="00FF386B">
      <w:pPr>
        <w:pStyle w:val="a3"/>
        <w:rPr>
          <w:rtl/>
        </w:rPr>
      </w:pPr>
      <w:bookmarkStart w:id="836" w:name="_Toc54125760"/>
      <w:bookmarkStart w:id="837" w:name="_Toc54133972"/>
      <w:r>
        <w:rPr>
          <w:rFonts w:hint="cs"/>
          <w:rtl/>
        </w:rPr>
        <w:t>ביאור הגרנ"פ בריטב"א דבחזקת ג"ש נעשה מוחזק כמר"ק ומהני אף כשאינו יושב בקרקע</w:t>
      </w:r>
      <w:bookmarkEnd w:id="836"/>
      <w:bookmarkEnd w:id="837"/>
    </w:p>
    <w:p w:rsidR="00FF386B" w:rsidRPr="00F9254E" w:rsidRDefault="00FF386B" w:rsidP="007E4E81">
      <w:pPr>
        <w:pStyle w:val="a0"/>
        <w:rPr>
          <w:rStyle w:val="afb"/>
          <w:rtl/>
        </w:rPr>
      </w:pPr>
      <w:bookmarkStart w:id="838" w:name="_Ref54036625"/>
      <w:r>
        <w:rPr>
          <w:rFonts w:hint="cs"/>
          <w:rtl/>
        </w:rPr>
        <w:t xml:space="preserve">ובדעת </w:t>
      </w:r>
      <w:r w:rsidRPr="00571999">
        <w:rPr>
          <w:rStyle w:val="af9"/>
          <w:rFonts w:hint="cs"/>
          <w:rtl/>
        </w:rPr>
        <w:t>הריטב"א</w:t>
      </w:r>
      <w:r>
        <w:rPr>
          <w:rFonts w:hint="cs"/>
          <w:rtl/>
        </w:rPr>
        <w:t xml:space="preserve"> </w:t>
      </w:r>
      <w:r w:rsidRPr="00F15E1B">
        <w:rPr>
          <w:rStyle w:val="af7"/>
          <w:rFonts w:eastAsia="Guttman Hodes" w:hint="cs"/>
          <w:rtl/>
        </w:rPr>
        <w:t xml:space="preserve">(עי' אות </w:t>
      </w:r>
      <w:r w:rsidR="00F15E1B" w:rsidRPr="00F15E1B">
        <w:rPr>
          <w:rStyle w:val="af7"/>
          <w:rFonts w:eastAsia="Guttman Hodes"/>
          <w:rtl/>
        </w:rPr>
        <w:fldChar w:fldCharType="begin"/>
      </w:r>
      <w:r w:rsidR="00F15E1B" w:rsidRPr="00F15E1B">
        <w:rPr>
          <w:rStyle w:val="af7"/>
          <w:rFonts w:eastAsia="Guttman Hodes"/>
          <w:rtl/>
        </w:rPr>
        <w:instrText xml:space="preserve"> </w:instrText>
      </w:r>
      <w:r w:rsidR="00F15E1B" w:rsidRPr="00F15E1B">
        <w:rPr>
          <w:rStyle w:val="af7"/>
          <w:rFonts w:eastAsia="Guttman Hodes" w:hint="cs"/>
        </w:rPr>
        <w:instrText>REF</w:instrText>
      </w:r>
      <w:r w:rsidR="00F15E1B" w:rsidRPr="00F15E1B">
        <w:rPr>
          <w:rStyle w:val="af7"/>
          <w:rFonts w:eastAsia="Guttman Hodes" w:hint="cs"/>
          <w:rtl/>
        </w:rPr>
        <w:instrText xml:space="preserve"> _</w:instrText>
      </w:r>
      <w:r w:rsidR="00F15E1B" w:rsidRPr="00F15E1B">
        <w:rPr>
          <w:rStyle w:val="af7"/>
          <w:rFonts w:eastAsia="Guttman Hodes" w:hint="cs"/>
        </w:rPr>
        <w:instrText>Ref54090843 \r \h</w:instrText>
      </w:r>
      <w:r w:rsidR="00F15E1B" w:rsidRPr="00F15E1B">
        <w:rPr>
          <w:rStyle w:val="af7"/>
          <w:rFonts w:eastAsia="Guttman Hodes"/>
          <w:rtl/>
        </w:rPr>
        <w:instrText xml:space="preserve"> </w:instrText>
      </w:r>
      <w:r w:rsidR="00F15E1B" w:rsidRPr="00F15E1B">
        <w:rPr>
          <w:rStyle w:val="af7"/>
          <w:rFonts w:eastAsia="Guttman Hodes"/>
          <w:rtl/>
        </w:rPr>
      </w:r>
      <w:r w:rsidR="00F15E1B" w:rsidRPr="00F15E1B">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00F15E1B" w:rsidRPr="00F15E1B">
        <w:rPr>
          <w:rStyle w:val="af7"/>
          <w:rFonts w:eastAsia="Guttman Hodes"/>
          <w:rtl/>
        </w:rPr>
        <w:fldChar w:fldCharType="end"/>
      </w:r>
      <w:r>
        <w:rPr>
          <w:rFonts w:hint="cs"/>
          <w:rtl/>
        </w:rPr>
        <w:t xml:space="preserve"> דפליג על </w:t>
      </w:r>
      <w:r w:rsidRPr="00571999">
        <w:rPr>
          <w:rStyle w:val="af9"/>
          <w:rFonts w:hint="cs"/>
          <w:rtl/>
        </w:rPr>
        <w:t>הי"מ</w:t>
      </w:r>
      <w:r>
        <w:rPr>
          <w:rFonts w:hint="cs"/>
          <w:rtl/>
        </w:rPr>
        <w:t xml:space="preserve"> וס"ל דאף כשאינו יושב בקרקע מהני החזקה, ביאר </w:t>
      </w:r>
      <w:r w:rsidRPr="00571999">
        <w:rPr>
          <w:rStyle w:val="af9"/>
          <w:rFonts w:hint="cs"/>
          <w:rtl/>
        </w:rPr>
        <w:t>בחי' רבי נחום</w:t>
      </w:r>
      <w:r>
        <w:rPr>
          <w:rFonts w:hint="cs"/>
          <w:rtl/>
        </w:rPr>
        <w:t xml:space="preserve"> דס"ל </w:t>
      </w:r>
      <w:r w:rsidRPr="00571999">
        <w:rPr>
          <w:rStyle w:val="af9"/>
          <w:rFonts w:hint="cs"/>
          <w:rtl/>
        </w:rPr>
        <w:t>להריטב"א</w:t>
      </w:r>
      <w:r>
        <w:rPr>
          <w:rFonts w:hint="cs"/>
          <w:rtl/>
        </w:rPr>
        <w:t xml:space="preserve"> דאף שע"י החזקה נחשב המחזיק למוחזק, מ"מ כמו דהמוחזקות של המרא קמא מהני אף כשאינו יושב בקרקע, ה"ה במוחזקות של המחזיק.</w:t>
      </w:r>
      <w:bookmarkEnd w:id="838"/>
    </w:p>
    <w:p w:rsidR="00240071" w:rsidRDefault="00701623" w:rsidP="00240071">
      <w:pPr>
        <w:pStyle w:val="a3"/>
        <w:rPr>
          <w:rtl/>
        </w:rPr>
      </w:pPr>
      <w:bookmarkStart w:id="839" w:name="_Toc54125761"/>
      <w:bookmarkStart w:id="840" w:name="_Toc54133973"/>
      <w:bookmarkStart w:id="841" w:name="_Toc53402203"/>
      <w:bookmarkStart w:id="842" w:name="_Toc53941234"/>
      <w:bookmarkStart w:id="843" w:name="_Toc54000520"/>
      <w:r>
        <w:rPr>
          <w:rFonts w:hint="cs"/>
          <w:rtl/>
        </w:rPr>
        <w:t>ביאור הגרנ"פ ברשב"א דבחזקת ג"ש יצאה הקרקע מחזקת המוכר ונעשה המחזיק למוחזק</w:t>
      </w:r>
      <w:bookmarkEnd w:id="839"/>
      <w:bookmarkEnd w:id="840"/>
    </w:p>
    <w:p w:rsidR="00240071" w:rsidRDefault="00240071" w:rsidP="007E4E81">
      <w:pPr>
        <w:pStyle w:val="a0"/>
        <w:rPr>
          <w:rtl/>
        </w:rPr>
      </w:pPr>
      <w:bookmarkStart w:id="844" w:name="_Ref54034733"/>
      <w:r>
        <w:rPr>
          <w:rFonts w:hint="cs"/>
          <w:rtl/>
        </w:rPr>
        <w:t xml:space="preserve">וכתב </w:t>
      </w:r>
      <w:r w:rsidRPr="0052094F">
        <w:rPr>
          <w:rStyle w:val="af9"/>
          <w:rFonts w:hint="cs"/>
          <w:rtl/>
        </w:rPr>
        <w:t>בחי' רבי נחום</w:t>
      </w:r>
      <w:r>
        <w:rPr>
          <w:rFonts w:hint="cs"/>
          <w:rtl/>
        </w:rPr>
        <w:t xml:space="preserve"> דכן מבואר מדברי </w:t>
      </w:r>
      <w:r w:rsidRPr="0052094F">
        <w:rPr>
          <w:rStyle w:val="af9"/>
          <w:rFonts w:hint="cs"/>
          <w:rtl/>
        </w:rPr>
        <w:t>הרשב"א לקמן</w:t>
      </w:r>
      <w:r>
        <w:rPr>
          <w:rFonts w:hint="cs"/>
          <w:rtl/>
        </w:rPr>
        <w:t xml:space="preserve"> </w:t>
      </w:r>
      <w:r w:rsidRPr="0052094F">
        <w:rPr>
          <w:rStyle w:val="af7"/>
          <w:rFonts w:eastAsia="Guttman Hodes" w:hint="cs"/>
          <w:rtl/>
        </w:rPr>
        <w:t xml:space="preserve">(עי' אות </w:t>
      </w:r>
      <w:r w:rsidR="006238F7" w:rsidRPr="0052094F">
        <w:rPr>
          <w:rStyle w:val="af7"/>
          <w:rFonts w:eastAsia="Guttman Hodes"/>
          <w:rtl/>
        </w:rPr>
        <w:fldChar w:fldCharType="begin"/>
      </w:r>
      <w:r w:rsidR="006238F7" w:rsidRPr="0052094F">
        <w:rPr>
          <w:rStyle w:val="af7"/>
          <w:rFonts w:eastAsia="Guttman Hodes"/>
          <w:rtl/>
        </w:rPr>
        <w:instrText xml:space="preserve"> </w:instrText>
      </w:r>
      <w:r w:rsidR="006238F7" w:rsidRPr="0052094F">
        <w:rPr>
          <w:rStyle w:val="af7"/>
          <w:rFonts w:eastAsia="Guttman Hodes" w:hint="cs"/>
        </w:rPr>
        <w:instrText>REF</w:instrText>
      </w:r>
      <w:r w:rsidR="006238F7" w:rsidRPr="0052094F">
        <w:rPr>
          <w:rStyle w:val="af7"/>
          <w:rFonts w:eastAsia="Guttman Hodes" w:hint="cs"/>
          <w:rtl/>
        </w:rPr>
        <w:instrText xml:space="preserve"> _</w:instrText>
      </w:r>
      <w:r w:rsidR="006238F7" w:rsidRPr="0052094F">
        <w:rPr>
          <w:rStyle w:val="af7"/>
          <w:rFonts w:eastAsia="Guttman Hodes" w:hint="cs"/>
        </w:rPr>
        <w:instrText>Ref54034669 \r \h</w:instrText>
      </w:r>
      <w:r w:rsidR="006238F7" w:rsidRPr="0052094F">
        <w:rPr>
          <w:rStyle w:val="af7"/>
          <w:rFonts w:eastAsia="Guttman Hodes"/>
          <w:rtl/>
        </w:rPr>
        <w:instrText xml:space="preserve"> </w:instrText>
      </w:r>
      <w:r w:rsidR="006238F7" w:rsidRPr="0052094F">
        <w:rPr>
          <w:rStyle w:val="af7"/>
          <w:rFonts w:eastAsia="Guttman Hodes"/>
          <w:rtl/>
        </w:rPr>
      </w:r>
      <w:r w:rsidR="006238F7" w:rsidRPr="0052094F">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006238F7" w:rsidRPr="0052094F">
        <w:rPr>
          <w:rStyle w:val="af7"/>
          <w:rFonts w:eastAsia="Guttman Hodes"/>
          <w:rtl/>
        </w:rPr>
        <w:fldChar w:fldCharType="end"/>
      </w:r>
      <w:r w:rsidRPr="0052094F">
        <w:rPr>
          <w:rStyle w:val="af7"/>
          <w:rFonts w:eastAsia="Guttman Hodes" w:hint="cs"/>
          <w:rtl/>
        </w:rPr>
        <w:t xml:space="preserve"> </w:t>
      </w:r>
      <w:r>
        <w:rPr>
          <w:rFonts w:hint="cs"/>
          <w:rtl/>
        </w:rPr>
        <w:t xml:space="preserve">דכתב בדעת </w:t>
      </w:r>
      <w:r w:rsidRPr="00F563BD">
        <w:rPr>
          <w:rStyle w:val="af9"/>
          <w:rFonts w:hint="cs"/>
          <w:rtl/>
        </w:rPr>
        <w:t>הר"י מגאש</w:t>
      </w:r>
      <w:r w:rsidRPr="0052094F">
        <w:rPr>
          <w:rStyle w:val="af9"/>
          <w:rFonts w:hint="cs"/>
          <w:rtl/>
        </w:rPr>
        <w:t xml:space="preserve"> [והריב"ם בתוס']</w:t>
      </w:r>
      <w:r>
        <w:rPr>
          <w:rFonts w:hint="cs"/>
          <w:rtl/>
        </w:rPr>
        <w:t xml:space="preserve"> </w:t>
      </w:r>
      <w:r w:rsidR="00701623" w:rsidRPr="00701623">
        <w:rPr>
          <w:rStyle w:val="af7"/>
          <w:rFonts w:eastAsia="Guttman Hodes" w:hint="cs"/>
          <w:rtl/>
        </w:rPr>
        <w:t xml:space="preserve">(עי' אות </w:t>
      </w:r>
      <w:r w:rsidR="00701623" w:rsidRPr="00701623">
        <w:rPr>
          <w:rStyle w:val="af7"/>
          <w:rFonts w:eastAsia="Guttman Hodes"/>
          <w:rtl/>
        </w:rPr>
        <w:fldChar w:fldCharType="begin"/>
      </w:r>
      <w:r w:rsidR="00701623" w:rsidRPr="00701623">
        <w:rPr>
          <w:rStyle w:val="af7"/>
          <w:rFonts w:eastAsia="Guttman Hodes"/>
          <w:rtl/>
        </w:rPr>
        <w:instrText xml:space="preserve"> </w:instrText>
      </w:r>
      <w:r w:rsidR="00701623" w:rsidRPr="00701623">
        <w:rPr>
          <w:rStyle w:val="af7"/>
          <w:rFonts w:eastAsia="Guttman Hodes" w:hint="cs"/>
        </w:rPr>
        <w:instrText>REF</w:instrText>
      </w:r>
      <w:r w:rsidR="00701623" w:rsidRPr="00701623">
        <w:rPr>
          <w:rStyle w:val="af7"/>
          <w:rFonts w:eastAsia="Guttman Hodes" w:hint="cs"/>
          <w:rtl/>
        </w:rPr>
        <w:instrText xml:space="preserve"> _</w:instrText>
      </w:r>
      <w:r w:rsidR="00701623" w:rsidRPr="00701623">
        <w:rPr>
          <w:rStyle w:val="af7"/>
          <w:rFonts w:eastAsia="Guttman Hodes" w:hint="cs"/>
        </w:rPr>
        <w:instrText>Ref54111979 \r \h</w:instrText>
      </w:r>
      <w:r w:rsidR="00701623" w:rsidRPr="00701623">
        <w:rPr>
          <w:rStyle w:val="af7"/>
          <w:rFonts w:eastAsia="Guttman Hodes"/>
          <w:rtl/>
        </w:rPr>
        <w:instrText xml:space="preserve"> </w:instrText>
      </w:r>
      <w:r w:rsidR="00701623" w:rsidRPr="00701623">
        <w:rPr>
          <w:rStyle w:val="af7"/>
          <w:rFonts w:eastAsia="Guttman Hodes"/>
          <w:rtl/>
        </w:rPr>
      </w:r>
      <w:r w:rsidR="00701623" w:rsidRPr="00701623">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00701623" w:rsidRPr="00701623">
        <w:rPr>
          <w:rStyle w:val="af7"/>
          <w:rFonts w:eastAsia="Guttman Hodes"/>
          <w:rtl/>
        </w:rPr>
        <w:fldChar w:fldCharType="end"/>
      </w:r>
      <w:r w:rsidR="00701623">
        <w:rPr>
          <w:rFonts w:hint="cs"/>
          <w:rtl/>
        </w:rPr>
        <w:t xml:space="preserve"> </w:t>
      </w:r>
      <w:r>
        <w:rPr>
          <w:rFonts w:hint="cs"/>
          <w:rtl/>
        </w:rPr>
        <w:t xml:space="preserve">דהא דמהני מיגו בקרקע, היינו כשיש למחזיק חזקת ג"ש, דע"י החזקה יצאה הקרקע מחזקת המוכר, ועומדת בחזקת הלוקח, ומבואר מדברי </w:t>
      </w:r>
      <w:r w:rsidRPr="00701623">
        <w:rPr>
          <w:rStyle w:val="af9"/>
          <w:rFonts w:hint="cs"/>
          <w:rtl/>
        </w:rPr>
        <w:t>הרשב"א</w:t>
      </w:r>
      <w:r>
        <w:rPr>
          <w:rFonts w:hint="cs"/>
          <w:rtl/>
        </w:rPr>
        <w:t xml:space="preserve"> דע"י חזקת ג"ש חשיב המחזיק כמוחזק.</w:t>
      </w:r>
      <w:bookmarkEnd w:id="844"/>
    </w:p>
    <w:p w:rsidR="00240071" w:rsidRPr="00F9254E" w:rsidRDefault="00701623" w:rsidP="00240071">
      <w:pPr>
        <w:pStyle w:val="a3"/>
      </w:pPr>
      <w:bookmarkStart w:id="845" w:name="_Toc54125762"/>
      <w:bookmarkStart w:id="846" w:name="_Toc54133974"/>
      <w:r>
        <w:rPr>
          <w:rFonts w:hint="cs"/>
          <w:rtl/>
        </w:rPr>
        <w:t>ביאור הגרנ"פ ברמב"ם דחזקת ג"ש אינה ראיה אלא הוא סיבה להוציא מהמר"ק לחזקת המחזיק</w:t>
      </w:r>
      <w:bookmarkEnd w:id="845"/>
      <w:bookmarkEnd w:id="846"/>
    </w:p>
    <w:p w:rsidR="00240071" w:rsidRDefault="00240071" w:rsidP="007E4E81">
      <w:pPr>
        <w:pStyle w:val="a0"/>
        <w:rPr>
          <w:rtl/>
        </w:rPr>
      </w:pPr>
      <w:bookmarkStart w:id="847" w:name="_Ref54034956"/>
      <w:r>
        <w:rPr>
          <w:rFonts w:hint="cs"/>
          <w:rtl/>
        </w:rPr>
        <w:t xml:space="preserve">וכתב </w:t>
      </w:r>
      <w:r w:rsidRPr="0052094F">
        <w:rPr>
          <w:rStyle w:val="af9"/>
          <w:rFonts w:hint="cs"/>
          <w:rtl/>
        </w:rPr>
        <w:t>בחי' רבי נחום</w:t>
      </w:r>
      <w:r>
        <w:rPr>
          <w:rFonts w:hint="cs"/>
          <w:rtl/>
        </w:rPr>
        <w:t xml:space="preserve"> דכן מבואר מדברי </w:t>
      </w:r>
      <w:r w:rsidRPr="0052094F">
        <w:rPr>
          <w:rStyle w:val="af9"/>
          <w:rFonts w:hint="cs"/>
          <w:rtl/>
        </w:rPr>
        <w:t>הרמב"ם</w:t>
      </w:r>
      <w:r w:rsidRPr="00E26F6E">
        <w:rPr>
          <w:rStyle w:val="af7"/>
          <w:rFonts w:eastAsia="Guttman Hodes" w:hint="cs"/>
          <w:rtl/>
        </w:rPr>
        <w:t xml:space="preserve"> (עי' אות </w:t>
      </w:r>
      <w:r w:rsidR="00E26F6E" w:rsidRPr="00E26F6E">
        <w:rPr>
          <w:rStyle w:val="af7"/>
          <w:rFonts w:eastAsia="Guttman Hodes"/>
          <w:rtl/>
        </w:rPr>
        <w:fldChar w:fldCharType="begin"/>
      </w:r>
      <w:r w:rsidR="00E26F6E" w:rsidRPr="00E26F6E">
        <w:rPr>
          <w:rStyle w:val="af7"/>
          <w:rFonts w:eastAsia="Guttman Hodes"/>
          <w:rtl/>
        </w:rPr>
        <w:instrText xml:space="preserve"> </w:instrText>
      </w:r>
      <w:r w:rsidR="00E26F6E" w:rsidRPr="00E26F6E">
        <w:rPr>
          <w:rStyle w:val="af7"/>
          <w:rFonts w:eastAsia="Guttman Hodes" w:hint="cs"/>
        </w:rPr>
        <w:instrText>REF</w:instrText>
      </w:r>
      <w:r w:rsidR="00E26F6E" w:rsidRPr="00E26F6E">
        <w:rPr>
          <w:rStyle w:val="af7"/>
          <w:rFonts w:eastAsia="Guttman Hodes" w:hint="cs"/>
          <w:rtl/>
        </w:rPr>
        <w:instrText xml:space="preserve"> _</w:instrText>
      </w:r>
      <w:r w:rsidR="00E26F6E" w:rsidRPr="00E26F6E">
        <w:rPr>
          <w:rStyle w:val="af7"/>
          <w:rFonts w:eastAsia="Guttman Hodes" w:hint="cs"/>
        </w:rPr>
        <w:instrText>Ref53934882 \r \h</w:instrText>
      </w:r>
      <w:r w:rsidR="00E26F6E" w:rsidRPr="00E26F6E">
        <w:rPr>
          <w:rStyle w:val="af7"/>
          <w:rFonts w:eastAsia="Guttman Hodes"/>
          <w:rtl/>
        </w:rPr>
        <w:instrText xml:space="preserve"> </w:instrText>
      </w:r>
      <w:r w:rsidR="00E26F6E" w:rsidRPr="00E26F6E">
        <w:rPr>
          <w:rStyle w:val="af7"/>
          <w:rFonts w:eastAsia="Guttman Hodes"/>
          <w:rtl/>
        </w:rPr>
      </w:r>
      <w:r w:rsidR="00E26F6E" w:rsidRPr="00E26F6E">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00E26F6E" w:rsidRPr="00E26F6E">
        <w:rPr>
          <w:rStyle w:val="af7"/>
          <w:rFonts w:eastAsia="Guttman Hodes"/>
          <w:rtl/>
        </w:rPr>
        <w:fldChar w:fldCharType="end"/>
      </w:r>
      <w:r>
        <w:rPr>
          <w:rFonts w:hint="cs"/>
          <w:rtl/>
        </w:rPr>
        <w:t xml:space="preserve"> דכתב דקרקע שידועה שהיא של אדם אחד, אף שעכשיו היא תחת יד אחר, וטוען המחזיק שקנה מהבעלים, הרי היא בחזקת הבעלים, והוסיף </w:t>
      </w:r>
      <w:r w:rsidRPr="0052094F">
        <w:rPr>
          <w:rStyle w:val="af9"/>
          <w:rFonts w:hint="cs"/>
          <w:rtl/>
        </w:rPr>
        <w:t>הרמב"ם</w:t>
      </w:r>
      <w:r>
        <w:rPr>
          <w:rFonts w:hint="cs"/>
          <w:rtl/>
        </w:rPr>
        <w:t xml:space="preserve"> </w:t>
      </w:r>
      <w:r w:rsidRPr="00E26F6E">
        <w:rPr>
          <w:rStyle w:val="af7"/>
          <w:rFonts w:eastAsia="Guttman Hodes" w:hint="cs"/>
          <w:rtl/>
        </w:rPr>
        <w:t xml:space="preserve">(עי' אות </w:t>
      </w:r>
      <w:r w:rsidR="00E26F6E" w:rsidRPr="00E26F6E">
        <w:rPr>
          <w:rStyle w:val="af7"/>
          <w:rFonts w:eastAsia="Guttman Hodes"/>
          <w:rtl/>
        </w:rPr>
        <w:fldChar w:fldCharType="begin"/>
      </w:r>
      <w:r w:rsidR="00E26F6E" w:rsidRPr="00E26F6E">
        <w:rPr>
          <w:rStyle w:val="af7"/>
          <w:rFonts w:eastAsia="Guttman Hodes"/>
          <w:rtl/>
        </w:rPr>
        <w:instrText xml:space="preserve"> </w:instrText>
      </w:r>
      <w:r w:rsidR="00E26F6E" w:rsidRPr="00E26F6E">
        <w:rPr>
          <w:rStyle w:val="af7"/>
          <w:rFonts w:eastAsia="Guttman Hodes" w:hint="cs"/>
        </w:rPr>
        <w:instrText>REF</w:instrText>
      </w:r>
      <w:r w:rsidR="00E26F6E" w:rsidRPr="00E26F6E">
        <w:rPr>
          <w:rStyle w:val="af7"/>
          <w:rFonts w:eastAsia="Guttman Hodes" w:hint="cs"/>
          <w:rtl/>
        </w:rPr>
        <w:instrText xml:space="preserve"> _</w:instrText>
      </w:r>
      <w:r w:rsidR="00E26F6E" w:rsidRPr="00E26F6E">
        <w:rPr>
          <w:rStyle w:val="af7"/>
          <w:rFonts w:eastAsia="Guttman Hodes" w:hint="cs"/>
        </w:rPr>
        <w:instrText>Ref54034873 \r \h</w:instrText>
      </w:r>
      <w:r w:rsidR="00E26F6E" w:rsidRPr="00E26F6E">
        <w:rPr>
          <w:rStyle w:val="af7"/>
          <w:rFonts w:eastAsia="Guttman Hodes"/>
          <w:rtl/>
        </w:rPr>
        <w:instrText xml:space="preserve"> </w:instrText>
      </w:r>
      <w:r w:rsidR="00E26F6E" w:rsidRPr="00E26F6E">
        <w:rPr>
          <w:rStyle w:val="af7"/>
          <w:rFonts w:eastAsia="Guttman Hodes"/>
          <w:rtl/>
        </w:rPr>
      </w:r>
      <w:r w:rsidR="00E26F6E" w:rsidRPr="00E26F6E">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00E26F6E" w:rsidRPr="00E26F6E">
        <w:rPr>
          <w:rStyle w:val="af7"/>
          <w:rFonts w:eastAsia="Guttman Hodes"/>
          <w:rtl/>
        </w:rPr>
        <w:fldChar w:fldCharType="end"/>
      </w:r>
      <w:r>
        <w:rPr>
          <w:rFonts w:hint="cs"/>
          <w:rtl/>
        </w:rPr>
        <w:t xml:space="preserve"> דאם החזיק בה ג"ש, מעמידים אותה בחזקה המחזיק, וכתב</w:t>
      </w:r>
      <w:r w:rsidRPr="00701623">
        <w:rPr>
          <w:rStyle w:val="af9"/>
          <w:rFonts w:hint="cs"/>
          <w:rtl/>
        </w:rPr>
        <w:t xml:space="preserve"> בחי' רבי נחום </w:t>
      </w:r>
      <w:r>
        <w:rPr>
          <w:rFonts w:hint="cs"/>
          <w:rtl/>
        </w:rPr>
        <w:t xml:space="preserve">דמדויק מדברי </w:t>
      </w:r>
      <w:r w:rsidRPr="0052094F">
        <w:rPr>
          <w:rStyle w:val="af9"/>
          <w:rFonts w:hint="cs"/>
          <w:rtl/>
        </w:rPr>
        <w:t>הרמב"ם</w:t>
      </w:r>
      <w:r>
        <w:rPr>
          <w:rFonts w:hint="cs"/>
          <w:rtl/>
        </w:rPr>
        <w:t xml:space="preserve"> דג"ש אינה ראיה ואנן סהדי, אלא הוא סיבה להוציא את הקרקע מהמוחזקות של המרא קמא, ולהעמידה בחזקת המחזיק.</w:t>
      </w:r>
      <w:bookmarkEnd w:id="847"/>
    </w:p>
    <w:p w:rsidR="00461951" w:rsidRDefault="00461951" w:rsidP="001913A2">
      <w:pPr>
        <w:pStyle w:val="afe"/>
        <w:rPr>
          <w:rtl/>
        </w:rPr>
      </w:pPr>
      <w:bookmarkStart w:id="848" w:name="_Toc54125763"/>
      <w:bookmarkStart w:id="849" w:name="_Toc54133975"/>
      <w:bookmarkStart w:id="850" w:name="_Toc54038995"/>
      <w:bookmarkStart w:id="851" w:name="_Toc54039089"/>
      <w:bookmarkStart w:id="852" w:name="_Toc54087540"/>
      <w:bookmarkStart w:id="853" w:name="_Toc54109350"/>
      <w:r>
        <w:rPr>
          <w:rFonts w:hint="cs"/>
          <w:rtl/>
        </w:rPr>
        <w:t xml:space="preserve">בתפיסה </w:t>
      </w:r>
      <w:r w:rsidR="001913A2">
        <w:rPr>
          <w:rFonts w:hint="cs"/>
          <w:rtl/>
        </w:rPr>
        <w:t>בפחות מג"ש</w:t>
      </w:r>
      <w:r>
        <w:rPr>
          <w:rFonts w:hint="cs"/>
          <w:rtl/>
        </w:rPr>
        <w:t xml:space="preserve"> בקרקע</w:t>
      </w:r>
      <w:r w:rsidR="000076F4">
        <w:rPr>
          <w:rFonts w:hint="cs"/>
          <w:rtl/>
        </w:rPr>
        <w:t>ות</w:t>
      </w:r>
      <w:r>
        <w:rPr>
          <w:rFonts w:hint="cs"/>
          <w:rtl/>
        </w:rPr>
        <w:t xml:space="preserve"> ועבד</w:t>
      </w:r>
      <w:r w:rsidR="000076F4">
        <w:rPr>
          <w:rFonts w:hint="cs"/>
          <w:rtl/>
        </w:rPr>
        <w:t>ים</w:t>
      </w:r>
      <w:bookmarkEnd w:id="848"/>
      <w:bookmarkEnd w:id="849"/>
    </w:p>
    <w:p w:rsidR="00461951" w:rsidRPr="00830F7F" w:rsidRDefault="00461951" w:rsidP="00461951">
      <w:pPr>
        <w:pStyle w:val="1"/>
      </w:pPr>
      <w:bookmarkStart w:id="854" w:name="_Toc54125764"/>
      <w:bookmarkStart w:id="855" w:name="_Toc54133976"/>
      <w:r>
        <w:rPr>
          <w:rFonts w:hint="cs"/>
          <w:rtl/>
        </w:rPr>
        <w:t>חקירת הגרב"ב אי חזקה בפחות מג"ש היא ספק וחשיב כתפוס</w:t>
      </w:r>
      <w:bookmarkEnd w:id="854"/>
      <w:bookmarkEnd w:id="855"/>
    </w:p>
    <w:p w:rsidR="00461951" w:rsidRDefault="00461951" w:rsidP="00461951">
      <w:pPr>
        <w:pStyle w:val="a3"/>
        <w:rPr>
          <w:rtl/>
        </w:rPr>
      </w:pPr>
      <w:bookmarkStart w:id="856" w:name="_Toc54125765"/>
      <w:bookmarkStart w:id="857" w:name="_Toc54133977"/>
      <w:r>
        <w:rPr>
          <w:rFonts w:hint="cs"/>
          <w:rtl/>
        </w:rPr>
        <w:t>הצד הא' בגרב"ב דבפחות מג"ש כיון שאין לו שטר אין כל ספק וודאי דהקרקע בחזקת מר"ק</w:t>
      </w:r>
      <w:bookmarkEnd w:id="856"/>
      <w:bookmarkEnd w:id="857"/>
    </w:p>
    <w:p w:rsidR="00461951" w:rsidRDefault="00461951" w:rsidP="007E4E81">
      <w:pPr>
        <w:pStyle w:val="a0"/>
        <w:rPr>
          <w:rtl/>
        </w:rPr>
      </w:pPr>
      <w:r>
        <w:rPr>
          <w:rFonts w:hint="cs"/>
          <w:rtl/>
        </w:rPr>
        <w:t xml:space="preserve">כתב </w:t>
      </w:r>
      <w:r w:rsidRPr="007C07BF">
        <w:rPr>
          <w:rStyle w:val="af9"/>
          <w:rFonts w:hint="cs"/>
          <w:rtl/>
        </w:rPr>
        <w:t>בחו"ש הגרב"ב</w:t>
      </w:r>
      <w:r>
        <w:rPr>
          <w:rFonts w:hint="cs"/>
          <w:rtl/>
        </w:rPr>
        <w:t xml:space="preserve"> </w:t>
      </w:r>
      <w:r w:rsidRPr="007C07BF">
        <w:rPr>
          <w:rStyle w:val="af7"/>
          <w:rFonts w:eastAsia="Guttman Hodes" w:hint="cs"/>
          <w:rtl/>
        </w:rPr>
        <w:t>(</w:t>
      </w:r>
      <w:r>
        <w:rPr>
          <w:rStyle w:val="af7"/>
          <w:rFonts w:eastAsia="Guttman Hodes" w:hint="cs"/>
          <w:rtl/>
        </w:rPr>
        <w:t xml:space="preserve">ח"א </w:t>
      </w:r>
      <w:r w:rsidRPr="007C07BF">
        <w:rPr>
          <w:rStyle w:val="af7"/>
          <w:rFonts w:eastAsia="Guttman Hodes" w:hint="cs"/>
          <w:rtl/>
        </w:rPr>
        <w:t xml:space="preserve">סי' ט' ד"ה והנה יש לעיין, סי' י') </w:t>
      </w:r>
      <w:r>
        <w:rPr>
          <w:rFonts w:hint="cs"/>
          <w:rtl/>
        </w:rPr>
        <w:t>דיש לחקור באופן שהחזיק פחות מג"ש, דלא מהני החזקה כיון שיש עליו טענה דאחוי שטרך,</w:t>
      </w:r>
      <w:r w:rsidRPr="00707EAC">
        <w:rPr>
          <w:rFonts w:hint="cs"/>
          <w:rtl/>
        </w:rPr>
        <w:t xml:space="preserve"> </w:t>
      </w:r>
      <w:r>
        <w:rPr>
          <w:rFonts w:hint="cs"/>
          <w:rtl/>
        </w:rPr>
        <w:t>האם אין הקרקע בחזקתו מדין ודאי, דכיון שאין לו שטר, א"כ מה שהוא מחזיק בקרקע אינו עושה ספק כלל במוחזקות על הקרקע, והיא מוחזקת בודאי בחזקת המערער.</w:t>
      </w:r>
    </w:p>
    <w:p w:rsidR="005F06DA" w:rsidRPr="005F06DA" w:rsidRDefault="005F06DA" w:rsidP="005F06DA">
      <w:pPr>
        <w:pStyle w:val="a3"/>
        <w:rPr>
          <w:rtl/>
        </w:rPr>
      </w:pPr>
    </w:p>
    <w:p w:rsidR="00461951" w:rsidRPr="00405760" w:rsidRDefault="00461951" w:rsidP="00461951">
      <w:pPr>
        <w:pStyle w:val="a3"/>
      </w:pPr>
      <w:bookmarkStart w:id="858" w:name="_Toc54125766"/>
      <w:bookmarkStart w:id="859" w:name="_Toc54133978"/>
      <w:r>
        <w:rPr>
          <w:rFonts w:hint="cs"/>
          <w:rtl/>
        </w:rPr>
        <w:t>הצד הב' בגרב"ב דכל שהוא מחזיק בקרקע יש ספק אלא דמעמידים בחזקת המר"ק ותפיסתו ל"מ</w:t>
      </w:r>
      <w:bookmarkEnd w:id="858"/>
      <w:bookmarkEnd w:id="859"/>
    </w:p>
    <w:p w:rsidR="00461951" w:rsidRDefault="00461951" w:rsidP="007E4E81">
      <w:pPr>
        <w:pStyle w:val="a0"/>
        <w:rPr>
          <w:rtl/>
        </w:rPr>
      </w:pPr>
      <w:r>
        <w:rPr>
          <w:rFonts w:hint="cs"/>
          <w:rtl/>
        </w:rPr>
        <w:t xml:space="preserve">והצד הב' כתב </w:t>
      </w:r>
      <w:r w:rsidRPr="007C07BF">
        <w:rPr>
          <w:rStyle w:val="af9"/>
          <w:rFonts w:hint="cs"/>
          <w:rtl/>
        </w:rPr>
        <w:t>בחו"ש הגרב"ב</w:t>
      </w:r>
      <w:r>
        <w:rPr>
          <w:rFonts w:hint="cs"/>
          <w:rtl/>
        </w:rPr>
        <w:t xml:space="preserve"> דכיון שהוא מחזיק בקרקע יש ספק על הקרקע, האם היא מוחזקת ביד המערער או ביד המחזיק, ואינו מוחזקת בודאות ביד המערער, אלא דאף שיש ספק מ"מ מעמידים בחזקת המערער, כיון דקרקע בחזקת בעליה עומדת, ולא מהני מה שהמחזיק תפוס בקרקע.</w:t>
      </w:r>
    </w:p>
    <w:p w:rsidR="00461951" w:rsidRPr="00E96433" w:rsidRDefault="00461951" w:rsidP="00461951">
      <w:pPr>
        <w:pStyle w:val="1"/>
        <w:rPr>
          <w:rtl/>
        </w:rPr>
      </w:pPr>
      <w:bookmarkStart w:id="860" w:name="_Toc54125767"/>
      <w:bookmarkStart w:id="861" w:name="_Toc54133979"/>
      <w:r>
        <w:rPr>
          <w:rFonts w:hint="cs"/>
          <w:rtl/>
        </w:rPr>
        <w:t>דברי הגרב"ב דבגודרות הוי תפוס מספק אך הם בחזקת המר"ק</w:t>
      </w:r>
      <w:bookmarkEnd w:id="860"/>
      <w:bookmarkEnd w:id="861"/>
    </w:p>
    <w:p w:rsidR="00461951" w:rsidRDefault="00461951" w:rsidP="00461951">
      <w:pPr>
        <w:pStyle w:val="a3"/>
        <w:rPr>
          <w:rtl/>
        </w:rPr>
      </w:pPr>
      <w:bookmarkStart w:id="862" w:name="_Toc54125768"/>
      <w:bookmarkStart w:id="863" w:name="_Toc54133980"/>
      <w:r>
        <w:rPr>
          <w:rFonts w:hint="cs"/>
          <w:rtl/>
        </w:rPr>
        <w:t>דברי הגרב"ב דבגודרות בפחות מג"ש א"א לומר דבודאי אינם בחזקת המחזיק אלא הוא ספק</w:t>
      </w:r>
      <w:bookmarkEnd w:id="862"/>
      <w:bookmarkEnd w:id="863"/>
    </w:p>
    <w:p w:rsidR="00461951" w:rsidRDefault="00461951" w:rsidP="007E4E81">
      <w:pPr>
        <w:pStyle w:val="a0"/>
        <w:rPr>
          <w:rtl/>
        </w:rPr>
      </w:pPr>
      <w:r>
        <w:rPr>
          <w:rFonts w:hint="cs"/>
          <w:rtl/>
        </w:rPr>
        <w:t xml:space="preserve">וכתב </w:t>
      </w:r>
      <w:r w:rsidRPr="003F2A29">
        <w:rPr>
          <w:rStyle w:val="af9"/>
          <w:rFonts w:hint="cs"/>
          <w:rtl/>
        </w:rPr>
        <w:t>בחו"ש הגרב"ב</w:t>
      </w:r>
      <w:r>
        <w:rPr>
          <w:rFonts w:hint="cs"/>
          <w:rtl/>
        </w:rPr>
        <w:t xml:space="preserve"> </w:t>
      </w:r>
      <w:r w:rsidRPr="003F2A29">
        <w:rPr>
          <w:rStyle w:val="af7"/>
          <w:rFonts w:eastAsia="Guttman Hodes" w:hint="cs"/>
          <w:rtl/>
        </w:rPr>
        <w:t>(</w:t>
      </w:r>
      <w:r>
        <w:rPr>
          <w:rStyle w:val="af7"/>
          <w:rFonts w:eastAsia="Guttman Hodes" w:hint="cs"/>
          <w:rtl/>
        </w:rPr>
        <w:t xml:space="preserve">ח"א </w:t>
      </w:r>
      <w:r w:rsidRPr="003F2A29">
        <w:rPr>
          <w:rStyle w:val="af7"/>
          <w:rFonts w:eastAsia="Guttman Hodes" w:hint="cs"/>
          <w:rtl/>
        </w:rPr>
        <w:t>סי' ט' ד"ה והנה יש לעיין)</w:t>
      </w:r>
      <w:r>
        <w:rPr>
          <w:rFonts w:hint="cs"/>
          <w:rtl/>
        </w:rPr>
        <w:t xml:space="preserve"> דכן יש לחקור בגודרות כשהחזיק פחות מג"ש, </w:t>
      </w:r>
      <w:r w:rsidRPr="005024E2">
        <w:rPr>
          <w:rStyle w:val="afb"/>
          <w:rFonts w:hint="cs"/>
          <w:rtl/>
        </w:rPr>
        <w:t xml:space="preserve">[לדעת </w:t>
      </w:r>
      <w:r w:rsidRPr="005024E2">
        <w:rPr>
          <w:rStyle w:val="affa"/>
          <w:rFonts w:hint="cs"/>
          <w:rtl/>
        </w:rPr>
        <w:t>הראשונים</w:t>
      </w:r>
      <w:r w:rsidRPr="005024E2">
        <w:rPr>
          <w:rStyle w:val="afb"/>
          <w:rFonts w:hint="cs"/>
          <w:rtl/>
        </w:rPr>
        <w:t xml:space="preserve"> </w:t>
      </w:r>
      <w:r w:rsidRPr="009C0770">
        <w:rPr>
          <w:rStyle w:val="aff6"/>
          <w:rFonts w:hint="cs"/>
          <w:rtl/>
        </w:rPr>
        <w:t xml:space="preserve">(עי' אות </w:t>
      </w:r>
      <w:r w:rsidRPr="009C0770">
        <w:rPr>
          <w:rStyle w:val="aff6"/>
          <w:rtl/>
        </w:rPr>
        <w:fldChar w:fldCharType="begin"/>
      </w:r>
      <w:r w:rsidRPr="009C0770">
        <w:rPr>
          <w:rStyle w:val="aff6"/>
          <w:rtl/>
        </w:rPr>
        <w:instrText xml:space="preserve"> </w:instrText>
      </w:r>
      <w:r w:rsidRPr="009C0770">
        <w:rPr>
          <w:rStyle w:val="aff6"/>
          <w:rFonts w:hint="cs"/>
        </w:rPr>
        <w:instrText>REF</w:instrText>
      </w:r>
      <w:r w:rsidRPr="009C0770">
        <w:rPr>
          <w:rStyle w:val="aff6"/>
          <w:rFonts w:hint="cs"/>
          <w:rtl/>
        </w:rPr>
        <w:instrText xml:space="preserve"> _</w:instrText>
      </w:r>
      <w:r w:rsidRPr="009C0770">
        <w:rPr>
          <w:rStyle w:val="aff6"/>
          <w:rFonts w:hint="cs"/>
        </w:rPr>
        <w:instrText>Ref54120594 \r \h</w:instrText>
      </w:r>
      <w:r w:rsidRPr="009C0770">
        <w:rPr>
          <w:rStyle w:val="aff6"/>
          <w:rtl/>
        </w:rPr>
        <w:instrText xml:space="preserve"> </w:instrText>
      </w:r>
      <w:r w:rsidRPr="009C0770">
        <w:rPr>
          <w:rStyle w:val="aff6"/>
          <w:rtl/>
        </w:rPr>
      </w:r>
      <w:r w:rsidRPr="009C0770">
        <w:rPr>
          <w:rStyle w:val="aff6"/>
          <w:rtl/>
        </w:rPr>
        <w:fldChar w:fldCharType="separate"/>
      </w:r>
      <w:r w:rsidR="00265073">
        <w:rPr>
          <w:rStyle w:val="aff6"/>
          <w:cs/>
        </w:rPr>
        <w:t>‎</w:t>
      </w:r>
      <w:r w:rsidR="00265073">
        <w:rPr>
          <w:rStyle w:val="aff6"/>
          <w:rtl/>
        </w:rPr>
        <w:t>נב)</w:t>
      </w:r>
      <w:r w:rsidRPr="009C0770">
        <w:rPr>
          <w:rStyle w:val="aff6"/>
          <w:rtl/>
        </w:rPr>
        <w:fldChar w:fldCharType="end"/>
      </w:r>
      <w:r w:rsidRPr="009C0770">
        <w:rPr>
          <w:rStyle w:val="aff6"/>
          <w:rFonts w:hint="cs"/>
          <w:rtl/>
        </w:rPr>
        <w:t xml:space="preserve"> </w:t>
      </w:r>
      <w:r w:rsidRPr="005024E2">
        <w:rPr>
          <w:rStyle w:val="afb"/>
          <w:rFonts w:hint="cs"/>
          <w:rtl/>
        </w:rPr>
        <w:t>דמהני חזקת ג"ש בגודרות],</w:t>
      </w:r>
      <w:r>
        <w:rPr>
          <w:rFonts w:hint="cs"/>
          <w:rtl/>
        </w:rPr>
        <w:t xml:space="preserve"> האם אינם בחזקתו מדין ודאי, ומה שהוא מחזיק בהם אינו עושה ספק כלל במוחזקות של הבעלים, או דכיון שהוא מחזיק בהם, חשיב כתפוס, אלא דהטענה של המערער עושה ריעותא בתפיסה שלו, כיון שיתכן שהם באו אליו מעצמם, ועיי"ש </w:t>
      </w:r>
      <w:r w:rsidRPr="00AF5643">
        <w:rPr>
          <w:rStyle w:val="af9"/>
          <w:rFonts w:hint="cs"/>
          <w:rtl/>
        </w:rPr>
        <w:t>במ"ש הגרב"ב</w:t>
      </w:r>
      <w:r>
        <w:rPr>
          <w:rFonts w:hint="cs"/>
          <w:rtl/>
        </w:rPr>
        <w:t xml:space="preserve"> דבגודרות מוכח בגמ' בגיטין </w:t>
      </w:r>
      <w:r w:rsidRPr="003F2A29">
        <w:rPr>
          <w:rStyle w:val="af7"/>
          <w:rFonts w:eastAsia="Guttman Hodes" w:hint="cs"/>
          <w:rtl/>
        </w:rPr>
        <w:t>(כ:)</w:t>
      </w:r>
      <w:r>
        <w:rPr>
          <w:rFonts w:hint="cs"/>
          <w:rtl/>
        </w:rPr>
        <w:t xml:space="preserve"> דלא שייך לומר דאינו תפוס כלל, אלא חשיב כתפוס בספק.</w:t>
      </w:r>
    </w:p>
    <w:p w:rsidR="00461951" w:rsidRPr="00036901" w:rsidRDefault="00461951" w:rsidP="00461951">
      <w:pPr>
        <w:pStyle w:val="1"/>
        <w:rPr>
          <w:rtl/>
        </w:rPr>
      </w:pPr>
      <w:bookmarkStart w:id="864" w:name="_Toc54125769"/>
      <w:bookmarkStart w:id="865" w:name="_Toc54133981"/>
      <w:r>
        <w:rPr>
          <w:rFonts w:hint="cs"/>
          <w:rtl/>
        </w:rPr>
        <w:t>דברי הגרב"ב דבקרקע בפחות מג"ש אינו תפוס ואין כל ספק</w:t>
      </w:r>
      <w:bookmarkEnd w:id="864"/>
      <w:bookmarkEnd w:id="865"/>
    </w:p>
    <w:p w:rsidR="00461951" w:rsidRDefault="00461951" w:rsidP="00461951">
      <w:pPr>
        <w:pStyle w:val="a3"/>
        <w:rPr>
          <w:rtl/>
        </w:rPr>
      </w:pPr>
      <w:bookmarkStart w:id="866" w:name="_Toc54125770"/>
      <w:bookmarkStart w:id="867" w:name="_Toc54133982"/>
      <w:r>
        <w:rPr>
          <w:rFonts w:hint="cs"/>
          <w:rtl/>
        </w:rPr>
        <w:t>דברי הגר"י מפונביז' דמהא מוציאים מידי המחזיק בקרקע מוכח דאין כל ספק ולא חשיב תפוס</w:t>
      </w:r>
      <w:bookmarkEnd w:id="866"/>
      <w:bookmarkEnd w:id="867"/>
    </w:p>
    <w:p w:rsidR="00461951" w:rsidRDefault="00461951" w:rsidP="007E4E81">
      <w:pPr>
        <w:pStyle w:val="a0"/>
        <w:rPr>
          <w:rtl/>
        </w:rPr>
      </w:pPr>
      <w:r>
        <w:rPr>
          <w:rFonts w:hint="cs"/>
          <w:rtl/>
        </w:rPr>
        <w:t xml:space="preserve">ובחקירה במוחזקות בקרקע, הביא </w:t>
      </w:r>
      <w:r w:rsidRPr="00AF5643">
        <w:rPr>
          <w:rStyle w:val="af9"/>
          <w:rFonts w:hint="cs"/>
          <w:rtl/>
        </w:rPr>
        <w:t>בחו"ש הגרב"ב</w:t>
      </w:r>
      <w:r>
        <w:rPr>
          <w:rFonts w:hint="cs"/>
          <w:rtl/>
        </w:rPr>
        <w:t xml:space="preserve"> </w:t>
      </w:r>
      <w:r w:rsidRPr="003F2A29">
        <w:rPr>
          <w:rStyle w:val="af7"/>
          <w:rFonts w:eastAsia="Guttman Hodes" w:hint="cs"/>
          <w:rtl/>
        </w:rPr>
        <w:t>(</w:t>
      </w:r>
      <w:r>
        <w:rPr>
          <w:rStyle w:val="af7"/>
          <w:rFonts w:eastAsia="Guttman Hodes" w:hint="cs"/>
          <w:rtl/>
        </w:rPr>
        <w:t xml:space="preserve">ח"א </w:t>
      </w:r>
      <w:r w:rsidRPr="003F2A29">
        <w:rPr>
          <w:rStyle w:val="af7"/>
          <w:rFonts w:eastAsia="Guttman Hodes" w:hint="cs"/>
          <w:rtl/>
        </w:rPr>
        <w:t>סי' י')</w:t>
      </w:r>
      <w:r>
        <w:rPr>
          <w:rFonts w:hint="cs"/>
          <w:rtl/>
        </w:rPr>
        <w:t xml:space="preserve"> בשם </w:t>
      </w:r>
      <w:r w:rsidRPr="008E2DA0">
        <w:rPr>
          <w:rStyle w:val="af9"/>
          <w:rFonts w:hint="cs"/>
          <w:rtl/>
        </w:rPr>
        <w:t>הגר"י מפונביז'</w:t>
      </w:r>
      <w:r>
        <w:rPr>
          <w:rFonts w:hint="cs"/>
          <w:rtl/>
        </w:rPr>
        <w:t xml:space="preserve"> דביאר דלהצד דאף בפחות מג"ש יש ספק על הקרקע, א"כ צריך להעמידה בחזקת המחזיק שהוא התפוס, כמו בכל ספיקא דממונא דמספק לא עושים מעשה להוציא מיד המוחזק, ומהא דמעמידים בחזקת המרא קמא, מוכח שכל שלא החזיק ג"ש אין ספק כלל, והקרקע בחזקת המערער לגמרי, והמחזיק אינו נחשב תפוס, דאין תפוס בקרקע.</w:t>
      </w:r>
    </w:p>
    <w:p w:rsidR="00461951" w:rsidRDefault="00461951" w:rsidP="00461951">
      <w:pPr>
        <w:pStyle w:val="a3"/>
        <w:rPr>
          <w:rtl/>
        </w:rPr>
      </w:pPr>
      <w:bookmarkStart w:id="868" w:name="_Toc54125771"/>
      <w:bookmarkStart w:id="869" w:name="_Toc54133983"/>
      <w:r>
        <w:rPr>
          <w:rFonts w:hint="cs"/>
          <w:rtl/>
        </w:rPr>
        <w:t>הוכחת הגר"ח דאין כל ספק בקרקע מהא דהדרא פירא ולא מעמידים אותם בחזקת התפוס</w:t>
      </w:r>
      <w:bookmarkEnd w:id="868"/>
      <w:bookmarkEnd w:id="869"/>
    </w:p>
    <w:p w:rsidR="00461951" w:rsidRDefault="00461951" w:rsidP="007E4E81">
      <w:pPr>
        <w:pStyle w:val="a0"/>
        <w:rPr>
          <w:rtl/>
        </w:rPr>
      </w:pPr>
      <w:r w:rsidRPr="00B42F71">
        <w:rPr>
          <w:rtl/>
        </w:rPr>
        <w:t xml:space="preserve">והביא </w:t>
      </w:r>
      <w:r w:rsidRPr="00B42F71">
        <w:rPr>
          <w:rStyle w:val="af9"/>
          <w:rtl/>
        </w:rPr>
        <w:t>בחו"ש הגרב"ב</w:t>
      </w:r>
      <w:r w:rsidRPr="00B42F71">
        <w:rPr>
          <w:rtl/>
        </w:rPr>
        <w:t xml:space="preserve"> </w:t>
      </w:r>
      <w:r w:rsidRPr="00B42F71">
        <w:rPr>
          <w:rStyle w:val="af7"/>
          <w:rFonts w:eastAsia="Guttman Hodes"/>
          <w:rtl/>
        </w:rPr>
        <w:t>(סי' י' ד"ה והנה)</w:t>
      </w:r>
      <w:r w:rsidRPr="00B42F71">
        <w:rPr>
          <w:rtl/>
        </w:rPr>
        <w:t xml:space="preserve"> בשם </w:t>
      </w:r>
      <w:r w:rsidRPr="00B42F71">
        <w:rPr>
          <w:rStyle w:val="af9"/>
          <w:rtl/>
        </w:rPr>
        <w:t>הגר"ח</w:t>
      </w:r>
      <w:r w:rsidRPr="00B42F71">
        <w:rPr>
          <w:rtl/>
        </w:rPr>
        <w:t xml:space="preserve"> </w:t>
      </w:r>
      <w:r>
        <w:rPr>
          <w:rFonts w:hint="cs"/>
          <w:rtl/>
        </w:rPr>
        <w:t xml:space="preserve">דהביא ראיה דבפחות מג"ש אין כל ספק על הקרקע, </w:t>
      </w:r>
      <w:r w:rsidRPr="00B42F71">
        <w:rPr>
          <w:rtl/>
        </w:rPr>
        <w:t xml:space="preserve">מהא דאמר ר"נ בגמ' לקמן </w:t>
      </w:r>
      <w:r w:rsidRPr="00B42F71">
        <w:rPr>
          <w:rStyle w:val="af7"/>
          <w:rFonts w:eastAsia="Guttman Hodes"/>
          <w:rtl/>
        </w:rPr>
        <w:t>(לג:)</w:t>
      </w:r>
      <w:r w:rsidRPr="00B42F71">
        <w:rPr>
          <w:rtl/>
        </w:rPr>
        <w:t xml:space="preserve"> דבאכל ב' שנים הדרא ארעא והדרא פירי, </w:t>
      </w:r>
      <w:r>
        <w:rPr>
          <w:rFonts w:hint="cs"/>
          <w:rtl/>
        </w:rPr>
        <w:t>ואי</w:t>
      </w:r>
      <w:r w:rsidRPr="00B42F71">
        <w:rPr>
          <w:rtl/>
        </w:rPr>
        <w:t xml:space="preserve"> חזקה בפחות מג"ש עושה ספק, א"כ אף דאת השדה עצמה מעמידים בחזקת המרא קמא, מ"מ את הפירות צריך להעמיד בחזקת התפוס, אלא מוכח דהקרקע היא בחזקת המערער לגמרי. [ועיי"ש</w:t>
      </w:r>
      <w:r w:rsidR="00A77F33">
        <w:rPr>
          <w:rtl/>
        </w:rPr>
        <w:t xml:space="preserve"> </w:t>
      </w:r>
      <w:r w:rsidRPr="00B42F71">
        <w:rPr>
          <w:rtl/>
        </w:rPr>
        <w:t xml:space="preserve">במ"ש </w:t>
      </w:r>
      <w:r w:rsidRPr="00B42F71">
        <w:rPr>
          <w:rStyle w:val="af9"/>
          <w:rtl/>
        </w:rPr>
        <w:t>בחו"ש הגרב"ב</w:t>
      </w:r>
      <w:r w:rsidRPr="00B42F71">
        <w:rPr>
          <w:rtl/>
        </w:rPr>
        <w:t xml:space="preserve"> בזה].</w:t>
      </w:r>
      <w:r w:rsidRPr="00252279">
        <w:rPr>
          <w:rtl/>
        </w:rPr>
        <w:t xml:space="preserve"> </w:t>
      </w:r>
    </w:p>
    <w:p w:rsidR="00461951" w:rsidRPr="008071F3" w:rsidRDefault="00461951" w:rsidP="00461951">
      <w:pPr>
        <w:pStyle w:val="1"/>
      </w:pPr>
      <w:bookmarkStart w:id="870" w:name="_Toc54125772"/>
      <w:bookmarkStart w:id="871" w:name="_Toc54133984"/>
      <w:r>
        <w:rPr>
          <w:rFonts w:hint="cs"/>
          <w:rtl/>
        </w:rPr>
        <w:t>דברי הגרב"ב דחזקת ג"ש בעבדים דהם כגודרות ולא כקרקע</w:t>
      </w:r>
      <w:bookmarkEnd w:id="870"/>
      <w:bookmarkEnd w:id="871"/>
    </w:p>
    <w:p w:rsidR="00461951" w:rsidRDefault="00461951" w:rsidP="00461951">
      <w:pPr>
        <w:pStyle w:val="a3"/>
        <w:rPr>
          <w:rtl/>
        </w:rPr>
      </w:pPr>
      <w:bookmarkStart w:id="872" w:name="_Toc54125773"/>
      <w:bookmarkStart w:id="873" w:name="_Toc54133985"/>
      <w:r>
        <w:rPr>
          <w:rFonts w:hint="cs"/>
          <w:rtl/>
        </w:rPr>
        <w:t>חקירת הגרב"ב אי חזקת ג"ש בעבדים מדין גודרות או דעבדים הם כקרקע</w:t>
      </w:r>
      <w:bookmarkEnd w:id="872"/>
      <w:bookmarkEnd w:id="873"/>
    </w:p>
    <w:p w:rsidR="00461951" w:rsidRDefault="00461951" w:rsidP="007E4E81">
      <w:pPr>
        <w:pStyle w:val="a0"/>
        <w:rPr>
          <w:rtl/>
        </w:rPr>
      </w:pPr>
      <w:r>
        <w:rPr>
          <w:rFonts w:hint="cs"/>
          <w:rtl/>
        </w:rPr>
        <w:t xml:space="preserve">וכתב </w:t>
      </w:r>
      <w:r w:rsidRPr="00CA77C7">
        <w:rPr>
          <w:rStyle w:val="af9"/>
          <w:rFonts w:hint="cs"/>
          <w:rtl/>
        </w:rPr>
        <w:t>בחו"ש הגרב"ב</w:t>
      </w:r>
      <w:r>
        <w:rPr>
          <w:rFonts w:hint="cs"/>
          <w:rtl/>
        </w:rPr>
        <w:t xml:space="preserve"> </w:t>
      </w:r>
      <w:r w:rsidRPr="00CA77C7">
        <w:rPr>
          <w:rStyle w:val="af7"/>
          <w:rFonts w:eastAsia="Guttman Hodes" w:hint="cs"/>
          <w:rtl/>
        </w:rPr>
        <w:t>(סי' י' ד"ה הנה יש לעיין)</w:t>
      </w:r>
      <w:r>
        <w:rPr>
          <w:rFonts w:hint="cs"/>
          <w:rtl/>
        </w:rPr>
        <w:t xml:space="preserve"> דיש לחקור בחזקת ג"ש בעבדים, האם הוא מחמת דדינם כגודרות, ולא מהני בהם חזקת מטלטלין, ולכן מהני רק חזקת ג"ש, או דחזקת ג"ש מהני בעבדים כיון דהם כקרקעות.</w:t>
      </w:r>
    </w:p>
    <w:p w:rsidR="00461951" w:rsidRPr="008071F3" w:rsidRDefault="00461951" w:rsidP="00461951">
      <w:pPr>
        <w:pStyle w:val="a3"/>
      </w:pPr>
      <w:bookmarkStart w:id="874" w:name="_Toc54125774"/>
      <w:bookmarkStart w:id="875" w:name="_Toc54133986"/>
      <w:r>
        <w:rPr>
          <w:rFonts w:hint="cs"/>
          <w:rtl/>
        </w:rPr>
        <w:t>דברי הגרב"ב דמהא דבעבד קטן יש חזקה לאלתר מוכח דעבדים כגודרות ולא כקרקע</w:t>
      </w:r>
      <w:bookmarkEnd w:id="874"/>
      <w:bookmarkEnd w:id="875"/>
    </w:p>
    <w:p w:rsidR="00461951" w:rsidRDefault="00461951" w:rsidP="007E4E81">
      <w:pPr>
        <w:pStyle w:val="a0"/>
        <w:rPr>
          <w:rtl/>
        </w:rPr>
      </w:pPr>
      <w:r>
        <w:rPr>
          <w:rFonts w:hint="cs"/>
          <w:rtl/>
        </w:rPr>
        <w:t xml:space="preserve">וכתב </w:t>
      </w:r>
      <w:r w:rsidRPr="00CA77C7">
        <w:rPr>
          <w:rStyle w:val="af9"/>
          <w:rFonts w:hint="cs"/>
          <w:rtl/>
        </w:rPr>
        <w:t>הגרב"ב</w:t>
      </w:r>
      <w:r>
        <w:rPr>
          <w:rFonts w:hint="cs"/>
          <w:rtl/>
        </w:rPr>
        <w:t xml:space="preserve"> דמהא דעבד קטן יש לו חזקה לאלתר, </w:t>
      </w:r>
      <w:r>
        <w:rPr>
          <w:rtl/>
        </w:rPr>
        <w:t xml:space="preserve">כדאיתא בגמ' לקמן </w:t>
      </w:r>
      <w:r>
        <w:rPr>
          <w:rStyle w:val="af7"/>
          <w:rFonts w:eastAsia="Guttman Hodes" w:hint="cs"/>
          <w:rtl/>
        </w:rPr>
        <w:t>(לו.)</w:t>
      </w:r>
      <w:r>
        <w:rPr>
          <w:rFonts w:hint="cs"/>
          <w:rtl/>
        </w:rPr>
        <w:t>,</w:t>
      </w:r>
      <w:r>
        <w:rPr>
          <w:rtl/>
        </w:rPr>
        <w:t xml:space="preserve"> </w:t>
      </w:r>
      <w:r>
        <w:rPr>
          <w:rFonts w:hint="cs"/>
          <w:rtl/>
        </w:rPr>
        <w:t>מוכח דעבדים אינם כקרקע אלא דחזקתם היא כגודרות, ובקטן שאינו הולך מעצמו, לא שייך דין גודרות.</w:t>
      </w:r>
    </w:p>
    <w:p w:rsidR="00461951" w:rsidRPr="00994656" w:rsidRDefault="00461951" w:rsidP="00461951">
      <w:pPr>
        <w:pStyle w:val="1"/>
        <w:rPr>
          <w:rtl/>
        </w:rPr>
      </w:pPr>
      <w:bookmarkStart w:id="876" w:name="_Toc54125775"/>
      <w:bookmarkStart w:id="877" w:name="_Toc54133987"/>
      <w:r>
        <w:rPr>
          <w:rFonts w:hint="cs"/>
          <w:rtl/>
        </w:rPr>
        <w:lastRenderedPageBreak/>
        <w:t>ביאור הגרב"ב בקצוה"ח דעבדים גם כגודרות וגם כקרקע</w:t>
      </w:r>
      <w:bookmarkEnd w:id="876"/>
      <w:bookmarkEnd w:id="877"/>
    </w:p>
    <w:p w:rsidR="00461951" w:rsidRDefault="00461951" w:rsidP="00461951">
      <w:pPr>
        <w:pStyle w:val="a3"/>
        <w:rPr>
          <w:rtl/>
        </w:rPr>
      </w:pPr>
      <w:bookmarkStart w:id="878" w:name="_Toc54125776"/>
      <w:bookmarkStart w:id="879" w:name="_Toc54133988"/>
      <w:r>
        <w:rPr>
          <w:rFonts w:hint="cs"/>
          <w:rtl/>
        </w:rPr>
        <w:t>ביאור הגרב"ב בקושית הקצוה"ח דאף דמדין גודרות אין טענת אחוי שטרך מ"מ עבד כקרקע</w:t>
      </w:r>
      <w:bookmarkEnd w:id="878"/>
      <w:bookmarkEnd w:id="879"/>
    </w:p>
    <w:p w:rsidR="00461951" w:rsidRDefault="00461951" w:rsidP="007E4E81">
      <w:pPr>
        <w:pStyle w:val="a0"/>
        <w:rPr>
          <w:rtl/>
        </w:rPr>
      </w:pPr>
      <w:bookmarkStart w:id="880" w:name="_Ref54121896"/>
      <w:r>
        <w:rPr>
          <w:rFonts w:hint="cs"/>
          <w:rtl/>
        </w:rPr>
        <w:t xml:space="preserve">ובמה שהקשה </w:t>
      </w:r>
      <w:r w:rsidRPr="00AF5643">
        <w:rPr>
          <w:rStyle w:val="af9"/>
          <w:rFonts w:hint="cs"/>
          <w:rtl/>
        </w:rPr>
        <w:t xml:space="preserve">הקצוה"ח </w:t>
      </w:r>
      <w:r w:rsidRPr="00BE738F">
        <w:rPr>
          <w:rStyle w:val="af7"/>
          <w:rFonts w:eastAsia="Guttman Hodes" w:hint="cs"/>
          <w:rtl/>
        </w:rPr>
        <w:t xml:space="preserve">(עי' אות </w:t>
      </w:r>
      <w:r w:rsidRPr="00BE738F">
        <w:rPr>
          <w:rStyle w:val="af7"/>
          <w:rFonts w:eastAsia="Guttman Hodes"/>
          <w:rtl/>
        </w:rPr>
        <w:fldChar w:fldCharType="begin"/>
      </w:r>
      <w:r w:rsidRPr="00BE738F">
        <w:rPr>
          <w:rStyle w:val="af7"/>
          <w:rFonts w:eastAsia="Guttman Hodes"/>
          <w:rtl/>
        </w:rPr>
        <w:instrText xml:space="preserve"> </w:instrText>
      </w:r>
      <w:r w:rsidRPr="00BE738F">
        <w:rPr>
          <w:rStyle w:val="af7"/>
          <w:rFonts w:eastAsia="Guttman Hodes" w:hint="cs"/>
        </w:rPr>
        <w:instrText>REF</w:instrText>
      </w:r>
      <w:r w:rsidRPr="00BE738F">
        <w:rPr>
          <w:rStyle w:val="af7"/>
          <w:rFonts w:eastAsia="Guttman Hodes" w:hint="cs"/>
          <w:rtl/>
        </w:rPr>
        <w:instrText xml:space="preserve"> _</w:instrText>
      </w:r>
      <w:r w:rsidRPr="00BE738F">
        <w:rPr>
          <w:rStyle w:val="af7"/>
          <w:rFonts w:eastAsia="Guttman Hodes" w:hint="cs"/>
        </w:rPr>
        <w:instrText>Ref53467648 \r \h</w:instrText>
      </w:r>
      <w:r w:rsidRPr="00BE738F">
        <w:rPr>
          <w:rStyle w:val="af7"/>
          <w:rFonts w:eastAsia="Guttman Hodes"/>
          <w:rtl/>
        </w:rPr>
        <w:instrText xml:space="preserve"> </w:instrText>
      </w:r>
      <w:r w:rsidRPr="00BE738F">
        <w:rPr>
          <w:rStyle w:val="af7"/>
          <w:rFonts w:eastAsia="Guttman Hodes"/>
          <w:rtl/>
        </w:rPr>
      </w:r>
      <w:r w:rsidRPr="00BE738F">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BE738F">
        <w:rPr>
          <w:rStyle w:val="af7"/>
          <w:rFonts w:eastAsia="Guttman Hodes"/>
          <w:rtl/>
        </w:rPr>
        <w:fldChar w:fldCharType="end"/>
      </w:r>
      <w:r>
        <w:rPr>
          <w:rFonts w:hint="cs"/>
          <w:rtl/>
        </w:rPr>
        <w:t xml:space="preserve"> דאמאי בעבד קטן אין טענת אחוי שטרך, ביאר </w:t>
      </w:r>
      <w:r w:rsidR="0083336E" w:rsidRPr="00CA77C7">
        <w:rPr>
          <w:rStyle w:val="af9"/>
          <w:rFonts w:hint="cs"/>
          <w:rtl/>
        </w:rPr>
        <w:t>בחו"ש הגרב"ב</w:t>
      </w:r>
      <w:r w:rsidR="0083336E">
        <w:rPr>
          <w:rFonts w:hint="cs"/>
          <w:rtl/>
        </w:rPr>
        <w:t xml:space="preserve"> </w:t>
      </w:r>
      <w:r w:rsidR="0083336E" w:rsidRPr="00CA77C7">
        <w:rPr>
          <w:rStyle w:val="af7"/>
          <w:rFonts w:eastAsia="Guttman Hodes" w:hint="cs"/>
          <w:rtl/>
        </w:rPr>
        <w:t>(סי' י' ד"ה הנה יש לעיין)</w:t>
      </w:r>
      <w:r w:rsidR="0083336E">
        <w:rPr>
          <w:rFonts w:hint="cs"/>
          <w:rtl/>
        </w:rPr>
        <w:t xml:space="preserve"> </w:t>
      </w:r>
      <w:r>
        <w:rPr>
          <w:rFonts w:hint="cs"/>
          <w:rtl/>
        </w:rPr>
        <w:t xml:space="preserve">דכיון שעבד הוא כקרקע, א"כ אף דמדין גודרות אין עליו טענת אחוי שטרך, מ"מ </w:t>
      </w:r>
      <w:r w:rsidRPr="008071F3">
        <w:rPr>
          <w:rFonts w:hint="cs"/>
          <w:rtl/>
        </w:rPr>
        <w:t>מדין קרקע יש עליו טענה</w:t>
      </w:r>
      <w:r>
        <w:rPr>
          <w:rFonts w:hint="cs"/>
          <w:rtl/>
        </w:rPr>
        <w:t>.</w:t>
      </w:r>
      <w:bookmarkEnd w:id="880"/>
    </w:p>
    <w:p w:rsidR="00461951" w:rsidRPr="00CE5EFE" w:rsidRDefault="00461951" w:rsidP="00461951">
      <w:pPr>
        <w:pStyle w:val="a3"/>
      </w:pPr>
      <w:bookmarkStart w:id="881" w:name="_Toc54125777"/>
      <w:bookmarkStart w:id="882" w:name="_Toc54133989"/>
      <w:r>
        <w:rPr>
          <w:rFonts w:hint="cs"/>
          <w:rtl/>
        </w:rPr>
        <w:t>ביאור הגרב"ב בתירוץ הקצוה"ח דבעבדים יש גם דין קרקע וגם דין גודרות</w:t>
      </w:r>
      <w:bookmarkEnd w:id="881"/>
      <w:bookmarkEnd w:id="882"/>
    </w:p>
    <w:p w:rsidR="00461951" w:rsidRDefault="00461951" w:rsidP="007E4E81">
      <w:pPr>
        <w:pStyle w:val="a0"/>
        <w:rPr>
          <w:rtl/>
        </w:rPr>
      </w:pPr>
      <w:r w:rsidRPr="008071F3">
        <w:rPr>
          <w:rFonts w:hint="cs"/>
          <w:rtl/>
        </w:rPr>
        <w:t xml:space="preserve">ובמה שתירץ </w:t>
      </w:r>
      <w:r w:rsidRPr="008071F3">
        <w:rPr>
          <w:rStyle w:val="af9"/>
          <w:rFonts w:hint="cs"/>
          <w:rtl/>
        </w:rPr>
        <w:t xml:space="preserve">הקצוה"ח </w:t>
      </w:r>
      <w:r w:rsidRPr="00CE5EFE">
        <w:rPr>
          <w:rStyle w:val="af7"/>
          <w:rFonts w:eastAsia="Guttman Hodes" w:hint="cs"/>
          <w:rtl/>
        </w:rPr>
        <w:t xml:space="preserve">(עי' אות </w:t>
      </w:r>
      <w:r w:rsidRPr="00CE5EFE">
        <w:rPr>
          <w:rStyle w:val="af7"/>
          <w:rFonts w:eastAsia="Guttman Hodes"/>
          <w:rtl/>
        </w:rPr>
        <w:fldChar w:fldCharType="begin"/>
      </w:r>
      <w:r w:rsidRPr="00CE5EFE">
        <w:rPr>
          <w:rStyle w:val="af7"/>
          <w:rFonts w:eastAsia="Guttman Hodes"/>
          <w:rtl/>
        </w:rPr>
        <w:instrText xml:space="preserve"> </w:instrText>
      </w:r>
      <w:r w:rsidRPr="00CE5EFE">
        <w:rPr>
          <w:rStyle w:val="af7"/>
          <w:rFonts w:eastAsia="Guttman Hodes" w:hint="cs"/>
        </w:rPr>
        <w:instrText>REF</w:instrText>
      </w:r>
      <w:r w:rsidRPr="00CE5EFE">
        <w:rPr>
          <w:rStyle w:val="af7"/>
          <w:rFonts w:eastAsia="Guttman Hodes" w:hint="cs"/>
          <w:rtl/>
        </w:rPr>
        <w:instrText xml:space="preserve"> _</w:instrText>
      </w:r>
      <w:r w:rsidRPr="00CE5EFE">
        <w:rPr>
          <w:rStyle w:val="af7"/>
          <w:rFonts w:eastAsia="Guttman Hodes" w:hint="cs"/>
        </w:rPr>
        <w:instrText>Ref54113506 \r \h</w:instrText>
      </w:r>
      <w:r w:rsidRPr="00CE5EFE">
        <w:rPr>
          <w:rStyle w:val="af7"/>
          <w:rFonts w:eastAsia="Guttman Hodes"/>
          <w:rtl/>
        </w:rPr>
        <w:instrText xml:space="preserve"> </w:instrText>
      </w:r>
      <w:r w:rsidRPr="00CE5EFE">
        <w:rPr>
          <w:rStyle w:val="af7"/>
          <w:rFonts w:eastAsia="Guttman Hodes"/>
          <w:rtl/>
        </w:rPr>
      </w:r>
      <w:r w:rsidRPr="00CE5EFE">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CE5EFE">
        <w:rPr>
          <w:rStyle w:val="af7"/>
          <w:rFonts w:eastAsia="Guttman Hodes"/>
          <w:rtl/>
        </w:rPr>
        <w:fldChar w:fldCharType="end"/>
      </w:r>
      <w:r>
        <w:rPr>
          <w:rFonts w:hint="cs"/>
          <w:rtl/>
        </w:rPr>
        <w:t xml:space="preserve"> </w:t>
      </w:r>
      <w:r w:rsidRPr="008071F3">
        <w:rPr>
          <w:rFonts w:hint="cs"/>
          <w:rtl/>
        </w:rPr>
        <w:t>דאין את טענת אחוי שטרך, כיון ד</w:t>
      </w:r>
      <w:r>
        <w:rPr>
          <w:rFonts w:hint="cs"/>
          <w:rtl/>
        </w:rPr>
        <w:t>יש ראיה ד</w:t>
      </w:r>
      <w:r w:rsidRPr="008071F3">
        <w:rPr>
          <w:rFonts w:hint="cs"/>
          <w:rtl/>
        </w:rPr>
        <w:t xml:space="preserve">אימא לא מנשיא ברא, ביאר </w:t>
      </w:r>
      <w:r w:rsidRPr="008071F3">
        <w:rPr>
          <w:rStyle w:val="af9"/>
          <w:rFonts w:hint="cs"/>
          <w:rtl/>
        </w:rPr>
        <w:t xml:space="preserve">הגרב"ב </w:t>
      </w:r>
      <w:r w:rsidRPr="008071F3">
        <w:rPr>
          <w:rFonts w:hint="cs"/>
          <w:rtl/>
        </w:rPr>
        <w:t>דאף שהוא כקרקע מ"מ כיון דאימא לא מנשיא ברא, אין עליו טענת אחוי שטרך, דהוא</w:t>
      </w:r>
      <w:r>
        <w:rPr>
          <w:rFonts w:hint="cs"/>
          <w:rtl/>
        </w:rPr>
        <w:t xml:space="preserve"> כמו דדלי ליה צנא דפירי, דאין את טענת אחוי שטרך, וכתב</w:t>
      </w:r>
      <w:r w:rsidRPr="00BE738F">
        <w:rPr>
          <w:rStyle w:val="af9"/>
          <w:rFonts w:hint="cs"/>
          <w:rtl/>
        </w:rPr>
        <w:t xml:space="preserve"> הגרב"ב</w:t>
      </w:r>
      <w:r>
        <w:rPr>
          <w:rFonts w:hint="cs"/>
          <w:rtl/>
        </w:rPr>
        <w:t xml:space="preserve"> דמוכח מדברי </w:t>
      </w:r>
      <w:r w:rsidRPr="00BE738F">
        <w:rPr>
          <w:rStyle w:val="af9"/>
          <w:rFonts w:hint="cs"/>
          <w:rtl/>
        </w:rPr>
        <w:t>הקצוה"ח</w:t>
      </w:r>
      <w:r>
        <w:rPr>
          <w:rFonts w:hint="cs"/>
          <w:rtl/>
        </w:rPr>
        <w:t xml:space="preserve"> דיש בעבדים גם דין קרקע, וגם את דין גודרות, וציין </w:t>
      </w:r>
      <w:r w:rsidRPr="00BE738F">
        <w:rPr>
          <w:rStyle w:val="af9"/>
          <w:rFonts w:hint="cs"/>
          <w:rtl/>
        </w:rPr>
        <w:t>הגרב"ב</w:t>
      </w:r>
      <w:r>
        <w:rPr>
          <w:rFonts w:hint="cs"/>
          <w:rtl/>
        </w:rPr>
        <w:t xml:space="preserve"> לדברי </w:t>
      </w:r>
      <w:r w:rsidRPr="00AF5643">
        <w:rPr>
          <w:rStyle w:val="af9"/>
          <w:rFonts w:hint="cs"/>
          <w:rtl/>
        </w:rPr>
        <w:t>הרשב"א</w:t>
      </w:r>
      <w:r>
        <w:rPr>
          <w:rFonts w:hint="cs"/>
          <w:rtl/>
        </w:rPr>
        <w:t xml:space="preserve"> </w:t>
      </w:r>
      <w:r w:rsidRPr="00994656">
        <w:rPr>
          <w:rStyle w:val="af7"/>
          <w:rFonts w:eastAsia="Guttman Hodes" w:hint="cs"/>
          <w:rtl/>
        </w:rPr>
        <w:t xml:space="preserve">(עי' אות </w:t>
      </w:r>
      <w:r w:rsidRPr="00994656">
        <w:rPr>
          <w:rStyle w:val="af7"/>
          <w:rFonts w:eastAsia="Guttman Hodes"/>
          <w:rtl/>
        </w:rPr>
        <w:fldChar w:fldCharType="begin"/>
      </w:r>
      <w:r w:rsidRPr="00994656">
        <w:rPr>
          <w:rStyle w:val="af7"/>
          <w:rFonts w:eastAsia="Guttman Hodes"/>
          <w:rtl/>
        </w:rPr>
        <w:instrText xml:space="preserve"> </w:instrText>
      </w:r>
      <w:r w:rsidRPr="00994656">
        <w:rPr>
          <w:rStyle w:val="af7"/>
          <w:rFonts w:eastAsia="Guttman Hodes" w:hint="cs"/>
        </w:rPr>
        <w:instrText>REF</w:instrText>
      </w:r>
      <w:r w:rsidRPr="00994656">
        <w:rPr>
          <w:rStyle w:val="af7"/>
          <w:rFonts w:eastAsia="Guttman Hodes" w:hint="cs"/>
          <w:rtl/>
        </w:rPr>
        <w:instrText xml:space="preserve"> _</w:instrText>
      </w:r>
      <w:r w:rsidRPr="00994656">
        <w:rPr>
          <w:rStyle w:val="af7"/>
          <w:rFonts w:eastAsia="Guttman Hodes" w:hint="cs"/>
        </w:rPr>
        <w:instrText>Ref54004530 \r \h</w:instrText>
      </w:r>
      <w:r w:rsidRPr="00994656">
        <w:rPr>
          <w:rStyle w:val="af7"/>
          <w:rFonts w:eastAsia="Guttman Hodes"/>
          <w:rtl/>
        </w:rPr>
        <w:instrText xml:space="preserve"> </w:instrText>
      </w:r>
      <w:r w:rsidRPr="00994656">
        <w:rPr>
          <w:rStyle w:val="af7"/>
          <w:rFonts w:eastAsia="Guttman Hodes"/>
          <w:rtl/>
        </w:rPr>
      </w:r>
      <w:r w:rsidRPr="00994656">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Pr="00994656">
        <w:rPr>
          <w:rStyle w:val="af7"/>
          <w:rFonts w:eastAsia="Guttman Hodes"/>
          <w:rtl/>
        </w:rPr>
        <w:fldChar w:fldCharType="end"/>
      </w:r>
      <w:r>
        <w:rPr>
          <w:rFonts w:hint="cs"/>
          <w:rtl/>
        </w:rPr>
        <w:t xml:space="preserve">, ועי' במ"ש </w:t>
      </w:r>
      <w:r w:rsidRPr="00AF5643">
        <w:rPr>
          <w:rStyle w:val="af9"/>
          <w:rFonts w:hint="cs"/>
          <w:rtl/>
        </w:rPr>
        <w:t xml:space="preserve">בברכ"ש </w:t>
      </w:r>
      <w:r w:rsidRPr="00994656">
        <w:rPr>
          <w:rStyle w:val="af7"/>
          <w:rFonts w:eastAsia="Guttman Hodes" w:hint="cs"/>
          <w:rtl/>
        </w:rPr>
        <w:t xml:space="preserve">(עי' אות </w:t>
      </w:r>
      <w:r w:rsidRPr="00994656">
        <w:rPr>
          <w:rStyle w:val="af7"/>
          <w:rFonts w:eastAsia="Guttman Hodes"/>
          <w:rtl/>
        </w:rPr>
        <w:fldChar w:fldCharType="begin"/>
      </w:r>
      <w:r w:rsidRPr="00994656">
        <w:rPr>
          <w:rStyle w:val="af7"/>
          <w:rFonts w:eastAsia="Guttman Hodes"/>
          <w:rtl/>
        </w:rPr>
        <w:instrText xml:space="preserve"> </w:instrText>
      </w:r>
      <w:r w:rsidRPr="00994656">
        <w:rPr>
          <w:rStyle w:val="af7"/>
          <w:rFonts w:eastAsia="Guttman Hodes" w:hint="cs"/>
        </w:rPr>
        <w:instrText>REF</w:instrText>
      </w:r>
      <w:r w:rsidRPr="00994656">
        <w:rPr>
          <w:rStyle w:val="af7"/>
          <w:rFonts w:eastAsia="Guttman Hodes" w:hint="cs"/>
          <w:rtl/>
        </w:rPr>
        <w:instrText xml:space="preserve"> _</w:instrText>
      </w:r>
      <w:r w:rsidRPr="00994656">
        <w:rPr>
          <w:rStyle w:val="af7"/>
          <w:rFonts w:eastAsia="Guttman Hodes" w:hint="cs"/>
        </w:rPr>
        <w:instrText>Ref54113538 \r \h</w:instrText>
      </w:r>
      <w:r w:rsidRPr="00994656">
        <w:rPr>
          <w:rStyle w:val="af7"/>
          <w:rFonts w:eastAsia="Guttman Hodes"/>
          <w:rtl/>
        </w:rPr>
        <w:instrText xml:space="preserve"> </w:instrText>
      </w:r>
      <w:r w:rsidRPr="00994656">
        <w:rPr>
          <w:rStyle w:val="af7"/>
          <w:rFonts w:eastAsia="Guttman Hodes"/>
          <w:rtl/>
        </w:rPr>
      </w:r>
      <w:r w:rsidRPr="00994656">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994656">
        <w:rPr>
          <w:rStyle w:val="af7"/>
          <w:rFonts w:eastAsia="Guttman Hodes"/>
          <w:rtl/>
        </w:rPr>
        <w:fldChar w:fldCharType="end"/>
      </w:r>
      <w:r>
        <w:rPr>
          <w:rFonts w:hint="cs"/>
          <w:rtl/>
        </w:rPr>
        <w:t>.</w:t>
      </w:r>
    </w:p>
    <w:p w:rsidR="00461951" w:rsidRPr="00994656" w:rsidRDefault="00461951" w:rsidP="00461951">
      <w:pPr>
        <w:pStyle w:val="1"/>
        <w:rPr>
          <w:rtl/>
        </w:rPr>
      </w:pPr>
      <w:bookmarkStart w:id="883" w:name="_Toc54125778"/>
      <w:bookmarkStart w:id="884" w:name="_Toc54133990"/>
      <w:r>
        <w:rPr>
          <w:rFonts w:hint="cs"/>
          <w:rtl/>
        </w:rPr>
        <w:t>ביאור הגרב"ב ברמב"ן דקרקע בחזקת המחזיק מסברת לא חציף</w:t>
      </w:r>
      <w:bookmarkEnd w:id="883"/>
      <w:bookmarkEnd w:id="884"/>
      <w:r>
        <w:rPr>
          <w:rFonts w:hint="cs"/>
          <w:rtl/>
        </w:rPr>
        <w:t xml:space="preserve"> </w:t>
      </w:r>
    </w:p>
    <w:p w:rsidR="00461951" w:rsidRDefault="00461951" w:rsidP="00461951">
      <w:pPr>
        <w:pStyle w:val="a3"/>
        <w:rPr>
          <w:rtl/>
        </w:rPr>
      </w:pPr>
      <w:bookmarkStart w:id="885" w:name="_Toc54125779"/>
      <w:bookmarkStart w:id="886" w:name="_Toc54133991"/>
      <w:r>
        <w:rPr>
          <w:rFonts w:hint="cs"/>
          <w:rtl/>
        </w:rPr>
        <w:t>קושית הגרב"ב על הרמב"ן דהאיך יש ראיה להחשיב את המחזיק כמוחזק הא אין תפיסה בקרקע</w:t>
      </w:r>
      <w:bookmarkEnd w:id="885"/>
      <w:bookmarkEnd w:id="886"/>
    </w:p>
    <w:p w:rsidR="00461951" w:rsidRDefault="00461951" w:rsidP="007E4E81">
      <w:pPr>
        <w:pStyle w:val="a0"/>
        <w:rPr>
          <w:rtl/>
        </w:rPr>
      </w:pPr>
      <w:bookmarkStart w:id="887" w:name="_Ref54091119"/>
      <w:r>
        <w:rPr>
          <w:rFonts w:hint="cs"/>
          <w:rtl/>
        </w:rPr>
        <w:t xml:space="preserve">במ"ש </w:t>
      </w:r>
      <w:r w:rsidRPr="007C07BF">
        <w:rPr>
          <w:rStyle w:val="af9"/>
          <w:rFonts w:hint="cs"/>
          <w:rtl/>
        </w:rPr>
        <w:t>הרמב"ן</w:t>
      </w:r>
      <w:r>
        <w:rPr>
          <w:rStyle w:val="af9"/>
          <w:rFonts w:hint="cs"/>
          <w:rtl/>
        </w:rPr>
        <w:t xml:space="preserve"> לקמן</w:t>
      </w:r>
      <w:r>
        <w:rPr>
          <w:rFonts w:hint="cs"/>
          <w:rtl/>
        </w:rPr>
        <w:t xml:space="preserve"> </w:t>
      </w:r>
      <w:r w:rsidRPr="00504367">
        <w:rPr>
          <w:rStyle w:val="af7"/>
          <w:rFonts w:eastAsia="Guttman Hodes" w:hint="cs"/>
          <w:rtl/>
        </w:rPr>
        <w:t xml:space="preserve">(עי' אות </w:t>
      </w:r>
      <w:r w:rsidRPr="00504367">
        <w:rPr>
          <w:rStyle w:val="af7"/>
          <w:rFonts w:eastAsia="Guttman Hodes"/>
          <w:rtl/>
        </w:rPr>
        <w:fldChar w:fldCharType="begin"/>
      </w:r>
      <w:r w:rsidRPr="00504367">
        <w:rPr>
          <w:rStyle w:val="af7"/>
          <w:rFonts w:eastAsia="Guttman Hodes"/>
          <w:rtl/>
        </w:rPr>
        <w:instrText xml:space="preserve"> </w:instrText>
      </w:r>
      <w:r w:rsidRPr="00504367">
        <w:rPr>
          <w:rStyle w:val="af7"/>
          <w:rFonts w:eastAsia="Guttman Hodes" w:hint="cs"/>
        </w:rPr>
        <w:instrText>REF</w:instrText>
      </w:r>
      <w:r w:rsidRPr="00504367">
        <w:rPr>
          <w:rStyle w:val="af7"/>
          <w:rFonts w:eastAsia="Guttman Hodes" w:hint="cs"/>
          <w:rtl/>
        </w:rPr>
        <w:instrText xml:space="preserve"> _</w:instrText>
      </w:r>
      <w:r w:rsidRPr="00504367">
        <w:rPr>
          <w:rStyle w:val="af7"/>
          <w:rFonts w:eastAsia="Guttman Hodes" w:hint="cs"/>
        </w:rPr>
        <w:instrText>Ref54021550 \r \h</w:instrText>
      </w:r>
      <w:r w:rsidRPr="00504367">
        <w:rPr>
          <w:rStyle w:val="af7"/>
          <w:rFonts w:eastAsia="Guttman Hodes"/>
          <w:rtl/>
        </w:rPr>
        <w:instrText xml:space="preserve"> </w:instrText>
      </w:r>
      <w:r w:rsidRPr="00504367">
        <w:rPr>
          <w:rStyle w:val="af7"/>
          <w:rFonts w:eastAsia="Guttman Hodes"/>
          <w:rtl/>
        </w:rPr>
      </w:r>
      <w:r w:rsidRPr="00504367">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504367">
        <w:rPr>
          <w:rStyle w:val="af7"/>
          <w:rFonts w:eastAsia="Guttman Hodes"/>
          <w:rtl/>
        </w:rPr>
        <w:fldChar w:fldCharType="end"/>
      </w:r>
      <w:r>
        <w:rPr>
          <w:rFonts w:hint="cs"/>
          <w:rtl/>
        </w:rPr>
        <w:t xml:space="preserve"> דהא דמהני חזקת ג"ש, הוא כיון שהמערער שותק למחזיק, יש רגלים לדבר דמכר לו, וצריך</w:t>
      </w:r>
      <w:r w:rsidRPr="002F34B1">
        <w:rPr>
          <w:rFonts w:hint="cs"/>
          <w:rtl/>
        </w:rPr>
        <w:t xml:space="preserve"> </w:t>
      </w:r>
      <w:r>
        <w:rPr>
          <w:rFonts w:hint="cs"/>
          <w:rtl/>
        </w:rPr>
        <w:t>ג"ש כדי שלא יהיה טענה על המחזיק דאחוי שטרך, הקשה</w:t>
      </w:r>
      <w:r w:rsidRPr="007C07BF">
        <w:rPr>
          <w:rStyle w:val="af9"/>
          <w:rFonts w:hint="cs"/>
          <w:rtl/>
        </w:rPr>
        <w:t xml:space="preserve"> בחו"ש הגרב"ב</w:t>
      </w:r>
      <w:r>
        <w:rPr>
          <w:rFonts w:hint="cs"/>
          <w:rtl/>
        </w:rPr>
        <w:t xml:space="preserve"> </w:t>
      </w:r>
      <w:r w:rsidRPr="007C07BF">
        <w:rPr>
          <w:rStyle w:val="af7"/>
          <w:rFonts w:eastAsia="Guttman Hodes" w:hint="cs"/>
          <w:rtl/>
        </w:rPr>
        <w:t>(</w:t>
      </w:r>
      <w:r>
        <w:rPr>
          <w:rStyle w:val="af7"/>
          <w:rFonts w:eastAsia="Guttman Hodes" w:hint="cs"/>
          <w:rtl/>
        </w:rPr>
        <w:t xml:space="preserve">ח"א </w:t>
      </w:r>
      <w:r w:rsidRPr="007C07BF">
        <w:rPr>
          <w:rStyle w:val="af7"/>
          <w:rFonts w:eastAsia="Guttman Hodes" w:hint="cs"/>
          <w:rtl/>
        </w:rPr>
        <w:t xml:space="preserve">סי' י' ד"ה הנה יש לעיין) </w:t>
      </w:r>
      <w:r>
        <w:rPr>
          <w:rFonts w:hint="cs"/>
          <w:rtl/>
        </w:rPr>
        <w:t xml:space="preserve">דכיון דס"ל </w:t>
      </w:r>
      <w:r w:rsidRPr="00737BBE">
        <w:rPr>
          <w:rStyle w:val="af9"/>
          <w:rFonts w:hint="cs"/>
          <w:rtl/>
        </w:rPr>
        <w:t>להרמב"ן</w:t>
      </w:r>
      <w:r>
        <w:rPr>
          <w:rFonts w:hint="cs"/>
          <w:rtl/>
        </w:rPr>
        <w:t xml:space="preserve"> דאף בשנה אחת מהני החזקה, והקרקע בחזקת המחזיק, וכ"מ דצריך ג"ש הוא רק כיון שיש ריעותא בחזקה, מחמת טענת אחוי שטרך, דהיאך אפש"ל דמהני חזקת המחזיק להחשיבו כמוחזק, והא לא שייך דין תפוס בקרקע, ואף אי ס"ל </w:t>
      </w:r>
      <w:r w:rsidRPr="00737BBE">
        <w:rPr>
          <w:rStyle w:val="af9"/>
          <w:rFonts w:hint="cs"/>
          <w:rtl/>
        </w:rPr>
        <w:t>להרמב"ן</w:t>
      </w:r>
      <w:r>
        <w:rPr>
          <w:rFonts w:hint="cs"/>
          <w:rtl/>
        </w:rPr>
        <w:t xml:space="preserve"> דלא אמרינן דקרקע בחזקת בעליה עומדת, מ"מ היאך היא עומדת בחזקת המחזיק.</w:t>
      </w:r>
      <w:bookmarkEnd w:id="887"/>
    </w:p>
    <w:p w:rsidR="00461951" w:rsidRDefault="00461951" w:rsidP="00461951">
      <w:pPr>
        <w:pStyle w:val="a3"/>
        <w:rPr>
          <w:rtl/>
        </w:rPr>
      </w:pPr>
      <w:bookmarkStart w:id="888" w:name="_Toc54125780"/>
      <w:bookmarkStart w:id="889" w:name="_Toc54133992"/>
      <w:r>
        <w:rPr>
          <w:rFonts w:hint="cs"/>
          <w:rtl/>
        </w:rPr>
        <w:t>ביאור הגרב"ב ברמב"ן דהקרקע בחזקת המחזיק מחמת סברת לא חציף ולא מכח תפיסה</w:t>
      </w:r>
      <w:bookmarkEnd w:id="888"/>
      <w:bookmarkEnd w:id="889"/>
    </w:p>
    <w:p w:rsidR="00461951" w:rsidRDefault="00461951" w:rsidP="007E4E81">
      <w:pPr>
        <w:pStyle w:val="a0"/>
      </w:pPr>
      <w:r>
        <w:rPr>
          <w:rFonts w:hint="cs"/>
          <w:rtl/>
        </w:rPr>
        <w:t xml:space="preserve">וביאר </w:t>
      </w:r>
      <w:r w:rsidRPr="00737BBE">
        <w:rPr>
          <w:rStyle w:val="af9"/>
          <w:rFonts w:hint="cs"/>
          <w:rtl/>
        </w:rPr>
        <w:t>בחו"ש הגרב"ב</w:t>
      </w:r>
      <w:r>
        <w:rPr>
          <w:rFonts w:hint="cs"/>
          <w:rtl/>
        </w:rPr>
        <w:t xml:space="preserve"> דס"ל </w:t>
      </w:r>
      <w:r w:rsidRPr="00737BBE">
        <w:rPr>
          <w:rStyle w:val="af9"/>
          <w:rFonts w:hint="cs"/>
          <w:rtl/>
        </w:rPr>
        <w:t>להרמב"ן</w:t>
      </w:r>
      <w:r>
        <w:rPr>
          <w:rFonts w:hint="cs"/>
          <w:rtl/>
        </w:rPr>
        <w:t xml:space="preserve"> דהא דחשיב שהקרקע בחזקת המחזיק, </w:t>
      </w:r>
      <w:r w:rsidRPr="00737BBE">
        <w:rPr>
          <w:rStyle w:val="afb"/>
          <w:rFonts w:hint="cs"/>
          <w:rtl/>
        </w:rPr>
        <w:t>[ויש עליו רק טענת אחוי שטרך],</w:t>
      </w:r>
      <w:r>
        <w:rPr>
          <w:rFonts w:hint="cs"/>
          <w:rtl/>
        </w:rPr>
        <w:t xml:space="preserve"> הוא מחמת הסברא דלא חציף איניש למיחת לארעא דלאו דיליה, ולא מחמת שהוא תפוס.</w:t>
      </w:r>
    </w:p>
    <w:p w:rsidR="00FF386B" w:rsidRDefault="00FF386B" w:rsidP="00FF386B">
      <w:pPr>
        <w:pStyle w:val="afe"/>
        <w:rPr>
          <w:rtl/>
        </w:rPr>
      </w:pPr>
      <w:bookmarkStart w:id="890" w:name="_Toc54125781"/>
      <w:bookmarkStart w:id="891" w:name="_Toc54133993"/>
      <w:r>
        <w:rPr>
          <w:rFonts w:hint="cs"/>
          <w:rtl/>
        </w:rPr>
        <w:t>בחזקת ג"ש בעבדים וגודרות</w:t>
      </w:r>
      <w:bookmarkEnd w:id="841"/>
      <w:bookmarkEnd w:id="842"/>
      <w:bookmarkEnd w:id="843"/>
      <w:bookmarkEnd w:id="850"/>
      <w:bookmarkEnd w:id="851"/>
      <w:bookmarkEnd w:id="852"/>
      <w:bookmarkEnd w:id="853"/>
      <w:bookmarkEnd w:id="890"/>
      <w:bookmarkEnd w:id="891"/>
    </w:p>
    <w:p w:rsidR="00FF386B" w:rsidRDefault="00FF386B" w:rsidP="0009074B">
      <w:pPr>
        <w:pStyle w:val="1"/>
        <w:rPr>
          <w:rtl/>
        </w:rPr>
      </w:pPr>
      <w:bookmarkStart w:id="892" w:name="_Toc53402204"/>
      <w:bookmarkStart w:id="893" w:name="_Toc53941235"/>
      <w:bookmarkStart w:id="894" w:name="_Toc54000521"/>
      <w:bookmarkStart w:id="895" w:name="_Toc54038996"/>
      <w:bookmarkStart w:id="896" w:name="_Toc54039090"/>
      <w:bookmarkStart w:id="897" w:name="_Toc54087541"/>
      <w:bookmarkStart w:id="898" w:name="_Toc54109351"/>
      <w:bookmarkStart w:id="899" w:name="_Toc54125782"/>
      <w:bookmarkStart w:id="900" w:name="_Toc54133994"/>
      <w:r>
        <w:rPr>
          <w:rFonts w:hint="cs"/>
          <w:rtl/>
        </w:rPr>
        <w:t>ביאור הברכ"ש ברשב"א</w:t>
      </w:r>
      <w:bookmarkEnd w:id="892"/>
      <w:bookmarkEnd w:id="893"/>
      <w:bookmarkEnd w:id="894"/>
      <w:bookmarkEnd w:id="895"/>
      <w:bookmarkEnd w:id="896"/>
      <w:bookmarkEnd w:id="897"/>
      <w:bookmarkEnd w:id="898"/>
      <w:bookmarkEnd w:id="899"/>
      <w:r w:rsidR="006C47AC">
        <w:rPr>
          <w:rFonts w:hint="cs"/>
          <w:rtl/>
        </w:rPr>
        <w:t xml:space="preserve"> </w:t>
      </w:r>
      <w:r w:rsidR="0009074B">
        <w:rPr>
          <w:rFonts w:hint="cs"/>
          <w:rtl/>
        </w:rPr>
        <w:t>דהריעותא דגודרות אינו מצריך ג"ש</w:t>
      </w:r>
      <w:bookmarkEnd w:id="900"/>
    </w:p>
    <w:p w:rsidR="00FF386B" w:rsidRDefault="00234B3D" w:rsidP="000D70DA">
      <w:pPr>
        <w:pStyle w:val="a3"/>
      </w:pPr>
      <w:bookmarkStart w:id="901" w:name="_Toc54125783"/>
      <w:bookmarkStart w:id="902" w:name="_Toc54133995"/>
      <w:r>
        <w:rPr>
          <w:rFonts w:hint="cs"/>
          <w:rtl/>
        </w:rPr>
        <w:t>ביאור הברכ"ש בקושית הרשב"א דבהולכים מעצמם לא שייך אכילה</w:t>
      </w:r>
      <w:r w:rsidR="00402980">
        <w:rPr>
          <w:rFonts w:hint="cs"/>
          <w:rtl/>
        </w:rPr>
        <w:t xml:space="preserve"> </w:t>
      </w:r>
      <w:r w:rsidR="000D70DA">
        <w:rPr>
          <w:rFonts w:hint="cs"/>
          <w:rtl/>
        </w:rPr>
        <w:t>והג"ש מהני כמו בגודרות</w:t>
      </w:r>
      <w:bookmarkEnd w:id="901"/>
      <w:bookmarkEnd w:id="902"/>
    </w:p>
    <w:p w:rsidR="00FF386B" w:rsidRDefault="00FF386B" w:rsidP="007E4E81">
      <w:pPr>
        <w:pStyle w:val="a0"/>
        <w:rPr>
          <w:rtl/>
        </w:rPr>
      </w:pPr>
      <w:bookmarkStart w:id="903" w:name="_Ref54090980"/>
      <w:r>
        <w:rPr>
          <w:rFonts w:hint="cs"/>
          <w:rtl/>
        </w:rPr>
        <w:t xml:space="preserve">במה שהקשה </w:t>
      </w:r>
      <w:r w:rsidRPr="003F2A29">
        <w:rPr>
          <w:rStyle w:val="af9"/>
          <w:rFonts w:hint="cs"/>
          <w:rtl/>
        </w:rPr>
        <w:t>הרשב"א</w:t>
      </w:r>
      <w:r>
        <w:rPr>
          <w:rFonts w:hint="cs"/>
          <w:rtl/>
        </w:rPr>
        <w:t xml:space="preserve"> </w:t>
      </w:r>
      <w:r w:rsidRPr="00F15E1B">
        <w:rPr>
          <w:rStyle w:val="af7"/>
          <w:rFonts w:eastAsia="Guttman Hodes" w:hint="cs"/>
          <w:rtl/>
        </w:rPr>
        <w:t xml:space="preserve">(עי' אות </w:t>
      </w:r>
      <w:r w:rsidR="00F15E1B" w:rsidRPr="00F15E1B">
        <w:rPr>
          <w:rStyle w:val="af7"/>
          <w:rFonts w:eastAsia="Guttman Hodes"/>
          <w:rtl/>
        </w:rPr>
        <w:fldChar w:fldCharType="begin"/>
      </w:r>
      <w:r w:rsidR="00F15E1B" w:rsidRPr="00F15E1B">
        <w:rPr>
          <w:rStyle w:val="af7"/>
          <w:rFonts w:eastAsia="Guttman Hodes"/>
          <w:rtl/>
        </w:rPr>
        <w:instrText xml:space="preserve"> </w:instrText>
      </w:r>
      <w:r w:rsidR="00F15E1B" w:rsidRPr="00F15E1B">
        <w:rPr>
          <w:rStyle w:val="af7"/>
          <w:rFonts w:eastAsia="Guttman Hodes" w:hint="cs"/>
        </w:rPr>
        <w:instrText>REF</w:instrText>
      </w:r>
      <w:r w:rsidR="00F15E1B" w:rsidRPr="00F15E1B">
        <w:rPr>
          <w:rStyle w:val="af7"/>
          <w:rFonts w:eastAsia="Guttman Hodes" w:hint="cs"/>
          <w:rtl/>
        </w:rPr>
        <w:instrText xml:space="preserve"> _</w:instrText>
      </w:r>
      <w:r w:rsidR="00F15E1B" w:rsidRPr="00F15E1B">
        <w:rPr>
          <w:rStyle w:val="af7"/>
          <w:rFonts w:eastAsia="Guttman Hodes" w:hint="cs"/>
        </w:rPr>
        <w:instrText>Ref54090950 \r \h</w:instrText>
      </w:r>
      <w:r w:rsidR="00F15E1B" w:rsidRPr="00F15E1B">
        <w:rPr>
          <w:rStyle w:val="af7"/>
          <w:rFonts w:eastAsia="Guttman Hodes"/>
          <w:rtl/>
        </w:rPr>
        <w:instrText xml:space="preserve"> </w:instrText>
      </w:r>
      <w:r w:rsidR="00F15E1B" w:rsidRPr="00F15E1B">
        <w:rPr>
          <w:rStyle w:val="af7"/>
          <w:rFonts w:eastAsia="Guttman Hodes"/>
          <w:rtl/>
        </w:rPr>
      </w:r>
      <w:r w:rsidR="00F15E1B" w:rsidRPr="00F15E1B">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00F15E1B" w:rsidRPr="00F15E1B">
        <w:rPr>
          <w:rStyle w:val="af7"/>
          <w:rFonts w:eastAsia="Guttman Hodes"/>
          <w:rtl/>
        </w:rPr>
        <w:fldChar w:fldCharType="end"/>
      </w:r>
      <w:r>
        <w:rPr>
          <w:rFonts w:hint="cs"/>
          <w:rtl/>
        </w:rPr>
        <w:t xml:space="preserve"> כיון דהעבדים הולכים מעצמם, א"כ הם כגודרות, דאין להם חזקה לאלתר, אף אם לא היו עושים פירות תדיר, ביאר </w:t>
      </w:r>
      <w:r w:rsidRPr="003F2A29">
        <w:rPr>
          <w:rStyle w:val="af9"/>
          <w:rFonts w:hint="cs"/>
          <w:rtl/>
        </w:rPr>
        <w:t>הברכ"ש</w:t>
      </w:r>
      <w:r>
        <w:rPr>
          <w:rFonts w:hint="cs"/>
          <w:rtl/>
        </w:rPr>
        <w:t xml:space="preserve"> </w:t>
      </w:r>
      <w:r w:rsidRPr="003F2A29">
        <w:rPr>
          <w:rStyle w:val="af7"/>
          <w:rFonts w:eastAsia="Guttman Hodes" w:hint="cs"/>
          <w:rtl/>
        </w:rPr>
        <w:t>(סי' כ"ו)</w:t>
      </w:r>
      <w:r>
        <w:rPr>
          <w:rFonts w:hint="cs"/>
          <w:rtl/>
        </w:rPr>
        <w:t xml:space="preserve"> דכיון שהעבדים הולכים מעצמם א"כ לא שייך בהם דין של אכילה, וכדמוכח מהא דבגודרות צריך ג"ש, </w:t>
      </w:r>
      <w:r w:rsidR="00234B3D" w:rsidRPr="00234B3D">
        <w:rPr>
          <w:rStyle w:val="afb"/>
          <w:rFonts w:hint="cs"/>
          <w:rtl/>
        </w:rPr>
        <w:t xml:space="preserve">[כפשטות הגמ' לקמן </w:t>
      </w:r>
      <w:r w:rsidR="00234B3D" w:rsidRPr="00234B3D">
        <w:rPr>
          <w:rStyle w:val="aff6"/>
          <w:rFonts w:hint="cs"/>
          <w:rtl/>
        </w:rPr>
        <w:t>(לו:)</w:t>
      </w:r>
      <w:r w:rsidR="00234B3D" w:rsidRPr="00234B3D">
        <w:rPr>
          <w:rStyle w:val="afb"/>
          <w:rFonts w:hint="cs"/>
          <w:rtl/>
        </w:rPr>
        <w:t xml:space="preserve"> וכדהבין </w:t>
      </w:r>
      <w:r w:rsidR="00234B3D" w:rsidRPr="00234B3D">
        <w:rPr>
          <w:rStyle w:val="affa"/>
          <w:rFonts w:hint="cs"/>
          <w:rtl/>
        </w:rPr>
        <w:t>הרשב"א</w:t>
      </w:r>
      <w:r w:rsidR="00234B3D" w:rsidRPr="00234B3D">
        <w:rPr>
          <w:rStyle w:val="afb"/>
          <w:rFonts w:hint="cs"/>
          <w:rtl/>
        </w:rPr>
        <w:t xml:space="preserve"> בקושיתו],</w:t>
      </w:r>
      <w:r w:rsidR="00234B3D">
        <w:rPr>
          <w:rFonts w:hint="cs"/>
          <w:rtl/>
        </w:rPr>
        <w:t xml:space="preserve"> </w:t>
      </w:r>
      <w:r w:rsidR="00E7063E">
        <w:rPr>
          <w:rFonts w:hint="cs"/>
          <w:rtl/>
        </w:rPr>
        <w:t>דכיון</w:t>
      </w:r>
      <w:r>
        <w:rPr>
          <w:rFonts w:hint="cs"/>
          <w:rtl/>
        </w:rPr>
        <w:t xml:space="preserve"> שיש ריעותא דהגודרות הולכות מעצמם, </w:t>
      </w:r>
      <w:r w:rsidR="00E7063E">
        <w:rPr>
          <w:rFonts w:hint="cs"/>
          <w:rtl/>
        </w:rPr>
        <w:t>לכן רק</w:t>
      </w:r>
      <w:r>
        <w:rPr>
          <w:rFonts w:hint="cs"/>
          <w:rtl/>
        </w:rPr>
        <w:t xml:space="preserve"> לאחר ג"ש הוי חזקה, ו</w:t>
      </w:r>
      <w:r w:rsidR="00E7063E">
        <w:rPr>
          <w:rFonts w:hint="cs"/>
          <w:rtl/>
        </w:rPr>
        <w:t>א"כ</w:t>
      </w:r>
      <w:r>
        <w:rPr>
          <w:rFonts w:hint="cs"/>
          <w:rtl/>
        </w:rPr>
        <w:t xml:space="preserve"> הקשה </w:t>
      </w:r>
      <w:r w:rsidRPr="003F2A29">
        <w:rPr>
          <w:rStyle w:val="af9"/>
          <w:rFonts w:hint="cs"/>
          <w:rtl/>
        </w:rPr>
        <w:t>הרשב"א</w:t>
      </w:r>
      <w:r>
        <w:rPr>
          <w:rFonts w:hint="cs"/>
          <w:rtl/>
        </w:rPr>
        <w:t xml:space="preserve"> </w:t>
      </w:r>
      <w:r w:rsidR="00E7063E">
        <w:rPr>
          <w:rFonts w:hint="cs"/>
          <w:rtl/>
        </w:rPr>
        <w:t>ד</w:t>
      </w:r>
      <w:r>
        <w:rPr>
          <w:rFonts w:hint="cs"/>
          <w:rtl/>
        </w:rPr>
        <w:t xml:space="preserve">אף בעבדים </w:t>
      </w:r>
      <w:r w:rsidR="0037285A">
        <w:rPr>
          <w:rFonts w:hint="cs"/>
          <w:rtl/>
        </w:rPr>
        <w:t>ש</w:t>
      </w:r>
      <w:r>
        <w:rPr>
          <w:rFonts w:hint="cs"/>
          <w:rtl/>
        </w:rPr>
        <w:t xml:space="preserve">הולכים מעצמם, אין ראיה </w:t>
      </w:r>
      <w:r w:rsidR="00C94BA1">
        <w:rPr>
          <w:rFonts w:hint="cs"/>
          <w:rtl/>
        </w:rPr>
        <w:t>מהאכילה שלהם</w:t>
      </w:r>
      <w:r w:rsidR="00A77F33">
        <w:rPr>
          <w:rFonts w:hint="cs"/>
          <w:rtl/>
        </w:rPr>
        <w:t xml:space="preserve"> </w:t>
      </w:r>
      <w:r>
        <w:rPr>
          <w:rFonts w:hint="cs"/>
          <w:rtl/>
        </w:rPr>
        <w:t>כמו שלא מהני בהם תפיסה</w:t>
      </w:r>
      <w:r w:rsidR="00C94BA1">
        <w:rPr>
          <w:rFonts w:hint="cs"/>
          <w:rtl/>
        </w:rPr>
        <w:t>, אלא כל חזקתם היא כגודרות דאחר ג"ש אין את הריעותא דיכולים לבא מעצמם</w:t>
      </w:r>
      <w:r>
        <w:rPr>
          <w:rFonts w:hint="cs"/>
          <w:rtl/>
        </w:rPr>
        <w:t>.</w:t>
      </w:r>
      <w:bookmarkEnd w:id="903"/>
    </w:p>
    <w:p w:rsidR="00510AC6" w:rsidRPr="00510AC6" w:rsidRDefault="00510AC6" w:rsidP="00510AC6">
      <w:pPr>
        <w:pStyle w:val="a3"/>
        <w:rPr>
          <w:rtl/>
        </w:rPr>
      </w:pPr>
    </w:p>
    <w:p w:rsidR="00510AC6" w:rsidRPr="00510AC6" w:rsidRDefault="00510AC6" w:rsidP="00510AC6">
      <w:pPr>
        <w:pStyle w:val="a3"/>
        <w:rPr>
          <w:rtl/>
        </w:rPr>
      </w:pPr>
    </w:p>
    <w:p w:rsidR="00FF386B" w:rsidRDefault="000D70DA" w:rsidP="00FF386B">
      <w:pPr>
        <w:pStyle w:val="a3"/>
        <w:rPr>
          <w:rtl/>
        </w:rPr>
      </w:pPr>
      <w:bookmarkStart w:id="904" w:name="_Toc54125784"/>
      <w:bookmarkStart w:id="905" w:name="_Toc54133996"/>
      <w:r>
        <w:rPr>
          <w:rFonts w:hint="cs"/>
          <w:rtl/>
        </w:rPr>
        <w:t>ביאור הברכ"ש בתירוץ הרשב"א דהריעותא דהולכים מעצמם אינה גורמת להצריך חזקת ג"ש</w:t>
      </w:r>
      <w:bookmarkEnd w:id="904"/>
      <w:bookmarkEnd w:id="905"/>
    </w:p>
    <w:p w:rsidR="00FF386B" w:rsidRDefault="00FF386B" w:rsidP="007E4E81">
      <w:pPr>
        <w:pStyle w:val="a0"/>
        <w:rPr>
          <w:rtl/>
        </w:rPr>
      </w:pPr>
      <w:bookmarkStart w:id="906" w:name="_Ref54090989"/>
      <w:r>
        <w:rPr>
          <w:rFonts w:hint="cs"/>
          <w:rtl/>
        </w:rPr>
        <w:t xml:space="preserve">ובמה שתירץ </w:t>
      </w:r>
      <w:r w:rsidRPr="003F2A29">
        <w:rPr>
          <w:rStyle w:val="af9"/>
          <w:rFonts w:hint="cs"/>
          <w:rtl/>
        </w:rPr>
        <w:t>הרשב"א</w:t>
      </w:r>
      <w:r>
        <w:rPr>
          <w:rFonts w:hint="cs"/>
          <w:rtl/>
        </w:rPr>
        <w:t xml:space="preserve"> </w:t>
      </w:r>
      <w:r w:rsidRPr="00F15E1B">
        <w:rPr>
          <w:rStyle w:val="af7"/>
          <w:rFonts w:eastAsia="Guttman Hodes" w:hint="cs"/>
          <w:rtl/>
        </w:rPr>
        <w:t xml:space="preserve">(עי' אות </w:t>
      </w:r>
      <w:r w:rsidR="00F15E1B" w:rsidRPr="00F15E1B">
        <w:rPr>
          <w:rStyle w:val="af7"/>
          <w:rFonts w:eastAsia="Guttman Hodes"/>
          <w:rtl/>
        </w:rPr>
        <w:fldChar w:fldCharType="begin"/>
      </w:r>
      <w:r w:rsidR="00F15E1B" w:rsidRPr="00F15E1B">
        <w:rPr>
          <w:rStyle w:val="af7"/>
          <w:rFonts w:eastAsia="Guttman Hodes"/>
          <w:rtl/>
        </w:rPr>
        <w:instrText xml:space="preserve"> </w:instrText>
      </w:r>
      <w:r w:rsidR="00F15E1B" w:rsidRPr="00F15E1B">
        <w:rPr>
          <w:rStyle w:val="af7"/>
          <w:rFonts w:eastAsia="Guttman Hodes" w:hint="cs"/>
        </w:rPr>
        <w:instrText>REF</w:instrText>
      </w:r>
      <w:r w:rsidR="00F15E1B" w:rsidRPr="00F15E1B">
        <w:rPr>
          <w:rStyle w:val="af7"/>
          <w:rFonts w:eastAsia="Guttman Hodes" w:hint="cs"/>
          <w:rtl/>
        </w:rPr>
        <w:instrText xml:space="preserve"> _</w:instrText>
      </w:r>
      <w:r w:rsidR="00F15E1B" w:rsidRPr="00F15E1B">
        <w:rPr>
          <w:rStyle w:val="af7"/>
          <w:rFonts w:eastAsia="Guttman Hodes" w:hint="cs"/>
        </w:rPr>
        <w:instrText>Ref54004530 \r \h</w:instrText>
      </w:r>
      <w:r w:rsidR="00F15E1B" w:rsidRPr="00F15E1B">
        <w:rPr>
          <w:rStyle w:val="af7"/>
          <w:rFonts w:eastAsia="Guttman Hodes"/>
          <w:rtl/>
        </w:rPr>
        <w:instrText xml:space="preserve"> </w:instrText>
      </w:r>
      <w:r w:rsidR="00F15E1B" w:rsidRPr="00F15E1B">
        <w:rPr>
          <w:rStyle w:val="af7"/>
          <w:rFonts w:eastAsia="Guttman Hodes"/>
          <w:rtl/>
        </w:rPr>
      </w:r>
      <w:r w:rsidR="00F15E1B" w:rsidRPr="00F15E1B">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00F15E1B" w:rsidRPr="00F15E1B">
        <w:rPr>
          <w:rStyle w:val="af7"/>
          <w:rFonts w:eastAsia="Guttman Hodes"/>
          <w:rtl/>
        </w:rPr>
        <w:fldChar w:fldCharType="end"/>
      </w:r>
      <w:r>
        <w:rPr>
          <w:rFonts w:hint="cs"/>
          <w:rtl/>
        </w:rPr>
        <w:t xml:space="preserve"> דאף בעבדים היה צריך להועיל חזקה לאחר שנה או שנתיים, כיון שהולכים מעצמם</w:t>
      </w:r>
      <w:r w:rsidRPr="008258DF">
        <w:rPr>
          <w:rFonts w:hint="cs"/>
          <w:rtl/>
        </w:rPr>
        <w:t xml:space="preserve"> </w:t>
      </w:r>
      <w:r>
        <w:rPr>
          <w:rFonts w:hint="cs"/>
          <w:rtl/>
        </w:rPr>
        <w:t xml:space="preserve">כגודרות, אבל כיון שהעבדים עושים פירות תדיר, לכן חזקתם היא רק לאחר ג"ש, ביאר </w:t>
      </w:r>
      <w:r w:rsidRPr="003F2A29">
        <w:rPr>
          <w:rStyle w:val="af9"/>
          <w:rFonts w:hint="cs"/>
          <w:rtl/>
        </w:rPr>
        <w:t>הברכ"ש</w:t>
      </w:r>
      <w:r>
        <w:rPr>
          <w:rFonts w:hint="cs"/>
          <w:rtl/>
        </w:rPr>
        <w:t xml:space="preserve"> דמחמת הריעותא דיתכן שבאו מעצמם, א"צ חזקת ג"ש, ורק מחמת שעשוים פירות תדיר צריך ג"ש.</w:t>
      </w:r>
      <w:bookmarkEnd w:id="906"/>
    </w:p>
    <w:p w:rsidR="00830F7F" w:rsidRPr="00830F7F" w:rsidRDefault="00830F7F" w:rsidP="00CE4102">
      <w:pPr>
        <w:pStyle w:val="1"/>
        <w:rPr>
          <w:rtl/>
        </w:rPr>
      </w:pPr>
      <w:bookmarkStart w:id="907" w:name="_Toc54125785"/>
      <w:bookmarkStart w:id="908" w:name="_Toc54133997"/>
      <w:r>
        <w:rPr>
          <w:rFonts w:hint="cs"/>
          <w:rtl/>
        </w:rPr>
        <w:t xml:space="preserve">קושית הברכ"ש </w:t>
      </w:r>
      <w:bookmarkEnd w:id="907"/>
      <w:r w:rsidR="00CE4102">
        <w:rPr>
          <w:rFonts w:hint="cs"/>
          <w:rtl/>
        </w:rPr>
        <w:t>דאמאי מהני חזקה בעבד קטן הא הוא כקרקע</w:t>
      </w:r>
      <w:bookmarkEnd w:id="908"/>
      <w:r w:rsidR="00CE4102">
        <w:rPr>
          <w:rFonts w:hint="cs"/>
          <w:rtl/>
        </w:rPr>
        <w:t xml:space="preserve"> </w:t>
      </w:r>
    </w:p>
    <w:p w:rsidR="00FF386B" w:rsidRDefault="000D70DA" w:rsidP="00FF386B">
      <w:pPr>
        <w:pStyle w:val="a3"/>
        <w:rPr>
          <w:rtl/>
        </w:rPr>
      </w:pPr>
      <w:bookmarkStart w:id="909" w:name="_Toc54125786"/>
      <w:bookmarkStart w:id="910" w:name="_Toc54133998"/>
      <w:r>
        <w:rPr>
          <w:rFonts w:hint="cs"/>
          <w:rtl/>
        </w:rPr>
        <w:t>דברי הברכ"ש דמוכח ברשב"א דעבד הוא כקרקע וא"כ קשה אמאי עבד קטן חזקתו לאלתר</w:t>
      </w:r>
      <w:bookmarkEnd w:id="909"/>
      <w:bookmarkEnd w:id="910"/>
    </w:p>
    <w:p w:rsidR="00FF386B" w:rsidRDefault="00FF386B" w:rsidP="007E4E81">
      <w:pPr>
        <w:pStyle w:val="a0"/>
        <w:rPr>
          <w:rtl/>
        </w:rPr>
      </w:pPr>
      <w:bookmarkStart w:id="911" w:name="_Ref54112776"/>
      <w:r>
        <w:rPr>
          <w:rFonts w:hint="cs"/>
          <w:rtl/>
        </w:rPr>
        <w:t xml:space="preserve">וכתב </w:t>
      </w:r>
      <w:r w:rsidRPr="003F2A29">
        <w:rPr>
          <w:rStyle w:val="af9"/>
          <w:rFonts w:hint="cs"/>
          <w:rtl/>
        </w:rPr>
        <w:t>הברכ"ש</w:t>
      </w:r>
      <w:r>
        <w:rPr>
          <w:rFonts w:hint="cs"/>
          <w:rtl/>
        </w:rPr>
        <w:t xml:space="preserve"> דמוכח מדברי </w:t>
      </w:r>
      <w:r w:rsidRPr="003F2A29">
        <w:rPr>
          <w:rStyle w:val="af9"/>
          <w:rFonts w:hint="cs"/>
          <w:rtl/>
        </w:rPr>
        <w:t>הרשב"א</w:t>
      </w:r>
      <w:r>
        <w:rPr>
          <w:rFonts w:hint="cs"/>
          <w:rtl/>
        </w:rPr>
        <w:t xml:space="preserve"> דיש לעבדים דין קרקעות, והקשה </w:t>
      </w:r>
      <w:r w:rsidRPr="003F2A29">
        <w:rPr>
          <w:rStyle w:val="af9"/>
          <w:rFonts w:hint="cs"/>
          <w:rtl/>
        </w:rPr>
        <w:t>הברכ"ש</w:t>
      </w:r>
      <w:r>
        <w:rPr>
          <w:rFonts w:hint="cs"/>
          <w:rtl/>
        </w:rPr>
        <w:t xml:space="preserve"> דא"כ אמאי בעבד קטן יש לו חזקה לאלתר</w:t>
      </w:r>
      <w:r w:rsidR="00A01CB8">
        <w:rPr>
          <w:rFonts w:hint="cs"/>
          <w:rtl/>
        </w:rPr>
        <w:t>,</w:t>
      </w:r>
      <w:r w:rsidR="00A01CB8" w:rsidRPr="00A01CB8">
        <w:rPr>
          <w:rFonts w:hint="cs"/>
          <w:rtl/>
        </w:rPr>
        <w:t xml:space="preserve"> </w:t>
      </w:r>
      <w:r w:rsidR="00A01CB8" w:rsidRPr="000658E1">
        <w:rPr>
          <w:rFonts w:hint="cs"/>
          <w:rtl/>
        </w:rPr>
        <w:t>כ</w:t>
      </w:r>
      <w:r w:rsidR="00A01CB8" w:rsidRPr="00805436">
        <w:rPr>
          <w:rFonts w:hint="cs"/>
          <w:rtl/>
        </w:rPr>
        <w:t xml:space="preserve">דאיתא בגמ' לקמן </w:t>
      </w:r>
      <w:r w:rsidR="00A01CB8" w:rsidRPr="00796D7E">
        <w:rPr>
          <w:rStyle w:val="af7"/>
          <w:rFonts w:eastAsia="Guttman Hodes" w:hint="cs"/>
          <w:rtl/>
        </w:rPr>
        <w:t>(לו.)</w:t>
      </w:r>
      <w:r w:rsidR="00A01CB8">
        <w:rPr>
          <w:rFonts w:hint="cs"/>
          <w:rtl/>
        </w:rPr>
        <w:t xml:space="preserve">, ועי' בדברי </w:t>
      </w:r>
      <w:r w:rsidR="00A01CB8" w:rsidRPr="00A01CB8">
        <w:rPr>
          <w:rStyle w:val="af9"/>
          <w:rFonts w:hint="cs"/>
          <w:rtl/>
        </w:rPr>
        <w:t xml:space="preserve">המהרי"ט </w:t>
      </w:r>
      <w:r w:rsidR="00A01CB8" w:rsidRPr="00A01CB8">
        <w:rPr>
          <w:rStyle w:val="af7"/>
          <w:rFonts w:eastAsia="Guttman Hodes" w:hint="cs"/>
          <w:rtl/>
        </w:rPr>
        <w:t xml:space="preserve">(עי' אות </w:t>
      </w:r>
      <w:r w:rsidR="00A01CB8" w:rsidRPr="00A01CB8">
        <w:rPr>
          <w:rStyle w:val="af7"/>
          <w:rFonts w:eastAsia="Guttman Hodes"/>
          <w:rtl/>
        </w:rPr>
        <w:fldChar w:fldCharType="begin"/>
      </w:r>
      <w:r w:rsidR="00A01CB8" w:rsidRPr="00A01CB8">
        <w:rPr>
          <w:rStyle w:val="af7"/>
          <w:rFonts w:eastAsia="Guttman Hodes"/>
          <w:rtl/>
        </w:rPr>
        <w:instrText xml:space="preserve"> </w:instrText>
      </w:r>
      <w:r w:rsidR="00A01CB8" w:rsidRPr="00A01CB8">
        <w:rPr>
          <w:rStyle w:val="af7"/>
          <w:rFonts w:eastAsia="Guttman Hodes" w:hint="cs"/>
        </w:rPr>
        <w:instrText>REF</w:instrText>
      </w:r>
      <w:r w:rsidR="00A01CB8" w:rsidRPr="00A01CB8">
        <w:rPr>
          <w:rStyle w:val="af7"/>
          <w:rFonts w:eastAsia="Guttman Hodes" w:hint="cs"/>
          <w:rtl/>
        </w:rPr>
        <w:instrText xml:space="preserve"> _</w:instrText>
      </w:r>
      <w:r w:rsidR="00A01CB8" w:rsidRPr="00A01CB8">
        <w:rPr>
          <w:rStyle w:val="af7"/>
          <w:rFonts w:eastAsia="Guttman Hodes" w:hint="cs"/>
        </w:rPr>
        <w:instrText>Ref54112790 \r \h</w:instrText>
      </w:r>
      <w:r w:rsidR="00A01CB8" w:rsidRPr="00A01CB8">
        <w:rPr>
          <w:rStyle w:val="af7"/>
          <w:rFonts w:eastAsia="Guttman Hodes"/>
          <w:rtl/>
        </w:rPr>
        <w:instrText xml:space="preserve"> </w:instrText>
      </w:r>
      <w:r w:rsidR="00A01CB8" w:rsidRPr="00A01CB8">
        <w:rPr>
          <w:rStyle w:val="af7"/>
          <w:rFonts w:eastAsia="Guttman Hodes"/>
          <w:rtl/>
        </w:rPr>
      </w:r>
      <w:r w:rsidR="00A01CB8" w:rsidRPr="00A01CB8">
        <w:rPr>
          <w:rStyle w:val="af7"/>
          <w:rFonts w:eastAsia="Guttman Hodes"/>
          <w:rtl/>
        </w:rPr>
        <w:fldChar w:fldCharType="separate"/>
      </w:r>
      <w:r w:rsidR="00265073">
        <w:rPr>
          <w:rStyle w:val="af7"/>
          <w:rFonts w:eastAsia="Guttman Hodes"/>
          <w:cs/>
        </w:rPr>
        <w:t>‎</w:t>
      </w:r>
      <w:r w:rsidR="00265073">
        <w:rPr>
          <w:rStyle w:val="af7"/>
          <w:rFonts w:eastAsia="Guttman Hodes"/>
          <w:rtl/>
        </w:rPr>
        <w:t>כב)</w:t>
      </w:r>
      <w:r w:rsidR="00A01CB8" w:rsidRPr="00A01CB8">
        <w:rPr>
          <w:rStyle w:val="af7"/>
          <w:rFonts w:eastAsia="Guttman Hodes"/>
          <w:rtl/>
        </w:rPr>
        <w:fldChar w:fldCharType="end"/>
      </w:r>
      <w:r>
        <w:rPr>
          <w:rFonts w:hint="cs"/>
          <w:rtl/>
        </w:rPr>
        <w:t>.</w:t>
      </w:r>
      <w:bookmarkEnd w:id="911"/>
    </w:p>
    <w:p w:rsidR="00830F7F" w:rsidRPr="00830F7F" w:rsidRDefault="00830F7F" w:rsidP="00731450">
      <w:pPr>
        <w:pStyle w:val="1"/>
        <w:rPr>
          <w:rtl/>
        </w:rPr>
      </w:pPr>
      <w:bookmarkStart w:id="912" w:name="_Toc54125787"/>
      <w:bookmarkStart w:id="913" w:name="_Toc54133999"/>
      <w:r>
        <w:rPr>
          <w:rFonts w:hint="cs"/>
          <w:rtl/>
        </w:rPr>
        <w:t>ביאור הברכ"ש ברמב"ן</w:t>
      </w:r>
      <w:bookmarkEnd w:id="912"/>
      <w:r>
        <w:rPr>
          <w:rFonts w:hint="cs"/>
          <w:rtl/>
        </w:rPr>
        <w:t xml:space="preserve"> </w:t>
      </w:r>
      <w:r w:rsidR="00810AE1">
        <w:rPr>
          <w:rFonts w:hint="cs"/>
          <w:rtl/>
        </w:rPr>
        <w:t>דב</w:t>
      </w:r>
      <w:r w:rsidR="00731450">
        <w:rPr>
          <w:rFonts w:hint="cs"/>
          <w:rtl/>
        </w:rPr>
        <w:t xml:space="preserve">לא </w:t>
      </w:r>
      <w:r w:rsidR="00810AE1">
        <w:rPr>
          <w:rFonts w:hint="cs"/>
          <w:rtl/>
        </w:rPr>
        <w:t xml:space="preserve">ג"ש </w:t>
      </w:r>
      <w:r w:rsidR="00731450">
        <w:rPr>
          <w:rFonts w:hint="cs"/>
          <w:rtl/>
        </w:rPr>
        <w:t>יש</w:t>
      </w:r>
      <w:r w:rsidR="00810AE1">
        <w:rPr>
          <w:rFonts w:hint="cs"/>
          <w:rtl/>
        </w:rPr>
        <w:t xml:space="preserve"> ריעותא</w:t>
      </w:r>
      <w:r w:rsidR="00731450">
        <w:rPr>
          <w:rFonts w:hint="cs"/>
          <w:rtl/>
        </w:rPr>
        <w:t xml:space="preserve"> בראיה דלא מחה</w:t>
      </w:r>
      <w:bookmarkEnd w:id="913"/>
    </w:p>
    <w:p w:rsidR="00FF386B" w:rsidRDefault="005458C8" w:rsidP="005458C8">
      <w:pPr>
        <w:pStyle w:val="a3"/>
        <w:rPr>
          <w:rtl/>
        </w:rPr>
      </w:pPr>
      <w:bookmarkStart w:id="914" w:name="_Toc54125788"/>
      <w:bookmarkStart w:id="915" w:name="_Toc54134000"/>
      <w:r>
        <w:rPr>
          <w:rFonts w:hint="cs"/>
          <w:rtl/>
        </w:rPr>
        <w:t>ביאור הברכ"ש ברמב"ן דמדלא מחה מתבטלת הריעותא דאחוי שטרך</w:t>
      </w:r>
      <w:r w:rsidRPr="005458C8">
        <w:rPr>
          <w:rFonts w:hint="cs"/>
          <w:rtl/>
        </w:rPr>
        <w:t xml:space="preserve"> </w:t>
      </w:r>
      <w:r>
        <w:rPr>
          <w:rFonts w:hint="cs"/>
          <w:rtl/>
        </w:rPr>
        <w:t>ונשארת בחזקת המר"ק</w:t>
      </w:r>
      <w:bookmarkEnd w:id="914"/>
      <w:bookmarkEnd w:id="915"/>
    </w:p>
    <w:p w:rsidR="00FF386B" w:rsidRDefault="00FF386B" w:rsidP="007E4E81">
      <w:pPr>
        <w:pStyle w:val="a0"/>
        <w:rPr>
          <w:rtl/>
        </w:rPr>
      </w:pPr>
      <w:bookmarkStart w:id="916" w:name="_Ref54091104"/>
      <w:r>
        <w:rPr>
          <w:rFonts w:hint="cs"/>
          <w:rtl/>
        </w:rPr>
        <w:t xml:space="preserve">והביא </w:t>
      </w:r>
      <w:r w:rsidRPr="003F2A29">
        <w:rPr>
          <w:rStyle w:val="af9"/>
          <w:rFonts w:hint="cs"/>
          <w:rtl/>
        </w:rPr>
        <w:t>הברכ"ש</w:t>
      </w:r>
      <w:r>
        <w:rPr>
          <w:rFonts w:hint="cs"/>
          <w:rtl/>
        </w:rPr>
        <w:t xml:space="preserve"> </w:t>
      </w:r>
      <w:r w:rsidR="00CE1C87" w:rsidRPr="003F2A29">
        <w:rPr>
          <w:rStyle w:val="af7"/>
          <w:rFonts w:eastAsia="Guttman Hodes" w:hint="cs"/>
          <w:rtl/>
        </w:rPr>
        <w:t>(סי' כ"ו)</w:t>
      </w:r>
      <w:r w:rsidR="00CE1C87">
        <w:rPr>
          <w:rFonts w:hint="cs"/>
          <w:rtl/>
        </w:rPr>
        <w:t xml:space="preserve"> </w:t>
      </w:r>
      <w:r>
        <w:rPr>
          <w:rFonts w:hint="cs"/>
          <w:rtl/>
        </w:rPr>
        <w:t xml:space="preserve">את דברי </w:t>
      </w:r>
      <w:r w:rsidRPr="003F2A29">
        <w:rPr>
          <w:rStyle w:val="af9"/>
          <w:rFonts w:hint="cs"/>
          <w:rtl/>
        </w:rPr>
        <w:t>הרמב"ן לקמן</w:t>
      </w:r>
      <w:r>
        <w:rPr>
          <w:rFonts w:hint="cs"/>
          <w:rtl/>
        </w:rPr>
        <w:t xml:space="preserve"> </w:t>
      </w:r>
      <w:r w:rsidRPr="00F15E1B">
        <w:rPr>
          <w:rStyle w:val="af7"/>
          <w:rFonts w:eastAsia="Guttman Hodes" w:hint="cs"/>
          <w:rtl/>
        </w:rPr>
        <w:t xml:space="preserve">(עי' אות </w:t>
      </w:r>
      <w:r w:rsidR="00F15E1B" w:rsidRPr="00F15E1B">
        <w:rPr>
          <w:rStyle w:val="af7"/>
          <w:rFonts w:eastAsia="Guttman Hodes"/>
          <w:rtl/>
        </w:rPr>
        <w:fldChar w:fldCharType="begin"/>
      </w:r>
      <w:r w:rsidR="00F15E1B" w:rsidRPr="00F15E1B">
        <w:rPr>
          <w:rStyle w:val="af7"/>
          <w:rFonts w:eastAsia="Guttman Hodes"/>
          <w:rtl/>
        </w:rPr>
        <w:instrText xml:space="preserve"> </w:instrText>
      </w:r>
      <w:r w:rsidR="00F15E1B" w:rsidRPr="00F15E1B">
        <w:rPr>
          <w:rStyle w:val="af7"/>
          <w:rFonts w:eastAsia="Guttman Hodes" w:hint="cs"/>
        </w:rPr>
        <w:instrText>REF</w:instrText>
      </w:r>
      <w:r w:rsidR="00F15E1B" w:rsidRPr="00F15E1B">
        <w:rPr>
          <w:rStyle w:val="af7"/>
          <w:rFonts w:eastAsia="Guttman Hodes" w:hint="cs"/>
          <w:rtl/>
        </w:rPr>
        <w:instrText xml:space="preserve"> _</w:instrText>
      </w:r>
      <w:r w:rsidR="00F15E1B" w:rsidRPr="00F15E1B">
        <w:rPr>
          <w:rStyle w:val="af7"/>
          <w:rFonts w:eastAsia="Guttman Hodes" w:hint="cs"/>
        </w:rPr>
        <w:instrText>Ref54021550 \r \h</w:instrText>
      </w:r>
      <w:r w:rsidR="00F15E1B" w:rsidRPr="00F15E1B">
        <w:rPr>
          <w:rStyle w:val="af7"/>
          <w:rFonts w:eastAsia="Guttman Hodes"/>
          <w:rtl/>
        </w:rPr>
        <w:instrText xml:space="preserve"> </w:instrText>
      </w:r>
      <w:r w:rsidR="00F15E1B" w:rsidRPr="00F15E1B">
        <w:rPr>
          <w:rStyle w:val="af7"/>
          <w:rFonts w:eastAsia="Guttman Hodes"/>
          <w:rtl/>
        </w:rPr>
      </w:r>
      <w:r w:rsidR="00F15E1B" w:rsidRPr="00F15E1B">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00F15E1B" w:rsidRPr="00F15E1B">
        <w:rPr>
          <w:rStyle w:val="af7"/>
          <w:rFonts w:eastAsia="Guttman Hodes"/>
          <w:rtl/>
        </w:rPr>
        <w:fldChar w:fldCharType="end"/>
      </w:r>
      <w:r>
        <w:rPr>
          <w:rFonts w:hint="cs"/>
          <w:rtl/>
        </w:rPr>
        <w:t xml:space="preserve"> דכתב דהא דמהני חזקת ג"ש, הוא כיון שהמערער שותק למחזיק, יש רגלים לדבר דמכר לו, וצריך</w:t>
      </w:r>
      <w:r w:rsidRPr="002F34B1">
        <w:rPr>
          <w:rFonts w:hint="cs"/>
          <w:rtl/>
        </w:rPr>
        <w:t xml:space="preserve"> </w:t>
      </w:r>
      <w:r>
        <w:rPr>
          <w:rFonts w:hint="cs"/>
          <w:rtl/>
        </w:rPr>
        <w:t xml:space="preserve">ג"ש כדי שלא יהיה טענה על המחזיק דאחוי שטרך, וביאר </w:t>
      </w:r>
      <w:r w:rsidRPr="003F2A29">
        <w:rPr>
          <w:rStyle w:val="af9"/>
          <w:rFonts w:hint="cs"/>
          <w:rtl/>
        </w:rPr>
        <w:t>הברכ"ש</w:t>
      </w:r>
      <w:r>
        <w:rPr>
          <w:rFonts w:hint="cs"/>
          <w:rtl/>
        </w:rPr>
        <w:t xml:space="preserve"> את דברי </w:t>
      </w:r>
      <w:r w:rsidRPr="003F2A29">
        <w:rPr>
          <w:rStyle w:val="af9"/>
          <w:rFonts w:hint="cs"/>
          <w:rtl/>
        </w:rPr>
        <w:t>הרמב"ן</w:t>
      </w:r>
      <w:r>
        <w:rPr>
          <w:rFonts w:hint="cs"/>
          <w:rtl/>
        </w:rPr>
        <w:t xml:space="preserve"> דבמקום שהמחזיק טוען לקוח הוא בידי, ויש לו ראיה שאכל את השדה ולא מחה בו המרא קמא, מהני טענת אחוי שטרך כנגד חזקתו, דהטענה הזו היא ריעותא בחזקת</w:t>
      </w:r>
      <w:r w:rsidR="005B59CA">
        <w:rPr>
          <w:rFonts w:hint="cs"/>
          <w:rtl/>
        </w:rPr>
        <w:t>ו</w:t>
      </w:r>
      <w:r>
        <w:rPr>
          <w:rFonts w:hint="cs"/>
          <w:rtl/>
        </w:rPr>
        <w:t>, ועי"</w:t>
      </w:r>
      <w:r w:rsidR="005B59CA">
        <w:rPr>
          <w:rFonts w:hint="cs"/>
          <w:rtl/>
        </w:rPr>
        <w:t>ז</w:t>
      </w:r>
      <w:r>
        <w:rPr>
          <w:rFonts w:hint="cs"/>
          <w:rtl/>
        </w:rPr>
        <w:t xml:space="preserve"> מתבטלת הראיה שיש ממה דלא מחה בו המרא קמא, וכיון דראייתו מתבטלת ממילא הקרקע נשארת בחזקת המרא קמא.</w:t>
      </w:r>
      <w:bookmarkEnd w:id="916"/>
    </w:p>
    <w:p w:rsidR="00FF386B" w:rsidRDefault="005458C8" w:rsidP="00F74F16">
      <w:pPr>
        <w:pStyle w:val="a3"/>
        <w:rPr>
          <w:rtl/>
        </w:rPr>
      </w:pPr>
      <w:bookmarkStart w:id="917" w:name="_Toc54125789"/>
      <w:bookmarkStart w:id="918" w:name="_Toc54134001"/>
      <w:r>
        <w:rPr>
          <w:rFonts w:hint="cs"/>
          <w:rtl/>
        </w:rPr>
        <w:t>ביאור הברכ"ש ברמב"ן דב</w:t>
      </w:r>
      <w:r w:rsidR="00F74F16">
        <w:rPr>
          <w:rFonts w:hint="cs"/>
          <w:rtl/>
        </w:rPr>
        <w:t>החזיק ג"ש ו</w:t>
      </w:r>
      <w:r>
        <w:rPr>
          <w:rFonts w:hint="cs"/>
          <w:rtl/>
        </w:rPr>
        <w:t xml:space="preserve">טוען לקוח </w:t>
      </w:r>
      <w:r w:rsidR="00F74F16">
        <w:rPr>
          <w:rFonts w:hint="cs"/>
          <w:rtl/>
        </w:rPr>
        <w:t>בידי אחוי שטרך אינה ריעותא דהוא תפוס</w:t>
      </w:r>
      <w:bookmarkEnd w:id="917"/>
      <w:bookmarkEnd w:id="918"/>
    </w:p>
    <w:p w:rsidR="00FF386B" w:rsidRDefault="00FF386B" w:rsidP="007E4E81">
      <w:pPr>
        <w:pStyle w:val="a0"/>
        <w:rPr>
          <w:rtl/>
        </w:rPr>
      </w:pPr>
      <w:bookmarkStart w:id="919" w:name="_Ref54113441"/>
      <w:r>
        <w:rPr>
          <w:rFonts w:hint="cs"/>
          <w:rtl/>
        </w:rPr>
        <w:t xml:space="preserve">אך כתב </w:t>
      </w:r>
      <w:r w:rsidRPr="003F2A29">
        <w:rPr>
          <w:rStyle w:val="af9"/>
          <w:rFonts w:hint="cs"/>
          <w:rtl/>
        </w:rPr>
        <w:t>הברכ"ש</w:t>
      </w:r>
      <w:r>
        <w:rPr>
          <w:rFonts w:hint="cs"/>
          <w:rtl/>
        </w:rPr>
        <w:t xml:space="preserve"> דבמקום שהמחזיק אינו טוען לקוח הוא בידי ושיש לו חזקה מחמת אכילתו, אלא הוא טוען שהדבר תפוס בידו, בזה לא שייך לטעון לו אחוי שטרך,</w:t>
      </w:r>
      <w:r w:rsidRPr="001D6D91">
        <w:rPr>
          <w:rFonts w:hint="cs"/>
          <w:rtl/>
        </w:rPr>
        <w:t xml:space="preserve"> </w:t>
      </w:r>
      <w:r>
        <w:rPr>
          <w:rFonts w:hint="cs"/>
          <w:rtl/>
        </w:rPr>
        <w:t>דאחוי שטרך אינה עושה כל ריעותא בטענתו דהדבר תפוס בידו.</w:t>
      </w:r>
      <w:bookmarkEnd w:id="919"/>
    </w:p>
    <w:p w:rsidR="00830F7F" w:rsidRPr="00830F7F" w:rsidRDefault="00830F7F" w:rsidP="00850D45">
      <w:pPr>
        <w:pStyle w:val="1"/>
        <w:rPr>
          <w:rtl/>
        </w:rPr>
      </w:pPr>
      <w:bookmarkStart w:id="920" w:name="_Toc54125790"/>
      <w:bookmarkStart w:id="921" w:name="_Toc54134002"/>
      <w:r>
        <w:rPr>
          <w:rFonts w:hint="cs"/>
          <w:rtl/>
        </w:rPr>
        <w:t>ביאור הברכ"ש ברשב"א</w:t>
      </w:r>
      <w:bookmarkEnd w:id="920"/>
      <w:r w:rsidR="006C47AC">
        <w:rPr>
          <w:rFonts w:hint="cs"/>
          <w:rtl/>
        </w:rPr>
        <w:t xml:space="preserve"> </w:t>
      </w:r>
      <w:r w:rsidR="00850D45">
        <w:rPr>
          <w:rFonts w:hint="cs"/>
          <w:rtl/>
        </w:rPr>
        <w:t>דג"ש הוא רק כנגד אחוי שטרך</w:t>
      </w:r>
      <w:bookmarkEnd w:id="921"/>
    </w:p>
    <w:p w:rsidR="00FF386B" w:rsidRDefault="00AB5C3F" w:rsidP="00EE5956">
      <w:pPr>
        <w:pStyle w:val="a3"/>
        <w:rPr>
          <w:rtl/>
        </w:rPr>
      </w:pPr>
      <w:bookmarkStart w:id="922" w:name="_Toc54125791"/>
      <w:bookmarkStart w:id="923" w:name="_Toc54134003"/>
      <w:r>
        <w:rPr>
          <w:rFonts w:hint="cs"/>
          <w:rtl/>
        </w:rPr>
        <w:t xml:space="preserve">ביאור הברכ"ש ברשב"א </w:t>
      </w:r>
      <w:r w:rsidR="006C114B">
        <w:rPr>
          <w:rFonts w:hint="cs"/>
          <w:rtl/>
        </w:rPr>
        <w:t xml:space="preserve">דבגודרות </w:t>
      </w:r>
      <w:r w:rsidR="00EE5956">
        <w:rPr>
          <w:rFonts w:hint="cs"/>
          <w:rtl/>
        </w:rPr>
        <w:t>אין תפיסה והחזקה היא מדלא מיחה ואין טענת אחוי שטרך</w:t>
      </w:r>
      <w:bookmarkEnd w:id="922"/>
      <w:bookmarkEnd w:id="923"/>
    </w:p>
    <w:p w:rsidR="00FF386B" w:rsidRDefault="00FF386B" w:rsidP="007E4E81">
      <w:pPr>
        <w:pStyle w:val="a0"/>
        <w:rPr>
          <w:rtl/>
        </w:rPr>
      </w:pPr>
      <w:bookmarkStart w:id="924" w:name="_Ref54134323"/>
      <w:r>
        <w:rPr>
          <w:rFonts w:hint="cs"/>
          <w:rtl/>
        </w:rPr>
        <w:t xml:space="preserve">ולפי"ז ביאר </w:t>
      </w:r>
      <w:r w:rsidRPr="00AF5643">
        <w:rPr>
          <w:rStyle w:val="af9"/>
          <w:rFonts w:hint="cs"/>
          <w:rtl/>
        </w:rPr>
        <w:t>הברכ"ש</w:t>
      </w:r>
      <w:r>
        <w:rPr>
          <w:rFonts w:hint="cs"/>
          <w:rtl/>
        </w:rPr>
        <w:t xml:space="preserve"> </w:t>
      </w:r>
      <w:r w:rsidR="00CE1C87" w:rsidRPr="003F2A29">
        <w:rPr>
          <w:rStyle w:val="af7"/>
          <w:rFonts w:eastAsia="Guttman Hodes" w:hint="cs"/>
          <w:rtl/>
        </w:rPr>
        <w:t>(סי' כ"ו)</w:t>
      </w:r>
      <w:r w:rsidR="00CE1C87">
        <w:rPr>
          <w:rFonts w:hint="cs"/>
          <w:rtl/>
        </w:rPr>
        <w:t xml:space="preserve"> </w:t>
      </w:r>
      <w:r>
        <w:rPr>
          <w:rFonts w:hint="cs"/>
          <w:rtl/>
        </w:rPr>
        <w:t xml:space="preserve">את דברי </w:t>
      </w:r>
      <w:r w:rsidR="00F15E1B" w:rsidRPr="003F2A29">
        <w:rPr>
          <w:rStyle w:val="af9"/>
          <w:rFonts w:hint="cs"/>
          <w:rtl/>
        </w:rPr>
        <w:t>הרשב"א</w:t>
      </w:r>
      <w:r w:rsidR="00F15E1B" w:rsidRPr="00AF2AFC">
        <w:rPr>
          <w:rStyle w:val="af7"/>
          <w:rFonts w:eastAsia="Guttman Hodes" w:hint="cs"/>
          <w:rtl/>
        </w:rPr>
        <w:t xml:space="preserve"> (עי' אות </w:t>
      </w:r>
      <w:r w:rsidR="00F15E1B" w:rsidRPr="00AF2AFC">
        <w:rPr>
          <w:rStyle w:val="af7"/>
          <w:rFonts w:eastAsia="Guttman Hodes"/>
          <w:rtl/>
        </w:rPr>
        <w:fldChar w:fldCharType="begin"/>
      </w:r>
      <w:r w:rsidR="00F15E1B" w:rsidRPr="00AF2AFC">
        <w:rPr>
          <w:rStyle w:val="af7"/>
          <w:rFonts w:eastAsia="Guttman Hodes"/>
          <w:rtl/>
        </w:rPr>
        <w:instrText xml:space="preserve"> </w:instrText>
      </w:r>
      <w:r w:rsidR="00F15E1B" w:rsidRPr="00AF2AFC">
        <w:rPr>
          <w:rStyle w:val="af7"/>
          <w:rFonts w:eastAsia="Guttman Hodes" w:hint="cs"/>
        </w:rPr>
        <w:instrText>REF</w:instrText>
      </w:r>
      <w:r w:rsidR="00F15E1B" w:rsidRPr="00AF2AFC">
        <w:rPr>
          <w:rStyle w:val="af7"/>
          <w:rFonts w:eastAsia="Guttman Hodes" w:hint="cs"/>
          <w:rtl/>
        </w:rPr>
        <w:instrText xml:space="preserve"> _</w:instrText>
      </w:r>
      <w:r w:rsidR="00F15E1B" w:rsidRPr="00AF2AFC">
        <w:rPr>
          <w:rStyle w:val="af7"/>
          <w:rFonts w:eastAsia="Guttman Hodes" w:hint="cs"/>
        </w:rPr>
        <w:instrText>Ref54004530 \r \h</w:instrText>
      </w:r>
      <w:r w:rsidR="00F15E1B" w:rsidRPr="00AF2AFC">
        <w:rPr>
          <w:rStyle w:val="af7"/>
          <w:rFonts w:eastAsia="Guttman Hodes"/>
          <w:rtl/>
        </w:rPr>
        <w:instrText xml:space="preserve"> </w:instrText>
      </w:r>
      <w:r w:rsidR="00F15E1B" w:rsidRPr="00AF2AFC">
        <w:rPr>
          <w:rStyle w:val="af7"/>
          <w:rFonts w:eastAsia="Guttman Hodes"/>
          <w:rtl/>
        </w:rPr>
      </w:r>
      <w:r w:rsidR="00F15E1B" w:rsidRPr="00AF2AFC">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00F15E1B" w:rsidRPr="00AF2AFC">
        <w:rPr>
          <w:rStyle w:val="af7"/>
          <w:rFonts w:eastAsia="Guttman Hodes"/>
          <w:rtl/>
        </w:rPr>
        <w:fldChar w:fldCharType="end"/>
      </w:r>
      <w:r w:rsidR="00F15E1B" w:rsidRPr="00AF2AFC">
        <w:rPr>
          <w:rStyle w:val="af7"/>
          <w:rFonts w:eastAsia="Guttman Hodes" w:hint="cs"/>
          <w:rtl/>
        </w:rPr>
        <w:t xml:space="preserve"> </w:t>
      </w:r>
      <w:r w:rsidR="006A7D0B">
        <w:rPr>
          <w:rFonts w:hint="cs"/>
          <w:rtl/>
        </w:rPr>
        <w:t>ד</w:t>
      </w:r>
      <w:r>
        <w:rPr>
          <w:rFonts w:hint="cs"/>
          <w:rtl/>
        </w:rPr>
        <w:t>הא דב</w:t>
      </w:r>
      <w:r w:rsidR="006C114B">
        <w:rPr>
          <w:rFonts w:hint="cs"/>
          <w:rtl/>
        </w:rPr>
        <w:t>גודרות</w:t>
      </w:r>
      <w:r>
        <w:rPr>
          <w:rFonts w:hint="cs"/>
          <w:rtl/>
        </w:rPr>
        <w:t xml:space="preserve"> מהני חזקה בפחות מג"ש, אינו מחמת שה</w:t>
      </w:r>
      <w:r w:rsidR="006C114B">
        <w:rPr>
          <w:rFonts w:hint="cs"/>
          <w:rtl/>
        </w:rPr>
        <w:t>ם</w:t>
      </w:r>
      <w:r>
        <w:rPr>
          <w:rFonts w:hint="cs"/>
          <w:rtl/>
        </w:rPr>
        <w:t xml:space="preserve"> תפוס</w:t>
      </w:r>
      <w:r w:rsidR="006C114B">
        <w:rPr>
          <w:rFonts w:hint="cs"/>
          <w:rtl/>
        </w:rPr>
        <w:t>ים</w:t>
      </w:r>
      <w:r>
        <w:rPr>
          <w:rFonts w:hint="cs"/>
          <w:rtl/>
        </w:rPr>
        <w:t xml:space="preserve"> בידו, </w:t>
      </w:r>
      <w:r w:rsidR="006C114B">
        <w:rPr>
          <w:rFonts w:hint="cs"/>
          <w:rtl/>
        </w:rPr>
        <w:t>דהא</w:t>
      </w:r>
      <w:r>
        <w:rPr>
          <w:rFonts w:hint="cs"/>
          <w:rtl/>
        </w:rPr>
        <w:t xml:space="preserve"> יש ריעותא דהגודרות הולכים מעצמם, אלא החזקה היא מחמת הראיה שהשתמש בהם ולא מחה בו הבעלים, ועי"ז הוא יכול לטעון דלקוח הוא בידו, ואף שכנגד החזקה מהני טענת אחוי שטרך, מ"מ במטלטלין שאינם בני שטר, לא שייכא טענה זו, ולכן סגי בגודרות בפחות מג"ש.</w:t>
      </w:r>
      <w:bookmarkEnd w:id="924"/>
    </w:p>
    <w:p w:rsidR="00EE5956" w:rsidRPr="00EE5956" w:rsidRDefault="00B90DE7" w:rsidP="00B90DE7">
      <w:pPr>
        <w:pStyle w:val="a3"/>
        <w:rPr>
          <w:rtl/>
        </w:rPr>
      </w:pPr>
      <w:bookmarkStart w:id="925" w:name="_Toc54125792"/>
      <w:bookmarkStart w:id="926" w:name="_Toc54134004"/>
      <w:r>
        <w:rPr>
          <w:rFonts w:hint="cs"/>
          <w:rtl/>
        </w:rPr>
        <w:t>ביאור הברכ"ש ברשב"א דבעבדים יש ראיה מדלא מיחה וצריך ג"ש מחמת טענת אחוי שטרך</w:t>
      </w:r>
      <w:bookmarkEnd w:id="925"/>
      <w:bookmarkEnd w:id="926"/>
    </w:p>
    <w:p w:rsidR="00FF386B" w:rsidRDefault="00FF386B" w:rsidP="007E4E81">
      <w:pPr>
        <w:pStyle w:val="a0"/>
        <w:rPr>
          <w:rtl/>
        </w:rPr>
      </w:pPr>
      <w:r>
        <w:rPr>
          <w:rFonts w:hint="cs"/>
          <w:rtl/>
        </w:rPr>
        <w:t xml:space="preserve">אבל בעבדים ביאר </w:t>
      </w:r>
      <w:r w:rsidRPr="00AF5643">
        <w:rPr>
          <w:rStyle w:val="af9"/>
          <w:rFonts w:hint="cs"/>
          <w:rtl/>
        </w:rPr>
        <w:t>הברכ"ש</w:t>
      </w:r>
      <w:r>
        <w:rPr>
          <w:rFonts w:hint="cs"/>
          <w:rtl/>
        </w:rPr>
        <w:t xml:space="preserve"> </w:t>
      </w:r>
      <w:r w:rsidR="00EE5956">
        <w:rPr>
          <w:rFonts w:hint="cs"/>
          <w:rtl/>
        </w:rPr>
        <w:t xml:space="preserve">בדעת </w:t>
      </w:r>
      <w:r w:rsidR="00EE5956" w:rsidRPr="00EE5956">
        <w:rPr>
          <w:rStyle w:val="af9"/>
          <w:rFonts w:hint="cs"/>
          <w:rtl/>
        </w:rPr>
        <w:t>הרשב"א</w:t>
      </w:r>
      <w:r w:rsidR="00EE5956">
        <w:rPr>
          <w:rFonts w:hint="cs"/>
          <w:rtl/>
        </w:rPr>
        <w:t xml:space="preserve"> </w:t>
      </w:r>
      <w:r>
        <w:rPr>
          <w:rFonts w:hint="cs"/>
          <w:rtl/>
        </w:rPr>
        <w:t>דכיון שהם בני שטרא, א"כ אף שיש לו ראיה ממה שהשתמש בהם, ולא מחה בו הבעלים, מ"מ כנגד חזקתו יש טענה דאחוי שטרך, ולכן מהני בהם רק חזקת ג"ש, שאין אדם נזהר בשטרו ג"ש, וא"א לטעון לו אחוי שטרך.</w:t>
      </w:r>
    </w:p>
    <w:p w:rsidR="00510AC6" w:rsidRPr="00510AC6" w:rsidRDefault="00510AC6" w:rsidP="00510AC6">
      <w:pPr>
        <w:pStyle w:val="a3"/>
        <w:rPr>
          <w:rtl/>
        </w:rPr>
      </w:pPr>
    </w:p>
    <w:p w:rsidR="00510AC6" w:rsidRPr="00510AC6" w:rsidRDefault="00510AC6" w:rsidP="00510AC6">
      <w:pPr>
        <w:pStyle w:val="a3"/>
        <w:rPr>
          <w:rtl/>
        </w:rPr>
      </w:pPr>
    </w:p>
    <w:p w:rsidR="00B90DE7" w:rsidRPr="00B90DE7" w:rsidRDefault="00B90DE7" w:rsidP="00B90DE7">
      <w:pPr>
        <w:pStyle w:val="a3"/>
        <w:rPr>
          <w:rtl/>
        </w:rPr>
      </w:pPr>
      <w:bookmarkStart w:id="927" w:name="_Toc54125793"/>
      <w:bookmarkStart w:id="928" w:name="_Toc54134005"/>
      <w:r>
        <w:rPr>
          <w:rFonts w:hint="cs"/>
          <w:rtl/>
        </w:rPr>
        <w:lastRenderedPageBreak/>
        <w:t xml:space="preserve">תירוץ הברכ"ש דבעבד קטן הוא כמטלטלין ואין בו טענת אחוי שטרך </w:t>
      </w:r>
      <w:r w:rsidR="001E11D7">
        <w:rPr>
          <w:rFonts w:hint="cs"/>
          <w:rtl/>
        </w:rPr>
        <w:t>ולכן א"צ ג"ש</w:t>
      </w:r>
      <w:bookmarkEnd w:id="927"/>
      <w:bookmarkEnd w:id="928"/>
    </w:p>
    <w:p w:rsidR="00FF386B" w:rsidRDefault="00FF386B" w:rsidP="007E4E81">
      <w:pPr>
        <w:pStyle w:val="a0"/>
        <w:rPr>
          <w:rtl/>
        </w:rPr>
      </w:pPr>
      <w:bookmarkStart w:id="929" w:name="_Ref54113453"/>
      <w:r>
        <w:rPr>
          <w:rFonts w:hint="cs"/>
          <w:rtl/>
        </w:rPr>
        <w:t xml:space="preserve">ובזה תירץ </w:t>
      </w:r>
      <w:r w:rsidRPr="00AF5643">
        <w:rPr>
          <w:rStyle w:val="af9"/>
          <w:rFonts w:hint="cs"/>
          <w:rtl/>
        </w:rPr>
        <w:t xml:space="preserve">הברכ"ש </w:t>
      </w:r>
      <w:r>
        <w:rPr>
          <w:rFonts w:hint="cs"/>
          <w:rtl/>
        </w:rPr>
        <w:t xml:space="preserve">את קושייתו מעבד קטן, דכיון שהוא בכלל מטלטלין, ואינו בכלל גודרות שהולכים מעצמם, וכמבואר </w:t>
      </w:r>
      <w:r w:rsidRPr="00AF5643">
        <w:rPr>
          <w:rStyle w:val="af9"/>
          <w:rFonts w:hint="cs"/>
          <w:rtl/>
        </w:rPr>
        <w:t xml:space="preserve">ברמב"ם </w:t>
      </w:r>
      <w:r w:rsidRPr="00AF5643">
        <w:rPr>
          <w:rStyle w:val="af7"/>
          <w:rFonts w:eastAsia="Guttman Hodes" w:hint="cs"/>
          <w:rtl/>
        </w:rPr>
        <w:t xml:space="preserve">(עי' אות </w:t>
      </w:r>
      <w:r w:rsidRPr="00AF5643">
        <w:rPr>
          <w:rStyle w:val="af7"/>
          <w:rFonts w:eastAsia="Guttman Hodes"/>
          <w:rtl/>
        </w:rPr>
        <w:fldChar w:fldCharType="begin"/>
      </w:r>
      <w:r w:rsidRPr="00AF5643">
        <w:rPr>
          <w:rStyle w:val="af7"/>
          <w:rFonts w:eastAsia="Guttman Hodes"/>
          <w:rtl/>
        </w:rPr>
        <w:instrText xml:space="preserve"> </w:instrText>
      </w:r>
      <w:r w:rsidRPr="00AF5643">
        <w:rPr>
          <w:rStyle w:val="af7"/>
          <w:rFonts w:eastAsia="Guttman Hodes" w:hint="cs"/>
        </w:rPr>
        <w:instrText>REF</w:instrText>
      </w:r>
      <w:r w:rsidRPr="00AF5643">
        <w:rPr>
          <w:rStyle w:val="af7"/>
          <w:rFonts w:eastAsia="Guttman Hodes" w:hint="cs"/>
          <w:rtl/>
        </w:rPr>
        <w:instrText xml:space="preserve"> _</w:instrText>
      </w:r>
      <w:r w:rsidRPr="00AF5643">
        <w:rPr>
          <w:rStyle w:val="af7"/>
          <w:rFonts w:eastAsia="Guttman Hodes" w:hint="cs"/>
        </w:rPr>
        <w:instrText>Ref53095011 \r \h</w:instrText>
      </w:r>
      <w:r w:rsidRPr="00AF5643">
        <w:rPr>
          <w:rStyle w:val="af7"/>
          <w:rFonts w:eastAsia="Guttman Hodes"/>
          <w:rtl/>
        </w:rPr>
        <w:instrText xml:space="preserve"> </w:instrText>
      </w:r>
      <w:r w:rsidRPr="00AF5643">
        <w:rPr>
          <w:rStyle w:val="af7"/>
          <w:rFonts w:eastAsia="Guttman Hodes"/>
          <w:rtl/>
        </w:rPr>
      </w:r>
      <w:r w:rsidRPr="00AF5643">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AF5643">
        <w:rPr>
          <w:rStyle w:val="af7"/>
          <w:rFonts w:eastAsia="Guttman Hodes"/>
          <w:rtl/>
        </w:rPr>
        <w:fldChar w:fldCharType="end"/>
      </w:r>
      <w:r>
        <w:rPr>
          <w:rFonts w:hint="cs"/>
          <w:rtl/>
        </w:rPr>
        <w:t>, א"כ אין בו טענת אחוי שטרך כלל, ומהני חזקתו לאל</w:t>
      </w:r>
      <w:r w:rsidR="00980D27">
        <w:rPr>
          <w:rFonts w:hint="cs"/>
          <w:rtl/>
        </w:rPr>
        <w:t>תר, ולכן אינו צריך חזקת ג"ש.</w:t>
      </w:r>
      <w:bookmarkEnd w:id="929"/>
    </w:p>
    <w:p w:rsidR="00980D27" w:rsidRPr="00980D27" w:rsidRDefault="00C409BE" w:rsidP="00980D27">
      <w:pPr>
        <w:pStyle w:val="a3"/>
      </w:pPr>
      <w:bookmarkStart w:id="930" w:name="_Toc54125794"/>
      <w:bookmarkStart w:id="931" w:name="_Toc54134006"/>
      <w:r>
        <w:rPr>
          <w:rFonts w:hint="cs"/>
          <w:rtl/>
        </w:rPr>
        <w:t xml:space="preserve">ביאור הברכ"ש בקצוה"ח </w:t>
      </w:r>
      <w:r w:rsidR="00830F7F">
        <w:rPr>
          <w:rFonts w:hint="cs"/>
          <w:rtl/>
        </w:rPr>
        <w:t>דראית המחזיק היא מחמת התפיסה ולכן הוקשה לו דנימא אחוי שטרך</w:t>
      </w:r>
      <w:bookmarkEnd w:id="930"/>
      <w:bookmarkEnd w:id="931"/>
    </w:p>
    <w:p w:rsidR="00FF386B" w:rsidRDefault="00C409BE" w:rsidP="007E4E81">
      <w:pPr>
        <w:pStyle w:val="a0"/>
        <w:rPr>
          <w:rStyle w:val="afb"/>
          <w:rtl/>
        </w:rPr>
      </w:pPr>
      <w:bookmarkStart w:id="932" w:name="_Ref54113538"/>
      <w:r>
        <w:rPr>
          <w:rFonts w:hint="cs"/>
          <w:rtl/>
        </w:rPr>
        <w:t>ובמ</w:t>
      </w:r>
      <w:r w:rsidR="00830F7F">
        <w:rPr>
          <w:rFonts w:hint="cs"/>
          <w:rtl/>
        </w:rPr>
        <w:t>ה שהקשה</w:t>
      </w:r>
      <w:r>
        <w:rPr>
          <w:rFonts w:hint="cs"/>
          <w:rtl/>
        </w:rPr>
        <w:t xml:space="preserve"> </w:t>
      </w:r>
      <w:r w:rsidRPr="00AF5643">
        <w:rPr>
          <w:rStyle w:val="af9"/>
          <w:rFonts w:hint="cs"/>
          <w:rtl/>
        </w:rPr>
        <w:t xml:space="preserve">הקצוה"ח </w:t>
      </w:r>
      <w:r w:rsidRPr="001E11D7">
        <w:rPr>
          <w:rStyle w:val="af7"/>
          <w:rFonts w:eastAsia="Guttman Hodes" w:hint="cs"/>
          <w:rtl/>
        </w:rPr>
        <w:t xml:space="preserve">(עי' אות </w:t>
      </w:r>
      <w:r w:rsidRPr="001E11D7">
        <w:rPr>
          <w:rStyle w:val="af7"/>
          <w:rFonts w:eastAsia="Guttman Hodes"/>
          <w:rtl/>
        </w:rPr>
        <w:fldChar w:fldCharType="begin"/>
      </w:r>
      <w:r w:rsidRPr="001E11D7">
        <w:rPr>
          <w:rStyle w:val="af7"/>
          <w:rFonts w:eastAsia="Guttman Hodes"/>
          <w:rtl/>
        </w:rPr>
        <w:instrText xml:space="preserve"> </w:instrText>
      </w:r>
      <w:r w:rsidRPr="001E11D7">
        <w:rPr>
          <w:rStyle w:val="af7"/>
          <w:rFonts w:eastAsia="Guttman Hodes" w:hint="cs"/>
        </w:rPr>
        <w:instrText>REF</w:instrText>
      </w:r>
      <w:r w:rsidRPr="001E11D7">
        <w:rPr>
          <w:rStyle w:val="af7"/>
          <w:rFonts w:eastAsia="Guttman Hodes" w:hint="cs"/>
          <w:rtl/>
        </w:rPr>
        <w:instrText xml:space="preserve"> _</w:instrText>
      </w:r>
      <w:r w:rsidRPr="001E11D7">
        <w:rPr>
          <w:rStyle w:val="af7"/>
          <w:rFonts w:eastAsia="Guttman Hodes" w:hint="cs"/>
        </w:rPr>
        <w:instrText>Ref53467648 \r \h</w:instrText>
      </w:r>
      <w:r w:rsidRPr="001E11D7">
        <w:rPr>
          <w:rStyle w:val="af7"/>
          <w:rFonts w:eastAsia="Guttman Hodes"/>
          <w:rtl/>
        </w:rPr>
        <w:instrText xml:space="preserve"> </w:instrText>
      </w:r>
      <w:r w:rsidRPr="001E11D7">
        <w:rPr>
          <w:rStyle w:val="af7"/>
          <w:rFonts w:eastAsia="Guttman Hodes"/>
          <w:rtl/>
        </w:rPr>
      </w:r>
      <w:r w:rsidRPr="001E11D7">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1E11D7">
        <w:rPr>
          <w:rStyle w:val="af7"/>
          <w:rFonts w:eastAsia="Guttman Hodes"/>
          <w:rtl/>
        </w:rPr>
        <w:fldChar w:fldCharType="end"/>
      </w:r>
      <w:r>
        <w:rPr>
          <w:rFonts w:hint="cs"/>
          <w:rtl/>
        </w:rPr>
        <w:t xml:space="preserve"> אמאי בעבד קטן לא אמרינן אחוי שטרך, ותירץ </w:t>
      </w:r>
      <w:r w:rsidRPr="00AF5643">
        <w:rPr>
          <w:rStyle w:val="af9"/>
          <w:rFonts w:hint="cs"/>
          <w:rtl/>
        </w:rPr>
        <w:t xml:space="preserve">הקצוה"ח </w:t>
      </w:r>
      <w:r w:rsidR="00830F7F" w:rsidRPr="00830F7F">
        <w:rPr>
          <w:rStyle w:val="af7"/>
          <w:rFonts w:eastAsia="Guttman Hodes" w:hint="cs"/>
          <w:rtl/>
        </w:rPr>
        <w:t xml:space="preserve">(עי' אות </w:t>
      </w:r>
      <w:r w:rsidR="00830F7F" w:rsidRPr="00830F7F">
        <w:rPr>
          <w:rStyle w:val="af7"/>
          <w:rFonts w:eastAsia="Guttman Hodes"/>
          <w:rtl/>
        </w:rPr>
        <w:fldChar w:fldCharType="begin"/>
      </w:r>
      <w:r w:rsidR="00830F7F" w:rsidRPr="00830F7F">
        <w:rPr>
          <w:rStyle w:val="af7"/>
          <w:rFonts w:eastAsia="Guttman Hodes"/>
          <w:rtl/>
        </w:rPr>
        <w:instrText xml:space="preserve"> </w:instrText>
      </w:r>
      <w:r w:rsidR="00830F7F" w:rsidRPr="00830F7F">
        <w:rPr>
          <w:rStyle w:val="af7"/>
          <w:rFonts w:eastAsia="Guttman Hodes" w:hint="cs"/>
        </w:rPr>
        <w:instrText>REF</w:instrText>
      </w:r>
      <w:r w:rsidR="00830F7F" w:rsidRPr="00830F7F">
        <w:rPr>
          <w:rStyle w:val="af7"/>
          <w:rFonts w:eastAsia="Guttman Hodes" w:hint="cs"/>
          <w:rtl/>
        </w:rPr>
        <w:instrText xml:space="preserve"> _</w:instrText>
      </w:r>
      <w:r w:rsidR="00830F7F" w:rsidRPr="00830F7F">
        <w:rPr>
          <w:rStyle w:val="af7"/>
          <w:rFonts w:eastAsia="Guttman Hodes" w:hint="cs"/>
        </w:rPr>
        <w:instrText>Ref54113506 \r \h</w:instrText>
      </w:r>
      <w:r w:rsidR="00830F7F" w:rsidRPr="00830F7F">
        <w:rPr>
          <w:rStyle w:val="af7"/>
          <w:rFonts w:eastAsia="Guttman Hodes"/>
          <w:rtl/>
        </w:rPr>
        <w:instrText xml:space="preserve"> </w:instrText>
      </w:r>
      <w:r w:rsidR="00830F7F" w:rsidRPr="00830F7F">
        <w:rPr>
          <w:rStyle w:val="af7"/>
          <w:rFonts w:eastAsia="Guttman Hodes"/>
          <w:rtl/>
        </w:rPr>
      </w:r>
      <w:r w:rsidR="00830F7F" w:rsidRPr="00830F7F">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00830F7F" w:rsidRPr="00830F7F">
        <w:rPr>
          <w:rStyle w:val="af7"/>
          <w:rFonts w:eastAsia="Guttman Hodes"/>
          <w:rtl/>
        </w:rPr>
        <w:fldChar w:fldCharType="end"/>
      </w:r>
      <w:r w:rsidR="00830F7F">
        <w:rPr>
          <w:rStyle w:val="af9"/>
          <w:rFonts w:hint="cs"/>
          <w:rtl/>
        </w:rPr>
        <w:t xml:space="preserve"> </w:t>
      </w:r>
      <w:r>
        <w:rPr>
          <w:rFonts w:hint="cs"/>
          <w:rtl/>
        </w:rPr>
        <w:t xml:space="preserve">שתפיסתו היא ראיה גדולה יותר מחזקת ג"ש, </w:t>
      </w:r>
      <w:r w:rsidR="00FF386B">
        <w:rPr>
          <w:rFonts w:hint="cs"/>
          <w:rtl/>
        </w:rPr>
        <w:t xml:space="preserve">כתב </w:t>
      </w:r>
      <w:r w:rsidR="00FF386B" w:rsidRPr="00F15E1B">
        <w:rPr>
          <w:rStyle w:val="af9"/>
          <w:rFonts w:hint="cs"/>
          <w:rtl/>
        </w:rPr>
        <w:t>הברכ"ש</w:t>
      </w:r>
      <w:r w:rsidR="00FF386B">
        <w:rPr>
          <w:rFonts w:hint="cs"/>
          <w:rtl/>
        </w:rPr>
        <w:t xml:space="preserve"> דמבואר מדברי </w:t>
      </w:r>
      <w:r w:rsidR="00FF386B" w:rsidRPr="00AF5643">
        <w:rPr>
          <w:rStyle w:val="af9"/>
          <w:rFonts w:hint="cs"/>
          <w:rtl/>
        </w:rPr>
        <w:t>הקצוה"ח</w:t>
      </w:r>
      <w:r w:rsidR="00FF386B">
        <w:rPr>
          <w:rFonts w:hint="cs"/>
          <w:rtl/>
        </w:rPr>
        <w:t xml:space="preserve"> דעבד קטן הוא בכלל גודרות, ורק מחמת</w:t>
      </w:r>
      <w:r w:rsidR="00A77F33">
        <w:rPr>
          <w:rFonts w:hint="cs"/>
          <w:rtl/>
        </w:rPr>
        <w:t xml:space="preserve"> </w:t>
      </w:r>
      <w:r w:rsidR="00FF386B">
        <w:rPr>
          <w:rFonts w:hint="cs"/>
          <w:rtl/>
        </w:rPr>
        <w:t xml:space="preserve">סברא דאמא לא מנשיא ברא, </w:t>
      </w:r>
      <w:r w:rsidR="00FF386B" w:rsidRPr="00F15E1B">
        <w:rPr>
          <w:rStyle w:val="afb"/>
          <w:rFonts w:hint="cs"/>
          <w:rtl/>
        </w:rPr>
        <w:t>[דלא יתכן שהביאתו לבית המחזיק ושכחתו שם],</w:t>
      </w:r>
      <w:r w:rsidR="00FF386B">
        <w:rPr>
          <w:rFonts w:hint="cs"/>
          <w:rtl/>
        </w:rPr>
        <w:t xml:space="preserve"> לכן יש ראיה דהוא לקוח ביד המחזיק, וכיון דס"ל </w:t>
      </w:r>
      <w:r w:rsidR="00FF386B" w:rsidRPr="00AF5643">
        <w:rPr>
          <w:rStyle w:val="af9"/>
          <w:rFonts w:hint="cs"/>
          <w:rtl/>
        </w:rPr>
        <w:t xml:space="preserve">להקצוה"ח </w:t>
      </w:r>
      <w:r w:rsidR="00FF386B">
        <w:rPr>
          <w:rFonts w:hint="cs"/>
          <w:rtl/>
        </w:rPr>
        <w:t xml:space="preserve">דכל הראיה של המחזיק היא מדין חזקה ולא מדין תפיסה, לכן הוקשה </w:t>
      </w:r>
      <w:r w:rsidR="00FF386B" w:rsidRPr="00AF5643">
        <w:rPr>
          <w:rStyle w:val="af9"/>
          <w:rFonts w:hint="cs"/>
          <w:rtl/>
        </w:rPr>
        <w:t xml:space="preserve">להקצוה"ח </w:t>
      </w:r>
      <w:r w:rsidR="00FF386B">
        <w:rPr>
          <w:rFonts w:hint="cs"/>
          <w:rtl/>
        </w:rPr>
        <w:t>דאמאי לא אמרינן לו אחוי שטרך</w:t>
      </w:r>
      <w:r w:rsidR="00461951">
        <w:rPr>
          <w:rFonts w:hint="cs"/>
          <w:rtl/>
        </w:rPr>
        <w:t>,</w:t>
      </w:r>
      <w:r w:rsidR="00FF386B">
        <w:rPr>
          <w:rFonts w:hint="cs"/>
          <w:rtl/>
        </w:rPr>
        <w:t xml:space="preserve"> </w:t>
      </w:r>
      <w:r w:rsidR="00FF386B" w:rsidRPr="00AF5643">
        <w:rPr>
          <w:rStyle w:val="afb"/>
          <w:rFonts w:hint="cs"/>
          <w:rtl/>
        </w:rPr>
        <w:t xml:space="preserve">[אבל לפי ביאור </w:t>
      </w:r>
      <w:r w:rsidR="00FF386B" w:rsidRPr="00AF5643">
        <w:rPr>
          <w:rStyle w:val="affa"/>
          <w:rFonts w:hint="cs"/>
          <w:rtl/>
        </w:rPr>
        <w:t>הברכ"ש</w:t>
      </w:r>
      <w:r w:rsidR="00FF386B" w:rsidRPr="00AF5643">
        <w:rPr>
          <w:rStyle w:val="afb"/>
          <w:rFonts w:hint="cs"/>
          <w:rtl/>
        </w:rPr>
        <w:t xml:space="preserve"> </w:t>
      </w:r>
      <w:r w:rsidR="00FF386B" w:rsidRPr="001E11D7">
        <w:rPr>
          <w:rStyle w:val="aff6"/>
          <w:rFonts w:hint="cs"/>
          <w:rtl/>
        </w:rPr>
        <w:t xml:space="preserve">(עי' אות </w:t>
      </w:r>
      <w:r w:rsidR="001E11D7" w:rsidRPr="001E11D7">
        <w:rPr>
          <w:rStyle w:val="aff6"/>
          <w:rtl/>
        </w:rPr>
        <w:fldChar w:fldCharType="begin"/>
      </w:r>
      <w:r w:rsidR="001E11D7" w:rsidRPr="001E11D7">
        <w:rPr>
          <w:rStyle w:val="aff6"/>
          <w:rtl/>
        </w:rPr>
        <w:instrText xml:space="preserve"> </w:instrText>
      </w:r>
      <w:r w:rsidR="001E11D7" w:rsidRPr="001E11D7">
        <w:rPr>
          <w:rStyle w:val="aff6"/>
          <w:rFonts w:hint="cs"/>
        </w:rPr>
        <w:instrText>REF</w:instrText>
      </w:r>
      <w:r w:rsidR="001E11D7" w:rsidRPr="001E11D7">
        <w:rPr>
          <w:rStyle w:val="aff6"/>
          <w:rFonts w:hint="cs"/>
          <w:rtl/>
        </w:rPr>
        <w:instrText xml:space="preserve"> _</w:instrText>
      </w:r>
      <w:r w:rsidR="001E11D7" w:rsidRPr="001E11D7">
        <w:rPr>
          <w:rStyle w:val="aff6"/>
          <w:rFonts w:hint="cs"/>
        </w:rPr>
        <w:instrText>Ref54113453 \r \h</w:instrText>
      </w:r>
      <w:r w:rsidR="001E11D7" w:rsidRPr="001E11D7">
        <w:rPr>
          <w:rStyle w:val="aff6"/>
          <w:rtl/>
        </w:rPr>
        <w:instrText xml:space="preserve"> </w:instrText>
      </w:r>
      <w:r w:rsidR="001E11D7" w:rsidRPr="001E11D7">
        <w:rPr>
          <w:rStyle w:val="aff6"/>
          <w:rtl/>
        </w:rPr>
      </w:r>
      <w:r w:rsidR="001E11D7" w:rsidRPr="001E11D7">
        <w:rPr>
          <w:rStyle w:val="aff6"/>
          <w:rtl/>
        </w:rPr>
        <w:fldChar w:fldCharType="separate"/>
      </w:r>
      <w:r w:rsidR="00265073">
        <w:rPr>
          <w:rStyle w:val="aff6"/>
          <w:cs/>
        </w:rPr>
        <w:t>‎</w:t>
      </w:r>
      <w:r w:rsidR="00265073">
        <w:rPr>
          <w:rStyle w:val="aff6"/>
          <w:rtl/>
        </w:rPr>
        <w:t>קה)</w:t>
      </w:r>
      <w:r w:rsidR="001E11D7" w:rsidRPr="001E11D7">
        <w:rPr>
          <w:rStyle w:val="aff6"/>
          <w:rtl/>
        </w:rPr>
        <w:fldChar w:fldCharType="end"/>
      </w:r>
      <w:r w:rsidR="00FF386B" w:rsidRPr="00AF5643">
        <w:rPr>
          <w:rStyle w:val="afb"/>
          <w:rFonts w:hint="cs"/>
          <w:rtl/>
        </w:rPr>
        <w:t xml:space="preserve"> דעבד קטן הוא בכלל מטלטלין ואינו בכלל גודרות, א"כ הראיה היא מהא דהוא תפוס ביד המחזיק, וכנגד טענת תפוס הוא בידי, לא מהני טענת אחוי שטרך, כדביאר </w:t>
      </w:r>
      <w:r w:rsidR="00FF386B" w:rsidRPr="00AF5643">
        <w:rPr>
          <w:rStyle w:val="affa"/>
          <w:rFonts w:hint="cs"/>
          <w:rtl/>
        </w:rPr>
        <w:t>הברכ"ש</w:t>
      </w:r>
      <w:r w:rsidR="00FF386B" w:rsidRPr="00AF5643">
        <w:rPr>
          <w:rStyle w:val="afb"/>
          <w:rFonts w:hint="cs"/>
          <w:rtl/>
        </w:rPr>
        <w:t xml:space="preserve"> </w:t>
      </w:r>
      <w:r w:rsidR="00FF386B" w:rsidRPr="001E11D7">
        <w:rPr>
          <w:rStyle w:val="aff6"/>
          <w:rFonts w:hint="cs"/>
          <w:rtl/>
        </w:rPr>
        <w:t xml:space="preserve">(עי' אות </w:t>
      </w:r>
      <w:r w:rsidR="001E11D7" w:rsidRPr="001E11D7">
        <w:rPr>
          <w:rStyle w:val="aff6"/>
          <w:rtl/>
        </w:rPr>
        <w:fldChar w:fldCharType="begin"/>
      </w:r>
      <w:r w:rsidR="001E11D7" w:rsidRPr="001E11D7">
        <w:rPr>
          <w:rStyle w:val="aff6"/>
          <w:rtl/>
        </w:rPr>
        <w:instrText xml:space="preserve"> </w:instrText>
      </w:r>
      <w:r w:rsidR="001E11D7" w:rsidRPr="001E11D7">
        <w:rPr>
          <w:rStyle w:val="aff6"/>
          <w:rFonts w:hint="cs"/>
        </w:rPr>
        <w:instrText>REF</w:instrText>
      </w:r>
      <w:r w:rsidR="001E11D7" w:rsidRPr="001E11D7">
        <w:rPr>
          <w:rStyle w:val="aff6"/>
          <w:rFonts w:hint="cs"/>
          <w:rtl/>
        </w:rPr>
        <w:instrText xml:space="preserve"> _</w:instrText>
      </w:r>
      <w:r w:rsidR="001E11D7" w:rsidRPr="001E11D7">
        <w:rPr>
          <w:rStyle w:val="aff6"/>
          <w:rFonts w:hint="cs"/>
        </w:rPr>
        <w:instrText>Ref54113441 \r \h</w:instrText>
      </w:r>
      <w:r w:rsidR="001E11D7" w:rsidRPr="001E11D7">
        <w:rPr>
          <w:rStyle w:val="aff6"/>
          <w:rtl/>
        </w:rPr>
        <w:instrText xml:space="preserve"> </w:instrText>
      </w:r>
      <w:r w:rsidR="001E11D7" w:rsidRPr="001E11D7">
        <w:rPr>
          <w:rStyle w:val="aff6"/>
          <w:rtl/>
        </w:rPr>
      </w:r>
      <w:r w:rsidR="001E11D7" w:rsidRPr="001E11D7">
        <w:rPr>
          <w:rStyle w:val="aff6"/>
          <w:rtl/>
        </w:rPr>
        <w:fldChar w:fldCharType="separate"/>
      </w:r>
      <w:r w:rsidR="00265073">
        <w:rPr>
          <w:rStyle w:val="aff6"/>
          <w:cs/>
        </w:rPr>
        <w:t>‎</w:t>
      </w:r>
      <w:r w:rsidR="00265073">
        <w:rPr>
          <w:rStyle w:val="aff6"/>
          <w:rtl/>
        </w:rPr>
        <w:t>קב)</w:t>
      </w:r>
      <w:r w:rsidR="001E11D7" w:rsidRPr="001E11D7">
        <w:rPr>
          <w:rStyle w:val="aff6"/>
          <w:rtl/>
        </w:rPr>
        <w:fldChar w:fldCharType="end"/>
      </w:r>
      <w:r w:rsidR="00FF386B" w:rsidRPr="00AF5643">
        <w:rPr>
          <w:rStyle w:val="afb"/>
          <w:rFonts w:hint="cs"/>
          <w:rtl/>
        </w:rPr>
        <w:t>]</w:t>
      </w:r>
      <w:bookmarkEnd w:id="932"/>
      <w:r w:rsidR="00461951">
        <w:rPr>
          <w:rStyle w:val="afb"/>
          <w:rFonts w:hint="cs"/>
          <w:rtl/>
        </w:rPr>
        <w:t>,</w:t>
      </w:r>
      <w:r w:rsidR="00461951" w:rsidRPr="00461951">
        <w:rPr>
          <w:rFonts w:hint="cs"/>
          <w:rtl/>
        </w:rPr>
        <w:t xml:space="preserve"> </w:t>
      </w:r>
      <w:r w:rsidR="00461951">
        <w:rPr>
          <w:rFonts w:hint="cs"/>
          <w:rtl/>
        </w:rPr>
        <w:t xml:space="preserve">ועי' במה שביאר </w:t>
      </w:r>
      <w:r w:rsidR="00461951" w:rsidRPr="00461951">
        <w:rPr>
          <w:rStyle w:val="af9"/>
          <w:rFonts w:hint="cs"/>
          <w:rtl/>
        </w:rPr>
        <w:t>בחו"ש הגרב"ב</w:t>
      </w:r>
      <w:r w:rsidR="00461951">
        <w:rPr>
          <w:rFonts w:hint="cs"/>
          <w:rtl/>
        </w:rPr>
        <w:t xml:space="preserve"> </w:t>
      </w:r>
      <w:r w:rsidR="00461951" w:rsidRPr="000076F4">
        <w:rPr>
          <w:rStyle w:val="af7"/>
          <w:rFonts w:eastAsia="Guttman Hodes" w:hint="cs"/>
          <w:rtl/>
        </w:rPr>
        <w:t xml:space="preserve">(עי' אות </w:t>
      </w:r>
      <w:r w:rsidR="000076F4" w:rsidRPr="000076F4">
        <w:rPr>
          <w:rStyle w:val="af7"/>
          <w:rFonts w:eastAsia="Guttman Hodes"/>
          <w:rtl/>
        </w:rPr>
        <w:fldChar w:fldCharType="begin"/>
      </w:r>
      <w:r w:rsidR="000076F4" w:rsidRPr="000076F4">
        <w:rPr>
          <w:rStyle w:val="af7"/>
          <w:rFonts w:eastAsia="Guttman Hodes"/>
          <w:rtl/>
        </w:rPr>
        <w:instrText xml:space="preserve"> </w:instrText>
      </w:r>
      <w:r w:rsidR="000076F4" w:rsidRPr="000076F4">
        <w:rPr>
          <w:rStyle w:val="af7"/>
          <w:rFonts w:eastAsia="Guttman Hodes" w:hint="cs"/>
        </w:rPr>
        <w:instrText>REF</w:instrText>
      </w:r>
      <w:r w:rsidR="000076F4" w:rsidRPr="000076F4">
        <w:rPr>
          <w:rStyle w:val="af7"/>
          <w:rFonts w:eastAsia="Guttman Hodes" w:hint="cs"/>
          <w:rtl/>
        </w:rPr>
        <w:instrText xml:space="preserve"> _</w:instrText>
      </w:r>
      <w:r w:rsidR="000076F4" w:rsidRPr="000076F4">
        <w:rPr>
          <w:rStyle w:val="af7"/>
          <w:rFonts w:eastAsia="Guttman Hodes" w:hint="cs"/>
        </w:rPr>
        <w:instrText>Ref54121896 \r \h</w:instrText>
      </w:r>
      <w:r w:rsidR="000076F4" w:rsidRPr="000076F4">
        <w:rPr>
          <w:rStyle w:val="af7"/>
          <w:rFonts w:eastAsia="Guttman Hodes"/>
          <w:rtl/>
        </w:rPr>
        <w:instrText xml:space="preserve"> </w:instrText>
      </w:r>
      <w:r w:rsidR="000076F4" w:rsidRPr="000076F4">
        <w:rPr>
          <w:rStyle w:val="af7"/>
          <w:rFonts w:eastAsia="Guttman Hodes"/>
          <w:rtl/>
        </w:rPr>
      </w:r>
      <w:r w:rsidR="000076F4" w:rsidRPr="000076F4">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000076F4" w:rsidRPr="000076F4">
        <w:rPr>
          <w:rStyle w:val="af7"/>
          <w:rFonts w:eastAsia="Guttman Hodes"/>
          <w:rtl/>
        </w:rPr>
        <w:fldChar w:fldCharType="end"/>
      </w:r>
      <w:r w:rsidR="00461951">
        <w:rPr>
          <w:rFonts w:hint="cs"/>
          <w:rtl/>
        </w:rPr>
        <w:t xml:space="preserve"> בדברי </w:t>
      </w:r>
      <w:r w:rsidR="00461951" w:rsidRPr="00461951">
        <w:rPr>
          <w:rStyle w:val="af9"/>
          <w:rFonts w:hint="cs"/>
          <w:rtl/>
        </w:rPr>
        <w:t>הקצוה"ח</w:t>
      </w:r>
      <w:r w:rsidR="00461951">
        <w:rPr>
          <w:rFonts w:hint="cs"/>
          <w:rtl/>
        </w:rPr>
        <w:t>.</w:t>
      </w:r>
    </w:p>
    <w:p w:rsidR="00FF386B" w:rsidRPr="00EF3DA5" w:rsidRDefault="00B102C0" w:rsidP="00FF386B">
      <w:pPr>
        <w:pStyle w:val="1"/>
        <w:rPr>
          <w:rtl/>
        </w:rPr>
      </w:pPr>
      <w:bookmarkStart w:id="933" w:name="_Toc54134007"/>
      <w:r>
        <w:rPr>
          <w:rFonts w:hint="cs"/>
          <w:rtl/>
        </w:rPr>
        <w:t>ביאור הגרש"ר ברשב"ם דגודרות אינם כקרקע ועבדים כקרקע</w:t>
      </w:r>
      <w:bookmarkEnd w:id="933"/>
    </w:p>
    <w:p w:rsidR="00FF386B" w:rsidRDefault="001913A2" w:rsidP="001913A2">
      <w:pPr>
        <w:pStyle w:val="a3"/>
        <w:rPr>
          <w:rtl/>
        </w:rPr>
      </w:pPr>
      <w:bookmarkStart w:id="934" w:name="_Toc54125796"/>
      <w:bookmarkStart w:id="935" w:name="_Toc54134008"/>
      <w:r>
        <w:rPr>
          <w:rFonts w:hint="cs"/>
          <w:rtl/>
        </w:rPr>
        <w:t>דברי הגרש"ר דלא תנן חזקת ג"ש בגודרות דאינם מדין שטר אלא דבטלה הריעותא דבאו לבדם</w:t>
      </w:r>
      <w:bookmarkEnd w:id="934"/>
      <w:bookmarkEnd w:id="935"/>
    </w:p>
    <w:p w:rsidR="001913A2" w:rsidRDefault="00FF386B" w:rsidP="007E4E81">
      <w:pPr>
        <w:pStyle w:val="a0"/>
        <w:rPr>
          <w:rtl/>
        </w:rPr>
      </w:pPr>
      <w:r>
        <w:rPr>
          <w:rFonts w:hint="cs"/>
          <w:rtl/>
        </w:rPr>
        <w:t xml:space="preserve">במ"ש </w:t>
      </w:r>
      <w:r w:rsidRPr="003B6E0A">
        <w:rPr>
          <w:rStyle w:val="af9"/>
          <w:rFonts w:hint="cs"/>
          <w:rtl/>
        </w:rPr>
        <w:t>הרשב"ם לקמן</w:t>
      </w:r>
      <w:r>
        <w:rPr>
          <w:rFonts w:hint="cs"/>
          <w:rtl/>
        </w:rPr>
        <w:t xml:space="preserve"> </w:t>
      </w:r>
      <w:r w:rsidRPr="00504367">
        <w:rPr>
          <w:rStyle w:val="af7"/>
          <w:rFonts w:eastAsia="Guttman Hodes" w:hint="cs"/>
          <w:rtl/>
        </w:rPr>
        <w:t xml:space="preserve">(עי' אות </w:t>
      </w:r>
      <w:r w:rsidR="00504367" w:rsidRPr="00504367">
        <w:rPr>
          <w:rStyle w:val="af7"/>
          <w:rFonts w:eastAsia="Guttman Hodes"/>
          <w:rtl/>
        </w:rPr>
        <w:fldChar w:fldCharType="begin"/>
      </w:r>
      <w:r w:rsidR="00504367" w:rsidRPr="00504367">
        <w:rPr>
          <w:rStyle w:val="af7"/>
          <w:rFonts w:eastAsia="Guttman Hodes"/>
          <w:rtl/>
        </w:rPr>
        <w:instrText xml:space="preserve"> </w:instrText>
      </w:r>
      <w:r w:rsidR="00504367" w:rsidRPr="00504367">
        <w:rPr>
          <w:rStyle w:val="af7"/>
          <w:rFonts w:eastAsia="Guttman Hodes" w:hint="cs"/>
        </w:rPr>
        <w:instrText>REF</w:instrText>
      </w:r>
      <w:r w:rsidR="00504367" w:rsidRPr="00504367">
        <w:rPr>
          <w:rStyle w:val="af7"/>
          <w:rFonts w:eastAsia="Guttman Hodes" w:hint="cs"/>
          <w:rtl/>
        </w:rPr>
        <w:instrText xml:space="preserve"> _</w:instrText>
      </w:r>
      <w:r w:rsidR="00504367" w:rsidRPr="00504367">
        <w:rPr>
          <w:rStyle w:val="af7"/>
          <w:rFonts w:eastAsia="Guttman Hodes" w:hint="cs"/>
        </w:rPr>
        <w:instrText>Ref54085763 \r \h</w:instrText>
      </w:r>
      <w:r w:rsidR="00504367" w:rsidRPr="00504367">
        <w:rPr>
          <w:rStyle w:val="af7"/>
          <w:rFonts w:eastAsia="Guttman Hodes"/>
          <w:rtl/>
        </w:rPr>
        <w:instrText xml:space="preserve"> </w:instrText>
      </w:r>
      <w:r w:rsidR="00504367" w:rsidRPr="00504367">
        <w:rPr>
          <w:rStyle w:val="af7"/>
          <w:rFonts w:eastAsia="Guttman Hodes"/>
          <w:rtl/>
        </w:rPr>
      </w:r>
      <w:r w:rsidR="00504367" w:rsidRPr="00504367">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00504367" w:rsidRPr="00504367">
        <w:rPr>
          <w:rStyle w:val="af7"/>
          <w:rFonts w:eastAsia="Guttman Hodes"/>
          <w:rtl/>
        </w:rPr>
        <w:fldChar w:fldCharType="end"/>
      </w:r>
      <w:r>
        <w:rPr>
          <w:rFonts w:hint="cs"/>
          <w:rtl/>
        </w:rPr>
        <w:t xml:space="preserve"> דבגודרות מהני חזקת ג"ש, ביאר </w:t>
      </w:r>
      <w:r w:rsidRPr="003B6E0A">
        <w:rPr>
          <w:rStyle w:val="af9"/>
          <w:rFonts w:hint="cs"/>
          <w:rtl/>
        </w:rPr>
        <w:t>בשיעורי רבי שמואל</w:t>
      </w:r>
      <w:r>
        <w:rPr>
          <w:rFonts w:hint="cs"/>
          <w:rtl/>
        </w:rPr>
        <w:t xml:space="preserve"> </w:t>
      </w:r>
      <w:r w:rsidRPr="00504367">
        <w:rPr>
          <w:rStyle w:val="af7"/>
          <w:rFonts w:eastAsia="Guttman Hodes" w:hint="cs"/>
          <w:rtl/>
        </w:rPr>
        <w:t>(או' ג')</w:t>
      </w:r>
      <w:r>
        <w:rPr>
          <w:rFonts w:hint="cs"/>
          <w:rtl/>
        </w:rPr>
        <w:t xml:space="preserve"> דהחזקת ג"ש אינה מחמת שאחר ג"ש אינו נזהר בשטרו, ולכן לא תני להו במתני' יחד עם חזקת קרקע, אלא דבג"ש מתבטל החשש שבאו מאליהם</w:t>
      </w:r>
      <w:r w:rsidR="001913A2">
        <w:rPr>
          <w:rFonts w:hint="cs"/>
          <w:rtl/>
        </w:rPr>
        <w:t>.</w:t>
      </w:r>
    </w:p>
    <w:p w:rsidR="001913A2" w:rsidRPr="001913A2" w:rsidRDefault="001913A2" w:rsidP="001913A2">
      <w:pPr>
        <w:pStyle w:val="a3"/>
      </w:pPr>
      <w:bookmarkStart w:id="936" w:name="_Toc54125797"/>
      <w:bookmarkStart w:id="937" w:name="_Toc54134009"/>
      <w:r>
        <w:rPr>
          <w:rFonts w:hint="cs"/>
          <w:rtl/>
        </w:rPr>
        <w:t>דברי הגרש"ר דמהא דתנן במתני' חזקת ג"ש בעבדים מוכח דעבדים כקרקע</w:t>
      </w:r>
      <w:bookmarkEnd w:id="936"/>
      <w:bookmarkEnd w:id="937"/>
    </w:p>
    <w:p w:rsidR="00FF386B" w:rsidRDefault="00FF386B" w:rsidP="007E4E81">
      <w:pPr>
        <w:pStyle w:val="a0"/>
        <w:rPr>
          <w:rtl/>
        </w:rPr>
      </w:pPr>
      <w:r>
        <w:rPr>
          <w:rFonts w:hint="cs"/>
          <w:rtl/>
        </w:rPr>
        <w:t xml:space="preserve">אך כתב </w:t>
      </w:r>
      <w:r w:rsidRPr="003B6E0A">
        <w:rPr>
          <w:rStyle w:val="af9"/>
          <w:rFonts w:hint="cs"/>
          <w:rtl/>
        </w:rPr>
        <w:t>בשיעורי רבי שמואל</w:t>
      </w:r>
      <w:r>
        <w:rPr>
          <w:rFonts w:hint="cs"/>
          <w:rtl/>
        </w:rPr>
        <w:t xml:space="preserve"> דמהא דתנן במתני' עבדים, אף דלעבדים יש את אותו הדין כמו בגודרות, מוכח דעבדים אינם כמטלטלים אלא כקרקע.</w:t>
      </w:r>
    </w:p>
    <w:p w:rsidR="00B102C0" w:rsidRPr="00B102C0" w:rsidRDefault="00B102C0" w:rsidP="00B102C0">
      <w:pPr>
        <w:pStyle w:val="1"/>
        <w:rPr>
          <w:rtl/>
        </w:rPr>
      </w:pPr>
      <w:bookmarkStart w:id="938" w:name="_Toc54134010"/>
      <w:r>
        <w:rPr>
          <w:rFonts w:hint="cs"/>
          <w:rtl/>
        </w:rPr>
        <w:t xml:space="preserve">ביאור הגרש"ר ברשב"א </w:t>
      </w:r>
      <w:r w:rsidR="000F1F09">
        <w:rPr>
          <w:rFonts w:hint="cs"/>
          <w:rtl/>
        </w:rPr>
        <w:t>דעבדים כמטלטלין אך יש שטר</w:t>
      </w:r>
      <w:bookmarkEnd w:id="938"/>
    </w:p>
    <w:p w:rsidR="00FF386B" w:rsidRDefault="00416436" w:rsidP="00FF386B">
      <w:pPr>
        <w:pStyle w:val="a3"/>
        <w:rPr>
          <w:rtl/>
        </w:rPr>
      </w:pPr>
      <w:bookmarkStart w:id="939" w:name="_Toc54125798"/>
      <w:bookmarkStart w:id="940" w:name="_Toc54134011"/>
      <w:r>
        <w:rPr>
          <w:rFonts w:hint="cs"/>
          <w:rtl/>
        </w:rPr>
        <w:t xml:space="preserve">ביאור הגרש"ר ברשב"א </w:t>
      </w:r>
      <w:r w:rsidR="00AF2AFC">
        <w:rPr>
          <w:rFonts w:hint="cs"/>
          <w:rtl/>
        </w:rPr>
        <w:t>ד</w:t>
      </w:r>
      <w:r w:rsidR="00B102C0">
        <w:rPr>
          <w:rFonts w:hint="cs"/>
          <w:rtl/>
        </w:rPr>
        <w:t>בעבדים שייכא טענת אחוי שטרך אף ש</w:t>
      </w:r>
      <w:r w:rsidR="00AF2AFC">
        <w:rPr>
          <w:rFonts w:hint="cs"/>
          <w:rtl/>
        </w:rPr>
        <w:t>הם כמטלטלין</w:t>
      </w:r>
      <w:bookmarkEnd w:id="939"/>
      <w:bookmarkEnd w:id="940"/>
    </w:p>
    <w:p w:rsidR="00FF386B" w:rsidRDefault="00FF386B" w:rsidP="007E4E81">
      <w:pPr>
        <w:pStyle w:val="a0"/>
        <w:rPr>
          <w:rtl/>
        </w:rPr>
      </w:pPr>
      <w:r>
        <w:rPr>
          <w:rFonts w:hint="cs"/>
          <w:rtl/>
        </w:rPr>
        <w:t xml:space="preserve">במ"ש </w:t>
      </w:r>
      <w:r w:rsidRPr="003B6E0A">
        <w:rPr>
          <w:rStyle w:val="af9"/>
          <w:rFonts w:hint="cs"/>
          <w:rtl/>
        </w:rPr>
        <w:t xml:space="preserve">הרשב"א </w:t>
      </w:r>
      <w:r w:rsidRPr="00504367">
        <w:rPr>
          <w:rStyle w:val="af7"/>
          <w:rFonts w:eastAsia="Guttman Hodes" w:hint="cs"/>
          <w:rtl/>
        </w:rPr>
        <w:t xml:space="preserve">(עי' אות </w:t>
      </w:r>
      <w:r w:rsidR="00504367" w:rsidRPr="00504367">
        <w:rPr>
          <w:rStyle w:val="af7"/>
          <w:rFonts w:eastAsia="Guttman Hodes"/>
          <w:rtl/>
        </w:rPr>
        <w:fldChar w:fldCharType="begin"/>
      </w:r>
      <w:r w:rsidR="00504367" w:rsidRPr="00504367">
        <w:rPr>
          <w:rStyle w:val="af7"/>
          <w:rFonts w:eastAsia="Guttman Hodes"/>
          <w:rtl/>
        </w:rPr>
        <w:instrText xml:space="preserve"> </w:instrText>
      </w:r>
      <w:r w:rsidR="00504367" w:rsidRPr="00504367">
        <w:rPr>
          <w:rStyle w:val="af7"/>
          <w:rFonts w:eastAsia="Guttman Hodes" w:hint="cs"/>
        </w:rPr>
        <w:instrText>REF</w:instrText>
      </w:r>
      <w:r w:rsidR="00504367" w:rsidRPr="00504367">
        <w:rPr>
          <w:rStyle w:val="af7"/>
          <w:rFonts w:eastAsia="Guttman Hodes" w:hint="cs"/>
          <w:rtl/>
        </w:rPr>
        <w:instrText xml:space="preserve"> _</w:instrText>
      </w:r>
      <w:r w:rsidR="00504367" w:rsidRPr="00504367">
        <w:rPr>
          <w:rStyle w:val="af7"/>
          <w:rFonts w:eastAsia="Guttman Hodes" w:hint="cs"/>
        </w:rPr>
        <w:instrText>Ref54004530 \r \h</w:instrText>
      </w:r>
      <w:r w:rsidR="00504367" w:rsidRPr="00504367">
        <w:rPr>
          <w:rStyle w:val="af7"/>
          <w:rFonts w:eastAsia="Guttman Hodes"/>
          <w:rtl/>
        </w:rPr>
        <w:instrText xml:space="preserve"> </w:instrText>
      </w:r>
      <w:r w:rsidR="00504367" w:rsidRPr="00504367">
        <w:rPr>
          <w:rStyle w:val="af7"/>
          <w:rFonts w:eastAsia="Guttman Hodes"/>
          <w:rtl/>
        </w:rPr>
      </w:r>
      <w:r w:rsidR="00504367" w:rsidRPr="00504367">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00504367" w:rsidRPr="00504367">
        <w:rPr>
          <w:rStyle w:val="af7"/>
          <w:rFonts w:eastAsia="Guttman Hodes"/>
          <w:rtl/>
        </w:rPr>
        <w:fldChar w:fldCharType="end"/>
      </w:r>
      <w:r>
        <w:rPr>
          <w:rFonts w:hint="cs"/>
          <w:rtl/>
        </w:rPr>
        <w:t xml:space="preserve"> דלגודרות סגי בחזקה שנה או שנתיים, ובעבדים צריך חזקת ג"ש, כיון שהם עושים פירות תדיר,</w:t>
      </w:r>
      <w:r w:rsidRPr="00C241AD">
        <w:rPr>
          <w:rFonts w:hint="cs"/>
          <w:rtl/>
        </w:rPr>
        <w:t xml:space="preserve"> </w:t>
      </w:r>
      <w:r>
        <w:rPr>
          <w:rFonts w:hint="cs"/>
          <w:rtl/>
        </w:rPr>
        <w:t xml:space="preserve">ביאר </w:t>
      </w:r>
      <w:r w:rsidRPr="003B6E0A">
        <w:rPr>
          <w:rStyle w:val="af9"/>
          <w:rFonts w:hint="cs"/>
          <w:rtl/>
        </w:rPr>
        <w:t>בשיעורי רבי שמואל</w:t>
      </w:r>
      <w:r>
        <w:rPr>
          <w:rFonts w:hint="cs"/>
          <w:rtl/>
        </w:rPr>
        <w:t xml:space="preserve"> </w:t>
      </w:r>
      <w:r w:rsidRPr="00504367">
        <w:rPr>
          <w:rStyle w:val="af7"/>
          <w:rFonts w:eastAsia="Guttman Hodes" w:hint="cs"/>
          <w:rtl/>
        </w:rPr>
        <w:t>(או' ג')</w:t>
      </w:r>
      <w:r>
        <w:rPr>
          <w:rFonts w:hint="cs"/>
          <w:rtl/>
        </w:rPr>
        <w:t xml:space="preserve"> דאף במטלטלין יש את טענת אחוי שטרך, דאל"ה אמאי לא מהני בעבדים שנה או שנתיים כמו בגודרות, ועוד מוכח דאף דלאחר שנה או שנתיים יש לו ראיה שקנה את העבד, כמו בגודרות והוא נעשה מוחזק בעבד, מ"מ אפשר להוציא ממנו מחמת טענת אחוי שטרך, אך כתב </w:t>
      </w:r>
      <w:r w:rsidRPr="00703D63">
        <w:rPr>
          <w:rStyle w:val="af9"/>
          <w:rFonts w:hint="cs"/>
          <w:rtl/>
        </w:rPr>
        <w:t>בשיעורי רבי שמואל</w:t>
      </w:r>
      <w:r>
        <w:rPr>
          <w:rFonts w:hint="cs"/>
          <w:rtl/>
        </w:rPr>
        <w:t xml:space="preserve"> דאפשר לדחות דעבד אינו כמטלטלין כלל, ואין בו דין מוחזק דהא הוא הולך מעצמו.</w:t>
      </w:r>
    </w:p>
    <w:p w:rsidR="00974227" w:rsidRDefault="00974227" w:rsidP="00BA3F86">
      <w:pPr>
        <w:pStyle w:val="1"/>
        <w:rPr>
          <w:rtl/>
        </w:rPr>
      </w:pPr>
      <w:bookmarkStart w:id="941" w:name="_Toc54125799"/>
      <w:bookmarkStart w:id="942" w:name="_Toc54134012"/>
      <w:r>
        <w:rPr>
          <w:rFonts w:hint="cs"/>
          <w:rtl/>
        </w:rPr>
        <w:t xml:space="preserve">ביאור הגרש"ר בירושלמי </w:t>
      </w:r>
      <w:r w:rsidR="00BA3F86">
        <w:rPr>
          <w:rFonts w:hint="cs"/>
          <w:rtl/>
        </w:rPr>
        <w:t>דהא דתנן עבדים</w:t>
      </w:r>
      <w:r>
        <w:rPr>
          <w:rFonts w:hint="cs"/>
          <w:rtl/>
        </w:rPr>
        <w:t xml:space="preserve"> </w:t>
      </w:r>
      <w:r w:rsidR="00BA3F86">
        <w:rPr>
          <w:rFonts w:hint="cs"/>
          <w:rtl/>
        </w:rPr>
        <w:t>דהוקשו ל</w:t>
      </w:r>
      <w:r>
        <w:rPr>
          <w:rFonts w:hint="cs"/>
          <w:rtl/>
        </w:rPr>
        <w:t>קרקע</w:t>
      </w:r>
      <w:r w:rsidR="00BA3F86">
        <w:rPr>
          <w:rFonts w:hint="cs"/>
          <w:rtl/>
        </w:rPr>
        <w:t>ות</w:t>
      </w:r>
      <w:bookmarkEnd w:id="941"/>
      <w:bookmarkEnd w:id="942"/>
    </w:p>
    <w:p w:rsidR="00FF386B" w:rsidRDefault="0011166D" w:rsidP="00033AC2">
      <w:pPr>
        <w:pStyle w:val="a3"/>
        <w:rPr>
          <w:rtl/>
        </w:rPr>
      </w:pPr>
      <w:bookmarkStart w:id="943" w:name="_Toc54125800"/>
      <w:bookmarkStart w:id="944" w:name="_Toc54134013"/>
      <w:r>
        <w:rPr>
          <w:rFonts w:hint="cs"/>
          <w:rtl/>
        </w:rPr>
        <w:t xml:space="preserve">קושית הגרש"ר על הירושלמי </w:t>
      </w:r>
      <w:r w:rsidR="00033AC2">
        <w:rPr>
          <w:rFonts w:hint="cs"/>
          <w:rtl/>
        </w:rPr>
        <w:t>דבעבדים כמטלטלין ורק הראיה אחר ג"ש כקרקעות</w:t>
      </w:r>
      <w:bookmarkEnd w:id="943"/>
      <w:bookmarkEnd w:id="944"/>
      <w:r w:rsidR="00033AC2">
        <w:rPr>
          <w:rFonts w:hint="cs"/>
          <w:rtl/>
        </w:rPr>
        <w:t xml:space="preserve"> </w:t>
      </w:r>
    </w:p>
    <w:p w:rsidR="0011166D" w:rsidRDefault="00FF386B" w:rsidP="007E4E81">
      <w:pPr>
        <w:pStyle w:val="a0"/>
        <w:rPr>
          <w:sz w:val="10"/>
          <w:szCs w:val="14"/>
          <w:rtl/>
        </w:rPr>
      </w:pPr>
      <w:bookmarkStart w:id="945" w:name="_Ref54134040"/>
      <w:bookmarkStart w:id="946" w:name="_Ref54086801"/>
      <w:r>
        <w:rPr>
          <w:rFonts w:hint="cs"/>
          <w:rtl/>
        </w:rPr>
        <w:t xml:space="preserve">והביא </w:t>
      </w:r>
      <w:r w:rsidRPr="00703D63">
        <w:rPr>
          <w:rStyle w:val="af9"/>
          <w:rFonts w:hint="cs"/>
          <w:rtl/>
        </w:rPr>
        <w:t>בשיעורי רבי שמואל</w:t>
      </w:r>
      <w:r>
        <w:rPr>
          <w:rFonts w:hint="cs"/>
          <w:rtl/>
        </w:rPr>
        <w:t xml:space="preserve"> את דברי הירושלמי בקידושין </w:t>
      </w:r>
      <w:r w:rsidRPr="00504367">
        <w:rPr>
          <w:rStyle w:val="af7"/>
          <w:rFonts w:eastAsia="Guttman Hodes" w:hint="cs"/>
          <w:rtl/>
        </w:rPr>
        <w:t>(פ"א ה"ג, יב.)</w:t>
      </w:r>
      <w:r>
        <w:rPr>
          <w:rFonts w:hint="cs"/>
          <w:rtl/>
        </w:rPr>
        <w:t xml:space="preserve"> </w:t>
      </w:r>
      <w:r w:rsidR="00A079E7" w:rsidRPr="008F11E6">
        <w:rPr>
          <w:rStyle w:val="afb"/>
          <w:rFonts w:hint="cs"/>
          <w:rtl/>
        </w:rPr>
        <w:t>[ש</w:t>
      </w:r>
      <w:r w:rsidR="008F11E6">
        <w:rPr>
          <w:rStyle w:val="afb"/>
          <w:rFonts w:hint="cs"/>
          <w:rtl/>
        </w:rPr>
        <w:t>ציין</w:t>
      </w:r>
      <w:r w:rsidR="00A079E7" w:rsidRPr="008F11E6">
        <w:rPr>
          <w:rStyle w:val="afb"/>
          <w:rFonts w:hint="cs"/>
          <w:rtl/>
        </w:rPr>
        <w:t xml:space="preserve"> </w:t>
      </w:r>
      <w:r w:rsidR="00A079E7" w:rsidRPr="008F11E6">
        <w:rPr>
          <w:rStyle w:val="affa"/>
          <w:rFonts w:hint="cs"/>
          <w:rtl/>
        </w:rPr>
        <w:t>הגר"א</w:t>
      </w:r>
      <w:r w:rsidR="00A079E7" w:rsidRPr="008F11E6">
        <w:rPr>
          <w:rStyle w:val="afb"/>
          <w:rFonts w:hint="cs"/>
          <w:rtl/>
        </w:rPr>
        <w:t xml:space="preserve"> </w:t>
      </w:r>
      <w:r w:rsidR="00A079E7" w:rsidRPr="008F11E6">
        <w:rPr>
          <w:rStyle w:val="aff6"/>
          <w:rFonts w:hint="cs"/>
          <w:rtl/>
        </w:rPr>
        <w:t xml:space="preserve">(עי' אות </w:t>
      </w:r>
      <w:r w:rsidR="008F11E6" w:rsidRPr="008F11E6">
        <w:rPr>
          <w:rStyle w:val="aff6"/>
          <w:rtl/>
        </w:rPr>
        <w:fldChar w:fldCharType="begin"/>
      </w:r>
      <w:r w:rsidR="008F11E6" w:rsidRPr="008F11E6">
        <w:rPr>
          <w:rStyle w:val="aff6"/>
          <w:rtl/>
        </w:rPr>
        <w:instrText xml:space="preserve"> </w:instrText>
      </w:r>
      <w:r w:rsidR="008F11E6" w:rsidRPr="008F11E6">
        <w:rPr>
          <w:rStyle w:val="aff6"/>
          <w:rFonts w:hint="cs"/>
        </w:rPr>
        <w:instrText>REF</w:instrText>
      </w:r>
      <w:r w:rsidR="008F11E6" w:rsidRPr="008F11E6">
        <w:rPr>
          <w:rStyle w:val="aff6"/>
          <w:rFonts w:hint="cs"/>
          <w:rtl/>
        </w:rPr>
        <w:instrText xml:space="preserve"> _</w:instrText>
      </w:r>
      <w:r w:rsidR="008F11E6" w:rsidRPr="008F11E6">
        <w:rPr>
          <w:rStyle w:val="aff6"/>
          <w:rFonts w:hint="cs"/>
        </w:rPr>
        <w:instrText>Ref54086769 \r \h</w:instrText>
      </w:r>
      <w:r w:rsidR="008F11E6" w:rsidRPr="008F11E6">
        <w:rPr>
          <w:rStyle w:val="aff6"/>
          <w:rtl/>
        </w:rPr>
        <w:instrText xml:space="preserve"> </w:instrText>
      </w:r>
      <w:r w:rsidR="008F11E6" w:rsidRPr="008F11E6">
        <w:rPr>
          <w:rStyle w:val="aff6"/>
          <w:rtl/>
        </w:rPr>
      </w:r>
      <w:r w:rsidR="008F11E6" w:rsidRPr="008F11E6">
        <w:rPr>
          <w:rStyle w:val="aff6"/>
          <w:rtl/>
        </w:rPr>
        <w:fldChar w:fldCharType="separate"/>
      </w:r>
      <w:r w:rsidR="00265073">
        <w:rPr>
          <w:rStyle w:val="aff6"/>
          <w:cs/>
        </w:rPr>
        <w:t>‎</w:t>
      </w:r>
      <w:r w:rsidR="00265073">
        <w:rPr>
          <w:rStyle w:val="aff6"/>
          <w:rtl/>
        </w:rPr>
        <w:t>סו)</w:t>
      </w:r>
      <w:r w:rsidR="008F11E6" w:rsidRPr="008F11E6">
        <w:rPr>
          <w:rStyle w:val="aff6"/>
          <w:rtl/>
        </w:rPr>
        <w:fldChar w:fldCharType="end"/>
      </w:r>
      <w:r w:rsidR="00A079E7" w:rsidRPr="008F11E6">
        <w:rPr>
          <w:rStyle w:val="afb"/>
          <w:rFonts w:hint="cs"/>
          <w:rtl/>
        </w:rPr>
        <w:t xml:space="preserve">] </w:t>
      </w:r>
      <w:r>
        <w:rPr>
          <w:rFonts w:hint="cs"/>
          <w:rtl/>
        </w:rPr>
        <w:t xml:space="preserve">דהא דמהני חזקת ג"ש בעבדים, הוא כיון דהוקשו לקרקעות, </w:t>
      </w:r>
      <w:r w:rsidR="00A079E7" w:rsidRPr="00504367">
        <w:rPr>
          <w:rStyle w:val="afb"/>
          <w:rFonts w:hint="cs"/>
          <w:rtl/>
        </w:rPr>
        <w:t>[</w:t>
      </w:r>
      <w:r w:rsidRPr="00504367">
        <w:rPr>
          <w:rStyle w:val="afb"/>
          <w:rFonts w:hint="cs"/>
          <w:rtl/>
        </w:rPr>
        <w:t xml:space="preserve">עי' בדברי </w:t>
      </w:r>
      <w:r w:rsidRPr="00504367">
        <w:rPr>
          <w:rStyle w:val="affa"/>
          <w:rFonts w:hint="cs"/>
          <w:rtl/>
        </w:rPr>
        <w:t>רבינו גרשום</w:t>
      </w:r>
      <w:r w:rsidRPr="00504367">
        <w:rPr>
          <w:rStyle w:val="afb"/>
          <w:rFonts w:hint="cs"/>
          <w:rtl/>
        </w:rPr>
        <w:t xml:space="preserve"> </w:t>
      </w:r>
      <w:r w:rsidRPr="00504367">
        <w:rPr>
          <w:rStyle w:val="aff6"/>
          <w:rFonts w:hint="cs"/>
          <w:rtl/>
        </w:rPr>
        <w:t xml:space="preserve">(עי' אות </w:t>
      </w:r>
      <w:r w:rsidR="00504367" w:rsidRPr="00504367">
        <w:rPr>
          <w:rStyle w:val="aff6"/>
          <w:rtl/>
        </w:rPr>
        <w:fldChar w:fldCharType="begin"/>
      </w:r>
      <w:r w:rsidR="00504367" w:rsidRPr="00504367">
        <w:rPr>
          <w:rStyle w:val="aff6"/>
          <w:rtl/>
        </w:rPr>
        <w:instrText xml:space="preserve"> </w:instrText>
      </w:r>
      <w:r w:rsidR="00504367" w:rsidRPr="00504367">
        <w:rPr>
          <w:rStyle w:val="aff6"/>
          <w:rFonts w:hint="cs"/>
        </w:rPr>
        <w:instrText>REF</w:instrText>
      </w:r>
      <w:r w:rsidR="00504367" w:rsidRPr="00504367">
        <w:rPr>
          <w:rStyle w:val="aff6"/>
          <w:rFonts w:hint="cs"/>
          <w:rtl/>
        </w:rPr>
        <w:instrText xml:space="preserve"> _</w:instrText>
      </w:r>
      <w:r w:rsidR="00504367" w:rsidRPr="00504367">
        <w:rPr>
          <w:rStyle w:val="aff6"/>
          <w:rFonts w:hint="cs"/>
        </w:rPr>
        <w:instrText>Ref54091293 \r \h</w:instrText>
      </w:r>
      <w:r w:rsidR="00504367" w:rsidRPr="00504367">
        <w:rPr>
          <w:rStyle w:val="aff6"/>
          <w:rtl/>
        </w:rPr>
        <w:instrText xml:space="preserve"> </w:instrText>
      </w:r>
      <w:r w:rsidR="00504367" w:rsidRPr="00504367">
        <w:rPr>
          <w:rStyle w:val="aff6"/>
          <w:rtl/>
        </w:rPr>
      </w:r>
      <w:r w:rsidR="00504367" w:rsidRPr="00504367">
        <w:rPr>
          <w:rStyle w:val="aff6"/>
          <w:rtl/>
        </w:rPr>
        <w:fldChar w:fldCharType="separate"/>
      </w:r>
      <w:r w:rsidR="00265073">
        <w:rPr>
          <w:rStyle w:val="aff6"/>
          <w:cs/>
        </w:rPr>
        <w:t>‎</w:t>
      </w:r>
      <w:r w:rsidR="00265073">
        <w:rPr>
          <w:rStyle w:val="aff6"/>
          <w:rtl/>
        </w:rPr>
        <w:t>מח)</w:t>
      </w:r>
      <w:r w:rsidR="00504367" w:rsidRPr="00504367">
        <w:rPr>
          <w:rStyle w:val="aff6"/>
          <w:rtl/>
        </w:rPr>
        <w:fldChar w:fldCharType="end"/>
      </w:r>
      <w:r w:rsidRPr="00504367">
        <w:rPr>
          <w:rStyle w:val="afb"/>
          <w:rFonts w:hint="cs"/>
          <w:rtl/>
        </w:rPr>
        <w:t>],</w:t>
      </w:r>
      <w:r>
        <w:rPr>
          <w:rFonts w:hint="cs"/>
          <w:rtl/>
        </w:rPr>
        <w:t xml:space="preserve"> והקשה </w:t>
      </w:r>
      <w:r w:rsidRPr="00703D63">
        <w:rPr>
          <w:rStyle w:val="af9"/>
          <w:rFonts w:hint="cs"/>
          <w:rtl/>
        </w:rPr>
        <w:t>בשיעורי רבי שמואל</w:t>
      </w:r>
      <w:r>
        <w:rPr>
          <w:rFonts w:hint="cs"/>
          <w:rtl/>
        </w:rPr>
        <w:t xml:space="preserve"> דהא בעיקר דין חזקה אין כל חילוק בין קרקע למטלטלין, </w:t>
      </w:r>
      <w:r>
        <w:rPr>
          <w:rFonts w:hint="cs"/>
          <w:rtl/>
        </w:rPr>
        <w:t>ורק בראיה יש חילוק דבקרקע הראיה היא רק לאחר ג"ש, וא"כ בעבדים שהם בני שטרא, אף אם הם כמטלטלין, ג"כ הראיה היא רק לאחר ג"ש</w:t>
      </w:r>
      <w:r w:rsidR="0011166D">
        <w:rPr>
          <w:rFonts w:hint="cs"/>
          <w:rtl/>
        </w:rPr>
        <w:t>.</w:t>
      </w:r>
      <w:bookmarkEnd w:id="945"/>
    </w:p>
    <w:p w:rsidR="0011166D" w:rsidRPr="0011166D" w:rsidRDefault="00033AC2" w:rsidP="0011166D">
      <w:pPr>
        <w:pStyle w:val="a3"/>
      </w:pPr>
      <w:bookmarkStart w:id="947" w:name="_Toc54125801"/>
      <w:bookmarkStart w:id="948" w:name="_Toc54134014"/>
      <w:r>
        <w:rPr>
          <w:rFonts w:hint="cs"/>
          <w:rtl/>
        </w:rPr>
        <w:t>ביאור הגרש"ר בירושלמי דעבדים כמטלטלין אלא דתני להו במתני' כיון דהוקשו לקרקעות</w:t>
      </w:r>
      <w:bookmarkEnd w:id="947"/>
      <w:bookmarkEnd w:id="948"/>
    </w:p>
    <w:p w:rsidR="00FF386B" w:rsidRPr="008F11E6" w:rsidRDefault="00FF386B" w:rsidP="007E4E81">
      <w:pPr>
        <w:pStyle w:val="a0"/>
        <w:rPr>
          <w:rStyle w:val="afb"/>
          <w:rtl/>
        </w:rPr>
      </w:pPr>
      <w:r>
        <w:rPr>
          <w:rFonts w:hint="cs"/>
          <w:rtl/>
        </w:rPr>
        <w:t xml:space="preserve">וביאר </w:t>
      </w:r>
      <w:r w:rsidRPr="00703D63">
        <w:rPr>
          <w:rStyle w:val="af9"/>
          <w:rFonts w:hint="cs"/>
          <w:rtl/>
        </w:rPr>
        <w:t>בשיעורי רבי שמואל</w:t>
      </w:r>
      <w:r>
        <w:rPr>
          <w:rFonts w:hint="cs"/>
          <w:rtl/>
        </w:rPr>
        <w:t xml:space="preserve"> דכוונת הירושלמי לבאר דהא תנן במתני' עבדים ולא תנן גודרות, אעפ"י דבשניהם הראיה היא לאחר ג"ש כקרקע, הוא כיון דעבדים הוקשו לקרקעות, ולכן נכללו במתני' עם דיני הקרקעות. </w:t>
      </w:r>
      <w:r w:rsidRPr="008F11E6">
        <w:rPr>
          <w:rStyle w:val="afb"/>
          <w:rFonts w:hint="cs"/>
          <w:rtl/>
        </w:rPr>
        <w:t xml:space="preserve">[וכן מבואר בדברי </w:t>
      </w:r>
      <w:r w:rsidRPr="008F11E6">
        <w:rPr>
          <w:rStyle w:val="affa"/>
          <w:rFonts w:hint="cs"/>
          <w:rtl/>
        </w:rPr>
        <w:t>המאירי</w:t>
      </w:r>
      <w:r w:rsidRPr="008F11E6">
        <w:rPr>
          <w:rStyle w:val="afb"/>
          <w:rFonts w:hint="cs"/>
          <w:rtl/>
        </w:rPr>
        <w:t xml:space="preserve"> </w:t>
      </w:r>
      <w:r w:rsidRPr="0011166D">
        <w:rPr>
          <w:rStyle w:val="aff6"/>
          <w:rFonts w:hint="cs"/>
          <w:rtl/>
        </w:rPr>
        <w:t xml:space="preserve">(עי' אות </w:t>
      </w:r>
      <w:r w:rsidR="0011166D" w:rsidRPr="0011166D">
        <w:rPr>
          <w:rStyle w:val="aff6"/>
          <w:rtl/>
        </w:rPr>
        <w:fldChar w:fldCharType="begin"/>
      </w:r>
      <w:r w:rsidR="0011166D" w:rsidRPr="0011166D">
        <w:rPr>
          <w:rStyle w:val="aff6"/>
          <w:rtl/>
        </w:rPr>
        <w:instrText xml:space="preserve"> </w:instrText>
      </w:r>
      <w:r w:rsidR="0011166D" w:rsidRPr="0011166D">
        <w:rPr>
          <w:rStyle w:val="aff6"/>
          <w:rFonts w:hint="cs"/>
        </w:rPr>
        <w:instrText>REF</w:instrText>
      </w:r>
      <w:r w:rsidR="0011166D" w:rsidRPr="0011166D">
        <w:rPr>
          <w:rStyle w:val="aff6"/>
          <w:rFonts w:hint="cs"/>
          <w:rtl/>
        </w:rPr>
        <w:instrText xml:space="preserve"> _</w:instrText>
      </w:r>
      <w:r w:rsidR="0011166D" w:rsidRPr="0011166D">
        <w:rPr>
          <w:rStyle w:val="aff6"/>
          <w:rFonts w:hint="cs"/>
        </w:rPr>
        <w:instrText>Ref54122831 \r \h</w:instrText>
      </w:r>
      <w:r w:rsidR="0011166D" w:rsidRPr="0011166D">
        <w:rPr>
          <w:rStyle w:val="aff6"/>
          <w:rtl/>
        </w:rPr>
        <w:instrText xml:space="preserve"> </w:instrText>
      </w:r>
      <w:r w:rsidR="0011166D" w:rsidRPr="0011166D">
        <w:rPr>
          <w:rStyle w:val="aff6"/>
          <w:rtl/>
        </w:rPr>
      </w:r>
      <w:r w:rsidR="0011166D" w:rsidRPr="0011166D">
        <w:rPr>
          <w:rStyle w:val="aff6"/>
          <w:rtl/>
        </w:rPr>
        <w:fldChar w:fldCharType="separate"/>
      </w:r>
      <w:r w:rsidR="00265073">
        <w:rPr>
          <w:rStyle w:val="aff6"/>
          <w:cs/>
        </w:rPr>
        <w:t>‎</w:t>
      </w:r>
      <w:r w:rsidR="00265073">
        <w:rPr>
          <w:rStyle w:val="aff6"/>
          <w:rtl/>
        </w:rPr>
        <w:t>נ)</w:t>
      </w:r>
      <w:r w:rsidR="0011166D" w:rsidRPr="0011166D">
        <w:rPr>
          <w:rStyle w:val="aff6"/>
          <w:rtl/>
        </w:rPr>
        <w:fldChar w:fldCharType="end"/>
      </w:r>
      <w:r w:rsidRPr="008F11E6">
        <w:rPr>
          <w:rStyle w:val="afb"/>
          <w:rFonts w:hint="cs"/>
          <w:rtl/>
        </w:rPr>
        <w:t>].</w:t>
      </w:r>
      <w:bookmarkEnd w:id="946"/>
    </w:p>
    <w:p w:rsidR="00FF386B" w:rsidRDefault="00FF386B" w:rsidP="00FF386B">
      <w:pPr>
        <w:pStyle w:val="1"/>
        <w:rPr>
          <w:rtl/>
        </w:rPr>
      </w:pPr>
      <w:bookmarkStart w:id="949" w:name="_Toc53941237"/>
      <w:bookmarkStart w:id="950" w:name="_Toc54000523"/>
      <w:bookmarkStart w:id="951" w:name="_Toc54038998"/>
      <w:bookmarkStart w:id="952" w:name="_Toc54039092"/>
      <w:bookmarkStart w:id="953" w:name="_Toc54087543"/>
      <w:bookmarkStart w:id="954" w:name="_Toc54109353"/>
      <w:bookmarkStart w:id="955" w:name="_Toc54125802"/>
      <w:bookmarkStart w:id="956" w:name="_Toc54134015"/>
      <w:r>
        <w:rPr>
          <w:rFonts w:hint="cs"/>
          <w:rtl/>
        </w:rPr>
        <w:t>דברי הקוב"ש</w:t>
      </w:r>
      <w:bookmarkEnd w:id="949"/>
      <w:bookmarkEnd w:id="950"/>
      <w:bookmarkEnd w:id="951"/>
      <w:bookmarkEnd w:id="952"/>
      <w:bookmarkEnd w:id="953"/>
      <w:bookmarkEnd w:id="954"/>
      <w:bookmarkEnd w:id="955"/>
      <w:r w:rsidR="0009074B">
        <w:rPr>
          <w:rFonts w:hint="cs"/>
          <w:rtl/>
        </w:rPr>
        <w:t xml:space="preserve"> דלרשב"ם רק לרבי ישמעאל יש חזקה בגודרות</w:t>
      </w:r>
      <w:bookmarkEnd w:id="956"/>
    </w:p>
    <w:p w:rsidR="00FF386B" w:rsidRDefault="00CC74CC" w:rsidP="00FF386B">
      <w:pPr>
        <w:pStyle w:val="a3"/>
        <w:rPr>
          <w:rtl/>
        </w:rPr>
      </w:pPr>
      <w:bookmarkStart w:id="957" w:name="_Toc54125803"/>
      <w:bookmarkStart w:id="958" w:name="_Toc54134016"/>
      <w:r>
        <w:rPr>
          <w:rFonts w:hint="cs"/>
          <w:rtl/>
        </w:rPr>
        <w:t>ביאור הקוב"ש ברשב"ם דרק לת"ק מהני חזקת ג"ש בגודרות אבל לרבנן ל"מ דאינם בני שטרא</w:t>
      </w:r>
      <w:bookmarkEnd w:id="957"/>
      <w:bookmarkEnd w:id="958"/>
    </w:p>
    <w:p w:rsidR="00FF386B" w:rsidRDefault="00FF386B" w:rsidP="007E4E81">
      <w:pPr>
        <w:pStyle w:val="a0"/>
        <w:rPr>
          <w:rtl/>
        </w:rPr>
      </w:pPr>
      <w:r>
        <w:rPr>
          <w:rFonts w:hint="cs"/>
          <w:rtl/>
        </w:rPr>
        <w:t xml:space="preserve">במ"ש </w:t>
      </w:r>
      <w:r w:rsidRPr="008F11E6">
        <w:rPr>
          <w:rStyle w:val="af9"/>
          <w:rFonts w:hint="cs"/>
          <w:rtl/>
        </w:rPr>
        <w:t>הרשב"ם</w:t>
      </w:r>
      <w:r w:rsidRPr="00504367">
        <w:rPr>
          <w:rStyle w:val="af7"/>
          <w:rFonts w:eastAsia="Guttman Hodes" w:hint="cs"/>
          <w:rtl/>
        </w:rPr>
        <w:t xml:space="preserve"> (עי' אות </w:t>
      </w:r>
      <w:r w:rsidR="00504367" w:rsidRPr="00504367">
        <w:rPr>
          <w:rStyle w:val="af7"/>
          <w:rFonts w:eastAsia="Guttman Hodes"/>
          <w:rtl/>
        </w:rPr>
        <w:fldChar w:fldCharType="begin"/>
      </w:r>
      <w:r w:rsidR="00504367" w:rsidRPr="00504367">
        <w:rPr>
          <w:rStyle w:val="af7"/>
          <w:rFonts w:eastAsia="Guttman Hodes"/>
          <w:rtl/>
        </w:rPr>
        <w:instrText xml:space="preserve"> </w:instrText>
      </w:r>
      <w:r w:rsidR="00504367" w:rsidRPr="00504367">
        <w:rPr>
          <w:rStyle w:val="af7"/>
          <w:rFonts w:eastAsia="Guttman Hodes" w:hint="cs"/>
        </w:rPr>
        <w:instrText>REF</w:instrText>
      </w:r>
      <w:r w:rsidR="00504367" w:rsidRPr="00504367">
        <w:rPr>
          <w:rStyle w:val="af7"/>
          <w:rFonts w:eastAsia="Guttman Hodes" w:hint="cs"/>
          <w:rtl/>
        </w:rPr>
        <w:instrText xml:space="preserve"> _</w:instrText>
      </w:r>
      <w:r w:rsidR="00504367" w:rsidRPr="00504367">
        <w:rPr>
          <w:rStyle w:val="af7"/>
          <w:rFonts w:eastAsia="Guttman Hodes" w:hint="cs"/>
        </w:rPr>
        <w:instrText>Ref54085763 \r \h</w:instrText>
      </w:r>
      <w:r w:rsidR="00504367" w:rsidRPr="00504367">
        <w:rPr>
          <w:rStyle w:val="af7"/>
          <w:rFonts w:eastAsia="Guttman Hodes"/>
          <w:rtl/>
        </w:rPr>
        <w:instrText xml:space="preserve"> </w:instrText>
      </w:r>
      <w:r w:rsidR="00504367" w:rsidRPr="00504367">
        <w:rPr>
          <w:rStyle w:val="af7"/>
          <w:rFonts w:eastAsia="Guttman Hodes"/>
          <w:rtl/>
        </w:rPr>
      </w:r>
      <w:r w:rsidR="00504367" w:rsidRPr="00504367">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00504367" w:rsidRPr="00504367">
        <w:rPr>
          <w:rStyle w:val="af7"/>
          <w:rFonts w:eastAsia="Guttman Hodes"/>
          <w:rtl/>
        </w:rPr>
        <w:fldChar w:fldCharType="end"/>
      </w:r>
      <w:r w:rsidRPr="00504367">
        <w:rPr>
          <w:rStyle w:val="af7"/>
          <w:rFonts w:eastAsia="Guttman Hodes" w:hint="cs"/>
          <w:rtl/>
        </w:rPr>
        <w:t xml:space="preserve"> </w:t>
      </w:r>
      <w:r>
        <w:rPr>
          <w:rFonts w:hint="cs"/>
          <w:rtl/>
        </w:rPr>
        <w:t xml:space="preserve">דבגודרות מהני חזקת ג"ש, הקשה </w:t>
      </w:r>
      <w:r w:rsidRPr="008F11E6">
        <w:rPr>
          <w:rStyle w:val="af9"/>
          <w:rFonts w:hint="cs"/>
          <w:rtl/>
        </w:rPr>
        <w:t>הקוב"ש</w:t>
      </w:r>
      <w:r>
        <w:rPr>
          <w:rFonts w:hint="cs"/>
          <w:rtl/>
        </w:rPr>
        <w:t xml:space="preserve"> </w:t>
      </w:r>
      <w:r w:rsidRPr="00504367">
        <w:rPr>
          <w:rStyle w:val="af7"/>
          <w:rFonts w:eastAsia="Guttman Hodes" w:hint="cs"/>
          <w:rtl/>
        </w:rPr>
        <w:t>(או' ק"ס)</w:t>
      </w:r>
      <w:r>
        <w:rPr>
          <w:rFonts w:hint="cs"/>
          <w:rtl/>
        </w:rPr>
        <w:t xml:space="preserve"> דהא חזקת ג"ש היא רק מחמת דאחר ג"ש אינו נזהר בשטרו, ובמטלטלין שאינם בני שטר לא שייכא החזקה כלל, </w:t>
      </w:r>
      <w:r w:rsidRPr="008F11E6">
        <w:rPr>
          <w:rStyle w:val="afb"/>
          <w:rFonts w:hint="cs"/>
          <w:rtl/>
        </w:rPr>
        <w:t>[וכן הקש</w:t>
      </w:r>
      <w:r w:rsidR="008F11E6" w:rsidRPr="008F11E6">
        <w:rPr>
          <w:rStyle w:val="afb"/>
          <w:rFonts w:hint="cs"/>
          <w:rtl/>
        </w:rPr>
        <w:t>ה</w:t>
      </w:r>
      <w:r w:rsidRPr="008F11E6">
        <w:rPr>
          <w:rStyle w:val="afb"/>
          <w:rFonts w:hint="cs"/>
          <w:rtl/>
        </w:rPr>
        <w:t xml:space="preserve"> </w:t>
      </w:r>
      <w:r w:rsidRPr="008F11E6">
        <w:rPr>
          <w:rStyle w:val="affa"/>
          <w:rFonts w:hint="cs"/>
          <w:rtl/>
        </w:rPr>
        <w:t>הנתיה"מ</w:t>
      </w:r>
      <w:r w:rsidRPr="008F11E6">
        <w:rPr>
          <w:rStyle w:val="afb"/>
          <w:rFonts w:hint="cs"/>
          <w:rtl/>
        </w:rPr>
        <w:t xml:space="preserve"> </w:t>
      </w:r>
      <w:r w:rsidRPr="00504367">
        <w:rPr>
          <w:rStyle w:val="aff6"/>
          <w:rFonts w:hint="cs"/>
          <w:rtl/>
        </w:rPr>
        <w:t xml:space="preserve">(עי' אות </w:t>
      </w:r>
      <w:r w:rsidR="00504367" w:rsidRPr="00504367">
        <w:rPr>
          <w:rStyle w:val="aff6"/>
          <w:rtl/>
        </w:rPr>
        <w:fldChar w:fldCharType="begin"/>
      </w:r>
      <w:r w:rsidR="00504367" w:rsidRPr="00504367">
        <w:rPr>
          <w:rStyle w:val="aff6"/>
          <w:rtl/>
        </w:rPr>
        <w:instrText xml:space="preserve"> </w:instrText>
      </w:r>
      <w:r w:rsidR="00504367" w:rsidRPr="00504367">
        <w:rPr>
          <w:rStyle w:val="aff6"/>
          <w:rFonts w:hint="cs"/>
        </w:rPr>
        <w:instrText>REF</w:instrText>
      </w:r>
      <w:r w:rsidR="00504367" w:rsidRPr="00504367">
        <w:rPr>
          <w:rStyle w:val="aff6"/>
          <w:rFonts w:hint="cs"/>
          <w:rtl/>
        </w:rPr>
        <w:instrText xml:space="preserve"> _</w:instrText>
      </w:r>
      <w:r w:rsidR="00504367" w:rsidRPr="00504367">
        <w:rPr>
          <w:rStyle w:val="aff6"/>
          <w:rFonts w:hint="cs"/>
        </w:rPr>
        <w:instrText>Ref54091184 \r \h</w:instrText>
      </w:r>
      <w:r w:rsidR="00504367" w:rsidRPr="00504367">
        <w:rPr>
          <w:rStyle w:val="aff6"/>
          <w:rtl/>
        </w:rPr>
        <w:instrText xml:space="preserve"> </w:instrText>
      </w:r>
      <w:r w:rsidR="00504367" w:rsidRPr="00504367">
        <w:rPr>
          <w:rStyle w:val="aff6"/>
          <w:rtl/>
        </w:rPr>
      </w:r>
      <w:r w:rsidR="00504367" w:rsidRPr="00504367">
        <w:rPr>
          <w:rStyle w:val="aff6"/>
          <w:rtl/>
        </w:rPr>
        <w:fldChar w:fldCharType="separate"/>
      </w:r>
      <w:r w:rsidR="00265073">
        <w:rPr>
          <w:rStyle w:val="aff6"/>
          <w:cs/>
        </w:rPr>
        <w:t>‎</w:t>
      </w:r>
      <w:r w:rsidR="00265073">
        <w:rPr>
          <w:rStyle w:val="aff6"/>
          <w:rtl/>
        </w:rPr>
        <w:t>סא)</w:t>
      </w:r>
      <w:r w:rsidR="00504367" w:rsidRPr="00504367">
        <w:rPr>
          <w:rStyle w:val="aff6"/>
          <w:rtl/>
        </w:rPr>
        <w:fldChar w:fldCharType="end"/>
      </w:r>
      <w:r w:rsidR="008F11E6">
        <w:rPr>
          <w:rStyle w:val="afb"/>
          <w:rFonts w:hint="cs"/>
          <w:rtl/>
        </w:rPr>
        <w:t xml:space="preserve">, ועי' בדברי </w:t>
      </w:r>
      <w:r w:rsidR="008F11E6" w:rsidRPr="008F11E6">
        <w:rPr>
          <w:rStyle w:val="affa"/>
          <w:rFonts w:hint="cs"/>
          <w:rtl/>
        </w:rPr>
        <w:t xml:space="preserve">היד רמ"ה </w:t>
      </w:r>
      <w:r w:rsidR="008F11E6" w:rsidRPr="00504367">
        <w:rPr>
          <w:rStyle w:val="aff6"/>
          <w:rFonts w:hint="cs"/>
          <w:rtl/>
        </w:rPr>
        <w:t xml:space="preserve">(עי' אות </w:t>
      </w:r>
      <w:r w:rsidR="00504367" w:rsidRPr="00504367">
        <w:rPr>
          <w:rStyle w:val="aff6"/>
          <w:rtl/>
        </w:rPr>
        <w:fldChar w:fldCharType="begin"/>
      </w:r>
      <w:r w:rsidR="00504367" w:rsidRPr="00504367">
        <w:rPr>
          <w:rStyle w:val="aff6"/>
          <w:rtl/>
        </w:rPr>
        <w:instrText xml:space="preserve"> </w:instrText>
      </w:r>
      <w:r w:rsidR="00504367" w:rsidRPr="00504367">
        <w:rPr>
          <w:rStyle w:val="aff6"/>
          <w:rFonts w:hint="cs"/>
        </w:rPr>
        <w:instrText>REF</w:instrText>
      </w:r>
      <w:r w:rsidR="00504367" w:rsidRPr="00504367">
        <w:rPr>
          <w:rStyle w:val="aff6"/>
          <w:rFonts w:hint="cs"/>
          <w:rtl/>
        </w:rPr>
        <w:instrText xml:space="preserve"> _</w:instrText>
      </w:r>
      <w:r w:rsidR="00504367" w:rsidRPr="00504367">
        <w:rPr>
          <w:rStyle w:val="aff6"/>
          <w:rFonts w:hint="cs"/>
        </w:rPr>
        <w:instrText>Ref54037227 \r \h</w:instrText>
      </w:r>
      <w:r w:rsidR="00504367" w:rsidRPr="00504367">
        <w:rPr>
          <w:rStyle w:val="aff6"/>
          <w:rtl/>
        </w:rPr>
        <w:instrText xml:space="preserve"> </w:instrText>
      </w:r>
      <w:r w:rsidR="00504367" w:rsidRPr="00504367">
        <w:rPr>
          <w:rStyle w:val="aff6"/>
          <w:rtl/>
        </w:rPr>
      </w:r>
      <w:r w:rsidR="00504367" w:rsidRPr="00504367">
        <w:rPr>
          <w:rStyle w:val="aff6"/>
          <w:rtl/>
        </w:rPr>
        <w:fldChar w:fldCharType="separate"/>
      </w:r>
      <w:r w:rsidR="00265073">
        <w:rPr>
          <w:rStyle w:val="aff6"/>
          <w:cs/>
        </w:rPr>
        <w:t>‎</w:t>
      </w:r>
      <w:r w:rsidR="00265073">
        <w:rPr>
          <w:rStyle w:val="aff6"/>
          <w:rtl/>
        </w:rPr>
        <w:t>נא)</w:t>
      </w:r>
      <w:r w:rsidR="00504367" w:rsidRPr="00504367">
        <w:rPr>
          <w:rStyle w:val="aff6"/>
          <w:rtl/>
        </w:rPr>
        <w:fldChar w:fldCharType="end"/>
      </w:r>
      <w:r w:rsidR="008F11E6">
        <w:rPr>
          <w:rStyle w:val="afb"/>
          <w:rFonts w:hint="cs"/>
          <w:rtl/>
        </w:rPr>
        <w:t xml:space="preserve"> </w:t>
      </w:r>
      <w:r w:rsidR="008F11E6" w:rsidRPr="008F11E6">
        <w:rPr>
          <w:rStyle w:val="affa"/>
          <w:rFonts w:hint="cs"/>
          <w:rtl/>
        </w:rPr>
        <w:t>והעיטור</w:t>
      </w:r>
      <w:r w:rsidR="008F11E6">
        <w:rPr>
          <w:rStyle w:val="afb"/>
          <w:rFonts w:hint="cs"/>
          <w:rtl/>
        </w:rPr>
        <w:t xml:space="preserve"> </w:t>
      </w:r>
      <w:r w:rsidR="008F11E6" w:rsidRPr="00504367">
        <w:rPr>
          <w:rStyle w:val="aff6"/>
          <w:rFonts w:hint="cs"/>
          <w:rtl/>
        </w:rPr>
        <w:t xml:space="preserve">(עי' אות </w:t>
      </w:r>
      <w:r w:rsidR="00504367" w:rsidRPr="00504367">
        <w:rPr>
          <w:rStyle w:val="aff6"/>
          <w:rtl/>
        </w:rPr>
        <w:fldChar w:fldCharType="begin"/>
      </w:r>
      <w:r w:rsidR="00504367" w:rsidRPr="00504367">
        <w:rPr>
          <w:rStyle w:val="aff6"/>
          <w:rtl/>
        </w:rPr>
        <w:instrText xml:space="preserve"> </w:instrText>
      </w:r>
      <w:r w:rsidR="00504367" w:rsidRPr="00504367">
        <w:rPr>
          <w:rStyle w:val="aff6"/>
          <w:rFonts w:hint="cs"/>
        </w:rPr>
        <w:instrText>REF</w:instrText>
      </w:r>
      <w:r w:rsidR="00504367" w:rsidRPr="00504367">
        <w:rPr>
          <w:rStyle w:val="aff6"/>
          <w:rFonts w:hint="cs"/>
          <w:rtl/>
        </w:rPr>
        <w:instrText xml:space="preserve"> _</w:instrText>
      </w:r>
      <w:r w:rsidR="00504367" w:rsidRPr="00504367">
        <w:rPr>
          <w:rStyle w:val="aff6"/>
          <w:rFonts w:hint="cs"/>
        </w:rPr>
        <w:instrText>Ref54086904 \r \h</w:instrText>
      </w:r>
      <w:r w:rsidR="00504367" w:rsidRPr="00504367">
        <w:rPr>
          <w:rStyle w:val="aff6"/>
          <w:rtl/>
        </w:rPr>
        <w:instrText xml:space="preserve"> </w:instrText>
      </w:r>
      <w:r w:rsidR="00504367" w:rsidRPr="00504367">
        <w:rPr>
          <w:rStyle w:val="aff6"/>
          <w:rtl/>
        </w:rPr>
      </w:r>
      <w:r w:rsidR="00504367" w:rsidRPr="00504367">
        <w:rPr>
          <w:rStyle w:val="aff6"/>
          <w:rtl/>
        </w:rPr>
        <w:fldChar w:fldCharType="separate"/>
      </w:r>
      <w:r w:rsidR="00265073">
        <w:rPr>
          <w:rStyle w:val="aff6"/>
          <w:cs/>
        </w:rPr>
        <w:t>‎</w:t>
      </w:r>
      <w:r w:rsidR="00265073">
        <w:rPr>
          <w:rStyle w:val="aff6"/>
          <w:rtl/>
        </w:rPr>
        <w:t>סה)</w:t>
      </w:r>
      <w:r w:rsidR="00504367" w:rsidRPr="00504367">
        <w:rPr>
          <w:rStyle w:val="aff6"/>
          <w:rtl/>
        </w:rPr>
        <w:fldChar w:fldCharType="end"/>
      </w:r>
      <w:r w:rsidRPr="008F11E6">
        <w:rPr>
          <w:rStyle w:val="afb"/>
          <w:rFonts w:hint="cs"/>
          <w:rtl/>
        </w:rPr>
        <w:t>],</w:t>
      </w:r>
      <w:r>
        <w:rPr>
          <w:rFonts w:hint="cs"/>
          <w:rtl/>
        </w:rPr>
        <w:t xml:space="preserve"> ותירץ </w:t>
      </w:r>
      <w:r w:rsidRPr="008F11E6">
        <w:rPr>
          <w:rStyle w:val="af9"/>
          <w:rFonts w:hint="cs"/>
          <w:rtl/>
        </w:rPr>
        <w:t>הקוב"ש</w:t>
      </w:r>
      <w:r>
        <w:rPr>
          <w:rFonts w:hint="cs"/>
          <w:rtl/>
        </w:rPr>
        <w:t xml:space="preserve"> דכוונת </w:t>
      </w:r>
      <w:r w:rsidRPr="008F11E6">
        <w:rPr>
          <w:rStyle w:val="af9"/>
          <w:rFonts w:hint="cs"/>
          <w:rtl/>
        </w:rPr>
        <w:t>הרשב"ם</w:t>
      </w:r>
      <w:r>
        <w:rPr>
          <w:rFonts w:hint="cs"/>
          <w:rtl/>
        </w:rPr>
        <w:t xml:space="preserve"> לומר דהא דתנן במתני' עבדים, ולא תנן גודרות, הוא כיון דס"ל לת</w:t>
      </w:r>
      <w:r w:rsidR="0023696A">
        <w:rPr>
          <w:rFonts w:hint="cs"/>
          <w:rtl/>
        </w:rPr>
        <w:t>"ק</w:t>
      </w:r>
      <w:r>
        <w:rPr>
          <w:rFonts w:hint="cs"/>
          <w:rtl/>
        </w:rPr>
        <w:t xml:space="preserve"> דמתני' </w:t>
      </w:r>
      <w:r w:rsidR="0023696A">
        <w:rPr>
          <w:rFonts w:hint="cs"/>
          <w:rtl/>
        </w:rPr>
        <w:t>כרבי ישמעאל דחזקת ג"ש ילפינן לה משור המועד, ולכן ס"ל ד</w:t>
      </w:r>
      <w:r>
        <w:rPr>
          <w:rFonts w:hint="cs"/>
          <w:rtl/>
        </w:rPr>
        <w:t xml:space="preserve">מהני חזקת ג"ש בגודרות, אבל לדעת רבא דחזקה היא מחמת שאינו נזהר בשטרו, א"כ ס"ל כרבנן </w:t>
      </w:r>
      <w:r w:rsidR="0023696A">
        <w:rPr>
          <w:rFonts w:hint="cs"/>
          <w:rtl/>
        </w:rPr>
        <w:t xml:space="preserve">בגמ' לקמן (לו:) </w:t>
      </w:r>
      <w:r>
        <w:rPr>
          <w:rFonts w:hint="cs"/>
          <w:rtl/>
        </w:rPr>
        <w:t>דפליגי על</w:t>
      </w:r>
      <w:r w:rsidR="00A76BAC">
        <w:rPr>
          <w:rFonts w:hint="cs"/>
          <w:rtl/>
        </w:rPr>
        <w:t xml:space="preserve"> ת"ק</w:t>
      </w:r>
      <w:r>
        <w:rPr>
          <w:rFonts w:hint="cs"/>
          <w:rtl/>
        </w:rPr>
        <w:t xml:space="preserve"> </w:t>
      </w:r>
      <w:r w:rsidR="00A76BAC">
        <w:rPr>
          <w:rFonts w:hint="cs"/>
          <w:rtl/>
        </w:rPr>
        <w:t>ד</w:t>
      </w:r>
      <w:r>
        <w:rPr>
          <w:rFonts w:hint="cs"/>
          <w:rtl/>
        </w:rPr>
        <w:t xml:space="preserve">מתני', כמבואר מדברי </w:t>
      </w:r>
      <w:r w:rsidRPr="008F11E6">
        <w:rPr>
          <w:rStyle w:val="af9"/>
          <w:rFonts w:hint="cs"/>
          <w:rtl/>
        </w:rPr>
        <w:t>הרשב"ם לקמן</w:t>
      </w:r>
      <w:r>
        <w:rPr>
          <w:rFonts w:hint="cs"/>
          <w:rtl/>
        </w:rPr>
        <w:t xml:space="preserve"> </w:t>
      </w:r>
      <w:r w:rsidRPr="00BA3F86">
        <w:rPr>
          <w:rStyle w:val="af7"/>
          <w:rFonts w:eastAsia="Guttman Hodes" w:hint="cs"/>
          <w:rtl/>
        </w:rPr>
        <w:t>(לו</w:t>
      </w:r>
      <w:r w:rsidR="0023696A">
        <w:rPr>
          <w:rStyle w:val="af7"/>
          <w:rFonts w:eastAsia="Guttman Hodes" w:hint="cs"/>
          <w:rtl/>
        </w:rPr>
        <w:t>:</w:t>
      </w:r>
      <w:r w:rsidRPr="00BA3F86">
        <w:rPr>
          <w:rStyle w:val="af7"/>
          <w:rFonts w:eastAsia="Guttman Hodes" w:hint="cs"/>
          <w:rtl/>
        </w:rPr>
        <w:t xml:space="preserve"> ד"ה זו דברי)</w:t>
      </w:r>
      <w:r w:rsidR="007618F8">
        <w:rPr>
          <w:rFonts w:hint="cs"/>
          <w:rtl/>
        </w:rPr>
        <w:t xml:space="preserve"> דת"ק דמתני' ס"ל כרבי ישמעאל, </w:t>
      </w:r>
      <w:r>
        <w:rPr>
          <w:rFonts w:hint="cs"/>
          <w:rtl/>
        </w:rPr>
        <w:t xml:space="preserve">וא"כ להלכה </w:t>
      </w:r>
      <w:r w:rsidR="007618F8">
        <w:rPr>
          <w:rFonts w:hint="cs"/>
          <w:rtl/>
        </w:rPr>
        <w:t xml:space="preserve">דקיי"ל כרבנן </w:t>
      </w:r>
      <w:r>
        <w:rPr>
          <w:rFonts w:hint="cs"/>
          <w:rtl/>
        </w:rPr>
        <w:t xml:space="preserve">מודה </w:t>
      </w:r>
      <w:r w:rsidRPr="008F11E6">
        <w:rPr>
          <w:rStyle w:val="af9"/>
          <w:rFonts w:hint="cs"/>
          <w:rtl/>
        </w:rPr>
        <w:t>הרשב"ם</w:t>
      </w:r>
      <w:r>
        <w:rPr>
          <w:rFonts w:hint="cs"/>
          <w:rtl/>
        </w:rPr>
        <w:t xml:space="preserve"> דלא מהני חזקת ג"ש בגודרות.</w:t>
      </w:r>
    </w:p>
    <w:p w:rsidR="00FF386B" w:rsidRDefault="00CC74CC" w:rsidP="00A76BAC">
      <w:pPr>
        <w:pStyle w:val="a3"/>
        <w:rPr>
          <w:rtl/>
        </w:rPr>
      </w:pPr>
      <w:bookmarkStart w:id="959" w:name="_Toc54125804"/>
      <w:bookmarkStart w:id="960" w:name="_Toc54134017"/>
      <w:r>
        <w:rPr>
          <w:rFonts w:hint="cs"/>
          <w:rtl/>
        </w:rPr>
        <w:t xml:space="preserve">דברי הקוב"ש דלהרי"ף דת"ק דמתני' כרבנן </w:t>
      </w:r>
      <w:r w:rsidR="00A76BAC">
        <w:rPr>
          <w:rFonts w:hint="cs"/>
          <w:rtl/>
        </w:rPr>
        <w:t>צ"ל דס"ל כרשב"א דלא מהני חזקת ג"ש בעבדים</w:t>
      </w:r>
      <w:bookmarkEnd w:id="959"/>
      <w:bookmarkEnd w:id="960"/>
      <w:r w:rsidR="00A76BAC">
        <w:rPr>
          <w:rFonts w:hint="cs"/>
          <w:rtl/>
        </w:rPr>
        <w:t xml:space="preserve"> </w:t>
      </w:r>
    </w:p>
    <w:p w:rsidR="00FF386B" w:rsidRDefault="00FF386B" w:rsidP="007E4E81">
      <w:pPr>
        <w:pStyle w:val="a0"/>
        <w:rPr>
          <w:rtl/>
        </w:rPr>
      </w:pPr>
      <w:r>
        <w:rPr>
          <w:rFonts w:hint="cs"/>
          <w:rtl/>
        </w:rPr>
        <w:t xml:space="preserve">אך כתב </w:t>
      </w:r>
      <w:r w:rsidRPr="003B6E0A">
        <w:rPr>
          <w:rStyle w:val="af9"/>
          <w:rFonts w:hint="cs"/>
          <w:rtl/>
        </w:rPr>
        <w:t>הקוב"ש</w:t>
      </w:r>
      <w:r>
        <w:rPr>
          <w:rFonts w:hint="cs"/>
          <w:rtl/>
        </w:rPr>
        <w:t xml:space="preserve"> דלדעת </w:t>
      </w:r>
      <w:r w:rsidRPr="003B6E0A">
        <w:rPr>
          <w:rStyle w:val="af9"/>
          <w:rFonts w:hint="cs"/>
          <w:rtl/>
        </w:rPr>
        <w:t>הרי"ף</w:t>
      </w:r>
      <w:r>
        <w:rPr>
          <w:rFonts w:hint="cs"/>
          <w:rtl/>
        </w:rPr>
        <w:t xml:space="preserve"> </w:t>
      </w:r>
      <w:r w:rsidRPr="00504367">
        <w:rPr>
          <w:rStyle w:val="af7"/>
          <w:rFonts w:eastAsia="Guttman Hodes" w:hint="cs"/>
          <w:rtl/>
        </w:rPr>
        <w:t>(</w:t>
      </w:r>
      <w:r w:rsidR="000749A1">
        <w:rPr>
          <w:rStyle w:val="af7"/>
          <w:rFonts w:eastAsia="Guttman Hodes" w:hint="cs"/>
          <w:rtl/>
        </w:rPr>
        <w:t>יד., יט. מדה"ר</w:t>
      </w:r>
      <w:r w:rsidRPr="00504367">
        <w:rPr>
          <w:rStyle w:val="af7"/>
          <w:rFonts w:eastAsia="Guttman Hodes" w:hint="cs"/>
          <w:rtl/>
        </w:rPr>
        <w:t>)</w:t>
      </w:r>
      <w:r>
        <w:rPr>
          <w:rFonts w:hint="cs"/>
          <w:rtl/>
        </w:rPr>
        <w:t xml:space="preserve"> דס"ל </w:t>
      </w:r>
      <w:r w:rsidR="00D472F9">
        <w:rPr>
          <w:rFonts w:hint="cs"/>
          <w:rtl/>
        </w:rPr>
        <w:t xml:space="preserve">דת"ק </w:t>
      </w:r>
      <w:r>
        <w:rPr>
          <w:rFonts w:hint="cs"/>
          <w:rtl/>
        </w:rPr>
        <w:t xml:space="preserve">דמתני' </w:t>
      </w:r>
      <w:r w:rsidR="00D472F9">
        <w:rPr>
          <w:rFonts w:hint="cs"/>
          <w:rtl/>
        </w:rPr>
        <w:t>ס"ל כ</w:t>
      </w:r>
      <w:r>
        <w:rPr>
          <w:rFonts w:hint="cs"/>
          <w:rtl/>
        </w:rPr>
        <w:t>רבנן</w:t>
      </w:r>
      <w:r w:rsidR="00D472F9">
        <w:rPr>
          <w:rFonts w:hint="cs"/>
          <w:rtl/>
        </w:rPr>
        <w:t>, א"כ ס"ל דטעמא דחזקה היא מחמת שאינו נזהר בשטרו</w:t>
      </w:r>
      <w:r>
        <w:rPr>
          <w:rFonts w:hint="cs"/>
          <w:rtl/>
        </w:rPr>
        <w:t xml:space="preserve">, </w:t>
      </w:r>
      <w:r w:rsidR="000749A1" w:rsidRPr="000749A1">
        <w:rPr>
          <w:rStyle w:val="afb"/>
          <w:rFonts w:hint="cs"/>
          <w:rtl/>
        </w:rPr>
        <w:t xml:space="preserve">[כדביאר </w:t>
      </w:r>
      <w:r w:rsidR="000749A1" w:rsidRPr="000749A1">
        <w:rPr>
          <w:rStyle w:val="affa"/>
          <w:rFonts w:hint="cs"/>
          <w:rtl/>
        </w:rPr>
        <w:t>הרשב"א</w:t>
      </w:r>
      <w:r w:rsidR="000749A1" w:rsidRPr="000749A1">
        <w:rPr>
          <w:rStyle w:val="afb"/>
          <w:rFonts w:hint="cs"/>
          <w:rtl/>
        </w:rPr>
        <w:t xml:space="preserve"> </w:t>
      </w:r>
      <w:r w:rsidR="000749A1" w:rsidRPr="000749A1">
        <w:rPr>
          <w:rStyle w:val="aff6"/>
          <w:rFonts w:hint="cs"/>
          <w:rtl/>
        </w:rPr>
        <w:t>(ד"ה שדה)</w:t>
      </w:r>
      <w:r w:rsidR="000749A1" w:rsidRPr="000749A1">
        <w:rPr>
          <w:rStyle w:val="afb"/>
          <w:rFonts w:hint="cs"/>
          <w:rtl/>
        </w:rPr>
        <w:t xml:space="preserve"> בדעת </w:t>
      </w:r>
      <w:r w:rsidR="000749A1" w:rsidRPr="000749A1">
        <w:rPr>
          <w:rStyle w:val="affa"/>
          <w:rFonts w:hint="cs"/>
          <w:rtl/>
        </w:rPr>
        <w:t>הרי"ף</w:t>
      </w:r>
      <w:r w:rsidR="000749A1" w:rsidRPr="000749A1">
        <w:rPr>
          <w:rStyle w:val="afb"/>
          <w:rFonts w:hint="cs"/>
          <w:rtl/>
        </w:rPr>
        <w:t xml:space="preserve">] </w:t>
      </w:r>
      <w:r w:rsidR="00D472F9">
        <w:rPr>
          <w:rFonts w:hint="cs"/>
          <w:rtl/>
        </w:rPr>
        <w:t>ולדבריו</w:t>
      </w:r>
      <w:r>
        <w:rPr>
          <w:rFonts w:hint="cs"/>
          <w:rtl/>
        </w:rPr>
        <w:t xml:space="preserve"> צ"ל דהא דאמר רבא בגמ' לקמן </w:t>
      </w:r>
      <w:r w:rsidRPr="00504367">
        <w:rPr>
          <w:rStyle w:val="af7"/>
          <w:rFonts w:eastAsia="Guttman Hodes" w:hint="cs"/>
          <w:rtl/>
        </w:rPr>
        <w:t>(לו.)</w:t>
      </w:r>
      <w:r>
        <w:rPr>
          <w:rFonts w:hint="cs"/>
          <w:rtl/>
        </w:rPr>
        <w:t xml:space="preserve"> דמהני בעבדים חזקת ג"ש, היינו דוקא בעבדים ולא בגודרות, וכדכתב </w:t>
      </w:r>
      <w:r w:rsidRPr="00CC74CC">
        <w:rPr>
          <w:rStyle w:val="af9"/>
          <w:rFonts w:hint="cs"/>
          <w:rtl/>
        </w:rPr>
        <w:t xml:space="preserve">הרשב"א </w:t>
      </w:r>
      <w:r w:rsidR="000749A1" w:rsidRPr="003D2012">
        <w:rPr>
          <w:rStyle w:val="af7"/>
          <w:rFonts w:eastAsia="Guttman Hodes" w:hint="cs"/>
          <w:rtl/>
        </w:rPr>
        <w:t xml:space="preserve">(עי' אות </w:t>
      </w:r>
      <w:r w:rsidR="003D2012" w:rsidRPr="003D2012">
        <w:rPr>
          <w:rStyle w:val="af7"/>
          <w:rFonts w:eastAsia="Guttman Hodes"/>
          <w:rtl/>
        </w:rPr>
        <w:fldChar w:fldCharType="begin"/>
      </w:r>
      <w:r w:rsidR="003D2012" w:rsidRPr="003D2012">
        <w:rPr>
          <w:rStyle w:val="af7"/>
          <w:rFonts w:eastAsia="Guttman Hodes"/>
          <w:rtl/>
        </w:rPr>
        <w:instrText xml:space="preserve"> </w:instrText>
      </w:r>
      <w:r w:rsidR="003D2012" w:rsidRPr="003D2012">
        <w:rPr>
          <w:rStyle w:val="af7"/>
          <w:rFonts w:eastAsia="Guttman Hodes" w:hint="cs"/>
        </w:rPr>
        <w:instrText>REF</w:instrText>
      </w:r>
      <w:r w:rsidR="003D2012" w:rsidRPr="003D2012">
        <w:rPr>
          <w:rStyle w:val="af7"/>
          <w:rFonts w:eastAsia="Guttman Hodes" w:hint="cs"/>
          <w:rtl/>
        </w:rPr>
        <w:instrText xml:space="preserve"> _</w:instrText>
      </w:r>
      <w:r w:rsidR="003D2012" w:rsidRPr="003D2012">
        <w:rPr>
          <w:rStyle w:val="af7"/>
          <w:rFonts w:eastAsia="Guttman Hodes" w:hint="cs"/>
        </w:rPr>
        <w:instrText>Ref54123518 \r \h</w:instrText>
      </w:r>
      <w:r w:rsidR="003D2012" w:rsidRPr="003D2012">
        <w:rPr>
          <w:rStyle w:val="af7"/>
          <w:rFonts w:eastAsia="Guttman Hodes"/>
          <w:rtl/>
        </w:rPr>
        <w:instrText xml:space="preserve"> </w:instrText>
      </w:r>
      <w:r w:rsidR="003D2012" w:rsidRPr="003D2012">
        <w:rPr>
          <w:rStyle w:val="af7"/>
          <w:rFonts w:eastAsia="Guttman Hodes"/>
          <w:rtl/>
        </w:rPr>
      </w:r>
      <w:r w:rsidR="003D2012" w:rsidRPr="003D2012">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003D2012" w:rsidRPr="003D2012">
        <w:rPr>
          <w:rStyle w:val="af7"/>
          <w:rFonts w:eastAsia="Guttman Hodes"/>
          <w:rtl/>
        </w:rPr>
        <w:fldChar w:fldCharType="end"/>
      </w:r>
      <w:r w:rsidR="000749A1">
        <w:rPr>
          <w:rFonts w:hint="cs"/>
          <w:rtl/>
        </w:rPr>
        <w:t xml:space="preserve"> </w:t>
      </w:r>
      <w:r>
        <w:rPr>
          <w:rFonts w:hint="cs"/>
          <w:rtl/>
        </w:rPr>
        <w:t xml:space="preserve">בשם </w:t>
      </w:r>
      <w:r w:rsidRPr="00CC74CC">
        <w:rPr>
          <w:rStyle w:val="af9"/>
          <w:rFonts w:hint="cs"/>
          <w:rtl/>
        </w:rPr>
        <w:t>ר"ח</w:t>
      </w:r>
      <w:r>
        <w:rPr>
          <w:rFonts w:hint="cs"/>
          <w:rtl/>
        </w:rPr>
        <w:t>.</w:t>
      </w:r>
    </w:p>
    <w:p w:rsidR="00694166" w:rsidRPr="00694166" w:rsidRDefault="00694166" w:rsidP="007054CB">
      <w:pPr>
        <w:pStyle w:val="1"/>
        <w:rPr>
          <w:rtl/>
        </w:rPr>
      </w:pPr>
      <w:bookmarkStart w:id="961" w:name="_Toc54125805"/>
      <w:bookmarkStart w:id="962" w:name="_Toc54134018"/>
      <w:r>
        <w:rPr>
          <w:rFonts w:hint="cs"/>
          <w:rtl/>
        </w:rPr>
        <w:t xml:space="preserve">תירוץ הקוב"ש על קו' הקצוה"ח דעבד קטן </w:t>
      </w:r>
      <w:r w:rsidR="007054CB">
        <w:rPr>
          <w:rFonts w:hint="cs"/>
          <w:rtl/>
        </w:rPr>
        <w:t>מוחזק כמטלטלין</w:t>
      </w:r>
      <w:bookmarkEnd w:id="961"/>
      <w:bookmarkEnd w:id="962"/>
    </w:p>
    <w:p w:rsidR="00B00BAC" w:rsidRPr="00B00BAC" w:rsidRDefault="00B00BAC" w:rsidP="00B00BAC">
      <w:pPr>
        <w:pStyle w:val="a3"/>
        <w:rPr>
          <w:rtl/>
        </w:rPr>
      </w:pPr>
      <w:bookmarkStart w:id="963" w:name="_Toc54125806"/>
      <w:bookmarkStart w:id="964" w:name="_Toc54134019"/>
      <w:r>
        <w:rPr>
          <w:rFonts w:hint="cs"/>
          <w:rtl/>
        </w:rPr>
        <w:t xml:space="preserve">דברי הקוב"ש דבמטלטלין התפיסה </w:t>
      </w:r>
      <w:r w:rsidR="00694166">
        <w:rPr>
          <w:rFonts w:hint="cs"/>
          <w:rtl/>
        </w:rPr>
        <w:t>היא ראיה ואחוי שטרך יוצר ספק ומעמידים בחזקת המוחזק</w:t>
      </w:r>
      <w:bookmarkEnd w:id="963"/>
      <w:bookmarkEnd w:id="964"/>
    </w:p>
    <w:p w:rsidR="003D2012" w:rsidRDefault="00FF386B" w:rsidP="007E4E81">
      <w:pPr>
        <w:pStyle w:val="a0"/>
        <w:rPr>
          <w:rtl/>
        </w:rPr>
      </w:pPr>
      <w:bookmarkStart w:id="965" w:name="_Ref54134082"/>
      <w:r>
        <w:rPr>
          <w:rFonts w:hint="cs"/>
          <w:rtl/>
        </w:rPr>
        <w:t xml:space="preserve">במה שהקשה </w:t>
      </w:r>
      <w:r w:rsidRPr="003B6E0A">
        <w:rPr>
          <w:rStyle w:val="af9"/>
          <w:rFonts w:hint="cs"/>
          <w:rtl/>
        </w:rPr>
        <w:t xml:space="preserve">הקצוה"ח </w:t>
      </w:r>
      <w:r w:rsidRPr="003D2012">
        <w:rPr>
          <w:rStyle w:val="af7"/>
          <w:rFonts w:eastAsia="Guttman Hodes" w:hint="cs"/>
          <w:rtl/>
        </w:rPr>
        <w:t xml:space="preserve">(עי' אות </w:t>
      </w:r>
      <w:r w:rsidRPr="003D2012">
        <w:rPr>
          <w:rStyle w:val="af7"/>
          <w:rFonts w:eastAsia="Guttman Hodes"/>
          <w:rtl/>
        </w:rPr>
        <w:fldChar w:fldCharType="begin"/>
      </w:r>
      <w:r w:rsidRPr="003D2012">
        <w:rPr>
          <w:rStyle w:val="af7"/>
          <w:rFonts w:eastAsia="Guttman Hodes"/>
          <w:rtl/>
        </w:rPr>
        <w:instrText xml:space="preserve"> </w:instrText>
      </w:r>
      <w:r w:rsidRPr="003D2012">
        <w:rPr>
          <w:rStyle w:val="af7"/>
          <w:rFonts w:eastAsia="Guttman Hodes" w:hint="cs"/>
        </w:rPr>
        <w:instrText>REF</w:instrText>
      </w:r>
      <w:r w:rsidRPr="003D2012">
        <w:rPr>
          <w:rStyle w:val="af7"/>
          <w:rFonts w:eastAsia="Guttman Hodes" w:hint="cs"/>
          <w:rtl/>
        </w:rPr>
        <w:instrText xml:space="preserve"> _</w:instrText>
      </w:r>
      <w:r w:rsidRPr="003D2012">
        <w:rPr>
          <w:rStyle w:val="af7"/>
          <w:rFonts w:eastAsia="Guttman Hodes" w:hint="cs"/>
        </w:rPr>
        <w:instrText>Ref53467648 \r \h</w:instrText>
      </w:r>
      <w:r w:rsidRPr="003D2012">
        <w:rPr>
          <w:rStyle w:val="af7"/>
          <w:rFonts w:eastAsia="Guttman Hodes"/>
          <w:rtl/>
        </w:rPr>
        <w:instrText xml:space="preserve"> </w:instrText>
      </w:r>
      <w:r w:rsidRPr="003D2012">
        <w:rPr>
          <w:rStyle w:val="af7"/>
          <w:rFonts w:eastAsia="Guttman Hodes"/>
          <w:rtl/>
        </w:rPr>
      </w:r>
      <w:r w:rsidRPr="003D2012">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3D2012">
        <w:rPr>
          <w:rStyle w:val="af7"/>
          <w:rFonts w:eastAsia="Guttman Hodes"/>
          <w:rtl/>
        </w:rPr>
        <w:fldChar w:fldCharType="end"/>
      </w:r>
      <w:r>
        <w:rPr>
          <w:rFonts w:hint="cs"/>
          <w:rtl/>
        </w:rPr>
        <w:t xml:space="preserve"> </w:t>
      </w:r>
      <w:r w:rsidRPr="003B6E0A">
        <w:rPr>
          <w:rStyle w:val="af9"/>
          <w:rFonts w:hint="cs"/>
          <w:rtl/>
        </w:rPr>
        <w:t>דלרמב"ן</w:t>
      </w:r>
      <w:r>
        <w:rPr>
          <w:rFonts w:hint="cs"/>
          <w:rtl/>
        </w:rPr>
        <w:t xml:space="preserve"> דחזקת ג"ש היא דכיון ששתק שהמערער רגלים לדבר שמכר לו, אלא דבתוך</w:t>
      </w:r>
      <w:r w:rsidRPr="002F34B1">
        <w:rPr>
          <w:rFonts w:hint="cs"/>
          <w:rtl/>
        </w:rPr>
        <w:t xml:space="preserve"> </w:t>
      </w:r>
      <w:r>
        <w:rPr>
          <w:rFonts w:hint="cs"/>
          <w:rtl/>
        </w:rPr>
        <w:t xml:space="preserve">ג"ש טוענים למחזיק אחוי שטרך, א"כ בעבד קטן אמאי יש בו חזקה לאלתר, כיון דעבדים בני שטרא, נימא ליה אחוי שטרך, תירץ </w:t>
      </w:r>
      <w:r w:rsidRPr="003B6E0A">
        <w:rPr>
          <w:rStyle w:val="af9"/>
          <w:rFonts w:hint="cs"/>
          <w:rtl/>
        </w:rPr>
        <w:t>הקוב"ש</w:t>
      </w:r>
      <w:r>
        <w:rPr>
          <w:rFonts w:hint="cs"/>
          <w:rtl/>
        </w:rPr>
        <w:t xml:space="preserve"> </w:t>
      </w:r>
      <w:r w:rsidRPr="003D2012">
        <w:rPr>
          <w:rStyle w:val="af7"/>
          <w:rFonts w:eastAsia="Guttman Hodes" w:hint="cs"/>
          <w:rtl/>
        </w:rPr>
        <w:t>(או' ק"ס ד"ה בקצה"ח)</w:t>
      </w:r>
      <w:r>
        <w:rPr>
          <w:rFonts w:hint="cs"/>
          <w:rtl/>
        </w:rPr>
        <w:t xml:space="preserve"> דבמטלטלין </w:t>
      </w:r>
      <w:r w:rsidR="003D2012">
        <w:rPr>
          <w:rFonts w:hint="cs"/>
          <w:rtl/>
        </w:rPr>
        <w:t>ה</w:t>
      </w:r>
      <w:r>
        <w:rPr>
          <w:rFonts w:hint="cs"/>
          <w:rtl/>
        </w:rPr>
        <w:t>תפיסה היא הוכחה לטענה של המחזיק דקנה מהבעלים, וטענת אחוי שטרך סותרת לתפיסה של המחזיק, ועי"ז יש דררא דממונא וספק, וכיון שיש ספק לכן במטלטלין מעמידים בחזקת התפוס</w:t>
      </w:r>
      <w:r w:rsidR="00B00BAC">
        <w:rPr>
          <w:rFonts w:hint="cs"/>
          <w:rtl/>
        </w:rPr>
        <w:t>,</w:t>
      </w:r>
      <w:r w:rsidRPr="00E5797B">
        <w:rPr>
          <w:rFonts w:hint="cs"/>
          <w:rtl/>
        </w:rPr>
        <w:t xml:space="preserve"> </w:t>
      </w:r>
      <w:r>
        <w:rPr>
          <w:rFonts w:hint="cs"/>
          <w:rtl/>
        </w:rPr>
        <w:t>וא"א להוציא ממנו בספק</w:t>
      </w:r>
      <w:r w:rsidR="003D2012">
        <w:rPr>
          <w:rFonts w:hint="cs"/>
          <w:rtl/>
        </w:rPr>
        <w:t>.</w:t>
      </w:r>
      <w:bookmarkEnd w:id="965"/>
    </w:p>
    <w:p w:rsidR="00B00BAC" w:rsidRPr="00794053" w:rsidRDefault="00694166" w:rsidP="00694166">
      <w:pPr>
        <w:pStyle w:val="a3"/>
        <w:rPr>
          <w:rtl/>
        </w:rPr>
      </w:pPr>
      <w:bookmarkStart w:id="966" w:name="_Toc54125807"/>
      <w:bookmarkStart w:id="967" w:name="_Toc54134020"/>
      <w:r>
        <w:rPr>
          <w:rFonts w:hint="cs"/>
          <w:rtl/>
        </w:rPr>
        <w:t>דברי</w:t>
      </w:r>
      <w:r w:rsidR="00B00BAC">
        <w:rPr>
          <w:rFonts w:hint="cs"/>
          <w:rtl/>
        </w:rPr>
        <w:t xml:space="preserve"> הקוב"ש </w:t>
      </w:r>
      <w:r>
        <w:rPr>
          <w:rFonts w:hint="cs"/>
          <w:rtl/>
        </w:rPr>
        <w:t>דעבד קטן לענין מוחזקות כמטלטלין ומהני תפיסה כנגד טענת אחוי שטרך</w:t>
      </w:r>
      <w:bookmarkEnd w:id="966"/>
      <w:bookmarkEnd w:id="967"/>
    </w:p>
    <w:p w:rsidR="00FF386B" w:rsidRDefault="00FF386B" w:rsidP="007E4E81">
      <w:pPr>
        <w:pStyle w:val="a0"/>
        <w:rPr>
          <w:rtl/>
        </w:rPr>
      </w:pPr>
      <w:r>
        <w:rPr>
          <w:rFonts w:hint="cs"/>
          <w:rtl/>
        </w:rPr>
        <w:t xml:space="preserve">אבל בקרקע </w:t>
      </w:r>
      <w:r w:rsidR="00613703">
        <w:rPr>
          <w:rFonts w:hint="cs"/>
          <w:rtl/>
        </w:rPr>
        <w:t xml:space="preserve">ביאר </w:t>
      </w:r>
      <w:r w:rsidR="00613703" w:rsidRPr="00613703">
        <w:rPr>
          <w:rStyle w:val="af9"/>
          <w:rFonts w:hint="cs"/>
          <w:rtl/>
        </w:rPr>
        <w:t>הקוב"ש</w:t>
      </w:r>
      <w:r w:rsidR="00613703">
        <w:rPr>
          <w:rFonts w:hint="cs"/>
          <w:rtl/>
        </w:rPr>
        <w:t xml:space="preserve"> דכיון </w:t>
      </w:r>
      <w:r>
        <w:rPr>
          <w:rFonts w:hint="cs"/>
          <w:rtl/>
        </w:rPr>
        <w:t xml:space="preserve">דבחזקת בעליה עומדת, א"כ כל שיש ספק מעמידים בחזקת המרא קמא, וכתב </w:t>
      </w:r>
      <w:r w:rsidRPr="00703D63">
        <w:rPr>
          <w:rStyle w:val="af9"/>
          <w:rFonts w:hint="cs"/>
          <w:rtl/>
        </w:rPr>
        <w:t>הקוב"ש</w:t>
      </w:r>
      <w:r>
        <w:rPr>
          <w:rFonts w:hint="cs"/>
          <w:rtl/>
        </w:rPr>
        <w:t xml:space="preserve"> דא"כ בעבד קטן, אף דעבד דינו כקרקע מ"מ לענין מוחזק דינו כמטלטלין שמהני בהם תפיסה, ולכן אף שיש כנגדו טענת אחוי שטרך, מ"מ יש בו חזקה לאלתר.</w:t>
      </w:r>
    </w:p>
    <w:p w:rsidR="00FF386B" w:rsidRPr="003B5908" w:rsidRDefault="00063411" w:rsidP="00FF386B">
      <w:pPr>
        <w:pStyle w:val="1"/>
        <w:rPr>
          <w:rtl/>
        </w:rPr>
      </w:pPr>
      <w:bookmarkStart w:id="968" w:name="_Toc54125808"/>
      <w:bookmarkStart w:id="969" w:name="_Toc54134021"/>
      <w:r>
        <w:rPr>
          <w:rFonts w:hint="cs"/>
          <w:rtl/>
        </w:rPr>
        <w:lastRenderedPageBreak/>
        <w:t>ביאור הקה"י בסמ"ע דבגודרות אין חזקה דאינם בני שטרא</w:t>
      </w:r>
      <w:bookmarkEnd w:id="968"/>
      <w:bookmarkEnd w:id="969"/>
    </w:p>
    <w:p w:rsidR="00FF386B" w:rsidRDefault="0045615F" w:rsidP="00FF386B">
      <w:pPr>
        <w:pStyle w:val="a3"/>
        <w:rPr>
          <w:rtl/>
        </w:rPr>
      </w:pPr>
      <w:bookmarkStart w:id="970" w:name="_Toc54125809"/>
      <w:bookmarkStart w:id="971" w:name="_Toc54134022"/>
      <w:r>
        <w:rPr>
          <w:rFonts w:hint="cs"/>
          <w:rtl/>
        </w:rPr>
        <w:t>קושית הקה"י דאי חזקת ג"ש היא ראיה או תקנ"ח אמאי לא מהני חזקת ג"ש בגודרות להרמב"ם</w:t>
      </w:r>
      <w:bookmarkEnd w:id="970"/>
      <w:bookmarkEnd w:id="971"/>
    </w:p>
    <w:p w:rsidR="00FF386B" w:rsidRPr="0045615F" w:rsidRDefault="004E1616" w:rsidP="007E4E81">
      <w:pPr>
        <w:pStyle w:val="a0"/>
        <w:rPr>
          <w:rStyle w:val="afb"/>
          <w:rtl/>
        </w:rPr>
      </w:pPr>
      <w:bookmarkStart w:id="972" w:name="_Ref54134263"/>
      <w:r>
        <w:rPr>
          <w:rFonts w:hint="cs"/>
          <w:rtl/>
        </w:rPr>
        <w:t xml:space="preserve">במ"ש </w:t>
      </w:r>
      <w:r w:rsidRPr="0053405C">
        <w:rPr>
          <w:rStyle w:val="af9"/>
          <w:rFonts w:hint="cs"/>
          <w:rtl/>
        </w:rPr>
        <w:t xml:space="preserve">הסמ"ע </w:t>
      </w:r>
      <w:r w:rsidRPr="007618F8">
        <w:rPr>
          <w:rStyle w:val="af7"/>
          <w:rFonts w:eastAsia="Guttman Hodes" w:hint="cs"/>
          <w:rtl/>
        </w:rPr>
        <w:t xml:space="preserve">(עי' אות </w:t>
      </w:r>
      <w:r w:rsidR="007618F8" w:rsidRPr="007618F8">
        <w:rPr>
          <w:rStyle w:val="af7"/>
          <w:rFonts w:eastAsia="Guttman Hodes"/>
          <w:rtl/>
        </w:rPr>
        <w:fldChar w:fldCharType="begin"/>
      </w:r>
      <w:r w:rsidR="007618F8" w:rsidRPr="007618F8">
        <w:rPr>
          <w:rStyle w:val="af7"/>
          <w:rFonts w:eastAsia="Guttman Hodes"/>
          <w:rtl/>
        </w:rPr>
        <w:instrText xml:space="preserve"> </w:instrText>
      </w:r>
      <w:r w:rsidR="007618F8" w:rsidRPr="007618F8">
        <w:rPr>
          <w:rStyle w:val="af7"/>
          <w:rFonts w:eastAsia="Guttman Hodes" w:hint="cs"/>
        </w:rPr>
        <w:instrText>REF</w:instrText>
      </w:r>
      <w:r w:rsidR="007618F8" w:rsidRPr="007618F8">
        <w:rPr>
          <w:rStyle w:val="af7"/>
          <w:rFonts w:eastAsia="Guttman Hodes" w:hint="cs"/>
          <w:rtl/>
        </w:rPr>
        <w:instrText xml:space="preserve"> _</w:instrText>
      </w:r>
      <w:r w:rsidR="007618F8" w:rsidRPr="007618F8">
        <w:rPr>
          <w:rStyle w:val="af7"/>
          <w:rFonts w:eastAsia="Guttman Hodes" w:hint="cs"/>
        </w:rPr>
        <w:instrText>Ref54134216 \r \h</w:instrText>
      </w:r>
      <w:r w:rsidR="007618F8" w:rsidRPr="007618F8">
        <w:rPr>
          <w:rStyle w:val="af7"/>
          <w:rFonts w:eastAsia="Guttman Hodes"/>
          <w:rtl/>
        </w:rPr>
        <w:instrText xml:space="preserve"> </w:instrText>
      </w:r>
      <w:r w:rsidR="007618F8" w:rsidRPr="007618F8">
        <w:rPr>
          <w:rStyle w:val="af7"/>
          <w:rFonts w:eastAsia="Guttman Hodes"/>
          <w:rtl/>
        </w:rPr>
      </w:r>
      <w:r w:rsidR="007618F8" w:rsidRPr="007618F8">
        <w:rPr>
          <w:rStyle w:val="af7"/>
          <w:rFonts w:eastAsia="Guttman Hodes"/>
          <w:rtl/>
        </w:rPr>
        <w:fldChar w:fldCharType="separate"/>
      </w:r>
      <w:r w:rsidR="00265073">
        <w:rPr>
          <w:rStyle w:val="af7"/>
          <w:rFonts w:eastAsia="Guttman Hodes"/>
          <w:cs/>
        </w:rPr>
        <w:t>‎</w:t>
      </w:r>
      <w:r w:rsidR="00265073">
        <w:rPr>
          <w:rStyle w:val="af7"/>
          <w:rFonts w:eastAsia="Guttman Hodes"/>
          <w:rtl/>
        </w:rPr>
        <w:t>סז)</w:t>
      </w:r>
      <w:r w:rsidR="007618F8" w:rsidRPr="007618F8">
        <w:rPr>
          <w:rStyle w:val="af7"/>
          <w:rFonts w:eastAsia="Guttman Hodes"/>
          <w:rtl/>
        </w:rPr>
        <w:fldChar w:fldCharType="end"/>
      </w:r>
      <w:r>
        <w:rPr>
          <w:rFonts w:hint="cs"/>
          <w:rtl/>
        </w:rPr>
        <w:t xml:space="preserve"> דהא </w:t>
      </w:r>
      <w:r w:rsidRPr="0053405C">
        <w:rPr>
          <w:rStyle w:val="af9"/>
          <w:rFonts w:hint="cs"/>
          <w:rtl/>
        </w:rPr>
        <w:t xml:space="preserve">דלהרמב"ם </w:t>
      </w:r>
      <w:r w:rsidRPr="007618F8">
        <w:rPr>
          <w:rStyle w:val="af7"/>
          <w:rFonts w:eastAsia="Guttman Hodes" w:hint="cs"/>
          <w:rtl/>
        </w:rPr>
        <w:t xml:space="preserve">(עי' אות </w:t>
      </w:r>
      <w:r w:rsidR="007618F8" w:rsidRPr="007618F8">
        <w:rPr>
          <w:rStyle w:val="af7"/>
          <w:rFonts w:eastAsia="Guttman Hodes"/>
          <w:rtl/>
        </w:rPr>
        <w:fldChar w:fldCharType="begin"/>
      </w:r>
      <w:r w:rsidR="007618F8" w:rsidRPr="007618F8">
        <w:rPr>
          <w:rStyle w:val="af7"/>
          <w:rFonts w:eastAsia="Guttman Hodes"/>
          <w:rtl/>
        </w:rPr>
        <w:instrText xml:space="preserve"> </w:instrText>
      </w:r>
      <w:r w:rsidR="007618F8" w:rsidRPr="007618F8">
        <w:rPr>
          <w:rStyle w:val="af7"/>
          <w:rFonts w:eastAsia="Guttman Hodes" w:hint="cs"/>
        </w:rPr>
        <w:instrText>REF</w:instrText>
      </w:r>
      <w:r w:rsidR="007618F8" w:rsidRPr="007618F8">
        <w:rPr>
          <w:rStyle w:val="af7"/>
          <w:rFonts w:eastAsia="Guttman Hodes" w:hint="cs"/>
          <w:rtl/>
        </w:rPr>
        <w:instrText xml:space="preserve"> _</w:instrText>
      </w:r>
      <w:r w:rsidR="007618F8" w:rsidRPr="007618F8">
        <w:rPr>
          <w:rStyle w:val="af7"/>
          <w:rFonts w:eastAsia="Guttman Hodes" w:hint="cs"/>
        </w:rPr>
        <w:instrText>Ref54134207 \r \h</w:instrText>
      </w:r>
      <w:r w:rsidR="007618F8" w:rsidRPr="007618F8">
        <w:rPr>
          <w:rStyle w:val="af7"/>
          <w:rFonts w:eastAsia="Guttman Hodes"/>
          <w:rtl/>
        </w:rPr>
        <w:instrText xml:space="preserve"> </w:instrText>
      </w:r>
      <w:r w:rsidR="007618F8" w:rsidRPr="007618F8">
        <w:rPr>
          <w:rStyle w:val="af7"/>
          <w:rFonts w:eastAsia="Guttman Hodes"/>
          <w:rtl/>
        </w:rPr>
      </w:r>
      <w:r w:rsidR="007618F8" w:rsidRPr="007618F8">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007618F8" w:rsidRPr="007618F8">
        <w:rPr>
          <w:rStyle w:val="af7"/>
          <w:rFonts w:eastAsia="Guttman Hodes"/>
          <w:rtl/>
        </w:rPr>
        <w:fldChar w:fldCharType="end"/>
      </w:r>
      <w:r>
        <w:rPr>
          <w:rFonts w:hint="cs"/>
          <w:rtl/>
        </w:rPr>
        <w:t xml:space="preserve"> לא מהני חזקת ג"ש בגודרות, הוא כיון דאינם בני שטרא,</w:t>
      </w:r>
      <w:r w:rsidR="0053405C">
        <w:rPr>
          <w:rFonts w:hint="cs"/>
          <w:rtl/>
        </w:rPr>
        <w:t xml:space="preserve"> </w:t>
      </w:r>
      <w:r w:rsidR="00563453">
        <w:rPr>
          <w:rFonts w:hint="cs"/>
          <w:rtl/>
        </w:rPr>
        <w:t>הקשה</w:t>
      </w:r>
      <w:r>
        <w:rPr>
          <w:rFonts w:hint="cs"/>
          <w:rtl/>
        </w:rPr>
        <w:t xml:space="preserve"> </w:t>
      </w:r>
      <w:r w:rsidRPr="00703D63">
        <w:rPr>
          <w:rStyle w:val="af9"/>
          <w:rFonts w:hint="cs"/>
          <w:rtl/>
        </w:rPr>
        <w:t>הקה"י</w:t>
      </w:r>
      <w:r>
        <w:rPr>
          <w:rFonts w:hint="cs"/>
          <w:rtl/>
        </w:rPr>
        <w:t xml:space="preserve"> </w:t>
      </w:r>
      <w:r w:rsidRPr="004E1616">
        <w:rPr>
          <w:rStyle w:val="af7"/>
          <w:rFonts w:eastAsia="Guttman Hodes" w:hint="cs"/>
          <w:rtl/>
        </w:rPr>
        <w:t>(סי' י"ח או' ו')</w:t>
      </w:r>
      <w:r>
        <w:rPr>
          <w:rFonts w:hint="cs"/>
          <w:rtl/>
        </w:rPr>
        <w:t xml:space="preserve"> ד</w:t>
      </w:r>
      <w:r w:rsidR="00563453">
        <w:rPr>
          <w:rFonts w:hint="cs"/>
          <w:rtl/>
        </w:rPr>
        <w:t xml:space="preserve">הא </w:t>
      </w:r>
      <w:r>
        <w:rPr>
          <w:rFonts w:hint="cs"/>
          <w:rtl/>
        </w:rPr>
        <w:t xml:space="preserve">לדעת </w:t>
      </w:r>
      <w:r w:rsidRPr="00040102">
        <w:rPr>
          <w:rStyle w:val="af9"/>
          <w:rFonts w:hint="cs"/>
          <w:rtl/>
        </w:rPr>
        <w:t>הרמב"ן</w:t>
      </w:r>
      <w:r>
        <w:rPr>
          <w:rFonts w:hint="cs"/>
          <w:rtl/>
        </w:rPr>
        <w:t xml:space="preserve"> </w:t>
      </w:r>
      <w:r w:rsidRPr="004E1616">
        <w:rPr>
          <w:rStyle w:val="af7"/>
          <w:rFonts w:eastAsia="Guttman Hodes" w:hint="cs"/>
          <w:rtl/>
        </w:rPr>
        <w:t xml:space="preserve">(עי' אות </w:t>
      </w:r>
      <w:r w:rsidRPr="004E1616">
        <w:rPr>
          <w:rStyle w:val="af7"/>
          <w:rFonts w:eastAsia="Guttman Hodes"/>
          <w:rtl/>
        </w:rPr>
        <w:fldChar w:fldCharType="begin"/>
      </w:r>
      <w:r w:rsidRPr="004E1616">
        <w:rPr>
          <w:rStyle w:val="af7"/>
          <w:rFonts w:eastAsia="Guttman Hodes"/>
          <w:rtl/>
        </w:rPr>
        <w:instrText xml:space="preserve"> </w:instrText>
      </w:r>
      <w:r w:rsidRPr="004E1616">
        <w:rPr>
          <w:rStyle w:val="af7"/>
          <w:rFonts w:eastAsia="Guttman Hodes" w:hint="cs"/>
        </w:rPr>
        <w:instrText>REF</w:instrText>
      </w:r>
      <w:r w:rsidRPr="004E1616">
        <w:rPr>
          <w:rStyle w:val="af7"/>
          <w:rFonts w:eastAsia="Guttman Hodes" w:hint="cs"/>
          <w:rtl/>
        </w:rPr>
        <w:instrText xml:space="preserve"> _</w:instrText>
      </w:r>
      <w:r w:rsidRPr="004E1616">
        <w:rPr>
          <w:rStyle w:val="af7"/>
          <w:rFonts w:eastAsia="Guttman Hodes" w:hint="cs"/>
        </w:rPr>
        <w:instrText>Ref54021550 \r \h</w:instrText>
      </w:r>
      <w:r w:rsidRPr="004E1616">
        <w:rPr>
          <w:rStyle w:val="af7"/>
          <w:rFonts w:eastAsia="Guttman Hodes"/>
          <w:rtl/>
        </w:rPr>
        <w:instrText xml:space="preserve"> </w:instrText>
      </w:r>
      <w:r w:rsidRPr="004E1616">
        <w:rPr>
          <w:rStyle w:val="af7"/>
          <w:rFonts w:eastAsia="Guttman Hodes"/>
          <w:rtl/>
        </w:rPr>
      </w:r>
      <w:r w:rsidRPr="004E1616">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4E1616">
        <w:rPr>
          <w:rStyle w:val="af7"/>
          <w:rFonts w:eastAsia="Guttman Hodes"/>
          <w:rtl/>
        </w:rPr>
        <w:fldChar w:fldCharType="end"/>
      </w:r>
      <w:r>
        <w:rPr>
          <w:rFonts w:hint="cs"/>
          <w:rtl/>
        </w:rPr>
        <w:t xml:space="preserve"> דחזקת ג"ש היא מחמת שיש ראיה ממה ששתק המערער ג"ש, וכן לדעת </w:t>
      </w:r>
      <w:r w:rsidRPr="00703D63">
        <w:rPr>
          <w:rStyle w:val="af9"/>
          <w:rFonts w:hint="cs"/>
          <w:rtl/>
        </w:rPr>
        <w:t xml:space="preserve">הרא"ש </w:t>
      </w:r>
      <w:r w:rsidR="00F94489" w:rsidRPr="00F94489">
        <w:rPr>
          <w:rStyle w:val="af7"/>
          <w:rFonts w:eastAsia="Guttman Hodes" w:hint="cs"/>
          <w:rtl/>
        </w:rPr>
        <w:t>(סי' א')</w:t>
      </w:r>
      <w:r w:rsidR="00F94489">
        <w:rPr>
          <w:rFonts w:hint="cs"/>
          <w:rtl/>
        </w:rPr>
        <w:t xml:space="preserve"> </w:t>
      </w:r>
      <w:r w:rsidRPr="00703D63">
        <w:rPr>
          <w:rStyle w:val="af9"/>
          <w:rFonts w:hint="cs"/>
          <w:rtl/>
        </w:rPr>
        <w:t>והקצוה"ח</w:t>
      </w:r>
      <w:r>
        <w:rPr>
          <w:rFonts w:hint="cs"/>
          <w:rtl/>
        </w:rPr>
        <w:t xml:space="preserve"> </w:t>
      </w:r>
      <w:r w:rsidRPr="00F94489">
        <w:rPr>
          <w:rStyle w:val="af7"/>
          <w:rFonts w:eastAsia="Guttman Hodes" w:hint="cs"/>
          <w:rtl/>
        </w:rPr>
        <w:t>(</w:t>
      </w:r>
      <w:r w:rsidR="00F94489" w:rsidRPr="00F94489">
        <w:rPr>
          <w:rStyle w:val="af7"/>
          <w:rFonts w:eastAsia="Guttman Hodes" w:hint="cs"/>
          <w:rtl/>
        </w:rPr>
        <w:t>סי' ק"מ</w:t>
      </w:r>
      <w:r w:rsidR="00F94489">
        <w:rPr>
          <w:rFonts w:hint="cs"/>
          <w:rtl/>
        </w:rPr>
        <w:t xml:space="preserve"> </w:t>
      </w:r>
      <w:r w:rsidR="00F94489" w:rsidRPr="00F94489">
        <w:rPr>
          <w:rStyle w:val="af7"/>
          <w:rFonts w:eastAsia="Guttman Hodes" w:hint="cs"/>
          <w:rtl/>
        </w:rPr>
        <w:t>סק"</w:t>
      </w:r>
      <w:r w:rsidR="00CF7E04">
        <w:rPr>
          <w:rStyle w:val="af7"/>
          <w:rFonts w:eastAsia="Guttman Hodes" w:hint="cs"/>
          <w:rtl/>
        </w:rPr>
        <w:t>ב</w:t>
      </w:r>
      <w:r w:rsidR="00F94489" w:rsidRPr="00F94489">
        <w:rPr>
          <w:rStyle w:val="af7"/>
          <w:rFonts w:eastAsia="Guttman Hodes" w:hint="cs"/>
          <w:rtl/>
        </w:rPr>
        <w:t>)</w:t>
      </w:r>
      <w:r w:rsidR="00A77F33">
        <w:rPr>
          <w:rFonts w:hint="cs"/>
          <w:rtl/>
        </w:rPr>
        <w:t xml:space="preserve"> </w:t>
      </w:r>
      <w:r>
        <w:rPr>
          <w:rFonts w:hint="cs"/>
          <w:rtl/>
        </w:rPr>
        <w:t>ד</w:t>
      </w:r>
      <w:r w:rsidR="00F94489">
        <w:rPr>
          <w:rFonts w:hint="cs"/>
          <w:rtl/>
        </w:rPr>
        <w:t>ס"ל ד</w:t>
      </w:r>
      <w:r>
        <w:rPr>
          <w:rFonts w:hint="cs"/>
          <w:rtl/>
        </w:rPr>
        <w:t xml:space="preserve">חזקת ג"ש היא תקנת חכמים ללוקח כיון שאינו נזהר בשטרו לאחר ג"ש, א"כ בגודרות שאינם בני שטרא לא שייך חזקת ג"ש, ואדרבה צריכה החזקה להועיל בהם אף בפחות מג"ש. </w:t>
      </w:r>
      <w:r w:rsidRPr="0045615F">
        <w:rPr>
          <w:rStyle w:val="afb"/>
          <w:rFonts w:hint="cs"/>
          <w:rtl/>
        </w:rPr>
        <w:t>[ו</w:t>
      </w:r>
      <w:r w:rsidR="0045615F">
        <w:rPr>
          <w:rStyle w:val="afb"/>
          <w:rFonts w:hint="cs"/>
          <w:rtl/>
        </w:rPr>
        <w:t>עי' במה ש</w:t>
      </w:r>
      <w:r w:rsidRPr="0045615F">
        <w:rPr>
          <w:rStyle w:val="afb"/>
          <w:rFonts w:hint="cs"/>
          <w:rtl/>
        </w:rPr>
        <w:t xml:space="preserve">ביאר </w:t>
      </w:r>
      <w:r w:rsidRPr="0045615F">
        <w:rPr>
          <w:rStyle w:val="affa"/>
          <w:rFonts w:hint="cs"/>
          <w:rtl/>
        </w:rPr>
        <w:t>הברכ"ש</w:t>
      </w:r>
      <w:r w:rsidRPr="0045615F">
        <w:rPr>
          <w:rStyle w:val="afb"/>
          <w:rFonts w:hint="cs"/>
          <w:rtl/>
        </w:rPr>
        <w:t xml:space="preserve"> </w:t>
      </w:r>
      <w:r w:rsidRPr="00F94489">
        <w:rPr>
          <w:rStyle w:val="aff6"/>
          <w:rFonts w:hint="cs"/>
          <w:rtl/>
        </w:rPr>
        <w:t xml:space="preserve">(עי' אות </w:t>
      </w:r>
      <w:r w:rsidR="00F94489" w:rsidRPr="00F94489">
        <w:rPr>
          <w:rStyle w:val="aff6"/>
          <w:rtl/>
        </w:rPr>
        <w:fldChar w:fldCharType="begin"/>
      </w:r>
      <w:r w:rsidR="00F94489" w:rsidRPr="00F94489">
        <w:rPr>
          <w:rStyle w:val="aff6"/>
          <w:rtl/>
        </w:rPr>
        <w:instrText xml:space="preserve"> </w:instrText>
      </w:r>
      <w:r w:rsidR="00F94489" w:rsidRPr="00F94489">
        <w:rPr>
          <w:rStyle w:val="aff6"/>
          <w:rFonts w:hint="cs"/>
        </w:rPr>
        <w:instrText>REF</w:instrText>
      </w:r>
      <w:r w:rsidR="00F94489" w:rsidRPr="00F94489">
        <w:rPr>
          <w:rStyle w:val="aff6"/>
          <w:rFonts w:hint="cs"/>
          <w:rtl/>
        </w:rPr>
        <w:instrText xml:space="preserve"> _</w:instrText>
      </w:r>
      <w:r w:rsidR="00F94489" w:rsidRPr="00F94489">
        <w:rPr>
          <w:rStyle w:val="aff6"/>
          <w:rFonts w:hint="cs"/>
        </w:rPr>
        <w:instrText>Ref54134323 \r \h</w:instrText>
      </w:r>
      <w:r w:rsidR="00F94489" w:rsidRPr="00F94489">
        <w:rPr>
          <w:rStyle w:val="aff6"/>
          <w:rtl/>
        </w:rPr>
        <w:instrText xml:space="preserve"> </w:instrText>
      </w:r>
      <w:r w:rsidR="00F94489" w:rsidRPr="00F94489">
        <w:rPr>
          <w:rStyle w:val="aff6"/>
          <w:rtl/>
        </w:rPr>
      </w:r>
      <w:r w:rsidR="00F94489" w:rsidRPr="00F94489">
        <w:rPr>
          <w:rStyle w:val="aff6"/>
          <w:rtl/>
        </w:rPr>
        <w:fldChar w:fldCharType="separate"/>
      </w:r>
      <w:r w:rsidR="00265073">
        <w:rPr>
          <w:rStyle w:val="aff6"/>
          <w:cs/>
        </w:rPr>
        <w:t>‎</w:t>
      </w:r>
      <w:r w:rsidR="00265073">
        <w:rPr>
          <w:rStyle w:val="aff6"/>
          <w:rtl/>
        </w:rPr>
        <w:t>קג)</w:t>
      </w:r>
      <w:r w:rsidR="00F94489" w:rsidRPr="00F94489">
        <w:rPr>
          <w:rStyle w:val="aff6"/>
          <w:rtl/>
        </w:rPr>
        <w:fldChar w:fldCharType="end"/>
      </w:r>
      <w:r w:rsidRPr="0045615F">
        <w:rPr>
          <w:rStyle w:val="afb"/>
          <w:rFonts w:hint="cs"/>
          <w:rtl/>
        </w:rPr>
        <w:t xml:space="preserve"> בדעת </w:t>
      </w:r>
      <w:r w:rsidRPr="0045615F">
        <w:rPr>
          <w:rStyle w:val="affa"/>
          <w:rFonts w:hint="cs"/>
          <w:rtl/>
        </w:rPr>
        <w:t>הרשב"א</w:t>
      </w:r>
      <w:r w:rsidRPr="0045615F">
        <w:rPr>
          <w:rStyle w:val="afb"/>
          <w:rFonts w:hint="cs"/>
          <w:rtl/>
        </w:rPr>
        <w:t xml:space="preserve"> דס"ל </w:t>
      </w:r>
      <w:r w:rsidRPr="0045615F">
        <w:rPr>
          <w:rStyle w:val="affa"/>
          <w:rFonts w:hint="cs"/>
          <w:rtl/>
        </w:rPr>
        <w:t>כהרמב"ן</w:t>
      </w:r>
      <w:r w:rsidRPr="0045615F">
        <w:rPr>
          <w:rStyle w:val="afb"/>
          <w:rFonts w:hint="cs"/>
          <w:rtl/>
        </w:rPr>
        <w:t>].</w:t>
      </w:r>
      <w:bookmarkEnd w:id="972"/>
    </w:p>
    <w:p w:rsidR="0045615F" w:rsidRDefault="00B66504" w:rsidP="0045615F">
      <w:pPr>
        <w:pStyle w:val="a3"/>
      </w:pPr>
      <w:bookmarkStart w:id="973" w:name="_Toc54125810"/>
      <w:bookmarkStart w:id="974" w:name="_Toc54134023"/>
      <w:r>
        <w:rPr>
          <w:rFonts w:hint="cs"/>
          <w:rtl/>
        </w:rPr>
        <w:t>קושית הקה"י דאף אי בפחות מג"ש אין ראיה בגודרות מ"מ אמאי גרעו מעבדים דמהני בהו</w:t>
      </w:r>
      <w:bookmarkEnd w:id="973"/>
      <w:bookmarkEnd w:id="974"/>
    </w:p>
    <w:p w:rsidR="0045615F" w:rsidRDefault="0045615F" w:rsidP="007E4E81">
      <w:pPr>
        <w:pStyle w:val="a0"/>
        <w:rPr>
          <w:rtl/>
        </w:rPr>
      </w:pPr>
      <w:r>
        <w:rPr>
          <w:rFonts w:hint="cs"/>
          <w:rtl/>
        </w:rPr>
        <w:t xml:space="preserve">והוסיף </w:t>
      </w:r>
      <w:r w:rsidRPr="00B66504">
        <w:rPr>
          <w:rStyle w:val="af9"/>
          <w:rFonts w:hint="cs"/>
          <w:rtl/>
        </w:rPr>
        <w:t>הקה"י</w:t>
      </w:r>
      <w:r>
        <w:rPr>
          <w:rFonts w:hint="cs"/>
          <w:rtl/>
        </w:rPr>
        <w:t xml:space="preserve"> להקשות דאף אי נימא דהא דצריך ג"ש בגודרות, הוא כיון דהם באים מאליהם, ובפחות מג"ש אין ראיה מדלא מיחה, מ"מ כיון דבעבדים מהני חזקת ג"ש, אף שיש בהם את הריעותא דגודרות דהם באים מאליהם, א"כ מוכח דבג"ש כל שלא מיחה מוכח שקנה ממנו, ואמאי בגודרות לא יועיל חזקת ג"ש כמו בעבדים.</w:t>
      </w:r>
    </w:p>
    <w:p w:rsidR="0045615F" w:rsidRDefault="00ED45F0" w:rsidP="0045615F">
      <w:pPr>
        <w:pStyle w:val="a3"/>
        <w:rPr>
          <w:rtl/>
        </w:rPr>
      </w:pPr>
      <w:bookmarkStart w:id="975" w:name="_Toc54125811"/>
      <w:bookmarkStart w:id="976" w:name="_Toc54134024"/>
      <w:r>
        <w:rPr>
          <w:rFonts w:hint="cs"/>
          <w:rtl/>
        </w:rPr>
        <w:t>ביאור הקה"י בי"מ ברמב"ן דהראיה מדלא מיחה דהיה לו לעשות ריעותא דאחוי שטרך</w:t>
      </w:r>
      <w:bookmarkEnd w:id="975"/>
      <w:bookmarkEnd w:id="976"/>
    </w:p>
    <w:p w:rsidR="0045615F" w:rsidRDefault="0045615F" w:rsidP="007E4E81">
      <w:pPr>
        <w:pStyle w:val="a0"/>
        <w:rPr>
          <w:rtl/>
        </w:rPr>
      </w:pPr>
      <w:r>
        <w:rPr>
          <w:rFonts w:hint="cs"/>
          <w:rtl/>
        </w:rPr>
        <w:t xml:space="preserve">והביא </w:t>
      </w:r>
      <w:r w:rsidRPr="00B66504">
        <w:rPr>
          <w:rStyle w:val="af9"/>
          <w:rFonts w:hint="cs"/>
          <w:rtl/>
        </w:rPr>
        <w:t>הקה"י</w:t>
      </w:r>
      <w:r>
        <w:rPr>
          <w:rFonts w:hint="cs"/>
          <w:rtl/>
        </w:rPr>
        <w:t xml:space="preserve"> </w:t>
      </w:r>
      <w:r w:rsidRPr="00B66504">
        <w:rPr>
          <w:rStyle w:val="af7"/>
          <w:rFonts w:eastAsia="Guttman Hodes" w:hint="cs"/>
          <w:rtl/>
        </w:rPr>
        <w:t>(סי' י"ח או' ה' ד"ה והנה)</w:t>
      </w:r>
      <w:r>
        <w:rPr>
          <w:rFonts w:hint="cs"/>
          <w:rtl/>
        </w:rPr>
        <w:t xml:space="preserve"> את דעת </w:t>
      </w:r>
      <w:r w:rsidRPr="00B66504">
        <w:rPr>
          <w:rStyle w:val="af9"/>
          <w:rFonts w:hint="cs"/>
          <w:rtl/>
        </w:rPr>
        <w:t>הי"מ ברמב"ן</w:t>
      </w:r>
      <w:r>
        <w:rPr>
          <w:rFonts w:hint="cs"/>
          <w:rtl/>
        </w:rPr>
        <w:t xml:space="preserve"> </w:t>
      </w:r>
      <w:r w:rsidRPr="00B66504">
        <w:rPr>
          <w:rStyle w:val="af9"/>
          <w:rFonts w:hint="cs"/>
          <w:rtl/>
        </w:rPr>
        <w:t>לקמן</w:t>
      </w:r>
      <w:r>
        <w:rPr>
          <w:rFonts w:hint="cs"/>
          <w:rtl/>
        </w:rPr>
        <w:t xml:space="preserve"> </w:t>
      </w:r>
      <w:r w:rsidRPr="00B66504">
        <w:rPr>
          <w:rStyle w:val="af7"/>
          <w:rFonts w:eastAsia="Guttman Hodes" w:hint="cs"/>
          <w:rtl/>
        </w:rPr>
        <w:t>(מב. ד"ה הא)</w:t>
      </w:r>
      <w:r>
        <w:rPr>
          <w:rFonts w:hint="cs"/>
          <w:rtl/>
        </w:rPr>
        <w:t xml:space="preserve"> דכתבו דקטן שהחזיק בקרקע, אין חזקתו חזקה כיון שקטן אינו בר מחאה, וא"כ אף החזקתו אינה חזקה, דאף אם ימחה בו המערער, אין הקטן יודע להזהר בשטרו, ולכן המערער אינו מוחה בו, וביאר </w:t>
      </w:r>
      <w:r w:rsidRPr="00B66504">
        <w:rPr>
          <w:rStyle w:val="af9"/>
          <w:rFonts w:hint="cs"/>
          <w:rtl/>
        </w:rPr>
        <w:t>הקה"י</w:t>
      </w:r>
      <w:r>
        <w:rPr>
          <w:rFonts w:hint="cs"/>
          <w:rtl/>
        </w:rPr>
        <w:t xml:space="preserve"> דס"ל </w:t>
      </w:r>
      <w:r w:rsidRPr="00B66504">
        <w:rPr>
          <w:rStyle w:val="af9"/>
          <w:rFonts w:hint="cs"/>
          <w:rtl/>
        </w:rPr>
        <w:t>להי"מ ברמב"ן</w:t>
      </w:r>
      <w:r>
        <w:rPr>
          <w:rFonts w:hint="cs"/>
          <w:rtl/>
        </w:rPr>
        <w:t xml:space="preserve"> דהראיה בחזקת ג"ש היא מדלא מיחה, דהיה לו למחות בכדי לעשות ריעותא בחזקה, דיוכל לטעון לו אחוי שטרך.</w:t>
      </w:r>
    </w:p>
    <w:p w:rsidR="0045615F" w:rsidRDefault="00ED45F0" w:rsidP="0045615F">
      <w:pPr>
        <w:pStyle w:val="a3"/>
        <w:rPr>
          <w:rtl/>
        </w:rPr>
      </w:pPr>
      <w:bookmarkStart w:id="977" w:name="_Toc54125812"/>
      <w:bookmarkStart w:id="978" w:name="_Toc54134025"/>
      <w:r>
        <w:rPr>
          <w:rFonts w:hint="cs"/>
          <w:rtl/>
        </w:rPr>
        <w:t>דברי הקה"י דלי"מ ברמב"ן בגודרות שאין שטר</w:t>
      </w:r>
      <w:r w:rsidR="00063411">
        <w:rPr>
          <w:rFonts w:hint="cs"/>
          <w:rtl/>
        </w:rPr>
        <w:t xml:space="preserve"> לא שייכא מחאה וממילא אין בהם חזקת ג"ש</w:t>
      </w:r>
      <w:bookmarkEnd w:id="977"/>
      <w:bookmarkEnd w:id="978"/>
    </w:p>
    <w:p w:rsidR="00D35AF6" w:rsidRDefault="0045615F" w:rsidP="007E4E81">
      <w:pPr>
        <w:pStyle w:val="a0"/>
        <w:rPr>
          <w:rtl/>
        </w:rPr>
        <w:sectPr w:rsidR="00D35AF6" w:rsidSect="005049E2">
          <w:footerReference w:type="default" r:id="rId25"/>
          <w:type w:val="continuous"/>
          <w:pgSz w:w="11906" w:h="16838"/>
          <w:pgMar w:top="720" w:right="720" w:bottom="720" w:left="720" w:header="283" w:footer="283" w:gutter="0"/>
          <w:cols w:num="2" w:space="567"/>
          <w:titlePg/>
          <w:bidi/>
          <w:rtlGutter/>
          <w:docGrid w:linePitch="299"/>
        </w:sectPr>
      </w:pPr>
      <w:r>
        <w:rPr>
          <w:rFonts w:hint="cs"/>
          <w:rtl/>
        </w:rPr>
        <w:t xml:space="preserve">וכתב </w:t>
      </w:r>
      <w:r w:rsidRPr="00B66504">
        <w:rPr>
          <w:rStyle w:val="af9"/>
          <w:rFonts w:hint="cs"/>
          <w:rtl/>
        </w:rPr>
        <w:t>הקה"י</w:t>
      </w:r>
      <w:r>
        <w:rPr>
          <w:rFonts w:hint="cs"/>
          <w:rtl/>
        </w:rPr>
        <w:t xml:space="preserve"> </w:t>
      </w:r>
      <w:r w:rsidRPr="00B66504">
        <w:rPr>
          <w:rStyle w:val="af7"/>
          <w:rFonts w:eastAsia="Guttman Hodes" w:hint="cs"/>
          <w:rtl/>
        </w:rPr>
        <w:t>(סי' י"ח או' ו')</w:t>
      </w:r>
      <w:r>
        <w:rPr>
          <w:rFonts w:hint="cs"/>
          <w:rtl/>
        </w:rPr>
        <w:t xml:space="preserve"> דלדעת </w:t>
      </w:r>
      <w:r w:rsidRPr="00B66504">
        <w:rPr>
          <w:rStyle w:val="af9"/>
          <w:rFonts w:hint="cs"/>
          <w:rtl/>
        </w:rPr>
        <w:t>הי"מ ברמב"ן</w:t>
      </w:r>
      <w:r>
        <w:rPr>
          <w:rFonts w:hint="cs"/>
          <w:rtl/>
        </w:rPr>
        <w:t xml:space="preserve"> מבוארים דברי </w:t>
      </w:r>
      <w:r w:rsidRPr="00B66504">
        <w:rPr>
          <w:rStyle w:val="af9"/>
          <w:rFonts w:hint="cs"/>
          <w:rtl/>
        </w:rPr>
        <w:t>הסמ"ע</w:t>
      </w:r>
      <w:r>
        <w:rPr>
          <w:rFonts w:hint="cs"/>
          <w:rtl/>
        </w:rPr>
        <w:t xml:space="preserve"> דבגודרות לא מהני</w:t>
      </w:r>
      <w:r w:rsidR="00A77F33">
        <w:rPr>
          <w:rFonts w:hint="cs"/>
          <w:rtl/>
        </w:rPr>
        <w:t xml:space="preserve"> </w:t>
      </w:r>
      <w:r>
        <w:rPr>
          <w:rFonts w:hint="cs"/>
          <w:rtl/>
        </w:rPr>
        <w:t>חזקת ג"ש דאינם בני שטרא, דכיון שאין בהם שטר, אין לו כל סיבה למחות, דאף אם ימחה לא יהיה ריעותא בחזקה דאחוי שטרך, וכיון שלא היה לו למחות ממילא לא הוי חזקה, משא"כ בעבדים דהם בני שטרא, א"כ היה לו למחות בכדי שיהיה ריעותא בחזקתו ע"י טענת אחוי שטרך, וכיון דלא מיחה הוי חזקה.</w:t>
      </w:r>
    </w:p>
    <w:p w:rsidR="00D35AF6" w:rsidRDefault="00D35AF6" w:rsidP="007E4E81">
      <w:pPr>
        <w:pStyle w:val="a0"/>
        <w:rPr>
          <w:rtl/>
        </w:rPr>
        <w:sectPr w:rsidR="00D35AF6" w:rsidSect="005049E2">
          <w:type w:val="continuous"/>
          <w:pgSz w:w="11906" w:h="16838"/>
          <w:pgMar w:top="720" w:right="720" w:bottom="720" w:left="720" w:header="283" w:footer="283" w:gutter="0"/>
          <w:cols w:num="2" w:space="567"/>
          <w:titlePg/>
          <w:bidi/>
          <w:rtlGutter/>
          <w:docGrid w:linePitch="299"/>
        </w:sectPr>
      </w:pPr>
    </w:p>
    <w:p w:rsidR="00AB3447" w:rsidRPr="00C03D92" w:rsidRDefault="00AB3447" w:rsidP="00AB3447">
      <w:pPr>
        <w:pStyle w:val="afd"/>
        <w:rPr>
          <w:rtl/>
        </w:rPr>
      </w:pPr>
      <w:bookmarkStart w:id="979" w:name="_Toc53934639"/>
      <w:bookmarkStart w:id="980" w:name="_Toc53940573"/>
      <w:bookmarkStart w:id="981" w:name="_Toc54177743"/>
      <w:bookmarkStart w:id="982" w:name="_Toc54201198"/>
      <w:bookmarkStart w:id="983" w:name="_Toc54210185"/>
      <w:bookmarkStart w:id="984" w:name="_Toc66209192"/>
      <w:r w:rsidRPr="00C03D92">
        <w:rPr>
          <w:rFonts w:hint="cs"/>
          <w:rtl/>
        </w:rPr>
        <w:lastRenderedPageBreak/>
        <w:t>סימן</w:t>
      </w:r>
      <w:bookmarkEnd w:id="979"/>
      <w:bookmarkEnd w:id="980"/>
      <w:r w:rsidRPr="00C03D92">
        <w:rPr>
          <w:rFonts w:hint="cs"/>
          <w:rtl/>
        </w:rPr>
        <w:t xml:space="preserve"> </w:t>
      </w:r>
      <w:r>
        <w:rPr>
          <w:rFonts w:hint="cs"/>
          <w:rtl/>
        </w:rPr>
        <w:t>ב'</w:t>
      </w:r>
      <w:bookmarkEnd w:id="981"/>
      <w:bookmarkEnd w:id="982"/>
      <w:bookmarkEnd w:id="983"/>
      <w:bookmarkEnd w:id="984"/>
    </w:p>
    <w:p w:rsidR="00AB3447" w:rsidRPr="00C03D92" w:rsidRDefault="00AB3447" w:rsidP="00AB3447">
      <w:pPr>
        <w:pStyle w:val="afd"/>
        <w:rPr>
          <w:rFonts w:ascii="FrankRuehl" w:hAnsi="FrankRuehl"/>
          <w:b/>
          <w:noProof/>
          <w:rtl/>
        </w:rPr>
      </w:pPr>
      <w:bookmarkStart w:id="985" w:name="_Toc54177744"/>
      <w:bookmarkStart w:id="986" w:name="_Toc54201199"/>
      <w:bookmarkStart w:id="987" w:name="_Toc54210186"/>
      <w:bookmarkStart w:id="988" w:name="_Toc66209193"/>
      <w:r>
        <w:rPr>
          <w:rFonts w:ascii="FrankRuehl" w:hAnsi="FrankRuehl" w:hint="cs"/>
          <w:b/>
          <w:noProof/>
          <w:rtl/>
        </w:rPr>
        <w:t>בפלוגתת רבנן ורבי ישמעאל ור"ע בחזקת ג"ש</w:t>
      </w:r>
      <w:bookmarkEnd w:id="985"/>
      <w:bookmarkEnd w:id="986"/>
      <w:bookmarkEnd w:id="987"/>
      <w:bookmarkEnd w:id="988"/>
    </w:p>
    <w:p w:rsidR="00AB3447" w:rsidRDefault="000B328B" w:rsidP="00AB3447">
      <w:pPr>
        <w:pStyle w:val="2"/>
        <w:rPr>
          <w:rtl/>
        </w:rPr>
      </w:pPr>
      <w:r>
        <w:rPr>
          <w:rFonts w:hint="cs"/>
          <w:rtl/>
        </w:rPr>
        <w:t xml:space="preserve">~~~~~~~ תוכן הענינים ~~~~~~~ </w:t>
      </w:r>
    </w:p>
    <w:p w:rsidR="00AB3447" w:rsidRDefault="00AB3447" w:rsidP="0007171D">
      <w:pPr>
        <w:pStyle w:val="aff4"/>
        <w:rPr>
          <w:rtl/>
        </w:rPr>
        <w:sectPr w:rsidR="00AB3447" w:rsidSect="00E32D6B">
          <w:headerReference w:type="even" r:id="rId26"/>
          <w:headerReference w:type="default" r:id="rId27"/>
          <w:footerReference w:type="even" r:id="rId28"/>
          <w:footerReference w:type="default" r:id="rId29"/>
          <w:headerReference w:type="first" r:id="rId30"/>
          <w:footerReference w:type="first" r:id="rId31"/>
          <w:pgSz w:w="11906" w:h="16838"/>
          <w:pgMar w:top="720" w:right="720" w:bottom="720" w:left="720" w:header="283" w:footer="283" w:gutter="0"/>
          <w:cols w:space="113"/>
          <w:bidi/>
          <w:rtlGutter/>
          <w:docGrid w:linePitch="299"/>
        </w:sectPr>
      </w:pPr>
    </w:p>
    <w:p w:rsidR="00AB3447" w:rsidRDefault="00AB3447" w:rsidP="00AB3447">
      <w:pPr>
        <w:pStyle w:val="2"/>
        <w:rPr>
          <w:rFonts w:eastAsiaTheme="minorEastAsia" w:cstheme="minorBidi"/>
          <w:i/>
          <w:iCs/>
          <w:sz w:val="22"/>
          <w:szCs w:val="22"/>
          <w:rtl/>
        </w:rPr>
      </w:pPr>
      <w:r>
        <w:rPr>
          <w:rFonts w:asciiTheme="minorHAnsi" w:eastAsiaTheme="minorHAnsi" w:hAnsiTheme="minorHAnsi" w:cstheme="minorHAnsi"/>
          <w:i/>
          <w:iCs/>
          <w:noProof w:val="0"/>
          <w:sz w:val="20"/>
          <w:szCs w:val="20"/>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Theme="minorHAnsi" w:eastAsiaTheme="minorHAnsi" w:hAnsiTheme="minorHAnsi" w:cstheme="minorHAnsi"/>
          <w:i/>
          <w:iCs/>
          <w:noProof w:val="0"/>
          <w:sz w:val="20"/>
          <w:szCs w:val="20"/>
          <w:rtl/>
        </w:rPr>
        <w:fldChar w:fldCharType="separate"/>
      </w:r>
      <w:r w:rsidR="006C4F47">
        <w:rPr>
          <w:rtl/>
        </w:rPr>
        <w:t>~~~~~~~ מראי מקומות וביאורים ~~~~~~~</w:t>
      </w:r>
    </w:p>
    <w:p w:rsidR="00AB3447" w:rsidRDefault="00AB3447" w:rsidP="00AB3447">
      <w:pPr>
        <w:pStyle w:val="2"/>
        <w:rPr>
          <w:rFonts w:eastAsiaTheme="minorEastAsia" w:cstheme="minorBidi"/>
          <w:i/>
          <w:iCs/>
          <w:sz w:val="22"/>
          <w:szCs w:val="22"/>
          <w:rtl/>
        </w:rPr>
      </w:pPr>
      <w:r>
        <w:rPr>
          <w:rtl/>
        </w:rPr>
        <w:t>בגדר החזקה בעושין פירות תדיר</w:t>
      </w:r>
    </w:p>
    <w:p w:rsidR="00AB3447" w:rsidRDefault="00AB3447" w:rsidP="0007171D">
      <w:pPr>
        <w:pStyle w:val="aff4"/>
        <w:rPr>
          <w:rFonts w:eastAsiaTheme="minorEastAsia" w:cstheme="minorBidi"/>
          <w:i/>
          <w:iCs/>
          <w:noProof/>
          <w:sz w:val="22"/>
          <w:szCs w:val="22"/>
          <w:rtl/>
        </w:rPr>
      </w:pPr>
      <w:r>
        <w:rPr>
          <w:noProof/>
          <w:rtl/>
        </w:rPr>
        <w:t>דברי רש"י דכל שהחזיק ג"ש שלימות א"צ להביא שטר מכירה</w:t>
      </w:r>
    </w:p>
    <w:p w:rsidR="00AB3447" w:rsidRPr="007E4E81" w:rsidRDefault="00AB3447" w:rsidP="00BA3263">
      <w:pPr>
        <w:pStyle w:val="a"/>
        <w:numPr>
          <w:ilvl w:val="0"/>
          <w:numId w:val="4"/>
        </w:numPr>
        <w:rPr>
          <w:rFonts w:eastAsiaTheme="minorEastAsia" w:cstheme="minorBidi"/>
          <w:sz w:val="22"/>
          <w:szCs w:val="22"/>
          <w:rtl/>
        </w:rPr>
      </w:pPr>
      <w:r>
        <w:rPr>
          <w:rtl/>
        </w:rPr>
        <w:t>דברי רש"י דבבית השלחין שעושה פירות תדיר כל שהחזיק ג"ש מיום ליום א"צ שטר והוי חזקה</w:t>
      </w:r>
    </w:p>
    <w:p w:rsidR="00AB3447" w:rsidRDefault="00AB3447" w:rsidP="007E4E81">
      <w:pPr>
        <w:pStyle w:val="a"/>
        <w:rPr>
          <w:rFonts w:eastAsiaTheme="minorEastAsia" w:cstheme="minorBidi"/>
          <w:sz w:val="22"/>
          <w:szCs w:val="22"/>
          <w:rtl/>
        </w:rPr>
      </w:pPr>
      <w:r>
        <w:rPr>
          <w:rtl/>
        </w:rPr>
        <w:t>דברי רש"י דבפחות מג"ש מיום ליום ל"ה חזקה דצריך לאכול כל שראוי לצאת מהשדה בג"ש</w:t>
      </w:r>
    </w:p>
    <w:p w:rsidR="00AB3447" w:rsidRDefault="00AB3447" w:rsidP="007E4E81">
      <w:pPr>
        <w:pStyle w:val="a"/>
        <w:rPr>
          <w:rFonts w:eastAsiaTheme="minorEastAsia" w:cstheme="minorBidi"/>
          <w:sz w:val="22"/>
          <w:szCs w:val="22"/>
          <w:rtl/>
        </w:rPr>
      </w:pPr>
      <w:r>
        <w:rPr>
          <w:rtl/>
        </w:rPr>
        <w:t>דברי רש"י דבשדה בית הבעל שעושה פירות פעם אחת בש</w:t>
      </w:r>
      <w:r>
        <w:rPr>
          <w:rFonts w:hint="cs"/>
          <w:rtl/>
        </w:rPr>
        <w:t>ד</w:t>
      </w:r>
      <w:r>
        <w:rPr>
          <w:rtl/>
        </w:rPr>
        <w:t>ה חזקת ג"ש אינה מיום ליום</w:t>
      </w:r>
    </w:p>
    <w:p w:rsidR="00AB3447" w:rsidRDefault="00AB3447" w:rsidP="007E4E81">
      <w:pPr>
        <w:pStyle w:val="a"/>
        <w:rPr>
          <w:rFonts w:eastAsiaTheme="minorEastAsia" w:cstheme="minorBidi"/>
          <w:sz w:val="22"/>
          <w:szCs w:val="22"/>
          <w:rtl/>
        </w:rPr>
      </w:pPr>
      <w:r>
        <w:rPr>
          <w:rtl/>
        </w:rPr>
        <w:t>דברי רש"י דלר"י כשז</w:t>
      </w:r>
      <w:r>
        <w:rPr>
          <w:rFonts w:hint="cs"/>
          <w:rtl/>
        </w:rPr>
        <w:t>ר</w:t>
      </w:r>
      <w:r>
        <w:rPr>
          <w:rtl/>
        </w:rPr>
        <w:t>ע בג"ח ראשונים ואחרונים והחזיק בכל השנה האמצעית חשיב כג"ש</w:t>
      </w:r>
    </w:p>
    <w:p w:rsidR="00AB3447" w:rsidRDefault="00AB3447" w:rsidP="0007171D">
      <w:pPr>
        <w:pStyle w:val="aff4"/>
        <w:rPr>
          <w:rFonts w:eastAsiaTheme="minorEastAsia" w:cstheme="minorBidi"/>
          <w:i/>
          <w:iCs/>
          <w:noProof/>
          <w:sz w:val="22"/>
          <w:szCs w:val="22"/>
          <w:rtl/>
        </w:rPr>
      </w:pPr>
      <w:r>
        <w:rPr>
          <w:noProof/>
          <w:rtl/>
        </w:rPr>
        <w:t>דברי רש"י דבבית הבעל סגי בג' אכילות של שנה בלא מחאה</w:t>
      </w:r>
    </w:p>
    <w:p w:rsidR="00AB3447" w:rsidRDefault="00AB3447" w:rsidP="007E4E81">
      <w:pPr>
        <w:pStyle w:val="a"/>
        <w:rPr>
          <w:rFonts w:eastAsiaTheme="minorEastAsia" w:cstheme="minorBidi"/>
          <w:sz w:val="22"/>
          <w:szCs w:val="22"/>
          <w:rtl/>
        </w:rPr>
      </w:pPr>
      <w:r>
        <w:rPr>
          <w:rtl/>
        </w:rPr>
        <w:t>ביאור רש"י דהוי חזקה כיון שאין אדם שרואה שאוכלין לו פרי של שנה והוא שותק</w:t>
      </w:r>
    </w:p>
    <w:p w:rsidR="00AB3447" w:rsidRDefault="00AB3447" w:rsidP="007E4E81">
      <w:pPr>
        <w:pStyle w:val="a"/>
        <w:rPr>
          <w:rFonts w:eastAsiaTheme="minorEastAsia" w:cstheme="minorBidi"/>
          <w:sz w:val="22"/>
          <w:szCs w:val="22"/>
          <w:rtl/>
        </w:rPr>
      </w:pPr>
      <w:r>
        <w:rPr>
          <w:rtl/>
        </w:rPr>
        <w:t>ביאור החת"ס ברש"י דלר"ע ור"י הראיה היא בשנה הראשונה וצריך ג"ש לחזקה כשור המועד</w:t>
      </w:r>
    </w:p>
    <w:p w:rsidR="00AB3447" w:rsidRDefault="00AB3447" w:rsidP="0007171D">
      <w:pPr>
        <w:pStyle w:val="aff4"/>
        <w:rPr>
          <w:rFonts w:eastAsiaTheme="minorEastAsia" w:cstheme="minorBidi"/>
          <w:i/>
          <w:iCs/>
          <w:noProof/>
          <w:sz w:val="22"/>
          <w:szCs w:val="22"/>
          <w:rtl/>
        </w:rPr>
      </w:pPr>
      <w:r>
        <w:rPr>
          <w:noProof/>
          <w:rtl/>
        </w:rPr>
        <w:t>דברי רבינו גרשום דמשתמשים או עובדים בהם בכל יום</w:t>
      </w:r>
    </w:p>
    <w:p w:rsidR="00AB3447" w:rsidRDefault="00AB3447" w:rsidP="007E4E81">
      <w:pPr>
        <w:pStyle w:val="a"/>
        <w:rPr>
          <w:rFonts w:eastAsiaTheme="minorEastAsia" w:cstheme="minorBidi"/>
          <w:sz w:val="22"/>
          <w:szCs w:val="22"/>
          <w:rtl/>
        </w:rPr>
      </w:pPr>
      <w:r>
        <w:rPr>
          <w:rtl/>
        </w:rPr>
        <w:t>דברי רבינו גרשום דדבר שעושה פירות היינו שמשתמשים בו בכל יום ומסתפקים ממנו</w:t>
      </w:r>
    </w:p>
    <w:p w:rsidR="00AB3447" w:rsidRDefault="00AB3447" w:rsidP="007E4E81">
      <w:pPr>
        <w:pStyle w:val="a"/>
        <w:rPr>
          <w:rFonts w:eastAsiaTheme="minorEastAsia" w:cstheme="minorBidi"/>
          <w:sz w:val="22"/>
          <w:szCs w:val="22"/>
          <w:rtl/>
        </w:rPr>
      </w:pPr>
      <w:r>
        <w:rPr>
          <w:rtl/>
        </w:rPr>
        <w:t>ביאור רבינו גרשום דבשדה בית השלחין צריך להשקותה אותה בכל יום וחשיב שימוש</w:t>
      </w:r>
    </w:p>
    <w:p w:rsidR="00AB3447" w:rsidRDefault="00AB3447" w:rsidP="0007171D">
      <w:pPr>
        <w:pStyle w:val="aff4"/>
        <w:rPr>
          <w:rFonts w:eastAsiaTheme="minorEastAsia" w:cstheme="minorBidi"/>
          <w:i/>
          <w:iCs/>
          <w:noProof/>
          <w:sz w:val="22"/>
          <w:szCs w:val="22"/>
          <w:rtl/>
        </w:rPr>
      </w:pPr>
      <w:r>
        <w:rPr>
          <w:noProof/>
          <w:rtl/>
        </w:rPr>
        <w:t>דברי רבינו גרשום דמשתמש בכדי שלא יטען שלא ראה חזקתו</w:t>
      </w:r>
    </w:p>
    <w:p w:rsidR="00AB3447" w:rsidRDefault="00AB3447" w:rsidP="007E4E81">
      <w:pPr>
        <w:pStyle w:val="a"/>
        <w:rPr>
          <w:rFonts w:eastAsiaTheme="minorEastAsia" w:cstheme="minorBidi"/>
          <w:sz w:val="22"/>
          <w:szCs w:val="22"/>
          <w:rtl/>
        </w:rPr>
      </w:pPr>
      <w:r>
        <w:rPr>
          <w:rtl/>
        </w:rPr>
        <w:t>דברי רבינו גרשום דכל שהשתמש בכל יום אין המערער יכול לומר שלא ראה את המחזיק בשדה</w:t>
      </w:r>
    </w:p>
    <w:p w:rsidR="00AB3447" w:rsidRDefault="00AB3447" w:rsidP="007E4E81">
      <w:pPr>
        <w:pStyle w:val="a"/>
        <w:rPr>
          <w:rFonts w:eastAsiaTheme="minorEastAsia" w:cstheme="minorBidi"/>
          <w:sz w:val="22"/>
          <w:szCs w:val="22"/>
          <w:rtl/>
        </w:rPr>
      </w:pPr>
      <w:r>
        <w:rPr>
          <w:rtl/>
        </w:rPr>
        <w:t>דברי רבינו גרשום דבבית הבעל כל שהתשמש בזמן הרגיל אין המערער יכול לומר שלא ראה</w:t>
      </w:r>
    </w:p>
    <w:p w:rsidR="00AB3447" w:rsidRDefault="00AB3447" w:rsidP="0007171D">
      <w:pPr>
        <w:pStyle w:val="aff4"/>
        <w:rPr>
          <w:rFonts w:eastAsiaTheme="minorEastAsia" w:cstheme="minorBidi"/>
          <w:i/>
          <w:iCs/>
          <w:noProof/>
          <w:sz w:val="22"/>
          <w:szCs w:val="22"/>
          <w:rtl/>
        </w:rPr>
      </w:pPr>
      <w:r>
        <w:rPr>
          <w:noProof/>
          <w:rtl/>
        </w:rPr>
        <w:t>דברי הרשב"א דסגי באכילת פירות כדרך הבעלים ולא בכל יום</w:t>
      </w:r>
    </w:p>
    <w:p w:rsidR="00AB3447" w:rsidRDefault="00AB3447" w:rsidP="007E4E81">
      <w:pPr>
        <w:pStyle w:val="a"/>
        <w:rPr>
          <w:rFonts w:eastAsiaTheme="minorEastAsia" w:cstheme="minorBidi"/>
          <w:sz w:val="22"/>
          <w:szCs w:val="22"/>
          <w:rtl/>
        </w:rPr>
      </w:pPr>
      <w:r>
        <w:rPr>
          <w:rtl/>
        </w:rPr>
        <w:t>דברי הרשב"א דבעושין פירות תדיר א"צ להשתמש כל יום אלא לאכול פירות כדרך הבעלים</w:t>
      </w:r>
    </w:p>
    <w:p w:rsidR="00AB3447" w:rsidRDefault="00AB3447" w:rsidP="0007171D">
      <w:pPr>
        <w:pStyle w:val="aff4"/>
        <w:rPr>
          <w:rFonts w:eastAsiaTheme="minorEastAsia" w:cstheme="minorBidi"/>
          <w:i/>
          <w:iCs/>
          <w:noProof/>
          <w:sz w:val="22"/>
          <w:szCs w:val="22"/>
          <w:rtl/>
        </w:rPr>
      </w:pPr>
      <w:r>
        <w:rPr>
          <w:noProof/>
          <w:rtl/>
        </w:rPr>
        <w:t>דברי הרשב"א דבבית השלחין כל השנה היא אכילה אחת</w:t>
      </w:r>
    </w:p>
    <w:p w:rsidR="00AB3447" w:rsidRDefault="00AB3447" w:rsidP="007E4E81">
      <w:pPr>
        <w:pStyle w:val="a"/>
        <w:rPr>
          <w:rFonts w:eastAsiaTheme="minorEastAsia" w:cstheme="minorBidi"/>
          <w:sz w:val="22"/>
          <w:szCs w:val="22"/>
          <w:rtl/>
        </w:rPr>
      </w:pPr>
      <w:r>
        <w:rPr>
          <w:rtl/>
        </w:rPr>
        <w:t>דברי הרשב"א דבבית השלחין שלא פוסקין פירותיה חשיבא כל השנה כאכילה אחת</w:t>
      </w:r>
    </w:p>
    <w:p w:rsidR="00AB3447" w:rsidRDefault="00AB3447" w:rsidP="0007171D">
      <w:pPr>
        <w:pStyle w:val="aff4"/>
        <w:rPr>
          <w:rFonts w:eastAsiaTheme="minorEastAsia" w:cstheme="minorBidi"/>
          <w:i/>
          <w:iCs/>
          <w:noProof/>
          <w:sz w:val="22"/>
          <w:szCs w:val="22"/>
          <w:rtl/>
        </w:rPr>
      </w:pPr>
      <w:r>
        <w:rPr>
          <w:noProof/>
          <w:rtl/>
        </w:rPr>
        <w:t>דברי הרמ"ה דכל שימוש קבוע חשיב עושה פירות תדיר</w:t>
      </w:r>
    </w:p>
    <w:p w:rsidR="00AB3447" w:rsidRDefault="00AB3447" w:rsidP="007E4E81">
      <w:pPr>
        <w:pStyle w:val="a"/>
        <w:rPr>
          <w:rFonts w:eastAsiaTheme="minorEastAsia" w:cstheme="minorBidi"/>
          <w:sz w:val="22"/>
          <w:szCs w:val="22"/>
          <w:rtl/>
        </w:rPr>
      </w:pPr>
      <w:r>
        <w:rPr>
          <w:rtl/>
        </w:rPr>
        <w:t>דברי הרמ"ה דפירות תדיר שיש לו שימוש בכל השנה וכ"ש בית השלחין שעושה פירות ממש</w:t>
      </w:r>
    </w:p>
    <w:p w:rsidR="00AB3447" w:rsidRDefault="00AB3447" w:rsidP="007E4E81">
      <w:pPr>
        <w:pStyle w:val="a"/>
        <w:rPr>
          <w:rFonts w:eastAsiaTheme="minorEastAsia" w:cstheme="minorBidi"/>
          <w:sz w:val="22"/>
          <w:szCs w:val="22"/>
          <w:rtl/>
        </w:rPr>
      </w:pPr>
      <w:r>
        <w:rPr>
          <w:rtl/>
        </w:rPr>
        <w:t>דברי הרמ"ה דלמסקנא דעד ג"ש נזהר בשטרו רק בשימוש כדרך הבעלים היה לו למחות</w:t>
      </w:r>
    </w:p>
    <w:p w:rsidR="00AB3447" w:rsidRDefault="00AB3447" w:rsidP="007E4E81">
      <w:pPr>
        <w:pStyle w:val="a"/>
        <w:rPr>
          <w:rFonts w:eastAsiaTheme="minorEastAsia" w:cstheme="minorBidi"/>
          <w:sz w:val="22"/>
          <w:szCs w:val="22"/>
          <w:rtl/>
        </w:rPr>
      </w:pPr>
      <w:r>
        <w:rPr>
          <w:rtl/>
        </w:rPr>
        <w:t>דברי הרמ"ה דבהחזיק בו שלא בדרך קבע יכול המערער לומר דראה שמשתמש ארעי ולא מחה</w:t>
      </w:r>
    </w:p>
    <w:p w:rsidR="00AB3447" w:rsidRDefault="00AB3447" w:rsidP="0007171D">
      <w:pPr>
        <w:pStyle w:val="aff4"/>
        <w:rPr>
          <w:rFonts w:eastAsiaTheme="minorEastAsia" w:cstheme="minorBidi"/>
          <w:i/>
          <w:iCs/>
          <w:noProof/>
          <w:sz w:val="22"/>
          <w:szCs w:val="22"/>
          <w:rtl/>
        </w:rPr>
      </w:pPr>
      <w:r>
        <w:rPr>
          <w:noProof/>
          <w:rtl/>
        </w:rPr>
        <w:t>ביאורי הראשונים בהא דבית הבדים עושים פירות תדיר</w:t>
      </w:r>
    </w:p>
    <w:p w:rsidR="00AB3447" w:rsidRDefault="00AB3447" w:rsidP="007E4E81">
      <w:pPr>
        <w:pStyle w:val="a"/>
        <w:rPr>
          <w:rFonts w:eastAsiaTheme="minorEastAsia" w:cstheme="minorBidi"/>
          <w:sz w:val="22"/>
          <w:szCs w:val="22"/>
          <w:rtl/>
        </w:rPr>
      </w:pPr>
      <w:r>
        <w:rPr>
          <w:rtl/>
        </w:rPr>
        <w:t>דברי התוס' דאף דלבית הבדים יש זמן קבוע מ"מ יש מיעוט שדורכים זיתים בכל השנה</w:t>
      </w:r>
    </w:p>
    <w:p w:rsidR="00AB3447" w:rsidRDefault="00AB3447" w:rsidP="007E4E81">
      <w:pPr>
        <w:pStyle w:val="a"/>
        <w:rPr>
          <w:rFonts w:eastAsiaTheme="minorEastAsia" w:cstheme="minorBidi"/>
          <w:sz w:val="22"/>
          <w:szCs w:val="22"/>
          <w:rtl/>
        </w:rPr>
      </w:pPr>
      <w:r>
        <w:rPr>
          <w:rtl/>
        </w:rPr>
        <w:t>דברי הרמב"ן דאחר זמן דריכת הזיתים משתמשים בבית הבדים לשכר וכדומה</w:t>
      </w:r>
    </w:p>
    <w:p w:rsidR="00AB3447" w:rsidRDefault="00AB3447" w:rsidP="007E4E81">
      <w:pPr>
        <w:pStyle w:val="a"/>
        <w:rPr>
          <w:rFonts w:eastAsiaTheme="minorEastAsia" w:cstheme="minorBidi"/>
          <w:sz w:val="22"/>
          <w:szCs w:val="22"/>
          <w:rtl/>
        </w:rPr>
      </w:pPr>
      <w:r>
        <w:rPr>
          <w:rtl/>
        </w:rPr>
        <w:t>דברי רבינו גרשום דאחר דריכת הזיתים מניחים שם את השמן ומסתפקים ממנו בכל יום</w:t>
      </w:r>
    </w:p>
    <w:p w:rsidR="00AB3447" w:rsidRDefault="00AB3447" w:rsidP="007E4E81">
      <w:pPr>
        <w:pStyle w:val="a"/>
        <w:rPr>
          <w:rFonts w:eastAsiaTheme="minorEastAsia" w:cstheme="minorBidi"/>
          <w:sz w:val="22"/>
          <w:szCs w:val="22"/>
          <w:rtl/>
        </w:rPr>
      </w:pPr>
      <w:r>
        <w:rPr>
          <w:rtl/>
        </w:rPr>
        <w:t>ביאור הרמ"ה דאחר דריכת הזיתים מניחים שם את כלי בית הבדים והנאתו היא כאוצר לכלים</w:t>
      </w:r>
    </w:p>
    <w:p w:rsidR="00AB3447" w:rsidRDefault="00AB3447" w:rsidP="00AB3447">
      <w:pPr>
        <w:pStyle w:val="2"/>
        <w:rPr>
          <w:rFonts w:eastAsiaTheme="minorEastAsia" w:cstheme="minorBidi"/>
          <w:i/>
          <w:iCs/>
          <w:sz w:val="22"/>
          <w:szCs w:val="22"/>
          <w:rtl/>
        </w:rPr>
      </w:pPr>
      <w:r>
        <w:rPr>
          <w:rtl/>
        </w:rPr>
        <w:t>בביאור החזקה בי"ח חודשים לדעת ר"י</w:t>
      </w:r>
    </w:p>
    <w:p w:rsidR="00AB3447" w:rsidRDefault="00AB3447" w:rsidP="0007171D">
      <w:pPr>
        <w:pStyle w:val="aff4"/>
        <w:rPr>
          <w:rFonts w:eastAsiaTheme="minorEastAsia" w:cstheme="minorBidi"/>
          <w:i/>
          <w:iCs/>
          <w:noProof/>
          <w:sz w:val="22"/>
          <w:szCs w:val="22"/>
          <w:rtl/>
        </w:rPr>
      </w:pPr>
      <w:r>
        <w:rPr>
          <w:noProof/>
          <w:rtl/>
        </w:rPr>
        <w:t>דברי רש"י דלר"י בבית הבעל י"ח חודשים חשיב כג"ש</w:t>
      </w:r>
    </w:p>
    <w:p w:rsidR="00AB3447" w:rsidRDefault="00AB3447" w:rsidP="007E4E81">
      <w:pPr>
        <w:pStyle w:val="a"/>
        <w:rPr>
          <w:rFonts w:eastAsiaTheme="minorEastAsia" w:cstheme="minorBidi"/>
          <w:sz w:val="22"/>
          <w:szCs w:val="22"/>
          <w:rtl/>
        </w:rPr>
      </w:pPr>
      <w:r>
        <w:rPr>
          <w:rtl/>
        </w:rPr>
        <w:t>דברי רש"י דבבית הבעל זרע בג' חודשים ראשונים ואחרונים והחזיק כל השנה האמצעית</w:t>
      </w:r>
    </w:p>
    <w:p w:rsidR="00AB3447" w:rsidRDefault="00AB3447" w:rsidP="007E4E81">
      <w:pPr>
        <w:pStyle w:val="a"/>
        <w:rPr>
          <w:rFonts w:eastAsiaTheme="minorEastAsia" w:cstheme="minorBidi"/>
          <w:sz w:val="22"/>
          <w:szCs w:val="22"/>
          <w:rtl/>
        </w:rPr>
      </w:pPr>
      <w:r>
        <w:rPr>
          <w:rtl/>
        </w:rPr>
        <w:t>ביאור התוס' ברש"י דלר"י בג' חודשים הראשונים והאחרונים צריך המחזיק לזרוע ולקצור</w:t>
      </w:r>
    </w:p>
    <w:p w:rsidR="00AB3447" w:rsidRDefault="00AB3447" w:rsidP="007E4E81">
      <w:pPr>
        <w:pStyle w:val="a"/>
        <w:rPr>
          <w:rFonts w:eastAsiaTheme="minorEastAsia" w:cstheme="minorBidi"/>
          <w:sz w:val="22"/>
          <w:szCs w:val="22"/>
          <w:rtl/>
        </w:rPr>
      </w:pPr>
      <w:r>
        <w:rPr>
          <w:rtl/>
        </w:rPr>
        <w:t>ביאור התוס' ברש"י דמצינו שיש תבואה שגדילה בג' החודשים האחרונים של השנה</w:t>
      </w:r>
    </w:p>
    <w:p w:rsidR="00AB3447" w:rsidRDefault="00AB3447" w:rsidP="0007171D">
      <w:pPr>
        <w:pStyle w:val="aff4"/>
        <w:rPr>
          <w:rFonts w:eastAsiaTheme="minorEastAsia" w:cstheme="minorBidi"/>
          <w:i/>
          <w:iCs/>
          <w:noProof/>
          <w:sz w:val="22"/>
          <w:szCs w:val="22"/>
          <w:rtl/>
        </w:rPr>
      </w:pPr>
      <w:r>
        <w:rPr>
          <w:noProof/>
          <w:rtl/>
        </w:rPr>
        <w:t>דברי התוס' דלר"י צריך אכילה חשובה באמצע ובאספסתא א"צ</w:t>
      </w:r>
    </w:p>
    <w:p w:rsidR="00AB3447" w:rsidRDefault="00AB3447" w:rsidP="007E4E81">
      <w:pPr>
        <w:pStyle w:val="a"/>
        <w:rPr>
          <w:rFonts w:eastAsiaTheme="minorEastAsia" w:cstheme="minorBidi"/>
          <w:sz w:val="22"/>
          <w:szCs w:val="22"/>
          <w:rtl/>
        </w:rPr>
      </w:pPr>
      <w:r>
        <w:rPr>
          <w:rtl/>
        </w:rPr>
        <w:t>קושית התוס' על רש"י דבכדי שיספיק לזרוע ולקצור ג' פעמים סגי ב</w:t>
      </w:r>
      <w:r>
        <w:rPr>
          <w:rFonts w:hint="cs"/>
          <w:rtl/>
        </w:rPr>
        <w:t>ט"ו</w:t>
      </w:r>
      <w:r>
        <w:rPr>
          <w:rtl/>
        </w:rPr>
        <w:t xml:space="preserve"> חדשים וא"צ י"ח חודשים</w:t>
      </w:r>
    </w:p>
    <w:p w:rsidR="00AB3447" w:rsidRDefault="00AB3447" w:rsidP="007E4E81">
      <w:pPr>
        <w:pStyle w:val="a"/>
        <w:rPr>
          <w:rFonts w:eastAsiaTheme="minorEastAsia" w:cstheme="minorBidi"/>
          <w:sz w:val="22"/>
          <w:szCs w:val="22"/>
          <w:rtl/>
        </w:rPr>
      </w:pPr>
      <w:r>
        <w:rPr>
          <w:rtl/>
        </w:rPr>
        <w:t>ביאור התוס' דאף לר"י בכדי שתחשב אכילת ג"ש צריך אכילה חשובה של י"ב חודש באמצע</w:t>
      </w:r>
    </w:p>
    <w:p w:rsidR="00AB3447" w:rsidRDefault="00AB3447" w:rsidP="007E4E81">
      <w:pPr>
        <w:pStyle w:val="a"/>
        <w:rPr>
          <w:rFonts w:eastAsiaTheme="minorEastAsia" w:cstheme="minorBidi"/>
          <w:sz w:val="22"/>
          <w:szCs w:val="22"/>
          <w:rtl/>
        </w:rPr>
      </w:pPr>
      <w:r>
        <w:rPr>
          <w:rtl/>
        </w:rPr>
        <w:t>דברי התוס' דרק באספסתא שזמנה לג' חודשים סגי ב</w:t>
      </w:r>
      <w:r>
        <w:rPr>
          <w:rFonts w:hint="cs"/>
          <w:rtl/>
        </w:rPr>
        <w:t>ג</w:t>
      </w:r>
      <w:r>
        <w:rPr>
          <w:rtl/>
        </w:rPr>
        <w:t>' חודשים וא"צ אכילה חשובה באמצע</w:t>
      </w:r>
    </w:p>
    <w:p w:rsidR="00AB3447" w:rsidRDefault="00AB3447" w:rsidP="007E4E81">
      <w:pPr>
        <w:pStyle w:val="a"/>
        <w:rPr>
          <w:rFonts w:eastAsiaTheme="minorEastAsia" w:cstheme="minorBidi"/>
          <w:sz w:val="22"/>
          <w:szCs w:val="22"/>
          <w:rtl/>
        </w:rPr>
      </w:pPr>
      <w:r>
        <w:rPr>
          <w:rtl/>
        </w:rPr>
        <w:t>קושית התוס' דהיאך אמרינן דהנ"מ היא בפירא רבא וזוטא הא לר"י סגי בג"ח באספסתא</w:t>
      </w:r>
    </w:p>
    <w:p w:rsidR="00AB3447" w:rsidRDefault="00AB3447" w:rsidP="007E4E81">
      <w:pPr>
        <w:pStyle w:val="a"/>
        <w:rPr>
          <w:rFonts w:eastAsiaTheme="minorEastAsia" w:cstheme="minorBidi"/>
          <w:sz w:val="22"/>
          <w:szCs w:val="22"/>
          <w:rtl/>
        </w:rPr>
      </w:pPr>
      <w:r>
        <w:rPr>
          <w:rtl/>
        </w:rPr>
        <w:t>דעת התוס' דלר"י סגי בקצר בג"ח ראשונים וזרע באחרונים וצריך ג"ח שגדל ברשותו זמן מרובה</w:t>
      </w:r>
    </w:p>
    <w:p w:rsidR="00AB3447" w:rsidRDefault="00AB3447" w:rsidP="0007171D">
      <w:pPr>
        <w:pStyle w:val="aff4"/>
        <w:rPr>
          <w:rFonts w:eastAsiaTheme="minorEastAsia" w:cstheme="minorBidi"/>
          <w:i/>
          <w:iCs/>
          <w:noProof/>
          <w:sz w:val="22"/>
          <w:szCs w:val="22"/>
          <w:rtl/>
        </w:rPr>
      </w:pPr>
      <w:r>
        <w:rPr>
          <w:noProof/>
          <w:rtl/>
        </w:rPr>
        <w:t>ביאורי הראשונים בפלוגתת ר"י ור"ע בפירא רבא ופירא זוטא</w:t>
      </w:r>
    </w:p>
    <w:p w:rsidR="00AB3447" w:rsidRDefault="00AB3447" w:rsidP="007E4E81">
      <w:pPr>
        <w:pStyle w:val="a"/>
        <w:rPr>
          <w:rFonts w:eastAsiaTheme="minorEastAsia" w:cstheme="minorBidi"/>
          <w:sz w:val="22"/>
          <w:szCs w:val="22"/>
          <w:rtl/>
        </w:rPr>
      </w:pPr>
      <w:r>
        <w:rPr>
          <w:rtl/>
        </w:rPr>
        <w:t>ביאור התוס' דפירא רבא היינו שגדל ברשותו ג"ח ופירא זוטא היינו שגדל ברשותו חודש אחד</w:t>
      </w:r>
    </w:p>
    <w:p w:rsidR="00AB3447" w:rsidRDefault="00AB3447" w:rsidP="007E4E81">
      <w:pPr>
        <w:pStyle w:val="a"/>
        <w:rPr>
          <w:rFonts w:eastAsiaTheme="minorEastAsia" w:cstheme="minorBidi"/>
          <w:sz w:val="22"/>
          <w:szCs w:val="22"/>
          <w:rtl/>
        </w:rPr>
      </w:pPr>
      <w:r>
        <w:rPr>
          <w:rtl/>
        </w:rPr>
        <w:t>ביאור הרשב"ם דפירא רבא הוא תבואה הגדילה בג"ח ופירא זוטא היינו שחת או ירק</w:t>
      </w:r>
    </w:p>
    <w:p w:rsidR="00AB3447" w:rsidRDefault="00AB3447" w:rsidP="007E4E81">
      <w:pPr>
        <w:pStyle w:val="a"/>
        <w:rPr>
          <w:rFonts w:eastAsiaTheme="minorEastAsia" w:cstheme="minorBidi"/>
          <w:sz w:val="22"/>
          <w:szCs w:val="22"/>
          <w:rtl/>
        </w:rPr>
      </w:pPr>
      <w:r>
        <w:rPr>
          <w:rtl/>
        </w:rPr>
        <w:t>ביאור ר"ח דפירא רבא היינו קישואין ודלועין שנגמרים בג"ח ופירא זוטא היינו ירק</w:t>
      </w:r>
    </w:p>
    <w:p w:rsidR="00AB3447" w:rsidRDefault="00AB3447" w:rsidP="0007171D">
      <w:pPr>
        <w:pStyle w:val="aff4"/>
        <w:rPr>
          <w:rFonts w:eastAsiaTheme="minorEastAsia" w:cstheme="minorBidi"/>
          <w:i/>
          <w:iCs/>
          <w:noProof/>
          <w:sz w:val="22"/>
          <w:szCs w:val="22"/>
          <w:rtl/>
        </w:rPr>
      </w:pPr>
      <w:r>
        <w:rPr>
          <w:noProof/>
          <w:rtl/>
        </w:rPr>
        <w:t>דברי הרמב"ן והרשב"א דבעומדת לאספסתא סגי בג"ח</w:t>
      </w:r>
    </w:p>
    <w:p w:rsidR="00AB3447" w:rsidRDefault="00AB3447" w:rsidP="007E4E81">
      <w:pPr>
        <w:pStyle w:val="a"/>
        <w:rPr>
          <w:rFonts w:eastAsiaTheme="minorEastAsia" w:cstheme="minorBidi"/>
          <w:sz w:val="22"/>
          <w:szCs w:val="22"/>
          <w:rtl/>
        </w:rPr>
      </w:pPr>
      <w:r>
        <w:rPr>
          <w:rtl/>
        </w:rPr>
        <w:t>קושית הרמב"ן דאמאי לר"י צריך פירא רבא בי"ח חודשים הא באספסתא סגי ב</w:t>
      </w:r>
      <w:r>
        <w:rPr>
          <w:rFonts w:hint="cs"/>
          <w:rtl/>
        </w:rPr>
        <w:t>ג</w:t>
      </w:r>
      <w:r>
        <w:rPr>
          <w:rtl/>
        </w:rPr>
        <w:t>' חודשים</w:t>
      </w:r>
    </w:p>
    <w:p w:rsidR="00AB3447" w:rsidRDefault="00AB3447" w:rsidP="007E4E81">
      <w:pPr>
        <w:pStyle w:val="a"/>
        <w:rPr>
          <w:rFonts w:eastAsiaTheme="minorEastAsia" w:cstheme="minorBidi"/>
          <w:sz w:val="22"/>
          <w:szCs w:val="22"/>
          <w:rtl/>
        </w:rPr>
      </w:pPr>
      <w:r>
        <w:rPr>
          <w:rtl/>
        </w:rPr>
        <w:t>תירוץ הרמב"ן דבשדה אספסתא הוי חזקה דכן הדרך ובתבואה שתלשה אינו כדרך ול"ה חזקה</w:t>
      </w:r>
    </w:p>
    <w:p w:rsidR="00AB3447" w:rsidRDefault="00AB3447" w:rsidP="007E4E81">
      <w:pPr>
        <w:pStyle w:val="a"/>
        <w:rPr>
          <w:rFonts w:eastAsiaTheme="minorEastAsia" w:cstheme="minorBidi"/>
          <w:sz w:val="22"/>
          <w:szCs w:val="22"/>
          <w:rtl/>
        </w:rPr>
      </w:pPr>
      <w:r>
        <w:rPr>
          <w:rtl/>
        </w:rPr>
        <w:t>דברי רבינו יונה והרשב"א והריטב"א דרק בשדה אספסתא הוי חזקה בג"ח ולא בשדה תבואה</w:t>
      </w:r>
    </w:p>
    <w:p w:rsidR="00AB3447" w:rsidRDefault="00AB3447" w:rsidP="007E4E81">
      <w:pPr>
        <w:pStyle w:val="a"/>
        <w:rPr>
          <w:rFonts w:eastAsiaTheme="minorEastAsia" w:cstheme="minorBidi"/>
          <w:sz w:val="22"/>
          <w:szCs w:val="22"/>
          <w:rtl/>
        </w:rPr>
      </w:pPr>
      <w:r w:rsidRPr="00036027">
        <w:rPr>
          <w:rtl/>
        </w:rPr>
        <w:t>דברי הרשב"א דלכן לר"י צריך י"ח חודשים להחזיק בשדה כדרך הבעלים בפירא רבא או זוטא</w:t>
      </w:r>
    </w:p>
    <w:p w:rsidR="00AB3447" w:rsidRDefault="00AB3447" w:rsidP="007E4E81">
      <w:pPr>
        <w:pStyle w:val="a"/>
        <w:rPr>
          <w:rFonts w:eastAsiaTheme="minorEastAsia" w:cstheme="minorBidi"/>
          <w:sz w:val="22"/>
          <w:szCs w:val="22"/>
          <w:rtl/>
        </w:rPr>
      </w:pPr>
      <w:r>
        <w:rPr>
          <w:rtl/>
        </w:rPr>
        <w:t>דברי הריטב"א דא"א לומר דבשדה אספסתא צריך י"ח חודשים דל"פ רבנן בזה דלכך עומדת</w:t>
      </w:r>
    </w:p>
    <w:p w:rsidR="00AB3447" w:rsidRDefault="00AB3447" w:rsidP="0007171D">
      <w:pPr>
        <w:pStyle w:val="aff4"/>
        <w:rPr>
          <w:rFonts w:eastAsiaTheme="minorEastAsia" w:cstheme="minorBidi"/>
          <w:i/>
          <w:iCs/>
          <w:noProof/>
          <w:sz w:val="22"/>
          <w:szCs w:val="22"/>
          <w:rtl/>
        </w:rPr>
      </w:pPr>
      <w:r>
        <w:rPr>
          <w:noProof/>
          <w:rtl/>
        </w:rPr>
        <w:t>ביאור רבינו יונה והריטב"א דדרך המיעוט להוביר בתחילה ובסוף</w:t>
      </w:r>
    </w:p>
    <w:p w:rsidR="00AB3447" w:rsidRDefault="00AB3447" w:rsidP="007E4E81">
      <w:pPr>
        <w:pStyle w:val="a"/>
        <w:rPr>
          <w:rFonts w:eastAsiaTheme="minorEastAsia" w:cstheme="minorBidi"/>
          <w:sz w:val="22"/>
          <w:szCs w:val="22"/>
          <w:rtl/>
        </w:rPr>
      </w:pPr>
      <w:r>
        <w:rPr>
          <w:rtl/>
        </w:rPr>
        <w:t>דברי רבינו יונה דלר"ע בשדה פירא רבא סגי בתחילה ובסוף בפירא זוטא דכן דרך מקצת בנ"א</w:t>
      </w:r>
    </w:p>
    <w:p w:rsidR="00AB3447" w:rsidRDefault="00AB3447" w:rsidP="007E4E81">
      <w:pPr>
        <w:pStyle w:val="a"/>
        <w:rPr>
          <w:rFonts w:eastAsiaTheme="minorEastAsia" w:cstheme="minorBidi"/>
          <w:sz w:val="22"/>
          <w:szCs w:val="22"/>
          <w:rtl/>
        </w:rPr>
      </w:pPr>
      <w:r>
        <w:rPr>
          <w:rtl/>
        </w:rPr>
        <w:t>ביאור הריטב"א דכשעושה תבואה גדולה באמצע יכול לטעון דבתחילה ובסוף הוביר במקצת</w:t>
      </w:r>
    </w:p>
    <w:p w:rsidR="00AB3447" w:rsidRDefault="00AB3447" w:rsidP="007E4E81">
      <w:pPr>
        <w:pStyle w:val="a"/>
        <w:rPr>
          <w:rFonts w:eastAsiaTheme="minorEastAsia" w:cstheme="minorBidi"/>
          <w:sz w:val="22"/>
          <w:szCs w:val="22"/>
          <w:rtl/>
        </w:rPr>
      </w:pPr>
      <w:r>
        <w:rPr>
          <w:rtl/>
        </w:rPr>
        <w:t>דברי הריטב"א דלר"י ור"ע טעמא דחזקה מילפותא דשור המועד ולכן אף בכה"ג הוי חזקה</w:t>
      </w:r>
    </w:p>
    <w:p w:rsidR="00AB3447" w:rsidRDefault="00AB3447" w:rsidP="007E4E81">
      <w:pPr>
        <w:pStyle w:val="a"/>
        <w:rPr>
          <w:rFonts w:eastAsiaTheme="minorEastAsia" w:cstheme="minorBidi"/>
          <w:sz w:val="22"/>
          <w:szCs w:val="22"/>
          <w:rtl/>
        </w:rPr>
      </w:pPr>
      <w:r>
        <w:rPr>
          <w:rtl/>
        </w:rPr>
        <w:t>דברי רבינו יונה דאם זרע המערער בתחילת השנה לא מהני כשזרע המחזיק בסוף השנה</w:t>
      </w:r>
    </w:p>
    <w:p w:rsidR="00AB3447" w:rsidRDefault="00AB3447" w:rsidP="0007171D">
      <w:pPr>
        <w:pStyle w:val="aff4"/>
        <w:rPr>
          <w:rFonts w:eastAsiaTheme="minorEastAsia" w:cstheme="minorBidi"/>
          <w:i/>
          <w:iCs/>
          <w:noProof/>
          <w:sz w:val="22"/>
          <w:szCs w:val="22"/>
          <w:rtl/>
        </w:rPr>
      </w:pPr>
      <w:r>
        <w:rPr>
          <w:noProof/>
          <w:rtl/>
        </w:rPr>
        <w:t>דברי התורי"ד דלכו"ע צריך ג"ש ולר"י י"ח חדשים חשיב כג"ש</w:t>
      </w:r>
    </w:p>
    <w:p w:rsidR="00AB3447" w:rsidRDefault="00AB3447" w:rsidP="007E4E81">
      <w:pPr>
        <w:pStyle w:val="a"/>
        <w:rPr>
          <w:rFonts w:eastAsiaTheme="minorEastAsia" w:cstheme="minorBidi"/>
          <w:sz w:val="22"/>
          <w:szCs w:val="22"/>
          <w:rtl/>
        </w:rPr>
      </w:pPr>
      <w:r>
        <w:rPr>
          <w:rtl/>
        </w:rPr>
        <w:t>דברי התורי"ד דפירא רבא היינו תבואה חזקה ופירא זוטא היינו מאכל בהמה דאספסתא</w:t>
      </w:r>
    </w:p>
    <w:p w:rsidR="00AB3447" w:rsidRDefault="00AB3447" w:rsidP="007E4E81">
      <w:pPr>
        <w:pStyle w:val="a"/>
        <w:rPr>
          <w:rtl/>
        </w:rPr>
      </w:pPr>
      <w:r>
        <w:rPr>
          <w:rFonts w:hint="cs"/>
          <w:rtl/>
        </w:rPr>
        <w:t>קושית התורי"ד דאמאי לר"ע צריך י</w:t>
      </w:r>
      <w:r>
        <w:rPr>
          <w:rtl/>
        </w:rPr>
        <w:t>"</w:t>
      </w:r>
      <w:r>
        <w:rPr>
          <w:rFonts w:hint="cs"/>
          <w:rtl/>
        </w:rPr>
        <w:t>ד חודשים ולא סגי בג"ח ואמאי לר"י צריך י"ח ולא סגי בט'</w:t>
      </w:r>
    </w:p>
    <w:p w:rsidR="00AB3447" w:rsidRDefault="00AB3447" w:rsidP="007E4E81">
      <w:pPr>
        <w:pStyle w:val="a"/>
        <w:rPr>
          <w:rFonts w:eastAsiaTheme="minorEastAsia" w:cstheme="minorBidi"/>
          <w:sz w:val="22"/>
          <w:szCs w:val="22"/>
          <w:rtl/>
        </w:rPr>
      </w:pPr>
      <w:r>
        <w:rPr>
          <w:rtl/>
        </w:rPr>
        <w:t>דברי התורי"ד דבעושה פירות תדיר אף לר"י ור"ע צריך ג"ש ופליגי מה חשיב כג"ש בבית הבעל</w:t>
      </w:r>
    </w:p>
    <w:p w:rsidR="00AB3447" w:rsidRDefault="00AB3447" w:rsidP="007E4E81">
      <w:pPr>
        <w:pStyle w:val="a"/>
        <w:rPr>
          <w:rFonts w:eastAsiaTheme="minorEastAsia" w:cstheme="minorBidi"/>
          <w:sz w:val="22"/>
          <w:szCs w:val="22"/>
          <w:rtl/>
        </w:rPr>
      </w:pPr>
      <w:r>
        <w:rPr>
          <w:rtl/>
        </w:rPr>
        <w:t>דברי התורי"ד דלכו"ע לא סגי בג' אכילות וצריך שיחשב כג"ש וט' חודשים באספסתא ל"מ</w:t>
      </w:r>
    </w:p>
    <w:p w:rsidR="00AB3447" w:rsidRDefault="00AB3447" w:rsidP="007E4E81">
      <w:pPr>
        <w:pStyle w:val="a"/>
        <w:rPr>
          <w:rFonts w:eastAsiaTheme="minorEastAsia" w:cstheme="minorBidi"/>
          <w:sz w:val="22"/>
          <w:szCs w:val="22"/>
          <w:rtl/>
        </w:rPr>
      </w:pPr>
      <w:r>
        <w:rPr>
          <w:rtl/>
        </w:rPr>
        <w:t>ביאור התורי"ד דג' אכילות בשנה אחת דמהני לר"י היינו בשדה אילן ולא בשדה תבואה</w:t>
      </w:r>
    </w:p>
    <w:p w:rsidR="00AB3447" w:rsidRDefault="00AB3447" w:rsidP="0007171D">
      <w:pPr>
        <w:pStyle w:val="aff4"/>
        <w:rPr>
          <w:rFonts w:eastAsiaTheme="minorEastAsia" w:cstheme="minorBidi"/>
          <w:i/>
          <w:iCs/>
          <w:noProof/>
          <w:sz w:val="22"/>
          <w:szCs w:val="22"/>
          <w:rtl/>
        </w:rPr>
      </w:pPr>
      <w:r>
        <w:rPr>
          <w:noProof/>
          <w:rtl/>
        </w:rPr>
        <w:t>ביאור התורי"ד דבאילן שגדל מאיליו צריך למחות בג' אכילות</w:t>
      </w:r>
    </w:p>
    <w:p w:rsidR="00AB3447" w:rsidRDefault="00AB3447" w:rsidP="007E4E81">
      <w:pPr>
        <w:pStyle w:val="a"/>
        <w:rPr>
          <w:rFonts w:eastAsiaTheme="minorEastAsia" w:cstheme="minorBidi"/>
          <w:sz w:val="22"/>
          <w:szCs w:val="22"/>
          <w:rtl/>
        </w:rPr>
      </w:pPr>
      <w:r>
        <w:rPr>
          <w:rtl/>
        </w:rPr>
        <w:t>ביאור התורי"ד דבשדה תבואה שצריך לזורעה מחדש חזקה היא רק בזריעה של ג"ש</w:t>
      </w:r>
    </w:p>
    <w:p w:rsidR="00AB3447" w:rsidRDefault="00AB3447" w:rsidP="007E4E81">
      <w:pPr>
        <w:pStyle w:val="a"/>
        <w:rPr>
          <w:rFonts w:eastAsiaTheme="minorEastAsia" w:cstheme="minorBidi"/>
          <w:sz w:val="22"/>
          <w:szCs w:val="22"/>
          <w:rtl/>
        </w:rPr>
      </w:pPr>
      <w:r>
        <w:rPr>
          <w:rtl/>
        </w:rPr>
        <w:t>ביאור התורי"ד דבאילן דהפירות גדלים מעצמם לר"י היה למערער למחות בג' אכילות בשנה א'</w:t>
      </w:r>
    </w:p>
    <w:p w:rsidR="00AB3447" w:rsidRDefault="00AB3447" w:rsidP="00AB3447">
      <w:pPr>
        <w:pStyle w:val="2"/>
        <w:rPr>
          <w:rFonts w:eastAsiaTheme="minorEastAsia" w:cstheme="minorBidi"/>
          <w:i/>
          <w:iCs/>
          <w:sz w:val="22"/>
          <w:szCs w:val="22"/>
          <w:rtl/>
        </w:rPr>
      </w:pPr>
      <w:r>
        <w:rPr>
          <w:rtl/>
        </w:rPr>
        <w:t>בהחזקת המחזיק בשדה בתוך ג' חודשים</w:t>
      </w:r>
    </w:p>
    <w:p w:rsidR="00AB3447" w:rsidRDefault="00AB3447" w:rsidP="0007171D">
      <w:pPr>
        <w:pStyle w:val="aff4"/>
        <w:rPr>
          <w:rFonts w:eastAsiaTheme="minorEastAsia" w:cstheme="minorBidi"/>
          <w:i/>
          <w:iCs/>
          <w:noProof/>
          <w:sz w:val="22"/>
          <w:szCs w:val="22"/>
          <w:rtl/>
        </w:rPr>
      </w:pPr>
      <w:r>
        <w:rPr>
          <w:noProof/>
          <w:rtl/>
        </w:rPr>
        <w:t>דברי התוס' דבתוך הג"ח אוכל שחת או מעכב עצים לעצמו</w:t>
      </w:r>
    </w:p>
    <w:p w:rsidR="00AB3447" w:rsidRDefault="00AB3447" w:rsidP="007E4E81">
      <w:pPr>
        <w:pStyle w:val="a"/>
        <w:rPr>
          <w:rFonts w:eastAsiaTheme="minorEastAsia" w:cstheme="minorBidi"/>
          <w:sz w:val="22"/>
          <w:szCs w:val="22"/>
          <w:rtl/>
        </w:rPr>
      </w:pPr>
      <w:r>
        <w:rPr>
          <w:rtl/>
        </w:rPr>
        <w:t>קושית התוס' דאי לר"י סגי כשזורע או קוצר היאך ניכר שמחזיק ג"ח בשדה דעבודה אינה חזקה</w:t>
      </w:r>
    </w:p>
    <w:p w:rsidR="00AB3447" w:rsidRDefault="00AB3447" w:rsidP="007E4E81">
      <w:pPr>
        <w:pStyle w:val="a"/>
        <w:rPr>
          <w:rFonts w:eastAsiaTheme="minorEastAsia" w:cstheme="minorBidi"/>
          <w:sz w:val="22"/>
          <w:szCs w:val="22"/>
          <w:rtl/>
        </w:rPr>
      </w:pPr>
      <w:r>
        <w:rPr>
          <w:rtl/>
        </w:rPr>
        <w:t>דברי התוס' דאיירי דאוכל שחת בתוך הג"ח באופן שאינו קוצר את התבואה דכן דרך בנ"א</w:t>
      </w:r>
    </w:p>
    <w:p w:rsidR="00AB3447" w:rsidRDefault="00AB3447" w:rsidP="007E4E81">
      <w:pPr>
        <w:pStyle w:val="a"/>
        <w:rPr>
          <w:rFonts w:eastAsiaTheme="minorEastAsia" w:cstheme="minorBidi"/>
          <w:sz w:val="22"/>
          <w:szCs w:val="22"/>
          <w:rtl/>
        </w:rPr>
      </w:pPr>
      <w:r>
        <w:rPr>
          <w:rtl/>
        </w:rPr>
        <w:t>דברי התוס' דלרבנן דבשדה אילן צריך ג"ש החזקה ע"י שזומר ומעכב את העצים לעצמו</w:t>
      </w:r>
    </w:p>
    <w:p w:rsidR="00AB3447" w:rsidRDefault="00AB3447" w:rsidP="0007171D">
      <w:pPr>
        <w:pStyle w:val="aff4"/>
        <w:rPr>
          <w:rFonts w:eastAsiaTheme="minorEastAsia" w:cstheme="minorBidi"/>
          <w:i/>
          <w:iCs/>
          <w:noProof/>
          <w:sz w:val="22"/>
          <w:szCs w:val="22"/>
          <w:rtl/>
        </w:rPr>
      </w:pPr>
      <w:r>
        <w:rPr>
          <w:noProof/>
          <w:rtl/>
        </w:rPr>
        <w:t>הביאור הב' בתוס' דבתוך הג"ח סגי בנעילה ואכילה בסופם</w:t>
      </w:r>
    </w:p>
    <w:p w:rsidR="00AB3447" w:rsidRDefault="00AB3447" w:rsidP="007E4E81">
      <w:pPr>
        <w:pStyle w:val="a"/>
        <w:rPr>
          <w:rFonts w:eastAsiaTheme="minorEastAsia" w:cstheme="minorBidi"/>
          <w:sz w:val="22"/>
          <w:szCs w:val="22"/>
          <w:rtl/>
        </w:rPr>
      </w:pPr>
      <w:r>
        <w:rPr>
          <w:rtl/>
        </w:rPr>
        <w:t>הביאור הב' בתוס' דבתוך ג"ח מחזיק ע"י שנועל וגודל ומהני יחד עם אכילת פירות</w:t>
      </w:r>
    </w:p>
    <w:p w:rsidR="00AB3447" w:rsidRDefault="00AB3447" w:rsidP="0007171D">
      <w:pPr>
        <w:pStyle w:val="aff4"/>
        <w:rPr>
          <w:rFonts w:eastAsiaTheme="minorEastAsia" w:cstheme="minorBidi"/>
          <w:i/>
          <w:iCs/>
          <w:noProof/>
          <w:sz w:val="22"/>
          <w:szCs w:val="22"/>
          <w:rtl/>
        </w:rPr>
      </w:pPr>
      <w:r>
        <w:rPr>
          <w:noProof/>
          <w:rtl/>
        </w:rPr>
        <w:t>הביאור הא' ברמב"ן דלר"י צריך שהמחזיק יזרע ויקצור</w:t>
      </w:r>
    </w:p>
    <w:p w:rsidR="00AB3447" w:rsidRDefault="00AB3447" w:rsidP="007E4E81">
      <w:pPr>
        <w:pStyle w:val="a"/>
        <w:rPr>
          <w:rFonts w:eastAsiaTheme="minorEastAsia" w:cstheme="minorBidi"/>
          <w:sz w:val="22"/>
          <w:szCs w:val="22"/>
          <w:rtl/>
        </w:rPr>
      </w:pPr>
      <w:r>
        <w:rPr>
          <w:rtl/>
        </w:rPr>
        <w:t>דברי הרמב"ן דלר"י ור"ע אזלינן בתר אכילות וצריך שיזרע ויקצור בפירא רבא או זוטא</w:t>
      </w:r>
    </w:p>
    <w:p w:rsidR="00AB3447" w:rsidRDefault="00AB3447" w:rsidP="007E4E81">
      <w:pPr>
        <w:pStyle w:val="a"/>
        <w:rPr>
          <w:rFonts w:eastAsiaTheme="minorEastAsia" w:cstheme="minorBidi"/>
          <w:sz w:val="22"/>
          <w:szCs w:val="22"/>
          <w:rtl/>
        </w:rPr>
      </w:pPr>
      <w:r>
        <w:rPr>
          <w:rtl/>
        </w:rPr>
        <w:t>דברי הרמב"ן דא"א לומר דלר"ע ור"י סגי בקצירה בלא זריעה דהא קוצר ביום א' וא"צ ג"ח</w:t>
      </w:r>
    </w:p>
    <w:p w:rsidR="00AB3447" w:rsidRDefault="00AB3447" w:rsidP="0007171D">
      <w:pPr>
        <w:pStyle w:val="aff4"/>
        <w:rPr>
          <w:rFonts w:eastAsiaTheme="minorEastAsia" w:cstheme="minorBidi"/>
          <w:i/>
          <w:iCs/>
          <w:noProof/>
          <w:sz w:val="22"/>
          <w:szCs w:val="22"/>
          <w:rtl/>
        </w:rPr>
      </w:pPr>
      <w:r>
        <w:rPr>
          <w:noProof/>
          <w:rtl/>
        </w:rPr>
        <w:t>הביאור הב' ברמב"ן דבשנה הראשונה סגי בקוצר קמה בקומתה</w:t>
      </w:r>
    </w:p>
    <w:p w:rsidR="00AB3447" w:rsidRDefault="00AB3447" w:rsidP="007E4E81">
      <w:pPr>
        <w:pStyle w:val="a"/>
        <w:rPr>
          <w:rFonts w:eastAsiaTheme="minorEastAsia" w:cstheme="minorBidi"/>
          <w:sz w:val="22"/>
          <w:szCs w:val="22"/>
          <w:rtl/>
        </w:rPr>
      </w:pPr>
      <w:r>
        <w:rPr>
          <w:rtl/>
        </w:rPr>
        <w:t>דברי הרמב"ן דבשנה הראשונה קוצר קמה בקומתה חשיב אכילה ונקטו חודשים לשניה ושלישית</w:t>
      </w:r>
    </w:p>
    <w:p w:rsidR="00AB3447" w:rsidRDefault="00AB3447" w:rsidP="0007171D">
      <w:pPr>
        <w:pStyle w:val="aff4"/>
        <w:rPr>
          <w:rFonts w:eastAsiaTheme="minorEastAsia" w:cstheme="minorBidi"/>
          <w:i/>
          <w:iCs/>
          <w:noProof/>
          <w:sz w:val="22"/>
          <w:szCs w:val="22"/>
          <w:rtl/>
        </w:rPr>
      </w:pPr>
      <w:r>
        <w:rPr>
          <w:noProof/>
          <w:rtl/>
        </w:rPr>
        <w:t>הביאור הג' ברמב"ן דבתבואה בקומתה סגי בקוצר וא"צ חודשים</w:t>
      </w:r>
    </w:p>
    <w:p w:rsidR="00AB3447" w:rsidRDefault="00AB3447" w:rsidP="007E4E81">
      <w:pPr>
        <w:pStyle w:val="a"/>
        <w:rPr>
          <w:rFonts w:eastAsiaTheme="minorEastAsia" w:cstheme="minorBidi"/>
          <w:sz w:val="22"/>
          <w:szCs w:val="22"/>
          <w:rtl/>
        </w:rPr>
      </w:pPr>
      <w:r>
        <w:rPr>
          <w:rtl/>
        </w:rPr>
        <w:t>דברי הרמב"ן דאפש"ל דחודשים הוא רבותא דמהני פירא רבא וזוטא וכ"ש בקוצר קמה בקומתה</w:t>
      </w:r>
    </w:p>
    <w:p w:rsidR="00AB3447" w:rsidRDefault="00AB3447" w:rsidP="00AB3447">
      <w:pPr>
        <w:pStyle w:val="2"/>
        <w:rPr>
          <w:rFonts w:eastAsiaTheme="minorEastAsia" w:cstheme="minorBidi"/>
          <w:i/>
          <w:iCs/>
          <w:sz w:val="22"/>
          <w:szCs w:val="22"/>
          <w:rtl/>
        </w:rPr>
      </w:pPr>
      <w:r>
        <w:rPr>
          <w:rtl/>
        </w:rPr>
        <w:t>דעת הסוברים דת"ק דמתני' ס"ל כר"י</w:t>
      </w:r>
    </w:p>
    <w:p w:rsidR="00AB3447" w:rsidRDefault="00AB3447" w:rsidP="0007171D">
      <w:pPr>
        <w:pStyle w:val="aff4"/>
        <w:rPr>
          <w:rFonts w:eastAsiaTheme="minorEastAsia" w:cstheme="minorBidi"/>
          <w:i/>
          <w:iCs/>
          <w:noProof/>
          <w:sz w:val="22"/>
          <w:szCs w:val="22"/>
          <w:rtl/>
        </w:rPr>
      </w:pPr>
      <w:r>
        <w:rPr>
          <w:noProof/>
          <w:rtl/>
        </w:rPr>
        <w:t>דעת רש"י ותוס' והרשב"ם דת"ק דמתני' כר"י ור"ע</w:t>
      </w:r>
    </w:p>
    <w:p w:rsidR="00AB3447" w:rsidRDefault="00AB3447" w:rsidP="007E4E81">
      <w:pPr>
        <w:pStyle w:val="a"/>
        <w:rPr>
          <w:rFonts w:eastAsiaTheme="minorEastAsia" w:cstheme="minorBidi"/>
          <w:sz w:val="22"/>
          <w:szCs w:val="22"/>
          <w:rtl/>
        </w:rPr>
      </w:pPr>
      <w:r>
        <w:rPr>
          <w:rtl/>
        </w:rPr>
        <w:t>דברי רש"י דבבית השלחין צריך ג"ש מיום ליום ובבית הבעל לר"י י"ח חודשים חשיב כג"ש</w:t>
      </w:r>
    </w:p>
    <w:p w:rsidR="00AB3447" w:rsidRDefault="00AB3447" w:rsidP="007E4E81">
      <w:pPr>
        <w:pStyle w:val="a"/>
        <w:rPr>
          <w:rFonts w:eastAsiaTheme="minorEastAsia" w:cstheme="minorBidi"/>
          <w:sz w:val="22"/>
          <w:szCs w:val="22"/>
          <w:rtl/>
        </w:rPr>
      </w:pPr>
      <w:r>
        <w:rPr>
          <w:rtl/>
        </w:rPr>
        <w:t>ביאורי הראשונים ברש"י דר"י ור"ע מפרשים את דברי ת"ק ולא פליגי וכן דעת התוס'</w:t>
      </w:r>
    </w:p>
    <w:p w:rsidR="00AB3447" w:rsidRDefault="00AB3447" w:rsidP="007E4E81">
      <w:pPr>
        <w:pStyle w:val="a"/>
        <w:rPr>
          <w:rFonts w:eastAsiaTheme="minorEastAsia" w:cstheme="minorBidi"/>
          <w:sz w:val="22"/>
          <w:szCs w:val="22"/>
          <w:rtl/>
        </w:rPr>
      </w:pPr>
      <w:r>
        <w:rPr>
          <w:rtl/>
        </w:rPr>
        <w:t>דברי הרשב"ם דר"ע ור"י ביארו את רישא דמתני' דשדה הבעל חזקתה ג"ש שאינם מיום ליום</w:t>
      </w:r>
    </w:p>
    <w:p w:rsidR="00AB3447" w:rsidRDefault="00AB3447" w:rsidP="007E4E81">
      <w:pPr>
        <w:pStyle w:val="a"/>
        <w:rPr>
          <w:rFonts w:eastAsiaTheme="minorEastAsia" w:cstheme="minorBidi"/>
          <w:sz w:val="22"/>
          <w:szCs w:val="22"/>
          <w:rtl/>
        </w:rPr>
      </w:pPr>
      <w:r>
        <w:rPr>
          <w:rtl/>
        </w:rPr>
        <w:t>דברי הרשב"ם דלרבנן בגמ' לקמן חזקת ג"ש מיום ליום דטעמא דחזקה דעד ג"ש נזהר בשטרו</w:t>
      </w:r>
    </w:p>
    <w:p w:rsidR="00AB3447" w:rsidRDefault="00AB3447" w:rsidP="007E4E81">
      <w:pPr>
        <w:pStyle w:val="a"/>
        <w:rPr>
          <w:rFonts w:eastAsiaTheme="minorEastAsia" w:cstheme="minorBidi"/>
          <w:sz w:val="22"/>
          <w:szCs w:val="22"/>
          <w:rtl/>
        </w:rPr>
      </w:pPr>
      <w:r>
        <w:rPr>
          <w:rtl/>
        </w:rPr>
        <w:t>דברי הריטב"א דמשמעות לשון המשנה וכן לשון הגמ' לקמן דת"ק כר"י ור"ע</w:t>
      </w:r>
    </w:p>
    <w:p w:rsidR="00AB3447" w:rsidRPr="006A329E" w:rsidRDefault="00AB3447" w:rsidP="007E4E81">
      <w:pPr>
        <w:pStyle w:val="a"/>
      </w:pPr>
      <w:r>
        <w:rPr>
          <w:rFonts w:hint="cs"/>
          <w:rtl/>
        </w:rPr>
        <w:t>ביאור הרשב"א ברש"י דהא דאיתא בגמ' לקמן דרבנן פליגי היינו רבנן דלקמן ולא לת"ק דמתני'</w:t>
      </w:r>
    </w:p>
    <w:p w:rsidR="00AB3447" w:rsidRDefault="00AB3447" w:rsidP="0007171D">
      <w:pPr>
        <w:pStyle w:val="aff4"/>
        <w:rPr>
          <w:rFonts w:eastAsiaTheme="minorEastAsia" w:cstheme="minorBidi"/>
          <w:i/>
          <w:iCs/>
          <w:noProof/>
          <w:sz w:val="22"/>
          <w:szCs w:val="22"/>
          <w:rtl/>
        </w:rPr>
      </w:pPr>
      <w:r>
        <w:rPr>
          <w:noProof/>
          <w:rtl/>
        </w:rPr>
        <w:t>ביאור הרשב"א ברש"י דלרבנן לעולם צריך ג"ש מחמת השטר</w:t>
      </w:r>
    </w:p>
    <w:p w:rsidR="00AB3447" w:rsidRDefault="00AB3447" w:rsidP="007E4E81">
      <w:pPr>
        <w:pStyle w:val="a"/>
        <w:rPr>
          <w:rFonts w:eastAsiaTheme="minorEastAsia" w:cstheme="minorBidi"/>
          <w:sz w:val="22"/>
          <w:szCs w:val="22"/>
          <w:rtl/>
        </w:rPr>
      </w:pPr>
      <w:r>
        <w:rPr>
          <w:rtl/>
        </w:rPr>
        <w:t>ביאור הרשב"א ברש"י דלא קיי"ל כת"ק דמתני' דלרבנן צריך ג"ש אף באינה עושה פירות תדיר</w:t>
      </w:r>
    </w:p>
    <w:p w:rsidR="00AB3447" w:rsidRDefault="00AB3447" w:rsidP="007E4E81">
      <w:pPr>
        <w:pStyle w:val="a"/>
        <w:rPr>
          <w:rFonts w:eastAsiaTheme="minorEastAsia" w:cstheme="minorBidi"/>
          <w:sz w:val="22"/>
          <w:szCs w:val="22"/>
          <w:rtl/>
        </w:rPr>
      </w:pPr>
      <w:r>
        <w:rPr>
          <w:rtl/>
        </w:rPr>
        <w:t>ביאור הרשב"א ברש"י דטעמא דחזקה דעד ג"ש נזהר בשטר היינו לרבנן לקמן אליבא דרב</w:t>
      </w:r>
    </w:p>
    <w:p w:rsidR="00AB3447" w:rsidRDefault="00AB3447" w:rsidP="0007171D">
      <w:pPr>
        <w:pStyle w:val="aff4"/>
        <w:rPr>
          <w:rFonts w:eastAsiaTheme="minorEastAsia" w:cstheme="minorBidi"/>
          <w:i/>
          <w:iCs/>
          <w:noProof/>
          <w:sz w:val="22"/>
          <w:szCs w:val="22"/>
          <w:rtl/>
        </w:rPr>
      </w:pPr>
      <w:r>
        <w:rPr>
          <w:noProof/>
          <w:rtl/>
        </w:rPr>
        <w:t>קושיות הראשונים על רש"י דלא משמע דת"ק כר"י</w:t>
      </w:r>
    </w:p>
    <w:p w:rsidR="00AB3447" w:rsidRDefault="00AB3447" w:rsidP="007E4E81">
      <w:pPr>
        <w:pStyle w:val="a"/>
        <w:rPr>
          <w:rFonts w:eastAsiaTheme="minorEastAsia" w:cstheme="minorBidi"/>
          <w:sz w:val="22"/>
          <w:szCs w:val="22"/>
          <w:rtl/>
        </w:rPr>
      </w:pPr>
      <w:r>
        <w:rPr>
          <w:rtl/>
        </w:rPr>
        <w:t>דברי הרשב"א דדוחק לומר דהגמ' מקשה מ"ט דרבנן לקמן וכתב הרשב"א דאפשר לדחוק</w:t>
      </w:r>
    </w:p>
    <w:p w:rsidR="00AB3447" w:rsidRDefault="00AB3447" w:rsidP="007E4E81">
      <w:pPr>
        <w:pStyle w:val="a"/>
        <w:rPr>
          <w:rFonts w:eastAsiaTheme="minorEastAsia" w:cstheme="minorBidi"/>
          <w:sz w:val="22"/>
          <w:szCs w:val="22"/>
          <w:rtl/>
        </w:rPr>
      </w:pPr>
      <w:r>
        <w:rPr>
          <w:rtl/>
        </w:rPr>
        <w:t>קושית הריטב"א על רש"י דהול"ל לר"י לומר דא"צ ג"ש אלא ג' אכילות ולהוסיף דהוי חזקה</w:t>
      </w:r>
    </w:p>
    <w:p w:rsidR="00AB3447" w:rsidRDefault="00AB3447" w:rsidP="007E4E81">
      <w:pPr>
        <w:pStyle w:val="a"/>
        <w:rPr>
          <w:rFonts w:eastAsiaTheme="minorEastAsia" w:cstheme="minorBidi"/>
          <w:sz w:val="22"/>
          <w:szCs w:val="22"/>
          <w:rtl/>
        </w:rPr>
      </w:pPr>
      <w:r>
        <w:rPr>
          <w:rtl/>
        </w:rPr>
        <w:t>קושית הרשב"א על רש"י דא"כ רב ושמואל פליגי בעיקר דין חזקה ומה מקשה הגמ' מאי בינייהו</w:t>
      </w:r>
    </w:p>
    <w:p w:rsidR="00AB3447" w:rsidRDefault="00AB3447" w:rsidP="00AB3447">
      <w:pPr>
        <w:pStyle w:val="2"/>
        <w:rPr>
          <w:rFonts w:eastAsiaTheme="minorEastAsia" w:cstheme="minorBidi"/>
          <w:i/>
          <w:iCs/>
          <w:sz w:val="22"/>
          <w:szCs w:val="22"/>
          <w:rtl/>
        </w:rPr>
      </w:pPr>
      <w:r>
        <w:rPr>
          <w:rtl/>
        </w:rPr>
        <w:t>דעת הסוברים דר"י פליג על ת"ק דמתני'</w:t>
      </w:r>
    </w:p>
    <w:p w:rsidR="00AB3447" w:rsidRDefault="00AB3447" w:rsidP="0007171D">
      <w:pPr>
        <w:pStyle w:val="aff4"/>
        <w:rPr>
          <w:rFonts w:eastAsiaTheme="minorEastAsia" w:cstheme="minorBidi"/>
          <w:i/>
          <w:iCs/>
          <w:noProof/>
          <w:sz w:val="22"/>
          <w:szCs w:val="22"/>
          <w:rtl/>
        </w:rPr>
      </w:pPr>
      <w:r>
        <w:rPr>
          <w:noProof/>
          <w:rtl/>
        </w:rPr>
        <w:t>דעת הרי"ף והרשב"א דקיי"ל כת"ק דמתני' דפליג על ר"י</w:t>
      </w:r>
    </w:p>
    <w:p w:rsidR="00AB3447" w:rsidRDefault="00AB3447" w:rsidP="007E4E81">
      <w:pPr>
        <w:pStyle w:val="a"/>
        <w:rPr>
          <w:rFonts w:eastAsiaTheme="minorEastAsia" w:cstheme="minorBidi"/>
          <w:sz w:val="22"/>
          <w:szCs w:val="22"/>
          <w:rtl/>
        </w:rPr>
      </w:pPr>
      <w:r>
        <w:rPr>
          <w:rtl/>
        </w:rPr>
        <w:t>ביאור הרשב"א ברי"ף דקיי"ל כרבנן דבאינה עושה פירות תדיר א"צ ג"ש מיום ליום וכשמואל</w:t>
      </w:r>
    </w:p>
    <w:p w:rsidR="00AB3447" w:rsidRDefault="00AB3447" w:rsidP="007E4E81">
      <w:pPr>
        <w:pStyle w:val="a"/>
        <w:rPr>
          <w:rFonts w:eastAsiaTheme="minorEastAsia" w:cstheme="minorBidi"/>
          <w:sz w:val="22"/>
          <w:szCs w:val="22"/>
          <w:rtl/>
        </w:rPr>
      </w:pPr>
      <w:r>
        <w:rPr>
          <w:rtl/>
        </w:rPr>
        <w:t>דברי הרשב"א והריטב"א דרבנן דרב ושמואל היינו ת"ק דמתני' דפליג על ר"י ור"ע</w:t>
      </w:r>
    </w:p>
    <w:p w:rsidR="00AB3447" w:rsidRDefault="00AB3447" w:rsidP="0007171D">
      <w:pPr>
        <w:pStyle w:val="aff4"/>
        <w:rPr>
          <w:rFonts w:eastAsiaTheme="minorEastAsia" w:cstheme="minorBidi"/>
          <w:i/>
          <w:iCs/>
          <w:noProof/>
          <w:sz w:val="22"/>
          <w:szCs w:val="22"/>
          <w:rtl/>
        </w:rPr>
      </w:pPr>
      <w:r>
        <w:rPr>
          <w:noProof/>
          <w:rtl/>
        </w:rPr>
        <w:t>ביאור הרשב"א דלת"ק צריך ג' אכילות של ג"ש</w:t>
      </w:r>
    </w:p>
    <w:p w:rsidR="00AB3447" w:rsidRDefault="00AB3447" w:rsidP="007E4E81">
      <w:pPr>
        <w:pStyle w:val="a"/>
        <w:rPr>
          <w:rFonts w:eastAsiaTheme="minorEastAsia" w:cstheme="minorBidi"/>
          <w:sz w:val="22"/>
          <w:szCs w:val="22"/>
          <w:rtl/>
        </w:rPr>
      </w:pPr>
      <w:r>
        <w:rPr>
          <w:rtl/>
        </w:rPr>
        <w:t>ביאור הרשב"א דלת"ק צריך ג"ש מהחרישה עד הכנסת הפירות כדרך הבעלים ולא בג' אכילות</w:t>
      </w:r>
    </w:p>
    <w:p w:rsidR="00AB3447" w:rsidRDefault="00AB3447" w:rsidP="0007171D">
      <w:pPr>
        <w:pStyle w:val="aff4"/>
        <w:rPr>
          <w:rFonts w:eastAsiaTheme="minorEastAsia" w:cstheme="minorBidi"/>
          <w:i/>
          <w:iCs/>
          <w:noProof/>
          <w:sz w:val="22"/>
          <w:szCs w:val="22"/>
          <w:rtl/>
        </w:rPr>
      </w:pPr>
      <w:r>
        <w:rPr>
          <w:noProof/>
          <w:rtl/>
        </w:rPr>
        <w:lastRenderedPageBreak/>
        <w:t>ביאור הרשב"א בפלוגתת רב ושמואל בדעת רבנן</w:t>
      </w:r>
    </w:p>
    <w:p w:rsidR="00AB3447" w:rsidRDefault="00AB3447" w:rsidP="007E4E81">
      <w:pPr>
        <w:pStyle w:val="a"/>
        <w:rPr>
          <w:rFonts w:eastAsiaTheme="minorEastAsia" w:cstheme="minorBidi"/>
          <w:sz w:val="22"/>
          <w:szCs w:val="22"/>
          <w:rtl/>
        </w:rPr>
      </w:pPr>
      <w:r>
        <w:rPr>
          <w:rtl/>
        </w:rPr>
        <w:t>דברי הרשב"א דבין לרב ובין לשמואל צריך ג' תבואות של ג"ש ולעבוד בה כל השנה כבעלים</w:t>
      </w:r>
    </w:p>
    <w:p w:rsidR="00AB3447" w:rsidRDefault="00AB3447" w:rsidP="007E4E81">
      <w:pPr>
        <w:pStyle w:val="a"/>
        <w:rPr>
          <w:rFonts w:eastAsiaTheme="minorEastAsia" w:cstheme="minorBidi"/>
          <w:sz w:val="22"/>
          <w:szCs w:val="22"/>
          <w:rtl/>
        </w:rPr>
      </w:pPr>
      <w:r>
        <w:rPr>
          <w:rtl/>
        </w:rPr>
        <w:t>ביאור הרשב"א דאינם מיום ליום דמתני' היינו שא"צ אכילת פירות תדיר אך צריך ג"ש</w:t>
      </w:r>
    </w:p>
    <w:p w:rsidR="00AB3447" w:rsidRDefault="00AB3447" w:rsidP="007E4E81">
      <w:pPr>
        <w:pStyle w:val="a"/>
        <w:rPr>
          <w:rFonts w:eastAsiaTheme="minorEastAsia" w:cstheme="minorBidi"/>
          <w:sz w:val="22"/>
          <w:szCs w:val="22"/>
          <w:rtl/>
        </w:rPr>
      </w:pPr>
      <w:r>
        <w:rPr>
          <w:rtl/>
        </w:rPr>
        <w:t>דברי ר"ח דלא קיי"ל כר"ע ור"י אלא כמתני' דצריך ג"ש מיום ליום ולאכול פירות גמורים בג"ש</w:t>
      </w:r>
    </w:p>
    <w:p w:rsidR="00AB3447" w:rsidRPr="00FF2239" w:rsidRDefault="00AB3447" w:rsidP="007E4E81">
      <w:pPr>
        <w:pStyle w:val="a"/>
        <w:rPr>
          <w:rFonts w:eastAsiaTheme="minorEastAsia" w:cstheme="minorBidi"/>
          <w:sz w:val="22"/>
          <w:szCs w:val="22"/>
        </w:rPr>
      </w:pPr>
      <w:r w:rsidRPr="00FF2239">
        <w:rPr>
          <w:rtl/>
        </w:rPr>
        <w:t xml:space="preserve">דברי הרשב"א דקושית הגמ' "לרבנן מאי" היינו לדעת ת"ק דמתני' </w:t>
      </w:r>
    </w:p>
    <w:p w:rsidR="00AB3447" w:rsidRDefault="00AB3447" w:rsidP="007E4E81">
      <w:pPr>
        <w:pStyle w:val="a"/>
        <w:rPr>
          <w:rFonts w:eastAsiaTheme="minorEastAsia" w:cstheme="minorBidi"/>
          <w:sz w:val="22"/>
          <w:szCs w:val="22"/>
          <w:rtl/>
        </w:rPr>
      </w:pPr>
      <w:r>
        <w:rPr>
          <w:rtl/>
        </w:rPr>
        <w:t>ביאור הרשב"א בנ"מ שבין רב לשמואל בדקל נערה דהוא אכילה משובחת ואינו כאספסתא</w:t>
      </w:r>
    </w:p>
    <w:p w:rsidR="00AB3447" w:rsidRDefault="00AB3447" w:rsidP="0007171D">
      <w:pPr>
        <w:pStyle w:val="aff4"/>
        <w:rPr>
          <w:rFonts w:eastAsiaTheme="minorEastAsia" w:cstheme="minorBidi"/>
          <w:i/>
          <w:iCs/>
          <w:noProof/>
          <w:sz w:val="22"/>
          <w:szCs w:val="22"/>
          <w:rtl/>
        </w:rPr>
      </w:pPr>
      <w:r>
        <w:rPr>
          <w:noProof/>
          <w:rtl/>
        </w:rPr>
        <w:t>דברי הרמב"ם בפיהמ"ש דקיי"ל כרישא דמתני' דצריך ג"ש</w:t>
      </w:r>
    </w:p>
    <w:p w:rsidR="00AB3447" w:rsidRDefault="00AB3447" w:rsidP="007E4E81">
      <w:pPr>
        <w:pStyle w:val="a"/>
        <w:rPr>
          <w:rFonts w:eastAsiaTheme="minorEastAsia" w:cstheme="minorBidi"/>
          <w:sz w:val="22"/>
          <w:szCs w:val="22"/>
          <w:rtl/>
        </w:rPr>
      </w:pPr>
      <w:r>
        <w:rPr>
          <w:rtl/>
        </w:rPr>
        <w:t>דברי הרמב"ם בפיהמ"ש דטעמא דחזקת ג"ש במתני' דנזהר בשטרו וקיי"ל כת"ק ברישא דמתני'</w:t>
      </w:r>
    </w:p>
    <w:p w:rsidR="00AB3447" w:rsidRDefault="00AB3447" w:rsidP="007E4E81">
      <w:pPr>
        <w:pStyle w:val="a"/>
        <w:rPr>
          <w:rFonts w:eastAsiaTheme="minorEastAsia" w:cstheme="minorBidi"/>
          <w:sz w:val="22"/>
          <w:szCs w:val="22"/>
          <w:rtl/>
        </w:rPr>
      </w:pPr>
      <w:r>
        <w:rPr>
          <w:rtl/>
        </w:rPr>
        <w:t>ביאור הנצי"ב ברמב"ם בפיהמ"ש דלת"ק צריך ג"ש אך א"צ לעבוד בהם ג"ש מיום ליום</w:t>
      </w:r>
    </w:p>
    <w:p w:rsidR="00AB3447" w:rsidRPr="00221D62" w:rsidRDefault="00AB3447" w:rsidP="0007171D">
      <w:pPr>
        <w:pStyle w:val="aff4"/>
        <w:rPr>
          <w:rFonts w:eastAsiaTheme="minorEastAsia" w:cstheme="minorBidi"/>
          <w:sz w:val="22"/>
          <w:szCs w:val="22"/>
        </w:rPr>
      </w:pPr>
      <w:r w:rsidRPr="00DA7954">
        <w:rPr>
          <w:rtl/>
        </w:rPr>
        <w:t xml:space="preserve">ביאור החת"ס בתוס' דרק לשמואל ת"ק דמתני' כרבי ישמעאל </w:t>
      </w:r>
    </w:p>
    <w:p w:rsidR="00AB3447" w:rsidRDefault="00AB3447" w:rsidP="007E4E81">
      <w:pPr>
        <w:pStyle w:val="a"/>
        <w:rPr>
          <w:rFonts w:eastAsiaTheme="minorEastAsia" w:cstheme="minorBidi"/>
          <w:sz w:val="22"/>
          <w:szCs w:val="22"/>
          <w:rtl/>
        </w:rPr>
      </w:pPr>
      <w:r>
        <w:rPr>
          <w:rtl/>
        </w:rPr>
        <w:t>ביאור החת"ס בתוס' דת"ק דמתני' כרבי ישמעאל לדעת שמואל דסגי בג' אכילות</w:t>
      </w:r>
    </w:p>
    <w:p w:rsidR="00AB3447" w:rsidRDefault="00AB3447" w:rsidP="007E4E81">
      <w:pPr>
        <w:pStyle w:val="a"/>
        <w:rPr>
          <w:rFonts w:eastAsiaTheme="minorEastAsia" w:cstheme="minorBidi"/>
          <w:sz w:val="22"/>
          <w:szCs w:val="22"/>
          <w:rtl/>
        </w:rPr>
      </w:pPr>
      <w:r>
        <w:rPr>
          <w:rtl/>
        </w:rPr>
        <w:t>ביאור החת"ס בתוס' דלרב דלרבנן ג"ש מיום ליום ת"ק דמתני' כרבנן ור"י פליג בבית השלחין</w:t>
      </w:r>
    </w:p>
    <w:p w:rsidR="00AB3447" w:rsidRDefault="00AB3447" w:rsidP="00AB3447">
      <w:pPr>
        <w:pStyle w:val="2"/>
        <w:rPr>
          <w:rFonts w:eastAsiaTheme="minorEastAsia" w:cstheme="minorBidi"/>
          <w:i/>
          <w:iCs/>
          <w:sz w:val="22"/>
          <w:szCs w:val="22"/>
          <w:rtl/>
        </w:rPr>
      </w:pPr>
      <w:r>
        <w:rPr>
          <w:rtl/>
        </w:rPr>
        <w:t>בדין שדה העומדת לאספסתא לרבנן</w:t>
      </w:r>
    </w:p>
    <w:p w:rsidR="00AB3447" w:rsidRDefault="00AB3447" w:rsidP="0007171D">
      <w:pPr>
        <w:pStyle w:val="aff4"/>
        <w:rPr>
          <w:rFonts w:eastAsiaTheme="minorEastAsia" w:cstheme="minorBidi"/>
          <w:i/>
          <w:iCs/>
          <w:noProof/>
          <w:sz w:val="22"/>
          <w:szCs w:val="22"/>
          <w:rtl/>
        </w:rPr>
      </w:pPr>
      <w:r>
        <w:rPr>
          <w:noProof/>
          <w:rtl/>
        </w:rPr>
        <w:t>דברי הרשב"א דלרבנן בעומדת לאספסתא ג' אכילות בג"ש</w:t>
      </w:r>
    </w:p>
    <w:p w:rsidR="00AB3447" w:rsidRDefault="00AB3447" w:rsidP="007E4E81">
      <w:pPr>
        <w:pStyle w:val="a"/>
        <w:rPr>
          <w:rFonts w:eastAsiaTheme="minorEastAsia" w:cstheme="minorBidi"/>
          <w:sz w:val="22"/>
          <w:szCs w:val="22"/>
          <w:rtl/>
        </w:rPr>
      </w:pPr>
      <w:r>
        <w:rPr>
          <w:rtl/>
        </w:rPr>
        <w:t>דברי הרשב"א והריטב"א דלרבנן בשדה העומדת לאספסתא סגי בג' אכילות של ג"ש</w:t>
      </w:r>
    </w:p>
    <w:p w:rsidR="00AB3447" w:rsidRDefault="00AB3447" w:rsidP="007E4E81">
      <w:pPr>
        <w:pStyle w:val="a"/>
        <w:rPr>
          <w:rFonts w:eastAsiaTheme="minorEastAsia" w:cstheme="minorBidi"/>
          <w:sz w:val="22"/>
          <w:szCs w:val="22"/>
          <w:rtl/>
        </w:rPr>
      </w:pPr>
      <w:r>
        <w:rPr>
          <w:rtl/>
        </w:rPr>
        <w:t>דברי הרשב"א והריטב"א דלרבנן דטעמא דחזקה דעד ג"ש נזהר בשטרו לעולם צריך ג"ש</w:t>
      </w:r>
    </w:p>
    <w:p w:rsidR="00AB3447" w:rsidRDefault="00AB3447" w:rsidP="007E4E81">
      <w:pPr>
        <w:pStyle w:val="a"/>
        <w:rPr>
          <w:rFonts w:eastAsiaTheme="minorEastAsia" w:cstheme="minorBidi"/>
          <w:sz w:val="22"/>
          <w:szCs w:val="22"/>
          <w:rtl/>
        </w:rPr>
      </w:pPr>
      <w:r>
        <w:rPr>
          <w:rtl/>
        </w:rPr>
        <w:t>דברי הרשב"א דא"א לומר דצריך לזרוע בכל חודש דא"כ הוא בית השלחין ולכו"ע צריך ג"ש</w:t>
      </w:r>
    </w:p>
    <w:p w:rsidR="00AB3447" w:rsidRDefault="00AB3447" w:rsidP="007E4E81">
      <w:pPr>
        <w:pStyle w:val="a"/>
        <w:rPr>
          <w:rFonts w:eastAsiaTheme="minorEastAsia" w:cstheme="minorBidi"/>
          <w:sz w:val="22"/>
          <w:szCs w:val="22"/>
          <w:rtl/>
        </w:rPr>
      </w:pPr>
      <w:r>
        <w:rPr>
          <w:rtl/>
        </w:rPr>
        <w:t>ביאור הרשב"א דעומדת לאספסתא היא כחושה וחזקתה במה שזורעה פעם אחת ומוביר בשאר</w:t>
      </w:r>
    </w:p>
    <w:p w:rsidR="00AB3447" w:rsidRDefault="00AB3447" w:rsidP="0007171D">
      <w:pPr>
        <w:pStyle w:val="aff4"/>
        <w:rPr>
          <w:rFonts w:eastAsiaTheme="minorEastAsia" w:cstheme="minorBidi"/>
          <w:i/>
          <w:iCs/>
          <w:noProof/>
          <w:sz w:val="22"/>
          <w:szCs w:val="22"/>
          <w:rtl/>
        </w:rPr>
      </w:pPr>
      <w:r>
        <w:rPr>
          <w:noProof/>
          <w:rtl/>
        </w:rPr>
        <w:t>דעת הי"א בריטב"א דלרבנן בשדה אספסתא צריך ג' תבואות</w:t>
      </w:r>
    </w:p>
    <w:p w:rsidR="00AB3447" w:rsidRDefault="00AB3447" w:rsidP="007E4E81">
      <w:pPr>
        <w:pStyle w:val="a"/>
        <w:rPr>
          <w:rFonts w:eastAsiaTheme="minorEastAsia" w:cstheme="minorBidi"/>
          <w:sz w:val="22"/>
          <w:szCs w:val="22"/>
          <w:rtl/>
        </w:rPr>
      </w:pPr>
      <w:r>
        <w:rPr>
          <w:rtl/>
        </w:rPr>
        <w:t>דעת הי"א בריטב"א דלרבנן בשדה אספסתא צריך ג' תבואות גדולות דעד ג"ש נזהר בשטרו</w:t>
      </w:r>
    </w:p>
    <w:p w:rsidR="00AB3447" w:rsidRDefault="00AB3447" w:rsidP="00AB3447">
      <w:pPr>
        <w:pStyle w:val="2"/>
        <w:rPr>
          <w:rFonts w:eastAsiaTheme="minorEastAsia" w:cstheme="minorBidi"/>
          <w:i/>
          <w:iCs/>
          <w:sz w:val="22"/>
          <w:szCs w:val="22"/>
          <w:rtl/>
        </w:rPr>
      </w:pPr>
      <w:r>
        <w:rPr>
          <w:rtl/>
        </w:rPr>
        <w:t>בגדר חזקת ג"ש לרב ולשמואל</w:t>
      </w:r>
    </w:p>
    <w:p w:rsidR="00AB3447" w:rsidRDefault="00AB3447" w:rsidP="0007171D">
      <w:pPr>
        <w:pStyle w:val="aff4"/>
        <w:rPr>
          <w:rFonts w:eastAsiaTheme="minorEastAsia" w:cstheme="minorBidi"/>
          <w:i/>
          <w:iCs/>
          <w:noProof/>
          <w:sz w:val="22"/>
          <w:szCs w:val="22"/>
          <w:rtl/>
        </w:rPr>
      </w:pPr>
      <w:r>
        <w:rPr>
          <w:noProof/>
          <w:rtl/>
        </w:rPr>
        <w:t>ביאור הרשב"ם ורבינו יונה דלרב ולשמואל צריך ג"ש שלימות</w:t>
      </w:r>
    </w:p>
    <w:p w:rsidR="00AB3447" w:rsidRDefault="00AB3447" w:rsidP="007E4E81">
      <w:pPr>
        <w:pStyle w:val="a"/>
        <w:rPr>
          <w:rFonts w:eastAsiaTheme="minorEastAsia" w:cstheme="minorBidi"/>
          <w:sz w:val="22"/>
          <w:szCs w:val="22"/>
          <w:rtl/>
        </w:rPr>
      </w:pPr>
      <w:r>
        <w:rPr>
          <w:rtl/>
        </w:rPr>
        <w:t>ביאור הרשב"ם בקושית הגמ' על רב ושמואל דמאי בינייהו דלרב ולשמואל צריך ג"ש שלימות</w:t>
      </w:r>
    </w:p>
    <w:p w:rsidR="00AB3447" w:rsidRDefault="00AB3447" w:rsidP="007E4E81">
      <w:pPr>
        <w:pStyle w:val="a"/>
        <w:rPr>
          <w:rFonts w:eastAsiaTheme="minorEastAsia" w:cstheme="minorBidi"/>
          <w:sz w:val="22"/>
          <w:szCs w:val="22"/>
          <w:rtl/>
        </w:rPr>
      </w:pPr>
      <w:r>
        <w:rPr>
          <w:rtl/>
        </w:rPr>
        <w:t>דברי רבינו יונה לאף לשמואל צריך ג"ש שלימות ולא מקוטעות דאל"ה זו הנ"מ בין רב לשמואל</w:t>
      </w:r>
    </w:p>
    <w:p w:rsidR="00AB3447" w:rsidRDefault="00AB3447" w:rsidP="007E4E81">
      <w:pPr>
        <w:pStyle w:val="a"/>
        <w:rPr>
          <w:rFonts w:eastAsiaTheme="minorEastAsia" w:cstheme="minorBidi"/>
          <w:sz w:val="22"/>
          <w:szCs w:val="22"/>
          <w:rtl/>
        </w:rPr>
      </w:pPr>
      <w:r>
        <w:rPr>
          <w:rtl/>
        </w:rPr>
        <w:t>ביאור רבינו יונה דפשיטא דשמואל כרבנן ולא יליף משור המועד דהצריך ג' אכילות מאותו מין</w:t>
      </w:r>
    </w:p>
    <w:p w:rsidR="00AB3447" w:rsidRDefault="00AB3447" w:rsidP="007E4E81">
      <w:pPr>
        <w:pStyle w:val="a"/>
        <w:rPr>
          <w:rFonts w:eastAsiaTheme="minorEastAsia" w:cstheme="minorBidi"/>
          <w:sz w:val="22"/>
          <w:szCs w:val="22"/>
          <w:rtl/>
        </w:rPr>
      </w:pPr>
      <w:r>
        <w:rPr>
          <w:rtl/>
        </w:rPr>
        <w:t>דברי רבינו יונה דלשמואל טעמא דחזקה הוא דעד ג"ש נזהר בשטרו ולעולם צריך ג"ש שלימות</w:t>
      </w:r>
    </w:p>
    <w:p w:rsidR="00AB3447" w:rsidRDefault="00AB3447" w:rsidP="007E4E81">
      <w:pPr>
        <w:pStyle w:val="a"/>
        <w:rPr>
          <w:rFonts w:eastAsiaTheme="minorEastAsia" w:cstheme="minorBidi"/>
          <w:sz w:val="22"/>
          <w:szCs w:val="22"/>
          <w:rtl/>
        </w:rPr>
      </w:pPr>
      <w:r>
        <w:rPr>
          <w:rtl/>
        </w:rPr>
        <w:t>דברי רבינו יונה דלרבנן אין חילוק בין עושה פירות תדיר לאינו עושה ודלא כת"ק דמתני'</w:t>
      </w:r>
    </w:p>
    <w:p w:rsidR="00BC6C1A" w:rsidRPr="00BC6C1A" w:rsidRDefault="00AB3447" w:rsidP="007E4E81">
      <w:pPr>
        <w:pStyle w:val="a"/>
        <w:rPr>
          <w:rFonts w:eastAsiaTheme="minorEastAsia" w:cstheme="minorBidi"/>
          <w:sz w:val="22"/>
          <w:szCs w:val="22"/>
        </w:rPr>
      </w:pPr>
      <w:r>
        <w:rPr>
          <w:rtl/>
        </w:rPr>
        <w:t>דברי רבינו יונה דת"ק דמתני' יליף משור המועד כר"י ורק בעושה פירות תדיר צריך ג"ש שלימות</w:t>
      </w:r>
    </w:p>
    <w:p w:rsidR="00BC6C1A" w:rsidRDefault="00BC6C1A" w:rsidP="007E4E81">
      <w:pPr>
        <w:pStyle w:val="a"/>
        <w:numPr>
          <w:ilvl w:val="0"/>
          <w:numId w:val="0"/>
        </w:numPr>
        <w:rPr>
          <w:rtl/>
        </w:rPr>
      </w:pPr>
    </w:p>
    <w:p w:rsidR="00BC6C1A" w:rsidRPr="00BC6C1A" w:rsidRDefault="00BC6C1A" w:rsidP="007E4E81">
      <w:pPr>
        <w:pStyle w:val="a"/>
        <w:numPr>
          <w:ilvl w:val="0"/>
          <w:numId w:val="0"/>
        </w:numPr>
        <w:rPr>
          <w:rtl/>
        </w:rPr>
      </w:pPr>
    </w:p>
    <w:p w:rsidR="00AB3447" w:rsidRDefault="00AB3447" w:rsidP="0007171D">
      <w:pPr>
        <w:pStyle w:val="aff4"/>
        <w:rPr>
          <w:rFonts w:eastAsiaTheme="minorEastAsia" w:cstheme="minorBidi"/>
          <w:i/>
          <w:iCs/>
          <w:noProof/>
          <w:sz w:val="22"/>
          <w:szCs w:val="22"/>
          <w:rtl/>
        </w:rPr>
      </w:pPr>
      <w:r>
        <w:rPr>
          <w:noProof/>
          <w:rtl/>
        </w:rPr>
        <w:t>ביאורי הרשב"ם והר"ח בדקל נערה</w:t>
      </w:r>
    </w:p>
    <w:p w:rsidR="00AB3447" w:rsidRDefault="00AB3447" w:rsidP="007E4E81">
      <w:pPr>
        <w:pStyle w:val="a"/>
        <w:rPr>
          <w:rFonts w:eastAsiaTheme="minorEastAsia" w:cstheme="minorBidi"/>
          <w:sz w:val="22"/>
          <w:szCs w:val="22"/>
          <w:rtl/>
        </w:rPr>
      </w:pPr>
      <w:r>
        <w:rPr>
          <w:rtl/>
        </w:rPr>
        <w:t>ביאור הרשב"ם דדקל נערה היינו שמוציא ג' פירות בפחות מג"ש שלימות</w:t>
      </w:r>
    </w:p>
    <w:p w:rsidR="00AB3447" w:rsidRDefault="00AB3447" w:rsidP="007E4E81">
      <w:pPr>
        <w:pStyle w:val="a"/>
        <w:rPr>
          <w:rFonts w:eastAsiaTheme="minorEastAsia" w:cstheme="minorBidi"/>
          <w:sz w:val="22"/>
          <w:szCs w:val="22"/>
          <w:rtl/>
        </w:rPr>
      </w:pPr>
      <w:r>
        <w:rPr>
          <w:rtl/>
        </w:rPr>
        <w:t>ביאורי הר"ח דדקל נערה משיר פירותיו ואינו גומרם או שהוא מוציא ב' פירות בשנה אחת</w:t>
      </w:r>
    </w:p>
    <w:p w:rsidR="00AB3447" w:rsidRDefault="00AB3447" w:rsidP="007E4E81">
      <w:pPr>
        <w:pStyle w:val="a"/>
        <w:rPr>
          <w:rFonts w:eastAsiaTheme="minorEastAsia" w:cstheme="minorBidi"/>
          <w:sz w:val="22"/>
          <w:szCs w:val="22"/>
          <w:rtl/>
        </w:rPr>
      </w:pPr>
      <w:r>
        <w:rPr>
          <w:rtl/>
        </w:rPr>
        <w:t>קושית הרמב"ן על הביאור הב' בר"ח דלשמואל לא סגי בג' אכילות וצריך ג' אכילות של ג"ש</w:t>
      </w:r>
    </w:p>
    <w:p w:rsidR="00AB3447" w:rsidRDefault="00AB3447" w:rsidP="0007171D">
      <w:pPr>
        <w:pStyle w:val="aff4"/>
        <w:rPr>
          <w:rFonts w:eastAsiaTheme="minorEastAsia" w:cstheme="minorBidi"/>
          <w:i/>
          <w:iCs/>
          <w:noProof/>
          <w:sz w:val="22"/>
          <w:szCs w:val="22"/>
          <w:rtl/>
        </w:rPr>
      </w:pPr>
      <w:r w:rsidRPr="00221D62">
        <w:rPr>
          <w:noProof/>
          <w:rtl/>
        </w:rPr>
        <w:t>ביאור הרמב"ן ברשב"ם דצריך ג"ש שלימות מחמת השטר</w:t>
      </w:r>
    </w:p>
    <w:p w:rsidR="00AB3447" w:rsidRDefault="00AB3447" w:rsidP="007E4E81">
      <w:pPr>
        <w:pStyle w:val="a"/>
        <w:rPr>
          <w:rFonts w:eastAsiaTheme="minorEastAsia" w:cstheme="minorBidi"/>
          <w:sz w:val="22"/>
          <w:szCs w:val="22"/>
          <w:rtl/>
        </w:rPr>
      </w:pPr>
      <w:r>
        <w:rPr>
          <w:rtl/>
        </w:rPr>
        <w:t>ביאור הרמב"ן ברשב"ם דטעמא דחזקה לרבנן דנזהר בשטרו וצריך ג"ש שלימות לרב ולשמואל</w:t>
      </w:r>
    </w:p>
    <w:p w:rsidR="00AB3447" w:rsidRDefault="00AB3447" w:rsidP="007E4E81">
      <w:pPr>
        <w:pStyle w:val="a"/>
        <w:rPr>
          <w:rFonts w:eastAsiaTheme="minorEastAsia" w:cstheme="minorBidi"/>
          <w:sz w:val="22"/>
          <w:szCs w:val="22"/>
          <w:rtl/>
        </w:rPr>
      </w:pPr>
      <w:r>
        <w:rPr>
          <w:rtl/>
        </w:rPr>
        <w:t>דחיית הרמב"ן דאף אי לרב צריך ג"ש שלימות קשה דאמאי ל"מ חזקה במפוזרות וכדומה</w:t>
      </w:r>
    </w:p>
    <w:p w:rsidR="00AB3447" w:rsidRDefault="00AB3447" w:rsidP="0007171D">
      <w:pPr>
        <w:pStyle w:val="aff4"/>
        <w:rPr>
          <w:rFonts w:eastAsiaTheme="minorEastAsia" w:cstheme="minorBidi"/>
          <w:i/>
          <w:iCs/>
          <w:noProof/>
          <w:sz w:val="22"/>
          <w:szCs w:val="22"/>
          <w:rtl/>
        </w:rPr>
      </w:pPr>
      <w:r>
        <w:rPr>
          <w:noProof/>
          <w:rtl/>
        </w:rPr>
        <w:t>דברי הרמב"ן דכל שמשתמש כדרך בעלים א"צ להזהר בשטרו</w:t>
      </w:r>
    </w:p>
    <w:p w:rsidR="00AB3447" w:rsidRDefault="00AB3447" w:rsidP="007E4E81">
      <w:pPr>
        <w:pStyle w:val="a"/>
        <w:rPr>
          <w:rFonts w:eastAsiaTheme="minorEastAsia" w:cstheme="minorBidi"/>
          <w:sz w:val="22"/>
          <w:szCs w:val="22"/>
          <w:rtl/>
        </w:rPr>
      </w:pPr>
      <w:r>
        <w:rPr>
          <w:rtl/>
        </w:rPr>
        <w:t>ביאור הרמב"ן דטעמא דחזקה דכל שמשתמש כדרך הבעלים ואין ערער אינו נזהר בשטרו</w:t>
      </w:r>
    </w:p>
    <w:p w:rsidR="00AB3447" w:rsidRDefault="00AB3447" w:rsidP="0007171D">
      <w:pPr>
        <w:pStyle w:val="aff4"/>
        <w:rPr>
          <w:rFonts w:eastAsiaTheme="minorEastAsia" w:cstheme="minorBidi"/>
          <w:i/>
          <w:iCs/>
          <w:noProof/>
          <w:sz w:val="22"/>
          <w:szCs w:val="22"/>
          <w:rtl/>
        </w:rPr>
      </w:pPr>
      <w:r>
        <w:rPr>
          <w:noProof/>
          <w:rtl/>
        </w:rPr>
        <w:t>ביאור הרמב"ן דקיי"ל כשמואל דסגי באכילות להקל ולהחמיר</w:t>
      </w:r>
    </w:p>
    <w:p w:rsidR="00AB3447" w:rsidRDefault="00AB3447" w:rsidP="007E4E81">
      <w:pPr>
        <w:pStyle w:val="a"/>
        <w:rPr>
          <w:rFonts w:eastAsiaTheme="minorEastAsia" w:cstheme="minorBidi"/>
          <w:sz w:val="22"/>
          <w:szCs w:val="22"/>
          <w:rtl/>
        </w:rPr>
      </w:pPr>
      <w:r>
        <w:rPr>
          <w:rtl/>
        </w:rPr>
        <w:t>ביאור הרמב"ן ברי"ף דלשמואל אזלינן בתר אכילות בין להקל ובין להחמיר וא"צ ג"ש שלימות</w:t>
      </w:r>
    </w:p>
    <w:p w:rsidR="00AB3447" w:rsidRDefault="001B6519" w:rsidP="00AB3447">
      <w:pPr>
        <w:pStyle w:val="2"/>
        <w:rPr>
          <w:rFonts w:eastAsiaTheme="minorEastAsia" w:cstheme="minorBidi"/>
          <w:i/>
          <w:iCs/>
          <w:sz w:val="22"/>
          <w:szCs w:val="22"/>
          <w:rtl/>
        </w:rPr>
      </w:pPr>
      <w:r>
        <w:rPr>
          <w:rtl/>
        </w:rPr>
        <w:t>~~~~~~~ ביאורי ראשי הישיבות ~~~~~~~</w:t>
      </w:r>
    </w:p>
    <w:p w:rsidR="00AB3447" w:rsidRDefault="00AB3447" w:rsidP="00AB3447">
      <w:pPr>
        <w:pStyle w:val="2"/>
        <w:rPr>
          <w:rFonts w:eastAsiaTheme="minorEastAsia" w:cstheme="minorBidi"/>
          <w:i/>
          <w:iCs/>
          <w:sz w:val="22"/>
          <w:szCs w:val="22"/>
          <w:rtl/>
        </w:rPr>
      </w:pPr>
      <w:r>
        <w:rPr>
          <w:rtl/>
        </w:rPr>
        <w:t>בביאור פירות תדיר ב</w:t>
      </w:r>
      <w:r w:rsidRPr="000B3E68">
        <w:rPr>
          <w:rtl/>
        </w:rPr>
        <w:t>בית הבד</w:t>
      </w:r>
      <w:r w:rsidRPr="000B3E68">
        <w:rPr>
          <w:rFonts w:hint="cs"/>
          <w:rtl/>
        </w:rPr>
        <w:t>ים</w:t>
      </w:r>
    </w:p>
    <w:p w:rsidR="00AB3447" w:rsidRDefault="00AB3447" w:rsidP="0007171D">
      <w:pPr>
        <w:pStyle w:val="aff4"/>
        <w:rPr>
          <w:rFonts w:eastAsiaTheme="minorEastAsia" w:cstheme="minorBidi"/>
          <w:i/>
          <w:iCs/>
          <w:noProof/>
          <w:sz w:val="22"/>
          <w:szCs w:val="22"/>
          <w:rtl/>
        </w:rPr>
      </w:pPr>
      <w:r>
        <w:rPr>
          <w:noProof/>
          <w:rtl/>
        </w:rPr>
        <w:t>קושית הקוב"ש על תוס' דבבית הבד יטען המחזיק שהוא מהרוב</w:t>
      </w:r>
    </w:p>
    <w:p w:rsidR="00AB3447" w:rsidRDefault="00AB3447" w:rsidP="007E4E81">
      <w:pPr>
        <w:pStyle w:val="a"/>
        <w:rPr>
          <w:rFonts w:eastAsiaTheme="minorEastAsia" w:cstheme="minorBidi"/>
          <w:sz w:val="22"/>
          <w:szCs w:val="22"/>
          <w:rtl/>
        </w:rPr>
      </w:pPr>
      <w:r>
        <w:rPr>
          <w:rtl/>
        </w:rPr>
        <w:t>קושית הקוב"ש על התוס' דלמ"ד דאין הולכין בממון אחר הרוב יטען המחזיק שהוא מהמיעוט</w:t>
      </w:r>
    </w:p>
    <w:p w:rsidR="00AB3447" w:rsidRDefault="00AB3447" w:rsidP="007E4E81">
      <w:pPr>
        <w:pStyle w:val="a"/>
        <w:rPr>
          <w:rFonts w:eastAsiaTheme="minorEastAsia" w:cstheme="minorBidi"/>
          <w:sz w:val="22"/>
          <w:szCs w:val="22"/>
          <w:rtl/>
        </w:rPr>
      </w:pPr>
      <w:r>
        <w:rPr>
          <w:rtl/>
        </w:rPr>
        <w:t>ביאור הגרנ"פ דכוונת התוס' דבכל בית הבד משתמשים כל השנה לצורך המיעוט</w:t>
      </w:r>
    </w:p>
    <w:p w:rsidR="00AB3447" w:rsidRDefault="00AB3447" w:rsidP="00AB3447">
      <w:pPr>
        <w:pStyle w:val="2"/>
        <w:rPr>
          <w:rFonts w:eastAsiaTheme="minorEastAsia" w:cstheme="minorBidi"/>
          <w:i/>
          <w:iCs/>
          <w:sz w:val="22"/>
          <w:szCs w:val="22"/>
          <w:rtl/>
        </w:rPr>
      </w:pPr>
      <w:r>
        <w:rPr>
          <w:rtl/>
        </w:rPr>
        <w:t>בגדר החזקה באכילת כל הפירות בג"ש</w:t>
      </w:r>
    </w:p>
    <w:p w:rsidR="00AB3447" w:rsidRDefault="00AB3447" w:rsidP="0007171D">
      <w:pPr>
        <w:pStyle w:val="aff4"/>
        <w:rPr>
          <w:rFonts w:eastAsiaTheme="minorEastAsia" w:cstheme="minorBidi"/>
          <w:i/>
          <w:iCs/>
          <w:noProof/>
          <w:sz w:val="22"/>
          <w:szCs w:val="22"/>
          <w:rtl/>
        </w:rPr>
      </w:pPr>
      <w:r>
        <w:rPr>
          <w:noProof/>
          <w:rtl/>
        </w:rPr>
        <w:t>ביאור הגרנ"פ ברש"י דאכילת כל הפירות היא עצם החזקה</w:t>
      </w:r>
    </w:p>
    <w:p w:rsidR="00AB3447" w:rsidRDefault="00AB3447" w:rsidP="007E4E81">
      <w:pPr>
        <w:pStyle w:val="a"/>
        <w:rPr>
          <w:rFonts w:eastAsiaTheme="minorEastAsia" w:cstheme="minorBidi"/>
          <w:sz w:val="22"/>
          <w:szCs w:val="22"/>
          <w:rtl/>
        </w:rPr>
      </w:pPr>
      <w:r>
        <w:rPr>
          <w:rtl/>
        </w:rPr>
        <w:t>ביאור הגרנ"פ ברש"י דעצם החזקה היא שאוכל את הפירות של כל הג"ש וזמנה ג"ש מיום ליום</w:t>
      </w:r>
    </w:p>
    <w:p w:rsidR="00AB3447" w:rsidRDefault="00AB3447" w:rsidP="0007171D">
      <w:pPr>
        <w:pStyle w:val="aff4"/>
        <w:rPr>
          <w:rFonts w:eastAsiaTheme="minorEastAsia" w:cstheme="minorBidi"/>
          <w:i/>
          <w:iCs/>
          <w:noProof/>
          <w:sz w:val="22"/>
          <w:szCs w:val="22"/>
          <w:rtl/>
        </w:rPr>
      </w:pPr>
      <w:r>
        <w:rPr>
          <w:noProof/>
          <w:rtl/>
        </w:rPr>
        <w:t>ביאור הגרנ"פ ברבינו גרשום דאכילת הפירות היא לצורך הטענה</w:t>
      </w:r>
    </w:p>
    <w:p w:rsidR="00AB3447" w:rsidRDefault="00AB3447" w:rsidP="007E4E81">
      <w:pPr>
        <w:pStyle w:val="a"/>
        <w:rPr>
          <w:rFonts w:eastAsiaTheme="minorEastAsia" w:cstheme="minorBidi"/>
          <w:sz w:val="22"/>
          <w:szCs w:val="22"/>
          <w:rtl/>
        </w:rPr>
      </w:pPr>
      <w:r>
        <w:rPr>
          <w:rtl/>
        </w:rPr>
        <w:t>ביאור הגרנ"פ ברבינו גרשום דאכילת כל הפירות אינה החזקה אלא בכדי לסתור טענת המערער</w:t>
      </w:r>
    </w:p>
    <w:p w:rsidR="00AB3447" w:rsidRDefault="00AB3447" w:rsidP="0007171D">
      <w:pPr>
        <w:pStyle w:val="aff4"/>
        <w:rPr>
          <w:rFonts w:eastAsiaTheme="minorEastAsia" w:cstheme="minorBidi"/>
          <w:i/>
          <w:iCs/>
          <w:noProof/>
          <w:sz w:val="22"/>
          <w:szCs w:val="22"/>
          <w:rtl/>
        </w:rPr>
      </w:pPr>
      <w:r>
        <w:rPr>
          <w:noProof/>
          <w:rtl/>
        </w:rPr>
        <w:t>ביאור הגרנ"פ בפלוגתת רש"י והרי"ף בדעת ת"ק דמתני'</w:t>
      </w:r>
    </w:p>
    <w:p w:rsidR="00AB3447" w:rsidRDefault="00AB3447" w:rsidP="007E4E81">
      <w:pPr>
        <w:pStyle w:val="a"/>
        <w:rPr>
          <w:rFonts w:eastAsiaTheme="minorEastAsia" w:cstheme="minorBidi"/>
          <w:sz w:val="22"/>
          <w:szCs w:val="22"/>
          <w:rtl/>
        </w:rPr>
      </w:pPr>
      <w:r>
        <w:rPr>
          <w:rtl/>
        </w:rPr>
        <w:t>דברי הגרנ"פ דלרבינו גרשום מוכח כהרי"ף דהא דתנן דשדה הבעל א"צ ג"ש היינו לרבנן</w:t>
      </w:r>
    </w:p>
    <w:p w:rsidR="00AB3447" w:rsidRDefault="00AB3447" w:rsidP="007E4E81">
      <w:pPr>
        <w:pStyle w:val="a"/>
        <w:rPr>
          <w:rFonts w:eastAsiaTheme="minorEastAsia" w:cstheme="minorBidi"/>
          <w:sz w:val="22"/>
          <w:szCs w:val="22"/>
          <w:rtl/>
        </w:rPr>
      </w:pPr>
      <w:r>
        <w:rPr>
          <w:rtl/>
        </w:rPr>
        <w:t>דברי הגרנ"פ דלרש"י דאכילת כל הפירות היא עצם החזקה א"א לומר דת"ק דמתני' כרבנן</w:t>
      </w:r>
    </w:p>
    <w:p w:rsidR="00AB3447" w:rsidRPr="005F3B97" w:rsidRDefault="00AB3447" w:rsidP="00AB3447">
      <w:pPr>
        <w:pStyle w:val="2"/>
        <w:rPr>
          <w:rtl/>
        </w:rPr>
      </w:pPr>
      <w:r w:rsidRPr="005F3B97">
        <w:rPr>
          <w:rtl/>
        </w:rPr>
        <w:t>בביאור הראיה בחזקה לרבי ישמעאל</w:t>
      </w:r>
    </w:p>
    <w:p w:rsidR="00AB3447" w:rsidRPr="005F3B97" w:rsidRDefault="00AB3447" w:rsidP="0007171D">
      <w:pPr>
        <w:pStyle w:val="aff4"/>
        <w:rPr>
          <w:rFonts w:eastAsiaTheme="minorEastAsia" w:cstheme="minorBidi"/>
          <w:sz w:val="22"/>
          <w:szCs w:val="22"/>
        </w:rPr>
      </w:pPr>
      <w:r w:rsidRPr="005F3B97">
        <w:rPr>
          <w:rtl/>
        </w:rPr>
        <w:t>ביאור הגרנ"פ ברש"י דלר"י בג"ש יוצא מהמר"ק ומהני הראיה</w:t>
      </w:r>
    </w:p>
    <w:p w:rsidR="00AB3447" w:rsidRDefault="00AB3447" w:rsidP="007E4E81">
      <w:pPr>
        <w:pStyle w:val="a"/>
        <w:rPr>
          <w:rFonts w:eastAsiaTheme="minorEastAsia" w:cstheme="minorBidi"/>
          <w:sz w:val="22"/>
          <w:szCs w:val="22"/>
          <w:rtl/>
        </w:rPr>
      </w:pPr>
      <w:r>
        <w:rPr>
          <w:rtl/>
        </w:rPr>
        <w:t>קושית הגרנ"פ דמשמע ברש"י דעל אכילת שנה אחת צריך למחות והא החזקה היא רק בג"ש</w:t>
      </w:r>
    </w:p>
    <w:p w:rsidR="00AB3447" w:rsidRDefault="00AB3447" w:rsidP="007E4E81">
      <w:pPr>
        <w:pStyle w:val="a"/>
        <w:rPr>
          <w:rFonts w:eastAsiaTheme="minorEastAsia" w:cstheme="minorBidi"/>
          <w:sz w:val="22"/>
          <w:szCs w:val="22"/>
          <w:rtl/>
        </w:rPr>
      </w:pPr>
      <w:r>
        <w:rPr>
          <w:rtl/>
        </w:rPr>
        <w:t>ביאור הגרנ"פ ברש"י דהראיה היא בשנה אחת וצריך ג"ש כשור המועד להוציא מחזקת מר"ק</w:t>
      </w:r>
    </w:p>
    <w:p w:rsidR="00AB3447" w:rsidRDefault="00AB3447" w:rsidP="007E4E81">
      <w:pPr>
        <w:pStyle w:val="a"/>
        <w:rPr>
          <w:rFonts w:eastAsiaTheme="minorEastAsia" w:cstheme="minorBidi"/>
          <w:sz w:val="22"/>
          <w:szCs w:val="22"/>
          <w:rtl/>
        </w:rPr>
        <w:sectPr w:rsidR="00AB3447" w:rsidSect="00DC277F">
          <w:type w:val="continuous"/>
          <w:pgSz w:w="11906" w:h="16838"/>
          <w:pgMar w:top="720" w:right="720" w:bottom="720" w:left="720" w:header="283" w:footer="283" w:gutter="0"/>
          <w:cols w:num="2" w:space="113"/>
          <w:titlePg/>
          <w:bidi/>
          <w:rtlGutter/>
          <w:docGrid w:linePitch="299"/>
        </w:sectPr>
      </w:pPr>
      <w:r>
        <w:rPr>
          <w:rtl/>
        </w:rPr>
        <w:t>ביאור הגרנ"פ דכיון דבחזקת בעליה עומדת רק לאחר ג"ש</w:t>
      </w:r>
      <w:r>
        <w:rPr>
          <w:rFonts w:hint="cs"/>
          <w:rtl/>
        </w:rPr>
        <w:t xml:space="preserve"> </w:t>
      </w:r>
      <w:r>
        <w:rPr>
          <w:rtl/>
        </w:rPr>
        <w:t>שיצאה מחזקת מר"ק מהני הראיה</w:t>
      </w:r>
    </w:p>
    <w:p w:rsidR="00AB3447" w:rsidRDefault="00AB3447" w:rsidP="007E4E81">
      <w:pPr>
        <w:pStyle w:val="a"/>
        <w:numPr>
          <w:ilvl w:val="0"/>
          <w:numId w:val="0"/>
        </w:numPr>
        <w:rPr>
          <w:rtl/>
        </w:rPr>
      </w:pPr>
    </w:p>
    <w:p w:rsidR="00AB3447" w:rsidRDefault="00AB3447" w:rsidP="00AB3447">
      <w:pPr>
        <w:pStyle w:val="2"/>
        <w:rPr>
          <w:rtl/>
        </w:rPr>
        <w:sectPr w:rsidR="00AB3447"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AB3447" w:rsidRPr="0081356D" w:rsidRDefault="006C4F47" w:rsidP="00AB3447">
      <w:pPr>
        <w:pStyle w:val="afe"/>
        <w:rPr>
          <w:rtl/>
        </w:rPr>
      </w:pPr>
      <w:r>
        <w:rPr>
          <w:rFonts w:hint="cs"/>
          <w:rtl/>
        </w:rPr>
        <w:lastRenderedPageBreak/>
        <w:t>~~~~~~~ מראי מקומות וביאורים ~~~~~~~</w:t>
      </w:r>
    </w:p>
    <w:p w:rsidR="00AB3447" w:rsidRPr="00B21444" w:rsidRDefault="00AB3447" w:rsidP="00AB3447">
      <w:pPr>
        <w:pStyle w:val="2"/>
        <w:bidi w:val="0"/>
        <w:rPr>
          <w:rtl/>
        </w:rPr>
        <w:sectPr w:rsidR="00AB3447" w:rsidRPr="00B21444" w:rsidSect="00AB3447">
          <w:pgSz w:w="11906" w:h="16838"/>
          <w:pgMar w:top="720" w:right="720" w:bottom="720" w:left="720" w:header="283" w:footer="283" w:gutter="0"/>
          <w:cols w:space="720"/>
          <w:bidi/>
          <w:rtlGutter/>
          <w:docGrid w:linePitch="299"/>
        </w:sectPr>
      </w:pPr>
    </w:p>
    <w:p w:rsidR="00AB3447" w:rsidRDefault="00AB3447" w:rsidP="00AB3447">
      <w:pPr>
        <w:pStyle w:val="afe"/>
        <w:rPr>
          <w:rtl/>
        </w:rPr>
      </w:pPr>
      <w:bookmarkStart w:id="989" w:name="_Toc54177747"/>
      <w:bookmarkStart w:id="990" w:name="_Toc54201202"/>
      <w:bookmarkStart w:id="991" w:name="_Toc54210189"/>
      <w:r>
        <w:rPr>
          <w:rFonts w:hint="cs"/>
          <w:rtl/>
        </w:rPr>
        <w:t>בגדר החזקה בעושין פירות תדיר</w:t>
      </w:r>
      <w:bookmarkEnd w:id="989"/>
      <w:bookmarkEnd w:id="990"/>
      <w:bookmarkEnd w:id="991"/>
    </w:p>
    <w:p w:rsidR="00AB3447" w:rsidRDefault="00AB3447" w:rsidP="00AB3447">
      <w:pPr>
        <w:pStyle w:val="1"/>
        <w:rPr>
          <w:rtl/>
        </w:rPr>
      </w:pPr>
      <w:bookmarkStart w:id="992" w:name="_Toc54177748"/>
      <w:bookmarkStart w:id="993" w:name="_Toc54201203"/>
      <w:bookmarkStart w:id="994" w:name="_Toc54210190"/>
      <w:bookmarkStart w:id="995" w:name="_Toc53934643"/>
      <w:bookmarkStart w:id="996" w:name="_Toc53940577"/>
      <w:r>
        <w:rPr>
          <w:rFonts w:hint="cs"/>
          <w:rtl/>
        </w:rPr>
        <w:t>דברי רש"י דכל שהחזיק ג"ש שלימות א"צ להביא שטר מכירה</w:t>
      </w:r>
      <w:bookmarkEnd w:id="992"/>
      <w:bookmarkEnd w:id="993"/>
      <w:bookmarkEnd w:id="994"/>
    </w:p>
    <w:p w:rsidR="00AB3447" w:rsidRPr="00DB4B43" w:rsidRDefault="00AB3447" w:rsidP="00AB3447">
      <w:pPr>
        <w:pStyle w:val="a3"/>
        <w:rPr>
          <w:rtl/>
        </w:rPr>
      </w:pPr>
      <w:bookmarkStart w:id="997" w:name="_Toc54177749"/>
      <w:bookmarkStart w:id="998" w:name="_Toc54201204"/>
      <w:bookmarkStart w:id="999" w:name="_Toc54210191"/>
      <w:r>
        <w:rPr>
          <w:rFonts w:hint="cs"/>
          <w:rtl/>
        </w:rPr>
        <w:t>דברי רש"י דבבית השלחין שעושה פירות תדיר כל שהחזיק ג"ש מיום ליום א"צ שטר והוי חזקה</w:t>
      </w:r>
      <w:bookmarkEnd w:id="997"/>
      <w:bookmarkEnd w:id="998"/>
      <w:bookmarkEnd w:id="999"/>
    </w:p>
    <w:p w:rsidR="00AB3447" w:rsidRDefault="00AB3447" w:rsidP="00BA3263">
      <w:pPr>
        <w:pStyle w:val="a0"/>
        <w:numPr>
          <w:ilvl w:val="0"/>
          <w:numId w:val="5"/>
        </w:numPr>
        <w:rPr>
          <w:rtl/>
        </w:rPr>
      </w:pPr>
      <w:bookmarkStart w:id="1000" w:name="_Ref54172885"/>
      <w:bookmarkStart w:id="1001" w:name="_Ref53936910"/>
      <w:r>
        <w:rPr>
          <w:rFonts w:hint="cs"/>
          <w:rtl/>
        </w:rPr>
        <w:t xml:space="preserve">בשדה בית השלחין, כתב </w:t>
      </w:r>
      <w:r w:rsidRPr="00190A58">
        <w:rPr>
          <w:rStyle w:val="af9"/>
          <w:rFonts w:hint="cs"/>
          <w:rtl/>
        </w:rPr>
        <w:t>רש"י</w:t>
      </w:r>
      <w:r>
        <w:rPr>
          <w:rFonts w:hint="cs"/>
          <w:rtl/>
        </w:rPr>
        <w:t xml:space="preserve"> </w:t>
      </w:r>
      <w:r w:rsidRPr="007E4E81">
        <w:rPr>
          <w:rStyle w:val="af7"/>
          <w:rFonts w:eastAsia="Guttman Hodes" w:hint="cs"/>
          <w:rtl/>
        </w:rPr>
        <w:t xml:space="preserve">(ד"ה </w:t>
      </w:r>
      <w:r w:rsidRPr="007E4E81">
        <w:rPr>
          <w:rStyle w:val="af7"/>
          <w:rFonts w:eastAsia="Guttman Hodes"/>
          <w:rtl/>
        </w:rPr>
        <w:t>בית השלחין</w:t>
      </w:r>
      <w:r w:rsidRPr="007E4E81">
        <w:rPr>
          <w:rStyle w:val="af7"/>
          <w:rFonts w:eastAsia="Guttman Hodes" w:hint="cs"/>
          <w:rtl/>
        </w:rPr>
        <w:t>)</w:t>
      </w:r>
      <w:r>
        <w:rPr>
          <w:rFonts w:hint="cs"/>
          <w:rtl/>
        </w:rPr>
        <w:t xml:space="preserve"> דכיון דעושה פירות תדיר, כל שהחזיק בה ג"ש שלימות מיום ליום, א</w:t>
      </w:r>
      <w:r w:rsidRPr="00F74AF9">
        <w:rPr>
          <w:rFonts w:hint="cs"/>
          <w:rtl/>
        </w:rPr>
        <w:t>"צ להביא שטר מכירה, ואם ערערו הבעלים ואומר דאבד שטרו, מהני החזקה</w:t>
      </w:r>
      <w:r>
        <w:rPr>
          <w:rFonts w:hint="cs"/>
          <w:rtl/>
        </w:rPr>
        <w:t>.</w:t>
      </w:r>
      <w:bookmarkEnd w:id="1000"/>
    </w:p>
    <w:p w:rsidR="00AB3447" w:rsidRPr="001C7834" w:rsidRDefault="00AB3447" w:rsidP="00AB3447">
      <w:pPr>
        <w:pStyle w:val="a3"/>
      </w:pPr>
      <w:bookmarkStart w:id="1002" w:name="_Toc54177750"/>
      <w:bookmarkStart w:id="1003" w:name="_Toc54201205"/>
      <w:bookmarkStart w:id="1004" w:name="_Toc54210192"/>
      <w:r>
        <w:rPr>
          <w:rFonts w:hint="cs"/>
          <w:rtl/>
        </w:rPr>
        <w:t>דברי רש"י דבפחות מג"ש מיום ליום ל"ה חזקה דצריך לאכול כל שראוי לצאת מהשדה בג"ש</w:t>
      </w:r>
      <w:bookmarkEnd w:id="1002"/>
      <w:bookmarkEnd w:id="1003"/>
      <w:bookmarkEnd w:id="1004"/>
    </w:p>
    <w:p w:rsidR="00AB3447" w:rsidRDefault="00AB3447" w:rsidP="007E4E81">
      <w:pPr>
        <w:pStyle w:val="a0"/>
        <w:rPr>
          <w:rtl/>
        </w:rPr>
      </w:pPr>
      <w:r>
        <w:rPr>
          <w:rFonts w:hint="cs"/>
          <w:rtl/>
        </w:rPr>
        <w:t xml:space="preserve">וכתב </w:t>
      </w:r>
      <w:r w:rsidRPr="001C7834">
        <w:rPr>
          <w:rStyle w:val="af9"/>
          <w:rFonts w:hint="cs"/>
          <w:rtl/>
        </w:rPr>
        <w:t>רש"י</w:t>
      </w:r>
      <w:r>
        <w:rPr>
          <w:rFonts w:hint="cs"/>
          <w:rtl/>
        </w:rPr>
        <w:t xml:space="preserve"> ד</w:t>
      </w:r>
      <w:r w:rsidRPr="00F74AF9">
        <w:rPr>
          <w:rFonts w:hint="cs"/>
          <w:rtl/>
        </w:rPr>
        <w:t xml:space="preserve">אם לא החזיק </w:t>
      </w:r>
      <w:r>
        <w:rPr>
          <w:rFonts w:hint="cs"/>
          <w:rtl/>
        </w:rPr>
        <w:t xml:space="preserve">בבית השלחין </w:t>
      </w:r>
      <w:r w:rsidRPr="00F74AF9">
        <w:rPr>
          <w:rFonts w:hint="cs"/>
          <w:rtl/>
        </w:rPr>
        <w:t xml:space="preserve">ג"ש שלימות מיום ליום, לא מהני לו חזקתו, </w:t>
      </w:r>
      <w:r w:rsidRPr="00886B15">
        <w:rPr>
          <w:rFonts w:hint="cs"/>
          <w:rtl/>
        </w:rPr>
        <w:t xml:space="preserve">דכשאמרו חז"ל ג"ש לחזקה היינו כל שראוי לצאת מהשדה בג"ש, ועי' בדברי </w:t>
      </w:r>
      <w:r w:rsidRPr="000219E0">
        <w:rPr>
          <w:rStyle w:val="af9"/>
          <w:rFonts w:hint="cs"/>
          <w:rtl/>
        </w:rPr>
        <w:t>רבינו גרשום</w:t>
      </w:r>
      <w:r w:rsidRPr="00886B15">
        <w:rPr>
          <w:rFonts w:hint="cs"/>
          <w:rtl/>
        </w:rPr>
        <w:t xml:space="preserve"> </w:t>
      </w:r>
      <w:r w:rsidRPr="000219E0">
        <w:rPr>
          <w:rStyle w:val="af7"/>
          <w:rFonts w:eastAsia="Guttman Hodes" w:hint="cs"/>
          <w:rtl/>
        </w:rPr>
        <w:t xml:space="preserve">(עי' אות </w:t>
      </w:r>
      <w:r w:rsidRPr="000219E0">
        <w:rPr>
          <w:rStyle w:val="af7"/>
          <w:rFonts w:eastAsia="Guttman Hodes"/>
          <w:rtl/>
        </w:rPr>
        <w:fldChar w:fldCharType="begin"/>
      </w:r>
      <w:r w:rsidRPr="000219E0">
        <w:rPr>
          <w:rStyle w:val="af7"/>
          <w:rFonts w:eastAsia="Guttman Hodes"/>
          <w:rtl/>
        </w:rPr>
        <w:instrText xml:space="preserve"> </w:instrText>
      </w:r>
      <w:r w:rsidRPr="000219E0">
        <w:rPr>
          <w:rStyle w:val="af7"/>
          <w:rFonts w:eastAsia="Guttman Hodes" w:hint="cs"/>
        </w:rPr>
        <w:instrText>REF</w:instrText>
      </w:r>
      <w:r w:rsidRPr="000219E0">
        <w:rPr>
          <w:rStyle w:val="af7"/>
          <w:rFonts w:eastAsia="Guttman Hodes" w:hint="cs"/>
          <w:rtl/>
        </w:rPr>
        <w:instrText xml:space="preserve"> _</w:instrText>
      </w:r>
      <w:r w:rsidRPr="000219E0">
        <w:rPr>
          <w:rStyle w:val="af7"/>
          <w:rFonts w:eastAsia="Guttman Hodes" w:hint="cs"/>
        </w:rPr>
        <w:instrText>Ref53936946 \r \h</w:instrText>
      </w:r>
      <w:r w:rsidRPr="000219E0">
        <w:rPr>
          <w:rStyle w:val="af7"/>
          <w:rFonts w:eastAsia="Guttman Hodes"/>
          <w:rtl/>
        </w:rPr>
        <w:instrText xml:space="preserve">  \* </w:instrText>
      </w:r>
      <w:r w:rsidRPr="000219E0">
        <w:rPr>
          <w:rStyle w:val="af7"/>
          <w:rFonts w:eastAsia="Guttman Hodes"/>
        </w:rPr>
        <w:instrText>MERGEFORMAT</w:instrText>
      </w:r>
      <w:r w:rsidRPr="000219E0">
        <w:rPr>
          <w:rStyle w:val="af7"/>
          <w:rFonts w:eastAsia="Guttman Hodes"/>
          <w:rtl/>
        </w:rPr>
        <w:instrText xml:space="preserve"> </w:instrText>
      </w:r>
      <w:r w:rsidRPr="000219E0">
        <w:rPr>
          <w:rStyle w:val="af7"/>
          <w:rFonts w:eastAsia="Guttman Hodes"/>
          <w:rtl/>
        </w:rPr>
      </w:r>
      <w:r w:rsidRPr="000219E0">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0219E0">
        <w:rPr>
          <w:rStyle w:val="af7"/>
          <w:rFonts w:eastAsia="Guttman Hodes"/>
          <w:rtl/>
        </w:rPr>
        <w:fldChar w:fldCharType="end"/>
      </w:r>
      <w:r w:rsidRPr="00886B15">
        <w:rPr>
          <w:rFonts w:hint="cs"/>
          <w:rtl/>
        </w:rPr>
        <w:t xml:space="preserve"> ובמה</w:t>
      </w:r>
      <w:r w:rsidRPr="000E31C0">
        <w:rPr>
          <w:rFonts w:hint="cs"/>
          <w:rtl/>
        </w:rPr>
        <w:t xml:space="preserve"> שביאר </w:t>
      </w:r>
      <w:r w:rsidRPr="000E31C0">
        <w:rPr>
          <w:rStyle w:val="af9"/>
          <w:rFonts w:hint="cs"/>
          <w:rtl/>
        </w:rPr>
        <w:t>בחי' רבי נחום</w:t>
      </w:r>
      <w:r w:rsidRPr="000E31C0">
        <w:rPr>
          <w:rFonts w:hint="cs"/>
          <w:rtl/>
        </w:rPr>
        <w:t xml:space="preserve"> </w:t>
      </w:r>
      <w:r w:rsidRPr="00A67C62">
        <w:rPr>
          <w:rStyle w:val="af7"/>
          <w:rFonts w:eastAsia="Guttman Hodes" w:hint="cs"/>
          <w:rtl/>
        </w:rPr>
        <w:t xml:space="preserve">(עי' אות </w:t>
      </w:r>
      <w:r w:rsidRPr="00A67C62">
        <w:rPr>
          <w:rStyle w:val="af7"/>
          <w:rFonts w:eastAsia="Guttman Hodes"/>
          <w:rtl/>
        </w:rPr>
        <w:fldChar w:fldCharType="begin"/>
      </w:r>
      <w:r w:rsidRPr="00A67C62">
        <w:rPr>
          <w:rStyle w:val="af7"/>
          <w:rFonts w:eastAsia="Guttman Hodes"/>
          <w:rtl/>
        </w:rPr>
        <w:instrText xml:space="preserve"> </w:instrText>
      </w:r>
      <w:r w:rsidRPr="00A67C62">
        <w:rPr>
          <w:rStyle w:val="af7"/>
          <w:rFonts w:eastAsia="Guttman Hodes" w:hint="cs"/>
        </w:rPr>
        <w:instrText>REF</w:instrText>
      </w:r>
      <w:r w:rsidRPr="00A67C62">
        <w:rPr>
          <w:rStyle w:val="af7"/>
          <w:rFonts w:eastAsia="Guttman Hodes" w:hint="cs"/>
          <w:rtl/>
        </w:rPr>
        <w:instrText xml:space="preserve"> _</w:instrText>
      </w:r>
      <w:r w:rsidRPr="00A67C62">
        <w:rPr>
          <w:rStyle w:val="af7"/>
          <w:rFonts w:eastAsia="Guttman Hodes" w:hint="cs"/>
        </w:rPr>
        <w:instrText>Ref54208581 \r \h</w:instrText>
      </w:r>
      <w:r w:rsidRPr="00A67C62">
        <w:rPr>
          <w:rStyle w:val="af7"/>
          <w:rFonts w:eastAsia="Guttman Hodes"/>
          <w:rtl/>
        </w:rPr>
        <w:instrText xml:space="preserve"> </w:instrText>
      </w:r>
      <w:r w:rsidRPr="00A67C62">
        <w:rPr>
          <w:rStyle w:val="af7"/>
          <w:rFonts w:eastAsia="Guttman Hodes"/>
          <w:rtl/>
        </w:rPr>
      </w:r>
      <w:r w:rsidRPr="00A67C62">
        <w:rPr>
          <w:rStyle w:val="af7"/>
          <w:rFonts w:eastAsia="Guttman Hodes"/>
          <w:rtl/>
        </w:rPr>
        <w:fldChar w:fldCharType="separate"/>
      </w:r>
      <w:r w:rsidR="00265073">
        <w:rPr>
          <w:rStyle w:val="af7"/>
          <w:rFonts w:eastAsia="Guttman Hodes"/>
          <w:cs/>
        </w:rPr>
        <w:t>‎</w:t>
      </w:r>
      <w:r w:rsidR="00265073">
        <w:rPr>
          <w:rStyle w:val="af7"/>
          <w:rFonts w:eastAsia="Guttman Hodes"/>
          <w:rtl/>
        </w:rPr>
        <w:t>צח)</w:t>
      </w:r>
      <w:r w:rsidRPr="00A67C62">
        <w:rPr>
          <w:rStyle w:val="af7"/>
          <w:rFonts w:eastAsia="Guttman Hodes"/>
          <w:rtl/>
        </w:rPr>
        <w:fldChar w:fldCharType="end"/>
      </w:r>
      <w:r w:rsidRPr="000E31C0">
        <w:rPr>
          <w:rFonts w:hint="cs"/>
          <w:rtl/>
        </w:rPr>
        <w:t xml:space="preserve"> בדעת </w:t>
      </w:r>
      <w:r w:rsidRPr="000E31C0">
        <w:rPr>
          <w:rStyle w:val="af9"/>
          <w:rFonts w:hint="cs"/>
          <w:rtl/>
        </w:rPr>
        <w:t>רש"י</w:t>
      </w:r>
      <w:r w:rsidRPr="000E31C0">
        <w:rPr>
          <w:rFonts w:hint="cs"/>
          <w:rtl/>
        </w:rPr>
        <w:t>.</w:t>
      </w:r>
      <w:bookmarkEnd w:id="1001"/>
    </w:p>
    <w:p w:rsidR="00AB3447" w:rsidRPr="00AF64FB" w:rsidRDefault="00AB3447" w:rsidP="00AB3447">
      <w:pPr>
        <w:pStyle w:val="a3"/>
        <w:rPr>
          <w:rtl/>
        </w:rPr>
      </w:pPr>
      <w:bookmarkStart w:id="1005" w:name="_Toc54177751"/>
      <w:bookmarkStart w:id="1006" w:name="_Toc54201206"/>
      <w:bookmarkStart w:id="1007" w:name="_Toc54210193"/>
      <w:r>
        <w:rPr>
          <w:rFonts w:hint="cs"/>
          <w:rtl/>
        </w:rPr>
        <w:t>דברי רש"י דבשדה בית הבעל שעושה פירות פעם אחת בשדה חזקת ג"ש אינה מיום ליום</w:t>
      </w:r>
      <w:bookmarkEnd w:id="1005"/>
      <w:bookmarkEnd w:id="1006"/>
      <w:bookmarkEnd w:id="1007"/>
    </w:p>
    <w:p w:rsidR="00AB3447" w:rsidRDefault="00AB3447" w:rsidP="007E4E81">
      <w:pPr>
        <w:pStyle w:val="a0"/>
        <w:rPr>
          <w:rtl/>
        </w:rPr>
      </w:pPr>
      <w:bookmarkStart w:id="1008" w:name="_Ref54172896"/>
      <w:bookmarkStart w:id="1009" w:name="_Ref53655601"/>
      <w:r>
        <w:rPr>
          <w:rFonts w:hint="cs"/>
          <w:rtl/>
        </w:rPr>
        <w:t>וב</w:t>
      </w:r>
      <w:r>
        <w:rPr>
          <w:rtl/>
        </w:rPr>
        <w:t>שדה בית הבעל</w:t>
      </w:r>
      <w:r>
        <w:rPr>
          <w:rFonts w:hint="cs"/>
          <w:rtl/>
        </w:rPr>
        <w:t xml:space="preserve">, כתב </w:t>
      </w:r>
      <w:r w:rsidRPr="00190A58">
        <w:rPr>
          <w:rStyle w:val="af9"/>
          <w:rFonts w:hint="cs"/>
          <w:rtl/>
        </w:rPr>
        <w:t>רש"י</w:t>
      </w:r>
      <w:r>
        <w:rPr>
          <w:rFonts w:hint="cs"/>
          <w:rtl/>
        </w:rPr>
        <w:t xml:space="preserve"> </w:t>
      </w:r>
      <w:r w:rsidRPr="00190A58">
        <w:rPr>
          <w:rStyle w:val="af7"/>
          <w:rFonts w:eastAsia="Guttman Hodes" w:hint="cs"/>
          <w:rtl/>
        </w:rPr>
        <w:t>(ד"ה שדה בית)</w:t>
      </w:r>
      <w:r>
        <w:rPr>
          <w:rFonts w:hint="cs"/>
          <w:rtl/>
        </w:rPr>
        <w:t xml:space="preserve"> דכיון שאינה עושה פירות תדיר, ורק פעם אחת בשנה היא עושה פירות, החזקת ג"ש שלה אינה מיום ליום.</w:t>
      </w:r>
      <w:bookmarkEnd w:id="1008"/>
    </w:p>
    <w:p w:rsidR="00AB3447" w:rsidRPr="008B4FF0" w:rsidRDefault="00AB3447" w:rsidP="00AB3447">
      <w:pPr>
        <w:pStyle w:val="a3"/>
      </w:pPr>
      <w:bookmarkStart w:id="1010" w:name="_Toc54177752"/>
      <w:bookmarkStart w:id="1011" w:name="_Toc54201207"/>
      <w:bookmarkStart w:id="1012" w:name="_Toc54210194"/>
      <w:r>
        <w:rPr>
          <w:rFonts w:hint="cs"/>
          <w:rtl/>
        </w:rPr>
        <w:t>דברי רש"י דלר"י כשזרע בג"ח ראשונים ואחרונים והחזיק בכל השנה האמצעית חשיב כג"ש</w:t>
      </w:r>
      <w:bookmarkEnd w:id="1010"/>
      <w:bookmarkEnd w:id="1011"/>
      <w:bookmarkEnd w:id="1012"/>
    </w:p>
    <w:p w:rsidR="00AB3447" w:rsidRDefault="00AB3447" w:rsidP="007E4E81">
      <w:pPr>
        <w:pStyle w:val="a0"/>
        <w:rPr>
          <w:rtl/>
        </w:rPr>
      </w:pPr>
      <w:bookmarkStart w:id="1013" w:name="_Ref54173223"/>
      <w:r>
        <w:rPr>
          <w:rFonts w:hint="cs"/>
          <w:rtl/>
        </w:rPr>
        <w:t xml:space="preserve">וכתב </w:t>
      </w:r>
      <w:r w:rsidRPr="00190A58">
        <w:rPr>
          <w:rStyle w:val="af9"/>
          <w:rFonts w:hint="cs"/>
          <w:rtl/>
        </w:rPr>
        <w:t>רש"י</w:t>
      </w:r>
      <w:r>
        <w:rPr>
          <w:rFonts w:hint="cs"/>
          <w:rtl/>
        </w:rPr>
        <w:t xml:space="preserve"> דלדעת רבי ישמעאל החזקה בבית הבעל, היא כשזרע את השדה בג</w:t>
      </w:r>
      <w:r>
        <w:rPr>
          <w:rtl/>
        </w:rPr>
        <w:t>'</w:t>
      </w:r>
      <w:r>
        <w:rPr>
          <w:rFonts w:hint="cs"/>
          <w:rtl/>
        </w:rPr>
        <w:t xml:space="preserve"> חודשים אחרונים של השנה הראשונה, וזרע גם בג</w:t>
      </w:r>
      <w:r>
        <w:rPr>
          <w:rtl/>
        </w:rPr>
        <w:t>'</w:t>
      </w:r>
      <w:r>
        <w:rPr>
          <w:rFonts w:hint="cs"/>
          <w:rtl/>
        </w:rPr>
        <w:t xml:space="preserve"> חודשים ראשונים של שנה אחרונה, והחזיק בה בכל השנה האמצעית, דכיון שיש שממהרים לזרוע לפני ראש השנה, ויש לו עדים שזרע בג' השנים הללו, חשיב כחזקת ג"ש.</w:t>
      </w:r>
      <w:bookmarkEnd w:id="1013"/>
    </w:p>
    <w:p w:rsidR="00AB3447" w:rsidRPr="00113CD0" w:rsidRDefault="00AB3447" w:rsidP="00AB3447">
      <w:pPr>
        <w:pStyle w:val="1"/>
        <w:rPr>
          <w:rtl/>
        </w:rPr>
      </w:pPr>
      <w:bookmarkStart w:id="1014" w:name="_Toc54177753"/>
      <w:bookmarkStart w:id="1015" w:name="_Toc54201208"/>
      <w:bookmarkStart w:id="1016" w:name="_Toc54210195"/>
      <w:bookmarkStart w:id="1017" w:name="_Toc53940580"/>
      <w:bookmarkEnd w:id="1009"/>
      <w:r>
        <w:rPr>
          <w:rFonts w:hint="cs"/>
          <w:rtl/>
        </w:rPr>
        <w:t>דברי רש"י דבבית הבעל סגי בג' אכילות של שנה בלא מחאה</w:t>
      </w:r>
      <w:bookmarkEnd w:id="1014"/>
      <w:bookmarkEnd w:id="1015"/>
      <w:bookmarkEnd w:id="1016"/>
    </w:p>
    <w:p w:rsidR="00AB3447" w:rsidRPr="00E473DD" w:rsidRDefault="00AB3447" w:rsidP="00AB3447">
      <w:pPr>
        <w:pStyle w:val="a3"/>
      </w:pPr>
      <w:bookmarkStart w:id="1018" w:name="_Toc54177754"/>
      <w:bookmarkStart w:id="1019" w:name="_Toc54201209"/>
      <w:bookmarkStart w:id="1020" w:name="_Toc54210196"/>
      <w:bookmarkEnd w:id="1017"/>
      <w:r>
        <w:rPr>
          <w:rFonts w:hint="cs"/>
          <w:rtl/>
        </w:rPr>
        <w:t>ביאור רש"י דהוי חזקה כיון שאין אדם שרואה שאוכלין לו פרי של שנה והוא שותק</w:t>
      </w:r>
      <w:bookmarkEnd w:id="1018"/>
      <w:bookmarkEnd w:id="1019"/>
      <w:bookmarkEnd w:id="1020"/>
    </w:p>
    <w:p w:rsidR="00AB3447" w:rsidRDefault="00AB3447" w:rsidP="007E4E81">
      <w:pPr>
        <w:pStyle w:val="a0"/>
        <w:rPr>
          <w:rtl/>
        </w:rPr>
      </w:pPr>
      <w:bookmarkStart w:id="1021" w:name="_Ref54208835"/>
      <w:r>
        <w:rPr>
          <w:rFonts w:hint="cs"/>
          <w:rtl/>
        </w:rPr>
        <w:t xml:space="preserve">וביאר </w:t>
      </w:r>
      <w:r w:rsidRPr="00190A58">
        <w:rPr>
          <w:rStyle w:val="af9"/>
          <w:rFonts w:hint="cs"/>
          <w:rtl/>
        </w:rPr>
        <w:t>רש"י</w:t>
      </w:r>
      <w:r>
        <w:rPr>
          <w:rFonts w:hint="cs"/>
          <w:rtl/>
        </w:rPr>
        <w:t xml:space="preserve"> </w:t>
      </w:r>
      <w:r w:rsidRPr="00190A58">
        <w:rPr>
          <w:rStyle w:val="af7"/>
          <w:rFonts w:eastAsia="Guttman Hodes" w:hint="cs"/>
          <w:rtl/>
        </w:rPr>
        <w:t>(ד"ה שדה בית)</w:t>
      </w:r>
      <w:r>
        <w:rPr>
          <w:rFonts w:hint="cs"/>
          <w:rtl/>
        </w:rPr>
        <w:t xml:space="preserve"> דלרבי ישמעאל סגי בי"ח חודשים, כיון שאין אדם שרואה את חבירו שזורע את שדהו בכדי לאכול פרי שראוי לשנה, והוא שותק ואינו מוחה.</w:t>
      </w:r>
      <w:bookmarkEnd w:id="1021"/>
    </w:p>
    <w:p w:rsidR="00AB3447" w:rsidRPr="00433F28" w:rsidRDefault="00AB3447" w:rsidP="00AB3447">
      <w:pPr>
        <w:pStyle w:val="a3"/>
        <w:rPr>
          <w:rtl/>
        </w:rPr>
      </w:pPr>
      <w:bookmarkStart w:id="1022" w:name="_Toc54177755"/>
      <w:bookmarkStart w:id="1023" w:name="_Toc54201210"/>
      <w:bookmarkStart w:id="1024" w:name="_Toc54210197"/>
      <w:r>
        <w:rPr>
          <w:rFonts w:hint="cs"/>
          <w:rtl/>
        </w:rPr>
        <w:t>ביאור החת"ס ברש"י דלר"ע ור"י הראיה היא בשנה הראשונה וצריך ג"ש לחזקה כשור המועד</w:t>
      </w:r>
      <w:bookmarkEnd w:id="1022"/>
      <w:bookmarkEnd w:id="1023"/>
      <w:bookmarkEnd w:id="1024"/>
    </w:p>
    <w:p w:rsidR="00AB3447" w:rsidRDefault="00AB3447" w:rsidP="007E4E81">
      <w:pPr>
        <w:pStyle w:val="a0"/>
        <w:rPr>
          <w:rtl/>
        </w:rPr>
      </w:pPr>
      <w:bookmarkStart w:id="1025" w:name="_Ref54208887"/>
      <w:r>
        <w:rPr>
          <w:rFonts w:hint="cs"/>
          <w:rtl/>
        </w:rPr>
        <w:t xml:space="preserve">וכתב </w:t>
      </w:r>
      <w:r w:rsidRPr="00C25E8F">
        <w:rPr>
          <w:rStyle w:val="af9"/>
          <w:rFonts w:hint="cs"/>
          <w:rtl/>
        </w:rPr>
        <w:t>החת"ס</w:t>
      </w:r>
      <w:r>
        <w:rPr>
          <w:rFonts w:hint="cs"/>
          <w:rtl/>
        </w:rPr>
        <w:t xml:space="preserve"> </w:t>
      </w:r>
      <w:r w:rsidRPr="0062602F">
        <w:rPr>
          <w:rStyle w:val="af7"/>
          <w:rFonts w:eastAsia="Guttman Hodes" w:hint="cs"/>
          <w:rtl/>
        </w:rPr>
        <w:t xml:space="preserve">(ד"ה שדה) </w:t>
      </w:r>
      <w:r>
        <w:rPr>
          <w:rFonts w:hint="cs"/>
          <w:rtl/>
        </w:rPr>
        <w:t xml:space="preserve">דמשמע מדברי </w:t>
      </w:r>
      <w:r w:rsidRPr="00C25E8F">
        <w:rPr>
          <w:rStyle w:val="af9"/>
          <w:rFonts w:hint="cs"/>
          <w:rtl/>
        </w:rPr>
        <w:t>רש"י</w:t>
      </w:r>
      <w:r>
        <w:rPr>
          <w:rFonts w:hint="cs"/>
          <w:rtl/>
        </w:rPr>
        <w:t xml:space="preserve"> דלר"ע ורבי ישמעאל כבר בשנה הראשונה המערער מקפיד על אכילת שדהו, והא דצריך ג"ש, הוא בכדי שיהיה חזקה שהמערער שותק על הקפדתו, וזו הילפותא משור המועד, דבג' פעמים הוי חזקה, אבל לרבנן המערער אינו מקפיד על לאחר ג"ש, וכדברי רבא </w:t>
      </w:r>
      <w:r w:rsidRPr="0062602F">
        <w:rPr>
          <w:rStyle w:val="af7"/>
          <w:rFonts w:eastAsia="Guttman Hodes" w:hint="cs"/>
          <w:rtl/>
        </w:rPr>
        <w:t>(כח:)</w:t>
      </w:r>
      <w:r>
        <w:rPr>
          <w:rFonts w:hint="cs"/>
          <w:rtl/>
        </w:rPr>
        <w:t xml:space="preserve">, ועי' במ"ש </w:t>
      </w:r>
      <w:r w:rsidRPr="00C25E8F">
        <w:rPr>
          <w:rStyle w:val="af9"/>
          <w:rFonts w:hint="cs"/>
          <w:rtl/>
        </w:rPr>
        <w:t>בחי' רבי נחום</w:t>
      </w:r>
      <w:r>
        <w:rPr>
          <w:rFonts w:hint="cs"/>
          <w:rtl/>
        </w:rPr>
        <w:t xml:space="preserve"> </w:t>
      </w:r>
      <w:r w:rsidRPr="001E173B">
        <w:rPr>
          <w:rStyle w:val="af7"/>
          <w:rFonts w:eastAsia="Guttman Hodes" w:hint="cs"/>
          <w:rtl/>
        </w:rPr>
        <w:t xml:space="preserve">(עי' אות </w:t>
      </w:r>
      <w:r w:rsidRPr="001E173B">
        <w:rPr>
          <w:rStyle w:val="af7"/>
          <w:rFonts w:eastAsia="Guttman Hodes"/>
          <w:rtl/>
        </w:rPr>
        <w:fldChar w:fldCharType="begin"/>
      </w:r>
      <w:r w:rsidRPr="001E173B">
        <w:rPr>
          <w:rStyle w:val="af7"/>
          <w:rFonts w:eastAsia="Guttman Hodes"/>
          <w:rtl/>
        </w:rPr>
        <w:instrText xml:space="preserve"> </w:instrText>
      </w:r>
      <w:r w:rsidRPr="001E173B">
        <w:rPr>
          <w:rStyle w:val="af7"/>
          <w:rFonts w:eastAsia="Guttman Hodes" w:hint="cs"/>
        </w:rPr>
        <w:instrText>REF</w:instrText>
      </w:r>
      <w:r w:rsidRPr="001E173B">
        <w:rPr>
          <w:rStyle w:val="af7"/>
          <w:rFonts w:eastAsia="Guttman Hodes" w:hint="cs"/>
          <w:rtl/>
        </w:rPr>
        <w:instrText xml:space="preserve"> _</w:instrText>
      </w:r>
      <w:r w:rsidRPr="001E173B">
        <w:rPr>
          <w:rStyle w:val="af7"/>
          <w:rFonts w:eastAsia="Guttman Hodes" w:hint="cs"/>
        </w:rPr>
        <w:instrText>Ref54208871 \r \h</w:instrText>
      </w:r>
      <w:r w:rsidRPr="001E173B">
        <w:rPr>
          <w:rStyle w:val="af7"/>
          <w:rFonts w:eastAsia="Guttman Hodes"/>
          <w:rtl/>
        </w:rPr>
        <w:instrText xml:space="preserve"> </w:instrText>
      </w:r>
      <w:r w:rsidRPr="001E173B">
        <w:rPr>
          <w:rStyle w:val="af7"/>
          <w:rFonts w:eastAsia="Guttman Hodes"/>
          <w:rtl/>
        </w:rPr>
      </w:r>
      <w:r w:rsidRPr="001E173B">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1E173B">
        <w:rPr>
          <w:rStyle w:val="af7"/>
          <w:rFonts w:eastAsia="Guttman Hodes"/>
          <w:rtl/>
        </w:rPr>
        <w:fldChar w:fldCharType="end"/>
      </w:r>
      <w:r>
        <w:rPr>
          <w:rFonts w:hint="cs"/>
          <w:rtl/>
        </w:rPr>
        <w:t>.</w:t>
      </w:r>
      <w:bookmarkEnd w:id="1025"/>
    </w:p>
    <w:p w:rsidR="00AB3447" w:rsidRPr="007D091E" w:rsidRDefault="00AB3447" w:rsidP="00AB3447">
      <w:pPr>
        <w:pStyle w:val="1"/>
        <w:rPr>
          <w:rtl/>
        </w:rPr>
      </w:pPr>
      <w:bookmarkStart w:id="1026" w:name="_Toc54177756"/>
      <w:bookmarkStart w:id="1027" w:name="_Toc54201211"/>
      <w:bookmarkStart w:id="1028" w:name="_Toc54210198"/>
      <w:bookmarkEnd w:id="995"/>
      <w:bookmarkEnd w:id="996"/>
      <w:r>
        <w:rPr>
          <w:rFonts w:hint="cs"/>
          <w:rtl/>
        </w:rPr>
        <w:t>דברי רבינו גרשום דמשתמשים או עובדים בהם בכל יום</w:t>
      </w:r>
      <w:bookmarkEnd w:id="1026"/>
      <w:bookmarkEnd w:id="1027"/>
      <w:bookmarkEnd w:id="1028"/>
      <w:r>
        <w:rPr>
          <w:rFonts w:hint="cs"/>
          <w:rtl/>
        </w:rPr>
        <w:t xml:space="preserve"> </w:t>
      </w:r>
    </w:p>
    <w:p w:rsidR="00AB3447" w:rsidRPr="00F56FB0" w:rsidRDefault="00AB3447" w:rsidP="00AB3447">
      <w:pPr>
        <w:pStyle w:val="a3"/>
        <w:rPr>
          <w:rtl/>
        </w:rPr>
      </w:pPr>
      <w:bookmarkStart w:id="1029" w:name="_Toc54177757"/>
      <w:bookmarkStart w:id="1030" w:name="_Toc54201212"/>
      <w:bookmarkStart w:id="1031" w:name="_Toc54210199"/>
      <w:r>
        <w:rPr>
          <w:rFonts w:hint="cs"/>
          <w:rtl/>
        </w:rPr>
        <w:t>דברי רבינו גרשום דדבר שעושה פירות היינו שמשתמשים בו בכל יום ומסתפקים ממנו</w:t>
      </w:r>
      <w:bookmarkEnd w:id="1029"/>
      <w:bookmarkEnd w:id="1030"/>
      <w:bookmarkEnd w:id="1031"/>
    </w:p>
    <w:p w:rsidR="00AB3447" w:rsidRDefault="00AB3447" w:rsidP="007E4E81">
      <w:pPr>
        <w:pStyle w:val="a0"/>
        <w:rPr>
          <w:rtl/>
        </w:rPr>
      </w:pPr>
      <w:bookmarkStart w:id="1032" w:name="_Toc53934644"/>
      <w:bookmarkStart w:id="1033" w:name="_Toc53940578"/>
      <w:r w:rsidRPr="00F56FB0">
        <w:rPr>
          <w:rStyle w:val="af9"/>
          <w:rFonts w:hint="cs"/>
          <w:rtl/>
        </w:rPr>
        <w:t>וברבינו גרשום</w:t>
      </w:r>
      <w:r>
        <w:rPr>
          <w:rFonts w:hint="cs"/>
          <w:rtl/>
        </w:rPr>
        <w:t xml:space="preserve"> </w:t>
      </w:r>
      <w:r w:rsidRPr="00F56FB0">
        <w:rPr>
          <w:rStyle w:val="af7"/>
          <w:rFonts w:eastAsia="Guttman Hodes" w:hint="cs"/>
          <w:rtl/>
        </w:rPr>
        <w:t>(ד"ה וכל)</w:t>
      </w:r>
      <w:r>
        <w:rPr>
          <w:rFonts w:hint="cs"/>
          <w:rtl/>
        </w:rPr>
        <w:t xml:space="preserve"> כתב דדבר שעושה פירות בכל יום, היינו כל דבר שמשתמשים בו תמיד בכל יום, ובבית הבדים כתב </w:t>
      </w:r>
      <w:r w:rsidRPr="00F56FB0">
        <w:rPr>
          <w:rStyle w:val="af9"/>
          <w:rFonts w:hint="cs"/>
          <w:rtl/>
        </w:rPr>
        <w:t>רבינו גרשום</w:t>
      </w:r>
      <w:r>
        <w:rPr>
          <w:rFonts w:hint="cs"/>
          <w:rtl/>
        </w:rPr>
        <w:t xml:space="preserve"> </w:t>
      </w:r>
      <w:r w:rsidRPr="00F56FB0">
        <w:rPr>
          <w:rStyle w:val="af7"/>
          <w:rFonts w:eastAsia="Guttman Hodes" w:hint="cs"/>
          <w:rtl/>
        </w:rPr>
        <w:t>(ד"ה ובית הבדין)</w:t>
      </w:r>
      <w:r>
        <w:rPr>
          <w:rFonts w:hint="cs"/>
          <w:rtl/>
        </w:rPr>
        <w:t xml:space="preserve"> דמסתפקים מהם בכל יום, ובעבדים כתב </w:t>
      </w:r>
      <w:r w:rsidRPr="00F56FB0">
        <w:rPr>
          <w:rStyle w:val="af9"/>
          <w:rFonts w:hint="cs"/>
          <w:rtl/>
        </w:rPr>
        <w:t>רבינו גרשום</w:t>
      </w:r>
      <w:r>
        <w:rPr>
          <w:rFonts w:hint="cs"/>
          <w:rtl/>
        </w:rPr>
        <w:t xml:space="preserve"> </w:t>
      </w:r>
      <w:r w:rsidRPr="00F56FB0">
        <w:rPr>
          <w:rStyle w:val="af7"/>
          <w:rFonts w:eastAsia="Guttman Hodes" w:hint="cs"/>
          <w:rtl/>
        </w:rPr>
        <w:t>(ד"ה והעבדים)</w:t>
      </w:r>
      <w:r>
        <w:rPr>
          <w:rFonts w:hint="cs"/>
          <w:rtl/>
        </w:rPr>
        <w:t xml:space="preserve"> דהוקשו לקרקעות דמשתמשים בהם בכל יום.</w:t>
      </w:r>
    </w:p>
    <w:p w:rsidR="00AB3447" w:rsidRPr="00990941" w:rsidRDefault="00AB3447" w:rsidP="00AB3447">
      <w:pPr>
        <w:pStyle w:val="a3"/>
        <w:rPr>
          <w:rtl/>
        </w:rPr>
      </w:pPr>
      <w:bookmarkStart w:id="1034" w:name="_Toc54177758"/>
      <w:bookmarkStart w:id="1035" w:name="_Toc54201213"/>
      <w:bookmarkStart w:id="1036" w:name="_Toc54210200"/>
      <w:r>
        <w:rPr>
          <w:rFonts w:hint="cs"/>
          <w:rtl/>
        </w:rPr>
        <w:t>ביאור רבינו גרשום דבשדה בית השלחין צריך להשקותה אותה בכל יום וחשיב שימוש</w:t>
      </w:r>
      <w:bookmarkEnd w:id="1034"/>
      <w:bookmarkEnd w:id="1035"/>
      <w:bookmarkEnd w:id="1036"/>
    </w:p>
    <w:p w:rsidR="00AB3447" w:rsidRDefault="00AB3447" w:rsidP="007E4E81">
      <w:pPr>
        <w:pStyle w:val="a0"/>
        <w:rPr>
          <w:rStyle w:val="afb"/>
          <w:rtl/>
        </w:rPr>
      </w:pPr>
      <w:bookmarkStart w:id="1037" w:name="_Ref54194267"/>
      <w:r>
        <w:rPr>
          <w:rFonts w:hint="cs"/>
          <w:rtl/>
        </w:rPr>
        <w:t xml:space="preserve">ובבית השלחין ביאר </w:t>
      </w:r>
      <w:r w:rsidRPr="00F56FB0">
        <w:rPr>
          <w:rStyle w:val="af9"/>
          <w:rFonts w:hint="cs"/>
          <w:rtl/>
        </w:rPr>
        <w:t>רבינו גרשום</w:t>
      </w:r>
      <w:r>
        <w:rPr>
          <w:rFonts w:hint="cs"/>
          <w:rtl/>
        </w:rPr>
        <w:t xml:space="preserve"> </w:t>
      </w:r>
      <w:r w:rsidRPr="001C1A67">
        <w:rPr>
          <w:rStyle w:val="af7"/>
          <w:rFonts w:eastAsia="Guttman Hodes" w:hint="cs"/>
          <w:rtl/>
        </w:rPr>
        <w:t>(ד"ה ובית השלחין)</w:t>
      </w:r>
      <w:r>
        <w:rPr>
          <w:rFonts w:hint="cs"/>
          <w:rtl/>
        </w:rPr>
        <w:t xml:space="preserve"> דצריך להשקותו בכל יום. </w:t>
      </w:r>
      <w:r w:rsidRPr="001C1A67">
        <w:rPr>
          <w:rStyle w:val="afb"/>
          <w:rFonts w:hint="cs"/>
          <w:rtl/>
        </w:rPr>
        <w:t xml:space="preserve">[ומבואר מדברי </w:t>
      </w:r>
      <w:r w:rsidRPr="001C1A67">
        <w:rPr>
          <w:rStyle w:val="affa"/>
          <w:rFonts w:hint="cs"/>
          <w:rtl/>
        </w:rPr>
        <w:t xml:space="preserve">רבינו גרשום </w:t>
      </w:r>
      <w:r w:rsidRPr="001C1A67">
        <w:rPr>
          <w:rStyle w:val="afb"/>
          <w:rFonts w:hint="cs"/>
          <w:rtl/>
        </w:rPr>
        <w:t>דשימוש היינו גם עבודה</w:t>
      </w:r>
      <w:r>
        <w:rPr>
          <w:rStyle w:val="afb"/>
          <w:rFonts w:hint="cs"/>
          <w:rtl/>
        </w:rPr>
        <w:t>,</w:t>
      </w:r>
      <w:r w:rsidRPr="001C1A67">
        <w:rPr>
          <w:rStyle w:val="afb"/>
          <w:rFonts w:hint="cs"/>
          <w:rtl/>
        </w:rPr>
        <w:t xml:space="preserve"> ולא רק אכילת פירות, ועי' בדברי </w:t>
      </w:r>
      <w:r w:rsidRPr="001C1A67">
        <w:rPr>
          <w:rStyle w:val="affa"/>
          <w:rFonts w:hint="cs"/>
          <w:rtl/>
        </w:rPr>
        <w:t xml:space="preserve">התוס' </w:t>
      </w:r>
      <w:r w:rsidRPr="007162A1">
        <w:rPr>
          <w:rStyle w:val="aff6"/>
          <w:rFonts w:hint="cs"/>
          <w:rtl/>
        </w:rPr>
        <w:t xml:space="preserve">(עי' אות </w:t>
      </w:r>
      <w:r w:rsidRPr="007162A1">
        <w:rPr>
          <w:rStyle w:val="aff6"/>
          <w:rtl/>
        </w:rPr>
        <w:fldChar w:fldCharType="begin"/>
      </w:r>
      <w:r w:rsidRPr="007162A1">
        <w:rPr>
          <w:rStyle w:val="aff6"/>
          <w:rtl/>
        </w:rPr>
        <w:instrText xml:space="preserve"> </w:instrText>
      </w:r>
      <w:r w:rsidRPr="007162A1">
        <w:rPr>
          <w:rStyle w:val="aff6"/>
          <w:rFonts w:hint="cs"/>
        </w:rPr>
        <w:instrText>REF</w:instrText>
      </w:r>
      <w:r w:rsidRPr="007162A1">
        <w:rPr>
          <w:rStyle w:val="aff6"/>
          <w:rFonts w:hint="cs"/>
          <w:rtl/>
        </w:rPr>
        <w:instrText xml:space="preserve"> _</w:instrText>
      </w:r>
      <w:r w:rsidRPr="007162A1">
        <w:rPr>
          <w:rStyle w:val="aff6"/>
          <w:rFonts w:hint="cs"/>
        </w:rPr>
        <w:instrText>Ref54194298 \r \h</w:instrText>
      </w:r>
      <w:r w:rsidRPr="007162A1">
        <w:rPr>
          <w:rStyle w:val="aff6"/>
          <w:rtl/>
        </w:rPr>
        <w:instrText xml:space="preserve"> </w:instrText>
      </w:r>
      <w:r w:rsidRPr="007162A1">
        <w:rPr>
          <w:rStyle w:val="aff6"/>
          <w:rtl/>
        </w:rPr>
      </w:r>
      <w:r w:rsidRPr="007162A1">
        <w:rPr>
          <w:rStyle w:val="aff6"/>
          <w:rtl/>
        </w:rPr>
        <w:fldChar w:fldCharType="separate"/>
      </w:r>
      <w:r w:rsidR="00265073">
        <w:rPr>
          <w:rStyle w:val="aff6"/>
          <w:cs/>
        </w:rPr>
        <w:t>‎</w:t>
      </w:r>
      <w:r w:rsidR="00265073">
        <w:rPr>
          <w:rStyle w:val="aff6"/>
          <w:rtl/>
        </w:rPr>
        <w:t>מז)</w:t>
      </w:r>
      <w:r w:rsidRPr="007162A1">
        <w:rPr>
          <w:rStyle w:val="aff6"/>
          <w:rtl/>
        </w:rPr>
        <w:fldChar w:fldCharType="end"/>
      </w:r>
      <w:r w:rsidRPr="001C1A67">
        <w:rPr>
          <w:rStyle w:val="afb"/>
          <w:rFonts w:hint="cs"/>
          <w:rtl/>
        </w:rPr>
        <w:t>].</w:t>
      </w:r>
      <w:bookmarkEnd w:id="1037"/>
    </w:p>
    <w:p w:rsidR="00AB3447" w:rsidRDefault="00AB3447" w:rsidP="00AB3447">
      <w:pPr>
        <w:pStyle w:val="1"/>
        <w:rPr>
          <w:rtl/>
        </w:rPr>
      </w:pPr>
      <w:bookmarkStart w:id="1038" w:name="_Toc53934647"/>
      <w:bookmarkStart w:id="1039" w:name="_Toc53940582"/>
      <w:bookmarkStart w:id="1040" w:name="_Toc54177759"/>
      <w:bookmarkStart w:id="1041" w:name="_Toc54201214"/>
      <w:bookmarkStart w:id="1042" w:name="_Toc54210201"/>
      <w:r>
        <w:rPr>
          <w:rFonts w:hint="cs"/>
          <w:rtl/>
        </w:rPr>
        <w:t xml:space="preserve">דברי רבינו גרשום </w:t>
      </w:r>
      <w:bookmarkEnd w:id="1038"/>
      <w:bookmarkEnd w:id="1039"/>
      <w:r>
        <w:rPr>
          <w:rFonts w:hint="cs"/>
          <w:rtl/>
        </w:rPr>
        <w:t>דמשתמש בכדי שלא יטען שלא ראה חזקתו</w:t>
      </w:r>
      <w:bookmarkEnd w:id="1040"/>
      <w:bookmarkEnd w:id="1041"/>
      <w:bookmarkEnd w:id="1042"/>
      <w:r>
        <w:rPr>
          <w:rFonts w:hint="cs"/>
          <w:rtl/>
        </w:rPr>
        <w:t xml:space="preserve"> </w:t>
      </w:r>
    </w:p>
    <w:p w:rsidR="00AB3447" w:rsidRPr="00D87469" w:rsidRDefault="00AB3447" w:rsidP="00AB3447">
      <w:pPr>
        <w:pStyle w:val="a3"/>
        <w:rPr>
          <w:rtl/>
        </w:rPr>
      </w:pPr>
      <w:bookmarkStart w:id="1043" w:name="_Toc54177760"/>
      <w:bookmarkStart w:id="1044" w:name="_Toc54201215"/>
      <w:bookmarkStart w:id="1045" w:name="_Toc54210202"/>
      <w:bookmarkEnd w:id="1032"/>
      <w:bookmarkEnd w:id="1033"/>
      <w:r>
        <w:rPr>
          <w:rFonts w:hint="cs"/>
          <w:rtl/>
        </w:rPr>
        <w:t>דברי רבינו גרשום דכל שהשתמש בכל יום אין המערער יכול לומר שלא ראה את המחזיק בשדה</w:t>
      </w:r>
      <w:bookmarkEnd w:id="1043"/>
      <w:bookmarkEnd w:id="1044"/>
      <w:bookmarkEnd w:id="1045"/>
    </w:p>
    <w:p w:rsidR="00AB3447" w:rsidRDefault="00AB3447" w:rsidP="007E4E81">
      <w:pPr>
        <w:pStyle w:val="a0"/>
        <w:rPr>
          <w:rtl/>
        </w:rPr>
      </w:pPr>
      <w:bookmarkStart w:id="1046" w:name="_Ref53936946"/>
      <w:r>
        <w:rPr>
          <w:rFonts w:hint="cs"/>
          <w:rtl/>
        </w:rPr>
        <w:t xml:space="preserve">כתב </w:t>
      </w:r>
      <w:r w:rsidRPr="000219E0">
        <w:rPr>
          <w:rStyle w:val="af9"/>
          <w:rFonts w:hint="cs"/>
          <w:rtl/>
        </w:rPr>
        <w:t>רבינו גרשום</w:t>
      </w:r>
      <w:r>
        <w:rPr>
          <w:rFonts w:hint="cs"/>
          <w:rtl/>
        </w:rPr>
        <w:t xml:space="preserve"> </w:t>
      </w:r>
      <w:r w:rsidRPr="000219E0">
        <w:rPr>
          <w:rStyle w:val="af7"/>
          <w:rFonts w:eastAsia="Guttman Hodes" w:hint="cs"/>
          <w:rtl/>
        </w:rPr>
        <w:t xml:space="preserve">(ד"ה חזקתן) </w:t>
      </w:r>
      <w:r>
        <w:rPr>
          <w:rFonts w:hint="cs"/>
          <w:rtl/>
        </w:rPr>
        <w:t xml:space="preserve">דבדברים שעושים פירות תדיר, היינו שיש בהם שימוש בכל יום, ולכן המחזיק צריך להביא עדים שהשתמש בהם ג"ש מיום ליום, כדי שלא יוכל המערער לטעון שבא לשם ולא ראה שהמחזיק משתמש ולכן לא מחה, ועי' במ"ש </w:t>
      </w:r>
      <w:r w:rsidRPr="000219E0">
        <w:rPr>
          <w:rStyle w:val="af9"/>
          <w:rFonts w:hint="cs"/>
          <w:rtl/>
        </w:rPr>
        <w:t>רש"י</w:t>
      </w:r>
      <w:r>
        <w:rPr>
          <w:rFonts w:hint="cs"/>
          <w:rtl/>
        </w:rPr>
        <w:t xml:space="preserve"> </w:t>
      </w:r>
      <w:r w:rsidRPr="000219E0">
        <w:rPr>
          <w:rStyle w:val="af7"/>
          <w:rFonts w:eastAsia="Guttman Hodes" w:hint="cs"/>
          <w:rtl/>
        </w:rPr>
        <w:t xml:space="preserve">(עי' אות </w:t>
      </w:r>
      <w:r w:rsidRPr="000219E0">
        <w:rPr>
          <w:rStyle w:val="af7"/>
          <w:rFonts w:eastAsia="Guttman Hodes"/>
          <w:rtl/>
        </w:rPr>
        <w:fldChar w:fldCharType="begin"/>
      </w:r>
      <w:r w:rsidRPr="000219E0">
        <w:rPr>
          <w:rStyle w:val="af7"/>
          <w:rFonts w:eastAsia="Guttman Hodes"/>
          <w:rtl/>
        </w:rPr>
        <w:instrText xml:space="preserve"> </w:instrText>
      </w:r>
      <w:r w:rsidRPr="000219E0">
        <w:rPr>
          <w:rStyle w:val="af7"/>
          <w:rFonts w:eastAsia="Guttman Hodes" w:hint="cs"/>
        </w:rPr>
        <w:instrText>REF</w:instrText>
      </w:r>
      <w:r w:rsidRPr="000219E0">
        <w:rPr>
          <w:rStyle w:val="af7"/>
          <w:rFonts w:eastAsia="Guttman Hodes" w:hint="cs"/>
          <w:rtl/>
        </w:rPr>
        <w:instrText xml:space="preserve"> _</w:instrText>
      </w:r>
      <w:r w:rsidRPr="000219E0">
        <w:rPr>
          <w:rStyle w:val="af7"/>
          <w:rFonts w:eastAsia="Guttman Hodes" w:hint="cs"/>
        </w:rPr>
        <w:instrText>Ref53936910 \r \h</w:instrText>
      </w:r>
      <w:r w:rsidRPr="000219E0">
        <w:rPr>
          <w:rStyle w:val="af7"/>
          <w:rFonts w:eastAsia="Guttman Hodes"/>
          <w:rtl/>
        </w:rPr>
        <w:instrText xml:space="preserve"> </w:instrText>
      </w:r>
      <w:r w:rsidRPr="000219E0">
        <w:rPr>
          <w:rStyle w:val="af7"/>
          <w:rFonts w:eastAsia="Guttman Hodes"/>
          <w:rtl/>
        </w:rPr>
      </w:r>
      <w:r w:rsidRPr="000219E0">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0219E0">
        <w:rPr>
          <w:rStyle w:val="af7"/>
          <w:rFonts w:eastAsia="Guttman Hodes"/>
          <w:rtl/>
        </w:rPr>
        <w:fldChar w:fldCharType="end"/>
      </w:r>
      <w:r w:rsidRPr="000219E0">
        <w:rPr>
          <w:rStyle w:val="af7"/>
          <w:rFonts w:eastAsia="Guttman Hodes" w:hint="cs"/>
          <w:rtl/>
        </w:rPr>
        <w:t xml:space="preserve"> </w:t>
      </w:r>
      <w:r>
        <w:rPr>
          <w:rFonts w:hint="cs"/>
          <w:rtl/>
        </w:rPr>
        <w:t xml:space="preserve">ובמה שביאר </w:t>
      </w:r>
      <w:r w:rsidRPr="000219E0">
        <w:rPr>
          <w:rStyle w:val="af9"/>
          <w:rFonts w:hint="cs"/>
          <w:rtl/>
        </w:rPr>
        <w:t>בחי' רבי נחום</w:t>
      </w:r>
      <w:r>
        <w:rPr>
          <w:rFonts w:hint="cs"/>
          <w:rtl/>
        </w:rPr>
        <w:t xml:space="preserve"> </w:t>
      </w:r>
      <w:r w:rsidRPr="00A67C62">
        <w:rPr>
          <w:rStyle w:val="af7"/>
          <w:rFonts w:eastAsia="Guttman Hodes" w:hint="cs"/>
          <w:rtl/>
        </w:rPr>
        <w:t xml:space="preserve">(עי' אות </w:t>
      </w:r>
      <w:r w:rsidRPr="00A67C62">
        <w:rPr>
          <w:rStyle w:val="af7"/>
          <w:rFonts w:eastAsia="Guttman Hodes"/>
          <w:rtl/>
        </w:rPr>
        <w:fldChar w:fldCharType="begin"/>
      </w:r>
      <w:r w:rsidRPr="00A67C62">
        <w:rPr>
          <w:rStyle w:val="af7"/>
          <w:rFonts w:eastAsia="Guttman Hodes"/>
          <w:rtl/>
        </w:rPr>
        <w:instrText xml:space="preserve"> </w:instrText>
      </w:r>
      <w:r w:rsidRPr="00A67C62">
        <w:rPr>
          <w:rStyle w:val="af7"/>
          <w:rFonts w:eastAsia="Guttman Hodes" w:hint="cs"/>
        </w:rPr>
        <w:instrText>REF</w:instrText>
      </w:r>
      <w:r w:rsidRPr="00A67C62">
        <w:rPr>
          <w:rStyle w:val="af7"/>
          <w:rFonts w:eastAsia="Guttman Hodes" w:hint="cs"/>
          <w:rtl/>
        </w:rPr>
        <w:instrText xml:space="preserve"> _</w:instrText>
      </w:r>
      <w:r w:rsidRPr="00A67C62">
        <w:rPr>
          <w:rStyle w:val="af7"/>
          <w:rFonts w:eastAsia="Guttman Hodes" w:hint="cs"/>
        </w:rPr>
        <w:instrText>Ref54208608 \r \h</w:instrText>
      </w:r>
      <w:r w:rsidRPr="00A67C62">
        <w:rPr>
          <w:rStyle w:val="af7"/>
          <w:rFonts w:eastAsia="Guttman Hodes"/>
          <w:rtl/>
        </w:rPr>
        <w:instrText xml:space="preserve"> </w:instrText>
      </w:r>
      <w:r w:rsidRPr="00A67C62">
        <w:rPr>
          <w:rStyle w:val="af7"/>
          <w:rFonts w:eastAsia="Guttman Hodes"/>
          <w:rtl/>
        </w:rPr>
      </w:r>
      <w:r w:rsidRPr="00A67C62">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A67C62">
        <w:rPr>
          <w:rStyle w:val="af7"/>
          <w:rFonts w:eastAsia="Guttman Hodes"/>
          <w:rtl/>
        </w:rPr>
        <w:fldChar w:fldCharType="end"/>
      </w:r>
      <w:r>
        <w:rPr>
          <w:rFonts w:hint="cs"/>
          <w:rtl/>
        </w:rPr>
        <w:t xml:space="preserve"> בדברי </w:t>
      </w:r>
      <w:r w:rsidRPr="000219E0">
        <w:rPr>
          <w:rStyle w:val="af9"/>
          <w:rFonts w:hint="cs"/>
          <w:rtl/>
        </w:rPr>
        <w:t>רבינו גרשום</w:t>
      </w:r>
      <w:r>
        <w:rPr>
          <w:rFonts w:hint="cs"/>
          <w:rtl/>
        </w:rPr>
        <w:t>.</w:t>
      </w:r>
      <w:bookmarkEnd w:id="1046"/>
    </w:p>
    <w:p w:rsidR="00AB3447" w:rsidRPr="001C50AA" w:rsidRDefault="00AB3447" w:rsidP="00AB3447">
      <w:pPr>
        <w:pStyle w:val="a3"/>
      </w:pPr>
      <w:bookmarkStart w:id="1047" w:name="_Toc54177761"/>
      <w:bookmarkStart w:id="1048" w:name="_Toc54201216"/>
      <w:bookmarkStart w:id="1049" w:name="_Toc54210203"/>
      <w:r>
        <w:rPr>
          <w:rFonts w:hint="cs"/>
          <w:rtl/>
        </w:rPr>
        <w:t>דברי רבינו גרשום דבבית הבעל כל שהתשמש בזמן הרגיל אין המערער יכול לומר שלא ראה</w:t>
      </w:r>
      <w:bookmarkEnd w:id="1047"/>
      <w:bookmarkEnd w:id="1048"/>
      <w:bookmarkEnd w:id="1049"/>
    </w:p>
    <w:p w:rsidR="00AB3447" w:rsidRPr="000219E0" w:rsidRDefault="00AB3447" w:rsidP="007E4E81">
      <w:pPr>
        <w:pStyle w:val="a0"/>
        <w:rPr>
          <w:rStyle w:val="afb"/>
          <w:rtl/>
        </w:rPr>
      </w:pPr>
      <w:bookmarkStart w:id="1050" w:name="_Ref54208683"/>
      <w:r>
        <w:rPr>
          <w:rFonts w:hint="cs"/>
          <w:rtl/>
        </w:rPr>
        <w:t xml:space="preserve">אבל בשדה בית הבעל, כתב </w:t>
      </w:r>
      <w:r w:rsidRPr="000219E0">
        <w:rPr>
          <w:rStyle w:val="af9"/>
          <w:rFonts w:hint="cs"/>
          <w:rtl/>
        </w:rPr>
        <w:t>רבינו גרשום</w:t>
      </w:r>
      <w:r>
        <w:rPr>
          <w:rFonts w:hint="cs"/>
          <w:rtl/>
        </w:rPr>
        <w:t xml:space="preserve"> </w:t>
      </w:r>
      <w:r w:rsidRPr="000219E0">
        <w:rPr>
          <w:rStyle w:val="af7"/>
          <w:rFonts w:eastAsia="Guttman Hodes" w:hint="cs"/>
          <w:rtl/>
        </w:rPr>
        <w:t xml:space="preserve">(ד"ה שדה) </w:t>
      </w:r>
      <w:r>
        <w:rPr>
          <w:rFonts w:hint="cs"/>
          <w:rtl/>
        </w:rPr>
        <w:t xml:space="preserve">דכיון שאין משתמשים בה בכל יום, לכן אף אם יאמר המערער שבא לשדה, ולא ראה שהמחזיק משתמש בה, יכול המחזיק לומר לו דהוא השתמש בזמן שרגילים להשתמש בה, וכיון שהמערער לא מחה בזמן שהשתמש בה המחזיק, לא הוי מחאה. </w:t>
      </w:r>
      <w:r w:rsidRPr="000219E0">
        <w:rPr>
          <w:rStyle w:val="afb"/>
          <w:rFonts w:hint="cs"/>
          <w:rtl/>
        </w:rPr>
        <w:t>[יל"ע מה כוונת</w:t>
      </w:r>
      <w:r>
        <w:rPr>
          <w:rStyle w:val="afb"/>
          <w:rFonts w:hint="cs"/>
          <w:rtl/>
        </w:rPr>
        <w:t>ו</w:t>
      </w:r>
      <w:r w:rsidRPr="000219E0">
        <w:rPr>
          <w:rStyle w:val="afb"/>
          <w:rFonts w:hint="cs"/>
          <w:rtl/>
        </w:rPr>
        <w:t xml:space="preserve"> דלא הוי מחאה].</w:t>
      </w:r>
      <w:bookmarkEnd w:id="1050"/>
    </w:p>
    <w:p w:rsidR="00AB3447" w:rsidRDefault="00AB3447" w:rsidP="00AB3447">
      <w:pPr>
        <w:pStyle w:val="1"/>
        <w:rPr>
          <w:rtl/>
        </w:rPr>
      </w:pPr>
      <w:bookmarkStart w:id="1051" w:name="_Toc54177762"/>
      <w:bookmarkStart w:id="1052" w:name="_Toc54201217"/>
      <w:bookmarkStart w:id="1053" w:name="_Toc54210204"/>
      <w:bookmarkStart w:id="1054" w:name="_Toc53940581"/>
      <w:r>
        <w:rPr>
          <w:rFonts w:hint="cs"/>
          <w:rtl/>
        </w:rPr>
        <w:t>דברי הרשב"א דסגי באכילת פירות כדרך הבעלים ולא בכל יום</w:t>
      </w:r>
      <w:bookmarkEnd w:id="1051"/>
      <w:bookmarkEnd w:id="1052"/>
      <w:bookmarkEnd w:id="1053"/>
    </w:p>
    <w:p w:rsidR="00AB3447" w:rsidRDefault="00AB3447" w:rsidP="00AB3447">
      <w:pPr>
        <w:pStyle w:val="a3"/>
      </w:pPr>
      <w:bookmarkStart w:id="1055" w:name="_Toc54177763"/>
      <w:bookmarkStart w:id="1056" w:name="_Toc54201218"/>
      <w:bookmarkStart w:id="1057" w:name="_Toc54210205"/>
      <w:r>
        <w:rPr>
          <w:rFonts w:hint="cs"/>
          <w:rtl/>
        </w:rPr>
        <w:t>דברי הרשב"א דבעושין פירות תדיר א"צ להשתמש כל יום אלא לאכול פירות כדרך הבעלים</w:t>
      </w:r>
      <w:bookmarkEnd w:id="1055"/>
      <w:bookmarkEnd w:id="1056"/>
      <w:bookmarkEnd w:id="1057"/>
    </w:p>
    <w:p w:rsidR="00AB3447" w:rsidRDefault="00AB3447" w:rsidP="007E4E81">
      <w:pPr>
        <w:pStyle w:val="a0"/>
        <w:rPr>
          <w:rtl/>
        </w:rPr>
      </w:pPr>
      <w:bookmarkStart w:id="1058" w:name="_Ref54176495"/>
      <w:r>
        <w:rPr>
          <w:rFonts w:hint="cs"/>
          <w:rtl/>
        </w:rPr>
        <w:t xml:space="preserve">כתב </w:t>
      </w:r>
      <w:r>
        <w:rPr>
          <w:rStyle w:val="af9"/>
          <w:rFonts w:hint="cs"/>
          <w:rtl/>
        </w:rPr>
        <w:t>ו</w:t>
      </w:r>
      <w:r w:rsidRPr="00C25E8F">
        <w:rPr>
          <w:rStyle w:val="af9"/>
          <w:rFonts w:hint="cs"/>
          <w:rtl/>
        </w:rPr>
        <w:t>הרשב"א</w:t>
      </w:r>
      <w:r>
        <w:rPr>
          <w:rFonts w:hint="cs"/>
          <w:rtl/>
        </w:rPr>
        <w:t xml:space="preserve"> </w:t>
      </w:r>
      <w:r w:rsidRPr="0062602F">
        <w:rPr>
          <w:rStyle w:val="af7"/>
          <w:rFonts w:eastAsia="Guttman Hodes" w:hint="cs"/>
          <w:rtl/>
        </w:rPr>
        <w:t xml:space="preserve">(ד"ה וכל) </w:t>
      </w:r>
      <w:r>
        <w:rPr>
          <w:rFonts w:hint="cs"/>
          <w:rtl/>
        </w:rPr>
        <w:t xml:space="preserve">דהא דתנן דדבר שעושה פירות תדיר, חזקתו ג"ש מיום ליום, אין כוונת המשנה שבכל יום הוא צריך לאכול פירות, דהא אין דרך הבעלים להשתמש כך, אלא הכוונה שמשתמש תדיר כדרך שהבעלים משתמשים, ואין זמן מסויים שרק בו אוכלים את הפירות, כמו בשדה הבעל שרק בזמן מסויים הוא אוכל את הפירות, ולכן כל שהמחזיק השתמש בשדה כדרך שהבעלים משתמשים הויא חזקה, והביא </w:t>
      </w:r>
      <w:r w:rsidRPr="00C25E8F">
        <w:rPr>
          <w:rStyle w:val="af9"/>
          <w:rFonts w:hint="cs"/>
          <w:rtl/>
        </w:rPr>
        <w:t>הרשב"א</w:t>
      </w:r>
      <w:r>
        <w:rPr>
          <w:rFonts w:hint="cs"/>
          <w:rtl/>
        </w:rPr>
        <w:t xml:space="preserve"> דכ"כ </w:t>
      </w:r>
      <w:r w:rsidRPr="00C25E8F">
        <w:rPr>
          <w:rStyle w:val="af9"/>
          <w:rFonts w:hint="cs"/>
          <w:rtl/>
        </w:rPr>
        <w:t>העיטור</w:t>
      </w:r>
      <w:r>
        <w:rPr>
          <w:rFonts w:hint="cs"/>
          <w:rtl/>
        </w:rPr>
        <w:t xml:space="preserve"> </w:t>
      </w:r>
      <w:r w:rsidRPr="0062602F">
        <w:rPr>
          <w:rStyle w:val="af7"/>
          <w:rFonts w:eastAsia="Guttman Hodes" w:hint="cs"/>
          <w:rtl/>
        </w:rPr>
        <w:t xml:space="preserve">(או' מ' מחאה מא סוף טור ג', הועתק בקובץ שיטות קמאי ב"ב ח"א עמ' תרנ"ו) </w:t>
      </w:r>
      <w:r>
        <w:rPr>
          <w:rFonts w:hint="cs"/>
          <w:rtl/>
        </w:rPr>
        <w:t xml:space="preserve">בשם </w:t>
      </w:r>
      <w:r w:rsidRPr="0062602F">
        <w:rPr>
          <w:rStyle w:val="af9"/>
          <w:rFonts w:hint="cs"/>
          <w:rtl/>
        </w:rPr>
        <w:t>ר"ת</w:t>
      </w:r>
      <w:r>
        <w:rPr>
          <w:rFonts w:hint="cs"/>
          <w:rtl/>
        </w:rPr>
        <w:t>.</w:t>
      </w:r>
      <w:bookmarkEnd w:id="1058"/>
    </w:p>
    <w:p w:rsidR="00AB3447" w:rsidRDefault="00AB3447" w:rsidP="00AB3447">
      <w:pPr>
        <w:pStyle w:val="1"/>
        <w:rPr>
          <w:rtl/>
        </w:rPr>
      </w:pPr>
      <w:bookmarkStart w:id="1059" w:name="_Toc54177764"/>
      <w:bookmarkStart w:id="1060" w:name="_Toc54201219"/>
      <w:bookmarkStart w:id="1061" w:name="_Toc54210206"/>
      <w:r>
        <w:rPr>
          <w:rFonts w:hint="cs"/>
          <w:rtl/>
        </w:rPr>
        <w:t>דברי הרשב"א</w:t>
      </w:r>
      <w:bookmarkEnd w:id="1054"/>
      <w:r>
        <w:rPr>
          <w:rFonts w:hint="cs"/>
          <w:rtl/>
        </w:rPr>
        <w:t xml:space="preserve"> דבבית השלחין כל השנה היא אכילה אחת</w:t>
      </w:r>
      <w:bookmarkEnd w:id="1059"/>
      <w:bookmarkEnd w:id="1060"/>
      <w:bookmarkEnd w:id="1061"/>
    </w:p>
    <w:p w:rsidR="00AB3447" w:rsidRPr="00DB4B43" w:rsidRDefault="00AB3447" w:rsidP="00AB3447">
      <w:pPr>
        <w:pStyle w:val="a3"/>
        <w:rPr>
          <w:rtl/>
        </w:rPr>
      </w:pPr>
      <w:bookmarkStart w:id="1062" w:name="_Toc54177765"/>
      <w:bookmarkStart w:id="1063" w:name="_Toc54201220"/>
      <w:bookmarkStart w:id="1064" w:name="_Toc54210207"/>
      <w:r>
        <w:rPr>
          <w:rFonts w:hint="cs"/>
          <w:rtl/>
        </w:rPr>
        <w:t>דברי הרשב"א דבבית השלחין שלא פוסקין פירותיה חשיבא כל השנה כאכילה אחת</w:t>
      </w:r>
      <w:bookmarkEnd w:id="1062"/>
      <w:bookmarkEnd w:id="1063"/>
      <w:bookmarkEnd w:id="1064"/>
    </w:p>
    <w:p w:rsidR="00AB3447" w:rsidRDefault="00AB3447" w:rsidP="007E4E81">
      <w:pPr>
        <w:pStyle w:val="a0"/>
        <w:rPr>
          <w:rtl/>
        </w:rPr>
      </w:pPr>
      <w:r>
        <w:rPr>
          <w:rFonts w:hint="cs"/>
          <w:rtl/>
        </w:rPr>
        <w:t>כתב</w:t>
      </w:r>
      <w:r w:rsidRPr="00C25E8F">
        <w:rPr>
          <w:rStyle w:val="af9"/>
          <w:rFonts w:hint="cs"/>
          <w:rtl/>
        </w:rPr>
        <w:t xml:space="preserve"> הרשב"א</w:t>
      </w:r>
      <w:r>
        <w:rPr>
          <w:rFonts w:hint="cs"/>
          <w:rtl/>
        </w:rPr>
        <w:t xml:space="preserve"> </w:t>
      </w:r>
      <w:r w:rsidRPr="0062602F">
        <w:rPr>
          <w:rStyle w:val="af7"/>
          <w:rFonts w:eastAsia="Guttman Hodes" w:hint="cs"/>
          <w:rtl/>
        </w:rPr>
        <w:t xml:space="preserve">(כח: ד"ה לרבי ישמעאל) </w:t>
      </w:r>
      <w:r>
        <w:rPr>
          <w:rFonts w:hint="cs"/>
          <w:rtl/>
        </w:rPr>
        <w:t>דהא דבבית השלחין לכו"ע צריך ג' שנים מיום ליום, ולא סגי באכילת ג' מיני ירקות אף בחודש אחד, הוא כיון דבבית השלחין שבכל השנה לא פוסקים פירותיה, אכילת כל השנה חשיבא כאכילה אחת, ואין הדרך להשכיר את השדה לפחות משנה.</w:t>
      </w:r>
    </w:p>
    <w:p w:rsidR="00AB3447" w:rsidRPr="005F3B97" w:rsidRDefault="00AB3447" w:rsidP="00AB3447">
      <w:pPr>
        <w:pStyle w:val="a3"/>
        <w:rPr>
          <w:rtl/>
        </w:rPr>
      </w:pPr>
    </w:p>
    <w:p w:rsidR="00AB3447" w:rsidRDefault="00AB3447" w:rsidP="00AB3447">
      <w:pPr>
        <w:pStyle w:val="1"/>
        <w:rPr>
          <w:rtl/>
        </w:rPr>
      </w:pPr>
      <w:bookmarkStart w:id="1065" w:name="_Toc53934662"/>
      <w:bookmarkStart w:id="1066" w:name="_Toc53940597"/>
      <w:bookmarkStart w:id="1067" w:name="_Toc54177801"/>
      <w:bookmarkStart w:id="1068" w:name="_Toc54201221"/>
      <w:bookmarkStart w:id="1069" w:name="_Toc54210208"/>
      <w:bookmarkStart w:id="1070" w:name="_Toc54177766"/>
      <w:r>
        <w:rPr>
          <w:rFonts w:hint="cs"/>
          <w:rtl/>
        </w:rPr>
        <w:lastRenderedPageBreak/>
        <w:t>דברי הרמ"ה</w:t>
      </w:r>
      <w:bookmarkEnd w:id="1065"/>
      <w:bookmarkEnd w:id="1066"/>
      <w:bookmarkEnd w:id="1067"/>
      <w:r>
        <w:rPr>
          <w:rFonts w:hint="cs"/>
          <w:rtl/>
        </w:rPr>
        <w:t xml:space="preserve"> דכל שימוש קבוע חשיב עושה פירות תדיר</w:t>
      </w:r>
      <w:bookmarkEnd w:id="1068"/>
      <w:bookmarkEnd w:id="1069"/>
    </w:p>
    <w:p w:rsidR="00AB3447" w:rsidRPr="00586887" w:rsidRDefault="00AB3447" w:rsidP="00AB3447">
      <w:pPr>
        <w:pStyle w:val="a3"/>
        <w:rPr>
          <w:rtl/>
        </w:rPr>
      </w:pPr>
      <w:bookmarkStart w:id="1071" w:name="_Toc54201222"/>
      <w:bookmarkStart w:id="1072" w:name="_Toc54210209"/>
      <w:r>
        <w:rPr>
          <w:rFonts w:hint="cs"/>
          <w:rtl/>
        </w:rPr>
        <w:t>דברי הרמ"ה דפירות תדיר שיש לו שימוש בכל השנה וכ"ש בית השלחין שעושה פירות ממש</w:t>
      </w:r>
      <w:bookmarkEnd w:id="1071"/>
      <w:bookmarkEnd w:id="1072"/>
    </w:p>
    <w:p w:rsidR="00AB3447" w:rsidRDefault="00AB3447" w:rsidP="007E4E81">
      <w:pPr>
        <w:pStyle w:val="a0"/>
        <w:rPr>
          <w:rtl/>
        </w:rPr>
      </w:pPr>
      <w:r>
        <w:rPr>
          <w:rFonts w:hint="cs"/>
          <w:rtl/>
        </w:rPr>
        <w:t xml:space="preserve">כתב </w:t>
      </w:r>
      <w:r w:rsidRPr="00586887">
        <w:rPr>
          <w:rStyle w:val="af9"/>
          <w:rFonts w:hint="cs"/>
          <w:rtl/>
        </w:rPr>
        <w:t>היד רמ"ה</w:t>
      </w:r>
      <w:r>
        <w:rPr>
          <w:rFonts w:hint="cs"/>
          <w:rtl/>
        </w:rPr>
        <w:t xml:space="preserve"> </w:t>
      </w:r>
      <w:r w:rsidRPr="00586887">
        <w:rPr>
          <w:rStyle w:val="af7"/>
          <w:rFonts w:eastAsia="Guttman Hodes" w:hint="cs"/>
          <w:rtl/>
        </w:rPr>
        <w:t>(או' א' ד"ה ומאי)</w:t>
      </w:r>
      <w:r>
        <w:rPr>
          <w:rFonts w:hint="cs"/>
          <w:rtl/>
        </w:rPr>
        <w:t xml:space="preserve"> דדבר שעושה פירות תדיר, היינו שהבעלים יכולים להנות ממנו תדיר, דההנאה והתשמיש שלו הם הפירות, כגון דירה בבתים, ובורות שכונס בהם מים, ובית הבדים להניח בו כלים כל השנה, </w:t>
      </w:r>
      <w:r w:rsidRPr="00586887">
        <w:rPr>
          <w:rStyle w:val="afb"/>
          <w:rFonts w:hint="cs"/>
          <w:rtl/>
        </w:rPr>
        <w:t xml:space="preserve">[כדביאר </w:t>
      </w:r>
      <w:r w:rsidRPr="00586887">
        <w:rPr>
          <w:rStyle w:val="affa"/>
          <w:rFonts w:hint="cs"/>
          <w:rtl/>
        </w:rPr>
        <w:t>היד רמ"ה</w:t>
      </w:r>
      <w:r w:rsidRPr="00586887">
        <w:rPr>
          <w:rStyle w:val="afb"/>
          <w:rFonts w:hint="cs"/>
          <w:rtl/>
        </w:rPr>
        <w:t xml:space="preserve"> </w:t>
      </w:r>
      <w:r w:rsidRPr="00586887">
        <w:rPr>
          <w:rStyle w:val="aff6"/>
          <w:rFonts w:hint="cs"/>
          <w:rtl/>
        </w:rPr>
        <w:t xml:space="preserve">(עי' אות </w:t>
      </w:r>
      <w:r w:rsidRPr="00586887">
        <w:rPr>
          <w:rStyle w:val="aff6"/>
          <w:rtl/>
        </w:rPr>
        <w:fldChar w:fldCharType="begin"/>
      </w:r>
      <w:r w:rsidRPr="00586887">
        <w:rPr>
          <w:rStyle w:val="aff6"/>
          <w:rtl/>
        </w:rPr>
        <w:instrText xml:space="preserve"> </w:instrText>
      </w:r>
      <w:r w:rsidRPr="00586887">
        <w:rPr>
          <w:rStyle w:val="aff6"/>
          <w:rFonts w:hint="cs"/>
        </w:rPr>
        <w:instrText>REF</w:instrText>
      </w:r>
      <w:r w:rsidRPr="00586887">
        <w:rPr>
          <w:rStyle w:val="aff6"/>
          <w:rFonts w:hint="cs"/>
          <w:rtl/>
        </w:rPr>
        <w:instrText xml:space="preserve"> _</w:instrText>
      </w:r>
      <w:r w:rsidRPr="00586887">
        <w:rPr>
          <w:rStyle w:val="aff6"/>
          <w:rFonts w:hint="cs"/>
        </w:rPr>
        <w:instrText>Ref54192503 \r \h</w:instrText>
      </w:r>
      <w:r w:rsidRPr="00586887">
        <w:rPr>
          <w:rStyle w:val="aff6"/>
          <w:rtl/>
        </w:rPr>
        <w:instrText xml:space="preserve"> </w:instrText>
      </w:r>
      <w:r w:rsidRPr="00586887">
        <w:rPr>
          <w:rStyle w:val="aff6"/>
          <w:rtl/>
        </w:rPr>
      </w:r>
      <w:r w:rsidRPr="00586887">
        <w:rPr>
          <w:rStyle w:val="aff6"/>
          <w:rtl/>
        </w:rPr>
        <w:fldChar w:fldCharType="separate"/>
      </w:r>
      <w:r w:rsidR="00265073">
        <w:rPr>
          <w:rStyle w:val="aff6"/>
          <w:cs/>
        </w:rPr>
        <w:t>‎</w:t>
      </w:r>
      <w:r w:rsidR="00265073">
        <w:rPr>
          <w:rStyle w:val="aff6"/>
          <w:rtl/>
        </w:rPr>
        <w:t>יט)</w:t>
      </w:r>
      <w:r w:rsidRPr="00586887">
        <w:rPr>
          <w:rStyle w:val="aff6"/>
          <w:rtl/>
        </w:rPr>
        <w:fldChar w:fldCharType="end"/>
      </w:r>
      <w:r w:rsidRPr="00586887">
        <w:rPr>
          <w:rStyle w:val="afb"/>
          <w:rFonts w:hint="cs"/>
          <w:rtl/>
        </w:rPr>
        <w:t>],</w:t>
      </w:r>
      <w:r>
        <w:rPr>
          <w:rFonts w:hint="cs"/>
          <w:rtl/>
        </w:rPr>
        <w:t xml:space="preserve"> וכ"ש בבית השלחין דהדרך להשקותו תמיד, וכיון שמשקהו תמיד גדלים בו פירות וירקות בכל השנה, וכן בעבדים הדרך להשתמש בהם תדיר.</w:t>
      </w:r>
    </w:p>
    <w:p w:rsidR="00AB3447" w:rsidRPr="00981A5F" w:rsidRDefault="00AB3447" w:rsidP="00AB3447">
      <w:pPr>
        <w:pStyle w:val="a3"/>
        <w:rPr>
          <w:rtl/>
        </w:rPr>
      </w:pPr>
      <w:bookmarkStart w:id="1073" w:name="_Toc54201223"/>
      <w:bookmarkStart w:id="1074" w:name="_Toc54210210"/>
      <w:r>
        <w:rPr>
          <w:rFonts w:hint="cs"/>
          <w:rtl/>
        </w:rPr>
        <w:t>דברי הרמ"ה דלמסקנא דעד ג"ש נזהר בשטרו רק בשימוש כדרך הבעלים היה לו למחות</w:t>
      </w:r>
      <w:bookmarkEnd w:id="1073"/>
      <w:bookmarkEnd w:id="1074"/>
    </w:p>
    <w:p w:rsidR="00AB3447" w:rsidRDefault="00AB3447" w:rsidP="007E4E81">
      <w:pPr>
        <w:pStyle w:val="a0"/>
        <w:rPr>
          <w:rtl/>
        </w:rPr>
      </w:pPr>
      <w:r>
        <w:rPr>
          <w:rFonts w:hint="cs"/>
          <w:rtl/>
        </w:rPr>
        <w:t xml:space="preserve">וכתב </w:t>
      </w:r>
      <w:r w:rsidRPr="00981A5F">
        <w:rPr>
          <w:rStyle w:val="af9"/>
          <w:rFonts w:hint="cs"/>
          <w:rtl/>
        </w:rPr>
        <w:t>היד רמ"ה</w:t>
      </w:r>
      <w:r>
        <w:rPr>
          <w:rFonts w:hint="cs"/>
          <w:rtl/>
        </w:rPr>
        <w:t xml:space="preserve"> </w:t>
      </w:r>
      <w:r w:rsidRPr="00981A5F">
        <w:rPr>
          <w:rStyle w:val="af7"/>
          <w:rFonts w:eastAsia="Guttman Hodes" w:hint="cs"/>
          <w:rtl/>
        </w:rPr>
        <w:t>(או' א' ד"ה ומסקנא)</w:t>
      </w:r>
      <w:r>
        <w:rPr>
          <w:rFonts w:hint="cs"/>
          <w:rtl/>
        </w:rPr>
        <w:t xml:space="preserve"> דלמסקנא טעמא דחזקת ג"ש, הוא כיון דיותר מג"ש אינו נזהר בשטרו, ולכן צריך ג"ש מיום ליום, דרק באופן שהמחזיק השתמש בקרקע בדרך קבע כמו שהבעלים משתמשים הוי חזקה.</w:t>
      </w:r>
    </w:p>
    <w:p w:rsidR="00AB3447" w:rsidRPr="00401A03" w:rsidRDefault="00AB3447" w:rsidP="00AB3447">
      <w:pPr>
        <w:pStyle w:val="a3"/>
      </w:pPr>
      <w:bookmarkStart w:id="1075" w:name="_Toc54201224"/>
      <w:bookmarkStart w:id="1076" w:name="_Toc54210211"/>
      <w:r>
        <w:rPr>
          <w:rFonts w:hint="cs"/>
          <w:rtl/>
        </w:rPr>
        <w:t>דברי הרמ"ה דבהחזיק בו שלא בדרך קבע יכול המערער לומר דראה שמשתמש ארעי ולא מחה</w:t>
      </w:r>
      <w:bookmarkEnd w:id="1075"/>
      <w:bookmarkEnd w:id="1076"/>
    </w:p>
    <w:p w:rsidR="00AB3447" w:rsidRDefault="00AB3447" w:rsidP="007E4E81">
      <w:pPr>
        <w:pStyle w:val="a0"/>
        <w:rPr>
          <w:rtl/>
        </w:rPr>
      </w:pPr>
      <w:r>
        <w:rPr>
          <w:rFonts w:hint="cs"/>
          <w:rtl/>
        </w:rPr>
        <w:t xml:space="preserve">אך כתב </w:t>
      </w:r>
      <w:r w:rsidRPr="00981A5F">
        <w:rPr>
          <w:rStyle w:val="af9"/>
          <w:rFonts w:hint="cs"/>
          <w:rtl/>
        </w:rPr>
        <w:t>היד רמ"ה</w:t>
      </w:r>
      <w:r>
        <w:rPr>
          <w:rFonts w:hint="cs"/>
          <w:rtl/>
        </w:rPr>
        <w:t xml:space="preserve"> דאם המחזיק לא השתמש בדרך קבע, יכול המערער לטעון דכיון שראה שהמחזיק משתמש בדרך ארעי, אינו רוצה להחזיק בקרקע, וכוונתו רק להנות ממנה לזמן קצר, ולכן לא מחה בו המערער.</w:t>
      </w:r>
    </w:p>
    <w:p w:rsidR="00AB3447" w:rsidRDefault="00AB3447" w:rsidP="00AB3447">
      <w:pPr>
        <w:pStyle w:val="1"/>
        <w:rPr>
          <w:rtl/>
        </w:rPr>
      </w:pPr>
      <w:bookmarkStart w:id="1077" w:name="_Toc54201225"/>
      <w:bookmarkStart w:id="1078" w:name="_Toc54210212"/>
      <w:r>
        <w:rPr>
          <w:rFonts w:hint="cs"/>
          <w:rtl/>
        </w:rPr>
        <w:t>ביאורי הראשונים בהא דבית הבדים עושים פירות תדיר</w:t>
      </w:r>
      <w:bookmarkEnd w:id="1070"/>
      <w:bookmarkEnd w:id="1077"/>
      <w:bookmarkEnd w:id="1078"/>
    </w:p>
    <w:p w:rsidR="00AB3447" w:rsidRPr="00112885" w:rsidRDefault="00AB3447" w:rsidP="00AB3447">
      <w:pPr>
        <w:pStyle w:val="a3"/>
        <w:rPr>
          <w:rtl/>
        </w:rPr>
      </w:pPr>
      <w:bookmarkStart w:id="1079" w:name="_Toc54177767"/>
      <w:bookmarkStart w:id="1080" w:name="_Toc54201226"/>
      <w:bookmarkStart w:id="1081" w:name="_Toc54210213"/>
      <w:r>
        <w:rPr>
          <w:rFonts w:hint="cs"/>
          <w:rtl/>
        </w:rPr>
        <w:t>דברי התוס' דאף דלבית הבדים יש זמן קבוע מ"מ יש מיעוט שדורכים זיתים בכל השנה</w:t>
      </w:r>
      <w:bookmarkEnd w:id="1079"/>
      <w:bookmarkEnd w:id="1080"/>
      <w:bookmarkEnd w:id="1081"/>
    </w:p>
    <w:p w:rsidR="00AB3447" w:rsidRDefault="00AB3447" w:rsidP="007E4E81">
      <w:pPr>
        <w:pStyle w:val="a0"/>
        <w:rPr>
          <w:rtl/>
        </w:rPr>
      </w:pPr>
      <w:bookmarkStart w:id="1082" w:name="_Ref54169626"/>
      <w:r>
        <w:rPr>
          <w:rFonts w:hint="cs"/>
          <w:rtl/>
        </w:rPr>
        <w:t xml:space="preserve">בהא דתנן דבית הבדים עושים פירות תדיר וחזקתן ג"ש, כתבו </w:t>
      </w:r>
      <w:r w:rsidRPr="00C25E8F">
        <w:rPr>
          <w:rStyle w:val="af9"/>
          <w:rFonts w:hint="cs"/>
          <w:rtl/>
        </w:rPr>
        <w:t>התוס'</w:t>
      </w:r>
      <w:r>
        <w:rPr>
          <w:rFonts w:hint="cs"/>
          <w:rtl/>
        </w:rPr>
        <w:t xml:space="preserve"> </w:t>
      </w:r>
      <w:r w:rsidRPr="0062602F">
        <w:rPr>
          <w:rStyle w:val="af7"/>
          <w:rFonts w:eastAsia="Guttman Hodes" w:hint="cs"/>
          <w:rtl/>
        </w:rPr>
        <w:t xml:space="preserve">(ד"ה חזקת) </w:t>
      </w:r>
      <w:r>
        <w:rPr>
          <w:rFonts w:hint="cs"/>
          <w:rtl/>
        </w:rPr>
        <w:t xml:space="preserve">דהא דבגמ' בחגיגה </w:t>
      </w:r>
      <w:r w:rsidRPr="0062602F">
        <w:rPr>
          <w:rStyle w:val="af7"/>
          <w:rFonts w:eastAsia="Guttman Hodes" w:hint="cs"/>
          <w:rtl/>
        </w:rPr>
        <w:t xml:space="preserve">(כד:) </w:t>
      </w:r>
      <w:r>
        <w:rPr>
          <w:rFonts w:hint="cs"/>
          <w:rtl/>
        </w:rPr>
        <w:t xml:space="preserve">משמע שיש זמן קבוע שבו רוב העולם דורכים זיתים בבית הבדים, היינו דרוב האנשים דורכים את הזיתים בזמן הלקיטה, אבל יש מיעוט שמצניעים זיתים לכל השנה ודורכין, ולכן חשיב שבית הבתים עושים פירות תדיר, ועי' במ"ש </w:t>
      </w:r>
      <w:r w:rsidRPr="009E4CD0">
        <w:rPr>
          <w:rStyle w:val="af9"/>
          <w:rFonts w:hint="cs"/>
          <w:rtl/>
        </w:rPr>
        <w:t>במרומי שדה</w:t>
      </w:r>
      <w:r>
        <w:rPr>
          <w:rFonts w:hint="cs"/>
          <w:rtl/>
        </w:rPr>
        <w:t xml:space="preserve"> </w:t>
      </w:r>
      <w:r w:rsidRPr="009E4CD0">
        <w:rPr>
          <w:rStyle w:val="af7"/>
          <w:rFonts w:eastAsia="Guttman Hodes" w:hint="cs"/>
          <w:rtl/>
        </w:rPr>
        <w:t>(על תוד"ה חזקת)</w:t>
      </w:r>
      <w:r>
        <w:rPr>
          <w:rFonts w:hint="cs"/>
          <w:rtl/>
        </w:rPr>
        <w:t xml:space="preserve"> </w:t>
      </w:r>
      <w:r>
        <w:rPr>
          <w:rStyle w:val="af9"/>
          <w:rFonts w:hint="cs"/>
          <w:rtl/>
        </w:rPr>
        <w:t>ו</w:t>
      </w:r>
      <w:r w:rsidRPr="009E4CD0">
        <w:rPr>
          <w:rStyle w:val="af9"/>
          <w:rFonts w:hint="cs"/>
          <w:rtl/>
        </w:rPr>
        <w:t xml:space="preserve">בחי' </w:t>
      </w:r>
      <w:r w:rsidRPr="009E4CD0">
        <w:rPr>
          <w:rStyle w:val="af9"/>
          <w:rtl/>
        </w:rPr>
        <w:t>הרי"</w:t>
      </w:r>
      <w:r w:rsidRPr="009E4CD0">
        <w:rPr>
          <w:rStyle w:val="af9"/>
          <w:rFonts w:hint="cs"/>
          <w:rtl/>
        </w:rPr>
        <w:t>ם</w:t>
      </w:r>
      <w:r w:rsidRPr="0062602F">
        <w:rPr>
          <w:rFonts w:hint="cs"/>
          <w:rtl/>
        </w:rPr>
        <w:t xml:space="preserve"> </w:t>
      </w:r>
      <w:r w:rsidRPr="009E4CD0">
        <w:rPr>
          <w:rStyle w:val="af7"/>
          <w:rFonts w:eastAsia="Guttman Hodes" w:hint="cs"/>
          <w:rtl/>
        </w:rPr>
        <w:t>(חו"מ</w:t>
      </w:r>
      <w:r w:rsidRPr="009E4CD0">
        <w:rPr>
          <w:rStyle w:val="af7"/>
          <w:rFonts w:eastAsia="Guttman Hodes"/>
          <w:rtl/>
        </w:rPr>
        <w:t xml:space="preserve"> </w:t>
      </w:r>
      <w:r w:rsidRPr="009E4CD0">
        <w:rPr>
          <w:rStyle w:val="af7"/>
          <w:rFonts w:eastAsia="Guttman Hodes" w:hint="cs"/>
          <w:rtl/>
        </w:rPr>
        <w:t>סי'</w:t>
      </w:r>
      <w:r w:rsidRPr="009E4CD0">
        <w:rPr>
          <w:rStyle w:val="af7"/>
          <w:rFonts w:eastAsia="Guttman Hodes"/>
          <w:rtl/>
        </w:rPr>
        <w:t xml:space="preserve"> קמ</w:t>
      </w:r>
      <w:r w:rsidRPr="009E4CD0">
        <w:rPr>
          <w:rStyle w:val="af7"/>
          <w:rFonts w:eastAsia="Guttman Hodes" w:hint="cs"/>
          <w:rtl/>
        </w:rPr>
        <w:t>"</w:t>
      </w:r>
      <w:r w:rsidRPr="009E4CD0">
        <w:rPr>
          <w:rStyle w:val="af7"/>
          <w:rFonts w:eastAsia="Guttman Hodes"/>
          <w:rtl/>
        </w:rPr>
        <w:t xml:space="preserve">א </w:t>
      </w:r>
      <w:r w:rsidRPr="009E4CD0">
        <w:rPr>
          <w:rStyle w:val="af7"/>
          <w:rFonts w:eastAsia="Guttman Hodes" w:hint="cs"/>
          <w:rtl/>
        </w:rPr>
        <w:t>סק"</w:t>
      </w:r>
      <w:r w:rsidRPr="009E4CD0">
        <w:rPr>
          <w:rStyle w:val="af7"/>
          <w:rFonts w:eastAsia="Guttman Hodes"/>
          <w:rtl/>
        </w:rPr>
        <w:t>ה</w:t>
      </w:r>
      <w:r w:rsidRPr="009E4CD0">
        <w:rPr>
          <w:rStyle w:val="af7"/>
          <w:rFonts w:eastAsia="Guttman Hodes" w:hint="cs"/>
          <w:rtl/>
        </w:rPr>
        <w:t>)</w:t>
      </w:r>
      <w:r>
        <w:rPr>
          <w:rStyle w:val="af9"/>
          <w:rFonts w:hint="cs"/>
          <w:rtl/>
        </w:rPr>
        <w:t xml:space="preserve"> ו</w:t>
      </w:r>
      <w:r w:rsidRPr="0010673A">
        <w:rPr>
          <w:rStyle w:val="af9"/>
          <w:rFonts w:hint="cs"/>
          <w:rtl/>
        </w:rPr>
        <w:t>בקוב"ש</w:t>
      </w:r>
      <w:r>
        <w:rPr>
          <w:rFonts w:hint="cs"/>
          <w:rtl/>
        </w:rPr>
        <w:t xml:space="preserve"> </w:t>
      </w:r>
      <w:r w:rsidRPr="009E4CD0">
        <w:rPr>
          <w:rStyle w:val="af7"/>
          <w:rFonts w:eastAsia="Guttman Hodes" w:hint="cs"/>
          <w:rtl/>
        </w:rPr>
        <w:t xml:space="preserve">(עי' אות </w:t>
      </w:r>
      <w:r w:rsidRPr="009E4CD0">
        <w:rPr>
          <w:rStyle w:val="af7"/>
          <w:rFonts w:eastAsia="Guttman Hodes"/>
          <w:rtl/>
        </w:rPr>
        <w:fldChar w:fldCharType="begin"/>
      </w:r>
      <w:r w:rsidRPr="009E4CD0">
        <w:rPr>
          <w:rStyle w:val="af7"/>
          <w:rFonts w:eastAsia="Guttman Hodes"/>
          <w:rtl/>
        </w:rPr>
        <w:instrText xml:space="preserve"> </w:instrText>
      </w:r>
      <w:r w:rsidRPr="009E4CD0">
        <w:rPr>
          <w:rStyle w:val="af7"/>
          <w:rFonts w:eastAsia="Guttman Hodes" w:hint="cs"/>
        </w:rPr>
        <w:instrText>REF</w:instrText>
      </w:r>
      <w:r w:rsidRPr="009E4CD0">
        <w:rPr>
          <w:rStyle w:val="af7"/>
          <w:rFonts w:eastAsia="Guttman Hodes" w:hint="cs"/>
          <w:rtl/>
        </w:rPr>
        <w:instrText xml:space="preserve"> _</w:instrText>
      </w:r>
      <w:r w:rsidRPr="009E4CD0">
        <w:rPr>
          <w:rStyle w:val="af7"/>
          <w:rFonts w:eastAsia="Guttman Hodes" w:hint="cs"/>
        </w:rPr>
        <w:instrText>Ref54169435 \r \h</w:instrText>
      </w:r>
      <w:r w:rsidRPr="009E4CD0">
        <w:rPr>
          <w:rStyle w:val="af7"/>
          <w:rFonts w:eastAsia="Guttman Hodes"/>
          <w:rtl/>
        </w:rPr>
        <w:instrText xml:space="preserve"> </w:instrText>
      </w:r>
      <w:r w:rsidRPr="009E4CD0">
        <w:rPr>
          <w:rStyle w:val="af7"/>
          <w:rFonts w:eastAsia="Guttman Hodes"/>
          <w:rtl/>
        </w:rPr>
      </w:r>
      <w:r w:rsidRPr="009E4CD0">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9E4CD0">
        <w:rPr>
          <w:rStyle w:val="af7"/>
          <w:rFonts w:eastAsia="Guttman Hodes"/>
          <w:rtl/>
        </w:rPr>
        <w:fldChar w:fldCharType="end"/>
      </w:r>
      <w:r>
        <w:rPr>
          <w:rFonts w:hint="cs"/>
          <w:rtl/>
        </w:rPr>
        <w:t xml:space="preserve"> </w:t>
      </w:r>
      <w:r w:rsidRPr="0010673A">
        <w:rPr>
          <w:rStyle w:val="af9"/>
          <w:rFonts w:hint="cs"/>
          <w:rtl/>
        </w:rPr>
        <w:t>ובחי' רבי נחום</w:t>
      </w:r>
      <w:r>
        <w:rPr>
          <w:rFonts w:hint="cs"/>
          <w:rtl/>
        </w:rPr>
        <w:t xml:space="preserve"> </w:t>
      </w:r>
      <w:r w:rsidRPr="009E4CD0">
        <w:rPr>
          <w:rStyle w:val="af7"/>
          <w:rFonts w:eastAsia="Guttman Hodes" w:hint="cs"/>
          <w:rtl/>
        </w:rPr>
        <w:t xml:space="preserve">(עי' אות </w:t>
      </w:r>
      <w:r w:rsidRPr="009E4CD0">
        <w:rPr>
          <w:rStyle w:val="af7"/>
          <w:rFonts w:eastAsia="Guttman Hodes"/>
          <w:rtl/>
        </w:rPr>
        <w:fldChar w:fldCharType="begin"/>
      </w:r>
      <w:r w:rsidRPr="009E4CD0">
        <w:rPr>
          <w:rStyle w:val="af7"/>
          <w:rFonts w:eastAsia="Guttman Hodes"/>
          <w:rtl/>
        </w:rPr>
        <w:instrText xml:space="preserve"> </w:instrText>
      </w:r>
      <w:r w:rsidRPr="009E4CD0">
        <w:rPr>
          <w:rStyle w:val="af7"/>
          <w:rFonts w:eastAsia="Guttman Hodes" w:hint="cs"/>
        </w:rPr>
        <w:instrText>REF</w:instrText>
      </w:r>
      <w:r w:rsidRPr="009E4CD0">
        <w:rPr>
          <w:rStyle w:val="af7"/>
          <w:rFonts w:eastAsia="Guttman Hodes" w:hint="cs"/>
          <w:rtl/>
        </w:rPr>
        <w:instrText xml:space="preserve"> _</w:instrText>
      </w:r>
      <w:r w:rsidRPr="009E4CD0">
        <w:rPr>
          <w:rStyle w:val="af7"/>
          <w:rFonts w:eastAsia="Guttman Hodes" w:hint="cs"/>
        </w:rPr>
        <w:instrText>Ref54169718 \r \h</w:instrText>
      </w:r>
      <w:r w:rsidRPr="009E4CD0">
        <w:rPr>
          <w:rStyle w:val="af7"/>
          <w:rFonts w:eastAsia="Guttman Hodes"/>
          <w:rtl/>
        </w:rPr>
        <w:instrText xml:space="preserve"> </w:instrText>
      </w:r>
      <w:r w:rsidRPr="009E4CD0">
        <w:rPr>
          <w:rStyle w:val="af7"/>
          <w:rFonts w:eastAsia="Guttman Hodes"/>
          <w:rtl/>
        </w:rPr>
      </w:r>
      <w:r w:rsidRPr="009E4CD0">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9E4CD0">
        <w:rPr>
          <w:rStyle w:val="af7"/>
          <w:rFonts w:eastAsia="Guttman Hodes"/>
          <w:rtl/>
        </w:rPr>
        <w:fldChar w:fldCharType="end"/>
      </w:r>
      <w:r>
        <w:rPr>
          <w:rFonts w:hint="cs"/>
          <w:rtl/>
        </w:rPr>
        <w:t xml:space="preserve"> בדברי </w:t>
      </w:r>
      <w:r w:rsidRPr="0010673A">
        <w:rPr>
          <w:rStyle w:val="af9"/>
          <w:rFonts w:hint="cs"/>
          <w:rtl/>
        </w:rPr>
        <w:t>התוס'</w:t>
      </w:r>
      <w:r>
        <w:rPr>
          <w:rFonts w:hint="cs"/>
          <w:rtl/>
        </w:rPr>
        <w:t>.</w:t>
      </w:r>
      <w:bookmarkEnd w:id="1082"/>
    </w:p>
    <w:p w:rsidR="00AB3447" w:rsidRPr="0010673A" w:rsidRDefault="00AB3447" w:rsidP="00AB3447">
      <w:pPr>
        <w:pStyle w:val="a3"/>
      </w:pPr>
      <w:bookmarkStart w:id="1083" w:name="_Toc54177768"/>
      <w:bookmarkStart w:id="1084" w:name="_Toc54201227"/>
      <w:bookmarkStart w:id="1085" w:name="_Toc54210214"/>
      <w:r>
        <w:rPr>
          <w:rFonts w:hint="cs"/>
          <w:rtl/>
        </w:rPr>
        <w:t>דברי הרמב"ן דאחר זמן דריכת הזיתים משתמשים בבית הבדים לשכר וכדומה</w:t>
      </w:r>
      <w:bookmarkEnd w:id="1083"/>
      <w:bookmarkEnd w:id="1084"/>
      <w:bookmarkEnd w:id="1085"/>
    </w:p>
    <w:p w:rsidR="00AB3447" w:rsidRDefault="00AB3447" w:rsidP="007E4E81">
      <w:pPr>
        <w:pStyle w:val="a0"/>
        <w:rPr>
          <w:rtl/>
        </w:rPr>
      </w:pPr>
      <w:bookmarkStart w:id="1086" w:name="_Ref54169638"/>
      <w:r w:rsidRPr="00C25E8F">
        <w:rPr>
          <w:rStyle w:val="af9"/>
          <w:rFonts w:hint="cs"/>
          <w:rtl/>
        </w:rPr>
        <w:t>והרמב"ן</w:t>
      </w:r>
      <w:r>
        <w:rPr>
          <w:rFonts w:hint="cs"/>
          <w:rtl/>
        </w:rPr>
        <w:t xml:space="preserve"> </w:t>
      </w:r>
      <w:r w:rsidRPr="0010673A">
        <w:rPr>
          <w:rStyle w:val="af7"/>
          <w:rFonts w:eastAsia="Guttman Hodes" w:hint="cs"/>
          <w:rtl/>
        </w:rPr>
        <w:t>(ד"ה ובית)</w:t>
      </w:r>
      <w:r>
        <w:rPr>
          <w:rFonts w:hint="cs"/>
          <w:rtl/>
        </w:rPr>
        <w:t xml:space="preserve"> כתב דלמסיקת הזיתים יש זמן קבוע, אך מ"מ משתמשים אח"כ בבית הבד לשכר וכדומה.</w:t>
      </w:r>
      <w:bookmarkEnd w:id="1086"/>
    </w:p>
    <w:p w:rsidR="00AB3447" w:rsidRDefault="00AB3447" w:rsidP="00AB3447">
      <w:pPr>
        <w:pStyle w:val="a3"/>
        <w:rPr>
          <w:rtl/>
        </w:rPr>
      </w:pPr>
      <w:bookmarkStart w:id="1087" w:name="_Toc54177769"/>
      <w:bookmarkStart w:id="1088" w:name="_Toc54201228"/>
      <w:bookmarkStart w:id="1089" w:name="_Toc54210215"/>
      <w:r>
        <w:rPr>
          <w:rFonts w:hint="cs"/>
          <w:rtl/>
        </w:rPr>
        <w:t>דברי רבינו גרשום דאחר דריכת הזיתים מניחים שם את השמן ומסתפקים ממנו בכל יום</w:t>
      </w:r>
      <w:bookmarkEnd w:id="1087"/>
      <w:bookmarkEnd w:id="1088"/>
      <w:bookmarkEnd w:id="1089"/>
    </w:p>
    <w:p w:rsidR="00AB3447" w:rsidRDefault="00AB3447" w:rsidP="007E4E81">
      <w:pPr>
        <w:pStyle w:val="a0"/>
        <w:rPr>
          <w:rtl/>
        </w:rPr>
      </w:pPr>
      <w:r w:rsidRPr="00F56FB0">
        <w:rPr>
          <w:rStyle w:val="af9"/>
          <w:rFonts w:hint="cs"/>
          <w:rtl/>
        </w:rPr>
        <w:t>וברבינו גרשום</w:t>
      </w:r>
      <w:r w:rsidRPr="00F56FB0">
        <w:rPr>
          <w:rStyle w:val="af7"/>
          <w:rFonts w:eastAsia="Guttman Hodes" w:hint="cs"/>
          <w:rtl/>
        </w:rPr>
        <w:t xml:space="preserve"> (ד"ה ובית הבדין) </w:t>
      </w:r>
      <w:r>
        <w:rPr>
          <w:rFonts w:hint="cs"/>
          <w:rtl/>
        </w:rPr>
        <w:t>ביאר דאחר שדורכין את הזיתים, בבית הבדים, מניחים שם את השמן, ומסתפקים ממנו בכל יום.</w:t>
      </w:r>
    </w:p>
    <w:p w:rsidR="00AB3447" w:rsidRPr="00586887" w:rsidRDefault="00AB3447" w:rsidP="00AB3447">
      <w:pPr>
        <w:pStyle w:val="a3"/>
        <w:rPr>
          <w:rtl/>
        </w:rPr>
      </w:pPr>
      <w:bookmarkStart w:id="1090" w:name="_Toc54201229"/>
      <w:bookmarkStart w:id="1091" w:name="_Toc54210216"/>
      <w:r>
        <w:rPr>
          <w:rFonts w:hint="cs"/>
          <w:rtl/>
        </w:rPr>
        <w:t>ביאור הרמ"ה דאחר דריכת הזיתים מניחים שם את כלי בית הבדים והנאתו היא כאוצר לכלים</w:t>
      </w:r>
      <w:bookmarkEnd w:id="1090"/>
      <w:bookmarkEnd w:id="1091"/>
    </w:p>
    <w:p w:rsidR="00AB3447" w:rsidRDefault="00AB3447" w:rsidP="007E4E81">
      <w:pPr>
        <w:pStyle w:val="a0"/>
        <w:rPr>
          <w:rtl/>
        </w:rPr>
      </w:pPr>
      <w:bookmarkStart w:id="1092" w:name="_Ref54192503"/>
      <w:bookmarkStart w:id="1093" w:name="_Toc53934648"/>
      <w:bookmarkStart w:id="1094" w:name="_Toc53940583"/>
      <w:bookmarkStart w:id="1095" w:name="_Toc54177770"/>
      <w:r w:rsidRPr="00586887">
        <w:rPr>
          <w:rStyle w:val="af9"/>
          <w:rFonts w:hint="cs"/>
          <w:rtl/>
        </w:rPr>
        <w:t>והיד רמ"ה</w:t>
      </w:r>
      <w:r>
        <w:rPr>
          <w:rFonts w:hint="cs"/>
          <w:rtl/>
        </w:rPr>
        <w:t xml:space="preserve"> </w:t>
      </w:r>
      <w:r w:rsidRPr="00586887">
        <w:rPr>
          <w:rStyle w:val="af7"/>
          <w:rFonts w:eastAsia="Guttman Hodes" w:hint="cs"/>
          <w:rtl/>
        </w:rPr>
        <w:t>(או' א' ד"ה ומאי)</w:t>
      </w:r>
      <w:r>
        <w:rPr>
          <w:rFonts w:hint="cs"/>
          <w:rtl/>
        </w:rPr>
        <w:t xml:space="preserve"> ביאר דאף דהזיתים מצויים רק בזמן המסיקה, מ"מ כיון שהשימוש בבית הבדים הוא רק בכלים שלו, לכן דרך הבעלים להניח בו את כלי תשמישו לכל השנה, וביאר היד רמ"ה דזו ההנאה התדירה שיש מבית הבדים, דאין כל חילוק אם נהנה ממנו לפירות או שמניח שם כליו, דכמו שיש אוצר לתבואה, כך יש אוצר לכלים.</w:t>
      </w:r>
      <w:bookmarkEnd w:id="1092"/>
    </w:p>
    <w:p w:rsidR="00AB3447" w:rsidRPr="005F3B97" w:rsidRDefault="00AB3447" w:rsidP="00AB3447">
      <w:pPr>
        <w:pStyle w:val="a3"/>
        <w:rPr>
          <w:rtl/>
        </w:rPr>
      </w:pPr>
    </w:p>
    <w:p w:rsidR="00AB3447" w:rsidRPr="005F3B97" w:rsidRDefault="00AB3447" w:rsidP="00AB3447">
      <w:pPr>
        <w:pStyle w:val="a3"/>
        <w:rPr>
          <w:rtl/>
        </w:rPr>
      </w:pPr>
    </w:p>
    <w:p w:rsidR="00AB3447" w:rsidRPr="005F3B97" w:rsidRDefault="00AB3447" w:rsidP="00AB3447">
      <w:pPr>
        <w:pStyle w:val="a3"/>
        <w:rPr>
          <w:rtl/>
        </w:rPr>
      </w:pPr>
    </w:p>
    <w:p w:rsidR="00AB3447" w:rsidRPr="005F3B97" w:rsidRDefault="00AB3447" w:rsidP="00AB3447">
      <w:pPr>
        <w:pStyle w:val="a3"/>
        <w:rPr>
          <w:rtl/>
        </w:rPr>
      </w:pPr>
    </w:p>
    <w:p w:rsidR="00AB3447" w:rsidRDefault="00AB3447" w:rsidP="00AB3447">
      <w:pPr>
        <w:pStyle w:val="afe"/>
        <w:rPr>
          <w:rtl/>
        </w:rPr>
      </w:pPr>
      <w:bookmarkStart w:id="1096" w:name="_Toc54201230"/>
      <w:bookmarkStart w:id="1097" w:name="_Toc54210217"/>
      <w:bookmarkEnd w:id="1093"/>
      <w:bookmarkEnd w:id="1094"/>
      <w:bookmarkEnd w:id="1095"/>
      <w:r>
        <w:rPr>
          <w:rFonts w:hint="cs"/>
          <w:rtl/>
        </w:rPr>
        <w:t>בביאור החזקה בי"ח חודשים לדעת ר"י</w:t>
      </w:r>
      <w:bookmarkEnd w:id="1096"/>
      <w:bookmarkEnd w:id="1097"/>
    </w:p>
    <w:p w:rsidR="00AB3447" w:rsidRDefault="00AB3447" w:rsidP="00AB3447">
      <w:pPr>
        <w:pStyle w:val="1"/>
        <w:rPr>
          <w:rtl/>
        </w:rPr>
      </w:pPr>
      <w:bookmarkStart w:id="1098" w:name="_Toc54177771"/>
      <w:bookmarkStart w:id="1099" w:name="_Toc54201231"/>
      <w:bookmarkStart w:id="1100" w:name="_Toc54210218"/>
      <w:r>
        <w:rPr>
          <w:rFonts w:hint="cs"/>
          <w:rtl/>
        </w:rPr>
        <w:t>דברי רש"י דלר"י בבית הבעל י"ח חודשים חשיב כג"ש</w:t>
      </w:r>
      <w:bookmarkEnd w:id="1098"/>
      <w:bookmarkEnd w:id="1099"/>
      <w:bookmarkEnd w:id="1100"/>
    </w:p>
    <w:p w:rsidR="00AB3447" w:rsidRPr="00D85BD7" w:rsidRDefault="00AB3447" w:rsidP="00AB3447">
      <w:pPr>
        <w:pStyle w:val="a3"/>
        <w:rPr>
          <w:rtl/>
        </w:rPr>
      </w:pPr>
      <w:bookmarkStart w:id="1101" w:name="_Toc54177772"/>
      <w:bookmarkStart w:id="1102" w:name="_Toc54201232"/>
      <w:bookmarkStart w:id="1103" w:name="_Toc54210219"/>
      <w:r>
        <w:rPr>
          <w:rFonts w:hint="cs"/>
          <w:rtl/>
        </w:rPr>
        <w:t>דברי רש"י דבבית הבעל זרע בג' חודשים ראשונים ואחרונים והחזיק כל השנה האמצעית</w:t>
      </w:r>
      <w:bookmarkEnd w:id="1101"/>
      <w:bookmarkEnd w:id="1102"/>
      <w:bookmarkEnd w:id="1103"/>
    </w:p>
    <w:p w:rsidR="00AB3447" w:rsidRPr="00954595" w:rsidRDefault="00AB3447" w:rsidP="007E4E81">
      <w:pPr>
        <w:pStyle w:val="a0"/>
        <w:rPr>
          <w:rtl/>
        </w:rPr>
      </w:pPr>
      <w:r>
        <w:rPr>
          <w:rFonts w:hint="cs"/>
          <w:rtl/>
        </w:rPr>
        <w:t xml:space="preserve">כתב </w:t>
      </w:r>
      <w:r w:rsidRPr="00190A58">
        <w:rPr>
          <w:rStyle w:val="af9"/>
          <w:rFonts w:hint="cs"/>
          <w:rtl/>
        </w:rPr>
        <w:t>רש"י</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Ref54173223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ד)</w:t>
      </w:r>
      <w:r>
        <w:rPr>
          <w:rStyle w:val="af7"/>
          <w:rFonts w:eastAsia="Guttman Hodes"/>
          <w:rtl/>
        </w:rPr>
        <w:fldChar w:fldCharType="end"/>
      </w:r>
      <w:r>
        <w:rPr>
          <w:rStyle w:val="af7"/>
          <w:rFonts w:eastAsia="Guttman Hodes" w:hint="cs"/>
          <w:rtl/>
        </w:rPr>
        <w:t xml:space="preserve"> </w:t>
      </w:r>
      <w:r>
        <w:rPr>
          <w:rFonts w:hint="cs"/>
          <w:rtl/>
        </w:rPr>
        <w:t xml:space="preserve">דלדעת רבי ישמעאל החזקה בבית הבעל, היא </w:t>
      </w:r>
      <w:r w:rsidRPr="00954595">
        <w:rPr>
          <w:rFonts w:hint="cs"/>
          <w:rtl/>
        </w:rPr>
        <w:t>כשזרע את השדה בג</w:t>
      </w:r>
      <w:r w:rsidRPr="00954595">
        <w:rPr>
          <w:rtl/>
        </w:rPr>
        <w:t>'</w:t>
      </w:r>
      <w:r w:rsidRPr="00954595">
        <w:rPr>
          <w:rFonts w:hint="cs"/>
          <w:rtl/>
        </w:rPr>
        <w:t xml:space="preserve"> חודשים אחרונים של השנה הראשונה, וזרע גם בג</w:t>
      </w:r>
      <w:r w:rsidRPr="00954595">
        <w:rPr>
          <w:rtl/>
        </w:rPr>
        <w:t>'</w:t>
      </w:r>
      <w:r w:rsidRPr="00954595">
        <w:rPr>
          <w:rFonts w:hint="cs"/>
          <w:rtl/>
        </w:rPr>
        <w:t xml:space="preserve"> חודשים ראשונים של שנה אחרונה, והחזיק בה בכל השנה האמצעית.</w:t>
      </w:r>
    </w:p>
    <w:p w:rsidR="00AB3447" w:rsidRDefault="00AB3447" w:rsidP="00AB3447">
      <w:pPr>
        <w:pStyle w:val="a3"/>
        <w:rPr>
          <w:rtl/>
        </w:rPr>
      </w:pPr>
      <w:bookmarkStart w:id="1104" w:name="_Toc54177773"/>
      <w:bookmarkStart w:id="1105" w:name="_Toc54201233"/>
      <w:bookmarkStart w:id="1106" w:name="_Toc54210220"/>
      <w:r>
        <w:rPr>
          <w:rFonts w:hint="cs"/>
          <w:rtl/>
        </w:rPr>
        <w:t>ביאור התוס' ברש"י דלר"י בג' חודשים הראשונים והאחרונים צריך המחזיק לזרוע ולקצור</w:t>
      </w:r>
      <w:bookmarkEnd w:id="1104"/>
      <w:bookmarkEnd w:id="1105"/>
      <w:bookmarkEnd w:id="1106"/>
    </w:p>
    <w:p w:rsidR="00AB3447" w:rsidRDefault="00AB3447" w:rsidP="007E4E81">
      <w:pPr>
        <w:pStyle w:val="a0"/>
        <w:rPr>
          <w:rtl/>
        </w:rPr>
      </w:pPr>
      <w:bookmarkStart w:id="1107" w:name="_Ref54193124"/>
      <w:r>
        <w:rPr>
          <w:rFonts w:hint="cs"/>
          <w:rtl/>
        </w:rPr>
        <w:t xml:space="preserve">וכתבו </w:t>
      </w:r>
      <w:r w:rsidRPr="00AA4D05">
        <w:rPr>
          <w:rStyle w:val="af9"/>
          <w:rFonts w:hint="cs"/>
          <w:rtl/>
        </w:rPr>
        <w:t>התוס'</w:t>
      </w:r>
      <w:r>
        <w:rPr>
          <w:rFonts w:hint="cs"/>
          <w:rtl/>
        </w:rPr>
        <w:t xml:space="preserve"> </w:t>
      </w:r>
      <w:r w:rsidRPr="00AA4D05">
        <w:rPr>
          <w:rStyle w:val="af7"/>
          <w:rFonts w:eastAsia="Guttman Hodes" w:hint="cs"/>
          <w:rtl/>
        </w:rPr>
        <w:t>(ד"ה שלשה)</w:t>
      </w:r>
      <w:r>
        <w:rPr>
          <w:rFonts w:hint="cs"/>
          <w:rtl/>
        </w:rPr>
        <w:t xml:space="preserve"> דמשמע מדברי </w:t>
      </w:r>
      <w:r w:rsidRPr="00AA4D05">
        <w:rPr>
          <w:rStyle w:val="af9"/>
          <w:rFonts w:hint="cs"/>
          <w:rtl/>
        </w:rPr>
        <w:t>רש"י</w:t>
      </w:r>
      <w:r>
        <w:rPr>
          <w:rFonts w:hint="cs"/>
          <w:rtl/>
        </w:rPr>
        <w:t xml:space="preserve"> דלרבי ישמעאל צריך דהמחזיק יזרע ויקצור, בג</w:t>
      </w:r>
      <w:r>
        <w:rPr>
          <w:rtl/>
        </w:rPr>
        <w:t>'</w:t>
      </w:r>
      <w:r>
        <w:rPr>
          <w:rFonts w:hint="cs"/>
          <w:rtl/>
        </w:rPr>
        <w:t xml:space="preserve"> חודשים הראשונים והאחרונים.</w:t>
      </w:r>
      <w:bookmarkEnd w:id="1107"/>
    </w:p>
    <w:p w:rsidR="00AB3447" w:rsidRPr="000A773E" w:rsidRDefault="00AB3447" w:rsidP="00AB3447">
      <w:pPr>
        <w:pStyle w:val="a3"/>
        <w:rPr>
          <w:rtl/>
        </w:rPr>
      </w:pPr>
      <w:bookmarkStart w:id="1108" w:name="_Toc54177774"/>
      <w:bookmarkStart w:id="1109" w:name="_Toc54201234"/>
      <w:bookmarkStart w:id="1110" w:name="_Toc54210221"/>
      <w:r>
        <w:rPr>
          <w:rFonts w:hint="cs"/>
          <w:rtl/>
        </w:rPr>
        <w:t>ביאור התוס' ברש"י דמצינו שיש תבואה שגדילה בג' החודשים האחרונים של השנה</w:t>
      </w:r>
      <w:bookmarkEnd w:id="1108"/>
      <w:bookmarkEnd w:id="1109"/>
      <w:bookmarkEnd w:id="1110"/>
    </w:p>
    <w:p w:rsidR="00AB3447" w:rsidRDefault="00AB3447" w:rsidP="007E4E81">
      <w:pPr>
        <w:pStyle w:val="a0"/>
        <w:rPr>
          <w:rtl/>
        </w:rPr>
      </w:pPr>
      <w:bookmarkStart w:id="1111" w:name="_Ref54176631"/>
      <w:r>
        <w:rPr>
          <w:rFonts w:hint="cs"/>
          <w:rtl/>
        </w:rPr>
        <w:t xml:space="preserve">וביארו </w:t>
      </w:r>
      <w:r w:rsidRPr="00717010">
        <w:rPr>
          <w:rStyle w:val="af9"/>
          <w:rFonts w:hint="cs"/>
          <w:rtl/>
        </w:rPr>
        <w:t>התוס'</w:t>
      </w:r>
      <w:r>
        <w:rPr>
          <w:rFonts w:hint="cs"/>
          <w:rtl/>
        </w:rPr>
        <w:t xml:space="preserve"> את דברי </w:t>
      </w:r>
      <w:r w:rsidRPr="00717010">
        <w:rPr>
          <w:rStyle w:val="af9"/>
          <w:rFonts w:hint="cs"/>
          <w:rtl/>
        </w:rPr>
        <w:t>רש"י</w:t>
      </w:r>
      <w:r>
        <w:rPr>
          <w:rFonts w:hint="cs"/>
          <w:rtl/>
        </w:rPr>
        <w:t xml:space="preserve"> דאעפ"י דזמן קצירת התבואה הוא בניסן, מ"מ יתכן דהתבואה שנזרעת לאחר ניסן, תגדל ויספיק לקצור אותה</w:t>
      </w:r>
      <w:r w:rsidR="00A77F33">
        <w:rPr>
          <w:rFonts w:hint="cs"/>
          <w:rtl/>
        </w:rPr>
        <w:t xml:space="preserve"> </w:t>
      </w:r>
      <w:r>
        <w:rPr>
          <w:rFonts w:hint="cs"/>
          <w:rtl/>
        </w:rPr>
        <w:t xml:space="preserve">בתוך ג' חודשים, ואינה נקצרת רק בניסן הבא, כדמצינו בגמ' בר"ה </w:t>
      </w:r>
      <w:r w:rsidRPr="00717010">
        <w:rPr>
          <w:rStyle w:val="af7"/>
          <w:rFonts w:eastAsia="Guttman Hodes" w:hint="cs"/>
          <w:rtl/>
        </w:rPr>
        <w:t>(יג.)</w:t>
      </w:r>
      <w:r>
        <w:rPr>
          <w:rFonts w:hint="cs"/>
          <w:rtl/>
        </w:rPr>
        <w:t xml:space="preserve"> דכל תבואה שקצרו אותה בחג, ידוע שהביאה שליש לפני ר"ה, וא"כ מצינו שתבואה גדילה באותו זמן.</w:t>
      </w:r>
      <w:bookmarkEnd w:id="1111"/>
    </w:p>
    <w:p w:rsidR="00AB3447" w:rsidRPr="00B37813" w:rsidRDefault="00AB3447" w:rsidP="00AB3447">
      <w:pPr>
        <w:pStyle w:val="1"/>
        <w:rPr>
          <w:rtl/>
        </w:rPr>
      </w:pPr>
      <w:bookmarkStart w:id="1112" w:name="_Toc54177775"/>
      <w:bookmarkStart w:id="1113" w:name="_Toc54201235"/>
      <w:bookmarkStart w:id="1114" w:name="_Toc54210222"/>
      <w:r>
        <w:rPr>
          <w:rFonts w:hint="cs"/>
          <w:rtl/>
        </w:rPr>
        <w:t>דברי התוס' דלר"י צריך אכילה חשובה באמצע ובאספסתא א"צ</w:t>
      </w:r>
      <w:bookmarkEnd w:id="1112"/>
      <w:bookmarkEnd w:id="1113"/>
      <w:bookmarkEnd w:id="1114"/>
    </w:p>
    <w:p w:rsidR="00AB3447" w:rsidRPr="00D85BD7" w:rsidRDefault="00AB3447" w:rsidP="00AB3447">
      <w:pPr>
        <w:pStyle w:val="a3"/>
      </w:pPr>
      <w:bookmarkStart w:id="1115" w:name="_Toc54177776"/>
      <w:bookmarkStart w:id="1116" w:name="_Toc54201236"/>
      <w:bookmarkStart w:id="1117" w:name="_Toc54210223"/>
      <w:r>
        <w:rPr>
          <w:rFonts w:hint="cs"/>
          <w:rtl/>
        </w:rPr>
        <w:t>קושית התוס' על רש"י דבכדי שיספיק לזרוע ולקצור ג' פעמים סגי בט"ו חדשים וא"צ י"ח חודשים</w:t>
      </w:r>
      <w:bookmarkEnd w:id="1115"/>
      <w:bookmarkEnd w:id="1116"/>
      <w:bookmarkEnd w:id="1117"/>
      <w:r>
        <w:rPr>
          <w:rFonts w:hint="cs"/>
          <w:rtl/>
        </w:rPr>
        <w:t xml:space="preserve"> </w:t>
      </w:r>
    </w:p>
    <w:p w:rsidR="00AB3447" w:rsidRDefault="00AB3447" w:rsidP="007E4E81">
      <w:pPr>
        <w:pStyle w:val="a0"/>
        <w:rPr>
          <w:rtl/>
        </w:rPr>
      </w:pPr>
      <w:r>
        <w:rPr>
          <w:rFonts w:hint="cs"/>
          <w:rtl/>
        </w:rPr>
        <w:t xml:space="preserve">והקשה </w:t>
      </w:r>
      <w:r w:rsidRPr="00AA4D05">
        <w:rPr>
          <w:rStyle w:val="af9"/>
          <w:rFonts w:hint="cs"/>
          <w:rtl/>
        </w:rPr>
        <w:t>ר</w:t>
      </w:r>
      <w:r w:rsidRPr="00AA4D05">
        <w:rPr>
          <w:rStyle w:val="af9"/>
          <w:rtl/>
        </w:rPr>
        <w:t>"</w:t>
      </w:r>
      <w:r w:rsidRPr="00AA4D05">
        <w:rPr>
          <w:rStyle w:val="af9"/>
          <w:rFonts w:hint="cs"/>
          <w:rtl/>
        </w:rPr>
        <w:t>י בתוס</w:t>
      </w:r>
      <w:r w:rsidRPr="00AA4D05">
        <w:rPr>
          <w:rStyle w:val="af9"/>
          <w:rtl/>
        </w:rPr>
        <w:t>'</w:t>
      </w:r>
      <w:r w:rsidRPr="00AA4D05">
        <w:rPr>
          <w:rStyle w:val="af9"/>
          <w:rFonts w:hint="cs"/>
          <w:rtl/>
        </w:rPr>
        <w:t xml:space="preserve"> </w:t>
      </w:r>
      <w:r w:rsidRPr="00AA4D05">
        <w:rPr>
          <w:rStyle w:val="af7"/>
          <w:rFonts w:eastAsia="Guttman Hodes" w:hint="cs"/>
          <w:rtl/>
        </w:rPr>
        <w:t>(ד"ה שלשה)</w:t>
      </w:r>
      <w:r>
        <w:rPr>
          <w:rFonts w:hint="cs"/>
          <w:rtl/>
        </w:rPr>
        <w:t xml:space="preserve"> דא"כ סגי בט"ו חודשים וא"צ י"ח חודשים, דיזרע ג</w:t>
      </w:r>
      <w:r>
        <w:rPr>
          <w:rtl/>
        </w:rPr>
        <w:t>'</w:t>
      </w:r>
      <w:r>
        <w:rPr>
          <w:rFonts w:hint="cs"/>
          <w:rtl/>
        </w:rPr>
        <w:t xml:space="preserve"> חודשים לפני ניסן ויקצור בניסן, ואת התבואה השניה יזרע בסוף הקיץ, ואת התבואה השלישית יזרע ג</w:t>
      </w:r>
      <w:r>
        <w:rPr>
          <w:rtl/>
        </w:rPr>
        <w:t>'</w:t>
      </w:r>
      <w:r>
        <w:rPr>
          <w:rFonts w:hint="cs"/>
          <w:rtl/>
        </w:rPr>
        <w:t xml:space="preserve"> חודשים לפני ניסן, ויקצור בניסן שלאחריו.</w:t>
      </w:r>
    </w:p>
    <w:p w:rsidR="00AB3447" w:rsidRDefault="00AB3447" w:rsidP="00AB3447">
      <w:pPr>
        <w:pStyle w:val="a3"/>
        <w:rPr>
          <w:rtl/>
        </w:rPr>
      </w:pPr>
      <w:bookmarkStart w:id="1118" w:name="_Toc54177777"/>
      <w:bookmarkStart w:id="1119" w:name="_Toc54201237"/>
      <w:bookmarkStart w:id="1120" w:name="_Toc54210224"/>
      <w:r>
        <w:rPr>
          <w:rFonts w:hint="cs"/>
          <w:rtl/>
        </w:rPr>
        <w:t>ביאור התוס' דאף לר"י בכדי שתחשב אכילת ג"ש צריך אכילה חשובה של י"ב חודש באמצע</w:t>
      </w:r>
      <w:bookmarkEnd w:id="1118"/>
      <w:bookmarkEnd w:id="1119"/>
      <w:bookmarkEnd w:id="1120"/>
    </w:p>
    <w:p w:rsidR="00AB3447" w:rsidRDefault="00AB3447" w:rsidP="007E4E81">
      <w:pPr>
        <w:pStyle w:val="a0"/>
        <w:rPr>
          <w:rtl/>
        </w:rPr>
      </w:pPr>
      <w:bookmarkStart w:id="1121" w:name="_Ref54177361"/>
      <w:r>
        <w:rPr>
          <w:rFonts w:hint="cs"/>
          <w:rtl/>
        </w:rPr>
        <w:t xml:space="preserve">ותירצו </w:t>
      </w:r>
      <w:r w:rsidRPr="00AA4D05">
        <w:rPr>
          <w:rStyle w:val="af9"/>
          <w:rFonts w:hint="cs"/>
          <w:rtl/>
        </w:rPr>
        <w:t>התוס'</w:t>
      </w:r>
      <w:r>
        <w:rPr>
          <w:rFonts w:hint="cs"/>
          <w:rtl/>
        </w:rPr>
        <w:t xml:space="preserve"> דאף לדעת רבי ישמעאל דסגי בג' אכילות בצירוף ג' חודשים הראשונים והאחרונים, מ"מ צריך אכילה אחת חשובה של י"ב חודש באמצע האכילות, ועי' במ"ש </w:t>
      </w:r>
      <w:r w:rsidRPr="00C80C06">
        <w:rPr>
          <w:rStyle w:val="af9"/>
          <w:rFonts w:hint="cs"/>
          <w:rtl/>
        </w:rPr>
        <w:t>רבינו יונה</w:t>
      </w:r>
      <w:r>
        <w:rPr>
          <w:rFonts w:hint="cs"/>
          <w:rtl/>
        </w:rPr>
        <w:t xml:space="preserve"> </w:t>
      </w:r>
      <w:r w:rsidRPr="00C80C06">
        <w:rPr>
          <w:rStyle w:val="af7"/>
          <w:rFonts w:eastAsia="Guttman Hodes" w:hint="cs"/>
          <w:rtl/>
        </w:rPr>
        <w:t xml:space="preserve">(עי' אות </w:t>
      </w:r>
      <w:r w:rsidRPr="00C80C06">
        <w:rPr>
          <w:rStyle w:val="af7"/>
          <w:rFonts w:eastAsia="Guttman Hodes"/>
          <w:rtl/>
        </w:rPr>
        <w:fldChar w:fldCharType="begin"/>
      </w:r>
      <w:r w:rsidRPr="00C80C06">
        <w:rPr>
          <w:rStyle w:val="af7"/>
          <w:rFonts w:eastAsia="Guttman Hodes"/>
          <w:rtl/>
        </w:rPr>
        <w:instrText xml:space="preserve"> </w:instrText>
      </w:r>
      <w:r w:rsidRPr="00C80C06">
        <w:rPr>
          <w:rStyle w:val="af7"/>
          <w:rFonts w:eastAsia="Guttman Hodes" w:hint="cs"/>
        </w:rPr>
        <w:instrText>REF</w:instrText>
      </w:r>
      <w:r w:rsidRPr="00C80C06">
        <w:rPr>
          <w:rStyle w:val="af7"/>
          <w:rFonts w:eastAsia="Guttman Hodes" w:hint="cs"/>
          <w:rtl/>
        </w:rPr>
        <w:instrText xml:space="preserve"> _</w:instrText>
      </w:r>
      <w:r w:rsidRPr="00C80C06">
        <w:rPr>
          <w:rStyle w:val="af7"/>
          <w:rFonts w:eastAsia="Guttman Hodes" w:hint="cs"/>
        </w:rPr>
        <w:instrText>Ref54193965 \r \h</w:instrText>
      </w:r>
      <w:r w:rsidRPr="00C80C06">
        <w:rPr>
          <w:rStyle w:val="af7"/>
          <w:rFonts w:eastAsia="Guttman Hodes"/>
          <w:rtl/>
        </w:rPr>
        <w:instrText xml:space="preserve"> </w:instrText>
      </w:r>
      <w:r w:rsidRPr="00C80C06">
        <w:rPr>
          <w:rStyle w:val="af7"/>
          <w:rFonts w:eastAsia="Guttman Hodes"/>
          <w:rtl/>
        </w:rPr>
      </w:r>
      <w:r w:rsidRPr="00C80C06">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C80C06">
        <w:rPr>
          <w:rStyle w:val="af7"/>
          <w:rFonts w:eastAsia="Guttman Hodes"/>
          <w:rtl/>
        </w:rPr>
        <w:fldChar w:fldCharType="end"/>
      </w:r>
      <w:r>
        <w:rPr>
          <w:rFonts w:hint="cs"/>
          <w:rtl/>
        </w:rPr>
        <w:t xml:space="preserve"> </w:t>
      </w:r>
      <w:r>
        <w:rPr>
          <w:rStyle w:val="af9"/>
          <w:rFonts w:hint="cs"/>
          <w:rtl/>
        </w:rPr>
        <w:t>ו</w:t>
      </w:r>
      <w:r w:rsidRPr="00071FFA">
        <w:rPr>
          <w:rStyle w:val="af9"/>
          <w:rFonts w:hint="cs"/>
          <w:rtl/>
        </w:rPr>
        <w:t>הריטב"א</w:t>
      </w:r>
      <w:r>
        <w:rPr>
          <w:rFonts w:hint="cs"/>
          <w:rtl/>
        </w:rPr>
        <w:t xml:space="preserve"> </w:t>
      </w:r>
      <w:r w:rsidRPr="00071FFA">
        <w:rPr>
          <w:rStyle w:val="af7"/>
          <w:rFonts w:eastAsia="Guttman Hodes" w:hint="cs"/>
          <w:rtl/>
        </w:rPr>
        <w:t xml:space="preserve">(עי' אות </w:t>
      </w:r>
      <w:r w:rsidRPr="00071FFA">
        <w:rPr>
          <w:rStyle w:val="af7"/>
          <w:rFonts w:eastAsia="Guttman Hodes"/>
          <w:rtl/>
        </w:rPr>
        <w:fldChar w:fldCharType="begin"/>
      </w:r>
      <w:r w:rsidRPr="00071FFA">
        <w:rPr>
          <w:rStyle w:val="af7"/>
          <w:rFonts w:eastAsia="Guttman Hodes"/>
          <w:rtl/>
        </w:rPr>
        <w:instrText xml:space="preserve"> </w:instrText>
      </w:r>
      <w:r w:rsidRPr="00071FFA">
        <w:rPr>
          <w:rStyle w:val="af7"/>
          <w:rFonts w:eastAsia="Guttman Hodes" w:hint="cs"/>
        </w:rPr>
        <w:instrText>REF</w:instrText>
      </w:r>
      <w:r w:rsidRPr="00071FFA">
        <w:rPr>
          <w:rStyle w:val="af7"/>
          <w:rFonts w:eastAsia="Guttman Hodes" w:hint="cs"/>
          <w:rtl/>
        </w:rPr>
        <w:instrText xml:space="preserve"> _</w:instrText>
      </w:r>
      <w:r w:rsidRPr="00071FFA">
        <w:rPr>
          <w:rStyle w:val="af7"/>
          <w:rFonts w:eastAsia="Guttman Hodes" w:hint="cs"/>
        </w:rPr>
        <w:instrText>Ref54177394 \r \h</w:instrText>
      </w:r>
      <w:r w:rsidRPr="00071FFA">
        <w:rPr>
          <w:rStyle w:val="af7"/>
          <w:rFonts w:eastAsia="Guttman Hodes"/>
          <w:rtl/>
        </w:rPr>
        <w:instrText xml:space="preserve"> </w:instrText>
      </w:r>
      <w:r w:rsidRPr="00071FFA">
        <w:rPr>
          <w:rStyle w:val="af7"/>
          <w:rFonts w:eastAsia="Guttman Hodes"/>
          <w:rtl/>
        </w:rPr>
      </w:r>
      <w:r w:rsidRPr="00071FFA">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071FFA">
        <w:rPr>
          <w:rStyle w:val="af7"/>
          <w:rFonts w:eastAsia="Guttman Hodes"/>
          <w:rtl/>
        </w:rPr>
        <w:fldChar w:fldCharType="end"/>
      </w:r>
      <w:r>
        <w:rPr>
          <w:rFonts w:hint="cs"/>
          <w:rtl/>
        </w:rPr>
        <w:t>.</w:t>
      </w:r>
      <w:bookmarkEnd w:id="1121"/>
    </w:p>
    <w:p w:rsidR="00AB3447" w:rsidRPr="00810022" w:rsidRDefault="00AB3447" w:rsidP="00AB3447">
      <w:pPr>
        <w:pStyle w:val="a3"/>
      </w:pPr>
      <w:bookmarkStart w:id="1122" w:name="_Toc54177778"/>
      <w:bookmarkStart w:id="1123" w:name="_Toc54201238"/>
      <w:bookmarkStart w:id="1124" w:name="_Toc54210225"/>
      <w:r>
        <w:rPr>
          <w:rFonts w:hint="cs"/>
          <w:rtl/>
        </w:rPr>
        <w:t>דברי התוס' דרק באספסתא שזמנה לג' חודשים סגי בג' חודשים וא"צ אכילה חשובה באמצע</w:t>
      </w:r>
      <w:bookmarkEnd w:id="1122"/>
      <w:bookmarkEnd w:id="1123"/>
      <w:bookmarkEnd w:id="1124"/>
    </w:p>
    <w:p w:rsidR="00AB3447" w:rsidRPr="00940883" w:rsidRDefault="00AB3447" w:rsidP="007E4E81">
      <w:pPr>
        <w:pStyle w:val="a0"/>
        <w:rPr>
          <w:rStyle w:val="afb"/>
          <w:rtl/>
        </w:rPr>
      </w:pPr>
      <w:bookmarkStart w:id="1125" w:name="_Ref54174363"/>
      <w:r>
        <w:rPr>
          <w:rFonts w:hint="cs"/>
          <w:rtl/>
        </w:rPr>
        <w:t xml:space="preserve">וכתבו </w:t>
      </w:r>
      <w:r w:rsidRPr="00AA4D05">
        <w:rPr>
          <w:rStyle w:val="af9"/>
          <w:rFonts w:hint="cs"/>
          <w:rtl/>
        </w:rPr>
        <w:t>התוס'</w:t>
      </w:r>
      <w:r>
        <w:rPr>
          <w:rFonts w:hint="cs"/>
          <w:rtl/>
        </w:rPr>
        <w:t xml:space="preserve"> דהא דאיתא בגמ' </w:t>
      </w:r>
      <w:r w:rsidRPr="00810022">
        <w:rPr>
          <w:rStyle w:val="af7"/>
          <w:rFonts w:eastAsia="Guttman Hodes" w:hint="cs"/>
          <w:rtl/>
        </w:rPr>
        <w:t>(כח:)</w:t>
      </w:r>
      <w:r>
        <w:rPr>
          <w:rFonts w:hint="cs"/>
          <w:rtl/>
        </w:rPr>
        <w:t xml:space="preserve"> דבאכל ג' פירות בג</w:t>
      </w:r>
      <w:r>
        <w:rPr>
          <w:rtl/>
        </w:rPr>
        <w:t>'</w:t>
      </w:r>
      <w:r>
        <w:rPr>
          <w:rFonts w:hint="cs"/>
          <w:rtl/>
        </w:rPr>
        <w:t xml:space="preserve"> חודשים כגון אספסתא, הוי חזקה לרבי ישמעאל, היינו דוקא באספסתא שזהו זמנה. </w:t>
      </w:r>
      <w:r w:rsidRPr="00940883">
        <w:rPr>
          <w:rStyle w:val="afb"/>
          <w:rFonts w:hint="cs"/>
          <w:rtl/>
        </w:rPr>
        <w:t>[</w:t>
      </w:r>
      <w:r>
        <w:rPr>
          <w:rStyle w:val="afb"/>
          <w:rFonts w:hint="cs"/>
          <w:rtl/>
        </w:rPr>
        <w:t>ועי' במ"""ש</w:t>
      </w:r>
      <w:r w:rsidRPr="00940883">
        <w:rPr>
          <w:rStyle w:val="afb"/>
          <w:rFonts w:hint="cs"/>
          <w:rtl/>
        </w:rPr>
        <w:t xml:space="preserve"> </w:t>
      </w:r>
      <w:r w:rsidRPr="00940883">
        <w:rPr>
          <w:rStyle w:val="affa"/>
          <w:rFonts w:hint="cs"/>
          <w:rtl/>
        </w:rPr>
        <w:t>הרמב"ן</w:t>
      </w:r>
      <w:r w:rsidRPr="00940883">
        <w:rPr>
          <w:rStyle w:val="afb"/>
          <w:rFonts w:hint="cs"/>
          <w:rtl/>
        </w:rPr>
        <w:t xml:space="preserve"> </w:t>
      </w:r>
      <w:r w:rsidRPr="00940883">
        <w:rPr>
          <w:rStyle w:val="aff6"/>
          <w:rFonts w:hint="cs"/>
          <w:rtl/>
        </w:rPr>
        <w:t xml:space="preserve">(עי' אות </w:t>
      </w:r>
      <w:r w:rsidRPr="00940883">
        <w:rPr>
          <w:rStyle w:val="aff6"/>
          <w:rtl/>
        </w:rPr>
        <w:fldChar w:fldCharType="begin"/>
      </w:r>
      <w:r w:rsidRPr="00940883">
        <w:rPr>
          <w:rStyle w:val="aff6"/>
          <w:rtl/>
        </w:rPr>
        <w:instrText xml:space="preserve"> </w:instrText>
      </w:r>
      <w:r w:rsidRPr="00940883">
        <w:rPr>
          <w:rStyle w:val="aff6"/>
          <w:rFonts w:hint="cs"/>
        </w:rPr>
        <w:instrText>REF</w:instrText>
      </w:r>
      <w:r w:rsidRPr="00940883">
        <w:rPr>
          <w:rStyle w:val="aff6"/>
          <w:rFonts w:hint="cs"/>
          <w:rtl/>
        </w:rPr>
        <w:instrText xml:space="preserve"> _</w:instrText>
      </w:r>
      <w:r w:rsidRPr="00940883">
        <w:rPr>
          <w:rStyle w:val="aff6"/>
          <w:rFonts w:hint="cs"/>
        </w:rPr>
        <w:instrText>Ref54194487 \r \h</w:instrText>
      </w:r>
      <w:r w:rsidRPr="00940883">
        <w:rPr>
          <w:rStyle w:val="aff6"/>
          <w:rtl/>
        </w:rPr>
        <w:instrText xml:space="preserve"> </w:instrText>
      </w:r>
      <w:r w:rsidRPr="00940883">
        <w:rPr>
          <w:rStyle w:val="aff6"/>
          <w:rtl/>
        </w:rPr>
      </w:r>
      <w:r w:rsidRPr="00940883">
        <w:rPr>
          <w:rStyle w:val="aff6"/>
          <w:rtl/>
        </w:rPr>
        <w:fldChar w:fldCharType="separate"/>
      </w:r>
      <w:r w:rsidR="00265073">
        <w:rPr>
          <w:rStyle w:val="aff6"/>
          <w:cs/>
        </w:rPr>
        <w:t>‎</w:t>
      </w:r>
      <w:r w:rsidR="00265073">
        <w:rPr>
          <w:rStyle w:val="aff6"/>
          <w:rtl/>
        </w:rPr>
        <w:t>לב)</w:t>
      </w:r>
      <w:r w:rsidRPr="00940883">
        <w:rPr>
          <w:rStyle w:val="aff6"/>
          <w:rtl/>
        </w:rPr>
        <w:fldChar w:fldCharType="end"/>
      </w:r>
      <w:r w:rsidRPr="00940883">
        <w:rPr>
          <w:rStyle w:val="afb"/>
          <w:rFonts w:hint="cs"/>
          <w:rtl/>
        </w:rPr>
        <w:t xml:space="preserve"> </w:t>
      </w:r>
      <w:r w:rsidRPr="00940883">
        <w:rPr>
          <w:rStyle w:val="affa"/>
          <w:rFonts w:hint="cs"/>
          <w:rtl/>
        </w:rPr>
        <w:t>ורבינו יונה והרשב"א והריטב"א</w:t>
      </w:r>
      <w:r w:rsidRPr="00940883">
        <w:rPr>
          <w:rStyle w:val="afb"/>
          <w:rFonts w:hint="cs"/>
          <w:rtl/>
        </w:rPr>
        <w:t xml:space="preserve"> </w:t>
      </w:r>
      <w:r w:rsidRPr="0094088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Ref54194836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לג)</w:t>
      </w:r>
      <w:r>
        <w:rPr>
          <w:rStyle w:val="aff6"/>
          <w:rtl/>
        </w:rPr>
        <w:fldChar w:fldCharType="end"/>
      </w:r>
      <w:r w:rsidRPr="00940883">
        <w:rPr>
          <w:rStyle w:val="aff6"/>
          <w:rFonts w:hint="cs"/>
          <w:rtl/>
        </w:rPr>
        <w:t xml:space="preserve"> </w:t>
      </w:r>
      <w:r w:rsidRPr="00940883">
        <w:rPr>
          <w:rStyle w:val="afb"/>
          <w:rFonts w:hint="cs"/>
          <w:rtl/>
        </w:rPr>
        <w:t>דרק בשדה שעומדת לאספסתא סגי בג' חודשים].</w:t>
      </w:r>
      <w:bookmarkEnd w:id="1125"/>
    </w:p>
    <w:p w:rsidR="00AB3447" w:rsidRDefault="00AB3447" w:rsidP="00AB3447">
      <w:pPr>
        <w:pStyle w:val="a3"/>
        <w:rPr>
          <w:rtl/>
        </w:rPr>
      </w:pPr>
      <w:bookmarkStart w:id="1126" w:name="_Toc54201239"/>
      <w:bookmarkStart w:id="1127" w:name="_Toc54210226"/>
      <w:r>
        <w:rPr>
          <w:rFonts w:hint="cs"/>
          <w:rtl/>
        </w:rPr>
        <w:t>קושית התוס' דהיאך אמרינן דהנ"מ היא בפירא רבא וזוטא הא לר"י סגי בג"ח באספסתא</w:t>
      </w:r>
      <w:bookmarkEnd w:id="1126"/>
      <w:bookmarkEnd w:id="1127"/>
    </w:p>
    <w:p w:rsidR="00AB3447" w:rsidRDefault="00AB3447" w:rsidP="007E4E81">
      <w:pPr>
        <w:pStyle w:val="a0"/>
        <w:rPr>
          <w:rtl/>
        </w:rPr>
      </w:pPr>
      <w:bookmarkStart w:id="1128" w:name="_Ref54176611"/>
      <w:r>
        <w:rPr>
          <w:rFonts w:hint="cs"/>
          <w:rtl/>
        </w:rPr>
        <w:t xml:space="preserve">אך הקשה </w:t>
      </w:r>
      <w:r w:rsidRPr="00F36A74">
        <w:rPr>
          <w:rStyle w:val="af9"/>
          <w:rFonts w:hint="cs"/>
          <w:rtl/>
        </w:rPr>
        <w:t>ר</w:t>
      </w:r>
      <w:r w:rsidRPr="00F36A74">
        <w:rPr>
          <w:rStyle w:val="af9"/>
          <w:rtl/>
        </w:rPr>
        <w:t>"</w:t>
      </w:r>
      <w:r w:rsidRPr="00F36A74">
        <w:rPr>
          <w:rStyle w:val="af9"/>
          <w:rFonts w:hint="cs"/>
          <w:rtl/>
        </w:rPr>
        <w:t>י בתוס</w:t>
      </w:r>
      <w:r w:rsidRPr="00F36A74">
        <w:rPr>
          <w:rStyle w:val="af9"/>
          <w:rtl/>
        </w:rPr>
        <w:t>'</w:t>
      </w:r>
      <w:r>
        <w:rPr>
          <w:rFonts w:hint="cs"/>
          <w:rtl/>
        </w:rPr>
        <w:t xml:space="preserve"> דהא איתא בגמ' לקמן </w:t>
      </w:r>
      <w:r w:rsidRPr="00F36A74">
        <w:rPr>
          <w:rStyle w:val="af7"/>
          <w:rFonts w:eastAsia="Guttman Hodes" w:hint="cs"/>
          <w:rtl/>
        </w:rPr>
        <w:t>(לו:)</w:t>
      </w:r>
      <w:r>
        <w:rPr>
          <w:rFonts w:hint="cs"/>
          <w:rtl/>
        </w:rPr>
        <w:t xml:space="preserve"> דהנ"מ בין ר"ע לרבי ישמעאל היא בפירא רבא ובפירא זוטא, כגון ירק שגדל בחודש אחד, והא אמרינן בגמ' </w:t>
      </w:r>
      <w:r w:rsidRPr="00F36A74">
        <w:rPr>
          <w:rStyle w:val="af7"/>
          <w:rFonts w:eastAsia="Guttman Hodes" w:hint="cs"/>
          <w:rtl/>
        </w:rPr>
        <w:t>(כח:)</w:t>
      </w:r>
      <w:r>
        <w:rPr>
          <w:rFonts w:hint="cs"/>
          <w:rtl/>
        </w:rPr>
        <w:t xml:space="preserve"> דבאספסתא שגדלה בחודש אחד לרבי ישמעאל הוי חזקה, ועי' במה שתירץ </w:t>
      </w:r>
      <w:r w:rsidRPr="005E18E7">
        <w:rPr>
          <w:rStyle w:val="af9"/>
          <w:rFonts w:hint="cs"/>
          <w:rtl/>
        </w:rPr>
        <w:t>הרשב"א</w:t>
      </w:r>
      <w:r>
        <w:rPr>
          <w:rFonts w:hint="cs"/>
          <w:rtl/>
        </w:rPr>
        <w:t xml:space="preserve"> </w:t>
      </w:r>
      <w:r w:rsidRPr="005E18E7">
        <w:rPr>
          <w:rStyle w:val="af7"/>
          <w:rFonts w:eastAsia="Guttman Hodes" w:hint="cs"/>
          <w:rtl/>
        </w:rPr>
        <w:t xml:space="preserve">(עי' אות </w:t>
      </w:r>
      <w:r w:rsidRPr="005E18E7">
        <w:rPr>
          <w:rStyle w:val="af7"/>
          <w:rFonts w:eastAsia="Guttman Hodes"/>
          <w:rtl/>
        </w:rPr>
        <w:fldChar w:fldCharType="begin"/>
      </w:r>
      <w:r w:rsidRPr="005E18E7">
        <w:rPr>
          <w:rStyle w:val="af7"/>
          <w:rFonts w:eastAsia="Guttman Hodes"/>
          <w:rtl/>
        </w:rPr>
        <w:instrText xml:space="preserve"> </w:instrText>
      </w:r>
      <w:r w:rsidRPr="005E18E7">
        <w:rPr>
          <w:rStyle w:val="af7"/>
          <w:rFonts w:eastAsia="Guttman Hodes" w:hint="cs"/>
        </w:rPr>
        <w:instrText>REF</w:instrText>
      </w:r>
      <w:r w:rsidRPr="005E18E7">
        <w:rPr>
          <w:rStyle w:val="af7"/>
          <w:rFonts w:eastAsia="Guttman Hodes" w:hint="cs"/>
          <w:rtl/>
        </w:rPr>
        <w:instrText xml:space="preserve"> _</w:instrText>
      </w:r>
      <w:r w:rsidRPr="005E18E7">
        <w:rPr>
          <w:rStyle w:val="af7"/>
          <w:rFonts w:eastAsia="Guttman Hodes" w:hint="cs"/>
        </w:rPr>
        <w:instrText>Ref54176675 \r \h</w:instrText>
      </w:r>
      <w:r w:rsidRPr="005E18E7">
        <w:rPr>
          <w:rStyle w:val="af7"/>
          <w:rFonts w:eastAsia="Guttman Hodes"/>
          <w:rtl/>
        </w:rPr>
        <w:instrText xml:space="preserve"> </w:instrText>
      </w:r>
      <w:r w:rsidRPr="005E18E7">
        <w:rPr>
          <w:rStyle w:val="af7"/>
          <w:rFonts w:eastAsia="Guttman Hodes"/>
          <w:rtl/>
        </w:rPr>
      </w:r>
      <w:r w:rsidRPr="005E18E7">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5E18E7">
        <w:rPr>
          <w:rStyle w:val="af7"/>
          <w:rFonts w:eastAsia="Guttman Hodes"/>
          <w:rtl/>
        </w:rPr>
        <w:fldChar w:fldCharType="end"/>
      </w:r>
      <w:r>
        <w:rPr>
          <w:rFonts w:hint="cs"/>
          <w:rtl/>
        </w:rPr>
        <w:t>.</w:t>
      </w:r>
      <w:bookmarkEnd w:id="1128"/>
    </w:p>
    <w:p w:rsidR="00AB3447" w:rsidRDefault="00AB3447" w:rsidP="00AB3447">
      <w:pPr>
        <w:pStyle w:val="a3"/>
        <w:rPr>
          <w:rtl/>
        </w:rPr>
      </w:pPr>
      <w:bookmarkStart w:id="1129" w:name="_Toc54201240"/>
      <w:bookmarkStart w:id="1130" w:name="_Toc54210227"/>
      <w:r>
        <w:rPr>
          <w:rFonts w:hint="cs"/>
          <w:rtl/>
        </w:rPr>
        <w:t>דעת התוס' דלר"י סגי בקצר בג"ח ראשונים וזרע באחרונים וצריך ג"ח שגדל ברשותו זמן מרובה</w:t>
      </w:r>
      <w:bookmarkEnd w:id="1129"/>
      <w:bookmarkEnd w:id="1130"/>
    </w:p>
    <w:p w:rsidR="00AB3447" w:rsidRDefault="00AB3447" w:rsidP="007E4E81">
      <w:pPr>
        <w:pStyle w:val="a0"/>
        <w:rPr>
          <w:rtl/>
        </w:rPr>
      </w:pPr>
      <w:bookmarkStart w:id="1131" w:name="_Ref54173904"/>
      <w:r>
        <w:rPr>
          <w:rFonts w:hint="cs"/>
          <w:rtl/>
        </w:rPr>
        <w:t xml:space="preserve">אלא כתב </w:t>
      </w:r>
      <w:r w:rsidRPr="00F36A74">
        <w:rPr>
          <w:rStyle w:val="af9"/>
          <w:rFonts w:hint="cs"/>
          <w:rtl/>
        </w:rPr>
        <w:t>ר</w:t>
      </w:r>
      <w:r w:rsidRPr="00F36A74">
        <w:rPr>
          <w:rStyle w:val="af9"/>
          <w:rtl/>
        </w:rPr>
        <w:t>"</w:t>
      </w:r>
      <w:r w:rsidRPr="00F36A74">
        <w:rPr>
          <w:rStyle w:val="af9"/>
          <w:rFonts w:hint="cs"/>
          <w:rtl/>
        </w:rPr>
        <w:t>י בתוס</w:t>
      </w:r>
      <w:r w:rsidRPr="00F36A74">
        <w:rPr>
          <w:rStyle w:val="af9"/>
          <w:rtl/>
        </w:rPr>
        <w:t>'</w:t>
      </w:r>
      <w:r>
        <w:rPr>
          <w:rFonts w:hint="cs"/>
          <w:rtl/>
        </w:rPr>
        <w:t xml:space="preserve"> דלדעת רבי ישמעאל א"צ לזרוע ולקצור את התבואה בג</w:t>
      </w:r>
      <w:r>
        <w:rPr>
          <w:rtl/>
        </w:rPr>
        <w:t>'</w:t>
      </w:r>
      <w:r>
        <w:rPr>
          <w:rFonts w:hint="cs"/>
          <w:rtl/>
        </w:rPr>
        <w:t xml:space="preserve"> חודשים, </w:t>
      </w:r>
      <w:r w:rsidRPr="005D116A">
        <w:rPr>
          <w:rStyle w:val="afb"/>
          <w:rFonts w:hint="cs"/>
          <w:rtl/>
        </w:rPr>
        <w:t xml:space="preserve">[כדעת </w:t>
      </w:r>
      <w:r w:rsidRPr="005D116A">
        <w:rPr>
          <w:rStyle w:val="affa"/>
          <w:rFonts w:hint="cs"/>
          <w:rtl/>
        </w:rPr>
        <w:t>רש"י</w:t>
      </w:r>
      <w:r w:rsidRPr="005D116A">
        <w:rPr>
          <w:rStyle w:val="afb"/>
          <w:rFonts w:hint="cs"/>
          <w:rtl/>
        </w:rPr>
        <w:t xml:space="preserve"> </w:t>
      </w:r>
      <w:r w:rsidRPr="005D116A">
        <w:rPr>
          <w:rStyle w:val="aff6"/>
          <w:rFonts w:hint="cs"/>
          <w:rtl/>
        </w:rPr>
        <w:t xml:space="preserve">(עי' אות </w:t>
      </w:r>
      <w:r w:rsidRPr="005D116A">
        <w:rPr>
          <w:rStyle w:val="aff6"/>
          <w:rtl/>
        </w:rPr>
        <w:fldChar w:fldCharType="begin"/>
      </w:r>
      <w:r w:rsidRPr="005D116A">
        <w:rPr>
          <w:rStyle w:val="aff6"/>
          <w:rtl/>
        </w:rPr>
        <w:instrText xml:space="preserve"> </w:instrText>
      </w:r>
      <w:r w:rsidRPr="005D116A">
        <w:rPr>
          <w:rStyle w:val="aff6"/>
          <w:rFonts w:hint="cs"/>
        </w:rPr>
        <w:instrText>REF</w:instrText>
      </w:r>
      <w:r w:rsidRPr="005D116A">
        <w:rPr>
          <w:rStyle w:val="aff6"/>
          <w:rFonts w:hint="cs"/>
          <w:rtl/>
        </w:rPr>
        <w:instrText xml:space="preserve"> _</w:instrText>
      </w:r>
      <w:r w:rsidRPr="005D116A">
        <w:rPr>
          <w:rStyle w:val="aff6"/>
          <w:rFonts w:hint="cs"/>
        </w:rPr>
        <w:instrText>Ref54193124 \r \h</w:instrText>
      </w:r>
      <w:r w:rsidRPr="005D116A">
        <w:rPr>
          <w:rStyle w:val="aff6"/>
          <w:rtl/>
        </w:rPr>
        <w:instrText xml:space="preserve"> </w:instrText>
      </w:r>
      <w:r w:rsidRPr="005D116A">
        <w:rPr>
          <w:rStyle w:val="aff6"/>
          <w:rtl/>
        </w:rPr>
      </w:r>
      <w:r w:rsidRPr="005D116A">
        <w:rPr>
          <w:rStyle w:val="aff6"/>
          <w:rtl/>
        </w:rPr>
        <w:fldChar w:fldCharType="separate"/>
      </w:r>
      <w:r w:rsidR="00265073">
        <w:rPr>
          <w:rStyle w:val="aff6"/>
          <w:cs/>
        </w:rPr>
        <w:t>‎</w:t>
      </w:r>
      <w:r w:rsidR="00265073">
        <w:rPr>
          <w:rStyle w:val="aff6"/>
          <w:rtl/>
        </w:rPr>
        <w:t>כא)</w:t>
      </w:r>
      <w:r w:rsidRPr="005D116A">
        <w:rPr>
          <w:rStyle w:val="aff6"/>
          <w:rtl/>
        </w:rPr>
        <w:fldChar w:fldCharType="end"/>
      </w:r>
      <w:r w:rsidRPr="005D116A">
        <w:rPr>
          <w:rStyle w:val="afb"/>
          <w:rFonts w:hint="cs"/>
          <w:rtl/>
        </w:rPr>
        <w:t>],</w:t>
      </w:r>
      <w:r>
        <w:rPr>
          <w:rFonts w:hint="cs"/>
          <w:rtl/>
        </w:rPr>
        <w:t xml:space="preserve"> אלא אף אם בג</w:t>
      </w:r>
      <w:r>
        <w:rPr>
          <w:rtl/>
        </w:rPr>
        <w:t>'</w:t>
      </w:r>
      <w:r>
        <w:rPr>
          <w:rFonts w:hint="cs"/>
          <w:rtl/>
        </w:rPr>
        <w:t xml:space="preserve"> חודשים הראשונים המערער זרע את השדה, והמחזיק קצר, וכן אם בג</w:t>
      </w:r>
      <w:r>
        <w:rPr>
          <w:rtl/>
        </w:rPr>
        <w:t>'</w:t>
      </w:r>
      <w:r>
        <w:rPr>
          <w:rFonts w:hint="cs"/>
          <w:rtl/>
        </w:rPr>
        <w:t xml:space="preserve"> חודשים האחרונים זרע המחזיק את השדה ולא קצר, הוי חזקה לרבי ישמעאל, דס"ל דצריך הפרי יגדל ברשות המחזיק זמן מרובה שהוא </w:t>
      </w:r>
      <w:r>
        <w:rPr>
          <w:rFonts w:hint="cs"/>
          <w:rtl/>
        </w:rPr>
        <w:lastRenderedPageBreak/>
        <w:t>ג</w:t>
      </w:r>
      <w:r>
        <w:rPr>
          <w:rtl/>
        </w:rPr>
        <w:t>'</w:t>
      </w:r>
      <w:r>
        <w:rPr>
          <w:rFonts w:hint="cs"/>
          <w:rtl/>
        </w:rPr>
        <w:t xml:space="preserve"> חודשים, ועי' במה שביארו </w:t>
      </w:r>
      <w:r w:rsidRPr="00F36A74">
        <w:rPr>
          <w:rStyle w:val="af9"/>
          <w:rFonts w:hint="cs"/>
          <w:rtl/>
        </w:rPr>
        <w:t>הת</w:t>
      </w:r>
      <w:r w:rsidRPr="00D15FD2">
        <w:rPr>
          <w:rStyle w:val="af9"/>
          <w:rFonts w:hint="cs"/>
          <w:rtl/>
        </w:rPr>
        <w:t xml:space="preserve">וס' </w:t>
      </w:r>
      <w:r w:rsidRPr="00F36A74">
        <w:rPr>
          <w:rStyle w:val="af7"/>
          <w:rFonts w:eastAsia="Guttman Hodes" w:hint="cs"/>
          <w:rtl/>
        </w:rPr>
        <w:t xml:space="preserve">(עי' אות </w:t>
      </w:r>
      <w:r w:rsidRPr="00F36A74">
        <w:rPr>
          <w:rStyle w:val="af7"/>
          <w:rFonts w:eastAsia="Guttman Hodes"/>
          <w:rtl/>
        </w:rPr>
        <w:fldChar w:fldCharType="begin"/>
      </w:r>
      <w:r w:rsidRPr="00F36A74">
        <w:rPr>
          <w:rStyle w:val="af7"/>
          <w:rFonts w:eastAsia="Guttman Hodes"/>
          <w:rtl/>
        </w:rPr>
        <w:instrText xml:space="preserve"> </w:instrText>
      </w:r>
      <w:r w:rsidRPr="00F36A74">
        <w:rPr>
          <w:rStyle w:val="af7"/>
          <w:rFonts w:eastAsia="Guttman Hodes" w:hint="cs"/>
        </w:rPr>
        <w:instrText>REF</w:instrText>
      </w:r>
      <w:r w:rsidRPr="00F36A74">
        <w:rPr>
          <w:rStyle w:val="af7"/>
          <w:rFonts w:eastAsia="Guttman Hodes" w:hint="cs"/>
          <w:rtl/>
        </w:rPr>
        <w:instrText xml:space="preserve"> _</w:instrText>
      </w:r>
      <w:r w:rsidRPr="00F36A74">
        <w:rPr>
          <w:rStyle w:val="af7"/>
          <w:rFonts w:eastAsia="Guttman Hodes" w:hint="cs"/>
        </w:rPr>
        <w:instrText>Ref54173893 \r \h</w:instrText>
      </w:r>
      <w:r w:rsidRPr="00F36A74">
        <w:rPr>
          <w:rStyle w:val="af7"/>
          <w:rFonts w:eastAsia="Guttman Hodes"/>
          <w:rtl/>
        </w:rPr>
        <w:instrText xml:space="preserve"> </w:instrText>
      </w:r>
      <w:r w:rsidRPr="00F36A74">
        <w:rPr>
          <w:rStyle w:val="af7"/>
          <w:rFonts w:eastAsia="Guttman Hodes"/>
          <w:rtl/>
        </w:rPr>
      </w:r>
      <w:r w:rsidRPr="00F36A74">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F36A74">
        <w:rPr>
          <w:rStyle w:val="af7"/>
          <w:rFonts w:eastAsia="Guttman Hodes"/>
          <w:rtl/>
        </w:rPr>
        <w:fldChar w:fldCharType="end"/>
      </w:r>
      <w:r>
        <w:rPr>
          <w:rFonts w:hint="cs"/>
          <w:rtl/>
        </w:rPr>
        <w:t xml:space="preserve"> היאך יהיה ניכר כשמחזיק בשדה בכל הג' חודשים, כשהוא רק קוצר או רק זורע, ועי' בדברי </w:t>
      </w:r>
      <w:r w:rsidRPr="005D116A">
        <w:rPr>
          <w:rStyle w:val="af9"/>
          <w:rFonts w:hint="cs"/>
          <w:rtl/>
        </w:rPr>
        <w:t>הרמב"ן</w:t>
      </w:r>
      <w:r>
        <w:rPr>
          <w:rFonts w:hint="cs"/>
          <w:rtl/>
        </w:rPr>
        <w:t xml:space="preserve"> </w:t>
      </w:r>
      <w:r w:rsidRPr="005D116A">
        <w:rPr>
          <w:rStyle w:val="af7"/>
          <w:rFonts w:eastAsia="Guttman Hodes" w:hint="cs"/>
          <w:rtl/>
        </w:rPr>
        <w:t xml:space="preserve">(עי' אות </w:t>
      </w:r>
      <w:r w:rsidRPr="005D116A">
        <w:rPr>
          <w:rStyle w:val="af7"/>
          <w:rFonts w:eastAsia="Guttman Hodes"/>
          <w:rtl/>
        </w:rPr>
        <w:fldChar w:fldCharType="begin"/>
      </w:r>
      <w:r w:rsidRPr="005D116A">
        <w:rPr>
          <w:rStyle w:val="af7"/>
          <w:rFonts w:eastAsia="Guttman Hodes"/>
          <w:rtl/>
        </w:rPr>
        <w:instrText xml:space="preserve"> </w:instrText>
      </w:r>
      <w:r w:rsidRPr="005D116A">
        <w:rPr>
          <w:rStyle w:val="af7"/>
          <w:rFonts w:eastAsia="Guttman Hodes" w:hint="cs"/>
        </w:rPr>
        <w:instrText>REF</w:instrText>
      </w:r>
      <w:r w:rsidRPr="005D116A">
        <w:rPr>
          <w:rStyle w:val="af7"/>
          <w:rFonts w:eastAsia="Guttman Hodes" w:hint="cs"/>
          <w:rtl/>
        </w:rPr>
        <w:instrText xml:space="preserve"> _</w:instrText>
      </w:r>
      <w:r w:rsidRPr="005D116A">
        <w:rPr>
          <w:rStyle w:val="af7"/>
          <w:rFonts w:eastAsia="Guttman Hodes" w:hint="cs"/>
        </w:rPr>
        <w:instrText>Ref54193148 \r \h</w:instrText>
      </w:r>
      <w:r w:rsidRPr="005D116A">
        <w:rPr>
          <w:rStyle w:val="af7"/>
          <w:rFonts w:eastAsia="Guttman Hodes"/>
          <w:rtl/>
        </w:rPr>
        <w:instrText xml:space="preserve"> </w:instrText>
      </w:r>
      <w:r w:rsidRPr="005D116A">
        <w:rPr>
          <w:rStyle w:val="af7"/>
          <w:rFonts w:eastAsia="Guttman Hodes"/>
          <w:rtl/>
        </w:rPr>
      </w:r>
      <w:r w:rsidRPr="005D116A">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5D116A">
        <w:rPr>
          <w:rStyle w:val="af7"/>
          <w:rFonts w:eastAsia="Guttman Hodes"/>
          <w:rtl/>
        </w:rPr>
        <w:fldChar w:fldCharType="end"/>
      </w:r>
      <w:r>
        <w:rPr>
          <w:rFonts w:hint="cs"/>
          <w:rtl/>
        </w:rPr>
        <w:t>.</w:t>
      </w:r>
    </w:p>
    <w:p w:rsidR="00AB3447" w:rsidRPr="00105812" w:rsidRDefault="00AB3447" w:rsidP="00AB3447">
      <w:pPr>
        <w:pStyle w:val="1"/>
        <w:rPr>
          <w:rtl/>
        </w:rPr>
      </w:pPr>
      <w:bookmarkStart w:id="1132" w:name="_Toc54201241"/>
      <w:bookmarkStart w:id="1133" w:name="_Toc54210228"/>
      <w:r>
        <w:rPr>
          <w:rFonts w:hint="cs"/>
          <w:rtl/>
        </w:rPr>
        <w:t>ביאורי הראשונים בפלוגתת ר"י ור"ע בפירא רבא ופירא זוטא</w:t>
      </w:r>
      <w:bookmarkEnd w:id="1132"/>
      <w:bookmarkEnd w:id="1133"/>
    </w:p>
    <w:p w:rsidR="00AB3447" w:rsidRPr="00D15FD2" w:rsidRDefault="00AB3447" w:rsidP="00AB3447">
      <w:pPr>
        <w:pStyle w:val="a3"/>
      </w:pPr>
      <w:bookmarkStart w:id="1134" w:name="_Toc54201242"/>
      <w:bookmarkStart w:id="1135" w:name="_Toc54210229"/>
      <w:r>
        <w:rPr>
          <w:rFonts w:hint="cs"/>
          <w:rtl/>
        </w:rPr>
        <w:t>ביאור התוס' דפירא רבא היינו שגדל ברשותו ג"ח ופירא זוטא היינו שגדל ברשותו חודש אחד</w:t>
      </w:r>
      <w:bookmarkEnd w:id="1134"/>
      <w:bookmarkEnd w:id="1135"/>
    </w:p>
    <w:p w:rsidR="00AB3447" w:rsidRDefault="00AB3447" w:rsidP="007E4E81">
      <w:pPr>
        <w:pStyle w:val="a0"/>
        <w:rPr>
          <w:rtl/>
        </w:rPr>
      </w:pPr>
      <w:r>
        <w:rPr>
          <w:rFonts w:hint="cs"/>
          <w:rtl/>
        </w:rPr>
        <w:t xml:space="preserve">וכתבו </w:t>
      </w:r>
      <w:r w:rsidRPr="00D15FD2">
        <w:rPr>
          <w:rStyle w:val="af9"/>
          <w:rFonts w:hint="cs"/>
          <w:rtl/>
        </w:rPr>
        <w:t>התוס'</w:t>
      </w:r>
      <w:r>
        <w:rPr>
          <w:rFonts w:hint="cs"/>
          <w:rtl/>
        </w:rPr>
        <w:t xml:space="preserve"> </w:t>
      </w:r>
      <w:r w:rsidRPr="00AA4D05">
        <w:rPr>
          <w:rStyle w:val="af7"/>
          <w:rFonts w:eastAsia="Guttman Hodes" w:hint="cs"/>
          <w:rtl/>
        </w:rPr>
        <w:t>(ד"ה שלשה)</w:t>
      </w:r>
      <w:r>
        <w:rPr>
          <w:rFonts w:hint="cs"/>
          <w:rtl/>
        </w:rPr>
        <w:t xml:space="preserve"> דלפי"ז מבואר דהא דאמרינן בגמ' לקמן </w:t>
      </w:r>
      <w:r w:rsidRPr="00F36A74">
        <w:rPr>
          <w:rStyle w:val="af7"/>
          <w:rFonts w:eastAsia="Guttman Hodes" w:hint="cs"/>
          <w:rtl/>
        </w:rPr>
        <w:t>(לו:)</w:t>
      </w:r>
      <w:r>
        <w:rPr>
          <w:rFonts w:hint="cs"/>
          <w:rtl/>
        </w:rPr>
        <w:t xml:space="preserve"> דהנ"מ בין ר"ע לרבי ישמעאל היא בפירא רבא ובפירא זוטא, היינו דלר"י צריך שהפרי יגדל ברשותו ג' חודשים והיינו פירא רבא, ור"ע פליג עליה וס"ל דסגי שהפרי יגדל ברשותו חודש אחד, וזו הכוונה פירא זוטא.</w:t>
      </w:r>
      <w:bookmarkEnd w:id="1131"/>
    </w:p>
    <w:p w:rsidR="00AB3447" w:rsidRDefault="00AB3447" w:rsidP="00AB3447">
      <w:pPr>
        <w:pStyle w:val="a3"/>
        <w:rPr>
          <w:rtl/>
        </w:rPr>
      </w:pPr>
      <w:bookmarkStart w:id="1136" w:name="_Toc54177780"/>
      <w:bookmarkStart w:id="1137" w:name="_Toc54201243"/>
      <w:bookmarkStart w:id="1138" w:name="_Toc54210230"/>
      <w:r>
        <w:rPr>
          <w:rFonts w:hint="cs"/>
          <w:rtl/>
        </w:rPr>
        <w:t>ביאור הרשב"ם דפירא רבא הוא תבואה הגדילה בג"ח ופירא זוטא היינו שחת או ירק</w:t>
      </w:r>
      <w:bookmarkEnd w:id="1136"/>
      <w:bookmarkEnd w:id="1137"/>
      <w:bookmarkEnd w:id="1138"/>
    </w:p>
    <w:p w:rsidR="00AB3447" w:rsidRDefault="00AB3447" w:rsidP="007E4E81">
      <w:pPr>
        <w:pStyle w:val="a0"/>
        <w:rPr>
          <w:rtl/>
        </w:rPr>
      </w:pPr>
      <w:bookmarkStart w:id="1139" w:name="_Ref54174294"/>
      <w:r w:rsidRPr="00105812">
        <w:rPr>
          <w:rStyle w:val="af9"/>
          <w:rFonts w:hint="cs"/>
          <w:rtl/>
        </w:rPr>
        <w:t>והר</w:t>
      </w:r>
      <w:r w:rsidRPr="00684131">
        <w:rPr>
          <w:rStyle w:val="af9"/>
          <w:rFonts w:hint="cs"/>
          <w:rtl/>
        </w:rPr>
        <w:t>שב"ם לקמן</w:t>
      </w:r>
      <w:r>
        <w:rPr>
          <w:rFonts w:hint="cs"/>
          <w:rtl/>
        </w:rPr>
        <w:t xml:space="preserve"> </w:t>
      </w:r>
      <w:r w:rsidRPr="00565C57">
        <w:rPr>
          <w:rStyle w:val="af7"/>
          <w:rFonts w:eastAsia="Guttman Hodes" w:hint="cs"/>
          <w:rtl/>
        </w:rPr>
        <w:t>(לו: ד"ה פירא)</w:t>
      </w:r>
      <w:r>
        <w:rPr>
          <w:rFonts w:hint="cs"/>
          <w:rtl/>
        </w:rPr>
        <w:t xml:space="preserve"> כתב בביאור דברי הגמ' לקמן </w:t>
      </w:r>
      <w:r w:rsidRPr="00565C57">
        <w:rPr>
          <w:rStyle w:val="af7"/>
          <w:rFonts w:eastAsia="Guttman Hodes" w:hint="cs"/>
          <w:rtl/>
        </w:rPr>
        <w:t>(לו:)</w:t>
      </w:r>
      <w:r>
        <w:rPr>
          <w:rFonts w:hint="cs"/>
          <w:rtl/>
        </w:rPr>
        <w:t xml:space="preserve"> דהנ"מ בין ר"ע לרבי ישמעאל, היא בפירא רבא ופירא זוטא, דלרבי ישמעאל החזקה היא בפירא רבא, דהיינו רק כשנגמרה כל התבואה, ולכן הצריך רבי ישמעאל ג' חודשים, דיש תבואה שגדילה בג' חודשים כשעורים ושבולת שועל, ור"ע ס"ל דאף בפירא זוטא הוי חזקה, דהיינו כשגידל שחת בחודש אחד, דאף שלא נגמרה כל התבואה מ"מ הוי חזקה, וכן כשגידל ירקות שגדלים בחודש אחד, ועי' במה שביאר </w:t>
      </w:r>
      <w:r w:rsidRPr="008E27ED">
        <w:rPr>
          <w:rStyle w:val="af9"/>
          <w:rFonts w:hint="cs"/>
          <w:rtl/>
        </w:rPr>
        <w:t>התוס' רי"ד</w:t>
      </w:r>
      <w:r>
        <w:rPr>
          <w:rFonts w:hint="cs"/>
          <w:rtl/>
        </w:rPr>
        <w:t xml:space="preserve"> </w:t>
      </w:r>
      <w:r w:rsidRPr="008E27ED">
        <w:rPr>
          <w:rStyle w:val="af7"/>
          <w:rFonts w:eastAsia="Guttman Hodes" w:hint="cs"/>
          <w:rtl/>
        </w:rPr>
        <w:t xml:space="preserve">(עי' אות </w:t>
      </w:r>
      <w:r w:rsidRPr="008E27ED">
        <w:rPr>
          <w:rStyle w:val="af7"/>
          <w:rFonts w:eastAsia="Guttman Hodes"/>
          <w:rtl/>
        </w:rPr>
        <w:fldChar w:fldCharType="begin"/>
      </w:r>
      <w:r w:rsidRPr="008E27ED">
        <w:rPr>
          <w:rStyle w:val="af7"/>
          <w:rFonts w:eastAsia="Guttman Hodes"/>
          <w:rtl/>
        </w:rPr>
        <w:instrText xml:space="preserve"> </w:instrText>
      </w:r>
      <w:r w:rsidRPr="008E27ED">
        <w:rPr>
          <w:rStyle w:val="af7"/>
          <w:rFonts w:eastAsia="Guttman Hodes" w:hint="cs"/>
        </w:rPr>
        <w:instrText>REF</w:instrText>
      </w:r>
      <w:r w:rsidRPr="008E27ED">
        <w:rPr>
          <w:rStyle w:val="af7"/>
          <w:rFonts w:eastAsia="Guttman Hodes" w:hint="cs"/>
          <w:rtl/>
        </w:rPr>
        <w:instrText xml:space="preserve"> _</w:instrText>
      </w:r>
      <w:r w:rsidRPr="008E27ED">
        <w:rPr>
          <w:rStyle w:val="af7"/>
          <w:rFonts w:eastAsia="Guttman Hodes" w:hint="cs"/>
        </w:rPr>
        <w:instrText>Ref54197800 \r \h</w:instrText>
      </w:r>
      <w:r w:rsidRPr="008E27ED">
        <w:rPr>
          <w:rStyle w:val="af7"/>
          <w:rFonts w:eastAsia="Guttman Hodes"/>
          <w:rtl/>
        </w:rPr>
        <w:instrText xml:space="preserve"> </w:instrText>
      </w:r>
      <w:r w:rsidRPr="008E27ED">
        <w:rPr>
          <w:rStyle w:val="af7"/>
          <w:rFonts w:eastAsia="Guttman Hodes"/>
          <w:rtl/>
        </w:rPr>
      </w:r>
      <w:r w:rsidRPr="008E27ED">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8E27ED">
        <w:rPr>
          <w:rStyle w:val="af7"/>
          <w:rFonts w:eastAsia="Guttman Hodes"/>
          <w:rtl/>
        </w:rPr>
        <w:fldChar w:fldCharType="end"/>
      </w:r>
      <w:r>
        <w:rPr>
          <w:rFonts w:hint="cs"/>
          <w:rtl/>
        </w:rPr>
        <w:t>.</w:t>
      </w:r>
      <w:bookmarkEnd w:id="1139"/>
    </w:p>
    <w:p w:rsidR="00AB3447" w:rsidRDefault="00AB3447" w:rsidP="00AB3447">
      <w:pPr>
        <w:pStyle w:val="a3"/>
        <w:rPr>
          <w:rtl/>
        </w:rPr>
      </w:pPr>
      <w:bookmarkStart w:id="1140" w:name="_Toc54177781"/>
      <w:bookmarkStart w:id="1141" w:name="_Toc54201244"/>
      <w:bookmarkStart w:id="1142" w:name="_Toc54210231"/>
      <w:r>
        <w:rPr>
          <w:rFonts w:hint="cs"/>
          <w:rtl/>
        </w:rPr>
        <w:t>ביאור ר"ח דפירא רבא היינו קישואין ודלועין שנגמרים בג"ח ופירא זוטא היינו ירק</w:t>
      </w:r>
      <w:bookmarkEnd w:id="1140"/>
      <w:bookmarkEnd w:id="1141"/>
      <w:bookmarkEnd w:id="1142"/>
    </w:p>
    <w:p w:rsidR="00AB3447" w:rsidRDefault="00AB3447" w:rsidP="007E4E81">
      <w:pPr>
        <w:pStyle w:val="a0"/>
        <w:rPr>
          <w:rtl/>
        </w:rPr>
      </w:pPr>
      <w:bookmarkStart w:id="1143" w:name="_Ref54174302"/>
      <w:r>
        <w:rPr>
          <w:rStyle w:val="af9"/>
          <w:rFonts w:hint="cs"/>
          <w:rtl/>
        </w:rPr>
        <w:t>ו</w:t>
      </w:r>
      <w:r w:rsidRPr="007562CC">
        <w:rPr>
          <w:rStyle w:val="af9"/>
          <w:rFonts w:hint="cs"/>
          <w:rtl/>
        </w:rPr>
        <w:t>הר"</w:t>
      </w:r>
      <w:r w:rsidRPr="00336D1F">
        <w:rPr>
          <w:rStyle w:val="af9"/>
          <w:rFonts w:hint="cs"/>
          <w:rtl/>
        </w:rPr>
        <w:t>ח לקמן</w:t>
      </w:r>
      <w:r>
        <w:rPr>
          <w:rFonts w:hint="cs"/>
          <w:rtl/>
        </w:rPr>
        <w:t xml:space="preserve"> </w:t>
      </w:r>
      <w:r w:rsidRPr="00231EB6">
        <w:rPr>
          <w:rStyle w:val="af7"/>
          <w:rFonts w:eastAsia="Guttman Hodes" w:hint="cs"/>
          <w:rtl/>
        </w:rPr>
        <w:t>(לו:</w:t>
      </w:r>
      <w:r w:rsidRPr="00231EB6">
        <w:rPr>
          <w:rStyle w:val="af7"/>
          <w:rFonts w:eastAsia="Guttman Hodes"/>
          <w:rtl/>
        </w:rPr>
        <w:t xml:space="preserve"> </w:t>
      </w:r>
      <w:r w:rsidRPr="00231EB6">
        <w:rPr>
          <w:rStyle w:val="af7"/>
          <w:rFonts w:eastAsia="Guttman Hodes" w:hint="cs"/>
          <w:rtl/>
        </w:rPr>
        <w:t xml:space="preserve">ד"ה וקיי"ל, נד' בשיטת </w:t>
      </w:r>
      <w:r w:rsidRPr="00230E35">
        <w:rPr>
          <w:rStyle w:val="af7"/>
          <w:rFonts w:eastAsia="Guttman Hodes" w:hint="cs"/>
          <w:rtl/>
        </w:rPr>
        <w:t xml:space="preserve">הקדמונים, הועתק בקובץ שיטות קמאי ב"ב ח"א </w:t>
      </w:r>
      <w:r w:rsidRPr="00231EB6">
        <w:rPr>
          <w:rStyle w:val="af7"/>
          <w:rFonts w:eastAsia="Guttman Hodes" w:hint="cs"/>
          <w:rtl/>
        </w:rPr>
        <w:t xml:space="preserve">עמ' </w:t>
      </w:r>
      <w:r w:rsidRPr="00231EB6">
        <w:rPr>
          <w:rStyle w:val="af7"/>
          <w:rFonts w:eastAsia="Guttman Hodes"/>
          <w:rtl/>
        </w:rPr>
        <w:t>תתקי</w:t>
      </w:r>
      <w:r w:rsidRPr="00231EB6">
        <w:rPr>
          <w:rStyle w:val="af7"/>
          <w:rFonts w:eastAsia="Guttman Hodes" w:hint="cs"/>
          <w:rtl/>
        </w:rPr>
        <w:t>"</w:t>
      </w:r>
      <w:r w:rsidRPr="00231EB6">
        <w:rPr>
          <w:rStyle w:val="af7"/>
          <w:rFonts w:eastAsia="Guttman Hodes"/>
          <w:rtl/>
        </w:rPr>
        <w:t>א</w:t>
      </w:r>
      <w:r w:rsidRPr="00231EB6">
        <w:rPr>
          <w:rStyle w:val="af7"/>
          <w:rFonts w:eastAsia="Guttman Hodes" w:hint="cs"/>
          <w:rtl/>
        </w:rPr>
        <w:t xml:space="preserve">) </w:t>
      </w:r>
      <w:r>
        <w:rPr>
          <w:rFonts w:hint="cs"/>
          <w:rtl/>
        </w:rPr>
        <w:t>ביאר דלרבי ישמעאל בפירא רבא הוי חזקה, דהיינו קישואין ודלועין, שנגמרים בג' חודשים, ובפחות מזה לא הוי חזקה, ולר"ע אף בפירא זוטא כגון ירק שגדל בחודש אחד הוי חזקה.</w:t>
      </w:r>
      <w:bookmarkEnd w:id="1143"/>
    </w:p>
    <w:p w:rsidR="00AB3447" w:rsidRDefault="00AB3447" w:rsidP="00AB3447">
      <w:pPr>
        <w:pStyle w:val="1"/>
        <w:rPr>
          <w:rtl/>
        </w:rPr>
      </w:pPr>
      <w:bookmarkStart w:id="1144" w:name="_Toc54177779"/>
      <w:bookmarkStart w:id="1145" w:name="_Toc54201245"/>
      <w:bookmarkStart w:id="1146" w:name="_Toc54210232"/>
      <w:bookmarkStart w:id="1147" w:name="_Toc54177782"/>
      <w:r>
        <w:rPr>
          <w:rFonts w:hint="cs"/>
          <w:rtl/>
        </w:rPr>
        <w:t>דברי הרמב"ן</w:t>
      </w:r>
      <w:bookmarkEnd w:id="1144"/>
      <w:r>
        <w:rPr>
          <w:rFonts w:hint="cs"/>
          <w:rtl/>
        </w:rPr>
        <w:t xml:space="preserve"> והרשב"א דבעומדת לאספסתא סגי בג"ח</w:t>
      </w:r>
      <w:bookmarkEnd w:id="1145"/>
      <w:bookmarkEnd w:id="1146"/>
    </w:p>
    <w:p w:rsidR="00AB3447" w:rsidRPr="00C30738" w:rsidRDefault="00AB3447" w:rsidP="00AB3447">
      <w:pPr>
        <w:pStyle w:val="a3"/>
        <w:rPr>
          <w:rtl/>
        </w:rPr>
      </w:pPr>
      <w:bookmarkStart w:id="1148" w:name="_Toc54201246"/>
      <w:bookmarkStart w:id="1149" w:name="_Toc54210233"/>
      <w:r>
        <w:rPr>
          <w:rFonts w:hint="cs"/>
          <w:rtl/>
        </w:rPr>
        <w:t>קושית הרמב"ן דאמאי לר"י צריך פירא רבא בי"ח חודשים הא באספסתא סגי בג' חודשים</w:t>
      </w:r>
      <w:bookmarkEnd w:id="1147"/>
      <w:bookmarkEnd w:id="1148"/>
      <w:bookmarkEnd w:id="1149"/>
    </w:p>
    <w:p w:rsidR="00AB3447" w:rsidRDefault="00AB3447" w:rsidP="007E4E81">
      <w:pPr>
        <w:pStyle w:val="a0"/>
        <w:rPr>
          <w:rtl/>
        </w:rPr>
      </w:pPr>
      <w:r>
        <w:rPr>
          <w:rFonts w:hint="cs"/>
          <w:rtl/>
        </w:rPr>
        <w:t xml:space="preserve">וכתב </w:t>
      </w:r>
      <w:r w:rsidRPr="00881007">
        <w:rPr>
          <w:rStyle w:val="af9"/>
          <w:rFonts w:hint="cs"/>
          <w:rtl/>
        </w:rPr>
        <w:t xml:space="preserve">הרמב"ן לקמן </w:t>
      </w:r>
      <w:r w:rsidRPr="00565C57">
        <w:rPr>
          <w:rStyle w:val="af7"/>
          <w:rFonts w:eastAsia="Guttman Hodes" w:hint="cs"/>
          <w:rtl/>
        </w:rPr>
        <w:t>(לו: ד"ה פירא)</w:t>
      </w:r>
      <w:r>
        <w:rPr>
          <w:rFonts w:hint="cs"/>
          <w:rtl/>
        </w:rPr>
        <w:t xml:space="preserve"> דבין לביאור </w:t>
      </w:r>
      <w:r w:rsidRPr="00881007">
        <w:rPr>
          <w:rStyle w:val="af9"/>
          <w:rFonts w:hint="cs"/>
          <w:rtl/>
        </w:rPr>
        <w:t xml:space="preserve">הרשב"ם </w:t>
      </w:r>
      <w:r w:rsidRPr="00565C57">
        <w:rPr>
          <w:rStyle w:val="af7"/>
          <w:rFonts w:eastAsia="Guttman Hodes" w:hint="cs"/>
          <w:rtl/>
        </w:rPr>
        <w:t xml:space="preserve">(עי' אות </w:t>
      </w:r>
      <w:r w:rsidRPr="00565C57">
        <w:rPr>
          <w:rStyle w:val="af7"/>
          <w:rFonts w:eastAsia="Guttman Hodes"/>
          <w:rtl/>
        </w:rPr>
        <w:fldChar w:fldCharType="begin"/>
      </w:r>
      <w:r w:rsidRPr="00565C57">
        <w:rPr>
          <w:rStyle w:val="af7"/>
          <w:rFonts w:eastAsia="Guttman Hodes"/>
          <w:rtl/>
        </w:rPr>
        <w:instrText xml:space="preserve"> </w:instrText>
      </w:r>
      <w:r w:rsidRPr="00565C57">
        <w:rPr>
          <w:rStyle w:val="af7"/>
          <w:rFonts w:eastAsia="Guttman Hodes" w:hint="cs"/>
        </w:rPr>
        <w:instrText>REF</w:instrText>
      </w:r>
      <w:r w:rsidRPr="00565C57">
        <w:rPr>
          <w:rStyle w:val="af7"/>
          <w:rFonts w:eastAsia="Guttman Hodes" w:hint="cs"/>
          <w:rtl/>
        </w:rPr>
        <w:instrText xml:space="preserve"> _</w:instrText>
      </w:r>
      <w:r w:rsidRPr="00565C57">
        <w:rPr>
          <w:rStyle w:val="af7"/>
          <w:rFonts w:eastAsia="Guttman Hodes" w:hint="cs"/>
        </w:rPr>
        <w:instrText>Ref54174294 \r \h</w:instrText>
      </w:r>
      <w:r w:rsidRPr="00565C57">
        <w:rPr>
          <w:rStyle w:val="af7"/>
          <w:rFonts w:eastAsia="Guttman Hodes"/>
          <w:rtl/>
        </w:rPr>
        <w:instrText xml:space="preserve"> </w:instrText>
      </w:r>
      <w:r w:rsidRPr="00565C57">
        <w:rPr>
          <w:rStyle w:val="af7"/>
          <w:rFonts w:eastAsia="Guttman Hodes"/>
          <w:rtl/>
        </w:rPr>
      </w:r>
      <w:r w:rsidRPr="00565C57">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565C57">
        <w:rPr>
          <w:rStyle w:val="af7"/>
          <w:rFonts w:eastAsia="Guttman Hodes"/>
          <w:rtl/>
        </w:rPr>
        <w:fldChar w:fldCharType="end"/>
      </w:r>
      <w:r>
        <w:rPr>
          <w:rFonts w:hint="cs"/>
          <w:rtl/>
        </w:rPr>
        <w:t xml:space="preserve"> ובין לביאור </w:t>
      </w:r>
      <w:r>
        <w:rPr>
          <w:rStyle w:val="af9"/>
          <w:rFonts w:hint="cs"/>
          <w:rtl/>
        </w:rPr>
        <w:t>ה</w:t>
      </w:r>
      <w:r w:rsidRPr="00881007">
        <w:rPr>
          <w:rStyle w:val="af9"/>
          <w:rFonts w:hint="cs"/>
          <w:rtl/>
        </w:rPr>
        <w:t xml:space="preserve">ר"ח </w:t>
      </w:r>
      <w:r w:rsidRPr="00565C57">
        <w:rPr>
          <w:rStyle w:val="af7"/>
          <w:rFonts w:eastAsia="Guttman Hodes" w:hint="cs"/>
          <w:rtl/>
        </w:rPr>
        <w:t xml:space="preserve">(עי' אות </w:t>
      </w:r>
      <w:r w:rsidRPr="00565C57">
        <w:rPr>
          <w:rStyle w:val="af7"/>
          <w:rFonts w:eastAsia="Guttman Hodes"/>
          <w:rtl/>
        </w:rPr>
        <w:fldChar w:fldCharType="begin"/>
      </w:r>
      <w:r w:rsidRPr="00565C57">
        <w:rPr>
          <w:rStyle w:val="af7"/>
          <w:rFonts w:eastAsia="Guttman Hodes"/>
          <w:rtl/>
        </w:rPr>
        <w:instrText xml:space="preserve"> </w:instrText>
      </w:r>
      <w:r w:rsidRPr="00565C57">
        <w:rPr>
          <w:rStyle w:val="af7"/>
          <w:rFonts w:eastAsia="Guttman Hodes" w:hint="cs"/>
        </w:rPr>
        <w:instrText>REF</w:instrText>
      </w:r>
      <w:r w:rsidRPr="00565C57">
        <w:rPr>
          <w:rStyle w:val="af7"/>
          <w:rFonts w:eastAsia="Guttman Hodes" w:hint="cs"/>
          <w:rtl/>
        </w:rPr>
        <w:instrText xml:space="preserve"> _</w:instrText>
      </w:r>
      <w:r w:rsidRPr="00565C57">
        <w:rPr>
          <w:rStyle w:val="af7"/>
          <w:rFonts w:eastAsia="Guttman Hodes" w:hint="cs"/>
        </w:rPr>
        <w:instrText>Ref54174302 \r \h</w:instrText>
      </w:r>
      <w:r w:rsidRPr="00565C57">
        <w:rPr>
          <w:rStyle w:val="af7"/>
          <w:rFonts w:eastAsia="Guttman Hodes"/>
          <w:rtl/>
        </w:rPr>
        <w:instrText xml:space="preserve"> </w:instrText>
      </w:r>
      <w:r w:rsidRPr="00565C57">
        <w:rPr>
          <w:rStyle w:val="af7"/>
          <w:rFonts w:eastAsia="Guttman Hodes"/>
          <w:rtl/>
        </w:rPr>
      </w:r>
      <w:r w:rsidRPr="00565C57">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565C57">
        <w:rPr>
          <w:rStyle w:val="af7"/>
          <w:rFonts w:eastAsia="Guttman Hodes"/>
          <w:rtl/>
        </w:rPr>
        <w:fldChar w:fldCharType="end"/>
      </w:r>
      <w:r>
        <w:rPr>
          <w:rFonts w:hint="cs"/>
          <w:rtl/>
        </w:rPr>
        <w:t xml:space="preserve"> בפירא רבא ופירא זוטא, קשה דהא אמרינן בגמ' </w:t>
      </w:r>
      <w:r w:rsidRPr="00565C57">
        <w:rPr>
          <w:rStyle w:val="af7"/>
          <w:rFonts w:eastAsia="Guttman Hodes" w:hint="cs"/>
          <w:rtl/>
        </w:rPr>
        <w:t>(כח:)</w:t>
      </w:r>
      <w:r>
        <w:rPr>
          <w:rFonts w:hint="cs"/>
          <w:rtl/>
        </w:rPr>
        <w:t xml:space="preserve"> דלרבי ישמעאל אם אכל ג' פעמים אספסתא בג' חודשים, הוי חזקה, ועי' במ"ש </w:t>
      </w:r>
      <w:r w:rsidRPr="00881007">
        <w:rPr>
          <w:rStyle w:val="af9"/>
          <w:rFonts w:hint="cs"/>
          <w:rtl/>
        </w:rPr>
        <w:t>התוס'</w:t>
      </w:r>
      <w:r>
        <w:rPr>
          <w:rFonts w:hint="cs"/>
          <w:rtl/>
        </w:rPr>
        <w:t xml:space="preserve"> </w:t>
      </w:r>
      <w:r w:rsidRPr="00881007">
        <w:rPr>
          <w:rStyle w:val="af7"/>
          <w:rFonts w:eastAsia="Guttman Hodes" w:hint="cs"/>
          <w:rtl/>
        </w:rPr>
        <w:t xml:space="preserve">(עי' אות </w:t>
      </w:r>
      <w:r w:rsidRPr="00881007">
        <w:rPr>
          <w:rStyle w:val="af7"/>
          <w:rFonts w:eastAsia="Guttman Hodes"/>
          <w:rtl/>
        </w:rPr>
        <w:fldChar w:fldCharType="begin"/>
      </w:r>
      <w:r w:rsidRPr="00881007">
        <w:rPr>
          <w:rStyle w:val="af7"/>
          <w:rFonts w:eastAsia="Guttman Hodes"/>
          <w:rtl/>
        </w:rPr>
        <w:instrText xml:space="preserve"> </w:instrText>
      </w:r>
      <w:r w:rsidRPr="00881007">
        <w:rPr>
          <w:rStyle w:val="af7"/>
          <w:rFonts w:eastAsia="Guttman Hodes" w:hint="cs"/>
        </w:rPr>
        <w:instrText>REF</w:instrText>
      </w:r>
      <w:r w:rsidRPr="00881007">
        <w:rPr>
          <w:rStyle w:val="af7"/>
          <w:rFonts w:eastAsia="Guttman Hodes" w:hint="cs"/>
          <w:rtl/>
        </w:rPr>
        <w:instrText xml:space="preserve"> _</w:instrText>
      </w:r>
      <w:r w:rsidRPr="00881007">
        <w:rPr>
          <w:rStyle w:val="af7"/>
          <w:rFonts w:eastAsia="Guttman Hodes" w:hint="cs"/>
        </w:rPr>
        <w:instrText>Ref54174363 \r \h</w:instrText>
      </w:r>
      <w:r w:rsidRPr="00881007">
        <w:rPr>
          <w:rStyle w:val="af7"/>
          <w:rFonts w:eastAsia="Guttman Hodes"/>
          <w:rtl/>
        </w:rPr>
        <w:instrText xml:space="preserve"> </w:instrText>
      </w:r>
      <w:r w:rsidRPr="00881007">
        <w:rPr>
          <w:rStyle w:val="af7"/>
          <w:rFonts w:eastAsia="Guttman Hodes"/>
          <w:rtl/>
        </w:rPr>
      </w:r>
      <w:r w:rsidRPr="00881007">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881007">
        <w:rPr>
          <w:rStyle w:val="af7"/>
          <w:rFonts w:eastAsia="Guttman Hodes"/>
          <w:rtl/>
        </w:rPr>
        <w:fldChar w:fldCharType="end"/>
      </w:r>
      <w:r>
        <w:rPr>
          <w:rFonts w:hint="cs"/>
          <w:rtl/>
        </w:rPr>
        <w:t>.</w:t>
      </w:r>
    </w:p>
    <w:p w:rsidR="00AB3447" w:rsidRDefault="00AB3447" w:rsidP="00AB3447">
      <w:pPr>
        <w:pStyle w:val="a3"/>
        <w:rPr>
          <w:rtl/>
        </w:rPr>
      </w:pPr>
      <w:bookmarkStart w:id="1150" w:name="_Toc54201247"/>
      <w:bookmarkStart w:id="1151" w:name="_Toc54210234"/>
      <w:r>
        <w:rPr>
          <w:rFonts w:hint="cs"/>
          <w:rtl/>
        </w:rPr>
        <w:t>תירוץ הרמב"ן דבשדה אספסתא הוי חזקה דכן הדרך ובתבואה שתלשה אינו כדרך ול"ה חזקה</w:t>
      </w:r>
      <w:bookmarkEnd w:id="1150"/>
      <w:bookmarkEnd w:id="1151"/>
    </w:p>
    <w:p w:rsidR="00AB3447" w:rsidRPr="00940883" w:rsidRDefault="00AB3447" w:rsidP="007E4E81">
      <w:pPr>
        <w:pStyle w:val="a0"/>
        <w:rPr>
          <w:rStyle w:val="afb"/>
          <w:rtl/>
        </w:rPr>
      </w:pPr>
      <w:bookmarkStart w:id="1152" w:name="_Ref54194487"/>
      <w:bookmarkStart w:id="1153" w:name="_Ref54176675"/>
      <w:r>
        <w:rPr>
          <w:rFonts w:hint="cs"/>
          <w:rtl/>
        </w:rPr>
        <w:t xml:space="preserve">ותירץ </w:t>
      </w:r>
      <w:r w:rsidRPr="00881007">
        <w:rPr>
          <w:rStyle w:val="af9"/>
          <w:rFonts w:hint="cs"/>
          <w:rtl/>
        </w:rPr>
        <w:t xml:space="preserve">הרמב"ן </w:t>
      </w:r>
      <w:r>
        <w:rPr>
          <w:rFonts w:hint="cs"/>
          <w:rtl/>
        </w:rPr>
        <w:t>דאיירי בשדה אספסתא דהוא אוכלה כדאכלי אינשי, אבל בשדה של תבואה שתלשה לפני שגדלה אפילו שהיא כבר שחת, לרבי ישמעאל לא הוי חזקה, כיון דלא אכל כדאכלי אינשי.</w:t>
      </w:r>
      <w:bookmarkEnd w:id="1152"/>
      <w:r>
        <w:rPr>
          <w:rFonts w:hint="cs"/>
          <w:rtl/>
        </w:rPr>
        <w:t xml:space="preserve"> </w:t>
      </w:r>
      <w:r w:rsidRPr="00940883">
        <w:rPr>
          <w:rStyle w:val="afb"/>
          <w:rFonts w:hint="cs"/>
          <w:rtl/>
        </w:rPr>
        <w:t>[ועי' ב</w:t>
      </w:r>
      <w:r>
        <w:rPr>
          <w:rStyle w:val="afb"/>
          <w:rFonts w:hint="cs"/>
          <w:rtl/>
        </w:rPr>
        <w:t>מ"ש</w:t>
      </w:r>
      <w:r w:rsidRPr="00940883">
        <w:rPr>
          <w:rStyle w:val="afb"/>
          <w:rFonts w:hint="cs"/>
          <w:rtl/>
        </w:rPr>
        <w:t xml:space="preserve"> </w:t>
      </w:r>
      <w:r w:rsidRPr="00940883">
        <w:rPr>
          <w:rStyle w:val="affa"/>
          <w:rFonts w:hint="cs"/>
          <w:rtl/>
        </w:rPr>
        <w:t xml:space="preserve">התוס' </w:t>
      </w:r>
      <w:r w:rsidRPr="00940883">
        <w:rPr>
          <w:rStyle w:val="aff6"/>
          <w:rFonts w:hint="cs"/>
          <w:rtl/>
        </w:rPr>
        <w:t xml:space="preserve">(עי' אות </w:t>
      </w:r>
      <w:r w:rsidRPr="00940883">
        <w:rPr>
          <w:rStyle w:val="aff6"/>
          <w:rtl/>
        </w:rPr>
        <w:fldChar w:fldCharType="begin"/>
      </w:r>
      <w:r w:rsidRPr="00940883">
        <w:rPr>
          <w:rStyle w:val="aff6"/>
          <w:rtl/>
        </w:rPr>
        <w:instrText xml:space="preserve"> </w:instrText>
      </w:r>
      <w:r w:rsidRPr="00940883">
        <w:rPr>
          <w:rStyle w:val="aff6"/>
          <w:rFonts w:hint="cs"/>
        </w:rPr>
        <w:instrText>REF</w:instrText>
      </w:r>
      <w:r w:rsidRPr="00940883">
        <w:rPr>
          <w:rStyle w:val="aff6"/>
          <w:rFonts w:hint="cs"/>
          <w:rtl/>
        </w:rPr>
        <w:instrText xml:space="preserve"> _</w:instrText>
      </w:r>
      <w:r w:rsidRPr="00940883">
        <w:rPr>
          <w:rStyle w:val="aff6"/>
          <w:rFonts w:hint="cs"/>
        </w:rPr>
        <w:instrText>Ref54174363 \r \h</w:instrText>
      </w:r>
      <w:r w:rsidRPr="00940883">
        <w:rPr>
          <w:rStyle w:val="aff6"/>
          <w:rtl/>
        </w:rPr>
        <w:instrText xml:space="preserve"> </w:instrText>
      </w:r>
      <w:r w:rsidRPr="00940883">
        <w:rPr>
          <w:rStyle w:val="aff6"/>
          <w:rtl/>
        </w:rPr>
      </w:r>
      <w:r w:rsidRPr="00940883">
        <w:rPr>
          <w:rStyle w:val="aff6"/>
          <w:rtl/>
        </w:rPr>
        <w:fldChar w:fldCharType="separate"/>
      </w:r>
      <w:r w:rsidR="00265073">
        <w:rPr>
          <w:rStyle w:val="aff6"/>
          <w:cs/>
        </w:rPr>
        <w:t>‎</w:t>
      </w:r>
      <w:r w:rsidR="00265073">
        <w:rPr>
          <w:rStyle w:val="aff6"/>
          <w:rtl/>
        </w:rPr>
        <w:t>כה)</w:t>
      </w:r>
      <w:r w:rsidRPr="00940883">
        <w:rPr>
          <w:rStyle w:val="aff6"/>
          <w:rtl/>
        </w:rPr>
        <w:fldChar w:fldCharType="end"/>
      </w:r>
      <w:r w:rsidRPr="00940883">
        <w:rPr>
          <w:rStyle w:val="afb"/>
          <w:rFonts w:hint="cs"/>
          <w:rtl/>
        </w:rPr>
        <w:t xml:space="preserve"> דרק בזורע אספסתא סגי בג"ח כיון שזהו זמנה].</w:t>
      </w:r>
    </w:p>
    <w:p w:rsidR="00AB3447" w:rsidRPr="002956B7" w:rsidRDefault="00AB3447" w:rsidP="00AB3447">
      <w:pPr>
        <w:pStyle w:val="a3"/>
      </w:pPr>
      <w:bookmarkStart w:id="1154" w:name="_Toc54201248"/>
      <w:bookmarkStart w:id="1155" w:name="_Toc54210235"/>
      <w:r>
        <w:rPr>
          <w:rFonts w:hint="cs"/>
          <w:rtl/>
        </w:rPr>
        <w:t>דברי רבינו יונה והרשב"א והריטב"א דרק בשדה אספסתא הוי חזקה בג"ח ולא בשדה תבואה</w:t>
      </w:r>
      <w:bookmarkEnd w:id="1154"/>
      <w:bookmarkEnd w:id="1155"/>
    </w:p>
    <w:p w:rsidR="00AB3447" w:rsidRDefault="00AB3447" w:rsidP="007E4E81">
      <w:pPr>
        <w:pStyle w:val="a0"/>
        <w:rPr>
          <w:rtl/>
        </w:rPr>
      </w:pPr>
      <w:bookmarkStart w:id="1156" w:name="_Ref54194836"/>
      <w:bookmarkStart w:id="1157" w:name="_Ref53696014"/>
      <w:r>
        <w:rPr>
          <w:rFonts w:hint="cs"/>
          <w:rtl/>
        </w:rPr>
        <w:t xml:space="preserve">וכ"כ </w:t>
      </w:r>
      <w:r w:rsidRPr="00FC1D32">
        <w:rPr>
          <w:rStyle w:val="af9"/>
          <w:rFonts w:hint="cs"/>
          <w:rtl/>
        </w:rPr>
        <w:t xml:space="preserve">רבינו יונה </w:t>
      </w:r>
      <w:r w:rsidRPr="00B260FA">
        <w:rPr>
          <w:rStyle w:val="af7"/>
          <w:rFonts w:eastAsia="Guttman Hodes" w:hint="cs"/>
          <w:rtl/>
        </w:rPr>
        <w:t>(ד"ה שדה)</w:t>
      </w:r>
      <w:r>
        <w:rPr>
          <w:rFonts w:hint="cs"/>
          <w:rtl/>
        </w:rPr>
        <w:t xml:space="preserve"> </w:t>
      </w:r>
      <w:r w:rsidRPr="00FC1D32">
        <w:rPr>
          <w:rStyle w:val="af9"/>
          <w:rFonts w:hint="cs"/>
          <w:rtl/>
        </w:rPr>
        <w:t>ו</w:t>
      </w:r>
      <w:r w:rsidRPr="005E18E7">
        <w:rPr>
          <w:rStyle w:val="af9"/>
          <w:rFonts w:hint="cs"/>
          <w:rtl/>
        </w:rPr>
        <w:t>הרשב"א</w:t>
      </w:r>
      <w:r>
        <w:rPr>
          <w:rFonts w:hint="cs"/>
          <w:rtl/>
        </w:rPr>
        <w:t xml:space="preserve"> </w:t>
      </w:r>
      <w:r w:rsidRPr="00C16864">
        <w:rPr>
          <w:rStyle w:val="af7"/>
          <w:rFonts w:eastAsia="Guttman Hodes" w:hint="cs"/>
          <w:rtl/>
        </w:rPr>
        <w:t>(ד"ה שלשה)</w:t>
      </w:r>
      <w:r w:rsidRPr="00C16864">
        <w:rPr>
          <w:rFonts w:hint="cs"/>
          <w:rtl/>
        </w:rPr>
        <w:t xml:space="preserve"> </w:t>
      </w:r>
      <w:r w:rsidRPr="00FC1D32">
        <w:rPr>
          <w:rStyle w:val="af9"/>
          <w:rFonts w:hint="cs"/>
          <w:rtl/>
        </w:rPr>
        <w:t>והריטב"א לקמן</w:t>
      </w:r>
      <w:r>
        <w:rPr>
          <w:rFonts w:hint="cs"/>
          <w:rtl/>
        </w:rPr>
        <w:t xml:space="preserve"> </w:t>
      </w:r>
      <w:r w:rsidRPr="00FC1D32">
        <w:rPr>
          <w:rStyle w:val="af7"/>
          <w:rFonts w:eastAsia="Guttman Hodes" w:hint="cs"/>
          <w:rtl/>
        </w:rPr>
        <w:t>(לו. ד"ה ולכולהו)</w:t>
      </w:r>
      <w:r>
        <w:rPr>
          <w:rFonts w:hint="cs"/>
          <w:rtl/>
        </w:rPr>
        <w:t xml:space="preserve"> </w:t>
      </w:r>
      <w:r w:rsidRPr="00C16864">
        <w:rPr>
          <w:rFonts w:hint="cs"/>
          <w:rtl/>
        </w:rPr>
        <w:t xml:space="preserve">דדוקא בשדה שעומדת לאספסתא מהני חזקה בג' חודשים, </w:t>
      </w:r>
      <w:r>
        <w:rPr>
          <w:rFonts w:hint="cs"/>
          <w:rtl/>
        </w:rPr>
        <w:t xml:space="preserve">כיון שיש לה ג' פירות בג' חדשים, </w:t>
      </w:r>
      <w:r w:rsidRPr="00C16864">
        <w:rPr>
          <w:rFonts w:hint="cs"/>
          <w:rtl/>
        </w:rPr>
        <w:t xml:space="preserve">אבל בשדה </w:t>
      </w:r>
      <w:r>
        <w:rPr>
          <w:rFonts w:hint="cs"/>
          <w:rtl/>
        </w:rPr>
        <w:t>שעומדת לתבואה</w:t>
      </w:r>
      <w:r w:rsidRPr="00C16864">
        <w:rPr>
          <w:rFonts w:hint="cs"/>
          <w:rtl/>
        </w:rPr>
        <w:t xml:space="preserve"> </w:t>
      </w:r>
      <w:r>
        <w:rPr>
          <w:rFonts w:hint="cs"/>
          <w:rtl/>
        </w:rPr>
        <w:t xml:space="preserve">ולא </w:t>
      </w:r>
      <w:r w:rsidRPr="00C16864">
        <w:rPr>
          <w:rFonts w:hint="cs"/>
          <w:rtl/>
        </w:rPr>
        <w:t>לאספ</w:t>
      </w:r>
      <w:r>
        <w:rPr>
          <w:rFonts w:hint="cs"/>
          <w:rtl/>
        </w:rPr>
        <w:t>ס</w:t>
      </w:r>
      <w:r w:rsidRPr="00C16864">
        <w:rPr>
          <w:rFonts w:hint="cs"/>
          <w:rtl/>
        </w:rPr>
        <w:t xml:space="preserve">תא, </w:t>
      </w:r>
      <w:r>
        <w:rPr>
          <w:rFonts w:hint="cs"/>
          <w:rtl/>
        </w:rPr>
        <w:t xml:space="preserve">נחלקו ר"ע ורבי ישמעאל </w:t>
      </w:r>
      <w:r w:rsidRPr="00C16864">
        <w:rPr>
          <w:rFonts w:hint="cs"/>
          <w:rtl/>
        </w:rPr>
        <w:t xml:space="preserve">בפירא רבא </w:t>
      </w:r>
      <w:r>
        <w:rPr>
          <w:rFonts w:hint="cs"/>
          <w:rtl/>
        </w:rPr>
        <w:t xml:space="preserve">ובפירא זוטא, וכתב </w:t>
      </w:r>
      <w:r w:rsidRPr="00881007">
        <w:rPr>
          <w:rStyle w:val="af9"/>
          <w:rFonts w:hint="cs"/>
          <w:rtl/>
        </w:rPr>
        <w:t xml:space="preserve">הרשב"א </w:t>
      </w:r>
      <w:r>
        <w:rPr>
          <w:rFonts w:hint="cs"/>
          <w:rtl/>
        </w:rPr>
        <w:t xml:space="preserve">דבזה מתורצת קושית </w:t>
      </w:r>
      <w:r w:rsidRPr="00FB7C51">
        <w:rPr>
          <w:rStyle w:val="af9"/>
          <w:rFonts w:hint="cs"/>
          <w:rtl/>
        </w:rPr>
        <w:t xml:space="preserve">התוס' </w:t>
      </w:r>
      <w:r w:rsidRPr="005E18E7">
        <w:rPr>
          <w:rStyle w:val="af7"/>
          <w:rFonts w:eastAsia="Guttman Hodes" w:hint="cs"/>
          <w:rtl/>
        </w:rPr>
        <w:t xml:space="preserve">(עי' אות </w:t>
      </w:r>
      <w:r w:rsidRPr="005E18E7">
        <w:rPr>
          <w:rStyle w:val="af7"/>
          <w:rFonts w:eastAsia="Guttman Hodes"/>
          <w:rtl/>
        </w:rPr>
        <w:fldChar w:fldCharType="begin"/>
      </w:r>
      <w:r w:rsidRPr="005E18E7">
        <w:rPr>
          <w:rStyle w:val="af7"/>
          <w:rFonts w:eastAsia="Guttman Hodes"/>
          <w:rtl/>
        </w:rPr>
        <w:instrText xml:space="preserve"> </w:instrText>
      </w:r>
      <w:r w:rsidRPr="005E18E7">
        <w:rPr>
          <w:rStyle w:val="af7"/>
          <w:rFonts w:eastAsia="Guttman Hodes" w:hint="cs"/>
        </w:rPr>
        <w:instrText>REF</w:instrText>
      </w:r>
      <w:r w:rsidRPr="005E18E7">
        <w:rPr>
          <w:rStyle w:val="af7"/>
          <w:rFonts w:eastAsia="Guttman Hodes" w:hint="cs"/>
          <w:rtl/>
        </w:rPr>
        <w:instrText xml:space="preserve"> _</w:instrText>
      </w:r>
      <w:r w:rsidRPr="005E18E7">
        <w:rPr>
          <w:rStyle w:val="af7"/>
          <w:rFonts w:eastAsia="Guttman Hodes" w:hint="cs"/>
        </w:rPr>
        <w:instrText>Ref54176611 \r \h</w:instrText>
      </w:r>
      <w:r w:rsidRPr="005E18E7">
        <w:rPr>
          <w:rStyle w:val="af7"/>
          <w:rFonts w:eastAsia="Guttman Hodes"/>
          <w:rtl/>
        </w:rPr>
        <w:instrText xml:space="preserve"> </w:instrText>
      </w:r>
      <w:r w:rsidRPr="005E18E7">
        <w:rPr>
          <w:rStyle w:val="af7"/>
          <w:rFonts w:eastAsia="Guttman Hodes"/>
          <w:rtl/>
        </w:rPr>
      </w:r>
      <w:r w:rsidRPr="005E18E7">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5E18E7">
        <w:rPr>
          <w:rStyle w:val="af7"/>
          <w:rFonts w:eastAsia="Guttman Hodes"/>
          <w:rtl/>
        </w:rPr>
        <w:fldChar w:fldCharType="end"/>
      </w:r>
      <w:r w:rsidRPr="00C16864">
        <w:rPr>
          <w:rFonts w:hint="cs"/>
          <w:rtl/>
        </w:rPr>
        <w:t xml:space="preserve"> </w:t>
      </w:r>
      <w:r>
        <w:rPr>
          <w:rFonts w:hint="cs"/>
          <w:rtl/>
        </w:rPr>
        <w:t xml:space="preserve">על </w:t>
      </w:r>
      <w:r w:rsidRPr="005E18E7">
        <w:rPr>
          <w:rStyle w:val="af9"/>
          <w:rFonts w:hint="cs"/>
          <w:rtl/>
        </w:rPr>
        <w:t>רש"י</w:t>
      </w:r>
      <w:r>
        <w:rPr>
          <w:rFonts w:hint="cs"/>
          <w:rtl/>
        </w:rPr>
        <w:t xml:space="preserve"> </w:t>
      </w:r>
      <w:r w:rsidRPr="005E18E7">
        <w:rPr>
          <w:rStyle w:val="af7"/>
          <w:rFonts w:eastAsia="Guttman Hodes" w:hint="cs"/>
          <w:rtl/>
        </w:rPr>
        <w:t xml:space="preserve">(עי' אות </w:t>
      </w:r>
      <w:r w:rsidRPr="005E18E7">
        <w:rPr>
          <w:rStyle w:val="af7"/>
          <w:rFonts w:eastAsia="Guttman Hodes"/>
          <w:rtl/>
        </w:rPr>
        <w:fldChar w:fldCharType="begin"/>
      </w:r>
      <w:r w:rsidRPr="005E18E7">
        <w:rPr>
          <w:rStyle w:val="af7"/>
          <w:rFonts w:eastAsia="Guttman Hodes"/>
          <w:rtl/>
        </w:rPr>
        <w:instrText xml:space="preserve"> </w:instrText>
      </w:r>
      <w:r w:rsidRPr="005E18E7">
        <w:rPr>
          <w:rStyle w:val="af7"/>
          <w:rFonts w:eastAsia="Guttman Hodes" w:hint="cs"/>
        </w:rPr>
        <w:instrText>REF</w:instrText>
      </w:r>
      <w:r w:rsidRPr="005E18E7">
        <w:rPr>
          <w:rStyle w:val="af7"/>
          <w:rFonts w:eastAsia="Guttman Hodes" w:hint="cs"/>
          <w:rtl/>
        </w:rPr>
        <w:instrText xml:space="preserve"> _</w:instrText>
      </w:r>
      <w:r w:rsidRPr="005E18E7">
        <w:rPr>
          <w:rStyle w:val="af7"/>
          <w:rFonts w:eastAsia="Guttman Hodes" w:hint="cs"/>
        </w:rPr>
        <w:instrText>Ref54176631 \r \h</w:instrText>
      </w:r>
      <w:r w:rsidRPr="005E18E7">
        <w:rPr>
          <w:rStyle w:val="af7"/>
          <w:rFonts w:eastAsia="Guttman Hodes"/>
          <w:rtl/>
        </w:rPr>
        <w:instrText xml:space="preserve"> </w:instrText>
      </w:r>
      <w:r w:rsidRPr="005E18E7">
        <w:rPr>
          <w:rStyle w:val="af7"/>
          <w:rFonts w:eastAsia="Guttman Hodes"/>
          <w:rtl/>
        </w:rPr>
      </w:r>
      <w:r w:rsidRPr="005E18E7">
        <w:rPr>
          <w:rStyle w:val="af7"/>
          <w:rFonts w:eastAsia="Guttman Hodes"/>
          <w:rtl/>
        </w:rPr>
        <w:fldChar w:fldCharType="separate"/>
      </w:r>
      <w:r w:rsidR="00265073">
        <w:rPr>
          <w:rStyle w:val="af7"/>
          <w:rFonts w:eastAsia="Guttman Hodes"/>
          <w:cs/>
        </w:rPr>
        <w:t>‎</w:t>
      </w:r>
      <w:r w:rsidR="00265073">
        <w:rPr>
          <w:rStyle w:val="af7"/>
          <w:rFonts w:eastAsia="Guttman Hodes"/>
          <w:rtl/>
        </w:rPr>
        <w:t>כב)</w:t>
      </w:r>
      <w:r w:rsidRPr="005E18E7">
        <w:rPr>
          <w:rStyle w:val="af7"/>
          <w:rFonts w:eastAsia="Guttman Hodes"/>
          <w:rtl/>
        </w:rPr>
        <w:fldChar w:fldCharType="end"/>
      </w:r>
      <w:r w:rsidRPr="005E18E7">
        <w:rPr>
          <w:rStyle w:val="af7"/>
          <w:rFonts w:eastAsia="Guttman Hodes" w:hint="cs"/>
          <w:rtl/>
        </w:rPr>
        <w:t xml:space="preserve"> </w:t>
      </w:r>
      <w:r w:rsidRPr="00C16864">
        <w:rPr>
          <w:rFonts w:hint="cs"/>
          <w:rtl/>
        </w:rPr>
        <w:t xml:space="preserve">דבאספסתא הוי חזקה בג' חדשים, ואמאי הצריכו ר"ע ורבי ישמעאל </w:t>
      </w:r>
      <w:r>
        <w:rPr>
          <w:rFonts w:hint="cs"/>
          <w:rtl/>
        </w:rPr>
        <w:t>י</w:t>
      </w:r>
      <w:r>
        <w:rPr>
          <w:rtl/>
        </w:rPr>
        <w:t>"</w:t>
      </w:r>
      <w:r>
        <w:rPr>
          <w:rFonts w:hint="cs"/>
          <w:rtl/>
        </w:rPr>
        <w:t>ד</w:t>
      </w:r>
      <w:r w:rsidRPr="00C16864">
        <w:rPr>
          <w:rFonts w:hint="cs"/>
          <w:rtl/>
        </w:rPr>
        <w:t xml:space="preserve"> או י"ח חודשים</w:t>
      </w:r>
      <w:r>
        <w:rPr>
          <w:rFonts w:hint="cs"/>
          <w:rtl/>
        </w:rPr>
        <w:t>.</w:t>
      </w:r>
      <w:bookmarkEnd w:id="1153"/>
      <w:bookmarkEnd w:id="1156"/>
    </w:p>
    <w:p w:rsidR="00AB3447" w:rsidRPr="005F3B97" w:rsidRDefault="00AB3447" w:rsidP="00AB3447">
      <w:pPr>
        <w:pStyle w:val="a3"/>
        <w:rPr>
          <w:rtl/>
        </w:rPr>
      </w:pPr>
    </w:p>
    <w:p w:rsidR="00AB3447" w:rsidRPr="00FB7C51" w:rsidRDefault="00AB3447" w:rsidP="00AB3447">
      <w:pPr>
        <w:pStyle w:val="a3"/>
      </w:pPr>
      <w:bookmarkStart w:id="1158" w:name="_Toc54201249"/>
      <w:bookmarkStart w:id="1159" w:name="_Toc54210236"/>
      <w:r>
        <w:rPr>
          <w:rFonts w:hint="cs"/>
          <w:rtl/>
        </w:rPr>
        <w:t>דברי הרשב"א דלכן לר"י צריך י"ח חודשים להחזיק בשדה כדרך הבעלים בפירא רבא או זוטא</w:t>
      </w:r>
      <w:bookmarkEnd w:id="1158"/>
      <w:bookmarkEnd w:id="1159"/>
    </w:p>
    <w:p w:rsidR="00AB3447" w:rsidRDefault="00AB3447" w:rsidP="007E4E81">
      <w:pPr>
        <w:pStyle w:val="a0"/>
        <w:rPr>
          <w:rtl/>
        </w:rPr>
      </w:pPr>
      <w:r w:rsidRPr="00C16864">
        <w:rPr>
          <w:rFonts w:hint="cs"/>
          <w:rtl/>
        </w:rPr>
        <w:t xml:space="preserve">וכתב </w:t>
      </w:r>
      <w:r w:rsidRPr="00FB7C51">
        <w:rPr>
          <w:rStyle w:val="af9"/>
          <w:rFonts w:hint="cs"/>
          <w:rtl/>
        </w:rPr>
        <w:t>הרשב"א</w:t>
      </w:r>
      <w:r w:rsidRPr="00C16864">
        <w:rPr>
          <w:rFonts w:hint="cs"/>
          <w:rtl/>
        </w:rPr>
        <w:t xml:space="preserve"> דכן מוכח מהא דהצריך רבי ישמעאל י"ח חודש, ולא סגי בג' פעמים שזורע וקוצר תבואה בג' חדשים</w:t>
      </w:r>
      <w:bookmarkEnd w:id="1157"/>
      <w:r>
        <w:rPr>
          <w:rFonts w:hint="cs"/>
          <w:rtl/>
        </w:rPr>
        <w:t xml:space="preserve">, אלא כתב </w:t>
      </w:r>
      <w:r w:rsidRPr="00FB7C51">
        <w:rPr>
          <w:rStyle w:val="af9"/>
          <w:rFonts w:hint="cs"/>
          <w:rtl/>
        </w:rPr>
        <w:t>הרשב"א</w:t>
      </w:r>
      <w:r>
        <w:rPr>
          <w:rFonts w:hint="cs"/>
          <w:rtl/>
        </w:rPr>
        <w:t xml:space="preserve"> דמבואר דכל שדה צריך להחזיק בה כדרך הבעלים, </w:t>
      </w:r>
      <w:r w:rsidRPr="00FB7C51">
        <w:rPr>
          <w:rStyle w:val="afb"/>
          <w:rFonts w:hint="cs"/>
          <w:rtl/>
        </w:rPr>
        <w:t xml:space="preserve">[כדביאר </w:t>
      </w:r>
      <w:r w:rsidRPr="00FB7C51">
        <w:rPr>
          <w:rStyle w:val="affa"/>
          <w:rFonts w:hint="cs"/>
          <w:rtl/>
        </w:rPr>
        <w:t>הרשב"א</w:t>
      </w:r>
      <w:r w:rsidRPr="00FB7C51">
        <w:rPr>
          <w:rStyle w:val="afb"/>
          <w:rFonts w:hint="cs"/>
          <w:rtl/>
        </w:rPr>
        <w:t xml:space="preserve"> </w:t>
      </w:r>
      <w:r w:rsidRPr="00FB7C51">
        <w:rPr>
          <w:rStyle w:val="aff6"/>
          <w:rFonts w:hint="cs"/>
          <w:rtl/>
        </w:rPr>
        <w:t xml:space="preserve">(עי' אות </w:t>
      </w:r>
      <w:r w:rsidRPr="00FB7C51">
        <w:rPr>
          <w:rStyle w:val="aff6"/>
          <w:rtl/>
        </w:rPr>
        <w:fldChar w:fldCharType="begin"/>
      </w:r>
      <w:r w:rsidRPr="00FB7C51">
        <w:rPr>
          <w:rStyle w:val="aff6"/>
          <w:rtl/>
        </w:rPr>
        <w:instrText xml:space="preserve"> </w:instrText>
      </w:r>
      <w:r w:rsidRPr="00FB7C51">
        <w:rPr>
          <w:rStyle w:val="aff6"/>
          <w:rFonts w:hint="cs"/>
        </w:rPr>
        <w:instrText>REF</w:instrText>
      </w:r>
      <w:r w:rsidRPr="00FB7C51">
        <w:rPr>
          <w:rStyle w:val="aff6"/>
          <w:rFonts w:hint="cs"/>
          <w:rtl/>
        </w:rPr>
        <w:instrText xml:space="preserve"> _</w:instrText>
      </w:r>
      <w:r w:rsidRPr="00FB7C51">
        <w:rPr>
          <w:rStyle w:val="aff6"/>
          <w:rFonts w:hint="cs"/>
        </w:rPr>
        <w:instrText>Ref54176495 \r \h</w:instrText>
      </w:r>
      <w:r w:rsidRPr="00FB7C51">
        <w:rPr>
          <w:rStyle w:val="aff6"/>
          <w:rtl/>
        </w:rPr>
        <w:instrText xml:space="preserve"> </w:instrText>
      </w:r>
      <w:r w:rsidRPr="00FB7C51">
        <w:rPr>
          <w:rStyle w:val="aff6"/>
          <w:rtl/>
        </w:rPr>
      </w:r>
      <w:r w:rsidRPr="00FB7C51">
        <w:rPr>
          <w:rStyle w:val="aff6"/>
          <w:rtl/>
        </w:rPr>
        <w:fldChar w:fldCharType="separate"/>
      </w:r>
      <w:r w:rsidR="00265073">
        <w:rPr>
          <w:rStyle w:val="aff6"/>
          <w:cs/>
        </w:rPr>
        <w:t>‎</w:t>
      </w:r>
      <w:r w:rsidR="00265073">
        <w:rPr>
          <w:rStyle w:val="aff6"/>
          <w:rtl/>
        </w:rPr>
        <w:t>יא)</w:t>
      </w:r>
      <w:r w:rsidRPr="00FB7C51">
        <w:rPr>
          <w:rStyle w:val="aff6"/>
          <w:rtl/>
        </w:rPr>
        <w:fldChar w:fldCharType="end"/>
      </w:r>
      <w:r w:rsidRPr="00FB7C51">
        <w:rPr>
          <w:rStyle w:val="afb"/>
          <w:rFonts w:hint="cs"/>
          <w:rtl/>
        </w:rPr>
        <w:t xml:space="preserve">], </w:t>
      </w:r>
      <w:r>
        <w:rPr>
          <w:rFonts w:hint="cs"/>
          <w:rtl/>
        </w:rPr>
        <w:t>ולכן בבית השלחין צריך לאכול פירות תדירין בג"ש, ובשדה הבעל צריך לאכול ג' פירות ולרבי ישמעאל היינו פירא רבא בי"ח חודש, ולר"ע פירא זוטא בי</w:t>
      </w:r>
      <w:r>
        <w:rPr>
          <w:rtl/>
        </w:rPr>
        <w:t>"</w:t>
      </w:r>
      <w:r>
        <w:rPr>
          <w:rFonts w:hint="cs"/>
          <w:rtl/>
        </w:rPr>
        <w:t>ד חודש, ובשדה שעומדת לאספסתא סגי בג' חודשים.</w:t>
      </w:r>
    </w:p>
    <w:p w:rsidR="00AB3447" w:rsidRPr="00706E1E" w:rsidRDefault="00AB3447" w:rsidP="00AB3447">
      <w:pPr>
        <w:pStyle w:val="a3"/>
        <w:rPr>
          <w:rtl/>
        </w:rPr>
      </w:pPr>
      <w:bookmarkStart w:id="1160" w:name="_Toc54201250"/>
      <w:bookmarkStart w:id="1161" w:name="_Toc54210237"/>
      <w:r>
        <w:rPr>
          <w:rFonts w:hint="cs"/>
          <w:rtl/>
        </w:rPr>
        <w:t>דברי הריטב"א דא"א לומר דבשדה אספסתא צריך י"ח חודשים דל"פ רבנן בזה דלכך עומדת</w:t>
      </w:r>
      <w:bookmarkEnd w:id="1160"/>
      <w:bookmarkEnd w:id="1161"/>
    </w:p>
    <w:p w:rsidR="00AB3447" w:rsidRPr="004D7B59" w:rsidRDefault="00AB3447" w:rsidP="007E4E81">
      <w:pPr>
        <w:pStyle w:val="a0"/>
      </w:pPr>
      <w:r>
        <w:rPr>
          <w:rFonts w:hint="cs"/>
          <w:rtl/>
        </w:rPr>
        <w:t xml:space="preserve">וכתב </w:t>
      </w:r>
      <w:r w:rsidRPr="00071FFA">
        <w:rPr>
          <w:rStyle w:val="af9"/>
          <w:rFonts w:hint="cs"/>
          <w:rtl/>
        </w:rPr>
        <w:t>הריטב"א לקמן</w:t>
      </w:r>
      <w:r>
        <w:rPr>
          <w:rFonts w:hint="cs"/>
          <w:rtl/>
        </w:rPr>
        <w:t xml:space="preserve"> </w:t>
      </w:r>
      <w:r w:rsidRPr="009E1A27">
        <w:rPr>
          <w:rStyle w:val="af7"/>
          <w:rFonts w:eastAsia="Guttman Hodes" w:hint="cs"/>
          <w:rtl/>
        </w:rPr>
        <w:t>(לו. ד"ה ולכולהו)</w:t>
      </w:r>
      <w:r>
        <w:rPr>
          <w:rFonts w:hint="cs"/>
          <w:rtl/>
        </w:rPr>
        <w:t xml:space="preserve"> דא"א לומר דר"ע ורבי ישמעאל הצריכו י</w:t>
      </w:r>
      <w:r>
        <w:rPr>
          <w:rtl/>
        </w:rPr>
        <w:t>"</w:t>
      </w:r>
      <w:r>
        <w:rPr>
          <w:rFonts w:hint="cs"/>
          <w:rtl/>
        </w:rPr>
        <w:t>ד או י"ח חודשים בשדה שעומדת לאספסתא, דהא בשדה שעומדת לאספסתא אף רבנן מודו דסגי בי</w:t>
      </w:r>
      <w:r>
        <w:rPr>
          <w:rtl/>
        </w:rPr>
        <w:t>"</w:t>
      </w:r>
      <w:r>
        <w:rPr>
          <w:rFonts w:hint="cs"/>
          <w:rtl/>
        </w:rPr>
        <w:t xml:space="preserve">ד או י"ח חודשים, כיון </w:t>
      </w:r>
      <w:r w:rsidRPr="004D7B59">
        <w:rPr>
          <w:rFonts w:hint="cs"/>
          <w:rtl/>
        </w:rPr>
        <w:t>שאף לבעלים עצמם היא עומדת לכך, אלא מוכח דאיירי בשדה שעומדת לתבואה גדולה, ולכן לר"ע ורבי ישמעאל סגי ב</w:t>
      </w:r>
      <w:r>
        <w:rPr>
          <w:rFonts w:hint="cs"/>
          <w:rtl/>
        </w:rPr>
        <w:t>י</w:t>
      </w:r>
      <w:r>
        <w:rPr>
          <w:rtl/>
        </w:rPr>
        <w:t>"</w:t>
      </w:r>
      <w:r>
        <w:rPr>
          <w:rFonts w:hint="cs"/>
          <w:rtl/>
        </w:rPr>
        <w:t>ד</w:t>
      </w:r>
      <w:r w:rsidRPr="004D7B59">
        <w:rPr>
          <w:rFonts w:hint="cs"/>
          <w:rtl/>
        </w:rPr>
        <w:t xml:space="preserve"> או י"ח חודשים, ולרבנן צריך ג' תבואות של י"ב חודש, דכיון שהשדה עומדת לכך, נזהר המחזיק בשטרו עד ג"ש.</w:t>
      </w:r>
    </w:p>
    <w:p w:rsidR="00AB3447" w:rsidRDefault="00AB3447" w:rsidP="00AB3447">
      <w:pPr>
        <w:pStyle w:val="1"/>
        <w:rPr>
          <w:rtl/>
        </w:rPr>
      </w:pPr>
      <w:bookmarkStart w:id="1162" w:name="_Toc54201254"/>
      <w:bookmarkStart w:id="1163" w:name="_Toc54210238"/>
      <w:r w:rsidRPr="004D7B59">
        <w:rPr>
          <w:rFonts w:hint="cs"/>
          <w:rtl/>
        </w:rPr>
        <w:t>ביאור רבינו יונה והריטב"א דדרך המיעוט להוביר בתחילה</w:t>
      </w:r>
      <w:r>
        <w:rPr>
          <w:rFonts w:hint="cs"/>
          <w:rtl/>
        </w:rPr>
        <w:t xml:space="preserve"> ובסוף</w:t>
      </w:r>
      <w:bookmarkEnd w:id="1162"/>
      <w:bookmarkEnd w:id="1163"/>
    </w:p>
    <w:p w:rsidR="00AB3447" w:rsidRDefault="00AB3447" w:rsidP="00AB3447">
      <w:pPr>
        <w:pStyle w:val="a3"/>
        <w:rPr>
          <w:rtl/>
        </w:rPr>
      </w:pPr>
      <w:bookmarkStart w:id="1164" w:name="_Toc54201255"/>
      <w:bookmarkStart w:id="1165" w:name="_Toc54210239"/>
      <w:r>
        <w:rPr>
          <w:rFonts w:hint="cs"/>
          <w:rtl/>
        </w:rPr>
        <w:t>דברי רבינו יונה דלר"ע בשדה פירא רבא סגי בתחילה ובסוף בפירא זוטא דכן דרך מקצת בנ"א</w:t>
      </w:r>
      <w:bookmarkEnd w:id="1164"/>
      <w:bookmarkEnd w:id="1165"/>
    </w:p>
    <w:p w:rsidR="00AB3447" w:rsidRDefault="00AB3447" w:rsidP="007E4E81">
      <w:pPr>
        <w:pStyle w:val="a0"/>
        <w:rPr>
          <w:rtl/>
        </w:rPr>
      </w:pPr>
      <w:bookmarkStart w:id="1166" w:name="_Ref54193965"/>
      <w:r>
        <w:rPr>
          <w:rFonts w:hint="cs"/>
          <w:rtl/>
        </w:rPr>
        <w:t xml:space="preserve">כתב </w:t>
      </w:r>
      <w:r w:rsidRPr="009E1A27">
        <w:rPr>
          <w:rStyle w:val="af9"/>
          <w:rFonts w:hint="cs"/>
          <w:rtl/>
        </w:rPr>
        <w:t>רבינו יונה</w:t>
      </w:r>
      <w:r>
        <w:rPr>
          <w:rFonts w:hint="cs"/>
          <w:rtl/>
        </w:rPr>
        <w:t xml:space="preserve"> </w:t>
      </w:r>
      <w:r w:rsidRPr="00B260FA">
        <w:rPr>
          <w:rStyle w:val="af7"/>
          <w:rFonts w:eastAsia="Guttman Hodes" w:hint="cs"/>
          <w:rtl/>
        </w:rPr>
        <w:t>(ד"ה שדה)</w:t>
      </w:r>
      <w:r>
        <w:rPr>
          <w:rFonts w:hint="cs"/>
          <w:rtl/>
        </w:rPr>
        <w:t xml:space="preserve"> דר"ע ס"ל דאף בשדה שעומדת לפירא רבא, מ"מ הוי חזקה אף בפירא זוטא בחודש בשנה הראשונה וחודש באחרונה, כיון שדרך מקצת בנ"א שבשנה אחת זורעים אספסתא בשדה שעומדת לתבואה, וקוצרין אחר ל' דאינו מכחיש את השדה בזה, ובשנה השניה זורעים תבואה, </w:t>
      </w:r>
      <w:r>
        <w:rPr>
          <w:rStyle w:val="afb"/>
          <w:rFonts w:hint="cs"/>
          <w:rtl/>
        </w:rPr>
        <w:t>[עי' בדברי</w:t>
      </w:r>
      <w:r w:rsidRPr="00071FFA">
        <w:rPr>
          <w:rStyle w:val="afb"/>
          <w:rFonts w:hint="cs"/>
          <w:rtl/>
        </w:rPr>
        <w:t xml:space="preserve"> </w:t>
      </w:r>
      <w:r w:rsidRPr="00071FFA">
        <w:rPr>
          <w:rStyle w:val="affa"/>
          <w:rFonts w:hint="cs"/>
          <w:rtl/>
        </w:rPr>
        <w:t xml:space="preserve">התוס' </w:t>
      </w:r>
      <w:r w:rsidRPr="00071FFA">
        <w:rPr>
          <w:rStyle w:val="aff6"/>
          <w:rFonts w:hint="cs"/>
          <w:rtl/>
        </w:rPr>
        <w:t xml:space="preserve">(עי' אות </w:t>
      </w:r>
      <w:r w:rsidRPr="00071FFA">
        <w:rPr>
          <w:rStyle w:val="aff6"/>
          <w:rtl/>
        </w:rPr>
        <w:fldChar w:fldCharType="begin"/>
      </w:r>
      <w:r w:rsidRPr="00071FFA">
        <w:rPr>
          <w:rStyle w:val="aff6"/>
          <w:rtl/>
        </w:rPr>
        <w:instrText xml:space="preserve"> </w:instrText>
      </w:r>
      <w:r w:rsidRPr="00071FFA">
        <w:rPr>
          <w:rStyle w:val="aff6"/>
          <w:rFonts w:hint="cs"/>
        </w:rPr>
        <w:instrText>REF</w:instrText>
      </w:r>
      <w:r w:rsidRPr="00071FFA">
        <w:rPr>
          <w:rStyle w:val="aff6"/>
          <w:rFonts w:hint="cs"/>
          <w:rtl/>
        </w:rPr>
        <w:instrText xml:space="preserve"> _</w:instrText>
      </w:r>
      <w:r w:rsidRPr="00071FFA">
        <w:rPr>
          <w:rStyle w:val="aff6"/>
          <w:rFonts w:hint="cs"/>
        </w:rPr>
        <w:instrText>Ref54177361 \r \h</w:instrText>
      </w:r>
      <w:r w:rsidRPr="00071FFA">
        <w:rPr>
          <w:rStyle w:val="aff6"/>
          <w:rtl/>
        </w:rPr>
        <w:instrText xml:space="preserve"> </w:instrText>
      </w:r>
      <w:r w:rsidRPr="00071FFA">
        <w:rPr>
          <w:rStyle w:val="aff6"/>
          <w:rtl/>
        </w:rPr>
      </w:r>
      <w:r w:rsidRPr="00071FFA">
        <w:rPr>
          <w:rStyle w:val="aff6"/>
          <w:rtl/>
        </w:rPr>
        <w:fldChar w:fldCharType="separate"/>
      </w:r>
      <w:r w:rsidR="00265073">
        <w:rPr>
          <w:rStyle w:val="aff6"/>
          <w:cs/>
        </w:rPr>
        <w:t>‎</w:t>
      </w:r>
      <w:r w:rsidR="00265073">
        <w:rPr>
          <w:rStyle w:val="aff6"/>
          <w:rtl/>
        </w:rPr>
        <w:t>כד)</w:t>
      </w:r>
      <w:r w:rsidRPr="00071FFA">
        <w:rPr>
          <w:rStyle w:val="aff6"/>
          <w:rtl/>
        </w:rPr>
        <w:fldChar w:fldCharType="end"/>
      </w:r>
      <w:r w:rsidRPr="00071FFA">
        <w:rPr>
          <w:rStyle w:val="afb"/>
          <w:rFonts w:hint="cs"/>
          <w:rtl/>
        </w:rPr>
        <w:t>],</w:t>
      </w:r>
      <w:r>
        <w:rPr>
          <w:rFonts w:hint="cs"/>
          <w:rtl/>
        </w:rPr>
        <w:t xml:space="preserve"> ובשלישית אספסתא.</w:t>
      </w:r>
      <w:bookmarkEnd w:id="1166"/>
    </w:p>
    <w:p w:rsidR="00AB3447" w:rsidRDefault="00AB3447" w:rsidP="00AB3447">
      <w:pPr>
        <w:pStyle w:val="a3"/>
        <w:rPr>
          <w:rtl/>
        </w:rPr>
      </w:pPr>
      <w:bookmarkStart w:id="1167" w:name="_Toc54201256"/>
      <w:bookmarkStart w:id="1168" w:name="_Toc54210240"/>
      <w:r>
        <w:rPr>
          <w:rFonts w:hint="cs"/>
          <w:rtl/>
        </w:rPr>
        <w:t>ביאור הריטב"א דכשעושה תבואה גדולה באמצע יכול לטעון דבתחילה ובסוף הוביר במקצת</w:t>
      </w:r>
      <w:bookmarkEnd w:id="1167"/>
      <w:bookmarkEnd w:id="1168"/>
    </w:p>
    <w:p w:rsidR="00AB3447" w:rsidRDefault="00AB3447" w:rsidP="007E4E81">
      <w:pPr>
        <w:pStyle w:val="a0"/>
        <w:rPr>
          <w:rtl/>
        </w:rPr>
      </w:pPr>
      <w:bookmarkStart w:id="1169" w:name="_Ref54177394"/>
      <w:r>
        <w:rPr>
          <w:rFonts w:hint="cs"/>
          <w:rtl/>
        </w:rPr>
        <w:t xml:space="preserve">וכעי"ז ביאר </w:t>
      </w:r>
      <w:r w:rsidRPr="00071FFA">
        <w:rPr>
          <w:rStyle w:val="af9"/>
          <w:rFonts w:hint="cs"/>
          <w:rtl/>
        </w:rPr>
        <w:t>הריטב"א לקמן</w:t>
      </w:r>
      <w:r>
        <w:rPr>
          <w:rFonts w:hint="cs"/>
          <w:rtl/>
        </w:rPr>
        <w:t xml:space="preserve"> </w:t>
      </w:r>
      <w:r w:rsidRPr="009E1A27">
        <w:rPr>
          <w:rStyle w:val="af7"/>
          <w:rFonts w:eastAsia="Guttman Hodes" w:hint="cs"/>
          <w:rtl/>
        </w:rPr>
        <w:t>(לו. ד"ה ולכולהו)</w:t>
      </w:r>
      <w:r>
        <w:rPr>
          <w:rFonts w:hint="cs"/>
          <w:rtl/>
        </w:rPr>
        <w:t xml:space="preserve"> דר"ע ורבי ישמעאל ס"ל דכיון שעשה תבואה גדולה של שנה אחת באמצע, </w:t>
      </w:r>
      <w:r w:rsidRPr="00071FFA">
        <w:rPr>
          <w:rStyle w:val="afb"/>
          <w:rFonts w:hint="cs"/>
          <w:rtl/>
        </w:rPr>
        <w:t>[</w:t>
      </w:r>
      <w:r>
        <w:rPr>
          <w:rStyle w:val="afb"/>
          <w:rFonts w:hint="cs"/>
          <w:rtl/>
        </w:rPr>
        <w:t>עי' בדברי</w:t>
      </w:r>
      <w:r w:rsidRPr="00071FFA">
        <w:rPr>
          <w:rStyle w:val="afb"/>
          <w:rFonts w:hint="cs"/>
          <w:rtl/>
        </w:rPr>
        <w:t xml:space="preserve"> </w:t>
      </w:r>
      <w:r w:rsidRPr="00071FFA">
        <w:rPr>
          <w:rStyle w:val="affa"/>
          <w:rFonts w:hint="cs"/>
          <w:rtl/>
        </w:rPr>
        <w:t xml:space="preserve">התוס' </w:t>
      </w:r>
      <w:r w:rsidRPr="00071FFA">
        <w:rPr>
          <w:rStyle w:val="aff6"/>
          <w:rFonts w:hint="cs"/>
          <w:rtl/>
        </w:rPr>
        <w:t xml:space="preserve">(עי' אות </w:t>
      </w:r>
      <w:r w:rsidRPr="00071FFA">
        <w:rPr>
          <w:rStyle w:val="aff6"/>
          <w:rtl/>
        </w:rPr>
        <w:fldChar w:fldCharType="begin"/>
      </w:r>
      <w:r w:rsidRPr="00071FFA">
        <w:rPr>
          <w:rStyle w:val="aff6"/>
          <w:rtl/>
        </w:rPr>
        <w:instrText xml:space="preserve"> </w:instrText>
      </w:r>
      <w:r w:rsidRPr="00071FFA">
        <w:rPr>
          <w:rStyle w:val="aff6"/>
          <w:rFonts w:hint="cs"/>
        </w:rPr>
        <w:instrText>REF</w:instrText>
      </w:r>
      <w:r w:rsidRPr="00071FFA">
        <w:rPr>
          <w:rStyle w:val="aff6"/>
          <w:rFonts w:hint="cs"/>
          <w:rtl/>
        </w:rPr>
        <w:instrText xml:space="preserve"> _</w:instrText>
      </w:r>
      <w:r w:rsidRPr="00071FFA">
        <w:rPr>
          <w:rStyle w:val="aff6"/>
          <w:rFonts w:hint="cs"/>
        </w:rPr>
        <w:instrText>Ref54177361 \r \h</w:instrText>
      </w:r>
      <w:r w:rsidRPr="00071FFA">
        <w:rPr>
          <w:rStyle w:val="aff6"/>
          <w:rtl/>
        </w:rPr>
        <w:instrText xml:space="preserve"> </w:instrText>
      </w:r>
      <w:r w:rsidRPr="00071FFA">
        <w:rPr>
          <w:rStyle w:val="aff6"/>
          <w:rtl/>
        </w:rPr>
      </w:r>
      <w:r w:rsidRPr="00071FFA">
        <w:rPr>
          <w:rStyle w:val="aff6"/>
          <w:rtl/>
        </w:rPr>
        <w:fldChar w:fldCharType="separate"/>
      </w:r>
      <w:r w:rsidR="00265073">
        <w:rPr>
          <w:rStyle w:val="aff6"/>
          <w:cs/>
        </w:rPr>
        <w:t>‎</w:t>
      </w:r>
      <w:r w:rsidR="00265073">
        <w:rPr>
          <w:rStyle w:val="aff6"/>
          <w:rtl/>
        </w:rPr>
        <w:t>כד)</w:t>
      </w:r>
      <w:r w:rsidRPr="00071FFA">
        <w:rPr>
          <w:rStyle w:val="aff6"/>
          <w:rtl/>
        </w:rPr>
        <w:fldChar w:fldCharType="end"/>
      </w:r>
      <w:r w:rsidRPr="00071FFA">
        <w:rPr>
          <w:rStyle w:val="afb"/>
          <w:rFonts w:hint="cs"/>
          <w:rtl/>
        </w:rPr>
        <w:t xml:space="preserve">], </w:t>
      </w:r>
      <w:r>
        <w:rPr>
          <w:rFonts w:hint="cs"/>
          <w:rtl/>
        </w:rPr>
        <w:t>סגי בזה להחשיבו כחזקת ג"ש, דיכול המחזיק לטעון דניחא לו להובירה במקצת בין תבואה גדולה לשניה, דהיא נותנת יותר.</w:t>
      </w:r>
    </w:p>
    <w:p w:rsidR="00AB3447" w:rsidRPr="001B5C83" w:rsidRDefault="00AB3447" w:rsidP="00AB3447">
      <w:pPr>
        <w:pStyle w:val="a3"/>
      </w:pPr>
      <w:bookmarkStart w:id="1170" w:name="_Toc54201257"/>
      <w:bookmarkStart w:id="1171" w:name="_Toc54210241"/>
      <w:r>
        <w:rPr>
          <w:rFonts w:hint="cs"/>
          <w:rtl/>
        </w:rPr>
        <w:t>דברי הריטב"א דלר"י ור"ע טעמא דחזקה מילפותא דשור המועד ולכן אף בכה"ג הוי חזקה</w:t>
      </w:r>
      <w:bookmarkEnd w:id="1170"/>
      <w:bookmarkEnd w:id="1171"/>
    </w:p>
    <w:p w:rsidR="00AB3447" w:rsidRDefault="00AB3447" w:rsidP="007E4E81">
      <w:pPr>
        <w:pStyle w:val="a0"/>
        <w:rPr>
          <w:rtl/>
        </w:rPr>
      </w:pPr>
      <w:r>
        <w:rPr>
          <w:rFonts w:hint="cs"/>
          <w:rtl/>
        </w:rPr>
        <w:t xml:space="preserve">והוסיף </w:t>
      </w:r>
      <w:r w:rsidRPr="001B5C83">
        <w:rPr>
          <w:rStyle w:val="af9"/>
          <w:rFonts w:hint="cs"/>
          <w:rtl/>
        </w:rPr>
        <w:t>הריטב"א</w:t>
      </w:r>
      <w:r>
        <w:rPr>
          <w:rFonts w:hint="cs"/>
          <w:rtl/>
        </w:rPr>
        <w:t xml:space="preserve"> דלא ס"ל לר"ע ורבי ישמעאל דטעמא דחזקה דעד ג"ש נזהר בשטרו, אלא ילפינן לה משור המועד, ולכן הוי כחזקה אף בכה"ג.</w:t>
      </w:r>
      <w:bookmarkEnd w:id="1169"/>
    </w:p>
    <w:p w:rsidR="00AB3447" w:rsidRPr="00B260FA" w:rsidRDefault="00AB3447" w:rsidP="00AB3447">
      <w:pPr>
        <w:pStyle w:val="a3"/>
      </w:pPr>
      <w:bookmarkStart w:id="1172" w:name="_Toc54201258"/>
      <w:bookmarkStart w:id="1173" w:name="_Toc54210242"/>
      <w:r>
        <w:rPr>
          <w:rFonts w:hint="cs"/>
          <w:rtl/>
        </w:rPr>
        <w:t>דברי רבינו יונה דאם זרע המערער בתחילת השנה לא מהני כשזרע המחזיק בסוף השנה</w:t>
      </w:r>
      <w:bookmarkEnd w:id="1172"/>
      <w:bookmarkEnd w:id="1173"/>
    </w:p>
    <w:p w:rsidR="00AB3447" w:rsidRDefault="00AB3447" w:rsidP="007E4E81">
      <w:pPr>
        <w:pStyle w:val="a0"/>
        <w:rPr>
          <w:rtl/>
        </w:rPr>
      </w:pPr>
      <w:r>
        <w:rPr>
          <w:rFonts w:hint="cs"/>
          <w:rtl/>
        </w:rPr>
        <w:t xml:space="preserve">אך כתב </w:t>
      </w:r>
      <w:r w:rsidRPr="009E1A27">
        <w:rPr>
          <w:rStyle w:val="af9"/>
          <w:rFonts w:hint="cs"/>
          <w:rtl/>
        </w:rPr>
        <w:t>רבינו יונה</w:t>
      </w:r>
      <w:r>
        <w:rPr>
          <w:rFonts w:hint="cs"/>
          <w:rtl/>
        </w:rPr>
        <w:t xml:space="preserve"> </w:t>
      </w:r>
      <w:r w:rsidRPr="00B260FA">
        <w:rPr>
          <w:rStyle w:val="af7"/>
          <w:rFonts w:eastAsia="Guttman Hodes" w:hint="cs"/>
          <w:rtl/>
        </w:rPr>
        <w:t>(ד"ה שדה)</w:t>
      </w:r>
      <w:r>
        <w:rPr>
          <w:rFonts w:hint="cs"/>
          <w:rtl/>
        </w:rPr>
        <w:t xml:space="preserve"> דהא דמהני י"ח או י</w:t>
      </w:r>
      <w:r>
        <w:rPr>
          <w:rtl/>
        </w:rPr>
        <w:t>"</w:t>
      </w:r>
      <w:r>
        <w:rPr>
          <w:rFonts w:hint="cs"/>
          <w:rtl/>
        </w:rPr>
        <w:t>ד חודשים לר"ע ורבי ישמעאל, היינו דוקא באופן שהמרא קמא לא זרע בתחילת השנה, אבל אם זרע בתחילת השנה, יתכן שלא איכפת לו שזורע המחזיק אספסתא בסוף השנה.</w:t>
      </w:r>
    </w:p>
    <w:p w:rsidR="00AB3447" w:rsidRDefault="00AB3447" w:rsidP="00AB3447">
      <w:pPr>
        <w:pStyle w:val="1"/>
        <w:rPr>
          <w:rtl/>
        </w:rPr>
      </w:pPr>
      <w:bookmarkStart w:id="1174" w:name="_Toc53934663"/>
      <w:bookmarkStart w:id="1175" w:name="_Toc53940598"/>
      <w:bookmarkStart w:id="1176" w:name="_Toc54177802"/>
      <w:bookmarkStart w:id="1177" w:name="_Toc54201259"/>
      <w:bookmarkStart w:id="1178" w:name="_Toc54210243"/>
      <w:bookmarkStart w:id="1179" w:name="_Toc54177785"/>
      <w:r>
        <w:rPr>
          <w:rFonts w:hint="cs"/>
          <w:rtl/>
        </w:rPr>
        <w:t>דברי התורי"ד</w:t>
      </w:r>
      <w:bookmarkEnd w:id="1174"/>
      <w:bookmarkEnd w:id="1175"/>
      <w:bookmarkEnd w:id="1176"/>
      <w:r>
        <w:rPr>
          <w:rFonts w:hint="cs"/>
          <w:rtl/>
        </w:rPr>
        <w:t xml:space="preserve"> דלכו"ע צריך ג"ש ולר"י י"ח חדשים חשיב כג"ש</w:t>
      </w:r>
      <w:bookmarkEnd w:id="1177"/>
      <w:bookmarkEnd w:id="1178"/>
    </w:p>
    <w:p w:rsidR="00AB3447" w:rsidRDefault="00AB3447" w:rsidP="00AB3447">
      <w:pPr>
        <w:pStyle w:val="a3"/>
        <w:rPr>
          <w:rtl/>
        </w:rPr>
      </w:pPr>
      <w:bookmarkStart w:id="1180" w:name="_Toc54201260"/>
      <w:bookmarkStart w:id="1181" w:name="_Toc54210244"/>
      <w:r>
        <w:rPr>
          <w:rFonts w:hint="cs"/>
          <w:rtl/>
        </w:rPr>
        <w:t>דברי התורי"ד דפירא רבא היינו תבואה חזקה ופירא זוטא היינו מאכל בהמה דאספסתא</w:t>
      </w:r>
      <w:bookmarkEnd w:id="1180"/>
      <w:bookmarkEnd w:id="1181"/>
    </w:p>
    <w:p w:rsidR="00AB3447" w:rsidRDefault="00AB3447" w:rsidP="007E4E81">
      <w:pPr>
        <w:pStyle w:val="a0"/>
        <w:rPr>
          <w:rtl/>
        </w:rPr>
      </w:pPr>
      <w:bookmarkStart w:id="1182" w:name="_Ref54197800"/>
      <w:r>
        <w:rPr>
          <w:rFonts w:hint="cs"/>
          <w:rtl/>
        </w:rPr>
        <w:t xml:space="preserve">כתב </w:t>
      </w:r>
      <w:r w:rsidRPr="00710E32">
        <w:rPr>
          <w:rStyle w:val="af9"/>
          <w:rFonts w:hint="cs"/>
          <w:rtl/>
        </w:rPr>
        <w:t>התוס</w:t>
      </w:r>
      <w:r w:rsidRPr="00710E32">
        <w:rPr>
          <w:rStyle w:val="af9"/>
          <w:rtl/>
        </w:rPr>
        <w:t>'</w:t>
      </w:r>
      <w:r w:rsidRPr="00710E32">
        <w:rPr>
          <w:rStyle w:val="af9"/>
          <w:rFonts w:hint="cs"/>
          <w:rtl/>
        </w:rPr>
        <w:t xml:space="preserve"> רי</w:t>
      </w:r>
      <w:r w:rsidRPr="00710E32">
        <w:rPr>
          <w:rStyle w:val="af9"/>
          <w:rtl/>
        </w:rPr>
        <w:t>"</w:t>
      </w:r>
      <w:r w:rsidRPr="00710E32">
        <w:rPr>
          <w:rStyle w:val="af9"/>
          <w:rFonts w:hint="cs"/>
          <w:rtl/>
        </w:rPr>
        <w:t>ד לקמן</w:t>
      </w:r>
      <w:r>
        <w:rPr>
          <w:rFonts w:hint="cs"/>
          <w:rtl/>
        </w:rPr>
        <w:t xml:space="preserve"> </w:t>
      </w:r>
      <w:r w:rsidRPr="00E17546">
        <w:rPr>
          <w:rStyle w:val="af7"/>
          <w:rFonts w:eastAsia="Guttman Hodes" w:hint="cs"/>
          <w:rtl/>
        </w:rPr>
        <w:t xml:space="preserve">(לו: ד"ה והכא) </w:t>
      </w:r>
      <w:r>
        <w:rPr>
          <w:rFonts w:hint="cs"/>
          <w:rtl/>
        </w:rPr>
        <w:t>דלרבי ישמעאל צריך י"ח חודשים שגודל בהם פירא רבא דהיינו תבואה חזקה, אבל פירא זוטא שהיא מאכל בהמה וגדלה בחודש אחד, אינה חזקה, ולכן הצריך רבי ישמעאל ג"ש של ג</w:t>
      </w:r>
      <w:r>
        <w:rPr>
          <w:rtl/>
        </w:rPr>
        <w:t>'</w:t>
      </w:r>
      <w:r>
        <w:rPr>
          <w:rFonts w:hint="cs"/>
          <w:rtl/>
        </w:rPr>
        <w:t xml:space="preserve"> חודשים, כיון שיש תבואה שנזרעת ונקצרת </w:t>
      </w:r>
      <w:r>
        <w:rPr>
          <w:rFonts w:hint="cs"/>
          <w:rtl/>
        </w:rPr>
        <w:lastRenderedPageBreak/>
        <w:t>בתוך ג</w:t>
      </w:r>
      <w:r>
        <w:rPr>
          <w:rtl/>
        </w:rPr>
        <w:t>'</w:t>
      </w:r>
      <w:r>
        <w:rPr>
          <w:rFonts w:hint="cs"/>
          <w:rtl/>
        </w:rPr>
        <w:t xml:space="preserve"> חודשים, אבל לר"ע סגי בתבואה של חודש אחד שהיא אספסתא.</w:t>
      </w:r>
      <w:bookmarkEnd w:id="1182"/>
    </w:p>
    <w:p w:rsidR="00AB3447" w:rsidRDefault="00AB3447" w:rsidP="00AB3447">
      <w:pPr>
        <w:pStyle w:val="a3"/>
        <w:rPr>
          <w:rtl/>
        </w:rPr>
      </w:pPr>
      <w:bookmarkStart w:id="1183" w:name="_Toc54201261"/>
      <w:bookmarkStart w:id="1184" w:name="_Toc54210245"/>
      <w:r>
        <w:rPr>
          <w:rFonts w:hint="cs"/>
          <w:rtl/>
        </w:rPr>
        <w:t>קושית התורי"ד דאמאי לר"ע צריך י</w:t>
      </w:r>
      <w:r>
        <w:rPr>
          <w:rtl/>
        </w:rPr>
        <w:t>"</w:t>
      </w:r>
      <w:r>
        <w:rPr>
          <w:rFonts w:hint="cs"/>
          <w:rtl/>
        </w:rPr>
        <w:t>ד חודשים ולא סגי בג"ח ואמאי לר"י צריך י"ח ולא סגי בט'</w:t>
      </w:r>
      <w:bookmarkEnd w:id="1183"/>
      <w:bookmarkEnd w:id="1184"/>
    </w:p>
    <w:p w:rsidR="00AB3447" w:rsidRDefault="00AB3447" w:rsidP="007E4E81">
      <w:pPr>
        <w:pStyle w:val="a0"/>
        <w:rPr>
          <w:rtl/>
        </w:rPr>
      </w:pPr>
      <w:r>
        <w:rPr>
          <w:rFonts w:hint="cs"/>
          <w:rtl/>
        </w:rPr>
        <w:t xml:space="preserve">אך הקשה </w:t>
      </w:r>
      <w:r w:rsidRPr="00710E32">
        <w:rPr>
          <w:rStyle w:val="af9"/>
          <w:rFonts w:hint="cs"/>
          <w:rtl/>
        </w:rPr>
        <w:t>התוס' רי"ד לקמן</w:t>
      </w:r>
      <w:r>
        <w:rPr>
          <w:rFonts w:hint="cs"/>
          <w:rtl/>
        </w:rPr>
        <w:t xml:space="preserve"> דא"כ אמאי לר"ע צריך י"ד חודש, ולא סגי בג' חודשים, כמו דמקשה הגמ' </w:t>
      </w:r>
      <w:r w:rsidRPr="00E17546">
        <w:rPr>
          <w:rStyle w:val="af7"/>
          <w:rFonts w:eastAsia="Guttman Hodes" w:hint="cs"/>
          <w:rtl/>
        </w:rPr>
        <w:t xml:space="preserve">(כח:) </w:t>
      </w:r>
      <w:r>
        <w:rPr>
          <w:rFonts w:hint="cs"/>
          <w:rtl/>
        </w:rPr>
        <w:t>על רבי ישמעאל ותירצה דלרבי ישמעאל באמת מהני, וא"כ אמאי הצריך ר"ע י"ד חודשים, וכן לדעת רבי ישמעאל אמאי צריך י"ח חודשים ולא סגי בתשעה חודשים, כיון שיש תבואה שנזרעת ונקצרת בתוך ג</w:t>
      </w:r>
      <w:r>
        <w:rPr>
          <w:rtl/>
        </w:rPr>
        <w:t>'</w:t>
      </w:r>
      <w:r>
        <w:rPr>
          <w:rFonts w:hint="cs"/>
          <w:rtl/>
        </w:rPr>
        <w:t xml:space="preserve"> חודשים.</w:t>
      </w:r>
    </w:p>
    <w:p w:rsidR="00AB3447" w:rsidRDefault="00AB3447" w:rsidP="00AB3447">
      <w:pPr>
        <w:pStyle w:val="a3"/>
        <w:rPr>
          <w:rtl/>
        </w:rPr>
      </w:pPr>
      <w:bookmarkStart w:id="1185" w:name="_Toc54201262"/>
      <w:bookmarkStart w:id="1186" w:name="_Toc54210246"/>
      <w:r>
        <w:rPr>
          <w:rFonts w:hint="cs"/>
          <w:rtl/>
        </w:rPr>
        <w:t>דברי התורי"ד דבעושה פירות תדיר אף לר"י ור"ע צריך ג"ש ופליגי מה חשיב כג"ש בבית הבעל</w:t>
      </w:r>
      <w:bookmarkEnd w:id="1185"/>
      <w:bookmarkEnd w:id="1186"/>
      <w:r>
        <w:rPr>
          <w:rFonts w:hint="cs"/>
          <w:rtl/>
        </w:rPr>
        <w:t xml:space="preserve"> </w:t>
      </w:r>
    </w:p>
    <w:p w:rsidR="00AB3447" w:rsidRDefault="00AB3447" w:rsidP="007E4E81">
      <w:pPr>
        <w:pStyle w:val="a0"/>
        <w:rPr>
          <w:rtl/>
        </w:rPr>
      </w:pPr>
      <w:r>
        <w:rPr>
          <w:rFonts w:hint="cs"/>
          <w:rtl/>
        </w:rPr>
        <w:t xml:space="preserve">ותירץ </w:t>
      </w:r>
      <w:r w:rsidRPr="00710E32">
        <w:rPr>
          <w:rStyle w:val="af9"/>
          <w:rFonts w:hint="cs"/>
          <w:rtl/>
        </w:rPr>
        <w:t>התוס</w:t>
      </w:r>
      <w:r w:rsidRPr="00710E32">
        <w:rPr>
          <w:rStyle w:val="af9"/>
          <w:rtl/>
        </w:rPr>
        <w:t>'</w:t>
      </w:r>
      <w:r w:rsidRPr="00710E32">
        <w:rPr>
          <w:rStyle w:val="af9"/>
          <w:rFonts w:hint="cs"/>
          <w:rtl/>
        </w:rPr>
        <w:t xml:space="preserve"> רי</w:t>
      </w:r>
      <w:r w:rsidRPr="00710E32">
        <w:rPr>
          <w:rStyle w:val="af9"/>
          <w:rtl/>
        </w:rPr>
        <w:t>"</w:t>
      </w:r>
      <w:r w:rsidRPr="00710E32">
        <w:rPr>
          <w:rStyle w:val="af9"/>
          <w:rFonts w:hint="cs"/>
          <w:rtl/>
        </w:rPr>
        <w:t>ד לקמן</w:t>
      </w:r>
      <w:r>
        <w:rPr>
          <w:rFonts w:hint="cs"/>
          <w:rtl/>
        </w:rPr>
        <w:t xml:space="preserve"> דבדבר שעושה פירות תדיר, לכו"ע צריך ג"ש מיום ליום, ולא נחלקו בזה ר"ע ורבי ישמעאל כלל, ורק בשדה הבעל שאינה עושה פירות תדיר, צריך ג"ש שאינם מיום ליום, וכיון שאינם מיום ליום לרבי ישמעאל סגי בי"ח חודש, ולר"ע סגי בי"ד חודש.</w:t>
      </w:r>
    </w:p>
    <w:p w:rsidR="00AB3447" w:rsidRPr="0028342A" w:rsidRDefault="00AB3447" w:rsidP="00AB3447">
      <w:pPr>
        <w:pStyle w:val="a3"/>
      </w:pPr>
      <w:bookmarkStart w:id="1187" w:name="_Toc54201263"/>
      <w:bookmarkStart w:id="1188" w:name="_Toc54210247"/>
      <w:r>
        <w:rPr>
          <w:rFonts w:hint="cs"/>
          <w:rtl/>
        </w:rPr>
        <w:t>דברי התורי"ד דלכו"ע לא סגי בג' אכילות וצריך שיחשב כג"ש וט' חודשים באספסתא ל"מ</w:t>
      </w:r>
      <w:bookmarkEnd w:id="1187"/>
      <w:bookmarkEnd w:id="1188"/>
    </w:p>
    <w:p w:rsidR="00AB3447" w:rsidRDefault="00AB3447" w:rsidP="007E4E81">
      <w:pPr>
        <w:pStyle w:val="a0"/>
        <w:rPr>
          <w:rtl/>
        </w:rPr>
      </w:pPr>
      <w:r>
        <w:rPr>
          <w:rFonts w:hint="cs"/>
          <w:rtl/>
        </w:rPr>
        <w:t xml:space="preserve">אך כתב </w:t>
      </w:r>
      <w:r w:rsidRPr="00710E32">
        <w:rPr>
          <w:rStyle w:val="af9"/>
          <w:rFonts w:hint="cs"/>
          <w:rtl/>
        </w:rPr>
        <w:t>התוס</w:t>
      </w:r>
      <w:r w:rsidRPr="00710E32">
        <w:rPr>
          <w:rStyle w:val="af9"/>
          <w:rtl/>
        </w:rPr>
        <w:t>'</w:t>
      </w:r>
      <w:r w:rsidRPr="00710E32">
        <w:rPr>
          <w:rStyle w:val="af9"/>
          <w:rFonts w:hint="cs"/>
          <w:rtl/>
        </w:rPr>
        <w:t xml:space="preserve"> רי</w:t>
      </w:r>
      <w:r w:rsidRPr="00710E32">
        <w:rPr>
          <w:rStyle w:val="af9"/>
          <w:rtl/>
        </w:rPr>
        <w:t>"</w:t>
      </w:r>
      <w:r w:rsidRPr="00710E32">
        <w:rPr>
          <w:rStyle w:val="af9"/>
          <w:rFonts w:hint="cs"/>
          <w:rtl/>
        </w:rPr>
        <w:t>ד לקמן</w:t>
      </w:r>
      <w:r>
        <w:rPr>
          <w:rFonts w:hint="cs"/>
          <w:rtl/>
        </w:rPr>
        <w:t xml:space="preserve"> דלכו"ע לא סגי בג' אכילות וצריך ג"ש שאינם מיום ליום, ולכן אם אכל בשנה אחת ג' חודשים לר"ע, ותשעה חודשים לרבי ישמעאל לא הוי חזקה דאינם ג"ש.</w:t>
      </w:r>
    </w:p>
    <w:p w:rsidR="00AB3447" w:rsidRDefault="00AB3447" w:rsidP="00AB3447">
      <w:pPr>
        <w:pStyle w:val="a3"/>
        <w:rPr>
          <w:rtl/>
        </w:rPr>
      </w:pPr>
      <w:bookmarkStart w:id="1189" w:name="_Toc54201264"/>
      <w:bookmarkStart w:id="1190" w:name="_Toc54210248"/>
      <w:r>
        <w:rPr>
          <w:rFonts w:hint="cs"/>
          <w:rtl/>
        </w:rPr>
        <w:t>ביאור התורי"ד דג' אכילות בשנה אחת דמהני לר"י היינו בשדה אילן ולא בשדה תבואה</w:t>
      </w:r>
      <w:bookmarkEnd w:id="1189"/>
      <w:bookmarkEnd w:id="1190"/>
    </w:p>
    <w:p w:rsidR="00AB3447" w:rsidRDefault="00AB3447" w:rsidP="007E4E81">
      <w:pPr>
        <w:pStyle w:val="a0"/>
        <w:rPr>
          <w:rtl/>
        </w:rPr>
      </w:pPr>
      <w:r>
        <w:rPr>
          <w:rFonts w:hint="cs"/>
          <w:rtl/>
        </w:rPr>
        <w:t xml:space="preserve">והא דאמר רבי ישמעאל דסגי בג' אכילות, ביאר </w:t>
      </w:r>
      <w:r w:rsidRPr="00710E32">
        <w:rPr>
          <w:rStyle w:val="af9"/>
          <w:rFonts w:hint="cs"/>
          <w:rtl/>
        </w:rPr>
        <w:t>התוס' רי"ד לקמן</w:t>
      </w:r>
      <w:r>
        <w:rPr>
          <w:rFonts w:hint="cs"/>
          <w:rtl/>
        </w:rPr>
        <w:t xml:space="preserve"> דהיינו דוקא בשדה</w:t>
      </w:r>
      <w:r w:rsidRPr="00F70FDC">
        <w:rPr>
          <w:rFonts w:hint="cs"/>
          <w:rtl/>
        </w:rPr>
        <w:t xml:space="preserve"> </w:t>
      </w:r>
      <w:r>
        <w:rPr>
          <w:rFonts w:hint="cs"/>
          <w:rtl/>
        </w:rPr>
        <w:t>אילן, ולא בשדה הלבן, והא דאמר רבי ישמעאל דכנס את תבואתו ומסק את זיתיו וכנס את קייצו, חשיב ג"ש, כוונתו לומר דדוקא בשדה הלבן צריך ג"ש, אבל בשדה אילן א"צ ג"ש, וסגי בג' אכילות בשנה אחת.</w:t>
      </w:r>
    </w:p>
    <w:p w:rsidR="00AB3447" w:rsidRPr="008E27ED" w:rsidRDefault="00AB3447" w:rsidP="00AB3447">
      <w:pPr>
        <w:pStyle w:val="1"/>
        <w:rPr>
          <w:rtl/>
        </w:rPr>
      </w:pPr>
      <w:bookmarkStart w:id="1191" w:name="_Toc54201265"/>
      <w:bookmarkStart w:id="1192" w:name="_Toc54210249"/>
      <w:r>
        <w:rPr>
          <w:rFonts w:hint="cs"/>
          <w:rtl/>
        </w:rPr>
        <w:t>ביאור התורי"ד דבאילן שגדל מאיליו צריך למחות בג' אכילות</w:t>
      </w:r>
      <w:bookmarkEnd w:id="1191"/>
      <w:bookmarkEnd w:id="1192"/>
    </w:p>
    <w:p w:rsidR="00AB3447" w:rsidRDefault="00AB3447" w:rsidP="00AB3447">
      <w:pPr>
        <w:pStyle w:val="a3"/>
        <w:rPr>
          <w:rtl/>
        </w:rPr>
      </w:pPr>
      <w:bookmarkStart w:id="1193" w:name="_Toc54201266"/>
      <w:bookmarkStart w:id="1194" w:name="_Toc54210250"/>
      <w:r>
        <w:rPr>
          <w:rFonts w:hint="cs"/>
          <w:rtl/>
        </w:rPr>
        <w:t>ביאור התורי"ד דבשדה תבואה שצריך לזורעה מחדש חזקה היא רק בזריעה של ג"ש</w:t>
      </w:r>
      <w:bookmarkEnd w:id="1193"/>
      <w:bookmarkEnd w:id="1194"/>
    </w:p>
    <w:p w:rsidR="00AB3447" w:rsidRDefault="00AB3447" w:rsidP="007E4E81">
      <w:pPr>
        <w:pStyle w:val="a0"/>
        <w:rPr>
          <w:rtl/>
        </w:rPr>
      </w:pPr>
      <w:r>
        <w:rPr>
          <w:rFonts w:hint="cs"/>
          <w:rtl/>
        </w:rPr>
        <w:t xml:space="preserve">וביאר </w:t>
      </w:r>
      <w:r w:rsidRPr="00710E32">
        <w:rPr>
          <w:rStyle w:val="af9"/>
          <w:rFonts w:hint="cs"/>
          <w:rtl/>
        </w:rPr>
        <w:t>התוס' רי"ד לקמן</w:t>
      </w:r>
      <w:r>
        <w:rPr>
          <w:rFonts w:hint="cs"/>
          <w:rtl/>
        </w:rPr>
        <w:t xml:space="preserve"> דבשדה לבן כיון שצריך לזרוע אותה, ואם לא זרע אותה אינה מצמחת, לכן צריך ג"ש, כיון שבסתמא אדם זורע את שדהו פעם אחת בכל שנה, ואם זרע המחזיק ג' פעמים בשנה אחת, יכול המערער לומר שהוא סבר דהמחזיק יזרע רק פעם אחת כדרך כל בנ"א, ולכן לא מחה בו.</w:t>
      </w:r>
    </w:p>
    <w:p w:rsidR="00AB3447" w:rsidRPr="006C5D7A" w:rsidRDefault="00AB3447" w:rsidP="00AB3447">
      <w:pPr>
        <w:pStyle w:val="a3"/>
      </w:pPr>
      <w:bookmarkStart w:id="1195" w:name="_Toc54201267"/>
      <w:bookmarkStart w:id="1196" w:name="_Toc54210251"/>
      <w:r>
        <w:rPr>
          <w:rFonts w:hint="cs"/>
          <w:rtl/>
        </w:rPr>
        <w:t>ביאור התורי"ד דבאילן דהפירות גדלים מעצמם לר"י היה למערער למחות בג' אכילות בשנה א'</w:t>
      </w:r>
      <w:bookmarkEnd w:id="1195"/>
      <w:bookmarkEnd w:id="1196"/>
    </w:p>
    <w:p w:rsidR="00AB3447" w:rsidRDefault="00AB3447" w:rsidP="007E4E81">
      <w:pPr>
        <w:pStyle w:val="a0"/>
        <w:rPr>
          <w:rtl/>
        </w:rPr>
      </w:pPr>
      <w:r>
        <w:rPr>
          <w:rFonts w:hint="cs"/>
          <w:rtl/>
        </w:rPr>
        <w:t>אבל בשדה אילן</w:t>
      </w:r>
      <w:r w:rsidRPr="006C5D7A">
        <w:rPr>
          <w:rFonts w:hint="cs"/>
          <w:rtl/>
        </w:rPr>
        <w:t xml:space="preserve"> </w:t>
      </w:r>
      <w:r>
        <w:rPr>
          <w:rFonts w:hint="cs"/>
          <w:rtl/>
        </w:rPr>
        <w:t xml:space="preserve">ביאר </w:t>
      </w:r>
      <w:r w:rsidRPr="00710E32">
        <w:rPr>
          <w:rStyle w:val="af9"/>
          <w:rFonts w:hint="cs"/>
          <w:rtl/>
        </w:rPr>
        <w:t>התוס' רי"ד לקמן</w:t>
      </w:r>
      <w:r>
        <w:rPr>
          <w:rFonts w:hint="cs"/>
          <w:rtl/>
        </w:rPr>
        <w:t xml:space="preserve"> דכיון שהפירות גדלים מעצמם וא"צ לנוטעם בכל שנה, ס"ל לר"י דכיון שיודע המערער שבשדה גדלים ענבים וזיתים ותאנים, היה לו למחות בשנה אחת, וכל שלא מחה בג' אכילות אף בשנה אחת הוי חזקה.</w:t>
      </w:r>
    </w:p>
    <w:p w:rsidR="00AB3447" w:rsidRDefault="00AB3447" w:rsidP="00AB3447">
      <w:pPr>
        <w:pStyle w:val="afe"/>
        <w:rPr>
          <w:rtl/>
        </w:rPr>
      </w:pPr>
      <w:bookmarkStart w:id="1197" w:name="_Toc54201268"/>
      <w:bookmarkStart w:id="1198" w:name="_Toc54210252"/>
      <w:r w:rsidRPr="0044511B">
        <w:rPr>
          <w:rFonts w:hint="cs"/>
          <w:rtl/>
        </w:rPr>
        <w:t xml:space="preserve">בהחזקת המחזיק </w:t>
      </w:r>
      <w:r>
        <w:rPr>
          <w:rFonts w:hint="cs"/>
          <w:rtl/>
        </w:rPr>
        <w:t xml:space="preserve">בשדה </w:t>
      </w:r>
      <w:r w:rsidRPr="0044511B">
        <w:rPr>
          <w:rFonts w:hint="cs"/>
          <w:rtl/>
        </w:rPr>
        <w:t>בתוך ג' חודשים</w:t>
      </w:r>
      <w:bookmarkEnd w:id="1179"/>
      <w:bookmarkEnd w:id="1197"/>
      <w:bookmarkEnd w:id="1198"/>
    </w:p>
    <w:p w:rsidR="00AB3447" w:rsidRDefault="00AB3447" w:rsidP="00AB3447">
      <w:pPr>
        <w:pStyle w:val="1"/>
        <w:rPr>
          <w:rtl/>
        </w:rPr>
      </w:pPr>
      <w:bookmarkStart w:id="1199" w:name="_Toc54177786"/>
      <w:bookmarkStart w:id="1200" w:name="_Toc54201269"/>
      <w:bookmarkStart w:id="1201" w:name="_Toc54210253"/>
      <w:r>
        <w:rPr>
          <w:rFonts w:hint="cs"/>
          <w:rtl/>
        </w:rPr>
        <w:t>דברי התוס'</w:t>
      </w:r>
      <w:bookmarkEnd w:id="1199"/>
      <w:r>
        <w:rPr>
          <w:rFonts w:hint="cs"/>
          <w:rtl/>
        </w:rPr>
        <w:t xml:space="preserve"> דבתוך הג"ח אוכל שחת או מעכב עצים לעצמו</w:t>
      </w:r>
      <w:bookmarkEnd w:id="1200"/>
      <w:bookmarkEnd w:id="1201"/>
    </w:p>
    <w:p w:rsidR="00AB3447" w:rsidRDefault="00AB3447" w:rsidP="00AB3447">
      <w:pPr>
        <w:pStyle w:val="a3"/>
        <w:rPr>
          <w:rtl/>
        </w:rPr>
      </w:pPr>
      <w:bookmarkStart w:id="1202" w:name="_Toc54201270"/>
      <w:bookmarkStart w:id="1203" w:name="_Toc54210254"/>
      <w:r>
        <w:rPr>
          <w:rFonts w:hint="cs"/>
          <w:rtl/>
        </w:rPr>
        <w:t>קושית התוס' דאי לר"י סגי כשזורע או קוצר היאך ניכר שמחזיק ג"ח בשדה דעבודה אינה חזקה</w:t>
      </w:r>
      <w:bookmarkEnd w:id="1202"/>
      <w:bookmarkEnd w:id="1203"/>
    </w:p>
    <w:p w:rsidR="00AB3447" w:rsidRPr="007162A1" w:rsidRDefault="00AB3447" w:rsidP="007E4E81">
      <w:pPr>
        <w:pStyle w:val="a0"/>
        <w:rPr>
          <w:rStyle w:val="afb"/>
          <w:rtl/>
        </w:rPr>
      </w:pPr>
      <w:bookmarkStart w:id="1204" w:name="_Ref54194298"/>
      <w:bookmarkStart w:id="1205" w:name="_Ref54173893"/>
      <w:r>
        <w:rPr>
          <w:rFonts w:hint="cs"/>
          <w:rtl/>
        </w:rPr>
        <w:t xml:space="preserve">במ"ש </w:t>
      </w:r>
      <w:r w:rsidRPr="00F36A74">
        <w:rPr>
          <w:rStyle w:val="af9"/>
          <w:rFonts w:hint="cs"/>
          <w:rtl/>
        </w:rPr>
        <w:t>ר</w:t>
      </w:r>
      <w:r w:rsidRPr="00F36A74">
        <w:rPr>
          <w:rStyle w:val="af9"/>
          <w:rtl/>
        </w:rPr>
        <w:t>"</w:t>
      </w:r>
      <w:r w:rsidRPr="00F36A74">
        <w:rPr>
          <w:rStyle w:val="af9"/>
          <w:rFonts w:hint="cs"/>
          <w:rtl/>
        </w:rPr>
        <w:t>י בתוס</w:t>
      </w:r>
      <w:r w:rsidRPr="00F36A74">
        <w:rPr>
          <w:rStyle w:val="af9"/>
          <w:rtl/>
        </w:rPr>
        <w:t>'</w:t>
      </w:r>
      <w:r>
        <w:rPr>
          <w:rFonts w:hint="cs"/>
          <w:rtl/>
        </w:rPr>
        <w:t xml:space="preserve"> </w:t>
      </w:r>
      <w:r w:rsidRPr="00F36A74">
        <w:rPr>
          <w:rStyle w:val="af7"/>
          <w:rFonts w:eastAsia="Guttman Hodes" w:hint="cs"/>
          <w:rtl/>
        </w:rPr>
        <w:t xml:space="preserve">(עי' אות </w:t>
      </w:r>
      <w:r w:rsidRPr="00F36A74">
        <w:rPr>
          <w:rStyle w:val="af7"/>
          <w:rFonts w:eastAsia="Guttman Hodes"/>
          <w:rtl/>
        </w:rPr>
        <w:fldChar w:fldCharType="begin"/>
      </w:r>
      <w:r w:rsidRPr="00F36A74">
        <w:rPr>
          <w:rStyle w:val="af7"/>
          <w:rFonts w:eastAsia="Guttman Hodes"/>
          <w:rtl/>
        </w:rPr>
        <w:instrText xml:space="preserve"> </w:instrText>
      </w:r>
      <w:r w:rsidRPr="00F36A74">
        <w:rPr>
          <w:rStyle w:val="af7"/>
          <w:rFonts w:eastAsia="Guttman Hodes" w:hint="cs"/>
        </w:rPr>
        <w:instrText>REF</w:instrText>
      </w:r>
      <w:r w:rsidRPr="00F36A74">
        <w:rPr>
          <w:rStyle w:val="af7"/>
          <w:rFonts w:eastAsia="Guttman Hodes" w:hint="cs"/>
          <w:rtl/>
        </w:rPr>
        <w:instrText xml:space="preserve"> _</w:instrText>
      </w:r>
      <w:r w:rsidRPr="00F36A74">
        <w:rPr>
          <w:rStyle w:val="af7"/>
          <w:rFonts w:eastAsia="Guttman Hodes" w:hint="cs"/>
        </w:rPr>
        <w:instrText>Ref54173904 \r \h</w:instrText>
      </w:r>
      <w:r w:rsidRPr="00F36A74">
        <w:rPr>
          <w:rStyle w:val="af7"/>
          <w:rFonts w:eastAsia="Guttman Hodes"/>
          <w:rtl/>
        </w:rPr>
        <w:instrText xml:space="preserve"> </w:instrText>
      </w:r>
      <w:r w:rsidRPr="00F36A74">
        <w:rPr>
          <w:rStyle w:val="af7"/>
          <w:rFonts w:eastAsia="Guttman Hodes"/>
          <w:rtl/>
        </w:rPr>
      </w:r>
      <w:r w:rsidRPr="00F36A74">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F36A74">
        <w:rPr>
          <w:rStyle w:val="af7"/>
          <w:rFonts w:eastAsia="Guttman Hodes"/>
          <w:rtl/>
        </w:rPr>
        <w:fldChar w:fldCharType="end"/>
      </w:r>
      <w:r>
        <w:rPr>
          <w:rFonts w:hint="cs"/>
          <w:rtl/>
        </w:rPr>
        <w:t xml:space="preserve"> דלרבי ישמעאל א"צ לזרוע ולקצור בג' חודשים, וסגי כשקוצר בראשונים, וזורע באחרונים, הקשו </w:t>
      </w:r>
      <w:r w:rsidRPr="00F36A74">
        <w:rPr>
          <w:rStyle w:val="af9"/>
          <w:rFonts w:hint="cs"/>
          <w:rtl/>
        </w:rPr>
        <w:t>התוס'</w:t>
      </w:r>
      <w:r>
        <w:rPr>
          <w:rFonts w:hint="cs"/>
          <w:rtl/>
        </w:rPr>
        <w:t xml:space="preserve"> </w:t>
      </w:r>
      <w:r w:rsidRPr="00AA4D05">
        <w:rPr>
          <w:rStyle w:val="af7"/>
          <w:rFonts w:eastAsia="Guttman Hodes" w:hint="cs"/>
          <w:rtl/>
        </w:rPr>
        <w:t>(ד"ה שלשה)</w:t>
      </w:r>
      <w:r>
        <w:rPr>
          <w:rFonts w:hint="cs"/>
          <w:rtl/>
        </w:rPr>
        <w:t xml:space="preserve"> דאם אינו צריך לזרוע ולקצור, א"כ היאך יהיה ניכר שהוא מחזיק בשדה בכל הג</w:t>
      </w:r>
      <w:r>
        <w:rPr>
          <w:rtl/>
        </w:rPr>
        <w:t>'</w:t>
      </w:r>
      <w:r>
        <w:rPr>
          <w:rFonts w:hint="cs"/>
          <w:rtl/>
        </w:rPr>
        <w:t xml:space="preserve"> חודשים, הא הוא יכול לקצור או לזרוע ביום </w:t>
      </w:r>
      <w:r>
        <w:rPr>
          <w:rFonts w:hint="cs"/>
          <w:rtl/>
        </w:rPr>
        <w:t xml:space="preserve">אחד, ומה שמנכש את השדה ומתקנו, אינו חזקה כדאיתא לקמן </w:t>
      </w:r>
      <w:r w:rsidRPr="0094636D">
        <w:rPr>
          <w:rStyle w:val="af7"/>
          <w:rFonts w:eastAsia="Guttman Hodes" w:hint="cs"/>
          <w:rtl/>
        </w:rPr>
        <w:t>(לו:)</w:t>
      </w:r>
      <w:r>
        <w:rPr>
          <w:rFonts w:hint="cs"/>
          <w:rtl/>
        </w:rPr>
        <w:t xml:space="preserve"> דניר לא הוי חזקה, דהבעלים רוצה שיתקן את שדהו. </w:t>
      </w:r>
      <w:r w:rsidRPr="007162A1">
        <w:rPr>
          <w:rStyle w:val="afb"/>
          <w:rFonts w:hint="cs"/>
          <w:rtl/>
        </w:rPr>
        <w:t xml:space="preserve">[ועי' בדברי </w:t>
      </w:r>
      <w:r w:rsidRPr="007162A1">
        <w:rPr>
          <w:rStyle w:val="affa"/>
          <w:rFonts w:hint="cs"/>
          <w:rtl/>
        </w:rPr>
        <w:t>רבינו גרשום</w:t>
      </w:r>
      <w:r w:rsidRPr="007162A1">
        <w:rPr>
          <w:rStyle w:val="afb"/>
          <w:rFonts w:hint="cs"/>
          <w:rtl/>
        </w:rPr>
        <w:t xml:space="preserve"> </w:t>
      </w:r>
      <w:r w:rsidRPr="007162A1">
        <w:rPr>
          <w:rStyle w:val="aff6"/>
          <w:rFonts w:hint="cs"/>
          <w:rtl/>
        </w:rPr>
        <w:t xml:space="preserve">(עי' אות </w:t>
      </w:r>
      <w:r w:rsidRPr="007162A1">
        <w:rPr>
          <w:rStyle w:val="aff6"/>
          <w:rtl/>
        </w:rPr>
        <w:fldChar w:fldCharType="begin"/>
      </w:r>
      <w:r w:rsidRPr="007162A1">
        <w:rPr>
          <w:rStyle w:val="aff6"/>
          <w:rtl/>
        </w:rPr>
        <w:instrText xml:space="preserve"> </w:instrText>
      </w:r>
      <w:r w:rsidRPr="007162A1">
        <w:rPr>
          <w:rStyle w:val="aff6"/>
          <w:rFonts w:hint="cs"/>
        </w:rPr>
        <w:instrText>REF</w:instrText>
      </w:r>
      <w:r w:rsidRPr="007162A1">
        <w:rPr>
          <w:rStyle w:val="aff6"/>
          <w:rFonts w:hint="cs"/>
          <w:rtl/>
        </w:rPr>
        <w:instrText xml:space="preserve"> _</w:instrText>
      </w:r>
      <w:r w:rsidRPr="007162A1">
        <w:rPr>
          <w:rStyle w:val="aff6"/>
          <w:rFonts w:hint="cs"/>
        </w:rPr>
        <w:instrText>Ref54194267 \r \h</w:instrText>
      </w:r>
      <w:r w:rsidRPr="007162A1">
        <w:rPr>
          <w:rStyle w:val="aff6"/>
          <w:rtl/>
        </w:rPr>
        <w:instrText xml:space="preserve"> </w:instrText>
      </w:r>
      <w:r w:rsidRPr="007162A1">
        <w:rPr>
          <w:rStyle w:val="aff6"/>
          <w:rtl/>
        </w:rPr>
      </w:r>
      <w:r w:rsidRPr="007162A1">
        <w:rPr>
          <w:rStyle w:val="aff6"/>
          <w:rtl/>
        </w:rPr>
        <w:fldChar w:fldCharType="separate"/>
      </w:r>
      <w:r w:rsidR="00265073">
        <w:rPr>
          <w:rStyle w:val="aff6"/>
          <w:cs/>
        </w:rPr>
        <w:t>‎</w:t>
      </w:r>
      <w:r w:rsidR="00265073">
        <w:rPr>
          <w:rStyle w:val="aff6"/>
          <w:rtl/>
        </w:rPr>
        <w:t>ח)</w:t>
      </w:r>
      <w:r w:rsidRPr="007162A1">
        <w:rPr>
          <w:rStyle w:val="aff6"/>
          <w:rtl/>
        </w:rPr>
        <w:fldChar w:fldCharType="end"/>
      </w:r>
      <w:r w:rsidRPr="007162A1">
        <w:rPr>
          <w:rStyle w:val="afb"/>
          <w:rFonts w:hint="cs"/>
          <w:rtl/>
        </w:rPr>
        <w:t xml:space="preserve"> דכתב דבבית השלחין שמשקה אותה כל יום, חשיב עושה פירות תדיר].</w:t>
      </w:r>
      <w:bookmarkEnd w:id="1204"/>
    </w:p>
    <w:p w:rsidR="00AB3447" w:rsidRPr="00890CCF" w:rsidRDefault="00AB3447" w:rsidP="00AB3447">
      <w:pPr>
        <w:pStyle w:val="a3"/>
      </w:pPr>
      <w:bookmarkStart w:id="1206" w:name="_Toc54201271"/>
      <w:bookmarkStart w:id="1207" w:name="_Toc54210255"/>
      <w:r>
        <w:rPr>
          <w:rFonts w:hint="cs"/>
          <w:rtl/>
        </w:rPr>
        <w:t>דברי התוס' דאיירי דאוכל שחת בתוך הג"ח באופן שאינו קוצר את התבואה דכן דרך בנ"א</w:t>
      </w:r>
      <w:bookmarkEnd w:id="1206"/>
      <w:bookmarkEnd w:id="1207"/>
    </w:p>
    <w:p w:rsidR="00AB3447" w:rsidRDefault="00AB3447" w:rsidP="007E4E81">
      <w:pPr>
        <w:pStyle w:val="a0"/>
        <w:rPr>
          <w:rtl/>
        </w:rPr>
      </w:pPr>
      <w:r>
        <w:rPr>
          <w:rFonts w:hint="cs"/>
          <w:rtl/>
        </w:rPr>
        <w:t xml:space="preserve">ותירצו </w:t>
      </w:r>
      <w:r w:rsidRPr="0093599F">
        <w:rPr>
          <w:rStyle w:val="af9"/>
          <w:rFonts w:hint="cs"/>
          <w:rtl/>
        </w:rPr>
        <w:t xml:space="preserve">התוס' </w:t>
      </w:r>
      <w:r>
        <w:rPr>
          <w:rFonts w:hint="cs"/>
          <w:rtl/>
        </w:rPr>
        <w:t>דאיירי שאוכל את השחת בתוך הג</w:t>
      </w:r>
      <w:r>
        <w:rPr>
          <w:rtl/>
        </w:rPr>
        <w:t>'</w:t>
      </w:r>
      <w:r>
        <w:rPr>
          <w:rFonts w:hint="cs"/>
          <w:rtl/>
        </w:rPr>
        <w:t xml:space="preserve"> חודשים, והא דאמרינן בגמ' לקמן </w:t>
      </w:r>
      <w:r w:rsidRPr="0094636D">
        <w:rPr>
          <w:rStyle w:val="af7"/>
          <w:rFonts w:eastAsia="Guttman Hodes" w:hint="cs"/>
          <w:rtl/>
        </w:rPr>
        <w:t>(לו:)</w:t>
      </w:r>
      <w:r>
        <w:rPr>
          <w:rFonts w:hint="cs"/>
          <w:rtl/>
        </w:rPr>
        <w:t xml:space="preserve"> דהאוכל שחת אינה חזקה, היינו באופן שאחר שקוצר את השחת אין התבואה חוזרת וגודלת, אבל אם אוכל את השחת כדרך שבנ"א עושים, כשהתבואה עדיין ירק ועוד לא יצא הגבעול של התבואה, הוי חזקה.</w:t>
      </w:r>
      <w:bookmarkEnd w:id="1205"/>
    </w:p>
    <w:p w:rsidR="00AB3447" w:rsidRDefault="00AB3447" w:rsidP="00AB3447">
      <w:pPr>
        <w:pStyle w:val="a3"/>
        <w:rPr>
          <w:rtl/>
        </w:rPr>
      </w:pPr>
      <w:bookmarkStart w:id="1208" w:name="_Toc54201272"/>
      <w:bookmarkStart w:id="1209" w:name="_Toc54210256"/>
      <w:r>
        <w:rPr>
          <w:rFonts w:hint="cs"/>
          <w:rtl/>
        </w:rPr>
        <w:t>דברי התוס' דלרבנן דבשדה אילן צריך ג"ש החזקה ע"י שזומר ומעכב את העצים לעצמו</w:t>
      </w:r>
      <w:bookmarkEnd w:id="1208"/>
      <w:bookmarkEnd w:id="1209"/>
    </w:p>
    <w:p w:rsidR="00AB3447" w:rsidRDefault="00AB3447" w:rsidP="007E4E81">
      <w:pPr>
        <w:pStyle w:val="a0"/>
        <w:rPr>
          <w:rtl/>
        </w:rPr>
      </w:pPr>
      <w:r>
        <w:rPr>
          <w:rFonts w:hint="cs"/>
          <w:rtl/>
        </w:rPr>
        <w:t xml:space="preserve">וכתבו </w:t>
      </w:r>
      <w:r w:rsidRPr="0093599F">
        <w:rPr>
          <w:rStyle w:val="af9"/>
          <w:rFonts w:hint="cs"/>
          <w:rtl/>
        </w:rPr>
        <w:t xml:space="preserve">התוס' </w:t>
      </w:r>
      <w:r>
        <w:rPr>
          <w:rFonts w:hint="cs"/>
          <w:rtl/>
        </w:rPr>
        <w:t>דבשדה אילן דלרבנן דפליגי על רבי ישמעאל צריך ג"ש מיום ליום, אעפ"י דבשדה אילן לא שייך לאכול שחת, מ"מ אפש"ל דהחזקה היא ע"י שזומר את האילנות ולוקח את העצים לעצמו, ואע"ג דהוא מתקן את השדה</w:t>
      </w:r>
      <w:r w:rsidRPr="006A7A88">
        <w:rPr>
          <w:rFonts w:hint="cs"/>
          <w:rtl/>
        </w:rPr>
        <w:t xml:space="preserve"> </w:t>
      </w:r>
      <w:r>
        <w:rPr>
          <w:rFonts w:hint="cs"/>
          <w:rtl/>
        </w:rPr>
        <w:t>בזה, מ"מ כיון שהוא לוקח את העצים לעצמו, לא שייך לומר</w:t>
      </w:r>
      <w:r w:rsidRPr="006A7A88">
        <w:rPr>
          <w:rFonts w:hint="cs"/>
          <w:rtl/>
        </w:rPr>
        <w:t xml:space="preserve"> </w:t>
      </w:r>
      <w:r>
        <w:rPr>
          <w:rFonts w:hint="cs"/>
          <w:rtl/>
        </w:rPr>
        <w:t>דניחא לבעלים, כמו בחורש את השדה.</w:t>
      </w:r>
    </w:p>
    <w:p w:rsidR="00AB3447" w:rsidRPr="009C799D" w:rsidRDefault="00AB3447" w:rsidP="00AB3447">
      <w:pPr>
        <w:pStyle w:val="1"/>
        <w:rPr>
          <w:rtl/>
        </w:rPr>
      </w:pPr>
      <w:bookmarkStart w:id="1210" w:name="_Toc54201273"/>
      <w:bookmarkStart w:id="1211" w:name="_Toc54210257"/>
      <w:r>
        <w:rPr>
          <w:rFonts w:hint="cs"/>
          <w:rtl/>
        </w:rPr>
        <w:t>הביאור הב' בתוס' דבתוך הג"ח סגי בנעילה ואכילה בסופם</w:t>
      </w:r>
      <w:bookmarkEnd w:id="1210"/>
      <w:bookmarkEnd w:id="1211"/>
    </w:p>
    <w:p w:rsidR="00AB3447" w:rsidRDefault="00AB3447" w:rsidP="00AB3447">
      <w:pPr>
        <w:pStyle w:val="a3"/>
        <w:rPr>
          <w:rtl/>
        </w:rPr>
      </w:pPr>
      <w:bookmarkStart w:id="1212" w:name="_Toc54201274"/>
      <w:bookmarkStart w:id="1213" w:name="_Toc54210258"/>
      <w:r>
        <w:rPr>
          <w:rFonts w:hint="cs"/>
          <w:rtl/>
        </w:rPr>
        <w:t>הביאור הב' בתוס' דבתוך ג"ח מחזיק ע"י שנועל וגודל ומהני יחד עם אכילת פירות</w:t>
      </w:r>
      <w:bookmarkEnd w:id="1212"/>
      <w:bookmarkEnd w:id="1213"/>
    </w:p>
    <w:p w:rsidR="00AB3447" w:rsidRPr="0094636D" w:rsidRDefault="00AB3447" w:rsidP="007E4E81">
      <w:pPr>
        <w:pStyle w:val="a0"/>
        <w:rPr>
          <w:sz w:val="10"/>
          <w:szCs w:val="14"/>
          <w:rtl/>
        </w:rPr>
      </w:pPr>
      <w:r>
        <w:rPr>
          <w:rFonts w:hint="cs"/>
          <w:rtl/>
        </w:rPr>
        <w:t xml:space="preserve">ועוד ביאר </w:t>
      </w:r>
      <w:r w:rsidRPr="00071FFA">
        <w:rPr>
          <w:rStyle w:val="af9"/>
          <w:rFonts w:hint="cs"/>
          <w:rtl/>
        </w:rPr>
        <w:t>ר</w:t>
      </w:r>
      <w:r w:rsidRPr="00071FFA">
        <w:rPr>
          <w:rStyle w:val="af9"/>
          <w:rtl/>
        </w:rPr>
        <w:t>"</w:t>
      </w:r>
      <w:r w:rsidRPr="00071FFA">
        <w:rPr>
          <w:rStyle w:val="af9"/>
          <w:rFonts w:hint="cs"/>
          <w:rtl/>
        </w:rPr>
        <w:t>י בתוס</w:t>
      </w:r>
      <w:r w:rsidRPr="00071FFA">
        <w:rPr>
          <w:rStyle w:val="af9"/>
          <w:rtl/>
        </w:rPr>
        <w:t>'</w:t>
      </w:r>
      <w:r>
        <w:rPr>
          <w:rFonts w:hint="cs"/>
          <w:rtl/>
        </w:rPr>
        <w:t xml:space="preserve"> דבתוך הג' חודשים הוא מחזיק בשדה ע"י שגודר ונועל במפתח, ולא מניח לאחרים להכנס לשדה, ואע"ג דהגמ' לקמן </w:t>
      </w:r>
      <w:r w:rsidRPr="00AA4D05">
        <w:rPr>
          <w:rStyle w:val="af7"/>
          <w:rFonts w:eastAsia="Guttman Hodes" w:hint="cs"/>
          <w:rtl/>
        </w:rPr>
        <w:t>(כט:)</w:t>
      </w:r>
      <w:r>
        <w:rPr>
          <w:rFonts w:hint="cs"/>
          <w:rtl/>
        </w:rPr>
        <w:t xml:space="preserve"> מקשה היאך עושים חזקה בצונמא, ולא אמרינן דע"י שנועל וגודר הוי חזקה, היינו כיון דגודר ונועל מהני רק יחד עם אכילה או זריעה, וכתבו </w:t>
      </w:r>
      <w:r w:rsidRPr="00071FFA">
        <w:rPr>
          <w:rStyle w:val="af9"/>
          <w:rFonts w:hint="cs"/>
          <w:rtl/>
        </w:rPr>
        <w:t>התוס'</w:t>
      </w:r>
      <w:r>
        <w:rPr>
          <w:rFonts w:hint="cs"/>
          <w:rtl/>
        </w:rPr>
        <w:t xml:space="preserve"> דלפי"ז מבוארת גם דעת רבנן דרבי ישמעאל, דס"ל שצריך להחזיק בשדה ג"ש שלימות. </w:t>
      </w:r>
      <w:r w:rsidRPr="003923C2">
        <w:rPr>
          <w:rStyle w:val="afb"/>
          <w:rFonts w:hint="cs"/>
          <w:rtl/>
        </w:rPr>
        <w:t>[דבכל השנה הוא מחזיק בשדה ע"י שנועל וגודר, וס"ל לרבנן דצריך ג' אכילות חשובות יחד עם מה שנועל וגודר].</w:t>
      </w:r>
    </w:p>
    <w:p w:rsidR="00AB3447" w:rsidRPr="0094636D" w:rsidRDefault="00AB3447" w:rsidP="00AB3447">
      <w:pPr>
        <w:pStyle w:val="1"/>
        <w:rPr>
          <w:rtl/>
        </w:rPr>
      </w:pPr>
      <w:bookmarkStart w:id="1214" w:name="_Toc54201275"/>
      <w:bookmarkStart w:id="1215" w:name="_Toc54210259"/>
      <w:r>
        <w:rPr>
          <w:rFonts w:hint="cs"/>
          <w:rtl/>
        </w:rPr>
        <w:t>הביאור הא' ברמב"ן דלר"י צריך שהמחזיק יזרע ויקצור</w:t>
      </w:r>
      <w:bookmarkEnd w:id="1214"/>
      <w:bookmarkEnd w:id="1215"/>
    </w:p>
    <w:p w:rsidR="00AB3447" w:rsidRDefault="00AB3447" w:rsidP="00AB3447">
      <w:pPr>
        <w:pStyle w:val="a3"/>
        <w:rPr>
          <w:rtl/>
        </w:rPr>
      </w:pPr>
      <w:bookmarkStart w:id="1216" w:name="_Toc54201276"/>
      <w:bookmarkStart w:id="1217" w:name="_Toc54210260"/>
      <w:r>
        <w:rPr>
          <w:rFonts w:hint="cs"/>
          <w:rtl/>
        </w:rPr>
        <w:t>דברי הרמב"ן דלר"י ור"ע אזלינן בתר אכילות וצריך שיזרע ויקצור בפירא רבא או זוטא</w:t>
      </w:r>
      <w:bookmarkEnd w:id="1216"/>
      <w:bookmarkEnd w:id="1217"/>
    </w:p>
    <w:p w:rsidR="00AB3447" w:rsidRDefault="00AB3447" w:rsidP="007E4E81">
      <w:pPr>
        <w:pStyle w:val="a0"/>
        <w:rPr>
          <w:rtl/>
        </w:rPr>
      </w:pPr>
      <w:bookmarkStart w:id="1218" w:name="_Ref54193148"/>
      <w:r>
        <w:rPr>
          <w:rFonts w:hint="cs"/>
          <w:rtl/>
        </w:rPr>
        <w:t xml:space="preserve">אבל </w:t>
      </w:r>
      <w:r w:rsidRPr="009E1A27">
        <w:rPr>
          <w:rStyle w:val="af9"/>
          <w:rFonts w:hint="cs"/>
          <w:rtl/>
        </w:rPr>
        <w:t>הרמב"ן לקמן</w:t>
      </w:r>
      <w:r>
        <w:rPr>
          <w:rFonts w:hint="cs"/>
          <w:rtl/>
        </w:rPr>
        <w:t xml:space="preserve"> </w:t>
      </w:r>
      <w:r w:rsidRPr="009E1A27">
        <w:rPr>
          <w:rStyle w:val="af7"/>
          <w:rFonts w:eastAsia="Guttman Hodes" w:hint="cs"/>
          <w:rtl/>
        </w:rPr>
        <w:t>(לו: ד"ה והא)</w:t>
      </w:r>
      <w:r>
        <w:rPr>
          <w:rFonts w:hint="cs"/>
          <w:rtl/>
        </w:rPr>
        <w:t xml:space="preserve"> כתב דלרבי ישמעאל ור"ע רק אכילה שזורע וקוצר הוי אכילה לחזקה, ובשדה האילן בהכנסת הפירות, אבל אם זרע הבעלים וקצר המחזיק, לא חשיבא אכילה לחזקה, ולא אמרינן דהוא מכר קמה בקומתה, אלא השנה הראשונה היא בחזקת המרא קמא, דס"ל לרבי ישמעאל ור"ע דאזלינן בתר אכילות, ולכן דהחזקה תלויה בפירא רבא או בפירא זוטא.</w:t>
      </w:r>
    </w:p>
    <w:p w:rsidR="00AB3447" w:rsidRPr="00CC07EC" w:rsidRDefault="00AB3447" w:rsidP="00AB3447">
      <w:pPr>
        <w:pStyle w:val="a3"/>
      </w:pPr>
      <w:bookmarkStart w:id="1219" w:name="_Toc54201277"/>
      <w:bookmarkStart w:id="1220" w:name="_Toc54210261"/>
      <w:r>
        <w:rPr>
          <w:rFonts w:hint="cs"/>
          <w:rtl/>
        </w:rPr>
        <w:t>דברי הרמב"ן דא"א לומר דלר"ע ור"י סגי בקצירה בלא זריעה דהא קוצר ביום א' וא"צ ג"ח</w:t>
      </w:r>
      <w:bookmarkEnd w:id="1219"/>
      <w:bookmarkEnd w:id="1220"/>
    </w:p>
    <w:p w:rsidR="00AB3447" w:rsidRDefault="00AB3447" w:rsidP="007E4E81">
      <w:pPr>
        <w:pStyle w:val="a0"/>
        <w:rPr>
          <w:rtl/>
        </w:rPr>
      </w:pPr>
      <w:r>
        <w:rPr>
          <w:rFonts w:hint="cs"/>
          <w:rtl/>
        </w:rPr>
        <w:t xml:space="preserve">וכתב </w:t>
      </w:r>
      <w:r w:rsidRPr="002E2DC6">
        <w:rPr>
          <w:rStyle w:val="af9"/>
          <w:rFonts w:hint="cs"/>
          <w:rtl/>
        </w:rPr>
        <w:t>הרמב"ן</w:t>
      </w:r>
      <w:r>
        <w:rPr>
          <w:rFonts w:hint="cs"/>
          <w:rtl/>
        </w:rPr>
        <w:t xml:space="preserve"> דא"א לומר דלר"ע ורבי ישמעאל סגי בקצירה בלבד, </w:t>
      </w:r>
      <w:r w:rsidRPr="00BF1B7D">
        <w:rPr>
          <w:rStyle w:val="afb"/>
          <w:rFonts w:hint="cs"/>
          <w:rtl/>
        </w:rPr>
        <w:t xml:space="preserve">[כדכתבו </w:t>
      </w:r>
      <w:r w:rsidRPr="00BF1B7D">
        <w:rPr>
          <w:rStyle w:val="affa"/>
          <w:rFonts w:hint="cs"/>
          <w:rtl/>
        </w:rPr>
        <w:t>התוס'</w:t>
      </w:r>
      <w:r w:rsidRPr="00BF1B7D">
        <w:rPr>
          <w:rStyle w:val="afb"/>
          <w:rFonts w:hint="cs"/>
          <w:rtl/>
        </w:rPr>
        <w:t xml:space="preserve"> </w:t>
      </w:r>
      <w:r w:rsidRPr="00BF1B7D">
        <w:rPr>
          <w:rStyle w:val="aff6"/>
          <w:rFonts w:hint="cs"/>
          <w:rtl/>
        </w:rPr>
        <w:t xml:space="preserve">(עי' אות </w:t>
      </w:r>
      <w:r w:rsidRPr="00BF1B7D">
        <w:rPr>
          <w:rStyle w:val="aff6"/>
          <w:rtl/>
        </w:rPr>
        <w:fldChar w:fldCharType="begin"/>
      </w:r>
      <w:r w:rsidRPr="00BF1B7D">
        <w:rPr>
          <w:rStyle w:val="aff6"/>
          <w:rtl/>
        </w:rPr>
        <w:instrText xml:space="preserve"> </w:instrText>
      </w:r>
      <w:r w:rsidRPr="00BF1B7D">
        <w:rPr>
          <w:rStyle w:val="aff6"/>
          <w:rFonts w:hint="cs"/>
        </w:rPr>
        <w:instrText>REF</w:instrText>
      </w:r>
      <w:r w:rsidRPr="00BF1B7D">
        <w:rPr>
          <w:rStyle w:val="aff6"/>
          <w:rFonts w:hint="cs"/>
          <w:rtl/>
        </w:rPr>
        <w:instrText xml:space="preserve"> _</w:instrText>
      </w:r>
      <w:r w:rsidRPr="00BF1B7D">
        <w:rPr>
          <w:rStyle w:val="aff6"/>
          <w:rFonts w:hint="cs"/>
        </w:rPr>
        <w:instrText>Ref54173904 \r \h</w:instrText>
      </w:r>
      <w:r w:rsidRPr="00BF1B7D">
        <w:rPr>
          <w:rStyle w:val="aff6"/>
          <w:rtl/>
        </w:rPr>
        <w:instrText xml:space="preserve"> </w:instrText>
      </w:r>
      <w:r w:rsidRPr="00BF1B7D">
        <w:rPr>
          <w:rStyle w:val="aff6"/>
          <w:rtl/>
        </w:rPr>
      </w:r>
      <w:r w:rsidRPr="00BF1B7D">
        <w:rPr>
          <w:rStyle w:val="aff6"/>
          <w:rtl/>
        </w:rPr>
        <w:fldChar w:fldCharType="separate"/>
      </w:r>
      <w:r w:rsidR="00265073">
        <w:rPr>
          <w:rStyle w:val="aff6"/>
          <w:cs/>
        </w:rPr>
        <w:t>‎</w:t>
      </w:r>
      <w:r w:rsidR="00265073">
        <w:rPr>
          <w:rStyle w:val="aff6"/>
          <w:rtl/>
        </w:rPr>
        <w:t>כז)</w:t>
      </w:r>
      <w:r w:rsidRPr="00BF1B7D">
        <w:rPr>
          <w:rStyle w:val="aff6"/>
          <w:rtl/>
        </w:rPr>
        <w:fldChar w:fldCharType="end"/>
      </w:r>
      <w:r w:rsidRPr="00BF1B7D">
        <w:rPr>
          <w:rStyle w:val="afb"/>
          <w:rFonts w:hint="cs"/>
          <w:rtl/>
        </w:rPr>
        <w:t xml:space="preserve">], </w:t>
      </w:r>
      <w:r>
        <w:rPr>
          <w:rFonts w:hint="cs"/>
          <w:rtl/>
        </w:rPr>
        <w:t xml:space="preserve">דא"כ לכל </w:t>
      </w:r>
      <w:r w:rsidRPr="002E2DC6">
        <w:rPr>
          <w:rFonts w:hint="cs"/>
          <w:rtl/>
        </w:rPr>
        <w:t>אכילה סגי ביום אחד שקוצר, וא"צ חודשים.</w:t>
      </w:r>
      <w:bookmarkEnd w:id="1218"/>
    </w:p>
    <w:p w:rsidR="00AB3447" w:rsidRPr="00E255A3" w:rsidRDefault="00AB3447" w:rsidP="00AB3447">
      <w:pPr>
        <w:pStyle w:val="1"/>
        <w:rPr>
          <w:rtl/>
        </w:rPr>
      </w:pPr>
      <w:bookmarkStart w:id="1221" w:name="_Toc54201278"/>
      <w:bookmarkStart w:id="1222" w:name="_Toc54210262"/>
      <w:r>
        <w:rPr>
          <w:rFonts w:hint="cs"/>
          <w:rtl/>
        </w:rPr>
        <w:t>הביאור הב' ברמב"ן דבשנה הראשונה סגי בקוצר קמה בקומתה</w:t>
      </w:r>
      <w:bookmarkEnd w:id="1221"/>
      <w:bookmarkEnd w:id="1222"/>
    </w:p>
    <w:p w:rsidR="00AB3447" w:rsidRPr="00CC07EC" w:rsidRDefault="00AB3447" w:rsidP="00AB3447">
      <w:pPr>
        <w:pStyle w:val="a3"/>
        <w:rPr>
          <w:rtl/>
        </w:rPr>
      </w:pPr>
      <w:bookmarkStart w:id="1223" w:name="_Toc54201279"/>
      <w:bookmarkStart w:id="1224" w:name="_Toc54210263"/>
      <w:r>
        <w:rPr>
          <w:rFonts w:hint="cs"/>
          <w:rtl/>
        </w:rPr>
        <w:t>דברי הרמב"ן דבשנה הראשונה קוצר קמה בקומתה חשיב אכילה ונקטו חודשים לשניה ושלישית</w:t>
      </w:r>
      <w:bookmarkEnd w:id="1223"/>
      <w:bookmarkEnd w:id="1224"/>
    </w:p>
    <w:p w:rsidR="00AB3447" w:rsidRDefault="00AB3447" w:rsidP="007E4E81">
      <w:pPr>
        <w:pStyle w:val="a0"/>
        <w:rPr>
          <w:rtl/>
        </w:rPr>
      </w:pPr>
      <w:r w:rsidRPr="002E2DC6">
        <w:rPr>
          <w:rFonts w:hint="cs"/>
          <w:rtl/>
        </w:rPr>
        <w:t xml:space="preserve">אך כתב </w:t>
      </w:r>
      <w:r w:rsidRPr="00BF1B7D">
        <w:rPr>
          <w:rStyle w:val="af9"/>
          <w:rFonts w:hint="cs"/>
          <w:rtl/>
        </w:rPr>
        <w:t>הרמב"ן לקמן</w:t>
      </w:r>
      <w:r w:rsidRPr="002E2DC6">
        <w:rPr>
          <w:rFonts w:hint="cs"/>
          <w:rtl/>
        </w:rPr>
        <w:t xml:space="preserve"> דאפש"ל דאף אם מצא קמה בקומתה וקצרה, חשיב כאכילת שנה, והא דנקטו ר"ע ורבי ישמעאל חודשים, הוא כיון דרק באכילה הראשונה סגי ביום אחד, אבל באכילה </w:t>
      </w:r>
      <w:r w:rsidRPr="002E2DC6">
        <w:rPr>
          <w:rFonts w:hint="cs"/>
          <w:rtl/>
        </w:rPr>
        <w:lastRenderedPageBreak/>
        <w:t xml:space="preserve">האחרונה צריך חודש או ג' חודשים, ותני חודשים אף בראשונה דומיא </w:t>
      </w:r>
      <w:r w:rsidRPr="00DD0D23">
        <w:rPr>
          <w:rFonts w:hint="cs"/>
          <w:rtl/>
        </w:rPr>
        <w:t>דאחרונה.</w:t>
      </w:r>
    </w:p>
    <w:p w:rsidR="00AB3447" w:rsidRPr="00E255A3" w:rsidRDefault="00AB3447" w:rsidP="00AB3447">
      <w:pPr>
        <w:pStyle w:val="1"/>
        <w:rPr>
          <w:rtl/>
        </w:rPr>
      </w:pPr>
      <w:bookmarkStart w:id="1225" w:name="_Toc54201280"/>
      <w:bookmarkStart w:id="1226" w:name="_Toc54210264"/>
      <w:r>
        <w:rPr>
          <w:rFonts w:hint="cs"/>
          <w:rtl/>
        </w:rPr>
        <w:t>הביאור הג' ברמב"ן דבתבואה בקומתה סגי בקוצר וא"צ חודשים</w:t>
      </w:r>
      <w:bookmarkEnd w:id="1225"/>
      <w:bookmarkEnd w:id="1226"/>
    </w:p>
    <w:p w:rsidR="00AB3447" w:rsidRPr="00DD0D23" w:rsidRDefault="00AB3447" w:rsidP="00AB3447">
      <w:pPr>
        <w:pStyle w:val="a3"/>
      </w:pPr>
      <w:bookmarkStart w:id="1227" w:name="_Toc54201281"/>
      <w:bookmarkStart w:id="1228" w:name="_Toc54210265"/>
      <w:r>
        <w:rPr>
          <w:rFonts w:hint="cs"/>
          <w:rtl/>
        </w:rPr>
        <w:t>דברי הרמב"ן דאפש"ל דחודשים הוא רבותא דמהני פירא רבא וזוטא וכ"ש בקוצר קמה בקומתה</w:t>
      </w:r>
      <w:bookmarkEnd w:id="1227"/>
      <w:bookmarkEnd w:id="1228"/>
    </w:p>
    <w:p w:rsidR="00AB3447" w:rsidRPr="00DD0D23" w:rsidRDefault="00AB3447" w:rsidP="007E4E81">
      <w:pPr>
        <w:pStyle w:val="a0"/>
        <w:rPr>
          <w:rStyle w:val="afb"/>
          <w:rtl/>
        </w:rPr>
      </w:pPr>
      <w:r w:rsidRPr="00DD0D23">
        <w:rPr>
          <w:rFonts w:hint="cs"/>
          <w:rtl/>
        </w:rPr>
        <w:t>ו</w:t>
      </w:r>
      <w:r>
        <w:rPr>
          <w:rFonts w:hint="cs"/>
          <w:rtl/>
        </w:rPr>
        <w:t>עוד כתב</w:t>
      </w:r>
      <w:r w:rsidRPr="00DD0D23">
        <w:rPr>
          <w:rFonts w:hint="cs"/>
          <w:rtl/>
        </w:rPr>
        <w:t xml:space="preserve"> </w:t>
      </w:r>
      <w:r w:rsidRPr="00DD0D23">
        <w:rPr>
          <w:rStyle w:val="af9"/>
          <w:rFonts w:hint="cs"/>
          <w:rtl/>
        </w:rPr>
        <w:t>הרמב"ן</w:t>
      </w:r>
      <w:r>
        <w:rPr>
          <w:rStyle w:val="af9"/>
          <w:rFonts w:hint="cs"/>
          <w:rtl/>
        </w:rPr>
        <w:t xml:space="preserve"> לקמן</w:t>
      </w:r>
      <w:r w:rsidRPr="00DD0D23">
        <w:rPr>
          <w:rFonts w:hint="cs"/>
          <w:rtl/>
        </w:rPr>
        <w:t xml:space="preserve"> דאפש"ל דהא דנקטו ר"ע ורבי ישמעאל חודשים, היינו לרבותא דאף אם אכל ג' אכילות של פירא רבא או זוטא, הוי חזקה בג' אכילות, וכ"ש בתבואה גמורה שהייתה בקומתה וקצרה</w:t>
      </w:r>
      <w:r>
        <w:rPr>
          <w:rStyle w:val="af9"/>
          <w:rFonts w:hint="cs"/>
          <w:rtl/>
        </w:rPr>
        <w:t>,</w:t>
      </w:r>
      <w:r w:rsidRPr="00DD0D23">
        <w:rPr>
          <w:rStyle w:val="af9"/>
          <w:rFonts w:hint="cs"/>
          <w:rtl/>
        </w:rPr>
        <w:t xml:space="preserve"> </w:t>
      </w:r>
      <w:r w:rsidRPr="00DD0D23">
        <w:rPr>
          <w:rFonts w:hint="cs"/>
          <w:rtl/>
        </w:rPr>
        <w:t>דחשיב אכילה גמורה</w:t>
      </w:r>
      <w:r>
        <w:rPr>
          <w:rFonts w:hint="cs"/>
          <w:rtl/>
        </w:rPr>
        <w:t xml:space="preserve">, וכתב </w:t>
      </w:r>
      <w:r w:rsidRPr="00481B9F">
        <w:rPr>
          <w:rStyle w:val="af9"/>
          <w:rFonts w:hint="cs"/>
          <w:rtl/>
        </w:rPr>
        <w:t>הרמב"ן</w:t>
      </w:r>
      <w:r>
        <w:rPr>
          <w:rFonts w:hint="cs"/>
          <w:rtl/>
        </w:rPr>
        <w:t xml:space="preserve"> דכן נראה עיקר</w:t>
      </w:r>
      <w:r w:rsidRPr="00DD0D23">
        <w:rPr>
          <w:rFonts w:hint="cs"/>
          <w:rtl/>
        </w:rPr>
        <w:t xml:space="preserve">. </w:t>
      </w:r>
      <w:r w:rsidRPr="00DD0D23">
        <w:rPr>
          <w:rStyle w:val="afb"/>
          <w:rFonts w:hint="cs"/>
          <w:rtl/>
        </w:rPr>
        <w:t xml:space="preserve">[ודלא </w:t>
      </w:r>
      <w:r w:rsidRPr="00DD0D23">
        <w:rPr>
          <w:rStyle w:val="affa"/>
          <w:rFonts w:hint="cs"/>
          <w:rtl/>
        </w:rPr>
        <w:t xml:space="preserve">כתוס' </w:t>
      </w:r>
      <w:r w:rsidRPr="00DD0D23">
        <w:rPr>
          <w:rStyle w:val="aff6"/>
          <w:rFonts w:hint="cs"/>
          <w:rtl/>
        </w:rPr>
        <w:t xml:space="preserve">(עי' אות </w:t>
      </w:r>
      <w:r w:rsidRPr="00DD0D23">
        <w:rPr>
          <w:rStyle w:val="aff6"/>
          <w:rtl/>
        </w:rPr>
        <w:fldChar w:fldCharType="begin"/>
      </w:r>
      <w:r w:rsidRPr="00DD0D23">
        <w:rPr>
          <w:rStyle w:val="aff6"/>
          <w:rtl/>
        </w:rPr>
        <w:instrText xml:space="preserve"> </w:instrText>
      </w:r>
      <w:r w:rsidRPr="00DD0D23">
        <w:rPr>
          <w:rStyle w:val="aff6"/>
          <w:rFonts w:hint="cs"/>
        </w:rPr>
        <w:instrText>REF</w:instrText>
      </w:r>
      <w:r w:rsidRPr="00DD0D23">
        <w:rPr>
          <w:rStyle w:val="aff6"/>
          <w:rFonts w:hint="cs"/>
          <w:rtl/>
        </w:rPr>
        <w:instrText xml:space="preserve"> _</w:instrText>
      </w:r>
      <w:r w:rsidRPr="00DD0D23">
        <w:rPr>
          <w:rStyle w:val="aff6"/>
          <w:rFonts w:hint="cs"/>
        </w:rPr>
        <w:instrText>Ref54194298 \r \h</w:instrText>
      </w:r>
      <w:r w:rsidRPr="00DD0D23">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DD0D23">
        <w:rPr>
          <w:rStyle w:val="aff6"/>
          <w:rtl/>
        </w:rPr>
      </w:r>
      <w:r w:rsidRPr="00DD0D23">
        <w:rPr>
          <w:rStyle w:val="aff6"/>
          <w:rtl/>
        </w:rPr>
        <w:fldChar w:fldCharType="separate"/>
      </w:r>
      <w:r w:rsidR="00265073">
        <w:rPr>
          <w:rStyle w:val="aff6"/>
          <w:cs/>
        </w:rPr>
        <w:t>‎</w:t>
      </w:r>
      <w:r w:rsidR="00265073">
        <w:rPr>
          <w:rStyle w:val="aff6"/>
          <w:rtl/>
        </w:rPr>
        <w:t>מז)</w:t>
      </w:r>
      <w:r w:rsidRPr="00DD0D23">
        <w:rPr>
          <w:rStyle w:val="aff6"/>
          <w:rtl/>
        </w:rPr>
        <w:fldChar w:fldCharType="end"/>
      </w:r>
      <w:r w:rsidRPr="00DD0D23">
        <w:rPr>
          <w:rStyle w:val="afb"/>
          <w:rFonts w:hint="cs"/>
          <w:rtl/>
        </w:rPr>
        <w:t xml:space="preserve"> דהקשו דהיאך ניכר שהחזיק בה].</w:t>
      </w:r>
    </w:p>
    <w:p w:rsidR="00AB3447" w:rsidRDefault="00AB3447" w:rsidP="00AB3447">
      <w:pPr>
        <w:pStyle w:val="afe"/>
        <w:rPr>
          <w:rtl/>
        </w:rPr>
      </w:pPr>
      <w:bookmarkStart w:id="1229" w:name="_Toc54201282"/>
      <w:bookmarkStart w:id="1230" w:name="_Toc54210266"/>
      <w:r>
        <w:rPr>
          <w:rFonts w:hint="cs"/>
          <w:rtl/>
        </w:rPr>
        <w:t>דעת הסוברים דת"ק דמתני' ס"ל כר"י</w:t>
      </w:r>
      <w:bookmarkEnd w:id="1229"/>
      <w:bookmarkEnd w:id="1230"/>
    </w:p>
    <w:p w:rsidR="00AB3447" w:rsidRDefault="00AB3447" w:rsidP="00AB3447">
      <w:pPr>
        <w:pStyle w:val="1"/>
        <w:rPr>
          <w:rtl/>
        </w:rPr>
      </w:pPr>
      <w:bookmarkStart w:id="1231" w:name="_Toc54201283"/>
      <w:bookmarkStart w:id="1232" w:name="_Toc54210267"/>
      <w:bookmarkStart w:id="1233" w:name="_Toc52907767"/>
      <w:r>
        <w:rPr>
          <w:rFonts w:hint="cs"/>
          <w:rtl/>
        </w:rPr>
        <w:t>דעת רש"י ותוס' והרשב"ם דת"ק דמתני' כר"י ור"ע</w:t>
      </w:r>
      <w:bookmarkEnd w:id="1231"/>
      <w:bookmarkEnd w:id="1232"/>
    </w:p>
    <w:p w:rsidR="00AB3447" w:rsidRPr="00D85BD7" w:rsidRDefault="00AB3447" w:rsidP="00AB3447">
      <w:pPr>
        <w:pStyle w:val="a3"/>
        <w:rPr>
          <w:rtl/>
        </w:rPr>
      </w:pPr>
      <w:bookmarkStart w:id="1234" w:name="_Toc54177790"/>
      <w:bookmarkStart w:id="1235" w:name="_Toc54201284"/>
      <w:bookmarkStart w:id="1236" w:name="_Toc54210268"/>
      <w:r>
        <w:rPr>
          <w:rFonts w:hint="cs"/>
          <w:rtl/>
        </w:rPr>
        <w:t>דברי רש"י דבבית השלחין צריך ג"ש מיום ליום ובבית הבעל לר"י י"ח חודשים חשיב כג"ש</w:t>
      </w:r>
      <w:bookmarkEnd w:id="1234"/>
      <w:bookmarkEnd w:id="1235"/>
      <w:bookmarkEnd w:id="1236"/>
    </w:p>
    <w:p w:rsidR="00AB3447" w:rsidRDefault="00AB3447" w:rsidP="007E4E81">
      <w:pPr>
        <w:pStyle w:val="a0"/>
        <w:rPr>
          <w:rtl/>
        </w:rPr>
      </w:pPr>
      <w:r>
        <w:rPr>
          <w:rFonts w:hint="cs"/>
          <w:rtl/>
        </w:rPr>
        <w:t xml:space="preserve">בשדה בית השלחין כתב </w:t>
      </w:r>
      <w:r w:rsidRPr="00190A58">
        <w:rPr>
          <w:rStyle w:val="af9"/>
          <w:rFonts w:hint="cs"/>
          <w:rtl/>
        </w:rPr>
        <w:t>רש"י</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Ref54172885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א)</w:t>
      </w:r>
      <w:r>
        <w:rPr>
          <w:rStyle w:val="af7"/>
          <w:rFonts w:eastAsia="Guttman Hodes"/>
          <w:rtl/>
        </w:rPr>
        <w:fldChar w:fldCharType="end"/>
      </w:r>
      <w:r>
        <w:rPr>
          <w:rStyle w:val="af7"/>
          <w:rFonts w:eastAsia="Guttman Hodes" w:hint="cs"/>
          <w:rtl/>
        </w:rPr>
        <w:t xml:space="preserve"> </w:t>
      </w:r>
      <w:r>
        <w:rPr>
          <w:rFonts w:hint="cs"/>
          <w:rtl/>
        </w:rPr>
        <w:t>דכיון שעושה פירות תדיר, כל שהחזיק בה ג"ש שלימות מיום ליום, הוי חזקה,</w:t>
      </w:r>
      <w:r w:rsidRPr="00886B15">
        <w:rPr>
          <w:rFonts w:hint="cs"/>
          <w:rtl/>
        </w:rPr>
        <w:t xml:space="preserve"> </w:t>
      </w:r>
      <w:r w:rsidRPr="00954595">
        <w:rPr>
          <w:rFonts w:hint="cs"/>
          <w:rtl/>
        </w:rPr>
        <w:t>וב</w:t>
      </w:r>
      <w:r w:rsidRPr="00954595">
        <w:rPr>
          <w:rtl/>
        </w:rPr>
        <w:t>בית הבעל</w:t>
      </w:r>
      <w:r w:rsidRPr="00954595">
        <w:rPr>
          <w:rFonts w:hint="cs"/>
          <w:rtl/>
        </w:rPr>
        <w:t xml:space="preserve"> כתב </w:t>
      </w:r>
      <w:r w:rsidRPr="00954595">
        <w:rPr>
          <w:rStyle w:val="af9"/>
          <w:rFonts w:hint="cs"/>
          <w:rtl/>
        </w:rPr>
        <w:t>רש"י</w:t>
      </w:r>
      <w:r w:rsidRPr="00954595">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Ref54172896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ג)</w:t>
      </w:r>
      <w:r>
        <w:rPr>
          <w:rStyle w:val="af7"/>
          <w:rFonts w:eastAsia="Guttman Hodes"/>
          <w:rtl/>
        </w:rPr>
        <w:fldChar w:fldCharType="end"/>
      </w:r>
      <w:r>
        <w:rPr>
          <w:rStyle w:val="af7"/>
          <w:rFonts w:eastAsia="Guttman Hodes" w:hint="cs"/>
          <w:rtl/>
        </w:rPr>
        <w:t xml:space="preserve"> </w:t>
      </w:r>
      <w:r w:rsidRPr="00954595">
        <w:rPr>
          <w:rFonts w:hint="cs"/>
          <w:rtl/>
        </w:rPr>
        <w:t>דכיון שרק פעם אחת בשנה היא עושה פירות, החזקת ג"ש שלה אינה מיום ליום, ו</w:t>
      </w:r>
      <w:r>
        <w:rPr>
          <w:rFonts w:hint="cs"/>
          <w:rtl/>
        </w:rPr>
        <w:t xml:space="preserve">ביאר </w:t>
      </w:r>
      <w:r w:rsidRPr="0065319D">
        <w:rPr>
          <w:rStyle w:val="af9"/>
          <w:rFonts w:hint="cs"/>
          <w:rtl/>
        </w:rPr>
        <w:t>רש"י</w:t>
      </w:r>
      <w:r>
        <w:rPr>
          <w:rFonts w:hint="cs"/>
          <w:rtl/>
        </w:rPr>
        <w:t xml:space="preserve"> ד</w:t>
      </w:r>
      <w:r w:rsidRPr="00954595">
        <w:rPr>
          <w:rFonts w:hint="cs"/>
          <w:rtl/>
        </w:rPr>
        <w:t>לדעת רבי ישמעאל חזקתה כשזרע את השדה בג</w:t>
      </w:r>
      <w:r w:rsidRPr="00954595">
        <w:rPr>
          <w:rtl/>
        </w:rPr>
        <w:t>'</w:t>
      </w:r>
      <w:r w:rsidRPr="00954595">
        <w:rPr>
          <w:rFonts w:hint="cs"/>
          <w:rtl/>
        </w:rPr>
        <w:t xml:space="preserve"> חודשים אחרונים של השנה הראשונה, וזרע גם בג</w:t>
      </w:r>
      <w:r w:rsidRPr="00954595">
        <w:rPr>
          <w:rtl/>
        </w:rPr>
        <w:t>'</w:t>
      </w:r>
      <w:r w:rsidRPr="00954595">
        <w:rPr>
          <w:rFonts w:hint="cs"/>
          <w:rtl/>
        </w:rPr>
        <w:t xml:space="preserve"> חודשים ראשונים של שנה אחרונה, והחזיק בה בכל השנה האמצעית.</w:t>
      </w:r>
    </w:p>
    <w:p w:rsidR="00AB3447" w:rsidRPr="00AA4D05" w:rsidRDefault="00AB3447" w:rsidP="00AB3447">
      <w:pPr>
        <w:pStyle w:val="a3"/>
        <w:rPr>
          <w:rtl/>
        </w:rPr>
      </w:pPr>
      <w:bookmarkStart w:id="1237" w:name="_Toc54201285"/>
      <w:bookmarkStart w:id="1238" w:name="_Toc54210269"/>
      <w:r>
        <w:rPr>
          <w:rFonts w:hint="cs"/>
          <w:rtl/>
        </w:rPr>
        <w:t>ביאורי הראשונים ברש"י דר"י ור"ע מפרשים את דברי ת"ק ולא פליגי וכן דעת התוס'</w:t>
      </w:r>
      <w:bookmarkEnd w:id="1237"/>
      <w:bookmarkEnd w:id="1238"/>
    </w:p>
    <w:p w:rsidR="00AB3447" w:rsidRPr="00BF6DCE" w:rsidRDefault="00AB3447" w:rsidP="007E4E81">
      <w:pPr>
        <w:pStyle w:val="a0"/>
        <w:rPr>
          <w:rtl/>
        </w:rPr>
      </w:pPr>
      <w:bookmarkStart w:id="1239" w:name="_Ref54195925"/>
      <w:r>
        <w:rPr>
          <w:rFonts w:hint="cs"/>
          <w:rtl/>
        </w:rPr>
        <w:t xml:space="preserve">וכתבו </w:t>
      </w:r>
      <w:r w:rsidRPr="004C10EA">
        <w:rPr>
          <w:rStyle w:val="af9"/>
          <w:rFonts w:hint="cs"/>
          <w:rtl/>
        </w:rPr>
        <w:t>הרשב"א</w:t>
      </w:r>
      <w:r>
        <w:rPr>
          <w:rFonts w:hint="cs"/>
          <w:rtl/>
        </w:rPr>
        <w:t xml:space="preserve"> </w:t>
      </w:r>
      <w:r w:rsidRPr="004C10EA">
        <w:rPr>
          <w:rStyle w:val="af7"/>
          <w:rFonts w:eastAsia="Guttman Hodes" w:hint="cs"/>
          <w:rtl/>
        </w:rPr>
        <w:t>(ד"ה שדה)</w:t>
      </w:r>
      <w:r>
        <w:rPr>
          <w:rFonts w:hint="cs"/>
          <w:rtl/>
        </w:rPr>
        <w:t xml:space="preserve"> </w:t>
      </w:r>
      <w:r w:rsidRPr="004C10EA">
        <w:rPr>
          <w:rStyle w:val="af9"/>
          <w:rFonts w:hint="cs"/>
          <w:rtl/>
        </w:rPr>
        <w:t>והר"ן</w:t>
      </w:r>
      <w:r>
        <w:rPr>
          <w:rFonts w:hint="cs"/>
          <w:rtl/>
        </w:rPr>
        <w:t xml:space="preserve"> </w:t>
      </w:r>
      <w:r w:rsidRPr="004C10EA">
        <w:rPr>
          <w:rStyle w:val="af7"/>
          <w:rFonts w:eastAsia="Guttman Hodes" w:hint="cs"/>
          <w:rtl/>
        </w:rPr>
        <w:t>(ד"ה שדה)</w:t>
      </w:r>
      <w:r>
        <w:rPr>
          <w:rFonts w:hint="cs"/>
          <w:rtl/>
        </w:rPr>
        <w:t xml:space="preserve"> </w:t>
      </w:r>
      <w:r w:rsidRPr="004C10EA">
        <w:rPr>
          <w:rStyle w:val="af9"/>
          <w:rFonts w:hint="cs"/>
          <w:rtl/>
        </w:rPr>
        <w:t>והריטב"א לקמן</w:t>
      </w:r>
      <w:r>
        <w:rPr>
          <w:rFonts w:hint="cs"/>
          <w:rtl/>
        </w:rPr>
        <w:t xml:space="preserve"> </w:t>
      </w:r>
      <w:r w:rsidRPr="004C10EA">
        <w:rPr>
          <w:rStyle w:val="af7"/>
          <w:rFonts w:eastAsia="Guttman Hodes" w:hint="cs"/>
          <w:rtl/>
        </w:rPr>
        <w:t>(לו. ד"ה מתני')</w:t>
      </w:r>
      <w:r>
        <w:rPr>
          <w:rFonts w:hint="cs"/>
          <w:rtl/>
        </w:rPr>
        <w:t xml:space="preserve"> דמשמע מדברי </w:t>
      </w:r>
      <w:r w:rsidRPr="004C10EA">
        <w:rPr>
          <w:rStyle w:val="af9"/>
          <w:rFonts w:hint="cs"/>
          <w:rtl/>
        </w:rPr>
        <w:t>רש"י</w:t>
      </w:r>
      <w:r>
        <w:rPr>
          <w:rFonts w:hint="cs"/>
          <w:rtl/>
        </w:rPr>
        <w:t xml:space="preserve"> דר"ע ור' ישמעאל לא נחלקו על ת"ק, אלא באו לפרש את דבריו, דכיון דס"ל לת"ק דא"צ ג"ש בשדה בית הבעל, ביארו ר"ע ורבי ישמעאל </w:t>
      </w:r>
      <w:r w:rsidRPr="00BF6DCE">
        <w:rPr>
          <w:rFonts w:hint="cs"/>
          <w:rtl/>
        </w:rPr>
        <w:t xml:space="preserve">כמה זמן צריך בכדי שתהיה חזקה, וכ"כ </w:t>
      </w:r>
      <w:r w:rsidRPr="004C10EA">
        <w:rPr>
          <w:rStyle w:val="af9"/>
          <w:rFonts w:hint="cs"/>
          <w:rtl/>
        </w:rPr>
        <w:t>התוס' לקמן</w:t>
      </w:r>
      <w:r w:rsidRPr="00BF6DCE">
        <w:rPr>
          <w:rFonts w:hint="cs"/>
          <w:rtl/>
        </w:rPr>
        <w:t xml:space="preserve"> </w:t>
      </w:r>
      <w:r w:rsidRPr="004C10EA">
        <w:rPr>
          <w:rStyle w:val="af7"/>
          <w:rFonts w:eastAsia="Guttman Hodes" w:hint="cs"/>
          <w:rtl/>
        </w:rPr>
        <w:t>(מא. סוד"ה שלא)</w:t>
      </w:r>
      <w:r w:rsidRPr="00BF6DCE">
        <w:rPr>
          <w:rFonts w:hint="cs"/>
          <w:rtl/>
        </w:rPr>
        <w:t xml:space="preserve"> </w:t>
      </w:r>
      <w:r w:rsidRPr="004C10EA">
        <w:rPr>
          <w:rStyle w:val="af9"/>
          <w:rFonts w:hint="cs"/>
          <w:rtl/>
        </w:rPr>
        <w:t>והתוס' בעירובין</w:t>
      </w:r>
      <w:r w:rsidRPr="00BF6DCE">
        <w:rPr>
          <w:rFonts w:hint="cs"/>
          <w:rtl/>
        </w:rPr>
        <w:t xml:space="preserve"> </w:t>
      </w:r>
      <w:r w:rsidRPr="004C10EA">
        <w:rPr>
          <w:rStyle w:val="af7"/>
          <w:rFonts w:eastAsia="Guttman Hodes" w:hint="cs"/>
          <w:rtl/>
        </w:rPr>
        <w:t>(מח. ד"ה רבי)</w:t>
      </w:r>
      <w:r w:rsidRPr="00BF6DCE">
        <w:rPr>
          <w:rFonts w:hint="cs"/>
          <w:rtl/>
        </w:rPr>
        <w:t xml:space="preserve"> דר"ע ו</w:t>
      </w:r>
      <w:r>
        <w:rPr>
          <w:rFonts w:hint="cs"/>
          <w:rtl/>
        </w:rPr>
        <w:t>רבי ישמעאל</w:t>
      </w:r>
      <w:r w:rsidRPr="00BF6DCE">
        <w:rPr>
          <w:rFonts w:hint="cs"/>
          <w:rtl/>
        </w:rPr>
        <w:t xml:space="preserve"> פירשו את דברי ת"ק</w:t>
      </w:r>
      <w:r>
        <w:rPr>
          <w:rFonts w:hint="cs"/>
          <w:rtl/>
        </w:rPr>
        <w:t xml:space="preserve">, וכ"כ </w:t>
      </w:r>
      <w:r w:rsidRPr="005775A6">
        <w:rPr>
          <w:rStyle w:val="af9"/>
          <w:rFonts w:hint="cs"/>
          <w:rtl/>
        </w:rPr>
        <w:t>רבינו יונה</w:t>
      </w:r>
      <w:r>
        <w:rPr>
          <w:rFonts w:hint="cs"/>
          <w:rtl/>
        </w:rPr>
        <w:t xml:space="preserve"> </w:t>
      </w:r>
      <w:r w:rsidRPr="005775A6">
        <w:rPr>
          <w:rStyle w:val="af7"/>
          <w:rFonts w:eastAsia="Guttman Hodes" w:hint="cs"/>
          <w:rtl/>
        </w:rPr>
        <w:t xml:space="preserve">(עי' אות </w:t>
      </w:r>
      <w:r w:rsidRPr="005775A6">
        <w:rPr>
          <w:rStyle w:val="af7"/>
          <w:rFonts w:eastAsia="Guttman Hodes"/>
          <w:rtl/>
        </w:rPr>
        <w:fldChar w:fldCharType="begin"/>
      </w:r>
      <w:r w:rsidRPr="005775A6">
        <w:rPr>
          <w:rStyle w:val="af7"/>
          <w:rFonts w:eastAsia="Guttman Hodes"/>
          <w:rtl/>
        </w:rPr>
        <w:instrText xml:space="preserve"> </w:instrText>
      </w:r>
      <w:r w:rsidRPr="005775A6">
        <w:rPr>
          <w:rStyle w:val="af7"/>
          <w:rFonts w:eastAsia="Guttman Hodes" w:hint="cs"/>
        </w:rPr>
        <w:instrText>REF</w:instrText>
      </w:r>
      <w:r w:rsidRPr="005775A6">
        <w:rPr>
          <w:rStyle w:val="af7"/>
          <w:rFonts w:eastAsia="Guttman Hodes" w:hint="cs"/>
          <w:rtl/>
        </w:rPr>
        <w:instrText xml:space="preserve"> _</w:instrText>
      </w:r>
      <w:r w:rsidRPr="005775A6">
        <w:rPr>
          <w:rStyle w:val="af7"/>
          <w:rFonts w:eastAsia="Guttman Hodes" w:hint="cs"/>
        </w:rPr>
        <w:instrText>Ref54200859 \r \h</w:instrText>
      </w:r>
      <w:r w:rsidRPr="005775A6">
        <w:rPr>
          <w:rStyle w:val="af7"/>
          <w:rFonts w:eastAsia="Guttman Hodes"/>
          <w:rtl/>
        </w:rPr>
        <w:instrText xml:space="preserve"> </w:instrText>
      </w:r>
      <w:r w:rsidRPr="005775A6">
        <w:rPr>
          <w:rStyle w:val="af7"/>
          <w:rFonts w:eastAsia="Guttman Hodes"/>
          <w:rtl/>
        </w:rPr>
      </w:r>
      <w:r w:rsidRPr="005775A6">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5775A6">
        <w:rPr>
          <w:rStyle w:val="af7"/>
          <w:rFonts w:eastAsia="Guttman Hodes"/>
          <w:rtl/>
        </w:rPr>
        <w:fldChar w:fldCharType="end"/>
      </w:r>
      <w:r>
        <w:rPr>
          <w:rFonts w:hint="cs"/>
          <w:rtl/>
        </w:rPr>
        <w:t xml:space="preserve">, ועי' במ"ש </w:t>
      </w:r>
      <w:r w:rsidRPr="0095059B">
        <w:rPr>
          <w:rStyle w:val="af9"/>
          <w:rFonts w:hint="cs"/>
          <w:rtl/>
        </w:rPr>
        <w:t>בחת"ס</w:t>
      </w:r>
      <w:r>
        <w:rPr>
          <w:rFonts w:hint="cs"/>
          <w:rtl/>
        </w:rPr>
        <w:t xml:space="preserve"> </w:t>
      </w:r>
      <w:r w:rsidRPr="0095059B">
        <w:rPr>
          <w:rStyle w:val="af7"/>
          <w:rFonts w:eastAsia="Guttman Hodes" w:hint="cs"/>
          <w:rtl/>
        </w:rPr>
        <w:t xml:space="preserve">(עי' אות </w:t>
      </w:r>
      <w:r w:rsidRPr="0095059B">
        <w:rPr>
          <w:rStyle w:val="af7"/>
          <w:rFonts w:eastAsia="Guttman Hodes"/>
          <w:rtl/>
        </w:rPr>
        <w:fldChar w:fldCharType="begin"/>
      </w:r>
      <w:r w:rsidRPr="0095059B">
        <w:rPr>
          <w:rStyle w:val="af7"/>
          <w:rFonts w:eastAsia="Guttman Hodes"/>
          <w:rtl/>
        </w:rPr>
        <w:instrText xml:space="preserve"> </w:instrText>
      </w:r>
      <w:r w:rsidRPr="0095059B">
        <w:rPr>
          <w:rStyle w:val="af7"/>
          <w:rFonts w:eastAsia="Guttman Hodes" w:hint="cs"/>
        </w:rPr>
        <w:instrText>REF</w:instrText>
      </w:r>
      <w:r w:rsidRPr="0095059B">
        <w:rPr>
          <w:rStyle w:val="af7"/>
          <w:rFonts w:eastAsia="Guttman Hodes" w:hint="cs"/>
          <w:rtl/>
        </w:rPr>
        <w:instrText xml:space="preserve"> _</w:instrText>
      </w:r>
      <w:r w:rsidRPr="0095059B">
        <w:rPr>
          <w:rStyle w:val="af7"/>
          <w:rFonts w:eastAsia="Guttman Hodes" w:hint="cs"/>
        </w:rPr>
        <w:instrText>Ref54799927 \r \h</w:instrText>
      </w:r>
      <w:r w:rsidRPr="0095059B">
        <w:rPr>
          <w:rStyle w:val="af7"/>
          <w:rFonts w:eastAsia="Guttman Hodes"/>
          <w:rtl/>
        </w:rPr>
        <w:instrText xml:space="preserve"> </w:instrText>
      </w:r>
      <w:r w:rsidRPr="0095059B">
        <w:rPr>
          <w:rStyle w:val="af7"/>
          <w:rFonts w:eastAsia="Guttman Hodes"/>
          <w:rtl/>
        </w:rPr>
      </w:r>
      <w:r w:rsidRPr="0095059B">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95059B">
        <w:rPr>
          <w:rStyle w:val="af7"/>
          <w:rFonts w:eastAsia="Guttman Hodes"/>
          <w:rtl/>
        </w:rPr>
        <w:fldChar w:fldCharType="end"/>
      </w:r>
      <w:r>
        <w:rPr>
          <w:rFonts w:hint="cs"/>
          <w:rtl/>
        </w:rPr>
        <w:t xml:space="preserve"> </w:t>
      </w:r>
      <w:r>
        <w:rPr>
          <w:rStyle w:val="af9"/>
          <w:rFonts w:hint="cs"/>
          <w:rtl/>
        </w:rPr>
        <w:t>ו</w:t>
      </w:r>
      <w:r w:rsidRPr="001E173B">
        <w:rPr>
          <w:rStyle w:val="af9"/>
          <w:rFonts w:hint="cs"/>
          <w:rtl/>
        </w:rPr>
        <w:t>בחי' רבי נחום</w:t>
      </w:r>
      <w:r>
        <w:rPr>
          <w:rFonts w:hint="cs"/>
          <w:rtl/>
        </w:rPr>
        <w:t xml:space="preserve"> </w:t>
      </w:r>
      <w:r w:rsidRPr="001E173B">
        <w:rPr>
          <w:rStyle w:val="af7"/>
          <w:rFonts w:eastAsia="Guttman Hodes" w:hint="cs"/>
          <w:rtl/>
        </w:rPr>
        <w:t xml:space="preserve">(עי' אות </w:t>
      </w:r>
      <w:r w:rsidRPr="001E173B">
        <w:rPr>
          <w:rStyle w:val="af7"/>
          <w:rFonts w:eastAsia="Guttman Hodes"/>
          <w:rtl/>
        </w:rPr>
        <w:fldChar w:fldCharType="begin"/>
      </w:r>
      <w:r w:rsidRPr="001E173B">
        <w:rPr>
          <w:rStyle w:val="af7"/>
          <w:rFonts w:eastAsia="Guttman Hodes"/>
          <w:rtl/>
        </w:rPr>
        <w:instrText xml:space="preserve"> </w:instrText>
      </w:r>
      <w:r w:rsidRPr="001E173B">
        <w:rPr>
          <w:rStyle w:val="af7"/>
          <w:rFonts w:eastAsia="Guttman Hodes" w:hint="cs"/>
        </w:rPr>
        <w:instrText>REF</w:instrText>
      </w:r>
      <w:r w:rsidRPr="001E173B">
        <w:rPr>
          <w:rStyle w:val="af7"/>
          <w:rFonts w:eastAsia="Guttman Hodes" w:hint="cs"/>
          <w:rtl/>
        </w:rPr>
        <w:instrText xml:space="preserve"> _</w:instrText>
      </w:r>
      <w:r w:rsidRPr="001E173B">
        <w:rPr>
          <w:rStyle w:val="af7"/>
          <w:rFonts w:eastAsia="Guttman Hodes" w:hint="cs"/>
        </w:rPr>
        <w:instrText>Ref54208788 \r \h</w:instrText>
      </w:r>
      <w:r w:rsidRPr="001E173B">
        <w:rPr>
          <w:rStyle w:val="af7"/>
          <w:rFonts w:eastAsia="Guttman Hodes"/>
          <w:rtl/>
        </w:rPr>
        <w:instrText xml:space="preserve"> </w:instrText>
      </w:r>
      <w:r w:rsidRPr="001E173B">
        <w:rPr>
          <w:rStyle w:val="af7"/>
          <w:rFonts w:eastAsia="Guttman Hodes"/>
          <w:rtl/>
        </w:rPr>
      </w:r>
      <w:r w:rsidRPr="001E173B">
        <w:rPr>
          <w:rStyle w:val="af7"/>
          <w:rFonts w:eastAsia="Guttman Hodes"/>
          <w:rtl/>
        </w:rPr>
        <w:fldChar w:fldCharType="separate"/>
      </w:r>
      <w:r w:rsidR="00265073">
        <w:rPr>
          <w:rStyle w:val="af7"/>
          <w:rFonts w:eastAsia="Guttman Hodes"/>
          <w:cs/>
        </w:rPr>
        <w:t>‎</w:t>
      </w:r>
      <w:r w:rsidR="00265073">
        <w:rPr>
          <w:rStyle w:val="af7"/>
          <w:rFonts w:eastAsia="Guttman Hodes"/>
          <w:rtl/>
        </w:rPr>
        <w:t>קא)</w:t>
      </w:r>
      <w:r w:rsidRPr="001E173B">
        <w:rPr>
          <w:rStyle w:val="af7"/>
          <w:rFonts w:eastAsia="Guttman Hodes"/>
          <w:rtl/>
        </w:rPr>
        <w:fldChar w:fldCharType="end"/>
      </w:r>
      <w:r w:rsidRPr="00BF6DCE">
        <w:rPr>
          <w:rFonts w:hint="cs"/>
          <w:rtl/>
        </w:rPr>
        <w:t>.</w:t>
      </w:r>
      <w:bookmarkEnd w:id="1239"/>
    </w:p>
    <w:p w:rsidR="00AB3447" w:rsidRDefault="00AB3447" w:rsidP="00AB3447">
      <w:pPr>
        <w:pStyle w:val="a3"/>
        <w:rPr>
          <w:rtl/>
        </w:rPr>
      </w:pPr>
      <w:bookmarkStart w:id="1240" w:name="_Toc54201286"/>
      <w:bookmarkStart w:id="1241" w:name="_Toc54210270"/>
      <w:r>
        <w:rPr>
          <w:rFonts w:hint="cs"/>
          <w:rtl/>
        </w:rPr>
        <w:t>דברי הרשב"ם דר"ע ור"י ביארו את רישא דמתני' דשדה הבעל חזקתה ג"ש שאינם מיום ליום</w:t>
      </w:r>
      <w:bookmarkEnd w:id="1240"/>
      <w:bookmarkEnd w:id="1241"/>
    </w:p>
    <w:p w:rsidR="00AB3447" w:rsidRDefault="00AB3447" w:rsidP="007E4E81">
      <w:pPr>
        <w:pStyle w:val="a0"/>
        <w:rPr>
          <w:rtl/>
        </w:rPr>
      </w:pPr>
      <w:r>
        <w:rPr>
          <w:rFonts w:hint="cs"/>
          <w:rtl/>
        </w:rPr>
        <w:t xml:space="preserve">בהא דאמר רב בגמ' לקמן </w:t>
      </w:r>
      <w:r w:rsidRPr="005B7B34">
        <w:rPr>
          <w:rStyle w:val="af7"/>
          <w:rFonts w:eastAsia="Guttman Hodes" w:hint="cs"/>
          <w:rtl/>
        </w:rPr>
        <w:t>(לו:)</w:t>
      </w:r>
      <w:r>
        <w:rPr>
          <w:rFonts w:hint="cs"/>
          <w:rtl/>
        </w:rPr>
        <w:t xml:space="preserve"> זו דברי ר"ע ורבי ישמעאל, אבל חכמים אומרים דהחזקה היא בג"ש מיום ליום, כתב </w:t>
      </w:r>
      <w:r w:rsidRPr="005B7B34">
        <w:rPr>
          <w:rStyle w:val="af9"/>
          <w:rFonts w:hint="cs"/>
          <w:rtl/>
        </w:rPr>
        <w:t>הרשב"ם לקמן</w:t>
      </w:r>
      <w:r>
        <w:rPr>
          <w:rFonts w:hint="cs"/>
          <w:rtl/>
        </w:rPr>
        <w:t xml:space="preserve"> </w:t>
      </w:r>
      <w:r w:rsidRPr="005B7B34">
        <w:rPr>
          <w:rStyle w:val="af7"/>
          <w:rFonts w:eastAsia="Guttman Hodes" w:hint="cs"/>
          <w:rtl/>
        </w:rPr>
        <w:t>(לו: ד"ה זו דברי)</w:t>
      </w:r>
      <w:r>
        <w:rPr>
          <w:rFonts w:hint="cs"/>
          <w:rtl/>
        </w:rPr>
        <w:t xml:space="preserve"> דדברי ר"ע ורבי ישמעאל היינו רישא דמתני' דשדה הבעל חזקתה ג"ש ואינם מיום ליום, וביארו ר"ע ורבי ישמעאל דצריך י</w:t>
      </w:r>
      <w:r>
        <w:rPr>
          <w:rtl/>
        </w:rPr>
        <w:t>"</w:t>
      </w:r>
      <w:r>
        <w:rPr>
          <w:rFonts w:hint="cs"/>
          <w:rtl/>
        </w:rPr>
        <w:t>ד או י"ח חודשים.</w:t>
      </w:r>
    </w:p>
    <w:p w:rsidR="00AB3447" w:rsidRPr="00F46455" w:rsidRDefault="00AB3447" w:rsidP="00AB3447">
      <w:pPr>
        <w:pStyle w:val="a3"/>
      </w:pPr>
      <w:bookmarkStart w:id="1242" w:name="_Toc54201287"/>
      <w:bookmarkStart w:id="1243" w:name="_Toc54210271"/>
      <w:r>
        <w:rPr>
          <w:rFonts w:hint="cs"/>
          <w:rtl/>
        </w:rPr>
        <w:t>דברי הרשב"ם דלרבנן בגמ' לקמן חזקת ג"ש מיום ליום דטעמא דחזקה דעד ג"ש נזהר בשטרו</w:t>
      </w:r>
      <w:bookmarkEnd w:id="1242"/>
      <w:bookmarkEnd w:id="1243"/>
    </w:p>
    <w:p w:rsidR="00AB3447" w:rsidRDefault="00AB3447" w:rsidP="007E4E81">
      <w:pPr>
        <w:pStyle w:val="a0"/>
        <w:rPr>
          <w:rtl/>
        </w:rPr>
      </w:pPr>
      <w:bookmarkStart w:id="1244" w:name="_Ref54196144"/>
      <w:r>
        <w:rPr>
          <w:rFonts w:hint="cs"/>
          <w:rtl/>
        </w:rPr>
        <w:t xml:space="preserve">אבל לדעת חכמים שהביא רב, כתב </w:t>
      </w:r>
      <w:r w:rsidRPr="005B7B34">
        <w:rPr>
          <w:rStyle w:val="af9"/>
          <w:rFonts w:hint="cs"/>
          <w:rtl/>
        </w:rPr>
        <w:t>הרשב"ם לקמן</w:t>
      </w:r>
      <w:r>
        <w:rPr>
          <w:rFonts w:hint="cs"/>
          <w:rtl/>
        </w:rPr>
        <w:t xml:space="preserve"> דהחזקה היא בג"ש מיום ליום, וכתב </w:t>
      </w:r>
      <w:r w:rsidRPr="005B7B34">
        <w:rPr>
          <w:rStyle w:val="af9"/>
          <w:rFonts w:hint="cs"/>
          <w:rtl/>
        </w:rPr>
        <w:t xml:space="preserve">הרשב"ם </w:t>
      </w:r>
      <w:r>
        <w:rPr>
          <w:rFonts w:hint="cs"/>
          <w:rtl/>
        </w:rPr>
        <w:t xml:space="preserve">דהא דאמר רבא </w:t>
      </w:r>
      <w:r w:rsidRPr="004C10EA">
        <w:rPr>
          <w:rStyle w:val="af7"/>
          <w:rFonts w:eastAsia="Guttman Hodes" w:hint="cs"/>
          <w:rtl/>
        </w:rPr>
        <w:t>(כח.)</w:t>
      </w:r>
      <w:r>
        <w:rPr>
          <w:rFonts w:hint="cs"/>
          <w:rtl/>
        </w:rPr>
        <w:t xml:space="preserve"> דטעמא דחזקה הוא דעד ג"ש הלוקח נזהר בשטרו, היינו אליבא דרבנן שהביא רב, כדמוכח בגמ' לקמן דלרבנן לא אזלינן בתר לקיטת ג' פירות של ג"ש, </w:t>
      </w:r>
      <w:r w:rsidRPr="005B7B34">
        <w:rPr>
          <w:rStyle w:val="afb"/>
          <w:rFonts w:hint="cs"/>
          <w:rtl/>
        </w:rPr>
        <w:t>[כדברי רבנן שהביא שמואל בגמ' לקמן</w:t>
      </w:r>
      <w:r>
        <w:rPr>
          <w:rStyle w:val="afb"/>
          <w:rFonts w:hint="cs"/>
          <w:rtl/>
        </w:rPr>
        <w:t xml:space="preserve"> </w:t>
      </w:r>
      <w:r w:rsidRPr="005B7B34">
        <w:rPr>
          <w:rStyle w:val="aff6"/>
          <w:rFonts w:hint="cs"/>
          <w:rtl/>
        </w:rPr>
        <w:t>(לו:)</w:t>
      </w:r>
      <w:r w:rsidRPr="005B7B34">
        <w:rPr>
          <w:rStyle w:val="afb"/>
          <w:rFonts w:hint="cs"/>
          <w:rtl/>
        </w:rPr>
        <w:t>],</w:t>
      </w:r>
      <w:r>
        <w:rPr>
          <w:rFonts w:hint="cs"/>
          <w:rtl/>
        </w:rPr>
        <w:t xml:space="preserve"> אלא צריך ג"ש שלימות בכל דבר, כיון דאין אדם נזהר בשטרו יותר מג"ש, וכן דעת </w:t>
      </w:r>
      <w:r w:rsidRPr="005775A6">
        <w:rPr>
          <w:rStyle w:val="af9"/>
          <w:rFonts w:hint="cs"/>
          <w:rtl/>
        </w:rPr>
        <w:t>רבינו יונה</w:t>
      </w:r>
      <w:r>
        <w:rPr>
          <w:rFonts w:hint="cs"/>
          <w:rtl/>
        </w:rPr>
        <w:t xml:space="preserve"> </w:t>
      </w:r>
      <w:r w:rsidRPr="005775A6">
        <w:rPr>
          <w:rStyle w:val="af7"/>
          <w:rFonts w:eastAsia="Guttman Hodes" w:hint="cs"/>
          <w:rtl/>
        </w:rPr>
        <w:t xml:space="preserve">(עי' אות </w:t>
      </w:r>
      <w:r w:rsidRPr="005775A6">
        <w:rPr>
          <w:rStyle w:val="af7"/>
          <w:rFonts w:eastAsia="Guttman Hodes"/>
          <w:rtl/>
        </w:rPr>
        <w:fldChar w:fldCharType="begin"/>
      </w:r>
      <w:r w:rsidRPr="005775A6">
        <w:rPr>
          <w:rStyle w:val="af7"/>
          <w:rFonts w:eastAsia="Guttman Hodes"/>
          <w:rtl/>
        </w:rPr>
        <w:instrText xml:space="preserve"> </w:instrText>
      </w:r>
      <w:r w:rsidRPr="005775A6">
        <w:rPr>
          <w:rStyle w:val="af7"/>
          <w:rFonts w:eastAsia="Guttman Hodes" w:hint="cs"/>
        </w:rPr>
        <w:instrText>REF</w:instrText>
      </w:r>
      <w:r w:rsidRPr="005775A6">
        <w:rPr>
          <w:rStyle w:val="af7"/>
          <w:rFonts w:eastAsia="Guttman Hodes" w:hint="cs"/>
          <w:rtl/>
        </w:rPr>
        <w:instrText xml:space="preserve"> _</w:instrText>
      </w:r>
      <w:r w:rsidRPr="005775A6">
        <w:rPr>
          <w:rStyle w:val="af7"/>
          <w:rFonts w:eastAsia="Guttman Hodes" w:hint="cs"/>
        </w:rPr>
        <w:instrText>Ref54200827 \r \h</w:instrText>
      </w:r>
      <w:r w:rsidRPr="005775A6">
        <w:rPr>
          <w:rStyle w:val="af7"/>
          <w:rFonts w:eastAsia="Guttman Hodes"/>
          <w:rtl/>
        </w:rPr>
        <w:instrText xml:space="preserve"> </w:instrText>
      </w:r>
      <w:r w:rsidRPr="005775A6">
        <w:rPr>
          <w:rStyle w:val="af7"/>
          <w:rFonts w:eastAsia="Guttman Hodes"/>
          <w:rtl/>
        </w:rPr>
      </w:r>
      <w:r w:rsidRPr="005775A6">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5775A6">
        <w:rPr>
          <w:rStyle w:val="af7"/>
          <w:rFonts w:eastAsia="Guttman Hodes"/>
          <w:rtl/>
        </w:rPr>
        <w:fldChar w:fldCharType="end"/>
      </w:r>
      <w:r>
        <w:rPr>
          <w:rFonts w:hint="cs"/>
          <w:rtl/>
        </w:rPr>
        <w:t>.</w:t>
      </w:r>
      <w:bookmarkEnd w:id="1244"/>
    </w:p>
    <w:p w:rsidR="00AB3447" w:rsidRPr="005F3B97" w:rsidRDefault="00AB3447" w:rsidP="00AB3447">
      <w:pPr>
        <w:pStyle w:val="a3"/>
        <w:rPr>
          <w:rtl/>
        </w:rPr>
      </w:pPr>
    </w:p>
    <w:p w:rsidR="00AB3447" w:rsidRPr="005F3B97" w:rsidRDefault="00AB3447" w:rsidP="00AB3447">
      <w:pPr>
        <w:pStyle w:val="a3"/>
      </w:pPr>
    </w:p>
    <w:p w:rsidR="00AB3447" w:rsidRPr="002A215D" w:rsidRDefault="00AB3447" w:rsidP="00AB3447">
      <w:pPr>
        <w:pStyle w:val="a3"/>
        <w:rPr>
          <w:rtl/>
        </w:rPr>
      </w:pPr>
      <w:bookmarkStart w:id="1245" w:name="_Toc54201288"/>
      <w:bookmarkStart w:id="1246" w:name="_Toc54210272"/>
      <w:r>
        <w:rPr>
          <w:rFonts w:hint="cs"/>
          <w:rtl/>
        </w:rPr>
        <w:t>דברי הריטב"א דמשמעות לשון המשנה וכן לשון הגמ' לקמן דת"ק כר"י ור"ע</w:t>
      </w:r>
      <w:bookmarkEnd w:id="1245"/>
      <w:bookmarkEnd w:id="1246"/>
    </w:p>
    <w:p w:rsidR="00AB3447" w:rsidRPr="00AA2187" w:rsidRDefault="00AB3447" w:rsidP="007E4E81">
      <w:pPr>
        <w:pStyle w:val="a0"/>
        <w:rPr>
          <w:rtl/>
        </w:rPr>
      </w:pPr>
      <w:r>
        <w:rPr>
          <w:rFonts w:hint="cs"/>
          <w:rtl/>
        </w:rPr>
        <w:t xml:space="preserve">וכתב </w:t>
      </w:r>
      <w:r w:rsidRPr="005B7B34">
        <w:rPr>
          <w:rStyle w:val="af9"/>
          <w:rFonts w:hint="cs"/>
          <w:rtl/>
        </w:rPr>
        <w:t>הריטב"א לקמן</w:t>
      </w:r>
      <w:r>
        <w:rPr>
          <w:rFonts w:hint="cs"/>
          <w:rtl/>
        </w:rPr>
        <w:t xml:space="preserve"> </w:t>
      </w:r>
      <w:r w:rsidRPr="005B7B34">
        <w:rPr>
          <w:rStyle w:val="af7"/>
          <w:rFonts w:eastAsia="Guttman Hodes" w:hint="cs"/>
          <w:rtl/>
        </w:rPr>
        <w:t>(לו. ד"ה מתני')</w:t>
      </w:r>
      <w:r>
        <w:rPr>
          <w:rFonts w:hint="cs"/>
          <w:rtl/>
        </w:rPr>
        <w:t xml:space="preserve"> דכדברי </w:t>
      </w:r>
      <w:r w:rsidRPr="005B7B34">
        <w:rPr>
          <w:rStyle w:val="af9"/>
          <w:rFonts w:hint="cs"/>
          <w:rtl/>
        </w:rPr>
        <w:t>רש"י</w:t>
      </w:r>
      <w:r>
        <w:rPr>
          <w:rFonts w:hint="cs"/>
          <w:rtl/>
        </w:rPr>
        <w:t xml:space="preserve"> </w:t>
      </w:r>
      <w:r w:rsidRPr="00F46455">
        <w:rPr>
          <w:rStyle w:val="af7"/>
          <w:rFonts w:eastAsia="Guttman Hodes" w:hint="cs"/>
          <w:rtl/>
        </w:rPr>
        <w:t xml:space="preserve">(עי' אות </w:t>
      </w:r>
      <w:r w:rsidRPr="00F46455">
        <w:rPr>
          <w:rStyle w:val="af7"/>
          <w:rFonts w:eastAsia="Guttman Hodes"/>
          <w:rtl/>
        </w:rPr>
        <w:fldChar w:fldCharType="begin"/>
      </w:r>
      <w:r w:rsidRPr="00F46455">
        <w:rPr>
          <w:rStyle w:val="af7"/>
          <w:rFonts w:eastAsia="Guttman Hodes"/>
          <w:rtl/>
        </w:rPr>
        <w:instrText xml:space="preserve"> </w:instrText>
      </w:r>
      <w:r w:rsidRPr="00F46455">
        <w:rPr>
          <w:rStyle w:val="af7"/>
          <w:rFonts w:eastAsia="Guttman Hodes" w:hint="cs"/>
        </w:rPr>
        <w:instrText>REF</w:instrText>
      </w:r>
      <w:r w:rsidRPr="00F46455">
        <w:rPr>
          <w:rStyle w:val="af7"/>
          <w:rFonts w:eastAsia="Guttman Hodes" w:hint="cs"/>
          <w:rtl/>
        </w:rPr>
        <w:instrText xml:space="preserve"> _</w:instrText>
      </w:r>
      <w:r w:rsidRPr="00F46455">
        <w:rPr>
          <w:rStyle w:val="af7"/>
          <w:rFonts w:eastAsia="Guttman Hodes" w:hint="cs"/>
        </w:rPr>
        <w:instrText>Ref54195925 \r \h</w:instrText>
      </w:r>
      <w:r w:rsidRPr="00F46455">
        <w:rPr>
          <w:rStyle w:val="af7"/>
          <w:rFonts w:eastAsia="Guttman Hodes"/>
          <w:rtl/>
        </w:rPr>
        <w:instrText xml:space="preserve"> </w:instrText>
      </w:r>
      <w:r w:rsidRPr="00F46455">
        <w:rPr>
          <w:rStyle w:val="af7"/>
          <w:rFonts w:eastAsia="Guttman Hodes"/>
          <w:rtl/>
        </w:rPr>
      </w:r>
      <w:r w:rsidRPr="00F46455">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F46455">
        <w:rPr>
          <w:rStyle w:val="af7"/>
          <w:rFonts w:eastAsia="Guttman Hodes"/>
          <w:rtl/>
        </w:rPr>
        <w:fldChar w:fldCharType="end"/>
      </w:r>
      <w:r>
        <w:rPr>
          <w:rFonts w:hint="cs"/>
          <w:rtl/>
        </w:rPr>
        <w:t xml:space="preserve"> כן משמע מלשון רבי ישמעאל דלא אמר "ה"ז חזקה", ומשמע דכוונתו לבאר את החזקה שאמר ת"ק, וכן משמע מלשון רב ושמואל לקמן </w:t>
      </w:r>
      <w:r w:rsidRPr="005B7B34">
        <w:rPr>
          <w:rStyle w:val="af7"/>
          <w:rFonts w:eastAsia="Guttman Hodes" w:hint="cs"/>
          <w:rtl/>
        </w:rPr>
        <w:t>(לו:)</w:t>
      </w:r>
      <w:r>
        <w:rPr>
          <w:rFonts w:hint="cs"/>
          <w:rtl/>
        </w:rPr>
        <w:t xml:space="preserve"> דאמרו זו דברי רבי ישמעאל, ומשמע דכוונתם דמתני' היא כרבי ישמעאל.</w:t>
      </w:r>
    </w:p>
    <w:p w:rsidR="00AB3447" w:rsidRPr="006A329E" w:rsidRDefault="00AB3447" w:rsidP="00AB3447">
      <w:pPr>
        <w:pStyle w:val="a3"/>
      </w:pPr>
      <w:bookmarkStart w:id="1247" w:name="_Toc54201289"/>
      <w:bookmarkStart w:id="1248" w:name="_Toc54210273"/>
      <w:r>
        <w:rPr>
          <w:rFonts w:hint="cs"/>
          <w:rtl/>
        </w:rPr>
        <w:t>ביאור הרשב"א ברש"י דהא דאיתא בגמ' לקמן דרבנן פליגי היינו רבנן דלקמן ולא לת"ק דמתני'</w:t>
      </w:r>
      <w:bookmarkEnd w:id="1247"/>
      <w:bookmarkEnd w:id="1248"/>
    </w:p>
    <w:p w:rsidR="00AB3447" w:rsidRDefault="00AB3447" w:rsidP="007E4E81">
      <w:pPr>
        <w:pStyle w:val="a0"/>
        <w:rPr>
          <w:rtl/>
        </w:rPr>
      </w:pPr>
      <w:r>
        <w:rPr>
          <w:rFonts w:hint="cs"/>
          <w:rtl/>
        </w:rPr>
        <w:t xml:space="preserve">וכתב </w:t>
      </w:r>
      <w:r w:rsidRPr="00F46455">
        <w:rPr>
          <w:rStyle w:val="af9"/>
          <w:rFonts w:hint="cs"/>
          <w:rtl/>
        </w:rPr>
        <w:t>הרשב"א</w:t>
      </w:r>
      <w:r>
        <w:rPr>
          <w:rFonts w:hint="cs"/>
          <w:rtl/>
        </w:rPr>
        <w:t xml:space="preserve"> דלפי דברי </w:t>
      </w:r>
      <w:r w:rsidRPr="00F46455">
        <w:rPr>
          <w:rStyle w:val="af9"/>
          <w:rFonts w:hint="cs"/>
          <w:rtl/>
        </w:rPr>
        <w:t>רש"י</w:t>
      </w:r>
      <w:r>
        <w:rPr>
          <w:rFonts w:hint="cs"/>
          <w:rtl/>
        </w:rPr>
        <w:t xml:space="preserve"> הא דאיתא בגמ' לקמן </w:t>
      </w:r>
      <w:r w:rsidRPr="00F46455">
        <w:rPr>
          <w:rStyle w:val="af7"/>
          <w:rFonts w:eastAsia="Guttman Hodes" w:hint="cs"/>
          <w:rtl/>
        </w:rPr>
        <w:t>(לו:)</w:t>
      </w:r>
      <w:r>
        <w:rPr>
          <w:rFonts w:hint="cs"/>
          <w:rtl/>
        </w:rPr>
        <w:t xml:space="preserve"> דחכמים פליגי על ר"ע ורבי ישמעאל, אין הכוונה לת"ק דמתני', דכל המשנה היא לפי דעת ר"ע ורבי ישמעאל.</w:t>
      </w:r>
    </w:p>
    <w:p w:rsidR="00AB3447" w:rsidRPr="00431B2B" w:rsidRDefault="00AB3447" w:rsidP="00AB3447">
      <w:pPr>
        <w:pStyle w:val="1"/>
        <w:rPr>
          <w:rtl/>
        </w:rPr>
      </w:pPr>
      <w:bookmarkStart w:id="1249" w:name="_Toc54201290"/>
      <w:bookmarkStart w:id="1250" w:name="_Toc54210274"/>
      <w:r>
        <w:rPr>
          <w:rFonts w:hint="cs"/>
          <w:rtl/>
        </w:rPr>
        <w:t>ביאור הרשב"א ברש"י דלרבנן לעולם צריך ג"ש מחמת השטר</w:t>
      </w:r>
      <w:bookmarkEnd w:id="1249"/>
      <w:bookmarkEnd w:id="1250"/>
    </w:p>
    <w:p w:rsidR="00AB3447" w:rsidRPr="00541899" w:rsidRDefault="00AB3447" w:rsidP="00AB3447">
      <w:pPr>
        <w:pStyle w:val="a3"/>
      </w:pPr>
      <w:bookmarkStart w:id="1251" w:name="_Toc54201291"/>
      <w:bookmarkStart w:id="1252" w:name="_Toc54210275"/>
      <w:r>
        <w:rPr>
          <w:rFonts w:hint="cs"/>
          <w:rtl/>
        </w:rPr>
        <w:t>ביאור הרשב"א ברש"י דלא קיי"ל כת"ק דמתני' דלרבנן צריך ג"ש אף באינה עושה פירות תדיר</w:t>
      </w:r>
      <w:bookmarkEnd w:id="1251"/>
      <w:bookmarkEnd w:id="1252"/>
      <w:r>
        <w:rPr>
          <w:rFonts w:hint="cs"/>
          <w:rtl/>
        </w:rPr>
        <w:t xml:space="preserve"> </w:t>
      </w:r>
    </w:p>
    <w:p w:rsidR="00AB3447" w:rsidRDefault="00AB3447" w:rsidP="007E4E81">
      <w:pPr>
        <w:pStyle w:val="a0"/>
        <w:rPr>
          <w:rtl/>
        </w:rPr>
      </w:pPr>
      <w:r>
        <w:rPr>
          <w:rFonts w:hint="cs"/>
          <w:rtl/>
        </w:rPr>
        <w:t xml:space="preserve">וכתב </w:t>
      </w:r>
      <w:r w:rsidRPr="00F46455">
        <w:rPr>
          <w:rStyle w:val="af9"/>
          <w:rFonts w:hint="cs"/>
          <w:rtl/>
        </w:rPr>
        <w:t>הרשב"א</w:t>
      </w:r>
      <w:r>
        <w:rPr>
          <w:rFonts w:hint="cs"/>
          <w:rtl/>
        </w:rPr>
        <w:t xml:space="preserve"> דא"כ לדעת </w:t>
      </w:r>
      <w:r w:rsidRPr="00D45C27">
        <w:rPr>
          <w:rStyle w:val="af9"/>
          <w:rFonts w:hint="cs"/>
          <w:rtl/>
        </w:rPr>
        <w:t>רש"י</w:t>
      </w:r>
      <w:r>
        <w:rPr>
          <w:rFonts w:hint="cs"/>
          <w:rtl/>
        </w:rPr>
        <w:t xml:space="preserve"> לא קיי"ל כמתני' כלל, ואין חילוק בין דבר שעושה פירות תדיר, לאינו עושה פירות תדיר, אלא כדעת חכמים בגמ' לקמן דבכל האופנים צריך ג"ש מיום ליום.</w:t>
      </w:r>
    </w:p>
    <w:p w:rsidR="00AB3447" w:rsidRDefault="00AB3447" w:rsidP="00AB3447">
      <w:pPr>
        <w:pStyle w:val="a3"/>
        <w:rPr>
          <w:rtl/>
        </w:rPr>
      </w:pPr>
      <w:bookmarkStart w:id="1253" w:name="_Toc54201292"/>
      <w:bookmarkStart w:id="1254" w:name="_Toc54210276"/>
      <w:r>
        <w:rPr>
          <w:rFonts w:hint="cs"/>
          <w:rtl/>
        </w:rPr>
        <w:t>ביאור הרשב"א ברש"י דטעמא דחזקה דעד ג"ש נזהר בשטר היינו לרבנן לקמן אליבא דרב</w:t>
      </w:r>
      <w:bookmarkEnd w:id="1253"/>
      <w:bookmarkEnd w:id="1254"/>
    </w:p>
    <w:p w:rsidR="00AB3447" w:rsidRDefault="00AB3447" w:rsidP="007E4E81">
      <w:pPr>
        <w:pStyle w:val="a0"/>
        <w:rPr>
          <w:rtl/>
        </w:rPr>
      </w:pPr>
      <w:r>
        <w:rPr>
          <w:rFonts w:hint="cs"/>
          <w:rtl/>
        </w:rPr>
        <w:t xml:space="preserve">וכתב </w:t>
      </w:r>
      <w:r w:rsidRPr="00F46455">
        <w:rPr>
          <w:rStyle w:val="af9"/>
          <w:rFonts w:hint="cs"/>
          <w:rtl/>
        </w:rPr>
        <w:t>הרשב"א</w:t>
      </w:r>
      <w:r>
        <w:rPr>
          <w:rFonts w:hint="cs"/>
          <w:rtl/>
        </w:rPr>
        <w:t xml:space="preserve"> </w:t>
      </w:r>
      <w:r w:rsidRPr="001F08C7">
        <w:rPr>
          <w:rStyle w:val="af7"/>
          <w:rFonts w:eastAsia="Guttman Hodes" w:hint="cs"/>
          <w:rtl/>
        </w:rPr>
        <w:t>(ד"ה ורבא)</w:t>
      </w:r>
      <w:r>
        <w:rPr>
          <w:rFonts w:hint="cs"/>
          <w:rtl/>
        </w:rPr>
        <w:t xml:space="preserve"> דלדעת </w:t>
      </w:r>
      <w:r w:rsidRPr="00F46455">
        <w:rPr>
          <w:rStyle w:val="af9"/>
          <w:rFonts w:hint="cs"/>
          <w:rtl/>
        </w:rPr>
        <w:t>רש"י</w:t>
      </w:r>
      <w:r>
        <w:rPr>
          <w:rFonts w:hint="cs"/>
          <w:rtl/>
        </w:rPr>
        <w:t xml:space="preserve"> רבא דביאר דטעמא דחזקה, הוא כיון דעד ג"ש המחזיק נזהר בשטרו, היינו לדעת חכמים דנחלקו על ר"ע ורבי ישמעאל, דס"ל לרבא כוותייהו, וא"כ לא קיי"ל כשמואל דאמר בגמ' לקמן </w:t>
      </w:r>
      <w:r w:rsidRPr="0003415E">
        <w:rPr>
          <w:rStyle w:val="af7"/>
          <w:rFonts w:eastAsia="Guttman Hodes" w:hint="cs"/>
          <w:rtl/>
        </w:rPr>
        <w:t>(לו:)</w:t>
      </w:r>
      <w:r>
        <w:rPr>
          <w:rFonts w:hint="cs"/>
          <w:rtl/>
        </w:rPr>
        <w:t xml:space="preserve"> דבדקל נערה שעושה פירות פעמיים בשנה חזקתו בג' גדירות, אלא קיי</w:t>
      </w:r>
      <w:r w:rsidRPr="007130E1">
        <w:rPr>
          <w:rFonts w:hint="cs"/>
          <w:rtl/>
        </w:rPr>
        <w:t xml:space="preserve">"ל כרב דחזקתו ג"ש מיום ליום, דרב כרבא דטעמא דחזקה הוא דעד ג"ש המחזיק נזהר בשטרו, והביא </w:t>
      </w:r>
      <w:r w:rsidRPr="004834F4">
        <w:rPr>
          <w:rStyle w:val="af9"/>
          <w:rFonts w:hint="cs"/>
          <w:rtl/>
        </w:rPr>
        <w:t>הרשב"א</w:t>
      </w:r>
      <w:r w:rsidRPr="007130E1">
        <w:rPr>
          <w:rFonts w:hint="cs"/>
          <w:rtl/>
        </w:rPr>
        <w:t xml:space="preserve"> דכ"כ </w:t>
      </w:r>
      <w:r w:rsidRPr="0067178C">
        <w:rPr>
          <w:rStyle w:val="afb"/>
          <w:rFonts w:hint="cs"/>
          <w:rtl/>
        </w:rPr>
        <w:t xml:space="preserve">(ר"ח </w:t>
      </w:r>
      <w:r w:rsidRPr="0067178C">
        <w:rPr>
          <w:rStyle w:val="aff6"/>
          <w:rFonts w:hint="cs"/>
          <w:rtl/>
        </w:rPr>
        <w:t xml:space="preserve">(עי' אות </w:t>
      </w:r>
      <w:r w:rsidRPr="0067178C">
        <w:rPr>
          <w:rStyle w:val="aff6"/>
          <w:rtl/>
        </w:rPr>
        <w:fldChar w:fldCharType="begin"/>
      </w:r>
      <w:r w:rsidRPr="0067178C">
        <w:rPr>
          <w:rStyle w:val="aff6"/>
          <w:rtl/>
        </w:rPr>
        <w:instrText xml:space="preserve"> </w:instrText>
      </w:r>
      <w:r w:rsidRPr="0067178C">
        <w:rPr>
          <w:rStyle w:val="aff6"/>
          <w:rFonts w:hint="cs"/>
        </w:rPr>
        <w:instrText>REF</w:instrText>
      </w:r>
      <w:r w:rsidRPr="0067178C">
        <w:rPr>
          <w:rStyle w:val="aff6"/>
          <w:rFonts w:hint="cs"/>
          <w:rtl/>
        </w:rPr>
        <w:instrText xml:space="preserve"> _</w:instrText>
      </w:r>
      <w:r w:rsidRPr="0067178C">
        <w:rPr>
          <w:rStyle w:val="aff6"/>
          <w:rFonts w:hint="cs"/>
        </w:rPr>
        <w:instrText>Ref54197908 \r \h</w:instrText>
      </w:r>
      <w:r w:rsidRPr="0067178C">
        <w:rPr>
          <w:rStyle w:val="aff6"/>
          <w:rtl/>
        </w:rPr>
        <w:instrText xml:space="preserve"> </w:instrText>
      </w:r>
      <w:r w:rsidRPr="0067178C">
        <w:rPr>
          <w:rStyle w:val="aff6"/>
          <w:rtl/>
        </w:rPr>
      </w:r>
      <w:r w:rsidRPr="0067178C">
        <w:rPr>
          <w:rStyle w:val="aff6"/>
          <w:rtl/>
        </w:rPr>
        <w:fldChar w:fldCharType="separate"/>
      </w:r>
      <w:r w:rsidR="00265073">
        <w:rPr>
          <w:rStyle w:val="aff6"/>
          <w:cs/>
        </w:rPr>
        <w:t>‎</w:t>
      </w:r>
      <w:r w:rsidR="00265073">
        <w:rPr>
          <w:rStyle w:val="aff6"/>
          <w:rtl/>
        </w:rPr>
        <w:t>עא)</w:t>
      </w:r>
      <w:r w:rsidRPr="0067178C">
        <w:rPr>
          <w:rStyle w:val="aff6"/>
          <w:rtl/>
        </w:rPr>
        <w:fldChar w:fldCharType="end"/>
      </w:r>
      <w:r w:rsidRPr="0067178C">
        <w:rPr>
          <w:rStyle w:val="afb"/>
          <w:rFonts w:hint="cs"/>
          <w:rtl/>
        </w:rPr>
        <w:t>)</w:t>
      </w:r>
      <w:r w:rsidRPr="007130E1">
        <w:rPr>
          <w:rFonts w:hint="cs"/>
          <w:rtl/>
        </w:rPr>
        <w:t xml:space="preserve"> [</w:t>
      </w:r>
      <w:r>
        <w:rPr>
          <w:rStyle w:val="af9"/>
          <w:rFonts w:hint="cs"/>
          <w:rtl/>
        </w:rPr>
        <w:t>ה</w:t>
      </w:r>
      <w:r w:rsidRPr="004834F4">
        <w:rPr>
          <w:rStyle w:val="af9"/>
          <w:rFonts w:hint="cs"/>
          <w:rtl/>
        </w:rPr>
        <w:t>רשב"ם</w:t>
      </w:r>
      <w:r w:rsidRPr="007130E1">
        <w:rPr>
          <w:rFonts w:hint="cs"/>
          <w:rtl/>
        </w:rPr>
        <w:t xml:space="preserve"> </w:t>
      </w:r>
      <w:r w:rsidRPr="004834F4">
        <w:rPr>
          <w:rStyle w:val="af7"/>
          <w:rFonts w:eastAsia="Guttman Hodes" w:hint="cs"/>
          <w:rtl/>
        </w:rPr>
        <w:t xml:space="preserve">(עי' אות </w:t>
      </w:r>
      <w:r w:rsidRPr="004834F4">
        <w:rPr>
          <w:rStyle w:val="af7"/>
          <w:rFonts w:eastAsia="Guttman Hodes"/>
          <w:rtl/>
        </w:rPr>
        <w:fldChar w:fldCharType="begin"/>
      </w:r>
      <w:r w:rsidRPr="004834F4">
        <w:rPr>
          <w:rStyle w:val="af7"/>
          <w:rFonts w:eastAsia="Guttman Hodes"/>
          <w:rtl/>
        </w:rPr>
        <w:instrText xml:space="preserve"> </w:instrText>
      </w:r>
      <w:r w:rsidRPr="004834F4">
        <w:rPr>
          <w:rStyle w:val="af7"/>
          <w:rFonts w:eastAsia="Guttman Hodes" w:hint="cs"/>
        </w:rPr>
        <w:instrText>REF</w:instrText>
      </w:r>
      <w:r w:rsidRPr="004834F4">
        <w:rPr>
          <w:rStyle w:val="af7"/>
          <w:rFonts w:eastAsia="Guttman Hodes" w:hint="cs"/>
          <w:rtl/>
        </w:rPr>
        <w:instrText xml:space="preserve"> _</w:instrText>
      </w:r>
      <w:r w:rsidRPr="004834F4">
        <w:rPr>
          <w:rStyle w:val="af7"/>
          <w:rFonts w:eastAsia="Guttman Hodes" w:hint="cs"/>
        </w:rPr>
        <w:instrText>Ref54196144 \r \h</w:instrText>
      </w:r>
      <w:r w:rsidRPr="004834F4">
        <w:rPr>
          <w:rStyle w:val="af7"/>
          <w:rFonts w:eastAsia="Guttman Hodes"/>
          <w:rtl/>
        </w:rPr>
        <w:instrText xml:space="preserve"> </w:instrText>
      </w:r>
      <w:r w:rsidRPr="004834F4">
        <w:rPr>
          <w:rStyle w:val="af7"/>
          <w:rFonts w:eastAsia="Guttman Hodes"/>
          <w:rtl/>
        </w:rPr>
      </w:r>
      <w:r w:rsidRPr="004834F4">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4834F4">
        <w:rPr>
          <w:rStyle w:val="af7"/>
          <w:rFonts w:eastAsia="Guttman Hodes"/>
          <w:rtl/>
        </w:rPr>
        <w:fldChar w:fldCharType="end"/>
      </w:r>
      <w:r w:rsidRPr="007130E1">
        <w:rPr>
          <w:rFonts w:hint="cs"/>
          <w:rtl/>
        </w:rPr>
        <w:t>] דמסתבר לומר כרב דהוא אליבא דחכמים, דלא אזלינן בתר אכילת הפירות אלא צריך ג"ש מיום ליום.</w:t>
      </w:r>
    </w:p>
    <w:p w:rsidR="00AB3447" w:rsidRPr="00E41BA9" w:rsidRDefault="00AB3447" w:rsidP="00AB3447">
      <w:pPr>
        <w:pStyle w:val="1"/>
        <w:rPr>
          <w:rtl/>
        </w:rPr>
      </w:pPr>
      <w:bookmarkStart w:id="1255" w:name="_Toc54201293"/>
      <w:bookmarkStart w:id="1256" w:name="_Toc54210277"/>
      <w:r>
        <w:rPr>
          <w:rFonts w:hint="cs"/>
          <w:rtl/>
        </w:rPr>
        <w:t>קושיות הראשונים על רש"י דלא משמע דת"ק כר"י</w:t>
      </w:r>
      <w:bookmarkEnd w:id="1255"/>
      <w:bookmarkEnd w:id="1256"/>
    </w:p>
    <w:p w:rsidR="00AB3447" w:rsidRDefault="00AB3447" w:rsidP="00AB3447">
      <w:pPr>
        <w:pStyle w:val="a3"/>
        <w:rPr>
          <w:rtl/>
        </w:rPr>
      </w:pPr>
      <w:bookmarkStart w:id="1257" w:name="_Toc54201294"/>
      <w:bookmarkStart w:id="1258" w:name="_Toc54210278"/>
      <w:r>
        <w:rPr>
          <w:rFonts w:hint="cs"/>
          <w:rtl/>
        </w:rPr>
        <w:t>דברי הרשב"א דדוחק לומר דהגמ' מקשה מ"ט דרבנן לקמן וכתב הרשב"א דאפשר לדחוק</w:t>
      </w:r>
      <w:bookmarkEnd w:id="1257"/>
      <w:bookmarkEnd w:id="1258"/>
    </w:p>
    <w:p w:rsidR="00AB3447" w:rsidRDefault="00AB3447" w:rsidP="007E4E81">
      <w:pPr>
        <w:pStyle w:val="a0"/>
        <w:rPr>
          <w:rtl/>
        </w:rPr>
      </w:pPr>
      <w:r>
        <w:rPr>
          <w:rFonts w:hint="cs"/>
          <w:rtl/>
        </w:rPr>
        <w:t xml:space="preserve">אך הקשה </w:t>
      </w:r>
      <w:r w:rsidRPr="004834F4">
        <w:rPr>
          <w:rStyle w:val="af9"/>
          <w:rFonts w:hint="cs"/>
          <w:rtl/>
        </w:rPr>
        <w:t>הרשב"א</w:t>
      </w:r>
      <w:r>
        <w:rPr>
          <w:rFonts w:hint="cs"/>
          <w:rtl/>
        </w:rPr>
        <w:t xml:space="preserve"> על דעת </w:t>
      </w:r>
      <w:r w:rsidRPr="005B7B34">
        <w:rPr>
          <w:rStyle w:val="af9"/>
          <w:rFonts w:hint="cs"/>
          <w:rtl/>
        </w:rPr>
        <w:t>רש"י</w:t>
      </w:r>
      <w:r>
        <w:rPr>
          <w:rFonts w:hint="cs"/>
          <w:rtl/>
        </w:rPr>
        <w:t xml:space="preserve"> </w:t>
      </w:r>
      <w:r w:rsidRPr="00F46455">
        <w:rPr>
          <w:rStyle w:val="af7"/>
          <w:rFonts w:eastAsia="Guttman Hodes" w:hint="cs"/>
          <w:rtl/>
        </w:rPr>
        <w:t xml:space="preserve">(עי' אות </w:t>
      </w:r>
      <w:r w:rsidRPr="00F46455">
        <w:rPr>
          <w:rStyle w:val="af7"/>
          <w:rFonts w:eastAsia="Guttman Hodes"/>
          <w:rtl/>
        </w:rPr>
        <w:fldChar w:fldCharType="begin"/>
      </w:r>
      <w:r w:rsidRPr="00F46455">
        <w:rPr>
          <w:rStyle w:val="af7"/>
          <w:rFonts w:eastAsia="Guttman Hodes"/>
          <w:rtl/>
        </w:rPr>
        <w:instrText xml:space="preserve"> </w:instrText>
      </w:r>
      <w:r w:rsidRPr="00F46455">
        <w:rPr>
          <w:rStyle w:val="af7"/>
          <w:rFonts w:eastAsia="Guttman Hodes" w:hint="cs"/>
        </w:rPr>
        <w:instrText>REF</w:instrText>
      </w:r>
      <w:r w:rsidRPr="00F46455">
        <w:rPr>
          <w:rStyle w:val="af7"/>
          <w:rFonts w:eastAsia="Guttman Hodes" w:hint="cs"/>
          <w:rtl/>
        </w:rPr>
        <w:instrText xml:space="preserve"> _</w:instrText>
      </w:r>
      <w:r w:rsidRPr="00F46455">
        <w:rPr>
          <w:rStyle w:val="af7"/>
          <w:rFonts w:eastAsia="Guttman Hodes" w:hint="cs"/>
        </w:rPr>
        <w:instrText>Ref54195925 \r \h</w:instrText>
      </w:r>
      <w:r w:rsidRPr="00F46455">
        <w:rPr>
          <w:rStyle w:val="af7"/>
          <w:rFonts w:eastAsia="Guttman Hodes"/>
          <w:rtl/>
        </w:rPr>
        <w:instrText xml:space="preserve"> </w:instrText>
      </w:r>
      <w:r w:rsidRPr="00F46455">
        <w:rPr>
          <w:rStyle w:val="af7"/>
          <w:rFonts w:eastAsia="Guttman Hodes"/>
          <w:rtl/>
        </w:rPr>
      </w:r>
      <w:r w:rsidRPr="00F46455">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F46455">
        <w:rPr>
          <w:rStyle w:val="af7"/>
          <w:rFonts w:eastAsia="Guttman Hodes"/>
          <w:rtl/>
        </w:rPr>
        <w:fldChar w:fldCharType="end"/>
      </w:r>
      <w:r>
        <w:rPr>
          <w:rFonts w:hint="cs"/>
          <w:rtl/>
        </w:rPr>
        <w:t xml:space="preserve"> דאי ת"ק דמתני' ס"ל כרבי ישמעאל, א"כ הא דמקשה הגמ' </w:t>
      </w:r>
      <w:r w:rsidRPr="00F9691A">
        <w:rPr>
          <w:rStyle w:val="af7"/>
          <w:rFonts w:eastAsia="Guttman Hodes" w:hint="cs"/>
          <w:rtl/>
        </w:rPr>
        <w:t>(כח:)</w:t>
      </w:r>
      <w:r>
        <w:rPr>
          <w:rFonts w:hint="cs"/>
          <w:rtl/>
        </w:rPr>
        <w:t xml:space="preserve"> מה הסברא בחזקה לדעת רבנן, אין הכוונה לרבנן דמתני' אלא לרבנן דרב שנחלקו על ר"ע ורבי ישמעאל, וע"ז ביאר רבא דטעמא דחזקה הוא דעד ג"ש המחזיק נזהר בשטרו, אבל רבנן דמתני' דבשדה הבעלצריך ג"ש ואינם מיום ליום, הם אליבא דר"ע ורבי ישמעאל, ודוחק טובא לומר דהגמ' מקשה מה הטעם של רבנן שעדיין לא הביאה את דעתם, </w:t>
      </w:r>
      <w:r w:rsidRPr="00F9691A">
        <w:rPr>
          <w:rStyle w:val="afb"/>
          <w:rFonts w:hint="cs"/>
          <w:rtl/>
        </w:rPr>
        <w:t xml:space="preserve">[וכן הקשה </w:t>
      </w:r>
      <w:r w:rsidRPr="00F9691A">
        <w:rPr>
          <w:rStyle w:val="affa"/>
          <w:rFonts w:hint="cs"/>
          <w:rtl/>
        </w:rPr>
        <w:t>הר"ן</w:t>
      </w:r>
      <w:r w:rsidRPr="00F9691A">
        <w:rPr>
          <w:rStyle w:val="afb"/>
          <w:rFonts w:hint="cs"/>
          <w:rtl/>
        </w:rPr>
        <w:t xml:space="preserve"> </w:t>
      </w:r>
      <w:r w:rsidRPr="00F9691A">
        <w:rPr>
          <w:rStyle w:val="aff6"/>
          <w:rFonts w:hint="cs"/>
          <w:rtl/>
        </w:rPr>
        <w:t>(ד"ה שדה)</w:t>
      </w:r>
      <w:r w:rsidRPr="00F9691A">
        <w:rPr>
          <w:rStyle w:val="afb"/>
          <w:rFonts w:hint="cs"/>
          <w:rtl/>
        </w:rPr>
        <w:t xml:space="preserve"> על </w:t>
      </w:r>
      <w:r w:rsidRPr="00F9691A">
        <w:rPr>
          <w:rStyle w:val="affa"/>
          <w:rFonts w:hint="cs"/>
          <w:rtl/>
        </w:rPr>
        <w:t>רש"י</w:t>
      </w:r>
      <w:r w:rsidRPr="00F9691A">
        <w:rPr>
          <w:rStyle w:val="afb"/>
          <w:rFonts w:hint="cs"/>
          <w:rtl/>
        </w:rPr>
        <w:t xml:space="preserve"> דבגמ' מוכח דרבנן נחלקו על ר"ע ורבי ישמעאל],</w:t>
      </w:r>
      <w:r>
        <w:rPr>
          <w:rFonts w:hint="cs"/>
          <w:rtl/>
        </w:rPr>
        <w:t xml:space="preserve"> וכתב </w:t>
      </w:r>
      <w:r w:rsidRPr="004834F4">
        <w:rPr>
          <w:rStyle w:val="af9"/>
          <w:rFonts w:hint="cs"/>
          <w:rtl/>
        </w:rPr>
        <w:t>הרשב"א</w:t>
      </w:r>
      <w:r>
        <w:rPr>
          <w:rFonts w:hint="cs"/>
          <w:rtl/>
        </w:rPr>
        <w:t xml:space="preserve"> דאפש"ל דכוונת הגמ' לומר דכיון דאמרינן דמאן הולכי אושא רבי ישמעאל, א"כ משמע שיש רבנן שנחלקו עליו, ועל דעתם מקשה הגמ' מאי טעמייהו.</w:t>
      </w:r>
    </w:p>
    <w:p w:rsidR="00AB3447" w:rsidRPr="00AA2187" w:rsidRDefault="00AB3447" w:rsidP="00AB3447">
      <w:pPr>
        <w:pStyle w:val="a3"/>
        <w:rPr>
          <w:rtl/>
        </w:rPr>
      </w:pPr>
      <w:bookmarkStart w:id="1259" w:name="_Toc54201295"/>
      <w:bookmarkStart w:id="1260" w:name="_Toc54210279"/>
      <w:r>
        <w:rPr>
          <w:rFonts w:hint="cs"/>
          <w:rtl/>
        </w:rPr>
        <w:t>קושית הריטב"א על רש"י דהול"ל לר"י לומר דא"צ ג"ש אלא ג' אכילות ולהוסיף דהוי חזקה</w:t>
      </w:r>
      <w:bookmarkEnd w:id="1259"/>
      <w:bookmarkEnd w:id="1260"/>
    </w:p>
    <w:p w:rsidR="00AB3447" w:rsidRDefault="00AB3447" w:rsidP="007E4E81">
      <w:pPr>
        <w:pStyle w:val="a0"/>
        <w:rPr>
          <w:rtl/>
        </w:rPr>
      </w:pPr>
      <w:r w:rsidRPr="00FC3888">
        <w:rPr>
          <w:rStyle w:val="af9"/>
          <w:rFonts w:hint="cs"/>
          <w:rtl/>
        </w:rPr>
        <w:t>והריטב"א לקמן</w:t>
      </w:r>
      <w:r>
        <w:rPr>
          <w:rFonts w:hint="cs"/>
          <w:rtl/>
        </w:rPr>
        <w:t xml:space="preserve"> </w:t>
      </w:r>
      <w:r w:rsidRPr="00FC3888">
        <w:rPr>
          <w:rStyle w:val="af7"/>
          <w:rFonts w:eastAsia="Guttman Hodes" w:hint="cs"/>
          <w:rtl/>
        </w:rPr>
        <w:t>(לו. ד"ה מתני')</w:t>
      </w:r>
      <w:r>
        <w:rPr>
          <w:rFonts w:hint="cs"/>
          <w:rtl/>
        </w:rPr>
        <w:t xml:space="preserve"> הקשה על </w:t>
      </w:r>
      <w:r w:rsidRPr="00FC3888">
        <w:rPr>
          <w:rStyle w:val="af9"/>
          <w:rFonts w:hint="cs"/>
          <w:rtl/>
        </w:rPr>
        <w:t>רש"י</w:t>
      </w:r>
      <w:r>
        <w:rPr>
          <w:rFonts w:hint="cs"/>
          <w:rtl/>
        </w:rPr>
        <w:t xml:space="preserve"> דא"כ היאך תנן ברישא דמתני' דצריך חזקת ג"ש, הא לרבי ישמעאל הול"ל דצריך ג' אכילות, ועוד דהיה רבי ישמעאל צריך להוסיף בסוף דבריו דהרי אלו ג"ש דהיינו שהם נחשבים כג"ש אעפ"י שאינם ג"ש. </w:t>
      </w:r>
    </w:p>
    <w:p w:rsidR="00AB3447" w:rsidRPr="005F3B97" w:rsidRDefault="00AB3447" w:rsidP="00AB3447">
      <w:pPr>
        <w:pStyle w:val="a3"/>
        <w:rPr>
          <w:rtl/>
        </w:rPr>
      </w:pPr>
    </w:p>
    <w:p w:rsidR="00AB3447" w:rsidRPr="005F3B97" w:rsidRDefault="00AB3447" w:rsidP="00AB3447">
      <w:pPr>
        <w:pStyle w:val="a3"/>
        <w:rPr>
          <w:rtl/>
        </w:rPr>
      </w:pPr>
    </w:p>
    <w:p w:rsidR="00AB3447" w:rsidRPr="009850FB" w:rsidRDefault="00AB3447" w:rsidP="00AB3447">
      <w:pPr>
        <w:pStyle w:val="a3"/>
        <w:rPr>
          <w:rtl/>
        </w:rPr>
      </w:pPr>
      <w:bookmarkStart w:id="1261" w:name="_Toc54201296"/>
      <w:bookmarkStart w:id="1262" w:name="_Toc54210280"/>
      <w:r>
        <w:rPr>
          <w:rFonts w:hint="cs"/>
          <w:rtl/>
        </w:rPr>
        <w:lastRenderedPageBreak/>
        <w:t>קושית הרשב"א על רש"י דא"כ רב ושמואל פליגי בעיקר דין חזקה ומה מקשה הגמ' מאי בינייהו</w:t>
      </w:r>
      <w:bookmarkEnd w:id="1261"/>
      <w:bookmarkEnd w:id="1262"/>
    </w:p>
    <w:p w:rsidR="00AB3447" w:rsidRDefault="00AB3447" w:rsidP="007E4E81">
      <w:pPr>
        <w:pStyle w:val="a0"/>
        <w:rPr>
          <w:rtl/>
        </w:rPr>
      </w:pPr>
      <w:r>
        <w:rPr>
          <w:rFonts w:hint="cs"/>
          <w:rtl/>
        </w:rPr>
        <w:t xml:space="preserve">ועוד הקשה </w:t>
      </w:r>
      <w:r w:rsidRPr="00FC3888">
        <w:rPr>
          <w:rStyle w:val="af9"/>
          <w:rFonts w:hint="cs"/>
          <w:rtl/>
        </w:rPr>
        <w:t>הרשב"א</w:t>
      </w:r>
      <w:r>
        <w:rPr>
          <w:rFonts w:hint="cs"/>
          <w:rtl/>
        </w:rPr>
        <w:t xml:space="preserve"> </w:t>
      </w:r>
      <w:r w:rsidRPr="00C0399E">
        <w:rPr>
          <w:rStyle w:val="af7"/>
          <w:rFonts w:eastAsia="Guttman Hodes" w:hint="cs"/>
          <w:rtl/>
        </w:rPr>
        <w:t xml:space="preserve">(ד"ה ומיהו) </w:t>
      </w:r>
      <w:r>
        <w:rPr>
          <w:rFonts w:hint="cs"/>
          <w:rtl/>
        </w:rPr>
        <w:t xml:space="preserve">דלפי דברי </w:t>
      </w:r>
      <w:r w:rsidRPr="00FC3888">
        <w:rPr>
          <w:rStyle w:val="af9"/>
          <w:rFonts w:hint="cs"/>
          <w:rtl/>
        </w:rPr>
        <w:t>רש"י</w:t>
      </w:r>
      <w:r>
        <w:rPr>
          <w:rFonts w:hint="cs"/>
          <w:rtl/>
        </w:rPr>
        <w:t xml:space="preserve"> רב ושמואל נחלקו בגמ' לקמן </w:t>
      </w:r>
      <w:r w:rsidRPr="00B44181">
        <w:rPr>
          <w:rStyle w:val="af7"/>
          <w:rFonts w:eastAsia="Guttman Hodes" w:hint="cs"/>
          <w:rtl/>
        </w:rPr>
        <w:t>(לו:)</w:t>
      </w:r>
      <w:r>
        <w:rPr>
          <w:rFonts w:hint="cs"/>
          <w:rtl/>
        </w:rPr>
        <w:t xml:space="preserve"> בעיקר דין החזקה, דלרב צריך ג"ש ולשמואל סגי אף בג' אכילות דהיינו ג' שנים מקוטעות, ומה מקשה הגמ' לקמן מאי בינייהו, ואמאי הוצרכה הגמ' להדחק דהנ"מ בין רב לשמואל הוא בדקל נערה.</w:t>
      </w:r>
    </w:p>
    <w:p w:rsidR="00AB3447" w:rsidRDefault="00AB3447" w:rsidP="00AB3447">
      <w:pPr>
        <w:pStyle w:val="afe"/>
        <w:rPr>
          <w:rtl/>
        </w:rPr>
      </w:pPr>
      <w:bookmarkStart w:id="1263" w:name="_Toc54201297"/>
      <w:bookmarkStart w:id="1264" w:name="_Toc54210281"/>
      <w:bookmarkStart w:id="1265" w:name="_Toc53934654"/>
      <w:bookmarkStart w:id="1266" w:name="_Toc53940589"/>
      <w:bookmarkStart w:id="1267" w:name="_Toc54177793"/>
      <w:r>
        <w:rPr>
          <w:rFonts w:hint="cs"/>
          <w:rtl/>
        </w:rPr>
        <w:t>דעת הסוברים דר"י פליג על ת"ק דמתני'</w:t>
      </w:r>
      <w:bookmarkEnd w:id="1263"/>
      <w:bookmarkEnd w:id="1264"/>
      <w:r>
        <w:rPr>
          <w:rFonts w:hint="cs"/>
          <w:rtl/>
        </w:rPr>
        <w:t xml:space="preserve"> </w:t>
      </w:r>
    </w:p>
    <w:p w:rsidR="00AB3447" w:rsidRPr="006107BF" w:rsidRDefault="00AB3447" w:rsidP="00AB3447">
      <w:pPr>
        <w:pStyle w:val="1"/>
        <w:rPr>
          <w:rtl/>
        </w:rPr>
      </w:pPr>
      <w:bookmarkStart w:id="1268" w:name="_Toc54201298"/>
      <w:bookmarkStart w:id="1269" w:name="_Toc54210282"/>
      <w:r>
        <w:rPr>
          <w:rFonts w:hint="cs"/>
          <w:rtl/>
        </w:rPr>
        <w:t>דעת הרי"ף והרשב"א</w:t>
      </w:r>
      <w:bookmarkEnd w:id="1265"/>
      <w:bookmarkEnd w:id="1266"/>
      <w:bookmarkEnd w:id="1267"/>
      <w:r>
        <w:rPr>
          <w:rFonts w:hint="cs"/>
          <w:rtl/>
        </w:rPr>
        <w:t xml:space="preserve"> דקיי"ל כת"ק דמתני' דפליג על ר"י</w:t>
      </w:r>
      <w:bookmarkEnd w:id="1268"/>
      <w:bookmarkEnd w:id="1269"/>
      <w:r>
        <w:rPr>
          <w:rFonts w:hint="cs"/>
          <w:rtl/>
        </w:rPr>
        <w:t xml:space="preserve"> </w:t>
      </w:r>
    </w:p>
    <w:p w:rsidR="00AB3447" w:rsidRDefault="00AB3447" w:rsidP="00AB3447">
      <w:pPr>
        <w:pStyle w:val="a3"/>
        <w:rPr>
          <w:rtl/>
        </w:rPr>
      </w:pPr>
      <w:bookmarkStart w:id="1270" w:name="_Toc54201299"/>
      <w:bookmarkStart w:id="1271" w:name="_Toc54210283"/>
      <w:r>
        <w:rPr>
          <w:rFonts w:hint="cs"/>
          <w:rtl/>
        </w:rPr>
        <w:t>ביאור הרשב"א ברי"ף דקיי"ל כרבנן דבאינה עושה פירות תדיר א"צ ג"ש מיום ליום וכשמואל</w:t>
      </w:r>
      <w:bookmarkEnd w:id="1270"/>
      <w:bookmarkEnd w:id="1271"/>
    </w:p>
    <w:p w:rsidR="00AB3447" w:rsidRDefault="00AB3447" w:rsidP="007E4E81">
      <w:pPr>
        <w:pStyle w:val="a0"/>
        <w:rPr>
          <w:rtl/>
        </w:rPr>
      </w:pPr>
      <w:bookmarkStart w:id="1272" w:name="_Ref54198838"/>
      <w:r>
        <w:rPr>
          <w:rFonts w:hint="cs"/>
          <w:rtl/>
        </w:rPr>
        <w:t xml:space="preserve">וכתב </w:t>
      </w:r>
      <w:r w:rsidRPr="005B7B34">
        <w:rPr>
          <w:rStyle w:val="af9"/>
          <w:rFonts w:hint="cs"/>
          <w:rtl/>
        </w:rPr>
        <w:t>הרשב"א</w:t>
      </w:r>
      <w:r>
        <w:rPr>
          <w:rFonts w:hint="cs"/>
          <w:rtl/>
        </w:rPr>
        <w:t xml:space="preserve"> </w:t>
      </w:r>
      <w:r w:rsidRPr="005B7B34">
        <w:rPr>
          <w:rStyle w:val="af7"/>
          <w:rFonts w:eastAsia="Guttman Hodes" w:hint="cs"/>
          <w:rtl/>
        </w:rPr>
        <w:t xml:space="preserve">(ד"ה </w:t>
      </w:r>
      <w:r>
        <w:rPr>
          <w:rStyle w:val="af7"/>
          <w:rFonts w:eastAsia="Guttman Hodes" w:hint="cs"/>
          <w:rtl/>
        </w:rPr>
        <w:t>ורוב</w:t>
      </w:r>
      <w:r w:rsidRPr="005B7B34">
        <w:rPr>
          <w:rStyle w:val="af7"/>
          <w:rFonts w:eastAsia="Guttman Hodes" w:hint="cs"/>
          <w:rtl/>
        </w:rPr>
        <w:t>)</w:t>
      </w:r>
      <w:r>
        <w:rPr>
          <w:rFonts w:hint="cs"/>
          <w:rtl/>
        </w:rPr>
        <w:t xml:space="preserve"> </w:t>
      </w:r>
      <w:r w:rsidRPr="005B7B34">
        <w:rPr>
          <w:rStyle w:val="af9"/>
          <w:rFonts w:hint="cs"/>
          <w:rtl/>
        </w:rPr>
        <w:t>דרוב הפוסקים והרי"ף</w:t>
      </w:r>
      <w:r>
        <w:rPr>
          <w:rFonts w:hint="cs"/>
          <w:rtl/>
        </w:rPr>
        <w:t xml:space="preserve"> </w:t>
      </w:r>
      <w:r w:rsidRPr="005B7B34">
        <w:rPr>
          <w:rStyle w:val="af7"/>
          <w:rFonts w:eastAsia="Guttman Hodes" w:hint="cs"/>
          <w:rtl/>
        </w:rPr>
        <w:t>(יד. מדה"ר)</w:t>
      </w:r>
      <w:r>
        <w:rPr>
          <w:rFonts w:hint="cs"/>
          <w:rtl/>
        </w:rPr>
        <w:t xml:space="preserve"> הביאו את מתני' להלכה, דיש חילוק בין עושה פירות תדיר לאינו עושה פירות תדיר, ועוד הביא </w:t>
      </w:r>
      <w:r w:rsidRPr="00ED7EFF">
        <w:rPr>
          <w:rStyle w:val="af9"/>
          <w:rFonts w:hint="cs"/>
          <w:rtl/>
        </w:rPr>
        <w:t>הרי"ף לקמן</w:t>
      </w:r>
      <w:r>
        <w:rPr>
          <w:rFonts w:hint="cs"/>
          <w:rtl/>
        </w:rPr>
        <w:t xml:space="preserve"> </w:t>
      </w:r>
      <w:r w:rsidRPr="00F46455">
        <w:rPr>
          <w:rStyle w:val="af7"/>
          <w:rFonts w:eastAsia="Guttman Hodes" w:hint="cs"/>
          <w:rtl/>
        </w:rPr>
        <w:t>(יט. מדה"ר)</w:t>
      </w:r>
      <w:r>
        <w:rPr>
          <w:rFonts w:hint="cs"/>
          <w:rtl/>
        </w:rPr>
        <w:t xml:space="preserve"> את דברי שמואל ולא הביא את דברי רב, כיון דהלכתא כשמואל בדיני, וביאר </w:t>
      </w:r>
      <w:r w:rsidRPr="00ED7EFF">
        <w:rPr>
          <w:rStyle w:val="af9"/>
          <w:rFonts w:hint="cs"/>
          <w:rtl/>
        </w:rPr>
        <w:t>הרשב"א</w:t>
      </w:r>
      <w:r>
        <w:rPr>
          <w:rFonts w:hint="cs"/>
          <w:rtl/>
        </w:rPr>
        <w:t xml:space="preserve"> דס"ל </w:t>
      </w:r>
      <w:r w:rsidRPr="00ED7EFF">
        <w:rPr>
          <w:rStyle w:val="af9"/>
          <w:rFonts w:hint="cs"/>
          <w:rtl/>
        </w:rPr>
        <w:t>להרי"ף</w:t>
      </w:r>
      <w:r>
        <w:rPr>
          <w:rFonts w:hint="cs"/>
          <w:rtl/>
        </w:rPr>
        <w:t xml:space="preserve"> דשמואל לא נחלק על רבא דטעמא דחזקה הוא דעד ג"ש אדם נזהר בשטרו, ועי' בדברי </w:t>
      </w:r>
      <w:r w:rsidRPr="005775A6">
        <w:rPr>
          <w:rStyle w:val="af9"/>
          <w:rFonts w:hint="cs"/>
          <w:rtl/>
        </w:rPr>
        <w:t>רבינו יונה</w:t>
      </w:r>
      <w:r>
        <w:rPr>
          <w:rFonts w:hint="cs"/>
          <w:rtl/>
        </w:rPr>
        <w:t xml:space="preserve"> </w:t>
      </w:r>
      <w:r w:rsidRPr="005775A6">
        <w:rPr>
          <w:rStyle w:val="af7"/>
          <w:rFonts w:eastAsia="Guttman Hodes" w:hint="cs"/>
          <w:rtl/>
        </w:rPr>
        <w:t xml:space="preserve">(עי' אות </w:t>
      </w:r>
      <w:r w:rsidRPr="005775A6">
        <w:rPr>
          <w:rStyle w:val="af7"/>
          <w:rFonts w:eastAsia="Guttman Hodes"/>
          <w:rtl/>
        </w:rPr>
        <w:fldChar w:fldCharType="begin"/>
      </w:r>
      <w:r w:rsidRPr="005775A6">
        <w:rPr>
          <w:rStyle w:val="af7"/>
          <w:rFonts w:eastAsia="Guttman Hodes"/>
          <w:rtl/>
        </w:rPr>
        <w:instrText xml:space="preserve"> </w:instrText>
      </w:r>
      <w:r w:rsidRPr="005775A6">
        <w:rPr>
          <w:rStyle w:val="af7"/>
          <w:rFonts w:eastAsia="Guttman Hodes" w:hint="cs"/>
        </w:rPr>
        <w:instrText>REF</w:instrText>
      </w:r>
      <w:r w:rsidRPr="005775A6">
        <w:rPr>
          <w:rStyle w:val="af7"/>
          <w:rFonts w:eastAsia="Guttman Hodes" w:hint="cs"/>
          <w:rtl/>
        </w:rPr>
        <w:instrText xml:space="preserve"> _</w:instrText>
      </w:r>
      <w:r w:rsidRPr="005775A6">
        <w:rPr>
          <w:rStyle w:val="af7"/>
          <w:rFonts w:eastAsia="Guttman Hodes" w:hint="cs"/>
        </w:rPr>
        <w:instrText>Ref54200745 \r \h</w:instrText>
      </w:r>
      <w:r w:rsidRPr="005775A6">
        <w:rPr>
          <w:rStyle w:val="af7"/>
          <w:rFonts w:eastAsia="Guttman Hodes"/>
          <w:rtl/>
        </w:rPr>
        <w:instrText xml:space="preserve"> </w:instrText>
      </w:r>
      <w:r w:rsidRPr="005775A6">
        <w:rPr>
          <w:rStyle w:val="af7"/>
          <w:rFonts w:eastAsia="Guttman Hodes"/>
          <w:rtl/>
        </w:rPr>
      </w:r>
      <w:r w:rsidRPr="005775A6">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Pr="005775A6">
        <w:rPr>
          <w:rStyle w:val="af7"/>
          <w:rFonts w:eastAsia="Guttman Hodes"/>
          <w:rtl/>
        </w:rPr>
        <w:fldChar w:fldCharType="end"/>
      </w:r>
      <w:r>
        <w:rPr>
          <w:rFonts w:hint="cs"/>
          <w:rtl/>
        </w:rPr>
        <w:t xml:space="preserve"> דפליג על </w:t>
      </w:r>
      <w:r w:rsidRPr="005775A6">
        <w:rPr>
          <w:rStyle w:val="af9"/>
          <w:rFonts w:hint="cs"/>
          <w:rtl/>
        </w:rPr>
        <w:t>הרי"ף</w:t>
      </w:r>
      <w:r>
        <w:rPr>
          <w:rFonts w:hint="cs"/>
          <w:rtl/>
        </w:rPr>
        <w:t xml:space="preserve">, ועי' במ"ש </w:t>
      </w:r>
      <w:r w:rsidRPr="00A67C62">
        <w:rPr>
          <w:rStyle w:val="af9"/>
          <w:rFonts w:hint="cs"/>
          <w:rtl/>
        </w:rPr>
        <w:t>בחי' רבי נחום</w:t>
      </w:r>
      <w:r>
        <w:rPr>
          <w:rFonts w:hint="cs"/>
          <w:rtl/>
        </w:rPr>
        <w:t xml:space="preserve"> </w:t>
      </w:r>
      <w:r w:rsidRPr="00A67C62">
        <w:rPr>
          <w:rStyle w:val="af7"/>
          <w:rFonts w:eastAsia="Guttman Hodes" w:hint="cs"/>
          <w:rtl/>
        </w:rPr>
        <w:t xml:space="preserve">(עי' אות </w:t>
      </w:r>
      <w:r w:rsidRPr="00A67C62">
        <w:rPr>
          <w:rStyle w:val="af7"/>
          <w:rFonts w:eastAsia="Guttman Hodes"/>
          <w:rtl/>
        </w:rPr>
        <w:fldChar w:fldCharType="begin"/>
      </w:r>
      <w:r w:rsidRPr="00A67C62">
        <w:rPr>
          <w:rStyle w:val="af7"/>
          <w:rFonts w:eastAsia="Guttman Hodes"/>
          <w:rtl/>
        </w:rPr>
        <w:instrText xml:space="preserve"> </w:instrText>
      </w:r>
      <w:r w:rsidRPr="00A67C62">
        <w:rPr>
          <w:rStyle w:val="af7"/>
          <w:rFonts w:eastAsia="Guttman Hodes" w:hint="cs"/>
        </w:rPr>
        <w:instrText>REF</w:instrText>
      </w:r>
      <w:r w:rsidRPr="00A67C62">
        <w:rPr>
          <w:rStyle w:val="af7"/>
          <w:rFonts w:eastAsia="Guttman Hodes" w:hint="cs"/>
          <w:rtl/>
        </w:rPr>
        <w:instrText xml:space="preserve"> _</w:instrText>
      </w:r>
      <w:r w:rsidRPr="00A67C62">
        <w:rPr>
          <w:rStyle w:val="af7"/>
          <w:rFonts w:eastAsia="Guttman Hodes" w:hint="cs"/>
        </w:rPr>
        <w:instrText>Ref54208727 \r \h</w:instrText>
      </w:r>
      <w:r w:rsidRPr="00A67C62">
        <w:rPr>
          <w:rStyle w:val="af7"/>
          <w:rFonts w:eastAsia="Guttman Hodes"/>
          <w:rtl/>
        </w:rPr>
        <w:instrText xml:space="preserve"> </w:instrText>
      </w:r>
      <w:r w:rsidRPr="00A67C62">
        <w:rPr>
          <w:rStyle w:val="af7"/>
          <w:rFonts w:eastAsia="Guttman Hodes"/>
          <w:rtl/>
        </w:rPr>
      </w:r>
      <w:r w:rsidRPr="00A67C62">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A67C62">
        <w:rPr>
          <w:rStyle w:val="af7"/>
          <w:rFonts w:eastAsia="Guttman Hodes"/>
          <w:rtl/>
        </w:rPr>
        <w:fldChar w:fldCharType="end"/>
      </w:r>
      <w:r>
        <w:rPr>
          <w:rFonts w:hint="cs"/>
          <w:rtl/>
        </w:rPr>
        <w:t>.</w:t>
      </w:r>
      <w:bookmarkEnd w:id="1272"/>
    </w:p>
    <w:p w:rsidR="00AB3447" w:rsidRDefault="00AB3447" w:rsidP="00AB3447">
      <w:pPr>
        <w:pStyle w:val="a3"/>
        <w:rPr>
          <w:rtl/>
        </w:rPr>
      </w:pPr>
      <w:bookmarkStart w:id="1273" w:name="_Toc54201300"/>
      <w:bookmarkStart w:id="1274" w:name="_Toc54210284"/>
      <w:r>
        <w:rPr>
          <w:rFonts w:hint="cs"/>
          <w:rtl/>
        </w:rPr>
        <w:t>דברי הרשב"א והריטב"א דרבנן דרב ושמואל היינו ת"ק דמתני' דפליג על ר"י ור"ע</w:t>
      </w:r>
      <w:bookmarkEnd w:id="1273"/>
      <w:bookmarkEnd w:id="1274"/>
    </w:p>
    <w:p w:rsidR="00AB3447" w:rsidRDefault="00AB3447" w:rsidP="007E4E81">
      <w:pPr>
        <w:pStyle w:val="a0"/>
        <w:rPr>
          <w:rtl/>
        </w:rPr>
      </w:pPr>
      <w:r>
        <w:rPr>
          <w:rFonts w:hint="cs"/>
          <w:rtl/>
        </w:rPr>
        <w:t xml:space="preserve">וכתב </w:t>
      </w:r>
      <w:r w:rsidRPr="00F46455">
        <w:rPr>
          <w:rStyle w:val="af9"/>
          <w:rFonts w:hint="cs"/>
          <w:rtl/>
        </w:rPr>
        <w:t>הרשב"א</w:t>
      </w:r>
      <w:r>
        <w:rPr>
          <w:rFonts w:hint="cs"/>
          <w:rtl/>
        </w:rPr>
        <w:t xml:space="preserve"> </w:t>
      </w:r>
      <w:r w:rsidRPr="00C0399E">
        <w:rPr>
          <w:rStyle w:val="af7"/>
          <w:rFonts w:eastAsia="Guttman Hodes" w:hint="cs"/>
          <w:rtl/>
        </w:rPr>
        <w:t>(ד"ה ונראה)</w:t>
      </w:r>
      <w:r>
        <w:rPr>
          <w:rFonts w:hint="cs"/>
          <w:rtl/>
        </w:rPr>
        <w:t xml:space="preserve"> דא"כ הא דאמרו רב ושמואל לקמן </w:t>
      </w:r>
      <w:r w:rsidRPr="00F46455">
        <w:rPr>
          <w:rStyle w:val="af7"/>
          <w:rFonts w:eastAsia="Guttman Hodes" w:hint="cs"/>
          <w:rtl/>
        </w:rPr>
        <w:t>(לו:)</w:t>
      </w:r>
      <w:r>
        <w:rPr>
          <w:rFonts w:hint="cs"/>
          <w:rtl/>
        </w:rPr>
        <w:t xml:space="preserve"> דחכמים פליגי על ר"ע ורבי ישמעאל היינו ת"ק דמתני', ור"ע ורבי ישמעאל ביארו את דעת עצמם ולא את דעת ת"ק, וכ"כ </w:t>
      </w:r>
      <w:r w:rsidRPr="00F46455">
        <w:rPr>
          <w:rStyle w:val="af9"/>
          <w:rFonts w:hint="cs"/>
          <w:rtl/>
        </w:rPr>
        <w:t>הריטב"א לקמן</w:t>
      </w:r>
      <w:r>
        <w:rPr>
          <w:rFonts w:hint="cs"/>
          <w:rtl/>
        </w:rPr>
        <w:t xml:space="preserve"> </w:t>
      </w:r>
      <w:r w:rsidRPr="00F46455">
        <w:rPr>
          <w:rStyle w:val="af7"/>
          <w:rFonts w:eastAsia="Guttman Hodes" w:hint="cs"/>
          <w:rtl/>
        </w:rPr>
        <w:t>(לו. ד"ה מתני')</w:t>
      </w:r>
      <w:r>
        <w:rPr>
          <w:rFonts w:hint="cs"/>
          <w:rtl/>
        </w:rPr>
        <w:t xml:space="preserve"> דרבי ישמעאל ור"ע פליגי על ת"ק, והא דאמרו רב ושמואל בגמ' לקמן </w:t>
      </w:r>
      <w:r w:rsidRPr="00F46455">
        <w:rPr>
          <w:rStyle w:val="af7"/>
          <w:rFonts w:eastAsia="Guttman Hodes" w:hint="cs"/>
          <w:rtl/>
        </w:rPr>
        <w:t>(לו:)</w:t>
      </w:r>
      <w:r>
        <w:rPr>
          <w:rFonts w:hint="cs"/>
          <w:rtl/>
        </w:rPr>
        <w:t xml:space="preserve"> זו דברי רבי ישמעאל, היינו על הסיפא אבל חכמים שברישא פליגי עליה.</w:t>
      </w:r>
    </w:p>
    <w:p w:rsidR="00AB3447" w:rsidRPr="00AE46EF" w:rsidRDefault="00AB3447" w:rsidP="00AB3447">
      <w:pPr>
        <w:pStyle w:val="1"/>
        <w:rPr>
          <w:rtl/>
        </w:rPr>
      </w:pPr>
      <w:bookmarkStart w:id="1275" w:name="_Toc54201301"/>
      <w:bookmarkStart w:id="1276" w:name="_Toc54210285"/>
      <w:r>
        <w:rPr>
          <w:rFonts w:hint="cs"/>
          <w:rtl/>
        </w:rPr>
        <w:t>ביאור הרשב"א דלת"ק צריך ג' אכילות של ג"ש</w:t>
      </w:r>
      <w:bookmarkEnd w:id="1275"/>
      <w:bookmarkEnd w:id="1276"/>
    </w:p>
    <w:p w:rsidR="00AB3447" w:rsidRDefault="00AB3447" w:rsidP="00AB3447">
      <w:pPr>
        <w:pStyle w:val="a3"/>
        <w:rPr>
          <w:rtl/>
        </w:rPr>
      </w:pPr>
      <w:bookmarkStart w:id="1277" w:name="_Toc54201302"/>
      <w:bookmarkStart w:id="1278" w:name="_Toc54210286"/>
      <w:r>
        <w:rPr>
          <w:rFonts w:hint="cs"/>
          <w:rtl/>
        </w:rPr>
        <w:t>ביאור הרשב"א דלת"ק צריך ג"ש מהחרישה עד הכנסת הפירות כדרך הבעלים ולא בג' אכילות</w:t>
      </w:r>
      <w:bookmarkEnd w:id="1277"/>
      <w:bookmarkEnd w:id="1278"/>
    </w:p>
    <w:p w:rsidR="00AB3447" w:rsidRDefault="00AB3447" w:rsidP="007E4E81">
      <w:pPr>
        <w:pStyle w:val="a0"/>
        <w:rPr>
          <w:rtl/>
        </w:rPr>
      </w:pPr>
      <w:bookmarkStart w:id="1279" w:name="_Ref54198653"/>
      <w:r>
        <w:rPr>
          <w:rFonts w:hint="cs"/>
          <w:rtl/>
        </w:rPr>
        <w:t xml:space="preserve">וביאר </w:t>
      </w:r>
      <w:r w:rsidRPr="00F46455">
        <w:rPr>
          <w:rStyle w:val="af9"/>
          <w:rFonts w:hint="cs"/>
          <w:rtl/>
        </w:rPr>
        <w:t>הרשב"א</w:t>
      </w:r>
      <w:r>
        <w:rPr>
          <w:rFonts w:hint="cs"/>
          <w:rtl/>
        </w:rPr>
        <w:t xml:space="preserve"> </w:t>
      </w:r>
      <w:r w:rsidRPr="00C0399E">
        <w:rPr>
          <w:rStyle w:val="af7"/>
          <w:rFonts w:eastAsia="Guttman Hodes" w:hint="cs"/>
          <w:rtl/>
        </w:rPr>
        <w:t>(ד"ה ונראה)</w:t>
      </w:r>
      <w:r>
        <w:rPr>
          <w:rFonts w:hint="cs"/>
          <w:rtl/>
        </w:rPr>
        <w:t xml:space="preserve"> דהא דס"ל לת"ק דא"צ ג"ש מיום ליום, אין הכוונה דסגי בי"ח חודשים, ואוכל פירא רבא כקישואים ודלועין, או י"ד חודשים ואוכל פירא זוטא כאספסתא, אלא לת"ק צריך שיחזיק בשדה ג"ש שלימות, ואוכל פירא רבא שצריך י"ב חודש, מהחרישה ועד להכנסת הפירות, כיון דשדה הבעל עומדת לחיטים או שעורים, ולא לקישואים ואספסתא, וצריך להחזיק בה כדרך הבעלים, ואף בשדה אילן ס"ל לת"ק דלא סגי באכילת ג' פירות באותה השנה, אלא צריך שלשה פירות בג"ש, ואף לאילנות הדרך לעבוד בשדה בכל השנה, וכ"כ </w:t>
      </w:r>
      <w:r w:rsidRPr="00F420B4">
        <w:rPr>
          <w:rStyle w:val="af9"/>
          <w:rFonts w:hint="cs"/>
          <w:rtl/>
        </w:rPr>
        <w:t xml:space="preserve">היד רמ"ה </w:t>
      </w:r>
      <w:r w:rsidRPr="00F420B4">
        <w:rPr>
          <w:rStyle w:val="af7"/>
          <w:rFonts w:eastAsia="Guttman Hodes" w:hint="cs"/>
          <w:rtl/>
        </w:rPr>
        <w:t xml:space="preserve">(או' ב' ד"ה ולית) </w:t>
      </w:r>
      <w:r>
        <w:rPr>
          <w:rStyle w:val="af9"/>
          <w:rFonts w:hint="cs"/>
          <w:rtl/>
        </w:rPr>
        <w:t>ו</w:t>
      </w:r>
      <w:r w:rsidRPr="00F420B4">
        <w:rPr>
          <w:rStyle w:val="af9"/>
          <w:rFonts w:hint="cs"/>
          <w:rtl/>
        </w:rPr>
        <w:t>הר"ן</w:t>
      </w:r>
      <w:r>
        <w:rPr>
          <w:rFonts w:hint="cs"/>
          <w:rtl/>
        </w:rPr>
        <w:t xml:space="preserve"> </w:t>
      </w:r>
      <w:r w:rsidRPr="00F420B4">
        <w:rPr>
          <w:rStyle w:val="af7"/>
          <w:rFonts w:eastAsia="Guttman Hodes" w:hint="cs"/>
          <w:rtl/>
        </w:rPr>
        <w:t>(ד"ה שדה)</w:t>
      </w:r>
      <w:r>
        <w:rPr>
          <w:rStyle w:val="af9"/>
          <w:rFonts w:hint="cs"/>
          <w:rtl/>
        </w:rPr>
        <w:t>,</w:t>
      </w:r>
      <w:r w:rsidRPr="00EB13DA">
        <w:rPr>
          <w:rStyle w:val="af9"/>
          <w:rFonts w:hint="cs"/>
          <w:rtl/>
        </w:rPr>
        <w:t xml:space="preserve"> </w:t>
      </w:r>
      <w:r w:rsidRPr="00EB13DA">
        <w:rPr>
          <w:rFonts w:hint="cs"/>
          <w:rtl/>
        </w:rPr>
        <w:t>וכ"כ</w:t>
      </w:r>
      <w:r>
        <w:rPr>
          <w:rStyle w:val="af9"/>
          <w:rFonts w:hint="cs"/>
          <w:rtl/>
        </w:rPr>
        <w:t xml:space="preserve"> </w:t>
      </w:r>
      <w:r w:rsidRPr="00F420B4">
        <w:rPr>
          <w:rStyle w:val="af9"/>
          <w:rFonts w:hint="cs"/>
          <w:rtl/>
        </w:rPr>
        <w:t>המרומי שדה</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Ref54198632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עה)</w:t>
      </w:r>
      <w:r>
        <w:rPr>
          <w:rStyle w:val="af7"/>
          <w:rFonts w:eastAsia="Guttman Hodes"/>
          <w:rtl/>
        </w:rPr>
        <w:fldChar w:fldCharType="end"/>
      </w:r>
      <w:r w:rsidR="00A77F33">
        <w:rPr>
          <w:rStyle w:val="af7"/>
          <w:rFonts w:eastAsia="Guttman Hodes" w:hint="cs"/>
          <w:rtl/>
        </w:rPr>
        <w:t xml:space="preserve"> </w:t>
      </w:r>
      <w:r>
        <w:rPr>
          <w:rFonts w:hint="cs"/>
          <w:rtl/>
        </w:rPr>
        <w:t xml:space="preserve">בדעת </w:t>
      </w:r>
      <w:r w:rsidRPr="00F420B4">
        <w:rPr>
          <w:rStyle w:val="af9"/>
          <w:rFonts w:hint="cs"/>
          <w:rtl/>
        </w:rPr>
        <w:t>הרמב"ם</w:t>
      </w:r>
      <w:r>
        <w:rPr>
          <w:rFonts w:hint="cs"/>
          <w:rtl/>
        </w:rPr>
        <w:t xml:space="preserve"> </w:t>
      </w:r>
      <w:r w:rsidRPr="00F420B4">
        <w:rPr>
          <w:rStyle w:val="af9"/>
          <w:rFonts w:hint="cs"/>
          <w:rtl/>
        </w:rPr>
        <w:t>בפיהמ"ש</w:t>
      </w:r>
      <w:r>
        <w:rPr>
          <w:rStyle w:val="af9"/>
          <w:rFonts w:hint="cs"/>
          <w:rtl/>
        </w:rPr>
        <w:t xml:space="preserve"> </w:t>
      </w:r>
      <w:r w:rsidRPr="00EB13DA">
        <w:rPr>
          <w:rStyle w:val="af7"/>
          <w:rFonts w:eastAsia="Guttman Hodes" w:hint="cs"/>
          <w:rtl/>
        </w:rPr>
        <w:t xml:space="preserve">(עי' אות </w:t>
      </w:r>
      <w:r w:rsidRPr="00EB13DA">
        <w:rPr>
          <w:rStyle w:val="af7"/>
          <w:rFonts w:eastAsia="Guttman Hodes"/>
          <w:rtl/>
        </w:rPr>
        <w:fldChar w:fldCharType="begin"/>
      </w:r>
      <w:r w:rsidRPr="00EB13DA">
        <w:rPr>
          <w:rStyle w:val="af7"/>
          <w:rFonts w:eastAsia="Guttman Hodes"/>
          <w:rtl/>
        </w:rPr>
        <w:instrText xml:space="preserve"> </w:instrText>
      </w:r>
      <w:r w:rsidRPr="00EB13DA">
        <w:rPr>
          <w:rStyle w:val="af7"/>
          <w:rFonts w:eastAsia="Guttman Hodes" w:hint="cs"/>
        </w:rPr>
        <w:instrText>REF</w:instrText>
      </w:r>
      <w:r w:rsidRPr="00EB13DA">
        <w:rPr>
          <w:rStyle w:val="af7"/>
          <w:rFonts w:eastAsia="Guttman Hodes" w:hint="cs"/>
          <w:rtl/>
        </w:rPr>
        <w:instrText xml:space="preserve"> _</w:instrText>
      </w:r>
      <w:r w:rsidRPr="00EB13DA">
        <w:rPr>
          <w:rStyle w:val="af7"/>
          <w:rFonts w:eastAsia="Guttman Hodes" w:hint="cs"/>
        </w:rPr>
        <w:instrText>Ref54198625 \r \h</w:instrText>
      </w:r>
      <w:r w:rsidRPr="00EB13DA">
        <w:rPr>
          <w:rStyle w:val="af7"/>
          <w:rFonts w:eastAsia="Guttman Hodes"/>
          <w:rtl/>
        </w:rPr>
        <w:instrText xml:space="preserve"> </w:instrText>
      </w:r>
      <w:r w:rsidRPr="00EB13DA">
        <w:rPr>
          <w:rStyle w:val="af7"/>
          <w:rFonts w:eastAsia="Guttman Hodes"/>
          <w:rtl/>
        </w:rPr>
      </w:r>
      <w:r w:rsidRPr="00EB13DA">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EB13DA">
        <w:rPr>
          <w:rStyle w:val="af7"/>
          <w:rFonts w:eastAsia="Guttman Hodes"/>
          <w:rtl/>
        </w:rPr>
        <w:fldChar w:fldCharType="end"/>
      </w:r>
      <w:r>
        <w:rPr>
          <w:rFonts w:hint="cs"/>
          <w:rtl/>
        </w:rPr>
        <w:t>.</w:t>
      </w:r>
      <w:bookmarkEnd w:id="1279"/>
    </w:p>
    <w:p w:rsidR="00AB3447" w:rsidRPr="00AE46EF" w:rsidRDefault="00AB3447" w:rsidP="00AB3447">
      <w:pPr>
        <w:pStyle w:val="1"/>
        <w:rPr>
          <w:rtl/>
        </w:rPr>
      </w:pPr>
      <w:bookmarkStart w:id="1280" w:name="_Toc54201303"/>
      <w:bookmarkStart w:id="1281" w:name="_Toc54210287"/>
      <w:r>
        <w:rPr>
          <w:rFonts w:hint="cs"/>
          <w:rtl/>
        </w:rPr>
        <w:t>ביאור הרשב"א בפלוגתת רב ושמואל בדעת רבנן</w:t>
      </w:r>
      <w:bookmarkEnd w:id="1280"/>
      <w:bookmarkEnd w:id="1281"/>
    </w:p>
    <w:p w:rsidR="00AB3447" w:rsidRPr="00C171D7" w:rsidRDefault="00AB3447" w:rsidP="00AB3447">
      <w:pPr>
        <w:pStyle w:val="a3"/>
        <w:rPr>
          <w:rtl/>
        </w:rPr>
      </w:pPr>
      <w:bookmarkStart w:id="1282" w:name="_Toc54201304"/>
      <w:bookmarkStart w:id="1283" w:name="_Toc54210288"/>
      <w:r>
        <w:rPr>
          <w:rFonts w:hint="cs"/>
          <w:rtl/>
        </w:rPr>
        <w:t>דברי הרשב"א דבין לרב ובין לשמואל צריך ג' תבואות של ג"ש ולעבוד בה כל השנה כבעלים</w:t>
      </w:r>
      <w:bookmarkEnd w:id="1282"/>
      <w:bookmarkEnd w:id="1283"/>
    </w:p>
    <w:p w:rsidR="00AB3447" w:rsidRDefault="00AB3447" w:rsidP="007E4E81">
      <w:pPr>
        <w:pStyle w:val="a0"/>
        <w:rPr>
          <w:rtl/>
        </w:rPr>
      </w:pPr>
      <w:bookmarkStart w:id="1284" w:name="_Ref54208160"/>
      <w:r>
        <w:rPr>
          <w:rFonts w:hint="cs"/>
          <w:rtl/>
        </w:rPr>
        <w:t xml:space="preserve">וכתב </w:t>
      </w:r>
      <w:r w:rsidRPr="00F46455">
        <w:rPr>
          <w:rStyle w:val="af9"/>
          <w:rFonts w:hint="cs"/>
          <w:rtl/>
        </w:rPr>
        <w:t>הרשב"א</w:t>
      </w:r>
      <w:r>
        <w:rPr>
          <w:rFonts w:hint="cs"/>
          <w:rtl/>
        </w:rPr>
        <w:t xml:space="preserve"> </w:t>
      </w:r>
      <w:r w:rsidRPr="00C0399E">
        <w:rPr>
          <w:rStyle w:val="af7"/>
          <w:rFonts w:eastAsia="Guttman Hodes" w:hint="cs"/>
          <w:rtl/>
        </w:rPr>
        <w:t>(ד"ה ונראה)</w:t>
      </w:r>
      <w:r>
        <w:rPr>
          <w:rFonts w:hint="cs"/>
          <w:rtl/>
        </w:rPr>
        <w:t xml:space="preserve"> דלפי"ז בין לדעת רב ובין לדעת שמואל, החזקה היא בתבואות שצריכות ג"ש מיום ליום, ולא סגי באכילת פירות שגודלים בתוך ג</w:t>
      </w:r>
      <w:r>
        <w:rPr>
          <w:rtl/>
        </w:rPr>
        <w:t>'</w:t>
      </w:r>
      <w:r>
        <w:rPr>
          <w:rFonts w:hint="cs"/>
          <w:rtl/>
        </w:rPr>
        <w:t xml:space="preserve"> חודשים, וצריך גם לעבוד בשדה כל השנה כדרך שהבעלים עובדים בה, כדי שלא יהיה נראה שהוא אוכל בדרך גזילה. </w:t>
      </w:r>
      <w:r w:rsidRPr="007D7BED">
        <w:rPr>
          <w:rStyle w:val="afb"/>
          <w:rFonts w:hint="cs"/>
          <w:rtl/>
        </w:rPr>
        <w:t xml:space="preserve">[ועי' במ"ש </w:t>
      </w:r>
      <w:r w:rsidRPr="007D7BED">
        <w:rPr>
          <w:rStyle w:val="affa"/>
          <w:rFonts w:hint="cs"/>
          <w:rtl/>
        </w:rPr>
        <w:t>הרשב"א</w:t>
      </w:r>
      <w:r w:rsidRPr="007D7BED">
        <w:rPr>
          <w:rStyle w:val="afb"/>
          <w:rFonts w:hint="cs"/>
          <w:rtl/>
        </w:rPr>
        <w:t xml:space="preserve"> </w:t>
      </w:r>
      <w:r w:rsidRPr="007D7BED">
        <w:rPr>
          <w:rStyle w:val="aff6"/>
          <w:rFonts w:hint="cs"/>
          <w:rtl/>
        </w:rPr>
        <w:t xml:space="preserve">(עי' אות </w:t>
      </w:r>
      <w:r w:rsidRPr="007D7BED">
        <w:rPr>
          <w:rStyle w:val="aff6"/>
          <w:rtl/>
        </w:rPr>
        <w:fldChar w:fldCharType="begin"/>
      </w:r>
      <w:r w:rsidRPr="007D7BED">
        <w:rPr>
          <w:rStyle w:val="aff6"/>
          <w:rtl/>
        </w:rPr>
        <w:instrText xml:space="preserve"> </w:instrText>
      </w:r>
      <w:r w:rsidRPr="007D7BED">
        <w:rPr>
          <w:rStyle w:val="aff6"/>
          <w:rFonts w:hint="cs"/>
        </w:rPr>
        <w:instrText>REF</w:instrText>
      </w:r>
      <w:r w:rsidRPr="007D7BED">
        <w:rPr>
          <w:rStyle w:val="aff6"/>
          <w:rFonts w:hint="cs"/>
          <w:rtl/>
        </w:rPr>
        <w:instrText xml:space="preserve"> _</w:instrText>
      </w:r>
      <w:r w:rsidRPr="007D7BED">
        <w:rPr>
          <w:rStyle w:val="aff6"/>
          <w:rFonts w:hint="cs"/>
        </w:rPr>
        <w:instrText>Ref54208130 \r \h</w:instrText>
      </w:r>
      <w:r w:rsidRPr="007D7BED">
        <w:rPr>
          <w:rStyle w:val="aff6"/>
          <w:rtl/>
        </w:rPr>
        <w:instrText xml:space="preserve"> </w:instrText>
      </w:r>
      <w:r w:rsidRPr="007D7BED">
        <w:rPr>
          <w:rStyle w:val="aff6"/>
          <w:rtl/>
        </w:rPr>
      </w:r>
      <w:r w:rsidRPr="007D7BED">
        <w:rPr>
          <w:rStyle w:val="aff6"/>
          <w:rtl/>
        </w:rPr>
        <w:fldChar w:fldCharType="separate"/>
      </w:r>
      <w:r w:rsidR="00265073">
        <w:rPr>
          <w:rStyle w:val="aff6"/>
          <w:cs/>
        </w:rPr>
        <w:t>‎</w:t>
      </w:r>
      <w:r w:rsidR="00265073">
        <w:rPr>
          <w:rStyle w:val="aff6"/>
          <w:rtl/>
        </w:rPr>
        <w:t>עח)</w:t>
      </w:r>
      <w:r w:rsidRPr="007D7BED">
        <w:rPr>
          <w:rStyle w:val="aff6"/>
          <w:rtl/>
        </w:rPr>
        <w:fldChar w:fldCharType="end"/>
      </w:r>
      <w:r w:rsidRPr="007D7BED">
        <w:rPr>
          <w:rStyle w:val="afb"/>
          <w:rFonts w:hint="cs"/>
          <w:rtl/>
        </w:rPr>
        <w:t xml:space="preserve"> בדין שדה העומדת לאספסתא].</w:t>
      </w:r>
      <w:bookmarkEnd w:id="1284"/>
    </w:p>
    <w:p w:rsidR="00AB3447" w:rsidRPr="002A0253" w:rsidRDefault="00AB3447" w:rsidP="00AB3447">
      <w:pPr>
        <w:pStyle w:val="a3"/>
      </w:pPr>
      <w:bookmarkStart w:id="1285" w:name="_Toc54201305"/>
      <w:bookmarkStart w:id="1286" w:name="_Toc54210289"/>
      <w:r>
        <w:rPr>
          <w:rFonts w:hint="cs"/>
          <w:rtl/>
        </w:rPr>
        <w:t>ביאור הרשב"א דאינם מיום ליום דמתני' היינו שא"צ אכילת פירות תדיר אך צריך ג"ש</w:t>
      </w:r>
      <w:bookmarkEnd w:id="1285"/>
      <w:bookmarkEnd w:id="1286"/>
    </w:p>
    <w:p w:rsidR="00AB3447" w:rsidRDefault="00AB3447" w:rsidP="007E4E81">
      <w:pPr>
        <w:pStyle w:val="a0"/>
        <w:rPr>
          <w:rtl/>
        </w:rPr>
      </w:pPr>
      <w:r>
        <w:rPr>
          <w:rFonts w:hint="cs"/>
          <w:rtl/>
        </w:rPr>
        <w:t xml:space="preserve">וביאר </w:t>
      </w:r>
      <w:r w:rsidRPr="002A0253">
        <w:rPr>
          <w:rStyle w:val="af9"/>
          <w:rFonts w:hint="cs"/>
          <w:rtl/>
        </w:rPr>
        <w:t>הרשב"א</w:t>
      </w:r>
      <w:r>
        <w:rPr>
          <w:rFonts w:hint="cs"/>
          <w:rtl/>
        </w:rPr>
        <w:t xml:space="preserve"> דלשון ת"ק דמתני' "ואינן מיום ליום", אין הכוונה ללשון של חכמים שהביא רב בגמ' לקמן, דאמרו דהחזקה היא מיום ליום, דכוונת רב לומר שצריך להחזיק בה ג"ש שלימות, ולעבוד בשדה בכל הג"ש מיום ליום, וכן דעת ת"ק דמתני' והא דתנן שא"צ מיום ליום הכוונה שאינו צריך לאכול פירות תדיר בכל יום, כמו בבית השלחין, והביא </w:t>
      </w:r>
      <w:r w:rsidRPr="00FC3888">
        <w:rPr>
          <w:rStyle w:val="af9"/>
          <w:rFonts w:hint="cs"/>
          <w:rtl/>
        </w:rPr>
        <w:t>הרשב"א</w:t>
      </w:r>
      <w:r>
        <w:rPr>
          <w:rFonts w:hint="cs"/>
          <w:rtl/>
        </w:rPr>
        <w:t xml:space="preserve"> דכן מבואר להדיא בירושלמי </w:t>
      </w:r>
      <w:r w:rsidRPr="00F9691A">
        <w:rPr>
          <w:rStyle w:val="af7"/>
          <w:rFonts w:eastAsia="Guttman Hodes" w:hint="cs"/>
          <w:rtl/>
        </w:rPr>
        <w:t>(פ"ג ה"ג, ט:)</w:t>
      </w:r>
      <w:r>
        <w:rPr>
          <w:rFonts w:hint="cs"/>
          <w:rtl/>
        </w:rPr>
        <w:t xml:space="preserve"> דלרב עיקר החזקה היא הכנסת הפירות, ולא סגי כשהוא קוצר ואינו מכניס את הפירות, אך מודה רב שצריך לנכש ולעדור בשדה.</w:t>
      </w:r>
    </w:p>
    <w:p w:rsidR="00AB3447" w:rsidRPr="000F06B0" w:rsidRDefault="00AB3447" w:rsidP="00AB3447">
      <w:pPr>
        <w:pStyle w:val="a3"/>
        <w:rPr>
          <w:rtl/>
        </w:rPr>
      </w:pPr>
      <w:bookmarkStart w:id="1287" w:name="_Toc54201306"/>
      <w:bookmarkStart w:id="1288" w:name="_Toc54210290"/>
      <w:r>
        <w:rPr>
          <w:rFonts w:hint="cs"/>
          <w:rtl/>
        </w:rPr>
        <w:t>דברי ר"ח דלא קיי"ל כר"ע ור"י אלא כמתני' דצריך ג"ש מיום ליום ולאכול פירות גמורים בג"ש</w:t>
      </w:r>
      <w:bookmarkEnd w:id="1287"/>
      <w:bookmarkEnd w:id="1288"/>
    </w:p>
    <w:p w:rsidR="00AB3447" w:rsidRDefault="00AB3447" w:rsidP="007E4E81">
      <w:pPr>
        <w:pStyle w:val="a0"/>
        <w:rPr>
          <w:rtl/>
        </w:rPr>
      </w:pPr>
      <w:bookmarkStart w:id="1289" w:name="_Ref54197908"/>
      <w:r>
        <w:rPr>
          <w:rFonts w:hint="cs"/>
          <w:rtl/>
        </w:rPr>
        <w:t xml:space="preserve">והביא </w:t>
      </w:r>
      <w:r w:rsidRPr="00FC3888">
        <w:rPr>
          <w:rStyle w:val="af9"/>
          <w:rFonts w:hint="cs"/>
          <w:rtl/>
        </w:rPr>
        <w:t>הרשב"א</w:t>
      </w:r>
      <w:r>
        <w:rPr>
          <w:rFonts w:hint="cs"/>
          <w:rtl/>
        </w:rPr>
        <w:t xml:space="preserve"> דכן דעת </w:t>
      </w:r>
      <w:r w:rsidRPr="00336D1F">
        <w:rPr>
          <w:rStyle w:val="af9"/>
          <w:rFonts w:hint="cs"/>
          <w:rtl/>
        </w:rPr>
        <w:t>ר"ח לקמן</w:t>
      </w:r>
      <w:r>
        <w:rPr>
          <w:rFonts w:hint="cs"/>
          <w:rtl/>
        </w:rPr>
        <w:t xml:space="preserve"> </w:t>
      </w:r>
      <w:r w:rsidRPr="00231EB6">
        <w:rPr>
          <w:rStyle w:val="af7"/>
          <w:rFonts w:eastAsia="Guttman Hodes" w:hint="cs"/>
          <w:rtl/>
        </w:rPr>
        <w:t>(לו:</w:t>
      </w:r>
      <w:r w:rsidRPr="00231EB6">
        <w:rPr>
          <w:rStyle w:val="af7"/>
          <w:rFonts w:eastAsia="Guttman Hodes"/>
          <w:rtl/>
        </w:rPr>
        <w:t xml:space="preserve"> </w:t>
      </w:r>
      <w:r w:rsidRPr="00231EB6">
        <w:rPr>
          <w:rStyle w:val="af7"/>
          <w:rFonts w:eastAsia="Guttman Hodes" w:hint="cs"/>
          <w:rtl/>
        </w:rPr>
        <w:t xml:space="preserve">ד"ה וקיי"ל, נד' בשיטת </w:t>
      </w:r>
      <w:r w:rsidRPr="00230E35">
        <w:rPr>
          <w:rStyle w:val="af7"/>
          <w:rFonts w:eastAsia="Guttman Hodes" w:hint="cs"/>
          <w:rtl/>
        </w:rPr>
        <w:t xml:space="preserve">הקדמונים, הועתק בקובץ שיטות קמאי ב"ב ח"א </w:t>
      </w:r>
      <w:r w:rsidRPr="00231EB6">
        <w:rPr>
          <w:rStyle w:val="af7"/>
          <w:rFonts w:eastAsia="Guttman Hodes" w:hint="cs"/>
          <w:rtl/>
        </w:rPr>
        <w:t xml:space="preserve">עמ' </w:t>
      </w:r>
      <w:r w:rsidRPr="00231EB6">
        <w:rPr>
          <w:rStyle w:val="af7"/>
          <w:rFonts w:eastAsia="Guttman Hodes"/>
          <w:rtl/>
        </w:rPr>
        <w:t>תתקי</w:t>
      </w:r>
      <w:r w:rsidRPr="00231EB6">
        <w:rPr>
          <w:rStyle w:val="af7"/>
          <w:rFonts w:eastAsia="Guttman Hodes" w:hint="cs"/>
          <w:rtl/>
        </w:rPr>
        <w:t>"</w:t>
      </w:r>
      <w:r w:rsidRPr="00231EB6">
        <w:rPr>
          <w:rStyle w:val="af7"/>
          <w:rFonts w:eastAsia="Guttman Hodes"/>
          <w:rtl/>
        </w:rPr>
        <w:t>א</w:t>
      </w:r>
      <w:r w:rsidRPr="00231EB6">
        <w:rPr>
          <w:rStyle w:val="af7"/>
          <w:rFonts w:eastAsia="Guttman Hodes" w:hint="cs"/>
          <w:rtl/>
        </w:rPr>
        <w:t xml:space="preserve">) </w:t>
      </w:r>
      <w:r>
        <w:rPr>
          <w:rFonts w:hint="cs"/>
          <w:rtl/>
        </w:rPr>
        <w:t xml:space="preserve">דכתב </w:t>
      </w:r>
      <w:r w:rsidRPr="00230E35">
        <w:rPr>
          <w:rFonts w:hint="cs"/>
          <w:rtl/>
        </w:rPr>
        <w:t>דלא קיי"ל כר"ע ו</w:t>
      </w:r>
      <w:r>
        <w:rPr>
          <w:rFonts w:hint="cs"/>
          <w:rtl/>
        </w:rPr>
        <w:t>רבי ישמעאל</w:t>
      </w:r>
      <w:r w:rsidRPr="00230E35">
        <w:rPr>
          <w:rFonts w:hint="cs"/>
          <w:rtl/>
        </w:rPr>
        <w:t>, אלא כסתמא דמתני', דתנן ג</w:t>
      </w:r>
      <w:r>
        <w:rPr>
          <w:rFonts w:hint="cs"/>
          <w:rtl/>
        </w:rPr>
        <w:t xml:space="preserve">"ש [ואינם] מיום ליום, וביאר </w:t>
      </w:r>
      <w:r w:rsidRPr="007671F0">
        <w:rPr>
          <w:rStyle w:val="af9"/>
          <w:rFonts w:hint="cs"/>
          <w:rtl/>
        </w:rPr>
        <w:t>ר"ח</w:t>
      </w:r>
      <w:r>
        <w:rPr>
          <w:rFonts w:hint="cs"/>
          <w:rtl/>
        </w:rPr>
        <w:t xml:space="preserve"> דלת"ק צריך לאכול שלשה פירות גמורים בג"ש.</w:t>
      </w:r>
      <w:bookmarkEnd w:id="1289"/>
    </w:p>
    <w:p w:rsidR="00AB3447" w:rsidRPr="00730F47" w:rsidRDefault="00AB3447" w:rsidP="00AB3447">
      <w:pPr>
        <w:pStyle w:val="a3"/>
        <w:rPr>
          <w:rtl/>
        </w:rPr>
      </w:pPr>
      <w:bookmarkStart w:id="1290" w:name="_Toc54201307"/>
      <w:bookmarkStart w:id="1291" w:name="_Toc54210291"/>
      <w:r>
        <w:rPr>
          <w:rFonts w:hint="cs"/>
          <w:rtl/>
        </w:rPr>
        <w:t xml:space="preserve">דברי הרשב"א דקושית הגמ' "לרבנן מאי" היינו לדעת ת"ק דמתני' </w:t>
      </w:r>
      <w:bookmarkEnd w:id="1290"/>
      <w:bookmarkEnd w:id="1291"/>
    </w:p>
    <w:p w:rsidR="00AB3447" w:rsidRDefault="00AB3447" w:rsidP="007E4E81">
      <w:pPr>
        <w:pStyle w:val="a0"/>
        <w:rPr>
          <w:rtl/>
        </w:rPr>
      </w:pPr>
      <w:r>
        <w:rPr>
          <w:rFonts w:hint="cs"/>
          <w:rtl/>
        </w:rPr>
        <w:t xml:space="preserve">וכתב </w:t>
      </w:r>
      <w:r w:rsidRPr="00B44181">
        <w:rPr>
          <w:rStyle w:val="af9"/>
          <w:rFonts w:hint="cs"/>
          <w:rtl/>
        </w:rPr>
        <w:t>הרשב"א</w:t>
      </w:r>
      <w:r>
        <w:rPr>
          <w:rFonts w:hint="cs"/>
          <w:rtl/>
        </w:rPr>
        <w:t xml:space="preserve"> </w:t>
      </w:r>
      <w:r w:rsidRPr="00B37C36">
        <w:rPr>
          <w:rStyle w:val="af7"/>
          <w:rFonts w:eastAsia="Guttman Hodes" w:hint="cs"/>
          <w:rtl/>
        </w:rPr>
        <w:t>(ד"ה ומעתה)</w:t>
      </w:r>
      <w:r>
        <w:rPr>
          <w:rFonts w:hint="cs"/>
          <w:rtl/>
        </w:rPr>
        <w:t xml:space="preserve"> דא"כ קושית הגמ' </w:t>
      </w:r>
      <w:r w:rsidRPr="00B44181">
        <w:rPr>
          <w:rStyle w:val="af7"/>
          <w:rFonts w:eastAsia="Guttman Hodes" w:hint="cs"/>
          <w:rtl/>
        </w:rPr>
        <w:t xml:space="preserve">(כח:) </w:t>
      </w:r>
      <w:r>
        <w:rPr>
          <w:rFonts w:hint="cs"/>
          <w:rtl/>
        </w:rPr>
        <w:t>מה הטעם בחזקה לדעת רבנן, היינו לדעת רבנן דמתני'.</w:t>
      </w:r>
    </w:p>
    <w:p w:rsidR="00AB3447" w:rsidRPr="00B7747F" w:rsidRDefault="00AB3447" w:rsidP="00AB3447">
      <w:pPr>
        <w:pStyle w:val="a3"/>
      </w:pPr>
      <w:bookmarkStart w:id="1292" w:name="_Toc54201308"/>
      <w:bookmarkStart w:id="1293" w:name="_Toc54210292"/>
      <w:r>
        <w:rPr>
          <w:rFonts w:hint="cs"/>
          <w:rtl/>
        </w:rPr>
        <w:t>ביאור הרשב"א בנ"מ שבין רב לשמואל בדקל נערה דהוא אכילה משובחת ואינו כאספסתא</w:t>
      </w:r>
      <w:bookmarkEnd w:id="1292"/>
      <w:bookmarkEnd w:id="1293"/>
    </w:p>
    <w:p w:rsidR="00AB3447" w:rsidRDefault="00AB3447" w:rsidP="007E4E81">
      <w:pPr>
        <w:pStyle w:val="a0"/>
        <w:rPr>
          <w:rtl/>
        </w:rPr>
      </w:pPr>
      <w:r>
        <w:rPr>
          <w:rFonts w:hint="cs"/>
          <w:rtl/>
        </w:rPr>
        <w:t xml:space="preserve">וכתב </w:t>
      </w:r>
      <w:r w:rsidRPr="00B44181">
        <w:rPr>
          <w:rStyle w:val="af9"/>
          <w:rFonts w:hint="cs"/>
          <w:rtl/>
        </w:rPr>
        <w:t>הרשב"א</w:t>
      </w:r>
      <w:r>
        <w:rPr>
          <w:rFonts w:hint="cs"/>
          <w:rtl/>
        </w:rPr>
        <w:t xml:space="preserve"> דבין לרבנן שהביא רב ובין לרבנן שהביא שמואל, צריך אכילת פירות גמורים בג"ש של עבודת השדה ולקיטת הפירות, וכתב </w:t>
      </w:r>
      <w:r w:rsidRPr="00B44181">
        <w:rPr>
          <w:rStyle w:val="af9"/>
          <w:rFonts w:hint="cs"/>
          <w:rtl/>
        </w:rPr>
        <w:t>הרשב"א</w:t>
      </w:r>
      <w:r>
        <w:rPr>
          <w:rFonts w:hint="cs"/>
          <w:rtl/>
        </w:rPr>
        <w:t xml:space="preserve"> דלכן מקשה הגמ' לקמן </w:t>
      </w:r>
      <w:r w:rsidRPr="00B44181">
        <w:rPr>
          <w:rStyle w:val="af7"/>
          <w:rFonts w:eastAsia="Guttman Hodes" w:hint="cs"/>
          <w:rtl/>
        </w:rPr>
        <w:t>(לו:)</w:t>
      </w:r>
      <w:r>
        <w:rPr>
          <w:rFonts w:hint="cs"/>
          <w:rtl/>
        </w:rPr>
        <w:t xml:space="preserve"> על רב ושמואל מאי בינייהו, ותירצה דהנ"מ היא רק בדקל נערה שעושה ב' פירות בשנה אחת, דגם לשמואל דס"ל כרבא דטעמא דחזקה הוא דעד ג"ש אדם נזהר בשטרו, אלא דאמר שמואל דאחר אכילת ג' תבואות גדולות, אינו נזהר בשטרו אף שלא עברו ג"ש, דטעם החזקה תלוי בלקיטת הפירות, ודקל נערה לא דמי לאכילת אספסתא בשדה שעומדת לזה, דלרבנן אכילת ג' פירות בג</w:t>
      </w:r>
      <w:r>
        <w:rPr>
          <w:rtl/>
        </w:rPr>
        <w:t>'</w:t>
      </w:r>
      <w:r>
        <w:rPr>
          <w:rFonts w:hint="cs"/>
          <w:rtl/>
        </w:rPr>
        <w:t xml:space="preserve"> חודשים אינה חזקה, כיון שדקל נערה מחמת שהוא משובח הוא מוציא בשנה אחת, את אותם הפירות שמוציאים שאר הדקלים בב' שנים, ולכן סובר הלוקח דאם לא מיחה בו המוכר בג' אכילות פירות גמורים, לא יחזור וימחה בו ואינו נזהר יותר בשטרו, וכתב </w:t>
      </w:r>
      <w:r w:rsidRPr="00B44181">
        <w:rPr>
          <w:rStyle w:val="af9"/>
          <w:rFonts w:hint="cs"/>
          <w:rtl/>
        </w:rPr>
        <w:t>הרשב"א</w:t>
      </w:r>
      <w:r>
        <w:rPr>
          <w:rFonts w:hint="cs"/>
          <w:rtl/>
        </w:rPr>
        <w:t xml:space="preserve"> דכן קיי"ל.</w:t>
      </w:r>
    </w:p>
    <w:p w:rsidR="00AB3447" w:rsidRDefault="00AB3447" w:rsidP="00AB3447">
      <w:pPr>
        <w:pStyle w:val="1"/>
        <w:rPr>
          <w:rtl/>
        </w:rPr>
      </w:pPr>
      <w:bookmarkStart w:id="1294" w:name="_Toc54201309"/>
      <w:bookmarkStart w:id="1295" w:name="_Toc54210293"/>
      <w:r>
        <w:rPr>
          <w:rFonts w:hint="cs"/>
          <w:rtl/>
        </w:rPr>
        <w:t>דברי הרמב"ם בפיהמ"ש דקיי"ל כרישא דמתני' דצריך ג"ש</w:t>
      </w:r>
      <w:bookmarkEnd w:id="1294"/>
      <w:bookmarkEnd w:id="1295"/>
    </w:p>
    <w:p w:rsidR="00AB3447" w:rsidRPr="00EB13DA" w:rsidRDefault="00AB3447" w:rsidP="00AB3447">
      <w:pPr>
        <w:pStyle w:val="a3"/>
        <w:rPr>
          <w:rtl/>
        </w:rPr>
      </w:pPr>
      <w:bookmarkStart w:id="1296" w:name="_Toc54201310"/>
      <w:bookmarkStart w:id="1297" w:name="_Toc54210294"/>
      <w:r>
        <w:rPr>
          <w:rFonts w:hint="cs"/>
          <w:rtl/>
        </w:rPr>
        <w:t>דברי הרמב"ם בפיהמ"ש דטעמא דחזקת ג"ש במתני' דנזהר בשטרו וקיי"ל כת"ק ברישא דמתני'</w:t>
      </w:r>
      <w:bookmarkEnd w:id="1296"/>
      <w:bookmarkEnd w:id="1297"/>
    </w:p>
    <w:p w:rsidR="00AB3447" w:rsidRDefault="00AB3447" w:rsidP="007E4E81">
      <w:pPr>
        <w:pStyle w:val="a0"/>
        <w:rPr>
          <w:rtl/>
        </w:rPr>
      </w:pPr>
      <w:bookmarkStart w:id="1298" w:name="_Ref54198625"/>
      <w:bookmarkStart w:id="1299" w:name="_Toc53934655"/>
      <w:r>
        <w:rPr>
          <w:rFonts w:hint="cs"/>
          <w:rtl/>
        </w:rPr>
        <w:t xml:space="preserve">כתב </w:t>
      </w:r>
      <w:r w:rsidRPr="00F420B4">
        <w:rPr>
          <w:rStyle w:val="af9"/>
          <w:rFonts w:hint="cs"/>
          <w:rtl/>
        </w:rPr>
        <w:t>הרמב"ם בפיהמ"ש</w:t>
      </w:r>
      <w:r>
        <w:rPr>
          <w:rFonts w:hint="cs"/>
          <w:rtl/>
        </w:rPr>
        <w:t xml:space="preserve"> </w:t>
      </w:r>
      <w:r w:rsidRPr="00F420B4">
        <w:rPr>
          <w:rStyle w:val="af7"/>
          <w:rFonts w:eastAsia="Guttman Hodes" w:hint="cs"/>
          <w:rtl/>
        </w:rPr>
        <w:t xml:space="preserve">(פ"ג מ"א) </w:t>
      </w:r>
      <w:r>
        <w:rPr>
          <w:rFonts w:hint="cs"/>
          <w:rtl/>
        </w:rPr>
        <w:t>דהטעם דתנן במתני' דהחזקה היא בג"ש, הוא כיון דעד ג"ש אדם נזהר בשטרו,</w:t>
      </w:r>
      <w:r w:rsidR="00A77F33">
        <w:rPr>
          <w:rFonts w:hint="cs"/>
          <w:rtl/>
        </w:rPr>
        <w:t xml:space="preserve"> </w:t>
      </w:r>
      <w:r>
        <w:rPr>
          <w:rFonts w:hint="cs"/>
          <w:rtl/>
        </w:rPr>
        <w:t xml:space="preserve">ובסיפא דמתני' כתב </w:t>
      </w:r>
      <w:r w:rsidRPr="00EB13DA">
        <w:rPr>
          <w:rStyle w:val="af9"/>
          <w:rFonts w:hint="cs"/>
          <w:rtl/>
        </w:rPr>
        <w:t>הרמב"ם בפיהמ"ש</w:t>
      </w:r>
      <w:r>
        <w:rPr>
          <w:rFonts w:hint="cs"/>
          <w:rtl/>
        </w:rPr>
        <w:t xml:space="preserve"> דאין הלכה כרבי ישמעאל ורבי ישמעאל אלא כדתנן ברישא דצריך ג"ש.</w:t>
      </w:r>
      <w:bookmarkEnd w:id="1298"/>
    </w:p>
    <w:p w:rsidR="00AB3447" w:rsidRPr="00EB13DA" w:rsidRDefault="00AB3447" w:rsidP="00AB3447">
      <w:pPr>
        <w:pStyle w:val="a3"/>
      </w:pPr>
      <w:bookmarkStart w:id="1300" w:name="_Toc54201311"/>
      <w:bookmarkStart w:id="1301" w:name="_Toc54210295"/>
      <w:r>
        <w:rPr>
          <w:rFonts w:hint="cs"/>
          <w:rtl/>
        </w:rPr>
        <w:t>ביאור הנצי"ב ברמב"ם בפיהמ"ש דלת"ק צריך ג"ש אך א"צ לעבוד בהם ג"ש מיום ליום</w:t>
      </w:r>
      <w:bookmarkEnd w:id="1300"/>
      <w:bookmarkEnd w:id="1301"/>
    </w:p>
    <w:p w:rsidR="00AB3447" w:rsidRDefault="00AB3447" w:rsidP="007E4E81">
      <w:pPr>
        <w:pStyle w:val="a0"/>
        <w:rPr>
          <w:rtl/>
        </w:rPr>
      </w:pPr>
      <w:bookmarkStart w:id="1302" w:name="_Ref54198632"/>
      <w:r>
        <w:rPr>
          <w:rFonts w:hint="cs"/>
          <w:rtl/>
        </w:rPr>
        <w:t xml:space="preserve">וכתב </w:t>
      </w:r>
      <w:r w:rsidRPr="00F420B4">
        <w:rPr>
          <w:rStyle w:val="af9"/>
          <w:rFonts w:hint="cs"/>
          <w:rtl/>
        </w:rPr>
        <w:t>המרומי שדה</w:t>
      </w:r>
      <w:r>
        <w:rPr>
          <w:rFonts w:hint="cs"/>
          <w:rtl/>
        </w:rPr>
        <w:t xml:space="preserve"> </w:t>
      </w:r>
      <w:r w:rsidRPr="00F420B4">
        <w:rPr>
          <w:rStyle w:val="af7"/>
          <w:rFonts w:eastAsia="Guttman Hodes" w:hint="cs"/>
          <w:rtl/>
        </w:rPr>
        <w:t xml:space="preserve">(ד"ה אבל הענין) </w:t>
      </w:r>
      <w:r>
        <w:rPr>
          <w:rFonts w:hint="cs"/>
          <w:rtl/>
        </w:rPr>
        <w:t xml:space="preserve">דמבואר דס"ל </w:t>
      </w:r>
      <w:r w:rsidRPr="00F420B4">
        <w:rPr>
          <w:rStyle w:val="af9"/>
          <w:rFonts w:hint="cs"/>
          <w:rtl/>
        </w:rPr>
        <w:t>להרמב"ם</w:t>
      </w:r>
      <w:r>
        <w:rPr>
          <w:rFonts w:hint="cs"/>
          <w:rtl/>
        </w:rPr>
        <w:t xml:space="preserve"> </w:t>
      </w:r>
      <w:r w:rsidRPr="00F420B4">
        <w:rPr>
          <w:rStyle w:val="af9"/>
          <w:rFonts w:hint="cs"/>
          <w:rtl/>
        </w:rPr>
        <w:t>בפיהמ"ש</w:t>
      </w:r>
      <w:r>
        <w:rPr>
          <w:rFonts w:hint="cs"/>
          <w:rtl/>
        </w:rPr>
        <w:t xml:space="preserve"> דלת"ק חזקת ג"ש, היינו ג"ש שלימות אך א"צ לעבוד בהם כל הג"ש וזו הכוונה דבבית הבעל צריך ג"ש שאינם מיום ליום, עיי"ש בדבריו.</w:t>
      </w:r>
      <w:bookmarkEnd w:id="1302"/>
      <w:r w:rsidRPr="00515C84">
        <w:rPr>
          <w:rStyle w:val="afb"/>
          <w:rFonts w:hint="cs"/>
          <w:rtl/>
        </w:rPr>
        <w:t xml:space="preserve"> </w:t>
      </w:r>
      <w:r w:rsidRPr="00EB13DA">
        <w:rPr>
          <w:rStyle w:val="afb"/>
          <w:rFonts w:hint="cs"/>
          <w:rtl/>
        </w:rPr>
        <w:t>[</w:t>
      </w:r>
      <w:r>
        <w:rPr>
          <w:rStyle w:val="afb"/>
          <w:rFonts w:hint="cs"/>
          <w:rtl/>
        </w:rPr>
        <w:t>ועי' בדב</w:t>
      </w:r>
      <w:r w:rsidRPr="00EB13DA">
        <w:rPr>
          <w:rStyle w:val="afb"/>
          <w:rFonts w:hint="cs"/>
          <w:rtl/>
        </w:rPr>
        <w:t>ר</w:t>
      </w:r>
      <w:r>
        <w:rPr>
          <w:rStyle w:val="afb"/>
          <w:rFonts w:hint="cs"/>
          <w:rtl/>
        </w:rPr>
        <w:t>י</w:t>
      </w:r>
      <w:r w:rsidRPr="00EB13DA">
        <w:rPr>
          <w:rStyle w:val="afb"/>
          <w:rFonts w:hint="cs"/>
          <w:rtl/>
        </w:rPr>
        <w:t xml:space="preserve"> </w:t>
      </w:r>
      <w:r w:rsidRPr="00EB13DA">
        <w:rPr>
          <w:rStyle w:val="affa"/>
          <w:rFonts w:hint="cs"/>
          <w:rtl/>
        </w:rPr>
        <w:t>הרשב"א</w:t>
      </w:r>
      <w:r w:rsidRPr="00EB13DA">
        <w:rPr>
          <w:rStyle w:val="afb"/>
          <w:rFonts w:hint="cs"/>
          <w:rtl/>
        </w:rPr>
        <w:t xml:space="preserve"> </w:t>
      </w:r>
      <w:r w:rsidRPr="00EB13DA">
        <w:rPr>
          <w:rStyle w:val="aff6"/>
          <w:rFonts w:hint="cs"/>
          <w:rtl/>
        </w:rPr>
        <w:t xml:space="preserve">(עי' אות </w:t>
      </w:r>
      <w:r w:rsidRPr="00EB13DA">
        <w:rPr>
          <w:rStyle w:val="aff6"/>
          <w:rtl/>
        </w:rPr>
        <w:fldChar w:fldCharType="begin"/>
      </w:r>
      <w:r w:rsidRPr="00EB13DA">
        <w:rPr>
          <w:rStyle w:val="aff6"/>
          <w:rtl/>
        </w:rPr>
        <w:instrText xml:space="preserve"> </w:instrText>
      </w:r>
      <w:r w:rsidRPr="00EB13DA">
        <w:rPr>
          <w:rStyle w:val="aff6"/>
          <w:rFonts w:hint="cs"/>
        </w:rPr>
        <w:instrText>REF</w:instrText>
      </w:r>
      <w:r w:rsidRPr="00EB13DA">
        <w:rPr>
          <w:rStyle w:val="aff6"/>
          <w:rFonts w:hint="cs"/>
          <w:rtl/>
        </w:rPr>
        <w:instrText xml:space="preserve"> _</w:instrText>
      </w:r>
      <w:r w:rsidRPr="00EB13DA">
        <w:rPr>
          <w:rStyle w:val="aff6"/>
          <w:rFonts w:hint="cs"/>
        </w:rPr>
        <w:instrText>Ref54198653 \r \h</w:instrText>
      </w:r>
      <w:r w:rsidRPr="00EB13DA">
        <w:rPr>
          <w:rStyle w:val="aff6"/>
          <w:rtl/>
        </w:rPr>
        <w:instrText xml:space="preserve"> </w:instrText>
      </w:r>
      <w:r w:rsidRPr="00EB13DA">
        <w:rPr>
          <w:rStyle w:val="aff6"/>
          <w:rtl/>
        </w:rPr>
      </w:r>
      <w:r w:rsidRPr="00EB13DA">
        <w:rPr>
          <w:rStyle w:val="aff6"/>
          <w:rtl/>
        </w:rPr>
        <w:fldChar w:fldCharType="separate"/>
      </w:r>
      <w:r w:rsidR="00265073">
        <w:rPr>
          <w:rStyle w:val="aff6"/>
          <w:cs/>
        </w:rPr>
        <w:t>‎</w:t>
      </w:r>
      <w:r w:rsidR="00265073">
        <w:rPr>
          <w:rStyle w:val="aff6"/>
          <w:rtl/>
        </w:rPr>
        <w:t>סח)</w:t>
      </w:r>
      <w:r w:rsidRPr="00EB13DA">
        <w:rPr>
          <w:rStyle w:val="aff6"/>
          <w:rtl/>
        </w:rPr>
        <w:fldChar w:fldCharType="end"/>
      </w:r>
      <w:r w:rsidRPr="00EB13DA">
        <w:rPr>
          <w:rStyle w:val="afb"/>
          <w:rFonts w:hint="cs"/>
          <w:rtl/>
        </w:rPr>
        <w:t>]</w:t>
      </w:r>
      <w:r>
        <w:rPr>
          <w:rStyle w:val="afb"/>
          <w:rFonts w:hint="cs"/>
          <w:rtl/>
        </w:rPr>
        <w:t>.</w:t>
      </w:r>
    </w:p>
    <w:p w:rsidR="00AB3447" w:rsidRPr="005F3B97" w:rsidRDefault="00AB3447" w:rsidP="00AB3447">
      <w:pPr>
        <w:pStyle w:val="a3"/>
        <w:rPr>
          <w:rtl/>
        </w:rPr>
      </w:pPr>
    </w:p>
    <w:p w:rsidR="00AB3447" w:rsidRPr="005F3B97" w:rsidRDefault="00AB3447" w:rsidP="00AB3447">
      <w:pPr>
        <w:pStyle w:val="a3"/>
      </w:pPr>
    </w:p>
    <w:p w:rsidR="00AB3447" w:rsidRDefault="00AB3447" w:rsidP="00AB3447">
      <w:pPr>
        <w:pStyle w:val="1"/>
        <w:rPr>
          <w:rtl/>
        </w:rPr>
      </w:pPr>
      <w:bookmarkStart w:id="1303" w:name="_Toc53940590"/>
      <w:bookmarkStart w:id="1304" w:name="_Toc54177794"/>
      <w:bookmarkStart w:id="1305" w:name="_Toc54201312"/>
      <w:bookmarkStart w:id="1306" w:name="_Toc54210296"/>
      <w:r>
        <w:rPr>
          <w:rFonts w:hint="cs"/>
          <w:rtl/>
        </w:rPr>
        <w:lastRenderedPageBreak/>
        <w:t>ביאור החת"ס</w:t>
      </w:r>
      <w:bookmarkEnd w:id="1299"/>
      <w:bookmarkEnd w:id="1303"/>
      <w:bookmarkEnd w:id="1304"/>
      <w:bookmarkEnd w:id="1305"/>
      <w:bookmarkEnd w:id="1306"/>
      <w:r>
        <w:rPr>
          <w:rFonts w:hint="cs"/>
          <w:rtl/>
        </w:rPr>
        <w:t xml:space="preserve"> בתוס' דרק לשמואל ת"ק דמתני' כרבי ישמעאל</w:t>
      </w:r>
    </w:p>
    <w:p w:rsidR="00AB3447" w:rsidRPr="00883BF1" w:rsidRDefault="00AB3447" w:rsidP="00AB3447">
      <w:pPr>
        <w:pStyle w:val="a3"/>
        <w:rPr>
          <w:rtl/>
        </w:rPr>
      </w:pPr>
      <w:bookmarkStart w:id="1307" w:name="_Toc54210297"/>
      <w:r>
        <w:rPr>
          <w:rFonts w:hint="cs"/>
          <w:rtl/>
        </w:rPr>
        <w:t>ביאור החת"ס בתוס' דת"ק דמתני' כרבי ישמעאל לדעת שמואל דסגי בג' אכילות</w:t>
      </w:r>
      <w:bookmarkEnd w:id="1307"/>
    </w:p>
    <w:p w:rsidR="00AB3447" w:rsidRPr="006E7E58" w:rsidRDefault="00AB3447" w:rsidP="007E4E81">
      <w:pPr>
        <w:pStyle w:val="a0"/>
        <w:rPr>
          <w:rtl/>
        </w:rPr>
      </w:pPr>
      <w:bookmarkStart w:id="1308" w:name="_Ref54799927"/>
      <w:r w:rsidRPr="006E7E58">
        <w:rPr>
          <w:rFonts w:hint="cs"/>
          <w:rtl/>
        </w:rPr>
        <w:t xml:space="preserve">כתב </w:t>
      </w:r>
      <w:r w:rsidRPr="006E7E58">
        <w:rPr>
          <w:rStyle w:val="af9"/>
          <w:rFonts w:hint="cs"/>
          <w:rtl/>
        </w:rPr>
        <w:t>החת"ס</w:t>
      </w:r>
      <w:r w:rsidRPr="006E7E58">
        <w:rPr>
          <w:rFonts w:hint="cs"/>
          <w:rtl/>
        </w:rPr>
        <w:t xml:space="preserve"> </w:t>
      </w:r>
      <w:r w:rsidRPr="006E7E58">
        <w:rPr>
          <w:rStyle w:val="af7"/>
          <w:rFonts w:eastAsia="Guttman Hodes" w:hint="cs"/>
          <w:rtl/>
        </w:rPr>
        <w:t>(ד"ה חזקת)</w:t>
      </w:r>
      <w:r w:rsidRPr="006E7E58">
        <w:rPr>
          <w:rFonts w:hint="cs"/>
          <w:rtl/>
        </w:rPr>
        <w:t xml:space="preserve"> ד</w:t>
      </w:r>
      <w:r>
        <w:rPr>
          <w:rFonts w:hint="cs"/>
          <w:rtl/>
        </w:rPr>
        <w:t xml:space="preserve">מ"ש </w:t>
      </w:r>
      <w:r w:rsidRPr="006E7E58">
        <w:rPr>
          <w:rStyle w:val="af9"/>
          <w:rFonts w:hint="cs"/>
          <w:rtl/>
        </w:rPr>
        <w:t>התוס' בעירובין</w:t>
      </w:r>
      <w:r w:rsidRPr="006E7E58">
        <w:rPr>
          <w:rFonts w:hint="cs"/>
          <w:rtl/>
        </w:rPr>
        <w:t xml:space="preserve"> </w:t>
      </w:r>
      <w:r w:rsidRPr="00294BCB">
        <w:rPr>
          <w:rStyle w:val="af7"/>
          <w:rFonts w:eastAsia="Guttman Hodes" w:hint="cs"/>
          <w:rtl/>
        </w:rPr>
        <w:t xml:space="preserve">(עי' אות </w:t>
      </w:r>
      <w:r w:rsidRPr="00294BCB">
        <w:rPr>
          <w:rStyle w:val="af7"/>
          <w:rFonts w:eastAsia="Guttman Hodes"/>
          <w:rtl/>
        </w:rPr>
        <w:fldChar w:fldCharType="begin"/>
      </w:r>
      <w:r w:rsidRPr="00294BCB">
        <w:rPr>
          <w:rStyle w:val="af7"/>
          <w:rFonts w:eastAsia="Guttman Hodes"/>
          <w:rtl/>
        </w:rPr>
        <w:instrText xml:space="preserve"> </w:instrText>
      </w:r>
      <w:r w:rsidRPr="00294BCB">
        <w:rPr>
          <w:rStyle w:val="af7"/>
          <w:rFonts w:eastAsia="Guttman Hodes" w:hint="cs"/>
        </w:rPr>
        <w:instrText>REF</w:instrText>
      </w:r>
      <w:r w:rsidRPr="00294BCB">
        <w:rPr>
          <w:rStyle w:val="af7"/>
          <w:rFonts w:eastAsia="Guttman Hodes" w:hint="cs"/>
          <w:rtl/>
        </w:rPr>
        <w:instrText xml:space="preserve"> _</w:instrText>
      </w:r>
      <w:r w:rsidRPr="00294BCB">
        <w:rPr>
          <w:rStyle w:val="af7"/>
          <w:rFonts w:eastAsia="Guttman Hodes" w:hint="cs"/>
        </w:rPr>
        <w:instrText>Ref54195925 \r \h</w:instrText>
      </w:r>
      <w:r w:rsidRPr="00294BCB">
        <w:rPr>
          <w:rStyle w:val="af7"/>
          <w:rFonts w:eastAsia="Guttman Hodes"/>
          <w:rtl/>
        </w:rPr>
        <w:instrText xml:space="preserve"> </w:instrText>
      </w:r>
      <w:r w:rsidRPr="00294BCB">
        <w:rPr>
          <w:rStyle w:val="af7"/>
          <w:rFonts w:eastAsia="Guttman Hodes"/>
          <w:rtl/>
        </w:rPr>
      </w:r>
      <w:r w:rsidRPr="00294BCB">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294BCB">
        <w:rPr>
          <w:rStyle w:val="af7"/>
          <w:rFonts w:eastAsia="Guttman Hodes"/>
          <w:rtl/>
        </w:rPr>
        <w:fldChar w:fldCharType="end"/>
      </w:r>
      <w:r w:rsidRPr="006E7E58">
        <w:rPr>
          <w:rFonts w:hint="cs"/>
          <w:rtl/>
        </w:rPr>
        <w:t xml:space="preserve"> דכל המשנה היא לדברי רבי ישמעאל, היינו לדעת שמואל לקמן </w:t>
      </w:r>
      <w:r w:rsidRPr="006E7E58">
        <w:rPr>
          <w:rStyle w:val="af7"/>
          <w:rFonts w:eastAsia="Guttman Hodes" w:hint="cs"/>
          <w:rtl/>
        </w:rPr>
        <w:t xml:space="preserve">(לו:) </w:t>
      </w:r>
      <w:r w:rsidRPr="006E7E58">
        <w:rPr>
          <w:rFonts w:hint="cs"/>
          <w:rtl/>
        </w:rPr>
        <w:t>דס"ל דהחזקה היא בג' בצירות, וכיון דסגי בג' בצירות, א"כ הא דס"ל לת"ק דמתני' דרק בבית השלחין לא סגי בג' בצירות וצריך ג"ש מיום ליום, היינו כדעת רבי ישמעאל.</w:t>
      </w:r>
      <w:bookmarkEnd w:id="1308"/>
    </w:p>
    <w:p w:rsidR="00AB3447" w:rsidRPr="006E7E58" w:rsidRDefault="00AB3447" w:rsidP="00AB3447">
      <w:pPr>
        <w:pStyle w:val="a3"/>
        <w:rPr>
          <w:rtl/>
        </w:rPr>
      </w:pPr>
      <w:bookmarkStart w:id="1309" w:name="_Toc54210298"/>
      <w:r>
        <w:rPr>
          <w:rFonts w:hint="cs"/>
          <w:rtl/>
        </w:rPr>
        <w:t>ביאור החת"ס בתוס' דלרב דלרבנן ג"ש מיום ליום ת"ק דמתני' כרבנן ור"י פליג בבית השלחין</w:t>
      </w:r>
      <w:bookmarkEnd w:id="1309"/>
    </w:p>
    <w:p w:rsidR="00AB3447" w:rsidRPr="006E7E58" w:rsidRDefault="00AB3447" w:rsidP="007E4E81">
      <w:pPr>
        <w:pStyle w:val="a0"/>
        <w:rPr>
          <w:rtl/>
        </w:rPr>
      </w:pPr>
      <w:r w:rsidRPr="006E7E58">
        <w:rPr>
          <w:rFonts w:hint="cs"/>
          <w:rtl/>
        </w:rPr>
        <w:t xml:space="preserve">אך כתב </w:t>
      </w:r>
      <w:r w:rsidRPr="006E7E58">
        <w:rPr>
          <w:rStyle w:val="af9"/>
          <w:rFonts w:hint="cs"/>
          <w:rtl/>
        </w:rPr>
        <w:t>החת"ס</w:t>
      </w:r>
      <w:r w:rsidRPr="006E7E58">
        <w:rPr>
          <w:rFonts w:hint="cs"/>
          <w:rtl/>
        </w:rPr>
        <w:t xml:space="preserve"> דלדעת רב </w:t>
      </w:r>
      <w:r w:rsidRPr="006E7E58">
        <w:rPr>
          <w:rStyle w:val="af7"/>
          <w:rFonts w:eastAsia="Guttman Hodes" w:hint="cs"/>
          <w:rtl/>
        </w:rPr>
        <w:t>לקמן (לו:)</w:t>
      </w:r>
      <w:r w:rsidRPr="006E7E58">
        <w:rPr>
          <w:rFonts w:hint="cs"/>
          <w:rtl/>
        </w:rPr>
        <w:t xml:space="preserve"> דלדעת רבנן צריך ג"ש מיום ליום, א"כ ת"ק דמתני' הוא כדעת רבנן דרבי ישמעאל, וס"ל דבין בבית השלחין ובין בבית הבעל צריך ג"ש, אלא דר"ע ורבי ישמעאל נחלקו על ת"ק רק בבית השלחין.</w:t>
      </w:r>
    </w:p>
    <w:p w:rsidR="00AB3447" w:rsidRDefault="00AB3447" w:rsidP="00AB3447">
      <w:pPr>
        <w:pStyle w:val="afe"/>
        <w:rPr>
          <w:rtl/>
        </w:rPr>
      </w:pPr>
      <w:bookmarkStart w:id="1310" w:name="_Toc53934659"/>
      <w:bookmarkStart w:id="1311" w:name="_Toc53940594"/>
      <w:bookmarkStart w:id="1312" w:name="_Toc54210299"/>
      <w:bookmarkStart w:id="1313" w:name="_Toc54201251"/>
      <w:bookmarkStart w:id="1314" w:name="_Toc54177799"/>
      <w:bookmarkStart w:id="1315" w:name="_Toc53940595"/>
      <w:bookmarkStart w:id="1316" w:name="_Toc53934660"/>
      <w:bookmarkStart w:id="1317" w:name="_Toc54201313"/>
      <w:r>
        <w:rPr>
          <w:rFonts w:hint="cs"/>
          <w:rtl/>
        </w:rPr>
        <w:t>בדין שדה העומדת לאספסתא לרבנן</w:t>
      </w:r>
      <w:bookmarkEnd w:id="1310"/>
      <w:bookmarkEnd w:id="1311"/>
      <w:bookmarkEnd w:id="1312"/>
    </w:p>
    <w:p w:rsidR="00AB3447" w:rsidRDefault="00AB3447" w:rsidP="00AB3447">
      <w:pPr>
        <w:pStyle w:val="1"/>
        <w:rPr>
          <w:rtl/>
        </w:rPr>
      </w:pPr>
      <w:bookmarkStart w:id="1318" w:name="_Toc54210300"/>
      <w:bookmarkStart w:id="1319" w:name="_Toc54177784"/>
      <w:bookmarkEnd w:id="1313"/>
      <w:bookmarkEnd w:id="1314"/>
      <w:bookmarkEnd w:id="1315"/>
      <w:bookmarkEnd w:id="1316"/>
      <w:r>
        <w:rPr>
          <w:rFonts w:hint="cs"/>
          <w:rtl/>
        </w:rPr>
        <w:t>דברי הרשב"א דלרבנן בעומדת לאספסתא ג' אכילות בג"ש</w:t>
      </w:r>
      <w:bookmarkEnd w:id="1318"/>
    </w:p>
    <w:p w:rsidR="00AB3447" w:rsidRDefault="00AB3447" w:rsidP="00AB3447">
      <w:pPr>
        <w:pStyle w:val="a3"/>
        <w:rPr>
          <w:rtl/>
        </w:rPr>
      </w:pPr>
      <w:bookmarkStart w:id="1320" w:name="_Toc54210301"/>
      <w:r>
        <w:rPr>
          <w:rFonts w:hint="cs"/>
          <w:rtl/>
        </w:rPr>
        <w:t>דברי הרשב"א והריטב"א דלרבנן בשדה העומדת לאספסתא סגי בג' אכילות של ג"ש</w:t>
      </w:r>
      <w:bookmarkEnd w:id="1320"/>
    </w:p>
    <w:p w:rsidR="00AB3447" w:rsidRDefault="00AB3447" w:rsidP="007E4E81">
      <w:pPr>
        <w:pStyle w:val="a0"/>
        <w:rPr>
          <w:rtl/>
        </w:rPr>
      </w:pPr>
      <w:bookmarkStart w:id="1321" w:name="_Ref54208130"/>
      <w:r>
        <w:rPr>
          <w:rFonts w:hint="cs"/>
          <w:rtl/>
        </w:rPr>
        <w:t xml:space="preserve">כתב </w:t>
      </w:r>
      <w:r>
        <w:rPr>
          <w:rStyle w:val="af9"/>
          <w:rtl/>
        </w:rPr>
        <w:t>הרשב"א</w:t>
      </w:r>
      <w:r>
        <w:rPr>
          <w:rFonts w:hint="cs"/>
          <w:rtl/>
        </w:rPr>
        <w:t xml:space="preserve"> </w:t>
      </w:r>
      <w:r w:rsidRPr="00B0490E">
        <w:rPr>
          <w:rStyle w:val="af7"/>
          <w:rFonts w:eastAsia="Guttman Hodes" w:hint="cs"/>
          <w:rtl/>
        </w:rPr>
        <w:t>(ומה שאמרנו)</w:t>
      </w:r>
      <w:r>
        <w:rPr>
          <w:rFonts w:hint="cs"/>
          <w:rtl/>
        </w:rPr>
        <w:t xml:space="preserve"> דנראה דלדעת רבנן הא דהצריכו רב ושמואל אכילת פירות גמורים של ג"ש, </w:t>
      </w:r>
      <w:r w:rsidRPr="007D7BED">
        <w:rPr>
          <w:rStyle w:val="afb"/>
          <w:rFonts w:hint="cs"/>
          <w:rtl/>
        </w:rPr>
        <w:t xml:space="preserve">[כדביאר </w:t>
      </w:r>
      <w:r w:rsidRPr="007D7BED">
        <w:rPr>
          <w:rStyle w:val="affa"/>
          <w:rFonts w:hint="cs"/>
          <w:rtl/>
        </w:rPr>
        <w:t>הרשב"א</w:t>
      </w:r>
      <w:r w:rsidRPr="007D7BED">
        <w:rPr>
          <w:rStyle w:val="afb"/>
          <w:rFonts w:hint="cs"/>
          <w:rtl/>
        </w:rPr>
        <w:t xml:space="preserve"> </w:t>
      </w:r>
      <w:r w:rsidRPr="007D7BED">
        <w:rPr>
          <w:rStyle w:val="aff6"/>
          <w:rFonts w:hint="cs"/>
          <w:rtl/>
        </w:rPr>
        <w:t xml:space="preserve">(עי' אות </w:t>
      </w:r>
      <w:r w:rsidRPr="007D7BED">
        <w:rPr>
          <w:rStyle w:val="aff6"/>
          <w:rtl/>
        </w:rPr>
        <w:fldChar w:fldCharType="begin"/>
      </w:r>
      <w:r w:rsidRPr="007D7BED">
        <w:rPr>
          <w:rStyle w:val="aff6"/>
          <w:rtl/>
        </w:rPr>
        <w:instrText xml:space="preserve"> </w:instrText>
      </w:r>
      <w:r w:rsidRPr="007D7BED">
        <w:rPr>
          <w:rStyle w:val="aff6"/>
          <w:rFonts w:hint="cs"/>
        </w:rPr>
        <w:instrText>REF</w:instrText>
      </w:r>
      <w:r w:rsidRPr="007D7BED">
        <w:rPr>
          <w:rStyle w:val="aff6"/>
          <w:rFonts w:hint="cs"/>
          <w:rtl/>
        </w:rPr>
        <w:instrText xml:space="preserve"> _</w:instrText>
      </w:r>
      <w:r w:rsidRPr="007D7BED">
        <w:rPr>
          <w:rStyle w:val="aff6"/>
          <w:rFonts w:hint="cs"/>
        </w:rPr>
        <w:instrText>Ref54208160 \r \h</w:instrText>
      </w:r>
      <w:r w:rsidRPr="007D7BED">
        <w:rPr>
          <w:rStyle w:val="aff6"/>
          <w:rtl/>
        </w:rPr>
        <w:instrText xml:space="preserve"> </w:instrText>
      </w:r>
      <w:r w:rsidRPr="007D7BED">
        <w:rPr>
          <w:rStyle w:val="aff6"/>
          <w:rtl/>
        </w:rPr>
      </w:r>
      <w:r w:rsidRPr="007D7BED">
        <w:rPr>
          <w:rStyle w:val="aff6"/>
          <w:rtl/>
        </w:rPr>
        <w:fldChar w:fldCharType="separate"/>
      </w:r>
      <w:r w:rsidR="00265073">
        <w:rPr>
          <w:rStyle w:val="aff6"/>
          <w:cs/>
        </w:rPr>
        <w:t>‎</w:t>
      </w:r>
      <w:r w:rsidR="00265073">
        <w:rPr>
          <w:rStyle w:val="aff6"/>
          <w:rtl/>
        </w:rPr>
        <w:t>סט)</w:t>
      </w:r>
      <w:r w:rsidRPr="007D7BED">
        <w:rPr>
          <w:rStyle w:val="aff6"/>
          <w:rtl/>
        </w:rPr>
        <w:fldChar w:fldCharType="end"/>
      </w:r>
      <w:r w:rsidRPr="007D7BED">
        <w:rPr>
          <w:rStyle w:val="afb"/>
          <w:rFonts w:hint="cs"/>
          <w:rtl/>
        </w:rPr>
        <w:t>],</w:t>
      </w:r>
      <w:r>
        <w:rPr>
          <w:rFonts w:hint="cs"/>
          <w:rtl/>
        </w:rPr>
        <w:t xml:space="preserve"> היינו דוקא בשדה שעומדת לחיטים ושעורים, אבל בשדה העומדת לאספתא, אעפ"י דלא סגי בג' חודשים כרבי ישמעאל, מ"מ סגי בג' אספסתות של ג' שנים, בתנאי שלא הייתה השדה ביד אחרים בכל אותם השנים, וכ"כ </w:t>
      </w:r>
      <w:r>
        <w:rPr>
          <w:rStyle w:val="af9"/>
          <w:rtl/>
        </w:rPr>
        <w:t>הריטב"א לקמן</w:t>
      </w:r>
      <w:r>
        <w:rPr>
          <w:rFonts w:hint="cs"/>
          <w:rtl/>
        </w:rPr>
        <w:t xml:space="preserve"> </w:t>
      </w:r>
      <w:r>
        <w:rPr>
          <w:rStyle w:val="af7"/>
          <w:rFonts w:eastAsia="Guttman Hodes" w:hint="cs"/>
          <w:rtl/>
        </w:rPr>
        <w:t>(לו. ד"ה ולכולהו)</w:t>
      </w:r>
      <w:r>
        <w:rPr>
          <w:rFonts w:hint="cs"/>
          <w:rtl/>
        </w:rPr>
        <w:t>.</w:t>
      </w:r>
      <w:bookmarkEnd w:id="1321"/>
    </w:p>
    <w:p w:rsidR="00AB3447" w:rsidRPr="00E57B68" w:rsidRDefault="00AB3447" w:rsidP="00AB3447">
      <w:pPr>
        <w:pStyle w:val="a3"/>
      </w:pPr>
      <w:bookmarkStart w:id="1322" w:name="_Toc54210302"/>
      <w:r>
        <w:rPr>
          <w:rFonts w:hint="cs"/>
          <w:rtl/>
        </w:rPr>
        <w:t>דברי הרשב"א והריטב"א דלרבנן דטעמא דחזקה דעד ג"ש נזהר בשטרו לעולם צריך ג"ש</w:t>
      </w:r>
      <w:bookmarkEnd w:id="1322"/>
    </w:p>
    <w:p w:rsidR="00AB3447" w:rsidRDefault="00AB3447" w:rsidP="007E4E81">
      <w:pPr>
        <w:pStyle w:val="a0"/>
        <w:rPr>
          <w:rtl/>
        </w:rPr>
      </w:pPr>
      <w:r>
        <w:rPr>
          <w:rFonts w:hint="cs"/>
          <w:rtl/>
        </w:rPr>
        <w:t xml:space="preserve">וביארו </w:t>
      </w:r>
      <w:r>
        <w:rPr>
          <w:rStyle w:val="af9"/>
          <w:rtl/>
        </w:rPr>
        <w:t>הרשב"א</w:t>
      </w:r>
      <w:r>
        <w:rPr>
          <w:rStyle w:val="af9"/>
          <w:rFonts w:hint="cs"/>
          <w:rtl/>
        </w:rPr>
        <w:t xml:space="preserve"> והריטב"א</w:t>
      </w:r>
      <w:r>
        <w:rPr>
          <w:rFonts w:hint="cs"/>
          <w:rtl/>
        </w:rPr>
        <w:t xml:space="preserve"> דרבי ישמעאל יליף משור המועד, ולכן סגי בג' אכילות, אבל לרבנן דטעמא דחזקה הוא דעד ג"ש הלוקח נזהר בשטרו, ולכן בפחות מג"ש אינה חזקה, וסגי בג' אכילות של ג' שנים וא"צ ג"ש מיום ליום.</w:t>
      </w:r>
    </w:p>
    <w:p w:rsidR="00AB3447" w:rsidRPr="00232810" w:rsidRDefault="00AB3447" w:rsidP="00AB3447">
      <w:pPr>
        <w:pStyle w:val="a3"/>
      </w:pPr>
      <w:bookmarkStart w:id="1323" w:name="_Toc54210303"/>
      <w:r>
        <w:rPr>
          <w:rFonts w:hint="cs"/>
          <w:rtl/>
        </w:rPr>
        <w:t>דברי הרשב"א דא"א לומר דצריך לזרוע בכל חודש דא"כ הוא בית השלחין ולכו"ע צריך ג"ש</w:t>
      </w:r>
      <w:bookmarkEnd w:id="1323"/>
    </w:p>
    <w:p w:rsidR="00AB3447" w:rsidRDefault="00AB3447" w:rsidP="007E4E81">
      <w:pPr>
        <w:pStyle w:val="a0"/>
        <w:rPr>
          <w:rtl/>
        </w:rPr>
      </w:pPr>
      <w:r>
        <w:rPr>
          <w:rFonts w:hint="cs"/>
          <w:rtl/>
        </w:rPr>
        <w:t xml:space="preserve">וכתב </w:t>
      </w:r>
      <w:r>
        <w:rPr>
          <w:rStyle w:val="af9"/>
          <w:rtl/>
        </w:rPr>
        <w:t>הרשב"א</w:t>
      </w:r>
      <w:r>
        <w:rPr>
          <w:rFonts w:hint="cs"/>
          <w:rtl/>
        </w:rPr>
        <w:t xml:space="preserve"> דא"א לומר דלרבנן בכדי שתהיה לו חזקה הוא צריך לזרוע מחדש בכל חודש, דא"כ אי"ז בית הבעל אלא בית השלחין, ואף לדעת רבי ישמעאל צריך ג"ש שלימות.</w:t>
      </w:r>
    </w:p>
    <w:p w:rsidR="00AB3447" w:rsidRDefault="00AB3447" w:rsidP="00AB3447">
      <w:pPr>
        <w:pStyle w:val="a3"/>
        <w:rPr>
          <w:rtl/>
        </w:rPr>
      </w:pPr>
      <w:bookmarkStart w:id="1324" w:name="_Toc54210304"/>
      <w:r>
        <w:rPr>
          <w:rFonts w:hint="cs"/>
          <w:rtl/>
        </w:rPr>
        <w:t>ביאור הרשב"א דעומדת לאספסתא היא כחושה וחזקתה במה שזורעה פעם אחת ומוביר בשאר</w:t>
      </w:r>
      <w:bookmarkEnd w:id="1324"/>
    </w:p>
    <w:p w:rsidR="00AB3447" w:rsidRDefault="00AB3447" w:rsidP="007E4E81">
      <w:pPr>
        <w:pStyle w:val="a0"/>
        <w:rPr>
          <w:rtl/>
        </w:rPr>
      </w:pPr>
      <w:r>
        <w:rPr>
          <w:rFonts w:hint="cs"/>
          <w:rtl/>
        </w:rPr>
        <w:t xml:space="preserve">אלא כתב </w:t>
      </w:r>
      <w:r>
        <w:rPr>
          <w:rStyle w:val="af9"/>
          <w:rtl/>
        </w:rPr>
        <w:t>הרשב"א</w:t>
      </w:r>
      <w:r>
        <w:rPr>
          <w:rFonts w:hint="cs"/>
          <w:rtl/>
        </w:rPr>
        <w:t xml:space="preserve"> דמוכח דלרבנן סגי בג' אכילות של אספסתא בג"ש, דשדה העומדת לאספסתא לא דמי לבית השלחין, כיון דשדה אספסתא היא שדה כחושה ולכן העמידו אותה בעליה רק לאספסתא, ואם חזקתו תהיה ע"י שיזרע כל חודש מחדש, הוא מכחיש את השדה, ורק כשזורע פעם אחת בשנה ומוביר בשאר השנה, הוא משביח את הקרקע ומשתמש בה כדרך הבעלים.</w:t>
      </w:r>
    </w:p>
    <w:p w:rsidR="00AB3447" w:rsidRDefault="00AB3447" w:rsidP="00AB3447">
      <w:pPr>
        <w:pStyle w:val="1"/>
        <w:rPr>
          <w:rtl/>
        </w:rPr>
      </w:pPr>
      <w:bookmarkStart w:id="1325" w:name="_Toc54201252"/>
      <w:bookmarkStart w:id="1326" w:name="_Toc54210305"/>
      <w:r>
        <w:rPr>
          <w:rFonts w:hint="cs"/>
          <w:rtl/>
        </w:rPr>
        <w:t>דעת הי"א בריטב"א</w:t>
      </w:r>
      <w:bookmarkEnd w:id="1319"/>
      <w:r>
        <w:rPr>
          <w:rFonts w:hint="cs"/>
          <w:rtl/>
        </w:rPr>
        <w:t xml:space="preserve"> דלרבנן בשדה אספסתא צריך ג' תבואות</w:t>
      </w:r>
      <w:bookmarkEnd w:id="1325"/>
      <w:bookmarkEnd w:id="1326"/>
    </w:p>
    <w:p w:rsidR="00AB3447" w:rsidRDefault="00AB3447" w:rsidP="00AB3447">
      <w:pPr>
        <w:pStyle w:val="a3"/>
        <w:rPr>
          <w:rtl/>
        </w:rPr>
      </w:pPr>
      <w:bookmarkStart w:id="1327" w:name="_Toc54201253"/>
      <w:bookmarkStart w:id="1328" w:name="_Toc54210306"/>
      <w:r>
        <w:rPr>
          <w:rFonts w:hint="cs"/>
          <w:rtl/>
        </w:rPr>
        <w:t>דעת הי"א בריטב"א דלרבנן בשדה אספסתא צריך ג' תבואות גדולות דעד ג"ש נזהר בשטרו</w:t>
      </w:r>
      <w:bookmarkEnd w:id="1327"/>
      <w:bookmarkEnd w:id="1328"/>
    </w:p>
    <w:p w:rsidR="00AB3447" w:rsidRDefault="00AB3447" w:rsidP="007E4E81">
      <w:pPr>
        <w:pStyle w:val="a0"/>
        <w:rPr>
          <w:rtl/>
        </w:rPr>
      </w:pPr>
      <w:r>
        <w:rPr>
          <w:rFonts w:hint="cs"/>
          <w:rtl/>
        </w:rPr>
        <w:t xml:space="preserve">אך הביא </w:t>
      </w:r>
      <w:r>
        <w:rPr>
          <w:rStyle w:val="af9"/>
          <w:rtl/>
        </w:rPr>
        <w:t>הריטב"א</w:t>
      </w:r>
      <w:r>
        <w:rPr>
          <w:rFonts w:hint="cs"/>
          <w:rtl/>
        </w:rPr>
        <w:t xml:space="preserve"> </w:t>
      </w:r>
      <w:r>
        <w:rPr>
          <w:rStyle w:val="af9"/>
          <w:rtl/>
        </w:rPr>
        <w:t>לקמן</w:t>
      </w:r>
      <w:r>
        <w:rPr>
          <w:rFonts w:hint="cs"/>
          <w:rtl/>
        </w:rPr>
        <w:t xml:space="preserve"> </w:t>
      </w:r>
      <w:r>
        <w:rPr>
          <w:rStyle w:val="af7"/>
          <w:rFonts w:eastAsia="Guttman Hodes" w:hint="cs"/>
          <w:rtl/>
        </w:rPr>
        <w:t>(לו. ד"ה ולכולהו)</w:t>
      </w:r>
      <w:r>
        <w:rPr>
          <w:rFonts w:hint="cs"/>
          <w:rtl/>
        </w:rPr>
        <w:t xml:space="preserve"> בשם </w:t>
      </w:r>
      <w:r>
        <w:rPr>
          <w:rStyle w:val="af9"/>
          <w:rtl/>
        </w:rPr>
        <w:t>י"א</w:t>
      </w:r>
      <w:r>
        <w:rPr>
          <w:rFonts w:hint="cs"/>
          <w:rtl/>
        </w:rPr>
        <w:t xml:space="preserve"> דלדעת רבנן אף בשדה שעומדת לאספסתא צריך שיאכל ג' תבואות גדולות בג"ש שאינם רצופות, כמו באתרא דמוברי באגי, דכיון דס"ל דטעמא דחזקה הוא דעד ג"ש אדם נזהר בשטרו, א"כ הוי חזקה רק שאוכל ג' </w:t>
      </w:r>
      <w:r>
        <w:rPr>
          <w:rFonts w:hint="cs"/>
          <w:rtl/>
        </w:rPr>
        <w:t xml:space="preserve">אכילות שלימות, או שאוכל ג"ש שלימות בתבואות קטנות, ודחה </w:t>
      </w:r>
      <w:r>
        <w:rPr>
          <w:rStyle w:val="af9"/>
          <w:rtl/>
        </w:rPr>
        <w:t>הריטב"א</w:t>
      </w:r>
      <w:r>
        <w:rPr>
          <w:rFonts w:hint="cs"/>
          <w:rtl/>
        </w:rPr>
        <w:t xml:space="preserve"> את דבריהם.</w:t>
      </w:r>
    </w:p>
    <w:p w:rsidR="00AB3447" w:rsidRDefault="00AB3447" w:rsidP="00AB3447">
      <w:pPr>
        <w:pStyle w:val="afe"/>
        <w:rPr>
          <w:rtl/>
        </w:rPr>
      </w:pPr>
      <w:bookmarkStart w:id="1329" w:name="_Toc54210307"/>
      <w:r>
        <w:rPr>
          <w:rFonts w:hint="cs"/>
          <w:rtl/>
        </w:rPr>
        <w:t>בגדר חזקת ג"ש לרב ולשמואל</w:t>
      </w:r>
      <w:bookmarkEnd w:id="1317"/>
      <w:bookmarkEnd w:id="1329"/>
    </w:p>
    <w:p w:rsidR="00AB3447" w:rsidRPr="00AE46EF" w:rsidRDefault="00AB3447" w:rsidP="00AB3447">
      <w:pPr>
        <w:pStyle w:val="1"/>
        <w:rPr>
          <w:rtl/>
        </w:rPr>
      </w:pPr>
      <w:bookmarkStart w:id="1330" w:name="_Toc54201314"/>
      <w:bookmarkStart w:id="1331" w:name="_Toc54210308"/>
      <w:r>
        <w:rPr>
          <w:rFonts w:hint="cs"/>
          <w:rtl/>
        </w:rPr>
        <w:t>ביאור הרשב"ם ורבינו יונה דלרב ולשמואל צריך ג"ש</w:t>
      </w:r>
      <w:bookmarkEnd w:id="1330"/>
      <w:bookmarkEnd w:id="1331"/>
    </w:p>
    <w:p w:rsidR="00AB3447" w:rsidRDefault="00AB3447" w:rsidP="00AB3447">
      <w:pPr>
        <w:pStyle w:val="a3"/>
        <w:rPr>
          <w:rtl/>
        </w:rPr>
      </w:pPr>
      <w:bookmarkStart w:id="1332" w:name="_Toc54201315"/>
      <w:bookmarkStart w:id="1333" w:name="_Toc54210309"/>
      <w:r>
        <w:rPr>
          <w:rFonts w:hint="cs"/>
          <w:rtl/>
        </w:rPr>
        <w:t>ביאור הרשב"ם בקושית הגמ' על רב ושמואל דמאי בינייהו דלרב ולשמואל צריך ג"ש</w:t>
      </w:r>
      <w:bookmarkEnd w:id="1332"/>
      <w:bookmarkEnd w:id="1333"/>
    </w:p>
    <w:p w:rsidR="00AB3447" w:rsidRDefault="00AB3447" w:rsidP="007E4E81">
      <w:pPr>
        <w:pStyle w:val="a0"/>
        <w:rPr>
          <w:rtl/>
        </w:rPr>
      </w:pPr>
      <w:bookmarkStart w:id="1334" w:name="_Ref53745854"/>
      <w:r w:rsidRPr="0045794D">
        <w:rPr>
          <w:rFonts w:hint="cs"/>
          <w:rtl/>
        </w:rPr>
        <w:t xml:space="preserve">בקושית הגמ' לקמן </w:t>
      </w:r>
      <w:r w:rsidRPr="0045794D">
        <w:rPr>
          <w:rStyle w:val="af7"/>
          <w:rFonts w:eastAsia="Guttman Hodes" w:hint="cs"/>
          <w:rtl/>
        </w:rPr>
        <w:t>(לו:)</w:t>
      </w:r>
      <w:r w:rsidRPr="0045794D">
        <w:rPr>
          <w:rFonts w:hint="cs"/>
          <w:rtl/>
        </w:rPr>
        <w:t xml:space="preserve"> דמה הנ"מ בין רב לשמואל, ביאר </w:t>
      </w:r>
      <w:r w:rsidRPr="0045794D">
        <w:rPr>
          <w:rStyle w:val="af9"/>
          <w:rFonts w:hint="cs"/>
          <w:rtl/>
        </w:rPr>
        <w:t>הרשב"ם לקמן</w:t>
      </w:r>
      <w:r>
        <w:rPr>
          <w:rFonts w:hint="cs"/>
          <w:rtl/>
        </w:rPr>
        <w:t xml:space="preserve"> </w:t>
      </w:r>
      <w:r w:rsidRPr="00B44181">
        <w:rPr>
          <w:rStyle w:val="af7"/>
          <w:rFonts w:eastAsia="Guttman Hodes" w:hint="cs"/>
          <w:rtl/>
        </w:rPr>
        <w:t>(לו: ד"ה מאי)</w:t>
      </w:r>
      <w:r>
        <w:rPr>
          <w:rFonts w:hint="cs"/>
          <w:rtl/>
        </w:rPr>
        <w:t xml:space="preserve"> דהא בין לרב ובין לשמואל צריך ג"ש, ועי' במה שביאר </w:t>
      </w:r>
      <w:r w:rsidRPr="00650F9F">
        <w:rPr>
          <w:rStyle w:val="af9"/>
          <w:rFonts w:hint="cs"/>
          <w:rtl/>
        </w:rPr>
        <w:t>הרמב"ן</w:t>
      </w:r>
      <w:r>
        <w:rPr>
          <w:rFonts w:hint="cs"/>
          <w:rtl/>
        </w:rPr>
        <w:t xml:space="preserve"> </w:t>
      </w:r>
      <w:r w:rsidRPr="00650F9F">
        <w:rPr>
          <w:rStyle w:val="af7"/>
          <w:rFonts w:eastAsia="Guttman Hodes" w:hint="cs"/>
          <w:rtl/>
        </w:rPr>
        <w:t xml:space="preserve">(עי' אות </w:t>
      </w:r>
      <w:r w:rsidRPr="00650F9F">
        <w:rPr>
          <w:rStyle w:val="af7"/>
          <w:rFonts w:eastAsia="Guttman Hodes"/>
          <w:rtl/>
        </w:rPr>
        <w:fldChar w:fldCharType="begin"/>
      </w:r>
      <w:r w:rsidRPr="00650F9F">
        <w:rPr>
          <w:rStyle w:val="af7"/>
          <w:rFonts w:eastAsia="Guttman Hodes"/>
          <w:rtl/>
        </w:rPr>
        <w:instrText xml:space="preserve"> </w:instrText>
      </w:r>
      <w:r w:rsidRPr="00650F9F">
        <w:rPr>
          <w:rStyle w:val="af7"/>
          <w:rFonts w:eastAsia="Guttman Hodes" w:hint="cs"/>
        </w:rPr>
        <w:instrText>REF</w:instrText>
      </w:r>
      <w:r w:rsidRPr="00650F9F">
        <w:rPr>
          <w:rStyle w:val="af7"/>
          <w:rFonts w:eastAsia="Guttman Hodes" w:hint="cs"/>
          <w:rtl/>
        </w:rPr>
        <w:instrText xml:space="preserve"> _</w:instrText>
      </w:r>
      <w:r w:rsidRPr="00650F9F">
        <w:rPr>
          <w:rStyle w:val="af7"/>
          <w:rFonts w:eastAsia="Guttman Hodes" w:hint="cs"/>
        </w:rPr>
        <w:instrText>Ref54199203 \r \h</w:instrText>
      </w:r>
      <w:r w:rsidRPr="00650F9F">
        <w:rPr>
          <w:rStyle w:val="af7"/>
          <w:rFonts w:eastAsia="Guttman Hodes"/>
          <w:rtl/>
        </w:rPr>
        <w:instrText xml:space="preserve"> </w:instrText>
      </w:r>
      <w:r w:rsidRPr="00650F9F">
        <w:rPr>
          <w:rStyle w:val="af7"/>
          <w:rFonts w:eastAsia="Guttman Hodes"/>
          <w:rtl/>
        </w:rPr>
      </w:r>
      <w:r w:rsidRPr="00650F9F">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650F9F">
        <w:rPr>
          <w:rStyle w:val="af7"/>
          <w:rFonts w:eastAsia="Guttman Hodes"/>
          <w:rtl/>
        </w:rPr>
        <w:fldChar w:fldCharType="end"/>
      </w:r>
      <w:r>
        <w:rPr>
          <w:rFonts w:hint="cs"/>
          <w:rtl/>
        </w:rPr>
        <w:t xml:space="preserve"> בדברי </w:t>
      </w:r>
      <w:r w:rsidRPr="00650F9F">
        <w:rPr>
          <w:rStyle w:val="af9"/>
          <w:rFonts w:hint="cs"/>
          <w:rtl/>
        </w:rPr>
        <w:t>הרשב"ם</w:t>
      </w:r>
      <w:r>
        <w:rPr>
          <w:rFonts w:hint="cs"/>
          <w:rtl/>
        </w:rPr>
        <w:t>.</w:t>
      </w:r>
      <w:bookmarkEnd w:id="1334"/>
    </w:p>
    <w:p w:rsidR="00AB3447" w:rsidRPr="00EE0546" w:rsidRDefault="00AB3447" w:rsidP="00AB3447">
      <w:pPr>
        <w:pStyle w:val="a3"/>
        <w:rPr>
          <w:rtl/>
        </w:rPr>
      </w:pPr>
      <w:bookmarkStart w:id="1335" w:name="_Toc54201316"/>
      <w:bookmarkStart w:id="1336" w:name="_Toc54210310"/>
      <w:r>
        <w:rPr>
          <w:rFonts w:hint="cs"/>
          <w:rtl/>
        </w:rPr>
        <w:t>דברי רבינו יונה לאף לשמואל צריך ג"ש שלימות ולא מקוטעות דאל"ה זו הנ"מ בין רב לשמואל</w:t>
      </w:r>
      <w:bookmarkEnd w:id="1335"/>
      <w:bookmarkEnd w:id="1336"/>
    </w:p>
    <w:p w:rsidR="00AB3447" w:rsidRDefault="00AB3447" w:rsidP="007E4E81">
      <w:pPr>
        <w:pStyle w:val="a0"/>
        <w:rPr>
          <w:rtl/>
        </w:rPr>
      </w:pPr>
      <w:r>
        <w:rPr>
          <w:rFonts w:hint="cs"/>
          <w:rtl/>
        </w:rPr>
        <w:t xml:space="preserve">וכ"כ </w:t>
      </w:r>
      <w:r w:rsidRPr="00514F4C">
        <w:rPr>
          <w:rStyle w:val="af9"/>
          <w:rFonts w:hint="cs"/>
          <w:rtl/>
        </w:rPr>
        <w:t>רבינו יונה</w:t>
      </w:r>
      <w:r>
        <w:rPr>
          <w:rFonts w:hint="cs"/>
          <w:rtl/>
        </w:rPr>
        <w:t xml:space="preserve"> </w:t>
      </w:r>
      <w:r w:rsidRPr="00514F4C">
        <w:rPr>
          <w:rStyle w:val="af7"/>
          <w:rFonts w:eastAsia="Guttman Hodes" w:hint="cs"/>
          <w:rtl/>
        </w:rPr>
        <w:t xml:space="preserve">(ד"ה ולענין) </w:t>
      </w:r>
      <w:r>
        <w:rPr>
          <w:rFonts w:hint="cs"/>
          <w:rtl/>
        </w:rPr>
        <w:t xml:space="preserve">דאף לשמואל צריך ג"ש שלימות, אבל במקוטעות לא הוי חזקה אף אם גדר ג' גדירות, [וכ"כ </w:t>
      </w:r>
      <w:r w:rsidRPr="00514F4C">
        <w:rPr>
          <w:rStyle w:val="af9"/>
          <w:rFonts w:hint="cs"/>
          <w:rtl/>
        </w:rPr>
        <w:t>הרא"ש</w:t>
      </w:r>
      <w:r>
        <w:rPr>
          <w:rFonts w:hint="cs"/>
          <w:rtl/>
        </w:rPr>
        <w:t xml:space="preserve"> </w:t>
      </w:r>
      <w:r w:rsidRPr="00514F4C">
        <w:rPr>
          <w:rStyle w:val="af7"/>
          <w:rFonts w:eastAsia="Guttman Hodes" w:hint="cs"/>
          <w:rtl/>
        </w:rPr>
        <w:t>(סי' כ"ו)</w:t>
      </w:r>
      <w:r>
        <w:rPr>
          <w:rFonts w:hint="cs"/>
          <w:rtl/>
        </w:rPr>
        <w:t>], וכדמוכח מהא דלא תירצה הגמ' לקמן דהנ"מ בין רב לשמואל היא בג"ש מקוטעות, ומוכח דמודה שמואל לרב שצריך ג"ש מיום ליום, בין בשדה האילן ובין בשדה הבעל.</w:t>
      </w:r>
    </w:p>
    <w:p w:rsidR="00AB3447" w:rsidRPr="00C11DF6" w:rsidRDefault="00AB3447" w:rsidP="00AB3447">
      <w:pPr>
        <w:pStyle w:val="a3"/>
        <w:rPr>
          <w:rtl/>
        </w:rPr>
      </w:pPr>
      <w:bookmarkStart w:id="1337" w:name="_Toc54201317"/>
      <w:bookmarkStart w:id="1338" w:name="_Toc54210311"/>
      <w:r>
        <w:rPr>
          <w:rFonts w:hint="cs"/>
          <w:rtl/>
        </w:rPr>
        <w:t>ביאור רבינו יונה דפשיטא דשמואל כרבנן ולא יליף משור המועד דהצריך ג' אכילות מאותו מין</w:t>
      </w:r>
      <w:bookmarkEnd w:id="1337"/>
      <w:bookmarkEnd w:id="1338"/>
    </w:p>
    <w:p w:rsidR="00AB3447" w:rsidRDefault="00AB3447" w:rsidP="007E4E81">
      <w:pPr>
        <w:pStyle w:val="a0"/>
        <w:rPr>
          <w:rtl/>
        </w:rPr>
      </w:pPr>
      <w:bookmarkStart w:id="1339" w:name="_Ref54200745"/>
      <w:r>
        <w:rPr>
          <w:rFonts w:hint="cs"/>
          <w:rtl/>
        </w:rPr>
        <w:t xml:space="preserve">וביאר </w:t>
      </w:r>
      <w:r w:rsidRPr="00514F4C">
        <w:rPr>
          <w:rStyle w:val="af9"/>
          <w:rFonts w:hint="cs"/>
          <w:rtl/>
        </w:rPr>
        <w:t>רבינו יונה</w:t>
      </w:r>
      <w:r>
        <w:rPr>
          <w:rFonts w:hint="cs"/>
          <w:rtl/>
        </w:rPr>
        <w:t xml:space="preserve"> דהיה פשוט לגמ' דשמואל ס"ל כרבנן שצריך ג"ש, דהא אי יליף משור המועד, א"כ סגי בג' אכילות שונות וא"צ ג' אכילות של אותו דבר כדברי שמואל.</w:t>
      </w:r>
      <w:bookmarkEnd w:id="1339"/>
    </w:p>
    <w:p w:rsidR="00AB3447" w:rsidRPr="00E4380E" w:rsidRDefault="00AB3447" w:rsidP="00AB3447">
      <w:pPr>
        <w:pStyle w:val="a3"/>
      </w:pPr>
      <w:bookmarkStart w:id="1340" w:name="_Toc54201318"/>
      <w:bookmarkStart w:id="1341" w:name="_Toc54210312"/>
      <w:r>
        <w:rPr>
          <w:rFonts w:hint="cs"/>
          <w:rtl/>
        </w:rPr>
        <w:t>דברי רבינו יונה דלשמואל טעמא דחזקה הוא דעד ג"ש נזהר בשטרו ולעולם צריך ג"ש שלימות</w:t>
      </w:r>
      <w:bookmarkEnd w:id="1340"/>
      <w:bookmarkEnd w:id="1341"/>
    </w:p>
    <w:p w:rsidR="00AB3447" w:rsidRDefault="00AB3447" w:rsidP="007E4E81">
      <w:pPr>
        <w:pStyle w:val="a0"/>
        <w:rPr>
          <w:rtl/>
        </w:rPr>
      </w:pPr>
      <w:bookmarkStart w:id="1342" w:name="_Ref54200827"/>
      <w:r>
        <w:rPr>
          <w:rFonts w:hint="cs"/>
          <w:rtl/>
        </w:rPr>
        <w:t xml:space="preserve">אלא כתב </w:t>
      </w:r>
      <w:r w:rsidRPr="00E4380E">
        <w:rPr>
          <w:rStyle w:val="af9"/>
          <w:rFonts w:hint="cs"/>
          <w:rtl/>
        </w:rPr>
        <w:t>רבינו יונה</w:t>
      </w:r>
      <w:r>
        <w:rPr>
          <w:rFonts w:hint="cs"/>
          <w:rtl/>
        </w:rPr>
        <w:t xml:space="preserve"> דמוכח דלשמואל טעמא דחזקה הוא דעד ג"ש אדם נזהר בשטרו, וא"כ צריך ג"ש מיום ליום, בין בבית השלחין ובין בבית הבעל ובין בשדה האילן, וכ"מ דנחלק שמואל על רב הוא רק בדקל נערה, ועי' במ"ש </w:t>
      </w:r>
      <w:r w:rsidRPr="00650F9F">
        <w:rPr>
          <w:rStyle w:val="af9"/>
          <w:rFonts w:hint="cs"/>
          <w:rtl/>
        </w:rPr>
        <w:t>הרמב"ן</w:t>
      </w:r>
      <w:r>
        <w:rPr>
          <w:rFonts w:hint="cs"/>
          <w:rtl/>
        </w:rPr>
        <w:t xml:space="preserve"> </w:t>
      </w:r>
      <w:r w:rsidRPr="00650F9F">
        <w:rPr>
          <w:rStyle w:val="af7"/>
          <w:rFonts w:eastAsia="Guttman Hodes" w:hint="cs"/>
          <w:rtl/>
        </w:rPr>
        <w:t>(עי' או</w:t>
      </w:r>
      <w:r>
        <w:rPr>
          <w:rStyle w:val="af7"/>
          <w:rFonts w:eastAsia="Guttman Hodes" w:hint="cs"/>
          <w:rtl/>
        </w:rPr>
        <w:t xml:space="preserve">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Ref55416529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Pr>
          <w:rStyle w:val="af7"/>
          <w:rFonts w:eastAsia="Guttman Hodes"/>
          <w:rtl/>
        </w:rPr>
        <w:fldChar w:fldCharType="end"/>
      </w:r>
      <w:r>
        <w:rPr>
          <w:rFonts w:hint="cs"/>
          <w:rtl/>
        </w:rPr>
        <w:t>.</w:t>
      </w:r>
      <w:bookmarkEnd w:id="1342"/>
      <w:r>
        <w:rPr>
          <w:rFonts w:hint="cs"/>
          <w:rtl/>
        </w:rPr>
        <w:t xml:space="preserve"> </w:t>
      </w:r>
    </w:p>
    <w:p w:rsidR="00AB3447" w:rsidRDefault="00AB3447" w:rsidP="00AB3447">
      <w:pPr>
        <w:pStyle w:val="a3"/>
        <w:rPr>
          <w:rtl/>
        </w:rPr>
      </w:pPr>
      <w:bookmarkStart w:id="1343" w:name="_Toc54201319"/>
      <w:bookmarkStart w:id="1344" w:name="_Toc54210313"/>
      <w:r>
        <w:rPr>
          <w:rFonts w:hint="cs"/>
          <w:rtl/>
        </w:rPr>
        <w:t>דברי רבינו יונה דלרבנן אין חילוק בין עושה פירות תדיר לאינו עושה ודלא כת"ק דמתני'</w:t>
      </w:r>
      <w:bookmarkEnd w:id="1343"/>
      <w:bookmarkEnd w:id="1344"/>
    </w:p>
    <w:p w:rsidR="00AB3447" w:rsidRDefault="00AB3447" w:rsidP="007E4E81">
      <w:pPr>
        <w:pStyle w:val="a0"/>
        <w:rPr>
          <w:rtl/>
        </w:rPr>
      </w:pPr>
      <w:r>
        <w:rPr>
          <w:rFonts w:hint="cs"/>
          <w:rtl/>
        </w:rPr>
        <w:t xml:space="preserve">וכתב </w:t>
      </w:r>
      <w:r w:rsidRPr="00514F4C">
        <w:rPr>
          <w:rStyle w:val="af9"/>
          <w:rFonts w:hint="cs"/>
          <w:rtl/>
        </w:rPr>
        <w:t>רבינו יונה</w:t>
      </w:r>
      <w:r>
        <w:rPr>
          <w:rFonts w:hint="cs"/>
          <w:rtl/>
        </w:rPr>
        <w:t xml:space="preserve"> דא"כ מבואר דלדעת רבנן בכל דבר שעושה פירות צריך ג"ש מיום ליום,</w:t>
      </w:r>
      <w:r w:rsidR="00A77F33">
        <w:rPr>
          <w:rFonts w:hint="cs"/>
          <w:rtl/>
        </w:rPr>
        <w:t xml:space="preserve"> </w:t>
      </w:r>
      <w:r>
        <w:rPr>
          <w:rFonts w:hint="cs"/>
          <w:rtl/>
        </w:rPr>
        <w:t xml:space="preserve">ואין כל חילוק בין דבר שעושה פירות תדיר, לאינו עושה פירות תדיר, כיון דטעמא דחזקה הוא דעד ג"ש אדם נזהר בשטרו. [ודלא </w:t>
      </w:r>
      <w:r w:rsidRPr="00374F48">
        <w:rPr>
          <w:rStyle w:val="af9"/>
          <w:rFonts w:hint="cs"/>
          <w:rtl/>
        </w:rPr>
        <w:t xml:space="preserve">כהרי"ף והרשב"א </w:t>
      </w:r>
      <w:r w:rsidRPr="00374F48">
        <w:rPr>
          <w:rStyle w:val="af7"/>
          <w:rFonts w:eastAsia="Guttman Hodes" w:hint="cs"/>
          <w:rtl/>
        </w:rPr>
        <w:t xml:space="preserve">(עי' אות </w:t>
      </w:r>
      <w:r w:rsidRPr="00374F48">
        <w:rPr>
          <w:rStyle w:val="af7"/>
          <w:rFonts w:eastAsia="Guttman Hodes"/>
          <w:rtl/>
        </w:rPr>
        <w:fldChar w:fldCharType="begin"/>
      </w:r>
      <w:r w:rsidRPr="00374F48">
        <w:rPr>
          <w:rStyle w:val="af7"/>
          <w:rFonts w:eastAsia="Guttman Hodes"/>
          <w:rtl/>
        </w:rPr>
        <w:instrText xml:space="preserve"> </w:instrText>
      </w:r>
      <w:r w:rsidRPr="00374F48">
        <w:rPr>
          <w:rStyle w:val="af7"/>
          <w:rFonts w:eastAsia="Guttman Hodes" w:hint="cs"/>
        </w:rPr>
        <w:instrText>REF</w:instrText>
      </w:r>
      <w:r w:rsidRPr="00374F48">
        <w:rPr>
          <w:rStyle w:val="af7"/>
          <w:rFonts w:eastAsia="Guttman Hodes" w:hint="cs"/>
          <w:rtl/>
        </w:rPr>
        <w:instrText xml:space="preserve"> _</w:instrText>
      </w:r>
      <w:r w:rsidRPr="00374F48">
        <w:rPr>
          <w:rStyle w:val="af7"/>
          <w:rFonts w:eastAsia="Guttman Hodes" w:hint="cs"/>
        </w:rPr>
        <w:instrText>Ref54198838 \r \h</w:instrText>
      </w:r>
      <w:r w:rsidRPr="00374F48">
        <w:rPr>
          <w:rStyle w:val="af7"/>
          <w:rFonts w:eastAsia="Guttman Hodes"/>
          <w:rtl/>
        </w:rPr>
        <w:instrText xml:space="preserve"> </w:instrText>
      </w:r>
      <w:r w:rsidRPr="00374F48">
        <w:rPr>
          <w:rStyle w:val="af7"/>
          <w:rFonts w:eastAsia="Guttman Hodes"/>
          <w:rtl/>
        </w:rPr>
      </w:r>
      <w:r w:rsidRPr="00374F48">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374F48">
        <w:rPr>
          <w:rStyle w:val="af7"/>
          <w:rFonts w:eastAsia="Guttman Hodes"/>
          <w:rtl/>
        </w:rPr>
        <w:fldChar w:fldCharType="end"/>
      </w:r>
      <w:r>
        <w:rPr>
          <w:rFonts w:hint="cs"/>
          <w:rtl/>
        </w:rPr>
        <w:t xml:space="preserve"> </w:t>
      </w:r>
      <w:r w:rsidRPr="00374F48">
        <w:rPr>
          <w:rStyle w:val="af9"/>
          <w:rFonts w:hint="cs"/>
          <w:rtl/>
        </w:rPr>
        <w:t>והרמב"ן</w:t>
      </w:r>
      <w:r>
        <w:rPr>
          <w:rFonts w:hint="cs"/>
          <w:rtl/>
        </w:rPr>
        <w:t xml:space="preserve"> </w:t>
      </w:r>
      <w:r w:rsidRPr="00374F48">
        <w:rPr>
          <w:rStyle w:val="af7"/>
          <w:rFonts w:eastAsia="Guttman Hodes" w:hint="cs"/>
          <w:rtl/>
        </w:rPr>
        <w:t xml:space="preserve">(עי' אות </w:t>
      </w:r>
      <w:r w:rsidRPr="00374F48">
        <w:rPr>
          <w:rStyle w:val="af7"/>
          <w:rFonts w:eastAsia="Guttman Hodes"/>
          <w:rtl/>
        </w:rPr>
        <w:fldChar w:fldCharType="begin"/>
      </w:r>
      <w:r w:rsidRPr="00374F48">
        <w:rPr>
          <w:rStyle w:val="af7"/>
          <w:rFonts w:eastAsia="Guttman Hodes"/>
          <w:rtl/>
        </w:rPr>
        <w:instrText xml:space="preserve"> </w:instrText>
      </w:r>
      <w:r w:rsidRPr="00374F48">
        <w:rPr>
          <w:rStyle w:val="af7"/>
          <w:rFonts w:eastAsia="Guttman Hodes" w:hint="cs"/>
        </w:rPr>
        <w:instrText>REF</w:instrText>
      </w:r>
      <w:r w:rsidRPr="00374F48">
        <w:rPr>
          <w:rStyle w:val="af7"/>
          <w:rFonts w:eastAsia="Guttman Hodes" w:hint="cs"/>
          <w:rtl/>
        </w:rPr>
        <w:instrText xml:space="preserve"> _</w:instrText>
      </w:r>
      <w:r w:rsidRPr="00374F48">
        <w:rPr>
          <w:rStyle w:val="af7"/>
          <w:rFonts w:eastAsia="Guttman Hodes" w:hint="cs"/>
        </w:rPr>
        <w:instrText>Ref54200632 \r \h</w:instrText>
      </w:r>
      <w:r w:rsidRPr="00374F48">
        <w:rPr>
          <w:rStyle w:val="af7"/>
          <w:rFonts w:eastAsia="Guttman Hodes"/>
          <w:rtl/>
        </w:rPr>
        <w:instrText xml:space="preserve"> </w:instrText>
      </w:r>
      <w:r w:rsidRPr="00374F48">
        <w:rPr>
          <w:rStyle w:val="af7"/>
          <w:rFonts w:eastAsia="Guttman Hodes"/>
          <w:rtl/>
        </w:rPr>
      </w:r>
      <w:r w:rsidRPr="00374F48">
        <w:rPr>
          <w:rStyle w:val="af7"/>
          <w:rFonts w:eastAsia="Guttman Hodes"/>
          <w:rtl/>
        </w:rPr>
        <w:fldChar w:fldCharType="separate"/>
      </w:r>
      <w:r w:rsidR="00265073">
        <w:rPr>
          <w:rStyle w:val="af7"/>
          <w:rFonts w:eastAsia="Guttman Hodes"/>
          <w:cs/>
        </w:rPr>
        <w:t>‎</w:t>
      </w:r>
      <w:r w:rsidR="00265073">
        <w:rPr>
          <w:rStyle w:val="af7"/>
          <w:rFonts w:eastAsia="Guttman Hodes"/>
          <w:rtl/>
        </w:rPr>
        <w:t>צה)</w:t>
      </w:r>
      <w:r w:rsidRPr="00374F48">
        <w:rPr>
          <w:rStyle w:val="af7"/>
          <w:rFonts w:eastAsia="Guttman Hodes"/>
          <w:rtl/>
        </w:rPr>
        <w:fldChar w:fldCharType="end"/>
      </w:r>
      <w:r>
        <w:rPr>
          <w:rFonts w:hint="cs"/>
          <w:rtl/>
        </w:rPr>
        <w:t>].</w:t>
      </w:r>
    </w:p>
    <w:p w:rsidR="00AB3447" w:rsidRPr="00AA0471" w:rsidRDefault="00AB3447" w:rsidP="00AB3447">
      <w:pPr>
        <w:pStyle w:val="a3"/>
      </w:pPr>
      <w:bookmarkStart w:id="1345" w:name="_Toc54201320"/>
      <w:bookmarkStart w:id="1346" w:name="_Toc54210314"/>
      <w:r>
        <w:rPr>
          <w:rFonts w:hint="cs"/>
          <w:rtl/>
        </w:rPr>
        <w:t>דברי רבינו יונה דת"ק דמתני' יליף משור המועד כר"י ורק בעושה פירות תדיר צריך ג"ש שלימות</w:t>
      </w:r>
      <w:bookmarkEnd w:id="1345"/>
      <w:bookmarkEnd w:id="1346"/>
    </w:p>
    <w:p w:rsidR="00AB3447" w:rsidRDefault="00AB3447" w:rsidP="007E4E81">
      <w:pPr>
        <w:pStyle w:val="a0"/>
        <w:rPr>
          <w:rtl/>
        </w:rPr>
      </w:pPr>
      <w:bookmarkStart w:id="1347" w:name="_Ref54200859"/>
      <w:r>
        <w:rPr>
          <w:rFonts w:hint="cs"/>
          <w:rtl/>
        </w:rPr>
        <w:t xml:space="preserve">וכתב </w:t>
      </w:r>
      <w:r w:rsidRPr="00514F4C">
        <w:rPr>
          <w:rStyle w:val="af9"/>
          <w:rFonts w:hint="cs"/>
          <w:rtl/>
        </w:rPr>
        <w:t>רבינו יונה</w:t>
      </w:r>
      <w:r>
        <w:rPr>
          <w:rFonts w:hint="cs"/>
          <w:rtl/>
        </w:rPr>
        <w:t xml:space="preserve"> דת"ק דמתני' יליף חזקה משור המועד, ולכן ס"ל דרק בעושה פירות תדיר צריך ג"ש מיום ליום.</w:t>
      </w:r>
      <w:bookmarkEnd w:id="1347"/>
    </w:p>
    <w:p w:rsidR="00AB3447" w:rsidRPr="005C1E0D" w:rsidRDefault="00AB3447" w:rsidP="00AB3447">
      <w:pPr>
        <w:pStyle w:val="1"/>
        <w:rPr>
          <w:rtl/>
        </w:rPr>
      </w:pPr>
      <w:bookmarkStart w:id="1348" w:name="_Toc54201321"/>
      <w:bookmarkStart w:id="1349" w:name="_Toc54210315"/>
      <w:r>
        <w:rPr>
          <w:rFonts w:hint="cs"/>
          <w:rtl/>
        </w:rPr>
        <w:t>ביאורי הרשב"ם והר"ח בדקל נערה</w:t>
      </w:r>
      <w:bookmarkEnd w:id="1348"/>
      <w:bookmarkEnd w:id="1349"/>
    </w:p>
    <w:p w:rsidR="00AB3447" w:rsidRDefault="00AB3447" w:rsidP="00AB3447">
      <w:pPr>
        <w:pStyle w:val="a3"/>
        <w:rPr>
          <w:rtl/>
        </w:rPr>
      </w:pPr>
      <w:bookmarkStart w:id="1350" w:name="_Toc54201322"/>
      <w:bookmarkStart w:id="1351" w:name="_Toc54210316"/>
      <w:r>
        <w:rPr>
          <w:rFonts w:hint="cs"/>
          <w:rtl/>
        </w:rPr>
        <w:t>ביאור הרשב"ם דדקל נערה היינו שמוציא ג' פירות בפחות מג"ש שלימות</w:t>
      </w:r>
      <w:bookmarkEnd w:id="1350"/>
      <w:bookmarkEnd w:id="1351"/>
    </w:p>
    <w:p w:rsidR="00AB3447" w:rsidRDefault="00AB3447" w:rsidP="007E4E81">
      <w:pPr>
        <w:pStyle w:val="a0"/>
        <w:rPr>
          <w:rtl/>
        </w:rPr>
      </w:pPr>
      <w:r>
        <w:rPr>
          <w:rFonts w:hint="cs"/>
          <w:rtl/>
        </w:rPr>
        <w:t xml:space="preserve">ובתירוץ הגמ' לקמן </w:t>
      </w:r>
      <w:r w:rsidRPr="00B44181">
        <w:rPr>
          <w:rStyle w:val="af7"/>
          <w:rFonts w:eastAsia="Guttman Hodes" w:hint="cs"/>
          <w:rtl/>
        </w:rPr>
        <w:t>(לו:</w:t>
      </w:r>
      <w:r>
        <w:rPr>
          <w:rStyle w:val="af7"/>
          <w:rFonts w:eastAsia="Guttman Hodes" w:hint="cs"/>
          <w:rtl/>
        </w:rPr>
        <w:t>)</w:t>
      </w:r>
      <w:r w:rsidRPr="00B44181">
        <w:rPr>
          <w:rStyle w:val="af7"/>
          <w:rFonts w:eastAsia="Guttman Hodes" w:hint="cs"/>
          <w:rtl/>
        </w:rPr>
        <w:t xml:space="preserve"> </w:t>
      </w:r>
      <w:r>
        <w:rPr>
          <w:rFonts w:hint="cs"/>
          <w:rtl/>
        </w:rPr>
        <w:t xml:space="preserve">דהנ"מ בין רב לשמואל היא בדקל נערה, ביאר </w:t>
      </w:r>
      <w:r w:rsidRPr="00B44181">
        <w:rPr>
          <w:rStyle w:val="af9"/>
          <w:rFonts w:hint="cs"/>
          <w:rtl/>
        </w:rPr>
        <w:t>הרשב"ם לקמן</w:t>
      </w:r>
      <w:r>
        <w:rPr>
          <w:rFonts w:hint="cs"/>
          <w:rtl/>
        </w:rPr>
        <w:t xml:space="preserve"> </w:t>
      </w:r>
      <w:r w:rsidRPr="00B44181">
        <w:rPr>
          <w:rStyle w:val="af7"/>
          <w:rFonts w:eastAsia="Guttman Hodes" w:hint="cs"/>
          <w:rtl/>
        </w:rPr>
        <w:t>(לו: ד"ה דקל)</w:t>
      </w:r>
      <w:r>
        <w:rPr>
          <w:rFonts w:hint="cs"/>
          <w:rtl/>
        </w:rPr>
        <w:t xml:space="preserve"> דהיינו דקל שמוציא ג' פעמים פירות, בפחות מג"ש, דלשמואל הוי חזקה אף שעדיין לא עברו ג"ש שלימות, ולרב צריך ג"ש שלימות מיום ליום.</w:t>
      </w:r>
    </w:p>
    <w:p w:rsidR="00AB3447" w:rsidRDefault="00AB3447" w:rsidP="00AB3447">
      <w:pPr>
        <w:pStyle w:val="a3"/>
        <w:rPr>
          <w:rtl/>
        </w:rPr>
      </w:pPr>
      <w:bookmarkStart w:id="1352" w:name="_Toc54201323"/>
      <w:bookmarkStart w:id="1353" w:name="_Toc54210317"/>
      <w:r>
        <w:rPr>
          <w:rFonts w:hint="cs"/>
          <w:rtl/>
        </w:rPr>
        <w:t>ביאורי הר"ח דדקל נערה משיר פירותיו ואינו גומרם או שהוא מוציא ב' פירות בשנה אחת</w:t>
      </w:r>
      <w:bookmarkEnd w:id="1352"/>
      <w:bookmarkEnd w:id="1353"/>
    </w:p>
    <w:p w:rsidR="00AB3447" w:rsidRDefault="00AB3447" w:rsidP="007E4E81">
      <w:pPr>
        <w:pStyle w:val="a0"/>
        <w:rPr>
          <w:rtl/>
        </w:rPr>
      </w:pPr>
      <w:bookmarkStart w:id="1354" w:name="_Ref54199514"/>
      <w:r>
        <w:rPr>
          <w:rFonts w:hint="cs"/>
          <w:rtl/>
        </w:rPr>
        <w:t xml:space="preserve">והביא </w:t>
      </w:r>
      <w:r w:rsidRPr="00CA286D">
        <w:rPr>
          <w:rStyle w:val="af9"/>
          <w:rFonts w:hint="cs"/>
          <w:rtl/>
        </w:rPr>
        <w:t>הרשב"ם לקמן</w:t>
      </w:r>
      <w:r>
        <w:rPr>
          <w:rFonts w:hint="cs"/>
          <w:rtl/>
        </w:rPr>
        <w:t xml:space="preserve"> את דברי </w:t>
      </w:r>
      <w:r w:rsidRPr="00CA286D">
        <w:rPr>
          <w:rStyle w:val="af9"/>
          <w:rFonts w:hint="cs"/>
          <w:rtl/>
        </w:rPr>
        <w:t>הר"ח לקמן</w:t>
      </w:r>
      <w:r>
        <w:rPr>
          <w:rFonts w:hint="cs"/>
          <w:rtl/>
        </w:rPr>
        <w:t xml:space="preserve"> </w:t>
      </w:r>
      <w:r w:rsidRPr="00231EB6">
        <w:rPr>
          <w:rStyle w:val="af7"/>
          <w:rFonts w:eastAsia="Guttman Hodes" w:hint="cs"/>
          <w:rtl/>
        </w:rPr>
        <w:t>(לו:</w:t>
      </w:r>
      <w:r w:rsidRPr="00231EB6">
        <w:rPr>
          <w:rStyle w:val="af7"/>
          <w:rFonts w:eastAsia="Guttman Hodes"/>
          <w:rtl/>
        </w:rPr>
        <w:t xml:space="preserve"> </w:t>
      </w:r>
      <w:r>
        <w:rPr>
          <w:rStyle w:val="af7"/>
          <w:rFonts w:eastAsia="Guttman Hodes" w:hint="cs"/>
          <w:rtl/>
        </w:rPr>
        <w:t>סו</w:t>
      </w:r>
      <w:r w:rsidRPr="00231EB6">
        <w:rPr>
          <w:rStyle w:val="af7"/>
          <w:rFonts w:eastAsia="Guttman Hodes" w:hint="cs"/>
          <w:rtl/>
        </w:rPr>
        <w:t xml:space="preserve">ד"ה וקיי"ל, נד' בשיטת </w:t>
      </w:r>
      <w:r w:rsidRPr="00230E35">
        <w:rPr>
          <w:rStyle w:val="af7"/>
          <w:rFonts w:eastAsia="Guttman Hodes" w:hint="cs"/>
          <w:rtl/>
        </w:rPr>
        <w:t xml:space="preserve">הקדמונים, הועתק בקובץ שיטות קמאי ב"ב ח"א </w:t>
      </w:r>
      <w:r w:rsidRPr="00231EB6">
        <w:rPr>
          <w:rStyle w:val="af7"/>
          <w:rFonts w:eastAsia="Guttman Hodes" w:hint="cs"/>
          <w:rtl/>
        </w:rPr>
        <w:t xml:space="preserve">עמ' </w:t>
      </w:r>
      <w:r w:rsidRPr="00231EB6">
        <w:rPr>
          <w:rStyle w:val="af7"/>
          <w:rFonts w:eastAsia="Guttman Hodes"/>
          <w:rtl/>
        </w:rPr>
        <w:t>תתקי</w:t>
      </w:r>
      <w:r w:rsidRPr="00231EB6">
        <w:rPr>
          <w:rStyle w:val="af7"/>
          <w:rFonts w:eastAsia="Guttman Hodes" w:hint="cs"/>
          <w:rtl/>
        </w:rPr>
        <w:t>"</w:t>
      </w:r>
      <w:r w:rsidRPr="00231EB6">
        <w:rPr>
          <w:rStyle w:val="af7"/>
          <w:rFonts w:eastAsia="Guttman Hodes"/>
          <w:rtl/>
        </w:rPr>
        <w:t>א</w:t>
      </w:r>
      <w:r w:rsidRPr="00231EB6">
        <w:rPr>
          <w:rStyle w:val="af7"/>
          <w:rFonts w:eastAsia="Guttman Hodes" w:hint="cs"/>
          <w:rtl/>
        </w:rPr>
        <w:t>)</w:t>
      </w:r>
      <w:r w:rsidRPr="00373D86">
        <w:rPr>
          <w:rFonts w:hint="cs"/>
          <w:rtl/>
        </w:rPr>
        <w:t xml:space="preserve"> </w:t>
      </w:r>
      <w:r>
        <w:rPr>
          <w:rFonts w:hint="cs"/>
          <w:rtl/>
        </w:rPr>
        <w:t xml:space="preserve">דביאר דדקל נערה היינו שמשיר את פירותיו לפני שנגמרו, דלשמואל לא הוי חזקה כיון שלא גדר את </w:t>
      </w:r>
      <w:r>
        <w:rPr>
          <w:rFonts w:hint="cs"/>
          <w:rtl/>
        </w:rPr>
        <w:lastRenderedPageBreak/>
        <w:t xml:space="preserve">התמרים, ולרב הוי חזקה כיון שהחזיק בשדה ג"ש, וכתב </w:t>
      </w:r>
      <w:r w:rsidRPr="005C1E0D">
        <w:rPr>
          <w:rStyle w:val="af9"/>
          <w:rFonts w:hint="cs"/>
          <w:rtl/>
        </w:rPr>
        <w:t>הרשב"ם</w:t>
      </w:r>
      <w:r>
        <w:rPr>
          <w:rFonts w:hint="cs"/>
          <w:rtl/>
        </w:rPr>
        <w:t xml:space="preserve"> דאכ אף שמואל לא בא לומר שצריך פחות מג"ש, ועוד פירש </w:t>
      </w:r>
      <w:r w:rsidRPr="005C1E0D">
        <w:rPr>
          <w:rStyle w:val="af9"/>
          <w:rFonts w:hint="cs"/>
          <w:rtl/>
        </w:rPr>
        <w:t>ר"ח</w:t>
      </w:r>
      <w:r>
        <w:rPr>
          <w:rStyle w:val="af9"/>
          <w:rFonts w:hint="cs"/>
          <w:rtl/>
        </w:rPr>
        <w:t xml:space="preserve"> לקמן </w:t>
      </w:r>
      <w:r>
        <w:rPr>
          <w:rFonts w:hint="cs"/>
          <w:rtl/>
        </w:rPr>
        <w:t>דדקל נערה היינו היינו דקל שמוציא ב' פעמים פירות בשנה, דלשמואל סגי בג' גדירות, ובשנה וחצי הוי חזקה, ולרב צריך ג"ש שלימות.</w:t>
      </w:r>
      <w:bookmarkEnd w:id="1354"/>
    </w:p>
    <w:p w:rsidR="00AB3447" w:rsidRDefault="00AB3447" w:rsidP="00AB3447">
      <w:pPr>
        <w:pStyle w:val="a3"/>
        <w:rPr>
          <w:rtl/>
        </w:rPr>
      </w:pPr>
      <w:bookmarkStart w:id="1355" w:name="_Toc54201324"/>
      <w:bookmarkStart w:id="1356" w:name="_Toc54210318"/>
      <w:r>
        <w:rPr>
          <w:rFonts w:hint="cs"/>
          <w:rtl/>
        </w:rPr>
        <w:t>קושית הרמב"ן על הביאור הב' בר"ח דלשמואל לא סגי בג' אכילות וצריך ג' אכילות של ג"ש</w:t>
      </w:r>
      <w:bookmarkEnd w:id="1355"/>
      <w:bookmarkEnd w:id="1356"/>
    </w:p>
    <w:p w:rsidR="00AB3447" w:rsidRPr="00B83230" w:rsidRDefault="00AB3447" w:rsidP="007E4E81">
      <w:pPr>
        <w:pStyle w:val="a0"/>
        <w:rPr>
          <w:rtl/>
        </w:rPr>
      </w:pPr>
      <w:bookmarkStart w:id="1357" w:name="_Ref55416529"/>
      <w:r>
        <w:rPr>
          <w:rFonts w:hint="cs"/>
          <w:rtl/>
        </w:rPr>
        <w:t xml:space="preserve">והקשה </w:t>
      </w:r>
      <w:r w:rsidRPr="00BF0F5D">
        <w:rPr>
          <w:rStyle w:val="af9"/>
          <w:rFonts w:hint="cs"/>
          <w:rtl/>
        </w:rPr>
        <w:t>הרמב"ן לקמן</w:t>
      </w:r>
      <w:r>
        <w:rPr>
          <w:rFonts w:hint="cs"/>
          <w:rtl/>
        </w:rPr>
        <w:t xml:space="preserve"> </w:t>
      </w:r>
      <w:r w:rsidRPr="00BF0F5D">
        <w:rPr>
          <w:rStyle w:val="af7"/>
          <w:rFonts w:eastAsia="Guttman Hodes" w:hint="cs"/>
          <w:rtl/>
        </w:rPr>
        <w:t xml:space="preserve">(לו: ד"ה מאי) </w:t>
      </w:r>
      <w:r>
        <w:rPr>
          <w:rFonts w:hint="cs"/>
          <w:rtl/>
        </w:rPr>
        <w:t xml:space="preserve">על </w:t>
      </w:r>
      <w:r w:rsidRPr="00BF0F5D">
        <w:rPr>
          <w:rStyle w:val="af9"/>
          <w:rFonts w:hint="cs"/>
          <w:rtl/>
        </w:rPr>
        <w:t>הביאור הב' בר"ח</w:t>
      </w:r>
      <w:r>
        <w:rPr>
          <w:rFonts w:hint="cs"/>
          <w:rtl/>
        </w:rPr>
        <w:t xml:space="preserve"> </w:t>
      </w:r>
      <w:r w:rsidRPr="00BF0F5D">
        <w:rPr>
          <w:rStyle w:val="af7"/>
          <w:rFonts w:eastAsia="Guttman Hodes" w:hint="cs"/>
          <w:rtl/>
        </w:rPr>
        <w:t xml:space="preserve">(עי' אות </w:t>
      </w:r>
      <w:r w:rsidRPr="00BF0F5D">
        <w:rPr>
          <w:rStyle w:val="af7"/>
          <w:rFonts w:eastAsia="Guttman Hodes"/>
          <w:rtl/>
        </w:rPr>
        <w:fldChar w:fldCharType="begin"/>
      </w:r>
      <w:r w:rsidRPr="00BF0F5D">
        <w:rPr>
          <w:rStyle w:val="af7"/>
          <w:rFonts w:eastAsia="Guttman Hodes"/>
          <w:rtl/>
        </w:rPr>
        <w:instrText xml:space="preserve"> </w:instrText>
      </w:r>
      <w:r w:rsidRPr="00BF0F5D">
        <w:rPr>
          <w:rStyle w:val="af7"/>
          <w:rFonts w:eastAsia="Guttman Hodes" w:hint="cs"/>
        </w:rPr>
        <w:instrText>REF</w:instrText>
      </w:r>
      <w:r w:rsidRPr="00BF0F5D">
        <w:rPr>
          <w:rStyle w:val="af7"/>
          <w:rFonts w:eastAsia="Guttman Hodes" w:hint="cs"/>
          <w:rtl/>
        </w:rPr>
        <w:instrText xml:space="preserve"> _</w:instrText>
      </w:r>
      <w:r w:rsidRPr="00BF0F5D">
        <w:rPr>
          <w:rStyle w:val="af7"/>
          <w:rFonts w:eastAsia="Guttman Hodes" w:hint="cs"/>
        </w:rPr>
        <w:instrText>Ref54199514 \r \h</w:instrText>
      </w:r>
      <w:r w:rsidRPr="00BF0F5D">
        <w:rPr>
          <w:rStyle w:val="af7"/>
          <w:rFonts w:eastAsia="Guttman Hodes"/>
          <w:rtl/>
        </w:rPr>
        <w:instrText xml:space="preserve"> </w:instrText>
      </w:r>
      <w:r w:rsidRPr="00BF0F5D">
        <w:rPr>
          <w:rStyle w:val="af7"/>
          <w:rFonts w:eastAsia="Guttman Hodes"/>
          <w:rtl/>
        </w:rPr>
      </w:r>
      <w:r w:rsidRPr="00BF0F5D">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BF0F5D">
        <w:rPr>
          <w:rStyle w:val="af7"/>
          <w:rFonts w:eastAsia="Guttman Hodes"/>
          <w:rtl/>
        </w:rPr>
        <w:fldChar w:fldCharType="end"/>
      </w:r>
      <w:r>
        <w:rPr>
          <w:rFonts w:hint="cs"/>
          <w:rtl/>
        </w:rPr>
        <w:t xml:space="preserve"> דאף לשמואל צריך ג' אכילות של ג"ש, דהא שמואל ס"ל כרבנן דלא אזלי בתר אכילות בלבד, והביא </w:t>
      </w:r>
      <w:r w:rsidRPr="00BF0F5D">
        <w:rPr>
          <w:rStyle w:val="af9"/>
          <w:rFonts w:hint="cs"/>
          <w:rtl/>
        </w:rPr>
        <w:t>הרמב"ן</w:t>
      </w:r>
      <w:r>
        <w:rPr>
          <w:rFonts w:hint="cs"/>
          <w:rtl/>
        </w:rPr>
        <w:t xml:space="preserve"> דכן מפורש בירושלמי דשמואל הוא אליבא דרבנן דצריך קציר של ג"ש, והיינו דג"ש יקצור את תבואתו.</w:t>
      </w:r>
      <w:bookmarkEnd w:id="1357"/>
    </w:p>
    <w:p w:rsidR="00AB3447" w:rsidRDefault="00AB3447" w:rsidP="00AB3447">
      <w:pPr>
        <w:pStyle w:val="1"/>
        <w:rPr>
          <w:rtl/>
        </w:rPr>
      </w:pPr>
      <w:r>
        <w:rPr>
          <w:rFonts w:hint="cs"/>
          <w:rtl/>
        </w:rPr>
        <w:t>ביאור הרמב"ן ברשב"ם דלרב צריך ג"ש שלימות מחמת השטר</w:t>
      </w:r>
    </w:p>
    <w:p w:rsidR="00AB3447" w:rsidRDefault="00AB3447" w:rsidP="00AB3447">
      <w:pPr>
        <w:pStyle w:val="a3"/>
        <w:rPr>
          <w:rtl/>
        </w:rPr>
      </w:pPr>
      <w:bookmarkStart w:id="1358" w:name="_Toc54201326"/>
      <w:bookmarkStart w:id="1359" w:name="_Toc54210320"/>
      <w:r>
        <w:rPr>
          <w:rFonts w:hint="cs"/>
          <w:rtl/>
        </w:rPr>
        <w:t>ביאור הרמב"ן ברשב"ם דטעמא דחזקה לרבנן דנזהר בשטרו וצריך ג"ש שלימות</w:t>
      </w:r>
      <w:r w:rsidRPr="000D6DD2">
        <w:rPr>
          <w:rFonts w:hint="cs"/>
          <w:rtl/>
        </w:rPr>
        <w:t xml:space="preserve"> </w:t>
      </w:r>
      <w:r>
        <w:rPr>
          <w:rFonts w:hint="cs"/>
          <w:rtl/>
        </w:rPr>
        <w:t>לרב ולשמואל</w:t>
      </w:r>
      <w:bookmarkEnd w:id="1358"/>
      <w:bookmarkEnd w:id="1359"/>
    </w:p>
    <w:p w:rsidR="00AB3447" w:rsidRDefault="00AB3447" w:rsidP="007E4E81">
      <w:pPr>
        <w:pStyle w:val="a0"/>
        <w:rPr>
          <w:rtl/>
        </w:rPr>
      </w:pPr>
      <w:bookmarkStart w:id="1360" w:name="_Ref54199203"/>
      <w:r>
        <w:rPr>
          <w:rFonts w:hint="cs"/>
          <w:rtl/>
        </w:rPr>
        <w:t xml:space="preserve">וכתב </w:t>
      </w:r>
      <w:r w:rsidRPr="002B245E">
        <w:rPr>
          <w:rStyle w:val="af9"/>
          <w:rFonts w:hint="cs"/>
          <w:rtl/>
        </w:rPr>
        <w:t>הרמב"ן לקמן</w:t>
      </w:r>
      <w:r>
        <w:rPr>
          <w:rFonts w:hint="cs"/>
          <w:rtl/>
        </w:rPr>
        <w:t xml:space="preserve"> </w:t>
      </w:r>
      <w:r w:rsidRPr="00650F9F">
        <w:rPr>
          <w:rStyle w:val="af7"/>
          <w:rFonts w:eastAsia="Guttman Hodes" w:hint="cs"/>
          <w:rtl/>
        </w:rPr>
        <w:t>(לו: ד"ה ואיכא)</w:t>
      </w:r>
      <w:r>
        <w:rPr>
          <w:rFonts w:hint="cs"/>
          <w:rtl/>
        </w:rPr>
        <w:t xml:space="preserve"> דהא דס"ל </w:t>
      </w:r>
      <w:r w:rsidRPr="002B245E">
        <w:rPr>
          <w:rStyle w:val="af9"/>
          <w:rFonts w:hint="cs"/>
          <w:rtl/>
        </w:rPr>
        <w:t>לרשב"ם</w:t>
      </w:r>
      <w:r>
        <w:rPr>
          <w:rFonts w:hint="cs"/>
          <w:rtl/>
        </w:rPr>
        <w:t xml:space="preserve"> </w:t>
      </w:r>
      <w:r w:rsidRPr="00650F9F">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Ref54196144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Pr>
          <w:rStyle w:val="af7"/>
          <w:rFonts w:eastAsia="Guttman Hodes"/>
          <w:rtl/>
        </w:rPr>
        <w:fldChar w:fldCharType="end"/>
      </w:r>
      <w:r>
        <w:rPr>
          <w:rStyle w:val="af7"/>
          <w:rFonts w:eastAsia="Guttman Hodes" w:hint="cs"/>
          <w:rtl/>
        </w:rPr>
        <w:t xml:space="preserve"> </w:t>
      </w:r>
      <w:r>
        <w:rPr>
          <w:rFonts w:hint="cs"/>
          <w:rtl/>
        </w:rPr>
        <w:t xml:space="preserve">דלרב צריך ג"ש שלימות, הוא כיון הוקשה </w:t>
      </w:r>
      <w:r w:rsidRPr="002B245E">
        <w:rPr>
          <w:rStyle w:val="af9"/>
          <w:rFonts w:hint="cs"/>
          <w:rtl/>
        </w:rPr>
        <w:t>לרשב"ם</w:t>
      </w:r>
      <w:r>
        <w:rPr>
          <w:rFonts w:hint="cs"/>
          <w:rtl/>
        </w:rPr>
        <w:t xml:space="preserve"> דהיאך אפש"ל דהוי חזקה בפחות מג"ש מיום ליום, והא טעמא דחזקה דעד ג"ש אדם נזהר בשטרו, ולכן ביאר </w:t>
      </w:r>
      <w:r w:rsidRPr="00DF03F3">
        <w:rPr>
          <w:rStyle w:val="af9"/>
          <w:rFonts w:hint="cs"/>
          <w:rtl/>
        </w:rPr>
        <w:t>הרשב"ם</w:t>
      </w:r>
      <w:r>
        <w:rPr>
          <w:rFonts w:hint="cs"/>
          <w:rtl/>
        </w:rPr>
        <w:t xml:space="preserve"> דלרב מיום ליום דוקא.</w:t>
      </w:r>
      <w:bookmarkEnd w:id="1360"/>
    </w:p>
    <w:p w:rsidR="00AB3447" w:rsidRPr="000D6DD2" w:rsidRDefault="00AB3447" w:rsidP="00AB3447">
      <w:pPr>
        <w:pStyle w:val="a3"/>
        <w:rPr>
          <w:rtl/>
        </w:rPr>
      </w:pPr>
      <w:bookmarkStart w:id="1361" w:name="_Toc54201327"/>
      <w:bookmarkStart w:id="1362" w:name="_Toc54210321"/>
      <w:r>
        <w:rPr>
          <w:rFonts w:hint="cs"/>
          <w:rtl/>
        </w:rPr>
        <w:t>דחיית הרמב"ן דאף אי לרב צריך ג"ש שלימות קשה דאמאי ל"מ חזקה במפוזרות וכדומה</w:t>
      </w:r>
      <w:bookmarkEnd w:id="1361"/>
      <w:bookmarkEnd w:id="1362"/>
    </w:p>
    <w:p w:rsidR="00AB3447" w:rsidRDefault="00AB3447" w:rsidP="007E4E81">
      <w:pPr>
        <w:pStyle w:val="a0"/>
        <w:rPr>
          <w:rtl/>
        </w:rPr>
      </w:pPr>
      <w:r>
        <w:rPr>
          <w:rFonts w:hint="cs"/>
          <w:rtl/>
        </w:rPr>
        <w:t xml:space="preserve">אך דחה </w:t>
      </w:r>
      <w:r w:rsidRPr="002B245E">
        <w:rPr>
          <w:rStyle w:val="af9"/>
          <w:rFonts w:hint="cs"/>
          <w:rtl/>
        </w:rPr>
        <w:t>הרמב"ן לקמן</w:t>
      </w:r>
      <w:r>
        <w:rPr>
          <w:rFonts w:hint="cs"/>
          <w:rtl/>
        </w:rPr>
        <w:t xml:space="preserve"> את דברי </w:t>
      </w:r>
      <w:r w:rsidRPr="002B245E">
        <w:rPr>
          <w:rStyle w:val="af9"/>
          <w:rFonts w:hint="cs"/>
          <w:rtl/>
        </w:rPr>
        <w:t>הרשב"ם</w:t>
      </w:r>
      <w:r>
        <w:rPr>
          <w:rFonts w:hint="cs"/>
          <w:rtl/>
        </w:rPr>
        <w:t>, דאף אי לרב</w:t>
      </w:r>
      <w:r w:rsidR="00A77F33">
        <w:rPr>
          <w:rFonts w:hint="cs"/>
          <w:rtl/>
        </w:rPr>
        <w:t xml:space="preserve"> </w:t>
      </w:r>
      <w:r>
        <w:rPr>
          <w:rFonts w:hint="cs"/>
          <w:rtl/>
        </w:rPr>
        <w:t xml:space="preserve">צריך ג"ש מיום ליום, עדיין קשה דא"כ כל שעברו ג"ש תחשב חזקה אף </w:t>
      </w:r>
      <w:r>
        <w:rPr>
          <w:rFonts w:hint="cs"/>
          <w:rtl/>
        </w:rPr>
        <w:t>בשנים מפוזרות, ואף בבתים שדר בהם ביום ולא בלילה, וכן באפיק כורא ועייל כורא, ושדה גרועה כ</w:t>
      </w:r>
      <w:r>
        <w:rPr>
          <w:rtl/>
        </w:rPr>
        <w:t>תפתיחא</w:t>
      </w:r>
      <w:r>
        <w:rPr>
          <w:rFonts w:hint="cs"/>
          <w:rtl/>
        </w:rPr>
        <w:t xml:space="preserve">, וכן בעשה בה רק ניר, דמבואר בגמ' לקמן </w:t>
      </w:r>
      <w:r w:rsidRPr="00650F9F">
        <w:rPr>
          <w:rStyle w:val="af7"/>
          <w:rFonts w:eastAsia="Guttman Hodes" w:hint="cs"/>
          <w:rtl/>
        </w:rPr>
        <w:t>(לו:)</w:t>
      </w:r>
      <w:r>
        <w:rPr>
          <w:rFonts w:hint="cs"/>
          <w:rtl/>
        </w:rPr>
        <w:t xml:space="preserve"> דלא הוי חזקה.</w:t>
      </w:r>
    </w:p>
    <w:p w:rsidR="00AB3447" w:rsidRPr="00EA3384" w:rsidRDefault="00AB3447" w:rsidP="00AB3447">
      <w:pPr>
        <w:pStyle w:val="1"/>
        <w:rPr>
          <w:rtl/>
        </w:rPr>
      </w:pPr>
      <w:bookmarkStart w:id="1363" w:name="_Toc54201328"/>
      <w:bookmarkStart w:id="1364" w:name="_Toc54210322"/>
      <w:r>
        <w:rPr>
          <w:rFonts w:hint="cs"/>
          <w:rtl/>
        </w:rPr>
        <w:t>דברי הרמב"ן דכל שמשתמש כדרך בעלים א"צ להזהר בשטרו</w:t>
      </w:r>
      <w:bookmarkEnd w:id="1363"/>
      <w:bookmarkEnd w:id="1364"/>
    </w:p>
    <w:p w:rsidR="00AB3447" w:rsidRDefault="00AB3447" w:rsidP="00AB3447">
      <w:pPr>
        <w:pStyle w:val="a3"/>
        <w:rPr>
          <w:rtl/>
        </w:rPr>
      </w:pPr>
      <w:bookmarkStart w:id="1365" w:name="_Toc54201329"/>
      <w:bookmarkStart w:id="1366" w:name="_Toc54210323"/>
      <w:r>
        <w:rPr>
          <w:rFonts w:hint="cs"/>
          <w:rtl/>
        </w:rPr>
        <w:t>ביאור הרמב"ן דטעמא דחזקה דכל שמשתמש כדרך הבעלים ואין ערער אינו נזהר בשטרו</w:t>
      </w:r>
      <w:bookmarkEnd w:id="1365"/>
      <w:bookmarkEnd w:id="1366"/>
    </w:p>
    <w:p w:rsidR="00AB3447" w:rsidRDefault="00AB3447" w:rsidP="007E4E81">
      <w:pPr>
        <w:pStyle w:val="a0"/>
        <w:rPr>
          <w:rtl/>
        </w:rPr>
      </w:pPr>
      <w:r>
        <w:rPr>
          <w:rFonts w:hint="cs"/>
          <w:rtl/>
        </w:rPr>
        <w:t xml:space="preserve">אלא כתב </w:t>
      </w:r>
      <w:r w:rsidRPr="00650F9F">
        <w:rPr>
          <w:rStyle w:val="af9"/>
          <w:rFonts w:hint="cs"/>
          <w:rtl/>
        </w:rPr>
        <w:t>הרמב"ן לקמן</w:t>
      </w:r>
      <w:r>
        <w:rPr>
          <w:rFonts w:hint="cs"/>
          <w:rtl/>
        </w:rPr>
        <w:t xml:space="preserve"> דמבואר דטעמא דחזקה, הוא דכיון שאדם מחזיק בבית או בשדה ג"ש, ומשתמש בו כדרך שהבעלים משתמש בשלו, ורואה שאין עליו מערער, אינו נזהר בשטרו, ולכן הצריכו רבנן בכל דבר שישתמש בו כדרך תשמישו, אבל אם המחזיק לא השתמש בו כדרך שהבעלים משתמש בשלו, היה למחזיק להזהר בשטרו, </w:t>
      </w:r>
      <w:r w:rsidRPr="00974961">
        <w:rPr>
          <w:rStyle w:val="afb"/>
          <w:rFonts w:hint="cs"/>
          <w:rtl/>
        </w:rPr>
        <w:t xml:space="preserve">[וכתב </w:t>
      </w:r>
      <w:r w:rsidRPr="00974961">
        <w:rPr>
          <w:rStyle w:val="affa"/>
          <w:rFonts w:hint="cs"/>
          <w:rtl/>
        </w:rPr>
        <w:t>הרמב"ן</w:t>
      </w:r>
      <w:r w:rsidRPr="00974961">
        <w:rPr>
          <w:rStyle w:val="afb"/>
          <w:rFonts w:hint="cs"/>
          <w:rtl/>
        </w:rPr>
        <w:t xml:space="preserve"> דלכן אף כשהמערער נמצא במקום חירום, היה למחזיק להזהר בשטרו, ורק כשרואה המערער את המחזיק שדר בקרקע ואינו מערער, באותו הזמן ידוע לכל שהקרקע שלו, ואח"כ אין המחזיק נזהר בשטרו],</w:t>
      </w:r>
      <w:r>
        <w:rPr>
          <w:rFonts w:hint="cs"/>
          <w:rtl/>
        </w:rPr>
        <w:t xml:space="preserve"> וכתב </w:t>
      </w:r>
      <w:r w:rsidRPr="00650F9F">
        <w:rPr>
          <w:rStyle w:val="af9"/>
          <w:rFonts w:hint="cs"/>
          <w:rtl/>
        </w:rPr>
        <w:t>הרמב"ן</w:t>
      </w:r>
      <w:r>
        <w:rPr>
          <w:rFonts w:hint="cs"/>
          <w:rtl/>
        </w:rPr>
        <w:t xml:space="preserve"> דזהו הטעם של דיני החזקות והמחאות.</w:t>
      </w:r>
    </w:p>
    <w:p w:rsidR="00AB3447" w:rsidRPr="00EA3384" w:rsidRDefault="00AB3447" w:rsidP="00AB3447">
      <w:pPr>
        <w:pStyle w:val="1"/>
        <w:rPr>
          <w:rtl/>
        </w:rPr>
      </w:pPr>
      <w:bookmarkStart w:id="1367" w:name="_Toc54201330"/>
      <w:bookmarkStart w:id="1368" w:name="_Toc54210324"/>
      <w:r>
        <w:rPr>
          <w:rFonts w:hint="cs"/>
          <w:rtl/>
        </w:rPr>
        <w:t>ביאור הרמב"ן דקיי"ל כשמואל דסגי באכילות להקל ולהחמיר</w:t>
      </w:r>
      <w:bookmarkEnd w:id="1367"/>
      <w:bookmarkEnd w:id="1368"/>
    </w:p>
    <w:p w:rsidR="00AB3447" w:rsidRPr="00AD725A" w:rsidRDefault="00AB3447" w:rsidP="00AB3447">
      <w:pPr>
        <w:pStyle w:val="a3"/>
      </w:pPr>
      <w:bookmarkStart w:id="1369" w:name="_Toc54201331"/>
      <w:bookmarkStart w:id="1370" w:name="_Toc54210325"/>
      <w:r>
        <w:rPr>
          <w:rFonts w:hint="cs"/>
          <w:rtl/>
        </w:rPr>
        <w:t>ביאור הרמב"ן ברי"ף דלשמואל אזלינן בתר אכילות בין להקל ובין להחמיר וא"צ ג"ש שלימות</w:t>
      </w:r>
      <w:bookmarkEnd w:id="1369"/>
      <w:bookmarkEnd w:id="1370"/>
    </w:p>
    <w:p w:rsidR="00AB3447" w:rsidRPr="00433F28" w:rsidRDefault="00AB3447" w:rsidP="007E4E81">
      <w:pPr>
        <w:pStyle w:val="a0"/>
        <w:rPr>
          <w:rtl/>
        </w:rPr>
        <w:sectPr w:rsidR="00AB3447" w:rsidRPr="00433F28" w:rsidSect="00AB3447">
          <w:type w:val="continuous"/>
          <w:pgSz w:w="11906" w:h="16838"/>
          <w:pgMar w:top="720" w:right="720" w:bottom="720" w:left="720" w:header="283" w:footer="283" w:gutter="0"/>
          <w:cols w:num="2" w:space="567"/>
          <w:titlePg/>
          <w:bidi/>
          <w:rtlGutter/>
          <w:docGrid w:linePitch="299"/>
        </w:sectPr>
      </w:pPr>
      <w:bookmarkStart w:id="1371" w:name="_Ref54200632"/>
      <w:r>
        <w:rPr>
          <w:rFonts w:hint="cs"/>
          <w:rtl/>
        </w:rPr>
        <w:t xml:space="preserve">וכתב </w:t>
      </w:r>
      <w:r w:rsidRPr="00AD725A">
        <w:rPr>
          <w:rStyle w:val="af9"/>
          <w:rFonts w:hint="cs"/>
          <w:rtl/>
        </w:rPr>
        <w:t>הרמב"ן</w:t>
      </w:r>
      <w:r>
        <w:rPr>
          <w:rFonts w:hint="cs"/>
          <w:rtl/>
        </w:rPr>
        <w:t xml:space="preserve"> דלכן פסק </w:t>
      </w:r>
      <w:r w:rsidRPr="00650F9F">
        <w:rPr>
          <w:rStyle w:val="af9"/>
          <w:rFonts w:hint="cs"/>
          <w:rtl/>
        </w:rPr>
        <w:t>הרי"ף</w:t>
      </w:r>
      <w:r>
        <w:rPr>
          <w:rFonts w:hint="cs"/>
          <w:rtl/>
        </w:rPr>
        <w:t xml:space="preserve"> </w:t>
      </w:r>
      <w:r w:rsidRPr="00AD725A">
        <w:rPr>
          <w:rStyle w:val="af7"/>
          <w:rFonts w:eastAsia="Guttman Hodes" w:hint="cs"/>
          <w:rtl/>
        </w:rPr>
        <w:t xml:space="preserve">(עי' אות </w:t>
      </w:r>
      <w:r w:rsidRPr="00AD725A">
        <w:rPr>
          <w:rStyle w:val="af7"/>
          <w:rFonts w:eastAsia="Guttman Hodes"/>
          <w:rtl/>
        </w:rPr>
        <w:fldChar w:fldCharType="begin"/>
      </w:r>
      <w:r w:rsidRPr="00AD725A">
        <w:rPr>
          <w:rStyle w:val="af7"/>
          <w:rFonts w:eastAsia="Guttman Hodes"/>
          <w:rtl/>
        </w:rPr>
        <w:instrText xml:space="preserve"> </w:instrText>
      </w:r>
      <w:r w:rsidRPr="00AD725A">
        <w:rPr>
          <w:rStyle w:val="af7"/>
          <w:rFonts w:eastAsia="Guttman Hodes" w:hint="cs"/>
        </w:rPr>
        <w:instrText>REF</w:instrText>
      </w:r>
      <w:r w:rsidRPr="00AD725A">
        <w:rPr>
          <w:rStyle w:val="af7"/>
          <w:rFonts w:eastAsia="Guttman Hodes" w:hint="cs"/>
          <w:rtl/>
        </w:rPr>
        <w:instrText xml:space="preserve"> _</w:instrText>
      </w:r>
      <w:r w:rsidRPr="00AD725A">
        <w:rPr>
          <w:rStyle w:val="af7"/>
          <w:rFonts w:eastAsia="Guttman Hodes" w:hint="cs"/>
        </w:rPr>
        <w:instrText>Ref54198838 \r \h</w:instrText>
      </w:r>
      <w:r w:rsidRPr="00AD725A">
        <w:rPr>
          <w:rStyle w:val="af7"/>
          <w:rFonts w:eastAsia="Guttman Hodes"/>
          <w:rtl/>
        </w:rPr>
        <w:instrText xml:space="preserve"> </w:instrText>
      </w:r>
      <w:r w:rsidRPr="00AD725A">
        <w:rPr>
          <w:rStyle w:val="af7"/>
          <w:rFonts w:eastAsia="Guttman Hodes"/>
          <w:rtl/>
        </w:rPr>
      </w:r>
      <w:r w:rsidRPr="00AD725A">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AD725A">
        <w:rPr>
          <w:rStyle w:val="af7"/>
          <w:rFonts w:eastAsia="Guttman Hodes"/>
          <w:rtl/>
        </w:rPr>
        <w:fldChar w:fldCharType="end"/>
      </w:r>
      <w:r>
        <w:rPr>
          <w:rFonts w:hint="cs"/>
          <w:rtl/>
        </w:rPr>
        <w:t xml:space="preserve"> כשמואל בשדה אילן, דאזלינן בתר אכילות להקל ולהחמיר, ולא חיישינן לג"ש שלימות.</w:t>
      </w:r>
      <w:bookmarkEnd w:id="1233"/>
      <w:bookmarkEnd w:id="1371"/>
    </w:p>
    <w:p w:rsidR="00AB3447" w:rsidRPr="00E82902" w:rsidRDefault="00AB3447" w:rsidP="007E4E81">
      <w:pPr>
        <w:pStyle w:val="a0"/>
        <w:numPr>
          <w:ilvl w:val="0"/>
          <w:numId w:val="0"/>
        </w:numPr>
        <w:rPr>
          <w:rtl/>
        </w:rPr>
        <w:sectPr w:rsidR="00AB3447" w:rsidRPr="00E82902" w:rsidSect="005049E2">
          <w:footerReference w:type="default" r:id="rId32"/>
          <w:type w:val="continuous"/>
          <w:pgSz w:w="11906" w:h="16838"/>
          <w:pgMar w:top="720" w:right="720" w:bottom="720" w:left="720" w:header="283" w:footer="283" w:gutter="0"/>
          <w:cols w:num="2" w:space="567"/>
          <w:titlePg/>
          <w:bidi/>
          <w:rtlGutter/>
          <w:docGrid w:linePitch="299"/>
        </w:sectPr>
      </w:pPr>
    </w:p>
    <w:p w:rsidR="00AB3447" w:rsidRDefault="00AB3447" w:rsidP="00AB3447">
      <w:pPr>
        <w:tabs>
          <w:tab w:val="left" w:pos="1163"/>
        </w:tabs>
        <w:spacing w:after="120" w:line="240" w:lineRule="auto"/>
        <w:ind w:left="0"/>
        <w:rPr>
          <w:rFonts w:ascii="Guttman Hodes" w:eastAsia="Guttman Hodes" w:hAnsi="Guttman Hodes" w:cs="Guttman Hodes"/>
          <w:noProof/>
          <w:sz w:val="18"/>
          <w:szCs w:val="18"/>
          <w:rtl/>
        </w:rPr>
      </w:pPr>
    </w:p>
    <w:p w:rsidR="00AB3447" w:rsidRDefault="00AB3447" w:rsidP="00AB3447">
      <w:pPr>
        <w:tabs>
          <w:tab w:val="left" w:pos="1163"/>
        </w:tabs>
        <w:spacing w:after="120" w:line="240" w:lineRule="auto"/>
        <w:ind w:left="0"/>
        <w:rPr>
          <w:rFonts w:ascii="Guttman Hodes" w:eastAsia="Guttman Hodes" w:hAnsi="Guttman Hodes" w:cs="Guttman Hodes"/>
          <w:noProof/>
          <w:sz w:val="18"/>
          <w:szCs w:val="18"/>
        </w:rPr>
        <w:sectPr w:rsidR="00AB3447" w:rsidSect="00AE06CB">
          <w:type w:val="continuous"/>
          <w:pgSz w:w="11906" w:h="16838"/>
          <w:pgMar w:top="720" w:right="720" w:bottom="720" w:left="720" w:header="283" w:footer="283" w:gutter="0"/>
          <w:cols w:space="567"/>
          <w:bidi/>
          <w:rtlGutter/>
          <w:docGrid w:linePitch="299"/>
        </w:sectPr>
      </w:pPr>
    </w:p>
    <w:p w:rsidR="00AB3447" w:rsidRPr="00D47CE7" w:rsidRDefault="00E949D5" w:rsidP="00AB3447">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26" type="#_x0000_t75" style="width:404.55pt;height:6.8pt" o:hrpct="0" o:hralign="center" o:hr="t">
            <v:imagedata r:id="rId24" o:title="BD14845_"/>
          </v:shape>
        </w:pict>
      </w:r>
      <w:r w:rsidR="00AB3447" w:rsidRPr="00D47CE7">
        <w:rPr>
          <w:rFonts w:ascii="Guttman Hodes" w:eastAsia="Guttman Hodes" w:hAnsi="Guttman Hodes" w:cs="Guttman Hodes" w:hint="cs"/>
          <w:noProof/>
          <w:sz w:val="18"/>
          <w:szCs w:val="18"/>
          <w:rtl/>
        </w:rPr>
        <w:t xml:space="preserve"> </w:t>
      </w:r>
    </w:p>
    <w:p w:rsidR="003B20DB" w:rsidRDefault="001B6519" w:rsidP="003B20DB">
      <w:pPr>
        <w:pStyle w:val="afe"/>
        <w:rPr>
          <w:rtl/>
        </w:rPr>
      </w:pPr>
      <w:r>
        <w:rPr>
          <w:rFonts w:hint="cs"/>
          <w:rtl/>
        </w:rPr>
        <w:t>~~~~~~~ ביאורי ראשי הישיבות ~~~~~~~</w:t>
      </w:r>
      <w:bookmarkStart w:id="1372" w:name="_Toc54210327"/>
      <w:bookmarkStart w:id="1373" w:name="_Toc53940600"/>
    </w:p>
    <w:p w:rsidR="003B20DB" w:rsidRDefault="003B20DB" w:rsidP="003B20DB">
      <w:pPr>
        <w:pStyle w:val="afe"/>
        <w:rPr>
          <w:rtl/>
        </w:rPr>
        <w:sectPr w:rsidR="003B20DB" w:rsidSect="003B20DB">
          <w:footerReference w:type="default" r:id="rId33"/>
          <w:pgSz w:w="11906" w:h="16838"/>
          <w:pgMar w:top="720" w:right="720" w:bottom="720" w:left="720" w:header="283" w:footer="283" w:gutter="0"/>
          <w:cols w:space="567"/>
          <w:bidi/>
          <w:rtlGutter/>
          <w:docGrid w:linePitch="299"/>
        </w:sectPr>
      </w:pPr>
    </w:p>
    <w:p w:rsidR="00900B10" w:rsidRDefault="00900B10" w:rsidP="003B20DB">
      <w:pPr>
        <w:pStyle w:val="afe"/>
        <w:rPr>
          <w:rtl/>
        </w:rPr>
      </w:pPr>
      <w:r>
        <w:rPr>
          <w:rFonts w:hint="cs"/>
          <w:rtl/>
        </w:rPr>
        <w:t>בביאור פירות תדיר בבית הבד</w:t>
      </w:r>
      <w:bookmarkEnd w:id="1372"/>
      <w:r>
        <w:rPr>
          <w:rFonts w:hint="cs"/>
          <w:rtl/>
        </w:rPr>
        <w:t>ים</w:t>
      </w:r>
    </w:p>
    <w:p w:rsidR="00900B10" w:rsidRDefault="00900B10" w:rsidP="00900B10">
      <w:pPr>
        <w:pStyle w:val="1"/>
        <w:rPr>
          <w:rtl/>
        </w:rPr>
      </w:pPr>
      <w:bookmarkStart w:id="1374" w:name="_Toc54210328"/>
      <w:r>
        <w:rPr>
          <w:rFonts w:hint="cs"/>
          <w:rtl/>
        </w:rPr>
        <w:t>קושית הקוב"ש על תוס' דבבית הבד יטען המחזיק שהוא מהרוב</w:t>
      </w:r>
      <w:bookmarkEnd w:id="1374"/>
    </w:p>
    <w:p w:rsidR="00900B10" w:rsidRPr="00421D73" w:rsidRDefault="00900B10" w:rsidP="00900B10">
      <w:pPr>
        <w:pStyle w:val="a3"/>
        <w:rPr>
          <w:rtl/>
        </w:rPr>
      </w:pPr>
      <w:bookmarkStart w:id="1375" w:name="_Toc54210329"/>
      <w:r>
        <w:rPr>
          <w:rFonts w:hint="cs"/>
          <w:rtl/>
        </w:rPr>
        <w:t>קושית הקוב"ש על התוס' דלמ"ד דאין הולכין בממון אחר הרוב יטען המחזיק שהוא מהמיעוט</w:t>
      </w:r>
      <w:bookmarkEnd w:id="1375"/>
    </w:p>
    <w:p w:rsidR="00900B10" w:rsidRDefault="00900B10" w:rsidP="007E4E81">
      <w:pPr>
        <w:pStyle w:val="a0"/>
        <w:rPr>
          <w:rtl/>
        </w:rPr>
      </w:pPr>
      <w:bookmarkStart w:id="1376" w:name="_Ref54169435"/>
      <w:r>
        <w:rPr>
          <w:rFonts w:hint="cs"/>
          <w:rtl/>
        </w:rPr>
        <w:t xml:space="preserve">במ"ש </w:t>
      </w:r>
      <w:r w:rsidRPr="009E4CD0">
        <w:rPr>
          <w:rStyle w:val="af9"/>
          <w:rFonts w:hint="cs"/>
          <w:rtl/>
        </w:rPr>
        <w:t>התוס'</w:t>
      </w:r>
      <w:r>
        <w:rPr>
          <w:rFonts w:hint="cs"/>
          <w:rtl/>
        </w:rPr>
        <w:t xml:space="preserve"> </w:t>
      </w:r>
      <w:r w:rsidRPr="00A67C62">
        <w:rPr>
          <w:rStyle w:val="af7"/>
          <w:rFonts w:eastAsia="Guttman Hodes" w:hint="cs"/>
          <w:rtl/>
        </w:rPr>
        <w:t xml:space="preserve">(עי' אות </w:t>
      </w:r>
      <w:r w:rsidRPr="00A67C62">
        <w:rPr>
          <w:rStyle w:val="af7"/>
          <w:rFonts w:eastAsia="Guttman Hodes"/>
          <w:rtl/>
        </w:rPr>
        <w:fldChar w:fldCharType="begin"/>
      </w:r>
      <w:r w:rsidRPr="00A67C62">
        <w:rPr>
          <w:rStyle w:val="af7"/>
          <w:rFonts w:eastAsia="Guttman Hodes"/>
          <w:rtl/>
        </w:rPr>
        <w:instrText xml:space="preserve"> </w:instrText>
      </w:r>
      <w:r w:rsidRPr="00A67C62">
        <w:rPr>
          <w:rStyle w:val="af7"/>
          <w:rFonts w:eastAsia="Guttman Hodes" w:hint="cs"/>
        </w:rPr>
        <w:instrText>REF</w:instrText>
      </w:r>
      <w:r w:rsidRPr="00A67C62">
        <w:rPr>
          <w:rStyle w:val="af7"/>
          <w:rFonts w:eastAsia="Guttman Hodes" w:hint="cs"/>
          <w:rtl/>
        </w:rPr>
        <w:instrText xml:space="preserve"> _</w:instrText>
      </w:r>
      <w:r w:rsidRPr="00A67C62">
        <w:rPr>
          <w:rStyle w:val="af7"/>
          <w:rFonts w:eastAsia="Guttman Hodes" w:hint="cs"/>
        </w:rPr>
        <w:instrText>Ref54169626 \r \h</w:instrText>
      </w:r>
      <w:r w:rsidRPr="00A67C62">
        <w:rPr>
          <w:rStyle w:val="af7"/>
          <w:rFonts w:eastAsia="Guttman Hodes"/>
          <w:rtl/>
        </w:rPr>
        <w:instrText xml:space="preserve"> </w:instrText>
      </w:r>
      <w:r w:rsidRPr="00A67C62">
        <w:rPr>
          <w:rStyle w:val="af7"/>
          <w:rFonts w:eastAsia="Guttman Hodes"/>
          <w:rtl/>
        </w:rPr>
      </w:r>
      <w:r w:rsidRPr="00A67C62">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A67C62">
        <w:rPr>
          <w:rStyle w:val="af7"/>
          <w:rFonts w:eastAsia="Guttman Hodes"/>
          <w:rtl/>
        </w:rPr>
        <w:fldChar w:fldCharType="end"/>
      </w:r>
      <w:r>
        <w:rPr>
          <w:rFonts w:hint="cs"/>
          <w:rtl/>
        </w:rPr>
        <w:t xml:space="preserve"> דבבית הבדים חשיב שבית הבתים עושים פירות תדיר, אף רוב האנשים דורכים בזמן הלקיטה, מ"מ יש מיעוט שדורכין</w:t>
      </w:r>
      <w:r w:rsidRPr="0010673A">
        <w:rPr>
          <w:rFonts w:hint="cs"/>
          <w:rtl/>
        </w:rPr>
        <w:t xml:space="preserve"> </w:t>
      </w:r>
      <w:r>
        <w:rPr>
          <w:rFonts w:hint="cs"/>
          <w:rtl/>
        </w:rPr>
        <w:t>כל השנה, ה</w:t>
      </w:r>
      <w:r w:rsidRPr="0062602F">
        <w:rPr>
          <w:rFonts w:hint="cs"/>
          <w:rtl/>
        </w:rPr>
        <w:t xml:space="preserve">קשה </w:t>
      </w:r>
      <w:r w:rsidRPr="009E4CD0">
        <w:rPr>
          <w:rStyle w:val="af9"/>
          <w:rFonts w:hint="cs"/>
          <w:rtl/>
        </w:rPr>
        <w:t xml:space="preserve">הקוב"ש </w:t>
      </w:r>
      <w:r w:rsidRPr="009E4CD0">
        <w:rPr>
          <w:rStyle w:val="af7"/>
          <w:rFonts w:eastAsia="Guttman Hodes" w:hint="cs"/>
          <w:rtl/>
        </w:rPr>
        <w:t>(או' צ"ט)</w:t>
      </w:r>
      <w:r w:rsidRPr="0062602F">
        <w:rPr>
          <w:rFonts w:hint="cs"/>
          <w:rtl/>
        </w:rPr>
        <w:t xml:space="preserve"> </w:t>
      </w:r>
      <w:r>
        <w:rPr>
          <w:rFonts w:hint="cs"/>
          <w:rtl/>
        </w:rPr>
        <w:t xml:space="preserve">דהא </w:t>
      </w:r>
      <w:r w:rsidRPr="0062602F">
        <w:rPr>
          <w:rFonts w:hint="cs"/>
          <w:rtl/>
        </w:rPr>
        <w:t>למ"ד דהולכין בממון אחר הרוב, אמאי אין המחזיק יכול לטעון שהוא מרוב העולם, שיש להם זמן קבוע</w:t>
      </w:r>
      <w:r>
        <w:rPr>
          <w:rFonts w:hint="cs"/>
          <w:rtl/>
        </w:rPr>
        <w:t>, וא"כ א"צ להחזיק ג"ש מיום ליום</w:t>
      </w:r>
      <w:r w:rsidRPr="0062602F">
        <w:rPr>
          <w:rFonts w:hint="cs"/>
          <w:rtl/>
        </w:rPr>
        <w:t>.</w:t>
      </w:r>
      <w:bookmarkEnd w:id="1376"/>
    </w:p>
    <w:p w:rsidR="00900B10" w:rsidRDefault="00900B10" w:rsidP="00900B10">
      <w:pPr>
        <w:pStyle w:val="a3"/>
        <w:rPr>
          <w:rtl/>
        </w:rPr>
      </w:pPr>
      <w:bookmarkStart w:id="1377" w:name="_Toc54210330"/>
      <w:r>
        <w:rPr>
          <w:rFonts w:hint="cs"/>
          <w:rtl/>
        </w:rPr>
        <w:t>ביאור הגרנ"פ דכוונת התוס' דבכל בית הבד משתמשים כל השנה לצורך המיעוט</w:t>
      </w:r>
      <w:bookmarkEnd w:id="1377"/>
    </w:p>
    <w:p w:rsidR="00900B10" w:rsidRPr="0010673A" w:rsidRDefault="00900B10" w:rsidP="007E4E81">
      <w:pPr>
        <w:pStyle w:val="a0"/>
      </w:pPr>
      <w:bookmarkStart w:id="1378" w:name="_Ref54169718"/>
      <w:r w:rsidRPr="009E4CD0">
        <w:rPr>
          <w:rStyle w:val="af9"/>
          <w:rFonts w:hint="cs"/>
          <w:rtl/>
        </w:rPr>
        <w:t xml:space="preserve">ובחי' רבי נחום </w:t>
      </w:r>
      <w:r w:rsidRPr="009E4CD0">
        <w:rPr>
          <w:rStyle w:val="af7"/>
          <w:rFonts w:eastAsia="Guttman Hodes" w:hint="cs"/>
          <w:rtl/>
        </w:rPr>
        <w:t>(או' ו')</w:t>
      </w:r>
      <w:r w:rsidRPr="0062602F">
        <w:rPr>
          <w:rFonts w:hint="cs"/>
          <w:rtl/>
        </w:rPr>
        <w:t xml:space="preserve"> דחה </w:t>
      </w:r>
      <w:r>
        <w:rPr>
          <w:rFonts w:hint="cs"/>
          <w:rtl/>
        </w:rPr>
        <w:t>דאין כוונת התוס' לומר דמיעוט של בית הבדים משתמשים בהם כל השנה, אלא</w:t>
      </w:r>
      <w:r w:rsidRPr="0062602F">
        <w:rPr>
          <w:rFonts w:hint="cs"/>
          <w:rtl/>
        </w:rPr>
        <w:t xml:space="preserve">כוונת </w:t>
      </w:r>
      <w:r w:rsidRPr="009E4CD0">
        <w:rPr>
          <w:rStyle w:val="af9"/>
          <w:rFonts w:hint="cs"/>
          <w:rtl/>
        </w:rPr>
        <w:t>התוס'</w:t>
      </w:r>
      <w:r w:rsidRPr="0062602F">
        <w:rPr>
          <w:rFonts w:hint="cs"/>
          <w:rtl/>
        </w:rPr>
        <w:t xml:space="preserve"> דבכל בית הבד עובדים כל השנה לצורך המיעוט שדורכין מעט מעט, </w:t>
      </w:r>
      <w:r>
        <w:rPr>
          <w:rFonts w:hint="cs"/>
          <w:rtl/>
        </w:rPr>
        <w:t xml:space="preserve">וא"כ כל בית הבדים חשיבי עושים פירות תדיר, </w:t>
      </w:r>
      <w:r w:rsidRPr="0062602F">
        <w:rPr>
          <w:rFonts w:hint="cs"/>
          <w:rtl/>
        </w:rPr>
        <w:t xml:space="preserve">וכדעת </w:t>
      </w:r>
      <w:r w:rsidRPr="009E4CD0">
        <w:rPr>
          <w:rStyle w:val="af9"/>
          <w:rFonts w:hint="cs"/>
          <w:rtl/>
        </w:rPr>
        <w:t>הרמב"ן</w:t>
      </w:r>
      <w:r>
        <w:rPr>
          <w:rFonts w:hint="cs"/>
          <w:rtl/>
        </w:rPr>
        <w:t xml:space="preserve"> </w:t>
      </w:r>
      <w:r w:rsidRPr="009E4CD0">
        <w:rPr>
          <w:rStyle w:val="af7"/>
          <w:rFonts w:eastAsia="Guttman Hodes" w:hint="cs"/>
          <w:rtl/>
        </w:rPr>
        <w:t xml:space="preserve">(עי' אות </w:t>
      </w:r>
      <w:r w:rsidRPr="009E4CD0">
        <w:rPr>
          <w:rStyle w:val="af7"/>
          <w:rFonts w:eastAsia="Guttman Hodes"/>
          <w:rtl/>
        </w:rPr>
        <w:fldChar w:fldCharType="begin"/>
      </w:r>
      <w:r w:rsidRPr="009E4CD0">
        <w:rPr>
          <w:rStyle w:val="af7"/>
          <w:rFonts w:eastAsia="Guttman Hodes"/>
          <w:rtl/>
        </w:rPr>
        <w:instrText xml:space="preserve"> </w:instrText>
      </w:r>
      <w:r w:rsidRPr="009E4CD0">
        <w:rPr>
          <w:rStyle w:val="af7"/>
          <w:rFonts w:eastAsia="Guttman Hodes" w:hint="cs"/>
        </w:rPr>
        <w:instrText>REF</w:instrText>
      </w:r>
      <w:r w:rsidRPr="009E4CD0">
        <w:rPr>
          <w:rStyle w:val="af7"/>
          <w:rFonts w:eastAsia="Guttman Hodes" w:hint="cs"/>
          <w:rtl/>
        </w:rPr>
        <w:instrText xml:space="preserve"> _</w:instrText>
      </w:r>
      <w:r w:rsidRPr="009E4CD0">
        <w:rPr>
          <w:rStyle w:val="af7"/>
          <w:rFonts w:eastAsia="Guttman Hodes" w:hint="cs"/>
        </w:rPr>
        <w:instrText>Ref54169638 \r \h</w:instrText>
      </w:r>
      <w:r w:rsidRPr="009E4CD0">
        <w:rPr>
          <w:rStyle w:val="af7"/>
          <w:rFonts w:eastAsia="Guttman Hodes"/>
          <w:rtl/>
        </w:rPr>
        <w:instrText xml:space="preserve"> </w:instrText>
      </w:r>
      <w:r w:rsidRPr="009E4CD0">
        <w:rPr>
          <w:rStyle w:val="af7"/>
          <w:rFonts w:eastAsia="Guttman Hodes"/>
          <w:rtl/>
        </w:rPr>
      </w:r>
      <w:r w:rsidRPr="009E4CD0">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9E4CD0">
        <w:rPr>
          <w:rStyle w:val="af7"/>
          <w:rFonts w:eastAsia="Guttman Hodes"/>
          <w:rtl/>
        </w:rPr>
        <w:fldChar w:fldCharType="end"/>
      </w:r>
      <w:r w:rsidRPr="0062602F">
        <w:rPr>
          <w:rFonts w:hint="cs"/>
          <w:rtl/>
        </w:rPr>
        <w:t xml:space="preserve">, וכעי"ז כתב </w:t>
      </w:r>
      <w:r w:rsidRPr="009E4CD0">
        <w:rPr>
          <w:rStyle w:val="af9"/>
          <w:rFonts w:hint="cs"/>
          <w:rtl/>
        </w:rPr>
        <w:t xml:space="preserve">בחי' </w:t>
      </w:r>
      <w:r w:rsidRPr="009E4CD0">
        <w:rPr>
          <w:rStyle w:val="af9"/>
          <w:rtl/>
        </w:rPr>
        <w:t>הרי"</w:t>
      </w:r>
      <w:r w:rsidRPr="009E4CD0">
        <w:rPr>
          <w:rStyle w:val="af9"/>
          <w:rFonts w:hint="cs"/>
          <w:rtl/>
        </w:rPr>
        <w:t>ם</w:t>
      </w:r>
      <w:r w:rsidRPr="0062602F">
        <w:rPr>
          <w:rFonts w:hint="cs"/>
          <w:rtl/>
        </w:rPr>
        <w:t xml:space="preserve"> </w:t>
      </w:r>
      <w:r w:rsidRPr="009E4CD0">
        <w:rPr>
          <w:rStyle w:val="af7"/>
          <w:rFonts w:eastAsia="Guttman Hodes" w:hint="cs"/>
          <w:rtl/>
        </w:rPr>
        <w:t>(חו"מ</w:t>
      </w:r>
      <w:r w:rsidRPr="009E4CD0">
        <w:rPr>
          <w:rStyle w:val="af7"/>
          <w:rFonts w:eastAsia="Guttman Hodes"/>
          <w:rtl/>
        </w:rPr>
        <w:t xml:space="preserve"> </w:t>
      </w:r>
      <w:r w:rsidRPr="009E4CD0">
        <w:rPr>
          <w:rStyle w:val="af7"/>
          <w:rFonts w:eastAsia="Guttman Hodes" w:hint="cs"/>
          <w:rtl/>
        </w:rPr>
        <w:t>סי'</w:t>
      </w:r>
      <w:r w:rsidRPr="009E4CD0">
        <w:rPr>
          <w:rStyle w:val="af7"/>
          <w:rFonts w:eastAsia="Guttman Hodes"/>
          <w:rtl/>
        </w:rPr>
        <w:t xml:space="preserve"> קמ</w:t>
      </w:r>
      <w:r w:rsidRPr="009E4CD0">
        <w:rPr>
          <w:rStyle w:val="af7"/>
          <w:rFonts w:eastAsia="Guttman Hodes" w:hint="cs"/>
          <w:rtl/>
        </w:rPr>
        <w:t>"</w:t>
      </w:r>
      <w:r w:rsidRPr="009E4CD0">
        <w:rPr>
          <w:rStyle w:val="af7"/>
          <w:rFonts w:eastAsia="Guttman Hodes"/>
          <w:rtl/>
        </w:rPr>
        <w:t xml:space="preserve">א </w:t>
      </w:r>
      <w:r w:rsidRPr="009E4CD0">
        <w:rPr>
          <w:rStyle w:val="af7"/>
          <w:rFonts w:eastAsia="Guttman Hodes" w:hint="cs"/>
          <w:rtl/>
        </w:rPr>
        <w:t>סק"</w:t>
      </w:r>
      <w:r w:rsidRPr="009E4CD0">
        <w:rPr>
          <w:rStyle w:val="af7"/>
          <w:rFonts w:eastAsia="Guttman Hodes"/>
          <w:rtl/>
        </w:rPr>
        <w:t>ה</w:t>
      </w:r>
      <w:r w:rsidRPr="009E4CD0">
        <w:rPr>
          <w:rStyle w:val="af7"/>
          <w:rFonts w:eastAsia="Guttman Hodes" w:hint="cs"/>
          <w:rtl/>
        </w:rPr>
        <w:t>).</w:t>
      </w:r>
      <w:bookmarkEnd w:id="1378"/>
    </w:p>
    <w:p w:rsidR="00900B10" w:rsidRDefault="00900B10" w:rsidP="00900B10">
      <w:pPr>
        <w:pStyle w:val="afe"/>
        <w:rPr>
          <w:rtl/>
        </w:rPr>
      </w:pPr>
      <w:bookmarkStart w:id="1379" w:name="_Toc54177805"/>
      <w:bookmarkStart w:id="1380" w:name="_Toc54201334"/>
      <w:bookmarkStart w:id="1381" w:name="_Toc54210331"/>
      <w:r>
        <w:rPr>
          <w:rFonts w:hint="cs"/>
          <w:rtl/>
        </w:rPr>
        <w:t>בגדר החזקה באכילת כל הפירות</w:t>
      </w:r>
      <w:bookmarkEnd w:id="1373"/>
      <w:bookmarkEnd w:id="1379"/>
      <w:bookmarkEnd w:id="1380"/>
      <w:r>
        <w:rPr>
          <w:rFonts w:hint="cs"/>
          <w:rtl/>
        </w:rPr>
        <w:t xml:space="preserve"> בג"ש</w:t>
      </w:r>
      <w:bookmarkEnd w:id="1381"/>
    </w:p>
    <w:p w:rsidR="00900B10" w:rsidRDefault="00900B10" w:rsidP="00900B10">
      <w:pPr>
        <w:pStyle w:val="1"/>
        <w:rPr>
          <w:rtl/>
        </w:rPr>
      </w:pPr>
      <w:bookmarkStart w:id="1382" w:name="_Toc53940601"/>
      <w:bookmarkStart w:id="1383" w:name="_Toc54177806"/>
      <w:bookmarkStart w:id="1384" w:name="_Toc54201335"/>
      <w:bookmarkStart w:id="1385" w:name="_Toc54210332"/>
      <w:r>
        <w:rPr>
          <w:rFonts w:hint="cs"/>
          <w:rtl/>
        </w:rPr>
        <w:t>ביאור הגרנ"פ</w:t>
      </w:r>
      <w:bookmarkEnd w:id="1382"/>
      <w:bookmarkEnd w:id="1383"/>
      <w:bookmarkEnd w:id="1384"/>
      <w:r>
        <w:rPr>
          <w:rFonts w:hint="cs"/>
          <w:rtl/>
        </w:rPr>
        <w:t xml:space="preserve"> ברש"י דאכילת כל הפירות היא עצם החזקה</w:t>
      </w:r>
      <w:bookmarkEnd w:id="1385"/>
    </w:p>
    <w:p w:rsidR="00900B10" w:rsidRDefault="00900B10" w:rsidP="00900B10">
      <w:pPr>
        <w:pStyle w:val="a3"/>
        <w:rPr>
          <w:rtl/>
        </w:rPr>
      </w:pPr>
      <w:bookmarkStart w:id="1386" w:name="_Toc54210333"/>
      <w:r>
        <w:rPr>
          <w:rFonts w:hint="cs"/>
          <w:rtl/>
        </w:rPr>
        <w:t>ביאור הגרנ"פ ברש"י דעצם החזקה היא שאוכל את הפירות של כל הג"ש וזמנה ג"ש מיום ליום</w:t>
      </w:r>
      <w:bookmarkEnd w:id="1386"/>
    </w:p>
    <w:p w:rsidR="00900B10" w:rsidRDefault="00900B10" w:rsidP="007E4E81">
      <w:pPr>
        <w:pStyle w:val="a0"/>
        <w:rPr>
          <w:rtl/>
        </w:rPr>
      </w:pPr>
      <w:bookmarkStart w:id="1387" w:name="_Ref54208581"/>
      <w:r>
        <w:rPr>
          <w:rFonts w:hint="cs"/>
          <w:rtl/>
        </w:rPr>
        <w:t xml:space="preserve">במ"ש </w:t>
      </w:r>
      <w:r w:rsidRPr="001E173B">
        <w:rPr>
          <w:rStyle w:val="af9"/>
          <w:rFonts w:hint="cs"/>
          <w:rtl/>
        </w:rPr>
        <w:t>רש"י</w:t>
      </w:r>
      <w:r>
        <w:rPr>
          <w:rFonts w:hint="cs"/>
          <w:rtl/>
        </w:rPr>
        <w:t xml:space="preserve"> </w:t>
      </w:r>
      <w:r w:rsidRPr="009025F2">
        <w:rPr>
          <w:rStyle w:val="af7"/>
          <w:rFonts w:eastAsia="Guttman Hodes" w:hint="cs"/>
          <w:rtl/>
        </w:rPr>
        <w:t xml:space="preserve">(עי' אות </w:t>
      </w:r>
      <w:r w:rsidRPr="009025F2">
        <w:rPr>
          <w:rStyle w:val="af7"/>
          <w:rFonts w:eastAsia="Guttman Hodes"/>
          <w:rtl/>
        </w:rPr>
        <w:fldChar w:fldCharType="begin"/>
      </w:r>
      <w:r w:rsidRPr="009025F2">
        <w:rPr>
          <w:rStyle w:val="af7"/>
          <w:rFonts w:eastAsia="Guttman Hodes"/>
          <w:rtl/>
        </w:rPr>
        <w:instrText xml:space="preserve"> </w:instrText>
      </w:r>
      <w:r w:rsidRPr="009025F2">
        <w:rPr>
          <w:rStyle w:val="af7"/>
          <w:rFonts w:eastAsia="Guttman Hodes" w:hint="cs"/>
        </w:rPr>
        <w:instrText>REF</w:instrText>
      </w:r>
      <w:r w:rsidRPr="009025F2">
        <w:rPr>
          <w:rStyle w:val="af7"/>
          <w:rFonts w:eastAsia="Guttman Hodes" w:hint="cs"/>
          <w:rtl/>
        </w:rPr>
        <w:instrText xml:space="preserve"> _</w:instrText>
      </w:r>
      <w:r w:rsidRPr="009025F2">
        <w:rPr>
          <w:rStyle w:val="af7"/>
          <w:rFonts w:eastAsia="Guttman Hodes" w:hint="cs"/>
        </w:rPr>
        <w:instrText>Ref54172896 \r \h</w:instrText>
      </w:r>
      <w:r w:rsidRPr="009025F2">
        <w:rPr>
          <w:rStyle w:val="af7"/>
          <w:rFonts w:eastAsia="Guttman Hodes"/>
          <w:rtl/>
        </w:rPr>
        <w:instrText xml:space="preserve"> </w:instrText>
      </w:r>
      <w:r w:rsidRPr="009025F2">
        <w:rPr>
          <w:rStyle w:val="af7"/>
          <w:rFonts w:eastAsia="Guttman Hodes"/>
          <w:rtl/>
        </w:rPr>
      </w:r>
      <w:r w:rsidRPr="009025F2">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9025F2">
        <w:rPr>
          <w:rStyle w:val="af7"/>
          <w:rFonts w:eastAsia="Guttman Hodes"/>
          <w:rtl/>
        </w:rPr>
        <w:fldChar w:fldCharType="end"/>
      </w:r>
      <w:r>
        <w:rPr>
          <w:rFonts w:hint="cs"/>
          <w:rtl/>
        </w:rPr>
        <w:t xml:space="preserve"> דבבית השלחין כיון דעושה פירות תדיר, אם לא החזיק ג"ש שלימות מיום ליום, לא מהני לו חזקתו, דכשאמרו חז"ל ג"ש לחזקה היינו כל שראוי לצאת מהשדה בג"ש, כתב </w:t>
      </w:r>
      <w:r w:rsidRPr="001E173B">
        <w:rPr>
          <w:rStyle w:val="af9"/>
          <w:rFonts w:hint="cs"/>
          <w:rtl/>
        </w:rPr>
        <w:t xml:space="preserve">בחי' רבי נחום </w:t>
      </w:r>
      <w:r w:rsidRPr="009025F2">
        <w:rPr>
          <w:rStyle w:val="af7"/>
          <w:rFonts w:eastAsia="Guttman Hodes" w:hint="cs"/>
          <w:rtl/>
        </w:rPr>
        <w:t>(או' ד' ד"ה מתני')</w:t>
      </w:r>
      <w:r>
        <w:rPr>
          <w:rFonts w:hint="cs"/>
          <w:rtl/>
        </w:rPr>
        <w:t xml:space="preserve"> דמבואר מדברי </w:t>
      </w:r>
      <w:r w:rsidRPr="009025F2">
        <w:rPr>
          <w:rStyle w:val="af9"/>
          <w:rFonts w:hint="cs"/>
          <w:rtl/>
        </w:rPr>
        <w:t>רש"י</w:t>
      </w:r>
      <w:r>
        <w:rPr>
          <w:rFonts w:hint="cs"/>
          <w:rtl/>
        </w:rPr>
        <w:t xml:space="preserve"> דהא דצריך לאכול את הפירות שיוצאים מהשדה ג"ש, היינו דזו עצם החזקה, דהמחזיק אוכל את כל הפירות כל הג"ש, וזמן חזקת ג"ש היינו מיום ליום.</w:t>
      </w:r>
      <w:bookmarkEnd w:id="1387"/>
    </w:p>
    <w:p w:rsidR="00900B10" w:rsidRPr="00EB73CE" w:rsidRDefault="00900B10" w:rsidP="00900B10">
      <w:pPr>
        <w:pStyle w:val="1"/>
      </w:pPr>
      <w:bookmarkStart w:id="1388" w:name="_Toc54210334"/>
      <w:r>
        <w:rPr>
          <w:rFonts w:hint="cs"/>
          <w:rtl/>
        </w:rPr>
        <w:t>ביאור הגרנ"פ ברבינו גרשום דאכילת הפירות היא לצורך הטענה</w:t>
      </w:r>
      <w:bookmarkEnd w:id="1388"/>
    </w:p>
    <w:p w:rsidR="00900B10" w:rsidRDefault="00900B10" w:rsidP="00900B10">
      <w:pPr>
        <w:pStyle w:val="a3"/>
        <w:rPr>
          <w:rtl/>
        </w:rPr>
      </w:pPr>
      <w:bookmarkStart w:id="1389" w:name="_Toc54210335"/>
      <w:r>
        <w:rPr>
          <w:rFonts w:hint="cs"/>
          <w:rtl/>
        </w:rPr>
        <w:t>ביאור הגרנ"פ ברבינו גרשום דאכילת כל הפירות אינה החזקה אלא בכדי לסתור טענת המערער</w:t>
      </w:r>
      <w:bookmarkEnd w:id="1389"/>
    </w:p>
    <w:p w:rsidR="00900B10" w:rsidRDefault="00900B10" w:rsidP="007E4E81">
      <w:pPr>
        <w:pStyle w:val="a0"/>
        <w:rPr>
          <w:rtl/>
        </w:rPr>
      </w:pPr>
      <w:bookmarkStart w:id="1390" w:name="_Ref54208608"/>
      <w:r>
        <w:rPr>
          <w:rFonts w:hint="cs"/>
          <w:rtl/>
        </w:rPr>
        <w:t xml:space="preserve">אך כתב </w:t>
      </w:r>
      <w:r w:rsidRPr="001E173B">
        <w:rPr>
          <w:rStyle w:val="af9"/>
          <w:rFonts w:hint="cs"/>
          <w:rtl/>
        </w:rPr>
        <w:t>בחי' רבי נחום</w:t>
      </w:r>
      <w:r>
        <w:rPr>
          <w:rFonts w:hint="cs"/>
          <w:rtl/>
        </w:rPr>
        <w:t xml:space="preserve"> דמדברי </w:t>
      </w:r>
      <w:r w:rsidRPr="001E173B">
        <w:rPr>
          <w:rStyle w:val="af9"/>
          <w:rFonts w:hint="cs"/>
          <w:rtl/>
        </w:rPr>
        <w:t>רבינו גרשום</w:t>
      </w:r>
      <w:r>
        <w:rPr>
          <w:rFonts w:hint="cs"/>
          <w:rtl/>
        </w:rPr>
        <w:t xml:space="preserve"> </w:t>
      </w:r>
      <w:r w:rsidRPr="009025F2">
        <w:rPr>
          <w:rStyle w:val="af7"/>
          <w:rFonts w:eastAsia="Guttman Hodes" w:hint="cs"/>
          <w:rtl/>
        </w:rPr>
        <w:t xml:space="preserve">(עי' אות </w:t>
      </w:r>
      <w:r w:rsidRPr="009025F2">
        <w:rPr>
          <w:rStyle w:val="af7"/>
          <w:rFonts w:eastAsia="Guttman Hodes"/>
          <w:rtl/>
        </w:rPr>
        <w:fldChar w:fldCharType="begin"/>
      </w:r>
      <w:r w:rsidRPr="009025F2">
        <w:rPr>
          <w:rStyle w:val="af7"/>
          <w:rFonts w:eastAsia="Guttman Hodes"/>
          <w:rtl/>
        </w:rPr>
        <w:instrText xml:space="preserve"> </w:instrText>
      </w:r>
      <w:r w:rsidRPr="009025F2">
        <w:rPr>
          <w:rStyle w:val="af7"/>
          <w:rFonts w:eastAsia="Guttman Hodes" w:hint="cs"/>
        </w:rPr>
        <w:instrText>REF</w:instrText>
      </w:r>
      <w:r w:rsidRPr="009025F2">
        <w:rPr>
          <w:rStyle w:val="af7"/>
          <w:rFonts w:eastAsia="Guttman Hodes" w:hint="cs"/>
          <w:rtl/>
        </w:rPr>
        <w:instrText xml:space="preserve"> _</w:instrText>
      </w:r>
      <w:r w:rsidRPr="009025F2">
        <w:rPr>
          <w:rStyle w:val="af7"/>
          <w:rFonts w:eastAsia="Guttman Hodes" w:hint="cs"/>
        </w:rPr>
        <w:instrText>Ref53936946 \r \h</w:instrText>
      </w:r>
      <w:r w:rsidRPr="009025F2">
        <w:rPr>
          <w:rStyle w:val="af7"/>
          <w:rFonts w:eastAsia="Guttman Hodes"/>
          <w:rtl/>
        </w:rPr>
        <w:instrText xml:space="preserve"> </w:instrText>
      </w:r>
      <w:r w:rsidRPr="009025F2">
        <w:rPr>
          <w:rStyle w:val="af7"/>
          <w:rFonts w:eastAsia="Guttman Hodes"/>
          <w:rtl/>
        </w:rPr>
      </w:r>
      <w:r w:rsidRPr="009025F2">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9025F2">
        <w:rPr>
          <w:rStyle w:val="af7"/>
          <w:rFonts w:eastAsia="Guttman Hodes"/>
          <w:rtl/>
        </w:rPr>
        <w:fldChar w:fldCharType="end"/>
      </w:r>
      <w:r>
        <w:rPr>
          <w:rFonts w:hint="cs"/>
          <w:rtl/>
        </w:rPr>
        <w:t xml:space="preserve"> דכתב דהמחזיק צריך להביא עדים שהשתמש בהם ג"ש מיום ליום, כדי שלא יוכל המערער לטעון שבא לשם ולא ראה שהמחזיק משתמש ולכן לא מחה, מבואר </w:t>
      </w:r>
      <w:r w:rsidRPr="001E173B">
        <w:rPr>
          <w:rStyle w:val="af9"/>
          <w:rFonts w:hint="cs"/>
          <w:rtl/>
        </w:rPr>
        <w:t>רבינו גרשום</w:t>
      </w:r>
      <w:r>
        <w:rPr>
          <w:rFonts w:hint="cs"/>
          <w:rtl/>
        </w:rPr>
        <w:t xml:space="preserve"> דלדעת הא דצריך אכילת כל הפירות, אינו דין בעצם הזמן של החזקה, אלא הוא בכדי שלא יוכל המערער לטעון דלא היה לו למחות.</w:t>
      </w:r>
      <w:bookmarkEnd w:id="1390"/>
    </w:p>
    <w:p w:rsidR="003B20DB" w:rsidRPr="003B20DB" w:rsidRDefault="003B20DB" w:rsidP="003B20DB">
      <w:pPr>
        <w:pStyle w:val="a3"/>
        <w:rPr>
          <w:rtl/>
        </w:rPr>
      </w:pPr>
    </w:p>
    <w:p w:rsidR="00900B10" w:rsidRPr="00C01F42" w:rsidRDefault="00900B10" w:rsidP="00900B10">
      <w:pPr>
        <w:pStyle w:val="1"/>
        <w:rPr>
          <w:rtl/>
        </w:rPr>
      </w:pPr>
      <w:bookmarkStart w:id="1391" w:name="_Toc54210336"/>
      <w:r>
        <w:rPr>
          <w:rFonts w:hint="cs"/>
          <w:rtl/>
        </w:rPr>
        <w:t>ביאור הגרנ"פ בפלוגתת רש"י והרי"ף בדעת ת"ק דמתני'</w:t>
      </w:r>
      <w:bookmarkEnd w:id="1391"/>
    </w:p>
    <w:p w:rsidR="00900B10" w:rsidRPr="001259B7" w:rsidRDefault="00900B10" w:rsidP="00900B10">
      <w:pPr>
        <w:pStyle w:val="a3"/>
        <w:rPr>
          <w:rtl/>
        </w:rPr>
      </w:pPr>
      <w:bookmarkStart w:id="1392" w:name="_Toc54210337"/>
      <w:r>
        <w:rPr>
          <w:rFonts w:hint="cs"/>
          <w:rtl/>
        </w:rPr>
        <w:t>דברי הגרנ"פ דלרבינו גרשום מוכח כהרי"ף דהא דתנן דשדה הבעל א"צ ג"ש היינו לרבנן</w:t>
      </w:r>
      <w:bookmarkEnd w:id="1392"/>
    </w:p>
    <w:p w:rsidR="00900B10" w:rsidRDefault="00900B10" w:rsidP="007E4E81">
      <w:pPr>
        <w:pStyle w:val="a0"/>
      </w:pPr>
      <w:bookmarkStart w:id="1393" w:name="_Ref54208727"/>
      <w:r>
        <w:rPr>
          <w:rFonts w:hint="cs"/>
          <w:rtl/>
        </w:rPr>
        <w:t xml:space="preserve">וכתב </w:t>
      </w:r>
      <w:r w:rsidRPr="001E173B">
        <w:rPr>
          <w:rStyle w:val="af9"/>
          <w:rFonts w:hint="cs"/>
          <w:rtl/>
        </w:rPr>
        <w:t>בחי' רבי נחום</w:t>
      </w:r>
      <w:r>
        <w:rPr>
          <w:rFonts w:hint="cs"/>
          <w:rtl/>
        </w:rPr>
        <w:t xml:space="preserve"> דלפי ביאור </w:t>
      </w:r>
      <w:r w:rsidRPr="001E173B">
        <w:rPr>
          <w:rStyle w:val="af9"/>
          <w:rFonts w:hint="cs"/>
          <w:rtl/>
        </w:rPr>
        <w:t>רבינו גרשום</w:t>
      </w:r>
      <w:r>
        <w:rPr>
          <w:rFonts w:hint="cs"/>
          <w:rtl/>
        </w:rPr>
        <w:t xml:space="preserve">, מבוארת דעת </w:t>
      </w:r>
      <w:r w:rsidRPr="001E173B">
        <w:rPr>
          <w:rStyle w:val="af9"/>
          <w:rFonts w:hint="cs"/>
          <w:rtl/>
        </w:rPr>
        <w:t>הרי"ף והרשב"א</w:t>
      </w:r>
      <w:r>
        <w:rPr>
          <w:rFonts w:hint="cs"/>
          <w:rtl/>
        </w:rPr>
        <w:t xml:space="preserve"> </w:t>
      </w:r>
      <w:r w:rsidRPr="009025F2">
        <w:rPr>
          <w:rStyle w:val="af7"/>
          <w:rFonts w:eastAsia="Guttman Hodes" w:hint="cs"/>
          <w:rtl/>
        </w:rPr>
        <w:t xml:space="preserve">(עי' אות </w:t>
      </w:r>
      <w:r w:rsidRPr="009025F2">
        <w:rPr>
          <w:rStyle w:val="af7"/>
          <w:rFonts w:eastAsia="Guttman Hodes"/>
          <w:rtl/>
        </w:rPr>
        <w:fldChar w:fldCharType="begin"/>
      </w:r>
      <w:r w:rsidRPr="009025F2">
        <w:rPr>
          <w:rStyle w:val="af7"/>
          <w:rFonts w:eastAsia="Guttman Hodes"/>
          <w:rtl/>
        </w:rPr>
        <w:instrText xml:space="preserve"> </w:instrText>
      </w:r>
      <w:r w:rsidRPr="009025F2">
        <w:rPr>
          <w:rStyle w:val="af7"/>
          <w:rFonts w:eastAsia="Guttman Hodes" w:hint="cs"/>
        </w:rPr>
        <w:instrText>REF</w:instrText>
      </w:r>
      <w:r w:rsidRPr="009025F2">
        <w:rPr>
          <w:rStyle w:val="af7"/>
          <w:rFonts w:eastAsia="Guttman Hodes" w:hint="cs"/>
          <w:rtl/>
        </w:rPr>
        <w:instrText xml:space="preserve"> _</w:instrText>
      </w:r>
      <w:r w:rsidRPr="009025F2">
        <w:rPr>
          <w:rStyle w:val="af7"/>
          <w:rFonts w:eastAsia="Guttman Hodes" w:hint="cs"/>
        </w:rPr>
        <w:instrText>Ref54198838 \r \h</w:instrText>
      </w:r>
      <w:r w:rsidRPr="009025F2">
        <w:rPr>
          <w:rStyle w:val="af7"/>
          <w:rFonts w:eastAsia="Guttman Hodes"/>
          <w:rtl/>
        </w:rPr>
        <w:instrText xml:space="preserve"> </w:instrText>
      </w:r>
      <w:r w:rsidRPr="009025F2">
        <w:rPr>
          <w:rStyle w:val="af7"/>
          <w:rFonts w:eastAsia="Guttman Hodes"/>
          <w:rtl/>
        </w:rPr>
      </w:r>
      <w:r w:rsidRPr="009025F2">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9025F2">
        <w:rPr>
          <w:rStyle w:val="af7"/>
          <w:rFonts w:eastAsia="Guttman Hodes"/>
          <w:rtl/>
        </w:rPr>
        <w:fldChar w:fldCharType="end"/>
      </w:r>
      <w:r>
        <w:rPr>
          <w:rFonts w:hint="cs"/>
          <w:rtl/>
        </w:rPr>
        <w:t xml:space="preserve"> דת"ק דמתני' היינו חכמים דפליגי על רבי ישמעאל, וס"ל דצריך ג"ש שלימות, ולכן שייך לומר דהא דתנן במתני' דבשדה הבעל א"צ ג"ש מיום ליום, הוא אף לדעת רבנן, דהא בשדה הבעל ביאר </w:t>
      </w:r>
      <w:r w:rsidRPr="001E173B">
        <w:rPr>
          <w:rStyle w:val="af9"/>
          <w:rFonts w:hint="cs"/>
          <w:rtl/>
        </w:rPr>
        <w:t>רבינו גרשום</w:t>
      </w:r>
      <w:r>
        <w:rPr>
          <w:rFonts w:hint="cs"/>
          <w:rtl/>
        </w:rPr>
        <w:t xml:space="preserve"> </w:t>
      </w:r>
      <w:r w:rsidRPr="009025F2">
        <w:rPr>
          <w:rStyle w:val="af7"/>
          <w:rFonts w:eastAsia="Guttman Hodes" w:hint="cs"/>
          <w:rtl/>
        </w:rPr>
        <w:t xml:space="preserve">(עי' אות </w:t>
      </w:r>
      <w:r w:rsidRPr="009025F2">
        <w:rPr>
          <w:rStyle w:val="af7"/>
          <w:rFonts w:eastAsia="Guttman Hodes"/>
          <w:rtl/>
        </w:rPr>
        <w:fldChar w:fldCharType="begin"/>
      </w:r>
      <w:r w:rsidRPr="009025F2">
        <w:rPr>
          <w:rStyle w:val="af7"/>
          <w:rFonts w:eastAsia="Guttman Hodes"/>
          <w:rtl/>
        </w:rPr>
        <w:instrText xml:space="preserve"> </w:instrText>
      </w:r>
      <w:r w:rsidRPr="009025F2">
        <w:rPr>
          <w:rStyle w:val="af7"/>
          <w:rFonts w:eastAsia="Guttman Hodes" w:hint="cs"/>
        </w:rPr>
        <w:instrText>REF</w:instrText>
      </w:r>
      <w:r w:rsidRPr="009025F2">
        <w:rPr>
          <w:rStyle w:val="af7"/>
          <w:rFonts w:eastAsia="Guttman Hodes" w:hint="cs"/>
          <w:rtl/>
        </w:rPr>
        <w:instrText xml:space="preserve"> _</w:instrText>
      </w:r>
      <w:r w:rsidRPr="009025F2">
        <w:rPr>
          <w:rStyle w:val="af7"/>
          <w:rFonts w:eastAsia="Guttman Hodes" w:hint="cs"/>
        </w:rPr>
        <w:instrText>Ref54208683 \r \h</w:instrText>
      </w:r>
      <w:r w:rsidRPr="009025F2">
        <w:rPr>
          <w:rStyle w:val="af7"/>
          <w:rFonts w:eastAsia="Guttman Hodes"/>
          <w:rtl/>
        </w:rPr>
        <w:instrText xml:space="preserve"> </w:instrText>
      </w:r>
      <w:r w:rsidRPr="009025F2">
        <w:rPr>
          <w:rStyle w:val="af7"/>
          <w:rFonts w:eastAsia="Guttman Hodes"/>
          <w:rtl/>
        </w:rPr>
      </w:r>
      <w:r w:rsidRPr="009025F2">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9025F2">
        <w:rPr>
          <w:rStyle w:val="af7"/>
          <w:rFonts w:eastAsia="Guttman Hodes"/>
          <w:rtl/>
        </w:rPr>
        <w:fldChar w:fldCharType="end"/>
      </w:r>
      <w:r>
        <w:rPr>
          <w:rFonts w:hint="cs"/>
          <w:rtl/>
        </w:rPr>
        <w:t xml:space="preserve"> דכיון שאין משתמשים בה בכל יום, לכן אף אם יאמר המערער שבא לשדה, ולא ראה שהמחזיק משתמש בה, יכול המחזיק לומר לו דהוא השתמש בזמן שרגילים להשתמש בה, ולכן אף לדעת רבנן א"צ ג"ש מיום ליום, והביא </w:t>
      </w:r>
      <w:r w:rsidRPr="001E173B">
        <w:rPr>
          <w:rStyle w:val="af9"/>
          <w:rFonts w:hint="cs"/>
          <w:rtl/>
        </w:rPr>
        <w:t>בחי' רבי נחום</w:t>
      </w:r>
      <w:r>
        <w:rPr>
          <w:rFonts w:hint="cs"/>
          <w:rtl/>
        </w:rPr>
        <w:t xml:space="preserve"> דכן ביאר </w:t>
      </w:r>
      <w:r w:rsidRPr="001E173B">
        <w:rPr>
          <w:rStyle w:val="af9"/>
          <w:rFonts w:hint="cs"/>
          <w:rtl/>
        </w:rPr>
        <w:t>רבינו גרשום</w:t>
      </w:r>
      <w:r>
        <w:rPr>
          <w:rFonts w:hint="cs"/>
          <w:rtl/>
        </w:rPr>
        <w:t xml:space="preserve"> </w:t>
      </w:r>
      <w:r w:rsidRPr="00A67C62">
        <w:rPr>
          <w:rStyle w:val="af7"/>
          <w:rFonts w:eastAsia="Guttman Hodes" w:hint="cs"/>
          <w:rtl/>
        </w:rPr>
        <w:t>(כח</w:t>
      </w:r>
      <w:r w:rsidRPr="009E4CD0">
        <w:rPr>
          <w:rStyle w:val="af7"/>
          <w:rFonts w:eastAsia="Guttman Hodes" w:hint="cs"/>
          <w:rtl/>
        </w:rPr>
        <w:t>: ד"ה ורבנן)</w:t>
      </w:r>
      <w:r>
        <w:rPr>
          <w:rFonts w:hint="cs"/>
          <w:rtl/>
        </w:rPr>
        <w:t xml:space="preserve"> כדעת </w:t>
      </w:r>
      <w:r w:rsidRPr="001E173B">
        <w:rPr>
          <w:rStyle w:val="af9"/>
          <w:rFonts w:hint="cs"/>
          <w:rtl/>
        </w:rPr>
        <w:t>הרי"ף והרשב"א</w:t>
      </w:r>
      <w:r>
        <w:rPr>
          <w:rFonts w:hint="cs"/>
          <w:rtl/>
        </w:rPr>
        <w:t xml:space="preserve"> דת"ק פליג על רבי ישמעאל.</w:t>
      </w:r>
      <w:bookmarkEnd w:id="1393"/>
    </w:p>
    <w:p w:rsidR="00900B10" w:rsidRDefault="00900B10" w:rsidP="00900B10">
      <w:pPr>
        <w:pStyle w:val="a3"/>
        <w:rPr>
          <w:rtl/>
        </w:rPr>
      </w:pPr>
      <w:bookmarkStart w:id="1394" w:name="_Toc54210338"/>
      <w:r>
        <w:rPr>
          <w:rFonts w:hint="cs"/>
          <w:rtl/>
        </w:rPr>
        <w:t>דברי הגרנ"פ דלרש"י דאכילת כל הפירות היא עצם החזקה א"א לומר דת"ק דמתני' כרבנן</w:t>
      </w:r>
      <w:bookmarkEnd w:id="1394"/>
    </w:p>
    <w:p w:rsidR="00900B10" w:rsidRDefault="00900B10" w:rsidP="007E4E81">
      <w:pPr>
        <w:pStyle w:val="a0"/>
        <w:rPr>
          <w:rtl/>
        </w:rPr>
      </w:pPr>
      <w:bookmarkStart w:id="1395" w:name="_Ref54208788"/>
      <w:r>
        <w:rPr>
          <w:rFonts w:hint="cs"/>
          <w:rtl/>
        </w:rPr>
        <w:t xml:space="preserve">אבל לדעת </w:t>
      </w:r>
      <w:r w:rsidRPr="001E173B">
        <w:rPr>
          <w:rStyle w:val="af9"/>
          <w:rFonts w:hint="cs"/>
          <w:rtl/>
        </w:rPr>
        <w:t>רש"י</w:t>
      </w:r>
      <w:r>
        <w:rPr>
          <w:rFonts w:hint="cs"/>
          <w:rtl/>
        </w:rPr>
        <w:t xml:space="preserve"> ביאר </w:t>
      </w:r>
      <w:r w:rsidRPr="001E173B">
        <w:rPr>
          <w:rStyle w:val="af9"/>
          <w:rtl/>
        </w:rPr>
        <w:t>בחי' רבי נחום</w:t>
      </w:r>
      <w:r>
        <w:rPr>
          <w:rtl/>
        </w:rPr>
        <w:t xml:space="preserve"> </w:t>
      </w:r>
      <w:r>
        <w:rPr>
          <w:rFonts w:hint="cs"/>
          <w:rtl/>
        </w:rPr>
        <w:t xml:space="preserve">דכיון דהא דצריך ג"ש מיום ליום בבית השלחין הוא עצם דין החזקה, שזהו הזמן שצריך להחזיק, </w:t>
      </w:r>
      <w:r w:rsidRPr="009025F2">
        <w:rPr>
          <w:rStyle w:val="afb"/>
          <w:rFonts w:hint="cs"/>
          <w:rtl/>
        </w:rPr>
        <w:t xml:space="preserve">[כדביאר </w:t>
      </w:r>
      <w:r w:rsidRPr="009025F2">
        <w:rPr>
          <w:rStyle w:val="affa"/>
          <w:rFonts w:hint="cs"/>
          <w:rtl/>
        </w:rPr>
        <w:t>בחי' רבי נחום</w:t>
      </w:r>
      <w:r w:rsidRPr="009025F2">
        <w:rPr>
          <w:rStyle w:val="afb"/>
          <w:rFonts w:hint="cs"/>
          <w:rtl/>
        </w:rPr>
        <w:t xml:space="preserve"> </w:t>
      </w:r>
      <w:r w:rsidRPr="009025F2">
        <w:rPr>
          <w:rStyle w:val="aff6"/>
          <w:rFonts w:hint="cs"/>
          <w:rtl/>
        </w:rPr>
        <w:t xml:space="preserve">(עי' אות </w:t>
      </w:r>
      <w:r w:rsidRPr="009025F2">
        <w:rPr>
          <w:rStyle w:val="aff6"/>
          <w:rtl/>
        </w:rPr>
        <w:fldChar w:fldCharType="begin"/>
      </w:r>
      <w:r w:rsidRPr="009025F2">
        <w:rPr>
          <w:rStyle w:val="aff6"/>
          <w:rtl/>
        </w:rPr>
        <w:instrText xml:space="preserve"> </w:instrText>
      </w:r>
      <w:r w:rsidRPr="009025F2">
        <w:rPr>
          <w:rStyle w:val="aff6"/>
          <w:rFonts w:hint="cs"/>
        </w:rPr>
        <w:instrText>REF</w:instrText>
      </w:r>
      <w:r w:rsidRPr="009025F2">
        <w:rPr>
          <w:rStyle w:val="aff6"/>
          <w:rFonts w:hint="cs"/>
          <w:rtl/>
        </w:rPr>
        <w:instrText xml:space="preserve"> _</w:instrText>
      </w:r>
      <w:r w:rsidRPr="009025F2">
        <w:rPr>
          <w:rStyle w:val="aff6"/>
          <w:rFonts w:hint="cs"/>
        </w:rPr>
        <w:instrText>Ref54208581 \r \h</w:instrText>
      </w:r>
      <w:r w:rsidRPr="009025F2">
        <w:rPr>
          <w:rStyle w:val="aff6"/>
          <w:rtl/>
        </w:rPr>
        <w:instrText xml:space="preserve"> </w:instrText>
      </w:r>
      <w:r w:rsidRPr="009025F2">
        <w:rPr>
          <w:rStyle w:val="aff6"/>
          <w:rtl/>
        </w:rPr>
      </w:r>
      <w:r w:rsidRPr="009025F2">
        <w:rPr>
          <w:rStyle w:val="aff6"/>
          <w:rtl/>
        </w:rPr>
        <w:fldChar w:fldCharType="separate"/>
      </w:r>
      <w:r w:rsidR="00265073">
        <w:rPr>
          <w:rStyle w:val="aff6"/>
          <w:cs/>
        </w:rPr>
        <w:t>‎</w:t>
      </w:r>
      <w:r w:rsidR="00265073">
        <w:rPr>
          <w:rStyle w:val="aff6"/>
          <w:rtl/>
        </w:rPr>
        <w:t>צח)</w:t>
      </w:r>
      <w:r w:rsidRPr="009025F2">
        <w:rPr>
          <w:rStyle w:val="aff6"/>
          <w:rtl/>
        </w:rPr>
        <w:fldChar w:fldCharType="end"/>
      </w:r>
      <w:r w:rsidRPr="009025F2">
        <w:rPr>
          <w:rStyle w:val="afb"/>
          <w:rFonts w:hint="cs"/>
          <w:rtl/>
        </w:rPr>
        <w:t>],</w:t>
      </w:r>
      <w:r>
        <w:rPr>
          <w:rFonts w:hint="cs"/>
          <w:rtl/>
        </w:rPr>
        <w:t xml:space="preserve"> א"כ א"א לבאר דהא דבשדה הבעל א"צ ג"ש מיום ליום הוא לדעת רבנן, ולכן ביאר </w:t>
      </w:r>
      <w:r w:rsidRPr="001E173B">
        <w:rPr>
          <w:rStyle w:val="af9"/>
          <w:rFonts w:hint="cs"/>
          <w:rtl/>
        </w:rPr>
        <w:t>רש"י</w:t>
      </w:r>
      <w:r>
        <w:rPr>
          <w:rFonts w:hint="cs"/>
          <w:rtl/>
        </w:rPr>
        <w:t xml:space="preserve"> </w:t>
      </w:r>
      <w:r w:rsidRPr="009025F2">
        <w:rPr>
          <w:rStyle w:val="af7"/>
          <w:rFonts w:eastAsia="Guttman Hodes" w:hint="cs"/>
          <w:rtl/>
        </w:rPr>
        <w:t xml:space="preserve">(עי' אות </w:t>
      </w:r>
      <w:r w:rsidRPr="009025F2">
        <w:rPr>
          <w:rStyle w:val="af7"/>
          <w:rFonts w:eastAsia="Guttman Hodes"/>
          <w:rtl/>
        </w:rPr>
        <w:fldChar w:fldCharType="begin"/>
      </w:r>
      <w:r w:rsidRPr="009025F2">
        <w:rPr>
          <w:rStyle w:val="af7"/>
          <w:rFonts w:eastAsia="Guttman Hodes"/>
          <w:rtl/>
        </w:rPr>
        <w:instrText xml:space="preserve"> </w:instrText>
      </w:r>
      <w:r w:rsidRPr="009025F2">
        <w:rPr>
          <w:rStyle w:val="af7"/>
          <w:rFonts w:eastAsia="Guttman Hodes" w:hint="cs"/>
        </w:rPr>
        <w:instrText>REF</w:instrText>
      </w:r>
      <w:r w:rsidRPr="009025F2">
        <w:rPr>
          <w:rStyle w:val="af7"/>
          <w:rFonts w:eastAsia="Guttman Hodes" w:hint="cs"/>
          <w:rtl/>
        </w:rPr>
        <w:instrText xml:space="preserve"> _</w:instrText>
      </w:r>
      <w:r w:rsidRPr="009025F2">
        <w:rPr>
          <w:rStyle w:val="af7"/>
          <w:rFonts w:eastAsia="Guttman Hodes" w:hint="cs"/>
        </w:rPr>
        <w:instrText>Ref54195925 \r \h</w:instrText>
      </w:r>
      <w:r w:rsidRPr="009025F2">
        <w:rPr>
          <w:rStyle w:val="af7"/>
          <w:rFonts w:eastAsia="Guttman Hodes"/>
          <w:rtl/>
        </w:rPr>
        <w:instrText xml:space="preserve"> </w:instrText>
      </w:r>
      <w:r w:rsidRPr="009025F2">
        <w:rPr>
          <w:rStyle w:val="af7"/>
          <w:rFonts w:eastAsia="Guttman Hodes"/>
          <w:rtl/>
        </w:rPr>
      </w:r>
      <w:r w:rsidRPr="009025F2">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9025F2">
        <w:rPr>
          <w:rStyle w:val="af7"/>
          <w:rFonts w:eastAsia="Guttman Hodes"/>
          <w:rtl/>
        </w:rPr>
        <w:fldChar w:fldCharType="end"/>
      </w:r>
      <w:r>
        <w:rPr>
          <w:rFonts w:hint="cs"/>
          <w:rtl/>
        </w:rPr>
        <w:t xml:space="preserve"> דכולה מתני' רבי ישמעאל.</w:t>
      </w:r>
      <w:bookmarkEnd w:id="1395"/>
    </w:p>
    <w:p w:rsidR="00900B10" w:rsidRPr="008070F4" w:rsidRDefault="00900B10" w:rsidP="00900B10">
      <w:pPr>
        <w:pStyle w:val="afe"/>
        <w:rPr>
          <w:rtl/>
        </w:rPr>
      </w:pPr>
      <w:r>
        <w:rPr>
          <w:rFonts w:hint="cs"/>
          <w:rtl/>
        </w:rPr>
        <w:t>בביאור הראיה בחזקה לרבי ישמעאל</w:t>
      </w:r>
    </w:p>
    <w:p w:rsidR="00900B10" w:rsidRDefault="00900B10" w:rsidP="00900B10">
      <w:pPr>
        <w:pStyle w:val="1"/>
        <w:rPr>
          <w:rtl/>
        </w:rPr>
      </w:pPr>
      <w:r>
        <w:rPr>
          <w:rFonts w:hint="cs"/>
          <w:rtl/>
        </w:rPr>
        <w:t>ביאור הגרנ"פ ברש"י דלר"י בג"ש יוצא מהמר"ק ומהני הראיה</w:t>
      </w:r>
    </w:p>
    <w:p w:rsidR="00900B10" w:rsidRPr="00D03464" w:rsidRDefault="00900B10" w:rsidP="00900B10">
      <w:pPr>
        <w:pStyle w:val="a3"/>
        <w:rPr>
          <w:rtl/>
        </w:rPr>
      </w:pPr>
      <w:bookmarkStart w:id="1396" w:name="_Toc54210340"/>
      <w:r>
        <w:rPr>
          <w:rFonts w:hint="cs"/>
          <w:rtl/>
        </w:rPr>
        <w:t>קושית הגרנ"פ דמשמע ברש"י דעל אכילת שנה אחת צריך למחות והא החזקה היא רק בג"ש</w:t>
      </w:r>
      <w:bookmarkEnd w:id="1396"/>
    </w:p>
    <w:p w:rsidR="00900B10" w:rsidRDefault="00900B10" w:rsidP="007E4E81">
      <w:pPr>
        <w:pStyle w:val="a0"/>
      </w:pPr>
      <w:bookmarkStart w:id="1397" w:name="_Ref54208871"/>
      <w:r>
        <w:rPr>
          <w:rFonts w:hint="cs"/>
          <w:rtl/>
        </w:rPr>
        <w:t xml:space="preserve">במ"ש </w:t>
      </w:r>
      <w:r w:rsidRPr="001E173B">
        <w:rPr>
          <w:rStyle w:val="af9"/>
          <w:rFonts w:hint="cs"/>
          <w:rtl/>
        </w:rPr>
        <w:t>רש"י</w:t>
      </w:r>
      <w:r>
        <w:rPr>
          <w:rFonts w:hint="cs"/>
          <w:rtl/>
        </w:rPr>
        <w:t xml:space="preserve"> </w:t>
      </w:r>
      <w:r w:rsidRPr="009025F2">
        <w:rPr>
          <w:rStyle w:val="af7"/>
          <w:rFonts w:eastAsia="Guttman Hodes" w:hint="cs"/>
          <w:rtl/>
        </w:rPr>
        <w:t xml:space="preserve">(עי' אות </w:t>
      </w:r>
      <w:r w:rsidRPr="009025F2">
        <w:rPr>
          <w:rStyle w:val="af7"/>
          <w:rFonts w:eastAsia="Guttman Hodes"/>
          <w:rtl/>
        </w:rPr>
        <w:fldChar w:fldCharType="begin"/>
      </w:r>
      <w:r w:rsidRPr="009025F2">
        <w:rPr>
          <w:rStyle w:val="af7"/>
          <w:rFonts w:eastAsia="Guttman Hodes"/>
          <w:rtl/>
        </w:rPr>
        <w:instrText xml:space="preserve"> </w:instrText>
      </w:r>
      <w:r w:rsidRPr="009025F2">
        <w:rPr>
          <w:rStyle w:val="af7"/>
          <w:rFonts w:eastAsia="Guttman Hodes" w:hint="cs"/>
        </w:rPr>
        <w:instrText>REF</w:instrText>
      </w:r>
      <w:r w:rsidRPr="009025F2">
        <w:rPr>
          <w:rStyle w:val="af7"/>
          <w:rFonts w:eastAsia="Guttman Hodes" w:hint="cs"/>
          <w:rtl/>
        </w:rPr>
        <w:instrText xml:space="preserve"> _</w:instrText>
      </w:r>
      <w:r w:rsidRPr="009025F2">
        <w:rPr>
          <w:rStyle w:val="af7"/>
          <w:rFonts w:eastAsia="Guttman Hodes" w:hint="cs"/>
        </w:rPr>
        <w:instrText>Ref54208835 \r \h</w:instrText>
      </w:r>
      <w:r w:rsidRPr="009025F2">
        <w:rPr>
          <w:rStyle w:val="af7"/>
          <w:rFonts w:eastAsia="Guttman Hodes"/>
          <w:rtl/>
        </w:rPr>
        <w:instrText xml:space="preserve"> </w:instrText>
      </w:r>
      <w:r w:rsidRPr="009025F2">
        <w:rPr>
          <w:rStyle w:val="af7"/>
          <w:rFonts w:eastAsia="Guttman Hodes"/>
          <w:rtl/>
        </w:rPr>
      </w:r>
      <w:r w:rsidRPr="009025F2">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9025F2">
        <w:rPr>
          <w:rStyle w:val="af7"/>
          <w:rFonts w:eastAsia="Guttman Hodes"/>
          <w:rtl/>
        </w:rPr>
        <w:fldChar w:fldCharType="end"/>
      </w:r>
      <w:r>
        <w:rPr>
          <w:rFonts w:hint="cs"/>
          <w:rtl/>
        </w:rPr>
        <w:t xml:space="preserve"> דאין אדם שרואה את חבירו שזורע את שדהו בכדי לאכול פרי שראוי לשנה, והוא שותק ואינו מוחה, הקשה </w:t>
      </w:r>
      <w:r w:rsidRPr="001E173B">
        <w:rPr>
          <w:rStyle w:val="af9"/>
          <w:rFonts w:hint="cs"/>
          <w:rtl/>
        </w:rPr>
        <w:t>בחי' רבי נחום</w:t>
      </w:r>
      <w:r>
        <w:rPr>
          <w:rFonts w:hint="cs"/>
          <w:rtl/>
        </w:rPr>
        <w:t xml:space="preserve"> </w:t>
      </w:r>
      <w:r w:rsidRPr="009025F2">
        <w:rPr>
          <w:rStyle w:val="af7"/>
          <w:rFonts w:eastAsia="Guttman Hodes" w:hint="cs"/>
          <w:rtl/>
        </w:rPr>
        <w:t>(או' ה')</w:t>
      </w:r>
      <w:r>
        <w:rPr>
          <w:rFonts w:hint="cs"/>
          <w:rtl/>
        </w:rPr>
        <w:t xml:space="preserve"> דמשמע מדברי </w:t>
      </w:r>
      <w:r w:rsidRPr="00E252BA">
        <w:rPr>
          <w:rStyle w:val="af9"/>
          <w:rFonts w:hint="cs"/>
          <w:rtl/>
        </w:rPr>
        <w:t>רש"י</w:t>
      </w:r>
      <w:r>
        <w:rPr>
          <w:rFonts w:hint="cs"/>
          <w:rtl/>
        </w:rPr>
        <w:t xml:space="preserve"> דעל אכילת פרי של שנה אחת היה לו למחות, והרי רק לאחר ג"ש הוי חזקה.</w:t>
      </w:r>
      <w:bookmarkEnd w:id="1397"/>
    </w:p>
    <w:p w:rsidR="00900B10" w:rsidRDefault="00900B10" w:rsidP="00900B10">
      <w:pPr>
        <w:pStyle w:val="a3"/>
        <w:rPr>
          <w:rtl/>
        </w:rPr>
      </w:pPr>
      <w:bookmarkStart w:id="1398" w:name="_Toc54210341"/>
      <w:r>
        <w:rPr>
          <w:rFonts w:hint="cs"/>
          <w:rtl/>
        </w:rPr>
        <w:t>ביאור הגרנ"פ ברש"י דהראיה היא בשנה אחת וצריך ג"ש כשור המועד להוציא מחזקת מר"ק</w:t>
      </w:r>
      <w:bookmarkEnd w:id="1398"/>
    </w:p>
    <w:p w:rsidR="00900B10" w:rsidRDefault="00900B10" w:rsidP="007E4E81">
      <w:pPr>
        <w:pStyle w:val="a0"/>
        <w:rPr>
          <w:rtl/>
        </w:rPr>
      </w:pPr>
      <w:r>
        <w:rPr>
          <w:rFonts w:hint="cs"/>
          <w:rtl/>
        </w:rPr>
        <w:t xml:space="preserve">וכתב </w:t>
      </w:r>
      <w:r w:rsidRPr="001E173B">
        <w:rPr>
          <w:rStyle w:val="af9"/>
          <w:rFonts w:hint="cs"/>
          <w:rtl/>
        </w:rPr>
        <w:t>בחי' רבי נחום</w:t>
      </w:r>
      <w:r>
        <w:rPr>
          <w:rFonts w:hint="cs"/>
          <w:rtl/>
        </w:rPr>
        <w:t xml:space="preserve"> דצ"ל דס"ל </w:t>
      </w:r>
      <w:r w:rsidRPr="001E173B">
        <w:rPr>
          <w:rStyle w:val="af9"/>
          <w:rFonts w:hint="cs"/>
          <w:rtl/>
        </w:rPr>
        <w:t>לרש"י</w:t>
      </w:r>
      <w:r>
        <w:rPr>
          <w:rFonts w:hint="cs"/>
          <w:rtl/>
        </w:rPr>
        <w:t xml:space="preserve"> דהראיה בחזקה היא באכילה של שנה אחת, והא דצריך ג"ש היינו כיון שצריך ראיה ג"פ כמו בשור המועד, ורק בג' ראיות יצאה הקרקע מחזקת המרא קמא לחזקת המחזיק, וכ"כ </w:t>
      </w:r>
      <w:r w:rsidRPr="001E173B">
        <w:rPr>
          <w:rStyle w:val="af9"/>
          <w:rFonts w:hint="cs"/>
          <w:rtl/>
        </w:rPr>
        <w:t>החת"ס</w:t>
      </w:r>
      <w:r>
        <w:rPr>
          <w:rFonts w:hint="cs"/>
          <w:rtl/>
        </w:rPr>
        <w:t xml:space="preserve"> </w:t>
      </w:r>
      <w:r w:rsidRPr="009025F2">
        <w:rPr>
          <w:rStyle w:val="af7"/>
          <w:rFonts w:eastAsia="Guttman Hodes" w:hint="cs"/>
          <w:rtl/>
        </w:rPr>
        <w:t xml:space="preserve">(עי' אות </w:t>
      </w:r>
      <w:r w:rsidRPr="009025F2">
        <w:rPr>
          <w:rStyle w:val="af7"/>
          <w:rFonts w:eastAsia="Guttman Hodes"/>
          <w:rtl/>
        </w:rPr>
        <w:fldChar w:fldCharType="begin"/>
      </w:r>
      <w:r w:rsidRPr="009025F2">
        <w:rPr>
          <w:rStyle w:val="af7"/>
          <w:rFonts w:eastAsia="Guttman Hodes"/>
          <w:rtl/>
        </w:rPr>
        <w:instrText xml:space="preserve"> </w:instrText>
      </w:r>
      <w:r w:rsidRPr="009025F2">
        <w:rPr>
          <w:rStyle w:val="af7"/>
          <w:rFonts w:eastAsia="Guttman Hodes" w:hint="cs"/>
        </w:rPr>
        <w:instrText>REF</w:instrText>
      </w:r>
      <w:r w:rsidRPr="009025F2">
        <w:rPr>
          <w:rStyle w:val="af7"/>
          <w:rFonts w:eastAsia="Guttman Hodes" w:hint="cs"/>
          <w:rtl/>
        </w:rPr>
        <w:instrText xml:space="preserve"> _</w:instrText>
      </w:r>
      <w:r w:rsidRPr="009025F2">
        <w:rPr>
          <w:rStyle w:val="af7"/>
          <w:rFonts w:eastAsia="Guttman Hodes" w:hint="cs"/>
        </w:rPr>
        <w:instrText>Ref54208887 \r \h</w:instrText>
      </w:r>
      <w:r w:rsidRPr="009025F2">
        <w:rPr>
          <w:rStyle w:val="af7"/>
          <w:rFonts w:eastAsia="Guttman Hodes"/>
          <w:rtl/>
        </w:rPr>
        <w:instrText xml:space="preserve"> </w:instrText>
      </w:r>
      <w:r w:rsidRPr="009025F2">
        <w:rPr>
          <w:rStyle w:val="af7"/>
          <w:rFonts w:eastAsia="Guttman Hodes"/>
          <w:rtl/>
        </w:rPr>
      </w:r>
      <w:r w:rsidRPr="009025F2">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9025F2">
        <w:rPr>
          <w:rStyle w:val="af7"/>
          <w:rFonts w:eastAsia="Guttman Hodes"/>
          <w:rtl/>
        </w:rPr>
        <w:fldChar w:fldCharType="end"/>
      </w:r>
      <w:r>
        <w:rPr>
          <w:rFonts w:hint="cs"/>
          <w:rtl/>
        </w:rPr>
        <w:t>.</w:t>
      </w:r>
    </w:p>
    <w:p w:rsidR="00900B10" w:rsidRDefault="00900B10" w:rsidP="00900B10">
      <w:pPr>
        <w:pStyle w:val="a3"/>
        <w:rPr>
          <w:rtl/>
        </w:rPr>
      </w:pPr>
      <w:bookmarkStart w:id="1399" w:name="_Toc54210342"/>
      <w:r>
        <w:rPr>
          <w:rFonts w:hint="cs"/>
          <w:rtl/>
        </w:rPr>
        <w:t>ביאור הגרנ"פ דכיון דבחזקת בעליה עומדת רק לאחר ג"ש שיצאה מחזקת מר"ק מהני הראיה</w:t>
      </w:r>
      <w:bookmarkEnd w:id="1399"/>
    </w:p>
    <w:p w:rsidR="00900B10" w:rsidRDefault="00900B10" w:rsidP="007E4E81">
      <w:pPr>
        <w:pStyle w:val="a0"/>
        <w:rPr>
          <w:rtl/>
        </w:rPr>
        <w:sectPr w:rsidR="00900B10" w:rsidSect="003B20DB">
          <w:type w:val="continuous"/>
          <w:pgSz w:w="11906" w:h="16838"/>
          <w:pgMar w:top="720" w:right="720" w:bottom="720" w:left="720" w:header="283" w:footer="283" w:gutter="0"/>
          <w:cols w:num="2" w:space="567"/>
          <w:bidi/>
          <w:rtlGutter/>
          <w:docGrid w:linePitch="299"/>
        </w:sectPr>
      </w:pPr>
      <w:r>
        <w:rPr>
          <w:rtl/>
        </w:rPr>
        <w:t xml:space="preserve">וביאר </w:t>
      </w:r>
      <w:r w:rsidRPr="001E173B">
        <w:rPr>
          <w:rStyle w:val="af9"/>
          <w:rtl/>
        </w:rPr>
        <w:t>בחי' רבי נחום</w:t>
      </w:r>
      <w:r>
        <w:rPr>
          <w:rtl/>
        </w:rPr>
        <w:t xml:space="preserve"> דכיון דקרקע בחזקת בעליה עומדת, לכן אף שבשנה אחת כבר יש הוכחה שמכר למחזיק, מ</w:t>
      </w:r>
      <w:r>
        <w:rPr>
          <w:rFonts w:hint="cs"/>
          <w:rtl/>
        </w:rPr>
        <w:t>"</w:t>
      </w:r>
      <w:r>
        <w:rPr>
          <w:rtl/>
        </w:rPr>
        <w:t>מ א</w:t>
      </w:r>
      <w:r>
        <w:rPr>
          <w:rFonts w:hint="cs"/>
          <w:rtl/>
        </w:rPr>
        <w:t>"</w:t>
      </w:r>
      <w:r>
        <w:rPr>
          <w:rtl/>
        </w:rPr>
        <w:t xml:space="preserve">א להוציא בראיה זו מחזקת </w:t>
      </w:r>
      <w:r>
        <w:rPr>
          <w:rFonts w:hint="cs"/>
          <w:rtl/>
        </w:rPr>
        <w:t>המרא קמא</w:t>
      </w:r>
      <w:r>
        <w:rPr>
          <w:rtl/>
        </w:rPr>
        <w:t xml:space="preserve">, ורק לאחר ג' אכילות שיצאה הקרקע מחזקת </w:t>
      </w:r>
      <w:r>
        <w:rPr>
          <w:rFonts w:hint="cs"/>
          <w:rtl/>
        </w:rPr>
        <w:t>המרא קמא</w:t>
      </w:r>
      <w:r>
        <w:rPr>
          <w:rtl/>
        </w:rPr>
        <w:t xml:space="preserve">, והיא עומדת בחזקת המחזיק, מהני הראיה להעמידה בחזקתו, דאינה ראיה שמוציאה ממון </w:t>
      </w:r>
      <w:r>
        <w:rPr>
          <w:rFonts w:hint="cs"/>
          <w:rtl/>
        </w:rPr>
        <w:t xml:space="preserve">מהמרא קמא, וע"ע במה שהקשה </w:t>
      </w:r>
      <w:r w:rsidRPr="001D1883">
        <w:rPr>
          <w:rStyle w:val="af9"/>
          <w:rFonts w:hint="cs"/>
          <w:rtl/>
        </w:rPr>
        <w:t xml:space="preserve">בחי' רבי נחום </w:t>
      </w:r>
      <w:r w:rsidRPr="001D1883">
        <w:rPr>
          <w:rStyle w:val="af7"/>
          <w:rFonts w:eastAsia="Guttman Hodes" w:hint="cs"/>
          <w:rtl/>
        </w:rPr>
        <w:t>(או' ט"ז ד"ה ואכתי</w:t>
      </w:r>
      <w:r>
        <w:rPr>
          <w:rStyle w:val="af7"/>
          <w:rFonts w:eastAsia="Guttman Hodes" w:hint="cs"/>
          <w:rtl/>
        </w:rPr>
        <w:t xml:space="preserve">, הובא בסימן ד' אות </w:t>
      </w:r>
      <w:r w:rsidR="00BF3837">
        <w:rPr>
          <w:rStyle w:val="af7"/>
          <w:rFonts w:eastAsia="Guttman Hodes" w:hint="cs"/>
          <w:rtl/>
        </w:rPr>
        <w:t>פ"ב</w:t>
      </w:r>
      <w:r>
        <w:rPr>
          <w:rStyle w:val="af7"/>
          <w:rFonts w:eastAsia="Guttman Hodes" w:hint="cs"/>
          <w:rtl/>
        </w:rPr>
        <w:t>)</w:t>
      </w:r>
      <w:r>
        <w:rPr>
          <w:rFonts w:hint="cs"/>
          <w:rtl/>
        </w:rPr>
        <w:t xml:space="preserve"> דדברי </w:t>
      </w:r>
      <w:r w:rsidRPr="00B22A26">
        <w:rPr>
          <w:rStyle w:val="af9"/>
          <w:rFonts w:hint="cs"/>
          <w:rtl/>
        </w:rPr>
        <w:t>רש"י במתני'</w:t>
      </w:r>
      <w:r>
        <w:rPr>
          <w:rFonts w:hint="cs"/>
          <w:rtl/>
        </w:rPr>
        <w:t xml:space="preserve"> סותרים למ"ש </w:t>
      </w:r>
      <w:r w:rsidRPr="001D1883">
        <w:rPr>
          <w:rStyle w:val="af9"/>
          <w:rFonts w:hint="cs"/>
          <w:rtl/>
        </w:rPr>
        <w:t>רש"י</w:t>
      </w:r>
      <w:r w:rsidRPr="001D1883">
        <w:rPr>
          <w:rFonts w:hint="cs"/>
          <w:rtl/>
        </w:rPr>
        <w:t xml:space="preserve"> </w:t>
      </w:r>
      <w:r w:rsidRPr="001D1883">
        <w:rPr>
          <w:rStyle w:val="af7"/>
          <w:rFonts w:eastAsia="Guttman Hodes" w:hint="cs"/>
          <w:rtl/>
        </w:rPr>
        <w:t>(</w:t>
      </w:r>
      <w:r>
        <w:rPr>
          <w:rStyle w:val="af7"/>
          <w:rFonts w:eastAsia="Guttman Hodes" w:hint="cs"/>
          <w:rtl/>
        </w:rPr>
        <w:t xml:space="preserve">כח: </w:t>
      </w:r>
      <w:r w:rsidRPr="001D1883">
        <w:rPr>
          <w:rStyle w:val="af7"/>
          <w:rFonts w:eastAsia="Guttman Hodes" w:hint="cs"/>
          <w:rtl/>
        </w:rPr>
        <w:t>ד"ה דומיא</w:t>
      </w:r>
      <w:r>
        <w:rPr>
          <w:rStyle w:val="af7"/>
          <w:rFonts w:eastAsia="Guttman Hodes" w:hint="cs"/>
          <w:rtl/>
        </w:rPr>
        <w:t>, הובא בסימן ד' אות ג')</w:t>
      </w:r>
      <w:r>
        <w:rPr>
          <w:rFonts w:hint="cs"/>
          <w:rtl/>
        </w:rPr>
        <w:t xml:space="preserve"> בטעם החזקה, ועי' במה שביאר </w:t>
      </w:r>
      <w:r w:rsidRPr="001D1883">
        <w:rPr>
          <w:rFonts w:hint="cs"/>
          <w:rtl/>
        </w:rPr>
        <w:t xml:space="preserve">ביאר </w:t>
      </w:r>
      <w:r w:rsidRPr="008E23EB">
        <w:rPr>
          <w:rStyle w:val="af9"/>
          <w:rFonts w:hint="cs"/>
          <w:rtl/>
        </w:rPr>
        <w:t xml:space="preserve">בחי' רבי נחום </w:t>
      </w:r>
      <w:r w:rsidRPr="001D1883">
        <w:rPr>
          <w:rStyle w:val="af7"/>
          <w:rFonts w:eastAsia="Guttman Hodes" w:hint="cs"/>
          <w:rtl/>
        </w:rPr>
        <w:t>(או' ט"ז ד"ה ו</w:t>
      </w:r>
      <w:r>
        <w:rPr>
          <w:rStyle w:val="af7"/>
          <w:rFonts w:eastAsia="Guttman Hodes" w:hint="cs"/>
          <w:rtl/>
        </w:rPr>
        <w:t>צ"ל, הובא בסימן ד' אות פ"</w:t>
      </w:r>
      <w:r w:rsidR="00905BF9">
        <w:rPr>
          <w:rStyle w:val="af7"/>
          <w:rFonts w:eastAsia="Guttman Hodes" w:hint="cs"/>
          <w:rtl/>
        </w:rPr>
        <w:t>ד</w:t>
      </w:r>
      <w:r>
        <w:rPr>
          <w:rStyle w:val="af7"/>
          <w:rFonts w:eastAsia="Guttman Hodes" w:hint="cs"/>
          <w:rtl/>
        </w:rPr>
        <w:t>)</w:t>
      </w:r>
      <w:r w:rsidRPr="001D1883">
        <w:rPr>
          <w:rFonts w:hint="cs"/>
          <w:rtl/>
        </w:rPr>
        <w:t xml:space="preserve"> </w:t>
      </w:r>
      <w:r>
        <w:rPr>
          <w:rFonts w:hint="cs"/>
          <w:rtl/>
        </w:rPr>
        <w:t>בדברי</w:t>
      </w:r>
      <w:r w:rsidRPr="001D1883">
        <w:rPr>
          <w:rFonts w:hint="cs"/>
          <w:rtl/>
        </w:rPr>
        <w:t xml:space="preserve"> </w:t>
      </w:r>
      <w:r w:rsidRPr="008E23EB">
        <w:rPr>
          <w:rStyle w:val="af9"/>
          <w:rFonts w:hint="cs"/>
          <w:rtl/>
        </w:rPr>
        <w:t>רש"י במתני'</w:t>
      </w:r>
      <w:r>
        <w:rPr>
          <w:rtl/>
        </w:rPr>
        <w:t>.</w:t>
      </w:r>
    </w:p>
    <w:p w:rsidR="00AB3447" w:rsidRDefault="00AB3447" w:rsidP="007E4E81">
      <w:pPr>
        <w:pStyle w:val="a0"/>
        <w:sectPr w:rsidR="00AB3447" w:rsidSect="00AB3447">
          <w:footerReference w:type="default" r:id="rId34"/>
          <w:type w:val="continuous"/>
          <w:pgSz w:w="11906" w:h="16838"/>
          <w:pgMar w:top="720" w:right="720" w:bottom="720" w:left="720" w:header="283" w:footer="283" w:gutter="0"/>
          <w:cols w:num="2" w:space="567"/>
          <w:bidi/>
          <w:rtlGutter/>
          <w:docGrid w:linePitch="299"/>
        </w:sectPr>
      </w:pPr>
    </w:p>
    <w:p w:rsidR="00900B10" w:rsidRPr="0062646F" w:rsidRDefault="00900B10" w:rsidP="00900B10">
      <w:pPr>
        <w:pStyle w:val="afd"/>
        <w:spacing w:before="0"/>
        <w:rPr>
          <w:sz w:val="20"/>
          <w:szCs w:val="24"/>
          <w:rtl/>
        </w:rPr>
      </w:pPr>
      <w:bookmarkStart w:id="1400" w:name="_Toc54555932"/>
      <w:bookmarkStart w:id="1401" w:name="_Toc54000899"/>
      <w:bookmarkStart w:id="1402" w:name="_Toc54603694"/>
      <w:bookmarkStart w:id="1403" w:name="_Toc54643434"/>
      <w:bookmarkStart w:id="1404" w:name="_Toc54730178"/>
      <w:bookmarkStart w:id="1405" w:name="_Toc54867199"/>
      <w:bookmarkStart w:id="1406" w:name="_Toc54868790"/>
      <w:bookmarkStart w:id="1407" w:name="_Toc54887690"/>
      <w:bookmarkStart w:id="1408" w:name="_Toc54891135"/>
      <w:bookmarkStart w:id="1409" w:name="_Toc54903395"/>
      <w:bookmarkStart w:id="1410" w:name="_Toc54948374"/>
      <w:bookmarkStart w:id="1411" w:name="_Toc54951977"/>
      <w:bookmarkStart w:id="1412" w:name="_Toc55072870"/>
      <w:bookmarkStart w:id="1413" w:name="_Toc55073071"/>
      <w:bookmarkStart w:id="1414" w:name="_Toc55073482"/>
      <w:bookmarkStart w:id="1415" w:name="_Toc55074030"/>
      <w:bookmarkStart w:id="1416" w:name="_Toc66209194"/>
      <w:bookmarkStart w:id="1417" w:name="_Toc54000478"/>
      <w:bookmarkStart w:id="1418" w:name="_Toc54000902"/>
      <w:r w:rsidRPr="0062646F">
        <w:rPr>
          <w:rFonts w:hint="cs"/>
          <w:sz w:val="20"/>
          <w:szCs w:val="24"/>
          <w:rtl/>
        </w:rPr>
        <w:lastRenderedPageBreak/>
        <w:t>סימן</w:t>
      </w:r>
      <w:bookmarkEnd w:id="1400"/>
      <w:r w:rsidRPr="0062646F">
        <w:rPr>
          <w:rFonts w:hint="cs"/>
          <w:sz w:val="20"/>
          <w:szCs w:val="24"/>
          <w:rtl/>
        </w:rPr>
        <w:t xml:space="preserve"> </w:t>
      </w:r>
      <w:bookmarkStart w:id="1419" w:name="_Toc54000900"/>
      <w:bookmarkEnd w:id="1401"/>
      <w:r w:rsidRPr="0062646F">
        <w:rPr>
          <w:rFonts w:hint="cs"/>
          <w:sz w:val="20"/>
          <w:szCs w:val="24"/>
          <w:rtl/>
        </w:rPr>
        <w:t>ג'</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p>
    <w:p w:rsidR="00900B10" w:rsidRPr="0062646F" w:rsidRDefault="00900B10" w:rsidP="00900B10">
      <w:pPr>
        <w:pStyle w:val="afe"/>
        <w:spacing w:before="0"/>
        <w:rPr>
          <w:sz w:val="20"/>
          <w:szCs w:val="24"/>
          <w:rtl/>
        </w:rPr>
      </w:pPr>
      <w:bookmarkStart w:id="1420" w:name="_Toc54730179"/>
      <w:bookmarkStart w:id="1421" w:name="_Toc54867200"/>
      <w:bookmarkStart w:id="1422" w:name="_Toc54868791"/>
      <w:bookmarkStart w:id="1423" w:name="_Toc54887691"/>
      <w:bookmarkStart w:id="1424" w:name="_Toc54891136"/>
      <w:bookmarkStart w:id="1425" w:name="_Toc54903396"/>
      <w:bookmarkStart w:id="1426" w:name="_Toc54948375"/>
      <w:bookmarkStart w:id="1427" w:name="_Toc54951978"/>
      <w:bookmarkStart w:id="1428" w:name="_Toc55072871"/>
      <w:bookmarkStart w:id="1429" w:name="_Toc55073072"/>
      <w:bookmarkStart w:id="1430" w:name="_Toc55073483"/>
      <w:bookmarkStart w:id="1431" w:name="_Toc55074031"/>
      <w:r w:rsidRPr="0062646F">
        <w:rPr>
          <w:rFonts w:hint="cs"/>
          <w:sz w:val="20"/>
          <w:szCs w:val="24"/>
          <w:rtl/>
        </w:rPr>
        <w:t>סוגיא דהולכי אושא (א')</w:t>
      </w:r>
      <w:bookmarkEnd w:id="1420"/>
      <w:bookmarkEnd w:id="1421"/>
      <w:bookmarkEnd w:id="1422"/>
      <w:bookmarkEnd w:id="1423"/>
      <w:bookmarkEnd w:id="1424"/>
      <w:bookmarkEnd w:id="1425"/>
      <w:bookmarkEnd w:id="1426"/>
      <w:bookmarkEnd w:id="1427"/>
      <w:bookmarkEnd w:id="1428"/>
      <w:bookmarkEnd w:id="1429"/>
      <w:bookmarkEnd w:id="1430"/>
      <w:bookmarkEnd w:id="1431"/>
    </w:p>
    <w:p w:rsidR="00900B10" w:rsidRPr="0062646F" w:rsidRDefault="00900B10" w:rsidP="00900B10">
      <w:pPr>
        <w:pStyle w:val="afd"/>
        <w:spacing w:before="0"/>
        <w:rPr>
          <w:rFonts w:ascii="FrankRuehl" w:hAnsi="FrankRuehl"/>
          <w:b/>
          <w:noProof/>
          <w:sz w:val="20"/>
          <w:szCs w:val="24"/>
          <w:rtl/>
        </w:rPr>
      </w:pPr>
      <w:bookmarkStart w:id="1432" w:name="_Toc54603695"/>
      <w:bookmarkStart w:id="1433" w:name="_Toc54643435"/>
      <w:bookmarkStart w:id="1434" w:name="_Toc54730180"/>
      <w:bookmarkStart w:id="1435" w:name="_Toc54867201"/>
      <w:bookmarkStart w:id="1436" w:name="_Toc54868792"/>
      <w:bookmarkStart w:id="1437" w:name="_Toc54887692"/>
      <w:bookmarkStart w:id="1438" w:name="_Toc54891137"/>
      <w:bookmarkStart w:id="1439" w:name="_Toc54903397"/>
      <w:bookmarkStart w:id="1440" w:name="_Toc54948376"/>
      <w:bookmarkStart w:id="1441" w:name="_Toc54951979"/>
      <w:bookmarkStart w:id="1442" w:name="_Toc55072872"/>
      <w:bookmarkStart w:id="1443" w:name="_Toc55073073"/>
      <w:bookmarkStart w:id="1444" w:name="_Toc55073484"/>
      <w:bookmarkStart w:id="1445" w:name="_Toc55074032"/>
      <w:bookmarkStart w:id="1446" w:name="_Toc66209195"/>
      <w:bookmarkEnd w:id="1419"/>
      <w:r w:rsidRPr="0062646F">
        <w:rPr>
          <w:rFonts w:ascii="FrankRuehl" w:hAnsi="FrankRuehl" w:hint="cs"/>
          <w:b/>
          <w:noProof/>
          <w:sz w:val="20"/>
          <w:szCs w:val="24"/>
          <w:rtl/>
        </w:rPr>
        <w:t>בביאור הילפותא דחזקת ג"ש מג' נגיחות בשור המועד</w:t>
      </w:r>
      <w:bookmarkEnd w:id="1432"/>
      <w:bookmarkEnd w:id="1433"/>
      <w:r w:rsidRPr="0062646F">
        <w:rPr>
          <w:rFonts w:ascii="FrankRuehl" w:hAnsi="FrankRuehl" w:hint="cs"/>
          <w:b/>
          <w:noProof/>
          <w:sz w:val="20"/>
          <w:szCs w:val="24"/>
          <w:rtl/>
        </w:rPr>
        <w:t xml:space="preserve"> ובדין חזקה שאין עמה טענה</w:t>
      </w:r>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rsidR="00900B10" w:rsidRDefault="000B328B" w:rsidP="00900B10">
      <w:pPr>
        <w:pStyle w:val="2"/>
        <w:rPr>
          <w:rtl/>
        </w:rPr>
      </w:pPr>
      <w:r>
        <w:rPr>
          <w:rFonts w:hint="cs"/>
          <w:rtl/>
        </w:rPr>
        <w:t xml:space="preserve">~~~~~~~ תוכן הענינים ~~~~~~~ </w:t>
      </w:r>
    </w:p>
    <w:p w:rsidR="00900B10" w:rsidRDefault="00900B10" w:rsidP="0007171D">
      <w:pPr>
        <w:pStyle w:val="aff4"/>
        <w:rPr>
          <w:rtl/>
        </w:rPr>
        <w:sectPr w:rsidR="00900B10" w:rsidSect="003B20DB">
          <w:headerReference w:type="default" r:id="rId35"/>
          <w:footerReference w:type="default" r:id="rId36"/>
          <w:headerReference w:type="first" r:id="rId37"/>
          <w:footerReference w:type="first" r:id="rId38"/>
          <w:pgSz w:w="11906" w:h="16838"/>
          <w:pgMar w:top="720" w:right="720" w:bottom="720" w:left="720" w:header="283" w:footer="283" w:gutter="0"/>
          <w:cols w:space="113"/>
          <w:bidi/>
          <w:rtlGutter/>
          <w:docGrid w:linePitch="299"/>
        </w:sectPr>
      </w:pPr>
    </w:p>
    <w:p w:rsidR="00900B10" w:rsidRDefault="00900B10" w:rsidP="00900B10">
      <w:pPr>
        <w:pStyle w:val="2"/>
        <w:rPr>
          <w:rFonts w:eastAsiaTheme="minorEastAsia" w:cstheme="minorBidi"/>
          <w:i/>
          <w:iCs/>
          <w:sz w:val="22"/>
          <w:rtl/>
        </w:rPr>
      </w:pPr>
      <w:r>
        <w:rPr>
          <w:i/>
          <w:i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i/>
          <w:iCs/>
          <w:rtl/>
        </w:rPr>
        <w:fldChar w:fldCharType="separate"/>
      </w:r>
      <w:r w:rsidR="006C4F47">
        <w:rPr>
          <w:rtl/>
        </w:rPr>
        <w:t>~~~~~~~ מראי מקומות וביאורים ~~~~~~~</w:t>
      </w:r>
    </w:p>
    <w:p w:rsidR="00900B10" w:rsidRDefault="00900B10" w:rsidP="00900B10">
      <w:pPr>
        <w:pStyle w:val="2"/>
        <w:rPr>
          <w:rFonts w:eastAsiaTheme="minorEastAsia" w:cstheme="minorBidi"/>
          <w:i/>
          <w:iCs/>
          <w:sz w:val="22"/>
          <w:rtl/>
        </w:rPr>
      </w:pPr>
      <w:r>
        <w:rPr>
          <w:rtl/>
        </w:rPr>
        <w:t>בקושית הגמ' מנין לחזקת ג"ש</w:t>
      </w:r>
    </w:p>
    <w:p w:rsidR="00900B10" w:rsidRDefault="00900B10" w:rsidP="0007171D">
      <w:pPr>
        <w:pStyle w:val="aff4"/>
        <w:rPr>
          <w:rFonts w:eastAsiaTheme="minorEastAsia" w:cstheme="minorBidi"/>
          <w:i/>
          <w:iCs/>
          <w:noProof/>
          <w:sz w:val="22"/>
          <w:szCs w:val="22"/>
          <w:rtl/>
        </w:rPr>
      </w:pPr>
      <w:r>
        <w:rPr>
          <w:noProof/>
          <w:rtl/>
        </w:rPr>
        <w:t>דברי הריטב"א דקושית הגמ' מנין דג"ש מהני ולא פחות או יותר</w:t>
      </w:r>
    </w:p>
    <w:p w:rsidR="00900B10" w:rsidRPr="007E4E81" w:rsidRDefault="00900B10" w:rsidP="00BA3263">
      <w:pPr>
        <w:pStyle w:val="a"/>
        <w:numPr>
          <w:ilvl w:val="0"/>
          <w:numId w:val="7"/>
        </w:numPr>
        <w:rPr>
          <w:rFonts w:eastAsiaTheme="minorEastAsia" w:cstheme="minorBidi"/>
          <w:sz w:val="22"/>
          <w:szCs w:val="22"/>
          <w:rtl/>
        </w:rPr>
      </w:pPr>
      <w:r>
        <w:rPr>
          <w:rtl/>
        </w:rPr>
        <w:t>גי' הראשונים דקושית הגמ' מנין לחזקה ג"ש וביאור הריטב"א דאמאי צריך דוקא ג"ש</w:t>
      </w:r>
    </w:p>
    <w:p w:rsidR="00900B10" w:rsidRDefault="00900B10" w:rsidP="007E4E81">
      <w:pPr>
        <w:pStyle w:val="a"/>
        <w:rPr>
          <w:rFonts w:eastAsiaTheme="minorEastAsia" w:cstheme="minorBidi"/>
          <w:sz w:val="22"/>
          <w:szCs w:val="22"/>
          <w:rtl/>
        </w:rPr>
      </w:pPr>
      <w:r>
        <w:rPr>
          <w:rtl/>
        </w:rPr>
        <w:t>ביאור הריטב"א בקושית הגמ' דאין חילוק מהראיה בתפיסת קרקע מהראיה בתפיסת מטלטלין</w:t>
      </w:r>
    </w:p>
    <w:p w:rsidR="00900B10" w:rsidRDefault="00900B10" w:rsidP="007E4E81">
      <w:pPr>
        <w:pStyle w:val="a"/>
        <w:rPr>
          <w:rFonts w:eastAsiaTheme="minorEastAsia" w:cstheme="minorBidi"/>
          <w:sz w:val="22"/>
          <w:szCs w:val="22"/>
          <w:rtl/>
        </w:rPr>
      </w:pPr>
      <w:r>
        <w:rPr>
          <w:rtl/>
        </w:rPr>
        <w:t>דברי הרמב"ן דהולכי אושא הם כר"י וא"צ ג"ש וכנוונת הגמ' לג' אכילות כעין ג"ש</w:t>
      </w:r>
    </w:p>
    <w:p w:rsidR="00900B10" w:rsidRDefault="00900B10" w:rsidP="00900B10">
      <w:pPr>
        <w:pStyle w:val="2"/>
        <w:rPr>
          <w:rFonts w:eastAsiaTheme="minorEastAsia" w:cstheme="minorBidi"/>
          <w:i/>
          <w:iCs/>
          <w:sz w:val="22"/>
          <w:rtl/>
        </w:rPr>
      </w:pPr>
      <w:r>
        <w:rPr>
          <w:rtl/>
        </w:rPr>
        <w:t>הסוברים דבג"ש יצאה מהמר"ק למחזיק</w:t>
      </w:r>
    </w:p>
    <w:p w:rsidR="00900B10" w:rsidRDefault="00900B10" w:rsidP="0007171D">
      <w:pPr>
        <w:pStyle w:val="aff4"/>
        <w:rPr>
          <w:rFonts w:eastAsiaTheme="minorEastAsia" w:cstheme="minorBidi"/>
          <w:i/>
          <w:iCs/>
          <w:noProof/>
          <w:sz w:val="22"/>
          <w:szCs w:val="22"/>
          <w:rtl/>
        </w:rPr>
      </w:pPr>
      <w:r>
        <w:rPr>
          <w:noProof/>
          <w:rtl/>
        </w:rPr>
        <w:t>דעת רש"י דילפינן דבג"ש יצאה מחזקת המר"ק לחזקת המחזיק</w:t>
      </w:r>
    </w:p>
    <w:p w:rsidR="00900B10" w:rsidRDefault="00900B10" w:rsidP="007E4E81">
      <w:pPr>
        <w:pStyle w:val="a"/>
        <w:rPr>
          <w:rFonts w:eastAsiaTheme="minorEastAsia" w:cstheme="minorBidi"/>
          <w:sz w:val="22"/>
          <w:szCs w:val="22"/>
          <w:rtl/>
        </w:rPr>
      </w:pPr>
      <w:r>
        <w:rPr>
          <w:rtl/>
        </w:rPr>
        <w:t>דברי רש"י דהילפותא משור המועד דבג"ש יצאה הקרקע מרשות המוכר</w:t>
      </w:r>
    </w:p>
    <w:p w:rsidR="00900B10" w:rsidRDefault="00900B10" w:rsidP="007E4E81">
      <w:pPr>
        <w:pStyle w:val="a"/>
        <w:rPr>
          <w:rFonts w:eastAsiaTheme="minorEastAsia" w:cstheme="minorBidi"/>
          <w:sz w:val="22"/>
          <w:szCs w:val="22"/>
          <w:rtl/>
        </w:rPr>
      </w:pPr>
      <w:r>
        <w:rPr>
          <w:rtl/>
        </w:rPr>
        <w:t>דברי רש"י דבשור בג"פ יצא מחזקת תם וה"ה דג"ש מוציאים מהמר"ק ומעמידים בחזקת המחזיק</w:t>
      </w:r>
    </w:p>
    <w:p w:rsidR="00900B10" w:rsidRDefault="00900B10" w:rsidP="007E4E81">
      <w:pPr>
        <w:pStyle w:val="a"/>
        <w:rPr>
          <w:rFonts w:eastAsiaTheme="minorEastAsia" w:cstheme="minorBidi"/>
          <w:sz w:val="22"/>
          <w:szCs w:val="22"/>
          <w:rtl/>
        </w:rPr>
      </w:pPr>
      <w:r>
        <w:rPr>
          <w:rtl/>
        </w:rPr>
        <w:t>ביאור רש"י די"ח חדשים הוי חזקה כיון שאין אדם שרואה שאוכלין לו פרי של שנה והוא שותק</w:t>
      </w:r>
    </w:p>
    <w:p w:rsidR="00900B10" w:rsidRDefault="00900B10" w:rsidP="007E4E81">
      <w:pPr>
        <w:pStyle w:val="a"/>
        <w:rPr>
          <w:rFonts w:eastAsiaTheme="minorEastAsia" w:cstheme="minorBidi"/>
          <w:sz w:val="22"/>
          <w:szCs w:val="22"/>
          <w:rtl/>
        </w:rPr>
      </w:pPr>
      <w:r>
        <w:rPr>
          <w:rtl/>
        </w:rPr>
        <w:t>ביאור החת"ס ברש"י דהראיה מהחזקה היא בשנה הראשונה וצריך ג"ש לחזקה כשור המועד</w:t>
      </w:r>
    </w:p>
    <w:p w:rsidR="00900B10" w:rsidRDefault="00900B10" w:rsidP="0007171D">
      <w:pPr>
        <w:pStyle w:val="aff4"/>
        <w:rPr>
          <w:rFonts w:eastAsiaTheme="minorEastAsia" w:cstheme="minorBidi"/>
          <w:i/>
          <w:iCs/>
          <w:noProof/>
          <w:sz w:val="22"/>
          <w:szCs w:val="22"/>
          <w:rtl/>
        </w:rPr>
      </w:pPr>
      <w:r>
        <w:rPr>
          <w:noProof/>
          <w:rtl/>
        </w:rPr>
        <w:t>דברי הראשונים דשור יצא מתם למועד ובחזקה יצאה מהמר"ק</w:t>
      </w:r>
    </w:p>
    <w:p w:rsidR="00900B10" w:rsidRDefault="00900B10" w:rsidP="007E4E81">
      <w:pPr>
        <w:pStyle w:val="a"/>
        <w:rPr>
          <w:rFonts w:eastAsiaTheme="minorEastAsia" w:cstheme="minorBidi"/>
          <w:sz w:val="22"/>
          <w:szCs w:val="22"/>
          <w:rtl/>
        </w:rPr>
      </w:pPr>
      <w:r>
        <w:rPr>
          <w:rtl/>
        </w:rPr>
        <w:t>קושית הרמב"ן דמה השייכות בין העדאת שור המועד לחזקת ג"ש</w:t>
      </w:r>
    </w:p>
    <w:p w:rsidR="00900B10" w:rsidRDefault="00900B10" w:rsidP="007E4E81">
      <w:pPr>
        <w:pStyle w:val="a"/>
        <w:rPr>
          <w:rFonts w:eastAsiaTheme="minorEastAsia" w:cstheme="minorBidi"/>
          <w:sz w:val="22"/>
          <w:szCs w:val="22"/>
          <w:rtl/>
        </w:rPr>
      </w:pPr>
      <w:r>
        <w:rPr>
          <w:rtl/>
        </w:rPr>
        <w:t>ביאור הרמב"ן דשור יצא בג"פ מחזקת תם למועד ובג"ש יצאה מהמר"ק והמחזיק הוא המוחזק</w:t>
      </w:r>
    </w:p>
    <w:p w:rsidR="00900B10" w:rsidRDefault="00900B10" w:rsidP="007E4E81">
      <w:pPr>
        <w:pStyle w:val="a"/>
        <w:rPr>
          <w:rFonts w:eastAsiaTheme="minorEastAsia" w:cstheme="minorBidi"/>
          <w:sz w:val="22"/>
          <w:szCs w:val="22"/>
          <w:rtl/>
        </w:rPr>
      </w:pPr>
      <w:r>
        <w:rPr>
          <w:rtl/>
        </w:rPr>
        <w:t>ביאור רבינו יונה דמשור ילפינן דבג"פ יוצא מחזקה ראשונה ובג"ש יצאה מהמר"ק למחזיק</w:t>
      </w:r>
    </w:p>
    <w:p w:rsidR="00900B10" w:rsidRDefault="00900B10" w:rsidP="007E4E81">
      <w:pPr>
        <w:pStyle w:val="a"/>
        <w:rPr>
          <w:rFonts w:eastAsiaTheme="minorEastAsia" w:cstheme="minorBidi"/>
          <w:sz w:val="22"/>
          <w:szCs w:val="22"/>
          <w:rtl/>
        </w:rPr>
      </w:pPr>
      <w:r>
        <w:rPr>
          <w:rtl/>
        </w:rPr>
        <w:t>.ביאור הר"ן דבג"פ בשור ששינה מחזקתו נעשה מועד ה"ה בג"ש שאכל המחזיק ושינה מחזקתו</w:t>
      </w:r>
    </w:p>
    <w:p w:rsidR="00900B10" w:rsidRDefault="00900B10" w:rsidP="007E4E81">
      <w:pPr>
        <w:pStyle w:val="a"/>
        <w:rPr>
          <w:rFonts w:eastAsiaTheme="minorEastAsia" w:cstheme="minorBidi"/>
          <w:sz w:val="22"/>
          <w:szCs w:val="22"/>
          <w:rtl/>
        </w:rPr>
      </w:pPr>
      <w:r>
        <w:rPr>
          <w:rtl/>
        </w:rPr>
        <w:t>דברי הריטב"א דפשיטא דג"ש ל"מ בלא קנין אלא דבג"ש יצאה מהמר"ק לחזקת המחזיק</w:t>
      </w:r>
    </w:p>
    <w:p w:rsidR="00900B10" w:rsidRDefault="00900B10" w:rsidP="00900B10">
      <w:pPr>
        <w:pStyle w:val="2"/>
        <w:rPr>
          <w:rFonts w:eastAsiaTheme="minorEastAsia" w:cstheme="minorBidi"/>
          <w:i/>
          <w:iCs/>
          <w:sz w:val="22"/>
          <w:rtl/>
        </w:rPr>
      </w:pPr>
      <w:r>
        <w:rPr>
          <w:rtl/>
        </w:rPr>
        <w:t>דעת התוס' דהילפותא דהוחזק שתקן</w:t>
      </w:r>
    </w:p>
    <w:p w:rsidR="00900B10" w:rsidRDefault="00900B10" w:rsidP="0007171D">
      <w:pPr>
        <w:pStyle w:val="aff4"/>
        <w:rPr>
          <w:rFonts w:eastAsiaTheme="minorEastAsia" w:cstheme="minorBidi"/>
          <w:i/>
          <w:iCs/>
          <w:noProof/>
          <w:sz w:val="22"/>
          <w:szCs w:val="22"/>
          <w:rtl/>
        </w:rPr>
      </w:pPr>
      <w:r>
        <w:rPr>
          <w:noProof/>
          <w:rtl/>
        </w:rPr>
        <w:t>דברי התוס' דבג"ש הוחזק שתקן ודמי לשור דהוחזק נגחן</w:t>
      </w:r>
    </w:p>
    <w:p w:rsidR="00900B10" w:rsidRDefault="00900B10" w:rsidP="007E4E81">
      <w:pPr>
        <w:pStyle w:val="a"/>
        <w:rPr>
          <w:rFonts w:eastAsiaTheme="minorEastAsia" w:cstheme="minorBidi"/>
          <w:sz w:val="22"/>
          <w:szCs w:val="22"/>
          <w:rtl/>
        </w:rPr>
      </w:pPr>
      <w:r>
        <w:rPr>
          <w:rtl/>
        </w:rPr>
        <w:t>ביאור התוס' דילפינן משור שהוחזק נגחן בג"פ לחזקה דהוחזק המערער שתקן בג"ש</w:t>
      </w:r>
    </w:p>
    <w:p w:rsidR="00900B10" w:rsidRDefault="00900B10" w:rsidP="007E4E81">
      <w:pPr>
        <w:pStyle w:val="a"/>
        <w:rPr>
          <w:rFonts w:eastAsiaTheme="minorEastAsia" w:cstheme="minorBidi"/>
          <w:sz w:val="22"/>
          <w:szCs w:val="22"/>
          <w:rtl/>
        </w:rPr>
      </w:pPr>
      <w:r>
        <w:rPr>
          <w:rtl/>
        </w:rPr>
        <w:t>קושית התוס' דאף לרבנן אפשר ללמוד משור המועד דאם לא הקפיד בג"ש ודאי דמכר למחזיק</w:t>
      </w:r>
    </w:p>
    <w:p w:rsidR="00900B10" w:rsidRDefault="00900B10" w:rsidP="007E4E81">
      <w:pPr>
        <w:pStyle w:val="a"/>
        <w:rPr>
          <w:rFonts w:eastAsiaTheme="minorEastAsia" w:cstheme="minorBidi"/>
          <w:sz w:val="22"/>
          <w:szCs w:val="22"/>
          <w:rtl/>
        </w:rPr>
      </w:pPr>
      <w:r>
        <w:rPr>
          <w:rtl/>
        </w:rPr>
        <w:t>תירוץ התוס' דרק לר"י דצריך ג' אכילות דמי לשור אבל לרבנן צריך זמן של ג"ש ול"ד לשור</w:t>
      </w:r>
    </w:p>
    <w:p w:rsidR="00900B10" w:rsidRDefault="00900B10" w:rsidP="007E4E81">
      <w:pPr>
        <w:pStyle w:val="a"/>
        <w:rPr>
          <w:rFonts w:eastAsiaTheme="minorEastAsia" w:cstheme="minorBidi"/>
          <w:sz w:val="22"/>
          <w:szCs w:val="22"/>
        </w:rPr>
      </w:pPr>
      <w:r>
        <w:rPr>
          <w:rtl/>
        </w:rPr>
        <w:t>דברי התוס' דבג"ש שלא מחה יש חזקה שלא ימחה עוד ונימא דהמערער מחל על הקרקע</w:t>
      </w:r>
    </w:p>
    <w:p w:rsidR="00900B10" w:rsidRPr="002678A2" w:rsidRDefault="00900B10" w:rsidP="007E4E81">
      <w:pPr>
        <w:pStyle w:val="a"/>
        <w:rPr>
          <w:b/>
          <w:bCs/>
          <w:rtl/>
        </w:rPr>
      </w:pPr>
      <w:r w:rsidRPr="002678A2">
        <w:rPr>
          <w:rFonts w:hint="cs"/>
          <w:b/>
          <w:bCs/>
          <w:rtl/>
        </w:rPr>
        <w:t>ביאור ה</w:t>
      </w:r>
      <w:r w:rsidRPr="003B20DB">
        <w:rPr>
          <w:rFonts w:hint="cs"/>
          <w:rtl/>
        </w:rPr>
        <w:t>מהרש"א דהילפותא משור המועד דכל שלא הקפיד ג' אכילות יש ראיה שמכר לו</w:t>
      </w:r>
    </w:p>
    <w:p w:rsidR="00900B10" w:rsidRDefault="00900B10" w:rsidP="00900B10">
      <w:pPr>
        <w:pStyle w:val="2"/>
        <w:rPr>
          <w:rFonts w:eastAsiaTheme="minorEastAsia" w:cstheme="minorBidi"/>
          <w:i/>
          <w:iCs/>
          <w:sz w:val="22"/>
          <w:rtl/>
        </w:rPr>
      </w:pPr>
      <w:r>
        <w:rPr>
          <w:rtl/>
        </w:rPr>
        <w:t>בקושיה דתהיה חזקה רק בשנה הרביעית</w:t>
      </w:r>
    </w:p>
    <w:p w:rsidR="00900B10" w:rsidRDefault="00900B10" w:rsidP="0007171D">
      <w:pPr>
        <w:pStyle w:val="aff4"/>
        <w:rPr>
          <w:rFonts w:eastAsiaTheme="minorEastAsia" w:cstheme="minorBidi"/>
          <w:i/>
          <w:iCs/>
          <w:noProof/>
          <w:sz w:val="22"/>
          <w:szCs w:val="22"/>
          <w:rtl/>
        </w:rPr>
      </w:pPr>
      <w:r>
        <w:rPr>
          <w:noProof/>
          <w:rtl/>
        </w:rPr>
        <w:t>ביאור רש"י דרק בשנה הרביעית יצאה מחזקת המר"ק</w:t>
      </w:r>
    </w:p>
    <w:p w:rsidR="00900B10" w:rsidRDefault="00900B10" w:rsidP="007E4E81">
      <w:pPr>
        <w:pStyle w:val="a"/>
        <w:rPr>
          <w:rFonts w:eastAsiaTheme="minorEastAsia" w:cstheme="minorBidi"/>
          <w:sz w:val="22"/>
          <w:szCs w:val="22"/>
          <w:rtl/>
        </w:rPr>
      </w:pPr>
      <w:r>
        <w:rPr>
          <w:rtl/>
        </w:rPr>
        <w:t>ביאור רש"י בקושית הגמ' דרק בסוף השנה הרביעית תהיה חזקה כמו נגיחה בשור</w:t>
      </w:r>
    </w:p>
    <w:p w:rsidR="00900B10" w:rsidRDefault="00900B10" w:rsidP="0007171D">
      <w:pPr>
        <w:pStyle w:val="aff4"/>
        <w:rPr>
          <w:rFonts w:eastAsiaTheme="minorEastAsia" w:cstheme="minorBidi"/>
          <w:i/>
          <w:iCs/>
          <w:noProof/>
          <w:sz w:val="22"/>
          <w:szCs w:val="22"/>
          <w:rtl/>
        </w:rPr>
      </w:pPr>
      <w:r>
        <w:rPr>
          <w:noProof/>
          <w:rtl/>
        </w:rPr>
        <w:t>ביאור התוס' דקושית הגמ' דבג"ש יצאה מהמוכר ללוקח</w:t>
      </w:r>
    </w:p>
    <w:p w:rsidR="00900B10" w:rsidRDefault="00900B10" w:rsidP="007E4E81">
      <w:pPr>
        <w:pStyle w:val="a"/>
        <w:rPr>
          <w:rFonts w:eastAsiaTheme="minorEastAsia" w:cstheme="minorBidi"/>
          <w:sz w:val="22"/>
          <w:szCs w:val="22"/>
          <w:rtl/>
        </w:rPr>
      </w:pPr>
      <w:r>
        <w:rPr>
          <w:rtl/>
        </w:rPr>
        <w:t>קושית התוס' דבג"פ בשור הוחזק נגחן והמערער הוחזק שתקן ומהשנה הג' היא ברשות המחזיק</w:t>
      </w:r>
    </w:p>
    <w:p w:rsidR="00900B10" w:rsidRDefault="00900B10" w:rsidP="007E4E81">
      <w:pPr>
        <w:pStyle w:val="a"/>
        <w:rPr>
          <w:rFonts w:eastAsiaTheme="minorEastAsia" w:cstheme="minorBidi"/>
          <w:sz w:val="22"/>
          <w:szCs w:val="22"/>
          <w:rtl/>
        </w:rPr>
      </w:pPr>
      <w:r>
        <w:rPr>
          <w:rtl/>
        </w:rPr>
        <w:t>ביאור התוס' דההו"א בגמ' דילפינן דב</w:t>
      </w:r>
      <w:r>
        <w:rPr>
          <w:rFonts w:hint="cs"/>
          <w:rtl/>
        </w:rPr>
        <w:t>ג</w:t>
      </w:r>
      <w:r>
        <w:rPr>
          <w:rtl/>
        </w:rPr>
        <w:t>"ש יצאה הקרקע מהמוכר ללוקח אף שאין בזה סברא</w:t>
      </w:r>
    </w:p>
    <w:p w:rsidR="00900B10" w:rsidRDefault="00900B10" w:rsidP="0007171D">
      <w:pPr>
        <w:pStyle w:val="aff4"/>
        <w:rPr>
          <w:rFonts w:eastAsiaTheme="minorEastAsia" w:cstheme="minorBidi"/>
          <w:i/>
          <w:iCs/>
          <w:noProof/>
          <w:sz w:val="22"/>
          <w:szCs w:val="22"/>
          <w:rtl/>
        </w:rPr>
      </w:pPr>
      <w:r>
        <w:rPr>
          <w:noProof/>
          <w:rtl/>
        </w:rPr>
        <w:t>ביאור הרמב"ן בקושיה דעד שנה הרביעית לא תהיה חזקה</w:t>
      </w:r>
    </w:p>
    <w:p w:rsidR="00900B10" w:rsidRDefault="00900B10" w:rsidP="007E4E81">
      <w:pPr>
        <w:pStyle w:val="a"/>
        <w:rPr>
          <w:rFonts w:eastAsiaTheme="minorEastAsia" w:cstheme="minorBidi"/>
          <w:sz w:val="22"/>
          <w:szCs w:val="22"/>
          <w:rtl/>
        </w:rPr>
      </w:pPr>
      <w:r>
        <w:rPr>
          <w:rtl/>
        </w:rPr>
        <w:t>ביאור הרמב"ן והריטב"א דבשנה הג' יצאה מחזקת המר"ק אך רק ברביעית היא בחזקת המוחזק</w:t>
      </w:r>
    </w:p>
    <w:p w:rsidR="00900B10" w:rsidRDefault="00900B10" w:rsidP="007E4E81">
      <w:pPr>
        <w:pStyle w:val="a"/>
        <w:rPr>
          <w:rFonts w:eastAsiaTheme="minorEastAsia" w:cstheme="minorBidi"/>
          <w:sz w:val="22"/>
          <w:szCs w:val="22"/>
          <w:rtl/>
        </w:rPr>
      </w:pPr>
      <w:r>
        <w:rPr>
          <w:rtl/>
        </w:rPr>
        <w:t>ביאור הריטב"א בתירוץ הגמ' דבשור אין לו מה לשלם בשלישית אבל בשדה הוא מוחזק בה</w:t>
      </w:r>
    </w:p>
    <w:p w:rsidR="00900B10" w:rsidRDefault="00900B10" w:rsidP="003B20DB">
      <w:pPr>
        <w:pStyle w:val="2"/>
        <w:rPr>
          <w:rFonts w:eastAsiaTheme="minorEastAsia" w:cstheme="minorBidi"/>
          <w:i/>
          <w:iCs/>
          <w:sz w:val="22"/>
          <w:rtl/>
        </w:rPr>
      </w:pPr>
      <w:r>
        <w:rPr>
          <w:rtl/>
        </w:rPr>
        <w:t>בי' תוס' דבג"ש בלא טענה מוכח דמחל</w:t>
      </w:r>
    </w:p>
    <w:p w:rsidR="00900B10" w:rsidRDefault="00900B10" w:rsidP="0007171D">
      <w:pPr>
        <w:pStyle w:val="aff4"/>
        <w:rPr>
          <w:rFonts w:eastAsiaTheme="minorEastAsia" w:cstheme="minorBidi"/>
          <w:i/>
          <w:iCs/>
          <w:noProof/>
          <w:sz w:val="22"/>
          <w:szCs w:val="22"/>
          <w:rtl/>
        </w:rPr>
      </w:pPr>
      <w:r>
        <w:rPr>
          <w:noProof/>
          <w:rtl/>
        </w:rPr>
        <w:t>הביאור הא' בתוס' דקושית הגמ' דכששתק ג"ש מוכח דמחל</w:t>
      </w:r>
    </w:p>
    <w:p w:rsidR="00900B10" w:rsidRDefault="00900B10" w:rsidP="007E4E81">
      <w:pPr>
        <w:pStyle w:val="a"/>
        <w:rPr>
          <w:rFonts w:eastAsiaTheme="minorEastAsia" w:cstheme="minorBidi"/>
          <w:sz w:val="22"/>
          <w:szCs w:val="22"/>
          <w:rtl/>
        </w:rPr>
      </w:pPr>
      <w:r>
        <w:rPr>
          <w:rtl/>
        </w:rPr>
        <w:t>קושית התוס' דמה ההו"א דתועיל חזקה בלא טענה להעמיד ביד המחזיק כשאינו טעון כלום</w:t>
      </w:r>
    </w:p>
    <w:p w:rsidR="00900B10" w:rsidRDefault="00900B10" w:rsidP="007E4E81">
      <w:pPr>
        <w:pStyle w:val="a"/>
        <w:rPr>
          <w:rFonts w:eastAsiaTheme="minorEastAsia" w:cstheme="minorBidi"/>
          <w:sz w:val="22"/>
          <w:szCs w:val="22"/>
          <w:rtl/>
        </w:rPr>
      </w:pPr>
      <w:r>
        <w:rPr>
          <w:rtl/>
        </w:rPr>
        <w:t>הביאור הא' בתוס' דבג"ש הוחזק המערער שתקן ומקשה הגמ' דנימא דמחל לו אף בלא טענה</w:t>
      </w:r>
    </w:p>
    <w:p w:rsidR="00900B10" w:rsidRDefault="00900B10" w:rsidP="00900B10">
      <w:pPr>
        <w:pStyle w:val="2"/>
        <w:rPr>
          <w:rFonts w:eastAsiaTheme="minorEastAsia" w:cstheme="minorBidi"/>
          <w:i/>
          <w:iCs/>
          <w:sz w:val="22"/>
          <w:rtl/>
        </w:rPr>
      </w:pPr>
      <w:r>
        <w:rPr>
          <w:rtl/>
        </w:rPr>
        <w:t>הבי' הב' בתוס' דטוען שקנה מאחר</w:t>
      </w:r>
    </w:p>
    <w:p w:rsidR="00900B10" w:rsidRDefault="00900B10" w:rsidP="0007171D">
      <w:pPr>
        <w:pStyle w:val="aff4"/>
        <w:rPr>
          <w:rFonts w:eastAsiaTheme="minorEastAsia" w:cstheme="minorBidi"/>
          <w:i/>
          <w:iCs/>
          <w:noProof/>
          <w:sz w:val="22"/>
          <w:szCs w:val="22"/>
          <w:rtl/>
        </w:rPr>
      </w:pPr>
      <w:r>
        <w:rPr>
          <w:noProof/>
          <w:rtl/>
        </w:rPr>
        <w:t>הביאור הב' בתוס' דקנה מפלוני ואין ראיה שהוא קנה מהמר"ק</w:t>
      </w:r>
    </w:p>
    <w:p w:rsidR="00900B10" w:rsidRDefault="00900B10" w:rsidP="007E4E81">
      <w:pPr>
        <w:pStyle w:val="a"/>
        <w:rPr>
          <w:rFonts w:eastAsiaTheme="minorEastAsia" w:cstheme="minorBidi"/>
          <w:sz w:val="22"/>
          <w:szCs w:val="22"/>
          <w:rtl/>
        </w:rPr>
      </w:pPr>
      <w:r>
        <w:rPr>
          <w:rtl/>
        </w:rPr>
        <w:t>הביאור הב' בתוס' דחזקה בלא טענה היינו כשטען שקנה מפלוני ואינו יודע ממי קנה אותו פלוני</w:t>
      </w:r>
    </w:p>
    <w:p w:rsidR="00900B10" w:rsidRDefault="00900B10" w:rsidP="00900B10">
      <w:pPr>
        <w:pStyle w:val="2"/>
        <w:rPr>
          <w:rFonts w:eastAsiaTheme="minorEastAsia" w:cstheme="minorBidi"/>
          <w:i/>
          <w:iCs/>
          <w:sz w:val="22"/>
          <w:rtl/>
        </w:rPr>
      </w:pPr>
      <w:r>
        <w:rPr>
          <w:rtl/>
        </w:rPr>
        <w:t>ד' רש"י והרמב"ן דהוא מוחזק וא"צ טענה</w:t>
      </w:r>
    </w:p>
    <w:p w:rsidR="00900B10" w:rsidRDefault="00900B10" w:rsidP="0007171D">
      <w:pPr>
        <w:pStyle w:val="aff4"/>
        <w:rPr>
          <w:rFonts w:eastAsiaTheme="minorEastAsia" w:cstheme="minorBidi"/>
          <w:i/>
          <w:iCs/>
          <w:noProof/>
          <w:sz w:val="22"/>
          <w:szCs w:val="22"/>
          <w:rtl/>
        </w:rPr>
      </w:pPr>
      <w:r>
        <w:rPr>
          <w:noProof/>
          <w:rtl/>
        </w:rPr>
        <w:t>דעת רש"י דלהו"א בג"ש יצאה מחזקת המר"ק אף בלא טענה</w:t>
      </w:r>
    </w:p>
    <w:p w:rsidR="00900B10" w:rsidRDefault="00900B10" w:rsidP="007E4E81">
      <w:pPr>
        <w:pStyle w:val="a"/>
        <w:rPr>
          <w:rFonts w:eastAsiaTheme="minorEastAsia" w:cstheme="minorBidi"/>
          <w:sz w:val="22"/>
          <w:szCs w:val="22"/>
          <w:rtl/>
        </w:rPr>
      </w:pPr>
      <w:r>
        <w:rPr>
          <w:rtl/>
        </w:rPr>
        <w:t>דברי רש"י דקושית הגמ' דתועיל חזקה בלא טענה בטוען שלא אמר לו אדם דבר מעולם</w:t>
      </w:r>
    </w:p>
    <w:p w:rsidR="00900B10" w:rsidRDefault="00900B10" w:rsidP="007E4E81">
      <w:pPr>
        <w:pStyle w:val="a"/>
        <w:rPr>
          <w:rFonts w:eastAsiaTheme="minorEastAsia" w:cstheme="minorBidi"/>
          <w:sz w:val="22"/>
          <w:szCs w:val="22"/>
          <w:rtl/>
        </w:rPr>
      </w:pPr>
      <w:r>
        <w:rPr>
          <w:rtl/>
        </w:rPr>
        <w:t>ביאור רש"י דכיון דילפינן ד</w:t>
      </w:r>
      <w:r>
        <w:rPr>
          <w:rFonts w:hint="cs"/>
          <w:rtl/>
        </w:rPr>
        <w:t>ג</w:t>
      </w:r>
      <w:r>
        <w:rPr>
          <w:rtl/>
        </w:rPr>
        <w:t>"ש מוציאים מרשות מוכר תצא הקרקע מרשותו אף בלא טענה</w:t>
      </w:r>
    </w:p>
    <w:p w:rsidR="00900B10" w:rsidRDefault="00900B10" w:rsidP="007E4E81">
      <w:pPr>
        <w:pStyle w:val="a"/>
        <w:rPr>
          <w:rFonts w:eastAsiaTheme="minorEastAsia" w:cstheme="minorBidi"/>
          <w:sz w:val="22"/>
          <w:szCs w:val="22"/>
          <w:rtl/>
        </w:rPr>
      </w:pPr>
      <w:r>
        <w:rPr>
          <w:rtl/>
        </w:rPr>
        <w:t>ביאור רש"י בתירוץ הגמ' דכל החזקה מהני רק לומר דאפש"ל שהאמת היא כפי שטוען המחזיק</w:t>
      </w:r>
    </w:p>
    <w:p w:rsidR="00900B10" w:rsidRDefault="00900B10" w:rsidP="0007171D">
      <w:pPr>
        <w:pStyle w:val="aff4"/>
        <w:rPr>
          <w:rFonts w:eastAsiaTheme="minorEastAsia" w:cstheme="minorBidi"/>
          <w:i/>
          <w:iCs/>
          <w:noProof/>
          <w:sz w:val="22"/>
          <w:szCs w:val="22"/>
          <w:rtl/>
        </w:rPr>
      </w:pPr>
      <w:r>
        <w:rPr>
          <w:noProof/>
          <w:rtl/>
        </w:rPr>
        <w:t>ביאור הרמב"ן דלהו"א יצאה הקרקע מהמר"ק אף בלא טענה</w:t>
      </w:r>
    </w:p>
    <w:p w:rsidR="00900B10" w:rsidRDefault="00900B10" w:rsidP="007E4E81">
      <w:pPr>
        <w:pStyle w:val="a"/>
        <w:rPr>
          <w:rFonts w:eastAsiaTheme="minorEastAsia" w:cstheme="minorBidi"/>
          <w:sz w:val="22"/>
          <w:szCs w:val="22"/>
          <w:rtl/>
        </w:rPr>
      </w:pPr>
      <w:r>
        <w:rPr>
          <w:rtl/>
        </w:rPr>
        <w:t>ביאור הרמב"ן דלהו"א צריך טענה רק כשהיא עדיין ברשות המר"ק ולאחר ג"ש יצאה מרשותו</w:t>
      </w:r>
    </w:p>
    <w:p w:rsidR="00900B10" w:rsidRDefault="00900B10" w:rsidP="007E4E81">
      <w:pPr>
        <w:pStyle w:val="a"/>
        <w:rPr>
          <w:rFonts w:eastAsiaTheme="minorEastAsia" w:cstheme="minorBidi"/>
          <w:sz w:val="22"/>
          <w:szCs w:val="22"/>
          <w:rtl/>
        </w:rPr>
      </w:pPr>
      <w:r>
        <w:rPr>
          <w:rtl/>
        </w:rPr>
        <w:t>ביאור הרמב"ן בתירוץ הגמ' דודאי לא יצאה הקרקע מרשות המר"ק בלא קנין והיא ברשותו</w:t>
      </w:r>
    </w:p>
    <w:p w:rsidR="00900B10" w:rsidRDefault="00900B10" w:rsidP="00900B10">
      <w:pPr>
        <w:pStyle w:val="2"/>
        <w:rPr>
          <w:rFonts w:eastAsiaTheme="minorEastAsia" w:cstheme="minorBidi"/>
          <w:i/>
          <w:iCs/>
          <w:sz w:val="22"/>
          <w:rtl/>
        </w:rPr>
      </w:pPr>
      <w:r>
        <w:rPr>
          <w:rtl/>
        </w:rPr>
        <w:t>ד' הריטב"א והר"ן דטוען בסתמא שלי</w:t>
      </w:r>
    </w:p>
    <w:p w:rsidR="00900B10" w:rsidRDefault="00900B10" w:rsidP="0007171D">
      <w:pPr>
        <w:pStyle w:val="aff4"/>
        <w:rPr>
          <w:rFonts w:eastAsiaTheme="minorEastAsia" w:cstheme="minorBidi"/>
          <w:i/>
          <w:iCs/>
          <w:noProof/>
          <w:sz w:val="22"/>
          <w:szCs w:val="22"/>
          <w:rtl/>
        </w:rPr>
      </w:pPr>
      <w:r>
        <w:rPr>
          <w:noProof/>
          <w:rtl/>
        </w:rPr>
        <w:t>דברי הריטב"א והר"ן דבמודה שלא קנה לא מהני מחילה בקרקע</w:t>
      </w:r>
    </w:p>
    <w:p w:rsidR="00900B10" w:rsidRDefault="00900B10" w:rsidP="007E4E81">
      <w:pPr>
        <w:pStyle w:val="a"/>
        <w:rPr>
          <w:rFonts w:eastAsiaTheme="minorEastAsia" w:cstheme="minorBidi"/>
          <w:sz w:val="22"/>
          <w:szCs w:val="22"/>
          <w:rtl/>
        </w:rPr>
      </w:pPr>
      <w:r>
        <w:rPr>
          <w:rtl/>
        </w:rPr>
        <w:t>דברי הר"ן והריטב"א דא"א לומר דאיירי שלא אמר לו אדם דבר מעולם דמחילה לא מהני</w:t>
      </w:r>
    </w:p>
    <w:p w:rsidR="00900B10" w:rsidRDefault="00900B10" w:rsidP="0007171D">
      <w:pPr>
        <w:pStyle w:val="aff4"/>
        <w:rPr>
          <w:rFonts w:eastAsiaTheme="minorEastAsia" w:cstheme="minorBidi"/>
          <w:i/>
          <w:iCs/>
          <w:noProof/>
          <w:sz w:val="22"/>
          <w:szCs w:val="22"/>
          <w:rtl/>
        </w:rPr>
      </w:pPr>
      <w:r>
        <w:rPr>
          <w:noProof/>
          <w:rtl/>
        </w:rPr>
        <w:t>דברי הר"ן דלהו"א בג"ש המר"ק כאדם מהשוק וא"צ לטעון לו</w:t>
      </w:r>
    </w:p>
    <w:p w:rsidR="00900B10" w:rsidRDefault="00900B10" w:rsidP="007E4E81">
      <w:pPr>
        <w:pStyle w:val="a"/>
        <w:rPr>
          <w:rFonts w:eastAsiaTheme="minorEastAsia" w:cstheme="minorBidi"/>
          <w:sz w:val="22"/>
          <w:szCs w:val="22"/>
          <w:rtl/>
        </w:rPr>
      </w:pPr>
      <w:r>
        <w:rPr>
          <w:rtl/>
        </w:rPr>
        <w:t>ביאור הר"ן דאיירי שאינו טוען כלום ואחר ג"ש המר"ק כאדם מהשוק והמחזיק א"צ לטעון לו</w:t>
      </w:r>
    </w:p>
    <w:p w:rsidR="00900B10" w:rsidRDefault="00900B10" w:rsidP="007E4E81">
      <w:pPr>
        <w:pStyle w:val="a"/>
        <w:rPr>
          <w:rFonts w:eastAsiaTheme="minorEastAsia" w:cstheme="minorBidi"/>
          <w:sz w:val="22"/>
          <w:szCs w:val="22"/>
          <w:rtl/>
        </w:rPr>
      </w:pPr>
      <w:r>
        <w:rPr>
          <w:rtl/>
        </w:rPr>
        <w:t>ביאור הריטב"א דהמחזיק טוען בסתמא דהשדה שלו ואינו מפרש את דבריו ולהו"א טענינן ליה</w:t>
      </w:r>
    </w:p>
    <w:p w:rsidR="00900B10" w:rsidRDefault="00900B10" w:rsidP="007E4E81">
      <w:pPr>
        <w:pStyle w:val="a"/>
        <w:rPr>
          <w:rFonts w:eastAsiaTheme="minorEastAsia" w:cstheme="minorBidi"/>
          <w:sz w:val="22"/>
          <w:szCs w:val="22"/>
          <w:rtl/>
        </w:rPr>
      </w:pPr>
      <w:r>
        <w:rPr>
          <w:rtl/>
        </w:rPr>
        <w:t>דברי הריטב"א דבלשון הגמ' דלא כדקאמר מוכח דאינו מודה אלא טוען בסתמא דשלו היא</w:t>
      </w:r>
    </w:p>
    <w:p w:rsidR="00900B10" w:rsidRDefault="00900B10" w:rsidP="007E4E81">
      <w:pPr>
        <w:pStyle w:val="a"/>
        <w:rPr>
          <w:rFonts w:eastAsiaTheme="minorEastAsia" w:cstheme="minorBidi"/>
          <w:sz w:val="22"/>
          <w:szCs w:val="22"/>
          <w:rtl/>
        </w:rPr>
      </w:pPr>
      <w:r>
        <w:rPr>
          <w:rtl/>
        </w:rPr>
        <w:t>ביאור הר"ן בתירוץ הגמ' דכל שאינו טוען שקנה מהמר"ק יש ריעותא בחזקתו</w:t>
      </w:r>
    </w:p>
    <w:p w:rsidR="00900B10" w:rsidRDefault="00900B10" w:rsidP="00900B10">
      <w:pPr>
        <w:pStyle w:val="2"/>
        <w:rPr>
          <w:rFonts w:eastAsiaTheme="minorEastAsia" w:cstheme="minorBidi"/>
          <w:i/>
          <w:iCs/>
          <w:sz w:val="22"/>
          <w:rtl/>
        </w:rPr>
      </w:pPr>
      <w:r>
        <w:rPr>
          <w:rtl/>
        </w:rPr>
        <w:t>ביאור רבינו יונה דהמחזיק לא משיב דבר</w:t>
      </w:r>
    </w:p>
    <w:p w:rsidR="00900B10" w:rsidRDefault="00900B10" w:rsidP="0007171D">
      <w:pPr>
        <w:pStyle w:val="aff4"/>
        <w:rPr>
          <w:rFonts w:eastAsiaTheme="minorEastAsia" w:cstheme="minorBidi"/>
          <w:i/>
          <w:iCs/>
          <w:noProof/>
          <w:sz w:val="22"/>
          <w:szCs w:val="22"/>
          <w:rtl/>
        </w:rPr>
      </w:pPr>
      <w:r>
        <w:rPr>
          <w:noProof/>
          <w:rtl/>
        </w:rPr>
        <w:t>קושיות רבינו יונה דא"א לומר דחזקה בלא טענה מהני</w:t>
      </w:r>
    </w:p>
    <w:p w:rsidR="00900B10" w:rsidRDefault="00900B10" w:rsidP="007E4E81">
      <w:pPr>
        <w:pStyle w:val="a"/>
        <w:rPr>
          <w:rFonts w:eastAsiaTheme="minorEastAsia" w:cstheme="minorBidi"/>
          <w:sz w:val="22"/>
          <w:szCs w:val="22"/>
          <w:rtl/>
        </w:rPr>
      </w:pPr>
      <w:r>
        <w:rPr>
          <w:rtl/>
        </w:rPr>
        <w:t>ביאור רבינו יונה בקושית הגמ' דכיון דילפינן שיצאה השדה מרשות המוכר א"כ א"צ טענה</w:t>
      </w:r>
    </w:p>
    <w:p w:rsidR="00900B10" w:rsidRDefault="00900B10" w:rsidP="007E4E81">
      <w:pPr>
        <w:pStyle w:val="a"/>
        <w:rPr>
          <w:rFonts w:eastAsiaTheme="minorEastAsia" w:cstheme="minorBidi"/>
          <w:sz w:val="22"/>
          <w:szCs w:val="22"/>
          <w:rtl/>
        </w:rPr>
      </w:pPr>
      <w:r>
        <w:rPr>
          <w:rtl/>
        </w:rPr>
        <w:t>קושית רבינו יונה דא"א לומר דילפינן משור המועד דבשתק חשיב כמוחל וכאומר לך חזק וקני</w:t>
      </w:r>
    </w:p>
    <w:p w:rsidR="00900B10" w:rsidRDefault="00900B10" w:rsidP="007E4E81">
      <w:pPr>
        <w:pStyle w:val="a"/>
        <w:rPr>
          <w:rFonts w:eastAsiaTheme="minorEastAsia" w:cstheme="minorBidi"/>
          <w:sz w:val="22"/>
          <w:szCs w:val="22"/>
          <w:rtl/>
        </w:rPr>
      </w:pPr>
      <w:r>
        <w:rPr>
          <w:rtl/>
        </w:rPr>
        <w:t>קושית רבינו יונה דהגמ' לקמן מקשה דפשיטא דל"מ בלא טענה אעפ"י דמתני' כהולכי אושא</w:t>
      </w:r>
    </w:p>
    <w:p w:rsidR="00900B10" w:rsidRDefault="00900B10" w:rsidP="0007171D">
      <w:pPr>
        <w:pStyle w:val="aff4"/>
        <w:rPr>
          <w:rFonts w:eastAsiaTheme="minorEastAsia" w:cstheme="minorBidi"/>
          <w:i/>
          <w:iCs/>
          <w:noProof/>
          <w:sz w:val="22"/>
          <w:szCs w:val="22"/>
          <w:rtl/>
        </w:rPr>
      </w:pPr>
      <w:r>
        <w:rPr>
          <w:noProof/>
          <w:rtl/>
        </w:rPr>
        <w:t>הביאור הא' ברב"י דלהו"א א"צ להשיב למר"ק דיצאה מחזקתו</w:t>
      </w:r>
    </w:p>
    <w:p w:rsidR="00900B10" w:rsidRDefault="00900B10" w:rsidP="007E4E81">
      <w:pPr>
        <w:pStyle w:val="a"/>
        <w:rPr>
          <w:rFonts w:eastAsiaTheme="minorEastAsia" w:cstheme="minorBidi"/>
          <w:sz w:val="22"/>
          <w:szCs w:val="22"/>
          <w:rtl/>
        </w:rPr>
      </w:pPr>
      <w:r>
        <w:rPr>
          <w:rtl/>
        </w:rPr>
        <w:t>ביאור רבינו יונה דבמתני' לקמן בלא טענה היינו ששתק או שאינו רוצה להשיבו דאינה חזקה</w:t>
      </w:r>
    </w:p>
    <w:p w:rsidR="00900B10" w:rsidRDefault="00900B10" w:rsidP="007E4E81">
      <w:pPr>
        <w:pStyle w:val="a"/>
        <w:rPr>
          <w:rFonts w:eastAsiaTheme="minorEastAsia" w:cstheme="minorBidi"/>
          <w:sz w:val="22"/>
          <w:szCs w:val="22"/>
          <w:rtl/>
        </w:rPr>
      </w:pPr>
      <w:r>
        <w:rPr>
          <w:rtl/>
        </w:rPr>
        <w:t>דברי רבינו יונה דבאינו משיב יכול לטעון אח"כ שקנה מהמר"ק וכל שלא טען מוציאים ממנו</w:t>
      </w:r>
    </w:p>
    <w:p w:rsidR="00900B10" w:rsidRDefault="00900B10" w:rsidP="007E4E81">
      <w:pPr>
        <w:pStyle w:val="a"/>
        <w:rPr>
          <w:rFonts w:eastAsiaTheme="minorEastAsia" w:cstheme="minorBidi"/>
          <w:sz w:val="22"/>
          <w:szCs w:val="22"/>
          <w:rtl/>
        </w:rPr>
      </w:pPr>
      <w:r>
        <w:rPr>
          <w:rtl/>
        </w:rPr>
        <w:t>ביאור רבינו יונה דהו"א דבג"ש יצאה מהמוכר ואף שאינו משיב היא נשארת בחזקתו</w:t>
      </w:r>
    </w:p>
    <w:p w:rsidR="00900B10" w:rsidRDefault="00900B10" w:rsidP="00900B10">
      <w:pPr>
        <w:pStyle w:val="2"/>
        <w:rPr>
          <w:rFonts w:eastAsiaTheme="minorEastAsia" w:cstheme="minorBidi"/>
          <w:i/>
          <w:iCs/>
          <w:sz w:val="22"/>
          <w:rtl/>
        </w:rPr>
      </w:pPr>
      <w:r>
        <w:rPr>
          <w:rtl/>
        </w:rPr>
        <w:t>דברי רב"י בדין טענה בקרקע ומטלטלין</w:t>
      </w:r>
    </w:p>
    <w:p w:rsidR="00900B10" w:rsidRDefault="00900B10" w:rsidP="0007171D">
      <w:pPr>
        <w:pStyle w:val="aff4"/>
        <w:rPr>
          <w:rFonts w:eastAsiaTheme="minorEastAsia" w:cstheme="minorBidi"/>
          <w:i/>
          <w:iCs/>
          <w:noProof/>
          <w:sz w:val="22"/>
          <w:szCs w:val="22"/>
          <w:rtl/>
        </w:rPr>
      </w:pPr>
      <w:r>
        <w:rPr>
          <w:noProof/>
          <w:rtl/>
        </w:rPr>
        <w:t>ביאור רבינו יונה דלהו"א חזקת ג"ש כחזקת מטלטלין בלא טענה</w:t>
      </w:r>
    </w:p>
    <w:p w:rsidR="00900B10" w:rsidRDefault="00900B10" w:rsidP="007E4E81">
      <w:pPr>
        <w:pStyle w:val="a"/>
        <w:rPr>
          <w:rFonts w:eastAsiaTheme="minorEastAsia" w:cstheme="minorBidi"/>
          <w:sz w:val="22"/>
          <w:szCs w:val="22"/>
          <w:rtl/>
        </w:rPr>
      </w:pPr>
      <w:r>
        <w:rPr>
          <w:rtl/>
        </w:rPr>
        <w:t>ביאור רבינו יונה דלהו"א בחזקת ג"ש נעשה תפוס כמו במטלטלין שתח"י שא"צ טענה</w:t>
      </w:r>
    </w:p>
    <w:p w:rsidR="00900B10" w:rsidRDefault="00900B10" w:rsidP="007E4E81">
      <w:pPr>
        <w:pStyle w:val="a"/>
        <w:rPr>
          <w:rFonts w:eastAsiaTheme="minorEastAsia" w:cstheme="minorBidi"/>
          <w:sz w:val="22"/>
          <w:szCs w:val="22"/>
          <w:rtl/>
        </w:rPr>
      </w:pPr>
      <w:r>
        <w:rPr>
          <w:rtl/>
        </w:rPr>
        <w:t>ביאור רבינו יונה דילפינן משור המועד דהחזקה ראיה לטענתו ובלא טענה אינה חזקה כלל</w:t>
      </w:r>
    </w:p>
    <w:p w:rsidR="00900B10" w:rsidRDefault="00900B10" w:rsidP="0007171D">
      <w:pPr>
        <w:pStyle w:val="aff4"/>
        <w:rPr>
          <w:rFonts w:eastAsiaTheme="minorEastAsia" w:cstheme="minorBidi"/>
          <w:i/>
          <w:iCs/>
          <w:noProof/>
          <w:sz w:val="22"/>
          <w:szCs w:val="22"/>
          <w:rtl/>
        </w:rPr>
      </w:pPr>
      <w:r>
        <w:rPr>
          <w:noProof/>
          <w:rtl/>
        </w:rPr>
        <w:t>ביאור רבינו יונה דתפוס במטלטלין הם בחזקתו אף בלא טענה</w:t>
      </w:r>
    </w:p>
    <w:p w:rsidR="00900B10" w:rsidRDefault="00900B10" w:rsidP="007E4E81">
      <w:pPr>
        <w:pStyle w:val="a"/>
        <w:rPr>
          <w:rFonts w:eastAsiaTheme="minorEastAsia" w:cstheme="minorBidi"/>
          <w:sz w:val="22"/>
          <w:szCs w:val="22"/>
          <w:rtl/>
        </w:rPr>
      </w:pPr>
      <w:r>
        <w:rPr>
          <w:rtl/>
        </w:rPr>
        <w:t>דברי רבינו יונה דבמטלטלין התפיסה אינה ראיה אלא הם בחזקתו אף בלא טענה</w:t>
      </w:r>
    </w:p>
    <w:p w:rsidR="00900B10" w:rsidRDefault="00900B10" w:rsidP="007E4E81">
      <w:pPr>
        <w:pStyle w:val="a"/>
        <w:rPr>
          <w:rFonts w:eastAsiaTheme="minorEastAsia" w:cstheme="minorBidi"/>
          <w:sz w:val="22"/>
          <w:szCs w:val="22"/>
          <w:rtl/>
        </w:rPr>
      </w:pPr>
      <w:r>
        <w:rPr>
          <w:rtl/>
        </w:rPr>
        <w:t>דברי רבינו יונה דבמטלטלין יש סברא דהבעלים נתן לו דלא מחזקינן ליה בגנבא</w:t>
      </w:r>
    </w:p>
    <w:p w:rsidR="00900B10" w:rsidRDefault="00900B10" w:rsidP="0007171D">
      <w:pPr>
        <w:pStyle w:val="aff4"/>
        <w:rPr>
          <w:rFonts w:eastAsiaTheme="minorEastAsia" w:cstheme="minorBidi"/>
          <w:i/>
          <w:iCs/>
          <w:noProof/>
          <w:sz w:val="22"/>
          <w:szCs w:val="22"/>
          <w:rtl/>
        </w:rPr>
      </w:pPr>
      <w:r>
        <w:rPr>
          <w:noProof/>
          <w:rtl/>
        </w:rPr>
        <w:t>דעת הקצוה"ח דחזקה בלא טענה לא מהני אף במטלטלין</w:t>
      </w:r>
    </w:p>
    <w:p w:rsidR="00900B10" w:rsidRDefault="00900B10" w:rsidP="007E4E81">
      <w:pPr>
        <w:pStyle w:val="a"/>
        <w:rPr>
          <w:rFonts w:eastAsiaTheme="minorEastAsia" w:cstheme="minorBidi"/>
          <w:sz w:val="22"/>
          <w:szCs w:val="22"/>
          <w:rtl/>
        </w:rPr>
      </w:pPr>
      <w:r>
        <w:rPr>
          <w:rtl/>
        </w:rPr>
        <w:t>דעת הקצוה"ח דאף במטלטלין ל"מ חזקה בלא טענה וכן מבואר בדברי הרמב"ן לקמן</w:t>
      </w:r>
    </w:p>
    <w:p w:rsidR="00900B10" w:rsidRDefault="00900B10" w:rsidP="00900B10">
      <w:pPr>
        <w:pStyle w:val="2"/>
        <w:rPr>
          <w:rtl/>
        </w:rPr>
      </w:pPr>
      <w:r w:rsidRPr="00694CFD">
        <w:rPr>
          <w:rtl/>
        </w:rPr>
        <w:t xml:space="preserve">ביאור רב"י דהוחזק וא"א להוציא מספק </w:t>
      </w:r>
    </w:p>
    <w:p w:rsidR="00900B10" w:rsidRDefault="00900B10" w:rsidP="0007171D">
      <w:pPr>
        <w:pStyle w:val="aff4"/>
        <w:rPr>
          <w:rFonts w:eastAsiaTheme="minorEastAsia" w:cstheme="minorBidi"/>
          <w:i/>
          <w:iCs/>
          <w:noProof/>
          <w:sz w:val="22"/>
          <w:szCs w:val="22"/>
          <w:rtl/>
        </w:rPr>
      </w:pPr>
      <w:r>
        <w:rPr>
          <w:noProof/>
          <w:rtl/>
        </w:rPr>
        <w:t>הביאור הב' ברב"י דהו"א דיש ספק אי מודה וא"א להוציא ממנו</w:t>
      </w:r>
    </w:p>
    <w:p w:rsidR="00900B10" w:rsidRDefault="00900B10" w:rsidP="007E4E81">
      <w:pPr>
        <w:pStyle w:val="a"/>
        <w:rPr>
          <w:rFonts w:eastAsiaTheme="minorEastAsia" w:cstheme="minorBidi"/>
          <w:sz w:val="22"/>
          <w:szCs w:val="22"/>
          <w:rtl/>
        </w:rPr>
      </w:pPr>
      <w:r>
        <w:rPr>
          <w:rtl/>
        </w:rPr>
        <w:t>הביאור הב' ברבינו יונה דבלא אמר לו אדם דבר יתכן דאינו מודה אלא חושש לומר דאבד שטרו</w:t>
      </w:r>
    </w:p>
    <w:p w:rsidR="00900B10" w:rsidRDefault="00900B10" w:rsidP="007E4E81">
      <w:pPr>
        <w:pStyle w:val="a"/>
        <w:rPr>
          <w:rFonts w:eastAsiaTheme="minorEastAsia" w:cstheme="minorBidi"/>
          <w:sz w:val="22"/>
          <w:szCs w:val="22"/>
          <w:rtl/>
        </w:rPr>
      </w:pPr>
      <w:r>
        <w:rPr>
          <w:rtl/>
        </w:rPr>
        <w:t>ביאור רבינו יונה דמקשה הגמ' דבג"ש יצאה מהמר"ק ללוקח ומספק שמא מודה א"א להוציא</w:t>
      </w:r>
    </w:p>
    <w:p w:rsidR="00900B10" w:rsidRDefault="00900B10" w:rsidP="00900B10">
      <w:pPr>
        <w:pStyle w:val="2"/>
        <w:rPr>
          <w:rFonts w:eastAsiaTheme="minorEastAsia" w:cstheme="minorBidi"/>
          <w:i/>
          <w:iCs/>
          <w:sz w:val="22"/>
          <w:rtl/>
        </w:rPr>
      </w:pPr>
      <w:r>
        <w:rPr>
          <w:rtl/>
        </w:rPr>
        <w:t>ביאור הרשב"א בדין מחילה בקרקע</w:t>
      </w:r>
    </w:p>
    <w:p w:rsidR="00900B10" w:rsidRDefault="00900B10" w:rsidP="0007171D">
      <w:pPr>
        <w:pStyle w:val="aff4"/>
        <w:rPr>
          <w:rFonts w:eastAsiaTheme="minorEastAsia" w:cstheme="minorBidi"/>
          <w:i/>
          <w:iCs/>
          <w:noProof/>
          <w:sz w:val="22"/>
          <w:szCs w:val="22"/>
          <w:rtl/>
        </w:rPr>
      </w:pPr>
      <w:r>
        <w:rPr>
          <w:noProof/>
          <w:rtl/>
        </w:rPr>
        <w:t>ביאור הרשב"א דהו"א דטענינן ליה אבד שטרך</w:t>
      </w:r>
    </w:p>
    <w:p w:rsidR="00900B10" w:rsidRDefault="00900B10" w:rsidP="007E4E81">
      <w:pPr>
        <w:pStyle w:val="a"/>
        <w:rPr>
          <w:rFonts w:eastAsiaTheme="minorEastAsia" w:cstheme="minorBidi"/>
          <w:sz w:val="22"/>
          <w:szCs w:val="22"/>
          <w:rtl/>
        </w:rPr>
      </w:pPr>
      <w:r>
        <w:rPr>
          <w:rtl/>
        </w:rPr>
        <w:t>ביאור הרשב"א דהו"א דילפינן דיצאה מהמר"ק בלא טענה אך הקשה דפשיטא דלא מהני</w:t>
      </w:r>
    </w:p>
    <w:p w:rsidR="00900B10" w:rsidRDefault="00900B10" w:rsidP="007E4E81">
      <w:pPr>
        <w:pStyle w:val="a"/>
        <w:rPr>
          <w:rFonts w:eastAsiaTheme="minorEastAsia" w:cstheme="minorBidi"/>
          <w:sz w:val="22"/>
          <w:szCs w:val="22"/>
          <w:rtl/>
        </w:rPr>
      </w:pPr>
      <w:r>
        <w:rPr>
          <w:rtl/>
        </w:rPr>
        <w:t>ביאור הרשב"א דהו"א דכמו ששור יוצא לעולם מחזקתו ה"ה בג"ש ונטען לו שאבד שטרו</w:t>
      </w:r>
    </w:p>
    <w:p w:rsidR="00900B10" w:rsidRDefault="00900B10" w:rsidP="0007171D">
      <w:pPr>
        <w:pStyle w:val="aff4"/>
        <w:rPr>
          <w:rFonts w:eastAsiaTheme="minorEastAsia" w:cstheme="minorBidi"/>
          <w:i/>
          <w:iCs/>
          <w:noProof/>
          <w:sz w:val="22"/>
          <w:szCs w:val="22"/>
          <w:rtl/>
        </w:rPr>
      </w:pPr>
      <w:r>
        <w:rPr>
          <w:noProof/>
          <w:rtl/>
        </w:rPr>
        <w:t>דברי הרשב"א במחילה בתשמישים ובקרקעות להולכי אושא</w:t>
      </w:r>
    </w:p>
    <w:p w:rsidR="00900B10" w:rsidRDefault="00900B10" w:rsidP="007E4E81">
      <w:pPr>
        <w:pStyle w:val="a"/>
        <w:rPr>
          <w:rFonts w:eastAsiaTheme="minorEastAsia" w:cstheme="minorBidi"/>
          <w:sz w:val="22"/>
          <w:szCs w:val="22"/>
          <w:rtl/>
        </w:rPr>
      </w:pPr>
      <w:r>
        <w:rPr>
          <w:rtl/>
        </w:rPr>
        <w:t>קושית הרשב"א על תי' הגמ' דאמאי לא טענינן הא יצאה מהמר"ק ומדשתק מוכח דמחל לו</w:t>
      </w:r>
    </w:p>
    <w:p w:rsidR="00900B10" w:rsidRDefault="00900B10" w:rsidP="007E4E81">
      <w:pPr>
        <w:pStyle w:val="a"/>
        <w:rPr>
          <w:rFonts w:eastAsiaTheme="minorEastAsia" w:cstheme="minorBidi"/>
          <w:sz w:val="22"/>
          <w:szCs w:val="22"/>
          <w:rtl/>
        </w:rPr>
      </w:pPr>
      <w:r>
        <w:rPr>
          <w:rtl/>
        </w:rPr>
        <w:t>דברי הרשב"א דמהני מחילה בקרקע כשאינו מחסרו קרקע כמו בחזקת תשמישים לדעת הגאונים</w:t>
      </w:r>
    </w:p>
    <w:p w:rsidR="00900B10" w:rsidRDefault="00900B10" w:rsidP="007E4E81">
      <w:pPr>
        <w:pStyle w:val="a"/>
        <w:rPr>
          <w:rFonts w:eastAsiaTheme="minorEastAsia" w:cstheme="minorBidi"/>
          <w:sz w:val="22"/>
          <w:szCs w:val="22"/>
          <w:rtl/>
        </w:rPr>
      </w:pPr>
      <w:r>
        <w:rPr>
          <w:rtl/>
        </w:rPr>
        <w:t>דברי הרשב"א דברבא לרבנן מוכח דשתיקת המערער כמחילה בפירות וה"ה בג"ש להולכי אושא</w:t>
      </w:r>
    </w:p>
    <w:p w:rsidR="00900B10" w:rsidRDefault="00900B10" w:rsidP="0007171D">
      <w:pPr>
        <w:pStyle w:val="aff4"/>
        <w:rPr>
          <w:rFonts w:eastAsiaTheme="minorEastAsia" w:cstheme="minorBidi"/>
          <w:i/>
          <w:iCs/>
          <w:noProof/>
          <w:sz w:val="22"/>
          <w:szCs w:val="22"/>
          <w:rtl/>
        </w:rPr>
      </w:pPr>
      <w:r>
        <w:rPr>
          <w:noProof/>
          <w:rtl/>
        </w:rPr>
        <w:t>תירוץ הרשב"א דמחילה מהני בשיעבוד ולא בגוף הקרקע</w:t>
      </w:r>
    </w:p>
    <w:p w:rsidR="00900B10" w:rsidRDefault="00900B10" w:rsidP="007E4E81">
      <w:pPr>
        <w:pStyle w:val="a"/>
        <w:rPr>
          <w:rFonts w:eastAsiaTheme="minorEastAsia" w:cstheme="minorBidi"/>
          <w:sz w:val="22"/>
          <w:szCs w:val="22"/>
          <w:rtl/>
        </w:rPr>
      </w:pPr>
      <w:r>
        <w:rPr>
          <w:rtl/>
        </w:rPr>
        <w:t>דברי הרשב"א דגוף הקרקע צריכה קנין והמחילה להגאונים היינו בשיעבוד לתשמישים</w:t>
      </w:r>
    </w:p>
    <w:p w:rsidR="00900B10" w:rsidRDefault="00900B10" w:rsidP="007E4E81">
      <w:pPr>
        <w:pStyle w:val="a"/>
        <w:rPr>
          <w:rFonts w:eastAsiaTheme="minorEastAsia" w:cstheme="minorBidi"/>
          <w:sz w:val="22"/>
          <w:szCs w:val="22"/>
          <w:rtl/>
        </w:rPr>
      </w:pPr>
      <w:r>
        <w:rPr>
          <w:rtl/>
        </w:rPr>
        <w:t>ביאור הרשב"א בתירוץ הגמ' דהמחזיק אינו יכול לזכות כשאינו טוען טענת קנין</w:t>
      </w:r>
    </w:p>
    <w:p w:rsidR="00900B10" w:rsidRDefault="00900B10" w:rsidP="007E4E81">
      <w:pPr>
        <w:pStyle w:val="a"/>
        <w:rPr>
          <w:rFonts w:eastAsiaTheme="minorEastAsia" w:cstheme="minorBidi"/>
          <w:sz w:val="22"/>
          <w:szCs w:val="22"/>
          <w:rtl/>
        </w:rPr>
      </w:pPr>
      <w:r>
        <w:rPr>
          <w:rtl/>
        </w:rPr>
        <w:t>ביאור הרשב"א דלהרשב"ם מהני מחילה בקרקע במעשה אבל שתיקה אינה כלך חזק וקני</w:t>
      </w:r>
    </w:p>
    <w:p w:rsidR="00900B10" w:rsidRDefault="001B6519" w:rsidP="00900B10">
      <w:pPr>
        <w:pStyle w:val="2"/>
        <w:rPr>
          <w:rFonts w:eastAsiaTheme="minorEastAsia" w:cstheme="minorBidi"/>
          <w:i/>
          <w:iCs/>
          <w:sz w:val="22"/>
          <w:rtl/>
        </w:rPr>
      </w:pPr>
      <w:r>
        <w:rPr>
          <w:rtl/>
        </w:rPr>
        <w:t>~~~~~~~ ביאורי ראשי הישיבות ~~~~~~~</w:t>
      </w:r>
    </w:p>
    <w:p w:rsidR="00900B10" w:rsidRDefault="00900B10" w:rsidP="00900B10">
      <w:pPr>
        <w:pStyle w:val="2"/>
        <w:rPr>
          <w:rFonts w:eastAsiaTheme="minorEastAsia" w:cstheme="minorBidi"/>
          <w:i/>
          <w:iCs/>
          <w:sz w:val="22"/>
          <w:rtl/>
        </w:rPr>
      </w:pPr>
      <w:r>
        <w:rPr>
          <w:rtl/>
        </w:rPr>
        <w:t>חקירת האחרונים בגדר ג"פ בשור המועד</w:t>
      </w:r>
    </w:p>
    <w:p w:rsidR="00900B10" w:rsidRDefault="00900B10" w:rsidP="0007171D">
      <w:pPr>
        <w:pStyle w:val="aff4"/>
        <w:rPr>
          <w:rFonts w:eastAsiaTheme="minorEastAsia" w:cstheme="minorBidi"/>
          <w:i/>
          <w:iCs/>
          <w:noProof/>
          <w:sz w:val="22"/>
          <w:szCs w:val="22"/>
          <w:rtl/>
        </w:rPr>
      </w:pPr>
      <w:r>
        <w:rPr>
          <w:noProof/>
          <w:rtl/>
        </w:rPr>
        <w:t>חקירת האחרונים אי בג"פ משתנה טבעו או דמוכח שהוא נגחן</w:t>
      </w:r>
    </w:p>
    <w:p w:rsidR="00900B10" w:rsidRDefault="00900B10" w:rsidP="007E4E81">
      <w:pPr>
        <w:pStyle w:val="a"/>
        <w:rPr>
          <w:rFonts w:eastAsiaTheme="minorEastAsia" w:cstheme="minorBidi"/>
          <w:sz w:val="22"/>
          <w:szCs w:val="22"/>
        </w:rPr>
      </w:pPr>
      <w:r>
        <w:rPr>
          <w:rtl/>
        </w:rPr>
        <w:t>חקירת הגרש"ש והקה"י אי שור משנה את טבעו לנגחן בג' נגיחות או דהוא ראיה זה טבעו</w:t>
      </w:r>
    </w:p>
    <w:p w:rsidR="003B20DB" w:rsidRDefault="003B20DB" w:rsidP="007E4E81">
      <w:pPr>
        <w:pStyle w:val="a"/>
        <w:numPr>
          <w:ilvl w:val="0"/>
          <w:numId w:val="0"/>
        </w:numPr>
        <w:rPr>
          <w:rtl/>
        </w:rPr>
      </w:pPr>
    </w:p>
    <w:p w:rsidR="00900B10" w:rsidRDefault="00900B10" w:rsidP="0007171D">
      <w:pPr>
        <w:pStyle w:val="aff4"/>
        <w:rPr>
          <w:rFonts w:eastAsiaTheme="minorEastAsia" w:cstheme="minorBidi"/>
          <w:i/>
          <w:iCs/>
          <w:noProof/>
          <w:sz w:val="22"/>
          <w:szCs w:val="22"/>
          <w:rtl/>
        </w:rPr>
      </w:pPr>
      <w:r>
        <w:rPr>
          <w:noProof/>
          <w:rtl/>
        </w:rPr>
        <w:lastRenderedPageBreak/>
        <w:t>פלוגתת המהר"ם מרוטנבורג והר"פ בגדר העדאת שור המועד</w:t>
      </w:r>
    </w:p>
    <w:p w:rsidR="00900B10" w:rsidRDefault="00900B10" w:rsidP="007E4E81">
      <w:pPr>
        <w:pStyle w:val="a"/>
        <w:rPr>
          <w:rFonts w:eastAsiaTheme="minorEastAsia" w:cstheme="minorBidi"/>
          <w:sz w:val="22"/>
          <w:szCs w:val="22"/>
          <w:rtl/>
        </w:rPr>
      </w:pPr>
      <w:r>
        <w:rPr>
          <w:rtl/>
        </w:rPr>
        <w:t>דעת המהר"ם מרוטנבורג דאמירת משיב הרוח צ' פעמים ברציפות הוא כחזקה בעברו ל' יום</w:t>
      </w:r>
    </w:p>
    <w:p w:rsidR="00900B10" w:rsidRDefault="00900B10" w:rsidP="007E4E81">
      <w:pPr>
        <w:pStyle w:val="a"/>
        <w:rPr>
          <w:rFonts w:eastAsiaTheme="minorEastAsia" w:cstheme="minorBidi"/>
          <w:sz w:val="22"/>
          <w:szCs w:val="22"/>
          <w:rtl/>
        </w:rPr>
      </w:pPr>
      <w:r>
        <w:rPr>
          <w:rtl/>
        </w:rPr>
        <w:t>דעל רבינו פרץ דרק שור מוחזק בקירב נגיחותיו אבל אמירת משיב הרוח תלויה בהרגל לשונו</w:t>
      </w:r>
    </w:p>
    <w:p w:rsidR="00900B10" w:rsidRDefault="00900B10" w:rsidP="007E4E81">
      <w:pPr>
        <w:pStyle w:val="a"/>
        <w:rPr>
          <w:rFonts w:eastAsiaTheme="minorEastAsia" w:cstheme="minorBidi"/>
          <w:sz w:val="22"/>
          <w:szCs w:val="22"/>
          <w:rtl/>
        </w:rPr>
      </w:pPr>
      <w:r>
        <w:rPr>
          <w:rtl/>
        </w:rPr>
        <w:t>ביאור הגרש"ש והקה"י בר"פ דבג' נגיחות מוכח שטבעו לנגוח ול"ד למשיב הרוח דהוא הרגל</w:t>
      </w:r>
    </w:p>
    <w:p w:rsidR="00900B10" w:rsidRDefault="00900B10" w:rsidP="007E4E81">
      <w:pPr>
        <w:pStyle w:val="a"/>
        <w:rPr>
          <w:rFonts w:eastAsiaTheme="minorEastAsia" w:cstheme="minorBidi"/>
          <w:sz w:val="22"/>
          <w:szCs w:val="22"/>
          <w:rtl/>
        </w:rPr>
      </w:pPr>
      <w:r>
        <w:rPr>
          <w:rtl/>
        </w:rPr>
        <w:t>ביאור הגרש"ש והקה"י במהר"ם מרוטנבורג דבג' נגיחות מתרגל לנגוח כאמירת משיב הרוח</w:t>
      </w:r>
    </w:p>
    <w:p w:rsidR="00900B10" w:rsidRDefault="00900B10" w:rsidP="00900B10">
      <w:pPr>
        <w:pStyle w:val="2"/>
        <w:rPr>
          <w:rFonts w:eastAsiaTheme="minorEastAsia" w:cstheme="minorBidi"/>
          <w:i/>
          <w:iCs/>
          <w:sz w:val="22"/>
          <w:rtl/>
        </w:rPr>
      </w:pPr>
      <w:r>
        <w:rPr>
          <w:rtl/>
        </w:rPr>
        <w:t>בילפותא משור המועד לחזקה לתוס'</w:t>
      </w:r>
    </w:p>
    <w:p w:rsidR="00900B10" w:rsidRDefault="00900B10" w:rsidP="0007171D">
      <w:pPr>
        <w:pStyle w:val="aff4"/>
        <w:rPr>
          <w:rFonts w:eastAsiaTheme="minorEastAsia" w:cstheme="minorBidi"/>
          <w:i/>
          <w:iCs/>
          <w:noProof/>
          <w:sz w:val="22"/>
          <w:szCs w:val="22"/>
          <w:rtl/>
        </w:rPr>
      </w:pPr>
      <w:r>
        <w:rPr>
          <w:noProof/>
          <w:rtl/>
        </w:rPr>
        <w:t>ביאור הקה"י והגרש"ר בתוס' דבג"פ מוכח דהמערער מכר לו</w:t>
      </w:r>
    </w:p>
    <w:p w:rsidR="00900B10" w:rsidRDefault="00900B10" w:rsidP="007E4E81">
      <w:pPr>
        <w:pStyle w:val="a"/>
        <w:rPr>
          <w:rFonts w:eastAsiaTheme="minorEastAsia" w:cstheme="minorBidi"/>
          <w:sz w:val="22"/>
          <w:szCs w:val="22"/>
          <w:rtl/>
        </w:rPr>
      </w:pPr>
      <w:r>
        <w:rPr>
          <w:rtl/>
        </w:rPr>
        <w:t>ביאור הקה"י בתוס' דא"א לומר דבג"פ מתרגל המערער לשתוק דא"כ אין המחזיק זוכה בקרקע</w:t>
      </w:r>
    </w:p>
    <w:p w:rsidR="00900B10" w:rsidRDefault="00900B10" w:rsidP="007E4E81">
      <w:pPr>
        <w:pStyle w:val="a"/>
        <w:rPr>
          <w:rFonts w:eastAsiaTheme="minorEastAsia" w:cstheme="minorBidi"/>
          <w:sz w:val="22"/>
          <w:szCs w:val="22"/>
          <w:rtl/>
        </w:rPr>
      </w:pPr>
      <w:r>
        <w:rPr>
          <w:rtl/>
        </w:rPr>
        <w:t>ביאור הקה"י דבשתיקת ג"ש יש ראיה דמכר למחזיק כמו בשור דיש ראיה דדרכו לנגוח</w:t>
      </w:r>
    </w:p>
    <w:p w:rsidR="00900B10" w:rsidRDefault="00900B10" w:rsidP="007E4E81">
      <w:pPr>
        <w:pStyle w:val="a"/>
        <w:rPr>
          <w:rFonts w:eastAsiaTheme="minorEastAsia" w:cstheme="minorBidi"/>
          <w:sz w:val="22"/>
          <w:szCs w:val="22"/>
          <w:rtl/>
        </w:rPr>
      </w:pPr>
      <w:r>
        <w:rPr>
          <w:rtl/>
        </w:rPr>
        <w:t>ביאור הגרש"ר בתוס' דבג"פ אי"ז מקרה ומוכח דהמערער מכר למחזיק וכן השור הוא נגחן</w:t>
      </w:r>
    </w:p>
    <w:p w:rsidR="00900B10" w:rsidRDefault="00900B10" w:rsidP="0007171D">
      <w:pPr>
        <w:pStyle w:val="aff4"/>
        <w:rPr>
          <w:rFonts w:eastAsiaTheme="minorEastAsia" w:cstheme="minorBidi"/>
          <w:i/>
          <w:iCs/>
          <w:noProof/>
          <w:sz w:val="22"/>
          <w:szCs w:val="22"/>
          <w:rtl/>
        </w:rPr>
      </w:pPr>
      <w:r>
        <w:rPr>
          <w:noProof/>
          <w:rtl/>
        </w:rPr>
        <w:t>ביאור הגרנ"פ דבשור ג"פ אינם מקרה וכן שתיקת המערער</w:t>
      </w:r>
    </w:p>
    <w:p w:rsidR="00900B10" w:rsidRDefault="00900B10" w:rsidP="007E4E81">
      <w:pPr>
        <w:pStyle w:val="a"/>
        <w:rPr>
          <w:rFonts w:eastAsiaTheme="minorEastAsia" w:cstheme="minorBidi"/>
          <w:sz w:val="22"/>
          <w:szCs w:val="22"/>
          <w:rtl/>
        </w:rPr>
      </w:pPr>
      <w:r>
        <w:rPr>
          <w:rtl/>
        </w:rPr>
        <w:t>דברי הגרנ"פ דמוכח בגמ' בב"ק דבג' נגיחות משתנה טבע השור והוא מתרגל לנגוח</w:t>
      </w:r>
    </w:p>
    <w:p w:rsidR="00900B10" w:rsidRDefault="00900B10" w:rsidP="007E4E81">
      <w:pPr>
        <w:pStyle w:val="a"/>
        <w:rPr>
          <w:rFonts w:eastAsiaTheme="minorEastAsia" w:cstheme="minorBidi"/>
          <w:sz w:val="22"/>
          <w:szCs w:val="22"/>
          <w:rtl/>
        </w:rPr>
      </w:pPr>
      <w:r>
        <w:rPr>
          <w:rtl/>
        </w:rPr>
        <w:t>ביאור הגרנ"פ דאף שמשתנה טבעו בג' נגיחות מ"מ מוכח דג"פ אינם מקרה וה"ה בחזקת ג"ש</w:t>
      </w:r>
    </w:p>
    <w:p w:rsidR="00900B10" w:rsidRDefault="00900B10" w:rsidP="0007171D">
      <w:pPr>
        <w:pStyle w:val="aff4"/>
        <w:rPr>
          <w:rFonts w:eastAsiaTheme="minorEastAsia" w:cstheme="minorBidi"/>
          <w:i/>
          <w:iCs/>
          <w:noProof/>
          <w:sz w:val="22"/>
          <w:szCs w:val="22"/>
          <w:rtl/>
        </w:rPr>
      </w:pPr>
      <w:r>
        <w:rPr>
          <w:noProof/>
          <w:rtl/>
        </w:rPr>
        <w:t>ביאור הגרנ"פ בתוס' דילפינן שהוחזק שתקן ויש למחזיק ראיה</w:t>
      </w:r>
    </w:p>
    <w:p w:rsidR="00900B10" w:rsidRDefault="00900B10" w:rsidP="007E4E81">
      <w:pPr>
        <w:pStyle w:val="a"/>
        <w:rPr>
          <w:rFonts w:eastAsiaTheme="minorEastAsia" w:cstheme="minorBidi"/>
          <w:sz w:val="22"/>
          <w:szCs w:val="22"/>
          <w:rtl/>
        </w:rPr>
      </w:pPr>
      <w:r>
        <w:rPr>
          <w:rtl/>
        </w:rPr>
        <w:t>ביאור הגרנ"פ בתוס' דילפינן דהחוזק שתקן וממילא יש הוכחה שמכר את הקרקע למחזיק</w:t>
      </w:r>
    </w:p>
    <w:p w:rsidR="00900B10" w:rsidRDefault="00900B10" w:rsidP="00900B10">
      <w:pPr>
        <w:pStyle w:val="2"/>
        <w:rPr>
          <w:rFonts w:eastAsiaTheme="minorEastAsia" w:cstheme="minorBidi"/>
          <w:i/>
          <w:iCs/>
          <w:sz w:val="22"/>
          <w:rtl/>
        </w:rPr>
      </w:pPr>
      <w:r>
        <w:rPr>
          <w:rtl/>
        </w:rPr>
        <w:t>בילפותא משור המועד לחזקה לרמב"ן</w:t>
      </w:r>
    </w:p>
    <w:p w:rsidR="00900B10" w:rsidRDefault="00900B10" w:rsidP="0007171D">
      <w:pPr>
        <w:pStyle w:val="aff4"/>
        <w:rPr>
          <w:rFonts w:eastAsiaTheme="minorEastAsia" w:cstheme="minorBidi"/>
          <w:i/>
          <w:iCs/>
          <w:noProof/>
          <w:sz w:val="22"/>
          <w:szCs w:val="22"/>
          <w:rtl/>
        </w:rPr>
      </w:pPr>
      <w:r>
        <w:rPr>
          <w:noProof/>
          <w:rtl/>
        </w:rPr>
        <w:t>ביאור הגר"ח דמועד הוא גזיה"כ ואין חזקתו מסברא דהוא נגחן</w:t>
      </w:r>
    </w:p>
    <w:p w:rsidR="00900B10" w:rsidRDefault="00900B10" w:rsidP="007E4E81">
      <w:pPr>
        <w:pStyle w:val="a"/>
        <w:rPr>
          <w:rFonts w:eastAsiaTheme="minorEastAsia" w:cstheme="minorBidi"/>
          <w:sz w:val="22"/>
          <w:szCs w:val="22"/>
          <w:rtl/>
        </w:rPr>
      </w:pPr>
      <w:r>
        <w:rPr>
          <w:rtl/>
        </w:rPr>
        <w:t>קושית הגרב"ב דהיאך ילפינן מחזקת השור שיחזור וינגח דהמערער לא ימחה במחזיק</w:t>
      </w:r>
    </w:p>
    <w:p w:rsidR="00900B10" w:rsidRDefault="00900B10" w:rsidP="007E4E81">
      <w:pPr>
        <w:pStyle w:val="a"/>
        <w:rPr>
          <w:rFonts w:eastAsiaTheme="minorEastAsia" w:cstheme="minorBidi"/>
          <w:sz w:val="22"/>
          <w:szCs w:val="22"/>
          <w:rtl/>
        </w:rPr>
      </w:pPr>
      <w:r>
        <w:rPr>
          <w:rtl/>
        </w:rPr>
        <w:t>ביאור הגר"ח דמועד אינו סברא דמורגל לנגוח וזה דרכו אלא הוא גזיה"כ דבג' נגיחות הוא מועד</w:t>
      </w:r>
    </w:p>
    <w:p w:rsidR="00900B10" w:rsidRDefault="00900B10" w:rsidP="0007171D">
      <w:pPr>
        <w:pStyle w:val="aff4"/>
        <w:rPr>
          <w:rFonts w:eastAsiaTheme="minorEastAsia" w:cstheme="minorBidi"/>
          <w:i/>
          <w:iCs/>
          <w:noProof/>
          <w:sz w:val="22"/>
          <w:szCs w:val="22"/>
          <w:rtl/>
        </w:rPr>
      </w:pPr>
      <w:r>
        <w:rPr>
          <w:noProof/>
          <w:rtl/>
        </w:rPr>
        <w:t>ביאור הגר"ח דשור יצא מחזקתו וה"ה בג"ש שיצאה מהמר"ק</w:t>
      </w:r>
    </w:p>
    <w:p w:rsidR="00900B10" w:rsidRDefault="00900B10" w:rsidP="007E4E81">
      <w:pPr>
        <w:pStyle w:val="a"/>
        <w:rPr>
          <w:rFonts w:eastAsiaTheme="minorEastAsia" w:cstheme="minorBidi"/>
          <w:sz w:val="22"/>
          <w:szCs w:val="22"/>
          <w:rtl/>
        </w:rPr>
      </w:pPr>
      <w:r>
        <w:rPr>
          <w:rtl/>
        </w:rPr>
        <w:t>ביאור הגר"ח דבג"פ בשור יצא מחזקת תם למועד ובג"ש יצאה מהמר"ק אך אי"ז ראיה כלל</w:t>
      </w:r>
    </w:p>
    <w:p w:rsidR="00900B10" w:rsidRDefault="00900B10" w:rsidP="007E4E81">
      <w:pPr>
        <w:pStyle w:val="a"/>
        <w:rPr>
          <w:rFonts w:eastAsiaTheme="minorEastAsia" w:cstheme="minorBidi"/>
          <w:sz w:val="22"/>
          <w:szCs w:val="22"/>
          <w:rtl/>
        </w:rPr>
      </w:pPr>
      <w:r>
        <w:rPr>
          <w:rtl/>
        </w:rPr>
        <w:t>דברי הגר"ח דבחזקת ג"ש הורעה חזקת המר"ק ופקעה לגמרי והקרקע עומדת בחזקת המחזיק</w:t>
      </w:r>
    </w:p>
    <w:p w:rsidR="00900B10" w:rsidRDefault="00900B10" w:rsidP="007E4E81">
      <w:pPr>
        <w:pStyle w:val="a"/>
        <w:rPr>
          <w:rFonts w:eastAsiaTheme="minorEastAsia" w:cstheme="minorBidi"/>
          <w:sz w:val="22"/>
          <w:szCs w:val="22"/>
          <w:rtl/>
        </w:rPr>
      </w:pPr>
      <w:r>
        <w:rPr>
          <w:rtl/>
        </w:rPr>
        <w:t>דברי הגר"ח דלרבנן בחזקת ג"ש אינה יוצאת מהמר"ק והיא רק ראיה דמערער מכר למחזיק</w:t>
      </w:r>
    </w:p>
    <w:p w:rsidR="00900B10" w:rsidRDefault="00900B10" w:rsidP="00900B10">
      <w:pPr>
        <w:pStyle w:val="2"/>
        <w:rPr>
          <w:rFonts w:eastAsiaTheme="minorEastAsia" w:cstheme="minorBidi"/>
          <w:i/>
          <w:iCs/>
          <w:sz w:val="22"/>
          <w:rtl/>
        </w:rPr>
      </w:pPr>
      <w:r>
        <w:rPr>
          <w:rtl/>
        </w:rPr>
        <w:t>בגדר חזקת ג"ש להולכי אושא ולרבנן</w:t>
      </w:r>
    </w:p>
    <w:p w:rsidR="00900B10" w:rsidRDefault="00900B10" w:rsidP="0007171D">
      <w:pPr>
        <w:pStyle w:val="aff4"/>
        <w:rPr>
          <w:rFonts w:eastAsiaTheme="minorEastAsia" w:cstheme="minorBidi"/>
          <w:i/>
          <w:iCs/>
          <w:noProof/>
          <w:sz w:val="22"/>
          <w:szCs w:val="22"/>
          <w:rtl/>
        </w:rPr>
      </w:pPr>
      <w:r>
        <w:rPr>
          <w:noProof/>
          <w:rtl/>
        </w:rPr>
        <w:t>ביאור הברכ"ש בחילוק בגדר החזקה להולכי אושא ולרבנן</w:t>
      </w:r>
    </w:p>
    <w:p w:rsidR="00900B10" w:rsidRDefault="00900B10" w:rsidP="007E4E81">
      <w:pPr>
        <w:pStyle w:val="a"/>
        <w:rPr>
          <w:rFonts w:eastAsiaTheme="minorEastAsia" w:cstheme="minorBidi"/>
          <w:sz w:val="22"/>
          <w:szCs w:val="22"/>
          <w:rtl/>
        </w:rPr>
      </w:pPr>
      <w:r>
        <w:rPr>
          <w:rtl/>
        </w:rPr>
        <w:t>ביאור הברכ"ש דלרבנן המחזיק זוכה בקרקע רק בטענה ולא קשה דתועיל חזקה בלא טענה אינה</w:t>
      </w:r>
    </w:p>
    <w:p w:rsidR="00900B10" w:rsidRDefault="00900B10" w:rsidP="007E4E81">
      <w:pPr>
        <w:pStyle w:val="a"/>
        <w:rPr>
          <w:rFonts w:eastAsiaTheme="minorEastAsia" w:cstheme="minorBidi"/>
          <w:sz w:val="22"/>
          <w:szCs w:val="22"/>
          <w:rtl/>
        </w:rPr>
      </w:pPr>
      <w:r>
        <w:rPr>
          <w:rtl/>
        </w:rPr>
        <w:t>ביאור הברכ"ש דלהולכי אושא המחזיק זוכה כמו בחזקת הגוף דמוציאה ממון או שהיא בירור</w:t>
      </w:r>
    </w:p>
    <w:p w:rsidR="00900B10" w:rsidRDefault="00900B10" w:rsidP="007E4E81">
      <w:pPr>
        <w:pStyle w:val="a"/>
        <w:rPr>
          <w:rFonts w:eastAsiaTheme="minorEastAsia" w:cstheme="minorBidi"/>
          <w:sz w:val="22"/>
          <w:szCs w:val="22"/>
          <w:rtl/>
        </w:rPr>
      </w:pPr>
      <w:r>
        <w:rPr>
          <w:rtl/>
        </w:rPr>
        <w:t>ביאור הברכ"ש דלהולכי אושא החזקה היא גוף הטענה ולכן להו"א א"צ טענה וטענינן ליה</w:t>
      </w:r>
    </w:p>
    <w:p w:rsidR="00900B10" w:rsidRDefault="00900B10" w:rsidP="007E4E81">
      <w:pPr>
        <w:pStyle w:val="a"/>
        <w:rPr>
          <w:rFonts w:eastAsiaTheme="minorEastAsia" w:cstheme="minorBidi"/>
          <w:sz w:val="22"/>
          <w:szCs w:val="22"/>
          <w:rtl/>
        </w:rPr>
      </w:pPr>
      <w:r>
        <w:rPr>
          <w:rtl/>
        </w:rPr>
        <w:t>דברי הברכ"ש דבספק בחזקה להולכי אושא המחזיק מוחזק דאין ריעותא בחזקתו ולרבנן לא</w:t>
      </w:r>
    </w:p>
    <w:p w:rsidR="00900B10" w:rsidRDefault="00900B10" w:rsidP="00900B10">
      <w:pPr>
        <w:pStyle w:val="2"/>
        <w:rPr>
          <w:rFonts w:eastAsiaTheme="minorEastAsia" w:cstheme="minorBidi"/>
          <w:i/>
          <w:iCs/>
          <w:sz w:val="22"/>
          <w:rtl/>
        </w:rPr>
      </w:pPr>
      <w:r>
        <w:rPr>
          <w:rtl/>
        </w:rPr>
        <w:t>בד' הרמב"ן ורש"י דיצאה מחזקת המר"ק</w:t>
      </w:r>
    </w:p>
    <w:p w:rsidR="00900B10" w:rsidRDefault="00900B10" w:rsidP="0007171D">
      <w:pPr>
        <w:pStyle w:val="aff4"/>
        <w:rPr>
          <w:rFonts w:eastAsiaTheme="minorEastAsia" w:cstheme="minorBidi"/>
          <w:i/>
          <w:iCs/>
          <w:noProof/>
          <w:sz w:val="22"/>
          <w:szCs w:val="22"/>
          <w:rtl/>
        </w:rPr>
      </w:pPr>
      <w:r>
        <w:rPr>
          <w:noProof/>
          <w:rtl/>
        </w:rPr>
        <w:t>דברי הגר"ח דלהולכי אושא המחזיק עושה את החזקה</w:t>
      </w:r>
    </w:p>
    <w:p w:rsidR="00900B10" w:rsidRDefault="00900B10" w:rsidP="007E4E81">
      <w:pPr>
        <w:pStyle w:val="a"/>
        <w:rPr>
          <w:rFonts w:eastAsiaTheme="minorEastAsia" w:cstheme="minorBidi"/>
          <w:sz w:val="22"/>
          <w:szCs w:val="22"/>
          <w:rtl/>
        </w:rPr>
      </w:pPr>
      <w:r>
        <w:rPr>
          <w:rtl/>
        </w:rPr>
        <w:t>ביאור הגר"ח ברמב"ן דבג"ש הקרקע בחזקתו ונאמן בכל טענותיו והמחזיק הוא עושה את החזקה</w:t>
      </w:r>
    </w:p>
    <w:p w:rsidR="00900B10" w:rsidRDefault="00900B10" w:rsidP="007E4E81">
      <w:pPr>
        <w:pStyle w:val="a"/>
        <w:rPr>
          <w:rFonts w:eastAsiaTheme="minorEastAsia" w:cstheme="minorBidi"/>
          <w:sz w:val="22"/>
          <w:szCs w:val="22"/>
          <w:rtl/>
        </w:rPr>
      </w:pPr>
      <w:r>
        <w:rPr>
          <w:rtl/>
        </w:rPr>
        <w:t>דברי הגר"ח דלרבנן החזקה היא מחמת שלא מחה המערער ואין המחזיק עושה את החזקה</w:t>
      </w:r>
    </w:p>
    <w:p w:rsidR="00900B10" w:rsidRDefault="00900B10" w:rsidP="007E4E81">
      <w:pPr>
        <w:pStyle w:val="a"/>
        <w:rPr>
          <w:rFonts w:eastAsiaTheme="minorEastAsia" w:cstheme="minorBidi"/>
          <w:sz w:val="22"/>
          <w:szCs w:val="22"/>
          <w:rtl/>
        </w:rPr>
      </w:pPr>
      <w:r>
        <w:rPr>
          <w:rtl/>
        </w:rPr>
        <w:t>ביאור הדברי מרדכי ברמב"ן דהילפותא אינה רק בדין המחזיק אלא אף במר"ק דיצאה ממנו</w:t>
      </w:r>
    </w:p>
    <w:p w:rsidR="00900B10" w:rsidRDefault="00900B10" w:rsidP="0007171D">
      <w:pPr>
        <w:pStyle w:val="aff4"/>
        <w:rPr>
          <w:rFonts w:eastAsiaTheme="minorEastAsia" w:cstheme="minorBidi"/>
          <w:i/>
          <w:iCs/>
          <w:noProof/>
          <w:sz w:val="22"/>
          <w:szCs w:val="22"/>
          <w:rtl/>
        </w:rPr>
      </w:pPr>
      <w:r>
        <w:rPr>
          <w:noProof/>
          <w:rtl/>
        </w:rPr>
        <w:t>ביאור הגרנ"פ ברמב"ן דהאכילה עצמה היא עושה את החזקה</w:t>
      </w:r>
    </w:p>
    <w:p w:rsidR="00900B10" w:rsidRDefault="00900B10" w:rsidP="007E4E81">
      <w:pPr>
        <w:pStyle w:val="a"/>
        <w:rPr>
          <w:rFonts w:eastAsiaTheme="minorEastAsia" w:cstheme="minorBidi"/>
          <w:sz w:val="22"/>
          <w:szCs w:val="22"/>
          <w:rtl/>
        </w:rPr>
      </w:pPr>
      <w:r>
        <w:rPr>
          <w:rtl/>
        </w:rPr>
        <w:t>ביאור הגרנ"פ בריטב"א דבקושית הגמ' מנין לחזקת ג"ש כלול דג"ש מהני וגם דלא סגי בפחות</w:t>
      </w:r>
    </w:p>
    <w:p w:rsidR="00900B10" w:rsidRDefault="00900B10" w:rsidP="007E4E81">
      <w:pPr>
        <w:pStyle w:val="a"/>
        <w:rPr>
          <w:rFonts w:eastAsiaTheme="minorEastAsia" w:cstheme="minorBidi"/>
          <w:sz w:val="22"/>
          <w:szCs w:val="22"/>
          <w:rtl/>
        </w:rPr>
      </w:pPr>
      <w:r>
        <w:rPr>
          <w:rtl/>
        </w:rPr>
        <w:t>ביאור הגרנ"פ בר"ן וברמב"ן דעצם האכילה גורמת לחזקה דהיא ראיה ועי"ז נעשה למוחזק</w:t>
      </w:r>
    </w:p>
    <w:p w:rsidR="00900B10" w:rsidRDefault="00900B10" w:rsidP="0007171D">
      <w:pPr>
        <w:pStyle w:val="aff4"/>
        <w:rPr>
          <w:rFonts w:eastAsiaTheme="minorEastAsia" w:cstheme="minorBidi"/>
          <w:i/>
          <w:iCs/>
          <w:noProof/>
          <w:sz w:val="22"/>
          <w:szCs w:val="22"/>
          <w:rtl/>
        </w:rPr>
      </w:pPr>
      <w:r>
        <w:rPr>
          <w:noProof/>
          <w:rtl/>
        </w:rPr>
        <w:t>ביאור הגרנ"פ ברש"י דלר"י בג"ש יוצא מהמר"ק ומהני הראיה</w:t>
      </w:r>
    </w:p>
    <w:p w:rsidR="00900B10" w:rsidRDefault="00900B10" w:rsidP="007E4E81">
      <w:pPr>
        <w:pStyle w:val="a"/>
        <w:rPr>
          <w:rFonts w:eastAsiaTheme="minorEastAsia" w:cstheme="minorBidi"/>
          <w:sz w:val="22"/>
          <w:szCs w:val="22"/>
          <w:rtl/>
        </w:rPr>
      </w:pPr>
      <w:r>
        <w:rPr>
          <w:rtl/>
        </w:rPr>
        <w:t>קושית הגרנ"פ דמשמע ברש"י דעל אכילת שנה אחת צריך למחות והא החזקה היא רק בג"ש</w:t>
      </w:r>
    </w:p>
    <w:p w:rsidR="00900B10" w:rsidRDefault="00900B10" w:rsidP="007E4E81">
      <w:pPr>
        <w:pStyle w:val="a"/>
        <w:rPr>
          <w:rFonts w:eastAsiaTheme="minorEastAsia" w:cstheme="minorBidi"/>
          <w:sz w:val="22"/>
          <w:szCs w:val="22"/>
          <w:rtl/>
        </w:rPr>
      </w:pPr>
      <w:r>
        <w:rPr>
          <w:rtl/>
        </w:rPr>
        <w:t>ביאור הגרנ"פ ברש"י דהראיה היא בשנה אחת וצריך ג"ש כשור המועד להוציא מחזקת מר"ק</w:t>
      </w:r>
    </w:p>
    <w:p w:rsidR="00900B10" w:rsidRDefault="00900B10" w:rsidP="007E4E81">
      <w:pPr>
        <w:pStyle w:val="a"/>
        <w:rPr>
          <w:rFonts w:eastAsiaTheme="minorEastAsia" w:cstheme="minorBidi"/>
          <w:sz w:val="22"/>
          <w:szCs w:val="22"/>
          <w:rtl/>
        </w:rPr>
      </w:pPr>
      <w:r>
        <w:rPr>
          <w:rtl/>
        </w:rPr>
        <w:t>ביאור הגרנ"פ דכיון דבחזקת בעליה עומדת רק לאחר ג"ש שיצאה מחזקת מר"ק מהני הראיה</w:t>
      </w:r>
    </w:p>
    <w:p w:rsidR="00900B10" w:rsidRDefault="00900B10" w:rsidP="0007171D">
      <w:pPr>
        <w:pStyle w:val="aff4"/>
        <w:rPr>
          <w:rFonts w:eastAsiaTheme="minorEastAsia" w:cstheme="minorBidi"/>
          <w:i/>
          <w:iCs/>
          <w:noProof/>
          <w:sz w:val="22"/>
          <w:szCs w:val="22"/>
          <w:rtl/>
        </w:rPr>
      </w:pPr>
      <w:r>
        <w:rPr>
          <w:noProof/>
          <w:rtl/>
        </w:rPr>
        <w:t>ביאור הגרנ"פ דלהו"א ילפינן דיצאה מהמר"ק וא"צ טענה</w:t>
      </w:r>
    </w:p>
    <w:p w:rsidR="00900B10" w:rsidRDefault="00900B10" w:rsidP="007E4E81">
      <w:pPr>
        <w:pStyle w:val="a"/>
        <w:rPr>
          <w:rFonts w:eastAsiaTheme="minorEastAsia" w:cstheme="minorBidi"/>
          <w:sz w:val="22"/>
          <w:szCs w:val="22"/>
          <w:rtl/>
        </w:rPr>
      </w:pPr>
      <w:r>
        <w:rPr>
          <w:rtl/>
        </w:rPr>
        <w:t>קושית הגרנ"פ דמה השייכות בין הילפותא משור המועד להא דחזקה</w:t>
      </w:r>
      <w:r w:rsidR="00A77F33">
        <w:rPr>
          <w:rtl/>
        </w:rPr>
        <w:t xml:space="preserve"> </w:t>
      </w:r>
      <w:r>
        <w:rPr>
          <w:rtl/>
        </w:rPr>
        <w:t>לא תצטרך טענה</w:t>
      </w:r>
    </w:p>
    <w:p w:rsidR="00900B10" w:rsidRDefault="00900B10" w:rsidP="007E4E81">
      <w:pPr>
        <w:pStyle w:val="a"/>
        <w:rPr>
          <w:rFonts w:eastAsiaTheme="minorEastAsia" w:cstheme="minorBidi"/>
          <w:sz w:val="22"/>
          <w:szCs w:val="22"/>
          <w:rtl/>
        </w:rPr>
      </w:pPr>
      <w:r>
        <w:rPr>
          <w:rtl/>
        </w:rPr>
        <w:t>ביאור הגרנ"פ ברש"י דחזקה צריכה טענה להוציא מהמר"ק וכשאין מר"ק והוא מוחזק א"צ טענה</w:t>
      </w:r>
    </w:p>
    <w:p w:rsidR="00900B10" w:rsidRDefault="00900B10" w:rsidP="007E4E81">
      <w:pPr>
        <w:pStyle w:val="a"/>
        <w:rPr>
          <w:rFonts w:eastAsiaTheme="minorEastAsia" w:cstheme="minorBidi"/>
          <w:sz w:val="22"/>
          <w:szCs w:val="22"/>
          <w:rtl/>
        </w:rPr>
      </w:pPr>
      <w:r>
        <w:rPr>
          <w:rtl/>
        </w:rPr>
        <w:t>ביאור הגרנ"פ ברש"י דלהולכי אושא יצאה מרשות המוכר וכיון שאין מר"ק הו"א דא"צ טענה</w:t>
      </w:r>
    </w:p>
    <w:p w:rsidR="00900B10" w:rsidRDefault="00900B10" w:rsidP="0007171D">
      <w:pPr>
        <w:pStyle w:val="aff4"/>
        <w:rPr>
          <w:rFonts w:eastAsiaTheme="minorEastAsia" w:cstheme="minorBidi"/>
          <w:i/>
          <w:iCs/>
          <w:noProof/>
          <w:sz w:val="22"/>
          <w:szCs w:val="22"/>
          <w:rtl/>
        </w:rPr>
      </w:pPr>
      <w:r>
        <w:rPr>
          <w:noProof/>
          <w:rtl/>
        </w:rPr>
        <w:t>ביאור הגרנ"פ דלמסקנא בלא טענה אין חזקה ונשאר מר"ק</w:t>
      </w:r>
    </w:p>
    <w:p w:rsidR="00900B10" w:rsidRDefault="00900B10" w:rsidP="007E4E81">
      <w:pPr>
        <w:pStyle w:val="a"/>
        <w:rPr>
          <w:rFonts w:eastAsiaTheme="minorEastAsia" w:cstheme="minorBidi"/>
          <w:sz w:val="22"/>
          <w:szCs w:val="22"/>
          <w:rtl/>
        </w:rPr>
      </w:pPr>
      <w:r>
        <w:rPr>
          <w:rtl/>
        </w:rPr>
        <w:t>ביאור הגרנ"פ דאף למסקנא כשאין מר"ק א"צ טענה אלא דבלא טענה אין ראיה ואין חזקה כלל</w:t>
      </w:r>
    </w:p>
    <w:p w:rsidR="00900B10" w:rsidRDefault="00900B10" w:rsidP="00900B10">
      <w:pPr>
        <w:pStyle w:val="2"/>
        <w:rPr>
          <w:rFonts w:eastAsiaTheme="minorEastAsia" w:cstheme="minorBidi"/>
          <w:i/>
          <w:iCs/>
          <w:sz w:val="22"/>
          <w:rtl/>
        </w:rPr>
      </w:pPr>
      <w:r>
        <w:rPr>
          <w:rtl/>
        </w:rPr>
        <w:t>בדין מחילה בקרקע כששתק המערער</w:t>
      </w:r>
    </w:p>
    <w:p w:rsidR="00900B10" w:rsidRDefault="00900B10" w:rsidP="0007171D">
      <w:pPr>
        <w:pStyle w:val="aff4"/>
        <w:rPr>
          <w:rFonts w:eastAsiaTheme="minorEastAsia" w:cstheme="minorBidi"/>
          <w:i/>
          <w:iCs/>
          <w:noProof/>
          <w:sz w:val="22"/>
          <w:szCs w:val="22"/>
          <w:rtl/>
        </w:rPr>
      </w:pPr>
      <w:r>
        <w:rPr>
          <w:noProof/>
          <w:rtl/>
        </w:rPr>
        <w:t>ביאור הברכ"ש בקושית הרשב"א ממחילה בחזקת תשמישים</w:t>
      </w:r>
    </w:p>
    <w:p w:rsidR="00900B10" w:rsidRDefault="00900B10" w:rsidP="007E4E81">
      <w:pPr>
        <w:pStyle w:val="a"/>
        <w:rPr>
          <w:rFonts w:eastAsiaTheme="minorEastAsia" w:cstheme="minorBidi"/>
          <w:sz w:val="22"/>
          <w:szCs w:val="22"/>
          <w:rtl/>
        </w:rPr>
      </w:pPr>
      <w:r>
        <w:rPr>
          <w:rtl/>
        </w:rPr>
        <w:t>ביאור הברכ"ש ברשב"א דבתשמישים אינו מוציא קרקע ונעשה מוחזק ע"י מחילה בלא טענה</w:t>
      </w:r>
    </w:p>
    <w:p w:rsidR="00900B10" w:rsidRDefault="00900B10" w:rsidP="007E4E81">
      <w:pPr>
        <w:pStyle w:val="a"/>
        <w:rPr>
          <w:rFonts w:eastAsiaTheme="minorEastAsia" w:cstheme="minorBidi"/>
          <w:sz w:val="22"/>
          <w:szCs w:val="22"/>
          <w:rtl/>
        </w:rPr>
      </w:pPr>
      <w:r>
        <w:rPr>
          <w:rtl/>
        </w:rPr>
        <w:t>ביאור הברכ"ש דלהולכי אושא החזקה עצמה היא הטענה ויהיה מוחזק ע"י המחילה בלא טענה</w:t>
      </w:r>
    </w:p>
    <w:p w:rsidR="00900B10" w:rsidRDefault="00900B10" w:rsidP="007E4E81">
      <w:pPr>
        <w:pStyle w:val="a"/>
        <w:rPr>
          <w:rFonts w:eastAsiaTheme="minorEastAsia" w:cstheme="minorBidi"/>
          <w:sz w:val="22"/>
          <w:szCs w:val="22"/>
          <w:rtl/>
        </w:rPr>
      </w:pPr>
      <w:r>
        <w:rPr>
          <w:rtl/>
        </w:rPr>
        <w:t>ביאור הגרב"ב דלהולכי אושא המערער חשיב מוציא מהמוחזק וא"צ טענה כמו בתשמישים</w:t>
      </w:r>
    </w:p>
    <w:p w:rsidR="00900B10" w:rsidRDefault="00900B10" w:rsidP="007E4E81">
      <w:pPr>
        <w:pStyle w:val="a"/>
        <w:rPr>
          <w:rFonts w:eastAsiaTheme="minorEastAsia" w:cstheme="minorBidi"/>
          <w:sz w:val="22"/>
          <w:szCs w:val="22"/>
          <w:rtl/>
        </w:rPr>
      </w:pPr>
      <w:r>
        <w:rPr>
          <w:rtl/>
        </w:rPr>
        <w:t>ביאור הברכ"ש דמקושית הגמ' דלא יחזיר פירות מוכח דכשהוא תפוס מהני חזקה בלא טענה</w:t>
      </w:r>
    </w:p>
    <w:p w:rsidR="00900B10" w:rsidRDefault="00900B10" w:rsidP="0007171D">
      <w:pPr>
        <w:pStyle w:val="aff4"/>
        <w:rPr>
          <w:rFonts w:eastAsiaTheme="minorEastAsia" w:cstheme="minorBidi"/>
          <w:i/>
          <w:iCs/>
          <w:noProof/>
          <w:sz w:val="22"/>
          <w:szCs w:val="22"/>
          <w:rtl/>
        </w:rPr>
      </w:pPr>
      <w:r>
        <w:rPr>
          <w:noProof/>
          <w:rtl/>
        </w:rPr>
        <w:t>ביאור הברכ"ש בדין מחילה למסקנא להולכי אושא ולרבנן</w:t>
      </w:r>
    </w:p>
    <w:p w:rsidR="00900B10" w:rsidRDefault="00900B10" w:rsidP="007E4E81">
      <w:pPr>
        <w:pStyle w:val="a"/>
        <w:rPr>
          <w:rFonts w:eastAsiaTheme="minorEastAsia" w:cstheme="minorBidi"/>
          <w:sz w:val="22"/>
          <w:szCs w:val="22"/>
          <w:rtl/>
        </w:rPr>
      </w:pPr>
      <w:r>
        <w:rPr>
          <w:rtl/>
        </w:rPr>
        <w:t>ביאור הברכ"ש ברשב"א דלהולכי אושא התי' דל"מ מחילה בקרקע ולרבנן לא מוחזק בלא טענה</w:t>
      </w:r>
    </w:p>
    <w:p w:rsidR="00900B10" w:rsidRDefault="00900B10" w:rsidP="0007171D">
      <w:pPr>
        <w:pStyle w:val="aff4"/>
        <w:rPr>
          <w:rFonts w:eastAsiaTheme="minorEastAsia" w:cstheme="minorBidi"/>
          <w:i/>
          <w:iCs/>
          <w:noProof/>
          <w:sz w:val="22"/>
          <w:szCs w:val="22"/>
          <w:rtl/>
        </w:rPr>
      </w:pPr>
      <w:r>
        <w:rPr>
          <w:noProof/>
          <w:rtl/>
        </w:rPr>
        <w:t>ביאור הגרנ"פ ברשב"א דלהולכי אושא דהוחזק דמי לתשמישים</w:t>
      </w:r>
    </w:p>
    <w:p w:rsidR="00900B10" w:rsidRDefault="00900B10" w:rsidP="007E4E81">
      <w:pPr>
        <w:pStyle w:val="a"/>
        <w:rPr>
          <w:rFonts w:eastAsiaTheme="minorEastAsia" w:cstheme="minorBidi"/>
          <w:sz w:val="22"/>
          <w:szCs w:val="22"/>
          <w:rtl/>
        </w:rPr>
      </w:pPr>
      <w:r>
        <w:rPr>
          <w:rtl/>
        </w:rPr>
        <w:t>קושית הגרנ"פ דאמאי הקשה הרשב"א ממחילה בתשמישים רק להולכי אושא ולא לרבנן</w:t>
      </w:r>
    </w:p>
    <w:p w:rsidR="00900B10" w:rsidRDefault="00900B10" w:rsidP="007E4E81">
      <w:pPr>
        <w:pStyle w:val="a"/>
        <w:rPr>
          <w:rFonts w:eastAsiaTheme="minorEastAsia" w:cstheme="minorBidi"/>
          <w:sz w:val="22"/>
          <w:szCs w:val="22"/>
          <w:rtl/>
        </w:rPr>
      </w:pPr>
      <w:r>
        <w:rPr>
          <w:rtl/>
        </w:rPr>
        <w:t>ביאור הגרנ"פ דאף לרשב"א מחילה ל"מ להוציא ורק להולכי אושא דנעשה מוחזק דמי לתמישים</w:t>
      </w:r>
    </w:p>
    <w:p w:rsidR="00900B10" w:rsidRDefault="00900B10" w:rsidP="00900B10">
      <w:pPr>
        <w:pStyle w:val="2"/>
        <w:rPr>
          <w:rFonts w:eastAsiaTheme="minorEastAsia" w:cstheme="minorBidi"/>
          <w:i/>
          <w:iCs/>
          <w:sz w:val="22"/>
          <w:rtl/>
        </w:rPr>
      </w:pPr>
      <w:r>
        <w:rPr>
          <w:rtl/>
        </w:rPr>
        <w:t>בדעת התוס' דמחל בהוחזק שתקן</w:t>
      </w:r>
    </w:p>
    <w:p w:rsidR="00900B10" w:rsidRDefault="00900B10" w:rsidP="0007171D">
      <w:pPr>
        <w:pStyle w:val="aff4"/>
        <w:rPr>
          <w:rFonts w:eastAsiaTheme="minorEastAsia" w:cstheme="minorBidi"/>
          <w:i/>
          <w:iCs/>
          <w:noProof/>
          <w:sz w:val="22"/>
          <w:szCs w:val="22"/>
          <w:rtl/>
        </w:rPr>
      </w:pPr>
      <w:r w:rsidRPr="0062646F">
        <w:rPr>
          <w:noProof/>
          <w:rtl/>
        </w:rPr>
        <w:t>ביאור הברכ"ש בתוס' דהוא מוחזק וסגי באומדנא שנראה כמכר</w:t>
      </w:r>
    </w:p>
    <w:p w:rsidR="00900B10" w:rsidRDefault="00900B10" w:rsidP="007E4E81">
      <w:pPr>
        <w:pStyle w:val="a"/>
        <w:rPr>
          <w:rFonts w:eastAsiaTheme="minorEastAsia" w:cstheme="minorBidi"/>
          <w:sz w:val="22"/>
          <w:szCs w:val="22"/>
          <w:rtl/>
        </w:rPr>
      </w:pPr>
      <w:r>
        <w:rPr>
          <w:rtl/>
        </w:rPr>
        <w:t>קושית הברכ"ש על תוס' דאף שמוכח שמחל מ"מ מחילה ל"מ לקנין דהיא דברים שבלב</w:t>
      </w:r>
    </w:p>
    <w:p w:rsidR="00900B10" w:rsidRDefault="00900B10" w:rsidP="007E4E81">
      <w:pPr>
        <w:pStyle w:val="a"/>
        <w:rPr>
          <w:rFonts w:eastAsiaTheme="minorEastAsia" w:cstheme="minorBidi"/>
          <w:sz w:val="22"/>
          <w:szCs w:val="22"/>
          <w:rtl/>
        </w:rPr>
      </w:pPr>
      <w:r>
        <w:rPr>
          <w:rtl/>
        </w:rPr>
        <w:t>ביאור הברכ"ש דשתיקת המערער על ג"ש הוא אומדנא גמורה אך קשה דלא אמר לך חזק וקני</w:t>
      </w:r>
    </w:p>
    <w:p w:rsidR="00900B10" w:rsidRDefault="00900B10" w:rsidP="007E4E81">
      <w:pPr>
        <w:pStyle w:val="a"/>
        <w:rPr>
          <w:rFonts w:eastAsiaTheme="minorEastAsia" w:cstheme="minorBidi"/>
          <w:sz w:val="22"/>
          <w:szCs w:val="22"/>
          <w:rtl/>
        </w:rPr>
      </w:pPr>
      <w:r>
        <w:rPr>
          <w:rtl/>
        </w:rPr>
        <w:t>ביאור הברכ"ש בתוס' דלהו"א להולכי אושא דמוחזק מסתמא מחל ולמסקנא צריך לפרש</w:t>
      </w:r>
    </w:p>
    <w:p w:rsidR="00900B10" w:rsidRDefault="00900B10" w:rsidP="0007171D">
      <w:pPr>
        <w:pStyle w:val="aff4"/>
        <w:rPr>
          <w:rFonts w:eastAsiaTheme="minorEastAsia" w:cstheme="minorBidi"/>
          <w:i/>
          <w:iCs/>
          <w:noProof/>
          <w:sz w:val="22"/>
          <w:szCs w:val="22"/>
          <w:rtl/>
        </w:rPr>
      </w:pPr>
      <w:r>
        <w:rPr>
          <w:noProof/>
          <w:rtl/>
        </w:rPr>
        <w:t>ביאור הגרש"ר בתוס' דהמחילה כאמר לו לך חזק וקני</w:t>
      </w:r>
    </w:p>
    <w:p w:rsidR="00900B10" w:rsidRDefault="00900B10" w:rsidP="007E4E81">
      <w:pPr>
        <w:pStyle w:val="a"/>
        <w:rPr>
          <w:rFonts w:eastAsiaTheme="minorEastAsia" w:cstheme="minorBidi"/>
          <w:sz w:val="22"/>
          <w:szCs w:val="22"/>
          <w:rtl/>
        </w:rPr>
      </w:pPr>
      <w:r>
        <w:rPr>
          <w:rtl/>
        </w:rPr>
        <w:t>ביאור הגרש"ר בתוס' דכששתק מחל היינו דחשיב כא"ל לך חזק וקני דבלא"ה ל"מ מחילה</w:t>
      </w:r>
    </w:p>
    <w:p w:rsidR="00900B10" w:rsidRDefault="00900B10" w:rsidP="007E4E81">
      <w:pPr>
        <w:pStyle w:val="a"/>
        <w:rPr>
          <w:rFonts w:eastAsiaTheme="minorEastAsia" w:cstheme="minorBidi"/>
          <w:sz w:val="22"/>
          <w:szCs w:val="22"/>
          <w:rtl/>
        </w:rPr>
      </w:pPr>
      <w:r>
        <w:rPr>
          <w:rtl/>
        </w:rPr>
        <w:t>ביאור הגרש"ר בתוס' דמהני מחילה בלא טענה דכשיש דעת קונה סגי ברשות של המקנה</w:t>
      </w:r>
    </w:p>
    <w:p w:rsidR="00900B10" w:rsidRDefault="00900B10" w:rsidP="007E4E81">
      <w:pPr>
        <w:pStyle w:val="a"/>
        <w:rPr>
          <w:rFonts w:eastAsiaTheme="minorEastAsia" w:cstheme="minorBidi"/>
          <w:sz w:val="22"/>
          <w:szCs w:val="22"/>
          <w:rtl/>
        </w:rPr>
      </w:pPr>
      <w:r>
        <w:rPr>
          <w:rtl/>
        </w:rPr>
        <w:t>קושית הגרש"ר דהיאך מוכח מהשתיקה דכוונת להקנות את הקרקע ולא רק למחול על הפירות</w:t>
      </w:r>
    </w:p>
    <w:p w:rsidR="00900B10" w:rsidRDefault="00900B10" w:rsidP="0007171D">
      <w:pPr>
        <w:pStyle w:val="aff4"/>
        <w:rPr>
          <w:rFonts w:eastAsiaTheme="minorEastAsia" w:cstheme="minorBidi"/>
          <w:i/>
          <w:iCs/>
          <w:noProof/>
          <w:sz w:val="22"/>
          <w:szCs w:val="22"/>
          <w:rtl/>
        </w:rPr>
      </w:pPr>
      <w:r>
        <w:rPr>
          <w:noProof/>
          <w:rtl/>
        </w:rPr>
        <w:t>ביאור הגרנ"פ בתוס' דהוי מחילה ממש ולא כא"ל לך חזק וקני</w:t>
      </w:r>
    </w:p>
    <w:p w:rsidR="00900B10" w:rsidRDefault="00900B10" w:rsidP="007E4E81">
      <w:pPr>
        <w:pStyle w:val="a"/>
        <w:rPr>
          <w:rFonts w:eastAsiaTheme="minorEastAsia" w:cstheme="minorBidi"/>
          <w:sz w:val="22"/>
          <w:szCs w:val="22"/>
          <w:rtl/>
        </w:rPr>
      </w:pPr>
      <w:r>
        <w:rPr>
          <w:rtl/>
        </w:rPr>
        <w:t>דברי הגרנ"פ דמשמע בתוס' דמוחל ממש ואי"ז לך חזק וקני וקשה דל"מ מחילה בגוף הקרקע</w:t>
      </w:r>
    </w:p>
    <w:p w:rsidR="00900B10" w:rsidRDefault="00900B10" w:rsidP="007E4E81">
      <w:pPr>
        <w:pStyle w:val="a"/>
        <w:rPr>
          <w:rFonts w:eastAsiaTheme="minorEastAsia" w:cstheme="minorBidi"/>
          <w:sz w:val="22"/>
          <w:szCs w:val="22"/>
          <w:rtl/>
        </w:rPr>
      </w:pPr>
      <w:r>
        <w:rPr>
          <w:rtl/>
        </w:rPr>
        <w:t>דברי הגרנ"פ דקושית רב"י היאך ילפינן דנעשה למוחזק ל"ק לתוס' דהוחזק שתקן</w:t>
      </w:r>
    </w:p>
    <w:p w:rsidR="00900B10" w:rsidRDefault="00900B10" w:rsidP="00900B10">
      <w:pPr>
        <w:pStyle w:val="2"/>
        <w:rPr>
          <w:rFonts w:eastAsiaTheme="minorEastAsia" w:cstheme="minorBidi"/>
          <w:i/>
          <w:iCs/>
          <w:sz w:val="22"/>
          <w:rtl/>
        </w:rPr>
      </w:pPr>
      <w:r>
        <w:rPr>
          <w:rtl/>
        </w:rPr>
        <w:t>בחזקה בלי טענה בקרקע ובמטלטלין</w:t>
      </w:r>
    </w:p>
    <w:p w:rsidR="00900B10" w:rsidRDefault="00900B10" w:rsidP="0007171D">
      <w:pPr>
        <w:pStyle w:val="aff4"/>
        <w:rPr>
          <w:rFonts w:eastAsiaTheme="minorEastAsia" w:cstheme="minorBidi"/>
          <w:i/>
          <w:iCs/>
          <w:noProof/>
          <w:sz w:val="22"/>
          <w:szCs w:val="22"/>
          <w:rtl/>
        </w:rPr>
      </w:pPr>
      <w:r>
        <w:rPr>
          <w:noProof/>
          <w:rtl/>
        </w:rPr>
        <w:t>ביאור הברכ"ש ברב"י דיש ב' דינים בחזקה בלא טענה</w:t>
      </w:r>
    </w:p>
    <w:p w:rsidR="00900B10" w:rsidRDefault="00900B10" w:rsidP="007E4E81">
      <w:pPr>
        <w:pStyle w:val="a"/>
        <w:rPr>
          <w:rFonts w:eastAsiaTheme="minorEastAsia" w:cstheme="minorBidi"/>
          <w:sz w:val="22"/>
          <w:szCs w:val="22"/>
          <w:rtl/>
        </w:rPr>
      </w:pPr>
      <w:r>
        <w:rPr>
          <w:rtl/>
        </w:rPr>
        <w:t>ביאור הברכ"ש ברבינו יונה דהדין הא' בחזקה בלא טענה דמחייב עצמו דמודה שאינה שלו</w:t>
      </w:r>
    </w:p>
    <w:p w:rsidR="00900B10" w:rsidRDefault="00900B10" w:rsidP="007E4E81">
      <w:pPr>
        <w:pStyle w:val="a"/>
        <w:rPr>
          <w:rFonts w:eastAsiaTheme="minorEastAsia" w:cstheme="minorBidi"/>
          <w:sz w:val="22"/>
          <w:szCs w:val="22"/>
          <w:rtl/>
        </w:rPr>
      </w:pPr>
      <w:r>
        <w:rPr>
          <w:rtl/>
        </w:rPr>
        <w:t>ביאור הברכ"ש ברבינו יונה דהדין הב' בחזקה בלא טענה דאינו משיב דאינו מוחזק ומסלקינן ליה</w:t>
      </w:r>
    </w:p>
    <w:p w:rsidR="00900B10" w:rsidRDefault="00900B10" w:rsidP="0007171D">
      <w:pPr>
        <w:pStyle w:val="aff4"/>
        <w:rPr>
          <w:rFonts w:eastAsiaTheme="minorEastAsia" w:cstheme="minorBidi"/>
          <w:i/>
          <w:iCs/>
          <w:noProof/>
          <w:sz w:val="22"/>
          <w:szCs w:val="22"/>
          <w:rtl/>
        </w:rPr>
      </w:pPr>
      <w:r>
        <w:rPr>
          <w:noProof/>
          <w:rtl/>
        </w:rPr>
        <w:t>ביאור הברכ"ש ברבינו יונה דבמטלטלין תפוס רק באינו משיב</w:t>
      </w:r>
    </w:p>
    <w:p w:rsidR="00900B10" w:rsidRDefault="00900B10" w:rsidP="007E4E81">
      <w:pPr>
        <w:pStyle w:val="a"/>
        <w:rPr>
          <w:rFonts w:eastAsiaTheme="minorEastAsia" w:cstheme="minorBidi"/>
          <w:sz w:val="22"/>
          <w:szCs w:val="22"/>
          <w:rtl/>
        </w:rPr>
      </w:pPr>
      <w:r>
        <w:rPr>
          <w:rtl/>
        </w:rPr>
        <w:t>ביאור הברכ"ש ברב"י דבמטלטלין שאינו משיב חשיב תפוס ובטוען לא אמר אדם דבר אינו תפוס</w:t>
      </w:r>
    </w:p>
    <w:p w:rsidR="00900B10" w:rsidRDefault="00900B10" w:rsidP="007E4E81">
      <w:pPr>
        <w:pStyle w:val="a"/>
        <w:rPr>
          <w:rFonts w:eastAsiaTheme="minorEastAsia" w:cstheme="minorBidi"/>
          <w:sz w:val="22"/>
          <w:szCs w:val="22"/>
          <w:rtl/>
        </w:rPr>
      </w:pPr>
      <w:r>
        <w:rPr>
          <w:rtl/>
        </w:rPr>
        <w:t>דברי הברכ"ש דבקרקע שאינו משיב מסלקינן ליה אבל במטלטלין כתב הנתיה"מ דמנדים אותו</w:t>
      </w:r>
    </w:p>
    <w:p w:rsidR="00900B10" w:rsidRDefault="00900B10" w:rsidP="007E4E81">
      <w:pPr>
        <w:pStyle w:val="a"/>
        <w:rPr>
          <w:rFonts w:eastAsiaTheme="minorEastAsia" w:cstheme="minorBidi"/>
          <w:sz w:val="22"/>
          <w:szCs w:val="22"/>
          <w:rtl/>
        </w:rPr>
      </w:pPr>
      <w:r>
        <w:rPr>
          <w:rtl/>
        </w:rPr>
        <w:t>ביאור הברכ"ש דלרב"י להו"א להולכי אושא יצאה מהמר"ק כמטלטלין וא"צ טענה</w:t>
      </w:r>
    </w:p>
    <w:p w:rsidR="00900B10" w:rsidRDefault="00900B10" w:rsidP="0007171D">
      <w:pPr>
        <w:pStyle w:val="aff4"/>
        <w:rPr>
          <w:rFonts w:eastAsiaTheme="minorEastAsia" w:cstheme="minorBidi"/>
          <w:i/>
          <w:iCs/>
          <w:noProof/>
          <w:sz w:val="22"/>
          <w:szCs w:val="22"/>
          <w:rtl/>
        </w:rPr>
      </w:pPr>
      <w:r>
        <w:rPr>
          <w:noProof/>
          <w:rtl/>
        </w:rPr>
        <w:t>ביאור הגרנ"פ ברב"י דבמטלטלין אין מר"ק והו"א דא"צ טענה</w:t>
      </w:r>
    </w:p>
    <w:p w:rsidR="00900B10" w:rsidRDefault="00900B10" w:rsidP="007E4E81">
      <w:pPr>
        <w:pStyle w:val="a"/>
        <w:rPr>
          <w:rFonts w:eastAsiaTheme="minorEastAsia" w:cstheme="minorBidi"/>
          <w:sz w:val="22"/>
          <w:szCs w:val="22"/>
          <w:rtl/>
        </w:rPr>
      </w:pPr>
      <w:r>
        <w:rPr>
          <w:rtl/>
        </w:rPr>
        <w:t>ביאור הגרנ"פ ברב"י דבמטלטלין אין מר"ק ולכן א"צ טענה וכן בהו"א להולכי אושא</w:t>
      </w:r>
    </w:p>
    <w:p w:rsidR="00900B10" w:rsidRDefault="00900B10" w:rsidP="007E4E81">
      <w:pPr>
        <w:pStyle w:val="a"/>
        <w:rPr>
          <w:rFonts w:eastAsiaTheme="minorEastAsia" w:cstheme="minorBidi"/>
          <w:sz w:val="22"/>
          <w:szCs w:val="22"/>
          <w:rtl/>
        </w:rPr>
      </w:pPr>
      <w:r>
        <w:rPr>
          <w:rtl/>
        </w:rPr>
        <w:t>ביאור הגרנ"פ ברבינו יונה דבמטלטלין שאין מר"ק הם בחזקת התופס ומוחזק לגמרי בלא טענה</w:t>
      </w:r>
    </w:p>
    <w:p w:rsidR="00900B10" w:rsidRDefault="00900B10" w:rsidP="007E4E81">
      <w:pPr>
        <w:pStyle w:val="a"/>
        <w:rPr>
          <w:rFonts w:eastAsiaTheme="minorEastAsia" w:cstheme="minorBidi"/>
          <w:sz w:val="22"/>
          <w:szCs w:val="22"/>
          <w:rtl/>
        </w:rPr>
      </w:pPr>
      <w:r>
        <w:rPr>
          <w:rtl/>
        </w:rPr>
        <w:t>דברי הגרנ"פ דמה שביאר רב"י בטענת המחזיק היינו היאך זכה בקרקע אחר שהוא המוחזק</w:t>
      </w:r>
    </w:p>
    <w:p w:rsidR="00900B10" w:rsidRDefault="00900B10" w:rsidP="00900B10">
      <w:pPr>
        <w:pStyle w:val="2"/>
        <w:rPr>
          <w:rFonts w:eastAsiaTheme="minorEastAsia" w:cstheme="minorBidi"/>
          <w:i/>
          <w:iCs/>
          <w:sz w:val="22"/>
          <w:rtl/>
        </w:rPr>
      </w:pPr>
      <w:r>
        <w:rPr>
          <w:rtl/>
        </w:rPr>
        <w:t>בדברי התוס' דא"צ ראיה שדר חד יומא</w:t>
      </w:r>
    </w:p>
    <w:p w:rsidR="00900B10" w:rsidRDefault="00900B10" w:rsidP="0007171D">
      <w:pPr>
        <w:pStyle w:val="aff4"/>
        <w:rPr>
          <w:rFonts w:eastAsiaTheme="minorEastAsia" w:cstheme="minorBidi"/>
          <w:i/>
          <w:iCs/>
          <w:noProof/>
          <w:sz w:val="22"/>
          <w:szCs w:val="22"/>
          <w:rtl/>
        </w:rPr>
      </w:pPr>
      <w:r>
        <w:rPr>
          <w:noProof/>
          <w:rtl/>
        </w:rPr>
        <w:t>ביאור הברכ"ש בתוס' דחזקה שהיא ראיה א"צ טענת חד יומא</w:t>
      </w:r>
    </w:p>
    <w:p w:rsidR="00900B10" w:rsidRDefault="00900B10" w:rsidP="007E4E81">
      <w:pPr>
        <w:pStyle w:val="a"/>
        <w:rPr>
          <w:rFonts w:eastAsiaTheme="minorEastAsia" w:cstheme="minorBidi"/>
          <w:sz w:val="22"/>
          <w:szCs w:val="22"/>
          <w:rtl/>
        </w:rPr>
      </w:pPr>
      <w:r>
        <w:rPr>
          <w:rtl/>
        </w:rPr>
        <w:t>קושית הגרב"ב על תוס' דאף במטלטלין צריך טענת דר חד יומא וכ"ש בקרקע אף להולכי אושא</w:t>
      </w:r>
    </w:p>
    <w:p w:rsidR="00900B10" w:rsidRDefault="00900B10" w:rsidP="007E4E81">
      <w:pPr>
        <w:pStyle w:val="a"/>
        <w:rPr>
          <w:rFonts w:eastAsiaTheme="minorEastAsia" w:cstheme="minorBidi"/>
          <w:sz w:val="22"/>
          <w:szCs w:val="22"/>
          <w:rtl/>
        </w:rPr>
      </w:pPr>
      <w:r>
        <w:rPr>
          <w:rtl/>
        </w:rPr>
        <w:t>ביאור הברכ"ש דצריך עדים שדר חד יומא רק לרבנן דהחזקה היא ראיה ובלא חד יומא אין ראיה</w:t>
      </w:r>
    </w:p>
    <w:p w:rsidR="00900B10" w:rsidRDefault="00900B10" w:rsidP="007E4E81">
      <w:pPr>
        <w:pStyle w:val="a"/>
        <w:rPr>
          <w:rFonts w:eastAsiaTheme="minorEastAsia" w:cstheme="minorBidi"/>
          <w:sz w:val="22"/>
          <w:szCs w:val="22"/>
          <w:rtl/>
        </w:rPr>
      </w:pPr>
      <w:r>
        <w:rPr>
          <w:rtl/>
        </w:rPr>
        <w:t>ביאור הברכ"ש דלהולכי אושא דהוא מוחזק אין דררא דממונא וא"צ להביא ראיה וסגי בטענה</w:t>
      </w:r>
    </w:p>
    <w:p w:rsidR="00900B10" w:rsidRDefault="00900B10" w:rsidP="007E4E81">
      <w:pPr>
        <w:pStyle w:val="a"/>
        <w:rPr>
          <w:rFonts w:eastAsiaTheme="minorEastAsia" w:cstheme="minorBidi"/>
          <w:sz w:val="22"/>
          <w:szCs w:val="22"/>
          <w:rtl/>
        </w:rPr>
      </w:pPr>
      <w:r>
        <w:rPr>
          <w:rtl/>
        </w:rPr>
        <w:t>ביאור הברכ"ש דלהו"א להולכי אושא החזקה עצמה היא ראיה דהמחזיק נחשב ללוקח</w:t>
      </w:r>
    </w:p>
    <w:p w:rsidR="00900B10" w:rsidRDefault="00900B10" w:rsidP="0007171D">
      <w:pPr>
        <w:pStyle w:val="aff4"/>
        <w:rPr>
          <w:rFonts w:eastAsiaTheme="minorEastAsia" w:cstheme="minorBidi"/>
          <w:i/>
          <w:iCs/>
          <w:noProof/>
          <w:sz w:val="22"/>
          <w:szCs w:val="22"/>
          <w:rtl/>
        </w:rPr>
      </w:pPr>
      <w:r>
        <w:rPr>
          <w:noProof/>
          <w:rtl/>
        </w:rPr>
        <w:t>ביאור הגרב"ב בתוס' דמוחזק להולכי אושא עדיף ממטלטלין</w:t>
      </w:r>
    </w:p>
    <w:p w:rsidR="00900B10" w:rsidRDefault="00900B10" w:rsidP="007E4E81">
      <w:pPr>
        <w:pStyle w:val="a"/>
        <w:rPr>
          <w:rFonts w:eastAsiaTheme="minorEastAsia" w:cstheme="minorBidi"/>
          <w:sz w:val="22"/>
          <w:szCs w:val="22"/>
          <w:rtl/>
        </w:rPr>
      </w:pPr>
      <w:r>
        <w:rPr>
          <w:rtl/>
        </w:rPr>
        <w:t>דברי הגרב"ב דלהו"א חזקת ג"ש עדיפא מחזקת מטלטלין דאין בהם ריעותא בחזקת המר"ק</w:t>
      </w:r>
    </w:p>
    <w:p w:rsidR="00900B10" w:rsidRDefault="00900B10" w:rsidP="007E4E81">
      <w:pPr>
        <w:pStyle w:val="a"/>
        <w:rPr>
          <w:rFonts w:eastAsiaTheme="minorEastAsia" w:cstheme="minorBidi"/>
          <w:sz w:val="22"/>
          <w:szCs w:val="22"/>
          <w:rtl/>
        </w:rPr>
      </w:pPr>
      <w:r>
        <w:rPr>
          <w:rtl/>
        </w:rPr>
        <w:t>ביאור הברכ"ש בתי' הגמ' דהוא נעשה מוחזק רק מכח הטענה ובלא חד יומא אין טענה וחזקה</w:t>
      </w:r>
    </w:p>
    <w:p w:rsidR="00900B10" w:rsidRDefault="00900B10" w:rsidP="0007171D">
      <w:pPr>
        <w:pStyle w:val="aff4"/>
        <w:rPr>
          <w:rFonts w:eastAsiaTheme="minorEastAsia" w:cstheme="minorBidi"/>
          <w:i/>
          <w:iCs/>
          <w:noProof/>
          <w:sz w:val="22"/>
          <w:szCs w:val="22"/>
          <w:rtl/>
        </w:rPr>
      </w:pPr>
      <w:r w:rsidRPr="00CE481C">
        <w:rPr>
          <w:noProof/>
          <w:rtl/>
        </w:rPr>
        <w:t>ביאור החזון יחזקאל בגי' דלפנינו דמנין ילפינן דמהני החזקה</w:t>
      </w:r>
    </w:p>
    <w:p w:rsidR="00900B10" w:rsidRDefault="00900B10" w:rsidP="007E4E81">
      <w:pPr>
        <w:pStyle w:val="a"/>
        <w:rPr>
          <w:rFonts w:eastAsiaTheme="minorEastAsia" w:cstheme="minorBidi"/>
          <w:sz w:val="22"/>
          <w:szCs w:val="22"/>
          <w:rtl/>
        </w:rPr>
      </w:pPr>
      <w:r>
        <w:rPr>
          <w:rtl/>
        </w:rPr>
        <w:t>ביאור החזון יחזקאל בגי' דלפנינו דילפינן משור שיש סיבה א' לכל הג' אכילות דקנה את הקרקע</w:t>
      </w:r>
    </w:p>
    <w:p w:rsidR="00900B10" w:rsidRDefault="00900B10" w:rsidP="007E4E81">
      <w:pPr>
        <w:pStyle w:val="a"/>
        <w:rPr>
          <w:rFonts w:eastAsiaTheme="minorEastAsia" w:cstheme="minorBidi"/>
          <w:sz w:val="22"/>
          <w:szCs w:val="22"/>
          <w:rtl/>
        </w:rPr>
        <w:sectPr w:rsidR="00900B10" w:rsidSect="00DC277F">
          <w:type w:val="continuous"/>
          <w:pgSz w:w="11906" w:h="16838"/>
          <w:pgMar w:top="720" w:right="720" w:bottom="720" w:left="720" w:header="283" w:footer="283" w:gutter="0"/>
          <w:cols w:num="2" w:space="113"/>
          <w:titlePg/>
          <w:bidi/>
          <w:rtlGutter/>
          <w:docGrid w:linePitch="299"/>
        </w:sectPr>
      </w:pPr>
      <w:r>
        <w:rPr>
          <w:rtl/>
        </w:rPr>
        <w:t>ביאור החזון יחזקאל בגי' דלפנינו דכיון שיש סיבה א' לאכילה מהני החזקה מצ"ע וא"צ טענה</w:t>
      </w:r>
    </w:p>
    <w:p w:rsidR="00900B10" w:rsidRPr="003D216D" w:rsidRDefault="00900B10" w:rsidP="00900B10">
      <w:pPr>
        <w:pStyle w:val="2"/>
        <w:jc w:val="both"/>
        <w:rPr>
          <w:rFonts w:eastAsiaTheme="minorEastAsia" w:cstheme="minorBidi"/>
          <w:sz w:val="22"/>
          <w:rtl/>
        </w:rPr>
        <w:sectPr w:rsidR="00900B10" w:rsidRPr="003D216D"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900B10" w:rsidRPr="0081356D" w:rsidRDefault="006C4F47" w:rsidP="00900B10">
      <w:pPr>
        <w:pStyle w:val="afe"/>
        <w:rPr>
          <w:rtl/>
        </w:rPr>
      </w:pPr>
      <w:r>
        <w:rPr>
          <w:rFonts w:hint="cs"/>
          <w:rtl/>
        </w:rPr>
        <w:lastRenderedPageBreak/>
        <w:t>~~~~~~~ מראי מקומות וביאורים ~~~~~~~</w:t>
      </w:r>
      <w:bookmarkEnd w:id="1417"/>
      <w:bookmarkEnd w:id="1418"/>
    </w:p>
    <w:p w:rsidR="00900B10" w:rsidRPr="00B21444" w:rsidRDefault="00900B10" w:rsidP="00900B10">
      <w:pPr>
        <w:pStyle w:val="2"/>
        <w:bidi w:val="0"/>
        <w:rPr>
          <w:rtl/>
        </w:rPr>
        <w:sectPr w:rsidR="00900B10" w:rsidRPr="00B21444" w:rsidSect="00962FD5">
          <w:footerReference w:type="default" r:id="rId39"/>
          <w:pgSz w:w="11906" w:h="16838"/>
          <w:pgMar w:top="720" w:right="720" w:bottom="720" w:left="720" w:header="283" w:footer="283" w:gutter="0"/>
          <w:cols w:space="720"/>
          <w:bidi/>
          <w:rtlGutter/>
          <w:docGrid w:linePitch="299"/>
        </w:sectPr>
      </w:pPr>
    </w:p>
    <w:p w:rsidR="00900B10" w:rsidRPr="00FF405D" w:rsidRDefault="00900B10" w:rsidP="00900B10">
      <w:pPr>
        <w:pStyle w:val="afe"/>
        <w:rPr>
          <w:rtl/>
        </w:rPr>
      </w:pPr>
      <w:bookmarkStart w:id="1447" w:name="_Toc54891140"/>
      <w:bookmarkStart w:id="1448" w:name="_Toc54903400"/>
      <w:bookmarkStart w:id="1449" w:name="_Toc54948379"/>
      <w:bookmarkStart w:id="1450" w:name="_Toc54951982"/>
      <w:bookmarkStart w:id="1451" w:name="_Toc55072875"/>
      <w:bookmarkStart w:id="1452" w:name="_Toc55073076"/>
      <w:bookmarkStart w:id="1453" w:name="_Toc55073487"/>
      <w:bookmarkStart w:id="1454" w:name="_Toc55074035"/>
      <w:r>
        <w:rPr>
          <w:rFonts w:hint="cs"/>
          <w:rtl/>
        </w:rPr>
        <w:t>בקושית הגמ' מנין לחזקת ג"ש</w:t>
      </w:r>
      <w:bookmarkEnd w:id="1447"/>
      <w:bookmarkEnd w:id="1448"/>
      <w:bookmarkEnd w:id="1449"/>
      <w:bookmarkEnd w:id="1450"/>
      <w:bookmarkEnd w:id="1451"/>
      <w:bookmarkEnd w:id="1452"/>
      <w:bookmarkEnd w:id="1453"/>
      <w:bookmarkEnd w:id="1454"/>
    </w:p>
    <w:p w:rsidR="00900B10" w:rsidRPr="00FF405D" w:rsidRDefault="00900B10" w:rsidP="00900B10">
      <w:pPr>
        <w:pStyle w:val="1"/>
        <w:rPr>
          <w:rtl/>
        </w:rPr>
      </w:pPr>
      <w:bookmarkStart w:id="1455" w:name="_Toc54555948"/>
      <w:bookmarkStart w:id="1456" w:name="_Toc54603702"/>
      <w:bookmarkStart w:id="1457" w:name="_Toc54643442"/>
      <w:bookmarkStart w:id="1458" w:name="_Toc54730187"/>
      <w:bookmarkStart w:id="1459" w:name="_Toc54867208"/>
      <w:bookmarkStart w:id="1460" w:name="_Toc54868799"/>
      <w:bookmarkStart w:id="1461" w:name="_Toc54887699"/>
      <w:bookmarkStart w:id="1462" w:name="_Toc54891141"/>
      <w:bookmarkStart w:id="1463" w:name="_Toc54903401"/>
      <w:bookmarkStart w:id="1464" w:name="_Toc54948380"/>
      <w:bookmarkStart w:id="1465" w:name="_Toc54951983"/>
      <w:bookmarkStart w:id="1466" w:name="_Toc55072876"/>
      <w:bookmarkStart w:id="1467" w:name="_Toc55073077"/>
      <w:bookmarkStart w:id="1468" w:name="_Toc55073488"/>
      <w:bookmarkStart w:id="1469" w:name="_Toc55074036"/>
      <w:bookmarkStart w:id="1470" w:name="_Toc54555939"/>
      <w:bookmarkStart w:id="1471" w:name="_Toc54000904"/>
      <w:r w:rsidRPr="00FF405D">
        <w:rPr>
          <w:rFonts w:hint="cs"/>
          <w:rtl/>
        </w:rPr>
        <w:t>דברי הריטב"א</w:t>
      </w:r>
      <w:bookmarkEnd w:id="1455"/>
      <w:bookmarkEnd w:id="1456"/>
      <w:bookmarkEnd w:id="1457"/>
      <w:bookmarkEnd w:id="1458"/>
      <w:bookmarkEnd w:id="1459"/>
      <w:bookmarkEnd w:id="1460"/>
      <w:bookmarkEnd w:id="1461"/>
      <w:r w:rsidRPr="00FF405D">
        <w:rPr>
          <w:rFonts w:hint="cs"/>
          <w:rtl/>
        </w:rPr>
        <w:t xml:space="preserve"> </w:t>
      </w:r>
      <w:r>
        <w:rPr>
          <w:rFonts w:hint="cs"/>
          <w:rtl/>
        </w:rPr>
        <w:t>דקושית הגמ' מנין דג"ש מהני ולא פחות או יותר</w:t>
      </w:r>
      <w:bookmarkEnd w:id="1462"/>
      <w:bookmarkEnd w:id="1463"/>
      <w:bookmarkEnd w:id="1464"/>
      <w:bookmarkEnd w:id="1465"/>
      <w:bookmarkEnd w:id="1466"/>
      <w:bookmarkEnd w:id="1467"/>
      <w:bookmarkEnd w:id="1468"/>
      <w:bookmarkEnd w:id="1469"/>
    </w:p>
    <w:p w:rsidR="00900B10" w:rsidRPr="00FF405D" w:rsidRDefault="00900B10" w:rsidP="00900B10">
      <w:pPr>
        <w:pStyle w:val="a3"/>
        <w:rPr>
          <w:rtl/>
        </w:rPr>
      </w:pPr>
      <w:bookmarkStart w:id="1472" w:name="_Toc54868800"/>
      <w:bookmarkStart w:id="1473" w:name="_Toc54887700"/>
      <w:bookmarkStart w:id="1474" w:name="_Toc54891142"/>
      <w:bookmarkStart w:id="1475" w:name="_Toc54903402"/>
      <w:bookmarkStart w:id="1476" w:name="_Toc54948381"/>
      <w:bookmarkStart w:id="1477" w:name="_Toc54951984"/>
      <w:bookmarkStart w:id="1478" w:name="_Toc55072877"/>
      <w:bookmarkStart w:id="1479" w:name="_Toc55073078"/>
      <w:bookmarkStart w:id="1480" w:name="_Toc55073489"/>
      <w:bookmarkStart w:id="1481" w:name="_Toc55074037"/>
      <w:r w:rsidRPr="00FF405D">
        <w:rPr>
          <w:rFonts w:hint="cs"/>
          <w:rtl/>
        </w:rPr>
        <w:t>גי' הראשונים דקושית הגמ' מנין לחזקה ג"ש וביאור הריטב"א דאמאי צריך דוקא ג"ש</w:t>
      </w:r>
      <w:bookmarkEnd w:id="1472"/>
      <w:bookmarkEnd w:id="1473"/>
      <w:bookmarkEnd w:id="1474"/>
      <w:bookmarkEnd w:id="1475"/>
      <w:bookmarkEnd w:id="1476"/>
      <w:bookmarkEnd w:id="1477"/>
      <w:bookmarkEnd w:id="1478"/>
      <w:bookmarkEnd w:id="1479"/>
      <w:bookmarkEnd w:id="1480"/>
      <w:bookmarkEnd w:id="1481"/>
    </w:p>
    <w:p w:rsidR="00900B10" w:rsidRPr="00A72C18" w:rsidRDefault="00900B10" w:rsidP="00BA3263">
      <w:pPr>
        <w:pStyle w:val="a0"/>
        <w:numPr>
          <w:ilvl w:val="0"/>
          <w:numId w:val="8"/>
        </w:numPr>
        <w:rPr>
          <w:rtl/>
        </w:rPr>
      </w:pPr>
      <w:bookmarkStart w:id="1482" w:name="_Ref54815189"/>
      <w:r w:rsidRPr="00FF405D">
        <w:rPr>
          <w:rFonts w:hint="cs"/>
          <w:rtl/>
        </w:rPr>
        <w:t xml:space="preserve">בקושית הגמ' מנין לחזקת ג"ש, כתב </w:t>
      </w:r>
      <w:r w:rsidRPr="00FF405D">
        <w:rPr>
          <w:rStyle w:val="af9"/>
          <w:rFonts w:hint="cs"/>
          <w:rtl/>
        </w:rPr>
        <w:t>הריטב"א</w:t>
      </w:r>
      <w:r w:rsidRPr="00FF405D">
        <w:rPr>
          <w:rFonts w:hint="cs"/>
          <w:rtl/>
        </w:rPr>
        <w:t xml:space="preserve"> </w:t>
      </w:r>
      <w:r w:rsidRPr="007E4E81">
        <w:rPr>
          <w:rStyle w:val="af7"/>
          <w:rFonts w:eastAsia="Guttman Hodes" w:hint="cs"/>
          <w:rtl/>
        </w:rPr>
        <w:t xml:space="preserve">(ד"ה מנין) </w:t>
      </w:r>
      <w:r>
        <w:rPr>
          <w:rFonts w:hint="cs"/>
          <w:rtl/>
        </w:rPr>
        <w:t xml:space="preserve">דקושית הגמ' היא דמהיכן ילפינן דהחזקה היא ג"ש, ולא פחות ולא יותר, והיינו לפי גירסת </w:t>
      </w:r>
      <w:r w:rsidRPr="00EF5937">
        <w:rPr>
          <w:rStyle w:val="af9"/>
          <w:rFonts w:hint="cs"/>
          <w:rtl/>
        </w:rPr>
        <w:t xml:space="preserve">הריטב"א </w:t>
      </w:r>
      <w:r>
        <w:rPr>
          <w:rFonts w:hint="cs"/>
          <w:rtl/>
        </w:rPr>
        <w:t xml:space="preserve">מנין לחזקה "שהיא ג"ש, </w:t>
      </w:r>
      <w:r w:rsidRPr="002E36F5">
        <w:rPr>
          <w:rFonts w:hint="cs"/>
          <w:rtl/>
        </w:rPr>
        <w:t xml:space="preserve">וכן היא גירסת </w:t>
      </w:r>
      <w:r w:rsidRPr="00EF5937">
        <w:rPr>
          <w:rStyle w:val="af9"/>
          <w:rFonts w:hint="cs"/>
          <w:rtl/>
        </w:rPr>
        <w:t xml:space="preserve">הרמב"ן </w:t>
      </w:r>
      <w:r w:rsidRPr="007E4E81">
        <w:rPr>
          <w:rStyle w:val="af7"/>
          <w:rFonts w:eastAsia="Guttman Hodes" w:hint="cs"/>
          <w:rtl/>
        </w:rPr>
        <w:t>(ד</w:t>
      </w:r>
      <w:r w:rsidRPr="007E4E81">
        <w:rPr>
          <w:rStyle w:val="af7"/>
          <w:rFonts w:eastAsia="Guttman Hodes"/>
          <w:rtl/>
        </w:rPr>
        <w:t>"</w:t>
      </w:r>
      <w:r w:rsidRPr="007E4E81">
        <w:rPr>
          <w:rStyle w:val="af7"/>
          <w:rFonts w:eastAsia="Guttman Hodes" w:hint="cs"/>
          <w:rtl/>
        </w:rPr>
        <w:t>ה מנין)</w:t>
      </w:r>
      <w:r w:rsidRPr="002E36F5">
        <w:rPr>
          <w:rFonts w:hint="cs"/>
          <w:rtl/>
        </w:rPr>
        <w:t xml:space="preserve"> </w:t>
      </w:r>
      <w:r w:rsidRPr="00EF5937">
        <w:rPr>
          <w:rStyle w:val="af9"/>
          <w:rFonts w:hint="cs"/>
          <w:rtl/>
        </w:rPr>
        <w:t xml:space="preserve">והיד רמ"ה </w:t>
      </w:r>
      <w:r w:rsidRPr="007E4E81">
        <w:rPr>
          <w:rStyle w:val="af7"/>
          <w:rFonts w:eastAsia="Guttman Hodes" w:hint="cs"/>
          <w:rtl/>
        </w:rPr>
        <w:t>(או' י"ז ד"ה אמר)</w:t>
      </w:r>
      <w:r w:rsidRPr="002E36F5">
        <w:rPr>
          <w:rFonts w:hint="cs"/>
          <w:rtl/>
        </w:rPr>
        <w:t xml:space="preserve"> </w:t>
      </w:r>
      <w:r w:rsidRPr="00EF5937">
        <w:rPr>
          <w:rStyle w:val="af9"/>
          <w:rFonts w:hint="cs"/>
          <w:rtl/>
        </w:rPr>
        <w:t xml:space="preserve">ורבינו יונה </w:t>
      </w:r>
      <w:r w:rsidRPr="007E4E81">
        <w:rPr>
          <w:rStyle w:val="af7"/>
          <w:rFonts w:eastAsia="Guttman Hodes" w:hint="cs"/>
          <w:rtl/>
        </w:rPr>
        <w:t>(ד</w:t>
      </w:r>
      <w:r w:rsidRPr="007E4E81">
        <w:rPr>
          <w:rStyle w:val="af7"/>
          <w:rFonts w:eastAsia="Guttman Hodes"/>
          <w:rtl/>
        </w:rPr>
        <w:t>"</w:t>
      </w:r>
      <w:r w:rsidRPr="007E4E81">
        <w:rPr>
          <w:rStyle w:val="af7"/>
          <w:rFonts w:eastAsia="Guttman Hodes" w:hint="cs"/>
          <w:rtl/>
        </w:rPr>
        <w:t>ה מנין)</w:t>
      </w:r>
      <w:r w:rsidRPr="002E36F5">
        <w:rPr>
          <w:rFonts w:hint="cs"/>
          <w:rtl/>
        </w:rPr>
        <w:t xml:space="preserve"> </w:t>
      </w:r>
      <w:r>
        <w:rPr>
          <w:rFonts w:hint="cs"/>
          <w:rtl/>
        </w:rPr>
        <w:t>וכן הגיה</w:t>
      </w:r>
      <w:r w:rsidRPr="002E36F5">
        <w:rPr>
          <w:rFonts w:hint="cs"/>
          <w:rtl/>
        </w:rPr>
        <w:t xml:space="preserve"> </w:t>
      </w:r>
      <w:r w:rsidRPr="00EF5937">
        <w:rPr>
          <w:rStyle w:val="af9"/>
          <w:rFonts w:hint="cs"/>
          <w:rtl/>
        </w:rPr>
        <w:t xml:space="preserve">הב"ח </w:t>
      </w:r>
      <w:r w:rsidRPr="007E4E81">
        <w:rPr>
          <w:rStyle w:val="af7"/>
          <w:rFonts w:eastAsia="Guttman Hodes" w:hint="cs"/>
          <w:rtl/>
        </w:rPr>
        <w:t>(או' ה')</w:t>
      </w:r>
      <w:r>
        <w:rPr>
          <w:rFonts w:hint="cs"/>
          <w:rtl/>
        </w:rPr>
        <w:t xml:space="preserve">. </w:t>
      </w:r>
      <w:r w:rsidRPr="00EF5937">
        <w:rPr>
          <w:rStyle w:val="afb"/>
          <w:rFonts w:hint="cs"/>
          <w:rtl/>
        </w:rPr>
        <w:t>[והיינו דקושית הגמ' אינה על עצם החזקה, אלא על הג"ש, אבל לפי הגירסא דלפנינו קושית הגמ' היא על עיקר דין החזקה],</w:t>
      </w:r>
      <w:r>
        <w:rPr>
          <w:rFonts w:hint="cs"/>
          <w:rtl/>
        </w:rPr>
        <w:t xml:space="preserve"> ועי' שביאר </w:t>
      </w:r>
      <w:r w:rsidRPr="00D73A4D">
        <w:rPr>
          <w:rStyle w:val="af9"/>
          <w:rFonts w:hint="cs"/>
          <w:rtl/>
        </w:rPr>
        <w:t>בחי' רבי נחום</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Ref54869039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7E4E81">
        <w:rPr>
          <w:rStyle w:val="af7"/>
          <w:rFonts w:eastAsia="Guttman Hodes"/>
          <w:rtl/>
        </w:rPr>
        <w:fldChar w:fldCharType="end"/>
      </w:r>
      <w:r>
        <w:rPr>
          <w:rFonts w:hint="cs"/>
          <w:rtl/>
        </w:rPr>
        <w:t xml:space="preserve"> בדברי </w:t>
      </w:r>
      <w:r w:rsidRPr="00D73A4D">
        <w:rPr>
          <w:rStyle w:val="af9"/>
          <w:rFonts w:hint="cs"/>
          <w:rtl/>
        </w:rPr>
        <w:t>הריטב"א</w:t>
      </w:r>
      <w:r>
        <w:rPr>
          <w:rFonts w:hint="cs"/>
          <w:rtl/>
        </w:rPr>
        <w:t xml:space="preserve">, ובמה שביאר </w:t>
      </w:r>
      <w:r w:rsidRPr="00EF5937">
        <w:rPr>
          <w:rStyle w:val="af9"/>
          <w:rFonts w:hint="cs"/>
          <w:rtl/>
        </w:rPr>
        <w:t xml:space="preserve">החזון יחזקאל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Ref54815808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קיח)</w:t>
      </w:r>
      <w:r w:rsidRPr="007E4E81">
        <w:rPr>
          <w:rStyle w:val="af7"/>
          <w:rFonts w:eastAsia="Guttman Hodes"/>
          <w:rtl/>
        </w:rPr>
        <w:fldChar w:fldCharType="end"/>
      </w:r>
      <w:r>
        <w:rPr>
          <w:rFonts w:hint="cs"/>
          <w:rtl/>
        </w:rPr>
        <w:t xml:space="preserve"> את הגירסא דלפנינו</w:t>
      </w:r>
      <w:r w:rsidRPr="002E36F5">
        <w:rPr>
          <w:rFonts w:hint="cs"/>
          <w:rtl/>
        </w:rPr>
        <w:t>.</w:t>
      </w:r>
      <w:bookmarkEnd w:id="1482"/>
    </w:p>
    <w:p w:rsidR="00900B10" w:rsidRPr="007D5818" w:rsidRDefault="00900B10" w:rsidP="00900B10">
      <w:pPr>
        <w:pStyle w:val="a3"/>
        <w:rPr>
          <w:rtl/>
        </w:rPr>
      </w:pPr>
      <w:bookmarkStart w:id="1483" w:name="_Toc54555950"/>
      <w:bookmarkStart w:id="1484" w:name="_Toc54603703"/>
      <w:bookmarkStart w:id="1485" w:name="_Toc54643443"/>
      <w:bookmarkStart w:id="1486" w:name="_Toc54730188"/>
      <w:bookmarkStart w:id="1487" w:name="_Toc54867209"/>
      <w:bookmarkStart w:id="1488" w:name="_Toc54868801"/>
      <w:bookmarkStart w:id="1489" w:name="_Toc54887701"/>
      <w:bookmarkStart w:id="1490" w:name="_Toc54891143"/>
      <w:bookmarkStart w:id="1491" w:name="_Toc54903403"/>
      <w:bookmarkStart w:id="1492" w:name="_Toc54948382"/>
      <w:bookmarkStart w:id="1493" w:name="_Toc54951985"/>
      <w:bookmarkStart w:id="1494" w:name="_Toc55072878"/>
      <w:bookmarkStart w:id="1495" w:name="_Toc55073079"/>
      <w:bookmarkStart w:id="1496" w:name="_Toc55073490"/>
      <w:bookmarkStart w:id="1497" w:name="_Toc55074038"/>
      <w:r w:rsidRPr="00673805">
        <w:rPr>
          <w:rFonts w:hint="cs"/>
          <w:rtl/>
        </w:rPr>
        <w:t>ביאור הריטב"א בקושית הגמ' דאין חילוק מהראיה בתפיסת קרקע מהראיה בתפיסת מטלטלין</w:t>
      </w:r>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p>
    <w:p w:rsidR="00900B10" w:rsidRPr="00FF7B34" w:rsidRDefault="00900B10" w:rsidP="007E4E81">
      <w:pPr>
        <w:pStyle w:val="a0"/>
        <w:rPr>
          <w:rStyle w:val="afb"/>
          <w:rtl/>
        </w:rPr>
      </w:pPr>
      <w:r>
        <w:rPr>
          <w:rFonts w:hint="cs"/>
          <w:rtl/>
        </w:rPr>
        <w:t xml:space="preserve">וביאר </w:t>
      </w:r>
      <w:r w:rsidRPr="00A54A1F">
        <w:rPr>
          <w:rStyle w:val="af9"/>
          <w:rFonts w:hint="cs"/>
          <w:rtl/>
        </w:rPr>
        <w:t>הריטב"א</w:t>
      </w:r>
      <w:r>
        <w:rPr>
          <w:rFonts w:hint="cs"/>
          <w:rtl/>
        </w:rPr>
        <w:t xml:space="preserve"> דכוונת הגמ' להקשות דאי תפיסת הקרקע היא ראיה, כמו תפיסת מטלטלין דשתיקת הבעלים בקרקע היא ראיה לאלתר, א"כ אף בקרקע תהיה החזקה לאלתר, ואי אין תפיסת הקרקע ראיה, כיון שאדם יכול להכנס לקרקע, א"כ לעולם לא תהיה חזקה.</w:t>
      </w:r>
      <w:bookmarkStart w:id="1498" w:name="_Toc54868802"/>
      <w:bookmarkStart w:id="1499" w:name="_Toc54887702"/>
      <w:bookmarkStart w:id="1500" w:name="_Toc54891144"/>
      <w:bookmarkStart w:id="1501" w:name="_Toc54903404"/>
      <w:bookmarkStart w:id="1502" w:name="_Toc54948383"/>
      <w:bookmarkStart w:id="1503" w:name="_Toc54951986"/>
      <w:bookmarkStart w:id="1504" w:name="_Toc55072879"/>
      <w:bookmarkStart w:id="1505" w:name="_Toc55073080"/>
      <w:bookmarkStart w:id="1506" w:name="_Toc55073491"/>
      <w:bookmarkStart w:id="1507" w:name="_Toc55074039"/>
      <w:r w:rsidRPr="00FF7B34">
        <w:rPr>
          <w:rFonts w:hint="cs"/>
          <w:rtl/>
        </w:rPr>
        <w:t xml:space="preserve"> </w:t>
      </w:r>
      <w:r w:rsidRPr="00FF7B34">
        <w:rPr>
          <w:rStyle w:val="afb"/>
          <w:rFonts w:hint="cs"/>
          <w:rtl/>
        </w:rPr>
        <w:t xml:space="preserve">[ועי' במה שביאר </w:t>
      </w:r>
      <w:r w:rsidRPr="00FF7B34">
        <w:rPr>
          <w:rStyle w:val="affa"/>
          <w:rtl/>
        </w:rPr>
        <w:t>בחי' רבי נחום</w:t>
      </w:r>
      <w:r w:rsidRPr="00FF7B34">
        <w:rPr>
          <w:rStyle w:val="afb"/>
          <w:rtl/>
        </w:rPr>
        <w:t xml:space="preserve"> </w:t>
      </w:r>
      <w:r w:rsidRPr="00FF7B34">
        <w:rPr>
          <w:rStyle w:val="aff6"/>
          <w:rtl/>
        </w:rPr>
        <w:t>(</w:t>
      </w:r>
      <w:r w:rsidRPr="00FF7B34">
        <w:rPr>
          <w:rStyle w:val="aff6"/>
          <w:rFonts w:hint="cs"/>
          <w:rtl/>
        </w:rPr>
        <w:t xml:space="preserve">כט. </w:t>
      </w:r>
      <w:r w:rsidRPr="00FF7B34">
        <w:rPr>
          <w:rStyle w:val="aff6"/>
          <w:rtl/>
        </w:rPr>
        <w:t>או' כ"ד ד"ה וצריך להוסיף)</w:t>
      </w:r>
      <w:r w:rsidRPr="00FF7B34">
        <w:rPr>
          <w:rStyle w:val="afb"/>
          <w:rtl/>
        </w:rPr>
        <w:t xml:space="preserve"> דאין כוונת </w:t>
      </w:r>
      <w:r w:rsidRPr="00FF7B34">
        <w:rPr>
          <w:rStyle w:val="affa"/>
          <w:rtl/>
        </w:rPr>
        <w:t>הריטב"א</w:t>
      </w:r>
      <w:r w:rsidRPr="00FF7B34">
        <w:rPr>
          <w:rStyle w:val="afb"/>
          <w:rtl/>
        </w:rPr>
        <w:t xml:space="preserve"> לדמות את חזקת קרקעות לתפיסת מטלטלין, אלא כוונת</w:t>
      </w:r>
      <w:r w:rsidRPr="00FF7B34">
        <w:rPr>
          <w:rStyle w:val="afb"/>
          <w:rFonts w:hint="cs"/>
          <w:rtl/>
        </w:rPr>
        <w:t>ו</w:t>
      </w:r>
      <w:r w:rsidRPr="00FF7B34">
        <w:rPr>
          <w:rStyle w:val="afb"/>
          <w:rtl/>
        </w:rPr>
        <w:t xml:space="preserve"> לומר דכמו שהתפיסה מהני במטלטלין לעשותו למוחזק, ה"ה בחזקה בקרקע דכשאכל פירות בשופי הוא נעשה למוחזק</w:t>
      </w:r>
      <w:r w:rsidRPr="00FF7B34">
        <w:rPr>
          <w:rStyle w:val="afb"/>
          <w:rFonts w:hint="cs"/>
          <w:rtl/>
        </w:rPr>
        <w:t>, עיי"ש בדבריו]</w:t>
      </w:r>
      <w:r>
        <w:rPr>
          <w:rStyle w:val="afb"/>
          <w:rFonts w:hint="cs"/>
          <w:rtl/>
        </w:rPr>
        <w:t>.</w:t>
      </w:r>
      <w:r w:rsidRPr="00FF7B34">
        <w:rPr>
          <w:rStyle w:val="afb"/>
          <w:rFonts w:hint="cs"/>
          <w:rtl/>
        </w:rPr>
        <w:t xml:space="preserve"> </w:t>
      </w:r>
    </w:p>
    <w:p w:rsidR="00900B10" w:rsidRDefault="00900B10" w:rsidP="00900B10">
      <w:pPr>
        <w:pStyle w:val="a3"/>
        <w:rPr>
          <w:rtl/>
        </w:rPr>
      </w:pPr>
      <w:r>
        <w:rPr>
          <w:rFonts w:hint="cs"/>
          <w:rtl/>
        </w:rPr>
        <w:t>דברי הרמב"ן דהולכי אושא הם כר"י וא"צ ג"ש וכנונת הגמ' לג' אכילות כעין ג"ש</w:t>
      </w:r>
      <w:bookmarkEnd w:id="1498"/>
      <w:bookmarkEnd w:id="1499"/>
      <w:bookmarkEnd w:id="1500"/>
      <w:bookmarkEnd w:id="1501"/>
      <w:bookmarkEnd w:id="1502"/>
      <w:bookmarkEnd w:id="1503"/>
      <w:bookmarkEnd w:id="1504"/>
      <w:bookmarkEnd w:id="1505"/>
      <w:bookmarkEnd w:id="1506"/>
      <w:bookmarkEnd w:id="1507"/>
    </w:p>
    <w:p w:rsidR="00900B10" w:rsidRDefault="00900B10" w:rsidP="007E4E81">
      <w:pPr>
        <w:pStyle w:val="a0"/>
        <w:rPr>
          <w:rtl/>
        </w:rPr>
      </w:pPr>
      <w:bookmarkStart w:id="1508" w:name="_Toc54603704"/>
      <w:bookmarkEnd w:id="1470"/>
      <w:r>
        <w:rPr>
          <w:rFonts w:hint="cs"/>
          <w:rtl/>
        </w:rPr>
        <w:t xml:space="preserve">וכתב </w:t>
      </w:r>
      <w:r w:rsidRPr="000E5B1B">
        <w:rPr>
          <w:rStyle w:val="af9"/>
          <w:rFonts w:hint="cs"/>
          <w:rtl/>
        </w:rPr>
        <w:t>הרמב"ן</w:t>
      </w:r>
      <w:r>
        <w:rPr>
          <w:rFonts w:hint="cs"/>
          <w:rtl/>
        </w:rPr>
        <w:t xml:space="preserve"> </w:t>
      </w:r>
      <w:r w:rsidRPr="00EF5937">
        <w:rPr>
          <w:rStyle w:val="af7"/>
          <w:rFonts w:eastAsia="Guttman Hodes" w:hint="cs"/>
          <w:rtl/>
        </w:rPr>
        <w:t>(ד"ה מנין)</w:t>
      </w:r>
      <w:r>
        <w:rPr>
          <w:rFonts w:hint="cs"/>
          <w:rtl/>
        </w:rPr>
        <w:t xml:space="preserve"> דאף דלרבי ישמעאל א"צ ג"ש אלא שלוש אכילות, ואמרינן בגמ' </w:t>
      </w:r>
      <w:r w:rsidRPr="00EF5937">
        <w:rPr>
          <w:rStyle w:val="af7"/>
          <w:rFonts w:eastAsia="Guttman Hodes" w:hint="cs"/>
          <w:rtl/>
        </w:rPr>
        <w:t>(כח:)</w:t>
      </w:r>
      <w:r>
        <w:rPr>
          <w:rFonts w:hint="cs"/>
          <w:rtl/>
        </w:rPr>
        <w:t xml:space="preserve"> דהולכי אושא דילפי משור המועד היינו רבי ישמעאל, מ"מ נקטה הגמ' לשון ג"ש, וכוונתה לג' אכילות שהם כעין ג"ש.</w:t>
      </w:r>
    </w:p>
    <w:p w:rsidR="00900B10" w:rsidRDefault="00900B10" w:rsidP="00900B10">
      <w:pPr>
        <w:pStyle w:val="afe"/>
        <w:rPr>
          <w:rtl/>
        </w:rPr>
      </w:pPr>
      <w:bookmarkStart w:id="1509" w:name="_Toc54643444"/>
      <w:bookmarkStart w:id="1510" w:name="_Toc54730189"/>
      <w:bookmarkStart w:id="1511" w:name="_Toc54867210"/>
      <w:bookmarkStart w:id="1512" w:name="_Toc54868803"/>
      <w:bookmarkStart w:id="1513" w:name="_Toc54887703"/>
      <w:bookmarkStart w:id="1514" w:name="_Toc54891145"/>
      <w:bookmarkStart w:id="1515" w:name="_Toc54903405"/>
      <w:bookmarkStart w:id="1516" w:name="_Toc54948384"/>
      <w:bookmarkStart w:id="1517" w:name="_Toc54951987"/>
      <w:bookmarkStart w:id="1518" w:name="_Toc55072880"/>
      <w:bookmarkStart w:id="1519" w:name="_Toc55073081"/>
      <w:bookmarkStart w:id="1520" w:name="_Toc55073492"/>
      <w:bookmarkStart w:id="1521" w:name="_Toc55074040"/>
      <w:r>
        <w:rPr>
          <w:rFonts w:hint="cs"/>
          <w:rtl/>
        </w:rPr>
        <w:t xml:space="preserve">הסוברים </w:t>
      </w:r>
      <w:bookmarkEnd w:id="1508"/>
      <w:bookmarkEnd w:id="1509"/>
      <w:bookmarkEnd w:id="1510"/>
      <w:bookmarkEnd w:id="1511"/>
      <w:r>
        <w:rPr>
          <w:rFonts w:hint="cs"/>
          <w:rtl/>
        </w:rPr>
        <w:t>דבג"ש יצאה מהמר"ק למחזיק</w:t>
      </w:r>
      <w:bookmarkEnd w:id="1512"/>
      <w:bookmarkEnd w:id="1513"/>
      <w:bookmarkEnd w:id="1514"/>
      <w:bookmarkEnd w:id="1515"/>
      <w:bookmarkEnd w:id="1516"/>
      <w:bookmarkEnd w:id="1517"/>
      <w:bookmarkEnd w:id="1518"/>
      <w:bookmarkEnd w:id="1519"/>
      <w:bookmarkEnd w:id="1520"/>
      <w:bookmarkEnd w:id="1521"/>
    </w:p>
    <w:p w:rsidR="00900B10" w:rsidRDefault="00900B10" w:rsidP="00900B10">
      <w:pPr>
        <w:pStyle w:val="1"/>
        <w:rPr>
          <w:rtl/>
        </w:rPr>
      </w:pPr>
      <w:bookmarkStart w:id="1522" w:name="_Toc54555940"/>
      <w:bookmarkStart w:id="1523" w:name="_Toc54603705"/>
      <w:bookmarkStart w:id="1524" w:name="_Toc54643445"/>
      <w:bookmarkStart w:id="1525" w:name="_Toc54730190"/>
      <w:bookmarkStart w:id="1526" w:name="_Toc54867211"/>
      <w:bookmarkStart w:id="1527" w:name="_Toc54868804"/>
      <w:bookmarkStart w:id="1528" w:name="_Toc54887704"/>
      <w:bookmarkStart w:id="1529" w:name="_Toc54891146"/>
      <w:bookmarkStart w:id="1530" w:name="_Toc54903406"/>
      <w:bookmarkStart w:id="1531" w:name="_Toc54948385"/>
      <w:bookmarkStart w:id="1532" w:name="_Toc54951988"/>
      <w:bookmarkStart w:id="1533" w:name="_Toc55072881"/>
      <w:bookmarkStart w:id="1534" w:name="_Toc55073082"/>
      <w:bookmarkStart w:id="1535" w:name="_Toc55073493"/>
      <w:bookmarkStart w:id="1536" w:name="_Toc55074041"/>
      <w:r>
        <w:rPr>
          <w:rFonts w:hint="cs"/>
          <w:rtl/>
        </w:rPr>
        <w:t>דעת רש"י</w:t>
      </w:r>
      <w:bookmarkEnd w:id="1522"/>
      <w:r>
        <w:rPr>
          <w:rFonts w:hint="cs"/>
          <w:rtl/>
        </w:rPr>
        <w:t xml:space="preserve"> דילפינן דבג"ש יצאה מחזקת המר"ק לחזקת המחזיק</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rsidR="00900B10" w:rsidRPr="0070664A" w:rsidRDefault="00900B10" w:rsidP="00900B10">
      <w:pPr>
        <w:pStyle w:val="a3"/>
        <w:rPr>
          <w:rtl/>
        </w:rPr>
      </w:pPr>
      <w:bookmarkStart w:id="1537" w:name="_Toc54868805"/>
      <w:bookmarkStart w:id="1538" w:name="_Toc54887705"/>
      <w:bookmarkStart w:id="1539" w:name="_Toc54891147"/>
      <w:bookmarkStart w:id="1540" w:name="_Toc54903407"/>
      <w:bookmarkStart w:id="1541" w:name="_Toc54948386"/>
      <w:bookmarkStart w:id="1542" w:name="_Toc54951989"/>
      <w:bookmarkStart w:id="1543" w:name="_Toc55072882"/>
      <w:bookmarkStart w:id="1544" w:name="_Toc55073083"/>
      <w:bookmarkStart w:id="1545" w:name="_Toc55073494"/>
      <w:bookmarkStart w:id="1546" w:name="_Toc55074042"/>
      <w:bookmarkEnd w:id="1471"/>
      <w:r>
        <w:rPr>
          <w:rFonts w:hint="cs"/>
          <w:rtl/>
        </w:rPr>
        <w:t xml:space="preserve">דברי רש"י </w:t>
      </w:r>
      <w:r w:rsidRPr="0070664A">
        <w:rPr>
          <w:rFonts w:hint="cs"/>
          <w:rtl/>
        </w:rPr>
        <w:t>דהילפותא משור המועד דבג"ש יצאה הקרקע מרשות המוכר</w:t>
      </w:r>
      <w:bookmarkEnd w:id="1537"/>
      <w:bookmarkEnd w:id="1538"/>
      <w:bookmarkEnd w:id="1539"/>
      <w:bookmarkEnd w:id="1540"/>
      <w:bookmarkEnd w:id="1541"/>
      <w:bookmarkEnd w:id="1542"/>
      <w:bookmarkEnd w:id="1543"/>
      <w:bookmarkEnd w:id="1544"/>
      <w:bookmarkEnd w:id="1545"/>
      <w:bookmarkEnd w:id="1546"/>
    </w:p>
    <w:p w:rsidR="00900B10" w:rsidRPr="001A6EFC" w:rsidRDefault="00900B10" w:rsidP="007E4E81">
      <w:pPr>
        <w:pStyle w:val="a0"/>
        <w:rPr>
          <w:rStyle w:val="afb"/>
          <w:sz w:val="18"/>
          <w:szCs w:val="18"/>
          <w:rtl/>
        </w:rPr>
      </w:pPr>
      <w:r w:rsidRPr="0070664A">
        <w:rPr>
          <w:rFonts w:hint="cs"/>
          <w:rtl/>
        </w:rPr>
        <w:t>עי' בדברי ר</w:t>
      </w:r>
      <w:r w:rsidRPr="0070664A">
        <w:rPr>
          <w:rStyle w:val="af9"/>
          <w:rFonts w:hint="cs"/>
          <w:rtl/>
        </w:rPr>
        <w:t xml:space="preserve">ש"י </w:t>
      </w:r>
      <w:r w:rsidRPr="0070664A">
        <w:rPr>
          <w:rStyle w:val="af7"/>
          <w:rFonts w:eastAsia="Guttman Hodes" w:hint="cs"/>
          <w:rtl/>
        </w:rPr>
        <w:t>(עי' או</w:t>
      </w:r>
      <w:r>
        <w:rPr>
          <w:rStyle w:val="af7"/>
          <w:rFonts w:eastAsia="Guttman Hodes" w:hint="cs"/>
          <w:rtl/>
        </w:rPr>
        <w:t xml:space="preserve">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Ref54898134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Pr>
          <w:rStyle w:val="af7"/>
          <w:rFonts w:eastAsia="Guttman Hodes"/>
          <w:rtl/>
        </w:rPr>
        <w:fldChar w:fldCharType="end"/>
      </w:r>
      <w:r>
        <w:rPr>
          <w:rStyle w:val="af7"/>
          <w:rFonts w:eastAsia="Guttman Hodes" w:hint="cs"/>
          <w:rtl/>
        </w:rPr>
        <w:t xml:space="preserve"> </w:t>
      </w:r>
      <w:r w:rsidRPr="0070664A">
        <w:rPr>
          <w:rFonts w:hint="cs"/>
          <w:rtl/>
        </w:rPr>
        <w:t>דכתב דלהולכי אושא ילפינן משור המועד, דג"ש מוציאים מרשות המוכר</w:t>
      </w:r>
      <w:r>
        <w:rPr>
          <w:rStyle w:val="af1"/>
          <w:rtl/>
        </w:rPr>
        <w:footnoteReference w:id="4"/>
      </w:r>
      <w:r w:rsidRPr="0070664A">
        <w:rPr>
          <w:rFonts w:hint="cs"/>
          <w:rtl/>
        </w:rPr>
        <w:t>.</w:t>
      </w:r>
    </w:p>
    <w:p w:rsidR="00900B10" w:rsidRPr="0070664A" w:rsidRDefault="00900B10" w:rsidP="00900B10">
      <w:pPr>
        <w:pStyle w:val="a3"/>
        <w:rPr>
          <w:rtl/>
        </w:rPr>
      </w:pPr>
      <w:bookmarkStart w:id="1547" w:name="_Toc54868806"/>
      <w:bookmarkStart w:id="1548" w:name="_Toc54887706"/>
      <w:bookmarkStart w:id="1549" w:name="_Toc54891148"/>
      <w:bookmarkStart w:id="1550" w:name="_Toc54903408"/>
      <w:bookmarkStart w:id="1551" w:name="_Toc54948387"/>
      <w:bookmarkStart w:id="1552" w:name="_Toc54951990"/>
      <w:bookmarkStart w:id="1553" w:name="_Toc55072883"/>
      <w:bookmarkStart w:id="1554" w:name="_Toc55073084"/>
      <w:bookmarkStart w:id="1555" w:name="_Toc55073495"/>
      <w:bookmarkStart w:id="1556" w:name="_Toc55074043"/>
      <w:r>
        <w:rPr>
          <w:rFonts w:hint="cs"/>
          <w:rtl/>
        </w:rPr>
        <w:t>דברי רש"י דבשור בג"פ יצא מחזקת תם וה"ה דג"ש מוציאים מהמר"ק ומעמידים בחזקת המחזיק</w:t>
      </w:r>
      <w:bookmarkEnd w:id="1547"/>
      <w:bookmarkEnd w:id="1548"/>
      <w:bookmarkEnd w:id="1549"/>
      <w:bookmarkEnd w:id="1550"/>
      <w:bookmarkEnd w:id="1551"/>
      <w:bookmarkEnd w:id="1552"/>
      <w:bookmarkEnd w:id="1553"/>
      <w:bookmarkEnd w:id="1554"/>
      <w:bookmarkEnd w:id="1555"/>
      <w:bookmarkEnd w:id="1556"/>
    </w:p>
    <w:p w:rsidR="00900B10" w:rsidRDefault="00900B10" w:rsidP="007E4E81">
      <w:pPr>
        <w:pStyle w:val="a0"/>
        <w:rPr>
          <w:rtl/>
        </w:rPr>
      </w:pPr>
      <w:bookmarkStart w:id="1557" w:name="_Ref54868332"/>
      <w:bookmarkStart w:id="1558" w:name="_Ref54947187"/>
      <w:r>
        <w:rPr>
          <w:rFonts w:hint="cs"/>
          <w:rtl/>
        </w:rPr>
        <w:t xml:space="preserve">ועוד כתב </w:t>
      </w:r>
      <w:r w:rsidRPr="00EF5937">
        <w:rPr>
          <w:rStyle w:val="af9"/>
          <w:rFonts w:hint="cs"/>
          <w:rtl/>
        </w:rPr>
        <w:t xml:space="preserve">רש"י </w:t>
      </w:r>
      <w:r>
        <w:rPr>
          <w:rStyle w:val="af7"/>
          <w:rFonts w:eastAsia="Guttman Hodes" w:hint="cs"/>
          <w:rtl/>
        </w:rPr>
        <w:t>(ד</w:t>
      </w:r>
      <w:r>
        <w:rPr>
          <w:rStyle w:val="af7"/>
          <w:rFonts w:eastAsia="Guttman Hodes"/>
          <w:rtl/>
        </w:rPr>
        <w:t>"</w:t>
      </w:r>
      <w:r>
        <w:rPr>
          <w:rStyle w:val="af7"/>
          <w:rFonts w:eastAsia="Guttman Hodes" w:hint="cs"/>
          <w:rtl/>
        </w:rPr>
        <w:t xml:space="preserve">ה </w:t>
      </w:r>
      <w:r w:rsidRPr="00EF5937">
        <w:rPr>
          <w:rStyle w:val="af7"/>
          <w:rFonts w:eastAsia="Guttman Hodes" w:hint="cs"/>
          <w:rtl/>
        </w:rPr>
        <w:t>התם)</w:t>
      </w:r>
      <w:r>
        <w:rPr>
          <w:rFonts w:hint="cs"/>
          <w:rtl/>
        </w:rPr>
        <w:t xml:space="preserve"> דילפינן דחזקת ג"ש מוציאה מחזקת המרא קמא, מג' נגיחות דשור המועד דמוציאות מחזקת תם,</w:t>
      </w:r>
      <w:r w:rsidRPr="000B2B4A">
        <w:rPr>
          <w:rFonts w:hint="cs"/>
          <w:rtl/>
        </w:rPr>
        <w:t xml:space="preserve"> </w:t>
      </w:r>
      <w:r>
        <w:rPr>
          <w:rFonts w:hint="cs"/>
          <w:rtl/>
        </w:rPr>
        <w:t>ועו"כ</w:t>
      </w:r>
      <w:r w:rsidRPr="00431A84">
        <w:rPr>
          <w:rFonts w:hint="cs"/>
          <w:rtl/>
        </w:rPr>
        <w:t xml:space="preserve"> </w:t>
      </w:r>
      <w:r w:rsidRPr="00431A84">
        <w:rPr>
          <w:rStyle w:val="af9"/>
          <w:rFonts w:hint="cs"/>
          <w:rtl/>
        </w:rPr>
        <w:t xml:space="preserve">רש"י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Ref54867784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Pr>
          <w:rStyle w:val="af7"/>
          <w:rFonts w:eastAsia="Guttman Hodes"/>
          <w:rtl/>
        </w:rPr>
        <w:fldChar w:fldCharType="end"/>
      </w:r>
      <w:r>
        <w:rPr>
          <w:rStyle w:val="af7"/>
          <w:rFonts w:eastAsia="Guttman Hodes" w:hint="cs"/>
          <w:rtl/>
        </w:rPr>
        <w:t xml:space="preserve"> </w:t>
      </w:r>
      <w:r w:rsidRPr="00431A84">
        <w:rPr>
          <w:rFonts w:hint="cs"/>
          <w:rtl/>
        </w:rPr>
        <w:t xml:space="preserve">דחזקת ג"ש מוציאה מרשות </w:t>
      </w:r>
      <w:r w:rsidRPr="009004C3">
        <w:rPr>
          <w:rFonts w:hint="cs"/>
          <w:rtl/>
        </w:rPr>
        <w:t xml:space="preserve">המרא קמא, ומעמידה את הקרקע </w:t>
      </w:r>
      <w:r w:rsidRPr="009004C3">
        <w:rPr>
          <w:rFonts w:hint="cs"/>
          <w:rtl/>
        </w:rPr>
        <w:t>ברשות המחזיק, ו</w:t>
      </w:r>
      <w:r>
        <w:rPr>
          <w:rFonts w:hint="cs"/>
          <w:rtl/>
        </w:rPr>
        <w:t>כתב</w:t>
      </w:r>
      <w:r w:rsidRPr="00940AAE">
        <w:rPr>
          <w:rFonts w:hint="cs"/>
          <w:rtl/>
        </w:rPr>
        <w:t xml:space="preserve"> </w:t>
      </w:r>
      <w:r w:rsidRPr="00E377FA">
        <w:rPr>
          <w:rStyle w:val="af9"/>
          <w:rFonts w:hint="cs"/>
          <w:rtl/>
        </w:rPr>
        <w:t>הגר"ח</w:t>
      </w:r>
      <w:r w:rsidRPr="00700E0D">
        <w:rPr>
          <w:rStyle w:val="af7"/>
          <w:rFonts w:eastAsia="Guttman Hodes" w:hint="cs"/>
          <w:rtl/>
        </w:rPr>
        <w:t xml:space="preserve"> (שיעורי רבינו חיים הלוי עמ"ס ב"ב </w:t>
      </w:r>
      <w:r>
        <w:rPr>
          <w:rStyle w:val="af7"/>
          <w:rFonts w:eastAsia="Guttman Hodes" w:hint="cs"/>
          <w:rtl/>
        </w:rPr>
        <w:t>לח</w:t>
      </w:r>
      <w:r w:rsidRPr="00700E0D">
        <w:rPr>
          <w:rStyle w:val="af7"/>
          <w:rFonts w:eastAsia="Guttman Hodes" w:hint="cs"/>
          <w:rtl/>
        </w:rPr>
        <w:t>.</w:t>
      </w:r>
      <w:r>
        <w:rPr>
          <w:rStyle w:val="af7"/>
          <w:rFonts w:eastAsia="Guttman Hodes" w:hint="cs"/>
          <w:rtl/>
        </w:rPr>
        <w:t xml:space="preserve"> ד"ה אכן כ"ז</w:t>
      </w:r>
      <w:r w:rsidRPr="00700E0D">
        <w:rPr>
          <w:rStyle w:val="af7"/>
          <w:rFonts w:eastAsia="Guttman Hodes" w:hint="cs"/>
          <w:rtl/>
        </w:rPr>
        <w:t>)</w:t>
      </w:r>
      <w:r>
        <w:rPr>
          <w:rFonts w:hint="cs"/>
          <w:rtl/>
        </w:rPr>
        <w:t xml:space="preserve"> </w:t>
      </w:r>
      <w:r w:rsidRPr="00DA3332">
        <w:rPr>
          <w:rStyle w:val="af9"/>
          <w:rFonts w:hint="cs"/>
          <w:rtl/>
        </w:rPr>
        <w:t>דרש"י</w:t>
      </w:r>
      <w:r>
        <w:rPr>
          <w:rFonts w:hint="cs"/>
          <w:rtl/>
        </w:rPr>
        <w:t xml:space="preserve"> ס"ל כדעת</w:t>
      </w:r>
      <w:r w:rsidRPr="009004C3">
        <w:rPr>
          <w:rFonts w:hint="cs"/>
          <w:rtl/>
        </w:rPr>
        <w:t xml:space="preserve"> </w:t>
      </w:r>
      <w:r w:rsidRPr="009004C3">
        <w:rPr>
          <w:rStyle w:val="af9"/>
          <w:rFonts w:hint="cs"/>
          <w:rtl/>
        </w:rPr>
        <w:t>הרמב"ן</w:t>
      </w:r>
      <w:r w:rsidRPr="009004C3">
        <w:rPr>
          <w:rFonts w:hint="cs"/>
          <w:rtl/>
        </w:rPr>
        <w:t xml:space="preserve"> </w:t>
      </w:r>
      <w:r w:rsidRPr="009004C3">
        <w:rPr>
          <w:rStyle w:val="af7"/>
          <w:rFonts w:eastAsia="Guttman Hodes" w:hint="cs"/>
          <w:rtl/>
        </w:rPr>
        <w:t xml:space="preserve">(עי' אות </w:t>
      </w:r>
      <w:r w:rsidRPr="009004C3">
        <w:rPr>
          <w:rStyle w:val="af7"/>
          <w:rFonts w:eastAsia="Guttman Hodes"/>
          <w:rtl/>
        </w:rPr>
        <w:fldChar w:fldCharType="begin"/>
      </w:r>
      <w:r w:rsidRPr="009004C3">
        <w:rPr>
          <w:rStyle w:val="af7"/>
          <w:rFonts w:eastAsia="Guttman Hodes"/>
          <w:rtl/>
        </w:rPr>
        <w:instrText xml:space="preserve"> </w:instrText>
      </w:r>
      <w:r w:rsidRPr="009004C3">
        <w:rPr>
          <w:rStyle w:val="af7"/>
          <w:rFonts w:eastAsia="Guttman Hodes" w:hint="cs"/>
        </w:rPr>
        <w:instrText>REF</w:instrText>
      </w:r>
      <w:r w:rsidRPr="009004C3">
        <w:rPr>
          <w:rStyle w:val="af7"/>
          <w:rFonts w:eastAsia="Guttman Hodes" w:hint="cs"/>
          <w:rtl/>
        </w:rPr>
        <w:instrText xml:space="preserve"> _</w:instrText>
      </w:r>
      <w:r w:rsidRPr="009004C3">
        <w:rPr>
          <w:rStyle w:val="af7"/>
          <w:rFonts w:eastAsia="Guttman Hodes" w:hint="cs"/>
        </w:rPr>
        <w:instrText>Ref54801573 \r \h</w:instrText>
      </w:r>
      <w:r w:rsidRPr="009004C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9004C3">
        <w:rPr>
          <w:rStyle w:val="af7"/>
          <w:rFonts w:eastAsia="Guttman Hodes"/>
          <w:rtl/>
        </w:rPr>
      </w:r>
      <w:r w:rsidRPr="009004C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9004C3">
        <w:rPr>
          <w:rStyle w:val="af7"/>
          <w:rFonts w:eastAsia="Guttman Hodes"/>
          <w:rtl/>
        </w:rPr>
        <w:fldChar w:fldCharType="end"/>
      </w:r>
      <w:r w:rsidRPr="009004C3">
        <w:rPr>
          <w:rFonts w:hint="cs"/>
          <w:rtl/>
        </w:rPr>
        <w:t xml:space="preserve">. </w:t>
      </w:r>
      <w:bookmarkEnd w:id="1557"/>
      <w:r w:rsidRPr="00F81280">
        <w:rPr>
          <w:rStyle w:val="afb"/>
          <w:rFonts w:hint="cs"/>
          <w:rtl/>
        </w:rPr>
        <w:t>[</w:t>
      </w:r>
      <w:r>
        <w:rPr>
          <w:rStyle w:val="afb"/>
          <w:rFonts w:hint="cs"/>
          <w:rtl/>
        </w:rPr>
        <w:t>ו</w:t>
      </w:r>
      <w:r w:rsidRPr="00F81280">
        <w:rPr>
          <w:rStyle w:val="afb"/>
          <w:rFonts w:hint="cs"/>
          <w:rtl/>
        </w:rPr>
        <w:t xml:space="preserve">עי' בדברי </w:t>
      </w:r>
      <w:r w:rsidRPr="00F81280">
        <w:rPr>
          <w:rStyle w:val="affa"/>
          <w:rFonts w:hint="cs"/>
          <w:rtl/>
        </w:rPr>
        <w:t>התוס'</w:t>
      </w:r>
      <w:r w:rsidRPr="00F81280">
        <w:rPr>
          <w:rStyle w:val="afb"/>
          <w:rFonts w:hint="cs"/>
          <w:rtl/>
        </w:rPr>
        <w:t xml:space="preserve"> </w:t>
      </w:r>
      <w:r w:rsidRPr="00F81280">
        <w:rPr>
          <w:rStyle w:val="aff6"/>
          <w:rFonts w:hint="cs"/>
          <w:rtl/>
        </w:rPr>
        <w:t xml:space="preserve">(עי' אות </w:t>
      </w:r>
      <w:r w:rsidRPr="00F81280">
        <w:rPr>
          <w:rStyle w:val="aff6"/>
          <w:rtl/>
        </w:rPr>
        <w:fldChar w:fldCharType="begin"/>
      </w:r>
      <w:r w:rsidRPr="00F81280">
        <w:rPr>
          <w:rStyle w:val="aff6"/>
          <w:rtl/>
        </w:rPr>
        <w:instrText xml:space="preserve"> </w:instrText>
      </w:r>
      <w:r w:rsidRPr="00F81280">
        <w:rPr>
          <w:rStyle w:val="aff6"/>
          <w:rFonts w:hint="cs"/>
        </w:rPr>
        <w:instrText>REF</w:instrText>
      </w:r>
      <w:r w:rsidRPr="00F81280">
        <w:rPr>
          <w:rStyle w:val="aff6"/>
          <w:rFonts w:hint="cs"/>
          <w:rtl/>
        </w:rPr>
        <w:instrText xml:space="preserve"> _</w:instrText>
      </w:r>
      <w:r w:rsidRPr="00F81280">
        <w:rPr>
          <w:rStyle w:val="aff6"/>
          <w:rFonts w:hint="cs"/>
        </w:rPr>
        <w:instrText>Ref54555065 \r \h</w:instrText>
      </w:r>
      <w:r w:rsidRPr="00F81280">
        <w:rPr>
          <w:rStyle w:val="aff6"/>
          <w:rtl/>
        </w:rPr>
        <w:instrText xml:space="preserve"> </w:instrText>
      </w:r>
      <w:r w:rsidRPr="00F81280">
        <w:rPr>
          <w:rStyle w:val="aff6"/>
          <w:rtl/>
        </w:rPr>
      </w:r>
      <w:r w:rsidRPr="00F81280">
        <w:rPr>
          <w:rStyle w:val="aff6"/>
          <w:rtl/>
        </w:rPr>
        <w:fldChar w:fldCharType="separate"/>
      </w:r>
      <w:r w:rsidR="00265073">
        <w:rPr>
          <w:rStyle w:val="aff6"/>
          <w:cs/>
        </w:rPr>
        <w:t>‎</w:t>
      </w:r>
      <w:r w:rsidR="00265073">
        <w:rPr>
          <w:rStyle w:val="aff6"/>
          <w:rtl/>
        </w:rPr>
        <w:t>כ)</w:t>
      </w:r>
      <w:r w:rsidRPr="00F81280">
        <w:rPr>
          <w:rStyle w:val="aff6"/>
          <w:rtl/>
        </w:rPr>
        <w:fldChar w:fldCharType="end"/>
      </w:r>
      <w:r w:rsidRPr="00F81280">
        <w:rPr>
          <w:rStyle w:val="afb"/>
          <w:rFonts w:hint="cs"/>
          <w:rtl/>
        </w:rPr>
        <w:t>]</w:t>
      </w:r>
      <w:r>
        <w:rPr>
          <w:rStyle w:val="afb"/>
          <w:rFonts w:hint="cs"/>
          <w:rtl/>
        </w:rPr>
        <w:t>.</w:t>
      </w:r>
      <w:bookmarkEnd w:id="1558"/>
    </w:p>
    <w:p w:rsidR="00900B10" w:rsidRPr="00FF405D" w:rsidRDefault="00900B10" w:rsidP="00900B10">
      <w:pPr>
        <w:pStyle w:val="a3"/>
      </w:pPr>
      <w:bookmarkStart w:id="1559" w:name="_Toc54555937"/>
      <w:bookmarkStart w:id="1560" w:name="_Toc54603700"/>
      <w:bookmarkStart w:id="1561" w:name="_Toc54643440"/>
      <w:bookmarkStart w:id="1562" w:name="_Toc54730185"/>
      <w:bookmarkStart w:id="1563" w:name="_Toc54867206"/>
      <w:bookmarkStart w:id="1564" w:name="_Toc54868797"/>
      <w:bookmarkStart w:id="1565" w:name="_Toc54887697"/>
      <w:bookmarkStart w:id="1566" w:name="_Toc54891150"/>
      <w:bookmarkStart w:id="1567" w:name="_Toc54903410"/>
      <w:bookmarkStart w:id="1568" w:name="_Toc54948389"/>
      <w:bookmarkStart w:id="1569" w:name="_Toc54951992"/>
      <w:bookmarkStart w:id="1570" w:name="_Toc55072885"/>
      <w:bookmarkStart w:id="1571" w:name="_Toc55073086"/>
      <w:bookmarkStart w:id="1572" w:name="_Toc55073497"/>
      <w:bookmarkStart w:id="1573" w:name="_Toc55074045"/>
      <w:bookmarkStart w:id="1574" w:name="_Toc54555942"/>
      <w:bookmarkStart w:id="1575" w:name="_Toc54603706"/>
      <w:bookmarkStart w:id="1576" w:name="_Toc54643446"/>
      <w:bookmarkStart w:id="1577" w:name="_Toc54730191"/>
      <w:bookmarkStart w:id="1578" w:name="_Toc54867212"/>
      <w:bookmarkStart w:id="1579" w:name="_Toc54868807"/>
      <w:bookmarkStart w:id="1580" w:name="_Toc54887707"/>
      <w:bookmarkStart w:id="1581" w:name="_Toc54555941"/>
      <w:r w:rsidRPr="00FF405D">
        <w:rPr>
          <w:rFonts w:hint="cs"/>
          <w:rtl/>
        </w:rPr>
        <w:t>ביאור רש"י ד</w:t>
      </w:r>
      <w:r>
        <w:rPr>
          <w:rFonts w:hint="cs"/>
          <w:rtl/>
        </w:rPr>
        <w:t xml:space="preserve">י"ח חדשים </w:t>
      </w:r>
      <w:r w:rsidRPr="00FF405D">
        <w:rPr>
          <w:rFonts w:hint="cs"/>
          <w:rtl/>
        </w:rPr>
        <w:t>הוי חזקה כיון שאין אדם שרואה שאוכלין לו פרי של שנה והוא שותק</w:t>
      </w:r>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rsidR="00900B10" w:rsidRPr="00FF405D" w:rsidRDefault="00900B10" w:rsidP="007E4E81">
      <w:pPr>
        <w:pStyle w:val="a0"/>
        <w:rPr>
          <w:rtl/>
        </w:rPr>
      </w:pPr>
      <w:r w:rsidRPr="00FF405D">
        <w:rPr>
          <w:rFonts w:hint="cs"/>
          <w:rtl/>
        </w:rPr>
        <w:t>ו</w:t>
      </w:r>
      <w:r>
        <w:rPr>
          <w:rFonts w:hint="cs"/>
          <w:rtl/>
        </w:rPr>
        <w:t xml:space="preserve">ע"ע במ"ש </w:t>
      </w:r>
      <w:r w:rsidRPr="00FF405D">
        <w:rPr>
          <w:rStyle w:val="af9"/>
          <w:rFonts w:hint="cs"/>
          <w:rtl/>
        </w:rPr>
        <w:t>רש"י</w:t>
      </w:r>
      <w:r>
        <w:rPr>
          <w:rStyle w:val="af9"/>
          <w:rFonts w:hint="cs"/>
          <w:rtl/>
        </w:rPr>
        <w:t xml:space="preserve"> במתני'</w:t>
      </w:r>
      <w:r w:rsidRPr="00FF405D">
        <w:rPr>
          <w:rFonts w:hint="cs"/>
          <w:rtl/>
        </w:rPr>
        <w:t xml:space="preserve"> </w:t>
      </w:r>
      <w:r w:rsidRPr="00FF405D">
        <w:rPr>
          <w:rStyle w:val="af7"/>
          <w:rFonts w:eastAsia="Guttman Hodes" w:hint="cs"/>
          <w:rtl/>
        </w:rPr>
        <w:t>(ד"ה שדה בית)</w:t>
      </w:r>
      <w:r w:rsidRPr="00FF405D">
        <w:rPr>
          <w:rFonts w:hint="cs"/>
          <w:rtl/>
        </w:rPr>
        <w:t xml:space="preserve"> דלרבי ישמעאל סגי בי"ח חודשים, כיון שאין אדם שרואה את חבירו שזורע את שדהו בכדי לאכול פרי שראוי לשנה, והוא שותק ואינו מוחה.</w:t>
      </w:r>
    </w:p>
    <w:p w:rsidR="00900B10" w:rsidRPr="00FF405D" w:rsidRDefault="00900B10" w:rsidP="00900B10">
      <w:pPr>
        <w:pStyle w:val="a3"/>
        <w:rPr>
          <w:rtl/>
        </w:rPr>
      </w:pPr>
      <w:bookmarkStart w:id="1582" w:name="_Toc54555938"/>
      <w:bookmarkStart w:id="1583" w:name="_Toc54603701"/>
      <w:bookmarkStart w:id="1584" w:name="_Toc54643441"/>
      <w:bookmarkStart w:id="1585" w:name="_Toc54730186"/>
      <w:bookmarkStart w:id="1586" w:name="_Toc54867207"/>
      <w:bookmarkStart w:id="1587" w:name="_Toc54868798"/>
      <w:bookmarkStart w:id="1588" w:name="_Toc54887698"/>
      <w:bookmarkStart w:id="1589" w:name="_Toc54891151"/>
      <w:bookmarkStart w:id="1590" w:name="_Toc54903411"/>
      <w:bookmarkStart w:id="1591" w:name="_Toc54948390"/>
      <w:bookmarkStart w:id="1592" w:name="_Toc54951993"/>
      <w:bookmarkStart w:id="1593" w:name="_Toc55072886"/>
      <w:bookmarkStart w:id="1594" w:name="_Toc55073087"/>
      <w:bookmarkStart w:id="1595" w:name="_Toc55073498"/>
      <w:bookmarkStart w:id="1596" w:name="_Toc55074046"/>
      <w:r w:rsidRPr="00FF405D">
        <w:rPr>
          <w:rFonts w:hint="cs"/>
          <w:rtl/>
        </w:rPr>
        <w:t xml:space="preserve">ביאור החת"ס ברש"י דהראיה </w:t>
      </w:r>
      <w:r>
        <w:rPr>
          <w:rFonts w:hint="cs"/>
          <w:rtl/>
        </w:rPr>
        <w:t xml:space="preserve">מהחזקה </w:t>
      </w:r>
      <w:r w:rsidRPr="00FF405D">
        <w:rPr>
          <w:rFonts w:hint="cs"/>
          <w:rtl/>
        </w:rPr>
        <w:t>היא בשנה הראשונה וצריך ג"ש לחזקה כשור המועד</w:t>
      </w:r>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p>
    <w:p w:rsidR="00900B10" w:rsidRPr="00FF405D" w:rsidRDefault="00900B10" w:rsidP="007E4E81">
      <w:pPr>
        <w:pStyle w:val="a0"/>
        <w:rPr>
          <w:rtl/>
        </w:rPr>
      </w:pPr>
      <w:r w:rsidRPr="00FF405D">
        <w:rPr>
          <w:rFonts w:hint="cs"/>
          <w:rtl/>
        </w:rPr>
        <w:t xml:space="preserve">וכתב </w:t>
      </w:r>
      <w:r w:rsidRPr="00FF405D">
        <w:rPr>
          <w:rStyle w:val="af9"/>
          <w:rFonts w:hint="cs"/>
          <w:rtl/>
        </w:rPr>
        <w:t>החת"ס</w:t>
      </w:r>
      <w:r w:rsidRPr="00FF405D">
        <w:rPr>
          <w:rFonts w:hint="cs"/>
          <w:rtl/>
        </w:rPr>
        <w:t xml:space="preserve"> </w:t>
      </w:r>
      <w:r w:rsidRPr="00FF405D">
        <w:rPr>
          <w:rStyle w:val="af7"/>
          <w:rFonts w:eastAsia="Guttman Hodes" w:hint="cs"/>
          <w:rtl/>
        </w:rPr>
        <w:t xml:space="preserve">(ד"ה שדה) </w:t>
      </w:r>
      <w:r w:rsidRPr="00FF405D">
        <w:rPr>
          <w:rFonts w:hint="cs"/>
          <w:rtl/>
        </w:rPr>
        <w:t xml:space="preserve">דמשמע מדברי </w:t>
      </w:r>
      <w:r w:rsidRPr="00FF405D">
        <w:rPr>
          <w:rStyle w:val="af9"/>
          <w:rFonts w:hint="cs"/>
          <w:rtl/>
        </w:rPr>
        <w:t>רש"י</w:t>
      </w:r>
      <w:r w:rsidRPr="00FF405D">
        <w:rPr>
          <w:rFonts w:hint="cs"/>
          <w:rtl/>
        </w:rPr>
        <w:t xml:space="preserve"> דלר"ע ורבי ישמעאל כבר בשנה הראשונה המערער מקפיד על אכילת שדהו, והא דצריך ג"ש, הוא בכדי שיהיה חזקה שהמערער שותק על הקפדתו, וזו הילפותא של הולכי אושא משור המועד, דבג' פעמים הוי חזקה, אבל לרבנן המערער אינו מקפיד </w:t>
      </w:r>
      <w:r>
        <w:rPr>
          <w:rFonts w:hint="cs"/>
          <w:rtl/>
        </w:rPr>
        <w:t>עד</w:t>
      </w:r>
      <w:r w:rsidRPr="00FF405D">
        <w:rPr>
          <w:rFonts w:hint="cs"/>
          <w:rtl/>
        </w:rPr>
        <w:t xml:space="preserve"> לאחר ג"ש, וכדברי רבא </w:t>
      </w:r>
      <w:r w:rsidRPr="00FF405D">
        <w:rPr>
          <w:rStyle w:val="af7"/>
          <w:rFonts w:eastAsia="Guttman Hodes" w:hint="cs"/>
          <w:rtl/>
        </w:rPr>
        <w:t>(כח:)</w:t>
      </w:r>
      <w:r w:rsidRPr="00FF405D">
        <w:rPr>
          <w:rFonts w:hint="cs"/>
          <w:rtl/>
        </w:rPr>
        <w:t xml:space="preserve">, ועי' במ"ש </w:t>
      </w:r>
      <w:r w:rsidRPr="00FF405D">
        <w:rPr>
          <w:rStyle w:val="af9"/>
          <w:rFonts w:hint="cs"/>
          <w:rtl/>
        </w:rPr>
        <w:t>בחי' רבי נחום</w:t>
      </w:r>
      <w:r w:rsidRPr="00FF405D">
        <w:rPr>
          <w:rFonts w:hint="cs"/>
          <w:rtl/>
        </w:rPr>
        <w:t xml:space="preserve"> </w:t>
      </w:r>
      <w:r w:rsidRPr="00FF405D">
        <w:rPr>
          <w:rStyle w:val="af7"/>
          <w:rFonts w:eastAsia="Guttman Hodes" w:hint="cs"/>
          <w:rtl/>
        </w:rPr>
        <w:t xml:space="preserve">(עי' אות </w:t>
      </w:r>
      <w:r w:rsidRPr="00FF405D">
        <w:rPr>
          <w:rStyle w:val="af7"/>
          <w:rFonts w:eastAsia="Guttman Hodes"/>
          <w:rtl/>
        </w:rPr>
        <w:fldChar w:fldCharType="begin"/>
      </w:r>
      <w:r w:rsidRPr="00FF405D">
        <w:rPr>
          <w:rStyle w:val="af7"/>
          <w:rFonts w:eastAsia="Guttman Hodes"/>
          <w:rtl/>
        </w:rPr>
        <w:instrText xml:space="preserve"> </w:instrText>
      </w:r>
      <w:r w:rsidRPr="00FF405D">
        <w:rPr>
          <w:rStyle w:val="af7"/>
          <w:rFonts w:eastAsia="Guttman Hodes" w:hint="cs"/>
        </w:rPr>
        <w:instrText>REF</w:instrText>
      </w:r>
      <w:r w:rsidRPr="00FF405D">
        <w:rPr>
          <w:rStyle w:val="af7"/>
          <w:rFonts w:eastAsia="Guttman Hodes" w:hint="cs"/>
          <w:rtl/>
        </w:rPr>
        <w:instrText xml:space="preserve"> _</w:instrText>
      </w:r>
      <w:r w:rsidRPr="00FF405D">
        <w:rPr>
          <w:rStyle w:val="af7"/>
          <w:rFonts w:eastAsia="Guttman Hodes" w:hint="cs"/>
        </w:rPr>
        <w:instrText>Ref54208871 \r \h</w:instrText>
      </w:r>
      <w:r w:rsidRPr="00FF405D">
        <w:rPr>
          <w:rStyle w:val="af7"/>
          <w:rFonts w:eastAsia="Guttman Hodes"/>
          <w:rtl/>
        </w:rPr>
        <w:instrText xml:space="preserve">  \* </w:instrText>
      </w:r>
      <w:r w:rsidRPr="00FF405D">
        <w:rPr>
          <w:rStyle w:val="af7"/>
          <w:rFonts w:eastAsia="Guttman Hodes"/>
        </w:rPr>
        <w:instrText>MERGEFORMAT</w:instrText>
      </w:r>
      <w:r w:rsidRPr="00FF405D">
        <w:rPr>
          <w:rStyle w:val="af7"/>
          <w:rFonts w:eastAsia="Guttman Hodes"/>
          <w:rtl/>
        </w:rPr>
        <w:instrText xml:space="preserve"> </w:instrText>
      </w:r>
      <w:r w:rsidRPr="00FF405D">
        <w:rPr>
          <w:rStyle w:val="af7"/>
          <w:rFonts w:eastAsia="Guttman Hodes"/>
          <w:rtl/>
        </w:rPr>
      </w:r>
      <w:r w:rsidRPr="00FF405D">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FF405D">
        <w:rPr>
          <w:rStyle w:val="af7"/>
          <w:rFonts w:eastAsia="Guttman Hodes"/>
          <w:rtl/>
        </w:rPr>
        <w:fldChar w:fldCharType="end"/>
      </w:r>
      <w:r w:rsidRPr="00FF405D">
        <w:rPr>
          <w:rFonts w:hint="cs"/>
          <w:rtl/>
        </w:rPr>
        <w:t>.</w:t>
      </w:r>
    </w:p>
    <w:p w:rsidR="00900B10" w:rsidRDefault="00900B10" w:rsidP="00900B10">
      <w:pPr>
        <w:pStyle w:val="1"/>
        <w:rPr>
          <w:rtl/>
        </w:rPr>
      </w:pPr>
      <w:bookmarkStart w:id="1597" w:name="_Toc54891152"/>
      <w:bookmarkStart w:id="1598" w:name="_Toc54903412"/>
      <w:bookmarkStart w:id="1599" w:name="_Toc54948391"/>
      <w:bookmarkStart w:id="1600" w:name="_Toc54951994"/>
      <w:bookmarkStart w:id="1601" w:name="_Toc55072887"/>
      <w:bookmarkStart w:id="1602" w:name="_Toc55073088"/>
      <w:bookmarkStart w:id="1603" w:name="_Toc55073499"/>
      <w:bookmarkStart w:id="1604" w:name="_Toc55074047"/>
      <w:r>
        <w:rPr>
          <w:rFonts w:hint="cs"/>
          <w:rtl/>
        </w:rPr>
        <w:t xml:space="preserve">דברי </w:t>
      </w:r>
      <w:bookmarkEnd w:id="1574"/>
      <w:bookmarkEnd w:id="1575"/>
      <w:bookmarkEnd w:id="1576"/>
      <w:bookmarkEnd w:id="1577"/>
      <w:bookmarkEnd w:id="1578"/>
      <w:bookmarkEnd w:id="1579"/>
      <w:bookmarkEnd w:id="1580"/>
      <w:r>
        <w:rPr>
          <w:rFonts w:hint="cs"/>
          <w:rtl/>
        </w:rPr>
        <w:t>הראשונים דשור יצא מתם למועד ובחזקה יצאה מהמר"ק</w:t>
      </w:r>
      <w:bookmarkEnd w:id="1597"/>
      <w:bookmarkEnd w:id="1598"/>
      <w:bookmarkEnd w:id="1599"/>
      <w:bookmarkEnd w:id="1600"/>
      <w:bookmarkEnd w:id="1601"/>
      <w:bookmarkEnd w:id="1602"/>
      <w:bookmarkEnd w:id="1603"/>
      <w:bookmarkEnd w:id="1604"/>
    </w:p>
    <w:p w:rsidR="00900B10" w:rsidRDefault="00900B10" w:rsidP="00900B10">
      <w:pPr>
        <w:pStyle w:val="a3"/>
        <w:rPr>
          <w:rtl/>
        </w:rPr>
      </w:pPr>
      <w:bookmarkStart w:id="1605" w:name="_Toc54868808"/>
      <w:bookmarkStart w:id="1606" w:name="_Toc54887708"/>
      <w:bookmarkStart w:id="1607" w:name="_Toc54891153"/>
      <w:bookmarkStart w:id="1608" w:name="_Toc54903413"/>
      <w:bookmarkStart w:id="1609" w:name="_Toc54948392"/>
      <w:bookmarkStart w:id="1610" w:name="_Toc54951995"/>
      <w:bookmarkStart w:id="1611" w:name="_Toc55072888"/>
      <w:bookmarkStart w:id="1612" w:name="_Toc55073089"/>
      <w:bookmarkStart w:id="1613" w:name="_Toc55073500"/>
      <w:bookmarkStart w:id="1614" w:name="_Toc55074048"/>
      <w:r>
        <w:rPr>
          <w:rFonts w:hint="cs"/>
          <w:rtl/>
        </w:rPr>
        <w:t>קושית הרמב"ן דמה השייכות בין העדאת שור המועד לחזקת ג"ש</w:t>
      </w:r>
      <w:bookmarkEnd w:id="1605"/>
      <w:bookmarkEnd w:id="1606"/>
      <w:bookmarkEnd w:id="1607"/>
      <w:bookmarkEnd w:id="1608"/>
      <w:bookmarkEnd w:id="1609"/>
      <w:bookmarkEnd w:id="1610"/>
      <w:bookmarkEnd w:id="1611"/>
      <w:bookmarkEnd w:id="1612"/>
      <w:bookmarkEnd w:id="1613"/>
      <w:bookmarkEnd w:id="1614"/>
    </w:p>
    <w:p w:rsidR="00900B10" w:rsidRDefault="00900B10" w:rsidP="007E4E81">
      <w:pPr>
        <w:pStyle w:val="a0"/>
        <w:rPr>
          <w:rtl/>
        </w:rPr>
      </w:pPr>
      <w:r>
        <w:rPr>
          <w:rFonts w:hint="cs"/>
          <w:rtl/>
        </w:rPr>
        <w:t xml:space="preserve">בהא דילפינן חזקת ג"ש משור המועד, הקשה </w:t>
      </w:r>
      <w:r w:rsidRPr="00EF5937">
        <w:rPr>
          <w:rStyle w:val="af9"/>
          <w:rFonts w:hint="cs"/>
          <w:rtl/>
        </w:rPr>
        <w:t xml:space="preserve">הרמב"ן </w:t>
      </w:r>
      <w:r>
        <w:rPr>
          <w:rStyle w:val="af7"/>
          <w:rFonts w:eastAsia="Guttman Hodes" w:hint="cs"/>
          <w:rtl/>
        </w:rPr>
        <w:t>(ד</w:t>
      </w:r>
      <w:r>
        <w:rPr>
          <w:rStyle w:val="af7"/>
          <w:rFonts w:eastAsia="Guttman Hodes"/>
          <w:rtl/>
        </w:rPr>
        <w:t>"</w:t>
      </w:r>
      <w:r>
        <w:rPr>
          <w:rStyle w:val="af7"/>
          <w:rFonts w:eastAsia="Guttman Hodes" w:hint="cs"/>
          <w:rtl/>
        </w:rPr>
        <w:t xml:space="preserve">ה </w:t>
      </w:r>
      <w:r w:rsidRPr="00EF5937">
        <w:rPr>
          <w:rStyle w:val="af7"/>
          <w:rFonts w:eastAsia="Guttman Hodes" w:hint="cs"/>
          <w:rtl/>
        </w:rPr>
        <w:t>משור)</w:t>
      </w:r>
      <w:r>
        <w:rPr>
          <w:rFonts w:hint="cs"/>
          <w:rtl/>
        </w:rPr>
        <w:t xml:space="preserve"> דלא מבואר מה השייכות בין חזקת ג"ש, להעדאת שור המועד.</w:t>
      </w:r>
    </w:p>
    <w:p w:rsidR="00900B10" w:rsidRDefault="00900B10" w:rsidP="00900B10">
      <w:pPr>
        <w:pStyle w:val="a3"/>
        <w:rPr>
          <w:rtl/>
        </w:rPr>
      </w:pPr>
      <w:bookmarkStart w:id="1615" w:name="_Toc54868809"/>
      <w:bookmarkStart w:id="1616" w:name="_Toc54887709"/>
      <w:bookmarkStart w:id="1617" w:name="_Toc54891154"/>
      <w:bookmarkStart w:id="1618" w:name="_Toc54903414"/>
      <w:bookmarkStart w:id="1619" w:name="_Toc54948393"/>
      <w:bookmarkStart w:id="1620" w:name="_Toc54951996"/>
      <w:bookmarkStart w:id="1621" w:name="_Toc55072889"/>
      <w:bookmarkStart w:id="1622" w:name="_Toc55073090"/>
      <w:bookmarkStart w:id="1623" w:name="_Toc55073501"/>
      <w:bookmarkStart w:id="1624" w:name="_Toc55074049"/>
      <w:r>
        <w:rPr>
          <w:rFonts w:hint="cs"/>
          <w:rtl/>
        </w:rPr>
        <w:t>ביאור הרמב"ן דשור יצא בג"פ מחזקת תם למועד ובג"ש יצאה מהמר"ק והמחזיק הוא המוחזק</w:t>
      </w:r>
      <w:bookmarkEnd w:id="1615"/>
      <w:bookmarkEnd w:id="1616"/>
      <w:bookmarkEnd w:id="1617"/>
      <w:bookmarkEnd w:id="1618"/>
      <w:bookmarkEnd w:id="1619"/>
      <w:bookmarkEnd w:id="1620"/>
      <w:bookmarkEnd w:id="1621"/>
      <w:bookmarkEnd w:id="1622"/>
      <w:bookmarkEnd w:id="1623"/>
      <w:bookmarkEnd w:id="1624"/>
    </w:p>
    <w:p w:rsidR="00900B10" w:rsidRDefault="00900B10" w:rsidP="007E4E81">
      <w:pPr>
        <w:pStyle w:val="a0"/>
        <w:rPr>
          <w:rtl/>
        </w:rPr>
      </w:pPr>
      <w:bookmarkStart w:id="1625" w:name="_Ref54801573"/>
      <w:r>
        <w:rPr>
          <w:rFonts w:hint="cs"/>
          <w:rtl/>
        </w:rPr>
        <w:t xml:space="preserve">וביאר </w:t>
      </w:r>
      <w:r w:rsidRPr="00EF5937">
        <w:rPr>
          <w:rStyle w:val="af9"/>
          <w:rFonts w:hint="cs"/>
          <w:rtl/>
        </w:rPr>
        <w:t xml:space="preserve">הרמב"ן </w:t>
      </w:r>
      <w:r>
        <w:rPr>
          <w:rFonts w:hint="cs"/>
          <w:rtl/>
        </w:rPr>
        <w:t xml:space="preserve">דההיקש הוא דכמו ששור שנגח ג"פ יצא מחזקת תמות, אף השדה לאחר ג"ש יצאה מחזקת המוכר, ונעשה המחזיק למוחזק, וכיון שאינה בחזקת המוכר, א"כ עליו להביא ראיה שלא מכר למחזיק, ולהוציא את המחזיק מחזקתו, וכן משמע </w:t>
      </w:r>
      <w:r w:rsidRPr="00A37036">
        <w:rPr>
          <w:rStyle w:val="af9"/>
          <w:rFonts w:hint="cs"/>
          <w:rtl/>
        </w:rPr>
        <w:t>ברש"י</w:t>
      </w:r>
      <w:r>
        <w:rPr>
          <w:rFonts w:hint="cs"/>
          <w:rtl/>
        </w:rPr>
        <w:t xml:space="preserve"> </w:t>
      </w:r>
      <w:r w:rsidRPr="00A37036">
        <w:rPr>
          <w:rStyle w:val="af7"/>
          <w:rFonts w:eastAsia="Guttman Hodes" w:hint="cs"/>
          <w:rtl/>
        </w:rPr>
        <w:t xml:space="preserve">(עי' אות </w:t>
      </w:r>
      <w:r w:rsidRPr="00A37036">
        <w:rPr>
          <w:rStyle w:val="af7"/>
          <w:rFonts w:eastAsia="Guttman Hodes"/>
          <w:rtl/>
        </w:rPr>
        <w:fldChar w:fldCharType="begin"/>
      </w:r>
      <w:r w:rsidRPr="00A37036">
        <w:rPr>
          <w:rStyle w:val="af7"/>
          <w:rFonts w:eastAsia="Guttman Hodes"/>
          <w:rtl/>
        </w:rPr>
        <w:instrText xml:space="preserve"> </w:instrText>
      </w:r>
      <w:r w:rsidRPr="00A37036">
        <w:rPr>
          <w:rStyle w:val="af7"/>
          <w:rFonts w:eastAsia="Guttman Hodes" w:hint="cs"/>
        </w:rPr>
        <w:instrText>REF</w:instrText>
      </w:r>
      <w:r w:rsidRPr="00A37036">
        <w:rPr>
          <w:rStyle w:val="af7"/>
          <w:rFonts w:eastAsia="Guttman Hodes" w:hint="cs"/>
          <w:rtl/>
        </w:rPr>
        <w:instrText xml:space="preserve"> _</w:instrText>
      </w:r>
      <w:r w:rsidRPr="00A37036">
        <w:rPr>
          <w:rStyle w:val="af7"/>
          <w:rFonts w:eastAsia="Guttman Hodes" w:hint="cs"/>
        </w:rPr>
        <w:instrText>Ref54868332 \r \h</w:instrText>
      </w:r>
      <w:r w:rsidRPr="00A37036">
        <w:rPr>
          <w:rStyle w:val="af7"/>
          <w:rFonts w:eastAsia="Guttman Hodes"/>
          <w:rtl/>
        </w:rPr>
        <w:instrText xml:space="preserve"> </w:instrText>
      </w:r>
      <w:r w:rsidRPr="00A37036">
        <w:rPr>
          <w:rStyle w:val="af7"/>
          <w:rFonts w:eastAsia="Guttman Hodes"/>
          <w:rtl/>
        </w:rPr>
      </w:r>
      <w:r w:rsidRPr="00A37036">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A37036">
        <w:rPr>
          <w:rStyle w:val="af7"/>
          <w:rFonts w:eastAsia="Guttman Hodes"/>
          <w:rtl/>
        </w:rPr>
        <w:fldChar w:fldCharType="end"/>
      </w:r>
      <w:r>
        <w:rPr>
          <w:rFonts w:hint="cs"/>
          <w:rtl/>
        </w:rPr>
        <w:t xml:space="preserve">, ועי' במה שביאר </w:t>
      </w:r>
      <w:r w:rsidRPr="00E377FA">
        <w:rPr>
          <w:rStyle w:val="af9"/>
          <w:rFonts w:hint="cs"/>
          <w:rtl/>
        </w:rPr>
        <w:t>בחו"ש הגרב"ב</w:t>
      </w:r>
      <w:r>
        <w:rPr>
          <w:rFonts w:hint="cs"/>
          <w:rtl/>
        </w:rPr>
        <w:t xml:space="preserve"> </w:t>
      </w:r>
      <w:r w:rsidRPr="001A6EFC">
        <w:rPr>
          <w:rStyle w:val="af7"/>
          <w:rFonts w:eastAsia="Guttman Hodes" w:hint="cs"/>
          <w:rtl/>
        </w:rPr>
        <w:t xml:space="preserve">(עי' אות </w:t>
      </w:r>
      <w:r w:rsidRPr="001A6EFC">
        <w:rPr>
          <w:rStyle w:val="af7"/>
          <w:rFonts w:eastAsia="Guttman Hodes"/>
          <w:rtl/>
        </w:rPr>
        <w:fldChar w:fldCharType="begin"/>
      </w:r>
      <w:r w:rsidRPr="001A6EFC">
        <w:rPr>
          <w:rStyle w:val="af7"/>
          <w:rFonts w:eastAsia="Guttman Hodes"/>
          <w:rtl/>
        </w:rPr>
        <w:instrText xml:space="preserve"> </w:instrText>
      </w:r>
      <w:r w:rsidRPr="001A6EFC">
        <w:rPr>
          <w:rStyle w:val="af7"/>
          <w:rFonts w:eastAsia="Guttman Hodes" w:hint="cs"/>
        </w:rPr>
        <w:instrText>REF</w:instrText>
      </w:r>
      <w:r w:rsidRPr="001A6EFC">
        <w:rPr>
          <w:rStyle w:val="af7"/>
          <w:rFonts w:eastAsia="Guttman Hodes" w:hint="cs"/>
          <w:rtl/>
        </w:rPr>
        <w:instrText xml:space="preserve"> _</w:instrText>
      </w:r>
      <w:r w:rsidRPr="001A6EFC">
        <w:rPr>
          <w:rStyle w:val="af7"/>
          <w:rFonts w:eastAsia="Guttman Hodes" w:hint="cs"/>
        </w:rPr>
        <w:instrText>Ref54947300 \r \h</w:instrText>
      </w:r>
      <w:r w:rsidRPr="001A6EFC">
        <w:rPr>
          <w:rStyle w:val="af7"/>
          <w:rFonts w:eastAsia="Guttman Hodes"/>
          <w:rtl/>
        </w:rPr>
        <w:instrText xml:space="preserve"> </w:instrText>
      </w:r>
      <w:r w:rsidRPr="001A6EFC">
        <w:rPr>
          <w:rStyle w:val="af7"/>
          <w:rFonts w:eastAsia="Guttman Hodes"/>
          <w:rtl/>
        </w:rPr>
      </w:r>
      <w:r w:rsidRPr="001A6EFC">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1A6EFC">
        <w:rPr>
          <w:rStyle w:val="af7"/>
          <w:rFonts w:eastAsia="Guttman Hodes"/>
          <w:rtl/>
        </w:rPr>
        <w:fldChar w:fldCharType="end"/>
      </w:r>
      <w:r>
        <w:rPr>
          <w:rFonts w:hint="cs"/>
          <w:rtl/>
        </w:rPr>
        <w:t xml:space="preserve"> בשם </w:t>
      </w:r>
      <w:r w:rsidRPr="00E377FA">
        <w:rPr>
          <w:rStyle w:val="af9"/>
          <w:rFonts w:hint="cs"/>
          <w:rtl/>
        </w:rPr>
        <w:t>הגר"ח</w:t>
      </w:r>
      <w:r>
        <w:rPr>
          <w:rFonts w:hint="cs"/>
          <w:rtl/>
        </w:rPr>
        <w:t xml:space="preserve">, ובמ"ש </w:t>
      </w:r>
      <w:r w:rsidRPr="00E377FA">
        <w:rPr>
          <w:rStyle w:val="af9"/>
          <w:rFonts w:hint="cs"/>
          <w:rtl/>
        </w:rPr>
        <w:t>הגר"ח</w:t>
      </w:r>
      <w:r w:rsidRPr="00243E9F">
        <w:rPr>
          <w:rStyle w:val="af7"/>
          <w:rFonts w:eastAsia="Guttman Hodes" w:hint="cs"/>
          <w:rtl/>
        </w:rPr>
        <w:t xml:space="preserve"> (עי' אות </w:t>
      </w:r>
      <w:r w:rsidRPr="00243E9F">
        <w:rPr>
          <w:rStyle w:val="af7"/>
          <w:rFonts w:eastAsia="Guttman Hodes"/>
          <w:rtl/>
        </w:rPr>
        <w:fldChar w:fldCharType="begin"/>
      </w:r>
      <w:r w:rsidRPr="00243E9F">
        <w:rPr>
          <w:rStyle w:val="af7"/>
          <w:rFonts w:eastAsia="Guttman Hodes"/>
          <w:rtl/>
        </w:rPr>
        <w:instrText xml:space="preserve"> </w:instrText>
      </w:r>
      <w:r w:rsidRPr="00243E9F">
        <w:rPr>
          <w:rStyle w:val="af7"/>
          <w:rFonts w:eastAsia="Guttman Hodes" w:hint="cs"/>
        </w:rPr>
        <w:instrText>REF</w:instrText>
      </w:r>
      <w:r w:rsidRPr="00243E9F">
        <w:rPr>
          <w:rStyle w:val="af7"/>
          <w:rFonts w:eastAsia="Guttman Hodes" w:hint="cs"/>
          <w:rtl/>
        </w:rPr>
        <w:instrText xml:space="preserve"> _</w:instrText>
      </w:r>
      <w:r w:rsidRPr="00243E9F">
        <w:rPr>
          <w:rStyle w:val="af7"/>
          <w:rFonts w:eastAsia="Guttman Hodes" w:hint="cs"/>
        </w:rPr>
        <w:instrText>Ref54950111 \r \h</w:instrText>
      </w:r>
      <w:r w:rsidRPr="00243E9F">
        <w:rPr>
          <w:rStyle w:val="af7"/>
          <w:rFonts w:eastAsia="Guttman Hodes"/>
          <w:rtl/>
        </w:rPr>
        <w:instrText xml:space="preserve"> </w:instrText>
      </w:r>
      <w:r w:rsidRPr="00243E9F">
        <w:rPr>
          <w:rStyle w:val="af7"/>
          <w:rFonts w:eastAsia="Guttman Hodes"/>
          <w:rtl/>
        </w:rPr>
      </w:r>
      <w:r w:rsidRPr="00243E9F">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243E9F">
        <w:rPr>
          <w:rStyle w:val="af7"/>
          <w:rFonts w:eastAsia="Guttman Hodes"/>
          <w:rtl/>
        </w:rPr>
        <w:fldChar w:fldCharType="end"/>
      </w:r>
      <w:r w:rsidRPr="00243E9F">
        <w:rPr>
          <w:rStyle w:val="af7"/>
          <w:rFonts w:eastAsia="Guttman Hodes" w:hint="cs"/>
          <w:rtl/>
        </w:rPr>
        <w:t xml:space="preserve"> </w:t>
      </w:r>
      <w:r>
        <w:rPr>
          <w:rFonts w:hint="cs"/>
          <w:rtl/>
        </w:rPr>
        <w:t xml:space="preserve">בדעת </w:t>
      </w:r>
      <w:r w:rsidRPr="00834955">
        <w:rPr>
          <w:rStyle w:val="af9"/>
          <w:rFonts w:hint="cs"/>
          <w:rtl/>
        </w:rPr>
        <w:t>הרמב"ן</w:t>
      </w:r>
      <w:r>
        <w:rPr>
          <w:rFonts w:hint="cs"/>
          <w:rtl/>
        </w:rPr>
        <w:t>.</w:t>
      </w:r>
      <w:bookmarkEnd w:id="1625"/>
    </w:p>
    <w:p w:rsidR="00900B10" w:rsidRDefault="00900B10" w:rsidP="00900B10">
      <w:pPr>
        <w:pStyle w:val="a3"/>
        <w:rPr>
          <w:rtl/>
        </w:rPr>
      </w:pPr>
      <w:bookmarkStart w:id="1626" w:name="_Toc54868810"/>
      <w:bookmarkStart w:id="1627" w:name="_Toc54887710"/>
      <w:bookmarkStart w:id="1628" w:name="_Toc54891155"/>
      <w:bookmarkStart w:id="1629" w:name="_Toc54903415"/>
      <w:bookmarkStart w:id="1630" w:name="_Toc54948394"/>
      <w:bookmarkStart w:id="1631" w:name="_Toc54951997"/>
      <w:bookmarkStart w:id="1632" w:name="_Toc55072890"/>
      <w:bookmarkStart w:id="1633" w:name="_Toc55073091"/>
      <w:bookmarkStart w:id="1634" w:name="_Toc55073502"/>
      <w:bookmarkStart w:id="1635" w:name="_Toc55074050"/>
      <w:r>
        <w:rPr>
          <w:rFonts w:hint="cs"/>
          <w:rtl/>
        </w:rPr>
        <w:t>ביאור רבינו יונה דמשור ילפינן דבג"פ יוצא מחזקה ראשונה ובג"ש יצאה מהמר"ק למחזיק</w:t>
      </w:r>
      <w:bookmarkEnd w:id="1626"/>
      <w:bookmarkEnd w:id="1627"/>
      <w:bookmarkEnd w:id="1628"/>
      <w:bookmarkEnd w:id="1629"/>
      <w:bookmarkEnd w:id="1630"/>
      <w:bookmarkEnd w:id="1631"/>
      <w:bookmarkEnd w:id="1632"/>
      <w:bookmarkEnd w:id="1633"/>
      <w:bookmarkEnd w:id="1634"/>
      <w:bookmarkEnd w:id="1635"/>
    </w:p>
    <w:p w:rsidR="00900B10" w:rsidRDefault="00900B10" w:rsidP="007E4E81">
      <w:pPr>
        <w:pStyle w:val="a0"/>
        <w:rPr>
          <w:rtl/>
        </w:rPr>
      </w:pPr>
      <w:bookmarkStart w:id="1636" w:name="_Ref55069936"/>
      <w:bookmarkStart w:id="1637" w:name="_Ref54898984"/>
      <w:r>
        <w:rPr>
          <w:rFonts w:hint="cs"/>
          <w:rtl/>
        </w:rPr>
        <w:t xml:space="preserve">וכ"כ </w:t>
      </w:r>
      <w:r w:rsidRPr="000E5B1B">
        <w:rPr>
          <w:rStyle w:val="af9"/>
          <w:rFonts w:hint="cs"/>
          <w:rtl/>
        </w:rPr>
        <w:t>רבינו יונה</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EF5937">
        <w:rPr>
          <w:rStyle w:val="af7"/>
          <w:rFonts w:eastAsia="Guttman Hodes" w:hint="cs"/>
          <w:rtl/>
        </w:rPr>
        <w:t>מנין, ד"ה מה)</w:t>
      </w:r>
      <w:r>
        <w:rPr>
          <w:rFonts w:hint="cs"/>
          <w:rtl/>
        </w:rPr>
        <w:t xml:space="preserve"> דמשור המועד אנו לומדים שבג' פעמים כל דבר יוצא מהחזקה הראשונה שלו, ועומד בחזקה שבה הוא נמצא עכשיו, ולכן כל שאכל את השדה ג"ש בלא ערעור ומחאה, בטלה חזקת המרא קמא, והשדה עומדת בחזקת המחזיק, והמרא קמא נקרא מוציא מחבירו, ועל המערער להביא ראיה שחזר וקנה מהמחזיק את השדה, ועי' במה שביאר </w:t>
      </w:r>
      <w:r w:rsidRPr="00E377FA">
        <w:rPr>
          <w:rStyle w:val="af9"/>
          <w:rFonts w:hint="cs"/>
          <w:rtl/>
        </w:rPr>
        <w:t>בחו"ש הגרב"ב</w:t>
      </w:r>
      <w:r>
        <w:rPr>
          <w:rFonts w:hint="cs"/>
          <w:rtl/>
        </w:rPr>
        <w:t xml:space="preserve"> </w:t>
      </w:r>
      <w:r w:rsidRPr="001A6EFC">
        <w:rPr>
          <w:rStyle w:val="af7"/>
          <w:rFonts w:eastAsia="Guttman Hodes" w:hint="cs"/>
          <w:rtl/>
        </w:rPr>
        <w:t xml:space="preserve">(עי' אות </w:t>
      </w:r>
      <w:r w:rsidRPr="001A6EFC">
        <w:rPr>
          <w:rStyle w:val="af7"/>
          <w:rFonts w:eastAsia="Guttman Hodes"/>
          <w:rtl/>
        </w:rPr>
        <w:fldChar w:fldCharType="begin"/>
      </w:r>
      <w:r w:rsidRPr="001A6EFC">
        <w:rPr>
          <w:rStyle w:val="af7"/>
          <w:rFonts w:eastAsia="Guttman Hodes"/>
          <w:rtl/>
        </w:rPr>
        <w:instrText xml:space="preserve"> </w:instrText>
      </w:r>
      <w:r w:rsidRPr="001A6EFC">
        <w:rPr>
          <w:rStyle w:val="af7"/>
          <w:rFonts w:eastAsia="Guttman Hodes" w:hint="cs"/>
        </w:rPr>
        <w:instrText>REF</w:instrText>
      </w:r>
      <w:r w:rsidRPr="001A6EFC">
        <w:rPr>
          <w:rStyle w:val="af7"/>
          <w:rFonts w:eastAsia="Guttman Hodes" w:hint="cs"/>
          <w:rtl/>
        </w:rPr>
        <w:instrText xml:space="preserve"> _</w:instrText>
      </w:r>
      <w:r w:rsidRPr="001A6EFC">
        <w:rPr>
          <w:rStyle w:val="af7"/>
          <w:rFonts w:eastAsia="Guttman Hodes" w:hint="cs"/>
        </w:rPr>
        <w:instrText>Ref54947300 \r \h</w:instrText>
      </w:r>
      <w:r w:rsidRPr="001A6EFC">
        <w:rPr>
          <w:rStyle w:val="af7"/>
          <w:rFonts w:eastAsia="Guttman Hodes"/>
          <w:rtl/>
        </w:rPr>
        <w:instrText xml:space="preserve"> </w:instrText>
      </w:r>
      <w:r w:rsidRPr="001A6EFC">
        <w:rPr>
          <w:rStyle w:val="af7"/>
          <w:rFonts w:eastAsia="Guttman Hodes"/>
          <w:rtl/>
        </w:rPr>
      </w:r>
      <w:r w:rsidRPr="001A6EFC">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1A6EFC">
        <w:rPr>
          <w:rStyle w:val="af7"/>
          <w:rFonts w:eastAsia="Guttman Hodes"/>
          <w:rtl/>
        </w:rPr>
        <w:fldChar w:fldCharType="end"/>
      </w:r>
      <w:r>
        <w:rPr>
          <w:rFonts w:hint="cs"/>
          <w:rtl/>
        </w:rPr>
        <w:t xml:space="preserve"> בשם </w:t>
      </w:r>
      <w:r w:rsidRPr="00E377FA">
        <w:rPr>
          <w:rStyle w:val="af9"/>
          <w:rFonts w:hint="cs"/>
          <w:rtl/>
        </w:rPr>
        <w:t>הגר"ח</w:t>
      </w:r>
      <w:r>
        <w:rPr>
          <w:rFonts w:hint="cs"/>
          <w:rtl/>
        </w:rPr>
        <w:t>.</w:t>
      </w:r>
      <w:bookmarkEnd w:id="1636"/>
    </w:p>
    <w:p w:rsidR="00900B10" w:rsidRDefault="00900B10" w:rsidP="00900B10">
      <w:pPr>
        <w:pStyle w:val="a3"/>
        <w:rPr>
          <w:rtl/>
        </w:rPr>
      </w:pPr>
      <w:bookmarkStart w:id="1638" w:name="_Toc54948395"/>
      <w:bookmarkStart w:id="1639" w:name="_Toc54951998"/>
      <w:bookmarkStart w:id="1640" w:name="_Toc55072891"/>
      <w:bookmarkStart w:id="1641" w:name="_Toc55073092"/>
      <w:bookmarkStart w:id="1642" w:name="_Toc55073503"/>
      <w:bookmarkStart w:id="1643" w:name="_Toc55074051"/>
      <w:r>
        <w:rPr>
          <w:rFonts w:hint="cs"/>
          <w:rtl/>
        </w:rPr>
        <w:t>.</w:t>
      </w:r>
      <w:bookmarkStart w:id="1644" w:name="_Toc54868811"/>
      <w:bookmarkStart w:id="1645" w:name="_Toc54887711"/>
      <w:bookmarkStart w:id="1646" w:name="_Toc54891156"/>
      <w:bookmarkStart w:id="1647" w:name="_Toc54903416"/>
      <w:bookmarkEnd w:id="1637"/>
      <w:r>
        <w:rPr>
          <w:rFonts w:hint="cs"/>
          <w:rtl/>
        </w:rPr>
        <w:t>ביאור הר"ן דבג"פ בשור ששינה מחזקתו נעשה מועד ה"ה בג"ש שאכל המחזיק ושינה מחזקתו</w:t>
      </w:r>
      <w:bookmarkEnd w:id="1638"/>
      <w:bookmarkEnd w:id="1639"/>
      <w:bookmarkEnd w:id="1640"/>
      <w:bookmarkEnd w:id="1641"/>
      <w:bookmarkEnd w:id="1642"/>
      <w:bookmarkEnd w:id="1643"/>
      <w:bookmarkEnd w:id="1644"/>
      <w:bookmarkEnd w:id="1645"/>
      <w:bookmarkEnd w:id="1646"/>
      <w:bookmarkEnd w:id="1647"/>
    </w:p>
    <w:p w:rsidR="00900B10" w:rsidRDefault="00900B10" w:rsidP="007E4E81">
      <w:pPr>
        <w:pStyle w:val="a0"/>
        <w:rPr>
          <w:rtl/>
        </w:rPr>
      </w:pPr>
      <w:bookmarkStart w:id="1648" w:name="_Ref54884583"/>
      <w:r>
        <w:rPr>
          <w:rStyle w:val="af9"/>
          <w:rFonts w:hint="cs"/>
          <w:rtl/>
        </w:rPr>
        <w:t>ו</w:t>
      </w:r>
      <w:r w:rsidRPr="000E5B1B">
        <w:rPr>
          <w:rStyle w:val="af9"/>
          <w:rFonts w:hint="cs"/>
          <w:rtl/>
        </w:rPr>
        <w:t>הר"ן</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0E5B1B">
        <w:rPr>
          <w:rStyle w:val="af7"/>
          <w:rFonts w:eastAsia="Guttman Hodes" w:hint="cs"/>
          <w:rtl/>
        </w:rPr>
        <w:t>מה)</w:t>
      </w:r>
      <w:r>
        <w:rPr>
          <w:rFonts w:hint="cs"/>
          <w:rtl/>
        </w:rPr>
        <w:t xml:space="preserve"> הוסיף לבאר דכמו ששור שנגח דעשה ג' פעמים דבר שהפוך מחזקתו הראשונה, יצא מחזקת תם ועומד בחזקת מועד, ה"ה בחזקה דכל שעשה ג' פעמים דבר שהוא להיפך מהחזקה הראשונה, דהיינו שאכל המחזיק ג' אכילות, יצאה השדה מרשות המרא קמא, והיא עומדת ברשות הלוקח, ואחר שהלוקח מוחזק ממילא נעשה המרא קמא מוציא ועליו להביא ראיה.</w:t>
      </w:r>
      <w:bookmarkEnd w:id="1648"/>
    </w:p>
    <w:p w:rsidR="00900B10" w:rsidRPr="00632ECB" w:rsidRDefault="00900B10" w:rsidP="00900B10">
      <w:pPr>
        <w:pStyle w:val="a3"/>
        <w:rPr>
          <w:rtl/>
        </w:rPr>
      </w:pPr>
    </w:p>
    <w:p w:rsidR="00900B10" w:rsidRDefault="00900B10" w:rsidP="00900B10">
      <w:pPr>
        <w:pStyle w:val="a3"/>
        <w:rPr>
          <w:rtl/>
        </w:rPr>
      </w:pPr>
      <w:bookmarkStart w:id="1649" w:name="_Toc54868812"/>
      <w:bookmarkStart w:id="1650" w:name="_Toc54887712"/>
      <w:bookmarkStart w:id="1651" w:name="_Toc54891157"/>
      <w:bookmarkStart w:id="1652" w:name="_Toc54903417"/>
      <w:bookmarkStart w:id="1653" w:name="_Toc54948396"/>
      <w:bookmarkStart w:id="1654" w:name="_Toc54951999"/>
      <w:bookmarkStart w:id="1655" w:name="_Toc55072892"/>
      <w:bookmarkStart w:id="1656" w:name="_Toc55073093"/>
      <w:bookmarkStart w:id="1657" w:name="_Toc55073504"/>
      <w:bookmarkStart w:id="1658" w:name="_Toc55074052"/>
      <w:r>
        <w:rPr>
          <w:rFonts w:hint="cs"/>
          <w:rtl/>
        </w:rPr>
        <w:lastRenderedPageBreak/>
        <w:t>דברי הריטב"א דפשיטא דג"ש ל"מ בלא קנין אלא דבג"ש יצאה מהמר"ק לחזקת המחזיק</w:t>
      </w:r>
      <w:bookmarkEnd w:id="1649"/>
      <w:bookmarkEnd w:id="1650"/>
      <w:bookmarkEnd w:id="1651"/>
      <w:bookmarkEnd w:id="1652"/>
      <w:bookmarkEnd w:id="1653"/>
      <w:bookmarkEnd w:id="1654"/>
      <w:bookmarkEnd w:id="1655"/>
      <w:bookmarkEnd w:id="1656"/>
      <w:bookmarkEnd w:id="1657"/>
      <w:bookmarkEnd w:id="1658"/>
    </w:p>
    <w:p w:rsidR="00900B10" w:rsidRDefault="00900B10" w:rsidP="007E4E81">
      <w:pPr>
        <w:pStyle w:val="a0"/>
        <w:rPr>
          <w:rtl/>
        </w:rPr>
      </w:pPr>
      <w:bookmarkStart w:id="1659" w:name="_Ref54884589"/>
      <w:r>
        <w:rPr>
          <w:rFonts w:hint="cs"/>
          <w:rtl/>
        </w:rPr>
        <w:t xml:space="preserve">וכתב </w:t>
      </w:r>
      <w:r w:rsidRPr="000E5B1B">
        <w:rPr>
          <w:rStyle w:val="af9"/>
          <w:rFonts w:hint="cs"/>
          <w:rtl/>
        </w:rPr>
        <w:t>הריטב"א</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0E5B1B">
        <w:rPr>
          <w:rStyle w:val="af7"/>
          <w:rFonts w:eastAsia="Guttman Hodes" w:hint="cs"/>
          <w:rtl/>
        </w:rPr>
        <w:t>משור)</w:t>
      </w:r>
      <w:r>
        <w:rPr>
          <w:rFonts w:hint="cs"/>
          <w:rtl/>
        </w:rPr>
        <w:t xml:space="preserve"> דלא היה לגמ' הו"א דכל הדין דחזקת ג"ש מהני להוציא את הקרקע מיד המוכר ולהחזיק ביד המחזיק, הוא רק ילפותא משור המועד, </w:t>
      </w:r>
      <w:r w:rsidRPr="00F81280">
        <w:rPr>
          <w:rStyle w:val="afb"/>
          <w:rFonts w:hint="cs"/>
          <w:rtl/>
        </w:rPr>
        <w:t xml:space="preserve">[עי' בדברי </w:t>
      </w:r>
      <w:r w:rsidRPr="00F81280">
        <w:rPr>
          <w:rStyle w:val="affa"/>
          <w:rFonts w:hint="cs"/>
          <w:rtl/>
        </w:rPr>
        <w:t>התוס'</w:t>
      </w:r>
      <w:r w:rsidRPr="00F81280">
        <w:rPr>
          <w:rStyle w:val="afb"/>
          <w:rFonts w:hint="cs"/>
          <w:rtl/>
        </w:rPr>
        <w:t xml:space="preserve"> </w:t>
      </w:r>
      <w:r w:rsidRPr="00F81280">
        <w:rPr>
          <w:rStyle w:val="aff6"/>
          <w:rFonts w:hint="cs"/>
          <w:rtl/>
        </w:rPr>
        <w:t xml:space="preserve">(עי' אות </w:t>
      </w:r>
      <w:r w:rsidRPr="00F81280">
        <w:rPr>
          <w:rStyle w:val="aff6"/>
          <w:rtl/>
        </w:rPr>
        <w:fldChar w:fldCharType="begin"/>
      </w:r>
      <w:r w:rsidRPr="00F81280">
        <w:rPr>
          <w:rStyle w:val="aff6"/>
          <w:rtl/>
        </w:rPr>
        <w:instrText xml:space="preserve"> </w:instrText>
      </w:r>
      <w:r w:rsidRPr="00F81280">
        <w:rPr>
          <w:rStyle w:val="aff6"/>
          <w:rFonts w:hint="cs"/>
        </w:rPr>
        <w:instrText>REF</w:instrText>
      </w:r>
      <w:r w:rsidRPr="00F81280">
        <w:rPr>
          <w:rStyle w:val="aff6"/>
          <w:rFonts w:hint="cs"/>
          <w:rtl/>
        </w:rPr>
        <w:instrText xml:space="preserve"> _</w:instrText>
      </w:r>
      <w:r w:rsidRPr="00F81280">
        <w:rPr>
          <w:rStyle w:val="aff6"/>
          <w:rFonts w:hint="cs"/>
        </w:rPr>
        <w:instrText>Ref54555065 \r \h</w:instrText>
      </w:r>
      <w:r w:rsidRPr="00F81280">
        <w:rPr>
          <w:rStyle w:val="aff6"/>
          <w:rtl/>
        </w:rPr>
        <w:instrText xml:space="preserve"> </w:instrText>
      </w:r>
      <w:r w:rsidRPr="00F81280">
        <w:rPr>
          <w:rStyle w:val="aff6"/>
          <w:rtl/>
        </w:rPr>
      </w:r>
      <w:r w:rsidRPr="00F81280">
        <w:rPr>
          <w:rStyle w:val="aff6"/>
          <w:rtl/>
        </w:rPr>
        <w:fldChar w:fldCharType="separate"/>
      </w:r>
      <w:r w:rsidR="00265073">
        <w:rPr>
          <w:rStyle w:val="aff6"/>
          <w:cs/>
        </w:rPr>
        <w:t>‎</w:t>
      </w:r>
      <w:r w:rsidR="00265073">
        <w:rPr>
          <w:rStyle w:val="aff6"/>
          <w:rtl/>
        </w:rPr>
        <w:t>כ)</w:t>
      </w:r>
      <w:r w:rsidRPr="00F81280">
        <w:rPr>
          <w:rStyle w:val="aff6"/>
          <w:rtl/>
        </w:rPr>
        <w:fldChar w:fldCharType="end"/>
      </w:r>
      <w:r w:rsidRPr="00F81280">
        <w:rPr>
          <w:rStyle w:val="afb"/>
          <w:rFonts w:hint="cs"/>
          <w:rtl/>
        </w:rPr>
        <w:t>],</w:t>
      </w:r>
      <w:r>
        <w:rPr>
          <w:rFonts w:hint="cs"/>
          <w:rtl/>
        </w:rPr>
        <w:t xml:space="preserve"> דהא ודאי דאדם זוכה בדבר ששייך לחבירו רק ע"י הקנאה או הפקר, אלא כוונת הגמ' לומר דבג"ש עומדת הקרקע ברשות המחזיק, וכיון שהיא ברשותו והוא טוען שקנה מהמערער, על המערער להביא ראיה שלא מכרה למחזיק, וחשיב המערער כמוציא מידי המחזיק, ועי' במה שביאר </w:t>
      </w:r>
      <w:r w:rsidRPr="00E377FA">
        <w:rPr>
          <w:rStyle w:val="af9"/>
          <w:rFonts w:hint="cs"/>
          <w:rtl/>
        </w:rPr>
        <w:t>בחו"ש הגרב"ב</w:t>
      </w:r>
      <w:r>
        <w:rPr>
          <w:rFonts w:hint="cs"/>
          <w:rtl/>
        </w:rPr>
        <w:t xml:space="preserve"> </w:t>
      </w:r>
      <w:r w:rsidRPr="001A6EFC">
        <w:rPr>
          <w:rStyle w:val="af7"/>
          <w:rFonts w:eastAsia="Guttman Hodes" w:hint="cs"/>
          <w:rtl/>
        </w:rPr>
        <w:t xml:space="preserve">(עי' אות </w:t>
      </w:r>
      <w:r w:rsidRPr="001A6EFC">
        <w:rPr>
          <w:rStyle w:val="af7"/>
          <w:rFonts w:eastAsia="Guttman Hodes"/>
          <w:rtl/>
        </w:rPr>
        <w:fldChar w:fldCharType="begin"/>
      </w:r>
      <w:r w:rsidRPr="001A6EFC">
        <w:rPr>
          <w:rStyle w:val="af7"/>
          <w:rFonts w:eastAsia="Guttman Hodes"/>
          <w:rtl/>
        </w:rPr>
        <w:instrText xml:space="preserve"> </w:instrText>
      </w:r>
      <w:r w:rsidRPr="001A6EFC">
        <w:rPr>
          <w:rStyle w:val="af7"/>
          <w:rFonts w:eastAsia="Guttman Hodes" w:hint="cs"/>
        </w:rPr>
        <w:instrText>REF</w:instrText>
      </w:r>
      <w:r w:rsidRPr="001A6EFC">
        <w:rPr>
          <w:rStyle w:val="af7"/>
          <w:rFonts w:eastAsia="Guttman Hodes" w:hint="cs"/>
          <w:rtl/>
        </w:rPr>
        <w:instrText xml:space="preserve"> _</w:instrText>
      </w:r>
      <w:r w:rsidRPr="001A6EFC">
        <w:rPr>
          <w:rStyle w:val="af7"/>
          <w:rFonts w:eastAsia="Guttman Hodes" w:hint="cs"/>
        </w:rPr>
        <w:instrText>Ref54947300 \r \h</w:instrText>
      </w:r>
      <w:r w:rsidRPr="001A6EFC">
        <w:rPr>
          <w:rStyle w:val="af7"/>
          <w:rFonts w:eastAsia="Guttman Hodes"/>
          <w:rtl/>
        </w:rPr>
        <w:instrText xml:space="preserve"> </w:instrText>
      </w:r>
      <w:r w:rsidRPr="001A6EFC">
        <w:rPr>
          <w:rStyle w:val="af7"/>
          <w:rFonts w:eastAsia="Guttman Hodes"/>
          <w:rtl/>
        </w:rPr>
      </w:r>
      <w:r w:rsidRPr="001A6EFC">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1A6EFC">
        <w:rPr>
          <w:rStyle w:val="af7"/>
          <w:rFonts w:eastAsia="Guttman Hodes"/>
          <w:rtl/>
        </w:rPr>
        <w:fldChar w:fldCharType="end"/>
      </w:r>
      <w:r>
        <w:rPr>
          <w:rFonts w:hint="cs"/>
          <w:rtl/>
        </w:rPr>
        <w:t xml:space="preserve"> בשם </w:t>
      </w:r>
      <w:r w:rsidRPr="00E377FA">
        <w:rPr>
          <w:rStyle w:val="af9"/>
          <w:rFonts w:hint="cs"/>
          <w:rtl/>
        </w:rPr>
        <w:t>הגר"ח</w:t>
      </w:r>
      <w:r>
        <w:rPr>
          <w:rFonts w:hint="cs"/>
          <w:rtl/>
        </w:rPr>
        <w:t>.</w:t>
      </w:r>
      <w:bookmarkEnd w:id="1659"/>
    </w:p>
    <w:p w:rsidR="00900B10" w:rsidRDefault="00900B10" w:rsidP="00900B10">
      <w:pPr>
        <w:pStyle w:val="afe"/>
        <w:rPr>
          <w:rtl/>
        </w:rPr>
      </w:pPr>
      <w:bookmarkStart w:id="1660" w:name="_Toc54603709"/>
      <w:bookmarkStart w:id="1661" w:name="_Toc54643449"/>
      <w:bookmarkStart w:id="1662" w:name="_Toc54730194"/>
      <w:bookmarkStart w:id="1663" w:name="_Toc54867215"/>
      <w:bookmarkStart w:id="1664" w:name="_Toc54868813"/>
      <w:bookmarkStart w:id="1665" w:name="_Toc54887713"/>
      <w:bookmarkStart w:id="1666" w:name="_Toc54891158"/>
      <w:bookmarkStart w:id="1667" w:name="_Toc54903418"/>
      <w:bookmarkStart w:id="1668" w:name="_Toc54948397"/>
      <w:bookmarkStart w:id="1669" w:name="_Toc54952000"/>
      <w:bookmarkStart w:id="1670" w:name="_Toc55072893"/>
      <w:bookmarkStart w:id="1671" w:name="_Toc55073094"/>
      <w:bookmarkStart w:id="1672" w:name="_Toc55073505"/>
      <w:bookmarkStart w:id="1673" w:name="_Toc55074053"/>
      <w:r>
        <w:rPr>
          <w:rFonts w:hint="cs"/>
          <w:rtl/>
        </w:rPr>
        <w:t>דעת התוס' דהילפותא דהוחזק שתקן</w:t>
      </w:r>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p>
    <w:p w:rsidR="00900B10" w:rsidRDefault="00900B10" w:rsidP="00900B10">
      <w:pPr>
        <w:pStyle w:val="1"/>
        <w:rPr>
          <w:rtl/>
        </w:rPr>
      </w:pPr>
      <w:bookmarkStart w:id="1674" w:name="_Toc54603711"/>
      <w:bookmarkStart w:id="1675" w:name="_Toc54643451"/>
      <w:bookmarkStart w:id="1676" w:name="_Toc54730196"/>
      <w:bookmarkStart w:id="1677" w:name="_Toc54867217"/>
      <w:bookmarkStart w:id="1678" w:name="_Toc54868816"/>
      <w:bookmarkStart w:id="1679" w:name="_Toc54887716"/>
      <w:bookmarkStart w:id="1680" w:name="_Toc54891159"/>
      <w:bookmarkStart w:id="1681" w:name="_Toc54903419"/>
      <w:bookmarkStart w:id="1682" w:name="_Toc54948398"/>
      <w:bookmarkStart w:id="1683" w:name="_Toc54952001"/>
      <w:bookmarkStart w:id="1684" w:name="_Toc55072894"/>
      <w:bookmarkStart w:id="1685" w:name="_Toc55073095"/>
      <w:bookmarkStart w:id="1686" w:name="_Toc55073506"/>
      <w:bookmarkStart w:id="1687" w:name="_Toc55074054"/>
      <w:bookmarkEnd w:id="1581"/>
      <w:r>
        <w:rPr>
          <w:rFonts w:hint="cs"/>
          <w:rtl/>
        </w:rPr>
        <w:t>דברי התוס' דבג"ש הוחזק שתקן ודמי לשור דהוחזק נגחן</w:t>
      </w:r>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p>
    <w:p w:rsidR="00900B10" w:rsidRPr="00931F3F" w:rsidRDefault="00900B10" w:rsidP="00900B10">
      <w:pPr>
        <w:pStyle w:val="a3"/>
        <w:rPr>
          <w:rtl/>
        </w:rPr>
      </w:pPr>
      <w:bookmarkStart w:id="1688" w:name="_Toc54891160"/>
      <w:bookmarkStart w:id="1689" w:name="_Toc54903420"/>
      <w:bookmarkStart w:id="1690" w:name="_Toc54948399"/>
      <w:bookmarkStart w:id="1691" w:name="_Toc54952002"/>
      <w:bookmarkStart w:id="1692" w:name="_Toc55072895"/>
      <w:bookmarkStart w:id="1693" w:name="_Toc55073096"/>
      <w:bookmarkStart w:id="1694" w:name="_Toc55073507"/>
      <w:bookmarkStart w:id="1695" w:name="_Toc55074055"/>
      <w:r>
        <w:rPr>
          <w:rFonts w:hint="cs"/>
          <w:rtl/>
        </w:rPr>
        <w:t>ביאור התוס' דילפינן משור שהוחזק נגחן בג"פ לחזקה דהוחזק המערער שתקן בג"ש</w:t>
      </w:r>
      <w:bookmarkEnd w:id="1688"/>
      <w:bookmarkEnd w:id="1689"/>
      <w:bookmarkEnd w:id="1690"/>
      <w:bookmarkEnd w:id="1691"/>
      <w:bookmarkEnd w:id="1692"/>
      <w:bookmarkEnd w:id="1693"/>
      <w:bookmarkEnd w:id="1694"/>
      <w:bookmarkEnd w:id="1695"/>
    </w:p>
    <w:p w:rsidR="00900B10" w:rsidRPr="00C5162C" w:rsidRDefault="00900B10" w:rsidP="007E4E81">
      <w:pPr>
        <w:pStyle w:val="a0"/>
        <w:rPr>
          <w:rtl/>
        </w:rPr>
      </w:pPr>
      <w:bookmarkStart w:id="1696" w:name="_Ref54884628"/>
      <w:bookmarkStart w:id="1697" w:name="_Ref54944825"/>
      <w:r>
        <w:rPr>
          <w:rFonts w:hint="cs"/>
          <w:rtl/>
        </w:rPr>
        <w:t xml:space="preserve">ועי' במה שכתבו </w:t>
      </w:r>
      <w:r w:rsidRPr="00ED4069">
        <w:rPr>
          <w:rStyle w:val="af9"/>
          <w:rFonts w:hint="cs"/>
          <w:rtl/>
        </w:rPr>
        <w:t>התוס'</w:t>
      </w:r>
      <w:r>
        <w:rPr>
          <w:rFonts w:hint="cs"/>
          <w:rtl/>
        </w:rPr>
        <w:t xml:space="preserve"> </w:t>
      </w:r>
      <w:r w:rsidRPr="0040307E">
        <w:rPr>
          <w:rStyle w:val="af7"/>
          <w:rFonts w:eastAsia="Guttman Hodes" w:hint="cs"/>
          <w:rtl/>
        </w:rPr>
        <w:t xml:space="preserve">(עי' אות </w:t>
      </w:r>
      <w:r w:rsidRPr="0040307E">
        <w:rPr>
          <w:rStyle w:val="af7"/>
          <w:rFonts w:eastAsia="Guttman Hodes"/>
          <w:rtl/>
        </w:rPr>
        <w:fldChar w:fldCharType="begin"/>
      </w:r>
      <w:r w:rsidRPr="0040307E">
        <w:rPr>
          <w:rStyle w:val="af7"/>
          <w:rFonts w:eastAsia="Guttman Hodes"/>
          <w:rtl/>
        </w:rPr>
        <w:instrText xml:space="preserve"> </w:instrText>
      </w:r>
      <w:r w:rsidRPr="0040307E">
        <w:rPr>
          <w:rStyle w:val="af7"/>
          <w:rFonts w:eastAsia="Guttman Hodes" w:hint="cs"/>
        </w:rPr>
        <w:instrText>REF</w:instrText>
      </w:r>
      <w:r w:rsidRPr="0040307E">
        <w:rPr>
          <w:rStyle w:val="af7"/>
          <w:rFonts w:eastAsia="Guttman Hodes" w:hint="cs"/>
          <w:rtl/>
        </w:rPr>
        <w:instrText xml:space="preserve"> _</w:instrText>
      </w:r>
      <w:r w:rsidRPr="0040307E">
        <w:rPr>
          <w:rStyle w:val="af7"/>
          <w:rFonts w:eastAsia="Guttman Hodes" w:hint="cs"/>
        </w:rPr>
        <w:instrText>Ref54884689 \r \h</w:instrText>
      </w:r>
      <w:r w:rsidRPr="0040307E">
        <w:rPr>
          <w:rStyle w:val="af7"/>
          <w:rFonts w:eastAsia="Guttman Hodes"/>
          <w:rtl/>
        </w:rPr>
        <w:instrText xml:space="preserve">  \* </w:instrText>
      </w:r>
      <w:r w:rsidRPr="0040307E">
        <w:rPr>
          <w:rStyle w:val="af7"/>
          <w:rFonts w:eastAsia="Guttman Hodes"/>
        </w:rPr>
        <w:instrText>MERGEFORMAT</w:instrText>
      </w:r>
      <w:r w:rsidRPr="0040307E">
        <w:rPr>
          <w:rStyle w:val="af7"/>
          <w:rFonts w:eastAsia="Guttman Hodes"/>
          <w:rtl/>
        </w:rPr>
        <w:instrText xml:space="preserve"> </w:instrText>
      </w:r>
      <w:r w:rsidRPr="0040307E">
        <w:rPr>
          <w:rStyle w:val="af7"/>
          <w:rFonts w:eastAsia="Guttman Hodes"/>
          <w:rtl/>
        </w:rPr>
      </w:r>
      <w:r w:rsidRPr="0040307E">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40307E">
        <w:rPr>
          <w:rStyle w:val="af7"/>
          <w:rFonts w:eastAsia="Guttman Hodes"/>
          <w:rtl/>
        </w:rPr>
        <w:fldChar w:fldCharType="end"/>
      </w:r>
      <w:r w:rsidRPr="0040307E">
        <w:rPr>
          <w:rFonts w:hint="cs"/>
          <w:rtl/>
        </w:rPr>
        <w:t xml:space="preserve"> </w:t>
      </w:r>
      <w:r w:rsidRPr="0040307E">
        <w:rPr>
          <w:rStyle w:val="afb"/>
          <w:rFonts w:hint="cs"/>
          <w:rtl/>
        </w:rPr>
        <w:t>[להקשות על קושית הגמ']</w:t>
      </w:r>
      <w:r>
        <w:rPr>
          <w:rFonts w:hint="cs"/>
          <w:rtl/>
        </w:rPr>
        <w:t xml:space="preserve"> </w:t>
      </w:r>
      <w:r w:rsidRPr="0040307E">
        <w:rPr>
          <w:rFonts w:hint="cs"/>
          <w:rtl/>
        </w:rPr>
        <w:t>דאפש"ל דהילפותא משור המועד היא דכמו שבג' פעמים הוחזק השור לנגחן, ה"ה בחזקה דאחר ג"ש הוחזק המערער לשתקן, וא"כ מהשנה השלישית תעמוד הקרקע ברשות</w:t>
      </w:r>
      <w:r>
        <w:rPr>
          <w:rFonts w:hint="cs"/>
          <w:rtl/>
        </w:rPr>
        <w:t xml:space="preserve"> המחזיק</w:t>
      </w:r>
      <w:bookmarkEnd w:id="1696"/>
      <w:r>
        <w:rPr>
          <w:rFonts w:hint="cs"/>
          <w:rtl/>
        </w:rPr>
        <w:t xml:space="preserve">, </w:t>
      </w:r>
      <w:r w:rsidRPr="00CA4A58">
        <w:rPr>
          <w:rStyle w:val="afb"/>
          <w:rFonts w:hint="cs"/>
          <w:rtl/>
        </w:rPr>
        <w:t xml:space="preserve">[וכתב </w:t>
      </w:r>
      <w:r w:rsidRPr="00CA4A58">
        <w:rPr>
          <w:rStyle w:val="affa"/>
          <w:rtl/>
        </w:rPr>
        <w:t>בחי' רבי נחום</w:t>
      </w:r>
      <w:r w:rsidRPr="00CA4A58">
        <w:rPr>
          <w:rStyle w:val="afb"/>
          <w:rtl/>
        </w:rPr>
        <w:t xml:space="preserve"> </w:t>
      </w:r>
      <w:r w:rsidRPr="007D7C18">
        <w:rPr>
          <w:rStyle w:val="aff6"/>
          <w:rFonts w:hint="cs"/>
          <w:rtl/>
        </w:rPr>
        <w:t xml:space="preserve">(עי' אות </w:t>
      </w:r>
      <w:r w:rsidRPr="007D7C18">
        <w:rPr>
          <w:rStyle w:val="aff6"/>
          <w:rtl/>
        </w:rPr>
        <w:fldChar w:fldCharType="begin"/>
      </w:r>
      <w:r w:rsidRPr="007D7C18">
        <w:rPr>
          <w:rStyle w:val="aff6"/>
          <w:rtl/>
        </w:rPr>
        <w:instrText xml:space="preserve"> </w:instrText>
      </w:r>
      <w:r w:rsidRPr="007D7C18">
        <w:rPr>
          <w:rStyle w:val="aff6"/>
          <w:rFonts w:hint="cs"/>
        </w:rPr>
        <w:instrText>REF</w:instrText>
      </w:r>
      <w:r w:rsidRPr="007D7C18">
        <w:rPr>
          <w:rStyle w:val="aff6"/>
          <w:rFonts w:hint="cs"/>
          <w:rtl/>
        </w:rPr>
        <w:instrText xml:space="preserve"> _</w:instrText>
      </w:r>
      <w:r w:rsidRPr="007D7C18">
        <w:rPr>
          <w:rStyle w:val="aff6"/>
          <w:rFonts w:hint="cs"/>
        </w:rPr>
        <w:instrText>Ref54884414 \r \h</w:instrText>
      </w:r>
      <w:r w:rsidRPr="007D7C18">
        <w:rPr>
          <w:rStyle w:val="aff6"/>
          <w:rtl/>
        </w:rPr>
        <w:instrText xml:space="preserve"> </w:instrText>
      </w:r>
      <w:r w:rsidRPr="007D7C18">
        <w:rPr>
          <w:rStyle w:val="aff6"/>
          <w:rtl/>
        </w:rPr>
      </w:r>
      <w:r w:rsidRPr="007D7C18">
        <w:rPr>
          <w:rStyle w:val="aff6"/>
          <w:rtl/>
        </w:rPr>
        <w:fldChar w:fldCharType="separate"/>
      </w:r>
      <w:r w:rsidR="00265073">
        <w:rPr>
          <w:rStyle w:val="aff6"/>
          <w:cs/>
        </w:rPr>
        <w:t>‎</w:t>
      </w:r>
      <w:r w:rsidR="00265073">
        <w:rPr>
          <w:rStyle w:val="aff6"/>
          <w:rtl/>
        </w:rPr>
        <w:t>סז)</w:t>
      </w:r>
      <w:r w:rsidRPr="007D7C18">
        <w:rPr>
          <w:rStyle w:val="aff6"/>
          <w:rtl/>
        </w:rPr>
        <w:fldChar w:fldCharType="end"/>
      </w:r>
      <w:r w:rsidRPr="00CA4A58">
        <w:rPr>
          <w:rStyle w:val="afb"/>
          <w:rFonts w:hint="cs"/>
          <w:rtl/>
        </w:rPr>
        <w:t xml:space="preserve"> ד</w:t>
      </w:r>
      <w:r w:rsidRPr="00CA4A58">
        <w:rPr>
          <w:rStyle w:val="afb"/>
          <w:rtl/>
        </w:rPr>
        <w:t xml:space="preserve">משמע מדברי </w:t>
      </w:r>
      <w:r w:rsidRPr="00CA4A58">
        <w:rPr>
          <w:rStyle w:val="affa"/>
          <w:rtl/>
        </w:rPr>
        <w:t>התוס'</w:t>
      </w:r>
      <w:r w:rsidRPr="00CA4A58">
        <w:rPr>
          <w:rStyle w:val="afb"/>
          <w:rtl/>
        </w:rPr>
        <w:t xml:space="preserve"> דס"ל </w:t>
      </w:r>
      <w:r w:rsidRPr="00CA4A58">
        <w:rPr>
          <w:rStyle w:val="afb"/>
          <w:rFonts w:hint="cs"/>
          <w:rtl/>
        </w:rPr>
        <w:t>ד</w:t>
      </w:r>
      <w:r w:rsidRPr="00CA4A58">
        <w:rPr>
          <w:rStyle w:val="afb"/>
          <w:rtl/>
        </w:rPr>
        <w:t xml:space="preserve">אף למסקנא לדעת הולכי אושא החזקה היא שהבעלים מוחזק כשתקן, דס"ל דזוהי הילפותא, ודלא </w:t>
      </w:r>
      <w:r w:rsidRPr="00CA4A58">
        <w:rPr>
          <w:rStyle w:val="affa"/>
          <w:rtl/>
        </w:rPr>
        <w:t xml:space="preserve">כהרמב"ן </w:t>
      </w:r>
      <w:r w:rsidRPr="007D7C18">
        <w:rPr>
          <w:rStyle w:val="aff6"/>
          <w:rFonts w:hint="cs"/>
          <w:rtl/>
        </w:rPr>
        <w:t xml:space="preserve">(עי' אות </w:t>
      </w:r>
      <w:r w:rsidRPr="007D7C18">
        <w:rPr>
          <w:rStyle w:val="aff6"/>
          <w:rtl/>
        </w:rPr>
        <w:fldChar w:fldCharType="begin"/>
      </w:r>
      <w:r w:rsidRPr="007D7C18">
        <w:rPr>
          <w:rStyle w:val="aff6"/>
          <w:rtl/>
        </w:rPr>
        <w:instrText xml:space="preserve"> </w:instrText>
      </w:r>
      <w:r w:rsidRPr="007D7C18">
        <w:rPr>
          <w:rStyle w:val="aff6"/>
          <w:rFonts w:hint="cs"/>
        </w:rPr>
        <w:instrText>REF</w:instrText>
      </w:r>
      <w:r w:rsidRPr="007D7C18">
        <w:rPr>
          <w:rStyle w:val="aff6"/>
          <w:rFonts w:hint="cs"/>
          <w:rtl/>
        </w:rPr>
        <w:instrText xml:space="preserve"> _</w:instrText>
      </w:r>
      <w:r w:rsidRPr="007D7C18">
        <w:rPr>
          <w:rStyle w:val="aff6"/>
          <w:rFonts w:hint="cs"/>
        </w:rPr>
        <w:instrText>Ref54801573 \r \h</w:instrText>
      </w:r>
      <w:r w:rsidRPr="007D7C18">
        <w:rPr>
          <w:rStyle w:val="aff6"/>
          <w:rtl/>
        </w:rPr>
        <w:instrText xml:space="preserve"> </w:instrText>
      </w:r>
      <w:r w:rsidRPr="007D7C18">
        <w:rPr>
          <w:rStyle w:val="aff6"/>
          <w:rtl/>
        </w:rPr>
      </w:r>
      <w:r w:rsidRPr="007D7C18">
        <w:rPr>
          <w:rStyle w:val="aff6"/>
          <w:rtl/>
        </w:rPr>
        <w:fldChar w:fldCharType="separate"/>
      </w:r>
      <w:r w:rsidR="00265073">
        <w:rPr>
          <w:rStyle w:val="aff6"/>
          <w:cs/>
        </w:rPr>
        <w:t>‎</w:t>
      </w:r>
      <w:r w:rsidR="00265073">
        <w:rPr>
          <w:rStyle w:val="aff6"/>
          <w:rtl/>
        </w:rPr>
        <w:t>ט)</w:t>
      </w:r>
      <w:r w:rsidRPr="007D7C18">
        <w:rPr>
          <w:rStyle w:val="aff6"/>
          <w:rtl/>
        </w:rPr>
        <w:fldChar w:fldCharType="end"/>
      </w:r>
      <w:r>
        <w:rPr>
          <w:rStyle w:val="affa"/>
          <w:rFonts w:hint="cs"/>
          <w:rtl/>
        </w:rPr>
        <w:t xml:space="preserve"> </w:t>
      </w:r>
      <w:r w:rsidRPr="00CA4A58">
        <w:rPr>
          <w:rStyle w:val="affa"/>
          <w:rtl/>
        </w:rPr>
        <w:t>והר"ן</w:t>
      </w:r>
      <w:r w:rsidRPr="00CA4A58">
        <w:rPr>
          <w:rStyle w:val="afb"/>
          <w:rtl/>
        </w:rPr>
        <w:t xml:space="preserve"> </w:t>
      </w:r>
      <w:r w:rsidRPr="007D7C18">
        <w:rPr>
          <w:rStyle w:val="aff6"/>
          <w:rtl/>
        </w:rPr>
        <w:t xml:space="preserve">(עי' אות </w:t>
      </w:r>
      <w:r w:rsidRPr="007D7C18">
        <w:rPr>
          <w:rStyle w:val="aff6"/>
          <w:rtl/>
        </w:rPr>
        <w:fldChar w:fldCharType="begin"/>
      </w:r>
      <w:r w:rsidRPr="007D7C18">
        <w:rPr>
          <w:rStyle w:val="aff6"/>
          <w:rtl/>
        </w:rPr>
        <w:instrText xml:space="preserve"> </w:instrText>
      </w:r>
      <w:r w:rsidRPr="007D7C18">
        <w:rPr>
          <w:rStyle w:val="aff6"/>
        </w:rPr>
        <w:instrText>REF</w:instrText>
      </w:r>
      <w:r w:rsidRPr="007D7C18">
        <w:rPr>
          <w:rStyle w:val="aff6"/>
          <w:rtl/>
        </w:rPr>
        <w:instrText xml:space="preserve"> _</w:instrText>
      </w:r>
      <w:r w:rsidRPr="007D7C18">
        <w:rPr>
          <w:rStyle w:val="aff6"/>
        </w:rPr>
        <w:instrText>Ref54884583 \r \h</w:instrText>
      </w:r>
      <w:r w:rsidRPr="007D7C18">
        <w:rPr>
          <w:rStyle w:val="aff6"/>
          <w:rtl/>
        </w:rPr>
        <w:instrText xml:space="preserve"> </w:instrText>
      </w:r>
      <w:r w:rsidRPr="007D7C18">
        <w:rPr>
          <w:rStyle w:val="aff6"/>
          <w:rtl/>
        </w:rPr>
      </w:r>
      <w:r w:rsidRPr="007D7C18">
        <w:rPr>
          <w:rStyle w:val="aff6"/>
          <w:rtl/>
        </w:rPr>
        <w:fldChar w:fldCharType="separate"/>
      </w:r>
      <w:r w:rsidR="00265073">
        <w:rPr>
          <w:rStyle w:val="aff6"/>
          <w:cs/>
        </w:rPr>
        <w:t>‎</w:t>
      </w:r>
      <w:r w:rsidR="00265073">
        <w:rPr>
          <w:rStyle w:val="aff6"/>
          <w:rtl/>
        </w:rPr>
        <w:t>יא)</w:t>
      </w:r>
      <w:r w:rsidRPr="007D7C18">
        <w:rPr>
          <w:rStyle w:val="aff6"/>
          <w:rtl/>
        </w:rPr>
        <w:fldChar w:fldCharType="end"/>
      </w:r>
      <w:r w:rsidRPr="00CA4A58">
        <w:rPr>
          <w:rStyle w:val="affa"/>
          <w:rtl/>
        </w:rPr>
        <w:t xml:space="preserve"> והריטב"א </w:t>
      </w:r>
      <w:r w:rsidRPr="007D7C18">
        <w:rPr>
          <w:rStyle w:val="aff6"/>
          <w:rFonts w:hint="cs"/>
          <w:rtl/>
        </w:rPr>
        <w:t xml:space="preserve">(עי' אות </w:t>
      </w:r>
      <w:r w:rsidRPr="007D7C18">
        <w:rPr>
          <w:rStyle w:val="aff6"/>
          <w:rtl/>
        </w:rPr>
        <w:fldChar w:fldCharType="begin"/>
      </w:r>
      <w:r w:rsidRPr="007D7C18">
        <w:rPr>
          <w:rStyle w:val="aff6"/>
          <w:rtl/>
        </w:rPr>
        <w:instrText xml:space="preserve"> </w:instrText>
      </w:r>
      <w:r w:rsidRPr="007D7C18">
        <w:rPr>
          <w:rStyle w:val="aff6"/>
          <w:rFonts w:hint="cs"/>
        </w:rPr>
        <w:instrText>REF</w:instrText>
      </w:r>
      <w:r w:rsidRPr="007D7C18">
        <w:rPr>
          <w:rStyle w:val="aff6"/>
          <w:rFonts w:hint="cs"/>
          <w:rtl/>
        </w:rPr>
        <w:instrText xml:space="preserve"> _</w:instrText>
      </w:r>
      <w:r w:rsidRPr="007D7C18">
        <w:rPr>
          <w:rStyle w:val="aff6"/>
          <w:rFonts w:hint="cs"/>
        </w:rPr>
        <w:instrText>Ref54884589 \r \h</w:instrText>
      </w:r>
      <w:r w:rsidRPr="007D7C18">
        <w:rPr>
          <w:rStyle w:val="aff6"/>
          <w:rtl/>
        </w:rPr>
        <w:instrText xml:space="preserve"> </w:instrText>
      </w:r>
      <w:r w:rsidRPr="007D7C18">
        <w:rPr>
          <w:rStyle w:val="aff6"/>
          <w:rtl/>
        </w:rPr>
      </w:r>
      <w:r w:rsidRPr="007D7C18">
        <w:rPr>
          <w:rStyle w:val="aff6"/>
          <w:rtl/>
        </w:rPr>
        <w:fldChar w:fldCharType="separate"/>
      </w:r>
      <w:r w:rsidR="00265073">
        <w:rPr>
          <w:rStyle w:val="aff6"/>
          <w:cs/>
        </w:rPr>
        <w:t>‎</w:t>
      </w:r>
      <w:r w:rsidR="00265073">
        <w:rPr>
          <w:rStyle w:val="aff6"/>
          <w:rtl/>
        </w:rPr>
        <w:t>יב)</w:t>
      </w:r>
      <w:r w:rsidRPr="007D7C18">
        <w:rPr>
          <w:rStyle w:val="aff6"/>
          <w:rtl/>
        </w:rPr>
        <w:fldChar w:fldCharType="end"/>
      </w:r>
      <w:r w:rsidRPr="00CA4A58">
        <w:rPr>
          <w:rStyle w:val="afb"/>
          <w:rFonts w:hint="cs"/>
          <w:rtl/>
        </w:rPr>
        <w:t>]</w:t>
      </w:r>
      <w:r>
        <w:rPr>
          <w:rStyle w:val="afb"/>
          <w:rFonts w:hint="cs"/>
          <w:rtl/>
        </w:rPr>
        <w:t xml:space="preserve">, </w:t>
      </w:r>
      <w:r>
        <w:rPr>
          <w:rFonts w:hint="cs"/>
          <w:rtl/>
        </w:rPr>
        <w:t xml:space="preserve">ועי' במה שביאר </w:t>
      </w:r>
      <w:r>
        <w:rPr>
          <w:rStyle w:val="af9"/>
          <w:rFonts w:hint="cs"/>
          <w:rtl/>
        </w:rPr>
        <w:t>ב</w:t>
      </w:r>
      <w:r w:rsidRPr="00365F5F">
        <w:rPr>
          <w:rStyle w:val="af9"/>
          <w:rFonts w:hint="cs"/>
          <w:rtl/>
        </w:rPr>
        <w:t>קה"י</w:t>
      </w:r>
      <w:r>
        <w:rPr>
          <w:rStyle w:val="af9"/>
          <w:rFonts w:hint="cs"/>
          <w:rtl/>
        </w:rPr>
        <w:t xml:space="preserve"> </w:t>
      </w:r>
      <w:r w:rsidRPr="00365F5F">
        <w:rPr>
          <w:rStyle w:val="af7"/>
          <w:rFonts w:eastAsia="Guttman Hodes" w:hint="cs"/>
          <w:rtl/>
        </w:rPr>
        <w:t xml:space="preserve">(עי' אות </w:t>
      </w:r>
      <w:r w:rsidRPr="00365F5F">
        <w:rPr>
          <w:rStyle w:val="af7"/>
          <w:rFonts w:eastAsia="Guttman Hodes"/>
          <w:rtl/>
        </w:rPr>
        <w:fldChar w:fldCharType="begin"/>
      </w:r>
      <w:r w:rsidRPr="00365F5F">
        <w:rPr>
          <w:rStyle w:val="af7"/>
          <w:rFonts w:eastAsia="Guttman Hodes"/>
          <w:rtl/>
        </w:rPr>
        <w:instrText xml:space="preserve"> </w:instrText>
      </w:r>
      <w:r w:rsidRPr="00365F5F">
        <w:rPr>
          <w:rStyle w:val="af7"/>
          <w:rFonts w:eastAsia="Guttman Hodes" w:hint="cs"/>
        </w:rPr>
        <w:instrText>REF</w:instrText>
      </w:r>
      <w:r w:rsidRPr="00365F5F">
        <w:rPr>
          <w:rStyle w:val="af7"/>
          <w:rFonts w:eastAsia="Guttman Hodes" w:hint="cs"/>
          <w:rtl/>
        </w:rPr>
        <w:instrText xml:space="preserve"> _</w:instrText>
      </w:r>
      <w:r w:rsidRPr="00365F5F">
        <w:rPr>
          <w:rStyle w:val="af7"/>
          <w:rFonts w:eastAsia="Guttman Hodes" w:hint="cs"/>
        </w:rPr>
        <w:instrText>Ref54802433 \r \h</w:instrText>
      </w:r>
      <w:r w:rsidRPr="00365F5F">
        <w:rPr>
          <w:rStyle w:val="af7"/>
          <w:rFonts w:eastAsia="Guttman Hodes"/>
          <w:rtl/>
        </w:rPr>
        <w:instrText xml:space="preserve"> </w:instrText>
      </w:r>
      <w:r w:rsidRPr="00365F5F">
        <w:rPr>
          <w:rStyle w:val="af7"/>
          <w:rFonts w:eastAsia="Guttman Hodes"/>
          <w:rtl/>
        </w:rPr>
      </w:r>
      <w:r w:rsidRPr="00365F5F">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365F5F">
        <w:rPr>
          <w:rStyle w:val="af7"/>
          <w:rFonts w:eastAsia="Guttman Hodes"/>
          <w:rtl/>
        </w:rPr>
        <w:fldChar w:fldCharType="end"/>
      </w:r>
      <w:r>
        <w:rPr>
          <w:rFonts w:hint="cs"/>
          <w:rtl/>
        </w:rPr>
        <w:t xml:space="preserve"> בדברי </w:t>
      </w:r>
      <w:r w:rsidRPr="00365F5F">
        <w:rPr>
          <w:rStyle w:val="af9"/>
          <w:rFonts w:hint="cs"/>
          <w:rtl/>
        </w:rPr>
        <w:t>התוס'</w:t>
      </w:r>
      <w:r w:rsidRPr="0071182E">
        <w:rPr>
          <w:rFonts w:hint="cs"/>
          <w:rtl/>
        </w:rPr>
        <w:t xml:space="preserve">, </w:t>
      </w:r>
      <w:r>
        <w:rPr>
          <w:rFonts w:hint="cs"/>
          <w:rtl/>
        </w:rPr>
        <w:t>ובמ"ש</w:t>
      </w:r>
      <w:r>
        <w:rPr>
          <w:rStyle w:val="af9"/>
          <w:rFonts w:hint="cs"/>
          <w:rtl/>
        </w:rPr>
        <w:t xml:space="preserve"> 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Ref54947038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Pr>
          <w:rStyle w:val="af7"/>
          <w:rFonts w:eastAsia="Guttman Hodes"/>
          <w:rtl/>
        </w:rPr>
        <w:fldChar w:fldCharType="end"/>
      </w:r>
      <w:r>
        <w:rPr>
          <w:rStyle w:val="af7"/>
          <w:rFonts w:eastAsia="Guttman Hodes" w:hint="cs"/>
          <w:rtl/>
        </w:rPr>
        <w:t xml:space="preserve"> </w:t>
      </w:r>
      <w:r>
        <w:rPr>
          <w:rFonts w:hint="cs"/>
          <w:rtl/>
        </w:rPr>
        <w:t xml:space="preserve">ובמה שהקשה </w:t>
      </w:r>
      <w:r w:rsidRPr="00F90C32">
        <w:rPr>
          <w:rStyle w:val="af9"/>
          <w:rFonts w:hint="cs"/>
          <w:rtl/>
        </w:rPr>
        <w:t>בחו"ש הגרב"ב</w:t>
      </w:r>
      <w:r>
        <w:rPr>
          <w:rFonts w:hint="cs"/>
          <w:rtl/>
        </w:rPr>
        <w:t xml:space="preserve"> </w:t>
      </w:r>
      <w:r w:rsidRPr="00F85253">
        <w:rPr>
          <w:rStyle w:val="af7"/>
          <w:rFonts w:eastAsia="Guttman Hodes" w:hint="cs"/>
          <w:rtl/>
        </w:rPr>
        <w:t xml:space="preserve">(עי' אות </w:t>
      </w:r>
      <w:r w:rsidRPr="00F85253">
        <w:rPr>
          <w:rStyle w:val="af7"/>
          <w:rFonts w:eastAsia="Guttman Hodes"/>
          <w:rtl/>
        </w:rPr>
        <w:fldChar w:fldCharType="begin"/>
      </w:r>
      <w:r w:rsidRPr="00F85253">
        <w:rPr>
          <w:rStyle w:val="af7"/>
          <w:rFonts w:eastAsia="Guttman Hodes"/>
          <w:rtl/>
        </w:rPr>
        <w:instrText xml:space="preserve"> </w:instrText>
      </w:r>
      <w:r w:rsidRPr="00F85253">
        <w:rPr>
          <w:rStyle w:val="af7"/>
          <w:rFonts w:eastAsia="Guttman Hodes" w:hint="cs"/>
        </w:rPr>
        <w:instrText>REF</w:instrText>
      </w:r>
      <w:r w:rsidRPr="00F85253">
        <w:rPr>
          <w:rStyle w:val="af7"/>
          <w:rFonts w:eastAsia="Guttman Hodes" w:hint="cs"/>
          <w:rtl/>
        </w:rPr>
        <w:instrText xml:space="preserve"> _</w:instrText>
      </w:r>
      <w:r w:rsidRPr="00F85253">
        <w:rPr>
          <w:rStyle w:val="af7"/>
          <w:rFonts w:eastAsia="Guttman Hodes" w:hint="cs"/>
        </w:rPr>
        <w:instrText>Ref54947722 \r \h</w:instrText>
      </w:r>
      <w:r w:rsidRPr="00F85253">
        <w:rPr>
          <w:rStyle w:val="af7"/>
          <w:rFonts w:eastAsia="Guttman Hodes"/>
          <w:rtl/>
        </w:rPr>
        <w:instrText xml:space="preserve"> </w:instrText>
      </w:r>
      <w:r w:rsidRPr="00F85253">
        <w:rPr>
          <w:rStyle w:val="af7"/>
          <w:rFonts w:eastAsia="Guttman Hodes"/>
          <w:rtl/>
        </w:rPr>
      </w:r>
      <w:r w:rsidRPr="00F85253">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F85253">
        <w:rPr>
          <w:rStyle w:val="af7"/>
          <w:rFonts w:eastAsia="Guttman Hodes"/>
          <w:rtl/>
        </w:rPr>
        <w:fldChar w:fldCharType="end"/>
      </w:r>
      <w:r>
        <w:rPr>
          <w:rFonts w:hint="cs"/>
          <w:rtl/>
        </w:rPr>
        <w:t>.</w:t>
      </w:r>
      <w:bookmarkEnd w:id="1697"/>
      <w:r>
        <w:rPr>
          <w:rFonts w:hint="cs"/>
          <w:rtl/>
        </w:rPr>
        <w:t xml:space="preserve"> </w:t>
      </w:r>
    </w:p>
    <w:p w:rsidR="00900B10" w:rsidRDefault="00900B10" w:rsidP="00900B10">
      <w:pPr>
        <w:pStyle w:val="a3"/>
        <w:rPr>
          <w:rtl/>
        </w:rPr>
      </w:pPr>
      <w:bookmarkStart w:id="1698" w:name="_Toc54891161"/>
      <w:bookmarkStart w:id="1699" w:name="_Toc54903421"/>
      <w:bookmarkStart w:id="1700" w:name="_Toc54948400"/>
      <w:bookmarkStart w:id="1701" w:name="_Toc54952003"/>
      <w:bookmarkStart w:id="1702" w:name="_Toc55072896"/>
      <w:bookmarkStart w:id="1703" w:name="_Toc55073097"/>
      <w:bookmarkStart w:id="1704" w:name="_Toc55073508"/>
      <w:bookmarkStart w:id="1705" w:name="_Toc55074056"/>
      <w:r>
        <w:rPr>
          <w:rFonts w:hint="cs"/>
          <w:rtl/>
        </w:rPr>
        <w:t>קושית התוס' דאף לרבנן אפשר ללמוד משור המועד דאם לא הקפיד בג"ש ודאי דמכר למחזיק</w:t>
      </w:r>
      <w:bookmarkEnd w:id="1698"/>
      <w:bookmarkEnd w:id="1699"/>
      <w:bookmarkEnd w:id="1700"/>
      <w:bookmarkEnd w:id="1701"/>
      <w:bookmarkEnd w:id="1702"/>
      <w:bookmarkEnd w:id="1703"/>
      <w:bookmarkEnd w:id="1704"/>
      <w:bookmarkEnd w:id="1705"/>
    </w:p>
    <w:p w:rsidR="00900B10" w:rsidRPr="00CA4A58" w:rsidRDefault="00900B10" w:rsidP="007E4E81">
      <w:pPr>
        <w:pStyle w:val="a0"/>
        <w:rPr>
          <w:sz w:val="10"/>
          <w:szCs w:val="14"/>
          <w:rtl/>
        </w:rPr>
      </w:pPr>
      <w:bookmarkStart w:id="1706" w:name="_Ref54903130"/>
      <w:r>
        <w:rPr>
          <w:rFonts w:hint="cs"/>
          <w:rtl/>
        </w:rPr>
        <w:t xml:space="preserve">וע"ע בדברי </w:t>
      </w:r>
      <w:r w:rsidRPr="00ED4069">
        <w:rPr>
          <w:rStyle w:val="af9"/>
          <w:rFonts w:hint="cs"/>
          <w:rtl/>
        </w:rPr>
        <w:t>התוס' לקמן</w:t>
      </w:r>
      <w:r>
        <w:rPr>
          <w:rFonts w:hint="cs"/>
          <w:rtl/>
        </w:rPr>
        <w:t xml:space="preserve"> </w:t>
      </w:r>
      <w:r w:rsidRPr="00ED4069">
        <w:rPr>
          <w:rStyle w:val="af7"/>
          <w:rFonts w:eastAsia="Guttman Hodes" w:hint="cs"/>
          <w:rtl/>
        </w:rPr>
        <w:t>(כט. ד"ה שתא)</w:t>
      </w:r>
      <w:r>
        <w:rPr>
          <w:rFonts w:hint="cs"/>
          <w:rtl/>
        </w:rPr>
        <w:t xml:space="preserve"> דהקשו על התירוץ הראשון של רבא בגמ' לקמן </w:t>
      </w:r>
      <w:r w:rsidRPr="00ED4069">
        <w:rPr>
          <w:rStyle w:val="af7"/>
          <w:rFonts w:eastAsia="Guttman Hodes" w:hint="cs"/>
          <w:rtl/>
        </w:rPr>
        <w:t>(כט.)</w:t>
      </w:r>
      <w:r>
        <w:rPr>
          <w:rFonts w:hint="cs"/>
          <w:rtl/>
        </w:rPr>
        <w:t xml:space="preserve"> דלרבנן החזקה היא ג"ש, כיון דרק בשנה השלישית הבעלים מקפיד, דא"כ אפש"ל דאף לרבנן ילפינן משור המועד, דהא הילפותא משור המועד היא דכיון דאדם מקפיד בג' פעמים, א"כ ילפינן לרבנן דכל שעברו ג"ש ולא מחה בו, ודאי שמכר לו או נתן לו,</w:t>
      </w:r>
      <w:r w:rsidRPr="0084033D">
        <w:rPr>
          <w:rStyle w:val="afb"/>
          <w:rFonts w:hint="cs"/>
          <w:rtl/>
        </w:rPr>
        <w:t xml:space="preserve"> </w:t>
      </w:r>
      <w:r w:rsidRPr="0048558E">
        <w:rPr>
          <w:rStyle w:val="afb"/>
          <w:rFonts w:hint="cs"/>
          <w:rtl/>
        </w:rPr>
        <w:t xml:space="preserve">[וכתב </w:t>
      </w:r>
      <w:r w:rsidRPr="00FF217C">
        <w:rPr>
          <w:rStyle w:val="affa"/>
          <w:rFonts w:hint="cs"/>
          <w:rtl/>
        </w:rPr>
        <w:t>בשיעורי רבי שמואל</w:t>
      </w:r>
      <w:r w:rsidR="00A77F33">
        <w:rPr>
          <w:rStyle w:val="afb"/>
          <w:rFonts w:hint="cs"/>
          <w:rtl/>
        </w:rPr>
        <w:t xml:space="preserve"> </w:t>
      </w:r>
      <w:r w:rsidRPr="00FF217C">
        <w:rPr>
          <w:rStyle w:val="af7"/>
          <w:rFonts w:eastAsia="Guttman Hodes" w:hint="cs"/>
          <w:rtl/>
        </w:rPr>
        <w:t>(או' ה')</w:t>
      </w:r>
      <w:r>
        <w:rPr>
          <w:rFonts w:hint="cs"/>
          <w:rtl/>
        </w:rPr>
        <w:t xml:space="preserve"> </w:t>
      </w:r>
      <w:r w:rsidRPr="0048558E">
        <w:rPr>
          <w:rStyle w:val="afb"/>
          <w:rFonts w:hint="cs"/>
          <w:rtl/>
        </w:rPr>
        <w:t xml:space="preserve">דביארו </w:t>
      </w:r>
      <w:r w:rsidRPr="00FF217C">
        <w:rPr>
          <w:rStyle w:val="affa"/>
          <w:rFonts w:hint="cs"/>
          <w:rtl/>
        </w:rPr>
        <w:t>התוס'</w:t>
      </w:r>
      <w:r w:rsidRPr="0048558E">
        <w:rPr>
          <w:rStyle w:val="afb"/>
          <w:rFonts w:hint="cs"/>
          <w:rtl/>
        </w:rPr>
        <w:t xml:space="preserve"> </w:t>
      </w:r>
      <w:r w:rsidRPr="0084033D">
        <w:rPr>
          <w:rStyle w:val="afb"/>
          <w:rFonts w:hint="cs"/>
          <w:rtl/>
        </w:rPr>
        <w:t>ד</w:t>
      </w:r>
      <w:r>
        <w:rPr>
          <w:rStyle w:val="afb"/>
          <w:rFonts w:hint="cs"/>
          <w:rtl/>
        </w:rPr>
        <w:t>ילפינן דג"פ</w:t>
      </w:r>
      <w:r w:rsidRPr="0084033D">
        <w:rPr>
          <w:rStyle w:val="afb"/>
          <w:rtl/>
        </w:rPr>
        <w:t xml:space="preserve"> </w:t>
      </w:r>
      <w:r w:rsidRPr="0084033D">
        <w:rPr>
          <w:rStyle w:val="afb"/>
          <w:rFonts w:hint="cs"/>
          <w:rtl/>
        </w:rPr>
        <w:t>חשיב</w:t>
      </w:r>
      <w:r w:rsidRPr="0084033D">
        <w:rPr>
          <w:rStyle w:val="afb"/>
          <w:rtl/>
        </w:rPr>
        <w:t xml:space="preserve"> </w:t>
      </w:r>
      <w:r w:rsidRPr="0084033D">
        <w:rPr>
          <w:rStyle w:val="afb"/>
          <w:rFonts w:hint="cs"/>
          <w:rtl/>
        </w:rPr>
        <w:t>כקביעות</w:t>
      </w:r>
      <w:r>
        <w:rPr>
          <w:rStyle w:val="afb"/>
          <w:rFonts w:hint="cs"/>
          <w:rtl/>
        </w:rPr>
        <w:t xml:space="preserve"> ולא </w:t>
      </w:r>
      <w:r w:rsidRPr="0084033D">
        <w:rPr>
          <w:rStyle w:val="afb"/>
          <w:rFonts w:hint="cs"/>
          <w:rtl/>
        </w:rPr>
        <w:t>מקרה</w:t>
      </w:r>
      <w:r w:rsidRPr="0084033D">
        <w:rPr>
          <w:rStyle w:val="afb"/>
          <w:rtl/>
        </w:rPr>
        <w:t xml:space="preserve"> </w:t>
      </w:r>
      <w:r w:rsidRPr="0084033D">
        <w:rPr>
          <w:rStyle w:val="afb"/>
          <w:rFonts w:hint="cs"/>
          <w:rtl/>
        </w:rPr>
        <w:t>בעלמא</w:t>
      </w:r>
      <w:r w:rsidRPr="0084033D">
        <w:rPr>
          <w:rStyle w:val="afb"/>
          <w:rtl/>
        </w:rPr>
        <w:t xml:space="preserve">, </w:t>
      </w:r>
      <w:r>
        <w:rPr>
          <w:rStyle w:val="afb"/>
          <w:rFonts w:hint="cs"/>
          <w:rtl/>
        </w:rPr>
        <w:t xml:space="preserve">והמערער </w:t>
      </w:r>
      <w:r w:rsidRPr="0084033D">
        <w:rPr>
          <w:rStyle w:val="afb"/>
          <w:rFonts w:hint="cs"/>
          <w:rtl/>
        </w:rPr>
        <w:t>שתק</w:t>
      </w:r>
      <w:r w:rsidRPr="0084033D">
        <w:rPr>
          <w:rStyle w:val="afb"/>
          <w:rtl/>
        </w:rPr>
        <w:t xml:space="preserve"> </w:t>
      </w:r>
      <w:r>
        <w:rPr>
          <w:rStyle w:val="afb"/>
          <w:rFonts w:hint="cs"/>
          <w:rtl/>
        </w:rPr>
        <w:t>ג"פ כיון</w:t>
      </w:r>
      <w:r w:rsidRPr="0084033D">
        <w:rPr>
          <w:rStyle w:val="afb"/>
          <w:rtl/>
        </w:rPr>
        <w:t xml:space="preserve"> </w:t>
      </w:r>
      <w:r w:rsidRPr="0084033D">
        <w:rPr>
          <w:rStyle w:val="afb"/>
          <w:rFonts w:hint="cs"/>
          <w:rtl/>
        </w:rPr>
        <w:t>דמכר</w:t>
      </w:r>
      <w:r w:rsidRPr="0084033D">
        <w:rPr>
          <w:rStyle w:val="afb"/>
          <w:rtl/>
        </w:rPr>
        <w:t xml:space="preserve"> </w:t>
      </w:r>
      <w:r w:rsidRPr="0084033D">
        <w:rPr>
          <w:rStyle w:val="afb"/>
          <w:rFonts w:hint="cs"/>
          <w:rtl/>
        </w:rPr>
        <w:t>לו</w:t>
      </w:r>
      <w:r>
        <w:rPr>
          <w:rStyle w:val="afb"/>
          <w:rFonts w:hint="cs"/>
          <w:rtl/>
        </w:rPr>
        <w:t xml:space="preserve">, </w:t>
      </w:r>
      <w:r w:rsidRPr="0048558E">
        <w:rPr>
          <w:rStyle w:val="afb"/>
          <w:rFonts w:hint="cs"/>
          <w:rtl/>
        </w:rPr>
        <w:t xml:space="preserve">דלא </w:t>
      </w:r>
      <w:r w:rsidRPr="00FF217C">
        <w:rPr>
          <w:rStyle w:val="affa"/>
          <w:rFonts w:hint="cs"/>
          <w:rtl/>
        </w:rPr>
        <w:t>כהרמב"ן</w:t>
      </w:r>
      <w:r w:rsidRPr="0048558E">
        <w:rPr>
          <w:rStyle w:val="afb"/>
          <w:rFonts w:hint="cs"/>
          <w:rtl/>
        </w:rPr>
        <w:t xml:space="preserve"> </w:t>
      </w:r>
      <w:r w:rsidRPr="00FF217C">
        <w:rPr>
          <w:rStyle w:val="aff6"/>
          <w:rFonts w:hint="cs"/>
          <w:rtl/>
        </w:rPr>
        <w:t xml:space="preserve">(עי' אות </w:t>
      </w:r>
      <w:r w:rsidRPr="00FF217C">
        <w:rPr>
          <w:rStyle w:val="aff6"/>
          <w:rtl/>
        </w:rPr>
        <w:fldChar w:fldCharType="begin"/>
      </w:r>
      <w:r w:rsidRPr="00FF217C">
        <w:rPr>
          <w:rStyle w:val="aff6"/>
          <w:rtl/>
        </w:rPr>
        <w:instrText xml:space="preserve"> </w:instrText>
      </w:r>
      <w:r w:rsidRPr="00FF217C">
        <w:rPr>
          <w:rStyle w:val="aff6"/>
          <w:rFonts w:hint="cs"/>
        </w:rPr>
        <w:instrText>REF</w:instrText>
      </w:r>
      <w:r w:rsidRPr="00FF217C">
        <w:rPr>
          <w:rStyle w:val="aff6"/>
          <w:rFonts w:hint="cs"/>
          <w:rtl/>
        </w:rPr>
        <w:instrText xml:space="preserve"> _</w:instrText>
      </w:r>
      <w:r w:rsidRPr="00FF217C">
        <w:rPr>
          <w:rStyle w:val="aff6"/>
          <w:rFonts w:hint="cs"/>
        </w:rPr>
        <w:instrText>Ref54801573 \r \h</w:instrText>
      </w:r>
      <w:r w:rsidRPr="00FF217C">
        <w:rPr>
          <w:rStyle w:val="aff6"/>
          <w:rtl/>
        </w:rPr>
        <w:instrText xml:space="preserve"> </w:instrText>
      </w:r>
      <w:r w:rsidRPr="00FF217C">
        <w:rPr>
          <w:rStyle w:val="aff6"/>
          <w:rtl/>
        </w:rPr>
      </w:r>
      <w:r w:rsidRPr="00FF217C">
        <w:rPr>
          <w:rStyle w:val="aff6"/>
          <w:rtl/>
        </w:rPr>
        <w:fldChar w:fldCharType="separate"/>
      </w:r>
      <w:r w:rsidR="00265073">
        <w:rPr>
          <w:rStyle w:val="aff6"/>
          <w:cs/>
        </w:rPr>
        <w:t>‎</w:t>
      </w:r>
      <w:r w:rsidR="00265073">
        <w:rPr>
          <w:rStyle w:val="aff6"/>
          <w:rtl/>
        </w:rPr>
        <w:t>ט)</w:t>
      </w:r>
      <w:r w:rsidRPr="00FF217C">
        <w:rPr>
          <w:rStyle w:val="aff6"/>
          <w:rtl/>
        </w:rPr>
        <w:fldChar w:fldCharType="end"/>
      </w:r>
      <w:r w:rsidRPr="0048558E">
        <w:rPr>
          <w:rStyle w:val="afb"/>
          <w:rFonts w:hint="cs"/>
          <w:rtl/>
        </w:rPr>
        <w:t xml:space="preserve"> דביאר דבג"ש נעשה מוחזק, ופקעה חזקת המרא קמא, כמו בג' נגיחות דיוצא מחזקת תם לחזקת מועד]</w:t>
      </w:r>
      <w:r>
        <w:rPr>
          <w:rStyle w:val="afb"/>
          <w:rFonts w:hint="cs"/>
          <w:rtl/>
        </w:rPr>
        <w:t>,</w:t>
      </w:r>
      <w:r>
        <w:rPr>
          <w:rFonts w:hint="cs"/>
          <w:rtl/>
        </w:rPr>
        <w:t xml:space="preserve"> ועי' במה שביאר </w:t>
      </w:r>
      <w:r w:rsidRPr="00B62A56">
        <w:rPr>
          <w:rStyle w:val="af9"/>
          <w:rFonts w:hint="cs"/>
          <w:rtl/>
        </w:rPr>
        <w:t xml:space="preserve">בשיעורי רבי שמואל </w:t>
      </w:r>
      <w:r w:rsidRPr="00B62A56">
        <w:rPr>
          <w:rStyle w:val="af7"/>
          <w:rFonts w:eastAsia="Guttman Hodes" w:hint="cs"/>
          <w:rtl/>
        </w:rPr>
        <w:t xml:space="preserve">(עי' אות </w:t>
      </w:r>
      <w:r w:rsidRPr="00B62A56">
        <w:rPr>
          <w:rStyle w:val="af7"/>
          <w:rFonts w:eastAsia="Guttman Hodes"/>
          <w:rtl/>
        </w:rPr>
        <w:fldChar w:fldCharType="begin"/>
      </w:r>
      <w:r w:rsidRPr="00B62A56">
        <w:rPr>
          <w:rStyle w:val="af7"/>
          <w:rFonts w:eastAsia="Guttman Hodes"/>
          <w:rtl/>
        </w:rPr>
        <w:instrText xml:space="preserve"> </w:instrText>
      </w:r>
      <w:r w:rsidRPr="00B62A56">
        <w:rPr>
          <w:rStyle w:val="af7"/>
          <w:rFonts w:eastAsia="Guttman Hodes" w:hint="cs"/>
        </w:rPr>
        <w:instrText>REF</w:instrText>
      </w:r>
      <w:r w:rsidRPr="00B62A56">
        <w:rPr>
          <w:rStyle w:val="af7"/>
          <w:rFonts w:eastAsia="Guttman Hodes" w:hint="cs"/>
          <w:rtl/>
        </w:rPr>
        <w:instrText xml:space="preserve"> _</w:instrText>
      </w:r>
      <w:r w:rsidRPr="00B62A56">
        <w:rPr>
          <w:rStyle w:val="af7"/>
          <w:rFonts w:eastAsia="Guttman Hodes" w:hint="cs"/>
        </w:rPr>
        <w:instrText>Ref54801547 \r \h</w:instrText>
      </w:r>
      <w:r w:rsidRPr="00B62A56">
        <w:rPr>
          <w:rStyle w:val="af7"/>
          <w:rFonts w:eastAsia="Guttman Hodes"/>
          <w:rtl/>
        </w:rPr>
        <w:instrText xml:space="preserve"> </w:instrText>
      </w:r>
      <w:r w:rsidRPr="00B62A56">
        <w:rPr>
          <w:rStyle w:val="af7"/>
          <w:rFonts w:eastAsia="Guttman Hodes"/>
          <w:rtl/>
        </w:rPr>
      </w:r>
      <w:r w:rsidRPr="00B62A56">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B62A56">
        <w:rPr>
          <w:rStyle w:val="af7"/>
          <w:rFonts w:eastAsia="Guttman Hodes"/>
          <w:rtl/>
        </w:rPr>
        <w:fldChar w:fldCharType="end"/>
      </w:r>
      <w:r>
        <w:rPr>
          <w:rFonts w:hint="cs"/>
          <w:rtl/>
        </w:rPr>
        <w:t xml:space="preserve"> בדברי </w:t>
      </w:r>
      <w:r w:rsidRPr="00B62A56">
        <w:rPr>
          <w:rStyle w:val="af9"/>
          <w:rFonts w:hint="cs"/>
          <w:rtl/>
        </w:rPr>
        <w:t>התוס'</w:t>
      </w:r>
      <w:r>
        <w:rPr>
          <w:rFonts w:hint="cs"/>
          <w:rtl/>
        </w:rPr>
        <w:t>.</w:t>
      </w:r>
      <w:bookmarkEnd w:id="1706"/>
      <w:r w:rsidRPr="00CA4A58">
        <w:rPr>
          <w:rStyle w:val="afb"/>
          <w:rFonts w:hint="cs"/>
          <w:rtl/>
        </w:rPr>
        <w:t xml:space="preserve"> </w:t>
      </w:r>
    </w:p>
    <w:p w:rsidR="00900B10" w:rsidRPr="00054DEA" w:rsidRDefault="00900B10" w:rsidP="00900B10">
      <w:pPr>
        <w:pStyle w:val="a3"/>
        <w:rPr>
          <w:rtl/>
        </w:rPr>
      </w:pPr>
      <w:bookmarkStart w:id="1707" w:name="_Toc54891162"/>
      <w:bookmarkStart w:id="1708" w:name="_Toc54903422"/>
      <w:bookmarkStart w:id="1709" w:name="_Toc54948401"/>
      <w:bookmarkStart w:id="1710" w:name="_Toc54952004"/>
      <w:bookmarkStart w:id="1711" w:name="_Toc55072897"/>
      <w:bookmarkStart w:id="1712" w:name="_Toc55073098"/>
      <w:bookmarkStart w:id="1713" w:name="_Toc55073509"/>
      <w:bookmarkStart w:id="1714" w:name="_Toc55074057"/>
      <w:r>
        <w:rPr>
          <w:rFonts w:hint="cs"/>
          <w:rtl/>
        </w:rPr>
        <w:t>תירוץ התוס' דרק לר"י דצריך ג' אכילות דמי לשור אבל לרבנן צריך זמן של ג"ש ול"ד לשור</w:t>
      </w:r>
      <w:bookmarkEnd w:id="1707"/>
      <w:bookmarkEnd w:id="1708"/>
      <w:bookmarkEnd w:id="1709"/>
      <w:bookmarkEnd w:id="1710"/>
      <w:bookmarkEnd w:id="1711"/>
      <w:bookmarkEnd w:id="1712"/>
      <w:bookmarkEnd w:id="1713"/>
      <w:bookmarkEnd w:id="1714"/>
    </w:p>
    <w:p w:rsidR="00900B10" w:rsidRPr="0048558E" w:rsidRDefault="00900B10" w:rsidP="007E4E81">
      <w:pPr>
        <w:pStyle w:val="a0"/>
        <w:rPr>
          <w:rStyle w:val="afb"/>
          <w:rtl/>
        </w:rPr>
      </w:pPr>
      <w:bookmarkStart w:id="1715" w:name="_Ref54801507"/>
      <w:r>
        <w:rPr>
          <w:rFonts w:hint="cs"/>
          <w:rtl/>
        </w:rPr>
        <w:t xml:space="preserve">ותירצו </w:t>
      </w:r>
      <w:r w:rsidRPr="00B62A56">
        <w:rPr>
          <w:rStyle w:val="af9"/>
          <w:rFonts w:hint="cs"/>
          <w:rtl/>
        </w:rPr>
        <w:t xml:space="preserve">התוס' </w:t>
      </w:r>
      <w:r>
        <w:rPr>
          <w:rFonts w:hint="cs"/>
          <w:rtl/>
        </w:rPr>
        <w:t xml:space="preserve">דלרבי ישמעאל דס"ל דבחזקה אזלינן בתר אכילות, א"כ ילפינן משור המועד דהוחזק נגחן בג' נגיחות, לג' אכילות בחזקה, דאם לא מכר לו היה מקפיד, אך כתבו </w:t>
      </w:r>
      <w:r w:rsidRPr="00B62A56">
        <w:rPr>
          <w:rStyle w:val="af9"/>
          <w:rFonts w:hint="cs"/>
          <w:rtl/>
        </w:rPr>
        <w:t xml:space="preserve">התוס' </w:t>
      </w:r>
      <w:r>
        <w:rPr>
          <w:rFonts w:hint="cs"/>
          <w:rtl/>
        </w:rPr>
        <w:t>דלדעת רבנן דס"ל דהחזקה תלויה בג"ש, דיש זמן שבו מקפיד הבעלים, א"כ א"א ללמוד משור המועד, בכמה זמן חשיב הקפדה</w:t>
      </w:r>
      <w:bookmarkEnd w:id="1715"/>
      <w:r>
        <w:rPr>
          <w:rFonts w:hint="cs"/>
          <w:rtl/>
        </w:rPr>
        <w:t>.</w:t>
      </w:r>
    </w:p>
    <w:p w:rsidR="00900B10" w:rsidRPr="00196FC2" w:rsidRDefault="00900B10" w:rsidP="00900B10">
      <w:pPr>
        <w:pStyle w:val="a3"/>
        <w:rPr>
          <w:rtl/>
        </w:rPr>
      </w:pPr>
      <w:bookmarkStart w:id="1716" w:name="_Toc54891163"/>
      <w:bookmarkStart w:id="1717" w:name="_Toc54903423"/>
      <w:bookmarkStart w:id="1718" w:name="_Toc54948402"/>
      <w:bookmarkStart w:id="1719" w:name="_Toc54952005"/>
      <w:bookmarkStart w:id="1720" w:name="_Toc55072898"/>
      <w:bookmarkStart w:id="1721" w:name="_Toc55073099"/>
      <w:bookmarkStart w:id="1722" w:name="_Toc55073510"/>
      <w:bookmarkStart w:id="1723" w:name="_Toc55074058"/>
      <w:r>
        <w:rPr>
          <w:rFonts w:hint="cs"/>
          <w:rtl/>
        </w:rPr>
        <w:t>דברי התוס' דבג"ש שלא מחה יש חזקה שלא ימחה עוד ונימא דהמערער מחל על הקרקע</w:t>
      </w:r>
      <w:bookmarkEnd w:id="1716"/>
      <w:bookmarkEnd w:id="1717"/>
      <w:bookmarkEnd w:id="1718"/>
      <w:bookmarkEnd w:id="1719"/>
      <w:bookmarkEnd w:id="1720"/>
      <w:bookmarkEnd w:id="1721"/>
      <w:bookmarkEnd w:id="1722"/>
      <w:bookmarkEnd w:id="1723"/>
      <w:r>
        <w:rPr>
          <w:rFonts w:hint="cs"/>
          <w:rtl/>
        </w:rPr>
        <w:t xml:space="preserve"> </w:t>
      </w:r>
    </w:p>
    <w:p w:rsidR="00900B10" w:rsidRDefault="00900B10" w:rsidP="007E4E81">
      <w:pPr>
        <w:pStyle w:val="a0"/>
        <w:rPr>
          <w:rtl/>
        </w:rPr>
      </w:pPr>
      <w:r>
        <w:rPr>
          <w:rFonts w:hint="cs"/>
          <w:rtl/>
        </w:rPr>
        <w:t xml:space="preserve">וע"ע במה שביארו </w:t>
      </w:r>
      <w:r w:rsidRPr="00B62A56">
        <w:rPr>
          <w:rStyle w:val="af9"/>
          <w:rFonts w:hint="cs"/>
          <w:rtl/>
        </w:rPr>
        <w:t>התוס'</w:t>
      </w:r>
      <w:r>
        <w:rPr>
          <w:rFonts w:hint="cs"/>
          <w:rtl/>
        </w:rPr>
        <w:t xml:space="preserve"> </w:t>
      </w:r>
      <w:r w:rsidRPr="00B62A56">
        <w:rPr>
          <w:rStyle w:val="af7"/>
          <w:rFonts w:eastAsia="Guttman Hodes" w:hint="cs"/>
          <w:rtl/>
        </w:rPr>
        <w:t xml:space="preserve">(עי' אות </w:t>
      </w:r>
      <w:r w:rsidRPr="00B62A56">
        <w:rPr>
          <w:rStyle w:val="af7"/>
          <w:rFonts w:eastAsia="Guttman Hodes"/>
          <w:rtl/>
        </w:rPr>
        <w:fldChar w:fldCharType="begin"/>
      </w:r>
      <w:r w:rsidRPr="00B62A56">
        <w:rPr>
          <w:rStyle w:val="af7"/>
          <w:rFonts w:eastAsia="Guttman Hodes"/>
          <w:rtl/>
        </w:rPr>
        <w:instrText xml:space="preserve"> </w:instrText>
      </w:r>
      <w:r w:rsidRPr="00B62A56">
        <w:rPr>
          <w:rStyle w:val="af7"/>
          <w:rFonts w:eastAsia="Guttman Hodes" w:hint="cs"/>
        </w:rPr>
        <w:instrText>REF</w:instrText>
      </w:r>
      <w:r w:rsidRPr="00B62A56">
        <w:rPr>
          <w:rStyle w:val="af7"/>
          <w:rFonts w:eastAsia="Guttman Hodes" w:hint="cs"/>
          <w:rtl/>
        </w:rPr>
        <w:instrText xml:space="preserve"> _</w:instrText>
      </w:r>
      <w:r w:rsidRPr="00B62A56">
        <w:rPr>
          <w:rStyle w:val="af7"/>
          <w:rFonts w:eastAsia="Guttman Hodes" w:hint="cs"/>
        </w:rPr>
        <w:instrText>Ref54601264 \r \h</w:instrText>
      </w:r>
      <w:r w:rsidRPr="00B62A56">
        <w:rPr>
          <w:rStyle w:val="af7"/>
          <w:rFonts w:eastAsia="Guttman Hodes"/>
          <w:rtl/>
        </w:rPr>
        <w:instrText xml:space="preserve"> </w:instrText>
      </w:r>
      <w:r w:rsidRPr="00B62A56">
        <w:rPr>
          <w:rStyle w:val="af7"/>
          <w:rFonts w:eastAsia="Guttman Hodes"/>
          <w:rtl/>
        </w:rPr>
      </w:r>
      <w:r w:rsidRPr="00B62A56">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B62A56">
        <w:rPr>
          <w:rStyle w:val="af7"/>
          <w:rFonts w:eastAsia="Guttman Hodes"/>
          <w:rtl/>
        </w:rPr>
        <w:fldChar w:fldCharType="end"/>
      </w:r>
      <w:r>
        <w:rPr>
          <w:rFonts w:hint="cs"/>
          <w:rtl/>
        </w:rPr>
        <w:t xml:space="preserve"> בקושית הגמ' דתועיל חזקה בלא טענה, דכוונת הגמ' להקשות דכמו דבשור המועד, לאחר ג' נגיחות הוא עומד בחזקת נגחן, ה"ה בחזקת ג"ש, דכל שאכל המחזיק ג"ש ולא מחה המערער, יש חזקה שלא ימחה יותר, וא"כ אף כשהמחזיק אינו טוען כל טענה, תהיה השדה שלו, דאמרינן דהמערער מחל למחזיק על הקרקע. </w:t>
      </w:r>
      <w:bookmarkStart w:id="1724" w:name="_Toc54555944"/>
      <w:bookmarkStart w:id="1725" w:name="_Toc54603712"/>
    </w:p>
    <w:p w:rsidR="00900B10" w:rsidRPr="005D7F54" w:rsidRDefault="00900B10" w:rsidP="00900B10">
      <w:pPr>
        <w:pStyle w:val="a3"/>
        <w:rPr>
          <w:rtl/>
        </w:rPr>
      </w:pPr>
    </w:p>
    <w:p w:rsidR="00900B10" w:rsidRPr="005D7F54" w:rsidRDefault="00900B10" w:rsidP="00900B10">
      <w:pPr>
        <w:pStyle w:val="a3"/>
        <w:rPr>
          <w:rtl/>
        </w:rPr>
      </w:pPr>
    </w:p>
    <w:p w:rsidR="00900B10" w:rsidRPr="003B20DB" w:rsidRDefault="00900B10" w:rsidP="00900B10">
      <w:pPr>
        <w:pStyle w:val="a3"/>
        <w:rPr>
          <w:rtl/>
        </w:rPr>
      </w:pPr>
      <w:r>
        <w:rPr>
          <w:rFonts w:hint="cs"/>
          <w:rtl/>
        </w:rPr>
        <w:t>ביאור המה</w:t>
      </w:r>
      <w:r w:rsidRPr="002678A2">
        <w:rPr>
          <w:rFonts w:hint="cs"/>
          <w:b w:val="0"/>
          <w:bCs w:val="0"/>
          <w:rtl/>
        </w:rPr>
        <w:t xml:space="preserve">רש"א דהילפותא משור המועד דכל שלא הקפיד ג' אכילות </w:t>
      </w:r>
      <w:r w:rsidRPr="003B20DB">
        <w:rPr>
          <w:rFonts w:hint="cs"/>
          <w:rtl/>
        </w:rPr>
        <w:t>יש ראיה שמכר לו</w:t>
      </w:r>
    </w:p>
    <w:p w:rsidR="00900B10" w:rsidRPr="002678A2" w:rsidRDefault="00900B10" w:rsidP="007E4E81">
      <w:pPr>
        <w:pStyle w:val="a0"/>
        <w:rPr>
          <w:rtl/>
        </w:rPr>
      </w:pPr>
      <w:r>
        <w:rPr>
          <w:rFonts w:hint="cs"/>
          <w:rtl/>
        </w:rPr>
        <w:t xml:space="preserve">וע"ע בדברי </w:t>
      </w:r>
      <w:r w:rsidRPr="002678A2">
        <w:rPr>
          <w:rStyle w:val="af9"/>
          <w:rFonts w:hint="cs"/>
          <w:rtl/>
        </w:rPr>
        <w:t>המהרש"א</w:t>
      </w:r>
      <w:r>
        <w:rPr>
          <w:rFonts w:hint="cs"/>
          <w:rtl/>
        </w:rPr>
        <w:t xml:space="preserve"> </w:t>
      </w:r>
      <w:r w:rsidRPr="002678A2">
        <w:rPr>
          <w:rStyle w:val="af7"/>
          <w:rFonts w:eastAsia="Guttman Hodes" w:hint="cs"/>
          <w:rtl/>
        </w:rPr>
        <w:t xml:space="preserve">(על תוד"ה אלא [הב'], לקמן לה: על תוד"ה אי) </w:t>
      </w:r>
      <w:r>
        <w:rPr>
          <w:rFonts w:hint="cs"/>
          <w:rtl/>
        </w:rPr>
        <w:t>דכתב דלהולכי אושא ילפינן משור המועד, דכל שאכל המחזיק ג' אכילות, ולא הקפיד עליו המערער, מוכח שמכר לו את הקרקע.</w:t>
      </w:r>
    </w:p>
    <w:p w:rsidR="00900B10" w:rsidRDefault="00900B10" w:rsidP="00900B10">
      <w:pPr>
        <w:pStyle w:val="afe"/>
        <w:rPr>
          <w:rtl/>
        </w:rPr>
      </w:pPr>
      <w:bookmarkStart w:id="1726" w:name="_Toc54643452"/>
      <w:bookmarkStart w:id="1727" w:name="_Toc54730197"/>
      <w:bookmarkStart w:id="1728" w:name="_Toc54867218"/>
      <w:bookmarkStart w:id="1729" w:name="_Toc54868817"/>
      <w:bookmarkStart w:id="1730" w:name="_Toc54887717"/>
      <w:bookmarkStart w:id="1731" w:name="_Toc54891164"/>
      <w:bookmarkStart w:id="1732" w:name="_Toc54903424"/>
      <w:bookmarkStart w:id="1733" w:name="_Toc54948403"/>
      <w:bookmarkStart w:id="1734" w:name="_Toc54952006"/>
      <w:bookmarkStart w:id="1735" w:name="_Toc55072899"/>
      <w:bookmarkStart w:id="1736" w:name="_Toc55073100"/>
      <w:bookmarkStart w:id="1737" w:name="_Toc55073511"/>
      <w:bookmarkStart w:id="1738" w:name="_Toc55074059"/>
      <w:r>
        <w:rPr>
          <w:rFonts w:hint="cs"/>
          <w:rtl/>
        </w:rPr>
        <w:t>בקושיה דתהיה חזקה רק בשנה הרביעית</w:t>
      </w:r>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r>
        <w:rPr>
          <w:rFonts w:hint="cs"/>
          <w:rtl/>
        </w:rPr>
        <w:t xml:space="preserve"> </w:t>
      </w:r>
    </w:p>
    <w:p w:rsidR="00900B10" w:rsidRDefault="00900B10" w:rsidP="00900B10">
      <w:pPr>
        <w:pStyle w:val="1"/>
        <w:rPr>
          <w:rtl/>
        </w:rPr>
      </w:pPr>
      <w:bookmarkStart w:id="1739" w:name="_Toc54603713"/>
      <w:bookmarkStart w:id="1740" w:name="_Toc54643453"/>
      <w:bookmarkStart w:id="1741" w:name="_Toc54730198"/>
      <w:bookmarkStart w:id="1742" w:name="_Toc54867219"/>
      <w:bookmarkStart w:id="1743" w:name="_Toc54868818"/>
      <w:bookmarkStart w:id="1744" w:name="_Toc54887718"/>
      <w:bookmarkStart w:id="1745" w:name="_Toc54891165"/>
      <w:bookmarkStart w:id="1746" w:name="_Toc54903425"/>
      <w:bookmarkStart w:id="1747" w:name="_Toc54948404"/>
      <w:bookmarkStart w:id="1748" w:name="_Toc54952007"/>
      <w:bookmarkStart w:id="1749" w:name="_Toc55072900"/>
      <w:bookmarkStart w:id="1750" w:name="_Toc55073101"/>
      <w:bookmarkStart w:id="1751" w:name="_Toc55073512"/>
      <w:bookmarkStart w:id="1752" w:name="_Toc55074060"/>
      <w:r>
        <w:rPr>
          <w:rFonts w:hint="cs"/>
          <w:rtl/>
        </w:rPr>
        <w:t>ביאור רש"י דרק בשנה הרביעית יצאה מחזקת המר"ק</w:t>
      </w:r>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r>
        <w:rPr>
          <w:rFonts w:hint="cs"/>
          <w:rtl/>
        </w:rPr>
        <w:t xml:space="preserve"> </w:t>
      </w:r>
    </w:p>
    <w:p w:rsidR="00900B10" w:rsidRPr="002517EB" w:rsidRDefault="00900B10" w:rsidP="00900B10">
      <w:pPr>
        <w:pStyle w:val="a3"/>
        <w:rPr>
          <w:rtl/>
        </w:rPr>
      </w:pPr>
      <w:bookmarkStart w:id="1753" w:name="_Toc54891166"/>
      <w:bookmarkStart w:id="1754" w:name="_Toc54903426"/>
      <w:bookmarkStart w:id="1755" w:name="_Toc54948405"/>
      <w:bookmarkStart w:id="1756" w:name="_Toc54952008"/>
      <w:bookmarkStart w:id="1757" w:name="_Toc55072901"/>
      <w:bookmarkStart w:id="1758" w:name="_Toc55073102"/>
      <w:bookmarkStart w:id="1759" w:name="_Toc55073513"/>
      <w:bookmarkStart w:id="1760" w:name="_Toc55074061"/>
      <w:r>
        <w:rPr>
          <w:rFonts w:hint="cs"/>
          <w:rtl/>
        </w:rPr>
        <w:t>ביאור רש"י בקושית הגמ' דרק בסוף השנה הרביעית תהיה חזקה כמו נגיחה בשור</w:t>
      </w:r>
      <w:bookmarkEnd w:id="1753"/>
      <w:bookmarkEnd w:id="1754"/>
      <w:bookmarkEnd w:id="1755"/>
      <w:bookmarkEnd w:id="1756"/>
      <w:bookmarkEnd w:id="1757"/>
      <w:bookmarkEnd w:id="1758"/>
      <w:bookmarkEnd w:id="1759"/>
      <w:bookmarkEnd w:id="1760"/>
    </w:p>
    <w:p w:rsidR="00900B10" w:rsidRPr="009C2072" w:rsidRDefault="00900B10" w:rsidP="007E4E81">
      <w:pPr>
        <w:pStyle w:val="a0"/>
        <w:rPr>
          <w:rStyle w:val="afb"/>
          <w:rtl/>
        </w:rPr>
      </w:pPr>
      <w:r>
        <w:rPr>
          <w:rFonts w:hint="cs"/>
          <w:rtl/>
        </w:rPr>
        <w:t xml:space="preserve">בקושית הגמ' דכמו דשור המועד חייב רק בנגיחה רביעית, ה"ה בחזקה, ביאר </w:t>
      </w:r>
      <w:r w:rsidRPr="000E5B1B">
        <w:rPr>
          <w:rStyle w:val="af9"/>
          <w:rFonts w:hint="cs"/>
          <w:rtl/>
        </w:rPr>
        <w:t>רש"י</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0E5B1B">
        <w:rPr>
          <w:rStyle w:val="af7"/>
          <w:rFonts w:eastAsia="Guttman Hodes" w:hint="cs"/>
          <w:rtl/>
        </w:rPr>
        <w:t>לא מחייב)</w:t>
      </w:r>
      <w:r>
        <w:rPr>
          <w:rFonts w:hint="cs"/>
          <w:rtl/>
        </w:rPr>
        <w:t xml:space="preserve"> דכמו דשור המועד חייב לשלם רק חצי נזק, עד הנגיחה הרביעית, ה"ה בחזקה דעד שתגמר השנה הרביעית לא תהיה חזקה. </w:t>
      </w:r>
      <w:r w:rsidRPr="009C2072">
        <w:rPr>
          <w:rStyle w:val="afb"/>
          <w:rFonts w:hint="cs"/>
          <w:rtl/>
        </w:rPr>
        <w:t>[</w:t>
      </w:r>
      <w:r>
        <w:rPr>
          <w:rStyle w:val="afb"/>
          <w:rFonts w:hint="cs"/>
          <w:rtl/>
        </w:rPr>
        <w:t>ועי' במ"ש</w:t>
      </w:r>
      <w:r w:rsidRPr="009C2072">
        <w:rPr>
          <w:rStyle w:val="afb"/>
          <w:rFonts w:hint="cs"/>
          <w:rtl/>
        </w:rPr>
        <w:t xml:space="preserve"> </w:t>
      </w:r>
      <w:r w:rsidRPr="009C2072">
        <w:rPr>
          <w:rStyle w:val="affa"/>
          <w:rFonts w:hint="cs"/>
          <w:rtl/>
        </w:rPr>
        <w:t>רש"י</w:t>
      </w:r>
      <w:r w:rsidRPr="009C2072">
        <w:rPr>
          <w:rStyle w:val="afb"/>
          <w:rFonts w:hint="cs"/>
          <w:rtl/>
        </w:rPr>
        <w:t xml:space="preserve"> </w:t>
      </w:r>
      <w:r w:rsidRPr="009C2072">
        <w:rPr>
          <w:rStyle w:val="aff6"/>
          <w:rFonts w:hint="cs"/>
          <w:rtl/>
        </w:rPr>
        <w:t xml:space="preserve">(עי' אות </w:t>
      </w:r>
      <w:r w:rsidRPr="009C2072">
        <w:rPr>
          <w:rStyle w:val="aff6"/>
          <w:rtl/>
        </w:rPr>
        <w:fldChar w:fldCharType="begin"/>
      </w:r>
      <w:r w:rsidRPr="009C2072">
        <w:rPr>
          <w:rStyle w:val="aff6"/>
          <w:rtl/>
        </w:rPr>
        <w:instrText xml:space="preserve"> </w:instrText>
      </w:r>
      <w:r w:rsidRPr="009C2072">
        <w:rPr>
          <w:rStyle w:val="aff6"/>
          <w:rFonts w:hint="cs"/>
        </w:rPr>
        <w:instrText>REF</w:instrText>
      </w:r>
      <w:r w:rsidRPr="009C2072">
        <w:rPr>
          <w:rStyle w:val="aff6"/>
          <w:rFonts w:hint="cs"/>
          <w:rtl/>
        </w:rPr>
        <w:instrText xml:space="preserve"> _</w:instrText>
      </w:r>
      <w:r w:rsidRPr="009C2072">
        <w:rPr>
          <w:rStyle w:val="aff6"/>
          <w:rFonts w:hint="cs"/>
        </w:rPr>
        <w:instrText>Ref54868332 \r \h</w:instrText>
      </w:r>
      <w:r w:rsidRPr="009C2072">
        <w:rPr>
          <w:rStyle w:val="aff6"/>
          <w:rtl/>
        </w:rPr>
        <w:instrText xml:space="preserve"> </w:instrText>
      </w:r>
      <w:r w:rsidRPr="009C2072">
        <w:rPr>
          <w:rStyle w:val="aff6"/>
          <w:rtl/>
        </w:rPr>
      </w:r>
      <w:r w:rsidRPr="009C2072">
        <w:rPr>
          <w:rStyle w:val="aff6"/>
          <w:rtl/>
        </w:rPr>
        <w:fldChar w:fldCharType="separate"/>
      </w:r>
      <w:r w:rsidR="00265073">
        <w:rPr>
          <w:rStyle w:val="aff6"/>
          <w:cs/>
        </w:rPr>
        <w:t>‎</w:t>
      </w:r>
      <w:r w:rsidR="00265073">
        <w:rPr>
          <w:rStyle w:val="aff6"/>
          <w:rtl/>
        </w:rPr>
        <w:t>ה)</w:t>
      </w:r>
      <w:r w:rsidRPr="009C2072">
        <w:rPr>
          <w:rStyle w:val="aff6"/>
          <w:rtl/>
        </w:rPr>
        <w:fldChar w:fldCharType="end"/>
      </w:r>
      <w:r w:rsidRPr="009C2072">
        <w:rPr>
          <w:rStyle w:val="afb"/>
          <w:rFonts w:hint="cs"/>
          <w:rtl/>
        </w:rPr>
        <w:t xml:space="preserve"> דהילפותא דחזקת ג"ש מוציאה מרשות המרא קמא, ומעמידה את הקרקע ברשות המחזיק].</w:t>
      </w:r>
    </w:p>
    <w:p w:rsidR="00900B10" w:rsidRDefault="00900B10" w:rsidP="00900B10">
      <w:pPr>
        <w:pStyle w:val="1"/>
        <w:rPr>
          <w:rtl/>
        </w:rPr>
      </w:pPr>
      <w:bookmarkStart w:id="1761" w:name="_Toc54555946"/>
      <w:bookmarkStart w:id="1762" w:name="_Toc54603714"/>
      <w:bookmarkStart w:id="1763" w:name="_Toc54643454"/>
      <w:bookmarkStart w:id="1764" w:name="_Toc54730199"/>
      <w:bookmarkStart w:id="1765" w:name="_Toc54867220"/>
      <w:bookmarkStart w:id="1766" w:name="_Toc54868819"/>
      <w:bookmarkStart w:id="1767" w:name="_Toc54887719"/>
      <w:bookmarkStart w:id="1768" w:name="_Toc54891167"/>
      <w:bookmarkStart w:id="1769" w:name="_Toc54903427"/>
      <w:bookmarkStart w:id="1770" w:name="_Toc54948406"/>
      <w:bookmarkStart w:id="1771" w:name="_Toc54952009"/>
      <w:bookmarkStart w:id="1772" w:name="_Toc55072902"/>
      <w:bookmarkStart w:id="1773" w:name="_Toc55073103"/>
      <w:bookmarkStart w:id="1774" w:name="_Toc55073514"/>
      <w:bookmarkStart w:id="1775" w:name="_Toc55074062"/>
      <w:r>
        <w:rPr>
          <w:rFonts w:hint="cs"/>
          <w:rtl/>
        </w:rPr>
        <w:t>ביאור התוס'</w:t>
      </w:r>
      <w:bookmarkEnd w:id="1761"/>
      <w:bookmarkEnd w:id="1762"/>
      <w:bookmarkEnd w:id="1763"/>
      <w:bookmarkEnd w:id="1764"/>
      <w:bookmarkEnd w:id="1765"/>
      <w:bookmarkEnd w:id="1766"/>
      <w:bookmarkEnd w:id="1767"/>
      <w:r>
        <w:rPr>
          <w:rFonts w:hint="cs"/>
          <w:rtl/>
        </w:rPr>
        <w:t xml:space="preserve"> דקושית הגמ' דבג"ש יצאה מהמוכר ללוקח</w:t>
      </w:r>
      <w:bookmarkEnd w:id="1768"/>
      <w:bookmarkEnd w:id="1769"/>
      <w:bookmarkEnd w:id="1770"/>
      <w:bookmarkEnd w:id="1771"/>
      <w:bookmarkEnd w:id="1772"/>
      <w:bookmarkEnd w:id="1773"/>
      <w:bookmarkEnd w:id="1774"/>
      <w:bookmarkEnd w:id="1775"/>
    </w:p>
    <w:p w:rsidR="00900B10" w:rsidRDefault="00900B10" w:rsidP="00900B10">
      <w:pPr>
        <w:pStyle w:val="a3"/>
        <w:rPr>
          <w:rtl/>
        </w:rPr>
      </w:pPr>
      <w:bookmarkStart w:id="1776" w:name="_Toc54891168"/>
      <w:bookmarkStart w:id="1777" w:name="_Toc54903428"/>
      <w:bookmarkStart w:id="1778" w:name="_Toc54948407"/>
      <w:bookmarkStart w:id="1779" w:name="_Toc54952010"/>
      <w:bookmarkStart w:id="1780" w:name="_Toc55072903"/>
      <w:bookmarkStart w:id="1781" w:name="_Toc55073104"/>
      <w:bookmarkStart w:id="1782" w:name="_Toc55073515"/>
      <w:bookmarkStart w:id="1783" w:name="_Toc55074063"/>
      <w:r>
        <w:rPr>
          <w:rFonts w:hint="cs"/>
          <w:rtl/>
        </w:rPr>
        <w:t>קושית התוס' דבג"פ בשור הוחזק נגחן והמערער הוחזק שתקן ומהשנה הג' היא ברשות המחזיק</w:t>
      </w:r>
      <w:bookmarkEnd w:id="1776"/>
      <w:bookmarkEnd w:id="1777"/>
      <w:bookmarkEnd w:id="1778"/>
      <w:bookmarkEnd w:id="1779"/>
      <w:bookmarkEnd w:id="1780"/>
      <w:bookmarkEnd w:id="1781"/>
      <w:bookmarkEnd w:id="1782"/>
      <w:bookmarkEnd w:id="1783"/>
    </w:p>
    <w:p w:rsidR="00900B10" w:rsidRDefault="00900B10" w:rsidP="007E4E81">
      <w:pPr>
        <w:pStyle w:val="a0"/>
        <w:rPr>
          <w:rtl/>
        </w:rPr>
      </w:pPr>
      <w:bookmarkStart w:id="1784" w:name="_Ref54884689"/>
      <w:r>
        <w:rPr>
          <w:rFonts w:hint="cs"/>
          <w:rtl/>
        </w:rPr>
        <w:t xml:space="preserve">והקשה </w:t>
      </w:r>
      <w:r w:rsidRPr="00ED4069">
        <w:rPr>
          <w:rStyle w:val="af9"/>
          <w:rFonts w:hint="cs"/>
          <w:rtl/>
        </w:rPr>
        <w:t>ר"י בתוס'</w:t>
      </w:r>
      <w:r>
        <w:rPr>
          <w:rFonts w:hint="cs"/>
          <w:rtl/>
        </w:rPr>
        <w:t xml:space="preserve"> </w:t>
      </w:r>
      <w:r w:rsidRPr="002B39DC">
        <w:rPr>
          <w:rStyle w:val="af7"/>
          <w:rFonts w:eastAsia="Guttman Hodes" w:hint="cs"/>
          <w:rtl/>
        </w:rPr>
        <w:t>(ד</w:t>
      </w:r>
      <w:r w:rsidRPr="002B39DC">
        <w:rPr>
          <w:rStyle w:val="af7"/>
          <w:rFonts w:eastAsia="Guttman Hodes"/>
          <w:rtl/>
        </w:rPr>
        <w:t>"</w:t>
      </w:r>
      <w:r w:rsidRPr="002B39DC">
        <w:rPr>
          <w:rStyle w:val="af7"/>
          <w:rFonts w:eastAsia="Guttman Hodes" w:hint="cs"/>
          <w:rtl/>
        </w:rPr>
        <w:t>ה עד)</w:t>
      </w:r>
      <w:r>
        <w:rPr>
          <w:rFonts w:hint="cs"/>
          <w:rtl/>
        </w:rPr>
        <w:t xml:space="preserve"> דאפש"ל דהילפותא משור המועד היא דכמו שבג' פעמים הוחזק השור לנגחן, ה"ה בחזקה דאחר ג"ש הוחזק המערער לשתקן, וא"כ מהשנה השלישית תעמוד הקרקע ברשות המחזיק, ועי' בדברי </w:t>
      </w:r>
      <w:r w:rsidRPr="00ED4069">
        <w:rPr>
          <w:rStyle w:val="af9"/>
          <w:rFonts w:hint="cs"/>
          <w:rtl/>
        </w:rPr>
        <w:t>המהר"י בן לב</w:t>
      </w:r>
      <w:r>
        <w:rPr>
          <w:rFonts w:hint="cs"/>
          <w:rtl/>
        </w:rPr>
        <w:t xml:space="preserve"> </w:t>
      </w:r>
      <w:r w:rsidRPr="002B39DC">
        <w:rPr>
          <w:rStyle w:val="af7"/>
          <w:rFonts w:eastAsia="Guttman Hodes" w:hint="cs"/>
          <w:rtl/>
        </w:rPr>
        <w:t>(ח"ג סי' נ"ו ד"ה פרק חזקת)</w:t>
      </w:r>
      <w:r>
        <w:rPr>
          <w:rFonts w:hint="cs"/>
          <w:rtl/>
        </w:rPr>
        <w:t xml:space="preserve"> במה שהאריך טובא להקשות על דברי </w:t>
      </w:r>
      <w:r w:rsidRPr="002B39DC">
        <w:rPr>
          <w:rStyle w:val="af9"/>
          <w:rFonts w:hint="cs"/>
          <w:rtl/>
        </w:rPr>
        <w:t>התוס'</w:t>
      </w:r>
      <w:r>
        <w:rPr>
          <w:rFonts w:hint="cs"/>
          <w:rtl/>
        </w:rPr>
        <w:t>.</w:t>
      </w:r>
      <w:bookmarkEnd w:id="1784"/>
    </w:p>
    <w:p w:rsidR="00900B10" w:rsidRPr="00CA4A58" w:rsidRDefault="00900B10" w:rsidP="00900B10">
      <w:pPr>
        <w:pStyle w:val="a3"/>
        <w:rPr>
          <w:rtl/>
        </w:rPr>
      </w:pPr>
      <w:bookmarkStart w:id="1785" w:name="_Toc54891169"/>
      <w:bookmarkStart w:id="1786" w:name="_Toc54903429"/>
      <w:bookmarkStart w:id="1787" w:name="_Toc54948408"/>
      <w:bookmarkStart w:id="1788" w:name="_Toc54952011"/>
      <w:bookmarkStart w:id="1789" w:name="_Toc55072904"/>
      <w:bookmarkStart w:id="1790" w:name="_Toc55073105"/>
      <w:bookmarkStart w:id="1791" w:name="_Toc55073516"/>
      <w:bookmarkStart w:id="1792" w:name="_Toc55074064"/>
      <w:r>
        <w:rPr>
          <w:rFonts w:hint="cs"/>
          <w:rtl/>
        </w:rPr>
        <w:t>ביאור התוס' דההו"א בגמ' דילפינן דבג"ש יצאה הקרקע מהמוכר ללוקח אף שאין בזה סברא</w:t>
      </w:r>
      <w:bookmarkEnd w:id="1785"/>
      <w:bookmarkEnd w:id="1786"/>
      <w:bookmarkEnd w:id="1787"/>
      <w:bookmarkEnd w:id="1788"/>
      <w:bookmarkEnd w:id="1789"/>
      <w:bookmarkEnd w:id="1790"/>
      <w:bookmarkEnd w:id="1791"/>
      <w:bookmarkEnd w:id="1792"/>
    </w:p>
    <w:p w:rsidR="00900B10" w:rsidRDefault="00900B10" w:rsidP="007E4E81">
      <w:pPr>
        <w:pStyle w:val="a0"/>
        <w:rPr>
          <w:rtl/>
        </w:rPr>
      </w:pPr>
      <w:bookmarkStart w:id="1793" w:name="_Ref54555065"/>
      <w:r>
        <w:rPr>
          <w:rFonts w:hint="cs"/>
          <w:rtl/>
        </w:rPr>
        <w:t xml:space="preserve">ותירץ </w:t>
      </w:r>
      <w:r w:rsidRPr="00ED4069">
        <w:rPr>
          <w:rStyle w:val="af9"/>
          <w:rFonts w:hint="cs"/>
          <w:rtl/>
        </w:rPr>
        <w:t>ר"י בתוס'</w:t>
      </w:r>
      <w:r>
        <w:rPr>
          <w:rFonts w:hint="cs"/>
          <w:rtl/>
        </w:rPr>
        <w:t xml:space="preserve"> דבקושית הגמ' הו"א דהילפותא משור המועד, היא דכמו דאחר שנגח השור ג' נגיחות, יצא השור מחזקת חצי נזק, ועומד בחזקת נזק שלם, ה"ה בחזקת ג"ש דכל שאכל המחזיק ג"ש ולא מחה בו המערער, יצאה הקרקע מרשות המוכר ונכנסה לרשות הלוקח, וכתבו</w:t>
      </w:r>
      <w:r w:rsidRPr="00ED4069">
        <w:rPr>
          <w:rStyle w:val="af9"/>
          <w:rFonts w:hint="cs"/>
          <w:rtl/>
        </w:rPr>
        <w:t xml:space="preserve"> התוס'</w:t>
      </w:r>
      <w:r>
        <w:rPr>
          <w:rFonts w:hint="cs"/>
          <w:rtl/>
        </w:rPr>
        <w:t xml:space="preserve"> דאעפ"י שאין סברא בילפותא כזו, מ"מ כך סברה הגמ' בהו"א, ועי' בדברי </w:t>
      </w:r>
      <w:r w:rsidRPr="00F81280">
        <w:rPr>
          <w:rStyle w:val="af9"/>
          <w:rFonts w:hint="cs"/>
          <w:rtl/>
        </w:rPr>
        <w:t>הריטב"א</w:t>
      </w:r>
      <w:r>
        <w:rPr>
          <w:rFonts w:hint="cs"/>
          <w:rtl/>
        </w:rPr>
        <w:t xml:space="preserve"> </w:t>
      </w:r>
      <w:r w:rsidRPr="00F81280">
        <w:rPr>
          <w:rStyle w:val="af7"/>
          <w:rFonts w:eastAsia="Guttman Hodes" w:hint="cs"/>
          <w:rtl/>
        </w:rPr>
        <w:t xml:space="preserve">(עי' אות </w:t>
      </w:r>
      <w:r w:rsidRPr="00F81280">
        <w:rPr>
          <w:rStyle w:val="af7"/>
          <w:rFonts w:eastAsia="Guttman Hodes"/>
          <w:rtl/>
        </w:rPr>
        <w:fldChar w:fldCharType="begin"/>
      </w:r>
      <w:r w:rsidRPr="00F81280">
        <w:rPr>
          <w:rStyle w:val="af7"/>
          <w:rFonts w:eastAsia="Guttman Hodes"/>
          <w:rtl/>
        </w:rPr>
        <w:instrText xml:space="preserve"> </w:instrText>
      </w:r>
      <w:r w:rsidRPr="00F81280">
        <w:rPr>
          <w:rStyle w:val="af7"/>
          <w:rFonts w:eastAsia="Guttman Hodes" w:hint="cs"/>
        </w:rPr>
        <w:instrText>REF</w:instrText>
      </w:r>
      <w:r w:rsidRPr="00F81280">
        <w:rPr>
          <w:rStyle w:val="af7"/>
          <w:rFonts w:eastAsia="Guttman Hodes" w:hint="cs"/>
          <w:rtl/>
        </w:rPr>
        <w:instrText xml:space="preserve"> _</w:instrText>
      </w:r>
      <w:r w:rsidRPr="00F81280">
        <w:rPr>
          <w:rStyle w:val="af7"/>
          <w:rFonts w:eastAsia="Guttman Hodes" w:hint="cs"/>
        </w:rPr>
        <w:instrText>Ref54884589 \r \h</w:instrText>
      </w:r>
      <w:r w:rsidRPr="00F81280">
        <w:rPr>
          <w:rStyle w:val="af7"/>
          <w:rFonts w:eastAsia="Guttman Hodes"/>
          <w:rtl/>
        </w:rPr>
        <w:instrText xml:space="preserve"> </w:instrText>
      </w:r>
      <w:r w:rsidRPr="00F81280">
        <w:rPr>
          <w:rStyle w:val="af7"/>
          <w:rFonts w:eastAsia="Guttman Hodes"/>
          <w:rtl/>
        </w:rPr>
      </w:r>
      <w:r w:rsidRPr="00F81280">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F81280">
        <w:rPr>
          <w:rStyle w:val="af7"/>
          <w:rFonts w:eastAsia="Guttman Hodes"/>
          <w:rtl/>
        </w:rPr>
        <w:fldChar w:fldCharType="end"/>
      </w:r>
      <w:r>
        <w:rPr>
          <w:rFonts w:hint="cs"/>
          <w:rtl/>
        </w:rPr>
        <w:t>.</w:t>
      </w:r>
      <w:bookmarkEnd w:id="1793"/>
    </w:p>
    <w:p w:rsidR="00900B10" w:rsidRDefault="00900B10" w:rsidP="00900B10">
      <w:pPr>
        <w:pStyle w:val="1"/>
        <w:rPr>
          <w:rtl/>
        </w:rPr>
      </w:pPr>
      <w:bookmarkStart w:id="1794" w:name="_Toc54555947"/>
      <w:bookmarkStart w:id="1795" w:name="_Toc54603715"/>
      <w:bookmarkStart w:id="1796" w:name="_Toc54643455"/>
      <w:bookmarkStart w:id="1797" w:name="_Toc54730200"/>
      <w:bookmarkStart w:id="1798" w:name="_Toc54867221"/>
      <w:bookmarkStart w:id="1799" w:name="_Toc54868820"/>
      <w:bookmarkStart w:id="1800" w:name="_Toc54887720"/>
      <w:bookmarkStart w:id="1801" w:name="_Toc54891170"/>
      <w:bookmarkStart w:id="1802" w:name="_Toc54903430"/>
      <w:bookmarkStart w:id="1803" w:name="_Toc54948409"/>
      <w:bookmarkStart w:id="1804" w:name="_Toc54952012"/>
      <w:bookmarkStart w:id="1805" w:name="_Toc55072905"/>
      <w:bookmarkStart w:id="1806" w:name="_Toc55073106"/>
      <w:bookmarkStart w:id="1807" w:name="_Toc55073517"/>
      <w:bookmarkStart w:id="1808" w:name="_Toc55074065"/>
      <w:r>
        <w:rPr>
          <w:rFonts w:hint="cs"/>
          <w:rtl/>
        </w:rPr>
        <w:t>ביאור הרמב"ן בקושיה דעד שנה הרביעית לא תהיה חזקה</w:t>
      </w:r>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p>
    <w:p w:rsidR="00900B10" w:rsidRDefault="00900B10" w:rsidP="00900B10">
      <w:pPr>
        <w:pStyle w:val="a3"/>
        <w:rPr>
          <w:rtl/>
        </w:rPr>
      </w:pPr>
      <w:bookmarkStart w:id="1809" w:name="_Toc54887721"/>
      <w:bookmarkStart w:id="1810" w:name="_Toc54891171"/>
      <w:bookmarkStart w:id="1811" w:name="_Toc54903431"/>
      <w:bookmarkStart w:id="1812" w:name="_Toc54948410"/>
      <w:bookmarkStart w:id="1813" w:name="_Toc54952013"/>
      <w:bookmarkStart w:id="1814" w:name="_Toc55072906"/>
      <w:bookmarkStart w:id="1815" w:name="_Toc55073107"/>
      <w:bookmarkStart w:id="1816" w:name="_Toc55073518"/>
      <w:bookmarkStart w:id="1817" w:name="_Toc55074066"/>
      <w:r>
        <w:rPr>
          <w:rFonts w:hint="cs"/>
          <w:rtl/>
        </w:rPr>
        <w:t>ביאור הרמב"ן והריטב"א דבשנה הג' יצאה מחזקת המר"ק אך רק ברביעית היא בחזקת המוחזק</w:t>
      </w:r>
      <w:bookmarkEnd w:id="1809"/>
      <w:bookmarkEnd w:id="1810"/>
      <w:bookmarkEnd w:id="1811"/>
      <w:bookmarkEnd w:id="1812"/>
      <w:bookmarkEnd w:id="1813"/>
      <w:bookmarkEnd w:id="1814"/>
      <w:bookmarkEnd w:id="1815"/>
      <w:bookmarkEnd w:id="1816"/>
      <w:bookmarkEnd w:id="1817"/>
      <w:r>
        <w:rPr>
          <w:rFonts w:hint="cs"/>
          <w:rtl/>
        </w:rPr>
        <w:t xml:space="preserve"> </w:t>
      </w:r>
    </w:p>
    <w:p w:rsidR="00900B10" w:rsidRDefault="00900B10" w:rsidP="007E4E81">
      <w:pPr>
        <w:pStyle w:val="a0"/>
        <w:rPr>
          <w:rStyle w:val="afb"/>
          <w:rtl/>
        </w:rPr>
      </w:pPr>
      <w:r w:rsidRPr="002B39DC">
        <w:rPr>
          <w:rFonts w:hint="cs"/>
          <w:rtl/>
        </w:rPr>
        <w:t xml:space="preserve">עי' בדברי </w:t>
      </w:r>
      <w:r w:rsidRPr="002B39DC">
        <w:rPr>
          <w:rStyle w:val="af9"/>
          <w:rFonts w:hint="cs"/>
          <w:rtl/>
        </w:rPr>
        <w:t xml:space="preserve">הרמב"ן </w:t>
      </w:r>
      <w:r w:rsidRPr="002B39DC">
        <w:rPr>
          <w:rStyle w:val="af7"/>
          <w:rFonts w:eastAsia="Guttman Hodes" w:hint="cs"/>
          <w:rtl/>
        </w:rPr>
        <w:t xml:space="preserve">(עי' אות </w:t>
      </w:r>
      <w:r w:rsidRPr="002B39DC">
        <w:rPr>
          <w:rStyle w:val="af7"/>
          <w:rFonts w:eastAsia="Guttman Hodes"/>
          <w:rtl/>
        </w:rPr>
        <w:fldChar w:fldCharType="begin"/>
      </w:r>
      <w:r w:rsidRPr="002B39DC">
        <w:rPr>
          <w:rStyle w:val="af7"/>
          <w:rFonts w:eastAsia="Guttman Hodes"/>
          <w:rtl/>
        </w:rPr>
        <w:instrText xml:space="preserve"> </w:instrText>
      </w:r>
      <w:r w:rsidRPr="002B39DC">
        <w:rPr>
          <w:rStyle w:val="af7"/>
          <w:rFonts w:eastAsia="Guttman Hodes" w:hint="cs"/>
        </w:rPr>
        <w:instrText>REF</w:instrText>
      </w:r>
      <w:r w:rsidRPr="002B39DC">
        <w:rPr>
          <w:rStyle w:val="af7"/>
          <w:rFonts w:eastAsia="Guttman Hodes" w:hint="cs"/>
          <w:rtl/>
        </w:rPr>
        <w:instrText xml:space="preserve"> _</w:instrText>
      </w:r>
      <w:r w:rsidRPr="002B39DC">
        <w:rPr>
          <w:rStyle w:val="af7"/>
          <w:rFonts w:eastAsia="Guttman Hodes" w:hint="cs"/>
        </w:rPr>
        <w:instrText>Ref54801573 \r \h</w:instrText>
      </w:r>
      <w:r w:rsidRPr="002B39DC">
        <w:rPr>
          <w:rStyle w:val="af7"/>
          <w:rFonts w:eastAsia="Guttman Hodes"/>
          <w:rtl/>
        </w:rPr>
        <w:instrText xml:space="preserve"> </w:instrText>
      </w:r>
      <w:r w:rsidRPr="002B39DC">
        <w:rPr>
          <w:rStyle w:val="af7"/>
          <w:rFonts w:eastAsia="Guttman Hodes"/>
          <w:rtl/>
        </w:rPr>
      </w:r>
      <w:r w:rsidRPr="002B39DC">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2B39DC">
        <w:rPr>
          <w:rStyle w:val="af7"/>
          <w:rFonts w:eastAsia="Guttman Hodes"/>
          <w:rtl/>
        </w:rPr>
        <w:fldChar w:fldCharType="end"/>
      </w:r>
      <w:r w:rsidRPr="002B39DC">
        <w:rPr>
          <w:rFonts w:hint="cs"/>
          <w:rtl/>
        </w:rPr>
        <w:t xml:space="preserve"> דביאר </w:t>
      </w:r>
      <w:r>
        <w:rPr>
          <w:rFonts w:hint="cs"/>
          <w:rtl/>
        </w:rPr>
        <w:t>ב</w:t>
      </w:r>
      <w:r w:rsidRPr="002B39DC">
        <w:rPr>
          <w:rFonts w:hint="cs"/>
          <w:rtl/>
        </w:rPr>
        <w:t xml:space="preserve">ילפותא </w:t>
      </w:r>
      <w:r>
        <w:rPr>
          <w:rFonts w:hint="cs"/>
          <w:rtl/>
        </w:rPr>
        <w:t xml:space="preserve">משור המועד דבג"פ יצא מחזקת תמות, וכן בג"ש יצאה מחזקת המוכר, ונעשה המחזיק למוחזק, </w:t>
      </w:r>
      <w:r w:rsidRPr="002B39DC">
        <w:rPr>
          <w:rFonts w:hint="cs"/>
          <w:rtl/>
        </w:rPr>
        <w:t>ו</w:t>
      </w:r>
      <w:r>
        <w:rPr>
          <w:rFonts w:hint="cs"/>
          <w:rtl/>
        </w:rPr>
        <w:t>כתבו</w:t>
      </w:r>
      <w:r w:rsidRPr="002B39DC">
        <w:rPr>
          <w:rFonts w:hint="cs"/>
          <w:rtl/>
        </w:rPr>
        <w:t xml:space="preserve"> </w:t>
      </w:r>
      <w:r w:rsidRPr="002B39DC">
        <w:rPr>
          <w:rStyle w:val="af9"/>
          <w:rFonts w:hint="cs"/>
          <w:rtl/>
        </w:rPr>
        <w:t xml:space="preserve">הרמב"ן </w:t>
      </w:r>
      <w:r w:rsidRPr="002B39DC">
        <w:rPr>
          <w:rStyle w:val="af7"/>
          <w:rFonts w:eastAsia="Guttman Hodes" w:hint="cs"/>
          <w:rtl/>
        </w:rPr>
        <w:t>(ד</w:t>
      </w:r>
      <w:r w:rsidRPr="002B39DC">
        <w:rPr>
          <w:rStyle w:val="af7"/>
          <w:rFonts w:eastAsia="Guttman Hodes"/>
          <w:rtl/>
        </w:rPr>
        <w:t>"</w:t>
      </w:r>
      <w:r w:rsidRPr="002B39DC">
        <w:rPr>
          <w:rStyle w:val="af7"/>
          <w:rFonts w:eastAsia="Guttman Hodes" w:hint="cs"/>
          <w:rtl/>
        </w:rPr>
        <w:t>ה והיינו דאקשינן)</w:t>
      </w:r>
      <w:r w:rsidRPr="002B39DC">
        <w:rPr>
          <w:rFonts w:hint="cs"/>
          <w:rtl/>
        </w:rPr>
        <w:t xml:space="preserve"> </w:t>
      </w:r>
      <w:r w:rsidRPr="00194F24">
        <w:rPr>
          <w:rStyle w:val="af9"/>
          <w:rFonts w:hint="cs"/>
          <w:rtl/>
        </w:rPr>
        <w:t>והריטב"א</w:t>
      </w:r>
      <w:r>
        <w:rPr>
          <w:rFonts w:hint="cs"/>
          <w:rtl/>
        </w:rPr>
        <w:t xml:space="preserve"> </w:t>
      </w:r>
      <w:r w:rsidRPr="00194F24">
        <w:rPr>
          <w:rStyle w:val="af7"/>
          <w:rFonts w:eastAsia="Guttman Hodes" w:hint="cs"/>
          <w:rtl/>
        </w:rPr>
        <w:t>(ד"ה משור)</w:t>
      </w:r>
      <w:r>
        <w:rPr>
          <w:rFonts w:hint="cs"/>
          <w:rtl/>
        </w:rPr>
        <w:t xml:space="preserve"> </w:t>
      </w:r>
      <w:r w:rsidRPr="002B39DC">
        <w:rPr>
          <w:rFonts w:hint="cs"/>
          <w:rtl/>
        </w:rPr>
        <w:t>דלכן מקשה הגמ' דכמו דשור המועד, חייב רק בנגיחה רביעית, ה"ה בחזקה בשדה, דהיינו שאף שבנגיחה השלישית יצא השור מחזקת תמות</w:t>
      </w:r>
      <w:r>
        <w:rPr>
          <w:rFonts w:hint="cs"/>
          <w:rtl/>
        </w:rPr>
        <w:t xml:space="preserve">, מ"מ עדיין אינו בחזקת מועד על לנגיחה הרביעית, וה"ה בחזקה דלאחר ג"ש יוצאת השדה מחזקת המוכר, אך רק בשנה תכנס השדה לחזקת המחזיק, וכתב </w:t>
      </w:r>
      <w:r w:rsidRPr="00C00C94">
        <w:rPr>
          <w:rStyle w:val="af9"/>
          <w:rFonts w:hint="cs"/>
          <w:rtl/>
        </w:rPr>
        <w:t>הרמב"ן</w:t>
      </w:r>
      <w:r>
        <w:rPr>
          <w:rFonts w:hint="cs"/>
          <w:rtl/>
        </w:rPr>
        <w:t xml:space="preserve"> דא"כ קשה אמאי המחזיק נאמן </w:t>
      </w:r>
      <w:r>
        <w:rPr>
          <w:rFonts w:hint="cs"/>
          <w:rtl/>
        </w:rPr>
        <w:lastRenderedPageBreak/>
        <w:t xml:space="preserve">לגמרי, </w:t>
      </w:r>
      <w:r w:rsidRPr="001F4E01">
        <w:rPr>
          <w:rtl/>
        </w:rPr>
        <w:t xml:space="preserve">כבר בשנה השלישית, </w:t>
      </w:r>
      <w:r w:rsidRPr="00C00C94">
        <w:rPr>
          <w:rStyle w:val="af9"/>
          <w:rFonts w:hint="cs"/>
          <w:rtl/>
        </w:rPr>
        <w:t>והריטב"א</w:t>
      </w:r>
      <w:r>
        <w:rPr>
          <w:rFonts w:hint="cs"/>
          <w:rtl/>
        </w:rPr>
        <w:t xml:space="preserve"> כתב דכיון דאין אחד מהם מוחזק יותר מהשני, א"כ </w:t>
      </w:r>
      <w:r w:rsidRPr="001F4E01">
        <w:rPr>
          <w:rtl/>
        </w:rPr>
        <w:t xml:space="preserve">בשנה השלישית </w:t>
      </w:r>
      <w:r>
        <w:rPr>
          <w:rFonts w:hint="cs"/>
          <w:rtl/>
        </w:rPr>
        <w:t>נאמר כל דאלים גבר</w:t>
      </w:r>
      <w:r>
        <w:rPr>
          <w:rStyle w:val="af1"/>
          <w:rtl/>
        </w:rPr>
        <w:footnoteReference w:id="5"/>
      </w:r>
      <w:r w:rsidRPr="00C00C94">
        <w:rPr>
          <w:rFonts w:hint="cs"/>
          <w:rtl/>
        </w:rPr>
        <w:t>.</w:t>
      </w:r>
    </w:p>
    <w:p w:rsidR="00900B10" w:rsidRDefault="00900B10" w:rsidP="00900B10">
      <w:pPr>
        <w:pStyle w:val="a3"/>
        <w:rPr>
          <w:rtl/>
        </w:rPr>
      </w:pPr>
      <w:bookmarkStart w:id="1818" w:name="_Toc54887722"/>
      <w:bookmarkStart w:id="1819" w:name="_Toc54891172"/>
      <w:bookmarkStart w:id="1820" w:name="_Toc54903432"/>
      <w:bookmarkStart w:id="1821" w:name="_Toc54948411"/>
      <w:bookmarkStart w:id="1822" w:name="_Toc54952014"/>
      <w:bookmarkStart w:id="1823" w:name="_Toc55072907"/>
      <w:bookmarkStart w:id="1824" w:name="_Toc55073108"/>
      <w:bookmarkStart w:id="1825" w:name="_Toc55073519"/>
      <w:bookmarkStart w:id="1826" w:name="_Toc55074067"/>
      <w:r>
        <w:rPr>
          <w:rFonts w:hint="cs"/>
          <w:rtl/>
        </w:rPr>
        <w:t>ביאור הריטב"א בתירוץ הגמ' דבשור אין לו מה לשלם בשלישית אבל בשדה הוא מוחזק בה</w:t>
      </w:r>
      <w:bookmarkEnd w:id="1818"/>
      <w:bookmarkEnd w:id="1819"/>
      <w:bookmarkEnd w:id="1820"/>
      <w:bookmarkEnd w:id="1821"/>
      <w:bookmarkEnd w:id="1822"/>
      <w:bookmarkEnd w:id="1823"/>
      <w:bookmarkEnd w:id="1824"/>
      <w:bookmarkEnd w:id="1825"/>
      <w:bookmarkEnd w:id="1826"/>
    </w:p>
    <w:p w:rsidR="00900B10" w:rsidRDefault="00900B10" w:rsidP="007E4E81">
      <w:pPr>
        <w:pStyle w:val="a0"/>
        <w:rPr>
          <w:rtl/>
        </w:rPr>
      </w:pPr>
      <w:r>
        <w:rPr>
          <w:rFonts w:hint="cs"/>
          <w:rtl/>
        </w:rPr>
        <w:t xml:space="preserve">ובתירוץ הגמ' ביאר </w:t>
      </w:r>
      <w:r w:rsidRPr="009129CB">
        <w:rPr>
          <w:rStyle w:val="af9"/>
          <w:rFonts w:hint="cs"/>
          <w:rtl/>
        </w:rPr>
        <w:t>הריטב"א</w:t>
      </w:r>
      <w:r>
        <w:rPr>
          <w:rFonts w:hint="cs"/>
          <w:rtl/>
        </w:rPr>
        <w:t xml:space="preserve"> דהשור הוא בחזקת מועד בג' נגיחות, בכדי שצריך הבעלים לשמור אותו כשור מועד, אלא דאין לו מה לשלם לפני הנגיחה הרביעית, אבל בחזקת ג"ש כיון דבג' שנים עומדת השדה ברשות המחזיק, א"כ אינו צריך להמשיך ולהחזיק בשנה הרביעית, דהא הוא מוחזק כבר בשדה ונמצא בה. </w:t>
      </w:r>
    </w:p>
    <w:p w:rsidR="00900B10" w:rsidRPr="00C72DDA" w:rsidRDefault="00900B10" w:rsidP="00900B10">
      <w:pPr>
        <w:pStyle w:val="afe"/>
        <w:rPr>
          <w:rtl/>
        </w:rPr>
      </w:pPr>
      <w:bookmarkStart w:id="1827" w:name="_Toc54891173"/>
      <w:bookmarkStart w:id="1828" w:name="_Toc54903433"/>
      <w:bookmarkStart w:id="1829" w:name="_Toc54948412"/>
      <w:bookmarkStart w:id="1830" w:name="_Toc54952015"/>
      <w:bookmarkStart w:id="1831" w:name="_Toc55072908"/>
      <w:bookmarkStart w:id="1832" w:name="_Toc55073109"/>
      <w:bookmarkStart w:id="1833" w:name="_Toc55073520"/>
      <w:bookmarkStart w:id="1834" w:name="_Toc55074068"/>
      <w:r>
        <w:rPr>
          <w:rFonts w:hint="cs"/>
          <w:rtl/>
        </w:rPr>
        <w:t>בי' תוס' דבג"ש בלא טענה מוכח דמחל</w:t>
      </w:r>
      <w:bookmarkEnd w:id="1827"/>
      <w:bookmarkEnd w:id="1828"/>
      <w:bookmarkEnd w:id="1829"/>
      <w:bookmarkEnd w:id="1830"/>
      <w:bookmarkEnd w:id="1831"/>
      <w:bookmarkEnd w:id="1832"/>
      <w:bookmarkEnd w:id="1833"/>
      <w:bookmarkEnd w:id="1834"/>
      <w:r>
        <w:rPr>
          <w:rFonts w:hint="cs"/>
          <w:rtl/>
        </w:rPr>
        <w:t xml:space="preserve"> </w:t>
      </w:r>
    </w:p>
    <w:p w:rsidR="00900B10" w:rsidRDefault="00900B10" w:rsidP="00900B10">
      <w:pPr>
        <w:pStyle w:val="1"/>
        <w:rPr>
          <w:rtl/>
        </w:rPr>
      </w:pPr>
      <w:bookmarkStart w:id="1835" w:name="_Toc54603720"/>
      <w:bookmarkStart w:id="1836" w:name="_Toc54643460"/>
      <w:bookmarkStart w:id="1837" w:name="_Toc54730205"/>
      <w:bookmarkStart w:id="1838" w:name="_Toc54867226"/>
      <w:bookmarkStart w:id="1839" w:name="_Toc54868825"/>
      <w:bookmarkStart w:id="1840" w:name="_Toc54887724"/>
      <w:bookmarkStart w:id="1841" w:name="_Toc54891174"/>
      <w:bookmarkStart w:id="1842" w:name="_Toc54903434"/>
      <w:bookmarkStart w:id="1843" w:name="_Toc54948413"/>
      <w:bookmarkStart w:id="1844" w:name="_Toc54952016"/>
      <w:bookmarkStart w:id="1845" w:name="_Toc55072909"/>
      <w:bookmarkStart w:id="1846" w:name="_Toc55073110"/>
      <w:bookmarkStart w:id="1847" w:name="_Toc55073521"/>
      <w:bookmarkStart w:id="1848" w:name="_Toc55074069"/>
      <w:bookmarkStart w:id="1849" w:name="_Toc54603718"/>
      <w:bookmarkStart w:id="1850" w:name="_Toc54643458"/>
      <w:bookmarkStart w:id="1851" w:name="_Toc54730203"/>
      <w:bookmarkStart w:id="1852" w:name="_Toc54867224"/>
      <w:bookmarkStart w:id="1853" w:name="_Toc54868823"/>
      <w:r>
        <w:rPr>
          <w:rFonts w:hint="cs"/>
          <w:rtl/>
        </w:rPr>
        <w:t>הביאור הא' בתוס' דקושית הגמ' דכששתק ג"ש מוכח דמחל</w:t>
      </w:r>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p>
    <w:p w:rsidR="00900B10" w:rsidRPr="00702C63" w:rsidRDefault="00900B10" w:rsidP="00900B10">
      <w:pPr>
        <w:pStyle w:val="a3"/>
        <w:rPr>
          <w:rtl/>
        </w:rPr>
      </w:pPr>
      <w:bookmarkStart w:id="1854" w:name="_Toc54891175"/>
      <w:bookmarkStart w:id="1855" w:name="_Toc54903435"/>
      <w:bookmarkStart w:id="1856" w:name="_Toc54948414"/>
      <w:bookmarkStart w:id="1857" w:name="_Toc54952017"/>
      <w:bookmarkStart w:id="1858" w:name="_Toc55072910"/>
      <w:bookmarkStart w:id="1859" w:name="_Toc55073111"/>
      <w:bookmarkStart w:id="1860" w:name="_Toc55073522"/>
      <w:bookmarkStart w:id="1861" w:name="_Toc55074070"/>
      <w:r>
        <w:rPr>
          <w:rFonts w:hint="cs"/>
          <w:rtl/>
        </w:rPr>
        <w:t>קושית התוס' דמה ההו"א דתועיל חזקה בלא טענה להעמיד ביד המחזיק כשאינו טעון כלום</w:t>
      </w:r>
      <w:bookmarkEnd w:id="1854"/>
      <w:bookmarkEnd w:id="1855"/>
      <w:bookmarkEnd w:id="1856"/>
      <w:bookmarkEnd w:id="1857"/>
      <w:bookmarkEnd w:id="1858"/>
      <w:bookmarkEnd w:id="1859"/>
      <w:bookmarkEnd w:id="1860"/>
      <w:bookmarkEnd w:id="1861"/>
    </w:p>
    <w:p w:rsidR="00900B10" w:rsidRDefault="00900B10" w:rsidP="007E4E81">
      <w:pPr>
        <w:pStyle w:val="a0"/>
        <w:rPr>
          <w:rtl/>
        </w:rPr>
      </w:pPr>
      <w:bookmarkStart w:id="1862" w:name="_Ref55067504"/>
      <w:r>
        <w:rPr>
          <w:rFonts w:hint="cs"/>
          <w:rtl/>
        </w:rPr>
        <w:t xml:space="preserve">בקושית הגמ' דתועיל חזקה שאין עמה טענה, הקשו </w:t>
      </w:r>
      <w:r w:rsidRPr="009129CB">
        <w:rPr>
          <w:rStyle w:val="af9"/>
          <w:rFonts w:hint="cs"/>
          <w:rtl/>
        </w:rPr>
        <w:t>התוס'</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9129CB">
        <w:rPr>
          <w:rStyle w:val="af7"/>
          <w:rFonts w:eastAsia="Guttman Hodes" w:hint="cs"/>
          <w:rtl/>
        </w:rPr>
        <w:t>אלא</w:t>
      </w:r>
      <w:r>
        <w:rPr>
          <w:rStyle w:val="af7"/>
          <w:rFonts w:eastAsia="Guttman Hodes" w:hint="cs"/>
          <w:rtl/>
        </w:rPr>
        <w:t xml:space="preserve"> [הא']</w:t>
      </w:r>
      <w:r w:rsidRPr="009129CB">
        <w:rPr>
          <w:rStyle w:val="af7"/>
          <w:rFonts w:eastAsia="Guttman Hodes" w:hint="cs"/>
          <w:rtl/>
        </w:rPr>
        <w:t>)</w:t>
      </w:r>
      <w:r>
        <w:rPr>
          <w:rFonts w:hint="cs"/>
          <w:rtl/>
        </w:rPr>
        <w:t xml:space="preserve"> דמה ההו"א דאפשר להעמיד את הקרקע ביד המחזיק כשאינו טוען כלום. </w:t>
      </w:r>
      <w:r w:rsidRPr="00DB0913">
        <w:rPr>
          <w:rStyle w:val="afb"/>
          <w:rFonts w:hint="cs"/>
          <w:rtl/>
        </w:rPr>
        <w:t>[ועי' במה שביאר</w:t>
      </w:r>
      <w:r>
        <w:rPr>
          <w:rStyle w:val="afb"/>
          <w:rFonts w:hint="cs"/>
          <w:rtl/>
        </w:rPr>
        <w:t>ו</w:t>
      </w:r>
      <w:r w:rsidRPr="00DB0913">
        <w:rPr>
          <w:rStyle w:val="afb"/>
          <w:rFonts w:hint="cs"/>
          <w:rtl/>
        </w:rPr>
        <w:t xml:space="preserve"> </w:t>
      </w:r>
      <w:r w:rsidRPr="002E6073">
        <w:rPr>
          <w:rStyle w:val="affa"/>
          <w:rFonts w:hint="cs"/>
          <w:rtl/>
        </w:rPr>
        <w:t>הר"ן</w:t>
      </w:r>
      <w:r w:rsidRPr="00DB0913">
        <w:rPr>
          <w:rStyle w:val="afb"/>
          <w:rFonts w:hint="cs"/>
          <w:rtl/>
        </w:rPr>
        <w:t xml:space="preserve"> </w:t>
      </w:r>
      <w:r w:rsidRPr="00DA2C42">
        <w:rPr>
          <w:rStyle w:val="aff6"/>
          <w:rFonts w:hint="cs"/>
          <w:rtl/>
        </w:rPr>
        <w:t xml:space="preserve">(עי' אות </w:t>
      </w:r>
      <w:r w:rsidRPr="00DA2C42">
        <w:rPr>
          <w:rStyle w:val="aff6"/>
          <w:rtl/>
        </w:rPr>
        <w:fldChar w:fldCharType="begin"/>
      </w:r>
      <w:r w:rsidRPr="00DA2C42">
        <w:rPr>
          <w:rStyle w:val="aff6"/>
          <w:rtl/>
        </w:rPr>
        <w:instrText xml:space="preserve"> </w:instrText>
      </w:r>
      <w:r w:rsidRPr="00DA2C42">
        <w:rPr>
          <w:rStyle w:val="aff6"/>
          <w:rFonts w:hint="cs"/>
        </w:rPr>
        <w:instrText>REF</w:instrText>
      </w:r>
      <w:r w:rsidRPr="00DA2C42">
        <w:rPr>
          <w:rStyle w:val="aff6"/>
          <w:rFonts w:hint="cs"/>
          <w:rtl/>
        </w:rPr>
        <w:instrText xml:space="preserve"> _</w:instrText>
      </w:r>
      <w:r w:rsidRPr="00DA2C42">
        <w:rPr>
          <w:rStyle w:val="aff6"/>
          <w:rFonts w:hint="cs"/>
        </w:rPr>
        <w:instrText>Ref55073268 \r \h</w:instrText>
      </w:r>
      <w:r w:rsidRPr="00DA2C42">
        <w:rPr>
          <w:rStyle w:val="aff6"/>
          <w:rtl/>
        </w:rPr>
        <w:instrText xml:space="preserve"> </w:instrText>
      </w:r>
      <w:r w:rsidRPr="00DA2C42">
        <w:rPr>
          <w:rStyle w:val="aff6"/>
          <w:rtl/>
        </w:rPr>
      </w:r>
      <w:r w:rsidRPr="00DA2C42">
        <w:rPr>
          <w:rStyle w:val="aff6"/>
          <w:rtl/>
        </w:rPr>
        <w:fldChar w:fldCharType="separate"/>
      </w:r>
      <w:r w:rsidR="00265073">
        <w:rPr>
          <w:rStyle w:val="aff6"/>
          <w:cs/>
        </w:rPr>
        <w:t>‎</w:t>
      </w:r>
      <w:r w:rsidR="00265073">
        <w:rPr>
          <w:rStyle w:val="aff6"/>
          <w:rtl/>
        </w:rPr>
        <w:t>לב)</w:t>
      </w:r>
      <w:r w:rsidRPr="00DA2C42">
        <w:rPr>
          <w:rStyle w:val="aff6"/>
          <w:rtl/>
        </w:rPr>
        <w:fldChar w:fldCharType="end"/>
      </w:r>
      <w:r w:rsidRPr="00DB0913">
        <w:rPr>
          <w:rStyle w:val="afb"/>
          <w:rFonts w:hint="cs"/>
          <w:rtl/>
        </w:rPr>
        <w:t xml:space="preserve"> </w:t>
      </w:r>
      <w:r w:rsidRPr="00DA2C42">
        <w:rPr>
          <w:rStyle w:val="affa"/>
          <w:rFonts w:hint="cs"/>
          <w:rtl/>
        </w:rPr>
        <w:t>והריטב"א</w:t>
      </w:r>
      <w:r>
        <w:rPr>
          <w:rStyle w:val="afb"/>
          <w:rFonts w:hint="cs"/>
          <w:rtl/>
        </w:rPr>
        <w:t xml:space="preserve"> </w:t>
      </w:r>
      <w:r w:rsidRPr="002054BD">
        <w:rPr>
          <w:rStyle w:val="aff6"/>
          <w:rFonts w:hint="cs"/>
          <w:rtl/>
        </w:rPr>
        <w:t>(ע</w:t>
      </w:r>
      <w:r w:rsidRPr="00DA2C42">
        <w:rPr>
          <w:rStyle w:val="aff6"/>
          <w:rFonts w:hint="cs"/>
          <w:rtl/>
        </w:rPr>
        <w:t xml:space="preserve">י' אות </w:t>
      </w:r>
      <w:r w:rsidRPr="00DA2C42">
        <w:rPr>
          <w:rStyle w:val="aff6"/>
          <w:rtl/>
        </w:rPr>
        <w:fldChar w:fldCharType="begin"/>
      </w:r>
      <w:r w:rsidRPr="00DA2C42">
        <w:rPr>
          <w:rStyle w:val="aff6"/>
          <w:rtl/>
        </w:rPr>
        <w:instrText xml:space="preserve"> </w:instrText>
      </w:r>
      <w:r w:rsidRPr="00DA2C42">
        <w:rPr>
          <w:rStyle w:val="aff6"/>
          <w:rFonts w:hint="cs"/>
        </w:rPr>
        <w:instrText>REF</w:instrText>
      </w:r>
      <w:r w:rsidRPr="00DA2C42">
        <w:rPr>
          <w:rStyle w:val="aff6"/>
          <w:rFonts w:hint="cs"/>
          <w:rtl/>
        </w:rPr>
        <w:instrText xml:space="preserve"> _</w:instrText>
      </w:r>
      <w:r w:rsidRPr="00DA2C42">
        <w:rPr>
          <w:rStyle w:val="aff6"/>
          <w:rFonts w:hint="cs"/>
        </w:rPr>
        <w:instrText>Ref55073272 \r \h</w:instrText>
      </w:r>
      <w:r w:rsidRPr="00DA2C42">
        <w:rPr>
          <w:rStyle w:val="aff6"/>
          <w:rtl/>
        </w:rPr>
        <w:instrText xml:space="preserve"> </w:instrText>
      </w:r>
      <w:r w:rsidRPr="00DA2C42">
        <w:rPr>
          <w:rStyle w:val="aff6"/>
          <w:rtl/>
        </w:rPr>
      </w:r>
      <w:r w:rsidRPr="00DA2C42">
        <w:rPr>
          <w:rStyle w:val="aff6"/>
          <w:rtl/>
        </w:rPr>
        <w:fldChar w:fldCharType="separate"/>
      </w:r>
      <w:r w:rsidR="00265073">
        <w:rPr>
          <w:rStyle w:val="aff6"/>
          <w:cs/>
        </w:rPr>
        <w:t>‎</w:t>
      </w:r>
      <w:r w:rsidR="00265073">
        <w:rPr>
          <w:rStyle w:val="aff6"/>
          <w:rtl/>
        </w:rPr>
        <w:t>לג)</w:t>
      </w:r>
      <w:r w:rsidRPr="00DA2C42">
        <w:rPr>
          <w:rStyle w:val="aff6"/>
          <w:rtl/>
        </w:rPr>
        <w:fldChar w:fldCharType="end"/>
      </w:r>
      <w:r>
        <w:rPr>
          <w:rStyle w:val="afb"/>
          <w:rFonts w:hint="cs"/>
          <w:rtl/>
        </w:rPr>
        <w:t xml:space="preserve"> </w:t>
      </w:r>
      <w:r>
        <w:rPr>
          <w:rStyle w:val="affa"/>
          <w:rFonts w:hint="cs"/>
          <w:rtl/>
        </w:rPr>
        <w:t>ו</w:t>
      </w:r>
      <w:r w:rsidRPr="002E6073">
        <w:rPr>
          <w:rStyle w:val="affa"/>
          <w:rFonts w:hint="cs"/>
          <w:rtl/>
        </w:rPr>
        <w:t>רבינו יונה</w:t>
      </w:r>
      <w:r w:rsidRPr="00DB0913">
        <w:rPr>
          <w:rStyle w:val="afb"/>
          <w:rFonts w:hint="cs"/>
          <w:rtl/>
        </w:rPr>
        <w:t xml:space="preserve"> </w:t>
      </w:r>
      <w:r w:rsidRPr="002E6073">
        <w:rPr>
          <w:rStyle w:val="aff6"/>
          <w:rFonts w:hint="cs"/>
          <w:rtl/>
        </w:rPr>
        <w:t xml:space="preserve">(עי' אות </w:t>
      </w:r>
      <w:r w:rsidRPr="002E6073">
        <w:rPr>
          <w:rStyle w:val="aff6"/>
          <w:rtl/>
        </w:rPr>
        <w:fldChar w:fldCharType="begin"/>
      </w:r>
      <w:r w:rsidRPr="002E6073">
        <w:rPr>
          <w:rStyle w:val="aff6"/>
          <w:rtl/>
        </w:rPr>
        <w:instrText xml:space="preserve"> </w:instrText>
      </w:r>
      <w:r w:rsidRPr="002E6073">
        <w:rPr>
          <w:rStyle w:val="aff6"/>
          <w:rFonts w:hint="cs"/>
        </w:rPr>
        <w:instrText>REF</w:instrText>
      </w:r>
      <w:r w:rsidRPr="002E6073">
        <w:rPr>
          <w:rStyle w:val="aff6"/>
          <w:rFonts w:hint="cs"/>
          <w:rtl/>
        </w:rPr>
        <w:instrText xml:space="preserve"> _</w:instrText>
      </w:r>
      <w:r w:rsidRPr="002E6073">
        <w:rPr>
          <w:rStyle w:val="aff6"/>
          <w:rFonts w:hint="cs"/>
        </w:rPr>
        <w:instrText>Ref54602532 \r \h</w:instrText>
      </w:r>
      <w:r w:rsidRPr="002E6073">
        <w:rPr>
          <w:rStyle w:val="aff6"/>
          <w:rtl/>
        </w:rPr>
        <w:instrText xml:space="preserve"> </w:instrText>
      </w:r>
      <w:r w:rsidRPr="002E6073">
        <w:rPr>
          <w:rStyle w:val="aff6"/>
          <w:rtl/>
        </w:rPr>
      </w:r>
      <w:r w:rsidRPr="002E6073">
        <w:rPr>
          <w:rStyle w:val="aff6"/>
          <w:rtl/>
        </w:rPr>
        <w:fldChar w:fldCharType="separate"/>
      </w:r>
      <w:r w:rsidR="00265073">
        <w:rPr>
          <w:rStyle w:val="aff6"/>
          <w:cs/>
        </w:rPr>
        <w:t>‎</w:t>
      </w:r>
      <w:r w:rsidR="00265073">
        <w:rPr>
          <w:rStyle w:val="aff6"/>
          <w:rtl/>
        </w:rPr>
        <w:t>לו)</w:t>
      </w:r>
      <w:r w:rsidRPr="002E6073">
        <w:rPr>
          <w:rStyle w:val="aff6"/>
          <w:rtl/>
        </w:rPr>
        <w:fldChar w:fldCharType="end"/>
      </w:r>
      <w:r w:rsidRPr="00DB0913">
        <w:rPr>
          <w:rStyle w:val="afb"/>
          <w:rFonts w:hint="cs"/>
          <w:rtl/>
        </w:rPr>
        <w:t xml:space="preserve">, ובמ"ש </w:t>
      </w:r>
      <w:r w:rsidRPr="002E6073">
        <w:rPr>
          <w:rStyle w:val="affa"/>
          <w:rFonts w:hint="cs"/>
          <w:rtl/>
        </w:rPr>
        <w:t>רבינו יונה בביאורו הב'</w:t>
      </w:r>
      <w:r w:rsidRPr="00DB0913">
        <w:rPr>
          <w:rStyle w:val="afb"/>
          <w:rFonts w:hint="cs"/>
          <w:rtl/>
        </w:rPr>
        <w:t xml:space="preserve"> </w:t>
      </w:r>
      <w:r w:rsidRPr="002E6073">
        <w:rPr>
          <w:rStyle w:val="aff6"/>
          <w:rFonts w:hint="cs"/>
          <w:rtl/>
        </w:rPr>
        <w:t xml:space="preserve">(עי' אות </w:t>
      </w:r>
      <w:r w:rsidRPr="002E6073">
        <w:rPr>
          <w:rStyle w:val="aff6"/>
          <w:rtl/>
        </w:rPr>
        <w:fldChar w:fldCharType="begin"/>
      </w:r>
      <w:r w:rsidRPr="002E6073">
        <w:rPr>
          <w:rStyle w:val="aff6"/>
          <w:rtl/>
        </w:rPr>
        <w:instrText xml:space="preserve"> </w:instrText>
      </w:r>
      <w:r w:rsidRPr="002E6073">
        <w:rPr>
          <w:rStyle w:val="aff6"/>
          <w:rFonts w:hint="cs"/>
        </w:rPr>
        <w:instrText>REF</w:instrText>
      </w:r>
      <w:r w:rsidRPr="002E6073">
        <w:rPr>
          <w:rStyle w:val="aff6"/>
          <w:rFonts w:hint="cs"/>
          <w:rtl/>
        </w:rPr>
        <w:instrText xml:space="preserve"> _</w:instrText>
      </w:r>
      <w:r w:rsidRPr="002E6073">
        <w:rPr>
          <w:rStyle w:val="aff6"/>
          <w:rFonts w:hint="cs"/>
        </w:rPr>
        <w:instrText>Ref54602979 \r \h</w:instrText>
      </w:r>
      <w:r w:rsidRPr="002E6073">
        <w:rPr>
          <w:rStyle w:val="aff6"/>
          <w:rtl/>
        </w:rPr>
        <w:instrText xml:space="preserve"> </w:instrText>
      </w:r>
      <w:r w:rsidRPr="002E6073">
        <w:rPr>
          <w:rStyle w:val="aff6"/>
          <w:rtl/>
        </w:rPr>
      </w:r>
      <w:r w:rsidRPr="002E6073">
        <w:rPr>
          <w:rStyle w:val="aff6"/>
          <w:rtl/>
        </w:rPr>
        <w:fldChar w:fldCharType="separate"/>
      </w:r>
      <w:r w:rsidR="00265073">
        <w:rPr>
          <w:rStyle w:val="aff6"/>
          <w:cs/>
        </w:rPr>
        <w:t>‎</w:t>
      </w:r>
      <w:r w:rsidR="00265073">
        <w:rPr>
          <w:rStyle w:val="aff6"/>
          <w:rtl/>
        </w:rPr>
        <w:t>מז)</w:t>
      </w:r>
      <w:r w:rsidRPr="002E6073">
        <w:rPr>
          <w:rStyle w:val="aff6"/>
          <w:rtl/>
        </w:rPr>
        <w:fldChar w:fldCharType="end"/>
      </w:r>
      <w:r w:rsidRPr="00DB0913">
        <w:rPr>
          <w:rStyle w:val="afb"/>
          <w:rFonts w:hint="cs"/>
          <w:rtl/>
        </w:rPr>
        <w:t>].</w:t>
      </w:r>
      <w:bookmarkEnd w:id="1862"/>
    </w:p>
    <w:p w:rsidR="00900B10" w:rsidRDefault="00900B10" w:rsidP="00900B10">
      <w:pPr>
        <w:pStyle w:val="a3"/>
        <w:rPr>
          <w:rtl/>
        </w:rPr>
      </w:pPr>
      <w:bookmarkStart w:id="1863" w:name="_Toc54891176"/>
      <w:bookmarkStart w:id="1864" w:name="_Toc54903436"/>
      <w:bookmarkStart w:id="1865" w:name="_Toc54948415"/>
      <w:bookmarkStart w:id="1866" w:name="_Toc54952018"/>
      <w:bookmarkStart w:id="1867" w:name="_Toc55072911"/>
      <w:bookmarkStart w:id="1868" w:name="_Toc55073112"/>
      <w:bookmarkStart w:id="1869" w:name="_Toc55073523"/>
      <w:bookmarkStart w:id="1870" w:name="_Toc55074071"/>
      <w:r>
        <w:rPr>
          <w:rFonts w:hint="cs"/>
          <w:rtl/>
        </w:rPr>
        <w:t>הביאור הא' בתוס' דבג"ש הוחזק המערער שתקן ומקשה הגמ' דנימא דמחל לו אף בלא טענה</w:t>
      </w:r>
      <w:bookmarkEnd w:id="1863"/>
      <w:bookmarkEnd w:id="1864"/>
      <w:bookmarkEnd w:id="1865"/>
      <w:bookmarkEnd w:id="1866"/>
      <w:bookmarkEnd w:id="1867"/>
      <w:bookmarkEnd w:id="1868"/>
      <w:bookmarkEnd w:id="1869"/>
      <w:bookmarkEnd w:id="1870"/>
    </w:p>
    <w:p w:rsidR="00900B10" w:rsidRPr="00816DD1" w:rsidRDefault="00900B10" w:rsidP="007E4E81">
      <w:pPr>
        <w:pStyle w:val="a0"/>
        <w:rPr>
          <w:rStyle w:val="afb"/>
          <w:rtl/>
        </w:rPr>
      </w:pPr>
      <w:bookmarkStart w:id="1871" w:name="_Ref54601264"/>
      <w:bookmarkStart w:id="1872" w:name="_Ref54603299"/>
      <w:bookmarkStart w:id="1873" w:name="_Ref54898594"/>
      <w:r>
        <w:rPr>
          <w:rFonts w:hint="cs"/>
          <w:rtl/>
        </w:rPr>
        <w:t>ותירצו</w:t>
      </w:r>
      <w:r w:rsidRPr="005540AF">
        <w:rPr>
          <w:rStyle w:val="af9"/>
          <w:rFonts w:hint="cs"/>
          <w:rtl/>
        </w:rPr>
        <w:t xml:space="preserve"> התוס' בביאורם הא' </w:t>
      </w:r>
      <w:r>
        <w:rPr>
          <w:rFonts w:hint="cs"/>
          <w:rtl/>
        </w:rPr>
        <w:t xml:space="preserve">דכוונת הגמ' להקשות דכמו דבשור המועד, לאחר ג' נגיחות הוא עומד בחזקת נגחן, ה"ה בחזקת ג"ש, דכל שאכל המחזיק ג"ש ולא מחה המערער, יש חזקה שלא ימחה יותר, וא"כ אף </w:t>
      </w:r>
      <w:r w:rsidRPr="00DA2C42">
        <w:rPr>
          <w:rFonts w:hint="cs"/>
          <w:rtl/>
        </w:rPr>
        <w:t xml:space="preserve">כשהמחזיק אינו טוען כל טענה, תהיה השדה שלו, דאמרינן דהמערער מחל למחזיק על הקרקע. </w:t>
      </w:r>
      <w:r w:rsidRPr="00DA2C42">
        <w:rPr>
          <w:rStyle w:val="afb"/>
          <w:rFonts w:hint="cs"/>
          <w:rtl/>
        </w:rPr>
        <w:t xml:space="preserve">[ועי' </w:t>
      </w:r>
      <w:r w:rsidRPr="00DA2C42">
        <w:rPr>
          <w:rStyle w:val="affa"/>
          <w:rFonts w:hint="cs"/>
          <w:rtl/>
        </w:rPr>
        <w:t>בר"ן ובריטב"א</w:t>
      </w:r>
      <w:r w:rsidRPr="00DA2C42">
        <w:rPr>
          <w:rStyle w:val="afb"/>
          <w:rFonts w:hint="cs"/>
          <w:rtl/>
        </w:rPr>
        <w:t xml:space="preserve"> </w:t>
      </w:r>
      <w:r w:rsidRPr="00DA2C42">
        <w:rPr>
          <w:rStyle w:val="aff6"/>
          <w:rFonts w:hint="cs"/>
          <w:rtl/>
        </w:rPr>
        <w:t xml:space="preserve">(עי' אות </w:t>
      </w:r>
      <w:r w:rsidRPr="00DA2C42">
        <w:rPr>
          <w:rStyle w:val="aff6"/>
          <w:rtl/>
        </w:rPr>
        <w:fldChar w:fldCharType="begin"/>
      </w:r>
      <w:r w:rsidRPr="00DA2C42">
        <w:rPr>
          <w:rStyle w:val="aff6"/>
          <w:rtl/>
        </w:rPr>
        <w:instrText xml:space="preserve"> </w:instrText>
      </w:r>
      <w:r w:rsidRPr="00DA2C42">
        <w:rPr>
          <w:rStyle w:val="aff6"/>
          <w:rFonts w:hint="cs"/>
        </w:rPr>
        <w:instrText>REF</w:instrText>
      </w:r>
      <w:r w:rsidRPr="00DA2C42">
        <w:rPr>
          <w:rStyle w:val="aff6"/>
          <w:rFonts w:hint="cs"/>
          <w:rtl/>
        </w:rPr>
        <w:instrText xml:space="preserve"> _</w:instrText>
      </w:r>
      <w:r w:rsidRPr="00DA2C42">
        <w:rPr>
          <w:rStyle w:val="aff6"/>
          <w:rFonts w:hint="cs"/>
        </w:rPr>
        <w:instrText>Ref54898657 \r \h</w:instrText>
      </w:r>
      <w:r w:rsidRPr="00DA2C42">
        <w:rPr>
          <w:rStyle w:val="aff6"/>
          <w:rtl/>
        </w:rPr>
        <w:instrText xml:space="preserve">  \* </w:instrText>
      </w:r>
      <w:r w:rsidRPr="00DA2C42">
        <w:rPr>
          <w:rStyle w:val="aff6"/>
        </w:rPr>
        <w:instrText>MERGEFORMAT</w:instrText>
      </w:r>
      <w:r w:rsidRPr="00DA2C42">
        <w:rPr>
          <w:rStyle w:val="aff6"/>
          <w:rtl/>
        </w:rPr>
        <w:instrText xml:space="preserve"> </w:instrText>
      </w:r>
      <w:r w:rsidRPr="00DA2C42">
        <w:rPr>
          <w:rStyle w:val="aff6"/>
          <w:rtl/>
        </w:rPr>
      </w:r>
      <w:r w:rsidRPr="00DA2C42">
        <w:rPr>
          <w:rStyle w:val="aff6"/>
          <w:rtl/>
        </w:rPr>
        <w:fldChar w:fldCharType="separate"/>
      </w:r>
      <w:r w:rsidR="00265073">
        <w:rPr>
          <w:rStyle w:val="aff6"/>
          <w:cs/>
        </w:rPr>
        <w:t>‎</w:t>
      </w:r>
      <w:r w:rsidR="00265073">
        <w:rPr>
          <w:rStyle w:val="aff6"/>
          <w:rtl/>
        </w:rPr>
        <w:t>לא)</w:t>
      </w:r>
      <w:r w:rsidRPr="00DA2C42">
        <w:rPr>
          <w:rStyle w:val="aff6"/>
          <w:rtl/>
        </w:rPr>
        <w:fldChar w:fldCharType="end"/>
      </w:r>
      <w:r w:rsidRPr="00DA2C42">
        <w:rPr>
          <w:rStyle w:val="aff6"/>
          <w:rFonts w:hint="cs"/>
          <w:rtl/>
        </w:rPr>
        <w:t xml:space="preserve"> </w:t>
      </w:r>
      <w:r w:rsidRPr="00DA2C42">
        <w:rPr>
          <w:rStyle w:val="afb"/>
          <w:rFonts w:hint="cs"/>
          <w:rtl/>
        </w:rPr>
        <w:t xml:space="preserve">דדחו דבקנין הגוף לא מהני מחילה </w:t>
      </w:r>
      <w:r w:rsidRPr="00DA2C42">
        <w:rPr>
          <w:rStyle w:val="aff6"/>
          <w:rFonts w:hint="cs"/>
          <w:rtl/>
        </w:rPr>
        <w:t xml:space="preserve">(עי' אות </w:t>
      </w:r>
      <w:r w:rsidRPr="00DA2C42">
        <w:rPr>
          <w:rStyle w:val="aff6"/>
          <w:rtl/>
        </w:rPr>
        <w:fldChar w:fldCharType="begin"/>
      </w:r>
      <w:r w:rsidRPr="00DA2C42">
        <w:rPr>
          <w:rStyle w:val="aff6"/>
          <w:rtl/>
        </w:rPr>
        <w:instrText xml:space="preserve"> </w:instrText>
      </w:r>
      <w:r w:rsidRPr="00DA2C42">
        <w:rPr>
          <w:rStyle w:val="aff6"/>
          <w:rFonts w:hint="cs"/>
        </w:rPr>
        <w:instrText>REF</w:instrText>
      </w:r>
      <w:r w:rsidRPr="00DA2C42">
        <w:rPr>
          <w:rStyle w:val="aff6"/>
          <w:rFonts w:hint="cs"/>
          <w:rtl/>
        </w:rPr>
        <w:instrText xml:space="preserve"> _</w:instrText>
      </w:r>
      <w:r w:rsidRPr="00DA2C42">
        <w:rPr>
          <w:rStyle w:val="aff6"/>
          <w:rFonts w:hint="cs"/>
        </w:rPr>
        <w:instrText>Ref54603322 \r \h</w:instrText>
      </w:r>
      <w:r w:rsidRPr="00DA2C42">
        <w:rPr>
          <w:rStyle w:val="aff6"/>
          <w:rtl/>
        </w:rPr>
        <w:instrText xml:space="preserve">  \* </w:instrText>
      </w:r>
      <w:r w:rsidRPr="00DA2C42">
        <w:rPr>
          <w:rStyle w:val="aff6"/>
        </w:rPr>
        <w:instrText>MERGEFORMAT</w:instrText>
      </w:r>
      <w:r w:rsidRPr="00DA2C42">
        <w:rPr>
          <w:rStyle w:val="aff6"/>
          <w:rtl/>
        </w:rPr>
        <w:instrText xml:space="preserve"> </w:instrText>
      </w:r>
      <w:r w:rsidRPr="00DA2C42">
        <w:rPr>
          <w:rStyle w:val="aff6"/>
          <w:rtl/>
        </w:rPr>
      </w:r>
      <w:r w:rsidRPr="00DA2C42">
        <w:rPr>
          <w:rStyle w:val="aff6"/>
          <w:rtl/>
        </w:rPr>
        <w:fldChar w:fldCharType="separate"/>
      </w:r>
      <w:r w:rsidR="00265073">
        <w:rPr>
          <w:rStyle w:val="aff6"/>
          <w:cs/>
        </w:rPr>
        <w:t>‎</w:t>
      </w:r>
      <w:r w:rsidR="00265073">
        <w:rPr>
          <w:rStyle w:val="aff6"/>
          <w:rtl/>
        </w:rPr>
        <w:t>לא)</w:t>
      </w:r>
      <w:r w:rsidRPr="00DA2C42">
        <w:rPr>
          <w:rStyle w:val="aff6"/>
          <w:rtl/>
        </w:rPr>
        <w:fldChar w:fldCharType="end"/>
      </w:r>
      <w:r w:rsidRPr="00DA2C42">
        <w:rPr>
          <w:rStyle w:val="afb"/>
          <w:rFonts w:hint="cs"/>
          <w:rtl/>
        </w:rPr>
        <w:t xml:space="preserve"> ועי' בדברי </w:t>
      </w:r>
      <w:r w:rsidRPr="00DA2C42">
        <w:rPr>
          <w:rStyle w:val="affa"/>
          <w:rFonts w:hint="cs"/>
          <w:rtl/>
        </w:rPr>
        <w:t>רבינו יונה</w:t>
      </w:r>
      <w:r w:rsidRPr="00DA2C42">
        <w:rPr>
          <w:rStyle w:val="afb"/>
          <w:rFonts w:hint="cs"/>
          <w:rtl/>
        </w:rPr>
        <w:t xml:space="preserve"> </w:t>
      </w:r>
      <w:r w:rsidRPr="00DA2C42">
        <w:rPr>
          <w:rStyle w:val="aff6"/>
          <w:rFonts w:hint="cs"/>
          <w:rtl/>
        </w:rPr>
        <w:t xml:space="preserve">(עי' אות </w:t>
      </w:r>
      <w:r w:rsidRPr="00DA2C42">
        <w:rPr>
          <w:rStyle w:val="aff6"/>
          <w:rtl/>
        </w:rPr>
        <w:fldChar w:fldCharType="begin"/>
      </w:r>
      <w:r w:rsidRPr="00DA2C42">
        <w:rPr>
          <w:rStyle w:val="aff6"/>
          <w:rtl/>
        </w:rPr>
        <w:instrText xml:space="preserve"> </w:instrText>
      </w:r>
      <w:r w:rsidRPr="00DA2C42">
        <w:rPr>
          <w:rStyle w:val="aff6"/>
          <w:rFonts w:hint="cs"/>
        </w:rPr>
        <w:instrText>REF</w:instrText>
      </w:r>
      <w:r w:rsidRPr="00DA2C42">
        <w:rPr>
          <w:rStyle w:val="aff6"/>
          <w:rFonts w:hint="cs"/>
          <w:rtl/>
        </w:rPr>
        <w:instrText xml:space="preserve"> _</w:instrText>
      </w:r>
      <w:r w:rsidRPr="00DA2C42">
        <w:rPr>
          <w:rStyle w:val="aff6"/>
          <w:rFonts w:hint="cs"/>
        </w:rPr>
        <w:instrText>Ref54602869 \r \h</w:instrText>
      </w:r>
      <w:r w:rsidRPr="00DA2C42">
        <w:rPr>
          <w:rStyle w:val="aff6"/>
          <w:rtl/>
        </w:rPr>
        <w:instrText xml:space="preserve">  \* </w:instrText>
      </w:r>
      <w:r w:rsidRPr="00DA2C42">
        <w:rPr>
          <w:rStyle w:val="aff6"/>
        </w:rPr>
        <w:instrText>MERGEFORMAT</w:instrText>
      </w:r>
      <w:r w:rsidRPr="00DA2C42">
        <w:rPr>
          <w:rStyle w:val="aff6"/>
          <w:rtl/>
        </w:rPr>
        <w:instrText xml:space="preserve"> </w:instrText>
      </w:r>
      <w:r w:rsidRPr="00DA2C42">
        <w:rPr>
          <w:rStyle w:val="aff6"/>
          <w:rtl/>
        </w:rPr>
      </w:r>
      <w:r w:rsidRPr="00DA2C42">
        <w:rPr>
          <w:rStyle w:val="aff6"/>
          <w:rtl/>
        </w:rPr>
        <w:fldChar w:fldCharType="separate"/>
      </w:r>
      <w:r w:rsidR="00265073">
        <w:rPr>
          <w:rStyle w:val="aff6"/>
          <w:cs/>
        </w:rPr>
        <w:t>‎</w:t>
      </w:r>
      <w:r w:rsidR="00265073">
        <w:rPr>
          <w:rStyle w:val="aff6"/>
          <w:rtl/>
        </w:rPr>
        <w:t>לז)</w:t>
      </w:r>
      <w:r w:rsidRPr="00DA2C42">
        <w:rPr>
          <w:rStyle w:val="aff6"/>
          <w:rtl/>
        </w:rPr>
        <w:fldChar w:fldCharType="end"/>
      </w:r>
      <w:r w:rsidRPr="00DA2C42">
        <w:rPr>
          <w:rStyle w:val="afb"/>
          <w:rFonts w:hint="cs"/>
          <w:rtl/>
        </w:rPr>
        <w:t xml:space="preserve"> </w:t>
      </w:r>
      <w:r w:rsidRPr="00DA2C42">
        <w:rPr>
          <w:rStyle w:val="affa"/>
          <w:rFonts w:hint="cs"/>
          <w:rtl/>
        </w:rPr>
        <w:t>והרשב"א</w:t>
      </w:r>
      <w:r w:rsidRPr="00DA2C42">
        <w:rPr>
          <w:rStyle w:val="afb"/>
          <w:rFonts w:hint="cs"/>
          <w:rtl/>
        </w:rPr>
        <w:t xml:space="preserve"> </w:t>
      </w:r>
      <w:r w:rsidRPr="00DA2C42">
        <w:rPr>
          <w:rStyle w:val="aff6"/>
          <w:rFonts w:hint="cs"/>
          <w:rtl/>
        </w:rPr>
        <w:t xml:space="preserve">(עי' אות </w:t>
      </w:r>
      <w:r w:rsidRPr="00DA2C42">
        <w:rPr>
          <w:rStyle w:val="aff6"/>
          <w:rtl/>
        </w:rPr>
        <w:fldChar w:fldCharType="begin"/>
      </w:r>
      <w:r w:rsidRPr="00DA2C42">
        <w:rPr>
          <w:rStyle w:val="aff6"/>
          <w:rtl/>
        </w:rPr>
        <w:instrText xml:space="preserve"> </w:instrText>
      </w:r>
      <w:r w:rsidRPr="00DA2C42">
        <w:rPr>
          <w:rStyle w:val="aff6"/>
          <w:rFonts w:hint="cs"/>
        </w:rPr>
        <w:instrText>REF</w:instrText>
      </w:r>
      <w:r w:rsidRPr="00DA2C42">
        <w:rPr>
          <w:rStyle w:val="aff6"/>
          <w:rFonts w:hint="cs"/>
          <w:rtl/>
        </w:rPr>
        <w:instrText xml:space="preserve"> _</w:instrText>
      </w:r>
      <w:r w:rsidRPr="00DA2C42">
        <w:rPr>
          <w:rStyle w:val="aff6"/>
          <w:rFonts w:hint="cs"/>
        </w:rPr>
        <w:instrText>Ref54859080 \r \h</w:instrText>
      </w:r>
      <w:r w:rsidRPr="00DA2C42">
        <w:rPr>
          <w:rStyle w:val="aff6"/>
          <w:rtl/>
        </w:rPr>
        <w:instrText xml:space="preserve">  \* </w:instrText>
      </w:r>
      <w:r w:rsidRPr="00DA2C42">
        <w:rPr>
          <w:rStyle w:val="aff6"/>
        </w:rPr>
        <w:instrText>MERGEFORMAT</w:instrText>
      </w:r>
      <w:r w:rsidRPr="00DA2C42">
        <w:rPr>
          <w:rStyle w:val="aff6"/>
          <w:rtl/>
        </w:rPr>
        <w:instrText xml:space="preserve"> </w:instrText>
      </w:r>
      <w:r w:rsidRPr="00DA2C42">
        <w:rPr>
          <w:rStyle w:val="aff6"/>
          <w:rtl/>
        </w:rPr>
      </w:r>
      <w:r w:rsidRPr="00DA2C42">
        <w:rPr>
          <w:rStyle w:val="aff6"/>
          <w:rtl/>
        </w:rPr>
        <w:fldChar w:fldCharType="separate"/>
      </w:r>
      <w:r w:rsidR="00265073">
        <w:rPr>
          <w:rStyle w:val="aff6"/>
          <w:cs/>
        </w:rPr>
        <w:t>‎</w:t>
      </w:r>
      <w:r w:rsidR="00265073">
        <w:rPr>
          <w:rStyle w:val="aff6"/>
          <w:rtl/>
        </w:rPr>
        <w:t>נא)</w:t>
      </w:r>
      <w:r w:rsidRPr="00DA2C42">
        <w:rPr>
          <w:rStyle w:val="aff6"/>
          <w:rtl/>
        </w:rPr>
        <w:fldChar w:fldCharType="end"/>
      </w:r>
      <w:r w:rsidRPr="00DA2C42">
        <w:rPr>
          <w:rStyle w:val="afb"/>
          <w:rFonts w:hint="cs"/>
          <w:rtl/>
        </w:rPr>
        <w:t>],</w:t>
      </w:r>
      <w:r w:rsidRPr="00DA2C42">
        <w:rPr>
          <w:rFonts w:hint="cs"/>
          <w:rtl/>
        </w:rPr>
        <w:t xml:space="preserve"> ועי'</w:t>
      </w:r>
      <w:r>
        <w:rPr>
          <w:rFonts w:hint="cs"/>
          <w:rtl/>
        </w:rPr>
        <w:t xml:space="preserve"> במה שביארו </w:t>
      </w:r>
      <w:r w:rsidRPr="005540AF">
        <w:rPr>
          <w:rStyle w:val="af9"/>
          <w:rFonts w:hint="cs"/>
          <w:rtl/>
        </w:rPr>
        <w:t xml:space="preserve">בברכ"ש </w:t>
      </w:r>
      <w:r w:rsidRPr="0023037D">
        <w:rPr>
          <w:rStyle w:val="af7"/>
          <w:rFonts w:eastAsia="Guttman Hodes" w:hint="cs"/>
          <w:rtl/>
        </w:rPr>
        <w:t xml:space="preserve">(עי' אות </w:t>
      </w:r>
      <w:r w:rsidRPr="0023037D">
        <w:rPr>
          <w:rStyle w:val="af7"/>
          <w:rFonts w:eastAsia="Guttman Hodes"/>
          <w:rtl/>
        </w:rPr>
        <w:fldChar w:fldCharType="begin"/>
      </w:r>
      <w:r w:rsidRPr="0023037D">
        <w:rPr>
          <w:rStyle w:val="af7"/>
          <w:rFonts w:eastAsia="Guttman Hodes"/>
          <w:rtl/>
        </w:rPr>
        <w:instrText xml:space="preserve"> </w:instrText>
      </w:r>
      <w:r w:rsidRPr="0023037D">
        <w:rPr>
          <w:rStyle w:val="af7"/>
          <w:rFonts w:eastAsia="Guttman Hodes" w:hint="cs"/>
        </w:rPr>
        <w:instrText>REF</w:instrText>
      </w:r>
      <w:r w:rsidRPr="0023037D">
        <w:rPr>
          <w:rStyle w:val="af7"/>
          <w:rFonts w:eastAsia="Guttman Hodes" w:hint="cs"/>
          <w:rtl/>
        </w:rPr>
        <w:instrText xml:space="preserve"> _</w:instrText>
      </w:r>
      <w:r w:rsidRPr="0023037D">
        <w:rPr>
          <w:rStyle w:val="af7"/>
          <w:rFonts w:eastAsia="Guttman Hodes" w:hint="cs"/>
        </w:rPr>
        <w:instrText>Ref54885483 \r \h</w:instrText>
      </w:r>
      <w:r w:rsidRPr="0023037D">
        <w:rPr>
          <w:rStyle w:val="af7"/>
          <w:rFonts w:eastAsia="Guttman Hodes"/>
          <w:rtl/>
        </w:rPr>
        <w:instrText xml:space="preserve"> </w:instrText>
      </w:r>
      <w:r w:rsidRPr="0023037D">
        <w:rPr>
          <w:rStyle w:val="af7"/>
          <w:rFonts w:eastAsia="Guttman Hodes"/>
          <w:rtl/>
        </w:rPr>
      </w:r>
      <w:r w:rsidRPr="0023037D">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23037D">
        <w:rPr>
          <w:rStyle w:val="af7"/>
          <w:rFonts w:eastAsia="Guttman Hodes"/>
          <w:rtl/>
        </w:rPr>
        <w:fldChar w:fldCharType="end"/>
      </w:r>
      <w:r>
        <w:rPr>
          <w:rFonts w:hint="cs"/>
          <w:rtl/>
        </w:rPr>
        <w:t xml:space="preserve"> </w:t>
      </w:r>
      <w:r w:rsidRPr="005540AF">
        <w:rPr>
          <w:rStyle w:val="af9"/>
          <w:rFonts w:hint="cs"/>
          <w:rtl/>
        </w:rPr>
        <w:t xml:space="preserve">ובשיעורי רבי שמואל </w:t>
      </w:r>
      <w:r w:rsidRPr="0023037D">
        <w:rPr>
          <w:rStyle w:val="af7"/>
          <w:rFonts w:eastAsia="Guttman Hodes" w:hint="cs"/>
          <w:rtl/>
        </w:rPr>
        <w:t xml:space="preserve">(עי' אות </w:t>
      </w:r>
      <w:r w:rsidRPr="0023037D">
        <w:rPr>
          <w:rStyle w:val="af7"/>
          <w:rFonts w:eastAsia="Guttman Hodes"/>
          <w:rtl/>
        </w:rPr>
        <w:fldChar w:fldCharType="begin"/>
      </w:r>
      <w:r w:rsidRPr="0023037D">
        <w:rPr>
          <w:rStyle w:val="af7"/>
          <w:rFonts w:eastAsia="Guttman Hodes"/>
          <w:rtl/>
        </w:rPr>
        <w:instrText xml:space="preserve"> </w:instrText>
      </w:r>
      <w:r w:rsidRPr="0023037D">
        <w:rPr>
          <w:rStyle w:val="af7"/>
          <w:rFonts w:eastAsia="Guttman Hodes" w:hint="cs"/>
        </w:rPr>
        <w:instrText>REF</w:instrText>
      </w:r>
      <w:r w:rsidRPr="0023037D">
        <w:rPr>
          <w:rStyle w:val="af7"/>
          <w:rFonts w:eastAsia="Guttman Hodes" w:hint="cs"/>
          <w:rtl/>
        </w:rPr>
        <w:instrText xml:space="preserve"> _</w:instrText>
      </w:r>
      <w:r w:rsidRPr="0023037D">
        <w:rPr>
          <w:rStyle w:val="af7"/>
          <w:rFonts w:eastAsia="Guttman Hodes" w:hint="cs"/>
        </w:rPr>
        <w:instrText>Ref54801070 \r \h</w:instrText>
      </w:r>
      <w:r w:rsidRPr="0023037D">
        <w:rPr>
          <w:rStyle w:val="af7"/>
          <w:rFonts w:eastAsia="Guttman Hodes"/>
          <w:rtl/>
        </w:rPr>
        <w:instrText xml:space="preserve"> </w:instrText>
      </w:r>
      <w:r w:rsidRPr="0023037D">
        <w:rPr>
          <w:rStyle w:val="af7"/>
          <w:rFonts w:eastAsia="Guttman Hodes"/>
          <w:rtl/>
        </w:rPr>
      </w:r>
      <w:r w:rsidRPr="0023037D">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23037D">
        <w:rPr>
          <w:rStyle w:val="af7"/>
          <w:rFonts w:eastAsia="Guttman Hodes"/>
          <w:rtl/>
        </w:rPr>
        <w:fldChar w:fldCharType="end"/>
      </w:r>
      <w:r>
        <w:rPr>
          <w:rFonts w:hint="cs"/>
          <w:rtl/>
        </w:rPr>
        <w:t xml:space="preserve"> </w:t>
      </w:r>
      <w:r w:rsidRPr="005540AF">
        <w:rPr>
          <w:rStyle w:val="af9"/>
          <w:rFonts w:hint="cs"/>
          <w:rtl/>
        </w:rPr>
        <w:t xml:space="preserve">ובחי' רבי נחום </w:t>
      </w:r>
      <w:r w:rsidRPr="0023037D">
        <w:rPr>
          <w:rStyle w:val="af7"/>
          <w:rFonts w:eastAsia="Guttman Hodes" w:hint="cs"/>
          <w:rtl/>
        </w:rPr>
        <w:t xml:space="preserve">(עי' אות </w:t>
      </w:r>
      <w:r w:rsidRPr="0023037D">
        <w:rPr>
          <w:rStyle w:val="af7"/>
          <w:rFonts w:eastAsia="Guttman Hodes"/>
          <w:rtl/>
        </w:rPr>
        <w:fldChar w:fldCharType="begin"/>
      </w:r>
      <w:r w:rsidRPr="0023037D">
        <w:rPr>
          <w:rStyle w:val="af7"/>
          <w:rFonts w:eastAsia="Guttman Hodes"/>
          <w:rtl/>
        </w:rPr>
        <w:instrText xml:space="preserve"> </w:instrText>
      </w:r>
      <w:r w:rsidRPr="0023037D">
        <w:rPr>
          <w:rStyle w:val="af7"/>
          <w:rFonts w:eastAsia="Guttman Hodes" w:hint="cs"/>
        </w:rPr>
        <w:instrText>REF</w:instrText>
      </w:r>
      <w:r w:rsidRPr="0023037D">
        <w:rPr>
          <w:rStyle w:val="af7"/>
          <w:rFonts w:eastAsia="Guttman Hodes" w:hint="cs"/>
          <w:rtl/>
        </w:rPr>
        <w:instrText xml:space="preserve"> _</w:instrText>
      </w:r>
      <w:r w:rsidRPr="0023037D">
        <w:rPr>
          <w:rStyle w:val="af7"/>
          <w:rFonts w:eastAsia="Guttman Hodes" w:hint="cs"/>
        </w:rPr>
        <w:instrText>Ref54814355 \r \h</w:instrText>
      </w:r>
      <w:r w:rsidRPr="0023037D">
        <w:rPr>
          <w:rStyle w:val="af7"/>
          <w:rFonts w:eastAsia="Guttman Hodes"/>
          <w:rtl/>
        </w:rPr>
        <w:instrText xml:space="preserve"> </w:instrText>
      </w:r>
      <w:r w:rsidRPr="0023037D">
        <w:rPr>
          <w:rStyle w:val="af7"/>
          <w:rFonts w:eastAsia="Guttman Hodes"/>
          <w:rtl/>
        </w:rPr>
      </w:r>
      <w:r w:rsidRPr="0023037D">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23037D">
        <w:rPr>
          <w:rStyle w:val="af7"/>
          <w:rFonts w:eastAsia="Guttman Hodes"/>
          <w:rtl/>
        </w:rPr>
        <w:fldChar w:fldCharType="end"/>
      </w:r>
      <w:r>
        <w:rPr>
          <w:rFonts w:hint="cs"/>
          <w:rtl/>
        </w:rPr>
        <w:t xml:space="preserve"> בדברי </w:t>
      </w:r>
      <w:r w:rsidRPr="005540AF">
        <w:rPr>
          <w:rStyle w:val="af9"/>
          <w:rFonts w:hint="cs"/>
          <w:rtl/>
        </w:rPr>
        <w:t>התוס'</w:t>
      </w:r>
      <w:bookmarkEnd w:id="1871"/>
      <w:bookmarkEnd w:id="1872"/>
      <w:r>
        <w:rPr>
          <w:rFonts w:hint="cs"/>
          <w:rtl/>
        </w:rPr>
        <w:t xml:space="preserve">. </w:t>
      </w:r>
      <w:r w:rsidRPr="00816DD1">
        <w:rPr>
          <w:rStyle w:val="afb"/>
          <w:rFonts w:hint="cs"/>
          <w:rtl/>
        </w:rPr>
        <w:t xml:space="preserve">[ועי' במה שביאר </w:t>
      </w:r>
      <w:r w:rsidRPr="00816DD1">
        <w:rPr>
          <w:rStyle w:val="affa"/>
          <w:rFonts w:hint="cs"/>
          <w:rtl/>
        </w:rPr>
        <w:t xml:space="preserve">הברכ"ש </w:t>
      </w:r>
      <w:r w:rsidRPr="001972F4">
        <w:rPr>
          <w:rStyle w:val="aff6"/>
          <w:rFonts w:hint="cs"/>
          <w:rtl/>
        </w:rPr>
        <w:t xml:space="preserve">(עי' אות </w:t>
      </w:r>
      <w:r w:rsidRPr="001972F4">
        <w:rPr>
          <w:rStyle w:val="aff6"/>
          <w:rtl/>
        </w:rPr>
        <w:fldChar w:fldCharType="begin"/>
      </w:r>
      <w:r w:rsidRPr="001972F4">
        <w:rPr>
          <w:rStyle w:val="aff6"/>
          <w:rtl/>
        </w:rPr>
        <w:instrText xml:space="preserve"> </w:instrText>
      </w:r>
      <w:r w:rsidRPr="001972F4">
        <w:rPr>
          <w:rStyle w:val="aff6"/>
          <w:rFonts w:hint="cs"/>
        </w:rPr>
        <w:instrText>REF</w:instrText>
      </w:r>
      <w:r w:rsidRPr="001972F4">
        <w:rPr>
          <w:rStyle w:val="aff6"/>
          <w:rFonts w:hint="cs"/>
          <w:rtl/>
        </w:rPr>
        <w:instrText xml:space="preserve"> _</w:instrText>
      </w:r>
      <w:r w:rsidRPr="001972F4">
        <w:rPr>
          <w:rStyle w:val="aff6"/>
          <w:rFonts w:hint="cs"/>
        </w:rPr>
        <w:instrText>Ref54885640 \r \h</w:instrText>
      </w:r>
      <w:r w:rsidRPr="001972F4">
        <w:rPr>
          <w:rStyle w:val="aff6"/>
          <w:rtl/>
        </w:rPr>
        <w:instrText xml:space="preserve"> </w:instrText>
      </w:r>
      <w:r w:rsidRPr="001972F4">
        <w:rPr>
          <w:rStyle w:val="aff6"/>
          <w:rtl/>
        </w:rPr>
      </w:r>
      <w:r w:rsidRPr="001972F4">
        <w:rPr>
          <w:rStyle w:val="aff6"/>
          <w:rtl/>
        </w:rPr>
        <w:fldChar w:fldCharType="separate"/>
      </w:r>
      <w:r w:rsidR="00265073">
        <w:rPr>
          <w:rStyle w:val="aff6"/>
          <w:cs/>
        </w:rPr>
        <w:t>‎</w:t>
      </w:r>
      <w:r w:rsidR="00265073">
        <w:rPr>
          <w:rStyle w:val="aff6"/>
          <w:rtl/>
        </w:rPr>
        <w:t>צח)</w:t>
      </w:r>
      <w:r w:rsidRPr="001972F4">
        <w:rPr>
          <w:rStyle w:val="aff6"/>
          <w:rtl/>
        </w:rPr>
        <w:fldChar w:fldCharType="end"/>
      </w:r>
      <w:r w:rsidRPr="00816DD1">
        <w:rPr>
          <w:rStyle w:val="afb"/>
          <w:rFonts w:hint="cs"/>
          <w:rtl/>
        </w:rPr>
        <w:t xml:space="preserve"> בשם </w:t>
      </w:r>
      <w:r w:rsidRPr="00816DD1">
        <w:rPr>
          <w:rStyle w:val="affa"/>
          <w:rFonts w:hint="cs"/>
          <w:rtl/>
        </w:rPr>
        <w:t xml:space="preserve">הגר"י מסלנט </w:t>
      </w:r>
      <w:r w:rsidRPr="00816DD1">
        <w:rPr>
          <w:rStyle w:val="afb"/>
          <w:rFonts w:hint="cs"/>
          <w:rtl/>
        </w:rPr>
        <w:t xml:space="preserve">דכל דברי </w:t>
      </w:r>
      <w:r w:rsidRPr="00816DD1">
        <w:rPr>
          <w:rStyle w:val="affa"/>
          <w:rFonts w:hint="cs"/>
          <w:rtl/>
        </w:rPr>
        <w:t xml:space="preserve">התוס' </w:t>
      </w:r>
      <w:r w:rsidRPr="00816DD1">
        <w:rPr>
          <w:rStyle w:val="afb"/>
          <w:rFonts w:hint="cs"/>
          <w:rtl/>
        </w:rPr>
        <w:t>דמהני המחילה היינו רק להו"א בגמ' אמרינן דמסתמא מחל לו].</w:t>
      </w:r>
      <w:bookmarkEnd w:id="1873"/>
    </w:p>
    <w:p w:rsidR="00900B10" w:rsidRPr="00C6762A" w:rsidRDefault="00900B10" w:rsidP="00900B10">
      <w:pPr>
        <w:pStyle w:val="afe"/>
      </w:pPr>
      <w:bookmarkStart w:id="1874" w:name="_Toc54887725"/>
      <w:bookmarkStart w:id="1875" w:name="_Toc54891177"/>
      <w:bookmarkStart w:id="1876" w:name="_Toc54903437"/>
      <w:bookmarkStart w:id="1877" w:name="_Toc54948416"/>
      <w:bookmarkStart w:id="1878" w:name="_Toc54952019"/>
      <w:bookmarkStart w:id="1879" w:name="_Toc55072912"/>
      <w:bookmarkStart w:id="1880" w:name="_Toc55073113"/>
      <w:bookmarkStart w:id="1881" w:name="_Toc55073524"/>
      <w:bookmarkStart w:id="1882" w:name="_Toc55074072"/>
      <w:r>
        <w:rPr>
          <w:rFonts w:hint="cs"/>
          <w:rtl/>
        </w:rPr>
        <w:t>הבי' הב' בתוס' ד</w:t>
      </w:r>
      <w:bookmarkEnd w:id="1874"/>
      <w:r>
        <w:rPr>
          <w:rFonts w:hint="cs"/>
          <w:rtl/>
        </w:rPr>
        <w:t>טוען שקנה מאחר</w:t>
      </w:r>
      <w:bookmarkEnd w:id="1875"/>
      <w:bookmarkEnd w:id="1876"/>
      <w:bookmarkEnd w:id="1877"/>
      <w:bookmarkEnd w:id="1878"/>
      <w:bookmarkEnd w:id="1879"/>
      <w:bookmarkEnd w:id="1880"/>
      <w:bookmarkEnd w:id="1881"/>
      <w:bookmarkEnd w:id="1882"/>
    </w:p>
    <w:p w:rsidR="00900B10" w:rsidRDefault="00900B10" w:rsidP="00900B10">
      <w:pPr>
        <w:pStyle w:val="1"/>
        <w:rPr>
          <w:rtl/>
        </w:rPr>
      </w:pPr>
      <w:bookmarkStart w:id="1883" w:name="_Toc54603721"/>
      <w:bookmarkStart w:id="1884" w:name="_Toc54643461"/>
      <w:bookmarkStart w:id="1885" w:name="_Toc54730206"/>
      <w:bookmarkStart w:id="1886" w:name="_Toc54867227"/>
      <w:bookmarkStart w:id="1887" w:name="_Toc54868826"/>
      <w:bookmarkStart w:id="1888" w:name="_Toc54887726"/>
      <w:bookmarkStart w:id="1889" w:name="_Toc54891178"/>
      <w:bookmarkStart w:id="1890" w:name="_Toc54903438"/>
      <w:bookmarkStart w:id="1891" w:name="_Toc54948417"/>
      <w:bookmarkStart w:id="1892" w:name="_Toc54952020"/>
      <w:bookmarkStart w:id="1893" w:name="_Toc55072913"/>
      <w:bookmarkStart w:id="1894" w:name="_Toc55073114"/>
      <w:bookmarkStart w:id="1895" w:name="_Toc55073525"/>
      <w:bookmarkStart w:id="1896" w:name="_Toc55074073"/>
      <w:r>
        <w:rPr>
          <w:rFonts w:hint="cs"/>
          <w:rtl/>
        </w:rPr>
        <w:t xml:space="preserve">הביאור הב' בתוס' </w:t>
      </w:r>
      <w:bookmarkEnd w:id="1883"/>
      <w:bookmarkEnd w:id="1884"/>
      <w:bookmarkEnd w:id="1885"/>
      <w:bookmarkEnd w:id="1886"/>
      <w:bookmarkEnd w:id="1887"/>
      <w:bookmarkEnd w:id="1888"/>
      <w:r>
        <w:rPr>
          <w:rFonts w:hint="cs"/>
          <w:rtl/>
        </w:rPr>
        <w:t>דקנה מפלוני ואין ראיה שהוא קנה מהמר"ק</w:t>
      </w:r>
      <w:bookmarkEnd w:id="1889"/>
      <w:bookmarkEnd w:id="1890"/>
      <w:bookmarkEnd w:id="1891"/>
      <w:bookmarkEnd w:id="1892"/>
      <w:bookmarkEnd w:id="1893"/>
      <w:bookmarkEnd w:id="1894"/>
      <w:bookmarkEnd w:id="1895"/>
      <w:bookmarkEnd w:id="1896"/>
    </w:p>
    <w:p w:rsidR="00900B10" w:rsidRPr="004D5A35" w:rsidRDefault="00900B10" w:rsidP="00900B10">
      <w:pPr>
        <w:pStyle w:val="a3"/>
        <w:rPr>
          <w:rtl/>
        </w:rPr>
      </w:pPr>
      <w:bookmarkStart w:id="1897" w:name="_Toc54891179"/>
      <w:bookmarkStart w:id="1898" w:name="_Toc54903439"/>
      <w:bookmarkStart w:id="1899" w:name="_Toc54948418"/>
      <w:bookmarkStart w:id="1900" w:name="_Toc54952021"/>
      <w:bookmarkStart w:id="1901" w:name="_Toc55072914"/>
      <w:bookmarkStart w:id="1902" w:name="_Toc55073115"/>
      <w:bookmarkStart w:id="1903" w:name="_Toc55073526"/>
      <w:bookmarkStart w:id="1904" w:name="_Toc55074074"/>
      <w:r>
        <w:rPr>
          <w:rFonts w:hint="cs"/>
          <w:rtl/>
        </w:rPr>
        <w:t>הביאור הב' בתוס' דחזקה בלא טענה היינו כשטען שקנה מפלוני ואינו יודע ממי קנה אותו פלוני</w:t>
      </w:r>
      <w:bookmarkEnd w:id="1897"/>
      <w:bookmarkEnd w:id="1898"/>
      <w:bookmarkEnd w:id="1899"/>
      <w:bookmarkEnd w:id="1900"/>
      <w:bookmarkEnd w:id="1901"/>
      <w:bookmarkEnd w:id="1902"/>
      <w:bookmarkEnd w:id="1903"/>
      <w:bookmarkEnd w:id="1904"/>
    </w:p>
    <w:p w:rsidR="00900B10" w:rsidRDefault="00900B10" w:rsidP="007E4E81">
      <w:pPr>
        <w:pStyle w:val="a0"/>
        <w:rPr>
          <w:rtl/>
        </w:rPr>
      </w:pPr>
      <w:bookmarkStart w:id="1905" w:name="_Ref54717613"/>
      <w:r>
        <w:rPr>
          <w:rFonts w:hint="cs"/>
          <w:rtl/>
        </w:rPr>
        <w:t xml:space="preserve">ועוד כתבו </w:t>
      </w:r>
      <w:r w:rsidRPr="005540AF">
        <w:rPr>
          <w:rStyle w:val="af9"/>
          <w:rFonts w:hint="cs"/>
          <w:rtl/>
        </w:rPr>
        <w:t xml:space="preserve">התוס' בביאורם הב' </w:t>
      </w:r>
      <w:r>
        <w:rPr>
          <w:rFonts w:hint="cs"/>
          <w:rtl/>
        </w:rPr>
        <w:t xml:space="preserve">דכוונת הגמ' להקשות דתועיל חזקה בלא טענה, כגון שטוען דקנה מפלוני שהוא קנה מהמערער, דאיתא בגמ' לקמן </w:t>
      </w:r>
      <w:r w:rsidRPr="009129CB">
        <w:rPr>
          <w:rStyle w:val="af7"/>
          <w:rFonts w:eastAsia="Guttman Hodes" w:hint="cs"/>
          <w:rtl/>
        </w:rPr>
        <w:t>(מא:)</w:t>
      </w:r>
      <w:r>
        <w:rPr>
          <w:rFonts w:hint="cs"/>
          <w:rtl/>
        </w:rPr>
        <w:t xml:space="preserve"> דהוי חזקה רק אם טוען המחזיק שהוא ראה שהמערער מכר לאותו פלוני, או שיש למחזיק עדים שדר בה אותו פלוני יום אחד, ובזה מקשה הגמ' דנילף משור המועד, דתועיל החזקה אף שהמחזיק רק טוען דאותו פלוני אמר לו שקנה מהמערער, ואינו יודע אם באמת מכר המערער לאותו פלוני, וכן אין לו עדים שדר בה אותו פלוני יום אחד, ועי' בדברי </w:t>
      </w:r>
      <w:r w:rsidRPr="005540AF">
        <w:rPr>
          <w:rStyle w:val="af9"/>
          <w:rFonts w:hint="cs"/>
          <w:rtl/>
        </w:rPr>
        <w:t>המהר"י בן לב</w:t>
      </w:r>
      <w:r>
        <w:rPr>
          <w:rFonts w:hint="cs"/>
          <w:rtl/>
        </w:rPr>
        <w:t xml:space="preserve"> </w:t>
      </w:r>
      <w:r w:rsidRPr="005540AF">
        <w:rPr>
          <w:rStyle w:val="af7"/>
          <w:rFonts w:eastAsia="Guttman Hodes" w:hint="cs"/>
          <w:rtl/>
        </w:rPr>
        <w:t xml:space="preserve">(ח"ג סי' נ"ו ד"ה </w:t>
      </w:r>
      <w:r w:rsidRPr="005540AF">
        <w:rPr>
          <w:rStyle w:val="af7"/>
          <w:rFonts w:eastAsia="Guttman Hodes" w:hint="cs"/>
          <w:rtl/>
        </w:rPr>
        <w:t>פרק חזקת)</w:t>
      </w:r>
      <w:r>
        <w:rPr>
          <w:rFonts w:hint="cs"/>
          <w:rtl/>
        </w:rPr>
        <w:t xml:space="preserve"> במה שהאריך טובא להקשות על דברי </w:t>
      </w:r>
      <w:r w:rsidRPr="005540AF">
        <w:rPr>
          <w:rStyle w:val="af9"/>
          <w:rFonts w:hint="cs"/>
          <w:rtl/>
        </w:rPr>
        <w:t>התוס'</w:t>
      </w:r>
      <w:r>
        <w:rPr>
          <w:rFonts w:hint="cs"/>
          <w:rtl/>
        </w:rPr>
        <w:t xml:space="preserve">, ובמה שביאר </w:t>
      </w:r>
      <w:r w:rsidRPr="005540AF">
        <w:rPr>
          <w:rStyle w:val="af9"/>
          <w:rFonts w:hint="cs"/>
          <w:rtl/>
        </w:rPr>
        <w:t>הברכ"ש</w:t>
      </w:r>
      <w:r>
        <w:rPr>
          <w:rFonts w:hint="cs"/>
          <w:rtl/>
        </w:rPr>
        <w:t xml:space="preserve"> </w:t>
      </w:r>
      <w:r w:rsidRPr="005540AF">
        <w:rPr>
          <w:rStyle w:val="af7"/>
          <w:rFonts w:eastAsia="Guttman Hodes" w:hint="cs"/>
          <w:rtl/>
        </w:rPr>
        <w:t xml:space="preserve">(עי' אות </w:t>
      </w:r>
      <w:r w:rsidRPr="005540AF">
        <w:rPr>
          <w:rStyle w:val="af7"/>
          <w:rFonts w:eastAsia="Guttman Hodes"/>
          <w:rtl/>
        </w:rPr>
        <w:fldChar w:fldCharType="begin"/>
      </w:r>
      <w:r w:rsidRPr="005540AF">
        <w:rPr>
          <w:rStyle w:val="af7"/>
          <w:rFonts w:eastAsia="Guttman Hodes"/>
          <w:rtl/>
        </w:rPr>
        <w:instrText xml:space="preserve"> </w:instrText>
      </w:r>
      <w:r w:rsidRPr="005540AF">
        <w:rPr>
          <w:rStyle w:val="af7"/>
          <w:rFonts w:eastAsia="Guttman Hodes" w:hint="cs"/>
        </w:rPr>
        <w:instrText>REF</w:instrText>
      </w:r>
      <w:r w:rsidRPr="005540AF">
        <w:rPr>
          <w:rStyle w:val="af7"/>
          <w:rFonts w:eastAsia="Guttman Hodes" w:hint="cs"/>
          <w:rtl/>
        </w:rPr>
        <w:instrText xml:space="preserve"> _</w:instrText>
      </w:r>
      <w:r w:rsidRPr="005540AF">
        <w:rPr>
          <w:rStyle w:val="af7"/>
          <w:rFonts w:eastAsia="Guttman Hodes" w:hint="cs"/>
        </w:rPr>
        <w:instrText>Ref54717602 \r \h</w:instrText>
      </w:r>
      <w:r w:rsidRPr="005540AF">
        <w:rPr>
          <w:rStyle w:val="af7"/>
          <w:rFonts w:eastAsia="Guttman Hodes"/>
          <w:rtl/>
        </w:rPr>
        <w:instrText xml:space="preserve"> </w:instrText>
      </w:r>
      <w:r w:rsidRPr="005540AF">
        <w:rPr>
          <w:rStyle w:val="af7"/>
          <w:rFonts w:eastAsia="Guttman Hodes"/>
          <w:rtl/>
        </w:rPr>
      </w:r>
      <w:r w:rsidRPr="005540AF">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5540AF">
        <w:rPr>
          <w:rStyle w:val="af7"/>
          <w:rFonts w:eastAsia="Guttman Hodes"/>
          <w:rtl/>
        </w:rPr>
        <w:fldChar w:fldCharType="end"/>
      </w:r>
      <w:r>
        <w:rPr>
          <w:rFonts w:hint="cs"/>
          <w:rtl/>
        </w:rPr>
        <w:t xml:space="preserve"> בדברי </w:t>
      </w:r>
      <w:r w:rsidRPr="005540AF">
        <w:rPr>
          <w:rStyle w:val="af9"/>
          <w:rFonts w:hint="cs"/>
          <w:rtl/>
        </w:rPr>
        <w:t>התוס'</w:t>
      </w:r>
      <w:r>
        <w:rPr>
          <w:rFonts w:hint="cs"/>
          <w:rtl/>
        </w:rPr>
        <w:t>.</w:t>
      </w:r>
      <w:bookmarkEnd w:id="1905"/>
    </w:p>
    <w:p w:rsidR="00900B10" w:rsidRPr="00816DD1" w:rsidRDefault="00900B10" w:rsidP="00900B10">
      <w:pPr>
        <w:pStyle w:val="afe"/>
        <w:rPr>
          <w:rtl/>
        </w:rPr>
      </w:pPr>
      <w:bookmarkStart w:id="1906" w:name="_Toc54887727"/>
      <w:bookmarkStart w:id="1907" w:name="_Toc54891180"/>
      <w:bookmarkStart w:id="1908" w:name="_Toc54903440"/>
      <w:bookmarkStart w:id="1909" w:name="_Toc54948419"/>
      <w:bookmarkStart w:id="1910" w:name="_Toc54952022"/>
      <w:bookmarkStart w:id="1911" w:name="_Toc55072915"/>
      <w:bookmarkStart w:id="1912" w:name="_Toc55073116"/>
      <w:bookmarkStart w:id="1913" w:name="_Toc55073527"/>
      <w:bookmarkStart w:id="1914" w:name="_Toc55074075"/>
      <w:r>
        <w:rPr>
          <w:rFonts w:hint="cs"/>
          <w:rtl/>
        </w:rPr>
        <w:t>ד' רש"י והרמב"ן דהוא מוחזק וא"צ טענה</w:t>
      </w:r>
      <w:bookmarkEnd w:id="1906"/>
      <w:bookmarkEnd w:id="1907"/>
      <w:bookmarkEnd w:id="1908"/>
      <w:bookmarkEnd w:id="1909"/>
      <w:bookmarkEnd w:id="1910"/>
      <w:bookmarkEnd w:id="1911"/>
      <w:bookmarkEnd w:id="1912"/>
      <w:bookmarkEnd w:id="1913"/>
      <w:bookmarkEnd w:id="1914"/>
    </w:p>
    <w:p w:rsidR="00900B10" w:rsidRDefault="00900B10" w:rsidP="00900B10">
      <w:pPr>
        <w:pStyle w:val="1"/>
        <w:rPr>
          <w:rtl/>
        </w:rPr>
      </w:pPr>
      <w:bookmarkStart w:id="1915" w:name="_Toc54887728"/>
      <w:bookmarkStart w:id="1916" w:name="_Toc54891181"/>
      <w:bookmarkStart w:id="1917" w:name="_Toc54903441"/>
      <w:bookmarkStart w:id="1918" w:name="_Toc54948420"/>
      <w:bookmarkStart w:id="1919" w:name="_Toc54952023"/>
      <w:bookmarkStart w:id="1920" w:name="_Toc55072916"/>
      <w:bookmarkStart w:id="1921" w:name="_Toc55073117"/>
      <w:bookmarkStart w:id="1922" w:name="_Toc55073528"/>
      <w:bookmarkStart w:id="1923" w:name="_Toc55074076"/>
      <w:r>
        <w:rPr>
          <w:rFonts w:hint="cs"/>
          <w:rtl/>
        </w:rPr>
        <w:t>דעת רש"י דלהו"א בג"ש יצאה מחזקת המר"ק אף בלא טענה</w:t>
      </w:r>
      <w:bookmarkEnd w:id="1849"/>
      <w:bookmarkEnd w:id="1850"/>
      <w:bookmarkEnd w:id="1851"/>
      <w:bookmarkEnd w:id="1852"/>
      <w:bookmarkEnd w:id="1853"/>
      <w:bookmarkEnd w:id="1915"/>
      <w:bookmarkEnd w:id="1916"/>
      <w:bookmarkEnd w:id="1917"/>
      <w:bookmarkEnd w:id="1918"/>
      <w:bookmarkEnd w:id="1919"/>
      <w:bookmarkEnd w:id="1920"/>
      <w:bookmarkEnd w:id="1921"/>
      <w:bookmarkEnd w:id="1922"/>
      <w:bookmarkEnd w:id="1923"/>
    </w:p>
    <w:p w:rsidR="00900B10" w:rsidRDefault="00900B10" w:rsidP="00900B10">
      <w:pPr>
        <w:pStyle w:val="a3"/>
        <w:rPr>
          <w:rtl/>
        </w:rPr>
      </w:pPr>
      <w:bookmarkStart w:id="1924" w:name="_Toc54903442"/>
      <w:bookmarkStart w:id="1925" w:name="_Toc54948421"/>
      <w:bookmarkStart w:id="1926" w:name="_Toc54952024"/>
      <w:bookmarkStart w:id="1927" w:name="_Toc55072917"/>
      <w:bookmarkStart w:id="1928" w:name="_Toc55073118"/>
      <w:bookmarkStart w:id="1929" w:name="_Toc55073529"/>
      <w:bookmarkStart w:id="1930" w:name="_Toc55074077"/>
      <w:r>
        <w:rPr>
          <w:rFonts w:hint="cs"/>
          <w:rtl/>
        </w:rPr>
        <w:t>דברי רש"י דקושית הגמ' דתועיל חזקה בלא טענה בטוען שלא אמר לו אדם דבר מעולם</w:t>
      </w:r>
      <w:bookmarkEnd w:id="1924"/>
      <w:bookmarkEnd w:id="1925"/>
      <w:bookmarkEnd w:id="1926"/>
      <w:bookmarkEnd w:id="1927"/>
      <w:bookmarkEnd w:id="1928"/>
      <w:bookmarkEnd w:id="1929"/>
      <w:bookmarkEnd w:id="1930"/>
    </w:p>
    <w:p w:rsidR="00900B10" w:rsidRDefault="00900B10" w:rsidP="007E4E81">
      <w:pPr>
        <w:pStyle w:val="a0"/>
        <w:rPr>
          <w:rStyle w:val="afb"/>
          <w:sz w:val="18"/>
          <w:szCs w:val="18"/>
          <w:rtl/>
        </w:rPr>
      </w:pPr>
      <w:r>
        <w:rPr>
          <w:rFonts w:hint="cs"/>
          <w:rtl/>
        </w:rPr>
        <w:t xml:space="preserve">בקושית הגמ' דאי ילפינן חזקת ג"ש משור המועד, א"כ חזקה שאין עמה טענה תהיה חזקה, כתב </w:t>
      </w:r>
      <w:r w:rsidRPr="005540AF">
        <w:rPr>
          <w:rStyle w:val="af9"/>
          <w:rFonts w:hint="cs"/>
          <w:rtl/>
        </w:rPr>
        <w:t xml:space="preserve">רש"י </w:t>
      </w:r>
      <w:r>
        <w:rPr>
          <w:rStyle w:val="af7"/>
          <w:rFonts w:eastAsia="Guttman Hodes" w:hint="cs"/>
          <w:rtl/>
        </w:rPr>
        <w:t>(ד</w:t>
      </w:r>
      <w:r>
        <w:rPr>
          <w:rStyle w:val="af7"/>
          <w:rFonts w:eastAsia="Guttman Hodes"/>
          <w:rtl/>
        </w:rPr>
        <w:t>"</w:t>
      </w:r>
      <w:r>
        <w:rPr>
          <w:rStyle w:val="af7"/>
          <w:rFonts w:eastAsia="Guttman Hodes" w:hint="cs"/>
          <w:rtl/>
        </w:rPr>
        <w:t xml:space="preserve">ה </w:t>
      </w:r>
      <w:r w:rsidRPr="00FE2F9E">
        <w:rPr>
          <w:rStyle w:val="af7"/>
          <w:rFonts w:eastAsia="Guttman Hodes" w:hint="cs"/>
          <w:rtl/>
        </w:rPr>
        <w:t>שאין)</w:t>
      </w:r>
      <w:r>
        <w:rPr>
          <w:rFonts w:hint="cs"/>
          <w:rtl/>
        </w:rPr>
        <w:t xml:space="preserve"> דחזקה שאין עמה טענה, היינו כמפורש ב</w:t>
      </w:r>
      <w:r w:rsidRPr="00705F66">
        <w:rPr>
          <w:rFonts w:hint="cs"/>
          <w:rtl/>
        </w:rPr>
        <w:t>מתני' לקמן</w:t>
      </w:r>
      <w:r w:rsidRPr="00705F66">
        <w:rPr>
          <w:rStyle w:val="af7"/>
          <w:rFonts w:eastAsia="Guttman Hodes" w:hint="cs"/>
          <w:rtl/>
        </w:rPr>
        <w:t xml:space="preserve"> (מא.) </w:t>
      </w:r>
      <w:r w:rsidRPr="00705F66">
        <w:rPr>
          <w:rFonts w:hint="cs"/>
          <w:rtl/>
        </w:rPr>
        <w:t>דטוען המחזיק שלא אמר לו עדם דבר מעולם, ואינו טוען דהמערער מכר לו את הקרקע.</w:t>
      </w:r>
      <w:r w:rsidRPr="00705F66">
        <w:rPr>
          <w:rStyle w:val="afb"/>
          <w:rFonts w:hint="cs"/>
          <w:rtl/>
        </w:rPr>
        <w:t xml:space="preserve"> [ועי' במה שהקשו </w:t>
      </w:r>
      <w:r w:rsidRPr="00705F66">
        <w:rPr>
          <w:rStyle w:val="affa"/>
          <w:rFonts w:hint="cs"/>
          <w:rtl/>
        </w:rPr>
        <w:t>התוס'</w:t>
      </w:r>
      <w:r w:rsidRPr="00705F66">
        <w:rPr>
          <w:rStyle w:val="afb"/>
          <w:rFonts w:hint="cs"/>
          <w:rtl/>
        </w:rPr>
        <w:t xml:space="preserve"> </w:t>
      </w:r>
      <w:r w:rsidRPr="00705F66">
        <w:rPr>
          <w:rStyle w:val="aff6"/>
          <w:rFonts w:hint="cs"/>
          <w:rtl/>
        </w:rPr>
        <w:t xml:space="preserve">(עי' אות </w:t>
      </w:r>
      <w:r w:rsidRPr="00705F66">
        <w:rPr>
          <w:rStyle w:val="aff6"/>
          <w:rtl/>
        </w:rPr>
        <w:fldChar w:fldCharType="begin"/>
      </w:r>
      <w:r w:rsidRPr="00705F66">
        <w:rPr>
          <w:rStyle w:val="aff6"/>
          <w:rtl/>
        </w:rPr>
        <w:instrText xml:space="preserve"> </w:instrText>
      </w:r>
      <w:r w:rsidRPr="00705F66">
        <w:rPr>
          <w:rStyle w:val="aff6"/>
          <w:rFonts w:hint="cs"/>
        </w:rPr>
        <w:instrText>REF</w:instrText>
      </w:r>
      <w:r w:rsidRPr="00705F66">
        <w:rPr>
          <w:rStyle w:val="aff6"/>
          <w:rFonts w:hint="cs"/>
          <w:rtl/>
        </w:rPr>
        <w:instrText xml:space="preserve"> _</w:instrText>
      </w:r>
      <w:r w:rsidRPr="00705F66">
        <w:rPr>
          <w:rStyle w:val="aff6"/>
          <w:rFonts w:hint="cs"/>
        </w:rPr>
        <w:instrText>Ref55067504 \r \h</w:instrText>
      </w:r>
      <w:r w:rsidRPr="00705F66">
        <w:rPr>
          <w:rStyle w:val="aff6"/>
          <w:rtl/>
        </w:rPr>
        <w:instrText xml:space="preserve"> </w:instrText>
      </w:r>
      <w:r w:rsidRPr="00705F66">
        <w:rPr>
          <w:rStyle w:val="aff6"/>
          <w:rtl/>
        </w:rPr>
      </w:r>
      <w:r w:rsidRPr="00705F66">
        <w:rPr>
          <w:rStyle w:val="aff6"/>
          <w:rtl/>
        </w:rPr>
        <w:fldChar w:fldCharType="separate"/>
      </w:r>
      <w:r w:rsidR="00265073">
        <w:rPr>
          <w:rStyle w:val="aff6"/>
          <w:cs/>
        </w:rPr>
        <w:t>‎</w:t>
      </w:r>
      <w:r w:rsidR="00265073">
        <w:rPr>
          <w:rStyle w:val="aff6"/>
          <w:rtl/>
        </w:rPr>
        <w:t>כג)</w:t>
      </w:r>
      <w:r w:rsidRPr="00705F66">
        <w:rPr>
          <w:rStyle w:val="aff6"/>
          <w:rtl/>
        </w:rPr>
        <w:fldChar w:fldCharType="end"/>
      </w:r>
      <w:r w:rsidRPr="00705F66">
        <w:rPr>
          <w:rStyle w:val="afb"/>
          <w:rFonts w:hint="cs"/>
          <w:rtl/>
        </w:rPr>
        <w:t>].</w:t>
      </w:r>
    </w:p>
    <w:p w:rsidR="00900B10" w:rsidRPr="000161B3" w:rsidRDefault="00900B10" w:rsidP="00900B10">
      <w:pPr>
        <w:pStyle w:val="a3"/>
      </w:pPr>
      <w:bookmarkStart w:id="1931" w:name="_Toc54903443"/>
      <w:bookmarkStart w:id="1932" w:name="_Toc54948422"/>
      <w:bookmarkStart w:id="1933" w:name="_Toc54952025"/>
      <w:bookmarkStart w:id="1934" w:name="_Toc55072918"/>
      <w:bookmarkStart w:id="1935" w:name="_Toc55073119"/>
      <w:bookmarkStart w:id="1936" w:name="_Toc55073530"/>
      <w:bookmarkStart w:id="1937" w:name="_Toc55074078"/>
      <w:r>
        <w:rPr>
          <w:rFonts w:hint="cs"/>
          <w:rtl/>
        </w:rPr>
        <w:t>ביאור רש"י דכיון דילפינן דג"ש מוציאים מרשות מוכר תצא הקרקע מרשותו אף בלא טענה</w:t>
      </w:r>
      <w:bookmarkEnd w:id="1931"/>
      <w:bookmarkEnd w:id="1932"/>
      <w:bookmarkEnd w:id="1933"/>
      <w:bookmarkEnd w:id="1934"/>
      <w:bookmarkEnd w:id="1935"/>
      <w:bookmarkEnd w:id="1936"/>
      <w:bookmarkEnd w:id="1937"/>
    </w:p>
    <w:p w:rsidR="00900B10" w:rsidRPr="0094303D" w:rsidRDefault="00900B10" w:rsidP="007E4E81">
      <w:pPr>
        <w:pStyle w:val="a0"/>
        <w:rPr>
          <w:rtl/>
        </w:rPr>
      </w:pPr>
      <w:bookmarkStart w:id="1938" w:name="_Ref54898134"/>
      <w:r w:rsidRPr="00397F82">
        <w:rPr>
          <w:rFonts w:hint="cs"/>
          <w:rtl/>
        </w:rPr>
        <w:t xml:space="preserve">וביאר </w:t>
      </w:r>
      <w:r w:rsidRPr="00397F82">
        <w:rPr>
          <w:rStyle w:val="af9"/>
          <w:rFonts w:hint="cs"/>
          <w:rtl/>
        </w:rPr>
        <w:t xml:space="preserve">רש"י </w:t>
      </w:r>
      <w:r w:rsidRPr="00397F82">
        <w:rPr>
          <w:rStyle w:val="af7"/>
          <w:rFonts w:eastAsia="Guttman Hodes" w:hint="cs"/>
          <w:rtl/>
        </w:rPr>
        <w:t>(ד</w:t>
      </w:r>
      <w:r w:rsidRPr="00397F82">
        <w:rPr>
          <w:rStyle w:val="af7"/>
          <w:rFonts w:eastAsia="Guttman Hodes"/>
          <w:rtl/>
        </w:rPr>
        <w:t>"</w:t>
      </w:r>
      <w:r w:rsidRPr="00397F82">
        <w:rPr>
          <w:rStyle w:val="af7"/>
          <w:rFonts w:eastAsia="Guttman Hodes" w:hint="cs"/>
          <w:rtl/>
        </w:rPr>
        <w:t>ה תהוי)</w:t>
      </w:r>
      <w:r w:rsidRPr="00397F82">
        <w:rPr>
          <w:rFonts w:hint="cs"/>
          <w:rtl/>
        </w:rPr>
        <w:t xml:space="preserve"> דכיון דאמרינן דג"ש מוציאים מרשות המוכר, </w:t>
      </w:r>
      <w:r w:rsidRPr="00397F82">
        <w:rPr>
          <w:rStyle w:val="afb"/>
          <w:rFonts w:hint="cs"/>
          <w:rtl/>
        </w:rPr>
        <w:t>[לדעת הולכי אושא בילפותא משור</w:t>
      </w:r>
      <w:r w:rsidRPr="0094303D">
        <w:rPr>
          <w:rStyle w:val="afb"/>
          <w:rFonts w:hint="cs"/>
          <w:rtl/>
        </w:rPr>
        <w:t xml:space="preserve"> המועד],</w:t>
      </w:r>
      <w:r w:rsidRPr="0094303D">
        <w:rPr>
          <w:rFonts w:hint="cs"/>
          <w:rtl/>
        </w:rPr>
        <w:t xml:space="preserve"> א"כ אף שאין עם החזקה טענה, תצא הקרקע מרשות המוכר</w:t>
      </w:r>
      <w:r>
        <w:rPr>
          <w:rFonts w:hint="cs"/>
          <w:rtl/>
        </w:rPr>
        <w:t xml:space="preserve">, וכ"כ </w:t>
      </w:r>
      <w:r w:rsidRPr="00972BD9">
        <w:rPr>
          <w:rStyle w:val="af9"/>
          <w:rFonts w:hint="cs"/>
          <w:rtl/>
        </w:rPr>
        <w:t>הרמב"ן</w:t>
      </w:r>
      <w:r>
        <w:rPr>
          <w:rFonts w:hint="cs"/>
          <w:rtl/>
        </w:rPr>
        <w:t xml:space="preserve"> </w:t>
      </w:r>
      <w:r w:rsidRPr="00972BD9">
        <w:rPr>
          <w:rStyle w:val="af7"/>
          <w:rFonts w:eastAsia="Guttman Hodes" w:hint="cs"/>
          <w:rtl/>
        </w:rPr>
        <w:t xml:space="preserve">(עי' אות </w:t>
      </w:r>
      <w:r w:rsidRPr="00972BD9">
        <w:rPr>
          <w:rStyle w:val="af7"/>
          <w:rFonts w:eastAsia="Guttman Hodes"/>
          <w:rtl/>
        </w:rPr>
        <w:fldChar w:fldCharType="begin"/>
      </w:r>
      <w:r w:rsidRPr="00972BD9">
        <w:rPr>
          <w:rStyle w:val="af7"/>
          <w:rFonts w:eastAsia="Guttman Hodes"/>
          <w:rtl/>
        </w:rPr>
        <w:instrText xml:space="preserve"> </w:instrText>
      </w:r>
      <w:r w:rsidRPr="00972BD9">
        <w:rPr>
          <w:rStyle w:val="af7"/>
          <w:rFonts w:eastAsia="Guttman Hodes" w:hint="cs"/>
        </w:rPr>
        <w:instrText>REF</w:instrText>
      </w:r>
      <w:r w:rsidRPr="00972BD9">
        <w:rPr>
          <w:rStyle w:val="af7"/>
          <w:rFonts w:eastAsia="Guttman Hodes" w:hint="cs"/>
          <w:rtl/>
        </w:rPr>
        <w:instrText xml:space="preserve"> _</w:instrText>
      </w:r>
      <w:r w:rsidRPr="00972BD9">
        <w:rPr>
          <w:rStyle w:val="af7"/>
          <w:rFonts w:eastAsia="Guttman Hodes" w:hint="cs"/>
        </w:rPr>
        <w:instrText>Ref54602543 \r \h</w:instrText>
      </w:r>
      <w:r w:rsidRPr="00972BD9">
        <w:rPr>
          <w:rStyle w:val="af7"/>
          <w:rFonts w:eastAsia="Guttman Hodes"/>
          <w:rtl/>
        </w:rPr>
        <w:instrText xml:space="preserve"> </w:instrText>
      </w:r>
      <w:r w:rsidRPr="00972BD9">
        <w:rPr>
          <w:rStyle w:val="af7"/>
          <w:rFonts w:eastAsia="Guttman Hodes"/>
          <w:rtl/>
        </w:rPr>
      </w:r>
      <w:r w:rsidRPr="00972BD9">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972BD9">
        <w:rPr>
          <w:rStyle w:val="af7"/>
          <w:rFonts w:eastAsia="Guttman Hodes"/>
          <w:rtl/>
        </w:rPr>
        <w:fldChar w:fldCharType="end"/>
      </w:r>
      <w:r w:rsidRPr="0089558B">
        <w:rPr>
          <w:rStyle w:val="af9"/>
          <w:rFonts w:hint="cs"/>
          <w:rtl/>
        </w:rPr>
        <w:t xml:space="preserve"> </w:t>
      </w:r>
      <w:r w:rsidRPr="001932DD">
        <w:rPr>
          <w:rStyle w:val="af9"/>
          <w:rFonts w:hint="cs"/>
          <w:rtl/>
        </w:rPr>
        <w:t>ורבינו יונה</w:t>
      </w:r>
      <w:r w:rsidRPr="001932DD">
        <w:rPr>
          <w:rFonts w:hint="cs"/>
          <w:rtl/>
        </w:rPr>
        <w:t xml:space="preserve"> </w:t>
      </w:r>
      <w:r w:rsidRPr="001932DD">
        <w:rPr>
          <w:rStyle w:val="af7"/>
          <w:rFonts w:eastAsia="Guttman Hodes" w:hint="cs"/>
          <w:rtl/>
        </w:rPr>
        <w:t xml:space="preserve">(עי' אות </w:t>
      </w:r>
      <w:r w:rsidRPr="001932DD">
        <w:rPr>
          <w:rStyle w:val="af7"/>
          <w:rFonts w:eastAsia="Guttman Hodes"/>
          <w:rtl/>
        </w:rPr>
        <w:fldChar w:fldCharType="begin"/>
      </w:r>
      <w:r w:rsidRPr="001932DD">
        <w:rPr>
          <w:rStyle w:val="af7"/>
          <w:rFonts w:eastAsia="Guttman Hodes"/>
          <w:rtl/>
        </w:rPr>
        <w:instrText xml:space="preserve"> </w:instrText>
      </w:r>
      <w:r w:rsidRPr="001932DD">
        <w:rPr>
          <w:rStyle w:val="af7"/>
          <w:rFonts w:eastAsia="Guttman Hodes" w:hint="cs"/>
        </w:rPr>
        <w:instrText>REF</w:instrText>
      </w:r>
      <w:r w:rsidRPr="001932DD">
        <w:rPr>
          <w:rStyle w:val="af7"/>
          <w:rFonts w:eastAsia="Guttman Hodes" w:hint="cs"/>
          <w:rtl/>
        </w:rPr>
        <w:instrText xml:space="preserve"> _</w:instrText>
      </w:r>
      <w:r w:rsidRPr="001932DD">
        <w:rPr>
          <w:rStyle w:val="af7"/>
          <w:rFonts w:eastAsia="Guttman Hodes" w:hint="cs"/>
        </w:rPr>
        <w:instrText>Ref54602532 \r \h</w:instrText>
      </w:r>
      <w:r w:rsidRPr="001932DD">
        <w:rPr>
          <w:rStyle w:val="af7"/>
          <w:rFonts w:eastAsia="Guttman Hodes"/>
          <w:rtl/>
        </w:rPr>
        <w:instrText xml:space="preserve">  \* </w:instrText>
      </w:r>
      <w:r w:rsidRPr="001932DD">
        <w:rPr>
          <w:rStyle w:val="af7"/>
          <w:rFonts w:eastAsia="Guttman Hodes"/>
        </w:rPr>
        <w:instrText>MERGEFORMAT</w:instrText>
      </w:r>
      <w:r w:rsidRPr="001932DD">
        <w:rPr>
          <w:rStyle w:val="af7"/>
          <w:rFonts w:eastAsia="Guttman Hodes"/>
          <w:rtl/>
        </w:rPr>
        <w:instrText xml:space="preserve"> </w:instrText>
      </w:r>
      <w:r w:rsidRPr="001932DD">
        <w:rPr>
          <w:rStyle w:val="af7"/>
          <w:rFonts w:eastAsia="Guttman Hodes"/>
          <w:rtl/>
        </w:rPr>
      </w:r>
      <w:r w:rsidRPr="001932DD">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1932DD">
        <w:rPr>
          <w:rStyle w:val="af7"/>
          <w:rFonts w:eastAsia="Guttman Hodes"/>
          <w:rtl/>
        </w:rPr>
        <w:fldChar w:fldCharType="end"/>
      </w:r>
      <w:r>
        <w:rPr>
          <w:rFonts w:hint="cs"/>
          <w:rtl/>
        </w:rPr>
        <w:t xml:space="preserve"> </w:t>
      </w:r>
      <w:r>
        <w:rPr>
          <w:rStyle w:val="af9"/>
          <w:rFonts w:hint="cs"/>
          <w:rtl/>
        </w:rPr>
        <w:t>ו</w:t>
      </w:r>
      <w:r w:rsidRPr="005B6D6C">
        <w:rPr>
          <w:rStyle w:val="af9"/>
          <w:rFonts w:hint="cs"/>
          <w:rtl/>
        </w:rPr>
        <w:t>הרשב"א</w:t>
      </w:r>
      <w:r w:rsidRPr="00F50FDA">
        <w:rPr>
          <w:rStyle w:val="af7"/>
          <w:rFonts w:eastAsia="Guttman Hodes" w:hint="cs"/>
          <w:rtl/>
        </w:rPr>
        <w:t xml:space="preserve"> </w:t>
      </w:r>
      <w:r>
        <w:rPr>
          <w:rStyle w:val="af7"/>
          <w:rFonts w:eastAsia="Guttman Hodes" w:hint="eastAsia"/>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Ref54901619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Pr>
          <w:rStyle w:val="af7"/>
          <w:rFonts w:eastAsia="Guttman Hodes"/>
          <w:rtl/>
        </w:rPr>
        <w:fldChar w:fldCharType="end"/>
      </w:r>
      <w:r w:rsidRPr="0094303D">
        <w:rPr>
          <w:rFonts w:hint="cs"/>
          <w:rtl/>
        </w:rPr>
        <w:t xml:space="preserve">, ועי' במה שביאר </w:t>
      </w:r>
      <w:r w:rsidRPr="0094303D">
        <w:rPr>
          <w:rStyle w:val="af9"/>
          <w:rFonts w:hint="cs"/>
          <w:rtl/>
        </w:rPr>
        <w:t xml:space="preserve">בחי' רבי נחום </w:t>
      </w:r>
      <w:r w:rsidRPr="0070664A">
        <w:rPr>
          <w:rStyle w:val="af7"/>
          <w:rFonts w:eastAsia="Guttman Hodes" w:hint="cs"/>
          <w:rtl/>
        </w:rPr>
        <w:t xml:space="preserve">(עי' אות </w:t>
      </w:r>
      <w:r w:rsidRPr="0070664A">
        <w:rPr>
          <w:rStyle w:val="af7"/>
          <w:rFonts w:eastAsia="Guttman Hodes"/>
          <w:rtl/>
        </w:rPr>
        <w:fldChar w:fldCharType="begin"/>
      </w:r>
      <w:r w:rsidRPr="0070664A">
        <w:rPr>
          <w:rStyle w:val="af7"/>
          <w:rFonts w:eastAsia="Guttman Hodes"/>
          <w:rtl/>
        </w:rPr>
        <w:instrText xml:space="preserve"> </w:instrText>
      </w:r>
      <w:r w:rsidRPr="0070664A">
        <w:rPr>
          <w:rStyle w:val="af7"/>
          <w:rFonts w:eastAsia="Guttman Hodes" w:hint="cs"/>
        </w:rPr>
        <w:instrText>REF</w:instrText>
      </w:r>
      <w:r w:rsidRPr="0070664A">
        <w:rPr>
          <w:rStyle w:val="af7"/>
          <w:rFonts w:eastAsia="Guttman Hodes" w:hint="cs"/>
          <w:rtl/>
        </w:rPr>
        <w:instrText xml:space="preserve"> _</w:instrText>
      </w:r>
      <w:r w:rsidRPr="0070664A">
        <w:rPr>
          <w:rStyle w:val="af7"/>
          <w:rFonts w:eastAsia="Guttman Hodes" w:hint="cs"/>
        </w:rPr>
        <w:instrText>Ref54867578 \r \h</w:instrText>
      </w:r>
      <w:r w:rsidRPr="0070664A">
        <w:rPr>
          <w:rStyle w:val="af7"/>
          <w:rFonts w:eastAsia="Guttman Hodes"/>
          <w:rtl/>
        </w:rPr>
        <w:instrText xml:space="preserve"> </w:instrText>
      </w:r>
      <w:r w:rsidRPr="0070664A">
        <w:rPr>
          <w:rStyle w:val="af7"/>
          <w:rFonts w:eastAsia="Guttman Hodes"/>
          <w:rtl/>
        </w:rPr>
      </w:r>
      <w:r w:rsidRPr="0070664A">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70664A">
        <w:rPr>
          <w:rStyle w:val="af7"/>
          <w:rFonts w:eastAsia="Guttman Hodes"/>
          <w:rtl/>
        </w:rPr>
        <w:fldChar w:fldCharType="end"/>
      </w:r>
      <w:r>
        <w:rPr>
          <w:rFonts w:hint="cs"/>
          <w:rtl/>
        </w:rPr>
        <w:t xml:space="preserve"> </w:t>
      </w:r>
      <w:r w:rsidRPr="0094303D">
        <w:rPr>
          <w:rFonts w:hint="cs"/>
          <w:rtl/>
        </w:rPr>
        <w:t xml:space="preserve">בדברי </w:t>
      </w:r>
      <w:r w:rsidRPr="0094303D">
        <w:rPr>
          <w:rStyle w:val="af9"/>
          <w:rFonts w:hint="cs"/>
          <w:rtl/>
        </w:rPr>
        <w:t>רש"י</w:t>
      </w:r>
      <w:r>
        <w:rPr>
          <w:rFonts w:hint="cs"/>
          <w:rtl/>
        </w:rPr>
        <w:t>.</w:t>
      </w:r>
      <w:bookmarkEnd w:id="1938"/>
    </w:p>
    <w:p w:rsidR="00900B10" w:rsidRDefault="00900B10" w:rsidP="00900B10">
      <w:pPr>
        <w:pStyle w:val="a3"/>
        <w:rPr>
          <w:rtl/>
        </w:rPr>
      </w:pPr>
      <w:bookmarkStart w:id="1939" w:name="_Toc54903444"/>
      <w:bookmarkStart w:id="1940" w:name="_Toc54948423"/>
      <w:bookmarkStart w:id="1941" w:name="_Toc54952026"/>
      <w:bookmarkStart w:id="1942" w:name="_Toc55072919"/>
      <w:bookmarkStart w:id="1943" w:name="_Toc55073120"/>
      <w:bookmarkStart w:id="1944" w:name="_Toc55073531"/>
      <w:bookmarkStart w:id="1945" w:name="_Toc55074079"/>
      <w:r>
        <w:rPr>
          <w:rFonts w:hint="cs"/>
          <w:rtl/>
        </w:rPr>
        <w:t>ביאור רש"י בתירוץ הגמ' דכל החזקה מהני רק לומר דאפש"ל שהאמת היא כפי שטוען המחזיק</w:t>
      </w:r>
      <w:bookmarkEnd w:id="1939"/>
      <w:bookmarkEnd w:id="1940"/>
      <w:bookmarkEnd w:id="1941"/>
      <w:bookmarkEnd w:id="1942"/>
      <w:bookmarkEnd w:id="1943"/>
      <w:bookmarkEnd w:id="1944"/>
      <w:bookmarkEnd w:id="1945"/>
    </w:p>
    <w:p w:rsidR="00900B10" w:rsidRDefault="00900B10" w:rsidP="007E4E81">
      <w:pPr>
        <w:pStyle w:val="a0"/>
        <w:rPr>
          <w:rtl/>
        </w:rPr>
      </w:pPr>
      <w:bookmarkStart w:id="1946" w:name="_Ref54867784"/>
      <w:r>
        <w:rPr>
          <w:rFonts w:hint="cs"/>
          <w:rtl/>
        </w:rPr>
        <w:t xml:space="preserve">ובתירוץ הגמ' ביאר </w:t>
      </w:r>
      <w:r w:rsidRPr="005540AF">
        <w:rPr>
          <w:rStyle w:val="af9"/>
          <w:rFonts w:hint="cs"/>
          <w:rtl/>
        </w:rPr>
        <w:t xml:space="preserve">רש"י </w:t>
      </w:r>
      <w:r>
        <w:rPr>
          <w:rStyle w:val="af7"/>
          <w:rFonts w:eastAsia="Guttman Hodes" w:hint="cs"/>
          <w:rtl/>
        </w:rPr>
        <w:t>(ד</w:t>
      </w:r>
      <w:r>
        <w:rPr>
          <w:rStyle w:val="af7"/>
          <w:rFonts w:eastAsia="Guttman Hodes"/>
          <w:rtl/>
        </w:rPr>
        <w:t>"</w:t>
      </w:r>
      <w:r>
        <w:rPr>
          <w:rStyle w:val="af7"/>
          <w:rFonts w:eastAsia="Guttman Hodes" w:hint="cs"/>
          <w:rtl/>
        </w:rPr>
        <w:t xml:space="preserve">ה </w:t>
      </w:r>
      <w:r w:rsidRPr="009129CB">
        <w:rPr>
          <w:rStyle w:val="af7"/>
          <w:rFonts w:eastAsia="Guttman Hodes" w:hint="cs"/>
          <w:rtl/>
        </w:rPr>
        <w:t>ומשני)</w:t>
      </w:r>
      <w:r>
        <w:rPr>
          <w:rFonts w:hint="cs"/>
          <w:rtl/>
        </w:rPr>
        <w:t xml:space="preserve"> דהא דחזקת ג"ש מוציאה מרשות המרא קמא, היא כיון דאמרינן דיתכן שהמחזיק קנה מהמערער, כמו שהוא טוען, ויתכן דהוא יושב בה בגזילה כמו שטוען המערער, וכיון שאין אנו יודעים מהי האמת, אמרינן דהחזקת ג"ש מעמידה את הקרקע ברשות המחזיק, ואמרינן דיתכן שהאמת היא כמו שטוען המחזיק, אבל במקום שאין המחזיק טוען כל טענה, א"א להעמיד את הקרקע ברשותו ע"י חזקת ג"ש, דהיאך קנאה המחזיק בלא שהוא טוען כל טענה ועי"ז הוא אוכל ג"ש.</w:t>
      </w:r>
      <w:bookmarkEnd w:id="1946"/>
    </w:p>
    <w:p w:rsidR="00900B10" w:rsidRPr="00896E4F" w:rsidRDefault="00900B10" w:rsidP="00900B10">
      <w:pPr>
        <w:pStyle w:val="1"/>
        <w:rPr>
          <w:rtl/>
        </w:rPr>
      </w:pPr>
      <w:bookmarkStart w:id="1947" w:name="_Toc54555954"/>
      <w:bookmarkStart w:id="1948" w:name="_Toc54603719"/>
      <w:bookmarkStart w:id="1949" w:name="_Toc54643459"/>
      <w:bookmarkStart w:id="1950" w:name="_Toc54730204"/>
      <w:bookmarkStart w:id="1951" w:name="_Toc54867225"/>
      <w:bookmarkStart w:id="1952" w:name="_Toc54868824"/>
      <w:bookmarkStart w:id="1953" w:name="_Toc54887729"/>
      <w:bookmarkStart w:id="1954" w:name="_Toc54891182"/>
      <w:bookmarkStart w:id="1955" w:name="_Toc54903445"/>
      <w:bookmarkStart w:id="1956" w:name="_Toc54948424"/>
      <w:bookmarkStart w:id="1957" w:name="_Toc54952027"/>
      <w:bookmarkStart w:id="1958" w:name="_Toc55072920"/>
      <w:bookmarkStart w:id="1959" w:name="_Toc55073121"/>
      <w:bookmarkStart w:id="1960" w:name="_Toc55073532"/>
      <w:bookmarkStart w:id="1961" w:name="_Toc55074080"/>
      <w:r>
        <w:rPr>
          <w:rFonts w:hint="cs"/>
          <w:rtl/>
        </w:rPr>
        <w:t xml:space="preserve">ביאור הרמב"ן </w:t>
      </w:r>
      <w:bookmarkEnd w:id="1947"/>
      <w:bookmarkEnd w:id="1948"/>
      <w:bookmarkEnd w:id="1949"/>
      <w:bookmarkEnd w:id="1950"/>
      <w:bookmarkEnd w:id="1951"/>
      <w:bookmarkEnd w:id="1952"/>
      <w:bookmarkEnd w:id="1953"/>
      <w:bookmarkEnd w:id="1954"/>
      <w:r>
        <w:rPr>
          <w:rFonts w:hint="cs"/>
          <w:rtl/>
        </w:rPr>
        <w:t>דלהו"א יצאה הקרקע מהמר"ק אף בלא טענה</w:t>
      </w:r>
      <w:bookmarkEnd w:id="1955"/>
      <w:bookmarkEnd w:id="1956"/>
      <w:bookmarkEnd w:id="1957"/>
      <w:bookmarkEnd w:id="1958"/>
      <w:bookmarkEnd w:id="1959"/>
      <w:bookmarkEnd w:id="1960"/>
      <w:bookmarkEnd w:id="1961"/>
    </w:p>
    <w:p w:rsidR="00900B10" w:rsidRDefault="00900B10" w:rsidP="00900B10">
      <w:pPr>
        <w:pStyle w:val="a3"/>
        <w:rPr>
          <w:rtl/>
        </w:rPr>
      </w:pPr>
      <w:bookmarkStart w:id="1962" w:name="_Toc54903446"/>
      <w:bookmarkStart w:id="1963" w:name="_Toc54948425"/>
      <w:bookmarkStart w:id="1964" w:name="_Toc54952028"/>
      <w:bookmarkStart w:id="1965" w:name="_Toc55072921"/>
      <w:bookmarkStart w:id="1966" w:name="_Toc55073122"/>
      <w:bookmarkStart w:id="1967" w:name="_Toc55073533"/>
      <w:bookmarkStart w:id="1968" w:name="_Toc55074081"/>
      <w:r>
        <w:rPr>
          <w:rFonts w:hint="cs"/>
          <w:rtl/>
        </w:rPr>
        <w:t>ביאור הרמב"ן דלהו"א צריך טענה רק כשהיא עדיין ברשות המר"ק ולאחר ג"ש יצאה מרשותו</w:t>
      </w:r>
      <w:bookmarkEnd w:id="1962"/>
      <w:bookmarkEnd w:id="1963"/>
      <w:bookmarkEnd w:id="1964"/>
      <w:bookmarkEnd w:id="1965"/>
      <w:bookmarkEnd w:id="1966"/>
      <w:bookmarkEnd w:id="1967"/>
      <w:bookmarkEnd w:id="1968"/>
    </w:p>
    <w:p w:rsidR="00900B10" w:rsidRPr="00DA2C42" w:rsidRDefault="00900B10" w:rsidP="007E4E81">
      <w:pPr>
        <w:pStyle w:val="a0"/>
        <w:rPr>
          <w:rtl/>
        </w:rPr>
      </w:pPr>
      <w:bookmarkStart w:id="1969" w:name="_Ref54602543"/>
      <w:r w:rsidRPr="002B39DC">
        <w:rPr>
          <w:rFonts w:hint="cs"/>
          <w:rtl/>
        </w:rPr>
        <w:t xml:space="preserve">עי' בדברי </w:t>
      </w:r>
      <w:r w:rsidRPr="002B39DC">
        <w:rPr>
          <w:rStyle w:val="af9"/>
          <w:rFonts w:hint="cs"/>
          <w:rtl/>
        </w:rPr>
        <w:t xml:space="preserve">הרמב"ן </w:t>
      </w:r>
      <w:r w:rsidRPr="002B39DC">
        <w:rPr>
          <w:rStyle w:val="af7"/>
          <w:rFonts w:eastAsia="Guttman Hodes" w:hint="cs"/>
          <w:rtl/>
        </w:rPr>
        <w:t xml:space="preserve">(עי' אות </w:t>
      </w:r>
      <w:r w:rsidRPr="002B39DC">
        <w:rPr>
          <w:rStyle w:val="af7"/>
          <w:rFonts w:eastAsia="Guttman Hodes"/>
          <w:rtl/>
        </w:rPr>
        <w:fldChar w:fldCharType="begin"/>
      </w:r>
      <w:r w:rsidRPr="002B39DC">
        <w:rPr>
          <w:rStyle w:val="af7"/>
          <w:rFonts w:eastAsia="Guttman Hodes"/>
          <w:rtl/>
        </w:rPr>
        <w:instrText xml:space="preserve"> </w:instrText>
      </w:r>
      <w:r w:rsidRPr="002B39DC">
        <w:rPr>
          <w:rStyle w:val="af7"/>
          <w:rFonts w:eastAsia="Guttman Hodes" w:hint="cs"/>
        </w:rPr>
        <w:instrText>REF</w:instrText>
      </w:r>
      <w:r w:rsidRPr="002B39DC">
        <w:rPr>
          <w:rStyle w:val="af7"/>
          <w:rFonts w:eastAsia="Guttman Hodes" w:hint="cs"/>
          <w:rtl/>
        </w:rPr>
        <w:instrText xml:space="preserve"> _</w:instrText>
      </w:r>
      <w:r w:rsidRPr="002B39DC">
        <w:rPr>
          <w:rStyle w:val="af7"/>
          <w:rFonts w:eastAsia="Guttman Hodes" w:hint="cs"/>
        </w:rPr>
        <w:instrText>Ref54801573 \r \h</w:instrText>
      </w:r>
      <w:r w:rsidRPr="002B39DC">
        <w:rPr>
          <w:rStyle w:val="af7"/>
          <w:rFonts w:eastAsia="Guttman Hodes"/>
          <w:rtl/>
        </w:rPr>
        <w:instrText xml:space="preserve"> </w:instrText>
      </w:r>
      <w:r w:rsidRPr="002B39DC">
        <w:rPr>
          <w:rStyle w:val="af7"/>
          <w:rFonts w:eastAsia="Guttman Hodes"/>
          <w:rtl/>
        </w:rPr>
      </w:r>
      <w:r w:rsidRPr="002B39DC">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2B39DC">
        <w:rPr>
          <w:rStyle w:val="af7"/>
          <w:rFonts w:eastAsia="Guttman Hodes"/>
          <w:rtl/>
        </w:rPr>
        <w:fldChar w:fldCharType="end"/>
      </w:r>
      <w:r w:rsidRPr="002B39DC">
        <w:rPr>
          <w:rFonts w:hint="cs"/>
          <w:rtl/>
        </w:rPr>
        <w:t xml:space="preserve"> דביאר </w:t>
      </w:r>
      <w:r>
        <w:rPr>
          <w:rFonts w:hint="cs"/>
          <w:rtl/>
        </w:rPr>
        <w:t>ב</w:t>
      </w:r>
      <w:r w:rsidRPr="002B39DC">
        <w:rPr>
          <w:rFonts w:hint="cs"/>
          <w:rtl/>
        </w:rPr>
        <w:t xml:space="preserve">ילפותא </w:t>
      </w:r>
      <w:r>
        <w:rPr>
          <w:rFonts w:hint="cs"/>
          <w:rtl/>
        </w:rPr>
        <w:t xml:space="preserve">משור המועד דבג"פ יצא מחזקת תמות, וכן בג"ש יצאה מחזקת המוכר, ונעשה המחזיק למוחזק, </w:t>
      </w:r>
      <w:r w:rsidRPr="002B39DC">
        <w:rPr>
          <w:rFonts w:hint="cs"/>
          <w:rtl/>
        </w:rPr>
        <w:t>ו</w:t>
      </w:r>
      <w:r>
        <w:rPr>
          <w:rFonts w:hint="cs"/>
          <w:rtl/>
        </w:rPr>
        <w:t xml:space="preserve">כתב </w:t>
      </w:r>
      <w:r w:rsidRPr="005540AF">
        <w:rPr>
          <w:rStyle w:val="af9"/>
          <w:rFonts w:hint="cs"/>
          <w:rtl/>
        </w:rPr>
        <w:t>הרמב"ן</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5540AF">
        <w:rPr>
          <w:rStyle w:val="af7"/>
          <w:rFonts w:eastAsia="Guttman Hodes" w:hint="cs"/>
          <w:rtl/>
        </w:rPr>
        <w:t>והיינו נמי)</w:t>
      </w:r>
      <w:r>
        <w:rPr>
          <w:rFonts w:hint="cs"/>
          <w:rtl/>
        </w:rPr>
        <w:t xml:space="preserve"> דזהו הביאור גם בקושית הגמ' דתועיל אף חזקה שאין עמה טענה, דכיון דילפינן משור המועד דבג"ש יצאה השדה מרשות המוכר לרשות המחזיק, א"כ אין המחזיק צריך טענה, דכ"מ שהמחזיק צריך לטעון הוא באופן שיש למערער עדים, או שהמחזיק מודה דהיא של המערער, אבל במקום שיצאה השדה מרשות המערער, אינו צריך לטעון כל טענה, דהוא מוחזק </w:t>
      </w:r>
      <w:r w:rsidRPr="00DA2C42">
        <w:rPr>
          <w:rFonts w:hint="cs"/>
          <w:rtl/>
        </w:rPr>
        <w:t xml:space="preserve">בשדה, וכ"כ </w:t>
      </w:r>
      <w:r w:rsidRPr="00DA2C42">
        <w:rPr>
          <w:rStyle w:val="af9"/>
          <w:rFonts w:hint="cs"/>
          <w:rtl/>
        </w:rPr>
        <w:t>רש"י</w:t>
      </w:r>
      <w:r w:rsidRPr="00DA2C42">
        <w:rPr>
          <w:rStyle w:val="af7"/>
          <w:rFonts w:eastAsia="Guttman Hodes" w:hint="cs"/>
          <w:rtl/>
        </w:rPr>
        <w:t xml:space="preserve"> (עי' אות </w:t>
      </w:r>
      <w:r w:rsidRPr="00DA2C42">
        <w:rPr>
          <w:rStyle w:val="af7"/>
          <w:rFonts w:eastAsia="Guttman Hodes"/>
          <w:rtl/>
        </w:rPr>
        <w:fldChar w:fldCharType="begin"/>
      </w:r>
      <w:r w:rsidRPr="00DA2C42">
        <w:rPr>
          <w:rStyle w:val="af7"/>
          <w:rFonts w:eastAsia="Guttman Hodes"/>
          <w:rtl/>
        </w:rPr>
        <w:instrText xml:space="preserve"> </w:instrText>
      </w:r>
      <w:r w:rsidRPr="00DA2C42">
        <w:rPr>
          <w:rStyle w:val="af7"/>
          <w:rFonts w:eastAsia="Guttman Hodes" w:hint="cs"/>
        </w:rPr>
        <w:instrText>REF</w:instrText>
      </w:r>
      <w:r w:rsidRPr="00DA2C42">
        <w:rPr>
          <w:rStyle w:val="af7"/>
          <w:rFonts w:eastAsia="Guttman Hodes" w:hint="cs"/>
          <w:rtl/>
        </w:rPr>
        <w:instrText xml:space="preserve"> _</w:instrText>
      </w:r>
      <w:r w:rsidRPr="00DA2C42">
        <w:rPr>
          <w:rStyle w:val="af7"/>
          <w:rFonts w:eastAsia="Guttman Hodes" w:hint="cs"/>
        </w:rPr>
        <w:instrText>Ref54898134 \r \h</w:instrText>
      </w:r>
      <w:r w:rsidRPr="00DA2C4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A2C42">
        <w:rPr>
          <w:rStyle w:val="af7"/>
          <w:rFonts w:eastAsia="Guttman Hodes"/>
          <w:rtl/>
        </w:rPr>
      </w:r>
      <w:r w:rsidRPr="00DA2C42">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DA2C42">
        <w:rPr>
          <w:rStyle w:val="af7"/>
          <w:rFonts w:eastAsia="Guttman Hodes"/>
          <w:rtl/>
        </w:rPr>
        <w:fldChar w:fldCharType="end"/>
      </w:r>
      <w:r w:rsidRPr="00DA2C42">
        <w:rPr>
          <w:rFonts w:hint="cs"/>
          <w:rtl/>
        </w:rPr>
        <w:t xml:space="preserve"> </w:t>
      </w:r>
      <w:r w:rsidRPr="00DA2C42">
        <w:rPr>
          <w:rStyle w:val="af9"/>
          <w:rFonts w:hint="cs"/>
          <w:rtl/>
        </w:rPr>
        <w:t>ורבינו יונה</w:t>
      </w:r>
      <w:r w:rsidRPr="00DA2C42">
        <w:rPr>
          <w:rFonts w:hint="cs"/>
          <w:rtl/>
        </w:rPr>
        <w:t xml:space="preserve"> </w:t>
      </w:r>
      <w:r w:rsidRPr="00DA2C42">
        <w:rPr>
          <w:rStyle w:val="af7"/>
          <w:rFonts w:eastAsia="Guttman Hodes" w:hint="cs"/>
          <w:rtl/>
        </w:rPr>
        <w:t xml:space="preserve">(עי' אות </w:t>
      </w:r>
      <w:r w:rsidRPr="00DA2C42">
        <w:rPr>
          <w:rStyle w:val="af7"/>
          <w:rFonts w:eastAsia="Guttman Hodes"/>
          <w:rtl/>
        </w:rPr>
        <w:fldChar w:fldCharType="begin"/>
      </w:r>
      <w:r w:rsidRPr="00DA2C42">
        <w:rPr>
          <w:rStyle w:val="af7"/>
          <w:rFonts w:eastAsia="Guttman Hodes"/>
          <w:rtl/>
        </w:rPr>
        <w:instrText xml:space="preserve"> </w:instrText>
      </w:r>
      <w:r w:rsidRPr="00DA2C42">
        <w:rPr>
          <w:rStyle w:val="af7"/>
          <w:rFonts w:eastAsia="Guttman Hodes" w:hint="cs"/>
        </w:rPr>
        <w:instrText>REF</w:instrText>
      </w:r>
      <w:r w:rsidRPr="00DA2C42">
        <w:rPr>
          <w:rStyle w:val="af7"/>
          <w:rFonts w:eastAsia="Guttman Hodes" w:hint="cs"/>
          <w:rtl/>
        </w:rPr>
        <w:instrText xml:space="preserve"> _</w:instrText>
      </w:r>
      <w:r w:rsidRPr="00DA2C42">
        <w:rPr>
          <w:rStyle w:val="af7"/>
          <w:rFonts w:eastAsia="Guttman Hodes" w:hint="cs"/>
        </w:rPr>
        <w:instrText>Ref54602532 \r \h</w:instrText>
      </w:r>
      <w:r w:rsidRPr="00DA2C42">
        <w:rPr>
          <w:rStyle w:val="af7"/>
          <w:rFonts w:eastAsia="Guttman Hodes"/>
          <w:rtl/>
        </w:rPr>
        <w:instrText xml:space="preserve">  \* </w:instrText>
      </w:r>
      <w:r w:rsidRPr="00DA2C42">
        <w:rPr>
          <w:rStyle w:val="af7"/>
          <w:rFonts w:eastAsia="Guttman Hodes"/>
        </w:rPr>
        <w:instrText>MERGEFORMAT</w:instrText>
      </w:r>
      <w:r w:rsidRPr="00DA2C42">
        <w:rPr>
          <w:rStyle w:val="af7"/>
          <w:rFonts w:eastAsia="Guttman Hodes"/>
          <w:rtl/>
        </w:rPr>
        <w:instrText xml:space="preserve"> </w:instrText>
      </w:r>
      <w:r w:rsidRPr="00DA2C42">
        <w:rPr>
          <w:rStyle w:val="af7"/>
          <w:rFonts w:eastAsia="Guttman Hodes"/>
          <w:rtl/>
        </w:rPr>
      </w:r>
      <w:r w:rsidRPr="00DA2C42">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DA2C42">
        <w:rPr>
          <w:rStyle w:val="af7"/>
          <w:rFonts w:eastAsia="Guttman Hodes"/>
          <w:rtl/>
        </w:rPr>
        <w:fldChar w:fldCharType="end"/>
      </w:r>
      <w:r w:rsidRPr="00DA2C42">
        <w:rPr>
          <w:rFonts w:hint="cs"/>
          <w:rtl/>
        </w:rPr>
        <w:t xml:space="preserve"> </w:t>
      </w:r>
      <w:r w:rsidRPr="00DA2C42">
        <w:rPr>
          <w:rStyle w:val="af9"/>
          <w:rFonts w:hint="cs"/>
          <w:rtl/>
        </w:rPr>
        <w:t>והרשב"א</w:t>
      </w:r>
      <w:r w:rsidRPr="00DA2C42">
        <w:rPr>
          <w:rStyle w:val="af7"/>
          <w:rFonts w:eastAsia="Guttman Hodes" w:hint="cs"/>
          <w:rtl/>
        </w:rPr>
        <w:t xml:space="preserve"> </w:t>
      </w:r>
      <w:r w:rsidRPr="00DA2C42">
        <w:rPr>
          <w:rStyle w:val="af7"/>
          <w:rFonts w:eastAsia="Guttman Hodes" w:hint="eastAsia"/>
          <w:rtl/>
        </w:rPr>
        <w:t xml:space="preserve">(עי' אות </w:t>
      </w:r>
      <w:r w:rsidRPr="00DA2C42">
        <w:rPr>
          <w:rStyle w:val="af7"/>
          <w:rFonts w:eastAsia="Guttman Hodes"/>
          <w:rtl/>
        </w:rPr>
        <w:fldChar w:fldCharType="begin"/>
      </w:r>
      <w:r w:rsidRPr="00DA2C42">
        <w:rPr>
          <w:rStyle w:val="af7"/>
          <w:rFonts w:eastAsia="Guttman Hodes"/>
          <w:rtl/>
        </w:rPr>
        <w:instrText xml:space="preserve"> </w:instrText>
      </w:r>
      <w:r w:rsidRPr="00DA2C42">
        <w:rPr>
          <w:rStyle w:val="af7"/>
          <w:rFonts w:eastAsia="Guttman Hodes" w:hint="cs"/>
        </w:rPr>
        <w:instrText>REF</w:instrText>
      </w:r>
      <w:r w:rsidRPr="00DA2C42">
        <w:rPr>
          <w:rStyle w:val="af7"/>
          <w:rFonts w:eastAsia="Guttman Hodes" w:hint="cs"/>
          <w:rtl/>
        </w:rPr>
        <w:instrText xml:space="preserve"> _</w:instrText>
      </w:r>
      <w:r w:rsidRPr="00DA2C42">
        <w:rPr>
          <w:rStyle w:val="af7"/>
          <w:rFonts w:eastAsia="Guttman Hodes" w:hint="cs"/>
        </w:rPr>
        <w:instrText>Ref54901619 \r \h</w:instrText>
      </w:r>
      <w:r w:rsidRPr="00DA2C4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A2C42">
        <w:rPr>
          <w:rStyle w:val="af7"/>
          <w:rFonts w:eastAsia="Guttman Hodes"/>
          <w:rtl/>
        </w:rPr>
      </w:r>
      <w:r w:rsidRPr="00DA2C42">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DA2C42">
        <w:rPr>
          <w:rStyle w:val="af7"/>
          <w:rFonts w:eastAsia="Guttman Hodes"/>
          <w:rtl/>
        </w:rPr>
        <w:fldChar w:fldCharType="end"/>
      </w:r>
      <w:r w:rsidRPr="00DA2C42">
        <w:rPr>
          <w:rFonts w:hint="cs"/>
          <w:rtl/>
        </w:rPr>
        <w:t xml:space="preserve">, ועי' בדברי </w:t>
      </w:r>
      <w:r w:rsidRPr="00DA2C42">
        <w:rPr>
          <w:rStyle w:val="af9"/>
          <w:rFonts w:hint="cs"/>
          <w:rtl/>
        </w:rPr>
        <w:t>רבינו יונה בביאורו הב'</w:t>
      </w:r>
      <w:r w:rsidRPr="00DA2C42">
        <w:rPr>
          <w:rFonts w:hint="cs"/>
          <w:rtl/>
        </w:rPr>
        <w:t xml:space="preserve"> </w:t>
      </w:r>
      <w:r w:rsidRPr="00DA2C42">
        <w:rPr>
          <w:rStyle w:val="af7"/>
          <w:rFonts w:eastAsia="Guttman Hodes" w:hint="cs"/>
          <w:rtl/>
        </w:rPr>
        <w:t xml:space="preserve">(עי' אות </w:t>
      </w:r>
      <w:r w:rsidRPr="00DA2C42">
        <w:rPr>
          <w:rStyle w:val="af7"/>
          <w:rFonts w:eastAsia="Guttman Hodes"/>
          <w:rtl/>
        </w:rPr>
        <w:fldChar w:fldCharType="begin"/>
      </w:r>
      <w:r w:rsidRPr="00DA2C42">
        <w:rPr>
          <w:rStyle w:val="af7"/>
          <w:rFonts w:eastAsia="Guttman Hodes"/>
          <w:rtl/>
        </w:rPr>
        <w:instrText xml:space="preserve"> </w:instrText>
      </w:r>
      <w:r w:rsidRPr="00DA2C42">
        <w:rPr>
          <w:rStyle w:val="af7"/>
          <w:rFonts w:eastAsia="Guttman Hodes" w:hint="cs"/>
        </w:rPr>
        <w:instrText>REF</w:instrText>
      </w:r>
      <w:r w:rsidRPr="00DA2C42">
        <w:rPr>
          <w:rStyle w:val="af7"/>
          <w:rFonts w:eastAsia="Guttman Hodes" w:hint="cs"/>
          <w:rtl/>
        </w:rPr>
        <w:instrText xml:space="preserve"> _</w:instrText>
      </w:r>
      <w:r w:rsidRPr="00DA2C42">
        <w:rPr>
          <w:rStyle w:val="af7"/>
          <w:rFonts w:eastAsia="Guttman Hodes" w:hint="cs"/>
        </w:rPr>
        <w:instrText>Ref54602979 \r \h</w:instrText>
      </w:r>
      <w:r w:rsidRPr="00DA2C4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A2C42">
        <w:rPr>
          <w:rStyle w:val="af7"/>
          <w:rFonts w:eastAsia="Guttman Hodes"/>
          <w:rtl/>
        </w:rPr>
      </w:r>
      <w:r w:rsidRPr="00DA2C42">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DA2C42">
        <w:rPr>
          <w:rStyle w:val="af7"/>
          <w:rFonts w:eastAsia="Guttman Hodes"/>
          <w:rtl/>
        </w:rPr>
        <w:fldChar w:fldCharType="end"/>
      </w:r>
      <w:r w:rsidRPr="00DA2C42">
        <w:rPr>
          <w:rFonts w:hint="cs"/>
          <w:rtl/>
        </w:rPr>
        <w:t>.</w:t>
      </w:r>
      <w:bookmarkEnd w:id="1969"/>
    </w:p>
    <w:p w:rsidR="00900B10" w:rsidRPr="00DA2C42" w:rsidRDefault="00900B10" w:rsidP="00900B10">
      <w:pPr>
        <w:pStyle w:val="a3"/>
        <w:rPr>
          <w:rtl/>
        </w:rPr>
      </w:pPr>
      <w:bookmarkStart w:id="1970" w:name="_Toc54903447"/>
      <w:bookmarkStart w:id="1971" w:name="_Toc54948426"/>
      <w:bookmarkStart w:id="1972" w:name="_Toc54952029"/>
      <w:bookmarkStart w:id="1973" w:name="_Toc55072922"/>
      <w:bookmarkStart w:id="1974" w:name="_Toc55073123"/>
      <w:bookmarkStart w:id="1975" w:name="_Toc55073534"/>
      <w:bookmarkStart w:id="1976" w:name="_Toc55074082"/>
      <w:r w:rsidRPr="00DA2C42">
        <w:rPr>
          <w:rFonts w:hint="cs"/>
          <w:rtl/>
        </w:rPr>
        <w:t>ביאור הרמב"ן בתירוץ הגמ' דודאי לא יצאה הקרקע מרשות המר"ק בלא קנין והיא ברשותו</w:t>
      </w:r>
      <w:bookmarkEnd w:id="1970"/>
      <w:bookmarkEnd w:id="1971"/>
      <w:bookmarkEnd w:id="1972"/>
      <w:bookmarkEnd w:id="1973"/>
      <w:bookmarkEnd w:id="1974"/>
      <w:bookmarkEnd w:id="1975"/>
      <w:bookmarkEnd w:id="1976"/>
    </w:p>
    <w:p w:rsidR="00900B10" w:rsidRDefault="00900B10" w:rsidP="007E4E81">
      <w:pPr>
        <w:pStyle w:val="a0"/>
        <w:rPr>
          <w:rtl/>
        </w:rPr>
      </w:pPr>
      <w:r w:rsidRPr="00DA2C42">
        <w:rPr>
          <w:rFonts w:hint="cs"/>
          <w:rtl/>
        </w:rPr>
        <w:lastRenderedPageBreak/>
        <w:t>ובתירוץ הגמ' דכל</w:t>
      </w:r>
      <w:r>
        <w:rPr>
          <w:rFonts w:hint="cs"/>
          <w:rtl/>
        </w:rPr>
        <w:t xml:space="preserve"> שאין המחזיק טוען, לא טענינן ליה אנן, ביאר </w:t>
      </w:r>
      <w:r w:rsidRPr="009129CB">
        <w:rPr>
          <w:rStyle w:val="af9"/>
          <w:rFonts w:hint="cs"/>
          <w:rtl/>
        </w:rPr>
        <w:t>הרמב"ן</w:t>
      </w:r>
      <w:r>
        <w:rPr>
          <w:rFonts w:hint="cs"/>
          <w:rtl/>
        </w:rPr>
        <w:t xml:space="preserve"> דכיון שאם המחזיק לא קנה מהמערער, ודאי דלא יצאה השדה מאיליה מרשות המערער, ולכן צריך המערער טענה שקנה ממנו, דכל שאינו טוען טענת קנין, ודאי דלא יצאה השדה מחזקת המערער, והיא נשארת ברשותו גם לאחר החזקה. </w:t>
      </w:r>
    </w:p>
    <w:p w:rsidR="00900B10" w:rsidRDefault="00900B10" w:rsidP="00900B10">
      <w:pPr>
        <w:pStyle w:val="afe"/>
        <w:rPr>
          <w:rtl/>
        </w:rPr>
      </w:pPr>
      <w:bookmarkStart w:id="1977" w:name="_Toc54887741"/>
      <w:bookmarkStart w:id="1978" w:name="_Toc54891194"/>
      <w:bookmarkStart w:id="1979" w:name="_Toc54903489"/>
      <w:bookmarkStart w:id="1980" w:name="_Toc54948427"/>
      <w:bookmarkStart w:id="1981" w:name="_Toc54952030"/>
      <w:bookmarkStart w:id="1982" w:name="_Toc55072923"/>
      <w:bookmarkStart w:id="1983" w:name="_Toc55073124"/>
      <w:bookmarkStart w:id="1984" w:name="_Toc55073535"/>
      <w:bookmarkStart w:id="1985" w:name="_Toc55074083"/>
      <w:bookmarkStart w:id="1986" w:name="_Toc54643470"/>
      <w:bookmarkStart w:id="1987" w:name="_Toc54730215"/>
      <w:bookmarkStart w:id="1988" w:name="_Toc54867236"/>
      <w:bookmarkStart w:id="1989" w:name="_Toc54868835"/>
      <w:bookmarkStart w:id="1990" w:name="_Toc54887730"/>
      <w:bookmarkStart w:id="1991" w:name="_Toc54891183"/>
      <w:bookmarkStart w:id="1992" w:name="_Toc54903448"/>
      <w:bookmarkStart w:id="1993" w:name="_Toc54603722"/>
      <w:bookmarkStart w:id="1994" w:name="_Toc54643462"/>
      <w:bookmarkStart w:id="1995" w:name="_Toc54730207"/>
      <w:bookmarkStart w:id="1996" w:name="_Toc54867228"/>
      <w:bookmarkStart w:id="1997" w:name="_Toc54868827"/>
      <w:bookmarkStart w:id="1998" w:name="_Toc54555955"/>
      <w:r>
        <w:rPr>
          <w:rFonts w:hint="cs"/>
          <w:rtl/>
        </w:rPr>
        <w:t>ד' הריטב"א והר"ן דטוען בסתמא שלי</w:t>
      </w:r>
      <w:bookmarkEnd w:id="1977"/>
      <w:bookmarkEnd w:id="1978"/>
      <w:bookmarkEnd w:id="1979"/>
      <w:bookmarkEnd w:id="1980"/>
      <w:bookmarkEnd w:id="1981"/>
      <w:bookmarkEnd w:id="1982"/>
      <w:bookmarkEnd w:id="1983"/>
      <w:bookmarkEnd w:id="1984"/>
      <w:bookmarkEnd w:id="1985"/>
    </w:p>
    <w:p w:rsidR="00900B10" w:rsidRDefault="00900B10" w:rsidP="00900B10">
      <w:pPr>
        <w:pStyle w:val="1"/>
        <w:rPr>
          <w:rtl/>
        </w:rPr>
      </w:pPr>
      <w:bookmarkStart w:id="1999" w:name="_Toc54555958"/>
      <w:bookmarkStart w:id="2000" w:name="_Toc54603727"/>
      <w:bookmarkStart w:id="2001" w:name="_Toc54643469"/>
      <w:bookmarkStart w:id="2002" w:name="_Toc54730214"/>
      <w:bookmarkStart w:id="2003" w:name="_Toc54867235"/>
      <w:bookmarkStart w:id="2004" w:name="_Toc54868834"/>
      <w:bookmarkStart w:id="2005" w:name="_Toc54887742"/>
      <w:bookmarkStart w:id="2006" w:name="_Toc54891195"/>
      <w:bookmarkStart w:id="2007" w:name="_Toc54903490"/>
      <w:bookmarkStart w:id="2008" w:name="_Toc54948428"/>
      <w:bookmarkStart w:id="2009" w:name="_Toc54952031"/>
      <w:bookmarkStart w:id="2010" w:name="_Toc55072924"/>
      <w:bookmarkStart w:id="2011" w:name="_Toc55073125"/>
      <w:bookmarkStart w:id="2012" w:name="_Toc55073536"/>
      <w:bookmarkStart w:id="2013" w:name="_Toc55074084"/>
      <w:r>
        <w:rPr>
          <w:rFonts w:hint="cs"/>
          <w:rtl/>
        </w:rPr>
        <w:t>דברי הריטב"א</w:t>
      </w:r>
      <w:bookmarkEnd w:id="1999"/>
      <w:bookmarkEnd w:id="2000"/>
      <w:bookmarkEnd w:id="2001"/>
      <w:bookmarkEnd w:id="2002"/>
      <w:bookmarkEnd w:id="2003"/>
      <w:bookmarkEnd w:id="2004"/>
      <w:bookmarkEnd w:id="2005"/>
      <w:bookmarkEnd w:id="2006"/>
      <w:bookmarkEnd w:id="2007"/>
      <w:r>
        <w:rPr>
          <w:rFonts w:hint="cs"/>
          <w:rtl/>
        </w:rPr>
        <w:t xml:space="preserve"> והר"ן דבמודה שלא קנה לא מהני מחילה בקרקע</w:t>
      </w:r>
      <w:bookmarkEnd w:id="2008"/>
      <w:bookmarkEnd w:id="2009"/>
      <w:bookmarkEnd w:id="2010"/>
      <w:bookmarkEnd w:id="2011"/>
      <w:bookmarkEnd w:id="2012"/>
      <w:bookmarkEnd w:id="2013"/>
    </w:p>
    <w:p w:rsidR="00900B10" w:rsidRDefault="00900B10" w:rsidP="00900B10">
      <w:pPr>
        <w:pStyle w:val="a3"/>
        <w:rPr>
          <w:rtl/>
        </w:rPr>
      </w:pPr>
      <w:bookmarkStart w:id="2014" w:name="_Toc54948429"/>
      <w:bookmarkStart w:id="2015" w:name="_Toc54952032"/>
      <w:bookmarkStart w:id="2016" w:name="_Toc55072925"/>
      <w:bookmarkStart w:id="2017" w:name="_Toc55073126"/>
      <w:bookmarkStart w:id="2018" w:name="_Toc55073537"/>
      <w:bookmarkStart w:id="2019" w:name="_Toc55074085"/>
      <w:r>
        <w:rPr>
          <w:rFonts w:hint="cs"/>
          <w:rtl/>
        </w:rPr>
        <w:t>דברי הר"ן והריטב"א דא"א לומר דאיירי שלא אמר לו אדם דבר מעולם דמחילה לא מהני</w:t>
      </w:r>
      <w:bookmarkEnd w:id="2014"/>
      <w:bookmarkEnd w:id="2015"/>
      <w:bookmarkEnd w:id="2016"/>
      <w:bookmarkEnd w:id="2017"/>
      <w:bookmarkEnd w:id="2018"/>
      <w:bookmarkEnd w:id="2019"/>
    </w:p>
    <w:p w:rsidR="00900B10" w:rsidRPr="00463E0E" w:rsidRDefault="00900B10" w:rsidP="007E4E81">
      <w:pPr>
        <w:pStyle w:val="a0"/>
        <w:rPr>
          <w:rtl/>
        </w:rPr>
      </w:pPr>
      <w:bookmarkStart w:id="2020" w:name="_Ref54603322"/>
      <w:r>
        <w:rPr>
          <w:rFonts w:hint="cs"/>
          <w:rtl/>
        </w:rPr>
        <w:t xml:space="preserve">כתבו </w:t>
      </w:r>
      <w:r w:rsidRPr="00620CE5">
        <w:rPr>
          <w:rStyle w:val="af9"/>
          <w:rFonts w:hint="cs"/>
          <w:rtl/>
        </w:rPr>
        <w:t xml:space="preserve">הריטב"א </w:t>
      </w:r>
      <w:r>
        <w:rPr>
          <w:rStyle w:val="af7"/>
          <w:rFonts w:eastAsia="Guttman Hodes" w:hint="cs"/>
          <w:rtl/>
        </w:rPr>
        <w:t>(ד</w:t>
      </w:r>
      <w:r>
        <w:rPr>
          <w:rStyle w:val="af7"/>
          <w:rFonts w:eastAsia="Guttman Hodes"/>
          <w:rtl/>
        </w:rPr>
        <w:t>"</w:t>
      </w:r>
      <w:r>
        <w:rPr>
          <w:rStyle w:val="af7"/>
          <w:rFonts w:eastAsia="Guttman Hodes" w:hint="cs"/>
          <w:rtl/>
        </w:rPr>
        <w:t xml:space="preserve">ה </w:t>
      </w:r>
      <w:r w:rsidRPr="005B6D6C">
        <w:rPr>
          <w:rStyle w:val="af7"/>
          <w:rFonts w:eastAsia="Guttman Hodes" w:hint="cs"/>
          <w:rtl/>
        </w:rPr>
        <w:t xml:space="preserve">ואקשינן) </w:t>
      </w:r>
      <w:r w:rsidRPr="00424288">
        <w:rPr>
          <w:rStyle w:val="af9"/>
          <w:rFonts w:hint="cs"/>
          <w:rtl/>
        </w:rPr>
        <w:t>והר"ן</w:t>
      </w:r>
      <w:r>
        <w:rPr>
          <w:rFonts w:hint="cs"/>
          <w:rtl/>
        </w:rPr>
        <w:t xml:space="preserve"> </w:t>
      </w:r>
      <w:r w:rsidRPr="00424288">
        <w:rPr>
          <w:rStyle w:val="af7"/>
          <w:rFonts w:eastAsia="Guttman Hodes" w:hint="cs"/>
          <w:rtl/>
        </w:rPr>
        <w:t>(ד</w:t>
      </w:r>
      <w:r w:rsidRPr="00424288">
        <w:rPr>
          <w:rStyle w:val="af7"/>
          <w:rFonts w:eastAsia="Guttman Hodes"/>
          <w:rtl/>
        </w:rPr>
        <w:t>"</w:t>
      </w:r>
      <w:r w:rsidRPr="00424288">
        <w:rPr>
          <w:rStyle w:val="af7"/>
          <w:rFonts w:eastAsia="Guttman Hodes" w:hint="cs"/>
          <w:rtl/>
        </w:rPr>
        <w:t>ה מה)</w:t>
      </w:r>
      <w:r>
        <w:rPr>
          <w:rFonts w:hint="cs"/>
          <w:rtl/>
        </w:rPr>
        <w:t xml:space="preserve"> דבקושית הגמ' דתועיל חזקה בלא טענה, אין כוונת הגמ' להקשות, דהמחזיק מודה המחזיק שלא קנה מהמערער, וטוען שישב בקרקע ולא אמר לו אדם דבר, דא"כ ודאי דלא זכה בקרקע, דהא לא קנאה כלל ולא ניתנה לו, ואף אי אמרינן דכיון ששתק המרא קמא, מוכח דמחל לו, ג"כ אין המחזיק זוכה בה, דלא מהני מחילה בקרקע,</w:t>
      </w:r>
      <w:r w:rsidR="00A77F33">
        <w:rPr>
          <w:rFonts w:hint="cs"/>
          <w:rtl/>
        </w:rPr>
        <w:t xml:space="preserve"> </w:t>
      </w:r>
      <w:r>
        <w:rPr>
          <w:rFonts w:hint="cs"/>
          <w:rtl/>
        </w:rPr>
        <w:t xml:space="preserve">דבכל דבר שהקנין בו הוא קנין הגוף, צריך קנין </w:t>
      </w:r>
      <w:r w:rsidRPr="00463E0E">
        <w:rPr>
          <w:rFonts w:hint="cs"/>
          <w:rtl/>
        </w:rPr>
        <w:t xml:space="preserve">ולא סגי במחילה, וכ"כ </w:t>
      </w:r>
      <w:r w:rsidRPr="00463E0E">
        <w:rPr>
          <w:rStyle w:val="af9"/>
          <w:rFonts w:hint="cs"/>
          <w:rtl/>
        </w:rPr>
        <w:t>הרשב"א</w:t>
      </w:r>
      <w:r w:rsidRPr="00463E0E">
        <w:rPr>
          <w:rFonts w:hint="cs"/>
          <w:rtl/>
        </w:rPr>
        <w:t xml:space="preserve"> </w:t>
      </w:r>
      <w:r w:rsidRPr="00463E0E">
        <w:rPr>
          <w:rStyle w:val="af7"/>
          <w:rFonts w:eastAsia="Guttman Hodes" w:hint="cs"/>
          <w:rtl/>
        </w:rPr>
        <w:t xml:space="preserve">(עי' אות </w:t>
      </w:r>
      <w:r w:rsidRPr="00463E0E">
        <w:rPr>
          <w:rStyle w:val="af7"/>
          <w:rFonts w:eastAsia="Guttman Hodes"/>
          <w:rtl/>
        </w:rPr>
        <w:fldChar w:fldCharType="begin"/>
      </w:r>
      <w:r w:rsidRPr="00463E0E">
        <w:rPr>
          <w:rStyle w:val="af7"/>
          <w:rFonts w:eastAsia="Guttman Hodes"/>
          <w:rtl/>
        </w:rPr>
        <w:instrText xml:space="preserve"> </w:instrText>
      </w:r>
      <w:r w:rsidRPr="00463E0E">
        <w:rPr>
          <w:rStyle w:val="af7"/>
          <w:rFonts w:eastAsia="Guttman Hodes" w:hint="cs"/>
        </w:rPr>
        <w:instrText>REF</w:instrText>
      </w:r>
      <w:r w:rsidRPr="00463E0E">
        <w:rPr>
          <w:rStyle w:val="af7"/>
          <w:rFonts w:eastAsia="Guttman Hodes" w:hint="cs"/>
          <w:rtl/>
        </w:rPr>
        <w:instrText xml:space="preserve"> _</w:instrText>
      </w:r>
      <w:r w:rsidRPr="00463E0E">
        <w:rPr>
          <w:rStyle w:val="af7"/>
          <w:rFonts w:eastAsia="Guttman Hodes" w:hint="cs"/>
        </w:rPr>
        <w:instrText>Ref54712313 \r \h</w:instrText>
      </w:r>
      <w:r w:rsidRPr="00463E0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63E0E">
        <w:rPr>
          <w:rStyle w:val="af7"/>
          <w:rFonts w:eastAsia="Guttman Hodes"/>
          <w:rtl/>
        </w:rPr>
      </w:r>
      <w:r w:rsidRPr="00463E0E">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463E0E">
        <w:rPr>
          <w:rStyle w:val="af7"/>
          <w:rFonts w:eastAsia="Guttman Hodes"/>
          <w:rtl/>
        </w:rPr>
        <w:fldChar w:fldCharType="end"/>
      </w:r>
      <w:r w:rsidRPr="00463E0E">
        <w:rPr>
          <w:rFonts w:hint="cs"/>
          <w:rtl/>
        </w:rPr>
        <w:t xml:space="preserve">, ודלא </w:t>
      </w:r>
      <w:r w:rsidRPr="00463E0E">
        <w:rPr>
          <w:rStyle w:val="af9"/>
          <w:rFonts w:hint="cs"/>
          <w:rtl/>
        </w:rPr>
        <w:t>כתוס'</w:t>
      </w:r>
      <w:r w:rsidRPr="00463E0E">
        <w:rPr>
          <w:rFonts w:hint="cs"/>
          <w:rtl/>
        </w:rPr>
        <w:t xml:space="preserve"> </w:t>
      </w:r>
      <w:r w:rsidRPr="00463E0E">
        <w:rPr>
          <w:rStyle w:val="af7"/>
          <w:rFonts w:eastAsia="Guttman Hodes" w:hint="cs"/>
          <w:rtl/>
        </w:rPr>
        <w:t xml:space="preserve">(עי' אות </w:t>
      </w:r>
      <w:r w:rsidRPr="00463E0E">
        <w:rPr>
          <w:rStyle w:val="af7"/>
          <w:rFonts w:eastAsia="Guttman Hodes"/>
          <w:rtl/>
        </w:rPr>
        <w:fldChar w:fldCharType="begin"/>
      </w:r>
      <w:r w:rsidRPr="00463E0E">
        <w:rPr>
          <w:rStyle w:val="af7"/>
          <w:rFonts w:eastAsia="Guttman Hodes"/>
          <w:rtl/>
        </w:rPr>
        <w:instrText xml:space="preserve"> </w:instrText>
      </w:r>
      <w:r w:rsidRPr="00463E0E">
        <w:rPr>
          <w:rStyle w:val="af7"/>
          <w:rFonts w:eastAsia="Guttman Hodes" w:hint="cs"/>
        </w:rPr>
        <w:instrText>REF</w:instrText>
      </w:r>
      <w:r w:rsidRPr="00463E0E">
        <w:rPr>
          <w:rStyle w:val="af7"/>
          <w:rFonts w:eastAsia="Guttman Hodes" w:hint="cs"/>
          <w:rtl/>
        </w:rPr>
        <w:instrText xml:space="preserve"> _</w:instrText>
      </w:r>
      <w:r w:rsidRPr="00463E0E">
        <w:rPr>
          <w:rStyle w:val="af7"/>
          <w:rFonts w:eastAsia="Guttman Hodes" w:hint="cs"/>
        </w:rPr>
        <w:instrText>Ref54603299 \r \h</w:instrText>
      </w:r>
      <w:r w:rsidRPr="00463E0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63E0E">
        <w:rPr>
          <w:rStyle w:val="af7"/>
          <w:rFonts w:eastAsia="Guttman Hodes"/>
          <w:rtl/>
        </w:rPr>
      </w:r>
      <w:r w:rsidRPr="00463E0E">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463E0E">
        <w:rPr>
          <w:rStyle w:val="af7"/>
          <w:rFonts w:eastAsia="Guttman Hodes"/>
          <w:rtl/>
        </w:rPr>
        <w:fldChar w:fldCharType="end"/>
      </w:r>
      <w:r w:rsidRPr="00463E0E">
        <w:rPr>
          <w:rFonts w:hint="cs"/>
          <w:rtl/>
        </w:rPr>
        <w:t xml:space="preserve"> ועי' בדברי </w:t>
      </w:r>
      <w:r w:rsidRPr="00463E0E">
        <w:rPr>
          <w:rStyle w:val="af9"/>
          <w:rFonts w:hint="cs"/>
          <w:rtl/>
        </w:rPr>
        <w:t xml:space="preserve">רבינו יונה </w:t>
      </w:r>
      <w:r w:rsidRPr="00463E0E">
        <w:rPr>
          <w:rStyle w:val="af7"/>
          <w:rFonts w:eastAsia="Guttman Hodes" w:hint="cs"/>
          <w:rtl/>
        </w:rPr>
        <w:t xml:space="preserve">(עי' אות </w:t>
      </w:r>
      <w:bookmarkStart w:id="2021" w:name="_Ref54898657"/>
      <w:bookmarkEnd w:id="2020"/>
      <w:r w:rsidRPr="00463E0E">
        <w:rPr>
          <w:rStyle w:val="af7"/>
          <w:rFonts w:eastAsia="Guttman Hodes"/>
          <w:rtl/>
        </w:rPr>
        <w:fldChar w:fldCharType="begin"/>
      </w:r>
      <w:r w:rsidRPr="00463E0E">
        <w:rPr>
          <w:rStyle w:val="af7"/>
          <w:rFonts w:eastAsia="Guttman Hodes"/>
          <w:rtl/>
        </w:rPr>
        <w:instrText xml:space="preserve"> </w:instrText>
      </w:r>
      <w:r w:rsidRPr="00463E0E">
        <w:rPr>
          <w:rStyle w:val="af7"/>
          <w:rFonts w:eastAsia="Guttman Hodes" w:hint="cs"/>
        </w:rPr>
        <w:instrText>REF</w:instrText>
      </w:r>
      <w:r w:rsidRPr="00463E0E">
        <w:rPr>
          <w:rStyle w:val="af7"/>
          <w:rFonts w:eastAsia="Guttman Hodes" w:hint="cs"/>
          <w:rtl/>
        </w:rPr>
        <w:instrText xml:space="preserve"> _</w:instrText>
      </w:r>
      <w:r w:rsidRPr="00463E0E">
        <w:rPr>
          <w:rStyle w:val="af7"/>
          <w:rFonts w:eastAsia="Guttman Hodes" w:hint="cs"/>
        </w:rPr>
        <w:instrText>Ref54602869 \r \h</w:instrText>
      </w:r>
      <w:r w:rsidRPr="00463E0E">
        <w:rPr>
          <w:rStyle w:val="af7"/>
          <w:rFonts w:eastAsia="Guttman Hodes"/>
          <w:rtl/>
        </w:rPr>
        <w:instrText xml:space="preserve"> </w:instrText>
      </w:r>
      <w:r w:rsidRPr="00463E0E">
        <w:rPr>
          <w:rStyle w:val="af7"/>
          <w:rFonts w:eastAsia="Guttman Hodes"/>
          <w:rtl/>
        </w:rPr>
      </w:r>
      <w:r w:rsidRPr="00463E0E">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463E0E">
        <w:rPr>
          <w:rStyle w:val="af7"/>
          <w:rFonts w:eastAsia="Guttman Hodes"/>
          <w:rtl/>
        </w:rPr>
        <w:fldChar w:fldCharType="end"/>
      </w:r>
      <w:r w:rsidRPr="00463E0E">
        <w:rPr>
          <w:rFonts w:hint="cs"/>
          <w:rtl/>
        </w:rPr>
        <w:t>.</w:t>
      </w:r>
      <w:bookmarkEnd w:id="2021"/>
    </w:p>
    <w:p w:rsidR="00900B10" w:rsidRPr="00463E0E" w:rsidRDefault="00900B10" w:rsidP="00900B10">
      <w:pPr>
        <w:pStyle w:val="1"/>
        <w:rPr>
          <w:rtl/>
        </w:rPr>
      </w:pPr>
      <w:bookmarkStart w:id="2022" w:name="_Toc54948430"/>
      <w:bookmarkStart w:id="2023" w:name="_Toc54952033"/>
      <w:bookmarkStart w:id="2024" w:name="_Toc55072926"/>
      <w:bookmarkStart w:id="2025" w:name="_Toc55073127"/>
      <w:bookmarkStart w:id="2026" w:name="_Toc55073538"/>
      <w:bookmarkStart w:id="2027" w:name="_Toc55074086"/>
      <w:r w:rsidRPr="00463E0E">
        <w:rPr>
          <w:rFonts w:hint="cs"/>
          <w:rtl/>
        </w:rPr>
        <w:t>דברי הר"ן</w:t>
      </w:r>
      <w:bookmarkEnd w:id="1986"/>
      <w:bookmarkEnd w:id="1987"/>
      <w:bookmarkEnd w:id="1988"/>
      <w:bookmarkEnd w:id="1989"/>
      <w:bookmarkEnd w:id="1990"/>
      <w:bookmarkEnd w:id="1991"/>
      <w:r w:rsidRPr="00463E0E">
        <w:rPr>
          <w:rFonts w:hint="cs"/>
          <w:rtl/>
        </w:rPr>
        <w:t xml:space="preserve"> דלהו"א בג"ש המר"ק כאדם מהשוק וא"צ לטעון לו</w:t>
      </w:r>
      <w:bookmarkEnd w:id="1992"/>
      <w:bookmarkEnd w:id="2022"/>
      <w:bookmarkEnd w:id="2023"/>
      <w:bookmarkEnd w:id="2024"/>
      <w:bookmarkEnd w:id="2025"/>
      <w:bookmarkEnd w:id="2026"/>
      <w:bookmarkEnd w:id="2027"/>
    </w:p>
    <w:p w:rsidR="00900B10" w:rsidRDefault="00900B10" w:rsidP="00900B10">
      <w:pPr>
        <w:pStyle w:val="a3"/>
        <w:rPr>
          <w:rtl/>
        </w:rPr>
      </w:pPr>
      <w:bookmarkStart w:id="2028" w:name="_Toc54903450"/>
      <w:bookmarkStart w:id="2029" w:name="_Toc54948431"/>
      <w:bookmarkStart w:id="2030" w:name="_Toc54952034"/>
      <w:bookmarkStart w:id="2031" w:name="_Toc55072927"/>
      <w:bookmarkStart w:id="2032" w:name="_Toc55073128"/>
      <w:bookmarkStart w:id="2033" w:name="_Toc55073539"/>
      <w:bookmarkStart w:id="2034" w:name="_Toc55074087"/>
      <w:r w:rsidRPr="00463E0E">
        <w:rPr>
          <w:rFonts w:hint="cs"/>
          <w:rtl/>
        </w:rPr>
        <w:t>ביאור הר"ן דאיירי שאינו טוען כלום ואחר</w:t>
      </w:r>
      <w:r>
        <w:rPr>
          <w:rFonts w:hint="cs"/>
          <w:rtl/>
        </w:rPr>
        <w:t xml:space="preserve"> ג"ש המר"ק כאדם מהשוק והמחזיק א"צ לטעון לו</w:t>
      </w:r>
      <w:bookmarkEnd w:id="2028"/>
      <w:bookmarkEnd w:id="2029"/>
      <w:bookmarkEnd w:id="2030"/>
      <w:bookmarkEnd w:id="2031"/>
      <w:bookmarkEnd w:id="2032"/>
      <w:bookmarkEnd w:id="2033"/>
      <w:bookmarkEnd w:id="2034"/>
    </w:p>
    <w:p w:rsidR="00900B10" w:rsidRPr="00463E0E" w:rsidRDefault="00900B10" w:rsidP="007E4E81">
      <w:pPr>
        <w:pStyle w:val="a0"/>
        <w:rPr>
          <w:rtl/>
        </w:rPr>
      </w:pPr>
      <w:bookmarkStart w:id="2035" w:name="_Ref55073268"/>
      <w:r>
        <w:rPr>
          <w:rFonts w:hint="cs"/>
          <w:rtl/>
        </w:rPr>
        <w:t xml:space="preserve">אלא ביאר </w:t>
      </w:r>
      <w:r w:rsidRPr="00424288">
        <w:rPr>
          <w:rStyle w:val="af9"/>
          <w:rFonts w:hint="cs"/>
          <w:rtl/>
        </w:rPr>
        <w:t>הר"ן</w:t>
      </w:r>
      <w:r>
        <w:rPr>
          <w:rFonts w:hint="cs"/>
          <w:rtl/>
        </w:rPr>
        <w:t xml:space="preserve"> </w:t>
      </w:r>
      <w:r w:rsidRPr="00424288">
        <w:rPr>
          <w:rStyle w:val="af7"/>
          <w:rFonts w:eastAsia="Guttman Hodes" w:hint="cs"/>
          <w:rtl/>
        </w:rPr>
        <w:t>(ד</w:t>
      </w:r>
      <w:r w:rsidRPr="00424288">
        <w:rPr>
          <w:rStyle w:val="af7"/>
          <w:rFonts w:eastAsia="Guttman Hodes"/>
          <w:rtl/>
        </w:rPr>
        <w:t>"</w:t>
      </w:r>
      <w:r w:rsidRPr="00424288">
        <w:rPr>
          <w:rStyle w:val="af7"/>
          <w:rFonts w:eastAsia="Guttman Hodes" w:hint="cs"/>
          <w:rtl/>
        </w:rPr>
        <w:t>ה מה)</w:t>
      </w:r>
      <w:r>
        <w:rPr>
          <w:rFonts w:hint="cs"/>
          <w:rtl/>
        </w:rPr>
        <w:t xml:space="preserve"> דכוונת הגמ' להקשות דכיון שיצאה השדה מרשות המוכר, </w:t>
      </w:r>
      <w:r w:rsidRPr="00424288">
        <w:rPr>
          <w:rStyle w:val="afb"/>
          <w:rFonts w:hint="cs"/>
          <w:rtl/>
        </w:rPr>
        <w:t xml:space="preserve">[כדביאר </w:t>
      </w:r>
      <w:r w:rsidRPr="00424288">
        <w:rPr>
          <w:rStyle w:val="affa"/>
          <w:rFonts w:hint="cs"/>
          <w:rtl/>
        </w:rPr>
        <w:t>הר"ן</w:t>
      </w:r>
      <w:r w:rsidRPr="00424288">
        <w:rPr>
          <w:rStyle w:val="afb"/>
          <w:rFonts w:hint="cs"/>
          <w:rtl/>
        </w:rPr>
        <w:t xml:space="preserve"> </w:t>
      </w:r>
      <w:r w:rsidRPr="00424288">
        <w:rPr>
          <w:rStyle w:val="aff6"/>
          <w:rFonts w:hint="cs"/>
          <w:rtl/>
        </w:rPr>
        <w:t xml:space="preserve">(עי' אות </w:t>
      </w:r>
      <w:r w:rsidRPr="00424288">
        <w:rPr>
          <w:rStyle w:val="aff6"/>
          <w:rtl/>
        </w:rPr>
        <w:fldChar w:fldCharType="begin"/>
      </w:r>
      <w:r w:rsidRPr="00424288">
        <w:rPr>
          <w:rStyle w:val="aff6"/>
          <w:rtl/>
        </w:rPr>
        <w:instrText xml:space="preserve"> </w:instrText>
      </w:r>
      <w:r w:rsidRPr="00424288">
        <w:rPr>
          <w:rStyle w:val="aff6"/>
          <w:rFonts w:hint="cs"/>
        </w:rPr>
        <w:instrText>REF</w:instrText>
      </w:r>
      <w:r w:rsidRPr="00424288">
        <w:rPr>
          <w:rStyle w:val="aff6"/>
          <w:rFonts w:hint="cs"/>
          <w:rtl/>
        </w:rPr>
        <w:instrText xml:space="preserve"> _</w:instrText>
      </w:r>
      <w:r w:rsidRPr="00424288">
        <w:rPr>
          <w:rStyle w:val="aff6"/>
          <w:rFonts w:hint="cs"/>
        </w:rPr>
        <w:instrText>Ref54884583 \r \h</w:instrText>
      </w:r>
      <w:r w:rsidRPr="00424288">
        <w:rPr>
          <w:rStyle w:val="aff6"/>
          <w:rtl/>
        </w:rPr>
        <w:instrText xml:space="preserve"> </w:instrText>
      </w:r>
      <w:r w:rsidRPr="00424288">
        <w:rPr>
          <w:rStyle w:val="aff6"/>
          <w:rtl/>
        </w:rPr>
      </w:r>
      <w:r w:rsidRPr="00424288">
        <w:rPr>
          <w:rStyle w:val="aff6"/>
          <w:rtl/>
        </w:rPr>
        <w:fldChar w:fldCharType="separate"/>
      </w:r>
      <w:r w:rsidR="00265073">
        <w:rPr>
          <w:rStyle w:val="aff6"/>
          <w:cs/>
        </w:rPr>
        <w:t>‎</w:t>
      </w:r>
      <w:r w:rsidR="00265073">
        <w:rPr>
          <w:rStyle w:val="aff6"/>
          <w:rtl/>
        </w:rPr>
        <w:t>יא)</w:t>
      </w:r>
      <w:r w:rsidRPr="00424288">
        <w:rPr>
          <w:rStyle w:val="aff6"/>
          <w:rtl/>
        </w:rPr>
        <w:fldChar w:fldCharType="end"/>
      </w:r>
      <w:r w:rsidRPr="00424288">
        <w:rPr>
          <w:rStyle w:val="afb"/>
          <w:rFonts w:hint="cs"/>
          <w:rtl/>
        </w:rPr>
        <w:t>],</w:t>
      </w:r>
      <w:r>
        <w:rPr>
          <w:rFonts w:hint="cs"/>
          <w:rtl/>
        </w:rPr>
        <w:t xml:space="preserve"> לכן אף אם הלוקח אינו טוען כלום </w:t>
      </w:r>
      <w:r w:rsidRPr="00463E0E">
        <w:rPr>
          <w:rFonts w:hint="cs"/>
          <w:rtl/>
        </w:rPr>
        <w:t>תחשב כחזקה, דהא אחר שיצאה השדה מחזקת המרא קמא לגמרי, הוא נחשב ככל אדם מהשוק, והמחזיק אינו צריך להשיב לו כלום.</w:t>
      </w:r>
      <w:r w:rsidR="00A77F33">
        <w:rPr>
          <w:rFonts w:hint="cs"/>
          <w:rtl/>
        </w:rPr>
        <w:t xml:space="preserve"> </w:t>
      </w:r>
      <w:r w:rsidRPr="00463E0E">
        <w:rPr>
          <w:rFonts w:hint="cs"/>
          <w:rtl/>
        </w:rPr>
        <w:t xml:space="preserve">ועי' בדברי </w:t>
      </w:r>
      <w:r w:rsidRPr="00463E0E">
        <w:rPr>
          <w:rStyle w:val="af9"/>
          <w:rFonts w:hint="cs"/>
          <w:rtl/>
        </w:rPr>
        <w:t>רבינו יונה</w:t>
      </w:r>
      <w:r w:rsidRPr="00463E0E">
        <w:rPr>
          <w:rFonts w:hint="cs"/>
          <w:rtl/>
        </w:rPr>
        <w:t xml:space="preserve"> </w:t>
      </w:r>
      <w:r w:rsidRPr="00463E0E">
        <w:rPr>
          <w:rStyle w:val="af7"/>
          <w:rFonts w:eastAsia="Guttman Hodes" w:hint="cs"/>
          <w:rtl/>
        </w:rPr>
        <w:t xml:space="preserve">(עי' אות </w:t>
      </w:r>
      <w:r w:rsidRPr="00463E0E">
        <w:rPr>
          <w:rStyle w:val="af7"/>
          <w:rFonts w:eastAsia="Guttman Hodes"/>
          <w:rtl/>
        </w:rPr>
        <w:fldChar w:fldCharType="begin"/>
      </w:r>
      <w:r w:rsidRPr="00463E0E">
        <w:rPr>
          <w:rStyle w:val="af7"/>
          <w:rFonts w:eastAsia="Guttman Hodes"/>
          <w:rtl/>
        </w:rPr>
        <w:instrText xml:space="preserve"> </w:instrText>
      </w:r>
      <w:r w:rsidRPr="00463E0E">
        <w:rPr>
          <w:rStyle w:val="af7"/>
          <w:rFonts w:eastAsia="Guttman Hodes" w:hint="cs"/>
        </w:rPr>
        <w:instrText>REF</w:instrText>
      </w:r>
      <w:r w:rsidRPr="00463E0E">
        <w:rPr>
          <w:rStyle w:val="af7"/>
          <w:rFonts w:eastAsia="Guttman Hodes" w:hint="cs"/>
          <w:rtl/>
        </w:rPr>
        <w:instrText xml:space="preserve"> _</w:instrText>
      </w:r>
      <w:r w:rsidRPr="00463E0E">
        <w:rPr>
          <w:rStyle w:val="af7"/>
          <w:rFonts w:eastAsia="Guttman Hodes" w:hint="cs"/>
        </w:rPr>
        <w:instrText>Ref54602532 \r \h</w:instrText>
      </w:r>
      <w:r w:rsidRPr="00463E0E">
        <w:rPr>
          <w:rStyle w:val="af7"/>
          <w:rFonts w:eastAsia="Guttman Hodes"/>
          <w:rtl/>
        </w:rPr>
        <w:instrText xml:space="preserve">  \* </w:instrText>
      </w:r>
      <w:r w:rsidRPr="00463E0E">
        <w:rPr>
          <w:rStyle w:val="af7"/>
          <w:rFonts w:eastAsia="Guttman Hodes"/>
        </w:rPr>
        <w:instrText>MERGEFORMAT</w:instrText>
      </w:r>
      <w:r w:rsidRPr="00463E0E">
        <w:rPr>
          <w:rStyle w:val="af7"/>
          <w:rFonts w:eastAsia="Guttman Hodes"/>
          <w:rtl/>
        </w:rPr>
        <w:instrText xml:space="preserve"> </w:instrText>
      </w:r>
      <w:r w:rsidRPr="00463E0E">
        <w:rPr>
          <w:rStyle w:val="af7"/>
          <w:rFonts w:eastAsia="Guttman Hodes"/>
          <w:rtl/>
        </w:rPr>
      </w:r>
      <w:r w:rsidRPr="00463E0E">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463E0E">
        <w:rPr>
          <w:rStyle w:val="af7"/>
          <w:rFonts w:eastAsia="Guttman Hodes"/>
          <w:rtl/>
        </w:rPr>
        <w:fldChar w:fldCharType="end"/>
      </w:r>
      <w:r w:rsidRPr="00463E0E">
        <w:rPr>
          <w:rFonts w:hint="cs"/>
          <w:rtl/>
        </w:rPr>
        <w:t xml:space="preserve">, ובמ"ש </w:t>
      </w:r>
      <w:r w:rsidRPr="00463E0E">
        <w:rPr>
          <w:rStyle w:val="af9"/>
          <w:rFonts w:hint="cs"/>
          <w:rtl/>
        </w:rPr>
        <w:t>רבינו יונה בביאורו הב'</w:t>
      </w:r>
      <w:r w:rsidRPr="00463E0E">
        <w:rPr>
          <w:rFonts w:hint="cs"/>
          <w:rtl/>
        </w:rPr>
        <w:t xml:space="preserve"> </w:t>
      </w:r>
      <w:r w:rsidRPr="00463E0E">
        <w:rPr>
          <w:rStyle w:val="af7"/>
          <w:rFonts w:eastAsia="Guttman Hodes" w:hint="cs"/>
          <w:rtl/>
        </w:rPr>
        <w:t xml:space="preserve">(עי' אות </w:t>
      </w:r>
      <w:r w:rsidRPr="00463E0E">
        <w:rPr>
          <w:rStyle w:val="af7"/>
          <w:rFonts w:eastAsia="Guttman Hodes"/>
          <w:rtl/>
        </w:rPr>
        <w:fldChar w:fldCharType="begin"/>
      </w:r>
      <w:r w:rsidRPr="00463E0E">
        <w:rPr>
          <w:rStyle w:val="af7"/>
          <w:rFonts w:eastAsia="Guttman Hodes"/>
          <w:rtl/>
        </w:rPr>
        <w:instrText xml:space="preserve"> </w:instrText>
      </w:r>
      <w:r w:rsidRPr="00463E0E">
        <w:rPr>
          <w:rStyle w:val="af7"/>
          <w:rFonts w:eastAsia="Guttman Hodes" w:hint="cs"/>
        </w:rPr>
        <w:instrText>REF</w:instrText>
      </w:r>
      <w:r w:rsidRPr="00463E0E">
        <w:rPr>
          <w:rStyle w:val="af7"/>
          <w:rFonts w:eastAsia="Guttman Hodes" w:hint="cs"/>
          <w:rtl/>
        </w:rPr>
        <w:instrText xml:space="preserve"> _</w:instrText>
      </w:r>
      <w:r w:rsidRPr="00463E0E">
        <w:rPr>
          <w:rStyle w:val="af7"/>
          <w:rFonts w:eastAsia="Guttman Hodes" w:hint="cs"/>
        </w:rPr>
        <w:instrText>Ref54602979 \r \h</w:instrText>
      </w:r>
      <w:r w:rsidRPr="00463E0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63E0E">
        <w:rPr>
          <w:rStyle w:val="af7"/>
          <w:rFonts w:eastAsia="Guttman Hodes"/>
          <w:rtl/>
        </w:rPr>
      </w:r>
      <w:r w:rsidRPr="00463E0E">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463E0E">
        <w:rPr>
          <w:rStyle w:val="af7"/>
          <w:rFonts w:eastAsia="Guttman Hodes"/>
          <w:rtl/>
        </w:rPr>
        <w:fldChar w:fldCharType="end"/>
      </w:r>
      <w:bookmarkEnd w:id="2035"/>
    </w:p>
    <w:p w:rsidR="00900B10" w:rsidRPr="00463E0E" w:rsidRDefault="00900B10" w:rsidP="00900B10">
      <w:pPr>
        <w:pStyle w:val="a3"/>
        <w:rPr>
          <w:rtl/>
        </w:rPr>
      </w:pPr>
      <w:bookmarkStart w:id="2036" w:name="_Toc54948432"/>
      <w:bookmarkStart w:id="2037" w:name="_Toc54952035"/>
      <w:bookmarkStart w:id="2038" w:name="_Toc55072928"/>
      <w:bookmarkStart w:id="2039" w:name="_Toc55073129"/>
      <w:bookmarkStart w:id="2040" w:name="_Toc55073540"/>
      <w:bookmarkStart w:id="2041" w:name="_Toc55074088"/>
      <w:r w:rsidRPr="00463E0E">
        <w:rPr>
          <w:rFonts w:hint="cs"/>
          <w:rtl/>
        </w:rPr>
        <w:t>ביאור הריטב"א דהמחזיק טוען בסתמא דהשדה שלו ואינו מפרש את דבריו ולהו"א טענינן ליה</w:t>
      </w:r>
      <w:bookmarkEnd w:id="2036"/>
      <w:bookmarkEnd w:id="2037"/>
      <w:bookmarkEnd w:id="2038"/>
      <w:bookmarkEnd w:id="2039"/>
      <w:bookmarkEnd w:id="2040"/>
      <w:bookmarkEnd w:id="2041"/>
    </w:p>
    <w:p w:rsidR="00900B10" w:rsidRPr="00463E0E" w:rsidRDefault="00900B10" w:rsidP="007E4E81">
      <w:pPr>
        <w:pStyle w:val="a0"/>
        <w:rPr>
          <w:rtl/>
        </w:rPr>
      </w:pPr>
      <w:bookmarkStart w:id="2042" w:name="_Ref55073272"/>
      <w:r w:rsidRPr="00463E0E">
        <w:rPr>
          <w:rFonts w:hint="cs"/>
          <w:rtl/>
        </w:rPr>
        <w:t xml:space="preserve">וכעי"ז ביאר </w:t>
      </w:r>
      <w:r w:rsidRPr="00463E0E">
        <w:rPr>
          <w:rStyle w:val="af9"/>
          <w:rFonts w:hint="cs"/>
          <w:rtl/>
        </w:rPr>
        <w:t xml:space="preserve">הריטב"א </w:t>
      </w:r>
      <w:r w:rsidRPr="00463E0E">
        <w:rPr>
          <w:rStyle w:val="af7"/>
          <w:rFonts w:eastAsia="Guttman Hodes" w:hint="cs"/>
          <w:rtl/>
        </w:rPr>
        <w:t>(ד</w:t>
      </w:r>
      <w:r w:rsidRPr="00463E0E">
        <w:rPr>
          <w:rStyle w:val="af7"/>
          <w:rFonts w:eastAsia="Guttman Hodes"/>
          <w:rtl/>
        </w:rPr>
        <w:t>"</w:t>
      </w:r>
      <w:r w:rsidRPr="00463E0E">
        <w:rPr>
          <w:rStyle w:val="af7"/>
          <w:rFonts w:eastAsia="Guttman Hodes" w:hint="cs"/>
          <w:rtl/>
        </w:rPr>
        <w:t xml:space="preserve">ה ואקשינן) </w:t>
      </w:r>
      <w:r w:rsidRPr="00463E0E">
        <w:rPr>
          <w:rFonts w:hint="cs"/>
          <w:rtl/>
        </w:rPr>
        <w:t xml:space="preserve">דכוונת הגמ' להקשות דאף אם אמר המחזיק בסתמא דהקרקע היא שלו, ולא פירש את דבריו אם קנאה או קיבלה במתנה, מ"מ תועיל חזקתו, ולא נצריך את המחזיק לטעון את טענתו, דאנן טענינן ליה, </w:t>
      </w:r>
      <w:r w:rsidRPr="00463E0E">
        <w:rPr>
          <w:rStyle w:val="afb"/>
          <w:rFonts w:hint="cs"/>
          <w:rtl/>
        </w:rPr>
        <w:t>[</w:t>
      </w:r>
      <w:bookmarkStart w:id="2043" w:name="_Toc54903451"/>
      <w:r w:rsidRPr="00463E0E">
        <w:rPr>
          <w:rStyle w:val="afb"/>
          <w:rFonts w:hint="cs"/>
          <w:rtl/>
        </w:rPr>
        <w:t xml:space="preserve">וכתב </w:t>
      </w:r>
      <w:r w:rsidRPr="00463E0E">
        <w:rPr>
          <w:rStyle w:val="affa"/>
          <w:rFonts w:hint="cs"/>
          <w:rtl/>
        </w:rPr>
        <w:t>הריטב"א</w:t>
      </w:r>
      <w:r w:rsidRPr="00463E0E">
        <w:rPr>
          <w:rStyle w:val="afb"/>
          <w:rFonts w:hint="cs"/>
          <w:rtl/>
        </w:rPr>
        <w:t xml:space="preserve"> דהמקור דאם טוען המחזיק טענה סתומה, לא הוי חזקה, היינו מהא דתנן בסיפא דמתני' לקמן </w:t>
      </w:r>
      <w:r w:rsidRPr="00463E0E">
        <w:rPr>
          <w:rStyle w:val="aff6"/>
          <w:rFonts w:hint="cs"/>
          <w:rtl/>
        </w:rPr>
        <w:t>(מא.)</w:t>
      </w:r>
      <w:r w:rsidRPr="00463E0E">
        <w:rPr>
          <w:rStyle w:val="afb"/>
          <w:rFonts w:hint="cs"/>
          <w:rtl/>
        </w:rPr>
        <w:t xml:space="preserve"> שרק אם טען המחזיק אתה מכרת או נתת לי הוי חזקה, ומשמע דאם טען טענה סתומה, ואמר שהקרקע שלו לא הוי חזקה], </w:t>
      </w:r>
      <w:r w:rsidRPr="00463E0E">
        <w:rPr>
          <w:rFonts w:hint="cs"/>
          <w:rtl/>
        </w:rPr>
        <w:t xml:space="preserve">ועי' בדברי </w:t>
      </w:r>
      <w:r w:rsidRPr="00463E0E">
        <w:rPr>
          <w:rStyle w:val="af9"/>
          <w:rFonts w:hint="cs"/>
          <w:rtl/>
        </w:rPr>
        <w:t>רבינו יונה</w:t>
      </w:r>
      <w:r w:rsidRPr="00463E0E">
        <w:rPr>
          <w:rFonts w:hint="cs"/>
          <w:rtl/>
        </w:rPr>
        <w:t xml:space="preserve"> </w:t>
      </w:r>
      <w:r w:rsidRPr="00463E0E">
        <w:rPr>
          <w:rStyle w:val="af7"/>
          <w:rFonts w:eastAsia="Guttman Hodes" w:hint="cs"/>
          <w:rtl/>
        </w:rPr>
        <w:t xml:space="preserve">(עי' אות </w:t>
      </w:r>
      <w:r w:rsidRPr="00463E0E">
        <w:rPr>
          <w:rStyle w:val="af7"/>
          <w:rFonts w:eastAsia="Guttman Hodes"/>
          <w:rtl/>
        </w:rPr>
        <w:fldChar w:fldCharType="begin"/>
      </w:r>
      <w:r w:rsidRPr="00463E0E">
        <w:rPr>
          <w:rStyle w:val="af7"/>
          <w:rFonts w:eastAsia="Guttman Hodes"/>
          <w:rtl/>
        </w:rPr>
        <w:instrText xml:space="preserve"> </w:instrText>
      </w:r>
      <w:r w:rsidRPr="00463E0E">
        <w:rPr>
          <w:rStyle w:val="af7"/>
          <w:rFonts w:eastAsia="Guttman Hodes" w:hint="cs"/>
        </w:rPr>
        <w:instrText>REF</w:instrText>
      </w:r>
      <w:r w:rsidRPr="00463E0E">
        <w:rPr>
          <w:rStyle w:val="af7"/>
          <w:rFonts w:eastAsia="Guttman Hodes" w:hint="cs"/>
          <w:rtl/>
        </w:rPr>
        <w:instrText xml:space="preserve"> _</w:instrText>
      </w:r>
      <w:r w:rsidRPr="00463E0E">
        <w:rPr>
          <w:rStyle w:val="af7"/>
          <w:rFonts w:eastAsia="Guttman Hodes" w:hint="cs"/>
        </w:rPr>
        <w:instrText>Ref54602532 \r \h</w:instrText>
      </w:r>
      <w:r w:rsidRPr="00463E0E">
        <w:rPr>
          <w:rStyle w:val="af7"/>
          <w:rFonts w:eastAsia="Guttman Hodes"/>
          <w:rtl/>
        </w:rPr>
        <w:instrText xml:space="preserve">  \* </w:instrText>
      </w:r>
      <w:r w:rsidRPr="00463E0E">
        <w:rPr>
          <w:rStyle w:val="af7"/>
          <w:rFonts w:eastAsia="Guttman Hodes"/>
        </w:rPr>
        <w:instrText>MERGEFORMAT</w:instrText>
      </w:r>
      <w:r w:rsidRPr="00463E0E">
        <w:rPr>
          <w:rStyle w:val="af7"/>
          <w:rFonts w:eastAsia="Guttman Hodes"/>
          <w:rtl/>
        </w:rPr>
        <w:instrText xml:space="preserve"> </w:instrText>
      </w:r>
      <w:r w:rsidRPr="00463E0E">
        <w:rPr>
          <w:rStyle w:val="af7"/>
          <w:rFonts w:eastAsia="Guttman Hodes"/>
          <w:rtl/>
        </w:rPr>
      </w:r>
      <w:r w:rsidRPr="00463E0E">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463E0E">
        <w:rPr>
          <w:rStyle w:val="af7"/>
          <w:rFonts w:eastAsia="Guttman Hodes"/>
          <w:rtl/>
        </w:rPr>
        <w:fldChar w:fldCharType="end"/>
      </w:r>
      <w:r w:rsidRPr="00463E0E">
        <w:rPr>
          <w:rFonts w:hint="cs"/>
          <w:rtl/>
        </w:rPr>
        <w:t xml:space="preserve">, ובמ"ש </w:t>
      </w:r>
      <w:r w:rsidRPr="00463E0E">
        <w:rPr>
          <w:rStyle w:val="af9"/>
          <w:rFonts w:hint="cs"/>
          <w:rtl/>
        </w:rPr>
        <w:t>רבינו יונה בביאורו הב'</w:t>
      </w:r>
      <w:r w:rsidRPr="00463E0E">
        <w:rPr>
          <w:rFonts w:hint="cs"/>
          <w:rtl/>
        </w:rPr>
        <w:t xml:space="preserve"> </w:t>
      </w:r>
      <w:r w:rsidRPr="00463E0E">
        <w:rPr>
          <w:rStyle w:val="af7"/>
          <w:rFonts w:eastAsia="Guttman Hodes" w:hint="cs"/>
          <w:rtl/>
        </w:rPr>
        <w:t xml:space="preserve">(עי' אות </w:t>
      </w:r>
      <w:r w:rsidRPr="00463E0E">
        <w:rPr>
          <w:rStyle w:val="af7"/>
          <w:rFonts w:eastAsia="Guttman Hodes"/>
          <w:rtl/>
        </w:rPr>
        <w:fldChar w:fldCharType="begin"/>
      </w:r>
      <w:r w:rsidRPr="00463E0E">
        <w:rPr>
          <w:rStyle w:val="af7"/>
          <w:rFonts w:eastAsia="Guttman Hodes"/>
          <w:rtl/>
        </w:rPr>
        <w:instrText xml:space="preserve"> </w:instrText>
      </w:r>
      <w:r w:rsidRPr="00463E0E">
        <w:rPr>
          <w:rStyle w:val="af7"/>
          <w:rFonts w:eastAsia="Guttman Hodes" w:hint="cs"/>
        </w:rPr>
        <w:instrText>REF</w:instrText>
      </w:r>
      <w:r w:rsidRPr="00463E0E">
        <w:rPr>
          <w:rStyle w:val="af7"/>
          <w:rFonts w:eastAsia="Guttman Hodes" w:hint="cs"/>
          <w:rtl/>
        </w:rPr>
        <w:instrText xml:space="preserve"> _</w:instrText>
      </w:r>
      <w:r w:rsidRPr="00463E0E">
        <w:rPr>
          <w:rStyle w:val="af7"/>
          <w:rFonts w:eastAsia="Guttman Hodes" w:hint="cs"/>
        </w:rPr>
        <w:instrText>Ref54602979 \r \h</w:instrText>
      </w:r>
      <w:r w:rsidRPr="00463E0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63E0E">
        <w:rPr>
          <w:rStyle w:val="af7"/>
          <w:rFonts w:eastAsia="Guttman Hodes"/>
          <w:rtl/>
        </w:rPr>
      </w:r>
      <w:r w:rsidRPr="00463E0E">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463E0E">
        <w:rPr>
          <w:rStyle w:val="af7"/>
          <w:rFonts w:eastAsia="Guttman Hodes"/>
          <w:rtl/>
        </w:rPr>
        <w:fldChar w:fldCharType="end"/>
      </w:r>
      <w:r w:rsidRPr="00463E0E">
        <w:rPr>
          <w:rFonts w:hint="cs"/>
          <w:rtl/>
        </w:rPr>
        <w:t>.</w:t>
      </w:r>
      <w:bookmarkEnd w:id="2042"/>
    </w:p>
    <w:p w:rsidR="00900B10" w:rsidRPr="00463E0E" w:rsidRDefault="00900B10" w:rsidP="00900B10">
      <w:pPr>
        <w:pStyle w:val="a3"/>
        <w:rPr>
          <w:rtl/>
        </w:rPr>
      </w:pPr>
      <w:bookmarkStart w:id="2044" w:name="_Toc54948433"/>
      <w:bookmarkStart w:id="2045" w:name="_Toc54952036"/>
      <w:bookmarkStart w:id="2046" w:name="_Toc55072929"/>
      <w:bookmarkStart w:id="2047" w:name="_Toc55073130"/>
      <w:bookmarkStart w:id="2048" w:name="_Toc55073541"/>
      <w:bookmarkStart w:id="2049" w:name="_Toc55074089"/>
      <w:r w:rsidRPr="00463E0E">
        <w:rPr>
          <w:rFonts w:hint="cs"/>
          <w:rtl/>
        </w:rPr>
        <w:t>דברי הריטב"א דבלשון הגמ' דלא כדקאמר מוכח דאינו מודה אלא טוען בסתמא דשלו היא</w:t>
      </w:r>
      <w:bookmarkEnd w:id="2044"/>
      <w:bookmarkEnd w:id="2045"/>
      <w:bookmarkEnd w:id="2046"/>
      <w:bookmarkEnd w:id="2047"/>
      <w:bookmarkEnd w:id="2048"/>
      <w:bookmarkEnd w:id="2049"/>
    </w:p>
    <w:p w:rsidR="00900B10" w:rsidRDefault="00900B10" w:rsidP="007E4E81">
      <w:pPr>
        <w:pStyle w:val="a0"/>
        <w:rPr>
          <w:rtl/>
        </w:rPr>
      </w:pPr>
      <w:r w:rsidRPr="00463E0E">
        <w:rPr>
          <w:rFonts w:hint="cs"/>
          <w:rtl/>
        </w:rPr>
        <w:t xml:space="preserve">וכתב </w:t>
      </w:r>
      <w:r w:rsidRPr="00463E0E">
        <w:rPr>
          <w:rStyle w:val="af9"/>
          <w:rFonts w:hint="cs"/>
          <w:rtl/>
        </w:rPr>
        <w:t xml:space="preserve">הריטב"א </w:t>
      </w:r>
      <w:r w:rsidRPr="00463E0E">
        <w:rPr>
          <w:rFonts w:hint="cs"/>
          <w:rtl/>
        </w:rPr>
        <w:t>דמוכח דזו</w:t>
      </w:r>
      <w:r>
        <w:rPr>
          <w:rFonts w:hint="cs"/>
          <w:rtl/>
        </w:rPr>
        <w:t xml:space="preserve"> כוונת הגמ' להקשות, מהא דאמרינן "דלמא כדקאמר", ואי המחזיק טוען שלא אמר לו אדם דבר מעולם, הא לא מהני מידי מה שהוא אמר, דהא הוא מודה שלא זכה בקרקע כלל, אלא מוכח דהוא טעון בסתמא שהקרקע שלו, ולכן מקשה הגמ' דיתכן דהקרקע באמת שלו, ואף שאינו טוען אנן נטען ליה שקנה מהמערער, וע"ז תירצה הגמ' דכיון שהוא יודע את האמת ואינו טוען, לא טענינן ליה אנן, ורק ביורש שאינו יודע מה היה, ב"ד טוענים לו.</w:t>
      </w:r>
    </w:p>
    <w:p w:rsidR="005F5906" w:rsidRPr="005F5906" w:rsidRDefault="005F5906" w:rsidP="005F5906">
      <w:pPr>
        <w:pStyle w:val="a3"/>
        <w:rPr>
          <w:rtl/>
        </w:rPr>
      </w:pPr>
    </w:p>
    <w:p w:rsidR="00900B10" w:rsidRPr="005D7F54" w:rsidRDefault="00900B10" w:rsidP="00900B10">
      <w:pPr>
        <w:pStyle w:val="a3"/>
        <w:rPr>
          <w:rtl/>
        </w:rPr>
      </w:pPr>
    </w:p>
    <w:p w:rsidR="00900B10" w:rsidRDefault="00900B10" w:rsidP="00900B10">
      <w:pPr>
        <w:pStyle w:val="a3"/>
        <w:rPr>
          <w:rtl/>
        </w:rPr>
      </w:pPr>
      <w:bookmarkStart w:id="2050" w:name="_Toc54903452"/>
      <w:bookmarkStart w:id="2051" w:name="_Toc54948435"/>
      <w:bookmarkStart w:id="2052" w:name="_Toc54952038"/>
      <w:bookmarkStart w:id="2053" w:name="_Toc55072931"/>
      <w:bookmarkStart w:id="2054" w:name="_Toc55073132"/>
      <w:bookmarkStart w:id="2055" w:name="_Toc55073543"/>
      <w:bookmarkStart w:id="2056" w:name="_Toc55074091"/>
      <w:bookmarkEnd w:id="2043"/>
      <w:r>
        <w:rPr>
          <w:rFonts w:hint="cs"/>
          <w:rtl/>
        </w:rPr>
        <w:t>ביאור הר"ן בתירוץ הגמ' דכל שאינו טוען שקנה מהמר"ק יש ריעותא בחזקתו</w:t>
      </w:r>
      <w:bookmarkEnd w:id="2050"/>
      <w:bookmarkEnd w:id="2051"/>
      <w:bookmarkEnd w:id="2052"/>
      <w:bookmarkEnd w:id="2053"/>
      <w:bookmarkEnd w:id="2054"/>
      <w:bookmarkEnd w:id="2055"/>
      <w:bookmarkEnd w:id="2056"/>
    </w:p>
    <w:p w:rsidR="00900B10" w:rsidRDefault="00900B10" w:rsidP="007E4E81">
      <w:pPr>
        <w:pStyle w:val="a0"/>
        <w:rPr>
          <w:rStyle w:val="afb"/>
          <w:rtl/>
        </w:rPr>
      </w:pPr>
      <w:bookmarkStart w:id="2057" w:name="_Ref54640941"/>
      <w:r>
        <w:rPr>
          <w:rFonts w:hint="cs"/>
          <w:rtl/>
        </w:rPr>
        <w:t xml:space="preserve">ובתירוץ הגמ' ביאר </w:t>
      </w:r>
      <w:r w:rsidRPr="00424288">
        <w:rPr>
          <w:rStyle w:val="af9"/>
          <w:rFonts w:hint="cs"/>
          <w:rtl/>
        </w:rPr>
        <w:t>הר"</w:t>
      </w:r>
      <w:r>
        <w:rPr>
          <w:rStyle w:val="af9"/>
          <w:rFonts w:hint="cs"/>
          <w:rtl/>
        </w:rPr>
        <w:t>ן</w:t>
      </w:r>
      <w:r>
        <w:rPr>
          <w:rFonts w:hint="cs"/>
          <w:rtl/>
        </w:rPr>
        <w:t xml:space="preserve"> </w:t>
      </w:r>
      <w:r w:rsidRPr="00424288">
        <w:rPr>
          <w:rStyle w:val="af7"/>
          <w:rFonts w:eastAsia="Guttman Hodes" w:hint="cs"/>
          <w:rtl/>
        </w:rPr>
        <w:t>(ד</w:t>
      </w:r>
      <w:r w:rsidRPr="00424288">
        <w:rPr>
          <w:rStyle w:val="af7"/>
          <w:rFonts w:eastAsia="Guttman Hodes"/>
          <w:rtl/>
        </w:rPr>
        <w:t>"</w:t>
      </w:r>
      <w:r w:rsidRPr="00424288">
        <w:rPr>
          <w:rStyle w:val="af7"/>
          <w:rFonts w:eastAsia="Guttman Hodes" w:hint="cs"/>
          <w:rtl/>
        </w:rPr>
        <w:t>ה מה)</w:t>
      </w:r>
      <w:r>
        <w:rPr>
          <w:rFonts w:hint="cs"/>
          <w:rtl/>
        </w:rPr>
        <w:t xml:space="preserve"> דכיון שהמחזיק יכול לזכות בקרקע רק אם קנה אותה מהמרא קמא, לכן כל שלא טען כן המחזיק, יש ריעותא בחזקה שלו, דהא ודאי שאם היה קונה מהמרא קמא היה המחזיק טוען כן בפירוש, וכל שנולדה ריעותא בחזקתו לא מהני החזקה, אבל במקום שאין ריעותא כגון ביורש שאינו יודע ממי קנה אביו, מהני החזקה אף בלא כל טענה. </w:t>
      </w:r>
      <w:r w:rsidRPr="00992859">
        <w:rPr>
          <w:rStyle w:val="afb"/>
          <w:rFonts w:hint="cs"/>
          <w:rtl/>
        </w:rPr>
        <w:t xml:space="preserve">[וכן ביאר </w:t>
      </w:r>
      <w:r w:rsidRPr="00424288">
        <w:rPr>
          <w:rStyle w:val="affa"/>
          <w:rFonts w:hint="cs"/>
          <w:rtl/>
        </w:rPr>
        <w:t>הר"ן</w:t>
      </w:r>
      <w:r w:rsidRPr="007F51DE">
        <w:rPr>
          <w:rFonts w:hint="cs"/>
          <w:rtl/>
        </w:rPr>
        <w:t xml:space="preserve"> </w:t>
      </w:r>
      <w:r w:rsidRPr="006F07DC">
        <w:rPr>
          <w:rStyle w:val="aff6"/>
          <w:rFonts w:hint="cs"/>
          <w:rtl/>
        </w:rPr>
        <w:t>(כח: ד"ה אלא</w:t>
      </w:r>
      <w:r>
        <w:rPr>
          <w:rStyle w:val="aff6"/>
          <w:rFonts w:hint="cs"/>
          <w:rtl/>
        </w:rPr>
        <w:t>, הובא בסימן ד' אות מ"</w:t>
      </w:r>
      <w:r w:rsidR="00483DAC">
        <w:rPr>
          <w:rStyle w:val="aff6"/>
          <w:rFonts w:hint="cs"/>
          <w:rtl/>
        </w:rPr>
        <w:t>ג</w:t>
      </w:r>
      <w:r>
        <w:rPr>
          <w:rStyle w:val="aff6"/>
          <w:rFonts w:hint="cs"/>
          <w:rtl/>
        </w:rPr>
        <w:t>)</w:t>
      </w:r>
      <w:r w:rsidRPr="00992859">
        <w:rPr>
          <w:rStyle w:val="afb"/>
          <w:rFonts w:hint="cs"/>
          <w:rtl/>
        </w:rPr>
        <w:t xml:space="preserve"> במחאה</w:t>
      </w:r>
      <w:r>
        <w:rPr>
          <w:rStyle w:val="afb"/>
          <w:rFonts w:hint="cs"/>
          <w:rtl/>
        </w:rPr>
        <w:t>,</w:t>
      </w:r>
      <w:r w:rsidRPr="00992859">
        <w:rPr>
          <w:rStyle w:val="afb"/>
          <w:rFonts w:hint="cs"/>
          <w:rtl/>
        </w:rPr>
        <w:t xml:space="preserve"> דכל שלא נזהר בשטרו אחר המחאה יש ריעותא בחזקתו].</w:t>
      </w:r>
      <w:bookmarkEnd w:id="2057"/>
    </w:p>
    <w:p w:rsidR="00900B10" w:rsidRDefault="00900B10" w:rsidP="00900B10">
      <w:pPr>
        <w:pStyle w:val="afe"/>
        <w:rPr>
          <w:rtl/>
        </w:rPr>
      </w:pPr>
      <w:bookmarkStart w:id="2058" w:name="_Toc54887731"/>
      <w:bookmarkStart w:id="2059" w:name="_Toc54891184"/>
      <w:bookmarkStart w:id="2060" w:name="_Toc54903453"/>
      <w:bookmarkStart w:id="2061" w:name="_Toc54948436"/>
      <w:bookmarkStart w:id="2062" w:name="_Toc54952039"/>
      <w:bookmarkStart w:id="2063" w:name="_Toc55072932"/>
      <w:bookmarkStart w:id="2064" w:name="_Toc55073133"/>
      <w:bookmarkStart w:id="2065" w:name="_Toc55073544"/>
      <w:bookmarkStart w:id="2066" w:name="_Toc55074092"/>
      <w:r>
        <w:rPr>
          <w:rFonts w:hint="cs"/>
          <w:rtl/>
        </w:rPr>
        <w:t xml:space="preserve">ביאור רבינו יונה </w:t>
      </w:r>
      <w:bookmarkEnd w:id="1993"/>
      <w:bookmarkEnd w:id="1994"/>
      <w:bookmarkEnd w:id="1995"/>
      <w:bookmarkEnd w:id="1996"/>
      <w:bookmarkEnd w:id="1997"/>
      <w:r>
        <w:rPr>
          <w:rFonts w:hint="cs"/>
          <w:rtl/>
        </w:rPr>
        <w:t>דהמחזיק לא משיב דבר</w:t>
      </w:r>
      <w:bookmarkEnd w:id="2058"/>
      <w:bookmarkEnd w:id="2059"/>
      <w:bookmarkEnd w:id="2060"/>
      <w:bookmarkEnd w:id="2061"/>
      <w:bookmarkEnd w:id="2062"/>
      <w:bookmarkEnd w:id="2063"/>
      <w:bookmarkEnd w:id="2064"/>
      <w:bookmarkEnd w:id="2065"/>
      <w:bookmarkEnd w:id="2066"/>
    </w:p>
    <w:p w:rsidR="00900B10" w:rsidRDefault="00900B10" w:rsidP="00900B10">
      <w:pPr>
        <w:pStyle w:val="1"/>
        <w:rPr>
          <w:rtl/>
        </w:rPr>
      </w:pPr>
      <w:bookmarkStart w:id="2067" w:name="_Toc54603723"/>
      <w:bookmarkStart w:id="2068" w:name="_Toc54643463"/>
      <w:bookmarkStart w:id="2069" w:name="_Toc54730208"/>
      <w:bookmarkStart w:id="2070" w:name="_Toc54867229"/>
      <w:bookmarkStart w:id="2071" w:name="_Toc54868828"/>
      <w:bookmarkStart w:id="2072" w:name="_Toc54887732"/>
      <w:bookmarkStart w:id="2073" w:name="_Toc54891185"/>
      <w:bookmarkStart w:id="2074" w:name="_Toc54903454"/>
      <w:bookmarkStart w:id="2075" w:name="_Toc54948437"/>
      <w:bookmarkStart w:id="2076" w:name="_Toc54952040"/>
      <w:bookmarkStart w:id="2077" w:name="_Toc55072933"/>
      <w:bookmarkStart w:id="2078" w:name="_Toc55073134"/>
      <w:bookmarkStart w:id="2079" w:name="_Toc55073545"/>
      <w:bookmarkStart w:id="2080" w:name="_Toc55074093"/>
      <w:r>
        <w:rPr>
          <w:rFonts w:hint="cs"/>
          <w:rtl/>
        </w:rPr>
        <w:t>קושיות רבינו יונה</w:t>
      </w:r>
      <w:bookmarkEnd w:id="1998"/>
      <w:bookmarkEnd w:id="2067"/>
      <w:bookmarkEnd w:id="2068"/>
      <w:bookmarkEnd w:id="2069"/>
      <w:bookmarkEnd w:id="2070"/>
      <w:bookmarkEnd w:id="2071"/>
      <w:bookmarkEnd w:id="2072"/>
      <w:bookmarkEnd w:id="2073"/>
      <w:bookmarkEnd w:id="2074"/>
      <w:bookmarkEnd w:id="2075"/>
      <w:bookmarkEnd w:id="2076"/>
      <w:bookmarkEnd w:id="2077"/>
      <w:bookmarkEnd w:id="2078"/>
      <w:bookmarkEnd w:id="2079"/>
      <w:r>
        <w:rPr>
          <w:rFonts w:hint="cs"/>
          <w:rtl/>
        </w:rPr>
        <w:t xml:space="preserve"> דא"א לומר דחזקה בלא טענה מהני</w:t>
      </w:r>
      <w:bookmarkEnd w:id="2080"/>
    </w:p>
    <w:p w:rsidR="00900B10" w:rsidRDefault="00900B10" w:rsidP="00900B10">
      <w:pPr>
        <w:pStyle w:val="a3"/>
        <w:rPr>
          <w:rtl/>
        </w:rPr>
      </w:pPr>
      <w:bookmarkStart w:id="2081" w:name="_Toc54903455"/>
      <w:bookmarkStart w:id="2082" w:name="_Toc54948438"/>
      <w:bookmarkStart w:id="2083" w:name="_Toc54952041"/>
      <w:bookmarkStart w:id="2084" w:name="_Toc55072934"/>
      <w:bookmarkStart w:id="2085" w:name="_Toc55073135"/>
      <w:bookmarkStart w:id="2086" w:name="_Toc55073546"/>
      <w:bookmarkStart w:id="2087" w:name="_Toc55074094"/>
      <w:r>
        <w:rPr>
          <w:rFonts w:hint="cs"/>
          <w:rtl/>
        </w:rPr>
        <w:t>ביאור רבינו יונה בקושית הגמ' דכיון דילפינן שיצאה השדה מרשות המוכר א"כ א"צ טענה</w:t>
      </w:r>
      <w:bookmarkEnd w:id="2081"/>
      <w:bookmarkEnd w:id="2082"/>
      <w:bookmarkEnd w:id="2083"/>
      <w:bookmarkEnd w:id="2084"/>
      <w:bookmarkEnd w:id="2085"/>
      <w:bookmarkEnd w:id="2086"/>
      <w:bookmarkEnd w:id="2087"/>
    </w:p>
    <w:p w:rsidR="00900B10" w:rsidRDefault="00900B10" w:rsidP="007E4E81">
      <w:pPr>
        <w:pStyle w:val="a0"/>
        <w:rPr>
          <w:rtl/>
        </w:rPr>
      </w:pPr>
      <w:bookmarkStart w:id="2088" w:name="_Ref54602532"/>
      <w:r w:rsidRPr="00FA53B1">
        <w:rPr>
          <w:rtl/>
        </w:rPr>
        <w:t xml:space="preserve">עי' בדברי </w:t>
      </w:r>
      <w:r w:rsidRPr="00FA53B1">
        <w:rPr>
          <w:rStyle w:val="af9"/>
          <w:rFonts w:hint="cs"/>
          <w:rtl/>
        </w:rPr>
        <w:t>רבינו יונה</w:t>
      </w:r>
      <w:r w:rsidRPr="00FA53B1">
        <w:rPr>
          <w:rtl/>
        </w:rPr>
        <w:t xml:space="preserve"> </w:t>
      </w:r>
      <w:r w:rsidRPr="00DA6F8E">
        <w:rPr>
          <w:rStyle w:val="af7"/>
          <w:rFonts w:eastAsia="Guttman Hodes" w:hint="cs"/>
          <w:rtl/>
        </w:rPr>
        <w:t xml:space="preserve">(עי' אות </w:t>
      </w:r>
      <w:r w:rsidRPr="00DA6F8E">
        <w:rPr>
          <w:rStyle w:val="af7"/>
          <w:rFonts w:eastAsia="Guttman Hodes"/>
          <w:rtl/>
        </w:rPr>
        <w:fldChar w:fldCharType="begin"/>
      </w:r>
      <w:r w:rsidRPr="00DA6F8E">
        <w:rPr>
          <w:rStyle w:val="af7"/>
          <w:rFonts w:eastAsia="Guttman Hodes"/>
          <w:rtl/>
        </w:rPr>
        <w:instrText xml:space="preserve"> </w:instrText>
      </w:r>
      <w:r w:rsidRPr="00DA6F8E">
        <w:rPr>
          <w:rStyle w:val="af7"/>
          <w:rFonts w:eastAsia="Guttman Hodes"/>
        </w:rPr>
        <w:instrText>REF</w:instrText>
      </w:r>
      <w:r w:rsidRPr="00DA6F8E">
        <w:rPr>
          <w:rStyle w:val="af7"/>
          <w:rFonts w:eastAsia="Guttman Hodes"/>
          <w:rtl/>
        </w:rPr>
        <w:instrText xml:space="preserve"> _</w:instrText>
      </w:r>
      <w:r w:rsidRPr="00DA6F8E">
        <w:rPr>
          <w:rStyle w:val="af7"/>
          <w:rFonts w:eastAsia="Guttman Hodes"/>
        </w:rPr>
        <w:instrText>Ref54898984 \r \h</w:instrText>
      </w:r>
      <w:r w:rsidRPr="00DA6F8E">
        <w:rPr>
          <w:rStyle w:val="af7"/>
          <w:rFonts w:eastAsia="Guttman Hodes"/>
          <w:rtl/>
        </w:rPr>
        <w:instrText xml:space="preserve"> </w:instrText>
      </w:r>
      <w:r w:rsidRPr="00DA6F8E">
        <w:rPr>
          <w:rStyle w:val="af7"/>
          <w:rFonts w:eastAsia="Guttman Hodes"/>
          <w:rtl/>
        </w:rPr>
      </w:r>
      <w:r w:rsidRPr="00DA6F8E">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DA6F8E">
        <w:rPr>
          <w:rStyle w:val="af7"/>
          <w:rFonts w:eastAsia="Guttman Hodes"/>
          <w:rtl/>
        </w:rPr>
        <w:fldChar w:fldCharType="end"/>
      </w:r>
      <w:r w:rsidRPr="00FA53B1">
        <w:rPr>
          <w:rtl/>
        </w:rPr>
        <w:t xml:space="preserve"> דביאר דהילפותא </w:t>
      </w:r>
      <w:r>
        <w:rPr>
          <w:rFonts w:hint="cs"/>
          <w:rtl/>
        </w:rPr>
        <w:t>משור המועד היא דאנו לומדים שבג' פעמים כל דבר יוצא מחזקתו הראשונה, ועומד בחזקה של עכשיו, ובג"ש בטלה חזקת המרא קמא, ועומדת בחזקת המחזיק, וכתב</w:t>
      </w:r>
      <w:r w:rsidRPr="00FA53B1">
        <w:rPr>
          <w:rFonts w:hint="cs"/>
          <w:rtl/>
        </w:rPr>
        <w:t xml:space="preserve"> </w:t>
      </w:r>
      <w:r w:rsidRPr="00FA53B1">
        <w:rPr>
          <w:rStyle w:val="af9"/>
          <w:rFonts w:hint="cs"/>
          <w:rtl/>
        </w:rPr>
        <w:t>רבינו יונה</w:t>
      </w:r>
      <w:r w:rsidRPr="00FA53B1">
        <w:rPr>
          <w:rFonts w:hint="cs"/>
          <w:rtl/>
        </w:rPr>
        <w:t xml:space="preserve"> </w:t>
      </w:r>
      <w:r w:rsidRPr="00FA53B1">
        <w:rPr>
          <w:rStyle w:val="af7"/>
          <w:rFonts w:eastAsia="Guttman Hodes" w:hint="cs"/>
          <w:rtl/>
        </w:rPr>
        <w:t>(ד</w:t>
      </w:r>
      <w:r w:rsidRPr="00FA53B1">
        <w:rPr>
          <w:rStyle w:val="af7"/>
          <w:rFonts w:eastAsia="Guttman Hodes"/>
          <w:rtl/>
        </w:rPr>
        <w:t>"</w:t>
      </w:r>
      <w:r w:rsidRPr="00FA53B1">
        <w:rPr>
          <w:rStyle w:val="af7"/>
          <w:rFonts w:eastAsia="Guttman Hodes" w:hint="cs"/>
          <w:rtl/>
        </w:rPr>
        <w:t>ה אלא)</w:t>
      </w:r>
      <w:r w:rsidRPr="00FA53B1">
        <w:rPr>
          <w:rFonts w:hint="cs"/>
          <w:rtl/>
        </w:rPr>
        <w:t xml:space="preserve"> </w:t>
      </w:r>
      <w:r>
        <w:rPr>
          <w:rFonts w:hint="cs"/>
          <w:rtl/>
        </w:rPr>
        <w:t xml:space="preserve">דהביאור </w:t>
      </w:r>
      <w:r w:rsidRPr="00FA53B1">
        <w:rPr>
          <w:rFonts w:hint="cs"/>
          <w:rtl/>
        </w:rPr>
        <w:t>בקושית הגמ' דתועיל חזקה בלא טענה, דכיון דילפינן משור המועד דבחזקה יצאה הקרקע מרשות המוכר לרשות הלוקח</w:t>
      </w:r>
      <w:r>
        <w:rPr>
          <w:rFonts w:hint="cs"/>
          <w:rtl/>
        </w:rPr>
        <w:t xml:space="preserve">, א"כ אמאי תנן לקמן </w:t>
      </w:r>
      <w:r w:rsidRPr="00640DD5">
        <w:rPr>
          <w:rStyle w:val="af7"/>
          <w:rFonts w:eastAsia="Guttman Hodes" w:hint="cs"/>
          <w:rtl/>
        </w:rPr>
        <w:t>(מא.)</w:t>
      </w:r>
      <w:r>
        <w:rPr>
          <w:rFonts w:hint="cs"/>
          <w:rtl/>
        </w:rPr>
        <w:t xml:space="preserve"> דחזקה שאין עמה טענה אינה חזקה, וכ"כ </w:t>
      </w:r>
      <w:r w:rsidRPr="00972BD9">
        <w:rPr>
          <w:rStyle w:val="af9"/>
          <w:rFonts w:hint="cs"/>
          <w:rtl/>
        </w:rPr>
        <w:t>רש"י</w:t>
      </w:r>
      <w:r w:rsidRPr="00972BD9">
        <w:rPr>
          <w:rStyle w:val="af7"/>
          <w:rFonts w:eastAsia="Guttman Hodes" w:hint="cs"/>
          <w:rtl/>
        </w:rPr>
        <w:t xml:space="preserve"> (עי' אות </w:t>
      </w:r>
      <w:r w:rsidRPr="00972BD9">
        <w:rPr>
          <w:rStyle w:val="af7"/>
          <w:rFonts w:eastAsia="Guttman Hodes"/>
          <w:rtl/>
        </w:rPr>
        <w:fldChar w:fldCharType="begin"/>
      </w:r>
      <w:r w:rsidRPr="00972BD9">
        <w:rPr>
          <w:rStyle w:val="af7"/>
          <w:rFonts w:eastAsia="Guttman Hodes"/>
          <w:rtl/>
        </w:rPr>
        <w:instrText xml:space="preserve"> </w:instrText>
      </w:r>
      <w:r w:rsidRPr="00972BD9">
        <w:rPr>
          <w:rStyle w:val="af7"/>
          <w:rFonts w:eastAsia="Guttman Hodes" w:hint="cs"/>
        </w:rPr>
        <w:instrText>REF</w:instrText>
      </w:r>
      <w:r w:rsidRPr="00972BD9">
        <w:rPr>
          <w:rStyle w:val="af7"/>
          <w:rFonts w:eastAsia="Guttman Hodes" w:hint="cs"/>
          <w:rtl/>
        </w:rPr>
        <w:instrText xml:space="preserve"> _</w:instrText>
      </w:r>
      <w:r w:rsidRPr="00972BD9">
        <w:rPr>
          <w:rStyle w:val="af7"/>
          <w:rFonts w:eastAsia="Guttman Hodes" w:hint="cs"/>
        </w:rPr>
        <w:instrText>Ref54898134 \r \h</w:instrText>
      </w:r>
      <w:r w:rsidRPr="00972BD9">
        <w:rPr>
          <w:rStyle w:val="af7"/>
          <w:rFonts w:eastAsia="Guttman Hodes"/>
          <w:rtl/>
        </w:rPr>
        <w:instrText xml:space="preserve"> </w:instrText>
      </w:r>
      <w:r w:rsidRPr="00972BD9">
        <w:rPr>
          <w:rStyle w:val="af7"/>
          <w:rFonts w:eastAsia="Guttman Hodes"/>
          <w:rtl/>
        </w:rPr>
      </w:r>
      <w:r w:rsidRPr="00972BD9">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972BD9">
        <w:rPr>
          <w:rStyle w:val="af7"/>
          <w:rFonts w:eastAsia="Guttman Hodes"/>
          <w:rtl/>
        </w:rPr>
        <w:fldChar w:fldCharType="end"/>
      </w:r>
      <w:r>
        <w:rPr>
          <w:rStyle w:val="af9"/>
          <w:rFonts w:hint="cs"/>
          <w:rtl/>
        </w:rPr>
        <w:t xml:space="preserve"> ו</w:t>
      </w:r>
      <w:r w:rsidRPr="00640DD5">
        <w:rPr>
          <w:rStyle w:val="af9"/>
          <w:rFonts w:hint="cs"/>
          <w:rtl/>
        </w:rPr>
        <w:t>הרמב"ן</w:t>
      </w:r>
      <w:r>
        <w:rPr>
          <w:rFonts w:hint="cs"/>
          <w:rtl/>
        </w:rPr>
        <w:t xml:space="preserve"> </w:t>
      </w:r>
      <w:r w:rsidRPr="00640DD5">
        <w:rPr>
          <w:rStyle w:val="af7"/>
          <w:rFonts w:eastAsia="Guttman Hodes" w:hint="cs"/>
          <w:rtl/>
        </w:rPr>
        <w:t xml:space="preserve">(עי' אות </w:t>
      </w:r>
      <w:r w:rsidRPr="00640DD5">
        <w:rPr>
          <w:rStyle w:val="af7"/>
          <w:rFonts w:eastAsia="Guttman Hodes"/>
          <w:rtl/>
        </w:rPr>
        <w:fldChar w:fldCharType="begin"/>
      </w:r>
      <w:r w:rsidRPr="00640DD5">
        <w:rPr>
          <w:rStyle w:val="af7"/>
          <w:rFonts w:eastAsia="Guttman Hodes"/>
          <w:rtl/>
        </w:rPr>
        <w:instrText xml:space="preserve"> </w:instrText>
      </w:r>
      <w:r w:rsidRPr="00640DD5">
        <w:rPr>
          <w:rStyle w:val="af7"/>
          <w:rFonts w:eastAsia="Guttman Hodes" w:hint="cs"/>
        </w:rPr>
        <w:instrText>REF</w:instrText>
      </w:r>
      <w:r w:rsidRPr="00640DD5">
        <w:rPr>
          <w:rStyle w:val="af7"/>
          <w:rFonts w:eastAsia="Guttman Hodes" w:hint="cs"/>
          <w:rtl/>
        </w:rPr>
        <w:instrText xml:space="preserve"> _</w:instrText>
      </w:r>
      <w:r w:rsidRPr="00640DD5">
        <w:rPr>
          <w:rStyle w:val="af7"/>
          <w:rFonts w:eastAsia="Guttman Hodes" w:hint="cs"/>
        </w:rPr>
        <w:instrText>Ref54602543 \r \h</w:instrText>
      </w:r>
      <w:r w:rsidRPr="00640DD5">
        <w:rPr>
          <w:rStyle w:val="af7"/>
          <w:rFonts w:eastAsia="Guttman Hodes"/>
          <w:rtl/>
        </w:rPr>
        <w:instrText xml:space="preserve"> </w:instrText>
      </w:r>
      <w:r w:rsidRPr="00640DD5">
        <w:rPr>
          <w:rStyle w:val="af7"/>
          <w:rFonts w:eastAsia="Guttman Hodes"/>
          <w:rtl/>
        </w:rPr>
      </w:r>
      <w:r w:rsidRPr="00640DD5">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640DD5">
        <w:rPr>
          <w:rStyle w:val="af7"/>
          <w:rFonts w:eastAsia="Guttman Hodes"/>
          <w:rtl/>
        </w:rPr>
        <w:fldChar w:fldCharType="end"/>
      </w:r>
      <w:r w:rsidRPr="0089558B">
        <w:rPr>
          <w:rStyle w:val="af9"/>
          <w:rFonts w:hint="cs"/>
          <w:rtl/>
        </w:rPr>
        <w:t xml:space="preserve"> </w:t>
      </w:r>
      <w:r>
        <w:rPr>
          <w:rStyle w:val="af9"/>
          <w:rFonts w:hint="cs"/>
          <w:rtl/>
        </w:rPr>
        <w:t>ו</w:t>
      </w:r>
      <w:r w:rsidRPr="005B6D6C">
        <w:rPr>
          <w:rStyle w:val="af9"/>
          <w:rFonts w:hint="cs"/>
          <w:rtl/>
        </w:rPr>
        <w:t>הרשב"א</w:t>
      </w:r>
      <w:r w:rsidRPr="00F50FDA">
        <w:rPr>
          <w:rStyle w:val="af7"/>
          <w:rFonts w:eastAsia="Guttman Hodes" w:hint="cs"/>
          <w:rtl/>
        </w:rPr>
        <w:t xml:space="preserve"> </w:t>
      </w:r>
      <w:r>
        <w:rPr>
          <w:rStyle w:val="af7"/>
          <w:rFonts w:eastAsia="Guttman Hodes" w:hint="eastAsia"/>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Ref54901619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Pr>
          <w:rStyle w:val="af7"/>
          <w:rFonts w:eastAsia="Guttman Hodes"/>
          <w:rtl/>
        </w:rPr>
        <w:fldChar w:fldCharType="end"/>
      </w:r>
      <w:r>
        <w:rPr>
          <w:rFonts w:hint="cs"/>
          <w:rtl/>
        </w:rPr>
        <w:t>.</w:t>
      </w:r>
      <w:bookmarkEnd w:id="2088"/>
    </w:p>
    <w:p w:rsidR="00900B10" w:rsidRDefault="00900B10" w:rsidP="00900B10">
      <w:pPr>
        <w:pStyle w:val="a3"/>
        <w:rPr>
          <w:rtl/>
        </w:rPr>
      </w:pPr>
      <w:bookmarkStart w:id="2089" w:name="_Toc54903456"/>
      <w:bookmarkStart w:id="2090" w:name="_Toc54948439"/>
      <w:bookmarkStart w:id="2091" w:name="_Toc54952042"/>
      <w:bookmarkStart w:id="2092" w:name="_Toc55072935"/>
      <w:bookmarkStart w:id="2093" w:name="_Toc55073136"/>
      <w:bookmarkStart w:id="2094" w:name="_Toc55073547"/>
      <w:bookmarkStart w:id="2095" w:name="_Toc55074095"/>
      <w:r>
        <w:rPr>
          <w:rFonts w:hint="cs"/>
          <w:rtl/>
        </w:rPr>
        <w:t>קושית רבינו יונה דא"א לומר דילפינן משור המועד דבשתק חשיב כמוחל וכאומר לך חזק וקני</w:t>
      </w:r>
      <w:bookmarkEnd w:id="2089"/>
      <w:bookmarkEnd w:id="2090"/>
      <w:bookmarkEnd w:id="2091"/>
      <w:bookmarkEnd w:id="2092"/>
      <w:bookmarkEnd w:id="2093"/>
      <w:bookmarkEnd w:id="2094"/>
      <w:bookmarkEnd w:id="2095"/>
    </w:p>
    <w:p w:rsidR="00900B10" w:rsidRPr="00CA6D6E" w:rsidRDefault="00900B10" w:rsidP="007E4E81">
      <w:pPr>
        <w:pStyle w:val="a0"/>
        <w:rPr>
          <w:rStyle w:val="afb"/>
          <w:rtl/>
        </w:rPr>
      </w:pPr>
      <w:bookmarkStart w:id="2096" w:name="_Ref54602869"/>
      <w:r>
        <w:rPr>
          <w:rFonts w:hint="cs"/>
          <w:rtl/>
        </w:rPr>
        <w:t xml:space="preserve">אך הקשה </w:t>
      </w:r>
      <w:r w:rsidRPr="00640DD5">
        <w:rPr>
          <w:rStyle w:val="af9"/>
          <w:rFonts w:hint="cs"/>
          <w:rtl/>
        </w:rPr>
        <w:t>רבינו יונה</w:t>
      </w:r>
      <w:r>
        <w:rPr>
          <w:rFonts w:hint="cs"/>
          <w:rtl/>
        </w:rPr>
        <w:t xml:space="preserve"> דהא בסיפא דמתני' מפורש דחזקה שאין עמה טענה, היינו דטוען שלא אמר לי אדם דבר מעולם, וכיון שהוא מודה שאינה שלו וכ"מ שהוא ירד לתוכה, הוא כיון שלא מצא מי שימנע ממנו לרדת לתוכה, וא"כ כ"מ דאפש"ל דמהני החזקה בכה"ג הוא דאמרינן דבג"ש מוחל המרא קמא על הקרקע, וחשיב כמי שאמר לו לך חזק וקני במתנה, וכתב </w:t>
      </w:r>
      <w:r w:rsidRPr="00640DD5">
        <w:rPr>
          <w:rStyle w:val="af9"/>
          <w:rFonts w:hint="cs"/>
          <w:rtl/>
        </w:rPr>
        <w:t>רבינו יונה</w:t>
      </w:r>
      <w:r>
        <w:rPr>
          <w:rFonts w:hint="cs"/>
          <w:rtl/>
        </w:rPr>
        <w:t xml:space="preserve"> דהא ודאי דלא ילפינן משור המועד סברא זו, וכתב רבינו יונה דכ"מ דילפינן משור המועד, דבג"ש הקרקע עומדת ברשות הלוקח, ואנו מחזיקים אותו כמי שקנה מהמרא קמא, ועי' במה שביאר </w:t>
      </w:r>
      <w:r w:rsidRPr="009B3A6B">
        <w:rPr>
          <w:rStyle w:val="af9"/>
          <w:rFonts w:hint="cs"/>
          <w:rtl/>
        </w:rPr>
        <w:t xml:space="preserve">בחי' רבי נחום </w:t>
      </w:r>
      <w:r w:rsidRPr="00A873D8">
        <w:rPr>
          <w:rStyle w:val="af7"/>
          <w:rFonts w:eastAsia="Guttman Hodes" w:hint="cs"/>
          <w:rtl/>
        </w:rPr>
        <w:t xml:space="preserve">(עי' אות </w:t>
      </w:r>
      <w:r w:rsidRPr="00A873D8">
        <w:rPr>
          <w:rStyle w:val="af7"/>
          <w:rFonts w:eastAsia="Guttman Hodes"/>
          <w:rtl/>
        </w:rPr>
        <w:fldChar w:fldCharType="begin"/>
      </w:r>
      <w:r w:rsidRPr="00A873D8">
        <w:rPr>
          <w:rStyle w:val="af7"/>
          <w:rFonts w:eastAsia="Guttman Hodes"/>
          <w:rtl/>
        </w:rPr>
        <w:instrText xml:space="preserve"> </w:instrText>
      </w:r>
      <w:r w:rsidRPr="00A873D8">
        <w:rPr>
          <w:rStyle w:val="af7"/>
          <w:rFonts w:eastAsia="Guttman Hodes" w:hint="cs"/>
        </w:rPr>
        <w:instrText>REF</w:instrText>
      </w:r>
      <w:r w:rsidRPr="00A873D8">
        <w:rPr>
          <w:rStyle w:val="af7"/>
          <w:rFonts w:eastAsia="Guttman Hodes" w:hint="cs"/>
          <w:rtl/>
        </w:rPr>
        <w:instrText xml:space="preserve"> _</w:instrText>
      </w:r>
      <w:r w:rsidRPr="00A873D8">
        <w:rPr>
          <w:rStyle w:val="af7"/>
          <w:rFonts w:eastAsia="Guttman Hodes" w:hint="cs"/>
        </w:rPr>
        <w:instrText>Ref55071552 \r \h</w:instrText>
      </w:r>
      <w:r w:rsidRPr="00A873D8">
        <w:rPr>
          <w:rStyle w:val="af7"/>
          <w:rFonts w:eastAsia="Guttman Hodes"/>
          <w:rtl/>
        </w:rPr>
        <w:instrText xml:space="preserve"> </w:instrText>
      </w:r>
      <w:r w:rsidRPr="00A873D8">
        <w:rPr>
          <w:rStyle w:val="af7"/>
          <w:rFonts w:eastAsia="Guttman Hodes"/>
          <w:rtl/>
        </w:rPr>
      </w:r>
      <w:r w:rsidRPr="00A873D8">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sidRPr="00A873D8">
        <w:rPr>
          <w:rStyle w:val="af7"/>
          <w:rFonts w:eastAsia="Guttman Hodes"/>
          <w:rtl/>
        </w:rPr>
        <w:fldChar w:fldCharType="end"/>
      </w:r>
      <w:r>
        <w:rPr>
          <w:rFonts w:hint="cs"/>
          <w:rtl/>
        </w:rPr>
        <w:t xml:space="preserve"> בדברי </w:t>
      </w:r>
      <w:r w:rsidRPr="009B3A6B">
        <w:rPr>
          <w:rStyle w:val="af9"/>
          <w:rFonts w:hint="cs"/>
          <w:rtl/>
        </w:rPr>
        <w:t>רבינו יונה</w:t>
      </w:r>
      <w:r>
        <w:rPr>
          <w:rFonts w:hint="cs"/>
          <w:rtl/>
        </w:rPr>
        <w:t xml:space="preserve">. </w:t>
      </w:r>
      <w:r w:rsidRPr="00CA6D6E">
        <w:rPr>
          <w:rStyle w:val="afb"/>
          <w:rFonts w:hint="cs"/>
          <w:rtl/>
        </w:rPr>
        <w:t>[וע</w:t>
      </w:r>
      <w:r>
        <w:rPr>
          <w:rStyle w:val="afb"/>
          <w:rFonts w:hint="cs"/>
          <w:rtl/>
        </w:rPr>
        <w:t>"ע</w:t>
      </w:r>
      <w:r w:rsidRPr="00CA6D6E">
        <w:rPr>
          <w:rStyle w:val="afb"/>
          <w:rFonts w:hint="cs"/>
          <w:rtl/>
        </w:rPr>
        <w:t xml:space="preserve"> במה שהקשה </w:t>
      </w:r>
      <w:r w:rsidRPr="00CA6D6E">
        <w:rPr>
          <w:rStyle w:val="affa"/>
          <w:rFonts w:hint="cs"/>
          <w:rtl/>
        </w:rPr>
        <w:t>הרשב"א</w:t>
      </w:r>
      <w:r w:rsidRPr="00CA6D6E">
        <w:rPr>
          <w:rStyle w:val="afb"/>
          <w:rFonts w:hint="cs"/>
          <w:rtl/>
        </w:rPr>
        <w:t xml:space="preserve"> </w:t>
      </w:r>
      <w:r w:rsidRPr="00CA6D6E">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Ref55069588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נו)</w:t>
      </w:r>
      <w:r>
        <w:rPr>
          <w:rStyle w:val="aff6"/>
          <w:rtl/>
        </w:rPr>
        <w:fldChar w:fldCharType="end"/>
      </w:r>
      <w:r w:rsidRPr="00CA6D6E">
        <w:rPr>
          <w:rStyle w:val="afb"/>
          <w:rFonts w:hint="cs"/>
          <w:rtl/>
        </w:rPr>
        <w:t xml:space="preserve"> מדברי </w:t>
      </w:r>
      <w:r w:rsidRPr="00CA6D6E">
        <w:rPr>
          <w:rStyle w:val="affa"/>
          <w:rFonts w:hint="cs"/>
          <w:rtl/>
        </w:rPr>
        <w:t>הרשב"ם</w:t>
      </w:r>
      <w:r w:rsidR="00A77F33">
        <w:rPr>
          <w:rStyle w:val="afb"/>
          <w:rFonts w:hint="cs"/>
          <w:rtl/>
        </w:rPr>
        <w:t xml:space="preserve"> </w:t>
      </w:r>
      <w:r w:rsidRPr="00CA6D6E">
        <w:rPr>
          <w:rStyle w:val="afb"/>
          <w:rFonts w:hint="cs"/>
          <w:rtl/>
        </w:rPr>
        <w:t>דבמחילה חשיב כמי שאמר לו לך חזק וקני].</w:t>
      </w:r>
      <w:bookmarkEnd w:id="2096"/>
    </w:p>
    <w:p w:rsidR="00900B10" w:rsidRDefault="00900B10" w:rsidP="00900B10">
      <w:pPr>
        <w:pStyle w:val="a3"/>
        <w:rPr>
          <w:rtl/>
        </w:rPr>
      </w:pPr>
      <w:bookmarkStart w:id="2097" w:name="_Toc54903457"/>
      <w:bookmarkStart w:id="2098" w:name="_Toc54948440"/>
      <w:bookmarkStart w:id="2099" w:name="_Toc54952043"/>
      <w:bookmarkStart w:id="2100" w:name="_Toc55072936"/>
      <w:bookmarkStart w:id="2101" w:name="_Toc55073137"/>
      <w:bookmarkStart w:id="2102" w:name="_Toc55073548"/>
      <w:bookmarkStart w:id="2103" w:name="_Toc55074096"/>
      <w:r>
        <w:rPr>
          <w:rFonts w:hint="cs"/>
          <w:rtl/>
        </w:rPr>
        <w:t>קושית רבינו יונה דהגמ' לקמן מקשה דפשיטא דל"מ בלא טענה אעפ"י דמתני' כהולכי אושא</w:t>
      </w:r>
      <w:bookmarkEnd w:id="2097"/>
      <w:bookmarkEnd w:id="2098"/>
      <w:bookmarkEnd w:id="2099"/>
      <w:bookmarkEnd w:id="2100"/>
      <w:bookmarkEnd w:id="2101"/>
      <w:bookmarkEnd w:id="2102"/>
      <w:bookmarkEnd w:id="2103"/>
    </w:p>
    <w:p w:rsidR="00900B10" w:rsidRDefault="00900B10" w:rsidP="007E4E81">
      <w:pPr>
        <w:pStyle w:val="a0"/>
        <w:rPr>
          <w:rStyle w:val="afb"/>
          <w:rtl/>
        </w:rPr>
      </w:pPr>
      <w:r>
        <w:rPr>
          <w:rFonts w:hint="cs"/>
          <w:rtl/>
        </w:rPr>
        <w:t xml:space="preserve">ועוד הקשה </w:t>
      </w:r>
      <w:r w:rsidRPr="00640DD5">
        <w:rPr>
          <w:rStyle w:val="af9"/>
          <w:rFonts w:hint="cs"/>
          <w:rtl/>
        </w:rPr>
        <w:t>רבינו יונה</w:t>
      </w:r>
      <w:r>
        <w:rPr>
          <w:rFonts w:hint="cs"/>
          <w:rtl/>
        </w:rPr>
        <w:t xml:space="preserve"> דהא הגמ' לקמן </w:t>
      </w:r>
      <w:r w:rsidRPr="00EF79EF">
        <w:rPr>
          <w:rStyle w:val="af7"/>
          <w:rFonts w:eastAsia="Guttman Hodes" w:hint="cs"/>
          <w:rtl/>
        </w:rPr>
        <w:t xml:space="preserve">(מא.) </w:t>
      </w:r>
      <w:r>
        <w:rPr>
          <w:rFonts w:hint="cs"/>
          <w:rtl/>
        </w:rPr>
        <w:t xml:space="preserve">מקשה על המשנה דפשיטא דלא מהני חזקה שאין עמה טענה, והא כיון דהגמ' בסוגיין סברה דלהולכי אושא אפש"ל דהוי חזקה, א"כ מה מקשה הגמ' לקמן דהוא פשיטא הרי תנא דמתני' ס"ל כהולכי אושא דילפינן משור המועד. </w:t>
      </w:r>
      <w:r w:rsidRPr="009B459C">
        <w:rPr>
          <w:rStyle w:val="afb"/>
          <w:rFonts w:hint="cs"/>
          <w:rtl/>
        </w:rPr>
        <w:t xml:space="preserve">[כדביאר </w:t>
      </w:r>
      <w:r w:rsidRPr="0086200F">
        <w:rPr>
          <w:rStyle w:val="affa"/>
          <w:rFonts w:hint="cs"/>
          <w:rtl/>
        </w:rPr>
        <w:t>רבינו יונה</w:t>
      </w:r>
      <w:r w:rsidRPr="009B459C">
        <w:rPr>
          <w:rStyle w:val="afb"/>
          <w:rFonts w:hint="cs"/>
          <w:rtl/>
        </w:rPr>
        <w:t xml:space="preserve"> </w:t>
      </w:r>
      <w:r w:rsidRPr="0086200F">
        <w:rPr>
          <w:rStyle w:val="aff6"/>
          <w:rFonts w:hint="cs"/>
          <w:rtl/>
        </w:rPr>
        <w:t>(כח. סוד"ה ולענין, הובא בסימן ב' אות פ"</w:t>
      </w:r>
      <w:r w:rsidR="006A6E41">
        <w:rPr>
          <w:rStyle w:val="aff6"/>
          <w:rFonts w:hint="cs"/>
          <w:rtl/>
        </w:rPr>
        <w:t>ד</w:t>
      </w:r>
      <w:r w:rsidRPr="0086200F">
        <w:rPr>
          <w:rStyle w:val="aff6"/>
          <w:rFonts w:hint="cs"/>
          <w:rtl/>
        </w:rPr>
        <w:t>)</w:t>
      </w:r>
      <w:r w:rsidRPr="009B459C">
        <w:rPr>
          <w:rStyle w:val="afb"/>
          <w:rFonts w:hint="cs"/>
          <w:rtl/>
        </w:rPr>
        <w:t>].</w:t>
      </w:r>
    </w:p>
    <w:p w:rsidR="00900B10" w:rsidRDefault="00900B10" w:rsidP="00900B10">
      <w:pPr>
        <w:pStyle w:val="1"/>
        <w:rPr>
          <w:rtl/>
        </w:rPr>
      </w:pPr>
      <w:bookmarkStart w:id="2104" w:name="_Toc54887733"/>
      <w:bookmarkStart w:id="2105" w:name="_Toc54891186"/>
      <w:bookmarkStart w:id="2106" w:name="_Toc54903458"/>
      <w:bookmarkStart w:id="2107" w:name="_Toc54948441"/>
      <w:bookmarkStart w:id="2108" w:name="_Toc54952044"/>
      <w:bookmarkStart w:id="2109" w:name="_Toc55072937"/>
      <w:bookmarkStart w:id="2110" w:name="_Toc55073138"/>
      <w:bookmarkStart w:id="2111" w:name="_Toc55073549"/>
      <w:bookmarkStart w:id="2112" w:name="_Toc55074097"/>
      <w:r>
        <w:rPr>
          <w:rFonts w:hint="cs"/>
          <w:rtl/>
        </w:rPr>
        <w:t xml:space="preserve">הביאור הא' </w:t>
      </w:r>
      <w:bookmarkEnd w:id="2104"/>
      <w:bookmarkEnd w:id="2105"/>
      <w:r>
        <w:rPr>
          <w:rFonts w:hint="cs"/>
          <w:rtl/>
        </w:rPr>
        <w:t>ברב"י דלהו"א א"צ להשיב למר"ק דיצאה מחזקתו</w:t>
      </w:r>
      <w:bookmarkEnd w:id="2106"/>
      <w:bookmarkEnd w:id="2107"/>
      <w:bookmarkEnd w:id="2108"/>
      <w:bookmarkEnd w:id="2109"/>
      <w:bookmarkEnd w:id="2110"/>
      <w:bookmarkEnd w:id="2111"/>
      <w:bookmarkEnd w:id="2112"/>
      <w:r>
        <w:rPr>
          <w:rFonts w:hint="cs"/>
          <w:rtl/>
        </w:rPr>
        <w:t xml:space="preserve"> </w:t>
      </w:r>
    </w:p>
    <w:p w:rsidR="00900B10" w:rsidRPr="00E12EBD" w:rsidRDefault="00900B10" w:rsidP="00900B10">
      <w:pPr>
        <w:pStyle w:val="a3"/>
        <w:rPr>
          <w:rtl/>
        </w:rPr>
      </w:pPr>
      <w:bookmarkStart w:id="2113" w:name="_Toc54903459"/>
      <w:bookmarkStart w:id="2114" w:name="_Toc54948442"/>
      <w:bookmarkStart w:id="2115" w:name="_Toc54952045"/>
      <w:bookmarkStart w:id="2116" w:name="_Toc55072938"/>
      <w:bookmarkStart w:id="2117" w:name="_Toc55073139"/>
      <w:bookmarkStart w:id="2118" w:name="_Toc55073550"/>
      <w:bookmarkStart w:id="2119" w:name="_Toc55074098"/>
      <w:r>
        <w:rPr>
          <w:rFonts w:hint="cs"/>
          <w:rtl/>
        </w:rPr>
        <w:t>ביאור רבינו יונה דבמתני' לקמן בלא טענה היינו ששתק או שאינו רוצה להשיבו דאינה חזקה</w:t>
      </w:r>
      <w:bookmarkEnd w:id="2113"/>
      <w:bookmarkEnd w:id="2114"/>
      <w:bookmarkEnd w:id="2115"/>
      <w:bookmarkEnd w:id="2116"/>
      <w:bookmarkEnd w:id="2117"/>
      <w:bookmarkEnd w:id="2118"/>
      <w:bookmarkEnd w:id="2119"/>
    </w:p>
    <w:p w:rsidR="00900B10" w:rsidRDefault="00900B10" w:rsidP="007E4E81">
      <w:pPr>
        <w:pStyle w:val="a0"/>
        <w:rPr>
          <w:sz w:val="10"/>
          <w:szCs w:val="14"/>
          <w:rtl/>
        </w:rPr>
      </w:pPr>
      <w:bookmarkStart w:id="2120" w:name="_Ref54714196"/>
      <w:bookmarkStart w:id="2121" w:name="_Ref54800995"/>
      <w:r>
        <w:rPr>
          <w:rFonts w:hint="cs"/>
          <w:rtl/>
        </w:rPr>
        <w:t xml:space="preserve">ותירץ </w:t>
      </w:r>
      <w:r w:rsidRPr="0086200F">
        <w:rPr>
          <w:rStyle w:val="af9"/>
          <w:rFonts w:hint="cs"/>
          <w:rtl/>
        </w:rPr>
        <w:t>רבינו יונה</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86200F">
        <w:rPr>
          <w:rStyle w:val="af7"/>
          <w:rFonts w:eastAsia="Guttman Hodes" w:hint="cs"/>
          <w:rtl/>
        </w:rPr>
        <w:t>לא קשיא)</w:t>
      </w:r>
      <w:r>
        <w:rPr>
          <w:rFonts w:hint="cs"/>
          <w:rtl/>
        </w:rPr>
        <w:t xml:space="preserve"> דכוונת המשנה לקמן לומר דכל חזקה שאין עמה טענה אינה חזקה, אין הכוונה שלא אמר לו אדם דבר מעולם, אלא ביארה המשנה דאיירי שהמחזיק שתק, או שאמר לו שאינו רוצה להשיב לו דלאו בע"ד דידי את, דבכה"ג לא הוי חזקה, ומורידים את התובע לשדה, כיון שיש לו עדים שהייתה של אבותיו, וחזקת ג"ש מהני רק כשהוא טוען שקנה ממנו או מאבותיו, </w:t>
      </w:r>
      <w:r>
        <w:rPr>
          <w:rFonts w:hint="cs"/>
          <w:rtl/>
        </w:rPr>
        <w:lastRenderedPageBreak/>
        <w:t xml:space="preserve">וכתב </w:t>
      </w:r>
      <w:r w:rsidRPr="005A2417">
        <w:rPr>
          <w:rStyle w:val="af9"/>
          <w:rFonts w:hint="cs"/>
          <w:rtl/>
        </w:rPr>
        <w:t>רבינו יונה</w:t>
      </w:r>
      <w:r>
        <w:rPr>
          <w:rFonts w:hint="cs"/>
          <w:rtl/>
        </w:rPr>
        <w:t xml:space="preserve"> דלכן תנן בסיפא דמתני' לקמן אתה מכרתו לי או נתת לי במתנה, דהוי חזקה, ומבואר דרק בכה"ג מהני חזקה</w:t>
      </w:r>
      <w:r>
        <w:rPr>
          <w:rStyle w:val="af1"/>
          <w:rtl/>
        </w:rPr>
        <w:footnoteReference w:id="6"/>
      </w:r>
      <w:r>
        <w:rPr>
          <w:rFonts w:hint="cs"/>
          <w:rtl/>
        </w:rPr>
        <w:t>,</w:t>
      </w:r>
      <w:r w:rsidRPr="00335445">
        <w:rPr>
          <w:rStyle w:val="afb"/>
          <w:rFonts w:hint="cs"/>
          <w:rtl/>
        </w:rPr>
        <w:t xml:space="preserve"> </w:t>
      </w:r>
      <w:bookmarkEnd w:id="2120"/>
      <w:r>
        <w:rPr>
          <w:rFonts w:hint="cs"/>
          <w:rtl/>
        </w:rPr>
        <w:t xml:space="preserve">ועי' במה שביארו </w:t>
      </w:r>
      <w:r>
        <w:rPr>
          <w:rStyle w:val="af9"/>
          <w:rFonts w:hint="cs"/>
          <w:rtl/>
        </w:rPr>
        <w:t>ב</w:t>
      </w:r>
      <w:r w:rsidRPr="005A2417">
        <w:rPr>
          <w:rStyle w:val="af9"/>
          <w:rFonts w:hint="cs"/>
          <w:rtl/>
        </w:rPr>
        <w:t>ברכ"ש</w:t>
      </w:r>
      <w:r>
        <w:rPr>
          <w:rFonts w:hint="cs"/>
          <w:rtl/>
        </w:rPr>
        <w:t xml:space="preserve"> </w:t>
      </w:r>
      <w:r w:rsidRPr="009F39C2">
        <w:rPr>
          <w:rStyle w:val="af7"/>
          <w:rFonts w:eastAsia="Guttman Hodes" w:hint="cs"/>
          <w:rtl/>
        </w:rPr>
        <w:t xml:space="preserve">(עי' אות </w:t>
      </w:r>
      <w:r w:rsidRPr="009F39C2">
        <w:rPr>
          <w:rStyle w:val="af7"/>
          <w:rFonts w:eastAsia="Guttman Hodes"/>
          <w:rtl/>
        </w:rPr>
        <w:fldChar w:fldCharType="begin"/>
      </w:r>
      <w:r w:rsidRPr="009F39C2">
        <w:rPr>
          <w:rStyle w:val="af7"/>
          <w:rFonts w:eastAsia="Guttman Hodes"/>
          <w:rtl/>
        </w:rPr>
        <w:instrText xml:space="preserve"> </w:instrText>
      </w:r>
      <w:r w:rsidRPr="009F39C2">
        <w:rPr>
          <w:rStyle w:val="af7"/>
          <w:rFonts w:eastAsia="Guttman Hodes" w:hint="cs"/>
        </w:rPr>
        <w:instrText>REF</w:instrText>
      </w:r>
      <w:r w:rsidRPr="009F39C2">
        <w:rPr>
          <w:rStyle w:val="af7"/>
          <w:rFonts w:eastAsia="Guttman Hodes" w:hint="cs"/>
          <w:rtl/>
        </w:rPr>
        <w:instrText xml:space="preserve"> _</w:instrText>
      </w:r>
      <w:r w:rsidRPr="009F39C2">
        <w:rPr>
          <w:rStyle w:val="af7"/>
          <w:rFonts w:eastAsia="Guttman Hodes" w:hint="cs"/>
        </w:rPr>
        <w:instrText>Ref54714303 \r \h</w:instrText>
      </w:r>
      <w:r w:rsidRPr="009F39C2">
        <w:rPr>
          <w:rStyle w:val="af7"/>
          <w:rFonts w:eastAsia="Guttman Hodes"/>
          <w:rtl/>
        </w:rPr>
        <w:instrText xml:space="preserve"> </w:instrText>
      </w:r>
      <w:r w:rsidRPr="009F39C2">
        <w:rPr>
          <w:rStyle w:val="af7"/>
          <w:rFonts w:eastAsia="Guttman Hodes"/>
          <w:rtl/>
        </w:rPr>
      </w:r>
      <w:r w:rsidRPr="009F39C2">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sidRPr="009F39C2">
        <w:rPr>
          <w:rStyle w:val="af7"/>
          <w:rFonts w:eastAsia="Guttman Hodes"/>
          <w:rtl/>
        </w:rPr>
        <w:fldChar w:fldCharType="end"/>
      </w:r>
      <w:r>
        <w:rPr>
          <w:rFonts w:hint="cs"/>
          <w:rtl/>
        </w:rPr>
        <w:t xml:space="preserve"> </w:t>
      </w:r>
      <w:r w:rsidRPr="009E06E4">
        <w:rPr>
          <w:rStyle w:val="af9"/>
          <w:rFonts w:hint="cs"/>
          <w:rtl/>
        </w:rPr>
        <w:t>ובחי'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Ref55070395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5A2417">
        <w:rPr>
          <w:rStyle w:val="af9"/>
          <w:rFonts w:hint="cs"/>
          <w:rtl/>
        </w:rPr>
        <w:t>רבינו יונה</w:t>
      </w:r>
      <w:r>
        <w:rPr>
          <w:rFonts w:hint="cs"/>
          <w:rtl/>
        </w:rPr>
        <w:t>.</w:t>
      </w:r>
      <w:bookmarkEnd w:id="2121"/>
    </w:p>
    <w:p w:rsidR="00900B10" w:rsidRPr="00335445" w:rsidRDefault="00900B10" w:rsidP="00900B10">
      <w:pPr>
        <w:pStyle w:val="a3"/>
      </w:pPr>
      <w:bookmarkStart w:id="2122" w:name="_Toc54903460"/>
      <w:bookmarkStart w:id="2123" w:name="_Toc54948443"/>
      <w:bookmarkStart w:id="2124" w:name="_Toc54952046"/>
      <w:bookmarkStart w:id="2125" w:name="_Toc55072939"/>
      <w:bookmarkStart w:id="2126" w:name="_Toc55073140"/>
      <w:bookmarkStart w:id="2127" w:name="_Toc55073551"/>
      <w:bookmarkStart w:id="2128" w:name="_Toc55074099"/>
      <w:r>
        <w:rPr>
          <w:rFonts w:hint="cs"/>
          <w:rtl/>
        </w:rPr>
        <w:t>דברי רבינו יונה דבאינו משיב יכול לטעון אח"כ שקנה מהמר"ק וכל שלא טען מוציאים ממנו</w:t>
      </w:r>
      <w:bookmarkEnd w:id="2122"/>
      <w:bookmarkEnd w:id="2123"/>
      <w:bookmarkEnd w:id="2124"/>
      <w:bookmarkEnd w:id="2125"/>
      <w:bookmarkEnd w:id="2126"/>
      <w:bookmarkEnd w:id="2127"/>
      <w:bookmarkEnd w:id="2128"/>
    </w:p>
    <w:p w:rsidR="00900B10" w:rsidRDefault="00900B10" w:rsidP="007E4E81">
      <w:pPr>
        <w:pStyle w:val="a0"/>
        <w:rPr>
          <w:rStyle w:val="afb"/>
          <w:rtl/>
        </w:rPr>
      </w:pPr>
      <w:bookmarkStart w:id="2129" w:name="_Ref54714205"/>
      <w:r>
        <w:rPr>
          <w:rFonts w:hint="cs"/>
          <w:rtl/>
        </w:rPr>
        <w:t xml:space="preserve">וכתב </w:t>
      </w:r>
      <w:r w:rsidRPr="005A2417">
        <w:rPr>
          <w:rStyle w:val="af9"/>
          <w:rFonts w:hint="cs"/>
          <w:rtl/>
        </w:rPr>
        <w:t>רבינו יונה</w:t>
      </w:r>
      <w:r>
        <w:rPr>
          <w:rFonts w:hint="cs"/>
          <w:rtl/>
        </w:rPr>
        <w:t xml:space="preserve"> דאם לאחר שלא רצה להשיב או שאמר לו לאו בע"ד דידי את, טוען המחזיק דאתה מכרת לי ודאי דיכול לטעון כן, אלא דכ"ז שאינו טוען מורידין את המערער לקרקע, כיון דכל הכח של חזקת ג"ש הוא רק בטענה וכל שאינו טוען הקרקע בחזקת המרא קמא, ועי' במה שביאר </w:t>
      </w:r>
      <w:r w:rsidRPr="009F39C2">
        <w:rPr>
          <w:rStyle w:val="af9"/>
          <w:rFonts w:hint="cs"/>
          <w:rtl/>
        </w:rPr>
        <w:t>הברכ"ש</w:t>
      </w:r>
      <w:r>
        <w:rPr>
          <w:rFonts w:hint="cs"/>
          <w:rtl/>
        </w:rPr>
        <w:t xml:space="preserve"> </w:t>
      </w:r>
      <w:r w:rsidRPr="009F39C2">
        <w:rPr>
          <w:rStyle w:val="af7"/>
          <w:rFonts w:eastAsia="Guttman Hodes" w:hint="cs"/>
          <w:rtl/>
        </w:rPr>
        <w:t xml:space="preserve">(עי' אות </w:t>
      </w:r>
      <w:r w:rsidRPr="009F39C2">
        <w:rPr>
          <w:rStyle w:val="af7"/>
          <w:rFonts w:eastAsia="Guttman Hodes"/>
          <w:rtl/>
        </w:rPr>
        <w:fldChar w:fldCharType="begin"/>
      </w:r>
      <w:r w:rsidRPr="009F39C2">
        <w:rPr>
          <w:rStyle w:val="af7"/>
          <w:rFonts w:eastAsia="Guttman Hodes"/>
          <w:rtl/>
        </w:rPr>
        <w:instrText xml:space="preserve"> </w:instrText>
      </w:r>
      <w:r w:rsidRPr="009F39C2">
        <w:rPr>
          <w:rStyle w:val="af7"/>
          <w:rFonts w:eastAsia="Guttman Hodes" w:hint="cs"/>
        </w:rPr>
        <w:instrText>REF</w:instrText>
      </w:r>
      <w:r w:rsidRPr="009F39C2">
        <w:rPr>
          <w:rStyle w:val="af7"/>
          <w:rFonts w:eastAsia="Guttman Hodes" w:hint="cs"/>
          <w:rtl/>
        </w:rPr>
        <w:instrText xml:space="preserve"> _</w:instrText>
      </w:r>
      <w:r w:rsidRPr="009F39C2">
        <w:rPr>
          <w:rStyle w:val="af7"/>
          <w:rFonts w:eastAsia="Guttman Hodes" w:hint="cs"/>
        </w:rPr>
        <w:instrText>Ref54714273 \r \h</w:instrText>
      </w:r>
      <w:r w:rsidRPr="009F39C2">
        <w:rPr>
          <w:rStyle w:val="af7"/>
          <w:rFonts w:eastAsia="Guttman Hodes"/>
          <w:rtl/>
        </w:rPr>
        <w:instrText xml:space="preserve"> </w:instrText>
      </w:r>
      <w:r w:rsidRPr="009F39C2">
        <w:rPr>
          <w:rStyle w:val="af7"/>
          <w:rFonts w:eastAsia="Guttman Hodes"/>
          <w:rtl/>
        </w:rPr>
      </w:r>
      <w:r w:rsidRPr="009F39C2">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sidRPr="009F39C2">
        <w:rPr>
          <w:rStyle w:val="af7"/>
          <w:rFonts w:eastAsia="Guttman Hodes"/>
          <w:rtl/>
        </w:rPr>
        <w:fldChar w:fldCharType="end"/>
      </w:r>
      <w:r>
        <w:rPr>
          <w:rFonts w:hint="cs"/>
          <w:rtl/>
        </w:rPr>
        <w:t xml:space="preserve"> בדברי </w:t>
      </w:r>
      <w:r w:rsidRPr="009F39C2">
        <w:rPr>
          <w:rStyle w:val="af9"/>
          <w:rFonts w:hint="cs"/>
          <w:rtl/>
        </w:rPr>
        <w:t>רבינו יונה</w:t>
      </w:r>
      <w:r>
        <w:rPr>
          <w:rFonts w:hint="cs"/>
          <w:rtl/>
        </w:rPr>
        <w:t>.</w:t>
      </w:r>
      <w:bookmarkEnd w:id="2129"/>
      <w:r>
        <w:rPr>
          <w:rFonts w:hint="cs"/>
          <w:rtl/>
        </w:rPr>
        <w:t xml:space="preserve"> </w:t>
      </w:r>
    </w:p>
    <w:p w:rsidR="00900B10" w:rsidRDefault="00900B10" w:rsidP="00900B10">
      <w:pPr>
        <w:pStyle w:val="a3"/>
        <w:rPr>
          <w:rtl/>
        </w:rPr>
      </w:pPr>
      <w:bookmarkStart w:id="2130" w:name="_Toc54903461"/>
      <w:bookmarkStart w:id="2131" w:name="_Toc54948444"/>
      <w:bookmarkStart w:id="2132" w:name="_Toc54952047"/>
      <w:bookmarkStart w:id="2133" w:name="_Toc55072940"/>
      <w:bookmarkStart w:id="2134" w:name="_Toc55073141"/>
      <w:bookmarkStart w:id="2135" w:name="_Toc55073552"/>
      <w:bookmarkStart w:id="2136" w:name="_Toc55074100"/>
      <w:r>
        <w:rPr>
          <w:rFonts w:hint="cs"/>
          <w:rtl/>
        </w:rPr>
        <w:t>ביאור רבינו יונה דהו"א דבג"ש יצאה מהמוכר ואף שאינו משיב היא נשארת בחזקתו</w:t>
      </w:r>
      <w:bookmarkEnd w:id="2130"/>
      <w:bookmarkEnd w:id="2131"/>
      <w:bookmarkEnd w:id="2132"/>
      <w:bookmarkEnd w:id="2133"/>
      <w:bookmarkEnd w:id="2134"/>
      <w:bookmarkEnd w:id="2135"/>
      <w:bookmarkEnd w:id="2136"/>
    </w:p>
    <w:p w:rsidR="00900B10" w:rsidRPr="00DB6F09" w:rsidRDefault="00900B10" w:rsidP="007E4E81">
      <w:pPr>
        <w:pStyle w:val="a0"/>
        <w:rPr>
          <w:rtl/>
        </w:rPr>
      </w:pPr>
      <w:r>
        <w:rPr>
          <w:rFonts w:hint="cs"/>
          <w:rtl/>
        </w:rPr>
        <w:t xml:space="preserve">וכתב </w:t>
      </w:r>
      <w:r w:rsidRPr="00640DD5">
        <w:rPr>
          <w:rStyle w:val="af9"/>
          <w:rFonts w:hint="cs"/>
          <w:rtl/>
        </w:rPr>
        <w:t>רבינו יונה</w:t>
      </w:r>
      <w:r>
        <w:rPr>
          <w:rFonts w:hint="cs"/>
          <w:rtl/>
        </w:rPr>
        <w:t xml:space="preserve"> דזהו הביאור בקושית הגמ' בסוגיין דתועיל חזקה בלא טענה, דכיון שבחזקת ג"ש יצאה הקרקע מרשות המוכר, א"כ כשאין המחזיק רוצה להשיב למוכר,</w:t>
      </w:r>
      <w:r w:rsidRPr="00FD6F6B">
        <w:rPr>
          <w:rFonts w:hint="cs"/>
          <w:rtl/>
        </w:rPr>
        <w:t xml:space="preserve"> </w:t>
      </w:r>
      <w:r>
        <w:rPr>
          <w:rFonts w:hint="cs"/>
          <w:rtl/>
        </w:rPr>
        <w:t>אמאי מורידין את המערער לקרקע, הא הקרקע היא בחזקת המחזיק.</w:t>
      </w:r>
    </w:p>
    <w:p w:rsidR="00900B10" w:rsidRPr="00C63235" w:rsidRDefault="00900B10" w:rsidP="00900B10">
      <w:pPr>
        <w:pStyle w:val="afe"/>
        <w:rPr>
          <w:rtl/>
        </w:rPr>
      </w:pPr>
      <w:bookmarkStart w:id="2137" w:name="_Toc54887734"/>
      <w:bookmarkStart w:id="2138" w:name="_Toc54891187"/>
      <w:bookmarkStart w:id="2139" w:name="_Toc54903462"/>
      <w:bookmarkStart w:id="2140" w:name="_Toc54948445"/>
      <w:bookmarkStart w:id="2141" w:name="_Toc54952048"/>
      <w:bookmarkStart w:id="2142" w:name="_Toc55072941"/>
      <w:bookmarkStart w:id="2143" w:name="_Toc55073142"/>
      <w:bookmarkStart w:id="2144" w:name="_Toc55073553"/>
      <w:bookmarkStart w:id="2145" w:name="_Toc55074101"/>
      <w:r>
        <w:rPr>
          <w:rFonts w:hint="cs"/>
          <w:rtl/>
        </w:rPr>
        <w:t>דברי רב"י בדין טענה בקרקע ומטלטלין</w:t>
      </w:r>
      <w:bookmarkEnd w:id="2137"/>
      <w:bookmarkEnd w:id="2138"/>
      <w:bookmarkEnd w:id="2139"/>
      <w:bookmarkEnd w:id="2140"/>
      <w:bookmarkEnd w:id="2141"/>
      <w:bookmarkEnd w:id="2142"/>
      <w:bookmarkEnd w:id="2143"/>
      <w:bookmarkEnd w:id="2144"/>
      <w:bookmarkEnd w:id="2145"/>
    </w:p>
    <w:p w:rsidR="00900B10" w:rsidRDefault="00900B10" w:rsidP="00900B10">
      <w:pPr>
        <w:pStyle w:val="1"/>
        <w:rPr>
          <w:rtl/>
        </w:rPr>
      </w:pPr>
      <w:bookmarkStart w:id="2146" w:name="_Toc54643464"/>
      <w:bookmarkStart w:id="2147" w:name="_Toc54730209"/>
      <w:bookmarkStart w:id="2148" w:name="_Toc54867230"/>
      <w:bookmarkStart w:id="2149" w:name="_Toc54868829"/>
      <w:bookmarkStart w:id="2150" w:name="_Toc54887735"/>
      <w:bookmarkStart w:id="2151" w:name="_Toc54891188"/>
      <w:bookmarkStart w:id="2152" w:name="_Toc54903463"/>
      <w:bookmarkStart w:id="2153" w:name="_Toc54948446"/>
      <w:bookmarkStart w:id="2154" w:name="_Toc54952049"/>
      <w:bookmarkStart w:id="2155" w:name="_Toc55072942"/>
      <w:bookmarkStart w:id="2156" w:name="_Toc55073143"/>
      <w:bookmarkStart w:id="2157" w:name="_Toc55073554"/>
      <w:bookmarkStart w:id="2158" w:name="_Toc55074102"/>
      <w:r>
        <w:rPr>
          <w:rFonts w:hint="cs"/>
          <w:rtl/>
        </w:rPr>
        <w:t>ביאור רבינו יונה דלהו"א חזקת ג"ש כחזקת מטלטלין</w:t>
      </w:r>
      <w:bookmarkEnd w:id="2146"/>
      <w:bookmarkEnd w:id="2147"/>
      <w:bookmarkEnd w:id="2148"/>
      <w:bookmarkEnd w:id="2149"/>
      <w:bookmarkEnd w:id="2150"/>
      <w:bookmarkEnd w:id="2151"/>
      <w:r>
        <w:rPr>
          <w:rFonts w:hint="cs"/>
          <w:rtl/>
        </w:rPr>
        <w:t xml:space="preserve"> בלא טענה</w:t>
      </w:r>
      <w:bookmarkEnd w:id="2152"/>
      <w:bookmarkEnd w:id="2153"/>
      <w:bookmarkEnd w:id="2154"/>
      <w:bookmarkEnd w:id="2155"/>
      <w:bookmarkEnd w:id="2156"/>
      <w:bookmarkEnd w:id="2157"/>
      <w:bookmarkEnd w:id="2158"/>
    </w:p>
    <w:p w:rsidR="00900B10" w:rsidRPr="00CE7D9F" w:rsidRDefault="00900B10" w:rsidP="00900B10">
      <w:pPr>
        <w:pStyle w:val="a3"/>
        <w:rPr>
          <w:rtl/>
        </w:rPr>
      </w:pPr>
      <w:bookmarkStart w:id="2159" w:name="_Toc54903464"/>
      <w:bookmarkStart w:id="2160" w:name="_Toc54948447"/>
      <w:bookmarkStart w:id="2161" w:name="_Toc54952050"/>
      <w:bookmarkStart w:id="2162" w:name="_Toc55072943"/>
      <w:bookmarkStart w:id="2163" w:name="_Toc55073144"/>
      <w:bookmarkStart w:id="2164" w:name="_Toc55073555"/>
      <w:bookmarkStart w:id="2165" w:name="_Toc55074103"/>
      <w:r>
        <w:rPr>
          <w:rFonts w:hint="cs"/>
          <w:rtl/>
        </w:rPr>
        <w:t>ביאור רבינו יונה דלהו"א בחזקת ג"ש נעשה תפוס כמו במטלטלין שתח"י שא"צ טענה</w:t>
      </w:r>
      <w:bookmarkEnd w:id="2159"/>
      <w:bookmarkEnd w:id="2160"/>
      <w:bookmarkEnd w:id="2161"/>
      <w:bookmarkEnd w:id="2162"/>
      <w:bookmarkEnd w:id="2163"/>
      <w:bookmarkEnd w:id="2164"/>
      <w:bookmarkEnd w:id="2165"/>
    </w:p>
    <w:p w:rsidR="00900B10" w:rsidRDefault="00900B10" w:rsidP="007E4E81">
      <w:pPr>
        <w:pStyle w:val="a0"/>
        <w:rPr>
          <w:rtl/>
        </w:rPr>
      </w:pPr>
      <w:bookmarkStart w:id="2166" w:name="_Ref54714911"/>
      <w:r>
        <w:rPr>
          <w:rFonts w:hint="cs"/>
          <w:rtl/>
        </w:rPr>
        <w:t xml:space="preserve">והוסיף </w:t>
      </w:r>
      <w:r w:rsidRPr="00640DD5">
        <w:rPr>
          <w:rStyle w:val="af9"/>
          <w:rFonts w:hint="cs"/>
          <w:rtl/>
        </w:rPr>
        <w:t xml:space="preserve">רבינו </w:t>
      </w:r>
      <w:r w:rsidRPr="0086200F">
        <w:rPr>
          <w:rStyle w:val="af9"/>
          <w:rFonts w:hint="cs"/>
          <w:rtl/>
        </w:rPr>
        <w:t>יונה</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86200F">
        <w:rPr>
          <w:rStyle w:val="af7"/>
          <w:rFonts w:eastAsia="Guttman Hodes" w:hint="cs"/>
          <w:rtl/>
        </w:rPr>
        <w:t>לא קשיא)</w:t>
      </w:r>
      <w:r>
        <w:rPr>
          <w:rFonts w:hint="cs"/>
          <w:rtl/>
        </w:rPr>
        <w:t xml:space="preserve"> לבאר דכוונת הגמ' להקשות, דכיון שבחזקת ג"ש יצאה הקרקע מרשות המוכר, א"כ המחזיק תפוס בקרקע, ודמי לתובע את חבירו מטלטלין, </w:t>
      </w:r>
      <w:r w:rsidRPr="00335445">
        <w:rPr>
          <w:rStyle w:val="afb"/>
          <w:rFonts w:hint="cs"/>
          <w:rtl/>
        </w:rPr>
        <w:t xml:space="preserve">[בכלים שאינם עשויים להשאיל ולהשכיר], </w:t>
      </w:r>
      <w:r>
        <w:rPr>
          <w:rFonts w:hint="cs"/>
          <w:rtl/>
        </w:rPr>
        <w:t xml:space="preserve">דאמרינן חזקה מה שתח"י שלו הוא, דאף אם לא רצה המחזיק להשיב לתובע, משאירים את הכלים בחזקת התפוס, אלא דמנדים אותו עד שיבא לדין עם חבירו, וא"כ אמאי בחזקת ג"ש מורידין את המערער לקרקע, הא הקרקע היא בחזקת המחזיק ועי' במה שביארו </w:t>
      </w:r>
      <w:r w:rsidRPr="00640DD5">
        <w:rPr>
          <w:rStyle w:val="af9"/>
          <w:rFonts w:hint="cs"/>
          <w:rtl/>
        </w:rPr>
        <w:t>הברכ"ש</w:t>
      </w:r>
      <w:r>
        <w:rPr>
          <w:rFonts w:hint="cs"/>
          <w:rtl/>
        </w:rPr>
        <w:t xml:space="preserve"> </w:t>
      </w:r>
      <w:r w:rsidRPr="00EF79EF">
        <w:rPr>
          <w:rStyle w:val="af7"/>
          <w:rFonts w:eastAsia="Guttman Hodes" w:hint="cs"/>
          <w:rtl/>
        </w:rPr>
        <w:t xml:space="preserve">(עי' אות </w:t>
      </w:r>
      <w:r w:rsidRPr="00EF79EF">
        <w:rPr>
          <w:rStyle w:val="af7"/>
          <w:rFonts w:eastAsia="Guttman Hodes"/>
          <w:rtl/>
        </w:rPr>
        <w:fldChar w:fldCharType="begin"/>
      </w:r>
      <w:r w:rsidRPr="00EF79EF">
        <w:rPr>
          <w:rStyle w:val="af7"/>
          <w:rFonts w:eastAsia="Guttman Hodes"/>
          <w:rtl/>
        </w:rPr>
        <w:instrText xml:space="preserve"> </w:instrText>
      </w:r>
      <w:r w:rsidRPr="00EF79EF">
        <w:rPr>
          <w:rStyle w:val="af7"/>
          <w:rFonts w:eastAsia="Guttman Hodes" w:hint="cs"/>
        </w:rPr>
        <w:instrText>REF</w:instrText>
      </w:r>
      <w:r w:rsidRPr="00EF79EF">
        <w:rPr>
          <w:rStyle w:val="af7"/>
          <w:rFonts w:eastAsia="Guttman Hodes" w:hint="cs"/>
          <w:rtl/>
        </w:rPr>
        <w:instrText xml:space="preserve"> _</w:instrText>
      </w:r>
      <w:r w:rsidRPr="00EF79EF">
        <w:rPr>
          <w:rStyle w:val="af7"/>
          <w:rFonts w:eastAsia="Guttman Hodes" w:hint="cs"/>
        </w:rPr>
        <w:instrText>Ref54714900 \r \h</w:instrText>
      </w:r>
      <w:r w:rsidRPr="00EF79EF">
        <w:rPr>
          <w:rStyle w:val="af7"/>
          <w:rFonts w:eastAsia="Guttman Hodes"/>
          <w:rtl/>
        </w:rPr>
        <w:instrText xml:space="preserve"> </w:instrText>
      </w:r>
      <w:r w:rsidRPr="00EF79EF">
        <w:rPr>
          <w:rStyle w:val="af7"/>
          <w:rFonts w:eastAsia="Guttman Hodes"/>
          <w:rtl/>
        </w:rPr>
      </w:r>
      <w:r w:rsidRPr="00EF79EF">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EF79EF">
        <w:rPr>
          <w:rStyle w:val="af7"/>
          <w:rFonts w:eastAsia="Guttman Hodes"/>
          <w:rtl/>
        </w:rPr>
        <w:fldChar w:fldCharType="end"/>
      </w:r>
      <w:r>
        <w:rPr>
          <w:rFonts w:hint="cs"/>
          <w:rtl/>
        </w:rPr>
        <w:t xml:space="preserve"> </w:t>
      </w:r>
      <w:r w:rsidRPr="00642507">
        <w:rPr>
          <w:rStyle w:val="af9"/>
          <w:rFonts w:hint="cs"/>
          <w:rtl/>
        </w:rPr>
        <w:t>ובחי' רבי נחום</w:t>
      </w:r>
      <w:r>
        <w:rPr>
          <w:rFonts w:hint="cs"/>
          <w:rtl/>
        </w:rPr>
        <w:t xml:space="preserve"> </w:t>
      </w:r>
      <w:r w:rsidRPr="00547A6B">
        <w:rPr>
          <w:rStyle w:val="af7"/>
          <w:rFonts w:eastAsia="Guttman Hodes" w:hint="cs"/>
          <w:rtl/>
        </w:rPr>
        <w:t xml:space="preserve">(עי' אות </w:t>
      </w:r>
      <w:r w:rsidRPr="00547A6B">
        <w:rPr>
          <w:rStyle w:val="af7"/>
          <w:rFonts w:eastAsia="Guttman Hodes"/>
          <w:rtl/>
        </w:rPr>
        <w:fldChar w:fldCharType="begin"/>
      </w:r>
      <w:r w:rsidRPr="00547A6B">
        <w:rPr>
          <w:rStyle w:val="af7"/>
          <w:rFonts w:eastAsia="Guttman Hodes"/>
          <w:rtl/>
        </w:rPr>
        <w:instrText xml:space="preserve"> </w:instrText>
      </w:r>
      <w:r w:rsidRPr="00547A6B">
        <w:rPr>
          <w:rStyle w:val="af7"/>
          <w:rFonts w:eastAsia="Guttman Hodes" w:hint="cs"/>
        </w:rPr>
        <w:instrText>REF</w:instrText>
      </w:r>
      <w:r w:rsidRPr="00547A6B">
        <w:rPr>
          <w:rStyle w:val="af7"/>
          <w:rFonts w:eastAsia="Guttman Hodes" w:hint="cs"/>
          <w:rtl/>
        </w:rPr>
        <w:instrText xml:space="preserve"> _</w:instrText>
      </w:r>
      <w:r w:rsidRPr="00547A6B">
        <w:rPr>
          <w:rStyle w:val="af7"/>
          <w:rFonts w:eastAsia="Guttman Hodes" w:hint="cs"/>
        </w:rPr>
        <w:instrText>Ref55070395 \r \h</w:instrText>
      </w:r>
      <w:r w:rsidRPr="00547A6B">
        <w:rPr>
          <w:rStyle w:val="af7"/>
          <w:rFonts w:eastAsia="Guttman Hodes"/>
          <w:rtl/>
        </w:rPr>
        <w:instrText xml:space="preserve"> </w:instrText>
      </w:r>
      <w:r w:rsidRPr="00547A6B">
        <w:rPr>
          <w:rStyle w:val="af7"/>
          <w:rFonts w:eastAsia="Guttman Hodes"/>
          <w:rtl/>
        </w:rPr>
      </w:r>
      <w:r w:rsidRPr="00547A6B">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547A6B">
        <w:rPr>
          <w:rStyle w:val="af7"/>
          <w:rFonts w:eastAsia="Guttman Hodes"/>
          <w:rtl/>
        </w:rPr>
        <w:fldChar w:fldCharType="end"/>
      </w:r>
      <w:r>
        <w:rPr>
          <w:rFonts w:hint="cs"/>
          <w:rtl/>
        </w:rPr>
        <w:t xml:space="preserve"> את דברי </w:t>
      </w:r>
      <w:r w:rsidRPr="00640DD5">
        <w:rPr>
          <w:rStyle w:val="af9"/>
          <w:rFonts w:hint="cs"/>
          <w:rtl/>
        </w:rPr>
        <w:t>רבינו יונה</w:t>
      </w:r>
      <w:r>
        <w:rPr>
          <w:rFonts w:hint="cs"/>
          <w:rtl/>
        </w:rPr>
        <w:t>.</w:t>
      </w:r>
      <w:bookmarkEnd w:id="2166"/>
    </w:p>
    <w:p w:rsidR="00900B10" w:rsidRPr="00460F2E" w:rsidRDefault="00900B10" w:rsidP="00900B10">
      <w:pPr>
        <w:pStyle w:val="a3"/>
        <w:rPr>
          <w:rtl/>
        </w:rPr>
      </w:pPr>
      <w:bookmarkStart w:id="2167" w:name="_Toc54903466"/>
      <w:bookmarkStart w:id="2168" w:name="_Toc54948449"/>
      <w:bookmarkStart w:id="2169" w:name="_Toc54952052"/>
      <w:bookmarkStart w:id="2170" w:name="_Toc55072945"/>
      <w:bookmarkStart w:id="2171" w:name="_Toc55073146"/>
      <w:bookmarkStart w:id="2172" w:name="_Toc55073557"/>
      <w:bookmarkStart w:id="2173" w:name="_Toc55074105"/>
      <w:r>
        <w:rPr>
          <w:rFonts w:hint="cs"/>
          <w:rtl/>
        </w:rPr>
        <w:t>ביאור רבינו יונה דילפינן משור המועד דהחזקה ראיה לטענתו ובלא טענה אינה חזקה כלל</w:t>
      </w:r>
      <w:bookmarkEnd w:id="2167"/>
      <w:bookmarkEnd w:id="2168"/>
      <w:bookmarkEnd w:id="2169"/>
      <w:bookmarkEnd w:id="2170"/>
      <w:bookmarkEnd w:id="2171"/>
      <w:bookmarkEnd w:id="2172"/>
      <w:bookmarkEnd w:id="2173"/>
    </w:p>
    <w:p w:rsidR="00900B10" w:rsidRDefault="00900B10" w:rsidP="007E4E81">
      <w:pPr>
        <w:pStyle w:val="a0"/>
        <w:rPr>
          <w:rtl/>
        </w:rPr>
      </w:pPr>
      <w:bookmarkStart w:id="2174" w:name="_Ref54714213"/>
      <w:r>
        <w:rPr>
          <w:rFonts w:hint="cs"/>
          <w:rtl/>
        </w:rPr>
        <w:t xml:space="preserve">ובתירוץ הגמ' ביאר </w:t>
      </w:r>
      <w:r w:rsidRPr="00640DD5">
        <w:rPr>
          <w:rStyle w:val="af9"/>
          <w:rFonts w:hint="cs"/>
          <w:rtl/>
        </w:rPr>
        <w:t>רבינו יונה</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EF79EF">
        <w:rPr>
          <w:rStyle w:val="af7"/>
          <w:rFonts w:eastAsia="Guttman Hodes" w:hint="cs"/>
          <w:rtl/>
        </w:rPr>
        <w:t xml:space="preserve">ופרקינן טעמא) </w:t>
      </w:r>
      <w:r>
        <w:rPr>
          <w:rFonts w:hint="cs"/>
          <w:rtl/>
        </w:rPr>
        <w:t xml:space="preserve">דמשור המועד לא ילפינן דהחזקה עצמה היא ראיה שהמחזיק קנה מהמערער, אלא דהחזקה היא ראיה לטענתו, כשהוא טוען שקנה מהמערער, וכיון שהחזקה מהני רק כראיה לטענה, א"כ כ"ז שלא טען לא חשיבה החזקת ג"ש כחזקה כלל, וזו כוונת הגמ' דכל שהוא לא טוען לא טענינן ליה אנן, וכל שאינו טוען כל טענה, נשארת הקרקע בחזקת הבעלים, ואין למחזיק כל חזקה בה, ועי' במה שביאר </w:t>
      </w:r>
      <w:r w:rsidRPr="00640DD5">
        <w:rPr>
          <w:rStyle w:val="af9"/>
          <w:rFonts w:hint="cs"/>
          <w:rtl/>
        </w:rPr>
        <w:t>הברכ"ש</w:t>
      </w:r>
      <w:r>
        <w:rPr>
          <w:rFonts w:hint="cs"/>
          <w:rtl/>
        </w:rPr>
        <w:t xml:space="preserve"> </w:t>
      </w:r>
      <w:r w:rsidRPr="0086200F">
        <w:rPr>
          <w:rStyle w:val="af7"/>
          <w:rFonts w:eastAsia="Guttman Hodes" w:hint="cs"/>
          <w:rtl/>
        </w:rPr>
        <w:t xml:space="preserve">(עי' אות </w:t>
      </w:r>
      <w:r w:rsidRPr="0086200F">
        <w:rPr>
          <w:rStyle w:val="af7"/>
          <w:rFonts w:eastAsia="Guttman Hodes"/>
          <w:rtl/>
        </w:rPr>
        <w:fldChar w:fldCharType="begin"/>
      </w:r>
      <w:r w:rsidRPr="0086200F">
        <w:rPr>
          <w:rStyle w:val="af7"/>
          <w:rFonts w:eastAsia="Guttman Hodes"/>
          <w:rtl/>
        </w:rPr>
        <w:instrText xml:space="preserve"> </w:instrText>
      </w:r>
      <w:r w:rsidRPr="0086200F">
        <w:rPr>
          <w:rStyle w:val="af7"/>
          <w:rFonts w:eastAsia="Guttman Hodes" w:hint="cs"/>
        </w:rPr>
        <w:instrText>REF</w:instrText>
      </w:r>
      <w:r w:rsidRPr="0086200F">
        <w:rPr>
          <w:rStyle w:val="af7"/>
          <w:rFonts w:eastAsia="Guttman Hodes" w:hint="cs"/>
          <w:rtl/>
        </w:rPr>
        <w:instrText xml:space="preserve"> _</w:instrText>
      </w:r>
      <w:r w:rsidRPr="0086200F">
        <w:rPr>
          <w:rStyle w:val="af7"/>
          <w:rFonts w:eastAsia="Guttman Hodes" w:hint="cs"/>
        </w:rPr>
        <w:instrText>Ref54714273 \r \h</w:instrText>
      </w:r>
      <w:r w:rsidRPr="0086200F">
        <w:rPr>
          <w:rStyle w:val="af7"/>
          <w:rFonts w:eastAsia="Guttman Hodes"/>
          <w:rtl/>
        </w:rPr>
        <w:instrText xml:space="preserve"> </w:instrText>
      </w:r>
      <w:r w:rsidRPr="0086200F">
        <w:rPr>
          <w:rStyle w:val="af7"/>
          <w:rFonts w:eastAsia="Guttman Hodes"/>
          <w:rtl/>
        </w:rPr>
      </w:r>
      <w:r w:rsidRPr="0086200F">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sidRPr="0086200F">
        <w:rPr>
          <w:rStyle w:val="af7"/>
          <w:rFonts w:eastAsia="Guttman Hodes"/>
          <w:rtl/>
        </w:rPr>
        <w:fldChar w:fldCharType="end"/>
      </w:r>
      <w:r>
        <w:rPr>
          <w:rFonts w:hint="cs"/>
          <w:rtl/>
        </w:rPr>
        <w:t xml:space="preserve"> את דברי </w:t>
      </w:r>
      <w:r w:rsidRPr="00640DD5">
        <w:rPr>
          <w:rStyle w:val="af9"/>
          <w:rFonts w:hint="cs"/>
          <w:rtl/>
        </w:rPr>
        <w:t>רבינו יונה</w:t>
      </w:r>
      <w:r>
        <w:rPr>
          <w:rFonts w:hint="cs"/>
          <w:rtl/>
        </w:rPr>
        <w:t>.</w:t>
      </w:r>
      <w:bookmarkEnd w:id="2174"/>
    </w:p>
    <w:p w:rsidR="00900B10" w:rsidRPr="005D7F54" w:rsidRDefault="00900B10" w:rsidP="00900B10">
      <w:pPr>
        <w:pStyle w:val="a3"/>
        <w:rPr>
          <w:rtl/>
        </w:rPr>
      </w:pPr>
    </w:p>
    <w:p w:rsidR="00900B10" w:rsidRPr="00B1023F" w:rsidRDefault="00900B10" w:rsidP="00900B10">
      <w:pPr>
        <w:pStyle w:val="1"/>
        <w:rPr>
          <w:rtl/>
        </w:rPr>
      </w:pPr>
      <w:bookmarkStart w:id="2175" w:name="_Toc54903467"/>
      <w:bookmarkStart w:id="2176" w:name="_Toc54948450"/>
      <w:bookmarkStart w:id="2177" w:name="_Toc54952053"/>
      <w:bookmarkStart w:id="2178" w:name="_Toc55072946"/>
      <w:bookmarkStart w:id="2179" w:name="_Toc55073147"/>
      <w:bookmarkStart w:id="2180" w:name="_Toc55073558"/>
      <w:bookmarkStart w:id="2181" w:name="_Toc55074106"/>
      <w:r>
        <w:rPr>
          <w:rFonts w:hint="cs"/>
          <w:rtl/>
        </w:rPr>
        <w:t>ביאור רבינו יונה דתפוס במטלטלין הם בחזקתו אף בלא טענה</w:t>
      </w:r>
      <w:bookmarkEnd w:id="2175"/>
      <w:bookmarkEnd w:id="2176"/>
      <w:bookmarkEnd w:id="2177"/>
      <w:bookmarkEnd w:id="2178"/>
      <w:bookmarkEnd w:id="2179"/>
      <w:bookmarkEnd w:id="2180"/>
      <w:bookmarkEnd w:id="2181"/>
    </w:p>
    <w:p w:rsidR="00900B10" w:rsidRDefault="00900B10" w:rsidP="00900B10">
      <w:pPr>
        <w:pStyle w:val="a3"/>
        <w:rPr>
          <w:rtl/>
        </w:rPr>
      </w:pPr>
      <w:bookmarkStart w:id="2182" w:name="_Toc54903468"/>
      <w:bookmarkStart w:id="2183" w:name="_Toc54948451"/>
      <w:bookmarkStart w:id="2184" w:name="_Toc54952054"/>
      <w:bookmarkStart w:id="2185" w:name="_Toc55072947"/>
      <w:bookmarkStart w:id="2186" w:name="_Toc55073148"/>
      <w:bookmarkStart w:id="2187" w:name="_Toc55073559"/>
      <w:bookmarkStart w:id="2188" w:name="_Toc55074107"/>
      <w:r>
        <w:rPr>
          <w:rFonts w:hint="cs"/>
          <w:rtl/>
        </w:rPr>
        <w:t>דברי רבינו יונה דבמטלטלין התפיסה אינה ראיה אלא הם בחזקתו אף בלא טענה</w:t>
      </w:r>
      <w:bookmarkEnd w:id="2182"/>
      <w:bookmarkEnd w:id="2183"/>
      <w:bookmarkEnd w:id="2184"/>
      <w:bookmarkEnd w:id="2185"/>
      <w:bookmarkEnd w:id="2186"/>
      <w:bookmarkEnd w:id="2187"/>
      <w:bookmarkEnd w:id="2188"/>
    </w:p>
    <w:p w:rsidR="00900B10" w:rsidRDefault="00900B10" w:rsidP="007E4E81">
      <w:pPr>
        <w:pStyle w:val="a0"/>
        <w:rPr>
          <w:rtl/>
        </w:rPr>
      </w:pPr>
      <w:bookmarkStart w:id="2189" w:name="_Ref54714507"/>
      <w:r>
        <w:rPr>
          <w:rFonts w:hint="cs"/>
          <w:rtl/>
        </w:rPr>
        <w:t xml:space="preserve">וביאר </w:t>
      </w:r>
      <w:r w:rsidRPr="0086200F">
        <w:rPr>
          <w:rStyle w:val="af9"/>
          <w:rFonts w:hint="cs"/>
          <w:rtl/>
        </w:rPr>
        <w:t>רבינו יונה</w:t>
      </w:r>
      <w:r>
        <w:rPr>
          <w:rFonts w:hint="cs"/>
          <w:rtl/>
        </w:rPr>
        <w:t xml:space="preserve"> דהא דבמטלטלין לא אמרינן דתפיסתו היא רק ראיה לטענתו, אלא הם בחזקת התופס אף שאינו טוען כל טענה, הוא כיון דמטלטלין יצאו מרשות הבעלים, כל שהשני תפוס בהם, וכיון שהם בחזקתו אינו צריך טענה. </w:t>
      </w:r>
      <w:r w:rsidRPr="0086200F">
        <w:rPr>
          <w:rStyle w:val="afb"/>
          <w:rFonts w:hint="cs"/>
          <w:rtl/>
        </w:rPr>
        <w:t>[משא"כ בקרקע דהחזקה היא רק כראיה לטענה, ולא שייכא תפיסה בקרקע בלא החזקה והטענה]</w:t>
      </w:r>
      <w:r>
        <w:rPr>
          <w:rStyle w:val="afb"/>
          <w:rFonts w:hint="cs"/>
          <w:rtl/>
        </w:rPr>
        <w:t>.</w:t>
      </w:r>
    </w:p>
    <w:p w:rsidR="00900B10" w:rsidRPr="00B1023F" w:rsidRDefault="00900B10" w:rsidP="00900B10">
      <w:pPr>
        <w:pStyle w:val="a3"/>
      </w:pPr>
      <w:bookmarkStart w:id="2190" w:name="_Toc54903469"/>
      <w:bookmarkStart w:id="2191" w:name="_Toc54948452"/>
      <w:bookmarkStart w:id="2192" w:name="_Toc54952055"/>
      <w:bookmarkStart w:id="2193" w:name="_Toc55072948"/>
      <w:bookmarkStart w:id="2194" w:name="_Toc55073149"/>
      <w:bookmarkStart w:id="2195" w:name="_Toc55073560"/>
      <w:bookmarkStart w:id="2196" w:name="_Toc55074108"/>
      <w:r>
        <w:rPr>
          <w:rFonts w:hint="cs"/>
          <w:rtl/>
        </w:rPr>
        <w:t>דברי רבינו יונה דבמטלטלין יש סברא דהבעלים נתן לו דלא מחזקינן ליה בגנבא</w:t>
      </w:r>
      <w:bookmarkEnd w:id="2190"/>
      <w:bookmarkEnd w:id="2191"/>
      <w:bookmarkEnd w:id="2192"/>
      <w:bookmarkEnd w:id="2193"/>
      <w:bookmarkEnd w:id="2194"/>
      <w:bookmarkEnd w:id="2195"/>
      <w:bookmarkEnd w:id="2196"/>
    </w:p>
    <w:p w:rsidR="00900B10" w:rsidRDefault="00900B10" w:rsidP="007E4E81">
      <w:pPr>
        <w:pStyle w:val="a0"/>
        <w:rPr>
          <w:rtl/>
        </w:rPr>
      </w:pPr>
      <w:bookmarkStart w:id="2197" w:name="_Ref54900441"/>
      <w:r>
        <w:rPr>
          <w:rFonts w:hint="cs"/>
          <w:rtl/>
        </w:rPr>
        <w:t xml:space="preserve">והוסיף </w:t>
      </w:r>
      <w:r w:rsidRPr="005A2417">
        <w:rPr>
          <w:rStyle w:val="af9"/>
          <w:rFonts w:hint="cs"/>
          <w:rtl/>
        </w:rPr>
        <w:t>רבינו יונה</w:t>
      </w:r>
      <w:r>
        <w:rPr>
          <w:rFonts w:hint="cs"/>
          <w:rtl/>
        </w:rPr>
        <w:t xml:space="preserve"> דבמטלטלין יש סברא דאחזוקי אינשי בגנבי לא מחזקינן, וכל שאינם עשויים להשאיל ולהשכיר, אמרינן דודאי שהבעלים נתנם לו, ועי' במה שביארו </w:t>
      </w:r>
      <w:r w:rsidRPr="005A2417">
        <w:rPr>
          <w:rStyle w:val="af9"/>
          <w:rFonts w:hint="cs"/>
          <w:rtl/>
        </w:rPr>
        <w:t>בברכ"ש</w:t>
      </w:r>
      <w:r>
        <w:rPr>
          <w:rFonts w:hint="cs"/>
          <w:rtl/>
        </w:rPr>
        <w:t xml:space="preserve"> </w:t>
      </w:r>
      <w:r w:rsidRPr="005A2417">
        <w:rPr>
          <w:rStyle w:val="af7"/>
          <w:rFonts w:eastAsia="Guttman Hodes" w:hint="cs"/>
          <w:rtl/>
        </w:rPr>
        <w:t xml:space="preserve">(עי' אות </w:t>
      </w:r>
      <w:r w:rsidRPr="005A2417">
        <w:rPr>
          <w:rStyle w:val="af7"/>
          <w:rFonts w:eastAsia="Guttman Hodes"/>
          <w:rtl/>
        </w:rPr>
        <w:fldChar w:fldCharType="begin"/>
      </w:r>
      <w:r w:rsidRPr="005A2417">
        <w:rPr>
          <w:rStyle w:val="af7"/>
          <w:rFonts w:eastAsia="Guttman Hodes"/>
          <w:rtl/>
        </w:rPr>
        <w:instrText xml:space="preserve"> </w:instrText>
      </w:r>
      <w:r w:rsidRPr="005A2417">
        <w:rPr>
          <w:rStyle w:val="af7"/>
          <w:rFonts w:eastAsia="Guttman Hodes" w:hint="cs"/>
        </w:rPr>
        <w:instrText>REF</w:instrText>
      </w:r>
      <w:r w:rsidRPr="005A2417">
        <w:rPr>
          <w:rStyle w:val="af7"/>
          <w:rFonts w:eastAsia="Guttman Hodes" w:hint="cs"/>
          <w:rtl/>
        </w:rPr>
        <w:instrText xml:space="preserve"> _</w:instrText>
      </w:r>
      <w:r w:rsidRPr="005A2417">
        <w:rPr>
          <w:rStyle w:val="af7"/>
          <w:rFonts w:eastAsia="Guttman Hodes" w:hint="cs"/>
        </w:rPr>
        <w:instrText>Ref54714534 \r \h</w:instrText>
      </w:r>
      <w:r w:rsidRPr="005A2417">
        <w:rPr>
          <w:rStyle w:val="af7"/>
          <w:rFonts w:eastAsia="Guttman Hodes"/>
          <w:rtl/>
        </w:rPr>
        <w:instrText xml:space="preserve"> </w:instrText>
      </w:r>
      <w:r w:rsidRPr="005A2417">
        <w:rPr>
          <w:rStyle w:val="af7"/>
          <w:rFonts w:eastAsia="Guttman Hodes"/>
          <w:rtl/>
        </w:rPr>
      </w:r>
      <w:r w:rsidRPr="005A2417">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5A2417">
        <w:rPr>
          <w:rStyle w:val="af7"/>
          <w:rFonts w:eastAsia="Guttman Hodes"/>
          <w:rtl/>
        </w:rPr>
        <w:fldChar w:fldCharType="end"/>
      </w:r>
      <w:r>
        <w:rPr>
          <w:rFonts w:hint="cs"/>
          <w:rtl/>
        </w:rPr>
        <w:t xml:space="preserve"> </w:t>
      </w:r>
      <w:r w:rsidRPr="005A2417">
        <w:rPr>
          <w:rStyle w:val="af9"/>
          <w:rFonts w:hint="cs"/>
          <w:rtl/>
        </w:rPr>
        <w:t>ובחי' רבי נחום</w:t>
      </w:r>
      <w:r>
        <w:rPr>
          <w:rFonts w:hint="cs"/>
          <w:rtl/>
        </w:rPr>
        <w:t xml:space="preserve"> </w:t>
      </w:r>
      <w:r w:rsidRPr="005A2417">
        <w:rPr>
          <w:rStyle w:val="af7"/>
          <w:rFonts w:eastAsia="Guttman Hodes" w:hint="cs"/>
          <w:rtl/>
        </w:rPr>
        <w:t xml:space="preserve">(עי' אות </w:t>
      </w:r>
      <w:r w:rsidRPr="005A2417">
        <w:rPr>
          <w:rStyle w:val="af7"/>
          <w:rFonts w:eastAsia="Guttman Hodes"/>
          <w:rtl/>
        </w:rPr>
        <w:fldChar w:fldCharType="begin"/>
      </w:r>
      <w:r w:rsidRPr="005A2417">
        <w:rPr>
          <w:rStyle w:val="af7"/>
          <w:rFonts w:eastAsia="Guttman Hodes"/>
          <w:rtl/>
        </w:rPr>
        <w:instrText xml:space="preserve"> </w:instrText>
      </w:r>
      <w:r w:rsidRPr="005A2417">
        <w:rPr>
          <w:rStyle w:val="af7"/>
          <w:rFonts w:eastAsia="Guttman Hodes" w:hint="cs"/>
        </w:rPr>
        <w:instrText>REF</w:instrText>
      </w:r>
      <w:r w:rsidRPr="005A2417">
        <w:rPr>
          <w:rStyle w:val="af7"/>
          <w:rFonts w:eastAsia="Guttman Hodes" w:hint="cs"/>
          <w:rtl/>
        </w:rPr>
        <w:instrText xml:space="preserve"> _</w:instrText>
      </w:r>
      <w:r w:rsidRPr="005A2417">
        <w:rPr>
          <w:rStyle w:val="af7"/>
          <w:rFonts w:eastAsia="Guttman Hodes" w:hint="cs"/>
        </w:rPr>
        <w:instrText>Ref54813514 \r \h</w:instrText>
      </w:r>
      <w:r w:rsidRPr="005A2417">
        <w:rPr>
          <w:rStyle w:val="af7"/>
          <w:rFonts w:eastAsia="Guttman Hodes"/>
          <w:rtl/>
        </w:rPr>
        <w:instrText xml:space="preserve"> </w:instrText>
      </w:r>
      <w:r w:rsidRPr="005A2417">
        <w:rPr>
          <w:rStyle w:val="af7"/>
          <w:rFonts w:eastAsia="Guttman Hodes"/>
          <w:rtl/>
        </w:rPr>
      </w:r>
      <w:r w:rsidRPr="005A2417">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5A2417">
        <w:rPr>
          <w:rStyle w:val="af7"/>
          <w:rFonts w:eastAsia="Guttman Hodes"/>
          <w:rtl/>
        </w:rPr>
        <w:fldChar w:fldCharType="end"/>
      </w:r>
      <w:r>
        <w:rPr>
          <w:rFonts w:hint="cs"/>
          <w:rtl/>
        </w:rPr>
        <w:t xml:space="preserve"> בדברי </w:t>
      </w:r>
      <w:r w:rsidRPr="005A2417">
        <w:rPr>
          <w:rStyle w:val="af9"/>
          <w:rFonts w:hint="cs"/>
          <w:rtl/>
        </w:rPr>
        <w:t>רבינו יונה</w:t>
      </w:r>
      <w:r>
        <w:rPr>
          <w:rFonts w:hint="cs"/>
          <w:rtl/>
        </w:rPr>
        <w:t>.</w:t>
      </w:r>
      <w:bookmarkEnd w:id="2189"/>
      <w:bookmarkEnd w:id="2197"/>
    </w:p>
    <w:p w:rsidR="00900B10" w:rsidRPr="00EA6779" w:rsidRDefault="00900B10" w:rsidP="00900B10">
      <w:pPr>
        <w:pStyle w:val="1"/>
        <w:rPr>
          <w:rtl/>
        </w:rPr>
      </w:pPr>
      <w:bookmarkStart w:id="2198" w:name="_Toc54903470"/>
      <w:bookmarkStart w:id="2199" w:name="_Toc54948453"/>
      <w:bookmarkStart w:id="2200" w:name="_Toc54952056"/>
      <w:bookmarkStart w:id="2201" w:name="_Toc55072949"/>
      <w:bookmarkStart w:id="2202" w:name="_Toc55073150"/>
      <w:bookmarkStart w:id="2203" w:name="_Toc55073561"/>
      <w:bookmarkStart w:id="2204" w:name="_Toc55074109"/>
      <w:r>
        <w:rPr>
          <w:rFonts w:hint="cs"/>
          <w:rtl/>
        </w:rPr>
        <w:t>דעת הקצוה"ח דחזקה בלא טענה לא מהני אף במטלטלין</w:t>
      </w:r>
      <w:bookmarkEnd w:id="2198"/>
      <w:bookmarkEnd w:id="2199"/>
      <w:bookmarkEnd w:id="2200"/>
      <w:bookmarkEnd w:id="2201"/>
      <w:bookmarkEnd w:id="2202"/>
      <w:bookmarkEnd w:id="2203"/>
      <w:bookmarkEnd w:id="2204"/>
    </w:p>
    <w:p w:rsidR="00900B10" w:rsidRDefault="00900B10" w:rsidP="00900B10">
      <w:pPr>
        <w:pStyle w:val="a3"/>
        <w:rPr>
          <w:rtl/>
        </w:rPr>
      </w:pPr>
      <w:bookmarkStart w:id="2205" w:name="_Toc54903471"/>
      <w:bookmarkStart w:id="2206" w:name="_Toc54948454"/>
      <w:bookmarkStart w:id="2207" w:name="_Toc54952057"/>
      <w:bookmarkStart w:id="2208" w:name="_Toc55072950"/>
      <w:bookmarkStart w:id="2209" w:name="_Toc55073151"/>
      <w:bookmarkStart w:id="2210" w:name="_Toc55073562"/>
      <w:bookmarkStart w:id="2211" w:name="_Toc55074110"/>
      <w:r>
        <w:rPr>
          <w:rFonts w:hint="cs"/>
          <w:rtl/>
        </w:rPr>
        <w:t>דעת הקצוה"ח דאף במטלטלין ל"מ חזקה בלא טענה וכן מבואר בדברי הרמב"ן לקמן</w:t>
      </w:r>
      <w:bookmarkEnd w:id="2205"/>
      <w:bookmarkEnd w:id="2206"/>
      <w:bookmarkEnd w:id="2207"/>
      <w:bookmarkEnd w:id="2208"/>
      <w:bookmarkEnd w:id="2209"/>
      <w:bookmarkEnd w:id="2210"/>
      <w:bookmarkEnd w:id="2211"/>
    </w:p>
    <w:p w:rsidR="00900B10" w:rsidRPr="003F07A8" w:rsidRDefault="00900B10" w:rsidP="007E4E81">
      <w:pPr>
        <w:pStyle w:val="a0"/>
        <w:rPr>
          <w:rStyle w:val="afb"/>
          <w:rtl/>
        </w:rPr>
      </w:pPr>
      <w:r>
        <w:rPr>
          <w:rFonts w:hint="cs"/>
          <w:rtl/>
        </w:rPr>
        <w:t xml:space="preserve">אמנם </w:t>
      </w:r>
      <w:r w:rsidRPr="004D292F">
        <w:rPr>
          <w:rStyle w:val="af9"/>
          <w:rFonts w:hint="cs"/>
          <w:rtl/>
        </w:rPr>
        <w:t>בקצוה"ח</w:t>
      </w:r>
      <w:r>
        <w:rPr>
          <w:rFonts w:hint="cs"/>
          <w:rtl/>
        </w:rPr>
        <w:t xml:space="preserve"> </w:t>
      </w:r>
      <w:r w:rsidRPr="00EA6779">
        <w:rPr>
          <w:rStyle w:val="af7"/>
          <w:rFonts w:eastAsia="Guttman Hodes" w:hint="cs"/>
          <w:rtl/>
        </w:rPr>
        <w:t>(סי' קל"ג סק"א)</w:t>
      </w:r>
      <w:r>
        <w:rPr>
          <w:rFonts w:hint="cs"/>
          <w:rtl/>
        </w:rPr>
        <w:t xml:space="preserve"> כתב דאף במטלטלין, לא מהני חזקה בלא טענה, </w:t>
      </w:r>
      <w:r w:rsidRPr="004D292F">
        <w:rPr>
          <w:rStyle w:val="afb"/>
          <w:rFonts w:hint="cs"/>
          <w:rtl/>
        </w:rPr>
        <w:t xml:space="preserve">[וכן מבואר מדברי </w:t>
      </w:r>
      <w:r w:rsidRPr="009B47BF">
        <w:rPr>
          <w:rStyle w:val="affa"/>
          <w:rFonts w:hint="cs"/>
          <w:rtl/>
        </w:rPr>
        <w:t>הנתיה"מ</w:t>
      </w:r>
      <w:r w:rsidRPr="004D292F">
        <w:rPr>
          <w:rStyle w:val="afb"/>
          <w:rFonts w:hint="cs"/>
          <w:rtl/>
        </w:rPr>
        <w:t xml:space="preserve"> </w:t>
      </w:r>
      <w:r w:rsidRPr="009B47BF">
        <w:rPr>
          <w:rStyle w:val="aff6"/>
          <w:rFonts w:hint="cs"/>
          <w:rtl/>
        </w:rPr>
        <w:t>(סי' קל"ג סק"א)</w:t>
      </w:r>
      <w:r w:rsidRPr="004D292F">
        <w:rPr>
          <w:rStyle w:val="afb"/>
          <w:rFonts w:hint="cs"/>
          <w:rtl/>
        </w:rPr>
        <w:t>],</w:t>
      </w:r>
      <w:r>
        <w:rPr>
          <w:rFonts w:hint="cs"/>
          <w:rtl/>
        </w:rPr>
        <w:t xml:space="preserve"> וע"ע </w:t>
      </w:r>
      <w:r w:rsidRPr="004D292F">
        <w:rPr>
          <w:rStyle w:val="af9"/>
          <w:rFonts w:hint="cs"/>
          <w:rtl/>
        </w:rPr>
        <w:t>ברמב"ן לקמן</w:t>
      </w:r>
      <w:r>
        <w:rPr>
          <w:rFonts w:hint="cs"/>
          <w:rtl/>
        </w:rPr>
        <w:t xml:space="preserve"> </w:t>
      </w:r>
      <w:r w:rsidRPr="00EA6779">
        <w:rPr>
          <w:rStyle w:val="af7"/>
          <w:rFonts w:eastAsia="Guttman Hodes" w:hint="cs"/>
          <w:rtl/>
        </w:rPr>
        <w:t>(מא: ד"ה אבל)</w:t>
      </w:r>
      <w:r>
        <w:rPr>
          <w:rFonts w:hint="cs"/>
          <w:rtl/>
        </w:rPr>
        <w:t xml:space="preserve"> דכתב דאעפ"י דבמחזיק בקרקע ג"ש וטוען שקנה מפלוני שקנה מהמערער, הוא צריך להביא עדים שדר בה אותו פלוני חד יומא, ובלא"ה הוא חזקה בלא טענה, מ"מ במטלטלין התופס בהם נאמן לטעון שקנאם מאדם אחר, אף כשיש לתובע עדים שהיו שלו, דטענינן ליה שהבעלים מכר לאותו אדם, והוא מכר לתפוס, וכתב </w:t>
      </w:r>
      <w:r w:rsidRPr="004D292F">
        <w:rPr>
          <w:rStyle w:val="af9"/>
          <w:rFonts w:hint="cs"/>
          <w:rtl/>
        </w:rPr>
        <w:t>בשיעורי רבי שמואל</w:t>
      </w:r>
      <w:r>
        <w:rPr>
          <w:rFonts w:hint="cs"/>
          <w:rtl/>
        </w:rPr>
        <w:t xml:space="preserve"> </w:t>
      </w:r>
      <w:r w:rsidRPr="00EA6779">
        <w:rPr>
          <w:rStyle w:val="af7"/>
          <w:rFonts w:eastAsia="Guttman Hodes" w:hint="cs"/>
          <w:rtl/>
        </w:rPr>
        <w:t>(או' ז' ד"ה אולם)</w:t>
      </w:r>
      <w:r>
        <w:rPr>
          <w:rFonts w:hint="cs"/>
          <w:rtl/>
        </w:rPr>
        <w:t xml:space="preserve"> דמשמע מדברי </w:t>
      </w:r>
      <w:r w:rsidRPr="004D292F">
        <w:rPr>
          <w:rStyle w:val="af9"/>
          <w:rFonts w:hint="cs"/>
          <w:rtl/>
        </w:rPr>
        <w:t>הרמב"ן</w:t>
      </w:r>
      <w:r>
        <w:rPr>
          <w:rFonts w:hint="cs"/>
          <w:rtl/>
        </w:rPr>
        <w:t xml:space="preserve"> דכתב דטענינן ליה, דס"ל כהקצוה"ח דאף במטלטלין לא מהני חזקה בלא טענה, דהא אי מהני חזקה בלא טענה, א"צ לטעון לו כלל, דהא הוא התפוס בהם. </w:t>
      </w:r>
      <w:r w:rsidRPr="003F07A8">
        <w:rPr>
          <w:rStyle w:val="afb"/>
          <w:rFonts w:hint="cs"/>
          <w:rtl/>
        </w:rPr>
        <w:t xml:space="preserve">[ועיי"ש </w:t>
      </w:r>
      <w:r w:rsidRPr="00EA6779">
        <w:rPr>
          <w:rStyle w:val="affa"/>
          <w:rFonts w:hint="cs"/>
          <w:rtl/>
        </w:rPr>
        <w:t>בשיעורי רבי שמואל</w:t>
      </w:r>
      <w:r w:rsidRPr="003F07A8">
        <w:rPr>
          <w:rStyle w:val="afb"/>
          <w:rFonts w:hint="cs"/>
          <w:rtl/>
        </w:rPr>
        <w:t xml:space="preserve"> במה שהאריך בזה</w:t>
      </w:r>
      <w:r w:rsidRPr="003F07A8">
        <w:rPr>
          <w:rStyle w:val="afb"/>
          <w:rtl/>
        </w:rPr>
        <w:t xml:space="preserve">, וע"ע </w:t>
      </w:r>
      <w:r w:rsidRPr="00EA6779">
        <w:rPr>
          <w:rStyle w:val="affa"/>
          <w:rFonts w:hint="cs"/>
          <w:rtl/>
        </w:rPr>
        <w:t>בברכ"ש</w:t>
      </w:r>
      <w:r w:rsidRPr="003F07A8">
        <w:rPr>
          <w:rStyle w:val="afb"/>
          <w:rFonts w:hint="cs"/>
          <w:rtl/>
        </w:rPr>
        <w:t xml:space="preserve"> </w:t>
      </w:r>
      <w:r w:rsidRPr="00EA6779">
        <w:rPr>
          <w:rStyle w:val="aff6"/>
          <w:rFonts w:hint="cs"/>
          <w:rtl/>
        </w:rPr>
        <w:t>(סי' ל"א, סי' ל"ב)</w:t>
      </w:r>
      <w:r w:rsidRPr="003F07A8">
        <w:rPr>
          <w:rStyle w:val="afb"/>
          <w:rFonts w:hint="cs"/>
          <w:rtl/>
        </w:rPr>
        <w:t xml:space="preserve"> ו</w:t>
      </w:r>
      <w:r w:rsidRPr="003F07A8">
        <w:rPr>
          <w:rStyle w:val="afb"/>
          <w:rtl/>
        </w:rPr>
        <w:t xml:space="preserve">במה שחקר </w:t>
      </w:r>
      <w:r w:rsidRPr="00EA6779">
        <w:rPr>
          <w:rStyle w:val="affa"/>
          <w:rtl/>
        </w:rPr>
        <w:t>בחו"ש הגרב"ב</w:t>
      </w:r>
      <w:r w:rsidRPr="00EA6779">
        <w:rPr>
          <w:rStyle w:val="aff6"/>
          <w:rtl/>
        </w:rPr>
        <w:t xml:space="preserve"> (ח"א סי' ח'</w:t>
      </w:r>
      <w:r w:rsidRPr="00EA6779">
        <w:rPr>
          <w:rStyle w:val="aff6"/>
          <w:rFonts w:hint="cs"/>
          <w:rtl/>
        </w:rPr>
        <w:t>, סי' ט' ד"ה הנה אמרינן</w:t>
      </w:r>
      <w:r w:rsidRPr="00EA6779">
        <w:rPr>
          <w:rStyle w:val="aff6"/>
          <w:rtl/>
        </w:rPr>
        <w:t>)</w:t>
      </w:r>
      <w:r w:rsidRPr="003F07A8">
        <w:rPr>
          <w:rStyle w:val="afb"/>
          <w:rtl/>
        </w:rPr>
        <w:t xml:space="preserve"> אי מהני חזקה בלא טענה במטלטלין</w:t>
      </w:r>
      <w:r w:rsidRPr="003F07A8">
        <w:rPr>
          <w:rStyle w:val="afb"/>
          <w:rFonts w:hint="cs"/>
          <w:rtl/>
        </w:rPr>
        <w:t>].</w:t>
      </w:r>
    </w:p>
    <w:p w:rsidR="00900B10" w:rsidRDefault="00900B10" w:rsidP="00900B10">
      <w:pPr>
        <w:pStyle w:val="afe"/>
        <w:rPr>
          <w:rtl/>
        </w:rPr>
      </w:pPr>
      <w:bookmarkStart w:id="2212" w:name="_Toc54555956"/>
      <w:bookmarkStart w:id="2213" w:name="_Toc54603724"/>
      <w:bookmarkStart w:id="2214" w:name="_Toc54643466"/>
      <w:bookmarkStart w:id="2215" w:name="_Toc54730211"/>
      <w:bookmarkStart w:id="2216" w:name="_Toc54867232"/>
      <w:bookmarkStart w:id="2217" w:name="_Toc54868831"/>
      <w:bookmarkStart w:id="2218" w:name="_Toc54887737"/>
      <w:bookmarkStart w:id="2219" w:name="_Toc54891190"/>
      <w:bookmarkStart w:id="2220" w:name="_Toc54903472"/>
      <w:bookmarkStart w:id="2221" w:name="_Toc54948455"/>
      <w:bookmarkStart w:id="2222" w:name="_Toc54952058"/>
      <w:bookmarkStart w:id="2223" w:name="_Toc55072951"/>
      <w:bookmarkStart w:id="2224" w:name="_Toc55073152"/>
      <w:bookmarkStart w:id="2225" w:name="_Toc55073563"/>
      <w:bookmarkStart w:id="2226" w:name="_Toc55074111"/>
      <w:r>
        <w:rPr>
          <w:rFonts w:hint="cs"/>
          <w:rtl/>
        </w:rPr>
        <w:t>ביאור רב"י</w:t>
      </w:r>
      <w:bookmarkEnd w:id="2212"/>
      <w:bookmarkEnd w:id="2213"/>
      <w:bookmarkEnd w:id="2214"/>
      <w:bookmarkEnd w:id="2215"/>
      <w:bookmarkEnd w:id="2216"/>
      <w:bookmarkEnd w:id="2217"/>
      <w:r>
        <w:rPr>
          <w:rFonts w:hint="cs"/>
          <w:rtl/>
        </w:rPr>
        <w:t xml:space="preserve"> </w:t>
      </w:r>
      <w:bookmarkEnd w:id="2218"/>
      <w:bookmarkEnd w:id="2219"/>
      <w:bookmarkEnd w:id="2220"/>
      <w:bookmarkEnd w:id="2221"/>
      <w:bookmarkEnd w:id="2222"/>
      <w:bookmarkEnd w:id="2223"/>
      <w:bookmarkEnd w:id="2224"/>
      <w:bookmarkEnd w:id="2225"/>
      <w:bookmarkEnd w:id="2226"/>
      <w:r>
        <w:rPr>
          <w:rFonts w:hint="cs"/>
          <w:rtl/>
        </w:rPr>
        <w:t xml:space="preserve">דהוחזק וא"א להוציא מספק </w:t>
      </w:r>
    </w:p>
    <w:p w:rsidR="00900B10" w:rsidRPr="00460F2E" w:rsidRDefault="00900B10" w:rsidP="00900B10">
      <w:pPr>
        <w:pStyle w:val="1"/>
        <w:rPr>
          <w:rtl/>
        </w:rPr>
      </w:pPr>
      <w:bookmarkStart w:id="2227" w:name="_Toc54903473"/>
      <w:bookmarkStart w:id="2228" w:name="_Toc54948456"/>
      <w:bookmarkStart w:id="2229" w:name="_Toc54952059"/>
      <w:bookmarkStart w:id="2230" w:name="_Toc55072952"/>
      <w:bookmarkStart w:id="2231" w:name="_Toc55073153"/>
      <w:bookmarkStart w:id="2232" w:name="_Toc55073564"/>
      <w:bookmarkStart w:id="2233" w:name="_Toc55074112"/>
      <w:r>
        <w:rPr>
          <w:rFonts w:hint="cs"/>
          <w:rtl/>
        </w:rPr>
        <w:t>הביאור הב' ברב"י דהו"א דיש ספק אי מודה וא"א להוציא ממנו</w:t>
      </w:r>
      <w:bookmarkEnd w:id="2227"/>
      <w:bookmarkEnd w:id="2228"/>
      <w:bookmarkEnd w:id="2229"/>
      <w:bookmarkEnd w:id="2230"/>
      <w:bookmarkEnd w:id="2231"/>
      <w:bookmarkEnd w:id="2232"/>
      <w:bookmarkEnd w:id="2233"/>
    </w:p>
    <w:p w:rsidR="00900B10" w:rsidRDefault="00900B10" w:rsidP="00900B10">
      <w:pPr>
        <w:pStyle w:val="a3"/>
        <w:rPr>
          <w:rtl/>
        </w:rPr>
      </w:pPr>
      <w:bookmarkStart w:id="2234" w:name="_Toc54903474"/>
      <w:bookmarkStart w:id="2235" w:name="_Toc54948457"/>
      <w:bookmarkStart w:id="2236" w:name="_Toc54952060"/>
      <w:bookmarkStart w:id="2237" w:name="_Toc55072953"/>
      <w:bookmarkStart w:id="2238" w:name="_Toc55073154"/>
      <w:bookmarkStart w:id="2239" w:name="_Toc55073565"/>
      <w:bookmarkStart w:id="2240" w:name="_Toc55074113"/>
      <w:r>
        <w:rPr>
          <w:rFonts w:hint="cs"/>
          <w:rtl/>
        </w:rPr>
        <w:t>הביאור הב' ברבינו יונה דבלא אמר לו אדם דבר יתכן דאינו מודה אלא חושש לומר דאבד שטרו</w:t>
      </w:r>
      <w:bookmarkEnd w:id="2234"/>
      <w:bookmarkEnd w:id="2235"/>
      <w:bookmarkEnd w:id="2236"/>
      <w:bookmarkEnd w:id="2237"/>
      <w:bookmarkEnd w:id="2238"/>
      <w:bookmarkEnd w:id="2239"/>
      <w:bookmarkEnd w:id="2240"/>
      <w:r>
        <w:rPr>
          <w:rFonts w:hint="cs"/>
          <w:rtl/>
        </w:rPr>
        <w:t xml:space="preserve"> </w:t>
      </w:r>
    </w:p>
    <w:p w:rsidR="00900B10" w:rsidRDefault="00900B10" w:rsidP="007E4E81">
      <w:pPr>
        <w:pStyle w:val="a0"/>
        <w:rPr>
          <w:rtl/>
        </w:rPr>
      </w:pPr>
      <w:bookmarkStart w:id="2241" w:name="_Ref54602979"/>
      <w:r>
        <w:rPr>
          <w:rFonts w:hint="cs"/>
          <w:rtl/>
        </w:rPr>
        <w:t xml:space="preserve">ועוד ביאר </w:t>
      </w:r>
      <w:r w:rsidRPr="005A2417">
        <w:rPr>
          <w:rStyle w:val="af9"/>
          <w:rFonts w:hint="cs"/>
          <w:rtl/>
        </w:rPr>
        <w:t>רבינו יונה</w:t>
      </w:r>
      <w:r>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9F39C2">
        <w:rPr>
          <w:rStyle w:val="af7"/>
          <w:rFonts w:eastAsia="Guttman Hodes" w:hint="cs"/>
          <w:rtl/>
        </w:rPr>
        <w:t>עוד י"ל)</w:t>
      </w:r>
      <w:r>
        <w:rPr>
          <w:rFonts w:hint="cs"/>
          <w:rtl/>
        </w:rPr>
        <w:t xml:space="preserve"> דכוונת הגמ' להקשות אף באופן שהמחזיק טוען שלא אמר לו אדם דבר מעולם, דיש להסתפק בכוונתו האם הוא מודה שלא קנאה כלל, או דהיה לו שטר ואבד והוא חושש לטעון שקנה מהמערער, שמא יטען לו המערער אחוי שטרך, וכדביארה הגמ' לקמן </w:t>
      </w:r>
      <w:r w:rsidRPr="009F39C2">
        <w:rPr>
          <w:rStyle w:val="af7"/>
          <w:rFonts w:eastAsia="Guttman Hodes" w:hint="cs"/>
          <w:rtl/>
        </w:rPr>
        <w:t xml:space="preserve">(מא:) </w:t>
      </w:r>
      <w:r>
        <w:rPr>
          <w:rFonts w:hint="cs"/>
          <w:rtl/>
        </w:rPr>
        <w:t>דזה באה המשנה לקמן לחדש דלא הוי חזקה כלל, ולא אמרינן דשמא היה לו שטר ואבד, ונטען לו כן,</w:t>
      </w:r>
      <w:r w:rsidRPr="00335445">
        <w:rPr>
          <w:rStyle w:val="afb"/>
          <w:rFonts w:hint="cs"/>
          <w:rtl/>
        </w:rPr>
        <w:t xml:space="preserve"> </w:t>
      </w:r>
      <w:r>
        <w:rPr>
          <w:rFonts w:hint="cs"/>
          <w:rtl/>
        </w:rPr>
        <w:t>ועי' במה שביאר</w:t>
      </w:r>
      <w:r>
        <w:rPr>
          <w:rStyle w:val="af9"/>
          <w:rFonts w:hint="cs"/>
          <w:rtl/>
        </w:rPr>
        <w:t xml:space="preserve"> </w:t>
      </w:r>
      <w:r w:rsidRPr="009E06E4">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Ref55070395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Pr>
          <w:rStyle w:val="af7"/>
          <w:rFonts w:eastAsia="Guttman Hodes"/>
          <w:rtl/>
        </w:rPr>
        <w:fldChar w:fldCharType="end"/>
      </w:r>
      <w:r>
        <w:rPr>
          <w:rFonts w:hint="cs"/>
          <w:rtl/>
        </w:rPr>
        <w:t xml:space="preserve"> בדברי </w:t>
      </w:r>
      <w:r w:rsidRPr="005A2417">
        <w:rPr>
          <w:rStyle w:val="af9"/>
          <w:rFonts w:hint="cs"/>
          <w:rtl/>
        </w:rPr>
        <w:t>רבינו יונה</w:t>
      </w:r>
      <w:r>
        <w:rPr>
          <w:rFonts w:hint="cs"/>
          <w:rtl/>
        </w:rPr>
        <w:t>.</w:t>
      </w:r>
      <w:bookmarkEnd w:id="2241"/>
    </w:p>
    <w:p w:rsidR="00900B10" w:rsidRPr="005D7F54" w:rsidRDefault="00900B10" w:rsidP="00900B10">
      <w:pPr>
        <w:pStyle w:val="a3"/>
        <w:rPr>
          <w:rtl/>
        </w:rPr>
      </w:pPr>
    </w:p>
    <w:p w:rsidR="00900B10" w:rsidRDefault="00900B10" w:rsidP="00900B10">
      <w:pPr>
        <w:pStyle w:val="a3"/>
        <w:rPr>
          <w:rtl/>
        </w:rPr>
      </w:pPr>
      <w:bookmarkStart w:id="2242" w:name="_Toc54903475"/>
      <w:bookmarkStart w:id="2243" w:name="_Toc54948458"/>
      <w:bookmarkStart w:id="2244" w:name="_Toc54952061"/>
      <w:bookmarkStart w:id="2245" w:name="_Toc55072954"/>
      <w:bookmarkStart w:id="2246" w:name="_Toc55073155"/>
      <w:bookmarkStart w:id="2247" w:name="_Toc55073566"/>
      <w:bookmarkStart w:id="2248" w:name="_Toc55074114"/>
      <w:r>
        <w:rPr>
          <w:rFonts w:hint="cs"/>
          <w:rtl/>
        </w:rPr>
        <w:lastRenderedPageBreak/>
        <w:t>ביאור רבינו יונה דמקשה הגמ' דבג"ש יצאה מהמר"ק ללוקח ומספק שמא מודה א"</w:t>
      </w:r>
      <w:bookmarkStart w:id="2249" w:name="_Ref54602694"/>
      <w:r>
        <w:rPr>
          <w:rFonts w:hint="cs"/>
          <w:rtl/>
        </w:rPr>
        <w:t>א להוציא</w:t>
      </w:r>
      <w:bookmarkEnd w:id="2242"/>
      <w:bookmarkEnd w:id="2243"/>
      <w:bookmarkEnd w:id="2244"/>
      <w:bookmarkEnd w:id="2245"/>
      <w:bookmarkEnd w:id="2246"/>
      <w:bookmarkEnd w:id="2247"/>
      <w:bookmarkEnd w:id="2248"/>
    </w:p>
    <w:p w:rsidR="00900B10" w:rsidRDefault="00900B10" w:rsidP="007E4E81">
      <w:pPr>
        <w:pStyle w:val="a0"/>
        <w:rPr>
          <w:rtl/>
        </w:rPr>
      </w:pPr>
      <w:r>
        <w:rPr>
          <w:rFonts w:hint="cs"/>
          <w:rtl/>
        </w:rPr>
        <w:t xml:space="preserve">וכתב </w:t>
      </w:r>
      <w:r w:rsidRPr="009F39C2">
        <w:rPr>
          <w:rStyle w:val="af9"/>
          <w:rFonts w:hint="cs"/>
          <w:rtl/>
        </w:rPr>
        <w:t>רבינו יונה</w:t>
      </w:r>
      <w:r>
        <w:rPr>
          <w:rFonts w:hint="cs"/>
          <w:rtl/>
        </w:rPr>
        <w:t xml:space="preserve"> דזה גופא כוונת הגמ' בסוגיין להקשות, דכיון דבחזקת ג"ש יצאה הקרקע מחזקת המרא קמא, והיא עומדת ברשות הלוקח, א"כ המחזיק הוא המוחזק והמערער הוא המוציא, וכיון שיש לנו ספק בכוונת המחזיק אי מודה שלא קנה, או דהיה לו שטר ואבד, מספק א"א להוציא מידו ולומר דכוונתו שהוא מודה שלא קנה מהמערער, אלא אנו צריכים לטעון לו שמא היה לו שטר ואבד, כיון שעוד לפני שטען כבר עומדת השדה בחזקתו דהחזיק בה ג"ש, ומחמת ספק א"א להוציא ממוחזק, ועי' בדברי </w:t>
      </w:r>
      <w:r w:rsidRPr="0042114E">
        <w:rPr>
          <w:rStyle w:val="af9"/>
          <w:rFonts w:hint="cs"/>
          <w:rtl/>
        </w:rPr>
        <w:t>הרמב"ן</w:t>
      </w:r>
      <w:r>
        <w:rPr>
          <w:rFonts w:hint="cs"/>
          <w:rtl/>
        </w:rPr>
        <w:t xml:space="preserve"> </w:t>
      </w:r>
      <w:r w:rsidRPr="005B6D6C">
        <w:rPr>
          <w:rStyle w:val="af7"/>
          <w:rFonts w:eastAsia="Guttman Hodes" w:hint="cs"/>
          <w:rtl/>
        </w:rPr>
        <w:t xml:space="preserve">(עי' אות </w:t>
      </w:r>
      <w:r w:rsidRPr="005B6D6C">
        <w:rPr>
          <w:rStyle w:val="af7"/>
          <w:rFonts w:eastAsia="Guttman Hodes"/>
          <w:rtl/>
        </w:rPr>
        <w:fldChar w:fldCharType="begin"/>
      </w:r>
      <w:r w:rsidRPr="005B6D6C">
        <w:rPr>
          <w:rStyle w:val="af7"/>
          <w:rFonts w:eastAsia="Guttman Hodes"/>
          <w:rtl/>
        </w:rPr>
        <w:instrText xml:space="preserve"> </w:instrText>
      </w:r>
      <w:r w:rsidRPr="005B6D6C">
        <w:rPr>
          <w:rStyle w:val="af7"/>
          <w:rFonts w:eastAsia="Guttman Hodes" w:hint="cs"/>
        </w:rPr>
        <w:instrText>REF</w:instrText>
      </w:r>
      <w:r w:rsidRPr="005B6D6C">
        <w:rPr>
          <w:rStyle w:val="af7"/>
          <w:rFonts w:eastAsia="Guttman Hodes" w:hint="cs"/>
          <w:rtl/>
        </w:rPr>
        <w:instrText xml:space="preserve"> _</w:instrText>
      </w:r>
      <w:r w:rsidRPr="005B6D6C">
        <w:rPr>
          <w:rStyle w:val="af7"/>
          <w:rFonts w:eastAsia="Guttman Hodes" w:hint="cs"/>
        </w:rPr>
        <w:instrText>Ref54602543 \r \h</w:instrText>
      </w:r>
      <w:r w:rsidRPr="005B6D6C">
        <w:rPr>
          <w:rStyle w:val="af7"/>
          <w:rFonts w:eastAsia="Guttman Hodes"/>
          <w:rtl/>
        </w:rPr>
        <w:instrText xml:space="preserve"> </w:instrText>
      </w:r>
      <w:r w:rsidRPr="005B6D6C">
        <w:rPr>
          <w:rStyle w:val="af7"/>
          <w:rFonts w:eastAsia="Guttman Hodes"/>
          <w:rtl/>
        </w:rPr>
      </w:r>
      <w:r w:rsidRPr="005B6D6C">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5B6D6C">
        <w:rPr>
          <w:rStyle w:val="af7"/>
          <w:rFonts w:eastAsia="Guttman Hodes"/>
          <w:rtl/>
        </w:rPr>
        <w:fldChar w:fldCharType="end"/>
      </w:r>
      <w:r>
        <w:rPr>
          <w:rFonts w:hint="cs"/>
          <w:rtl/>
        </w:rPr>
        <w:t xml:space="preserve"> ובדברי </w:t>
      </w:r>
      <w:r w:rsidRPr="0042114E">
        <w:rPr>
          <w:rStyle w:val="af9"/>
          <w:rFonts w:hint="cs"/>
          <w:rtl/>
        </w:rPr>
        <w:t>הרשב"א</w:t>
      </w:r>
      <w:r>
        <w:rPr>
          <w:rFonts w:hint="cs"/>
          <w:rtl/>
        </w:rPr>
        <w:t xml:space="preserve"> </w:t>
      </w:r>
      <w:r w:rsidRPr="005B6D6C">
        <w:rPr>
          <w:rStyle w:val="af7"/>
          <w:rFonts w:eastAsia="Guttman Hodes" w:hint="cs"/>
          <w:rtl/>
        </w:rPr>
        <w:t xml:space="preserve">(עי' אות </w:t>
      </w:r>
      <w:r w:rsidRPr="005B6D6C">
        <w:rPr>
          <w:rStyle w:val="af7"/>
          <w:rFonts w:eastAsia="Guttman Hodes"/>
          <w:rtl/>
        </w:rPr>
        <w:fldChar w:fldCharType="begin"/>
      </w:r>
      <w:r w:rsidRPr="005B6D6C">
        <w:rPr>
          <w:rStyle w:val="af7"/>
          <w:rFonts w:eastAsia="Guttman Hodes"/>
          <w:rtl/>
        </w:rPr>
        <w:instrText xml:space="preserve"> </w:instrText>
      </w:r>
      <w:r w:rsidRPr="005B6D6C">
        <w:rPr>
          <w:rStyle w:val="af7"/>
          <w:rFonts w:eastAsia="Guttman Hodes" w:hint="cs"/>
        </w:rPr>
        <w:instrText>REF</w:instrText>
      </w:r>
      <w:r w:rsidRPr="005B6D6C">
        <w:rPr>
          <w:rStyle w:val="af7"/>
          <w:rFonts w:eastAsia="Guttman Hodes" w:hint="cs"/>
          <w:rtl/>
        </w:rPr>
        <w:instrText xml:space="preserve"> _</w:instrText>
      </w:r>
      <w:r w:rsidRPr="005B6D6C">
        <w:rPr>
          <w:rStyle w:val="af7"/>
          <w:rFonts w:eastAsia="Guttman Hodes" w:hint="cs"/>
        </w:rPr>
        <w:instrText>Ref54603002 \r \h</w:instrText>
      </w:r>
      <w:r w:rsidRPr="005B6D6C">
        <w:rPr>
          <w:rStyle w:val="af7"/>
          <w:rFonts w:eastAsia="Guttman Hodes"/>
          <w:rtl/>
        </w:rPr>
        <w:instrText xml:space="preserve"> </w:instrText>
      </w:r>
      <w:r w:rsidRPr="005B6D6C">
        <w:rPr>
          <w:rStyle w:val="af7"/>
          <w:rFonts w:eastAsia="Guttman Hodes"/>
          <w:rtl/>
        </w:rPr>
      </w:r>
      <w:r w:rsidRPr="005B6D6C">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5B6D6C">
        <w:rPr>
          <w:rStyle w:val="af7"/>
          <w:rFonts w:eastAsia="Guttman Hodes"/>
          <w:rtl/>
        </w:rPr>
        <w:fldChar w:fldCharType="end"/>
      </w:r>
      <w:r>
        <w:rPr>
          <w:rFonts w:hint="cs"/>
          <w:rtl/>
        </w:rPr>
        <w:t>.</w:t>
      </w:r>
      <w:bookmarkEnd w:id="2249"/>
    </w:p>
    <w:p w:rsidR="00900B10" w:rsidRPr="00E15618" w:rsidRDefault="00900B10" w:rsidP="00900B10">
      <w:pPr>
        <w:pStyle w:val="afe"/>
        <w:rPr>
          <w:rtl/>
        </w:rPr>
      </w:pPr>
      <w:bookmarkStart w:id="2250" w:name="_Toc54887738"/>
      <w:bookmarkStart w:id="2251" w:name="_Toc54891191"/>
      <w:bookmarkStart w:id="2252" w:name="_Toc54903476"/>
      <w:bookmarkStart w:id="2253" w:name="_Toc54948459"/>
      <w:bookmarkStart w:id="2254" w:name="_Toc54952062"/>
      <w:bookmarkStart w:id="2255" w:name="_Toc55072955"/>
      <w:bookmarkStart w:id="2256" w:name="_Toc55073156"/>
      <w:bookmarkStart w:id="2257" w:name="_Toc55073567"/>
      <w:bookmarkStart w:id="2258" w:name="_Toc55074115"/>
      <w:r>
        <w:rPr>
          <w:rFonts w:hint="cs"/>
          <w:rtl/>
        </w:rPr>
        <w:t>ביאור הרשב"א בדין מחילה בקרקע</w:t>
      </w:r>
      <w:bookmarkEnd w:id="2250"/>
      <w:bookmarkEnd w:id="2251"/>
      <w:bookmarkEnd w:id="2252"/>
      <w:bookmarkEnd w:id="2253"/>
      <w:bookmarkEnd w:id="2254"/>
      <w:bookmarkEnd w:id="2255"/>
      <w:bookmarkEnd w:id="2256"/>
      <w:bookmarkEnd w:id="2257"/>
      <w:bookmarkEnd w:id="2258"/>
    </w:p>
    <w:p w:rsidR="00900B10" w:rsidRDefault="00900B10" w:rsidP="00900B10">
      <w:pPr>
        <w:pStyle w:val="1"/>
        <w:rPr>
          <w:rtl/>
        </w:rPr>
      </w:pPr>
      <w:bookmarkStart w:id="2259" w:name="_Toc55074116"/>
      <w:r>
        <w:rPr>
          <w:rFonts w:hint="cs"/>
          <w:rtl/>
        </w:rPr>
        <w:t>ביאור הרשב"א דהו"א דטענינן ליה אבד שטרך</w:t>
      </w:r>
      <w:bookmarkEnd w:id="2259"/>
    </w:p>
    <w:p w:rsidR="00900B10" w:rsidRPr="0089558B" w:rsidRDefault="00900B10" w:rsidP="00900B10">
      <w:pPr>
        <w:pStyle w:val="a3"/>
        <w:rPr>
          <w:rtl/>
        </w:rPr>
      </w:pPr>
      <w:bookmarkStart w:id="2260" w:name="_Toc54903478"/>
      <w:bookmarkStart w:id="2261" w:name="_Toc54948461"/>
      <w:bookmarkStart w:id="2262" w:name="_Toc54952064"/>
      <w:bookmarkStart w:id="2263" w:name="_Toc55072957"/>
      <w:bookmarkStart w:id="2264" w:name="_Toc55073158"/>
      <w:bookmarkStart w:id="2265" w:name="_Toc55073569"/>
      <w:bookmarkStart w:id="2266" w:name="_Toc55074117"/>
      <w:r>
        <w:rPr>
          <w:rFonts w:hint="cs"/>
          <w:rtl/>
        </w:rPr>
        <w:t>ביאור הרשב"א דהו"א דילפינן דיצאה מהמר"ק בלא טענה אך הקשה דפשיטא דלא מהני</w:t>
      </w:r>
      <w:bookmarkEnd w:id="2260"/>
      <w:bookmarkEnd w:id="2261"/>
      <w:bookmarkEnd w:id="2262"/>
      <w:bookmarkEnd w:id="2263"/>
      <w:bookmarkEnd w:id="2264"/>
      <w:bookmarkEnd w:id="2265"/>
      <w:bookmarkEnd w:id="2266"/>
    </w:p>
    <w:p w:rsidR="00900B10" w:rsidRPr="00B537AD" w:rsidRDefault="00900B10" w:rsidP="007E4E81">
      <w:pPr>
        <w:pStyle w:val="a0"/>
        <w:rPr>
          <w:rStyle w:val="af7"/>
          <w:rFonts w:eastAsia="Guttman Hodes"/>
          <w:rtl/>
        </w:rPr>
      </w:pPr>
      <w:bookmarkStart w:id="2267" w:name="_Ref54602635"/>
      <w:bookmarkStart w:id="2268" w:name="_Ref54901619"/>
      <w:r>
        <w:rPr>
          <w:rFonts w:hint="cs"/>
          <w:rtl/>
        </w:rPr>
        <w:t>כתב</w:t>
      </w:r>
      <w:r w:rsidRPr="00F50FDA">
        <w:rPr>
          <w:rFonts w:hint="cs"/>
          <w:rtl/>
        </w:rPr>
        <w:t xml:space="preserve"> </w:t>
      </w:r>
      <w:r w:rsidRPr="00F50FDA">
        <w:rPr>
          <w:rStyle w:val="af9"/>
          <w:rFonts w:hint="cs"/>
          <w:rtl/>
        </w:rPr>
        <w:t>הרשב"א</w:t>
      </w:r>
      <w:r w:rsidRPr="00F50FDA">
        <w:rPr>
          <w:rFonts w:hint="cs"/>
          <w:rtl/>
        </w:rPr>
        <w:t xml:space="preserve"> </w:t>
      </w:r>
      <w:r w:rsidRPr="00F50FDA">
        <w:rPr>
          <w:rStyle w:val="af7"/>
          <w:rFonts w:eastAsia="Guttman Hodes" w:hint="cs"/>
          <w:rtl/>
        </w:rPr>
        <w:t>(ד</w:t>
      </w:r>
      <w:r w:rsidRPr="00F50FDA">
        <w:rPr>
          <w:rStyle w:val="af7"/>
          <w:rFonts w:eastAsia="Guttman Hodes"/>
          <w:rtl/>
        </w:rPr>
        <w:t>"</w:t>
      </w:r>
      <w:r w:rsidRPr="00F50FDA">
        <w:rPr>
          <w:rStyle w:val="af7"/>
          <w:rFonts w:eastAsia="Guttman Hodes" w:hint="cs"/>
          <w:rtl/>
        </w:rPr>
        <w:t>ה אלא)</w:t>
      </w:r>
      <w:r w:rsidRPr="00F50FDA">
        <w:rPr>
          <w:rFonts w:hint="cs"/>
          <w:rtl/>
        </w:rPr>
        <w:t xml:space="preserve"> דקושית הגמ' דתועיל חזקה בלא טענה, כיון דילפינן משור המועד, דבכל אופן שנגח השור, הוא יצא מחזקת תם ועומד בחזקת</w:t>
      </w:r>
      <w:r>
        <w:rPr>
          <w:rFonts w:hint="cs"/>
          <w:rtl/>
        </w:rPr>
        <w:t xml:space="preserve"> מועד, </w:t>
      </w:r>
      <w:bookmarkEnd w:id="2267"/>
      <w:r>
        <w:rPr>
          <w:rFonts w:hint="cs"/>
          <w:rtl/>
        </w:rPr>
        <w:t xml:space="preserve">[וכ"כ </w:t>
      </w:r>
      <w:r w:rsidRPr="00972BD9">
        <w:rPr>
          <w:rStyle w:val="af9"/>
          <w:rFonts w:hint="cs"/>
          <w:rtl/>
        </w:rPr>
        <w:t>רש"י</w:t>
      </w:r>
      <w:r w:rsidRPr="00972BD9">
        <w:rPr>
          <w:rStyle w:val="af7"/>
          <w:rFonts w:eastAsia="Guttman Hodes" w:hint="cs"/>
          <w:rtl/>
        </w:rPr>
        <w:t xml:space="preserve"> (עי' אות </w:t>
      </w:r>
      <w:r w:rsidRPr="00972BD9">
        <w:rPr>
          <w:rStyle w:val="af7"/>
          <w:rFonts w:eastAsia="Guttman Hodes"/>
          <w:rtl/>
        </w:rPr>
        <w:fldChar w:fldCharType="begin"/>
      </w:r>
      <w:r w:rsidRPr="00972BD9">
        <w:rPr>
          <w:rStyle w:val="af7"/>
          <w:rFonts w:eastAsia="Guttman Hodes"/>
          <w:rtl/>
        </w:rPr>
        <w:instrText xml:space="preserve"> </w:instrText>
      </w:r>
      <w:r w:rsidRPr="00972BD9">
        <w:rPr>
          <w:rStyle w:val="af7"/>
          <w:rFonts w:eastAsia="Guttman Hodes" w:hint="cs"/>
        </w:rPr>
        <w:instrText>REF</w:instrText>
      </w:r>
      <w:r w:rsidRPr="00972BD9">
        <w:rPr>
          <w:rStyle w:val="af7"/>
          <w:rFonts w:eastAsia="Guttman Hodes" w:hint="cs"/>
          <w:rtl/>
        </w:rPr>
        <w:instrText xml:space="preserve"> _</w:instrText>
      </w:r>
      <w:r w:rsidRPr="00972BD9">
        <w:rPr>
          <w:rStyle w:val="af7"/>
          <w:rFonts w:eastAsia="Guttman Hodes" w:hint="cs"/>
        </w:rPr>
        <w:instrText>Ref54898134 \r \h</w:instrText>
      </w:r>
      <w:r w:rsidRPr="00972BD9">
        <w:rPr>
          <w:rStyle w:val="af7"/>
          <w:rFonts w:eastAsia="Guttman Hodes"/>
          <w:rtl/>
        </w:rPr>
        <w:instrText xml:space="preserve"> </w:instrText>
      </w:r>
      <w:r w:rsidRPr="00972BD9">
        <w:rPr>
          <w:rStyle w:val="af7"/>
          <w:rFonts w:eastAsia="Guttman Hodes"/>
          <w:rtl/>
        </w:rPr>
      </w:r>
      <w:r w:rsidRPr="00972BD9">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972BD9">
        <w:rPr>
          <w:rStyle w:val="af7"/>
          <w:rFonts w:eastAsia="Guttman Hodes"/>
          <w:rtl/>
        </w:rPr>
        <w:fldChar w:fldCharType="end"/>
      </w:r>
      <w:r>
        <w:rPr>
          <w:rStyle w:val="af9"/>
          <w:rFonts w:hint="cs"/>
          <w:rtl/>
        </w:rPr>
        <w:t xml:space="preserve"> ו</w:t>
      </w:r>
      <w:r w:rsidRPr="00972BD9">
        <w:rPr>
          <w:rStyle w:val="af9"/>
          <w:rFonts w:hint="cs"/>
          <w:rtl/>
        </w:rPr>
        <w:t>הרמב"ן</w:t>
      </w:r>
      <w:r>
        <w:rPr>
          <w:rFonts w:hint="cs"/>
          <w:rtl/>
        </w:rPr>
        <w:t xml:space="preserve"> </w:t>
      </w:r>
      <w:r w:rsidRPr="00972BD9">
        <w:rPr>
          <w:rStyle w:val="af7"/>
          <w:rFonts w:eastAsia="Guttman Hodes" w:hint="cs"/>
          <w:rtl/>
        </w:rPr>
        <w:t>(</w:t>
      </w:r>
      <w:r w:rsidRPr="00B537AD">
        <w:rPr>
          <w:rStyle w:val="af7"/>
          <w:rFonts w:eastAsia="Guttman Hodes" w:hint="cs"/>
          <w:rtl/>
        </w:rPr>
        <w:t xml:space="preserve">עי' אות </w:t>
      </w:r>
      <w:r w:rsidRPr="00B537AD">
        <w:rPr>
          <w:rStyle w:val="af7"/>
          <w:rFonts w:eastAsia="Guttman Hodes"/>
          <w:rtl/>
        </w:rPr>
        <w:fldChar w:fldCharType="begin"/>
      </w:r>
      <w:r w:rsidRPr="00B537AD">
        <w:rPr>
          <w:rStyle w:val="af7"/>
          <w:rFonts w:eastAsia="Guttman Hodes"/>
          <w:rtl/>
        </w:rPr>
        <w:instrText xml:space="preserve"> </w:instrText>
      </w:r>
      <w:r w:rsidRPr="00B537AD">
        <w:rPr>
          <w:rStyle w:val="af7"/>
          <w:rFonts w:eastAsia="Guttman Hodes" w:hint="cs"/>
        </w:rPr>
        <w:instrText>REF</w:instrText>
      </w:r>
      <w:r w:rsidRPr="00B537AD">
        <w:rPr>
          <w:rStyle w:val="af7"/>
          <w:rFonts w:eastAsia="Guttman Hodes" w:hint="cs"/>
          <w:rtl/>
        </w:rPr>
        <w:instrText xml:space="preserve"> _</w:instrText>
      </w:r>
      <w:r w:rsidRPr="00B537AD">
        <w:rPr>
          <w:rStyle w:val="af7"/>
          <w:rFonts w:eastAsia="Guttman Hodes" w:hint="cs"/>
        </w:rPr>
        <w:instrText>Ref54602543 \r \h</w:instrText>
      </w:r>
      <w:r w:rsidRPr="00B537AD">
        <w:rPr>
          <w:rStyle w:val="af7"/>
          <w:rFonts w:eastAsia="Guttman Hodes"/>
          <w:rtl/>
        </w:rPr>
        <w:instrText xml:space="preserve">  \* </w:instrText>
      </w:r>
      <w:r w:rsidRPr="00B537AD">
        <w:rPr>
          <w:rStyle w:val="af7"/>
          <w:rFonts w:eastAsia="Guttman Hodes"/>
        </w:rPr>
        <w:instrText>MERGEFORMAT</w:instrText>
      </w:r>
      <w:r w:rsidRPr="00B537AD">
        <w:rPr>
          <w:rStyle w:val="af7"/>
          <w:rFonts w:eastAsia="Guttman Hodes"/>
          <w:rtl/>
        </w:rPr>
        <w:instrText xml:space="preserve"> </w:instrText>
      </w:r>
      <w:r w:rsidRPr="00B537AD">
        <w:rPr>
          <w:rStyle w:val="af7"/>
          <w:rFonts w:eastAsia="Guttman Hodes"/>
          <w:rtl/>
        </w:rPr>
      </w:r>
      <w:r w:rsidRPr="00B537AD">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B537AD">
        <w:rPr>
          <w:rStyle w:val="af7"/>
          <w:rFonts w:eastAsia="Guttman Hodes"/>
          <w:rtl/>
        </w:rPr>
        <w:fldChar w:fldCharType="end"/>
      </w:r>
      <w:r w:rsidRPr="00B537AD">
        <w:rPr>
          <w:rFonts w:hint="cs"/>
          <w:rtl/>
        </w:rPr>
        <w:t xml:space="preserve"> </w:t>
      </w:r>
      <w:r w:rsidRPr="00B537AD">
        <w:rPr>
          <w:rStyle w:val="af9"/>
          <w:rFonts w:hint="cs"/>
          <w:rtl/>
        </w:rPr>
        <w:t>ורבינו יונה</w:t>
      </w:r>
      <w:r w:rsidRPr="00B537AD">
        <w:rPr>
          <w:rFonts w:hint="cs"/>
          <w:rtl/>
        </w:rPr>
        <w:t xml:space="preserve"> </w:t>
      </w:r>
      <w:r w:rsidRPr="00B537AD">
        <w:rPr>
          <w:rStyle w:val="af7"/>
          <w:rFonts w:eastAsia="Guttman Hodes" w:hint="cs"/>
          <w:rtl/>
        </w:rPr>
        <w:t xml:space="preserve">(עי' אות </w:t>
      </w:r>
      <w:r w:rsidRPr="00B537AD">
        <w:rPr>
          <w:rStyle w:val="af7"/>
          <w:rFonts w:eastAsia="Guttman Hodes"/>
          <w:rtl/>
        </w:rPr>
        <w:fldChar w:fldCharType="begin"/>
      </w:r>
      <w:r w:rsidRPr="00B537AD">
        <w:rPr>
          <w:rStyle w:val="af7"/>
          <w:rFonts w:eastAsia="Guttman Hodes"/>
          <w:rtl/>
        </w:rPr>
        <w:instrText xml:space="preserve"> </w:instrText>
      </w:r>
      <w:r w:rsidRPr="00B537AD">
        <w:rPr>
          <w:rStyle w:val="af7"/>
          <w:rFonts w:eastAsia="Guttman Hodes" w:hint="cs"/>
        </w:rPr>
        <w:instrText>REF</w:instrText>
      </w:r>
      <w:r w:rsidRPr="00B537AD">
        <w:rPr>
          <w:rStyle w:val="af7"/>
          <w:rFonts w:eastAsia="Guttman Hodes" w:hint="cs"/>
          <w:rtl/>
        </w:rPr>
        <w:instrText xml:space="preserve"> _</w:instrText>
      </w:r>
      <w:r w:rsidRPr="00B537AD">
        <w:rPr>
          <w:rStyle w:val="af7"/>
          <w:rFonts w:eastAsia="Guttman Hodes" w:hint="cs"/>
        </w:rPr>
        <w:instrText>Ref54602532 \r \h</w:instrText>
      </w:r>
      <w:r w:rsidRPr="00B537AD">
        <w:rPr>
          <w:rStyle w:val="af7"/>
          <w:rFonts w:eastAsia="Guttman Hodes"/>
          <w:rtl/>
        </w:rPr>
        <w:instrText xml:space="preserve">  \* </w:instrText>
      </w:r>
      <w:r w:rsidRPr="00B537AD">
        <w:rPr>
          <w:rStyle w:val="af7"/>
          <w:rFonts w:eastAsia="Guttman Hodes"/>
        </w:rPr>
        <w:instrText>MERGEFORMAT</w:instrText>
      </w:r>
      <w:r w:rsidRPr="00B537AD">
        <w:rPr>
          <w:rStyle w:val="af7"/>
          <w:rFonts w:eastAsia="Guttman Hodes"/>
          <w:rtl/>
        </w:rPr>
        <w:instrText xml:space="preserve"> </w:instrText>
      </w:r>
      <w:r w:rsidRPr="00B537AD">
        <w:rPr>
          <w:rStyle w:val="af7"/>
          <w:rFonts w:eastAsia="Guttman Hodes"/>
          <w:rtl/>
        </w:rPr>
      </w:r>
      <w:r w:rsidRPr="00B537AD">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B537AD">
        <w:rPr>
          <w:rStyle w:val="af7"/>
          <w:rFonts w:eastAsia="Guttman Hodes"/>
          <w:rtl/>
        </w:rPr>
        <w:fldChar w:fldCharType="end"/>
      </w:r>
      <w:r w:rsidRPr="00B537AD">
        <w:rPr>
          <w:rFonts w:hint="cs"/>
          <w:rtl/>
        </w:rPr>
        <w:t xml:space="preserve">], אך הקשה </w:t>
      </w:r>
      <w:r w:rsidRPr="00B537AD">
        <w:rPr>
          <w:rStyle w:val="af9"/>
          <w:rFonts w:hint="cs"/>
          <w:rtl/>
        </w:rPr>
        <w:t>הרשב"א</w:t>
      </w:r>
      <w:r w:rsidRPr="00B537AD">
        <w:rPr>
          <w:rStyle w:val="af7"/>
          <w:rFonts w:eastAsia="Guttman Hodes" w:hint="cs"/>
          <w:rtl/>
        </w:rPr>
        <w:t xml:space="preserve"> (ד</w:t>
      </w:r>
      <w:r w:rsidRPr="00B537AD">
        <w:rPr>
          <w:rStyle w:val="af7"/>
          <w:rFonts w:eastAsia="Guttman Hodes"/>
          <w:rtl/>
        </w:rPr>
        <w:t>"</w:t>
      </w:r>
      <w:r w:rsidRPr="00B537AD">
        <w:rPr>
          <w:rStyle w:val="af7"/>
          <w:rFonts w:eastAsia="Guttman Hodes" w:hint="cs"/>
          <w:rtl/>
        </w:rPr>
        <w:t xml:space="preserve">ה אלא) </w:t>
      </w:r>
      <w:r w:rsidRPr="00B537AD">
        <w:rPr>
          <w:rFonts w:hint="cs"/>
          <w:rtl/>
        </w:rPr>
        <w:t xml:space="preserve">דפשיטא דחזקה שאין עמה טענה אינה חזקה, כדמקשה כן הגמ' לקמן </w:t>
      </w:r>
      <w:r w:rsidRPr="00B537AD">
        <w:rPr>
          <w:rStyle w:val="af7"/>
          <w:rFonts w:eastAsia="Guttman Hodes" w:hint="cs"/>
          <w:rtl/>
        </w:rPr>
        <w:t>(מא.)</w:t>
      </w:r>
      <w:r w:rsidRPr="00B537AD">
        <w:rPr>
          <w:rFonts w:hint="cs"/>
          <w:rtl/>
        </w:rPr>
        <w:t xml:space="preserve">, ועי' בדברי </w:t>
      </w:r>
      <w:r w:rsidRPr="00B537AD">
        <w:rPr>
          <w:rStyle w:val="af9"/>
          <w:rFonts w:hint="cs"/>
          <w:rtl/>
        </w:rPr>
        <w:t>רבינו יונה</w:t>
      </w:r>
      <w:r w:rsidRPr="00B537AD">
        <w:rPr>
          <w:rFonts w:hint="cs"/>
          <w:rtl/>
        </w:rPr>
        <w:t xml:space="preserve"> </w:t>
      </w:r>
      <w:r w:rsidRPr="00B537AD">
        <w:rPr>
          <w:rStyle w:val="af7"/>
          <w:rFonts w:eastAsia="Guttman Hodes" w:hint="cs"/>
          <w:rtl/>
        </w:rPr>
        <w:t xml:space="preserve">(עי' אות </w:t>
      </w:r>
      <w:r w:rsidRPr="00B537AD">
        <w:rPr>
          <w:rStyle w:val="af7"/>
          <w:rFonts w:eastAsia="Guttman Hodes"/>
          <w:rtl/>
        </w:rPr>
        <w:fldChar w:fldCharType="begin"/>
      </w:r>
      <w:r w:rsidRPr="00B537AD">
        <w:rPr>
          <w:rStyle w:val="af7"/>
          <w:rFonts w:eastAsia="Guttman Hodes"/>
          <w:rtl/>
        </w:rPr>
        <w:instrText xml:space="preserve"> </w:instrText>
      </w:r>
      <w:r w:rsidRPr="00B537AD">
        <w:rPr>
          <w:rStyle w:val="af7"/>
          <w:rFonts w:eastAsia="Guttman Hodes" w:hint="cs"/>
        </w:rPr>
        <w:instrText>REF</w:instrText>
      </w:r>
      <w:r w:rsidRPr="00B537AD">
        <w:rPr>
          <w:rStyle w:val="af7"/>
          <w:rFonts w:eastAsia="Guttman Hodes" w:hint="cs"/>
          <w:rtl/>
        </w:rPr>
        <w:instrText xml:space="preserve"> _</w:instrText>
      </w:r>
      <w:r w:rsidRPr="00B537AD">
        <w:rPr>
          <w:rStyle w:val="af7"/>
          <w:rFonts w:eastAsia="Guttman Hodes" w:hint="cs"/>
        </w:rPr>
        <w:instrText>Ref54602869 \r \h</w:instrText>
      </w:r>
      <w:r w:rsidRPr="00B537AD">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537AD">
        <w:rPr>
          <w:rStyle w:val="af7"/>
          <w:rFonts w:eastAsia="Guttman Hodes"/>
          <w:rtl/>
        </w:rPr>
      </w:r>
      <w:r w:rsidRPr="00B537AD">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B537AD">
        <w:rPr>
          <w:rStyle w:val="af7"/>
          <w:rFonts w:eastAsia="Guttman Hodes"/>
          <w:rtl/>
        </w:rPr>
        <w:fldChar w:fldCharType="end"/>
      </w:r>
      <w:r w:rsidRPr="00B537AD">
        <w:rPr>
          <w:rStyle w:val="af7"/>
          <w:rFonts w:eastAsia="Guttman Hodes" w:hint="cs"/>
          <w:rtl/>
        </w:rPr>
        <w:t>.</w:t>
      </w:r>
      <w:bookmarkEnd w:id="2268"/>
    </w:p>
    <w:p w:rsidR="00900B10" w:rsidRDefault="00900B10" w:rsidP="00900B10">
      <w:pPr>
        <w:pStyle w:val="a3"/>
        <w:rPr>
          <w:rtl/>
        </w:rPr>
      </w:pPr>
      <w:bookmarkStart w:id="2269" w:name="_Toc54903479"/>
      <w:bookmarkStart w:id="2270" w:name="_Toc54948462"/>
      <w:bookmarkStart w:id="2271" w:name="_Toc54952065"/>
      <w:bookmarkStart w:id="2272" w:name="_Toc55072958"/>
      <w:bookmarkStart w:id="2273" w:name="_Toc55073159"/>
      <w:bookmarkStart w:id="2274" w:name="_Toc55073570"/>
      <w:bookmarkStart w:id="2275" w:name="_Toc55074118"/>
      <w:r w:rsidRPr="00B537AD">
        <w:rPr>
          <w:rFonts w:hint="cs"/>
          <w:rtl/>
        </w:rPr>
        <w:t>ביאור הרשב"א דהו"א דכמו ששור יוצא לעולם מחזקתו ה"ה בג"ש ונטען ל</w:t>
      </w:r>
      <w:r>
        <w:rPr>
          <w:rFonts w:hint="cs"/>
          <w:rtl/>
        </w:rPr>
        <w:t>ו שאבד שטרו</w:t>
      </w:r>
      <w:bookmarkEnd w:id="2269"/>
      <w:bookmarkEnd w:id="2270"/>
      <w:bookmarkEnd w:id="2271"/>
      <w:bookmarkEnd w:id="2272"/>
      <w:bookmarkEnd w:id="2273"/>
      <w:bookmarkEnd w:id="2274"/>
      <w:bookmarkEnd w:id="2275"/>
    </w:p>
    <w:p w:rsidR="00900B10" w:rsidRDefault="00900B10" w:rsidP="007E4E81">
      <w:pPr>
        <w:pStyle w:val="a0"/>
        <w:rPr>
          <w:rtl/>
        </w:rPr>
      </w:pPr>
      <w:bookmarkStart w:id="2276" w:name="_Ref54603002"/>
      <w:r>
        <w:rPr>
          <w:rFonts w:hint="cs"/>
          <w:rtl/>
        </w:rPr>
        <w:t xml:space="preserve">ותירץ </w:t>
      </w:r>
      <w:r w:rsidRPr="005B6D6C">
        <w:rPr>
          <w:rStyle w:val="af9"/>
          <w:rFonts w:hint="cs"/>
          <w:rtl/>
        </w:rPr>
        <w:t>הרשב"א</w:t>
      </w:r>
      <w:r>
        <w:rPr>
          <w:rFonts w:hint="cs"/>
          <w:rtl/>
        </w:rPr>
        <w:t xml:space="preserve"> דכוונת הגמ' להקשות דכיון דילפינן משור המועד, א"כ כמו דבשור המועד בכל האופנים הוי חזקה, ה"ה בחזקת ג"ש, דאף שהוא אינו טוען כל טענה, מ"מ אנן נטעון לו שהיה לו שטר ואבד, וכדאמרינן בגמ' לקמן </w:t>
      </w:r>
      <w:r w:rsidRPr="005B6D6C">
        <w:rPr>
          <w:rStyle w:val="af7"/>
          <w:rFonts w:eastAsia="Guttman Hodes" w:hint="cs"/>
          <w:rtl/>
        </w:rPr>
        <w:t xml:space="preserve">(מא.) </w:t>
      </w:r>
      <w:r>
        <w:rPr>
          <w:rFonts w:hint="cs"/>
          <w:rtl/>
        </w:rPr>
        <w:t>דזה באה המשנה לקמן לחדש דלא הוי חזקה כלל, ולא אמרינן דשמא היה לו שטר ואבד, והוא חושש לטעון שקנה מהמערער</w:t>
      </w:r>
      <w:r w:rsidRPr="00141670">
        <w:rPr>
          <w:rFonts w:hint="cs"/>
          <w:rtl/>
        </w:rPr>
        <w:t>, שמא יטען לו המערער אחוי שטרך, ונטען לו שמא היה לו שטר ואבד</w:t>
      </w:r>
      <w:r>
        <w:rPr>
          <w:rFonts w:hint="cs"/>
          <w:rtl/>
        </w:rPr>
        <w:t>,</w:t>
      </w:r>
      <w:r w:rsidRPr="00141670">
        <w:rPr>
          <w:rFonts w:hint="cs"/>
          <w:rtl/>
        </w:rPr>
        <w:t xml:space="preserve"> ועי' בדברי </w:t>
      </w:r>
      <w:r w:rsidRPr="00141670">
        <w:rPr>
          <w:rStyle w:val="af9"/>
          <w:rFonts w:hint="cs"/>
          <w:rtl/>
        </w:rPr>
        <w:t>רבינו יונה בביאורו הב'</w:t>
      </w:r>
      <w:r w:rsidRPr="00141670">
        <w:rPr>
          <w:rFonts w:hint="cs"/>
          <w:rtl/>
        </w:rPr>
        <w:t xml:space="preserve"> </w:t>
      </w:r>
      <w:r w:rsidRPr="00141670">
        <w:rPr>
          <w:rStyle w:val="af7"/>
          <w:rFonts w:eastAsia="Guttman Hodes" w:hint="cs"/>
          <w:rtl/>
        </w:rPr>
        <w:t xml:space="preserve">(עי' אות </w:t>
      </w:r>
      <w:r w:rsidRPr="00141670">
        <w:rPr>
          <w:rStyle w:val="af7"/>
          <w:rFonts w:eastAsia="Guttman Hodes"/>
          <w:rtl/>
        </w:rPr>
        <w:fldChar w:fldCharType="begin"/>
      </w:r>
      <w:r w:rsidRPr="00141670">
        <w:rPr>
          <w:rStyle w:val="af7"/>
          <w:rFonts w:eastAsia="Guttman Hodes"/>
          <w:rtl/>
        </w:rPr>
        <w:instrText xml:space="preserve"> </w:instrText>
      </w:r>
      <w:r w:rsidRPr="00141670">
        <w:rPr>
          <w:rStyle w:val="af7"/>
          <w:rFonts w:eastAsia="Guttman Hodes" w:hint="cs"/>
        </w:rPr>
        <w:instrText>REF</w:instrText>
      </w:r>
      <w:r w:rsidRPr="00141670">
        <w:rPr>
          <w:rStyle w:val="af7"/>
          <w:rFonts w:eastAsia="Guttman Hodes" w:hint="cs"/>
          <w:rtl/>
        </w:rPr>
        <w:instrText xml:space="preserve"> _</w:instrText>
      </w:r>
      <w:r w:rsidRPr="00141670">
        <w:rPr>
          <w:rStyle w:val="af7"/>
          <w:rFonts w:eastAsia="Guttman Hodes" w:hint="cs"/>
        </w:rPr>
        <w:instrText>Ref54602979 \r \h</w:instrText>
      </w:r>
      <w:r w:rsidRPr="00141670">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41670">
        <w:rPr>
          <w:rStyle w:val="af7"/>
          <w:rFonts w:eastAsia="Guttman Hodes"/>
          <w:rtl/>
        </w:rPr>
      </w:r>
      <w:r w:rsidRPr="00141670">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141670">
        <w:rPr>
          <w:rStyle w:val="af7"/>
          <w:rFonts w:eastAsia="Guttman Hodes"/>
          <w:rtl/>
        </w:rPr>
        <w:fldChar w:fldCharType="end"/>
      </w:r>
      <w:bookmarkEnd w:id="2276"/>
      <w:r w:rsidRPr="00141670">
        <w:rPr>
          <w:rFonts w:hint="cs"/>
          <w:rtl/>
        </w:rPr>
        <w:t>.</w:t>
      </w:r>
    </w:p>
    <w:p w:rsidR="00900B10" w:rsidRPr="00AE0AE8" w:rsidRDefault="00900B10" w:rsidP="00900B10">
      <w:pPr>
        <w:pStyle w:val="1"/>
        <w:rPr>
          <w:rtl/>
        </w:rPr>
      </w:pPr>
      <w:bookmarkStart w:id="2277" w:name="_Toc54603726"/>
      <w:bookmarkStart w:id="2278" w:name="_Toc54643468"/>
      <w:bookmarkStart w:id="2279" w:name="_Toc54730213"/>
      <w:bookmarkStart w:id="2280" w:name="_Toc54867234"/>
      <w:bookmarkStart w:id="2281" w:name="_Toc54868833"/>
      <w:bookmarkStart w:id="2282" w:name="_Toc54887740"/>
      <w:bookmarkStart w:id="2283" w:name="_Toc54891193"/>
      <w:bookmarkStart w:id="2284" w:name="_Toc54903480"/>
      <w:bookmarkStart w:id="2285" w:name="_Toc54948463"/>
      <w:bookmarkStart w:id="2286" w:name="_Toc54952066"/>
      <w:bookmarkStart w:id="2287" w:name="_Toc55072959"/>
      <w:bookmarkStart w:id="2288" w:name="_Toc55073160"/>
      <w:bookmarkStart w:id="2289" w:name="_Toc55073571"/>
      <w:bookmarkStart w:id="2290" w:name="_Toc55074119"/>
      <w:r>
        <w:rPr>
          <w:rFonts w:hint="cs"/>
          <w:rtl/>
        </w:rPr>
        <w:t>דברי הרשב"א במחילה בתשמישים ובקרקעות</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r>
        <w:rPr>
          <w:rFonts w:hint="cs"/>
          <w:rtl/>
        </w:rPr>
        <w:t xml:space="preserve"> להולכי אושא</w:t>
      </w:r>
      <w:bookmarkEnd w:id="2290"/>
    </w:p>
    <w:p w:rsidR="00900B10" w:rsidRDefault="00900B10" w:rsidP="00900B10">
      <w:pPr>
        <w:pStyle w:val="a3"/>
        <w:rPr>
          <w:rtl/>
        </w:rPr>
      </w:pPr>
      <w:bookmarkStart w:id="2291" w:name="_Toc54903481"/>
      <w:bookmarkStart w:id="2292" w:name="_Toc54948464"/>
      <w:bookmarkStart w:id="2293" w:name="_Toc54952067"/>
      <w:bookmarkStart w:id="2294" w:name="_Toc55072960"/>
      <w:bookmarkStart w:id="2295" w:name="_Toc55073161"/>
      <w:bookmarkStart w:id="2296" w:name="_Toc55073572"/>
      <w:bookmarkStart w:id="2297" w:name="_Toc55074120"/>
      <w:r>
        <w:rPr>
          <w:rFonts w:hint="cs"/>
          <w:rtl/>
        </w:rPr>
        <w:t>קושית הרשב"א על תי' הגמ' דאמאי לא טענינן הא יצאה מהמר"ק ומדשתק מוכח דמחל לו</w:t>
      </w:r>
      <w:bookmarkEnd w:id="2291"/>
      <w:bookmarkEnd w:id="2292"/>
      <w:bookmarkEnd w:id="2293"/>
      <w:bookmarkEnd w:id="2294"/>
      <w:bookmarkEnd w:id="2295"/>
      <w:bookmarkEnd w:id="2296"/>
      <w:bookmarkEnd w:id="2297"/>
    </w:p>
    <w:p w:rsidR="00900B10" w:rsidRPr="006B34B4" w:rsidRDefault="00900B10" w:rsidP="007E4E81">
      <w:pPr>
        <w:pStyle w:val="a0"/>
        <w:rPr>
          <w:rtl/>
        </w:rPr>
      </w:pPr>
      <w:bookmarkStart w:id="2298" w:name="_Ref54859080"/>
      <w:r>
        <w:rPr>
          <w:rFonts w:hint="cs"/>
          <w:rtl/>
        </w:rPr>
        <w:t xml:space="preserve">אך הקשה </w:t>
      </w:r>
      <w:r w:rsidRPr="00620CE5">
        <w:rPr>
          <w:rStyle w:val="af9"/>
          <w:rFonts w:hint="cs"/>
          <w:rtl/>
        </w:rPr>
        <w:t xml:space="preserve">הרשב"א </w:t>
      </w:r>
      <w:r>
        <w:rPr>
          <w:rFonts w:hint="cs"/>
          <w:rtl/>
        </w:rPr>
        <w:t>דא"כ מה תירצה הגמ' דאיהו לא טעין אנן לא טענינן ליה, הא כיון דילפינן משור המועד, א"כ נאמר דחזקה היא כמו שור המועד ובכל ענין חשיב שהשדה יצאה מחזקת המרא קמא, והיא עומדת בחזקת המחזיק, דנאמר דמהא דשתק לו הבעלים על אכילת ג"ש מוכח דמחל לו על הקרקע</w:t>
      </w:r>
      <w:r w:rsidRPr="001A6FA1">
        <w:rPr>
          <w:rFonts w:hint="cs"/>
          <w:rtl/>
        </w:rPr>
        <w:t>, ועי' במה שביאר</w:t>
      </w:r>
      <w:r>
        <w:rPr>
          <w:rFonts w:hint="cs"/>
          <w:rtl/>
        </w:rPr>
        <w:t>ו</w:t>
      </w:r>
      <w:r w:rsidRPr="001A6FA1">
        <w:rPr>
          <w:rFonts w:hint="cs"/>
          <w:rtl/>
        </w:rPr>
        <w:t xml:space="preserve"> </w:t>
      </w:r>
      <w:r w:rsidRPr="00620CE5">
        <w:rPr>
          <w:rStyle w:val="af9"/>
          <w:rFonts w:hint="cs"/>
          <w:rtl/>
        </w:rPr>
        <w:t xml:space="preserve">הברכ"ש </w:t>
      </w:r>
      <w:r w:rsidRPr="00620CE5">
        <w:rPr>
          <w:rStyle w:val="af7"/>
          <w:rFonts w:eastAsia="Guttman Hodes" w:hint="cs"/>
          <w:rtl/>
        </w:rPr>
        <w:t xml:space="preserve">(עי' אות </w:t>
      </w:r>
      <w:r w:rsidRPr="00620CE5">
        <w:rPr>
          <w:rStyle w:val="af7"/>
          <w:rFonts w:eastAsia="Guttman Hodes"/>
          <w:rtl/>
        </w:rPr>
        <w:fldChar w:fldCharType="begin"/>
      </w:r>
      <w:r w:rsidRPr="00620CE5">
        <w:rPr>
          <w:rStyle w:val="af7"/>
          <w:rFonts w:eastAsia="Guttman Hodes"/>
          <w:rtl/>
        </w:rPr>
        <w:instrText xml:space="preserve"> </w:instrText>
      </w:r>
      <w:r w:rsidRPr="00620CE5">
        <w:rPr>
          <w:rStyle w:val="af7"/>
          <w:rFonts w:eastAsia="Guttman Hodes" w:hint="cs"/>
        </w:rPr>
        <w:instrText>REF</w:instrText>
      </w:r>
      <w:r w:rsidRPr="00620CE5">
        <w:rPr>
          <w:rStyle w:val="af7"/>
          <w:rFonts w:eastAsia="Guttman Hodes" w:hint="cs"/>
          <w:rtl/>
        </w:rPr>
        <w:instrText xml:space="preserve"> _</w:instrText>
      </w:r>
      <w:r w:rsidRPr="00620CE5">
        <w:rPr>
          <w:rStyle w:val="af7"/>
          <w:rFonts w:eastAsia="Guttman Hodes" w:hint="cs"/>
        </w:rPr>
        <w:instrText>Ref54712087 \r \h</w:instrText>
      </w:r>
      <w:r w:rsidRPr="00620CE5">
        <w:rPr>
          <w:rStyle w:val="af7"/>
          <w:rFonts w:eastAsia="Guttman Hodes"/>
          <w:rtl/>
        </w:rPr>
        <w:instrText xml:space="preserve">  \* </w:instrText>
      </w:r>
      <w:r w:rsidRPr="00620CE5">
        <w:rPr>
          <w:rStyle w:val="af7"/>
          <w:rFonts w:eastAsia="Guttman Hodes"/>
        </w:rPr>
        <w:instrText>MERGEFORMAT</w:instrText>
      </w:r>
      <w:r w:rsidRPr="00620CE5">
        <w:rPr>
          <w:rStyle w:val="af7"/>
          <w:rFonts w:eastAsia="Guttman Hodes"/>
          <w:rtl/>
        </w:rPr>
        <w:instrText xml:space="preserve"> </w:instrText>
      </w:r>
      <w:r w:rsidRPr="00620CE5">
        <w:rPr>
          <w:rStyle w:val="af7"/>
          <w:rFonts w:eastAsia="Guttman Hodes"/>
          <w:rtl/>
        </w:rPr>
      </w:r>
      <w:r w:rsidRPr="00620CE5">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sidRPr="00620CE5">
        <w:rPr>
          <w:rStyle w:val="af7"/>
          <w:rFonts w:eastAsia="Guttman Hodes"/>
          <w:rtl/>
        </w:rPr>
        <w:fldChar w:fldCharType="end"/>
      </w:r>
      <w:r w:rsidRPr="001A6FA1">
        <w:rPr>
          <w:rFonts w:hint="cs"/>
          <w:rtl/>
        </w:rPr>
        <w:t xml:space="preserve"> </w:t>
      </w:r>
      <w:r w:rsidRPr="008E0E85">
        <w:rPr>
          <w:rStyle w:val="af9"/>
          <w:rFonts w:hint="cs"/>
          <w:rtl/>
        </w:rPr>
        <w:t>ובחי' רבי נחום</w:t>
      </w:r>
      <w:r>
        <w:rPr>
          <w:rFonts w:hint="cs"/>
          <w:rtl/>
        </w:rPr>
        <w:t xml:space="preserve"> </w:t>
      </w:r>
      <w:r w:rsidRPr="008E0E85">
        <w:rPr>
          <w:rStyle w:val="af7"/>
          <w:rFonts w:eastAsia="Guttman Hodes" w:hint="cs"/>
          <w:rtl/>
        </w:rPr>
        <w:t xml:space="preserve">(עי' אות </w:t>
      </w:r>
      <w:r w:rsidRPr="008E0E85">
        <w:rPr>
          <w:rStyle w:val="af7"/>
          <w:rFonts w:eastAsia="Guttman Hodes"/>
          <w:rtl/>
        </w:rPr>
        <w:fldChar w:fldCharType="begin"/>
      </w:r>
      <w:r w:rsidRPr="008E0E85">
        <w:rPr>
          <w:rStyle w:val="af7"/>
          <w:rFonts w:eastAsia="Guttman Hodes"/>
          <w:rtl/>
        </w:rPr>
        <w:instrText xml:space="preserve"> </w:instrText>
      </w:r>
      <w:r w:rsidRPr="008E0E85">
        <w:rPr>
          <w:rStyle w:val="af7"/>
          <w:rFonts w:eastAsia="Guttman Hodes" w:hint="cs"/>
        </w:rPr>
        <w:instrText>REF</w:instrText>
      </w:r>
      <w:r w:rsidRPr="008E0E85">
        <w:rPr>
          <w:rStyle w:val="af7"/>
          <w:rFonts w:eastAsia="Guttman Hodes" w:hint="cs"/>
          <w:rtl/>
        </w:rPr>
        <w:instrText xml:space="preserve"> _</w:instrText>
      </w:r>
      <w:r w:rsidRPr="008E0E85">
        <w:rPr>
          <w:rStyle w:val="af7"/>
          <w:rFonts w:eastAsia="Guttman Hodes" w:hint="cs"/>
        </w:rPr>
        <w:instrText>Ref55069057 \r \h</w:instrText>
      </w:r>
      <w:r w:rsidRPr="008E0E85">
        <w:rPr>
          <w:rStyle w:val="af7"/>
          <w:rFonts w:eastAsia="Guttman Hodes"/>
          <w:rtl/>
        </w:rPr>
        <w:instrText xml:space="preserve"> </w:instrText>
      </w:r>
      <w:r w:rsidRPr="008E0E85">
        <w:rPr>
          <w:rStyle w:val="af7"/>
          <w:rFonts w:eastAsia="Guttman Hodes"/>
          <w:rtl/>
        </w:rPr>
      </w:r>
      <w:r w:rsidRPr="008E0E85">
        <w:rPr>
          <w:rStyle w:val="af7"/>
          <w:rFonts w:eastAsia="Guttman Hodes"/>
          <w:rtl/>
        </w:rPr>
        <w:fldChar w:fldCharType="separate"/>
      </w:r>
      <w:r w:rsidR="00265073">
        <w:rPr>
          <w:rStyle w:val="af7"/>
          <w:rFonts w:eastAsia="Guttman Hodes"/>
          <w:cs/>
        </w:rPr>
        <w:t>‎</w:t>
      </w:r>
      <w:r w:rsidR="00265073">
        <w:rPr>
          <w:rStyle w:val="af7"/>
          <w:rFonts w:eastAsia="Guttman Hodes"/>
          <w:rtl/>
        </w:rPr>
        <w:t>צה)</w:t>
      </w:r>
      <w:r w:rsidRPr="008E0E85">
        <w:rPr>
          <w:rStyle w:val="af7"/>
          <w:rFonts w:eastAsia="Guttman Hodes"/>
          <w:rtl/>
        </w:rPr>
        <w:fldChar w:fldCharType="end"/>
      </w:r>
      <w:r>
        <w:rPr>
          <w:rFonts w:hint="cs"/>
          <w:rtl/>
        </w:rPr>
        <w:t xml:space="preserve"> </w:t>
      </w:r>
      <w:r w:rsidRPr="001A6FA1">
        <w:rPr>
          <w:rFonts w:hint="cs"/>
          <w:rtl/>
        </w:rPr>
        <w:t xml:space="preserve">בדברי </w:t>
      </w:r>
      <w:r w:rsidRPr="00620CE5">
        <w:rPr>
          <w:rStyle w:val="af9"/>
          <w:rFonts w:hint="cs"/>
          <w:rtl/>
        </w:rPr>
        <w:t>הרשב"א</w:t>
      </w:r>
      <w:r w:rsidRPr="006B34B4">
        <w:rPr>
          <w:rFonts w:hint="cs"/>
          <w:rtl/>
        </w:rPr>
        <w:t>.</w:t>
      </w:r>
      <w:bookmarkEnd w:id="2298"/>
    </w:p>
    <w:p w:rsidR="00900B10" w:rsidRPr="006953B3" w:rsidRDefault="00900B10" w:rsidP="00900B10">
      <w:pPr>
        <w:pStyle w:val="a3"/>
        <w:rPr>
          <w:rtl/>
        </w:rPr>
      </w:pPr>
      <w:bookmarkStart w:id="2299" w:name="_Toc54903482"/>
      <w:bookmarkStart w:id="2300" w:name="_Toc54948465"/>
      <w:bookmarkStart w:id="2301" w:name="_Toc54952068"/>
      <w:bookmarkStart w:id="2302" w:name="_Toc55072961"/>
      <w:bookmarkStart w:id="2303" w:name="_Toc55073162"/>
      <w:bookmarkStart w:id="2304" w:name="_Toc55073573"/>
      <w:bookmarkStart w:id="2305" w:name="_Toc55074121"/>
      <w:r>
        <w:rPr>
          <w:rFonts w:hint="cs"/>
          <w:rtl/>
        </w:rPr>
        <w:t>דברי הרשב"א דמהני מחילה בקרקע כשאינו מחסרו קרקע כמו בחזקת תשמישים לדעת הגאונים</w:t>
      </w:r>
      <w:bookmarkEnd w:id="2299"/>
      <w:bookmarkEnd w:id="2300"/>
      <w:bookmarkEnd w:id="2301"/>
      <w:bookmarkEnd w:id="2302"/>
      <w:bookmarkEnd w:id="2303"/>
      <w:bookmarkEnd w:id="2304"/>
      <w:bookmarkEnd w:id="2305"/>
    </w:p>
    <w:p w:rsidR="00900B10" w:rsidRDefault="00900B10" w:rsidP="007E4E81">
      <w:pPr>
        <w:pStyle w:val="a0"/>
        <w:rPr>
          <w:rtl/>
        </w:rPr>
      </w:pPr>
      <w:bookmarkStart w:id="2306" w:name="_Ref54859403"/>
      <w:r>
        <w:rPr>
          <w:rFonts w:hint="cs"/>
          <w:rtl/>
        </w:rPr>
        <w:t xml:space="preserve">וכתב </w:t>
      </w:r>
      <w:r w:rsidRPr="00620CE5">
        <w:rPr>
          <w:rStyle w:val="af9"/>
          <w:rFonts w:hint="cs"/>
          <w:rtl/>
        </w:rPr>
        <w:t xml:space="preserve">הרשב"א </w:t>
      </w:r>
      <w:r>
        <w:rPr>
          <w:rFonts w:hint="cs"/>
          <w:rtl/>
        </w:rPr>
        <w:t xml:space="preserve">דכיון דילפינן שיצאה הקרקע מהמרא קמא והיא בחזקת המחזיק, א"כ מהני מחילה בקרקע, כמו שמצינו במחילה </w:t>
      </w:r>
      <w:r>
        <w:rPr>
          <w:rFonts w:hint="cs"/>
          <w:rtl/>
        </w:rPr>
        <w:t xml:space="preserve">בתשמישים בקרקע, </w:t>
      </w:r>
      <w:r w:rsidRPr="00620CE5">
        <w:rPr>
          <w:rStyle w:val="afb"/>
          <w:rFonts w:hint="cs"/>
          <w:rtl/>
        </w:rPr>
        <w:t>כגון שהוציא זיז מעל חצר חבירו, או שנעץ קורה בכותל של חבירו],</w:t>
      </w:r>
      <w:r>
        <w:rPr>
          <w:rFonts w:hint="cs"/>
          <w:rtl/>
        </w:rPr>
        <w:t xml:space="preserve"> דלדעת </w:t>
      </w:r>
      <w:r w:rsidRPr="00620CE5">
        <w:rPr>
          <w:rStyle w:val="af9"/>
          <w:rFonts w:hint="cs"/>
          <w:rtl/>
        </w:rPr>
        <w:t>הגאונים</w:t>
      </w:r>
      <w:r>
        <w:rPr>
          <w:rFonts w:hint="cs"/>
          <w:rtl/>
        </w:rPr>
        <w:t xml:space="preserve"> </w:t>
      </w:r>
      <w:r w:rsidRPr="0056344D">
        <w:rPr>
          <w:rStyle w:val="afb"/>
          <w:rFonts w:hint="cs"/>
          <w:rtl/>
        </w:rPr>
        <w:t>[</w:t>
      </w:r>
      <w:r>
        <w:rPr>
          <w:rStyle w:val="afb"/>
          <w:rFonts w:hint="cs"/>
          <w:rtl/>
        </w:rPr>
        <w:t xml:space="preserve">הובאו </w:t>
      </w:r>
      <w:r w:rsidRPr="0056344D">
        <w:rPr>
          <w:rStyle w:val="affa"/>
          <w:rFonts w:hint="cs"/>
          <w:rtl/>
        </w:rPr>
        <w:t>ברשב"א לעיל</w:t>
      </w:r>
      <w:r w:rsidRPr="0056344D">
        <w:rPr>
          <w:rStyle w:val="afb"/>
          <w:rFonts w:hint="cs"/>
          <w:rtl/>
        </w:rPr>
        <w:t xml:space="preserve"> </w:t>
      </w:r>
      <w:r w:rsidRPr="0056344D">
        <w:rPr>
          <w:rStyle w:val="aff6"/>
          <w:rFonts w:hint="cs"/>
          <w:rtl/>
        </w:rPr>
        <w:t>(ו: ד"ה וי"מ)</w:t>
      </w:r>
      <w:r w:rsidRPr="0056344D">
        <w:rPr>
          <w:rStyle w:val="afb"/>
          <w:rFonts w:hint="cs"/>
          <w:rtl/>
        </w:rPr>
        <w:t>]</w:t>
      </w:r>
      <w:r>
        <w:rPr>
          <w:rFonts w:hint="cs"/>
          <w:rtl/>
        </w:rPr>
        <w:t xml:space="preserve"> בכל תשמיש שעושה בקרקע של חבירו שאינו מחסרו קרקע, כל שלא מחה בו בעל הקרקע, יש לו חזקת תשמישים מדין מחילה, </w:t>
      </w:r>
      <w:r w:rsidRPr="003C323B">
        <w:rPr>
          <w:rStyle w:val="afb"/>
          <w:rFonts w:hint="cs"/>
          <w:rtl/>
        </w:rPr>
        <w:t>[וכן בחזקת ג"ש שיצאה כבר מחזקת המרא קמא, אינו מחסרו קרקע],</w:t>
      </w:r>
      <w:r>
        <w:rPr>
          <w:rFonts w:hint="cs"/>
          <w:rtl/>
        </w:rPr>
        <w:t xml:space="preserve"> </w:t>
      </w:r>
      <w:bookmarkEnd w:id="2306"/>
      <w:r>
        <w:rPr>
          <w:rFonts w:hint="cs"/>
          <w:rtl/>
        </w:rPr>
        <w:t xml:space="preserve">ועי' במ"ש </w:t>
      </w:r>
      <w:r w:rsidRPr="00021515">
        <w:rPr>
          <w:rStyle w:val="af9"/>
          <w:rFonts w:hint="cs"/>
          <w:rtl/>
        </w:rPr>
        <w:t xml:space="preserve">בחי' רבי נחום </w:t>
      </w:r>
      <w:r w:rsidRPr="00021515">
        <w:rPr>
          <w:rStyle w:val="af7"/>
          <w:rFonts w:eastAsia="Guttman Hodes" w:hint="cs"/>
          <w:rtl/>
        </w:rPr>
        <w:t xml:space="preserve">(עי' אות </w:t>
      </w:r>
      <w:r w:rsidRPr="00021515">
        <w:rPr>
          <w:rStyle w:val="af7"/>
          <w:rFonts w:eastAsia="Guttman Hodes"/>
          <w:rtl/>
        </w:rPr>
        <w:fldChar w:fldCharType="begin"/>
      </w:r>
      <w:r w:rsidRPr="00021515">
        <w:rPr>
          <w:rStyle w:val="af7"/>
          <w:rFonts w:eastAsia="Guttman Hodes"/>
          <w:rtl/>
        </w:rPr>
        <w:instrText xml:space="preserve"> </w:instrText>
      </w:r>
      <w:r w:rsidRPr="00021515">
        <w:rPr>
          <w:rStyle w:val="af7"/>
          <w:rFonts w:eastAsia="Guttman Hodes" w:hint="cs"/>
        </w:rPr>
        <w:instrText>REF</w:instrText>
      </w:r>
      <w:r w:rsidRPr="00021515">
        <w:rPr>
          <w:rStyle w:val="af7"/>
          <w:rFonts w:eastAsia="Guttman Hodes" w:hint="cs"/>
          <w:rtl/>
        </w:rPr>
        <w:instrText xml:space="preserve"> _</w:instrText>
      </w:r>
      <w:r w:rsidRPr="00021515">
        <w:rPr>
          <w:rStyle w:val="af7"/>
          <w:rFonts w:eastAsia="Guttman Hodes" w:hint="cs"/>
        </w:rPr>
        <w:instrText>Ref54859526 \r \h</w:instrText>
      </w:r>
      <w:r w:rsidRPr="00021515">
        <w:rPr>
          <w:rStyle w:val="af7"/>
          <w:rFonts w:eastAsia="Guttman Hodes"/>
          <w:rtl/>
        </w:rPr>
        <w:instrText xml:space="preserve"> </w:instrText>
      </w:r>
      <w:r w:rsidRPr="00021515">
        <w:rPr>
          <w:rStyle w:val="af7"/>
          <w:rFonts w:eastAsia="Guttman Hodes"/>
          <w:rtl/>
        </w:rPr>
      </w:r>
      <w:r w:rsidRPr="00021515">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021515">
        <w:rPr>
          <w:rStyle w:val="af7"/>
          <w:rFonts w:eastAsia="Guttman Hodes"/>
          <w:rtl/>
        </w:rPr>
        <w:fldChar w:fldCharType="end"/>
      </w:r>
      <w:r>
        <w:rPr>
          <w:rFonts w:hint="cs"/>
          <w:rtl/>
        </w:rPr>
        <w:t xml:space="preserve"> </w:t>
      </w:r>
      <w:r w:rsidRPr="00021515">
        <w:rPr>
          <w:rStyle w:val="af9"/>
          <w:rFonts w:hint="cs"/>
          <w:rtl/>
        </w:rPr>
        <w:t xml:space="preserve">דהתוס' </w:t>
      </w:r>
      <w:r>
        <w:rPr>
          <w:rFonts w:hint="cs"/>
          <w:rtl/>
        </w:rPr>
        <w:t xml:space="preserve">פליגי על </w:t>
      </w:r>
      <w:r w:rsidRPr="00992859">
        <w:rPr>
          <w:rStyle w:val="af9"/>
          <w:rFonts w:hint="cs"/>
          <w:rtl/>
        </w:rPr>
        <w:t>הגאונים</w:t>
      </w:r>
      <w:r>
        <w:rPr>
          <w:rFonts w:hint="cs"/>
          <w:rtl/>
        </w:rPr>
        <w:t>, ולדבריהם</w:t>
      </w:r>
      <w:r w:rsidRPr="00021515">
        <w:rPr>
          <w:rFonts w:hint="cs"/>
          <w:rtl/>
        </w:rPr>
        <w:t xml:space="preserve"> </w:t>
      </w:r>
      <w:r>
        <w:rPr>
          <w:rFonts w:hint="cs"/>
          <w:rtl/>
        </w:rPr>
        <w:t xml:space="preserve">לא קשה קושית </w:t>
      </w:r>
      <w:r w:rsidRPr="00021515">
        <w:rPr>
          <w:rStyle w:val="af9"/>
          <w:rFonts w:hint="cs"/>
          <w:rtl/>
        </w:rPr>
        <w:t>הרשב"א</w:t>
      </w:r>
      <w:r>
        <w:rPr>
          <w:rFonts w:hint="cs"/>
          <w:rtl/>
        </w:rPr>
        <w:t>.</w:t>
      </w:r>
      <w:r w:rsidRPr="00021515">
        <w:rPr>
          <w:rStyle w:val="afb"/>
          <w:rFonts w:hint="cs"/>
          <w:rtl/>
        </w:rPr>
        <w:t xml:space="preserve"> </w:t>
      </w:r>
      <w:r w:rsidRPr="00620CE5">
        <w:rPr>
          <w:rStyle w:val="afb"/>
          <w:rFonts w:hint="cs"/>
          <w:rtl/>
        </w:rPr>
        <w:t>[וע</w:t>
      </w:r>
      <w:r>
        <w:rPr>
          <w:rStyle w:val="afb"/>
          <w:rFonts w:hint="cs"/>
          <w:rtl/>
        </w:rPr>
        <w:t>"ע</w:t>
      </w:r>
      <w:r w:rsidRPr="00620CE5">
        <w:rPr>
          <w:rStyle w:val="afb"/>
          <w:rFonts w:hint="cs"/>
          <w:rtl/>
        </w:rPr>
        <w:t xml:space="preserve"> במ"ש </w:t>
      </w:r>
      <w:r w:rsidRPr="00620CE5">
        <w:rPr>
          <w:rStyle w:val="affa"/>
          <w:rFonts w:hint="cs"/>
          <w:rtl/>
        </w:rPr>
        <w:t>בברכ"ש</w:t>
      </w:r>
      <w:r w:rsidRPr="00620CE5">
        <w:rPr>
          <w:rStyle w:val="afb"/>
          <w:rFonts w:hint="cs"/>
          <w:rtl/>
        </w:rPr>
        <w:t xml:space="preserve"> </w:t>
      </w:r>
      <w:r w:rsidRPr="00620CE5">
        <w:rPr>
          <w:rStyle w:val="aff6"/>
          <w:rFonts w:hint="cs"/>
          <w:rtl/>
        </w:rPr>
        <w:t>(סי' כ"ד או' ב', סי' כ"ה או' ב')</w:t>
      </w:r>
      <w:r w:rsidRPr="00620CE5">
        <w:rPr>
          <w:rStyle w:val="afb"/>
          <w:rFonts w:hint="cs"/>
          <w:rtl/>
        </w:rPr>
        <w:t xml:space="preserve"> </w:t>
      </w:r>
      <w:r w:rsidRPr="00620CE5">
        <w:rPr>
          <w:rStyle w:val="affa"/>
          <w:rFonts w:hint="cs"/>
          <w:rtl/>
        </w:rPr>
        <w:t>ובחו"ש הגרב"ב</w:t>
      </w:r>
      <w:r w:rsidRPr="00620CE5">
        <w:rPr>
          <w:rStyle w:val="aff6"/>
          <w:rFonts w:hint="cs"/>
          <w:rtl/>
        </w:rPr>
        <w:t xml:space="preserve"> (ח"א סי' ז')</w:t>
      </w:r>
      <w:r w:rsidRPr="00620CE5">
        <w:rPr>
          <w:rStyle w:val="afb"/>
          <w:rFonts w:hint="cs"/>
          <w:rtl/>
        </w:rPr>
        <w:t xml:space="preserve"> </w:t>
      </w:r>
      <w:r w:rsidRPr="00620CE5">
        <w:rPr>
          <w:rStyle w:val="affa"/>
          <w:rFonts w:hint="cs"/>
          <w:rtl/>
        </w:rPr>
        <w:t>ובקוב"ש</w:t>
      </w:r>
      <w:r w:rsidRPr="00620CE5">
        <w:rPr>
          <w:rStyle w:val="afb"/>
          <w:rFonts w:hint="cs"/>
          <w:rtl/>
        </w:rPr>
        <w:t xml:space="preserve"> </w:t>
      </w:r>
      <w:r w:rsidRPr="00620CE5">
        <w:rPr>
          <w:rStyle w:val="aff6"/>
          <w:rFonts w:hint="cs"/>
          <w:rtl/>
        </w:rPr>
        <w:t>(או' ק"א)</w:t>
      </w:r>
      <w:r w:rsidRPr="00620CE5">
        <w:rPr>
          <w:rStyle w:val="afb"/>
          <w:rFonts w:hint="cs"/>
          <w:rtl/>
        </w:rPr>
        <w:t xml:space="preserve"> בביאור דברי </w:t>
      </w:r>
      <w:r w:rsidRPr="00620CE5">
        <w:rPr>
          <w:rStyle w:val="affa"/>
          <w:rFonts w:hint="cs"/>
          <w:rtl/>
        </w:rPr>
        <w:t>הרשב"א</w:t>
      </w:r>
      <w:r w:rsidRPr="00620CE5">
        <w:rPr>
          <w:rStyle w:val="afb"/>
          <w:rFonts w:hint="cs"/>
          <w:rtl/>
        </w:rPr>
        <w:t xml:space="preserve"> בדין </w:t>
      </w:r>
      <w:r>
        <w:rPr>
          <w:rStyle w:val="afb"/>
          <w:rFonts w:hint="cs"/>
          <w:rtl/>
        </w:rPr>
        <w:t>מחילה ב</w:t>
      </w:r>
      <w:r w:rsidRPr="00620CE5">
        <w:rPr>
          <w:rStyle w:val="afb"/>
          <w:rFonts w:hint="cs"/>
          <w:rtl/>
        </w:rPr>
        <w:t>חזקת תשמישים]</w:t>
      </w:r>
      <w:r>
        <w:rPr>
          <w:rStyle w:val="afb"/>
          <w:rFonts w:hint="cs"/>
          <w:rtl/>
        </w:rPr>
        <w:t>.</w:t>
      </w:r>
    </w:p>
    <w:p w:rsidR="00900B10" w:rsidRPr="00BA097B" w:rsidRDefault="00900B10" w:rsidP="00900B10">
      <w:pPr>
        <w:pStyle w:val="a3"/>
        <w:rPr>
          <w:rtl/>
        </w:rPr>
      </w:pPr>
      <w:bookmarkStart w:id="2307" w:name="_Toc54903483"/>
      <w:bookmarkStart w:id="2308" w:name="_Toc54948466"/>
      <w:bookmarkStart w:id="2309" w:name="_Toc54952069"/>
      <w:bookmarkStart w:id="2310" w:name="_Toc55072962"/>
      <w:bookmarkStart w:id="2311" w:name="_Toc55073163"/>
      <w:bookmarkStart w:id="2312" w:name="_Toc55073574"/>
      <w:bookmarkStart w:id="2313" w:name="_Toc55074122"/>
      <w:r>
        <w:rPr>
          <w:rFonts w:hint="cs"/>
          <w:rtl/>
        </w:rPr>
        <w:t>דברי הרשב"א דברבא לרבנן מוכח דשתיקת המערער כמחילה בפירות וה"ה בג"ש להולכי אושא</w:t>
      </w:r>
      <w:bookmarkEnd w:id="2307"/>
      <w:bookmarkEnd w:id="2308"/>
      <w:bookmarkEnd w:id="2309"/>
      <w:bookmarkEnd w:id="2310"/>
      <w:bookmarkEnd w:id="2311"/>
      <w:bookmarkEnd w:id="2312"/>
      <w:bookmarkEnd w:id="2313"/>
    </w:p>
    <w:p w:rsidR="00900B10" w:rsidRDefault="00900B10" w:rsidP="007E4E81">
      <w:pPr>
        <w:pStyle w:val="a0"/>
        <w:rPr>
          <w:rtl/>
        </w:rPr>
      </w:pPr>
      <w:bookmarkStart w:id="2314" w:name="_Ref54859111"/>
      <w:r>
        <w:rPr>
          <w:rFonts w:hint="cs"/>
          <w:rtl/>
        </w:rPr>
        <w:t xml:space="preserve">והוסיף </w:t>
      </w:r>
      <w:r w:rsidRPr="00620CE5">
        <w:rPr>
          <w:rStyle w:val="af9"/>
          <w:rFonts w:hint="cs"/>
          <w:rtl/>
        </w:rPr>
        <w:t xml:space="preserve">הרשב"א </w:t>
      </w:r>
      <w:r w:rsidRPr="00167800">
        <w:rPr>
          <w:rFonts w:hint="cs"/>
          <w:rtl/>
        </w:rPr>
        <w:t>להקשות דכן מצינו</w:t>
      </w:r>
      <w:r>
        <w:rPr>
          <w:rFonts w:hint="cs"/>
          <w:rtl/>
        </w:rPr>
        <w:t xml:space="preserve"> בדברי רבא לקמן </w:t>
      </w:r>
      <w:r w:rsidRPr="00620CE5">
        <w:rPr>
          <w:rStyle w:val="af7"/>
          <w:rFonts w:eastAsia="Guttman Hodes" w:hint="cs"/>
          <w:rtl/>
        </w:rPr>
        <w:t>(כט.)</w:t>
      </w:r>
      <w:r>
        <w:rPr>
          <w:rFonts w:hint="cs"/>
          <w:rtl/>
        </w:rPr>
        <w:t xml:space="preserve"> דאמר בתירוצו הראשון דטעמא דחזקה לדעת רבנן, הוא דבשנה הראשונה והשניה מוחל המערער, ובג"ש אינו מוחל, ומקשה הגמ' דא"כ לא יחזיר את הפירות של ב' השנים, וכתב </w:t>
      </w:r>
      <w:r w:rsidRPr="00620CE5">
        <w:rPr>
          <w:rStyle w:val="af9"/>
          <w:rFonts w:hint="cs"/>
          <w:rtl/>
        </w:rPr>
        <w:t xml:space="preserve">הרשב"א </w:t>
      </w:r>
      <w:r>
        <w:rPr>
          <w:rFonts w:hint="cs"/>
          <w:rtl/>
        </w:rPr>
        <w:t xml:space="preserve">דמשמע דממה ששתק המערער מוכח דהוא מחל, ומהני מחילתו דא"צ להחזיר את הפירות, לפי התירוץ הראשון של רבא, וא"כ קשה דגם לפי הילפותא משור המועד נאמר דשתיקתו חשיבא כמחילה, ותעמוד הקרקע בחזקת המחזיק, אף שאינו </w:t>
      </w:r>
      <w:r w:rsidRPr="001A6FA1">
        <w:rPr>
          <w:rFonts w:hint="cs"/>
          <w:rtl/>
        </w:rPr>
        <w:t xml:space="preserve">טוען כל טענה, ועי' במה שביאר </w:t>
      </w:r>
      <w:r>
        <w:rPr>
          <w:rStyle w:val="af9"/>
          <w:rFonts w:hint="cs"/>
          <w:rtl/>
        </w:rPr>
        <w:t xml:space="preserve">בחו"ש </w:t>
      </w:r>
      <w:r w:rsidRPr="00620CE5">
        <w:rPr>
          <w:rStyle w:val="af9"/>
          <w:rFonts w:hint="cs"/>
          <w:rtl/>
        </w:rPr>
        <w:t xml:space="preserve">הברכ"ש </w:t>
      </w:r>
      <w:r w:rsidRPr="00620CE5">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Ref55067685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Pr>
          <w:rStyle w:val="af7"/>
          <w:rFonts w:eastAsia="Guttman Hodes"/>
          <w:rtl/>
        </w:rPr>
        <w:fldChar w:fldCharType="end"/>
      </w:r>
      <w:r>
        <w:rPr>
          <w:rStyle w:val="af7"/>
          <w:rFonts w:eastAsia="Guttman Hodes" w:hint="cs"/>
          <w:rtl/>
        </w:rPr>
        <w:t xml:space="preserve"> </w:t>
      </w:r>
      <w:r w:rsidRPr="001A6FA1">
        <w:rPr>
          <w:rFonts w:hint="cs"/>
          <w:rtl/>
        </w:rPr>
        <w:t xml:space="preserve">בדברי </w:t>
      </w:r>
      <w:r w:rsidRPr="00620CE5">
        <w:rPr>
          <w:rStyle w:val="af9"/>
          <w:rFonts w:hint="cs"/>
          <w:rtl/>
        </w:rPr>
        <w:t>הרשב"א</w:t>
      </w:r>
      <w:r>
        <w:rPr>
          <w:rFonts w:hint="cs"/>
          <w:rtl/>
        </w:rPr>
        <w:t>.</w:t>
      </w:r>
      <w:bookmarkEnd w:id="2314"/>
    </w:p>
    <w:p w:rsidR="00900B10" w:rsidRPr="00963960" w:rsidRDefault="00900B10" w:rsidP="00900B10">
      <w:pPr>
        <w:pStyle w:val="1"/>
        <w:rPr>
          <w:rtl/>
        </w:rPr>
      </w:pPr>
      <w:bookmarkStart w:id="2315" w:name="_Toc54903484"/>
      <w:bookmarkStart w:id="2316" w:name="_Toc54948467"/>
      <w:bookmarkStart w:id="2317" w:name="_Toc54952070"/>
      <w:bookmarkStart w:id="2318" w:name="_Toc55072963"/>
      <w:bookmarkStart w:id="2319" w:name="_Toc55073164"/>
      <w:bookmarkStart w:id="2320" w:name="_Toc55073575"/>
      <w:bookmarkStart w:id="2321" w:name="_Toc55074123"/>
      <w:r>
        <w:rPr>
          <w:rFonts w:hint="cs"/>
          <w:rtl/>
        </w:rPr>
        <w:t>תירוץ הרשב"א דמחילה מהני בשיעבוד ולא בגוף הקרקע</w:t>
      </w:r>
      <w:bookmarkEnd w:id="2315"/>
      <w:bookmarkEnd w:id="2316"/>
      <w:bookmarkEnd w:id="2317"/>
      <w:bookmarkEnd w:id="2318"/>
      <w:bookmarkEnd w:id="2319"/>
      <w:bookmarkEnd w:id="2320"/>
      <w:bookmarkEnd w:id="2321"/>
      <w:r>
        <w:rPr>
          <w:rFonts w:hint="cs"/>
          <w:rtl/>
        </w:rPr>
        <w:t xml:space="preserve"> </w:t>
      </w:r>
    </w:p>
    <w:p w:rsidR="00900B10" w:rsidRDefault="00900B10" w:rsidP="00900B10">
      <w:pPr>
        <w:pStyle w:val="a3"/>
        <w:rPr>
          <w:rtl/>
        </w:rPr>
      </w:pPr>
      <w:bookmarkStart w:id="2322" w:name="_Toc54903485"/>
      <w:bookmarkStart w:id="2323" w:name="_Toc54948468"/>
      <w:bookmarkStart w:id="2324" w:name="_Toc54952071"/>
      <w:bookmarkStart w:id="2325" w:name="_Toc55072964"/>
      <w:bookmarkStart w:id="2326" w:name="_Toc55073165"/>
      <w:bookmarkStart w:id="2327" w:name="_Toc55073576"/>
      <w:bookmarkStart w:id="2328" w:name="_Toc55074124"/>
      <w:r>
        <w:rPr>
          <w:rFonts w:hint="cs"/>
          <w:rtl/>
        </w:rPr>
        <w:t>דברי הרשב"א דגוף הקרקע צריכה קנין והמחילה להגאונים היינו בשיעבוד לתשמישים</w:t>
      </w:r>
      <w:bookmarkEnd w:id="2322"/>
      <w:bookmarkEnd w:id="2323"/>
      <w:bookmarkEnd w:id="2324"/>
      <w:bookmarkEnd w:id="2325"/>
      <w:bookmarkEnd w:id="2326"/>
      <w:bookmarkEnd w:id="2327"/>
      <w:bookmarkEnd w:id="2328"/>
    </w:p>
    <w:p w:rsidR="00900B10" w:rsidRDefault="00900B10" w:rsidP="007E4E81">
      <w:pPr>
        <w:pStyle w:val="a0"/>
        <w:rPr>
          <w:rtl/>
        </w:rPr>
      </w:pPr>
      <w:bookmarkStart w:id="2329" w:name="_Ref54712313"/>
      <w:r>
        <w:rPr>
          <w:rFonts w:hint="cs"/>
          <w:rtl/>
        </w:rPr>
        <w:t xml:space="preserve">ותירץ </w:t>
      </w:r>
      <w:r w:rsidRPr="0042114E">
        <w:rPr>
          <w:rStyle w:val="af9"/>
          <w:rFonts w:hint="cs"/>
          <w:rtl/>
        </w:rPr>
        <w:t>הרשב"א</w:t>
      </w:r>
      <w:r>
        <w:rPr>
          <w:rFonts w:hint="cs"/>
          <w:rtl/>
        </w:rPr>
        <w:t xml:space="preserve"> דקרקע נקנית רק במכר או מתנה ולא במחילה, דאף אם אמר לו בפירוש שדי מחולה לך אינו כלום, וכ"ש כששתק דמשמע דמחל לו דלא מהני, ומ"ש </w:t>
      </w:r>
      <w:r w:rsidRPr="0042114E">
        <w:rPr>
          <w:rStyle w:val="af9"/>
          <w:rFonts w:hint="cs"/>
          <w:rtl/>
        </w:rPr>
        <w:t>הגאונים</w:t>
      </w:r>
      <w:r>
        <w:rPr>
          <w:rFonts w:hint="cs"/>
          <w:rtl/>
        </w:rPr>
        <w:t xml:space="preserve"> דמהני מחילה היינו בחזקת תשמישים בשיעבודים </w:t>
      </w:r>
      <w:r w:rsidRPr="0042114E">
        <w:rPr>
          <w:rStyle w:val="afb"/>
          <w:rFonts w:hint="cs"/>
          <w:rtl/>
        </w:rPr>
        <w:t>[שהוציא זיז מעל חצר חבירו, או שנעץ קורה בכותל של חבירו],</w:t>
      </w:r>
      <w:r>
        <w:rPr>
          <w:rFonts w:hint="cs"/>
          <w:rtl/>
        </w:rPr>
        <w:t xml:space="preserve"> דיכול חבירו למחול שלא יסלקו משם, ולא חשיב שנותן לו בזה קרקע, אלא כמוחל לו על השיעבוד, וכן במה שאמר רבא דמהני מחילה על אכילת פירות, דאחר שאכלם לא חשיבי כקרקע, אלא הם כחוב בעלמא ויכול למחול עליו, אבל בגוף הקרקע כתב </w:t>
      </w:r>
      <w:r w:rsidRPr="00963960">
        <w:rPr>
          <w:rStyle w:val="af9"/>
          <w:rFonts w:hint="cs"/>
          <w:rtl/>
        </w:rPr>
        <w:t>הרשב"א</w:t>
      </w:r>
      <w:r>
        <w:rPr>
          <w:rFonts w:hint="cs"/>
          <w:rtl/>
        </w:rPr>
        <w:t xml:space="preserve"> דלא מהני מחילה, ועי' במה שהקשה </w:t>
      </w:r>
      <w:r w:rsidRPr="0042114E">
        <w:rPr>
          <w:rStyle w:val="af9"/>
          <w:rFonts w:hint="cs"/>
          <w:rtl/>
        </w:rPr>
        <w:t>בשיעורי רבי שמואל</w:t>
      </w:r>
      <w:r>
        <w:rPr>
          <w:rFonts w:hint="cs"/>
          <w:rtl/>
        </w:rPr>
        <w:t xml:space="preserve"> </w:t>
      </w:r>
      <w:r w:rsidRPr="005B6D6C">
        <w:rPr>
          <w:rStyle w:val="af7"/>
          <w:rFonts w:eastAsia="Guttman Hodes" w:hint="cs"/>
          <w:rtl/>
        </w:rPr>
        <w:t>(או' ו' ד"ה והרשב"א)</w:t>
      </w:r>
      <w:r>
        <w:rPr>
          <w:rFonts w:hint="cs"/>
          <w:rtl/>
        </w:rPr>
        <w:t xml:space="preserve"> על דברי </w:t>
      </w:r>
      <w:r w:rsidRPr="0042114E">
        <w:rPr>
          <w:rStyle w:val="af9"/>
          <w:rFonts w:hint="cs"/>
          <w:rtl/>
        </w:rPr>
        <w:t>הרשב"א</w:t>
      </w:r>
      <w:r>
        <w:rPr>
          <w:rFonts w:hint="cs"/>
          <w:rtl/>
        </w:rPr>
        <w:t>.</w:t>
      </w:r>
      <w:bookmarkEnd w:id="2329"/>
    </w:p>
    <w:p w:rsidR="00900B10" w:rsidRDefault="00900B10" w:rsidP="00900B10">
      <w:pPr>
        <w:pStyle w:val="a3"/>
        <w:rPr>
          <w:rtl/>
        </w:rPr>
      </w:pPr>
      <w:bookmarkStart w:id="2330" w:name="_Toc54903486"/>
      <w:bookmarkStart w:id="2331" w:name="_Toc54948469"/>
      <w:bookmarkStart w:id="2332" w:name="_Toc54952072"/>
      <w:bookmarkStart w:id="2333" w:name="_Toc55072965"/>
      <w:bookmarkStart w:id="2334" w:name="_Toc55073166"/>
      <w:bookmarkStart w:id="2335" w:name="_Toc55073577"/>
      <w:bookmarkStart w:id="2336" w:name="_Toc55074125"/>
      <w:r>
        <w:rPr>
          <w:rFonts w:hint="cs"/>
          <w:rtl/>
        </w:rPr>
        <w:t>ביאור הרשב"א בתירוץ הגמ' דהמחזיק אינו יכול לזכות כשאינו טוען טענת קנין</w:t>
      </w:r>
      <w:bookmarkEnd w:id="2330"/>
      <w:bookmarkEnd w:id="2331"/>
      <w:bookmarkEnd w:id="2332"/>
      <w:bookmarkEnd w:id="2333"/>
      <w:bookmarkEnd w:id="2334"/>
      <w:bookmarkEnd w:id="2335"/>
      <w:bookmarkEnd w:id="2336"/>
    </w:p>
    <w:p w:rsidR="00900B10" w:rsidRDefault="00900B10" w:rsidP="007E4E81">
      <w:pPr>
        <w:pStyle w:val="a0"/>
        <w:rPr>
          <w:rtl/>
        </w:rPr>
      </w:pPr>
      <w:r>
        <w:rPr>
          <w:rFonts w:hint="cs"/>
          <w:rtl/>
        </w:rPr>
        <w:t xml:space="preserve">וכתב </w:t>
      </w:r>
      <w:r w:rsidRPr="0042114E">
        <w:rPr>
          <w:rStyle w:val="af9"/>
          <w:rFonts w:hint="cs"/>
          <w:rtl/>
        </w:rPr>
        <w:t>הרשב"א</w:t>
      </w:r>
      <w:r>
        <w:rPr>
          <w:rFonts w:hint="cs"/>
          <w:rtl/>
        </w:rPr>
        <w:t xml:space="preserve"> דזו כוונת הגמ' בתירוץ "טעמא מאי", דאין כל צד שהמחזיק יכול לזכות בקרקע בלא טענה, דאינו טוען טענת במכירה ומתנה ואנן לא טענינן ליה.</w:t>
      </w:r>
    </w:p>
    <w:p w:rsidR="00900B10" w:rsidRDefault="00900B10" w:rsidP="00900B10">
      <w:pPr>
        <w:pStyle w:val="a3"/>
        <w:rPr>
          <w:rtl/>
        </w:rPr>
      </w:pPr>
      <w:bookmarkStart w:id="2337" w:name="_Toc54903488"/>
      <w:bookmarkStart w:id="2338" w:name="_Toc54948471"/>
      <w:bookmarkStart w:id="2339" w:name="_Toc54952074"/>
      <w:bookmarkStart w:id="2340" w:name="_Toc55072966"/>
      <w:bookmarkStart w:id="2341" w:name="_Toc55073167"/>
      <w:bookmarkStart w:id="2342" w:name="_Toc55073578"/>
      <w:bookmarkStart w:id="2343" w:name="_Toc55074126"/>
      <w:bookmarkStart w:id="2344" w:name="_Ref54603127"/>
      <w:r>
        <w:rPr>
          <w:rFonts w:hint="cs"/>
          <w:rtl/>
        </w:rPr>
        <w:t xml:space="preserve">ביאור הרשב"א דלהרשב"ם מהני מחילה בקרקע במעשה אבל שתיקה </w:t>
      </w:r>
      <w:bookmarkEnd w:id="2337"/>
      <w:bookmarkEnd w:id="2338"/>
      <w:bookmarkEnd w:id="2339"/>
      <w:r>
        <w:rPr>
          <w:rFonts w:hint="cs"/>
          <w:rtl/>
        </w:rPr>
        <w:t>אינה כלך חזק וקני</w:t>
      </w:r>
      <w:bookmarkEnd w:id="2340"/>
      <w:bookmarkEnd w:id="2341"/>
      <w:bookmarkEnd w:id="2342"/>
      <w:bookmarkEnd w:id="2343"/>
    </w:p>
    <w:p w:rsidR="00900B10" w:rsidRDefault="00900B10" w:rsidP="007E4E81">
      <w:pPr>
        <w:pStyle w:val="a0"/>
        <w:rPr>
          <w:rtl/>
        </w:rPr>
      </w:pPr>
      <w:bookmarkStart w:id="2345" w:name="_Ref55069588"/>
      <w:r>
        <w:rPr>
          <w:rFonts w:hint="cs"/>
          <w:rtl/>
        </w:rPr>
        <w:t xml:space="preserve">אך הקשה </w:t>
      </w:r>
      <w:r w:rsidRPr="0042114E">
        <w:rPr>
          <w:rStyle w:val="af9"/>
          <w:rFonts w:hint="cs"/>
          <w:rtl/>
        </w:rPr>
        <w:t>הרשב"א</w:t>
      </w:r>
      <w:r>
        <w:rPr>
          <w:rFonts w:hint="cs"/>
          <w:rtl/>
        </w:rPr>
        <w:t xml:space="preserve"> דהא איתא בגמ' לקמן </w:t>
      </w:r>
      <w:r w:rsidRPr="0037519F">
        <w:rPr>
          <w:rStyle w:val="af7"/>
          <w:rFonts w:eastAsia="Guttman Hodes" w:hint="cs"/>
          <w:rtl/>
        </w:rPr>
        <w:t xml:space="preserve">(מא.) </w:t>
      </w:r>
      <w:r>
        <w:rPr>
          <w:rFonts w:hint="cs"/>
          <w:rtl/>
        </w:rPr>
        <w:t xml:space="preserve">דשייך מחילה בקרקע, בנשטף שדהו ועשה מחיצות חדשות והרחיב את חצירו ע"ג חצר חבירו, דאם עזר לו חבירו הוא יכול לטעון דמחל לו, ופירש </w:t>
      </w:r>
      <w:r w:rsidRPr="0042114E">
        <w:rPr>
          <w:rStyle w:val="af9"/>
          <w:rFonts w:hint="cs"/>
          <w:rtl/>
        </w:rPr>
        <w:t>הרשב"ם לקמן</w:t>
      </w:r>
      <w:r>
        <w:rPr>
          <w:rFonts w:hint="cs"/>
          <w:rtl/>
        </w:rPr>
        <w:t xml:space="preserve"> </w:t>
      </w:r>
      <w:r w:rsidRPr="0037519F">
        <w:rPr>
          <w:rStyle w:val="af7"/>
          <w:rFonts w:eastAsia="Guttman Hodes" w:hint="cs"/>
          <w:rtl/>
        </w:rPr>
        <w:t>(מא. ד"ה והא)</w:t>
      </w:r>
      <w:r>
        <w:rPr>
          <w:rFonts w:hint="cs"/>
          <w:rtl/>
        </w:rPr>
        <w:t xml:space="preserve"> דחשיב כמי שאמר לו לך חזק וקני, וא"כ אף בחזקה בלא טענה נאמר ד</w:t>
      </w:r>
      <w:r w:rsidRPr="00862C63">
        <w:rPr>
          <w:rFonts w:hint="cs"/>
          <w:rtl/>
        </w:rPr>
        <w:t>מדשתק המערער, חשיב שאמר לו לך חזק וקני</w:t>
      </w:r>
      <w:r>
        <w:rPr>
          <w:rFonts w:hint="cs"/>
          <w:rtl/>
        </w:rPr>
        <w:t>,</w:t>
      </w:r>
      <w:r w:rsidRPr="00862C63">
        <w:rPr>
          <w:rFonts w:hint="cs"/>
          <w:rtl/>
        </w:rPr>
        <w:t xml:space="preserve"> </w:t>
      </w:r>
      <w:bookmarkEnd w:id="2344"/>
      <w:r>
        <w:rPr>
          <w:rFonts w:hint="cs"/>
          <w:rtl/>
        </w:rPr>
        <w:t xml:space="preserve">ותירץ </w:t>
      </w:r>
      <w:r w:rsidRPr="005B6D6C">
        <w:rPr>
          <w:rStyle w:val="af9"/>
          <w:rFonts w:hint="cs"/>
          <w:rtl/>
        </w:rPr>
        <w:t>הרשב"א</w:t>
      </w:r>
      <w:r>
        <w:rPr>
          <w:rFonts w:hint="cs"/>
          <w:rtl/>
        </w:rPr>
        <w:t xml:space="preserve"> דבגמ' לקמן איירי שעשה מעשה שעזר לו חבירו לגדור, לכן חשיב שאמר לו לך חזק וקני, אבל בשתיקה לא אמרינן כן.</w:t>
      </w:r>
      <w:r w:rsidRPr="0037519F">
        <w:rPr>
          <w:rStyle w:val="afb"/>
          <w:rFonts w:hint="cs"/>
          <w:rtl/>
        </w:rPr>
        <w:t xml:space="preserve"> </w:t>
      </w:r>
      <w:r w:rsidRPr="00E17EE9">
        <w:rPr>
          <w:rStyle w:val="afb"/>
          <w:rFonts w:hint="cs"/>
          <w:rtl/>
        </w:rPr>
        <w:t xml:space="preserve">[ועי' בדברי </w:t>
      </w:r>
      <w:r w:rsidRPr="00E17EE9">
        <w:rPr>
          <w:rStyle w:val="affa"/>
          <w:rFonts w:hint="cs"/>
          <w:rtl/>
        </w:rPr>
        <w:t>רבינו יונה</w:t>
      </w:r>
      <w:r w:rsidRPr="00E17EE9">
        <w:rPr>
          <w:rStyle w:val="afb"/>
          <w:rFonts w:hint="cs"/>
          <w:rtl/>
        </w:rPr>
        <w:t xml:space="preserve"> </w:t>
      </w:r>
      <w:r w:rsidRPr="00E17EE9">
        <w:rPr>
          <w:rStyle w:val="aff6"/>
          <w:rFonts w:hint="cs"/>
          <w:rtl/>
        </w:rPr>
        <w:t xml:space="preserve">(עי' אות </w:t>
      </w:r>
      <w:r w:rsidRPr="00E17EE9">
        <w:rPr>
          <w:rStyle w:val="aff6"/>
          <w:rtl/>
        </w:rPr>
        <w:fldChar w:fldCharType="begin"/>
      </w:r>
      <w:r w:rsidRPr="00E17EE9">
        <w:rPr>
          <w:rStyle w:val="aff6"/>
          <w:rtl/>
        </w:rPr>
        <w:instrText xml:space="preserve"> </w:instrText>
      </w:r>
      <w:r w:rsidRPr="00E17EE9">
        <w:rPr>
          <w:rStyle w:val="aff6"/>
          <w:rFonts w:hint="cs"/>
        </w:rPr>
        <w:instrText>REF</w:instrText>
      </w:r>
      <w:r w:rsidRPr="00E17EE9">
        <w:rPr>
          <w:rStyle w:val="aff6"/>
          <w:rFonts w:hint="cs"/>
          <w:rtl/>
        </w:rPr>
        <w:instrText xml:space="preserve"> _</w:instrText>
      </w:r>
      <w:r w:rsidRPr="00E17EE9">
        <w:rPr>
          <w:rStyle w:val="aff6"/>
          <w:rFonts w:hint="cs"/>
        </w:rPr>
        <w:instrText>Ref54602869 \r \h</w:instrText>
      </w:r>
      <w:r w:rsidRPr="00E17EE9">
        <w:rPr>
          <w:rStyle w:val="aff6"/>
          <w:rtl/>
        </w:rPr>
        <w:instrText xml:space="preserve">  \* </w:instrText>
      </w:r>
      <w:r w:rsidRPr="00E17EE9">
        <w:rPr>
          <w:rStyle w:val="aff6"/>
        </w:rPr>
        <w:instrText>MERGEFORMAT</w:instrText>
      </w:r>
      <w:r w:rsidRPr="00E17EE9">
        <w:rPr>
          <w:rStyle w:val="aff6"/>
          <w:rtl/>
        </w:rPr>
        <w:instrText xml:space="preserve"> </w:instrText>
      </w:r>
      <w:r w:rsidRPr="00E17EE9">
        <w:rPr>
          <w:rStyle w:val="aff6"/>
          <w:rtl/>
        </w:rPr>
      </w:r>
      <w:r w:rsidRPr="00E17EE9">
        <w:rPr>
          <w:rStyle w:val="aff6"/>
          <w:rtl/>
        </w:rPr>
        <w:fldChar w:fldCharType="separate"/>
      </w:r>
      <w:r w:rsidR="00265073">
        <w:rPr>
          <w:rStyle w:val="aff6"/>
          <w:cs/>
        </w:rPr>
        <w:t>‎</w:t>
      </w:r>
      <w:r w:rsidR="00265073">
        <w:rPr>
          <w:rStyle w:val="aff6"/>
          <w:rtl/>
        </w:rPr>
        <w:t>לז)</w:t>
      </w:r>
      <w:r w:rsidRPr="00E17EE9">
        <w:rPr>
          <w:rStyle w:val="aff6"/>
          <w:rtl/>
        </w:rPr>
        <w:fldChar w:fldCharType="end"/>
      </w:r>
      <w:r w:rsidRPr="00E17EE9">
        <w:rPr>
          <w:rStyle w:val="afb"/>
          <w:rFonts w:hint="cs"/>
          <w:rtl/>
        </w:rPr>
        <w:t>].</w:t>
      </w:r>
      <w:bookmarkEnd w:id="2345"/>
    </w:p>
    <w:p w:rsidR="00900B10" w:rsidRPr="00557EB9" w:rsidRDefault="00900B10" w:rsidP="007E4E81">
      <w:pPr>
        <w:pStyle w:val="a0"/>
        <w:rPr>
          <w:rtl/>
        </w:rPr>
        <w:sectPr w:rsidR="00900B10" w:rsidRPr="00557EB9" w:rsidSect="005049E2">
          <w:type w:val="continuous"/>
          <w:pgSz w:w="11906" w:h="16838"/>
          <w:pgMar w:top="720" w:right="720" w:bottom="720" w:left="720" w:header="283" w:footer="283" w:gutter="0"/>
          <w:cols w:num="2" w:space="567"/>
          <w:titlePg/>
          <w:bidi/>
          <w:rtlGutter/>
          <w:docGrid w:linePitch="299"/>
        </w:sectPr>
      </w:pPr>
    </w:p>
    <w:p w:rsidR="00900B10" w:rsidRDefault="00900B10" w:rsidP="00900B10">
      <w:pPr>
        <w:tabs>
          <w:tab w:val="left" w:pos="1163"/>
        </w:tabs>
        <w:spacing w:after="120" w:line="240" w:lineRule="auto"/>
        <w:ind w:left="0"/>
        <w:rPr>
          <w:rFonts w:ascii="Guttman Hodes" w:eastAsia="Guttman Hodes" w:hAnsi="Guttman Hodes" w:cs="Guttman Hodes"/>
          <w:noProof/>
          <w:sz w:val="18"/>
          <w:szCs w:val="18"/>
        </w:rPr>
        <w:sectPr w:rsidR="00900B10" w:rsidSect="00AE06CB">
          <w:type w:val="continuous"/>
          <w:pgSz w:w="11906" w:h="16838"/>
          <w:pgMar w:top="720" w:right="720" w:bottom="720" w:left="720" w:header="283" w:footer="283" w:gutter="0"/>
          <w:cols w:space="567"/>
          <w:bidi/>
          <w:rtlGutter/>
          <w:docGrid w:linePitch="299"/>
        </w:sectPr>
      </w:pPr>
    </w:p>
    <w:p w:rsidR="00900B10" w:rsidRPr="00D47CE7" w:rsidRDefault="00E949D5" w:rsidP="00900B10">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27" type="#_x0000_t75" style="width:404.55pt;height:6.8pt" o:hrpct="0" o:hralign="center" o:hr="t">
            <v:imagedata r:id="rId24" o:title="BD14845_"/>
          </v:shape>
        </w:pict>
      </w:r>
      <w:r w:rsidR="00900B10" w:rsidRPr="00D47CE7">
        <w:rPr>
          <w:rFonts w:ascii="Guttman Hodes" w:eastAsia="Guttman Hodes" w:hAnsi="Guttman Hodes" w:cs="Guttman Hodes" w:hint="cs"/>
          <w:noProof/>
          <w:sz w:val="18"/>
          <w:szCs w:val="18"/>
          <w:rtl/>
        </w:rPr>
        <w:t xml:space="preserve"> </w:t>
      </w:r>
    </w:p>
    <w:p w:rsidR="00900B10" w:rsidRPr="0081356D" w:rsidRDefault="001B6519" w:rsidP="00900B10">
      <w:pPr>
        <w:pStyle w:val="afe"/>
        <w:rPr>
          <w:rtl/>
        </w:rPr>
        <w:sectPr w:rsidR="00900B10" w:rsidRPr="0081356D" w:rsidSect="00361B2E">
          <w:pgSz w:w="11906" w:h="16838"/>
          <w:pgMar w:top="720" w:right="720" w:bottom="720" w:left="720" w:header="283" w:footer="283" w:gutter="0"/>
          <w:cols w:space="567"/>
          <w:bidi/>
          <w:rtlGutter/>
          <w:docGrid w:linePitch="299"/>
        </w:sectPr>
      </w:pPr>
      <w:r>
        <w:rPr>
          <w:rFonts w:hint="cs"/>
          <w:rtl/>
        </w:rPr>
        <w:t>~~~~~~~ ביאורי ראשי הישיבות ~~~~~~~</w:t>
      </w:r>
      <w:r w:rsidR="00900B10" w:rsidRPr="0081356D">
        <w:rPr>
          <w:rFonts w:hint="cs"/>
          <w:rtl/>
        </w:rPr>
        <w:t xml:space="preserve"> </w:t>
      </w:r>
    </w:p>
    <w:p w:rsidR="00900B10" w:rsidRDefault="00900B10" w:rsidP="00900B10">
      <w:pPr>
        <w:pStyle w:val="afe"/>
        <w:rPr>
          <w:rtl/>
        </w:rPr>
      </w:pPr>
      <w:bookmarkStart w:id="2346" w:name="_Toc54730230"/>
      <w:bookmarkStart w:id="2347" w:name="_Toc54867251"/>
      <w:bookmarkStart w:id="2348" w:name="_Toc54868850"/>
      <w:bookmarkStart w:id="2349" w:name="_Toc54887745"/>
      <w:bookmarkStart w:id="2350" w:name="_Toc54891198"/>
      <w:bookmarkStart w:id="2351" w:name="_Toc54903493"/>
      <w:bookmarkStart w:id="2352" w:name="_Toc54948477"/>
      <w:bookmarkStart w:id="2353" w:name="_Toc54952080"/>
      <w:bookmarkStart w:id="2354" w:name="_Toc55072972"/>
      <w:bookmarkStart w:id="2355" w:name="_Toc55073169"/>
      <w:bookmarkStart w:id="2356" w:name="_Toc55073580"/>
      <w:bookmarkStart w:id="2357" w:name="_Toc55074128"/>
      <w:bookmarkStart w:id="2358" w:name="_Toc54000906"/>
      <w:bookmarkStart w:id="2359" w:name="_Toc54555973"/>
      <w:bookmarkStart w:id="2360" w:name="_Toc54603744"/>
      <w:bookmarkStart w:id="2361" w:name="_Toc54643473"/>
      <w:bookmarkStart w:id="2362" w:name="_Toc54730218"/>
      <w:bookmarkStart w:id="2363" w:name="_Toc54867239"/>
      <w:bookmarkStart w:id="2364" w:name="_Toc54868838"/>
      <w:r>
        <w:rPr>
          <w:rFonts w:hint="cs"/>
          <w:rtl/>
        </w:rPr>
        <w:t>חקירת האחרונים בגדר ג"פ בשור המועד</w:t>
      </w:r>
      <w:bookmarkEnd w:id="2346"/>
      <w:bookmarkEnd w:id="2347"/>
      <w:bookmarkEnd w:id="2348"/>
      <w:bookmarkEnd w:id="2349"/>
      <w:bookmarkEnd w:id="2350"/>
      <w:bookmarkEnd w:id="2351"/>
      <w:bookmarkEnd w:id="2352"/>
      <w:bookmarkEnd w:id="2353"/>
      <w:bookmarkEnd w:id="2354"/>
      <w:bookmarkEnd w:id="2355"/>
      <w:bookmarkEnd w:id="2356"/>
      <w:bookmarkEnd w:id="2357"/>
    </w:p>
    <w:p w:rsidR="00900B10" w:rsidRDefault="00900B10" w:rsidP="00900B10">
      <w:pPr>
        <w:pStyle w:val="1"/>
        <w:rPr>
          <w:rtl/>
        </w:rPr>
      </w:pPr>
      <w:bookmarkStart w:id="2365" w:name="_Toc54948478"/>
      <w:bookmarkStart w:id="2366" w:name="_Toc54952081"/>
      <w:bookmarkStart w:id="2367" w:name="_Toc55072973"/>
      <w:bookmarkStart w:id="2368" w:name="_Toc55073170"/>
      <w:bookmarkStart w:id="2369" w:name="_Toc55073581"/>
      <w:bookmarkStart w:id="2370" w:name="_Toc55074129"/>
      <w:r>
        <w:rPr>
          <w:rFonts w:hint="cs"/>
          <w:rtl/>
        </w:rPr>
        <w:t>חקירת האחרונים אי בג"פ משתנה טבעו או דמוכח שהוא נגחן</w:t>
      </w:r>
      <w:bookmarkEnd w:id="2365"/>
      <w:bookmarkEnd w:id="2366"/>
      <w:bookmarkEnd w:id="2367"/>
      <w:bookmarkEnd w:id="2368"/>
      <w:bookmarkEnd w:id="2369"/>
      <w:bookmarkEnd w:id="2370"/>
    </w:p>
    <w:p w:rsidR="00900B10" w:rsidRDefault="00900B10" w:rsidP="00900B10">
      <w:pPr>
        <w:pStyle w:val="a3"/>
      </w:pPr>
      <w:bookmarkStart w:id="2371" w:name="_Toc54948479"/>
      <w:bookmarkStart w:id="2372" w:name="_Toc54952082"/>
      <w:bookmarkStart w:id="2373" w:name="_Toc55072974"/>
      <w:bookmarkStart w:id="2374" w:name="_Toc55073171"/>
      <w:bookmarkStart w:id="2375" w:name="_Toc55073582"/>
      <w:bookmarkStart w:id="2376" w:name="_Toc55074130"/>
      <w:r>
        <w:rPr>
          <w:rFonts w:hint="cs"/>
          <w:rtl/>
        </w:rPr>
        <w:t>חקירת הגרש"ש והקה"י אי שור משנה את טבעו לנגחן בג' נגיחות או דהוא ראיה זה טבעו</w:t>
      </w:r>
      <w:bookmarkEnd w:id="2371"/>
      <w:bookmarkEnd w:id="2372"/>
      <w:bookmarkEnd w:id="2373"/>
      <w:bookmarkEnd w:id="2374"/>
      <w:bookmarkEnd w:id="2375"/>
      <w:bookmarkEnd w:id="2376"/>
    </w:p>
    <w:p w:rsidR="00900B10" w:rsidRPr="002A7288" w:rsidRDefault="00900B10" w:rsidP="007E4E81">
      <w:pPr>
        <w:pStyle w:val="a0"/>
        <w:rPr>
          <w:rtl/>
        </w:rPr>
      </w:pPr>
      <w:bookmarkStart w:id="2377" w:name="_Ref54947029"/>
      <w:r>
        <w:rPr>
          <w:rFonts w:hint="cs"/>
          <w:rtl/>
        </w:rPr>
        <w:t xml:space="preserve">חקרו </w:t>
      </w:r>
      <w:r w:rsidRPr="00347EE2">
        <w:rPr>
          <w:rStyle w:val="af9"/>
          <w:rFonts w:hint="cs"/>
          <w:rtl/>
        </w:rPr>
        <w:t xml:space="preserve">בחי' הגרש"ש </w:t>
      </w:r>
      <w:r w:rsidRPr="00FF217C">
        <w:rPr>
          <w:rStyle w:val="af7"/>
          <w:rFonts w:eastAsia="Guttman Hodes" w:hint="cs"/>
          <w:rtl/>
        </w:rPr>
        <w:t>(ב"ק ריש סי' ל"ג [מהדו' חד' סי' מ'])</w:t>
      </w:r>
      <w:r>
        <w:rPr>
          <w:rFonts w:hint="cs"/>
          <w:rtl/>
        </w:rPr>
        <w:t xml:space="preserve"> </w:t>
      </w:r>
      <w:r w:rsidRPr="00347EE2">
        <w:rPr>
          <w:rStyle w:val="af9"/>
          <w:rFonts w:hint="cs"/>
          <w:rtl/>
        </w:rPr>
        <w:t xml:space="preserve">ובקה"י </w:t>
      </w:r>
      <w:r w:rsidRPr="00FF217C">
        <w:rPr>
          <w:rStyle w:val="af7"/>
          <w:rFonts w:eastAsia="Guttman Hodes" w:hint="cs"/>
          <w:rtl/>
        </w:rPr>
        <w:t>(ב"ק סי' כ"ט ד"ה ונראה בזה, טהרות סי' ס"ו ד"ה ונלענ"ד)</w:t>
      </w:r>
      <w:r>
        <w:rPr>
          <w:rFonts w:hint="cs"/>
          <w:rtl/>
        </w:rPr>
        <w:t xml:space="preserve"> בגדר חזקה בג"פ בשור המועד, אי כיון שנגח ג"פ יש ראיה והוכחה דדרכו לנגוח, דבפחות מג"פ אמרינן דכל נגיחה היא מקרה ואינה רגילות, ואחר שהוחזק ג"פ אמרינן שאינו מקרה אלא דרכו לנגוח, או דג' הנגיחות עצמם הם מרגילות אותו לנגוח, ואחר שנגח ג"פ נעשה טבעו לנגוח, ועי' </w:t>
      </w:r>
      <w:r w:rsidRPr="00347EE2">
        <w:rPr>
          <w:rStyle w:val="af9"/>
          <w:rFonts w:hint="cs"/>
          <w:rtl/>
        </w:rPr>
        <w:t xml:space="preserve">בקובץ הערות </w:t>
      </w:r>
      <w:r w:rsidRPr="00FF217C">
        <w:rPr>
          <w:rStyle w:val="af7"/>
          <w:rFonts w:eastAsia="Guttman Hodes" w:hint="cs"/>
          <w:rtl/>
        </w:rPr>
        <w:t>(הוספות [סי' פ"ב] או' ב')</w:t>
      </w:r>
      <w:r>
        <w:rPr>
          <w:rFonts w:hint="cs"/>
          <w:rtl/>
        </w:rPr>
        <w:t xml:space="preserve">, </w:t>
      </w:r>
      <w:r w:rsidRPr="002A7288">
        <w:rPr>
          <w:rFonts w:hint="cs"/>
          <w:rtl/>
        </w:rPr>
        <w:t>[וע</w:t>
      </w:r>
      <w:r>
        <w:rPr>
          <w:rFonts w:hint="cs"/>
          <w:rtl/>
        </w:rPr>
        <w:t>י'</w:t>
      </w:r>
      <w:r w:rsidRPr="002A7288">
        <w:rPr>
          <w:rFonts w:hint="cs"/>
          <w:rtl/>
        </w:rPr>
        <w:t xml:space="preserve"> במ"ש </w:t>
      </w:r>
      <w:r w:rsidRPr="002A7288">
        <w:rPr>
          <w:rStyle w:val="af9"/>
          <w:rFonts w:hint="cs"/>
          <w:rtl/>
        </w:rPr>
        <w:t>בחו"ש הגרב"ב</w:t>
      </w:r>
      <w:r w:rsidRPr="002A7288">
        <w:rPr>
          <w:rFonts w:hint="cs"/>
          <w:rtl/>
        </w:rPr>
        <w:t xml:space="preserve"> </w:t>
      </w:r>
      <w:r w:rsidRPr="002A7288">
        <w:rPr>
          <w:rStyle w:val="af7"/>
          <w:rFonts w:eastAsia="Guttman Rashi" w:hint="cs"/>
          <w:rtl/>
        </w:rPr>
        <w:t xml:space="preserve">(עי' אות </w:t>
      </w:r>
      <w:r w:rsidRPr="002A7288">
        <w:rPr>
          <w:rStyle w:val="af7"/>
          <w:rFonts w:eastAsia="Guttman Rashi"/>
          <w:rtl/>
        </w:rPr>
        <w:fldChar w:fldCharType="begin"/>
      </w:r>
      <w:r w:rsidRPr="002A7288">
        <w:rPr>
          <w:rStyle w:val="af7"/>
          <w:rFonts w:eastAsia="Guttman Rashi"/>
          <w:rtl/>
        </w:rPr>
        <w:instrText xml:space="preserve"> </w:instrText>
      </w:r>
      <w:r w:rsidRPr="002A7288">
        <w:rPr>
          <w:rStyle w:val="af7"/>
          <w:rFonts w:eastAsia="Guttman Rashi" w:hint="cs"/>
        </w:rPr>
        <w:instrText>REF</w:instrText>
      </w:r>
      <w:r w:rsidRPr="002A7288">
        <w:rPr>
          <w:rStyle w:val="af7"/>
          <w:rFonts w:eastAsia="Guttman Rashi" w:hint="cs"/>
          <w:rtl/>
        </w:rPr>
        <w:instrText xml:space="preserve"> _</w:instrText>
      </w:r>
      <w:r w:rsidRPr="002A7288">
        <w:rPr>
          <w:rStyle w:val="af7"/>
          <w:rFonts w:eastAsia="Guttman Rashi" w:hint="cs"/>
        </w:rPr>
        <w:instrText>Ref54902729 \r \h</w:instrText>
      </w:r>
      <w:r w:rsidRPr="002A7288">
        <w:rPr>
          <w:rStyle w:val="af7"/>
          <w:rFonts w:eastAsia="Guttman Rashi"/>
          <w:rtl/>
        </w:rPr>
        <w:instrText xml:space="preserve"> </w:instrText>
      </w:r>
      <w:r w:rsidRPr="002A7288">
        <w:rPr>
          <w:rStyle w:val="af7"/>
          <w:rFonts w:eastAsia="Guttman Rashi"/>
          <w:rtl/>
        </w:rPr>
      </w:r>
      <w:r w:rsidRPr="002A7288">
        <w:rPr>
          <w:rStyle w:val="af7"/>
          <w:rFonts w:eastAsia="Guttman Rashi"/>
          <w:rtl/>
        </w:rPr>
        <w:fldChar w:fldCharType="separate"/>
      </w:r>
      <w:r w:rsidR="00265073">
        <w:rPr>
          <w:rStyle w:val="af7"/>
          <w:rFonts w:eastAsia="Guttman Rashi"/>
          <w:cs/>
        </w:rPr>
        <w:t>‎</w:t>
      </w:r>
      <w:r w:rsidR="00265073">
        <w:rPr>
          <w:rStyle w:val="af7"/>
          <w:rFonts w:eastAsia="Guttman Rashi"/>
          <w:rtl/>
        </w:rPr>
        <w:t>סט)</w:t>
      </w:r>
      <w:r w:rsidRPr="002A7288">
        <w:rPr>
          <w:rStyle w:val="af7"/>
          <w:rFonts w:eastAsia="Guttman Rashi"/>
          <w:rtl/>
        </w:rPr>
        <w:fldChar w:fldCharType="end"/>
      </w:r>
      <w:r w:rsidRPr="002A7288">
        <w:rPr>
          <w:rFonts w:hint="cs"/>
          <w:rtl/>
        </w:rPr>
        <w:t xml:space="preserve"> בשם </w:t>
      </w:r>
      <w:r w:rsidRPr="002A7288">
        <w:rPr>
          <w:rStyle w:val="af9"/>
          <w:rFonts w:hint="cs"/>
          <w:rtl/>
        </w:rPr>
        <w:t>הגר"ח</w:t>
      </w:r>
      <w:r w:rsidRPr="002A7288">
        <w:rPr>
          <w:rFonts w:hint="cs"/>
          <w:rtl/>
        </w:rPr>
        <w:t>.</w:t>
      </w:r>
      <w:r>
        <w:rPr>
          <w:rFonts w:hint="cs"/>
          <w:rtl/>
        </w:rPr>
        <w:t xml:space="preserve"> </w:t>
      </w:r>
      <w:r w:rsidRPr="00347EE2">
        <w:rPr>
          <w:rStyle w:val="afb"/>
          <w:rFonts w:hint="cs"/>
          <w:rtl/>
        </w:rPr>
        <w:t xml:space="preserve">[וע"ע במ"ש </w:t>
      </w:r>
      <w:r w:rsidRPr="00347EE2">
        <w:rPr>
          <w:rStyle w:val="affa"/>
          <w:rFonts w:hint="cs"/>
          <w:rtl/>
        </w:rPr>
        <w:t>בחי' רבי שלמה</w:t>
      </w:r>
      <w:r w:rsidRPr="00347EE2">
        <w:rPr>
          <w:rStyle w:val="afb"/>
          <w:rFonts w:hint="cs"/>
          <w:rtl/>
        </w:rPr>
        <w:t xml:space="preserve"> </w:t>
      </w:r>
      <w:r w:rsidRPr="00FF217C">
        <w:rPr>
          <w:rStyle w:val="aff6"/>
          <w:rFonts w:hint="cs"/>
          <w:rtl/>
        </w:rPr>
        <w:t xml:space="preserve">(ב"ק סי' ג' ד"ה וליישב) </w:t>
      </w:r>
      <w:r w:rsidRPr="00347EE2">
        <w:rPr>
          <w:rStyle w:val="affa"/>
          <w:rFonts w:hint="cs"/>
          <w:rtl/>
        </w:rPr>
        <w:t>ובחי' רבי ראובן</w:t>
      </w:r>
      <w:r w:rsidRPr="00347EE2">
        <w:rPr>
          <w:rStyle w:val="afb"/>
          <w:rFonts w:hint="cs"/>
          <w:rtl/>
        </w:rPr>
        <w:t xml:space="preserve"> </w:t>
      </w:r>
      <w:r w:rsidRPr="00FF217C">
        <w:rPr>
          <w:rStyle w:val="aff6"/>
          <w:rFonts w:hint="cs"/>
          <w:rtl/>
        </w:rPr>
        <w:t>(ב"ק סי' א' או' א')</w:t>
      </w:r>
      <w:r w:rsidRPr="00347EE2">
        <w:rPr>
          <w:rStyle w:val="afb"/>
          <w:rFonts w:hint="cs"/>
          <w:rtl/>
        </w:rPr>
        <w:t>]</w:t>
      </w:r>
      <w:r>
        <w:rPr>
          <w:rStyle w:val="afb"/>
          <w:rFonts w:hint="cs"/>
          <w:rtl/>
        </w:rPr>
        <w:t>.</w:t>
      </w:r>
      <w:bookmarkEnd w:id="2377"/>
    </w:p>
    <w:p w:rsidR="00900B10" w:rsidRPr="00033CCC" w:rsidRDefault="00900B10" w:rsidP="00900B10">
      <w:pPr>
        <w:pStyle w:val="1"/>
      </w:pPr>
      <w:bookmarkStart w:id="2378" w:name="_Toc54948480"/>
      <w:bookmarkStart w:id="2379" w:name="_Toc54952083"/>
      <w:bookmarkStart w:id="2380" w:name="_Toc55072975"/>
      <w:bookmarkStart w:id="2381" w:name="_Toc55073172"/>
      <w:bookmarkStart w:id="2382" w:name="_Toc55073583"/>
      <w:bookmarkStart w:id="2383" w:name="_Toc55074131"/>
      <w:r>
        <w:rPr>
          <w:rFonts w:hint="cs"/>
          <w:rtl/>
        </w:rPr>
        <w:t>פלוגתת המהר"ם מרוטנבורג והר"פ בגדר העדאת שור המועד</w:t>
      </w:r>
      <w:bookmarkEnd w:id="2378"/>
      <w:bookmarkEnd w:id="2379"/>
      <w:bookmarkEnd w:id="2380"/>
      <w:bookmarkEnd w:id="2381"/>
      <w:bookmarkEnd w:id="2382"/>
      <w:bookmarkEnd w:id="2383"/>
    </w:p>
    <w:p w:rsidR="00900B10" w:rsidRPr="009B2EDE" w:rsidRDefault="00900B10" w:rsidP="00900B10">
      <w:pPr>
        <w:pStyle w:val="a3"/>
        <w:rPr>
          <w:rtl/>
        </w:rPr>
      </w:pPr>
      <w:bookmarkStart w:id="2384" w:name="_Toc54948481"/>
      <w:bookmarkStart w:id="2385" w:name="_Toc54952084"/>
      <w:bookmarkStart w:id="2386" w:name="_Toc55072976"/>
      <w:bookmarkStart w:id="2387" w:name="_Toc55073173"/>
      <w:bookmarkStart w:id="2388" w:name="_Toc55073584"/>
      <w:bookmarkStart w:id="2389" w:name="_Toc55074132"/>
      <w:r>
        <w:rPr>
          <w:rFonts w:hint="cs"/>
          <w:rtl/>
        </w:rPr>
        <w:t>דעת המהר"ם מרוטנבורג דאמירת משיב הרוח צ' פעמים ברציפות הוא כחזקה בעברו ל' יום</w:t>
      </w:r>
      <w:bookmarkEnd w:id="2384"/>
      <w:bookmarkEnd w:id="2385"/>
      <w:bookmarkEnd w:id="2386"/>
      <w:bookmarkEnd w:id="2387"/>
      <w:bookmarkEnd w:id="2388"/>
      <w:bookmarkEnd w:id="2389"/>
    </w:p>
    <w:p w:rsidR="00900B10" w:rsidRDefault="00900B10" w:rsidP="007E4E81">
      <w:pPr>
        <w:pStyle w:val="a0"/>
        <w:rPr>
          <w:rtl/>
        </w:rPr>
      </w:pPr>
      <w:r>
        <w:rPr>
          <w:rFonts w:hint="cs"/>
          <w:rtl/>
        </w:rPr>
        <w:t xml:space="preserve">והביאו </w:t>
      </w:r>
      <w:r w:rsidRPr="00347EE2">
        <w:rPr>
          <w:rStyle w:val="af9"/>
          <w:rFonts w:hint="cs"/>
          <w:rtl/>
        </w:rPr>
        <w:t xml:space="preserve">הגרש"ש והקה"י </w:t>
      </w:r>
      <w:r>
        <w:rPr>
          <w:rFonts w:hint="cs"/>
          <w:rtl/>
        </w:rPr>
        <w:t xml:space="preserve">את דברי </w:t>
      </w:r>
      <w:r w:rsidRPr="00347EE2">
        <w:rPr>
          <w:rStyle w:val="af9"/>
          <w:rFonts w:hint="cs"/>
          <w:rtl/>
        </w:rPr>
        <w:t>הטור</w:t>
      </w:r>
      <w:r>
        <w:rPr>
          <w:rFonts w:hint="cs"/>
          <w:rtl/>
        </w:rPr>
        <w:t xml:space="preserve"> </w:t>
      </w:r>
      <w:r w:rsidRPr="00FF217C">
        <w:rPr>
          <w:rStyle w:val="af7"/>
          <w:rFonts w:eastAsia="Guttman Hodes" w:hint="cs"/>
          <w:rtl/>
        </w:rPr>
        <w:t>(או"ח סי' קי"ד ט')</w:t>
      </w:r>
      <w:r>
        <w:rPr>
          <w:rFonts w:hint="cs"/>
          <w:rtl/>
        </w:rPr>
        <w:t xml:space="preserve"> דכתב בדין אמירת משיב הרוח ומוריד הגשם, דבהסתפק אם אמר משיב הרוח או מוריד הטל, אחר שעברו ל' יום משמיני עצרת, א"צ לחזור כיון שהוא רגיל בכך, וכתב </w:t>
      </w:r>
      <w:r w:rsidRPr="00950C76">
        <w:rPr>
          <w:rStyle w:val="af9"/>
          <w:rFonts w:hint="cs"/>
          <w:rtl/>
        </w:rPr>
        <w:t>הטור</w:t>
      </w:r>
      <w:r>
        <w:rPr>
          <w:rFonts w:hint="cs"/>
          <w:rtl/>
        </w:rPr>
        <w:t xml:space="preserve"> בשם </w:t>
      </w:r>
      <w:r w:rsidRPr="00950C76">
        <w:rPr>
          <w:rStyle w:val="af9"/>
          <w:rFonts w:hint="cs"/>
          <w:rtl/>
        </w:rPr>
        <w:t>המהר"ם מרונטבורג</w:t>
      </w:r>
      <w:r>
        <w:rPr>
          <w:rFonts w:hint="cs"/>
          <w:rtl/>
        </w:rPr>
        <w:t xml:space="preserve"> דאף בתוך ל' יום אם אמר צ' פעמים ברציפות את ברכת אתה גבור עד לאחר משיב הרוח ומוריד הגשם, ג"כ א"צ לחזור מספק, דהא איתא בגמ' בב"ק </w:t>
      </w:r>
      <w:r w:rsidRPr="00F44A41">
        <w:rPr>
          <w:rStyle w:val="af7"/>
          <w:rFonts w:eastAsia="Guttman Hodes" w:hint="cs"/>
          <w:rtl/>
        </w:rPr>
        <w:t>(כד.)</w:t>
      </w:r>
      <w:r>
        <w:rPr>
          <w:rFonts w:hint="cs"/>
          <w:rtl/>
        </w:rPr>
        <w:t xml:space="preserve"> דכיון דשור שנגח ג' נגיחות בג' ימים נעשה מועד, כ"ש בקירב את נגיחותיו, וה"ה באמירת משיב הרוח דהוחזק שרגיל לומר משיב הרוח ולא מוריד הטל.</w:t>
      </w:r>
    </w:p>
    <w:p w:rsidR="00900B10" w:rsidRPr="0007285A" w:rsidRDefault="00900B10" w:rsidP="00900B10">
      <w:pPr>
        <w:pStyle w:val="a3"/>
        <w:rPr>
          <w:rtl/>
        </w:rPr>
      </w:pPr>
      <w:bookmarkStart w:id="2390" w:name="_Toc54948482"/>
      <w:bookmarkStart w:id="2391" w:name="_Toc54952085"/>
      <w:bookmarkStart w:id="2392" w:name="_Toc55072977"/>
      <w:bookmarkStart w:id="2393" w:name="_Toc55073174"/>
      <w:bookmarkStart w:id="2394" w:name="_Toc55073585"/>
      <w:bookmarkStart w:id="2395" w:name="_Toc55074133"/>
      <w:r>
        <w:rPr>
          <w:rFonts w:hint="cs"/>
          <w:rtl/>
        </w:rPr>
        <w:t>דעל רבינו פרץ דרק שור מוחזק בקירב נגיחותיו אבל אמירת משיב הרוח תלויה בהרגל לשונו</w:t>
      </w:r>
      <w:bookmarkEnd w:id="2390"/>
      <w:bookmarkEnd w:id="2391"/>
      <w:bookmarkEnd w:id="2392"/>
      <w:bookmarkEnd w:id="2393"/>
      <w:bookmarkEnd w:id="2394"/>
      <w:bookmarkEnd w:id="2395"/>
    </w:p>
    <w:p w:rsidR="00900B10" w:rsidRDefault="00900B10" w:rsidP="007E4E81">
      <w:pPr>
        <w:pStyle w:val="a0"/>
        <w:rPr>
          <w:rtl/>
        </w:rPr>
      </w:pPr>
      <w:r>
        <w:rPr>
          <w:rFonts w:hint="cs"/>
          <w:rtl/>
        </w:rPr>
        <w:t xml:space="preserve">אך הביא </w:t>
      </w:r>
      <w:r w:rsidRPr="00950C76">
        <w:rPr>
          <w:rStyle w:val="af9"/>
          <w:rFonts w:hint="cs"/>
          <w:rtl/>
        </w:rPr>
        <w:t>הטור</w:t>
      </w:r>
      <w:r>
        <w:rPr>
          <w:rFonts w:hint="cs"/>
          <w:rtl/>
        </w:rPr>
        <w:t xml:space="preserve"> בשם </w:t>
      </w:r>
      <w:r w:rsidRPr="00950C76">
        <w:rPr>
          <w:rStyle w:val="af9"/>
          <w:rFonts w:hint="cs"/>
          <w:rtl/>
        </w:rPr>
        <w:t>רבינו</w:t>
      </w:r>
      <w:r>
        <w:rPr>
          <w:rFonts w:hint="cs"/>
          <w:rtl/>
        </w:rPr>
        <w:t xml:space="preserve"> </w:t>
      </w:r>
      <w:r w:rsidRPr="00950C76">
        <w:rPr>
          <w:rStyle w:val="af9"/>
          <w:rFonts w:hint="cs"/>
          <w:rtl/>
        </w:rPr>
        <w:t>פרץ</w:t>
      </w:r>
      <w:r>
        <w:rPr>
          <w:rFonts w:hint="cs"/>
          <w:rtl/>
        </w:rPr>
        <w:t xml:space="preserve"> דפליג דאמירת משיב הרוח לא דמי לנגיחות בשור, דדוקא בשור דנעשה מועד כיון שהוחזק לנגוח, ולכן כיון דהוא מוחזק בג' נגיחות רחוקות, כ"ש דהוא מוחזק בג' נגיחות קרובות, אבל במשיב הרוח הספק תלוי בהרגל לשונו.</w:t>
      </w:r>
    </w:p>
    <w:p w:rsidR="00900B10" w:rsidRDefault="00900B10" w:rsidP="00900B10">
      <w:pPr>
        <w:pStyle w:val="a3"/>
      </w:pPr>
      <w:bookmarkStart w:id="2396" w:name="_Toc54948483"/>
      <w:bookmarkStart w:id="2397" w:name="_Toc54952086"/>
      <w:bookmarkStart w:id="2398" w:name="_Toc55072978"/>
      <w:bookmarkStart w:id="2399" w:name="_Toc55073175"/>
      <w:bookmarkStart w:id="2400" w:name="_Toc55073586"/>
      <w:bookmarkStart w:id="2401" w:name="_Toc55074134"/>
      <w:r>
        <w:rPr>
          <w:rFonts w:hint="cs"/>
          <w:rtl/>
        </w:rPr>
        <w:t>ביאור הגרש"ש והקה"י בר"פ דבג' נגיחות מוכח שטבעו לנגוח ול"ד למשיב הרוח דהוא הרגל</w:t>
      </w:r>
      <w:bookmarkEnd w:id="2396"/>
      <w:bookmarkEnd w:id="2397"/>
      <w:bookmarkEnd w:id="2398"/>
      <w:bookmarkEnd w:id="2399"/>
      <w:bookmarkEnd w:id="2400"/>
      <w:bookmarkEnd w:id="2401"/>
    </w:p>
    <w:p w:rsidR="00900B10" w:rsidRDefault="00900B10" w:rsidP="007E4E81">
      <w:pPr>
        <w:pStyle w:val="a0"/>
        <w:rPr>
          <w:rtl/>
        </w:rPr>
      </w:pPr>
      <w:r>
        <w:rPr>
          <w:rFonts w:hint="cs"/>
          <w:rtl/>
        </w:rPr>
        <w:t xml:space="preserve">וביארו </w:t>
      </w:r>
      <w:r w:rsidRPr="00950C76">
        <w:rPr>
          <w:rStyle w:val="af9"/>
          <w:rFonts w:hint="cs"/>
          <w:rtl/>
        </w:rPr>
        <w:t xml:space="preserve">בחי' הגרש"ש ובקה"י </w:t>
      </w:r>
      <w:r>
        <w:rPr>
          <w:rFonts w:hint="cs"/>
          <w:rtl/>
        </w:rPr>
        <w:t xml:space="preserve">דנחלקו </w:t>
      </w:r>
      <w:r w:rsidRPr="00950C76">
        <w:rPr>
          <w:rStyle w:val="af9"/>
          <w:rFonts w:hint="cs"/>
          <w:rtl/>
        </w:rPr>
        <w:t>המהר"ם מרוטנבורג והרבינו פרץ</w:t>
      </w:r>
      <w:r>
        <w:rPr>
          <w:rFonts w:hint="cs"/>
          <w:rtl/>
        </w:rPr>
        <w:t xml:space="preserve"> בגדר החזקה בשור המועד, דרבינו פרץ ס"ל דכיון שנגח ג"פ א"כ מוכח דזהו הטבע שלו, שבעצמותו של השור יש לו רצון לנגוח, אלא דכל שלא ראינו שנגח ג"פ, אמרינן דכך נגיחה בפנ"ע היא מקרה, ולכן ס"ל </w:t>
      </w:r>
      <w:r>
        <w:rPr>
          <w:rStyle w:val="af9"/>
          <w:rFonts w:hint="cs"/>
          <w:rtl/>
        </w:rPr>
        <w:t>ל</w:t>
      </w:r>
      <w:r w:rsidRPr="00950C76">
        <w:rPr>
          <w:rStyle w:val="af9"/>
          <w:rFonts w:hint="cs"/>
          <w:rtl/>
        </w:rPr>
        <w:t>רבינו פרץ</w:t>
      </w:r>
      <w:r>
        <w:rPr>
          <w:rFonts w:hint="cs"/>
          <w:rtl/>
        </w:rPr>
        <w:t xml:space="preserve"> דכיון דבג' נגיחות רחוקות יש הוכחה שזהו טבעו, כ"ש בג' נגיחות קרובות, אבל אמירת משיב הרוח ל' יום, אינה ראיה שכך הוא רגיל לומר, אלא דכל שאומר כן ל' יום הוא מתרגל לומר כן, ולכן רק כשעברו ל' יום שהוא זמן ארוך אמרינן דודאי אמר משיב הרוח ובספק א"צ לחזור, אבל כשאמר צ' יום ברציפות לא אמרינן דהורגל בכך, ובספק צריך לחזור.</w:t>
      </w:r>
    </w:p>
    <w:p w:rsidR="00900B10" w:rsidRPr="0095034E" w:rsidRDefault="00900B10" w:rsidP="00900B10">
      <w:pPr>
        <w:pStyle w:val="a3"/>
        <w:rPr>
          <w:rtl/>
        </w:rPr>
      </w:pPr>
    </w:p>
    <w:p w:rsidR="00900B10" w:rsidRDefault="00900B10" w:rsidP="00900B10">
      <w:pPr>
        <w:pStyle w:val="a3"/>
        <w:rPr>
          <w:rtl/>
        </w:rPr>
      </w:pPr>
      <w:bookmarkStart w:id="2402" w:name="_Toc54948484"/>
      <w:bookmarkStart w:id="2403" w:name="_Toc54952087"/>
      <w:bookmarkStart w:id="2404" w:name="_Toc55072979"/>
      <w:bookmarkStart w:id="2405" w:name="_Toc55073176"/>
      <w:bookmarkStart w:id="2406" w:name="_Toc55073587"/>
      <w:bookmarkStart w:id="2407" w:name="_Toc55074135"/>
      <w:r>
        <w:rPr>
          <w:rFonts w:hint="cs"/>
          <w:rtl/>
        </w:rPr>
        <w:t>ביאור הגרש"ש והקה"י במהר"ם מרוטנבורג דבג' נגיחות מתרגל לנגוח כאמירת משיב הרוח</w:t>
      </w:r>
      <w:bookmarkEnd w:id="2402"/>
      <w:bookmarkEnd w:id="2403"/>
      <w:bookmarkEnd w:id="2404"/>
      <w:bookmarkEnd w:id="2405"/>
      <w:bookmarkEnd w:id="2406"/>
      <w:bookmarkEnd w:id="2407"/>
    </w:p>
    <w:p w:rsidR="00900B10" w:rsidRDefault="00900B10" w:rsidP="007E4E81">
      <w:pPr>
        <w:pStyle w:val="a0"/>
        <w:rPr>
          <w:rtl/>
        </w:rPr>
      </w:pPr>
      <w:r>
        <w:rPr>
          <w:rFonts w:hint="cs"/>
          <w:rtl/>
        </w:rPr>
        <w:t xml:space="preserve">ובדעת </w:t>
      </w:r>
      <w:r w:rsidRPr="00950C76">
        <w:rPr>
          <w:rStyle w:val="af9"/>
          <w:rFonts w:hint="cs"/>
          <w:rtl/>
        </w:rPr>
        <w:t>המהר"ם מרוטנבורג</w:t>
      </w:r>
      <w:r>
        <w:rPr>
          <w:rFonts w:hint="cs"/>
          <w:rtl/>
        </w:rPr>
        <w:t xml:space="preserve"> ביארו </w:t>
      </w:r>
      <w:r w:rsidRPr="00950C76">
        <w:rPr>
          <w:rStyle w:val="af9"/>
          <w:rFonts w:hint="cs"/>
          <w:rtl/>
        </w:rPr>
        <w:t>בחי' הגרש"ש ובקה"י</w:t>
      </w:r>
      <w:r>
        <w:rPr>
          <w:rFonts w:hint="cs"/>
          <w:rtl/>
        </w:rPr>
        <w:t xml:space="preserve"> דהחזקת מועדות בג' נגיחות בשור, אינם ראיה שזהו טבעו, אלא דכל שנגח ג"פ הורגל לנגוח ונעשה טבעו בכך, והטבע שלו השתנה ע"י ההרגל, ולכן ס"ל </w:t>
      </w:r>
      <w:r w:rsidRPr="00347EE2">
        <w:rPr>
          <w:rStyle w:val="af9"/>
          <w:rFonts w:hint="cs"/>
          <w:rtl/>
        </w:rPr>
        <w:t xml:space="preserve">להמהר"ם מרונטבורג </w:t>
      </w:r>
      <w:r>
        <w:rPr>
          <w:rFonts w:hint="cs"/>
          <w:rtl/>
        </w:rPr>
        <w:t>דדמי לאמירת משיב הרוח בל' יום דמתרגל לומר כן, וכיון דבשור אמרינן דכ"ש אם קירב נגיחות דנעשה מועד והורגל לנגוח, ה"ה במשיב הרוח דכשאמר צ' יום ברציפות, הורגל לומר כן.</w:t>
      </w:r>
    </w:p>
    <w:p w:rsidR="00900B10" w:rsidRDefault="00900B10" w:rsidP="00900B10">
      <w:pPr>
        <w:pStyle w:val="afe"/>
        <w:rPr>
          <w:rtl/>
        </w:rPr>
      </w:pPr>
      <w:bookmarkStart w:id="2408" w:name="_Toc54948485"/>
      <w:bookmarkStart w:id="2409" w:name="_Toc54952088"/>
      <w:bookmarkStart w:id="2410" w:name="_Toc55072980"/>
      <w:bookmarkStart w:id="2411" w:name="_Toc55073177"/>
      <w:bookmarkStart w:id="2412" w:name="_Toc55073588"/>
      <w:bookmarkStart w:id="2413" w:name="_Toc55074136"/>
      <w:r>
        <w:rPr>
          <w:rFonts w:hint="cs"/>
          <w:rtl/>
        </w:rPr>
        <w:t>בילפותא משור המועד לחזקה לתוס'</w:t>
      </w:r>
      <w:bookmarkEnd w:id="2408"/>
      <w:bookmarkEnd w:id="2409"/>
      <w:bookmarkEnd w:id="2410"/>
      <w:bookmarkEnd w:id="2411"/>
      <w:bookmarkEnd w:id="2412"/>
      <w:bookmarkEnd w:id="2413"/>
    </w:p>
    <w:p w:rsidR="00900B10" w:rsidRPr="00033CCC" w:rsidRDefault="00900B10" w:rsidP="00900B10">
      <w:pPr>
        <w:pStyle w:val="1"/>
        <w:rPr>
          <w:rtl/>
        </w:rPr>
      </w:pPr>
      <w:bookmarkStart w:id="2414" w:name="_Toc54948486"/>
      <w:bookmarkStart w:id="2415" w:name="_Toc54952089"/>
      <w:bookmarkStart w:id="2416" w:name="_Toc55072981"/>
      <w:bookmarkStart w:id="2417" w:name="_Toc55073178"/>
      <w:bookmarkStart w:id="2418" w:name="_Toc55073589"/>
      <w:bookmarkStart w:id="2419" w:name="_Toc55074137"/>
      <w:r>
        <w:rPr>
          <w:rFonts w:hint="cs"/>
          <w:rtl/>
        </w:rPr>
        <w:t>ביאור הקה"י והגרש"ר בתוס' דבג"פ מוכח דהמערער מכר לו</w:t>
      </w:r>
      <w:bookmarkEnd w:id="2414"/>
      <w:bookmarkEnd w:id="2415"/>
      <w:bookmarkEnd w:id="2416"/>
      <w:bookmarkEnd w:id="2417"/>
      <w:bookmarkEnd w:id="2418"/>
      <w:bookmarkEnd w:id="2419"/>
      <w:r>
        <w:rPr>
          <w:rFonts w:hint="cs"/>
          <w:rtl/>
        </w:rPr>
        <w:t xml:space="preserve"> </w:t>
      </w:r>
    </w:p>
    <w:p w:rsidR="00900B10" w:rsidRDefault="00900B10" w:rsidP="00900B10">
      <w:pPr>
        <w:pStyle w:val="a3"/>
        <w:rPr>
          <w:rtl/>
        </w:rPr>
      </w:pPr>
      <w:bookmarkStart w:id="2420" w:name="_Toc54948487"/>
      <w:bookmarkStart w:id="2421" w:name="_Toc54952090"/>
      <w:bookmarkStart w:id="2422" w:name="_Toc55072982"/>
      <w:bookmarkStart w:id="2423" w:name="_Toc55073179"/>
      <w:bookmarkStart w:id="2424" w:name="_Toc55073590"/>
      <w:bookmarkStart w:id="2425" w:name="_Toc55074138"/>
      <w:r>
        <w:rPr>
          <w:rFonts w:hint="cs"/>
          <w:rtl/>
        </w:rPr>
        <w:t>ביאור הקה"י בתוס' דא"א לומר דבג"פ מתרגל המערער לשתוק דא"כ אין המחזיק זוכה בקרקע</w:t>
      </w:r>
      <w:bookmarkEnd w:id="2420"/>
      <w:bookmarkEnd w:id="2421"/>
      <w:bookmarkEnd w:id="2422"/>
      <w:bookmarkEnd w:id="2423"/>
      <w:bookmarkEnd w:id="2424"/>
      <w:bookmarkEnd w:id="2425"/>
    </w:p>
    <w:p w:rsidR="00900B10" w:rsidRDefault="00900B10" w:rsidP="007E4E81">
      <w:pPr>
        <w:pStyle w:val="a0"/>
        <w:rPr>
          <w:rtl/>
        </w:rPr>
      </w:pPr>
      <w:bookmarkStart w:id="2426" w:name="_Ref54802433"/>
      <w:r>
        <w:rPr>
          <w:rFonts w:hint="cs"/>
          <w:rtl/>
        </w:rPr>
        <w:t xml:space="preserve">וכתב </w:t>
      </w:r>
      <w:r w:rsidRPr="00347EE2">
        <w:rPr>
          <w:rStyle w:val="af9"/>
          <w:rFonts w:hint="cs"/>
          <w:rtl/>
        </w:rPr>
        <w:t xml:space="preserve">הקה"י </w:t>
      </w:r>
      <w:r w:rsidRPr="00FF217C">
        <w:rPr>
          <w:rStyle w:val="af7"/>
          <w:rFonts w:eastAsia="Guttman Hodes" w:hint="cs"/>
          <w:rtl/>
        </w:rPr>
        <w:t>(טהרות סי' ס"ו ד"ה והנה)</w:t>
      </w:r>
      <w:r>
        <w:rPr>
          <w:rFonts w:hint="cs"/>
          <w:rtl/>
        </w:rPr>
        <w:t xml:space="preserve"> דכיון דמבואר מדברי </w:t>
      </w:r>
      <w:r w:rsidRPr="00347EE2">
        <w:rPr>
          <w:rStyle w:val="af9"/>
          <w:rFonts w:hint="cs"/>
          <w:rtl/>
        </w:rPr>
        <w:t xml:space="preserve">התוס' </w:t>
      </w:r>
      <w:r w:rsidRPr="00FF217C">
        <w:rPr>
          <w:rStyle w:val="af7"/>
          <w:rFonts w:eastAsia="Guttman Hodes" w:hint="cs"/>
          <w:rtl/>
        </w:rPr>
        <w:t>(עי'</w:t>
      </w:r>
      <w:r>
        <w:rPr>
          <w:rStyle w:val="af7"/>
          <w:rFonts w:eastAsia="Guttman Hodes" w:hint="cs"/>
          <w:rtl/>
        </w:rPr>
        <w:t xml:space="preserve"> אות</w:t>
      </w:r>
      <w:r w:rsidRPr="00FF217C">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Ref54944825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Pr>
          <w:rStyle w:val="af7"/>
          <w:rFonts w:eastAsia="Guttman Hodes"/>
          <w:rtl/>
        </w:rPr>
        <w:fldChar w:fldCharType="end"/>
      </w:r>
      <w:r>
        <w:rPr>
          <w:rStyle w:val="af7"/>
          <w:rFonts w:eastAsia="Guttman Hodes" w:hint="cs"/>
          <w:rtl/>
        </w:rPr>
        <w:t xml:space="preserve"> </w:t>
      </w:r>
      <w:r>
        <w:rPr>
          <w:rFonts w:hint="cs"/>
          <w:rtl/>
        </w:rPr>
        <w:t xml:space="preserve">דלהולכי אושא דילפינן חזקת ג"ש משור המועד, הביאור בחזקת ג"ש דבאכילה של שנה אחת, אף ששתק המערער אפש"ל דשתיקתו היא מקרה, אבל לאחר ששתק על אכילת ג"ש, לא תלינן במקרה והוחזק לשתקן, וכתב </w:t>
      </w:r>
      <w:r w:rsidRPr="00347EE2">
        <w:rPr>
          <w:rStyle w:val="af9"/>
          <w:rFonts w:hint="cs"/>
          <w:rtl/>
        </w:rPr>
        <w:t xml:space="preserve">הקה"י </w:t>
      </w:r>
      <w:r>
        <w:rPr>
          <w:rFonts w:hint="cs"/>
          <w:rtl/>
        </w:rPr>
        <w:t>דא"כ א"א לומר דהחזקה היא שבג' פעמים מורגל המערער לשתוק, ונעשה טבעו לשתוק, דא"כ אין בזה כל זכות למחזיק בקרקע.</w:t>
      </w:r>
    </w:p>
    <w:p w:rsidR="00900B10" w:rsidRPr="00724B72" w:rsidRDefault="00900B10" w:rsidP="00900B10">
      <w:pPr>
        <w:pStyle w:val="a3"/>
      </w:pPr>
      <w:bookmarkStart w:id="2427" w:name="_Toc54948488"/>
      <w:bookmarkStart w:id="2428" w:name="_Toc54952091"/>
      <w:bookmarkStart w:id="2429" w:name="_Toc55072983"/>
      <w:bookmarkStart w:id="2430" w:name="_Toc55073180"/>
      <w:bookmarkStart w:id="2431" w:name="_Toc55073591"/>
      <w:bookmarkStart w:id="2432" w:name="_Toc55074139"/>
      <w:r>
        <w:rPr>
          <w:rFonts w:hint="cs"/>
          <w:rtl/>
        </w:rPr>
        <w:t>ביאור הקה"י דבשתיקת ג"ש יש ראיה דמכר למחזיק כמו בשור דיש ראיה דדרכו לנגוח</w:t>
      </w:r>
      <w:bookmarkEnd w:id="2427"/>
      <w:bookmarkEnd w:id="2428"/>
      <w:bookmarkEnd w:id="2429"/>
      <w:bookmarkEnd w:id="2430"/>
      <w:bookmarkEnd w:id="2431"/>
      <w:bookmarkEnd w:id="2432"/>
    </w:p>
    <w:p w:rsidR="00900B10" w:rsidRDefault="00900B10" w:rsidP="007E4E81">
      <w:pPr>
        <w:pStyle w:val="a0"/>
        <w:rPr>
          <w:rtl/>
        </w:rPr>
      </w:pPr>
      <w:r>
        <w:rPr>
          <w:rFonts w:hint="cs"/>
          <w:rtl/>
        </w:rPr>
        <w:t xml:space="preserve">אלא כתב </w:t>
      </w:r>
      <w:r w:rsidRPr="00347EE2">
        <w:rPr>
          <w:rStyle w:val="af9"/>
          <w:rFonts w:hint="cs"/>
          <w:rtl/>
        </w:rPr>
        <w:t xml:space="preserve">הקה"י </w:t>
      </w:r>
      <w:r>
        <w:rPr>
          <w:rFonts w:hint="cs"/>
          <w:rtl/>
        </w:rPr>
        <w:t xml:space="preserve">דמוכח מדברי </w:t>
      </w:r>
      <w:r w:rsidRPr="00347EE2">
        <w:rPr>
          <w:rStyle w:val="af9"/>
          <w:rFonts w:hint="cs"/>
          <w:rtl/>
        </w:rPr>
        <w:t xml:space="preserve">התוס' </w:t>
      </w:r>
      <w:r>
        <w:rPr>
          <w:rFonts w:hint="cs"/>
          <w:rtl/>
        </w:rPr>
        <w:t xml:space="preserve">דע"י ששתק המרא קמא על ג' אכילות, יש הוכחה וראיה שמכר למחזיק את הקרקע, והוא הוכחה למפרע מהאכילה הראשונה, ולכן א"צ להחזיר אף את הפירות של האכילות הראשונות, וא"כ אף החזקה בשור המועד אינה דבג' נגיחות הוא מורגל לנגוח, אלא דבג' נגיחות יש ראיה והוכחה דדרכו לנגוח, </w:t>
      </w:r>
      <w:r w:rsidRPr="00347EE2">
        <w:rPr>
          <w:rStyle w:val="afb"/>
          <w:rFonts w:hint="cs"/>
          <w:rtl/>
        </w:rPr>
        <w:t xml:space="preserve">[אך כתב </w:t>
      </w:r>
      <w:r w:rsidRPr="00347EE2">
        <w:rPr>
          <w:rStyle w:val="affa"/>
          <w:rFonts w:hint="cs"/>
          <w:rtl/>
        </w:rPr>
        <w:t>הקה"י</w:t>
      </w:r>
      <w:r w:rsidRPr="00347EE2">
        <w:rPr>
          <w:rStyle w:val="afb"/>
          <w:rFonts w:hint="cs"/>
          <w:rtl/>
        </w:rPr>
        <w:t xml:space="preserve"> דאפשר לבאר בעוד אופנים, וא"א לדמות את כל החזקות זה לזה], </w:t>
      </w:r>
      <w:r>
        <w:rPr>
          <w:rFonts w:hint="cs"/>
          <w:rtl/>
        </w:rPr>
        <w:t xml:space="preserve">וע"ע </w:t>
      </w:r>
      <w:r w:rsidRPr="00347EE2">
        <w:rPr>
          <w:rStyle w:val="af9"/>
          <w:rFonts w:hint="cs"/>
          <w:rtl/>
        </w:rPr>
        <w:t xml:space="preserve">בקובץ הערות </w:t>
      </w:r>
      <w:r w:rsidRPr="00FF217C">
        <w:rPr>
          <w:rStyle w:val="af7"/>
          <w:rFonts w:eastAsia="Guttman Hodes" w:hint="cs"/>
          <w:rtl/>
        </w:rPr>
        <w:t>(הוספות [סי' פ"ב] או' ב')</w:t>
      </w:r>
      <w:r>
        <w:rPr>
          <w:rFonts w:hint="cs"/>
          <w:rtl/>
        </w:rPr>
        <w:t>.</w:t>
      </w:r>
      <w:bookmarkEnd w:id="2426"/>
    </w:p>
    <w:p w:rsidR="00900B10" w:rsidRPr="004C2804" w:rsidRDefault="00900B10" w:rsidP="00900B10">
      <w:pPr>
        <w:pStyle w:val="a3"/>
        <w:rPr>
          <w:rtl/>
        </w:rPr>
      </w:pPr>
      <w:bookmarkStart w:id="2433" w:name="_Toc54948489"/>
      <w:bookmarkStart w:id="2434" w:name="_Toc54952092"/>
      <w:bookmarkStart w:id="2435" w:name="_Toc55072984"/>
      <w:bookmarkStart w:id="2436" w:name="_Toc55073181"/>
      <w:bookmarkStart w:id="2437" w:name="_Toc55073592"/>
      <w:bookmarkStart w:id="2438" w:name="_Toc55074140"/>
      <w:r>
        <w:rPr>
          <w:rFonts w:hint="cs"/>
          <w:rtl/>
        </w:rPr>
        <w:t>ביאור הגרש"ר בתוס' דבג"פ אי"ז מקרה ומוכח דהמערער מכר למחזיק וכן השור הוא נגחן</w:t>
      </w:r>
      <w:bookmarkEnd w:id="2433"/>
      <w:bookmarkEnd w:id="2434"/>
      <w:bookmarkEnd w:id="2435"/>
      <w:bookmarkEnd w:id="2436"/>
      <w:bookmarkEnd w:id="2437"/>
      <w:bookmarkEnd w:id="2438"/>
    </w:p>
    <w:p w:rsidR="00900B10" w:rsidRDefault="00900B10" w:rsidP="007E4E81">
      <w:pPr>
        <w:pStyle w:val="a0"/>
        <w:rPr>
          <w:rStyle w:val="afb"/>
          <w:rtl/>
        </w:rPr>
      </w:pPr>
      <w:bookmarkStart w:id="2439" w:name="_Ref54801547"/>
      <w:r>
        <w:rPr>
          <w:rFonts w:hint="cs"/>
          <w:rtl/>
        </w:rPr>
        <w:t xml:space="preserve">וכ"כ </w:t>
      </w:r>
      <w:r w:rsidRPr="00FF217C">
        <w:rPr>
          <w:rStyle w:val="af9"/>
          <w:rFonts w:hint="cs"/>
          <w:rtl/>
        </w:rPr>
        <w:t xml:space="preserve">בשיעורי רבי שמואל </w:t>
      </w:r>
      <w:r w:rsidRPr="00FF217C">
        <w:rPr>
          <w:rStyle w:val="af7"/>
          <w:rFonts w:eastAsia="Guttman Hodes" w:hint="cs"/>
          <w:rtl/>
        </w:rPr>
        <w:t>(או' ה')</w:t>
      </w:r>
      <w:r>
        <w:rPr>
          <w:rFonts w:hint="cs"/>
          <w:rtl/>
        </w:rPr>
        <w:t xml:space="preserve"> דממ"ש </w:t>
      </w:r>
      <w:r w:rsidRPr="00FF217C">
        <w:rPr>
          <w:rStyle w:val="af9"/>
          <w:rFonts w:hint="cs"/>
          <w:rtl/>
        </w:rPr>
        <w:t>התוס'</w:t>
      </w:r>
      <w:r>
        <w:rPr>
          <w:rFonts w:hint="cs"/>
          <w:rtl/>
        </w:rPr>
        <w:t xml:space="preserve"> </w:t>
      </w:r>
      <w:r w:rsidRPr="00FF217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Ref54903130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Pr>
          <w:rStyle w:val="af7"/>
          <w:rFonts w:eastAsia="Guttman Hodes"/>
          <w:rtl/>
        </w:rPr>
        <w:fldChar w:fldCharType="end"/>
      </w:r>
      <w:r>
        <w:rPr>
          <w:rStyle w:val="af7"/>
          <w:rFonts w:eastAsia="Guttman Hodes" w:hint="cs"/>
          <w:rtl/>
        </w:rPr>
        <w:t xml:space="preserve"> </w:t>
      </w:r>
      <w:r>
        <w:rPr>
          <w:rFonts w:hint="cs"/>
          <w:rtl/>
        </w:rPr>
        <w:t xml:space="preserve">דהילפותא משור המועד, היא דכמו שהוחזק נגחן בג' נגיחות, ה"ה בג' אכילות בחזקה, דאם לא מכר לו היה מקפיד, מבואר דהא דהשור נעשה למועד, אינו מחמת שבג' פעמים שנגח, הוא מתרגל לנגוח, דא"כ לא דמי כלל לג' אכילות, אלא דבג' נגיחות חשיב כקביעות, ועד ג' נגיחות תלינן כל נגיחה במקרה בעלמא, ורק לאחר שנגח ג"פ אמרינן דכל נגיחותיו הם מחמת שהוא נגחן ואינם מקרה, וא"כ ה"ה בשתק המרא קמא על ג' אכילות, דמוכח שלכל הג' פעמים ששתק יש טעם אחד, דהוא מכר לו את השדה. </w:t>
      </w:r>
      <w:r w:rsidRPr="0048558E">
        <w:rPr>
          <w:rStyle w:val="afb"/>
          <w:rFonts w:hint="cs"/>
          <w:rtl/>
        </w:rPr>
        <w:t xml:space="preserve">[וכתב </w:t>
      </w:r>
      <w:r w:rsidRPr="00FF217C">
        <w:rPr>
          <w:rStyle w:val="affa"/>
          <w:rFonts w:hint="cs"/>
          <w:rtl/>
        </w:rPr>
        <w:t>בשיעורי רבי שמואל</w:t>
      </w:r>
      <w:r w:rsidRPr="0048558E">
        <w:rPr>
          <w:rStyle w:val="afb"/>
          <w:rFonts w:hint="cs"/>
          <w:rtl/>
        </w:rPr>
        <w:t xml:space="preserve"> דביאור </w:t>
      </w:r>
      <w:r w:rsidRPr="00FF217C">
        <w:rPr>
          <w:rStyle w:val="affa"/>
          <w:rFonts w:hint="cs"/>
          <w:rtl/>
        </w:rPr>
        <w:t>התוס'</w:t>
      </w:r>
      <w:r w:rsidRPr="0048558E">
        <w:rPr>
          <w:rStyle w:val="afb"/>
          <w:rFonts w:hint="cs"/>
          <w:rtl/>
        </w:rPr>
        <w:t xml:space="preserve"> הוא דלא </w:t>
      </w:r>
      <w:r w:rsidRPr="00FF217C">
        <w:rPr>
          <w:rStyle w:val="affa"/>
          <w:rFonts w:hint="cs"/>
          <w:rtl/>
        </w:rPr>
        <w:t>כהרמב"ן</w:t>
      </w:r>
      <w:r w:rsidRPr="0048558E">
        <w:rPr>
          <w:rStyle w:val="afb"/>
          <w:rFonts w:hint="cs"/>
          <w:rtl/>
        </w:rPr>
        <w:t xml:space="preserve"> </w:t>
      </w:r>
      <w:r w:rsidRPr="00FF217C">
        <w:rPr>
          <w:rStyle w:val="aff6"/>
          <w:rFonts w:hint="cs"/>
          <w:rtl/>
        </w:rPr>
        <w:t xml:space="preserve">(עי' אות </w:t>
      </w:r>
      <w:r w:rsidRPr="00FF217C">
        <w:rPr>
          <w:rStyle w:val="aff6"/>
          <w:rtl/>
        </w:rPr>
        <w:fldChar w:fldCharType="begin"/>
      </w:r>
      <w:r w:rsidRPr="00FF217C">
        <w:rPr>
          <w:rStyle w:val="aff6"/>
          <w:rtl/>
        </w:rPr>
        <w:instrText xml:space="preserve"> </w:instrText>
      </w:r>
      <w:r w:rsidRPr="00FF217C">
        <w:rPr>
          <w:rStyle w:val="aff6"/>
          <w:rFonts w:hint="cs"/>
        </w:rPr>
        <w:instrText>REF</w:instrText>
      </w:r>
      <w:r w:rsidRPr="00FF217C">
        <w:rPr>
          <w:rStyle w:val="aff6"/>
          <w:rFonts w:hint="cs"/>
          <w:rtl/>
        </w:rPr>
        <w:instrText xml:space="preserve"> _</w:instrText>
      </w:r>
      <w:r w:rsidRPr="00FF217C">
        <w:rPr>
          <w:rStyle w:val="aff6"/>
          <w:rFonts w:hint="cs"/>
        </w:rPr>
        <w:instrText>Ref54801573 \r \h</w:instrText>
      </w:r>
      <w:r w:rsidRPr="00FF217C">
        <w:rPr>
          <w:rStyle w:val="aff6"/>
          <w:rtl/>
        </w:rPr>
        <w:instrText xml:space="preserve"> </w:instrText>
      </w:r>
      <w:r w:rsidRPr="00FF217C">
        <w:rPr>
          <w:rStyle w:val="aff6"/>
          <w:rtl/>
        </w:rPr>
      </w:r>
      <w:r w:rsidRPr="00FF217C">
        <w:rPr>
          <w:rStyle w:val="aff6"/>
          <w:rtl/>
        </w:rPr>
        <w:fldChar w:fldCharType="separate"/>
      </w:r>
      <w:r w:rsidR="00265073">
        <w:rPr>
          <w:rStyle w:val="aff6"/>
          <w:cs/>
        </w:rPr>
        <w:t>‎</w:t>
      </w:r>
      <w:r w:rsidR="00265073">
        <w:rPr>
          <w:rStyle w:val="aff6"/>
          <w:rtl/>
        </w:rPr>
        <w:t>ט)</w:t>
      </w:r>
      <w:r w:rsidRPr="00FF217C">
        <w:rPr>
          <w:rStyle w:val="aff6"/>
          <w:rtl/>
        </w:rPr>
        <w:fldChar w:fldCharType="end"/>
      </w:r>
      <w:r w:rsidRPr="0048558E">
        <w:rPr>
          <w:rStyle w:val="afb"/>
          <w:rFonts w:hint="cs"/>
          <w:rtl/>
        </w:rPr>
        <w:t xml:space="preserve"> דביאר דבג"ש נעשה מוחזק, ופקעה חזקת המרא קמא, כמו בג' נגיחות דיוצא מחזקת תם לחזקת מועד].</w:t>
      </w:r>
      <w:bookmarkEnd w:id="2439"/>
    </w:p>
    <w:p w:rsidR="00900B10" w:rsidRPr="0095034E" w:rsidRDefault="00900B10" w:rsidP="00900B10">
      <w:pPr>
        <w:pStyle w:val="a3"/>
        <w:rPr>
          <w:rtl/>
        </w:rPr>
      </w:pPr>
    </w:p>
    <w:p w:rsidR="00900B10" w:rsidRPr="002614EB" w:rsidRDefault="00900B10" w:rsidP="00900B10">
      <w:pPr>
        <w:pStyle w:val="1"/>
        <w:rPr>
          <w:rtl/>
        </w:rPr>
      </w:pPr>
      <w:bookmarkStart w:id="2440" w:name="_Toc54948492"/>
      <w:bookmarkStart w:id="2441" w:name="_Toc54952095"/>
      <w:bookmarkStart w:id="2442" w:name="_Toc55072987"/>
      <w:bookmarkStart w:id="2443" w:name="_Toc55073184"/>
      <w:bookmarkStart w:id="2444" w:name="_Toc55073595"/>
      <w:bookmarkStart w:id="2445" w:name="_Toc55074143"/>
      <w:bookmarkStart w:id="2446" w:name="_Toc54948490"/>
      <w:bookmarkStart w:id="2447" w:name="_Toc54952093"/>
      <w:bookmarkStart w:id="2448" w:name="_Toc55072985"/>
      <w:bookmarkStart w:id="2449" w:name="_Toc55073182"/>
      <w:bookmarkStart w:id="2450" w:name="_Toc55073593"/>
      <w:bookmarkStart w:id="2451" w:name="_Toc55074141"/>
      <w:r>
        <w:rPr>
          <w:rFonts w:hint="cs"/>
          <w:rtl/>
        </w:rPr>
        <w:lastRenderedPageBreak/>
        <w:t>ביאור הגרנ"פ דבשור ג"פ אינם מקרה וכן שתיקת המערער</w:t>
      </w:r>
      <w:bookmarkEnd w:id="2440"/>
      <w:bookmarkEnd w:id="2441"/>
      <w:bookmarkEnd w:id="2442"/>
      <w:bookmarkEnd w:id="2443"/>
      <w:bookmarkEnd w:id="2444"/>
      <w:bookmarkEnd w:id="2445"/>
    </w:p>
    <w:p w:rsidR="00900B10" w:rsidRDefault="00900B10" w:rsidP="00900B10">
      <w:pPr>
        <w:pStyle w:val="a3"/>
        <w:rPr>
          <w:rtl/>
        </w:rPr>
      </w:pPr>
      <w:bookmarkStart w:id="2452" w:name="_Toc54948491"/>
      <w:bookmarkStart w:id="2453" w:name="_Toc54952094"/>
      <w:bookmarkStart w:id="2454" w:name="_Toc55072986"/>
      <w:bookmarkStart w:id="2455" w:name="_Toc55073183"/>
      <w:bookmarkStart w:id="2456" w:name="_Toc55073594"/>
      <w:bookmarkStart w:id="2457" w:name="_Toc55074142"/>
      <w:bookmarkEnd w:id="2446"/>
      <w:bookmarkEnd w:id="2447"/>
      <w:bookmarkEnd w:id="2448"/>
      <w:bookmarkEnd w:id="2449"/>
      <w:bookmarkEnd w:id="2450"/>
      <w:bookmarkEnd w:id="2451"/>
      <w:r>
        <w:rPr>
          <w:rFonts w:hint="cs"/>
          <w:rtl/>
        </w:rPr>
        <w:t>דברי הגרנ"פ דמוכח בגמ' בב"ק דבג' נגיחות משתנה טבע השור והוא מתרגל לנגוח</w:t>
      </w:r>
      <w:bookmarkEnd w:id="2452"/>
      <w:bookmarkEnd w:id="2453"/>
      <w:bookmarkEnd w:id="2454"/>
      <w:bookmarkEnd w:id="2455"/>
      <w:bookmarkEnd w:id="2456"/>
      <w:bookmarkEnd w:id="2457"/>
    </w:p>
    <w:p w:rsidR="00900B10" w:rsidRDefault="00900B10" w:rsidP="007E4E81">
      <w:pPr>
        <w:pStyle w:val="a0"/>
        <w:rPr>
          <w:rtl/>
        </w:rPr>
      </w:pPr>
      <w:bookmarkStart w:id="2458" w:name="_Ref54947038"/>
      <w:r w:rsidRPr="00E5271F">
        <w:rPr>
          <w:rFonts w:hint="cs"/>
          <w:rtl/>
        </w:rPr>
        <w:t xml:space="preserve">אבל </w:t>
      </w:r>
      <w:r w:rsidRPr="00950C76">
        <w:rPr>
          <w:rStyle w:val="af9"/>
          <w:rFonts w:hint="cs"/>
          <w:rtl/>
        </w:rPr>
        <w:t>בחי' רבי נחום</w:t>
      </w:r>
      <w:r w:rsidRPr="00E5271F">
        <w:rPr>
          <w:rFonts w:hint="cs"/>
          <w:rtl/>
        </w:rPr>
        <w:t xml:space="preserve"> </w:t>
      </w:r>
      <w:r w:rsidRPr="00950C76">
        <w:rPr>
          <w:rStyle w:val="af7"/>
          <w:rFonts w:eastAsia="Guttman Hodes" w:hint="cs"/>
          <w:rtl/>
        </w:rPr>
        <w:t>(או' ט')</w:t>
      </w:r>
      <w:r w:rsidRPr="00E5271F">
        <w:rPr>
          <w:rFonts w:hint="cs"/>
          <w:rtl/>
        </w:rPr>
        <w:t xml:space="preserve"> דחה</w:t>
      </w:r>
      <w:r>
        <w:rPr>
          <w:rFonts w:hint="cs"/>
          <w:rtl/>
        </w:rPr>
        <w:t xml:space="preserve"> את דברי </w:t>
      </w:r>
      <w:r w:rsidRPr="00950C76">
        <w:rPr>
          <w:rStyle w:val="af9"/>
          <w:rFonts w:hint="cs"/>
          <w:rtl/>
        </w:rPr>
        <w:t>הקה"י</w:t>
      </w:r>
      <w:r>
        <w:rPr>
          <w:rFonts w:hint="cs"/>
          <w:rtl/>
        </w:rPr>
        <w:t xml:space="preserve"> </w:t>
      </w:r>
      <w:r w:rsidRPr="00950C76">
        <w:rPr>
          <w:rStyle w:val="af7"/>
          <w:rFonts w:eastAsia="Guttman Hodes" w:hint="cs"/>
          <w:rtl/>
        </w:rPr>
        <w:t xml:space="preserve">(עי' אות </w:t>
      </w:r>
      <w:r w:rsidRPr="00950C76">
        <w:rPr>
          <w:rStyle w:val="af7"/>
          <w:rFonts w:eastAsia="Guttman Hodes"/>
          <w:rtl/>
        </w:rPr>
        <w:fldChar w:fldCharType="begin"/>
      </w:r>
      <w:r w:rsidRPr="00950C76">
        <w:rPr>
          <w:rStyle w:val="af7"/>
          <w:rFonts w:eastAsia="Guttman Hodes"/>
          <w:rtl/>
        </w:rPr>
        <w:instrText xml:space="preserve"> </w:instrText>
      </w:r>
      <w:r w:rsidRPr="00950C76">
        <w:rPr>
          <w:rStyle w:val="af7"/>
          <w:rFonts w:eastAsia="Guttman Hodes" w:hint="cs"/>
        </w:rPr>
        <w:instrText>REF</w:instrText>
      </w:r>
      <w:r w:rsidRPr="00950C76">
        <w:rPr>
          <w:rStyle w:val="af7"/>
          <w:rFonts w:eastAsia="Guttman Hodes" w:hint="cs"/>
          <w:rtl/>
        </w:rPr>
        <w:instrText xml:space="preserve"> _</w:instrText>
      </w:r>
      <w:r w:rsidRPr="00950C76">
        <w:rPr>
          <w:rStyle w:val="af7"/>
          <w:rFonts w:eastAsia="Guttman Hodes" w:hint="cs"/>
        </w:rPr>
        <w:instrText>Ref54802433 \r \h</w:instrText>
      </w:r>
      <w:r w:rsidRPr="00950C76">
        <w:rPr>
          <w:rStyle w:val="af7"/>
          <w:rFonts w:eastAsia="Guttman Hodes"/>
          <w:rtl/>
        </w:rPr>
        <w:instrText xml:space="preserve"> </w:instrText>
      </w:r>
      <w:r w:rsidRPr="00950C76">
        <w:rPr>
          <w:rStyle w:val="af7"/>
          <w:rFonts w:eastAsia="Guttman Hodes"/>
          <w:rtl/>
        </w:rPr>
      </w:r>
      <w:r w:rsidRPr="00950C76">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950C76">
        <w:rPr>
          <w:rStyle w:val="af7"/>
          <w:rFonts w:eastAsia="Guttman Hodes"/>
          <w:rtl/>
        </w:rPr>
        <w:fldChar w:fldCharType="end"/>
      </w:r>
      <w:r>
        <w:rPr>
          <w:rFonts w:hint="cs"/>
          <w:rtl/>
        </w:rPr>
        <w:t xml:space="preserve"> דמהילפותא משור המועד לחזקה, מוכח דהחזקה בשור המועד היא דבג' נגיחות יש ראיה והוכחה דדרכו לנגוח, דהא בכמה מקומות בגמ' בב"ק יש ראיות דהטבע של השור משתנה בג' נגיחות.</w:t>
      </w:r>
      <w:bookmarkEnd w:id="2458"/>
    </w:p>
    <w:p w:rsidR="00900B10" w:rsidRDefault="00900B10" w:rsidP="00900B10">
      <w:pPr>
        <w:pStyle w:val="a3"/>
        <w:rPr>
          <w:rtl/>
        </w:rPr>
      </w:pPr>
      <w:bookmarkStart w:id="2459" w:name="_Toc54948493"/>
      <w:bookmarkStart w:id="2460" w:name="_Toc54952096"/>
      <w:bookmarkStart w:id="2461" w:name="_Toc55072988"/>
      <w:bookmarkStart w:id="2462" w:name="_Toc55073185"/>
      <w:bookmarkStart w:id="2463" w:name="_Toc55073596"/>
      <w:bookmarkStart w:id="2464" w:name="_Toc55074144"/>
      <w:r>
        <w:rPr>
          <w:rFonts w:hint="cs"/>
          <w:rtl/>
        </w:rPr>
        <w:t>ביאור הגרנ"פ דאף שמשתנה טבעו בג' נגיחות מ"מ מוכח דג"פ אינם מקרה וה"ה בחזקת ג"ש</w:t>
      </w:r>
      <w:bookmarkEnd w:id="2459"/>
      <w:bookmarkEnd w:id="2460"/>
      <w:bookmarkEnd w:id="2461"/>
      <w:bookmarkEnd w:id="2462"/>
      <w:bookmarkEnd w:id="2463"/>
      <w:bookmarkEnd w:id="2464"/>
    </w:p>
    <w:p w:rsidR="00900B10" w:rsidRPr="004E33E4" w:rsidRDefault="00900B10" w:rsidP="007E4E81">
      <w:pPr>
        <w:pStyle w:val="a0"/>
        <w:rPr>
          <w:rStyle w:val="afb"/>
          <w:rtl/>
        </w:rPr>
      </w:pPr>
      <w:bookmarkStart w:id="2465" w:name="_Ref54945350"/>
      <w:r>
        <w:rPr>
          <w:rFonts w:hint="cs"/>
          <w:rtl/>
        </w:rPr>
        <w:t xml:space="preserve">אלא ביאר </w:t>
      </w:r>
      <w:r w:rsidRPr="00950C76">
        <w:rPr>
          <w:rStyle w:val="af9"/>
          <w:rFonts w:hint="cs"/>
          <w:rtl/>
        </w:rPr>
        <w:t>בחי' רבי נחום</w:t>
      </w:r>
      <w:r>
        <w:rPr>
          <w:rFonts w:hint="cs"/>
          <w:rtl/>
        </w:rPr>
        <w:t xml:space="preserve"> דאעפ"י דבשור המועד, הטבע שלו משתנה בג' נגיחות, מ"מ ילפינן משור המועד דלא תלינן כל נגיחה במקרה בעלמא, אלא מדין חזקה אנו אומרים שיש סיבה אחת לכל הג' נגיחות, דהיינו שטבע השור השתנה להיות שור נגחן, וה"ה בחזקת ג"ש דלא תלינן את שתיקת המרא קמא על כל אכילה במקרה, אלא מעמידים את הקרקע בחזקת המחזיק.</w:t>
      </w:r>
      <w:bookmarkEnd w:id="2465"/>
      <w:r>
        <w:rPr>
          <w:rFonts w:hint="cs"/>
          <w:rtl/>
        </w:rPr>
        <w:t xml:space="preserve"> </w:t>
      </w:r>
      <w:r w:rsidRPr="004E33E4">
        <w:rPr>
          <w:rStyle w:val="afb"/>
          <w:rFonts w:hint="cs"/>
          <w:rtl/>
        </w:rPr>
        <w:t xml:space="preserve">[והוסיף </w:t>
      </w:r>
      <w:r w:rsidRPr="004E33E4">
        <w:rPr>
          <w:rStyle w:val="affa"/>
          <w:rFonts w:hint="cs"/>
          <w:rtl/>
        </w:rPr>
        <w:t>בחי' רבי נחום</w:t>
      </w:r>
      <w:r w:rsidRPr="004E33E4">
        <w:rPr>
          <w:rStyle w:val="afb"/>
          <w:rFonts w:hint="cs"/>
          <w:rtl/>
        </w:rPr>
        <w:t xml:space="preserve"> דאין כוונת הגמ' לומר דמוכח משור המועד דאינו מקרה, דזה פשיטא, אלא דבג' פעמים חשיב חזקה, דבלא דין חזקה א"א להוציא את השדה מחזקת המרא קמא].</w:t>
      </w:r>
    </w:p>
    <w:p w:rsidR="00900B10" w:rsidRDefault="00900B10" w:rsidP="00900B10">
      <w:pPr>
        <w:pStyle w:val="1"/>
        <w:rPr>
          <w:rtl/>
        </w:rPr>
      </w:pPr>
      <w:bookmarkStart w:id="2466" w:name="_Toc54643480"/>
      <w:bookmarkStart w:id="2467" w:name="_Toc54730229"/>
      <w:bookmarkStart w:id="2468" w:name="_Toc54867250"/>
      <w:bookmarkStart w:id="2469" w:name="_Toc54868849"/>
      <w:bookmarkStart w:id="2470" w:name="_Toc54887766"/>
      <w:bookmarkStart w:id="2471" w:name="_Toc54891219"/>
      <w:bookmarkStart w:id="2472" w:name="_Toc54903514"/>
      <w:bookmarkStart w:id="2473" w:name="_Toc54948523"/>
      <w:bookmarkStart w:id="2474" w:name="_Toc54952135"/>
      <w:bookmarkStart w:id="2475" w:name="_Toc55072989"/>
      <w:bookmarkStart w:id="2476" w:name="_Toc55073186"/>
      <w:bookmarkStart w:id="2477" w:name="_Toc55073597"/>
      <w:bookmarkStart w:id="2478" w:name="_Toc55074145"/>
      <w:bookmarkStart w:id="2479" w:name="_Toc54887746"/>
      <w:bookmarkStart w:id="2480" w:name="_Toc54891199"/>
      <w:bookmarkStart w:id="2481" w:name="_Toc54903494"/>
      <w:bookmarkStart w:id="2482" w:name="_Toc54948494"/>
      <w:bookmarkStart w:id="2483" w:name="_Toc54952097"/>
      <w:r>
        <w:rPr>
          <w:rFonts w:hint="cs"/>
          <w:rtl/>
        </w:rPr>
        <w:t>ביאור הגרנ"פ בתוס'</w:t>
      </w:r>
      <w:bookmarkEnd w:id="2466"/>
      <w:bookmarkEnd w:id="2467"/>
      <w:bookmarkEnd w:id="2468"/>
      <w:bookmarkEnd w:id="2469"/>
      <w:bookmarkEnd w:id="2470"/>
      <w:bookmarkEnd w:id="2471"/>
      <w:bookmarkEnd w:id="2472"/>
      <w:bookmarkEnd w:id="2473"/>
      <w:bookmarkEnd w:id="2474"/>
      <w:r>
        <w:rPr>
          <w:rFonts w:hint="cs"/>
          <w:rtl/>
        </w:rPr>
        <w:t xml:space="preserve"> דילפינן שהוחזק שתקן ויש למחזיק ראיה</w:t>
      </w:r>
      <w:bookmarkEnd w:id="2475"/>
      <w:bookmarkEnd w:id="2476"/>
      <w:bookmarkEnd w:id="2477"/>
      <w:bookmarkEnd w:id="2478"/>
    </w:p>
    <w:p w:rsidR="00900B10" w:rsidRPr="00255080" w:rsidRDefault="00900B10" w:rsidP="00900B10">
      <w:pPr>
        <w:pStyle w:val="a3"/>
        <w:rPr>
          <w:rtl/>
        </w:rPr>
      </w:pPr>
      <w:bookmarkStart w:id="2484" w:name="_Toc55072990"/>
      <w:bookmarkStart w:id="2485" w:name="_Toc55073187"/>
      <w:bookmarkStart w:id="2486" w:name="_Toc55073598"/>
      <w:bookmarkStart w:id="2487" w:name="_Toc55074146"/>
      <w:r>
        <w:rPr>
          <w:rFonts w:hint="cs"/>
          <w:rtl/>
        </w:rPr>
        <w:t>ביאור הגרנ"פ בתוס' דילפינן דהחוזק שתקן וממילא יש הוכחה שמכר את הקרקע למחזיק</w:t>
      </w:r>
      <w:bookmarkEnd w:id="2484"/>
      <w:bookmarkEnd w:id="2485"/>
      <w:bookmarkEnd w:id="2486"/>
      <w:bookmarkEnd w:id="2487"/>
    </w:p>
    <w:p w:rsidR="00900B10" w:rsidRPr="000A7081" w:rsidRDefault="00900B10" w:rsidP="007E4E81">
      <w:pPr>
        <w:pStyle w:val="a0"/>
        <w:rPr>
          <w:rStyle w:val="afb"/>
          <w:rtl/>
        </w:rPr>
      </w:pPr>
      <w:bookmarkStart w:id="2488" w:name="_Ref54884414"/>
      <w:r>
        <w:rPr>
          <w:rFonts w:hint="cs"/>
          <w:rtl/>
        </w:rPr>
        <w:t xml:space="preserve">ובמ"ש </w:t>
      </w:r>
      <w:r w:rsidRPr="00A32F4F">
        <w:rPr>
          <w:rStyle w:val="af9"/>
          <w:rFonts w:hint="cs"/>
          <w:rtl/>
        </w:rPr>
        <w:t>התוס'</w:t>
      </w:r>
      <w:r>
        <w:rPr>
          <w:rFonts w:hint="cs"/>
          <w:rtl/>
        </w:rPr>
        <w:t xml:space="preserve"> </w:t>
      </w:r>
      <w:r w:rsidRPr="00BD014A">
        <w:rPr>
          <w:rStyle w:val="af7"/>
          <w:rFonts w:eastAsia="Guttman Hodes" w:hint="cs"/>
          <w:rtl/>
        </w:rPr>
        <w:t xml:space="preserve">(עי' אות </w:t>
      </w:r>
      <w:r w:rsidRPr="00BD014A">
        <w:rPr>
          <w:rStyle w:val="af7"/>
          <w:rFonts w:eastAsia="Guttman Hodes"/>
          <w:rtl/>
        </w:rPr>
        <w:fldChar w:fldCharType="begin"/>
      </w:r>
      <w:r w:rsidRPr="00BD014A">
        <w:rPr>
          <w:rStyle w:val="af7"/>
          <w:rFonts w:eastAsia="Guttman Hodes"/>
          <w:rtl/>
        </w:rPr>
        <w:instrText xml:space="preserve"> </w:instrText>
      </w:r>
      <w:r w:rsidRPr="00BD014A">
        <w:rPr>
          <w:rStyle w:val="af7"/>
          <w:rFonts w:eastAsia="Guttman Hodes" w:hint="cs"/>
        </w:rPr>
        <w:instrText>REF</w:instrText>
      </w:r>
      <w:r w:rsidRPr="00BD014A">
        <w:rPr>
          <w:rStyle w:val="af7"/>
          <w:rFonts w:eastAsia="Guttman Hodes" w:hint="cs"/>
          <w:rtl/>
        </w:rPr>
        <w:instrText xml:space="preserve"> _</w:instrText>
      </w:r>
      <w:r w:rsidRPr="00BD014A">
        <w:rPr>
          <w:rStyle w:val="af7"/>
          <w:rFonts w:eastAsia="Guttman Hodes" w:hint="cs"/>
        </w:rPr>
        <w:instrText>Ref54884628 \r \h</w:instrText>
      </w:r>
      <w:r w:rsidRPr="00BD014A">
        <w:rPr>
          <w:rStyle w:val="af7"/>
          <w:rFonts w:eastAsia="Guttman Hodes"/>
          <w:rtl/>
        </w:rPr>
        <w:instrText xml:space="preserve"> </w:instrText>
      </w:r>
      <w:r w:rsidRPr="00BD014A">
        <w:rPr>
          <w:rStyle w:val="af7"/>
          <w:rFonts w:eastAsia="Guttman Hodes"/>
          <w:rtl/>
        </w:rPr>
      </w:r>
      <w:r w:rsidRPr="00BD014A">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BD014A">
        <w:rPr>
          <w:rStyle w:val="af7"/>
          <w:rFonts w:eastAsia="Guttman Hodes"/>
          <w:rtl/>
        </w:rPr>
        <w:fldChar w:fldCharType="end"/>
      </w:r>
      <w:r w:rsidRPr="00BD014A">
        <w:rPr>
          <w:rStyle w:val="af7"/>
          <w:rFonts w:eastAsia="Guttman Hodes" w:hint="cs"/>
          <w:rtl/>
        </w:rPr>
        <w:t xml:space="preserve"> </w:t>
      </w:r>
      <w:r>
        <w:rPr>
          <w:rFonts w:hint="cs"/>
          <w:rtl/>
        </w:rPr>
        <w:t xml:space="preserve">דכמו דבשור הוחזק נגחן בג' נגיחות, אף בחזקת ג"ש הוחזק המרא קמא לשתקן, ביאר </w:t>
      </w:r>
      <w:r w:rsidRPr="00A32F4F">
        <w:rPr>
          <w:rStyle w:val="af9"/>
          <w:rFonts w:hint="cs"/>
          <w:rtl/>
        </w:rPr>
        <w:t>בחי' רבי נחום</w:t>
      </w:r>
      <w:r>
        <w:rPr>
          <w:rFonts w:hint="cs"/>
          <w:rtl/>
        </w:rPr>
        <w:t xml:space="preserve"> </w:t>
      </w:r>
      <w:r w:rsidRPr="00BD014A">
        <w:rPr>
          <w:rStyle w:val="af7"/>
          <w:rFonts w:eastAsia="Guttman Hodes" w:hint="cs"/>
          <w:rtl/>
        </w:rPr>
        <w:t xml:space="preserve">(או' ז' ד"ה אמנם) </w:t>
      </w:r>
      <w:r w:rsidRPr="000A7081">
        <w:rPr>
          <w:rFonts w:hint="cs"/>
          <w:rtl/>
        </w:rPr>
        <w:t>דס"ל</w:t>
      </w:r>
      <w:r>
        <w:rPr>
          <w:rFonts w:hint="cs"/>
          <w:rtl/>
        </w:rPr>
        <w:t xml:space="preserve"> </w:t>
      </w:r>
      <w:r w:rsidRPr="00CB4845">
        <w:rPr>
          <w:rStyle w:val="af9"/>
          <w:rFonts w:hint="cs"/>
          <w:rtl/>
        </w:rPr>
        <w:t>להתוס'</w:t>
      </w:r>
      <w:r>
        <w:rPr>
          <w:rFonts w:hint="cs"/>
          <w:rtl/>
        </w:rPr>
        <w:t xml:space="preserve"> דלדעת הולכי אושא החזקה היא שהבעלים מוחזק כשתקן, </w:t>
      </w:r>
      <w:r w:rsidRPr="00BD014A">
        <w:rPr>
          <w:rFonts w:hint="cs"/>
          <w:rtl/>
        </w:rPr>
        <w:t xml:space="preserve">וכתב </w:t>
      </w:r>
      <w:r w:rsidRPr="00BD014A">
        <w:rPr>
          <w:rStyle w:val="af9"/>
          <w:rFonts w:hint="cs"/>
          <w:rtl/>
        </w:rPr>
        <w:t xml:space="preserve">בחי' רבי נחום </w:t>
      </w:r>
      <w:r w:rsidRPr="00BD014A">
        <w:rPr>
          <w:rFonts w:hint="cs"/>
          <w:rtl/>
        </w:rPr>
        <w:t xml:space="preserve">ואף למסקנא משמע מדברי </w:t>
      </w:r>
      <w:r w:rsidRPr="00BD014A">
        <w:rPr>
          <w:rStyle w:val="af9"/>
          <w:rFonts w:hint="cs"/>
          <w:rtl/>
        </w:rPr>
        <w:t xml:space="preserve">התוס' </w:t>
      </w:r>
      <w:r w:rsidRPr="00BD014A">
        <w:rPr>
          <w:rFonts w:hint="cs"/>
          <w:rtl/>
        </w:rPr>
        <w:t>דס"ל דזוהי הילפותא,</w:t>
      </w:r>
      <w:r w:rsidRPr="00A32F4F">
        <w:rPr>
          <w:rStyle w:val="afb"/>
          <w:rFonts w:hint="cs"/>
          <w:rtl/>
        </w:rPr>
        <w:t xml:space="preserve"> </w:t>
      </w:r>
      <w:r>
        <w:rPr>
          <w:rStyle w:val="afb"/>
          <w:rFonts w:hint="cs"/>
          <w:rtl/>
        </w:rPr>
        <w:t>[</w:t>
      </w:r>
      <w:r w:rsidRPr="00A32F4F">
        <w:rPr>
          <w:rStyle w:val="afb"/>
          <w:rFonts w:hint="cs"/>
          <w:rtl/>
        </w:rPr>
        <w:t xml:space="preserve">ודלא </w:t>
      </w:r>
      <w:r w:rsidRPr="00A32F4F">
        <w:rPr>
          <w:rStyle w:val="afb"/>
          <w:rtl/>
        </w:rPr>
        <w:t xml:space="preserve">ודלא </w:t>
      </w:r>
      <w:r w:rsidRPr="00BD014A">
        <w:rPr>
          <w:rStyle w:val="affa"/>
          <w:rtl/>
        </w:rPr>
        <w:t>כהרמב"ן</w:t>
      </w:r>
      <w:r w:rsidRPr="00A32F4F">
        <w:rPr>
          <w:rStyle w:val="afb"/>
          <w:rtl/>
        </w:rPr>
        <w:t xml:space="preserve"> </w:t>
      </w:r>
      <w:r w:rsidRPr="00BD014A">
        <w:rPr>
          <w:rStyle w:val="aff6"/>
          <w:rFonts w:hint="cs"/>
          <w:rtl/>
        </w:rPr>
        <w:t xml:space="preserve">(עי' אות </w:t>
      </w:r>
      <w:r w:rsidRPr="00BD014A">
        <w:rPr>
          <w:rStyle w:val="aff6"/>
          <w:rtl/>
        </w:rPr>
        <w:fldChar w:fldCharType="begin"/>
      </w:r>
      <w:r w:rsidRPr="00BD014A">
        <w:rPr>
          <w:rStyle w:val="aff6"/>
          <w:rtl/>
        </w:rPr>
        <w:instrText xml:space="preserve"> </w:instrText>
      </w:r>
      <w:r w:rsidRPr="00BD014A">
        <w:rPr>
          <w:rStyle w:val="aff6"/>
          <w:rFonts w:hint="cs"/>
        </w:rPr>
        <w:instrText>REF</w:instrText>
      </w:r>
      <w:r w:rsidRPr="00BD014A">
        <w:rPr>
          <w:rStyle w:val="aff6"/>
          <w:rFonts w:hint="cs"/>
          <w:rtl/>
        </w:rPr>
        <w:instrText xml:space="preserve"> _</w:instrText>
      </w:r>
      <w:r w:rsidRPr="00BD014A">
        <w:rPr>
          <w:rStyle w:val="aff6"/>
          <w:rFonts w:hint="cs"/>
        </w:rPr>
        <w:instrText>Ref54801573 \r \h</w:instrText>
      </w:r>
      <w:r w:rsidRPr="00BD014A">
        <w:rPr>
          <w:rStyle w:val="aff6"/>
          <w:rtl/>
        </w:rPr>
        <w:instrText xml:space="preserve">  \* </w:instrText>
      </w:r>
      <w:r w:rsidRPr="00BD014A">
        <w:rPr>
          <w:rStyle w:val="aff6"/>
        </w:rPr>
        <w:instrText>MERGEFORMAT</w:instrText>
      </w:r>
      <w:r w:rsidRPr="00BD014A">
        <w:rPr>
          <w:rStyle w:val="aff6"/>
          <w:rtl/>
        </w:rPr>
        <w:instrText xml:space="preserve"> </w:instrText>
      </w:r>
      <w:r w:rsidRPr="00BD014A">
        <w:rPr>
          <w:rStyle w:val="aff6"/>
          <w:rtl/>
        </w:rPr>
      </w:r>
      <w:r w:rsidRPr="00BD014A">
        <w:rPr>
          <w:rStyle w:val="aff6"/>
          <w:rtl/>
        </w:rPr>
        <w:fldChar w:fldCharType="separate"/>
      </w:r>
      <w:r w:rsidR="00265073">
        <w:rPr>
          <w:rStyle w:val="aff6"/>
          <w:cs/>
        </w:rPr>
        <w:t>‎</w:t>
      </w:r>
      <w:r w:rsidR="00265073">
        <w:rPr>
          <w:rStyle w:val="aff6"/>
          <w:rtl/>
        </w:rPr>
        <w:t>ט)</w:t>
      </w:r>
      <w:r w:rsidRPr="00BD014A">
        <w:rPr>
          <w:rStyle w:val="aff6"/>
          <w:rtl/>
        </w:rPr>
        <w:fldChar w:fldCharType="end"/>
      </w:r>
      <w:r w:rsidRPr="00A32F4F">
        <w:rPr>
          <w:rStyle w:val="afb"/>
          <w:rFonts w:hint="cs"/>
          <w:rtl/>
        </w:rPr>
        <w:t xml:space="preserve"> </w:t>
      </w:r>
      <w:r w:rsidRPr="00BD014A">
        <w:rPr>
          <w:rStyle w:val="affa"/>
          <w:rtl/>
        </w:rPr>
        <w:t>והר"ן</w:t>
      </w:r>
      <w:r w:rsidRPr="00A32F4F">
        <w:rPr>
          <w:rStyle w:val="afb"/>
          <w:rtl/>
        </w:rPr>
        <w:t xml:space="preserve"> </w:t>
      </w:r>
      <w:r w:rsidRPr="00BD014A">
        <w:rPr>
          <w:rStyle w:val="aff6"/>
          <w:rtl/>
        </w:rPr>
        <w:t xml:space="preserve">(עי' אות </w:t>
      </w:r>
      <w:r w:rsidRPr="00BD014A">
        <w:rPr>
          <w:rStyle w:val="aff6"/>
          <w:rtl/>
        </w:rPr>
        <w:fldChar w:fldCharType="begin"/>
      </w:r>
      <w:r w:rsidRPr="00BD014A">
        <w:rPr>
          <w:rStyle w:val="aff6"/>
          <w:rtl/>
        </w:rPr>
        <w:instrText xml:space="preserve"> </w:instrText>
      </w:r>
      <w:r w:rsidRPr="00BD014A">
        <w:rPr>
          <w:rStyle w:val="aff6"/>
        </w:rPr>
        <w:instrText>REF</w:instrText>
      </w:r>
      <w:r w:rsidRPr="00BD014A">
        <w:rPr>
          <w:rStyle w:val="aff6"/>
          <w:rtl/>
        </w:rPr>
        <w:instrText xml:space="preserve"> _</w:instrText>
      </w:r>
      <w:r w:rsidRPr="00BD014A">
        <w:rPr>
          <w:rStyle w:val="aff6"/>
        </w:rPr>
        <w:instrText>Ref54884583 \r \h</w:instrText>
      </w:r>
      <w:r w:rsidRPr="00BD014A">
        <w:rPr>
          <w:rStyle w:val="aff6"/>
          <w:rtl/>
        </w:rPr>
        <w:instrText xml:space="preserve">  \* </w:instrText>
      </w:r>
      <w:r w:rsidRPr="00BD014A">
        <w:rPr>
          <w:rStyle w:val="aff6"/>
        </w:rPr>
        <w:instrText>MERGEFORMAT</w:instrText>
      </w:r>
      <w:r w:rsidRPr="00BD014A">
        <w:rPr>
          <w:rStyle w:val="aff6"/>
          <w:rtl/>
        </w:rPr>
        <w:instrText xml:space="preserve"> </w:instrText>
      </w:r>
      <w:r w:rsidRPr="00BD014A">
        <w:rPr>
          <w:rStyle w:val="aff6"/>
          <w:rtl/>
        </w:rPr>
      </w:r>
      <w:r w:rsidRPr="00BD014A">
        <w:rPr>
          <w:rStyle w:val="aff6"/>
          <w:rtl/>
        </w:rPr>
        <w:fldChar w:fldCharType="separate"/>
      </w:r>
      <w:r w:rsidR="00265073">
        <w:rPr>
          <w:rStyle w:val="aff6"/>
          <w:cs/>
        </w:rPr>
        <w:t>‎</w:t>
      </w:r>
      <w:r w:rsidR="00265073">
        <w:rPr>
          <w:rStyle w:val="aff6"/>
          <w:rtl/>
        </w:rPr>
        <w:t>יא)</w:t>
      </w:r>
      <w:r w:rsidRPr="00BD014A">
        <w:rPr>
          <w:rStyle w:val="aff6"/>
          <w:rtl/>
        </w:rPr>
        <w:fldChar w:fldCharType="end"/>
      </w:r>
      <w:r w:rsidRPr="00A32F4F">
        <w:rPr>
          <w:rStyle w:val="afb"/>
          <w:rtl/>
        </w:rPr>
        <w:t xml:space="preserve"> </w:t>
      </w:r>
      <w:r w:rsidRPr="00BD014A">
        <w:rPr>
          <w:rStyle w:val="affa"/>
          <w:rtl/>
        </w:rPr>
        <w:t>והריטב"א</w:t>
      </w:r>
      <w:r w:rsidRPr="00A32F4F">
        <w:rPr>
          <w:rStyle w:val="afb"/>
          <w:rtl/>
        </w:rPr>
        <w:t xml:space="preserve"> </w:t>
      </w:r>
      <w:r w:rsidRPr="00BD014A">
        <w:rPr>
          <w:rStyle w:val="aff6"/>
          <w:rFonts w:hint="cs"/>
          <w:rtl/>
        </w:rPr>
        <w:t xml:space="preserve">(עי' אות </w:t>
      </w:r>
      <w:r w:rsidRPr="00BD014A">
        <w:rPr>
          <w:rStyle w:val="aff6"/>
          <w:rtl/>
        </w:rPr>
        <w:fldChar w:fldCharType="begin"/>
      </w:r>
      <w:r w:rsidRPr="00BD014A">
        <w:rPr>
          <w:rStyle w:val="aff6"/>
          <w:rtl/>
        </w:rPr>
        <w:instrText xml:space="preserve"> </w:instrText>
      </w:r>
      <w:r w:rsidRPr="00BD014A">
        <w:rPr>
          <w:rStyle w:val="aff6"/>
          <w:rFonts w:hint="cs"/>
        </w:rPr>
        <w:instrText>REF</w:instrText>
      </w:r>
      <w:r w:rsidRPr="00BD014A">
        <w:rPr>
          <w:rStyle w:val="aff6"/>
          <w:rFonts w:hint="cs"/>
          <w:rtl/>
        </w:rPr>
        <w:instrText xml:space="preserve"> _</w:instrText>
      </w:r>
      <w:r w:rsidRPr="00BD014A">
        <w:rPr>
          <w:rStyle w:val="aff6"/>
          <w:rFonts w:hint="cs"/>
        </w:rPr>
        <w:instrText>Ref54884589 \r \h</w:instrText>
      </w:r>
      <w:r w:rsidRPr="00BD014A">
        <w:rPr>
          <w:rStyle w:val="aff6"/>
          <w:rtl/>
        </w:rPr>
        <w:instrText xml:space="preserve">  \* </w:instrText>
      </w:r>
      <w:r w:rsidRPr="00BD014A">
        <w:rPr>
          <w:rStyle w:val="aff6"/>
        </w:rPr>
        <w:instrText>MERGEFORMAT</w:instrText>
      </w:r>
      <w:r w:rsidRPr="00BD014A">
        <w:rPr>
          <w:rStyle w:val="aff6"/>
          <w:rtl/>
        </w:rPr>
        <w:instrText xml:space="preserve"> </w:instrText>
      </w:r>
      <w:r w:rsidRPr="00BD014A">
        <w:rPr>
          <w:rStyle w:val="aff6"/>
          <w:rtl/>
        </w:rPr>
      </w:r>
      <w:r w:rsidRPr="00BD014A">
        <w:rPr>
          <w:rStyle w:val="aff6"/>
          <w:rtl/>
        </w:rPr>
        <w:fldChar w:fldCharType="separate"/>
      </w:r>
      <w:r w:rsidR="00265073">
        <w:rPr>
          <w:rStyle w:val="aff6"/>
          <w:cs/>
        </w:rPr>
        <w:t>‎</w:t>
      </w:r>
      <w:r w:rsidR="00265073">
        <w:rPr>
          <w:rStyle w:val="aff6"/>
          <w:rtl/>
        </w:rPr>
        <w:t>יב)</w:t>
      </w:r>
      <w:r w:rsidRPr="00BD014A">
        <w:rPr>
          <w:rStyle w:val="aff6"/>
          <w:rtl/>
        </w:rPr>
        <w:fldChar w:fldCharType="end"/>
      </w:r>
      <w:r w:rsidRPr="00A32F4F">
        <w:rPr>
          <w:rStyle w:val="afb"/>
          <w:rFonts w:hint="cs"/>
          <w:rtl/>
        </w:rPr>
        <w:t xml:space="preserve"> דס"ל דהחזקה היא מחמת האכילות עצמם],</w:t>
      </w:r>
      <w:r>
        <w:rPr>
          <w:rFonts w:hint="cs"/>
          <w:rtl/>
        </w:rPr>
        <w:t xml:space="preserve"> ואחר שהוחזק שתקן יש הוכחה מהא דשתק דמכר את הקרקע למחזיק, אבל בלי החזקה אין הוכחה מהשתיקה שלו, דאפש"ל דשתיקתו היא מקרה בעלמא, וזוהי הילפותא משור המועד דבג' פעמים לא תלינן במקרה, והוי חזקה. </w:t>
      </w:r>
      <w:r w:rsidRPr="000A7081">
        <w:rPr>
          <w:rStyle w:val="afb"/>
          <w:rFonts w:hint="cs"/>
          <w:rtl/>
        </w:rPr>
        <w:t xml:space="preserve">[וכתב </w:t>
      </w:r>
      <w:r w:rsidRPr="000A7081">
        <w:rPr>
          <w:rStyle w:val="affa"/>
          <w:rFonts w:hint="cs"/>
          <w:rtl/>
        </w:rPr>
        <w:t>בחי' רבי נחום</w:t>
      </w:r>
      <w:r w:rsidRPr="000A7081">
        <w:rPr>
          <w:rStyle w:val="afb"/>
          <w:rFonts w:hint="cs"/>
          <w:rtl/>
        </w:rPr>
        <w:t xml:space="preserve"> דצ"ל דס"ל </w:t>
      </w:r>
      <w:r w:rsidRPr="000A7081">
        <w:rPr>
          <w:rStyle w:val="affa"/>
          <w:rFonts w:hint="cs"/>
          <w:rtl/>
        </w:rPr>
        <w:t>להתוס'</w:t>
      </w:r>
      <w:r w:rsidRPr="000A7081">
        <w:rPr>
          <w:rStyle w:val="afb"/>
          <w:rFonts w:hint="cs"/>
          <w:rtl/>
        </w:rPr>
        <w:t xml:space="preserve"> כדביאר </w:t>
      </w:r>
      <w:r w:rsidRPr="000A7081">
        <w:rPr>
          <w:rStyle w:val="affa"/>
          <w:rFonts w:hint="cs"/>
          <w:rtl/>
        </w:rPr>
        <w:t>בחי' רבי נחום</w:t>
      </w:r>
      <w:r w:rsidRPr="000A7081">
        <w:rPr>
          <w:rStyle w:val="afb"/>
          <w:rFonts w:hint="cs"/>
          <w:rtl/>
        </w:rPr>
        <w:t xml:space="preserve"> </w:t>
      </w:r>
      <w:r w:rsidRPr="000A7081">
        <w:rPr>
          <w:rStyle w:val="aff6"/>
          <w:rFonts w:hint="cs"/>
          <w:rtl/>
        </w:rPr>
        <w:t xml:space="preserve">(עי' אות </w:t>
      </w:r>
      <w:r w:rsidRPr="000A7081">
        <w:rPr>
          <w:rStyle w:val="aff6"/>
          <w:rtl/>
        </w:rPr>
        <w:fldChar w:fldCharType="begin"/>
      </w:r>
      <w:r w:rsidRPr="000A7081">
        <w:rPr>
          <w:rStyle w:val="aff6"/>
          <w:rtl/>
        </w:rPr>
        <w:instrText xml:space="preserve"> </w:instrText>
      </w:r>
      <w:r w:rsidRPr="000A7081">
        <w:rPr>
          <w:rStyle w:val="aff6"/>
          <w:rFonts w:hint="cs"/>
        </w:rPr>
        <w:instrText>REF</w:instrText>
      </w:r>
      <w:r w:rsidRPr="000A7081">
        <w:rPr>
          <w:rStyle w:val="aff6"/>
          <w:rFonts w:hint="cs"/>
          <w:rtl/>
        </w:rPr>
        <w:instrText xml:space="preserve"> _</w:instrText>
      </w:r>
      <w:r w:rsidRPr="000A7081">
        <w:rPr>
          <w:rStyle w:val="aff6"/>
          <w:rFonts w:hint="cs"/>
        </w:rPr>
        <w:instrText>Ref54641960 \r \h</w:instrText>
      </w:r>
      <w:r w:rsidRPr="000A7081">
        <w:rPr>
          <w:rStyle w:val="aff6"/>
          <w:rtl/>
        </w:rPr>
        <w:instrText xml:space="preserve"> </w:instrText>
      </w:r>
      <w:r w:rsidRPr="000A7081">
        <w:rPr>
          <w:rStyle w:val="aff6"/>
          <w:rtl/>
        </w:rPr>
      </w:r>
      <w:r w:rsidRPr="000A7081">
        <w:rPr>
          <w:rStyle w:val="aff6"/>
          <w:rtl/>
        </w:rPr>
        <w:fldChar w:fldCharType="separate"/>
      </w:r>
      <w:r w:rsidR="00265073">
        <w:rPr>
          <w:rStyle w:val="aff6"/>
          <w:cs/>
        </w:rPr>
        <w:t>‎</w:t>
      </w:r>
      <w:r w:rsidR="00265073">
        <w:rPr>
          <w:rStyle w:val="aff6"/>
          <w:rtl/>
        </w:rPr>
        <w:t>פג)</w:t>
      </w:r>
      <w:r w:rsidRPr="000A7081">
        <w:rPr>
          <w:rStyle w:val="aff6"/>
          <w:rtl/>
        </w:rPr>
        <w:fldChar w:fldCharType="end"/>
      </w:r>
      <w:r w:rsidRPr="000A7081">
        <w:rPr>
          <w:rStyle w:val="aff6"/>
          <w:rFonts w:hint="cs"/>
          <w:rtl/>
        </w:rPr>
        <w:t xml:space="preserve"> </w:t>
      </w:r>
      <w:r w:rsidRPr="000A7081">
        <w:rPr>
          <w:rStyle w:val="afb"/>
          <w:rFonts w:hint="cs"/>
          <w:rtl/>
        </w:rPr>
        <w:t xml:space="preserve">בדעת </w:t>
      </w:r>
      <w:r w:rsidRPr="000A7081">
        <w:rPr>
          <w:rStyle w:val="affa"/>
          <w:rFonts w:hint="cs"/>
          <w:rtl/>
        </w:rPr>
        <w:t>רש"י</w:t>
      </w:r>
      <w:r w:rsidRPr="000A7081">
        <w:rPr>
          <w:rStyle w:val="afb"/>
          <w:rFonts w:hint="cs"/>
          <w:rtl/>
        </w:rPr>
        <w:t xml:space="preserve"> דאף בשנה הראשונה היה למרא קמא למחות, וצריך ג"ש, רק בכדי שיהיו ג' שתיקות].</w:t>
      </w:r>
      <w:bookmarkEnd w:id="2488"/>
    </w:p>
    <w:p w:rsidR="00900B10" w:rsidRDefault="00900B10" w:rsidP="00900B10">
      <w:pPr>
        <w:pStyle w:val="afe"/>
        <w:rPr>
          <w:rtl/>
        </w:rPr>
      </w:pPr>
      <w:bookmarkStart w:id="2489" w:name="_Toc55072991"/>
      <w:bookmarkStart w:id="2490" w:name="_Toc55073188"/>
      <w:bookmarkStart w:id="2491" w:name="_Toc55073599"/>
      <w:bookmarkStart w:id="2492" w:name="_Toc55074147"/>
      <w:r>
        <w:rPr>
          <w:rFonts w:hint="cs"/>
          <w:rtl/>
        </w:rPr>
        <w:t>בילפותא משור המועד לחזקה</w:t>
      </w:r>
      <w:bookmarkEnd w:id="2479"/>
      <w:bookmarkEnd w:id="2480"/>
      <w:bookmarkEnd w:id="2481"/>
      <w:r>
        <w:rPr>
          <w:rFonts w:hint="cs"/>
          <w:rtl/>
        </w:rPr>
        <w:t xml:space="preserve"> לרמב"ן</w:t>
      </w:r>
      <w:bookmarkEnd w:id="2482"/>
      <w:bookmarkEnd w:id="2483"/>
      <w:bookmarkEnd w:id="2489"/>
      <w:bookmarkEnd w:id="2490"/>
      <w:bookmarkEnd w:id="2491"/>
      <w:bookmarkEnd w:id="2492"/>
    </w:p>
    <w:p w:rsidR="00900B10" w:rsidRDefault="00900B10" w:rsidP="00900B10">
      <w:pPr>
        <w:pStyle w:val="1"/>
        <w:rPr>
          <w:rtl/>
        </w:rPr>
      </w:pPr>
      <w:bookmarkStart w:id="2493" w:name="_Toc54730221"/>
      <w:bookmarkStart w:id="2494" w:name="_Toc54867243"/>
      <w:bookmarkStart w:id="2495" w:name="_Toc54868842"/>
      <w:bookmarkStart w:id="2496" w:name="_Toc54887747"/>
      <w:bookmarkStart w:id="2497" w:name="_Toc54891200"/>
      <w:bookmarkStart w:id="2498" w:name="_Toc54903495"/>
      <w:bookmarkStart w:id="2499" w:name="_Toc54948495"/>
      <w:bookmarkStart w:id="2500" w:name="_Toc54952098"/>
      <w:bookmarkStart w:id="2501" w:name="_Toc55072992"/>
      <w:bookmarkStart w:id="2502" w:name="_Toc55073189"/>
      <w:bookmarkStart w:id="2503" w:name="_Toc55073600"/>
      <w:bookmarkStart w:id="2504" w:name="_Toc55074148"/>
      <w:r>
        <w:rPr>
          <w:rFonts w:hint="cs"/>
          <w:rtl/>
        </w:rPr>
        <w:t>ביאור הגר</w:t>
      </w:r>
      <w:bookmarkEnd w:id="2493"/>
      <w:bookmarkEnd w:id="2494"/>
      <w:bookmarkEnd w:id="2495"/>
      <w:r>
        <w:rPr>
          <w:rFonts w:hint="cs"/>
          <w:rtl/>
        </w:rPr>
        <w:t>"ח</w:t>
      </w:r>
      <w:bookmarkEnd w:id="2496"/>
      <w:bookmarkEnd w:id="2497"/>
      <w:bookmarkEnd w:id="2498"/>
      <w:r>
        <w:rPr>
          <w:rFonts w:hint="cs"/>
          <w:rtl/>
        </w:rPr>
        <w:t xml:space="preserve"> דמועד הוא גזיה"כ</w:t>
      </w:r>
      <w:r w:rsidRPr="00342ED3">
        <w:rPr>
          <w:rFonts w:hint="cs"/>
          <w:rtl/>
        </w:rPr>
        <w:t xml:space="preserve"> </w:t>
      </w:r>
      <w:r>
        <w:rPr>
          <w:rFonts w:hint="cs"/>
          <w:rtl/>
        </w:rPr>
        <w:t>ואין חזקתו מסברא דהוא נגחן</w:t>
      </w:r>
      <w:bookmarkEnd w:id="2499"/>
      <w:bookmarkEnd w:id="2500"/>
      <w:bookmarkEnd w:id="2501"/>
      <w:bookmarkEnd w:id="2502"/>
      <w:bookmarkEnd w:id="2503"/>
      <w:bookmarkEnd w:id="2504"/>
      <w:r>
        <w:rPr>
          <w:rFonts w:hint="cs"/>
          <w:rtl/>
        </w:rPr>
        <w:t xml:space="preserve"> </w:t>
      </w:r>
    </w:p>
    <w:p w:rsidR="00900B10" w:rsidRPr="003E3431" w:rsidRDefault="00900B10" w:rsidP="00900B10">
      <w:pPr>
        <w:pStyle w:val="a3"/>
      </w:pPr>
      <w:bookmarkStart w:id="2505" w:name="_Toc54948496"/>
      <w:bookmarkStart w:id="2506" w:name="_Toc54952099"/>
      <w:bookmarkStart w:id="2507" w:name="_Toc55072993"/>
      <w:bookmarkStart w:id="2508" w:name="_Toc55073190"/>
      <w:bookmarkStart w:id="2509" w:name="_Toc55073601"/>
      <w:bookmarkStart w:id="2510" w:name="_Toc55074149"/>
      <w:r>
        <w:rPr>
          <w:rFonts w:hint="cs"/>
          <w:rtl/>
        </w:rPr>
        <w:t>קושית הגרב"ב דהיאך ילפינן מחזקת השור שיחזור וינגח דהמערער לא ימחה במחזיק</w:t>
      </w:r>
      <w:bookmarkEnd w:id="2505"/>
      <w:bookmarkEnd w:id="2506"/>
      <w:bookmarkEnd w:id="2507"/>
      <w:bookmarkEnd w:id="2508"/>
      <w:bookmarkEnd w:id="2509"/>
      <w:bookmarkEnd w:id="2510"/>
    </w:p>
    <w:p w:rsidR="00900B10" w:rsidRPr="00F90C32" w:rsidRDefault="00900B10" w:rsidP="007E4E81">
      <w:pPr>
        <w:pStyle w:val="a0"/>
        <w:rPr>
          <w:rStyle w:val="afb"/>
          <w:rtl/>
        </w:rPr>
      </w:pPr>
      <w:bookmarkStart w:id="2511" w:name="_Ref54947722"/>
      <w:r>
        <w:rPr>
          <w:rFonts w:hint="cs"/>
          <w:rtl/>
        </w:rPr>
        <w:t xml:space="preserve">בעיקר הילפותא משור המועד, הקשה </w:t>
      </w:r>
      <w:r w:rsidRPr="00F90C32">
        <w:rPr>
          <w:rStyle w:val="af9"/>
          <w:rFonts w:hint="cs"/>
          <w:rtl/>
        </w:rPr>
        <w:t xml:space="preserve">בחו"ש הגרב"ב </w:t>
      </w:r>
      <w:r w:rsidRPr="00B71066">
        <w:rPr>
          <w:rStyle w:val="af7"/>
          <w:rFonts w:eastAsia="Guttman Hodes" w:hint="cs"/>
          <w:rtl/>
        </w:rPr>
        <w:t>(ח"א סי' ז')</w:t>
      </w:r>
      <w:r>
        <w:rPr>
          <w:rFonts w:hint="cs"/>
          <w:rtl/>
        </w:rPr>
        <w:t xml:space="preserve"> דהא בשור המועד אחר שנגח ג' נגיחות הוא בחזקת נגחן דמחזקינן ליה שיחזור ויגח, והיאך ילפינן מזה דבג"ש כיון שלא מחה ג"ש לא איכפת לו מהא דיושב המחזיק בקרקעו ולא יחזור וימחה. </w:t>
      </w:r>
      <w:r w:rsidRPr="00F90C32">
        <w:rPr>
          <w:rStyle w:val="afb"/>
          <w:rFonts w:hint="cs"/>
          <w:rtl/>
        </w:rPr>
        <w:t xml:space="preserve">[כדכתבו </w:t>
      </w:r>
      <w:r w:rsidRPr="00F90C32">
        <w:rPr>
          <w:rStyle w:val="affa"/>
          <w:rFonts w:hint="cs"/>
          <w:rtl/>
        </w:rPr>
        <w:t>התוס'</w:t>
      </w:r>
      <w:r w:rsidRPr="00F90C32">
        <w:rPr>
          <w:rStyle w:val="afb"/>
          <w:rFonts w:hint="cs"/>
          <w:rtl/>
        </w:rPr>
        <w:t xml:space="preserve"> </w:t>
      </w:r>
      <w:r w:rsidRPr="008E53A1">
        <w:rPr>
          <w:rStyle w:val="aff6"/>
          <w:rFonts w:hint="cs"/>
          <w:rtl/>
        </w:rPr>
        <w:t xml:space="preserve">(עי' אות </w:t>
      </w:r>
      <w:r w:rsidRPr="008E53A1">
        <w:rPr>
          <w:rStyle w:val="aff6"/>
          <w:rtl/>
        </w:rPr>
        <w:fldChar w:fldCharType="begin"/>
      </w:r>
      <w:r w:rsidRPr="008E53A1">
        <w:rPr>
          <w:rStyle w:val="aff6"/>
          <w:rtl/>
        </w:rPr>
        <w:instrText xml:space="preserve"> </w:instrText>
      </w:r>
      <w:r w:rsidRPr="008E53A1">
        <w:rPr>
          <w:rStyle w:val="aff6"/>
          <w:rFonts w:hint="cs"/>
        </w:rPr>
        <w:instrText>REF</w:instrText>
      </w:r>
      <w:r w:rsidRPr="008E53A1">
        <w:rPr>
          <w:rStyle w:val="aff6"/>
          <w:rFonts w:hint="cs"/>
          <w:rtl/>
        </w:rPr>
        <w:instrText xml:space="preserve"> _</w:instrText>
      </w:r>
      <w:r w:rsidRPr="008E53A1">
        <w:rPr>
          <w:rStyle w:val="aff6"/>
          <w:rFonts w:hint="cs"/>
        </w:rPr>
        <w:instrText>Ref54944825 \r \h</w:instrText>
      </w:r>
      <w:r w:rsidRPr="008E53A1">
        <w:rPr>
          <w:rStyle w:val="aff6"/>
          <w:rtl/>
        </w:rPr>
        <w:instrText xml:space="preserve"> </w:instrText>
      </w:r>
      <w:r w:rsidRPr="008E53A1">
        <w:rPr>
          <w:rStyle w:val="aff6"/>
          <w:rtl/>
        </w:rPr>
      </w:r>
      <w:r w:rsidRPr="008E53A1">
        <w:rPr>
          <w:rStyle w:val="aff6"/>
          <w:rtl/>
        </w:rPr>
        <w:fldChar w:fldCharType="separate"/>
      </w:r>
      <w:r w:rsidR="00265073">
        <w:rPr>
          <w:rStyle w:val="aff6"/>
          <w:cs/>
        </w:rPr>
        <w:t>‎</w:t>
      </w:r>
      <w:r w:rsidR="00265073">
        <w:rPr>
          <w:rStyle w:val="aff6"/>
          <w:rtl/>
        </w:rPr>
        <w:t>יג)</w:t>
      </w:r>
      <w:r w:rsidRPr="008E53A1">
        <w:rPr>
          <w:rStyle w:val="aff6"/>
          <w:rtl/>
        </w:rPr>
        <w:fldChar w:fldCharType="end"/>
      </w:r>
      <w:r w:rsidRPr="00F90C32">
        <w:rPr>
          <w:rStyle w:val="afb"/>
          <w:rFonts w:hint="cs"/>
          <w:rtl/>
        </w:rPr>
        <w:t>].</w:t>
      </w:r>
      <w:bookmarkEnd w:id="2511"/>
    </w:p>
    <w:p w:rsidR="00900B10" w:rsidRDefault="00900B10" w:rsidP="00900B10">
      <w:pPr>
        <w:pStyle w:val="a3"/>
        <w:rPr>
          <w:rtl/>
        </w:rPr>
      </w:pPr>
      <w:bookmarkStart w:id="2512" w:name="_Toc54948497"/>
      <w:bookmarkStart w:id="2513" w:name="_Toc54952100"/>
      <w:bookmarkStart w:id="2514" w:name="_Toc55072994"/>
      <w:bookmarkStart w:id="2515" w:name="_Toc55073191"/>
      <w:bookmarkStart w:id="2516" w:name="_Toc55073602"/>
      <w:bookmarkStart w:id="2517" w:name="_Toc55074150"/>
      <w:r>
        <w:rPr>
          <w:rFonts w:hint="cs"/>
          <w:rtl/>
        </w:rPr>
        <w:t>ביאור הגר"ח דמועד אינו סברא דמורגל לנגוח וזה דרכו אלא הוא גזיה"כ דבג' נגיחות הוא מועד</w:t>
      </w:r>
      <w:bookmarkEnd w:id="2512"/>
      <w:bookmarkEnd w:id="2513"/>
      <w:bookmarkEnd w:id="2514"/>
      <w:bookmarkEnd w:id="2515"/>
      <w:bookmarkEnd w:id="2516"/>
      <w:bookmarkEnd w:id="2517"/>
    </w:p>
    <w:p w:rsidR="00900B10" w:rsidRDefault="00900B10" w:rsidP="007E4E81">
      <w:pPr>
        <w:pStyle w:val="a0"/>
        <w:rPr>
          <w:rtl/>
        </w:rPr>
      </w:pPr>
      <w:bookmarkStart w:id="2518" w:name="_Ref54902729"/>
      <w:bookmarkStart w:id="2519" w:name="_Ref54947300"/>
      <w:r>
        <w:rPr>
          <w:rFonts w:hint="cs"/>
          <w:rtl/>
        </w:rPr>
        <w:t xml:space="preserve">והביא </w:t>
      </w:r>
      <w:r w:rsidRPr="00F90C32">
        <w:rPr>
          <w:rStyle w:val="af9"/>
          <w:rFonts w:hint="cs"/>
          <w:rtl/>
        </w:rPr>
        <w:t xml:space="preserve">בחו"ש הגרב"ב </w:t>
      </w:r>
      <w:r>
        <w:rPr>
          <w:rFonts w:hint="cs"/>
          <w:rtl/>
        </w:rPr>
        <w:t xml:space="preserve">בשם </w:t>
      </w:r>
      <w:r w:rsidRPr="00F90C32">
        <w:rPr>
          <w:rStyle w:val="af9"/>
          <w:rFonts w:hint="cs"/>
          <w:rtl/>
        </w:rPr>
        <w:t xml:space="preserve">הגר"ח </w:t>
      </w:r>
      <w:r>
        <w:rPr>
          <w:rFonts w:hint="cs"/>
          <w:rtl/>
        </w:rPr>
        <w:t>דביאר דבשור המועד אין חזקתו מסברא דכל שנגח ג"פ, הוא נעשה רגיל לנגוח</w:t>
      </w:r>
      <w:r w:rsidRPr="00BB1ABC">
        <w:rPr>
          <w:rFonts w:hint="cs"/>
          <w:rtl/>
        </w:rPr>
        <w:t xml:space="preserve"> </w:t>
      </w:r>
      <w:r>
        <w:rPr>
          <w:rFonts w:hint="cs"/>
          <w:rtl/>
        </w:rPr>
        <w:t xml:space="preserve">וזהו דרכו </w:t>
      </w:r>
      <w:r>
        <w:rPr>
          <w:rFonts w:hint="cs"/>
          <w:rtl/>
        </w:rPr>
        <w:t xml:space="preserve">דהוא מוחזק שיחזור וינגח, אלא הוא דין מגזיה"כ דאחר שנגח ג' נגיחות הוא נעשה מועד, </w:t>
      </w:r>
      <w:r w:rsidRPr="00B71066">
        <w:rPr>
          <w:rStyle w:val="afb"/>
          <w:rFonts w:hint="cs"/>
          <w:rtl/>
        </w:rPr>
        <w:t xml:space="preserve">[עיי"ש במה שהוכיח כן </w:t>
      </w:r>
      <w:r w:rsidRPr="00B71066">
        <w:rPr>
          <w:rStyle w:val="affa"/>
          <w:rFonts w:hint="cs"/>
          <w:rtl/>
        </w:rPr>
        <w:t>הגר"ח</w:t>
      </w:r>
      <w:r w:rsidRPr="00B71066">
        <w:rPr>
          <w:rStyle w:val="afb"/>
          <w:rFonts w:hint="cs"/>
          <w:rtl/>
        </w:rPr>
        <w:t>],</w:t>
      </w:r>
      <w:r>
        <w:rPr>
          <w:rFonts w:hint="cs"/>
          <w:rtl/>
        </w:rPr>
        <w:t xml:space="preserve"> וכתב </w:t>
      </w:r>
      <w:r w:rsidRPr="00B71066">
        <w:rPr>
          <w:rStyle w:val="af9"/>
          <w:rFonts w:hint="cs"/>
          <w:rtl/>
        </w:rPr>
        <w:t>בחו"ש הגרב"ב</w:t>
      </w:r>
      <w:r>
        <w:rPr>
          <w:rFonts w:hint="cs"/>
          <w:rtl/>
        </w:rPr>
        <w:t xml:space="preserve"> דא"כ מבואר שיש במועד ב' דינים, הא' דהוא נעשה מוחזק לנגוח, והב' דיש לו דין מועד, ועי' במ"ש </w:t>
      </w:r>
      <w:r w:rsidRPr="00B71066">
        <w:rPr>
          <w:rStyle w:val="af9"/>
          <w:rFonts w:hint="cs"/>
          <w:rtl/>
        </w:rPr>
        <w:t xml:space="preserve">בחי' הגרש"ש </w:t>
      </w:r>
      <w:r w:rsidRPr="00EF3950">
        <w:rPr>
          <w:rStyle w:val="af9"/>
          <w:rFonts w:hint="cs"/>
          <w:rtl/>
        </w:rPr>
        <w:t xml:space="preserve">ובקה"י </w:t>
      </w:r>
      <w:r w:rsidRPr="002F5E89">
        <w:rPr>
          <w:rStyle w:val="af7"/>
          <w:rFonts w:eastAsia="Guttman Hodes" w:hint="cs"/>
          <w:rtl/>
        </w:rPr>
        <w:t xml:space="preserve">(עי' אות </w:t>
      </w:r>
      <w:r w:rsidRPr="002F5E89">
        <w:rPr>
          <w:rStyle w:val="af7"/>
          <w:rFonts w:eastAsia="Guttman Hodes"/>
          <w:rtl/>
        </w:rPr>
        <w:fldChar w:fldCharType="begin"/>
      </w:r>
      <w:r w:rsidRPr="002F5E89">
        <w:rPr>
          <w:rStyle w:val="af7"/>
          <w:rFonts w:eastAsia="Guttman Hodes"/>
          <w:rtl/>
        </w:rPr>
        <w:instrText xml:space="preserve"> </w:instrText>
      </w:r>
      <w:r w:rsidRPr="002F5E89">
        <w:rPr>
          <w:rStyle w:val="af7"/>
          <w:rFonts w:eastAsia="Guttman Hodes" w:hint="cs"/>
        </w:rPr>
        <w:instrText>REF</w:instrText>
      </w:r>
      <w:r w:rsidRPr="002F5E89">
        <w:rPr>
          <w:rStyle w:val="af7"/>
          <w:rFonts w:eastAsia="Guttman Hodes" w:hint="cs"/>
          <w:rtl/>
        </w:rPr>
        <w:instrText xml:space="preserve"> _</w:instrText>
      </w:r>
      <w:r w:rsidRPr="002F5E89">
        <w:rPr>
          <w:rStyle w:val="af7"/>
          <w:rFonts w:eastAsia="Guttman Hodes" w:hint="cs"/>
        </w:rPr>
        <w:instrText>Ref54947029 \r \h</w:instrText>
      </w:r>
      <w:r w:rsidRPr="002F5E89">
        <w:rPr>
          <w:rStyle w:val="af7"/>
          <w:rFonts w:eastAsia="Guttman Hodes"/>
          <w:rtl/>
        </w:rPr>
        <w:instrText xml:space="preserve"> </w:instrText>
      </w:r>
      <w:r w:rsidRPr="002F5E89">
        <w:rPr>
          <w:rStyle w:val="af7"/>
          <w:rFonts w:eastAsia="Guttman Hodes"/>
          <w:rtl/>
        </w:rPr>
      </w:r>
      <w:r w:rsidRPr="002F5E89">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2F5E89">
        <w:rPr>
          <w:rStyle w:val="af7"/>
          <w:rFonts w:eastAsia="Guttman Hodes"/>
          <w:rtl/>
        </w:rPr>
        <w:fldChar w:fldCharType="end"/>
      </w:r>
      <w:r>
        <w:rPr>
          <w:rFonts w:hint="cs"/>
          <w:rtl/>
        </w:rPr>
        <w:t xml:space="preserve"> </w:t>
      </w:r>
      <w:r w:rsidRPr="00B71066">
        <w:rPr>
          <w:rStyle w:val="af9"/>
          <w:rFonts w:hint="cs"/>
          <w:rtl/>
        </w:rPr>
        <w:t>ובחי' רבי נחום</w:t>
      </w:r>
      <w:r>
        <w:rPr>
          <w:rFonts w:hint="cs"/>
          <w:rtl/>
        </w:rPr>
        <w:t xml:space="preserve"> </w:t>
      </w:r>
      <w:r w:rsidRPr="002F5E89">
        <w:rPr>
          <w:rStyle w:val="af7"/>
          <w:rFonts w:eastAsia="Guttman Hodes" w:hint="cs"/>
          <w:rtl/>
        </w:rPr>
        <w:t xml:space="preserve">(עי' אות </w:t>
      </w:r>
      <w:r w:rsidRPr="002F5E89">
        <w:rPr>
          <w:rStyle w:val="af7"/>
          <w:rFonts w:eastAsia="Guttman Hodes"/>
          <w:rtl/>
        </w:rPr>
        <w:fldChar w:fldCharType="begin"/>
      </w:r>
      <w:r w:rsidRPr="002F5E89">
        <w:rPr>
          <w:rStyle w:val="af7"/>
          <w:rFonts w:eastAsia="Guttman Hodes"/>
          <w:rtl/>
        </w:rPr>
        <w:instrText xml:space="preserve"> </w:instrText>
      </w:r>
      <w:r w:rsidRPr="002F5E89">
        <w:rPr>
          <w:rStyle w:val="af7"/>
          <w:rFonts w:eastAsia="Guttman Hodes" w:hint="cs"/>
        </w:rPr>
        <w:instrText>REF</w:instrText>
      </w:r>
      <w:r w:rsidRPr="002F5E89">
        <w:rPr>
          <w:rStyle w:val="af7"/>
          <w:rFonts w:eastAsia="Guttman Hodes" w:hint="cs"/>
          <w:rtl/>
        </w:rPr>
        <w:instrText xml:space="preserve"> _</w:instrText>
      </w:r>
      <w:r w:rsidRPr="002F5E89">
        <w:rPr>
          <w:rStyle w:val="af7"/>
          <w:rFonts w:eastAsia="Guttman Hodes" w:hint="cs"/>
        </w:rPr>
        <w:instrText>Ref54947038 \r \h</w:instrText>
      </w:r>
      <w:r w:rsidRPr="002F5E89">
        <w:rPr>
          <w:rStyle w:val="af7"/>
          <w:rFonts w:eastAsia="Guttman Hodes"/>
          <w:rtl/>
        </w:rPr>
        <w:instrText xml:space="preserve"> </w:instrText>
      </w:r>
      <w:r w:rsidRPr="002F5E89">
        <w:rPr>
          <w:rStyle w:val="af7"/>
          <w:rFonts w:eastAsia="Guttman Hodes"/>
          <w:rtl/>
        </w:rPr>
      </w:r>
      <w:r w:rsidRPr="002F5E89">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sidRPr="002F5E89">
        <w:rPr>
          <w:rStyle w:val="af7"/>
          <w:rFonts w:eastAsia="Guttman Hodes"/>
          <w:rtl/>
        </w:rPr>
        <w:fldChar w:fldCharType="end"/>
      </w:r>
      <w:r>
        <w:rPr>
          <w:rFonts w:hint="cs"/>
          <w:rtl/>
        </w:rPr>
        <w:t>.</w:t>
      </w:r>
      <w:bookmarkEnd w:id="2518"/>
      <w:r w:rsidRPr="002F5E89">
        <w:rPr>
          <w:rStyle w:val="afb"/>
          <w:rFonts w:hint="cs"/>
          <w:rtl/>
        </w:rPr>
        <w:t xml:space="preserve"> </w:t>
      </w:r>
      <w:r w:rsidRPr="00347EE2">
        <w:rPr>
          <w:rStyle w:val="afb"/>
          <w:rFonts w:hint="cs"/>
          <w:rtl/>
        </w:rPr>
        <w:t xml:space="preserve">[וע"ע במ"ש </w:t>
      </w:r>
      <w:r w:rsidRPr="00347EE2">
        <w:rPr>
          <w:rStyle w:val="affa"/>
          <w:rFonts w:hint="cs"/>
          <w:rtl/>
        </w:rPr>
        <w:t>בחי' רבי שלמה</w:t>
      </w:r>
      <w:r w:rsidRPr="00347EE2">
        <w:rPr>
          <w:rStyle w:val="afb"/>
          <w:rFonts w:hint="cs"/>
          <w:rtl/>
        </w:rPr>
        <w:t xml:space="preserve"> </w:t>
      </w:r>
      <w:r w:rsidRPr="00FF217C">
        <w:rPr>
          <w:rStyle w:val="aff6"/>
          <w:rFonts w:hint="cs"/>
          <w:rtl/>
        </w:rPr>
        <w:t xml:space="preserve">(ב"ק סי' ג' ד"ה וליישב) </w:t>
      </w:r>
      <w:r w:rsidRPr="00347EE2">
        <w:rPr>
          <w:rStyle w:val="affa"/>
          <w:rFonts w:hint="cs"/>
          <w:rtl/>
        </w:rPr>
        <w:t>ובחי' רבי ראובן</w:t>
      </w:r>
      <w:r w:rsidRPr="00347EE2">
        <w:rPr>
          <w:rStyle w:val="afb"/>
          <w:rFonts w:hint="cs"/>
          <w:rtl/>
        </w:rPr>
        <w:t xml:space="preserve"> </w:t>
      </w:r>
      <w:r w:rsidRPr="00FF217C">
        <w:rPr>
          <w:rStyle w:val="aff6"/>
          <w:rFonts w:hint="cs"/>
          <w:rtl/>
        </w:rPr>
        <w:t>(ב"ק סי' א' או' א')</w:t>
      </w:r>
      <w:r w:rsidRPr="00347EE2">
        <w:rPr>
          <w:rStyle w:val="afb"/>
          <w:rFonts w:hint="cs"/>
          <w:rtl/>
        </w:rPr>
        <w:t>]</w:t>
      </w:r>
      <w:r>
        <w:rPr>
          <w:rStyle w:val="af1"/>
          <w:rtl/>
        </w:rPr>
        <w:footnoteReference w:id="7"/>
      </w:r>
      <w:r>
        <w:rPr>
          <w:rFonts w:hint="cs"/>
          <w:rtl/>
        </w:rPr>
        <w:t>.</w:t>
      </w:r>
      <w:bookmarkEnd w:id="2519"/>
    </w:p>
    <w:p w:rsidR="00900B10" w:rsidRPr="00342ED3" w:rsidRDefault="00900B10" w:rsidP="00900B10">
      <w:pPr>
        <w:pStyle w:val="1"/>
        <w:rPr>
          <w:rtl/>
        </w:rPr>
      </w:pPr>
      <w:bookmarkStart w:id="2520" w:name="_Toc54948498"/>
      <w:bookmarkStart w:id="2521" w:name="_Toc54952101"/>
      <w:bookmarkStart w:id="2522" w:name="_Toc55072995"/>
      <w:bookmarkStart w:id="2523" w:name="_Toc55073192"/>
      <w:bookmarkStart w:id="2524" w:name="_Toc55073603"/>
      <w:bookmarkStart w:id="2525" w:name="_Toc55074151"/>
      <w:r>
        <w:rPr>
          <w:rFonts w:hint="cs"/>
          <w:rtl/>
        </w:rPr>
        <w:t>ביאור הגר"ח דשור יצא מחזקתו וה"ה בג"ש שיצאה מהמר"ק</w:t>
      </w:r>
      <w:bookmarkEnd w:id="2520"/>
      <w:bookmarkEnd w:id="2521"/>
      <w:bookmarkEnd w:id="2522"/>
      <w:bookmarkEnd w:id="2523"/>
      <w:bookmarkEnd w:id="2524"/>
      <w:bookmarkEnd w:id="2525"/>
    </w:p>
    <w:p w:rsidR="00900B10" w:rsidRPr="0084205A" w:rsidRDefault="00900B10" w:rsidP="00900B10">
      <w:pPr>
        <w:pStyle w:val="a3"/>
        <w:rPr>
          <w:rtl/>
        </w:rPr>
      </w:pPr>
      <w:bookmarkStart w:id="2526" w:name="_Toc54948499"/>
      <w:bookmarkStart w:id="2527" w:name="_Toc54952102"/>
      <w:bookmarkStart w:id="2528" w:name="_Toc55072996"/>
      <w:bookmarkStart w:id="2529" w:name="_Toc55073193"/>
      <w:bookmarkStart w:id="2530" w:name="_Toc55073604"/>
      <w:bookmarkStart w:id="2531" w:name="_Toc55074152"/>
      <w:r>
        <w:rPr>
          <w:rFonts w:hint="cs"/>
          <w:rtl/>
        </w:rPr>
        <w:t>ביאור הגר"ח דבג"פ בשור יצא מחזקת תם למועד ובג"ש יצאה מהמר"ק אך אי"ז ראיה כלל</w:t>
      </w:r>
      <w:bookmarkEnd w:id="2526"/>
      <w:bookmarkEnd w:id="2527"/>
      <w:bookmarkEnd w:id="2528"/>
      <w:bookmarkEnd w:id="2529"/>
      <w:bookmarkEnd w:id="2530"/>
      <w:bookmarkEnd w:id="2531"/>
    </w:p>
    <w:p w:rsidR="00900B10" w:rsidRPr="00E377FA" w:rsidRDefault="00900B10" w:rsidP="007E4E81">
      <w:pPr>
        <w:pStyle w:val="a0"/>
        <w:rPr>
          <w:rStyle w:val="afb"/>
          <w:rtl/>
        </w:rPr>
      </w:pPr>
      <w:bookmarkStart w:id="2532" w:name="_Ref55068661"/>
      <w:bookmarkStart w:id="2533" w:name="_Toc54948500"/>
      <w:bookmarkStart w:id="2534" w:name="_Toc54952103"/>
      <w:r>
        <w:rPr>
          <w:rFonts w:hint="cs"/>
          <w:rtl/>
        </w:rPr>
        <w:t xml:space="preserve">וביאר </w:t>
      </w:r>
      <w:r>
        <w:rPr>
          <w:rStyle w:val="af9"/>
          <w:rFonts w:hint="cs"/>
          <w:rtl/>
        </w:rPr>
        <w:t xml:space="preserve">הברכ"ש </w:t>
      </w:r>
      <w:r w:rsidRPr="008D3D00">
        <w:rPr>
          <w:rStyle w:val="af7"/>
          <w:rFonts w:eastAsia="Guttman Hodes" w:hint="cs"/>
          <w:rtl/>
        </w:rPr>
        <w:t>(סי' כ"ה או' ב')</w:t>
      </w:r>
      <w:r>
        <w:rPr>
          <w:rFonts w:hint="cs"/>
          <w:rtl/>
        </w:rPr>
        <w:t xml:space="preserve"> בשם </w:t>
      </w:r>
      <w:r w:rsidRPr="00E377FA">
        <w:rPr>
          <w:rStyle w:val="af9"/>
          <w:rFonts w:hint="cs"/>
          <w:rtl/>
        </w:rPr>
        <w:t>הגר"ח</w:t>
      </w:r>
      <w:r w:rsidRPr="008D3D00">
        <w:rPr>
          <w:rFonts w:hint="cs"/>
          <w:rtl/>
        </w:rPr>
        <w:t xml:space="preserve"> </w:t>
      </w:r>
      <w:r>
        <w:rPr>
          <w:rFonts w:hint="cs"/>
          <w:rtl/>
        </w:rPr>
        <w:t>דהילפותא משור המועד לחזקת ג"ש, היא דכמו דבשור יצא מחזקתו בג' פעמים ונעשה מועד, ה"ה בחזקה בקרקע דע"י ג' אכילות היא יוצאת מחזקת מרא קמא</w:t>
      </w:r>
      <w:r w:rsidR="00A77F33">
        <w:rPr>
          <w:rFonts w:hint="cs"/>
          <w:rtl/>
        </w:rPr>
        <w:t xml:space="preserve"> </w:t>
      </w:r>
      <w:r>
        <w:rPr>
          <w:rFonts w:hint="cs"/>
          <w:rtl/>
        </w:rPr>
        <w:t xml:space="preserve">ועומדת ברשות הלוקח, וכתב הברכ"ש דא"כ המוחזקות בגוף הקרקע אינה ע"י ראיה ושטר, אלא ע"י עצם החזקה, </w:t>
      </w:r>
      <w:r w:rsidRPr="00E377FA">
        <w:rPr>
          <w:rStyle w:val="afb"/>
          <w:rFonts w:hint="cs"/>
          <w:rtl/>
        </w:rPr>
        <w:t xml:space="preserve">[כדביארו </w:t>
      </w:r>
      <w:r w:rsidRPr="00E377FA">
        <w:rPr>
          <w:rStyle w:val="affa"/>
          <w:rFonts w:hint="cs"/>
          <w:rtl/>
        </w:rPr>
        <w:t>רש"י</w:t>
      </w:r>
      <w:r w:rsidRPr="00E377FA">
        <w:rPr>
          <w:rStyle w:val="afb"/>
          <w:rFonts w:hint="cs"/>
          <w:rtl/>
        </w:rPr>
        <w:t xml:space="preserve"> </w:t>
      </w:r>
      <w:r w:rsidRPr="001A6EFC">
        <w:rPr>
          <w:rStyle w:val="aff6"/>
          <w:rFonts w:hint="cs"/>
          <w:rtl/>
        </w:rPr>
        <w:t xml:space="preserve">(עי' אות </w:t>
      </w:r>
      <w:r w:rsidRPr="001A6EFC">
        <w:rPr>
          <w:rStyle w:val="aff6"/>
          <w:rtl/>
        </w:rPr>
        <w:fldChar w:fldCharType="begin"/>
      </w:r>
      <w:r w:rsidRPr="001A6EFC">
        <w:rPr>
          <w:rStyle w:val="aff6"/>
          <w:rtl/>
        </w:rPr>
        <w:instrText xml:space="preserve"> </w:instrText>
      </w:r>
      <w:r w:rsidRPr="001A6EFC">
        <w:rPr>
          <w:rStyle w:val="aff6"/>
          <w:rFonts w:hint="cs"/>
        </w:rPr>
        <w:instrText>REF</w:instrText>
      </w:r>
      <w:r w:rsidRPr="001A6EFC">
        <w:rPr>
          <w:rStyle w:val="aff6"/>
          <w:rFonts w:hint="cs"/>
          <w:rtl/>
        </w:rPr>
        <w:instrText xml:space="preserve"> _</w:instrText>
      </w:r>
      <w:r w:rsidRPr="001A6EFC">
        <w:rPr>
          <w:rStyle w:val="aff6"/>
          <w:rFonts w:hint="cs"/>
        </w:rPr>
        <w:instrText>Ref54947187 \r \h</w:instrText>
      </w:r>
      <w:r w:rsidRPr="001A6EFC">
        <w:rPr>
          <w:rStyle w:val="aff6"/>
          <w:rtl/>
        </w:rPr>
        <w:instrText xml:space="preserve"> </w:instrText>
      </w:r>
      <w:r w:rsidRPr="001A6EFC">
        <w:rPr>
          <w:rStyle w:val="aff6"/>
          <w:rtl/>
        </w:rPr>
      </w:r>
      <w:r w:rsidRPr="001A6EFC">
        <w:rPr>
          <w:rStyle w:val="aff6"/>
          <w:rtl/>
        </w:rPr>
        <w:fldChar w:fldCharType="separate"/>
      </w:r>
      <w:r w:rsidR="00265073">
        <w:rPr>
          <w:rStyle w:val="aff6"/>
          <w:cs/>
        </w:rPr>
        <w:t>‎</w:t>
      </w:r>
      <w:r w:rsidR="00265073">
        <w:rPr>
          <w:rStyle w:val="aff6"/>
          <w:rtl/>
        </w:rPr>
        <w:t>ה)</w:t>
      </w:r>
      <w:r w:rsidRPr="001A6EFC">
        <w:rPr>
          <w:rStyle w:val="aff6"/>
          <w:rtl/>
        </w:rPr>
        <w:fldChar w:fldCharType="end"/>
      </w:r>
      <w:r w:rsidRPr="00E377FA">
        <w:rPr>
          <w:rStyle w:val="afb"/>
          <w:rFonts w:hint="cs"/>
          <w:rtl/>
        </w:rPr>
        <w:t xml:space="preserve"> </w:t>
      </w:r>
      <w:r w:rsidRPr="00E377FA">
        <w:rPr>
          <w:rStyle w:val="affa"/>
          <w:rFonts w:hint="cs"/>
          <w:rtl/>
        </w:rPr>
        <w:t>והרמב"ן</w:t>
      </w:r>
      <w:r w:rsidRPr="00E377FA">
        <w:rPr>
          <w:rStyle w:val="afb"/>
          <w:rFonts w:hint="cs"/>
          <w:rtl/>
        </w:rPr>
        <w:t xml:space="preserve"> </w:t>
      </w:r>
      <w:r w:rsidRPr="001A6EFC">
        <w:rPr>
          <w:rStyle w:val="aff6"/>
          <w:rFonts w:hint="cs"/>
          <w:rtl/>
        </w:rPr>
        <w:t xml:space="preserve">(עי' אות </w:t>
      </w:r>
      <w:r w:rsidRPr="001A6EFC">
        <w:rPr>
          <w:rStyle w:val="aff6"/>
          <w:rtl/>
        </w:rPr>
        <w:fldChar w:fldCharType="begin"/>
      </w:r>
      <w:r w:rsidRPr="001A6EFC">
        <w:rPr>
          <w:rStyle w:val="aff6"/>
          <w:rtl/>
        </w:rPr>
        <w:instrText xml:space="preserve"> </w:instrText>
      </w:r>
      <w:r w:rsidRPr="001A6EFC">
        <w:rPr>
          <w:rStyle w:val="aff6"/>
          <w:rFonts w:hint="cs"/>
        </w:rPr>
        <w:instrText>REF</w:instrText>
      </w:r>
      <w:r w:rsidRPr="001A6EFC">
        <w:rPr>
          <w:rStyle w:val="aff6"/>
          <w:rFonts w:hint="cs"/>
          <w:rtl/>
        </w:rPr>
        <w:instrText xml:space="preserve"> _</w:instrText>
      </w:r>
      <w:r w:rsidRPr="001A6EFC">
        <w:rPr>
          <w:rStyle w:val="aff6"/>
          <w:rFonts w:hint="cs"/>
        </w:rPr>
        <w:instrText>Ref54801573 \r \h</w:instrText>
      </w:r>
      <w:r w:rsidRPr="001A6EFC">
        <w:rPr>
          <w:rStyle w:val="aff6"/>
          <w:rtl/>
        </w:rPr>
        <w:instrText xml:space="preserve"> </w:instrText>
      </w:r>
      <w:r w:rsidRPr="001A6EFC">
        <w:rPr>
          <w:rStyle w:val="aff6"/>
          <w:rtl/>
        </w:rPr>
      </w:r>
      <w:r w:rsidRPr="001A6EFC">
        <w:rPr>
          <w:rStyle w:val="aff6"/>
          <w:rtl/>
        </w:rPr>
        <w:fldChar w:fldCharType="separate"/>
      </w:r>
      <w:r w:rsidR="00265073">
        <w:rPr>
          <w:rStyle w:val="aff6"/>
          <w:cs/>
        </w:rPr>
        <w:t>‎</w:t>
      </w:r>
      <w:r w:rsidR="00265073">
        <w:rPr>
          <w:rStyle w:val="aff6"/>
          <w:rtl/>
        </w:rPr>
        <w:t>ט)</w:t>
      </w:r>
      <w:r w:rsidRPr="001A6EFC">
        <w:rPr>
          <w:rStyle w:val="aff6"/>
          <w:rtl/>
        </w:rPr>
        <w:fldChar w:fldCharType="end"/>
      </w:r>
      <w:r w:rsidRPr="00E377FA">
        <w:rPr>
          <w:rStyle w:val="afb"/>
          <w:rFonts w:hint="cs"/>
          <w:rtl/>
        </w:rPr>
        <w:t>],</w:t>
      </w:r>
      <w:r>
        <w:rPr>
          <w:rFonts w:hint="cs"/>
          <w:rtl/>
        </w:rPr>
        <w:t xml:space="preserve"> והוסיף </w:t>
      </w:r>
      <w:r w:rsidRPr="00E377FA">
        <w:rPr>
          <w:rStyle w:val="af9"/>
          <w:rFonts w:hint="cs"/>
          <w:rtl/>
        </w:rPr>
        <w:t>בחו"ש הגרב"ב</w:t>
      </w:r>
      <w:r>
        <w:rPr>
          <w:rFonts w:hint="cs"/>
          <w:rtl/>
        </w:rPr>
        <w:t xml:space="preserve"> </w:t>
      </w:r>
      <w:r w:rsidRPr="00B71066">
        <w:rPr>
          <w:rStyle w:val="af7"/>
          <w:rFonts w:eastAsia="Guttman Hodes" w:hint="cs"/>
          <w:rtl/>
        </w:rPr>
        <w:t>(ח"א סי' ז')</w:t>
      </w:r>
      <w:r>
        <w:rPr>
          <w:rFonts w:hint="cs"/>
          <w:rtl/>
        </w:rPr>
        <w:t xml:space="preserve"> בשם </w:t>
      </w:r>
      <w:r w:rsidRPr="00E377FA">
        <w:rPr>
          <w:rStyle w:val="af9"/>
          <w:rFonts w:hint="cs"/>
          <w:rtl/>
        </w:rPr>
        <w:t>הגר"ח</w:t>
      </w:r>
      <w:r w:rsidRPr="008D3D00">
        <w:rPr>
          <w:rFonts w:hint="cs"/>
          <w:rtl/>
        </w:rPr>
        <w:t xml:space="preserve"> </w:t>
      </w:r>
      <w:r>
        <w:rPr>
          <w:rFonts w:hint="cs"/>
          <w:rtl/>
        </w:rPr>
        <w:t xml:space="preserve">דא"כ מבואר דלדעת הולכי אושא גדר חזקת ג"ש, אינה מדין ראיה כלל, אלא דבחזקה ג"ש יוצאת הקרקע מהמרא קמא, והמחזיק נעשה למוחזק והמערער נחשב למוציא מהמוחזק, </w:t>
      </w:r>
      <w:r w:rsidRPr="00E377FA">
        <w:rPr>
          <w:rStyle w:val="afb"/>
          <w:rFonts w:hint="cs"/>
          <w:rtl/>
        </w:rPr>
        <w:t xml:space="preserve">[כדביארו </w:t>
      </w:r>
      <w:r w:rsidRPr="00E377FA">
        <w:rPr>
          <w:rStyle w:val="affa"/>
          <w:rFonts w:hint="cs"/>
          <w:rtl/>
        </w:rPr>
        <w:t>רבינו יונה</w:t>
      </w:r>
      <w:r w:rsidRPr="00E377FA">
        <w:rPr>
          <w:rStyle w:val="afb"/>
          <w:rFonts w:hint="cs"/>
          <w:rtl/>
        </w:rPr>
        <w:t xml:space="preserve"> </w:t>
      </w:r>
      <w:r w:rsidRPr="001A6EFC">
        <w:rPr>
          <w:rStyle w:val="aff6"/>
          <w:rFonts w:hint="cs"/>
          <w:rtl/>
        </w:rPr>
        <w:t xml:space="preserve">(עי' אות </w:t>
      </w:r>
      <w:r w:rsidRPr="001A6EFC">
        <w:rPr>
          <w:rStyle w:val="aff6"/>
          <w:rtl/>
        </w:rPr>
        <w:fldChar w:fldCharType="begin"/>
      </w:r>
      <w:r w:rsidRPr="001A6EFC">
        <w:rPr>
          <w:rStyle w:val="aff6"/>
          <w:rtl/>
        </w:rPr>
        <w:instrText xml:space="preserve"> </w:instrText>
      </w:r>
      <w:r w:rsidRPr="001A6EFC">
        <w:rPr>
          <w:rStyle w:val="aff6"/>
          <w:rFonts w:hint="cs"/>
        </w:rPr>
        <w:instrText>REF</w:instrText>
      </w:r>
      <w:r w:rsidRPr="001A6EFC">
        <w:rPr>
          <w:rStyle w:val="aff6"/>
          <w:rFonts w:hint="cs"/>
          <w:rtl/>
        </w:rPr>
        <w:instrText xml:space="preserve"> _</w:instrText>
      </w:r>
      <w:r w:rsidRPr="001A6EFC">
        <w:rPr>
          <w:rStyle w:val="aff6"/>
          <w:rFonts w:hint="cs"/>
        </w:rPr>
        <w:instrText>Ref54898984 \r \h</w:instrText>
      </w:r>
      <w:r w:rsidRPr="001A6EFC">
        <w:rPr>
          <w:rStyle w:val="aff6"/>
          <w:rtl/>
        </w:rPr>
        <w:instrText xml:space="preserve"> </w:instrText>
      </w:r>
      <w:r w:rsidRPr="001A6EFC">
        <w:rPr>
          <w:rStyle w:val="aff6"/>
          <w:rtl/>
        </w:rPr>
      </w:r>
      <w:r w:rsidRPr="001A6EFC">
        <w:rPr>
          <w:rStyle w:val="aff6"/>
          <w:rtl/>
        </w:rPr>
        <w:fldChar w:fldCharType="separate"/>
      </w:r>
      <w:r w:rsidR="00265073">
        <w:rPr>
          <w:rStyle w:val="aff6"/>
          <w:cs/>
        </w:rPr>
        <w:t>‎</w:t>
      </w:r>
      <w:r w:rsidR="00265073">
        <w:rPr>
          <w:rStyle w:val="aff6"/>
          <w:rtl/>
        </w:rPr>
        <w:t>י)</w:t>
      </w:r>
      <w:r w:rsidRPr="001A6EFC">
        <w:rPr>
          <w:rStyle w:val="aff6"/>
          <w:rtl/>
        </w:rPr>
        <w:fldChar w:fldCharType="end"/>
      </w:r>
      <w:r w:rsidRPr="00E377FA">
        <w:rPr>
          <w:rStyle w:val="afb"/>
          <w:rFonts w:hint="cs"/>
          <w:rtl/>
        </w:rPr>
        <w:t xml:space="preserve"> </w:t>
      </w:r>
      <w:r w:rsidRPr="00E377FA">
        <w:rPr>
          <w:rStyle w:val="affa"/>
          <w:rFonts w:hint="cs"/>
          <w:rtl/>
        </w:rPr>
        <w:t>והריטב"א</w:t>
      </w:r>
      <w:r w:rsidRPr="00E377FA">
        <w:rPr>
          <w:rStyle w:val="afb"/>
          <w:rFonts w:hint="cs"/>
          <w:rtl/>
        </w:rPr>
        <w:t xml:space="preserve"> </w:t>
      </w:r>
      <w:r w:rsidRPr="001A6EFC">
        <w:rPr>
          <w:rStyle w:val="aff6"/>
          <w:rFonts w:hint="cs"/>
          <w:rtl/>
        </w:rPr>
        <w:t xml:space="preserve">(עי' אות </w:t>
      </w:r>
      <w:r w:rsidRPr="001A6EFC">
        <w:rPr>
          <w:rStyle w:val="aff6"/>
          <w:rtl/>
        </w:rPr>
        <w:fldChar w:fldCharType="begin"/>
      </w:r>
      <w:r w:rsidRPr="001A6EFC">
        <w:rPr>
          <w:rStyle w:val="aff6"/>
          <w:rtl/>
        </w:rPr>
        <w:instrText xml:space="preserve"> </w:instrText>
      </w:r>
      <w:r w:rsidRPr="001A6EFC">
        <w:rPr>
          <w:rStyle w:val="aff6"/>
          <w:rFonts w:hint="cs"/>
        </w:rPr>
        <w:instrText>REF</w:instrText>
      </w:r>
      <w:r w:rsidRPr="001A6EFC">
        <w:rPr>
          <w:rStyle w:val="aff6"/>
          <w:rFonts w:hint="cs"/>
          <w:rtl/>
        </w:rPr>
        <w:instrText xml:space="preserve"> _</w:instrText>
      </w:r>
      <w:r w:rsidRPr="001A6EFC">
        <w:rPr>
          <w:rStyle w:val="aff6"/>
          <w:rFonts w:hint="cs"/>
        </w:rPr>
        <w:instrText>Ref54884589 \r \h</w:instrText>
      </w:r>
      <w:r w:rsidRPr="001A6EFC">
        <w:rPr>
          <w:rStyle w:val="aff6"/>
          <w:rtl/>
        </w:rPr>
        <w:instrText xml:space="preserve"> </w:instrText>
      </w:r>
      <w:r w:rsidRPr="001A6EFC">
        <w:rPr>
          <w:rStyle w:val="aff6"/>
          <w:rtl/>
        </w:rPr>
      </w:r>
      <w:r w:rsidRPr="001A6EFC">
        <w:rPr>
          <w:rStyle w:val="aff6"/>
          <w:rtl/>
        </w:rPr>
        <w:fldChar w:fldCharType="separate"/>
      </w:r>
      <w:r w:rsidR="00265073">
        <w:rPr>
          <w:rStyle w:val="aff6"/>
          <w:cs/>
        </w:rPr>
        <w:t>‎</w:t>
      </w:r>
      <w:r w:rsidR="00265073">
        <w:rPr>
          <w:rStyle w:val="aff6"/>
          <w:rtl/>
        </w:rPr>
        <w:t>יב)</w:t>
      </w:r>
      <w:r w:rsidRPr="001A6EFC">
        <w:rPr>
          <w:rStyle w:val="aff6"/>
          <w:rtl/>
        </w:rPr>
        <w:fldChar w:fldCharType="end"/>
      </w:r>
      <w:r w:rsidRPr="00E377FA">
        <w:rPr>
          <w:rStyle w:val="afb"/>
          <w:rFonts w:hint="cs"/>
          <w:rtl/>
        </w:rPr>
        <w:t>]</w:t>
      </w:r>
      <w:r>
        <w:rPr>
          <w:rStyle w:val="afb"/>
          <w:rFonts w:hint="cs"/>
          <w:rtl/>
        </w:rPr>
        <w:t>,</w:t>
      </w:r>
      <w:r w:rsidRPr="00F55AF6">
        <w:rPr>
          <w:rFonts w:hint="cs"/>
          <w:rtl/>
        </w:rPr>
        <w:t xml:space="preserve"> </w:t>
      </w:r>
      <w:r>
        <w:rPr>
          <w:rFonts w:hint="cs"/>
          <w:rtl/>
        </w:rPr>
        <w:t xml:space="preserve">ועי' במה שביאר </w:t>
      </w:r>
      <w:r w:rsidRPr="00F55AF6">
        <w:rPr>
          <w:rStyle w:val="af9"/>
          <w:rFonts w:hint="cs"/>
          <w:rtl/>
        </w:rPr>
        <w:t>הדברי מרדכי</w:t>
      </w:r>
      <w:r>
        <w:rPr>
          <w:rFonts w:hint="cs"/>
          <w:rtl/>
        </w:rPr>
        <w:t xml:space="preserve"> </w:t>
      </w:r>
      <w:r w:rsidRPr="00F55AF6">
        <w:rPr>
          <w:rStyle w:val="af7"/>
          <w:rFonts w:eastAsia="Guttman Hodes" w:hint="cs"/>
          <w:rtl/>
        </w:rPr>
        <w:t xml:space="preserve">(עי' אות </w:t>
      </w:r>
      <w:r w:rsidRPr="00F55AF6">
        <w:rPr>
          <w:rStyle w:val="af7"/>
          <w:rFonts w:eastAsia="Guttman Hodes"/>
          <w:rtl/>
        </w:rPr>
        <w:fldChar w:fldCharType="begin"/>
      </w:r>
      <w:r w:rsidRPr="00F55AF6">
        <w:rPr>
          <w:rStyle w:val="af7"/>
          <w:rFonts w:eastAsia="Guttman Hodes"/>
          <w:rtl/>
        </w:rPr>
        <w:instrText xml:space="preserve"> </w:instrText>
      </w:r>
      <w:r w:rsidRPr="00F55AF6">
        <w:rPr>
          <w:rStyle w:val="af7"/>
          <w:rFonts w:eastAsia="Guttman Hodes" w:hint="cs"/>
        </w:rPr>
        <w:instrText>REF</w:instrText>
      </w:r>
      <w:r w:rsidRPr="00F55AF6">
        <w:rPr>
          <w:rStyle w:val="af7"/>
          <w:rFonts w:eastAsia="Guttman Hodes" w:hint="cs"/>
          <w:rtl/>
        </w:rPr>
        <w:instrText xml:space="preserve"> _</w:instrText>
      </w:r>
      <w:r w:rsidRPr="00F55AF6">
        <w:rPr>
          <w:rStyle w:val="af7"/>
          <w:rFonts w:eastAsia="Guttman Hodes" w:hint="cs"/>
        </w:rPr>
        <w:instrText>Ref55068626 \r \h</w:instrText>
      </w:r>
      <w:r w:rsidRPr="00F55AF6">
        <w:rPr>
          <w:rStyle w:val="af7"/>
          <w:rFonts w:eastAsia="Guttman Hodes"/>
          <w:rtl/>
        </w:rPr>
        <w:instrText xml:space="preserve"> </w:instrText>
      </w:r>
      <w:r w:rsidRPr="00F55AF6">
        <w:rPr>
          <w:rStyle w:val="af7"/>
          <w:rFonts w:eastAsia="Guttman Hodes"/>
          <w:rtl/>
        </w:rPr>
      </w:r>
      <w:r w:rsidRPr="00F55AF6">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F55AF6">
        <w:rPr>
          <w:rStyle w:val="af7"/>
          <w:rFonts w:eastAsia="Guttman Hodes"/>
          <w:rtl/>
        </w:rPr>
        <w:fldChar w:fldCharType="end"/>
      </w:r>
      <w:r>
        <w:rPr>
          <w:rFonts w:hint="cs"/>
          <w:rtl/>
        </w:rPr>
        <w:t xml:space="preserve"> </w:t>
      </w:r>
      <w:r w:rsidRPr="00F55AF6">
        <w:rPr>
          <w:rStyle w:val="af9"/>
          <w:rFonts w:hint="cs"/>
          <w:rtl/>
        </w:rPr>
        <w:t>בדברי הגר"ח</w:t>
      </w:r>
      <w:r>
        <w:rPr>
          <w:rFonts w:hint="cs"/>
          <w:rtl/>
        </w:rPr>
        <w:t>.</w:t>
      </w:r>
      <w:bookmarkEnd w:id="2532"/>
    </w:p>
    <w:p w:rsidR="00900B10" w:rsidRDefault="00900B10" w:rsidP="00900B10">
      <w:pPr>
        <w:pStyle w:val="a3"/>
        <w:rPr>
          <w:rtl/>
        </w:rPr>
      </w:pPr>
      <w:bookmarkStart w:id="2535" w:name="_Toc55072997"/>
      <w:bookmarkStart w:id="2536" w:name="_Toc55073194"/>
      <w:bookmarkStart w:id="2537" w:name="_Toc55073605"/>
      <w:bookmarkStart w:id="2538" w:name="_Toc55074153"/>
      <w:r>
        <w:rPr>
          <w:rFonts w:hint="cs"/>
          <w:rtl/>
        </w:rPr>
        <w:t>דברי הגר"ח דבחזקת ג"ש הורעה חזקת המר"ק ופקעה לגמרי והקרקע עומדת בחזקת המחזיק</w:t>
      </w:r>
      <w:bookmarkEnd w:id="2533"/>
      <w:bookmarkEnd w:id="2534"/>
      <w:bookmarkEnd w:id="2535"/>
      <w:bookmarkEnd w:id="2536"/>
      <w:bookmarkEnd w:id="2537"/>
      <w:bookmarkEnd w:id="2538"/>
    </w:p>
    <w:p w:rsidR="00900B10" w:rsidRDefault="00900B10" w:rsidP="007E4E81">
      <w:pPr>
        <w:pStyle w:val="a0"/>
        <w:rPr>
          <w:rtl/>
        </w:rPr>
      </w:pPr>
      <w:r>
        <w:rPr>
          <w:rFonts w:hint="cs"/>
          <w:rtl/>
        </w:rPr>
        <w:t xml:space="preserve">והוסיף </w:t>
      </w:r>
      <w:r w:rsidRPr="00F90C32">
        <w:rPr>
          <w:rStyle w:val="af9"/>
          <w:rFonts w:hint="cs"/>
          <w:rtl/>
        </w:rPr>
        <w:t>בחו"ש הגרב"ב</w:t>
      </w:r>
      <w:r>
        <w:rPr>
          <w:rFonts w:hint="cs"/>
          <w:rtl/>
        </w:rPr>
        <w:t xml:space="preserve"> בשם </w:t>
      </w:r>
      <w:r w:rsidRPr="00F90C32">
        <w:rPr>
          <w:rStyle w:val="af9"/>
          <w:rFonts w:hint="cs"/>
          <w:rtl/>
        </w:rPr>
        <w:t>הגר"ח</w:t>
      </w:r>
      <w:r>
        <w:rPr>
          <w:rFonts w:hint="cs"/>
          <w:rtl/>
        </w:rPr>
        <w:t xml:space="preserve"> דכיון דהחזקת ג"ש מרע לגמרי את חזקת המרא קמא, לכן אף דקרקע בחזקת בעליה עומדת דהיינו המרא קמא, מ"מ אחר שהמחזיק החזיק בה ג"ש, פקעה חזקת המרא קמא והיא עומדת בחזקת המחזיק.</w:t>
      </w:r>
    </w:p>
    <w:p w:rsidR="00900B10" w:rsidRDefault="00900B10" w:rsidP="00900B10">
      <w:pPr>
        <w:pStyle w:val="a3"/>
        <w:rPr>
          <w:rtl/>
        </w:rPr>
      </w:pPr>
      <w:bookmarkStart w:id="2539" w:name="_Toc54948501"/>
      <w:bookmarkStart w:id="2540" w:name="_Toc54952104"/>
      <w:bookmarkStart w:id="2541" w:name="_Toc55072998"/>
      <w:bookmarkStart w:id="2542" w:name="_Toc55073195"/>
      <w:bookmarkStart w:id="2543" w:name="_Toc55073606"/>
      <w:bookmarkStart w:id="2544" w:name="_Toc55074154"/>
      <w:r>
        <w:rPr>
          <w:rFonts w:hint="cs"/>
          <w:rtl/>
        </w:rPr>
        <w:t>דברי הגר"ח דלרבנן בחזקת ג"ש אינה יוצאת מהמר"ק והיא רק ראיה דמערער מכר למחזיק</w:t>
      </w:r>
      <w:bookmarkEnd w:id="2539"/>
      <w:bookmarkEnd w:id="2540"/>
      <w:bookmarkEnd w:id="2541"/>
      <w:bookmarkEnd w:id="2542"/>
      <w:bookmarkEnd w:id="2543"/>
      <w:bookmarkEnd w:id="2544"/>
    </w:p>
    <w:p w:rsidR="00900B10" w:rsidRDefault="00900B10" w:rsidP="007E4E81">
      <w:pPr>
        <w:pStyle w:val="a0"/>
        <w:rPr>
          <w:rtl/>
        </w:rPr>
      </w:pPr>
      <w:bookmarkStart w:id="2545" w:name="_Ref55072575"/>
      <w:r>
        <w:rPr>
          <w:rFonts w:hint="cs"/>
          <w:rtl/>
        </w:rPr>
        <w:t xml:space="preserve">אבל לדעת רבנן דטעמא דחזקה הוא דעד ג"ש אדם נזהר בשטרו, כתב </w:t>
      </w:r>
      <w:r w:rsidRPr="00E377FA">
        <w:rPr>
          <w:rStyle w:val="af9"/>
          <w:rFonts w:hint="cs"/>
          <w:rtl/>
        </w:rPr>
        <w:t>בחו"ש הגרב"ב</w:t>
      </w:r>
      <w:r>
        <w:rPr>
          <w:rFonts w:hint="cs"/>
          <w:rtl/>
        </w:rPr>
        <w:t xml:space="preserve"> בשם </w:t>
      </w:r>
      <w:r w:rsidRPr="00E377FA">
        <w:rPr>
          <w:rStyle w:val="af9"/>
          <w:rFonts w:hint="cs"/>
          <w:rtl/>
        </w:rPr>
        <w:t>הגר"ח</w:t>
      </w:r>
      <w:r>
        <w:rPr>
          <w:rFonts w:hint="cs"/>
          <w:rtl/>
        </w:rPr>
        <w:t xml:space="preserve"> דהקרקע לא יצאה מחזקת המרא קמא, והוא נחשב למוחזק, אלא שיש למחזיק ראיה שהקרקע שלו, כיון שלא מיחה בו המרא קמא כשהחזיק ג"ש, ומוכח דהמרא קמא מכר לו את הקרקע, ומהני ראית חזקת ג"ש להוציא את הקרקע מהמרא קמא אף שהוא המוחזק, דכיון דלאחר ג"ש אין אדם נזהר בשטרו, א"כ החזקה היא במקום השטר.</w:t>
      </w:r>
      <w:bookmarkEnd w:id="2545"/>
    </w:p>
    <w:p w:rsidR="00900B10" w:rsidRDefault="00900B10" w:rsidP="00900B10">
      <w:pPr>
        <w:pStyle w:val="afe"/>
        <w:rPr>
          <w:rtl/>
        </w:rPr>
      </w:pPr>
      <w:bookmarkStart w:id="2546" w:name="_Toc54887748"/>
      <w:bookmarkStart w:id="2547" w:name="_Toc54891201"/>
      <w:bookmarkStart w:id="2548" w:name="_Toc54903496"/>
      <w:bookmarkStart w:id="2549" w:name="_Toc54948502"/>
      <w:bookmarkStart w:id="2550" w:name="_Toc54952105"/>
      <w:bookmarkStart w:id="2551" w:name="_Toc55072999"/>
      <w:bookmarkStart w:id="2552" w:name="_Toc55073196"/>
      <w:bookmarkStart w:id="2553" w:name="_Toc55073607"/>
      <w:bookmarkStart w:id="2554" w:name="_Toc55074155"/>
      <w:r>
        <w:rPr>
          <w:rFonts w:hint="cs"/>
          <w:rtl/>
        </w:rPr>
        <w:t>בגדר</w:t>
      </w:r>
      <w:bookmarkEnd w:id="2358"/>
      <w:bookmarkEnd w:id="2359"/>
      <w:bookmarkEnd w:id="2360"/>
      <w:bookmarkEnd w:id="2361"/>
      <w:bookmarkEnd w:id="2362"/>
      <w:bookmarkEnd w:id="2363"/>
      <w:bookmarkEnd w:id="2364"/>
      <w:r>
        <w:rPr>
          <w:rFonts w:hint="cs"/>
          <w:rtl/>
        </w:rPr>
        <w:t xml:space="preserve"> חזקת ג"ש להולכי אושא ולרבנן</w:t>
      </w:r>
      <w:bookmarkEnd w:id="2546"/>
      <w:bookmarkEnd w:id="2547"/>
      <w:bookmarkEnd w:id="2548"/>
      <w:bookmarkEnd w:id="2549"/>
      <w:bookmarkEnd w:id="2550"/>
      <w:bookmarkEnd w:id="2551"/>
      <w:bookmarkEnd w:id="2552"/>
      <w:bookmarkEnd w:id="2553"/>
      <w:bookmarkEnd w:id="2554"/>
    </w:p>
    <w:p w:rsidR="00900B10" w:rsidRDefault="00900B10" w:rsidP="00900B10">
      <w:pPr>
        <w:pStyle w:val="1"/>
        <w:rPr>
          <w:rtl/>
        </w:rPr>
      </w:pPr>
      <w:bookmarkStart w:id="2555" w:name="_Toc54730219"/>
      <w:bookmarkStart w:id="2556" w:name="_Toc54867240"/>
      <w:bookmarkStart w:id="2557" w:name="_Toc54868839"/>
      <w:bookmarkStart w:id="2558" w:name="_Toc54887749"/>
      <w:bookmarkStart w:id="2559" w:name="_Toc54891202"/>
      <w:bookmarkStart w:id="2560" w:name="_Toc54903497"/>
      <w:bookmarkStart w:id="2561" w:name="_Toc54948503"/>
      <w:bookmarkStart w:id="2562" w:name="_Toc54952106"/>
      <w:bookmarkStart w:id="2563" w:name="_Toc55073000"/>
      <w:bookmarkStart w:id="2564" w:name="_Toc55073197"/>
      <w:bookmarkStart w:id="2565" w:name="_Toc55073608"/>
      <w:bookmarkStart w:id="2566" w:name="_Toc55074156"/>
      <w:r>
        <w:rPr>
          <w:rFonts w:hint="cs"/>
          <w:rtl/>
        </w:rPr>
        <w:t>ביאור הברכ"ש בחילוק בגדר החזקה להולכי אושא ולרבנן</w:t>
      </w:r>
      <w:bookmarkEnd w:id="2555"/>
      <w:bookmarkEnd w:id="2556"/>
      <w:bookmarkEnd w:id="2557"/>
      <w:bookmarkEnd w:id="2558"/>
      <w:bookmarkEnd w:id="2559"/>
      <w:bookmarkEnd w:id="2560"/>
      <w:bookmarkEnd w:id="2561"/>
      <w:bookmarkEnd w:id="2562"/>
      <w:bookmarkEnd w:id="2563"/>
      <w:bookmarkEnd w:id="2564"/>
      <w:bookmarkEnd w:id="2565"/>
      <w:bookmarkEnd w:id="2566"/>
    </w:p>
    <w:p w:rsidR="00900B10" w:rsidRPr="009860FE" w:rsidRDefault="00900B10" w:rsidP="00900B10">
      <w:pPr>
        <w:pStyle w:val="a3"/>
      </w:pPr>
      <w:bookmarkStart w:id="2567" w:name="_Toc54948504"/>
      <w:bookmarkStart w:id="2568" w:name="_Toc54952107"/>
      <w:bookmarkStart w:id="2569" w:name="_Toc55073001"/>
      <w:bookmarkStart w:id="2570" w:name="_Toc55073198"/>
      <w:bookmarkStart w:id="2571" w:name="_Toc55073609"/>
      <w:bookmarkStart w:id="2572" w:name="_Toc55074157"/>
      <w:r>
        <w:rPr>
          <w:rFonts w:hint="cs"/>
          <w:rtl/>
        </w:rPr>
        <w:t>ביאור הברכ"ש דלרבנן המחזיק זוכה בקרקע רק בטענה ולא קשה דתועיל חזקה בלא טענה אינה</w:t>
      </w:r>
      <w:bookmarkEnd w:id="2567"/>
      <w:bookmarkEnd w:id="2568"/>
      <w:bookmarkEnd w:id="2569"/>
      <w:bookmarkEnd w:id="2570"/>
      <w:bookmarkEnd w:id="2571"/>
      <w:bookmarkEnd w:id="2572"/>
      <w:r>
        <w:rPr>
          <w:rFonts w:hint="cs"/>
          <w:rtl/>
        </w:rPr>
        <w:t xml:space="preserve"> </w:t>
      </w:r>
    </w:p>
    <w:p w:rsidR="00900B10" w:rsidRDefault="00900B10" w:rsidP="007E4E81">
      <w:pPr>
        <w:pStyle w:val="a0"/>
      </w:pPr>
      <w:bookmarkStart w:id="2573" w:name="_Ref55067934"/>
      <w:r>
        <w:rPr>
          <w:rFonts w:hint="cs"/>
          <w:rtl/>
        </w:rPr>
        <w:t xml:space="preserve">בקושית הגמ' דתועיל חזקה אף בלא טענה, ביאר </w:t>
      </w:r>
      <w:r w:rsidRPr="00F90C32">
        <w:rPr>
          <w:rStyle w:val="af9"/>
          <w:rFonts w:hint="cs"/>
          <w:rtl/>
        </w:rPr>
        <w:t>הברכ"ש</w:t>
      </w:r>
      <w:r>
        <w:rPr>
          <w:rFonts w:hint="cs"/>
          <w:rtl/>
        </w:rPr>
        <w:t xml:space="preserve"> </w:t>
      </w:r>
      <w:r w:rsidRPr="00F90C32">
        <w:rPr>
          <w:rStyle w:val="af7"/>
          <w:rFonts w:eastAsia="Guttman Hodes" w:hint="cs"/>
          <w:rtl/>
        </w:rPr>
        <w:t>(סי' כ"</w:t>
      </w:r>
      <w:r w:rsidRPr="00EC3754">
        <w:rPr>
          <w:rStyle w:val="af7"/>
          <w:rFonts w:eastAsia="Guttman Hodes" w:hint="cs"/>
          <w:rtl/>
        </w:rPr>
        <w:t>ד או' א')</w:t>
      </w:r>
      <w:r>
        <w:rPr>
          <w:rFonts w:hint="cs"/>
          <w:rtl/>
        </w:rPr>
        <w:t xml:space="preserve"> דכל קושית הגמ' היא רק להולכי אושא דילפינן משור המועד, אבל לדעת רבנן דטעמא דחזקה הוא דעד ג"ש אדם נזהר בשטרו, לא הוקשה לגמ' דתועיל חזקה בלא טענה, כיון דלרבנן עיקר החזקה הוא שהיא נותנת נאמנות לטענתו, אבל הזכיה בקרקע אינה מחמת </w:t>
      </w:r>
      <w:r>
        <w:rPr>
          <w:rFonts w:hint="cs"/>
          <w:rtl/>
        </w:rPr>
        <w:lastRenderedPageBreak/>
        <w:t>החזקה, אלא ע"י הטענה, וכל שלא טען טענה אין לו כל זכות ואינו בעל דבר בקרקע זו כלל.</w:t>
      </w:r>
      <w:bookmarkEnd w:id="2573"/>
    </w:p>
    <w:p w:rsidR="00900B10" w:rsidRDefault="00900B10" w:rsidP="00900B10">
      <w:pPr>
        <w:pStyle w:val="a3"/>
      </w:pPr>
      <w:bookmarkStart w:id="2574" w:name="_Toc54948505"/>
      <w:bookmarkStart w:id="2575" w:name="_Toc54952108"/>
      <w:bookmarkStart w:id="2576" w:name="_Toc55073002"/>
      <w:bookmarkStart w:id="2577" w:name="_Toc55073199"/>
      <w:bookmarkStart w:id="2578" w:name="_Toc55073610"/>
      <w:bookmarkStart w:id="2579" w:name="_Toc55074158"/>
      <w:r>
        <w:rPr>
          <w:rFonts w:hint="cs"/>
          <w:rtl/>
        </w:rPr>
        <w:t>ביאור הברכ"ש דלהולכי אושא המחזיק זוכה כמו בחזקת הגוף דמוציאה ממון או שהיא בירור</w:t>
      </w:r>
      <w:bookmarkEnd w:id="2574"/>
      <w:bookmarkEnd w:id="2575"/>
      <w:bookmarkEnd w:id="2576"/>
      <w:bookmarkEnd w:id="2577"/>
      <w:bookmarkEnd w:id="2578"/>
      <w:bookmarkEnd w:id="2579"/>
    </w:p>
    <w:p w:rsidR="00900B10" w:rsidRPr="00B71066" w:rsidRDefault="00900B10" w:rsidP="007E4E81">
      <w:pPr>
        <w:pStyle w:val="a0"/>
        <w:rPr>
          <w:rStyle w:val="afb"/>
          <w:rtl/>
        </w:rPr>
      </w:pPr>
      <w:r>
        <w:rPr>
          <w:rFonts w:hint="cs"/>
          <w:rtl/>
        </w:rPr>
        <w:t xml:space="preserve">אבל להולכי אושא דס"ל דילפינן חזקת ג"ש משור המועד, ביאר </w:t>
      </w:r>
      <w:r w:rsidRPr="00F90C32">
        <w:rPr>
          <w:rStyle w:val="af9"/>
          <w:rFonts w:hint="cs"/>
          <w:rtl/>
        </w:rPr>
        <w:t xml:space="preserve">הברכ"ש </w:t>
      </w:r>
      <w:r>
        <w:rPr>
          <w:rFonts w:hint="cs"/>
          <w:rtl/>
        </w:rPr>
        <w:t xml:space="preserve">דא"כ מבואר דהזכיה של המחזיק בקרקע בטענת לקוח הוא בידי, היא כמו החזקה בשור המועד, דאפש"ל דהיא כמו חזקת הגוף ומהני אף להוציא ממון, או דאפש"ל שהיא כבירור על טענתו דקנה מהמרא קמא וכמו רוב וחזקה. </w:t>
      </w:r>
      <w:r w:rsidRPr="00B71066">
        <w:rPr>
          <w:rStyle w:val="afb"/>
          <w:rFonts w:hint="cs"/>
          <w:rtl/>
        </w:rPr>
        <w:t>[דהרוב מברר].</w:t>
      </w:r>
    </w:p>
    <w:p w:rsidR="00900B10" w:rsidRPr="003C41D1" w:rsidRDefault="00900B10" w:rsidP="00900B10">
      <w:pPr>
        <w:pStyle w:val="a3"/>
        <w:rPr>
          <w:rtl/>
        </w:rPr>
      </w:pPr>
      <w:bookmarkStart w:id="2580" w:name="_Toc54948506"/>
      <w:bookmarkStart w:id="2581" w:name="_Toc54952109"/>
      <w:bookmarkStart w:id="2582" w:name="_Toc55073003"/>
      <w:bookmarkStart w:id="2583" w:name="_Toc55073200"/>
      <w:bookmarkStart w:id="2584" w:name="_Toc55073611"/>
      <w:bookmarkStart w:id="2585" w:name="_Toc55074159"/>
      <w:r>
        <w:rPr>
          <w:rFonts w:hint="cs"/>
          <w:rtl/>
        </w:rPr>
        <w:t>ביאור הברכ"ש דלהולכי אושא החזקה היא גוף הטענה ולכן להו"א א"צ טענה וטענינן ליה</w:t>
      </w:r>
      <w:bookmarkEnd w:id="2580"/>
      <w:bookmarkEnd w:id="2581"/>
      <w:bookmarkEnd w:id="2582"/>
      <w:bookmarkEnd w:id="2583"/>
      <w:bookmarkEnd w:id="2584"/>
      <w:bookmarkEnd w:id="2585"/>
    </w:p>
    <w:p w:rsidR="00900B10" w:rsidRPr="00B71066" w:rsidRDefault="00900B10" w:rsidP="007E4E81">
      <w:pPr>
        <w:pStyle w:val="a0"/>
        <w:rPr>
          <w:rStyle w:val="afb"/>
          <w:rtl/>
        </w:rPr>
      </w:pPr>
      <w:bookmarkStart w:id="2586" w:name="_Ref54886832"/>
      <w:r>
        <w:rPr>
          <w:rFonts w:hint="cs"/>
          <w:rtl/>
        </w:rPr>
        <w:t xml:space="preserve">וכתב </w:t>
      </w:r>
      <w:r w:rsidRPr="00F90C32">
        <w:rPr>
          <w:rStyle w:val="af9"/>
          <w:rFonts w:hint="cs"/>
          <w:rtl/>
        </w:rPr>
        <w:t xml:space="preserve">הברכ"ש </w:t>
      </w:r>
      <w:r>
        <w:rPr>
          <w:rFonts w:hint="cs"/>
          <w:rtl/>
        </w:rPr>
        <w:t xml:space="preserve">דא"כ להולכי אושא החזקה עצמה היא גוף הטענה, ולכן מקשה הגמ' דתועיל חזקה אף בלא טענה, דטענינן ליה אנן, ותירצה הגמ' דרק ע"י טענה הוא נעשה מוחזק. </w:t>
      </w:r>
      <w:r w:rsidRPr="00B71066">
        <w:rPr>
          <w:rStyle w:val="afb"/>
          <w:rFonts w:hint="cs"/>
          <w:rtl/>
        </w:rPr>
        <w:t xml:space="preserve">[ועיי"ש במה שביאר בזה </w:t>
      </w:r>
      <w:r w:rsidRPr="00B71066">
        <w:rPr>
          <w:rStyle w:val="affa"/>
          <w:rFonts w:hint="cs"/>
          <w:rtl/>
        </w:rPr>
        <w:t>הברכ"ש</w:t>
      </w:r>
      <w:r w:rsidRPr="00B71066">
        <w:rPr>
          <w:rStyle w:val="afb"/>
          <w:rFonts w:hint="cs"/>
          <w:rtl/>
        </w:rPr>
        <w:t xml:space="preserve"> </w:t>
      </w:r>
      <w:r w:rsidRPr="007958C9">
        <w:rPr>
          <w:rStyle w:val="aff6"/>
          <w:rFonts w:hint="cs"/>
          <w:rtl/>
        </w:rPr>
        <w:t xml:space="preserve">(עי' אות </w:t>
      </w:r>
      <w:r w:rsidRPr="007958C9">
        <w:rPr>
          <w:rStyle w:val="aff6"/>
          <w:rtl/>
        </w:rPr>
        <w:fldChar w:fldCharType="begin"/>
      </w:r>
      <w:r w:rsidRPr="007958C9">
        <w:rPr>
          <w:rStyle w:val="aff6"/>
          <w:rtl/>
        </w:rPr>
        <w:instrText xml:space="preserve"> </w:instrText>
      </w:r>
      <w:r w:rsidRPr="007958C9">
        <w:rPr>
          <w:rStyle w:val="aff6"/>
          <w:rFonts w:hint="cs"/>
        </w:rPr>
        <w:instrText>REF</w:instrText>
      </w:r>
      <w:r w:rsidRPr="007958C9">
        <w:rPr>
          <w:rStyle w:val="aff6"/>
          <w:rFonts w:hint="cs"/>
          <w:rtl/>
        </w:rPr>
        <w:instrText xml:space="preserve"> _</w:instrText>
      </w:r>
      <w:r w:rsidRPr="007958C9">
        <w:rPr>
          <w:rStyle w:val="aff6"/>
          <w:rFonts w:hint="cs"/>
        </w:rPr>
        <w:instrText>Ref55066337 \r \h</w:instrText>
      </w:r>
      <w:r w:rsidRPr="007958C9">
        <w:rPr>
          <w:rStyle w:val="aff6"/>
          <w:rtl/>
        </w:rPr>
        <w:instrText xml:space="preserve"> </w:instrText>
      </w:r>
      <w:r w:rsidRPr="007958C9">
        <w:rPr>
          <w:rStyle w:val="aff6"/>
          <w:rtl/>
        </w:rPr>
      </w:r>
      <w:r w:rsidRPr="007958C9">
        <w:rPr>
          <w:rStyle w:val="aff6"/>
          <w:rtl/>
        </w:rPr>
        <w:fldChar w:fldCharType="separate"/>
      </w:r>
      <w:r w:rsidR="00265073">
        <w:rPr>
          <w:rStyle w:val="aff6"/>
          <w:cs/>
        </w:rPr>
        <w:t>‎</w:t>
      </w:r>
      <w:r w:rsidR="00265073">
        <w:rPr>
          <w:rStyle w:val="aff6"/>
          <w:rtl/>
        </w:rPr>
        <w:t>פט)</w:t>
      </w:r>
      <w:r w:rsidRPr="007958C9">
        <w:rPr>
          <w:rStyle w:val="aff6"/>
          <w:rtl/>
        </w:rPr>
        <w:fldChar w:fldCharType="end"/>
      </w:r>
      <w:r w:rsidRPr="007958C9">
        <w:rPr>
          <w:rStyle w:val="aff6"/>
          <w:rFonts w:hint="cs"/>
          <w:rtl/>
        </w:rPr>
        <w:t xml:space="preserve"> </w:t>
      </w:r>
      <w:r w:rsidRPr="00B71066">
        <w:rPr>
          <w:rStyle w:val="afb"/>
          <w:rFonts w:hint="cs"/>
          <w:rtl/>
        </w:rPr>
        <w:t>בדין חזקת תשמישים בלא טענה].</w:t>
      </w:r>
      <w:bookmarkEnd w:id="2586"/>
    </w:p>
    <w:p w:rsidR="00900B10" w:rsidRPr="001D75FB" w:rsidRDefault="00900B10" w:rsidP="00900B10">
      <w:pPr>
        <w:pStyle w:val="a3"/>
      </w:pPr>
      <w:bookmarkStart w:id="2587" w:name="_Toc55073005"/>
      <w:bookmarkStart w:id="2588" w:name="_Toc55073202"/>
      <w:bookmarkStart w:id="2589" w:name="_Toc55073613"/>
      <w:bookmarkStart w:id="2590" w:name="_Toc55074161"/>
      <w:bookmarkStart w:id="2591" w:name="_Toc54952110"/>
      <w:bookmarkStart w:id="2592" w:name="_Toc54887750"/>
      <w:bookmarkStart w:id="2593" w:name="_Toc54891203"/>
      <w:bookmarkStart w:id="2594" w:name="_Toc54903498"/>
      <w:bookmarkStart w:id="2595" w:name="_Toc54948507"/>
      <w:r>
        <w:rPr>
          <w:rFonts w:hint="cs"/>
          <w:rtl/>
        </w:rPr>
        <w:t>דברי הברכ"ש דבספק בחזקה להולכי אושא המחזיק מוחזק דאין ריעותא בחזקתו ולרבנן לא</w:t>
      </w:r>
      <w:bookmarkEnd w:id="2587"/>
      <w:bookmarkEnd w:id="2588"/>
      <w:bookmarkEnd w:id="2589"/>
      <w:bookmarkEnd w:id="2590"/>
    </w:p>
    <w:p w:rsidR="00900B10" w:rsidRDefault="00900B10" w:rsidP="007E4E81">
      <w:pPr>
        <w:pStyle w:val="a0"/>
        <w:rPr>
          <w:rtl/>
        </w:rPr>
      </w:pPr>
      <w:r>
        <w:rPr>
          <w:rFonts w:hint="cs"/>
          <w:rtl/>
        </w:rPr>
        <w:t xml:space="preserve">וכתב </w:t>
      </w:r>
      <w:r w:rsidRPr="00DF0BA5">
        <w:rPr>
          <w:rStyle w:val="af9"/>
          <w:rFonts w:hint="cs"/>
          <w:rtl/>
        </w:rPr>
        <w:t>הברכ"ש</w:t>
      </w:r>
      <w:r>
        <w:rPr>
          <w:rFonts w:hint="cs"/>
          <w:rtl/>
        </w:rPr>
        <w:t xml:space="preserve"> </w:t>
      </w:r>
      <w:r w:rsidRPr="00E90638">
        <w:rPr>
          <w:rStyle w:val="af7"/>
          <w:rFonts w:eastAsia="Guttman Hodes" w:hint="cs"/>
          <w:rtl/>
        </w:rPr>
        <w:t>(סי' כ"ד או' ג')</w:t>
      </w:r>
      <w:r>
        <w:rPr>
          <w:rFonts w:hint="cs"/>
          <w:rtl/>
        </w:rPr>
        <w:t xml:space="preserve"> דהנ"מ בין הולכי אושא לרבנן, היא במקום שיש ספק בחזקה, </w:t>
      </w:r>
      <w:r w:rsidRPr="00E90638">
        <w:rPr>
          <w:rStyle w:val="afb"/>
          <w:rFonts w:hint="cs"/>
          <w:rtl/>
        </w:rPr>
        <w:t xml:space="preserve">[כגון באופן דשכוני גוואי בגמ' לקמן </w:t>
      </w:r>
      <w:r w:rsidRPr="00E90638">
        <w:rPr>
          <w:rStyle w:val="aff6"/>
          <w:rFonts w:hint="cs"/>
          <w:rtl/>
        </w:rPr>
        <w:t>(כט:)</w:t>
      </w:r>
      <w:r w:rsidRPr="00E90638">
        <w:rPr>
          <w:rStyle w:val="afb"/>
          <w:rFonts w:hint="cs"/>
          <w:rtl/>
        </w:rPr>
        <w:t>],</w:t>
      </w:r>
      <w:r>
        <w:rPr>
          <w:rFonts w:hint="cs"/>
          <w:rtl/>
        </w:rPr>
        <w:t xml:space="preserve"> דלהולכי אושא המחזיק נעשה למוחזק, ואין כל ריעותא בחזקתו.</w:t>
      </w:r>
    </w:p>
    <w:p w:rsidR="00900B10" w:rsidRPr="00CA3C33" w:rsidRDefault="00900B10" w:rsidP="00900B10">
      <w:pPr>
        <w:pStyle w:val="afe"/>
        <w:rPr>
          <w:rtl/>
        </w:rPr>
      </w:pPr>
      <w:bookmarkStart w:id="2596" w:name="_Toc54952111"/>
      <w:bookmarkStart w:id="2597" w:name="_Toc55073006"/>
      <w:bookmarkStart w:id="2598" w:name="_Toc55073203"/>
      <w:bookmarkStart w:id="2599" w:name="_Toc55073614"/>
      <w:bookmarkStart w:id="2600" w:name="_Toc55074162"/>
      <w:bookmarkEnd w:id="2591"/>
      <w:r>
        <w:rPr>
          <w:rFonts w:hint="cs"/>
          <w:rtl/>
        </w:rPr>
        <w:t>בד' הרמב"ן ורש"י דיצאה מחזקת המר"ק</w:t>
      </w:r>
      <w:bookmarkEnd w:id="2592"/>
      <w:bookmarkEnd w:id="2593"/>
      <w:bookmarkEnd w:id="2594"/>
      <w:bookmarkEnd w:id="2595"/>
      <w:bookmarkEnd w:id="2596"/>
      <w:bookmarkEnd w:id="2597"/>
      <w:bookmarkEnd w:id="2598"/>
      <w:bookmarkEnd w:id="2599"/>
      <w:bookmarkEnd w:id="2600"/>
    </w:p>
    <w:p w:rsidR="00900B10" w:rsidRDefault="00900B10" w:rsidP="00900B10">
      <w:pPr>
        <w:pStyle w:val="1"/>
        <w:rPr>
          <w:rtl/>
        </w:rPr>
      </w:pPr>
      <w:bookmarkStart w:id="2601" w:name="_Toc54730222"/>
      <w:bookmarkStart w:id="2602" w:name="_Toc54867244"/>
      <w:bookmarkStart w:id="2603" w:name="_Toc54868843"/>
      <w:bookmarkStart w:id="2604" w:name="_Toc54887751"/>
      <w:bookmarkStart w:id="2605" w:name="_Toc54891204"/>
      <w:bookmarkStart w:id="2606" w:name="_Toc54903499"/>
      <w:bookmarkStart w:id="2607" w:name="_Toc54948508"/>
      <w:bookmarkStart w:id="2608" w:name="_Toc54952112"/>
      <w:bookmarkStart w:id="2609" w:name="_Toc55073007"/>
      <w:bookmarkStart w:id="2610" w:name="_Toc55073204"/>
      <w:bookmarkStart w:id="2611" w:name="_Toc55073615"/>
      <w:bookmarkStart w:id="2612" w:name="_Toc55074163"/>
      <w:bookmarkStart w:id="2613" w:name="_Toc54555974"/>
      <w:bookmarkStart w:id="2614" w:name="_Toc54603745"/>
      <w:bookmarkStart w:id="2615" w:name="_Toc54643475"/>
      <w:r>
        <w:rPr>
          <w:rFonts w:hint="cs"/>
          <w:rtl/>
        </w:rPr>
        <w:t>דברי הגר"ח</w:t>
      </w:r>
      <w:bookmarkEnd w:id="2601"/>
      <w:bookmarkEnd w:id="2602"/>
      <w:bookmarkEnd w:id="2603"/>
      <w:bookmarkEnd w:id="2604"/>
      <w:bookmarkEnd w:id="2605"/>
      <w:bookmarkEnd w:id="2606"/>
      <w:bookmarkEnd w:id="2607"/>
      <w:r>
        <w:rPr>
          <w:rFonts w:hint="cs"/>
          <w:rtl/>
        </w:rPr>
        <w:t xml:space="preserve"> דלהולכי אושא המחזיק עושה את החזקה</w:t>
      </w:r>
      <w:bookmarkEnd w:id="2608"/>
      <w:bookmarkEnd w:id="2609"/>
      <w:bookmarkEnd w:id="2610"/>
      <w:bookmarkEnd w:id="2611"/>
      <w:bookmarkEnd w:id="2612"/>
    </w:p>
    <w:p w:rsidR="00900B10" w:rsidRDefault="00900B10" w:rsidP="00900B10">
      <w:pPr>
        <w:pStyle w:val="a3"/>
        <w:rPr>
          <w:rtl/>
        </w:rPr>
      </w:pPr>
      <w:bookmarkStart w:id="2616" w:name="_Toc54952113"/>
      <w:bookmarkStart w:id="2617" w:name="_Toc55073008"/>
      <w:bookmarkStart w:id="2618" w:name="_Toc55073205"/>
      <w:bookmarkStart w:id="2619" w:name="_Toc55073616"/>
      <w:bookmarkStart w:id="2620" w:name="_Toc55074164"/>
      <w:r>
        <w:rPr>
          <w:rFonts w:hint="cs"/>
          <w:rtl/>
        </w:rPr>
        <w:t>ביאור הגר"ח ברמב"ן דבג"ש הקרקע בחזקתו ונאמן בכל טענותיו והמחזיק הוא עושה את החזקה</w:t>
      </w:r>
      <w:bookmarkEnd w:id="2616"/>
      <w:bookmarkEnd w:id="2617"/>
      <w:bookmarkEnd w:id="2618"/>
      <w:bookmarkEnd w:id="2619"/>
      <w:bookmarkEnd w:id="2620"/>
    </w:p>
    <w:p w:rsidR="00900B10" w:rsidRDefault="00900B10" w:rsidP="007E4E81">
      <w:pPr>
        <w:pStyle w:val="a0"/>
        <w:rPr>
          <w:rStyle w:val="afb"/>
          <w:rtl/>
        </w:rPr>
      </w:pPr>
      <w:bookmarkStart w:id="2621" w:name="_Ref54950111"/>
      <w:r>
        <w:rPr>
          <w:rFonts w:hint="cs"/>
          <w:rtl/>
        </w:rPr>
        <w:t xml:space="preserve">במ"ש </w:t>
      </w:r>
      <w:r w:rsidRPr="00E377FA">
        <w:rPr>
          <w:rStyle w:val="af9"/>
          <w:rFonts w:hint="cs"/>
          <w:rtl/>
        </w:rPr>
        <w:t>הרמב"ן</w:t>
      </w:r>
      <w:r>
        <w:rPr>
          <w:rFonts w:hint="cs"/>
          <w:rtl/>
        </w:rPr>
        <w:t xml:space="preserve"> </w:t>
      </w:r>
      <w:r w:rsidRPr="00B71066">
        <w:rPr>
          <w:rStyle w:val="af7"/>
          <w:rFonts w:eastAsia="Guttman Hodes" w:hint="cs"/>
          <w:rtl/>
        </w:rPr>
        <w:t xml:space="preserve">(עי' אות </w:t>
      </w:r>
      <w:r w:rsidRPr="00B71066">
        <w:rPr>
          <w:rStyle w:val="af7"/>
          <w:rFonts w:eastAsia="Guttman Hodes"/>
          <w:rtl/>
        </w:rPr>
        <w:fldChar w:fldCharType="begin"/>
      </w:r>
      <w:r w:rsidRPr="00B71066">
        <w:rPr>
          <w:rStyle w:val="af7"/>
          <w:rFonts w:eastAsia="Guttman Hodes"/>
          <w:rtl/>
        </w:rPr>
        <w:instrText xml:space="preserve"> </w:instrText>
      </w:r>
      <w:r w:rsidRPr="00B71066">
        <w:rPr>
          <w:rStyle w:val="af7"/>
          <w:rFonts w:eastAsia="Guttman Hodes" w:hint="cs"/>
        </w:rPr>
        <w:instrText>REF</w:instrText>
      </w:r>
      <w:r w:rsidRPr="00B71066">
        <w:rPr>
          <w:rStyle w:val="af7"/>
          <w:rFonts w:eastAsia="Guttman Hodes" w:hint="cs"/>
          <w:rtl/>
        </w:rPr>
        <w:instrText xml:space="preserve"> _</w:instrText>
      </w:r>
      <w:r w:rsidRPr="00B71066">
        <w:rPr>
          <w:rStyle w:val="af7"/>
          <w:rFonts w:eastAsia="Guttman Hodes" w:hint="cs"/>
        </w:rPr>
        <w:instrText>Ref54801573 \r \h</w:instrText>
      </w:r>
      <w:r w:rsidRPr="00B71066">
        <w:rPr>
          <w:rStyle w:val="af7"/>
          <w:rFonts w:eastAsia="Guttman Hodes"/>
          <w:rtl/>
        </w:rPr>
        <w:instrText xml:space="preserve"> </w:instrText>
      </w:r>
      <w:r w:rsidRPr="00B71066">
        <w:rPr>
          <w:rStyle w:val="af7"/>
          <w:rFonts w:eastAsia="Guttman Hodes"/>
          <w:rtl/>
        </w:rPr>
      </w:r>
      <w:r w:rsidRPr="00B71066">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B71066">
        <w:rPr>
          <w:rStyle w:val="af7"/>
          <w:rFonts w:eastAsia="Guttman Hodes"/>
          <w:rtl/>
        </w:rPr>
        <w:fldChar w:fldCharType="end"/>
      </w:r>
      <w:r>
        <w:rPr>
          <w:rFonts w:hint="cs"/>
          <w:rtl/>
        </w:rPr>
        <w:t xml:space="preserve"> דהילפותא היא דכמו שהשור יצא מחזקת תמות, אף השדה לאחר ג"ש יצאה מחזקת המוכר, ונעשה המחזיק למוחזק, ביאר </w:t>
      </w:r>
      <w:r w:rsidRPr="00E377FA">
        <w:rPr>
          <w:rStyle w:val="af9"/>
          <w:rFonts w:hint="cs"/>
          <w:rtl/>
        </w:rPr>
        <w:t>הגר"ח</w:t>
      </w:r>
      <w:r w:rsidRPr="00700E0D">
        <w:rPr>
          <w:rStyle w:val="af7"/>
          <w:rFonts w:eastAsia="Guttman Hodes" w:hint="cs"/>
          <w:rtl/>
        </w:rPr>
        <w:t xml:space="preserve"> (שיעורי רבינו חיים הלוי עמ"ס ב"ב כט.) </w:t>
      </w:r>
      <w:r>
        <w:rPr>
          <w:rFonts w:hint="cs"/>
          <w:rtl/>
        </w:rPr>
        <w:t xml:space="preserve">דכיון דאחר ג"ש עומדת הקרקע ברשות המחזיק, לכן הוא נאמן בכל טענותיו, ואין החזקה תלויה במחאת המערער כלל, דהמחזיק עצמו הוא עושה את החזקה. </w:t>
      </w:r>
      <w:r w:rsidRPr="00321556">
        <w:rPr>
          <w:rStyle w:val="afb"/>
          <w:rFonts w:hint="cs"/>
          <w:rtl/>
        </w:rPr>
        <w:t xml:space="preserve">[ולכן </w:t>
      </w:r>
      <w:r>
        <w:rPr>
          <w:rStyle w:val="afb"/>
          <w:rFonts w:hint="cs"/>
          <w:rtl/>
        </w:rPr>
        <w:t xml:space="preserve">כתב </w:t>
      </w:r>
      <w:r w:rsidRPr="001160AF">
        <w:rPr>
          <w:rStyle w:val="affa"/>
          <w:rFonts w:hint="cs"/>
          <w:rtl/>
        </w:rPr>
        <w:t>הגר"ח</w:t>
      </w:r>
      <w:r>
        <w:rPr>
          <w:rStyle w:val="afb"/>
          <w:rFonts w:hint="cs"/>
          <w:rtl/>
        </w:rPr>
        <w:t xml:space="preserve"> ד</w:t>
      </w:r>
      <w:r w:rsidRPr="00321556">
        <w:rPr>
          <w:rStyle w:val="afb"/>
          <w:rFonts w:hint="cs"/>
          <w:rtl/>
        </w:rPr>
        <w:t>הוי חזקה אף באופן שהמחזיק השכיר את הבית, ולא ידע המערער במי למחות]</w:t>
      </w:r>
      <w:r>
        <w:rPr>
          <w:rStyle w:val="afb"/>
          <w:rFonts w:hint="cs"/>
          <w:rtl/>
        </w:rPr>
        <w:t>.</w:t>
      </w:r>
    </w:p>
    <w:p w:rsidR="00900B10" w:rsidRPr="001160AF" w:rsidRDefault="00900B10" w:rsidP="00900B10">
      <w:pPr>
        <w:pStyle w:val="a3"/>
      </w:pPr>
      <w:bookmarkStart w:id="2622" w:name="_Toc54952114"/>
      <w:bookmarkStart w:id="2623" w:name="_Toc55073009"/>
      <w:bookmarkStart w:id="2624" w:name="_Toc55073206"/>
      <w:bookmarkStart w:id="2625" w:name="_Toc55073617"/>
      <w:bookmarkStart w:id="2626" w:name="_Toc55074165"/>
      <w:r>
        <w:rPr>
          <w:rFonts w:hint="cs"/>
          <w:rtl/>
        </w:rPr>
        <w:t>דברי הגר"ח דלרבנן החזקה היא מחמת שלא מחה המערער ואין המחזיק עושה את החזקה</w:t>
      </w:r>
      <w:bookmarkEnd w:id="2622"/>
      <w:bookmarkEnd w:id="2623"/>
      <w:bookmarkEnd w:id="2624"/>
      <w:bookmarkEnd w:id="2625"/>
      <w:bookmarkEnd w:id="2626"/>
    </w:p>
    <w:p w:rsidR="00900B10" w:rsidRDefault="00900B10" w:rsidP="007E4E81">
      <w:pPr>
        <w:pStyle w:val="a0"/>
        <w:rPr>
          <w:rStyle w:val="afb"/>
          <w:rtl/>
        </w:rPr>
      </w:pPr>
      <w:r>
        <w:rPr>
          <w:rFonts w:hint="cs"/>
          <w:rtl/>
        </w:rPr>
        <w:t xml:space="preserve">אך כתב </w:t>
      </w:r>
      <w:r w:rsidRPr="00E377FA">
        <w:rPr>
          <w:rStyle w:val="af9"/>
          <w:rFonts w:hint="cs"/>
          <w:rtl/>
        </w:rPr>
        <w:t>הגר"ח</w:t>
      </w:r>
      <w:r w:rsidRPr="00700E0D">
        <w:rPr>
          <w:rStyle w:val="af7"/>
          <w:rFonts w:eastAsia="Guttman Hodes" w:hint="cs"/>
          <w:rtl/>
        </w:rPr>
        <w:t xml:space="preserve"> </w:t>
      </w:r>
      <w:r>
        <w:rPr>
          <w:rFonts w:hint="cs"/>
          <w:rtl/>
        </w:rPr>
        <w:t xml:space="preserve">דלדעת רבנן דטעמא דחזקה הוא דעד ג"ש אדם נזהר בשטרו, דעיקר החזקה היא מחמת שלא מחה בו המערער שישמור את שטרו, והחזקה היא ע"י שהמערער לא מחה במי שדר בביתו, והמחזיק אינו עושה את החזקה. </w:t>
      </w:r>
      <w:r w:rsidRPr="00321556">
        <w:rPr>
          <w:rStyle w:val="afb"/>
          <w:rFonts w:hint="cs"/>
          <w:rtl/>
        </w:rPr>
        <w:t xml:space="preserve">[ולכן </w:t>
      </w:r>
      <w:r>
        <w:rPr>
          <w:rStyle w:val="afb"/>
          <w:rFonts w:hint="cs"/>
          <w:rtl/>
        </w:rPr>
        <w:t xml:space="preserve">כתב </w:t>
      </w:r>
      <w:r w:rsidRPr="001160AF">
        <w:rPr>
          <w:rStyle w:val="affa"/>
          <w:rFonts w:hint="cs"/>
          <w:rtl/>
        </w:rPr>
        <w:t>הגר"ח</w:t>
      </w:r>
      <w:r>
        <w:rPr>
          <w:rStyle w:val="afb"/>
          <w:rFonts w:hint="cs"/>
          <w:rtl/>
        </w:rPr>
        <w:t xml:space="preserve"> ד</w:t>
      </w:r>
      <w:r w:rsidRPr="00321556">
        <w:rPr>
          <w:rStyle w:val="afb"/>
          <w:rFonts w:hint="cs"/>
          <w:rtl/>
        </w:rPr>
        <w:t xml:space="preserve">כל שלא ידע המערער במי למחות לא הוי חזקה כלל, ועיי"ש במ"ש </w:t>
      </w:r>
      <w:r w:rsidRPr="00E377FA">
        <w:rPr>
          <w:rStyle w:val="affa"/>
          <w:rFonts w:hint="cs"/>
          <w:rtl/>
        </w:rPr>
        <w:t>הגר"ח</w:t>
      </w:r>
      <w:r w:rsidRPr="00321556">
        <w:rPr>
          <w:rStyle w:val="afb"/>
          <w:rFonts w:hint="cs"/>
          <w:rtl/>
        </w:rPr>
        <w:t xml:space="preserve"> דנ"מ אי השוכרים נאמנים להעיד על החזקה, דלהולכי אושא שהמחזיק עושה את החזקה, הם נאמנים, אבל לרבנן שהם בדירתם בבית גורמים לחזקה, אינם יכולים להעיד].</w:t>
      </w:r>
      <w:bookmarkEnd w:id="2621"/>
    </w:p>
    <w:p w:rsidR="00900B10" w:rsidRDefault="00900B10" w:rsidP="00900B10">
      <w:pPr>
        <w:pStyle w:val="a3"/>
        <w:rPr>
          <w:rtl/>
        </w:rPr>
      </w:pPr>
      <w:bookmarkStart w:id="2627" w:name="_Toc55073011"/>
      <w:bookmarkStart w:id="2628" w:name="_Toc55073208"/>
      <w:bookmarkStart w:id="2629" w:name="_Toc55073619"/>
      <w:bookmarkStart w:id="2630" w:name="_Toc55074167"/>
      <w:bookmarkStart w:id="2631" w:name="_Toc54643479"/>
      <w:bookmarkStart w:id="2632" w:name="_Toc54730228"/>
      <w:bookmarkStart w:id="2633" w:name="_Toc54867249"/>
      <w:bookmarkStart w:id="2634" w:name="_Toc54868848"/>
      <w:bookmarkStart w:id="2635" w:name="_Toc54887752"/>
      <w:bookmarkStart w:id="2636" w:name="_Toc54891205"/>
      <w:bookmarkStart w:id="2637" w:name="_Toc54903500"/>
      <w:bookmarkStart w:id="2638" w:name="_Toc54948509"/>
      <w:bookmarkStart w:id="2639" w:name="_Toc54952115"/>
      <w:bookmarkStart w:id="2640" w:name="_Toc54730224"/>
      <w:bookmarkStart w:id="2641" w:name="_Toc54867245"/>
      <w:bookmarkStart w:id="2642" w:name="_Toc54868844"/>
      <w:r>
        <w:rPr>
          <w:rFonts w:hint="cs"/>
          <w:rtl/>
        </w:rPr>
        <w:t>ביאור הדברי מרדכי ברמב"ן דהילפותא אינה רק בדין המחזיק אלא אף במר"ק דיצאה ממנו</w:t>
      </w:r>
      <w:bookmarkEnd w:id="2627"/>
      <w:bookmarkEnd w:id="2628"/>
      <w:bookmarkEnd w:id="2629"/>
      <w:bookmarkEnd w:id="2630"/>
    </w:p>
    <w:p w:rsidR="00900B10" w:rsidRPr="00A47FC9" w:rsidRDefault="00900B10" w:rsidP="007E4E81">
      <w:pPr>
        <w:pStyle w:val="a0"/>
        <w:rPr>
          <w:rtl/>
        </w:rPr>
      </w:pPr>
      <w:bookmarkStart w:id="2643" w:name="_Ref55068626"/>
      <w:r>
        <w:rPr>
          <w:rFonts w:hint="cs"/>
          <w:rtl/>
        </w:rPr>
        <w:t>במ"ש</w:t>
      </w:r>
      <w:r w:rsidRPr="00641937">
        <w:rPr>
          <w:rFonts w:hint="cs"/>
          <w:rtl/>
        </w:rPr>
        <w:t xml:space="preserve"> </w:t>
      </w:r>
      <w:r w:rsidRPr="00834955">
        <w:rPr>
          <w:rStyle w:val="af9"/>
          <w:rFonts w:hint="cs"/>
          <w:rtl/>
        </w:rPr>
        <w:t xml:space="preserve">הרמב"ן </w:t>
      </w:r>
      <w:r w:rsidRPr="00834955">
        <w:rPr>
          <w:rStyle w:val="af7"/>
          <w:rFonts w:eastAsia="Guttman Hodes" w:hint="cs"/>
          <w:rtl/>
        </w:rPr>
        <w:t xml:space="preserve">(עי' אות </w:t>
      </w:r>
      <w:r w:rsidRPr="00834955">
        <w:rPr>
          <w:rStyle w:val="af7"/>
          <w:rFonts w:eastAsia="Guttman Hodes"/>
          <w:rtl/>
        </w:rPr>
        <w:fldChar w:fldCharType="begin"/>
      </w:r>
      <w:r w:rsidRPr="00834955">
        <w:rPr>
          <w:rStyle w:val="af7"/>
          <w:rFonts w:eastAsia="Guttman Hodes"/>
          <w:rtl/>
        </w:rPr>
        <w:instrText xml:space="preserve"> </w:instrText>
      </w:r>
      <w:r w:rsidRPr="00834955">
        <w:rPr>
          <w:rStyle w:val="af7"/>
          <w:rFonts w:eastAsia="Guttman Hodes" w:hint="cs"/>
        </w:rPr>
        <w:instrText>REF</w:instrText>
      </w:r>
      <w:r w:rsidRPr="00834955">
        <w:rPr>
          <w:rStyle w:val="af7"/>
          <w:rFonts w:eastAsia="Guttman Hodes" w:hint="cs"/>
          <w:rtl/>
        </w:rPr>
        <w:instrText xml:space="preserve"> _</w:instrText>
      </w:r>
      <w:r w:rsidRPr="00834955">
        <w:rPr>
          <w:rStyle w:val="af7"/>
          <w:rFonts w:eastAsia="Guttman Hodes" w:hint="cs"/>
        </w:rPr>
        <w:instrText>Ref54801573 \r \h</w:instrText>
      </w:r>
      <w:r w:rsidRPr="00834955">
        <w:rPr>
          <w:rStyle w:val="af7"/>
          <w:rFonts w:eastAsia="Guttman Hodes"/>
          <w:rtl/>
        </w:rPr>
        <w:instrText xml:space="preserve"> </w:instrText>
      </w:r>
      <w:r w:rsidRPr="00834955">
        <w:rPr>
          <w:rStyle w:val="af7"/>
          <w:rFonts w:eastAsia="Guttman Hodes"/>
          <w:rtl/>
        </w:rPr>
      </w:r>
      <w:r w:rsidRPr="00834955">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834955">
        <w:rPr>
          <w:rStyle w:val="af7"/>
          <w:rFonts w:eastAsia="Guttman Hodes"/>
          <w:rtl/>
        </w:rPr>
        <w:fldChar w:fldCharType="end"/>
      </w:r>
      <w:r w:rsidRPr="00641937">
        <w:rPr>
          <w:rFonts w:hint="cs"/>
          <w:rtl/>
        </w:rPr>
        <w:t xml:space="preserve"> דבג"ש נעשה מוחזק, </w:t>
      </w:r>
      <w:r>
        <w:rPr>
          <w:rFonts w:hint="cs"/>
          <w:rtl/>
        </w:rPr>
        <w:t xml:space="preserve">ויוצאת השדה מחזקת </w:t>
      </w:r>
      <w:r w:rsidRPr="00641937">
        <w:rPr>
          <w:rFonts w:hint="cs"/>
          <w:rtl/>
        </w:rPr>
        <w:t>המרא קמא</w:t>
      </w:r>
      <w:r>
        <w:rPr>
          <w:rFonts w:hint="cs"/>
          <w:rtl/>
        </w:rPr>
        <w:t xml:space="preserve"> לחזקת המחזיק</w:t>
      </w:r>
      <w:r w:rsidRPr="00641937">
        <w:rPr>
          <w:rFonts w:hint="cs"/>
          <w:rtl/>
        </w:rPr>
        <w:t>, כמו בג' נגיחות דיוצא מחזקת תם לחזקת מועד</w:t>
      </w:r>
      <w:r>
        <w:rPr>
          <w:rFonts w:hint="cs"/>
          <w:rtl/>
        </w:rPr>
        <w:t>, ביאר</w:t>
      </w:r>
      <w:r w:rsidRPr="008E68B1">
        <w:rPr>
          <w:rFonts w:hint="cs"/>
          <w:rtl/>
        </w:rPr>
        <w:t xml:space="preserve"> </w:t>
      </w:r>
      <w:r w:rsidR="009647B3">
        <w:rPr>
          <w:rStyle w:val="af9"/>
          <w:rFonts w:hint="cs"/>
          <w:rtl/>
        </w:rPr>
        <w:t xml:space="preserve">הגר"מ מן </w:t>
      </w:r>
      <w:r w:rsidRPr="00834955">
        <w:rPr>
          <w:rStyle w:val="af9"/>
          <w:rFonts w:hint="cs"/>
          <w:rtl/>
        </w:rPr>
        <w:t>בדברי מרדכי</w:t>
      </w:r>
      <w:r w:rsidR="006C0251">
        <w:rPr>
          <w:rStyle w:val="af9"/>
          <w:rFonts w:hint="cs"/>
          <w:rtl/>
        </w:rPr>
        <w:t xml:space="preserve"> </w:t>
      </w:r>
      <w:r w:rsidRPr="00834955">
        <w:rPr>
          <w:rStyle w:val="af7"/>
          <w:rFonts w:eastAsia="Guttman Hodes" w:hint="cs"/>
          <w:rtl/>
        </w:rPr>
        <w:t>(סי' י"ד או' ב' ד"ה נמצא)</w:t>
      </w:r>
      <w:r>
        <w:rPr>
          <w:rFonts w:hint="cs"/>
          <w:rtl/>
        </w:rPr>
        <w:t xml:space="preserve"> דהילפותא משור המועד, אינה רק על החזקה עצמה דבג' פעמים, הוחזק השור לנגחן, וה"ה בשדה דבג"ש היא של המחזיק, אלא הילפותא היא על דין החזקה שיש למוכר, דכמו דבשור המועד בג' נגיחות משתנה דין השור מתם למועד, ה"ה בחזקת ג"ש, דיצאה השדה מחזקת המוכר לחזקת הלוקח, דהוא נעשה מוחזק בקרקע, וכתב </w:t>
      </w:r>
      <w:r w:rsidRPr="00834955">
        <w:rPr>
          <w:rStyle w:val="af9"/>
          <w:rFonts w:hint="cs"/>
          <w:rtl/>
        </w:rPr>
        <w:t>הדברי מרדכי</w:t>
      </w:r>
      <w:r>
        <w:rPr>
          <w:rFonts w:hint="cs"/>
          <w:rtl/>
        </w:rPr>
        <w:t xml:space="preserve"> דיתכן שזו כוונת </w:t>
      </w:r>
      <w:r w:rsidRPr="00834955">
        <w:rPr>
          <w:rStyle w:val="af9"/>
          <w:rFonts w:hint="cs"/>
          <w:rtl/>
        </w:rPr>
        <w:t xml:space="preserve">הגר"ח </w:t>
      </w:r>
      <w:r w:rsidRPr="00976CC0">
        <w:rPr>
          <w:rStyle w:val="af7"/>
          <w:rFonts w:eastAsia="Guttman Hodes" w:hint="cs"/>
          <w:rtl/>
        </w:rPr>
        <w:t>(עי' או</w:t>
      </w:r>
      <w:r>
        <w:rPr>
          <w:rStyle w:val="af7"/>
          <w:rFonts w:eastAsia="Guttman Hodes" w:hint="cs"/>
          <w:rtl/>
        </w:rPr>
        <w:t xml:space="preserve">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Ref55068661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w:t>
      </w:r>
      <w:r>
        <w:rPr>
          <w:rStyle w:val="af7"/>
          <w:rFonts w:eastAsia="Guttman Hodes"/>
          <w:rtl/>
        </w:rPr>
        <w:fldChar w:fldCharType="end"/>
      </w:r>
      <w:r>
        <w:rPr>
          <w:rFonts w:hint="cs"/>
          <w:rtl/>
        </w:rPr>
        <w:t xml:space="preserve">, ועיי"ש במה </w:t>
      </w:r>
      <w:r>
        <w:rPr>
          <w:rFonts w:hint="cs"/>
          <w:rtl/>
        </w:rPr>
        <w:t xml:space="preserve">שביאר לפי"ז </w:t>
      </w:r>
      <w:r w:rsidR="009647B3">
        <w:rPr>
          <w:rStyle w:val="af9"/>
          <w:rFonts w:hint="cs"/>
          <w:rtl/>
        </w:rPr>
        <w:t xml:space="preserve">הגר"מ מן </w:t>
      </w:r>
      <w:r w:rsidR="009647B3" w:rsidRPr="00834955">
        <w:rPr>
          <w:rStyle w:val="af9"/>
          <w:rFonts w:hint="cs"/>
          <w:rtl/>
        </w:rPr>
        <w:t>בדברי מרדכי</w:t>
      </w:r>
      <w:r w:rsidR="009647B3">
        <w:rPr>
          <w:rStyle w:val="af9"/>
          <w:rFonts w:hint="cs"/>
          <w:rtl/>
        </w:rPr>
        <w:t xml:space="preserve"> </w:t>
      </w:r>
      <w:r w:rsidRPr="00834955">
        <w:rPr>
          <w:rStyle w:val="af7"/>
          <w:rFonts w:eastAsia="Guttman Hodes" w:hint="cs"/>
          <w:rtl/>
        </w:rPr>
        <w:t>(סי' י"ד או' ג')</w:t>
      </w:r>
      <w:r>
        <w:rPr>
          <w:rFonts w:hint="cs"/>
          <w:rtl/>
        </w:rPr>
        <w:t xml:space="preserve"> את דברי </w:t>
      </w:r>
      <w:r w:rsidRPr="00834955">
        <w:rPr>
          <w:rStyle w:val="af9"/>
          <w:rFonts w:hint="cs"/>
          <w:rtl/>
        </w:rPr>
        <w:t>ה"ר עזרא בתוס'</w:t>
      </w:r>
      <w:r>
        <w:rPr>
          <w:rFonts w:hint="cs"/>
          <w:rtl/>
        </w:rPr>
        <w:t xml:space="preserve"> </w:t>
      </w:r>
      <w:r w:rsidRPr="00834955">
        <w:rPr>
          <w:rStyle w:val="af7"/>
          <w:rFonts w:eastAsia="Guttman Hodes" w:hint="cs"/>
          <w:rtl/>
        </w:rPr>
        <w:t>(ד"ה עד)</w:t>
      </w:r>
      <w:r>
        <w:rPr>
          <w:rFonts w:hint="cs"/>
          <w:rtl/>
        </w:rPr>
        <w:t>.</w:t>
      </w:r>
      <w:bookmarkEnd w:id="2643"/>
    </w:p>
    <w:p w:rsidR="00900B10" w:rsidRDefault="00900B10" w:rsidP="00900B10">
      <w:pPr>
        <w:pStyle w:val="1"/>
        <w:rPr>
          <w:rtl/>
        </w:rPr>
      </w:pPr>
      <w:bookmarkStart w:id="2644" w:name="_Toc55073012"/>
      <w:bookmarkStart w:id="2645" w:name="_Toc55073209"/>
      <w:bookmarkStart w:id="2646" w:name="_Toc55073620"/>
      <w:bookmarkStart w:id="2647" w:name="_Toc55074168"/>
      <w:r w:rsidRPr="00BF11D9">
        <w:rPr>
          <w:rFonts w:hint="cs"/>
          <w:rtl/>
        </w:rPr>
        <w:t xml:space="preserve">ביאור הגרנ"פ </w:t>
      </w:r>
      <w:r>
        <w:rPr>
          <w:rFonts w:hint="cs"/>
          <w:rtl/>
        </w:rPr>
        <w:t xml:space="preserve">ברמב"ן </w:t>
      </w:r>
      <w:bookmarkEnd w:id="2631"/>
      <w:bookmarkEnd w:id="2632"/>
      <w:bookmarkEnd w:id="2633"/>
      <w:bookmarkEnd w:id="2634"/>
      <w:bookmarkEnd w:id="2635"/>
      <w:bookmarkEnd w:id="2636"/>
      <w:bookmarkEnd w:id="2637"/>
      <w:bookmarkEnd w:id="2638"/>
      <w:bookmarkEnd w:id="2639"/>
      <w:bookmarkEnd w:id="2644"/>
      <w:bookmarkEnd w:id="2645"/>
      <w:bookmarkEnd w:id="2646"/>
      <w:r>
        <w:rPr>
          <w:rFonts w:hint="cs"/>
          <w:rtl/>
        </w:rPr>
        <w:t>דהאכילה עצמה היא עושה את החזקה</w:t>
      </w:r>
      <w:bookmarkEnd w:id="2647"/>
      <w:r w:rsidRPr="00BF11D9">
        <w:rPr>
          <w:rFonts w:hint="cs"/>
          <w:rtl/>
        </w:rPr>
        <w:t xml:space="preserve"> </w:t>
      </w:r>
    </w:p>
    <w:p w:rsidR="00900B10" w:rsidRDefault="00900B10" w:rsidP="00900B10">
      <w:pPr>
        <w:pStyle w:val="a3"/>
        <w:rPr>
          <w:rtl/>
        </w:rPr>
      </w:pPr>
      <w:bookmarkStart w:id="2648" w:name="_Toc54952116"/>
      <w:bookmarkStart w:id="2649" w:name="_Toc55073013"/>
      <w:bookmarkStart w:id="2650" w:name="_Toc55073210"/>
      <w:bookmarkStart w:id="2651" w:name="_Toc55073621"/>
      <w:bookmarkStart w:id="2652" w:name="_Toc55074169"/>
      <w:r>
        <w:rPr>
          <w:rFonts w:hint="cs"/>
          <w:rtl/>
        </w:rPr>
        <w:t>ביאור הגרנ"פ בריטב"א דבקושית הגמ' מנין לחזקת ג"ש כלול דג"ש מהני וגם דלא סגי בפחות</w:t>
      </w:r>
      <w:bookmarkEnd w:id="2648"/>
      <w:bookmarkEnd w:id="2649"/>
      <w:bookmarkEnd w:id="2650"/>
      <w:bookmarkEnd w:id="2651"/>
      <w:bookmarkEnd w:id="2652"/>
    </w:p>
    <w:p w:rsidR="00900B10" w:rsidRDefault="00900B10" w:rsidP="007E4E81">
      <w:pPr>
        <w:pStyle w:val="a0"/>
        <w:rPr>
          <w:rtl/>
        </w:rPr>
      </w:pPr>
      <w:bookmarkStart w:id="2653" w:name="_Ref54869039"/>
      <w:r>
        <w:rPr>
          <w:rFonts w:hint="cs"/>
          <w:rtl/>
        </w:rPr>
        <w:t xml:space="preserve">במ"ש </w:t>
      </w:r>
      <w:r w:rsidRPr="00A54A1F">
        <w:rPr>
          <w:rStyle w:val="af9"/>
          <w:rFonts w:hint="cs"/>
          <w:rtl/>
        </w:rPr>
        <w:t>הריטב"א</w:t>
      </w:r>
      <w:r w:rsidRPr="00D73A4D">
        <w:rPr>
          <w:rStyle w:val="af7"/>
          <w:rFonts w:eastAsia="Guttman Hodes" w:hint="cs"/>
          <w:rtl/>
        </w:rPr>
        <w:t xml:space="preserve"> (עי' אות </w:t>
      </w:r>
      <w:r w:rsidRPr="00D73A4D">
        <w:rPr>
          <w:rStyle w:val="af7"/>
          <w:rFonts w:eastAsia="Guttman Hodes"/>
          <w:rtl/>
        </w:rPr>
        <w:fldChar w:fldCharType="begin"/>
      </w:r>
      <w:r w:rsidRPr="00D73A4D">
        <w:rPr>
          <w:rStyle w:val="af7"/>
          <w:rFonts w:eastAsia="Guttman Hodes"/>
          <w:rtl/>
        </w:rPr>
        <w:instrText xml:space="preserve"> </w:instrText>
      </w:r>
      <w:r w:rsidRPr="00D73A4D">
        <w:rPr>
          <w:rStyle w:val="af7"/>
          <w:rFonts w:eastAsia="Guttman Hodes" w:hint="cs"/>
        </w:rPr>
        <w:instrText>REF</w:instrText>
      </w:r>
      <w:r w:rsidRPr="00D73A4D">
        <w:rPr>
          <w:rStyle w:val="af7"/>
          <w:rFonts w:eastAsia="Guttman Hodes" w:hint="cs"/>
          <w:rtl/>
        </w:rPr>
        <w:instrText xml:space="preserve"> _</w:instrText>
      </w:r>
      <w:r w:rsidRPr="00D73A4D">
        <w:rPr>
          <w:rStyle w:val="af7"/>
          <w:rFonts w:eastAsia="Guttman Hodes" w:hint="cs"/>
        </w:rPr>
        <w:instrText>Ref54815189 \r \h</w:instrText>
      </w:r>
      <w:r w:rsidRPr="00D73A4D">
        <w:rPr>
          <w:rStyle w:val="af7"/>
          <w:rFonts w:eastAsia="Guttman Hodes"/>
          <w:rtl/>
        </w:rPr>
        <w:instrText xml:space="preserve"> </w:instrText>
      </w:r>
      <w:r w:rsidRPr="00D73A4D">
        <w:rPr>
          <w:rStyle w:val="af7"/>
          <w:rFonts w:eastAsia="Guttman Hodes"/>
          <w:rtl/>
        </w:rPr>
      </w:r>
      <w:r w:rsidRPr="00D73A4D">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D73A4D">
        <w:rPr>
          <w:rStyle w:val="af7"/>
          <w:rFonts w:eastAsia="Guttman Hodes"/>
          <w:rtl/>
        </w:rPr>
        <w:fldChar w:fldCharType="end"/>
      </w:r>
      <w:r w:rsidRPr="00D73A4D">
        <w:rPr>
          <w:rStyle w:val="af7"/>
          <w:rFonts w:eastAsia="Guttman Hodes" w:hint="cs"/>
          <w:rtl/>
        </w:rPr>
        <w:t xml:space="preserve"> </w:t>
      </w:r>
      <w:r>
        <w:rPr>
          <w:rFonts w:hint="cs"/>
          <w:rtl/>
        </w:rPr>
        <w:t xml:space="preserve">דקושית הגמ' מנין לחזקת ג"ש, היא דמהיכן ילפינן דהחזקה היא ג"ש, ולא פחות ולא יותר, ביאר </w:t>
      </w:r>
      <w:r w:rsidRPr="00D73A4D">
        <w:rPr>
          <w:rStyle w:val="af9"/>
          <w:rFonts w:hint="cs"/>
          <w:rtl/>
        </w:rPr>
        <w:t>בחי' רבי נחום</w:t>
      </w:r>
      <w:r>
        <w:rPr>
          <w:rFonts w:hint="cs"/>
          <w:rtl/>
        </w:rPr>
        <w:t xml:space="preserve"> </w:t>
      </w:r>
      <w:r w:rsidRPr="00D73A4D">
        <w:rPr>
          <w:rStyle w:val="af7"/>
          <w:rFonts w:eastAsia="Guttman Hodes" w:hint="cs"/>
          <w:rtl/>
        </w:rPr>
        <w:t xml:space="preserve">(או' ז') </w:t>
      </w:r>
      <w:r>
        <w:rPr>
          <w:rFonts w:hint="cs"/>
          <w:rtl/>
        </w:rPr>
        <w:t>דכלול בקושית הגמ', גם מנלן דמהני חזקה בג"ש, וגם מנלן דבפחות מג"ש לא מהני החזקה.</w:t>
      </w:r>
      <w:bookmarkEnd w:id="2653"/>
    </w:p>
    <w:p w:rsidR="00900B10" w:rsidRDefault="00900B10" w:rsidP="00900B10">
      <w:pPr>
        <w:pStyle w:val="a3"/>
        <w:rPr>
          <w:rtl/>
        </w:rPr>
      </w:pPr>
      <w:bookmarkStart w:id="2654" w:name="_Toc54952117"/>
      <w:bookmarkStart w:id="2655" w:name="_Toc55073014"/>
      <w:bookmarkStart w:id="2656" w:name="_Toc55073211"/>
      <w:bookmarkStart w:id="2657" w:name="_Toc55073622"/>
      <w:bookmarkStart w:id="2658" w:name="_Toc55074170"/>
      <w:r>
        <w:rPr>
          <w:rFonts w:hint="cs"/>
          <w:rtl/>
        </w:rPr>
        <w:t>ביאור הגרנ"פ בר"ן וברמב"ן דעצם האכילה גורמת לחזקה דהיא ראיה ועי"ז נעשה למוחזק</w:t>
      </w:r>
      <w:bookmarkEnd w:id="2654"/>
      <w:bookmarkEnd w:id="2655"/>
      <w:bookmarkEnd w:id="2656"/>
      <w:bookmarkEnd w:id="2657"/>
      <w:bookmarkEnd w:id="2658"/>
    </w:p>
    <w:p w:rsidR="00900B10" w:rsidRDefault="00900B10" w:rsidP="007E4E81">
      <w:pPr>
        <w:pStyle w:val="a0"/>
        <w:rPr>
          <w:rtl/>
        </w:rPr>
      </w:pPr>
      <w:r>
        <w:rPr>
          <w:rFonts w:hint="cs"/>
          <w:rtl/>
        </w:rPr>
        <w:t xml:space="preserve">במ"ש </w:t>
      </w:r>
      <w:r w:rsidRPr="0036055E">
        <w:rPr>
          <w:rStyle w:val="af9"/>
          <w:rFonts w:hint="cs"/>
          <w:rtl/>
        </w:rPr>
        <w:t>הר"ן</w:t>
      </w:r>
      <w:r w:rsidRPr="00A87643">
        <w:rPr>
          <w:rStyle w:val="af7"/>
          <w:rFonts w:eastAsia="Guttman Hodes" w:hint="cs"/>
          <w:rtl/>
        </w:rPr>
        <w:t xml:space="preserve"> (עי' אות </w:t>
      </w:r>
      <w:r w:rsidRPr="00A87643">
        <w:rPr>
          <w:rStyle w:val="af7"/>
          <w:rFonts w:eastAsia="Guttman Hodes"/>
          <w:rtl/>
        </w:rPr>
        <w:fldChar w:fldCharType="begin"/>
      </w:r>
      <w:r w:rsidRPr="00A87643">
        <w:rPr>
          <w:rStyle w:val="af7"/>
          <w:rFonts w:eastAsia="Guttman Hodes"/>
          <w:rtl/>
        </w:rPr>
        <w:instrText xml:space="preserve"> </w:instrText>
      </w:r>
      <w:r w:rsidRPr="00A87643">
        <w:rPr>
          <w:rStyle w:val="af7"/>
          <w:rFonts w:eastAsia="Guttman Hodes" w:hint="cs"/>
        </w:rPr>
        <w:instrText>REF</w:instrText>
      </w:r>
      <w:r w:rsidRPr="00A87643">
        <w:rPr>
          <w:rStyle w:val="af7"/>
          <w:rFonts w:eastAsia="Guttman Hodes" w:hint="cs"/>
          <w:rtl/>
        </w:rPr>
        <w:instrText xml:space="preserve"> _</w:instrText>
      </w:r>
      <w:r w:rsidRPr="00A87643">
        <w:rPr>
          <w:rStyle w:val="af7"/>
          <w:rFonts w:eastAsia="Guttman Hodes" w:hint="cs"/>
        </w:rPr>
        <w:instrText>Ref54884583 \r \h</w:instrText>
      </w:r>
      <w:r w:rsidRPr="00A87643">
        <w:rPr>
          <w:rStyle w:val="af7"/>
          <w:rFonts w:eastAsia="Guttman Hodes"/>
          <w:rtl/>
        </w:rPr>
        <w:instrText xml:space="preserve"> </w:instrText>
      </w:r>
      <w:r w:rsidRPr="00A87643">
        <w:rPr>
          <w:rStyle w:val="af7"/>
          <w:rFonts w:eastAsia="Guttman Hodes"/>
          <w:rtl/>
        </w:rPr>
      </w:r>
      <w:r w:rsidRPr="00A87643">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A87643">
        <w:rPr>
          <w:rStyle w:val="af7"/>
          <w:rFonts w:eastAsia="Guttman Hodes"/>
          <w:rtl/>
        </w:rPr>
        <w:fldChar w:fldCharType="end"/>
      </w:r>
      <w:r w:rsidRPr="00A87643">
        <w:rPr>
          <w:rStyle w:val="af7"/>
          <w:rFonts w:eastAsia="Guttman Hodes" w:hint="cs"/>
          <w:rtl/>
        </w:rPr>
        <w:t xml:space="preserve"> </w:t>
      </w:r>
      <w:r>
        <w:rPr>
          <w:rFonts w:hint="cs"/>
          <w:rtl/>
        </w:rPr>
        <w:t>דכמו ששור עשה ג"פ להיפך מחזקתו הראשונה, יצא מחזקת תם ועומד בחזקת מועד, ה"ה בחזקה דכל שאכל המחזיק ג' אכילות</w:t>
      </w:r>
      <w:r w:rsidRPr="007A4AB4">
        <w:rPr>
          <w:rFonts w:hint="cs"/>
          <w:rtl/>
        </w:rPr>
        <w:t xml:space="preserve"> </w:t>
      </w:r>
      <w:r>
        <w:rPr>
          <w:rFonts w:hint="cs"/>
          <w:rtl/>
        </w:rPr>
        <w:t xml:space="preserve">שהוא להיפך מהחזקה הראשונה, יצאה השדה מרשות המרא קמא, והיא עומדת ברשות הלוקח, ועל המרא קמא להביא ראיה, ביאר </w:t>
      </w:r>
      <w:r w:rsidRPr="0036055E">
        <w:rPr>
          <w:rStyle w:val="af9"/>
          <w:rFonts w:hint="cs"/>
          <w:rtl/>
        </w:rPr>
        <w:t>בחי' רבי נחום</w:t>
      </w:r>
      <w:r>
        <w:rPr>
          <w:rFonts w:hint="cs"/>
          <w:rtl/>
        </w:rPr>
        <w:t xml:space="preserve"> </w:t>
      </w:r>
      <w:r w:rsidRPr="0036055E">
        <w:rPr>
          <w:rStyle w:val="af7"/>
          <w:rFonts w:eastAsia="Guttman Hodes" w:hint="cs"/>
          <w:rtl/>
        </w:rPr>
        <w:t>(או' ז')</w:t>
      </w:r>
      <w:r>
        <w:rPr>
          <w:rFonts w:hint="cs"/>
          <w:rtl/>
        </w:rPr>
        <w:t xml:space="preserve"> דהא דבג' אכילות השדה מוחזקת ביד הלוקח, אינו מחמת ששתק המוכר, אלא עצם האכילה גורמת לחזקה, דבכל אכילה מצד עצמה יש הוכחה שהמחזיק קנה מהמרא קמא, ואחר שאכל ג' אכילות הוחזק הלוקח בקרקע, ונעשה כמוחזק, וכתב </w:t>
      </w:r>
      <w:r w:rsidRPr="0036055E">
        <w:rPr>
          <w:rStyle w:val="af9"/>
          <w:rFonts w:hint="cs"/>
          <w:rtl/>
        </w:rPr>
        <w:t>בחי' רבי נחום</w:t>
      </w:r>
      <w:r>
        <w:rPr>
          <w:rFonts w:hint="cs"/>
          <w:rtl/>
        </w:rPr>
        <w:t xml:space="preserve"> דזהו הביאור גם בדברי </w:t>
      </w:r>
      <w:r w:rsidRPr="0036055E">
        <w:rPr>
          <w:rStyle w:val="af9"/>
          <w:rFonts w:hint="cs"/>
          <w:rtl/>
        </w:rPr>
        <w:t>הרמב"ן</w:t>
      </w:r>
      <w:r w:rsidRPr="00AF3D64">
        <w:rPr>
          <w:rStyle w:val="af7"/>
          <w:rFonts w:eastAsia="Guttman Hodes" w:hint="cs"/>
          <w:rtl/>
        </w:rPr>
        <w:t xml:space="preserve"> (עי' אות </w:t>
      </w:r>
      <w:r w:rsidRPr="00AF3D64">
        <w:rPr>
          <w:rStyle w:val="af7"/>
          <w:rFonts w:eastAsia="Guttman Hodes"/>
          <w:rtl/>
        </w:rPr>
        <w:fldChar w:fldCharType="begin"/>
      </w:r>
      <w:r w:rsidRPr="00AF3D64">
        <w:rPr>
          <w:rStyle w:val="af7"/>
          <w:rFonts w:eastAsia="Guttman Hodes"/>
          <w:rtl/>
        </w:rPr>
        <w:instrText xml:space="preserve"> </w:instrText>
      </w:r>
      <w:r w:rsidRPr="00AF3D64">
        <w:rPr>
          <w:rStyle w:val="af7"/>
          <w:rFonts w:eastAsia="Guttman Hodes" w:hint="cs"/>
        </w:rPr>
        <w:instrText>REF</w:instrText>
      </w:r>
      <w:r w:rsidRPr="00AF3D64">
        <w:rPr>
          <w:rStyle w:val="af7"/>
          <w:rFonts w:eastAsia="Guttman Hodes" w:hint="cs"/>
          <w:rtl/>
        </w:rPr>
        <w:instrText xml:space="preserve"> _</w:instrText>
      </w:r>
      <w:r w:rsidRPr="00AF3D64">
        <w:rPr>
          <w:rStyle w:val="af7"/>
          <w:rFonts w:eastAsia="Guttman Hodes" w:hint="cs"/>
        </w:rPr>
        <w:instrText>Ref54801573 \r \h</w:instrText>
      </w:r>
      <w:r w:rsidRPr="00AF3D64">
        <w:rPr>
          <w:rStyle w:val="af7"/>
          <w:rFonts w:eastAsia="Guttman Hodes"/>
          <w:rtl/>
        </w:rPr>
        <w:instrText xml:space="preserve"> </w:instrText>
      </w:r>
      <w:r w:rsidRPr="00AF3D64">
        <w:rPr>
          <w:rStyle w:val="af7"/>
          <w:rFonts w:eastAsia="Guttman Hodes"/>
          <w:rtl/>
        </w:rPr>
      </w:r>
      <w:r w:rsidRPr="00AF3D64">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AF3D64">
        <w:rPr>
          <w:rStyle w:val="af7"/>
          <w:rFonts w:eastAsia="Guttman Hodes"/>
          <w:rtl/>
        </w:rPr>
        <w:fldChar w:fldCharType="end"/>
      </w:r>
      <w:r w:rsidRPr="00AF3D64">
        <w:rPr>
          <w:rStyle w:val="af7"/>
          <w:rFonts w:eastAsia="Guttman Hodes" w:hint="cs"/>
          <w:rtl/>
        </w:rPr>
        <w:t xml:space="preserve"> </w:t>
      </w:r>
      <w:r w:rsidRPr="0036055E">
        <w:rPr>
          <w:rStyle w:val="af9"/>
          <w:rFonts w:hint="cs"/>
          <w:rtl/>
        </w:rPr>
        <w:t>והריטב"א</w:t>
      </w:r>
      <w:r w:rsidRPr="00AF3D64">
        <w:rPr>
          <w:rStyle w:val="af7"/>
          <w:rFonts w:eastAsia="Guttman Hodes" w:hint="cs"/>
          <w:rtl/>
        </w:rPr>
        <w:t xml:space="preserve"> (עי' אות </w:t>
      </w:r>
      <w:r w:rsidRPr="00AF3D64">
        <w:rPr>
          <w:rStyle w:val="af7"/>
          <w:rFonts w:eastAsia="Guttman Hodes"/>
          <w:rtl/>
        </w:rPr>
        <w:fldChar w:fldCharType="begin"/>
      </w:r>
      <w:r w:rsidRPr="00AF3D64">
        <w:rPr>
          <w:rStyle w:val="af7"/>
          <w:rFonts w:eastAsia="Guttman Hodes"/>
          <w:rtl/>
        </w:rPr>
        <w:instrText xml:space="preserve"> </w:instrText>
      </w:r>
      <w:r w:rsidRPr="00AF3D64">
        <w:rPr>
          <w:rStyle w:val="af7"/>
          <w:rFonts w:eastAsia="Guttman Hodes" w:hint="cs"/>
        </w:rPr>
        <w:instrText>REF</w:instrText>
      </w:r>
      <w:r w:rsidRPr="00AF3D64">
        <w:rPr>
          <w:rStyle w:val="af7"/>
          <w:rFonts w:eastAsia="Guttman Hodes" w:hint="cs"/>
          <w:rtl/>
        </w:rPr>
        <w:instrText xml:space="preserve"> _</w:instrText>
      </w:r>
      <w:r w:rsidRPr="00AF3D64">
        <w:rPr>
          <w:rStyle w:val="af7"/>
          <w:rFonts w:eastAsia="Guttman Hodes" w:hint="cs"/>
        </w:rPr>
        <w:instrText>Ref54884589 \r \h</w:instrText>
      </w:r>
      <w:r w:rsidRPr="00AF3D64">
        <w:rPr>
          <w:rStyle w:val="af7"/>
          <w:rFonts w:eastAsia="Guttman Hodes"/>
          <w:rtl/>
        </w:rPr>
        <w:instrText xml:space="preserve"> </w:instrText>
      </w:r>
      <w:r w:rsidRPr="00AF3D64">
        <w:rPr>
          <w:rStyle w:val="af7"/>
          <w:rFonts w:eastAsia="Guttman Hodes"/>
          <w:rtl/>
        </w:rPr>
      </w:r>
      <w:r w:rsidRPr="00AF3D64">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AF3D64">
        <w:rPr>
          <w:rStyle w:val="af7"/>
          <w:rFonts w:eastAsia="Guttman Hodes"/>
          <w:rtl/>
        </w:rPr>
        <w:fldChar w:fldCharType="end"/>
      </w:r>
      <w:r>
        <w:rPr>
          <w:rFonts w:hint="cs"/>
          <w:rtl/>
        </w:rPr>
        <w:t xml:space="preserve">, ודלא </w:t>
      </w:r>
      <w:r w:rsidRPr="00270CA6">
        <w:rPr>
          <w:rStyle w:val="af9"/>
          <w:rFonts w:hint="cs"/>
          <w:rtl/>
        </w:rPr>
        <w:t>כתוס'</w:t>
      </w:r>
      <w:r w:rsidRPr="00AF3D64">
        <w:rPr>
          <w:rStyle w:val="af7"/>
          <w:rFonts w:eastAsia="Guttman Hodes" w:hint="cs"/>
          <w:rtl/>
        </w:rPr>
        <w:t xml:space="preserve"> (עי' אות </w:t>
      </w:r>
      <w:r w:rsidRPr="00AF3D64">
        <w:rPr>
          <w:rStyle w:val="af7"/>
          <w:rFonts w:eastAsia="Guttman Hodes"/>
          <w:rtl/>
        </w:rPr>
        <w:fldChar w:fldCharType="begin"/>
      </w:r>
      <w:r w:rsidRPr="00AF3D64">
        <w:rPr>
          <w:rStyle w:val="af7"/>
          <w:rFonts w:eastAsia="Guttman Hodes"/>
          <w:rtl/>
        </w:rPr>
        <w:instrText xml:space="preserve"> </w:instrText>
      </w:r>
      <w:r w:rsidRPr="00AF3D64">
        <w:rPr>
          <w:rStyle w:val="af7"/>
          <w:rFonts w:eastAsia="Guttman Hodes" w:hint="cs"/>
        </w:rPr>
        <w:instrText>REF</w:instrText>
      </w:r>
      <w:r w:rsidRPr="00AF3D64">
        <w:rPr>
          <w:rStyle w:val="af7"/>
          <w:rFonts w:eastAsia="Guttman Hodes" w:hint="cs"/>
          <w:rtl/>
        </w:rPr>
        <w:instrText xml:space="preserve"> _</w:instrText>
      </w:r>
      <w:r w:rsidRPr="00AF3D64">
        <w:rPr>
          <w:rStyle w:val="af7"/>
          <w:rFonts w:eastAsia="Guttman Hodes" w:hint="cs"/>
        </w:rPr>
        <w:instrText>Ref54944825 \r \h</w:instrText>
      </w:r>
      <w:r w:rsidRPr="00AF3D64">
        <w:rPr>
          <w:rStyle w:val="af7"/>
          <w:rFonts w:eastAsia="Guttman Hodes"/>
          <w:rtl/>
        </w:rPr>
        <w:instrText xml:space="preserve"> </w:instrText>
      </w:r>
      <w:r w:rsidRPr="00AF3D64">
        <w:rPr>
          <w:rStyle w:val="af7"/>
          <w:rFonts w:eastAsia="Guttman Hodes"/>
          <w:rtl/>
        </w:rPr>
      </w:r>
      <w:r w:rsidRPr="00AF3D64">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AF3D64">
        <w:rPr>
          <w:rStyle w:val="af7"/>
          <w:rFonts w:eastAsia="Guttman Hodes"/>
          <w:rtl/>
        </w:rPr>
        <w:fldChar w:fldCharType="end"/>
      </w:r>
      <w:r w:rsidRPr="00AF3D64">
        <w:rPr>
          <w:rStyle w:val="af7"/>
          <w:rFonts w:eastAsia="Guttman Hodes" w:hint="cs"/>
          <w:rtl/>
        </w:rPr>
        <w:t xml:space="preserve"> </w:t>
      </w:r>
      <w:r>
        <w:rPr>
          <w:rFonts w:hint="cs"/>
          <w:rtl/>
        </w:rPr>
        <w:t xml:space="preserve">דביארו דהחזקה היא מחמת שתיקת המערער. </w:t>
      </w:r>
    </w:p>
    <w:p w:rsidR="00900B10" w:rsidRPr="002536B2" w:rsidRDefault="00900B10" w:rsidP="00900B10">
      <w:pPr>
        <w:pStyle w:val="1"/>
        <w:rPr>
          <w:rtl/>
        </w:rPr>
      </w:pPr>
      <w:bookmarkStart w:id="2659" w:name="_Toc54887753"/>
      <w:bookmarkStart w:id="2660" w:name="_Toc54891207"/>
      <w:bookmarkStart w:id="2661" w:name="_Toc54903502"/>
      <w:bookmarkStart w:id="2662" w:name="_Toc54948511"/>
      <w:bookmarkStart w:id="2663" w:name="_Toc54952118"/>
      <w:bookmarkStart w:id="2664" w:name="_Toc55073015"/>
      <w:bookmarkStart w:id="2665" w:name="_Toc55073212"/>
      <w:bookmarkStart w:id="2666" w:name="_Toc55073623"/>
      <w:bookmarkStart w:id="2667" w:name="_Toc55074171"/>
      <w:r w:rsidRPr="002536B2">
        <w:rPr>
          <w:rFonts w:hint="cs"/>
          <w:rtl/>
        </w:rPr>
        <w:t>ביאור הגרנ"פ ברש"י דלר"י בג"ש יוצא מהמר"ק ומהני הראיה</w:t>
      </w:r>
      <w:bookmarkEnd w:id="2613"/>
      <w:bookmarkEnd w:id="2614"/>
      <w:bookmarkEnd w:id="2615"/>
      <w:bookmarkEnd w:id="2640"/>
      <w:bookmarkEnd w:id="2641"/>
      <w:bookmarkEnd w:id="2642"/>
      <w:bookmarkEnd w:id="2659"/>
      <w:bookmarkEnd w:id="2660"/>
      <w:bookmarkEnd w:id="2661"/>
      <w:bookmarkEnd w:id="2662"/>
      <w:bookmarkEnd w:id="2663"/>
      <w:bookmarkEnd w:id="2664"/>
      <w:bookmarkEnd w:id="2665"/>
      <w:bookmarkEnd w:id="2666"/>
      <w:bookmarkEnd w:id="2667"/>
    </w:p>
    <w:p w:rsidR="00900B10" w:rsidRPr="002536B2" w:rsidRDefault="00900B10" w:rsidP="00900B10">
      <w:pPr>
        <w:pStyle w:val="a3"/>
        <w:rPr>
          <w:rtl/>
        </w:rPr>
      </w:pPr>
      <w:bookmarkStart w:id="2668" w:name="_Toc54555975"/>
      <w:bookmarkStart w:id="2669" w:name="_Toc54603746"/>
      <w:bookmarkStart w:id="2670" w:name="_Toc54643476"/>
      <w:bookmarkStart w:id="2671" w:name="_Toc54730225"/>
      <w:bookmarkStart w:id="2672" w:name="_Toc54867246"/>
      <w:bookmarkStart w:id="2673" w:name="_Toc54868845"/>
      <w:bookmarkStart w:id="2674" w:name="_Toc54887754"/>
      <w:bookmarkStart w:id="2675" w:name="_Toc54891208"/>
      <w:bookmarkStart w:id="2676" w:name="_Toc54903503"/>
      <w:bookmarkStart w:id="2677" w:name="_Toc54948512"/>
      <w:bookmarkStart w:id="2678" w:name="_Toc54952119"/>
      <w:bookmarkStart w:id="2679" w:name="_Toc55073016"/>
      <w:bookmarkStart w:id="2680" w:name="_Toc55073213"/>
      <w:bookmarkStart w:id="2681" w:name="_Toc55073624"/>
      <w:bookmarkStart w:id="2682" w:name="_Toc55074172"/>
      <w:r w:rsidRPr="002536B2">
        <w:rPr>
          <w:rFonts w:hint="cs"/>
          <w:rtl/>
        </w:rPr>
        <w:t>קושית הגרנ"פ דמשמע ברש"י דעל אכילת שנה אחת צריך למחות והא החזקה היא רק בג"ש</w:t>
      </w:r>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p>
    <w:p w:rsidR="00900B10" w:rsidRPr="002536B2" w:rsidRDefault="00900B10" w:rsidP="007E4E81">
      <w:pPr>
        <w:pStyle w:val="a0"/>
      </w:pPr>
      <w:r w:rsidRPr="002536B2">
        <w:rPr>
          <w:rFonts w:hint="cs"/>
          <w:rtl/>
        </w:rPr>
        <w:t xml:space="preserve">במ"ש </w:t>
      </w:r>
      <w:r w:rsidRPr="002536B2">
        <w:rPr>
          <w:rStyle w:val="af9"/>
          <w:rFonts w:hint="cs"/>
          <w:rtl/>
        </w:rPr>
        <w:t>רש"י במתני'</w:t>
      </w:r>
      <w:r w:rsidRPr="002536B2">
        <w:rPr>
          <w:rFonts w:hint="cs"/>
          <w:rtl/>
        </w:rPr>
        <w:t xml:space="preserve"> </w:t>
      </w:r>
      <w:r w:rsidRPr="002536B2">
        <w:rPr>
          <w:rStyle w:val="af7"/>
          <w:rFonts w:eastAsia="Guttman Hodes" w:hint="cs"/>
          <w:rtl/>
        </w:rPr>
        <w:t xml:space="preserve">(עי' אות </w:t>
      </w:r>
      <w:r w:rsidRPr="002536B2">
        <w:rPr>
          <w:rStyle w:val="af7"/>
          <w:rFonts w:eastAsia="Guttman Hodes"/>
          <w:rtl/>
        </w:rPr>
        <w:fldChar w:fldCharType="begin"/>
      </w:r>
      <w:r w:rsidRPr="002536B2">
        <w:rPr>
          <w:rStyle w:val="af7"/>
          <w:rFonts w:eastAsia="Guttman Hodes"/>
          <w:rtl/>
        </w:rPr>
        <w:instrText xml:space="preserve"> </w:instrText>
      </w:r>
      <w:r w:rsidRPr="002536B2">
        <w:rPr>
          <w:rStyle w:val="af7"/>
          <w:rFonts w:eastAsia="Guttman Hodes" w:hint="cs"/>
        </w:rPr>
        <w:instrText>REF</w:instrText>
      </w:r>
      <w:r w:rsidRPr="002536B2">
        <w:rPr>
          <w:rStyle w:val="af7"/>
          <w:rFonts w:eastAsia="Guttman Hodes" w:hint="cs"/>
          <w:rtl/>
        </w:rPr>
        <w:instrText xml:space="preserve"> _</w:instrText>
      </w:r>
      <w:r w:rsidRPr="002536B2">
        <w:rPr>
          <w:rStyle w:val="af7"/>
          <w:rFonts w:eastAsia="Guttman Hodes" w:hint="cs"/>
        </w:rPr>
        <w:instrText>Ref54208835 \r \h</w:instrText>
      </w:r>
      <w:r w:rsidRPr="002536B2">
        <w:rPr>
          <w:rStyle w:val="af7"/>
          <w:rFonts w:eastAsia="Guttman Hodes"/>
          <w:rtl/>
        </w:rPr>
        <w:instrText xml:space="preserve">  \* </w:instrText>
      </w:r>
      <w:r w:rsidRPr="002536B2">
        <w:rPr>
          <w:rStyle w:val="af7"/>
          <w:rFonts w:eastAsia="Guttman Hodes"/>
        </w:rPr>
        <w:instrText>MERGEFORMAT</w:instrText>
      </w:r>
      <w:r w:rsidRPr="002536B2">
        <w:rPr>
          <w:rStyle w:val="af7"/>
          <w:rFonts w:eastAsia="Guttman Hodes"/>
          <w:rtl/>
        </w:rPr>
        <w:instrText xml:space="preserve"> </w:instrText>
      </w:r>
      <w:r w:rsidRPr="002536B2">
        <w:rPr>
          <w:rStyle w:val="af7"/>
          <w:rFonts w:eastAsia="Guttman Hodes"/>
          <w:rtl/>
        </w:rPr>
      </w:r>
      <w:r w:rsidRPr="002536B2">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2536B2">
        <w:rPr>
          <w:rStyle w:val="af7"/>
          <w:rFonts w:eastAsia="Guttman Hodes"/>
          <w:rtl/>
        </w:rPr>
        <w:fldChar w:fldCharType="end"/>
      </w:r>
      <w:r w:rsidRPr="002536B2">
        <w:rPr>
          <w:rFonts w:hint="cs"/>
          <w:rtl/>
        </w:rPr>
        <w:t xml:space="preserve"> דאין אדם שרואה את חבירו שזורע את שדהו בכדי לאכול פרי שראוי לשנה, והוא שותק ואינו מוחה, הקשה </w:t>
      </w:r>
      <w:r w:rsidRPr="002536B2">
        <w:rPr>
          <w:rStyle w:val="af9"/>
          <w:rFonts w:hint="cs"/>
          <w:rtl/>
        </w:rPr>
        <w:t>בחי' רבי נחום</w:t>
      </w:r>
      <w:r w:rsidRPr="002536B2">
        <w:rPr>
          <w:rFonts w:hint="cs"/>
          <w:rtl/>
        </w:rPr>
        <w:t xml:space="preserve"> </w:t>
      </w:r>
      <w:r w:rsidRPr="002536B2">
        <w:rPr>
          <w:rStyle w:val="af7"/>
          <w:rFonts w:eastAsia="Guttman Hodes" w:hint="cs"/>
          <w:rtl/>
        </w:rPr>
        <w:t>(או' ה')</w:t>
      </w:r>
      <w:r w:rsidRPr="002536B2">
        <w:rPr>
          <w:rFonts w:hint="cs"/>
          <w:rtl/>
        </w:rPr>
        <w:t xml:space="preserve"> דמשמע מדברי </w:t>
      </w:r>
      <w:r w:rsidRPr="002536B2">
        <w:rPr>
          <w:rStyle w:val="af9"/>
          <w:rFonts w:hint="cs"/>
          <w:rtl/>
        </w:rPr>
        <w:t>רש"י</w:t>
      </w:r>
      <w:r w:rsidRPr="002536B2">
        <w:rPr>
          <w:rFonts w:hint="cs"/>
          <w:rtl/>
        </w:rPr>
        <w:t xml:space="preserve"> דעל אכילת פרי של שנה אחת היה לו למחות, והרי רק לאחר ג"ש הוי חזקה.</w:t>
      </w:r>
    </w:p>
    <w:p w:rsidR="00900B10" w:rsidRPr="002536B2" w:rsidRDefault="00900B10" w:rsidP="00900B10">
      <w:pPr>
        <w:pStyle w:val="a3"/>
        <w:rPr>
          <w:rtl/>
        </w:rPr>
      </w:pPr>
      <w:bookmarkStart w:id="2683" w:name="_Toc54555976"/>
      <w:bookmarkStart w:id="2684" w:name="_Toc54603747"/>
      <w:bookmarkStart w:id="2685" w:name="_Toc54643477"/>
      <w:bookmarkStart w:id="2686" w:name="_Toc54730226"/>
      <w:bookmarkStart w:id="2687" w:name="_Toc54867247"/>
      <w:bookmarkStart w:id="2688" w:name="_Toc54868846"/>
      <w:bookmarkStart w:id="2689" w:name="_Toc54887755"/>
      <w:bookmarkStart w:id="2690" w:name="_Toc54891209"/>
      <w:bookmarkStart w:id="2691" w:name="_Toc54903504"/>
      <w:bookmarkStart w:id="2692" w:name="_Toc54948513"/>
      <w:bookmarkStart w:id="2693" w:name="_Toc54952120"/>
      <w:bookmarkStart w:id="2694" w:name="_Toc55073017"/>
      <w:bookmarkStart w:id="2695" w:name="_Toc55073214"/>
      <w:bookmarkStart w:id="2696" w:name="_Toc55073625"/>
      <w:bookmarkStart w:id="2697" w:name="_Toc55074173"/>
      <w:r w:rsidRPr="002536B2">
        <w:rPr>
          <w:rFonts w:hint="cs"/>
          <w:rtl/>
        </w:rPr>
        <w:t>ביאור הגרנ"פ ברש"י דהראיה היא בשנה אחת וצריך ג"ש כשור המועד להוציא מחזקת מר"ק</w:t>
      </w:r>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p>
    <w:p w:rsidR="00900B10" w:rsidRPr="002536B2" w:rsidRDefault="00900B10" w:rsidP="007E4E81">
      <w:pPr>
        <w:pStyle w:val="a0"/>
        <w:rPr>
          <w:rtl/>
        </w:rPr>
      </w:pPr>
      <w:bookmarkStart w:id="2698" w:name="_Ref54641960"/>
      <w:r w:rsidRPr="002536B2">
        <w:rPr>
          <w:rFonts w:hint="cs"/>
          <w:rtl/>
        </w:rPr>
        <w:t xml:space="preserve">וכתב </w:t>
      </w:r>
      <w:r w:rsidRPr="002536B2">
        <w:rPr>
          <w:rStyle w:val="af9"/>
          <w:rFonts w:hint="cs"/>
          <w:rtl/>
        </w:rPr>
        <w:t>בחי' רבי נחום</w:t>
      </w:r>
      <w:r w:rsidRPr="002536B2">
        <w:rPr>
          <w:rFonts w:hint="cs"/>
          <w:rtl/>
        </w:rPr>
        <w:t xml:space="preserve"> דצ"ל דס"ל </w:t>
      </w:r>
      <w:r w:rsidRPr="002536B2">
        <w:rPr>
          <w:rStyle w:val="af9"/>
          <w:rFonts w:hint="cs"/>
          <w:rtl/>
        </w:rPr>
        <w:t>לרש"י</w:t>
      </w:r>
      <w:r w:rsidRPr="002536B2">
        <w:rPr>
          <w:rFonts w:hint="cs"/>
          <w:rtl/>
        </w:rPr>
        <w:t xml:space="preserve"> דהראיה בחזקה היא באכילה של שנה אחת, והא דצריך ג"ש היינו כיון שצריך ראיה ג"פ כמו בשור המועד, ורק בג' ראיות יצאה הקרקע מחזקת המרא קמא לחזקת המחזיק, וכ"כ </w:t>
      </w:r>
      <w:r w:rsidRPr="002536B2">
        <w:rPr>
          <w:rStyle w:val="af9"/>
          <w:rFonts w:hint="cs"/>
          <w:rtl/>
        </w:rPr>
        <w:t>החת"ס</w:t>
      </w:r>
      <w:r w:rsidRPr="002536B2">
        <w:rPr>
          <w:rFonts w:hint="cs"/>
          <w:rtl/>
        </w:rPr>
        <w:t xml:space="preserve"> </w:t>
      </w:r>
      <w:r w:rsidRPr="002536B2">
        <w:rPr>
          <w:rStyle w:val="af7"/>
          <w:rFonts w:eastAsia="Guttman Hodes" w:hint="cs"/>
          <w:rtl/>
        </w:rPr>
        <w:t xml:space="preserve">(עי' אות </w:t>
      </w:r>
      <w:r w:rsidRPr="002536B2">
        <w:rPr>
          <w:rStyle w:val="af7"/>
          <w:rFonts w:eastAsia="Guttman Hodes"/>
          <w:rtl/>
        </w:rPr>
        <w:fldChar w:fldCharType="begin"/>
      </w:r>
      <w:r w:rsidRPr="002536B2">
        <w:rPr>
          <w:rStyle w:val="af7"/>
          <w:rFonts w:eastAsia="Guttman Hodes"/>
          <w:rtl/>
        </w:rPr>
        <w:instrText xml:space="preserve"> </w:instrText>
      </w:r>
      <w:r w:rsidRPr="002536B2">
        <w:rPr>
          <w:rStyle w:val="af7"/>
          <w:rFonts w:eastAsia="Guttman Hodes" w:hint="cs"/>
        </w:rPr>
        <w:instrText>REF</w:instrText>
      </w:r>
      <w:r w:rsidRPr="002536B2">
        <w:rPr>
          <w:rStyle w:val="af7"/>
          <w:rFonts w:eastAsia="Guttman Hodes" w:hint="cs"/>
          <w:rtl/>
        </w:rPr>
        <w:instrText xml:space="preserve"> _</w:instrText>
      </w:r>
      <w:r w:rsidRPr="002536B2">
        <w:rPr>
          <w:rStyle w:val="af7"/>
          <w:rFonts w:eastAsia="Guttman Hodes" w:hint="cs"/>
        </w:rPr>
        <w:instrText>Ref54208887 \r \h</w:instrText>
      </w:r>
      <w:r w:rsidRPr="002536B2">
        <w:rPr>
          <w:rStyle w:val="af7"/>
          <w:rFonts w:eastAsia="Guttman Hodes"/>
          <w:rtl/>
        </w:rPr>
        <w:instrText xml:space="preserve">  \* </w:instrText>
      </w:r>
      <w:r w:rsidRPr="002536B2">
        <w:rPr>
          <w:rStyle w:val="af7"/>
          <w:rFonts w:eastAsia="Guttman Hodes"/>
        </w:rPr>
        <w:instrText>MERGEFORMAT</w:instrText>
      </w:r>
      <w:r w:rsidRPr="002536B2">
        <w:rPr>
          <w:rStyle w:val="af7"/>
          <w:rFonts w:eastAsia="Guttman Hodes"/>
          <w:rtl/>
        </w:rPr>
        <w:instrText xml:space="preserve"> </w:instrText>
      </w:r>
      <w:r w:rsidRPr="002536B2">
        <w:rPr>
          <w:rStyle w:val="af7"/>
          <w:rFonts w:eastAsia="Guttman Hodes"/>
          <w:rtl/>
        </w:rPr>
      </w:r>
      <w:r w:rsidRPr="002536B2">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2536B2">
        <w:rPr>
          <w:rStyle w:val="af7"/>
          <w:rFonts w:eastAsia="Guttman Hodes"/>
          <w:rtl/>
        </w:rPr>
        <w:fldChar w:fldCharType="end"/>
      </w:r>
      <w:r w:rsidRPr="002536B2">
        <w:rPr>
          <w:rFonts w:hint="cs"/>
          <w:rtl/>
        </w:rPr>
        <w:t>.</w:t>
      </w:r>
      <w:bookmarkEnd w:id="2698"/>
    </w:p>
    <w:p w:rsidR="00900B10" w:rsidRPr="002536B2" w:rsidRDefault="00900B10" w:rsidP="00900B10">
      <w:pPr>
        <w:pStyle w:val="a3"/>
        <w:rPr>
          <w:rtl/>
        </w:rPr>
      </w:pPr>
      <w:bookmarkStart w:id="2699" w:name="_Toc54555977"/>
      <w:bookmarkStart w:id="2700" w:name="_Toc54603748"/>
      <w:bookmarkStart w:id="2701" w:name="_Toc54643478"/>
      <w:bookmarkStart w:id="2702" w:name="_Toc54730227"/>
      <w:bookmarkStart w:id="2703" w:name="_Toc54867248"/>
      <w:bookmarkStart w:id="2704" w:name="_Toc54868847"/>
      <w:bookmarkStart w:id="2705" w:name="_Toc54887756"/>
      <w:bookmarkStart w:id="2706" w:name="_Toc54891210"/>
      <w:bookmarkStart w:id="2707" w:name="_Toc54903505"/>
      <w:bookmarkStart w:id="2708" w:name="_Toc54948514"/>
      <w:bookmarkStart w:id="2709" w:name="_Toc54952121"/>
      <w:bookmarkStart w:id="2710" w:name="_Toc55073018"/>
      <w:bookmarkStart w:id="2711" w:name="_Toc55073215"/>
      <w:bookmarkStart w:id="2712" w:name="_Toc55073626"/>
      <w:bookmarkStart w:id="2713" w:name="_Toc55074174"/>
      <w:r w:rsidRPr="002536B2">
        <w:rPr>
          <w:rFonts w:hint="cs"/>
          <w:rtl/>
        </w:rPr>
        <w:t>ביאור הגרנ"פ דכיון דבחזקת בעליה עומדת רק לאחר ג"ש שיצאה מחזקת מר"ק מהני הראיה</w:t>
      </w:r>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p>
    <w:p w:rsidR="00900B10" w:rsidRDefault="00900B10" w:rsidP="007E4E81">
      <w:pPr>
        <w:pStyle w:val="a0"/>
        <w:rPr>
          <w:rtl/>
        </w:rPr>
      </w:pPr>
      <w:r w:rsidRPr="002536B2">
        <w:rPr>
          <w:rtl/>
        </w:rPr>
        <w:t xml:space="preserve">וביאר </w:t>
      </w:r>
      <w:r w:rsidRPr="002536B2">
        <w:rPr>
          <w:rStyle w:val="af9"/>
          <w:rtl/>
        </w:rPr>
        <w:t>בחי' רבי נחום</w:t>
      </w:r>
      <w:r w:rsidRPr="002536B2">
        <w:rPr>
          <w:rtl/>
        </w:rPr>
        <w:t xml:space="preserve"> דכיון דקרקע בחזקת בעליה עומדת, לכן אף שבשנה אחת כבר יש הוכחה שמכר למחזיק, מ</w:t>
      </w:r>
      <w:r w:rsidRPr="002536B2">
        <w:rPr>
          <w:rFonts w:hint="cs"/>
          <w:rtl/>
        </w:rPr>
        <w:t>"</w:t>
      </w:r>
      <w:r w:rsidRPr="002536B2">
        <w:rPr>
          <w:rtl/>
        </w:rPr>
        <w:t>מ א</w:t>
      </w:r>
      <w:r w:rsidRPr="002536B2">
        <w:rPr>
          <w:rFonts w:hint="cs"/>
          <w:rtl/>
        </w:rPr>
        <w:t>"</w:t>
      </w:r>
      <w:r w:rsidRPr="002536B2">
        <w:rPr>
          <w:rtl/>
        </w:rPr>
        <w:t xml:space="preserve">א להוציא בראיה זו מחזקת </w:t>
      </w:r>
      <w:r w:rsidRPr="002536B2">
        <w:rPr>
          <w:rFonts w:hint="cs"/>
          <w:rtl/>
        </w:rPr>
        <w:t>המרא קמא</w:t>
      </w:r>
      <w:r w:rsidRPr="002536B2">
        <w:rPr>
          <w:rtl/>
        </w:rPr>
        <w:t xml:space="preserve">, ורק לאחר ג' אכילות שיצאה הקרקע מחזקת </w:t>
      </w:r>
      <w:r w:rsidRPr="002536B2">
        <w:rPr>
          <w:rFonts w:hint="cs"/>
          <w:rtl/>
        </w:rPr>
        <w:t>המרא קמא</w:t>
      </w:r>
      <w:r w:rsidRPr="002536B2">
        <w:rPr>
          <w:rtl/>
        </w:rPr>
        <w:t xml:space="preserve">, והיא עומדת בחזקת המחזיק, מהני הראיה להעמידה בחזקתו, דאינה ראיה שמוציאה ממון </w:t>
      </w:r>
      <w:r w:rsidRPr="002536B2">
        <w:rPr>
          <w:rFonts w:hint="cs"/>
          <w:rtl/>
        </w:rPr>
        <w:t>מהמרא קמא</w:t>
      </w:r>
      <w:r>
        <w:rPr>
          <w:rFonts w:hint="cs"/>
          <w:rtl/>
        </w:rPr>
        <w:t xml:space="preserve">, וע"ע במה שהקשה </w:t>
      </w:r>
      <w:r w:rsidRPr="001D1883">
        <w:rPr>
          <w:rStyle w:val="af9"/>
          <w:rFonts w:hint="cs"/>
          <w:rtl/>
        </w:rPr>
        <w:t xml:space="preserve">בחי' רבי נחום </w:t>
      </w:r>
      <w:r w:rsidRPr="001D1883">
        <w:rPr>
          <w:rStyle w:val="af7"/>
          <w:rFonts w:eastAsia="Guttman Hodes" w:hint="cs"/>
          <w:rtl/>
        </w:rPr>
        <w:t>(או' ט"ז ד"ה ואכתי</w:t>
      </w:r>
      <w:r>
        <w:rPr>
          <w:rStyle w:val="af7"/>
          <w:rFonts w:eastAsia="Guttman Hodes" w:hint="cs"/>
          <w:rtl/>
        </w:rPr>
        <w:t xml:space="preserve">, הובא בסימן ד' אות </w:t>
      </w:r>
      <w:r w:rsidR="00BF3837">
        <w:rPr>
          <w:rStyle w:val="af7"/>
          <w:rFonts w:eastAsia="Guttman Hodes" w:hint="cs"/>
          <w:rtl/>
        </w:rPr>
        <w:t>פ"ב</w:t>
      </w:r>
      <w:r>
        <w:rPr>
          <w:rStyle w:val="af7"/>
          <w:rFonts w:eastAsia="Guttman Hodes" w:hint="cs"/>
          <w:rtl/>
        </w:rPr>
        <w:t>)</w:t>
      </w:r>
      <w:r>
        <w:rPr>
          <w:rFonts w:hint="cs"/>
          <w:rtl/>
        </w:rPr>
        <w:t xml:space="preserve"> דדברי </w:t>
      </w:r>
      <w:r w:rsidRPr="00B22A26">
        <w:rPr>
          <w:rStyle w:val="af9"/>
          <w:rFonts w:hint="cs"/>
          <w:rtl/>
        </w:rPr>
        <w:t>רש"י במתני'</w:t>
      </w:r>
      <w:r>
        <w:rPr>
          <w:rFonts w:hint="cs"/>
          <w:rtl/>
        </w:rPr>
        <w:t xml:space="preserve"> סותרים למ"ש </w:t>
      </w:r>
      <w:r w:rsidRPr="001D1883">
        <w:rPr>
          <w:rStyle w:val="af9"/>
          <w:rFonts w:hint="cs"/>
          <w:rtl/>
        </w:rPr>
        <w:t>רש"י</w:t>
      </w:r>
      <w:r w:rsidRPr="001D1883">
        <w:rPr>
          <w:rFonts w:hint="cs"/>
          <w:rtl/>
        </w:rPr>
        <w:t xml:space="preserve"> </w:t>
      </w:r>
      <w:r w:rsidRPr="001D1883">
        <w:rPr>
          <w:rStyle w:val="af7"/>
          <w:rFonts w:eastAsia="Guttman Hodes" w:hint="cs"/>
          <w:rtl/>
        </w:rPr>
        <w:t>(</w:t>
      </w:r>
      <w:r>
        <w:rPr>
          <w:rStyle w:val="af7"/>
          <w:rFonts w:eastAsia="Guttman Hodes" w:hint="cs"/>
          <w:rtl/>
        </w:rPr>
        <w:t xml:space="preserve">כח: </w:t>
      </w:r>
      <w:r w:rsidRPr="001D1883">
        <w:rPr>
          <w:rStyle w:val="af7"/>
          <w:rFonts w:eastAsia="Guttman Hodes" w:hint="cs"/>
          <w:rtl/>
        </w:rPr>
        <w:t>ד"ה דומיא</w:t>
      </w:r>
      <w:r>
        <w:rPr>
          <w:rStyle w:val="af7"/>
          <w:rFonts w:eastAsia="Guttman Hodes" w:hint="cs"/>
          <w:rtl/>
        </w:rPr>
        <w:t>, הובא בסימן ד' אות ג')</w:t>
      </w:r>
      <w:r>
        <w:rPr>
          <w:rFonts w:hint="cs"/>
          <w:rtl/>
        </w:rPr>
        <w:t xml:space="preserve"> בטעם החזקה, ועי' במה שביאר </w:t>
      </w:r>
      <w:r w:rsidRPr="001D1883">
        <w:rPr>
          <w:rFonts w:hint="cs"/>
          <w:rtl/>
        </w:rPr>
        <w:t xml:space="preserve">ביאר </w:t>
      </w:r>
      <w:r w:rsidRPr="008E23EB">
        <w:rPr>
          <w:rStyle w:val="af9"/>
          <w:rFonts w:hint="cs"/>
          <w:rtl/>
        </w:rPr>
        <w:t xml:space="preserve">בחי' רבי נחום </w:t>
      </w:r>
      <w:r w:rsidRPr="001D1883">
        <w:rPr>
          <w:rStyle w:val="af7"/>
          <w:rFonts w:eastAsia="Guttman Hodes" w:hint="cs"/>
          <w:rtl/>
        </w:rPr>
        <w:t>(או' ט"ז ד"ה ו</w:t>
      </w:r>
      <w:r>
        <w:rPr>
          <w:rStyle w:val="af7"/>
          <w:rFonts w:eastAsia="Guttman Hodes" w:hint="cs"/>
          <w:rtl/>
        </w:rPr>
        <w:t>צ"ל, הובא בסימן ד' אות פ"</w:t>
      </w:r>
      <w:r w:rsidR="00BF3837">
        <w:rPr>
          <w:rStyle w:val="af7"/>
          <w:rFonts w:eastAsia="Guttman Hodes" w:hint="cs"/>
          <w:rtl/>
        </w:rPr>
        <w:t>ד</w:t>
      </w:r>
      <w:r>
        <w:rPr>
          <w:rStyle w:val="af7"/>
          <w:rFonts w:eastAsia="Guttman Hodes" w:hint="cs"/>
          <w:rtl/>
        </w:rPr>
        <w:t>)</w:t>
      </w:r>
      <w:r w:rsidRPr="001D1883">
        <w:rPr>
          <w:rFonts w:hint="cs"/>
          <w:rtl/>
        </w:rPr>
        <w:t xml:space="preserve"> </w:t>
      </w:r>
      <w:r>
        <w:rPr>
          <w:rFonts w:hint="cs"/>
          <w:rtl/>
        </w:rPr>
        <w:t>בדברי</w:t>
      </w:r>
      <w:r w:rsidRPr="001D1883">
        <w:rPr>
          <w:rFonts w:hint="cs"/>
          <w:rtl/>
        </w:rPr>
        <w:t xml:space="preserve"> </w:t>
      </w:r>
      <w:r w:rsidRPr="008E23EB">
        <w:rPr>
          <w:rStyle w:val="af9"/>
          <w:rFonts w:hint="cs"/>
          <w:rtl/>
        </w:rPr>
        <w:t>רש"י במתני'</w:t>
      </w:r>
      <w:r w:rsidRPr="002536B2">
        <w:rPr>
          <w:rtl/>
        </w:rPr>
        <w:t>.</w:t>
      </w:r>
    </w:p>
    <w:p w:rsidR="00900B10" w:rsidRPr="006C2BDA" w:rsidRDefault="00900B10" w:rsidP="00900B10">
      <w:pPr>
        <w:pStyle w:val="a3"/>
        <w:rPr>
          <w:rtl/>
        </w:rPr>
      </w:pPr>
    </w:p>
    <w:p w:rsidR="00900B10" w:rsidRDefault="00900B10" w:rsidP="00900B10">
      <w:pPr>
        <w:pStyle w:val="1"/>
        <w:rPr>
          <w:rtl/>
        </w:rPr>
      </w:pPr>
      <w:bookmarkStart w:id="2714" w:name="_Toc54887758"/>
      <w:bookmarkStart w:id="2715" w:name="_Toc54891211"/>
      <w:bookmarkStart w:id="2716" w:name="_Toc54903506"/>
      <w:bookmarkStart w:id="2717" w:name="_Toc54948515"/>
      <w:bookmarkStart w:id="2718" w:name="_Toc54952122"/>
      <w:bookmarkStart w:id="2719" w:name="_Toc55073019"/>
      <w:bookmarkStart w:id="2720" w:name="_Toc55073216"/>
      <w:bookmarkStart w:id="2721" w:name="_Toc55073627"/>
      <w:bookmarkStart w:id="2722" w:name="_Toc55074175"/>
      <w:r>
        <w:rPr>
          <w:rFonts w:hint="cs"/>
          <w:rtl/>
        </w:rPr>
        <w:lastRenderedPageBreak/>
        <w:t>ביאור הגרנ"פ</w:t>
      </w:r>
      <w:bookmarkEnd w:id="2714"/>
      <w:bookmarkEnd w:id="2715"/>
      <w:bookmarkEnd w:id="2716"/>
      <w:bookmarkEnd w:id="2717"/>
      <w:r>
        <w:rPr>
          <w:rFonts w:hint="cs"/>
          <w:rtl/>
        </w:rPr>
        <w:t xml:space="preserve"> דלהו"א ילפינן דיצאה מהמר"ק וא"צ טענה</w:t>
      </w:r>
      <w:bookmarkEnd w:id="2718"/>
      <w:bookmarkEnd w:id="2719"/>
      <w:bookmarkEnd w:id="2720"/>
      <w:bookmarkEnd w:id="2721"/>
      <w:bookmarkEnd w:id="2722"/>
    </w:p>
    <w:p w:rsidR="00900B10" w:rsidRDefault="00900B10" w:rsidP="00900B10">
      <w:pPr>
        <w:pStyle w:val="a3"/>
        <w:rPr>
          <w:rtl/>
        </w:rPr>
      </w:pPr>
      <w:bookmarkStart w:id="2723" w:name="_Toc54952123"/>
      <w:bookmarkStart w:id="2724" w:name="_Toc55073020"/>
      <w:bookmarkStart w:id="2725" w:name="_Toc55073217"/>
      <w:bookmarkStart w:id="2726" w:name="_Toc55073628"/>
      <w:bookmarkStart w:id="2727" w:name="_Toc55074176"/>
      <w:r>
        <w:rPr>
          <w:rFonts w:hint="cs"/>
          <w:rtl/>
        </w:rPr>
        <w:t>קושית הגרנ"פ דמה השייכות בין הילפותא משור המועד להא דחזקה</w:t>
      </w:r>
      <w:r w:rsidR="00A77F33">
        <w:rPr>
          <w:rFonts w:hint="cs"/>
          <w:rtl/>
        </w:rPr>
        <w:t xml:space="preserve"> </w:t>
      </w:r>
      <w:r>
        <w:rPr>
          <w:rFonts w:hint="cs"/>
          <w:rtl/>
        </w:rPr>
        <w:t>לא תצטרך טענה</w:t>
      </w:r>
      <w:bookmarkEnd w:id="2723"/>
      <w:bookmarkEnd w:id="2724"/>
      <w:bookmarkEnd w:id="2725"/>
      <w:bookmarkEnd w:id="2726"/>
      <w:bookmarkEnd w:id="2727"/>
    </w:p>
    <w:p w:rsidR="00900B10" w:rsidRDefault="00900B10" w:rsidP="007E4E81">
      <w:pPr>
        <w:pStyle w:val="a0"/>
        <w:rPr>
          <w:rtl/>
        </w:rPr>
      </w:pPr>
      <w:bookmarkStart w:id="2728" w:name="_Ref54951287"/>
      <w:r>
        <w:rPr>
          <w:rFonts w:hint="cs"/>
          <w:rtl/>
        </w:rPr>
        <w:t xml:space="preserve">כתב </w:t>
      </w:r>
      <w:r w:rsidRPr="00834955">
        <w:rPr>
          <w:rStyle w:val="af9"/>
          <w:rFonts w:hint="cs"/>
          <w:rtl/>
        </w:rPr>
        <w:t xml:space="preserve">בחי' רבי נחום </w:t>
      </w:r>
      <w:r w:rsidRPr="00834955">
        <w:rPr>
          <w:rStyle w:val="af7"/>
          <w:rFonts w:eastAsia="Guttman Hodes" w:hint="cs"/>
          <w:rtl/>
        </w:rPr>
        <w:t>(או' י"ב)</w:t>
      </w:r>
      <w:r>
        <w:rPr>
          <w:rFonts w:hint="cs"/>
          <w:rtl/>
        </w:rPr>
        <w:t xml:space="preserve"> דבקושית הגמ' דתועיל חזקה בלא טענה, משמע דהקושיה היא רק להולכי אושא דילפי חזקה משור המועד, אבל לרבנן לא קשה, וכן מפורש </w:t>
      </w:r>
      <w:r w:rsidRPr="00834955">
        <w:rPr>
          <w:rStyle w:val="af9"/>
          <w:rFonts w:hint="cs"/>
          <w:rtl/>
        </w:rPr>
        <w:t xml:space="preserve">בתוס' לקמן </w:t>
      </w:r>
      <w:r w:rsidRPr="00834955">
        <w:rPr>
          <w:rStyle w:val="af7"/>
          <w:rFonts w:eastAsia="Guttman Hodes" w:hint="cs"/>
          <w:rtl/>
        </w:rPr>
        <w:t>(מא. ד"ה שלא אמר וכו' פשיטא)</w:t>
      </w:r>
      <w:r>
        <w:rPr>
          <w:rFonts w:hint="cs"/>
          <w:rtl/>
        </w:rPr>
        <w:t xml:space="preserve">, ותמה </w:t>
      </w:r>
      <w:r w:rsidRPr="00834955">
        <w:rPr>
          <w:rStyle w:val="af9"/>
          <w:rFonts w:hint="cs"/>
          <w:rtl/>
        </w:rPr>
        <w:t xml:space="preserve">בחי' רבי נחום </w:t>
      </w:r>
      <w:r>
        <w:rPr>
          <w:rFonts w:hint="cs"/>
          <w:rtl/>
        </w:rPr>
        <w:t>מה הביאור בזה דמחמת הילפותא הו"א דא"צ טענה.</w:t>
      </w:r>
      <w:bookmarkEnd w:id="2728"/>
    </w:p>
    <w:p w:rsidR="00900B10" w:rsidRPr="00345C06" w:rsidRDefault="00900B10" w:rsidP="00900B10">
      <w:pPr>
        <w:pStyle w:val="a3"/>
        <w:rPr>
          <w:rtl/>
        </w:rPr>
      </w:pPr>
      <w:bookmarkStart w:id="2729" w:name="_Toc54952124"/>
      <w:bookmarkStart w:id="2730" w:name="_Toc55073021"/>
      <w:bookmarkStart w:id="2731" w:name="_Toc55073218"/>
      <w:bookmarkStart w:id="2732" w:name="_Toc55073629"/>
      <w:bookmarkStart w:id="2733" w:name="_Toc55074177"/>
      <w:r>
        <w:rPr>
          <w:rFonts w:hint="cs"/>
          <w:rtl/>
        </w:rPr>
        <w:t>ביאור הגרנ"פ ברש"י דחזקה צריכה טענה להוציא מהמר"ק וכשאין מר"ק והוא מוחזק א"צ טענה</w:t>
      </w:r>
      <w:bookmarkEnd w:id="2729"/>
      <w:bookmarkEnd w:id="2730"/>
      <w:bookmarkEnd w:id="2731"/>
      <w:bookmarkEnd w:id="2732"/>
      <w:bookmarkEnd w:id="2733"/>
    </w:p>
    <w:p w:rsidR="00900B10" w:rsidRDefault="00900B10" w:rsidP="007E4E81">
      <w:pPr>
        <w:pStyle w:val="a0"/>
        <w:rPr>
          <w:rtl/>
        </w:rPr>
      </w:pPr>
      <w:bookmarkStart w:id="2734" w:name="_Ref54867578"/>
      <w:r>
        <w:rPr>
          <w:rFonts w:hint="cs"/>
          <w:rtl/>
        </w:rPr>
        <w:t xml:space="preserve">והביא </w:t>
      </w:r>
      <w:r w:rsidRPr="00834955">
        <w:rPr>
          <w:rStyle w:val="af9"/>
          <w:rFonts w:hint="cs"/>
          <w:rtl/>
        </w:rPr>
        <w:t>בחי' רבי נחום</w:t>
      </w:r>
      <w:r>
        <w:rPr>
          <w:rFonts w:hint="cs"/>
          <w:rtl/>
        </w:rPr>
        <w:t xml:space="preserve"> את דברי </w:t>
      </w:r>
      <w:r w:rsidRPr="00834955">
        <w:rPr>
          <w:rStyle w:val="af9"/>
          <w:rFonts w:hint="cs"/>
          <w:rtl/>
        </w:rPr>
        <w:t>רש"י</w:t>
      </w:r>
      <w:r>
        <w:rPr>
          <w:rFonts w:hint="cs"/>
          <w:rtl/>
        </w:rPr>
        <w:t xml:space="preserve"> </w:t>
      </w:r>
      <w:r w:rsidRPr="0070664A">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Ref54898134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Pr>
          <w:rStyle w:val="af7"/>
          <w:rFonts w:eastAsia="Guttman Hodes"/>
          <w:rtl/>
        </w:rPr>
        <w:fldChar w:fldCharType="end"/>
      </w:r>
      <w:r>
        <w:rPr>
          <w:rStyle w:val="af7"/>
          <w:rFonts w:eastAsia="Guttman Hodes" w:hint="cs"/>
          <w:rtl/>
        </w:rPr>
        <w:t xml:space="preserve"> </w:t>
      </w:r>
      <w:r>
        <w:rPr>
          <w:rFonts w:hint="cs"/>
          <w:rtl/>
        </w:rPr>
        <w:t>דכתב דכיון דאמרינן דג"ש מוציאים מרשות המוכר,</w:t>
      </w:r>
      <w:r w:rsidRPr="00D53F2A">
        <w:rPr>
          <w:rFonts w:hint="cs"/>
          <w:rtl/>
        </w:rPr>
        <w:t xml:space="preserve"> </w:t>
      </w:r>
      <w:r>
        <w:rPr>
          <w:rFonts w:hint="cs"/>
          <w:rtl/>
        </w:rPr>
        <w:t xml:space="preserve">א"כ אף שאין טענה עם החזקה, תצא הקרקע מרשות המוכר, וביאר </w:t>
      </w:r>
      <w:r w:rsidRPr="00834955">
        <w:rPr>
          <w:rStyle w:val="af9"/>
          <w:rFonts w:hint="cs"/>
          <w:rtl/>
        </w:rPr>
        <w:t>בחי' רבי נחום</w:t>
      </w:r>
      <w:r>
        <w:rPr>
          <w:rFonts w:hint="cs"/>
          <w:rtl/>
        </w:rPr>
        <w:t xml:space="preserve"> דכוונת </w:t>
      </w:r>
      <w:r w:rsidRPr="00834955">
        <w:rPr>
          <w:rStyle w:val="af9"/>
          <w:rFonts w:hint="cs"/>
          <w:rtl/>
        </w:rPr>
        <w:t>רש"י</w:t>
      </w:r>
      <w:r>
        <w:rPr>
          <w:rFonts w:hint="cs"/>
          <w:rtl/>
        </w:rPr>
        <w:t xml:space="preserve"> לומר דהא דצריך חזקה עם טענה, היינו רק במקום שיש מרא קמא, דהחזקת ג"ש באה להוציא מהמרא קמא, וא"א להוציא ממנו בלא טענה, אבל כשאין מרא קמא והמחזיק הוא המוחזק בקרקע, אף בטוען שלא אמר לי אדם דבר מעולם, א"א להוציאו מהקרקע דהוא מוחזק בה בלא ראיה.</w:t>
      </w:r>
      <w:bookmarkEnd w:id="2734"/>
    </w:p>
    <w:p w:rsidR="00900B10" w:rsidRDefault="00900B10" w:rsidP="00900B10">
      <w:pPr>
        <w:pStyle w:val="a3"/>
        <w:rPr>
          <w:rtl/>
        </w:rPr>
      </w:pPr>
      <w:bookmarkStart w:id="2735" w:name="_Toc54952125"/>
      <w:bookmarkStart w:id="2736" w:name="_Toc55073022"/>
      <w:bookmarkStart w:id="2737" w:name="_Toc55073219"/>
      <w:bookmarkStart w:id="2738" w:name="_Toc55073630"/>
      <w:bookmarkStart w:id="2739" w:name="_Toc55074178"/>
      <w:r>
        <w:rPr>
          <w:rFonts w:hint="cs"/>
          <w:rtl/>
        </w:rPr>
        <w:t>ביאור הגרנ"פ ברש"י דלהולכי אושא יצאה מרשות המוכר וכיון שאין מר"ק הו"א דא"צ טענה</w:t>
      </w:r>
      <w:bookmarkEnd w:id="2735"/>
      <w:bookmarkEnd w:id="2736"/>
      <w:bookmarkEnd w:id="2737"/>
      <w:bookmarkEnd w:id="2738"/>
      <w:bookmarkEnd w:id="2739"/>
    </w:p>
    <w:p w:rsidR="00900B10" w:rsidRDefault="00900B10" w:rsidP="007E4E81">
      <w:pPr>
        <w:pStyle w:val="a0"/>
        <w:rPr>
          <w:rtl/>
        </w:rPr>
      </w:pPr>
      <w:bookmarkStart w:id="2740" w:name="_Ref54860769"/>
      <w:r>
        <w:rPr>
          <w:rFonts w:hint="cs"/>
          <w:rtl/>
        </w:rPr>
        <w:t xml:space="preserve">וכתב </w:t>
      </w:r>
      <w:r w:rsidRPr="00834955">
        <w:rPr>
          <w:rStyle w:val="af9"/>
          <w:rFonts w:hint="cs"/>
          <w:rtl/>
        </w:rPr>
        <w:t>בחי' רבי נחום</w:t>
      </w:r>
      <w:r>
        <w:rPr>
          <w:rFonts w:hint="cs"/>
          <w:rtl/>
        </w:rPr>
        <w:t xml:space="preserve"> להולכי אושא דילפינן חזקה משור המועד, גדר הילפותא</w:t>
      </w:r>
      <w:r w:rsidRPr="00BE2240">
        <w:rPr>
          <w:rFonts w:hint="cs"/>
          <w:rtl/>
        </w:rPr>
        <w:t xml:space="preserve"> </w:t>
      </w:r>
      <w:r>
        <w:rPr>
          <w:rFonts w:hint="cs"/>
          <w:rtl/>
        </w:rPr>
        <w:t xml:space="preserve">הוא דבג' אכילות יצאה הקרקע מרשות המוכר, וכיון שאינה בחזקתו ממילא אין כאן מרא קמא כלל, וכתב </w:t>
      </w:r>
      <w:r w:rsidRPr="00834955">
        <w:rPr>
          <w:rStyle w:val="af9"/>
          <w:rFonts w:hint="cs"/>
          <w:rtl/>
        </w:rPr>
        <w:t>בחי' רבי נחום</w:t>
      </w:r>
      <w:r>
        <w:rPr>
          <w:rFonts w:hint="cs"/>
          <w:rtl/>
        </w:rPr>
        <w:t xml:space="preserve"> דזה מה שבא </w:t>
      </w:r>
      <w:r w:rsidRPr="00834955">
        <w:rPr>
          <w:rStyle w:val="af9"/>
          <w:rFonts w:hint="cs"/>
          <w:rtl/>
        </w:rPr>
        <w:t>רש"י</w:t>
      </w:r>
      <w:r w:rsidRPr="001E3083">
        <w:rPr>
          <w:rStyle w:val="af7"/>
          <w:rFonts w:eastAsia="Guttman Hodes" w:hint="cs"/>
          <w:rtl/>
        </w:rPr>
        <w:t xml:space="preserve"> (עי' אות </w:t>
      </w:r>
      <w:r w:rsidRPr="001E3083">
        <w:rPr>
          <w:rStyle w:val="af7"/>
          <w:rFonts w:eastAsia="Guttman Hodes"/>
          <w:rtl/>
        </w:rPr>
        <w:fldChar w:fldCharType="begin"/>
      </w:r>
      <w:r w:rsidRPr="001E3083">
        <w:rPr>
          <w:rStyle w:val="af7"/>
          <w:rFonts w:eastAsia="Guttman Hodes"/>
          <w:rtl/>
        </w:rPr>
        <w:instrText xml:space="preserve"> </w:instrText>
      </w:r>
      <w:r w:rsidRPr="001E3083">
        <w:rPr>
          <w:rStyle w:val="af7"/>
          <w:rFonts w:eastAsia="Guttman Hodes" w:hint="cs"/>
        </w:rPr>
        <w:instrText>REF</w:instrText>
      </w:r>
      <w:r w:rsidRPr="001E3083">
        <w:rPr>
          <w:rStyle w:val="af7"/>
          <w:rFonts w:eastAsia="Guttman Hodes" w:hint="cs"/>
          <w:rtl/>
        </w:rPr>
        <w:instrText xml:space="preserve"> _</w:instrText>
      </w:r>
      <w:r w:rsidRPr="001E3083">
        <w:rPr>
          <w:rStyle w:val="af7"/>
          <w:rFonts w:eastAsia="Guttman Hodes" w:hint="cs"/>
        </w:rPr>
        <w:instrText>Ref54898134 \r \h</w:instrText>
      </w:r>
      <w:r w:rsidRPr="001E3083">
        <w:rPr>
          <w:rStyle w:val="af7"/>
          <w:rFonts w:eastAsia="Guttman Hodes"/>
          <w:rtl/>
        </w:rPr>
        <w:instrText xml:space="preserve"> </w:instrText>
      </w:r>
      <w:r w:rsidRPr="001E3083">
        <w:rPr>
          <w:rStyle w:val="af7"/>
          <w:rFonts w:eastAsia="Guttman Hodes"/>
          <w:rtl/>
        </w:rPr>
      </w:r>
      <w:r w:rsidRPr="001E3083">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1E3083">
        <w:rPr>
          <w:rStyle w:val="af7"/>
          <w:rFonts w:eastAsia="Guttman Hodes"/>
          <w:rtl/>
        </w:rPr>
        <w:fldChar w:fldCharType="end"/>
      </w:r>
      <w:r w:rsidRPr="001E3083">
        <w:rPr>
          <w:rStyle w:val="af7"/>
          <w:rFonts w:eastAsia="Guttman Hodes" w:hint="cs"/>
          <w:rtl/>
        </w:rPr>
        <w:t xml:space="preserve"> </w:t>
      </w:r>
      <w:r>
        <w:rPr>
          <w:rFonts w:hint="cs"/>
          <w:rtl/>
        </w:rPr>
        <w:t xml:space="preserve">לבאר במ"ש דהחזקה מוציאה מרשות המוכר, דהנדון בדקושית הגמ' דתועיל חזקה בלי טענה, הוא על חזקת המוכר ולא על חזקת המחזיק, והיינו דכיון דלהולכי אושא גדר החזקה שבטלה חזקת מרא קמא, לכן מקשה הגמ' דצריכה החזקה להועיל אף בלא טענה, וכתב </w:t>
      </w:r>
      <w:r w:rsidRPr="001E3083">
        <w:rPr>
          <w:rStyle w:val="af9"/>
          <w:rFonts w:hint="cs"/>
          <w:rtl/>
        </w:rPr>
        <w:t>בשיעורי רבי נחום</w:t>
      </w:r>
      <w:r>
        <w:rPr>
          <w:rFonts w:hint="cs"/>
          <w:rtl/>
        </w:rPr>
        <w:t xml:space="preserve"> דא"כ מבואר דכל קושית הגמ' היא רק להולכי אושא ולא לרבנן, </w:t>
      </w:r>
      <w:r w:rsidRPr="00C029EB">
        <w:rPr>
          <w:rStyle w:val="afb"/>
          <w:rFonts w:hint="cs"/>
          <w:rtl/>
        </w:rPr>
        <w:t xml:space="preserve">[כדכתבו </w:t>
      </w:r>
      <w:r w:rsidRPr="0036055E">
        <w:rPr>
          <w:rStyle w:val="affa"/>
          <w:rFonts w:hint="cs"/>
          <w:rtl/>
        </w:rPr>
        <w:t>התוס' לקמן</w:t>
      </w:r>
      <w:r w:rsidRPr="0036055E">
        <w:rPr>
          <w:rStyle w:val="afb"/>
          <w:rFonts w:hint="cs"/>
          <w:rtl/>
        </w:rPr>
        <w:t xml:space="preserve"> </w:t>
      </w:r>
      <w:r w:rsidRPr="001E3083">
        <w:rPr>
          <w:rStyle w:val="aff6"/>
          <w:rFonts w:hint="cs"/>
          <w:rtl/>
        </w:rPr>
        <w:t xml:space="preserve">(עי' אות </w:t>
      </w:r>
      <w:r w:rsidRPr="001E3083">
        <w:rPr>
          <w:rStyle w:val="aff6"/>
          <w:rtl/>
        </w:rPr>
        <w:fldChar w:fldCharType="begin"/>
      </w:r>
      <w:r w:rsidRPr="001E3083">
        <w:rPr>
          <w:rStyle w:val="aff6"/>
          <w:rtl/>
        </w:rPr>
        <w:instrText xml:space="preserve"> </w:instrText>
      </w:r>
      <w:r w:rsidRPr="001E3083">
        <w:rPr>
          <w:rStyle w:val="aff6"/>
          <w:rFonts w:hint="cs"/>
        </w:rPr>
        <w:instrText>REF</w:instrText>
      </w:r>
      <w:r w:rsidRPr="001E3083">
        <w:rPr>
          <w:rStyle w:val="aff6"/>
          <w:rFonts w:hint="cs"/>
          <w:rtl/>
        </w:rPr>
        <w:instrText xml:space="preserve"> _</w:instrText>
      </w:r>
      <w:r w:rsidRPr="001E3083">
        <w:rPr>
          <w:rStyle w:val="aff6"/>
          <w:rFonts w:hint="cs"/>
        </w:rPr>
        <w:instrText>Ref54951287 \r \h</w:instrText>
      </w:r>
      <w:r w:rsidRPr="001E3083">
        <w:rPr>
          <w:rStyle w:val="aff6"/>
          <w:rtl/>
        </w:rPr>
        <w:instrText xml:space="preserve"> </w:instrText>
      </w:r>
      <w:r w:rsidRPr="001E3083">
        <w:rPr>
          <w:rStyle w:val="aff6"/>
          <w:rtl/>
        </w:rPr>
      </w:r>
      <w:r w:rsidRPr="001E3083">
        <w:rPr>
          <w:rStyle w:val="aff6"/>
          <w:rtl/>
        </w:rPr>
        <w:fldChar w:fldCharType="separate"/>
      </w:r>
      <w:r w:rsidR="00265073">
        <w:rPr>
          <w:rStyle w:val="aff6"/>
          <w:cs/>
        </w:rPr>
        <w:t>‎</w:t>
      </w:r>
      <w:r w:rsidR="00265073">
        <w:rPr>
          <w:rStyle w:val="aff6"/>
          <w:rtl/>
        </w:rPr>
        <w:t>פה)</w:t>
      </w:r>
      <w:r w:rsidRPr="001E3083">
        <w:rPr>
          <w:rStyle w:val="aff6"/>
          <w:rtl/>
        </w:rPr>
        <w:fldChar w:fldCharType="end"/>
      </w:r>
      <w:r w:rsidRPr="00C029EB">
        <w:rPr>
          <w:rStyle w:val="afb"/>
          <w:rFonts w:hint="cs"/>
          <w:rtl/>
        </w:rPr>
        <w:t>],</w:t>
      </w:r>
      <w:r>
        <w:rPr>
          <w:rFonts w:hint="cs"/>
          <w:rtl/>
        </w:rPr>
        <w:t xml:space="preserve"> דלרבנן לא מצינו דהחזקה מוציאה מהמרא קמא, וא"כ אין כל סברא לומר דתועיל החזקה בלא טענה.</w:t>
      </w:r>
      <w:bookmarkEnd w:id="2740"/>
    </w:p>
    <w:p w:rsidR="00900B10" w:rsidRPr="002219ED" w:rsidRDefault="00900B10" w:rsidP="00900B10">
      <w:pPr>
        <w:pStyle w:val="1"/>
      </w:pPr>
      <w:bookmarkStart w:id="2741" w:name="_Toc54952126"/>
      <w:bookmarkStart w:id="2742" w:name="_Toc55073023"/>
      <w:bookmarkStart w:id="2743" w:name="_Toc55073220"/>
      <w:bookmarkStart w:id="2744" w:name="_Toc55073631"/>
      <w:bookmarkStart w:id="2745" w:name="_Toc55074179"/>
      <w:r>
        <w:rPr>
          <w:rFonts w:hint="cs"/>
          <w:rtl/>
        </w:rPr>
        <w:t>ביאור הגרנ"פ דלמסקנא בלא טענה אין חזקה ונשאר מר"ק</w:t>
      </w:r>
      <w:bookmarkEnd w:id="2741"/>
      <w:bookmarkEnd w:id="2742"/>
      <w:bookmarkEnd w:id="2743"/>
      <w:bookmarkEnd w:id="2744"/>
      <w:bookmarkEnd w:id="2745"/>
    </w:p>
    <w:p w:rsidR="00900B10" w:rsidRDefault="00900B10" w:rsidP="00900B10">
      <w:pPr>
        <w:pStyle w:val="a3"/>
      </w:pPr>
      <w:bookmarkStart w:id="2746" w:name="_Toc54952127"/>
      <w:bookmarkStart w:id="2747" w:name="_Toc55073024"/>
      <w:bookmarkStart w:id="2748" w:name="_Toc55073221"/>
      <w:bookmarkStart w:id="2749" w:name="_Toc55073632"/>
      <w:bookmarkStart w:id="2750" w:name="_Toc55074180"/>
      <w:r>
        <w:rPr>
          <w:rFonts w:hint="cs"/>
          <w:rtl/>
        </w:rPr>
        <w:t>ביאור הגרנ"פ דאף למסקנא כשאין מר"ק א"צ טענה אלא דבלא טענה אין ראיה ואין חזקה כלל</w:t>
      </w:r>
      <w:bookmarkEnd w:id="2746"/>
      <w:bookmarkEnd w:id="2747"/>
      <w:bookmarkEnd w:id="2748"/>
      <w:bookmarkEnd w:id="2749"/>
      <w:bookmarkEnd w:id="2750"/>
    </w:p>
    <w:p w:rsidR="00900B10" w:rsidRDefault="00900B10" w:rsidP="007E4E81">
      <w:pPr>
        <w:pStyle w:val="a0"/>
        <w:rPr>
          <w:rtl/>
        </w:rPr>
      </w:pPr>
      <w:bookmarkStart w:id="2751" w:name="_Ref54887527"/>
      <w:r>
        <w:rPr>
          <w:rFonts w:hint="cs"/>
          <w:rtl/>
        </w:rPr>
        <w:t xml:space="preserve">והוסיף </w:t>
      </w:r>
      <w:r w:rsidRPr="0036055E">
        <w:rPr>
          <w:rStyle w:val="af9"/>
          <w:rFonts w:hint="cs"/>
          <w:rtl/>
        </w:rPr>
        <w:t>בחי' רבי נחום</w:t>
      </w:r>
      <w:r>
        <w:rPr>
          <w:rFonts w:hint="cs"/>
          <w:rtl/>
        </w:rPr>
        <w:t xml:space="preserve"> דאף לתירוץ הגמ' דלעולם צריך טענה, לא חזרה בה הגמ' מהסברא דבמקום שאין חזקת מרא קמא, סגי בחזקה בלא טענה, אלא דתירצה הגמ' דהא דמהני הכא החזקה, הוא רק כשיש טענה, וכל שאין טענה לא מהני החזקה כלל, דכל החזקת ג"ש באה להביא ראיה לטענתו שהוא אומר שקנה מהמרא קמא, אבל בחזקה בלא טענה אין חזקה כלל וממילא לא בטלה חזקת המרא קמא, אבל אם היה שייך שתתבטל חזקת המרא קמא מטעם אחר, א"כ אף לתירוץ הגמ' היה מהני חזקה בלא טענה, וע"ע במ"ש </w:t>
      </w:r>
      <w:r w:rsidRPr="002D48CF">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Ref55070395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Pr>
          <w:rStyle w:val="af7"/>
          <w:rFonts w:eastAsia="Guttman Hodes"/>
          <w:rtl/>
        </w:rPr>
        <w:fldChar w:fldCharType="end"/>
      </w:r>
      <w:r>
        <w:rPr>
          <w:rStyle w:val="af7"/>
          <w:rFonts w:eastAsia="Guttman Hodes" w:hint="cs"/>
          <w:rtl/>
        </w:rPr>
        <w:t xml:space="preserve"> </w:t>
      </w:r>
      <w:r w:rsidRPr="002D48CF">
        <w:rPr>
          <w:rFonts w:hint="cs"/>
          <w:rtl/>
        </w:rPr>
        <w:t xml:space="preserve">בדעת </w:t>
      </w:r>
      <w:r w:rsidRPr="002D48CF">
        <w:rPr>
          <w:rStyle w:val="af9"/>
          <w:rFonts w:hint="cs"/>
          <w:rtl/>
        </w:rPr>
        <w:t>רבינו יונה</w:t>
      </w:r>
      <w:r w:rsidRPr="002D48CF">
        <w:rPr>
          <w:rFonts w:hint="cs"/>
          <w:rtl/>
        </w:rPr>
        <w:t xml:space="preserve"> בזה.</w:t>
      </w:r>
      <w:bookmarkEnd w:id="2751"/>
    </w:p>
    <w:p w:rsidR="00900B10" w:rsidRDefault="00900B10" w:rsidP="00900B10">
      <w:pPr>
        <w:pStyle w:val="afe"/>
        <w:rPr>
          <w:rtl/>
        </w:rPr>
      </w:pPr>
      <w:bookmarkStart w:id="2752" w:name="_Toc54887759"/>
      <w:bookmarkStart w:id="2753" w:name="_Toc54891212"/>
      <w:bookmarkStart w:id="2754" w:name="_Toc54903507"/>
      <w:bookmarkStart w:id="2755" w:name="_Toc54948516"/>
      <w:bookmarkStart w:id="2756" w:name="_Toc54952128"/>
      <w:bookmarkStart w:id="2757" w:name="_Toc55073025"/>
      <w:bookmarkStart w:id="2758" w:name="_Toc55073222"/>
      <w:bookmarkStart w:id="2759" w:name="_Toc55073633"/>
      <w:bookmarkStart w:id="2760" w:name="_Toc55074181"/>
      <w:r>
        <w:rPr>
          <w:rFonts w:hint="cs"/>
          <w:rtl/>
        </w:rPr>
        <w:t>בדין מחילה בקרקע כששתק המערער</w:t>
      </w:r>
      <w:bookmarkEnd w:id="2752"/>
      <w:bookmarkEnd w:id="2753"/>
      <w:bookmarkEnd w:id="2754"/>
      <w:bookmarkEnd w:id="2755"/>
      <w:bookmarkEnd w:id="2756"/>
      <w:bookmarkEnd w:id="2757"/>
      <w:bookmarkEnd w:id="2758"/>
      <w:bookmarkEnd w:id="2759"/>
      <w:bookmarkEnd w:id="2760"/>
    </w:p>
    <w:p w:rsidR="00900B10" w:rsidRDefault="00900B10" w:rsidP="00900B10">
      <w:pPr>
        <w:pStyle w:val="1"/>
        <w:rPr>
          <w:rtl/>
        </w:rPr>
      </w:pPr>
      <w:bookmarkStart w:id="2761" w:name="_Toc54887760"/>
      <w:bookmarkStart w:id="2762" w:name="_Toc54891213"/>
      <w:bookmarkStart w:id="2763" w:name="_Toc54903508"/>
      <w:bookmarkStart w:id="2764" w:name="_Toc54948517"/>
      <w:bookmarkStart w:id="2765" w:name="_Toc54952129"/>
      <w:bookmarkStart w:id="2766" w:name="_Toc55073026"/>
      <w:bookmarkStart w:id="2767" w:name="_Toc55073223"/>
      <w:bookmarkStart w:id="2768" w:name="_Toc55073634"/>
      <w:bookmarkStart w:id="2769" w:name="_Toc55074182"/>
      <w:r>
        <w:rPr>
          <w:rFonts w:hint="cs"/>
          <w:rtl/>
        </w:rPr>
        <w:t>ביאור הברכ"ש בקושית הרשב"א</w:t>
      </w:r>
      <w:bookmarkEnd w:id="2761"/>
      <w:bookmarkEnd w:id="2762"/>
      <w:bookmarkEnd w:id="2763"/>
      <w:bookmarkEnd w:id="2764"/>
      <w:bookmarkEnd w:id="2765"/>
      <w:r>
        <w:rPr>
          <w:rFonts w:hint="cs"/>
          <w:rtl/>
        </w:rPr>
        <w:t xml:space="preserve"> ממחילה בחזקת תשמישים</w:t>
      </w:r>
      <w:bookmarkEnd w:id="2766"/>
      <w:bookmarkEnd w:id="2767"/>
      <w:bookmarkEnd w:id="2768"/>
      <w:bookmarkEnd w:id="2769"/>
    </w:p>
    <w:p w:rsidR="00900B10" w:rsidRPr="007958C9" w:rsidRDefault="00900B10" w:rsidP="00900B10">
      <w:pPr>
        <w:pStyle w:val="a3"/>
        <w:rPr>
          <w:rtl/>
        </w:rPr>
      </w:pPr>
      <w:bookmarkStart w:id="2770" w:name="_Toc55073027"/>
      <w:bookmarkStart w:id="2771" w:name="_Toc55073224"/>
      <w:bookmarkStart w:id="2772" w:name="_Toc55073635"/>
      <w:bookmarkStart w:id="2773" w:name="_Toc55074183"/>
      <w:r>
        <w:rPr>
          <w:rFonts w:hint="cs"/>
          <w:rtl/>
        </w:rPr>
        <w:t>ביאור הברכ"ש ברשב"א דבתשמישים אינו מוציא קרקע ונעשה מוחזק ע"י מחילה בלא טענה</w:t>
      </w:r>
      <w:bookmarkEnd w:id="2770"/>
      <w:bookmarkEnd w:id="2771"/>
      <w:bookmarkEnd w:id="2772"/>
      <w:bookmarkEnd w:id="2773"/>
    </w:p>
    <w:p w:rsidR="00900B10" w:rsidRDefault="00900B10" w:rsidP="007E4E81">
      <w:pPr>
        <w:pStyle w:val="a0"/>
        <w:rPr>
          <w:rtl/>
        </w:rPr>
      </w:pPr>
      <w:bookmarkStart w:id="2774" w:name="_Ref55066337"/>
      <w:bookmarkStart w:id="2775" w:name="_Ref54859252"/>
      <w:bookmarkStart w:id="2776" w:name="_Ref54712087"/>
      <w:bookmarkStart w:id="2777" w:name="_Toc54643474"/>
      <w:r>
        <w:rPr>
          <w:rFonts w:hint="cs"/>
          <w:rtl/>
        </w:rPr>
        <w:t xml:space="preserve">במה שהקשה </w:t>
      </w:r>
      <w:r w:rsidRPr="00DF0BA5">
        <w:rPr>
          <w:rStyle w:val="af9"/>
          <w:rFonts w:hint="cs"/>
          <w:rtl/>
        </w:rPr>
        <w:t xml:space="preserve">הרשב"א </w:t>
      </w:r>
      <w:r w:rsidRPr="00DF0BA5">
        <w:rPr>
          <w:rStyle w:val="af7"/>
          <w:rFonts w:eastAsia="Guttman Hodes" w:hint="cs"/>
          <w:rtl/>
        </w:rPr>
        <w:t xml:space="preserve">(עי' אות </w:t>
      </w:r>
      <w:r w:rsidRPr="00DF0BA5">
        <w:rPr>
          <w:rStyle w:val="af7"/>
          <w:rFonts w:eastAsia="Guttman Hodes"/>
          <w:rtl/>
        </w:rPr>
        <w:fldChar w:fldCharType="begin"/>
      </w:r>
      <w:r w:rsidRPr="00DF0BA5">
        <w:rPr>
          <w:rStyle w:val="af7"/>
          <w:rFonts w:eastAsia="Guttman Hodes"/>
          <w:rtl/>
        </w:rPr>
        <w:instrText xml:space="preserve"> </w:instrText>
      </w:r>
      <w:r w:rsidRPr="00DF0BA5">
        <w:rPr>
          <w:rStyle w:val="af7"/>
          <w:rFonts w:eastAsia="Guttman Hodes" w:hint="cs"/>
        </w:rPr>
        <w:instrText>REF</w:instrText>
      </w:r>
      <w:r w:rsidRPr="00DF0BA5">
        <w:rPr>
          <w:rStyle w:val="af7"/>
          <w:rFonts w:eastAsia="Guttman Hodes" w:hint="cs"/>
          <w:rtl/>
        </w:rPr>
        <w:instrText xml:space="preserve"> _</w:instrText>
      </w:r>
      <w:r w:rsidRPr="00DF0BA5">
        <w:rPr>
          <w:rStyle w:val="af7"/>
          <w:rFonts w:eastAsia="Guttman Hodes" w:hint="cs"/>
        </w:rPr>
        <w:instrText>Ref54859080 \r \h</w:instrText>
      </w:r>
      <w:r w:rsidRPr="00DF0BA5">
        <w:rPr>
          <w:rStyle w:val="af7"/>
          <w:rFonts w:eastAsia="Guttman Hodes"/>
          <w:rtl/>
        </w:rPr>
        <w:instrText xml:space="preserve"> </w:instrText>
      </w:r>
      <w:r w:rsidRPr="00DF0BA5">
        <w:rPr>
          <w:rStyle w:val="af7"/>
          <w:rFonts w:eastAsia="Guttman Hodes"/>
          <w:rtl/>
        </w:rPr>
      </w:r>
      <w:r w:rsidRPr="00DF0BA5">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DF0BA5">
        <w:rPr>
          <w:rStyle w:val="af7"/>
          <w:rFonts w:eastAsia="Guttman Hodes"/>
          <w:rtl/>
        </w:rPr>
        <w:fldChar w:fldCharType="end"/>
      </w:r>
      <w:r>
        <w:rPr>
          <w:rFonts w:hint="cs"/>
          <w:rtl/>
        </w:rPr>
        <w:t xml:space="preserve"> על תירוץ הגמ' דאיהו לא טעין אנן לא טענינן ליה, דלהולכי אושא נאמר דשתיקתו כמחילה, </w:t>
      </w:r>
      <w:r>
        <w:rPr>
          <w:rFonts w:hint="cs"/>
          <w:rtl/>
        </w:rPr>
        <w:t xml:space="preserve">ותעמוד הקרקע בחזקת המחזיק, אף שאינו טוען כל טענה, כמו דבחזקת תמישים ס"ל </w:t>
      </w:r>
      <w:r w:rsidRPr="00715863">
        <w:rPr>
          <w:rStyle w:val="af9"/>
          <w:rFonts w:hint="cs"/>
          <w:rtl/>
        </w:rPr>
        <w:t>להגאונים</w:t>
      </w:r>
      <w:r>
        <w:rPr>
          <w:rFonts w:hint="cs"/>
          <w:rtl/>
        </w:rPr>
        <w:t xml:space="preserve"> דמהני מחילה, ביאר </w:t>
      </w:r>
      <w:r w:rsidRPr="000F1DAC">
        <w:rPr>
          <w:rStyle w:val="af9"/>
          <w:rFonts w:hint="cs"/>
          <w:rtl/>
        </w:rPr>
        <w:t>הברכ"ש</w:t>
      </w:r>
      <w:r w:rsidR="00A77F33">
        <w:rPr>
          <w:rStyle w:val="af7"/>
          <w:rFonts w:eastAsia="Guttman Hodes" w:hint="cs"/>
          <w:rtl/>
        </w:rPr>
        <w:t xml:space="preserve"> </w:t>
      </w:r>
      <w:r w:rsidRPr="007C1D50">
        <w:rPr>
          <w:rStyle w:val="af7"/>
          <w:rFonts w:eastAsia="Guttman Hodes" w:hint="cs"/>
          <w:rtl/>
        </w:rPr>
        <w:t>(ס</w:t>
      </w:r>
      <w:r w:rsidRPr="00DF0BA5">
        <w:rPr>
          <w:rStyle w:val="af7"/>
          <w:rFonts w:eastAsia="Guttman Hodes" w:hint="cs"/>
          <w:rtl/>
        </w:rPr>
        <w:t>י' כ"ד או'</w:t>
      </w:r>
      <w:r>
        <w:rPr>
          <w:rStyle w:val="af7"/>
          <w:rFonts w:eastAsia="Guttman Hodes" w:hint="cs"/>
          <w:rtl/>
        </w:rPr>
        <w:t xml:space="preserve"> א',</w:t>
      </w:r>
      <w:r w:rsidRPr="00DF0BA5">
        <w:rPr>
          <w:rStyle w:val="af7"/>
          <w:rFonts w:eastAsia="Guttman Hodes" w:hint="cs"/>
          <w:rtl/>
        </w:rPr>
        <w:t xml:space="preserve"> </w:t>
      </w:r>
      <w:r w:rsidRPr="007C1D50">
        <w:rPr>
          <w:rStyle w:val="af7"/>
          <w:rFonts w:eastAsia="Guttman Hodes" w:hint="cs"/>
          <w:rtl/>
        </w:rPr>
        <w:t>ב')</w:t>
      </w:r>
      <w:r w:rsidRPr="0064309F">
        <w:rPr>
          <w:rFonts w:hint="cs"/>
          <w:rtl/>
        </w:rPr>
        <w:t xml:space="preserve"> </w:t>
      </w:r>
      <w:r>
        <w:rPr>
          <w:rFonts w:hint="cs"/>
          <w:rtl/>
        </w:rPr>
        <w:t>דבחזקת תשמישים כיון שאינו טוען על גוף הקרקע של חבירו, אלא טוען על החלון או הזיז שלו שיש לו על חצר חבירו, דנתן לו חבירו רשות, א"כ כיון שהתשמיש עצמו הוא שלו, מהני לו חזקה אף בלא טענה, ולא דמי ליורד לקרקע חבירו, דהוא יכול לזכות בה רק עם ראיה או עדות, משא"כ בחזקת תשמישים</w:t>
      </w:r>
      <w:bookmarkEnd w:id="2774"/>
      <w:r>
        <w:rPr>
          <w:rFonts w:hint="cs"/>
          <w:rtl/>
        </w:rPr>
        <w:t>, דאינו מוציא את גוף הקרקע מרשות הבעלים,</w:t>
      </w:r>
      <w:r w:rsidR="00A77F33">
        <w:rPr>
          <w:rFonts w:hint="cs"/>
          <w:rtl/>
        </w:rPr>
        <w:t xml:space="preserve"> </w:t>
      </w:r>
      <w:r>
        <w:rPr>
          <w:rFonts w:hint="cs"/>
          <w:rtl/>
        </w:rPr>
        <w:t xml:space="preserve">ולכן מהני מחילה דהוא נעשה מוחזק רק מחמת המחילה אף בלא כל טענה, וכתב </w:t>
      </w:r>
      <w:r w:rsidRPr="000B2785">
        <w:rPr>
          <w:rStyle w:val="af9"/>
          <w:rFonts w:hint="cs"/>
          <w:rtl/>
        </w:rPr>
        <w:t>הרשב"א</w:t>
      </w:r>
      <w:r>
        <w:rPr>
          <w:rFonts w:hint="cs"/>
          <w:rtl/>
        </w:rPr>
        <w:t xml:space="preserve"> דא"כ מבואר דכל ששתק חבירו מוכח דמחל לו.</w:t>
      </w:r>
    </w:p>
    <w:p w:rsidR="00900B10" w:rsidRPr="00F93CB7" w:rsidRDefault="00900B10" w:rsidP="00900B10">
      <w:pPr>
        <w:pStyle w:val="a3"/>
      </w:pPr>
      <w:bookmarkStart w:id="2778" w:name="_Toc55073028"/>
      <w:bookmarkStart w:id="2779" w:name="_Toc55073225"/>
      <w:bookmarkStart w:id="2780" w:name="_Toc55073636"/>
      <w:bookmarkStart w:id="2781" w:name="_Toc55074184"/>
      <w:r>
        <w:rPr>
          <w:rFonts w:hint="cs"/>
          <w:rtl/>
        </w:rPr>
        <w:t>ביאור הברכ"ש דלהולכי אושא החזקה עצמה היא הטענה ויהיה מוחזק ע"י המחילה בלא טענה</w:t>
      </w:r>
      <w:bookmarkEnd w:id="2778"/>
      <w:bookmarkEnd w:id="2779"/>
      <w:bookmarkEnd w:id="2780"/>
      <w:bookmarkEnd w:id="2781"/>
    </w:p>
    <w:p w:rsidR="00900B10" w:rsidRPr="00590D16" w:rsidRDefault="00900B10" w:rsidP="007E4E81">
      <w:pPr>
        <w:pStyle w:val="a0"/>
        <w:rPr>
          <w:rStyle w:val="afb"/>
          <w:rtl/>
        </w:rPr>
      </w:pPr>
      <w:r>
        <w:rPr>
          <w:rFonts w:hint="cs"/>
          <w:rtl/>
        </w:rPr>
        <w:t xml:space="preserve">וביאר </w:t>
      </w:r>
      <w:r w:rsidRPr="000F1DAC">
        <w:rPr>
          <w:rStyle w:val="af9"/>
          <w:rFonts w:hint="cs"/>
          <w:rtl/>
        </w:rPr>
        <w:t>הברכ"ש</w:t>
      </w:r>
      <w:r>
        <w:rPr>
          <w:rFonts w:hint="cs"/>
          <w:rtl/>
        </w:rPr>
        <w:t xml:space="preserve"> דלכן הקשה </w:t>
      </w:r>
      <w:r w:rsidRPr="00917E43">
        <w:rPr>
          <w:rStyle w:val="af9"/>
          <w:rFonts w:hint="cs"/>
          <w:rtl/>
        </w:rPr>
        <w:t>הרשב"א</w:t>
      </w:r>
      <w:r>
        <w:rPr>
          <w:rFonts w:hint="cs"/>
          <w:rtl/>
        </w:rPr>
        <w:t xml:space="preserve"> דכיון דבתשמישים מוכח דמחילה מהני להחזיק קרקע שבידו, אף בלא טענה, ה"ה בחזקת ג"ש להולכי אושא דהחזקה היא עצמה הטענה, כדביאר</w:t>
      </w:r>
      <w:r w:rsidRPr="00AE1933">
        <w:rPr>
          <w:rStyle w:val="af9"/>
          <w:rFonts w:hint="cs"/>
          <w:rtl/>
        </w:rPr>
        <w:t xml:space="preserve"> </w:t>
      </w:r>
      <w:r w:rsidRPr="00DF0BA5">
        <w:rPr>
          <w:rStyle w:val="af9"/>
          <w:rFonts w:hint="cs"/>
          <w:rtl/>
        </w:rPr>
        <w:t xml:space="preserve">הברכ"ש </w:t>
      </w:r>
      <w:r w:rsidRPr="00DF0BA5">
        <w:rPr>
          <w:rStyle w:val="af7"/>
          <w:rFonts w:eastAsia="Guttman Hodes" w:hint="cs"/>
          <w:rtl/>
        </w:rPr>
        <w:t xml:space="preserve">(עי' אות </w:t>
      </w:r>
      <w:r w:rsidRPr="00DF0BA5">
        <w:rPr>
          <w:rStyle w:val="af7"/>
          <w:rFonts w:eastAsia="Guttman Hodes"/>
          <w:rtl/>
        </w:rPr>
        <w:fldChar w:fldCharType="begin"/>
      </w:r>
      <w:r w:rsidRPr="00DF0BA5">
        <w:rPr>
          <w:rStyle w:val="af7"/>
          <w:rFonts w:eastAsia="Guttman Hodes"/>
          <w:rtl/>
        </w:rPr>
        <w:instrText xml:space="preserve"> </w:instrText>
      </w:r>
      <w:r w:rsidRPr="00DF0BA5">
        <w:rPr>
          <w:rStyle w:val="af7"/>
          <w:rFonts w:eastAsia="Guttman Hodes" w:hint="cs"/>
        </w:rPr>
        <w:instrText>REF</w:instrText>
      </w:r>
      <w:r w:rsidRPr="00DF0BA5">
        <w:rPr>
          <w:rStyle w:val="af7"/>
          <w:rFonts w:eastAsia="Guttman Hodes" w:hint="cs"/>
          <w:rtl/>
        </w:rPr>
        <w:instrText xml:space="preserve"> _</w:instrText>
      </w:r>
      <w:r w:rsidRPr="00DF0BA5">
        <w:rPr>
          <w:rStyle w:val="af7"/>
          <w:rFonts w:eastAsia="Guttman Hodes" w:hint="cs"/>
        </w:rPr>
        <w:instrText>Ref54886832 \r \h</w:instrText>
      </w:r>
      <w:r w:rsidRPr="00DF0BA5">
        <w:rPr>
          <w:rStyle w:val="af7"/>
          <w:rFonts w:eastAsia="Guttman Hodes"/>
          <w:rtl/>
        </w:rPr>
        <w:instrText xml:space="preserve"> </w:instrText>
      </w:r>
      <w:r w:rsidRPr="00DF0BA5">
        <w:rPr>
          <w:rStyle w:val="af7"/>
          <w:rFonts w:eastAsia="Guttman Hodes"/>
          <w:rtl/>
        </w:rPr>
      </w:r>
      <w:r w:rsidRPr="00DF0BA5">
        <w:rPr>
          <w:rStyle w:val="af7"/>
          <w:rFonts w:eastAsia="Guttman Hodes"/>
          <w:rtl/>
        </w:rPr>
        <w:fldChar w:fldCharType="separate"/>
      </w:r>
      <w:r w:rsidR="00265073">
        <w:rPr>
          <w:rStyle w:val="af7"/>
          <w:rFonts w:eastAsia="Guttman Hodes"/>
          <w:cs/>
        </w:rPr>
        <w:t>‎</w:t>
      </w:r>
      <w:r w:rsidR="00265073">
        <w:rPr>
          <w:rStyle w:val="af7"/>
          <w:rFonts w:eastAsia="Guttman Hodes"/>
          <w:rtl/>
        </w:rPr>
        <w:t>עה)</w:t>
      </w:r>
      <w:r w:rsidRPr="00DF0BA5">
        <w:rPr>
          <w:rStyle w:val="af7"/>
          <w:rFonts w:eastAsia="Guttman Hodes"/>
          <w:rtl/>
        </w:rPr>
        <w:fldChar w:fldCharType="end"/>
      </w:r>
      <w:r>
        <w:rPr>
          <w:rFonts w:hint="cs"/>
          <w:rtl/>
        </w:rPr>
        <w:t xml:space="preserve">, וא"כ כל ששתק מוכח דמחל לו, והוא יהיה מוחזק מחמת המחילה אף בלא טענה, כמו בחזקת תשמישים. </w:t>
      </w:r>
      <w:r w:rsidRPr="00590D16">
        <w:rPr>
          <w:rStyle w:val="afb"/>
          <w:rFonts w:hint="cs"/>
          <w:rtl/>
        </w:rPr>
        <w:t>[ו</w:t>
      </w:r>
      <w:r>
        <w:rPr>
          <w:rStyle w:val="afb"/>
          <w:rFonts w:hint="cs"/>
          <w:rtl/>
        </w:rPr>
        <w:t xml:space="preserve">הוסיף </w:t>
      </w:r>
      <w:r w:rsidRPr="007678E1">
        <w:rPr>
          <w:rStyle w:val="affa"/>
          <w:rFonts w:hint="cs"/>
          <w:rtl/>
        </w:rPr>
        <w:t>בהערה על הברכ"ש ובחו"ש הגרב"ב</w:t>
      </w:r>
      <w:r w:rsidRPr="00590D16">
        <w:rPr>
          <w:rStyle w:val="afb"/>
          <w:rFonts w:hint="cs"/>
          <w:rtl/>
        </w:rPr>
        <w:t xml:space="preserve"> </w:t>
      </w:r>
      <w:r w:rsidRPr="005A48C5">
        <w:rPr>
          <w:rStyle w:val="aff6"/>
          <w:rFonts w:hint="cs"/>
          <w:rtl/>
        </w:rPr>
        <w:t>(ח"א סי' ז' ד"ה ובענין)</w:t>
      </w:r>
      <w:r w:rsidRPr="00590D16">
        <w:rPr>
          <w:rStyle w:val="afb"/>
          <w:rFonts w:hint="cs"/>
          <w:rtl/>
        </w:rPr>
        <w:t xml:space="preserve"> דקושית </w:t>
      </w:r>
      <w:r w:rsidRPr="007678E1">
        <w:rPr>
          <w:rStyle w:val="affa"/>
          <w:rFonts w:hint="cs"/>
          <w:rtl/>
        </w:rPr>
        <w:t>הרשב"א</w:t>
      </w:r>
      <w:r w:rsidRPr="00590D16">
        <w:rPr>
          <w:rStyle w:val="afb"/>
          <w:rFonts w:hint="cs"/>
          <w:rtl/>
        </w:rPr>
        <w:t xml:space="preserve"> </w:t>
      </w:r>
      <w:r w:rsidRPr="005A48C5">
        <w:rPr>
          <w:rStyle w:val="aff6"/>
          <w:rFonts w:hint="cs"/>
          <w:rtl/>
        </w:rPr>
        <w:t xml:space="preserve">(עי' אות </w:t>
      </w:r>
      <w:r w:rsidRPr="005A48C5">
        <w:rPr>
          <w:rStyle w:val="aff6"/>
          <w:rtl/>
        </w:rPr>
        <w:fldChar w:fldCharType="begin"/>
      </w:r>
      <w:r w:rsidRPr="005A48C5">
        <w:rPr>
          <w:rStyle w:val="aff6"/>
          <w:rtl/>
        </w:rPr>
        <w:instrText xml:space="preserve"> </w:instrText>
      </w:r>
      <w:r w:rsidRPr="005A48C5">
        <w:rPr>
          <w:rStyle w:val="aff6"/>
          <w:rFonts w:hint="cs"/>
        </w:rPr>
        <w:instrText>REF</w:instrText>
      </w:r>
      <w:r w:rsidRPr="005A48C5">
        <w:rPr>
          <w:rStyle w:val="aff6"/>
          <w:rFonts w:hint="cs"/>
          <w:rtl/>
        </w:rPr>
        <w:instrText xml:space="preserve"> _</w:instrText>
      </w:r>
      <w:r w:rsidRPr="005A48C5">
        <w:rPr>
          <w:rStyle w:val="aff6"/>
          <w:rFonts w:hint="cs"/>
        </w:rPr>
        <w:instrText>Ref54859080 \r \h</w:instrText>
      </w:r>
      <w:r w:rsidRPr="005A48C5">
        <w:rPr>
          <w:rStyle w:val="aff6"/>
          <w:rtl/>
        </w:rPr>
        <w:instrText xml:space="preserve"> </w:instrText>
      </w:r>
      <w:r w:rsidRPr="005A48C5">
        <w:rPr>
          <w:rStyle w:val="aff6"/>
          <w:rtl/>
        </w:rPr>
      </w:r>
      <w:r w:rsidRPr="005A48C5">
        <w:rPr>
          <w:rStyle w:val="aff6"/>
          <w:rtl/>
        </w:rPr>
        <w:fldChar w:fldCharType="separate"/>
      </w:r>
      <w:r w:rsidR="00265073">
        <w:rPr>
          <w:rStyle w:val="aff6"/>
          <w:cs/>
        </w:rPr>
        <w:t>‎</w:t>
      </w:r>
      <w:r w:rsidR="00265073">
        <w:rPr>
          <w:rStyle w:val="aff6"/>
          <w:rtl/>
        </w:rPr>
        <w:t>נא)</w:t>
      </w:r>
      <w:r w:rsidRPr="005A48C5">
        <w:rPr>
          <w:rStyle w:val="aff6"/>
          <w:rtl/>
        </w:rPr>
        <w:fldChar w:fldCharType="end"/>
      </w:r>
      <w:r w:rsidRPr="00590D16">
        <w:rPr>
          <w:rStyle w:val="afb"/>
          <w:rFonts w:hint="cs"/>
          <w:rtl/>
        </w:rPr>
        <w:t xml:space="preserve"> היא להיפך מקושית </w:t>
      </w:r>
      <w:r w:rsidRPr="007678E1">
        <w:rPr>
          <w:rStyle w:val="affa"/>
          <w:rFonts w:hint="cs"/>
          <w:rtl/>
        </w:rPr>
        <w:t>התוס'</w:t>
      </w:r>
      <w:r w:rsidRPr="00590D16">
        <w:rPr>
          <w:rStyle w:val="afb"/>
          <w:rFonts w:hint="cs"/>
          <w:rtl/>
        </w:rPr>
        <w:t xml:space="preserve"> </w:t>
      </w:r>
      <w:r w:rsidRPr="005A48C5">
        <w:rPr>
          <w:rStyle w:val="aff6"/>
          <w:rFonts w:hint="cs"/>
          <w:rtl/>
        </w:rPr>
        <w:t xml:space="preserve">(עי' אות </w:t>
      </w:r>
      <w:r w:rsidRPr="005A48C5">
        <w:rPr>
          <w:rStyle w:val="aff6"/>
          <w:rtl/>
        </w:rPr>
        <w:fldChar w:fldCharType="begin"/>
      </w:r>
      <w:r w:rsidRPr="005A48C5">
        <w:rPr>
          <w:rStyle w:val="aff6"/>
          <w:rtl/>
        </w:rPr>
        <w:instrText xml:space="preserve"> </w:instrText>
      </w:r>
      <w:r w:rsidRPr="005A48C5">
        <w:rPr>
          <w:rStyle w:val="aff6"/>
          <w:rFonts w:hint="cs"/>
        </w:rPr>
        <w:instrText>REF</w:instrText>
      </w:r>
      <w:r w:rsidRPr="005A48C5">
        <w:rPr>
          <w:rStyle w:val="aff6"/>
          <w:rFonts w:hint="cs"/>
          <w:rtl/>
        </w:rPr>
        <w:instrText xml:space="preserve"> _</w:instrText>
      </w:r>
      <w:r w:rsidRPr="005A48C5">
        <w:rPr>
          <w:rStyle w:val="aff6"/>
          <w:rFonts w:hint="cs"/>
        </w:rPr>
        <w:instrText>Ref55067504 \r \h</w:instrText>
      </w:r>
      <w:r w:rsidRPr="005A48C5">
        <w:rPr>
          <w:rStyle w:val="aff6"/>
          <w:rtl/>
        </w:rPr>
        <w:instrText xml:space="preserve"> </w:instrText>
      </w:r>
      <w:r w:rsidRPr="005A48C5">
        <w:rPr>
          <w:rStyle w:val="aff6"/>
          <w:rtl/>
        </w:rPr>
      </w:r>
      <w:r w:rsidRPr="005A48C5">
        <w:rPr>
          <w:rStyle w:val="aff6"/>
          <w:rtl/>
        </w:rPr>
        <w:fldChar w:fldCharType="separate"/>
      </w:r>
      <w:r w:rsidR="00265073">
        <w:rPr>
          <w:rStyle w:val="aff6"/>
          <w:cs/>
        </w:rPr>
        <w:t>‎</w:t>
      </w:r>
      <w:r w:rsidR="00265073">
        <w:rPr>
          <w:rStyle w:val="aff6"/>
          <w:rtl/>
        </w:rPr>
        <w:t>כג)</w:t>
      </w:r>
      <w:r w:rsidRPr="005A48C5">
        <w:rPr>
          <w:rStyle w:val="aff6"/>
          <w:rtl/>
        </w:rPr>
        <w:fldChar w:fldCharType="end"/>
      </w:r>
      <w:r w:rsidRPr="00590D16">
        <w:rPr>
          <w:rStyle w:val="afb"/>
          <w:rFonts w:hint="cs"/>
          <w:rtl/>
        </w:rPr>
        <w:t xml:space="preserve"> דהקשו דמה ההו"א דתועיל חזקה בלא טענה, ואילו </w:t>
      </w:r>
      <w:r w:rsidRPr="007678E1">
        <w:rPr>
          <w:rStyle w:val="affa"/>
          <w:rFonts w:hint="cs"/>
          <w:rtl/>
        </w:rPr>
        <w:t>הרשב"א</w:t>
      </w:r>
      <w:r w:rsidRPr="00590D16">
        <w:rPr>
          <w:rStyle w:val="afb"/>
          <w:rFonts w:hint="cs"/>
          <w:rtl/>
        </w:rPr>
        <w:t xml:space="preserve"> הקשה על תירוץ הגמ' דכל שאינו טוען אנן לא טענינן ליה, דלא יצטרך טענה,]</w:t>
      </w:r>
      <w:r>
        <w:rPr>
          <w:rStyle w:val="afb"/>
          <w:rFonts w:hint="cs"/>
          <w:rtl/>
        </w:rPr>
        <w:t>.</w:t>
      </w:r>
      <w:r w:rsidRPr="00590D16">
        <w:rPr>
          <w:rStyle w:val="afb"/>
          <w:rFonts w:hint="cs"/>
          <w:rtl/>
        </w:rPr>
        <w:t xml:space="preserve"> </w:t>
      </w:r>
    </w:p>
    <w:p w:rsidR="00900B10" w:rsidRPr="00BA7D4A" w:rsidRDefault="00900B10" w:rsidP="00900B10">
      <w:pPr>
        <w:pStyle w:val="a3"/>
        <w:rPr>
          <w:rtl/>
        </w:rPr>
      </w:pPr>
      <w:bookmarkStart w:id="2782" w:name="_Toc55073029"/>
      <w:bookmarkStart w:id="2783" w:name="_Toc55073226"/>
      <w:bookmarkStart w:id="2784" w:name="_Toc55073637"/>
      <w:bookmarkStart w:id="2785" w:name="_Toc55074185"/>
      <w:r>
        <w:rPr>
          <w:rFonts w:hint="cs"/>
          <w:rtl/>
        </w:rPr>
        <w:t>ביאור הגרב"ב דלהולכי אושא המערער חשיב מוציא מהמוחזק וא"צ טענה כמו בתשמישים</w:t>
      </w:r>
      <w:bookmarkEnd w:id="2782"/>
      <w:bookmarkEnd w:id="2783"/>
      <w:bookmarkEnd w:id="2784"/>
      <w:bookmarkEnd w:id="2785"/>
    </w:p>
    <w:p w:rsidR="00900B10" w:rsidRDefault="00900B10" w:rsidP="007E4E81">
      <w:pPr>
        <w:pStyle w:val="a0"/>
        <w:rPr>
          <w:rtl/>
        </w:rPr>
      </w:pPr>
      <w:r>
        <w:rPr>
          <w:rStyle w:val="af9"/>
          <w:rFonts w:hint="cs"/>
          <w:rtl/>
        </w:rPr>
        <w:t>ו</w:t>
      </w:r>
      <w:r w:rsidRPr="00DF0BA5">
        <w:rPr>
          <w:rStyle w:val="af9"/>
          <w:rFonts w:hint="cs"/>
          <w:rtl/>
        </w:rPr>
        <w:t>בחו"ש הגרב"ב</w:t>
      </w:r>
      <w:r>
        <w:rPr>
          <w:rFonts w:hint="cs"/>
          <w:rtl/>
        </w:rPr>
        <w:t xml:space="preserve"> </w:t>
      </w:r>
      <w:r w:rsidRPr="00BA7D4A">
        <w:rPr>
          <w:rStyle w:val="af7"/>
          <w:rFonts w:eastAsia="Guttman Hodes" w:hint="cs"/>
          <w:rtl/>
        </w:rPr>
        <w:t>(ח"א סי' ז' ד"ה ובענין)</w:t>
      </w:r>
      <w:r>
        <w:rPr>
          <w:rFonts w:hint="cs"/>
          <w:rtl/>
        </w:rPr>
        <w:t xml:space="preserve"> הוסיף לבאר את קושית </w:t>
      </w:r>
      <w:r w:rsidRPr="00DF0BA5">
        <w:rPr>
          <w:rStyle w:val="af9"/>
          <w:rFonts w:hint="cs"/>
          <w:rtl/>
        </w:rPr>
        <w:t>הרשב"א</w:t>
      </w:r>
      <w:r>
        <w:rPr>
          <w:rFonts w:hint="cs"/>
          <w:rtl/>
        </w:rPr>
        <w:t xml:space="preserve"> </w:t>
      </w:r>
      <w:r w:rsidRPr="00BA7D4A">
        <w:rPr>
          <w:rStyle w:val="af7"/>
          <w:rFonts w:eastAsia="Guttman Hodes" w:hint="cs"/>
          <w:rtl/>
        </w:rPr>
        <w:t xml:space="preserve">(עי' אות </w:t>
      </w:r>
      <w:r w:rsidRPr="00BA7D4A">
        <w:rPr>
          <w:rStyle w:val="af7"/>
          <w:rFonts w:eastAsia="Guttman Hodes"/>
          <w:rtl/>
        </w:rPr>
        <w:fldChar w:fldCharType="begin"/>
      </w:r>
      <w:r w:rsidRPr="00BA7D4A">
        <w:rPr>
          <w:rStyle w:val="af7"/>
          <w:rFonts w:eastAsia="Guttman Hodes"/>
          <w:rtl/>
        </w:rPr>
        <w:instrText xml:space="preserve"> </w:instrText>
      </w:r>
      <w:r w:rsidRPr="00BA7D4A">
        <w:rPr>
          <w:rStyle w:val="af7"/>
          <w:rFonts w:eastAsia="Guttman Hodes" w:hint="cs"/>
        </w:rPr>
        <w:instrText>REF</w:instrText>
      </w:r>
      <w:r w:rsidRPr="00BA7D4A">
        <w:rPr>
          <w:rStyle w:val="af7"/>
          <w:rFonts w:eastAsia="Guttman Hodes" w:hint="cs"/>
          <w:rtl/>
        </w:rPr>
        <w:instrText xml:space="preserve"> _</w:instrText>
      </w:r>
      <w:r w:rsidRPr="00BA7D4A">
        <w:rPr>
          <w:rStyle w:val="af7"/>
          <w:rFonts w:eastAsia="Guttman Hodes" w:hint="cs"/>
        </w:rPr>
        <w:instrText>Ref54859080 \r \h</w:instrText>
      </w:r>
      <w:r w:rsidRPr="00BA7D4A">
        <w:rPr>
          <w:rStyle w:val="af7"/>
          <w:rFonts w:eastAsia="Guttman Hodes"/>
          <w:rtl/>
        </w:rPr>
        <w:instrText xml:space="preserve"> </w:instrText>
      </w:r>
      <w:r w:rsidRPr="00BA7D4A">
        <w:rPr>
          <w:rStyle w:val="af7"/>
          <w:rFonts w:eastAsia="Guttman Hodes"/>
          <w:rtl/>
        </w:rPr>
      </w:r>
      <w:r w:rsidRPr="00BA7D4A">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BA7D4A">
        <w:rPr>
          <w:rStyle w:val="af7"/>
          <w:rFonts w:eastAsia="Guttman Hodes"/>
          <w:rtl/>
        </w:rPr>
        <w:fldChar w:fldCharType="end"/>
      </w:r>
      <w:r>
        <w:rPr>
          <w:rFonts w:hint="cs"/>
          <w:rtl/>
        </w:rPr>
        <w:t xml:space="preserve"> דהולכי אושא, דכיון שהמחזיק נעשה למוחזק בקרקע, והמרא קמא הוא המוציא א"כ כיון שאינו מחסר את קרקע, כל ששתק</w:t>
      </w:r>
      <w:r w:rsidR="00A77F33">
        <w:rPr>
          <w:rFonts w:hint="cs"/>
          <w:rtl/>
        </w:rPr>
        <w:t xml:space="preserve"> </w:t>
      </w:r>
      <w:r>
        <w:rPr>
          <w:rFonts w:hint="cs"/>
          <w:rtl/>
        </w:rPr>
        <w:t xml:space="preserve">המערער ומוכח דמחל על הקרקע, ממילא א"צ המחזיק לטענה על חזקתו, כדמוכח בחזקת תשמישים, דמחילה מהני אף בקרקע. </w:t>
      </w:r>
      <w:r w:rsidRPr="00E90638">
        <w:rPr>
          <w:rStyle w:val="afb"/>
          <w:rFonts w:hint="cs"/>
          <w:rtl/>
        </w:rPr>
        <w:t xml:space="preserve">[עיי"ש </w:t>
      </w:r>
      <w:r w:rsidRPr="00E90638">
        <w:rPr>
          <w:rStyle w:val="affa"/>
          <w:rFonts w:hint="cs"/>
          <w:rtl/>
        </w:rPr>
        <w:t>בחו"ש הגרב"ב</w:t>
      </w:r>
      <w:r w:rsidRPr="00E90638">
        <w:rPr>
          <w:rStyle w:val="afb"/>
          <w:rFonts w:hint="cs"/>
          <w:rtl/>
        </w:rPr>
        <w:t xml:space="preserve"> במה שביאר במחילה בחזקת תשמישים]</w:t>
      </w:r>
      <w:r>
        <w:rPr>
          <w:rStyle w:val="afb"/>
          <w:rFonts w:hint="cs"/>
          <w:rtl/>
        </w:rPr>
        <w:t>.</w:t>
      </w:r>
      <w:r w:rsidRPr="00E90638">
        <w:rPr>
          <w:rStyle w:val="afb"/>
          <w:rFonts w:hint="cs"/>
          <w:rtl/>
        </w:rPr>
        <w:t xml:space="preserve"> </w:t>
      </w:r>
    </w:p>
    <w:p w:rsidR="00900B10" w:rsidRDefault="00900B10" w:rsidP="00900B10">
      <w:pPr>
        <w:pStyle w:val="a3"/>
      </w:pPr>
      <w:bookmarkStart w:id="2786" w:name="_Toc55073030"/>
      <w:bookmarkStart w:id="2787" w:name="_Toc55073227"/>
      <w:bookmarkStart w:id="2788" w:name="_Toc55073638"/>
      <w:bookmarkStart w:id="2789" w:name="_Toc55074186"/>
      <w:bookmarkEnd w:id="2775"/>
      <w:r>
        <w:rPr>
          <w:rFonts w:hint="cs"/>
          <w:rtl/>
        </w:rPr>
        <w:t>ביאור הברכ"ש דמקושית הגמ' דלא יחזיר פירות מוכח דכשהוא תפוס מהני חזקה בלא טענה</w:t>
      </w:r>
      <w:bookmarkEnd w:id="2786"/>
      <w:bookmarkEnd w:id="2787"/>
      <w:bookmarkEnd w:id="2788"/>
      <w:bookmarkEnd w:id="2789"/>
    </w:p>
    <w:p w:rsidR="00900B10" w:rsidRDefault="00900B10" w:rsidP="007E4E81">
      <w:pPr>
        <w:pStyle w:val="a0"/>
      </w:pPr>
      <w:bookmarkStart w:id="2790" w:name="_Ref55067685"/>
      <w:r w:rsidRPr="005D6002">
        <w:rPr>
          <w:rFonts w:hint="cs"/>
          <w:rtl/>
        </w:rPr>
        <w:t xml:space="preserve">ובמה שהוסיף </w:t>
      </w:r>
      <w:r w:rsidRPr="005D6002">
        <w:rPr>
          <w:rStyle w:val="af9"/>
          <w:rFonts w:hint="cs"/>
          <w:rtl/>
        </w:rPr>
        <w:t xml:space="preserve">הרשב"א </w:t>
      </w:r>
      <w:r w:rsidRPr="005D6002">
        <w:rPr>
          <w:rStyle w:val="af7"/>
          <w:rFonts w:eastAsia="Guttman Hodes" w:hint="cs"/>
          <w:rtl/>
        </w:rPr>
        <w:t xml:space="preserve">(עי' אות </w:t>
      </w:r>
      <w:r w:rsidRPr="005D6002">
        <w:rPr>
          <w:rStyle w:val="af7"/>
          <w:rFonts w:eastAsia="Guttman Hodes"/>
          <w:rtl/>
        </w:rPr>
        <w:fldChar w:fldCharType="begin"/>
      </w:r>
      <w:r w:rsidRPr="005D6002">
        <w:rPr>
          <w:rStyle w:val="af7"/>
          <w:rFonts w:eastAsia="Guttman Hodes"/>
          <w:rtl/>
        </w:rPr>
        <w:instrText xml:space="preserve"> </w:instrText>
      </w:r>
      <w:r w:rsidRPr="005D6002">
        <w:rPr>
          <w:rStyle w:val="af7"/>
          <w:rFonts w:eastAsia="Guttman Hodes" w:hint="cs"/>
        </w:rPr>
        <w:instrText>REF</w:instrText>
      </w:r>
      <w:r w:rsidRPr="005D6002">
        <w:rPr>
          <w:rStyle w:val="af7"/>
          <w:rFonts w:eastAsia="Guttman Hodes" w:hint="cs"/>
          <w:rtl/>
        </w:rPr>
        <w:instrText xml:space="preserve"> _</w:instrText>
      </w:r>
      <w:r w:rsidRPr="005D6002">
        <w:rPr>
          <w:rStyle w:val="af7"/>
          <w:rFonts w:eastAsia="Guttman Hodes" w:hint="cs"/>
        </w:rPr>
        <w:instrText>Ref54859111 \r \h</w:instrText>
      </w:r>
      <w:r w:rsidRPr="005D6002">
        <w:rPr>
          <w:rStyle w:val="af7"/>
          <w:rFonts w:eastAsia="Guttman Hodes"/>
          <w:rtl/>
        </w:rPr>
        <w:instrText xml:space="preserve">  \* </w:instrText>
      </w:r>
      <w:r w:rsidRPr="005D6002">
        <w:rPr>
          <w:rStyle w:val="af7"/>
          <w:rFonts w:eastAsia="Guttman Hodes"/>
        </w:rPr>
        <w:instrText>MERGEFORMAT</w:instrText>
      </w:r>
      <w:r w:rsidRPr="005D6002">
        <w:rPr>
          <w:rStyle w:val="af7"/>
          <w:rFonts w:eastAsia="Guttman Hodes"/>
          <w:rtl/>
        </w:rPr>
        <w:instrText xml:space="preserve"> </w:instrText>
      </w:r>
      <w:r w:rsidRPr="005D6002">
        <w:rPr>
          <w:rStyle w:val="af7"/>
          <w:rFonts w:eastAsia="Guttman Hodes"/>
          <w:rtl/>
        </w:rPr>
      </w:r>
      <w:r w:rsidRPr="005D6002">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5D6002">
        <w:rPr>
          <w:rStyle w:val="af7"/>
          <w:rFonts w:eastAsia="Guttman Hodes"/>
          <w:rtl/>
        </w:rPr>
        <w:fldChar w:fldCharType="end"/>
      </w:r>
      <w:r w:rsidRPr="005D6002">
        <w:rPr>
          <w:rFonts w:hint="cs"/>
          <w:rtl/>
        </w:rPr>
        <w:t xml:space="preserve"> להקשות </w:t>
      </w:r>
      <w:r>
        <w:rPr>
          <w:rFonts w:hint="cs"/>
          <w:rtl/>
        </w:rPr>
        <w:t xml:space="preserve">דבגמ' לקמן </w:t>
      </w:r>
      <w:r w:rsidRPr="005D6002">
        <w:rPr>
          <w:rStyle w:val="af7"/>
          <w:rFonts w:eastAsia="Guttman Hodes" w:hint="cs"/>
          <w:rtl/>
        </w:rPr>
        <w:t>(כט.)</w:t>
      </w:r>
      <w:r w:rsidRPr="005D6002">
        <w:rPr>
          <w:rFonts w:hint="cs"/>
          <w:rtl/>
        </w:rPr>
        <w:t xml:space="preserve"> </w:t>
      </w:r>
      <w:r>
        <w:rPr>
          <w:rFonts w:hint="cs"/>
          <w:rtl/>
        </w:rPr>
        <w:t xml:space="preserve">מוכח דכששתק המערער חשיב מחילה, דעל התירוץ הראשון של רבא דבשנה הראשונה והשניה אינו מקפיד, מקשה הגמ' דא"כ המחזיק לא יצטרך להחזיר את הפירות של ב' השנים, ומבואר דכששתק חשיב שמחל על הפירות, ביאר </w:t>
      </w:r>
      <w:r w:rsidRPr="00DF0BA5">
        <w:rPr>
          <w:rStyle w:val="af9"/>
          <w:rFonts w:hint="cs"/>
          <w:rtl/>
        </w:rPr>
        <w:t xml:space="preserve">הברכ"ש </w:t>
      </w:r>
      <w:r w:rsidRPr="00DF0BA5">
        <w:rPr>
          <w:rStyle w:val="af7"/>
          <w:rFonts w:eastAsia="Guttman Hodes" w:hint="cs"/>
          <w:rtl/>
        </w:rPr>
        <w:t>(סי' כ"ד או' ב')</w:t>
      </w:r>
      <w:r w:rsidRPr="0064309F">
        <w:rPr>
          <w:rFonts w:hint="cs"/>
          <w:rtl/>
        </w:rPr>
        <w:t xml:space="preserve"> </w:t>
      </w:r>
      <w:r>
        <w:rPr>
          <w:rFonts w:hint="cs"/>
          <w:rtl/>
        </w:rPr>
        <w:t xml:space="preserve">דהוקשה </w:t>
      </w:r>
      <w:r>
        <w:rPr>
          <w:rStyle w:val="af9"/>
          <w:rFonts w:hint="cs"/>
          <w:rtl/>
        </w:rPr>
        <w:t>ל</w:t>
      </w:r>
      <w:r w:rsidRPr="000F1DAC">
        <w:rPr>
          <w:rStyle w:val="af9"/>
          <w:rFonts w:hint="cs"/>
          <w:rtl/>
        </w:rPr>
        <w:t>הרשב"א</w:t>
      </w:r>
      <w:r>
        <w:rPr>
          <w:rFonts w:hint="cs"/>
          <w:rtl/>
        </w:rPr>
        <w:t xml:space="preserve"> דמה מקשה הגמ' דלא יחזיר את הפירות של ב' השנים, הא כיון שהוא צריך להחזיר את הקרקע, א"כ חזקתו היא חזקה בלא טענה, ואין לו כל תפיסה בפירות, וא"כ לא מהני מה שמוכח</w:t>
      </w:r>
      <w:r w:rsidR="00A77F33">
        <w:rPr>
          <w:rFonts w:hint="cs"/>
          <w:rtl/>
        </w:rPr>
        <w:t xml:space="preserve"> </w:t>
      </w:r>
      <w:r>
        <w:rPr>
          <w:rFonts w:hint="cs"/>
          <w:rtl/>
        </w:rPr>
        <w:t xml:space="preserve">דהמערער מחל לו על הפירות, כיון ששתק, דהא אינו תפוס בהם, אלא הבין </w:t>
      </w:r>
      <w:r w:rsidRPr="009D63C4">
        <w:rPr>
          <w:rStyle w:val="af9"/>
          <w:rFonts w:hint="cs"/>
          <w:rtl/>
        </w:rPr>
        <w:t>הרשב"א</w:t>
      </w:r>
      <w:r>
        <w:rPr>
          <w:rFonts w:hint="cs"/>
          <w:rtl/>
        </w:rPr>
        <w:t xml:space="preserve"> דמוכח דחזקת ג"ש היא כמו חזקת תשמישים</w:t>
      </w:r>
      <w:r w:rsidRPr="009D63C4">
        <w:rPr>
          <w:rFonts w:hint="cs"/>
          <w:rtl/>
        </w:rPr>
        <w:t xml:space="preserve"> </w:t>
      </w:r>
      <w:r>
        <w:rPr>
          <w:rFonts w:hint="cs"/>
          <w:rtl/>
        </w:rPr>
        <w:t xml:space="preserve">שא"צ טענה, </w:t>
      </w:r>
      <w:r w:rsidRPr="009D63C4">
        <w:rPr>
          <w:rStyle w:val="afb"/>
          <w:rFonts w:hint="cs"/>
          <w:rtl/>
        </w:rPr>
        <w:t xml:space="preserve">[לפי תירוץ הראשון של רבא], </w:t>
      </w:r>
      <w:r>
        <w:rPr>
          <w:rFonts w:hint="cs"/>
          <w:rtl/>
        </w:rPr>
        <w:t xml:space="preserve">ולכן מקשה לגמ' דסגי בשתיקה שהיא כמחילה, ולכן הקשה </w:t>
      </w:r>
      <w:r w:rsidRPr="009D63C4">
        <w:rPr>
          <w:rStyle w:val="af9"/>
          <w:rFonts w:hint="cs"/>
          <w:rtl/>
        </w:rPr>
        <w:t>הרשב"א</w:t>
      </w:r>
      <w:r>
        <w:rPr>
          <w:rFonts w:hint="cs"/>
          <w:rtl/>
        </w:rPr>
        <w:t xml:space="preserve"> דא"כ גם לפי הילפותא משור המועד נאמר דשתיקתו חשיבא כמחילה, ותעמוד הקרקע בחזקת המחזיק, אף שאינו </w:t>
      </w:r>
      <w:r w:rsidRPr="001A6FA1">
        <w:rPr>
          <w:rFonts w:hint="cs"/>
          <w:rtl/>
        </w:rPr>
        <w:t>טוען כל טענה</w:t>
      </w:r>
      <w:r>
        <w:rPr>
          <w:rFonts w:hint="cs"/>
          <w:rtl/>
        </w:rPr>
        <w:t>.</w:t>
      </w:r>
      <w:bookmarkEnd w:id="2790"/>
    </w:p>
    <w:p w:rsidR="00900B10" w:rsidRPr="00374171" w:rsidRDefault="00900B10" w:rsidP="00900B10">
      <w:pPr>
        <w:pStyle w:val="1"/>
        <w:rPr>
          <w:rtl/>
        </w:rPr>
      </w:pPr>
      <w:bookmarkStart w:id="2791" w:name="_Toc54887761"/>
      <w:bookmarkStart w:id="2792" w:name="_Toc54891214"/>
      <w:bookmarkStart w:id="2793" w:name="_Toc54903509"/>
      <w:bookmarkStart w:id="2794" w:name="_Toc54948518"/>
      <w:bookmarkStart w:id="2795" w:name="_Toc54952130"/>
      <w:bookmarkStart w:id="2796" w:name="_Toc55073031"/>
      <w:bookmarkStart w:id="2797" w:name="_Toc55073228"/>
      <w:bookmarkStart w:id="2798" w:name="_Toc55073639"/>
      <w:bookmarkStart w:id="2799" w:name="_Toc55074187"/>
      <w:bookmarkEnd w:id="2776"/>
      <w:r>
        <w:rPr>
          <w:rFonts w:hint="cs"/>
          <w:rtl/>
        </w:rPr>
        <w:t>ביאור הברכ"ש בדין מחילה למסקנא להולכי אושא ולרבנן</w:t>
      </w:r>
      <w:bookmarkEnd w:id="2791"/>
      <w:bookmarkEnd w:id="2792"/>
      <w:bookmarkEnd w:id="2793"/>
      <w:bookmarkEnd w:id="2794"/>
      <w:bookmarkEnd w:id="2795"/>
      <w:bookmarkEnd w:id="2796"/>
      <w:bookmarkEnd w:id="2797"/>
      <w:bookmarkEnd w:id="2798"/>
      <w:bookmarkEnd w:id="2799"/>
    </w:p>
    <w:p w:rsidR="00900B10" w:rsidRDefault="00900B10" w:rsidP="00900B10">
      <w:pPr>
        <w:pStyle w:val="a3"/>
        <w:rPr>
          <w:rtl/>
        </w:rPr>
      </w:pPr>
      <w:bookmarkStart w:id="2800" w:name="_Toc55073032"/>
      <w:bookmarkStart w:id="2801" w:name="_Toc55073229"/>
      <w:bookmarkStart w:id="2802" w:name="_Toc55073640"/>
      <w:bookmarkStart w:id="2803" w:name="_Toc55074188"/>
      <w:r>
        <w:rPr>
          <w:rFonts w:hint="cs"/>
          <w:rtl/>
        </w:rPr>
        <w:t>ביאור הברכ"ש ברשב"א דלהולכי אושא התי' דל"מ מחילה בקרקע ולרבנן לא מוחזק בלא טענה</w:t>
      </w:r>
      <w:bookmarkEnd w:id="2800"/>
      <w:bookmarkEnd w:id="2801"/>
      <w:bookmarkEnd w:id="2802"/>
      <w:bookmarkEnd w:id="2803"/>
      <w:r>
        <w:rPr>
          <w:rFonts w:hint="cs"/>
          <w:rtl/>
        </w:rPr>
        <w:t xml:space="preserve"> </w:t>
      </w:r>
    </w:p>
    <w:p w:rsidR="00900B10" w:rsidRDefault="00900B10" w:rsidP="007E4E81">
      <w:pPr>
        <w:pStyle w:val="a0"/>
        <w:rPr>
          <w:rtl/>
        </w:rPr>
      </w:pPr>
      <w:bookmarkStart w:id="2804" w:name="_Ref55069362"/>
      <w:r>
        <w:rPr>
          <w:rFonts w:hint="cs"/>
          <w:rtl/>
        </w:rPr>
        <w:t xml:space="preserve">ובמה שתירץ </w:t>
      </w:r>
      <w:r w:rsidRPr="0036055E">
        <w:rPr>
          <w:rStyle w:val="af9"/>
          <w:rFonts w:hint="cs"/>
          <w:rtl/>
        </w:rPr>
        <w:t>הרשב"א</w:t>
      </w:r>
      <w:r>
        <w:rPr>
          <w:rFonts w:hint="cs"/>
          <w:rtl/>
        </w:rPr>
        <w:t xml:space="preserve"> </w:t>
      </w:r>
      <w:r w:rsidRPr="007F42B8">
        <w:rPr>
          <w:rStyle w:val="af7"/>
          <w:rFonts w:eastAsia="Guttman Hodes" w:hint="cs"/>
          <w:rtl/>
        </w:rPr>
        <w:t xml:space="preserve">(עי' אות </w:t>
      </w:r>
      <w:r w:rsidRPr="007F42B8">
        <w:rPr>
          <w:rStyle w:val="af7"/>
          <w:rFonts w:eastAsia="Guttman Hodes"/>
          <w:rtl/>
        </w:rPr>
        <w:fldChar w:fldCharType="begin"/>
      </w:r>
      <w:r w:rsidRPr="007F42B8">
        <w:rPr>
          <w:rStyle w:val="af7"/>
          <w:rFonts w:eastAsia="Guttman Hodes"/>
          <w:rtl/>
        </w:rPr>
        <w:instrText xml:space="preserve"> </w:instrText>
      </w:r>
      <w:r w:rsidRPr="007F42B8">
        <w:rPr>
          <w:rStyle w:val="af7"/>
          <w:rFonts w:eastAsia="Guttman Hodes" w:hint="cs"/>
        </w:rPr>
        <w:instrText>REF</w:instrText>
      </w:r>
      <w:r w:rsidRPr="007F42B8">
        <w:rPr>
          <w:rStyle w:val="af7"/>
          <w:rFonts w:eastAsia="Guttman Hodes" w:hint="cs"/>
          <w:rtl/>
        </w:rPr>
        <w:instrText xml:space="preserve"> _</w:instrText>
      </w:r>
      <w:r w:rsidRPr="007F42B8">
        <w:rPr>
          <w:rStyle w:val="af7"/>
          <w:rFonts w:eastAsia="Guttman Hodes" w:hint="cs"/>
        </w:rPr>
        <w:instrText>Ref54712313 \r \h</w:instrText>
      </w:r>
      <w:r w:rsidRPr="007F42B8">
        <w:rPr>
          <w:rStyle w:val="af7"/>
          <w:rFonts w:eastAsia="Guttman Hodes"/>
          <w:rtl/>
        </w:rPr>
        <w:instrText xml:space="preserve"> </w:instrText>
      </w:r>
      <w:r w:rsidRPr="007F42B8">
        <w:rPr>
          <w:rStyle w:val="af7"/>
          <w:rFonts w:eastAsia="Guttman Hodes"/>
          <w:rtl/>
        </w:rPr>
      </w:r>
      <w:r w:rsidRPr="007F42B8">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7F42B8">
        <w:rPr>
          <w:rStyle w:val="af7"/>
          <w:rFonts w:eastAsia="Guttman Hodes"/>
          <w:rtl/>
        </w:rPr>
        <w:fldChar w:fldCharType="end"/>
      </w:r>
      <w:r>
        <w:rPr>
          <w:rFonts w:hint="cs"/>
          <w:rtl/>
        </w:rPr>
        <w:t xml:space="preserve"> דקרקע נקנית רק במכר או מתנה ולא במחילה, ביאר </w:t>
      </w:r>
      <w:r w:rsidRPr="0036055E">
        <w:rPr>
          <w:rStyle w:val="af9"/>
          <w:rFonts w:hint="cs"/>
          <w:rtl/>
        </w:rPr>
        <w:t>הברכ"ש</w:t>
      </w:r>
      <w:r>
        <w:rPr>
          <w:rFonts w:hint="cs"/>
          <w:rtl/>
        </w:rPr>
        <w:t xml:space="preserve"> דמחילה לא מהני על דבר שהגוף נמצא בעין, ולכן לא סגי בחזקה, וצריך חזקה עם טענה, </w:t>
      </w:r>
      <w:bookmarkStart w:id="2805" w:name="_Ref54886417"/>
      <w:r>
        <w:rPr>
          <w:rFonts w:hint="cs"/>
          <w:rtl/>
        </w:rPr>
        <w:t xml:space="preserve">אך כתב </w:t>
      </w:r>
      <w:r w:rsidRPr="00DF0BA5">
        <w:rPr>
          <w:rStyle w:val="af9"/>
          <w:rFonts w:hint="cs"/>
          <w:rtl/>
        </w:rPr>
        <w:t xml:space="preserve">הברכ"ש </w:t>
      </w:r>
      <w:r>
        <w:rPr>
          <w:rFonts w:hint="cs"/>
          <w:rtl/>
        </w:rPr>
        <w:t xml:space="preserve">דלדעת רבנן דטעמא דחזקה הוא דעד ג"ש אדם נזהר בשטרו, א"כ החזקה מהני רק כראיה לטענה, </w:t>
      </w:r>
      <w:r w:rsidRPr="00DF0BA5">
        <w:rPr>
          <w:rStyle w:val="afb"/>
          <w:rFonts w:hint="cs"/>
          <w:rtl/>
        </w:rPr>
        <w:t xml:space="preserve">[כדביאר </w:t>
      </w:r>
      <w:r w:rsidRPr="00DF0BA5">
        <w:rPr>
          <w:rStyle w:val="affa"/>
          <w:rFonts w:hint="cs"/>
          <w:rtl/>
        </w:rPr>
        <w:t>הברכ"ש</w:t>
      </w:r>
      <w:r w:rsidRPr="00DF0BA5">
        <w:rPr>
          <w:rStyle w:val="afb"/>
          <w:rFonts w:hint="cs"/>
          <w:rtl/>
        </w:rPr>
        <w:t xml:space="preserve"> </w:t>
      </w:r>
      <w:r w:rsidRPr="00FA74E4">
        <w:rPr>
          <w:rStyle w:val="aff6"/>
          <w:rFonts w:hint="cs"/>
          <w:rtl/>
        </w:rPr>
        <w:t xml:space="preserve">(עי' אות </w:t>
      </w:r>
      <w:r w:rsidRPr="00FA74E4">
        <w:rPr>
          <w:rStyle w:val="aff6"/>
          <w:rtl/>
        </w:rPr>
        <w:fldChar w:fldCharType="begin"/>
      </w:r>
      <w:r w:rsidRPr="00FA74E4">
        <w:rPr>
          <w:rStyle w:val="aff6"/>
          <w:rtl/>
        </w:rPr>
        <w:instrText xml:space="preserve"> </w:instrText>
      </w:r>
      <w:r w:rsidRPr="00FA74E4">
        <w:rPr>
          <w:rStyle w:val="aff6"/>
          <w:rFonts w:hint="cs"/>
        </w:rPr>
        <w:instrText>REF</w:instrText>
      </w:r>
      <w:r w:rsidRPr="00FA74E4">
        <w:rPr>
          <w:rStyle w:val="aff6"/>
          <w:rFonts w:hint="cs"/>
          <w:rtl/>
        </w:rPr>
        <w:instrText xml:space="preserve"> _</w:instrText>
      </w:r>
      <w:r w:rsidRPr="00FA74E4">
        <w:rPr>
          <w:rStyle w:val="aff6"/>
          <w:rFonts w:hint="cs"/>
        </w:rPr>
        <w:instrText>Ref55067934 \r \h</w:instrText>
      </w:r>
      <w:r w:rsidRPr="00FA74E4">
        <w:rPr>
          <w:rStyle w:val="aff6"/>
          <w:rtl/>
        </w:rPr>
        <w:instrText xml:space="preserve"> </w:instrText>
      </w:r>
      <w:r w:rsidRPr="00FA74E4">
        <w:rPr>
          <w:rStyle w:val="aff6"/>
          <w:rtl/>
        </w:rPr>
      </w:r>
      <w:r w:rsidRPr="00FA74E4">
        <w:rPr>
          <w:rStyle w:val="aff6"/>
          <w:rtl/>
        </w:rPr>
        <w:fldChar w:fldCharType="separate"/>
      </w:r>
      <w:r w:rsidR="00265073">
        <w:rPr>
          <w:rStyle w:val="aff6"/>
          <w:cs/>
        </w:rPr>
        <w:t>‎</w:t>
      </w:r>
      <w:r w:rsidR="00265073">
        <w:rPr>
          <w:rStyle w:val="aff6"/>
          <w:rtl/>
        </w:rPr>
        <w:t>עג)</w:t>
      </w:r>
      <w:r w:rsidRPr="00FA74E4">
        <w:rPr>
          <w:rStyle w:val="aff6"/>
          <w:rtl/>
        </w:rPr>
        <w:fldChar w:fldCharType="end"/>
      </w:r>
      <w:r w:rsidRPr="00DF0BA5">
        <w:rPr>
          <w:rStyle w:val="afb"/>
          <w:rFonts w:hint="cs"/>
          <w:rtl/>
        </w:rPr>
        <w:t>],</w:t>
      </w:r>
      <w:r>
        <w:rPr>
          <w:rFonts w:hint="cs"/>
          <w:rtl/>
        </w:rPr>
        <w:t xml:space="preserve"> </w:t>
      </w:r>
      <w:r>
        <w:rPr>
          <w:rFonts w:hint="cs"/>
          <w:rtl/>
        </w:rPr>
        <w:lastRenderedPageBreak/>
        <w:t xml:space="preserve">ואף בלא תירוץ </w:t>
      </w:r>
      <w:r w:rsidRPr="00DF0BA5">
        <w:rPr>
          <w:rStyle w:val="af9"/>
          <w:rFonts w:hint="cs"/>
          <w:rtl/>
        </w:rPr>
        <w:t xml:space="preserve">הרשב"א </w:t>
      </w:r>
      <w:r>
        <w:rPr>
          <w:rFonts w:hint="cs"/>
          <w:rtl/>
        </w:rPr>
        <w:t xml:space="preserve">מבואר דא"א לומר דהחזקה תועיל מדין מחילה אף בלא טענה, דכל שאין לו טענה לא נגמרה חזקתו כלל, </w:t>
      </w:r>
      <w:r w:rsidRPr="00DF0BA5">
        <w:rPr>
          <w:rStyle w:val="afb"/>
          <w:rFonts w:hint="cs"/>
          <w:rtl/>
        </w:rPr>
        <w:t xml:space="preserve">[ועיי"ש במה שביאר </w:t>
      </w:r>
      <w:r w:rsidRPr="00DF0BA5">
        <w:rPr>
          <w:rStyle w:val="affa"/>
          <w:rFonts w:hint="cs"/>
          <w:rtl/>
        </w:rPr>
        <w:t>הברכ"ש</w:t>
      </w:r>
      <w:r w:rsidRPr="00DF0BA5">
        <w:rPr>
          <w:rStyle w:val="afb"/>
          <w:rFonts w:hint="cs"/>
          <w:rtl/>
        </w:rPr>
        <w:t xml:space="preserve"> בזה בחזקת תשמישים]</w:t>
      </w:r>
      <w:bookmarkEnd w:id="2805"/>
      <w:r>
        <w:rPr>
          <w:rStyle w:val="afb"/>
          <w:rFonts w:hint="cs"/>
          <w:rtl/>
        </w:rPr>
        <w:t xml:space="preserve">, </w:t>
      </w:r>
      <w:r>
        <w:rPr>
          <w:rFonts w:hint="cs"/>
          <w:rtl/>
        </w:rPr>
        <w:t xml:space="preserve">והוסיף </w:t>
      </w:r>
      <w:r w:rsidRPr="00DF0BA5">
        <w:rPr>
          <w:rStyle w:val="af9"/>
          <w:rFonts w:hint="cs"/>
          <w:rtl/>
        </w:rPr>
        <w:t>בחו"ש הגרב"ב</w:t>
      </w:r>
      <w:r w:rsidRPr="007F42B8">
        <w:rPr>
          <w:rStyle w:val="af7"/>
          <w:rFonts w:eastAsia="Guttman Hodes" w:hint="cs"/>
          <w:rtl/>
        </w:rPr>
        <w:t xml:space="preserve"> (ח"א סי' ז' ד"ה ובענין)</w:t>
      </w:r>
      <w:r>
        <w:rPr>
          <w:rFonts w:hint="cs"/>
          <w:rtl/>
        </w:rPr>
        <w:t xml:space="preserve"> דכיון דלרבנן המחזיק הוא המוציא והמרא קמא הוא המוחזק, א"כ אף שיש לו ראיה שהמערער מחל על הקרקע, מ"מ ודאי דאינו יכול לזכות בלא טענה.</w:t>
      </w:r>
      <w:bookmarkEnd w:id="2804"/>
    </w:p>
    <w:p w:rsidR="00900B10" w:rsidRDefault="00900B10" w:rsidP="00900B10">
      <w:pPr>
        <w:pStyle w:val="1"/>
        <w:rPr>
          <w:rtl/>
        </w:rPr>
      </w:pPr>
      <w:bookmarkStart w:id="2806" w:name="_Toc55074189"/>
      <w:r>
        <w:rPr>
          <w:rFonts w:hint="cs"/>
          <w:rtl/>
        </w:rPr>
        <w:t>ביאור הגרנ"פ ברשב"א דלהולכי אושא דהוחזק דמי לתשמישים</w:t>
      </w:r>
      <w:bookmarkEnd w:id="2806"/>
    </w:p>
    <w:p w:rsidR="00900B10" w:rsidRPr="00F5146D" w:rsidRDefault="00900B10" w:rsidP="00900B10">
      <w:pPr>
        <w:pStyle w:val="a3"/>
        <w:rPr>
          <w:rtl/>
        </w:rPr>
      </w:pPr>
      <w:bookmarkStart w:id="2807" w:name="_Toc55073034"/>
      <w:bookmarkStart w:id="2808" w:name="_Toc55073231"/>
      <w:bookmarkStart w:id="2809" w:name="_Toc55073642"/>
      <w:bookmarkStart w:id="2810" w:name="_Toc55074190"/>
      <w:r>
        <w:rPr>
          <w:rFonts w:hint="cs"/>
          <w:rtl/>
        </w:rPr>
        <w:t>קושית הגרנ"פ דאמאי הקשה הרשב"א ממחילה בתשמישים רק להולכי אושא ולא לרבנן</w:t>
      </w:r>
      <w:bookmarkEnd w:id="2807"/>
      <w:bookmarkEnd w:id="2808"/>
      <w:bookmarkEnd w:id="2809"/>
      <w:bookmarkEnd w:id="2810"/>
    </w:p>
    <w:p w:rsidR="00900B10" w:rsidRDefault="00900B10" w:rsidP="007E4E81">
      <w:pPr>
        <w:pStyle w:val="a0"/>
        <w:rPr>
          <w:rtl/>
        </w:rPr>
      </w:pPr>
      <w:bookmarkStart w:id="2811" w:name="_Toc54730220"/>
      <w:r>
        <w:rPr>
          <w:rFonts w:hint="cs"/>
          <w:rtl/>
        </w:rPr>
        <w:t xml:space="preserve">במה שהקשה </w:t>
      </w:r>
      <w:r w:rsidRPr="00E90638">
        <w:rPr>
          <w:rStyle w:val="af9"/>
          <w:rFonts w:hint="cs"/>
          <w:rtl/>
        </w:rPr>
        <w:t xml:space="preserve">הרשב"א </w:t>
      </w:r>
      <w:r w:rsidRPr="00E90638">
        <w:rPr>
          <w:rStyle w:val="af7"/>
          <w:rFonts w:eastAsia="Guttman Hodes" w:hint="cs"/>
          <w:rtl/>
        </w:rPr>
        <w:t xml:space="preserve">(עי' אות </w:t>
      </w:r>
      <w:r w:rsidRPr="00E90638">
        <w:rPr>
          <w:rStyle w:val="af7"/>
          <w:rFonts w:eastAsia="Guttman Hodes"/>
          <w:rtl/>
        </w:rPr>
        <w:fldChar w:fldCharType="begin"/>
      </w:r>
      <w:r w:rsidRPr="00E90638">
        <w:rPr>
          <w:rStyle w:val="af7"/>
          <w:rFonts w:eastAsia="Guttman Hodes"/>
          <w:rtl/>
        </w:rPr>
        <w:instrText xml:space="preserve"> </w:instrText>
      </w:r>
      <w:r w:rsidRPr="00E90638">
        <w:rPr>
          <w:rStyle w:val="af7"/>
          <w:rFonts w:eastAsia="Guttman Hodes" w:hint="cs"/>
        </w:rPr>
        <w:instrText>REF</w:instrText>
      </w:r>
      <w:r w:rsidRPr="00E90638">
        <w:rPr>
          <w:rStyle w:val="af7"/>
          <w:rFonts w:eastAsia="Guttman Hodes" w:hint="cs"/>
          <w:rtl/>
        </w:rPr>
        <w:instrText xml:space="preserve"> _</w:instrText>
      </w:r>
      <w:r w:rsidRPr="00E90638">
        <w:rPr>
          <w:rStyle w:val="af7"/>
          <w:rFonts w:eastAsia="Guttman Hodes" w:hint="cs"/>
        </w:rPr>
        <w:instrText>Ref54859403 \r \h</w:instrText>
      </w:r>
      <w:r w:rsidRPr="00E90638">
        <w:rPr>
          <w:rStyle w:val="af7"/>
          <w:rFonts w:eastAsia="Guttman Hodes"/>
          <w:rtl/>
        </w:rPr>
        <w:instrText xml:space="preserve"> </w:instrText>
      </w:r>
      <w:r w:rsidRPr="00E90638">
        <w:rPr>
          <w:rStyle w:val="af7"/>
          <w:rFonts w:eastAsia="Guttman Hodes"/>
          <w:rtl/>
        </w:rPr>
      </w:r>
      <w:r w:rsidRPr="00E90638">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E90638">
        <w:rPr>
          <w:rStyle w:val="af7"/>
          <w:rFonts w:eastAsia="Guttman Hodes"/>
          <w:rtl/>
        </w:rPr>
        <w:fldChar w:fldCharType="end"/>
      </w:r>
      <w:r>
        <w:rPr>
          <w:rFonts w:hint="cs"/>
          <w:rtl/>
        </w:rPr>
        <w:t xml:space="preserve"> דתועיל חזקה בלא טענה מדין מחילה בקרקע, כמו דמהני מחילה בחזקת תשמישים, הקשה </w:t>
      </w:r>
      <w:r w:rsidRPr="00E90638">
        <w:rPr>
          <w:rStyle w:val="af9"/>
          <w:rFonts w:hint="cs"/>
          <w:rtl/>
        </w:rPr>
        <w:t xml:space="preserve">בחי' רבי נחום </w:t>
      </w:r>
      <w:r w:rsidRPr="00E90638">
        <w:rPr>
          <w:rStyle w:val="af7"/>
          <w:rFonts w:eastAsia="Guttman Hodes" w:hint="cs"/>
          <w:rtl/>
        </w:rPr>
        <w:t>(או' ט"ו)</w:t>
      </w:r>
      <w:r>
        <w:rPr>
          <w:rFonts w:hint="cs"/>
          <w:rtl/>
        </w:rPr>
        <w:t xml:space="preserve"> דאמאי הקשה </w:t>
      </w:r>
      <w:r w:rsidRPr="008E0E85">
        <w:rPr>
          <w:rStyle w:val="af9"/>
          <w:rFonts w:hint="cs"/>
          <w:rtl/>
        </w:rPr>
        <w:t>הרשב"א</w:t>
      </w:r>
      <w:r>
        <w:rPr>
          <w:rFonts w:hint="cs"/>
          <w:rtl/>
        </w:rPr>
        <w:t xml:space="preserve"> כן רק לדעת הולכי אושא דילפינן חזקה משור המועד, הא אף לדעת רבנן נאמר דכל שלא מחה המערער ג"ש, מוכח דמחל למחזיק על הקרקע, ותועיל חזקה אף בלא טענה.</w:t>
      </w:r>
    </w:p>
    <w:p w:rsidR="00900B10" w:rsidRDefault="00900B10" w:rsidP="00900B10">
      <w:pPr>
        <w:pStyle w:val="a3"/>
        <w:rPr>
          <w:rtl/>
        </w:rPr>
      </w:pPr>
      <w:bookmarkStart w:id="2812" w:name="_Toc55073035"/>
      <w:bookmarkStart w:id="2813" w:name="_Toc55073232"/>
      <w:bookmarkStart w:id="2814" w:name="_Toc55073643"/>
      <w:bookmarkStart w:id="2815" w:name="_Toc55074191"/>
      <w:r>
        <w:rPr>
          <w:rFonts w:hint="cs"/>
          <w:rtl/>
        </w:rPr>
        <w:t>ביאור הגרנ"פ דאף לרשב"א מחילה ל"מ להוציא ורק להולכי אושא דנעשה מוחזק דמי לתמישים</w:t>
      </w:r>
      <w:bookmarkEnd w:id="2812"/>
      <w:bookmarkEnd w:id="2813"/>
      <w:bookmarkEnd w:id="2814"/>
      <w:bookmarkEnd w:id="2815"/>
    </w:p>
    <w:p w:rsidR="00900B10" w:rsidRDefault="00900B10" w:rsidP="007E4E81">
      <w:pPr>
        <w:pStyle w:val="a0"/>
        <w:rPr>
          <w:rtl/>
        </w:rPr>
      </w:pPr>
      <w:bookmarkStart w:id="2816" w:name="_Ref55069057"/>
      <w:r>
        <w:rPr>
          <w:rFonts w:hint="cs"/>
          <w:rtl/>
        </w:rPr>
        <w:t xml:space="preserve">ותירץ </w:t>
      </w:r>
      <w:r w:rsidRPr="00E90638">
        <w:rPr>
          <w:rStyle w:val="af9"/>
          <w:rFonts w:hint="cs"/>
          <w:rtl/>
        </w:rPr>
        <w:t xml:space="preserve">בחי' רבי נחום </w:t>
      </w:r>
      <w:r>
        <w:rPr>
          <w:rFonts w:hint="cs"/>
          <w:rtl/>
        </w:rPr>
        <w:t xml:space="preserve">דמודה </w:t>
      </w:r>
      <w:r w:rsidRPr="00E90638">
        <w:rPr>
          <w:rStyle w:val="af9"/>
          <w:rFonts w:hint="cs"/>
          <w:rtl/>
        </w:rPr>
        <w:t xml:space="preserve">הרשב"א </w:t>
      </w:r>
      <w:r>
        <w:rPr>
          <w:rFonts w:hint="cs"/>
          <w:rtl/>
        </w:rPr>
        <w:t xml:space="preserve">דאין בכח המחילה להוציא ממון מחזקת המוחזק, </w:t>
      </w:r>
      <w:r w:rsidRPr="00A32F4F">
        <w:rPr>
          <w:rStyle w:val="afb"/>
          <w:rFonts w:hint="cs"/>
          <w:rtl/>
        </w:rPr>
        <w:t xml:space="preserve">[ורק בתשמישים מהני מחילה לדעת </w:t>
      </w:r>
      <w:r w:rsidRPr="00A32F4F">
        <w:rPr>
          <w:rStyle w:val="affa"/>
          <w:rFonts w:hint="cs"/>
          <w:rtl/>
        </w:rPr>
        <w:t>הגאונים</w:t>
      </w:r>
      <w:r w:rsidRPr="00A32F4F">
        <w:rPr>
          <w:rStyle w:val="afb"/>
          <w:rFonts w:hint="cs"/>
          <w:rtl/>
        </w:rPr>
        <w:t>, דלא חשיב הוצאת ממון דהתשמיש אינו בחזקת המרא קמא],</w:t>
      </w:r>
      <w:r>
        <w:rPr>
          <w:rFonts w:hint="cs"/>
          <w:rtl/>
        </w:rPr>
        <w:t xml:space="preserve"> וא"כ לדעת רבנן דאף לאחר חזקת ג"ש, עדיין המרא קמא הוא המוחזק, ודאי דלא מהני המחילה, ורק להולכי אושא דילפינן משור המועד דבחזקת ג"ש יצאה הקרקע מחזקת המרא קמא</w:t>
      </w:r>
      <w:r w:rsidRPr="00DE0EFE">
        <w:rPr>
          <w:rStyle w:val="afb"/>
          <w:rFonts w:hint="cs"/>
          <w:rtl/>
        </w:rPr>
        <w:t xml:space="preserve">, [כדביאר </w:t>
      </w:r>
      <w:r w:rsidRPr="00DE0EFE">
        <w:rPr>
          <w:rStyle w:val="affa"/>
          <w:rFonts w:hint="cs"/>
          <w:rtl/>
        </w:rPr>
        <w:t>הרשב"א</w:t>
      </w:r>
      <w:r w:rsidRPr="00DE0EFE">
        <w:rPr>
          <w:rStyle w:val="afb"/>
          <w:rFonts w:hint="cs"/>
          <w:rtl/>
        </w:rPr>
        <w:t xml:space="preserve"> </w:t>
      </w:r>
      <w:r w:rsidRPr="008E0E85">
        <w:rPr>
          <w:rStyle w:val="aff6"/>
          <w:rFonts w:hint="cs"/>
          <w:rtl/>
        </w:rPr>
        <w:t xml:space="preserve">(עי' אות </w:t>
      </w:r>
      <w:r w:rsidRPr="008E0E85">
        <w:rPr>
          <w:rStyle w:val="aff6"/>
          <w:rtl/>
        </w:rPr>
        <w:fldChar w:fldCharType="begin"/>
      </w:r>
      <w:r w:rsidRPr="008E0E85">
        <w:rPr>
          <w:rStyle w:val="aff6"/>
          <w:rtl/>
        </w:rPr>
        <w:instrText xml:space="preserve"> </w:instrText>
      </w:r>
      <w:r w:rsidRPr="008E0E85">
        <w:rPr>
          <w:rStyle w:val="aff6"/>
          <w:rFonts w:hint="cs"/>
        </w:rPr>
        <w:instrText>REF</w:instrText>
      </w:r>
      <w:r w:rsidRPr="008E0E85">
        <w:rPr>
          <w:rStyle w:val="aff6"/>
          <w:rFonts w:hint="cs"/>
          <w:rtl/>
        </w:rPr>
        <w:instrText xml:space="preserve"> _</w:instrText>
      </w:r>
      <w:r w:rsidRPr="008E0E85">
        <w:rPr>
          <w:rStyle w:val="aff6"/>
          <w:rFonts w:hint="cs"/>
        </w:rPr>
        <w:instrText>Ref54859080 \r \h</w:instrText>
      </w:r>
      <w:r w:rsidRPr="008E0E85">
        <w:rPr>
          <w:rStyle w:val="aff6"/>
          <w:rtl/>
        </w:rPr>
        <w:instrText xml:space="preserve"> </w:instrText>
      </w:r>
      <w:r w:rsidRPr="008E0E85">
        <w:rPr>
          <w:rStyle w:val="aff6"/>
          <w:rtl/>
        </w:rPr>
      </w:r>
      <w:r w:rsidRPr="008E0E85">
        <w:rPr>
          <w:rStyle w:val="aff6"/>
          <w:rtl/>
        </w:rPr>
        <w:fldChar w:fldCharType="separate"/>
      </w:r>
      <w:r w:rsidR="00265073">
        <w:rPr>
          <w:rStyle w:val="aff6"/>
          <w:cs/>
        </w:rPr>
        <w:t>‎</w:t>
      </w:r>
      <w:r w:rsidR="00265073">
        <w:rPr>
          <w:rStyle w:val="aff6"/>
          <w:rtl/>
        </w:rPr>
        <w:t>נא)</w:t>
      </w:r>
      <w:r w:rsidRPr="008E0E85">
        <w:rPr>
          <w:rStyle w:val="aff6"/>
          <w:rtl/>
        </w:rPr>
        <w:fldChar w:fldCharType="end"/>
      </w:r>
      <w:r w:rsidRPr="00DE0EFE">
        <w:rPr>
          <w:rStyle w:val="afb"/>
          <w:rFonts w:hint="cs"/>
          <w:rtl/>
        </w:rPr>
        <w:t xml:space="preserve">], </w:t>
      </w:r>
      <w:r>
        <w:rPr>
          <w:rFonts w:hint="cs"/>
          <w:rtl/>
        </w:rPr>
        <w:t xml:space="preserve">א"כ קשה דכיון שהמחזיק הוא המוחזק, תועיל חזקה בלא טענה, כיון שיש לו ראיה שמהערער מחל לו על הקרקע, ועי' בדברי </w:t>
      </w:r>
      <w:r w:rsidRPr="00DE0EFE">
        <w:rPr>
          <w:rStyle w:val="af9"/>
          <w:rFonts w:hint="cs"/>
          <w:rtl/>
        </w:rPr>
        <w:t>הברכ"ש</w:t>
      </w:r>
      <w:r>
        <w:rPr>
          <w:rFonts w:hint="cs"/>
          <w:rtl/>
        </w:rPr>
        <w:t xml:space="preserve"> </w:t>
      </w:r>
      <w:r w:rsidRPr="00DE0EFE">
        <w:rPr>
          <w:rStyle w:val="af7"/>
          <w:rFonts w:eastAsia="Guttman Hodes" w:hint="cs"/>
          <w:rtl/>
        </w:rPr>
        <w:t xml:space="preserve">(עי' אות </w:t>
      </w:r>
      <w:r w:rsidRPr="00DE0EFE">
        <w:rPr>
          <w:rStyle w:val="af7"/>
          <w:rFonts w:eastAsia="Guttman Hodes"/>
          <w:rtl/>
        </w:rPr>
        <w:fldChar w:fldCharType="begin"/>
      </w:r>
      <w:r w:rsidRPr="00DE0EFE">
        <w:rPr>
          <w:rStyle w:val="af7"/>
          <w:rFonts w:eastAsia="Guttman Hodes"/>
          <w:rtl/>
        </w:rPr>
        <w:instrText xml:space="preserve"> </w:instrText>
      </w:r>
      <w:r w:rsidRPr="00DE0EFE">
        <w:rPr>
          <w:rStyle w:val="af7"/>
          <w:rFonts w:eastAsia="Guttman Hodes" w:hint="cs"/>
        </w:rPr>
        <w:instrText>REF</w:instrText>
      </w:r>
      <w:r w:rsidRPr="00DE0EFE">
        <w:rPr>
          <w:rStyle w:val="af7"/>
          <w:rFonts w:eastAsia="Guttman Hodes" w:hint="cs"/>
          <w:rtl/>
        </w:rPr>
        <w:instrText xml:space="preserve"> _</w:instrText>
      </w:r>
      <w:r w:rsidRPr="00DE0EFE">
        <w:rPr>
          <w:rStyle w:val="af7"/>
          <w:rFonts w:eastAsia="Guttman Hodes" w:hint="cs"/>
        </w:rPr>
        <w:instrText>Ref54886417 \r \h</w:instrText>
      </w:r>
      <w:r w:rsidRPr="00DE0EFE">
        <w:rPr>
          <w:rStyle w:val="af7"/>
          <w:rFonts w:eastAsia="Guttman Hodes"/>
          <w:rtl/>
        </w:rPr>
        <w:instrText xml:space="preserve"> </w:instrText>
      </w:r>
      <w:r w:rsidRPr="00DE0EFE">
        <w:rPr>
          <w:rStyle w:val="af7"/>
          <w:rFonts w:eastAsia="Guttman Hodes"/>
          <w:rtl/>
        </w:rPr>
      </w:r>
      <w:r w:rsidRPr="00DE0EFE">
        <w:rPr>
          <w:rStyle w:val="af7"/>
          <w:rFonts w:eastAsia="Guttman Hodes"/>
          <w:rtl/>
        </w:rPr>
        <w:fldChar w:fldCharType="separate"/>
      </w:r>
      <w:r w:rsidR="00265073">
        <w:rPr>
          <w:rStyle w:val="af7"/>
          <w:rFonts w:eastAsia="Guttman Hodes"/>
          <w:cs/>
        </w:rPr>
        <w:t>‎</w:t>
      </w:r>
      <w:r w:rsidR="00265073">
        <w:rPr>
          <w:rStyle w:val="af7"/>
          <w:rFonts w:eastAsia="Guttman Hodes"/>
          <w:rtl/>
        </w:rPr>
        <w:t>צג)</w:t>
      </w:r>
      <w:r w:rsidRPr="00DE0EFE">
        <w:rPr>
          <w:rStyle w:val="af7"/>
          <w:rFonts w:eastAsia="Guttman Hodes"/>
          <w:rtl/>
        </w:rPr>
        <w:fldChar w:fldCharType="end"/>
      </w:r>
      <w:r>
        <w:rPr>
          <w:rFonts w:hint="cs"/>
          <w:rtl/>
        </w:rPr>
        <w:t>.</w:t>
      </w:r>
      <w:bookmarkEnd w:id="2816"/>
    </w:p>
    <w:p w:rsidR="00900B10" w:rsidRPr="000317F8" w:rsidRDefault="00900B10" w:rsidP="00900B10">
      <w:pPr>
        <w:pStyle w:val="afe"/>
        <w:rPr>
          <w:rtl/>
        </w:rPr>
      </w:pPr>
      <w:bookmarkStart w:id="2817" w:name="_Toc54887764"/>
      <w:bookmarkStart w:id="2818" w:name="_Toc54891217"/>
      <w:bookmarkStart w:id="2819" w:name="_Toc54903512"/>
      <w:bookmarkStart w:id="2820" w:name="_Toc54948521"/>
      <w:bookmarkStart w:id="2821" w:name="_Toc54952133"/>
      <w:bookmarkStart w:id="2822" w:name="_Toc55073036"/>
      <w:bookmarkStart w:id="2823" w:name="_Toc55073233"/>
      <w:bookmarkStart w:id="2824" w:name="_Toc55073644"/>
      <w:bookmarkStart w:id="2825" w:name="_Toc55074192"/>
      <w:r>
        <w:rPr>
          <w:rFonts w:hint="cs"/>
          <w:rtl/>
        </w:rPr>
        <w:t>בדעת התוס' דמחל בהוחזק שתקן</w:t>
      </w:r>
      <w:bookmarkEnd w:id="2817"/>
      <w:bookmarkEnd w:id="2818"/>
      <w:bookmarkEnd w:id="2819"/>
      <w:bookmarkEnd w:id="2820"/>
      <w:bookmarkEnd w:id="2821"/>
      <w:bookmarkEnd w:id="2822"/>
      <w:bookmarkEnd w:id="2823"/>
      <w:bookmarkEnd w:id="2824"/>
      <w:bookmarkEnd w:id="2825"/>
    </w:p>
    <w:p w:rsidR="00900B10" w:rsidRDefault="00900B10" w:rsidP="00900B10">
      <w:pPr>
        <w:pStyle w:val="1"/>
        <w:rPr>
          <w:rtl/>
        </w:rPr>
      </w:pPr>
      <w:bookmarkStart w:id="2826" w:name="_Toc54867242"/>
      <w:bookmarkStart w:id="2827" w:name="_Toc54868841"/>
      <w:bookmarkStart w:id="2828" w:name="_Toc54887765"/>
      <w:bookmarkStart w:id="2829" w:name="_Toc54891218"/>
      <w:bookmarkStart w:id="2830" w:name="_Toc54903513"/>
      <w:bookmarkStart w:id="2831" w:name="_Toc54948522"/>
      <w:bookmarkStart w:id="2832" w:name="_Toc54952134"/>
      <w:bookmarkStart w:id="2833" w:name="_Toc55073037"/>
      <w:bookmarkStart w:id="2834" w:name="_Toc55073234"/>
      <w:bookmarkStart w:id="2835" w:name="_Toc55073645"/>
      <w:bookmarkStart w:id="2836" w:name="_Toc55074193"/>
      <w:r>
        <w:rPr>
          <w:rFonts w:hint="cs"/>
          <w:rtl/>
        </w:rPr>
        <w:t>ביאור הברכ"ש בתוס'</w:t>
      </w:r>
      <w:bookmarkEnd w:id="2777"/>
      <w:bookmarkEnd w:id="2811"/>
      <w:bookmarkEnd w:id="2826"/>
      <w:bookmarkEnd w:id="2827"/>
      <w:bookmarkEnd w:id="2828"/>
      <w:bookmarkEnd w:id="2829"/>
      <w:bookmarkEnd w:id="2830"/>
      <w:bookmarkEnd w:id="2831"/>
      <w:bookmarkEnd w:id="2832"/>
      <w:bookmarkEnd w:id="2833"/>
      <w:bookmarkEnd w:id="2834"/>
      <w:bookmarkEnd w:id="2835"/>
      <w:bookmarkEnd w:id="2836"/>
      <w:r>
        <w:rPr>
          <w:rFonts w:hint="cs"/>
          <w:rtl/>
        </w:rPr>
        <w:t xml:space="preserve"> דהוא מוחזק וסגי באומדנא שנראה כמכר</w:t>
      </w:r>
    </w:p>
    <w:p w:rsidR="00900B10" w:rsidRDefault="00900B10" w:rsidP="00900B10">
      <w:pPr>
        <w:pStyle w:val="a3"/>
      </w:pPr>
      <w:bookmarkStart w:id="2837" w:name="_Toc55073038"/>
      <w:bookmarkStart w:id="2838" w:name="_Toc55073235"/>
      <w:bookmarkStart w:id="2839" w:name="_Toc55073646"/>
      <w:bookmarkStart w:id="2840" w:name="_Toc55074194"/>
      <w:r>
        <w:rPr>
          <w:rFonts w:hint="cs"/>
          <w:rtl/>
        </w:rPr>
        <w:t>קושית הברכ"ש על תוס' דאף שמוכח שמחל מ"מ מחילה ל"מ לקנין דהיא דברים שבלב</w:t>
      </w:r>
      <w:bookmarkEnd w:id="2837"/>
      <w:bookmarkEnd w:id="2838"/>
      <w:bookmarkEnd w:id="2839"/>
      <w:bookmarkEnd w:id="2840"/>
    </w:p>
    <w:p w:rsidR="00900B10" w:rsidRDefault="00900B10" w:rsidP="007E4E81">
      <w:pPr>
        <w:pStyle w:val="a0"/>
        <w:rPr>
          <w:rtl/>
        </w:rPr>
      </w:pPr>
      <w:bookmarkStart w:id="2841" w:name="_Ref54885483"/>
      <w:r>
        <w:rPr>
          <w:rFonts w:hint="cs"/>
          <w:rtl/>
        </w:rPr>
        <w:t xml:space="preserve">במ"ש </w:t>
      </w:r>
      <w:r w:rsidRPr="00A32F4F">
        <w:rPr>
          <w:rStyle w:val="af9"/>
          <w:rFonts w:hint="cs"/>
          <w:rtl/>
        </w:rPr>
        <w:t>התוס'</w:t>
      </w:r>
      <w:r w:rsidRPr="00EE73CB">
        <w:rPr>
          <w:rStyle w:val="af9"/>
          <w:rFonts w:hint="cs"/>
          <w:rtl/>
        </w:rPr>
        <w:t xml:space="preserve"> </w:t>
      </w:r>
      <w:r w:rsidRPr="000A7081">
        <w:rPr>
          <w:rStyle w:val="af9"/>
          <w:rFonts w:hint="cs"/>
          <w:rtl/>
        </w:rPr>
        <w:t>בביאורם הא'</w:t>
      </w:r>
      <w:r>
        <w:rPr>
          <w:rFonts w:hint="cs"/>
          <w:rtl/>
        </w:rPr>
        <w:t xml:space="preserve"> </w:t>
      </w:r>
      <w:r w:rsidRPr="0023037D">
        <w:rPr>
          <w:rStyle w:val="af7"/>
          <w:rFonts w:eastAsia="Guttman Hodes" w:hint="cs"/>
          <w:rtl/>
        </w:rPr>
        <w:t xml:space="preserve">(עי' אות </w:t>
      </w:r>
      <w:r w:rsidRPr="0023037D">
        <w:rPr>
          <w:rStyle w:val="af7"/>
          <w:rFonts w:eastAsia="Guttman Hodes"/>
          <w:rtl/>
        </w:rPr>
        <w:fldChar w:fldCharType="begin"/>
      </w:r>
      <w:r w:rsidRPr="0023037D">
        <w:rPr>
          <w:rStyle w:val="af7"/>
          <w:rFonts w:eastAsia="Guttman Hodes"/>
          <w:rtl/>
        </w:rPr>
        <w:instrText xml:space="preserve"> </w:instrText>
      </w:r>
      <w:r w:rsidRPr="0023037D">
        <w:rPr>
          <w:rStyle w:val="af7"/>
          <w:rFonts w:eastAsia="Guttman Hodes" w:hint="cs"/>
        </w:rPr>
        <w:instrText>REF</w:instrText>
      </w:r>
      <w:r w:rsidRPr="0023037D">
        <w:rPr>
          <w:rStyle w:val="af7"/>
          <w:rFonts w:eastAsia="Guttman Hodes" w:hint="cs"/>
          <w:rtl/>
        </w:rPr>
        <w:instrText xml:space="preserve"> _</w:instrText>
      </w:r>
      <w:r w:rsidRPr="0023037D">
        <w:rPr>
          <w:rStyle w:val="af7"/>
          <w:rFonts w:eastAsia="Guttman Hodes" w:hint="cs"/>
        </w:rPr>
        <w:instrText>Ref54601264 \r \h</w:instrText>
      </w:r>
      <w:r w:rsidRPr="0023037D">
        <w:rPr>
          <w:rStyle w:val="af7"/>
          <w:rFonts w:eastAsia="Guttman Hodes"/>
          <w:rtl/>
        </w:rPr>
        <w:instrText xml:space="preserve"> </w:instrText>
      </w:r>
      <w:r w:rsidRPr="0023037D">
        <w:rPr>
          <w:rStyle w:val="af7"/>
          <w:rFonts w:eastAsia="Guttman Hodes"/>
          <w:rtl/>
        </w:rPr>
      </w:r>
      <w:r w:rsidRPr="0023037D">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23037D">
        <w:rPr>
          <w:rStyle w:val="af7"/>
          <w:rFonts w:eastAsia="Guttman Hodes"/>
          <w:rtl/>
        </w:rPr>
        <w:fldChar w:fldCharType="end"/>
      </w:r>
      <w:r w:rsidRPr="0023037D">
        <w:rPr>
          <w:rStyle w:val="af7"/>
          <w:rFonts w:eastAsia="Guttman Hodes" w:hint="cs"/>
          <w:rtl/>
        </w:rPr>
        <w:t xml:space="preserve"> </w:t>
      </w:r>
      <w:r>
        <w:rPr>
          <w:rFonts w:hint="cs"/>
          <w:rtl/>
        </w:rPr>
        <w:t xml:space="preserve">דכוונת הגמ' להקשות דתועיל חזקה בלא טענה, כמו דבשור המועד, לאחר ג' נגיחות הוא עומד בחזקת נגחן, ה"ה בחזקת ג"ש, דכל שאכל המחזיק ג"ש ולא מחה המערער, יש חזקה שלא ימחה יותר, וא"כ אף כשהמחזיק אינו טוען כל טענה, תהיה השדה שלו, דאמרינן דהמערער מחל למחזיק על הקרקע, הקשה </w:t>
      </w:r>
      <w:r w:rsidRPr="00A32F4F">
        <w:rPr>
          <w:rStyle w:val="af9"/>
          <w:rFonts w:hint="cs"/>
          <w:rtl/>
        </w:rPr>
        <w:t>הברכ"ש</w:t>
      </w:r>
      <w:r>
        <w:rPr>
          <w:rFonts w:hint="cs"/>
          <w:rtl/>
        </w:rPr>
        <w:t xml:space="preserve"> </w:t>
      </w:r>
      <w:r w:rsidRPr="00CA6D6E">
        <w:rPr>
          <w:rStyle w:val="af7"/>
          <w:rFonts w:eastAsia="Guttman Hodes" w:hint="cs"/>
          <w:rtl/>
        </w:rPr>
        <w:t xml:space="preserve">(סי' כ"ה או' ד') </w:t>
      </w:r>
      <w:r>
        <w:rPr>
          <w:rFonts w:hint="cs"/>
          <w:rtl/>
        </w:rPr>
        <w:t xml:space="preserve">דאף שיש הוכחה דמחל, מ"מ המחילה לא מהני, דהא אף במחילה על תשמישים צריך שימחול בפירוש ומחילה בלב לא מהני, </w:t>
      </w:r>
      <w:r w:rsidRPr="00CA6D6E">
        <w:rPr>
          <w:rStyle w:val="afb"/>
          <w:rFonts w:hint="cs"/>
          <w:rtl/>
        </w:rPr>
        <w:t xml:space="preserve">[כדביאר </w:t>
      </w:r>
      <w:r w:rsidRPr="00CA6D6E">
        <w:rPr>
          <w:rStyle w:val="affa"/>
          <w:rFonts w:hint="cs"/>
          <w:rtl/>
        </w:rPr>
        <w:t>הברכ"ש</w:t>
      </w:r>
      <w:r w:rsidRPr="00CA6D6E">
        <w:rPr>
          <w:rStyle w:val="afb"/>
          <w:rFonts w:hint="cs"/>
          <w:rtl/>
        </w:rPr>
        <w:t xml:space="preserve"> </w:t>
      </w:r>
      <w:r w:rsidRPr="00CA6D6E">
        <w:rPr>
          <w:rStyle w:val="aff6"/>
          <w:rFonts w:hint="cs"/>
          <w:rtl/>
        </w:rPr>
        <w:t xml:space="preserve">(עי' אות </w:t>
      </w:r>
      <w:r w:rsidRPr="00CA6D6E">
        <w:rPr>
          <w:rStyle w:val="aff6"/>
          <w:rtl/>
        </w:rPr>
        <w:fldChar w:fldCharType="begin"/>
      </w:r>
      <w:r w:rsidRPr="00CA6D6E">
        <w:rPr>
          <w:rStyle w:val="aff6"/>
          <w:rtl/>
        </w:rPr>
        <w:instrText xml:space="preserve"> </w:instrText>
      </w:r>
      <w:r w:rsidRPr="00CA6D6E">
        <w:rPr>
          <w:rStyle w:val="aff6"/>
          <w:rFonts w:hint="cs"/>
        </w:rPr>
        <w:instrText>REF</w:instrText>
      </w:r>
      <w:r w:rsidRPr="00CA6D6E">
        <w:rPr>
          <w:rStyle w:val="aff6"/>
          <w:rFonts w:hint="cs"/>
          <w:rtl/>
        </w:rPr>
        <w:instrText xml:space="preserve"> _</w:instrText>
      </w:r>
      <w:r w:rsidRPr="00CA6D6E">
        <w:rPr>
          <w:rStyle w:val="aff6"/>
          <w:rFonts w:hint="cs"/>
        </w:rPr>
        <w:instrText>Ref55069362 \r \h</w:instrText>
      </w:r>
      <w:r w:rsidRPr="00CA6D6E">
        <w:rPr>
          <w:rStyle w:val="aff6"/>
          <w:rtl/>
        </w:rPr>
        <w:instrText xml:space="preserve"> </w:instrText>
      </w:r>
      <w:r w:rsidRPr="00CA6D6E">
        <w:rPr>
          <w:rStyle w:val="aff6"/>
          <w:rtl/>
        </w:rPr>
      </w:r>
      <w:r w:rsidRPr="00CA6D6E">
        <w:rPr>
          <w:rStyle w:val="aff6"/>
          <w:rtl/>
        </w:rPr>
        <w:fldChar w:fldCharType="separate"/>
      </w:r>
      <w:r w:rsidR="00265073">
        <w:rPr>
          <w:rStyle w:val="aff6"/>
          <w:cs/>
        </w:rPr>
        <w:t>‎</w:t>
      </w:r>
      <w:r w:rsidR="00265073">
        <w:rPr>
          <w:rStyle w:val="aff6"/>
          <w:rtl/>
        </w:rPr>
        <w:t>צג)</w:t>
      </w:r>
      <w:r w:rsidRPr="00CA6D6E">
        <w:rPr>
          <w:rStyle w:val="aff6"/>
          <w:rtl/>
        </w:rPr>
        <w:fldChar w:fldCharType="end"/>
      </w:r>
      <w:r w:rsidRPr="00CA6D6E">
        <w:rPr>
          <w:rStyle w:val="afb"/>
          <w:rFonts w:hint="cs"/>
          <w:rtl/>
        </w:rPr>
        <w:t xml:space="preserve"> </w:t>
      </w:r>
      <w:r w:rsidRPr="00CA6D6E">
        <w:rPr>
          <w:rStyle w:val="affa"/>
          <w:rFonts w:hint="cs"/>
          <w:rtl/>
        </w:rPr>
        <w:t>ברשב"א</w:t>
      </w:r>
      <w:r>
        <w:rPr>
          <w:rFonts w:hint="cs"/>
          <w:rtl/>
        </w:rPr>
        <w:t xml:space="preserve"> </w:t>
      </w:r>
      <w:r w:rsidRPr="00CA6D6E">
        <w:rPr>
          <w:rStyle w:val="aff6"/>
          <w:rFonts w:hint="cs"/>
          <w:rtl/>
        </w:rPr>
        <w:t xml:space="preserve">(עי' אות </w:t>
      </w:r>
      <w:r w:rsidRPr="00CA6D6E">
        <w:rPr>
          <w:rStyle w:val="aff6"/>
          <w:rtl/>
        </w:rPr>
        <w:fldChar w:fldCharType="begin"/>
      </w:r>
      <w:r w:rsidRPr="00CA6D6E">
        <w:rPr>
          <w:rStyle w:val="aff6"/>
          <w:rtl/>
        </w:rPr>
        <w:instrText xml:space="preserve"> </w:instrText>
      </w:r>
      <w:r w:rsidRPr="00CA6D6E">
        <w:rPr>
          <w:rStyle w:val="aff6"/>
          <w:rFonts w:hint="cs"/>
        </w:rPr>
        <w:instrText>REF</w:instrText>
      </w:r>
      <w:r w:rsidRPr="00CA6D6E">
        <w:rPr>
          <w:rStyle w:val="aff6"/>
          <w:rFonts w:hint="cs"/>
          <w:rtl/>
        </w:rPr>
        <w:instrText xml:space="preserve"> _</w:instrText>
      </w:r>
      <w:r w:rsidRPr="00CA6D6E">
        <w:rPr>
          <w:rStyle w:val="aff6"/>
          <w:rFonts w:hint="cs"/>
        </w:rPr>
        <w:instrText>Ref54712313 \r \h</w:instrText>
      </w:r>
      <w:r w:rsidRPr="00CA6D6E">
        <w:rPr>
          <w:rStyle w:val="aff6"/>
          <w:rtl/>
        </w:rPr>
        <w:instrText xml:space="preserve"> </w:instrText>
      </w:r>
      <w:r w:rsidRPr="00CA6D6E">
        <w:rPr>
          <w:rStyle w:val="aff6"/>
          <w:rtl/>
        </w:rPr>
      </w:r>
      <w:r w:rsidRPr="00CA6D6E">
        <w:rPr>
          <w:rStyle w:val="aff6"/>
          <w:rtl/>
        </w:rPr>
        <w:fldChar w:fldCharType="separate"/>
      </w:r>
      <w:r w:rsidR="00265073">
        <w:rPr>
          <w:rStyle w:val="aff6"/>
          <w:cs/>
        </w:rPr>
        <w:t>‎</w:t>
      </w:r>
      <w:r w:rsidR="00265073">
        <w:rPr>
          <w:rStyle w:val="aff6"/>
          <w:rtl/>
        </w:rPr>
        <w:t>נד)</w:t>
      </w:r>
      <w:r w:rsidRPr="00CA6D6E">
        <w:rPr>
          <w:rStyle w:val="aff6"/>
          <w:rtl/>
        </w:rPr>
        <w:fldChar w:fldCharType="end"/>
      </w:r>
      <w:r w:rsidRPr="00CA6D6E">
        <w:rPr>
          <w:rStyle w:val="afb"/>
          <w:rFonts w:hint="cs"/>
          <w:rtl/>
        </w:rPr>
        <w:t>],</w:t>
      </w:r>
      <w:r>
        <w:rPr>
          <w:rFonts w:hint="cs"/>
          <w:rtl/>
        </w:rPr>
        <w:t xml:space="preserve"> כיון שצריך קנין ודברים שבלב לא מהני לקנין, וא"כ אף דמוכח שמחל, מ"מ כיון שלא מחל בפירוש הוי דברים שבלב ולא מהני, וע"ע במה שהוסיף להקשות </w:t>
      </w:r>
      <w:r w:rsidRPr="00CA6D6E">
        <w:rPr>
          <w:rStyle w:val="af9"/>
          <w:rFonts w:hint="cs"/>
          <w:rtl/>
        </w:rPr>
        <w:t>בחו"ש הגרב"ב</w:t>
      </w:r>
      <w:r>
        <w:rPr>
          <w:rFonts w:hint="cs"/>
          <w:rtl/>
        </w:rPr>
        <w:t xml:space="preserve"> </w:t>
      </w:r>
      <w:r w:rsidRPr="00CA6D6E">
        <w:rPr>
          <w:rStyle w:val="af7"/>
          <w:rFonts w:eastAsia="Guttman Hodes" w:hint="cs"/>
          <w:rtl/>
        </w:rPr>
        <w:t>(ח"א סי' ט' ד"ה והנה צריכין)</w:t>
      </w:r>
      <w:r>
        <w:rPr>
          <w:rFonts w:hint="cs"/>
          <w:rtl/>
        </w:rPr>
        <w:t>.</w:t>
      </w:r>
      <w:bookmarkEnd w:id="2841"/>
    </w:p>
    <w:p w:rsidR="00900B10" w:rsidRDefault="00900B10" w:rsidP="00900B10">
      <w:pPr>
        <w:pStyle w:val="a3"/>
        <w:rPr>
          <w:rtl/>
        </w:rPr>
      </w:pPr>
      <w:bookmarkStart w:id="2842" w:name="_Toc55073039"/>
      <w:bookmarkStart w:id="2843" w:name="_Toc55073236"/>
      <w:bookmarkStart w:id="2844" w:name="_Toc55073647"/>
      <w:bookmarkStart w:id="2845" w:name="_Toc55074195"/>
      <w:r>
        <w:rPr>
          <w:rFonts w:hint="cs"/>
          <w:rtl/>
        </w:rPr>
        <w:t>ביאור הברכ"ש דשתיקת המערער על ג"ש הוא אומדנא גמורה אך קשה דלא אמר לך חזק וקני</w:t>
      </w:r>
      <w:bookmarkEnd w:id="2842"/>
      <w:bookmarkEnd w:id="2843"/>
      <w:bookmarkEnd w:id="2844"/>
      <w:bookmarkEnd w:id="2845"/>
    </w:p>
    <w:p w:rsidR="00900B10" w:rsidRPr="00CA6D6E" w:rsidRDefault="00900B10" w:rsidP="007E4E81">
      <w:pPr>
        <w:pStyle w:val="a0"/>
        <w:rPr>
          <w:rStyle w:val="afb"/>
          <w:rtl/>
        </w:rPr>
      </w:pPr>
      <w:r>
        <w:rPr>
          <w:rFonts w:hint="cs"/>
          <w:rtl/>
        </w:rPr>
        <w:t xml:space="preserve">וביאר </w:t>
      </w:r>
      <w:r w:rsidRPr="000A7081">
        <w:rPr>
          <w:rStyle w:val="af9"/>
          <w:rFonts w:hint="cs"/>
          <w:rtl/>
        </w:rPr>
        <w:t>הברכ"ש</w:t>
      </w:r>
      <w:r>
        <w:rPr>
          <w:rFonts w:hint="cs"/>
          <w:rtl/>
        </w:rPr>
        <w:t xml:space="preserve"> דכל שהחזיק בשדהו ג"ש ולא מחה, חשיב כמחילה שהיא בלבו ובלב כל אדם, אך הקשה </w:t>
      </w:r>
      <w:r w:rsidRPr="000A7081">
        <w:rPr>
          <w:rStyle w:val="af9"/>
          <w:rFonts w:hint="cs"/>
          <w:rtl/>
        </w:rPr>
        <w:t>הברכ"ש</w:t>
      </w:r>
      <w:r>
        <w:rPr>
          <w:rFonts w:hint="cs"/>
          <w:rtl/>
        </w:rPr>
        <w:t xml:space="preserve"> דמ"מ היאך תועיל השתיקה להחשיב כמי שמכר לו את השדה, וכדכתב </w:t>
      </w:r>
      <w:r w:rsidRPr="00CA6D6E">
        <w:rPr>
          <w:rStyle w:val="af9"/>
          <w:rFonts w:hint="cs"/>
          <w:rtl/>
        </w:rPr>
        <w:t>הרשב"א</w:t>
      </w:r>
      <w:r>
        <w:rPr>
          <w:rFonts w:hint="cs"/>
          <w:rtl/>
        </w:rPr>
        <w:t xml:space="preserve"> </w:t>
      </w:r>
      <w:r w:rsidRPr="00C279DB">
        <w:rPr>
          <w:rStyle w:val="af7"/>
          <w:rFonts w:eastAsia="Guttman Hodes" w:hint="cs"/>
          <w:rtl/>
        </w:rPr>
        <w:t xml:space="preserve">(עי' אות </w:t>
      </w:r>
      <w:r w:rsidRPr="00C279DB">
        <w:rPr>
          <w:rStyle w:val="af7"/>
          <w:rFonts w:eastAsia="Guttman Hodes"/>
          <w:rtl/>
        </w:rPr>
        <w:fldChar w:fldCharType="begin"/>
      </w:r>
      <w:r w:rsidRPr="00C279DB">
        <w:rPr>
          <w:rStyle w:val="af7"/>
          <w:rFonts w:eastAsia="Guttman Hodes"/>
          <w:rtl/>
        </w:rPr>
        <w:instrText xml:space="preserve"> </w:instrText>
      </w:r>
      <w:r w:rsidRPr="00C279DB">
        <w:rPr>
          <w:rStyle w:val="af7"/>
          <w:rFonts w:eastAsia="Guttman Hodes" w:hint="cs"/>
        </w:rPr>
        <w:instrText>REF</w:instrText>
      </w:r>
      <w:r w:rsidRPr="00C279DB">
        <w:rPr>
          <w:rStyle w:val="af7"/>
          <w:rFonts w:eastAsia="Guttman Hodes" w:hint="cs"/>
          <w:rtl/>
        </w:rPr>
        <w:instrText xml:space="preserve"> _</w:instrText>
      </w:r>
      <w:r w:rsidRPr="00C279DB">
        <w:rPr>
          <w:rStyle w:val="af7"/>
          <w:rFonts w:eastAsia="Guttman Hodes" w:hint="cs"/>
        </w:rPr>
        <w:instrText>Ref55069588 \r \h</w:instrText>
      </w:r>
      <w:r w:rsidRPr="00C279DB">
        <w:rPr>
          <w:rStyle w:val="af7"/>
          <w:rFonts w:eastAsia="Guttman Hodes"/>
          <w:rtl/>
        </w:rPr>
        <w:instrText xml:space="preserve"> </w:instrText>
      </w:r>
      <w:r w:rsidRPr="00C279DB">
        <w:rPr>
          <w:rStyle w:val="af7"/>
          <w:rFonts w:eastAsia="Guttman Hodes"/>
          <w:rtl/>
        </w:rPr>
      </w:r>
      <w:r w:rsidRPr="00C279DB">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C279DB">
        <w:rPr>
          <w:rStyle w:val="af7"/>
          <w:rFonts w:eastAsia="Guttman Hodes"/>
          <w:rtl/>
        </w:rPr>
        <w:fldChar w:fldCharType="end"/>
      </w:r>
      <w:r>
        <w:rPr>
          <w:rFonts w:hint="cs"/>
          <w:rtl/>
        </w:rPr>
        <w:t xml:space="preserve"> דלא חשיב שאמר לו לך חזק וקני. </w:t>
      </w:r>
      <w:r w:rsidRPr="00CA6D6E">
        <w:rPr>
          <w:rStyle w:val="afb"/>
          <w:rFonts w:hint="cs"/>
          <w:rtl/>
        </w:rPr>
        <w:t xml:space="preserve">[ועי' במ"ש </w:t>
      </w:r>
      <w:r w:rsidRPr="00CA6D6E">
        <w:rPr>
          <w:rStyle w:val="affa"/>
          <w:rFonts w:hint="cs"/>
          <w:rtl/>
        </w:rPr>
        <w:t>בחו"ש הגרב"ב</w:t>
      </w:r>
      <w:r w:rsidRPr="00CA6D6E">
        <w:rPr>
          <w:rStyle w:val="afb"/>
          <w:rFonts w:hint="cs"/>
          <w:rtl/>
        </w:rPr>
        <w:t xml:space="preserve"> </w:t>
      </w:r>
      <w:r w:rsidRPr="00CA6D6E">
        <w:rPr>
          <w:rStyle w:val="aff6"/>
          <w:rFonts w:hint="cs"/>
          <w:rtl/>
        </w:rPr>
        <w:t>(ח"א סי' ט' ד"ה וצ"ל)</w:t>
      </w:r>
      <w:r w:rsidRPr="00CA6D6E">
        <w:rPr>
          <w:rStyle w:val="afb"/>
          <w:rFonts w:hint="cs"/>
          <w:rtl/>
        </w:rPr>
        <w:t xml:space="preserve"> דרק להקנאה צריך אומדנא גמורה, דחשיב כמו שאמר לו לך חזק וקני, אבל למחילה א"צ מעשה, וצריך רק שנראה שהתפייס, וסגי באומדנא].</w:t>
      </w:r>
    </w:p>
    <w:p w:rsidR="00900B10" w:rsidRDefault="00900B10" w:rsidP="00900B10">
      <w:pPr>
        <w:pStyle w:val="a3"/>
        <w:rPr>
          <w:rtl/>
        </w:rPr>
      </w:pPr>
      <w:bookmarkStart w:id="2846" w:name="_Toc55073040"/>
      <w:bookmarkStart w:id="2847" w:name="_Toc55073237"/>
      <w:bookmarkStart w:id="2848" w:name="_Toc55073648"/>
      <w:bookmarkStart w:id="2849" w:name="_Toc55074196"/>
      <w:r>
        <w:rPr>
          <w:rFonts w:hint="cs"/>
          <w:rtl/>
        </w:rPr>
        <w:t>ביאור הברכ"ש בתוס' דלהו"א להולכי אושא דמוחזק מסתמא מחל ולמסקנא צריך לפרש</w:t>
      </w:r>
      <w:bookmarkEnd w:id="2846"/>
      <w:bookmarkEnd w:id="2847"/>
      <w:bookmarkEnd w:id="2848"/>
      <w:bookmarkEnd w:id="2849"/>
    </w:p>
    <w:p w:rsidR="00900B10" w:rsidRDefault="00900B10" w:rsidP="007E4E81">
      <w:pPr>
        <w:pStyle w:val="a0"/>
        <w:rPr>
          <w:rtl/>
        </w:rPr>
      </w:pPr>
      <w:bookmarkStart w:id="2850" w:name="_Ref54885640"/>
      <w:r>
        <w:rPr>
          <w:rFonts w:hint="cs"/>
          <w:rtl/>
        </w:rPr>
        <w:t xml:space="preserve">וביאר </w:t>
      </w:r>
      <w:r w:rsidRPr="00523B05">
        <w:rPr>
          <w:rStyle w:val="af9"/>
          <w:rFonts w:hint="cs"/>
          <w:rtl/>
        </w:rPr>
        <w:t>הברכ"ש</w:t>
      </w:r>
      <w:r>
        <w:rPr>
          <w:rFonts w:hint="cs"/>
          <w:rtl/>
        </w:rPr>
        <w:t xml:space="preserve"> דהגמ' בקושיה הבינה דכיון דלהולכי אושא נעשה המחזיק למוחזק, לכן סגי שנראה לפנינו מכירה ע"י שאנו רואים ששתק לו ג"ש, וכתב </w:t>
      </w:r>
      <w:r w:rsidRPr="00523B05">
        <w:rPr>
          <w:rStyle w:val="af9"/>
          <w:rFonts w:hint="cs"/>
          <w:rtl/>
        </w:rPr>
        <w:t>הברכ"ש</w:t>
      </w:r>
      <w:r>
        <w:rPr>
          <w:rFonts w:hint="cs"/>
          <w:rtl/>
        </w:rPr>
        <w:t xml:space="preserve"> דזה גופא תירצה הגמ' דכל מה שאנו רואים לפנינו זהו רק רצון למחילה, אך אינו מעשה הקנאה, ובקרקע לא מהני מחילה אף באומר בפירש שדי מחולה לך, וביאר </w:t>
      </w:r>
      <w:r w:rsidRPr="00A32F4F">
        <w:rPr>
          <w:rStyle w:val="af9"/>
          <w:rFonts w:hint="cs"/>
          <w:rtl/>
        </w:rPr>
        <w:t>הברכ"ש</w:t>
      </w:r>
      <w:r>
        <w:rPr>
          <w:rFonts w:hint="cs"/>
          <w:rtl/>
        </w:rPr>
        <w:t xml:space="preserve"> דכל דברי </w:t>
      </w:r>
      <w:r w:rsidRPr="00A32F4F">
        <w:rPr>
          <w:rStyle w:val="af9"/>
          <w:rFonts w:hint="cs"/>
          <w:rtl/>
        </w:rPr>
        <w:t>התוס'</w:t>
      </w:r>
      <w:r>
        <w:rPr>
          <w:rFonts w:hint="cs"/>
          <w:rtl/>
        </w:rPr>
        <w:t xml:space="preserve"> דמהני המחילה היינו רק להו"א בגמ' דכל שבסתמא מחל, אמרינן דהוא מכר לו, והביא </w:t>
      </w:r>
      <w:r w:rsidRPr="00A32F4F">
        <w:rPr>
          <w:rStyle w:val="af9"/>
          <w:rFonts w:hint="cs"/>
          <w:rtl/>
        </w:rPr>
        <w:t>הברכ"ש</w:t>
      </w:r>
      <w:r>
        <w:rPr>
          <w:rFonts w:hint="cs"/>
          <w:rtl/>
        </w:rPr>
        <w:t xml:space="preserve"> דכן ביאר </w:t>
      </w:r>
      <w:r w:rsidRPr="00A32F4F">
        <w:rPr>
          <w:rStyle w:val="af9"/>
          <w:rFonts w:hint="cs"/>
          <w:rtl/>
        </w:rPr>
        <w:t>הגר"י מסלנט</w:t>
      </w:r>
      <w:r>
        <w:rPr>
          <w:rFonts w:hint="cs"/>
          <w:rtl/>
        </w:rPr>
        <w:t xml:space="preserve"> דכוונת </w:t>
      </w:r>
      <w:r w:rsidRPr="00A32F4F">
        <w:rPr>
          <w:rStyle w:val="af9"/>
          <w:rFonts w:hint="cs"/>
          <w:rtl/>
        </w:rPr>
        <w:t>התוס'</w:t>
      </w:r>
      <w:r>
        <w:rPr>
          <w:rFonts w:hint="cs"/>
          <w:rtl/>
        </w:rPr>
        <w:t xml:space="preserve"> </w:t>
      </w:r>
      <w:r w:rsidRPr="0023037D">
        <w:rPr>
          <w:rStyle w:val="af7"/>
          <w:rFonts w:eastAsia="Guttman Hodes" w:hint="cs"/>
          <w:rtl/>
        </w:rPr>
        <w:t xml:space="preserve">(עי' אות </w:t>
      </w:r>
      <w:r w:rsidRPr="0023037D">
        <w:rPr>
          <w:rStyle w:val="af7"/>
          <w:rFonts w:eastAsia="Guttman Hodes"/>
          <w:rtl/>
        </w:rPr>
        <w:fldChar w:fldCharType="begin"/>
      </w:r>
      <w:r w:rsidRPr="0023037D">
        <w:rPr>
          <w:rStyle w:val="af7"/>
          <w:rFonts w:eastAsia="Guttman Hodes"/>
          <w:rtl/>
        </w:rPr>
        <w:instrText xml:space="preserve"> </w:instrText>
      </w:r>
      <w:r w:rsidRPr="0023037D">
        <w:rPr>
          <w:rStyle w:val="af7"/>
          <w:rFonts w:eastAsia="Guttman Hodes" w:hint="cs"/>
        </w:rPr>
        <w:instrText>REF</w:instrText>
      </w:r>
      <w:r w:rsidRPr="0023037D">
        <w:rPr>
          <w:rStyle w:val="af7"/>
          <w:rFonts w:eastAsia="Guttman Hodes" w:hint="cs"/>
          <w:rtl/>
        </w:rPr>
        <w:instrText xml:space="preserve"> _</w:instrText>
      </w:r>
      <w:r w:rsidRPr="0023037D">
        <w:rPr>
          <w:rStyle w:val="af7"/>
          <w:rFonts w:eastAsia="Guttman Hodes" w:hint="cs"/>
        </w:rPr>
        <w:instrText>Ref54601264 \r \h</w:instrText>
      </w:r>
      <w:r w:rsidRPr="0023037D">
        <w:rPr>
          <w:rStyle w:val="af7"/>
          <w:rFonts w:eastAsia="Guttman Hodes"/>
          <w:rtl/>
        </w:rPr>
        <w:instrText xml:space="preserve"> </w:instrText>
      </w:r>
      <w:r w:rsidRPr="0023037D">
        <w:rPr>
          <w:rStyle w:val="af7"/>
          <w:rFonts w:eastAsia="Guttman Hodes"/>
          <w:rtl/>
        </w:rPr>
      </w:r>
      <w:r w:rsidRPr="0023037D">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23037D">
        <w:rPr>
          <w:rStyle w:val="af7"/>
          <w:rFonts w:eastAsia="Guttman Hodes"/>
          <w:rtl/>
        </w:rPr>
        <w:fldChar w:fldCharType="end"/>
      </w:r>
      <w:r w:rsidRPr="0023037D">
        <w:rPr>
          <w:rStyle w:val="af7"/>
          <w:rFonts w:eastAsia="Guttman Hodes" w:hint="cs"/>
          <w:rtl/>
        </w:rPr>
        <w:t xml:space="preserve"> </w:t>
      </w:r>
      <w:r>
        <w:rPr>
          <w:rFonts w:hint="cs"/>
          <w:rtl/>
        </w:rPr>
        <w:t>דלהו"א בגמ' אמרינן דמסתמא מחל לו.</w:t>
      </w:r>
      <w:bookmarkEnd w:id="2850"/>
    </w:p>
    <w:p w:rsidR="00900B10" w:rsidRDefault="00900B10" w:rsidP="00900B10">
      <w:pPr>
        <w:pStyle w:val="1"/>
        <w:rPr>
          <w:rtl/>
        </w:rPr>
      </w:pPr>
      <w:bookmarkStart w:id="2851" w:name="_Toc54867254"/>
      <w:bookmarkStart w:id="2852" w:name="_Toc54868853"/>
      <w:bookmarkStart w:id="2853" w:name="_Toc54887767"/>
      <w:bookmarkStart w:id="2854" w:name="_Toc54891220"/>
      <w:bookmarkStart w:id="2855" w:name="_Toc54903515"/>
      <w:bookmarkStart w:id="2856" w:name="_Toc54948524"/>
      <w:bookmarkStart w:id="2857" w:name="_Toc54952136"/>
      <w:bookmarkStart w:id="2858" w:name="_Toc55073041"/>
      <w:bookmarkStart w:id="2859" w:name="_Toc55073238"/>
      <w:bookmarkStart w:id="2860" w:name="_Toc55073649"/>
      <w:bookmarkStart w:id="2861" w:name="_Toc55074197"/>
      <w:r>
        <w:rPr>
          <w:rFonts w:hint="cs"/>
          <w:rtl/>
        </w:rPr>
        <w:t xml:space="preserve">ביאור הגרש"ר בתוס' </w:t>
      </w:r>
      <w:bookmarkEnd w:id="2851"/>
      <w:bookmarkEnd w:id="2852"/>
      <w:bookmarkEnd w:id="2853"/>
      <w:bookmarkEnd w:id="2854"/>
      <w:bookmarkEnd w:id="2855"/>
      <w:bookmarkEnd w:id="2856"/>
      <w:bookmarkEnd w:id="2857"/>
      <w:r>
        <w:rPr>
          <w:rFonts w:hint="cs"/>
          <w:rtl/>
        </w:rPr>
        <w:t>דהמחילה כאמר לו לך חזק וקני</w:t>
      </w:r>
      <w:bookmarkEnd w:id="2858"/>
      <w:bookmarkEnd w:id="2859"/>
      <w:bookmarkEnd w:id="2860"/>
      <w:bookmarkEnd w:id="2861"/>
    </w:p>
    <w:p w:rsidR="00900B10" w:rsidRDefault="00900B10" w:rsidP="00900B10">
      <w:pPr>
        <w:pStyle w:val="a3"/>
        <w:rPr>
          <w:rtl/>
        </w:rPr>
      </w:pPr>
      <w:bookmarkStart w:id="2862" w:name="_Toc55073042"/>
      <w:bookmarkStart w:id="2863" w:name="_Toc55073239"/>
      <w:bookmarkStart w:id="2864" w:name="_Toc55073650"/>
      <w:bookmarkStart w:id="2865" w:name="_Toc55074198"/>
      <w:r>
        <w:rPr>
          <w:rFonts w:hint="cs"/>
          <w:rtl/>
        </w:rPr>
        <w:t>ביאור הגרש"ר בתוס' דכששתק מחל היינו דחשיב כא"ל לך חזק וקני דבלא"ה ל"מ מחילה</w:t>
      </w:r>
      <w:bookmarkEnd w:id="2862"/>
      <w:bookmarkEnd w:id="2863"/>
      <w:bookmarkEnd w:id="2864"/>
      <w:bookmarkEnd w:id="2865"/>
    </w:p>
    <w:p w:rsidR="00900B10" w:rsidRDefault="00900B10" w:rsidP="007E4E81">
      <w:pPr>
        <w:pStyle w:val="a0"/>
        <w:rPr>
          <w:rtl/>
        </w:rPr>
      </w:pPr>
      <w:bookmarkStart w:id="2866" w:name="_Ref54801070"/>
      <w:r>
        <w:rPr>
          <w:rFonts w:hint="cs"/>
          <w:rtl/>
        </w:rPr>
        <w:t xml:space="preserve">במ"ש </w:t>
      </w:r>
      <w:r w:rsidRPr="000A7081">
        <w:rPr>
          <w:rStyle w:val="af9"/>
          <w:rFonts w:hint="cs"/>
          <w:rtl/>
        </w:rPr>
        <w:t>התוס' בביאורם הא'</w:t>
      </w:r>
      <w:r>
        <w:rPr>
          <w:rFonts w:hint="cs"/>
          <w:rtl/>
        </w:rPr>
        <w:t xml:space="preserve"> </w:t>
      </w:r>
      <w:r w:rsidRPr="00CA6D6E">
        <w:rPr>
          <w:rStyle w:val="af7"/>
          <w:rFonts w:eastAsia="Guttman Hodes" w:hint="cs"/>
          <w:rtl/>
        </w:rPr>
        <w:t xml:space="preserve">(עי' אות </w:t>
      </w:r>
      <w:r w:rsidRPr="00CA6D6E">
        <w:rPr>
          <w:rStyle w:val="af7"/>
          <w:rFonts w:eastAsia="Guttman Hodes"/>
          <w:rtl/>
        </w:rPr>
        <w:fldChar w:fldCharType="begin"/>
      </w:r>
      <w:r w:rsidRPr="00CA6D6E">
        <w:rPr>
          <w:rStyle w:val="af7"/>
          <w:rFonts w:eastAsia="Guttman Hodes"/>
          <w:rtl/>
        </w:rPr>
        <w:instrText xml:space="preserve"> </w:instrText>
      </w:r>
      <w:r w:rsidRPr="00CA6D6E">
        <w:rPr>
          <w:rStyle w:val="af7"/>
          <w:rFonts w:eastAsia="Guttman Hodes" w:hint="cs"/>
        </w:rPr>
        <w:instrText>REF</w:instrText>
      </w:r>
      <w:r w:rsidRPr="00CA6D6E">
        <w:rPr>
          <w:rStyle w:val="af7"/>
          <w:rFonts w:eastAsia="Guttman Hodes" w:hint="cs"/>
          <w:rtl/>
        </w:rPr>
        <w:instrText xml:space="preserve"> _</w:instrText>
      </w:r>
      <w:r w:rsidRPr="00CA6D6E">
        <w:rPr>
          <w:rStyle w:val="af7"/>
          <w:rFonts w:eastAsia="Guttman Hodes" w:hint="cs"/>
        </w:rPr>
        <w:instrText>Ref54601264 \r \h</w:instrText>
      </w:r>
      <w:r w:rsidRPr="00CA6D6E">
        <w:rPr>
          <w:rStyle w:val="af7"/>
          <w:rFonts w:eastAsia="Guttman Hodes"/>
          <w:rtl/>
        </w:rPr>
        <w:instrText xml:space="preserve"> </w:instrText>
      </w:r>
      <w:r w:rsidRPr="00CA6D6E">
        <w:rPr>
          <w:rStyle w:val="af7"/>
          <w:rFonts w:eastAsia="Guttman Hodes"/>
          <w:rtl/>
        </w:rPr>
      </w:r>
      <w:r w:rsidRPr="00CA6D6E">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CA6D6E">
        <w:rPr>
          <w:rStyle w:val="af7"/>
          <w:rFonts w:eastAsia="Guttman Hodes"/>
          <w:rtl/>
        </w:rPr>
        <w:fldChar w:fldCharType="end"/>
      </w:r>
      <w:r>
        <w:rPr>
          <w:rFonts w:hint="cs"/>
          <w:rtl/>
        </w:rPr>
        <w:t xml:space="preserve"> דקושית הגמ' דתועיל חזקה בלא טענה, דכל שאכל המחזיק ג"ש ולא מחה המערער, אמרינן דהמערער מ</w:t>
      </w:r>
      <w:r w:rsidRPr="008571E2">
        <w:rPr>
          <w:rFonts w:hint="cs"/>
          <w:rtl/>
        </w:rPr>
        <w:t>חל למחזיק על הקרקע, ביאר</w:t>
      </w:r>
      <w:r w:rsidRPr="000A7081">
        <w:rPr>
          <w:rStyle w:val="af9"/>
          <w:rFonts w:hint="cs"/>
          <w:rtl/>
        </w:rPr>
        <w:t xml:space="preserve"> בשיעורי רבי שמואל</w:t>
      </w:r>
      <w:r w:rsidRPr="008571E2">
        <w:rPr>
          <w:rFonts w:hint="cs"/>
          <w:rtl/>
        </w:rPr>
        <w:t xml:space="preserve"> </w:t>
      </w:r>
      <w:r w:rsidRPr="00CA6D6E">
        <w:rPr>
          <w:rStyle w:val="af7"/>
          <w:rFonts w:eastAsia="Guttman Hodes" w:hint="cs"/>
          <w:rtl/>
        </w:rPr>
        <w:t xml:space="preserve">(או' ו') </w:t>
      </w:r>
      <w:r w:rsidRPr="008571E2">
        <w:rPr>
          <w:rFonts w:hint="cs"/>
          <w:rtl/>
        </w:rPr>
        <w:t xml:space="preserve">דאין כוונת </w:t>
      </w:r>
      <w:r>
        <w:rPr>
          <w:rFonts w:hint="cs"/>
          <w:rtl/>
        </w:rPr>
        <w:t>ה</w:t>
      </w:r>
      <w:r w:rsidRPr="008571E2">
        <w:rPr>
          <w:rFonts w:hint="cs"/>
          <w:rtl/>
        </w:rPr>
        <w:t xml:space="preserve">תוס' למחילה ממש, דהא מחילה מהני רק בחוב או שיעבוד ולא לקנין, אלא דכוונת </w:t>
      </w:r>
      <w:r w:rsidRPr="000A7081">
        <w:rPr>
          <w:rStyle w:val="af9"/>
          <w:rFonts w:hint="cs"/>
          <w:rtl/>
        </w:rPr>
        <w:t>התוס'</w:t>
      </w:r>
      <w:r w:rsidRPr="008571E2">
        <w:rPr>
          <w:rFonts w:hint="cs"/>
          <w:rtl/>
        </w:rPr>
        <w:t xml:space="preserve"> לומר דחשיב כמי שאמר לו לך חזק וקני, </w:t>
      </w:r>
      <w:r w:rsidRPr="008571E2">
        <w:rPr>
          <w:rStyle w:val="afb"/>
          <w:rFonts w:hint="cs"/>
          <w:rtl/>
        </w:rPr>
        <w:t>[כ</w:t>
      </w:r>
      <w:r>
        <w:rPr>
          <w:rStyle w:val="afb"/>
          <w:rFonts w:hint="cs"/>
          <w:rtl/>
        </w:rPr>
        <w:t>ביאור שדחה</w:t>
      </w:r>
      <w:r w:rsidRPr="008571E2">
        <w:rPr>
          <w:rStyle w:val="afb"/>
          <w:rFonts w:hint="cs"/>
          <w:rtl/>
        </w:rPr>
        <w:t xml:space="preserve"> </w:t>
      </w:r>
      <w:r w:rsidRPr="00D5547C">
        <w:rPr>
          <w:rStyle w:val="affa"/>
          <w:rFonts w:hint="cs"/>
          <w:rtl/>
        </w:rPr>
        <w:t xml:space="preserve">רבינו יונה </w:t>
      </w:r>
      <w:r w:rsidRPr="00D5547C">
        <w:rPr>
          <w:rStyle w:val="aff6"/>
          <w:rFonts w:hint="cs"/>
          <w:rtl/>
        </w:rPr>
        <w:t xml:space="preserve">(עי' אות </w:t>
      </w:r>
      <w:r w:rsidRPr="00D5547C">
        <w:rPr>
          <w:rStyle w:val="aff6"/>
          <w:rtl/>
        </w:rPr>
        <w:fldChar w:fldCharType="begin"/>
      </w:r>
      <w:r w:rsidRPr="00D5547C">
        <w:rPr>
          <w:rStyle w:val="aff6"/>
          <w:rtl/>
        </w:rPr>
        <w:instrText xml:space="preserve"> </w:instrText>
      </w:r>
      <w:r w:rsidRPr="00D5547C">
        <w:rPr>
          <w:rStyle w:val="aff6"/>
          <w:rFonts w:hint="cs"/>
        </w:rPr>
        <w:instrText>REF</w:instrText>
      </w:r>
      <w:r w:rsidRPr="00D5547C">
        <w:rPr>
          <w:rStyle w:val="aff6"/>
          <w:rFonts w:hint="cs"/>
          <w:rtl/>
        </w:rPr>
        <w:instrText xml:space="preserve"> _</w:instrText>
      </w:r>
      <w:r w:rsidRPr="00D5547C">
        <w:rPr>
          <w:rStyle w:val="aff6"/>
          <w:rFonts w:hint="cs"/>
        </w:rPr>
        <w:instrText>Ref54602869 \r \h</w:instrText>
      </w:r>
      <w:r w:rsidRPr="00D5547C">
        <w:rPr>
          <w:rStyle w:val="aff6"/>
          <w:rtl/>
        </w:rPr>
        <w:instrText xml:space="preserve">  \* </w:instrText>
      </w:r>
      <w:r w:rsidRPr="00D5547C">
        <w:rPr>
          <w:rStyle w:val="aff6"/>
        </w:rPr>
        <w:instrText>MERGEFORMAT</w:instrText>
      </w:r>
      <w:r w:rsidRPr="00D5547C">
        <w:rPr>
          <w:rStyle w:val="aff6"/>
          <w:rtl/>
        </w:rPr>
        <w:instrText xml:space="preserve"> </w:instrText>
      </w:r>
      <w:r w:rsidRPr="00D5547C">
        <w:rPr>
          <w:rStyle w:val="aff6"/>
          <w:rtl/>
        </w:rPr>
      </w:r>
      <w:r w:rsidRPr="00D5547C">
        <w:rPr>
          <w:rStyle w:val="aff6"/>
          <w:rtl/>
        </w:rPr>
        <w:fldChar w:fldCharType="separate"/>
      </w:r>
      <w:r w:rsidR="00265073">
        <w:rPr>
          <w:rStyle w:val="aff6"/>
          <w:cs/>
        </w:rPr>
        <w:t>‎</w:t>
      </w:r>
      <w:r w:rsidR="00265073">
        <w:rPr>
          <w:rStyle w:val="aff6"/>
          <w:rtl/>
        </w:rPr>
        <w:t>לז)</w:t>
      </w:r>
      <w:r w:rsidRPr="00D5547C">
        <w:rPr>
          <w:rStyle w:val="aff6"/>
          <w:rtl/>
        </w:rPr>
        <w:fldChar w:fldCharType="end"/>
      </w:r>
      <w:r w:rsidRPr="008571E2">
        <w:rPr>
          <w:rStyle w:val="afb"/>
          <w:rFonts w:hint="cs"/>
          <w:rtl/>
        </w:rPr>
        <w:t xml:space="preserve"> ועי' במ"ש </w:t>
      </w:r>
      <w:r w:rsidRPr="00D5547C">
        <w:rPr>
          <w:rStyle w:val="affa"/>
          <w:rFonts w:hint="cs"/>
          <w:rtl/>
        </w:rPr>
        <w:t xml:space="preserve">הרשב"א </w:t>
      </w:r>
      <w:r w:rsidRPr="00D5547C">
        <w:rPr>
          <w:rStyle w:val="aff6"/>
          <w:rFonts w:hint="cs"/>
          <w:rtl/>
        </w:rPr>
        <w:t>(עי'</w:t>
      </w:r>
      <w:r>
        <w:rPr>
          <w:rStyle w:val="aff6"/>
          <w:rFonts w:hint="cs"/>
          <w:rtl/>
        </w:rPr>
        <w:t xml:space="preserve"> </w:t>
      </w:r>
      <w:r w:rsidRPr="00463E0E">
        <w:rPr>
          <w:rStyle w:val="aff6"/>
          <w:rFonts w:hint="cs"/>
          <w:rtl/>
        </w:rPr>
        <w:t xml:space="preserve">אות </w:t>
      </w:r>
      <w:r w:rsidRPr="00463E0E">
        <w:rPr>
          <w:rStyle w:val="aff6"/>
          <w:rtl/>
        </w:rPr>
        <w:fldChar w:fldCharType="begin"/>
      </w:r>
      <w:r w:rsidRPr="00463E0E">
        <w:rPr>
          <w:rStyle w:val="aff6"/>
          <w:rtl/>
        </w:rPr>
        <w:instrText xml:space="preserve"> </w:instrText>
      </w:r>
      <w:r w:rsidRPr="00463E0E">
        <w:rPr>
          <w:rStyle w:val="aff6"/>
          <w:rFonts w:hint="cs"/>
        </w:rPr>
        <w:instrText>REF</w:instrText>
      </w:r>
      <w:r w:rsidRPr="00463E0E">
        <w:rPr>
          <w:rStyle w:val="aff6"/>
          <w:rFonts w:hint="cs"/>
          <w:rtl/>
        </w:rPr>
        <w:instrText xml:space="preserve"> _</w:instrText>
      </w:r>
      <w:r w:rsidRPr="00463E0E">
        <w:rPr>
          <w:rStyle w:val="aff6"/>
          <w:rFonts w:hint="cs"/>
        </w:rPr>
        <w:instrText>Ref55069588 \r \h</w:instrText>
      </w:r>
      <w:r w:rsidRPr="00463E0E">
        <w:rPr>
          <w:rStyle w:val="aff6"/>
          <w:rtl/>
        </w:rPr>
        <w:instrText xml:space="preserve"> </w:instrText>
      </w:r>
      <w:r w:rsidRPr="00463E0E">
        <w:rPr>
          <w:rStyle w:val="aff6"/>
          <w:rtl/>
        </w:rPr>
      </w:r>
      <w:r w:rsidRPr="00463E0E">
        <w:rPr>
          <w:rStyle w:val="aff6"/>
          <w:rtl/>
        </w:rPr>
        <w:fldChar w:fldCharType="separate"/>
      </w:r>
      <w:r w:rsidR="00265073">
        <w:rPr>
          <w:rStyle w:val="aff6"/>
          <w:cs/>
        </w:rPr>
        <w:t>‎</w:t>
      </w:r>
      <w:r w:rsidR="00265073">
        <w:rPr>
          <w:rStyle w:val="aff6"/>
          <w:rtl/>
        </w:rPr>
        <w:t>נו)</w:t>
      </w:r>
      <w:r w:rsidRPr="00463E0E">
        <w:rPr>
          <w:rStyle w:val="aff6"/>
          <w:rtl/>
        </w:rPr>
        <w:fldChar w:fldCharType="end"/>
      </w:r>
      <w:r>
        <w:rPr>
          <w:rStyle w:val="afb"/>
          <w:rFonts w:hint="cs"/>
          <w:rtl/>
        </w:rPr>
        <w:t xml:space="preserve">, אבל </w:t>
      </w:r>
      <w:r w:rsidRPr="00D5547C">
        <w:rPr>
          <w:rStyle w:val="affa"/>
          <w:rFonts w:hint="cs"/>
          <w:rtl/>
        </w:rPr>
        <w:t xml:space="preserve">בחי' רבי נחום </w:t>
      </w:r>
      <w:r w:rsidRPr="00D5547C">
        <w:rPr>
          <w:rStyle w:val="aff6"/>
          <w:rFonts w:hint="cs"/>
          <w:rtl/>
        </w:rPr>
        <w:t xml:space="preserve">(עי' אות </w:t>
      </w:r>
      <w:r w:rsidRPr="00D5547C">
        <w:rPr>
          <w:rStyle w:val="aff6"/>
          <w:rtl/>
        </w:rPr>
        <w:fldChar w:fldCharType="begin"/>
      </w:r>
      <w:r w:rsidRPr="00D5547C">
        <w:rPr>
          <w:rStyle w:val="aff6"/>
          <w:rtl/>
        </w:rPr>
        <w:instrText xml:space="preserve"> </w:instrText>
      </w:r>
      <w:r w:rsidRPr="00D5547C">
        <w:rPr>
          <w:rStyle w:val="aff6"/>
          <w:rFonts w:hint="cs"/>
        </w:rPr>
        <w:instrText>REF</w:instrText>
      </w:r>
      <w:r w:rsidRPr="00D5547C">
        <w:rPr>
          <w:rStyle w:val="aff6"/>
          <w:rFonts w:hint="cs"/>
          <w:rtl/>
        </w:rPr>
        <w:instrText xml:space="preserve"> _</w:instrText>
      </w:r>
      <w:r w:rsidRPr="00D5547C">
        <w:rPr>
          <w:rStyle w:val="aff6"/>
          <w:rFonts w:hint="cs"/>
        </w:rPr>
        <w:instrText>Ref54814355 \r \h</w:instrText>
      </w:r>
      <w:r w:rsidRPr="00D5547C">
        <w:rPr>
          <w:rStyle w:val="aff6"/>
          <w:rtl/>
        </w:rPr>
        <w:instrText xml:space="preserve"> </w:instrText>
      </w:r>
      <w:r w:rsidRPr="00D5547C">
        <w:rPr>
          <w:rStyle w:val="aff6"/>
          <w:rtl/>
        </w:rPr>
      </w:r>
      <w:r w:rsidRPr="00D5547C">
        <w:rPr>
          <w:rStyle w:val="aff6"/>
          <w:rtl/>
        </w:rPr>
        <w:fldChar w:fldCharType="separate"/>
      </w:r>
      <w:r w:rsidR="00265073">
        <w:rPr>
          <w:rStyle w:val="aff6"/>
          <w:cs/>
        </w:rPr>
        <w:t>‎</w:t>
      </w:r>
      <w:r w:rsidR="00265073">
        <w:rPr>
          <w:rStyle w:val="aff6"/>
          <w:rtl/>
        </w:rPr>
        <w:t>קב)</w:t>
      </w:r>
      <w:r w:rsidRPr="00D5547C">
        <w:rPr>
          <w:rStyle w:val="aff6"/>
          <w:rtl/>
        </w:rPr>
        <w:fldChar w:fldCharType="end"/>
      </w:r>
      <w:r>
        <w:rPr>
          <w:rStyle w:val="afb"/>
          <w:rFonts w:hint="cs"/>
          <w:rtl/>
        </w:rPr>
        <w:t xml:space="preserve"> כתב דאי"ז כוונת </w:t>
      </w:r>
      <w:r w:rsidRPr="00D5547C">
        <w:rPr>
          <w:rStyle w:val="affa"/>
          <w:rFonts w:hint="cs"/>
          <w:rtl/>
        </w:rPr>
        <w:t>התוס'</w:t>
      </w:r>
      <w:r w:rsidRPr="008571E2">
        <w:rPr>
          <w:rStyle w:val="afb"/>
          <w:rFonts w:hint="cs"/>
          <w:rtl/>
        </w:rPr>
        <w:t>],</w:t>
      </w:r>
      <w:r>
        <w:rPr>
          <w:rFonts w:hint="cs"/>
          <w:rtl/>
        </w:rPr>
        <w:t xml:space="preserve"> וא"כ חשיב שיש דעת של המרא קמא להקנותו למחזיק.</w:t>
      </w:r>
    </w:p>
    <w:p w:rsidR="00900B10" w:rsidRPr="00300009" w:rsidRDefault="00900B10" w:rsidP="00900B10">
      <w:pPr>
        <w:pStyle w:val="a3"/>
      </w:pPr>
      <w:bookmarkStart w:id="2867" w:name="_Toc55073043"/>
      <w:bookmarkStart w:id="2868" w:name="_Toc55073240"/>
      <w:bookmarkStart w:id="2869" w:name="_Toc55073651"/>
      <w:bookmarkStart w:id="2870" w:name="_Toc55074199"/>
      <w:r>
        <w:rPr>
          <w:rFonts w:hint="cs"/>
          <w:rtl/>
        </w:rPr>
        <w:t>ביאור הגרש"ר בתוס' דמהני מחילה בלא טענה דכשיש דעת קונה סגי ברשות של המקנה</w:t>
      </w:r>
      <w:bookmarkEnd w:id="2867"/>
      <w:bookmarkEnd w:id="2868"/>
      <w:bookmarkEnd w:id="2869"/>
      <w:bookmarkEnd w:id="2870"/>
      <w:r>
        <w:rPr>
          <w:rFonts w:hint="cs"/>
          <w:rtl/>
        </w:rPr>
        <w:t xml:space="preserve"> </w:t>
      </w:r>
    </w:p>
    <w:p w:rsidR="00900B10" w:rsidRDefault="00900B10" w:rsidP="007E4E81">
      <w:pPr>
        <w:pStyle w:val="a0"/>
        <w:rPr>
          <w:rtl/>
        </w:rPr>
      </w:pPr>
      <w:r>
        <w:rPr>
          <w:rFonts w:hint="cs"/>
          <w:rtl/>
        </w:rPr>
        <w:t xml:space="preserve">וכתב </w:t>
      </w:r>
      <w:r w:rsidRPr="00300009">
        <w:rPr>
          <w:rStyle w:val="af9"/>
          <w:rFonts w:hint="cs"/>
          <w:rtl/>
        </w:rPr>
        <w:t xml:space="preserve">בשיעורי רבי שמואל </w:t>
      </w:r>
      <w:r>
        <w:rPr>
          <w:rFonts w:hint="cs"/>
          <w:rtl/>
        </w:rPr>
        <w:t xml:space="preserve">דלפי דעת </w:t>
      </w:r>
      <w:r w:rsidRPr="00300009">
        <w:rPr>
          <w:rStyle w:val="af9"/>
          <w:rFonts w:hint="cs"/>
          <w:rtl/>
        </w:rPr>
        <w:t xml:space="preserve">הגרש"ש </w:t>
      </w:r>
      <w:r w:rsidRPr="004173F9">
        <w:rPr>
          <w:rStyle w:val="afb"/>
          <w:rFonts w:hint="cs"/>
          <w:rtl/>
        </w:rPr>
        <w:t>[</w:t>
      </w:r>
      <w:r w:rsidRPr="004173F9">
        <w:rPr>
          <w:rStyle w:val="affa"/>
          <w:rFonts w:hint="cs"/>
          <w:rtl/>
        </w:rPr>
        <w:t>שערי יושר</w:t>
      </w:r>
      <w:r w:rsidRPr="004173F9">
        <w:rPr>
          <w:rStyle w:val="afb"/>
          <w:rFonts w:hint="cs"/>
          <w:rtl/>
        </w:rPr>
        <w:t xml:space="preserve"> </w:t>
      </w:r>
      <w:r w:rsidRPr="004173F9">
        <w:rPr>
          <w:rStyle w:val="aff6"/>
          <w:rFonts w:hint="cs"/>
          <w:rtl/>
        </w:rPr>
        <w:t>(ש"ה פי"ב ד"ה ולכן נראה, ש"ז סוף פי"ב</w:t>
      </w:r>
      <w:r>
        <w:rPr>
          <w:rStyle w:val="aff6"/>
          <w:rFonts w:hint="cs"/>
          <w:rtl/>
        </w:rPr>
        <w:t>)</w:t>
      </w:r>
      <w:r w:rsidRPr="004173F9">
        <w:rPr>
          <w:rStyle w:val="afb"/>
          <w:rFonts w:hint="cs"/>
          <w:rtl/>
        </w:rPr>
        <w:t>]</w:t>
      </w:r>
      <w:r>
        <w:rPr>
          <w:rFonts w:hint="cs"/>
          <w:rtl/>
        </w:rPr>
        <w:t xml:space="preserve"> דבמקום שיש דעת קונה לקנין, סגי ברשות מצד המקנה וא"צ מעשה קנין, א"כ אפשר לבאר דכוונת </w:t>
      </w:r>
      <w:r w:rsidRPr="00300009">
        <w:rPr>
          <w:rStyle w:val="af9"/>
          <w:rFonts w:hint="cs"/>
          <w:rtl/>
        </w:rPr>
        <w:t>התוס</w:t>
      </w:r>
      <w:r>
        <w:rPr>
          <w:rFonts w:hint="cs"/>
          <w:rtl/>
        </w:rPr>
        <w:t>' דהמחילה היא כעין נתינת רשות,</w:t>
      </w:r>
      <w:r w:rsidRPr="000B0EB2">
        <w:rPr>
          <w:rFonts w:hint="cs"/>
          <w:rtl/>
        </w:rPr>
        <w:t xml:space="preserve"> </w:t>
      </w:r>
      <w:r>
        <w:rPr>
          <w:rFonts w:hint="cs"/>
          <w:rtl/>
        </w:rPr>
        <w:t xml:space="preserve">וכתב </w:t>
      </w:r>
      <w:r w:rsidRPr="00300009">
        <w:rPr>
          <w:rStyle w:val="af9"/>
          <w:rFonts w:hint="cs"/>
          <w:rtl/>
        </w:rPr>
        <w:t xml:space="preserve">בשיעורי רבי שמואל </w:t>
      </w:r>
      <w:r>
        <w:rPr>
          <w:rFonts w:hint="cs"/>
          <w:rtl/>
        </w:rPr>
        <w:t>דלפי"ז הביאור בתירוץ הגמ' דצריך חזקה עם טענה, היינו כיון דאין הוכחה דמחל לו, ורק שהשלוקח טוען טענת ברי דהמרא קמא מחל, מהני החזקה.</w:t>
      </w:r>
      <w:bookmarkEnd w:id="2866"/>
    </w:p>
    <w:p w:rsidR="00900B10" w:rsidRDefault="00900B10" w:rsidP="00900B10">
      <w:pPr>
        <w:pStyle w:val="a3"/>
        <w:rPr>
          <w:rtl/>
        </w:rPr>
      </w:pPr>
      <w:bookmarkStart w:id="2871" w:name="_Toc55073044"/>
      <w:bookmarkStart w:id="2872" w:name="_Toc55073241"/>
      <w:bookmarkStart w:id="2873" w:name="_Toc55073652"/>
      <w:bookmarkStart w:id="2874" w:name="_Toc55074200"/>
      <w:r>
        <w:rPr>
          <w:rFonts w:hint="cs"/>
          <w:rtl/>
        </w:rPr>
        <w:t>קושית הגרש"ר דהיאך מוכח מהשתיקה דכוונת להקנות את הקרקע ולא רק למחול על הפירות</w:t>
      </w:r>
      <w:bookmarkEnd w:id="2871"/>
      <w:bookmarkEnd w:id="2872"/>
      <w:bookmarkEnd w:id="2873"/>
      <w:bookmarkEnd w:id="2874"/>
    </w:p>
    <w:p w:rsidR="00900B10" w:rsidRDefault="00900B10" w:rsidP="007E4E81">
      <w:pPr>
        <w:pStyle w:val="a0"/>
        <w:rPr>
          <w:rtl/>
        </w:rPr>
      </w:pPr>
      <w:r>
        <w:rPr>
          <w:rFonts w:hint="cs"/>
          <w:rtl/>
        </w:rPr>
        <w:t xml:space="preserve">אך הקשה </w:t>
      </w:r>
      <w:r w:rsidRPr="00523B05">
        <w:rPr>
          <w:rStyle w:val="af9"/>
          <w:rFonts w:hint="cs"/>
          <w:rtl/>
        </w:rPr>
        <w:t>בשיעורי רבי שמואל</w:t>
      </w:r>
      <w:r>
        <w:rPr>
          <w:rFonts w:hint="cs"/>
          <w:rtl/>
        </w:rPr>
        <w:t xml:space="preserve"> על עיקר סברת </w:t>
      </w:r>
      <w:r w:rsidRPr="00523B05">
        <w:rPr>
          <w:rStyle w:val="af9"/>
          <w:rFonts w:hint="cs"/>
          <w:rtl/>
        </w:rPr>
        <w:t>התוס'</w:t>
      </w:r>
      <w:r>
        <w:rPr>
          <w:rFonts w:hint="cs"/>
          <w:rtl/>
        </w:rPr>
        <w:t xml:space="preserve"> </w:t>
      </w:r>
      <w:r w:rsidRPr="004173F9">
        <w:rPr>
          <w:rStyle w:val="af7"/>
          <w:rFonts w:eastAsia="Guttman Hodes" w:hint="cs"/>
          <w:rtl/>
        </w:rPr>
        <w:t xml:space="preserve">(עי' אות </w:t>
      </w:r>
      <w:r w:rsidRPr="004173F9">
        <w:rPr>
          <w:rStyle w:val="af7"/>
          <w:rFonts w:eastAsia="Guttman Hodes"/>
          <w:rtl/>
        </w:rPr>
        <w:fldChar w:fldCharType="begin"/>
      </w:r>
      <w:r w:rsidRPr="004173F9">
        <w:rPr>
          <w:rStyle w:val="af7"/>
          <w:rFonts w:eastAsia="Guttman Hodes"/>
          <w:rtl/>
        </w:rPr>
        <w:instrText xml:space="preserve"> </w:instrText>
      </w:r>
      <w:r w:rsidRPr="004173F9">
        <w:rPr>
          <w:rStyle w:val="af7"/>
          <w:rFonts w:eastAsia="Guttman Hodes" w:hint="cs"/>
        </w:rPr>
        <w:instrText>REF</w:instrText>
      </w:r>
      <w:r w:rsidRPr="004173F9">
        <w:rPr>
          <w:rStyle w:val="af7"/>
          <w:rFonts w:eastAsia="Guttman Hodes" w:hint="cs"/>
          <w:rtl/>
        </w:rPr>
        <w:instrText xml:space="preserve"> _</w:instrText>
      </w:r>
      <w:r w:rsidRPr="004173F9">
        <w:rPr>
          <w:rStyle w:val="af7"/>
          <w:rFonts w:eastAsia="Guttman Hodes" w:hint="cs"/>
        </w:rPr>
        <w:instrText>Ref54601264 \r \h</w:instrText>
      </w:r>
      <w:r w:rsidRPr="004173F9">
        <w:rPr>
          <w:rStyle w:val="af7"/>
          <w:rFonts w:eastAsia="Guttman Hodes"/>
          <w:rtl/>
        </w:rPr>
        <w:instrText xml:space="preserve"> </w:instrText>
      </w:r>
      <w:r w:rsidRPr="004173F9">
        <w:rPr>
          <w:rStyle w:val="af7"/>
          <w:rFonts w:eastAsia="Guttman Hodes"/>
          <w:rtl/>
        </w:rPr>
      </w:r>
      <w:r w:rsidRPr="004173F9">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4173F9">
        <w:rPr>
          <w:rStyle w:val="af7"/>
          <w:rFonts w:eastAsia="Guttman Hodes"/>
          <w:rtl/>
        </w:rPr>
        <w:fldChar w:fldCharType="end"/>
      </w:r>
      <w:r>
        <w:rPr>
          <w:rFonts w:hint="cs"/>
          <w:rtl/>
        </w:rPr>
        <w:t xml:space="preserve">, דהיאך מוכח ממה ששתק המערער דכוונתו להקנות לו את השדה במתנה, ואטו בשופטני עסקינן, וכ"מ שאפש"ל דמוכח משתיקתו, הוא דוויתר המרא קמא למחזיק על הפירות שכבר אכל, ולא להקנותו לו לגמרי, וציין </w:t>
      </w:r>
      <w:r w:rsidRPr="00523B05">
        <w:rPr>
          <w:rStyle w:val="af9"/>
          <w:rFonts w:hint="cs"/>
          <w:rtl/>
        </w:rPr>
        <w:t>בשיעורי רבי שמואל</w:t>
      </w:r>
      <w:r>
        <w:rPr>
          <w:rFonts w:hint="cs"/>
          <w:rtl/>
        </w:rPr>
        <w:t xml:space="preserve"> לדברי </w:t>
      </w:r>
      <w:r w:rsidRPr="00523B05">
        <w:rPr>
          <w:rStyle w:val="af9"/>
          <w:rFonts w:hint="cs"/>
          <w:rtl/>
        </w:rPr>
        <w:t>רבינו יונה</w:t>
      </w:r>
      <w:r>
        <w:rPr>
          <w:rFonts w:hint="cs"/>
          <w:rtl/>
        </w:rPr>
        <w:t xml:space="preserve"> </w:t>
      </w:r>
      <w:r w:rsidRPr="000879C3">
        <w:rPr>
          <w:rStyle w:val="af7"/>
          <w:rFonts w:eastAsia="Guttman Hodes" w:hint="cs"/>
          <w:rtl/>
        </w:rPr>
        <w:t xml:space="preserve">(עי' אות </w:t>
      </w:r>
      <w:r w:rsidRPr="000879C3">
        <w:rPr>
          <w:rStyle w:val="af7"/>
          <w:rFonts w:eastAsia="Guttman Hodes"/>
          <w:rtl/>
        </w:rPr>
        <w:fldChar w:fldCharType="begin"/>
      </w:r>
      <w:r w:rsidRPr="000879C3">
        <w:rPr>
          <w:rStyle w:val="af7"/>
          <w:rFonts w:eastAsia="Guttman Hodes"/>
          <w:rtl/>
        </w:rPr>
        <w:instrText xml:space="preserve"> </w:instrText>
      </w:r>
      <w:r w:rsidRPr="000879C3">
        <w:rPr>
          <w:rStyle w:val="af7"/>
          <w:rFonts w:eastAsia="Guttman Hodes" w:hint="cs"/>
        </w:rPr>
        <w:instrText>REF</w:instrText>
      </w:r>
      <w:r w:rsidRPr="000879C3">
        <w:rPr>
          <w:rStyle w:val="af7"/>
          <w:rFonts w:eastAsia="Guttman Hodes" w:hint="cs"/>
          <w:rtl/>
        </w:rPr>
        <w:instrText xml:space="preserve"> _</w:instrText>
      </w:r>
      <w:r w:rsidRPr="000879C3">
        <w:rPr>
          <w:rStyle w:val="af7"/>
          <w:rFonts w:eastAsia="Guttman Hodes" w:hint="cs"/>
        </w:rPr>
        <w:instrText>Ref54800995 \r \h</w:instrText>
      </w:r>
      <w:r w:rsidRPr="000879C3">
        <w:rPr>
          <w:rStyle w:val="af7"/>
          <w:rFonts w:eastAsia="Guttman Hodes"/>
          <w:rtl/>
        </w:rPr>
        <w:instrText xml:space="preserve"> </w:instrText>
      </w:r>
      <w:r w:rsidRPr="000879C3">
        <w:rPr>
          <w:rStyle w:val="af7"/>
          <w:rFonts w:eastAsia="Guttman Hodes"/>
          <w:rtl/>
        </w:rPr>
      </w:r>
      <w:r w:rsidRPr="000879C3">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0879C3">
        <w:rPr>
          <w:rStyle w:val="af7"/>
          <w:rFonts w:eastAsia="Guttman Hodes"/>
          <w:rtl/>
        </w:rPr>
        <w:fldChar w:fldCharType="end"/>
      </w:r>
      <w:r>
        <w:rPr>
          <w:rFonts w:hint="cs"/>
          <w:rtl/>
        </w:rPr>
        <w:t>.</w:t>
      </w:r>
    </w:p>
    <w:p w:rsidR="00900B10" w:rsidRDefault="00900B10" w:rsidP="00900B10">
      <w:pPr>
        <w:pStyle w:val="1"/>
        <w:rPr>
          <w:rtl/>
        </w:rPr>
      </w:pPr>
      <w:bookmarkStart w:id="2875" w:name="_Toc54887768"/>
      <w:bookmarkStart w:id="2876" w:name="_Toc54891221"/>
      <w:bookmarkStart w:id="2877" w:name="_Toc54903516"/>
      <w:bookmarkStart w:id="2878" w:name="_Toc54948525"/>
      <w:bookmarkStart w:id="2879" w:name="_Toc54952137"/>
      <w:bookmarkStart w:id="2880" w:name="_Toc55073045"/>
      <w:bookmarkStart w:id="2881" w:name="_Toc55073242"/>
      <w:bookmarkStart w:id="2882" w:name="_Toc55073653"/>
      <w:bookmarkStart w:id="2883" w:name="_Toc55074201"/>
      <w:bookmarkStart w:id="2884" w:name="_Toc54867255"/>
      <w:bookmarkStart w:id="2885" w:name="_Toc54868854"/>
      <w:r>
        <w:rPr>
          <w:rFonts w:hint="cs"/>
          <w:rtl/>
        </w:rPr>
        <w:t>ביאור הגרנ"פ בתוס'</w:t>
      </w:r>
      <w:bookmarkEnd w:id="2875"/>
      <w:bookmarkEnd w:id="2876"/>
      <w:bookmarkEnd w:id="2877"/>
      <w:bookmarkEnd w:id="2878"/>
      <w:bookmarkEnd w:id="2879"/>
      <w:bookmarkEnd w:id="2880"/>
      <w:bookmarkEnd w:id="2881"/>
      <w:bookmarkEnd w:id="2882"/>
      <w:r>
        <w:rPr>
          <w:rFonts w:hint="cs"/>
          <w:rtl/>
        </w:rPr>
        <w:t xml:space="preserve"> דהוי מחילה ממש ולא כא"ל לך חזק וקני</w:t>
      </w:r>
      <w:bookmarkEnd w:id="2883"/>
    </w:p>
    <w:p w:rsidR="00900B10" w:rsidRPr="005B1D61" w:rsidRDefault="00900B10" w:rsidP="00900B10">
      <w:pPr>
        <w:pStyle w:val="a3"/>
        <w:rPr>
          <w:rtl/>
        </w:rPr>
      </w:pPr>
      <w:bookmarkStart w:id="2886" w:name="_Toc55073046"/>
      <w:bookmarkStart w:id="2887" w:name="_Toc55073243"/>
      <w:bookmarkStart w:id="2888" w:name="_Toc55073654"/>
      <w:bookmarkStart w:id="2889" w:name="_Toc55074202"/>
      <w:r>
        <w:rPr>
          <w:rFonts w:hint="cs"/>
          <w:rtl/>
        </w:rPr>
        <w:t>דברי הגרנ"פ דמשמע בתוס' דמוחל ממש ואי"ז לך חזק וקני וקשה דל"מ מחילה בגוף הקרקע</w:t>
      </w:r>
      <w:bookmarkEnd w:id="2886"/>
      <w:bookmarkEnd w:id="2887"/>
      <w:bookmarkEnd w:id="2888"/>
      <w:bookmarkEnd w:id="2889"/>
    </w:p>
    <w:p w:rsidR="00900B10" w:rsidRDefault="00900B10" w:rsidP="007E4E81">
      <w:pPr>
        <w:pStyle w:val="a0"/>
        <w:rPr>
          <w:rtl/>
        </w:rPr>
      </w:pPr>
      <w:r>
        <w:rPr>
          <w:rFonts w:hint="cs"/>
          <w:rtl/>
        </w:rPr>
        <w:t xml:space="preserve"> </w:t>
      </w:r>
      <w:bookmarkStart w:id="2890" w:name="_Ref54814355"/>
      <w:bookmarkStart w:id="2891" w:name="_Ref54859526"/>
      <w:r>
        <w:rPr>
          <w:rFonts w:hint="cs"/>
          <w:rtl/>
        </w:rPr>
        <w:t xml:space="preserve">במ"ש </w:t>
      </w:r>
      <w:r w:rsidRPr="00523B05">
        <w:rPr>
          <w:rStyle w:val="af9"/>
          <w:rFonts w:hint="cs"/>
          <w:rtl/>
        </w:rPr>
        <w:t>התוס' בביאורם הא'</w:t>
      </w:r>
      <w:r>
        <w:rPr>
          <w:rFonts w:hint="cs"/>
          <w:rtl/>
        </w:rPr>
        <w:t xml:space="preserve"> </w:t>
      </w:r>
      <w:r w:rsidRPr="000879C3">
        <w:rPr>
          <w:rStyle w:val="af7"/>
          <w:rFonts w:eastAsia="Guttman Hodes" w:hint="cs"/>
          <w:rtl/>
        </w:rPr>
        <w:t xml:space="preserve">(עי' אות </w:t>
      </w:r>
      <w:r w:rsidRPr="000879C3">
        <w:rPr>
          <w:rStyle w:val="af7"/>
          <w:rFonts w:eastAsia="Guttman Hodes"/>
          <w:rtl/>
        </w:rPr>
        <w:fldChar w:fldCharType="begin"/>
      </w:r>
      <w:r w:rsidRPr="000879C3">
        <w:rPr>
          <w:rStyle w:val="af7"/>
          <w:rFonts w:eastAsia="Guttman Hodes"/>
          <w:rtl/>
        </w:rPr>
        <w:instrText xml:space="preserve"> </w:instrText>
      </w:r>
      <w:r w:rsidRPr="000879C3">
        <w:rPr>
          <w:rStyle w:val="af7"/>
          <w:rFonts w:eastAsia="Guttman Hodes" w:hint="cs"/>
        </w:rPr>
        <w:instrText>REF</w:instrText>
      </w:r>
      <w:r w:rsidRPr="000879C3">
        <w:rPr>
          <w:rStyle w:val="af7"/>
          <w:rFonts w:eastAsia="Guttman Hodes" w:hint="cs"/>
          <w:rtl/>
        </w:rPr>
        <w:instrText xml:space="preserve"> _</w:instrText>
      </w:r>
      <w:r w:rsidRPr="000879C3">
        <w:rPr>
          <w:rStyle w:val="af7"/>
          <w:rFonts w:eastAsia="Guttman Hodes" w:hint="cs"/>
        </w:rPr>
        <w:instrText>Ref54601264 \r \h</w:instrText>
      </w:r>
      <w:r w:rsidRPr="000879C3">
        <w:rPr>
          <w:rStyle w:val="af7"/>
          <w:rFonts w:eastAsia="Guttman Hodes"/>
          <w:rtl/>
        </w:rPr>
        <w:instrText xml:space="preserve"> </w:instrText>
      </w:r>
      <w:r w:rsidRPr="000879C3">
        <w:rPr>
          <w:rStyle w:val="af7"/>
          <w:rFonts w:eastAsia="Guttman Hodes"/>
          <w:rtl/>
        </w:rPr>
      </w:r>
      <w:r w:rsidRPr="000879C3">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0879C3">
        <w:rPr>
          <w:rStyle w:val="af7"/>
          <w:rFonts w:eastAsia="Guttman Hodes"/>
          <w:rtl/>
        </w:rPr>
        <w:fldChar w:fldCharType="end"/>
      </w:r>
      <w:r>
        <w:rPr>
          <w:rFonts w:hint="cs"/>
          <w:rtl/>
        </w:rPr>
        <w:t xml:space="preserve"> דקושית הגמ' </w:t>
      </w:r>
      <w:r w:rsidRPr="00D47216">
        <w:rPr>
          <w:rFonts w:hint="cs"/>
          <w:rtl/>
        </w:rPr>
        <w:t xml:space="preserve">דתועיל חזקה בלא טענה, הוא אף באומר שלא אמר לי אדם דבר מעולם, דכל שאכל המחזיק ג"ש ולא מחה המערער, אמרינן דהמערער מחל למחזיק על הקרקע, כתב </w:t>
      </w:r>
      <w:r w:rsidRPr="00523B05">
        <w:rPr>
          <w:rStyle w:val="af9"/>
          <w:rFonts w:hint="cs"/>
          <w:rtl/>
        </w:rPr>
        <w:t>בחי' רבי נחום</w:t>
      </w:r>
      <w:r w:rsidRPr="00D47216">
        <w:rPr>
          <w:rFonts w:hint="cs"/>
          <w:rtl/>
        </w:rPr>
        <w:t xml:space="preserve"> </w:t>
      </w:r>
      <w:r w:rsidRPr="000879C3">
        <w:rPr>
          <w:rStyle w:val="af7"/>
          <w:rFonts w:eastAsia="Guttman Hodes" w:hint="cs"/>
          <w:rtl/>
        </w:rPr>
        <w:t>(או' י"ג)</w:t>
      </w:r>
      <w:r>
        <w:rPr>
          <w:rFonts w:hint="cs"/>
          <w:rtl/>
        </w:rPr>
        <w:t xml:space="preserve"> </w:t>
      </w:r>
      <w:r w:rsidRPr="00D47216">
        <w:rPr>
          <w:rFonts w:hint="cs"/>
          <w:rtl/>
        </w:rPr>
        <w:t xml:space="preserve">דמשמע </w:t>
      </w:r>
      <w:r>
        <w:rPr>
          <w:rFonts w:hint="cs"/>
          <w:rtl/>
        </w:rPr>
        <w:t xml:space="preserve">מדברי </w:t>
      </w:r>
      <w:r w:rsidRPr="00523B05">
        <w:rPr>
          <w:rStyle w:val="af9"/>
          <w:rFonts w:hint="cs"/>
          <w:rtl/>
        </w:rPr>
        <w:t>התוס'</w:t>
      </w:r>
      <w:r w:rsidRPr="00D47216">
        <w:rPr>
          <w:rFonts w:hint="cs"/>
          <w:rtl/>
        </w:rPr>
        <w:t xml:space="preserve"> דכוונת</w:t>
      </w:r>
      <w:r>
        <w:rPr>
          <w:rFonts w:hint="cs"/>
          <w:rtl/>
        </w:rPr>
        <w:t>ם</w:t>
      </w:r>
      <w:r w:rsidRPr="00D47216">
        <w:rPr>
          <w:rFonts w:hint="cs"/>
          <w:rtl/>
        </w:rPr>
        <w:t xml:space="preserve"> למחילה ממש, ולא לביאור</w:t>
      </w:r>
      <w:r>
        <w:rPr>
          <w:rFonts w:hint="cs"/>
          <w:rtl/>
        </w:rPr>
        <w:t xml:space="preserve"> שדחה</w:t>
      </w:r>
      <w:r w:rsidRPr="00D47216">
        <w:rPr>
          <w:rFonts w:hint="cs"/>
          <w:rtl/>
        </w:rPr>
        <w:t xml:space="preserve"> </w:t>
      </w:r>
      <w:r w:rsidRPr="00523B05">
        <w:rPr>
          <w:rStyle w:val="af9"/>
          <w:rFonts w:hint="cs"/>
          <w:rtl/>
        </w:rPr>
        <w:t>רבינו יונה</w:t>
      </w:r>
      <w:r w:rsidRPr="00D47216">
        <w:rPr>
          <w:rFonts w:hint="cs"/>
          <w:rtl/>
        </w:rPr>
        <w:t xml:space="preserve"> </w:t>
      </w:r>
      <w:r w:rsidRPr="000879C3">
        <w:rPr>
          <w:rStyle w:val="af7"/>
          <w:rFonts w:eastAsia="Guttman Hodes" w:hint="cs"/>
          <w:rtl/>
        </w:rPr>
        <w:t xml:space="preserve">(עי' אות </w:t>
      </w:r>
      <w:r w:rsidRPr="000879C3">
        <w:rPr>
          <w:rStyle w:val="af7"/>
          <w:rFonts w:eastAsia="Guttman Hodes"/>
          <w:rtl/>
        </w:rPr>
        <w:fldChar w:fldCharType="begin"/>
      </w:r>
      <w:r w:rsidRPr="000879C3">
        <w:rPr>
          <w:rStyle w:val="af7"/>
          <w:rFonts w:eastAsia="Guttman Hodes"/>
          <w:rtl/>
        </w:rPr>
        <w:instrText xml:space="preserve"> </w:instrText>
      </w:r>
      <w:r w:rsidRPr="000879C3">
        <w:rPr>
          <w:rStyle w:val="af7"/>
          <w:rFonts w:eastAsia="Guttman Hodes" w:hint="cs"/>
        </w:rPr>
        <w:instrText>REF</w:instrText>
      </w:r>
      <w:r w:rsidRPr="000879C3">
        <w:rPr>
          <w:rStyle w:val="af7"/>
          <w:rFonts w:eastAsia="Guttman Hodes" w:hint="cs"/>
          <w:rtl/>
        </w:rPr>
        <w:instrText xml:space="preserve"> _</w:instrText>
      </w:r>
      <w:r w:rsidRPr="000879C3">
        <w:rPr>
          <w:rStyle w:val="af7"/>
          <w:rFonts w:eastAsia="Guttman Hodes" w:hint="cs"/>
        </w:rPr>
        <w:instrText>Ref54602869 \r \h</w:instrText>
      </w:r>
      <w:r w:rsidRPr="000879C3">
        <w:rPr>
          <w:rStyle w:val="af7"/>
          <w:rFonts w:eastAsia="Guttman Hodes"/>
          <w:rtl/>
        </w:rPr>
        <w:instrText xml:space="preserve">  \* </w:instrText>
      </w:r>
      <w:r w:rsidRPr="000879C3">
        <w:rPr>
          <w:rStyle w:val="af7"/>
          <w:rFonts w:eastAsia="Guttman Hodes"/>
        </w:rPr>
        <w:instrText>MERGEFORMAT</w:instrText>
      </w:r>
      <w:r w:rsidRPr="000879C3">
        <w:rPr>
          <w:rStyle w:val="af7"/>
          <w:rFonts w:eastAsia="Guttman Hodes"/>
          <w:rtl/>
        </w:rPr>
        <w:instrText xml:space="preserve"> </w:instrText>
      </w:r>
      <w:r w:rsidRPr="000879C3">
        <w:rPr>
          <w:rStyle w:val="af7"/>
          <w:rFonts w:eastAsia="Guttman Hodes"/>
          <w:rtl/>
        </w:rPr>
      </w:r>
      <w:r w:rsidRPr="000879C3">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0879C3">
        <w:rPr>
          <w:rStyle w:val="af7"/>
          <w:rFonts w:eastAsia="Guttman Hodes"/>
          <w:rtl/>
        </w:rPr>
        <w:fldChar w:fldCharType="end"/>
      </w:r>
      <w:r>
        <w:rPr>
          <w:rFonts w:hint="cs"/>
          <w:rtl/>
        </w:rPr>
        <w:t xml:space="preserve"> דבג"ש מוחל המרא קמא על הקרקע, וחשיב כמי שאמר לו לך חזק וקני, </w:t>
      </w:r>
      <w:r w:rsidRPr="00523B05">
        <w:rPr>
          <w:rStyle w:val="afb"/>
          <w:rFonts w:hint="cs"/>
          <w:rtl/>
        </w:rPr>
        <w:t xml:space="preserve">[אבל </w:t>
      </w:r>
      <w:r w:rsidRPr="009B3A6B">
        <w:rPr>
          <w:rStyle w:val="affa"/>
          <w:rFonts w:hint="cs"/>
          <w:rtl/>
        </w:rPr>
        <w:t>בשיעורי רבי שמואל</w:t>
      </w:r>
      <w:r w:rsidRPr="00523B05">
        <w:rPr>
          <w:rStyle w:val="afb"/>
          <w:rFonts w:hint="cs"/>
          <w:rtl/>
        </w:rPr>
        <w:t xml:space="preserve"> </w:t>
      </w:r>
      <w:r w:rsidRPr="009B3A6B">
        <w:rPr>
          <w:rStyle w:val="aff6"/>
          <w:rFonts w:hint="cs"/>
          <w:rtl/>
        </w:rPr>
        <w:t xml:space="preserve">(עי' אות </w:t>
      </w:r>
      <w:r w:rsidRPr="009B3A6B">
        <w:rPr>
          <w:rStyle w:val="aff6"/>
          <w:rtl/>
        </w:rPr>
        <w:fldChar w:fldCharType="begin"/>
      </w:r>
      <w:r w:rsidRPr="009B3A6B">
        <w:rPr>
          <w:rStyle w:val="aff6"/>
          <w:rtl/>
        </w:rPr>
        <w:instrText xml:space="preserve"> </w:instrText>
      </w:r>
      <w:r w:rsidRPr="009B3A6B">
        <w:rPr>
          <w:rStyle w:val="aff6"/>
          <w:rFonts w:hint="cs"/>
        </w:rPr>
        <w:instrText>REF</w:instrText>
      </w:r>
      <w:r w:rsidRPr="009B3A6B">
        <w:rPr>
          <w:rStyle w:val="aff6"/>
          <w:rFonts w:hint="cs"/>
          <w:rtl/>
        </w:rPr>
        <w:instrText xml:space="preserve"> _</w:instrText>
      </w:r>
      <w:r w:rsidRPr="009B3A6B">
        <w:rPr>
          <w:rStyle w:val="aff6"/>
          <w:rFonts w:hint="cs"/>
        </w:rPr>
        <w:instrText>Ref54801070 \r \h</w:instrText>
      </w:r>
      <w:r w:rsidRPr="009B3A6B">
        <w:rPr>
          <w:rStyle w:val="aff6"/>
          <w:rtl/>
        </w:rPr>
        <w:instrText xml:space="preserve"> </w:instrText>
      </w:r>
      <w:r w:rsidRPr="009B3A6B">
        <w:rPr>
          <w:rStyle w:val="aff6"/>
          <w:rtl/>
        </w:rPr>
      </w:r>
      <w:r w:rsidRPr="009B3A6B">
        <w:rPr>
          <w:rStyle w:val="aff6"/>
          <w:rtl/>
        </w:rPr>
        <w:fldChar w:fldCharType="separate"/>
      </w:r>
      <w:r w:rsidR="00265073">
        <w:rPr>
          <w:rStyle w:val="aff6"/>
          <w:cs/>
        </w:rPr>
        <w:t>‎</w:t>
      </w:r>
      <w:r w:rsidR="00265073">
        <w:rPr>
          <w:rStyle w:val="aff6"/>
          <w:rtl/>
        </w:rPr>
        <w:t>צט)</w:t>
      </w:r>
      <w:r w:rsidRPr="009B3A6B">
        <w:rPr>
          <w:rStyle w:val="aff6"/>
          <w:rtl/>
        </w:rPr>
        <w:fldChar w:fldCharType="end"/>
      </w:r>
      <w:r w:rsidRPr="00523B05">
        <w:rPr>
          <w:rStyle w:val="afb"/>
          <w:rFonts w:hint="cs"/>
          <w:rtl/>
        </w:rPr>
        <w:t xml:space="preserve"> ביאר דכוונתם </w:t>
      </w:r>
      <w:r w:rsidRPr="009B3A6B">
        <w:rPr>
          <w:rStyle w:val="affa"/>
          <w:rFonts w:hint="cs"/>
          <w:rtl/>
        </w:rPr>
        <w:t>כרבינו יונה</w:t>
      </w:r>
      <w:r w:rsidRPr="00523B05">
        <w:rPr>
          <w:rStyle w:val="afb"/>
          <w:rFonts w:hint="cs"/>
          <w:rtl/>
        </w:rPr>
        <w:t>],</w:t>
      </w:r>
      <w:r>
        <w:rPr>
          <w:rFonts w:hint="cs"/>
          <w:rtl/>
        </w:rPr>
        <w:t xml:space="preserve"> והקשה </w:t>
      </w:r>
      <w:r w:rsidRPr="00523B05">
        <w:rPr>
          <w:rStyle w:val="af9"/>
          <w:rFonts w:hint="cs"/>
          <w:rtl/>
        </w:rPr>
        <w:t>בחי' רבי נחום</w:t>
      </w:r>
      <w:r>
        <w:rPr>
          <w:rFonts w:hint="cs"/>
          <w:rtl/>
        </w:rPr>
        <w:t xml:space="preserve"> דהיאך אפש"ל דהמחילה מהני להקנות את גוף הקרקע. </w:t>
      </w:r>
      <w:r w:rsidRPr="00011B21">
        <w:rPr>
          <w:rStyle w:val="afb"/>
          <w:rFonts w:hint="cs"/>
          <w:rtl/>
        </w:rPr>
        <w:t xml:space="preserve">[ובמה שהקשה </w:t>
      </w:r>
      <w:r w:rsidRPr="00011B21">
        <w:rPr>
          <w:rStyle w:val="affa"/>
          <w:rFonts w:hint="cs"/>
          <w:rtl/>
        </w:rPr>
        <w:t>הרשב"א</w:t>
      </w:r>
      <w:r w:rsidRPr="00011B21">
        <w:rPr>
          <w:rStyle w:val="afb"/>
          <w:rFonts w:hint="cs"/>
          <w:rtl/>
        </w:rPr>
        <w:t xml:space="preserve"> </w:t>
      </w:r>
      <w:r w:rsidRPr="009B3A6B">
        <w:rPr>
          <w:rStyle w:val="aff6"/>
          <w:rFonts w:hint="cs"/>
          <w:rtl/>
        </w:rPr>
        <w:t xml:space="preserve">(עי' אות </w:t>
      </w:r>
      <w:r w:rsidRPr="009B3A6B">
        <w:rPr>
          <w:rStyle w:val="aff6"/>
          <w:rtl/>
        </w:rPr>
        <w:fldChar w:fldCharType="begin"/>
      </w:r>
      <w:r w:rsidRPr="009B3A6B">
        <w:rPr>
          <w:rStyle w:val="aff6"/>
          <w:rtl/>
        </w:rPr>
        <w:instrText xml:space="preserve"> </w:instrText>
      </w:r>
      <w:r w:rsidRPr="009B3A6B">
        <w:rPr>
          <w:rStyle w:val="aff6"/>
          <w:rFonts w:hint="cs"/>
        </w:rPr>
        <w:instrText>REF</w:instrText>
      </w:r>
      <w:r w:rsidRPr="009B3A6B">
        <w:rPr>
          <w:rStyle w:val="aff6"/>
          <w:rFonts w:hint="cs"/>
          <w:rtl/>
        </w:rPr>
        <w:instrText xml:space="preserve"> _</w:instrText>
      </w:r>
      <w:r w:rsidRPr="009B3A6B">
        <w:rPr>
          <w:rStyle w:val="aff6"/>
          <w:rFonts w:hint="cs"/>
        </w:rPr>
        <w:instrText>Ref54859403 \r \h</w:instrText>
      </w:r>
      <w:r w:rsidRPr="009B3A6B">
        <w:rPr>
          <w:rStyle w:val="aff6"/>
          <w:rtl/>
        </w:rPr>
        <w:instrText xml:space="preserve"> </w:instrText>
      </w:r>
      <w:r w:rsidRPr="009B3A6B">
        <w:rPr>
          <w:rStyle w:val="aff6"/>
          <w:rtl/>
        </w:rPr>
      </w:r>
      <w:r w:rsidRPr="009B3A6B">
        <w:rPr>
          <w:rStyle w:val="aff6"/>
          <w:rtl/>
        </w:rPr>
        <w:fldChar w:fldCharType="separate"/>
      </w:r>
      <w:r w:rsidR="00265073">
        <w:rPr>
          <w:rStyle w:val="aff6"/>
          <w:cs/>
        </w:rPr>
        <w:t>‎</w:t>
      </w:r>
      <w:r w:rsidR="00265073">
        <w:rPr>
          <w:rStyle w:val="aff6"/>
          <w:rtl/>
        </w:rPr>
        <w:t>נב)</w:t>
      </w:r>
      <w:r w:rsidRPr="009B3A6B">
        <w:rPr>
          <w:rStyle w:val="aff6"/>
          <w:rtl/>
        </w:rPr>
        <w:fldChar w:fldCharType="end"/>
      </w:r>
      <w:r w:rsidRPr="00011B21">
        <w:rPr>
          <w:rStyle w:val="afb"/>
          <w:rFonts w:hint="cs"/>
          <w:rtl/>
        </w:rPr>
        <w:t xml:space="preserve"> דבחזקת תשמישים אמרינן דמהני מחילה, כתב בחי' רבי נחום דאי"ז קשה על </w:t>
      </w:r>
      <w:r w:rsidRPr="00011B21">
        <w:rPr>
          <w:rStyle w:val="affa"/>
          <w:rFonts w:hint="cs"/>
          <w:rtl/>
        </w:rPr>
        <w:t>התוס'</w:t>
      </w:r>
      <w:r w:rsidRPr="00011B21">
        <w:rPr>
          <w:rStyle w:val="afb"/>
          <w:rFonts w:hint="cs"/>
          <w:rtl/>
        </w:rPr>
        <w:t xml:space="preserve">, דהא לדעת </w:t>
      </w:r>
      <w:r w:rsidRPr="00011B21">
        <w:rPr>
          <w:rStyle w:val="affa"/>
          <w:rFonts w:hint="cs"/>
          <w:rtl/>
        </w:rPr>
        <w:t xml:space="preserve">התוס' </w:t>
      </w:r>
      <w:r w:rsidRPr="009B3A6B">
        <w:rPr>
          <w:rStyle w:val="affa"/>
          <w:rFonts w:hint="cs"/>
          <w:rtl/>
        </w:rPr>
        <w:t>לעיל</w:t>
      </w:r>
      <w:r w:rsidRPr="009B3A6B">
        <w:rPr>
          <w:rStyle w:val="aff6"/>
          <w:rFonts w:hint="cs"/>
          <w:rtl/>
        </w:rPr>
        <w:t xml:space="preserve"> (כג. ד"ה והא)</w:t>
      </w:r>
      <w:r w:rsidRPr="00011B21">
        <w:rPr>
          <w:rStyle w:val="afb"/>
          <w:rFonts w:hint="cs"/>
          <w:rtl/>
        </w:rPr>
        <w:t xml:space="preserve"> לא מהני מחילה אף בחזקת בתשמישים]</w:t>
      </w:r>
      <w:bookmarkEnd w:id="2890"/>
      <w:r w:rsidRPr="00011B21">
        <w:rPr>
          <w:rStyle w:val="afb"/>
          <w:rFonts w:hint="cs"/>
          <w:rtl/>
        </w:rPr>
        <w:t>.</w:t>
      </w:r>
      <w:bookmarkEnd w:id="2891"/>
    </w:p>
    <w:p w:rsidR="00900B10" w:rsidRDefault="00900B10" w:rsidP="00900B10">
      <w:pPr>
        <w:pStyle w:val="a3"/>
        <w:rPr>
          <w:rtl/>
        </w:rPr>
      </w:pPr>
      <w:bookmarkStart w:id="2892" w:name="_Toc55073047"/>
      <w:bookmarkStart w:id="2893" w:name="_Toc55073244"/>
      <w:bookmarkStart w:id="2894" w:name="_Toc55073655"/>
      <w:bookmarkStart w:id="2895" w:name="_Toc55074203"/>
      <w:r>
        <w:rPr>
          <w:rFonts w:hint="cs"/>
          <w:rtl/>
        </w:rPr>
        <w:lastRenderedPageBreak/>
        <w:t>דברי הגרנ"פ דקושית רב"י היאך ילפינן דנעשה למוחזק ל"ק לתוס' דהוחזק שתקן</w:t>
      </w:r>
      <w:bookmarkEnd w:id="2892"/>
      <w:bookmarkEnd w:id="2893"/>
      <w:bookmarkEnd w:id="2894"/>
      <w:bookmarkEnd w:id="2895"/>
    </w:p>
    <w:p w:rsidR="00900B10" w:rsidRDefault="00900B10" w:rsidP="007E4E81">
      <w:pPr>
        <w:pStyle w:val="a0"/>
        <w:rPr>
          <w:rtl/>
        </w:rPr>
      </w:pPr>
      <w:bookmarkStart w:id="2896" w:name="_Ref55071552"/>
      <w:r>
        <w:rPr>
          <w:rFonts w:hint="cs"/>
          <w:rtl/>
        </w:rPr>
        <w:t xml:space="preserve">ובמה שהקשה </w:t>
      </w:r>
      <w:r w:rsidRPr="009B3A6B">
        <w:rPr>
          <w:rStyle w:val="af9"/>
          <w:rFonts w:hint="cs"/>
          <w:rtl/>
        </w:rPr>
        <w:t xml:space="preserve">רבינו יונה </w:t>
      </w:r>
      <w:r w:rsidRPr="000879C3">
        <w:rPr>
          <w:rStyle w:val="af7"/>
          <w:rFonts w:eastAsia="Guttman Hodes" w:hint="cs"/>
          <w:rtl/>
        </w:rPr>
        <w:t xml:space="preserve">(עי' אות </w:t>
      </w:r>
      <w:r w:rsidRPr="000879C3">
        <w:rPr>
          <w:rStyle w:val="af7"/>
          <w:rFonts w:eastAsia="Guttman Hodes"/>
          <w:rtl/>
        </w:rPr>
        <w:fldChar w:fldCharType="begin"/>
      </w:r>
      <w:r w:rsidRPr="000879C3">
        <w:rPr>
          <w:rStyle w:val="af7"/>
          <w:rFonts w:eastAsia="Guttman Hodes"/>
          <w:rtl/>
        </w:rPr>
        <w:instrText xml:space="preserve"> </w:instrText>
      </w:r>
      <w:r w:rsidRPr="000879C3">
        <w:rPr>
          <w:rStyle w:val="af7"/>
          <w:rFonts w:eastAsia="Guttman Hodes" w:hint="cs"/>
        </w:rPr>
        <w:instrText>REF</w:instrText>
      </w:r>
      <w:r w:rsidRPr="000879C3">
        <w:rPr>
          <w:rStyle w:val="af7"/>
          <w:rFonts w:eastAsia="Guttman Hodes" w:hint="cs"/>
          <w:rtl/>
        </w:rPr>
        <w:instrText xml:space="preserve"> _</w:instrText>
      </w:r>
      <w:r w:rsidRPr="000879C3">
        <w:rPr>
          <w:rStyle w:val="af7"/>
          <w:rFonts w:eastAsia="Guttman Hodes" w:hint="cs"/>
        </w:rPr>
        <w:instrText>Ref54602869 \r \h</w:instrText>
      </w:r>
      <w:r w:rsidRPr="000879C3">
        <w:rPr>
          <w:rStyle w:val="af7"/>
          <w:rFonts w:eastAsia="Guttman Hodes"/>
          <w:rtl/>
        </w:rPr>
        <w:instrText xml:space="preserve">  \* </w:instrText>
      </w:r>
      <w:r w:rsidRPr="000879C3">
        <w:rPr>
          <w:rStyle w:val="af7"/>
          <w:rFonts w:eastAsia="Guttman Hodes"/>
        </w:rPr>
        <w:instrText>MERGEFORMAT</w:instrText>
      </w:r>
      <w:r w:rsidRPr="000879C3">
        <w:rPr>
          <w:rStyle w:val="af7"/>
          <w:rFonts w:eastAsia="Guttman Hodes"/>
          <w:rtl/>
        </w:rPr>
        <w:instrText xml:space="preserve"> </w:instrText>
      </w:r>
      <w:r w:rsidRPr="000879C3">
        <w:rPr>
          <w:rStyle w:val="af7"/>
          <w:rFonts w:eastAsia="Guttman Hodes"/>
          <w:rtl/>
        </w:rPr>
      </w:r>
      <w:r w:rsidRPr="000879C3">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0879C3">
        <w:rPr>
          <w:rStyle w:val="af7"/>
          <w:rFonts w:eastAsia="Guttman Hodes"/>
          <w:rtl/>
        </w:rPr>
        <w:fldChar w:fldCharType="end"/>
      </w:r>
      <w:r w:rsidRPr="004E6309">
        <w:rPr>
          <w:rFonts w:hint="cs"/>
          <w:rtl/>
        </w:rPr>
        <w:t xml:space="preserve"> </w:t>
      </w:r>
      <w:r>
        <w:rPr>
          <w:rFonts w:hint="cs"/>
          <w:rtl/>
        </w:rPr>
        <w:t>ד</w:t>
      </w:r>
      <w:r w:rsidRPr="004E6309">
        <w:rPr>
          <w:rFonts w:hint="cs"/>
          <w:rtl/>
        </w:rPr>
        <w:t>ודאי דלא ילפינן</w:t>
      </w:r>
      <w:r>
        <w:rPr>
          <w:rFonts w:hint="cs"/>
          <w:rtl/>
        </w:rPr>
        <w:t xml:space="preserve"> משור המועד </w:t>
      </w:r>
      <w:r w:rsidRPr="004E6309">
        <w:rPr>
          <w:rFonts w:hint="cs"/>
          <w:rtl/>
        </w:rPr>
        <w:t xml:space="preserve">דבג"ש מוחל המרא קמא על הקרקע, </w:t>
      </w:r>
      <w:r>
        <w:rPr>
          <w:rFonts w:hint="cs"/>
          <w:rtl/>
        </w:rPr>
        <w:t xml:space="preserve">כתב </w:t>
      </w:r>
      <w:r w:rsidRPr="009B3A6B">
        <w:rPr>
          <w:rStyle w:val="af9"/>
          <w:rFonts w:hint="cs"/>
          <w:rtl/>
        </w:rPr>
        <w:t xml:space="preserve">בחי' רבי נחום </w:t>
      </w:r>
      <w:r>
        <w:rPr>
          <w:rFonts w:hint="cs"/>
          <w:rtl/>
        </w:rPr>
        <w:t xml:space="preserve">דכל דברי </w:t>
      </w:r>
      <w:r w:rsidRPr="009B3A6B">
        <w:rPr>
          <w:rStyle w:val="af9"/>
          <w:rFonts w:hint="cs"/>
          <w:rtl/>
        </w:rPr>
        <w:t xml:space="preserve">רבינו יונה </w:t>
      </w:r>
      <w:r>
        <w:rPr>
          <w:rFonts w:hint="cs"/>
          <w:rtl/>
        </w:rPr>
        <w:t xml:space="preserve">הם לפי ביאורו דביאר </w:t>
      </w:r>
      <w:r w:rsidRPr="009B3A6B">
        <w:rPr>
          <w:rStyle w:val="af9"/>
          <w:rFonts w:hint="cs"/>
          <w:rtl/>
        </w:rPr>
        <w:t xml:space="preserve">רבינו יונה </w:t>
      </w:r>
      <w:r w:rsidRPr="0034069F">
        <w:rPr>
          <w:rStyle w:val="af7"/>
          <w:rFonts w:eastAsia="Guttman Hodes" w:hint="cs"/>
          <w:rtl/>
        </w:rPr>
        <w:t xml:space="preserve">(עי' אות </w:t>
      </w:r>
      <w:r w:rsidRPr="0034069F">
        <w:rPr>
          <w:rStyle w:val="af7"/>
          <w:rFonts w:eastAsia="Guttman Hodes"/>
          <w:rtl/>
        </w:rPr>
        <w:fldChar w:fldCharType="begin"/>
      </w:r>
      <w:r w:rsidRPr="0034069F">
        <w:rPr>
          <w:rStyle w:val="af7"/>
          <w:rFonts w:eastAsia="Guttman Hodes"/>
          <w:rtl/>
        </w:rPr>
        <w:instrText xml:space="preserve"> </w:instrText>
      </w:r>
      <w:r w:rsidRPr="0034069F">
        <w:rPr>
          <w:rStyle w:val="af7"/>
          <w:rFonts w:eastAsia="Guttman Hodes" w:hint="cs"/>
        </w:rPr>
        <w:instrText>REF</w:instrText>
      </w:r>
      <w:r w:rsidRPr="0034069F">
        <w:rPr>
          <w:rStyle w:val="af7"/>
          <w:rFonts w:eastAsia="Guttman Hodes" w:hint="cs"/>
          <w:rtl/>
        </w:rPr>
        <w:instrText xml:space="preserve"> _</w:instrText>
      </w:r>
      <w:r w:rsidRPr="0034069F">
        <w:rPr>
          <w:rStyle w:val="af7"/>
          <w:rFonts w:eastAsia="Guttman Hodes" w:hint="cs"/>
        </w:rPr>
        <w:instrText>Ref55069936 \r \h</w:instrText>
      </w:r>
      <w:r w:rsidRPr="0034069F">
        <w:rPr>
          <w:rStyle w:val="af7"/>
          <w:rFonts w:eastAsia="Guttman Hodes"/>
          <w:rtl/>
        </w:rPr>
        <w:instrText xml:space="preserve"> </w:instrText>
      </w:r>
      <w:r w:rsidRPr="0034069F">
        <w:rPr>
          <w:rStyle w:val="af7"/>
          <w:rFonts w:eastAsia="Guttman Hodes"/>
          <w:rtl/>
        </w:rPr>
      </w:r>
      <w:r w:rsidRPr="0034069F">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34069F">
        <w:rPr>
          <w:rStyle w:val="af7"/>
          <w:rFonts w:eastAsia="Guttman Hodes"/>
          <w:rtl/>
        </w:rPr>
        <w:fldChar w:fldCharType="end"/>
      </w:r>
      <w:r>
        <w:rPr>
          <w:rFonts w:hint="cs"/>
          <w:rtl/>
        </w:rPr>
        <w:t xml:space="preserve"> כדעת</w:t>
      </w:r>
      <w:r>
        <w:rPr>
          <w:rStyle w:val="af9"/>
          <w:rFonts w:hint="cs"/>
          <w:rtl/>
        </w:rPr>
        <w:t xml:space="preserve"> </w:t>
      </w:r>
      <w:r w:rsidRPr="009B3A6B">
        <w:rPr>
          <w:rStyle w:val="af9"/>
          <w:rFonts w:hint="cs"/>
          <w:rtl/>
        </w:rPr>
        <w:t>הרמב"ן</w:t>
      </w:r>
      <w:r w:rsidRPr="0034069F">
        <w:rPr>
          <w:rStyle w:val="af7"/>
          <w:rFonts w:eastAsia="Guttman Hodes" w:hint="cs"/>
          <w:rtl/>
        </w:rPr>
        <w:t xml:space="preserve"> (עי' אות </w:t>
      </w:r>
      <w:r w:rsidRPr="0034069F">
        <w:rPr>
          <w:rStyle w:val="af7"/>
          <w:rFonts w:eastAsia="Guttman Hodes"/>
          <w:rtl/>
        </w:rPr>
        <w:fldChar w:fldCharType="begin"/>
      </w:r>
      <w:r w:rsidRPr="0034069F">
        <w:rPr>
          <w:rStyle w:val="af7"/>
          <w:rFonts w:eastAsia="Guttman Hodes"/>
          <w:rtl/>
        </w:rPr>
        <w:instrText xml:space="preserve"> </w:instrText>
      </w:r>
      <w:r w:rsidRPr="0034069F">
        <w:rPr>
          <w:rStyle w:val="af7"/>
          <w:rFonts w:eastAsia="Guttman Hodes" w:hint="cs"/>
        </w:rPr>
        <w:instrText>REF</w:instrText>
      </w:r>
      <w:r w:rsidRPr="0034069F">
        <w:rPr>
          <w:rStyle w:val="af7"/>
          <w:rFonts w:eastAsia="Guttman Hodes" w:hint="cs"/>
          <w:rtl/>
        </w:rPr>
        <w:instrText xml:space="preserve"> _</w:instrText>
      </w:r>
      <w:r w:rsidRPr="0034069F">
        <w:rPr>
          <w:rStyle w:val="af7"/>
          <w:rFonts w:eastAsia="Guttman Hodes" w:hint="cs"/>
        </w:rPr>
        <w:instrText>Ref54801573 \r \h</w:instrText>
      </w:r>
      <w:r w:rsidRPr="0034069F">
        <w:rPr>
          <w:rStyle w:val="af7"/>
          <w:rFonts w:eastAsia="Guttman Hodes"/>
          <w:rtl/>
        </w:rPr>
        <w:instrText xml:space="preserve"> </w:instrText>
      </w:r>
      <w:r w:rsidRPr="0034069F">
        <w:rPr>
          <w:rStyle w:val="af7"/>
          <w:rFonts w:eastAsia="Guttman Hodes"/>
          <w:rtl/>
        </w:rPr>
      </w:r>
      <w:r w:rsidRPr="0034069F">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34069F">
        <w:rPr>
          <w:rStyle w:val="af7"/>
          <w:rFonts w:eastAsia="Guttman Hodes"/>
          <w:rtl/>
        </w:rPr>
        <w:fldChar w:fldCharType="end"/>
      </w:r>
      <w:r>
        <w:rPr>
          <w:rFonts w:hint="cs"/>
          <w:rtl/>
        </w:rPr>
        <w:t xml:space="preserve"> </w:t>
      </w:r>
      <w:r w:rsidRPr="009B3A6B">
        <w:rPr>
          <w:rStyle w:val="af9"/>
          <w:rFonts w:hint="cs"/>
          <w:rtl/>
        </w:rPr>
        <w:t xml:space="preserve">והריטב"א </w:t>
      </w:r>
      <w:r w:rsidRPr="0034069F">
        <w:rPr>
          <w:rStyle w:val="af7"/>
          <w:rFonts w:eastAsia="Guttman Hodes" w:hint="cs"/>
          <w:rtl/>
        </w:rPr>
        <w:t xml:space="preserve">(עי' אות </w:t>
      </w:r>
      <w:r w:rsidRPr="0034069F">
        <w:rPr>
          <w:rStyle w:val="af7"/>
          <w:rFonts w:eastAsia="Guttman Hodes"/>
          <w:rtl/>
        </w:rPr>
        <w:fldChar w:fldCharType="begin"/>
      </w:r>
      <w:r w:rsidRPr="0034069F">
        <w:rPr>
          <w:rStyle w:val="af7"/>
          <w:rFonts w:eastAsia="Guttman Hodes"/>
          <w:rtl/>
        </w:rPr>
        <w:instrText xml:space="preserve"> </w:instrText>
      </w:r>
      <w:r w:rsidRPr="0034069F">
        <w:rPr>
          <w:rStyle w:val="af7"/>
          <w:rFonts w:eastAsia="Guttman Hodes" w:hint="cs"/>
        </w:rPr>
        <w:instrText>REF</w:instrText>
      </w:r>
      <w:r w:rsidRPr="0034069F">
        <w:rPr>
          <w:rStyle w:val="af7"/>
          <w:rFonts w:eastAsia="Guttman Hodes" w:hint="cs"/>
          <w:rtl/>
        </w:rPr>
        <w:instrText xml:space="preserve"> _</w:instrText>
      </w:r>
      <w:r w:rsidRPr="0034069F">
        <w:rPr>
          <w:rStyle w:val="af7"/>
          <w:rFonts w:eastAsia="Guttman Hodes" w:hint="cs"/>
        </w:rPr>
        <w:instrText>Ref54884589 \r \h</w:instrText>
      </w:r>
      <w:r w:rsidRPr="0034069F">
        <w:rPr>
          <w:rStyle w:val="af7"/>
          <w:rFonts w:eastAsia="Guttman Hodes"/>
          <w:rtl/>
        </w:rPr>
        <w:instrText xml:space="preserve"> </w:instrText>
      </w:r>
      <w:r w:rsidRPr="0034069F">
        <w:rPr>
          <w:rStyle w:val="af7"/>
          <w:rFonts w:eastAsia="Guttman Hodes"/>
          <w:rtl/>
        </w:rPr>
      </w:r>
      <w:r w:rsidRPr="0034069F">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34069F">
        <w:rPr>
          <w:rStyle w:val="af7"/>
          <w:rFonts w:eastAsia="Guttman Hodes"/>
          <w:rtl/>
        </w:rPr>
        <w:fldChar w:fldCharType="end"/>
      </w:r>
      <w:r>
        <w:rPr>
          <w:rFonts w:hint="cs"/>
          <w:rtl/>
        </w:rPr>
        <w:t xml:space="preserve"> דילפינן משור המועד, דגדר החזקה היא דבג' אכילות הלוקח נעשה למוחזק, וא"כ א"א ללמוד מזה דחשיב שמחל לו המערער, אבל לדעת </w:t>
      </w:r>
      <w:r w:rsidRPr="009B3A6B">
        <w:rPr>
          <w:rStyle w:val="af9"/>
          <w:rFonts w:hint="cs"/>
          <w:rtl/>
        </w:rPr>
        <w:t>התוס'</w:t>
      </w:r>
      <w:r>
        <w:rPr>
          <w:rFonts w:hint="cs"/>
          <w:rtl/>
        </w:rPr>
        <w:t xml:space="preserve"> </w:t>
      </w:r>
      <w:r w:rsidRPr="0034069F">
        <w:rPr>
          <w:rStyle w:val="af7"/>
          <w:rFonts w:eastAsia="Guttman Hodes" w:hint="cs"/>
          <w:rtl/>
        </w:rPr>
        <w:t xml:space="preserve">(עי' אות </w:t>
      </w:r>
      <w:r w:rsidRPr="0034069F">
        <w:rPr>
          <w:rStyle w:val="af7"/>
          <w:rFonts w:eastAsia="Guttman Hodes"/>
          <w:rtl/>
        </w:rPr>
        <w:fldChar w:fldCharType="begin"/>
      </w:r>
      <w:r w:rsidRPr="0034069F">
        <w:rPr>
          <w:rStyle w:val="af7"/>
          <w:rFonts w:eastAsia="Guttman Hodes"/>
          <w:rtl/>
        </w:rPr>
        <w:instrText xml:space="preserve"> </w:instrText>
      </w:r>
      <w:r w:rsidRPr="0034069F">
        <w:rPr>
          <w:rStyle w:val="af7"/>
          <w:rFonts w:eastAsia="Guttman Hodes" w:hint="cs"/>
        </w:rPr>
        <w:instrText>REF</w:instrText>
      </w:r>
      <w:r w:rsidRPr="0034069F">
        <w:rPr>
          <w:rStyle w:val="af7"/>
          <w:rFonts w:eastAsia="Guttman Hodes" w:hint="cs"/>
          <w:rtl/>
        </w:rPr>
        <w:instrText xml:space="preserve"> _</w:instrText>
      </w:r>
      <w:r w:rsidRPr="0034069F">
        <w:rPr>
          <w:rStyle w:val="af7"/>
          <w:rFonts w:eastAsia="Guttman Hodes" w:hint="cs"/>
        </w:rPr>
        <w:instrText>Ref54944825 \r \h</w:instrText>
      </w:r>
      <w:r w:rsidRPr="0034069F">
        <w:rPr>
          <w:rStyle w:val="af7"/>
          <w:rFonts w:eastAsia="Guttman Hodes"/>
          <w:rtl/>
        </w:rPr>
        <w:instrText xml:space="preserve"> </w:instrText>
      </w:r>
      <w:r w:rsidRPr="0034069F">
        <w:rPr>
          <w:rStyle w:val="af7"/>
          <w:rFonts w:eastAsia="Guttman Hodes"/>
          <w:rtl/>
        </w:rPr>
      </w:r>
      <w:r w:rsidRPr="0034069F">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34069F">
        <w:rPr>
          <w:rStyle w:val="af7"/>
          <w:rFonts w:eastAsia="Guttman Hodes"/>
          <w:rtl/>
        </w:rPr>
        <w:fldChar w:fldCharType="end"/>
      </w:r>
      <w:r>
        <w:rPr>
          <w:rFonts w:hint="cs"/>
          <w:rtl/>
        </w:rPr>
        <w:t xml:space="preserve"> דביארו דהילפותא משור המועד היא דאחר ששתק המערער ג"פ, הוחזקת שתקן ואמרינן שלא ימחה עוד, א"כ מבוארים דברי </w:t>
      </w:r>
      <w:r w:rsidRPr="009B3A6B">
        <w:rPr>
          <w:rStyle w:val="af9"/>
          <w:rFonts w:hint="cs"/>
          <w:rtl/>
        </w:rPr>
        <w:t>התוס'</w:t>
      </w:r>
      <w:r>
        <w:rPr>
          <w:rFonts w:hint="cs"/>
          <w:rtl/>
        </w:rPr>
        <w:t xml:space="preserve"> </w:t>
      </w:r>
      <w:r w:rsidRPr="0034069F">
        <w:rPr>
          <w:rStyle w:val="af7"/>
          <w:rFonts w:eastAsia="Guttman Hodes" w:hint="cs"/>
          <w:rtl/>
        </w:rPr>
        <w:t xml:space="preserve">(עי' אות </w:t>
      </w:r>
      <w:r w:rsidRPr="0034069F">
        <w:rPr>
          <w:rStyle w:val="af7"/>
          <w:rFonts w:eastAsia="Guttman Hodes"/>
          <w:rtl/>
        </w:rPr>
        <w:fldChar w:fldCharType="begin"/>
      </w:r>
      <w:r w:rsidRPr="0034069F">
        <w:rPr>
          <w:rStyle w:val="af7"/>
          <w:rFonts w:eastAsia="Guttman Hodes"/>
          <w:rtl/>
        </w:rPr>
        <w:instrText xml:space="preserve"> </w:instrText>
      </w:r>
      <w:r w:rsidRPr="0034069F">
        <w:rPr>
          <w:rStyle w:val="af7"/>
          <w:rFonts w:eastAsia="Guttman Hodes" w:hint="cs"/>
        </w:rPr>
        <w:instrText>REF</w:instrText>
      </w:r>
      <w:r w:rsidRPr="0034069F">
        <w:rPr>
          <w:rStyle w:val="af7"/>
          <w:rFonts w:eastAsia="Guttman Hodes" w:hint="cs"/>
          <w:rtl/>
        </w:rPr>
        <w:instrText xml:space="preserve"> _</w:instrText>
      </w:r>
      <w:r w:rsidRPr="0034069F">
        <w:rPr>
          <w:rStyle w:val="af7"/>
          <w:rFonts w:eastAsia="Guttman Hodes" w:hint="cs"/>
        </w:rPr>
        <w:instrText>Ref54898594 \r \h</w:instrText>
      </w:r>
      <w:r w:rsidRPr="0034069F">
        <w:rPr>
          <w:rStyle w:val="af7"/>
          <w:rFonts w:eastAsia="Guttman Hodes"/>
          <w:rtl/>
        </w:rPr>
        <w:instrText xml:space="preserve"> </w:instrText>
      </w:r>
      <w:r w:rsidRPr="0034069F">
        <w:rPr>
          <w:rStyle w:val="af7"/>
          <w:rFonts w:eastAsia="Guttman Hodes"/>
          <w:rtl/>
        </w:rPr>
      </w:r>
      <w:r w:rsidRPr="0034069F">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34069F">
        <w:rPr>
          <w:rStyle w:val="af7"/>
          <w:rFonts w:eastAsia="Guttman Hodes"/>
          <w:rtl/>
        </w:rPr>
        <w:fldChar w:fldCharType="end"/>
      </w:r>
      <w:r>
        <w:rPr>
          <w:rFonts w:hint="cs"/>
          <w:rtl/>
        </w:rPr>
        <w:t xml:space="preserve"> דביארו בקושית הגמ' דכל שלא מחה הבעלים ג"ש חשיב כמחילה, ולכן תועיל חזקה אף בלא טענה.</w:t>
      </w:r>
      <w:bookmarkEnd w:id="2896"/>
    </w:p>
    <w:p w:rsidR="00900B10" w:rsidRPr="00A333A8" w:rsidRDefault="00900B10" w:rsidP="00900B10">
      <w:pPr>
        <w:pStyle w:val="afe"/>
        <w:rPr>
          <w:rtl/>
        </w:rPr>
      </w:pPr>
      <w:bookmarkStart w:id="2897" w:name="_Toc54887770"/>
      <w:bookmarkStart w:id="2898" w:name="_Toc54891223"/>
      <w:bookmarkStart w:id="2899" w:name="_Toc54903518"/>
      <w:bookmarkStart w:id="2900" w:name="_Toc54948527"/>
      <w:bookmarkStart w:id="2901" w:name="_Toc54952139"/>
      <w:bookmarkStart w:id="2902" w:name="_Toc55073048"/>
      <w:bookmarkStart w:id="2903" w:name="_Toc55073245"/>
      <w:bookmarkStart w:id="2904" w:name="_Toc55073656"/>
      <w:bookmarkStart w:id="2905" w:name="_Toc55074204"/>
      <w:bookmarkStart w:id="2906" w:name="_Toc54887769"/>
      <w:bookmarkStart w:id="2907" w:name="_Toc54891222"/>
      <w:bookmarkStart w:id="2908" w:name="_Toc54903517"/>
      <w:bookmarkStart w:id="2909" w:name="_Toc54948526"/>
      <w:bookmarkStart w:id="2910" w:name="_Toc54952138"/>
      <w:bookmarkEnd w:id="2884"/>
      <w:bookmarkEnd w:id="2885"/>
      <w:r>
        <w:rPr>
          <w:rFonts w:hint="cs"/>
          <w:rtl/>
        </w:rPr>
        <w:t>בחזקה בלי טענה בקרקע ובמטלטלין</w:t>
      </w:r>
      <w:bookmarkEnd w:id="2897"/>
      <w:bookmarkEnd w:id="2898"/>
      <w:bookmarkEnd w:id="2899"/>
      <w:bookmarkEnd w:id="2900"/>
      <w:bookmarkEnd w:id="2901"/>
      <w:bookmarkEnd w:id="2902"/>
      <w:bookmarkEnd w:id="2903"/>
      <w:bookmarkEnd w:id="2904"/>
      <w:bookmarkEnd w:id="2905"/>
    </w:p>
    <w:p w:rsidR="00900B10" w:rsidRDefault="00900B10" w:rsidP="00900B10">
      <w:pPr>
        <w:pStyle w:val="1"/>
        <w:rPr>
          <w:rtl/>
        </w:rPr>
      </w:pPr>
      <w:bookmarkStart w:id="2911" w:name="_Toc54730231"/>
      <w:bookmarkStart w:id="2912" w:name="_Toc54867252"/>
      <w:bookmarkStart w:id="2913" w:name="_Toc54868851"/>
      <w:bookmarkStart w:id="2914" w:name="_Toc54887771"/>
      <w:bookmarkStart w:id="2915" w:name="_Toc54891224"/>
      <w:bookmarkStart w:id="2916" w:name="_Toc54903519"/>
      <w:bookmarkStart w:id="2917" w:name="_Toc54948528"/>
      <w:bookmarkStart w:id="2918" w:name="_Toc54952140"/>
      <w:bookmarkStart w:id="2919" w:name="_Toc55073049"/>
      <w:bookmarkStart w:id="2920" w:name="_Toc55073246"/>
      <w:bookmarkStart w:id="2921" w:name="_Toc55073657"/>
      <w:bookmarkStart w:id="2922" w:name="_Toc55074205"/>
      <w:r>
        <w:rPr>
          <w:rFonts w:hint="cs"/>
          <w:rtl/>
        </w:rPr>
        <w:t xml:space="preserve">ביאור הברכ"ש </w:t>
      </w:r>
      <w:bookmarkEnd w:id="2911"/>
      <w:bookmarkEnd w:id="2912"/>
      <w:bookmarkEnd w:id="2913"/>
      <w:bookmarkEnd w:id="2914"/>
      <w:bookmarkEnd w:id="2915"/>
      <w:bookmarkEnd w:id="2916"/>
      <w:bookmarkEnd w:id="2917"/>
      <w:bookmarkEnd w:id="2918"/>
      <w:bookmarkEnd w:id="2919"/>
      <w:bookmarkEnd w:id="2920"/>
      <w:bookmarkEnd w:id="2921"/>
      <w:r>
        <w:rPr>
          <w:rFonts w:hint="cs"/>
          <w:rtl/>
        </w:rPr>
        <w:t>ברב"י דיש ב' דינים בחזקה בלא טענה</w:t>
      </w:r>
      <w:bookmarkEnd w:id="2922"/>
    </w:p>
    <w:p w:rsidR="00900B10" w:rsidRDefault="00900B10" w:rsidP="00900B10">
      <w:pPr>
        <w:pStyle w:val="a3"/>
      </w:pPr>
      <w:bookmarkStart w:id="2923" w:name="_Toc55073050"/>
      <w:bookmarkStart w:id="2924" w:name="_Toc55073247"/>
      <w:bookmarkStart w:id="2925" w:name="_Toc55073658"/>
      <w:bookmarkStart w:id="2926" w:name="_Toc55074206"/>
      <w:r>
        <w:rPr>
          <w:rFonts w:hint="cs"/>
          <w:rtl/>
        </w:rPr>
        <w:t>ביאור הברכ"ש ברבינו יונה דהדין הא' בחזקה בלא טענה דמחייב עצמו דמודה שאינה שלו</w:t>
      </w:r>
      <w:bookmarkEnd w:id="2923"/>
      <w:bookmarkEnd w:id="2924"/>
      <w:bookmarkEnd w:id="2925"/>
      <w:bookmarkEnd w:id="2926"/>
    </w:p>
    <w:p w:rsidR="00900B10" w:rsidRDefault="00900B10" w:rsidP="007E4E81">
      <w:pPr>
        <w:pStyle w:val="a0"/>
        <w:rPr>
          <w:rtl/>
        </w:rPr>
      </w:pPr>
      <w:bookmarkStart w:id="2927" w:name="_Ref54714303"/>
      <w:r>
        <w:rPr>
          <w:rFonts w:hint="cs"/>
          <w:rtl/>
        </w:rPr>
        <w:t xml:space="preserve">במ"ש </w:t>
      </w:r>
      <w:r w:rsidRPr="00523B05">
        <w:rPr>
          <w:rStyle w:val="af9"/>
          <w:rFonts w:hint="cs"/>
          <w:rtl/>
        </w:rPr>
        <w:t>רבינו יונה</w:t>
      </w:r>
      <w:r>
        <w:rPr>
          <w:rFonts w:hint="cs"/>
          <w:rtl/>
        </w:rPr>
        <w:t xml:space="preserve"> </w:t>
      </w:r>
      <w:r w:rsidRPr="000879C3">
        <w:rPr>
          <w:rStyle w:val="af7"/>
          <w:rFonts w:eastAsia="Guttman Hodes" w:hint="cs"/>
          <w:rtl/>
        </w:rPr>
        <w:t xml:space="preserve">(עי' אות </w:t>
      </w:r>
      <w:r w:rsidRPr="000879C3">
        <w:rPr>
          <w:rStyle w:val="af7"/>
          <w:rFonts w:eastAsia="Guttman Hodes"/>
          <w:rtl/>
        </w:rPr>
        <w:fldChar w:fldCharType="begin"/>
      </w:r>
      <w:r w:rsidRPr="000879C3">
        <w:rPr>
          <w:rStyle w:val="af7"/>
          <w:rFonts w:eastAsia="Guttman Hodes"/>
          <w:rtl/>
        </w:rPr>
        <w:instrText xml:space="preserve"> </w:instrText>
      </w:r>
      <w:r w:rsidRPr="000879C3">
        <w:rPr>
          <w:rStyle w:val="af7"/>
          <w:rFonts w:eastAsia="Guttman Hodes" w:hint="cs"/>
        </w:rPr>
        <w:instrText>REF</w:instrText>
      </w:r>
      <w:r w:rsidRPr="000879C3">
        <w:rPr>
          <w:rStyle w:val="af7"/>
          <w:rFonts w:eastAsia="Guttman Hodes" w:hint="cs"/>
          <w:rtl/>
        </w:rPr>
        <w:instrText xml:space="preserve"> _</w:instrText>
      </w:r>
      <w:r w:rsidRPr="000879C3">
        <w:rPr>
          <w:rStyle w:val="af7"/>
          <w:rFonts w:eastAsia="Guttman Hodes" w:hint="cs"/>
        </w:rPr>
        <w:instrText>Ref54714196 \r \h</w:instrText>
      </w:r>
      <w:r w:rsidRPr="000879C3">
        <w:rPr>
          <w:rStyle w:val="af7"/>
          <w:rFonts w:eastAsia="Guttman Hodes"/>
          <w:rtl/>
        </w:rPr>
        <w:instrText xml:space="preserve"> </w:instrText>
      </w:r>
      <w:r w:rsidRPr="000879C3">
        <w:rPr>
          <w:rStyle w:val="af7"/>
          <w:rFonts w:eastAsia="Guttman Hodes"/>
          <w:rtl/>
        </w:rPr>
      </w:r>
      <w:r w:rsidRPr="000879C3">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0879C3">
        <w:rPr>
          <w:rStyle w:val="af7"/>
          <w:rFonts w:eastAsia="Guttman Hodes"/>
          <w:rtl/>
        </w:rPr>
        <w:fldChar w:fldCharType="end"/>
      </w:r>
      <w:r>
        <w:rPr>
          <w:rFonts w:hint="cs"/>
          <w:rtl/>
        </w:rPr>
        <w:t xml:space="preserve"> דכוונת המשנה לקמן לומר דכל חזקה שאין עמה טענה אינה חזקה, אין הכוונה שלא אמר לו אדם דבר מעולם, אלא ביארה המשנה דאיירי שהמחזיק שתק, או שאמר לו שאינו רוצה להשיב לו דלאו בע"ד דידי את, ביאר </w:t>
      </w:r>
      <w:r w:rsidRPr="00523B05">
        <w:rPr>
          <w:rStyle w:val="af9"/>
          <w:rFonts w:hint="cs"/>
          <w:rtl/>
        </w:rPr>
        <w:t>הברכ"ש</w:t>
      </w:r>
      <w:r>
        <w:rPr>
          <w:rFonts w:hint="cs"/>
          <w:rtl/>
        </w:rPr>
        <w:t xml:space="preserve"> </w:t>
      </w:r>
      <w:r w:rsidRPr="000879C3">
        <w:rPr>
          <w:rStyle w:val="af7"/>
          <w:rFonts w:eastAsia="Guttman Hodes" w:hint="cs"/>
          <w:rtl/>
        </w:rPr>
        <w:t>(סי' כ"ז או' א')</w:t>
      </w:r>
      <w:r>
        <w:rPr>
          <w:rFonts w:hint="cs"/>
          <w:rtl/>
        </w:rPr>
        <w:t xml:space="preserve"> דכוונת </w:t>
      </w:r>
      <w:r w:rsidRPr="009B3A6B">
        <w:rPr>
          <w:rStyle w:val="af9"/>
          <w:rFonts w:hint="cs"/>
          <w:rtl/>
        </w:rPr>
        <w:t xml:space="preserve">רבינו יונה </w:t>
      </w:r>
      <w:r>
        <w:rPr>
          <w:rFonts w:hint="cs"/>
          <w:rtl/>
        </w:rPr>
        <w:t xml:space="preserve">לומר דבחזקה שאין עמה טענה, יש ב' דינים, והדין הא' בטוען טענה שלא מהני לו לזכות בקרקע, כגון שאומר שלא אמר לי אדם דבר מעולם, דבזה הוא מחייב את עצמו בטענתו. </w:t>
      </w:r>
      <w:r w:rsidRPr="000879C3">
        <w:rPr>
          <w:rStyle w:val="afb"/>
          <w:rFonts w:hint="cs"/>
          <w:rtl/>
        </w:rPr>
        <w:t>[דמודה דהקרקע אינה שלו].</w:t>
      </w:r>
      <w:bookmarkEnd w:id="2927"/>
    </w:p>
    <w:p w:rsidR="00900B10" w:rsidRPr="00012C6E" w:rsidRDefault="00900B10" w:rsidP="00900B10">
      <w:pPr>
        <w:pStyle w:val="a3"/>
        <w:rPr>
          <w:rtl/>
        </w:rPr>
      </w:pPr>
      <w:bookmarkStart w:id="2928" w:name="_Toc55073051"/>
      <w:bookmarkStart w:id="2929" w:name="_Toc55073248"/>
      <w:bookmarkStart w:id="2930" w:name="_Toc55073659"/>
      <w:bookmarkStart w:id="2931" w:name="_Toc55074207"/>
      <w:r>
        <w:rPr>
          <w:rFonts w:hint="cs"/>
          <w:rtl/>
        </w:rPr>
        <w:t>ביאור הברכ"ש ברבינו יונה דהדין הב' בחזקה בלא טענה דאינו משיב דאינו מוחזק ומסלקינן ליה</w:t>
      </w:r>
      <w:bookmarkEnd w:id="2928"/>
      <w:bookmarkEnd w:id="2929"/>
      <w:bookmarkEnd w:id="2930"/>
      <w:bookmarkEnd w:id="2931"/>
    </w:p>
    <w:p w:rsidR="00900B10" w:rsidRDefault="00900B10" w:rsidP="007E4E81">
      <w:pPr>
        <w:pStyle w:val="a0"/>
        <w:rPr>
          <w:rtl/>
        </w:rPr>
      </w:pPr>
      <w:bookmarkStart w:id="2932" w:name="_Ref54714273"/>
      <w:r>
        <w:rPr>
          <w:rFonts w:hint="cs"/>
          <w:rtl/>
        </w:rPr>
        <w:t xml:space="preserve">והדין הב' ביאר </w:t>
      </w:r>
      <w:r w:rsidRPr="009B3A6B">
        <w:rPr>
          <w:rStyle w:val="af9"/>
          <w:rFonts w:hint="cs"/>
          <w:rtl/>
        </w:rPr>
        <w:t xml:space="preserve">הברכ"ש </w:t>
      </w:r>
      <w:r>
        <w:rPr>
          <w:rFonts w:hint="cs"/>
          <w:rtl/>
        </w:rPr>
        <w:t xml:space="preserve">את דברי </w:t>
      </w:r>
      <w:r w:rsidRPr="009B3A6B">
        <w:rPr>
          <w:rStyle w:val="af9"/>
          <w:rFonts w:hint="cs"/>
          <w:rtl/>
        </w:rPr>
        <w:t xml:space="preserve">רבינו יונה </w:t>
      </w:r>
      <w:r w:rsidRPr="009A7439">
        <w:rPr>
          <w:rStyle w:val="af7"/>
          <w:rFonts w:eastAsia="Guttman Hodes" w:hint="cs"/>
          <w:rtl/>
        </w:rPr>
        <w:t xml:space="preserve">(עי' אות </w:t>
      </w:r>
      <w:r w:rsidRPr="009A7439">
        <w:rPr>
          <w:rStyle w:val="af7"/>
          <w:rFonts w:eastAsia="Guttman Hodes"/>
          <w:rtl/>
        </w:rPr>
        <w:fldChar w:fldCharType="begin"/>
      </w:r>
      <w:r w:rsidRPr="009A7439">
        <w:rPr>
          <w:rStyle w:val="af7"/>
          <w:rFonts w:eastAsia="Guttman Hodes"/>
          <w:rtl/>
        </w:rPr>
        <w:instrText xml:space="preserve"> </w:instrText>
      </w:r>
      <w:r w:rsidRPr="009A7439">
        <w:rPr>
          <w:rStyle w:val="af7"/>
          <w:rFonts w:eastAsia="Guttman Hodes" w:hint="cs"/>
        </w:rPr>
        <w:instrText>REF</w:instrText>
      </w:r>
      <w:r w:rsidRPr="009A7439">
        <w:rPr>
          <w:rStyle w:val="af7"/>
          <w:rFonts w:eastAsia="Guttman Hodes" w:hint="cs"/>
          <w:rtl/>
        </w:rPr>
        <w:instrText xml:space="preserve"> _</w:instrText>
      </w:r>
      <w:r w:rsidRPr="009A7439">
        <w:rPr>
          <w:rStyle w:val="af7"/>
          <w:rFonts w:eastAsia="Guttman Hodes" w:hint="cs"/>
        </w:rPr>
        <w:instrText>Ref54714205 \r \h</w:instrText>
      </w:r>
      <w:r w:rsidRPr="009A7439">
        <w:rPr>
          <w:rStyle w:val="af7"/>
          <w:rFonts w:eastAsia="Guttman Hodes"/>
          <w:rtl/>
        </w:rPr>
        <w:instrText xml:space="preserve"> </w:instrText>
      </w:r>
      <w:r w:rsidRPr="009A7439">
        <w:rPr>
          <w:rStyle w:val="af7"/>
          <w:rFonts w:eastAsia="Guttman Hodes"/>
          <w:rtl/>
        </w:rPr>
      </w:r>
      <w:r w:rsidRPr="009A7439">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9A7439">
        <w:rPr>
          <w:rStyle w:val="af7"/>
          <w:rFonts w:eastAsia="Guttman Hodes"/>
          <w:rtl/>
        </w:rPr>
        <w:fldChar w:fldCharType="end"/>
      </w:r>
      <w:r>
        <w:rPr>
          <w:rFonts w:hint="cs"/>
          <w:rtl/>
        </w:rPr>
        <w:t xml:space="preserve"> דהוא באומר לא אשיבך דבר, דאף שבטענה הזו הוא לא מתחייב לצאת הקרקע, וחשיב דלא טען כלל, ומ"מ אם כל חזקתו בקרקע היא ע"י הטענה, א"כ כיון שלא טען אינו מוחזק בקרקע כלל, ומסלקינן ליה, ואף דעדיין יכול המחזיק לחזור ולטעון שקנה מהמרא קמא, מ"מ כ"ז שלא טען אינו מוחזק בקרקע, וחשיב כמי שתובע את המרא קמא, </w:t>
      </w:r>
      <w:r w:rsidRPr="000879C3">
        <w:rPr>
          <w:rStyle w:val="afb"/>
          <w:rFonts w:hint="cs"/>
          <w:rtl/>
        </w:rPr>
        <w:t xml:space="preserve">[והיינו דזו כוונת </w:t>
      </w:r>
      <w:r w:rsidRPr="000879C3">
        <w:rPr>
          <w:rStyle w:val="affa"/>
          <w:rFonts w:hint="cs"/>
          <w:rtl/>
        </w:rPr>
        <w:t>רבינו יונה</w:t>
      </w:r>
      <w:r w:rsidRPr="000879C3">
        <w:rPr>
          <w:rStyle w:val="afb"/>
          <w:rFonts w:hint="cs"/>
          <w:rtl/>
        </w:rPr>
        <w:t xml:space="preserve"> </w:t>
      </w:r>
      <w:r w:rsidRPr="000879C3">
        <w:rPr>
          <w:rStyle w:val="aff6"/>
          <w:rFonts w:hint="cs"/>
          <w:rtl/>
        </w:rPr>
        <w:t xml:space="preserve">(עי' אות </w:t>
      </w:r>
      <w:r w:rsidRPr="000879C3">
        <w:rPr>
          <w:rStyle w:val="aff6"/>
          <w:rtl/>
        </w:rPr>
        <w:fldChar w:fldCharType="begin"/>
      </w:r>
      <w:r w:rsidRPr="000879C3">
        <w:rPr>
          <w:rStyle w:val="aff6"/>
          <w:rtl/>
        </w:rPr>
        <w:instrText xml:space="preserve"> </w:instrText>
      </w:r>
      <w:r w:rsidRPr="000879C3">
        <w:rPr>
          <w:rStyle w:val="aff6"/>
          <w:rFonts w:hint="cs"/>
        </w:rPr>
        <w:instrText>REF</w:instrText>
      </w:r>
      <w:r w:rsidRPr="000879C3">
        <w:rPr>
          <w:rStyle w:val="aff6"/>
          <w:rFonts w:hint="cs"/>
          <w:rtl/>
        </w:rPr>
        <w:instrText xml:space="preserve"> _</w:instrText>
      </w:r>
      <w:r w:rsidRPr="000879C3">
        <w:rPr>
          <w:rStyle w:val="aff6"/>
          <w:rFonts w:hint="cs"/>
        </w:rPr>
        <w:instrText>Ref54714213 \r \h</w:instrText>
      </w:r>
      <w:r w:rsidRPr="000879C3">
        <w:rPr>
          <w:rStyle w:val="aff6"/>
          <w:rtl/>
        </w:rPr>
        <w:instrText xml:space="preserve"> </w:instrText>
      </w:r>
      <w:r w:rsidRPr="000879C3">
        <w:rPr>
          <w:rStyle w:val="aff6"/>
          <w:rtl/>
        </w:rPr>
      </w:r>
      <w:r w:rsidRPr="000879C3">
        <w:rPr>
          <w:rStyle w:val="aff6"/>
          <w:rtl/>
        </w:rPr>
        <w:fldChar w:fldCharType="separate"/>
      </w:r>
      <w:r w:rsidR="00265073">
        <w:rPr>
          <w:rStyle w:val="aff6"/>
          <w:cs/>
        </w:rPr>
        <w:t>‎</w:t>
      </w:r>
      <w:r w:rsidR="00265073">
        <w:rPr>
          <w:rStyle w:val="aff6"/>
          <w:rtl/>
        </w:rPr>
        <w:t>מג)</w:t>
      </w:r>
      <w:r w:rsidRPr="000879C3">
        <w:rPr>
          <w:rStyle w:val="aff6"/>
          <w:rtl/>
        </w:rPr>
        <w:fldChar w:fldCharType="end"/>
      </w:r>
      <w:r w:rsidRPr="000879C3">
        <w:rPr>
          <w:rStyle w:val="afb"/>
          <w:rFonts w:hint="cs"/>
          <w:rtl/>
        </w:rPr>
        <w:t xml:space="preserve"> דביאר את תירוץ הגמ' דכל שהוא לא טוען לא טענינן ליה אנן, דכיון שהחזקה היא רק ראיה לטענתו, א"כ כ"ז שלא טען לא חשיבה החזקת ג"ש כחזקה כלל], </w:t>
      </w:r>
      <w:r>
        <w:rPr>
          <w:rFonts w:hint="cs"/>
          <w:rtl/>
        </w:rPr>
        <w:t xml:space="preserve">וע"ע במ"ש </w:t>
      </w:r>
      <w:r w:rsidRPr="009B3A6B">
        <w:rPr>
          <w:rStyle w:val="af9"/>
          <w:rFonts w:hint="cs"/>
          <w:rtl/>
        </w:rPr>
        <w:t xml:space="preserve">בחו"ש הגרב"ב </w:t>
      </w:r>
      <w:r w:rsidRPr="000879C3">
        <w:rPr>
          <w:rStyle w:val="af7"/>
          <w:rFonts w:eastAsia="Guttman Hodes" w:hint="cs"/>
          <w:rtl/>
        </w:rPr>
        <w:t>(ח"א סי' ח' ד"ה ועיין)</w:t>
      </w:r>
      <w:r>
        <w:rPr>
          <w:rFonts w:hint="cs"/>
          <w:rtl/>
        </w:rPr>
        <w:t>.</w:t>
      </w:r>
      <w:bookmarkEnd w:id="2932"/>
      <w:r>
        <w:rPr>
          <w:rFonts w:hint="cs"/>
          <w:rtl/>
        </w:rPr>
        <w:t xml:space="preserve"> </w:t>
      </w:r>
    </w:p>
    <w:p w:rsidR="00900B10" w:rsidRPr="00E473E7" w:rsidRDefault="00900B10" w:rsidP="00900B10">
      <w:pPr>
        <w:pStyle w:val="1"/>
        <w:rPr>
          <w:rtl/>
        </w:rPr>
      </w:pPr>
      <w:bookmarkStart w:id="2933" w:name="_Toc55074208"/>
      <w:r>
        <w:rPr>
          <w:rFonts w:hint="cs"/>
          <w:rtl/>
        </w:rPr>
        <w:t>ביאור הברכ"ש ברבינו יונה דבמטלטלין תפוס רק באינו משיב</w:t>
      </w:r>
      <w:bookmarkEnd w:id="2933"/>
    </w:p>
    <w:p w:rsidR="00900B10" w:rsidRPr="00953631" w:rsidRDefault="00900B10" w:rsidP="00900B10">
      <w:pPr>
        <w:pStyle w:val="a3"/>
      </w:pPr>
      <w:bookmarkStart w:id="2934" w:name="_Toc55073052"/>
      <w:bookmarkStart w:id="2935" w:name="_Toc55073249"/>
      <w:bookmarkStart w:id="2936" w:name="_Toc55073660"/>
      <w:bookmarkStart w:id="2937" w:name="_Toc55074209"/>
      <w:r>
        <w:rPr>
          <w:rFonts w:hint="cs"/>
          <w:rtl/>
        </w:rPr>
        <w:t>ביאור הברכ"ש ברב"י דבמטלטלין שאינו משיב חשיב תפוס ובטוען לא אמר אדם דבר אינו תפוס</w:t>
      </w:r>
      <w:bookmarkEnd w:id="2934"/>
      <w:bookmarkEnd w:id="2935"/>
      <w:bookmarkEnd w:id="2936"/>
      <w:bookmarkEnd w:id="2937"/>
    </w:p>
    <w:p w:rsidR="00900B10" w:rsidRDefault="00900B10" w:rsidP="007E4E81">
      <w:pPr>
        <w:pStyle w:val="a0"/>
        <w:rPr>
          <w:rtl/>
        </w:rPr>
      </w:pPr>
      <w:bookmarkStart w:id="2938" w:name="_Ref54714534"/>
      <w:r>
        <w:rPr>
          <w:rFonts w:hint="cs"/>
          <w:rtl/>
        </w:rPr>
        <w:t xml:space="preserve">ובמ"ש </w:t>
      </w:r>
      <w:r w:rsidRPr="009B3A6B">
        <w:rPr>
          <w:rStyle w:val="af9"/>
          <w:rFonts w:hint="cs"/>
          <w:rtl/>
        </w:rPr>
        <w:t xml:space="preserve">רבינו יונה </w:t>
      </w:r>
      <w:r w:rsidRPr="000879C3">
        <w:rPr>
          <w:rStyle w:val="af7"/>
          <w:rFonts w:eastAsia="Guttman Hodes" w:hint="cs"/>
          <w:rtl/>
        </w:rPr>
        <w:t xml:space="preserve">(עי' אות </w:t>
      </w:r>
      <w:r w:rsidRPr="000879C3">
        <w:rPr>
          <w:rStyle w:val="af7"/>
          <w:rFonts w:eastAsia="Guttman Hodes"/>
          <w:rtl/>
        </w:rPr>
        <w:fldChar w:fldCharType="begin"/>
      </w:r>
      <w:r w:rsidRPr="000879C3">
        <w:rPr>
          <w:rStyle w:val="af7"/>
          <w:rFonts w:eastAsia="Guttman Hodes"/>
          <w:rtl/>
        </w:rPr>
        <w:instrText xml:space="preserve"> </w:instrText>
      </w:r>
      <w:r w:rsidRPr="000879C3">
        <w:rPr>
          <w:rStyle w:val="af7"/>
          <w:rFonts w:eastAsia="Guttman Hodes" w:hint="cs"/>
        </w:rPr>
        <w:instrText>REF</w:instrText>
      </w:r>
      <w:r w:rsidRPr="000879C3">
        <w:rPr>
          <w:rStyle w:val="af7"/>
          <w:rFonts w:eastAsia="Guttman Hodes" w:hint="cs"/>
          <w:rtl/>
        </w:rPr>
        <w:instrText xml:space="preserve"> _</w:instrText>
      </w:r>
      <w:r w:rsidRPr="000879C3">
        <w:rPr>
          <w:rStyle w:val="af7"/>
          <w:rFonts w:eastAsia="Guttman Hodes" w:hint="cs"/>
        </w:rPr>
        <w:instrText>Ref54714507 \r \h</w:instrText>
      </w:r>
      <w:r w:rsidRPr="000879C3">
        <w:rPr>
          <w:rStyle w:val="af7"/>
          <w:rFonts w:eastAsia="Guttman Hodes"/>
          <w:rtl/>
        </w:rPr>
        <w:instrText xml:space="preserve"> </w:instrText>
      </w:r>
      <w:r w:rsidRPr="000879C3">
        <w:rPr>
          <w:rStyle w:val="af7"/>
          <w:rFonts w:eastAsia="Guttman Hodes"/>
          <w:rtl/>
        </w:rPr>
      </w:r>
      <w:r w:rsidRPr="000879C3">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0879C3">
        <w:rPr>
          <w:rStyle w:val="af7"/>
          <w:rFonts w:eastAsia="Guttman Hodes"/>
          <w:rtl/>
        </w:rPr>
        <w:fldChar w:fldCharType="end"/>
      </w:r>
      <w:r>
        <w:rPr>
          <w:rFonts w:hint="cs"/>
          <w:rtl/>
        </w:rPr>
        <w:t xml:space="preserve"> דבמטלטלין הם בחזקת התופס אף שאינו טוען כל טענה, ולא אמרינן דתפיסתו היא רק ראיה לטענתו, ביאר </w:t>
      </w:r>
      <w:r w:rsidRPr="00D850CE">
        <w:rPr>
          <w:rStyle w:val="af9"/>
          <w:rFonts w:hint="cs"/>
          <w:rtl/>
        </w:rPr>
        <w:t>הברכ"ש</w:t>
      </w:r>
      <w:r>
        <w:rPr>
          <w:rFonts w:hint="cs"/>
          <w:rtl/>
        </w:rPr>
        <w:t xml:space="preserve"> דהיינו באופן שאומר לא אשיבך דבר, דאינו מפסיד את עצמו בטענה הזו, ויכול אח"כ לטעון בב"ד דקנה מהבעלים, אבל אם אמר לא אמר לי אדם דבר מעולם, דהוא הודה שלא קנה מהבעלים, הוא הפסיד את עצמו בטענתו, ואף במטלטלין מוציאים אותם ממנו, וע"ע במה שחקר </w:t>
      </w:r>
      <w:r w:rsidRPr="003B673F">
        <w:rPr>
          <w:rStyle w:val="af9"/>
          <w:rFonts w:hint="cs"/>
          <w:rtl/>
        </w:rPr>
        <w:t>בחו"ש הגרב"ב</w:t>
      </w:r>
      <w:r>
        <w:rPr>
          <w:rFonts w:hint="cs"/>
          <w:rtl/>
        </w:rPr>
        <w:t xml:space="preserve"> </w:t>
      </w:r>
      <w:r w:rsidRPr="005A11E4">
        <w:rPr>
          <w:rStyle w:val="af7"/>
          <w:rFonts w:eastAsia="Guttman Hodes" w:hint="cs"/>
          <w:rtl/>
        </w:rPr>
        <w:t>(ח"א סי' ח')</w:t>
      </w:r>
      <w:r>
        <w:rPr>
          <w:rFonts w:hint="cs"/>
          <w:rtl/>
        </w:rPr>
        <w:t xml:space="preserve"> אי מהני חזקה בלא טענה במטלטלין.</w:t>
      </w:r>
      <w:bookmarkEnd w:id="2938"/>
    </w:p>
    <w:p w:rsidR="00900B10" w:rsidRPr="007051D8" w:rsidRDefault="00900B10" w:rsidP="00900B10">
      <w:pPr>
        <w:pStyle w:val="a3"/>
        <w:rPr>
          <w:rtl/>
        </w:rPr>
      </w:pPr>
      <w:bookmarkStart w:id="2939" w:name="_Toc55073053"/>
      <w:bookmarkStart w:id="2940" w:name="_Toc55073250"/>
      <w:bookmarkStart w:id="2941" w:name="_Toc55073661"/>
      <w:bookmarkStart w:id="2942" w:name="_Toc55074210"/>
      <w:r>
        <w:rPr>
          <w:rFonts w:hint="cs"/>
          <w:rtl/>
        </w:rPr>
        <w:t>דברי הברכ"ש דבקרקע שאינו משיב מסלקינן ליה אבל במטלטלין כתב הנתיה"מ דמנדים אותו</w:t>
      </w:r>
      <w:bookmarkEnd w:id="2939"/>
      <w:bookmarkEnd w:id="2940"/>
      <w:bookmarkEnd w:id="2941"/>
      <w:bookmarkEnd w:id="2942"/>
    </w:p>
    <w:p w:rsidR="00900B10" w:rsidRDefault="00900B10" w:rsidP="007E4E81">
      <w:pPr>
        <w:pStyle w:val="a0"/>
        <w:rPr>
          <w:rtl/>
        </w:rPr>
      </w:pPr>
      <w:r>
        <w:rPr>
          <w:rFonts w:hint="cs"/>
          <w:rtl/>
        </w:rPr>
        <w:t xml:space="preserve">וכתב </w:t>
      </w:r>
      <w:r w:rsidRPr="003B673F">
        <w:rPr>
          <w:rStyle w:val="af9"/>
          <w:rFonts w:hint="cs"/>
          <w:rtl/>
        </w:rPr>
        <w:t>הברכ"ש</w:t>
      </w:r>
      <w:r>
        <w:rPr>
          <w:rFonts w:hint="cs"/>
          <w:rtl/>
        </w:rPr>
        <w:t xml:space="preserve"> דבקרקע אף כשאינו רוצה להשיב למרא קמא מסלקינן ליה, אבל במטלטלין הביא </w:t>
      </w:r>
      <w:r w:rsidRPr="005A11E4">
        <w:rPr>
          <w:rStyle w:val="af9"/>
          <w:rFonts w:hint="cs"/>
          <w:rtl/>
        </w:rPr>
        <w:t>הברכ"ש</w:t>
      </w:r>
      <w:r>
        <w:rPr>
          <w:rFonts w:hint="cs"/>
          <w:rtl/>
        </w:rPr>
        <w:t xml:space="preserve"> את דברי </w:t>
      </w:r>
      <w:r w:rsidRPr="005A11E4">
        <w:rPr>
          <w:rStyle w:val="af9"/>
          <w:rFonts w:hint="cs"/>
          <w:rtl/>
        </w:rPr>
        <w:t>הנתיה"מ</w:t>
      </w:r>
      <w:r>
        <w:rPr>
          <w:rFonts w:hint="cs"/>
          <w:rtl/>
        </w:rPr>
        <w:t xml:space="preserve"> </w:t>
      </w:r>
      <w:r w:rsidRPr="005A11E4">
        <w:rPr>
          <w:rStyle w:val="af7"/>
          <w:rFonts w:eastAsia="Guttman Hodes" w:hint="cs"/>
          <w:rtl/>
        </w:rPr>
        <w:t xml:space="preserve">(סי' </w:t>
      </w:r>
      <w:r w:rsidRPr="005A11E4">
        <w:rPr>
          <w:rStyle w:val="af7"/>
          <w:rFonts w:eastAsia="Guttman Hodes" w:hint="cs"/>
          <w:rtl/>
        </w:rPr>
        <w:t>קמ"ו ס"ק צ"ג)</w:t>
      </w:r>
      <w:r>
        <w:rPr>
          <w:rFonts w:hint="cs"/>
          <w:rtl/>
        </w:rPr>
        <w:t xml:space="preserve"> דאם אינו משיב לא מסלקינן ליה, אלא דמנדים אותו עד שימוד בדין, ולדברי </w:t>
      </w:r>
      <w:r w:rsidRPr="003B673F">
        <w:rPr>
          <w:rStyle w:val="af9"/>
          <w:rFonts w:hint="cs"/>
          <w:rtl/>
        </w:rPr>
        <w:t>רבינו יונה</w:t>
      </w:r>
      <w:r>
        <w:rPr>
          <w:rFonts w:hint="cs"/>
          <w:rtl/>
        </w:rPr>
        <w:t xml:space="preserve"> </w:t>
      </w:r>
      <w:r w:rsidRPr="005A11E4">
        <w:rPr>
          <w:rStyle w:val="af7"/>
          <w:rFonts w:eastAsia="Guttman Hodes" w:hint="cs"/>
          <w:rtl/>
        </w:rPr>
        <w:t xml:space="preserve">(עי' אות </w:t>
      </w:r>
      <w:r w:rsidRPr="005A11E4">
        <w:rPr>
          <w:rStyle w:val="af7"/>
          <w:rFonts w:eastAsia="Guttman Hodes"/>
          <w:rtl/>
        </w:rPr>
        <w:fldChar w:fldCharType="begin"/>
      </w:r>
      <w:r w:rsidRPr="005A11E4">
        <w:rPr>
          <w:rStyle w:val="af7"/>
          <w:rFonts w:eastAsia="Guttman Hodes"/>
          <w:rtl/>
        </w:rPr>
        <w:instrText xml:space="preserve"> </w:instrText>
      </w:r>
      <w:r w:rsidRPr="005A11E4">
        <w:rPr>
          <w:rStyle w:val="af7"/>
          <w:rFonts w:eastAsia="Guttman Hodes" w:hint="cs"/>
        </w:rPr>
        <w:instrText>REF</w:instrText>
      </w:r>
      <w:r w:rsidRPr="005A11E4">
        <w:rPr>
          <w:rStyle w:val="af7"/>
          <w:rFonts w:eastAsia="Guttman Hodes" w:hint="cs"/>
          <w:rtl/>
        </w:rPr>
        <w:instrText xml:space="preserve"> _</w:instrText>
      </w:r>
      <w:r w:rsidRPr="005A11E4">
        <w:rPr>
          <w:rStyle w:val="af7"/>
          <w:rFonts w:eastAsia="Guttman Hodes" w:hint="cs"/>
        </w:rPr>
        <w:instrText>Ref54714196 \r \h</w:instrText>
      </w:r>
      <w:r w:rsidRPr="005A11E4">
        <w:rPr>
          <w:rStyle w:val="af7"/>
          <w:rFonts w:eastAsia="Guttman Hodes"/>
          <w:rtl/>
        </w:rPr>
        <w:instrText xml:space="preserve"> </w:instrText>
      </w:r>
      <w:r w:rsidRPr="005A11E4">
        <w:rPr>
          <w:rStyle w:val="af7"/>
          <w:rFonts w:eastAsia="Guttman Hodes"/>
          <w:rtl/>
        </w:rPr>
      </w:r>
      <w:r w:rsidRPr="005A11E4">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5A11E4">
        <w:rPr>
          <w:rStyle w:val="af7"/>
          <w:rFonts w:eastAsia="Guttman Hodes"/>
          <w:rtl/>
        </w:rPr>
        <w:fldChar w:fldCharType="end"/>
      </w:r>
      <w:r>
        <w:rPr>
          <w:rFonts w:hint="cs"/>
          <w:rtl/>
        </w:rPr>
        <w:t xml:space="preserve"> כל זה כלול במשנה לקמן.</w:t>
      </w:r>
    </w:p>
    <w:p w:rsidR="00900B10" w:rsidRPr="001B0019" w:rsidRDefault="00900B10" w:rsidP="00900B10">
      <w:pPr>
        <w:pStyle w:val="a3"/>
        <w:rPr>
          <w:rtl/>
        </w:rPr>
      </w:pPr>
      <w:bookmarkStart w:id="2943" w:name="_Toc55073054"/>
      <w:bookmarkStart w:id="2944" w:name="_Toc55073251"/>
      <w:bookmarkStart w:id="2945" w:name="_Toc55073662"/>
      <w:bookmarkStart w:id="2946" w:name="_Toc55074211"/>
      <w:r>
        <w:rPr>
          <w:rFonts w:hint="cs"/>
          <w:rtl/>
        </w:rPr>
        <w:t>ביאור הברכ"ש דלרב"י להו"א להולכי אושא יצאה מהמר"ק כמטלטלין וא"צ טענה</w:t>
      </w:r>
      <w:bookmarkEnd w:id="2943"/>
      <w:bookmarkEnd w:id="2944"/>
      <w:bookmarkEnd w:id="2945"/>
      <w:bookmarkEnd w:id="2946"/>
    </w:p>
    <w:p w:rsidR="00900B10" w:rsidRDefault="00900B10" w:rsidP="007E4E81">
      <w:pPr>
        <w:pStyle w:val="a0"/>
      </w:pPr>
      <w:bookmarkStart w:id="2947" w:name="_Ref54714900"/>
      <w:r>
        <w:rPr>
          <w:rFonts w:hint="cs"/>
          <w:rtl/>
        </w:rPr>
        <w:t xml:space="preserve">וכתב </w:t>
      </w:r>
      <w:r w:rsidRPr="003B673F">
        <w:rPr>
          <w:rStyle w:val="af9"/>
          <w:rFonts w:hint="cs"/>
          <w:rtl/>
        </w:rPr>
        <w:t>הברכ"ש</w:t>
      </w:r>
      <w:r>
        <w:rPr>
          <w:rFonts w:hint="cs"/>
          <w:rtl/>
        </w:rPr>
        <w:t xml:space="preserve"> דבזה ביאר </w:t>
      </w:r>
      <w:r w:rsidRPr="003B673F">
        <w:rPr>
          <w:rStyle w:val="af9"/>
          <w:rFonts w:hint="cs"/>
          <w:rtl/>
        </w:rPr>
        <w:t>רבינו יונה</w:t>
      </w:r>
      <w:r>
        <w:rPr>
          <w:rFonts w:hint="cs"/>
          <w:rtl/>
        </w:rPr>
        <w:t xml:space="preserve"> </w:t>
      </w:r>
      <w:r w:rsidRPr="005A11E4">
        <w:rPr>
          <w:rStyle w:val="af7"/>
          <w:rFonts w:eastAsia="Guttman Hodes" w:hint="cs"/>
          <w:rtl/>
        </w:rPr>
        <w:t xml:space="preserve">(עי' אות </w:t>
      </w:r>
      <w:r w:rsidRPr="005A11E4">
        <w:rPr>
          <w:rStyle w:val="af7"/>
          <w:rFonts w:eastAsia="Guttman Hodes"/>
          <w:rtl/>
        </w:rPr>
        <w:fldChar w:fldCharType="begin"/>
      </w:r>
      <w:r w:rsidRPr="005A11E4">
        <w:rPr>
          <w:rStyle w:val="af7"/>
          <w:rFonts w:eastAsia="Guttman Hodes"/>
          <w:rtl/>
        </w:rPr>
        <w:instrText xml:space="preserve"> </w:instrText>
      </w:r>
      <w:r w:rsidRPr="005A11E4">
        <w:rPr>
          <w:rStyle w:val="af7"/>
          <w:rFonts w:eastAsia="Guttman Hodes" w:hint="cs"/>
        </w:rPr>
        <w:instrText>REF</w:instrText>
      </w:r>
      <w:r w:rsidRPr="005A11E4">
        <w:rPr>
          <w:rStyle w:val="af7"/>
          <w:rFonts w:eastAsia="Guttman Hodes" w:hint="cs"/>
          <w:rtl/>
        </w:rPr>
        <w:instrText xml:space="preserve"> _</w:instrText>
      </w:r>
      <w:r w:rsidRPr="005A11E4">
        <w:rPr>
          <w:rStyle w:val="af7"/>
          <w:rFonts w:eastAsia="Guttman Hodes" w:hint="cs"/>
        </w:rPr>
        <w:instrText>Ref54714911 \r \h</w:instrText>
      </w:r>
      <w:r w:rsidRPr="005A11E4">
        <w:rPr>
          <w:rStyle w:val="af7"/>
          <w:rFonts w:eastAsia="Guttman Hodes"/>
          <w:rtl/>
        </w:rPr>
        <w:instrText xml:space="preserve"> </w:instrText>
      </w:r>
      <w:r w:rsidRPr="005A11E4">
        <w:rPr>
          <w:rStyle w:val="af7"/>
          <w:rFonts w:eastAsia="Guttman Hodes"/>
          <w:rtl/>
        </w:rPr>
      </w:r>
      <w:r w:rsidRPr="005A11E4">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5A11E4">
        <w:rPr>
          <w:rStyle w:val="af7"/>
          <w:rFonts w:eastAsia="Guttman Hodes"/>
          <w:rtl/>
        </w:rPr>
        <w:fldChar w:fldCharType="end"/>
      </w:r>
      <w:r>
        <w:rPr>
          <w:rFonts w:hint="cs"/>
          <w:rtl/>
        </w:rPr>
        <w:t xml:space="preserve"> את קושית הגמ' דלהולכי אושא דילפינן חזקת ג"ש משור המועד, תועיל חזקה בלא טענה, דכיון דס"ל דהחזקה בקרקע היא כמו במטלטלין, דיצאה הקרקע מחזקת המרא קמא לחזקת המחזיק, א"כ אף בלא טענה תועיל החזקה, ובתירוץ הגמ' ביאר </w:t>
      </w:r>
      <w:r w:rsidRPr="003B673F">
        <w:rPr>
          <w:rStyle w:val="af9"/>
          <w:rFonts w:hint="cs"/>
          <w:rtl/>
        </w:rPr>
        <w:t>רבינו יונה</w:t>
      </w:r>
      <w:r>
        <w:rPr>
          <w:rFonts w:hint="cs"/>
          <w:rtl/>
        </w:rPr>
        <w:t xml:space="preserve"> </w:t>
      </w:r>
      <w:r w:rsidRPr="005A11E4">
        <w:rPr>
          <w:rStyle w:val="af7"/>
          <w:rFonts w:eastAsia="Guttman Hodes" w:hint="cs"/>
          <w:rtl/>
        </w:rPr>
        <w:t xml:space="preserve">(עי' אות </w:t>
      </w:r>
      <w:r w:rsidRPr="005A11E4">
        <w:rPr>
          <w:rStyle w:val="af7"/>
          <w:rFonts w:eastAsia="Guttman Hodes"/>
          <w:rtl/>
        </w:rPr>
        <w:fldChar w:fldCharType="begin"/>
      </w:r>
      <w:r w:rsidRPr="005A11E4">
        <w:rPr>
          <w:rStyle w:val="af7"/>
          <w:rFonts w:eastAsia="Guttman Hodes"/>
          <w:rtl/>
        </w:rPr>
        <w:instrText xml:space="preserve"> </w:instrText>
      </w:r>
      <w:r w:rsidRPr="005A11E4">
        <w:rPr>
          <w:rStyle w:val="af7"/>
          <w:rFonts w:eastAsia="Guttman Hodes" w:hint="cs"/>
        </w:rPr>
        <w:instrText>REF</w:instrText>
      </w:r>
      <w:r w:rsidRPr="005A11E4">
        <w:rPr>
          <w:rStyle w:val="af7"/>
          <w:rFonts w:eastAsia="Guttman Hodes" w:hint="cs"/>
          <w:rtl/>
        </w:rPr>
        <w:instrText xml:space="preserve"> _</w:instrText>
      </w:r>
      <w:r w:rsidRPr="005A11E4">
        <w:rPr>
          <w:rStyle w:val="af7"/>
          <w:rFonts w:eastAsia="Guttman Hodes" w:hint="cs"/>
        </w:rPr>
        <w:instrText>Ref54714213 \r \h</w:instrText>
      </w:r>
      <w:r w:rsidRPr="005A11E4">
        <w:rPr>
          <w:rStyle w:val="af7"/>
          <w:rFonts w:eastAsia="Guttman Hodes"/>
          <w:rtl/>
        </w:rPr>
        <w:instrText xml:space="preserve"> </w:instrText>
      </w:r>
      <w:r w:rsidRPr="005A11E4">
        <w:rPr>
          <w:rStyle w:val="af7"/>
          <w:rFonts w:eastAsia="Guttman Hodes"/>
          <w:rtl/>
        </w:rPr>
      </w:r>
      <w:r w:rsidRPr="005A11E4">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Pr="005A11E4">
        <w:rPr>
          <w:rStyle w:val="af7"/>
          <w:rFonts w:eastAsia="Guttman Hodes"/>
          <w:rtl/>
        </w:rPr>
        <w:fldChar w:fldCharType="end"/>
      </w:r>
      <w:r>
        <w:rPr>
          <w:rFonts w:hint="cs"/>
          <w:rtl/>
        </w:rPr>
        <w:t xml:space="preserve"> דכ"מ דיצאה הקרקע מהמרא קמא הוא רק ע"י הטענה, אבל בלא טענה אינה חזקה כלל ולא יצאה מחזקת המרא קמא.</w:t>
      </w:r>
      <w:bookmarkEnd w:id="2947"/>
    </w:p>
    <w:p w:rsidR="00900B10" w:rsidRPr="005B1D61" w:rsidRDefault="00900B10" w:rsidP="00900B10">
      <w:pPr>
        <w:pStyle w:val="1"/>
        <w:rPr>
          <w:rtl/>
        </w:rPr>
      </w:pPr>
      <w:bookmarkStart w:id="2948" w:name="_Toc55073055"/>
      <w:bookmarkStart w:id="2949" w:name="_Toc55073252"/>
      <w:bookmarkStart w:id="2950" w:name="_Toc55073663"/>
      <w:bookmarkStart w:id="2951" w:name="_Toc55074212"/>
      <w:r>
        <w:rPr>
          <w:rFonts w:hint="cs"/>
          <w:rtl/>
        </w:rPr>
        <w:t>ביאור הגרנ"פ ברב</w:t>
      </w:r>
      <w:bookmarkEnd w:id="2906"/>
      <w:bookmarkEnd w:id="2907"/>
      <w:bookmarkEnd w:id="2908"/>
      <w:bookmarkEnd w:id="2909"/>
      <w:bookmarkEnd w:id="2910"/>
      <w:bookmarkEnd w:id="2948"/>
      <w:bookmarkEnd w:id="2949"/>
      <w:bookmarkEnd w:id="2950"/>
      <w:r>
        <w:rPr>
          <w:rFonts w:hint="cs"/>
          <w:rtl/>
        </w:rPr>
        <w:t>"י דבמטלטלין אין מר"ק והו"א דא"צ טענה</w:t>
      </w:r>
      <w:bookmarkEnd w:id="2951"/>
    </w:p>
    <w:p w:rsidR="00900B10" w:rsidRDefault="00900B10" w:rsidP="00900B10">
      <w:pPr>
        <w:pStyle w:val="a3"/>
        <w:rPr>
          <w:rtl/>
        </w:rPr>
      </w:pPr>
      <w:bookmarkStart w:id="2952" w:name="_Toc55073056"/>
      <w:bookmarkStart w:id="2953" w:name="_Toc55073253"/>
      <w:bookmarkStart w:id="2954" w:name="_Toc55073664"/>
      <w:bookmarkStart w:id="2955" w:name="_Toc55074213"/>
      <w:r>
        <w:rPr>
          <w:rFonts w:hint="cs"/>
          <w:rtl/>
        </w:rPr>
        <w:t>ביאור הגרנ"פ ברב"י דבמטלטלין אין מר"ק ולכן א"צ טענה וכן בהו"א להולכי אושא</w:t>
      </w:r>
      <w:bookmarkEnd w:id="2952"/>
      <w:bookmarkEnd w:id="2953"/>
      <w:bookmarkEnd w:id="2954"/>
      <w:bookmarkEnd w:id="2955"/>
    </w:p>
    <w:p w:rsidR="00900B10" w:rsidRDefault="00900B10" w:rsidP="007E4E81">
      <w:pPr>
        <w:pStyle w:val="a0"/>
        <w:rPr>
          <w:rtl/>
        </w:rPr>
      </w:pPr>
      <w:bookmarkStart w:id="2956" w:name="_Ref54813514"/>
      <w:r w:rsidRPr="00C007C0">
        <w:rPr>
          <w:rFonts w:hint="cs"/>
          <w:rtl/>
        </w:rPr>
        <w:t xml:space="preserve">עי' במה שביאר </w:t>
      </w:r>
      <w:r w:rsidRPr="00C007C0">
        <w:rPr>
          <w:rStyle w:val="af9"/>
          <w:rFonts w:hint="cs"/>
          <w:rtl/>
        </w:rPr>
        <w:t>בחי' רבי נחום</w:t>
      </w:r>
      <w:r w:rsidRPr="00C007C0">
        <w:rPr>
          <w:rFonts w:hint="cs"/>
          <w:rtl/>
        </w:rPr>
        <w:t xml:space="preserve"> </w:t>
      </w:r>
      <w:r w:rsidRPr="00D66BAF">
        <w:rPr>
          <w:rStyle w:val="af7"/>
          <w:rFonts w:eastAsia="Guttman Hodes" w:hint="cs"/>
          <w:rtl/>
        </w:rPr>
        <w:t xml:space="preserve">(עי' אות </w:t>
      </w:r>
      <w:r w:rsidRPr="00D66BAF">
        <w:rPr>
          <w:rStyle w:val="af7"/>
          <w:rFonts w:eastAsia="Guttman Hodes"/>
          <w:rtl/>
        </w:rPr>
        <w:fldChar w:fldCharType="begin"/>
      </w:r>
      <w:r w:rsidRPr="00D66BAF">
        <w:rPr>
          <w:rStyle w:val="af7"/>
          <w:rFonts w:eastAsia="Guttman Hodes"/>
          <w:rtl/>
        </w:rPr>
        <w:instrText xml:space="preserve"> </w:instrText>
      </w:r>
      <w:r w:rsidRPr="00D66BAF">
        <w:rPr>
          <w:rStyle w:val="af7"/>
          <w:rFonts w:eastAsia="Guttman Hodes" w:hint="cs"/>
        </w:rPr>
        <w:instrText>REF</w:instrText>
      </w:r>
      <w:r w:rsidRPr="00D66BAF">
        <w:rPr>
          <w:rStyle w:val="af7"/>
          <w:rFonts w:eastAsia="Guttman Hodes" w:hint="cs"/>
          <w:rtl/>
        </w:rPr>
        <w:instrText xml:space="preserve"> _</w:instrText>
      </w:r>
      <w:r w:rsidRPr="00D66BAF">
        <w:rPr>
          <w:rStyle w:val="af7"/>
          <w:rFonts w:eastAsia="Guttman Hodes" w:hint="cs"/>
        </w:rPr>
        <w:instrText>Ref54887527 \r \h</w:instrText>
      </w:r>
      <w:r w:rsidRPr="00D66BAF">
        <w:rPr>
          <w:rStyle w:val="af7"/>
          <w:rFonts w:eastAsia="Guttman Hodes"/>
          <w:rtl/>
        </w:rPr>
        <w:instrText xml:space="preserve">  \* </w:instrText>
      </w:r>
      <w:r w:rsidRPr="00D66BAF">
        <w:rPr>
          <w:rStyle w:val="af7"/>
          <w:rFonts w:eastAsia="Guttman Hodes"/>
        </w:rPr>
        <w:instrText>MERGEFORMAT</w:instrText>
      </w:r>
      <w:r w:rsidRPr="00D66BAF">
        <w:rPr>
          <w:rStyle w:val="af7"/>
          <w:rFonts w:eastAsia="Guttman Hodes"/>
          <w:rtl/>
        </w:rPr>
        <w:instrText xml:space="preserve"> </w:instrText>
      </w:r>
      <w:r w:rsidRPr="00D66BAF">
        <w:rPr>
          <w:rStyle w:val="af7"/>
          <w:rFonts w:eastAsia="Guttman Hodes"/>
          <w:rtl/>
        </w:rPr>
      </w:r>
      <w:r w:rsidRPr="00D66BAF">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D66BAF">
        <w:rPr>
          <w:rStyle w:val="af7"/>
          <w:rFonts w:eastAsia="Guttman Hodes"/>
          <w:rtl/>
        </w:rPr>
        <w:fldChar w:fldCharType="end"/>
      </w:r>
      <w:r w:rsidRPr="00C007C0">
        <w:rPr>
          <w:rFonts w:hint="cs"/>
          <w:rtl/>
        </w:rPr>
        <w:t xml:space="preserve"> בדעת </w:t>
      </w:r>
      <w:r w:rsidRPr="00C007C0">
        <w:rPr>
          <w:rStyle w:val="af9"/>
          <w:rFonts w:hint="cs"/>
          <w:rtl/>
        </w:rPr>
        <w:t>רש"י</w:t>
      </w:r>
      <w:r w:rsidRPr="00C007C0">
        <w:rPr>
          <w:rFonts w:hint="cs"/>
          <w:rtl/>
        </w:rPr>
        <w:t xml:space="preserve"> דבמקום שאין חזקת מרא קמא, סגי בחזקה בלא טענה, אף </w:t>
      </w:r>
      <w:r>
        <w:rPr>
          <w:rFonts w:hint="cs"/>
          <w:rtl/>
        </w:rPr>
        <w:t xml:space="preserve">למסקנא, וכתב </w:t>
      </w:r>
      <w:r w:rsidRPr="003B673F">
        <w:rPr>
          <w:rStyle w:val="af9"/>
          <w:rFonts w:hint="cs"/>
          <w:rtl/>
        </w:rPr>
        <w:t>בחי' רבי נחום</w:t>
      </w:r>
      <w:r>
        <w:rPr>
          <w:rFonts w:hint="cs"/>
          <w:rtl/>
        </w:rPr>
        <w:t xml:space="preserve"> </w:t>
      </w:r>
      <w:r w:rsidRPr="00D66BAF">
        <w:rPr>
          <w:rStyle w:val="af7"/>
          <w:rFonts w:eastAsia="Guttman Hodes" w:hint="cs"/>
          <w:rtl/>
        </w:rPr>
        <w:t>(או' י"ב ד"ה והנה בעיקר)</w:t>
      </w:r>
      <w:r>
        <w:rPr>
          <w:rFonts w:hint="cs"/>
          <w:rtl/>
        </w:rPr>
        <w:t xml:space="preserve"> דכן מבואר מדברי </w:t>
      </w:r>
      <w:r w:rsidRPr="003B673F">
        <w:rPr>
          <w:rStyle w:val="af9"/>
          <w:rFonts w:hint="cs"/>
          <w:rtl/>
        </w:rPr>
        <w:t>רבינו יונה</w:t>
      </w:r>
      <w:r>
        <w:rPr>
          <w:rFonts w:hint="cs"/>
          <w:rtl/>
        </w:rPr>
        <w:t xml:space="preserve"> </w:t>
      </w:r>
      <w:r w:rsidRPr="00D66BAF">
        <w:rPr>
          <w:rStyle w:val="af7"/>
          <w:rFonts w:eastAsia="Guttman Hodes" w:hint="cs"/>
          <w:rtl/>
        </w:rPr>
        <w:t xml:space="preserve">(עי' אות </w:t>
      </w:r>
      <w:r w:rsidRPr="00D66BAF">
        <w:rPr>
          <w:rStyle w:val="af7"/>
          <w:rFonts w:eastAsia="Guttman Hodes"/>
          <w:rtl/>
        </w:rPr>
        <w:fldChar w:fldCharType="begin"/>
      </w:r>
      <w:r w:rsidRPr="00D66BAF">
        <w:rPr>
          <w:rStyle w:val="af7"/>
          <w:rFonts w:eastAsia="Guttman Hodes"/>
          <w:rtl/>
        </w:rPr>
        <w:instrText xml:space="preserve"> </w:instrText>
      </w:r>
      <w:r w:rsidRPr="00D66BAF">
        <w:rPr>
          <w:rStyle w:val="af7"/>
          <w:rFonts w:eastAsia="Guttman Hodes" w:hint="cs"/>
        </w:rPr>
        <w:instrText>REF</w:instrText>
      </w:r>
      <w:r w:rsidRPr="00D66BAF">
        <w:rPr>
          <w:rStyle w:val="af7"/>
          <w:rFonts w:eastAsia="Guttman Hodes" w:hint="cs"/>
          <w:rtl/>
        </w:rPr>
        <w:instrText xml:space="preserve"> _</w:instrText>
      </w:r>
      <w:r w:rsidRPr="00D66BAF">
        <w:rPr>
          <w:rStyle w:val="af7"/>
          <w:rFonts w:eastAsia="Guttman Hodes" w:hint="cs"/>
        </w:rPr>
        <w:instrText>Ref54714507 \r \h</w:instrText>
      </w:r>
      <w:r w:rsidRPr="00D66BAF">
        <w:rPr>
          <w:rStyle w:val="af7"/>
          <w:rFonts w:eastAsia="Guttman Hodes"/>
          <w:rtl/>
        </w:rPr>
        <w:instrText xml:space="preserve"> </w:instrText>
      </w:r>
      <w:r w:rsidRPr="00D66BAF">
        <w:rPr>
          <w:rStyle w:val="af7"/>
          <w:rFonts w:eastAsia="Guttman Hodes"/>
          <w:rtl/>
        </w:rPr>
      </w:r>
      <w:r w:rsidRPr="00D66BAF">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D66BAF">
        <w:rPr>
          <w:rStyle w:val="af7"/>
          <w:rFonts w:eastAsia="Guttman Hodes"/>
          <w:rtl/>
        </w:rPr>
        <w:fldChar w:fldCharType="end"/>
      </w:r>
      <w:r>
        <w:rPr>
          <w:rFonts w:hint="cs"/>
          <w:rtl/>
        </w:rPr>
        <w:t xml:space="preserve"> דכתב דבמטלטלין מהני חזקה בלא טענה, דהם בחזקת התופס אף שאינו טוען כל טענה, והוסיף </w:t>
      </w:r>
      <w:r w:rsidRPr="003B673F">
        <w:rPr>
          <w:rStyle w:val="af9"/>
          <w:rFonts w:hint="cs"/>
          <w:rtl/>
        </w:rPr>
        <w:t>רבינו יונה</w:t>
      </w:r>
      <w:r>
        <w:rPr>
          <w:rFonts w:hint="cs"/>
          <w:rtl/>
        </w:rPr>
        <w:t xml:space="preserve"> </w:t>
      </w:r>
      <w:r w:rsidRPr="00D66BAF">
        <w:rPr>
          <w:rStyle w:val="af7"/>
          <w:rFonts w:eastAsia="Guttman Hodes" w:hint="cs"/>
          <w:rtl/>
        </w:rPr>
        <w:t xml:space="preserve">(עי' אות </w:t>
      </w:r>
      <w:r w:rsidRPr="00D66BAF">
        <w:rPr>
          <w:rStyle w:val="af7"/>
          <w:rFonts w:eastAsia="Guttman Hodes"/>
          <w:rtl/>
        </w:rPr>
        <w:fldChar w:fldCharType="begin"/>
      </w:r>
      <w:r w:rsidRPr="00D66BAF">
        <w:rPr>
          <w:rStyle w:val="af7"/>
          <w:rFonts w:eastAsia="Guttman Hodes"/>
          <w:rtl/>
        </w:rPr>
        <w:instrText xml:space="preserve"> </w:instrText>
      </w:r>
      <w:r w:rsidRPr="00D66BAF">
        <w:rPr>
          <w:rStyle w:val="af7"/>
          <w:rFonts w:eastAsia="Guttman Hodes" w:hint="cs"/>
        </w:rPr>
        <w:instrText>REF</w:instrText>
      </w:r>
      <w:r w:rsidRPr="00D66BAF">
        <w:rPr>
          <w:rStyle w:val="af7"/>
          <w:rFonts w:eastAsia="Guttman Hodes" w:hint="cs"/>
          <w:rtl/>
        </w:rPr>
        <w:instrText xml:space="preserve"> _</w:instrText>
      </w:r>
      <w:r w:rsidRPr="00D66BAF">
        <w:rPr>
          <w:rStyle w:val="af7"/>
          <w:rFonts w:eastAsia="Guttman Hodes" w:hint="cs"/>
        </w:rPr>
        <w:instrText>Ref54900441 \r \h</w:instrText>
      </w:r>
      <w:r w:rsidRPr="00D66BAF">
        <w:rPr>
          <w:rStyle w:val="af7"/>
          <w:rFonts w:eastAsia="Guttman Hodes"/>
          <w:rtl/>
        </w:rPr>
        <w:instrText xml:space="preserve"> </w:instrText>
      </w:r>
      <w:r w:rsidRPr="00D66BAF">
        <w:rPr>
          <w:rStyle w:val="af7"/>
          <w:rFonts w:eastAsia="Guttman Hodes"/>
          <w:rtl/>
        </w:rPr>
      </w:r>
      <w:r w:rsidRPr="00D66BAF">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sidRPr="00D66BAF">
        <w:rPr>
          <w:rStyle w:val="af7"/>
          <w:rFonts w:eastAsia="Guttman Hodes"/>
          <w:rtl/>
        </w:rPr>
        <w:fldChar w:fldCharType="end"/>
      </w:r>
      <w:r>
        <w:rPr>
          <w:rFonts w:hint="cs"/>
          <w:rtl/>
        </w:rPr>
        <w:t xml:space="preserve"> דבמטלטלין יש סברא דאחזוקי אינשי בגנבי לא מחזקינן, ואמרינן דודאי שהבעלים נתנם לו וכתב </w:t>
      </w:r>
      <w:r w:rsidRPr="003B673F">
        <w:rPr>
          <w:rStyle w:val="af9"/>
          <w:rFonts w:hint="cs"/>
          <w:rtl/>
        </w:rPr>
        <w:t>בחי' רבי נחום</w:t>
      </w:r>
      <w:r>
        <w:rPr>
          <w:rFonts w:hint="cs"/>
          <w:rtl/>
        </w:rPr>
        <w:t xml:space="preserve"> דמבואר מדברי </w:t>
      </w:r>
      <w:r w:rsidRPr="005A11E4">
        <w:rPr>
          <w:rStyle w:val="af9"/>
          <w:rFonts w:hint="cs"/>
          <w:rtl/>
        </w:rPr>
        <w:t>רבינו יונה</w:t>
      </w:r>
      <w:r>
        <w:rPr>
          <w:rFonts w:hint="cs"/>
          <w:rtl/>
        </w:rPr>
        <w:t xml:space="preserve"> דבמקום שאין חזקת מרא קמא, מהני חזקה בלא טענה, דהא המחזיק נחשב למוחזק, וא"א להוציא ממנו בלי ראיה, וא"כ הגמ' בקושיה סברה דאף בחזקה בלא טענה, בטלה חזקת המרא קמא וממילא מהני החזקה אף שאין לו טענה כמו במטלטלין, ותירצה הגמ' דכל שאין לו טענה אין חזקה כלל, וממילא לא בטלה חזקת המרא קמא, ולא מהני חזקה בלא טענה.</w:t>
      </w:r>
      <w:bookmarkEnd w:id="2956"/>
    </w:p>
    <w:p w:rsidR="00900B10" w:rsidRPr="007943AB" w:rsidRDefault="00900B10" w:rsidP="00900B10">
      <w:pPr>
        <w:pStyle w:val="a3"/>
        <w:rPr>
          <w:rtl/>
        </w:rPr>
      </w:pPr>
      <w:bookmarkStart w:id="2957" w:name="_Toc55073057"/>
      <w:bookmarkStart w:id="2958" w:name="_Toc55073254"/>
      <w:bookmarkStart w:id="2959" w:name="_Toc55073665"/>
      <w:bookmarkStart w:id="2960" w:name="_Toc55074214"/>
      <w:r>
        <w:rPr>
          <w:rFonts w:hint="cs"/>
          <w:rtl/>
        </w:rPr>
        <w:t>ביאור הגרנ"פ ברבינו יונה דבמטלטלין שאין מר"ק הם בחזקת התופס ומוחזק לגמרי בלא טענה</w:t>
      </w:r>
      <w:bookmarkEnd w:id="2957"/>
      <w:bookmarkEnd w:id="2958"/>
      <w:bookmarkEnd w:id="2959"/>
      <w:bookmarkEnd w:id="2960"/>
    </w:p>
    <w:p w:rsidR="00900B10" w:rsidRDefault="00900B10" w:rsidP="007E4E81">
      <w:pPr>
        <w:pStyle w:val="a0"/>
        <w:rPr>
          <w:rtl/>
        </w:rPr>
      </w:pPr>
      <w:r>
        <w:rPr>
          <w:rFonts w:hint="cs"/>
          <w:rtl/>
        </w:rPr>
        <w:t xml:space="preserve">וכתב </w:t>
      </w:r>
      <w:r w:rsidRPr="003B673F">
        <w:rPr>
          <w:rStyle w:val="af9"/>
          <w:rFonts w:hint="cs"/>
          <w:rtl/>
        </w:rPr>
        <w:t>בחי' רבי נחום</w:t>
      </w:r>
      <w:r>
        <w:rPr>
          <w:rFonts w:hint="cs"/>
          <w:rtl/>
        </w:rPr>
        <w:t xml:space="preserve"> דבמטלטלין אפש"ל דס"ל </w:t>
      </w:r>
      <w:r w:rsidRPr="009B3B96">
        <w:rPr>
          <w:rStyle w:val="af9"/>
          <w:rFonts w:hint="cs"/>
          <w:rtl/>
        </w:rPr>
        <w:t xml:space="preserve">לרבינו יונה </w:t>
      </w:r>
      <w:r>
        <w:rPr>
          <w:rFonts w:hint="cs"/>
          <w:rtl/>
        </w:rPr>
        <w:t xml:space="preserve">דחזקה בלא טענה מהני כיון שאין בהם חזקת מרא קמא, וכדביאר </w:t>
      </w:r>
      <w:r w:rsidRPr="009B3B96">
        <w:rPr>
          <w:rStyle w:val="af9"/>
          <w:rFonts w:hint="cs"/>
          <w:rtl/>
        </w:rPr>
        <w:t xml:space="preserve">רבינו יונה </w:t>
      </w:r>
      <w:r>
        <w:rPr>
          <w:rFonts w:hint="cs"/>
          <w:rtl/>
        </w:rPr>
        <w:t>דהם בחזקת התופס, וכן כיון דאחזוקי אינשי בגנבי לא מחזקינן ואמרינן דודאי שהבעלים נתנם לו, וכל שאין חזקת מרא קמא סגי בחזקה בלא טענה בכדי שיחשב כמוחזק לגמרי.</w:t>
      </w:r>
    </w:p>
    <w:p w:rsidR="00900B10" w:rsidRDefault="00900B10" w:rsidP="00900B10">
      <w:pPr>
        <w:pStyle w:val="a3"/>
        <w:rPr>
          <w:rtl/>
        </w:rPr>
      </w:pPr>
      <w:bookmarkStart w:id="2961" w:name="_Toc55073058"/>
      <w:bookmarkStart w:id="2962" w:name="_Toc55073255"/>
      <w:bookmarkStart w:id="2963" w:name="_Toc55073666"/>
      <w:bookmarkStart w:id="2964" w:name="_Toc55074215"/>
      <w:r>
        <w:rPr>
          <w:rFonts w:hint="cs"/>
          <w:rtl/>
        </w:rPr>
        <w:t>דברי הגרנ"פ דמה שביאר רב"י בטענת המחזיק היינו היאך זכה בקרקע אחר שהוא המוחזק</w:t>
      </w:r>
      <w:bookmarkEnd w:id="2961"/>
      <w:bookmarkEnd w:id="2962"/>
      <w:bookmarkEnd w:id="2963"/>
      <w:bookmarkEnd w:id="2964"/>
    </w:p>
    <w:p w:rsidR="00900B10" w:rsidRDefault="00900B10" w:rsidP="007E4E81">
      <w:pPr>
        <w:pStyle w:val="a0"/>
        <w:rPr>
          <w:rStyle w:val="afb"/>
          <w:rtl/>
        </w:rPr>
      </w:pPr>
      <w:bookmarkStart w:id="2965" w:name="_Ref55070395"/>
      <w:r w:rsidRPr="000C54F1">
        <w:rPr>
          <w:rFonts w:hint="cs"/>
          <w:rtl/>
        </w:rPr>
        <w:t xml:space="preserve">והוסיף </w:t>
      </w:r>
      <w:r w:rsidRPr="000C54F1">
        <w:rPr>
          <w:rStyle w:val="af9"/>
          <w:rFonts w:hint="cs"/>
          <w:rtl/>
        </w:rPr>
        <w:t>בחי' רבי נחום</w:t>
      </w:r>
      <w:r w:rsidRPr="000C54F1">
        <w:rPr>
          <w:rFonts w:hint="cs"/>
          <w:rtl/>
        </w:rPr>
        <w:t xml:space="preserve"> </w:t>
      </w:r>
      <w:r w:rsidRPr="000C54F1">
        <w:rPr>
          <w:rStyle w:val="af7"/>
          <w:rFonts w:eastAsia="Guttman Hodes" w:hint="cs"/>
          <w:rtl/>
        </w:rPr>
        <w:t xml:space="preserve">(או' י"ג ד"ה ועי' ברבינו יונה) </w:t>
      </w:r>
      <w:r w:rsidRPr="000C54F1">
        <w:rPr>
          <w:rFonts w:hint="cs"/>
          <w:rtl/>
        </w:rPr>
        <w:t>ד</w:t>
      </w:r>
      <w:r>
        <w:rPr>
          <w:rFonts w:hint="cs"/>
          <w:rtl/>
        </w:rPr>
        <w:t xml:space="preserve">אף </w:t>
      </w:r>
      <w:r w:rsidRPr="000C54F1">
        <w:rPr>
          <w:rFonts w:hint="cs"/>
          <w:rtl/>
        </w:rPr>
        <w:t xml:space="preserve">שביאר </w:t>
      </w:r>
      <w:r w:rsidRPr="0066141B">
        <w:rPr>
          <w:rStyle w:val="af9"/>
          <w:rFonts w:hint="cs"/>
          <w:rtl/>
        </w:rPr>
        <w:t>רבינו יונה</w:t>
      </w:r>
      <w:r w:rsidRPr="000C54F1">
        <w:rPr>
          <w:rFonts w:hint="cs"/>
          <w:rtl/>
        </w:rPr>
        <w:t xml:space="preserve"> </w:t>
      </w:r>
      <w:r w:rsidRPr="00547A6B">
        <w:rPr>
          <w:rStyle w:val="af7"/>
          <w:rFonts w:eastAsia="Guttman Hodes" w:hint="cs"/>
          <w:rtl/>
        </w:rPr>
        <w:t xml:space="preserve">(עי' אות </w:t>
      </w:r>
      <w:r w:rsidRPr="00547A6B">
        <w:rPr>
          <w:rStyle w:val="af7"/>
          <w:rFonts w:eastAsia="Guttman Hodes"/>
          <w:rtl/>
        </w:rPr>
        <w:fldChar w:fldCharType="begin"/>
      </w:r>
      <w:r w:rsidRPr="00547A6B">
        <w:rPr>
          <w:rStyle w:val="af7"/>
          <w:rFonts w:eastAsia="Guttman Hodes"/>
          <w:rtl/>
        </w:rPr>
        <w:instrText xml:space="preserve"> </w:instrText>
      </w:r>
      <w:r w:rsidRPr="00547A6B">
        <w:rPr>
          <w:rStyle w:val="af7"/>
          <w:rFonts w:eastAsia="Guttman Hodes" w:hint="cs"/>
        </w:rPr>
        <w:instrText>REF</w:instrText>
      </w:r>
      <w:r w:rsidRPr="00547A6B">
        <w:rPr>
          <w:rStyle w:val="af7"/>
          <w:rFonts w:eastAsia="Guttman Hodes" w:hint="cs"/>
          <w:rtl/>
        </w:rPr>
        <w:instrText xml:space="preserve"> _</w:instrText>
      </w:r>
      <w:r w:rsidRPr="00547A6B">
        <w:rPr>
          <w:rStyle w:val="af7"/>
          <w:rFonts w:eastAsia="Guttman Hodes" w:hint="cs"/>
        </w:rPr>
        <w:instrText>Ref54714911 \r \h</w:instrText>
      </w:r>
      <w:r w:rsidRPr="00547A6B">
        <w:rPr>
          <w:rStyle w:val="af7"/>
          <w:rFonts w:eastAsia="Guttman Hodes"/>
          <w:rtl/>
        </w:rPr>
        <w:instrText xml:space="preserve"> </w:instrText>
      </w:r>
      <w:r w:rsidRPr="00547A6B">
        <w:rPr>
          <w:rStyle w:val="af7"/>
          <w:rFonts w:eastAsia="Guttman Hodes"/>
          <w:rtl/>
        </w:rPr>
      </w:r>
      <w:r w:rsidRPr="00547A6B">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547A6B">
        <w:rPr>
          <w:rStyle w:val="af7"/>
          <w:rFonts w:eastAsia="Guttman Hodes"/>
          <w:rtl/>
        </w:rPr>
        <w:fldChar w:fldCharType="end"/>
      </w:r>
      <w:r w:rsidRPr="000C54F1">
        <w:rPr>
          <w:rFonts w:hint="cs"/>
          <w:rtl/>
        </w:rPr>
        <w:t xml:space="preserve"> דקושית הגמ' דתועיל חזקה בלא טענה, היא כשהמחזיק לא רצה להשיב למערער, כיון שיש לו חזקת ג"ש הוא התפוס בקרקע, וכן לפי דברי </w:t>
      </w:r>
      <w:r w:rsidRPr="000C54F1">
        <w:rPr>
          <w:rStyle w:val="af9"/>
          <w:rFonts w:hint="cs"/>
          <w:rtl/>
        </w:rPr>
        <w:t>רבינו יונה בביאורו הב'</w:t>
      </w:r>
      <w:r w:rsidRPr="000C54F1">
        <w:rPr>
          <w:rFonts w:hint="cs"/>
          <w:rtl/>
        </w:rPr>
        <w:t xml:space="preserve"> </w:t>
      </w:r>
      <w:r w:rsidRPr="005B6D6C">
        <w:rPr>
          <w:rStyle w:val="af7"/>
          <w:rFonts w:eastAsia="Guttman Hodes" w:hint="cs"/>
          <w:rtl/>
        </w:rPr>
        <w:t xml:space="preserve">(עי' אות </w:t>
      </w:r>
      <w:r w:rsidRPr="005B6D6C">
        <w:rPr>
          <w:rStyle w:val="af7"/>
          <w:rFonts w:eastAsia="Guttman Hodes"/>
          <w:rtl/>
        </w:rPr>
        <w:fldChar w:fldCharType="begin"/>
      </w:r>
      <w:r w:rsidRPr="005B6D6C">
        <w:rPr>
          <w:rStyle w:val="af7"/>
          <w:rFonts w:eastAsia="Guttman Hodes"/>
          <w:rtl/>
        </w:rPr>
        <w:instrText xml:space="preserve"> </w:instrText>
      </w:r>
      <w:r w:rsidRPr="005B6D6C">
        <w:rPr>
          <w:rStyle w:val="af7"/>
          <w:rFonts w:eastAsia="Guttman Hodes" w:hint="cs"/>
        </w:rPr>
        <w:instrText>REF</w:instrText>
      </w:r>
      <w:r w:rsidRPr="005B6D6C">
        <w:rPr>
          <w:rStyle w:val="af7"/>
          <w:rFonts w:eastAsia="Guttman Hodes" w:hint="cs"/>
          <w:rtl/>
        </w:rPr>
        <w:instrText xml:space="preserve"> _</w:instrText>
      </w:r>
      <w:r w:rsidRPr="005B6D6C">
        <w:rPr>
          <w:rStyle w:val="af7"/>
          <w:rFonts w:eastAsia="Guttman Hodes" w:hint="cs"/>
        </w:rPr>
        <w:instrText>Ref54602979 \r \h</w:instrText>
      </w:r>
      <w:r w:rsidRPr="005B6D6C">
        <w:rPr>
          <w:rStyle w:val="af7"/>
          <w:rFonts w:eastAsia="Guttman Hodes"/>
          <w:rtl/>
        </w:rPr>
        <w:instrText xml:space="preserve"> </w:instrText>
      </w:r>
      <w:r w:rsidRPr="005B6D6C">
        <w:rPr>
          <w:rStyle w:val="af7"/>
          <w:rFonts w:eastAsia="Guttman Hodes"/>
          <w:rtl/>
        </w:rPr>
      </w:r>
      <w:r w:rsidRPr="005B6D6C">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5B6D6C">
        <w:rPr>
          <w:rStyle w:val="af7"/>
          <w:rFonts w:eastAsia="Guttman Hodes"/>
          <w:rtl/>
        </w:rPr>
        <w:fldChar w:fldCharType="end"/>
      </w:r>
      <w:r>
        <w:rPr>
          <w:rFonts w:hint="cs"/>
          <w:rtl/>
        </w:rPr>
        <w:t xml:space="preserve"> </w:t>
      </w:r>
      <w:r w:rsidRPr="000C54F1">
        <w:rPr>
          <w:rFonts w:hint="cs"/>
          <w:rtl/>
        </w:rPr>
        <w:t xml:space="preserve">דקושית הגמ' היא אף במקום שטוען שלא אמר לי אדם דבר מעולם, דיתכן דחושש לומר שהשטר אבד לו, </w:t>
      </w:r>
      <w:r>
        <w:rPr>
          <w:rFonts w:hint="cs"/>
          <w:rtl/>
        </w:rPr>
        <w:t>כתב</w:t>
      </w:r>
      <w:r w:rsidRPr="000C54F1">
        <w:rPr>
          <w:rFonts w:hint="cs"/>
          <w:rtl/>
        </w:rPr>
        <w:t xml:space="preserve"> </w:t>
      </w:r>
      <w:r w:rsidRPr="000C54F1">
        <w:rPr>
          <w:rStyle w:val="af9"/>
          <w:rFonts w:hint="cs"/>
          <w:rtl/>
        </w:rPr>
        <w:t xml:space="preserve">בחי' רבי נחום </w:t>
      </w:r>
      <w:r w:rsidRPr="000C54F1">
        <w:rPr>
          <w:rFonts w:hint="cs"/>
          <w:rtl/>
        </w:rPr>
        <w:t xml:space="preserve">דכוונת </w:t>
      </w:r>
      <w:r w:rsidRPr="000C54F1">
        <w:rPr>
          <w:rStyle w:val="af9"/>
          <w:rFonts w:hint="cs"/>
          <w:rtl/>
        </w:rPr>
        <w:t xml:space="preserve">רבינו יונה </w:t>
      </w:r>
      <w:r w:rsidRPr="000C54F1">
        <w:rPr>
          <w:rFonts w:hint="cs"/>
          <w:rtl/>
        </w:rPr>
        <w:t xml:space="preserve">לבאר בזה היאך זכה המחזיק בקרקע כשאין לו טענה, אבל מודה </w:t>
      </w:r>
      <w:r w:rsidRPr="000C54F1">
        <w:rPr>
          <w:rStyle w:val="af9"/>
          <w:rFonts w:hint="cs"/>
          <w:rtl/>
        </w:rPr>
        <w:t xml:space="preserve">רבינו יונה </w:t>
      </w:r>
      <w:r w:rsidRPr="000C54F1">
        <w:rPr>
          <w:rFonts w:hint="cs"/>
          <w:rtl/>
        </w:rPr>
        <w:t xml:space="preserve">דעיקר קושית הגמ' היא דכיון דילפינן משור המועד, דהקרקע יצאה מחזקת המרא קמא לחזקת המחזיק, א"כ א"צ טענה, </w:t>
      </w:r>
      <w:r w:rsidRPr="000C54F1">
        <w:rPr>
          <w:rStyle w:val="afb"/>
          <w:rFonts w:hint="cs"/>
          <w:rtl/>
        </w:rPr>
        <w:t>[כדביאר</w:t>
      </w:r>
      <w:r w:rsidRPr="000C54F1">
        <w:rPr>
          <w:rFonts w:hint="cs"/>
          <w:rtl/>
        </w:rPr>
        <w:t xml:space="preserve"> </w:t>
      </w:r>
      <w:r w:rsidRPr="000C54F1">
        <w:rPr>
          <w:rStyle w:val="affa"/>
          <w:rFonts w:hint="cs"/>
          <w:rtl/>
        </w:rPr>
        <w:t>בחי' רבי נחום</w:t>
      </w:r>
      <w:r w:rsidRPr="000C54F1">
        <w:rPr>
          <w:rFonts w:hint="cs"/>
          <w:rtl/>
        </w:rPr>
        <w:t xml:space="preserve"> </w:t>
      </w:r>
      <w:r w:rsidRPr="003B67A9">
        <w:rPr>
          <w:rStyle w:val="aff6"/>
          <w:rFonts w:hint="cs"/>
          <w:rtl/>
        </w:rPr>
        <w:t xml:space="preserve">(עי' אות </w:t>
      </w:r>
      <w:r w:rsidRPr="003B67A9">
        <w:rPr>
          <w:rStyle w:val="aff6"/>
          <w:rtl/>
        </w:rPr>
        <w:fldChar w:fldCharType="begin"/>
      </w:r>
      <w:r w:rsidRPr="003B67A9">
        <w:rPr>
          <w:rStyle w:val="aff6"/>
          <w:rtl/>
        </w:rPr>
        <w:instrText xml:space="preserve"> </w:instrText>
      </w:r>
      <w:r w:rsidRPr="003B67A9">
        <w:rPr>
          <w:rStyle w:val="aff6"/>
          <w:rFonts w:hint="cs"/>
        </w:rPr>
        <w:instrText>REF</w:instrText>
      </w:r>
      <w:r w:rsidRPr="003B67A9">
        <w:rPr>
          <w:rStyle w:val="aff6"/>
          <w:rFonts w:hint="cs"/>
          <w:rtl/>
        </w:rPr>
        <w:instrText xml:space="preserve"> _</w:instrText>
      </w:r>
      <w:r w:rsidRPr="003B67A9">
        <w:rPr>
          <w:rStyle w:val="aff6"/>
          <w:rFonts w:hint="cs"/>
        </w:rPr>
        <w:instrText>Ref54813514 \r \h</w:instrText>
      </w:r>
      <w:r w:rsidRPr="003B67A9">
        <w:rPr>
          <w:rStyle w:val="aff6"/>
          <w:rtl/>
        </w:rPr>
        <w:instrText xml:space="preserve"> </w:instrText>
      </w:r>
      <w:r w:rsidRPr="003B67A9">
        <w:rPr>
          <w:rStyle w:val="aff6"/>
          <w:rtl/>
        </w:rPr>
      </w:r>
      <w:r w:rsidRPr="003B67A9">
        <w:rPr>
          <w:rStyle w:val="aff6"/>
          <w:rtl/>
        </w:rPr>
        <w:fldChar w:fldCharType="separate"/>
      </w:r>
      <w:r w:rsidR="00265073">
        <w:rPr>
          <w:rStyle w:val="aff6"/>
          <w:cs/>
        </w:rPr>
        <w:t>‎</w:t>
      </w:r>
      <w:r w:rsidR="00265073">
        <w:rPr>
          <w:rStyle w:val="aff6"/>
          <w:rtl/>
        </w:rPr>
        <w:t>קט)</w:t>
      </w:r>
      <w:r w:rsidRPr="003B67A9">
        <w:rPr>
          <w:rStyle w:val="aff6"/>
          <w:rtl/>
        </w:rPr>
        <w:fldChar w:fldCharType="end"/>
      </w:r>
      <w:r w:rsidRPr="000C54F1">
        <w:rPr>
          <w:rStyle w:val="afb"/>
          <w:rFonts w:hint="cs"/>
          <w:rtl/>
        </w:rPr>
        <w:t>],</w:t>
      </w:r>
      <w:r w:rsidRPr="000C54F1">
        <w:rPr>
          <w:rFonts w:hint="cs"/>
          <w:rtl/>
        </w:rPr>
        <w:t xml:space="preserve"> ותירוץ הגמ' הוא דבלא טענה אינה חזקה כלל, ולא יצאה מחזקת המרא קמא.</w:t>
      </w:r>
      <w:bookmarkEnd w:id="2965"/>
    </w:p>
    <w:p w:rsidR="00900B10" w:rsidRPr="006C2BDA" w:rsidRDefault="00900B10" w:rsidP="00900B10">
      <w:pPr>
        <w:pStyle w:val="a3"/>
        <w:rPr>
          <w:rtl/>
        </w:rPr>
      </w:pPr>
    </w:p>
    <w:p w:rsidR="00900B10" w:rsidRPr="006C2BDA" w:rsidRDefault="00900B10" w:rsidP="00900B10">
      <w:pPr>
        <w:pStyle w:val="a3"/>
        <w:rPr>
          <w:rtl/>
        </w:rPr>
      </w:pPr>
    </w:p>
    <w:p w:rsidR="00900B10" w:rsidRPr="006C2BDA" w:rsidRDefault="00900B10" w:rsidP="00900B10">
      <w:pPr>
        <w:pStyle w:val="a3"/>
        <w:rPr>
          <w:rtl/>
        </w:rPr>
      </w:pPr>
    </w:p>
    <w:p w:rsidR="00900B10" w:rsidRDefault="00900B10" w:rsidP="00900B10">
      <w:pPr>
        <w:pStyle w:val="afe"/>
        <w:rPr>
          <w:rtl/>
        </w:rPr>
      </w:pPr>
      <w:bookmarkStart w:id="2966" w:name="_Toc55073059"/>
      <w:bookmarkStart w:id="2967" w:name="_Toc55073256"/>
      <w:bookmarkStart w:id="2968" w:name="_Toc55073667"/>
      <w:bookmarkStart w:id="2969" w:name="_Toc55074216"/>
      <w:bookmarkStart w:id="2970" w:name="_Toc54730232"/>
      <w:bookmarkStart w:id="2971" w:name="_Toc54867253"/>
      <w:bookmarkStart w:id="2972" w:name="_Toc54868852"/>
      <w:bookmarkStart w:id="2973" w:name="_Toc54887772"/>
      <w:bookmarkStart w:id="2974" w:name="_Toc54891225"/>
      <w:bookmarkStart w:id="2975" w:name="_Toc54903520"/>
      <w:bookmarkStart w:id="2976" w:name="_Toc54948529"/>
      <w:bookmarkStart w:id="2977" w:name="_Toc54952141"/>
      <w:r>
        <w:rPr>
          <w:rFonts w:hint="cs"/>
          <w:rtl/>
        </w:rPr>
        <w:lastRenderedPageBreak/>
        <w:t>בדברי התוס' דא"צ ראיה שדר חד יומא</w:t>
      </w:r>
      <w:bookmarkEnd w:id="2966"/>
      <w:bookmarkEnd w:id="2967"/>
      <w:bookmarkEnd w:id="2968"/>
      <w:bookmarkEnd w:id="2969"/>
    </w:p>
    <w:p w:rsidR="00900B10" w:rsidRPr="000F3F06" w:rsidRDefault="00900B10" w:rsidP="00900B10">
      <w:pPr>
        <w:pStyle w:val="1"/>
      </w:pPr>
      <w:bookmarkStart w:id="2978" w:name="_Toc55074217"/>
      <w:r>
        <w:rPr>
          <w:rFonts w:hint="cs"/>
          <w:rtl/>
        </w:rPr>
        <w:t>ביאור הברכ"ש בתוס' דחזקה שהיא ראיה א"צ טענת חד יומא</w:t>
      </w:r>
      <w:bookmarkEnd w:id="2978"/>
    </w:p>
    <w:p w:rsidR="00900B10" w:rsidRPr="00F525DE" w:rsidRDefault="00900B10" w:rsidP="00900B10">
      <w:pPr>
        <w:pStyle w:val="a3"/>
        <w:rPr>
          <w:rtl/>
        </w:rPr>
      </w:pPr>
      <w:bookmarkStart w:id="2979" w:name="_Toc55073061"/>
      <w:bookmarkStart w:id="2980" w:name="_Toc55073258"/>
      <w:bookmarkStart w:id="2981" w:name="_Toc55073669"/>
      <w:bookmarkStart w:id="2982" w:name="_Toc55074218"/>
      <w:bookmarkEnd w:id="2970"/>
      <w:bookmarkEnd w:id="2971"/>
      <w:bookmarkEnd w:id="2972"/>
      <w:bookmarkEnd w:id="2973"/>
      <w:bookmarkEnd w:id="2974"/>
      <w:bookmarkEnd w:id="2975"/>
      <w:bookmarkEnd w:id="2976"/>
      <w:bookmarkEnd w:id="2977"/>
      <w:r>
        <w:rPr>
          <w:rFonts w:hint="cs"/>
          <w:rtl/>
        </w:rPr>
        <w:t>קושית הגרב"ב על תוס' דאף במטלטלין צריך טענת דר חד יומא וכ"ש בקרקע אף להולכי אושא</w:t>
      </w:r>
      <w:bookmarkEnd w:id="2979"/>
      <w:bookmarkEnd w:id="2980"/>
      <w:bookmarkEnd w:id="2981"/>
      <w:bookmarkEnd w:id="2982"/>
    </w:p>
    <w:p w:rsidR="00900B10" w:rsidRDefault="00900B10" w:rsidP="007E4E81">
      <w:pPr>
        <w:pStyle w:val="a0"/>
        <w:rPr>
          <w:rtl/>
        </w:rPr>
      </w:pPr>
      <w:r>
        <w:rPr>
          <w:rFonts w:hint="cs"/>
          <w:rtl/>
        </w:rPr>
        <w:t xml:space="preserve">במ"ש </w:t>
      </w:r>
      <w:r w:rsidRPr="003B673F">
        <w:rPr>
          <w:rStyle w:val="af9"/>
          <w:rFonts w:hint="cs"/>
          <w:rtl/>
        </w:rPr>
        <w:t>התוס' בביאורם הב'</w:t>
      </w:r>
      <w:r>
        <w:rPr>
          <w:rFonts w:hint="cs"/>
          <w:rtl/>
        </w:rPr>
        <w:t xml:space="preserve"> </w:t>
      </w:r>
      <w:r w:rsidRPr="005A11E4">
        <w:rPr>
          <w:rStyle w:val="af7"/>
          <w:rFonts w:eastAsia="Guttman Hodes" w:hint="cs"/>
          <w:rtl/>
        </w:rPr>
        <w:t xml:space="preserve">(עי' אות </w:t>
      </w:r>
      <w:r w:rsidRPr="005A11E4">
        <w:rPr>
          <w:rStyle w:val="af7"/>
          <w:rFonts w:eastAsia="Guttman Hodes"/>
          <w:rtl/>
        </w:rPr>
        <w:fldChar w:fldCharType="begin"/>
      </w:r>
      <w:r w:rsidRPr="005A11E4">
        <w:rPr>
          <w:rStyle w:val="af7"/>
          <w:rFonts w:eastAsia="Guttman Hodes"/>
          <w:rtl/>
        </w:rPr>
        <w:instrText xml:space="preserve"> </w:instrText>
      </w:r>
      <w:r w:rsidRPr="005A11E4">
        <w:rPr>
          <w:rStyle w:val="af7"/>
          <w:rFonts w:eastAsia="Guttman Hodes" w:hint="cs"/>
        </w:rPr>
        <w:instrText>REF</w:instrText>
      </w:r>
      <w:r w:rsidRPr="005A11E4">
        <w:rPr>
          <w:rStyle w:val="af7"/>
          <w:rFonts w:eastAsia="Guttman Hodes" w:hint="cs"/>
          <w:rtl/>
        </w:rPr>
        <w:instrText xml:space="preserve"> _</w:instrText>
      </w:r>
      <w:r w:rsidRPr="005A11E4">
        <w:rPr>
          <w:rStyle w:val="af7"/>
          <w:rFonts w:eastAsia="Guttman Hodes" w:hint="cs"/>
        </w:rPr>
        <w:instrText>Ref54717613 \r \h</w:instrText>
      </w:r>
      <w:r w:rsidRPr="005A11E4">
        <w:rPr>
          <w:rStyle w:val="af7"/>
          <w:rFonts w:eastAsia="Guttman Hodes"/>
          <w:rtl/>
        </w:rPr>
        <w:instrText xml:space="preserve"> </w:instrText>
      </w:r>
      <w:r w:rsidRPr="005A11E4">
        <w:rPr>
          <w:rStyle w:val="af7"/>
          <w:rFonts w:eastAsia="Guttman Hodes"/>
          <w:rtl/>
        </w:rPr>
      </w:r>
      <w:r w:rsidRPr="005A11E4">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5A11E4">
        <w:rPr>
          <w:rStyle w:val="af7"/>
          <w:rFonts w:eastAsia="Guttman Hodes"/>
          <w:rtl/>
        </w:rPr>
        <w:fldChar w:fldCharType="end"/>
      </w:r>
      <w:r>
        <w:rPr>
          <w:rFonts w:hint="cs"/>
          <w:rtl/>
        </w:rPr>
        <w:t xml:space="preserve"> דכוונת הגמ' להקשות דתועיל חזקה בלא טענה, כגון שטוען דקנה מפלוני שהוא קנה מהמערער, דתועיל החזקה אף שאין לו עדים שדר בה אותו פלוני יום אחד,</w:t>
      </w:r>
      <w:r w:rsidRPr="00944E01">
        <w:rPr>
          <w:rFonts w:hint="cs"/>
          <w:rtl/>
        </w:rPr>
        <w:t xml:space="preserve"> </w:t>
      </w:r>
      <w:r>
        <w:rPr>
          <w:rFonts w:hint="cs"/>
          <w:rtl/>
        </w:rPr>
        <w:t xml:space="preserve">הקשה </w:t>
      </w:r>
      <w:r w:rsidRPr="003B673F">
        <w:rPr>
          <w:rStyle w:val="af9"/>
          <w:rFonts w:hint="cs"/>
          <w:rtl/>
        </w:rPr>
        <w:t>בחו"ש הגרב"ב</w:t>
      </w:r>
      <w:r>
        <w:rPr>
          <w:rFonts w:hint="cs"/>
          <w:rtl/>
        </w:rPr>
        <w:t xml:space="preserve"> </w:t>
      </w:r>
      <w:r w:rsidRPr="005A11E4">
        <w:rPr>
          <w:rStyle w:val="af7"/>
          <w:rFonts w:eastAsia="Guttman Hodes" w:hint="cs"/>
          <w:rtl/>
        </w:rPr>
        <w:t>(ח"א סי' ח' ד"ה וצריכין)</w:t>
      </w:r>
      <w:r>
        <w:rPr>
          <w:rFonts w:hint="cs"/>
          <w:rtl/>
        </w:rPr>
        <w:t xml:space="preserve"> דהא כשאין לו עדים שדר בה אותו פלוני חד יומא, חשיב חזקה בלא טענה, והאיך אפש"ל דלדעת הולכי אושא הוא יזכה בקרקע, הא אף במטלטלין צריך טענה שדר בה חד יומא, ורק א"צ עדים על זה כמבואר </w:t>
      </w:r>
      <w:r w:rsidRPr="003B673F">
        <w:rPr>
          <w:rStyle w:val="af9"/>
          <w:rFonts w:hint="cs"/>
          <w:rtl/>
        </w:rPr>
        <w:t>בנתיה"מ</w:t>
      </w:r>
      <w:r>
        <w:rPr>
          <w:rFonts w:hint="cs"/>
          <w:rtl/>
        </w:rPr>
        <w:t xml:space="preserve"> </w:t>
      </w:r>
      <w:r w:rsidRPr="005A11E4">
        <w:rPr>
          <w:rStyle w:val="af7"/>
          <w:rFonts w:eastAsia="Guttman Hodes" w:hint="cs"/>
          <w:rtl/>
        </w:rPr>
        <w:t>(סי' קמ"ו סק"כ)</w:t>
      </w:r>
      <w:r>
        <w:rPr>
          <w:rFonts w:hint="cs"/>
          <w:rtl/>
        </w:rPr>
        <w:t xml:space="preserve">, וא"כ היאך אפש"ל דלהולכי אושא קרקע עדיף ממטלטלין. </w:t>
      </w:r>
    </w:p>
    <w:p w:rsidR="00900B10" w:rsidRDefault="00900B10" w:rsidP="00900B10">
      <w:pPr>
        <w:pStyle w:val="a3"/>
        <w:rPr>
          <w:rtl/>
        </w:rPr>
      </w:pPr>
      <w:bookmarkStart w:id="2983" w:name="_Toc55073062"/>
      <w:bookmarkStart w:id="2984" w:name="_Toc55073259"/>
      <w:bookmarkStart w:id="2985" w:name="_Toc55073670"/>
      <w:bookmarkStart w:id="2986" w:name="_Toc55074219"/>
      <w:r>
        <w:rPr>
          <w:rFonts w:hint="cs"/>
          <w:rtl/>
        </w:rPr>
        <w:t>ביאור הברכ"ש דצריך עדים שדר חד יומא רק לרבנן דהחזקה היא ראיה ובלא חד יומא אין ראיה</w:t>
      </w:r>
      <w:bookmarkEnd w:id="2983"/>
      <w:bookmarkEnd w:id="2984"/>
      <w:bookmarkEnd w:id="2985"/>
      <w:bookmarkEnd w:id="2986"/>
      <w:r>
        <w:rPr>
          <w:rFonts w:hint="cs"/>
          <w:rtl/>
        </w:rPr>
        <w:t xml:space="preserve"> </w:t>
      </w:r>
    </w:p>
    <w:p w:rsidR="00900B10" w:rsidRPr="005A11E4" w:rsidRDefault="00900B10" w:rsidP="007E4E81">
      <w:pPr>
        <w:pStyle w:val="a0"/>
        <w:rPr>
          <w:rStyle w:val="afb"/>
          <w:rtl/>
        </w:rPr>
      </w:pPr>
      <w:bookmarkStart w:id="2987" w:name="_Ref54717602"/>
      <w:r>
        <w:rPr>
          <w:rFonts w:hint="cs"/>
          <w:rtl/>
        </w:rPr>
        <w:t xml:space="preserve">וביאר </w:t>
      </w:r>
      <w:r w:rsidRPr="005A11E4">
        <w:rPr>
          <w:rStyle w:val="af9"/>
          <w:rFonts w:hint="cs"/>
          <w:rtl/>
        </w:rPr>
        <w:t>הברכ"ש</w:t>
      </w:r>
      <w:r>
        <w:rPr>
          <w:rFonts w:hint="cs"/>
          <w:rtl/>
        </w:rPr>
        <w:t xml:space="preserve"> </w:t>
      </w:r>
      <w:r w:rsidRPr="005A11E4">
        <w:rPr>
          <w:rStyle w:val="af7"/>
          <w:rFonts w:eastAsia="Guttman Hodes" w:hint="cs"/>
          <w:rtl/>
        </w:rPr>
        <w:t>(סי' כ"ז או' ב')</w:t>
      </w:r>
      <w:r>
        <w:rPr>
          <w:rFonts w:hint="cs"/>
          <w:rtl/>
        </w:rPr>
        <w:t xml:space="preserve"> </w:t>
      </w:r>
      <w:r w:rsidRPr="005A11E4">
        <w:rPr>
          <w:rStyle w:val="af9"/>
          <w:rFonts w:hint="cs"/>
          <w:rtl/>
        </w:rPr>
        <w:t>ובחו"ש הגרב"ב</w:t>
      </w:r>
      <w:r>
        <w:rPr>
          <w:rFonts w:hint="cs"/>
          <w:rtl/>
        </w:rPr>
        <w:t xml:space="preserve"> </w:t>
      </w:r>
      <w:r w:rsidRPr="005A11E4">
        <w:rPr>
          <w:rStyle w:val="af7"/>
          <w:rFonts w:eastAsia="Guttman Hodes" w:hint="cs"/>
          <w:rtl/>
        </w:rPr>
        <w:t xml:space="preserve">(ח"א סי' ח' ד"ה ובזה יש) </w:t>
      </w:r>
      <w:r>
        <w:rPr>
          <w:rFonts w:hint="cs"/>
          <w:rtl/>
        </w:rPr>
        <w:t>דהא דצריך המחזיק להביא עדים שדר בה אותו פלוני יום אחד, הוא כיון שהוא צריך להוכיח שאותו פלוני שמכר לו הוא בעל דבר, וכ"ז שלא הוכיח שהוא המוכר, לא מהני כלל מה שיש למחזיק חזקת ג"ש, דאינה ראיה לקנין כלל, ויכול המרא קמא לומר למחזיק דלאו בעל דברים דידי את, ורק כשדר המוכר חד יומא, ואנו רואים את המוכר בקרקע, מהני למחזיק חזקת הג"ש,</w:t>
      </w:r>
      <w:r w:rsidRPr="00CA434F">
        <w:rPr>
          <w:rFonts w:hint="cs"/>
          <w:rtl/>
        </w:rPr>
        <w:t xml:space="preserve"> </w:t>
      </w:r>
      <w:r>
        <w:rPr>
          <w:rFonts w:hint="cs"/>
          <w:rtl/>
        </w:rPr>
        <w:t xml:space="preserve">וכתב </w:t>
      </w:r>
      <w:r w:rsidRPr="005A11E4">
        <w:rPr>
          <w:rStyle w:val="af9"/>
          <w:rFonts w:hint="cs"/>
          <w:rtl/>
        </w:rPr>
        <w:t>הברכ"ש</w:t>
      </w:r>
      <w:r>
        <w:rPr>
          <w:rFonts w:hint="cs"/>
          <w:rtl/>
        </w:rPr>
        <w:t xml:space="preserve"> </w:t>
      </w:r>
      <w:r w:rsidRPr="005A11E4">
        <w:rPr>
          <w:rStyle w:val="af7"/>
          <w:rFonts w:eastAsia="Guttman Hodes" w:hint="cs"/>
          <w:rtl/>
        </w:rPr>
        <w:t>(סי' כ"ז או' ב' ד"ה ואולם)</w:t>
      </w:r>
      <w:r>
        <w:rPr>
          <w:rFonts w:hint="cs"/>
          <w:rtl/>
        </w:rPr>
        <w:t xml:space="preserve"> דכ"ז הוא רק לרבנן דטעם החזקה הוא דעד ג"ש נזהר בשטרו, והחזקה היא ראיה שקנה מהמרא קמא. </w:t>
      </w:r>
      <w:r>
        <w:rPr>
          <w:rStyle w:val="afb"/>
          <w:rFonts w:hint="cs"/>
          <w:rtl/>
        </w:rPr>
        <w:t xml:space="preserve">[כדביאר </w:t>
      </w:r>
      <w:r w:rsidRPr="005A11E4">
        <w:rPr>
          <w:rStyle w:val="affa"/>
          <w:rFonts w:hint="cs"/>
          <w:rtl/>
        </w:rPr>
        <w:t>הברכ"ש</w:t>
      </w:r>
      <w:r>
        <w:rPr>
          <w:rStyle w:val="afb"/>
          <w:rFonts w:hint="cs"/>
          <w:rtl/>
        </w:rPr>
        <w:t xml:space="preserve"> </w:t>
      </w:r>
      <w:r w:rsidRPr="00365354">
        <w:rPr>
          <w:rStyle w:val="aff6"/>
          <w:rFonts w:hint="cs"/>
          <w:rtl/>
        </w:rPr>
        <w:t xml:space="preserve">(עי' אות </w:t>
      </w:r>
      <w:r w:rsidRPr="00365354">
        <w:rPr>
          <w:rStyle w:val="aff6"/>
          <w:rtl/>
        </w:rPr>
        <w:fldChar w:fldCharType="begin"/>
      </w:r>
      <w:r w:rsidRPr="00365354">
        <w:rPr>
          <w:rStyle w:val="aff6"/>
          <w:rtl/>
        </w:rPr>
        <w:instrText xml:space="preserve"> </w:instrText>
      </w:r>
      <w:r w:rsidRPr="00365354">
        <w:rPr>
          <w:rStyle w:val="aff6"/>
          <w:rFonts w:hint="cs"/>
        </w:rPr>
        <w:instrText>REF</w:instrText>
      </w:r>
      <w:r w:rsidRPr="00365354">
        <w:rPr>
          <w:rStyle w:val="aff6"/>
          <w:rFonts w:hint="cs"/>
          <w:rtl/>
        </w:rPr>
        <w:instrText xml:space="preserve"> _</w:instrText>
      </w:r>
      <w:r w:rsidRPr="00365354">
        <w:rPr>
          <w:rStyle w:val="aff6"/>
          <w:rFonts w:hint="cs"/>
        </w:rPr>
        <w:instrText>Ref55072575 \r \h</w:instrText>
      </w:r>
      <w:r w:rsidRPr="00365354">
        <w:rPr>
          <w:rStyle w:val="aff6"/>
          <w:rtl/>
        </w:rPr>
        <w:instrText xml:space="preserve"> </w:instrText>
      </w:r>
      <w:r w:rsidRPr="00365354">
        <w:rPr>
          <w:rStyle w:val="aff6"/>
          <w:rtl/>
        </w:rPr>
      </w:r>
      <w:r w:rsidRPr="00365354">
        <w:rPr>
          <w:rStyle w:val="aff6"/>
          <w:rtl/>
        </w:rPr>
        <w:fldChar w:fldCharType="separate"/>
      </w:r>
      <w:r w:rsidR="00265073">
        <w:rPr>
          <w:rStyle w:val="aff6"/>
          <w:cs/>
        </w:rPr>
        <w:t>‎</w:t>
      </w:r>
      <w:r w:rsidR="00265073">
        <w:rPr>
          <w:rStyle w:val="aff6"/>
          <w:rtl/>
        </w:rPr>
        <w:t>עב)</w:t>
      </w:r>
      <w:r w:rsidRPr="00365354">
        <w:rPr>
          <w:rStyle w:val="aff6"/>
          <w:rtl/>
        </w:rPr>
        <w:fldChar w:fldCharType="end"/>
      </w:r>
      <w:r>
        <w:rPr>
          <w:rStyle w:val="afb"/>
          <w:rFonts w:hint="cs"/>
          <w:rtl/>
        </w:rPr>
        <w:t>]</w:t>
      </w:r>
      <w:r w:rsidRPr="005A11E4">
        <w:rPr>
          <w:rStyle w:val="afb"/>
          <w:rFonts w:hint="cs"/>
          <w:rtl/>
        </w:rPr>
        <w:t>.</w:t>
      </w:r>
      <w:bookmarkEnd w:id="2987"/>
    </w:p>
    <w:p w:rsidR="00900B10" w:rsidRPr="00266653" w:rsidRDefault="00900B10" w:rsidP="00900B10">
      <w:pPr>
        <w:pStyle w:val="a3"/>
        <w:rPr>
          <w:rtl/>
        </w:rPr>
      </w:pPr>
      <w:bookmarkStart w:id="2988" w:name="_Toc55073063"/>
      <w:bookmarkStart w:id="2989" w:name="_Toc55073260"/>
      <w:bookmarkStart w:id="2990" w:name="_Toc55073671"/>
      <w:bookmarkStart w:id="2991" w:name="_Toc55074220"/>
      <w:r>
        <w:rPr>
          <w:rFonts w:hint="cs"/>
          <w:rtl/>
        </w:rPr>
        <w:t>ביאור הברכ"ש דלהולכי אושא דהוא מוחזק אין דררא דממונא וא"צ להביא ראיה וסגי בטענה</w:t>
      </w:r>
      <w:bookmarkEnd w:id="2988"/>
      <w:bookmarkEnd w:id="2989"/>
      <w:bookmarkEnd w:id="2990"/>
      <w:bookmarkEnd w:id="2991"/>
    </w:p>
    <w:p w:rsidR="00900B10" w:rsidRDefault="00900B10" w:rsidP="007E4E81">
      <w:pPr>
        <w:pStyle w:val="a0"/>
        <w:rPr>
          <w:rtl/>
        </w:rPr>
      </w:pPr>
      <w:r>
        <w:rPr>
          <w:rFonts w:hint="cs"/>
          <w:rtl/>
        </w:rPr>
        <w:t xml:space="preserve">אבל לדעת הולכי אושא, כתב </w:t>
      </w:r>
      <w:r w:rsidRPr="005A11E4">
        <w:rPr>
          <w:rStyle w:val="af9"/>
          <w:rFonts w:hint="cs"/>
          <w:rtl/>
        </w:rPr>
        <w:t>הברכ"ש</w:t>
      </w:r>
      <w:r>
        <w:rPr>
          <w:rFonts w:hint="cs"/>
          <w:rtl/>
        </w:rPr>
        <w:t xml:space="preserve"> דכיון דילפינן חזקה משור המועד, ויצאה הקרקע מחזקת המרא קמא ונעשה המחזיק למוחזק, </w:t>
      </w:r>
      <w:r w:rsidRPr="0028317A">
        <w:rPr>
          <w:rStyle w:val="afb"/>
          <w:rFonts w:hint="cs"/>
          <w:rtl/>
        </w:rPr>
        <w:t xml:space="preserve">[כדביאר </w:t>
      </w:r>
      <w:r w:rsidRPr="005A11E4">
        <w:rPr>
          <w:rStyle w:val="affa"/>
          <w:rFonts w:hint="cs"/>
          <w:rtl/>
        </w:rPr>
        <w:t>הברכ"ש</w:t>
      </w:r>
      <w:r w:rsidRPr="0028317A">
        <w:rPr>
          <w:rStyle w:val="afb"/>
          <w:rFonts w:hint="cs"/>
          <w:rtl/>
        </w:rPr>
        <w:t xml:space="preserve"> </w:t>
      </w:r>
      <w:r w:rsidRPr="00365354">
        <w:rPr>
          <w:rStyle w:val="aff6"/>
          <w:rFonts w:hint="cs"/>
          <w:rtl/>
        </w:rPr>
        <w:t xml:space="preserve">(עי' אות </w:t>
      </w:r>
      <w:r w:rsidRPr="00365354">
        <w:rPr>
          <w:rStyle w:val="aff6"/>
          <w:rtl/>
        </w:rPr>
        <w:fldChar w:fldCharType="begin"/>
      </w:r>
      <w:r w:rsidRPr="00365354">
        <w:rPr>
          <w:rStyle w:val="aff6"/>
          <w:rtl/>
        </w:rPr>
        <w:instrText xml:space="preserve"> </w:instrText>
      </w:r>
      <w:r w:rsidRPr="00365354">
        <w:rPr>
          <w:rStyle w:val="aff6"/>
          <w:rFonts w:hint="cs"/>
        </w:rPr>
        <w:instrText>REF</w:instrText>
      </w:r>
      <w:r w:rsidRPr="00365354">
        <w:rPr>
          <w:rStyle w:val="aff6"/>
          <w:rFonts w:hint="cs"/>
          <w:rtl/>
        </w:rPr>
        <w:instrText xml:space="preserve"> _</w:instrText>
      </w:r>
      <w:r w:rsidRPr="00365354">
        <w:rPr>
          <w:rStyle w:val="aff6"/>
          <w:rFonts w:hint="cs"/>
        </w:rPr>
        <w:instrText>Ref55068661 \r \h</w:instrText>
      </w:r>
      <w:r w:rsidRPr="00365354">
        <w:rPr>
          <w:rStyle w:val="aff6"/>
          <w:rtl/>
        </w:rPr>
        <w:instrText xml:space="preserve"> </w:instrText>
      </w:r>
      <w:r w:rsidRPr="00365354">
        <w:rPr>
          <w:rStyle w:val="aff6"/>
          <w:rtl/>
        </w:rPr>
      </w:r>
      <w:r w:rsidRPr="00365354">
        <w:rPr>
          <w:rStyle w:val="aff6"/>
          <w:rtl/>
        </w:rPr>
        <w:fldChar w:fldCharType="separate"/>
      </w:r>
      <w:r w:rsidR="00265073">
        <w:rPr>
          <w:rStyle w:val="aff6"/>
          <w:cs/>
        </w:rPr>
        <w:t>‎</w:t>
      </w:r>
      <w:r w:rsidR="00265073">
        <w:rPr>
          <w:rStyle w:val="aff6"/>
          <w:rtl/>
        </w:rPr>
        <w:t>ע)</w:t>
      </w:r>
      <w:r w:rsidRPr="00365354">
        <w:rPr>
          <w:rStyle w:val="aff6"/>
          <w:rtl/>
        </w:rPr>
        <w:fldChar w:fldCharType="end"/>
      </w:r>
      <w:r w:rsidRPr="0028317A">
        <w:rPr>
          <w:rStyle w:val="afb"/>
          <w:rFonts w:hint="cs"/>
          <w:rtl/>
        </w:rPr>
        <w:t>],</w:t>
      </w:r>
      <w:r>
        <w:rPr>
          <w:rFonts w:hint="cs"/>
          <w:rtl/>
        </w:rPr>
        <w:t xml:space="preserve"> א"כ נחשב המחזיק למרא קמא ואינו צריך לטעון לקוח הוא בידי, דחשיב דליכא דררא דממונא כלל, ואינו צריך להביא ראיה על מה שאכל אלא הוא טוען על הקרקע שבידו, ולכן ביארו </w:t>
      </w:r>
      <w:r w:rsidRPr="0028317A">
        <w:rPr>
          <w:rStyle w:val="af9"/>
          <w:rFonts w:hint="cs"/>
          <w:rtl/>
        </w:rPr>
        <w:t>התוס'</w:t>
      </w:r>
      <w:r>
        <w:rPr>
          <w:rFonts w:hint="cs"/>
          <w:rtl/>
        </w:rPr>
        <w:t xml:space="preserve"> </w:t>
      </w:r>
      <w:r w:rsidRPr="0028317A">
        <w:rPr>
          <w:rFonts w:hint="cs"/>
          <w:rtl/>
        </w:rPr>
        <w:t>דמקשה</w:t>
      </w:r>
      <w:r>
        <w:rPr>
          <w:rFonts w:hint="cs"/>
          <w:rtl/>
        </w:rPr>
        <w:t xml:space="preserve"> הגמ' דלא יצטרך המחזיק להביא עדים שדר בה אותו פלוני חד יומא, דכיון שהוא מוחזק מהני אף טענה שאמר דפלוני אמר לי שקנה מהמרא קמא.</w:t>
      </w:r>
    </w:p>
    <w:p w:rsidR="00900B10" w:rsidRPr="00EF73ED" w:rsidRDefault="00900B10" w:rsidP="00900B10">
      <w:pPr>
        <w:pStyle w:val="a3"/>
      </w:pPr>
      <w:bookmarkStart w:id="2992" w:name="_Toc55073064"/>
      <w:bookmarkStart w:id="2993" w:name="_Toc55073261"/>
      <w:bookmarkStart w:id="2994" w:name="_Toc55073672"/>
      <w:bookmarkStart w:id="2995" w:name="_Toc55074221"/>
      <w:r>
        <w:rPr>
          <w:rFonts w:hint="cs"/>
          <w:rtl/>
        </w:rPr>
        <w:t>ביאור הברכ"ש דלהו"א להולכי אושא החזקה עצמה היא ראיה דהמחזיק נחשב ללוקח</w:t>
      </w:r>
      <w:bookmarkEnd w:id="2992"/>
      <w:bookmarkEnd w:id="2993"/>
      <w:bookmarkEnd w:id="2994"/>
      <w:bookmarkEnd w:id="2995"/>
    </w:p>
    <w:p w:rsidR="00900B10" w:rsidRDefault="00900B10" w:rsidP="007E4E81">
      <w:pPr>
        <w:pStyle w:val="a0"/>
        <w:rPr>
          <w:rtl/>
        </w:rPr>
      </w:pPr>
      <w:r>
        <w:rPr>
          <w:rFonts w:hint="cs"/>
          <w:rtl/>
        </w:rPr>
        <w:t xml:space="preserve">והוסיף </w:t>
      </w:r>
      <w:r w:rsidRPr="0028317A">
        <w:rPr>
          <w:rStyle w:val="af9"/>
          <w:rFonts w:hint="cs"/>
          <w:rtl/>
        </w:rPr>
        <w:t xml:space="preserve">הברכ"ש </w:t>
      </w:r>
      <w:r w:rsidRPr="005A11E4">
        <w:rPr>
          <w:rStyle w:val="af7"/>
          <w:rFonts w:eastAsia="Guttman Hodes" w:hint="cs"/>
          <w:rtl/>
        </w:rPr>
        <w:t>(סי' כ"ז או' ג' סוד"ה ויש)</w:t>
      </w:r>
      <w:r>
        <w:rPr>
          <w:rFonts w:hint="cs"/>
          <w:rtl/>
        </w:rPr>
        <w:t xml:space="preserve"> </w:t>
      </w:r>
      <w:r w:rsidRPr="0028317A">
        <w:rPr>
          <w:rStyle w:val="af9"/>
          <w:rFonts w:hint="cs"/>
          <w:rtl/>
        </w:rPr>
        <w:t xml:space="preserve">ובחו"ש הגרב"ב </w:t>
      </w:r>
      <w:r w:rsidRPr="005A11E4">
        <w:rPr>
          <w:rStyle w:val="af7"/>
          <w:rFonts w:eastAsia="Guttman Hodes" w:hint="cs"/>
          <w:rtl/>
        </w:rPr>
        <w:t>(ח"א סי' ח' ד"ה וכ"ז)</w:t>
      </w:r>
      <w:r>
        <w:rPr>
          <w:rFonts w:hint="cs"/>
          <w:rtl/>
        </w:rPr>
        <w:t xml:space="preserve"> דלהולכי אושא הבינה הגמ' בהו"א דכיון דבחזקת ג"ש נעשה המחזיק למוחזק, א"כ החזקה עצמה היא הראיה שקנה את הקרקע, ולכן א"צ להוכיח שדר בה אותו פלוני חד יומא, דחשיב כחזקה שיש בה טענה, דהמחזיק בעצמו נחשב הלוקח, וכעי"ז כתב </w:t>
      </w:r>
      <w:r w:rsidRPr="0028317A">
        <w:rPr>
          <w:rStyle w:val="af9"/>
          <w:rFonts w:hint="cs"/>
          <w:rtl/>
        </w:rPr>
        <w:t xml:space="preserve">בחי' רבי שמואל </w:t>
      </w:r>
      <w:r w:rsidRPr="005A11E4">
        <w:rPr>
          <w:rStyle w:val="af7"/>
          <w:rFonts w:eastAsia="Guttman Hodes" w:hint="cs"/>
          <w:rtl/>
        </w:rPr>
        <w:t>(סי' כ"ב או' ד')</w:t>
      </w:r>
      <w:r>
        <w:rPr>
          <w:rFonts w:hint="cs"/>
          <w:rtl/>
        </w:rPr>
        <w:t>.</w:t>
      </w:r>
    </w:p>
    <w:p w:rsidR="00900B10" w:rsidRDefault="00900B10" w:rsidP="00900B10">
      <w:pPr>
        <w:pStyle w:val="1"/>
        <w:rPr>
          <w:rtl/>
        </w:rPr>
      </w:pPr>
      <w:bookmarkStart w:id="2996" w:name="_Toc55073060"/>
      <w:bookmarkStart w:id="2997" w:name="_Toc55073257"/>
      <w:bookmarkStart w:id="2998" w:name="_Toc55073668"/>
      <w:bookmarkStart w:id="2999" w:name="_Toc55074222"/>
      <w:bookmarkStart w:id="3000" w:name="_Toc55073065"/>
      <w:bookmarkStart w:id="3001" w:name="_Toc55073262"/>
      <w:bookmarkStart w:id="3002" w:name="_Toc55073673"/>
      <w:r>
        <w:rPr>
          <w:rFonts w:hint="cs"/>
          <w:rtl/>
        </w:rPr>
        <w:t>ביאור הגרב"ב בתוס'</w:t>
      </w:r>
      <w:bookmarkEnd w:id="2996"/>
      <w:bookmarkEnd w:id="2997"/>
      <w:bookmarkEnd w:id="2998"/>
      <w:r>
        <w:rPr>
          <w:rFonts w:hint="cs"/>
          <w:rtl/>
        </w:rPr>
        <w:t xml:space="preserve"> דמוחזק להולכי אושא עדיף ממטלטלין</w:t>
      </w:r>
      <w:bookmarkEnd w:id="2999"/>
    </w:p>
    <w:p w:rsidR="00900B10" w:rsidRDefault="00900B10" w:rsidP="00900B10">
      <w:pPr>
        <w:pStyle w:val="a3"/>
        <w:rPr>
          <w:rtl/>
        </w:rPr>
      </w:pPr>
      <w:bookmarkStart w:id="3003" w:name="_Toc55074223"/>
      <w:r>
        <w:rPr>
          <w:rFonts w:hint="cs"/>
          <w:rtl/>
        </w:rPr>
        <w:t>דברי הגרב"ב דלהו"א חזקת ג"ש עדיפא מחזקת מטלטלין דאין בהם ריעותא בחזקת המר"ק</w:t>
      </w:r>
      <w:bookmarkEnd w:id="3000"/>
      <w:bookmarkEnd w:id="3001"/>
      <w:bookmarkEnd w:id="3002"/>
      <w:bookmarkEnd w:id="3003"/>
    </w:p>
    <w:p w:rsidR="00900B10" w:rsidRDefault="00900B10" w:rsidP="007E4E81">
      <w:pPr>
        <w:pStyle w:val="a0"/>
        <w:rPr>
          <w:rtl/>
        </w:rPr>
      </w:pPr>
      <w:r>
        <w:rPr>
          <w:rFonts w:hint="cs"/>
          <w:rtl/>
        </w:rPr>
        <w:t xml:space="preserve">וכתב </w:t>
      </w:r>
      <w:r w:rsidRPr="0028317A">
        <w:rPr>
          <w:rStyle w:val="af9"/>
          <w:rFonts w:hint="cs"/>
          <w:rtl/>
        </w:rPr>
        <w:t xml:space="preserve">בחו"ש הגרב"ב </w:t>
      </w:r>
      <w:r w:rsidRPr="005A11E4">
        <w:rPr>
          <w:rStyle w:val="af7"/>
          <w:rFonts w:eastAsia="Guttman Hodes" w:hint="cs"/>
          <w:rtl/>
        </w:rPr>
        <w:t xml:space="preserve">(ח"א סי' ח' ד"ה וגם) </w:t>
      </w:r>
      <w:r>
        <w:rPr>
          <w:rFonts w:hint="cs"/>
          <w:rtl/>
        </w:rPr>
        <w:t>דלפי"ז חזקת ג"ש להולכי אושא עדיפא להו"א בגמ' מחזקת מטלטלין, כיון דבמטלטלין כל החזקה היא דהתפיסה היא ראיה דהם שלו, אך אין כל ריעותא בחזקת המרא קמא, והוא טוען טענת לקוח שקנה מאותו פלוני, ולכן הוא צריך לטעון טענה שנראה את אותו פלוני כמוכר בקרקע, והתפוס קנה ממנו, אבל בחזקת ג"ש דיצאה הקרקע מחזקת המרא קמא, סברה הגמ' בהו"א דלא יצטרך לטעון שדר בה אותו פלוני חד יומא, דהוא מוחזק לגמרי ואין כנגדו מרא קמא, ולא חשיב דהוא טוען טענת לקוח, שצריך לטעון טענה</w:t>
      </w:r>
      <w:r w:rsidRPr="009D2BB0">
        <w:rPr>
          <w:rFonts w:hint="cs"/>
          <w:rtl/>
        </w:rPr>
        <w:t xml:space="preserve"> </w:t>
      </w:r>
      <w:r>
        <w:rPr>
          <w:rFonts w:hint="cs"/>
          <w:rtl/>
        </w:rPr>
        <w:t>שנראה את אותו פלוני כמוכר בקרקע, אלא חשיב שהוא טוען שהקרקע שלו, וא"צ להביא טענה ממי קנה.</w:t>
      </w:r>
      <w:r w:rsidRPr="00EF73ED">
        <w:rPr>
          <w:rStyle w:val="afb"/>
          <w:rFonts w:hint="cs"/>
          <w:rtl/>
        </w:rPr>
        <w:t xml:space="preserve"> </w:t>
      </w:r>
      <w:r w:rsidRPr="00266653">
        <w:rPr>
          <w:rStyle w:val="afb"/>
          <w:rFonts w:hint="cs"/>
          <w:rtl/>
        </w:rPr>
        <w:t>[</w:t>
      </w:r>
      <w:r>
        <w:rPr>
          <w:rStyle w:val="afb"/>
          <w:rFonts w:hint="cs"/>
          <w:rtl/>
        </w:rPr>
        <w:t>וע"ע</w:t>
      </w:r>
      <w:r w:rsidRPr="00266653">
        <w:rPr>
          <w:rStyle w:val="afb"/>
          <w:rFonts w:hint="cs"/>
          <w:rtl/>
        </w:rPr>
        <w:t xml:space="preserve"> </w:t>
      </w:r>
      <w:r w:rsidRPr="003B673F">
        <w:rPr>
          <w:rStyle w:val="affa"/>
          <w:rFonts w:hint="cs"/>
          <w:rtl/>
        </w:rPr>
        <w:t>בהערה על הברכ"ש</w:t>
      </w:r>
      <w:r w:rsidRPr="00EF73ED">
        <w:rPr>
          <w:rStyle w:val="afb"/>
          <w:rFonts w:hint="cs"/>
          <w:rtl/>
        </w:rPr>
        <w:t xml:space="preserve"> </w:t>
      </w:r>
      <w:r w:rsidRPr="003B673F">
        <w:rPr>
          <w:rStyle w:val="aff6"/>
          <w:rFonts w:hint="cs"/>
          <w:rtl/>
        </w:rPr>
        <w:t>(סי' כ"ז או' ד')</w:t>
      </w:r>
      <w:r>
        <w:rPr>
          <w:rStyle w:val="afb"/>
          <w:rFonts w:hint="cs"/>
          <w:rtl/>
        </w:rPr>
        <w:t>].</w:t>
      </w:r>
      <w:r>
        <w:rPr>
          <w:rFonts w:hint="cs"/>
          <w:rtl/>
        </w:rPr>
        <w:t xml:space="preserve"> </w:t>
      </w:r>
    </w:p>
    <w:p w:rsidR="00900B10" w:rsidRPr="00F1178E" w:rsidRDefault="00900B10" w:rsidP="00900B10">
      <w:pPr>
        <w:pStyle w:val="a3"/>
        <w:rPr>
          <w:rtl/>
        </w:rPr>
      </w:pPr>
      <w:bookmarkStart w:id="3004" w:name="_Toc55073066"/>
      <w:bookmarkStart w:id="3005" w:name="_Toc55073263"/>
      <w:bookmarkStart w:id="3006" w:name="_Toc55073674"/>
      <w:bookmarkStart w:id="3007" w:name="_Toc55074224"/>
      <w:r>
        <w:rPr>
          <w:rFonts w:hint="cs"/>
          <w:rtl/>
        </w:rPr>
        <w:t>ביאור הברכ"ש בתי' הגמ' דהוא נעשה מוחזק רק מכח הטענה ובלא חד יומא אין טענה וחזקה</w:t>
      </w:r>
      <w:bookmarkEnd w:id="3004"/>
      <w:bookmarkEnd w:id="3005"/>
      <w:bookmarkEnd w:id="3006"/>
      <w:bookmarkEnd w:id="3007"/>
    </w:p>
    <w:p w:rsidR="00900B10" w:rsidRDefault="00900B10" w:rsidP="007E4E81">
      <w:pPr>
        <w:pStyle w:val="a0"/>
        <w:rPr>
          <w:rtl/>
        </w:rPr>
      </w:pPr>
      <w:r>
        <w:rPr>
          <w:rFonts w:hint="cs"/>
          <w:rtl/>
        </w:rPr>
        <w:t xml:space="preserve">וכתב </w:t>
      </w:r>
      <w:r w:rsidRPr="005A11E4">
        <w:rPr>
          <w:rStyle w:val="af9"/>
          <w:rFonts w:hint="cs"/>
          <w:rtl/>
        </w:rPr>
        <w:t>בברכ"ש</w:t>
      </w:r>
      <w:r>
        <w:rPr>
          <w:rFonts w:hint="cs"/>
          <w:rtl/>
        </w:rPr>
        <w:t xml:space="preserve"> </w:t>
      </w:r>
      <w:r w:rsidRPr="005A11E4">
        <w:rPr>
          <w:rStyle w:val="af7"/>
          <w:rFonts w:eastAsia="Guttman Hodes" w:hint="cs"/>
          <w:rtl/>
        </w:rPr>
        <w:t>(סי' כ"ז או' ג' סוד"ה ויש)</w:t>
      </w:r>
      <w:r>
        <w:rPr>
          <w:rFonts w:hint="cs"/>
          <w:rtl/>
        </w:rPr>
        <w:t xml:space="preserve"> </w:t>
      </w:r>
      <w:r w:rsidRPr="005A11E4">
        <w:rPr>
          <w:rStyle w:val="af9"/>
          <w:rFonts w:hint="cs"/>
          <w:rtl/>
        </w:rPr>
        <w:t>ובחו"ש הגרב"ב</w:t>
      </w:r>
      <w:r>
        <w:rPr>
          <w:rFonts w:hint="cs"/>
          <w:rtl/>
        </w:rPr>
        <w:t xml:space="preserve"> </w:t>
      </w:r>
      <w:r w:rsidRPr="005A11E4">
        <w:rPr>
          <w:rStyle w:val="af7"/>
          <w:rFonts w:eastAsia="Guttman Hodes" w:hint="cs"/>
          <w:rtl/>
        </w:rPr>
        <w:t xml:space="preserve">(ח"א סי' ח' ד"ה וגם) </w:t>
      </w:r>
      <w:r>
        <w:rPr>
          <w:rFonts w:hint="cs"/>
          <w:rtl/>
        </w:rPr>
        <w:t>דתירצה הגמ' דאף להולכי אושא דהוא נעשה מוחזק בקרקע, היינו דוקא מכח הטענה, וא"כ עדיין הוא צריך להוכיח שדר בה אותו פלוני חד יומא, דנעשה בזה אותו פלוני כמוכר, ועי"ז יש למחזיק חזקה עם טענה, ויוצאת הקרקע מחזקת המרא קמא, אבל אם אין לו עדים שדר בה אותו פלוני חד יומא, א"כ אין אנו רואים את המוכר בקרקע, והמחזיק אינו נחשב ללקוח, וממילא אין לו טענה לחזקתו ואינו נעשה למוחזק.</w:t>
      </w:r>
    </w:p>
    <w:p w:rsidR="00900B10" w:rsidRDefault="00900B10" w:rsidP="00900B10">
      <w:pPr>
        <w:pStyle w:val="1"/>
        <w:rPr>
          <w:rtl/>
        </w:rPr>
      </w:pPr>
      <w:bookmarkStart w:id="3008" w:name="_Toc54867256"/>
      <w:bookmarkStart w:id="3009" w:name="_Toc54868855"/>
      <w:bookmarkStart w:id="3010" w:name="_Toc54887774"/>
      <w:bookmarkStart w:id="3011" w:name="_Toc54891227"/>
      <w:bookmarkStart w:id="3012" w:name="_Toc54903522"/>
      <w:bookmarkStart w:id="3013" w:name="_Toc54948531"/>
      <w:bookmarkStart w:id="3014" w:name="_Toc54952143"/>
      <w:bookmarkStart w:id="3015" w:name="_Toc55073068"/>
      <w:bookmarkStart w:id="3016" w:name="_Toc55073265"/>
      <w:bookmarkStart w:id="3017" w:name="_Toc55073676"/>
      <w:bookmarkStart w:id="3018" w:name="_Toc55074226"/>
      <w:r>
        <w:rPr>
          <w:rFonts w:hint="cs"/>
          <w:rtl/>
        </w:rPr>
        <w:t>ביאור החזון יחזקאל</w:t>
      </w:r>
      <w:bookmarkEnd w:id="3008"/>
      <w:bookmarkEnd w:id="3009"/>
      <w:bookmarkEnd w:id="3010"/>
      <w:bookmarkEnd w:id="3011"/>
      <w:bookmarkEnd w:id="3012"/>
      <w:bookmarkEnd w:id="3013"/>
      <w:bookmarkEnd w:id="3014"/>
      <w:bookmarkEnd w:id="3015"/>
      <w:bookmarkEnd w:id="3016"/>
      <w:bookmarkEnd w:id="3017"/>
      <w:r>
        <w:rPr>
          <w:rFonts w:hint="cs"/>
          <w:rtl/>
        </w:rPr>
        <w:t xml:space="preserve"> בגי' דלפנינו דמנין ילפינן דמהני החזקה</w:t>
      </w:r>
      <w:bookmarkEnd w:id="3018"/>
    </w:p>
    <w:p w:rsidR="00900B10" w:rsidRDefault="00900B10" w:rsidP="00900B10">
      <w:pPr>
        <w:pStyle w:val="a3"/>
        <w:rPr>
          <w:rtl/>
        </w:rPr>
      </w:pPr>
      <w:bookmarkStart w:id="3019" w:name="_Toc55073069"/>
      <w:bookmarkStart w:id="3020" w:name="_Toc55073266"/>
      <w:bookmarkStart w:id="3021" w:name="_Toc55073677"/>
      <w:bookmarkStart w:id="3022" w:name="_Toc55074227"/>
      <w:r>
        <w:rPr>
          <w:rFonts w:hint="cs"/>
          <w:rtl/>
        </w:rPr>
        <w:t>ביאור החזון יחזקאל בגי' דלפנינו דילפינן משור שיש סיבה א' לכל הג' אכילות דקנה את הקרקע</w:t>
      </w:r>
      <w:bookmarkEnd w:id="3019"/>
      <w:bookmarkEnd w:id="3020"/>
      <w:bookmarkEnd w:id="3021"/>
      <w:bookmarkEnd w:id="3022"/>
    </w:p>
    <w:p w:rsidR="00900B10" w:rsidRDefault="00900B10" w:rsidP="007E4E81">
      <w:pPr>
        <w:pStyle w:val="a0"/>
        <w:rPr>
          <w:rFonts w:asciiTheme="minorHAnsi" w:hAnsiTheme="minorHAnsi"/>
        </w:rPr>
      </w:pPr>
      <w:bookmarkStart w:id="3023" w:name="_Ref54815808"/>
      <w:r>
        <w:rPr>
          <w:rFonts w:hint="cs"/>
          <w:rtl/>
        </w:rPr>
        <w:t xml:space="preserve">בהא דגרסו </w:t>
      </w:r>
      <w:r w:rsidRPr="0028317A">
        <w:rPr>
          <w:rStyle w:val="af9"/>
          <w:rFonts w:hint="cs"/>
          <w:rtl/>
        </w:rPr>
        <w:t xml:space="preserve">הראשונים והב"ח </w:t>
      </w:r>
      <w:r w:rsidRPr="005A11E4">
        <w:rPr>
          <w:rStyle w:val="af7"/>
          <w:rFonts w:eastAsia="Guttman Hodes" w:hint="cs"/>
          <w:rtl/>
        </w:rPr>
        <w:t xml:space="preserve">(עי' אות </w:t>
      </w:r>
      <w:r w:rsidRPr="005A11E4">
        <w:rPr>
          <w:rStyle w:val="af7"/>
          <w:rFonts w:eastAsia="Guttman Hodes"/>
          <w:rtl/>
        </w:rPr>
        <w:fldChar w:fldCharType="begin"/>
      </w:r>
      <w:r w:rsidRPr="005A11E4">
        <w:rPr>
          <w:rStyle w:val="af7"/>
          <w:rFonts w:eastAsia="Guttman Hodes"/>
          <w:rtl/>
        </w:rPr>
        <w:instrText xml:space="preserve"> </w:instrText>
      </w:r>
      <w:r w:rsidRPr="005A11E4">
        <w:rPr>
          <w:rStyle w:val="af7"/>
          <w:rFonts w:eastAsia="Guttman Hodes" w:hint="cs"/>
        </w:rPr>
        <w:instrText>REF</w:instrText>
      </w:r>
      <w:r w:rsidRPr="005A11E4">
        <w:rPr>
          <w:rStyle w:val="af7"/>
          <w:rFonts w:eastAsia="Guttman Hodes" w:hint="cs"/>
          <w:rtl/>
        </w:rPr>
        <w:instrText xml:space="preserve"> _</w:instrText>
      </w:r>
      <w:r w:rsidRPr="005A11E4">
        <w:rPr>
          <w:rStyle w:val="af7"/>
          <w:rFonts w:eastAsia="Guttman Hodes" w:hint="cs"/>
        </w:rPr>
        <w:instrText>Ref54815189 \r \h</w:instrText>
      </w:r>
      <w:r w:rsidRPr="005A11E4">
        <w:rPr>
          <w:rStyle w:val="af7"/>
          <w:rFonts w:eastAsia="Guttman Hodes"/>
          <w:rtl/>
        </w:rPr>
        <w:instrText xml:space="preserve"> </w:instrText>
      </w:r>
      <w:r w:rsidRPr="005A11E4">
        <w:rPr>
          <w:rStyle w:val="af7"/>
          <w:rFonts w:eastAsia="Guttman Hodes"/>
          <w:rtl/>
        </w:rPr>
      </w:r>
      <w:r w:rsidRPr="005A11E4">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5A11E4">
        <w:rPr>
          <w:rStyle w:val="af7"/>
          <w:rFonts w:eastAsia="Guttman Hodes"/>
          <w:rtl/>
        </w:rPr>
        <w:fldChar w:fldCharType="end"/>
      </w:r>
      <w:r>
        <w:rPr>
          <w:rFonts w:hint="cs"/>
          <w:rtl/>
        </w:rPr>
        <w:t xml:space="preserve"> דקושית הגמ' מנין לחזקת ג"ש היא דמהיכן ילפינן דהחזקה היא ג"ש, כתב</w:t>
      </w:r>
      <w:r w:rsidRPr="0028317A">
        <w:rPr>
          <w:rStyle w:val="af9"/>
          <w:rFonts w:hint="cs"/>
          <w:rtl/>
        </w:rPr>
        <w:t xml:space="preserve"> החזוון יחזקאל </w:t>
      </w:r>
      <w:r w:rsidRPr="005A11E4">
        <w:rPr>
          <w:rStyle w:val="af7"/>
          <w:rFonts w:eastAsia="Guttman Hodes" w:hint="cs"/>
          <w:rtl/>
        </w:rPr>
        <w:t>(השמטות פ"ב ה"א)</w:t>
      </w:r>
      <w:r>
        <w:rPr>
          <w:rFonts w:hint="cs"/>
          <w:rtl/>
        </w:rPr>
        <w:t xml:space="preserve"> דלפי הגירסא דלפנינו דקושית הגמ' היא מנין לחזקה ג"ש, אפשר לבאר דכוונת הגמ' להקשות דמנלן דבג"ש יש סיבה אחת לכל האכילות, דעי"ז נעשה כמוחזק, ותירצה הגמ' דילפינן משור המועד דלא תלינן כל נגיחה במקרה, אלא מחזיקים שיש סיבה אחת לכל הג' נגיחות דהשור הוא נגחן, וה"ה בחזקת ג"ש תלינן דכל הג' אכילות הם מחמת שהמחזיק קנה את הקרקע.</w:t>
      </w:r>
      <w:bookmarkEnd w:id="3023"/>
    </w:p>
    <w:p w:rsidR="00900B10" w:rsidRDefault="00900B10" w:rsidP="00900B10">
      <w:pPr>
        <w:pStyle w:val="a3"/>
      </w:pPr>
      <w:bookmarkStart w:id="3024" w:name="_Toc55073070"/>
      <w:bookmarkStart w:id="3025" w:name="_Toc55073267"/>
      <w:bookmarkStart w:id="3026" w:name="_Toc55073678"/>
      <w:bookmarkStart w:id="3027" w:name="_Toc55074228"/>
      <w:r>
        <w:rPr>
          <w:rFonts w:hint="cs"/>
          <w:rtl/>
        </w:rPr>
        <w:t>ביאור החזון יחזקאל בגי' דלפנינו דכיון שיש סיבה א' לאכילה מהני החזקה מצ"ע וא"צ טענה</w:t>
      </w:r>
      <w:bookmarkEnd w:id="3024"/>
      <w:bookmarkEnd w:id="3025"/>
      <w:bookmarkEnd w:id="3026"/>
      <w:bookmarkEnd w:id="3027"/>
    </w:p>
    <w:p w:rsidR="00900B10" w:rsidRPr="00DB5DC8" w:rsidRDefault="00900B10" w:rsidP="007E4E81">
      <w:pPr>
        <w:pStyle w:val="a0"/>
        <w:rPr>
          <w:rtl/>
        </w:rPr>
        <w:sectPr w:rsidR="00900B10" w:rsidRPr="00DB5DC8" w:rsidSect="005049E2">
          <w:footerReference w:type="default" r:id="rId40"/>
          <w:type w:val="continuous"/>
          <w:pgSz w:w="11906" w:h="16838"/>
          <w:pgMar w:top="720" w:right="720" w:bottom="720" w:left="720" w:header="283" w:footer="283" w:gutter="0"/>
          <w:cols w:num="2" w:space="567"/>
          <w:titlePg/>
          <w:bidi/>
          <w:rtlGutter/>
          <w:docGrid w:linePitch="299"/>
        </w:sectPr>
      </w:pPr>
      <w:r>
        <w:rPr>
          <w:rFonts w:hint="cs"/>
          <w:rtl/>
        </w:rPr>
        <w:t xml:space="preserve">וכתב </w:t>
      </w:r>
      <w:r w:rsidRPr="0028317A">
        <w:rPr>
          <w:rStyle w:val="af9"/>
          <w:rFonts w:hint="cs"/>
          <w:rtl/>
        </w:rPr>
        <w:t xml:space="preserve">החזון יחזקאל </w:t>
      </w:r>
      <w:r>
        <w:rPr>
          <w:rFonts w:hint="cs"/>
          <w:rtl/>
        </w:rPr>
        <w:t>דזהו הביאור בקושית הגמ' דתועיל חזקה בלא טענה, דכיון דילפינן שבג' פעולות שוות תלינן שיש להם סיבה אחת, א"כ החזקה מהני מצד עצמה, ולא מחמת הטענה, ותירצה הגמ' דהא דצריך חזקה בטענה, אינו מחמת דהחזקה היא מכח הטענה, אלא דבמקום שאינו טוען חזקה א"כ הוא מגרע את כח החזקה שלו, דאינו יודע מכח מה הוא מחזיק בה.</w:t>
      </w:r>
    </w:p>
    <w:p w:rsidR="00900B10" w:rsidRPr="003A6553" w:rsidRDefault="00900B10" w:rsidP="007E4E81">
      <w:pPr>
        <w:pStyle w:val="a0"/>
        <w:numPr>
          <w:ilvl w:val="0"/>
          <w:numId w:val="0"/>
        </w:numPr>
      </w:pPr>
    </w:p>
    <w:p w:rsidR="00900B10" w:rsidRDefault="00900B10" w:rsidP="007E4E81">
      <w:pPr>
        <w:pStyle w:val="a0"/>
        <w:numPr>
          <w:ilvl w:val="0"/>
          <w:numId w:val="0"/>
        </w:numPr>
        <w:rPr>
          <w:rtl/>
        </w:rPr>
        <w:sectPr w:rsidR="00900B10" w:rsidSect="005049E2">
          <w:type w:val="continuous"/>
          <w:pgSz w:w="11906" w:h="16838"/>
          <w:pgMar w:top="720" w:right="720" w:bottom="720" w:left="720" w:header="283" w:footer="283" w:gutter="0"/>
          <w:cols w:num="2" w:space="567"/>
          <w:titlePg/>
          <w:bidi/>
          <w:rtlGutter/>
          <w:docGrid w:linePitch="299"/>
        </w:sectPr>
      </w:pPr>
    </w:p>
    <w:p w:rsidR="007A505A" w:rsidRPr="001D1883" w:rsidRDefault="007A505A" w:rsidP="00455784">
      <w:pPr>
        <w:pStyle w:val="afd"/>
        <w:rPr>
          <w:rtl/>
        </w:rPr>
      </w:pPr>
      <w:bookmarkStart w:id="3028" w:name="_Toc54642625"/>
      <w:bookmarkStart w:id="3029" w:name="_Toc55127824"/>
      <w:bookmarkStart w:id="3030" w:name="_Toc55246074"/>
      <w:bookmarkStart w:id="3031" w:name="_Toc55325109"/>
      <w:bookmarkStart w:id="3032" w:name="_Toc55342022"/>
      <w:bookmarkStart w:id="3033" w:name="_Toc55342123"/>
      <w:bookmarkStart w:id="3034" w:name="_Toc55375207"/>
      <w:bookmarkStart w:id="3035" w:name="_Toc55386153"/>
      <w:bookmarkStart w:id="3036" w:name="_Toc55391069"/>
      <w:bookmarkStart w:id="3037" w:name="_Toc66209196"/>
      <w:r w:rsidRPr="001D1883">
        <w:rPr>
          <w:rFonts w:hint="cs"/>
          <w:rtl/>
        </w:rPr>
        <w:lastRenderedPageBreak/>
        <w:t>סימן</w:t>
      </w:r>
      <w:bookmarkEnd w:id="3028"/>
      <w:r w:rsidRPr="001D1883">
        <w:rPr>
          <w:rFonts w:hint="cs"/>
          <w:rtl/>
        </w:rPr>
        <w:t xml:space="preserve"> ד'</w:t>
      </w:r>
      <w:bookmarkEnd w:id="3029"/>
      <w:bookmarkEnd w:id="3030"/>
      <w:bookmarkEnd w:id="3031"/>
      <w:bookmarkEnd w:id="3032"/>
      <w:bookmarkEnd w:id="3033"/>
      <w:bookmarkEnd w:id="3034"/>
      <w:bookmarkEnd w:id="3035"/>
      <w:bookmarkEnd w:id="3036"/>
      <w:bookmarkEnd w:id="3037"/>
    </w:p>
    <w:p w:rsidR="007A505A" w:rsidRPr="001D1883" w:rsidRDefault="007A505A" w:rsidP="00455784">
      <w:pPr>
        <w:pStyle w:val="afd"/>
        <w:rPr>
          <w:rtl/>
        </w:rPr>
      </w:pPr>
      <w:bookmarkStart w:id="3038" w:name="_Toc55127825"/>
      <w:bookmarkStart w:id="3039" w:name="_Toc55246075"/>
      <w:bookmarkStart w:id="3040" w:name="_Toc55325110"/>
      <w:bookmarkStart w:id="3041" w:name="_Toc55342023"/>
      <w:bookmarkStart w:id="3042" w:name="_Toc55342124"/>
      <w:bookmarkStart w:id="3043" w:name="_Toc55375208"/>
      <w:bookmarkStart w:id="3044" w:name="_Toc55386154"/>
      <w:bookmarkStart w:id="3045" w:name="_Toc55391070"/>
      <w:bookmarkStart w:id="3046" w:name="_Toc66209197"/>
      <w:r w:rsidRPr="001D1883">
        <w:rPr>
          <w:rFonts w:hint="cs"/>
          <w:rtl/>
        </w:rPr>
        <w:t>סוגיא דהולכי אושא (ב')</w:t>
      </w:r>
      <w:bookmarkEnd w:id="3038"/>
      <w:bookmarkEnd w:id="3039"/>
      <w:bookmarkEnd w:id="3040"/>
      <w:bookmarkEnd w:id="3041"/>
      <w:bookmarkEnd w:id="3042"/>
      <w:bookmarkEnd w:id="3043"/>
      <w:bookmarkEnd w:id="3044"/>
      <w:bookmarkEnd w:id="3045"/>
      <w:bookmarkEnd w:id="3046"/>
    </w:p>
    <w:p w:rsidR="007A505A" w:rsidRPr="001D1883" w:rsidRDefault="007A505A" w:rsidP="00455784">
      <w:pPr>
        <w:pStyle w:val="afd"/>
        <w:rPr>
          <w:noProof/>
          <w:rtl/>
        </w:rPr>
      </w:pPr>
      <w:bookmarkStart w:id="3047" w:name="_Toc55127826"/>
      <w:bookmarkStart w:id="3048" w:name="_Toc55246076"/>
      <w:bookmarkStart w:id="3049" w:name="_Toc55325111"/>
      <w:bookmarkStart w:id="3050" w:name="_Toc55342024"/>
      <w:bookmarkStart w:id="3051" w:name="_Toc55342125"/>
      <w:bookmarkStart w:id="3052" w:name="_Toc55375209"/>
      <w:bookmarkStart w:id="3053" w:name="_Toc55386155"/>
      <w:bookmarkStart w:id="3054" w:name="_Toc55391071"/>
      <w:bookmarkStart w:id="3055" w:name="_Toc66209198"/>
      <w:r w:rsidRPr="001D1883">
        <w:rPr>
          <w:rFonts w:hint="cs"/>
          <w:noProof/>
          <w:rtl/>
        </w:rPr>
        <w:t>בדין מחאה וחזקה שלא בפניו</w:t>
      </w:r>
      <w:bookmarkEnd w:id="3047"/>
      <w:bookmarkEnd w:id="3048"/>
      <w:r w:rsidRPr="001D1883">
        <w:rPr>
          <w:rFonts w:hint="cs"/>
          <w:noProof/>
          <w:rtl/>
        </w:rPr>
        <w:t xml:space="preserve"> </w:t>
      </w:r>
      <w:bookmarkEnd w:id="3049"/>
      <w:bookmarkEnd w:id="3050"/>
      <w:bookmarkEnd w:id="3051"/>
      <w:r w:rsidRPr="00EC0C2F">
        <w:rPr>
          <w:noProof/>
          <w:rtl/>
        </w:rPr>
        <w:t>להולכי אושא ולרבנן</w:t>
      </w:r>
      <w:bookmarkEnd w:id="3052"/>
      <w:bookmarkEnd w:id="3053"/>
      <w:bookmarkEnd w:id="3054"/>
      <w:bookmarkEnd w:id="3055"/>
    </w:p>
    <w:p w:rsidR="007A505A" w:rsidRPr="001D1883" w:rsidRDefault="000B328B" w:rsidP="007A505A">
      <w:pPr>
        <w:pStyle w:val="2"/>
        <w:rPr>
          <w:rtl/>
        </w:rPr>
      </w:pPr>
      <w:r>
        <w:rPr>
          <w:rFonts w:hint="cs"/>
          <w:rtl/>
        </w:rPr>
        <w:t xml:space="preserve">~~~~~~~ תוכן הענינים ~~~~~~~ </w:t>
      </w:r>
    </w:p>
    <w:p w:rsidR="007A505A" w:rsidRPr="001D1883" w:rsidRDefault="007A505A" w:rsidP="0007171D">
      <w:pPr>
        <w:pStyle w:val="aff4"/>
        <w:rPr>
          <w:rtl/>
        </w:rPr>
        <w:sectPr w:rsidR="007A505A" w:rsidRPr="001D1883" w:rsidSect="007A505A">
          <w:headerReference w:type="default" r:id="rId41"/>
          <w:footerReference w:type="default" r:id="rId42"/>
          <w:headerReference w:type="first" r:id="rId43"/>
          <w:footerReference w:type="first" r:id="rId44"/>
          <w:pgSz w:w="11906" w:h="16838"/>
          <w:pgMar w:top="720" w:right="720" w:bottom="720" w:left="720" w:header="283" w:footer="283" w:gutter="0"/>
          <w:cols w:space="113"/>
          <w:bidi/>
          <w:rtlGutter/>
          <w:docGrid w:linePitch="299"/>
        </w:sectPr>
      </w:pPr>
    </w:p>
    <w:p w:rsidR="007A505A" w:rsidRDefault="007A505A" w:rsidP="007A505A">
      <w:pPr>
        <w:pStyle w:val="2"/>
        <w:rPr>
          <w:rFonts w:eastAsiaTheme="minorEastAsia" w:cstheme="minorBidi"/>
          <w:i/>
          <w:iCs/>
          <w:sz w:val="22"/>
          <w:szCs w:val="22"/>
          <w:rtl/>
        </w:rPr>
      </w:pPr>
      <w:r w:rsidRPr="001D1883">
        <w:rPr>
          <w:rFonts w:asciiTheme="minorHAnsi" w:eastAsiaTheme="minorHAnsi" w:hAnsiTheme="minorHAnsi" w:cstheme="minorHAnsi"/>
          <w:noProof w:val="0"/>
          <w:sz w:val="20"/>
          <w:szCs w:val="20"/>
          <w:rtl/>
        </w:rPr>
        <w:fldChar w:fldCharType="begin"/>
      </w:r>
      <w:r w:rsidRPr="001D1883">
        <w:rPr>
          <w:rtl/>
        </w:rPr>
        <w:instrText xml:space="preserve"> </w:instrText>
      </w:r>
      <w:r w:rsidRPr="001D1883">
        <w:instrText>TOC</w:instrText>
      </w:r>
      <w:r w:rsidRPr="001D1883">
        <w:rPr>
          <w:rtl/>
        </w:rPr>
        <w:instrText xml:space="preserve"> \</w:instrText>
      </w:r>
      <w:r w:rsidRPr="001D1883">
        <w:instrText>o "1-9" \n \p " " \z \t</w:instrText>
      </w:r>
      <w:r w:rsidRPr="001D1883">
        <w:rPr>
          <w:rtl/>
        </w:rPr>
        <w:instrText xml:space="preserve"> "כותרת 1,2,כות קט,3,כות מקטע,1" </w:instrText>
      </w:r>
      <w:r w:rsidRPr="001D1883">
        <w:rPr>
          <w:rFonts w:asciiTheme="minorHAnsi" w:eastAsiaTheme="minorHAnsi" w:hAnsiTheme="minorHAnsi" w:cstheme="minorHAnsi"/>
          <w:noProof w:val="0"/>
          <w:sz w:val="20"/>
          <w:szCs w:val="20"/>
          <w:rtl/>
        </w:rPr>
        <w:fldChar w:fldCharType="separate"/>
      </w:r>
      <w:r w:rsidR="006C4F47">
        <w:rPr>
          <w:rtl/>
        </w:rPr>
        <w:t>~~~~~~~ מראי מקומות וביאורים ~~~~~~~</w:t>
      </w:r>
    </w:p>
    <w:p w:rsidR="007A505A" w:rsidRDefault="007A505A" w:rsidP="007A505A">
      <w:pPr>
        <w:pStyle w:val="2"/>
        <w:rPr>
          <w:rFonts w:eastAsiaTheme="minorEastAsia" w:cstheme="minorBidi"/>
          <w:i/>
          <w:iCs/>
          <w:sz w:val="22"/>
          <w:szCs w:val="22"/>
          <w:rtl/>
        </w:rPr>
      </w:pPr>
      <w:r>
        <w:rPr>
          <w:rtl/>
        </w:rPr>
        <w:t>ביאור רש"י והרמב"ן בגדר המחאה</w:t>
      </w:r>
    </w:p>
    <w:p w:rsidR="007A505A" w:rsidRDefault="007A505A" w:rsidP="0007171D">
      <w:pPr>
        <w:pStyle w:val="aff4"/>
        <w:rPr>
          <w:rFonts w:eastAsiaTheme="minorEastAsia" w:cstheme="minorBidi"/>
          <w:i/>
          <w:iCs/>
          <w:noProof/>
          <w:sz w:val="22"/>
          <w:szCs w:val="22"/>
          <w:rtl/>
        </w:rPr>
      </w:pPr>
      <w:r>
        <w:rPr>
          <w:noProof/>
          <w:rtl/>
        </w:rPr>
        <w:t>ביאור הרמב"ן דרק להולכי אושא הו"א דצריך למחות בפניו</w:t>
      </w:r>
    </w:p>
    <w:p w:rsidR="007A505A" w:rsidRPr="007E4E81" w:rsidRDefault="007A505A" w:rsidP="00BA3263">
      <w:pPr>
        <w:pStyle w:val="a"/>
        <w:numPr>
          <w:ilvl w:val="0"/>
          <w:numId w:val="9"/>
        </w:numPr>
        <w:rPr>
          <w:rFonts w:eastAsiaTheme="minorEastAsia" w:cstheme="minorBidi"/>
          <w:sz w:val="22"/>
          <w:szCs w:val="22"/>
          <w:rtl/>
        </w:rPr>
      </w:pPr>
      <w:r>
        <w:rPr>
          <w:rtl/>
        </w:rPr>
        <w:t>דברי הרמב"ן דלולי הילפותא משור המועד אפש"ל דכשמחה שלא בפניו הקפיד ולא הוי חזקה</w:t>
      </w:r>
    </w:p>
    <w:p w:rsidR="007A505A" w:rsidRDefault="007A505A" w:rsidP="007E4E81">
      <w:pPr>
        <w:pStyle w:val="a"/>
        <w:rPr>
          <w:rFonts w:eastAsiaTheme="minorEastAsia" w:cstheme="minorBidi"/>
          <w:sz w:val="22"/>
          <w:szCs w:val="22"/>
          <w:rtl/>
        </w:rPr>
      </w:pPr>
      <w:r>
        <w:rPr>
          <w:rtl/>
        </w:rPr>
        <w:t>דברי הרמב"ן דלהולכי אושא קשה דכמו דבהעדאה צריך בפניו אף בחזקה רק בפניו יזהר בשטר</w:t>
      </w:r>
    </w:p>
    <w:p w:rsidR="007A505A" w:rsidRDefault="007A505A" w:rsidP="0007171D">
      <w:pPr>
        <w:pStyle w:val="aff4"/>
        <w:rPr>
          <w:rFonts w:eastAsiaTheme="minorEastAsia" w:cstheme="minorBidi"/>
          <w:i/>
          <w:iCs/>
          <w:noProof/>
          <w:sz w:val="22"/>
          <w:szCs w:val="22"/>
          <w:rtl/>
        </w:rPr>
      </w:pPr>
      <w:r>
        <w:rPr>
          <w:noProof/>
          <w:rtl/>
        </w:rPr>
        <w:t>דעת רש"י דמחאה היא התראה ודמי להעדאה בשור</w:t>
      </w:r>
    </w:p>
    <w:p w:rsidR="007A505A" w:rsidRDefault="007A505A" w:rsidP="007E4E81">
      <w:pPr>
        <w:pStyle w:val="a"/>
        <w:rPr>
          <w:rFonts w:eastAsiaTheme="minorEastAsia" w:cstheme="minorBidi"/>
          <w:sz w:val="22"/>
          <w:szCs w:val="22"/>
          <w:rtl/>
        </w:rPr>
      </w:pPr>
      <w:r>
        <w:rPr>
          <w:rtl/>
        </w:rPr>
        <w:t>דברי רש"י דהעדאה היא התראה שישמור שורו וצריך בפניו וה"ה במחאה דמתרה שישמור שטרו</w:t>
      </w:r>
    </w:p>
    <w:p w:rsidR="007A505A" w:rsidRDefault="007A505A" w:rsidP="0007171D">
      <w:pPr>
        <w:pStyle w:val="aff4"/>
        <w:rPr>
          <w:rFonts w:eastAsiaTheme="minorEastAsia" w:cstheme="minorBidi"/>
          <w:i/>
          <w:iCs/>
          <w:noProof/>
          <w:sz w:val="22"/>
          <w:szCs w:val="22"/>
          <w:rtl/>
        </w:rPr>
      </w:pPr>
      <w:r>
        <w:rPr>
          <w:noProof/>
          <w:rtl/>
        </w:rPr>
        <w:t>ביאור רש"י והרמב"ן דהעדאה בפניו שיוכל להכחיש את העדים</w:t>
      </w:r>
    </w:p>
    <w:p w:rsidR="007A505A" w:rsidRDefault="007A505A" w:rsidP="007E4E81">
      <w:pPr>
        <w:pStyle w:val="a"/>
        <w:rPr>
          <w:rFonts w:eastAsiaTheme="minorEastAsia" w:cstheme="minorBidi"/>
          <w:sz w:val="22"/>
          <w:szCs w:val="22"/>
          <w:rtl/>
        </w:rPr>
      </w:pPr>
      <w:r>
        <w:rPr>
          <w:rtl/>
        </w:rPr>
        <w:t>דברי רש"י דתי' הגמ' דבהעדאה צריך בפניו בכדי שיוכל להזים את העדים או להכחישם</w:t>
      </w:r>
    </w:p>
    <w:p w:rsidR="007A505A" w:rsidRDefault="007A505A" w:rsidP="007E4E81">
      <w:pPr>
        <w:pStyle w:val="a"/>
        <w:rPr>
          <w:rFonts w:eastAsiaTheme="minorEastAsia" w:cstheme="minorBidi"/>
          <w:sz w:val="22"/>
          <w:szCs w:val="22"/>
          <w:rtl/>
        </w:rPr>
      </w:pPr>
      <w:r>
        <w:rPr>
          <w:rtl/>
        </w:rPr>
        <w:t>דברי רש"י דמחאה ישמע המחזיק ע"י אחרים ויוכל להזהר בזכויותיו</w:t>
      </w:r>
    </w:p>
    <w:p w:rsidR="007A505A" w:rsidRDefault="007A505A" w:rsidP="007E4E81">
      <w:pPr>
        <w:pStyle w:val="a"/>
        <w:rPr>
          <w:rFonts w:eastAsiaTheme="minorEastAsia" w:cstheme="minorBidi"/>
          <w:sz w:val="22"/>
          <w:szCs w:val="22"/>
          <w:rtl/>
        </w:rPr>
      </w:pPr>
      <w:r>
        <w:rPr>
          <w:rtl/>
        </w:rPr>
        <w:t>ביאור החת"ס ברש"י דבהעדאה שלא בפניו נראה לו כשחוק דחושב שיוכל להכחיש את העדים</w:t>
      </w:r>
    </w:p>
    <w:p w:rsidR="007A505A" w:rsidRDefault="007A505A" w:rsidP="007E4E81">
      <w:pPr>
        <w:pStyle w:val="a"/>
        <w:rPr>
          <w:rFonts w:eastAsiaTheme="minorEastAsia" w:cstheme="minorBidi"/>
          <w:sz w:val="22"/>
          <w:szCs w:val="22"/>
          <w:rtl/>
        </w:rPr>
      </w:pPr>
      <w:r>
        <w:rPr>
          <w:rtl/>
        </w:rPr>
        <w:t>ביאור החת"ס ברש"י דבמחאה כיון שחושב שיכול לסתור את המחאה היה לו להזהר בשטרו</w:t>
      </w:r>
    </w:p>
    <w:p w:rsidR="007A505A" w:rsidRDefault="007A505A" w:rsidP="007A505A">
      <w:pPr>
        <w:pStyle w:val="2"/>
        <w:rPr>
          <w:rFonts w:eastAsiaTheme="minorEastAsia" w:cstheme="minorBidi"/>
          <w:i/>
          <w:iCs/>
          <w:sz w:val="22"/>
          <w:szCs w:val="22"/>
          <w:rtl/>
        </w:rPr>
      </w:pPr>
      <w:r>
        <w:rPr>
          <w:rtl/>
        </w:rPr>
        <w:t>דעת התוס' במחאה שלא בפניו</w:t>
      </w:r>
    </w:p>
    <w:p w:rsidR="007A505A" w:rsidRDefault="007A505A" w:rsidP="0007171D">
      <w:pPr>
        <w:pStyle w:val="aff4"/>
        <w:rPr>
          <w:rFonts w:eastAsiaTheme="minorEastAsia" w:cstheme="minorBidi"/>
          <w:i/>
          <w:iCs/>
          <w:noProof/>
          <w:sz w:val="22"/>
          <w:szCs w:val="22"/>
          <w:rtl/>
        </w:rPr>
      </w:pPr>
      <w:r>
        <w:rPr>
          <w:noProof/>
          <w:rtl/>
        </w:rPr>
        <w:t>ביאור התוס' דבהעדאה מוכח דל"מ קול וא"כ ה"ה במחאה</w:t>
      </w:r>
    </w:p>
    <w:p w:rsidR="007A505A" w:rsidRDefault="007A505A" w:rsidP="007E4E81">
      <w:pPr>
        <w:pStyle w:val="a"/>
        <w:rPr>
          <w:rFonts w:eastAsiaTheme="minorEastAsia" w:cstheme="minorBidi"/>
          <w:sz w:val="22"/>
          <w:szCs w:val="22"/>
          <w:rtl/>
        </w:rPr>
      </w:pPr>
      <w:r>
        <w:rPr>
          <w:rtl/>
        </w:rPr>
        <w:t>ביאור התוס' דכמו בהעדאה ל"מ הקול שישמע הבעלים ה"ה במחאה דלא ישמע המחזיק ממנה</w:t>
      </w:r>
    </w:p>
    <w:p w:rsidR="007A505A" w:rsidRDefault="007A505A" w:rsidP="0007171D">
      <w:pPr>
        <w:pStyle w:val="aff4"/>
        <w:rPr>
          <w:rFonts w:eastAsiaTheme="minorEastAsia" w:cstheme="minorBidi"/>
          <w:i/>
          <w:iCs/>
          <w:noProof/>
          <w:sz w:val="22"/>
          <w:szCs w:val="22"/>
          <w:rtl/>
        </w:rPr>
      </w:pPr>
      <w:r>
        <w:rPr>
          <w:noProof/>
          <w:rtl/>
        </w:rPr>
        <w:t>ביאור התוס' הרא"ש דהמחאה היא בכדי שלא יוחזק שתקן</w:t>
      </w:r>
    </w:p>
    <w:p w:rsidR="007A505A" w:rsidRDefault="007A505A" w:rsidP="007E4E81">
      <w:pPr>
        <w:pStyle w:val="a"/>
        <w:rPr>
          <w:rFonts w:eastAsiaTheme="minorEastAsia" w:cstheme="minorBidi"/>
          <w:sz w:val="22"/>
          <w:szCs w:val="22"/>
          <w:rtl/>
        </w:rPr>
      </w:pPr>
      <w:r>
        <w:rPr>
          <w:rtl/>
        </w:rPr>
        <w:t>ביאור התורא"ש דעיקר קושית הגמ' דכיון דל"מ מחאה ל"מ החזקה דאין המערער יכול למחות</w:t>
      </w:r>
    </w:p>
    <w:p w:rsidR="007A505A" w:rsidRDefault="007A505A" w:rsidP="007E4E81">
      <w:pPr>
        <w:pStyle w:val="a"/>
        <w:rPr>
          <w:rFonts w:eastAsiaTheme="minorEastAsia" w:cstheme="minorBidi"/>
          <w:sz w:val="22"/>
          <w:szCs w:val="22"/>
          <w:rtl/>
        </w:rPr>
      </w:pPr>
      <w:r>
        <w:rPr>
          <w:rtl/>
        </w:rPr>
        <w:t>דברי הריטב"א בשם ר"י דהמחאה והחזקה הם כדבר אחד וחשיב שמקשה הגמ' על החזקה</w:t>
      </w:r>
    </w:p>
    <w:p w:rsidR="007A505A" w:rsidRDefault="007A505A" w:rsidP="007E4E81">
      <w:pPr>
        <w:pStyle w:val="a"/>
        <w:rPr>
          <w:rFonts w:eastAsiaTheme="minorEastAsia" w:cstheme="minorBidi"/>
          <w:sz w:val="22"/>
          <w:szCs w:val="22"/>
          <w:rtl/>
        </w:rPr>
      </w:pPr>
      <w:r>
        <w:rPr>
          <w:rtl/>
        </w:rPr>
        <w:t>ביאור התורא"ש דעיקר ראיית החזקה היא מדלא מחה המערער ובאינו יכול למחות אין ראיה</w:t>
      </w:r>
    </w:p>
    <w:p w:rsidR="007A505A" w:rsidRDefault="007A505A" w:rsidP="007E4E81">
      <w:pPr>
        <w:pStyle w:val="a"/>
        <w:rPr>
          <w:rFonts w:eastAsiaTheme="minorEastAsia" w:cstheme="minorBidi"/>
          <w:sz w:val="22"/>
          <w:szCs w:val="22"/>
          <w:rtl/>
        </w:rPr>
      </w:pPr>
      <w:r>
        <w:rPr>
          <w:rtl/>
        </w:rPr>
        <w:t>דברי התוס' הרא"ש דמוכח בגמ' לקמן דהמערער א"צ לבא למקום של המחזיק ולמחות בפניו</w:t>
      </w:r>
    </w:p>
    <w:p w:rsidR="007A505A" w:rsidRDefault="007A505A" w:rsidP="0007171D">
      <w:pPr>
        <w:pStyle w:val="aff4"/>
        <w:rPr>
          <w:rFonts w:eastAsiaTheme="minorEastAsia" w:cstheme="minorBidi"/>
          <w:i/>
          <w:iCs/>
          <w:noProof/>
          <w:sz w:val="22"/>
          <w:szCs w:val="22"/>
          <w:rtl/>
        </w:rPr>
      </w:pPr>
      <w:r>
        <w:rPr>
          <w:noProof/>
          <w:rtl/>
        </w:rPr>
        <w:t>ביאור התוס' בקושית הגמ' מהעדאה למחאה</w:t>
      </w:r>
    </w:p>
    <w:p w:rsidR="007A505A" w:rsidRDefault="007A505A" w:rsidP="007E4E81">
      <w:pPr>
        <w:pStyle w:val="a"/>
        <w:rPr>
          <w:rFonts w:eastAsiaTheme="minorEastAsia" w:cstheme="minorBidi"/>
          <w:sz w:val="22"/>
          <w:szCs w:val="22"/>
          <w:rtl/>
        </w:rPr>
      </w:pPr>
      <w:r>
        <w:rPr>
          <w:rtl/>
        </w:rPr>
        <w:t>דברי התוס' דקושית הגמ' היא אף דהמחאה מבטלת את החזקה והעדאה מקיימת את החזקה</w:t>
      </w:r>
    </w:p>
    <w:p w:rsidR="007A505A" w:rsidRDefault="007A505A" w:rsidP="007E4E81">
      <w:pPr>
        <w:pStyle w:val="a"/>
        <w:rPr>
          <w:rFonts w:eastAsiaTheme="minorEastAsia" w:cstheme="minorBidi"/>
          <w:sz w:val="22"/>
          <w:szCs w:val="22"/>
          <w:rtl/>
        </w:rPr>
      </w:pPr>
      <w:r>
        <w:rPr>
          <w:rtl/>
        </w:rPr>
        <w:t>דברי התוס' והתורא"ש דנקטה הגמ' את הקושיה מהמחאה דלהו"א אין לה קול כהעדאה</w:t>
      </w:r>
    </w:p>
    <w:p w:rsidR="007A505A" w:rsidRDefault="007A505A" w:rsidP="007E4E81">
      <w:pPr>
        <w:pStyle w:val="a"/>
        <w:rPr>
          <w:rFonts w:eastAsiaTheme="minorEastAsia" w:cstheme="minorBidi"/>
          <w:sz w:val="22"/>
          <w:szCs w:val="22"/>
          <w:rtl/>
        </w:rPr>
      </w:pPr>
      <w:r>
        <w:rPr>
          <w:rtl/>
        </w:rPr>
        <w:t>דברי התוס' דאפשר להקשות אף בלא הילפותא משור המועד וניחא לגמ' להקשות מהילפותא</w:t>
      </w:r>
    </w:p>
    <w:p w:rsidR="007A505A" w:rsidRDefault="007A505A" w:rsidP="0007171D">
      <w:pPr>
        <w:pStyle w:val="aff4"/>
        <w:rPr>
          <w:rFonts w:eastAsiaTheme="minorEastAsia" w:cstheme="minorBidi"/>
          <w:i/>
          <w:iCs/>
          <w:noProof/>
          <w:sz w:val="22"/>
          <w:szCs w:val="22"/>
          <w:rtl/>
        </w:rPr>
      </w:pPr>
      <w:r>
        <w:rPr>
          <w:noProof/>
          <w:rtl/>
        </w:rPr>
        <w:t>ביאור התוס' דלמסקנא בהעדאה צריך בפניו מגזיה"כ</w:t>
      </w:r>
    </w:p>
    <w:p w:rsidR="007A505A" w:rsidRDefault="007A505A" w:rsidP="007E4E81">
      <w:pPr>
        <w:pStyle w:val="a"/>
        <w:rPr>
          <w:rFonts w:eastAsiaTheme="minorEastAsia" w:cstheme="minorBidi"/>
          <w:sz w:val="22"/>
          <w:szCs w:val="22"/>
          <w:rtl/>
        </w:rPr>
      </w:pPr>
      <w:r>
        <w:rPr>
          <w:rtl/>
        </w:rPr>
        <w:t>ביאור התוס' דלמסקנא אף בהעדאה יש קול כמחאה ומ"מ לא מהני שלא בפניו מגזיה"כ</w:t>
      </w:r>
    </w:p>
    <w:p w:rsidR="007A505A" w:rsidRDefault="007A505A" w:rsidP="007E4E81">
      <w:pPr>
        <w:pStyle w:val="a"/>
        <w:rPr>
          <w:rFonts w:eastAsiaTheme="minorEastAsia" w:cstheme="minorBidi"/>
          <w:sz w:val="22"/>
          <w:szCs w:val="22"/>
          <w:rtl/>
        </w:rPr>
      </w:pPr>
      <w:r>
        <w:rPr>
          <w:rtl/>
        </w:rPr>
        <w:t>הביאור הב' בריטב"א דלמסקנא אף להעדאה יש קול אלא שיש גזיה"כ דצריך להעיד בפניו</w:t>
      </w:r>
    </w:p>
    <w:p w:rsidR="007A505A" w:rsidRDefault="007A505A" w:rsidP="007E4E81">
      <w:pPr>
        <w:pStyle w:val="a"/>
        <w:rPr>
          <w:rFonts w:eastAsiaTheme="minorEastAsia" w:cstheme="minorBidi"/>
          <w:sz w:val="22"/>
          <w:szCs w:val="22"/>
          <w:rtl/>
        </w:rPr>
      </w:pPr>
      <w:r>
        <w:rPr>
          <w:rtl/>
        </w:rPr>
        <w:t>ביאור החת"ס בתוס' דאף בהעדאה אמרינן חברך חברא אית ליה ול"מ שלא בפניו מגזיה"כ</w:t>
      </w:r>
    </w:p>
    <w:p w:rsidR="007A505A" w:rsidRDefault="007A505A" w:rsidP="0007171D">
      <w:pPr>
        <w:pStyle w:val="aff4"/>
        <w:rPr>
          <w:rFonts w:eastAsiaTheme="minorEastAsia" w:cstheme="minorBidi"/>
          <w:i/>
          <w:iCs/>
          <w:noProof/>
          <w:sz w:val="22"/>
          <w:szCs w:val="22"/>
          <w:rtl/>
        </w:rPr>
      </w:pPr>
      <w:r>
        <w:rPr>
          <w:noProof/>
          <w:rtl/>
        </w:rPr>
        <w:t>דברי התוס' בקושית הגמ' לרבנן דלא תועיל מחאה שלא בפניו</w:t>
      </w:r>
    </w:p>
    <w:p w:rsidR="007A505A" w:rsidRDefault="007A505A" w:rsidP="007E4E81">
      <w:pPr>
        <w:pStyle w:val="a"/>
        <w:rPr>
          <w:rFonts w:eastAsiaTheme="minorEastAsia" w:cstheme="minorBidi"/>
          <w:sz w:val="22"/>
          <w:szCs w:val="22"/>
          <w:rtl/>
        </w:rPr>
      </w:pPr>
      <w:r>
        <w:rPr>
          <w:rtl/>
        </w:rPr>
        <w:t>ביאור התוס' לקמן דקושית הגמ' לרבנן דמחאה שלא בפניו ל"מ היא רק כשהם בעיר אחת</w:t>
      </w:r>
    </w:p>
    <w:p w:rsidR="007A505A" w:rsidRDefault="007A505A" w:rsidP="007E4E81">
      <w:pPr>
        <w:pStyle w:val="a"/>
        <w:rPr>
          <w:rFonts w:eastAsiaTheme="minorEastAsia" w:cstheme="minorBidi"/>
          <w:sz w:val="22"/>
          <w:szCs w:val="22"/>
          <w:rtl/>
        </w:rPr>
      </w:pPr>
      <w:r>
        <w:rPr>
          <w:rtl/>
        </w:rPr>
        <w:t>דברי התוס' לקמן דלרבנן כשאינם בעיר אחת אי מחאה ל"מ לא הוי חזקה דא"צ למחות בפניו</w:t>
      </w:r>
    </w:p>
    <w:p w:rsidR="007A505A" w:rsidRDefault="007A505A" w:rsidP="007A505A">
      <w:pPr>
        <w:pStyle w:val="2"/>
        <w:rPr>
          <w:rFonts w:eastAsiaTheme="minorEastAsia" w:cstheme="minorBidi"/>
          <w:i/>
          <w:iCs/>
          <w:sz w:val="22"/>
          <w:szCs w:val="22"/>
          <w:rtl/>
        </w:rPr>
      </w:pPr>
      <w:r>
        <w:rPr>
          <w:rtl/>
        </w:rPr>
        <w:t>ביאור המהרש"א בדעת התוס'</w:t>
      </w:r>
    </w:p>
    <w:p w:rsidR="007A505A" w:rsidRDefault="007A505A" w:rsidP="0007171D">
      <w:pPr>
        <w:pStyle w:val="aff4"/>
        <w:rPr>
          <w:rFonts w:eastAsiaTheme="minorEastAsia" w:cstheme="minorBidi"/>
          <w:i/>
          <w:iCs/>
          <w:noProof/>
          <w:sz w:val="22"/>
          <w:szCs w:val="22"/>
          <w:rtl/>
        </w:rPr>
      </w:pPr>
      <w:r>
        <w:rPr>
          <w:noProof/>
          <w:rtl/>
        </w:rPr>
        <w:t>קושית המהרש"א על התוס' דאי ל"מ מחאה הוי חזקה</w:t>
      </w:r>
    </w:p>
    <w:p w:rsidR="007A505A" w:rsidRDefault="007A505A" w:rsidP="007E4E81">
      <w:pPr>
        <w:pStyle w:val="a"/>
        <w:rPr>
          <w:rFonts w:eastAsiaTheme="minorEastAsia" w:cstheme="minorBidi"/>
          <w:sz w:val="22"/>
          <w:szCs w:val="22"/>
          <w:rtl/>
        </w:rPr>
      </w:pPr>
      <w:r>
        <w:rPr>
          <w:rtl/>
        </w:rPr>
        <w:t>קושית המהרש"א על תוס' דאי למחאה אין קול היה למערער למחות בפניו</w:t>
      </w:r>
    </w:p>
    <w:p w:rsidR="007A505A" w:rsidRDefault="007A505A" w:rsidP="007E4E81">
      <w:pPr>
        <w:pStyle w:val="a"/>
        <w:rPr>
          <w:rFonts w:eastAsiaTheme="minorEastAsia" w:cstheme="minorBidi"/>
          <w:sz w:val="22"/>
          <w:szCs w:val="22"/>
          <w:rtl/>
        </w:rPr>
      </w:pPr>
      <w:r>
        <w:rPr>
          <w:rtl/>
        </w:rPr>
        <w:t>דברי המהרש"א דכן מבואר בתוס' בדעת רבנן דכל דלא הוי מחאה שלא בפניו הוי חזקה</w:t>
      </w:r>
    </w:p>
    <w:p w:rsidR="007A505A" w:rsidRDefault="007A505A" w:rsidP="0007171D">
      <w:pPr>
        <w:pStyle w:val="aff4"/>
        <w:rPr>
          <w:rFonts w:eastAsiaTheme="minorEastAsia" w:cstheme="minorBidi"/>
          <w:i/>
          <w:iCs/>
          <w:noProof/>
          <w:sz w:val="22"/>
          <w:szCs w:val="22"/>
          <w:rtl/>
        </w:rPr>
      </w:pPr>
      <w:r>
        <w:rPr>
          <w:noProof/>
          <w:rtl/>
        </w:rPr>
        <w:t>ביאור המהרש"א בתוס' דלרבנן איירי בעיר אחת והוי חזקה</w:t>
      </w:r>
    </w:p>
    <w:p w:rsidR="007A505A" w:rsidRDefault="007A505A" w:rsidP="007E4E81">
      <w:pPr>
        <w:pStyle w:val="a"/>
        <w:rPr>
          <w:rFonts w:eastAsiaTheme="minorEastAsia" w:cstheme="minorBidi"/>
          <w:sz w:val="22"/>
          <w:szCs w:val="22"/>
          <w:rtl/>
        </w:rPr>
      </w:pPr>
      <w:r>
        <w:rPr>
          <w:rtl/>
        </w:rPr>
        <w:t>ביאור המהרש"א דמדברי אביי משמע דקושית הגמ' לרבנן דהמחאה ל"מ והחזקה מהני</w:t>
      </w:r>
    </w:p>
    <w:p w:rsidR="007A505A" w:rsidRDefault="007A505A" w:rsidP="0007171D">
      <w:pPr>
        <w:pStyle w:val="aff4"/>
        <w:rPr>
          <w:rFonts w:eastAsiaTheme="minorEastAsia" w:cstheme="minorBidi"/>
          <w:i/>
          <w:iCs/>
          <w:noProof/>
          <w:sz w:val="22"/>
          <w:szCs w:val="22"/>
          <w:rtl/>
        </w:rPr>
      </w:pPr>
      <w:r>
        <w:rPr>
          <w:noProof/>
          <w:rtl/>
        </w:rPr>
        <w:t>ביאור המהרש"א בתוס' דהכא איירי בעיר אחרת ול"ה חזקה</w:t>
      </w:r>
    </w:p>
    <w:p w:rsidR="007A505A" w:rsidRDefault="007A505A" w:rsidP="007E4E81">
      <w:pPr>
        <w:pStyle w:val="a"/>
        <w:rPr>
          <w:rFonts w:eastAsiaTheme="minorEastAsia" w:cstheme="minorBidi"/>
          <w:sz w:val="22"/>
          <w:szCs w:val="22"/>
          <w:rtl/>
        </w:rPr>
      </w:pPr>
      <w:r>
        <w:rPr>
          <w:rtl/>
        </w:rPr>
        <w:t>ביאור המהרש"א דלהולכי אושא איירי כשאינם באותה העיר דלא היה לו למחות ול"ה חזקה</w:t>
      </w:r>
    </w:p>
    <w:p w:rsidR="007A505A" w:rsidRDefault="007A505A" w:rsidP="007E4E81">
      <w:pPr>
        <w:pStyle w:val="a"/>
        <w:rPr>
          <w:rFonts w:eastAsiaTheme="minorEastAsia" w:cstheme="minorBidi"/>
          <w:sz w:val="22"/>
          <w:szCs w:val="22"/>
          <w:rtl/>
        </w:rPr>
      </w:pPr>
      <w:r>
        <w:rPr>
          <w:rtl/>
        </w:rPr>
        <w:t>ביאור המהרש"א בתוס' דאפשר להקשות אף לדעת רבנן דלא תועיל המחאה ותועיל החזקה</w:t>
      </w:r>
    </w:p>
    <w:p w:rsidR="007A505A" w:rsidRDefault="007A505A" w:rsidP="007E4E81">
      <w:pPr>
        <w:pStyle w:val="a"/>
        <w:rPr>
          <w:rFonts w:eastAsiaTheme="minorEastAsia" w:cstheme="minorBidi"/>
          <w:sz w:val="22"/>
          <w:szCs w:val="22"/>
          <w:rtl/>
        </w:rPr>
      </w:pPr>
      <w:r>
        <w:rPr>
          <w:rtl/>
        </w:rPr>
        <w:t>ביאור המהרש"א בתוס' דמחאה ל"ד להעדאה ומ"מ מקשה הגמ' דבשניהם לא הוי חזקה</w:t>
      </w:r>
    </w:p>
    <w:p w:rsidR="007A505A" w:rsidRDefault="007A505A" w:rsidP="0007171D">
      <w:pPr>
        <w:pStyle w:val="aff4"/>
        <w:rPr>
          <w:rFonts w:eastAsiaTheme="minorEastAsia" w:cstheme="minorBidi"/>
          <w:i/>
          <w:iCs/>
          <w:noProof/>
          <w:sz w:val="22"/>
          <w:szCs w:val="22"/>
          <w:rtl/>
        </w:rPr>
      </w:pPr>
      <w:r>
        <w:rPr>
          <w:noProof/>
          <w:rtl/>
        </w:rPr>
        <w:t>דברי המהרש"א דא"א לומר דלתוס' המחאה לא שייכא לשטר</w:t>
      </w:r>
    </w:p>
    <w:p w:rsidR="007A505A" w:rsidRDefault="007A505A" w:rsidP="007E4E81">
      <w:pPr>
        <w:pStyle w:val="a"/>
        <w:rPr>
          <w:rFonts w:eastAsiaTheme="minorEastAsia" w:cstheme="minorBidi"/>
          <w:sz w:val="22"/>
          <w:szCs w:val="22"/>
          <w:rtl/>
        </w:rPr>
      </w:pPr>
      <w:r>
        <w:rPr>
          <w:rtl/>
        </w:rPr>
        <w:t>דברי המהרש"א דאפש"ל דרק לרבנן טוען המחזיק שהיה נזהר בשטרו דזהו טעם המחאה</w:t>
      </w:r>
    </w:p>
    <w:p w:rsidR="007A505A" w:rsidRDefault="007A505A" w:rsidP="007E4E81">
      <w:pPr>
        <w:pStyle w:val="a"/>
        <w:rPr>
          <w:rFonts w:eastAsiaTheme="minorEastAsia" w:cstheme="minorBidi"/>
          <w:sz w:val="22"/>
          <w:szCs w:val="22"/>
          <w:rtl/>
        </w:rPr>
      </w:pPr>
      <w:r>
        <w:rPr>
          <w:rtl/>
        </w:rPr>
        <w:t>דברי המהרש"א דלהולכי אושא אפש"ל דהמחאה היא לומר שמקפיד ואינה בכדי שישמור שטרו</w:t>
      </w:r>
    </w:p>
    <w:p w:rsidR="007A505A" w:rsidRDefault="007A505A" w:rsidP="007E4E81">
      <w:pPr>
        <w:pStyle w:val="a"/>
        <w:rPr>
          <w:rFonts w:eastAsiaTheme="minorEastAsia" w:cstheme="minorBidi"/>
          <w:sz w:val="22"/>
          <w:szCs w:val="22"/>
          <w:rtl/>
        </w:rPr>
      </w:pPr>
      <w:r>
        <w:rPr>
          <w:rtl/>
        </w:rPr>
        <w:t>דחיית המהרש"א דמהא דצריך מחאה בפניו מוכח דאף לתוס' היא בכדי שישמור את שטרו</w:t>
      </w:r>
    </w:p>
    <w:p w:rsidR="007A505A" w:rsidRDefault="007A505A" w:rsidP="0007171D">
      <w:pPr>
        <w:pStyle w:val="aff4"/>
        <w:rPr>
          <w:rFonts w:eastAsiaTheme="minorEastAsia" w:cstheme="minorBidi"/>
          <w:i/>
          <w:iCs/>
          <w:noProof/>
          <w:sz w:val="22"/>
          <w:szCs w:val="22"/>
          <w:rtl/>
        </w:rPr>
      </w:pPr>
      <w:r>
        <w:rPr>
          <w:noProof/>
          <w:rtl/>
        </w:rPr>
        <w:t>ביאור המהרש"א בתוס' דלכו"ע המחאה שישמור שטרו</w:t>
      </w:r>
    </w:p>
    <w:p w:rsidR="007A505A" w:rsidRDefault="007A505A" w:rsidP="007E4E81">
      <w:pPr>
        <w:pStyle w:val="a"/>
        <w:rPr>
          <w:rFonts w:eastAsiaTheme="minorEastAsia" w:cstheme="minorBidi"/>
          <w:sz w:val="22"/>
          <w:szCs w:val="22"/>
          <w:rtl/>
        </w:rPr>
      </w:pPr>
      <w:r>
        <w:rPr>
          <w:rtl/>
        </w:rPr>
        <w:t>דברי המהרש"א דלכו"ע המחאה בכדי שישמור את שטרו ולכן מחאה שלא בפניו לא מהני</w:t>
      </w:r>
    </w:p>
    <w:p w:rsidR="007A505A" w:rsidRDefault="007A505A" w:rsidP="007A505A">
      <w:pPr>
        <w:pStyle w:val="2"/>
        <w:rPr>
          <w:rFonts w:eastAsiaTheme="minorEastAsia" w:cstheme="minorBidi"/>
          <w:i/>
          <w:iCs/>
          <w:sz w:val="22"/>
          <w:szCs w:val="22"/>
          <w:rtl/>
        </w:rPr>
      </w:pPr>
      <w:r>
        <w:rPr>
          <w:rtl/>
        </w:rPr>
        <w:t>קושית הראשונים דל"מ חזקה שלא בפניו</w:t>
      </w:r>
    </w:p>
    <w:p w:rsidR="007A505A" w:rsidRDefault="007A505A" w:rsidP="0007171D">
      <w:pPr>
        <w:pStyle w:val="aff4"/>
        <w:rPr>
          <w:rFonts w:eastAsiaTheme="minorEastAsia" w:cstheme="minorBidi"/>
          <w:i/>
          <w:iCs/>
          <w:noProof/>
          <w:sz w:val="22"/>
          <w:szCs w:val="22"/>
          <w:rtl/>
        </w:rPr>
      </w:pPr>
      <w:r>
        <w:rPr>
          <w:noProof/>
          <w:rtl/>
        </w:rPr>
        <w:t>קושית הראשונים דהיה לגמ' להקשות דחזקה שלא בפניו ל"מ</w:t>
      </w:r>
    </w:p>
    <w:p w:rsidR="007A505A" w:rsidRDefault="007A505A" w:rsidP="007E4E81">
      <w:pPr>
        <w:pStyle w:val="a"/>
        <w:rPr>
          <w:rFonts w:eastAsiaTheme="minorEastAsia" w:cstheme="minorBidi"/>
          <w:sz w:val="22"/>
          <w:szCs w:val="22"/>
          <w:rtl/>
        </w:rPr>
      </w:pPr>
      <w:r>
        <w:rPr>
          <w:rtl/>
        </w:rPr>
        <w:t>קושית הבעה"מ והרמב"ן והתורא"ש דהילפותא היא לחזקה וא"כ קשה דחזקה שלא בפניו ל"מ</w:t>
      </w:r>
    </w:p>
    <w:p w:rsidR="007A505A" w:rsidRDefault="007A505A" w:rsidP="007E4E81">
      <w:pPr>
        <w:pStyle w:val="a"/>
        <w:rPr>
          <w:rFonts w:eastAsiaTheme="minorEastAsia" w:cstheme="minorBidi"/>
          <w:sz w:val="22"/>
          <w:szCs w:val="22"/>
          <w:rtl/>
        </w:rPr>
      </w:pPr>
      <w:r>
        <w:rPr>
          <w:rtl/>
        </w:rPr>
        <w:t>קושית רבינו יונה דהיה לגמ' להקשות דחזקה לא מהני עד שיעידו בפניו כמו בהעדאה</w:t>
      </w:r>
    </w:p>
    <w:p w:rsidR="007A505A" w:rsidRDefault="007A505A" w:rsidP="007E4E81">
      <w:pPr>
        <w:pStyle w:val="a"/>
        <w:rPr>
          <w:rFonts w:eastAsiaTheme="minorEastAsia" w:cstheme="minorBidi"/>
          <w:sz w:val="22"/>
          <w:szCs w:val="22"/>
          <w:rtl/>
        </w:rPr>
      </w:pPr>
      <w:r>
        <w:rPr>
          <w:rtl/>
        </w:rPr>
        <w:t>קושית הרשב"א והריטב"א דהעדאה דמיא לחזקה שמשנה את החזקה וא"כ ל"מ שלא בפניו</w:t>
      </w:r>
    </w:p>
    <w:p w:rsidR="007A505A" w:rsidRDefault="007A505A" w:rsidP="007A505A">
      <w:pPr>
        <w:pStyle w:val="2"/>
        <w:rPr>
          <w:rFonts w:eastAsiaTheme="minorEastAsia" w:cstheme="minorBidi"/>
          <w:i/>
          <w:iCs/>
          <w:sz w:val="22"/>
          <w:szCs w:val="22"/>
          <w:rtl/>
        </w:rPr>
      </w:pPr>
      <w:r>
        <w:rPr>
          <w:rtl/>
        </w:rPr>
        <w:t>ביאור התוס' דלא מהני המחאה והחזקה</w:t>
      </w:r>
    </w:p>
    <w:p w:rsidR="007A505A" w:rsidRDefault="007A505A" w:rsidP="0007171D">
      <w:pPr>
        <w:pStyle w:val="aff4"/>
        <w:rPr>
          <w:rFonts w:eastAsiaTheme="minorEastAsia" w:cstheme="minorBidi"/>
          <w:i/>
          <w:iCs/>
          <w:noProof/>
          <w:sz w:val="22"/>
          <w:szCs w:val="22"/>
          <w:rtl/>
        </w:rPr>
      </w:pPr>
      <w:r>
        <w:rPr>
          <w:noProof/>
          <w:rtl/>
        </w:rPr>
        <w:t>ביאור התוס' והבעה"מ והרשב"א דכיון דל"מ מחאה ל"מ החזקה</w:t>
      </w:r>
    </w:p>
    <w:p w:rsidR="007A505A" w:rsidRDefault="007A505A" w:rsidP="007E4E81">
      <w:pPr>
        <w:pStyle w:val="a"/>
        <w:rPr>
          <w:rFonts w:eastAsiaTheme="minorEastAsia" w:cstheme="minorBidi"/>
          <w:sz w:val="22"/>
          <w:szCs w:val="22"/>
          <w:rtl/>
        </w:rPr>
      </w:pPr>
      <w:r>
        <w:rPr>
          <w:rtl/>
        </w:rPr>
        <w:t>דברי התוס' והתורא"ש דקושית הגמ' דכיון דל"מ מחאה ממילא ל"מ חזקה שלא בפניו</w:t>
      </w:r>
    </w:p>
    <w:p w:rsidR="007A505A" w:rsidRDefault="007A505A" w:rsidP="007E4E81">
      <w:pPr>
        <w:pStyle w:val="a"/>
        <w:rPr>
          <w:rFonts w:eastAsiaTheme="minorEastAsia" w:cstheme="minorBidi"/>
          <w:sz w:val="22"/>
          <w:szCs w:val="22"/>
          <w:rtl/>
        </w:rPr>
      </w:pPr>
      <w:r>
        <w:rPr>
          <w:rtl/>
        </w:rPr>
        <w:t>תירוץ הבעה"מ דהגמ' מקשה ממחאה דהיא עיקר טעם החזקה וכשלא מהני המחאה אין חזקה</w:t>
      </w:r>
    </w:p>
    <w:p w:rsidR="007A505A" w:rsidRDefault="007A505A" w:rsidP="007E4E81">
      <w:pPr>
        <w:pStyle w:val="a"/>
        <w:rPr>
          <w:rFonts w:eastAsiaTheme="minorEastAsia" w:cstheme="minorBidi"/>
          <w:sz w:val="22"/>
          <w:szCs w:val="22"/>
          <w:rtl/>
        </w:rPr>
      </w:pPr>
      <w:r>
        <w:rPr>
          <w:rtl/>
        </w:rPr>
        <w:t>תירוץ הרשב"א דכוונת הגמ' להקשות דל"מ החזקה ואף בשיירות מצוייות א"צ למחות בפניו</w:t>
      </w:r>
    </w:p>
    <w:p w:rsidR="007A505A" w:rsidRDefault="007A505A" w:rsidP="007E4E81">
      <w:pPr>
        <w:pStyle w:val="a"/>
        <w:rPr>
          <w:rFonts w:eastAsiaTheme="minorEastAsia" w:cstheme="minorBidi"/>
          <w:sz w:val="22"/>
          <w:szCs w:val="22"/>
          <w:rtl/>
        </w:rPr>
      </w:pPr>
      <w:r>
        <w:rPr>
          <w:rtl/>
        </w:rPr>
        <w:t>קושית הרשב"א דמדברי אביי משמע דעדיף למחזיק שימחה שלא בפניו והא בכה"ג ל"ה חזקה</w:t>
      </w:r>
    </w:p>
    <w:p w:rsidR="007A505A" w:rsidRDefault="007A505A" w:rsidP="007E4E81">
      <w:pPr>
        <w:pStyle w:val="a"/>
        <w:rPr>
          <w:rFonts w:eastAsiaTheme="minorEastAsia" w:cstheme="minorBidi"/>
          <w:sz w:val="22"/>
          <w:szCs w:val="22"/>
          <w:rtl/>
        </w:rPr>
      </w:pPr>
      <w:r>
        <w:rPr>
          <w:rtl/>
        </w:rPr>
        <w:t>תירוץ הרשב"א דכוונת אביי להקשות דיצטרך המערער לבא ולמחות לפני המחזיק</w:t>
      </w:r>
    </w:p>
    <w:p w:rsidR="007A505A" w:rsidRDefault="007A505A" w:rsidP="0007171D">
      <w:pPr>
        <w:pStyle w:val="aff4"/>
        <w:rPr>
          <w:rFonts w:eastAsiaTheme="minorEastAsia" w:cstheme="minorBidi"/>
          <w:i/>
          <w:iCs/>
          <w:noProof/>
          <w:sz w:val="22"/>
          <w:szCs w:val="22"/>
          <w:rtl/>
        </w:rPr>
      </w:pPr>
      <w:r>
        <w:rPr>
          <w:noProof/>
          <w:rtl/>
        </w:rPr>
        <w:t>קושיות הרמב"ן במלחמות על תירוץ הבעה"מ</w:t>
      </w:r>
    </w:p>
    <w:p w:rsidR="007A505A" w:rsidRDefault="007A505A" w:rsidP="007E4E81">
      <w:pPr>
        <w:pStyle w:val="a"/>
        <w:rPr>
          <w:rFonts w:eastAsiaTheme="minorEastAsia" w:cstheme="minorBidi"/>
          <w:sz w:val="22"/>
          <w:szCs w:val="22"/>
          <w:rtl/>
        </w:rPr>
      </w:pPr>
      <w:r>
        <w:rPr>
          <w:rtl/>
        </w:rPr>
        <w:t>קושית הרמב"ן על הבעה"מ דבגמ' לקמן מוכח דאף דמחאה לא מהני מ"מ החזקה מהני</w:t>
      </w:r>
    </w:p>
    <w:p w:rsidR="007A505A" w:rsidRDefault="007A505A" w:rsidP="007E4E81">
      <w:pPr>
        <w:pStyle w:val="a"/>
        <w:rPr>
          <w:rFonts w:eastAsiaTheme="minorEastAsia" w:cstheme="minorBidi"/>
          <w:sz w:val="22"/>
          <w:szCs w:val="22"/>
          <w:rtl/>
        </w:rPr>
      </w:pPr>
      <w:r>
        <w:rPr>
          <w:rtl/>
        </w:rPr>
        <w:t>קושית הרמב"ן על הבעה"מ דאף דעיקר החזקה מחמת המחאה מ"מ העדאה לא דמי למחאה</w:t>
      </w:r>
    </w:p>
    <w:p w:rsidR="007A505A" w:rsidRDefault="007A505A" w:rsidP="007A505A">
      <w:pPr>
        <w:pStyle w:val="2"/>
        <w:rPr>
          <w:rFonts w:eastAsiaTheme="minorEastAsia" w:cstheme="minorBidi"/>
          <w:i/>
          <w:iCs/>
          <w:sz w:val="22"/>
          <w:szCs w:val="22"/>
          <w:rtl/>
        </w:rPr>
      </w:pPr>
      <w:r>
        <w:rPr>
          <w:rtl/>
        </w:rPr>
        <w:t>ביאור רש"י דמחאה דמיא להעדאה</w:t>
      </w:r>
    </w:p>
    <w:p w:rsidR="007A505A" w:rsidRDefault="007A505A" w:rsidP="0007171D">
      <w:pPr>
        <w:pStyle w:val="aff4"/>
        <w:rPr>
          <w:rFonts w:eastAsiaTheme="minorEastAsia" w:cstheme="minorBidi"/>
          <w:i/>
          <w:iCs/>
          <w:noProof/>
          <w:sz w:val="22"/>
          <w:szCs w:val="22"/>
          <w:rtl/>
        </w:rPr>
      </w:pPr>
      <w:r>
        <w:rPr>
          <w:noProof/>
          <w:rtl/>
        </w:rPr>
        <w:t>ביאור הרשב"א והריטב"א דרש"י תירץ דמחאה דמי להעדאה</w:t>
      </w:r>
    </w:p>
    <w:p w:rsidR="007A505A" w:rsidRDefault="007A505A" w:rsidP="007E4E81">
      <w:pPr>
        <w:pStyle w:val="a"/>
        <w:rPr>
          <w:rFonts w:eastAsiaTheme="minorEastAsia" w:cstheme="minorBidi"/>
          <w:sz w:val="22"/>
          <w:szCs w:val="22"/>
          <w:rtl/>
        </w:rPr>
      </w:pPr>
      <w:r>
        <w:rPr>
          <w:rtl/>
        </w:rPr>
        <w:t>ביאור הרשב"א והריטב"א דרש"י תירץ דהגמ' מקשה ממחאה דהיא התראה ודמי להעדאה</w:t>
      </w:r>
    </w:p>
    <w:p w:rsidR="007A505A" w:rsidRDefault="007A505A" w:rsidP="007E4E81">
      <w:pPr>
        <w:pStyle w:val="a"/>
        <w:rPr>
          <w:rFonts w:eastAsiaTheme="minorEastAsia" w:cstheme="minorBidi"/>
          <w:sz w:val="22"/>
          <w:szCs w:val="22"/>
          <w:rtl/>
        </w:rPr>
      </w:pPr>
      <w:r>
        <w:rPr>
          <w:rtl/>
        </w:rPr>
        <w:t>ביאור הר"ן ברש"י דהחזקה לא דמי להעדאה אלא לנגיחות עצמם שא"צ שינגח בפני הבעלים</w:t>
      </w:r>
    </w:p>
    <w:p w:rsidR="007A505A" w:rsidRDefault="007A505A" w:rsidP="0007171D">
      <w:pPr>
        <w:pStyle w:val="aff4"/>
        <w:rPr>
          <w:rFonts w:eastAsiaTheme="minorEastAsia" w:cstheme="minorBidi"/>
          <w:i/>
          <w:iCs/>
          <w:noProof/>
          <w:sz w:val="22"/>
          <w:szCs w:val="22"/>
          <w:rtl/>
        </w:rPr>
      </w:pPr>
      <w:r>
        <w:rPr>
          <w:noProof/>
          <w:rtl/>
        </w:rPr>
        <w:t>ביאור הריטב"א ברש"י דלכו"ע המחאה כדי שיזהר בשטרו</w:t>
      </w:r>
    </w:p>
    <w:p w:rsidR="007A505A" w:rsidRDefault="007A505A" w:rsidP="007E4E81">
      <w:pPr>
        <w:pStyle w:val="a"/>
        <w:rPr>
          <w:rFonts w:eastAsiaTheme="minorEastAsia" w:cstheme="minorBidi"/>
          <w:sz w:val="22"/>
          <w:szCs w:val="22"/>
          <w:rtl/>
        </w:rPr>
      </w:pPr>
      <w:r>
        <w:rPr>
          <w:rtl/>
        </w:rPr>
        <w:t>ביאור הריטב"א ברש"י דאף להולכי אושא המחאה שיזהר בשטרו וברבנן נתחדש רק טעם החזקה</w:t>
      </w:r>
    </w:p>
    <w:p w:rsidR="007A505A" w:rsidRDefault="007A505A" w:rsidP="0007171D">
      <w:pPr>
        <w:pStyle w:val="aff4"/>
        <w:rPr>
          <w:rFonts w:eastAsiaTheme="minorEastAsia" w:cstheme="minorBidi"/>
          <w:i/>
          <w:iCs/>
          <w:noProof/>
          <w:sz w:val="22"/>
          <w:szCs w:val="22"/>
          <w:rtl/>
        </w:rPr>
      </w:pPr>
      <w:r>
        <w:rPr>
          <w:noProof/>
          <w:rtl/>
        </w:rPr>
        <w:t>ביאור הר"ן ברש"י דחזקה לא מדין שטר אך הוא ריעותא בחזקה</w:t>
      </w:r>
    </w:p>
    <w:p w:rsidR="007A505A" w:rsidRDefault="007A505A" w:rsidP="007E4E81">
      <w:pPr>
        <w:pStyle w:val="a"/>
        <w:rPr>
          <w:rFonts w:eastAsiaTheme="minorEastAsia" w:cstheme="minorBidi"/>
          <w:sz w:val="22"/>
          <w:szCs w:val="22"/>
          <w:rtl/>
        </w:rPr>
      </w:pPr>
      <w:r>
        <w:rPr>
          <w:rtl/>
        </w:rPr>
        <w:t>ביאור הר"ן ברש"י דלהולכי אושא החזקה אינה מחמת השטר אך אחוי שטרך הוי ריעותא בחזקה</w:t>
      </w:r>
    </w:p>
    <w:p w:rsidR="007A505A" w:rsidRDefault="007A505A" w:rsidP="0007171D">
      <w:pPr>
        <w:pStyle w:val="aff4"/>
        <w:rPr>
          <w:rFonts w:eastAsiaTheme="minorEastAsia" w:cstheme="minorBidi"/>
          <w:i/>
          <w:iCs/>
          <w:noProof/>
          <w:sz w:val="22"/>
          <w:szCs w:val="22"/>
          <w:rtl/>
        </w:rPr>
      </w:pPr>
      <w:r>
        <w:rPr>
          <w:noProof/>
          <w:rtl/>
        </w:rPr>
        <w:t>ביאור הריטב"א ברש"י עפי"ד התוס' דממילא לא הוי חזקה</w:t>
      </w:r>
    </w:p>
    <w:p w:rsidR="007A505A" w:rsidRDefault="007A505A" w:rsidP="007E4E81">
      <w:pPr>
        <w:pStyle w:val="a"/>
        <w:rPr>
          <w:rFonts w:eastAsiaTheme="minorEastAsia" w:cstheme="minorBidi"/>
          <w:sz w:val="22"/>
          <w:szCs w:val="22"/>
          <w:rtl/>
        </w:rPr>
      </w:pPr>
      <w:r>
        <w:rPr>
          <w:rtl/>
        </w:rPr>
        <w:t>קושית הריטב"א על רש"י דאף דמחאה דמי להעדאה מ"מ הילפותא היא לחזקה ולא למחאה</w:t>
      </w:r>
    </w:p>
    <w:p w:rsidR="007A505A" w:rsidRDefault="007A505A" w:rsidP="007E4E81">
      <w:pPr>
        <w:pStyle w:val="a"/>
        <w:rPr>
          <w:rFonts w:eastAsiaTheme="minorEastAsia" w:cstheme="minorBidi"/>
          <w:sz w:val="22"/>
          <w:szCs w:val="22"/>
          <w:rtl/>
        </w:rPr>
      </w:pPr>
      <w:r>
        <w:rPr>
          <w:rtl/>
        </w:rPr>
        <w:t>ביאור הריטב"א ברש"י דהחזקה והמחאה כדבר אחד ומקשה הגמ' מהמחאה דדמי להעדאה</w:t>
      </w:r>
    </w:p>
    <w:p w:rsidR="007A505A" w:rsidRDefault="007A505A" w:rsidP="0007171D">
      <w:pPr>
        <w:pStyle w:val="aff4"/>
        <w:rPr>
          <w:rFonts w:eastAsiaTheme="minorEastAsia" w:cstheme="minorBidi"/>
          <w:i/>
          <w:iCs/>
          <w:noProof/>
          <w:sz w:val="22"/>
          <w:szCs w:val="22"/>
          <w:rtl/>
        </w:rPr>
      </w:pPr>
      <w:r>
        <w:rPr>
          <w:noProof/>
          <w:rtl/>
        </w:rPr>
        <w:t>דחיית התוס' הרא"ש את דעת רש"י דא"א להקשות מהמחאה</w:t>
      </w:r>
    </w:p>
    <w:p w:rsidR="007A505A" w:rsidRDefault="007A505A" w:rsidP="007E4E81">
      <w:pPr>
        <w:pStyle w:val="a"/>
        <w:rPr>
          <w:rFonts w:eastAsiaTheme="minorEastAsia" w:cstheme="minorBidi"/>
          <w:sz w:val="22"/>
          <w:szCs w:val="22"/>
          <w:rtl/>
        </w:rPr>
      </w:pPr>
      <w:r>
        <w:rPr>
          <w:rtl/>
        </w:rPr>
        <w:t>קושית התוס' הרא"ש דהמחאה באה להעמיד בחזקת המרא קמא ולכן א"צ למחות בפני המחזיק</w:t>
      </w:r>
    </w:p>
    <w:p w:rsidR="007A505A" w:rsidRDefault="007A505A" w:rsidP="007E4E81">
      <w:pPr>
        <w:pStyle w:val="a"/>
        <w:rPr>
          <w:rFonts w:eastAsiaTheme="minorEastAsia" w:cstheme="minorBidi"/>
          <w:sz w:val="22"/>
          <w:szCs w:val="22"/>
          <w:rtl/>
        </w:rPr>
      </w:pPr>
      <w:r>
        <w:rPr>
          <w:rtl/>
        </w:rPr>
        <w:t>קושית התוס' הרא"ש על רש"י דהיה לגמ' להקשות דחזקה לא תועיל שלא בפניו ולא ממחאה</w:t>
      </w:r>
    </w:p>
    <w:p w:rsidR="007A505A" w:rsidRDefault="007A505A" w:rsidP="007E4E81">
      <w:pPr>
        <w:pStyle w:val="a"/>
        <w:rPr>
          <w:rFonts w:eastAsiaTheme="minorEastAsia" w:cstheme="minorBidi"/>
          <w:sz w:val="22"/>
          <w:szCs w:val="22"/>
          <w:rtl/>
        </w:rPr>
      </w:pPr>
      <w:r>
        <w:rPr>
          <w:rtl/>
        </w:rPr>
        <w:t>דחיית התוס' הרא"ש דכוונת הגמ' להקשות דממילא לא מהני החזקה ולא מהמחאה עצמה</w:t>
      </w:r>
    </w:p>
    <w:p w:rsidR="007A505A" w:rsidRDefault="007A505A" w:rsidP="007A505A">
      <w:pPr>
        <w:pStyle w:val="2"/>
        <w:rPr>
          <w:rFonts w:eastAsiaTheme="minorEastAsia" w:cstheme="minorBidi"/>
          <w:i/>
          <w:iCs/>
          <w:sz w:val="22"/>
          <w:szCs w:val="22"/>
          <w:rtl/>
        </w:rPr>
      </w:pPr>
      <w:r>
        <w:rPr>
          <w:rtl/>
        </w:rPr>
        <w:t>תי' הרמב"ן בחילוק בין חזקה למחאה</w:t>
      </w:r>
    </w:p>
    <w:p w:rsidR="007A505A" w:rsidRDefault="007A505A" w:rsidP="0007171D">
      <w:pPr>
        <w:pStyle w:val="aff4"/>
        <w:rPr>
          <w:rFonts w:eastAsiaTheme="minorEastAsia" w:cstheme="minorBidi"/>
          <w:i/>
          <w:iCs/>
          <w:noProof/>
          <w:sz w:val="22"/>
          <w:szCs w:val="22"/>
          <w:rtl/>
        </w:rPr>
      </w:pPr>
      <w:r>
        <w:rPr>
          <w:noProof/>
          <w:rtl/>
        </w:rPr>
        <w:t>תירוץ הרמב"ן דבחזקה שלא שאל המערער התייאש מהקרקע</w:t>
      </w:r>
    </w:p>
    <w:p w:rsidR="007A505A" w:rsidRDefault="007A505A" w:rsidP="007E4E81">
      <w:pPr>
        <w:pStyle w:val="a"/>
        <w:rPr>
          <w:rFonts w:eastAsiaTheme="minorEastAsia" w:cstheme="minorBidi"/>
          <w:sz w:val="22"/>
          <w:szCs w:val="22"/>
          <w:rtl/>
        </w:rPr>
      </w:pPr>
      <w:r>
        <w:rPr>
          <w:rtl/>
        </w:rPr>
        <w:t>תירוץ הרמב"ן דחזקה שלא בפניו בזמן ארוך עבידא לאיגלויי ולא דמי להעדאה דצריך בפניו</w:t>
      </w:r>
    </w:p>
    <w:p w:rsidR="007A505A" w:rsidRDefault="007A505A" w:rsidP="007E4E81">
      <w:pPr>
        <w:pStyle w:val="a"/>
        <w:rPr>
          <w:rFonts w:eastAsiaTheme="minorEastAsia" w:cstheme="minorBidi"/>
          <w:sz w:val="22"/>
          <w:szCs w:val="22"/>
          <w:rtl/>
        </w:rPr>
      </w:pPr>
      <w:r>
        <w:rPr>
          <w:rtl/>
        </w:rPr>
        <w:t>ביאור הרמב"ן דבחזקה שלא בפניו כשלא שאל המר"ק על קרקעו התייאש ממנה ונכנסה ללוקח</w:t>
      </w:r>
    </w:p>
    <w:p w:rsidR="007A505A" w:rsidRDefault="007A505A" w:rsidP="007E4E81">
      <w:pPr>
        <w:pStyle w:val="a"/>
        <w:rPr>
          <w:rFonts w:eastAsiaTheme="minorEastAsia" w:cstheme="minorBidi"/>
          <w:sz w:val="22"/>
          <w:szCs w:val="22"/>
          <w:rtl/>
        </w:rPr>
      </w:pPr>
      <w:r>
        <w:rPr>
          <w:rtl/>
        </w:rPr>
        <w:t>ביאור הרמב"ן דבמחאה אין המחזיק שואל אם מחו בו וכן בהעדאה אינו שואל ולכן צריך בפניו</w:t>
      </w:r>
    </w:p>
    <w:p w:rsidR="007A505A" w:rsidRDefault="007A505A" w:rsidP="0007171D">
      <w:pPr>
        <w:pStyle w:val="aff4"/>
        <w:rPr>
          <w:rFonts w:eastAsiaTheme="minorEastAsia" w:cstheme="minorBidi"/>
          <w:i/>
          <w:iCs/>
          <w:noProof/>
          <w:sz w:val="22"/>
          <w:szCs w:val="22"/>
          <w:rtl/>
        </w:rPr>
      </w:pPr>
      <w:r>
        <w:rPr>
          <w:noProof/>
          <w:rtl/>
        </w:rPr>
        <w:t>ביאור הרמב"ן דאף אי ילפינן משור המחאה היא שיזהר בשטרו</w:t>
      </w:r>
    </w:p>
    <w:p w:rsidR="007A505A" w:rsidRDefault="007A505A" w:rsidP="007E4E81">
      <w:pPr>
        <w:pStyle w:val="a"/>
        <w:rPr>
          <w:rFonts w:eastAsiaTheme="minorEastAsia" w:cstheme="minorBidi"/>
          <w:sz w:val="22"/>
          <w:szCs w:val="22"/>
          <w:rtl/>
        </w:rPr>
      </w:pPr>
      <w:r>
        <w:rPr>
          <w:rtl/>
        </w:rPr>
        <w:t>קושית הרמב"ן דלהולכי אושא אין טעם החזקה מחמת השטר וא"כ אין המחאה שיזהר בשטרו</w:t>
      </w:r>
    </w:p>
    <w:p w:rsidR="007A505A" w:rsidRDefault="007A505A" w:rsidP="007E4E81">
      <w:pPr>
        <w:pStyle w:val="a"/>
        <w:rPr>
          <w:rFonts w:eastAsiaTheme="minorEastAsia" w:cstheme="minorBidi"/>
          <w:sz w:val="22"/>
          <w:szCs w:val="22"/>
          <w:rtl/>
        </w:rPr>
      </w:pPr>
      <w:r>
        <w:rPr>
          <w:rtl/>
        </w:rPr>
        <w:t>תירוץ הרמב"ן דאף להולכי אושא המחאה בכדי שיזהר בשטרו דאל"ה למאי מהני המחאה</w:t>
      </w:r>
    </w:p>
    <w:p w:rsidR="007A505A" w:rsidRDefault="007A505A" w:rsidP="007E4E81">
      <w:pPr>
        <w:pStyle w:val="a"/>
        <w:rPr>
          <w:rFonts w:eastAsiaTheme="minorEastAsia" w:cstheme="minorBidi"/>
          <w:sz w:val="22"/>
          <w:szCs w:val="22"/>
          <w:rtl/>
        </w:rPr>
      </w:pPr>
      <w:r>
        <w:rPr>
          <w:rtl/>
        </w:rPr>
        <w:t>ביאור הרמב"ן דבמחאה בתוך ג"ש צריך להזהר בשטרו דהא עדיין הקרקע בחזקת המר"ק</w:t>
      </w:r>
    </w:p>
    <w:p w:rsidR="007A505A" w:rsidRDefault="007A505A" w:rsidP="007E4E81">
      <w:pPr>
        <w:pStyle w:val="a"/>
        <w:rPr>
          <w:rFonts w:eastAsiaTheme="minorEastAsia" w:cstheme="minorBidi"/>
          <w:sz w:val="22"/>
          <w:szCs w:val="22"/>
          <w:rtl/>
        </w:rPr>
      </w:pPr>
      <w:r>
        <w:rPr>
          <w:rtl/>
        </w:rPr>
        <w:t>דברי הרשב"א דלהולכי אושא החזקה היא כיון שאין לו ראיה אחרת ולכן צריך להזהר בשטרו</w:t>
      </w:r>
    </w:p>
    <w:p w:rsidR="007A505A" w:rsidRDefault="007A505A" w:rsidP="007A505A">
      <w:pPr>
        <w:pStyle w:val="2"/>
        <w:rPr>
          <w:rFonts w:eastAsiaTheme="minorEastAsia" w:cstheme="minorBidi"/>
          <w:i/>
          <w:iCs/>
          <w:sz w:val="22"/>
          <w:szCs w:val="22"/>
          <w:rtl/>
        </w:rPr>
      </w:pPr>
      <w:r>
        <w:rPr>
          <w:rtl/>
        </w:rPr>
        <w:t>דעת רבינו יונה בחילוק בין חזקה למחאה</w:t>
      </w:r>
    </w:p>
    <w:p w:rsidR="007A505A" w:rsidRDefault="007A505A" w:rsidP="0007171D">
      <w:pPr>
        <w:pStyle w:val="aff4"/>
        <w:rPr>
          <w:rFonts w:eastAsiaTheme="minorEastAsia" w:cstheme="minorBidi"/>
          <w:i/>
          <w:iCs/>
          <w:noProof/>
          <w:sz w:val="22"/>
          <w:szCs w:val="22"/>
          <w:rtl/>
        </w:rPr>
      </w:pPr>
      <w:r>
        <w:rPr>
          <w:noProof/>
          <w:rtl/>
        </w:rPr>
        <w:t>דברי רבינו יונה דמחאה והעדאה אינם נשמעות וחזקה נשמעת</w:t>
      </w:r>
    </w:p>
    <w:p w:rsidR="007A505A" w:rsidRDefault="007A505A" w:rsidP="007E4E81">
      <w:pPr>
        <w:pStyle w:val="a"/>
        <w:rPr>
          <w:rFonts w:eastAsiaTheme="minorEastAsia" w:cstheme="minorBidi"/>
          <w:sz w:val="22"/>
          <w:szCs w:val="22"/>
          <w:rtl/>
        </w:rPr>
      </w:pPr>
      <w:r>
        <w:rPr>
          <w:rtl/>
        </w:rPr>
        <w:t>הביאור הב' ברב"י דבחזקה שלא בפניו המערער שומע ממנה אבל במחאה והעדאה אינו שומע</w:t>
      </w:r>
    </w:p>
    <w:p w:rsidR="007A505A" w:rsidRDefault="007A505A" w:rsidP="007E4E81">
      <w:pPr>
        <w:pStyle w:val="a"/>
        <w:rPr>
          <w:rFonts w:eastAsiaTheme="minorEastAsia" w:cstheme="minorBidi"/>
          <w:sz w:val="22"/>
          <w:szCs w:val="22"/>
          <w:rtl/>
        </w:rPr>
      </w:pPr>
      <w:r>
        <w:rPr>
          <w:rtl/>
        </w:rPr>
        <w:t>דברי הרשב"א דכיון דאין בעל השור שואל אם נגח לכן מהני העדאה רק בפניו שישמור שורו</w:t>
      </w:r>
    </w:p>
    <w:p w:rsidR="007A505A" w:rsidRDefault="007A505A" w:rsidP="007E4E81">
      <w:pPr>
        <w:pStyle w:val="a"/>
        <w:rPr>
          <w:rFonts w:eastAsiaTheme="minorEastAsia" w:cstheme="minorBidi"/>
          <w:sz w:val="22"/>
          <w:szCs w:val="22"/>
          <w:rtl/>
        </w:rPr>
      </w:pPr>
      <w:r>
        <w:rPr>
          <w:rtl/>
        </w:rPr>
        <w:t>ביאור רב"י בתי' הגמ' דחברך חברא אית ליה דבמחאה חביריו מודיעים לו בכדי שיזהר בשטרו</w:t>
      </w:r>
    </w:p>
    <w:p w:rsidR="007A505A" w:rsidRDefault="007A505A" w:rsidP="007E4E81">
      <w:pPr>
        <w:pStyle w:val="a"/>
        <w:rPr>
          <w:rFonts w:eastAsiaTheme="minorEastAsia" w:cstheme="minorBidi"/>
          <w:sz w:val="22"/>
          <w:szCs w:val="22"/>
          <w:rtl/>
        </w:rPr>
      </w:pPr>
      <w:r>
        <w:rPr>
          <w:rtl/>
        </w:rPr>
        <w:lastRenderedPageBreak/>
        <w:t>ביאור רב"י דבשור אין מודיעים לו שהועד דסוברים שנודע לו ועוד שלא ישלם נ"ש אם ידע</w:t>
      </w:r>
    </w:p>
    <w:p w:rsidR="007A505A" w:rsidRDefault="007A505A" w:rsidP="0007171D">
      <w:pPr>
        <w:pStyle w:val="aff4"/>
        <w:rPr>
          <w:rFonts w:eastAsiaTheme="minorEastAsia" w:cstheme="minorBidi"/>
          <w:i/>
          <w:iCs/>
          <w:noProof/>
          <w:sz w:val="22"/>
          <w:szCs w:val="22"/>
          <w:rtl/>
        </w:rPr>
      </w:pPr>
      <w:r>
        <w:rPr>
          <w:noProof/>
          <w:rtl/>
        </w:rPr>
        <w:t>ביאור הי"מ ברב"י דרק בהוצאת לעז של גזלנות יש קול</w:t>
      </w:r>
    </w:p>
    <w:p w:rsidR="007A505A" w:rsidRDefault="007A505A" w:rsidP="007E4E81">
      <w:pPr>
        <w:pStyle w:val="a"/>
        <w:rPr>
          <w:rFonts w:eastAsiaTheme="minorEastAsia" w:cstheme="minorBidi"/>
          <w:sz w:val="22"/>
          <w:szCs w:val="22"/>
          <w:rtl/>
        </w:rPr>
      </w:pPr>
      <w:r>
        <w:rPr>
          <w:rtl/>
        </w:rPr>
        <w:t>ביאור הי"מ ברב"י דבמחאה שמוציא לעז על גזלנות מודיעים לו משא"כ בהעדאה</w:t>
      </w:r>
    </w:p>
    <w:p w:rsidR="007A505A" w:rsidRDefault="007A505A" w:rsidP="007E4E81">
      <w:pPr>
        <w:pStyle w:val="a"/>
        <w:rPr>
          <w:rFonts w:eastAsiaTheme="minorEastAsia" w:cstheme="minorBidi"/>
          <w:sz w:val="22"/>
          <w:szCs w:val="22"/>
          <w:rtl/>
        </w:rPr>
      </w:pPr>
      <w:r>
        <w:rPr>
          <w:rtl/>
        </w:rPr>
        <w:t>דחיית רב"י דמחאה במשכנתא מהני אף שאינה לעז וכן מחאה שלא כדין ל"מ אף שהי אלעז</w:t>
      </w:r>
    </w:p>
    <w:p w:rsidR="007A505A" w:rsidRDefault="007A505A" w:rsidP="007A505A">
      <w:pPr>
        <w:pStyle w:val="2"/>
        <w:rPr>
          <w:rFonts w:eastAsiaTheme="minorEastAsia" w:cstheme="minorBidi"/>
          <w:i/>
          <w:iCs/>
          <w:sz w:val="22"/>
          <w:szCs w:val="22"/>
          <w:rtl/>
        </w:rPr>
      </w:pPr>
      <w:r>
        <w:rPr>
          <w:rtl/>
        </w:rPr>
        <w:t>בדיני מחאה שלא בפניו לדעת רבנן</w:t>
      </w:r>
    </w:p>
    <w:p w:rsidR="007A505A" w:rsidRDefault="007A505A" w:rsidP="0007171D">
      <w:pPr>
        <w:pStyle w:val="aff4"/>
        <w:rPr>
          <w:rFonts w:eastAsiaTheme="minorEastAsia" w:cstheme="minorBidi"/>
          <w:i/>
          <w:iCs/>
          <w:noProof/>
          <w:sz w:val="22"/>
          <w:szCs w:val="22"/>
          <w:rtl/>
        </w:rPr>
      </w:pPr>
      <w:r>
        <w:rPr>
          <w:noProof/>
          <w:rtl/>
        </w:rPr>
        <w:t>דברי הראשונים דמחאה מהני אף שלא שמע ממנה המחזיק</w:t>
      </w:r>
    </w:p>
    <w:p w:rsidR="007A505A" w:rsidRDefault="007A505A" w:rsidP="007E4E81">
      <w:pPr>
        <w:pStyle w:val="a"/>
        <w:rPr>
          <w:rFonts w:eastAsiaTheme="minorEastAsia" w:cstheme="minorBidi"/>
          <w:sz w:val="22"/>
          <w:szCs w:val="22"/>
          <w:rtl/>
        </w:rPr>
      </w:pPr>
      <w:r>
        <w:rPr>
          <w:rtl/>
        </w:rPr>
        <w:t>דברי רב"י דלרבנן מהני המחאה אף כשעידי המחאה לא סיפרו עליה לשום אדם</w:t>
      </w:r>
    </w:p>
    <w:p w:rsidR="007A505A" w:rsidRDefault="007A505A" w:rsidP="007E4E81">
      <w:pPr>
        <w:pStyle w:val="a"/>
        <w:rPr>
          <w:rFonts w:eastAsiaTheme="minorEastAsia" w:cstheme="minorBidi"/>
          <w:sz w:val="22"/>
          <w:szCs w:val="22"/>
          <w:rtl/>
        </w:rPr>
      </w:pPr>
      <w:r>
        <w:rPr>
          <w:rtl/>
        </w:rPr>
        <w:t>ביאור רב"י דמהני המחאה כיון שלא היה המערער צריך למחות בפניו וסמך שישמע מהמחאה</w:t>
      </w:r>
    </w:p>
    <w:p w:rsidR="007A505A" w:rsidRDefault="007A505A" w:rsidP="007E4E81">
      <w:pPr>
        <w:pStyle w:val="a"/>
        <w:rPr>
          <w:rFonts w:eastAsiaTheme="minorEastAsia" w:cstheme="minorBidi"/>
          <w:sz w:val="22"/>
          <w:szCs w:val="22"/>
          <w:rtl/>
        </w:rPr>
      </w:pPr>
      <w:r>
        <w:rPr>
          <w:rtl/>
        </w:rPr>
        <w:t>ביאור הנימוק"י ברב"י דהחזקה מהני מהראיה שלא מחה וכל שמחה אף שלא בפניו אין לו ראיה</w:t>
      </w:r>
    </w:p>
    <w:p w:rsidR="007A505A" w:rsidRDefault="007A505A" w:rsidP="007E4E81">
      <w:pPr>
        <w:pStyle w:val="a"/>
        <w:rPr>
          <w:rFonts w:eastAsiaTheme="minorEastAsia" w:cstheme="minorBidi"/>
          <w:sz w:val="22"/>
          <w:szCs w:val="22"/>
          <w:rtl/>
        </w:rPr>
      </w:pPr>
      <w:r>
        <w:rPr>
          <w:rtl/>
        </w:rPr>
        <w:t>ביאור הר"ן בתשו' דחזקה ל"מ מחמת ששמע המחזיק אלא דאם לא מחה ודאי שמכרה לו</w:t>
      </w:r>
    </w:p>
    <w:p w:rsidR="007A505A" w:rsidRDefault="007A505A" w:rsidP="007E4E81">
      <w:pPr>
        <w:pStyle w:val="a"/>
        <w:rPr>
          <w:rFonts w:eastAsiaTheme="minorEastAsia" w:cstheme="minorBidi"/>
          <w:sz w:val="22"/>
          <w:szCs w:val="22"/>
          <w:rtl/>
        </w:rPr>
      </w:pPr>
      <w:r>
        <w:rPr>
          <w:rtl/>
        </w:rPr>
        <w:t>ביארו הר"ן בתשו' דאף שלא שמע המחזיק מהמחאה מ"מ אין לו ראיה דשתק המערער</w:t>
      </w:r>
    </w:p>
    <w:p w:rsidR="007A505A" w:rsidRDefault="007A505A" w:rsidP="007E4E81">
      <w:pPr>
        <w:pStyle w:val="a"/>
        <w:rPr>
          <w:rFonts w:eastAsiaTheme="minorEastAsia" w:cstheme="minorBidi"/>
          <w:sz w:val="22"/>
          <w:szCs w:val="22"/>
          <w:rtl/>
        </w:rPr>
      </w:pPr>
      <w:r>
        <w:rPr>
          <w:rtl/>
        </w:rPr>
        <w:t>דברי הרא"ש דלרבנן מהני המחאה אף כשעידי המחאה לא סיפרו עליה לשום אדם דמחה כדינו</w:t>
      </w:r>
    </w:p>
    <w:p w:rsidR="007A505A" w:rsidRDefault="007A505A" w:rsidP="007E4E81">
      <w:pPr>
        <w:pStyle w:val="a"/>
        <w:rPr>
          <w:rFonts w:eastAsiaTheme="minorEastAsia" w:cstheme="minorBidi"/>
          <w:sz w:val="22"/>
          <w:szCs w:val="22"/>
          <w:rtl/>
        </w:rPr>
      </w:pPr>
      <w:r>
        <w:rPr>
          <w:rtl/>
        </w:rPr>
        <w:t>דברי התוס' לקמן דמחאה היא תקנ"ח ומהני אף בדבר מועט לבטל חזקה אף שלא שמע המחזיק</w:t>
      </w:r>
    </w:p>
    <w:p w:rsidR="007A505A" w:rsidRDefault="007A505A" w:rsidP="007E4E81">
      <w:pPr>
        <w:pStyle w:val="a"/>
        <w:rPr>
          <w:rFonts w:eastAsiaTheme="minorEastAsia" w:cstheme="minorBidi"/>
          <w:sz w:val="22"/>
          <w:szCs w:val="22"/>
          <w:rtl/>
        </w:rPr>
      </w:pPr>
      <w:r>
        <w:rPr>
          <w:rtl/>
        </w:rPr>
        <w:t>דברי הרשב"ם לקמן דהמערער א"צ לשלוח למחות בפני המחזיק וכל שמחה כדין בטלה החזקה</w:t>
      </w:r>
    </w:p>
    <w:p w:rsidR="007A505A" w:rsidRDefault="007A505A" w:rsidP="0007171D">
      <w:pPr>
        <w:pStyle w:val="aff4"/>
        <w:rPr>
          <w:rFonts w:eastAsiaTheme="minorEastAsia" w:cstheme="minorBidi"/>
          <w:i/>
          <w:iCs/>
          <w:noProof/>
          <w:sz w:val="22"/>
          <w:szCs w:val="22"/>
          <w:rtl/>
        </w:rPr>
      </w:pPr>
      <w:r>
        <w:rPr>
          <w:noProof/>
          <w:rtl/>
        </w:rPr>
        <w:t>דעת התורי"ד דלריו"ח כל שמחה ולא שתק אין אמתלא למחזיק</w:t>
      </w:r>
    </w:p>
    <w:p w:rsidR="007A505A" w:rsidRDefault="007A505A" w:rsidP="007E4E81">
      <w:pPr>
        <w:pStyle w:val="a"/>
        <w:rPr>
          <w:rFonts w:eastAsiaTheme="minorEastAsia" w:cstheme="minorBidi"/>
          <w:sz w:val="22"/>
          <w:szCs w:val="22"/>
          <w:rtl/>
        </w:rPr>
      </w:pPr>
      <w:r>
        <w:rPr>
          <w:rtl/>
        </w:rPr>
        <w:t>ביאור התורי"ד דלריו"ח חזקה היא גם מחמת השטר וגם דשתיקת המערער היא אמתלא למחזיק</w:t>
      </w:r>
    </w:p>
    <w:p w:rsidR="007A505A" w:rsidRDefault="007A505A" w:rsidP="007E4E81">
      <w:pPr>
        <w:pStyle w:val="a"/>
        <w:rPr>
          <w:rFonts w:eastAsiaTheme="minorEastAsia" w:cstheme="minorBidi"/>
          <w:sz w:val="22"/>
          <w:szCs w:val="22"/>
          <w:rtl/>
        </w:rPr>
      </w:pPr>
      <w:r>
        <w:rPr>
          <w:rtl/>
        </w:rPr>
        <w:t>ביאור התורי"ד דבלא עברו ג"ש ושתק המערער וכן אם מחה בפני ב' ולא שתק לא הוי חזקה</w:t>
      </w:r>
    </w:p>
    <w:p w:rsidR="007A505A" w:rsidRDefault="007A505A" w:rsidP="007E4E81">
      <w:pPr>
        <w:pStyle w:val="a"/>
        <w:rPr>
          <w:rFonts w:eastAsiaTheme="minorEastAsia" w:cstheme="minorBidi"/>
          <w:sz w:val="22"/>
          <w:szCs w:val="22"/>
          <w:rtl/>
        </w:rPr>
      </w:pPr>
      <w:r>
        <w:rPr>
          <w:rtl/>
        </w:rPr>
        <w:t>ביאור התורי"ד בריו"ח דמחאה בפני ב' מהני דאף שלא שומע ממנה מ"מ אין אמתלא לטענתו</w:t>
      </w:r>
    </w:p>
    <w:p w:rsidR="007A505A" w:rsidRDefault="007A505A" w:rsidP="0007171D">
      <w:pPr>
        <w:pStyle w:val="aff4"/>
        <w:rPr>
          <w:rFonts w:eastAsiaTheme="minorEastAsia" w:cstheme="minorBidi"/>
          <w:i/>
          <w:iCs/>
          <w:noProof/>
          <w:sz w:val="22"/>
          <w:szCs w:val="22"/>
          <w:rtl/>
        </w:rPr>
      </w:pPr>
      <w:r>
        <w:rPr>
          <w:noProof/>
          <w:rtl/>
        </w:rPr>
        <w:t>דעת התוס' רי"ד דלרב אבהו מחאה מהני רק בשמע המחזיק</w:t>
      </w:r>
    </w:p>
    <w:p w:rsidR="007A505A" w:rsidRDefault="007A505A" w:rsidP="007E4E81">
      <w:pPr>
        <w:pStyle w:val="a"/>
        <w:rPr>
          <w:rFonts w:eastAsiaTheme="minorEastAsia" w:cstheme="minorBidi"/>
          <w:sz w:val="22"/>
          <w:szCs w:val="22"/>
          <w:rtl/>
        </w:rPr>
      </w:pPr>
      <w:r>
        <w:rPr>
          <w:rtl/>
        </w:rPr>
        <w:t>ביאור התורי"ד ברב אבהו דחזקה רק מחמת השטר ורק בפני ג' שומע המחזיק ונזהר בשטרו</w:t>
      </w:r>
    </w:p>
    <w:p w:rsidR="007A505A" w:rsidRDefault="007A505A" w:rsidP="007A505A">
      <w:pPr>
        <w:pStyle w:val="2"/>
        <w:rPr>
          <w:rFonts w:eastAsiaTheme="minorEastAsia" w:cstheme="minorBidi"/>
          <w:i/>
          <w:iCs/>
          <w:sz w:val="22"/>
          <w:szCs w:val="22"/>
          <w:rtl/>
        </w:rPr>
      </w:pPr>
      <w:r>
        <w:rPr>
          <w:rtl/>
        </w:rPr>
        <w:t>בדין מחאה שלא כדין</w:t>
      </w:r>
    </w:p>
    <w:p w:rsidR="007A505A" w:rsidRDefault="007A505A" w:rsidP="0007171D">
      <w:pPr>
        <w:pStyle w:val="aff4"/>
        <w:rPr>
          <w:rFonts w:eastAsiaTheme="minorEastAsia" w:cstheme="minorBidi"/>
          <w:i/>
          <w:iCs/>
          <w:noProof/>
          <w:sz w:val="22"/>
          <w:szCs w:val="22"/>
          <w:rtl/>
        </w:rPr>
      </w:pPr>
      <w:r>
        <w:rPr>
          <w:noProof/>
          <w:rtl/>
        </w:rPr>
        <w:t>פלוגתת הש"ך והקצוה"ח בסבר המחזיק שהמחאה הייתה כדין</w:t>
      </w:r>
    </w:p>
    <w:p w:rsidR="007A505A" w:rsidRDefault="007A505A" w:rsidP="007E4E81">
      <w:pPr>
        <w:pStyle w:val="a"/>
        <w:rPr>
          <w:rFonts w:eastAsiaTheme="minorEastAsia" w:cstheme="minorBidi"/>
          <w:sz w:val="22"/>
          <w:szCs w:val="22"/>
          <w:rtl/>
        </w:rPr>
      </w:pPr>
      <w:r>
        <w:rPr>
          <w:rtl/>
        </w:rPr>
        <w:t>דברי הש"ך דאם אמר המערער לעדים שלא יאמרו לשום אדם אינה מחאה אף שאמרו למחזיק</w:t>
      </w:r>
    </w:p>
    <w:p w:rsidR="007A505A" w:rsidRDefault="007A505A" w:rsidP="007E4E81">
      <w:pPr>
        <w:pStyle w:val="a"/>
        <w:rPr>
          <w:rFonts w:eastAsiaTheme="minorEastAsia" w:cstheme="minorBidi"/>
          <w:sz w:val="22"/>
          <w:szCs w:val="22"/>
          <w:rtl/>
        </w:rPr>
      </w:pPr>
      <w:r>
        <w:rPr>
          <w:rtl/>
        </w:rPr>
        <w:t>דעת הש"ך דבמחה שלא כדין וסובר המערער דמחה כדין לא הוי חזקה דטוען לו אחוי שטרך</w:t>
      </w:r>
    </w:p>
    <w:p w:rsidR="007A505A" w:rsidRDefault="007A505A" w:rsidP="007E4E81">
      <w:pPr>
        <w:pStyle w:val="a"/>
        <w:rPr>
          <w:rFonts w:eastAsiaTheme="minorEastAsia" w:cstheme="minorBidi"/>
          <w:sz w:val="22"/>
          <w:szCs w:val="22"/>
          <w:rtl/>
        </w:rPr>
      </w:pPr>
      <w:r>
        <w:rPr>
          <w:rtl/>
        </w:rPr>
        <w:t>דברי הקצוה"ח דאף בסבר המחזיק בטעות שמחה בו המערער הוי חזקה כיון שלא הייתה מחאה</w:t>
      </w:r>
    </w:p>
    <w:p w:rsidR="007A505A" w:rsidRDefault="007A505A" w:rsidP="007E4E81">
      <w:pPr>
        <w:pStyle w:val="a"/>
        <w:rPr>
          <w:rFonts w:eastAsiaTheme="minorEastAsia" w:cstheme="minorBidi"/>
          <w:sz w:val="22"/>
          <w:szCs w:val="22"/>
          <w:rtl/>
        </w:rPr>
      </w:pPr>
      <w:r>
        <w:rPr>
          <w:rtl/>
        </w:rPr>
        <w:t>דעת הקצוה"ח דמחאה שלא כדין וסובר המערער דמחה כדין הוי חזקה דהא לא מחה כדין</w:t>
      </w:r>
    </w:p>
    <w:p w:rsidR="007A505A" w:rsidRDefault="001B6519" w:rsidP="007A505A">
      <w:pPr>
        <w:pStyle w:val="2"/>
        <w:rPr>
          <w:rFonts w:eastAsiaTheme="minorEastAsia" w:cstheme="minorBidi"/>
          <w:i/>
          <w:iCs/>
          <w:sz w:val="22"/>
          <w:szCs w:val="22"/>
          <w:rtl/>
        </w:rPr>
      </w:pPr>
      <w:r>
        <w:rPr>
          <w:rtl/>
        </w:rPr>
        <w:t>~~~~~~~ ביאורי ראשי הישיבות ~~~~~~~</w:t>
      </w:r>
    </w:p>
    <w:p w:rsidR="007A505A" w:rsidRDefault="007A505A" w:rsidP="007A505A">
      <w:pPr>
        <w:pStyle w:val="2"/>
        <w:rPr>
          <w:rFonts w:eastAsiaTheme="minorEastAsia" w:cstheme="minorBidi"/>
          <w:i/>
          <w:iCs/>
          <w:sz w:val="22"/>
          <w:szCs w:val="22"/>
          <w:rtl/>
        </w:rPr>
      </w:pPr>
      <w:r>
        <w:rPr>
          <w:rtl/>
        </w:rPr>
        <w:t>בטעם המחאה לדעת רש"י והרמב"ן</w:t>
      </w:r>
    </w:p>
    <w:p w:rsidR="007A505A" w:rsidRDefault="007A505A" w:rsidP="0007171D">
      <w:pPr>
        <w:pStyle w:val="aff4"/>
        <w:rPr>
          <w:rFonts w:eastAsiaTheme="minorEastAsia" w:cstheme="minorBidi"/>
          <w:i/>
          <w:iCs/>
          <w:noProof/>
          <w:sz w:val="22"/>
          <w:szCs w:val="22"/>
          <w:rtl/>
        </w:rPr>
      </w:pPr>
      <w:r>
        <w:rPr>
          <w:noProof/>
          <w:rtl/>
        </w:rPr>
        <w:t>ביאור הגרנ"פ ברש"י וברמב"ן דהמחאה היא ריעותא במוחזקות</w:t>
      </w:r>
    </w:p>
    <w:p w:rsidR="007A505A" w:rsidRDefault="007A505A" w:rsidP="007E4E81">
      <w:pPr>
        <w:pStyle w:val="a"/>
        <w:rPr>
          <w:rFonts w:eastAsiaTheme="minorEastAsia" w:cstheme="minorBidi"/>
          <w:sz w:val="22"/>
          <w:szCs w:val="22"/>
          <w:rtl/>
        </w:rPr>
      </w:pPr>
      <w:r>
        <w:rPr>
          <w:rtl/>
        </w:rPr>
        <w:t>ביאור הגרנ"פ ברש"י דהמחאה שישמור שטרו והקושיה היא רק להולכי אושא כדביאר הרמב"ן</w:t>
      </w:r>
    </w:p>
    <w:p w:rsidR="007A505A" w:rsidRDefault="007A505A" w:rsidP="007E4E81">
      <w:pPr>
        <w:pStyle w:val="a"/>
        <w:rPr>
          <w:rFonts w:eastAsiaTheme="minorEastAsia" w:cstheme="minorBidi"/>
          <w:sz w:val="22"/>
          <w:szCs w:val="22"/>
          <w:rtl/>
        </w:rPr>
      </w:pPr>
      <w:r>
        <w:rPr>
          <w:rtl/>
        </w:rPr>
        <w:t>ביאור הגרנ"פ ברש"י וברמב"ן דלהולכי אושא המחזיק מוחזק והמחאה עושה ריעותא בחזקתו</w:t>
      </w:r>
    </w:p>
    <w:p w:rsidR="007A505A" w:rsidRDefault="007A505A" w:rsidP="007E4E81">
      <w:pPr>
        <w:pStyle w:val="a"/>
        <w:rPr>
          <w:rFonts w:eastAsiaTheme="minorEastAsia" w:cstheme="minorBidi"/>
          <w:sz w:val="22"/>
          <w:szCs w:val="22"/>
          <w:rtl/>
        </w:rPr>
      </w:pPr>
      <w:r>
        <w:rPr>
          <w:rtl/>
        </w:rPr>
        <w:t>ביאור הגרנ"פ ברמב"ן דג"ש נעשה מוחזק וע"י המחאה צריך להזהר בשטר דעדיין לא הוחזק</w:t>
      </w:r>
    </w:p>
    <w:p w:rsidR="007A505A" w:rsidRDefault="007A505A" w:rsidP="0007171D">
      <w:pPr>
        <w:pStyle w:val="aff4"/>
        <w:rPr>
          <w:rFonts w:eastAsiaTheme="minorEastAsia" w:cstheme="minorBidi"/>
          <w:i/>
          <w:iCs/>
          <w:noProof/>
          <w:sz w:val="22"/>
          <w:szCs w:val="22"/>
          <w:rtl/>
        </w:rPr>
      </w:pPr>
      <w:r>
        <w:rPr>
          <w:noProof/>
          <w:rtl/>
        </w:rPr>
        <w:t>ביאור הגרנ"פ דבהעדאה צריך בפניו רק כדי שיכחיש את העדים</w:t>
      </w:r>
    </w:p>
    <w:p w:rsidR="007A505A" w:rsidRDefault="007A505A" w:rsidP="007E4E81">
      <w:pPr>
        <w:pStyle w:val="a"/>
        <w:rPr>
          <w:rFonts w:eastAsiaTheme="minorEastAsia" w:cstheme="minorBidi"/>
          <w:sz w:val="22"/>
          <w:szCs w:val="22"/>
          <w:rtl/>
        </w:rPr>
      </w:pPr>
      <w:r>
        <w:rPr>
          <w:rtl/>
        </w:rPr>
        <w:t>ביאור הגרנ"פ ברש"י וברמב"ן דהעדאה דמי למחאה אלא דבהעדאה צריך להכחיש את העדים</w:t>
      </w:r>
    </w:p>
    <w:p w:rsidR="007A505A" w:rsidRDefault="007A505A" w:rsidP="0007171D">
      <w:pPr>
        <w:pStyle w:val="aff4"/>
        <w:rPr>
          <w:rFonts w:eastAsiaTheme="minorEastAsia" w:cstheme="minorBidi"/>
          <w:i/>
          <w:iCs/>
          <w:noProof/>
          <w:sz w:val="22"/>
          <w:szCs w:val="22"/>
          <w:rtl/>
        </w:rPr>
      </w:pPr>
      <w:r>
        <w:rPr>
          <w:noProof/>
          <w:rtl/>
        </w:rPr>
        <w:t>קושית הגרנ"פ בסתירת דברי רש"י בטעם החזקה</w:t>
      </w:r>
    </w:p>
    <w:p w:rsidR="007A505A" w:rsidRDefault="007A505A" w:rsidP="007E4E81">
      <w:pPr>
        <w:pStyle w:val="a"/>
        <w:rPr>
          <w:rFonts w:eastAsiaTheme="minorEastAsia" w:cstheme="minorBidi"/>
          <w:sz w:val="22"/>
          <w:szCs w:val="22"/>
          <w:rtl/>
        </w:rPr>
      </w:pPr>
      <w:r>
        <w:rPr>
          <w:rtl/>
        </w:rPr>
        <w:t>קושית הגרנ"פ דלרש"י בסוגיין החזקה היא ע"י האכילה ולרש"י במתני' ע"י שתיקת המערער</w:t>
      </w:r>
    </w:p>
    <w:p w:rsidR="007A505A" w:rsidRDefault="007A505A" w:rsidP="007E4E81">
      <w:pPr>
        <w:pStyle w:val="a"/>
        <w:rPr>
          <w:rFonts w:eastAsiaTheme="minorEastAsia" w:cstheme="minorBidi"/>
          <w:sz w:val="22"/>
          <w:szCs w:val="22"/>
          <w:rtl/>
        </w:rPr>
      </w:pPr>
      <w:r>
        <w:rPr>
          <w:rtl/>
        </w:rPr>
        <w:t>ביאור הגרנ"פ ברמב"ן דהאכילות מוציאות מהמר"ק אף כנגד המחאה והמחאה מהני רק לשטר</w:t>
      </w:r>
    </w:p>
    <w:p w:rsidR="007A505A" w:rsidRDefault="007A505A" w:rsidP="0007171D">
      <w:pPr>
        <w:pStyle w:val="aff4"/>
        <w:rPr>
          <w:rFonts w:eastAsiaTheme="minorEastAsia" w:cstheme="minorBidi"/>
          <w:i/>
          <w:iCs/>
          <w:noProof/>
          <w:sz w:val="22"/>
          <w:szCs w:val="22"/>
          <w:rtl/>
        </w:rPr>
      </w:pPr>
      <w:r>
        <w:rPr>
          <w:noProof/>
          <w:rtl/>
        </w:rPr>
        <w:t>ביאור הגרנ"פ ברש"י דמחאה לא מבטלת את הראיה דלא סילקו</w:t>
      </w:r>
    </w:p>
    <w:p w:rsidR="007A505A" w:rsidRDefault="007A505A" w:rsidP="007E4E81">
      <w:pPr>
        <w:pStyle w:val="a"/>
        <w:rPr>
          <w:rFonts w:eastAsiaTheme="minorEastAsia" w:cstheme="minorBidi"/>
          <w:sz w:val="22"/>
          <w:szCs w:val="22"/>
          <w:rtl/>
        </w:rPr>
      </w:pPr>
      <w:r>
        <w:rPr>
          <w:rtl/>
        </w:rPr>
        <w:t>ביאור הגרנ"פ ברש"י במתני' דהראיה בחזקה מדלא סילק המערער את המחזיק ולא מדלא מחה</w:t>
      </w:r>
    </w:p>
    <w:p w:rsidR="007A505A" w:rsidRDefault="007A505A" w:rsidP="007E4E81">
      <w:pPr>
        <w:pStyle w:val="a"/>
        <w:rPr>
          <w:rFonts w:eastAsiaTheme="minorEastAsia" w:cstheme="minorBidi"/>
          <w:sz w:val="22"/>
          <w:szCs w:val="22"/>
        </w:rPr>
      </w:pPr>
      <w:r>
        <w:rPr>
          <w:rtl/>
        </w:rPr>
        <w:t>ביאור הגרנ"פ ברש"י דהמחאה אינה מבטלת את ראיית החזקה אלא המחאה מהני רק לשטר</w:t>
      </w:r>
    </w:p>
    <w:p w:rsidR="007A505A" w:rsidRDefault="007A505A" w:rsidP="007A505A">
      <w:pPr>
        <w:pStyle w:val="2"/>
        <w:rPr>
          <w:rFonts w:eastAsiaTheme="minorEastAsia" w:cstheme="minorBidi"/>
          <w:i/>
          <w:iCs/>
          <w:sz w:val="22"/>
          <w:szCs w:val="22"/>
          <w:rtl/>
        </w:rPr>
      </w:pPr>
      <w:r>
        <w:rPr>
          <w:rtl/>
        </w:rPr>
        <w:t>בטעם המחאה לרש"י ולתוס'</w:t>
      </w:r>
    </w:p>
    <w:p w:rsidR="007A505A" w:rsidRDefault="007A505A" w:rsidP="0007171D">
      <w:pPr>
        <w:pStyle w:val="aff4"/>
        <w:rPr>
          <w:rFonts w:eastAsiaTheme="minorEastAsia" w:cstheme="minorBidi"/>
          <w:i/>
          <w:iCs/>
          <w:noProof/>
          <w:sz w:val="22"/>
          <w:szCs w:val="22"/>
          <w:rtl/>
        </w:rPr>
      </w:pPr>
      <w:r>
        <w:rPr>
          <w:noProof/>
          <w:rtl/>
        </w:rPr>
        <w:t>ביאור הגרנ"פ בתוס' דהמחאה בכדי ש המערער לא יוחזק שתקן</w:t>
      </w:r>
    </w:p>
    <w:p w:rsidR="007A505A" w:rsidRDefault="007A505A" w:rsidP="007E4E81">
      <w:pPr>
        <w:pStyle w:val="a"/>
        <w:rPr>
          <w:rFonts w:eastAsiaTheme="minorEastAsia" w:cstheme="minorBidi"/>
          <w:sz w:val="22"/>
          <w:szCs w:val="22"/>
          <w:rtl/>
        </w:rPr>
      </w:pPr>
      <w:r>
        <w:rPr>
          <w:rtl/>
        </w:rPr>
        <w:t>ביאור הגרנ"פ דלתוס' א"א לומר דהמחאה כדי שיזהר בשטרו דהמחאה היא שלא יוחזק שתקן</w:t>
      </w:r>
    </w:p>
    <w:p w:rsidR="007A505A" w:rsidRDefault="007A505A" w:rsidP="0007171D">
      <w:pPr>
        <w:pStyle w:val="aff4"/>
        <w:rPr>
          <w:rFonts w:eastAsiaTheme="minorEastAsia" w:cstheme="minorBidi"/>
          <w:i/>
          <w:iCs/>
          <w:noProof/>
          <w:sz w:val="22"/>
          <w:szCs w:val="22"/>
          <w:rtl/>
        </w:rPr>
      </w:pPr>
      <w:r>
        <w:rPr>
          <w:noProof/>
          <w:rtl/>
        </w:rPr>
        <w:t>ביאור הגרנ"פ ברש"י דבאותו מקום במחה שלא בפניו ל"ה חזקה</w:t>
      </w:r>
    </w:p>
    <w:p w:rsidR="007A505A" w:rsidRDefault="007A505A" w:rsidP="007E4E81">
      <w:pPr>
        <w:pStyle w:val="a"/>
        <w:rPr>
          <w:rFonts w:eastAsiaTheme="minorEastAsia" w:cstheme="minorBidi"/>
          <w:sz w:val="22"/>
          <w:szCs w:val="22"/>
          <w:rtl/>
        </w:rPr>
      </w:pPr>
      <w:r>
        <w:rPr>
          <w:rtl/>
        </w:rPr>
        <w:t>ביאור הגרנ"פ דאף לרש"י אי ל"מ מחאה ל"מ החזקה ואיירי באותה העיר והיה לו למחות בפניו</w:t>
      </w:r>
    </w:p>
    <w:p w:rsidR="007A505A" w:rsidRDefault="007A505A" w:rsidP="007E4E81">
      <w:pPr>
        <w:pStyle w:val="a"/>
        <w:rPr>
          <w:rFonts w:eastAsiaTheme="minorEastAsia" w:cstheme="minorBidi"/>
          <w:sz w:val="22"/>
          <w:szCs w:val="22"/>
        </w:rPr>
      </w:pPr>
      <w:r>
        <w:rPr>
          <w:rtl/>
        </w:rPr>
        <w:t>ביאור הגרנ"פ ברש"י דהחזקה מוציאה מהמר"ק ואף במחה שלא בפניו באותה העיר הוי חזקה</w:t>
      </w:r>
    </w:p>
    <w:p w:rsidR="007A505A" w:rsidRDefault="007A505A" w:rsidP="0007171D">
      <w:pPr>
        <w:pStyle w:val="aff4"/>
        <w:rPr>
          <w:rFonts w:eastAsiaTheme="minorEastAsia" w:cstheme="minorBidi"/>
          <w:i/>
          <w:iCs/>
          <w:noProof/>
          <w:sz w:val="22"/>
          <w:szCs w:val="22"/>
          <w:rtl/>
        </w:rPr>
      </w:pPr>
      <w:r>
        <w:rPr>
          <w:noProof/>
          <w:rtl/>
        </w:rPr>
        <w:t>ביאור הגרנ"פ בתוס' דרק במחה בעיר אחרת ל"ה חזקה</w:t>
      </w:r>
    </w:p>
    <w:p w:rsidR="007A505A" w:rsidRDefault="007A505A" w:rsidP="007E4E81">
      <w:pPr>
        <w:pStyle w:val="a"/>
        <w:rPr>
          <w:rFonts w:eastAsiaTheme="minorEastAsia" w:cstheme="minorBidi"/>
          <w:sz w:val="22"/>
          <w:szCs w:val="22"/>
          <w:rtl/>
        </w:rPr>
      </w:pPr>
      <w:r>
        <w:rPr>
          <w:rtl/>
        </w:rPr>
        <w:t>ביאור הגרנ"פ בתוס' דהמחאה דלא יוחזק שתקן במחאה שלא בפניו בעיר אחרת לא הוי חזקה</w:t>
      </w:r>
    </w:p>
    <w:p w:rsidR="007A505A" w:rsidRDefault="007A505A" w:rsidP="0007171D">
      <w:pPr>
        <w:pStyle w:val="aff4"/>
        <w:rPr>
          <w:rFonts w:eastAsiaTheme="minorEastAsia" w:cstheme="minorBidi"/>
          <w:i/>
          <w:iCs/>
          <w:noProof/>
          <w:sz w:val="22"/>
          <w:szCs w:val="22"/>
          <w:rtl/>
        </w:rPr>
      </w:pPr>
      <w:r>
        <w:rPr>
          <w:noProof/>
          <w:rtl/>
        </w:rPr>
        <w:t>תי' הגרנ"פ על קושית המהרש"א בסתירת דברי התוס'</w:t>
      </w:r>
    </w:p>
    <w:p w:rsidR="007A505A" w:rsidRDefault="007A505A" w:rsidP="007E4E81">
      <w:pPr>
        <w:pStyle w:val="a"/>
        <w:rPr>
          <w:rFonts w:eastAsiaTheme="minorEastAsia" w:cstheme="minorBidi"/>
          <w:sz w:val="22"/>
          <w:szCs w:val="22"/>
          <w:rtl/>
        </w:rPr>
      </w:pPr>
      <w:r>
        <w:rPr>
          <w:rtl/>
        </w:rPr>
        <w:t>דברי הגרנ"פ דתי' המהרש"א בסתירת דברי התוס' במחאה שלא בפניו אי הוי חזקה הוא דוחק</w:t>
      </w:r>
    </w:p>
    <w:p w:rsidR="007A505A" w:rsidRDefault="007A505A" w:rsidP="007E4E81">
      <w:pPr>
        <w:pStyle w:val="a"/>
        <w:rPr>
          <w:rFonts w:eastAsiaTheme="minorEastAsia" w:cstheme="minorBidi"/>
          <w:sz w:val="22"/>
          <w:szCs w:val="22"/>
          <w:rtl/>
        </w:rPr>
      </w:pPr>
      <w:r>
        <w:rPr>
          <w:rtl/>
        </w:rPr>
        <w:t>ביאור הגרנ"פ דבעיר אחרת א"צ לבא ולמחות ולא הוחזק שתקן וביארו התוס' דאיירי בעיר אחת</w:t>
      </w:r>
    </w:p>
    <w:p w:rsidR="007A505A" w:rsidRDefault="007A505A" w:rsidP="007E4E81">
      <w:pPr>
        <w:pStyle w:val="a"/>
        <w:rPr>
          <w:rFonts w:eastAsiaTheme="minorEastAsia" w:cstheme="minorBidi"/>
          <w:sz w:val="22"/>
          <w:szCs w:val="22"/>
          <w:rtl/>
        </w:rPr>
      </w:pPr>
      <w:r>
        <w:rPr>
          <w:rtl/>
        </w:rPr>
        <w:t>ביאור הגרנ"פ בתוס' דקושית אביי איירי באותה העיר רק לרבנן דהחזקה אינה דהוחזק שתקן</w:t>
      </w:r>
    </w:p>
    <w:p w:rsidR="007A505A" w:rsidRDefault="007A505A" w:rsidP="007E4E81">
      <w:pPr>
        <w:pStyle w:val="a"/>
        <w:rPr>
          <w:rFonts w:eastAsiaTheme="minorEastAsia" w:cstheme="minorBidi"/>
          <w:sz w:val="22"/>
          <w:szCs w:val="22"/>
          <w:rtl/>
        </w:rPr>
      </w:pPr>
      <w:r>
        <w:rPr>
          <w:rtl/>
        </w:rPr>
        <w:t>ביאור הגרנ"פ דכוונת התוס' דאפשר להקשות אף בלא הילפותא היינו כדהקשה אביי מסברא</w:t>
      </w:r>
    </w:p>
    <w:p w:rsidR="007A505A" w:rsidRDefault="007A505A" w:rsidP="007E4E81">
      <w:pPr>
        <w:pStyle w:val="a"/>
        <w:rPr>
          <w:rFonts w:eastAsiaTheme="minorEastAsia" w:cstheme="minorBidi"/>
          <w:sz w:val="22"/>
          <w:szCs w:val="22"/>
          <w:rtl/>
        </w:rPr>
      </w:pPr>
      <w:r>
        <w:rPr>
          <w:rtl/>
        </w:rPr>
        <w:t>ביאור הגרנ"פ בתוס' דלרבנן א"א להקשות דמחאה ל"מ דהא אף המחאה היא מתקנת חכמים</w:t>
      </w:r>
    </w:p>
    <w:p w:rsidR="007A505A" w:rsidRDefault="007A505A" w:rsidP="007E4E81">
      <w:pPr>
        <w:pStyle w:val="a"/>
        <w:rPr>
          <w:rFonts w:eastAsiaTheme="minorEastAsia" w:cstheme="minorBidi"/>
          <w:sz w:val="22"/>
          <w:szCs w:val="22"/>
          <w:rtl/>
        </w:rPr>
      </w:pPr>
      <w:r>
        <w:rPr>
          <w:rtl/>
        </w:rPr>
        <w:t>ביאור הגרנ"פ בתוס' לקמן דלרבנן הקושיה דאמאי לא תקנו דבאותה העיר יבא וימחה לפניו</w:t>
      </w:r>
    </w:p>
    <w:p w:rsidR="007A505A" w:rsidRDefault="007A505A" w:rsidP="007A505A">
      <w:pPr>
        <w:pStyle w:val="2"/>
        <w:rPr>
          <w:rFonts w:eastAsiaTheme="minorEastAsia" w:cstheme="minorBidi"/>
          <w:i/>
          <w:iCs/>
          <w:sz w:val="22"/>
          <w:szCs w:val="22"/>
          <w:rtl/>
        </w:rPr>
      </w:pPr>
      <w:r>
        <w:rPr>
          <w:rtl/>
        </w:rPr>
        <w:t>בגדר חלות המחאה להולכי אושא ולרבנן</w:t>
      </w:r>
    </w:p>
    <w:p w:rsidR="007A505A" w:rsidRDefault="007A505A" w:rsidP="0007171D">
      <w:pPr>
        <w:pStyle w:val="aff4"/>
        <w:rPr>
          <w:rFonts w:eastAsiaTheme="minorEastAsia" w:cstheme="minorBidi"/>
          <w:i/>
          <w:iCs/>
          <w:noProof/>
          <w:sz w:val="22"/>
          <w:szCs w:val="22"/>
          <w:rtl/>
        </w:rPr>
      </w:pPr>
      <w:r>
        <w:rPr>
          <w:noProof/>
          <w:rtl/>
        </w:rPr>
        <w:t>דברי הגר"ח דלרבנן חלות המחאה היא לאחר ששמע המחזיק</w:t>
      </w:r>
    </w:p>
    <w:p w:rsidR="007A505A" w:rsidRDefault="007A505A" w:rsidP="007E4E81">
      <w:pPr>
        <w:pStyle w:val="a"/>
        <w:rPr>
          <w:rFonts w:eastAsiaTheme="minorEastAsia" w:cstheme="minorBidi"/>
          <w:sz w:val="22"/>
          <w:szCs w:val="22"/>
          <w:rtl/>
        </w:rPr>
      </w:pPr>
      <w:r>
        <w:rPr>
          <w:rtl/>
        </w:rPr>
        <w:t>דברי הגר"ח דלרבנן חלות המחאה היא רק לאחר שהגיעה המחאה לאוזני המחזיק</w:t>
      </w:r>
    </w:p>
    <w:p w:rsidR="007A505A" w:rsidRDefault="007A505A" w:rsidP="007E4E81">
      <w:pPr>
        <w:pStyle w:val="a"/>
        <w:rPr>
          <w:rFonts w:eastAsiaTheme="minorEastAsia" w:cstheme="minorBidi"/>
          <w:sz w:val="22"/>
          <w:szCs w:val="22"/>
          <w:rtl/>
        </w:rPr>
      </w:pPr>
      <w:r>
        <w:rPr>
          <w:rtl/>
        </w:rPr>
        <w:t>דברי הגר"ח דאף אי החזקה היא ראיה מדשתק המערער מ"מ עיקר המחאה שיזהר בשטרו</w:t>
      </w:r>
    </w:p>
    <w:p w:rsidR="007A505A" w:rsidRDefault="007A505A" w:rsidP="0007171D">
      <w:pPr>
        <w:pStyle w:val="aff4"/>
        <w:rPr>
          <w:rFonts w:eastAsiaTheme="minorEastAsia" w:cstheme="minorBidi"/>
          <w:i/>
          <w:iCs/>
          <w:noProof/>
          <w:sz w:val="22"/>
          <w:szCs w:val="22"/>
          <w:rtl/>
        </w:rPr>
      </w:pPr>
      <w:r>
        <w:rPr>
          <w:noProof/>
          <w:rtl/>
        </w:rPr>
        <w:t>דברי הגר"ח דלהולכי אושא המחאה חלה מיד ובטלה החזקה</w:t>
      </w:r>
    </w:p>
    <w:p w:rsidR="007A505A" w:rsidRDefault="007A505A" w:rsidP="007E4E81">
      <w:pPr>
        <w:pStyle w:val="a"/>
        <w:rPr>
          <w:rFonts w:eastAsiaTheme="minorEastAsia" w:cstheme="minorBidi"/>
          <w:sz w:val="22"/>
          <w:szCs w:val="22"/>
          <w:rtl/>
        </w:rPr>
      </w:pPr>
      <w:r>
        <w:rPr>
          <w:rtl/>
        </w:rPr>
        <w:t>ביאור הגר"ח בתוס' דלהולכי אושא המחאה חלה מיד כשמחה דהא לא המערער הוחזק שתקן</w:t>
      </w:r>
    </w:p>
    <w:p w:rsidR="007A505A" w:rsidRDefault="007A505A" w:rsidP="007E4E81">
      <w:pPr>
        <w:pStyle w:val="a"/>
        <w:rPr>
          <w:rFonts w:eastAsiaTheme="minorEastAsia" w:cstheme="minorBidi"/>
          <w:sz w:val="22"/>
          <w:szCs w:val="22"/>
          <w:rtl/>
        </w:rPr>
      </w:pPr>
      <w:r>
        <w:rPr>
          <w:rtl/>
        </w:rPr>
        <w:t>ביאור הגר"ח ברמב"ן דמיד כשמחה המערער ולא הסכים להחזקת המחזיק בטלה המוחזקות שלו</w:t>
      </w:r>
    </w:p>
    <w:p w:rsidR="007A505A" w:rsidRDefault="007A505A" w:rsidP="007E4E81">
      <w:pPr>
        <w:pStyle w:val="a"/>
        <w:rPr>
          <w:rFonts w:eastAsiaTheme="minorEastAsia" w:cstheme="minorBidi"/>
          <w:sz w:val="22"/>
          <w:szCs w:val="22"/>
          <w:rtl/>
        </w:rPr>
      </w:pPr>
      <w:r>
        <w:rPr>
          <w:rtl/>
        </w:rPr>
        <w:t>דברי הגר"ח דאף להולכי אושא צריך שהמערער יוכל לשמוע מהמחאה ובלאה הוא פטומי מילי</w:t>
      </w:r>
    </w:p>
    <w:p w:rsidR="007A505A" w:rsidRDefault="007A505A" w:rsidP="0007171D">
      <w:pPr>
        <w:pStyle w:val="aff4"/>
        <w:rPr>
          <w:rFonts w:eastAsiaTheme="minorEastAsia" w:cstheme="minorBidi"/>
          <w:i/>
          <w:iCs/>
          <w:noProof/>
          <w:sz w:val="22"/>
          <w:szCs w:val="22"/>
          <w:rtl/>
        </w:rPr>
      </w:pPr>
      <w:r>
        <w:rPr>
          <w:noProof/>
          <w:rtl/>
        </w:rPr>
        <w:t>דברי הגר"ח דלהולכי אושא צריך שיוכל למחות בכל הג"ש</w:t>
      </w:r>
    </w:p>
    <w:p w:rsidR="007A505A" w:rsidRDefault="007A505A" w:rsidP="007E4E81">
      <w:pPr>
        <w:pStyle w:val="a"/>
        <w:rPr>
          <w:rFonts w:eastAsiaTheme="minorEastAsia" w:cstheme="minorBidi"/>
          <w:sz w:val="22"/>
          <w:szCs w:val="22"/>
          <w:rtl/>
        </w:rPr>
      </w:pPr>
      <w:r>
        <w:rPr>
          <w:rtl/>
        </w:rPr>
        <w:t>ביאור הגר"ח בתוס' דלהולכי אושא אם המערער לא היה יכול למחות בחלק מהג"ש ל"ה חזקה</w:t>
      </w:r>
    </w:p>
    <w:p w:rsidR="007A505A" w:rsidRDefault="007A505A" w:rsidP="007E4E81">
      <w:pPr>
        <w:pStyle w:val="a"/>
        <w:rPr>
          <w:rFonts w:eastAsiaTheme="minorEastAsia" w:cstheme="minorBidi"/>
          <w:sz w:val="22"/>
          <w:szCs w:val="22"/>
          <w:rtl/>
        </w:rPr>
      </w:pPr>
      <w:r>
        <w:rPr>
          <w:rtl/>
        </w:rPr>
        <w:t>ביאור הגר"ח ברש"י וברמב"ן דבהחזיק כשהמערער אינו יכול למחות נראה כגזלן ואינה חזקה</w:t>
      </w:r>
    </w:p>
    <w:p w:rsidR="007A505A" w:rsidRDefault="007A505A" w:rsidP="007E4E81">
      <w:pPr>
        <w:pStyle w:val="a"/>
        <w:rPr>
          <w:rFonts w:eastAsiaTheme="minorEastAsia" w:cstheme="minorBidi"/>
          <w:sz w:val="22"/>
          <w:szCs w:val="22"/>
          <w:rtl/>
        </w:rPr>
      </w:pPr>
      <w:r>
        <w:rPr>
          <w:rtl/>
        </w:rPr>
        <w:t>דברי הגר"ח דלרבנן בלא היה המערער יכול למחות בחלק מהג"ש הוי חזקה דיכול למחות בשאר</w:t>
      </w:r>
    </w:p>
    <w:p w:rsidR="007A505A" w:rsidRDefault="007A505A" w:rsidP="0007171D">
      <w:pPr>
        <w:pStyle w:val="aff4"/>
        <w:rPr>
          <w:rFonts w:eastAsiaTheme="minorEastAsia" w:cstheme="minorBidi"/>
          <w:i/>
          <w:iCs/>
          <w:noProof/>
          <w:sz w:val="22"/>
          <w:szCs w:val="22"/>
          <w:rtl/>
        </w:rPr>
      </w:pPr>
      <w:r>
        <w:rPr>
          <w:noProof/>
          <w:rtl/>
        </w:rPr>
        <w:t>קושית הגר"ח דבכל ג"ש יש זמן שהמחזיק עדיין לא שמע</w:t>
      </w:r>
    </w:p>
    <w:p w:rsidR="007A505A" w:rsidRDefault="007A505A" w:rsidP="007E4E81">
      <w:pPr>
        <w:pStyle w:val="a"/>
        <w:rPr>
          <w:rFonts w:eastAsiaTheme="minorEastAsia" w:cstheme="minorBidi"/>
          <w:sz w:val="22"/>
          <w:szCs w:val="22"/>
          <w:rtl/>
        </w:rPr>
      </w:pPr>
      <w:r>
        <w:rPr>
          <w:rtl/>
        </w:rPr>
        <w:t>קושית הגר"ח דלהולכי אושא יש זמן דהחזקה אינה יכולה להגיע למחזיק וחסר בג"ש שלימות</w:t>
      </w:r>
    </w:p>
    <w:p w:rsidR="007A505A" w:rsidRDefault="007A505A" w:rsidP="007E4E81">
      <w:pPr>
        <w:pStyle w:val="a"/>
        <w:rPr>
          <w:rFonts w:eastAsiaTheme="minorEastAsia" w:cstheme="minorBidi"/>
          <w:sz w:val="22"/>
          <w:szCs w:val="22"/>
          <w:rtl/>
        </w:rPr>
      </w:pPr>
      <w:r>
        <w:rPr>
          <w:rtl/>
        </w:rPr>
        <w:t>תירוץ הגר"ח דלהולכי אושא המחאה חלה מיד אף לפני ששמע המחזיק ולא חסר בג"ש שלימות</w:t>
      </w:r>
    </w:p>
    <w:p w:rsidR="007A505A" w:rsidRDefault="007A505A" w:rsidP="007A505A">
      <w:pPr>
        <w:pStyle w:val="2"/>
        <w:rPr>
          <w:rFonts w:eastAsiaTheme="minorEastAsia" w:cstheme="minorBidi"/>
          <w:i/>
          <w:iCs/>
          <w:sz w:val="22"/>
          <w:szCs w:val="22"/>
          <w:rtl/>
        </w:rPr>
      </w:pPr>
      <w:r>
        <w:rPr>
          <w:rtl/>
        </w:rPr>
        <w:t>בדין מחאה שלא שמע המחזיק ממנה</w:t>
      </w:r>
    </w:p>
    <w:p w:rsidR="007A505A" w:rsidRDefault="007A505A" w:rsidP="0007171D">
      <w:pPr>
        <w:pStyle w:val="aff4"/>
        <w:rPr>
          <w:rFonts w:eastAsiaTheme="minorEastAsia" w:cstheme="minorBidi"/>
          <w:i/>
          <w:iCs/>
          <w:noProof/>
          <w:sz w:val="22"/>
          <w:szCs w:val="22"/>
          <w:rtl/>
        </w:rPr>
      </w:pPr>
      <w:r>
        <w:rPr>
          <w:noProof/>
          <w:rtl/>
        </w:rPr>
        <w:t>ביאור הגרנ"פ ברב"י דסתם מחאה נשמעת ומהני אף שלא שמע</w:t>
      </w:r>
    </w:p>
    <w:p w:rsidR="007A505A" w:rsidRDefault="007A505A" w:rsidP="007E4E81">
      <w:pPr>
        <w:pStyle w:val="a"/>
        <w:rPr>
          <w:rFonts w:eastAsiaTheme="minorEastAsia" w:cstheme="minorBidi"/>
          <w:sz w:val="22"/>
          <w:szCs w:val="22"/>
          <w:rtl/>
        </w:rPr>
      </w:pPr>
      <w:r>
        <w:rPr>
          <w:rtl/>
        </w:rPr>
        <w:t>ביאור הגרנ"פ ברב"י דלהולכי אושא חלה המחאה אף שלא שמע המחזיק ממנה לבסוף</w:t>
      </w:r>
    </w:p>
    <w:p w:rsidR="007A505A" w:rsidRDefault="007A505A" w:rsidP="0007171D">
      <w:pPr>
        <w:pStyle w:val="aff4"/>
        <w:rPr>
          <w:rFonts w:eastAsiaTheme="minorEastAsia" w:cstheme="minorBidi"/>
          <w:i/>
          <w:iCs/>
          <w:noProof/>
          <w:sz w:val="22"/>
          <w:szCs w:val="22"/>
          <w:rtl/>
        </w:rPr>
      </w:pPr>
      <w:r>
        <w:rPr>
          <w:noProof/>
          <w:rtl/>
        </w:rPr>
        <w:t>דברי הגרש"ר דבלא שמע המחזיק מהני רק אי חזקה היא תקנ"ח</w:t>
      </w:r>
    </w:p>
    <w:p w:rsidR="007A505A" w:rsidRDefault="007A505A" w:rsidP="007E4E81">
      <w:pPr>
        <w:pStyle w:val="a"/>
        <w:rPr>
          <w:rFonts w:eastAsiaTheme="minorEastAsia" w:cstheme="minorBidi"/>
          <w:sz w:val="22"/>
          <w:szCs w:val="22"/>
          <w:rtl/>
        </w:rPr>
      </w:pPr>
      <w:r>
        <w:rPr>
          <w:rtl/>
        </w:rPr>
        <w:t>ביאור הגרש"ר בראשונים דמחאה מהני אף שלא שמע המחזיק להסוברים דחזקה היא תקנ"ח</w:t>
      </w:r>
    </w:p>
    <w:p w:rsidR="007A505A" w:rsidRDefault="007A505A" w:rsidP="0007171D">
      <w:pPr>
        <w:pStyle w:val="aff4"/>
        <w:rPr>
          <w:rFonts w:eastAsiaTheme="minorEastAsia" w:cstheme="minorBidi"/>
          <w:i/>
          <w:iCs/>
          <w:noProof/>
          <w:sz w:val="22"/>
          <w:szCs w:val="22"/>
          <w:rtl/>
        </w:rPr>
      </w:pPr>
      <w:r>
        <w:rPr>
          <w:noProof/>
          <w:rtl/>
        </w:rPr>
        <w:t>בי' הגרש"ר והגרנ"פ ברש"י וברמב"ן דבלא שמע מהמחאה ל"מ</w:t>
      </w:r>
    </w:p>
    <w:p w:rsidR="007A505A" w:rsidRDefault="007A505A" w:rsidP="007E4E81">
      <w:pPr>
        <w:pStyle w:val="a"/>
        <w:rPr>
          <w:rFonts w:eastAsiaTheme="minorEastAsia" w:cstheme="minorBidi"/>
          <w:sz w:val="22"/>
          <w:szCs w:val="22"/>
          <w:rtl/>
        </w:rPr>
      </w:pPr>
      <w:r>
        <w:rPr>
          <w:rtl/>
        </w:rPr>
        <w:t>דברי הגרש"ר דמבואר בדברי רש"י דמחאה מהני רק אם שמע המחזיק ממנה</w:t>
      </w:r>
    </w:p>
    <w:p w:rsidR="007A505A" w:rsidRDefault="007A505A" w:rsidP="007E4E81">
      <w:pPr>
        <w:pStyle w:val="a"/>
        <w:rPr>
          <w:rFonts w:eastAsiaTheme="minorEastAsia" w:cstheme="minorBidi"/>
          <w:sz w:val="22"/>
          <w:szCs w:val="22"/>
          <w:rtl/>
        </w:rPr>
      </w:pPr>
      <w:r>
        <w:rPr>
          <w:rtl/>
        </w:rPr>
        <w:t>ביאור הגרש"ר ברמב"ן דבלא שמע המחזיק אין ריעותא דאחוי שטרך ול"מ המחאה</w:t>
      </w:r>
    </w:p>
    <w:p w:rsidR="007A505A" w:rsidRDefault="007A505A" w:rsidP="007E4E81">
      <w:pPr>
        <w:pStyle w:val="a"/>
        <w:rPr>
          <w:rFonts w:eastAsiaTheme="minorEastAsia" w:cstheme="minorBidi"/>
          <w:sz w:val="22"/>
          <w:szCs w:val="22"/>
          <w:rtl/>
        </w:rPr>
      </w:pPr>
      <w:r>
        <w:rPr>
          <w:rtl/>
        </w:rPr>
        <w:t>ביאור הגרנ"פ ברש"י וברמב"ן תלינן דהמחזיק ודאי שומע מהמחאה וכן מוכח ברשב"ם לקמן</w:t>
      </w:r>
    </w:p>
    <w:p w:rsidR="007A505A" w:rsidRDefault="007A505A" w:rsidP="007E4E81">
      <w:pPr>
        <w:pStyle w:val="a"/>
        <w:rPr>
          <w:rFonts w:eastAsiaTheme="minorEastAsia" w:cstheme="minorBidi"/>
          <w:sz w:val="22"/>
          <w:szCs w:val="22"/>
          <w:rtl/>
        </w:rPr>
      </w:pPr>
      <w:r>
        <w:rPr>
          <w:rtl/>
        </w:rPr>
        <w:t>קושית הגרנ"פ דברשב"ם לקמן כתב להדיא דמהני המחאה אף שלא שמע המחזיק ממנה</w:t>
      </w:r>
    </w:p>
    <w:p w:rsidR="007A505A" w:rsidRDefault="007A505A" w:rsidP="0007171D">
      <w:pPr>
        <w:pStyle w:val="aff4"/>
        <w:rPr>
          <w:rFonts w:eastAsiaTheme="minorEastAsia" w:cstheme="minorBidi"/>
          <w:i/>
          <w:iCs/>
          <w:noProof/>
          <w:sz w:val="22"/>
          <w:szCs w:val="22"/>
          <w:rtl/>
        </w:rPr>
      </w:pPr>
      <w:r>
        <w:rPr>
          <w:noProof/>
          <w:rtl/>
        </w:rPr>
        <w:t>ביאור הדברי מרדכי דל"פ רבנן במחאה אף שלא שמע</w:t>
      </w:r>
    </w:p>
    <w:p w:rsidR="007A505A" w:rsidRDefault="007A505A" w:rsidP="007E4E81">
      <w:pPr>
        <w:pStyle w:val="a"/>
        <w:rPr>
          <w:rFonts w:eastAsiaTheme="minorEastAsia" w:cstheme="minorBidi"/>
          <w:sz w:val="22"/>
          <w:szCs w:val="22"/>
          <w:rtl/>
        </w:rPr>
      </w:pPr>
      <w:r>
        <w:rPr>
          <w:rtl/>
        </w:rPr>
        <w:t>קושית הדברי מרדכי על רב"י האיך מהני מחאה שלא שמע המחזיק הא אינו יודע לשמור שטרו</w:t>
      </w:r>
    </w:p>
    <w:p w:rsidR="007A505A" w:rsidRDefault="007A505A" w:rsidP="007E4E81">
      <w:pPr>
        <w:pStyle w:val="a"/>
        <w:rPr>
          <w:rFonts w:eastAsiaTheme="minorEastAsia" w:cstheme="minorBidi"/>
          <w:sz w:val="22"/>
          <w:szCs w:val="22"/>
          <w:rtl/>
        </w:rPr>
      </w:pPr>
      <w:r>
        <w:rPr>
          <w:rtl/>
        </w:rPr>
        <w:t>תירוץ הדברי מרדכי דהמחאה אינה רק שיזהר בשטר אלא דל"פ רבנן וכל שמחה כדין הוי מחאה</w:t>
      </w:r>
    </w:p>
    <w:p w:rsidR="007A505A" w:rsidRDefault="007A505A" w:rsidP="0007171D">
      <w:pPr>
        <w:pStyle w:val="aff4"/>
        <w:rPr>
          <w:rFonts w:eastAsiaTheme="minorEastAsia" w:cstheme="minorBidi"/>
          <w:i/>
          <w:iCs/>
          <w:noProof/>
          <w:sz w:val="22"/>
          <w:szCs w:val="22"/>
          <w:rtl/>
        </w:rPr>
      </w:pPr>
      <w:r>
        <w:rPr>
          <w:noProof/>
          <w:rtl/>
        </w:rPr>
        <w:t>ביאור הדברי מרדכי דל"פ רבנן במחאה כשמחה שלא כדין</w:t>
      </w:r>
    </w:p>
    <w:p w:rsidR="007A505A" w:rsidRDefault="007A505A" w:rsidP="007E4E81">
      <w:pPr>
        <w:pStyle w:val="a"/>
        <w:rPr>
          <w:rFonts w:eastAsiaTheme="minorEastAsia" w:cstheme="minorBidi"/>
          <w:sz w:val="22"/>
          <w:szCs w:val="22"/>
          <w:rtl/>
        </w:rPr>
      </w:pPr>
      <w:r>
        <w:rPr>
          <w:rtl/>
        </w:rPr>
        <w:t>ביאור הדברי מרדכי בקצוה"ח דכשמחה שלא כדין לא פלוג רבנן והוי חזקה אף שלא נזהר בשטר</w:t>
      </w:r>
    </w:p>
    <w:p w:rsidR="007A505A" w:rsidRDefault="007A505A" w:rsidP="0007171D">
      <w:pPr>
        <w:pStyle w:val="aff4"/>
        <w:rPr>
          <w:rFonts w:eastAsiaTheme="minorEastAsia" w:cstheme="minorBidi"/>
          <w:i/>
          <w:iCs/>
          <w:noProof/>
          <w:sz w:val="22"/>
          <w:szCs w:val="22"/>
          <w:rtl/>
        </w:rPr>
      </w:pPr>
      <w:r>
        <w:rPr>
          <w:noProof/>
          <w:rtl/>
        </w:rPr>
        <w:t>ביאור הקה"י ברא"ש ובנימוק"י בלא שמע המחזיק את המחאה</w:t>
      </w:r>
    </w:p>
    <w:p w:rsidR="007A505A" w:rsidRDefault="007A505A" w:rsidP="007E4E81">
      <w:pPr>
        <w:pStyle w:val="a"/>
        <w:rPr>
          <w:rFonts w:eastAsiaTheme="minorEastAsia" w:cstheme="minorBidi"/>
          <w:sz w:val="22"/>
          <w:szCs w:val="22"/>
          <w:rtl/>
        </w:rPr>
      </w:pPr>
      <w:r>
        <w:rPr>
          <w:rtl/>
        </w:rPr>
        <w:t>ביאור הקה"י ברא"ש דהחזקה היא תקנ"ח וכשמחה כדינו לא תיקנו חזקה אף שלא שמע המחזיק</w:t>
      </w:r>
    </w:p>
    <w:p w:rsidR="007A505A" w:rsidRDefault="007A505A" w:rsidP="007E4E81">
      <w:pPr>
        <w:pStyle w:val="a"/>
        <w:rPr>
          <w:rFonts w:eastAsiaTheme="minorEastAsia" w:cstheme="minorBidi"/>
          <w:sz w:val="22"/>
          <w:szCs w:val="22"/>
          <w:rtl/>
        </w:rPr>
      </w:pPr>
      <w:r>
        <w:rPr>
          <w:rtl/>
        </w:rPr>
        <w:t>ביאור הקה"י בנימוק"י דהחזקה היא ראיה מדלא מיחה ובמחה אין ראיה אף שלא שמע המחזיק</w:t>
      </w:r>
    </w:p>
    <w:p w:rsidR="007A505A" w:rsidRDefault="007A505A" w:rsidP="007E4E81">
      <w:pPr>
        <w:pStyle w:val="a"/>
        <w:rPr>
          <w:rFonts w:eastAsiaTheme="minorEastAsia" w:cstheme="minorBidi"/>
          <w:sz w:val="22"/>
          <w:szCs w:val="22"/>
          <w:rtl/>
        </w:rPr>
        <w:sectPr w:rsidR="007A505A" w:rsidSect="00DC277F">
          <w:type w:val="continuous"/>
          <w:pgSz w:w="11906" w:h="16838"/>
          <w:pgMar w:top="720" w:right="720" w:bottom="720" w:left="720" w:header="283" w:footer="283" w:gutter="0"/>
          <w:cols w:num="2" w:space="113"/>
          <w:titlePg/>
          <w:bidi/>
          <w:rtlGutter/>
          <w:docGrid w:linePitch="299"/>
        </w:sectPr>
      </w:pPr>
      <w:r>
        <w:rPr>
          <w:rtl/>
        </w:rPr>
        <w:t>ביאור הקה"י בנימוק"י דאחר שתיקנו רבנן את דין חזקה כל שלא מחה ממילא יש ראיה מדאו'</w:t>
      </w:r>
    </w:p>
    <w:p w:rsidR="007A505A" w:rsidRPr="001D1883" w:rsidRDefault="007A505A" w:rsidP="007A505A">
      <w:pPr>
        <w:pStyle w:val="2"/>
        <w:rPr>
          <w:rtl/>
        </w:rPr>
        <w:sectPr w:rsidR="007A505A" w:rsidRPr="001D1883" w:rsidSect="00DC277F">
          <w:type w:val="continuous"/>
          <w:pgSz w:w="11906" w:h="16838"/>
          <w:pgMar w:top="720" w:right="720" w:bottom="720" w:left="720" w:header="283" w:footer="283" w:gutter="0"/>
          <w:cols w:num="2" w:space="113"/>
          <w:titlePg/>
          <w:bidi/>
          <w:rtlGutter/>
          <w:docGrid w:linePitch="299"/>
        </w:sectPr>
      </w:pPr>
      <w:r w:rsidRPr="001D1883">
        <w:rPr>
          <w:rtl/>
        </w:rPr>
        <w:fldChar w:fldCharType="end"/>
      </w:r>
    </w:p>
    <w:p w:rsidR="007A505A" w:rsidRPr="001D1883" w:rsidRDefault="006C4F47" w:rsidP="007A505A">
      <w:pPr>
        <w:pStyle w:val="afe"/>
        <w:rPr>
          <w:rtl/>
        </w:rPr>
      </w:pPr>
      <w:r>
        <w:rPr>
          <w:rFonts w:hint="cs"/>
          <w:rtl/>
        </w:rPr>
        <w:lastRenderedPageBreak/>
        <w:t>~~~~~~~ מראי מקומות וביאורים ~~~~~~~</w:t>
      </w:r>
    </w:p>
    <w:p w:rsidR="007A505A" w:rsidRPr="001D1883" w:rsidRDefault="007A505A" w:rsidP="007A505A">
      <w:pPr>
        <w:pStyle w:val="2"/>
        <w:bidi w:val="0"/>
        <w:rPr>
          <w:rtl/>
        </w:rPr>
        <w:sectPr w:rsidR="007A505A" w:rsidRPr="001D1883" w:rsidSect="00962FD5">
          <w:footerReference w:type="default" r:id="rId45"/>
          <w:pgSz w:w="11906" w:h="16838"/>
          <w:pgMar w:top="720" w:right="720" w:bottom="720" w:left="720" w:header="283" w:footer="283" w:gutter="0"/>
          <w:cols w:space="720"/>
          <w:bidi/>
          <w:rtlGutter/>
          <w:docGrid w:linePitch="299"/>
        </w:sectPr>
      </w:pPr>
    </w:p>
    <w:p w:rsidR="007A505A" w:rsidRPr="001D1883" w:rsidRDefault="007A505A" w:rsidP="007A505A">
      <w:pPr>
        <w:pStyle w:val="afe"/>
        <w:rPr>
          <w:rtl/>
        </w:rPr>
      </w:pPr>
      <w:bookmarkStart w:id="3056" w:name="_Toc55391074"/>
      <w:r>
        <w:rPr>
          <w:rFonts w:hint="cs"/>
          <w:rtl/>
        </w:rPr>
        <w:t>ביאור</w:t>
      </w:r>
      <w:r w:rsidRPr="001D1883">
        <w:rPr>
          <w:rFonts w:hint="cs"/>
          <w:rtl/>
        </w:rPr>
        <w:t xml:space="preserve"> רש"י והרמב"ן </w:t>
      </w:r>
      <w:r>
        <w:rPr>
          <w:rFonts w:hint="cs"/>
          <w:rtl/>
        </w:rPr>
        <w:t>בגדר המחאה</w:t>
      </w:r>
      <w:bookmarkEnd w:id="3056"/>
    </w:p>
    <w:p w:rsidR="007A505A" w:rsidRPr="001D1883" w:rsidRDefault="007A505A" w:rsidP="007A505A">
      <w:pPr>
        <w:pStyle w:val="1"/>
        <w:rPr>
          <w:rtl/>
        </w:rPr>
      </w:pPr>
      <w:bookmarkStart w:id="3057" w:name="_Toc55325115"/>
      <w:bookmarkStart w:id="3058" w:name="_Toc55342029"/>
      <w:bookmarkStart w:id="3059" w:name="_Toc55342130"/>
      <w:bookmarkStart w:id="3060" w:name="_Toc55375214"/>
      <w:bookmarkStart w:id="3061" w:name="_Toc55386160"/>
      <w:bookmarkStart w:id="3062" w:name="_Toc55391075"/>
      <w:r w:rsidRPr="001D1883">
        <w:rPr>
          <w:rFonts w:hint="cs"/>
          <w:rtl/>
        </w:rPr>
        <w:t>ביאור הרמב"ן דרק להולכי אושא הו"א דצריך למחות בפניו</w:t>
      </w:r>
      <w:bookmarkEnd w:id="3057"/>
      <w:bookmarkEnd w:id="3058"/>
      <w:bookmarkEnd w:id="3059"/>
      <w:bookmarkEnd w:id="3060"/>
      <w:bookmarkEnd w:id="3061"/>
      <w:bookmarkEnd w:id="3062"/>
      <w:r w:rsidRPr="001D1883">
        <w:rPr>
          <w:rFonts w:hint="cs"/>
          <w:rtl/>
        </w:rPr>
        <w:t xml:space="preserve"> </w:t>
      </w:r>
    </w:p>
    <w:p w:rsidR="007A505A" w:rsidRPr="001D1883" w:rsidRDefault="007A505A" w:rsidP="007A505A">
      <w:pPr>
        <w:pStyle w:val="a3"/>
        <w:rPr>
          <w:rtl/>
        </w:rPr>
      </w:pPr>
      <w:bookmarkStart w:id="3063" w:name="_Toc55325116"/>
      <w:bookmarkStart w:id="3064" w:name="_Toc55342030"/>
      <w:bookmarkStart w:id="3065" w:name="_Toc55342131"/>
      <w:bookmarkStart w:id="3066" w:name="_Toc55375215"/>
      <w:bookmarkStart w:id="3067" w:name="_Toc55386161"/>
      <w:bookmarkStart w:id="3068" w:name="_Toc55391076"/>
      <w:bookmarkStart w:id="3069" w:name="_Toc55246080"/>
      <w:bookmarkStart w:id="3070" w:name="_Toc54555961"/>
      <w:bookmarkStart w:id="3071" w:name="_Toc54603731"/>
      <w:bookmarkStart w:id="3072" w:name="_Toc54642630"/>
      <w:bookmarkStart w:id="3073" w:name="_Toc55127831"/>
      <w:r w:rsidRPr="001D1883">
        <w:rPr>
          <w:rFonts w:hint="cs"/>
          <w:rtl/>
        </w:rPr>
        <w:t>דברי הרמב"ן דלולי הילפותא משור המועד אפש"ל דכשמחה שלא בפניו הקפיד ולא הוי חזקה</w:t>
      </w:r>
      <w:bookmarkEnd w:id="3063"/>
      <w:bookmarkEnd w:id="3064"/>
      <w:bookmarkEnd w:id="3065"/>
      <w:bookmarkEnd w:id="3066"/>
      <w:bookmarkEnd w:id="3067"/>
      <w:bookmarkEnd w:id="3068"/>
    </w:p>
    <w:p w:rsidR="007A505A" w:rsidRPr="001D1883" w:rsidRDefault="007A505A" w:rsidP="00BA3263">
      <w:pPr>
        <w:pStyle w:val="a0"/>
        <w:numPr>
          <w:ilvl w:val="0"/>
          <w:numId w:val="10"/>
        </w:numPr>
        <w:rPr>
          <w:rtl/>
        </w:rPr>
      </w:pPr>
      <w:bookmarkStart w:id="3074" w:name="_Ref55378813"/>
      <w:bookmarkStart w:id="3075" w:name="_Ref54609150"/>
      <w:r w:rsidRPr="001D1883">
        <w:rPr>
          <w:rFonts w:hint="cs"/>
          <w:rtl/>
        </w:rPr>
        <w:t xml:space="preserve">בקושית הגמ' דאי ילפינן משור המועד, א"כ לא תועיל בחזקה מחאה שלא בפניו, ביארו </w:t>
      </w:r>
      <w:r w:rsidRPr="001D1883">
        <w:rPr>
          <w:rStyle w:val="af9"/>
          <w:rFonts w:hint="cs"/>
          <w:rtl/>
        </w:rPr>
        <w:t>הרמב"ן</w:t>
      </w:r>
      <w:r w:rsidRPr="001D1883">
        <w:rPr>
          <w:rFonts w:hint="cs"/>
          <w:rtl/>
        </w:rPr>
        <w:t xml:space="preserve"> </w:t>
      </w:r>
      <w:r w:rsidRPr="007E4E81">
        <w:rPr>
          <w:rStyle w:val="af7"/>
          <w:rFonts w:eastAsia="Guttman Hodes" w:hint="cs"/>
          <w:rtl/>
        </w:rPr>
        <w:t>(ד"ה ותו)</w:t>
      </w:r>
      <w:r w:rsidRPr="001D1883">
        <w:rPr>
          <w:rFonts w:hint="cs"/>
          <w:rtl/>
        </w:rPr>
        <w:t xml:space="preserve"> </w:t>
      </w:r>
      <w:r w:rsidRPr="001D1883">
        <w:rPr>
          <w:rStyle w:val="af9"/>
          <w:rFonts w:hint="cs"/>
          <w:rtl/>
        </w:rPr>
        <w:t xml:space="preserve">והר"ן </w:t>
      </w:r>
      <w:r w:rsidRPr="007E4E81">
        <w:rPr>
          <w:rStyle w:val="af7"/>
          <w:rFonts w:eastAsia="Guttman Hodes" w:hint="cs"/>
          <w:rtl/>
        </w:rPr>
        <w:t>(ד"ה אלא)</w:t>
      </w:r>
      <w:r w:rsidRPr="001D1883">
        <w:rPr>
          <w:rFonts w:hint="cs"/>
          <w:rtl/>
        </w:rPr>
        <w:t xml:space="preserve"> דאי לא ילפינן חזקת ג"ש משור המועד, א"כ אפש"ל דטעמא דחזקה הוא דביותר מג"ש אדם מקפיד כל מי שמחזיק את שדהו, וכל שלא מחה ולא הקפיד, מוכח שמכר את השדה למחזיק, וא"כ אף במחאה שלא בפני המחזיק, שאנו יודעים שמחה, אנו יודעים שהוא הקפיד ולא הוי חזקה.</w:t>
      </w:r>
      <w:bookmarkEnd w:id="3074"/>
    </w:p>
    <w:p w:rsidR="007A505A" w:rsidRPr="001D1883" w:rsidRDefault="007A505A" w:rsidP="007A505A">
      <w:pPr>
        <w:pStyle w:val="a3"/>
      </w:pPr>
      <w:bookmarkStart w:id="3076" w:name="_Toc55325117"/>
      <w:bookmarkStart w:id="3077" w:name="_Toc55342031"/>
      <w:bookmarkStart w:id="3078" w:name="_Toc55342132"/>
      <w:bookmarkStart w:id="3079" w:name="_Toc55375216"/>
      <w:bookmarkStart w:id="3080" w:name="_Toc55386162"/>
      <w:bookmarkStart w:id="3081" w:name="_Toc55391077"/>
      <w:r w:rsidRPr="001D1883">
        <w:rPr>
          <w:rFonts w:hint="cs"/>
          <w:rtl/>
        </w:rPr>
        <w:t>דברי הרמב"ן דלהולכי אושא קשה דכמו דבהעדאה צריך בפניו אף בחזקה רק בפניו יזהר בשטר</w:t>
      </w:r>
      <w:bookmarkEnd w:id="3076"/>
      <w:bookmarkEnd w:id="3077"/>
      <w:bookmarkEnd w:id="3078"/>
      <w:bookmarkEnd w:id="3079"/>
      <w:bookmarkEnd w:id="3080"/>
      <w:bookmarkEnd w:id="3081"/>
    </w:p>
    <w:p w:rsidR="007A505A" w:rsidRPr="001D1883" w:rsidRDefault="007A505A" w:rsidP="007E4E81">
      <w:pPr>
        <w:pStyle w:val="a0"/>
        <w:rPr>
          <w:rtl/>
        </w:rPr>
      </w:pPr>
      <w:r w:rsidRPr="001D1883">
        <w:rPr>
          <w:rFonts w:hint="cs"/>
          <w:rtl/>
        </w:rPr>
        <w:t xml:space="preserve">אבל להולכי אושא דילפי חזקת ג"ש משור המועד, ביארו </w:t>
      </w:r>
      <w:r w:rsidRPr="001D1883">
        <w:rPr>
          <w:rStyle w:val="af9"/>
          <w:rFonts w:hint="cs"/>
          <w:rtl/>
        </w:rPr>
        <w:t>הרמב"ן</w:t>
      </w:r>
      <w:r w:rsidRPr="001D1883">
        <w:rPr>
          <w:rFonts w:hint="cs"/>
          <w:rtl/>
        </w:rPr>
        <w:t xml:space="preserve"> </w:t>
      </w:r>
      <w:r w:rsidRPr="001D1883">
        <w:rPr>
          <w:rStyle w:val="af9"/>
          <w:rFonts w:hint="cs"/>
          <w:rtl/>
        </w:rPr>
        <w:t xml:space="preserve">והר"ן </w:t>
      </w:r>
      <w:r w:rsidRPr="001D1883">
        <w:rPr>
          <w:rFonts w:hint="cs"/>
          <w:rtl/>
        </w:rPr>
        <w:t>דמקשה הגמ' דכמו דבשור צריך העדאה בפני הבעלים, דליעודי גברא קא אתי, וכל שלא הועד השור בפני הבעלים, אין הבעלים מייעד, דיכול לומר דאם היו אומרים לו שהשור מועד, היה נזהר בו יותר, וא"כ ה"ה בחזקת ג"ש, דיכול המחזיק לומר, דאם היה המערער מוחה בפניו, היה נזהר בשטרו, ודלא</w:t>
      </w:r>
      <w:r w:rsidRPr="001D1883">
        <w:rPr>
          <w:rStyle w:val="af9"/>
          <w:rFonts w:hint="cs"/>
          <w:rtl/>
        </w:rPr>
        <w:t xml:space="preserve"> כתוס'</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rPr>
        <w:instrText>REF</w:instrText>
      </w:r>
      <w:r w:rsidRPr="001D1883">
        <w:rPr>
          <w:rStyle w:val="af7"/>
          <w:rFonts w:eastAsia="Guttman Hodes"/>
          <w:rtl/>
        </w:rPr>
        <w:instrText xml:space="preserve"> _</w:instrText>
      </w:r>
      <w:r w:rsidRPr="001D1883">
        <w:rPr>
          <w:rStyle w:val="af7"/>
          <w:rFonts w:eastAsia="Guttman Hodes"/>
        </w:rPr>
        <w:instrText>Ref54609901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1D1883">
        <w:rPr>
          <w:rStyle w:val="af7"/>
          <w:rFonts w:eastAsia="Guttman Hodes"/>
          <w:rtl/>
        </w:rPr>
        <w:fldChar w:fldCharType="end"/>
      </w:r>
      <w:r w:rsidR="00A77F33">
        <w:rPr>
          <w:rFonts w:hint="cs"/>
          <w:rtl/>
        </w:rPr>
        <w:t xml:space="preserve"> </w:t>
      </w:r>
      <w:r>
        <w:rPr>
          <w:rFonts w:hint="cs"/>
          <w:rtl/>
        </w:rPr>
        <w:t>וכתב</w:t>
      </w:r>
      <w:r w:rsidRPr="001D1883">
        <w:rPr>
          <w:rStyle w:val="af9"/>
          <w:rFonts w:hint="cs"/>
          <w:rtl/>
        </w:rPr>
        <w:t xml:space="preserve"> בחי' רבי נחום </w:t>
      </w:r>
      <w:r w:rsidRPr="001D188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Ref55147610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Pr>
          <w:rStyle w:val="af7"/>
          <w:rFonts w:eastAsia="Guttman Hodes"/>
          <w:rtl/>
        </w:rPr>
        <w:fldChar w:fldCharType="end"/>
      </w:r>
      <w:r>
        <w:rPr>
          <w:rStyle w:val="af7"/>
          <w:rFonts w:eastAsia="Guttman Hodes" w:hint="cs"/>
          <w:rtl/>
        </w:rPr>
        <w:t xml:space="preserve"> </w:t>
      </w:r>
      <w:r>
        <w:rPr>
          <w:rFonts w:hint="cs"/>
          <w:rtl/>
        </w:rPr>
        <w:t xml:space="preserve">דכן דעת </w:t>
      </w:r>
      <w:r w:rsidRPr="001D1883">
        <w:rPr>
          <w:rStyle w:val="af9"/>
          <w:rFonts w:hint="cs"/>
          <w:rtl/>
        </w:rPr>
        <w:t>רש"י</w:t>
      </w:r>
      <w:r w:rsidRPr="001D1883">
        <w:rPr>
          <w:rFonts w:hint="cs"/>
          <w:rtl/>
        </w:rPr>
        <w:t>.</w:t>
      </w:r>
      <w:bookmarkEnd w:id="3075"/>
    </w:p>
    <w:p w:rsidR="007A505A" w:rsidRPr="001D1883" w:rsidRDefault="007A505A" w:rsidP="007A505A">
      <w:pPr>
        <w:pStyle w:val="1"/>
        <w:rPr>
          <w:rtl/>
        </w:rPr>
      </w:pPr>
      <w:bookmarkStart w:id="3082" w:name="_Toc55325118"/>
      <w:bookmarkStart w:id="3083" w:name="_Toc55342032"/>
      <w:bookmarkStart w:id="3084" w:name="_Toc55342133"/>
      <w:bookmarkStart w:id="3085" w:name="_Toc55375217"/>
      <w:bookmarkStart w:id="3086" w:name="_Toc55386163"/>
      <w:bookmarkStart w:id="3087" w:name="_Toc55391078"/>
      <w:r w:rsidRPr="001D1883">
        <w:rPr>
          <w:rFonts w:hint="cs"/>
          <w:rtl/>
        </w:rPr>
        <w:t>דעת רש"י דמחאה היא התראה ודמי להעדאה בשור</w:t>
      </w:r>
      <w:bookmarkEnd w:id="3069"/>
      <w:bookmarkEnd w:id="3082"/>
      <w:bookmarkEnd w:id="3083"/>
      <w:bookmarkEnd w:id="3084"/>
      <w:bookmarkEnd w:id="3085"/>
      <w:bookmarkEnd w:id="3086"/>
      <w:bookmarkEnd w:id="3087"/>
    </w:p>
    <w:p w:rsidR="007A505A" w:rsidRPr="001D1883" w:rsidRDefault="007A505A" w:rsidP="007A505A">
      <w:pPr>
        <w:pStyle w:val="a3"/>
        <w:rPr>
          <w:rtl/>
        </w:rPr>
      </w:pPr>
      <w:bookmarkStart w:id="3088" w:name="_Toc55325119"/>
      <w:bookmarkStart w:id="3089" w:name="_Toc55342033"/>
      <w:bookmarkStart w:id="3090" w:name="_Toc55342134"/>
      <w:bookmarkStart w:id="3091" w:name="_Toc55375218"/>
      <w:bookmarkStart w:id="3092" w:name="_Toc55386164"/>
      <w:bookmarkStart w:id="3093" w:name="_Toc55391079"/>
      <w:r w:rsidRPr="001D1883">
        <w:rPr>
          <w:rFonts w:hint="cs"/>
          <w:rtl/>
        </w:rPr>
        <w:t>דברי רש"י דהעדאה היא התראה שישמור שורו וצריך בפניו וה"ה במחאה דמתרה שישמור שטרו</w:t>
      </w:r>
      <w:bookmarkEnd w:id="3088"/>
      <w:bookmarkEnd w:id="3089"/>
      <w:bookmarkEnd w:id="3090"/>
      <w:bookmarkEnd w:id="3091"/>
      <w:bookmarkEnd w:id="3092"/>
      <w:bookmarkEnd w:id="3093"/>
    </w:p>
    <w:p w:rsidR="007A505A" w:rsidRPr="001D1883" w:rsidRDefault="007A505A" w:rsidP="007E4E81">
      <w:pPr>
        <w:pStyle w:val="a0"/>
        <w:rPr>
          <w:rtl/>
        </w:rPr>
      </w:pPr>
      <w:bookmarkStart w:id="3094" w:name="_Ref54603459"/>
      <w:r w:rsidRPr="001D1883">
        <w:rPr>
          <w:rFonts w:hint="cs"/>
          <w:rtl/>
        </w:rPr>
        <w:t xml:space="preserve">בקושית הגמ' דלא תועיל מחאה שלא בפניו, כמו בהעדאת שור, ביאר </w:t>
      </w:r>
      <w:r w:rsidRPr="001D1883">
        <w:rPr>
          <w:rStyle w:val="af9"/>
          <w:rFonts w:hint="cs"/>
          <w:rtl/>
        </w:rPr>
        <w:t>רש"י</w:t>
      </w:r>
      <w:r w:rsidRPr="001D1883">
        <w:rPr>
          <w:rFonts w:hint="cs"/>
          <w:rtl/>
        </w:rPr>
        <w:t xml:space="preserve"> </w:t>
      </w:r>
      <w:r w:rsidRPr="001D1883">
        <w:rPr>
          <w:rStyle w:val="af7"/>
          <w:rFonts w:eastAsia="Guttman Hodes" w:hint="cs"/>
          <w:rtl/>
        </w:rPr>
        <w:t>(ד"ה דומיא)</w:t>
      </w:r>
      <w:r w:rsidRPr="001D1883">
        <w:rPr>
          <w:rFonts w:hint="cs"/>
          <w:rtl/>
        </w:rPr>
        <w:t xml:space="preserve"> דכמו שאם העידו ג' פעמים על השור שנגח שלא בפני הבעלים, אינו נעשה מועד בזה, ה"ה בהתראת עדות של מחאה, דרק אם העדים העידו בפני המחזיק שמחה המערער, תהוי מחאה, דהא כמו שהעדאת השור היא התראה שישמור הבעלים את שורו, ולכן צריך להעיד בפניו, אף המחאה היא התראה שהמחזיק יזהר בראיות של זכותו, ושטר המכירה, ולכן צריך למחות בפניו. [ועי' במה שביארו </w:t>
      </w:r>
      <w:r w:rsidRPr="001D1883">
        <w:rPr>
          <w:rStyle w:val="af9"/>
          <w:rFonts w:hint="cs"/>
          <w:rtl/>
        </w:rPr>
        <w:t>הרשב"א והריטב"א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Ref54627826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1D1883">
        <w:rPr>
          <w:rStyle w:val="af7"/>
          <w:rFonts w:eastAsia="Guttman Hodes"/>
          <w:rtl/>
        </w:rPr>
        <w:fldChar w:fldCharType="end"/>
      </w:r>
      <w:r w:rsidRPr="001D1883">
        <w:rPr>
          <w:rFonts w:hint="cs"/>
          <w:rtl/>
        </w:rPr>
        <w:t xml:space="preserve"> </w:t>
      </w:r>
      <w:r w:rsidRPr="001D1883">
        <w:rPr>
          <w:rStyle w:val="af9"/>
          <w:rFonts w:hint="cs"/>
          <w:rtl/>
        </w:rPr>
        <w:t>והר"ן</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Ref54629894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Pr="001D1883">
        <w:rPr>
          <w:rStyle w:val="af7"/>
          <w:rFonts w:eastAsia="Guttman Hodes"/>
          <w:rtl/>
        </w:rPr>
        <w:fldChar w:fldCharType="end"/>
      </w:r>
      <w:r w:rsidRPr="001D1883">
        <w:rPr>
          <w:rFonts w:hint="cs"/>
          <w:rtl/>
        </w:rPr>
        <w:t xml:space="preserve"> בדברי </w:t>
      </w:r>
      <w:r w:rsidRPr="001D1883">
        <w:rPr>
          <w:rStyle w:val="af9"/>
          <w:rFonts w:hint="cs"/>
          <w:rtl/>
        </w:rPr>
        <w:t>רש"י</w:t>
      </w:r>
      <w:r w:rsidRPr="001D1883">
        <w:rPr>
          <w:rFonts w:hint="cs"/>
          <w:rtl/>
        </w:rPr>
        <w:t>, ובמה שהוסיף</w:t>
      </w:r>
      <w:r w:rsidRPr="001D1883">
        <w:rPr>
          <w:rStyle w:val="af9"/>
          <w:rFonts w:hint="cs"/>
          <w:rtl/>
        </w:rPr>
        <w:t xml:space="preserve"> הרמב"ן</w:t>
      </w:r>
      <w:r w:rsidRPr="001D1883">
        <w:rPr>
          <w:rFonts w:hint="cs"/>
          <w:rtl/>
        </w:rPr>
        <w:t xml:space="preserve"> </w:t>
      </w:r>
      <w:r w:rsidRPr="001D1883">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Ref55379980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Pr>
          <w:rStyle w:val="af7"/>
          <w:rFonts w:eastAsia="Guttman Hodes"/>
          <w:rtl/>
        </w:rPr>
        <w:fldChar w:fldCharType="end"/>
      </w:r>
      <w:r w:rsidRPr="001D1883">
        <w:rPr>
          <w:rStyle w:val="af7"/>
          <w:rFonts w:eastAsia="Guttman Hodes" w:hint="cs"/>
          <w:rtl/>
        </w:rPr>
        <w:t xml:space="preserve"> </w:t>
      </w:r>
      <w:r w:rsidRPr="001D1883">
        <w:rPr>
          <w:rFonts w:hint="cs"/>
          <w:rtl/>
        </w:rPr>
        <w:t xml:space="preserve">על דברי </w:t>
      </w:r>
      <w:r w:rsidRPr="001D1883">
        <w:rPr>
          <w:rStyle w:val="af9"/>
          <w:rFonts w:hint="cs"/>
          <w:rtl/>
        </w:rPr>
        <w:t>רש"י</w:t>
      </w:r>
      <w:r w:rsidRPr="001D1883">
        <w:rPr>
          <w:rFonts w:hint="cs"/>
          <w:rtl/>
        </w:rPr>
        <w:t xml:space="preserve">, ובמה שהקשו </w:t>
      </w:r>
      <w:r w:rsidRPr="001D1883">
        <w:rPr>
          <w:rStyle w:val="af9"/>
          <w:rFonts w:hint="cs"/>
          <w:rtl/>
        </w:rPr>
        <w:t>הריטב"א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Ref54626073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1D1883">
        <w:rPr>
          <w:rStyle w:val="af7"/>
          <w:rFonts w:eastAsia="Guttman Hodes"/>
          <w:rtl/>
        </w:rPr>
        <w:fldChar w:fldCharType="end"/>
      </w:r>
      <w:r w:rsidRPr="001D1883">
        <w:rPr>
          <w:rFonts w:hint="cs"/>
          <w:rtl/>
        </w:rPr>
        <w:t xml:space="preserve"> </w:t>
      </w:r>
      <w:r w:rsidRPr="001D1883">
        <w:rPr>
          <w:rStyle w:val="af9"/>
          <w:rFonts w:hint="cs"/>
          <w:rtl/>
        </w:rPr>
        <w:t>והתוס' הרא"ש</w:t>
      </w:r>
      <w:r w:rsidRPr="001D1883">
        <w:rPr>
          <w:rStyle w:val="af7"/>
          <w:rFonts w:eastAsia="Guttman Hodes" w:hint="cs"/>
          <w:rtl/>
        </w:rPr>
        <w:t xml:space="preserve"> (עי'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Ref54603444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1D1883">
        <w:rPr>
          <w:rStyle w:val="af7"/>
          <w:rFonts w:eastAsia="Guttman Hodes"/>
          <w:rtl/>
        </w:rPr>
        <w:fldChar w:fldCharType="end"/>
      </w:r>
      <w:r>
        <w:rPr>
          <w:rFonts w:hint="cs"/>
          <w:rtl/>
        </w:rPr>
        <w:t xml:space="preserve"> </w:t>
      </w:r>
      <w:r w:rsidRPr="001D1883">
        <w:rPr>
          <w:rFonts w:hint="cs"/>
          <w:rtl/>
        </w:rPr>
        <w:t xml:space="preserve">על </w:t>
      </w:r>
      <w:r w:rsidRPr="001D1883">
        <w:rPr>
          <w:rStyle w:val="af9"/>
          <w:rFonts w:hint="cs"/>
          <w:rtl/>
        </w:rPr>
        <w:t>רש"י</w:t>
      </w:r>
      <w:r w:rsidRPr="001D1883">
        <w:rPr>
          <w:rFonts w:hint="cs"/>
          <w:rtl/>
        </w:rPr>
        <w:t xml:space="preserve">, ובמה שביאר </w:t>
      </w:r>
      <w:r w:rsidRPr="001D1883">
        <w:rPr>
          <w:rStyle w:val="af9"/>
          <w:rFonts w:hint="cs"/>
          <w:rtl/>
        </w:rPr>
        <w:t xml:space="preserve">בחי' רבי נחום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Ref55124646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sidRPr="001D1883">
        <w:rPr>
          <w:rStyle w:val="af7"/>
          <w:rFonts w:eastAsia="Guttman Hodes"/>
          <w:rtl/>
        </w:rPr>
        <w:fldChar w:fldCharType="end"/>
      </w:r>
      <w:r w:rsidRPr="001D1883">
        <w:rPr>
          <w:rFonts w:hint="cs"/>
          <w:rtl/>
        </w:rPr>
        <w:t xml:space="preserve"> בדברי </w:t>
      </w:r>
      <w:r w:rsidRPr="001D1883">
        <w:rPr>
          <w:rStyle w:val="af9"/>
          <w:rFonts w:hint="cs"/>
          <w:rtl/>
        </w:rPr>
        <w:t>רש"י</w:t>
      </w:r>
      <w:r>
        <w:rPr>
          <w:rFonts w:hint="cs"/>
          <w:rtl/>
        </w:rPr>
        <w:t xml:space="preserve">, וע"ע במה שהקשה </w:t>
      </w:r>
      <w:r w:rsidRPr="008E23EB">
        <w:rPr>
          <w:rStyle w:val="af9"/>
          <w:rFonts w:hint="cs"/>
          <w:rtl/>
        </w:rPr>
        <w:t xml:space="preserve">בחי' רבי נחום </w:t>
      </w:r>
      <w:r w:rsidRPr="00FD5886">
        <w:rPr>
          <w:rStyle w:val="af7"/>
          <w:rFonts w:eastAsia="Guttman Hodes" w:hint="cs"/>
          <w:rtl/>
        </w:rPr>
        <w:t xml:space="preserve">(עי' אות </w:t>
      </w:r>
      <w:r w:rsidRPr="00FD5886">
        <w:rPr>
          <w:rStyle w:val="af7"/>
          <w:rFonts w:eastAsia="Guttman Hodes"/>
          <w:rtl/>
        </w:rPr>
        <w:fldChar w:fldCharType="begin"/>
      </w:r>
      <w:r w:rsidRPr="00FD5886">
        <w:rPr>
          <w:rStyle w:val="af7"/>
          <w:rFonts w:eastAsia="Guttman Hodes"/>
          <w:rtl/>
        </w:rPr>
        <w:instrText xml:space="preserve"> </w:instrText>
      </w:r>
      <w:r w:rsidRPr="00FD5886">
        <w:rPr>
          <w:rStyle w:val="af7"/>
          <w:rFonts w:eastAsia="Guttman Hodes" w:hint="cs"/>
        </w:rPr>
        <w:instrText>REF</w:instrText>
      </w:r>
      <w:r w:rsidRPr="00FD5886">
        <w:rPr>
          <w:rStyle w:val="af7"/>
          <w:rFonts w:eastAsia="Guttman Hodes" w:hint="cs"/>
          <w:rtl/>
        </w:rPr>
        <w:instrText xml:space="preserve"> _</w:instrText>
      </w:r>
      <w:r w:rsidRPr="00FD5886">
        <w:rPr>
          <w:rStyle w:val="af7"/>
          <w:rFonts w:eastAsia="Guttman Hodes" w:hint="cs"/>
        </w:rPr>
        <w:instrText>Ref55379764 \r \h</w:instrText>
      </w:r>
      <w:r w:rsidRPr="00FD5886">
        <w:rPr>
          <w:rStyle w:val="af7"/>
          <w:rFonts w:eastAsia="Guttman Hodes"/>
          <w:rtl/>
        </w:rPr>
        <w:instrText xml:space="preserve"> </w:instrText>
      </w:r>
      <w:r w:rsidRPr="00FD5886">
        <w:rPr>
          <w:rStyle w:val="af7"/>
          <w:rFonts w:eastAsia="Guttman Hodes"/>
          <w:rtl/>
        </w:rPr>
      </w:r>
      <w:r w:rsidRPr="00FD5886">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FD5886">
        <w:rPr>
          <w:rStyle w:val="af7"/>
          <w:rFonts w:eastAsia="Guttman Hodes"/>
          <w:rtl/>
        </w:rPr>
        <w:fldChar w:fldCharType="end"/>
      </w:r>
      <w:r>
        <w:rPr>
          <w:rFonts w:hint="cs"/>
          <w:rtl/>
        </w:rPr>
        <w:t xml:space="preserve"> מסתירת דברי</w:t>
      </w:r>
      <w:r w:rsidRPr="001D1883">
        <w:rPr>
          <w:rFonts w:hint="cs"/>
          <w:rtl/>
        </w:rPr>
        <w:t xml:space="preserve"> </w:t>
      </w:r>
      <w:r w:rsidRPr="008E23EB">
        <w:rPr>
          <w:rStyle w:val="af9"/>
          <w:rFonts w:hint="cs"/>
          <w:rtl/>
        </w:rPr>
        <w:t>רש"י במתני'</w:t>
      </w:r>
      <w:r w:rsidRPr="001D1883">
        <w:rPr>
          <w:rFonts w:hint="cs"/>
          <w:rtl/>
        </w:rPr>
        <w:t>].</w:t>
      </w:r>
      <w:bookmarkEnd w:id="3094"/>
    </w:p>
    <w:p w:rsidR="007A505A" w:rsidRPr="001D1883" w:rsidRDefault="007A505A" w:rsidP="007A505A">
      <w:pPr>
        <w:pStyle w:val="1"/>
        <w:rPr>
          <w:rtl/>
        </w:rPr>
      </w:pPr>
      <w:bookmarkStart w:id="3095" w:name="_Toc55325120"/>
      <w:bookmarkStart w:id="3096" w:name="_Toc55342034"/>
      <w:bookmarkStart w:id="3097" w:name="_Toc55342135"/>
      <w:bookmarkStart w:id="3098" w:name="_Toc55375219"/>
      <w:bookmarkStart w:id="3099" w:name="_Toc55386165"/>
      <w:bookmarkStart w:id="3100" w:name="_Toc55391080"/>
      <w:r w:rsidRPr="001D1883">
        <w:rPr>
          <w:rFonts w:hint="cs"/>
          <w:rtl/>
        </w:rPr>
        <w:t>ביאור רש"י והרמב"ן דהעדאה בפניו שיוכל להכחיש את העדים</w:t>
      </w:r>
      <w:bookmarkEnd w:id="3095"/>
      <w:bookmarkEnd w:id="3096"/>
      <w:bookmarkEnd w:id="3097"/>
      <w:bookmarkEnd w:id="3098"/>
      <w:bookmarkEnd w:id="3099"/>
      <w:bookmarkEnd w:id="3100"/>
    </w:p>
    <w:p w:rsidR="007A505A" w:rsidRPr="001D1883" w:rsidRDefault="007A505A" w:rsidP="007A505A">
      <w:pPr>
        <w:pStyle w:val="a3"/>
        <w:rPr>
          <w:rtl/>
        </w:rPr>
      </w:pPr>
      <w:bookmarkStart w:id="3101" w:name="_Toc55325121"/>
      <w:bookmarkStart w:id="3102" w:name="_Toc55342035"/>
      <w:bookmarkStart w:id="3103" w:name="_Toc55342136"/>
      <w:bookmarkStart w:id="3104" w:name="_Toc55375220"/>
      <w:bookmarkStart w:id="3105" w:name="_Toc55386166"/>
      <w:bookmarkStart w:id="3106" w:name="_Toc55391081"/>
      <w:r w:rsidRPr="001D1883">
        <w:rPr>
          <w:rFonts w:hint="cs"/>
          <w:rtl/>
        </w:rPr>
        <w:t>דברי רש"י דתי' הגמ' דבהעדאה צריך בפניו בכדי שיוכל להזים את העדים או להכחישם</w:t>
      </w:r>
      <w:bookmarkEnd w:id="3101"/>
      <w:bookmarkEnd w:id="3102"/>
      <w:bookmarkEnd w:id="3103"/>
      <w:bookmarkEnd w:id="3104"/>
      <w:bookmarkEnd w:id="3105"/>
      <w:bookmarkEnd w:id="3106"/>
    </w:p>
    <w:p w:rsidR="007A505A" w:rsidRPr="001D1883" w:rsidRDefault="007A505A" w:rsidP="007E4E81">
      <w:pPr>
        <w:pStyle w:val="a0"/>
        <w:rPr>
          <w:rStyle w:val="afb"/>
          <w:rtl/>
        </w:rPr>
      </w:pPr>
      <w:bookmarkStart w:id="3107" w:name="_Ref55469117"/>
      <w:bookmarkStart w:id="3108" w:name="_Ref55121456"/>
      <w:r w:rsidRPr="001D1883">
        <w:rPr>
          <w:rFonts w:hint="cs"/>
          <w:rtl/>
        </w:rPr>
        <w:t xml:space="preserve">ובתירוץ הגמ' דבשור המועד צריך העדאה בפני הבעלים, כדכתיב והועד בבעליו, אבל מחאה מהני שלא בפניו, כיון דחברך חברא אית ליה, כתבו </w:t>
      </w:r>
      <w:r w:rsidRPr="001D1883">
        <w:rPr>
          <w:rStyle w:val="af9"/>
          <w:rFonts w:hint="cs"/>
          <w:rtl/>
        </w:rPr>
        <w:t>רש"י</w:t>
      </w:r>
      <w:r w:rsidRPr="001D1883">
        <w:rPr>
          <w:rFonts w:hint="cs"/>
          <w:rtl/>
        </w:rPr>
        <w:t xml:space="preserve"> </w:t>
      </w:r>
      <w:r w:rsidRPr="001D1883">
        <w:rPr>
          <w:rStyle w:val="af7"/>
          <w:rFonts w:eastAsia="Guttman Hodes" w:hint="cs"/>
          <w:rtl/>
        </w:rPr>
        <w:t>(ד"ה התם)</w:t>
      </w:r>
      <w:r w:rsidRPr="001D1883">
        <w:rPr>
          <w:rFonts w:hint="cs"/>
          <w:rtl/>
        </w:rPr>
        <w:t xml:space="preserve"> </w:t>
      </w:r>
      <w:r w:rsidRPr="001D1883">
        <w:rPr>
          <w:rStyle w:val="af9"/>
          <w:rFonts w:hint="cs"/>
          <w:rtl/>
        </w:rPr>
        <w:t>והרמב"ן</w:t>
      </w:r>
      <w:r w:rsidRPr="001D1883">
        <w:rPr>
          <w:rFonts w:hint="cs"/>
          <w:rtl/>
        </w:rPr>
        <w:t xml:space="preserve"> </w:t>
      </w:r>
      <w:r w:rsidRPr="001D1883">
        <w:rPr>
          <w:rStyle w:val="af7"/>
          <w:rFonts w:eastAsia="Guttman Hodes" w:hint="cs"/>
          <w:rtl/>
        </w:rPr>
        <w:t>(ד"ה ותו)</w:t>
      </w:r>
      <w:r w:rsidRPr="001D1883">
        <w:rPr>
          <w:rFonts w:hint="cs"/>
          <w:rtl/>
        </w:rPr>
        <w:t xml:space="preserve"> דאעפ"י דילפינן דחזקת ג"ש מוציאה מחזקת המרא קמא, מג' נגיחות דשור המועד דמוציאות מחזקת תם, מ"מ לא ילפינן דמחאת המערער היא כמו העדאת השור, דהא בהעדאה בשור אנו באים לחייב את השור נזק שלם כשיגח, ולהעמידו בחזקת מועד, ולכן ההעדאה היא בפני הבעלים, בכדי שידע שעליו לטעון טענות דשורו אינו מועד, ולהכחיש את העדים או להזימן, והוסיף </w:t>
      </w:r>
      <w:r w:rsidRPr="001D1883">
        <w:rPr>
          <w:rStyle w:val="af9"/>
          <w:rFonts w:hint="cs"/>
          <w:rtl/>
        </w:rPr>
        <w:t>הרמב"ן</w:t>
      </w:r>
      <w:r w:rsidRPr="001D1883">
        <w:rPr>
          <w:rFonts w:hint="cs"/>
          <w:rtl/>
        </w:rPr>
        <w:t xml:space="preserve"> דכל שלא העידו עדים בפניו, חושב שהעדאתו אינה כלום, כיון שלא תבעו אותו</w:t>
      </w:r>
      <w:bookmarkStart w:id="3109" w:name="_Ref55375127"/>
      <w:r>
        <w:rPr>
          <w:rFonts w:hint="cs"/>
          <w:rtl/>
        </w:rPr>
        <w:t xml:space="preserve">, ועי' במה שביאר </w:t>
      </w:r>
      <w:r w:rsidRPr="001D1883">
        <w:rPr>
          <w:rStyle w:val="af9"/>
          <w:rFonts w:hint="cs"/>
          <w:rtl/>
        </w:rPr>
        <w:t xml:space="preserve">בחי' רבי נחום </w:t>
      </w:r>
      <w:r w:rsidRPr="001D188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Ref55318295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Pr>
          <w:rStyle w:val="af7"/>
          <w:rFonts w:eastAsia="Guttman Hodes"/>
          <w:rtl/>
        </w:rPr>
        <w:fldChar w:fldCharType="end"/>
      </w:r>
      <w:r>
        <w:rPr>
          <w:rStyle w:val="af7"/>
          <w:rFonts w:eastAsia="Guttman Hodes" w:hint="cs"/>
          <w:rtl/>
        </w:rPr>
        <w:t xml:space="preserve"> </w:t>
      </w:r>
      <w:r w:rsidRPr="001D1883">
        <w:rPr>
          <w:rFonts w:hint="cs"/>
          <w:rtl/>
        </w:rPr>
        <w:t>ב</w:t>
      </w:r>
      <w:r>
        <w:rPr>
          <w:rFonts w:hint="cs"/>
          <w:rtl/>
        </w:rPr>
        <w:t>דברי</w:t>
      </w:r>
      <w:r>
        <w:rPr>
          <w:rStyle w:val="af9"/>
          <w:rFonts w:hint="cs"/>
          <w:rtl/>
        </w:rPr>
        <w:t xml:space="preserve"> </w:t>
      </w:r>
      <w:r w:rsidRPr="001D1883">
        <w:rPr>
          <w:rStyle w:val="af9"/>
          <w:rFonts w:hint="cs"/>
          <w:rtl/>
        </w:rPr>
        <w:t>רש"י</w:t>
      </w:r>
      <w:r w:rsidRPr="001D1883">
        <w:rPr>
          <w:rFonts w:hint="cs"/>
          <w:rtl/>
        </w:rPr>
        <w:t xml:space="preserve"> </w:t>
      </w:r>
      <w:r w:rsidRPr="001D1883">
        <w:rPr>
          <w:rStyle w:val="af9"/>
          <w:rFonts w:hint="cs"/>
          <w:rtl/>
        </w:rPr>
        <w:t>והרמב"ן</w:t>
      </w:r>
      <w:r w:rsidRPr="001D1883">
        <w:rPr>
          <w:rStyle w:val="af1"/>
          <w:rtl/>
        </w:rPr>
        <w:footnoteReference w:id="8"/>
      </w:r>
      <w:bookmarkEnd w:id="3109"/>
      <w:r w:rsidRPr="001D1883">
        <w:rPr>
          <w:rFonts w:hint="cs"/>
          <w:rtl/>
        </w:rPr>
        <w:t xml:space="preserve">. </w:t>
      </w:r>
      <w:r w:rsidRPr="001D1883">
        <w:rPr>
          <w:rStyle w:val="afb"/>
          <w:rFonts w:hint="cs"/>
          <w:rtl/>
        </w:rPr>
        <w:t xml:space="preserve">[ועי' במ"ש </w:t>
      </w:r>
      <w:r w:rsidRPr="001D1883">
        <w:rPr>
          <w:rStyle w:val="affa"/>
          <w:rFonts w:hint="cs"/>
          <w:rtl/>
        </w:rPr>
        <w:t>הקוב"ש</w:t>
      </w:r>
      <w:r w:rsidRPr="001D1883">
        <w:rPr>
          <w:rStyle w:val="afb"/>
          <w:rFonts w:hint="cs"/>
          <w:rtl/>
        </w:rPr>
        <w:t xml:space="preserve"> </w:t>
      </w:r>
      <w:r w:rsidRPr="001D1883">
        <w:rPr>
          <w:rStyle w:val="aff6"/>
          <w:rFonts w:hint="cs"/>
          <w:rtl/>
        </w:rPr>
        <w:t>(או' ק"ב)</w:t>
      </w:r>
      <w:r w:rsidRPr="001D1883">
        <w:rPr>
          <w:rStyle w:val="afb"/>
          <w:rFonts w:hint="cs"/>
          <w:rtl/>
        </w:rPr>
        <w:t xml:space="preserve"> דכדברי </w:t>
      </w:r>
      <w:r w:rsidRPr="001D1883">
        <w:rPr>
          <w:rStyle w:val="affa"/>
          <w:rFonts w:hint="cs"/>
          <w:rtl/>
        </w:rPr>
        <w:t>רש"י</w:t>
      </w:r>
      <w:r w:rsidRPr="001D1883">
        <w:rPr>
          <w:rStyle w:val="afb"/>
          <w:rFonts w:hint="cs"/>
          <w:rtl/>
        </w:rPr>
        <w:t xml:space="preserve"> כן מוכח בגמ' בב"ק </w:t>
      </w:r>
      <w:r w:rsidRPr="001D1883">
        <w:rPr>
          <w:rStyle w:val="aff6"/>
          <w:rFonts w:hint="cs"/>
          <w:rtl/>
        </w:rPr>
        <w:t>(קיב:)</w:t>
      </w:r>
      <w:r w:rsidRPr="001D1883">
        <w:rPr>
          <w:rStyle w:val="afb"/>
          <w:rFonts w:hint="cs"/>
          <w:rtl/>
        </w:rPr>
        <w:t>].</w:t>
      </w:r>
      <w:bookmarkEnd w:id="3107"/>
      <w:r w:rsidRPr="001D1883">
        <w:rPr>
          <w:rStyle w:val="afb"/>
          <w:rFonts w:hint="cs"/>
          <w:rtl/>
        </w:rPr>
        <w:t xml:space="preserve"> </w:t>
      </w:r>
    </w:p>
    <w:p w:rsidR="007A505A" w:rsidRPr="001D1883" w:rsidRDefault="007A505A" w:rsidP="007A505A">
      <w:pPr>
        <w:pStyle w:val="a3"/>
      </w:pPr>
      <w:bookmarkStart w:id="3110" w:name="_Toc55325122"/>
      <w:bookmarkStart w:id="3111" w:name="_Toc55342036"/>
      <w:bookmarkStart w:id="3112" w:name="_Toc55342137"/>
      <w:bookmarkStart w:id="3113" w:name="_Toc55375221"/>
      <w:bookmarkStart w:id="3114" w:name="_Toc55386167"/>
      <w:bookmarkStart w:id="3115" w:name="_Toc55391082"/>
      <w:r w:rsidRPr="001D1883">
        <w:rPr>
          <w:rFonts w:hint="cs"/>
          <w:rtl/>
        </w:rPr>
        <w:t>דברי רש"י דמחאה ישמע המחזיק ע"י אחרים ויוכל להזהר בזכויותיו</w:t>
      </w:r>
      <w:bookmarkEnd w:id="3110"/>
      <w:bookmarkEnd w:id="3111"/>
      <w:bookmarkEnd w:id="3112"/>
      <w:bookmarkEnd w:id="3113"/>
      <w:bookmarkEnd w:id="3114"/>
      <w:bookmarkEnd w:id="3115"/>
    </w:p>
    <w:p w:rsidR="007A505A" w:rsidRPr="00995328" w:rsidRDefault="007A505A" w:rsidP="007E4E81">
      <w:pPr>
        <w:pStyle w:val="a0"/>
        <w:rPr>
          <w:rStyle w:val="af9"/>
          <w:b w:val="0"/>
          <w:bCs w:val="0"/>
        </w:rPr>
      </w:pPr>
      <w:bookmarkStart w:id="3116" w:name="_Ref55470130"/>
      <w:r w:rsidRPr="001D1883">
        <w:rPr>
          <w:rFonts w:hint="cs"/>
          <w:rtl/>
        </w:rPr>
        <w:t xml:space="preserve">אבל במחאה כתבו </w:t>
      </w:r>
      <w:r w:rsidRPr="001D1883">
        <w:rPr>
          <w:rStyle w:val="af9"/>
          <w:rFonts w:hint="cs"/>
          <w:rtl/>
        </w:rPr>
        <w:t>רש"י</w:t>
      </w:r>
      <w:r w:rsidRPr="001D1883">
        <w:rPr>
          <w:rFonts w:hint="cs"/>
          <w:rtl/>
        </w:rPr>
        <w:t xml:space="preserve"> </w:t>
      </w:r>
      <w:r w:rsidRPr="001D1883">
        <w:rPr>
          <w:rStyle w:val="af7"/>
          <w:rFonts w:eastAsia="Guttman Hodes" w:hint="cs"/>
          <w:rtl/>
        </w:rPr>
        <w:t>(ד"ה התם, ד"ה דחברך)</w:t>
      </w:r>
      <w:r w:rsidRPr="001D1883">
        <w:rPr>
          <w:rFonts w:hint="cs"/>
          <w:rtl/>
        </w:rPr>
        <w:t xml:space="preserve"> </w:t>
      </w:r>
      <w:r w:rsidRPr="001D1883">
        <w:rPr>
          <w:rStyle w:val="af9"/>
          <w:rFonts w:hint="cs"/>
          <w:rtl/>
        </w:rPr>
        <w:t>והרמב"ן</w:t>
      </w:r>
      <w:r w:rsidRPr="001D1883">
        <w:rPr>
          <w:rFonts w:hint="cs"/>
          <w:rtl/>
        </w:rPr>
        <w:t xml:space="preserve"> </w:t>
      </w:r>
      <w:r w:rsidRPr="001D1883">
        <w:rPr>
          <w:rStyle w:val="af7"/>
          <w:rFonts w:eastAsia="Guttman Hodes" w:hint="cs"/>
          <w:rtl/>
        </w:rPr>
        <w:t>(ד"ה ותו)</w:t>
      </w:r>
      <w:r w:rsidRPr="001D1883">
        <w:rPr>
          <w:rFonts w:hint="cs"/>
          <w:rtl/>
        </w:rPr>
        <w:t xml:space="preserve"> דהמערער טוען דהקרקע גזולה ביד המחזיק, והמחאה מהני להתרות במחזיק שיזהר בזכויותיו, ולכן היא מועילה אף שלא בפני המחזיק, דאמרינן חברך חברא אית ליה, וישמע המחזיק מהמחאה ולא יוכל לטעון שלא נזהר בזכויותיו דלא שמע מהמחאה, ועי' במה שביארו </w:t>
      </w:r>
      <w:r w:rsidRPr="001D1883">
        <w:rPr>
          <w:rStyle w:val="af9"/>
          <w:rFonts w:hint="cs"/>
          <w:rtl/>
        </w:rPr>
        <w:t>המהר"י בן לב</w:t>
      </w:r>
      <w:r w:rsidRPr="001D1883">
        <w:rPr>
          <w:rFonts w:hint="cs"/>
          <w:rtl/>
        </w:rPr>
        <w:t xml:space="preserve"> </w:t>
      </w:r>
      <w:r w:rsidRPr="001D1883">
        <w:rPr>
          <w:rStyle w:val="af7"/>
          <w:rFonts w:eastAsia="Guttman Hodes" w:hint="cs"/>
          <w:rtl/>
        </w:rPr>
        <w:t>(ח"ג סי' נ"ו ד"ה ותו)</w:t>
      </w:r>
      <w:r w:rsidRPr="001D1883">
        <w:rPr>
          <w:rFonts w:hint="cs"/>
          <w:rtl/>
        </w:rPr>
        <w:t xml:space="preserve"> </w:t>
      </w:r>
      <w:r w:rsidRPr="001D1883">
        <w:rPr>
          <w:rStyle w:val="af9"/>
          <w:rFonts w:hint="cs"/>
          <w:rtl/>
        </w:rPr>
        <w:t xml:space="preserve">ובחי' רבי נחום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Ref55318295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1D1883">
        <w:rPr>
          <w:rStyle w:val="af7"/>
          <w:rFonts w:eastAsia="Guttman Hodes"/>
          <w:rtl/>
        </w:rPr>
        <w:fldChar w:fldCharType="end"/>
      </w:r>
      <w:r w:rsidRPr="001D1883">
        <w:rPr>
          <w:rFonts w:hint="cs"/>
          <w:rtl/>
        </w:rPr>
        <w:t xml:space="preserve"> </w:t>
      </w:r>
      <w:r>
        <w:rPr>
          <w:rStyle w:val="af9"/>
          <w:rFonts w:hint="cs"/>
          <w:rtl/>
        </w:rPr>
        <w:t>ו</w:t>
      </w:r>
      <w:r w:rsidRPr="00813B85">
        <w:rPr>
          <w:rStyle w:val="af9"/>
          <w:rFonts w:hint="cs"/>
          <w:rtl/>
        </w:rPr>
        <w:t>בשיעורי רבי שמואל</w:t>
      </w:r>
      <w:r w:rsidRPr="001D1883">
        <w:rPr>
          <w:rStyle w:val="af9"/>
          <w:rFonts w:hint="cs"/>
          <w:rtl/>
        </w:rPr>
        <w:t xml:space="preserve"> </w:t>
      </w:r>
      <w:r w:rsidRPr="001D188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Ref55470027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Pr>
          <w:rStyle w:val="af7"/>
          <w:rFonts w:eastAsia="Guttman Hodes"/>
          <w:rtl/>
        </w:rPr>
        <w:fldChar w:fldCharType="end"/>
      </w:r>
      <w:r>
        <w:rPr>
          <w:rStyle w:val="af7"/>
          <w:rFonts w:eastAsia="Guttman Hodes" w:hint="cs"/>
          <w:rtl/>
        </w:rPr>
        <w:t xml:space="preserve"> </w:t>
      </w:r>
      <w:r w:rsidRPr="001D1883">
        <w:rPr>
          <w:rFonts w:hint="cs"/>
          <w:rtl/>
        </w:rPr>
        <w:t xml:space="preserve">בדברי </w:t>
      </w:r>
      <w:r w:rsidRPr="001D1883">
        <w:rPr>
          <w:rStyle w:val="af9"/>
          <w:rFonts w:hint="cs"/>
          <w:rtl/>
        </w:rPr>
        <w:t>רש"י</w:t>
      </w:r>
      <w:r>
        <w:rPr>
          <w:rStyle w:val="af9"/>
          <w:rFonts w:hint="cs"/>
          <w:rtl/>
        </w:rPr>
        <w:t>.</w:t>
      </w:r>
      <w:bookmarkEnd w:id="3116"/>
    </w:p>
    <w:p w:rsidR="007A505A" w:rsidRPr="001D1883" w:rsidRDefault="007A505A" w:rsidP="007A505A">
      <w:pPr>
        <w:pStyle w:val="a3"/>
        <w:rPr>
          <w:rtl/>
        </w:rPr>
      </w:pPr>
      <w:bookmarkStart w:id="3117" w:name="_Toc55325123"/>
      <w:bookmarkStart w:id="3118" w:name="_Toc55342037"/>
      <w:bookmarkStart w:id="3119" w:name="_Toc55342138"/>
      <w:bookmarkStart w:id="3120" w:name="_Toc55375222"/>
      <w:bookmarkStart w:id="3121" w:name="_Toc55386168"/>
      <w:bookmarkStart w:id="3122" w:name="_Toc55391083"/>
      <w:bookmarkEnd w:id="3108"/>
      <w:r w:rsidRPr="001D1883">
        <w:rPr>
          <w:rFonts w:hint="cs"/>
          <w:rtl/>
        </w:rPr>
        <w:t>ביאור החת"ס ברש"י דבהעדאה שלא בפניו נראה לו כשחוק דחושב שיוכל להכחיש את העדים</w:t>
      </w:r>
      <w:bookmarkEnd w:id="3117"/>
      <w:bookmarkEnd w:id="3118"/>
      <w:bookmarkEnd w:id="3119"/>
      <w:bookmarkEnd w:id="3120"/>
      <w:bookmarkEnd w:id="3121"/>
      <w:bookmarkEnd w:id="3122"/>
    </w:p>
    <w:p w:rsidR="007A505A" w:rsidRPr="001D1883" w:rsidRDefault="007A505A" w:rsidP="007E4E81">
      <w:pPr>
        <w:pStyle w:val="a0"/>
        <w:rPr>
          <w:rtl/>
        </w:rPr>
      </w:pPr>
      <w:bookmarkStart w:id="3123" w:name="_Ref55121565"/>
      <w:r w:rsidRPr="001D1883">
        <w:rPr>
          <w:rFonts w:hint="cs"/>
          <w:rtl/>
        </w:rPr>
        <w:t xml:space="preserve">וביאר </w:t>
      </w:r>
      <w:r w:rsidRPr="001D1883">
        <w:rPr>
          <w:rStyle w:val="af9"/>
          <w:rFonts w:hint="cs"/>
          <w:rtl/>
        </w:rPr>
        <w:t>החת"ס</w:t>
      </w:r>
      <w:r w:rsidRPr="001D1883">
        <w:rPr>
          <w:rFonts w:hint="cs"/>
          <w:rtl/>
        </w:rPr>
        <w:t xml:space="preserve"> </w:t>
      </w:r>
      <w:r w:rsidRPr="001D1883">
        <w:rPr>
          <w:rStyle w:val="af7"/>
          <w:rFonts w:eastAsia="Guttman Hodes" w:hint="cs"/>
          <w:rtl/>
        </w:rPr>
        <w:t>(ד"ה הכא)</w:t>
      </w:r>
      <w:r w:rsidRPr="001D1883">
        <w:rPr>
          <w:rFonts w:hint="cs"/>
          <w:rtl/>
        </w:rPr>
        <w:t xml:space="preserve"> דכוונת </w:t>
      </w:r>
      <w:r w:rsidRPr="001D1883">
        <w:rPr>
          <w:rStyle w:val="af9"/>
          <w:rFonts w:hint="cs"/>
          <w:rtl/>
        </w:rPr>
        <w:t>רש"י</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Ref55121456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1D1883">
        <w:rPr>
          <w:rStyle w:val="af7"/>
          <w:rFonts w:eastAsia="Guttman Hodes"/>
          <w:rtl/>
        </w:rPr>
        <w:fldChar w:fldCharType="end"/>
      </w:r>
      <w:r w:rsidRPr="001D1883">
        <w:rPr>
          <w:rFonts w:hint="cs"/>
          <w:rtl/>
        </w:rPr>
        <w:t xml:space="preserve"> לומר דבשור המועד לא מהני הסברא דחברך חברא אית ליה, דאף אם יאמרו לבעל השור דהועד שורו, יהיה כשחוק בעיניו, שיאמר דאם יעידו בפני שנגח שורי, אביא עדים אחרים להזימן, ואף אם לבסוף לא יוכל להזימן, מ"מ יאמר שלא שמר את שורו, דחשב שיוכל להזים את העדים.</w:t>
      </w:r>
    </w:p>
    <w:p w:rsidR="007A505A" w:rsidRPr="001D1883" w:rsidRDefault="007A505A" w:rsidP="007A505A">
      <w:pPr>
        <w:pStyle w:val="a3"/>
      </w:pPr>
      <w:bookmarkStart w:id="3124" w:name="_Toc55325124"/>
      <w:bookmarkStart w:id="3125" w:name="_Toc55342038"/>
      <w:bookmarkStart w:id="3126" w:name="_Toc55342139"/>
      <w:bookmarkStart w:id="3127" w:name="_Toc55375223"/>
      <w:bookmarkStart w:id="3128" w:name="_Toc55386169"/>
      <w:bookmarkStart w:id="3129" w:name="_Toc55391084"/>
      <w:r w:rsidRPr="001D1883">
        <w:rPr>
          <w:rFonts w:hint="cs"/>
          <w:rtl/>
        </w:rPr>
        <w:t>ביאור החת"ס ברש"י דבמחאה כיון שחושב שיכול לסתור את המחאה היה לו להזהר בשטרו</w:t>
      </w:r>
      <w:bookmarkEnd w:id="3124"/>
      <w:bookmarkEnd w:id="3125"/>
      <w:bookmarkEnd w:id="3126"/>
      <w:bookmarkEnd w:id="3127"/>
      <w:bookmarkEnd w:id="3128"/>
      <w:bookmarkEnd w:id="3129"/>
    </w:p>
    <w:p w:rsidR="007A505A" w:rsidRDefault="007A505A" w:rsidP="007E4E81">
      <w:pPr>
        <w:pStyle w:val="a0"/>
        <w:rPr>
          <w:rtl/>
        </w:rPr>
      </w:pPr>
      <w:r w:rsidRPr="001D1883">
        <w:rPr>
          <w:rFonts w:hint="cs"/>
          <w:rtl/>
        </w:rPr>
        <w:t xml:space="preserve">אבל בחזקה ביאר </w:t>
      </w:r>
      <w:r w:rsidRPr="001D1883">
        <w:rPr>
          <w:rStyle w:val="af9"/>
          <w:rFonts w:hint="cs"/>
          <w:rtl/>
        </w:rPr>
        <w:t>החת"ס</w:t>
      </w:r>
      <w:r w:rsidRPr="001D1883">
        <w:rPr>
          <w:rFonts w:hint="cs"/>
          <w:rtl/>
        </w:rPr>
        <w:t xml:space="preserve"> דהסברא היא להיפך דכך שחשב שיוכל לסתור את מחאת המערער, היה לו להזהר בשטרו, כדי שלא יוכל אח"כ המערער למחות בפניו ולא יהיה לו שטר להוכיח שקנה ממנו, אך כתב </w:t>
      </w:r>
      <w:r w:rsidRPr="001D1883">
        <w:rPr>
          <w:rStyle w:val="af9"/>
          <w:rFonts w:hint="cs"/>
          <w:rtl/>
        </w:rPr>
        <w:t>החת"ס</w:t>
      </w:r>
      <w:r w:rsidRPr="001D1883">
        <w:rPr>
          <w:rFonts w:hint="cs"/>
          <w:rtl/>
        </w:rPr>
        <w:t xml:space="preserve"> דא"כ עיקר התירוץ חסר מהגמ', ועי' במ"ש </w:t>
      </w:r>
      <w:r w:rsidRPr="001D1883">
        <w:rPr>
          <w:rStyle w:val="af9"/>
          <w:rFonts w:hint="cs"/>
          <w:rtl/>
        </w:rPr>
        <w:t>החת"ס</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Ref55121625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1D1883">
        <w:rPr>
          <w:rStyle w:val="af7"/>
          <w:rFonts w:eastAsia="Guttman Hodes"/>
          <w:rtl/>
        </w:rPr>
        <w:fldChar w:fldCharType="end"/>
      </w:r>
      <w:r w:rsidRPr="001D1883">
        <w:rPr>
          <w:rFonts w:hint="cs"/>
          <w:rtl/>
        </w:rPr>
        <w:t xml:space="preserve"> </w:t>
      </w:r>
      <w:r w:rsidRPr="001D1883">
        <w:rPr>
          <w:rStyle w:val="af9"/>
          <w:rFonts w:hint="cs"/>
          <w:rtl/>
        </w:rPr>
        <w:t xml:space="preserve">דהתוס'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Ref54609177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 xml:space="preserve">נחלקו על </w:t>
      </w:r>
      <w:r w:rsidRPr="001D1883">
        <w:rPr>
          <w:rStyle w:val="af9"/>
          <w:rFonts w:hint="cs"/>
          <w:rtl/>
        </w:rPr>
        <w:t>רש"י</w:t>
      </w:r>
      <w:r w:rsidRPr="001D1883">
        <w:rPr>
          <w:rFonts w:hint="cs"/>
          <w:rtl/>
        </w:rPr>
        <w:t xml:space="preserve"> בזה.</w:t>
      </w:r>
      <w:bookmarkEnd w:id="3123"/>
    </w:p>
    <w:p w:rsidR="007A505A" w:rsidRPr="00203D80" w:rsidRDefault="007A505A" w:rsidP="007A505A">
      <w:pPr>
        <w:pStyle w:val="a3"/>
        <w:rPr>
          <w:rtl/>
        </w:rPr>
      </w:pPr>
    </w:p>
    <w:p w:rsidR="007A505A" w:rsidRPr="00203D80" w:rsidRDefault="007A505A" w:rsidP="007A505A">
      <w:pPr>
        <w:pStyle w:val="a3"/>
        <w:rPr>
          <w:rtl/>
        </w:rPr>
      </w:pPr>
    </w:p>
    <w:p w:rsidR="007A505A" w:rsidRPr="00203D80" w:rsidRDefault="007A505A" w:rsidP="007A505A">
      <w:pPr>
        <w:pStyle w:val="a3"/>
        <w:rPr>
          <w:rtl/>
        </w:rPr>
      </w:pPr>
    </w:p>
    <w:p w:rsidR="007A505A" w:rsidRPr="00203D80" w:rsidRDefault="007A505A" w:rsidP="007A505A">
      <w:pPr>
        <w:pStyle w:val="a3"/>
        <w:rPr>
          <w:rtl/>
        </w:rPr>
      </w:pPr>
    </w:p>
    <w:p w:rsidR="007A505A" w:rsidRPr="001D1883" w:rsidRDefault="007A505A" w:rsidP="007A505A">
      <w:pPr>
        <w:pStyle w:val="afe"/>
      </w:pPr>
      <w:bookmarkStart w:id="3130" w:name="_Toc55246082"/>
      <w:bookmarkStart w:id="3131" w:name="_Toc55325125"/>
      <w:bookmarkStart w:id="3132" w:name="_Toc55342039"/>
      <w:bookmarkStart w:id="3133" w:name="_Toc55342140"/>
      <w:bookmarkStart w:id="3134" w:name="_Toc55375224"/>
      <w:bookmarkStart w:id="3135" w:name="_Toc55386170"/>
      <w:bookmarkStart w:id="3136" w:name="_Toc55391085"/>
      <w:bookmarkStart w:id="3137" w:name="_Ref54609879"/>
      <w:r w:rsidRPr="001D1883">
        <w:rPr>
          <w:rFonts w:hint="cs"/>
          <w:rtl/>
        </w:rPr>
        <w:t>דעת התוס'</w:t>
      </w:r>
      <w:bookmarkEnd w:id="3130"/>
      <w:bookmarkEnd w:id="3131"/>
      <w:bookmarkEnd w:id="3132"/>
      <w:bookmarkEnd w:id="3133"/>
      <w:bookmarkEnd w:id="3134"/>
      <w:bookmarkEnd w:id="3135"/>
      <w:r>
        <w:rPr>
          <w:rFonts w:hint="cs"/>
          <w:rtl/>
        </w:rPr>
        <w:t xml:space="preserve"> במחאה שלא בפניו</w:t>
      </w:r>
      <w:bookmarkEnd w:id="3136"/>
    </w:p>
    <w:p w:rsidR="007A505A" w:rsidRPr="001D1883" w:rsidRDefault="007A505A" w:rsidP="007A505A">
      <w:pPr>
        <w:pStyle w:val="1"/>
        <w:rPr>
          <w:rtl/>
        </w:rPr>
      </w:pPr>
      <w:bookmarkStart w:id="3138" w:name="_Toc55246083"/>
      <w:bookmarkStart w:id="3139" w:name="_Toc55325126"/>
      <w:bookmarkStart w:id="3140" w:name="_Toc55342040"/>
      <w:bookmarkStart w:id="3141" w:name="_Toc55342141"/>
      <w:bookmarkStart w:id="3142" w:name="_Toc55375225"/>
      <w:bookmarkStart w:id="3143" w:name="_Toc55386171"/>
      <w:bookmarkStart w:id="3144" w:name="_Toc55391086"/>
      <w:bookmarkEnd w:id="3137"/>
      <w:r w:rsidRPr="001D1883">
        <w:rPr>
          <w:rFonts w:hint="cs"/>
          <w:rtl/>
        </w:rPr>
        <w:t xml:space="preserve">ביאור התוס' </w:t>
      </w:r>
      <w:bookmarkEnd w:id="3070"/>
      <w:r w:rsidRPr="001D1883">
        <w:rPr>
          <w:rFonts w:hint="cs"/>
          <w:rtl/>
        </w:rPr>
        <w:t>דבהעדאה מוכח דל"מ קול וא"כ ה"ה במחאה</w:t>
      </w:r>
      <w:bookmarkEnd w:id="3071"/>
      <w:bookmarkEnd w:id="3072"/>
      <w:bookmarkEnd w:id="3073"/>
      <w:bookmarkEnd w:id="3138"/>
      <w:bookmarkEnd w:id="3139"/>
      <w:bookmarkEnd w:id="3140"/>
      <w:bookmarkEnd w:id="3141"/>
      <w:bookmarkEnd w:id="3142"/>
      <w:bookmarkEnd w:id="3143"/>
      <w:bookmarkEnd w:id="3144"/>
    </w:p>
    <w:p w:rsidR="007A505A" w:rsidRPr="001D1883" w:rsidRDefault="007A505A" w:rsidP="007A505A">
      <w:pPr>
        <w:pStyle w:val="a3"/>
        <w:rPr>
          <w:rtl/>
        </w:rPr>
      </w:pPr>
      <w:bookmarkStart w:id="3145" w:name="_Toc55325127"/>
      <w:bookmarkStart w:id="3146" w:name="_Toc55342041"/>
      <w:bookmarkStart w:id="3147" w:name="_Toc55342142"/>
      <w:bookmarkStart w:id="3148" w:name="_Toc55375226"/>
      <w:bookmarkStart w:id="3149" w:name="_Toc55386172"/>
      <w:bookmarkStart w:id="3150" w:name="_Toc55391087"/>
      <w:r w:rsidRPr="001D1883">
        <w:rPr>
          <w:rFonts w:hint="cs"/>
          <w:rtl/>
        </w:rPr>
        <w:t>ביאור התוס' דכמו בהעדאה ל"מ הקול שישמע הבעלים ה"ה במחאה דלא ישמע המחזיק ממנה</w:t>
      </w:r>
      <w:bookmarkEnd w:id="3145"/>
      <w:bookmarkEnd w:id="3146"/>
      <w:bookmarkEnd w:id="3147"/>
      <w:bookmarkEnd w:id="3148"/>
      <w:bookmarkEnd w:id="3149"/>
      <w:bookmarkEnd w:id="3150"/>
    </w:p>
    <w:p w:rsidR="007A505A" w:rsidRDefault="007A505A" w:rsidP="007E4E81">
      <w:pPr>
        <w:pStyle w:val="a0"/>
        <w:rPr>
          <w:rtl/>
        </w:rPr>
      </w:pPr>
      <w:bookmarkStart w:id="3151" w:name="_Ref55319218"/>
      <w:r w:rsidRPr="001D1883">
        <w:rPr>
          <w:rFonts w:hint="cs"/>
          <w:rtl/>
        </w:rPr>
        <w:t xml:space="preserve">בקושית הגמ' דאי ילפינן משור המועד, א"כ לא תועיל בחזקה מחאה שלא בפניו, ביאר </w:t>
      </w:r>
      <w:r w:rsidRPr="001D1883">
        <w:rPr>
          <w:rStyle w:val="af9"/>
          <w:rFonts w:hint="cs"/>
          <w:rtl/>
        </w:rPr>
        <w:t>ר"י בתוס'</w:t>
      </w:r>
      <w:r w:rsidRPr="001D1883">
        <w:rPr>
          <w:rFonts w:hint="cs"/>
          <w:rtl/>
        </w:rPr>
        <w:t xml:space="preserve"> </w:t>
      </w:r>
      <w:r w:rsidRPr="001D1883">
        <w:rPr>
          <w:rStyle w:val="af7"/>
          <w:rFonts w:eastAsia="Guttman Hodes" w:hint="cs"/>
          <w:rtl/>
        </w:rPr>
        <w:t>(ד"ה אלא)</w:t>
      </w:r>
      <w:r w:rsidRPr="001D1883">
        <w:rPr>
          <w:rFonts w:hint="cs"/>
          <w:rtl/>
        </w:rPr>
        <w:t xml:space="preserve"> דקושית הגמ' היא דכמו דילפינן משור המועד, דבג' פעמים הוי חזקה, א"כ נילף דכמו דבשור צריך העדאה בפני הבעלים, ולא אמרינן שיש קול וישמע הבעלים אף מההעדאה שלא בפניו, ה"ה במחאה דלא תועיל מחאה שלא בפניו, וא"כ לא תהיה חזקה, דאעפ"י ששמע המערער מהחזקה, מ"מ כיון שאין קול למחאה, לא תועיל המחאה שלא בפניו, כיון שלא ישמע המחזיק שמחה בו המערער, ועי' </w:t>
      </w:r>
      <w:r>
        <w:rPr>
          <w:rFonts w:hint="cs"/>
          <w:rtl/>
        </w:rPr>
        <w:t>במה שהקשה</w:t>
      </w:r>
      <w:r w:rsidRPr="001D1883">
        <w:rPr>
          <w:rFonts w:hint="cs"/>
          <w:rtl/>
        </w:rPr>
        <w:t xml:space="preserve"> </w:t>
      </w:r>
      <w:r w:rsidRPr="001D1883">
        <w:rPr>
          <w:rStyle w:val="af9"/>
          <w:rFonts w:hint="cs"/>
          <w:rtl/>
        </w:rPr>
        <w:t xml:space="preserve">המהרש"א </w:t>
      </w:r>
      <w:r w:rsidRPr="001D188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Ref55323400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w:t>
      </w:r>
      <w:r>
        <w:rPr>
          <w:rStyle w:val="af7"/>
          <w:rFonts w:eastAsia="Guttman Hodes"/>
          <w:rtl/>
        </w:rPr>
        <w:fldChar w:fldCharType="end"/>
      </w:r>
      <w:r w:rsidRPr="001D1883">
        <w:rPr>
          <w:rFonts w:hint="cs"/>
          <w:rtl/>
        </w:rPr>
        <w:t xml:space="preserve">על דברי </w:t>
      </w:r>
      <w:r w:rsidRPr="001D1883">
        <w:rPr>
          <w:rStyle w:val="af9"/>
          <w:rFonts w:hint="cs"/>
          <w:rtl/>
        </w:rPr>
        <w:t>התוס'</w:t>
      </w:r>
      <w:r>
        <w:rPr>
          <w:rFonts w:hint="cs"/>
          <w:rtl/>
        </w:rPr>
        <w:t xml:space="preserve">, </w:t>
      </w:r>
      <w:r w:rsidRPr="001D1883">
        <w:rPr>
          <w:rFonts w:hint="cs"/>
          <w:rtl/>
        </w:rPr>
        <w:t>במה שביאר</w:t>
      </w:r>
      <w:r>
        <w:rPr>
          <w:rFonts w:hint="cs"/>
          <w:rtl/>
        </w:rPr>
        <w:t xml:space="preserve"> </w:t>
      </w:r>
      <w:r w:rsidRPr="001D1883">
        <w:rPr>
          <w:rStyle w:val="af9"/>
          <w:rtl/>
        </w:rPr>
        <w:t>בחי' רבי נחום</w:t>
      </w:r>
      <w:r w:rsidRPr="001D1883">
        <w:rPr>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rPr>
        <w:instrText>REF</w:instrText>
      </w:r>
      <w:r w:rsidRPr="001D1883">
        <w:rPr>
          <w:rStyle w:val="af7"/>
          <w:rFonts w:eastAsia="Guttman Hodes"/>
          <w:rtl/>
        </w:rPr>
        <w:instrText xml:space="preserve"> _</w:instrText>
      </w:r>
      <w:r w:rsidRPr="001D1883">
        <w:rPr>
          <w:rStyle w:val="af7"/>
          <w:rFonts w:eastAsia="Guttman Hodes"/>
        </w:rPr>
        <w:instrText>Ref55318934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1D1883">
        <w:rPr>
          <w:rStyle w:val="af7"/>
          <w:rFonts w:eastAsia="Guttman Hodes"/>
          <w:rtl/>
        </w:rPr>
        <w:fldChar w:fldCharType="end"/>
      </w:r>
      <w:bookmarkEnd w:id="3151"/>
      <w:r>
        <w:rPr>
          <w:rFonts w:hint="cs"/>
          <w:rtl/>
        </w:rPr>
        <w:t xml:space="preserve"> </w:t>
      </w:r>
      <w:r w:rsidRPr="001D1883">
        <w:rPr>
          <w:rtl/>
        </w:rPr>
        <w:t xml:space="preserve">בדברי </w:t>
      </w:r>
      <w:r w:rsidRPr="001D1883">
        <w:rPr>
          <w:rStyle w:val="af9"/>
          <w:rtl/>
        </w:rPr>
        <w:t>התוס'</w:t>
      </w:r>
      <w:r w:rsidRPr="00295E87">
        <w:rPr>
          <w:rFonts w:hint="cs"/>
          <w:rtl/>
        </w:rPr>
        <w:t>.</w:t>
      </w:r>
    </w:p>
    <w:p w:rsidR="007A505A" w:rsidRPr="00203D80" w:rsidRDefault="007A505A" w:rsidP="007A505A">
      <w:pPr>
        <w:pStyle w:val="1"/>
        <w:rPr>
          <w:rtl/>
        </w:rPr>
      </w:pPr>
      <w:bookmarkStart w:id="3152" w:name="_Toc55391088"/>
      <w:r>
        <w:rPr>
          <w:rFonts w:hint="cs"/>
          <w:rtl/>
        </w:rPr>
        <w:t>ביאור התוס' הרא"ש דהמחאה היא בכדי שלא יוחזק שתקן</w:t>
      </w:r>
      <w:bookmarkEnd w:id="3152"/>
    </w:p>
    <w:p w:rsidR="007A505A" w:rsidRPr="001D1883" w:rsidRDefault="007A505A" w:rsidP="007A505A">
      <w:pPr>
        <w:pStyle w:val="a3"/>
        <w:rPr>
          <w:rtl/>
        </w:rPr>
      </w:pPr>
      <w:bookmarkStart w:id="3153" w:name="_Toc55325128"/>
      <w:bookmarkStart w:id="3154" w:name="_Toc55342042"/>
      <w:bookmarkStart w:id="3155" w:name="_Toc55342143"/>
      <w:bookmarkStart w:id="3156" w:name="_Toc55375227"/>
      <w:bookmarkStart w:id="3157" w:name="_Toc55386173"/>
      <w:bookmarkStart w:id="3158" w:name="_Toc55391089"/>
      <w:r w:rsidRPr="001D1883">
        <w:rPr>
          <w:rFonts w:hint="cs"/>
          <w:rtl/>
        </w:rPr>
        <w:t>ביאור התורא"ש דעיקר קושית הגמ' דכיון דל"מ מחאה ל"מ החזקה דאין המערער יכול למחות</w:t>
      </w:r>
      <w:bookmarkEnd w:id="3153"/>
      <w:bookmarkEnd w:id="3154"/>
      <w:bookmarkEnd w:id="3155"/>
      <w:bookmarkEnd w:id="3156"/>
      <w:bookmarkEnd w:id="3157"/>
      <w:bookmarkEnd w:id="3158"/>
    </w:p>
    <w:p w:rsidR="007A505A" w:rsidRPr="001D1883" w:rsidRDefault="007A505A" w:rsidP="007E4E81">
      <w:pPr>
        <w:pStyle w:val="a0"/>
        <w:rPr>
          <w:rStyle w:val="afb"/>
          <w:rtl/>
        </w:rPr>
      </w:pPr>
      <w:bookmarkStart w:id="3159" w:name="_Ref55208071"/>
      <w:r w:rsidRPr="001D1883">
        <w:rPr>
          <w:rFonts w:hint="cs"/>
          <w:rtl/>
        </w:rPr>
        <w:t xml:space="preserve">והוסיף </w:t>
      </w:r>
      <w:r w:rsidRPr="001D1883">
        <w:rPr>
          <w:rStyle w:val="af9"/>
          <w:rFonts w:hint="cs"/>
          <w:rtl/>
        </w:rPr>
        <w:t>התוס' הרא"ש בשיטמ"ק</w:t>
      </w:r>
      <w:r w:rsidRPr="001D1883">
        <w:rPr>
          <w:rFonts w:hint="cs"/>
          <w:rtl/>
        </w:rPr>
        <w:t xml:space="preserve"> </w:t>
      </w:r>
      <w:r w:rsidRPr="001D1883">
        <w:rPr>
          <w:rStyle w:val="af7"/>
          <w:rFonts w:eastAsia="Guttman Hodes" w:hint="cs"/>
          <w:rtl/>
        </w:rPr>
        <w:t>(ד"ה אלא, נד' בגמ' במהדו' "עוז והדר")</w:t>
      </w:r>
      <w:r w:rsidRPr="001D1883">
        <w:rPr>
          <w:rFonts w:hint="cs"/>
          <w:rtl/>
        </w:rPr>
        <w:t xml:space="preserve"> דכוונת הגמ' להקשות על עיקר דין החזקה, דכיון דמחאה שלא בפניו אינה מחאה, ממילא חזקה שלא בפניו אינה חזקה, דכיון שאין למחאה קול, ממילא אין למחזיק כל ראיה ששתק המערער, דכיון שיודע המערער שהמחזיק לא ישמע ממחאתו לכן אין המערער מוחה, וכיון דאינו מוחה, ממילא אין חזקת המחזיק חזקה</w:t>
      </w:r>
      <w:bookmarkEnd w:id="3159"/>
      <w:r w:rsidRPr="001D1883">
        <w:rPr>
          <w:rFonts w:hint="cs"/>
          <w:rtl/>
        </w:rPr>
        <w:t xml:space="preserve">, וכן ביאר </w:t>
      </w:r>
      <w:r w:rsidRPr="001D1883">
        <w:rPr>
          <w:rStyle w:val="af9"/>
          <w:rFonts w:hint="cs"/>
          <w:rtl/>
        </w:rPr>
        <w:t>המהרש"א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Ref55211164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1D1883">
        <w:rPr>
          <w:rStyle w:val="af7"/>
          <w:rFonts w:eastAsia="Guttman Hodes"/>
          <w:rtl/>
        </w:rPr>
        <w:fldChar w:fldCharType="end"/>
      </w:r>
      <w:r w:rsidRPr="001D1883">
        <w:rPr>
          <w:rFonts w:hint="cs"/>
          <w:rtl/>
        </w:rPr>
        <w:t xml:space="preserve"> בדעת </w:t>
      </w:r>
      <w:r w:rsidRPr="001D1883">
        <w:rPr>
          <w:rStyle w:val="af9"/>
          <w:rFonts w:hint="cs"/>
          <w:rtl/>
        </w:rPr>
        <w:t>התוס'</w:t>
      </w:r>
      <w:r w:rsidRPr="001D1883">
        <w:rPr>
          <w:rFonts w:hint="cs"/>
          <w:rtl/>
        </w:rPr>
        <w:t>.</w:t>
      </w:r>
    </w:p>
    <w:p w:rsidR="007A505A" w:rsidRPr="001D1883" w:rsidRDefault="007A505A" w:rsidP="007A505A">
      <w:pPr>
        <w:pStyle w:val="a3"/>
      </w:pPr>
      <w:bookmarkStart w:id="3160" w:name="_Toc55342043"/>
      <w:bookmarkStart w:id="3161" w:name="_Toc55342144"/>
      <w:bookmarkStart w:id="3162" w:name="_Toc55375228"/>
      <w:bookmarkStart w:id="3163" w:name="_Toc55386174"/>
      <w:bookmarkStart w:id="3164" w:name="_Toc55391090"/>
      <w:r w:rsidRPr="001D1883">
        <w:rPr>
          <w:rFonts w:hint="cs"/>
          <w:rtl/>
        </w:rPr>
        <w:t>דברי הריטב"א בשם ר"י דהמחאה והחזקה הם כדבר אחד וחשיב שמקשה הגמ' על החזקה</w:t>
      </w:r>
      <w:bookmarkEnd w:id="3160"/>
      <w:bookmarkEnd w:id="3161"/>
      <w:bookmarkEnd w:id="3162"/>
      <w:bookmarkEnd w:id="3163"/>
      <w:bookmarkEnd w:id="3164"/>
    </w:p>
    <w:p w:rsidR="007A505A" w:rsidRPr="001D1883" w:rsidRDefault="007A505A" w:rsidP="007E4E81">
      <w:pPr>
        <w:pStyle w:val="a0"/>
        <w:rPr>
          <w:rtl/>
        </w:rPr>
      </w:pPr>
      <w:r w:rsidRPr="001D1883">
        <w:rPr>
          <w:rFonts w:hint="cs"/>
          <w:rtl/>
        </w:rPr>
        <w:t xml:space="preserve"> וכ"כ </w:t>
      </w:r>
      <w:r w:rsidRPr="001D1883">
        <w:rPr>
          <w:rStyle w:val="af9"/>
          <w:rFonts w:hint="cs"/>
          <w:rtl/>
        </w:rPr>
        <w:t>הריטב"א</w:t>
      </w:r>
      <w:r w:rsidRPr="001D1883">
        <w:rPr>
          <w:rFonts w:hint="cs"/>
          <w:rtl/>
        </w:rPr>
        <w:t xml:space="preserve"> </w:t>
      </w:r>
      <w:r w:rsidRPr="001D1883">
        <w:rPr>
          <w:rStyle w:val="af7"/>
          <w:rFonts w:eastAsia="Guttman Hodes" w:hint="cs"/>
          <w:rtl/>
        </w:rPr>
        <w:t>(ד"ה אלא)</w:t>
      </w:r>
      <w:r w:rsidRPr="001D1883">
        <w:rPr>
          <w:rFonts w:hint="cs"/>
          <w:rtl/>
        </w:rPr>
        <w:t xml:space="preserve"> בשם </w:t>
      </w:r>
      <w:r w:rsidRPr="001D1883">
        <w:rPr>
          <w:rStyle w:val="af9"/>
          <w:rFonts w:hint="cs"/>
          <w:rtl/>
        </w:rPr>
        <w:t>ר"י והתוס'</w:t>
      </w:r>
      <w:r w:rsidRPr="001D1883">
        <w:rPr>
          <w:rFonts w:hint="cs"/>
          <w:rtl/>
        </w:rPr>
        <w:t xml:space="preserve"> דכיון שהחזקה תלויה במחאה, א"כ החזקה והמחאה הם דבר אחד, ולכן כשמקשה הגמ' מהמחאה חשיב כקושיה מהחזקה.</w:t>
      </w:r>
    </w:p>
    <w:p w:rsidR="007A505A" w:rsidRPr="001D1883" w:rsidRDefault="007A505A" w:rsidP="007A505A">
      <w:pPr>
        <w:pStyle w:val="a3"/>
        <w:rPr>
          <w:rtl/>
        </w:rPr>
      </w:pPr>
      <w:bookmarkStart w:id="3165" w:name="_Toc55325129"/>
      <w:bookmarkStart w:id="3166" w:name="_Toc55342044"/>
      <w:bookmarkStart w:id="3167" w:name="_Toc55342145"/>
      <w:bookmarkStart w:id="3168" w:name="_Toc55375229"/>
      <w:bookmarkStart w:id="3169" w:name="_Toc55386175"/>
      <w:bookmarkStart w:id="3170" w:name="_Toc55391091"/>
      <w:r w:rsidRPr="001D1883">
        <w:rPr>
          <w:rFonts w:hint="cs"/>
          <w:rtl/>
        </w:rPr>
        <w:t>ביאור התורא"ש דעיקר ראיית החזקה היא מדלא מחה המערער ובאינו יכול למחות אין ראיה</w:t>
      </w:r>
      <w:bookmarkEnd w:id="3165"/>
      <w:bookmarkEnd w:id="3166"/>
      <w:bookmarkEnd w:id="3167"/>
      <w:bookmarkEnd w:id="3168"/>
      <w:bookmarkEnd w:id="3169"/>
      <w:bookmarkEnd w:id="3170"/>
    </w:p>
    <w:p w:rsidR="007A505A" w:rsidRPr="001D1883" w:rsidRDefault="007A505A" w:rsidP="007E4E81">
      <w:pPr>
        <w:pStyle w:val="a0"/>
        <w:rPr>
          <w:rStyle w:val="afb"/>
          <w:rtl/>
        </w:rPr>
      </w:pPr>
      <w:bookmarkStart w:id="3171" w:name="_Ref55332393"/>
      <w:bookmarkStart w:id="3172" w:name="_Ref55378182"/>
      <w:r w:rsidRPr="001D1883">
        <w:rPr>
          <w:rFonts w:hint="cs"/>
          <w:rtl/>
        </w:rPr>
        <w:t xml:space="preserve">וביאר </w:t>
      </w:r>
      <w:r w:rsidRPr="001D1883">
        <w:rPr>
          <w:rStyle w:val="af9"/>
          <w:rFonts w:hint="cs"/>
          <w:rtl/>
        </w:rPr>
        <w:t>התוס' הרא"ש בשיטמ"ק</w:t>
      </w:r>
      <w:r w:rsidRPr="001D1883">
        <w:rPr>
          <w:rFonts w:hint="cs"/>
          <w:rtl/>
        </w:rPr>
        <w:t xml:space="preserve"> דכיון דלא מהני מחאה שלא בפניו, ממילא לא הוי חזקה, כיון דעיקר הראיה של החזקה היא ממה שהמערער שתק ולא מחה, וכשהמערער לא נמצא במקום של המחזיק, והוא לא היה יכול למחות, ממילא אין כל ראיה מהחזקה</w:t>
      </w:r>
      <w:r>
        <w:rPr>
          <w:rFonts w:hint="cs"/>
          <w:rtl/>
        </w:rPr>
        <w:t xml:space="preserve">, </w:t>
      </w:r>
      <w:bookmarkEnd w:id="3171"/>
      <w:r w:rsidRPr="001D1883">
        <w:rPr>
          <w:rStyle w:val="afb"/>
          <w:rFonts w:hint="cs"/>
          <w:rtl/>
        </w:rPr>
        <w:t xml:space="preserve">[ודלא </w:t>
      </w:r>
      <w:r w:rsidRPr="001D1883">
        <w:rPr>
          <w:rStyle w:val="affa"/>
          <w:rFonts w:hint="cs"/>
          <w:rtl/>
        </w:rPr>
        <w:t xml:space="preserve">כמהרש"א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Ref55332858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1D1883">
        <w:rPr>
          <w:rStyle w:val="af7"/>
          <w:rFonts w:eastAsia="Guttman Hodes"/>
          <w:rtl/>
        </w:rPr>
        <w:fldChar w:fldCharType="end"/>
      </w:r>
      <w:r w:rsidRPr="001D1883">
        <w:rPr>
          <w:rStyle w:val="afb"/>
          <w:rFonts w:hint="cs"/>
          <w:rtl/>
        </w:rPr>
        <w:t xml:space="preserve"> דביאר דאף </w:t>
      </w:r>
      <w:r w:rsidRPr="001D1883">
        <w:rPr>
          <w:rStyle w:val="affa"/>
          <w:rFonts w:hint="cs"/>
          <w:rtl/>
        </w:rPr>
        <w:t xml:space="preserve">לתוס' </w:t>
      </w:r>
      <w:r w:rsidRPr="001D1883">
        <w:rPr>
          <w:rStyle w:val="afb"/>
          <w:rFonts w:hint="cs"/>
          <w:rtl/>
        </w:rPr>
        <w:t xml:space="preserve">טעם המחאה הוא בכדי שיזהר המחזיק בשטרו, וכדהוכיח </w:t>
      </w:r>
      <w:r w:rsidRPr="001D1883">
        <w:rPr>
          <w:rStyle w:val="affa"/>
          <w:rFonts w:hint="cs"/>
          <w:rtl/>
        </w:rPr>
        <w:t>המהרש"א</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Ref55333298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כח)</w:t>
      </w:r>
      <w:r w:rsidRPr="001D1883">
        <w:rPr>
          <w:rStyle w:val="aff6"/>
          <w:rtl/>
        </w:rPr>
        <w:fldChar w:fldCharType="end"/>
      </w:r>
      <w:r w:rsidRPr="001D1883">
        <w:rPr>
          <w:rStyle w:val="afb"/>
          <w:rFonts w:hint="cs"/>
          <w:rtl/>
        </w:rPr>
        <w:t xml:space="preserve"> דא"א לומר דהמחאה היא בכדי להוכיח שמקפיד המערער ואינו שותק, דא"כ א"צ למחות בפניו]</w:t>
      </w:r>
      <w:bookmarkEnd w:id="3172"/>
      <w:r>
        <w:rPr>
          <w:rStyle w:val="afb"/>
          <w:rFonts w:hint="cs"/>
          <w:rtl/>
        </w:rPr>
        <w:t>,</w:t>
      </w:r>
      <w:r w:rsidRPr="001D1883">
        <w:rPr>
          <w:rStyle w:val="afb"/>
          <w:rFonts w:hint="cs"/>
          <w:rtl/>
        </w:rPr>
        <w:t xml:space="preserve"> </w:t>
      </w:r>
      <w:r>
        <w:rPr>
          <w:rFonts w:hint="cs"/>
          <w:rtl/>
        </w:rPr>
        <w:t xml:space="preserve">וכן הוכיח </w:t>
      </w:r>
      <w:r w:rsidRPr="004E5AA3">
        <w:rPr>
          <w:rStyle w:val="af9"/>
          <w:rFonts w:hint="cs"/>
          <w:rtl/>
        </w:rPr>
        <w:t>בחי' רבי נחום</w:t>
      </w:r>
      <w:r>
        <w:rPr>
          <w:rFonts w:hint="cs"/>
          <w:rtl/>
        </w:rPr>
        <w:t xml:space="preserve"> </w:t>
      </w:r>
      <w:r w:rsidRPr="004E5AA3">
        <w:rPr>
          <w:rStyle w:val="af7"/>
          <w:rFonts w:eastAsia="Guttman Hodes" w:hint="cs"/>
          <w:rtl/>
        </w:rPr>
        <w:t xml:space="preserve">(עי' אות </w:t>
      </w:r>
      <w:r w:rsidRPr="004E5AA3">
        <w:rPr>
          <w:rStyle w:val="af7"/>
          <w:rFonts w:eastAsia="Guttman Hodes"/>
          <w:rtl/>
        </w:rPr>
        <w:fldChar w:fldCharType="begin"/>
      </w:r>
      <w:r w:rsidRPr="004E5AA3">
        <w:rPr>
          <w:rStyle w:val="af7"/>
          <w:rFonts w:eastAsia="Guttman Hodes"/>
          <w:rtl/>
        </w:rPr>
        <w:instrText xml:space="preserve"> </w:instrText>
      </w:r>
      <w:r w:rsidRPr="004E5AA3">
        <w:rPr>
          <w:rStyle w:val="af7"/>
          <w:rFonts w:eastAsia="Guttman Hodes" w:hint="cs"/>
        </w:rPr>
        <w:instrText>REF</w:instrText>
      </w:r>
      <w:r w:rsidRPr="004E5AA3">
        <w:rPr>
          <w:rStyle w:val="af7"/>
          <w:rFonts w:eastAsia="Guttman Hodes" w:hint="cs"/>
          <w:rtl/>
        </w:rPr>
        <w:instrText xml:space="preserve"> _</w:instrText>
      </w:r>
      <w:r w:rsidRPr="004E5AA3">
        <w:rPr>
          <w:rStyle w:val="af7"/>
          <w:rFonts w:eastAsia="Guttman Hodes" w:hint="cs"/>
        </w:rPr>
        <w:instrText>Ref55318934 \r \h</w:instrText>
      </w:r>
      <w:r w:rsidRPr="004E5AA3">
        <w:rPr>
          <w:rStyle w:val="af7"/>
          <w:rFonts w:eastAsia="Guttman Hodes"/>
          <w:rtl/>
        </w:rPr>
        <w:instrText xml:space="preserve"> </w:instrText>
      </w:r>
      <w:r w:rsidRPr="004E5AA3">
        <w:rPr>
          <w:rStyle w:val="af7"/>
          <w:rFonts w:eastAsia="Guttman Hodes"/>
          <w:rtl/>
        </w:rPr>
      </w:r>
      <w:r w:rsidRPr="004E5AA3">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4E5AA3">
        <w:rPr>
          <w:rStyle w:val="af7"/>
          <w:rFonts w:eastAsia="Guttman Hodes"/>
          <w:rtl/>
        </w:rPr>
        <w:fldChar w:fldCharType="end"/>
      </w:r>
      <w:r>
        <w:rPr>
          <w:rFonts w:hint="cs"/>
          <w:rtl/>
        </w:rPr>
        <w:t xml:space="preserve"> בדעת </w:t>
      </w:r>
      <w:r w:rsidRPr="004E5AA3">
        <w:rPr>
          <w:rStyle w:val="af9"/>
          <w:rFonts w:hint="cs"/>
          <w:rtl/>
        </w:rPr>
        <w:t>התוס'</w:t>
      </w:r>
      <w:r w:rsidRPr="001D1883">
        <w:rPr>
          <w:rFonts w:hint="cs"/>
          <w:rtl/>
        </w:rPr>
        <w:t>.</w:t>
      </w:r>
    </w:p>
    <w:p w:rsidR="007A505A" w:rsidRPr="001D1883" w:rsidRDefault="007A505A" w:rsidP="007A505A">
      <w:pPr>
        <w:pStyle w:val="a3"/>
        <w:rPr>
          <w:rtl/>
        </w:rPr>
      </w:pPr>
      <w:bookmarkStart w:id="3173" w:name="_Toc55342045"/>
      <w:bookmarkStart w:id="3174" w:name="_Toc55342146"/>
      <w:bookmarkStart w:id="3175" w:name="_Toc55375230"/>
      <w:bookmarkStart w:id="3176" w:name="_Toc55386176"/>
      <w:bookmarkStart w:id="3177" w:name="_Toc55391092"/>
      <w:bookmarkStart w:id="3178" w:name="_Toc55325130"/>
      <w:r w:rsidRPr="001D1883">
        <w:rPr>
          <w:rFonts w:hint="cs"/>
          <w:rtl/>
        </w:rPr>
        <w:t>דברי התו</w:t>
      </w:r>
      <w:r>
        <w:rPr>
          <w:rFonts w:hint="cs"/>
          <w:rtl/>
        </w:rPr>
        <w:t>ס' ה</w:t>
      </w:r>
      <w:r w:rsidRPr="001D1883">
        <w:rPr>
          <w:rFonts w:hint="cs"/>
          <w:rtl/>
        </w:rPr>
        <w:t>רא"ש דמוכח בגמ' לקמן דהמערער א"צ לבא למקום של המחזיק ולמחות בפניו</w:t>
      </w:r>
      <w:bookmarkEnd w:id="3173"/>
      <w:bookmarkEnd w:id="3174"/>
      <w:bookmarkEnd w:id="3175"/>
      <w:bookmarkEnd w:id="3176"/>
      <w:bookmarkEnd w:id="3177"/>
    </w:p>
    <w:p w:rsidR="007A505A" w:rsidRPr="001D1883" w:rsidRDefault="007A505A" w:rsidP="007E4E81">
      <w:pPr>
        <w:pStyle w:val="afa"/>
        <w:rPr>
          <w:rtl/>
        </w:rPr>
      </w:pPr>
      <w:bookmarkStart w:id="3179" w:name="_Ref55332636"/>
      <w:r w:rsidRPr="001D1883">
        <w:rPr>
          <w:rStyle w:val="a8"/>
          <w:rFonts w:hint="cs"/>
          <w:rtl/>
        </w:rPr>
        <w:t xml:space="preserve">והוסיף </w:t>
      </w:r>
      <w:r w:rsidRPr="001D1883">
        <w:rPr>
          <w:rStyle w:val="af9"/>
          <w:rFonts w:hint="cs"/>
          <w:rtl/>
        </w:rPr>
        <w:t>התוס' הרא"ש</w:t>
      </w:r>
      <w:r w:rsidRPr="001D1883">
        <w:rPr>
          <w:rStyle w:val="a8"/>
          <w:rFonts w:hint="cs"/>
          <w:rtl/>
        </w:rPr>
        <w:t xml:space="preserve"> דהמערער אינו צריך לבא לעירו של המחזיק ולמחות בו, </w:t>
      </w:r>
      <w:r w:rsidRPr="001D1883">
        <w:rPr>
          <w:rFonts w:hint="cs"/>
          <w:rtl/>
        </w:rPr>
        <w:t xml:space="preserve">[כדכתב </w:t>
      </w:r>
      <w:r w:rsidRPr="001D1883">
        <w:rPr>
          <w:rStyle w:val="affa"/>
          <w:rFonts w:hint="cs"/>
          <w:rtl/>
        </w:rPr>
        <w:t>ר"י בתוס' לקמן</w:t>
      </w:r>
      <w:r w:rsidRPr="001D1883">
        <w:rPr>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Ref55208036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יח)</w:t>
      </w:r>
      <w:r w:rsidRPr="001D1883">
        <w:rPr>
          <w:rStyle w:val="aff6"/>
          <w:rtl/>
        </w:rPr>
        <w:fldChar w:fldCharType="end"/>
      </w:r>
      <w:r w:rsidRPr="001D1883">
        <w:rPr>
          <w:rFonts w:hint="cs"/>
          <w:rtl/>
        </w:rPr>
        <w:t>],</w:t>
      </w:r>
      <w:r w:rsidRPr="001D1883">
        <w:rPr>
          <w:rStyle w:val="a8"/>
          <w:rFonts w:hint="cs"/>
          <w:rtl/>
        </w:rPr>
        <w:t xml:space="preserve"> כדמוכח בגמ' לקמן </w:t>
      </w:r>
      <w:r w:rsidRPr="001D1883">
        <w:rPr>
          <w:rStyle w:val="af7"/>
          <w:rFonts w:eastAsia="Guttman Rashi" w:hint="cs"/>
          <w:rtl/>
        </w:rPr>
        <w:t>(לח.)</w:t>
      </w:r>
      <w:r w:rsidRPr="001D1883">
        <w:rPr>
          <w:rStyle w:val="a8"/>
          <w:rFonts w:hint="cs"/>
          <w:rtl/>
        </w:rPr>
        <w:t xml:space="preserve"> דמהני מחאה שלא בפניו מדתנן ג' ארצות לחזקה, ואי צריך המערער לבא למקום המחזיק, מנלן דמהני מחאה שלא בפניו, הא יתכן דהחזקה מהני כיון שעל המערער לבא ולמחות, אלא מוכח דאין המערער חייב לבא למקום המחזיק ולמחות</w:t>
      </w:r>
      <w:bookmarkEnd w:id="3179"/>
      <w:r w:rsidRPr="001D1883">
        <w:rPr>
          <w:rStyle w:val="a8"/>
          <w:rFonts w:hint="cs"/>
          <w:rtl/>
        </w:rPr>
        <w:t>, וכ"כ</w:t>
      </w:r>
      <w:r w:rsidRPr="001D1883">
        <w:rPr>
          <w:rFonts w:hint="cs"/>
          <w:rtl/>
        </w:rPr>
        <w:t xml:space="preserve"> </w:t>
      </w:r>
      <w:r w:rsidRPr="001D1883">
        <w:rPr>
          <w:rStyle w:val="af9"/>
          <w:rFonts w:hint="cs"/>
          <w:rtl/>
        </w:rPr>
        <w:t>התוס' לקמן</w:t>
      </w:r>
      <w:r w:rsidRPr="001D1883">
        <w:rPr>
          <w:rFonts w:hint="cs"/>
          <w:rtl/>
        </w:rPr>
        <w:t xml:space="preserve"> </w:t>
      </w:r>
      <w:r w:rsidRPr="001D1883">
        <w:rPr>
          <w:rStyle w:val="af7"/>
          <w:rFonts w:eastAsia="Guttman Rashi" w:hint="cs"/>
          <w:rtl/>
        </w:rPr>
        <w:t xml:space="preserve">(עי' אות </w:t>
      </w:r>
      <w:r w:rsidRPr="001D1883">
        <w:rPr>
          <w:rStyle w:val="af7"/>
          <w:rFonts w:eastAsia="Guttman Rashi"/>
          <w:rtl/>
        </w:rPr>
        <w:fldChar w:fldCharType="begin"/>
      </w:r>
      <w:r w:rsidRPr="001D1883">
        <w:rPr>
          <w:rStyle w:val="af7"/>
          <w:rFonts w:eastAsia="Guttman Rashi"/>
          <w:rtl/>
        </w:rPr>
        <w:instrText xml:space="preserve"> </w:instrText>
      </w:r>
      <w:r w:rsidRPr="001D1883">
        <w:rPr>
          <w:rStyle w:val="af7"/>
          <w:rFonts w:eastAsia="Guttman Rashi" w:hint="cs"/>
        </w:rPr>
        <w:instrText>REF</w:instrText>
      </w:r>
      <w:r w:rsidRPr="001D1883">
        <w:rPr>
          <w:rStyle w:val="af7"/>
          <w:rFonts w:eastAsia="Guttman Rashi" w:hint="cs"/>
          <w:rtl/>
        </w:rPr>
        <w:instrText xml:space="preserve"> _</w:instrText>
      </w:r>
      <w:r w:rsidRPr="001D1883">
        <w:rPr>
          <w:rStyle w:val="af7"/>
          <w:rFonts w:eastAsia="Guttman Rashi" w:hint="cs"/>
        </w:rPr>
        <w:instrText>Ref55208036 \r \h</w:instrText>
      </w:r>
      <w:r w:rsidRPr="001D1883">
        <w:rPr>
          <w:rStyle w:val="af7"/>
          <w:rFonts w:eastAsia="Guttman Rashi"/>
          <w:rtl/>
        </w:rPr>
        <w:instrText xml:space="preserve">  \* </w:instrText>
      </w:r>
      <w:r w:rsidRPr="001D1883">
        <w:rPr>
          <w:rStyle w:val="af7"/>
          <w:rFonts w:eastAsia="Guttman Rashi"/>
        </w:rPr>
        <w:instrText>MERGEFORMAT</w:instrText>
      </w:r>
      <w:r w:rsidRPr="001D1883">
        <w:rPr>
          <w:rStyle w:val="af7"/>
          <w:rFonts w:eastAsia="Guttman Rashi"/>
          <w:rtl/>
        </w:rPr>
        <w:instrText xml:space="preserve"> </w:instrText>
      </w:r>
      <w:r w:rsidRPr="001D1883">
        <w:rPr>
          <w:rStyle w:val="af7"/>
          <w:rFonts w:eastAsia="Guttman Rashi"/>
          <w:rtl/>
        </w:rPr>
      </w:r>
      <w:r w:rsidRPr="001D1883">
        <w:rPr>
          <w:rStyle w:val="af7"/>
          <w:rFonts w:eastAsia="Guttman Rashi"/>
          <w:rtl/>
        </w:rPr>
        <w:fldChar w:fldCharType="separate"/>
      </w:r>
      <w:r w:rsidR="00265073">
        <w:rPr>
          <w:rStyle w:val="af7"/>
          <w:rFonts w:eastAsia="Guttman Rashi"/>
          <w:cs/>
        </w:rPr>
        <w:t>‎</w:t>
      </w:r>
      <w:r w:rsidR="00265073">
        <w:rPr>
          <w:rStyle w:val="af7"/>
          <w:rFonts w:eastAsia="Guttman Rashi"/>
          <w:rtl/>
        </w:rPr>
        <w:t>יח)</w:t>
      </w:r>
      <w:r w:rsidRPr="001D1883">
        <w:rPr>
          <w:rStyle w:val="af7"/>
          <w:rFonts w:eastAsia="Guttman Rashi"/>
          <w:rtl/>
        </w:rPr>
        <w:fldChar w:fldCharType="end"/>
      </w:r>
      <w:r w:rsidRPr="001D1883">
        <w:rPr>
          <w:rFonts w:hint="cs"/>
          <w:rtl/>
        </w:rPr>
        <w:t xml:space="preserve"> </w:t>
      </w:r>
      <w:r w:rsidRPr="001D1883">
        <w:rPr>
          <w:rStyle w:val="af9"/>
          <w:rFonts w:hint="cs"/>
          <w:rtl/>
        </w:rPr>
        <w:t>והרשב"א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Ref54546619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1D1883">
        <w:rPr>
          <w:rStyle w:val="af7"/>
          <w:rFonts w:eastAsia="Guttman Hodes"/>
          <w:rtl/>
        </w:rPr>
        <w:fldChar w:fldCharType="end"/>
      </w:r>
      <w:r w:rsidRPr="001D1883">
        <w:rPr>
          <w:rStyle w:val="a8"/>
          <w:rFonts w:hint="cs"/>
          <w:rtl/>
        </w:rPr>
        <w:t>.</w:t>
      </w:r>
    </w:p>
    <w:p w:rsidR="007A505A" w:rsidRDefault="007A505A" w:rsidP="007A505A">
      <w:pPr>
        <w:pStyle w:val="1"/>
        <w:rPr>
          <w:rtl/>
        </w:rPr>
      </w:pPr>
      <w:bookmarkStart w:id="3180" w:name="_Toc55391093"/>
      <w:bookmarkStart w:id="3181" w:name="_Toc55342046"/>
      <w:bookmarkStart w:id="3182" w:name="_Toc55342147"/>
      <w:bookmarkStart w:id="3183" w:name="_Toc55375231"/>
      <w:bookmarkStart w:id="3184" w:name="_Toc55386177"/>
      <w:r>
        <w:rPr>
          <w:rFonts w:hint="cs"/>
          <w:rtl/>
        </w:rPr>
        <w:t>ביאור התוס' בקושית הגמ' מהעדאה למחאה</w:t>
      </w:r>
      <w:bookmarkEnd w:id="3180"/>
    </w:p>
    <w:p w:rsidR="007A505A" w:rsidRPr="001D1883" w:rsidRDefault="007A505A" w:rsidP="007A505A">
      <w:pPr>
        <w:pStyle w:val="a3"/>
        <w:rPr>
          <w:rtl/>
        </w:rPr>
      </w:pPr>
      <w:bookmarkStart w:id="3185" w:name="_Toc55391094"/>
      <w:r w:rsidRPr="001D1883">
        <w:rPr>
          <w:rFonts w:hint="cs"/>
          <w:rtl/>
        </w:rPr>
        <w:t>דברי התוס' דקושית הגמ' היא אף דהמחאה מבטלת את החזקה והעדאה מקיימת את החזקה</w:t>
      </w:r>
      <w:bookmarkEnd w:id="3178"/>
      <w:bookmarkEnd w:id="3181"/>
      <w:bookmarkEnd w:id="3182"/>
      <w:bookmarkEnd w:id="3183"/>
      <w:bookmarkEnd w:id="3184"/>
      <w:bookmarkEnd w:id="3185"/>
    </w:p>
    <w:p w:rsidR="007A505A" w:rsidRPr="001D1883" w:rsidRDefault="007A505A" w:rsidP="007E4E81">
      <w:pPr>
        <w:pStyle w:val="a0"/>
        <w:rPr>
          <w:rStyle w:val="afb"/>
          <w:rtl/>
        </w:rPr>
      </w:pPr>
      <w:bookmarkStart w:id="3186" w:name="_Ref55211210"/>
      <w:r w:rsidRPr="001D1883">
        <w:rPr>
          <w:rFonts w:hint="cs"/>
          <w:rtl/>
        </w:rPr>
        <w:t>וכתבו</w:t>
      </w:r>
      <w:r w:rsidRPr="001D1883">
        <w:rPr>
          <w:rStyle w:val="af9"/>
          <w:rFonts w:hint="cs"/>
          <w:rtl/>
        </w:rPr>
        <w:t xml:space="preserve"> התוס'</w:t>
      </w:r>
      <w:r w:rsidRPr="001D1883">
        <w:rPr>
          <w:rFonts w:hint="cs"/>
          <w:rtl/>
        </w:rPr>
        <w:t xml:space="preserve"> </w:t>
      </w:r>
      <w:r w:rsidRPr="001D1883">
        <w:rPr>
          <w:rStyle w:val="af7"/>
          <w:rFonts w:eastAsia="Guttman Hodes" w:hint="cs"/>
          <w:rtl/>
        </w:rPr>
        <w:t>(ד"ה אלא)</w:t>
      </w:r>
      <w:r w:rsidRPr="001D1883">
        <w:rPr>
          <w:rFonts w:hint="cs"/>
          <w:rtl/>
        </w:rPr>
        <w:t xml:space="preserve"> דאעפ"י דהמחאה היא בכדי לבטל את החזקה, ואילו ההעדאה היא בכדי לקיים את חזקת המועדות, מ"מ מקשה הגמ' דאפשר ללמוד מחאה מהעדאה, ועי' במה שביארו </w:t>
      </w:r>
      <w:r w:rsidRPr="001D1883">
        <w:rPr>
          <w:rStyle w:val="af9"/>
          <w:rFonts w:hint="cs"/>
          <w:rtl/>
        </w:rPr>
        <w:t>המהר"י בן לב</w:t>
      </w:r>
      <w:r w:rsidRPr="001D1883">
        <w:rPr>
          <w:rFonts w:hint="cs"/>
          <w:rtl/>
        </w:rPr>
        <w:t xml:space="preserve"> </w:t>
      </w:r>
      <w:r w:rsidRPr="001D1883">
        <w:rPr>
          <w:rStyle w:val="af7"/>
          <w:rFonts w:eastAsia="Guttman Hodes" w:hint="cs"/>
          <w:rtl/>
        </w:rPr>
        <w:t>(ח"ג סי' נ"ו ד"ה ותו)</w:t>
      </w:r>
      <w:r w:rsidRPr="001D1883">
        <w:rPr>
          <w:rFonts w:hint="cs"/>
          <w:rtl/>
        </w:rPr>
        <w:t xml:space="preserve"> </w:t>
      </w:r>
      <w:r w:rsidRPr="001D1883">
        <w:rPr>
          <w:rStyle w:val="af9"/>
          <w:rFonts w:hint="cs"/>
          <w:rtl/>
        </w:rPr>
        <w:t>והמהרש"א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Ref55211176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1D1883">
        <w:rPr>
          <w:rStyle w:val="af7"/>
          <w:rFonts w:eastAsia="Guttman Hodes"/>
          <w:rtl/>
        </w:rPr>
        <w:fldChar w:fldCharType="end"/>
      </w:r>
      <w:r w:rsidRPr="001D1883">
        <w:rPr>
          <w:rFonts w:hint="cs"/>
          <w:rtl/>
        </w:rPr>
        <w:t xml:space="preserve"> בדברי </w:t>
      </w:r>
      <w:r w:rsidRPr="001D1883">
        <w:rPr>
          <w:rStyle w:val="af9"/>
          <w:rFonts w:hint="cs"/>
          <w:rtl/>
        </w:rPr>
        <w:t>התוס'</w:t>
      </w:r>
      <w:r w:rsidRPr="001D1883">
        <w:rPr>
          <w:rFonts w:hint="cs"/>
          <w:rtl/>
        </w:rPr>
        <w:t>.</w:t>
      </w:r>
      <w:bookmarkEnd w:id="3186"/>
      <w:r w:rsidRPr="001D1883">
        <w:rPr>
          <w:rFonts w:hint="cs"/>
          <w:rtl/>
        </w:rPr>
        <w:t xml:space="preserve"> </w:t>
      </w:r>
      <w:r w:rsidRPr="001D1883">
        <w:rPr>
          <w:rStyle w:val="afb"/>
          <w:rFonts w:hint="cs"/>
          <w:rtl/>
        </w:rPr>
        <w:t xml:space="preserve">[ועי' במה שהקשה </w:t>
      </w:r>
      <w:r w:rsidRPr="001D1883">
        <w:rPr>
          <w:rStyle w:val="affa"/>
          <w:rFonts w:hint="cs"/>
          <w:rtl/>
        </w:rPr>
        <w:t>התוס' הרא"ש</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Ref55334481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מו)</w:t>
      </w:r>
      <w:r w:rsidRPr="001D1883">
        <w:rPr>
          <w:rStyle w:val="aff6"/>
          <w:rtl/>
        </w:rPr>
        <w:fldChar w:fldCharType="end"/>
      </w:r>
      <w:r w:rsidRPr="001D1883">
        <w:rPr>
          <w:rStyle w:val="afb"/>
          <w:rFonts w:hint="cs"/>
          <w:rtl/>
        </w:rPr>
        <w:t xml:space="preserve"> על </w:t>
      </w:r>
      <w:r w:rsidRPr="001D1883">
        <w:rPr>
          <w:rStyle w:val="affa"/>
          <w:rFonts w:hint="cs"/>
          <w:rtl/>
        </w:rPr>
        <w:t>רש"י</w:t>
      </w:r>
      <w:r w:rsidRPr="001D1883">
        <w:rPr>
          <w:rStyle w:val="afb"/>
          <w:rFonts w:hint="cs"/>
          <w:rtl/>
        </w:rPr>
        <w:t>].</w:t>
      </w:r>
    </w:p>
    <w:p w:rsidR="007A505A" w:rsidRPr="001D1883" w:rsidRDefault="007A505A" w:rsidP="007A505A">
      <w:pPr>
        <w:pStyle w:val="a3"/>
        <w:rPr>
          <w:rtl/>
        </w:rPr>
      </w:pPr>
      <w:bookmarkStart w:id="3187" w:name="_Toc55325131"/>
      <w:bookmarkStart w:id="3188" w:name="_Toc55342047"/>
      <w:bookmarkStart w:id="3189" w:name="_Toc55342148"/>
      <w:bookmarkStart w:id="3190" w:name="_Toc55375232"/>
      <w:bookmarkStart w:id="3191" w:name="_Toc55386178"/>
      <w:bookmarkStart w:id="3192" w:name="_Toc55391095"/>
      <w:r w:rsidRPr="001D1883">
        <w:rPr>
          <w:rFonts w:hint="cs"/>
          <w:rtl/>
        </w:rPr>
        <w:t>דברי התוס' והתורא"ש דנקטה הגמ' את הקושיה מהמחאה דלהו"א אין לה קול כהעדאה</w:t>
      </w:r>
      <w:bookmarkEnd w:id="3187"/>
      <w:bookmarkEnd w:id="3188"/>
      <w:bookmarkEnd w:id="3189"/>
      <w:bookmarkEnd w:id="3190"/>
      <w:bookmarkEnd w:id="3191"/>
      <w:bookmarkEnd w:id="3192"/>
    </w:p>
    <w:p w:rsidR="007A505A" w:rsidRPr="001D1883" w:rsidRDefault="007A505A" w:rsidP="007E4E81">
      <w:pPr>
        <w:pStyle w:val="a0"/>
      </w:pPr>
      <w:r w:rsidRPr="001D1883">
        <w:rPr>
          <w:rFonts w:hint="cs"/>
          <w:rtl/>
        </w:rPr>
        <w:t xml:space="preserve">וכתבו </w:t>
      </w:r>
      <w:r w:rsidRPr="001D1883">
        <w:rPr>
          <w:rStyle w:val="af9"/>
          <w:rFonts w:hint="cs"/>
          <w:rtl/>
        </w:rPr>
        <w:t xml:space="preserve">התוס' </w:t>
      </w:r>
      <w:r w:rsidRPr="001D1883">
        <w:rPr>
          <w:rFonts w:hint="cs"/>
          <w:rtl/>
        </w:rPr>
        <w:t xml:space="preserve">דהא דנקטה הגמ' בקושיה דלא תועיל מחאה שלא בפניו, ולא נקטה הגמ' דהחזקה לא מהני שלא בפניו, הוא כיון דהחזקה בקרקע יותר נשמעת מאשר ההעדאה בשור, אבל המחאה בקרקע אינה נשמעת יותר מההעדאה, וביאר </w:t>
      </w:r>
      <w:r w:rsidRPr="001D1883">
        <w:rPr>
          <w:rStyle w:val="af9"/>
          <w:rFonts w:hint="cs"/>
          <w:rtl/>
        </w:rPr>
        <w:t>התוס' הרא"ש בשיטמ"ק</w:t>
      </w:r>
      <w:r w:rsidRPr="001D1883">
        <w:rPr>
          <w:rFonts w:hint="cs"/>
          <w:rtl/>
        </w:rPr>
        <w:t xml:space="preserve"> דכוונת הגמ' להקשות דלא מהני חזקה, כיון דהמחאה לא מהני, והא דלא מקשה הגמ' מהחזקה עצמה, הוא כיון שחזקה היא ידועה ויש לה קול, שאדם נכנס לשדה של אחר, אבל למחאה אין קול, וסברה הגמ' בהו"א דלא ישמע המחזיק שמחה המערער.</w:t>
      </w:r>
    </w:p>
    <w:p w:rsidR="007A505A" w:rsidRPr="001D1883" w:rsidRDefault="007A505A" w:rsidP="007A505A">
      <w:pPr>
        <w:pStyle w:val="a3"/>
        <w:rPr>
          <w:rtl/>
        </w:rPr>
      </w:pPr>
      <w:bookmarkStart w:id="3193" w:name="_Toc55325132"/>
      <w:bookmarkStart w:id="3194" w:name="_Toc55342048"/>
      <w:bookmarkStart w:id="3195" w:name="_Toc55342149"/>
      <w:bookmarkStart w:id="3196" w:name="_Toc55375233"/>
      <w:bookmarkStart w:id="3197" w:name="_Toc55386179"/>
      <w:bookmarkStart w:id="3198" w:name="_Toc55391096"/>
      <w:r w:rsidRPr="001D1883">
        <w:rPr>
          <w:rFonts w:hint="cs"/>
          <w:rtl/>
        </w:rPr>
        <w:t>דברי התוס' דאפשר להקשות אף בלא הילפותא משור המועד וניחא לגמ' להקשות מהילפותא</w:t>
      </w:r>
      <w:bookmarkEnd w:id="3193"/>
      <w:bookmarkEnd w:id="3194"/>
      <w:bookmarkEnd w:id="3195"/>
      <w:bookmarkEnd w:id="3196"/>
      <w:bookmarkEnd w:id="3197"/>
      <w:bookmarkEnd w:id="3198"/>
    </w:p>
    <w:p w:rsidR="007A505A" w:rsidRDefault="007A505A" w:rsidP="007E4E81">
      <w:pPr>
        <w:pStyle w:val="a0"/>
        <w:rPr>
          <w:rtl/>
        </w:rPr>
      </w:pPr>
      <w:bookmarkStart w:id="3199" w:name="_Ref54609901"/>
      <w:r w:rsidRPr="001D1883">
        <w:rPr>
          <w:rFonts w:hint="cs"/>
          <w:rtl/>
        </w:rPr>
        <w:t xml:space="preserve">וכתבו </w:t>
      </w:r>
      <w:r w:rsidRPr="001D1883">
        <w:rPr>
          <w:rStyle w:val="af9"/>
          <w:rFonts w:hint="cs"/>
          <w:rtl/>
        </w:rPr>
        <w:t>התוס'</w:t>
      </w:r>
      <w:r w:rsidRPr="001D1883">
        <w:rPr>
          <w:rFonts w:hint="cs"/>
          <w:rtl/>
        </w:rPr>
        <w:t xml:space="preserve"> דבאמת אף בלא הילפותא משור המועד, הייתה הגמ' יכולה להקשות דלא תועיל מחאה שלא בפניו, כדמקשה הגמ' </w:t>
      </w:r>
      <w:r w:rsidRPr="001D1883">
        <w:rPr>
          <w:rStyle w:val="af7"/>
          <w:rFonts w:eastAsia="Guttman Hodes" w:hint="cs"/>
          <w:rtl/>
        </w:rPr>
        <w:t>(כט.)</w:t>
      </w:r>
      <w:r w:rsidRPr="001D1883">
        <w:rPr>
          <w:rFonts w:hint="cs"/>
          <w:rtl/>
        </w:rPr>
        <w:t xml:space="preserve"> לדעת רבנן דטעמא דחזקה דעד ג"ש נזהר בשטרו, אלא דכיון דלהולכי אושא ילפינן משור המועד, ניחא לגמ' להקשות מהילפותא עצמה, ודלא </w:t>
      </w:r>
      <w:r w:rsidRPr="001D1883">
        <w:rPr>
          <w:rStyle w:val="af9"/>
          <w:rFonts w:hint="cs"/>
          <w:rtl/>
        </w:rPr>
        <w:t>כרמב"ן</w:t>
      </w:r>
      <w:r w:rsidRPr="001D1883">
        <w:rPr>
          <w:rFonts w:hint="cs"/>
          <w:rtl/>
        </w:rPr>
        <w:t xml:space="preserve"> </w:t>
      </w:r>
      <w:r w:rsidRPr="001D1883">
        <w:rPr>
          <w:rStyle w:val="af9"/>
          <w:rFonts w:hint="cs"/>
          <w:rtl/>
        </w:rPr>
        <w:t>והר"ן</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Ref54609150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1D1883">
        <w:rPr>
          <w:rStyle w:val="af7"/>
          <w:rFonts w:eastAsia="Guttman Hodes"/>
          <w:rtl/>
        </w:rPr>
        <w:fldChar w:fldCharType="end"/>
      </w:r>
      <w:r w:rsidRPr="001D1883">
        <w:rPr>
          <w:rtl/>
        </w:rPr>
        <w:t xml:space="preserve">, </w:t>
      </w:r>
      <w:r w:rsidRPr="001D1883">
        <w:rPr>
          <w:rFonts w:hint="cs"/>
          <w:rtl/>
        </w:rPr>
        <w:t xml:space="preserve">ועי' במה שביארו </w:t>
      </w:r>
      <w:r w:rsidRPr="001D1883">
        <w:rPr>
          <w:rStyle w:val="af9"/>
          <w:rFonts w:hint="cs"/>
          <w:rtl/>
        </w:rPr>
        <w:t>המהר"י בן לב</w:t>
      </w:r>
      <w:r w:rsidRPr="001D1883">
        <w:rPr>
          <w:rFonts w:hint="cs"/>
          <w:rtl/>
        </w:rPr>
        <w:t xml:space="preserve"> </w:t>
      </w:r>
      <w:r w:rsidRPr="001D1883">
        <w:rPr>
          <w:rStyle w:val="af7"/>
          <w:rFonts w:eastAsia="Guttman Hodes" w:hint="cs"/>
          <w:rtl/>
        </w:rPr>
        <w:t>(ח"ג סי' נ"ו ד"ה ותו)</w:t>
      </w:r>
      <w:r w:rsidRPr="001D1883">
        <w:rPr>
          <w:rFonts w:hint="cs"/>
          <w:rtl/>
        </w:rPr>
        <w:t xml:space="preserve"> </w:t>
      </w:r>
      <w:r w:rsidRPr="001D1883">
        <w:rPr>
          <w:rStyle w:val="af9"/>
          <w:rFonts w:hint="cs"/>
          <w:rtl/>
        </w:rPr>
        <w:t>והמהרש"א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Ref55211188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1D1883">
        <w:rPr>
          <w:rStyle w:val="af7"/>
          <w:rFonts w:eastAsia="Guttman Hodes"/>
          <w:rtl/>
        </w:rPr>
        <w:fldChar w:fldCharType="end"/>
      </w:r>
      <w:r w:rsidRPr="001D1883">
        <w:rPr>
          <w:rFonts w:hint="cs"/>
          <w:rtl/>
        </w:rPr>
        <w:t xml:space="preserve"> </w:t>
      </w:r>
      <w:r w:rsidRPr="001D1883">
        <w:rPr>
          <w:rStyle w:val="af9"/>
          <w:rFonts w:hint="cs"/>
          <w:rtl/>
        </w:rPr>
        <w:t>ו</w:t>
      </w:r>
      <w:r w:rsidRPr="001D1883">
        <w:rPr>
          <w:rStyle w:val="af9"/>
          <w:rtl/>
        </w:rPr>
        <w:t>בחי' רבי נחום</w:t>
      </w:r>
      <w:r w:rsidRPr="001D1883">
        <w:rPr>
          <w:rtl/>
        </w:rPr>
        <w:t xml:space="preserve"> </w:t>
      </w:r>
      <w:r w:rsidRPr="00295E87">
        <w:rPr>
          <w:rStyle w:val="af7"/>
          <w:rFonts w:eastAsia="Guttman Hodes" w:hint="cs"/>
          <w:rtl/>
        </w:rPr>
        <w:t xml:space="preserve">(עי' אות </w:t>
      </w:r>
      <w:r w:rsidRPr="00295E87">
        <w:rPr>
          <w:rStyle w:val="af7"/>
          <w:rFonts w:eastAsia="Guttman Hodes"/>
          <w:rtl/>
        </w:rPr>
        <w:fldChar w:fldCharType="begin"/>
      </w:r>
      <w:r w:rsidRPr="00295E87">
        <w:rPr>
          <w:rStyle w:val="af7"/>
          <w:rFonts w:eastAsia="Guttman Hodes"/>
          <w:rtl/>
        </w:rPr>
        <w:instrText xml:space="preserve"> </w:instrText>
      </w:r>
      <w:r w:rsidRPr="00295E87">
        <w:rPr>
          <w:rStyle w:val="af7"/>
          <w:rFonts w:eastAsia="Guttman Hodes" w:hint="cs"/>
        </w:rPr>
        <w:instrText>REF</w:instrText>
      </w:r>
      <w:r w:rsidRPr="00295E87">
        <w:rPr>
          <w:rStyle w:val="af7"/>
          <w:rFonts w:eastAsia="Guttman Hodes" w:hint="cs"/>
          <w:rtl/>
        </w:rPr>
        <w:instrText xml:space="preserve"> _</w:instrText>
      </w:r>
      <w:r w:rsidRPr="00295E87">
        <w:rPr>
          <w:rStyle w:val="af7"/>
          <w:rFonts w:eastAsia="Guttman Hodes" w:hint="cs"/>
        </w:rPr>
        <w:instrText>Ref55383812 \r \h</w:instrText>
      </w:r>
      <w:r w:rsidRPr="00295E87">
        <w:rPr>
          <w:rStyle w:val="af7"/>
          <w:rFonts w:eastAsia="Guttman Hodes"/>
          <w:rtl/>
        </w:rPr>
        <w:instrText xml:space="preserve"> </w:instrText>
      </w:r>
      <w:r w:rsidRPr="00295E87">
        <w:rPr>
          <w:rStyle w:val="af7"/>
          <w:rFonts w:eastAsia="Guttman Hodes"/>
          <w:rtl/>
        </w:rPr>
      </w:r>
      <w:r w:rsidRPr="00295E87">
        <w:rPr>
          <w:rStyle w:val="af7"/>
          <w:rFonts w:eastAsia="Guttman Hodes"/>
          <w:rtl/>
        </w:rPr>
        <w:fldChar w:fldCharType="separate"/>
      </w:r>
      <w:r w:rsidR="00265073">
        <w:rPr>
          <w:rStyle w:val="af7"/>
          <w:rFonts w:eastAsia="Guttman Hodes"/>
          <w:cs/>
        </w:rPr>
        <w:t>‎</w:t>
      </w:r>
      <w:r w:rsidR="00265073">
        <w:rPr>
          <w:rStyle w:val="af7"/>
          <w:rFonts w:eastAsia="Guttman Hodes"/>
          <w:rtl/>
        </w:rPr>
        <w:t>צג)</w:t>
      </w:r>
      <w:r w:rsidRPr="00295E87">
        <w:rPr>
          <w:rStyle w:val="af7"/>
          <w:rFonts w:eastAsia="Guttman Hodes"/>
          <w:rtl/>
        </w:rPr>
        <w:fldChar w:fldCharType="end"/>
      </w:r>
      <w:r w:rsidRPr="00295E87">
        <w:rPr>
          <w:rStyle w:val="af7"/>
          <w:rFonts w:eastAsia="Guttman Hodes" w:hint="cs"/>
          <w:rtl/>
        </w:rPr>
        <w:t xml:space="preserve"> </w:t>
      </w:r>
      <w:r w:rsidRPr="001D1883">
        <w:rPr>
          <w:rtl/>
        </w:rPr>
        <w:t xml:space="preserve">בדברי </w:t>
      </w:r>
      <w:r w:rsidRPr="001D1883">
        <w:rPr>
          <w:rStyle w:val="af9"/>
          <w:rtl/>
        </w:rPr>
        <w:t>התוס'</w:t>
      </w:r>
      <w:r w:rsidRPr="001D1883">
        <w:rPr>
          <w:rFonts w:hint="cs"/>
          <w:rtl/>
        </w:rPr>
        <w:t>.</w:t>
      </w:r>
      <w:bookmarkEnd w:id="3199"/>
    </w:p>
    <w:p w:rsidR="007A505A" w:rsidRPr="00761B68" w:rsidRDefault="007A505A" w:rsidP="007A505A">
      <w:pPr>
        <w:pStyle w:val="1"/>
        <w:rPr>
          <w:rtl/>
        </w:rPr>
      </w:pPr>
      <w:bookmarkStart w:id="3200" w:name="_Toc55391097"/>
      <w:r>
        <w:rPr>
          <w:rFonts w:hint="cs"/>
          <w:rtl/>
        </w:rPr>
        <w:t>ביאור התוס' דלמסקנא בהעדאה צריך בפניו מגזיה"כ</w:t>
      </w:r>
      <w:bookmarkEnd w:id="3200"/>
    </w:p>
    <w:p w:rsidR="007A505A" w:rsidRPr="001D1883" w:rsidRDefault="007A505A" w:rsidP="007A505A">
      <w:pPr>
        <w:pStyle w:val="a3"/>
        <w:rPr>
          <w:rtl/>
        </w:rPr>
      </w:pPr>
      <w:bookmarkStart w:id="3201" w:name="_Toc55325133"/>
      <w:bookmarkStart w:id="3202" w:name="_Toc55342049"/>
      <w:bookmarkStart w:id="3203" w:name="_Toc55342150"/>
      <w:bookmarkStart w:id="3204" w:name="_Toc55375234"/>
      <w:bookmarkStart w:id="3205" w:name="_Toc55386180"/>
      <w:bookmarkStart w:id="3206" w:name="_Toc55391098"/>
      <w:r w:rsidRPr="001D1883">
        <w:rPr>
          <w:rFonts w:hint="cs"/>
          <w:rtl/>
        </w:rPr>
        <w:t>ביאור התוס' דלמסקנא אף בהעדאה יש קול כמחאה ומ"מ לא מהני שלא בפניו מגזיה"כ</w:t>
      </w:r>
      <w:bookmarkEnd w:id="3201"/>
      <w:bookmarkEnd w:id="3202"/>
      <w:bookmarkEnd w:id="3203"/>
      <w:bookmarkEnd w:id="3204"/>
      <w:bookmarkEnd w:id="3205"/>
      <w:bookmarkEnd w:id="3206"/>
    </w:p>
    <w:p w:rsidR="007A505A" w:rsidRPr="001D1883" w:rsidRDefault="007A505A" w:rsidP="007E4E81">
      <w:pPr>
        <w:pStyle w:val="a0"/>
        <w:rPr>
          <w:rtl/>
        </w:rPr>
      </w:pPr>
      <w:bookmarkStart w:id="3207" w:name="_Ref54609177"/>
      <w:r w:rsidRPr="001D1883">
        <w:rPr>
          <w:rFonts w:hint="cs"/>
          <w:rtl/>
        </w:rPr>
        <w:t xml:space="preserve">ובתירוץ הגמ' דחברך חברא אית ליה, ביארו </w:t>
      </w:r>
      <w:r w:rsidRPr="001D1883">
        <w:rPr>
          <w:rStyle w:val="af9"/>
          <w:rFonts w:hint="cs"/>
          <w:rtl/>
        </w:rPr>
        <w:t>התוס'</w:t>
      </w:r>
      <w:r w:rsidRPr="001D1883">
        <w:rPr>
          <w:rFonts w:hint="cs"/>
          <w:rtl/>
        </w:rPr>
        <w:t xml:space="preserve"> דבאמת יש קול בין בהעדאה דשור, ובין במחאה בחזקה, אלא דבשור יש גזיה"כ דהוא נעשה מועד, רק כשמעידים בפני הבעלים, אבל אם לא העידו בפניו, אף אם הוברר לבעלים באלף עדים, ששורו הועד בב"ד, מ"מ אינו נעשה מועד, ועי' במה שביאר </w:t>
      </w:r>
      <w:r w:rsidRPr="001D1883">
        <w:rPr>
          <w:rStyle w:val="af9"/>
          <w:rFonts w:hint="cs"/>
          <w:rtl/>
        </w:rPr>
        <w:t>המהר"י בן לב</w:t>
      </w:r>
      <w:r w:rsidRPr="001D1883">
        <w:rPr>
          <w:rFonts w:hint="cs"/>
          <w:rtl/>
        </w:rPr>
        <w:t xml:space="preserve"> </w:t>
      </w:r>
      <w:r w:rsidRPr="001D1883">
        <w:rPr>
          <w:rStyle w:val="af7"/>
          <w:rFonts w:eastAsia="Guttman Hodes" w:hint="cs"/>
          <w:rtl/>
        </w:rPr>
        <w:t>(ח"ג סי' נ"ו ד"ה ותו)</w:t>
      </w:r>
      <w:r w:rsidRPr="001D1883">
        <w:rPr>
          <w:rFonts w:hint="cs"/>
          <w:rtl/>
        </w:rPr>
        <w:t xml:space="preserve"> בדברי </w:t>
      </w:r>
      <w:r w:rsidRPr="001D1883">
        <w:rPr>
          <w:rStyle w:val="af9"/>
          <w:rFonts w:hint="cs"/>
          <w:rtl/>
        </w:rPr>
        <w:t>התוס'</w:t>
      </w:r>
      <w:r w:rsidRPr="001D1883">
        <w:rPr>
          <w:rFonts w:hint="cs"/>
          <w:rtl/>
        </w:rPr>
        <w:t>.</w:t>
      </w:r>
      <w:bookmarkEnd w:id="3207"/>
    </w:p>
    <w:p w:rsidR="007A505A" w:rsidRPr="001D1883" w:rsidRDefault="007A505A" w:rsidP="007A505A">
      <w:pPr>
        <w:pStyle w:val="a3"/>
        <w:rPr>
          <w:rtl/>
        </w:rPr>
      </w:pPr>
      <w:bookmarkStart w:id="3208" w:name="_Toc55375302"/>
      <w:bookmarkStart w:id="3209" w:name="_Toc55386249"/>
      <w:bookmarkStart w:id="3210" w:name="_Toc55391099"/>
      <w:bookmarkStart w:id="3211" w:name="_Toc54642636"/>
      <w:bookmarkStart w:id="3212" w:name="_Toc55127837"/>
      <w:bookmarkStart w:id="3213" w:name="_Toc55246092"/>
      <w:bookmarkStart w:id="3214" w:name="_Ref54465972"/>
      <w:bookmarkStart w:id="3215" w:name="_Toc55325134"/>
      <w:bookmarkStart w:id="3216" w:name="_Toc55342050"/>
      <w:bookmarkStart w:id="3217" w:name="_Toc55342151"/>
      <w:bookmarkStart w:id="3218" w:name="_Toc55375235"/>
      <w:bookmarkStart w:id="3219" w:name="_Toc55386181"/>
      <w:r>
        <w:rPr>
          <w:rFonts w:hint="cs"/>
          <w:rtl/>
        </w:rPr>
        <w:t>הביאור הב' בריטב"א דלמסקנא אף להעדאה יש קול אלא שיש גזיה"כ דצריך להעיד בפניו</w:t>
      </w:r>
      <w:bookmarkEnd w:id="3208"/>
      <w:bookmarkEnd w:id="3209"/>
      <w:bookmarkEnd w:id="3210"/>
    </w:p>
    <w:p w:rsidR="007A505A" w:rsidRPr="001D1883" w:rsidRDefault="007A505A" w:rsidP="007E4E81">
      <w:pPr>
        <w:pStyle w:val="a0"/>
        <w:rPr>
          <w:rStyle w:val="afb"/>
        </w:rPr>
      </w:pPr>
      <w:bookmarkStart w:id="3220" w:name="_Ref55120347"/>
      <w:r>
        <w:rPr>
          <w:rFonts w:hint="cs"/>
          <w:rtl/>
        </w:rPr>
        <w:t>וכ"כ</w:t>
      </w:r>
      <w:r w:rsidRPr="00D92BB5">
        <w:rPr>
          <w:rFonts w:hint="cs"/>
          <w:rtl/>
        </w:rPr>
        <w:t xml:space="preserve"> </w:t>
      </w:r>
      <w:r w:rsidRPr="00D92BB5">
        <w:rPr>
          <w:rStyle w:val="af9"/>
          <w:rFonts w:hint="cs"/>
          <w:rtl/>
        </w:rPr>
        <w:t>הריטב"א</w:t>
      </w:r>
      <w:r>
        <w:rPr>
          <w:rStyle w:val="af9"/>
          <w:rFonts w:hint="cs"/>
          <w:rtl/>
        </w:rPr>
        <w:t xml:space="preserve"> בביאורו הב'</w:t>
      </w:r>
      <w:r w:rsidRPr="00D92BB5">
        <w:rPr>
          <w:rFonts w:hint="cs"/>
          <w:rtl/>
        </w:rPr>
        <w:t xml:space="preserve"> </w:t>
      </w:r>
      <w:r w:rsidRPr="00D92BB5">
        <w:rPr>
          <w:rStyle w:val="af7"/>
          <w:rFonts w:eastAsia="Guttman Hodes" w:hint="cs"/>
          <w:rtl/>
        </w:rPr>
        <w:t>(סוד"ה אלא)</w:t>
      </w:r>
      <w:r>
        <w:rPr>
          <w:rFonts w:hint="cs"/>
          <w:rtl/>
        </w:rPr>
        <w:t xml:space="preserve"> דל</w:t>
      </w:r>
      <w:r w:rsidRPr="00D92BB5">
        <w:rPr>
          <w:rFonts w:hint="cs"/>
          <w:rtl/>
        </w:rPr>
        <w:t xml:space="preserve">תירוץ הגמ' דבין מחאה ובין העדאה מהני שלא בפניו, דחברך חברא אית ליה, אלא דבהעדאה יש גזיה"כ, מדכתיב "והועד בבעליו" דיבא בעל השור ויעמוד על שורו, והביא </w:t>
      </w:r>
      <w:r w:rsidRPr="00D92BB5">
        <w:rPr>
          <w:rStyle w:val="af9"/>
          <w:rFonts w:hint="cs"/>
          <w:rtl/>
        </w:rPr>
        <w:t>הריטב"א</w:t>
      </w:r>
      <w:r w:rsidRPr="00D92BB5">
        <w:rPr>
          <w:rFonts w:hint="cs"/>
          <w:rtl/>
        </w:rPr>
        <w:t xml:space="preserve"> דיש גורסין</w:t>
      </w:r>
      <w:r w:rsidRPr="001D1883">
        <w:rPr>
          <w:rFonts w:hint="cs"/>
          <w:rtl/>
        </w:rPr>
        <w:t xml:space="preserve"> כן בתירוץ הגמ', וזהו הפירוש הנכון, אך כתב </w:t>
      </w:r>
      <w:r w:rsidRPr="001D1883">
        <w:rPr>
          <w:rStyle w:val="af9"/>
          <w:rFonts w:hint="cs"/>
          <w:rtl/>
        </w:rPr>
        <w:t>הריטב"א</w:t>
      </w:r>
      <w:r w:rsidRPr="001D1883">
        <w:rPr>
          <w:rFonts w:hint="cs"/>
          <w:rtl/>
        </w:rPr>
        <w:t xml:space="preserve"> דמ"מ אף לתירוץ זה צריך </w:t>
      </w:r>
      <w:r w:rsidRPr="00C1504F">
        <w:rPr>
          <w:rFonts w:hint="cs"/>
          <w:rtl/>
        </w:rPr>
        <w:t xml:space="preserve">לבאר כדביאר </w:t>
      </w:r>
      <w:r w:rsidRPr="00C1504F">
        <w:rPr>
          <w:rStyle w:val="af9"/>
          <w:rFonts w:hint="cs"/>
          <w:rtl/>
        </w:rPr>
        <w:t>הריטב"א</w:t>
      </w:r>
      <w:r w:rsidRPr="00C1504F">
        <w:rPr>
          <w:rFonts w:hint="cs"/>
          <w:rtl/>
        </w:rPr>
        <w:t xml:space="preserve"> </w:t>
      </w:r>
      <w:r w:rsidRPr="00C1504F">
        <w:rPr>
          <w:rStyle w:val="af7"/>
          <w:rFonts w:eastAsia="Guttman Hodes" w:hint="cs"/>
          <w:rtl/>
        </w:rPr>
        <w:t xml:space="preserve">(עי' אות </w:t>
      </w:r>
      <w:r w:rsidRPr="00C1504F">
        <w:rPr>
          <w:rStyle w:val="af7"/>
          <w:rFonts w:eastAsia="Guttman Hodes"/>
          <w:rtl/>
        </w:rPr>
        <w:fldChar w:fldCharType="begin"/>
      </w:r>
      <w:r w:rsidRPr="00C1504F">
        <w:rPr>
          <w:rStyle w:val="af7"/>
          <w:rFonts w:eastAsia="Guttman Hodes"/>
          <w:rtl/>
        </w:rPr>
        <w:instrText xml:space="preserve"> </w:instrText>
      </w:r>
      <w:r w:rsidRPr="00C1504F">
        <w:rPr>
          <w:rStyle w:val="af7"/>
          <w:rFonts w:eastAsia="Guttman Hodes" w:hint="cs"/>
        </w:rPr>
        <w:instrText>REF</w:instrText>
      </w:r>
      <w:r w:rsidRPr="00C1504F">
        <w:rPr>
          <w:rStyle w:val="af7"/>
          <w:rFonts w:eastAsia="Guttman Hodes" w:hint="cs"/>
          <w:rtl/>
        </w:rPr>
        <w:instrText xml:space="preserve"> _</w:instrText>
      </w:r>
      <w:r w:rsidRPr="00C1504F">
        <w:rPr>
          <w:rStyle w:val="af7"/>
          <w:rFonts w:eastAsia="Guttman Hodes" w:hint="cs"/>
        </w:rPr>
        <w:instrText>Ref55334847 \r \h</w:instrText>
      </w:r>
      <w:r w:rsidRPr="00C1504F">
        <w:rPr>
          <w:rStyle w:val="af7"/>
          <w:rFonts w:eastAsia="Guttman Hodes"/>
          <w:rtl/>
        </w:rPr>
        <w:instrText xml:space="preserve"> </w:instrText>
      </w:r>
      <w:r w:rsidRPr="00C1504F">
        <w:rPr>
          <w:rStyle w:val="af7"/>
          <w:rFonts w:eastAsia="Guttman Hodes"/>
          <w:rtl/>
        </w:rPr>
      </w:r>
      <w:r w:rsidRPr="00C1504F">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sidRPr="00C1504F">
        <w:rPr>
          <w:rStyle w:val="af7"/>
          <w:rFonts w:eastAsia="Guttman Hodes"/>
          <w:rtl/>
        </w:rPr>
        <w:fldChar w:fldCharType="end"/>
      </w:r>
      <w:r w:rsidRPr="00C1504F">
        <w:rPr>
          <w:rFonts w:hint="cs"/>
          <w:rtl/>
        </w:rPr>
        <w:t xml:space="preserve"> </w:t>
      </w:r>
      <w:r>
        <w:rPr>
          <w:rFonts w:hint="cs"/>
          <w:rtl/>
        </w:rPr>
        <w:t xml:space="preserve">בדעת </w:t>
      </w:r>
      <w:r w:rsidRPr="00C1504F">
        <w:rPr>
          <w:rStyle w:val="af9"/>
          <w:rFonts w:hint="cs"/>
          <w:rtl/>
        </w:rPr>
        <w:t>רש"י</w:t>
      </w:r>
      <w:r>
        <w:rPr>
          <w:rFonts w:hint="cs"/>
          <w:rtl/>
        </w:rPr>
        <w:t>,</w:t>
      </w:r>
      <w:r w:rsidRPr="00C1504F">
        <w:rPr>
          <w:rFonts w:hint="cs"/>
          <w:rtl/>
        </w:rPr>
        <w:t xml:space="preserve"> דהחזקה תלויה</w:t>
      </w:r>
      <w:r w:rsidRPr="001D1883">
        <w:rPr>
          <w:rFonts w:hint="cs"/>
          <w:rtl/>
        </w:rPr>
        <w:t xml:space="preserve"> במחאה, ולכן מקשה הגמ' דהמחאה היא כמו העדאה. </w:t>
      </w:r>
      <w:r w:rsidRPr="001D1883">
        <w:rPr>
          <w:rStyle w:val="afb"/>
          <w:rFonts w:hint="cs"/>
          <w:rtl/>
        </w:rPr>
        <w:t xml:space="preserve">[ועי' במ"ש </w:t>
      </w:r>
      <w:r w:rsidRPr="001D1883">
        <w:rPr>
          <w:rStyle w:val="affa"/>
          <w:rFonts w:hint="cs"/>
          <w:rtl/>
        </w:rPr>
        <w:t>הרשב"א</w:t>
      </w:r>
      <w:r w:rsidRPr="001D1883">
        <w:rPr>
          <w:rStyle w:val="afb"/>
          <w:rFonts w:hint="cs"/>
          <w:rtl/>
        </w:rPr>
        <w:t xml:space="preserve"> </w:t>
      </w:r>
      <w:r w:rsidRPr="001D188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Ref55374703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נז)</w:t>
      </w:r>
      <w:r>
        <w:rPr>
          <w:rStyle w:val="aff6"/>
          <w:rtl/>
        </w:rPr>
        <w:fldChar w:fldCharType="end"/>
      </w:r>
      <w:r>
        <w:rPr>
          <w:rStyle w:val="aff6"/>
          <w:rFonts w:hint="cs"/>
          <w:rtl/>
        </w:rPr>
        <w:t xml:space="preserve"> </w:t>
      </w:r>
      <w:r w:rsidRPr="001D1883">
        <w:rPr>
          <w:rStyle w:val="afb"/>
          <w:rFonts w:hint="cs"/>
          <w:rtl/>
        </w:rPr>
        <w:t>דהא דכתיב "והועד בבעליו אינו גזיה"כ</w:t>
      </w:r>
      <w:r>
        <w:rPr>
          <w:rStyle w:val="afb"/>
          <w:rFonts w:hint="cs"/>
          <w:rtl/>
        </w:rPr>
        <w:t xml:space="preserve">, וע"ע במה שהקשה </w:t>
      </w:r>
      <w:r w:rsidRPr="0018244E">
        <w:rPr>
          <w:rStyle w:val="affa"/>
          <w:rFonts w:hint="cs"/>
          <w:rtl/>
        </w:rPr>
        <w:t>החי' הרי"ם</w:t>
      </w:r>
      <w:r>
        <w:rPr>
          <w:rStyle w:val="afb"/>
          <w:rFonts w:hint="cs"/>
          <w:rtl/>
        </w:rPr>
        <w:t xml:space="preserve"> </w:t>
      </w:r>
      <w:r w:rsidRPr="0018244E">
        <w:rPr>
          <w:rStyle w:val="aff6"/>
          <w:rFonts w:hint="cs"/>
          <w:rtl/>
        </w:rPr>
        <w:t>(עי' הערה</w:t>
      </w:r>
      <w:r w:rsidRPr="0018244E">
        <w:rPr>
          <w:vertAlign w:val="superscript"/>
          <w:rtl/>
        </w:rPr>
        <w:fldChar w:fldCharType="begin"/>
      </w:r>
      <w:r w:rsidRPr="0018244E">
        <w:rPr>
          <w:vertAlign w:val="superscript"/>
          <w:rtl/>
        </w:rPr>
        <w:instrText xml:space="preserve"> </w:instrText>
      </w:r>
      <w:r w:rsidRPr="0018244E">
        <w:rPr>
          <w:rFonts w:hint="cs"/>
          <w:vertAlign w:val="superscript"/>
        </w:rPr>
        <w:instrText>NOTEREF</w:instrText>
      </w:r>
      <w:r w:rsidRPr="0018244E">
        <w:rPr>
          <w:rFonts w:hint="cs"/>
          <w:vertAlign w:val="superscript"/>
          <w:rtl/>
        </w:rPr>
        <w:instrText xml:space="preserve"> _</w:instrText>
      </w:r>
      <w:r w:rsidRPr="0018244E">
        <w:rPr>
          <w:rFonts w:hint="cs"/>
          <w:vertAlign w:val="superscript"/>
        </w:rPr>
        <w:instrText>Ref55375127 \h</w:instrText>
      </w:r>
      <w:r w:rsidRPr="0018244E">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18244E">
        <w:rPr>
          <w:vertAlign w:val="superscript"/>
          <w:rtl/>
        </w:rPr>
      </w:r>
      <w:r w:rsidRPr="0018244E">
        <w:rPr>
          <w:vertAlign w:val="superscript"/>
          <w:rtl/>
        </w:rPr>
        <w:fldChar w:fldCharType="separate"/>
      </w:r>
      <w:r w:rsidR="00265073">
        <w:rPr>
          <w:vertAlign w:val="superscript"/>
          <w:rtl/>
        </w:rPr>
        <w:t>8</w:t>
      </w:r>
      <w:r w:rsidRPr="0018244E">
        <w:rPr>
          <w:vertAlign w:val="superscript"/>
          <w:rtl/>
        </w:rPr>
        <w:fldChar w:fldCharType="end"/>
      </w:r>
      <w:r w:rsidRPr="0018244E">
        <w:rPr>
          <w:rStyle w:val="aff6"/>
          <w:rFonts w:hint="cs"/>
          <w:rtl/>
        </w:rPr>
        <w:t xml:space="preserve">) </w:t>
      </w:r>
      <w:r>
        <w:rPr>
          <w:rStyle w:val="afb"/>
          <w:rFonts w:hint="cs"/>
          <w:rtl/>
        </w:rPr>
        <w:t xml:space="preserve">על </w:t>
      </w:r>
      <w:r w:rsidRPr="0018244E">
        <w:rPr>
          <w:rStyle w:val="affa"/>
          <w:rFonts w:hint="cs"/>
          <w:rtl/>
        </w:rPr>
        <w:t>רש"י</w:t>
      </w:r>
      <w:r w:rsidRPr="001D1883">
        <w:rPr>
          <w:rStyle w:val="afb"/>
          <w:rFonts w:hint="cs"/>
          <w:rtl/>
        </w:rPr>
        <w:t>].</w:t>
      </w:r>
      <w:bookmarkEnd w:id="3220"/>
    </w:p>
    <w:p w:rsidR="007A505A" w:rsidRPr="001D1883" w:rsidRDefault="007A505A" w:rsidP="007A505A">
      <w:pPr>
        <w:pStyle w:val="a3"/>
        <w:rPr>
          <w:rtl/>
        </w:rPr>
      </w:pPr>
      <w:bookmarkStart w:id="3221" w:name="_Toc55391100"/>
      <w:bookmarkEnd w:id="3211"/>
      <w:bookmarkEnd w:id="3212"/>
      <w:bookmarkEnd w:id="3213"/>
      <w:bookmarkEnd w:id="3214"/>
      <w:r w:rsidRPr="001D1883">
        <w:rPr>
          <w:rFonts w:hint="cs"/>
          <w:rtl/>
        </w:rPr>
        <w:t xml:space="preserve">ביאור החת"ס בתוס' דאף בהעדאה אמרינן </w:t>
      </w:r>
      <w:r>
        <w:rPr>
          <w:rFonts w:hint="cs"/>
          <w:rtl/>
        </w:rPr>
        <w:t>חברך חברא</w:t>
      </w:r>
      <w:r w:rsidRPr="001D1883">
        <w:rPr>
          <w:rFonts w:hint="cs"/>
          <w:rtl/>
        </w:rPr>
        <w:t xml:space="preserve"> אית ליה ול"מ שלא בפניו מגזיה"כ</w:t>
      </w:r>
      <w:bookmarkEnd w:id="3215"/>
      <w:bookmarkEnd w:id="3216"/>
      <w:bookmarkEnd w:id="3217"/>
      <w:bookmarkEnd w:id="3218"/>
      <w:bookmarkEnd w:id="3219"/>
      <w:bookmarkEnd w:id="3221"/>
    </w:p>
    <w:p w:rsidR="007A505A" w:rsidRPr="001D1883" w:rsidRDefault="007A505A" w:rsidP="007E4E81">
      <w:pPr>
        <w:pStyle w:val="a0"/>
        <w:rPr>
          <w:rtl/>
        </w:rPr>
      </w:pPr>
      <w:bookmarkStart w:id="3222" w:name="_Ref55121625"/>
      <w:r w:rsidRPr="001D1883">
        <w:rPr>
          <w:rFonts w:hint="cs"/>
          <w:rtl/>
        </w:rPr>
        <w:t xml:space="preserve">וכתב </w:t>
      </w:r>
      <w:r w:rsidRPr="001D1883">
        <w:rPr>
          <w:rStyle w:val="af9"/>
          <w:rFonts w:hint="cs"/>
          <w:rtl/>
        </w:rPr>
        <w:t>החת"ס</w:t>
      </w:r>
      <w:r w:rsidRPr="001D1883">
        <w:rPr>
          <w:rFonts w:hint="cs"/>
          <w:rtl/>
        </w:rPr>
        <w:t xml:space="preserve"> </w:t>
      </w:r>
      <w:r w:rsidRPr="001D1883">
        <w:rPr>
          <w:rStyle w:val="af7"/>
          <w:rFonts w:eastAsia="Guttman Hodes" w:hint="cs"/>
          <w:rtl/>
        </w:rPr>
        <w:t>(ד"ה הכא)</w:t>
      </w:r>
      <w:r w:rsidRPr="001D1883">
        <w:rPr>
          <w:rFonts w:hint="cs"/>
          <w:rtl/>
        </w:rPr>
        <w:t xml:space="preserve"> דמבואר </w:t>
      </w:r>
      <w:r w:rsidRPr="001D1883">
        <w:rPr>
          <w:rStyle w:val="af9"/>
          <w:rFonts w:hint="cs"/>
          <w:rtl/>
        </w:rPr>
        <w:t>בתוס'</w:t>
      </w:r>
      <w:r w:rsidRPr="001D1883">
        <w:rPr>
          <w:rStyle w:val="af7"/>
          <w:rFonts w:eastAsia="Guttman Hodes" w:hint="cs"/>
          <w:rtl/>
        </w:rPr>
        <w:t xml:space="preserve"> (עי'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Ref54609177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 xml:space="preserve">דאף בהעדאה שייכא הסברא, דחברך חברך אית ליה, ולא כדביאר </w:t>
      </w:r>
      <w:r w:rsidRPr="001D1883">
        <w:rPr>
          <w:rStyle w:val="af9"/>
          <w:rFonts w:hint="cs"/>
          <w:rtl/>
        </w:rPr>
        <w:t>החת"ס</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Ref55121565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1D1883">
        <w:rPr>
          <w:rStyle w:val="af7"/>
          <w:rFonts w:eastAsia="Guttman Hodes"/>
          <w:rtl/>
        </w:rPr>
        <w:fldChar w:fldCharType="end"/>
      </w:r>
      <w:r w:rsidRPr="001D1883">
        <w:rPr>
          <w:rFonts w:hint="cs"/>
          <w:rtl/>
        </w:rPr>
        <w:t xml:space="preserve"> בדברי </w:t>
      </w:r>
      <w:r w:rsidRPr="001D1883">
        <w:rPr>
          <w:rStyle w:val="af9"/>
          <w:rFonts w:hint="cs"/>
          <w:rtl/>
        </w:rPr>
        <w:t>רש"י</w:t>
      </w:r>
      <w:r w:rsidR="00A77F33">
        <w:rPr>
          <w:rFonts w:hint="cs"/>
          <w:rtl/>
        </w:rPr>
        <w:t xml:space="preserve"> </w:t>
      </w:r>
      <w:r w:rsidRPr="001D1883">
        <w:rPr>
          <w:rFonts w:hint="cs"/>
          <w:rtl/>
        </w:rPr>
        <w:t>אלא דמ"מ יש גזיה"כ דצריך העדאה בפניו.</w:t>
      </w:r>
      <w:bookmarkEnd w:id="3222"/>
    </w:p>
    <w:p w:rsidR="007A505A" w:rsidRPr="001D1883" w:rsidRDefault="007A505A" w:rsidP="007A505A">
      <w:pPr>
        <w:pStyle w:val="1"/>
        <w:rPr>
          <w:rtl/>
        </w:rPr>
      </w:pPr>
      <w:bookmarkStart w:id="3223" w:name="_Toc55246084"/>
      <w:bookmarkStart w:id="3224" w:name="_Toc55325135"/>
      <w:bookmarkStart w:id="3225" w:name="_Toc55342051"/>
      <w:bookmarkStart w:id="3226" w:name="_Toc55342152"/>
      <w:bookmarkStart w:id="3227" w:name="_Toc55375236"/>
      <w:bookmarkStart w:id="3228" w:name="_Toc55386182"/>
      <w:bookmarkStart w:id="3229" w:name="_Toc55391101"/>
      <w:r w:rsidRPr="001D1883">
        <w:rPr>
          <w:rFonts w:hint="cs"/>
          <w:rtl/>
        </w:rPr>
        <w:lastRenderedPageBreak/>
        <w:t>דברי התוס' בקושית הגמ' לרבנן דלא תועיל מחאה שלא בפניו</w:t>
      </w:r>
      <w:bookmarkEnd w:id="3223"/>
      <w:bookmarkEnd w:id="3224"/>
      <w:bookmarkEnd w:id="3225"/>
      <w:bookmarkEnd w:id="3226"/>
      <w:bookmarkEnd w:id="3227"/>
      <w:bookmarkEnd w:id="3228"/>
      <w:bookmarkEnd w:id="3229"/>
    </w:p>
    <w:p w:rsidR="007A505A" w:rsidRPr="001D1883" w:rsidRDefault="007A505A" w:rsidP="007A505A">
      <w:pPr>
        <w:pStyle w:val="a3"/>
        <w:rPr>
          <w:rtl/>
        </w:rPr>
      </w:pPr>
      <w:bookmarkStart w:id="3230" w:name="_Toc55325136"/>
      <w:bookmarkStart w:id="3231" w:name="_Toc55342052"/>
      <w:bookmarkStart w:id="3232" w:name="_Toc55342153"/>
      <w:bookmarkStart w:id="3233" w:name="_Toc55375237"/>
      <w:bookmarkStart w:id="3234" w:name="_Toc55386183"/>
      <w:bookmarkStart w:id="3235" w:name="_Toc55391102"/>
      <w:r w:rsidRPr="001D1883">
        <w:rPr>
          <w:rFonts w:hint="cs"/>
          <w:rtl/>
        </w:rPr>
        <w:t>ביאור התוס' לקמן דקושית הגמ' לרבנן דמחאה שלא בפניו ל"מ היא רק כשהם בעיר אחת</w:t>
      </w:r>
      <w:bookmarkEnd w:id="3230"/>
      <w:bookmarkEnd w:id="3231"/>
      <w:bookmarkEnd w:id="3232"/>
      <w:bookmarkEnd w:id="3233"/>
      <w:bookmarkEnd w:id="3234"/>
      <w:bookmarkEnd w:id="3235"/>
    </w:p>
    <w:p w:rsidR="007A505A" w:rsidRPr="001D1883" w:rsidRDefault="007A505A" w:rsidP="007E4E81">
      <w:pPr>
        <w:pStyle w:val="a0"/>
        <w:rPr>
          <w:rtl/>
        </w:rPr>
      </w:pPr>
      <w:bookmarkStart w:id="3236" w:name="_Ref55319271"/>
      <w:bookmarkStart w:id="3237" w:name="_Ref55208036"/>
      <w:bookmarkStart w:id="3238" w:name="_Toc54555960"/>
      <w:bookmarkStart w:id="3239" w:name="_Toc54603730"/>
      <w:bookmarkStart w:id="3240" w:name="_Toc54642629"/>
      <w:bookmarkStart w:id="3241" w:name="_Toc55127830"/>
      <w:bookmarkStart w:id="3242" w:name="_Toc54555964"/>
      <w:bookmarkStart w:id="3243" w:name="_Toc54603734"/>
      <w:bookmarkStart w:id="3244" w:name="_Toc54642631"/>
      <w:bookmarkStart w:id="3245" w:name="_Toc55127832"/>
      <w:bookmarkStart w:id="3246" w:name="_Toc54555962"/>
      <w:bookmarkStart w:id="3247" w:name="_Toc54555963"/>
      <w:bookmarkStart w:id="3248" w:name="_Toc54603733"/>
      <w:bookmarkStart w:id="3249" w:name="_Toc54603732"/>
      <w:r w:rsidRPr="001D1883">
        <w:rPr>
          <w:rFonts w:hint="cs"/>
          <w:rtl/>
        </w:rPr>
        <w:t xml:space="preserve">וע"ע בדברי </w:t>
      </w:r>
      <w:r w:rsidRPr="001D1883">
        <w:rPr>
          <w:rStyle w:val="af9"/>
          <w:rFonts w:hint="cs"/>
          <w:rtl/>
        </w:rPr>
        <w:t>התוס' לקמן</w:t>
      </w:r>
      <w:r w:rsidRPr="001D1883">
        <w:rPr>
          <w:rFonts w:hint="cs"/>
          <w:rtl/>
        </w:rPr>
        <w:t xml:space="preserve"> </w:t>
      </w:r>
      <w:r w:rsidRPr="001D1883">
        <w:rPr>
          <w:rStyle w:val="af7"/>
          <w:rFonts w:eastAsia="Guttman Hodes" w:hint="cs"/>
          <w:rtl/>
        </w:rPr>
        <w:t>(כט. ד"ה אלא)</w:t>
      </w:r>
      <w:r w:rsidRPr="001D1883">
        <w:rPr>
          <w:rFonts w:hint="cs"/>
          <w:rtl/>
        </w:rPr>
        <w:t xml:space="preserve"> דעל קושית אביי לקמן </w:t>
      </w:r>
      <w:r w:rsidRPr="001D1883">
        <w:rPr>
          <w:rStyle w:val="af7"/>
          <w:rFonts w:eastAsia="Guttman Hodes" w:hint="cs"/>
          <w:rtl/>
        </w:rPr>
        <w:t>(כט.)</w:t>
      </w:r>
      <w:r w:rsidRPr="001D1883">
        <w:rPr>
          <w:rFonts w:hint="cs"/>
          <w:rtl/>
        </w:rPr>
        <w:t xml:space="preserve"> לרבנן דטעמא דחזקה דעד ג"ש אדם נזהר בשטרו, דא"כ לא תועיל מחאה שלא בפניו, ביאר </w:t>
      </w:r>
      <w:r w:rsidRPr="001D1883">
        <w:rPr>
          <w:rStyle w:val="af9"/>
          <w:rFonts w:hint="cs"/>
          <w:rtl/>
        </w:rPr>
        <w:t>ר"י בתוס' לקמן</w:t>
      </w:r>
      <w:r w:rsidRPr="001D1883">
        <w:rPr>
          <w:rFonts w:hint="cs"/>
          <w:rtl/>
        </w:rPr>
        <w:t xml:space="preserve"> דכל קושית אביי היא רק באופן שהמערער והמחזיק נמצאים באותה העיר, ולכן הו"א דהמחאה לא מהני, ואפ"ה הוי חזקה. </w:t>
      </w:r>
      <w:r w:rsidRPr="001D1883">
        <w:rPr>
          <w:rStyle w:val="afb"/>
          <w:rFonts w:hint="cs"/>
          <w:rtl/>
        </w:rPr>
        <w:t>[דהא היה למערער למחות בפניו, וכל שלא מחה בפניו אינה מחאה, והמני החזקה שהחזיק בפניו].</w:t>
      </w:r>
      <w:bookmarkEnd w:id="3236"/>
      <w:r w:rsidRPr="001D1883">
        <w:rPr>
          <w:rFonts w:hint="cs"/>
          <w:rtl/>
        </w:rPr>
        <w:t xml:space="preserve"> </w:t>
      </w:r>
      <w:bookmarkEnd w:id="3237"/>
    </w:p>
    <w:p w:rsidR="007A505A" w:rsidRPr="001D1883" w:rsidRDefault="007A505A" w:rsidP="007A505A">
      <w:pPr>
        <w:pStyle w:val="a3"/>
        <w:rPr>
          <w:rtl/>
        </w:rPr>
      </w:pPr>
      <w:bookmarkStart w:id="3250" w:name="_Toc55325137"/>
      <w:bookmarkStart w:id="3251" w:name="_Toc55342053"/>
      <w:bookmarkStart w:id="3252" w:name="_Toc55342154"/>
      <w:bookmarkStart w:id="3253" w:name="_Toc55375238"/>
      <w:bookmarkStart w:id="3254" w:name="_Toc55386184"/>
      <w:bookmarkStart w:id="3255" w:name="_Toc55391103"/>
      <w:r w:rsidRPr="001D1883">
        <w:rPr>
          <w:rFonts w:hint="cs"/>
          <w:rtl/>
        </w:rPr>
        <w:t>דברי התוס' לקמן דלרבנן כשאינם בעיר אחת אי מחאה ל"מ לא הוי חזקה דא"צ למחות בפניו</w:t>
      </w:r>
      <w:bookmarkEnd w:id="3250"/>
      <w:bookmarkEnd w:id="3251"/>
      <w:bookmarkEnd w:id="3252"/>
      <w:bookmarkEnd w:id="3253"/>
      <w:bookmarkEnd w:id="3254"/>
      <w:bookmarkEnd w:id="3255"/>
    </w:p>
    <w:p w:rsidR="007A505A" w:rsidRDefault="007A505A" w:rsidP="007E4E81">
      <w:pPr>
        <w:pStyle w:val="a0"/>
        <w:rPr>
          <w:rtl/>
        </w:rPr>
      </w:pPr>
      <w:r w:rsidRPr="001D1883">
        <w:rPr>
          <w:rFonts w:hint="cs"/>
          <w:rtl/>
        </w:rPr>
        <w:t xml:space="preserve">אבל במקום שהמערער אינו נמצא בעיר של המחזיק, כתבו </w:t>
      </w:r>
      <w:r w:rsidRPr="001D1883">
        <w:rPr>
          <w:rStyle w:val="af9"/>
          <w:rFonts w:hint="cs"/>
          <w:rtl/>
        </w:rPr>
        <w:t>התוס' לקמן</w:t>
      </w:r>
      <w:r w:rsidRPr="001D1883">
        <w:rPr>
          <w:rFonts w:hint="cs"/>
          <w:rtl/>
        </w:rPr>
        <w:t xml:space="preserve"> דכיון דהמחאה לא מהני, לא הוי חזקה כלל, דהא המערער אינו צריך לבא לעיר של המחזיק ולמחות בפניו, </w:t>
      </w:r>
      <w:r w:rsidRPr="001D1883">
        <w:rPr>
          <w:rStyle w:val="afb"/>
          <w:rFonts w:hint="cs"/>
          <w:rtl/>
        </w:rPr>
        <w:t>[וכיון שהמערער לא היה יכול למחות, ממילא לא מהני החזקה],</w:t>
      </w:r>
      <w:r w:rsidRPr="001D1883">
        <w:rPr>
          <w:rFonts w:hint="cs"/>
          <w:rtl/>
        </w:rPr>
        <w:t xml:space="preserve"> ועי' במה שהביא </w:t>
      </w:r>
      <w:r w:rsidRPr="001D1883">
        <w:rPr>
          <w:rStyle w:val="af9"/>
          <w:rFonts w:hint="cs"/>
          <w:rtl/>
        </w:rPr>
        <w:t>התוס' הרא"ש</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Ref55332636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Pr>
        <w:t>0</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 xml:space="preserve">ראיה לזה, ועי' במה שביאר </w:t>
      </w:r>
      <w:r w:rsidRPr="001D1883">
        <w:rPr>
          <w:rStyle w:val="af9"/>
          <w:rFonts w:hint="cs"/>
          <w:rtl/>
        </w:rPr>
        <w:t>בחי' רבי נחום</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Ref55324042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 xml:space="preserve">בדברי </w:t>
      </w:r>
      <w:r w:rsidRPr="001D1883">
        <w:rPr>
          <w:rStyle w:val="af9"/>
          <w:rFonts w:hint="cs"/>
          <w:rtl/>
        </w:rPr>
        <w:t>התוס' לקמן</w:t>
      </w:r>
      <w:r w:rsidRPr="001D1883">
        <w:rPr>
          <w:rFonts w:hint="cs"/>
          <w:rtl/>
        </w:rPr>
        <w:t>.</w:t>
      </w:r>
    </w:p>
    <w:p w:rsidR="007A505A" w:rsidRPr="0081428C" w:rsidRDefault="007A505A" w:rsidP="007A505A">
      <w:pPr>
        <w:pStyle w:val="afe"/>
        <w:rPr>
          <w:rtl/>
        </w:rPr>
      </w:pPr>
      <w:bookmarkStart w:id="3256" w:name="_Toc55391104"/>
      <w:r>
        <w:rPr>
          <w:rFonts w:hint="cs"/>
          <w:rtl/>
        </w:rPr>
        <w:t>ביאור המהרש"א בדעת התוס'</w:t>
      </w:r>
      <w:bookmarkEnd w:id="3256"/>
    </w:p>
    <w:p w:rsidR="007A505A" w:rsidRPr="001D1883" w:rsidRDefault="007A505A" w:rsidP="007A505A">
      <w:pPr>
        <w:pStyle w:val="1"/>
        <w:rPr>
          <w:rtl/>
        </w:rPr>
      </w:pPr>
      <w:bookmarkStart w:id="3257" w:name="_Toc55325138"/>
      <w:bookmarkStart w:id="3258" w:name="_Toc55342054"/>
      <w:bookmarkStart w:id="3259" w:name="_Toc55342155"/>
      <w:bookmarkStart w:id="3260" w:name="_Toc55375239"/>
      <w:bookmarkStart w:id="3261" w:name="_Toc55386185"/>
      <w:bookmarkStart w:id="3262" w:name="_Toc55391105"/>
      <w:r w:rsidRPr="001D1883">
        <w:rPr>
          <w:rFonts w:hint="cs"/>
          <w:rtl/>
        </w:rPr>
        <w:t>קושית המהרש"א על התוס' דאי ל"מ מחאה הוי חזקה</w:t>
      </w:r>
      <w:bookmarkEnd w:id="3257"/>
      <w:bookmarkEnd w:id="3258"/>
      <w:bookmarkEnd w:id="3259"/>
      <w:bookmarkEnd w:id="3260"/>
      <w:bookmarkEnd w:id="3261"/>
      <w:bookmarkEnd w:id="3262"/>
    </w:p>
    <w:p w:rsidR="007A505A" w:rsidRPr="001D1883" w:rsidRDefault="007A505A" w:rsidP="007A505A">
      <w:pPr>
        <w:pStyle w:val="a3"/>
        <w:rPr>
          <w:rtl/>
        </w:rPr>
      </w:pPr>
      <w:bookmarkStart w:id="3263" w:name="_Toc55325139"/>
      <w:bookmarkStart w:id="3264" w:name="_Toc55342055"/>
      <w:bookmarkStart w:id="3265" w:name="_Toc55342156"/>
      <w:bookmarkStart w:id="3266" w:name="_Toc55375240"/>
      <w:bookmarkStart w:id="3267" w:name="_Toc55386186"/>
      <w:bookmarkStart w:id="3268" w:name="_Toc55391106"/>
      <w:r w:rsidRPr="001D1883">
        <w:rPr>
          <w:rFonts w:hint="cs"/>
          <w:rtl/>
        </w:rPr>
        <w:t>קושית המהרש"א על תוס' דאי למחאה אין קול היה למערער למחות בפניו</w:t>
      </w:r>
      <w:bookmarkEnd w:id="3263"/>
      <w:bookmarkEnd w:id="3264"/>
      <w:bookmarkEnd w:id="3265"/>
      <w:bookmarkEnd w:id="3266"/>
      <w:bookmarkEnd w:id="3267"/>
      <w:bookmarkEnd w:id="3268"/>
    </w:p>
    <w:p w:rsidR="007A505A" w:rsidRPr="001D1883" w:rsidRDefault="007A505A" w:rsidP="007E4E81">
      <w:pPr>
        <w:pStyle w:val="a0"/>
        <w:rPr>
          <w:rtl/>
        </w:rPr>
      </w:pPr>
      <w:bookmarkStart w:id="3269" w:name="_Ref55323400"/>
      <w:r w:rsidRPr="001D1883">
        <w:rPr>
          <w:rFonts w:hint="cs"/>
          <w:rtl/>
        </w:rPr>
        <w:t xml:space="preserve">במ"ש </w:t>
      </w:r>
      <w:r w:rsidRPr="001D1883">
        <w:rPr>
          <w:rStyle w:val="af9"/>
          <w:rFonts w:hint="cs"/>
          <w:rtl/>
        </w:rPr>
        <w:t>ר"י בתוס'</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Ref55319218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 xml:space="preserve">דקושית הגמ' דכמו דבשור צריך העדאה בפני הבעלים, ולא אמרינן שיש קול, ה"ה במחאה דלא תועיל מחאה שלא בפניו, דאין קול, וא"כ לא תהיה חזקה, הקשה </w:t>
      </w:r>
      <w:r w:rsidRPr="001D1883">
        <w:rPr>
          <w:rStyle w:val="af9"/>
          <w:rFonts w:hint="cs"/>
          <w:rtl/>
        </w:rPr>
        <w:t>המהרש"א</w:t>
      </w:r>
      <w:r w:rsidRPr="001D1883">
        <w:rPr>
          <w:rFonts w:hint="cs"/>
          <w:rtl/>
        </w:rPr>
        <w:t xml:space="preserve"> </w:t>
      </w:r>
      <w:r w:rsidRPr="001D1883">
        <w:rPr>
          <w:rStyle w:val="af7"/>
          <w:rFonts w:eastAsia="Guttman Hodes" w:hint="cs"/>
          <w:rtl/>
        </w:rPr>
        <w:t>(על תוד"ה אלא [הב'])</w:t>
      </w:r>
      <w:r w:rsidRPr="001D1883">
        <w:rPr>
          <w:rFonts w:hint="cs"/>
          <w:rtl/>
        </w:rPr>
        <w:t xml:space="preserve"> דלפי הפשטות כל שאין קול למחאה ממילא מהני החזקה, דהיה למערער למחות בפניו.</w:t>
      </w:r>
      <w:bookmarkEnd w:id="3269"/>
    </w:p>
    <w:p w:rsidR="007A505A" w:rsidRPr="001D1883" w:rsidRDefault="007A505A" w:rsidP="007A505A">
      <w:pPr>
        <w:pStyle w:val="a3"/>
        <w:rPr>
          <w:rtl/>
        </w:rPr>
      </w:pPr>
      <w:bookmarkStart w:id="3270" w:name="_Toc55325140"/>
      <w:bookmarkStart w:id="3271" w:name="_Toc55342056"/>
      <w:bookmarkStart w:id="3272" w:name="_Toc55342157"/>
      <w:bookmarkStart w:id="3273" w:name="_Toc55375241"/>
      <w:bookmarkStart w:id="3274" w:name="_Toc55386187"/>
      <w:bookmarkStart w:id="3275" w:name="_Toc55391107"/>
      <w:r w:rsidRPr="001D1883">
        <w:rPr>
          <w:rFonts w:hint="cs"/>
          <w:rtl/>
        </w:rPr>
        <w:t>דברי המהרש"א דכן מבואר בתוס' בדעת רבנן דכל דלא הוי מחאה שלא בפניו הוי חזקה</w:t>
      </w:r>
      <w:bookmarkEnd w:id="3270"/>
      <w:bookmarkEnd w:id="3271"/>
      <w:bookmarkEnd w:id="3272"/>
      <w:bookmarkEnd w:id="3273"/>
      <w:bookmarkEnd w:id="3274"/>
      <w:bookmarkEnd w:id="3275"/>
    </w:p>
    <w:p w:rsidR="007A505A" w:rsidRPr="001D1883" w:rsidRDefault="007A505A" w:rsidP="007E4E81">
      <w:pPr>
        <w:pStyle w:val="a0"/>
        <w:rPr>
          <w:rtl/>
        </w:rPr>
      </w:pPr>
      <w:bookmarkStart w:id="3276" w:name="_Ref55319206"/>
      <w:r w:rsidRPr="001D1883">
        <w:rPr>
          <w:rFonts w:hint="cs"/>
          <w:rtl/>
        </w:rPr>
        <w:t xml:space="preserve">והביא </w:t>
      </w:r>
      <w:r w:rsidRPr="001D1883">
        <w:rPr>
          <w:rStyle w:val="af9"/>
          <w:rFonts w:hint="cs"/>
          <w:rtl/>
        </w:rPr>
        <w:t>המהרש"א</w:t>
      </w:r>
      <w:r w:rsidRPr="001D1883">
        <w:rPr>
          <w:rFonts w:hint="cs"/>
          <w:rtl/>
        </w:rPr>
        <w:t xml:space="preserve"> דכן ביאר </w:t>
      </w:r>
      <w:r w:rsidRPr="001D1883">
        <w:rPr>
          <w:rStyle w:val="af9"/>
          <w:rFonts w:hint="cs"/>
          <w:rtl/>
        </w:rPr>
        <w:t>ר"י בתוס' לקמן</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Ref55208036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1D1883">
        <w:rPr>
          <w:rStyle w:val="af7"/>
          <w:rFonts w:eastAsia="Guttman Hodes"/>
          <w:rtl/>
        </w:rPr>
        <w:fldChar w:fldCharType="end"/>
      </w:r>
      <w:r w:rsidRPr="001D1883">
        <w:rPr>
          <w:rFonts w:hint="cs"/>
          <w:rtl/>
        </w:rPr>
        <w:t xml:space="preserve"> דקושית אביי דלרבנן לא תועיל המחאה היא באופן שהמערער והמחזיק נמצאים באותה העיר, דהו"א דהמחאה לא מהני, ואפ"ה הוי חזקה, ועי' במה שתירץ </w:t>
      </w:r>
      <w:r w:rsidRPr="001D1883">
        <w:rPr>
          <w:rStyle w:val="af9"/>
          <w:rFonts w:hint="cs"/>
          <w:rtl/>
        </w:rPr>
        <w:t>בחי' רבי נחום</w:t>
      </w:r>
      <w:r w:rsidRPr="001D1883">
        <w:rPr>
          <w:rFonts w:hint="cs"/>
          <w:rtl/>
        </w:rPr>
        <w:t xml:space="preserve"> </w:t>
      </w:r>
      <w:r w:rsidRPr="001D1883">
        <w:rPr>
          <w:rStyle w:val="af7"/>
          <w:rFonts w:eastAsia="Guttman Hodes" w:hint="cs"/>
          <w:rtl/>
        </w:rPr>
        <w:t>(או' י"ח ד"ה וע"ד הפשט)</w:t>
      </w:r>
      <w:r w:rsidRPr="001D1883">
        <w:rPr>
          <w:rFonts w:hint="cs"/>
          <w:rtl/>
        </w:rPr>
        <w:t xml:space="preserve"> את קושית </w:t>
      </w:r>
      <w:r w:rsidRPr="001D1883">
        <w:rPr>
          <w:rStyle w:val="af9"/>
          <w:rFonts w:hint="cs"/>
          <w:rtl/>
        </w:rPr>
        <w:t>המהרש"א</w:t>
      </w:r>
      <w:r w:rsidRPr="001D1883">
        <w:rPr>
          <w:rFonts w:hint="cs"/>
          <w:rtl/>
        </w:rPr>
        <w:t xml:space="preserve">, וע"ע במה שתירץ </w:t>
      </w:r>
      <w:r w:rsidRPr="001D1883">
        <w:rPr>
          <w:rStyle w:val="af9"/>
          <w:rFonts w:hint="cs"/>
          <w:rtl/>
        </w:rPr>
        <w:t>בחי' רבי נחום</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Ref55324042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 xml:space="preserve">בדברי </w:t>
      </w:r>
      <w:r w:rsidRPr="001D1883">
        <w:rPr>
          <w:rStyle w:val="af9"/>
          <w:rFonts w:hint="cs"/>
          <w:rtl/>
        </w:rPr>
        <w:t>התוס' בסוגיין</w:t>
      </w:r>
      <w:r w:rsidRPr="001D1883">
        <w:rPr>
          <w:rFonts w:hint="cs"/>
          <w:rtl/>
        </w:rPr>
        <w:t xml:space="preserve"> ובדברי </w:t>
      </w:r>
      <w:r w:rsidRPr="001D1883">
        <w:rPr>
          <w:rStyle w:val="af9"/>
          <w:rFonts w:hint="cs"/>
          <w:rtl/>
        </w:rPr>
        <w:t>התוס' לקמן</w:t>
      </w:r>
      <w:r w:rsidRPr="001D1883">
        <w:rPr>
          <w:rFonts w:hint="cs"/>
          <w:rtl/>
        </w:rPr>
        <w:t>.</w:t>
      </w:r>
      <w:bookmarkEnd w:id="3276"/>
    </w:p>
    <w:p w:rsidR="007A505A" w:rsidRPr="001D1883" w:rsidRDefault="007A505A" w:rsidP="007A505A">
      <w:pPr>
        <w:pStyle w:val="1"/>
        <w:rPr>
          <w:rtl/>
        </w:rPr>
      </w:pPr>
      <w:bookmarkStart w:id="3277" w:name="_Toc55246085"/>
      <w:bookmarkStart w:id="3278" w:name="_Toc55325141"/>
      <w:bookmarkStart w:id="3279" w:name="_Toc55342057"/>
      <w:bookmarkStart w:id="3280" w:name="_Toc55342158"/>
      <w:bookmarkStart w:id="3281" w:name="_Toc55375242"/>
      <w:bookmarkStart w:id="3282" w:name="_Toc55386188"/>
      <w:bookmarkStart w:id="3283" w:name="_Toc55391108"/>
      <w:r w:rsidRPr="001D1883">
        <w:rPr>
          <w:rFonts w:hint="cs"/>
          <w:rtl/>
        </w:rPr>
        <w:t>ביאור המהרש"א בתוס'</w:t>
      </w:r>
      <w:bookmarkEnd w:id="3277"/>
      <w:r w:rsidRPr="001D1883">
        <w:rPr>
          <w:rFonts w:hint="cs"/>
          <w:rtl/>
        </w:rPr>
        <w:t xml:space="preserve"> דלרבנן איירי בעיר אחת והוי חזקה</w:t>
      </w:r>
      <w:bookmarkEnd w:id="3278"/>
      <w:bookmarkEnd w:id="3279"/>
      <w:bookmarkEnd w:id="3280"/>
      <w:bookmarkEnd w:id="3281"/>
      <w:bookmarkEnd w:id="3282"/>
      <w:bookmarkEnd w:id="3283"/>
    </w:p>
    <w:p w:rsidR="007A505A" w:rsidRPr="001D1883" w:rsidRDefault="007A505A" w:rsidP="007A505A">
      <w:pPr>
        <w:pStyle w:val="a3"/>
        <w:rPr>
          <w:rtl/>
        </w:rPr>
      </w:pPr>
      <w:bookmarkStart w:id="3284" w:name="_Toc55325142"/>
      <w:bookmarkStart w:id="3285" w:name="_Toc55342058"/>
      <w:bookmarkStart w:id="3286" w:name="_Toc55342159"/>
      <w:bookmarkStart w:id="3287" w:name="_Toc55375243"/>
      <w:bookmarkStart w:id="3288" w:name="_Toc55386189"/>
      <w:bookmarkStart w:id="3289" w:name="_Toc55391109"/>
      <w:r w:rsidRPr="001D1883">
        <w:rPr>
          <w:rFonts w:hint="cs"/>
          <w:rtl/>
        </w:rPr>
        <w:t>ביאור המהרש"א דמדברי אביי משמע דקושית הגמ' לרבנן דהמחאה ל"מ והחזקה מהני</w:t>
      </w:r>
      <w:bookmarkEnd w:id="3284"/>
      <w:bookmarkEnd w:id="3285"/>
      <w:bookmarkEnd w:id="3286"/>
      <w:bookmarkEnd w:id="3287"/>
      <w:bookmarkEnd w:id="3288"/>
      <w:bookmarkEnd w:id="3289"/>
    </w:p>
    <w:p w:rsidR="007A505A" w:rsidRPr="001D1883" w:rsidRDefault="007A505A" w:rsidP="007E4E81">
      <w:pPr>
        <w:pStyle w:val="a0"/>
        <w:rPr>
          <w:rtl/>
        </w:rPr>
      </w:pPr>
      <w:r w:rsidRPr="001D1883">
        <w:rPr>
          <w:rFonts w:hint="cs"/>
          <w:rtl/>
        </w:rPr>
        <w:t xml:space="preserve">וביאר </w:t>
      </w:r>
      <w:r w:rsidRPr="001D1883">
        <w:rPr>
          <w:rStyle w:val="af9"/>
          <w:rFonts w:hint="cs"/>
          <w:rtl/>
        </w:rPr>
        <w:t>המהרש"א</w:t>
      </w:r>
      <w:r w:rsidRPr="001D1883">
        <w:rPr>
          <w:rFonts w:hint="cs"/>
          <w:rtl/>
        </w:rPr>
        <w:t xml:space="preserve"> </w:t>
      </w:r>
      <w:r w:rsidRPr="001D1883">
        <w:rPr>
          <w:rStyle w:val="af7"/>
          <w:rFonts w:eastAsia="Guttman Hodes" w:hint="cs"/>
          <w:rtl/>
        </w:rPr>
        <w:t>(על תוד"ה אלא [הב'])</w:t>
      </w:r>
      <w:r w:rsidRPr="001D1883">
        <w:rPr>
          <w:rFonts w:hint="cs"/>
          <w:rtl/>
        </w:rPr>
        <w:t xml:space="preserve"> דדוקא בקושית אביי הוצרכו </w:t>
      </w:r>
      <w:r w:rsidRPr="001D1883">
        <w:rPr>
          <w:rStyle w:val="af9"/>
          <w:rFonts w:hint="cs"/>
          <w:rtl/>
        </w:rPr>
        <w:t>התוס' לקמן</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Ref55208036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1D1883">
        <w:rPr>
          <w:rStyle w:val="af7"/>
          <w:rFonts w:eastAsia="Guttman Hodes"/>
          <w:rtl/>
        </w:rPr>
        <w:fldChar w:fldCharType="end"/>
      </w:r>
      <w:r w:rsidRPr="001D1883">
        <w:rPr>
          <w:rFonts w:hint="cs"/>
          <w:rtl/>
        </w:rPr>
        <w:t xml:space="preserve"> לבאר דאיירי בעיר אחת, דהמחאה לא מהני והחזקה מהני, הוא כיון דאמר אביי דהמחזיק טוען שאם היה מוחה בפניו, היה נזהר בשטרו, </w:t>
      </w:r>
      <w:r w:rsidRPr="001D1883">
        <w:rPr>
          <w:rStyle w:val="afb"/>
          <w:rFonts w:hint="cs"/>
          <w:rtl/>
        </w:rPr>
        <w:t>[ומשמע דאי המחאה לא מהני ממילא מהני החזקה],</w:t>
      </w:r>
      <w:r w:rsidRPr="001D1883">
        <w:rPr>
          <w:rFonts w:hint="cs"/>
          <w:rtl/>
        </w:rPr>
        <w:t xml:space="preserve"> אבל בקושית הגמ' על הולכי אושא לא אמרינן דהמחזיק טוען כן.</w:t>
      </w:r>
    </w:p>
    <w:p w:rsidR="007A505A" w:rsidRPr="001D1883" w:rsidRDefault="007A505A" w:rsidP="007A505A">
      <w:pPr>
        <w:pStyle w:val="1"/>
        <w:rPr>
          <w:rtl/>
        </w:rPr>
      </w:pPr>
      <w:bookmarkStart w:id="3290" w:name="_Toc55325143"/>
      <w:bookmarkStart w:id="3291" w:name="_Toc55342059"/>
      <w:bookmarkStart w:id="3292" w:name="_Toc55342160"/>
      <w:bookmarkStart w:id="3293" w:name="_Toc55375244"/>
      <w:bookmarkStart w:id="3294" w:name="_Toc55386190"/>
      <w:bookmarkStart w:id="3295" w:name="_Toc55391110"/>
      <w:r w:rsidRPr="001D1883">
        <w:rPr>
          <w:rFonts w:hint="cs"/>
          <w:rtl/>
        </w:rPr>
        <w:t>ביאור המהרש"א בתוס' דהכא איירי בעיר אחרת ול"ה חזקה</w:t>
      </w:r>
      <w:bookmarkEnd w:id="3290"/>
      <w:bookmarkEnd w:id="3291"/>
      <w:bookmarkEnd w:id="3292"/>
      <w:bookmarkEnd w:id="3293"/>
      <w:bookmarkEnd w:id="3294"/>
      <w:bookmarkEnd w:id="3295"/>
    </w:p>
    <w:p w:rsidR="007A505A" w:rsidRPr="001D1883" w:rsidRDefault="007A505A" w:rsidP="007A505A">
      <w:pPr>
        <w:pStyle w:val="a3"/>
        <w:rPr>
          <w:rtl/>
        </w:rPr>
      </w:pPr>
      <w:bookmarkStart w:id="3296" w:name="_Toc55325144"/>
      <w:bookmarkStart w:id="3297" w:name="_Toc55342060"/>
      <w:bookmarkStart w:id="3298" w:name="_Toc55342161"/>
      <w:bookmarkStart w:id="3299" w:name="_Toc55375245"/>
      <w:bookmarkStart w:id="3300" w:name="_Toc55386191"/>
      <w:bookmarkStart w:id="3301" w:name="_Toc55391111"/>
      <w:r w:rsidRPr="001D1883">
        <w:rPr>
          <w:rFonts w:hint="cs"/>
          <w:rtl/>
        </w:rPr>
        <w:t>ביאור המהרש"א דלהולכי אושא איירי כשאינם באותה העיר דלא היה לו למחות ול"ה חזקה</w:t>
      </w:r>
      <w:bookmarkEnd w:id="3296"/>
      <w:bookmarkEnd w:id="3297"/>
      <w:bookmarkEnd w:id="3298"/>
      <w:bookmarkEnd w:id="3299"/>
      <w:bookmarkEnd w:id="3300"/>
      <w:bookmarkEnd w:id="3301"/>
    </w:p>
    <w:p w:rsidR="007A505A" w:rsidRPr="001D1883" w:rsidRDefault="007A505A" w:rsidP="007E4E81">
      <w:pPr>
        <w:pStyle w:val="a0"/>
        <w:rPr>
          <w:rtl/>
        </w:rPr>
      </w:pPr>
      <w:bookmarkStart w:id="3302" w:name="_Ref55211164"/>
      <w:r w:rsidRPr="001D1883">
        <w:rPr>
          <w:rFonts w:hint="cs"/>
          <w:rtl/>
        </w:rPr>
        <w:t xml:space="preserve">וכתב </w:t>
      </w:r>
      <w:r w:rsidRPr="001D1883">
        <w:rPr>
          <w:rStyle w:val="af9"/>
          <w:rFonts w:hint="cs"/>
          <w:rtl/>
        </w:rPr>
        <w:t xml:space="preserve">המהרש"א </w:t>
      </w:r>
      <w:r w:rsidRPr="001D1883">
        <w:rPr>
          <w:rStyle w:val="af7"/>
          <w:rFonts w:eastAsia="Guttman Hodes" w:hint="cs"/>
          <w:rtl/>
        </w:rPr>
        <w:t>(על תוד"ה אלא [הב'])</w:t>
      </w:r>
      <w:r w:rsidRPr="001D1883">
        <w:rPr>
          <w:rFonts w:hint="cs"/>
          <w:rtl/>
        </w:rPr>
        <w:t xml:space="preserve"> דכיון דלא אמרינן דלהולכי אושא המחזיק טוען שהיה לו למחות בפניו, ביארו </w:t>
      </w:r>
      <w:r w:rsidRPr="001D1883">
        <w:rPr>
          <w:rStyle w:val="af9"/>
          <w:rFonts w:hint="cs"/>
          <w:rtl/>
        </w:rPr>
        <w:t>התוס'</w:t>
      </w:r>
      <w:r w:rsidRPr="001D1883">
        <w:rPr>
          <w:rFonts w:hint="cs"/>
          <w:rtl/>
        </w:rPr>
        <w:t xml:space="preserve"> דקושית </w:t>
      </w:r>
      <w:r w:rsidRPr="001D1883">
        <w:rPr>
          <w:rFonts w:hint="cs"/>
          <w:rtl/>
        </w:rPr>
        <w:t xml:space="preserve">הגמ' להולכי אושא היא באופן שהמערער אינו באותה העיר עם המחזיק, ואי מחאה שלא בפניו לא מהני, כיון שאין קול למחאה, א"כ כיון שאינו יכול למחות, אף החזקה אינה חזקה, דהא אין המערער צריך לבא לעיר של המחזיק ולמחות בו, כדכתבו </w:t>
      </w:r>
      <w:r w:rsidRPr="001D1883">
        <w:rPr>
          <w:rStyle w:val="af9"/>
          <w:rFonts w:hint="cs"/>
          <w:rtl/>
        </w:rPr>
        <w:t xml:space="preserve">התוס' לקמן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Ref55208036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1D1883">
        <w:rPr>
          <w:rStyle w:val="af7"/>
          <w:rFonts w:eastAsia="Guttman Hodes"/>
          <w:rtl/>
        </w:rPr>
        <w:fldChar w:fldCharType="end"/>
      </w:r>
      <w:r w:rsidRPr="001D1883">
        <w:rPr>
          <w:rFonts w:hint="cs"/>
          <w:rtl/>
        </w:rPr>
        <w:t xml:space="preserve">, וכן מבואר להדיא בדברי </w:t>
      </w:r>
      <w:r w:rsidRPr="001D1883">
        <w:rPr>
          <w:rStyle w:val="af9"/>
          <w:rFonts w:hint="cs"/>
          <w:rtl/>
        </w:rPr>
        <w:t xml:space="preserve">התוס' הרא"ש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Ref55208071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1D1883">
        <w:rPr>
          <w:rStyle w:val="af7"/>
          <w:rFonts w:eastAsia="Guttman Hodes"/>
          <w:rtl/>
        </w:rPr>
        <w:fldChar w:fldCharType="end"/>
      </w:r>
      <w:r w:rsidRPr="001D1883">
        <w:rPr>
          <w:rFonts w:hint="cs"/>
          <w:rtl/>
        </w:rPr>
        <w:t>.</w:t>
      </w:r>
      <w:bookmarkEnd w:id="3302"/>
    </w:p>
    <w:p w:rsidR="007A505A" w:rsidRPr="001D1883" w:rsidRDefault="007A505A" w:rsidP="007A505A">
      <w:pPr>
        <w:pStyle w:val="a3"/>
        <w:rPr>
          <w:rtl/>
        </w:rPr>
      </w:pPr>
      <w:bookmarkStart w:id="3303" w:name="_Toc55325145"/>
      <w:bookmarkStart w:id="3304" w:name="_Toc55342061"/>
      <w:bookmarkStart w:id="3305" w:name="_Toc55342162"/>
      <w:bookmarkStart w:id="3306" w:name="_Toc55375246"/>
      <w:bookmarkStart w:id="3307" w:name="_Toc55386192"/>
      <w:bookmarkStart w:id="3308" w:name="_Toc55391112"/>
      <w:r w:rsidRPr="001D1883">
        <w:rPr>
          <w:rFonts w:hint="cs"/>
          <w:rtl/>
        </w:rPr>
        <w:t>ביאור המהרש"א בתוס' דאפשר להקשות אף לדעת רבנן דלא תועיל המחאה ותועיל החזקה</w:t>
      </w:r>
      <w:bookmarkEnd w:id="3303"/>
      <w:bookmarkEnd w:id="3304"/>
      <w:bookmarkEnd w:id="3305"/>
      <w:bookmarkEnd w:id="3306"/>
      <w:bookmarkEnd w:id="3307"/>
      <w:bookmarkEnd w:id="3308"/>
    </w:p>
    <w:p w:rsidR="007A505A" w:rsidRPr="001D1883" w:rsidRDefault="007A505A" w:rsidP="007E4E81">
      <w:pPr>
        <w:pStyle w:val="a0"/>
        <w:rPr>
          <w:rtl/>
        </w:rPr>
      </w:pPr>
      <w:bookmarkStart w:id="3309" w:name="_Ref55211188"/>
      <w:r w:rsidRPr="001D1883">
        <w:rPr>
          <w:rFonts w:hint="cs"/>
          <w:rtl/>
        </w:rPr>
        <w:t xml:space="preserve">וכתב </w:t>
      </w:r>
      <w:r w:rsidRPr="001D1883">
        <w:rPr>
          <w:rStyle w:val="af9"/>
          <w:rFonts w:hint="cs"/>
          <w:rtl/>
        </w:rPr>
        <w:t xml:space="preserve">המהרש"א </w:t>
      </w:r>
      <w:r w:rsidRPr="001D1883">
        <w:rPr>
          <w:rFonts w:hint="cs"/>
          <w:rtl/>
        </w:rPr>
        <w:t xml:space="preserve">דמ"ש </w:t>
      </w:r>
      <w:r w:rsidRPr="001D1883">
        <w:rPr>
          <w:rStyle w:val="af9"/>
          <w:rFonts w:hint="cs"/>
          <w:rtl/>
        </w:rPr>
        <w:t>התוס'</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Ref54609901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1D1883">
        <w:rPr>
          <w:rStyle w:val="af7"/>
          <w:rFonts w:eastAsia="Guttman Hodes"/>
          <w:rtl/>
        </w:rPr>
        <w:fldChar w:fldCharType="end"/>
      </w:r>
      <w:r w:rsidRPr="001D1883">
        <w:rPr>
          <w:rFonts w:hint="cs"/>
          <w:rtl/>
        </w:rPr>
        <w:t xml:space="preserve"> דהגמ' הייתה יכולה להקשות אף בלא הילפותא משור המועד, כוונתם לומר דהגמ' יכולה להקשות כמו הקושיה על אביי, דהיינו באופן שהמערער נמצא באותה העיר עם המחזיק, דלא תועיל המחאה אך תועיל החזקה, אלא דכיון דלהולכי אושא ילפינן חזקה משור המועד, ניחא לגמ' להקשות כמו בשור המועד, דכיון דלא הוי מחאה ממילא לא הוי חזקה, ואיירי כשאינם הם באותה העיר</w:t>
      </w:r>
      <w:r w:rsidRPr="001D1883">
        <w:rPr>
          <w:rtl/>
        </w:rPr>
        <w:t xml:space="preserve">, </w:t>
      </w:r>
      <w:r w:rsidRPr="001D1883">
        <w:rPr>
          <w:rFonts w:hint="cs"/>
          <w:rtl/>
        </w:rPr>
        <w:t xml:space="preserve">ועי' במה שביאר </w:t>
      </w:r>
      <w:r w:rsidRPr="001D1883">
        <w:rPr>
          <w:rStyle w:val="af9"/>
          <w:rtl/>
        </w:rPr>
        <w:t>בחי' רבי נחום</w:t>
      </w:r>
      <w:r w:rsidRPr="001D1883">
        <w:rPr>
          <w:rtl/>
        </w:rPr>
        <w:t xml:space="preserve"> </w:t>
      </w:r>
      <w:r w:rsidRPr="00295E87">
        <w:rPr>
          <w:rStyle w:val="af7"/>
          <w:rFonts w:eastAsia="Guttman Hodes" w:hint="cs"/>
          <w:rtl/>
        </w:rPr>
        <w:t xml:space="preserve">(עי' אות </w:t>
      </w:r>
      <w:r w:rsidRPr="00295E87">
        <w:rPr>
          <w:rStyle w:val="af7"/>
          <w:rFonts w:eastAsia="Guttman Hodes"/>
          <w:rtl/>
        </w:rPr>
        <w:fldChar w:fldCharType="begin"/>
      </w:r>
      <w:r w:rsidRPr="00295E87">
        <w:rPr>
          <w:rStyle w:val="af7"/>
          <w:rFonts w:eastAsia="Guttman Hodes"/>
          <w:rtl/>
        </w:rPr>
        <w:instrText xml:space="preserve"> </w:instrText>
      </w:r>
      <w:r w:rsidRPr="00295E87">
        <w:rPr>
          <w:rStyle w:val="af7"/>
          <w:rFonts w:eastAsia="Guttman Hodes" w:hint="cs"/>
        </w:rPr>
        <w:instrText>REF</w:instrText>
      </w:r>
      <w:r w:rsidRPr="00295E87">
        <w:rPr>
          <w:rStyle w:val="af7"/>
          <w:rFonts w:eastAsia="Guttman Hodes" w:hint="cs"/>
          <w:rtl/>
        </w:rPr>
        <w:instrText xml:space="preserve"> _</w:instrText>
      </w:r>
      <w:r w:rsidRPr="00295E87">
        <w:rPr>
          <w:rStyle w:val="af7"/>
          <w:rFonts w:eastAsia="Guttman Hodes" w:hint="cs"/>
        </w:rPr>
        <w:instrText>Ref55383812 \r \h</w:instrText>
      </w:r>
      <w:r w:rsidRPr="00295E87">
        <w:rPr>
          <w:rStyle w:val="af7"/>
          <w:rFonts w:eastAsia="Guttman Hodes"/>
          <w:rtl/>
        </w:rPr>
        <w:instrText xml:space="preserve"> </w:instrText>
      </w:r>
      <w:r w:rsidRPr="00295E87">
        <w:rPr>
          <w:rStyle w:val="af7"/>
          <w:rFonts w:eastAsia="Guttman Hodes"/>
          <w:rtl/>
        </w:rPr>
      </w:r>
      <w:r w:rsidRPr="00295E87">
        <w:rPr>
          <w:rStyle w:val="af7"/>
          <w:rFonts w:eastAsia="Guttman Hodes"/>
          <w:rtl/>
        </w:rPr>
        <w:fldChar w:fldCharType="separate"/>
      </w:r>
      <w:r w:rsidR="00265073">
        <w:rPr>
          <w:rStyle w:val="af7"/>
          <w:rFonts w:eastAsia="Guttman Hodes"/>
          <w:cs/>
        </w:rPr>
        <w:t>‎</w:t>
      </w:r>
      <w:r w:rsidR="00265073">
        <w:rPr>
          <w:rStyle w:val="af7"/>
          <w:rFonts w:eastAsia="Guttman Hodes"/>
          <w:rtl/>
        </w:rPr>
        <w:t>צג)</w:t>
      </w:r>
      <w:r w:rsidRPr="00295E87">
        <w:rPr>
          <w:rStyle w:val="af7"/>
          <w:rFonts w:eastAsia="Guttman Hodes"/>
          <w:rtl/>
        </w:rPr>
        <w:fldChar w:fldCharType="end"/>
      </w:r>
      <w:r w:rsidRPr="00295E87">
        <w:rPr>
          <w:rStyle w:val="af7"/>
          <w:rFonts w:eastAsia="Guttman Hodes" w:hint="cs"/>
          <w:rtl/>
        </w:rPr>
        <w:t xml:space="preserve"> </w:t>
      </w:r>
      <w:r w:rsidRPr="001D1883">
        <w:rPr>
          <w:rtl/>
        </w:rPr>
        <w:t xml:space="preserve">בדברי </w:t>
      </w:r>
      <w:r w:rsidRPr="001D1883">
        <w:rPr>
          <w:rStyle w:val="af9"/>
          <w:rtl/>
        </w:rPr>
        <w:t>התוס'</w:t>
      </w:r>
      <w:r w:rsidRPr="001D1883">
        <w:rPr>
          <w:rFonts w:hint="cs"/>
          <w:rtl/>
        </w:rPr>
        <w:t>.</w:t>
      </w:r>
      <w:bookmarkEnd w:id="3309"/>
    </w:p>
    <w:p w:rsidR="007A505A" w:rsidRPr="001D1883" w:rsidRDefault="007A505A" w:rsidP="007A505A">
      <w:pPr>
        <w:pStyle w:val="a3"/>
        <w:rPr>
          <w:rtl/>
        </w:rPr>
      </w:pPr>
      <w:bookmarkStart w:id="3310" w:name="_Toc55325146"/>
      <w:bookmarkStart w:id="3311" w:name="_Toc55342062"/>
      <w:bookmarkStart w:id="3312" w:name="_Toc55342163"/>
      <w:bookmarkStart w:id="3313" w:name="_Toc55375247"/>
      <w:bookmarkStart w:id="3314" w:name="_Toc55386193"/>
      <w:bookmarkStart w:id="3315" w:name="_Toc55391113"/>
      <w:r w:rsidRPr="001D1883">
        <w:rPr>
          <w:rFonts w:hint="cs"/>
          <w:rtl/>
        </w:rPr>
        <w:t>ביאור המהרש"א בתוס' דמחאה ל"ד להעדאה ומ"מ מקשה הגמ' דבשניהם לא הוי חזקה</w:t>
      </w:r>
      <w:bookmarkEnd w:id="3310"/>
      <w:bookmarkEnd w:id="3311"/>
      <w:bookmarkEnd w:id="3312"/>
      <w:bookmarkEnd w:id="3313"/>
      <w:bookmarkEnd w:id="3314"/>
      <w:bookmarkEnd w:id="3315"/>
    </w:p>
    <w:p w:rsidR="007A505A" w:rsidRPr="001D1883" w:rsidRDefault="007A505A" w:rsidP="007E4E81">
      <w:pPr>
        <w:pStyle w:val="a0"/>
        <w:rPr>
          <w:rtl/>
        </w:rPr>
      </w:pPr>
      <w:bookmarkStart w:id="3316" w:name="_Ref55211176"/>
      <w:r w:rsidRPr="001D1883">
        <w:rPr>
          <w:rFonts w:hint="cs"/>
          <w:rtl/>
        </w:rPr>
        <w:t xml:space="preserve">וכתב </w:t>
      </w:r>
      <w:r w:rsidRPr="001D1883">
        <w:rPr>
          <w:rStyle w:val="af9"/>
          <w:rFonts w:hint="cs"/>
          <w:rtl/>
        </w:rPr>
        <w:t xml:space="preserve">המהרש"א </w:t>
      </w:r>
      <w:r w:rsidRPr="001D1883">
        <w:rPr>
          <w:rFonts w:hint="cs"/>
          <w:rtl/>
        </w:rPr>
        <w:t xml:space="preserve">דזו כוונת </w:t>
      </w:r>
      <w:r w:rsidRPr="001D1883">
        <w:rPr>
          <w:rStyle w:val="af9"/>
          <w:rFonts w:hint="cs"/>
          <w:rtl/>
        </w:rPr>
        <w:t>התוס'</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Ref55211210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1D1883">
        <w:rPr>
          <w:rStyle w:val="af7"/>
          <w:rFonts w:eastAsia="Guttman Hodes"/>
          <w:rtl/>
        </w:rPr>
        <w:fldChar w:fldCharType="end"/>
      </w:r>
      <w:r w:rsidRPr="001D1883">
        <w:rPr>
          <w:rFonts w:hint="cs"/>
          <w:rtl/>
        </w:rPr>
        <w:t xml:space="preserve"> דכתבו דמחאה לא דמי ממש להעדאה, דהמחאה היא בכדי לבטל את החזקה, ואילו ההעדאה היא בכדי לקיים את חזקת המועדות, מ"מ מקשה הגמ' דאפשר ללמוד מחאה מהעדאה, דכוונתם לומר דבין בהעדאה שלא בפניו, ובין במחאה שלא בפניו, לא הוי חזקה.</w:t>
      </w:r>
      <w:bookmarkEnd w:id="3316"/>
    </w:p>
    <w:p w:rsidR="007A505A" w:rsidRPr="001D1883" w:rsidRDefault="007A505A" w:rsidP="007A505A">
      <w:pPr>
        <w:pStyle w:val="1"/>
        <w:rPr>
          <w:rtl/>
        </w:rPr>
      </w:pPr>
      <w:bookmarkStart w:id="3317" w:name="_Toc55342063"/>
      <w:bookmarkStart w:id="3318" w:name="_Toc55342164"/>
      <w:bookmarkStart w:id="3319" w:name="_Toc55375248"/>
      <w:bookmarkStart w:id="3320" w:name="_Toc55386194"/>
      <w:bookmarkStart w:id="3321" w:name="_Toc55391114"/>
      <w:r w:rsidRPr="001D1883">
        <w:rPr>
          <w:rFonts w:hint="cs"/>
          <w:rtl/>
        </w:rPr>
        <w:t>דברי המהרש"א דא"א לומר דלתוס' המחאה לא שייכא לשטר</w:t>
      </w:r>
      <w:bookmarkEnd w:id="3317"/>
      <w:bookmarkEnd w:id="3318"/>
      <w:bookmarkEnd w:id="3319"/>
      <w:bookmarkEnd w:id="3320"/>
      <w:bookmarkEnd w:id="3321"/>
    </w:p>
    <w:p w:rsidR="007A505A" w:rsidRPr="001D1883" w:rsidRDefault="007A505A" w:rsidP="007A505A">
      <w:pPr>
        <w:pStyle w:val="a3"/>
        <w:rPr>
          <w:rtl/>
        </w:rPr>
      </w:pPr>
      <w:bookmarkStart w:id="3322" w:name="_Toc55342064"/>
      <w:bookmarkStart w:id="3323" w:name="_Toc55342165"/>
      <w:bookmarkStart w:id="3324" w:name="_Toc55375249"/>
      <w:bookmarkStart w:id="3325" w:name="_Toc55386195"/>
      <w:bookmarkStart w:id="3326" w:name="_Toc55391115"/>
      <w:r w:rsidRPr="001D1883">
        <w:rPr>
          <w:rFonts w:hint="cs"/>
          <w:rtl/>
        </w:rPr>
        <w:t>דברי המהרש"א דאפש"ל דרק לרבנן טוען המחזיק שהיה נזהר בשטרו דזהו טעם המחאה</w:t>
      </w:r>
      <w:bookmarkEnd w:id="3322"/>
      <w:bookmarkEnd w:id="3323"/>
      <w:bookmarkEnd w:id="3324"/>
      <w:bookmarkEnd w:id="3325"/>
      <w:bookmarkEnd w:id="3326"/>
    </w:p>
    <w:p w:rsidR="007A505A" w:rsidRPr="001D1883" w:rsidRDefault="007A505A" w:rsidP="007E4E81">
      <w:pPr>
        <w:pStyle w:val="a0"/>
        <w:rPr>
          <w:rtl/>
        </w:rPr>
      </w:pPr>
      <w:r w:rsidRPr="001D1883">
        <w:rPr>
          <w:rtl/>
        </w:rPr>
        <w:t xml:space="preserve">וכתב </w:t>
      </w:r>
      <w:r w:rsidRPr="001D1883">
        <w:rPr>
          <w:rStyle w:val="af9"/>
          <w:rtl/>
        </w:rPr>
        <w:t>המהרש"א</w:t>
      </w:r>
      <w:r w:rsidRPr="001D1883">
        <w:rPr>
          <w:rtl/>
        </w:rPr>
        <w:t xml:space="preserve"> </w:t>
      </w:r>
      <w:r w:rsidRPr="001D1883">
        <w:rPr>
          <w:rStyle w:val="af7"/>
          <w:rFonts w:eastAsia="Guttman Hodes" w:hint="cs"/>
          <w:rtl/>
        </w:rPr>
        <w:t>(על תוד"ה אלא [הב'])</w:t>
      </w:r>
      <w:r w:rsidRPr="001D1883">
        <w:rPr>
          <w:rFonts w:hint="cs"/>
          <w:rtl/>
        </w:rPr>
        <w:t xml:space="preserve"> דהיה אפשר לומר</w:t>
      </w:r>
      <w:r w:rsidRPr="001D1883">
        <w:rPr>
          <w:rtl/>
        </w:rPr>
        <w:t xml:space="preserve"> </w:t>
      </w:r>
      <w:r w:rsidRPr="001D1883">
        <w:rPr>
          <w:rFonts w:hint="cs"/>
          <w:rtl/>
        </w:rPr>
        <w:t xml:space="preserve">דהא דאמר אביי דהמחזיק טוען שאם היה מוחה בפניו, היה נזהר בשטרו, </w:t>
      </w:r>
      <w:r w:rsidRPr="001D1883">
        <w:rPr>
          <w:rStyle w:val="afb"/>
          <w:rFonts w:hint="cs"/>
          <w:rtl/>
        </w:rPr>
        <w:t>[ומשמע דאי המחאה לא מהני ממילא מהני החזקה],</w:t>
      </w:r>
      <w:r w:rsidRPr="001D1883">
        <w:rPr>
          <w:rFonts w:hint="cs"/>
          <w:rtl/>
        </w:rPr>
        <w:t xml:space="preserve"> היינו כיון דאביי הקשה לדעת רבנן דס"ל דטעם החזקה הוא</w:t>
      </w:r>
      <w:r w:rsidRPr="001D1883">
        <w:rPr>
          <w:rtl/>
        </w:rPr>
        <w:t xml:space="preserve"> מחמת דעד ג"ש אדם נזהר בשטרו,</w:t>
      </w:r>
      <w:r w:rsidRPr="001D1883">
        <w:rPr>
          <w:rFonts w:hint="cs"/>
          <w:rtl/>
        </w:rPr>
        <w:t xml:space="preserve"> וא"כ המחאה היא בכדי שיזהר בשטרו, וכל שלא מחה בפניו, טוען המחזיק דלכן לא נזהר בשטרו.</w:t>
      </w:r>
    </w:p>
    <w:p w:rsidR="007A505A" w:rsidRPr="001D1883" w:rsidRDefault="007A505A" w:rsidP="007A505A">
      <w:pPr>
        <w:pStyle w:val="a3"/>
      </w:pPr>
      <w:bookmarkStart w:id="3327" w:name="_Toc55342065"/>
      <w:bookmarkStart w:id="3328" w:name="_Toc55342166"/>
      <w:bookmarkStart w:id="3329" w:name="_Toc55375250"/>
      <w:bookmarkStart w:id="3330" w:name="_Toc55386196"/>
      <w:bookmarkStart w:id="3331" w:name="_Toc55391116"/>
      <w:r w:rsidRPr="001D1883">
        <w:rPr>
          <w:rFonts w:hint="cs"/>
          <w:rtl/>
        </w:rPr>
        <w:t>דברי המהרש"א דלהולכי אושא אפש"ל דהמחאה היא לומר שמקפיד ואינה בכדי שישמור שטרו</w:t>
      </w:r>
      <w:bookmarkEnd w:id="3327"/>
      <w:bookmarkEnd w:id="3328"/>
      <w:bookmarkEnd w:id="3329"/>
      <w:bookmarkEnd w:id="3330"/>
      <w:bookmarkEnd w:id="3331"/>
    </w:p>
    <w:p w:rsidR="007A505A" w:rsidRPr="001D1883" w:rsidRDefault="007A505A" w:rsidP="007E4E81">
      <w:pPr>
        <w:pStyle w:val="a0"/>
      </w:pPr>
      <w:r w:rsidRPr="001D1883">
        <w:rPr>
          <w:rFonts w:hint="cs"/>
          <w:rtl/>
        </w:rPr>
        <w:t xml:space="preserve">אבל בקושית הגמ' על הולכי אושא </w:t>
      </w:r>
      <w:r w:rsidRPr="001D1883">
        <w:rPr>
          <w:rtl/>
        </w:rPr>
        <w:t xml:space="preserve">כתב </w:t>
      </w:r>
      <w:r w:rsidRPr="001D1883">
        <w:rPr>
          <w:rStyle w:val="af9"/>
          <w:rtl/>
        </w:rPr>
        <w:t>המהרש"א</w:t>
      </w:r>
      <w:r w:rsidRPr="001D1883">
        <w:rPr>
          <w:rtl/>
        </w:rPr>
        <w:t xml:space="preserve"> </w:t>
      </w:r>
      <w:r w:rsidRPr="001D1883">
        <w:rPr>
          <w:rFonts w:hint="cs"/>
          <w:rtl/>
        </w:rPr>
        <w:t xml:space="preserve">דאפש"ל דהא דלא אמרינן דהמחזיק טוען שאם היה מוחה בפניו, היה נזהר בשטרו, הוא כיון </w:t>
      </w:r>
      <w:r w:rsidRPr="001D1883">
        <w:rPr>
          <w:rtl/>
        </w:rPr>
        <w:t>ד</w:t>
      </w:r>
      <w:r w:rsidRPr="001D1883">
        <w:rPr>
          <w:rFonts w:hint="cs"/>
          <w:rtl/>
        </w:rPr>
        <w:t xml:space="preserve">ס"ל </w:t>
      </w:r>
      <w:r w:rsidRPr="001D1883">
        <w:rPr>
          <w:rtl/>
        </w:rPr>
        <w:t>להולכי אושא</w:t>
      </w:r>
      <w:r w:rsidRPr="001D1883">
        <w:rPr>
          <w:rFonts w:hint="cs"/>
          <w:rtl/>
        </w:rPr>
        <w:t xml:space="preserve"> ד</w:t>
      </w:r>
      <w:r w:rsidRPr="001D1883">
        <w:rPr>
          <w:rtl/>
        </w:rPr>
        <w:t xml:space="preserve">החזקה </w:t>
      </w:r>
      <w:r w:rsidRPr="001D1883">
        <w:rPr>
          <w:rFonts w:hint="cs"/>
          <w:rtl/>
        </w:rPr>
        <w:t xml:space="preserve">היא מהילפותא משור המועד </w:t>
      </w:r>
      <w:r w:rsidRPr="001D1883">
        <w:rPr>
          <w:rtl/>
        </w:rPr>
        <w:t xml:space="preserve">דבג' אכילות אדם מקפיד, וכל שלא מחה המערער ולא הקפיד, מוכח דהוא מכר את הקרקע למחזיק, </w:t>
      </w:r>
      <w:r w:rsidRPr="001D1883">
        <w:rPr>
          <w:rFonts w:hint="cs"/>
          <w:rtl/>
        </w:rPr>
        <w:t xml:space="preserve">וא"כ המחאה אינה בכדי שישמור המחזיק את שטרו. [וכן ביאר </w:t>
      </w:r>
      <w:r w:rsidRPr="001D1883">
        <w:rPr>
          <w:rStyle w:val="af9"/>
          <w:rFonts w:hint="cs"/>
          <w:rtl/>
        </w:rPr>
        <w:t>התוס' הרא"ש</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Ref55332393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1D1883">
        <w:rPr>
          <w:rStyle w:val="af7"/>
          <w:rFonts w:eastAsia="Guttman Hodes"/>
          <w:rtl/>
        </w:rPr>
        <w:fldChar w:fldCharType="end"/>
      </w:r>
      <w:r w:rsidRPr="001D1883">
        <w:rPr>
          <w:rFonts w:hint="cs"/>
          <w:rtl/>
        </w:rPr>
        <w:t>].</w:t>
      </w:r>
    </w:p>
    <w:p w:rsidR="007A505A" w:rsidRPr="001D1883" w:rsidRDefault="007A505A" w:rsidP="007A505A">
      <w:pPr>
        <w:pStyle w:val="a3"/>
        <w:rPr>
          <w:rtl/>
        </w:rPr>
      </w:pPr>
      <w:bookmarkStart w:id="3332" w:name="_Toc55342066"/>
      <w:bookmarkStart w:id="3333" w:name="_Toc55342167"/>
      <w:bookmarkStart w:id="3334" w:name="_Toc55375251"/>
      <w:bookmarkStart w:id="3335" w:name="_Toc55386197"/>
      <w:bookmarkStart w:id="3336" w:name="_Toc55391117"/>
      <w:r w:rsidRPr="001D1883">
        <w:rPr>
          <w:rFonts w:hint="cs"/>
          <w:rtl/>
        </w:rPr>
        <w:t>דחיית המהרש"א דמהא דצריך מחאה בפניו מוכח דאף לתוס' היא בכדי שישמור את שטרו</w:t>
      </w:r>
      <w:bookmarkEnd w:id="3332"/>
      <w:bookmarkEnd w:id="3333"/>
      <w:bookmarkEnd w:id="3334"/>
      <w:bookmarkEnd w:id="3335"/>
      <w:bookmarkEnd w:id="3336"/>
    </w:p>
    <w:p w:rsidR="007A505A" w:rsidRPr="001D1883" w:rsidRDefault="007A505A" w:rsidP="007E4E81">
      <w:pPr>
        <w:pStyle w:val="a0"/>
        <w:rPr>
          <w:rStyle w:val="afb"/>
          <w:rtl/>
        </w:rPr>
      </w:pPr>
      <w:bookmarkStart w:id="3337" w:name="_Ref55333298"/>
      <w:r w:rsidRPr="001D1883">
        <w:rPr>
          <w:rFonts w:hint="cs"/>
          <w:rtl/>
        </w:rPr>
        <w:t>אך דחה</w:t>
      </w:r>
      <w:r w:rsidRPr="001D1883">
        <w:rPr>
          <w:rtl/>
        </w:rPr>
        <w:t xml:space="preserve"> </w:t>
      </w:r>
      <w:r w:rsidRPr="001D1883">
        <w:rPr>
          <w:rStyle w:val="af9"/>
          <w:rtl/>
        </w:rPr>
        <w:t>המהרש"א</w:t>
      </w:r>
      <w:r w:rsidRPr="001D1883">
        <w:rPr>
          <w:rFonts w:hint="cs"/>
          <w:rtl/>
        </w:rPr>
        <w:t xml:space="preserve"> </w:t>
      </w:r>
      <w:r w:rsidRPr="001D1883">
        <w:rPr>
          <w:rtl/>
        </w:rPr>
        <w:t>ד</w:t>
      </w:r>
      <w:r w:rsidRPr="001D1883">
        <w:rPr>
          <w:rFonts w:hint="cs"/>
          <w:rtl/>
        </w:rPr>
        <w:t xml:space="preserve">אי להולכי אושא המחאה היא בכדי לומר שהמערער מקפיד, </w:t>
      </w:r>
      <w:r w:rsidRPr="001D1883">
        <w:rPr>
          <w:rtl/>
        </w:rPr>
        <w:t>א"כ מה מקשה הגמ' ד</w:t>
      </w:r>
      <w:r w:rsidRPr="001D1883">
        <w:rPr>
          <w:rFonts w:hint="cs"/>
          <w:rtl/>
        </w:rPr>
        <w:t xml:space="preserve">להולכי אושא </w:t>
      </w:r>
      <w:r w:rsidRPr="001D1883">
        <w:rPr>
          <w:rtl/>
        </w:rPr>
        <w:t>לא תועיל חזקה שלא בפניו,</w:t>
      </w:r>
      <w:r w:rsidRPr="001D1883">
        <w:rPr>
          <w:rFonts w:hint="cs"/>
          <w:rtl/>
        </w:rPr>
        <w:t xml:space="preserve"> </w:t>
      </w:r>
      <w:r w:rsidRPr="001D1883">
        <w:rPr>
          <w:rtl/>
        </w:rPr>
        <w:t>הא כל שמחה והקפיד ממילא לא הוי חזקה</w:t>
      </w:r>
      <w:r w:rsidRPr="001D1883">
        <w:rPr>
          <w:rFonts w:hint="cs"/>
          <w:rtl/>
        </w:rPr>
        <w:t>.</w:t>
      </w:r>
      <w:r w:rsidRPr="001D1883">
        <w:rPr>
          <w:rtl/>
        </w:rPr>
        <w:t xml:space="preserve"> </w:t>
      </w:r>
      <w:r w:rsidRPr="001D1883">
        <w:rPr>
          <w:rStyle w:val="afb"/>
          <w:rtl/>
        </w:rPr>
        <w:t>[אף שלא שמע המחזיק</w:t>
      </w:r>
      <w:r w:rsidRPr="001D1883">
        <w:rPr>
          <w:rStyle w:val="afb"/>
          <w:rFonts w:hint="cs"/>
          <w:rtl/>
        </w:rPr>
        <w:t>, ולא ידע שעליו להזהר בשטרו</w:t>
      </w:r>
      <w:r w:rsidRPr="001D1883">
        <w:rPr>
          <w:rStyle w:val="afb"/>
          <w:rtl/>
        </w:rPr>
        <w:t>]</w:t>
      </w:r>
      <w:r w:rsidRPr="001D1883">
        <w:rPr>
          <w:rStyle w:val="afb"/>
          <w:rFonts w:hint="cs"/>
          <w:rtl/>
        </w:rPr>
        <w:t>.</w:t>
      </w:r>
      <w:bookmarkEnd w:id="3337"/>
    </w:p>
    <w:p w:rsidR="007A505A" w:rsidRPr="001D1883" w:rsidRDefault="007A505A" w:rsidP="007A505A">
      <w:pPr>
        <w:pStyle w:val="1"/>
        <w:rPr>
          <w:rtl/>
        </w:rPr>
      </w:pPr>
      <w:bookmarkStart w:id="3338" w:name="_Toc55342067"/>
      <w:bookmarkStart w:id="3339" w:name="_Toc55342168"/>
      <w:bookmarkStart w:id="3340" w:name="_Toc55375252"/>
      <w:bookmarkStart w:id="3341" w:name="_Toc55386198"/>
      <w:bookmarkStart w:id="3342" w:name="_Toc55391118"/>
      <w:r w:rsidRPr="001D1883">
        <w:rPr>
          <w:rFonts w:hint="cs"/>
          <w:rtl/>
        </w:rPr>
        <w:t>ביאור המהרש"א בתוס' דלכו"ע המחאה שישמור שטרו</w:t>
      </w:r>
      <w:bookmarkEnd w:id="3338"/>
      <w:bookmarkEnd w:id="3339"/>
      <w:bookmarkEnd w:id="3340"/>
      <w:bookmarkEnd w:id="3341"/>
      <w:bookmarkEnd w:id="3342"/>
    </w:p>
    <w:p w:rsidR="007A505A" w:rsidRPr="001D1883" w:rsidRDefault="007A505A" w:rsidP="007A505A">
      <w:pPr>
        <w:pStyle w:val="a3"/>
        <w:rPr>
          <w:rtl/>
        </w:rPr>
      </w:pPr>
      <w:bookmarkStart w:id="3343" w:name="_Toc55342068"/>
      <w:bookmarkStart w:id="3344" w:name="_Toc55342169"/>
      <w:bookmarkStart w:id="3345" w:name="_Toc55375253"/>
      <w:bookmarkStart w:id="3346" w:name="_Toc55386199"/>
      <w:bookmarkStart w:id="3347" w:name="_Toc55391119"/>
      <w:r w:rsidRPr="001D1883">
        <w:rPr>
          <w:rFonts w:hint="cs"/>
          <w:rtl/>
        </w:rPr>
        <w:t>דברי המהרש"א דלכו"ע המחאה בכדי שישמור את שטרו ולכן מחאה שלא בפניו לא מהני</w:t>
      </w:r>
      <w:bookmarkEnd w:id="3343"/>
      <w:bookmarkEnd w:id="3344"/>
      <w:bookmarkEnd w:id="3345"/>
      <w:bookmarkEnd w:id="3346"/>
      <w:bookmarkEnd w:id="3347"/>
    </w:p>
    <w:p w:rsidR="007A505A" w:rsidRPr="001D1883" w:rsidRDefault="007A505A" w:rsidP="007E4E81">
      <w:pPr>
        <w:pStyle w:val="a0"/>
        <w:rPr>
          <w:rStyle w:val="afb"/>
          <w:rtl/>
        </w:rPr>
      </w:pPr>
      <w:bookmarkStart w:id="3348" w:name="_Ref55332858"/>
      <w:r w:rsidRPr="001D1883">
        <w:rPr>
          <w:rtl/>
        </w:rPr>
        <w:t xml:space="preserve">אלא כתב </w:t>
      </w:r>
      <w:r w:rsidRPr="001D1883">
        <w:rPr>
          <w:rStyle w:val="af9"/>
          <w:rtl/>
        </w:rPr>
        <w:t>המהרש"א</w:t>
      </w:r>
      <w:r w:rsidRPr="001D1883">
        <w:rPr>
          <w:rtl/>
        </w:rPr>
        <w:t xml:space="preserve"> </w:t>
      </w:r>
      <w:r w:rsidRPr="001D1883">
        <w:rPr>
          <w:rStyle w:val="af7"/>
          <w:rFonts w:eastAsia="Guttman Hodes" w:hint="cs"/>
          <w:rtl/>
        </w:rPr>
        <w:t>(על תוד"ה אלא [הב'])</w:t>
      </w:r>
      <w:r w:rsidRPr="001D1883">
        <w:rPr>
          <w:rFonts w:hint="cs"/>
          <w:rtl/>
        </w:rPr>
        <w:t xml:space="preserve"> </w:t>
      </w:r>
      <w:r w:rsidRPr="001D1883">
        <w:rPr>
          <w:rtl/>
        </w:rPr>
        <w:t xml:space="preserve">דמוכח </w:t>
      </w:r>
      <w:r w:rsidRPr="001D1883">
        <w:rPr>
          <w:rFonts w:hint="cs"/>
          <w:rtl/>
        </w:rPr>
        <w:t xml:space="preserve">דאף להולכי אושא דילפינן חזקה משור המועד, מ"מ הטעם של המחאה הוא </w:t>
      </w:r>
      <w:r w:rsidRPr="001D1883">
        <w:rPr>
          <w:rtl/>
        </w:rPr>
        <w:t xml:space="preserve">בכדי </w:t>
      </w:r>
      <w:r w:rsidRPr="001D1883">
        <w:rPr>
          <w:rtl/>
        </w:rPr>
        <w:lastRenderedPageBreak/>
        <w:t xml:space="preserve">שישמור המחזיק את שטרו, כדביאר </w:t>
      </w:r>
      <w:r w:rsidRPr="001D1883">
        <w:rPr>
          <w:rStyle w:val="af9"/>
          <w:rtl/>
        </w:rPr>
        <w:t>הרמב"ן</w:t>
      </w:r>
      <w:r w:rsidRPr="001D1883">
        <w:rPr>
          <w:rtl/>
        </w:rPr>
        <w:t xml:space="preserve"> </w:t>
      </w:r>
      <w:r w:rsidRPr="001D1883">
        <w:rPr>
          <w:rStyle w:val="af7"/>
          <w:rFonts w:eastAsia="Guttman Rashi"/>
          <w:rtl/>
        </w:rPr>
        <w:t xml:space="preserve">(עי' אות </w:t>
      </w:r>
      <w:r w:rsidRPr="001D1883">
        <w:rPr>
          <w:rStyle w:val="af7"/>
          <w:rFonts w:eastAsia="Guttman Rashi"/>
          <w:cs/>
        </w:rPr>
        <w:fldChar w:fldCharType="begin"/>
      </w:r>
      <w:r w:rsidRPr="001D1883">
        <w:rPr>
          <w:rStyle w:val="af7"/>
          <w:rFonts w:eastAsia="Guttman Rashi"/>
          <w:rtl/>
        </w:rPr>
        <w:instrText xml:space="preserve"> </w:instrText>
      </w:r>
      <w:r w:rsidRPr="001D1883">
        <w:rPr>
          <w:rStyle w:val="af7"/>
          <w:rFonts w:eastAsia="Guttman Rashi"/>
        </w:rPr>
        <w:instrText>REF</w:instrText>
      </w:r>
      <w:r w:rsidRPr="001D1883">
        <w:rPr>
          <w:rStyle w:val="af7"/>
          <w:rFonts w:eastAsia="Guttman Rashi"/>
          <w:rtl/>
        </w:rPr>
        <w:instrText xml:space="preserve"> _</w:instrText>
      </w:r>
      <w:r w:rsidRPr="001D1883">
        <w:rPr>
          <w:rStyle w:val="af7"/>
          <w:rFonts w:eastAsia="Guttman Rashi"/>
        </w:rPr>
        <w:instrText>Ref54627930 \r \h</w:instrText>
      </w:r>
      <w:r w:rsidRPr="001D1883">
        <w:rPr>
          <w:rStyle w:val="af7"/>
          <w:rFonts w:eastAsia="Guttman Rashi"/>
          <w:rtl/>
        </w:rPr>
        <w:instrText xml:space="preserve"> </w:instrText>
      </w:r>
      <w:r w:rsidRPr="001D1883">
        <w:rPr>
          <w:rStyle w:val="af7"/>
          <w:rFonts w:eastAsia="Guttman Rashi"/>
        </w:rPr>
        <w:instrText xml:space="preserve"> \* MERGEFORMAT </w:instrText>
      </w:r>
      <w:r w:rsidRPr="001D1883">
        <w:rPr>
          <w:rStyle w:val="af7"/>
          <w:rFonts w:eastAsia="Guttman Rashi"/>
          <w:cs/>
        </w:rPr>
      </w:r>
      <w:r w:rsidRPr="001D1883">
        <w:rPr>
          <w:rStyle w:val="af7"/>
          <w:rFonts w:eastAsia="Guttman Rashi"/>
          <w:cs/>
        </w:rPr>
        <w:fldChar w:fldCharType="separate"/>
      </w:r>
      <w:r w:rsidR="00265073">
        <w:rPr>
          <w:rStyle w:val="af7"/>
          <w:rFonts w:eastAsia="Guttman Rashi"/>
          <w:cs/>
        </w:rPr>
        <w:t>‎</w:t>
      </w:r>
      <w:r w:rsidR="00265073">
        <w:rPr>
          <w:rStyle w:val="af7"/>
          <w:rFonts w:eastAsia="Guttman Rashi"/>
          <w:rtl/>
        </w:rPr>
        <w:t>נג)</w:t>
      </w:r>
      <w:r w:rsidRPr="001D1883">
        <w:rPr>
          <w:rStyle w:val="af7"/>
          <w:rFonts w:eastAsia="Guttman Rashi"/>
          <w:cs/>
        </w:rPr>
        <w:fldChar w:fldCharType="end"/>
      </w:r>
      <w:r w:rsidRPr="001D1883">
        <w:rPr>
          <w:rFonts w:hint="cs"/>
          <w:rtl/>
        </w:rPr>
        <w:t xml:space="preserve">, </w:t>
      </w:r>
      <w:r w:rsidRPr="001D1883">
        <w:rPr>
          <w:rtl/>
        </w:rPr>
        <w:t xml:space="preserve">ולכן אף להולכי אושא צריך למחות בפניו, </w:t>
      </w:r>
      <w:r w:rsidRPr="001D1883">
        <w:rPr>
          <w:rStyle w:val="afb"/>
          <w:rFonts w:hint="cs"/>
          <w:rtl/>
        </w:rPr>
        <w:t xml:space="preserve">[והיינו אף לדעת </w:t>
      </w:r>
      <w:r w:rsidRPr="001D1883">
        <w:rPr>
          <w:rStyle w:val="affa"/>
          <w:rFonts w:hint="cs"/>
          <w:rtl/>
        </w:rPr>
        <w:t>התוס'</w:t>
      </w:r>
      <w:r w:rsidRPr="001D1883">
        <w:rPr>
          <w:rStyle w:val="afb"/>
          <w:rFonts w:hint="cs"/>
          <w:rtl/>
        </w:rPr>
        <w:t xml:space="preserve"> </w:t>
      </w:r>
      <w:r w:rsidRPr="0079046A">
        <w:rPr>
          <w:rStyle w:val="aff6"/>
          <w:rFonts w:hint="cs"/>
          <w:rtl/>
        </w:rPr>
        <w:t>(כח. ד</w:t>
      </w:r>
      <w:r w:rsidRPr="0079046A">
        <w:rPr>
          <w:rStyle w:val="aff6"/>
          <w:rtl/>
        </w:rPr>
        <w:t>"</w:t>
      </w:r>
      <w:r w:rsidRPr="0079046A">
        <w:rPr>
          <w:rStyle w:val="aff6"/>
          <w:rFonts w:hint="cs"/>
          <w:rtl/>
        </w:rPr>
        <w:t>ה עד ,כט. ד"ה שתא, הובא בסימן ג' אות י"</w:t>
      </w:r>
      <w:r w:rsidR="00E06FD3">
        <w:rPr>
          <w:rStyle w:val="aff6"/>
          <w:rFonts w:hint="cs"/>
          <w:rtl/>
        </w:rPr>
        <w:t>ד)</w:t>
      </w:r>
      <w:r w:rsidRPr="0079046A">
        <w:rPr>
          <w:rStyle w:val="aff6"/>
          <w:rFonts w:hint="cs"/>
          <w:rtl/>
        </w:rPr>
        <w:t xml:space="preserve"> </w:t>
      </w:r>
      <w:r w:rsidRPr="001D1883">
        <w:rPr>
          <w:rStyle w:val="afb"/>
          <w:rFonts w:hint="cs"/>
          <w:rtl/>
        </w:rPr>
        <w:t>דס"ל דהחזקה להולכי אושא היא כיון דהוחזק שתקן],</w:t>
      </w:r>
      <w:r w:rsidRPr="001D1883">
        <w:rPr>
          <w:rFonts w:hint="cs"/>
          <w:rtl/>
        </w:rPr>
        <w:t xml:space="preserve"> </w:t>
      </w:r>
      <w:r>
        <w:rPr>
          <w:rFonts w:hint="cs"/>
          <w:rtl/>
        </w:rPr>
        <w:t xml:space="preserve">וכ"כ </w:t>
      </w:r>
      <w:r w:rsidRPr="0079046A">
        <w:rPr>
          <w:rStyle w:val="af9"/>
          <w:rFonts w:hint="cs"/>
          <w:rtl/>
        </w:rPr>
        <w:t>הנתיה"מ</w:t>
      </w:r>
      <w:r>
        <w:rPr>
          <w:rFonts w:hint="cs"/>
          <w:rtl/>
        </w:rPr>
        <w:t xml:space="preserve"> </w:t>
      </w:r>
      <w:r w:rsidRPr="0079046A">
        <w:rPr>
          <w:rStyle w:val="af7"/>
          <w:rFonts w:eastAsia="Guttman Hodes" w:hint="cs"/>
          <w:rtl/>
        </w:rPr>
        <w:t>(סי' ק"נ סק"ה ד"ה והנה הש"ך)</w:t>
      </w:r>
      <w:r>
        <w:rPr>
          <w:rFonts w:hint="cs"/>
          <w:rtl/>
        </w:rPr>
        <w:t xml:space="preserve">, </w:t>
      </w:r>
      <w:r w:rsidRPr="001D1883">
        <w:rPr>
          <w:rtl/>
        </w:rPr>
        <w:t>ו</w:t>
      </w:r>
      <w:r>
        <w:rPr>
          <w:rFonts w:hint="cs"/>
          <w:rtl/>
        </w:rPr>
        <w:t>הוסיף</w:t>
      </w:r>
      <w:r w:rsidRPr="001D1883">
        <w:rPr>
          <w:rtl/>
        </w:rPr>
        <w:t xml:space="preserve"> </w:t>
      </w:r>
      <w:r w:rsidRPr="001D1883">
        <w:rPr>
          <w:rStyle w:val="af9"/>
          <w:rtl/>
        </w:rPr>
        <w:t>המהרש"א</w:t>
      </w:r>
      <w:r w:rsidRPr="001D1883">
        <w:rPr>
          <w:rtl/>
        </w:rPr>
        <w:t xml:space="preserve"> דהא דלא נקטה הגמ' כן בלשון הקושיה כמו דנקטה בקושית אביי, כיון דבקושית אביי זוהי טענת המחזיק, דלא הוי מחאה, ואילו הכא אין המחזיק טוען כן, אלא אדרבה היא טענת המערער, דלא הוי חזקה כיון דלא הוי מחאה, כדביאר </w:t>
      </w:r>
      <w:r w:rsidRPr="001D1883">
        <w:rPr>
          <w:rStyle w:val="af9"/>
          <w:rtl/>
        </w:rPr>
        <w:t>המהרש"א</w:t>
      </w:r>
      <w:r w:rsidRPr="001D1883">
        <w:rPr>
          <w:rtl/>
        </w:rPr>
        <w:t xml:space="preserve"> </w:t>
      </w:r>
      <w:r w:rsidRPr="001D1883">
        <w:rPr>
          <w:rStyle w:val="af7"/>
          <w:rFonts w:eastAsia="Guttman Rashi"/>
          <w:rtl/>
        </w:rPr>
        <w:t xml:space="preserve">(עי' אות </w:t>
      </w:r>
      <w:r w:rsidRPr="001D1883">
        <w:rPr>
          <w:rStyle w:val="af7"/>
          <w:rFonts w:eastAsia="Guttman Rashi"/>
          <w:cs/>
        </w:rPr>
        <w:t>‎</w:t>
      </w:r>
      <w:r w:rsidRPr="001D1883">
        <w:rPr>
          <w:rStyle w:val="af7"/>
          <w:rFonts w:eastAsia="Guttman Rashi"/>
          <w:rtl/>
        </w:rPr>
        <w:fldChar w:fldCharType="begin"/>
      </w:r>
      <w:r w:rsidRPr="001D1883">
        <w:rPr>
          <w:rStyle w:val="af7"/>
          <w:rFonts w:eastAsia="Guttman Rashi"/>
          <w:rtl/>
        </w:rPr>
        <w:instrText xml:space="preserve"> </w:instrText>
      </w:r>
      <w:r w:rsidRPr="001D1883">
        <w:rPr>
          <w:rStyle w:val="af7"/>
          <w:rFonts w:eastAsia="Guttman Rashi"/>
        </w:rPr>
        <w:instrText>REF</w:instrText>
      </w:r>
      <w:r w:rsidRPr="001D1883">
        <w:rPr>
          <w:rStyle w:val="af7"/>
          <w:rFonts w:eastAsia="Guttman Rashi"/>
          <w:rtl/>
        </w:rPr>
        <w:instrText xml:space="preserve"> _</w:instrText>
      </w:r>
      <w:r w:rsidRPr="001D1883">
        <w:rPr>
          <w:rStyle w:val="af7"/>
          <w:rFonts w:eastAsia="Guttman Rashi"/>
        </w:rPr>
        <w:instrText>Ref55211164 \r \h</w:instrText>
      </w:r>
      <w:r w:rsidRPr="001D1883">
        <w:rPr>
          <w:rStyle w:val="af7"/>
          <w:rFonts w:eastAsia="Guttman Rashi"/>
          <w:rtl/>
        </w:rPr>
        <w:instrText xml:space="preserve">  \* </w:instrText>
      </w:r>
      <w:r w:rsidRPr="001D1883">
        <w:rPr>
          <w:rStyle w:val="af7"/>
          <w:rFonts w:eastAsia="Guttman Rashi"/>
        </w:rPr>
        <w:instrText>MERGEFORMAT</w:instrText>
      </w:r>
      <w:r w:rsidRPr="001D1883">
        <w:rPr>
          <w:rStyle w:val="af7"/>
          <w:rFonts w:eastAsia="Guttman Rashi"/>
          <w:rtl/>
        </w:rPr>
        <w:instrText xml:space="preserve"> </w:instrText>
      </w:r>
      <w:r w:rsidRPr="001D1883">
        <w:rPr>
          <w:rStyle w:val="af7"/>
          <w:rFonts w:eastAsia="Guttman Rashi"/>
          <w:rtl/>
        </w:rPr>
      </w:r>
      <w:r w:rsidRPr="001D1883">
        <w:rPr>
          <w:rStyle w:val="af7"/>
          <w:rFonts w:eastAsia="Guttman Rashi"/>
          <w:rtl/>
        </w:rPr>
        <w:fldChar w:fldCharType="separate"/>
      </w:r>
      <w:r w:rsidR="00265073">
        <w:rPr>
          <w:rStyle w:val="af7"/>
          <w:rFonts w:eastAsia="Guttman Rashi"/>
          <w:cs/>
        </w:rPr>
        <w:t>‎</w:t>
      </w:r>
      <w:r w:rsidR="00265073">
        <w:rPr>
          <w:rStyle w:val="af7"/>
          <w:rFonts w:eastAsia="Guttman Rashi"/>
          <w:rtl/>
        </w:rPr>
        <w:t>כג)</w:t>
      </w:r>
      <w:r w:rsidRPr="001D1883">
        <w:rPr>
          <w:rStyle w:val="af7"/>
          <w:rFonts w:eastAsia="Guttman Rashi"/>
          <w:rtl/>
        </w:rPr>
        <w:fldChar w:fldCharType="end"/>
      </w:r>
      <w:r w:rsidRPr="001D1883">
        <w:rPr>
          <w:rFonts w:hint="cs"/>
          <w:rtl/>
        </w:rPr>
        <w:t xml:space="preserve">. </w:t>
      </w:r>
      <w:r w:rsidRPr="001D1883">
        <w:rPr>
          <w:rStyle w:val="afb"/>
          <w:rFonts w:hint="cs"/>
          <w:rtl/>
        </w:rPr>
        <w:t xml:space="preserve">[אמנם </w:t>
      </w:r>
      <w:r w:rsidRPr="001D1883">
        <w:rPr>
          <w:rStyle w:val="affa"/>
          <w:rFonts w:hint="cs"/>
          <w:rtl/>
        </w:rPr>
        <w:t>התוס' הרא"ש</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Ref55332393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יא)</w:t>
      </w:r>
      <w:r w:rsidRPr="001D1883">
        <w:rPr>
          <w:rStyle w:val="aff6"/>
          <w:rtl/>
        </w:rPr>
        <w:fldChar w:fldCharType="end"/>
      </w:r>
      <w:r w:rsidRPr="001D1883">
        <w:rPr>
          <w:rStyle w:val="afb"/>
          <w:rFonts w:hint="cs"/>
          <w:rtl/>
        </w:rPr>
        <w:t xml:space="preserve"> כתב להדיא דעיקר הראיה של החזקה היא ממה שהמערער שתק ולא מחה, ומבואר דלהולכי אושא המחאה היא בכדי שלא יוחזק המערער שתקן]</w:t>
      </w:r>
      <w:r w:rsidRPr="001D1883">
        <w:rPr>
          <w:rStyle w:val="afb"/>
          <w:rtl/>
        </w:rPr>
        <w:t>.</w:t>
      </w:r>
      <w:bookmarkEnd w:id="3348"/>
    </w:p>
    <w:p w:rsidR="007A505A" w:rsidRPr="001D1883" w:rsidRDefault="007A505A" w:rsidP="007A505A">
      <w:pPr>
        <w:pStyle w:val="afe"/>
        <w:rPr>
          <w:rtl/>
        </w:rPr>
      </w:pPr>
      <w:bookmarkStart w:id="3349" w:name="_Toc55325147"/>
      <w:bookmarkStart w:id="3350" w:name="_Toc55342069"/>
      <w:bookmarkStart w:id="3351" w:name="_Toc55342170"/>
      <w:bookmarkStart w:id="3352" w:name="_Toc55375254"/>
      <w:bookmarkStart w:id="3353" w:name="_Toc55386200"/>
      <w:bookmarkStart w:id="3354" w:name="_Toc55391120"/>
      <w:bookmarkEnd w:id="3238"/>
      <w:bookmarkEnd w:id="3239"/>
      <w:bookmarkEnd w:id="3240"/>
      <w:bookmarkEnd w:id="3241"/>
      <w:bookmarkEnd w:id="3242"/>
      <w:bookmarkEnd w:id="3243"/>
      <w:bookmarkEnd w:id="3244"/>
      <w:bookmarkEnd w:id="3245"/>
      <w:r w:rsidRPr="001D1883">
        <w:rPr>
          <w:rFonts w:hint="cs"/>
          <w:rtl/>
        </w:rPr>
        <w:t>קושית הראשונים דל"מ חזקה שלא בפניו</w:t>
      </w:r>
      <w:bookmarkEnd w:id="3349"/>
      <w:bookmarkEnd w:id="3350"/>
      <w:bookmarkEnd w:id="3351"/>
      <w:bookmarkEnd w:id="3352"/>
      <w:bookmarkEnd w:id="3353"/>
      <w:bookmarkEnd w:id="3354"/>
    </w:p>
    <w:p w:rsidR="007A505A" w:rsidRPr="001D1883" w:rsidRDefault="007A505A" w:rsidP="007A505A">
      <w:pPr>
        <w:pStyle w:val="1"/>
        <w:rPr>
          <w:rtl/>
        </w:rPr>
      </w:pPr>
      <w:bookmarkStart w:id="3355" w:name="_Toc54642633"/>
      <w:bookmarkStart w:id="3356" w:name="_Toc55127834"/>
      <w:bookmarkStart w:id="3357" w:name="_Toc55246087"/>
      <w:bookmarkStart w:id="3358" w:name="_Toc55325148"/>
      <w:bookmarkStart w:id="3359" w:name="_Toc55342070"/>
      <w:bookmarkStart w:id="3360" w:name="_Toc55342171"/>
      <w:bookmarkStart w:id="3361" w:name="_Toc55375255"/>
      <w:bookmarkStart w:id="3362" w:name="_Toc55386201"/>
      <w:bookmarkStart w:id="3363" w:name="_Toc55391121"/>
      <w:r w:rsidRPr="001D1883">
        <w:rPr>
          <w:rFonts w:hint="cs"/>
          <w:rtl/>
        </w:rPr>
        <w:t>קושית הראשונים</w:t>
      </w:r>
      <w:bookmarkEnd w:id="3355"/>
      <w:bookmarkEnd w:id="3356"/>
      <w:bookmarkEnd w:id="3357"/>
      <w:r w:rsidRPr="001D1883">
        <w:rPr>
          <w:rFonts w:hint="cs"/>
          <w:rtl/>
        </w:rPr>
        <w:t xml:space="preserve"> דהיה לגמ' להקשות דחזקה שלא בפניו ל"מ</w:t>
      </w:r>
      <w:bookmarkEnd w:id="3358"/>
      <w:bookmarkEnd w:id="3359"/>
      <w:bookmarkEnd w:id="3360"/>
      <w:bookmarkEnd w:id="3361"/>
      <w:bookmarkEnd w:id="3362"/>
      <w:bookmarkEnd w:id="3363"/>
    </w:p>
    <w:p w:rsidR="007A505A" w:rsidRPr="001D1883" w:rsidRDefault="007A505A" w:rsidP="007A505A">
      <w:pPr>
        <w:pStyle w:val="a3"/>
        <w:rPr>
          <w:rtl/>
        </w:rPr>
      </w:pPr>
      <w:bookmarkStart w:id="3364" w:name="_Toc55325149"/>
      <w:bookmarkStart w:id="3365" w:name="_Toc55342071"/>
      <w:bookmarkStart w:id="3366" w:name="_Toc55342172"/>
      <w:bookmarkStart w:id="3367" w:name="_Toc55375256"/>
      <w:bookmarkStart w:id="3368" w:name="_Toc55386202"/>
      <w:bookmarkStart w:id="3369" w:name="_Toc55391122"/>
      <w:r w:rsidRPr="001D1883">
        <w:rPr>
          <w:rFonts w:hint="cs"/>
          <w:rtl/>
        </w:rPr>
        <w:t>קושית הבעה"מ והרמב"ן והתורא"ש דהילפותא היא לחזקה וא"כ קשה דחזקה שלא בפניו ל"מ</w:t>
      </w:r>
      <w:bookmarkEnd w:id="3364"/>
      <w:bookmarkEnd w:id="3365"/>
      <w:bookmarkEnd w:id="3366"/>
      <w:bookmarkEnd w:id="3367"/>
      <w:bookmarkEnd w:id="3368"/>
      <w:bookmarkEnd w:id="3369"/>
    </w:p>
    <w:p w:rsidR="007A505A" w:rsidRPr="001D1883" w:rsidRDefault="007A505A" w:rsidP="007E4E81">
      <w:pPr>
        <w:pStyle w:val="a0"/>
        <w:rPr>
          <w:rtl/>
        </w:rPr>
      </w:pPr>
      <w:bookmarkStart w:id="3370" w:name="_Ref55333640"/>
      <w:r w:rsidRPr="001D1883">
        <w:rPr>
          <w:rFonts w:hint="cs"/>
          <w:rtl/>
        </w:rPr>
        <w:t xml:space="preserve">בהא דמקשה הגמ' דתהני מחאה שלא בפניו, הקשו </w:t>
      </w:r>
      <w:r w:rsidRPr="001D1883">
        <w:rPr>
          <w:rStyle w:val="af9"/>
          <w:rFonts w:hint="cs"/>
          <w:rtl/>
        </w:rPr>
        <w:t>הרמב"ן</w:t>
      </w:r>
      <w:r w:rsidRPr="001D1883">
        <w:rPr>
          <w:rFonts w:hint="cs"/>
          <w:rtl/>
        </w:rPr>
        <w:t xml:space="preserve"> </w:t>
      </w:r>
      <w:r w:rsidRPr="001D1883">
        <w:rPr>
          <w:rStyle w:val="af7"/>
          <w:rFonts w:eastAsia="Guttman Hodes" w:hint="cs"/>
          <w:rtl/>
        </w:rPr>
        <w:t>(ד"ה ותו)</w:t>
      </w:r>
      <w:r w:rsidRPr="001D1883">
        <w:rPr>
          <w:rFonts w:hint="cs"/>
          <w:rtl/>
        </w:rPr>
        <w:t xml:space="preserve"> בשם </w:t>
      </w:r>
      <w:r w:rsidRPr="001D1883">
        <w:rPr>
          <w:rStyle w:val="af9"/>
          <w:rFonts w:hint="cs"/>
          <w:rtl/>
        </w:rPr>
        <w:t>י"א והבעה"מ</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Ref55334557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1D1883">
        <w:rPr>
          <w:rStyle w:val="af7"/>
          <w:rFonts w:eastAsia="Guttman Hodes"/>
          <w:rtl/>
        </w:rPr>
        <w:fldChar w:fldCharType="end"/>
      </w:r>
      <w:r w:rsidRPr="001D1883">
        <w:rPr>
          <w:rStyle w:val="af7"/>
          <w:rFonts w:eastAsia="Guttman Hodes" w:hint="cs"/>
          <w:rtl/>
        </w:rPr>
        <w:t xml:space="preserve"> </w:t>
      </w:r>
      <w:r w:rsidRPr="001D1883">
        <w:rPr>
          <w:rStyle w:val="af9"/>
          <w:rFonts w:hint="cs"/>
          <w:rtl/>
        </w:rPr>
        <w:t>והר"ן</w:t>
      </w:r>
      <w:r w:rsidRPr="001D1883">
        <w:rPr>
          <w:rFonts w:hint="cs"/>
          <w:rtl/>
        </w:rPr>
        <w:t xml:space="preserve"> </w:t>
      </w:r>
      <w:r w:rsidRPr="001D1883">
        <w:rPr>
          <w:rStyle w:val="af7"/>
          <w:rFonts w:eastAsia="Guttman Hodes" w:hint="cs"/>
          <w:rtl/>
        </w:rPr>
        <w:t>(ד"ה אלא)</w:t>
      </w:r>
      <w:r w:rsidRPr="001D1883">
        <w:rPr>
          <w:rFonts w:hint="cs"/>
          <w:rtl/>
        </w:rPr>
        <w:t xml:space="preserve"> </w:t>
      </w:r>
      <w:r w:rsidRPr="001D1883">
        <w:rPr>
          <w:rStyle w:val="af9"/>
          <w:rFonts w:hint="cs"/>
          <w:rtl/>
        </w:rPr>
        <w:t>והתוס' הרא"ש בשיטמ"ק</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Ref55334603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דכיון דהילפותא משור המועד היא לחזקה, ולא למחאה, א"כ אמאי לא מקשה הגמ' דלא תועיל חזקה שלא בפניו, כמו העדאה בשור המועד.</w:t>
      </w:r>
      <w:bookmarkEnd w:id="3370"/>
    </w:p>
    <w:p w:rsidR="007A505A" w:rsidRPr="001D1883" w:rsidRDefault="007A505A" w:rsidP="007A505A">
      <w:pPr>
        <w:pStyle w:val="a3"/>
        <w:rPr>
          <w:rtl/>
        </w:rPr>
      </w:pPr>
      <w:bookmarkStart w:id="3371" w:name="_Toc55325150"/>
      <w:bookmarkStart w:id="3372" w:name="_Toc55342072"/>
      <w:bookmarkStart w:id="3373" w:name="_Toc55342173"/>
      <w:bookmarkStart w:id="3374" w:name="_Toc55375257"/>
      <w:bookmarkStart w:id="3375" w:name="_Toc55386203"/>
      <w:bookmarkStart w:id="3376" w:name="_Toc55391123"/>
      <w:r w:rsidRPr="001D1883">
        <w:rPr>
          <w:rFonts w:hint="cs"/>
          <w:rtl/>
        </w:rPr>
        <w:t>קושית רבינו יונה דהיה לגמ' להקשות דחזקה לא מהני עד שיעידו בפניו כמו בהעדאה</w:t>
      </w:r>
      <w:bookmarkEnd w:id="3371"/>
      <w:bookmarkEnd w:id="3372"/>
      <w:bookmarkEnd w:id="3373"/>
      <w:bookmarkEnd w:id="3374"/>
      <w:bookmarkEnd w:id="3375"/>
      <w:bookmarkEnd w:id="3376"/>
    </w:p>
    <w:p w:rsidR="007A505A" w:rsidRPr="001D1883" w:rsidRDefault="007A505A" w:rsidP="007E4E81">
      <w:pPr>
        <w:pStyle w:val="a0"/>
        <w:rPr>
          <w:rStyle w:val="afb"/>
          <w:rtl/>
        </w:rPr>
      </w:pPr>
      <w:r w:rsidRPr="001D1883">
        <w:rPr>
          <w:rFonts w:hint="cs"/>
          <w:rtl/>
        </w:rPr>
        <w:t xml:space="preserve">וכן הקשה </w:t>
      </w:r>
      <w:r w:rsidRPr="001D1883">
        <w:rPr>
          <w:rStyle w:val="af9"/>
          <w:rFonts w:hint="cs"/>
          <w:rtl/>
        </w:rPr>
        <w:t>רבינו יונה</w:t>
      </w:r>
      <w:r w:rsidRPr="001D1883">
        <w:rPr>
          <w:rFonts w:hint="cs"/>
          <w:rtl/>
        </w:rPr>
        <w:t xml:space="preserve"> </w:t>
      </w:r>
      <w:r w:rsidRPr="001D1883">
        <w:rPr>
          <w:rStyle w:val="af7"/>
          <w:rFonts w:eastAsia="Guttman Hodes" w:hint="cs"/>
          <w:rtl/>
        </w:rPr>
        <w:t>(ד"ה מתקיף)</w:t>
      </w:r>
      <w:r w:rsidRPr="001D1883">
        <w:rPr>
          <w:rFonts w:hint="cs"/>
          <w:rtl/>
        </w:rPr>
        <w:t xml:space="preserve"> דכיון דאת החזקה ילפינן משור המועד, היה לגמ' להקשות מהחזקה ולא מהמחאה, דחזקה שלא בפניו לא תהא חזקה, עד שיעידו עדים לפני המערער שהמחזיק יושב בקרקע שלו, כמו שהנגיחות של השור אינו מוציאות אותו מחזקת תמותו, עד שיעידו בו בפני הבעלים. </w:t>
      </w:r>
      <w:r w:rsidRPr="001D1883">
        <w:rPr>
          <w:rStyle w:val="afb"/>
          <w:rFonts w:hint="cs"/>
          <w:rtl/>
        </w:rPr>
        <w:t xml:space="preserve">[כדביאר </w:t>
      </w:r>
      <w:r w:rsidRPr="001D1883">
        <w:rPr>
          <w:rStyle w:val="affa"/>
          <w:rFonts w:hint="cs"/>
          <w:rtl/>
        </w:rPr>
        <w:t>רבינו יונה</w:t>
      </w:r>
      <w:r w:rsidRPr="008559E7">
        <w:rPr>
          <w:rStyle w:val="aff6"/>
          <w:rFonts w:hint="cs"/>
          <w:rtl/>
        </w:rPr>
        <w:t xml:space="preserve"> (ד</w:t>
      </w:r>
      <w:r w:rsidRPr="008559E7">
        <w:rPr>
          <w:rStyle w:val="aff6"/>
          <w:rtl/>
        </w:rPr>
        <w:t>"</w:t>
      </w:r>
      <w:r w:rsidRPr="008559E7">
        <w:rPr>
          <w:rStyle w:val="aff6"/>
          <w:rFonts w:hint="cs"/>
          <w:rtl/>
        </w:rPr>
        <w:t xml:space="preserve">ה מנין, ד"ה מה, הובא בסימן ג' אות י') </w:t>
      </w:r>
      <w:r w:rsidRPr="001D1883">
        <w:rPr>
          <w:rStyle w:val="afb"/>
          <w:rFonts w:hint="cs"/>
          <w:rtl/>
        </w:rPr>
        <w:t>דהילפותא משור המועד דהקרקע יוצאת מחזקת מרא קמא].</w:t>
      </w:r>
    </w:p>
    <w:p w:rsidR="007A505A" w:rsidRPr="001D1883" w:rsidRDefault="007A505A" w:rsidP="007A505A">
      <w:pPr>
        <w:pStyle w:val="a3"/>
      </w:pPr>
      <w:bookmarkStart w:id="3377" w:name="_Toc55325151"/>
      <w:bookmarkStart w:id="3378" w:name="_Toc55342073"/>
      <w:bookmarkStart w:id="3379" w:name="_Toc55342174"/>
      <w:bookmarkStart w:id="3380" w:name="_Toc55375258"/>
      <w:bookmarkStart w:id="3381" w:name="_Toc55386204"/>
      <w:bookmarkStart w:id="3382" w:name="_Toc55391124"/>
      <w:r w:rsidRPr="001D1883">
        <w:rPr>
          <w:rFonts w:hint="cs"/>
          <w:rtl/>
        </w:rPr>
        <w:t>קושית הרשב"א והריטב"א דהעדאה דמיא לחזקה שמשנה את החזקה וא"כ ל"מ שלא בפניו</w:t>
      </w:r>
      <w:bookmarkEnd w:id="3377"/>
      <w:bookmarkEnd w:id="3378"/>
      <w:bookmarkEnd w:id="3379"/>
      <w:bookmarkEnd w:id="3380"/>
      <w:bookmarkEnd w:id="3381"/>
      <w:bookmarkEnd w:id="3382"/>
    </w:p>
    <w:p w:rsidR="007A505A" w:rsidRPr="001D1883" w:rsidRDefault="007A505A" w:rsidP="007E4E81">
      <w:pPr>
        <w:pStyle w:val="a0"/>
        <w:rPr>
          <w:rtl/>
        </w:rPr>
      </w:pPr>
      <w:r w:rsidRPr="001D1883">
        <w:rPr>
          <w:rFonts w:hint="cs"/>
          <w:rtl/>
        </w:rPr>
        <w:t xml:space="preserve">וכן הקשו </w:t>
      </w:r>
      <w:r w:rsidRPr="001D1883">
        <w:rPr>
          <w:rStyle w:val="af9"/>
          <w:rFonts w:hint="cs"/>
          <w:rtl/>
        </w:rPr>
        <w:t>הרשב"א</w:t>
      </w:r>
      <w:r w:rsidRPr="001D1883">
        <w:rPr>
          <w:rFonts w:hint="cs"/>
          <w:rtl/>
        </w:rPr>
        <w:t xml:space="preserve"> </w:t>
      </w:r>
      <w:r w:rsidRPr="001D1883">
        <w:rPr>
          <w:rStyle w:val="af7"/>
          <w:rFonts w:eastAsia="Guttman Hodes" w:hint="cs"/>
          <w:rtl/>
        </w:rPr>
        <w:t>(ד"ה אלא)</w:t>
      </w:r>
      <w:r w:rsidRPr="001D1883">
        <w:rPr>
          <w:rFonts w:hint="cs"/>
          <w:rtl/>
        </w:rPr>
        <w:t xml:space="preserve"> </w:t>
      </w:r>
      <w:r w:rsidRPr="001D1883">
        <w:rPr>
          <w:rStyle w:val="af9"/>
          <w:rFonts w:hint="cs"/>
          <w:rtl/>
        </w:rPr>
        <w:t>והריטב"א</w:t>
      </w:r>
      <w:r w:rsidRPr="001D1883">
        <w:rPr>
          <w:rFonts w:hint="cs"/>
          <w:rtl/>
        </w:rPr>
        <w:t xml:space="preserve"> </w:t>
      </w:r>
      <w:r w:rsidRPr="001D1883">
        <w:rPr>
          <w:rStyle w:val="af7"/>
          <w:rFonts w:eastAsia="Guttman Hodes" w:hint="cs"/>
          <w:rtl/>
        </w:rPr>
        <w:t>(ד"ה אלא)</w:t>
      </w:r>
      <w:r w:rsidRPr="001D1883">
        <w:rPr>
          <w:rFonts w:hint="cs"/>
          <w:rtl/>
        </w:rPr>
        <w:t xml:space="preserve"> דהחזקה דמיא להעדאה שמוציאה מחזקת תם לחזקת מועד, והחזקה מוציאה מרשות המרא קמא ומכניסה לרשות המחזיק, אבל מחאה היא מעמידה ברשות המרא קמא, והוסיף </w:t>
      </w:r>
      <w:r w:rsidRPr="001D1883">
        <w:rPr>
          <w:rStyle w:val="af9"/>
          <w:rFonts w:hint="cs"/>
          <w:rtl/>
        </w:rPr>
        <w:t>הריטב"א</w:t>
      </w:r>
      <w:r w:rsidRPr="001D1883">
        <w:rPr>
          <w:rFonts w:hint="cs"/>
          <w:rtl/>
        </w:rPr>
        <w:t xml:space="preserve"> דמחאה לא דמי לשור המועד, כיון שהיא באה להעמיד את הקרקע בחזקה הראשונה, ואילו ההעדאה בשור באה להוציאו מחזקתו הראשונה</w:t>
      </w:r>
      <w:bookmarkStart w:id="3383" w:name="_Toc54603737"/>
      <w:bookmarkStart w:id="3384" w:name="_Ref54345752"/>
      <w:r w:rsidRPr="001D1883">
        <w:rPr>
          <w:rFonts w:hint="cs"/>
          <w:rtl/>
        </w:rPr>
        <w:t>.</w:t>
      </w:r>
    </w:p>
    <w:p w:rsidR="007A505A" w:rsidRPr="001D1883" w:rsidRDefault="007A505A" w:rsidP="007A505A">
      <w:pPr>
        <w:pStyle w:val="afe"/>
        <w:rPr>
          <w:rtl/>
        </w:rPr>
      </w:pPr>
      <w:bookmarkStart w:id="3385" w:name="_Toc55325152"/>
      <w:bookmarkStart w:id="3386" w:name="_Toc55342074"/>
      <w:bookmarkStart w:id="3387" w:name="_Toc55342175"/>
      <w:bookmarkStart w:id="3388" w:name="_Toc55375259"/>
      <w:bookmarkStart w:id="3389" w:name="_Toc55386205"/>
      <w:bookmarkStart w:id="3390" w:name="_Toc55391125"/>
      <w:r w:rsidRPr="001D1883">
        <w:rPr>
          <w:rFonts w:hint="cs"/>
          <w:rtl/>
        </w:rPr>
        <w:t>ביאור התוס' דלא מהני המחאה והחזקה</w:t>
      </w:r>
      <w:bookmarkEnd w:id="3385"/>
      <w:bookmarkEnd w:id="3386"/>
      <w:bookmarkEnd w:id="3387"/>
      <w:bookmarkEnd w:id="3388"/>
      <w:bookmarkEnd w:id="3389"/>
      <w:bookmarkEnd w:id="3390"/>
    </w:p>
    <w:p w:rsidR="007A505A" w:rsidRPr="001D1883" w:rsidRDefault="007A505A" w:rsidP="007A505A">
      <w:pPr>
        <w:pStyle w:val="1"/>
        <w:rPr>
          <w:rtl/>
        </w:rPr>
      </w:pPr>
      <w:bookmarkStart w:id="3391" w:name="_Toc55246089"/>
      <w:bookmarkStart w:id="3392" w:name="_Toc55325153"/>
      <w:bookmarkStart w:id="3393" w:name="_Toc55342075"/>
      <w:bookmarkStart w:id="3394" w:name="_Toc55342176"/>
      <w:bookmarkStart w:id="3395" w:name="_Toc55375260"/>
      <w:bookmarkStart w:id="3396" w:name="_Toc55386206"/>
      <w:bookmarkStart w:id="3397" w:name="_Toc55391126"/>
      <w:bookmarkStart w:id="3398" w:name="_Toc54642638"/>
      <w:bookmarkStart w:id="3399" w:name="_Toc55127839"/>
      <w:r w:rsidRPr="001D1883">
        <w:rPr>
          <w:rFonts w:hint="cs"/>
          <w:rtl/>
        </w:rPr>
        <w:t>ביאור התוס' והבעה"מ</w:t>
      </w:r>
      <w:bookmarkEnd w:id="3391"/>
      <w:r w:rsidRPr="001D1883">
        <w:rPr>
          <w:rFonts w:hint="cs"/>
          <w:rtl/>
        </w:rPr>
        <w:t xml:space="preserve"> והרשב"א דכיון דל"מ מחאה ל"מ החזקה</w:t>
      </w:r>
      <w:bookmarkEnd w:id="3392"/>
      <w:bookmarkEnd w:id="3393"/>
      <w:bookmarkEnd w:id="3394"/>
      <w:bookmarkEnd w:id="3395"/>
      <w:bookmarkEnd w:id="3396"/>
      <w:bookmarkEnd w:id="3397"/>
      <w:r w:rsidRPr="001D1883">
        <w:rPr>
          <w:rFonts w:hint="cs"/>
          <w:rtl/>
        </w:rPr>
        <w:t xml:space="preserve"> </w:t>
      </w:r>
    </w:p>
    <w:p w:rsidR="007A505A" w:rsidRPr="001D1883" w:rsidRDefault="007A505A" w:rsidP="007A505A">
      <w:pPr>
        <w:pStyle w:val="a3"/>
        <w:rPr>
          <w:rtl/>
        </w:rPr>
      </w:pPr>
      <w:bookmarkStart w:id="3400" w:name="_Toc55325154"/>
      <w:bookmarkStart w:id="3401" w:name="_Toc55342076"/>
      <w:bookmarkStart w:id="3402" w:name="_Toc55342177"/>
      <w:bookmarkStart w:id="3403" w:name="_Toc55375261"/>
      <w:bookmarkStart w:id="3404" w:name="_Toc55386207"/>
      <w:bookmarkStart w:id="3405" w:name="_Toc55391127"/>
      <w:r w:rsidRPr="001D1883">
        <w:rPr>
          <w:rFonts w:hint="cs"/>
          <w:rtl/>
        </w:rPr>
        <w:t>דברי התוס' והתורא"ש דקושית הגמ' דכיון דל"מ מחאה ממילא ל"מ חזקה שלא בפניו</w:t>
      </w:r>
      <w:bookmarkEnd w:id="3400"/>
      <w:bookmarkEnd w:id="3401"/>
      <w:bookmarkEnd w:id="3402"/>
      <w:bookmarkEnd w:id="3403"/>
      <w:bookmarkEnd w:id="3404"/>
      <w:bookmarkEnd w:id="3405"/>
    </w:p>
    <w:p w:rsidR="007A505A" w:rsidRPr="001D1883" w:rsidRDefault="007A505A" w:rsidP="007E4E81">
      <w:pPr>
        <w:pStyle w:val="a0"/>
        <w:rPr>
          <w:rtl/>
        </w:rPr>
      </w:pPr>
      <w:r w:rsidRPr="001D1883">
        <w:rPr>
          <w:rFonts w:hint="cs"/>
          <w:rtl/>
        </w:rPr>
        <w:t xml:space="preserve">ועי' במ"ש </w:t>
      </w:r>
      <w:r w:rsidRPr="001D1883">
        <w:rPr>
          <w:rStyle w:val="af9"/>
          <w:rFonts w:hint="cs"/>
          <w:rtl/>
        </w:rPr>
        <w:t>התוס'</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Ref55319218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1D1883">
        <w:rPr>
          <w:rStyle w:val="af7"/>
          <w:rFonts w:eastAsia="Guttman Hodes"/>
          <w:rtl/>
        </w:rPr>
        <w:fldChar w:fldCharType="end"/>
      </w:r>
      <w:r w:rsidRPr="001D1883">
        <w:rPr>
          <w:rFonts w:hint="cs"/>
          <w:rtl/>
        </w:rPr>
        <w:t xml:space="preserve"> דקושית הגמ' היא דלא תועיל מחאה שלא בפניו, וא"כ לא תהיה חזקה, דכמו דילפינן משור המועד, דבג' פעמים הוי חזקה, ובמה שביאר </w:t>
      </w:r>
      <w:r w:rsidRPr="001D1883">
        <w:rPr>
          <w:rStyle w:val="af9"/>
          <w:rFonts w:hint="cs"/>
          <w:rtl/>
        </w:rPr>
        <w:t>התוס' הרא"ש</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Ref55208071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1D1883">
        <w:rPr>
          <w:rStyle w:val="af7"/>
          <w:rFonts w:eastAsia="Guttman Hodes"/>
          <w:rtl/>
        </w:rPr>
        <w:fldChar w:fldCharType="end"/>
      </w:r>
      <w:r w:rsidRPr="001D1883">
        <w:rPr>
          <w:rFonts w:hint="cs"/>
          <w:rtl/>
        </w:rPr>
        <w:t xml:space="preserve"> דכוונת הגמ' להקשות על עיקר דין החזקה, דכיון דמחאה שלא בפניו אינה מחאה, ממילא חזקה שלא בפניו אינה חזקה, דכיון שאין למחאה קול, ממילא אין למחזיק כל ראיה ששתק המערער, דכיון שיודע המערער שהמחזיק לא ישמע ממחאתו לכן אין המערער מוחה, וכיון </w:t>
      </w:r>
      <w:r w:rsidRPr="001D1883">
        <w:rPr>
          <w:rFonts w:hint="cs"/>
          <w:rtl/>
        </w:rPr>
        <w:t xml:space="preserve">דאינו מוחה, ממילא אין חזקת המחזיק חזקה, וכן ביאר </w:t>
      </w:r>
      <w:r w:rsidRPr="001D1883">
        <w:rPr>
          <w:rStyle w:val="af9"/>
          <w:rFonts w:hint="cs"/>
          <w:rtl/>
        </w:rPr>
        <w:t>המהרש"א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Ref55211164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1D1883">
        <w:rPr>
          <w:rStyle w:val="af7"/>
          <w:rFonts w:eastAsia="Guttman Hodes"/>
          <w:rtl/>
        </w:rPr>
        <w:fldChar w:fldCharType="end"/>
      </w:r>
      <w:r w:rsidRPr="001D1883">
        <w:rPr>
          <w:rFonts w:hint="cs"/>
          <w:rtl/>
        </w:rPr>
        <w:t xml:space="preserve"> בדברי </w:t>
      </w:r>
      <w:r w:rsidRPr="001D1883">
        <w:rPr>
          <w:rStyle w:val="af9"/>
          <w:rFonts w:hint="cs"/>
          <w:rtl/>
        </w:rPr>
        <w:t>התוס'</w:t>
      </w:r>
      <w:r w:rsidRPr="001D1883">
        <w:rPr>
          <w:rFonts w:hint="cs"/>
          <w:rtl/>
        </w:rPr>
        <w:t>.</w:t>
      </w:r>
    </w:p>
    <w:p w:rsidR="007A505A" w:rsidRPr="001D1883" w:rsidRDefault="007A505A" w:rsidP="007A505A">
      <w:pPr>
        <w:pStyle w:val="a3"/>
      </w:pPr>
      <w:bookmarkStart w:id="3406" w:name="_Toc55325155"/>
      <w:bookmarkStart w:id="3407" w:name="_Toc55342077"/>
      <w:bookmarkStart w:id="3408" w:name="_Toc55342178"/>
      <w:bookmarkStart w:id="3409" w:name="_Toc55375262"/>
      <w:bookmarkStart w:id="3410" w:name="_Toc55386208"/>
      <w:bookmarkStart w:id="3411" w:name="_Toc55391128"/>
      <w:bookmarkStart w:id="3412" w:name="_Ref54610400"/>
      <w:bookmarkEnd w:id="3398"/>
      <w:bookmarkEnd w:id="3399"/>
      <w:r w:rsidRPr="001D1883">
        <w:rPr>
          <w:rFonts w:hint="cs"/>
          <w:rtl/>
        </w:rPr>
        <w:t>תירוץ הבעה"מ דהגמ' מקשה ממחאה דהיא עיקר טעם החזקה וכשלא מהני המחאה אין חזקה</w:t>
      </w:r>
      <w:bookmarkEnd w:id="3406"/>
      <w:bookmarkEnd w:id="3407"/>
      <w:bookmarkEnd w:id="3408"/>
      <w:bookmarkEnd w:id="3409"/>
      <w:bookmarkEnd w:id="3410"/>
      <w:bookmarkEnd w:id="3411"/>
    </w:p>
    <w:p w:rsidR="007A505A" w:rsidRPr="001D1883" w:rsidRDefault="007A505A" w:rsidP="007E4E81">
      <w:pPr>
        <w:pStyle w:val="a0"/>
        <w:rPr>
          <w:rtl/>
        </w:rPr>
      </w:pPr>
      <w:bookmarkStart w:id="3413" w:name="_Ref55334557"/>
      <w:r w:rsidRPr="001D1883">
        <w:rPr>
          <w:rFonts w:hint="cs"/>
          <w:rtl/>
        </w:rPr>
        <w:t xml:space="preserve">וכ"כ </w:t>
      </w:r>
      <w:r w:rsidRPr="001D1883">
        <w:rPr>
          <w:rStyle w:val="af9"/>
          <w:rFonts w:hint="cs"/>
          <w:rtl/>
        </w:rPr>
        <w:t>הבעה"מ</w:t>
      </w:r>
      <w:r w:rsidRPr="001D1883">
        <w:rPr>
          <w:rFonts w:hint="cs"/>
          <w:rtl/>
        </w:rPr>
        <w:t xml:space="preserve"> </w:t>
      </w:r>
      <w:r w:rsidRPr="001D1883">
        <w:rPr>
          <w:rStyle w:val="af7"/>
          <w:rFonts w:eastAsia="Guttman Hodes" w:hint="cs"/>
          <w:rtl/>
        </w:rPr>
        <w:t>(יד. מדה"ר ד"ה אלא)</w:t>
      </w:r>
      <w:r w:rsidRPr="001D1883">
        <w:rPr>
          <w:rFonts w:hint="cs"/>
          <w:rtl/>
        </w:rPr>
        <w:t xml:space="preserve"> דהחזקה תלויה במחאה, ועיקר הטעם דמהני החזקה, הוא כיון שלא מחה בו המערער, ולכן אי לא מהני מחאה שלא בפניו, ממילא לא מהני חזקה שלא בפניו, וכדאיתא בגמ' לקמן </w:t>
      </w:r>
      <w:r w:rsidRPr="001D1883">
        <w:rPr>
          <w:rStyle w:val="af7"/>
          <w:rFonts w:eastAsia="Guttman Hodes" w:hint="cs"/>
          <w:rtl/>
        </w:rPr>
        <w:t>(לח.)</w:t>
      </w:r>
      <w:r w:rsidRPr="001D1883">
        <w:rPr>
          <w:rFonts w:hint="cs"/>
          <w:rtl/>
        </w:rPr>
        <w:t xml:space="preserve">, </w:t>
      </w:r>
      <w:r w:rsidRPr="001D1883">
        <w:rPr>
          <w:rStyle w:val="afb"/>
          <w:rFonts w:hint="cs"/>
          <w:rtl/>
        </w:rPr>
        <w:t>[מהא דתנן במתני' דלת"ק מהני החזקה רק כשהמחזיק נמצא באותה מדינה, ומקשה הגמ' דאי ס"ל דמחאה שלא בפניו הוי מחאה, אמאי לא מהני החזקה],</w:t>
      </w:r>
      <w:r w:rsidRPr="001D1883">
        <w:rPr>
          <w:rFonts w:hint="cs"/>
          <w:rtl/>
        </w:rPr>
        <w:t xml:space="preserve"> וכתב </w:t>
      </w:r>
      <w:r w:rsidRPr="001D1883">
        <w:rPr>
          <w:rStyle w:val="af9"/>
          <w:rFonts w:hint="cs"/>
          <w:rtl/>
        </w:rPr>
        <w:t>הבעה"מ</w:t>
      </w:r>
      <w:r w:rsidRPr="001D1883">
        <w:rPr>
          <w:rFonts w:hint="cs"/>
          <w:rtl/>
        </w:rPr>
        <w:t xml:space="preserve"> דלכן מקשה הגמ' ממחאה שהיא עיקר הטעם של החזקה ולא מהחזקה עצמה, ועי' במה שדחה </w:t>
      </w:r>
      <w:r w:rsidRPr="001D1883">
        <w:rPr>
          <w:rStyle w:val="af9"/>
          <w:rFonts w:hint="cs"/>
          <w:rtl/>
        </w:rPr>
        <w:t>הרמב"ן במלחמות</w:t>
      </w:r>
      <w:r w:rsidRPr="001D1883">
        <w:rPr>
          <w:rFonts w:hint="cs"/>
          <w:rtl/>
        </w:rPr>
        <w:t xml:space="preserve"> </w:t>
      </w:r>
      <w:r w:rsidRPr="00AC2D4F">
        <w:rPr>
          <w:rStyle w:val="af7"/>
          <w:rFonts w:eastAsia="Guttman Hodes" w:hint="cs"/>
          <w:rtl/>
        </w:rPr>
        <w:t xml:space="preserve">(עי' אות </w:t>
      </w:r>
      <w:r w:rsidRPr="00AC2D4F">
        <w:rPr>
          <w:rStyle w:val="af7"/>
          <w:rFonts w:eastAsia="Guttman Hodes"/>
          <w:rtl/>
        </w:rPr>
        <w:fldChar w:fldCharType="begin"/>
      </w:r>
      <w:r w:rsidRPr="00AC2D4F">
        <w:rPr>
          <w:rStyle w:val="af7"/>
          <w:rFonts w:eastAsia="Guttman Hodes"/>
          <w:rtl/>
        </w:rPr>
        <w:instrText xml:space="preserve"> </w:instrText>
      </w:r>
      <w:r w:rsidRPr="00AC2D4F">
        <w:rPr>
          <w:rStyle w:val="af7"/>
          <w:rFonts w:eastAsia="Guttman Hodes" w:hint="cs"/>
        </w:rPr>
        <w:instrText>REF</w:instrText>
      </w:r>
      <w:r w:rsidRPr="00AC2D4F">
        <w:rPr>
          <w:rStyle w:val="af7"/>
          <w:rFonts w:eastAsia="Guttman Hodes" w:hint="cs"/>
          <w:rtl/>
        </w:rPr>
        <w:instrText xml:space="preserve"> _</w:instrText>
      </w:r>
      <w:r w:rsidRPr="00AC2D4F">
        <w:rPr>
          <w:rStyle w:val="af7"/>
          <w:rFonts w:eastAsia="Guttman Hodes" w:hint="cs"/>
        </w:rPr>
        <w:instrText>Ref55370754 \r \h</w:instrText>
      </w:r>
      <w:r w:rsidRPr="00AC2D4F">
        <w:rPr>
          <w:rStyle w:val="af7"/>
          <w:rFonts w:eastAsia="Guttman Hodes"/>
          <w:rtl/>
        </w:rPr>
        <w:instrText xml:space="preserve"> </w:instrText>
      </w:r>
      <w:r w:rsidRPr="00AC2D4F">
        <w:rPr>
          <w:rStyle w:val="af7"/>
          <w:rFonts w:eastAsia="Guttman Hodes"/>
          <w:rtl/>
        </w:rPr>
      </w:r>
      <w:r w:rsidRPr="00AC2D4F">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AC2D4F">
        <w:rPr>
          <w:rStyle w:val="af7"/>
          <w:rFonts w:eastAsia="Guttman Hodes"/>
          <w:rtl/>
        </w:rPr>
        <w:fldChar w:fldCharType="end"/>
      </w:r>
      <w:r w:rsidRPr="00AC2D4F">
        <w:rPr>
          <w:rStyle w:val="af7"/>
          <w:rFonts w:eastAsia="Guttman Hodes" w:hint="cs"/>
          <w:rtl/>
        </w:rPr>
        <w:t xml:space="preserve"> </w:t>
      </w:r>
      <w:r w:rsidRPr="001D1883">
        <w:rPr>
          <w:rFonts w:hint="cs"/>
          <w:rtl/>
        </w:rPr>
        <w:t xml:space="preserve">את דברי </w:t>
      </w:r>
      <w:r w:rsidRPr="001D1883">
        <w:rPr>
          <w:rStyle w:val="af9"/>
          <w:rFonts w:hint="cs"/>
          <w:rtl/>
        </w:rPr>
        <w:t>הבעה"מ</w:t>
      </w:r>
      <w:r w:rsidRPr="001D1883">
        <w:rPr>
          <w:rFonts w:hint="cs"/>
          <w:rtl/>
        </w:rPr>
        <w:t>.</w:t>
      </w:r>
      <w:bookmarkEnd w:id="3412"/>
      <w:bookmarkEnd w:id="3413"/>
    </w:p>
    <w:p w:rsidR="007A505A" w:rsidRPr="001D1883" w:rsidRDefault="007A505A" w:rsidP="007A505A">
      <w:pPr>
        <w:pStyle w:val="a3"/>
        <w:rPr>
          <w:rtl/>
        </w:rPr>
      </w:pPr>
      <w:bookmarkStart w:id="3414" w:name="_Toc55325156"/>
      <w:bookmarkStart w:id="3415" w:name="_Toc55342078"/>
      <w:bookmarkStart w:id="3416" w:name="_Toc55342179"/>
      <w:bookmarkStart w:id="3417" w:name="_Toc55375263"/>
      <w:bookmarkStart w:id="3418" w:name="_Toc55386209"/>
      <w:bookmarkStart w:id="3419" w:name="_Toc55391129"/>
      <w:r w:rsidRPr="001D1883">
        <w:rPr>
          <w:rFonts w:hint="cs"/>
          <w:rtl/>
        </w:rPr>
        <w:t>תירוץ הרשב"א דכוונת הגמ' להקשות דל"מ החזקה ואף בשיירות מצוייות א"צ למחות בפניו</w:t>
      </w:r>
      <w:bookmarkEnd w:id="3414"/>
      <w:bookmarkEnd w:id="3415"/>
      <w:bookmarkEnd w:id="3416"/>
      <w:bookmarkEnd w:id="3417"/>
      <w:bookmarkEnd w:id="3418"/>
      <w:bookmarkEnd w:id="3419"/>
    </w:p>
    <w:p w:rsidR="007A505A" w:rsidRPr="001D1883" w:rsidRDefault="007A505A" w:rsidP="007E4E81">
      <w:pPr>
        <w:pStyle w:val="a0"/>
        <w:rPr>
          <w:rtl/>
        </w:rPr>
      </w:pPr>
      <w:bookmarkStart w:id="3420" w:name="_Ref54546619"/>
      <w:r w:rsidRPr="001D1883">
        <w:rPr>
          <w:rFonts w:hint="cs"/>
          <w:rtl/>
        </w:rPr>
        <w:t xml:space="preserve">וכן הביא </w:t>
      </w:r>
      <w:r w:rsidRPr="001D1883">
        <w:rPr>
          <w:rStyle w:val="af9"/>
          <w:rFonts w:hint="cs"/>
          <w:rtl/>
        </w:rPr>
        <w:t>הרשב"א</w:t>
      </w:r>
      <w:r w:rsidRPr="001D1883">
        <w:rPr>
          <w:rFonts w:hint="cs"/>
          <w:rtl/>
        </w:rPr>
        <w:t xml:space="preserve"> </w:t>
      </w:r>
      <w:r w:rsidRPr="001D1883">
        <w:rPr>
          <w:rStyle w:val="af7"/>
          <w:rFonts w:eastAsia="Guttman Hodes" w:hint="cs"/>
          <w:rtl/>
        </w:rPr>
        <w:t>(ד"ה אלא)</w:t>
      </w:r>
      <w:r w:rsidRPr="001D1883">
        <w:rPr>
          <w:rFonts w:hint="cs"/>
          <w:rtl/>
        </w:rPr>
        <w:t xml:space="preserve"> בשם </w:t>
      </w:r>
      <w:r w:rsidRPr="001D1883">
        <w:rPr>
          <w:rStyle w:val="af9"/>
          <w:rFonts w:hint="cs"/>
          <w:rtl/>
        </w:rPr>
        <w:t>י"מ</w:t>
      </w:r>
      <w:r w:rsidRPr="001D1883">
        <w:rPr>
          <w:rFonts w:hint="cs"/>
          <w:rtl/>
        </w:rPr>
        <w:t xml:space="preserve"> דהחזקה היא מכח המחאה דעיקר החזקה היא מכח שהמערער לא מחה, ואי מחאה שלא בפניו לא מהני, א"כ אף חזקה שלא בפניו לא מהני, דיכול המערער לטעון למחזיק דהוא לא מחה כיון דלא מהני מחאה שלא בפניו, וא"כ חשיב דמקשה הגמ' דחזקה שלא בפניו לא הוי חזקה, וכתב </w:t>
      </w:r>
      <w:r w:rsidRPr="001D1883">
        <w:rPr>
          <w:rStyle w:val="af9"/>
          <w:rFonts w:hint="cs"/>
          <w:rtl/>
        </w:rPr>
        <w:t>הרשב"א</w:t>
      </w:r>
      <w:r w:rsidRPr="001D1883">
        <w:rPr>
          <w:rFonts w:hint="cs"/>
          <w:rtl/>
        </w:rPr>
        <w:t xml:space="preserve"> דלפי"ז צ"ל דאי מחאה שלא בפניו לא מהני, א"כ אין המערער צריך לבא ולמחות בפני המחזיק, אף כשיש שיירות מצויות, וכ"כ </w:t>
      </w:r>
      <w:r w:rsidRPr="001D1883">
        <w:rPr>
          <w:rStyle w:val="af9"/>
          <w:rFonts w:hint="cs"/>
          <w:rtl/>
        </w:rPr>
        <w:t>התוס' לקמן</w:t>
      </w:r>
      <w:r w:rsidRPr="001D1883">
        <w:rPr>
          <w:rFonts w:hint="cs"/>
          <w:rtl/>
        </w:rPr>
        <w:t xml:space="preserve"> </w:t>
      </w:r>
      <w:r w:rsidRPr="001D1883">
        <w:rPr>
          <w:rStyle w:val="af7"/>
          <w:rFonts w:eastAsia="Guttman Rashi" w:hint="cs"/>
          <w:rtl/>
        </w:rPr>
        <w:t xml:space="preserve">(עי' אות </w:t>
      </w:r>
      <w:r w:rsidRPr="001D1883">
        <w:rPr>
          <w:rStyle w:val="af7"/>
          <w:rFonts w:eastAsia="Guttman Rashi"/>
          <w:rtl/>
        </w:rPr>
        <w:fldChar w:fldCharType="begin"/>
      </w:r>
      <w:r w:rsidRPr="001D1883">
        <w:rPr>
          <w:rStyle w:val="af7"/>
          <w:rFonts w:eastAsia="Guttman Rashi"/>
          <w:rtl/>
        </w:rPr>
        <w:instrText xml:space="preserve"> </w:instrText>
      </w:r>
      <w:r w:rsidRPr="001D1883">
        <w:rPr>
          <w:rStyle w:val="af7"/>
          <w:rFonts w:eastAsia="Guttman Rashi" w:hint="cs"/>
        </w:rPr>
        <w:instrText>REF</w:instrText>
      </w:r>
      <w:r w:rsidRPr="001D1883">
        <w:rPr>
          <w:rStyle w:val="af7"/>
          <w:rFonts w:eastAsia="Guttman Rashi" w:hint="cs"/>
          <w:rtl/>
        </w:rPr>
        <w:instrText xml:space="preserve"> _</w:instrText>
      </w:r>
      <w:r w:rsidRPr="001D1883">
        <w:rPr>
          <w:rStyle w:val="af7"/>
          <w:rFonts w:eastAsia="Guttman Rashi" w:hint="cs"/>
        </w:rPr>
        <w:instrText>Ref55208036 \r \h</w:instrText>
      </w:r>
      <w:r w:rsidRPr="001D1883">
        <w:rPr>
          <w:rStyle w:val="af7"/>
          <w:rFonts w:eastAsia="Guttman Rashi"/>
          <w:rtl/>
        </w:rPr>
        <w:instrText xml:space="preserve">  \* </w:instrText>
      </w:r>
      <w:r w:rsidRPr="001D1883">
        <w:rPr>
          <w:rStyle w:val="af7"/>
          <w:rFonts w:eastAsia="Guttman Rashi"/>
        </w:rPr>
        <w:instrText>MERGEFORMAT</w:instrText>
      </w:r>
      <w:r w:rsidRPr="001D1883">
        <w:rPr>
          <w:rStyle w:val="af7"/>
          <w:rFonts w:eastAsia="Guttman Rashi"/>
          <w:rtl/>
        </w:rPr>
        <w:instrText xml:space="preserve"> </w:instrText>
      </w:r>
      <w:r w:rsidRPr="001D1883">
        <w:rPr>
          <w:rStyle w:val="af7"/>
          <w:rFonts w:eastAsia="Guttman Rashi"/>
          <w:rtl/>
        </w:rPr>
      </w:r>
      <w:r w:rsidRPr="001D1883">
        <w:rPr>
          <w:rStyle w:val="af7"/>
          <w:rFonts w:eastAsia="Guttman Rashi"/>
          <w:rtl/>
        </w:rPr>
        <w:fldChar w:fldCharType="separate"/>
      </w:r>
      <w:r w:rsidR="00265073">
        <w:rPr>
          <w:rStyle w:val="af7"/>
          <w:rFonts w:eastAsia="Guttman Rashi"/>
          <w:cs/>
        </w:rPr>
        <w:t>‎</w:t>
      </w:r>
      <w:r w:rsidR="00265073">
        <w:rPr>
          <w:rStyle w:val="af7"/>
          <w:rFonts w:eastAsia="Guttman Rashi"/>
          <w:rtl/>
        </w:rPr>
        <w:t>יח)</w:t>
      </w:r>
      <w:r w:rsidRPr="001D1883">
        <w:rPr>
          <w:rStyle w:val="af7"/>
          <w:rFonts w:eastAsia="Guttman Rashi"/>
          <w:rtl/>
        </w:rPr>
        <w:fldChar w:fldCharType="end"/>
      </w:r>
      <w:r w:rsidRPr="001D1883">
        <w:rPr>
          <w:rFonts w:hint="cs"/>
          <w:rtl/>
        </w:rPr>
        <w:t xml:space="preserve"> </w:t>
      </w:r>
      <w:r w:rsidRPr="001D1883">
        <w:rPr>
          <w:rStyle w:val="af9"/>
          <w:rFonts w:hint="cs"/>
          <w:rtl/>
        </w:rPr>
        <w:t>והתוס' הרא"ש</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Ref55332636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Pr>
        <w:t>0</w:t>
      </w:r>
      <w:r w:rsidRPr="001D1883">
        <w:rPr>
          <w:rStyle w:val="af7"/>
          <w:rFonts w:eastAsia="Guttman Hodes"/>
          <w:rtl/>
        </w:rPr>
        <w:fldChar w:fldCharType="end"/>
      </w:r>
      <w:r w:rsidRPr="001D1883">
        <w:rPr>
          <w:rFonts w:hint="cs"/>
          <w:rtl/>
        </w:rPr>
        <w:t>.</w:t>
      </w:r>
      <w:bookmarkEnd w:id="3420"/>
    </w:p>
    <w:p w:rsidR="007A505A" w:rsidRPr="001D1883" w:rsidRDefault="007A505A" w:rsidP="007A505A">
      <w:pPr>
        <w:pStyle w:val="a3"/>
        <w:rPr>
          <w:rtl/>
        </w:rPr>
      </w:pPr>
      <w:bookmarkStart w:id="3421" w:name="_Toc55325157"/>
      <w:bookmarkStart w:id="3422" w:name="_Toc55342079"/>
      <w:bookmarkStart w:id="3423" w:name="_Toc55342180"/>
      <w:bookmarkStart w:id="3424" w:name="_Toc55375264"/>
      <w:bookmarkStart w:id="3425" w:name="_Toc55386210"/>
      <w:bookmarkStart w:id="3426" w:name="_Toc55391130"/>
      <w:r w:rsidRPr="001D1883">
        <w:rPr>
          <w:rFonts w:hint="cs"/>
          <w:rtl/>
        </w:rPr>
        <w:t>קושית הרשב"א דמדברי אביי משמע דעדיף למחזיק שימחה שלא בפניו והא בכה"ג ל"ה חזקה</w:t>
      </w:r>
      <w:bookmarkEnd w:id="3421"/>
      <w:bookmarkEnd w:id="3422"/>
      <w:bookmarkEnd w:id="3423"/>
      <w:bookmarkEnd w:id="3424"/>
      <w:bookmarkEnd w:id="3425"/>
      <w:bookmarkEnd w:id="3426"/>
    </w:p>
    <w:p w:rsidR="007A505A" w:rsidRPr="001D1883" w:rsidRDefault="007A505A" w:rsidP="007E4E81">
      <w:pPr>
        <w:pStyle w:val="a0"/>
        <w:rPr>
          <w:rtl/>
        </w:rPr>
      </w:pPr>
      <w:r w:rsidRPr="001D1883">
        <w:rPr>
          <w:rFonts w:hint="cs"/>
          <w:rtl/>
        </w:rPr>
        <w:t xml:space="preserve">אך הקשה </w:t>
      </w:r>
      <w:r w:rsidRPr="001D1883">
        <w:rPr>
          <w:rStyle w:val="af9"/>
          <w:rFonts w:hint="cs"/>
          <w:rtl/>
        </w:rPr>
        <w:t xml:space="preserve">הרשב"א </w:t>
      </w:r>
      <w:r w:rsidRPr="001D1883">
        <w:rPr>
          <w:rFonts w:hint="cs"/>
          <w:rtl/>
        </w:rPr>
        <w:t xml:space="preserve">דא"כ מה הקשה אביי לקמן </w:t>
      </w:r>
      <w:r w:rsidRPr="001D1883">
        <w:rPr>
          <w:rStyle w:val="af7"/>
          <w:rFonts w:eastAsia="Guttman Hodes" w:hint="cs"/>
          <w:rtl/>
        </w:rPr>
        <w:t>(כט.)</w:t>
      </w:r>
      <w:r w:rsidRPr="001D1883">
        <w:rPr>
          <w:rFonts w:hint="cs"/>
          <w:rtl/>
        </w:rPr>
        <w:t xml:space="preserve"> על דברי רבא דאמר דאחר ג"ש אין אדם נזהר בשטרו, דא"כ לא תועיל מחאה שלא בפניו, דיאמר לו שאם היה מוחה בפניו היה נזהר בשטרו, ומשמע דעדיף למחזיק דמחאה שלא בפניו לא מהני, ואילו לדברי </w:t>
      </w:r>
      <w:r w:rsidRPr="001D1883">
        <w:rPr>
          <w:rStyle w:val="af9"/>
          <w:rFonts w:hint="cs"/>
          <w:rtl/>
        </w:rPr>
        <w:t xml:space="preserve">הי"מ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Ref54546619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1D1883">
        <w:rPr>
          <w:rStyle w:val="af7"/>
          <w:rFonts w:eastAsia="Guttman Hodes"/>
          <w:rtl/>
        </w:rPr>
        <w:fldChar w:fldCharType="end"/>
      </w:r>
      <w:r w:rsidRPr="001D1883">
        <w:rPr>
          <w:rFonts w:hint="cs"/>
          <w:rtl/>
        </w:rPr>
        <w:t xml:space="preserve"> אדרבה ניחא ליה למחזיק דמחאה שלא בפניו תועיל, דרק במקום דמהני המחאה הוי חזקה.</w:t>
      </w:r>
    </w:p>
    <w:p w:rsidR="007A505A" w:rsidRPr="001D1883" w:rsidRDefault="007A505A" w:rsidP="007A505A">
      <w:pPr>
        <w:pStyle w:val="a3"/>
        <w:rPr>
          <w:rtl/>
        </w:rPr>
      </w:pPr>
      <w:bookmarkStart w:id="3427" w:name="_Toc55325158"/>
      <w:bookmarkStart w:id="3428" w:name="_Toc55342080"/>
      <w:bookmarkStart w:id="3429" w:name="_Toc55342181"/>
      <w:bookmarkStart w:id="3430" w:name="_Toc55375265"/>
      <w:bookmarkStart w:id="3431" w:name="_Toc55386211"/>
      <w:bookmarkStart w:id="3432" w:name="_Toc55391131"/>
      <w:r w:rsidRPr="001D1883">
        <w:rPr>
          <w:rFonts w:hint="cs"/>
          <w:rtl/>
        </w:rPr>
        <w:t>תירוץ הרשב"א דכוונת אביי להקשות דיצטרך המערער לבא ולמחות לפני המחזיק</w:t>
      </w:r>
      <w:bookmarkEnd w:id="3427"/>
      <w:bookmarkEnd w:id="3428"/>
      <w:bookmarkEnd w:id="3429"/>
      <w:bookmarkEnd w:id="3430"/>
      <w:bookmarkEnd w:id="3431"/>
      <w:bookmarkEnd w:id="3432"/>
    </w:p>
    <w:p w:rsidR="007A505A" w:rsidRPr="001D1883" w:rsidRDefault="007A505A" w:rsidP="007E4E81">
      <w:pPr>
        <w:pStyle w:val="a0"/>
        <w:rPr>
          <w:rtl/>
        </w:rPr>
      </w:pPr>
      <w:r w:rsidRPr="001D1883">
        <w:rPr>
          <w:rFonts w:hint="cs"/>
          <w:rtl/>
        </w:rPr>
        <w:t xml:space="preserve">ותירץ </w:t>
      </w:r>
      <w:r w:rsidRPr="001D1883">
        <w:rPr>
          <w:rStyle w:val="af9"/>
          <w:rFonts w:hint="cs"/>
          <w:rtl/>
        </w:rPr>
        <w:t xml:space="preserve">הרשב"א </w:t>
      </w:r>
      <w:r w:rsidRPr="001D1883">
        <w:rPr>
          <w:rFonts w:hint="cs"/>
          <w:rtl/>
        </w:rPr>
        <w:t>דכוונת אביי להקשות דמחאה שלא בפניו לא תהיה מחאה, ויצטרך המערער לבא ולמחות לפני המחזיק.</w:t>
      </w:r>
    </w:p>
    <w:p w:rsidR="007A505A" w:rsidRPr="001D1883" w:rsidRDefault="007A505A" w:rsidP="007A505A">
      <w:pPr>
        <w:pStyle w:val="1"/>
        <w:rPr>
          <w:rtl/>
        </w:rPr>
      </w:pPr>
      <w:bookmarkStart w:id="3433" w:name="_Toc55246095"/>
      <w:bookmarkStart w:id="3434" w:name="_Toc55325163"/>
      <w:bookmarkStart w:id="3435" w:name="_Toc55342090"/>
      <w:bookmarkStart w:id="3436" w:name="_Toc55342191"/>
      <w:bookmarkStart w:id="3437" w:name="_Toc55375282"/>
      <w:bookmarkStart w:id="3438" w:name="_Toc55386212"/>
      <w:bookmarkStart w:id="3439" w:name="_Toc55391132"/>
      <w:bookmarkStart w:id="3440" w:name="_Toc55325159"/>
      <w:bookmarkStart w:id="3441" w:name="_Toc55342081"/>
      <w:bookmarkStart w:id="3442" w:name="_Toc55342182"/>
      <w:bookmarkStart w:id="3443" w:name="_Toc55375266"/>
      <w:r>
        <w:rPr>
          <w:rFonts w:hint="cs"/>
          <w:rtl/>
        </w:rPr>
        <w:t>קושיות ה</w:t>
      </w:r>
      <w:r w:rsidRPr="001D1883">
        <w:rPr>
          <w:rFonts w:hint="cs"/>
          <w:rtl/>
        </w:rPr>
        <w:t>רמב"ן במלחמות</w:t>
      </w:r>
      <w:bookmarkEnd w:id="3433"/>
      <w:bookmarkEnd w:id="3434"/>
      <w:bookmarkEnd w:id="3435"/>
      <w:bookmarkEnd w:id="3436"/>
      <w:bookmarkEnd w:id="3437"/>
      <w:r w:rsidRPr="001D1883">
        <w:rPr>
          <w:rFonts w:hint="cs"/>
          <w:rtl/>
        </w:rPr>
        <w:t xml:space="preserve"> </w:t>
      </w:r>
      <w:r>
        <w:rPr>
          <w:rFonts w:hint="cs"/>
          <w:rtl/>
        </w:rPr>
        <w:t>על תירוץ הבעה"מ</w:t>
      </w:r>
      <w:bookmarkEnd w:id="3438"/>
      <w:bookmarkEnd w:id="3439"/>
    </w:p>
    <w:p w:rsidR="007A505A" w:rsidRPr="001D1883" w:rsidRDefault="007A505A" w:rsidP="007A505A">
      <w:pPr>
        <w:pStyle w:val="a3"/>
        <w:rPr>
          <w:rtl/>
        </w:rPr>
      </w:pPr>
      <w:bookmarkStart w:id="3444" w:name="_Toc55375283"/>
      <w:bookmarkStart w:id="3445" w:name="_Toc55386213"/>
      <w:bookmarkStart w:id="3446" w:name="_Toc55391133"/>
      <w:r>
        <w:rPr>
          <w:rFonts w:hint="cs"/>
          <w:rtl/>
        </w:rPr>
        <w:t>קושית הרמב"ן על הבעה"מ דבגמ' לקמן מוכח דאף דמחאה לא מהני מ"מ החזקה מהני</w:t>
      </w:r>
      <w:bookmarkEnd w:id="3444"/>
      <w:bookmarkEnd w:id="3445"/>
      <w:bookmarkEnd w:id="3446"/>
    </w:p>
    <w:p w:rsidR="007A505A" w:rsidRPr="001D1883" w:rsidRDefault="007A505A" w:rsidP="007E4E81">
      <w:pPr>
        <w:pStyle w:val="a0"/>
      </w:pPr>
      <w:bookmarkStart w:id="3447" w:name="_Ref55370754"/>
      <w:r w:rsidRPr="001D1883">
        <w:rPr>
          <w:rFonts w:hint="cs"/>
          <w:rtl/>
        </w:rPr>
        <w:t xml:space="preserve">במ"ש </w:t>
      </w:r>
      <w:r w:rsidRPr="001D1883">
        <w:rPr>
          <w:rStyle w:val="af9"/>
          <w:rFonts w:hint="cs"/>
          <w:rtl/>
        </w:rPr>
        <w:t>הבעה"מ</w:t>
      </w:r>
      <w:r w:rsidRPr="001D1883">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Ref55334557 \r \h</w:instrText>
      </w:r>
      <w:r>
        <w:rPr>
          <w:rStyle w:val="af7"/>
          <w:rFonts w:eastAsia="Guttman Hodes" w:hint="cs"/>
          <w:rtl/>
        </w:rPr>
        <w:instrText xml:space="preserve">  \* </w:instrText>
      </w:r>
      <w:r>
        <w:rPr>
          <w:rStyle w:val="af7"/>
          <w:rFonts w:eastAsia="Guttman Hodes"/>
        </w:rPr>
        <w:instrText>MERGEFORMAT</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לד</w:t>
      </w:r>
      <w:r w:rsidR="00265073">
        <w:rPr>
          <w:rStyle w:val="af7"/>
          <w:rFonts w:eastAsia="Guttman Hodes"/>
          <w:rtl/>
        </w:rPr>
        <w:t>)</w:t>
      </w:r>
      <w:r>
        <w:rPr>
          <w:rStyle w:val="af7"/>
          <w:rFonts w:eastAsia="Guttman Hodes" w:hint="cs"/>
          <w:rtl/>
        </w:rPr>
        <w:fldChar w:fldCharType="end"/>
      </w:r>
      <w:r>
        <w:rPr>
          <w:rStyle w:val="af7"/>
          <w:rFonts w:eastAsia="Guttman Hodes" w:hint="cs"/>
          <w:rtl/>
        </w:rPr>
        <w:t xml:space="preserve"> </w:t>
      </w:r>
      <w:r w:rsidRPr="001D1883">
        <w:rPr>
          <w:rFonts w:hint="cs"/>
          <w:rtl/>
        </w:rPr>
        <w:t xml:space="preserve">דמבואר בגמ' לקמן דהא דמהני החזקה הוא מחמת המחאה, דחה </w:t>
      </w:r>
      <w:r w:rsidRPr="001D1883">
        <w:rPr>
          <w:rStyle w:val="af9"/>
          <w:rFonts w:hint="cs"/>
          <w:rtl/>
        </w:rPr>
        <w:t>הרמב"ן במלחמות</w:t>
      </w:r>
      <w:r w:rsidRPr="001D1883">
        <w:rPr>
          <w:rFonts w:hint="cs"/>
          <w:rtl/>
        </w:rPr>
        <w:t xml:space="preserve"> </w:t>
      </w:r>
      <w:r w:rsidRPr="001D1883">
        <w:rPr>
          <w:rStyle w:val="af7"/>
          <w:rFonts w:eastAsia="Guttman Hodes" w:hint="cs"/>
          <w:rtl/>
        </w:rPr>
        <w:t>(יד. מדה"ר ד"ה אני רואה)</w:t>
      </w:r>
      <w:r w:rsidRPr="001D1883">
        <w:rPr>
          <w:rFonts w:hint="cs"/>
          <w:rtl/>
        </w:rPr>
        <w:t xml:space="preserve"> דאדרבה בגמ' לקמן מוכח ההיפך מדברי </w:t>
      </w:r>
      <w:r w:rsidRPr="001D1883">
        <w:rPr>
          <w:rStyle w:val="af9"/>
          <w:rFonts w:hint="cs"/>
          <w:rtl/>
        </w:rPr>
        <w:t>הבעה"מ</w:t>
      </w:r>
      <w:r w:rsidRPr="001D1883">
        <w:rPr>
          <w:rFonts w:hint="cs"/>
          <w:rtl/>
        </w:rPr>
        <w:t xml:space="preserve">, </w:t>
      </w:r>
      <w:r>
        <w:rPr>
          <w:rFonts w:hint="cs"/>
          <w:rtl/>
        </w:rPr>
        <w:t xml:space="preserve">דאף דהמחאה לא מהני מ"מ החזקה מהני, ומוכח דהחזקה אינה מחמת תלויה במחאה, </w:t>
      </w:r>
      <w:r w:rsidRPr="001D1883">
        <w:rPr>
          <w:rFonts w:hint="cs"/>
          <w:rtl/>
        </w:rPr>
        <w:t xml:space="preserve">דהא רבא בגמ' לקמן </w:t>
      </w:r>
      <w:r w:rsidRPr="001D1883">
        <w:rPr>
          <w:rStyle w:val="af7"/>
          <w:rFonts w:eastAsia="Guttman Hodes" w:hint="cs"/>
          <w:rtl/>
        </w:rPr>
        <w:t>(לט.)</w:t>
      </w:r>
      <w:r w:rsidRPr="001D1883">
        <w:rPr>
          <w:rFonts w:hint="cs"/>
          <w:rtl/>
        </w:rPr>
        <w:t xml:space="preserve"> דס"ל דחזקה שלא בפניו הוי חזקה, ואילו מחאה שלא בפניו לא מהני, </w:t>
      </w:r>
      <w:r w:rsidRPr="001D1883">
        <w:rPr>
          <w:rStyle w:val="afb"/>
          <w:rFonts w:hint="cs"/>
          <w:rtl/>
        </w:rPr>
        <w:t>[ועיי"ש</w:t>
      </w:r>
      <w:r w:rsidR="00A77F33">
        <w:rPr>
          <w:rStyle w:val="afb"/>
          <w:rFonts w:hint="cs"/>
          <w:rtl/>
        </w:rPr>
        <w:t xml:space="preserve"> </w:t>
      </w:r>
      <w:r w:rsidRPr="001D1883">
        <w:rPr>
          <w:rStyle w:val="afb"/>
          <w:rFonts w:hint="cs"/>
          <w:rtl/>
        </w:rPr>
        <w:t xml:space="preserve">במה שביאר </w:t>
      </w:r>
      <w:r w:rsidRPr="001D1883">
        <w:rPr>
          <w:rStyle w:val="affa"/>
          <w:rFonts w:hint="cs"/>
          <w:rtl/>
        </w:rPr>
        <w:t>הרמב"ן</w:t>
      </w:r>
      <w:r w:rsidRPr="001D1883">
        <w:rPr>
          <w:rStyle w:val="afb"/>
          <w:rFonts w:hint="cs"/>
          <w:rtl/>
        </w:rPr>
        <w:t xml:space="preserve"> דכן מוכח מדברי רבא],</w:t>
      </w:r>
      <w:r w:rsidRPr="001D1883">
        <w:rPr>
          <w:rFonts w:hint="cs"/>
          <w:rtl/>
        </w:rPr>
        <w:t xml:space="preserve"> וכתב </w:t>
      </w:r>
      <w:r w:rsidRPr="001D1883">
        <w:rPr>
          <w:rStyle w:val="af9"/>
          <w:rFonts w:hint="cs"/>
          <w:rtl/>
        </w:rPr>
        <w:t>הרמב"ן</w:t>
      </w:r>
      <w:r w:rsidRPr="001D1883">
        <w:rPr>
          <w:rFonts w:hint="cs"/>
          <w:rtl/>
        </w:rPr>
        <w:t xml:space="preserve"> דא"כ עדיין קשה קושית </w:t>
      </w:r>
      <w:r w:rsidRPr="001D1883">
        <w:rPr>
          <w:rStyle w:val="af9"/>
          <w:rFonts w:hint="cs"/>
          <w:rtl/>
        </w:rPr>
        <w:t>הבעה"מ</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Ref55334557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1D1883">
        <w:rPr>
          <w:rStyle w:val="af7"/>
          <w:rFonts w:eastAsia="Guttman Hodes"/>
          <w:rtl/>
        </w:rPr>
        <w:fldChar w:fldCharType="end"/>
      </w:r>
      <w:r w:rsidRPr="001D1883">
        <w:rPr>
          <w:rStyle w:val="af7"/>
          <w:rFonts w:eastAsia="Guttman Hodes" w:hint="cs"/>
          <w:rtl/>
        </w:rPr>
        <w:t xml:space="preserve"> </w:t>
      </w:r>
      <w:r>
        <w:rPr>
          <w:rFonts w:hint="cs"/>
          <w:rtl/>
        </w:rPr>
        <w:t>ד</w:t>
      </w:r>
      <w:r w:rsidRPr="001D1883">
        <w:rPr>
          <w:rFonts w:hint="cs"/>
          <w:rtl/>
        </w:rPr>
        <w:t>אמאי לא מקשה הגמ' בסוגיין דלא תועיל חזקה שלא בפניו.</w:t>
      </w:r>
      <w:bookmarkEnd w:id="3447"/>
    </w:p>
    <w:p w:rsidR="007A505A" w:rsidRPr="001D1883" w:rsidRDefault="007A505A" w:rsidP="007A505A">
      <w:pPr>
        <w:pStyle w:val="a3"/>
      </w:pPr>
      <w:bookmarkStart w:id="3448" w:name="_Toc55375284"/>
      <w:bookmarkStart w:id="3449" w:name="_Toc55386214"/>
      <w:bookmarkStart w:id="3450" w:name="_Toc55391134"/>
      <w:r>
        <w:rPr>
          <w:rFonts w:hint="cs"/>
          <w:rtl/>
        </w:rPr>
        <w:t>קושית הרמב"ן על הבעה"מ</w:t>
      </w:r>
      <w:bookmarkEnd w:id="3448"/>
      <w:r>
        <w:rPr>
          <w:rFonts w:hint="cs"/>
          <w:rtl/>
        </w:rPr>
        <w:t xml:space="preserve"> דאף דעיקר החזקה מחמת המחאה מ"מ העדאה לא דמי למחאה</w:t>
      </w:r>
      <w:bookmarkEnd w:id="3449"/>
      <w:bookmarkEnd w:id="3450"/>
    </w:p>
    <w:p w:rsidR="007A505A" w:rsidRPr="00015CE3" w:rsidRDefault="007A505A" w:rsidP="007E4E81">
      <w:pPr>
        <w:pStyle w:val="a0"/>
        <w:rPr>
          <w:sz w:val="10"/>
          <w:szCs w:val="14"/>
        </w:rPr>
      </w:pPr>
      <w:bookmarkStart w:id="3451" w:name="_Ref55370987"/>
      <w:r w:rsidRPr="001D1883">
        <w:rPr>
          <w:rFonts w:hint="cs"/>
          <w:rtl/>
        </w:rPr>
        <w:t xml:space="preserve">והוסיף </w:t>
      </w:r>
      <w:r w:rsidRPr="001D1883">
        <w:rPr>
          <w:rStyle w:val="af9"/>
          <w:rFonts w:hint="cs"/>
          <w:rtl/>
        </w:rPr>
        <w:t>הרמב"ן</w:t>
      </w:r>
      <w:r w:rsidRPr="001D1883">
        <w:rPr>
          <w:rFonts w:hint="cs"/>
          <w:rtl/>
        </w:rPr>
        <w:t xml:space="preserve"> דאף על מה שתירץ </w:t>
      </w:r>
      <w:r w:rsidRPr="001D1883">
        <w:rPr>
          <w:rStyle w:val="af9"/>
          <w:rFonts w:hint="cs"/>
          <w:rtl/>
        </w:rPr>
        <w:t>הבעה"מ</w:t>
      </w:r>
      <w:r w:rsidRPr="001D1883">
        <w:rPr>
          <w:rFonts w:hint="cs"/>
          <w:rtl/>
        </w:rPr>
        <w:t xml:space="preserve"> יש להקשות, דאף שעיקר טעם החזקה היא מחמת המחאה, מ"מ כיון שהחזקה היא דומה </w:t>
      </w:r>
      <w:r>
        <w:rPr>
          <w:rFonts w:hint="cs"/>
          <w:rtl/>
        </w:rPr>
        <w:t>ל</w:t>
      </w:r>
      <w:r w:rsidRPr="001D1883">
        <w:rPr>
          <w:rFonts w:hint="cs"/>
          <w:rtl/>
        </w:rPr>
        <w:t>שור המועד,</w:t>
      </w:r>
      <w:r>
        <w:rPr>
          <w:rFonts w:hint="cs"/>
          <w:rtl/>
        </w:rPr>
        <w:t xml:space="preserve"> </w:t>
      </w:r>
      <w:r w:rsidRPr="00015CE3">
        <w:rPr>
          <w:rStyle w:val="afb"/>
          <w:rFonts w:hint="cs"/>
          <w:rtl/>
        </w:rPr>
        <w:t>[דהחזקה מוציאה מהמרא קמא למחזיק, וכן בשור יוצא מחזקת תם לחזקת מועד],</w:t>
      </w:r>
      <w:r w:rsidRPr="001D1883">
        <w:rPr>
          <w:rFonts w:hint="cs"/>
          <w:rtl/>
        </w:rPr>
        <w:t xml:space="preserve"> א"כ היה לגמ' להקשות על החזקה, ולא להקשות על המחאה שאינה דומה לשור המועד,</w:t>
      </w:r>
      <w:r>
        <w:rPr>
          <w:rFonts w:hint="cs"/>
          <w:rtl/>
        </w:rPr>
        <w:t xml:space="preserve"> </w:t>
      </w:r>
      <w:r w:rsidRPr="00015CE3">
        <w:rPr>
          <w:rStyle w:val="afb"/>
          <w:rFonts w:hint="cs"/>
          <w:rtl/>
        </w:rPr>
        <w:t>[דהיא מבטלת את החזקה, ואילו בהעדאה הוא מוחזק כמועד],</w:t>
      </w:r>
      <w:r w:rsidRPr="001D1883">
        <w:rPr>
          <w:rFonts w:hint="cs"/>
          <w:rtl/>
        </w:rPr>
        <w:t xml:space="preserve"> דאפש"ל דמחאה שלא בפניו </w:t>
      </w:r>
      <w:r w:rsidRPr="001D1883">
        <w:rPr>
          <w:rFonts w:hint="cs"/>
          <w:rtl/>
        </w:rPr>
        <w:lastRenderedPageBreak/>
        <w:t>מהני כיון שאינה דומה לשור המועד, וא"כ אף חזקה שלא בפניו הוי חזקה</w:t>
      </w:r>
      <w:r>
        <w:rPr>
          <w:rFonts w:hint="cs"/>
          <w:rtl/>
        </w:rPr>
        <w:t>.</w:t>
      </w:r>
      <w:r w:rsidRPr="001D1883">
        <w:rPr>
          <w:rFonts w:hint="cs"/>
          <w:rtl/>
        </w:rPr>
        <w:t xml:space="preserve"> </w:t>
      </w:r>
      <w:r w:rsidRPr="001D1883">
        <w:rPr>
          <w:rStyle w:val="afb"/>
          <w:rFonts w:hint="cs"/>
          <w:rtl/>
        </w:rPr>
        <w:t xml:space="preserve">[כדביאר </w:t>
      </w:r>
      <w:r w:rsidRPr="001D1883">
        <w:rPr>
          <w:rStyle w:val="affa"/>
          <w:rFonts w:hint="cs"/>
          <w:rtl/>
        </w:rPr>
        <w:t>הבעה"מ</w:t>
      </w:r>
      <w:r w:rsidRPr="00EE6986">
        <w:rPr>
          <w:rStyle w:val="aff6"/>
          <w:rFonts w:hint="cs"/>
          <w:rtl/>
        </w:rPr>
        <w:t xml:space="preserve"> (עי' אות </w:t>
      </w:r>
      <w:r w:rsidRPr="00EE6986">
        <w:rPr>
          <w:rStyle w:val="aff6"/>
          <w:rtl/>
        </w:rPr>
        <w:fldChar w:fldCharType="begin"/>
      </w:r>
      <w:r w:rsidRPr="00EE6986">
        <w:rPr>
          <w:rStyle w:val="aff6"/>
          <w:rtl/>
        </w:rPr>
        <w:instrText xml:space="preserve"> </w:instrText>
      </w:r>
      <w:r w:rsidRPr="00EE6986">
        <w:rPr>
          <w:rStyle w:val="aff6"/>
          <w:rFonts w:hint="cs"/>
        </w:rPr>
        <w:instrText>REF</w:instrText>
      </w:r>
      <w:r w:rsidRPr="00EE6986">
        <w:rPr>
          <w:rStyle w:val="aff6"/>
          <w:rFonts w:hint="cs"/>
          <w:rtl/>
        </w:rPr>
        <w:instrText xml:space="preserve"> _</w:instrText>
      </w:r>
      <w:r w:rsidRPr="00EE6986">
        <w:rPr>
          <w:rStyle w:val="aff6"/>
          <w:rFonts w:hint="cs"/>
        </w:rPr>
        <w:instrText>Ref55334557 \r \h</w:instrText>
      </w:r>
      <w:r w:rsidRPr="00EE6986">
        <w:rPr>
          <w:rStyle w:val="aff6"/>
          <w:rtl/>
        </w:rPr>
        <w:instrText xml:space="preserve">  \* </w:instrText>
      </w:r>
      <w:r w:rsidRPr="00EE6986">
        <w:rPr>
          <w:rStyle w:val="aff6"/>
        </w:rPr>
        <w:instrText>MERGEFORMAT</w:instrText>
      </w:r>
      <w:r w:rsidRPr="00EE6986">
        <w:rPr>
          <w:rStyle w:val="aff6"/>
          <w:rtl/>
        </w:rPr>
        <w:instrText xml:space="preserve"> </w:instrText>
      </w:r>
      <w:r w:rsidRPr="00EE6986">
        <w:rPr>
          <w:rStyle w:val="aff6"/>
          <w:rtl/>
        </w:rPr>
      </w:r>
      <w:r w:rsidRPr="00EE6986">
        <w:rPr>
          <w:rStyle w:val="aff6"/>
          <w:rtl/>
        </w:rPr>
        <w:fldChar w:fldCharType="separate"/>
      </w:r>
      <w:r w:rsidR="00265073">
        <w:rPr>
          <w:rStyle w:val="aff6"/>
          <w:cs/>
        </w:rPr>
        <w:t>‎</w:t>
      </w:r>
      <w:r w:rsidR="00265073">
        <w:rPr>
          <w:rStyle w:val="aff6"/>
          <w:rtl/>
        </w:rPr>
        <w:t>לד)</w:t>
      </w:r>
      <w:r w:rsidRPr="00EE6986">
        <w:rPr>
          <w:rStyle w:val="aff6"/>
          <w:rtl/>
        </w:rPr>
        <w:fldChar w:fldCharType="end"/>
      </w:r>
      <w:r w:rsidRPr="00EE6986">
        <w:rPr>
          <w:rStyle w:val="aff6"/>
          <w:rFonts w:hint="cs"/>
          <w:rtl/>
        </w:rPr>
        <w:t xml:space="preserve"> </w:t>
      </w:r>
      <w:r w:rsidRPr="001D1883">
        <w:rPr>
          <w:rStyle w:val="afb"/>
          <w:rFonts w:hint="cs"/>
          <w:rtl/>
        </w:rPr>
        <w:t>דעיקר הטעם דחזקה הוא מחמת המחאה]</w:t>
      </w:r>
      <w:r>
        <w:rPr>
          <w:rStyle w:val="afb"/>
          <w:rFonts w:hint="cs"/>
          <w:rtl/>
        </w:rPr>
        <w:t>.</w:t>
      </w:r>
      <w:r w:rsidRPr="009F2EB3">
        <w:rPr>
          <w:rFonts w:hint="cs"/>
          <w:rtl/>
        </w:rPr>
        <w:t xml:space="preserve"> </w:t>
      </w:r>
    </w:p>
    <w:p w:rsidR="007A505A" w:rsidRPr="001D1883" w:rsidRDefault="007A505A" w:rsidP="007A505A">
      <w:pPr>
        <w:pStyle w:val="afe"/>
        <w:rPr>
          <w:rtl/>
        </w:rPr>
      </w:pPr>
      <w:bookmarkStart w:id="3452" w:name="_Toc55386215"/>
      <w:bookmarkStart w:id="3453" w:name="_Toc55391135"/>
      <w:bookmarkEnd w:id="3451"/>
      <w:r w:rsidRPr="001D1883">
        <w:rPr>
          <w:rFonts w:hint="cs"/>
          <w:rtl/>
        </w:rPr>
        <w:t>ביאור רש"י דמחאה דמיא להעדאה</w:t>
      </w:r>
      <w:bookmarkEnd w:id="3440"/>
      <w:bookmarkEnd w:id="3441"/>
      <w:bookmarkEnd w:id="3442"/>
      <w:bookmarkEnd w:id="3443"/>
      <w:bookmarkEnd w:id="3452"/>
      <w:bookmarkEnd w:id="3453"/>
    </w:p>
    <w:p w:rsidR="007A505A" w:rsidRPr="001D1883" w:rsidRDefault="007A505A" w:rsidP="007A505A">
      <w:pPr>
        <w:pStyle w:val="1"/>
        <w:rPr>
          <w:rtl/>
        </w:rPr>
      </w:pPr>
      <w:bookmarkStart w:id="3454" w:name="_Toc54555969"/>
      <w:bookmarkStart w:id="3455" w:name="_Toc54603740"/>
      <w:bookmarkStart w:id="3456" w:name="_Toc54642634"/>
      <w:bookmarkStart w:id="3457" w:name="_Toc55127835"/>
      <w:bookmarkStart w:id="3458" w:name="_Toc55246088"/>
      <w:bookmarkStart w:id="3459" w:name="_Toc55325160"/>
      <w:bookmarkStart w:id="3460" w:name="_Toc55342082"/>
      <w:bookmarkStart w:id="3461" w:name="_Toc55342183"/>
      <w:bookmarkStart w:id="3462" w:name="_Toc55375267"/>
      <w:bookmarkStart w:id="3463" w:name="_Toc55386216"/>
      <w:bookmarkStart w:id="3464" w:name="_Toc55391136"/>
      <w:bookmarkStart w:id="3465" w:name="_Toc54642640"/>
      <w:bookmarkStart w:id="3466" w:name="_Toc55127841"/>
      <w:bookmarkStart w:id="3467" w:name="_Toc55246091"/>
      <w:r w:rsidRPr="001D1883">
        <w:rPr>
          <w:rFonts w:hint="cs"/>
          <w:rtl/>
        </w:rPr>
        <w:t xml:space="preserve">ביאור </w:t>
      </w:r>
      <w:bookmarkEnd w:id="3454"/>
      <w:bookmarkEnd w:id="3455"/>
      <w:r w:rsidRPr="001D1883">
        <w:rPr>
          <w:rFonts w:hint="cs"/>
          <w:rtl/>
        </w:rPr>
        <w:t>הרשב"א והריטב"א</w:t>
      </w:r>
      <w:bookmarkEnd w:id="3456"/>
      <w:bookmarkEnd w:id="3457"/>
      <w:bookmarkEnd w:id="3458"/>
      <w:bookmarkEnd w:id="3459"/>
      <w:bookmarkEnd w:id="3460"/>
      <w:bookmarkEnd w:id="3461"/>
      <w:r>
        <w:rPr>
          <w:rFonts w:hint="cs"/>
          <w:rtl/>
        </w:rPr>
        <w:t xml:space="preserve"> דרש"י תירץ דמחאה דמי להעדאה</w:t>
      </w:r>
      <w:bookmarkEnd w:id="3462"/>
      <w:bookmarkEnd w:id="3463"/>
      <w:bookmarkEnd w:id="3464"/>
    </w:p>
    <w:p w:rsidR="007A505A" w:rsidRPr="001D1883" w:rsidRDefault="007A505A" w:rsidP="007A505A">
      <w:pPr>
        <w:pStyle w:val="a3"/>
        <w:rPr>
          <w:rtl/>
        </w:rPr>
      </w:pPr>
      <w:bookmarkStart w:id="3468" w:name="_Toc55375268"/>
      <w:bookmarkStart w:id="3469" w:name="_Toc55386217"/>
      <w:bookmarkStart w:id="3470" w:name="_Toc55391137"/>
      <w:r>
        <w:rPr>
          <w:rFonts w:hint="cs"/>
          <w:rtl/>
        </w:rPr>
        <w:t>ביאור הרשב"א והריטב"א דרש"י תירץ דהגמ' מקשה ממחאה דהיא התראה ודמי להעדאה</w:t>
      </w:r>
      <w:bookmarkEnd w:id="3468"/>
      <w:bookmarkEnd w:id="3469"/>
      <w:bookmarkEnd w:id="3470"/>
    </w:p>
    <w:p w:rsidR="007A505A" w:rsidRPr="001D1883" w:rsidRDefault="007A505A" w:rsidP="007E4E81">
      <w:pPr>
        <w:pStyle w:val="a0"/>
        <w:rPr>
          <w:rtl/>
        </w:rPr>
      </w:pPr>
      <w:bookmarkStart w:id="3471" w:name="_Ref54627826"/>
      <w:r w:rsidRPr="001D1883">
        <w:rPr>
          <w:rFonts w:hint="cs"/>
          <w:rtl/>
        </w:rPr>
        <w:t xml:space="preserve">כתבו </w:t>
      </w:r>
      <w:r w:rsidRPr="001D1883">
        <w:rPr>
          <w:rStyle w:val="af9"/>
          <w:rFonts w:hint="cs"/>
          <w:rtl/>
        </w:rPr>
        <w:t>הרשב"א</w:t>
      </w:r>
      <w:r w:rsidRPr="001D1883">
        <w:rPr>
          <w:rStyle w:val="af7"/>
          <w:rFonts w:eastAsia="Guttman Hodes" w:hint="cs"/>
          <w:rtl/>
        </w:rPr>
        <w:t xml:space="preserve"> (ד"ה אלא) </w:t>
      </w:r>
      <w:r w:rsidRPr="001D1883">
        <w:rPr>
          <w:rStyle w:val="af9"/>
          <w:rFonts w:hint="cs"/>
          <w:rtl/>
        </w:rPr>
        <w:t>והריטב"א</w:t>
      </w:r>
      <w:r w:rsidRPr="001D1883">
        <w:rPr>
          <w:rStyle w:val="af7"/>
          <w:rFonts w:eastAsia="Guttman Hodes" w:hint="cs"/>
          <w:rtl/>
        </w:rPr>
        <w:t xml:space="preserve"> (ד"ה אלא) </w:t>
      </w:r>
      <w:r w:rsidRPr="001D1883">
        <w:rPr>
          <w:rFonts w:hint="cs"/>
          <w:rtl/>
        </w:rPr>
        <w:t>ד</w:t>
      </w:r>
      <w:r>
        <w:rPr>
          <w:rFonts w:hint="cs"/>
          <w:rtl/>
        </w:rPr>
        <w:t xml:space="preserve">הוקשה </w:t>
      </w:r>
      <w:r w:rsidRPr="00EA452C">
        <w:rPr>
          <w:rStyle w:val="af9"/>
          <w:rFonts w:hint="cs"/>
          <w:rtl/>
        </w:rPr>
        <w:t>לרש"י</w:t>
      </w:r>
      <w:r>
        <w:rPr>
          <w:rFonts w:hint="cs"/>
          <w:rtl/>
        </w:rPr>
        <w:t xml:space="preserve"> </w:t>
      </w:r>
      <w:r w:rsidRPr="001D1883">
        <w:rPr>
          <w:rFonts w:hint="cs"/>
          <w:rtl/>
        </w:rPr>
        <w:t>דאמאי לא מקשה הגמ' דחזקה שלא בפניו לא תהיה חזקה</w:t>
      </w:r>
      <w:r>
        <w:rPr>
          <w:rFonts w:hint="cs"/>
          <w:rtl/>
        </w:rPr>
        <w:t>,</w:t>
      </w:r>
      <w:r w:rsidRPr="00EA452C">
        <w:rPr>
          <w:rFonts w:hint="cs"/>
          <w:rtl/>
        </w:rPr>
        <w:t xml:space="preserve"> </w:t>
      </w:r>
      <w:r>
        <w:rPr>
          <w:rFonts w:hint="cs"/>
          <w:rtl/>
        </w:rPr>
        <w:t>כדהקשו</w:t>
      </w:r>
      <w:r w:rsidRPr="001D1883">
        <w:rPr>
          <w:rFonts w:hint="cs"/>
          <w:rtl/>
        </w:rPr>
        <w:t xml:space="preserve"> </w:t>
      </w:r>
      <w:r>
        <w:rPr>
          <w:rStyle w:val="af9"/>
          <w:rFonts w:hint="cs"/>
          <w:rtl/>
        </w:rPr>
        <w:t xml:space="preserve">שאר </w:t>
      </w:r>
      <w:r w:rsidRPr="001D1883">
        <w:rPr>
          <w:rStyle w:val="af9"/>
          <w:rFonts w:hint="cs"/>
          <w:rtl/>
        </w:rPr>
        <w:t>הראשונים</w:t>
      </w:r>
      <w:r w:rsidRPr="001D1883">
        <w:rPr>
          <w:rStyle w:val="af7"/>
          <w:rFonts w:eastAsia="Guttman Hodes" w:hint="cs"/>
          <w:rtl/>
        </w:rPr>
        <w:t xml:space="preserve"> (עי'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Ref55333640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1D1883">
        <w:rPr>
          <w:rStyle w:val="af7"/>
          <w:rFonts w:eastAsia="Guttman Hodes"/>
          <w:rtl/>
        </w:rPr>
        <w:fldChar w:fldCharType="end"/>
      </w:r>
      <w:r w:rsidRPr="001D1883">
        <w:rPr>
          <w:rFonts w:hint="cs"/>
          <w:rtl/>
        </w:rPr>
        <w:t xml:space="preserve">, </w:t>
      </w:r>
      <w:r>
        <w:rPr>
          <w:rFonts w:hint="cs"/>
          <w:rtl/>
        </w:rPr>
        <w:t xml:space="preserve">ולכן </w:t>
      </w:r>
      <w:r w:rsidRPr="001D1883">
        <w:rPr>
          <w:rFonts w:hint="cs"/>
          <w:rtl/>
        </w:rPr>
        <w:t xml:space="preserve">ביאר </w:t>
      </w:r>
      <w:r w:rsidRPr="001D1883">
        <w:rPr>
          <w:rStyle w:val="af9"/>
          <w:rFonts w:hint="cs"/>
          <w:rtl/>
        </w:rPr>
        <w:t>רש"י</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sidRPr="001D1883">
        <w:rPr>
          <w:rFonts w:hint="cs"/>
          <w:rtl/>
        </w:rPr>
        <w:t xml:space="preserve"> דהעדאת השור היא התראה שישמור שורו, ואף המחאה היא התראה שהמחזיק יזהר בראיותיו, וכ"כ </w:t>
      </w:r>
      <w:r w:rsidRPr="001D1883">
        <w:rPr>
          <w:rStyle w:val="af9"/>
          <w:rFonts w:hint="cs"/>
          <w:rtl/>
        </w:rPr>
        <w:t>רבינו יונה בביאורו הא'</w:t>
      </w:r>
      <w:r w:rsidRPr="001D1883">
        <w:rPr>
          <w:rFonts w:hint="cs"/>
          <w:rtl/>
        </w:rPr>
        <w:t xml:space="preserve"> </w:t>
      </w:r>
      <w:r w:rsidRPr="001D1883">
        <w:rPr>
          <w:rStyle w:val="af7"/>
          <w:rFonts w:eastAsia="Guttman Hodes" w:hint="cs"/>
          <w:rtl/>
        </w:rPr>
        <w:t>(ד"ה מתקיף)</w:t>
      </w:r>
      <w:r w:rsidRPr="001D1883">
        <w:rPr>
          <w:rFonts w:hint="cs"/>
          <w:rtl/>
        </w:rPr>
        <w:t xml:space="preserve">. [ועי' במה שהקשו </w:t>
      </w:r>
      <w:r w:rsidRPr="001D1883">
        <w:rPr>
          <w:rStyle w:val="af9"/>
          <w:rFonts w:hint="cs"/>
          <w:rtl/>
        </w:rPr>
        <w:t>התוס' הרא"ש</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Ref55333797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1D1883">
        <w:rPr>
          <w:rStyle w:val="af7"/>
          <w:rFonts w:eastAsia="Guttman Hodes"/>
          <w:rtl/>
        </w:rPr>
        <w:fldChar w:fldCharType="end"/>
      </w:r>
      <w:r w:rsidRPr="001D1883">
        <w:rPr>
          <w:rFonts w:hint="cs"/>
          <w:rtl/>
        </w:rPr>
        <w:t xml:space="preserve"> </w:t>
      </w:r>
      <w:r w:rsidRPr="001D1883">
        <w:rPr>
          <w:rStyle w:val="af9"/>
          <w:rFonts w:hint="cs"/>
          <w:rtl/>
        </w:rPr>
        <w:t>והריטב"א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Ref54626073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1D1883">
        <w:rPr>
          <w:rStyle w:val="af7"/>
          <w:rFonts w:eastAsia="Guttman Hodes"/>
          <w:rtl/>
        </w:rPr>
        <w:fldChar w:fldCharType="end"/>
      </w:r>
      <w:r w:rsidRPr="001D1883">
        <w:rPr>
          <w:rFonts w:hint="cs"/>
          <w:rtl/>
        </w:rPr>
        <w:t xml:space="preserve"> על דברי </w:t>
      </w:r>
      <w:r w:rsidRPr="001D1883">
        <w:rPr>
          <w:rStyle w:val="af9"/>
          <w:rFonts w:hint="cs"/>
          <w:rtl/>
        </w:rPr>
        <w:t>רש"י</w:t>
      </w:r>
      <w:r w:rsidRPr="001D1883">
        <w:rPr>
          <w:rFonts w:hint="cs"/>
          <w:rtl/>
        </w:rPr>
        <w:t>].</w:t>
      </w:r>
      <w:bookmarkEnd w:id="3471"/>
      <w:r w:rsidRPr="001D1883">
        <w:rPr>
          <w:rFonts w:hint="cs"/>
          <w:rtl/>
        </w:rPr>
        <w:t xml:space="preserve"> </w:t>
      </w:r>
    </w:p>
    <w:p w:rsidR="007A505A" w:rsidRPr="001D1883" w:rsidRDefault="007A505A" w:rsidP="007A505A">
      <w:pPr>
        <w:pStyle w:val="a3"/>
        <w:rPr>
          <w:rtl/>
        </w:rPr>
      </w:pPr>
      <w:bookmarkStart w:id="3472" w:name="_Toc55342083"/>
      <w:bookmarkStart w:id="3473" w:name="_Toc55342184"/>
      <w:bookmarkStart w:id="3474" w:name="_Toc55375269"/>
      <w:bookmarkStart w:id="3475" w:name="_Toc55386218"/>
      <w:bookmarkStart w:id="3476" w:name="_Toc55391138"/>
      <w:r w:rsidRPr="001D1883">
        <w:rPr>
          <w:rFonts w:hint="cs"/>
          <w:rtl/>
        </w:rPr>
        <w:t>ביאור הר"ן ברש"י דהחזקה לא דמי להעדאה אלא לנגיחות עצמם שא"צ שינגח בפני הבעלים</w:t>
      </w:r>
      <w:bookmarkEnd w:id="3472"/>
      <w:bookmarkEnd w:id="3473"/>
      <w:bookmarkEnd w:id="3474"/>
      <w:bookmarkEnd w:id="3475"/>
      <w:bookmarkEnd w:id="3476"/>
    </w:p>
    <w:p w:rsidR="007A505A" w:rsidRDefault="007A505A" w:rsidP="007E4E81">
      <w:pPr>
        <w:pStyle w:val="a0"/>
        <w:rPr>
          <w:rtl/>
        </w:rPr>
      </w:pPr>
      <w:bookmarkStart w:id="3477" w:name="_Ref54640925"/>
      <w:r w:rsidRPr="001D1883">
        <w:rPr>
          <w:rStyle w:val="af9"/>
          <w:rFonts w:hint="cs"/>
          <w:rtl/>
        </w:rPr>
        <w:t>והר"ן</w:t>
      </w:r>
      <w:r w:rsidRPr="008808FA">
        <w:rPr>
          <w:rStyle w:val="af7"/>
          <w:rFonts w:eastAsia="Guttman Hodes" w:hint="cs"/>
          <w:rtl/>
        </w:rPr>
        <w:t xml:space="preserve"> </w:t>
      </w:r>
      <w:r w:rsidRPr="001D1883">
        <w:rPr>
          <w:rStyle w:val="af7"/>
          <w:rFonts w:eastAsia="Guttman Hodes" w:hint="cs"/>
          <w:rtl/>
        </w:rPr>
        <w:t xml:space="preserve">(ד"ה אלא) </w:t>
      </w:r>
      <w:r w:rsidRPr="001D1883">
        <w:rPr>
          <w:rFonts w:hint="cs"/>
          <w:rtl/>
        </w:rPr>
        <w:t xml:space="preserve">הוסיף </w:t>
      </w:r>
      <w:r>
        <w:rPr>
          <w:rFonts w:hint="cs"/>
          <w:rtl/>
        </w:rPr>
        <w:t xml:space="preserve">לבאר את </w:t>
      </w:r>
      <w:r w:rsidRPr="001D1883">
        <w:rPr>
          <w:rFonts w:hint="cs"/>
          <w:rtl/>
        </w:rPr>
        <w:t xml:space="preserve">דברי </w:t>
      </w:r>
      <w:r w:rsidRPr="001D1883">
        <w:rPr>
          <w:rStyle w:val="af9"/>
          <w:rFonts w:hint="cs"/>
          <w:rtl/>
        </w:rPr>
        <w:t>רש"י</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sidRPr="001D1883">
        <w:rPr>
          <w:rFonts w:hint="cs"/>
          <w:rtl/>
        </w:rPr>
        <w:t xml:space="preserve"> דהמחאה וההעדאה הם התראות, שישמור את שורו ואת שטרו, אבל חזקה לא דמי להעדאה, אלא לנגיחות עצמם, וכמו שא"צ דהנגיחות יהיו בפני הבעלים, ה"ה דא"צ דהחזקה תהיה בפני המערער, משא"כ מחאה שהיא התראה, דצריך שתהיה בפניו כמו העדאה.</w:t>
      </w:r>
      <w:bookmarkEnd w:id="3477"/>
      <w:r w:rsidRPr="001D1883">
        <w:rPr>
          <w:rFonts w:hint="cs"/>
          <w:rtl/>
        </w:rPr>
        <w:t xml:space="preserve"> </w:t>
      </w:r>
    </w:p>
    <w:p w:rsidR="007A505A" w:rsidRPr="00840B2E" w:rsidRDefault="007A505A" w:rsidP="007A505A">
      <w:pPr>
        <w:pStyle w:val="1"/>
        <w:rPr>
          <w:rtl/>
        </w:rPr>
      </w:pPr>
      <w:bookmarkStart w:id="3478" w:name="_Toc55375270"/>
      <w:bookmarkStart w:id="3479" w:name="_Toc55386219"/>
      <w:bookmarkStart w:id="3480" w:name="_Toc55391139"/>
      <w:r>
        <w:rPr>
          <w:rFonts w:hint="cs"/>
          <w:rtl/>
        </w:rPr>
        <w:t>ביאור הריטב"א ברש"י דלכו"ע המחאה כדי שיזהר בשטרו</w:t>
      </w:r>
      <w:bookmarkEnd w:id="3478"/>
      <w:bookmarkEnd w:id="3479"/>
      <w:bookmarkEnd w:id="3480"/>
    </w:p>
    <w:p w:rsidR="007A505A" w:rsidRPr="001D1883" w:rsidRDefault="007A505A" w:rsidP="007A505A">
      <w:pPr>
        <w:pStyle w:val="a3"/>
        <w:rPr>
          <w:rtl/>
        </w:rPr>
      </w:pPr>
      <w:bookmarkStart w:id="3481" w:name="_Toc55342084"/>
      <w:bookmarkStart w:id="3482" w:name="_Toc55342185"/>
      <w:bookmarkStart w:id="3483" w:name="_Toc55375271"/>
      <w:bookmarkStart w:id="3484" w:name="_Toc55386220"/>
      <w:bookmarkStart w:id="3485" w:name="_Toc55391140"/>
      <w:r w:rsidRPr="001D1883">
        <w:rPr>
          <w:rFonts w:hint="cs"/>
          <w:rtl/>
        </w:rPr>
        <w:t>ביאור הריטב"א ברש"י דאף להולכי אושא המחאה שיזהר בשטרו וברבנן נתחדש רק טעם החזקה</w:t>
      </w:r>
      <w:bookmarkEnd w:id="3481"/>
      <w:bookmarkEnd w:id="3482"/>
      <w:bookmarkEnd w:id="3483"/>
      <w:bookmarkEnd w:id="3484"/>
      <w:bookmarkEnd w:id="3485"/>
    </w:p>
    <w:p w:rsidR="007A505A" w:rsidRPr="00FB7373" w:rsidRDefault="007A505A" w:rsidP="007E4E81">
      <w:pPr>
        <w:pStyle w:val="a0"/>
        <w:rPr>
          <w:sz w:val="10"/>
          <w:szCs w:val="14"/>
          <w:rtl/>
        </w:rPr>
      </w:pPr>
      <w:bookmarkStart w:id="3486" w:name="_Ref54627627"/>
      <w:bookmarkStart w:id="3487" w:name="_Ref55378553"/>
      <w:r w:rsidRPr="001D1883">
        <w:rPr>
          <w:rFonts w:hint="cs"/>
          <w:rtl/>
        </w:rPr>
        <w:t xml:space="preserve">אך הקשו </w:t>
      </w:r>
      <w:r w:rsidRPr="001D1883">
        <w:rPr>
          <w:rStyle w:val="af9"/>
          <w:rFonts w:hint="cs"/>
          <w:rtl/>
        </w:rPr>
        <w:t>הר"ן והריטב"א</w:t>
      </w:r>
      <w:r w:rsidRPr="001D1883">
        <w:rPr>
          <w:rFonts w:hint="cs"/>
          <w:rtl/>
        </w:rPr>
        <w:t xml:space="preserve"> </w:t>
      </w:r>
      <w:r w:rsidRPr="00FB7373">
        <w:rPr>
          <w:rStyle w:val="af7"/>
          <w:rFonts w:eastAsia="Guttman Hodes" w:hint="cs"/>
          <w:rtl/>
        </w:rPr>
        <w:t>(ד"ה אלא)</w:t>
      </w:r>
      <w:r w:rsidRPr="001D1883">
        <w:rPr>
          <w:rFonts w:hint="cs"/>
          <w:rtl/>
        </w:rPr>
        <w:t xml:space="preserve"> בשם </w:t>
      </w:r>
      <w:r w:rsidRPr="001D1883">
        <w:rPr>
          <w:rStyle w:val="af9"/>
          <w:rFonts w:hint="cs"/>
          <w:rtl/>
        </w:rPr>
        <w:t>י"א</w:t>
      </w:r>
      <w:r w:rsidRPr="001D1883">
        <w:rPr>
          <w:rFonts w:hint="cs"/>
          <w:rtl/>
        </w:rPr>
        <w:t xml:space="preserve"> </w:t>
      </w:r>
      <w:r w:rsidRPr="001D1883">
        <w:rPr>
          <w:rStyle w:val="afb"/>
          <w:rFonts w:hint="cs"/>
          <w:rtl/>
        </w:rPr>
        <w:t>[</w:t>
      </w:r>
      <w:r w:rsidRPr="001D1883">
        <w:rPr>
          <w:rStyle w:val="affa"/>
          <w:rFonts w:hint="cs"/>
          <w:rtl/>
        </w:rPr>
        <w:t>הרמב"ן</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Ref54345247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נב)</w:t>
      </w:r>
      <w:r w:rsidRPr="001D1883">
        <w:rPr>
          <w:rStyle w:val="aff6"/>
          <w:rtl/>
        </w:rPr>
        <w:fldChar w:fldCharType="end"/>
      </w:r>
      <w:r w:rsidRPr="001D1883">
        <w:rPr>
          <w:rStyle w:val="afb"/>
          <w:rFonts w:hint="cs"/>
          <w:rtl/>
        </w:rPr>
        <w:t>]</w:t>
      </w:r>
      <w:r w:rsidRPr="001D1883">
        <w:rPr>
          <w:rFonts w:hint="cs"/>
          <w:rtl/>
        </w:rPr>
        <w:t xml:space="preserve"> על </w:t>
      </w:r>
      <w:r w:rsidRPr="001D1883">
        <w:rPr>
          <w:rStyle w:val="af9"/>
          <w:rFonts w:hint="cs"/>
          <w:rtl/>
        </w:rPr>
        <w:t>רש"י</w:t>
      </w:r>
      <w:r w:rsidRPr="001D1883">
        <w:rPr>
          <w:rFonts w:hint="cs"/>
          <w:rtl/>
        </w:rPr>
        <w:t xml:space="preserve"> דהא בילפותא משור המועד, עדיין לא ידעה הגמ' דטעמא דחזקה הוא כדאמר רבא </w:t>
      </w:r>
      <w:r w:rsidRPr="00FB7373">
        <w:rPr>
          <w:rStyle w:val="af7"/>
          <w:rFonts w:eastAsia="Guttman Hodes" w:hint="cs"/>
          <w:rtl/>
        </w:rPr>
        <w:t>(כט.)</w:t>
      </w:r>
      <w:r w:rsidRPr="001D1883">
        <w:rPr>
          <w:rFonts w:hint="cs"/>
          <w:rtl/>
        </w:rPr>
        <w:t xml:space="preserve"> דיזהר בשטרו, ותירץ </w:t>
      </w:r>
      <w:r w:rsidRPr="001D1883">
        <w:rPr>
          <w:rStyle w:val="af9"/>
          <w:rFonts w:hint="cs"/>
          <w:rtl/>
        </w:rPr>
        <w:t>הריטב"א</w:t>
      </w:r>
      <w:r w:rsidRPr="001D1883">
        <w:rPr>
          <w:rFonts w:hint="cs"/>
          <w:rtl/>
        </w:rPr>
        <w:t xml:space="preserve"> </w:t>
      </w:r>
      <w:r w:rsidRPr="001D1883">
        <w:rPr>
          <w:rStyle w:val="afb"/>
          <w:rFonts w:hint="cs"/>
          <w:rtl/>
        </w:rPr>
        <w:t>[</w:t>
      </w:r>
      <w:r w:rsidRPr="001D1883">
        <w:rPr>
          <w:rStyle w:val="affa"/>
          <w:rFonts w:hint="cs"/>
          <w:rtl/>
        </w:rPr>
        <w:t>כרמב"ן</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Ref54627930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נג)</w:t>
      </w:r>
      <w:r w:rsidRPr="001D1883">
        <w:rPr>
          <w:rStyle w:val="aff6"/>
          <w:rtl/>
        </w:rPr>
        <w:fldChar w:fldCharType="end"/>
      </w:r>
      <w:r w:rsidRPr="001D1883">
        <w:rPr>
          <w:rStyle w:val="afb"/>
          <w:rFonts w:hint="cs"/>
          <w:rtl/>
        </w:rPr>
        <w:t xml:space="preserve"> </w:t>
      </w:r>
      <w:r w:rsidRPr="001D1883">
        <w:rPr>
          <w:rStyle w:val="affa"/>
          <w:rFonts w:hint="cs"/>
          <w:rtl/>
        </w:rPr>
        <w:t>והרשב"א</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Ref54627939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נה)</w:t>
      </w:r>
      <w:r w:rsidRPr="001D1883">
        <w:rPr>
          <w:rStyle w:val="aff6"/>
          <w:rtl/>
        </w:rPr>
        <w:fldChar w:fldCharType="end"/>
      </w:r>
      <w:r w:rsidRPr="001D1883">
        <w:rPr>
          <w:rStyle w:val="afb"/>
          <w:rFonts w:hint="cs"/>
          <w:rtl/>
        </w:rPr>
        <w:t>]</w:t>
      </w:r>
      <w:r w:rsidRPr="001D1883">
        <w:rPr>
          <w:rFonts w:hint="cs"/>
          <w:rtl/>
        </w:rPr>
        <w:t xml:space="preserve"> דס"ל </w:t>
      </w:r>
      <w:r w:rsidRPr="001D1883">
        <w:rPr>
          <w:rStyle w:val="af9"/>
          <w:rFonts w:hint="cs"/>
          <w:rtl/>
        </w:rPr>
        <w:t xml:space="preserve">לרש"י </w:t>
      </w:r>
      <w:r w:rsidRPr="001D1883">
        <w:rPr>
          <w:rFonts w:hint="cs"/>
          <w:rtl/>
        </w:rPr>
        <w:t>דודאי דאף בילפותא משור המועד ידעה הגמ' דהמחאה היא בכדי שיזהר בשטרו, וכל מה שחידש רבא דהטעם של החזקה ג"ש, הוא כיון דעד ג"ש אדם נזהר בשטרו.</w:t>
      </w:r>
      <w:bookmarkEnd w:id="3486"/>
      <w:r>
        <w:rPr>
          <w:rFonts w:hint="cs"/>
          <w:rtl/>
        </w:rPr>
        <w:t xml:space="preserve"> </w:t>
      </w:r>
      <w:r w:rsidRPr="00FB7373">
        <w:rPr>
          <w:rStyle w:val="afb"/>
          <w:rFonts w:hint="cs"/>
          <w:rtl/>
        </w:rPr>
        <w:t>[וע"ע בדברי</w:t>
      </w:r>
      <w:r>
        <w:rPr>
          <w:rFonts w:hint="cs"/>
          <w:rtl/>
        </w:rPr>
        <w:t xml:space="preserve"> </w:t>
      </w:r>
      <w:r w:rsidRPr="00FB7373">
        <w:rPr>
          <w:rStyle w:val="affa"/>
          <w:rFonts w:hint="cs"/>
          <w:rtl/>
        </w:rPr>
        <w:t>הריטב"א לקמן</w:t>
      </w:r>
      <w:r w:rsidRPr="00330A0D">
        <w:rPr>
          <w:rFonts w:hint="cs"/>
          <w:rtl/>
        </w:rPr>
        <w:t xml:space="preserve"> </w:t>
      </w:r>
      <w:r w:rsidRPr="00FB7373">
        <w:rPr>
          <w:rStyle w:val="aff6"/>
          <w:rFonts w:hint="cs"/>
          <w:rtl/>
        </w:rPr>
        <w:t>(לו. ד"ה ולכולהו)</w:t>
      </w:r>
      <w:r w:rsidRPr="00330A0D">
        <w:rPr>
          <w:rFonts w:hint="cs"/>
          <w:rtl/>
        </w:rPr>
        <w:t xml:space="preserve"> </w:t>
      </w:r>
      <w:r w:rsidRPr="00FB7373">
        <w:rPr>
          <w:rStyle w:val="afb"/>
          <w:rFonts w:hint="cs"/>
          <w:rtl/>
        </w:rPr>
        <w:t>דכתב דר"ע ורבי ישמעאל לא ס"ל דטעמא דחזקה דעד ג"ש נזהר בשטרו, אלא ילפינן לה משור המועד, ולכן אף בי"ח או י"ד חודשים הוי חזקה]</w:t>
      </w:r>
      <w:r>
        <w:rPr>
          <w:rStyle w:val="afb"/>
          <w:rFonts w:hint="cs"/>
          <w:rtl/>
        </w:rPr>
        <w:t>.</w:t>
      </w:r>
      <w:bookmarkEnd w:id="3487"/>
      <w:r>
        <w:rPr>
          <w:rFonts w:hint="cs"/>
          <w:rtl/>
        </w:rPr>
        <w:t xml:space="preserve"> </w:t>
      </w:r>
    </w:p>
    <w:p w:rsidR="007A505A" w:rsidRPr="00840B2E" w:rsidRDefault="007A505A" w:rsidP="007A505A">
      <w:pPr>
        <w:pStyle w:val="1"/>
        <w:rPr>
          <w:rtl/>
        </w:rPr>
      </w:pPr>
      <w:bookmarkStart w:id="3488" w:name="_Toc55375272"/>
      <w:bookmarkStart w:id="3489" w:name="_Toc55386221"/>
      <w:bookmarkStart w:id="3490" w:name="_Toc55391141"/>
      <w:r>
        <w:rPr>
          <w:rFonts w:hint="cs"/>
          <w:rtl/>
        </w:rPr>
        <w:t>ביאור הר"ן ברש"י דחזקה לא מדין שטר אך הוא ריעותא בחזקה</w:t>
      </w:r>
      <w:bookmarkEnd w:id="3488"/>
      <w:bookmarkEnd w:id="3489"/>
      <w:bookmarkEnd w:id="3490"/>
    </w:p>
    <w:p w:rsidR="007A505A" w:rsidRPr="001D1883" w:rsidRDefault="007A505A" w:rsidP="007A505A">
      <w:pPr>
        <w:pStyle w:val="a3"/>
      </w:pPr>
      <w:bookmarkStart w:id="3491" w:name="_Toc55342085"/>
      <w:bookmarkStart w:id="3492" w:name="_Toc55342186"/>
      <w:bookmarkStart w:id="3493" w:name="_Toc55375273"/>
      <w:bookmarkStart w:id="3494" w:name="_Toc55386222"/>
      <w:bookmarkStart w:id="3495" w:name="_Toc55391142"/>
      <w:r w:rsidRPr="001D1883">
        <w:rPr>
          <w:rFonts w:hint="cs"/>
          <w:rtl/>
        </w:rPr>
        <w:t>ביאור הר"ן ברש"י דלהולכי אושא החזקה אינה מחמת השטר אך אחוי שטרך הוי ריעותא בחזקה</w:t>
      </w:r>
      <w:bookmarkEnd w:id="3491"/>
      <w:bookmarkEnd w:id="3492"/>
      <w:bookmarkEnd w:id="3493"/>
      <w:bookmarkEnd w:id="3494"/>
      <w:bookmarkEnd w:id="3495"/>
    </w:p>
    <w:p w:rsidR="007A505A" w:rsidRDefault="007A505A" w:rsidP="007E4E81">
      <w:pPr>
        <w:pStyle w:val="a0"/>
        <w:rPr>
          <w:rtl/>
        </w:rPr>
      </w:pPr>
      <w:bookmarkStart w:id="3496" w:name="_Ref54629894"/>
      <w:bookmarkStart w:id="3497" w:name="_Ref55390660"/>
      <w:r w:rsidRPr="001D1883">
        <w:rPr>
          <w:rStyle w:val="af9"/>
          <w:rFonts w:hint="cs"/>
          <w:rtl/>
        </w:rPr>
        <w:t>והר"ן</w:t>
      </w:r>
      <w:r w:rsidRPr="001D1883">
        <w:rPr>
          <w:rFonts w:hint="cs"/>
          <w:rtl/>
        </w:rPr>
        <w:t xml:space="preserve"> </w:t>
      </w:r>
      <w:r w:rsidRPr="001D1883">
        <w:rPr>
          <w:rStyle w:val="af7"/>
          <w:rFonts w:eastAsia="Guttman Hodes" w:hint="cs"/>
          <w:rtl/>
        </w:rPr>
        <w:t xml:space="preserve">(ד"ה אלא) </w:t>
      </w:r>
      <w:r w:rsidRPr="001D1883">
        <w:rPr>
          <w:rFonts w:hint="cs"/>
          <w:rtl/>
        </w:rPr>
        <w:t xml:space="preserve">תירץ דאף להולכי אושא דטעמא דחזקה אינו מחמת השטר, אלא מהילפותא משור המועד, מ"מ לכו"ע טעמא דמחאה הוא בכדי שיזהר בשטרו, וכל שלא נזהר בשטרו יש ריעותא בחזקתו, וכתב </w:t>
      </w:r>
      <w:r w:rsidRPr="001D1883">
        <w:rPr>
          <w:rStyle w:val="af9"/>
          <w:rFonts w:hint="cs"/>
          <w:rtl/>
        </w:rPr>
        <w:t>הר"ן</w:t>
      </w:r>
      <w:r w:rsidRPr="001D1883">
        <w:rPr>
          <w:rFonts w:hint="cs"/>
          <w:rtl/>
        </w:rPr>
        <w:t xml:space="preserve"> דזהו הביאור בדברי </w:t>
      </w:r>
      <w:r w:rsidRPr="001D1883">
        <w:rPr>
          <w:rStyle w:val="af9"/>
          <w:rFonts w:hint="cs"/>
          <w:rtl/>
        </w:rPr>
        <w:t>רש"י</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Pr>
          <w:rFonts w:hint="cs"/>
          <w:rtl/>
        </w:rPr>
        <w:t xml:space="preserve">, </w:t>
      </w:r>
      <w:bookmarkEnd w:id="3496"/>
      <w:r w:rsidRPr="001D1883">
        <w:rPr>
          <w:rStyle w:val="afb"/>
          <w:rFonts w:hint="cs"/>
          <w:rtl/>
        </w:rPr>
        <w:t xml:space="preserve">[ומשמע מדברי </w:t>
      </w:r>
      <w:r w:rsidRPr="001D1883">
        <w:rPr>
          <w:rStyle w:val="affa"/>
          <w:rFonts w:hint="cs"/>
          <w:rtl/>
        </w:rPr>
        <w:t>הר"ן</w:t>
      </w:r>
      <w:r w:rsidRPr="001D1883">
        <w:rPr>
          <w:rStyle w:val="afb"/>
          <w:rFonts w:hint="cs"/>
          <w:rtl/>
        </w:rPr>
        <w:t xml:space="preserve"> דטעמא דחזקה להולכי אושא אינו שייך כלל לדין השטר, אלא דמ"מ יש ריעותא בחזקה, כשאין לו שטר, וע"ע במה שביאר </w:t>
      </w:r>
      <w:r w:rsidRPr="001D1883">
        <w:rPr>
          <w:rStyle w:val="affa"/>
          <w:rFonts w:hint="cs"/>
          <w:rtl/>
        </w:rPr>
        <w:t>הר"ן</w:t>
      </w:r>
      <w:r w:rsidRPr="001D1883">
        <w:rPr>
          <w:rStyle w:val="afb"/>
          <w:rFonts w:hint="cs"/>
          <w:rtl/>
        </w:rPr>
        <w:t xml:space="preserve"> </w:t>
      </w:r>
      <w:r w:rsidRPr="001D1883">
        <w:rPr>
          <w:rStyle w:val="aff6"/>
          <w:rFonts w:hint="cs"/>
          <w:rtl/>
        </w:rPr>
        <w:t>(כח: ד</w:t>
      </w:r>
      <w:r w:rsidRPr="001D1883">
        <w:rPr>
          <w:rStyle w:val="aff6"/>
          <w:rtl/>
        </w:rPr>
        <w:t>"</w:t>
      </w:r>
      <w:r w:rsidRPr="001D1883">
        <w:rPr>
          <w:rStyle w:val="aff6"/>
          <w:rFonts w:hint="cs"/>
          <w:rtl/>
        </w:rPr>
        <w:t>ה מה, הובא</w:t>
      </w:r>
      <w:r w:rsidRPr="001D1883">
        <w:rPr>
          <w:rStyle w:val="af7"/>
          <w:rFonts w:eastAsia="Guttman Hodes" w:hint="cs"/>
          <w:rtl/>
        </w:rPr>
        <w:t xml:space="preserve"> </w:t>
      </w:r>
      <w:r w:rsidRPr="001D1883">
        <w:rPr>
          <w:rStyle w:val="aff6"/>
          <w:rFonts w:hint="cs"/>
          <w:rtl/>
        </w:rPr>
        <w:t>בסימן ג' אות ל"ה)</w:t>
      </w:r>
      <w:r w:rsidRPr="001D1883">
        <w:rPr>
          <w:rFonts w:hint="cs"/>
          <w:rtl/>
        </w:rPr>
        <w:t xml:space="preserve"> </w:t>
      </w:r>
      <w:r w:rsidRPr="001D1883">
        <w:rPr>
          <w:rStyle w:val="afb"/>
          <w:rFonts w:hint="cs"/>
          <w:rtl/>
        </w:rPr>
        <w:t>בחזקה בלא טענה, דכל שהיה לו לטעון לקוח ולא טען, יש ריעותא בחזקתו]</w:t>
      </w:r>
      <w:bookmarkEnd w:id="3497"/>
      <w:r>
        <w:rPr>
          <w:rStyle w:val="afb"/>
          <w:rFonts w:hint="cs"/>
          <w:rtl/>
        </w:rPr>
        <w:t>,</w:t>
      </w:r>
      <w:r w:rsidRPr="007B0820">
        <w:rPr>
          <w:rFonts w:hint="cs"/>
          <w:rtl/>
        </w:rPr>
        <w:t xml:space="preserve"> </w:t>
      </w:r>
      <w:r>
        <w:rPr>
          <w:rFonts w:hint="cs"/>
          <w:rtl/>
        </w:rPr>
        <w:t xml:space="preserve">וכן ביאר </w:t>
      </w:r>
      <w:r w:rsidRPr="001D1883">
        <w:rPr>
          <w:rStyle w:val="af9"/>
          <w:rFonts w:hint="cs"/>
          <w:rtl/>
        </w:rPr>
        <w:t>בחי' רבי נחום</w:t>
      </w:r>
      <w:r w:rsidRPr="007B0820">
        <w:rPr>
          <w:rStyle w:val="af7"/>
          <w:rFonts w:eastAsia="Guttman Hodes" w:hint="cs"/>
          <w:rtl/>
        </w:rPr>
        <w:t xml:space="preserve"> (עי' אות </w:t>
      </w:r>
      <w:r w:rsidRPr="007B0820">
        <w:rPr>
          <w:rStyle w:val="af7"/>
          <w:rFonts w:eastAsia="Guttman Hodes"/>
          <w:rtl/>
        </w:rPr>
        <w:fldChar w:fldCharType="begin"/>
      </w:r>
      <w:r w:rsidRPr="007B0820">
        <w:rPr>
          <w:rStyle w:val="af7"/>
          <w:rFonts w:eastAsia="Guttman Hodes"/>
          <w:rtl/>
        </w:rPr>
        <w:instrText xml:space="preserve"> </w:instrText>
      </w:r>
      <w:r w:rsidRPr="007B0820">
        <w:rPr>
          <w:rStyle w:val="af7"/>
          <w:rFonts w:eastAsia="Guttman Hodes" w:hint="cs"/>
        </w:rPr>
        <w:instrText>REF</w:instrText>
      </w:r>
      <w:r w:rsidRPr="007B0820">
        <w:rPr>
          <w:rStyle w:val="af7"/>
          <w:rFonts w:eastAsia="Guttman Hodes" w:hint="cs"/>
          <w:rtl/>
        </w:rPr>
        <w:instrText xml:space="preserve"> _</w:instrText>
      </w:r>
      <w:r w:rsidRPr="007B0820">
        <w:rPr>
          <w:rStyle w:val="af7"/>
          <w:rFonts w:eastAsia="Guttman Hodes" w:hint="cs"/>
        </w:rPr>
        <w:instrText>Ref55390731 \r \h</w:instrText>
      </w:r>
      <w:r w:rsidRPr="007B0820">
        <w:rPr>
          <w:rStyle w:val="af7"/>
          <w:rFonts w:eastAsia="Guttman Hodes"/>
          <w:rtl/>
        </w:rPr>
        <w:instrText xml:space="preserve"> </w:instrText>
      </w:r>
      <w:r w:rsidRPr="007B0820">
        <w:rPr>
          <w:rStyle w:val="af7"/>
          <w:rFonts w:eastAsia="Guttman Hodes"/>
          <w:rtl/>
        </w:rPr>
      </w:r>
      <w:r w:rsidRPr="007B0820">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7B0820">
        <w:rPr>
          <w:rStyle w:val="af7"/>
          <w:rFonts w:eastAsia="Guttman Hodes"/>
          <w:rtl/>
        </w:rPr>
        <w:fldChar w:fldCharType="end"/>
      </w:r>
      <w:r w:rsidRPr="007B0820">
        <w:rPr>
          <w:rStyle w:val="af7"/>
          <w:rFonts w:eastAsia="Guttman Hodes" w:hint="cs"/>
          <w:rtl/>
        </w:rPr>
        <w:t xml:space="preserve"> </w:t>
      </w:r>
      <w:r>
        <w:rPr>
          <w:rFonts w:hint="cs"/>
          <w:rtl/>
        </w:rPr>
        <w:t>בדעת</w:t>
      </w:r>
      <w:r>
        <w:rPr>
          <w:rStyle w:val="af9"/>
          <w:rFonts w:hint="cs"/>
          <w:rtl/>
        </w:rPr>
        <w:t xml:space="preserve"> </w:t>
      </w:r>
      <w:r w:rsidRPr="001D1883">
        <w:rPr>
          <w:rStyle w:val="af9"/>
          <w:rFonts w:hint="cs"/>
          <w:rtl/>
        </w:rPr>
        <w:t>רש"י והרמב"ן</w:t>
      </w:r>
      <w:r w:rsidRPr="001D1883">
        <w:rPr>
          <w:rFonts w:hint="cs"/>
          <w:rtl/>
        </w:rPr>
        <w:t>.</w:t>
      </w:r>
    </w:p>
    <w:p w:rsidR="007A505A" w:rsidRPr="00554F0D" w:rsidRDefault="007A505A" w:rsidP="007A505A">
      <w:pPr>
        <w:pStyle w:val="a3"/>
        <w:rPr>
          <w:rtl/>
        </w:rPr>
      </w:pPr>
    </w:p>
    <w:p w:rsidR="007A505A" w:rsidRPr="00EE6986" w:rsidRDefault="007A505A" w:rsidP="007A505A">
      <w:pPr>
        <w:pStyle w:val="1"/>
        <w:rPr>
          <w:rtl/>
        </w:rPr>
      </w:pPr>
      <w:bookmarkStart w:id="3498" w:name="_Toc55375274"/>
      <w:bookmarkStart w:id="3499" w:name="_Toc55386223"/>
      <w:bookmarkStart w:id="3500" w:name="_Toc55391143"/>
      <w:bookmarkStart w:id="3501" w:name="_Toc55325161"/>
      <w:bookmarkStart w:id="3502" w:name="_Toc55342086"/>
      <w:bookmarkStart w:id="3503" w:name="_Toc55342187"/>
      <w:r>
        <w:rPr>
          <w:rFonts w:hint="cs"/>
          <w:rtl/>
        </w:rPr>
        <w:t>ביאור הריטב"א ברש"י עפי"ד התוס' דממילא לא הוי חזקה</w:t>
      </w:r>
      <w:bookmarkEnd w:id="3498"/>
      <w:bookmarkEnd w:id="3499"/>
      <w:bookmarkEnd w:id="3500"/>
    </w:p>
    <w:p w:rsidR="007A505A" w:rsidRPr="001D1883" w:rsidRDefault="007A505A" w:rsidP="007A505A">
      <w:pPr>
        <w:pStyle w:val="a3"/>
        <w:rPr>
          <w:rtl/>
        </w:rPr>
      </w:pPr>
      <w:bookmarkStart w:id="3504" w:name="_Toc55375275"/>
      <w:bookmarkStart w:id="3505" w:name="_Toc55386224"/>
      <w:bookmarkStart w:id="3506" w:name="_Toc55391144"/>
      <w:r>
        <w:rPr>
          <w:rFonts w:hint="cs"/>
          <w:rtl/>
        </w:rPr>
        <w:t>קושית הריטב"א על רש"י דאף דמחאה דמי להעדאה מ"מ הילפותא היא לחזקה ולא למחאה</w:t>
      </w:r>
      <w:bookmarkEnd w:id="3504"/>
      <w:bookmarkEnd w:id="3505"/>
      <w:bookmarkEnd w:id="3506"/>
    </w:p>
    <w:p w:rsidR="007A505A" w:rsidRPr="001D1883" w:rsidRDefault="007A505A" w:rsidP="007E4E81">
      <w:pPr>
        <w:pStyle w:val="a0"/>
        <w:rPr>
          <w:rtl/>
        </w:rPr>
      </w:pPr>
      <w:bookmarkStart w:id="3507" w:name="_Ref54626073"/>
      <w:r w:rsidRPr="001D1883">
        <w:rPr>
          <w:rFonts w:hint="cs"/>
          <w:rtl/>
        </w:rPr>
        <w:t xml:space="preserve">עי' במ"ש </w:t>
      </w:r>
      <w:r w:rsidRPr="001D1883">
        <w:rPr>
          <w:rStyle w:val="af9"/>
          <w:rFonts w:hint="cs"/>
          <w:rtl/>
        </w:rPr>
        <w:t>הריטב"א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Ref54627826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1D1883">
        <w:rPr>
          <w:rStyle w:val="af7"/>
          <w:rFonts w:eastAsia="Guttman Hodes"/>
          <w:rtl/>
        </w:rPr>
        <w:fldChar w:fldCharType="end"/>
      </w:r>
      <w:r w:rsidRPr="001D1883">
        <w:rPr>
          <w:rFonts w:hint="cs"/>
          <w:rtl/>
        </w:rPr>
        <w:t xml:space="preserve"> דכוונת </w:t>
      </w:r>
      <w:r w:rsidRPr="001D1883">
        <w:rPr>
          <w:rStyle w:val="af9"/>
          <w:rFonts w:hint="cs"/>
          <w:rtl/>
        </w:rPr>
        <w:t>רש"י</w:t>
      </w:r>
      <w:r w:rsidRPr="001D1883">
        <w:rPr>
          <w:rFonts w:hint="cs"/>
          <w:rtl/>
        </w:rPr>
        <w:t xml:space="preserve"> לתרץ דהמחאה דמיא להעדאה, דהיא התראה שישמור זכויותיו</w:t>
      </w:r>
      <w:r>
        <w:rPr>
          <w:rFonts w:hint="cs"/>
          <w:rtl/>
        </w:rPr>
        <w:t>,</w:t>
      </w:r>
      <w:r w:rsidRPr="001D1883">
        <w:rPr>
          <w:rFonts w:hint="cs"/>
          <w:rtl/>
        </w:rPr>
        <w:t xml:space="preserve"> אך כתב </w:t>
      </w:r>
      <w:r w:rsidRPr="001D1883">
        <w:rPr>
          <w:rStyle w:val="af9"/>
          <w:rFonts w:hint="cs"/>
          <w:rtl/>
        </w:rPr>
        <w:t>הריטב"א</w:t>
      </w:r>
      <w:r w:rsidRPr="001D1883">
        <w:rPr>
          <w:rFonts w:hint="cs"/>
          <w:rtl/>
        </w:rPr>
        <w:t xml:space="preserve"> </w:t>
      </w:r>
      <w:r w:rsidRPr="001D1883">
        <w:rPr>
          <w:rStyle w:val="af7"/>
          <w:rFonts w:eastAsia="Guttman Hodes" w:hint="cs"/>
          <w:rtl/>
        </w:rPr>
        <w:t>(ד"ה אלא)</w:t>
      </w:r>
      <w:r w:rsidRPr="001D1883">
        <w:rPr>
          <w:rFonts w:hint="cs"/>
          <w:rtl/>
        </w:rPr>
        <w:t xml:space="preserve"> דמ"מ עדיין קשה דהא הילפותא משור המועד היא לחזקה, ואין מה להקשות מהמחאה, ואי חזקה דמיא להעדאה א"כ היה לגמ' להקשות דלא תועיל חזקה שלא בפניו, ואי לא דמיא חזקה להעדאה, לא היה לגמ' להקשות כלל.</w:t>
      </w:r>
      <w:bookmarkEnd w:id="3507"/>
    </w:p>
    <w:p w:rsidR="007A505A" w:rsidRPr="001D1883" w:rsidRDefault="007A505A" w:rsidP="007A505A">
      <w:pPr>
        <w:pStyle w:val="a3"/>
        <w:rPr>
          <w:rtl/>
        </w:rPr>
      </w:pPr>
      <w:bookmarkStart w:id="3508" w:name="_Toc55375276"/>
      <w:bookmarkStart w:id="3509" w:name="_Toc55386225"/>
      <w:bookmarkStart w:id="3510" w:name="_Toc55391145"/>
      <w:r>
        <w:rPr>
          <w:rFonts w:hint="cs"/>
          <w:rtl/>
        </w:rPr>
        <w:t>ביאור הריטב"א ברש"י דהחזקה והמחאה כדבר אחד ומקשה הגמ' מהמחאה דדמי להעדאה</w:t>
      </w:r>
      <w:bookmarkEnd w:id="3508"/>
      <w:bookmarkEnd w:id="3509"/>
      <w:bookmarkEnd w:id="3510"/>
    </w:p>
    <w:p w:rsidR="007A505A" w:rsidRPr="001D1883" w:rsidRDefault="007A505A" w:rsidP="007E4E81">
      <w:pPr>
        <w:pStyle w:val="a0"/>
        <w:rPr>
          <w:rtl/>
        </w:rPr>
      </w:pPr>
      <w:bookmarkStart w:id="3511" w:name="_Ref55334847"/>
      <w:r>
        <w:rPr>
          <w:rFonts w:hint="cs"/>
          <w:rtl/>
        </w:rPr>
        <w:t>ו</w:t>
      </w:r>
      <w:r w:rsidRPr="001D1883">
        <w:rPr>
          <w:rFonts w:hint="cs"/>
          <w:rtl/>
        </w:rPr>
        <w:t>כתב</w:t>
      </w:r>
      <w:r w:rsidRPr="001D1883">
        <w:rPr>
          <w:rStyle w:val="af9"/>
          <w:rFonts w:hint="cs"/>
          <w:rtl/>
        </w:rPr>
        <w:t xml:space="preserve"> הריטב"א</w:t>
      </w:r>
      <w:r w:rsidRPr="001D1883">
        <w:rPr>
          <w:rFonts w:hint="cs"/>
          <w:rtl/>
        </w:rPr>
        <w:t xml:space="preserve"> דצריך לבאר את דברי </w:t>
      </w:r>
      <w:r w:rsidRPr="001D1883">
        <w:rPr>
          <w:rStyle w:val="af9"/>
          <w:rFonts w:hint="cs"/>
          <w:rtl/>
        </w:rPr>
        <w:t>רש"י</w:t>
      </w:r>
      <w:r w:rsidRPr="001D1883">
        <w:rPr>
          <w:rFonts w:hint="cs"/>
          <w:rtl/>
        </w:rPr>
        <w:t xml:space="preserve"> עפ"י דברי </w:t>
      </w:r>
      <w:r w:rsidRPr="001D1883">
        <w:rPr>
          <w:rStyle w:val="af9"/>
          <w:rFonts w:hint="cs"/>
          <w:rtl/>
        </w:rPr>
        <w:t>ר"י והתוס'</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Ref55319218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1D1883">
        <w:rPr>
          <w:rStyle w:val="af7"/>
          <w:rFonts w:eastAsia="Guttman Hodes"/>
          <w:rtl/>
        </w:rPr>
        <w:fldChar w:fldCharType="end"/>
      </w:r>
      <w:r w:rsidRPr="001D1883">
        <w:rPr>
          <w:rFonts w:hint="cs"/>
          <w:rtl/>
        </w:rPr>
        <w:t xml:space="preserve">, דכיון שהחזקה תלויה במחאה, א"כ החזקה והמחאה הם דבר אחד, ולכן כשמקשה הגמ' מהמחאה חשיב כקושיה מהחזקה, וביאר </w:t>
      </w:r>
      <w:r w:rsidRPr="001D1883">
        <w:rPr>
          <w:rStyle w:val="af9"/>
          <w:rFonts w:hint="cs"/>
          <w:rtl/>
        </w:rPr>
        <w:t>רש"י</w:t>
      </w:r>
      <w:r w:rsidRPr="001D1883">
        <w:rPr>
          <w:rFonts w:hint="cs"/>
          <w:rtl/>
        </w:rPr>
        <w:t xml:space="preserve"> דכיון דהמחאה היא בכדי שישמור את ראיותיו, וההעדאה היא בכדי שישמור את שורו, לכן מקשה הגמ' מהמחאה, דדין המחאה צריך להיות כמו דין ההעדאה.</w:t>
      </w:r>
      <w:bookmarkEnd w:id="3511"/>
    </w:p>
    <w:p w:rsidR="007A505A" w:rsidRPr="001D1883" w:rsidRDefault="007A505A" w:rsidP="007A505A">
      <w:pPr>
        <w:pStyle w:val="1"/>
      </w:pPr>
      <w:bookmarkStart w:id="3512" w:name="_Toc55375277"/>
      <w:bookmarkStart w:id="3513" w:name="_Toc55386226"/>
      <w:bookmarkStart w:id="3514" w:name="_Toc55391146"/>
      <w:r>
        <w:rPr>
          <w:rFonts w:hint="cs"/>
          <w:rtl/>
        </w:rPr>
        <w:t>דחיית</w:t>
      </w:r>
      <w:r w:rsidRPr="001D1883">
        <w:rPr>
          <w:rFonts w:hint="cs"/>
          <w:rtl/>
        </w:rPr>
        <w:t xml:space="preserve"> התוס' הרא"ש </w:t>
      </w:r>
      <w:r>
        <w:rPr>
          <w:rFonts w:hint="cs"/>
          <w:rtl/>
        </w:rPr>
        <w:t xml:space="preserve">את דעת </w:t>
      </w:r>
      <w:r w:rsidRPr="001D1883">
        <w:rPr>
          <w:rFonts w:hint="cs"/>
          <w:rtl/>
        </w:rPr>
        <w:t>רש"י</w:t>
      </w:r>
      <w:bookmarkEnd w:id="3465"/>
      <w:bookmarkEnd w:id="3466"/>
      <w:bookmarkEnd w:id="3467"/>
      <w:bookmarkEnd w:id="3501"/>
      <w:bookmarkEnd w:id="3502"/>
      <w:bookmarkEnd w:id="3503"/>
      <w:r>
        <w:rPr>
          <w:rFonts w:hint="cs"/>
          <w:rtl/>
        </w:rPr>
        <w:t xml:space="preserve"> דא"א להקשות מהמחאה</w:t>
      </w:r>
      <w:bookmarkEnd w:id="3512"/>
      <w:bookmarkEnd w:id="3513"/>
      <w:bookmarkEnd w:id="3514"/>
    </w:p>
    <w:p w:rsidR="007A505A" w:rsidRPr="001D1883" w:rsidRDefault="007A505A" w:rsidP="007A505A">
      <w:pPr>
        <w:pStyle w:val="a3"/>
      </w:pPr>
      <w:bookmarkStart w:id="3515" w:name="_Toc55342087"/>
      <w:bookmarkStart w:id="3516" w:name="_Toc55342188"/>
      <w:bookmarkStart w:id="3517" w:name="_Toc55375278"/>
      <w:bookmarkStart w:id="3518" w:name="_Toc55386227"/>
      <w:bookmarkStart w:id="3519" w:name="_Toc55391147"/>
      <w:r w:rsidRPr="001D1883">
        <w:rPr>
          <w:rFonts w:hint="cs"/>
          <w:rtl/>
        </w:rPr>
        <w:t>קושית התו</w:t>
      </w:r>
      <w:r>
        <w:rPr>
          <w:rFonts w:hint="cs"/>
          <w:rtl/>
        </w:rPr>
        <w:t>ס' ה</w:t>
      </w:r>
      <w:r w:rsidRPr="001D1883">
        <w:rPr>
          <w:rFonts w:hint="cs"/>
          <w:rtl/>
        </w:rPr>
        <w:t>רא"ש דהמחאה באה להעמיד בחזקת המרא קמא ולכן א"צ למחות בפני המחזיק</w:t>
      </w:r>
      <w:bookmarkEnd w:id="3515"/>
      <w:bookmarkEnd w:id="3516"/>
      <w:bookmarkEnd w:id="3517"/>
      <w:bookmarkEnd w:id="3518"/>
      <w:bookmarkEnd w:id="3519"/>
    </w:p>
    <w:p w:rsidR="007A505A" w:rsidRPr="001D1883" w:rsidRDefault="007A505A" w:rsidP="007E4E81">
      <w:pPr>
        <w:pStyle w:val="a0"/>
        <w:rPr>
          <w:rtl/>
        </w:rPr>
      </w:pPr>
      <w:bookmarkStart w:id="3520" w:name="_Ref54603444"/>
      <w:bookmarkStart w:id="3521" w:name="_Ref55334481"/>
      <w:bookmarkStart w:id="3522" w:name="_Ref55333797"/>
      <w:r>
        <w:rPr>
          <w:rStyle w:val="af9"/>
          <w:rFonts w:hint="cs"/>
          <w:rtl/>
        </w:rPr>
        <w:t>ו</w:t>
      </w:r>
      <w:r w:rsidRPr="001D1883">
        <w:rPr>
          <w:rStyle w:val="af9"/>
          <w:rFonts w:hint="cs"/>
          <w:rtl/>
        </w:rPr>
        <w:t>התוס' הרא"ש</w:t>
      </w:r>
      <w:r w:rsidRPr="001D1883">
        <w:rPr>
          <w:rFonts w:hint="cs"/>
          <w:rtl/>
        </w:rPr>
        <w:t xml:space="preserve"> </w:t>
      </w:r>
      <w:r w:rsidRPr="001D1883">
        <w:rPr>
          <w:rStyle w:val="af9"/>
          <w:rFonts w:hint="cs"/>
          <w:rtl/>
        </w:rPr>
        <w:t xml:space="preserve">בשיטמ"ק </w:t>
      </w:r>
      <w:r w:rsidRPr="001D1883">
        <w:rPr>
          <w:rStyle w:val="af7"/>
          <w:rFonts w:eastAsia="Guttman Hodes" w:hint="cs"/>
          <w:rtl/>
        </w:rPr>
        <w:t>(ד"ה אלא, נד' בגמ' במהדו' "עוז והדר")</w:t>
      </w:r>
      <w:r w:rsidRPr="001D1883">
        <w:rPr>
          <w:rFonts w:hint="cs"/>
          <w:rtl/>
        </w:rPr>
        <w:t xml:space="preserve"> הקשה</w:t>
      </w:r>
      <w:r>
        <w:rPr>
          <w:rFonts w:hint="cs"/>
          <w:rtl/>
        </w:rPr>
        <w:t xml:space="preserve"> </w:t>
      </w:r>
      <w:r w:rsidRPr="001D1883">
        <w:rPr>
          <w:rFonts w:hint="cs"/>
          <w:rtl/>
        </w:rPr>
        <w:t>על</w:t>
      </w:r>
      <w:r w:rsidRPr="001D1883">
        <w:rPr>
          <w:rStyle w:val="af9"/>
          <w:rFonts w:hint="cs"/>
          <w:rtl/>
        </w:rPr>
        <w:t xml:space="preserve"> רש"י</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sidRPr="001D1883">
        <w:rPr>
          <w:rFonts w:hint="cs"/>
          <w:rtl/>
        </w:rPr>
        <w:t xml:space="preserve"> דא"א לומר דקושית הגמ' דכמו דילפינן חזקה מנגיחה, כך צריך ללמוד מחאה מההעדאה, דכמו שהעדאה היא בפניו ה"ה במחאה, דהרי מה שצריך דההעדאה תהיה בפניו, הוא כיון שהיא באה להוציאו מחזקת תם ולעשותו למועד, אבל המחאה באה להעמיד את הקרקע בחזקת המרא קמא, ולכן א"צ שהמחאה תהיה בפניו</w:t>
      </w:r>
      <w:bookmarkStart w:id="3523" w:name="_Ref54625618"/>
      <w:bookmarkEnd w:id="3520"/>
      <w:r w:rsidRPr="001D1883">
        <w:rPr>
          <w:rFonts w:hint="cs"/>
          <w:rtl/>
        </w:rPr>
        <w:t xml:space="preserve">. </w:t>
      </w:r>
      <w:r w:rsidRPr="001D1883">
        <w:rPr>
          <w:rStyle w:val="afb"/>
          <w:rFonts w:hint="cs"/>
          <w:rtl/>
        </w:rPr>
        <w:t xml:space="preserve">[ועי' בדברי </w:t>
      </w:r>
      <w:r w:rsidRPr="001D1883">
        <w:rPr>
          <w:rStyle w:val="affa"/>
          <w:rFonts w:hint="cs"/>
          <w:rtl/>
        </w:rPr>
        <w:t>התוס'</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Ref55211210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יב)</w:t>
      </w:r>
      <w:r w:rsidRPr="001D1883">
        <w:rPr>
          <w:rStyle w:val="aff6"/>
          <w:rtl/>
        </w:rPr>
        <w:fldChar w:fldCharType="end"/>
      </w:r>
      <w:r w:rsidRPr="001D1883">
        <w:rPr>
          <w:rStyle w:val="afb"/>
          <w:rFonts w:hint="cs"/>
          <w:rtl/>
        </w:rPr>
        <w:t>].</w:t>
      </w:r>
      <w:bookmarkEnd w:id="3521"/>
    </w:p>
    <w:p w:rsidR="007A505A" w:rsidRPr="001D1883" w:rsidRDefault="007A505A" w:rsidP="007A505A">
      <w:pPr>
        <w:pStyle w:val="a3"/>
      </w:pPr>
      <w:bookmarkStart w:id="3524" w:name="_Toc55342088"/>
      <w:bookmarkStart w:id="3525" w:name="_Toc55342189"/>
      <w:bookmarkStart w:id="3526" w:name="_Toc55375279"/>
      <w:bookmarkStart w:id="3527" w:name="_Toc55386228"/>
      <w:bookmarkStart w:id="3528" w:name="_Toc55391148"/>
      <w:r w:rsidRPr="001D1883">
        <w:rPr>
          <w:rFonts w:hint="cs"/>
          <w:rtl/>
        </w:rPr>
        <w:t>קושית התו</w:t>
      </w:r>
      <w:r>
        <w:rPr>
          <w:rFonts w:hint="cs"/>
          <w:rtl/>
        </w:rPr>
        <w:t>ס' ה</w:t>
      </w:r>
      <w:r w:rsidRPr="001D1883">
        <w:rPr>
          <w:rFonts w:hint="cs"/>
          <w:rtl/>
        </w:rPr>
        <w:t>רא"ש על רש"י דהיה לגמ' להקשות דחזקה לא תועיל שלא בפניו ולא ממחאה</w:t>
      </w:r>
      <w:bookmarkEnd w:id="3524"/>
      <w:bookmarkEnd w:id="3525"/>
      <w:bookmarkEnd w:id="3526"/>
      <w:bookmarkEnd w:id="3527"/>
      <w:bookmarkEnd w:id="3528"/>
    </w:p>
    <w:p w:rsidR="007A505A" w:rsidRDefault="007A505A" w:rsidP="007E4E81">
      <w:pPr>
        <w:pStyle w:val="a0"/>
        <w:rPr>
          <w:rtl/>
        </w:rPr>
      </w:pPr>
      <w:bookmarkStart w:id="3529" w:name="_Ref55334603"/>
      <w:r w:rsidRPr="001D1883">
        <w:rPr>
          <w:rFonts w:hint="cs"/>
          <w:rtl/>
        </w:rPr>
        <w:t xml:space="preserve">ועוד הקשה </w:t>
      </w:r>
      <w:r w:rsidRPr="001D1883">
        <w:rPr>
          <w:rStyle w:val="af9"/>
          <w:rFonts w:hint="cs"/>
          <w:rtl/>
        </w:rPr>
        <w:t xml:space="preserve">התוס' הרא"ש </w:t>
      </w:r>
      <w:r w:rsidRPr="001D1883">
        <w:rPr>
          <w:rFonts w:hint="cs"/>
          <w:rtl/>
        </w:rPr>
        <w:t xml:space="preserve">על </w:t>
      </w:r>
      <w:r w:rsidRPr="001D1883">
        <w:rPr>
          <w:rStyle w:val="af9"/>
          <w:rFonts w:hint="cs"/>
          <w:rtl/>
        </w:rPr>
        <w:t>רש"י</w:t>
      </w:r>
      <w:r w:rsidRPr="001D1883">
        <w:rPr>
          <w:rFonts w:hint="cs"/>
          <w:rtl/>
        </w:rPr>
        <w:t xml:space="preserve"> דהיה לגמ' להקשות מהחזקה שלא תועיל בפניו, כמו דהשור אינו נעשה מועד עד שיעידו בו בפניו, וכן הקשו </w:t>
      </w:r>
      <w:r w:rsidRPr="001D1883">
        <w:rPr>
          <w:rStyle w:val="af9"/>
          <w:rFonts w:hint="cs"/>
          <w:rtl/>
        </w:rPr>
        <w:t>הרמב"ן</w:t>
      </w:r>
      <w:r w:rsidRPr="001D1883">
        <w:rPr>
          <w:rFonts w:hint="cs"/>
          <w:rtl/>
        </w:rPr>
        <w:t xml:space="preserve"> בשם </w:t>
      </w:r>
      <w:r w:rsidRPr="001D1883">
        <w:rPr>
          <w:rStyle w:val="af9"/>
          <w:rFonts w:hint="cs"/>
          <w:rtl/>
        </w:rPr>
        <w:t>י"א והר"ן</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Ref55333640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1D1883">
        <w:rPr>
          <w:rStyle w:val="af7"/>
          <w:rFonts w:eastAsia="Guttman Hodes"/>
          <w:rtl/>
        </w:rPr>
        <w:fldChar w:fldCharType="end"/>
      </w:r>
      <w:r w:rsidRPr="001D1883">
        <w:rPr>
          <w:rStyle w:val="af9"/>
          <w:rFonts w:hint="cs"/>
          <w:rtl/>
        </w:rPr>
        <w:t xml:space="preserve"> והבעה"מ</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Ref55334557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1D1883">
        <w:rPr>
          <w:rStyle w:val="af7"/>
          <w:rFonts w:eastAsia="Guttman Hodes"/>
          <w:rtl/>
        </w:rPr>
        <w:fldChar w:fldCharType="end"/>
      </w:r>
      <w:r w:rsidRPr="001D1883">
        <w:rPr>
          <w:rFonts w:hint="cs"/>
          <w:rtl/>
        </w:rPr>
        <w:t>.</w:t>
      </w:r>
      <w:bookmarkEnd w:id="3522"/>
      <w:bookmarkEnd w:id="3523"/>
      <w:bookmarkEnd w:id="3529"/>
    </w:p>
    <w:p w:rsidR="007A505A" w:rsidRPr="00EE6986" w:rsidRDefault="007A505A" w:rsidP="007A505A">
      <w:pPr>
        <w:pStyle w:val="a3"/>
        <w:rPr>
          <w:rtl/>
        </w:rPr>
      </w:pPr>
      <w:bookmarkStart w:id="3530" w:name="_Toc55375280"/>
      <w:bookmarkStart w:id="3531" w:name="_Toc55386229"/>
      <w:bookmarkStart w:id="3532" w:name="_Toc55391149"/>
      <w:r>
        <w:rPr>
          <w:rFonts w:hint="cs"/>
          <w:rtl/>
        </w:rPr>
        <w:t>דחיית התוס' הרא"ש דכוונת הגמ' להקשות דממילא לא מהני החזקה ולא מהמחאה עצמה</w:t>
      </w:r>
      <w:bookmarkEnd w:id="3530"/>
      <w:bookmarkEnd w:id="3531"/>
      <w:bookmarkEnd w:id="3532"/>
    </w:p>
    <w:p w:rsidR="007A505A" w:rsidRDefault="007A505A" w:rsidP="007E4E81">
      <w:pPr>
        <w:pStyle w:val="a0"/>
        <w:rPr>
          <w:rtl/>
        </w:rPr>
      </w:pPr>
      <w:r w:rsidRPr="001D1883">
        <w:rPr>
          <w:rFonts w:hint="cs"/>
          <w:rtl/>
        </w:rPr>
        <w:t>אלא דחה</w:t>
      </w:r>
      <w:r w:rsidRPr="001D1883">
        <w:rPr>
          <w:rStyle w:val="af9"/>
          <w:rFonts w:hint="cs"/>
          <w:rtl/>
        </w:rPr>
        <w:t xml:space="preserve"> התוס' הרא"ש</w:t>
      </w:r>
      <w:r w:rsidRPr="001D1883">
        <w:rPr>
          <w:rFonts w:hint="cs"/>
          <w:rtl/>
        </w:rPr>
        <w:t xml:space="preserve"> דברי </w:t>
      </w:r>
      <w:r w:rsidRPr="001D1883">
        <w:rPr>
          <w:rStyle w:val="af9"/>
          <w:rFonts w:hint="cs"/>
          <w:rtl/>
        </w:rPr>
        <w:t>רש"י</w:t>
      </w:r>
      <w:r w:rsidRPr="001D1883">
        <w:rPr>
          <w:rFonts w:hint="cs"/>
          <w:rtl/>
        </w:rPr>
        <w:t xml:space="preserve"> את דברי </w:t>
      </w:r>
      <w:r w:rsidRPr="001D1883">
        <w:rPr>
          <w:rStyle w:val="af9"/>
          <w:rFonts w:hint="cs"/>
          <w:rtl/>
        </w:rPr>
        <w:t>רש"י</w:t>
      </w:r>
      <w:r w:rsidRPr="001D1883">
        <w:rPr>
          <w:rFonts w:hint="cs"/>
          <w:rtl/>
        </w:rPr>
        <w:t>, וביאר</w:t>
      </w:r>
      <w:r w:rsidRPr="001D1883">
        <w:rPr>
          <w:rStyle w:val="af9"/>
          <w:rFonts w:hint="cs"/>
          <w:rtl/>
        </w:rPr>
        <w:t xml:space="preserve"> התוס' הרא"ש</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Ref55208071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1D1883">
        <w:rPr>
          <w:rStyle w:val="af7"/>
          <w:rFonts w:eastAsia="Guttman Hodes"/>
          <w:rtl/>
        </w:rPr>
        <w:fldChar w:fldCharType="end"/>
      </w:r>
      <w:r w:rsidRPr="001D1883">
        <w:rPr>
          <w:rFonts w:hint="cs"/>
          <w:rtl/>
        </w:rPr>
        <w:t xml:space="preserve"> דכוונת הגמ' להקשות על עיקר דין החזקה, דכיון דמחאה שלא בפניו אינה מחאה, ממילא חזקה שלא בפניו אינה חזקה.</w:t>
      </w:r>
    </w:p>
    <w:p w:rsidR="007A505A" w:rsidRPr="001D1883" w:rsidRDefault="007A505A" w:rsidP="007A505A">
      <w:pPr>
        <w:pStyle w:val="afe"/>
        <w:rPr>
          <w:rtl/>
        </w:rPr>
      </w:pPr>
      <w:bookmarkStart w:id="3533" w:name="_Toc55391150"/>
      <w:bookmarkStart w:id="3534" w:name="_Toc54642642"/>
      <w:bookmarkStart w:id="3535" w:name="_Toc55127843"/>
      <w:r>
        <w:rPr>
          <w:rFonts w:hint="cs"/>
          <w:rtl/>
        </w:rPr>
        <w:t>תי' הרמב"ן בחילוק בין חזקה למחאה</w:t>
      </w:r>
      <w:bookmarkEnd w:id="3533"/>
    </w:p>
    <w:p w:rsidR="007A505A" w:rsidRPr="001D1883" w:rsidRDefault="007A505A" w:rsidP="007A505A">
      <w:pPr>
        <w:pStyle w:val="1"/>
        <w:rPr>
          <w:rtl/>
        </w:rPr>
      </w:pPr>
      <w:bookmarkStart w:id="3536" w:name="_Toc54642643"/>
      <w:bookmarkStart w:id="3537" w:name="_Toc55127844"/>
      <w:bookmarkStart w:id="3538" w:name="_Toc55246096"/>
      <w:bookmarkStart w:id="3539" w:name="_Toc55325164"/>
      <w:bookmarkStart w:id="3540" w:name="_Toc55342091"/>
      <w:bookmarkStart w:id="3541" w:name="_Toc55342192"/>
      <w:bookmarkStart w:id="3542" w:name="_Toc55375285"/>
      <w:bookmarkStart w:id="3543" w:name="_Toc55386231"/>
      <w:bookmarkStart w:id="3544" w:name="_Toc55391151"/>
      <w:bookmarkEnd w:id="3534"/>
      <w:bookmarkEnd w:id="3535"/>
      <w:r w:rsidRPr="001D1883">
        <w:rPr>
          <w:rFonts w:hint="cs"/>
          <w:rtl/>
        </w:rPr>
        <w:t>תירוץ הרמב"ן</w:t>
      </w:r>
      <w:bookmarkEnd w:id="3536"/>
      <w:bookmarkEnd w:id="3537"/>
      <w:bookmarkEnd w:id="3538"/>
      <w:bookmarkEnd w:id="3539"/>
      <w:bookmarkEnd w:id="3540"/>
      <w:bookmarkEnd w:id="3541"/>
      <w:bookmarkEnd w:id="3542"/>
      <w:bookmarkEnd w:id="3543"/>
      <w:r w:rsidRPr="001D1883">
        <w:rPr>
          <w:rFonts w:hint="cs"/>
          <w:rtl/>
        </w:rPr>
        <w:t xml:space="preserve"> </w:t>
      </w:r>
      <w:r>
        <w:rPr>
          <w:rFonts w:hint="cs"/>
          <w:rtl/>
        </w:rPr>
        <w:t>דבחזקה שלא שאל המערער התייאש מהקרקע</w:t>
      </w:r>
      <w:bookmarkEnd w:id="3544"/>
    </w:p>
    <w:p w:rsidR="007A505A" w:rsidRPr="001D1883" w:rsidRDefault="007A505A" w:rsidP="007A505A">
      <w:pPr>
        <w:pStyle w:val="a3"/>
        <w:rPr>
          <w:rtl/>
        </w:rPr>
      </w:pPr>
      <w:bookmarkStart w:id="3545" w:name="_Toc55391152"/>
      <w:r>
        <w:rPr>
          <w:rFonts w:hint="cs"/>
          <w:rtl/>
        </w:rPr>
        <w:t>תירוץ הרמב"ן דחזקה שלא בפניו בזמן ארוך עבידא לאיגלויי ולא דמי להעדאה דצריך בפניו</w:t>
      </w:r>
      <w:bookmarkEnd w:id="3545"/>
    </w:p>
    <w:p w:rsidR="007A505A" w:rsidRPr="001D1883" w:rsidRDefault="007A505A" w:rsidP="007E4E81">
      <w:pPr>
        <w:pStyle w:val="a0"/>
        <w:rPr>
          <w:rtl/>
        </w:rPr>
      </w:pPr>
      <w:bookmarkStart w:id="3546" w:name="_Ref54627833"/>
      <w:r>
        <w:rPr>
          <w:rStyle w:val="af9"/>
          <w:rFonts w:hint="cs"/>
          <w:rtl/>
        </w:rPr>
        <w:t>ו</w:t>
      </w:r>
      <w:r w:rsidRPr="001D1883">
        <w:rPr>
          <w:rStyle w:val="af9"/>
          <w:rFonts w:hint="cs"/>
          <w:rtl/>
        </w:rPr>
        <w:t>הרמב"ן בחי'</w:t>
      </w:r>
      <w:r w:rsidRPr="001D1883">
        <w:rPr>
          <w:rFonts w:hint="cs"/>
          <w:rtl/>
        </w:rPr>
        <w:t xml:space="preserve"> </w:t>
      </w:r>
      <w:r w:rsidRPr="001D1883">
        <w:rPr>
          <w:rStyle w:val="af7"/>
          <w:rFonts w:eastAsia="Guttman Hodes" w:hint="cs"/>
          <w:rtl/>
        </w:rPr>
        <w:t>(ד"ה ותו)</w:t>
      </w:r>
      <w:r w:rsidRPr="001D1883">
        <w:rPr>
          <w:rFonts w:hint="cs"/>
          <w:rtl/>
        </w:rPr>
        <w:t xml:space="preserve"> </w:t>
      </w:r>
      <w:r w:rsidRPr="001D1883">
        <w:rPr>
          <w:rStyle w:val="af9"/>
          <w:rFonts w:hint="cs"/>
          <w:rtl/>
        </w:rPr>
        <w:t>ובמלחמות</w:t>
      </w:r>
      <w:r w:rsidRPr="001D1883">
        <w:rPr>
          <w:rStyle w:val="af7"/>
          <w:rFonts w:eastAsia="Guttman Hodes" w:hint="cs"/>
          <w:rtl/>
        </w:rPr>
        <w:t xml:space="preserve"> (יד. מדה"ר ד"ה אני רואה)</w:t>
      </w:r>
      <w:r w:rsidRPr="001D1883">
        <w:rPr>
          <w:rFonts w:hint="cs"/>
          <w:rtl/>
        </w:rPr>
        <w:t xml:space="preserve"> תירץ</w:t>
      </w:r>
      <w:r>
        <w:rPr>
          <w:rFonts w:hint="cs"/>
          <w:rtl/>
        </w:rPr>
        <w:t xml:space="preserve"> דהא דהגמ' מקשה מהמחאה ולא מהחזקה, הוא כיון ד</w:t>
      </w:r>
      <w:r w:rsidRPr="001D1883">
        <w:rPr>
          <w:rFonts w:hint="cs"/>
          <w:rtl/>
        </w:rPr>
        <w:t>לא הוקשה לגמ'</w:t>
      </w:r>
      <w:r>
        <w:rPr>
          <w:rFonts w:hint="cs"/>
          <w:rtl/>
        </w:rPr>
        <w:t xml:space="preserve"> </w:t>
      </w:r>
      <w:r w:rsidRPr="001D1883">
        <w:rPr>
          <w:rFonts w:hint="cs"/>
          <w:rtl/>
        </w:rPr>
        <w:t>ד</w:t>
      </w:r>
      <w:r>
        <w:rPr>
          <w:rFonts w:hint="cs"/>
          <w:rtl/>
        </w:rPr>
        <w:t xml:space="preserve">לא תועיל </w:t>
      </w:r>
      <w:r w:rsidRPr="001D1883">
        <w:rPr>
          <w:rFonts w:hint="cs"/>
          <w:rtl/>
        </w:rPr>
        <w:t>חזקה שלא בפניו,</w:t>
      </w:r>
      <w:r>
        <w:rPr>
          <w:rFonts w:hint="cs"/>
          <w:rtl/>
        </w:rPr>
        <w:t xml:space="preserve"> כמו דלא מהני העדאה שלא בפניו, דהא </w:t>
      </w:r>
      <w:r w:rsidRPr="001D1883">
        <w:rPr>
          <w:rFonts w:hint="cs"/>
          <w:rtl/>
        </w:rPr>
        <w:t xml:space="preserve">ודאי </w:t>
      </w:r>
      <w:r>
        <w:rPr>
          <w:rFonts w:hint="cs"/>
          <w:rtl/>
        </w:rPr>
        <w:t xml:space="preserve">דחזקה </w:t>
      </w:r>
      <w:r w:rsidRPr="001D1883">
        <w:rPr>
          <w:rFonts w:hint="cs"/>
          <w:rtl/>
        </w:rPr>
        <w:t>לא דמי להעדא</w:t>
      </w:r>
      <w:r>
        <w:rPr>
          <w:rFonts w:hint="cs"/>
          <w:rtl/>
        </w:rPr>
        <w:t>ה</w:t>
      </w:r>
      <w:r w:rsidRPr="001D1883">
        <w:rPr>
          <w:rFonts w:hint="cs"/>
          <w:rtl/>
        </w:rPr>
        <w:t xml:space="preserve">, </w:t>
      </w:r>
      <w:r>
        <w:rPr>
          <w:rFonts w:hint="cs"/>
          <w:rtl/>
        </w:rPr>
        <w:t>דהא</w:t>
      </w:r>
      <w:r w:rsidRPr="001D1883">
        <w:rPr>
          <w:rFonts w:hint="cs"/>
          <w:rtl/>
        </w:rPr>
        <w:t xml:space="preserve"> דהחזקה היא מילתא דעבידא לאיגלויי, דזמן החזקה הוא ארוך, ואדם עשוי לשאול אחרים מי מחזיק בשדהו</w:t>
      </w:r>
      <w:r>
        <w:rPr>
          <w:rFonts w:hint="cs"/>
          <w:rtl/>
        </w:rPr>
        <w:t>, ו</w:t>
      </w:r>
      <w:r w:rsidRPr="001D1883">
        <w:rPr>
          <w:rFonts w:hint="cs"/>
          <w:rtl/>
        </w:rPr>
        <w:t>לכן לכו"ע חזקה שלא בפניו הוי חזק</w:t>
      </w:r>
      <w:r>
        <w:rPr>
          <w:rFonts w:hint="cs"/>
          <w:rtl/>
        </w:rPr>
        <w:t>ה</w:t>
      </w:r>
      <w:r w:rsidRPr="001D1883">
        <w:rPr>
          <w:rFonts w:hint="cs"/>
          <w:rtl/>
        </w:rPr>
        <w:t>.</w:t>
      </w:r>
    </w:p>
    <w:p w:rsidR="007A505A" w:rsidRPr="001D1883" w:rsidRDefault="007A505A" w:rsidP="007A505A">
      <w:pPr>
        <w:pStyle w:val="a3"/>
      </w:pPr>
      <w:bookmarkStart w:id="3547" w:name="_Toc55375286"/>
      <w:bookmarkStart w:id="3548" w:name="_Toc55386232"/>
      <w:bookmarkStart w:id="3549" w:name="_Toc55391153"/>
      <w:r>
        <w:rPr>
          <w:rFonts w:hint="cs"/>
          <w:rtl/>
        </w:rPr>
        <w:lastRenderedPageBreak/>
        <w:t>ביאור הרמב"ן דבחזקה שלא בפניו כשלא שאל המר"ק על קרקעו התייאש ממנה ונכנסה ללוקח</w:t>
      </w:r>
      <w:bookmarkEnd w:id="3547"/>
      <w:bookmarkEnd w:id="3548"/>
      <w:bookmarkEnd w:id="3549"/>
      <w:r>
        <w:rPr>
          <w:rFonts w:hint="cs"/>
          <w:rtl/>
        </w:rPr>
        <w:t xml:space="preserve"> </w:t>
      </w:r>
    </w:p>
    <w:p w:rsidR="007A505A" w:rsidRPr="00EB3BD5" w:rsidRDefault="007A505A" w:rsidP="007E4E81">
      <w:pPr>
        <w:pStyle w:val="a0"/>
        <w:rPr>
          <w:rtl/>
        </w:rPr>
      </w:pPr>
      <w:bookmarkStart w:id="3550" w:name="_Ref55373275"/>
      <w:r w:rsidRPr="00EB3BD5">
        <w:rPr>
          <w:rFonts w:hint="cs"/>
          <w:rtl/>
        </w:rPr>
        <w:t xml:space="preserve">וביאר </w:t>
      </w:r>
      <w:r w:rsidRPr="00EB3BD5">
        <w:rPr>
          <w:rStyle w:val="af9"/>
          <w:rFonts w:hint="cs"/>
          <w:rtl/>
        </w:rPr>
        <w:t>הרמב"ן במלחמות</w:t>
      </w:r>
      <w:r w:rsidRPr="00EB3BD5">
        <w:rPr>
          <w:rFonts w:hint="cs"/>
          <w:rtl/>
        </w:rPr>
        <w:t xml:space="preserve"> דהא דלכו"ע חזקה שלא בפניו הוי חזקה, </w:t>
      </w:r>
      <w:r>
        <w:rPr>
          <w:rFonts w:hint="cs"/>
          <w:rtl/>
        </w:rPr>
        <w:t xml:space="preserve">ולא דמי להעדאה, </w:t>
      </w:r>
      <w:r w:rsidRPr="00EB3BD5">
        <w:rPr>
          <w:rFonts w:hint="cs"/>
          <w:rtl/>
        </w:rPr>
        <w:t>הוא כיון דכשלא שאל המערער על הקרקע שלו, מוכח שהוא התייאש מהקרקע, ויצאה הקרקע מחזקתו, כלשון הגמ' "</w:t>
      </w:r>
      <w:r w:rsidRPr="00EB3BD5">
        <w:rPr>
          <w:rtl/>
        </w:rPr>
        <w:t>נפק לה מרשות מוכר וקיימא לה ברשות לוקח</w:t>
      </w:r>
      <w:r w:rsidRPr="00EB3BD5">
        <w:rPr>
          <w:rFonts w:hint="cs"/>
          <w:rtl/>
        </w:rPr>
        <w:t>" דהמרא קמא הוציאה מחזקתו, ונכנסה לרשות הלוקח כשעמדה בידו ג"ש, וזו כוונת הגמ' דחזקה דמי לשור המועד "ד</w:t>
      </w:r>
      <w:r w:rsidRPr="00EB3BD5">
        <w:rPr>
          <w:rtl/>
        </w:rPr>
        <w:t>נפק לי</w:t>
      </w:r>
      <w:r w:rsidRPr="00EB3BD5">
        <w:rPr>
          <w:rFonts w:hint="cs"/>
          <w:rtl/>
        </w:rPr>
        <w:t>ה</w:t>
      </w:r>
      <w:r w:rsidRPr="00EB3BD5">
        <w:rPr>
          <w:rtl/>
        </w:rPr>
        <w:t xml:space="preserve"> מחזקת תם וקם ליה בחזקת מועד</w:t>
      </w:r>
      <w:r w:rsidRPr="00EB3BD5">
        <w:rPr>
          <w:rFonts w:hint="cs"/>
          <w:rtl/>
        </w:rPr>
        <w:t>"</w:t>
      </w:r>
      <w:r>
        <w:rPr>
          <w:rFonts w:hint="cs"/>
          <w:rtl/>
        </w:rPr>
        <w:t>, דכמו דהחזקה מכניסה את הקרקע לרשות הלוקח, כך העדאה מכניסה את השור לחזקת מועדות</w:t>
      </w:r>
      <w:r w:rsidRPr="00EB3BD5">
        <w:rPr>
          <w:rFonts w:hint="cs"/>
          <w:rtl/>
        </w:rPr>
        <w:t>.</w:t>
      </w:r>
      <w:bookmarkEnd w:id="3550"/>
      <w:r w:rsidRPr="00EB3BD5">
        <w:rPr>
          <w:rFonts w:hint="cs"/>
          <w:rtl/>
        </w:rPr>
        <w:t xml:space="preserve"> </w:t>
      </w:r>
    </w:p>
    <w:p w:rsidR="007A505A" w:rsidRPr="001D1883" w:rsidRDefault="007A505A" w:rsidP="007A505A">
      <w:pPr>
        <w:pStyle w:val="a3"/>
      </w:pPr>
      <w:bookmarkStart w:id="3551" w:name="_Toc55375287"/>
      <w:bookmarkStart w:id="3552" w:name="_Toc55386233"/>
      <w:bookmarkStart w:id="3553" w:name="_Toc55391154"/>
      <w:r>
        <w:rPr>
          <w:rFonts w:hint="cs"/>
          <w:rtl/>
        </w:rPr>
        <w:t>ביאור הרמב"ן דבמחאה אין המחזיק שואל אם מחו בו וכן בהעדאה אינו שואל ולכן צריך בפניו</w:t>
      </w:r>
      <w:bookmarkEnd w:id="3551"/>
      <w:bookmarkEnd w:id="3552"/>
      <w:bookmarkEnd w:id="3553"/>
    </w:p>
    <w:p w:rsidR="007A505A" w:rsidRPr="001D1883" w:rsidRDefault="007A505A" w:rsidP="007E4E81">
      <w:pPr>
        <w:pStyle w:val="a0"/>
        <w:rPr>
          <w:rtl/>
        </w:rPr>
      </w:pPr>
      <w:bookmarkStart w:id="3554" w:name="_Ref55379980"/>
      <w:r w:rsidRPr="001D1883">
        <w:rPr>
          <w:rFonts w:hint="cs"/>
          <w:rtl/>
        </w:rPr>
        <w:t xml:space="preserve">אבל במחאה ביאר </w:t>
      </w:r>
      <w:r w:rsidRPr="001D1883">
        <w:rPr>
          <w:rStyle w:val="af9"/>
          <w:rFonts w:hint="cs"/>
          <w:rtl/>
        </w:rPr>
        <w:t>הרמב"ן בחי' ובמלחמות</w:t>
      </w:r>
      <w:r w:rsidRPr="001D1883">
        <w:rPr>
          <w:rFonts w:hint="cs"/>
          <w:rtl/>
        </w:rPr>
        <w:t xml:space="preserve"> דמחאה שלא בפניו דמי להעדאה בשור המועד, דבמחאה דהמחזיק אינו שואל מי מחה בו, כמו שאין בעל השור שואל עם שורו נגח, ויכול הבעלים לטעון שלא ידע ששורו נגח, בכדי שישמור אותו, ולכן מקשה הגמ' דכמו דבג' נגיחות שבאות לייעד את השור, לא מהני העדאה שלא בפניו, כיון שהבעלים אינו יודע שצריך להזהר בשורו, ה"ה במחאה דיכול המחזיק לטעון דלא שמע מהמחאה ולא ידע להזהר בשטרו, וכדברי </w:t>
      </w:r>
      <w:r w:rsidRPr="001D1883">
        <w:rPr>
          <w:rStyle w:val="af9"/>
          <w:rFonts w:hint="cs"/>
          <w:rtl/>
        </w:rPr>
        <w:t>רש"י</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דהמחאה בחזקה דומה להעדאה בשור, דהיא התראה שישמור שורו, והמחאה היא התראה שיזהר בשטרו</w:t>
      </w:r>
      <w:r>
        <w:rPr>
          <w:rFonts w:hint="cs"/>
          <w:rtl/>
        </w:rPr>
        <w:t xml:space="preserve">, ועי' בדברי </w:t>
      </w:r>
      <w:r w:rsidRPr="008C2034">
        <w:rPr>
          <w:rStyle w:val="af9"/>
          <w:rFonts w:hint="cs"/>
          <w:rtl/>
        </w:rPr>
        <w:t>רבינו יונה</w:t>
      </w:r>
      <w:r>
        <w:rPr>
          <w:rFonts w:hint="cs"/>
          <w:rtl/>
        </w:rPr>
        <w:t xml:space="preserve"> </w:t>
      </w:r>
      <w:r w:rsidRPr="008C2034">
        <w:rPr>
          <w:rStyle w:val="af7"/>
          <w:rFonts w:eastAsia="Guttman Hodes" w:hint="cs"/>
          <w:rtl/>
        </w:rPr>
        <w:t xml:space="preserve">(עי' אות </w:t>
      </w:r>
      <w:r w:rsidRPr="008C2034">
        <w:rPr>
          <w:rStyle w:val="af7"/>
          <w:rFonts w:eastAsia="Guttman Hodes"/>
          <w:rtl/>
        </w:rPr>
        <w:fldChar w:fldCharType="begin"/>
      </w:r>
      <w:r w:rsidRPr="008C2034">
        <w:rPr>
          <w:rStyle w:val="af7"/>
          <w:rFonts w:eastAsia="Guttman Hodes"/>
          <w:rtl/>
        </w:rPr>
        <w:instrText xml:space="preserve"> </w:instrText>
      </w:r>
      <w:r w:rsidRPr="008C2034">
        <w:rPr>
          <w:rStyle w:val="af7"/>
          <w:rFonts w:eastAsia="Guttman Hodes" w:hint="cs"/>
        </w:rPr>
        <w:instrText>REF</w:instrText>
      </w:r>
      <w:r w:rsidRPr="008C2034">
        <w:rPr>
          <w:rStyle w:val="af7"/>
          <w:rFonts w:eastAsia="Guttman Hodes" w:hint="cs"/>
          <w:rtl/>
        </w:rPr>
        <w:instrText xml:space="preserve"> _</w:instrText>
      </w:r>
      <w:r w:rsidRPr="008C2034">
        <w:rPr>
          <w:rStyle w:val="af7"/>
          <w:rFonts w:eastAsia="Guttman Hodes" w:hint="cs"/>
        </w:rPr>
        <w:instrText>Ref55373258 \r \h</w:instrText>
      </w:r>
      <w:r w:rsidRPr="008C2034">
        <w:rPr>
          <w:rStyle w:val="af7"/>
          <w:rFonts w:eastAsia="Guttman Hodes"/>
          <w:rtl/>
        </w:rPr>
        <w:instrText xml:space="preserve"> </w:instrText>
      </w:r>
      <w:r w:rsidRPr="008C2034">
        <w:rPr>
          <w:rStyle w:val="af7"/>
          <w:rFonts w:eastAsia="Guttman Hodes"/>
          <w:rtl/>
        </w:rPr>
      </w:r>
      <w:r w:rsidRPr="008C2034">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8C2034">
        <w:rPr>
          <w:rStyle w:val="af7"/>
          <w:rFonts w:eastAsia="Guttman Hodes"/>
          <w:rtl/>
        </w:rPr>
        <w:fldChar w:fldCharType="end"/>
      </w:r>
      <w:r w:rsidRPr="001D1883">
        <w:rPr>
          <w:rFonts w:hint="cs"/>
          <w:rtl/>
        </w:rPr>
        <w:t>.</w:t>
      </w:r>
      <w:bookmarkEnd w:id="3546"/>
      <w:bookmarkEnd w:id="3554"/>
    </w:p>
    <w:p w:rsidR="007A505A" w:rsidRPr="001D1883" w:rsidRDefault="007A505A" w:rsidP="007A505A">
      <w:pPr>
        <w:pStyle w:val="1"/>
        <w:rPr>
          <w:rtl/>
        </w:rPr>
      </w:pPr>
      <w:bookmarkStart w:id="3555" w:name="_Toc54555966"/>
      <w:bookmarkStart w:id="3556" w:name="_Toc54603736"/>
      <w:bookmarkStart w:id="3557" w:name="_Toc54642644"/>
      <w:bookmarkStart w:id="3558" w:name="_Toc55127845"/>
      <w:bookmarkStart w:id="3559" w:name="_Toc55246097"/>
      <w:bookmarkStart w:id="3560" w:name="_Toc55325165"/>
      <w:bookmarkStart w:id="3561" w:name="_Toc55342092"/>
      <w:bookmarkStart w:id="3562" w:name="_Toc55342193"/>
      <w:bookmarkStart w:id="3563" w:name="_Toc55375288"/>
      <w:bookmarkStart w:id="3564" w:name="_Toc55386234"/>
      <w:bookmarkStart w:id="3565" w:name="_Toc55391155"/>
      <w:r w:rsidRPr="001D1883">
        <w:rPr>
          <w:rFonts w:hint="cs"/>
          <w:rtl/>
        </w:rPr>
        <w:t>ביאור הרמב"ן דאף אי ילפינן משור המחאה היא שיזהר בשטרו</w:t>
      </w:r>
      <w:bookmarkEnd w:id="3555"/>
      <w:bookmarkEnd w:id="3556"/>
      <w:bookmarkEnd w:id="3557"/>
      <w:bookmarkEnd w:id="3558"/>
      <w:bookmarkEnd w:id="3559"/>
      <w:bookmarkEnd w:id="3560"/>
      <w:bookmarkEnd w:id="3561"/>
      <w:bookmarkEnd w:id="3562"/>
      <w:bookmarkEnd w:id="3563"/>
      <w:bookmarkEnd w:id="3564"/>
      <w:bookmarkEnd w:id="3565"/>
    </w:p>
    <w:p w:rsidR="007A505A" w:rsidRPr="001D1883" w:rsidRDefault="007A505A" w:rsidP="007A505A">
      <w:pPr>
        <w:pStyle w:val="a3"/>
        <w:rPr>
          <w:rtl/>
        </w:rPr>
      </w:pPr>
      <w:bookmarkStart w:id="3566" w:name="_Toc55375289"/>
      <w:bookmarkStart w:id="3567" w:name="_Toc55386235"/>
      <w:bookmarkStart w:id="3568" w:name="_Toc55391156"/>
      <w:r>
        <w:rPr>
          <w:rFonts w:hint="cs"/>
          <w:rtl/>
        </w:rPr>
        <w:t>קושית הרמב"ן דלהולכי אושא אין טעם החזקה מחמת השטר וא"כ אין המחאה שיזהר בשטרו</w:t>
      </w:r>
      <w:bookmarkEnd w:id="3566"/>
      <w:bookmarkEnd w:id="3567"/>
      <w:bookmarkEnd w:id="3568"/>
    </w:p>
    <w:p w:rsidR="007A505A" w:rsidRPr="001D1883" w:rsidRDefault="007A505A" w:rsidP="007E4E81">
      <w:pPr>
        <w:pStyle w:val="a0"/>
        <w:rPr>
          <w:rtl/>
        </w:rPr>
      </w:pPr>
      <w:bookmarkStart w:id="3569" w:name="_Ref54345247"/>
      <w:r w:rsidRPr="001D1883">
        <w:rPr>
          <w:rFonts w:hint="cs"/>
          <w:rtl/>
        </w:rPr>
        <w:t xml:space="preserve">אך הקשה </w:t>
      </w:r>
      <w:r w:rsidRPr="001D1883">
        <w:rPr>
          <w:rStyle w:val="af9"/>
          <w:rFonts w:hint="cs"/>
          <w:rtl/>
        </w:rPr>
        <w:t>הרמב"ן בחי'</w:t>
      </w:r>
      <w:r w:rsidRPr="001D1883">
        <w:rPr>
          <w:rFonts w:hint="cs"/>
          <w:rtl/>
        </w:rPr>
        <w:t xml:space="preserve"> </w:t>
      </w:r>
      <w:r w:rsidRPr="001D1883">
        <w:rPr>
          <w:rStyle w:val="af7"/>
          <w:rFonts w:eastAsia="Guttman Hodes" w:hint="cs"/>
          <w:rtl/>
        </w:rPr>
        <w:t>(ד"ה ותו)</w:t>
      </w:r>
      <w:r w:rsidRPr="001D1883">
        <w:rPr>
          <w:rFonts w:hint="cs"/>
          <w:rtl/>
        </w:rPr>
        <w:t xml:space="preserve"> </w:t>
      </w:r>
      <w:r w:rsidRPr="001D1883">
        <w:rPr>
          <w:rStyle w:val="af9"/>
          <w:rFonts w:hint="cs"/>
          <w:rtl/>
        </w:rPr>
        <w:t>ובמלחמות</w:t>
      </w:r>
      <w:r w:rsidRPr="001D1883">
        <w:rPr>
          <w:rStyle w:val="af7"/>
          <w:rFonts w:eastAsia="Guttman Hodes" w:hint="cs"/>
          <w:rtl/>
        </w:rPr>
        <w:t xml:space="preserve"> (יד. מדה"ר ד"ה אני רואה)</w:t>
      </w:r>
      <w:r w:rsidRPr="001D1883">
        <w:rPr>
          <w:rFonts w:hint="cs"/>
          <w:rtl/>
        </w:rPr>
        <w:t xml:space="preserve"> ד</w:t>
      </w:r>
      <w:r>
        <w:rPr>
          <w:rFonts w:hint="cs"/>
          <w:rtl/>
        </w:rPr>
        <w:t>היאך אפש"ל ד</w:t>
      </w:r>
      <w:r w:rsidRPr="001D1883">
        <w:rPr>
          <w:rFonts w:hint="cs"/>
          <w:rtl/>
        </w:rPr>
        <w:t>המחאה היא התראה שיזהר בשטרו</w:t>
      </w:r>
      <w:r>
        <w:rPr>
          <w:rFonts w:hint="cs"/>
          <w:rtl/>
        </w:rPr>
        <w:t>,</w:t>
      </w:r>
      <w:r w:rsidRPr="001D1883">
        <w:rPr>
          <w:rFonts w:hint="cs"/>
          <w:rtl/>
        </w:rPr>
        <w:t xml:space="preserve"> הא בילפותא משור המועד, עדיין לא ידעה הגמ' דטעמא דחזקה הוא כדאמר רבא </w:t>
      </w:r>
      <w:r w:rsidRPr="001D1883">
        <w:rPr>
          <w:rStyle w:val="af7"/>
          <w:rFonts w:eastAsia="Guttman Hodes" w:hint="cs"/>
          <w:rtl/>
        </w:rPr>
        <w:t xml:space="preserve">(כט.) </w:t>
      </w:r>
      <w:r w:rsidRPr="001D1883">
        <w:rPr>
          <w:rFonts w:hint="cs"/>
          <w:rtl/>
        </w:rPr>
        <w:t xml:space="preserve">דיזהר בשטרו, וכן הקשה </w:t>
      </w:r>
      <w:r w:rsidRPr="001D1883">
        <w:rPr>
          <w:rStyle w:val="af9"/>
          <w:rFonts w:hint="cs"/>
          <w:rtl/>
        </w:rPr>
        <w:t xml:space="preserve">הריטב"א </w:t>
      </w:r>
      <w:r w:rsidRPr="001D1883">
        <w:rPr>
          <w:rFonts w:hint="cs"/>
          <w:rtl/>
        </w:rPr>
        <w:t xml:space="preserve">על </w:t>
      </w:r>
      <w:r w:rsidRPr="001D1883">
        <w:rPr>
          <w:rStyle w:val="af9"/>
          <w:rFonts w:hint="cs"/>
          <w:rtl/>
        </w:rPr>
        <w:t xml:space="preserve">רש"י </w:t>
      </w:r>
      <w:r w:rsidRPr="001D1883">
        <w:rPr>
          <w:rStyle w:val="af7"/>
          <w:rFonts w:eastAsia="Guttman Hodes" w:hint="cs"/>
          <w:rtl/>
        </w:rPr>
        <w:t>(עי' אות</w:t>
      </w:r>
      <w:bookmarkEnd w:id="3569"/>
      <w:r w:rsidRPr="001D1883">
        <w:rPr>
          <w:rStyle w:val="af7"/>
          <w:rFonts w:eastAsia="Guttman Hodes" w:hint="cs"/>
          <w:rtl/>
        </w:rPr>
        <w:t xml:space="preserve">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Ref54627627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1D1883">
        <w:rPr>
          <w:rStyle w:val="af7"/>
          <w:rFonts w:eastAsia="Guttman Hodes"/>
          <w:rtl/>
        </w:rPr>
        <w:fldChar w:fldCharType="end"/>
      </w:r>
      <w:r w:rsidRPr="001D1883">
        <w:rPr>
          <w:rFonts w:hint="cs"/>
          <w:rtl/>
        </w:rPr>
        <w:t>.</w:t>
      </w:r>
    </w:p>
    <w:p w:rsidR="007A505A" w:rsidRPr="001D1883" w:rsidRDefault="007A505A" w:rsidP="007A505A">
      <w:pPr>
        <w:pStyle w:val="a3"/>
        <w:rPr>
          <w:rtl/>
        </w:rPr>
      </w:pPr>
      <w:bookmarkStart w:id="3570" w:name="_Toc55375290"/>
      <w:bookmarkStart w:id="3571" w:name="_Toc55386236"/>
      <w:bookmarkStart w:id="3572" w:name="_Toc55391157"/>
      <w:r>
        <w:rPr>
          <w:rFonts w:hint="cs"/>
          <w:rtl/>
        </w:rPr>
        <w:t>תירוץ הרמב"ן דאף להולכי אושא המחאה בכדי שיזהר בשטרו דאל"ה למאי מהני המחאה</w:t>
      </w:r>
      <w:bookmarkEnd w:id="3570"/>
      <w:bookmarkEnd w:id="3571"/>
      <w:bookmarkEnd w:id="3572"/>
    </w:p>
    <w:p w:rsidR="007A505A" w:rsidRPr="001D1883" w:rsidRDefault="007A505A" w:rsidP="007E4E81">
      <w:pPr>
        <w:pStyle w:val="a0"/>
        <w:rPr>
          <w:sz w:val="10"/>
          <w:szCs w:val="14"/>
          <w:rtl/>
        </w:rPr>
      </w:pPr>
      <w:bookmarkStart w:id="3573" w:name="_Ref54626923"/>
      <w:bookmarkStart w:id="3574" w:name="_Ref54627930"/>
      <w:bookmarkStart w:id="3575" w:name="_Ref55378949"/>
      <w:r w:rsidRPr="001D1883">
        <w:rPr>
          <w:rFonts w:hint="cs"/>
          <w:rtl/>
        </w:rPr>
        <w:t xml:space="preserve">ותירץ </w:t>
      </w:r>
      <w:r w:rsidRPr="001D1883">
        <w:rPr>
          <w:rStyle w:val="af9"/>
          <w:rFonts w:hint="cs"/>
          <w:rtl/>
        </w:rPr>
        <w:t>הרמב"ן בחי' ובמלחמות</w:t>
      </w:r>
      <w:r w:rsidRPr="001D1883">
        <w:rPr>
          <w:rFonts w:hint="cs"/>
          <w:rtl/>
        </w:rPr>
        <w:t xml:space="preserve"> דודאי דאף בילפותא משור המועד ידעה הגמ' דהמחאה היא בכדי שיזהר בשטרו, דאל"ה למאי מהני המחאה, וכ"כ </w:t>
      </w:r>
      <w:r w:rsidRPr="001D1883">
        <w:rPr>
          <w:rStyle w:val="af9"/>
          <w:rFonts w:hint="cs"/>
          <w:rtl/>
        </w:rPr>
        <w:t>הריטב"א</w:t>
      </w:r>
      <w:r w:rsidRPr="001D1883">
        <w:rPr>
          <w:rFonts w:hint="cs"/>
          <w:rtl/>
        </w:rPr>
        <w:t xml:space="preserve"> בדעת </w:t>
      </w:r>
      <w:r w:rsidRPr="001D1883">
        <w:rPr>
          <w:rStyle w:val="af9"/>
          <w:rFonts w:hint="cs"/>
          <w:rtl/>
        </w:rPr>
        <w:t>רש"י</w:t>
      </w:r>
      <w:r w:rsidRPr="001D1883">
        <w:rPr>
          <w:rFonts w:hint="cs"/>
          <w:rtl/>
        </w:rPr>
        <w:t xml:space="preserve"> </w:t>
      </w:r>
      <w:bookmarkEnd w:id="3573"/>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Ref54627627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1D1883">
        <w:rPr>
          <w:rStyle w:val="af7"/>
          <w:rFonts w:eastAsia="Guttman Hodes"/>
          <w:rtl/>
        </w:rPr>
        <w:fldChar w:fldCharType="end"/>
      </w:r>
      <w:r>
        <w:rPr>
          <w:rFonts w:hint="cs"/>
          <w:rtl/>
        </w:rPr>
        <w:t xml:space="preserve">, </w:t>
      </w:r>
      <w:r w:rsidRPr="001D1883">
        <w:rPr>
          <w:rFonts w:hint="cs"/>
          <w:rtl/>
        </w:rPr>
        <w:t>ו</w:t>
      </w:r>
      <w:r>
        <w:rPr>
          <w:rFonts w:hint="cs"/>
          <w:rtl/>
        </w:rPr>
        <w:t>עי' במה שביאר</w:t>
      </w:r>
      <w:r w:rsidRPr="001D1883">
        <w:rPr>
          <w:rFonts w:hint="cs"/>
          <w:rtl/>
        </w:rPr>
        <w:t xml:space="preserve"> </w:t>
      </w:r>
      <w:r w:rsidRPr="008E23EB">
        <w:rPr>
          <w:rStyle w:val="af9"/>
          <w:rFonts w:hint="cs"/>
          <w:rtl/>
        </w:rPr>
        <w:t xml:space="preserve">בחי' רבי נחום </w:t>
      </w:r>
      <w:r w:rsidRPr="00894FB9">
        <w:rPr>
          <w:rStyle w:val="af7"/>
          <w:rFonts w:eastAsia="Guttman Hodes" w:hint="cs"/>
          <w:rtl/>
        </w:rPr>
        <w:t xml:space="preserve">(עי' אות </w:t>
      </w:r>
      <w:r w:rsidRPr="00894FB9">
        <w:rPr>
          <w:rStyle w:val="af7"/>
          <w:rFonts w:eastAsia="Guttman Hodes"/>
          <w:rtl/>
        </w:rPr>
        <w:fldChar w:fldCharType="begin"/>
      </w:r>
      <w:r w:rsidRPr="00894FB9">
        <w:rPr>
          <w:rStyle w:val="af7"/>
          <w:rFonts w:eastAsia="Guttman Hodes"/>
          <w:rtl/>
        </w:rPr>
        <w:instrText xml:space="preserve"> </w:instrText>
      </w:r>
      <w:r w:rsidRPr="00894FB9">
        <w:rPr>
          <w:rStyle w:val="af7"/>
          <w:rFonts w:eastAsia="Guttman Hodes" w:hint="cs"/>
        </w:rPr>
        <w:instrText>REF</w:instrText>
      </w:r>
      <w:r w:rsidRPr="00894FB9">
        <w:rPr>
          <w:rStyle w:val="af7"/>
          <w:rFonts w:eastAsia="Guttman Hodes" w:hint="cs"/>
          <w:rtl/>
        </w:rPr>
        <w:instrText xml:space="preserve"> _</w:instrText>
      </w:r>
      <w:r w:rsidRPr="00894FB9">
        <w:rPr>
          <w:rStyle w:val="af7"/>
          <w:rFonts w:eastAsia="Guttman Hodes" w:hint="cs"/>
        </w:rPr>
        <w:instrText>Ref55380284 \r \h</w:instrText>
      </w:r>
      <w:r w:rsidRPr="00894FB9">
        <w:rPr>
          <w:rStyle w:val="af7"/>
          <w:rFonts w:eastAsia="Guttman Hodes"/>
          <w:rtl/>
        </w:rPr>
        <w:instrText xml:space="preserve"> </w:instrText>
      </w:r>
      <w:r w:rsidRPr="00894FB9">
        <w:rPr>
          <w:rStyle w:val="af7"/>
          <w:rFonts w:eastAsia="Guttman Hodes"/>
          <w:rtl/>
        </w:rPr>
      </w:r>
      <w:r w:rsidRPr="00894FB9">
        <w:rPr>
          <w:rStyle w:val="af7"/>
          <w:rFonts w:eastAsia="Guttman Hodes"/>
          <w:rtl/>
        </w:rPr>
        <w:fldChar w:fldCharType="separate"/>
      </w:r>
      <w:r w:rsidR="00265073">
        <w:rPr>
          <w:rStyle w:val="af7"/>
          <w:rFonts w:eastAsia="Guttman Hodes"/>
          <w:cs/>
        </w:rPr>
        <w:t>‎</w:t>
      </w:r>
      <w:r w:rsidR="00265073">
        <w:rPr>
          <w:rStyle w:val="af7"/>
          <w:rFonts w:eastAsia="Guttman Hodes"/>
          <w:rtl/>
        </w:rPr>
        <w:t>פג)</w:t>
      </w:r>
      <w:r w:rsidRPr="00894FB9">
        <w:rPr>
          <w:rStyle w:val="af7"/>
          <w:rFonts w:eastAsia="Guttman Hodes"/>
          <w:rtl/>
        </w:rPr>
        <w:fldChar w:fldCharType="end"/>
      </w:r>
      <w:r>
        <w:rPr>
          <w:rFonts w:hint="cs"/>
          <w:rtl/>
        </w:rPr>
        <w:t xml:space="preserve"> </w:t>
      </w:r>
      <w:r w:rsidRPr="001D1883">
        <w:rPr>
          <w:rFonts w:hint="cs"/>
          <w:rtl/>
        </w:rPr>
        <w:t xml:space="preserve">בדעת </w:t>
      </w:r>
      <w:r w:rsidRPr="008E23EB">
        <w:rPr>
          <w:rStyle w:val="af9"/>
          <w:rFonts w:hint="cs"/>
          <w:rtl/>
        </w:rPr>
        <w:t>הרמב"ן</w:t>
      </w:r>
      <w:r w:rsidRPr="001D1883">
        <w:rPr>
          <w:rFonts w:hint="cs"/>
          <w:rtl/>
        </w:rPr>
        <w:t>.</w:t>
      </w:r>
      <w:bookmarkEnd w:id="3574"/>
      <w:r w:rsidRPr="001D1883">
        <w:rPr>
          <w:rStyle w:val="afb"/>
          <w:rFonts w:hint="cs"/>
          <w:rtl/>
        </w:rPr>
        <w:t xml:space="preserve"> [אמנם </w:t>
      </w:r>
      <w:r w:rsidRPr="001D1883">
        <w:rPr>
          <w:rStyle w:val="affa"/>
          <w:rFonts w:hint="cs"/>
          <w:rtl/>
        </w:rPr>
        <w:t>התוס' הרא"ש</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Ref55332393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יא)</w:t>
      </w:r>
      <w:r w:rsidRPr="001D1883">
        <w:rPr>
          <w:rStyle w:val="aff6"/>
          <w:rtl/>
        </w:rPr>
        <w:fldChar w:fldCharType="end"/>
      </w:r>
      <w:r w:rsidRPr="001D1883">
        <w:rPr>
          <w:rStyle w:val="afb"/>
          <w:rFonts w:hint="cs"/>
          <w:rtl/>
        </w:rPr>
        <w:t xml:space="preserve"> כתב דעיקר הראיה של החזקה היא ממה שהמערער שתק ולא מחה, ומבואר דלהולכי אושא המחאה היא בכדי שלא יוחזק המערער שתקן]</w:t>
      </w:r>
      <w:r w:rsidRPr="001D1883">
        <w:rPr>
          <w:rStyle w:val="afb"/>
          <w:rtl/>
        </w:rPr>
        <w:t>.</w:t>
      </w:r>
      <w:bookmarkEnd w:id="3575"/>
    </w:p>
    <w:p w:rsidR="007A505A" w:rsidRDefault="007A505A" w:rsidP="007A505A">
      <w:pPr>
        <w:pStyle w:val="a3"/>
        <w:rPr>
          <w:rtl/>
        </w:rPr>
      </w:pPr>
      <w:bookmarkStart w:id="3576" w:name="_Toc55375291"/>
      <w:bookmarkStart w:id="3577" w:name="_Toc55386237"/>
      <w:bookmarkStart w:id="3578" w:name="_Toc55391158"/>
      <w:r>
        <w:rPr>
          <w:rFonts w:hint="cs"/>
          <w:rtl/>
        </w:rPr>
        <w:t>ביאור הרמב"ן דבמחאה בתוך ג"ש צריך להזהר בשטרו דהא עדיין הקרקע בחזקת המר"ק</w:t>
      </w:r>
      <w:bookmarkEnd w:id="3576"/>
      <w:bookmarkEnd w:id="3577"/>
      <w:bookmarkEnd w:id="3578"/>
    </w:p>
    <w:p w:rsidR="007A505A" w:rsidRPr="001D1883" w:rsidRDefault="007A505A" w:rsidP="007E4E81">
      <w:pPr>
        <w:pStyle w:val="a0"/>
        <w:rPr>
          <w:rtl/>
        </w:rPr>
      </w:pPr>
      <w:bookmarkStart w:id="3579" w:name="_Ref55381015"/>
      <w:r w:rsidRPr="001D1883">
        <w:rPr>
          <w:rFonts w:hint="cs"/>
          <w:rtl/>
        </w:rPr>
        <w:t xml:space="preserve">והוסיף </w:t>
      </w:r>
      <w:r w:rsidRPr="001D1883">
        <w:rPr>
          <w:rStyle w:val="af9"/>
          <w:rFonts w:hint="cs"/>
          <w:rtl/>
        </w:rPr>
        <w:t>הרמב"ן בחי'</w:t>
      </w:r>
      <w:r w:rsidRPr="001D1883">
        <w:rPr>
          <w:rFonts w:hint="cs"/>
          <w:rtl/>
        </w:rPr>
        <w:t xml:space="preserve"> לבאר דההו"א בגמ' היא דהנאמנות של המחזיק אינה מחמת דאין אדם נזהר בשטרו יותר מג"ש, אלא דילפינן משור המועד דבג"ש יוצאת השדה מחזקת המערער, א"כ כל שמחה המערער בתוך הג"ש, לפני שיצאה השדה מחזקתו, היה למחזיק להזהר בשטרו</w:t>
      </w:r>
      <w:r>
        <w:rPr>
          <w:rFonts w:hint="cs"/>
          <w:rtl/>
        </w:rPr>
        <w:t xml:space="preserve">, </w:t>
      </w:r>
      <w:r w:rsidRPr="001D1883">
        <w:rPr>
          <w:rFonts w:hint="cs"/>
          <w:rtl/>
        </w:rPr>
        <w:t>ו</w:t>
      </w:r>
      <w:r>
        <w:rPr>
          <w:rFonts w:hint="cs"/>
          <w:rtl/>
        </w:rPr>
        <w:t>עי' במה שביאר</w:t>
      </w:r>
      <w:r w:rsidRPr="001D1883">
        <w:rPr>
          <w:rFonts w:hint="cs"/>
          <w:rtl/>
        </w:rPr>
        <w:t xml:space="preserve"> </w:t>
      </w:r>
      <w:r w:rsidRPr="008E23EB">
        <w:rPr>
          <w:rStyle w:val="af9"/>
          <w:rFonts w:hint="cs"/>
          <w:rtl/>
        </w:rPr>
        <w:t xml:space="preserve">בחי' רבי נחום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Ref55381060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w:t>
      </w:r>
      <w:r>
        <w:rPr>
          <w:rStyle w:val="af7"/>
          <w:rFonts w:eastAsia="Guttman Hodes"/>
          <w:rtl/>
        </w:rPr>
        <w:fldChar w:fldCharType="end"/>
      </w:r>
      <w:r>
        <w:rPr>
          <w:rStyle w:val="af7"/>
          <w:rFonts w:eastAsia="Guttman Hodes" w:hint="cs"/>
          <w:rtl/>
        </w:rPr>
        <w:t xml:space="preserve"> </w:t>
      </w:r>
      <w:r w:rsidRPr="001D1883">
        <w:rPr>
          <w:rFonts w:hint="cs"/>
          <w:rtl/>
        </w:rPr>
        <w:t>בד</w:t>
      </w:r>
      <w:r>
        <w:rPr>
          <w:rFonts w:hint="cs"/>
          <w:rtl/>
        </w:rPr>
        <w:t>ברי</w:t>
      </w:r>
      <w:r w:rsidRPr="001D1883">
        <w:rPr>
          <w:rFonts w:hint="cs"/>
          <w:rtl/>
        </w:rPr>
        <w:t xml:space="preserve"> </w:t>
      </w:r>
      <w:r w:rsidRPr="008E23EB">
        <w:rPr>
          <w:rStyle w:val="af9"/>
          <w:rFonts w:hint="cs"/>
          <w:rtl/>
        </w:rPr>
        <w:t>הרמב"ן</w:t>
      </w:r>
      <w:r w:rsidRPr="001D1883">
        <w:rPr>
          <w:rFonts w:hint="cs"/>
          <w:rtl/>
        </w:rPr>
        <w:t>.</w:t>
      </w:r>
      <w:bookmarkEnd w:id="3579"/>
    </w:p>
    <w:p w:rsidR="007A505A" w:rsidRPr="001D1883" w:rsidRDefault="007A505A" w:rsidP="007A505A">
      <w:pPr>
        <w:pStyle w:val="a3"/>
        <w:rPr>
          <w:rtl/>
        </w:rPr>
      </w:pPr>
      <w:bookmarkStart w:id="3580" w:name="_Toc55375292"/>
      <w:bookmarkStart w:id="3581" w:name="_Toc55386238"/>
      <w:bookmarkStart w:id="3582" w:name="_Toc55391159"/>
      <w:r>
        <w:rPr>
          <w:rFonts w:hint="cs"/>
          <w:rtl/>
        </w:rPr>
        <w:t>דברי הרשב"א דלהולכי אושא החזקה היא כיון שאין לו ראיה אחרת ולכן צריך להזהר בשטרו</w:t>
      </w:r>
      <w:bookmarkEnd w:id="3580"/>
      <w:bookmarkEnd w:id="3581"/>
      <w:bookmarkEnd w:id="3582"/>
    </w:p>
    <w:p w:rsidR="007A505A" w:rsidRDefault="007A505A" w:rsidP="007E4E81">
      <w:pPr>
        <w:pStyle w:val="a0"/>
        <w:rPr>
          <w:rtl/>
        </w:rPr>
      </w:pPr>
      <w:bookmarkStart w:id="3583" w:name="_Ref54627939"/>
      <w:r w:rsidRPr="001D1883">
        <w:rPr>
          <w:rFonts w:hint="cs"/>
          <w:rtl/>
        </w:rPr>
        <w:t xml:space="preserve">וכ"כ </w:t>
      </w:r>
      <w:r w:rsidRPr="001D1883">
        <w:rPr>
          <w:rStyle w:val="af9"/>
          <w:rFonts w:hint="cs"/>
          <w:rtl/>
        </w:rPr>
        <w:t>הרשב"א</w:t>
      </w:r>
      <w:r w:rsidRPr="001D1883">
        <w:rPr>
          <w:rFonts w:hint="cs"/>
          <w:rtl/>
        </w:rPr>
        <w:t xml:space="preserve"> </w:t>
      </w:r>
      <w:r w:rsidRPr="001D1883">
        <w:rPr>
          <w:rStyle w:val="af7"/>
          <w:rFonts w:eastAsia="Guttman Hodes" w:hint="cs"/>
          <w:rtl/>
        </w:rPr>
        <w:t>(ד"ה אלא)</w:t>
      </w:r>
      <w:r w:rsidRPr="001D1883">
        <w:rPr>
          <w:rFonts w:hint="cs"/>
          <w:rtl/>
        </w:rPr>
        <w:t xml:space="preserve"> דאף דעדיין הגמ' לא ידעה מהטעם דעד ג"ש אדם נזהר בשטרו, מ"מ אף למ"ד דילפינן משור המועד, הא דצריך להגיע לדין חזקה הוא כיון שאיבד את שאר הראיות שלו, וא"כ המחאה היא דאמרינן לו להזהר בראיותיו.</w:t>
      </w:r>
      <w:bookmarkEnd w:id="3583"/>
    </w:p>
    <w:p w:rsidR="007A505A" w:rsidRPr="00B72CAB" w:rsidRDefault="007A505A" w:rsidP="007A505A">
      <w:pPr>
        <w:pStyle w:val="a3"/>
        <w:rPr>
          <w:rtl/>
        </w:rPr>
      </w:pPr>
    </w:p>
    <w:p w:rsidR="007A505A" w:rsidRPr="001A2AA6" w:rsidRDefault="007A505A" w:rsidP="007A505A">
      <w:pPr>
        <w:pStyle w:val="afe"/>
        <w:rPr>
          <w:rtl/>
        </w:rPr>
      </w:pPr>
      <w:bookmarkStart w:id="3584" w:name="_Toc55386239"/>
      <w:bookmarkStart w:id="3585" w:name="_Toc55391160"/>
      <w:r>
        <w:rPr>
          <w:rFonts w:hint="cs"/>
          <w:rtl/>
        </w:rPr>
        <w:t>דעת רבינו יונה</w:t>
      </w:r>
      <w:bookmarkEnd w:id="3584"/>
      <w:r w:rsidRPr="00D35410">
        <w:rPr>
          <w:rFonts w:hint="cs"/>
          <w:rtl/>
        </w:rPr>
        <w:t xml:space="preserve"> </w:t>
      </w:r>
      <w:r>
        <w:rPr>
          <w:rFonts w:hint="cs"/>
          <w:rtl/>
        </w:rPr>
        <w:t>בחילוק בין חזקה למחאה</w:t>
      </w:r>
      <w:bookmarkEnd w:id="3585"/>
    </w:p>
    <w:p w:rsidR="007A505A" w:rsidRPr="001D1883" w:rsidRDefault="007A505A" w:rsidP="007A505A">
      <w:pPr>
        <w:pStyle w:val="1"/>
        <w:rPr>
          <w:rtl/>
        </w:rPr>
      </w:pPr>
      <w:bookmarkStart w:id="3586" w:name="_Toc55325166"/>
      <w:bookmarkStart w:id="3587" w:name="_Toc55342093"/>
      <w:bookmarkStart w:id="3588" w:name="_Toc55342194"/>
      <w:bookmarkStart w:id="3589" w:name="_Toc55375293"/>
      <w:bookmarkStart w:id="3590" w:name="_Toc55386240"/>
      <w:bookmarkStart w:id="3591" w:name="_Toc55391161"/>
      <w:r w:rsidRPr="001D1883">
        <w:rPr>
          <w:rFonts w:hint="cs"/>
          <w:rtl/>
        </w:rPr>
        <w:t>דברי רבינו יונה</w:t>
      </w:r>
      <w:bookmarkEnd w:id="3586"/>
      <w:bookmarkEnd w:id="3587"/>
      <w:bookmarkEnd w:id="3588"/>
      <w:bookmarkEnd w:id="3589"/>
      <w:bookmarkEnd w:id="3590"/>
      <w:r w:rsidRPr="001D1883">
        <w:rPr>
          <w:rFonts w:hint="cs"/>
          <w:rtl/>
        </w:rPr>
        <w:t xml:space="preserve"> </w:t>
      </w:r>
      <w:r>
        <w:rPr>
          <w:rFonts w:hint="cs"/>
          <w:rtl/>
        </w:rPr>
        <w:t>דמחאה והעדאה אינם נשמעות וחזקה נשמעת</w:t>
      </w:r>
      <w:bookmarkEnd w:id="3591"/>
    </w:p>
    <w:p w:rsidR="007A505A" w:rsidRPr="001D1883" w:rsidRDefault="007A505A" w:rsidP="007A505A">
      <w:pPr>
        <w:pStyle w:val="a3"/>
        <w:rPr>
          <w:rtl/>
        </w:rPr>
      </w:pPr>
      <w:bookmarkStart w:id="3592" w:name="_Toc55375294"/>
      <w:bookmarkStart w:id="3593" w:name="_Toc55386241"/>
      <w:bookmarkStart w:id="3594" w:name="_Toc55391162"/>
      <w:r>
        <w:rPr>
          <w:rFonts w:hint="cs"/>
          <w:rtl/>
        </w:rPr>
        <w:t>הביאור הב' ברב"י דבחזקה שלא בפניו המערער שומע ממנה אבל במחאה והעדאה אינו שומע</w:t>
      </w:r>
      <w:bookmarkEnd w:id="3592"/>
      <w:bookmarkEnd w:id="3593"/>
      <w:bookmarkEnd w:id="3594"/>
    </w:p>
    <w:p w:rsidR="007A505A" w:rsidRDefault="007A505A" w:rsidP="007E4E81">
      <w:pPr>
        <w:pStyle w:val="a0"/>
        <w:rPr>
          <w:rtl/>
        </w:rPr>
      </w:pPr>
      <w:bookmarkStart w:id="3595" w:name="_Ref55373258"/>
      <w:r>
        <w:rPr>
          <w:rStyle w:val="af9"/>
          <w:rFonts w:hint="cs"/>
          <w:rtl/>
        </w:rPr>
        <w:t>ו</w:t>
      </w:r>
      <w:r w:rsidRPr="00300EC1">
        <w:rPr>
          <w:rStyle w:val="af9"/>
          <w:rFonts w:hint="cs"/>
          <w:rtl/>
        </w:rPr>
        <w:t>רבינו</w:t>
      </w:r>
      <w:r w:rsidRPr="001D1883">
        <w:rPr>
          <w:rStyle w:val="af9"/>
          <w:rFonts w:hint="cs"/>
          <w:rtl/>
        </w:rPr>
        <w:t xml:space="preserve"> יונה</w:t>
      </w:r>
      <w:r w:rsidRPr="001D1883">
        <w:rPr>
          <w:rFonts w:hint="cs"/>
          <w:rtl/>
        </w:rPr>
        <w:t xml:space="preserve"> </w:t>
      </w:r>
      <w:r w:rsidRPr="00300EC1">
        <w:rPr>
          <w:rStyle w:val="af9"/>
          <w:rFonts w:hint="cs"/>
          <w:rtl/>
        </w:rPr>
        <w:t>בביאורו ה</w:t>
      </w:r>
      <w:r>
        <w:rPr>
          <w:rStyle w:val="af9"/>
          <w:rFonts w:hint="cs"/>
          <w:rtl/>
        </w:rPr>
        <w:t>ב</w:t>
      </w:r>
      <w:r w:rsidRPr="00300EC1">
        <w:rPr>
          <w:rStyle w:val="af9"/>
          <w:rFonts w:hint="cs"/>
          <w:rtl/>
        </w:rPr>
        <w:t>'</w:t>
      </w:r>
      <w:r w:rsidRPr="00300EC1">
        <w:rPr>
          <w:rFonts w:hint="cs"/>
          <w:rtl/>
        </w:rPr>
        <w:t xml:space="preserve"> </w:t>
      </w:r>
      <w:r w:rsidRPr="001D1883">
        <w:rPr>
          <w:rStyle w:val="af7"/>
          <w:rFonts w:eastAsia="Guttman Hodes" w:hint="cs"/>
          <w:rtl/>
        </w:rPr>
        <w:t>(ד"ה מתקיף)</w:t>
      </w:r>
      <w:r>
        <w:rPr>
          <w:rStyle w:val="af7"/>
          <w:rFonts w:eastAsia="Guttman Hodes" w:hint="cs"/>
          <w:rtl/>
        </w:rPr>
        <w:t xml:space="preserve"> </w:t>
      </w:r>
      <w:r w:rsidRPr="00300EC1">
        <w:rPr>
          <w:rFonts w:hint="cs"/>
          <w:rtl/>
        </w:rPr>
        <w:t>תירץ</w:t>
      </w:r>
      <w:r>
        <w:rPr>
          <w:rFonts w:hint="cs"/>
          <w:rtl/>
        </w:rPr>
        <w:t xml:space="preserve"> </w:t>
      </w:r>
      <w:r w:rsidRPr="001D1883">
        <w:rPr>
          <w:rFonts w:hint="cs"/>
          <w:rtl/>
        </w:rPr>
        <w:t>דבחזקה הבינה הגמ' בקושיה בפשיטות דבסתמא המערער שומע מהחזקה, אף שלא החזיק בפניו, כיון שהמערער שואל על קרקעותיו, ביד מי הם נמצאות, ורק במחאה הוקשה לגמ' דהמחזיק אינו מברר אם מחה המערער עליו, כמו שבעל השור אינו מברר עם שורו נגח, ולכן מקשה הגמ' דלא ת</w:t>
      </w:r>
      <w:r>
        <w:rPr>
          <w:rFonts w:hint="cs"/>
          <w:rtl/>
        </w:rPr>
        <w:t>ועיל מחאה שלא בפניו כמו בהעדאה, וכ"כ</w:t>
      </w:r>
      <w:r w:rsidRPr="001D1883">
        <w:rPr>
          <w:rFonts w:hint="cs"/>
          <w:rtl/>
        </w:rPr>
        <w:t xml:space="preserve"> </w:t>
      </w:r>
      <w:r w:rsidRPr="001D1883">
        <w:rPr>
          <w:rStyle w:val="af9"/>
          <w:rFonts w:hint="cs"/>
          <w:rtl/>
        </w:rPr>
        <w:t xml:space="preserve">הרשב"א </w:t>
      </w:r>
      <w:r w:rsidRPr="001D1883">
        <w:rPr>
          <w:rStyle w:val="af7"/>
          <w:rFonts w:eastAsia="Guttman Hodes" w:hint="cs"/>
          <w:rtl/>
        </w:rPr>
        <w:t>(ד"ה וי"מ)</w:t>
      </w:r>
      <w:r w:rsidRPr="001D1883">
        <w:rPr>
          <w:rFonts w:hint="cs"/>
          <w:rtl/>
        </w:rPr>
        <w:t xml:space="preserve"> בשם </w:t>
      </w:r>
      <w:r w:rsidRPr="001D1883">
        <w:rPr>
          <w:rStyle w:val="af9"/>
          <w:rFonts w:hint="cs"/>
          <w:rtl/>
        </w:rPr>
        <w:t xml:space="preserve">י"מ </w:t>
      </w:r>
      <w:r>
        <w:rPr>
          <w:rStyle w:val="af9"/>
          <w:rFonts w:hint="cs"/>
          <w:rtl/>
        </w:rPr>
        <w:t>ו</w:t>
      </w:r>
      <w:r w:rsidRPr="001D1883">
        <w:rPr>
          <w:rStyle w:val="af9"/>
          <w:rFonts w:hint="cs"/>
          <w:rtl/>
        </w:rPr>
        <w:t>הריטב"א</w:t>
      </w:r>
      <w:r w:rsidRPr="001D1883">
        <w:rPr>
          <w:rFonts w:hint="cs"/>
          <w:rtl/>
        </w:rPr>
        <w:t xml:space="preserve"> </w:t>
      </w:r>
      <w:r w:rsidRPr="001D1883">
        <w:rPr>
          <w:rStyle w:val="af7"/>
          <w:rFonts w:eastAsia="Guttman Hodes" w:hint="cs"/>
          <w:rtl/>
        </w:rPr>
        <w:t>(ד"ה אלא)</w:t>
      </w:r>
      <w:r w:rsidRPr="001D1883">
        <w:rPr>
          <w:rFonts w:hint="cs"/>
          <w:rtl/>
        </w:rPr>
        <w:t xml:space="preserve"> </w:t>
      </w:r>
      <w:r>
        <w:rPr>
          <w:rFonts w:hint="cs"/>
          <w:rtl/>
        </w:rPr>
        <w:t>בשם</w:t>
      </w:r>
      <w:r w:rsidRPr="001D1883">
        <w:rPr>
          <w:rFonts w:hint="cs"/>
          <w:rtl/>
        </w:rPr>
        <w:t xml:space="preserve"> </w:t>
      </w:r>
      <w:r w:rsidRPr="001D1883">
        <w:rPr>
          <w:rStyle w:val="af9"/>
          <w:rFonts w:hint="cs"/>
          <w:rtl/>
        </w:rPr>
        <w:t>ר"י</w:t>
      </w:r>
      <w:r>
        <w:rPr>
          <w:rStyle w:val="af9"/>
          <w:rFonts w:hint="cs"/>
          <w:rtl/>
        </w:rPr>
        <w:t xml:space="preserve"> בביאורו הב'</w:t>
      </w:r>
      <w:r>
        <w:rPr>
          <w:rFonts w:hint="cs"/>
          <w:rtl/>
        </w:rPr>
        <w:t xml:space="preserve">, ועי' בדברי </w:t>
      </w:r>
      <w:r w:rsidRPr="008C2034">
        <w:rPr>
          <w:rStyle w:val="af9"/>
          <w:rFonts w:hint="cs"/>
          <w:rtl/>
        </w:rPr>
        <w:t>הרמב"ן</w:t>
      </w:r>
      <w:r>
        <w:rPr>
          <w:rFonts w:hint="cs"/>
          <w:rtl/>
        </w:rPr>
        <w:t xml:space="preserve"> </w:t>
      </w:r>
      <w:r w:rsidRPr="008C2034">
        <w:rPr>
          <w:rStyle w:val="af7"/>
          <w:rFonts w:eastAsia="Guttman Hodes" w:hint="cs"/>
          <w:rtl/>
        </w:rPr>
        <w:t xml:space="preserve">(עי' אות </w:t>
      </w:r>
      <w:r w:rsidRPr="008C2034">
        <w:rPr>
          <w:rStyle w:val="af7"/>
          <w:rFonts w:eastAsia="Guttman Hodes"/>
          <w:rtl/>
        </w:rPr>
        <w:fldChar w:fldCharType="begin"/>
      </w:r>
      <w:r w:rsidRPr="008C2034">
        <w:rPr>
          <w:rStyle w:val="af7"/>
          <w:rFonts w:eastAsia="Guttman Hodes"/>
          <w:rtl/>
        </w:rPr>
        <w:instrText xml:space="preserve"> </w:instrText>
      </w:r>
      <w:r w:rsidRPr="008C2034">
        <w:rPr>
          <w:rStyle w:val="af7"/>
          <w:rFonts w:eastAsia="Guttman Hodes" w:hint="cs"/>
        </w:rPr>
        <w:instrText>REF</w:instrText>
      </w:r>
      <w:r w:rsidRPr="008C2034">
        <w:rPr>
          <w:rStyle w:val="af7"/>
          <w:rFonts w:eastAsia="Guttman Hodes" w:hint="cs"/>
          <w:rtl/>
        </w:rPr>
        <w:instrText xml:space="preserve"> _</w:instrText>
      </w:r>
      <w:r w:rsidRPr="008C2034">
        <w:rPr>
          <w:rStyle w:val="af7"/>
          <w:rFonts w:eastAsia="Guttman Hodes" w:hint="cs"/>
        </w:rPr>
        <w:instrText>Ref55373275 \r \h</w:instrText>
      </w:r>
      <w:r w:rsidRPr="008C2034">
        <w:rPr>
          <w:rStyle w:val="af7"/>
          <w:rFonts w:eastAsia="Guttman Hodes"/>
          <w:rtl/>
        </w:rPr>
        <w:instrText xml:space="preserve"> </w:instrText>
      </w:r>
      <w:r w:rsidRPr="008C2034">
        <w:rPr>
          <w:rStyle w:val="af7"/>
          <w:rFonts w:eastAsia="Guttman Hodes"/>
          <w:rtl/>
        </w:rPr>
      </w:r>
      <w:r w:rsidRPr="008C2034">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8C2034">
        <w:rPr>
          <w:rStyle w:val="af7"/>
          <w:rFonts w:eastAsia="Guttman Hodes"/>
          <w:rtl/>
        </w:rPr>
        <w:fldChar w:fldCharType="end"/>
      </w:r>
      <w:r>
        <w:rPr>
          <w:rFonts w:hint="cs"/>
          <w:rtl/>
        </w:rPr>
        <w:t>.</w:t>
      </w:r>
      <w:bookmarkEnd w:id="3595"/>
    </w:p>
    <w:p w:rsidR="007A505A" w:rsidRDefault="007A505A" w:rsidP="007A505A">
      <w:pPr>
        <w:pStyle w:val="a3"/>
        <w:rPr>
          <w:rtl/>
        </w:rPr>
      </w:pPr>
      <w:bookmarkStart w:id="3596" w:name="_Toc55375295"/>
      <w:bookmarkStart w:id="3597" w:name="_Toc55386242"/>
      <w:bookmarkStart w:id="3598" w:name="_Toc55391163"/>
      <w:r>
        <w:rPr>
          <w:rFonts w:hint="cs"/>
          <w:rtl/>
        </w:rPr>
        <w:t>דברי הרשב"א דכיון דאין בעל השור שואל אם נגח לכן מהני העדאה רק בפניו שישמור שורו</w:t>
      </w:r>
      <w:bookmarkEnd w:id="3596"/>
      <w:bookmarkEnd w:id="3597"/>
      <w:bookmarkEnd w:id="3598"/>
    </w:p>
    <w:p w:rsidR="007A505A" w:rsidRPr="00757909" w:rsidRDefault="007A505A" w:rsidP="007E4E81">
      <w:pPr>
        <w:pStyle w:val="a0"/>
        <w:rPr>
          <w:rtl/>
        </w:rPr>
      </w:pPr>
      <w:bookmarkStart w:id="3599" w:name="_Ref55374703"/>
      <w:r w:rsidRPr="001D1883">
        <w:rPr>
          <w:rFonts w:hint="cs"/>
          <w:rtl/>
        </w:rPr>
        <w:t>ו</w:t>
      </w:r>
      <w:r>
        <w:rPr>
          <w:rFonts w:hint="cs"/>
          <w:rtl/>
        </w:rPr>
        <w:t xml:space="preserve">הוסיף </w:t>
      </w:r>
      <w:r w:rsidRPr="001D1883">
        <w:rPr>
          <w:rStyle w:val="af9"/>
          <w:rFonts w:hint="cs"/>
          <w:rtl/>
        </w:rPr>
        <w:t>הרשב"א</w:t>
      </w:r>
      <w:r>
        <w:rPr>
          <w:rFonts w:hint="cs"/>
          <w:rtl/>
        </w:rPr>
        <w:t xml:space="preserve"> דכיון </w:t>
      </w:r>
      <w:r w:rsidRPr="001D1883">
        <w:rPr>
          <w:rFonts w:hint="cs"/>
          <w:rtl/>
        </w:rPr>
        <w:t>ד</w:t>
      </w:r>
      <w:r>
        <w:rPr>
          <w:rFonts w:hint="cs"/>
          <w:rtl/>
        </w:rPr>
        <w:t xml:space="preserve">אין </w:t>
      </w:r>
      <w:r w:rsidRPr="001D1883">
        <w:rPr>
          <w:rFonts w:hint="cs"/>
          <w:rtl/>
        </w:rPr>
        <w:t>אדם עשוי לשאול האם שורו נעשה נגחן, וכן חביריו אינם מודיעים לו, דשורו נעשה נגחן,</w:t>
      </w:r>
      <w:r w:rsidR="00A77F33">
        <w:rPr>
          <w:rFonts w:hint="cs"/>
          <w:rtl/>
        </w:rPr>
        <w:t xml:space="preserve"> </w:t>
      </w:r>
      <w:r w:rsidRPr="001D1883">
        <w:rPr>
          <w:rFonts w:hint="cs"/>
          <w:rtl/>
        </w:rPr>
        <w:t>ולכן אמרה תורה "והועד בבעליו", דאם לא יעידו בפניו, לא ידע הבעלים מזה כלל, ולא יוכל להזהר בשמירת שורו</w:t>
      </w:r>
      <w:r>
        <w:rPr>
          <w:rFonts w:hint="cs"/>
          <w:rtl/>
        </w:rPr>
        <w:t>.</w:t>
      </w:r>
      <w:r w:rsidRPr="00CE5F81">
        <w:rPr>
          <w:rStyle w:val="afb"/>
          <w:rFonts w:hint="cs"/>
          <w:rtl/>
        </w:rPr>
        <w:t xml:space="preserve"> </w:t>
      </w:r>
      <w:r w:rsidRPr="001D1883">
        <w:rPr>
          <w:rStyle w:val="afb"/>
          <w:rFonts w:hint="cs"/>
          <w:rtl/>
        </w:rPr>
        <w:t>[ועי' במה שביאר</w:t>
      </w:r>
      <w:r>
        <w:rPr>
          <w:rStyle w:val="afb"/>
          <w:rFonts w:hint="cs"/>
          <w:rtl/>
        </w:rPr>
        <w:t xml:space="preserve">ו </w:t>
      </w:r>
      <w:r w:rsidRPr="0062704C">
        <w:rPr>
          <w:rStyle w:val="affa"/>
          <w:rFonts w:hint="cs"/>
          <w:rtl/>
        </w:rPr>
        <w:t>התוס'</w:t>
      </w:r>
      <w:r>
        <w:rPr>
          <w:rStyle w:val="afb"/>
          <w:rFonts w:hint="cs"/>
          <w:rtl/>
        </w:rPr>
        <w:t xml:space="preserve"> </w:t>
      </w:r>
      <w:r w:rsidRPr="000F1215">
        <w:rPr>
          <w:rStyle w:val="aff6"/>
          <w:rFonts w:hint="cs"/>
          <w:rtl/>
        </w:rPr>
        <w:t xml:space="preserve">(עי' אות </w:t>
      </w:r>
      <w:r w:rsidRPr="000F1215">
        <w:rPr>
          <w:rStyle w:val="aff6"/>
          <w:rtl/>
        </w:rPr>
        <w:fldChar w:fldCharType="begin"/>
      </w:r>
      <w:r w:rsidRPr="000F1215">
        <w:rPr>
          <w:rStyle w:val="aff6"/>
          <w:rtl/>
        </w:rPr>
        <w:instrText xml:space="preserve"> </w:instrText>
      </w:r>
      <w:r w:rsidRPr="000F1215">
        <w:rPr>
          <w:rStyle w:val="aff6"/>
          <w:rFonts w:hint="cs"/>
        </w:rPr>
        <w:instrText>REF</w:instrText>
      </w:r>
      <w:r w:rsidRPr="000F1215">
        <w:rPr>
          <w:rStyle w:val="aff6"/>
          <w:rFonts w:hint="cs"/>
          <w:rtl/>
        </w:rPr>
        <w:instrText xml:space="preserve"> _</w:instrText>
      </w:r>
      <w:r w:rsidRPr="000F1215">
        <w:rPr>
          <w:rStyle w:val="aff6"/>
          <w:rFonts w:hint="cs"/>
        </w:rPr>
        <w:instrText>Ref54609177 \r \h</w:instrText>
      </w:r>
      <w:r w:rsidRPr="000F1215">
        <w:rPr>
          <w:rStyle w:val="aff6"/>
          <w:rtl/>
        </w:rPr>
        <w:instrText xml:space="preserve"> </w:instrText>
      </w:r>
      <w:r w:rsidRPr="000F1215">
        <w:rPr>
          <w:rStyle w:val="aff6"/>
          <w:rtl/>
        </w:rPr>
      </w:r>
      <w:r w:rsidRPr="000F1215">
        <w:rPr>
          <w:rStyle w:val="aff6"/>
          <w:rtl/>
        </w:rPr>
        <w:fldChar w:fldCharType="separate"/>
      </w:r>
      <w:r w:rsidR="00265073">
        <w:rPr>
          <w:rStyle w:val="aff6"/>
          <w:cs/>
        </w:rPr>
        <w:t>‎</w:t>
      </w:r>
      <w:r w:rsidR="00265073">
        <w:rPr>
          <w:rStyle w:val="aff6"/>
          <w:rtl/>
        </w:rPr>
        <w:t>טו)</w:t>
      </w:r>
      <w:r w:rsidRPr="000F1215">
        <w:rPr>
          <w:rStyle w:val="aff6"/>
          <w:rtl/>
        </w:rPr>
        <w:fldChar w:fldCharType="end"/>
      </w:r>
      <w:r>
        <w:rPr>
          <w:rStyle w:val="afb"/>
          <w:rFonts w:cs="Cambria" w:hint="cs"/>
          <w:rtl/>
        </w:rPr>
        <w:t xml:space="preserve"> </w:t>
      </w:r>
      <w:r w:rsidRPr="0062704C">
        <w:rPr>
          <w:rStyle w:val="affa"/>
          <w:rFonts w:hint="cs"/>
          <w:rtl/>
        </w:rPr>
        <w:t>והריטב"א</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Ref55120347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טז)</w:t>
      </w:r>
      <w:r w:rsidRPr="001D1883">
        <w:rPr>
          <w:rStyle w:val="aff6"/>
          <w:rtl/>
        </w:rPr>
        <w:fldChar w:fldCharType="end"/>
      </w:r>
      <w:r w:rsidRPr="001D1883">
        <w:rPr>
          <w:rStyle w:val="afb"/>
          <w:rFonts w:hint="cs"/>
          <w:rtl/>
        </w:rPr>
        <w:t xml:space="preserve"> ד</w:t>
      </w:r>
      <w:r>
        <w:rPr>
          <w:rStyle w:val="afb"/>
          <w:rFonts w:hint="cs"/>
          <w:rtl/>
        </w:rPr>
        <w:t xml:space="preserve">לתי' הגמ' </w:t>
      </w:r>
      <w:r w:rsidRPr="001D1883">
        <w:rPr>
          <w:rStyle w:val="afb"/>
          <w:rFonts w:hint="cs"/>
          <w:rtl/>
        </w:rPr>
        <w:t>יש גזיה"כ שצריך העדאה בפניו כדכתיב "והועד בבעליו"].</w:t>
      </w:r>
      <w:bookmarkEnd w:id="3599"/>
    </w:p>
    <w:p w:rsidR="007A505A" w:rsidRPr="001D1883" w:rsidRDefault="007A505A" w:rsidP="007A505A">
      <w:pPr>
        <w:pStyle w:val="a3"/>
        <w:rPr>
          <w:rtl/>
        </w:rPr>
      </w:pPr>
      <w:bookmarkStart w:id="3600" w:name="_Toc55375296"/>
      <w:bookmarkStart w:id="3601" w:name="_Toc55386243"/>
      <w:bookmarkStart w:id="3602" w:name="_Toc55391164"/>
      <w:r>
        <w:rPr>
          <w:rFonts w:hint="cs"/>
          <w:rtl/>
        </w:rPr>
        <w:t>ביאור רב"י בתי' הגמ' דחברך חברא אית ליה דבמחאה חביריו מודיעים לו בכדי שיזהר בשטרו</w:t>
      </w:r>
      <w:bookmarkEnd w:id="3600"/>
      <w:bookmarkEnd w:id="3601"/>
      <w:bookmarkEnd w:id="3602"/>
      <w:r>
        <w:rPr>
          <w:rFonts w:hint="cs"/>
          <w:rtl/>
        </w:rPr>
        <w:t xml:space="preserve"> </w:t>
      </w:r>
    </w:p>
    <w:p w:rsidR="007A505A" w:rsidRPr="0062704C" w:rsidRDefault="007A505A" w:rsidP="007E4E81">
      <w:pPr>
        <w:pStyle w:val="a0"/>
        <w:rPr>
          <w:rStyle w:val="afb"/>
          <w:rtl/>
        </w:rPr>
      </w:pPr>
      <w:bookmarkStart w:id="3603" w:name="_Ref55381914"/>
      <w:r w:rsidRPr="001D1883">
        <w:rPr>
          <w:rFonts w:hint="cs"/>
          <w:rtl/>
        </w:rPr>
        <w:t xml:space="preserve">ובתירוץ הגמ' דחברך חברא אית ליה, ביאר </w:t>
      </w:r>
      <w:r w:rsidRPr="001D1883">
        <w:rPr>
          <w:rStyle w:val="af9"/>
          <w:rFonts w:hint="cs"/>
          <w:rtl/>
        </w:rPr>
        <w:t>רבינו יונה</w:t>
      </w:r>
      <w:r w:rsidRPr="001D1883">
        <w:rPr>
          <w:rFonts w:hint="cs"/>
          <w:rtl/>
        </w:rPr>
        <w:t xml:space="preserve"> </w:t>
      </w:r>
      <w:r w:rsidRPr="001D1883">
        <w:rPr>
          <w:rStyle w:val="af7"/>
          <w:rFonts w:eastAsia="Guttman Hodes" w:hint="cs"/>
          <w:rtl/>
        </w:rPr>
        <w:t xml:space="preserve">(ד"ה ופרקינן אפ"ה) </w:t>
      </w:r>
      <w:r w:rsidRPr="001D1883">
        <w:rPr>
          <w:rFonts w:hint="cs"/>
          <w:rtl/>
        </w:rPr>
        <w:t>דאף במחאה חביריו של המחזיק מודיעים לו שהמערער מחה בו, והוא עומד לתבוע אותו</w:t>
      </w:r>
      <w:r>
        <w:rPr>
          <w:rFonts w:hint="cs"/>
          <w:rtl/>
        </w:rPr>
        <w:t xml:space="preserve">, </w:t>
      </w:r>
      <w:r w:rsidRPr="001D1883">
        <w:rPr>
          <w:rFonts w:hint="cs"/>
          <w:rtl/>
        </w:rPr>
        <w:t>שיזהר בשטרו,</w:t>
      </w:r>
      <w:r>
        <w:rPr>
          <w:rFonts w:hint="cs"/>
          <w:rtl/>
        </w:rPr>
        <w:t xml:space="preserve"> או שיזהר בעדות החזקה שלו שיחזיק בפני עדים ויזכור מי הם העדים שלו,</w:t>
      </w:r>
      <w:r w:rsidRPr="001D1883">
        <w:rPr>
          <w:rFonts w:hint="cs"/>
          <w:rtl/>
        </w:rPr>
        <w:t xml:space="preserve"> </w:t>
      </w:r>
      <w:r>
        <w:rPr>
          <w:rFonts w:hint="cs"/>
          <w:rtl/>
        </w:rPr>
        <w:t>וכ"כ</w:t>
      </w:r>
      <w:r w:rsidRPr="001D1883">
        <w:rPr>
          <w:rFonts w:hint="cs"/>
          <w:rtl/>
        </w:rPr>
        <w:t xml:space="preserve"> </w:t>
      </w:r>
      <w:r w:rsidRPr="001D1883">
        <w:rPr>
          <w:rStyle w:val="af9"/>
          <w:rFonts w:hint="cs"/>
          <w:rtl/>
        </w:rPr>
        <w:t xml:space="preserve">הרשב"א </w:t>
      </w:r>
      <w:r w:rsidRPr="001D1883">
        <w:rPr>
          <w:rStyle w:val="af7"/>
          <w:rFonts w:eastAsia="Guttman Hodes" w:hint="cs"/>
          <w:rtl/>
        </w:rPr>
        <w:t>(ד"ה וי"מ)</w:t>
      </w:r>
      <w:r w:rsidRPr="001D1883">
        <w:rPr>
          <w:rFonts w:hint="cs"/>
          <w:rtl/>
        </w:rPr>
        <w:t xml:space="preserve"> בשם </w:t>
      </w:r>
      <w:r w:rsidRPr="001D1883">
        <w:rPr>
          <w:rStyle w:val="af9"/>
          <w:rFonts w:hint="cs"/>
          <w:rtl/>
        </w:rPr>
        <w:t>י"מ</w:t>
      </w:r>
      <w:r>
        <w:rPr>
          <w:rFonts w:hint="cs"/>
          <w:rtl/>
        </w:rPr>
        <w:t xml:space="preserve"> דרק להו"א ב</w:t>
      </w:r>
      <w:r w:rsidRPr="001D1883">
        <w:rPr>
          <w:rFonts w:hint="cs"/>
          <w:rtl/>
        </w:rPr>
        <w:t xml:space="preserve">מחאה חביריו </w:t>
      </w:r>
      <w:r>
        <w:rPr>
          <w:rFonts w:hint="cs"/>
          <w:rtl/>
        </w:rPr>
        <w:t xml:space="preserve">של המחזיק </w:t>
      </w:r>
      <w:r w:rsidRPr="001D1883">
        <w:rPr>
          <w:rFonts w:hint="cs"/>
          <w:rtl/>
        </w:rPr>
        <w:t>אינם מודיעים לו</w:t>
      </w:r>
      <w:r>
        <w:rPr>
          <w:rFonts w:hint="cs"/>
          <w:rtl/>
        </w:rPr>
        <w:t xml:space="preserve">, אבל לתירוץ הגמ' </w:t>
      </w:r>
      <w:r w:rsidRPr="001D1883">
        <w:rPr>
          <w:rFonts w:hint="cs"/>
          <w:rtl/>
        </w:rPr>
        <w:t>חביריו של המחזיק מודיעים לו, בכדי שיזהר בשמירת ראיותיו, וזו כוונת הגמ' דחברך חברא אית ליה</w:t>
      </w:r>
      <w:r>
        <w:rPr>
          <w:rFonts w:hint="cs"/>
          <w:rtl/>
        </w:rPr>
        <w:t xml:space="preserve">. </w:t>
      </w:r>
      <w:r w:rsidRPr="0062704C">
        <w:rPr>
          <w:rStyle w:val="afb"/>
          <w:rFonts w:hint="cs"/>
          <w:rtl/>
        </w:rPr>
        <w:t xml:space="preserve">[ועי' במ"ש </w:t>
      </w:r>
      <w:r w:rsidRPr="0062704C">
        <w:rPr>
          <w:rStyle w:val="affa"/>
          <w:rFonts w:hint="cs"/>
          <w:rtl/>
        </w:rPr>
        <w:t>בחי' רבי נחום</w:t>
      </w:r>
      <w:r w:rsidRPr="0062704C">
        <w:rPr>
          <w:rStyle w:val="afb"/>
          <w:rFonts w:hint="cs"/>
          <w:rtl/>
        </w:rPr>
        <w:t xml:space="preserve"> </w:t>
      </w:r>
      <w:r w:rsidRPr="000F1215">
        <w:rPr>
          <w:rStyle w:val="aff6"/>
          <w:rFonts w:hint="cs"/>
          <w:rtl/>
        </w:rPr>
        <w:t xml:space="preserve">(עי' אות </w:t>
      </w:r>
      <w:r w:rsidRPr="000F1215">
        <w:rPr>
          <w:rStyle w:val="aff6"/>
          <w:rtl/>
        </w:rPr>
        <w:fldChar w:fldCharType="begin"/>
      </w:r>
      <w:r w:rsidRPr="000F1215">
        <w:rPr>
          <w:rStyle w:val="aff6"/>
          <w:rtl/>
        </w:rPr>
        <w:instrText xml:space="preserve"> </w:instrText>
      </w:r>
      <w:r w:rsidRPr="000F1215">
        <w:rPr>
          <w:rStyle w:val="aff6"/>
          <w:rFonts w:hint="cs"/>
        </w:rPr>
        <w:instrText>REF</w:instrText>
      </w:r>
      <w:r w:rsidRPr="000F1215">
        <w:rPr>
          <w:rStyle w:val="aff6"/>
          <w:rFonts w:hint="cs"/>
          <w:rtl/>
        </w:rPr>
        <w:instrText xml:space="preserve"> _</w:instrText>
      </w:r>
      <w:r w:rsidRPr="000F1215">
        <w:rPr>
          <w:rStyle w:val="aff6"/>
          <w:rFonts w:hint="cs"/>
        </w:rPr>
        <w:instrText>Ref55382133 \r \h</w:instrText>
      </w:r>
      <w:r w:rsidRPr="000F1215">
        <w:rPr>
          <w:rStyle w:val="aff6"/>
          <w:rtl/>
        </w:rPr>
        <w:instrText xml:space="preserve"> </w:instrText>
      </w:r>
      <w:r w:rsidRPr="000F1215">
        <w:rPr>
          <w:rStyle w:val="aff6"/>
          <w:rtl/>
        </w:rPr>
      </w:r>
      <w:r w:rsidRPr="000F1215">
        <w:rPr>
          <w:rStyle w:val="aff6"/>
          <w:rtl/>
        </w:rPr>
        <w:fldChar w:fldCharType="separate"/>
      </w:r>
      <w:r w:rsidR="00265073">
        <w:rPr>
          <w:rStyle w:val="aff6"/>
          <w:cs/>
        </w:rPr>
        <w:t>‎</w:t>
      </w:r>
      <w:r w:rsidR="00265073">
        <w:rPr>
          <w:rStyle w:val="aff6"/>
          <w:rtl/>
        </w:rPr>
        <w:t>קו)</w:t>
      </w:r>
      <w:r w:rsidRPr="000F1215">
        <w:rPr>
          <w:rStyle w:val="aff6"/>
          <w:rtl/>
        </w:rPr>
        <w:fldChar w:fldCharType="end"/>
      </w:r>
      <w:r w:rsidRPr="0062704C">
        <w:rPr>
          <w:rStyle w:val="afb"/>
          <w:rFonts w:hint="cs"/>
          <w:rtl/>
        </w:rPr>
        <w:t xml:space="preserve"> דמשמע מדברי </w:t>
      </w:r>
      <w:r w:rsidRPr="0062704C">
        <w:rPr>
          <w:rStyle w:val="affa"/>
          <w:rFonts w:hint="cs"/>
          <w:rtl/>
        </w:rPr>
        <w:t>רבינו יונה</w:t>
      </w:r>
      <w:r w:rsidRPr="0062704C">
        <w:rPr>
          <w:rStyle w:val="afb"/>
          <w:rFonts w:hint="cs"/>
          <w:rtl/>
        </w:rPr>
        <w:t xml:space="preserve"> דאף אם לא שמע המחזיק מהמחאה הוי מחאה].</w:t>
      </w:r>
      <w:bookmarkEnd w:id="3603"/>
    </w:p>
    <w:p w:rsidR="007A505A" w:rsidRPr="001429F7" w:rsidRDefault="007A505A" w:rsidP="007A505A">
      <w:pPr>
        <w:pStyle w:val="a3"/>
      </w:pPr>
      <w:bookmarkStart w:id="3604" w:name="_Toc55375297"/>
      <w:bookmarkStart w:id="3605" w:name="_Toc55386244"/>
      <w:bookmarkStart w:id="3606" w:name="_Toc55391165"/>
      <w:r>
        <w:rPr>
          <w:rFonts w:hint="cs"/>
          <w:rtl/>
        </w:rPr>
        <w:t>ביאור רב"י דבשור אין מודיעים לו שהועד דסוברים שנודע לו ועוד שלא ישלם נ"ש אם ידע</w:t>
      </w:r>
      <w:bookmarkEnd w:id="3604"/>
      <w:bookmarkEnd w:id="3605"/>
      <w:bookmarkEnd w:id="3606"/>
    </w:p>
    <w:p w:rsidR="007A505A" w:rsidRDefault="007A505A" w:rsidP="007E4E81">
      <w:pPr>
        <w:pStyle w:val="a0"/>
        <w:rPr>
          <w:rtl/>
        </w:rPr>
      </w:pPr>
      <w:r w:rsidRPr="001D1883">
        <w:rPr>
          <w:rFonts w:hint="cs"/>
          <w:rtl/>
        </w:rPr>
        <w:t xml:space="preserve">אבל </w:t>
      </w:r>
      <w:r>
        <w:rPr>
          <w:rFonts w:hint="cs"/>
          <w:rtl/>
        </w:rPr>
        <w:t xml:space="preserve">בהעדאה </w:t>
      </w:r>
      <w:r w:rsidRPr="001D1883">
        <w:rPr>
          <w:rFonts w:hint="cs"/>
          <w:rtl/>
        </w:rPr>
        <w:t xml:space="preserve">בשור ביאר </w:t>
      </w:r>
      <w:r w:rsidRPr="001D1883">
        <w:rPr>
          <w:rStyle w:val="af9"/>
          <w:rFonts w:hint="cs"/>
          <w:rtl/>
        </w:rPr>
        <w:t>רבינו יונה</w:t>
      </w:r>
      <w:r w:rsidRPr="001D1883">
        <w:rPr>
          <w:rFonts w:hint="cs"/>
          <w:rtl/>
        </w:rPr>
        <w:t xml:space="preserve"> </w:t>
      </w:r>
      <w:r>
        <w:rPr>
          <w:rFonts w:hint="cs"/>
          <w:rtl/>
        </w:rPr>
        <w:t>ד</w:t>
      </w:r>
      <w:r w:rsidRPr="001D1883">
        <w:rPr>
          <w:rFonts w:hint="cs"/>
          <w:rtl/>
        </w:rPr>
        <w:t xml:space="preserve">חביריו של בעל השור אינם מודיעים לו שנגח את שורו כדי שישמור אותו, דהם סוברים שודאי נודע לו על הנגיחה, דהניזק כבר תבע אותו ואינו מאחר לתובעו, וכתב </w:t>
      </w:r>
      <w:r w:rsidRPr="001D1883">
        <w:rPr>
          <w:rStyle w:val="af9"/>
          <w:rFonts w:hint="cs"/>
          <w:rtl/>
        </w:rPr>
        <w:t>רבינו יונה</w:t>
      </w:r>
      <w:r w:rsidRPr="001D1883">
        <w:rPr>
          <w:rFonts w:hint="cs"/>
          <w:rtl/>
        </w:rPr>
        <w:t xml:space="preserve"> דבשור יש סברא נוספת שאין חביריו של בעל השור מודיעים לו, כיון שע"י ההודעה הם יזיקו לו שאם ידע ולא שמר את שורו יתחייב בנזק שלם כמועד</w:t>
      </w:r>
      <w:r>
        <w:rPr>
          <w:rFonts w:hint="cs"/>
          <w:rtl/>
        </w:rPr>
        <w:t>, וכ"כ</w:t>
      </w:r>
      <w:r w:rsidRPr="001D1883">
        <w:rPr>
          <w:rFonts w:hint="cs"/>
          <w:rtl/>
        </w:rPr>
        <w:t xml:space="preserve"> </w:t>
      </w:r>
      <w:r w:rsidRPr="001D1883">
        <w:rPr>
          <w:rStyle w:val="af9"/>
          <w:rFonts w:hint="cs"/>
          <w:rtl/>
        </w:rPr>
        <w:t xml:space="preserve">הרשב"א </w:t>
      </w:r>
      <w:r w:rsidRPr="001D1883">
        <w:rPr>
          <w:rStyle w:val="af7"/>
          <w:rFonts w:eastAsia="Guttman Hodes" w:hint="cs"/>
          <w:rtl/>
        </w:rPr>
        <w:t>(ד"ה וי"מ)</w:t>
      </w:r>
      <w:r w:rsidRPr="001D1883">
        <w:rPr>
          <w:rFonts w:hint="cs"/>
          <w:rtl/>
        </w:rPr>
        <w:t xml:space="preserve"> בשם </w:t>
      </w:r>
      <w:r w:rsidRPr="001D1883">
        <w:rPr>
          <w:rStyle w:val="af9"/>
          <w:rFonts w:hint="cs"/>
          <w:rtl/>
        </w:rPr>
        <w:t>י"מ</w:t>
      </w:r>
      <w:r w:rsidRPr="001D1883">
        <w:rPr>
          <w:rFonts w:hint="cs"/>
          <w:rtl/>
        </w:rPr>
        <w:t>.</w:t>
      </w:r>
    </w:p>
    <w:p w:rsidR="007A505A" w:rsidRPr="00045395" w:rsidRDefault="007A505A" w:rsidP="007A505A">
      <w:pPr>
        <w:pStyle w:val="1"/>
        <w:rPr>
          <w:rtl/>
        </w:rPr>
      </w:pPr>
      <w:bookmarkStart w:id="3607" w:name="_Toc55375298"/>
      <w:bookmarkStart w:id="3608" w:name="_Toc55386245"/>
      <w:bookmarkStart w:id="3609" w:name="_Toc55391166"/>
      <w:r>
        <w:rPr>
          <w:rFonts w:hint="cs"/>
          <w:rtl/>
        </w:rPr>
        <w:t>ביאור הי"מ ברב"י דרק בהוצאת לעז של גזלנות יש קול</w:t>
      </w:r>
      <w:bookmarkEnd w:id="3607"/>
      <w:bookmarkEnd w:id="3608"/>
      <w:bookmarkEnd w:id="3609"/>
    </w:p>
    <w:p w:rsidR="007A505A" w:rsidRPr="001D1883" w:rsidRDefault="007A505A" w:rsidP="007A505A">
      <w:pPr>
        <w:pStyle w:val="a3"/>
        <w:rPr>
          <w:rtl/>
        </w:rPr>
      </w:pPr>
      <w:bookmarkStart w:id="3610" w:name="_Toc55375299"/>
      <w:bookmarkStart w:id="3611" w:name="_Toc55386246"/>
      <w:bookmarkStart w:id="3612" w:name="_Toc55391167"/>
      <w:r>
        <w:rPr>
          <w:rFonts w:hint="cs"/>
          <w:rtl/>
        </w:rPr>
        <w:t>ביאור הי"מ ברב"י דבמחאה שמוציא לעז על גזלנות מודיעים לו משא"כ בהעדאה</w:t>
      </w:r>
      <w:bookmarkEnd w:id="3610"/>
      <w:bookmarkEnd w:id="3611"/>
      <w:bookmarkEnd w:id="3612"/>
    </w:p>
    <w:p w:rsidR="007A505A" w:rsidRDefault="007A505A" w:rsidP="007E4E81">
      <w:pPr>
        <w:pStyle w:val="a0"/>
        <w:rPr>
          <w:rtl/>
        </w:rPr>
      </w:pPr>
      <w:r w:rsidRPr="001D1883">
        <w:rPr>
          <w:rFonts w:hint="cs"/>
          <w:rtl/>
        </w:rPr>
        <w:t xml:space="preserve">והביא </w:t>
      </w:r>
      <w:r w:rsidRPr="001D1883">
        <w:rPr>
          <w:rStyle w:val="af9"/>
          <w:rFonts w:hint="cs"/>
          <w:rtl/>
        </w:rPr>
        <w:t>רבינו יונה</w:t>
      </w:r>
      <w:r w:rsidRPr="001D1883">
        <w:rPr>
          <w:rFonts w:hint="cs"/>
          <w:rtl/>
        </w:rPr>
        <w:t xml:space="preserve"> בשם </w:t>
      </w:r>
      <w:r w:rsidRPr="001D1883">
        <w:rPr>
          <w:rStyle w:val="af9"/>
          <w:rFonts w:hint="cs"/>
          <w:rtl/>
        </w:rPr>
        <w:t>י"מ</w:t>
      </w:r>
      <w:r w:rsidRPr="001D1883">
        <w:rPr>
          <w:rFonts w:hint="cs"/>
          <w:rtl/>
        </w:rPr>
        <w:t xml:space="preserve"> דכוונת הגמ' בתירוץ דחברך חברא אית ליה, דכשהמערער מוציא לעז על המחזיק שהוא גזלן, חביריו מודיעים לו בזריזות, אבל כששורו נגח אינם מזדרזים להודיעו</w:t>
      </w:r>
      <w:r>
        <w:rPr>
          <w:rFonts w:hint="cs"/>
          <w:rtl/>
        </w:rPr>
        <w:t>.</w:t>
      </w:r>
    </w:p>
    <w:p w:rsidR="007A505A" w:rsidRPr="001429F7" w:rsidRDefault="007A505A" w:rsidP="007A505A">
      <w:pPr>
        <w:pStyle w:val="a3"/>
      </w:pPr>
      <w:bookmarkStart w:id="3613" w:name="_Toc55375300"/>
      <w:bookmarkStart w:id="3614" w:name="_Toc55386247"/>
      <w:bookmarkStart w:id="3615" w:name="_Toc55391168"/>
      <w:r>
        <w:rPr>
          <w:rFonts w:hint="cs"/>
          <w:rtl/>
        </w:rPr>
        <w:t>דחיית רב"י דמחאה במשכנתא מהני אף שאינה לעז וכן מחאה שלא כדין ל"מ אף שהי אלעז</w:t>
      </w:r>
      <w:bookmarkEnd w:id="3613"/>
      <w:bookmarkEnd w:id="3614"/>
      <w:bookmarkEnd w:id="3615"/>
    </w:p>
    <w:p w:rsidR="007A505A" w:rsidRDefault="007A505A" w:rsidP="007E4E81">
      <w:pPr>
        <w:pStyle w:val="a0"/>
        <w:rPr>
          <w:rtl/>
        </w:rPr>
      </w:pPr>
      <w:r>
        <w:rPr>
          <w:rFonts w:hint="cs"/>
          <w:rtl/>
        </w:rPr>
        <w:t xml:space="preserve">אך </w:t>
      </w:r>
      <w:r w:rsidRPr="001D1883">
        <w:rPr>
          <w:rFonts w:hint="cs"/>
          <w:rtl/>
        </w:rPr>
        <w:t xml:space="preserve">דחה </w:t>
      </w:r>
      <w:r w:rsidRPr="001D1883">
        <w:rPr>
          <w:rStyle w:val="af9"/>
          <w:rFonts w:hint="cs"/>
          <w:rtl/>
        </w:rPr>
        <w:t xml:space="preserve">רבינו יונה </w:t>
      </w:r>
      <w:r>
        <w:rPr>
          <w:rFonts w:hint="cs"/>
          <w:rtl/>
        </w:rPr>
        <w:t xml:space="preserve">את דעת </w:t>
      </w:r>
      <w:r w:rsidRPr="001429F7">
        <w:rPr>
          <w:rStyle w:val="af9"/>
          <w:rFonts w:hint="cs"/>
          <w:rtl/>
        </w:rPr>
        <w:t>הי"מ</w:t>
      </w:r>
      <w:r>
        <w:rPr>
          <w:rFonts w:hint="cs"/>
          <w:rtl/>
        </w:rPr>
        <w:t xml:space="preserve"> </w:t>
      </w:r>
      <w:r w:rsidRPr="001D1883">
        <w:rPr>
          <w:rFonts w:hint="cs"/>
          <w:rtl/>
        </w:rPr>
        <w:t xml:space="preserve">דא"כ כשמחה המערער שהוא מחזיק את הקרקע במשכנתא ולא בגזילה, לא תועיל מחאה </w:t>
      </w:r>
      <w:r w:rsidRPr="001D1883">
        <w:rPr>
          <w:rFonts w:hint="cs"/>
          <w:rtl/>
        </w:rPr>
        <w:lastRenderedPageBreak/>
        <w:t xml:space="preserve">שלא בפניו, כיון שאינו מוציא עליו כל לעז, ועוד </w:t>
      </w:r>
      <w:r w:rsidRPr="001D1883">
        <w:rPr>
          <w:rStyle w:val="af9"/>
          <w:rFonts w:hint="cs"/>
          <w:rtl/>
        </w:rPr>
        <w:t xml:space="preserve">דהרי"ף לקמן </w:t>
      </w:r>
      <w:r w:rsidRPr="001D1883">
        <w:rPr>
          <w:rStyle w:val="af7"/>
          <w:rFonts w:eastAsia="Guttman Hodes" w:hint="cs"/>
          <w:rtl/>
        </w:rPr>
        <w:t>(יט:</w:t>
      </w:r>
      <w:r w:rsidR="00A77F33">
        <w:rPr>
          <w:rStyle w:val="af7"/>
          <w:rFonts w:eastAsia="Guttman Hodes" w:hint="cs"/>
          <w:rtl/>
        </w:rPr>
        <w:t xml:space="preserve"> </w:t>
      </w:r>
      <w:r w:rsidRPr="001D1883">
        <w:rPr>
          <w:rStyle w:val="af7"/>
          <w:rFonts w:eastAsia="Guttman Hodes" w:hint="cs"/>
          <w:rtl/>
        </w:rPr>
        <w:t>מדה"ר)</w:t>
      </w:r>
      <w:r w:rsidRPr="001D1883">
        <w:rPr>
          <w:rFonts w:hint="cs"/>
          <w:rtl/>
        </w:rPr>
        <w:t xml:space="preserve"> ביאר דמחאה מהני רק כשאמר המערער דלמחר הוא יתבע את המחזיק לב"ד, ומבואר דאם לא אמר כן לא הוי מחאה, אעפ"י שהוציא לעז על המחזיק שהוא גזלן, וציין </w:t>
      </w:r>
      <w:r w:rsidRPr="001D1883">
        <w:rPr>
          <w:rStyle w:val="af9"/>
          <w:rFonts w:hint="cs"/>
          <w:rtl/>
        </w:rPr>
        <w:t xml:space="preserve">רבינו יונה דרש"י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sidRPr="001D1883">
        <w:rPr>
          <w:rFonts w:hint="cs"/>
          <w:rtl/>
        </w:rPr>
        <w:t xml:space="preserve"> ביאר באופן אחר.</w:t>
      </w:r>
    </w:p>
    <w:p w:rsidR="007A505A" w:rsidRPr="001D1883" w:rsidRDefault="007A505A" w:rsidP="007A505A">
      <w:pPr>
        <w:pStyle w:val="afe"/>
        <w:rPr>
          <w:rtl/>
        </w:rPr>
      </w:pPr>
      <w:bookmarkStart w:id="3616" w:name="_Toc55325169"/>
      <w:bookmarkStart w:id="3617" w:name="_Toc55342096"/>
      <w:bookmarkStart w:id="3618" w:name="_Toc55342197"/>
      <w:bookmarkStart w:id="3619" w:name="_Toc55375303"/>
      <w:bookmarkStart w:id="3620" w:name="_Toc55386250"/>
      <w:bookmarkStart w:id="3621" w:name="_Toc55391169"/>
      <w:bookmarkStart w:id="3622" w:name="_Toc54555967"/>
      <w:bookmarkStart w:id="3623" w:name="_Toc54603738"/>
      <w:bookmarkStart w:id="3624" w:name="_Toc54642645"/>
      <w:bookmarkStart w:id="3625" w:name="_Toc55127846"/>
      <w:bookmarkStart w:id="3626" w:name="_Toc55246099"/>
      <w:bookmarkEnd w:id="3246"/>
      <w:bookmarkEnd w:id="3247"/>
      <w:bookmarkEnd w:id="3248"/>
      <w:bookmarkEnd w:id="3249"/>
      <w:bookmarkEnd w:id="3383"/>
      <w:bookmarkEnd w:id="3384"/>
      <w:r w:rsidRPr="001D1883">
        <w:rPr>
          <w:rFonts w:hint="cs"/>
          <w:rtl/>
        </w:rPr>
        <w:t>ב</w:t>
      </w:r>
      <w:r>
        <w:rPr>
          <w:rFonts w:hint="cs"/>
          <w:rtl/>
        </w:rPr>
        <w:t xml:space="preserve">דיני </w:t>
      </w:r>
      <w:r w:rsidRPr="001D1883">
        <w:rPr>
          <w:rFonts w:hint="cs"/>
          <w:rtl/>
        </w:rPr>
        <w:t xml:space="preserve">מחאה </w:t>
      </w:r>
      <w:r>
        <w:rPr>
          <w:rFonts w:hint="cs"/>
          <w:rtl/>
        </w:rPr>
        <w:t xml:space="preserve">שלא בפניו </w:t>
      </w:r>
      <w:r w:rsidRPr="001D1883">
        <w:rPr>
          <w:rFonts w:hint="cs"/>
          <w:rtl/>
        </w:rPr>
        <w:t>לדעת רבנן</w:t>
      </w:r>
      <w:bookmarkEnd w:id="3616"/>
      <w:bookmarkEnd w:id="3617"/>
      <w:bookmarkEnd w:id="3618"/>
      <w:bookmarkEnd w:id="3619"/>
      <w:bookmarkEnd w:id="3620"/>
      <w:bookmarkEnd w:id="3621"/>
    </w:p>
    <w:p w:rsidR="007A505A" w:rsidRPr="001D1883" w:rsidRDefault="007A505A" w:rsidP="007A505A">
      <w:pPr>
        <w:pStyle w:val="1"/>
        <w:rPr>
          <w:rtl/>
        </w:rPr>
      </w:pPr>
      <w:bookmarkStart w:id="3627" w:name="_Toc53934421"/>
      <w:bookmarkStart w:id="3628" w:name="_Toc54076382"/>
      <w:bookmarkStart w:id="3629" w:name="_Toc55246101"/>
      <w:bookmarkStart w:id="3630" w:name="_Toc55325170"/>
      <w:bookmarkStart w:id="3631" w:name="_Toc55342097"/>
      <w:bookmarkStart w:id="3632" w:name="_Toc55342198"/>
      <w:bookmarkStart w:id="3633" w:name="_Toc55375304"/>
      <w:bookmarkStart w:id="3634" w:name="_Toc55386251"/>
      <w:bookmarkStart w:id="3635" w:name="_Toc55391170"/>
      <w:bookmarkEnd w:id="3622"/>
      <w:bookmarkEnd w:id="3623"/>
      <w:bookmarkEnd w:id="3624"/>
      <w:bookmarkEnd w:id="3625"/>
      <w:bookmarkEnd w:id="3626"/>
      <w:r w:rsidRPr="001D1883">
        <w:rPr>
          <w:rFonts w:hint="cs"/>
          <w:rtl/>
        </w:rPr>
        <w:t xml:space="preserve">דברי </w:t>
      </w:r>
      <w:bookmarkEnd w:id="3627"/>
      <w:bookmarkEnd w:id="3628"/>
      <w:bookmarkEnd w:id="3629"/>
      <w:bookmarkEnd w:id="3630"/>
      <w:bookmarkEnd w:id="3631"/>
      <w:bookmarkEnd w:id="3632"/>
      <w:bookmarkEnd w:id="3633"/>
      <w:bookmarkEnd w:id="3634"/>
      <w:r>
        <w:rPr>
          <w:rFonts w:hint="cs"/>
          <w:rtl/>
        </w:rPr>
        <w:t>הראשונים דמחאה מהני אף שלא שמע ממנה המחזיק</w:t>
      </w:r>
      <w:bookmarkEnd w:id="3635"/>
    </w:p>
    <w:p w:rsidR="007A505A" w:rsidRPr="001D1883" w:rsidRDefault="007A505A" w:rsidP="007A505A">
      <w:pPr>
        <w:pStyle w:val="a3"/>
        <w:rPr>
          <w:rtl/>
        </w:rPr>
      </w:pPr>
      <w:bookmarkStart w:id="3636" w:name="_Toc55386252"/>
      <w:bookmarkStart w:id="3637" w:name="_Toc55391171"/>
      <w:r>
        <w:rPr>
          <w:rFonts w:hint="cs"/>
          <w:rtl/>
        </w:rPr>
        <w:t>דברי רב"י דלרבנן מהני המחאה אף כשעידי המחאה לא סיפרו עליה לשום אדם</w:t>
      </w:r>
      <w:bookmarkEnd w:id="3636"/>
      <w:bookmarkEnd w:id="3637"/>
    </w:p>
    <w:p w:rsidR="007A505A" w:rsidRDefault="007A505A" w:rsidP="007E4E81">
      <w:pPr>
        <w:pStyle w:val="a0"/>
        <w:rPr>
          <w:rtl/>
        </w:rPr>
      </w:pPr>
      <w:bookmarkStart w:id="3638" w:name="_Ref55382258"/>
      <w:r w:rsidRPr="001D1883">
        <w:rPr>
          <w:rFonts w:hint="cs"/>
          <w:rtl/>
        </w:rPr>
        <w:t xml:space="preserve">כתב </w:t>
      </w:r>
      <w:r w:rsidRPr="002A1F78">
        <w:rPr>
          <w:rStyle w:val="af9"/>
          <w:rFonts w:hint="cs"/>
          <w:rtl/>
        </w:rPr>
        <w:t xml:space="preserve">רבינו יונה לקמן </w:t>
      </w:r>
      <w:r w:rsidRPr="002A1F78">
        <w:rPr>
          <w:rStyle w:val="af7"/>
          <w:rFonts w:eastAsia="Guttman Hodes" w:hint="cs"/>
          <w:rtl/>
        </w:rPr>
        <w:t>(כט. ד"ה אלא)</w:t>
      </w:r>
      <w:r w:rsidRPr="001D1883">
        <w:rPr>
          <w:rFonts w:hint="cs"/>
          <w:rtl/>
        </w:rPr>
        <w:t xml:space="preserve"> </w:t>
      </w:r>
      <w:r w:rsidRPr="001A2AA6">
        <w:rPr>
          <w:rFonts w:hint="cs"/>
          <w:rtl/>
        </w:rPr>
        <w:t xml:space="preserve">דלדעת רבנן דטעמא דחזקת ג"ש הוא דכיון שלאחר ג"ש אין הלוקח נזהר בשטרו, לכן תיקנו חכמים שימחה המערער, ומדלא מיחה מוכח שמכר לו, וכתב </w:t>
      </w:r>
      <w:r w:rsidRPr="002A1F78">
        <w:rPr>
          <w:rStyle w:val="af9"/>
          <w:rFonts w:hint="cs"/>
          <w:rtl/>
        </w:rPr>
        <w:t xml:space="preserve">רבינו יונה </w:t>
      </w:r>
      <w:r w:rsidRPr="001D1883">
        <w:rPr>
          <w:rFonts w:hint="cs"/>
          <w:rtl/>
        </w:rPr>
        <w:t>דמחאה שלא בפניו מהני, אף שידוע שעידי המחאה מודים שלא סיפרו עליה לשום אדם</w:t>
      </w:r>
      <w:r>
        <w:rPr>
          <w:rFonts w:hint="cs"/>
          <w:rtl/>
        </w:rPr>
        <w:t>.</w:t>
      </w:r>
      <w:bookmarkEnd w:id="3638"/>
    </w:p>
    <w:p w:rsidR="007A505A" w:rsidRPr="00217B27" w:rsidRDefault="007A505A" w:rsidP="007A505A">
      <w:pPr>
        <w:pStyle w:val="a3"/>
      </w:pPr>
      <w:bookmarkStart w:id="3639" w:name="_Toc55386253"/>
      <w:bookmarkStart w:id="3640" w:name="_Toc55391172"/>
      <w:r>
        <w:rPr>
          <w:rFonts w:hint="cs"/>
          <w:rtl/>
        </w:rPr>
        <w:t>ביאור רב"י דמהני המחאה כיון שלא היה המערער צריך למחות בפניו וסמך שישמע מהמחאה</w:t>
      </w:r>
      <w:bookmarkEnd w:id="3639"/>
      <w:bookmarkEnd w:id="3640"/>
    </w:p>
    <w:p w:rsidR="007A505A" w:rsidRPr="00BD388B" w:rsidRDefault="007A505A" w:rsidP="007E4E81">
      <w:pPr>
        <w:pStyle w:val="a0"/>
        <w:rPr>
          <w:rStyle w:val="afb"/>
          <w:rtl/>
        </w:rPr>
      </w:pPr>
      <w:r w:rsidRPr="001A2AA6">
        <w:rPr>
          <w:rFonts w:hint="cs"/>
          <w:rtl/>
        </w:rPr>
        <w:t>ו</w:t>
      </w:r>
      <w:r>
        <w:rPr>
          <w:rFonts w:hint="cs"/>
          <w:rtl/>
        </w:rPr>
        <w:t>ביאר</w:t>
      </w:r>
      <w:r w:rsidRPr="001A2AA6">
        <w:rPr>
          <w:rFonts w:hint="cs"/>
          <w:rtl/>
        </w:rPr>
        <w:t xml:space="preserve"> </w:t>
      </w:r>
      <w:r w:rsidRPr="002A1F78">
        <w:rPr>
          <w:rStyle w:val="af9"/>
          <w:rFonts w:hint="cs"/>
          <w:rtl/>
        </w:rPr>
        <w:t xml:space="preserve">רבינו יונה </w:t>
      </w:r>
      <w:r>
        <w:rPr>
          <w:rFonts w:hint="cs"/>
          <w:rtl/>
        </w:rPr>
        <w:t>דהמחאה מהני כיון</w:t>
      </w:r>
      <w:r w:rsidRPr="001D1883">
        <w:rPr>
          <w:rFonts w:hint="cs"/>
          <w:rtl/>
        </w:rPr>
        <w:t xml:space="preserve"> </w:t>
      </w:r>
      <w:r>
        <w:rPr>
          <w:rFonts w:hint="cs"/>
          <w:rtl/>
        </w:rPr>
        <w:t>ד</w:t>
      </w:r>
      <w:r w:rsidRPr="001D1883">
        <w:rPr>
          <w:rFonts w:hint="cs"/>
          <w:rtl/>
        </w:rPr>
        <w:t>טוען המערער שהוא לא היה צריך לטרוח ולמחות בפני המחזיק, כיון דסמך על סברת חברך חברא אית ליה, דהדרך של בנ"א לספר את המחאה, וממילא אין חזקת המחזיק חזקה</w:t>
      </w:r>
      <w:r>
        <w:rPr>
          <w:rFonts w:hint="cs"/>
          <w:rtl/>
        </w:rPr>
        <w:t>,</w:t>
      </w:r>
      <w:r w:rsidRPr="00614026">
        <w:rPr>
          <w:rFonts w:hint="cs"/>
          <w:rtl/>
        </w:rPr>
        <w:t xml:space="preserve"> </w:t>
      </w:r>
      <w:r w:rsidRPr="001D1883">
        <w:rPr>
          <w:rFonts w:hint="cs"/>
          <w:rtl/>
        </w:rPr>
        <w:t xml:space="preserve">וכ"כ </w:t>
      </w:r>
      <w:r w:rsidRPr="002A1F78">
        <w:rPr>
          <w:rStyle w:val="af9"/>
          <w:rFonts w:hint="cs"/>
          <w:rtl/>
        </w:rPr>
        <w:t>הר"ן על הרי"ף [הנדמ"ח</w:t>
      </w:r>
      <w:r w:rsidRPr="001D1883">
        <w:rPr>
          <w:rFonts w:hint="cs"/>
          <w:rtl/>
        </w:rPr>
        <w:t xml:space="preserve">] </w:t>
      </w:r>
      <w:r w:rsidRPr="002A1F78">
        <w:rPr>
          <w:rStyle w:val="af7"/>
          <w:rFonts w:eastAsia="Guttman Hodes" w:hint="cs"/>
          <w:rtl/>
        </w:rPr>
        <w:t>(כט. ד"ה שתא, נד' בסוף חי' הר"ן מהדו' פרדס</w:t>
      </w:r>
      <w:r w:rsidR="00CA3FDF">
        <w:rPr>
          <w:rStyle w:val="af1"/>
          <w:rtl/>
        </w:rPr>
        <w:footnoteReference w:id="9"/>
      </w:r>
      <w:r w:rsidRPr="002A1F78">
        <w:rPr>
          <w:rStyle w:val="af7"/>
          <w:rFonts w:eastAsia="Guttman Hodes" w:hint="cs"/>
          <w:rtl/>
        </w:rPr>
        <w:t>)</w:t>
      </w:r>
      <w:r w:rsidRPr="00DD6FD2">
        <w:rPr>
          <w:rFonts w:hint="cs"/>
          <w:rtl/>
        </w:rPr>
        <w:t xml:space="preserve">, ועי' במה שביאר </w:t>
      </w:r>
      <w:r w:rsidRPr="00F555A0">
        <w:rPr>
          <w:rStyle w:val="af9"/>
          <w:rFonts w:hint="cs"/>
          <w:rtl/>
        </w:rPr>
        <w:t>בשיעורי רבי שמואל</w:t>
      </w:r>
      <w:r w:rsidRPr="00F555A0">
        <w:rPr>
          <w:rStyle w:val="af7"/>
          <w:rFonts w:eastAsia="Guttman Hodes" w:hint="cs"/>
          <w:rtl/>
        </w:rPr>
        <w:t xml:space="preserve"> (עי' אות</w:t>
      </w:r>
      <w:r w:rsidRPr="00F555A0">
        <w:rPr>
          <w:rStyle w:val="af7"/>
          <w:rFonts w:eastAsia="Guttman Rashi" w:hint="cs"/>
          <w:rtl/>
        </w:rPr>
        <w:t xml:space="preserve"> </w:t>
      </w:r>
      <w:r w:rsidRPr="00F555A0">
        <w:rPr>
          <w:rStyle w:val="af7"/>
          <w:rFonts w:eastAsia="Guttman Rashi"/>
          <w:rtl/>
        </w:rPr>
        <w:fldChar w:fldCharType="begin"/>
      </w:r>
      <w:r w:rsidRPr="00F555A0">
        <w:rPr>
          <w:rStyle w:val="af7"/>
          <w:rFonts w:eastAsia="Guttman Rashi"/>
          <w:rtl/>
        </w:rPr>
        <w:instrText xml:space="preserve"> </w:instrText>
      </w:r>
      <w:r w:rsidRPr="00F555A0">
        <w:rPr>
          <w:rStyle w:val="af7"/>
          <w:rFonts w:eastAsia="Guttman Rashi" w:hint="cs"/>
        </w:rPr>
        <w:instrText>REF</w:instrText>
      </w:r>
      <w:r w:rsidRPr="00F555A0">
        <w:rPr>
          <w:rStyle w:val="af7"/>
          <w:rFonts w:eastAsia="Guttman Rashi" w:hint="cs"/>
          <w:rtl/>
        </w:rPr>
        <w:instrText xml:space="preserve"> _</w:instrText>
      </w:r>
      <w:r w:rsidRPr="00F555A0">
        <w:rPr>
          <w:rStyle w:val="af7"/>
          <w:rFonts w:eastAsia="Guttman Rashi" w:hint="cs"/>
        </w:rPr>
        <w:instrText>Ref55470322 \r \h</w:instrText>
      </w:r>
      <w:r w:rsidRPr="00F555A0">
        <w:rPr>
          <w:rStyle w:val="af7"/>
          <w:rFonts w:eastAsia="Guttman Rashi"/>
          <w:rtl/>
        </w:rPr>
        <w:instrText xml:space="preserve"> </w:instrText>
      </w:r>
      <w:r w:rsidRPr="00F555A0">
        <w:rPr>
          <w:rStyle w:val="af7"/>
          <w:rFonts w:eastAsia="Guttman Rashi"/>
          <w:rtl/>
        </w:rPr>
      </w:r>
      <w:r w:rsidRPr="00F555A0">
        <w:rPr>
          <w:rStyle w:val="af7"/>
          <w:rFonts w:eastAsia="Guttman Rashi"/>
          <w:rtl/>
        </w:rPr>
        <w:fldChar w:fldCharType="separate"/>
      </w:r>
      <w:r w:rsidR="00265073">
        <w:rPr>
          <w:rStyle w:val="af7"/>
          <w:rFonts w:eastAsia="Guttman Rashi"/>
          <w:cs/>
        </w:rPr>
        <w:t>‎</w:t>
      </w:r>
      <w:r w:rsidR="00265073">
        <w:rPr>
          <w:rStyle w:val="af7"/>
          <w:rFonts w:eastAsia="Guttman Rashi"/>
          <w:rtl/>
        </w:rPr>
        <w:t>קז)</w:t>
      </w:r>
      <w:r w:rsidRPr="00F555A0">
        <w:rPr>
          <w:rStyle w:val="af7"/>
          <w:rFonts w:eastAsia="Guttman Rashi"/>
          <w:rtl/>
        </w:rPr>
        <w:fldChar w:fldCharType="end"/>
      </w:r>
      <w:r w:rsidRPr="00F555A0">
        <w:rPr>
          <w:rStyle w:val="af7"/>
          <w:rFonts w:eastAsia="Guttman Hodes" w:hint="cs"/>
          <w:rtl/>
        </w:rPr>
        <w:t xml:space="preserve"> </w:t>
      </w:r>
      <w:r>
        <w:rPr>
          <w:rFonts w:hint="cs"/>
          <w:rtl/>
        </w:rPr>
        <w:t>בדברי</w:t>
      </w:r>
      <w:r w:rsidRPr="001A2AA6">
        <w:rPr>
          <w:rFonts w:hint="cs"/>
          <w:rtl/>
        </w:rPr>
        <w:t xml:space="preserve"> </w:t>
      </w:r>
      <w:r w:rsidRPr="002A1F78">
        <w:rPr>
          <w:rStyle w:val="af9"/>
          <w:rFonts w:hint="cs"/>
          <w:rtl/>
        </w:rPr>
        <w:t>רבינו יונה</w:t>
      </w:r>
      <w:r w:rsidRPr="001D1883">
        <w:rPr>
          <w:rFonts w:hint="cs"/>
          <w:rtl/>
        </w:rPr>
        <w:t>.</w:t>
      </w:r>
      <w:r>
        <w:rPr>
          <w:rFonts w:hint="cs"/>
          <w:rtl/>
        </w:rPr>
        <w:t xml:space="preserve"> </w:t>
      </w:r>
      <w:r w:rsidRPr="00BD388B">
        <w:rPr>
          <w:rStyle w:val="afb"/>
          <w:rFonts w:hint="cs"/>
          <w:rtl/>
        </w:rPr>
        <w:t xml:space="preserve">[ועי' במ"ש </w:t>
      </w:r>
      <w:r w:rsidRPr="00BD388B">
        <w:rPr>
          <w:rStyle w:val="affa"/>
          <w:rFonts w:hint="cs"/>
          <w:rtl/>
        </w:rPr>
        <w:t>בחי' רבי נחום</w:t>
      </w:r>
      <w:r w:rsidRPr="00BD388B">
        <w:rPr>
          <w:rStyle w:val="afb"/>
          <w:rFonts w:hint="cs"/>
          <w:rtl/>
        </w:rPr>
        <w:t xml:space="preserve"> </w:t>
      </w:r>
      <w:r w:rsidRPr="00BD388B">
        <w:rPr>
          <w:rStyle w:val="aff6"/>
          <w:rFonts w:hint="cs"/>
          <w:rtl/>
        </w:rPr>
        <w:t xml:space="preserve">(עי' אות </w:t>
      </w:r>
      <w:r w:rsidRPr="00BD388B">
        <w:rPr>
          <w:rStyle w:val="aff6"/>
          <w:rtl/>
        </w:rPr>
        <w:fldChar w:fldCharType="begin"/>
      </w:r>
      <w:r w:rsidRPr="00BD388B">
        <w:rPr>
          <w:rStyle w:val="aff6"/>
          <w:rtl/>
        </w:rPr>
        <w:instrText xml:space="preserve"> </w:instrText>
      </w:r>
      <w:r w:rsidRPr="00BD388B">
        <w:rPr>
          <w:rStyle w:val="aff6"/>
          <w:rFonts w:hint="cs"/>
        </w:rPr>
        <w:instrText>REF</w:instrText>
      </w:r>
      <w:r w:rsidRPr="00BD388B">
        <w:rPr>
          <w:rStyle w:val="aff6"/>
          <w:rFonts w:hint="cs"/>
          <w:rtl/>
        </w:rPr>
        <w:instrText xml:space="preserve"> _</w:instrText>
      </w:r>
      <w:r w:rsidRPr="00BD388B">
        <w:rPr>
          <w:rStyle w:val="aff6"/>
          <w:rFonts w:hint="cs"/>
        </w:rPr>
        <w:instrText>Ref55382348 \r \h</w:instrText>
      </w:r>
      <w:r w:rsidRPr="00BD388B">
        <w:rPr>
          <w:rStyle w:val="aff6"/>
          <w:rtl/>
        </w:rPr>
        <w:instrText xml:space="preserve"> </w:instrText>
      </w:r>
      <w:r w:rsidRPr="00BD388B">
        <w:rPr>
          <w:rStyle w:val="aff6"/>
          <w:rtl/>
        </w:rPr>
      </w:r>
      <w:r w:rsidRPr="00BD388B">
        <w:rPr>
          <w:rStyle w:val="aff6"/>
          <w:rtl/>
        </w:rPr>
        <w:fldChar w:fldCharType="separate"/>
      </w:r>
      <w:r w:rsidR="00265073">
        <w:rPr>
          <w:rStyle w:val="aff6"/>
          <w:cs/>
        </w:rPr>
        <w:t>‎</w:t>
      </w:r>
      <w:r w:rsidR="00265073">
        <w:rPr>
          <w:rStyle w:val="aff6"/>
          <w:rtl/>
        </w:rPr>
        <w:t>קי)</w:t>
      </w:r>
      <w:r w:rsidRPr="00BD388B">
        <w:rPr>
          <w:rStyle w:val="aff6"/>
          <w:rtl/>
        </w:rPr>
        <w:fldChar w:fldCharType="end"/>
      </w:r>
      <w:r w:rsidRPr="00BD388B">
        <w:rPr>
          <w:rStyle w:val="afb"/>
          <w:rFonts w:hint="cs"/>
          <w:rtl/>
        </w:rPr>
        <w:t xml:space="preserve"> דלדעת </w:t>
      </w:r>
      <w:r w:rsidRPr="00BD388B">
        <w:rPr>
          <w:rStyle w:val="affa"/>
          <w:rFonts w:hint="cs"/>
          <w:rtl/>
        </w:rPr>
        <w:t>רש"י</w:t>
      </w:r>
      <w:r w:rsidRPr="00BD388B">
        <w:rPr>
          <w:rStyle w:val="afb"/>
          <w:rFonts w:hint="cs"/>
          <w:rtl/>
        </w:rPr>
        <w:t xml:space="preserve"> </w:t>
      </w:r>
      <w:r w:rsidRPr="00BD388B">
        <w:rPr>
          <w:rStyle w:val="aff6"/>
          <w:rFonts w:hint="cs"/>
          <w:rtl/>
        </w:rPr>
        <w:t xml:space="preserve">(עי' אות </w:t>
      </w:r>
      <w:r w:rsidRPr="00BD388B">
        <w:rPr>
          <w:rStyle w:val="aff6"/>
          <w:rtl/>
        </w:rPr>
        <w:fldChar w:fldCharType="begin"/>
      </w:r>
      <w:r w:rsidRPr="00BD388B">
        <w:rPr>
          <w:rStyle w:val="aff6"/>
          <w:rtl/>
        </w:rPr>
        <w:instrText xml:space="preserve"> </w:instrText>
      </w:r>
      <w:r w:rsidRPr="00BD388B">
        <w:rPr>
          <w:rStyle w:val="aff6"/>
          <w:rFonts w:hint="cs"/>
        </w:rPr>
        <w:instrText>REF</w:instrText>
      </w:r>
      <w:r w:rsidRPr="00BD388B">
        <w:rPr>
          <w:rStyle w:val="aff6"/>
          <w:rFonts w:hint="cs"/>
          <w:rtl/>
        </w:rPr>
        <w:instrText xml:space="preserve"> _</w:instrText>
      </w:r>
      <w:r w:rsidRPr="00BD388B">
        <w:rPr>
          <w:rStyle w:val="aff6"/>
          <w:rFonts w:hint="cs"/>
        </w:rPr>
        <w:instrText>Ref54603459 \r \h</w:instrText>
      </w:r>
      <w:r w:rsidRPr="00BD388B">
        <w:rPr>
          <w:rStyle w:val="aff6"/>
          <w:rtl/>
        </w:rPr>
        <w:instrText xml:space="preserve">  \* </w:instrText>
      </w:r>
      <w:r w:rsidRPr="00BD388B">
        <w:rPr>
          <w:rStyle w:val="aff6"/>
        </w:rPr>
        <w:instrText>MERGEFORMAT</w:instrText>
      </w:r>
      <w:r w:rsidRPr="00BD388B">
        <w:rPr>
          <w:rStyle w:val="aff6"/>
          <w:rtl/>
        </w:rPr>
        <w:instrText xml:space="preserve"> </w:instrText>
      </w:r>
      <w:r w:rsidRPr="00BD388B">
        <w:rPr>
          <w:rStyle w:val="aff6"/>
          <w:rtl/>
        </w:rPr>
      </w:r>
      <w:r w:rsidRPr="00BD388B">
        <w:rPr>
          <w:rStyle w:val="aff6"/>
          <w:rtl/>
        </w:rPr>
        <w:fldChar w:fldCharType="separate"/>
      </w:r>
      <w:r w:rsidR="00265073">
        <w:rPr>
          <w:rStyle w:val="aff6"/>
          <w:cs/>
        </w:rPr>
        <w:t>‎</w:t>
      </w:r>
      <w:r w:rsidR="00265073">
        <w:rPr>
          <w:rStyle w:val="aff6"/>
          <w:rtl/>
        </w:rPr>
        <w:t>ג)</w:t>
      </w:r>
      <w:r w:rsidRPr="00BD388B">
        <w:rPr>
          <w:rStyle w:val="aff6"/>
          <w:rtl/>
        </w:rPr>
        <w:fldChar w:fldCharType="end"/>
      </w:r>
      <w:r w:rsidRPr="00BD388B">
        <w:rPr>
          <w:rStyle w:val="afb"/>
          <w:rFonts w:hint="cs"/>
          <w:rtl/>
        </w:rPr>
        <w:t xml:space="preserve"> </w:t>
      </w:r>
      <w:r w:rsidRPr="00BD388B">
        <w:rPr>
          <w:rStyle w:val="affa"/>
          <w:rFonts w:hint="cs"/>
          <w:rtl/>
        </w:rPr>
        <w:t>והרמב"ן</w:t>
      </w:r>
      <w:r w:rsidRPr="00BD388B">
        <w:rPr>
          <w:rStyle w:val="afb"/>
          <w:rFonts w:hint="cs"/>
          <w:rtl/>
        </w:rPr>
        <w:t xml:space="preserve"> </w:t>
      </w:r>
      <w:r w:rsidRPr="00BD388B">
        <w:rPr>
          <w:rStyle w:val="aff6"/>
          <w:rFonts w:hint="cs"/>
          <w:rtl/>
        </w:rPr>
        <w:t xml:space="preserve">(עי' אות </w:t>
      </w:r>
      <w:r w:rsidRPr="00BD388B">
        <w:rPr>
          <w:rStyle w:val="aff6"/>
          <w:rtl/>
        </w:rPr>
        <w:fldChar w:fldCharType="begin"/>
      </w:r>
      <w:r w:rsidRPr="00BD388B">
        <w:rPr>
          <w:rStyle w:val="aff6"/>
          <w:rtl/>
        </w:rPr>
        <w:instrText xml:space="preserve"> </w:instrText>
      </w:r>
      <w:r w:rsidRPr="00BD388B">
        <w:rPr>
          <w:rStyle w:val="aff6"/>
          <w:rFonts w:hint="cs"/>
        </w:rPr>
        <w:instrText>REF</w:instrText>
      </w:r>
      <w:r w:rsidRPr="00BD388B">
        <w:rPr>
          <w:rStyle w:val="aff6"/>
          <w:rFonts w:hint="cs"/>
          <w:rtl/>
        </w:rPr>
        <w:instrText xml:space="preserve"> _</w:instrText>
      </w:r>
      <w:r w:rsidRPr="00BD388B">
        <w:rPr>
          <w:rStyle w:val="aff6"/>
          <w:rFonts w:hint="cs"/>
        </w:rPr>
        <w:instrText>Ref55378949 \r \h</w:instrText>
      </w:r>
      <w:r w:rsidRPr="00BD388B">
        <w:rPr>
          <w:rStyle w:val="aff6"/>
          <w:rtl/>
        </w:rPr>
        <w:instrText xml:space="preserve"> </w:instrText>
      </w:r>
      <w:r w:rsidRPr="00BD388B">
        <w:rPr>
          <w:rStyle w:val="aff6"/>
          <w:rtl/>
        </w:rPr>
      </w:r>
      <w:r w:rsidRPr="00BD388B">
        <w:rPr>
          <w:rStyle w:val="aff6"/>
          <w:rtl/>
        </w:rPr>
        <w:fldChar w:fldCharType="separate"/>
      </w:r>
      <w:r w:rsidR="00265073">
        <w:rPr>
          <w:rStyle w:val="aff6"/>
          <w:cs/>
        </w:rPr>
        <w:t>‎</w:t>
      </w:r>
      <w:r w:rsidR="00265073">
        <w:rPr>
          <w:rStyle w:val="aff6"/>
          <w:rtl/>
        </w:rPr>
        <w:t>נג)</w:t>
      </w:r>
      <w:r w:rsidRPr="00BD388B">
        <w:rPr>
          <w:rStyle w:val="aff6"/>
          <w:rtl/>
        </w:rPr>
        <w:fldChar w:fldCharType="end"/>
      </w:r>
      <w:r w:rsidRPr="00BD388B">
        <w:rPr>
          <w:rStyle w:val="afb"/>
          <w:rFonts w:hint="cs"/>
          <w:rtl/>
        </w:rPr>
        <w:t xml:space="preserve"> דהמחאה היא בכדי שישמע המחזיק ויזהר בשטרו, א"כ כל שלא שמע המחזיק, אין כל ריעותא בחזקתו, ואף שלא שמר את שטרו, הוי חזקה</w:t>
      </w:r>
      <w:r>
        <w:rPr>
          <w:rStyle w:val="afb"/>
          <w:rFonts w:hint="cs"/>
          <w:rtl/>
        </w:rPr>
        <w:t xml:space="preserve">, וכתב </w:t>
      </w:r>
      <w:r w:rsidRPr="00DD6FD2">
        <w:rPr>
          <w:rStyle w:val="affa"/>
          <w:rFonts w:hint="cs"/>
          <w:rtl/>
        </w:rPr>
        <w:t>בשיעורי רבי שמואל</w:t>
      </w:r>
      <w:r w:rsidRPr="001D1883">
        <w:rPr>
          <w:rStyle w:val="af9"/>
          <w:rFonts w:hint="cs"/>
          <w:rtl/>
        </w:rPr>
        <w:t xml:space="preserve"> </w:t>
      </w:r>
      <w:r w:rsidRPr="00DD6FD2">
        <w:rPr>
          <w:rStyle w:val="aff6"/>
          <w:rFonts w:hint="cs"/>
          <w:rtl/>
        </w:rPr>
        <w:t xml:space="preserve">(עי' אות </w:t>
      </w:r>
      <w:r w:rsidRPr="00DD6FD2">
        <w:rPr>
          <w:rStyle w:val="aff6"/>
          <w:rtl/>
        </w:rPr>
        <w:fldChar w:fldCharType="begin"/>
      </w:r>
      <w:r w:rsidRPr="00DD6FD2">
        <w:rPr>
          <w:rStyle w:val="aff6"/>
          <w:rtl/>
        </w:rPr>
        <w:instrText xml:space="preserve"> </w:instrText>
      </w:r>
      <w:r w:rsidRPr="00DD6FD2">
        <w:rPr>
          <w:rStyle w:val="aff6"/>
          <w:rFonts w:hint="cs"/>
        </w:rPr>
        <w:instrText>REF</w:instrText>
      </w:r>
      <w:r w:rsidRPr="00DD6FD2">
        <w:rPr>
          <w:rStyle w:val="aff6"/>
          <w:rFonts w:hint="cs"/>
          <w:rtl/>
        </w:rPr>
        <w:instrText xml:space="preserve"> _</w:instrText>
      </w:r>
      <w:r w:rsidRPr="00DD6FD2">
        <w:rPr>
          <w:rStyle w:val="aff6"/>
          <w:rFonts w:hint="cs"/>
        </w:rPr>
        <w:instrText>Ref55470027 \r \h</w:instrText>
      </w:r>
      <w:r w:rsidRPr="00DD6FD2">
        <w:rPr>
          <w:rStyle w:val="aff6"/>
          <w:rtl/>
        </w:rPr>
        <w:instrText xml:space="preserve"> </w:instrText>
      </w:r>
      <w:r w:rsidRPr="00DD6FD2">
        <w:rPr>
          <w:rStyle w:val="aff6"/>
          <w:rtl/>
        </w:rPr>
      </w:r>
      <w:r w:rsidRPr="00DD6FD2">
        <w:rPr>
          <w:rStyle w:val="aff6"/>
          <w:rtl/>
        </w:rPr>
        <w:fldChar w:fldCharType="separate"/>
      </w:r>
      <w:r w:rsidR="00265073">
        <w:rPr>
          <w:rStyle w:val="aff6"/>
          <w:cs/>
        </w:rPr>
        <w:t>‎</w:t>
      </w:r>
      <w:r w:rsidR="00265073">
        <w:rPr>
          <w:rStyle w:val="aff6"/>
          <w:rtl/>
        </w:rPr>
        <w:t>קח)</w:t>
      </w:r>
      <w:r w:rsidRPr="00DD6FD2">
        <w:rPr>
          <w:rStyle w:val="aff6"/>
          <w:rtl/>
        </w:rPr>
        <w:fldChar w:fldCharType="end"/>
      </w:r>
      <w:r>
        <w:rPr>
          <w:rStyle w:val="aff6"/>
          <w:rFonts w:hint="cs"/>
          <w:rtl/>
        </w:rPr>
        <w:t xml:space="preserve"> </w:t>
      </w:r>
      <w:r w:rsidRPr="00DD6FD2">
        <w:rPr>
          <w:rStyle w:val="afb"/>
          <w:rFonts w:hint="cs"/>
          <w:rtl/>
        </w:rPr>
        <w:t>דכן מוכח בלשון</w:t>
      </w:r>
      <w:r>
        <w:rPr>
          <w:rStyle w:val="aff6"/>
          <w:rFonts w:hint="cs"/>
          <w:rtl/>
        </w:rPr>
        <w:t xml:space="preserve"> </w:t>
      </w:r>
      <w:r w:rsidRPr="00DD6FD2">
        <w:rPr>
          <w:rStyle w:val="affa"/>
          <w:rFonts w:hint="cs"/>
          <w:rtl/>
        </w:rPr>
        <w:t>רש"י</w:t>
      </w:r>
      <w:r>
        <w:rPr>
          <w:rStyle w:val="aff6"/>
          <w:rFonts w:hint="cs"/>
          <w:rtl/>
        </w:rPr>
        <w:t xml:space="preserve"> (עי'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Ref55470130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ה)</w:t>
      </w:r>
      <w:r>
        <w:rPr>
          <w:rStyle w:val="aff6"/>
          <w:rtl/>
        </w:rPr>
        <w:fldChar w:fldCharType="end"/>
      </w:r>
      <w:r w:rsidRPr="00BD388B">
        <w:rPr>
          <w:rStyle w:val="afb"/>
          <w:rFonts w:hint="cs"/>
          <w:rtl/>
        </w:rPr>
        <w:t>].</w:t>
      </w:r>
    </w:p>
    <w:p w:rsidR="007A505A" w:rsidRPr="001D1883" w:rsidRDefault="007A505A" w:rsidP="007A505A">
      <w:pPr>
        <w:pStyle w:val="a3"/>
      </w:pPr>
      <w:bookmarkStart w:id="3641" w:name="_Toc55386254"/>
      <w:bookmarkStart w:id="3642" w:name="_Toc55391173"/>
      <w:r>
        <w:rPr>
          <w:rFonts w:hint="cs"/>
          <w:rtl/>
        </w:rPr>
        <w:t>ביאור הנימוק"י ברב"י דהחזקה מהני מהראיה שלא מחה וכל שמחה אף שלא בפניו אין לו ראיה</w:t>
      </w:r>
      <w:bookmarkEnd w:id="3641"/>
      <w:bookmarkEnd w:id="3642"/>
    </w:p>
    <w:p w:rsidR="007A505A" w:rsidRPr="001D1883" w:rsidRDefault="007A505A" w:rsidP="007E4E81">
      <w:pPr>
        <w:pStyle w:val="a0"/>
        <w:rPr>
          <w:rtl/>
        </w:rPr>
      </w:pPr>
      <w:bookmarkStart w:id="3643" w:name="_Ref55315892"/>
      <w:r w:rsidRPr="001D1883">
        <w:rPr>
          <w:rFonts w:hint="cs"/>
          <w:rtl/>
        </w:rPr>
        <w:t xml:space="preserve">וביאר </w:t>
      </w:r>
      <w:r w:rsidRPr="002A1F78">
        <w:rPr>
          <w:rStyle w:val="af9"/>
          <w:rFonts w:hint="cs"/>
          <w:rtl/>
        </w:rPr>
        <w:t xml:space="preserve">הנימוק"י </w:t>
      </w:r>
      <w:r w:rsidRPr="002A1F78">
        <w:rPr>
          <w:rStyle w:val="af7"/>
          <w:rFonts w:eastAsia="Guttman Hodes" w:hint="cs"/>
          <w:rtl/>
        </w:rPr>
        <w:t>(יד. מדה"ר ד"ה דא"ל)</w:t>
      </w:r>
      <w:r w:rsidRPr="001D1883">
        <w:rPr>
          <w:rFonts w:hint="cs"/>
          <w:rtl/>
        </w:rPr>
        <w:t xml:space="preserve"> דס"ל </w:t>
      </w:r>
      <w:r w:rsidRPr="00217B27">
        <w:rPr>
          <w:rStyle w:val="af9"/>
          <w:rFonts w:hint="cs"/>
          <w:rtl/>
        </w:rPr>
        <w:t>לרבינו יונה</w:t>
      </w:r>
      <w:r w:rsidRPr="001D1883">
        <w:rPr>
          <w:rFonts w:hint="cs"/>
          <w:rtl/>
        </w:rPr>
        <w:t xml:space="preserve"> דכיון שכ"מ שהמחזיק זכה ע"י החזקה, הוא כיון שהיה למערער למחות, וכשלא מחה אמרינן דודאי מכר לו, א"כ כל שמחה המערער, אף שלא מחה בפני המחזיק, מ"מ אין הוכחה שמכר לו, ועי' במה שביאר </w:t>
      </w:r>
      <w:r w:rsidRPr="002A1F78">
        <w:rPr>
          <w:rStyle w:val="af9"/>
          <w:rFonts w:hint="cs"/>
          <w:rtl/>
        </w:rPr>
        <w:t xml:space="preserve">הקה"י </w:t>
      </w:r>
      <w:r w:rsidRPr="002A1F78">
        <w:rPr>
          <w:rStyle w:val="af7"/>
          <w:rFonts w:eastAsia="Guttman Hodes" w:hint="cs"/>
          <w:rtl/>
        </w:rPr>
        <w:t xml:space="preserve">(עי' אות </w:t>
      </w:r>
      <w:r w:rsidRPr="002A1F78">
        <w:rPr>
          <w:rStyle w:val="af7"/>
          <w:rFonts w:eastAsia="Guttman Hodes"/>
          <w:rtl/>
        </w:rPr>
        <w:fldChar w:fldCharType="begin"/>
      </w:r>
      <w:r w:rsidRPr="002A1F78">
        <w:rPr>
          <w:rStyle w:val="af7"/>
          <w:rFonts w:eastAsia="Guttman Hodes"/>
          <w:rtl/>
        </w:rPr>
        <w:instrText xml:space="preserve"> </w:instrText>
      </w:r>
      <w:r w:rsidRPr="002A1F78">
        <w:rPr>
          <w:rStyle w:val="af7"/>
          <w:rFonts w:eastAsia="Guttman Hodes" w:hint="cs"/>
        </w:rPr>
        <w:instrText>REF</w:instrText>
      </w:r>
      <w:r w:rsidRPr="002A1F78">
        <w:rPr>
          <w:rStyle w:val="af7"/>
          <w:rFonts w:eastAsia="Guttman Hodes" w:hint="cs"/>
          <w:rtl/>
        </w:rPr>
        <w:instrText xml:space="preserve"> _</w:instrText>
      </w:r>
      <w:r w:rsidRPr="002A1F78">
        <w:rPr>
          <w:rStyle w:val="af7"/>
          <w:rFonts w:eastAsia="Guttman Hodes" w:hint="cs"/>
        </w:rPr>
        <w:instrText>Ref55315908 \r \h</w:instrText>
      </w:r>
      <w:r w:rsidRPr="002A1F78">
        <w:rPr>
          <w:rStyle w:val="af7"/>
          <w:rFonts w:eastAsia="Guttman Hodes"/>
          <w:rtl/>
        </w:rPr>
        <w:instrText xml:space="preserve">  \* </w:instrText>
      </w:r>
      <w:r w:rsidRPr="002A1F78">
        <w:rPr>
          <w:rStyle w:val="af7"/>
          <w:rFonts w:eastAsia="Guttman Hodes"/>
        </w:rPr>
        <w:instrText>MERGEFORMAT</w:instrText>
      </w:r>
      <w:r w:rsidRPr="002A1F78">
        <w:rPr>
          <w:rStyle w:val="af7"/>
          <w:rFonts w:eastAsia="Guttman Hodes"/>
          <w:rtl/>
        </w:rPr>
        <w:instrText xml:space="preserve"> </w:instrText>
      </w:r>
      <w:r w:rsidRPr="002A1F78">
        <w:rPr>
          <w:rStyle w:val="af7"/>
          <w:rFonts w:eastAsia="Guttman Hodes"/>
          <w:rtl/>
        </w:rPr>
      </w:r>
      <w:r w:rsidRPr="002A1F78">
        <w:rPr>
          <w:rStyle w:val="af7"/>
          <w:rFonts w:eastAsia="Guttman Hodes"/>
          <w:rtl/>
        </w:rPr>
        <w:fldChar w:fldCharType="separate"/>
      </w:r>
      <w:r w:rsidR="00265073">
        <w:rPr>
          <w:rStyle w:val="af7"/>
          <w:rFonts w:eastAsia="Guttman Hodes"/>
          <w:cs/>
        </w:rPr>
        <w:t>‎</w:t>
      </w:r>
      <w:r w:rsidR="00265073">
        <w:rPr>
          <w:rStyle w:val="af7"/>
          <w:rFonts w:eastAsia="Guttman Hodes"/>
          <w:rtl/>
        </w:rPr>
        <w:t>קטז)</w:t>
      </w:r>
      <w:r w:rsidRPr="002A1F78">
        <w:rPr>
          <w:rStyle w:val="af7"/>
          <w:rFonts w:eastAsia="Guttman Hodes"/>
          <w:rtl/>
        </w:rPr>
        <w:fldChar w:fldCharType="end"/>
      </w:r>
      <w:r w:rsidRPr="001D1883">
        <w:rPr>
          <w:rFonts w:hint="cs"/>
          <w:rtl/>
        </w:rPr>
        <w:t xml:space="preserve"> בדברי </w:t>
      </w:r>
      <w:r w:rsidRPr="002A1F78">
        <w:rPr>
          <w:rStyle w:val="af9"/>
          <w:rFonts w:hint="cs"/>
          <w:rtl/>
        </w:rPr>
        <w:t>הנימוק"י</w:t>
      </w:r>
      <w:r w:rsidRPr="001D1883">
        <w:rPr>
          <w:rFonts w:hint="cs"/>
          <w:rtl/>
        </w:rPr>
        <w:t>.</w:t>
      </w:r>
      <w:bookmarkEnd w:id="3643"/>
    </w:p>
    <w:p w:rsidR="007A505A" w:rsidRPr="001D1883" w:rsidRDefault="007A505A" w:rsidP="007A505A">
      <w:pPr>
        <w:pStyle w:val="a3"/>
      </w:pPr>
      <w:bookmarkStart w:id="3644" w:name="_Toc55386255"/>
      <w:bookmarkStart w:id="3645" w:name="_Toc55391174"/>
      <w:r>
        <w:rPr>
          <w:rFonts w:hint="cs"/>
          <w:rtl/>
        </w:rPr>
        <w:t>ביאור הר"ן בתשו' דחזקה ל"מ מחמת ששמע המחזיק אלא דאם לא מחה ודאי שמכרה לו</w:t>
      </w:r>
      <w:bookmarkEnd w:id="3644"/>
      <w:bookmarkEnd w:id="3645"/>
    </w:p>
    <w:p w:rsidR="007A505A" w:rsidRDefault="007A505A" w:rsidP="007E4E81">
      <w:pPr>
        <w:pStyle w:val="a0"/>
        <w:rPr>
          <w:rtl/>
        </w:rPr>
      </w:pPr>
      <w:r w:rsidRPr="001D1883">
        <w:rPr>
          <w:rFonts w:hint="cs"/>
          <w:rtl/>
        </w:rPr>
        <w:t xml:space="preserve">כתב </w:t>
      </w:r>
      <w:r w:rsidRPr="002A1F78">
        <w:rPr>
          <w:rStyle w:val="af9"/>
          <w:rFonts w:hint="cs"/>
          <w:rtl/>
        </w:rPr>
        <w:t xml:space="preserve">הר"ן בתשו' </w:t>
      </w:r>
      <w:r w:rsidRPr="002A1F78">
        <w:rPr>
          <w:rStyle w:val="af7"/>
          <w:rFonts w:eastAsia="Guttman Hodes" w:hint="cs"/>
          <w:rtl/>
        </w:rPr>
        <w:t>(סי' ע"ה)</w:t>
      </w:r>
      <w:r w:rsidRPr="001D1883">
        <w:rPr>
          <w:rFonts w:hint="cs"/>
          <w:rtl/>
        </w:rPr>
        <w:t xml:space="preserve"> דטעמא דחזקה אינו מחמת דאמרינן דודאי המחזיק שמע מהמחאה של המערער, אלא אף אם עידי המחאה מעידים שלא אמרו לשום אדם, מהני החזקה</w:t>
      </w:r>
      <w:r w:rsidRPr="002A1F78">
        <w:rPr>
          <w:rStyle w:val="afb"/>
          <w:rFonts w:hint="cs"/>
          <w:rtl/>
        </w:rPr>
        <w:t xml:space="preserve">, </w:t>
      </w:r>
      <w:r w:rsidRPr="001D1883">
        <w:rPr>
          <w:rFonts w:hint="cs"/>
          <w:rtl/>
        </w:rPr>
        <w:t>אלא טעמא דחזקה היא דכל שלא מחה המערער, מוכח שמכר לו או שנתן לו במתנה, וכיון שאין כל ריעותא בטענה של המחזיק, דאינו צריך להזהר בשטרו לאחר ג"ש, מעמידים את הקרקע בחזקתו</w:t>
      </w:r>
      <w:r>
        <w:rPr>
          <w:rFonts w:hint="cs"/>
          <w:rtl/>
        </w:rPr>
        <w:t>.</w:t>
      </w:r>
    </w:p>
    <w:p w:rsidR="007A505A" w:rsidRPr="00EA6999" w:rsidRDefault="007A505A" w:rsidP="007A505A">
      <w:pPr>
        <w:pStyle w:val="a3"/>
      </w:pPr>
      <w:bookmarkStart w:id="3646" w:name="_Toc55386256"/>
      <w:bookmarkStart w:id="3647" w:name="_Toc55391175"/>
      <w:r>
        <w:rPr>
          <w:rFonts w:hint="cs"/>
          <w:rtl/>
        </w:rPr>
        <w:t>ביארו הר"ן בתשו' דאף שלא שמע המחזיק מהמחאה מ"מ אין לו ראיה דשתק המערער</w:t>
      </w:r>
      <w:bookmarkEnd w:id="3646"/>
      <w:bookmarkEnd w:id="3647"/>
    </w:p>
    <w:p w:rsidR="007A505A" w:rsidRDefault="007A505A" w:rsidP="007E4E81">
      <w:pPr>
        <w:pStyle w:val="a0"/>
        <w:rPr>
          <w:rtl/>
        </w:rPr>
      </w:pPr>
      <w:r w:rsidRPr="001D1883">
        <w:rPr>
          <w:rFonts w:hint="cs"/>
          <w:rtl/>
        </w:rPr>
        <w:t xml:space="preserve">וכתב </w:t>
      </w:r>
      <w:r w:rsidRPr="002A1F78">
        <w:rPr>
          <w:rStyle w:val="af9"/>
          <w:rFonts w:hint="cs"/>
          <w:rtl/>
        </w:rPr>
        <w:t xml:space="preserve">הר"ן בתשו' </w:t>
      </w:r>
      <w:r>
        <w:rPr>
          <w:rFonts w:hint="cs"/>
          <w:rtl/>
        </w:rPr>
        <w:t>ד</w:t>
      </w:r>
      <w:r w:rsidRPr="001D1883">
        <w:rPr>
          <w:rFonts w:hint="cs"/>
          <w:rtl/>
        </w:rPr>
        <w:t>לכן כל שמיחה המערער אלא אף אם עידי המחאה מעידים שלא אמרו לשום אדם, אין למחזיק ראיה שקנה את הקרקע, ולא מהני חזקתו.</w:t>
      </w:r>
    </w:p>
    <w:p w:rsidR="00422017" w:rsidRPr="00422017" w:rsidRDefault="00422017" w:rsidP="00422017">
      <w:pPr>
        <w:pStyle w:val="a3"/>
        <w:rPr>
          <w:rtl/>
        </w:rPr>
      </w:pPr>
    </w:p>
    <w:p w:rsidR="00422017" w:rsidRPr="00422017" w:rsidRDefault="00422017" w:rsidP="00422017">
      <w:pPr>
        <w:pStyle w:val="a3"/>
        <w:rPr>
          <w:rtl/>
        </w:rPr>
      </w:pPr>
    </w:p>
    <w:p w:rsidR="007A505A" w:rsidRPr="001D1883" w:rsidRDefault="007A505A" w:rsidP="007A505A">
      <w:pPr>
        <w:pStyle w:val="a3"/>
        <w:rPr>
          <w:rtl/>
        </w:rPr>
      </w:pPr>
      <w:bookmarkStart w:id="3648" w:name="_Toc55386257"/>
      <w:bookmarkStart w:id="3649" w:name="_Toc55391176"/>
      <w:r>
        <w:rPr>
          <w:rFonts w:hint="cs"/>
          <w:rtl/>
        </w:rPr>
        <w:t>דברי הרא"ש דלרבנן מהני המחאה אף כשעידי המחאה לא סיפרו עליה לשום אדם דמחה כדינו</w:t>
      </w:r>
      <w:bookmarkEnd w:id="3648"/>
      <w:bookmarkEnd w:id="3649"/>
    </w:p>
    <w:p w:rsidR="007A505A" w:rsidRPr="001D1883" w:rsidRDefault="007A505A" w:rsidP="007E4E81">
      <w:pPr>
        <w:pStyle w:val="a0"/>
        <w:rPr>
          <w:rtl/>
        </w:rPr>
      </w:pPr>
      <w:bookmarkStart w:id="3650" w:name="_Ref55315159"/>
      <w:r>
        <w:rPr>
          <w:rStyle w:val="af9"/>
          <w:rFonts w:hint="cs"/>
          <w:rtl/>
        </w:rPr>
        <w:t>ו</w:t>
      </w:r>
      <w:r w:rsidRPr="002A1F78">
        <w:rPr>
          <w:rStyle w:val="af9"/>
          <w:rFonts w:hint="cs"/>
          <w:rtl/>
        </w:rPr>
        <w:t xml:space="preserve">הרא"ש </w:t>
      </w:r>
      <w:r w:rsidRPr="002A1F78">
        <w:rPr>
          <w:rStyle w:val="af7"/>
          <w:rFonts w:eastAsia="Guttman Hodes" w:hint="cs"/>
          <w:rtl/>
        </w:rPr>
        <w:t>(סי' א')</w:t>
      </w:r>
      <w:r w:rsidRPr="001D1883">
        <w:rPr>
          <w:rFonts w:hint="cs"/>
          <w:rtl/>
        </w:rPr>
        <w:t xml:space="preserve"> </w:t>
      </w:r>
      <w:r>
        <w:rPr>
          <w:rFonts w:hint="cs"/>
          <w:rtl/>
        </w:rPr>
        <w:t xml:space="preserve">כתב </w:t>
      </w:r>
      <w:r w:rsidRPr="001D1883">
        <w:rPr>
          <w:rFonts w:hint="cs"/>
          <w:rtl/>
        </w:rPr>
        <w:t xml:space="preserve">דכיון שרק עד ג"ש אדם נזהר בשטרו, לכן תיקנו חכמים שאם יביא המחזיק עדים שאכל ג"ש בשופי, אינו צריך יותר להראות את שטרו, וכתב </w:t>
      </w:r>
      <w:r w:rsidRPr="00614026">
        <w:rPr>
          <w:rStyle w:val="af9"/>
          <w:rFonts w:hint="cs"/>
          <w:rtl/>
        </w:rPr>
        <w:t xml:space="preserve">הרא"ש </w:t>
      </w:r>
      <w:r w:rsidRPr="001D1883">
        <w:rPr>
          <w:rFonts w:hint="cs"/>
          <w:rtl/>
        </w:rPr>
        <w:t xml:space="preserve">דמחאה מהני, אף במקום שעידי המחאה לא אמרו לשום אדם, דכיון שמיחה המערער כמו שאמרו חכמים, לא הצריכו אותו למחות בפני המחזיק, ועי' במ"ש </w:t>
      </w:r>
      <w:r w:rsidRPr="002A1F78">
        <w:rPr>
          <w:rStyle w:val="af9"/>
          <w:rFonts w:hint="cs"/>
          <w:rtl/>
        </w:rPr>
        <w:t xml:space="preserve">הקה"י </w:t>
      </w:r>
      <w:r w:rsidRPr="002A1F78">
        <w:rPr>
          <w:rStyle w:val="af7"/>
          <w:rFonts w:eastAsia="Guttman Hodes" w:hint="cs"/>
          <w:rtl/>
        </w:rPr>
        <w:t xml:space="preserve">(עי' אות </w:t>
      </w:r>
      <w:r w:rsidRPr="002A1F78">
        <w:rPr>
          <w:rStyle w:val="af7"/>
          <w:rFonts w:eastAsia="Guttman Hodes"/>
          <w:rtl/>
        </w:rPr>
        <w:fldChar w:fldCharType="begin"/>
      </w:r>
      <w:r w:rsidRPr="002A1F78">
        <w:rPr>
          <w:rStyle w:val="af7"/>
          <w:rFonts w:eastAsia="Guttman Hodes"/>
          <w:rtl/>
        </w:rPr>
        <w:instrText xml:space="preserve"> </w:instrText>
      </w:r>
      <w:r w:rsidRPr="002A1F78">
        <w:rPr>
          <w:rStyle w:val="af7"/>
          <w:rFonts w:eastAsia="Guttman Hodes" w:hint="cs"/>
        </w:rPr>
        <w:instrText>REF</w:instrText>
      </w:r>
      <w:r w:rsidRPr="002A1F78">
        <w:rPr>
          <w:rStyle w:val="af7"/>
          <w:rFonts w:eastAsia="Guttman Hodes" w:hint="cs"/>
          <w:rtl/>
        </w:rPr>
        <w:instrText xml:space="preserve"> _</w:instrText>
      </w:r>
      <w:r w:rsidRPr="002A1F78">
        <w:rPr>
          <w:rStyle w:val="af7"/>
          <w:rFonts w:eastAsia="Guttman Hodes" w:hint="cs"/>
        </w:rPr>
        <w:instrText>Ref55315123 \r \h</w:instrText>
      </w:r>
      <w:r w:rsidRPr="002A1F78">
        <w:rPr>
          <w:rStyle w:val="af7"/>
          <w:rFonts w:eastAsia="Guttman Hodes"/>
          <w:rtl/>
        </w:rPr>
        <w:instrText xml:space="preserve">  \* </w:instrText>
      </w:r>
      <w:r w:rsidRPr="002A1F78">
        <w:rPr>
          <w:rStyle w:val="af7"/>
          <w:rFonts w:eastAsia="Guttman Hodes"/>
        </w:rPr>
        <w:instrText>MERGEFORMAT</w:instrText>
      </w:r>
      <w:r w:rsidRPr="002A1F78">
        <w:rPr>
          <w:rStyle w:val="af7"/>
          <w:rFonts w:eastAsia="Guttman Hodes"/>
          <w:rtl/>
        </w:rPr>
        <w:instrText xml:space="preserve"> </w:instrText>
      </w:r>
      <w:r w:rsidRPr="002A1F78">
        <w:rPr>
          <w:rStyle w:val="af7"/>
          <w:rFonts w:eastAsia="Guttman Hodes"/>
          <w:rtl/>
        </w:rPr>
      </w:r>
      <w:r w:rsidRPr="002A1F78">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sidRPr="002A1F78">
        <w:rPr>
          <w:rStyle w:val="af7"/>
          <w:rFonts w:eastAsia="Guttman Hodes"/>
          <w:rtl/>
        </w:rPr>
        <w:fldChar w:fldCharType="end"/>
      </w:r>
      <w:r w:rsidRPr="001D1883">
        <w:rPr>
          <w:rFonts w:hint="cs"/>
          <w:rtl/>
        </w:rPr>
        <w:t xml:space="preserve"> בדברי </w:t>
      </w:r>
      <w:r w:rsidRPr="002A1F78">
        <w:rPr>
          <w:rStyle w:val="af9"/>
          <w:rFonts w:hint="cs"/>
          <w:rtl/>
        </w:rPr>
        <w:t>הרא"ש</w:t>
      </w:r>
      <w:r w:rsidRPr="001D1883">
        <w:rPr>
          <w:rFonts w:hint="cs"/>
          <w:rtl/>
        </w:rPr>
        <w:t>.</w:t>
      </w:r>
      <w:bookmarkEnd w:id="3650"/>
    </w:p>
    <w:p w:rsidR="007A505A" w:rsidRPr="00FE6ED0" w:rsidRDefault="007A505A" w:rsidP="007A505A">
      <w:pPr>
        <w:pStyle w:val="a3"/>
        <w:rPr>
          <w:rtl/>
        </w:rPr>
      </w:pPr>
      <w:bookmarkStart w:id="3651" w:name="_Toc55386258"/>
      <w:bookmarkStart w:id="3652" w:name="_Toc55391177"/>
      <w:r>
        <w:rPr>
          <w:rFonts w:hint="cs"/>
          <w:rtl/>
        </w:rPr>
        <w:t>דברי התוס' לקמן דמחאה היא תקנ"ח ומהני אף בדבר מועט לבטל חזקה אף שלא שמע המחזיק</w:t>
      </w:r>
      <w:bookmarkEnd w:id="3651"/>
      <w:bookmarkEnd w:id="3652"/>
    </w:p>
    <w:p w:rsidR="007A505A" w:rsidRDefault="007A505A" w:rsidP="007E4E81">
      <w:pPr>
        <w:pStyle w:val="a0"/>
        <w:rPr>
          <w:rtl/>
        </w:rPr>
      </w:pPr>
      <w:r w:rsidRPr="001D1883">
        <w:rPr>
          <w:rFonts w:hint="cs"/>
          <w:rtl/>
        </w:rPr>
        <w:t xml:space="preserve">וע"ע בדברי </w:t>
      </w:r>
      <w:r w:rsidRPr="002A1F78">
        <w:rPr>
          <w:rStyle w:val="af9"/>
          <w:rFonts w:hint="cs"/>
          <w:rtl/>
        </w:rPr>
        <w:t xml:space="preserve">התוס' לקמן </w:t>
      </w:r>
      <w:r w:rsidRPr="002A1F78">
        <w:rPr>
          <w:rStyle w:val="af7"/>
          <w:rFonts w:eastAsia="Guttman Hodes" w:hint="cs"/>
          <w:rtl/>
        </w:rPr>
        <w:t>(מ. ד"ה מחאה)</w:t>
      </w:r>
      <w:r w:rsidRPr="001D1883">
        <w:rPr>
          <w:rFonts w:hint="cs"/>
          <w:rtl/>
        </w:rPr>
        <w:t xml:space="preserve"> דכתבו דמחאה היא תקנת חכמים, בכדי לבטל את החזקה, ומהני אף בדבר מועט לבטל את החזקה, ואף אם יתברר שהמחזיק לא שמע מהמחאה, מ"מ מתבטלת החזקה.</w:t>
      </w:r>
    </w:p>
    <w:p w:rsidR="007A505A" w:rsidRPr="00CA436C" w:rsidRDefault="007A505A" w:rsidP="007A505A">
      <w:pPr>
        <w:pStyle w:val="a3"/>
        <w:rPr>
          <w:rtl/>
        </w:rPr>
      </w:pPr>
      <w:bookmarkStart w:id="3653" w:name="_Toc55386259"/>
      <w:bookmarkStart w:id="3654" w:name="_Toc55391178"/>
      <w:r>
        <w:rPr>
          <w:rFonts w:hint="cs"/>
          <w:rtl/>
        </w:rPr>
        <w:t>דברי הרשב"ם לקמן דהמערער א"צ לשלוח למחות בפני המחזיק וכל שמחה כדין בטלה החזקה</w:t>
      </w:r>
      <w:bookmarkEnd w:id="3653"/>
      <w:bookmarkEnd w:id="3654"/>
    </w:p>
    <w:p w:rsidR="007A505A" w:rsidRPr="001D1883" w:rsidRDefault="007A505A" w:rsidP="007E4E81">
      <w:pPr>
        <w:pStyle w:val="a0"/>
        <w:rPr>
          <w:rtl/>
        </w:rPr>
      </w:pPr>
      <w:bookmarkStart w:id="3655" w:name="_Ref55380175"/>
      <w:r w:rsidRPr="001D1883">
        <w:rPr>
          <w:rFonts w:hint="cs"/>
          <w:rtl/>
        </w:rPr>
        <w:t xml:space="preserve">כתב </w:t>
      </w:r>
      <w:r w:rsidRPr="002A1F78">
        <w:rPr>
          <w:rStyle w:val="af9"/>
          <w:rFonts w:hint="cs"/>
          <w:rtl/>
        </w:rPr>
        <w:t xml:space="preserve">הרשב"ם לקמן </w:t>
      </w:r>
      <w:r w:rsidRPr="002A1F78">
        <w:rPr>
          <w:rStyle w:val="af7"/>
          <w:rFonts w:eastAsia="Guttman Hodes" w:hint="cs"/>
          <w:rtl/>
        </w:rPr>
        <w:t>(לט. ד"ה מחאה)</w:t>
      </w:r>
      <w:r w:rsidRPr="001D1883">
        <w:rPr>
          <w:rFonts w:hint="cs"/>
          <w:rtl/>
        </w:rPr>
        <w:t xml:space="preserve"> דמחאה שלא בפניו הוי מחאה, ואין המערער צריך לשלוח שליח שימחה בפני המחזיק, וכל שמחה אף שלא בפני המחזיק הוי מחאה, ואף אם המחזיק לא שמע מהמחאה, מ"מ החזקה התבטלה, כיון שהמערער מחה כדין, ועי' במה שהקשה</w:t>
      </w:r>
      <w:r w:rsidRPr="002A1F78">
        <w:rPr>
          <w:rStyle w:val="af9"/>
          <w:rFonts w:hint="cs"/>
          <w:rtl/>
        </w:rPr>
        <w:t xml:space="preserve"> </w:t>
      </w:r>
      <w:r>
        <w:rPr>
          <w:rStyle w:val="af9"/>
          <w:rFonts w:hint="cs"/>
          <w:rtl/>
        </w:rPr>
        <w:t xml:space="preserve">בחי' </w:t>
      </w:r>
      <w:r w:rsidRPr="002A1F78">
        <w:rPr>
          <w:rStyle w:val="af9"/>
          <w:rFonts w:hint="cs"/>
          <w:rtl/>
        </w:rPr>
        <w:t xml:space="preserve">רבי נחום </w:t>
      </w:r>
      <w:r w:rsidRPr="001D2243">
        <w:rPr>
          <w:rStyle w:val="af7"/>
          <w:rFonts w:eastAsia="Guttman Hodes" w:hint="cs"/>
          <w:rtl/>
        </w:rPr>
        <w:t xml:space="preserve">(עי' אות </w:t>
      </w:r>
      <w:r w:rsidRPr="001D2243">
        <w:rPr>
          <w:rStyle w:val="af7"/>
          <w:rFonts w:eastAsia="Guttman Hodes"/>
          <w:rtl/>
        </w:rPr>
        <w:fldChar w:fldCharType="begin"/>
      </w:r>
      <w:r w:rsidRPr="001D2243">
        <w:rPr>
          <w:rStyle w:val="af7"/>
          <w:rFonts w:eastAsia="Guttman Hodes"/>
          <w:rtl/>
        </w:rPr>
        <w:instrText xml:space="preserve"> </w:instrText>
      </w:r>
      <w:r w:rsidRPr="001D2243">
        <w:rPr>
          <w:rStyle w:val="af7"/>
          <w:rFonts w:eastAsia="Guttman Hodes" w:hint="cs"/>
        </w:rPr>
        <w:instrText>REF</w:instrText>
      </w:r>
      <w:r w:rsidRPr="001D2243">
        <w:rPr>
          <w:rStyle w:val="af7"/>
          <w:rFonts w:eastAsia="Guttman Hodes" w:hint="cs"/>
          <w:rtl/>
        </w:rPr>
        <w:instrText xml:space="preserve"> _</w:instrText>
      </w:r>
      <w:r w:rsidRPr="001D2243">
        <w:rPr>
          <w:rStyle w:val="af7"/>
          <w:rFonts w:eastAsia="Guttman Hodes" w:hint="cs"/>
        </w:rPr>
        <w:instrText>Ref55382687 \r \h</w:instrText>
      </w:r>
      <w:r w:rsidRPr="001D2243">
        <w:rPr>
          <w:rStyle w:val="af7"/>
          <w:rFonts w:eastAsia="Guttman Hodes"/>
          <w:rtl/>
        </w:rPr>
        <w:instrText xml:space="preserve"> </w:instrText>
      </w:r>
      <w:r w:rsidRPr="001D2243">
        <w:rPr>
          <w:rStyle w:val="af7"/>
          <w:rFonts w:eastAsia="Guttman Hodes"/>
          <w:rtl/>
        </w:rPr>
      </w:r>
      <w:r w:rsidRPr="001D2243">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1D2243">
        <w:rPr>
          <w:rStyle w:val="af7"/>
          <w:rFonts w:eastAsia="Guttman Hodes"/>
          <w:rtl/>
        </w:rPr>
        <w:fldChar w:fldCharType="end"/>
      </w:r>
      <w:r w:rsidRPr="001D1883">
        <w:rPr>
          <w:rFonts w:hint="cs"/>
          <w:rtl/>
        </w:rPr>
        <w:t xml:space="preserve"> על </w:t>
      </w:r>
      <w:r w:rsidRPr="002A1F78">
        <w:rPr>
          <w:rStyle w:val="af9"/>
          <w:rFonts w:hint="cs"/>
          <w:rtl/>
        </w:rPr>
        <w:t>הרשב"ם</w:t>
      </w:r>
      <w:r w:rsidRPr="001D1883">
        <w:rPr>
          <w:rFonts w:hint="cs"/>
          <w:rtl/>
        </w:rPr>
        <w:t>.</w:t>
      </w:r>
      <w:bookmarkEnd w:id="3655"/>
    </w:p>
    <w:p w:rsidR="007A505A" w:rsidRDefault="007A505A" w:rsidP="007A505A">
      <w:pPr>
        <w:pStyle w:val="1"/>
        <w:rPr>
          <w:rtl/>
        </w:rPr>
      </w:pPr>
      <w:bookmarkStart w:id="3656" w:name="_Toc55325171"/>
      <w:bookmarkStart w:id="3657" w:name="_Toc55342098"/>
      <w:bookmarkStart w:id="3658" w:name="_Toc55342199"/>
      <w:bookmarkStart w:id="3659" w:name="_Toc55375305"/>
      <w:bookmarkStart w:id="3660" w:name="_Toc55386260"/>
      <w:bookmarkStart w:id="3661" w:name="_Toc55391179"/>
      <w:r>
        <w:rPr>
          <w:rFonts w:hint="cs"/>
          <w:rtl/>
        </w:rPr>
        <w:t>דעת התורי"ד דלריו"ח כל שמחה ולא שתק אין אמתלא למחזיק</w:t>
      </w:r>
    </w:p>
    <w:p w:rsidR="007A505A" w:rsidRDefault="007A505A" w:rsidP="007A505A">
      <w:pPr>
        <w:pStyle w:val="a3"/>
        <w:rPr>
          <w:rtl/>
        </w:rPr>
      </w:pPr>
      <w:r>
        <w:rPr>
          <w:rFonts w:hint="cs"/>
          <w:rtl/>
        </w:rPr>
        <w:t>ביאור התורי"ד דלריו"ח חזקה היא גם מחמת השטר וגם דשתיקת המערער היא אמתלא למחזיק</w:t>
      </w:r>
    </w:p>
    <w:p w:rsidR="007A505A" w:rsidRDefault="007A505A" w:rsidP="007E4E81">
      <w:pPr>
        <w:pStyle w:val="a0"/>
        <w:rPr>
          <w:rtl/>
        </w:rPr>
      </w:pPr>
      <w:r>
        <w:rPr>
          <w:rFonts w:hint="cs"/>
          <w:rtl/>
        </w:rPr>
        <w:t xml:space="preserve">בהא דאיתא בגמ' לקמן </w:t>
      </w:r>
      <w:r w:rsidRPr="00675BFB">
        <w:rPr>
          <w:rStyle w:val="af7"/>
          <w:rFonts w:eastAsia="Guttman Hodes" w:hint="cs"/>
          <w:rtl/>
        </w:rPr>
        <w:t xml:space="preserve">(לט:) </w:t>
      </w:r>
      <w:r>
        <w:rPr>
          <w:rFonts w:hint="cs"/>
          <w:rtl/>
        </w:rPr>
        <w:t xml:space="preserve">דריו"ח דאמר מחאה בפני שנים, ס"ל דבמחאה בעינן סהדותא, ורב אבהו דאמר מחאה בפני שלשה, ס"ל דבמחאה בעינן גילוי מילתא, ביאר </w:t>
      </w:r>
      <w:r w:rsidRPr="00675BFB">
        <w:rPr>
          <w:rStyle w:val="af9"/>
          <w:rFonts w:hint="cs"/>
          <w:rtl/>
        </w:rPr>
        <w:t>התוס' רי"ד לקמן</w:t>
      </w:r>
      <w:r>
        <w:rPr>
          <w:rFonts w:hint="cs"/>
          <w:rtl/>
        </w:rPr>
        <w:t xml:space="preserve"> </w:t>
      </w:r>
      <w:r w:rsidRPr="00675BFB">
        <w:rPr>
          <w:rStyle w:val="af7"/>
          <w:rFonts w:eastAsia="Guttman Hodes" w:hint="cs"/>
          <w:rtl/>
        </w:rPr>
        <w:t>(לט: או' כ"ב ד"ה מר)</w:t>
      </w:r>
      <w:r w:rsidRPr="00A370F3">
        <w:rPr>
          <w:rFonts w:hint="cs"/>
          <w:rtl/>
        </w:rPr>
        <w:t xml:space="preserve"> </w:t>
      </w:r>
      <w:r>
        <w:rPr>
          <w:rFonts w:hint="cs"/>
          <w:rtl/>
        </w:rPr>
        <w:t xml:space="preserve">דלכו"ע צריך במחאה גילוי מילתא ובפחות מג' אינו גילוי מילתא שישמע המחזיק מהמחאה, אלא ביאר </w:t>
      </w:r>
      <w:r w:rsidRPr="00675BFB">
        <w:rPr>
          <w:rStyle w:val="af9"/>
          <w:rFonts w:hint="cs"/>
          <w:rtl/>
        </w:rPr>
        <w:t>התוס' רי"ד</w:t>
      </w:r>
      <w:r>
        <w:rPr>
          <w:rFonts w:hint="cs"/>
          <w:rtl/>
        </w:rPr>
        <w:t xml:space="preserve"> דריו"ח דאמר בפני שנים, ס"ל דהטעם של החזקה הוא מפני ב' דברים, הא' דאחר ג"ש אין אדם נזהר בשטרו, והב' דאי המחזיק קנה מהמרא קמא, היה לו למחות, ושתיקת המערער נותנת אמתלא לדברי המחזיק, דודאי מכר לו המרא קמא את הקרקע, והיה לו שטר ואבד, וכתב התוס' רי"ד דמחמת ב' הדברים הללו זוכה המחזיק בקרקע.</w:t>
      </w:r>
    </w:p>
    <w:p w:rsidR="007A505A" w:rsidRPr="00AD429A" w:rsidRDefault="007A505A" w:rsidP="007A505A">
      <w:pPr>
        <w:pStyle w:val="a3"/>
        <w:rPr>
          <w:rtl/>
        </w:rPr>
      </w:pPr>
      <w:r>
        <w:rPr>
          <w:rFonts w:hint="cs"/>
          <w:rtl/>
        </w:rPr>
        <w:t>ביאור התורי"ד דבלא עברו ג"ש ושתק המערער וכן אם מחה בפני ב' ולא שתק לא הוי חזקה</w:t>
      </w:r>
    </w:p>
    <w:p w:rsidR="007A505A" w:rsidRDefault="007A505A" w:rsidP="007E4E81">
      <w:pPr>
        <w:pStyle w:val="a0"/>
        <w:rPr>
          <w:rtl/>
        </w:rPr>
      </w:pPr>
      <w:r>
        <w:rPr>
          <w:rFonts w:hint="cs"/>
          <w:rtl/>
        </w:rPr>
        <w:t xml:space="preserve">אך כתב </w:t>
      </w:r>
      <w:r w:rsidRPr="00675BFB">
        <w:rPr>
          <w:rStyle w:val="af9"/>
          <w:rFonts w:hint="cs"/>
          <w:rtl/>
        </w:rPr>
        <w:t>התוס' רי"ד לקמן</w:t>
      </w:r>
      <w:r>
        <w:rPr>
          <w:rFonts w:hint="cs"/>
          <w:rtl/>
        </w:rPr>
        <w:t xml:space="preserve"> דס"ל לריו"ח דאם חסר אחד מהדברים הללו, כגון שלא החזיק ג"ש, אף ששתק המרא קמא לא הוי חזקה, וכן אם החזיק ג"ש, אך המרא קמא לא שתק ומחה בפני שנים, אף שהמחזיק לא שמע ממחאתו, מ"מ לא הוי חזקה, כיון שאין אמתלא לטענת המחזיק.</w:t>
      </w:r>
    </w:p>
    <w:p w:rsidR="007A505A" w:rsidRDefault="007A505A" w:rsidP="007A505A">
      <w:pPr>
        <w:pStyle w:val="a3"/>
        <w:rPr>
          <w:rtl/>
        </w:rPr>
      </w:pPr>
      <w:r>
        <w:rPr>
          <w:rFonts w:hint="cs"/>
          <w:rtl/>
        </w:rPr>
        <w:t>ביאור התורי"ד בריו"ח דמחאה בפני ב' מהני דאף שלא שומע ממנה מ"מ אין אמתלא לטענתו</w:t>
      </w:r>
    </w:p>
    <w:p w:rsidR="007A505A" w:rsidRDefault="007A505A" w:rsidP="007E4E81">
      <w:pPr>
        <w:pStyle w:val="a0"/>
        <w:rPr>
          <w:rtl/>
        </w:rPr>
      </w:pPr>
      <w:r>
        <w:rPr>
          <w:rFonts w:hint="cs"/>
          <w:rtl/>
        </w:rPr>
        <w:t xml:space="preserve">וכתב </w:t>
      </w:r>
      <w:r w:rsidRPr="00675BFB">
        <w:rPr>
          <w:rStyle w:val="af9"/>
          <w:rFonts w:hint="cs"/>
          <w:rtl/>
        </w:rPr>
        <w:t>התוס' רי"ד לקמן</w:t>
      </w:r>
      <w:r>
        <w:rPr>
          <w:rFonts w:hint="cs"/>
          <w:rtl/>
        </w:rPr>
        <w:t xml:space="preserve"> דלכן לדעת ריו"ח כל שמחה המרא קמא בפני שנים הוי מחאה, אף שהמחזיק לא שמע ממנה, כיון שצריך רק עדות בעלמא, וכל המחאה היא רק בכדי לסלק ממנו את הטענה, דהשתיקה נותנת אמתלא לטענת המחזיק, וכל שהביא המרערער עדים שלא שתק, ואין אמתלא לטענת המחזיק, אין חזקתו חזקה.</w:t>
      </w:r>
    </w:p>
    <w:p w:rsidR="007A505A" w:rsidRPr="000B004D" w:rsidRDefault="007A505A" w:rsidP="007A505A">
      <w:pPr>
        <w:pStyle w:val="1"/>
        <w:rPr>
          <w:rtl/>
        </w:rPr>
      </w:pPr>
      <w:r>
        <w:rPr>
          <w:rFonts w:hint="cs"/>
          <w:rtl/>
        </w:rPr>
        <w:lastRenderedPageBreak/>
        <w:t>דעת התוס' רי"ד דלרב אבהו מחאה מהני רק בשמע המחזיק</w:t>
      </w:r>
    </w:p>
    <w:p w:rsidR="007A505A" w:rsidRDefault="007A505A" w:rsidP="007A505A">
      <w:pPr>
        <w:pStyle w:val="a3"/>
        <w:rPr>
          <w:rtl/>
        </w:rPr>
      </w:pPr>
      <w:r>
        <w:rPr>
          <w:rFonts w:hint="cs"/>
          <w:rtl/>
        </w:rPr>
        <w:t>ביאור התורי"ד ברב אבהו דחזקה רק מחמת השטר ורק בפני ג' שומע המחזיק ונזהר בשטרו</w:t>
      </w:r>
    </w:p>
    <w:p w:rsidR="007A505A" w:rsidRPr="003A736D" w:rsidRDefault="007A505A" w:rsidP="007E4E81">
      <w:pPr>
        <w:pStyle w:val="a0"/>
        <w:rPr>
          <w:rtl/>
        </w:rPr>
      </w:pPr>
      <w:r>
        <w:rPr>
          <w:rFonts w:hint="cs"/>
          <w:rtl/>
        </w:rPr>
        <w:t xml:space="preserve">ובדעת רב אבהו דס"ל דמחאה בפני שלשה, ביאר </w:t>
      </w:r>
      <w:r w:rsidRPr="00807233">
        <w:rPr>
          <w:rStyle w:val="af9"/>
          <w:rFonts w:hint="cs"/>
          <w:rtl/>
        </w:rPr>
        <w:t xml:space="preserve">התוס' רי"ד לקמן </w:t>
      </w:r>
      <w:r>
        <w:rPr>
          <w:rFonts w:hint="cs"/>
          <w:rtl/>
        </w:rPr>
        <w:t xml:space="preserve">דס"ל דטעם החזקה הוא רק מחמת דלאחר ג"ש אינו נזהר בשטרו, ולכן כל שאין המחזיק צריך להזהר בשטרו, הוי חזקה, אף שאין לו כל אמתלא לטענתו, </w:t>
      </w:r>
      <w:r w:rsidRPr="00807233">
        <w:rPr>
          <w:rStyle w:val="afb"/>
          <w:rFonts w:hint="cs"/>
          <w:rtl/>
        </w:rPr>
        <w:t>[שהיה לו שטר ואבד],</w:t>
      </w:r>
      <w:r>
        <w:rPr>
          <w:rFonts w:hint="cs"/>
          <w:rtl/>
        </w:rPr>
        <w:t xml:space="preserve"> וכיון דגילוי מילתא בחזקה אינו בפחות משלשה, לכן הצריך רב אבהו מחאה בפני שלשה שישמע המחזיק מהמאחה, ואמרינן ליה דכיון שמחו בו היה לו להזהר בשטרו אף לאחר ג"ש, וכל שלא נזהר בשטרו לא הוי חזקה, אבל אם מחה רק בפני שנים, ס"ל לרב אבהו דלא הוי מחאה, כיון שלא שמע המחזיק מהמחאה ולא היה לו להזהר בשטרו, א"כ הוי חזקה, וטענת המחזיק חשיבא לטענה, אף שאין לו אמתלא דלא שתק המערער.</w:t>
      </w:r>
    </w:p>
    <w:p w:rsidR="007A505A" w:rsidRDefault="007A505A" w:rsidP="007A505A">
      <w:pPr>
        <w:pStyle w:val="afe"/>
        <w:rPr>
          <w:rtl/>
        </w:rPr>
      </w:pPr>
      <w:r w:rsidRPr="001D1883">
        <w:rPr>
          <w:rFonts w:hint="cs"/>
          <w:rtl/>
        </w:rPr>
        <w:t>בדין מחאה שלא כדין</w:t>
      </w:r>
      <w:bookmarkEnd w:id="3656"/>
      <w:bookmarkEnd w:id="3657"/>
      <w:bookmarkEnd w:id="3658"/>
      <w:bookmarkEnd w:id="3659"/>
      <w:bookmarkEnd w:id="3660"/>
      <w:bookmarkEnd w:id="3661"/>
    </w:p>
    <w:p w:rsidR="007A505A" w:rsidRPr="007A7D2C" w:rsidRDefault="007A505A" w:rsidP="007A505A">
      <w:pPr>
        <w:pStyle w:val="1"/>
        <w:rPr>
          <w:rtl/>
        </w:rPr>
      </w:pPr>
      <w:bookmarkStart w:id="3662" w:name="_Toc55391180"/>
      <w:r>
        <w:rPr>
          <w:rFonts w:hint="cs"/>
          <w:rtl/>
        </w:rPr>
        <w:t>פלוגתת הש"ך והקצוה"ח בסבר המחזיק שהמחאה הייתה כדין</w:t>
      </w:r>
      <w:bookmarkEnd w:id="3662"/>
    </w:p>
    <w:p w:rsidR="007A505A" w:rsidRPr="00994786" w:rsidRDefault="007A505A" w:rsidP="007A505A">
      <w:pPr>
        <w:pStyle w:val="a3"/>
        <w:rPr>
          <w:rtl/>
        </w:rPr>
      </w:pPr>
      <w:bookmarkStart w:id="3663" w:name="_Toc55386261"/>
      <w:bookmarkStart w:id="3664" w:name="_Toc55391181"/>
      <w:r>
        <w:rPr>
          <w:rFonts w:hint="cs"/>
          <w:rtl/>
        </w:rPr>
        <w:t>דברי הש"ך דאם אמר המערער לעדים שלא יאמרו לשום אדם אינה מחאה אף שאמרו למחזיק</w:t>
      </w:r>
      <w:bookmarkEnd w:id="3663"/>
      <w:bookmarkEnd w:id="3664"/>
    </w:p>
    <w:p w:rsidR="007A505A" w:rsidRDefault="007A505A" w:rsidP="007E4E81">
      <w:pPr>
        <w:pStyle w:val="a0"/>
        <w:rPr>
          <w:rtl/>
        </w:rPr>
      </w:pPr>
      <w:r w:rsidRPr="001D1883">
        <w:rPr>
          <w:rFonts w:hint="cs"/>
          <w:rtl/>
        </w:rPr>
        <w:t xml:space="preserve">כתב </w:t>
      </w:r>
      <w:r w:rsidRPr="002A1F78">
        <w:rPr>
          <w:rStyle w:val="af9"/>
          <w:rFonts w:hint="cs"/>
          <w:rtl/>
        </w:rPr>
        <w:t xml:space="preserve">השו"ע </w:t>
      </w:r>
      <w:r w:rsidRPr="002A1F78">
        <w:rPr>
          <w:rStyle w:val="af7"/>
          <w:rFonts w:eastAsia="Guttman Hodes" w:hint="cs"/>
          <w:rtl/>
        </w:rPr>
        <w:t>(סי' קמ"ו ג')</w:t>
      </w:r>
      <w:r w:rsidRPr="001D1883">
        <w:rPr>
          <w:rFonts w:hint="cs"/>
          <w:rtl/>
        </w:rPr>
        <w:t xml:space="preserve"> דאם כשמחה המערער אמר לעדים, שלא יוציאו את דבר המחאה מפיהם, לא הוי מחאה, וכתב </w:t>
      </w:r>
      <w:r w:rsidRPr="002A1F78">
        <w:rPr>
          <w:rStyle w:val="af9"/>
          <w:rFonts w:hint="cs"/>
          <w:rtl/>
        </w:rPr>
        <w:t xml:space="preserve">הש"ך </w:t>
      </w:r>
      <w:r w:rsidRPr="002A1F78">
        <w:rPr>
          <w:rStyle w:val="af7"/>
          <w:rFonts w:eastAsia="Guttman Hodes" w:hint="cs"/>
          <w:rtl/>
        </w:rPr>
        <w:t>(סי' קמ"ו סק"ג)</w:t>
      </w:r>
      <w:r w:rsidRPr="001D1883">
        <w:rPr>
          <w:rFonts w:hint="cs"/>
          <w:rtl/>
        </w:rPr>
        <w:t xml:space="preserve"> דאף אם אמרו העדים למחזיק שמחה בו המערער, מ"מ כיון </w:t>
      </w:r>
      <w:r w:rsidRPr="001D1883">
        <w:rPr>
          <w:rFonts w:hint="cs"/>
          <w:rtl/>
        </w:rPr>
        <w:t>שאמרו לו את דברי המערער שאמר שלא יצא דבר זה מפיהם, לא הוי מחאה.</w:t>
      </w:r>
    </w:p>
    <w:p w:rsidR="007A505A" w:rsidRPr="009C1D4D" w:rsidRDefault="007A505A" w:rsidP="007A505A">
      <w:pPr>
        <w:pStyle w:val="a3"/>
        <w:rPr>
          <w:rtl/>
        </w:rPr>
      </w:pPr>
    </w:p>
    <w:p w:rsidR="007A505A" w:rsidRPr="001D1883" w:rsidRDefault="007A505A" w:rsidP="007A505A">
      <w:pPr>
        <w:pStyle w:val="a3"/>
        <w:rPr>
          <w:rtl/>
        </w:rPr>
      </w:pPr>
      <w:bookmarkStart w:id="3665" w:name="_Toc55386262"/>
      <w:bookmarkStart w:id="3666" w:name="_Toc55391182"/>
      <w:r>
        <w:rPr>
          <w:rFonts w:hint="cs"/>
          <w:rtl/>
        </w:rPr>
        <w:t>דעת הש"ך דבמחה שלא כדין וסובר המערער דמחה כדין</w:t>
      </w:r>
      <w:r w:rsidRPr="006D034B">
        <w:rPr>
          <w:rFonts w:hint="cs"/>
          <w:rtl/>
        </w:rPr>
        <w:t xml:space="preserve"> </w:t>
      </w:r>
      <w:r>
        <w:rPr>
          <w:rFonts w:hint="cs"/>
          <w:rtl/>
        </w:rPr>
        <w:t>לא הוי חזקה דטוען לו אחוי שטרך</w:t>
      </w:r>
      <w:bookmarkEnd w:id="3665"/>
      <w:bookmarkEnd w:id="3666"/>
    </w:p>
    <w:p w:rsidR="007A505A" w:rsidRPr="001D1883" w:rsidRDefault="007A505A" w:rsidP="007E4E81">
      <w:pPr>
        <w:pStyle w:val="a0"/>
        <w:rPr>
          <w:rtl/>
        </w:rPr>
      </w:pPr>
      <w:r w:rsidRPr="001D1883">
        <w:rPr>
          <w:rFonts w:hint="cs"/>
          <w:rtl/>
        </w:rPr>
        <w:t xml:space="preserve">וכתב </w:t>
      </w:r>
      <w:r w:rsidRPr="002A1F78">
        <w:rPr>
          <w:rStyle w:val="af9"/>
          <w:rFonts w:hint="cs"/>
          <w:rtl/>
        </w:rPr>
        <w:t xml:space="preserve">הקצוה"ח </w:t>
      </w:r>
      <w:r w:rsidRPr="002A1F78">
        <w:rPr>
          <w:rStyle w:val="af7"/>
          <w:rFonts w:eastAsia="Guttman Hodes" w:hint="cs"/>
          <w:rtl/>
        </w:rPr>
        <w:t>(סי' קמ"ו סק"א)</w:t>
      </w:r>
      <w:r w:rsidRPr="001D1883">
        <w:rPr>
          <w:rFonts w:hint="cs"/>
          <w:rtl/>
        </w:rPr>
        <w:t xml:space="preserve"> דמשמע מדברי </w:t>
      </w:r>
      <w:r w:rsidRPr="002A1F78">
        <w:rPr>
          <w:rStyle w:val="af9"/>
          <w:rFonts w:hint="cs"/>
          <w:rtl/>
        </w:rPr>
        <w:t xml:space="preserve">הש"ך </w:t>
      </w:r>
      <w:r w:rsidRPr="001D1883">
        <w:rPr>
          <w:rFonts w:hint="cs"/>
          <w:rtl/>
        </w:rPr>
        <w:t>דאם אמרו למחזיק רק שמחה בו המערער, ולא הוסיפו לו את דברי המערער שלא יצא מפיהם, הוי מחאה, כיון שהמחזיק אינו יודע דהמערער מחה שלא כדין והיה לו להזהר בשטרו, דהוא חושב שמחה המערער מחאה גמורה.</w:t>
      </w:r>
    </w:p>
    <w:p w:rsidR="007A505A" w:rsidRPr="001D1883" w:rsidRDefault="007A505A" w:rsidP="007A505A">
      <w:pPr>
        <w:pStyle w:val="a3"/>
        <w:rPr>
          <w:rtl/>
        </w:rPr>
      </w:pPr>
      <w:bookmarkStart w:id="3667" w:name="_Toc55386263"/>
      <w:bookmarkStart w:id="3668" w:name="_Toc55391183"/>
      <w:r>
        <w:rPr>
          <w:rFonts w:hint="cs"/>
          <w:rtl/>
        </w:rPr>
        <w:t>דברי הקצוה"ח דאף בסבר המחזיק בטעות שמחה בו המערער הוי חזקה כיון שלא הייתה מחאה</w:t>
      </w:r>
      <w:bookmarkEnd w:id="3667"/>
      <w:bookmarkEnd w:id="3668"/>
    </w:p>
    <w:p w:rsidR="007A505A" w:rsidRPr="001D1883" w:rsidRDefault="007A505A" w:rsidP="007E4E81">
      <w:pPr>
        <w:pStyle w:val="a0"/>
        <w:rPr>
          <w:rtl/>
        </w:rPr>
      </w:pPr>
      <w:bookmarkStart w:id="3669" w:name="_Ref55316863"/>
      <w:r w:rsidRPr="001D1883">
        <w:rPr>
          <w:rFonts w:hint="cs"/>
          <w:rtl/>
        </w:rPr>
        <w:t xml:space="preserve">אך כתב </w:t>
      </w:r>
      <w:r w:rsidRPr="002A1F78">
        <w:rPr>
          <w:rStyle w:val="af9"/>
          <w:rFonts w:hint="cs"/>
          <w:rtl/>
        </w:rPr>
        <w:t xml:space="preserve">הקצוה"ח </w:t>
      </w:r>
      <w:r w:rsidRPr="001D1883">
        <w:rPr>
          <w:rFonts w:hint="cs"/>
          <w:rtl/>
        </w:rPr>
        <w:t>דנראה דאף באופן שבאו שנים ואמרו למחזיק שמחה בו המערער, ואח"כ התברר שהמערער לא מחה כלל, דהוי חזקה, ואעפ"י שהמחזיק חשב שמחה בו המערער, מ"מ כיון שלא הייתה מחאה מהני החזקה.</w:t>
      </w:r>
      <w:bookmarkEnd w:id="3669"/>
    </w:p>
    <w:p w:rsidR="007A505A" w:rsidRPr="001D1883" w:rsidRDefault="007A505A" w:rsidP="007A505A">
      <w:pPr>
        <w:pStyle w:val="a3"/>
      </w:pPr>
      <w:bookmarkStart w:id="3670" w:name="_Toc55386264"/>
      <w:bookmarkStart w:id="3671" w:name="_Toc55391184"/>
      <w:r>
        <w:rPr>
          <w:rFonts w:hint="cs"/>
          <w:rtl/>
        </w:rPr>
        <w:t>דעת הקצוה"ח דמחאה שלא כדין וסובר המערער דמחה כדין הוי חזקה דהא לא מחה כדין</w:t>
      </w:r>
      <w:bookmarkEnd w:id="3670"/>
      <w:bookmarkEnd w:id="3671"/>
    </w:p>
    <w:p w:rsidR="007A505A" w:rsidRPr="001D1883" w:rsidRDefault="007A505A" w:rsidP="007E4E81">
      <w:pPr>
        <w:pStyle w:val="a0"/>
        <w:rPr>
          <w:rtl/>
        </w:rPr>
      </w:pPr>
      <w:r w:rsidRPr="001D1883">
        <w:rPr>
          <w:rFonts w:hint="cs"/>
          <w:rtl/>
        </w:rPr>
        <w:t xml:space="preserve">וכתב </w:t>
      </w:r>
      <w:r w:rsidRPr="002A1F78">
        <w:rPr>
          <w:rStyle w:val="af9"/>
          <w:rFonts w:hint="cs"/>
          <w:rtl/>
        </w:rPr>
        <w:t xml:space="preserve">הקצוה"ח </w:t>
      </w:r>
      <w:r w:rsidRPr="001D1883">
        <w:rPr>
          <w:rFonts w:hint="cs"/>
          <w:rtl/>
        </w:rPr>
        <w:t xml:space="preserve">דה"ה באופן שאמר המערער לעדים שלא יצא דבר המחאה מפיהם, הוי חזקה, אף באופן שאמרו העדים למחזיק שמחה בו המערער, ולא הוסיפו לו את דברי המערער שלא יצא מפיהם, דכל שהמחאה לא הייתה כדין, הוי חזקה, אף שהמחזיק חושב שמחה המערער מחאה גמורה, וכ"כ </w:t>
      </w:r>
      <w:r w:rsidRPr="002A1F78">
        <w:rPr>
          <w:rStyle w:val="af9"/>
          <w:rFonts w:hint="cs"/>
          <w:rtl/>
        </w:rPr>
        <w:t xml:space="preserve">הנתיה"מ </w:t>
      </w:r>
      <w:r w:rsidRPr="002A1F78">
        <w:rPr>
          <w:rStyle w:val="af7"/>
          <w:rFonts w:eastAsia="Guttman Hodes" w:hint="cs"/>
          <w:rtl/>
        </w:rPr>
        <w:t>(סי' קמ"ו סק"ב)</w:t>
      </w:r>
      <w:r w:rsidRPr="001D1883">
        <w:rPr>
          <w:rFonts w:hint="cs"/>
          <w:rtl/>
        </w:rPr>
        <w:t xml:space="preserve">, ועי' במה שביאר </w:t>
      </w:r>
      <w:r w:rsidRPr="002A1F78">
        <w:rPr>
          <w:rStyle w:val="af9"/>
          <w:rFonts w:hint="cs"/>
          <w:rtl/>
        </w:rPr>
        <w:t xml:space="preserve">הדברי מרדכי </w:t>
      </w:r>
      <w:r w:rsidRPr="002A1F78">
        <w:rPr>
          <w:rStyle w:val="af7"/>
          <w:rFonts w:eastAsia="Guttman Hodes" w:hint="cs"/>
          <w:rtl/>
        </w:rPr>
        <w:t xml:space="preserve">(עי' אות </w:t>
      </w:r>
      <w:r w:rsidRPr="002A1F78">
        <w:rPr>
          <w:rStyle w:val="af7"/>
          <w:rFonts w:eastAsia="Guttman Hodes"/>
          <w:rtl/>
        </w:rPr>
        <w:fldChar w:fldCharType="begin"/>
      </w:r>
      <w:r w:rsidRPr="002A1F78">
        <w:rPr>
          <w:rStyle w:val="af7"/>
          <w:rFonts w:eastAsia="Guttman Hodes"/>
          <w:rtl/>
        </w:rPr>
        <w:instrText xml:space="preserve"> </w:instrText>
      </w:r>
      <w:r w:rsidRPr="002A1F78">
        <w:rPr>
          <w:rStyle w:val="af7"/>
          <w:rFonts w:eastAsia="Guttman Hodes" w:hint="cs"/>
        </w:rPr>
        <w:instrText>REF</w:instrText>
      </w:r>
      <w:r w:rsidRPr="002A1F78">
        <w:rPr>
          <w:rStyle w:val="af7"/>
          <w:rFonts w:eastAsia="Guttman Hodes" w:hint="cs"/>
          <w:rtl/>
        </w:rPr>
        <w:instrText xml:space="preserve"> _</w:instrText>
      </w:r>
      <w:r w:rsidRPr="002A1F78">
        <w:rPr>
          <w:rStyle w:val="af7"/>
          <w:rFonts w:eastAsia="Guttman Hodes" w:hint="cs"/>
        </w:rPr>
        <w:instrText>Ref55316893 \r \h</w:instrText>
      </w:r>
      <w:r w:rsidRPr="002A1F78">
        <w:rPr>
          <w:rStyle w:val="af7"/>
          <w:rFonts w:eastAsia="Guttman Hodes"/>
          <w:rtl/>
        </w:rPr>
        <w:instrText xml:space="preserve">  \* </w:instrText>
      </w:r>
      <w:r w:rsidRPr="002A1F78">
        <w:rPr>
          <w:rStyle w:val="af7"/>
          <w:rFonts w:eastAsia="Guttman Hodes"/>
        </w:rPr>
        <w:instrText>MERGEFORMAT</w:instrText>
      </w:r>
      <w:r w:rsidRPr="002A1F78">
        <w:rPr>
          <w:rStyle w:val="af7"/>
          <w:rFonts w:eastAsia="Guttman Hodes"/>
          <w:rtl/>
        </w:rPr>
        <w:instrText xml:space="preserve"> </w:instrText>
      </w:r>
      <w:r w:rsidRPr="002A1F78">
        <w:rPr>
          <w:rStyle w:val="af7"/>
          <w:rFonts w:eastAsia="Guttman Hodes"/>
          <w:rtl/>
        </w:rPr>
      </w:r>
      <w:r w:rsidRPr="002A1F78">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sidRPr="002A1F78">
        <w:rPr>
          <w:rStyle w:val="af7"/>
          <w:rFonts w:eastAsia="Guttman Hodes"/>
          <w:rtl/>
        </w:rPr>
        <w:fldChar w:fldCharType="end"/>
      </w:r>
      <w:r w:rsidRPr="001D1883">
        <w:rPr>
          <w:rFonts w:hint="cs"/>
          <w:rtl/>
        </w:rPr>
        <w:t xml:space="preserve"> את דברי </w:t>
      </w:r>
      <w:r w:rsidRPr="002A1F78">
        <w:rPr>
          <w:rStyle w:val="af9"/>
          <w:rFonts w:hint="cs"/>
          <w:rtl/>
        </w:rPr>
        <w:t>הקצוה"ח</w:t>
      </w:r>
      <w:r w:rsidRPr="001D1883">
        <w:rPr>
          <w:rFonts w:hint="cs"/>
          <w:rtl/>
        </w:rPr>
        <w:t>.</w:t>
      </w:r>
    </w:p>
    <w:p w:rsidR="007A505A" w:rsidRPr="001D1883" w:rsidRDefault="007A505A" w:rsidP="007A505A">
      <w:pPr>
        <w:pStyle w:val="a3"/>
        <w:rPr>
          <w:rtl/>
        </w:rPr>
      </w:pPr>
    </w:p>
    <w:p w:rsidR="007A505A" w:rsidRPr="001D1883" w:rsidRDefault="007A505A" w:rsidP="007E4E81">
      <w:pPr>
        <w:pStyle w:val="a0"/>
        <w:rPr>
          <w:rtl/>
        </w:rPr>
        <w:sectPr w:rsidR="007A505A" w:rsidRPr="001D1883" w:rsidSect="005049E2">
          <w:type w:val="continuous"/>
          <w:pgSz w:w="11906" w:h="16838"/>
          <w:pgMar w:top="720" w:right="720" w:bottom="720" w:left="720" w:header="283" w:footer="283" w:gutter="0"/>
          <w:cols w:num="2" w:space="567"/>
          <w:titlePg/>
          <w:bidi/>
          <w:rtlGutter/>
          <w:docGrid w:linePitch="299"/>
        </w:sectPr>
      </w:pPr>
    </w:p>
    <w:p w:rsidR="007A505A" w:rsidRPr="001D1883" w:rsidRDefault="007A505A" w:rsidP="007A505A">
      <w:pPr>
        <w:tabs>
          <w:tab w:val="left" w:pos="1163"/>
        </w:tabs>
        <w:spacing w:after="120" w:line="240" w:lineRule="auto"/>
        <w:ind w:left="0"/>
        <w:rPr>
          <w:rFonts w:ascii="Guttman Hodes" w:eastAsia="Guttman Hodes" w:hAnsi="Guttman Hodes" w:cs="Guttman Hodes"/>
          <w:noProof/>
          <w:sz w:val="18"/>
          <w:szCs w:val="18"/>
        </w:rPr>
        <w:sectPr w:rsidR="007A505A" w:rsidRPr="001D1883" w:rsidSect="00AE06CB">
          <w:type w:val="continuous"/>
          <w:pgSz w:w="11906" w:h="16838"/>
          <w:pgMar w:top="720" w:right="720" w:bottom="720" w:left="720" w:header="283" w:footer="283" w:gutter="0"/>
          <w:cols w:space="567"/>
          <w:bidi/>
          <w:rtlGutter/>
          <w:docGrid w:linePitch="299"/>
        </w:sectPr>
      </w:pPr>
    </w:p>
    <w:p w:rsidR="007A505A" w:rsidRPr="001D1883" w:rsidRDefault="00E949D5" w:rsidP="007A505A">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28" type="#_x0000_t75" style="width:404.55pt;height:6.8pt" o:hrpct="0" o:hralign="center" o:hr="t">
            <v:imagedata r:id="rId24" o:title="BD14845_"/>
          </v:shape>
        </w:pict>
      </w:r>
      <w:r w:rsidR="007A505A" w:rsidRPr="001D1883">
        <w:rPr>
          <w:rFonts w:ascii="Guttman Hodes" w:eastAsia="Guttman Hodes" w:hAnsi="Guttman Hodes" w:cs="Guttman Hodes" w:hint="cs"/>
          <w:noProof/>
          <w:sz w:val="18"/>
          <w:szCs w:val="18"/>
          <w:rtl/>
        </w:rPr>
        <w:t xml:space="preserve"> </w:t>
      </w:r>
    </w:p>
    <w:p w:rsidR="007A505A" w:rsidRPr="001D1883" w:rsidRDefault="001B6519" w:rsidP="007A505A">
      <w:pPr>
        <w:pStyle w:val="afe"/>
        <w:rPr>
          <w:rtl/>
        </w:rPr>
        <w:sectPr w:rsidR="007A505A" w:rsidRPr="001D1883" w:rsidSect="00361B2E">
          <w:pgSz w:w="11906" w:h="16838"/>
          <w:pgMar w:top="720" w:right="720" w:bottom="720" w:left="720" w:header="283" w:footer="283" w:gutter="0"/>
          <w:cols w:space="567"/>
          <w:bidi/>
          <w:rtlGutter/>
          <w:docGrid w:linePitch="299"/>
        </w:sectPr>
      </w:pPr>
      <w:r>
        <w:rPr>
          <w:rFonts w:hint="cs"/>
          <w:rtl/>
        </w:rPr>
        <w:t>~~~~~~~ ביאורי ראשי הישיבות ~~~~~~~</w:t>
      </w:r>
      <w:r w:rsidR="007A505A" w:rsidRPr="001D1883">
        <w:rPr>
          <w:rFonts w:hint="cs"/>
          <w:rtl/>
        </w:rPr>
        <w:t xml:space="preserve"> </w:t>
      </w:r>
    </w:p>
    <w:p w:rsidR="007A505A" w:rsidRPr="001D1883" w:rsidRDefault="007A505A" w:rsidP="007A505A">
      <w:pPr>
        <w:pStyle w:val="afe"/>
        <w:rPr>
          <w:rtl/>
        </w:rPr>
      </w:pPr>
      <w:bookmarkStart w:id="3672" w:name="_Toc55386266"/>
      <w:bookmarkStart w:id="3673" w:name="_Toc55391186"/>
      <w:r>
        <w:rPr>
          <w:rFonts w:hint="cs"/>
          <w:rtl/>
        </w:rPr>
        <w:t>בטעם המחאה לדעת רש"י והרמב"ן</w:t>
      </w:r>
      <w:bookmarkEnd w:id="3672"/>
      <w:bookmarkEnd w:id="3673"/>
      <w:r>
        <w:rPr>
          <w:rFonts w:hint="cs"/>
          <w:rtl/>
        </w:rPr>
        <w:t xml:space="preserve"> </w:t>
      </w:r>
    </w:p>
    <w:p w:rsidR="007A505A" w:rsidRPr="001D1883" w:rsidRDefault="007A505A" w:rsidP="007A505A">
      <w:pPr>
        <w:pStyle w:val="1"/>
        <w:rPr>
          <w:rtl/>
        </w:rPr>
      </w:pPr>
      <w:bookmarkStart w:id="3674" w:name="_Toc55127849"/>
      <w:bookmarkStart w:id="3675" w:name="_Toc55246104"/>
      <w:bookmarkStart w:id="3676" w:name="_Toc55325174"/>
      <w:bookmarkStart w:id="3677" w:name="_Toc55342101"/>
      <w:bookmarkStart w:id="3678" w:name="_Toc55342202"/>
      <w:bookmarkStart w:id="3679" w:name="_Toc55375308"/>
      <w:bookmarkStart w:id="3680" w:name="_Toc55386267"/>
      <w:bookmarkStart w:id="3681" w:name="_Toc55391187"/>
      <w:r w:rsidRPr="001D1883">
        <w:rPr>
          <w:rFonts w:hint="cs"/>
          <w:rtl/>
        </w:rPr>
        <w:t>ביאור הגרנ"פ ברש"י וברמב"ן</w:t>
      </w:r>
      <w:bookmarkEnd w:id="3674"/>
      <w:bookmarkEnd w:id="3675"/>
      <w:bookmarkEnd w:id="3676"/>
      <w:bookmarkEnd w:id="3677"/>
      <w:bookmarkEnd w:id="3678"/>
      <w:bookmarkEnd w:id="3679"/>
      <w:bookmarkEnd w:id="3680"/>
      <w:r w:rsidRPr="001D1883">
        <w:rPr>
          <w:rFonts w:hint="cs"/>
          <w:rtl/>
        </w:rPr>
        <w:t xml:space="preserve"> </w:t>
      </w:r>
      <w:r>
        <w:rPr>
          <w:rFonts w:hint="cs"/>
          <w:rtl/>
        </w:rPr>
        <w:t>דהמחאה היא ריעותא במוחזקות</w:t>
      </w:r>
      <w:bookmarkEnd w:id="3681"/>
    </w:p>
    <w:p w:rsidR="007A505A" w:rsidRPr="001D1883" w:rsidRDefault="007A505A" w:rsidP="007A505A">
      <w:pPr>
        <w:pStyle w:val="a3"/>
        <w:rPr>
          <w:rtl/>
        </w:rPr>
      </w:pPr>
      <w:bookmarkStart w:id="3682" w:name="_Toc55386268"/>
      <w:bookmarkStart w:id="3683" w:name="_Toc55391188"/>
      <w:r>
        <w:rPr>
          <w:rFonts w:hint="cs"/>
          <w:rtl/>
        </w:rPr>
        <w:t>ביאור הגרנ"פ ברש"י דהמחאה שישמור שטרו והקושיה היא רק להולכי אושא כדביאר הרמב"ן</w:t>
      </w:r>
      <w:bookmarkEnd w:id="3682"/>
      <w:bookmarkEnd w:id="3683"/>
    </w:p>
    <w:p w:rsidR="007A505A" w:rsidRPr="001D1883" w:rsidRDefault="007A505A" w:rsidP="007E4E81">
      <w:pPr>
        <w:pStyle w:val="a0"/>
        <w:rPr>
          <w:rtl/>
        </w:rPr>
      </w:pPr>
      <w:bookmarkStart w:id="3684" w:name="_Ref55124646"/>
      <w:r w:rsidRPr="001D1883">
        <w:rPr>
          <w:rFonts w:hint="cs"/>
          <w:rtl/>
        </w:rPr>
        <w:t>במ"ש</w:t>
      </w:r>
      <w:r w:rsidRPr="001D1883">
        <w:rPr>
          <w:rStyle w:val="af9"/>
          <w:rFonts w:hint="cs"/>
          <w:rtl/>
        </w:rPr>
        <w:t xml:space="preserve"> רש"י</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sidRPr="001D1883">
        <w:rPr>
          <w:rFonts w:hint="cs"/>
          <w:rtl/>
        </w:rPr>
        <w:t xml:space="preserve"> דקושית הגמ' דכמו דבהעדאה צריך בפניו דהיא התראה שישמור שורו, אף מחאה תועיל רק בפניו, דהיא התראה שהמחזיק יזהר בשטרו, כתב </w:t>
      </w:r>
      <w:r w:rsidRPr="001D1883">
        <w:rPr>
          <w:rStyle w:val="af9"/>
          <w:rFonts w:hint="cs"/>
          <w:rtl/>
        </w:rPr>
        <w:t>בחי' רבי נחום</w:t>
      </w:r>
      <w:r w:rsidRPr="001D1883">
        <w:rPr>
          <w:rFonts w:hint="cs"/>
          <w:rtl/>
        </w:rPr>
        <w:t xml:space="preserve"> </w:t>
      </w:r>
      <w:r w:rsidRPr="001D1883">
        <w:rPr>
          <w:rStyle w:val="af7"/>
          <w:rFonts w:eastAsia="Guttman Hodes" w:hint="cs"/>
          <w:rtl/>
        </w:rPr>
        <w:t>(או' ט"ז</w:t>
      </w:r>
      <w:r>
        <w:rPr>
          <w:rStyle w:val="af7"/>
          <w:rFonts w:eastAsia="Guttman Hodes" w:hint="cs"/>
          <w:rtl/>
        </w:rPr>
        <w:t xml:space="preserve"> ד"ה אלא מעתה</w:t>
      </w:r>
      <w:r w:rsidRPr="001D1883">
        <w:rPr>
          <w:rStyle w:val="af7"/>
          <w:rFonts w:eastAsia="Guttman Hodes" w:hint="cs"/>
          <w:rtl/>
        </w:rPr>
        <w:t>)</w:t>
      </w:r>
      <w:r w:rsidRPr="001D1883">
        <w:rPr>
          <w:rFonts w:hint="cs"/>
          <w:rtl/>
        </w:rPr>
        <w:t xml:space="preserve"> דמבואר מדברי </w:t>
      </w:r>
      <w:r w:rsidRPr="001D1883">
        <w:rPr>
          <w:rStyle w:val="af9"/>
          <w:rFonts w:hint="cs"/>
          <w:rtl/>
        </w:rPr>
        <w:t>רש"י</w:t>
      </w:r>
      <w:r w:rsidRPr="001D1883">
        <w:rPr>
          <w:rFonts w:hint="cs"/>
          <w:rtl/>
        </w:rPr>
        <w:t xml:space="preserve"> דהא דהמערער צריך למחות במחזיק, הוא כדי שישמור את שטרו, וכל שלא שמרו יכול המערער לומר לו אחוי שטרך, </w:t>
      </w:r>
      <w:r w:rsidRPr="001D1883">
        <w:rPr>
          <w:rStyle w:val="afb"/>
          <w:rFonts w:hint="cs"/>
          <w:rtl/>
        </w:rPr>
        <w:t>[</w:t>
      </w:r>
      <w:r>
        <w:rPr>
          <w:rStyle w:val="afb"/>
          <w:rFonts w:hint="cs"/>
          <w:rtl/>
        </w:rPr>
        <w:t xml:space="preserve">וכ"כ </w:t>
      </w:r>
      <w:r w:rsidRPr="003838B9">
        <w:rPr>
          <w:rStyle w:val="affa"/>
          <w:rFonts w:hint="cs"/>
          <w:rtl/>
        </w:rPr>
        <w:t>הריטב"א</w:t>
      </w:r>
      <w:r>
        <w:rPr>
          <w:rStyle w:val="afb"/>
          <w:rFonts w:hint="cs"/>
          <w:rtl/>
        </w:rPr>
        <w:t xml:space="preserve"> </w:t>
      </w:r>
      <w:r w:rsidRPr="003838B9">
        <w:rPr>
          <w:rStyle w:val="aff6"/>
          <w:rFonts w:hint="cs"/>
          <w:rtl/>
        </w:rPr>
        <w:t xml:space="preserve">(עי' אות </w:t>
      </w:r>
      <w:r w:rsidRPr="003838B9">
        <w:rPr>
          <w:rStyle w:val="aff6"/>
          <w:rtl/>
        </w:rPr>
        <w:fldChar w:fldCharType="begin"/>
      </w:r>
      <w:r w:rsidRPr="003838B9">
        <w:rPr>
          <w:rStyle w:val="aff6"/>
          <w:rtl/>
        </w:rPr>
        <w:instrText xml:space="preserve"> </w:instrText>
      </w:r>
      <w:r w:rsidRPr="003838B9">
        <w:rPr>
          <w:rStyle w:val="aff6"/>
          <w:rFonts w:hint="cs"/>
        </w:rPr>
        <w:instrText>REF</w:instrText>
      </w:r>
      <w:r w:rsidRPr="003838B9">
        <w:rPr>
          <w:rStyle w:val="aff6"/>
          <w:rFonts w:hint="cs"/>
          <w:rtl/>
        </w:rPr>
        <w:instrText xml:space="preserve"> _</w:instrText>
      </w:r>
      <w:r w:rsidRPr="003838B9">
        <w:rPr>
          <w:rStyle w:val="aff6"/>
          <w:rFonts w:hint="cs"/>
        </w:rPr>
        <w:instrText>Ref55378553 \r \h</w:instrText>
      </w:r>
      <w:r w:rsidRPr="003838B9">
        <w:rPr>
          <w:rStyle w:val="aff6"/>
          <w:rtl/>
        </w:rPr>
        <w:instrText xml:space="preserve"> </w:instrText>
      </w:r>
      <w:r w:rsidRPr="003838B9">
        <w:rPr>
          <w:rStyle w:val="aff6"/>
          <w:rtl/>
        </w:rPr>
      </w:r>
      <w:r w:rsidRPr="003838B9">
        <w:rPr>
          <w:rStyle w:val="aff6"/>
          <w:rtl/>
        </w:rPr>
        <w:fldChar w:fldCharType="separate"/>
      </w:r>
      <w:r w:rsidR="00265073">
        <w:rPr>
          <w:rStyle w:val="aff6"/>
          <w:cs/>
        </w:rPr>
        <w:t>‎</w:t>
      </w:r>
      <w:r w:rsidR="00265073">
        <w:rPr>
          <w:rStyle w:val="aff6"/>
          <w:rtl/>
        </w:rPr>
        <w:t>מב)</w:t>
      </w:r>
      <w:r w:rsidRPr="003838B9">
        <w:rPr>
          <w:rStyle w:val="aff6"/>
          <w:rtl/>
        </w:rPr>
        <w:fldChar w:fldCharType="end"/>
      </w:r>
      <w:r>
        <w:rPr>
          <w:rStyle w:val="afb"/>
          <w:rFonts w:hint="cs"/>
          <w:rtl/>
        </w:rPr>
        <w:t xml:space="preserve"> בדעת </w:t>
      </w:r>
      <w:r w:rsidRPr="003838B9">
        <w:rPr>
          <w:rStyle w:val="affa"/>
          <w:rFonts w:hint="cs"/>
          <w:rtl/>
        </w:rPr>
        <w:t>רש"י</w:t>
      </w:r>
      <w:r w:rsidRPr="001D1883">
        <w:rPr>
          <w:rStyle w:val="afb"/>
          <w:rFonts w:hint="cs"/>
          <w:rtl/>
        </w:rPr>
        <w:t>],</w:t>
      </w:r>
      <w:r w:rsidRPr="001D1883">
        <w:rPr>
          <w:rFonts w:hint="cs"/>
          <w:rtl/>
        </w:rPr>
        <w:t xml:space="preserve"> וכדעת </w:t>
      </w:r>
      <w:r w:rsidRPr="001D1883">
        <w:rPr>
          <w:rStyle w:val="af9"/>
          <w:rFonts w:hint="cs"/>
          <w:rtl/>
        </w:rPr>
        <w:t>הרמב"ן בחי' ובמלחמות</w:t>
      </w:r>
      <w:r w:rsidRPr="001D1883">
        <w:rPr>
          <w:rFonts w:hint="cs"/>
          <w:rtl/>
        </w:rPr>
        <w:t xml:space="preserve"> </w:t>
      </w:r>
      <w:r w:rsidRPr="003838B9">
        <w:rPr>
          <w:rStyle w:val="af7"/>
          <w:rFonts w:eastAsia="Guttman Rashi" w:hint="cs"/>
          <w:rtl/>
        </w:rPr>
        <w:t xml:space="preserve">(עי' אות </w:t>
      </w:r>
      <w:r w:rsidRPr="003838B9">
        <w:rPr>
          <w:rStyle w:val="af7"/>
          <w:rFonts w:eastAsia="Guttman Rashi"/>
          <w:rtl/>
        </w:rPr>
        <w:fldChar w:fldCharType="begin"/>
      </w:r>
      <w:r w:rsidRPr="003838B9">
        <w:rPr>
          <w:rStyle w:val="af7"/>
          <w:rFonts w:eastAsia="Guttman Rashi"/>
          <w:rtl/>
        </w:rPr>
        <w:instrText xml:space="preserve"> </w:instrText>
      </w:r>
      <w:r w:rsidRPr="003838B9">
        <w:rPr>
          <w:rStyle w:val="af7"/>
          <w:rFonts w:eastAsia="Guttman Rashi" w:hint="cs"/>
        </w:rPr>
        <w:instrText>REF</w:instrText>
      </w:r>
      <w:r w:rsidRPr="003838B9">
        <w:rPr>
          <w:rStyle w:val="af7"/>
          <w:rFonts w:eastAsia="Guttman Rashi" w:hint="cs"/>
          <w:rtl/>
        </w:rPr>
        <w:instrText xml:space="preserve"> _</w:instrText>
      </w:r>
      <w:r w:rsidRPr="003838B9">
        <w:rPr>
          <w:rStyle w:val="af7"/>
          <w:rFonts w:eastAsia="Guttman Rashi" w:hint="cs"/>
        </w:rPr>
        <w:instrText>Ref54627930 \r \h</w:instrText>
      </w:r>
      <w:r w:rsidRPr="003838B9">
        <w:rPr>
          <w:rStyle w:val="af7"/>
          <w:rFonts w:eastAsia="Guttman Rashi"/>
          <w:rtl/>
        </w:rPr>
        <w:instrText xml:space="preserve">  \* </w:instrText>
      </w:r>
      <w:r w:rsidRPr="003838B9">
        <w:rPr>
          <w:rStyle w:val="af7"/>
          <w:rFonts w:eastAsia="Guttman Rashi"/>
        </w:rPr>
        <w:instrText>MERGEFORMAT</w:instrText>
      </w:r>
      <w:r w:rsidRPr="003838B9">
        <w:rPr>
          <w:rStyle w:val="af7"/>
          <w:rFonts w:eastAsia="Guttman Rashi"/>
          <w:rtl/>
        </w:rPr>
        <w:instrText xml:space="preserve"> </w:instrText>
      </w:r>
      <w:r w:rsidRPr="003838B9">
        <w:rPr>
          <w:rStyle w:val="af7"/>
          <w:rFonts w:eastAsia="Guttman Rashi"/>
          <w:rtl/>
        </w:rPr>
      </w:r>
      <w:r w:rsidRPr="003838B9">
        <w:rPr>
          <w:rStyle w:val="af7"/>
          <w:rFonts w:eastAsia="Guttman Rashi"/>
          <w:rtl/>
        </w:rPr>
        <w:fldChar w:fldCharType="separate"/>
      </w:r>
      <w:r w:rsidR="00265073">
        <w:rPr>
          <w:rStyle w:val="af7"/>
          <w:rFonts w:eastAsia="Guttman Rashi"/>
          <w:cs/>
        </w:rPr>
        <w:t>‎</w:t>
      </w:r>
      <w:r w:rsidR="00265073">
        <w:rPr>
          <w:rStyle w:val="af7"/>
          <w:rFonts w:eastAsia="Guttman Rashi"/>
          <w:rtl/>
        </w:rPr>
        <w:t>נג)</w:t>
      </w:r>
      <w:r w:rsidRPr="003838B9">
        <w:rPr>
          <w:rStyle w:val="af7"/>
          <w:rFonts w:eastAsia="Guttman Rashi"/>
          <w:rtl/>
        </w:rPr>
        <w:fldChar w:fldCharType="end"/>
      </w:r>
      <w:r w:rsidRPr="001D1883">
        <w:rPr>
          <w:rFonts w:hint="cs"/>
          <w:rtl/>
        </w:rPr>
        <w:t xml:space="preserve">, וכדביאר </w:t>
      </w:r>
      <w:r w:rsidRPr="001D1883">
        <w:rPr>
          <w:rStyle w:val="af9"/>
          <w:rFonts w:hint="cs"/>
          <w:rtl/>
        </w:rPr>
        <w:t>הרמב"ן</w:t>
      </w:r>
      <w:r w:rsidRPr="001D1883">
        <w:rPr>
          <w:rFonts w:hint="cs"/>
          <w:rtl/>
        </w:rPr>
        <w:t xml:space="preserve"> </w:t>
      </w:r>
      <w:r w:rsidRPr="0056329F">
        <w:rPr>
          <w:rStyle w:val="af7"/>
          <w:rFonts w:eastAsia="Guttman Hodes" w:hint="cs"/>
          <w:rtl/>
        </w:rPr>
        <w:t xml:space="preserve">(עי' אות </w:t>
      </w:r>
      <w:r w:rsidRPr="0056329F">
        <w:rPr>
          <w:rStyle w:val="af7"/>
          <w:rFonts w:eastAsia="Guttman Hodes"/>
          <w:rtl/>
        </w:rPr>
        <w:fldChar w:fldCharType="begin"/>
      </w:r>
      <w:r w:rsidRPr="0056329F">
        <w:rPr>
          <w:rStyle w:val="af7"/>
          <w:rFonts w:eastAsia="Guttman Hodes"/>
          <w:rtl/>
        </w:rPr>
        <w:instrText xml:space="preserve"> </w:instrText>
      </w:r>
      <w:r w:rsidRPr="0056329F">
        <w:rPr>
          <w:rStyle w:val="af7"/>
          <w:rFonts w:eastAsia="Guttman Hodes" w:hint="cs"/>
        </w:rPr>
        <w:instrText>REF</w:instrText>
      </w:r>
      <w:r w:rsidRPr="0056329F">
        <w:rPr>
          <w:rStyle w:val="af7"/>
          <w:rFonts w:eastAsia="Guttman Hodes" w:hint="cs"/>
          <w:rtl/>
        </w:rPr>
        <w:instrText xml:space="preserve"> _</w:instrText>
      </w:r>
      <w:r w:rsidRPr="0056329F">
        <w:rPr>
          <w:rStyle w:val="af7"/>
          <w:rFonts w:eastAsia="Guttman Hodes" w:hint="cs"/>
        </w:rPr>
        <w:instrText>Ref55378813 \r \h</w:instrText>
      </w:r>
      <w:r w:rsidRPr="0056329F">
        <w:rPr>
          <w:rStyle w:val="af7"/>
          <w:rFonts w:eastAsia="Guttman Hodes"/>
          <w:rtl/>
        </w:rPr>
        <w:instrText xml:space="preserve"> </w:instrText>
      </w:r>
      <w:r w:rsidRPr="0056329F">
        <w:rPr>
          <w:rStyle w:val="af7"/>
          <w:rFonts w:eastAsia="Guttman Hodes"/>
          <w:rtl/>
        </w:rPr>
      </w:r>
      <w:r w:rsidRPr="0056329F">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56329F">
        <w:rPr>
          <w:rStyle w:val="af7"/>
          <w:rFonts w:eastAsia="Guttman Hodes"/>
          <w:rtl/>
        </w:rPr>
        <w:fldChar w:fldCharType="end"/>
      </w:r>
      <w:r w:rsidRPr="0056329F">
        <w:rPr>
          <w:rStyle w:val="af7"/>
          <w:rFonts w:eastAsia="Guttman Hodes" w:hint="cs"/>
          <w:rtl/>
        </w:rPr>
        <w:t xml:space="preserve"> </w:t>
      </w:r>
      <w:r w:rsidRPr="001D1883">
        <w:rPr>
          <w:rFonts w:hint="cs"/>
          <w:rtl/>
        </w:rPr>
        <w:t>דכל קושית הגמ' היא להולכי אושא דילפינן חזקת ג"ש משור המועד, אבל לרבנן דטעמא דחזקה דעד ג"ש אדם נזהר בשטרו, לא קשה.</w:t>
      </w:r>
      <w:bookmarkEnd w:id="3684"/>
    </w:p>
    <w:p w:rsidR="007A505A" w:rsidRPr="001D1883" w:rsidRDefault="007A505A" w:rsidP="007A505A">
      <w:pPr>
        <w:pStyle w:val="a3"/>
        <w:rPr>
          <w:rtl/>
        </w:rPr>
      </w:pPr>
      <w:bookmarkStart w:id="3685" w:name="_Toc55386269"/>
      <w:bookmarkStart w:id="3686" w:name="_Toc55391189"/>
      <w:r>
        <w:rPr>
          <w:rFonts w:hint="cs"/>
          <w:rtl/>
        </w:rPr>
        <w:t>ביאור הגרנ"פ ברש"י וברמב"ן דלהולכי אושא המחזיק מוחזק והמחאה עושה ריעותא בחזקתו</w:t>
      </w:r>
      <w:bookmarkEnd w:id="3685"/>
      <w:bookmarkEnd w:id="3686"/>
    </w:p>
    <w:p w:rsidR="007A505A" w:rsidRPr="007B0820" w:rsidRDefault="007A505A" w:rsidP="007E4E81">
      <w:pPr>
        <w:pStyle w:val="a0"/>
        <w:rPr>
          <w:rStyle w:val="afb"/>
          <w:rtl/>
        </w:rPr>
      </w:pPr>
      <w:bookmarkStart w:id="3687" w:name="_Ref55147610"/>
      <w:bookmarkStart w:id="3688" w:name="_Ref55390731"/>
      <w:r w:rsidRPr="001D1883">
        <w:rPr>
          <w:rFonts w:hint="cs"/>
          <w:rtl/>
        </w:rPr>
        <w:t xml:space="preserve">וכתב </w:t>
      </w:r>
      <w:r w:rsidRPr="0056329F">
        <w:rPr>
          <w:rStyle w:val="af9"/>
          <w:rFonts w:hint="cs"/>
          <w:rtl/>
        </w:rPr>
        <w:t>בחי' רבי נחום</w:t>
      </w:r>
      <w:r w:rsidRPr="001D1883">
        <w:rPr>
          <w:rStyle w:val="af9"/>
          <w:rFonts w:hint="cs"/>
          <w:rtl/>
        </w:rPr>
        <w:t xml:space="preserve"> דרש"י והרמב"ן</w:t>
      </w:r>
      <w:r w:rsidRPr="001D1883">
        <w:rPr>
          <w:rFonts w:hint="cs"/>
          <w:rtl/>
        </w:rPr>
        <w:t xml:space="preserve"> לשיטתייהו דביארו </w:t>
      </w:r>
      <w:r w:rsidRPr="00EF5937">
        <w:rPr>
          <w:rStyle w:val="af9"/>
          <w:rFonts w:hint="cs"/>
          <w:rtl/>
        </w:rPr>
        <w:t xml:space="preserve">רש"י </w:t>
      </w:r>
      <w:r w:rsidRPr="008559E7">
        <w:rPr>
          <w:rStyle w:val="af7"/>
          <w:rFonts w:eastAsia="Guttman Hodes" w:hint="cs"/>
          <w:rtl/>
        </w:rPr>
        <w:t>(ד</w:t>
      </w:r>
      <w:r w:rsidRPr="008559E7">
        <w:rPr>
          <w:rStyle w:val="af7"/>
          <w:rFonts w:eastAsia="Guttman Hodes"/>
          <w:rtl/>
        </w:rPr>
        <w:t>"</w:t>
      </w:r>
      <w:r w:rsidRPr="008559E7">
        <w:rPr>
          <w:rStyle w:val="af7"/>
          <w:rFonts w:eastAsia="Guttman Hodes" w:hint="cs"/>
          <w:rtl/>
        </w:rPr>
        <w:t>ה התם, ד</w:t>
      </w:r>
      <w:r w:rsidRPr="008559E7">
        <w:rPr>
          <w:rStyle w:val="af7"/>
          <w:rFonts w:eastAsia="Guttman Hodes"/>
          <w:rtl/>
        </w:rPr>
        <w:t>"</w:t>
      </w:r>
      <w:r w:rsidRPr="008559E7">
        <w:rPr>
          <w:rStyle w:val="af7"/>
          <w:rFonts w:eastAsia="Guttman Hodes" w:hint="cs"/>
          <w:rtl/>
        </w:rPr>
        <w:t>ה ומשני, הובא בסימן ג' אות ה')</w:t>
      </w:r>
      <w:r w:rsidRPr="001D1883">
        <w:rPr>
          <w:rFonts w:hint="cs"/>
          <w:rtl/>
        </w:rPr>
        <w:t xml:space="preserve"> </w:t>
      </w:r>
      <w:r w:rsidRPr="001D1883">
        <w:rPr>
          <w:rStyle w:val="af9"/>
          <w:rFonts w:hint="cs"/>
          <w:rtl/>
        </w:rPr>
        <w:t>והרמב"ן</w:t>
      </w:r>
      <w:r w:rsidRPr="001D1883">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EF5937">
        <w:rPr>
          <w:rStyle w:val="af7"/>
          <w:rFonts w:eastAsia="Guttman Hodes" w:hint="cs"/>
          <w:rtl/>
        </w:rPr>
        <w:t>משור</w:t>
      </w:r>
      <w:r w:rsidRPr="001D1883">
        <w:rPr>
          <w:rStyle w:val="af7"/>
          <w:rFonts w:eastAsia="Guttman Hodes" w:hint="cs"/>
          <w:rtl/>
        </w:rPr>
        <w:t xml:space="preserve">, הובא בסימן </w:t>
      </w:r>
      <w:r>
        <w:rPr>
          <w:rStyle w:val="af7"/>
          <w:rFonts w:eastAsia="Guttman Hodes" w:hint="cs"/>
          <w:rtl/>
        </w:rPr>
        <w:t>ג</w:t>
      </w:r>
      <w:r w:rsidRPr="001D1883">
        <w:rPr>
          <w:rStyle w:val="af7"/>
          <w:rFonts w:eastAsia="Guttman Hodes" w:hint="cs"/>
          <w:rtl/>
        </w:rPr>
        <w:t xml:space="preserve">' אות </w:t>
      </w:r>
      <w:r>
        <w:rPr>
          <w:rStyle w:val="af7"/>
          <w:rFonts w:eastAsia="Guttman Hodes" w:hint="cs"/>
          <w:rtl/>
        </w:rPr>
        <w:t>ט'</w:t>
      </w:r>
      <w:r w:rsidRPr="001D1883">
        <w:rPr>
          <w:rStyle w:val="af7"/>
          <w:rFonts w:eastAsia="Guttman Hodes" w:hint="cs"/>
          <w:rtl/>
        </w:rPr>
        <w:t>)</w:t>
      </w:r>
      <w:r w:rsidRPr="001D1883">
        <w:rPr>
          <w:rFonts w:hint="cs"/>
          <w:rtl/>
        </w:rPr>
        <w:t xml:space="preserve"> בילפותא משור המועד דבג' אכילות המחזיק נעשה למוחזק בקרקע, וא"כ אף כשמחה המערער במחזיק, מ"מ עדיין הוא</w:t>
      </w:r>
      <w:r w:rsidR="00A77F33">
        <w:rPr>
          <w:rFonts w:hint="cs"/>
          <w:rtl/>
        </w:rPr>
        <w:t xml:space="preserve"> </w:t>
      </w:r>
      <w:r w:rsidRPr="001D1883">
        <w:rPr>
          <w:rFonts w:hint="cs"/>
          <w:rtl/>
        </w:rPr>
        <w:t xml:space="preserve">מוחזק דהא אכל ג' אכילות, ולכן ביארו </w:t>
      </w:r>
      <w:r w:rsidRPr="001D1883">
        <w:rPr>
          <w:rStyle w:val="af9"/>
          <w:rFonts w:hint="cs"/>
          <w:rtl/>
        </w:rPr>
        <w:t>רש"י והרמב</w:t>
      </w:r>
      <w:r w:rsidRPr="008557FC">
        <w:rPr>
          <w:rStyle w:val="af9"/>
          <w:rFonts w:hint="cs"/>
          <w:rtl/>
        </w:rPr>
        <w:t>"ן</w:t>
      </w:r>
      <w:r w:rsidRPr="001D1883">
        <w:rPr>
          <w:rFonts w:hint="cs"/>
          <w:rtl/>
        </w:rPr>
        <w:t xml:space="preserve"> דהמחאה היא בכדי שיזהר בשטרו, וכל שלא נזהר בשטרו יש ריעותא בחזקתו ואינה חזקה, </w:t>
      </w:r>
      <w:r w:rsidRPr="001D1883">
        <w:rPr>
          <w:rStyle w:val="afb"/>
          <w:rFonts w:hint="cs"/>
          <w:rtl/>
        </w:rPr>
        <w:t xml:space="preserve">[וכתב </w:t>
      </w:r>
      <w:r w:rsidRPr="001D1883">
        <w:rPr>
          <w:rStyle w:val="affa"/>
          <w:rFonts w:hint="cs"/>
          <w:rtl/>
        </w:rPr>
        <w:t>בחי' רבי נחום</w:t>
      </w:r>
      <w:r w:rsidRPr="001D1883">
        <w:rPr>
          <w:rStyle w:val="afb"/>
          <w:rFonts w:hint="cs"/>
          <w:rtl/>
        </w:rPr>
        <w:t xml:space="preserve"> דכן מפורש בדברי </w:t>
      </w:r>
      <w:r w:rsidRPr="001D1883">
        <w:rPr>
          <w:rStyle w:val="affa"/>
          <w:rFonts w:hint="cs"/>
          <w:rtl/>
        </w:rPr>
        <w:t>הרמב"ן</w:t>
      </w:r>
      <w:r w:rsidRPr="001D1883">
        <w:rPr>
          <w:rStyle w:val="afb"/>
          <w:rFonts w:hint="cs"/>
          <w:rtl/>
        </w:rPr>
        <w:t xml:space="preserve"> </w:t>
      </w:r>
      <w:r w:rsidRPr="00A3323E">
        <w:rPr>
          <w:rStyle w:val="aff6"/>
          <w:rFonts w:hint="cs"/>
          <w:rtl/>
        </w:rPr>
        <w:t xml:space="preserve">(עי' אות </w:t>
      </w:r>
      <w:r w:rsidRPr="00A3323E">
        <w:rPr>
          <w:rStyle w:val="aff6"/>
          <w:rtl/>
        </w:rPr>
        <w:fldChar w:fldCharType="begin"/>
      </w:r>
      <w:r w:rsidRPr="00A3323E">
        <w:rPr>
          <w:rStyle w:val="aff6"/>
          <w:rtl/>
        </w:rPr>
        <w:instrText xml:space="preserve"> </w:instrText>
      </w:r>
      <w:r w:rsidRPr="00A3323E">
        <w:rPr>
          <w:rStyle w:val="aff6"/>
          <w:rFonts w:hint="cs"/>
        </w:rPr>
        <w:instrText>REF</w:instrText>
      </w:r>
      <w:r w:rsidRPr="00A3323E">
        <w:rPr>
          <w:rStyle w:val="aff6"/>
          <w:rFonts w:hint="cs"/>
          <w:rtl/>
        </w:rPr>
        <w:instrText xml:space="preserve"> _</w:instrText>
      </w:r>
      <w:r w:rsidRPr="00A3323E">
        <w:rPr>
          <w:rStyle w:val="aff6"/>
          <w:rFonts w:hint="cs"/>
        </w:rPr>
        <w:instrText>Ref55378949 \r \h</w:instrText>
      </w:r>
      <w:r w:rsidRPr="00A3323E">
        <w:rPr>
          <w:rStyle w:val="aff6"/>
          <w:rtl/>
        </w:rPr>
        <w:instrText xml:space="preserve"> </w:instrText>
      </w:r>
      <w:r w:rsidRPr="00A3323E">
        <w:rPr>
          <w:rStyle w:val="aff6"/>
          <w:rtl/>
        </w:rPr>
      </w:r>
      <w:r w:rsidRPr="00A3323E">
        <w:rPr>
          <w:rStyle w:val="aff6"/>
          <w:rtl/>
        </w:rPr>
        <w:fldChar w:fldCharType="separate"/>
      </w:r>
      <w:r w:rsidR="00265073">
        <w:rPr>
          <w:rStyle w:val="aff6"/>
          <w:cs/>
        </w:rPr>
        <w:t>‎</w:t>
      </w:r>
      <w:r w:rsidR="00265073">
        <w:rPr>
          <w:rStyle w:val="aff6"/>
          <w:rtl/>
        </w:rPr>
        <w:t>נג)</w:t>
      </w:r>
      <w:r w:rsidRPr="00A3323E">
        <w:rPr>
          <w:rStyle w:val="aff6"/>
          <w:rtl/>
        </w:rPr>
        <w:fldChar w:fldCharType="end"/>
      </w:r>
      <w:r w:rsidRPr="001D1883">
        <w:rPr>
          <w:rStyle w:val="afb"/>
          <w:rFonts w:hint="cs"/>
          <w:rtl/>
        </w:rPr>
        <w:t xml:space="preserve"> דכתב דודאי דאף בילפותא משור המועד ידעה הגמ' דהמחאה היא בכדי שיזהר בשטרו, דאל"ה למאי מהני המחאה],</w:t>
      </w:r>
      <w:r w:rsidRPr="001D1883">
        <w:rPr>
          <w:rFonts w:hint="cs"/>
          <w:rtl/>
        </w:rPr>
        <w:t xml:space="preserve"> והוסיף </w:t>
      </w:r>
      <w:r w:rsidRPr="001D1883">
        <w:rPr>
          <w:rStyle w:val="af9"/>
          <w:rFonts w:hint="cs"/>
          <w:rtl/>
        </w:rPr>
        <w:t>בחי' רבי נחום דלרש"י והרמב"ן</w:t>
      </w:r>
      <w:r w:rsidRPr="001D1883">
        <w:rPr>
          <w:rFonts w:hint="cs"/>
          <w:rtl/>
        </w:rPr>
        <w:t xml:space="preserve"> קושית הגמ' היא כפשוטה, דכל שאינו מוחה בפניו, לא ישמע המחזיק ולא יזהר בשטרו.</w:t>
      </w:r>
      <w:bookmarkEnd w:id="3687"/>
      <w:r>
        <w:rPr>
          <w:rFonts w:hint="cs"/>
          <w:rtl/>
        </w:rPr>
        <w:t xml:space="preserve"> </w:t>
      </w:r>
      <w:r w:rsidRPr="007B0820">
        <w:rPr>
          <w:rStyle w:val="afb"/>
          <w:rFonts w:hint="cs"/>
          <w:rtl/>
        </w:rPr>
        <w:t>[</w:t>
      </w:r>
      <w:r w:rsidRPr="007B0820">
        <w:rPr>
          <w:rStyle w:val="afb"/>
          <w:rtl/>
        </w:rPr>
        <w:t>וכ</w:t>
      </w:r>
      <w:r w:rsidRPr="007B0820">
        <w:rPr>
          <w:rStyle w:val="afb"/>
          <w:rFonts w:hint="cs"/>
          <w:rtl/>
        </w:rPr>
        <w:t>"כ</w:t>
      </w:r>
      <w:r w:rsidRPr="007B0820">
        <w:rPr>
          <w:rStyle w:val="afb"/>
          <w:rtl/>
        </w:rPr>
        <w:t xml:space="preserve"> </w:t>
      </w:r>
      <w:r w:rsidRPr="007B0820">
        <w:rPr>
          <w:rStyle w:val="affa"/>
          <w:rtl/>
        </w:rPr>
        <w:t>הר"ן</w:t>
      </w:r>
      <w:r w:rsidRPr="007B0820">
        <w:rPr>
          <w:rStyle w:val="afb"/>
          <w:rtl/>
        </w:rPr>
        <w:t xml:space="preserve"> </w:t>
      </w:r>
      <w:r w:rsidRPr="007B0820">
        <w:rPr>
          <w:rStyle w:val="aff6"/>
          <w:rFonts w:hint="cs"/>
          <w:rtl/>
        </w:rPr>
        <w:t xml:space="preserve">(עי' אות </w:t>
      </w:r>
      <w:r w:rsidRPr="007B0820">
        <w:rPr>
          <w:rStyle w:val="aff6"/>
          <w:rtl/>
        </w:rPr>
        <w:fldChar w:fldCharType="begin"/>
      </w:r>
      <w:r w:rsidRPr="007B0820">
        <w:rPr>
          <w:rStyle w:val="aff6"/>
          <w:rtl/>
        </w:rPr>
        <w:instrText xml:space="preserve"> </w:instrText>
      </w:r>
      <w:r w:rsidRPr="007B0820">
        <w:rPr>
          <w:rStyle w:val="aff6"/>
          <w:rFonts w:hint="cs"/>
        </w:rPr>
        <w:instrText>REF</w:instrText>
      </w:r>
      <w:r w:rsidRPr="007B0820">
        <w:rPr>
          <w:rStyle w:val="aff6"/>
          <w:rFonts w:hint="cs"/>
          <w:rtl/>
        </w:rPr>
        <w:instrText xml:space="preserve"> _</w:instrText>
      </w:r>
      <w:r w:rsidRPr="007B0820">
        <w:rPr>
          <w:rStyle w:val="aff6"/>
          <w:rFonts w:hint="cs"/>
        </w:rPr>
        <w:instrText>Ref55390660 \r \h</w:instrText>
      </w:r>
      <w:r w:rsidRPr="007B0820">
        <w:rPr>
          <w:rStyle w:val="aff6"/>
          <w:rtl/>
        </w:rPr>
        <w:instrText xml:space="preserve"> </w:instrText>
      </w:r>
      <w:r w:rsidRPr="007B0820">
        <w:rPr>
          <w:rStyle w:val="aff6"/>
          <w:rtl/>
        </w:rPr>
      </w:r>
      <w:r w:rsidRPr="007B0820">
        <w:rPr>
          <w:rStyle w:val="aff6"/>
          <w:rtl/>
        </w:rPr>
        <w:fldChar w:fldCharType="separate"/>
      </w:r>
      <w:r w:rsidR="00265073">
        <w:rPr>
          <w:rStyle w:val="aff6"/>
          <w:cs/>
        </w:rPr>
        <w:t>‎</w:t>
      </w:r>
      <w:r w:rsidR="00265073">
        <w:rPr>
          <w:rStyle w:val="aff6"/>
          <w:rtl/>
        </w:rPr>
        <w:t>מג)</w:t>
      </w:r>
      <w:r w:rsidRPr="007B0820">
        <w:rPr>
          <w:rStyle w:val="aff6"/>
          <w:rtl/>
        </w:rPr>
        <w:fldChar w:fldCharType="end"/>
      </w:r>
      <w:r w:rsidRPr="007B0820">
        <w:rPr>
          <w:rStyle w:val="aff6"/>
          <w:rFonts w:hint="cs"/>
          <w:rtl/>
        </w:rPr>
        <w:t xml:space="preserve"> </w:t>
      </w:r>
      <w:r w:rsidRPr="007B0820">
        <w:rPr>
          <w:rStyle w:val="afb"/>
          <w:rFonts w:hint="cs"/>
          <w:rtl/>
        </w:rPr>
        <w:t>להדיא בדעת</w:t>
      </w:r>
      <w:r w:rsidRPr="007B0820">
        <w:rPr>
          <w:rStyle w:val="afb"/>
          <w:rtl/>
        </w:rPr>
        <w:t xml:space="preserve"> </w:t>
      </w:r>
      <w:r w:rsidRPr="007B0820">
        <w:rPr>
          <w:rStyle w:val="affa"/>
          <w:rtl/>
        </w:rPr>
        <w:t>רש"י</w:t>
      </w:r>
      <w:r w:rsidRPr="007B0820">
        <w:rPr>
          <w:rStyle w:val="afb"/>
          <w:rtl/>
        </w:rPr>
        <w:t xml:space="preserve"> דאף דחזקה אינ</w:t>
      </w:r>
      <w:r w:rsidRPr="007B0820">
        <w:rPr>
          <w:rStyle w:val="afb"/>
          <w:rFonts w:hint="cs"/>
          <w:rtl/>
        </w:rPr>
        <w:t>ה</w:t>
      </w:r>
      <w:r w:rsidRPr="007B0820">
        <w:rPr>
          <w:rStyle w:val="afb"/>
          <w:rtl/>
        </w:rPr>
        <w:t xml:space="preserve"> מחמת השטר, מ"מ כל שלא נזהר בשטרו יש ריעותא בחזקתו</w:t>
      </w:r>
      <w:r w:rsidRPr="007B0820">
        <w:rPr>
          <w:rStyle w:val="afb"/>
          <w:rFonts w:hint="cs"/>
          <w:rtl/>
        </w:rPr>
        <w:t>].</w:t>
      </w:r>
      <w:bookmarkEnd w:id="3688"/>
    </w:p>
    <w:p w:rsidR="007A505A" w:rsidRPr="001D1883" w:rsidRDefault="007A505A" w:rsidP="007A505A">
      <w:pPr>
        <w:pStyle w:val="a3"/>
        <w:rPr>
          <w:rtl/>
        </w:rPr>
      </w:pPr>
      <w:bookmarkStart w:id="3689" w:name="_Toc55386270"/>
      <w:bookmarkStart w:id="3690" w:name="_Toc55391190"/>
      <w:r>
        <w:rPr>
          <w:rFonts w:hint="cs"/>
          <w:rtl/>
        </w:rPr>
        <w:t>ביאור הגרנ"פ ברמב"ן דג"ש נעשה מוחזק וע"י המחאה צריך להזהר בשטר דעדיין לא הוחזק</w:t>
      </w:r>
      <w:bookmarkEnd w:id="3689"/>
      <w:bookmarkEnd w:id="3690"/>
    </w:p>
    <w:p w:rsidR="007A505A" w:rsidRDefault="007A505A" w:rsidP="007E4E81">
      <w:pPr>
        <w:pStyle w:val="a0"/>
        <w:rPr>
          <w:rtl/>
        </w:rPr>
      </w:pPr>
      <w:bookmarkStart w:id="3691" w:name="_Ref55381060"/>
      <w:r>
        <w:rPr>
          <w:rFonts w:hint="cs"/>
          <w:rtl/>
        </w:rPr>
        <w:t>ובעיקר דברי</w:t>
      </w:r>
      <w:r w:rsidRPr="001D1883">
        <w:rPr>
          <w:rFonts w:hint="cs"/>
          <w:rtl/>
        </w:rPr>
        <w:t xml:space="preserve"> </w:t>
      </w:r>
      <w:r w:rsidRPr="001D1883">
        <w:rPr>
          <w:rStyle w:val="af9"/>
          <w:rFonts w:hint="cs"/>
          <w:rtl/>
        </w:rPr>
        <w:t xml:space="preserve">הרמב"ן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Ref54627930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 xml:space="preserve">דאף בילפותא משור המועד ידעה הגמ' דהמחאה היא בכדי שיזהר בשטרו, דלאחר ג"ש אינו נזהר בשטרו, כתב </w:t>
      </w:r>
      <w:r w:rsidRPr="001D1883">
        <w:rPr>
          <w:rStyle w:val="af9"/>
          <w:rFonts w:hint="cs"/>
          <w:rtl/>
        </w:rPr>
        <w:t>בחי' רבי נחום</w:t>
      </w:r>
      <w:r w:rsidRPr="001D1883">
        <w:rPr>
          <w:rFonts w:hint="cs"/>
          <w:rtl/>
        </w:rPr>
        <w:t xml:space="preserve"> </w:t>
      </w:r>
      <w:r w:rsidRPr="001D1883">
        <w:rPr>
          <w:rStyle w:val="af7"/>
          <w:rFonts w:eastAsia="Guttman Hodes" w:hint="cs"/>
          <w:rtl/>
        </w:rPr>
        <w:t>(או' ט"ז ד"ה ובעיקר)</w:t>
      </w:r>
      <w:r w:rsidRPr="001D1883">
        <w:rPr>
          <w:rFonts w:hint="cs"/>
          <w:rtl/>
        </w:rPr>
        <w:t xml:space="preserve"> דמשמע מלשון </w:t>
      </w:r>
      <w:r w:rsidRPr="001D1883">
        <w:rPr>
          <w:rStyle w:val="af9"/>
          <w:rFonts w:hint="cs"/>
          <w:rtl/>
        </w:rPr>
        <w:t>הרמב"ן</w:t>
      </w:r>
      <w:r w:rsidRPr="001D1883">
        <w:rPr>
          <w:rFonts w:hint="cs"/>
          <w:rtl/>
        </w:rPr>
        <w:t xml:space="preserve"> </w:t>
      </w:r>
      <w:r w:rsidRPr="007E2012">
        <w:rPr>
          <w:rStyle w:val="af7"/>
          <w:rFonts w:eastAsia="Guttman Hodes" w:hint="cs"/>
          <w:rtl/>
        </w:rPr>
        <w:t xml:space="preserve">(עי' אות </w:t>
      </w:r>
      <w:r w:rsidRPr="007E2012">
        <w:rPr>
          <w:rStyle w:val="af7"/>
          <w:rFonts w:eastAsia="Guttman Hodes"/>
          <w:rtl/>
        </w:rPr>
        <w:fldChar w:fldCharType="begin"/>
      </w:r>
      <w:r w:rsidRPr="007E2012">
        <w:rPr>
          <w:rStyle w:val="af7"/>
          <w:rFonts w:eastAsia="Guttman Hodes"/>
          <w:rtl/>
        </w:rPr>
        <w:instrText xml:space="preserve"> </w:instrText>
      </w:r>
      <w:r w:rsidRPr="007E2012">
        <w:rPr>
          <w:rStyle w:val="af7"/>
          <w:rFonts w:eastAsia="Guttman Hodes" w:hint="cs"/>
        </w:rPr>
        <w:instrText>REF</w:instrText>
      </w:r>
      <w:r w:rsidRPr="007E2012">
        <w:rPr>
          <w:rStyle w:val="af7"/>
          <w:rFonts w:eastAsia="Guttman Hodes" w:hint="cs"/>
          <w:rtl/>
        </w:rPr>
        <w:instrText xml:space="preserve"> _</w:instrText>
      </w:r>
      <w:r w:rsidRPr="007E2012">
        <w:rPr>
          <w:rStyle w:val="af7"/>
          <w:rFonts w:eastAsia="Guttman Hodes" w:hint="cs"/>
        </w:rPr>
        <w:instrText>Ref55381015 \r \h</w:instrText>
      </w:r>
      <w:r w:rsidRPr="007E2012">
        <w:rPr>
          <w:rStyle w:val="af7"/>
          <w:rFonts w:eastAsia="Guttman Hodes"/>
          <w:rtl/>
        </w:rPr>
        <w:instrText xml:space="preserve"> </w:instrText>
      </w:r>
      <w:r w:rsidRPr="007E2012">
        <w:rPr>
          <w:rStyle w:val="af7"/>
          <w:rFonts w:eastAsia="Guttman Hodes"/>
          <w:rtl/>
        </w:rPr>
      </w:r>
      <w:r w:rsidRPr="007E2012">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7E2012">
        <w:rPr>
          <w:rStyle w:val="af7"/>
          <w:rFonts w:eastAsia="Guttman Hodes"/>
          <w:rtl/>
        </w:rPr>
        <w:fldChar w:fldCharType="end"/>
      </w:r>
      <w:r>
        <w:rPr>
          <w:rFonts w:hint="cs"/>
          <w:rtl/>
        </w:rPr>
        <w:t xml:space="preserve"> </w:t>
      </w:r>
      <w:r w:rsidRPr="001D1883">
        <w:rPr>
          <w:rFonts w:hint="cs"/>
          <w:rtl/>
        </w:rPr>
        <w:t xml:space="preserve">דג"ש אינו שיעור של זמן דאדם רגיל להזהר בשטרו, אלא דלאחר ג"ש הוא נעשה למוחזק, כדביאר </w:t>
      </w:r>
      <w:r w:rsidRPr="001D1883">
        <w:rPr>
          <w:rStyle w:val="af9"/>
          <w:rFonts w:hint="cs"/>
          <w:rtl/>
        </w:rPr>
        <w:t>הרמב"ן</w:t>
      </w:r>
      <w:r w:rsidRPr="001D1883">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EF5937">
        <w:rPr>
          <w:rStyle w:val="af7"/>
          <w:rFonts w:eastAsia="Guttman Hodes" w:hint="cs"/>
          <w:rtl/>
        </w:rPr>
        <w:t>משור</w:t>
      </w:r>
      <w:r w:rsidRPr="001D1883">
        <w:rPr>
          <w:rStyle w:val="af7"/>
          <w:rFonts w:eastAsia="Guttman Hodes" w:hint="cs"/>
          <w:rtl/>
        </w:rPr>
        <w:t xml:space="preserve">, הובא בסימן </w:t>
      </w:r>
      <w:r>
        <w:rPr>
          <w:rStyle w:val="af7"/>
          <w:rFonts w:eastAsia="Guttman Hodes" w:hint="cs"/>
          <w:rtl/>
        </w:rPr>
        <w:t>ג</w:t>
      </w:r>
      <w:r w:rsidRPr="001D1883">
        <w:rPr>
          <w:rStyle w:val="af7"/>
          <w:rFonts w:eastAsia="Guttman Hodes" w:hint="cs"/>
          <w:rtl/>
        </w:rPr>
        <w:t xml:space="preserve">' אות </w:t>
      </w:r>
      <w:r>
        <w:rPr>
          <w:rStyle w:val="af7"/>
          <w:rFonts w:eastAsia="Guttman Hodes" w:hint="cs"/>
          <w:rtl/>
        </w:rPr>
        <w:t>ט'</w:t>
      </w:r>
      <w:r w:rsidRPr="001D1883">
        <w:rPr>
          <w:rStyle w:val="af7"/>
          <w:rFonts w:eastAsia="Guttman Hodes" w:hint="cs"/>
          <w:rtl/>
        </w:rPr>
        <w:t>)</w:t>
      </w:r>
      <w:r w:rsidRPr="001D1883">
        <w:rPr>
          <w:rFonts w:hint="cs"/>
          <w:rtl/>
        </w:rPr>
        <w:t xml:space="preserve"> וכיון שהוא נעשה למוחזק, ממילא אינו נזהר בשטרו, וא"כ כל שמחה בו המערער לפני שהוחזק בקרקע, הוא עדיין צריך להזהר בשטר, דהא עדיין אינו מוחזק, וכל שלא נזהר בשטרו, אמרינן ליה אחוי שטרך.</w:t>
      </w:r>
      <w:bookmarkEnd w:id="3691"/>
    </w:p>
    <w:p w:rsidR="007A505A" w:rsidRPr="008557FC" w:rsidRDefault="007A505A" w:rsidP="007A505A">
      <w:pPr>
        <w:pStyle w:val="1"/>
        <w:rPr>
          <w:rtl/>
        </w:rPr>
      </w:pPr>
      <w:bookmarkStart w:id="3692" w:name="_Toc55386271"/>
      <w:bookmarkStart w:id="3693" w:name="_Toc55391191"/>
      <w:r>
        <w:rPr>
          <w:rFonts w:hint="cs"/>
          <w:rtl/>
        </w:rPr>
        <w:t>ביאור הגרנ"פ דבהעדאה צריך בפניו רק כדי שיכחיש את העדים</w:t>
      </w:r>
      <w:bookmarkEnd w:id="3692"/>
      <w:bookmarkEnd w:id="3693"/>
      <w:r>
        <w:rPr>
          <w:rFonts w:hint="cs"/>
          <w:rtl/>
        </w:rPr>
        <w:t xml:space="preserve"> </w:t>
      </w:r>
    </w:p>
    <w:p w:rsidR="007A505A" w:rsidRPr="001D1883" w:rsidRDefault="007A505A" w:rsidP="007A505A">
      <w:pPr>
        <w:pStyle w:val="a3"/>
        <w:rPr>
          <w:rtl/>
        </w:rPr>
      </w:pPr>
      <w:bookmarkStart w:id="3694" w:name="_Toc55386272"/>
      <w:bookmarkStart w:id="3695" w:name="_Toc55391192"/>
      <w:r>
        <w:rPr>
          <w:rFonts w:hint="cs"/>
          <w:rtl/>
        </w:rPr>
        <w:t>ביאור הגרנ"פ ברש"י וברמב"ן דהעדאה דמי למחאה אלא דבהעדאה צריך להכחיש את העדים</w:t>
      </w:r>
      <w:bookmarkEnd w:id="3694"/>
      <w:bookmarkEnd w:id="3695"/>
      <w:r>
        <w:rPr>
          <w:rFonts w:hint="cs"/>
          <w:rtl/>
        </w:rPr>
        <w:t xml:space="preserve"> </w:t>
      </w:r>
    </w:p>
    <w:p w:rsidR="007A505A" w:rsidRDefault="007A505A" w:rsidP="007E4E81">
      <w:pPr>
        <w:pStyle w:val="a0"/>
        <w:rPr>
          <w:rtl/>
        </w:rPr>
      </w:pPr>
      <w:bookmarkStart w:id="3696" w:name="_Ref55318295"/>
      <w:r w:rsidRPr="001D1883">
        <w:rPr>
          <w:rFonts w:hint="cs"/>
          <w:rtl/>
        </w:rPr>
        <w:t>ובמ"ש</w:t>
      </w:r>
      <w:r w:rsidRPr="001D1883">
        <w:rPr>
          <w:rStyle w:val="af9"/>
          <w:rFonts w:hint="cs"/>
          <w:rtl/>
        </w:rPr>
        <w:t xml:space="preserve"> רש"י</w:t>
      </w:r>
      <w:r w:rsidRPr="001D1883">
        <w:rPr>
          <w:rFonts w:hint="cs"/>
          <w:rtl/>
        </w:rPr>
        <w:t xml:space="preserve"> </w:t>
      </w:r>
      <w:r w:rsidRPr="001D1883">
        <w:rPr>
          <w:rStyle w:val="af9"/>
          <w:rFonts w:hint="cs"/>
          <w:rtl/>
        </w:rPr>
        <w:t>והרמב"ן</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Ref55121456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בתירוץ הגמ' דחברך חברא אית ליה, דההעדאה היא בפני הבעלים, בכדי שידע שעליו לטעון טענות דשורו אינו מועד, ולהכחיש את העדים או להזימן, ביאר</w:t>
      </w:r>
      <w:r w:rsidRPr="001D1883">
        <w:rPr>
          <w:rStyle w:val="af9"/>
          <w:rFonts w:hint="cs"/>
          <w:rtl/>
        </w:rPr>
        <w:t xml:space="preserve"> בחי' רבי </w:t>
      </w:r>
      <w:r w:rsidRPr="001D1883">
        <w:rPr>
          <w:rStyle w:val="af9"/>
          <w:rFonts w:hint="cs"/>
          <w:rtl/>
        </w:rPr>
        <w:t xml:space="preserve">נחום </w:t>
      </w:r>
      <w:r w:rsidRPr="001D1883">
        <w:rPr>
          <w:rStyle w:val="af7"/>
          <w:rFonts w:eastAsia="Guttman Hodes" w:hint="cs"/>
          <w:rtl/>
        </w:rPr>
        <w:t>(או' ט"ז</w:t>
      </w:r>
      <w:r>
        <w:rPr>
          <w:rStyle w:val="af7"/>
          <w:rFonts w:eastAsia="Guttman Hodes" w:hint="cs"/>
          <w:rtl/>
        </w:rPr>
        <w:t xml:space="preserve"> ד"ה אלא מעתה</w:t>
      </w:r>
      <w:r w:rsidRPr="001D1883">
        <w:rPr>
          <w:rStyle w:val="af7"/>
          <w:rFonts w:eastAsia="Guttman Hodes" w:hint="cs"/>
          <w:rtl/>
        </w:rPr>
        <w:t>)</w:t>
      </w:r>
      <w:r w:rsidRPr="001D1883">
        <w:rPr>
          <w:rFonts w:hint="cs"/>
          <w:rtl/>
        </w:rPr>
        <w:t xml:space="preserve"> דלולי סברא זו אין כל חילוק בין מחאה להעדאה, דהא בהעדאה ובמחאה הכוונה היא להתרות בבעלים ובמחזיק, ולכן ביארו דבהעדאה צריך בפניו כדי שיוכל להכחיש את העדים.</w:t>
      </w:r>
      <w:bookmarkEnd w:id="3696"/>
    </w:p>
    <w:p w:rsidR="007A505A" w:rsidRPr="00EC174C" w:rsidRDefault="007A505A" w:rsidP="007A505A">
      <w:pPr>
        <w:pStyle w:val="1"/>
        <w:rPr>
          <w:rtl/>
        </w:rPr>
      </w:pPr>
      <w:bookmarkStart w:id="3697" w:name="_Toc55386273"/>
      <w:bookmarkStart w:id="3698" w:name="_Toc55391193"/>
      <w:r>
        <w:rPr>
          <w:rFonts w:hint="cs"/>
          <w:rtl/>
        </w:rPr>
        <w:t>קושית הגרנ"פ בסתירת דברי רש"י בטעם החזקה</w:t>
      </w:r>
      <w:bookmarkEnd w:id="3697"/>
      <w:bookmarkEnd w:id="3698"/>
    </w:p>
    <w:p w:rsidR="007A505A" w:rsidRPr="001D1883" w:rsidRDefault="007A505A" w:rsidP="007A505A">
      <w:pPr>
        <w:pStyle w:val="a3"/>
        <w:rPr>
          <w:rtl/>
        </w:rPr>
      </w:pPr>
      <w:bookmarkStart w:id="3699" w:name="_Toc55386274"/>
      <w:bookmarkStart w:id="3700" w:name="_Toc55391194"/>
      <w:r>
        <w:rPr>
          <w:rFonts w:hint="cs"/>
          <w:rtl/>
        </w:rPr>
        <w:t>קושית הגרנ"פ דלרש"י בסוגיין החזקה היא ע"י האכילה ולרש"י במתני' ע"י שתיקת המערער</w:t>
      </w:r>
      <w:bookmarkEnd w:id="3699"/>
      <w:bookmarkEnd w:id="3700"/>
    </w:p>
    <w:p w:rsidR="007A505A" w:rsidRPr="001D1883" w:rsidRDefault="007A505A" w:rsidP="007E4E81">
      <w:pPr>
        <w:pStyle w:val="a0"/>
        <w:rPr>
          <w:rtl/>
        </w:rPr>
      </w:pPr>
      <w:bookmarkStart w:id="3701" w:name="_Ref55379764"/>
      <w:bookmarkStart w:id="3702" w:name="_Toc55127850"/>
      <w:r w:rsidRPr="001D1883">
        <w:rPr>
          <w:rFonts w:hint="cs"/>
          <w:rtl/>
        </w:rPr>
        <w:t xml:space="preserve">אך </w:t>
      </w:r>
      <w:r w:rsidRPr="001D1883">
        <w:rPr>
          <w:rStyle w:val="af9"/>
          <w:rFonts w:hint="cs"/>
          <w:rtl/>
        </w:rPr>
        <w:t xml:space="preserve">הקשה בחי' רבי נחום </w:t>
      </w:r>
      <w:r w:rsidRPr="001D1883">
        <w:rPr>
          <w:rStyle w:val="af7"/>
          <w:rFonts w:eastAsia="Guttman Hodes" w:hint="cs"/>
          <w:rtl/>
        </w:rPr>
        <w:t>(או' ט"ז ד"ה ואכתי)</w:t>
      </w:r>
      <w:r w:rsidRPr="001D1883">
        <w:rPr>
          <w:rFonts w:hint="cs"/>
          <w:rtl/>
        </w:rPr>
        <w:t xml:space="preserve"> דכיון דמבואר </w:t>
      </w:r>
      <w:r w:rsidRPr="001D1883">
        <w:rPr>
          <w:rStyle w:val="af9"/>
          <w:rFonts w:hint="cs"/>
          <w:rtl/>
        </w:rPr>
        <w:t xml:space="preserve">ברש"י </w:t>
      </w:r>
      <w:r w:rsidRPr="00282A82">
        <w:rPr>
          <w:rStyle w:val="af7"/>
          <w:rFonts w:eastAsia="Guttman Hodes" w:hint="cs"/>
          <w:rtl/>
        </w:rPr>
        <w:t xml:space="preserve">(עי' אות </w:t>
      </w:r>
      <w:r w:rsidRPr="00282A82">
        <w:rPr>
          <w:rStyle w:val="af7"/>
          <w:rFonts w:eastAsia="Guttman Hodes"/>
          <w:rtl/>
        </w:rPr>
        <w:fldChar w:fldCharType="begin"/>
      </w:r>
      <w:r w:rsidRPr="00282A82">
        <w:rPr>
          <w:rStyle w:val="af7"/>
          <w:rFonts w:eastAsia="Guttman Hodes"/>
          <w:rtl/>
        </w:rPr>
        <w:instrText xml:space="preserve"> </w:instrText>
      </w:r>
      <w:r w:rsidRPr="00282A82">
        <w:rPr>
          <w:rStyle w:val="af7"/>
          <w:rFonts w:eastAsia="Guttman Hodes" w:hint="cs"/>
        </w:rPr>
        <w:instrText>REF</w:instrText>
      </w:r>
      <w:r w:rsidRPr="00282A82">
        <w:rPr>
          <w:rStyle w:val="af7"/>
          <w:rFonts w:eastAsia="Guttman Hodes" w:hint="cs"/>
          <w:rtl/>
        </w:rPr>
        <w:instrText xml:space="preserve"> _</w:instrText>
      </w:r>
      <w:r w:rsidRPr="00282A82">
        <w:rPr>
          <w:rStyle w:val="af7"/>
          <w:rFonts w:eastAsia="Guttman Hodes" w:hint="cs"/>
        </w:rPr>
        <w:instrText>Ref54603459 \r \h</w:instrText>
      </w:r>
      <w:r w:rsidRPr="00282A82">
        <w:rPr>
          <w:rStyle w:val="af7"/>
          <w:rFonts w:eastAsia="Guttman Hodes"/>
          <w:rtl/>
        </w:rPr>
        <w:instrText xml:space="preserve">  \* </w:instrText>
      </w:r>
      <w:r w:rsidRPr="00282A82">
        <w:rPr>
          <w:rStyle w:val="af7"/>
          <w:rFonts w:eastAsia="Guttman Hodes"/>
        </w:rPr>
        <w:instrText>MERGEFORMAT</w:instrText>
      </w:r>
      <w:r w:rsidRPr="00282A82">
        <w:rPr>
          <w:rStyle w:val="af7"/>
          <w:rFonts w:eastAsia="Guttman Hodes"/>
          <w:rtl/>
        </w:rPr>
        <w:instrText xml:space="preserve"> </w:instrText>
      </w:r>
      <w:r w:rsidRPr="00282A82">
        <w:rPr>
          <w:rStyle w:val="af7"/>
          <w:rFonts w:eastAsia="Guttman Hodes"/>
          <w:rtl/>
        </w:rPr>
      </w:r>
      <w:r w:rsidRPr="00282A82">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282A82">
        <w:rPr>
          <w:rStyle w:val="af7"/>
          <w:rFonts w:eastAsia="Guttman Hodes"/>
          <w:rtl/>
        </w:rPr>
        <w:fldChar w:fldCharType="end"/>
      </w:r>
      <w:r w:rsidRPr="00282A82">
        <w:rPr>
          <w:rStyle w:val="af7"/>
          <w:rFonts w:eastAsia="Guttman Hodes" w:hint="cs"/>
          <w:rtl/>
        </w:rPr>
        <w:t xml:space="preserve"> </w:t>
      </w:r>
      <w:r w:rsidRPr="001D1883">
        <w:rPr>
          <w:rFonts w:hint="cs"/>
          <w:rtl/>
        </w:rPr>
        <w:t xml:space="preserve">דהמחאה היא בכדי להתרות במחזיק שישמור את שטרו, א"כ מבואר דהחזקה היא ע"י עצם האכילה, ולא מחמת שלא מחה המערער, ואילו </w:t>
      </w:r>
      <w:r w:rsidRPr="001D1883">
        <w:rPr>
          <w:rStyle w:val="af9"/>
          <w:rFonts w:hint="cs"/>
          <w:rtl/>
        </w:rPr>
        <w:t>ברש"י במתני'</w:t>
      </w:r>
      <w:r w:rsidRPr="001D1883">
        <w:rPr>
          <w:rFonts w:hint="cs"/>
          <w:rtl/>
        </w:rPr>
        <w:t xml:space="preserve"> </w:t>
      </w:r>
      <w:r w:rsidRPr="001D1883">
        <w:rPr>
          <w:rStyle w:val="af7"/>
          <w:rFonts w:eastAsia="Guttman Hodes" w:hint="cs"/>
          <w:rtl/>
        </w:rPr>
        <w:t>(ד"ה שדה בית, הובא בסימן ג' אות ו')</w:t>
      </w:r>
      <w:r w:rsidRPr="001D1883">
        <w:rPr>
          <w:rFonts w:hint="cs"/>
          <w:rtl/>
        </w:rPr>
        <w:t xml:space="preserve"> ביאר דלרבי ישמעאל סגי בי"ח חודשים, כיון שאין אדם שרואה את חבירו שזורע את שדהו בכדי לאכול פרי שראוי לשנה, והוא שותק ואינו מוחה, </w:t>
      </w:r>
      <w:r w:rsidRPr="001D1883">
        <w:rPr>
          <w:rStyle w:val="afb"/>
          <w:rFonts w:hint="cs"/>
          <w:rtl/>
        </w:rPr>
        <w:t xml:space="preserve">[וביאר </w:t>
      </w:r>
      <w:r w:rsidRPr="001D1883">
        <w:rPr>
          <w:rStyle w:val="affa"/>
          <w:rFonts w:hint="cs"/>
          <w:rtl/>
        </w:rPr>
        <w:t>בחי' רבי נחום</w:t>
      </w:r>
      <w:r w:rsidRPr="001D1883">
        <w:rPr>
          <w:rStyle w:val="afb"/>
          <w:rFonts w:hint="cs"/>
          <w:rtl/>
        </w:rPr>
        <w:t xml:space="preserve"> </w:t>
      </w:r>
      <w:r w:rsidRPr="001D1883">
        <w:rPr>
          <w:rStyle w:val="aff6"/>
          <w:rFonts w:hint="cs"/>
          <w:rtl/>
        </w:rPr>
        <w:t xml:space="preserve">(או' ה', הובא בסימן ג' אות פ"ג) </w:t>
      </w:r>
      <w:r w:rsidRPr="001D1883">
        <w:rPr>
          <w:rStyle w:val="afb"/>
          <w:rFonts w:hint="cs"/>
          <w:rtl/>
        </w:rPr>
        <w:t xml:space="preserve">דמבואר מדברי </w:t>
      </w:r>
      <w:r w:rsidRPr="001D1883">
        <w:rPr>
          <w:rStyle w:val="affa"/>
          <w:rFonts w:hint="cs"/>
          <w:rtl/>
        </w:rPr>
        <w:t>רש"י במתני'</w:t>
      </w:r>
      <w:r w:rsidRPr="001D1883">
        <w:rPr>
          <w:rStyle w:val="afb"/>
          <w:rFonts w:hint="cs"/>
          <w:rtl/>
        </w:rPr>
        <w:t xml:space="preserve"> דהראיה בחזקה היא באכילה של שנה אחת, והא דצריך ג"ש היינו כיון שצריך ראיה ג"פ כמו בשור המועד, ורק בג' ראיות יצאה הקרקע מחזקת המרא קמא לחזקת המחזיק],</w:t>
      </w:r>
      <w:r w:rsidRPr="001D1883">
        <w:rPr>
          <w:rFonts w:hint="cs"/>
          <w:rtl/>
        </w:rPr>
        <w:t xml:space="preserve"> וכתב </w:t>
      </w:r>
      <w:r w:rsidRPr="001D1883">
        <w:rPr>
          <w:rStyle w:val="af9"/>
          <w:rFonts w:hint="cs"/>
          <w:rtl/>
        </w:rPr>
        <w:t xml:space="preserve">בחי' רבי נחום </w:t>
      </w:r>
      <w:r w:rsidRPr="001D1883">
        <w:rPr>
          <w:rStyle w:val="af7"/>
          <w:rFonts w:eastAsia="Guttman Hodes" w:hint="cs"/>
          <w:rtl/>
        </w:rPr>
        <w:t>(או' ט"ז ד"ה ואכתי)</w:t>
      </w:r>
      <w:r w:rsidRPr="001D1883">
        <w:rPr>
          <w:rFonts w:hint="cs"/>
          <w:rtl/>
        </w:rPr>
        <w:t xml:space="preserve"> דא"כ מבואר </w:t>
      </w:r>
      <w:r w:rsidRPr="001D1883">
        <w:rPr>
          <w:rStyle w:val="af9"/>
          <w:rFonts w:hint="cs"/>
          <w:rtl/>
        </w:rPr>
        <w:t xml:space="preserve">ברש"י במתני' </w:t>
      </w:r>
      <w:r w:rsidRPr="001D1883">
        <w:rPr>
          <w:rFonts w:hint="cs"/>
          <w:rtl/>
        </w:rPr>
        <w:t xml:space="preserve">דהאכילה לבדה אינה מבטלת את החזקת מרא קמא, ורק בצירוף שתיקת הבעלים מהני החזקה להוציא מהמרא קמא, ואילו הכא ביאר </w:t>
      </w:r>
      <w:r w:rsidRPr="001D1883">
        <w:rPr>
          <w:rStyle w:val="af9"/>
          <w:rFonts w:hint="cs"/>
          <w:rtl/>
        </w:rPr>
        <w:t xml:space="preserve">רש"י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sidRPr="001D1883">
        <w:rPr>
          <w:rFonts w:hint="cs"/>
          <w:rtl/>
        </w:rPr>
        <w:t xml:space="preserve"> דכ"מ שצריך מחאה הוא רק בכדי שיזהר בשטרו.</w:t>
      </w:r>
      <w:bookmarkEnd w:id="3701"/>
    </w:p>
    <w:p w:rsidR="007A505A" w:rsidRPr="001D1883" w:rsidRDefault="007A505A" w:rsidP="007A505A">
      <w:pPr>
        <w:pStyle w:val="a3"/>
        <w:rPr>
          <w:rtl/>
        </w:rPr>
      </w:pPr>
      <w:bookmarkStart w:id="3703" w:name="_Toc55386275"/>
      <w:bookmarkStart w:id="3704" w:name="_Toc55391195"/>
      <w:r>
        <w:rPr>
          <w:rFonts w:hint="cs"/>
          <w:rtl/>
        </w:rPr>
        <w:t>ביאור הגרנ"פ ברמב"ן דהאכילות מוציאות מהמר"ק אף כנגד המחאה והמחאה מהני רק לשטר</w:t>
      </w:r>
      <w:bookmarkEnd w:id="3703"/>
      <w:bookmarkEnd w:id="3704"/>
    </w:p>
    <w:p w:rsidR="007A505A" w:rsidRDefault="007A505A" w:rsidP="007E4E81">
      <w:pPr>
        <w:pStyle w:val="a0"/>
        <w:rPr>
          <w:rtl/>
        </w:rPr>
      </w:pPr>
      <w:bookmarkStart w:id="3705" w:name="_Ref55380284"/>
      <w:r w:rsidRPr="001D1883">
        <w:rPr>
          <w:rFonts w:hint="cs"/>
          <w:rtl/>
        </w:rPr>
        <w:t xml:space="preserve">וכתב </w:t>
      </w:r>
      <w:r w:rsidRPr="008E23EB">
        <w:rPr>
          <w:rStyle w:val="af9"/>
          <w:rFonts w:hint="cs"/>
          <w:rtl/>
        </w:rPr>
        <w:t xml:space="preserve">בחי' רבי נחום </w:t>
      </w:r>
      <w:r w:rsidRPr="001D1883">
        <w:rPr>
          <w:rStyle w:val="af7"/>
          <w:rFonts w:eastAsia="Guttman Hodes" w:hint="cs"/>
          <w:rtl/>
        </w:rPr>
        <w:t>(או' ט"ז ד"ה ואכתי)</w:t>
      </w:r>
      <w:r w:rsidRPr="001D1883">
        <w:rPr>
          <w:rFonts w:hint="cs"/>
          <w:rtl/>
        </w:rPr>
        <w:t xml:space="preserve"> דבדעת </w:t>
      </w:r>
      <w:r w:rsidRPr="008E23EB">
        <w:rPr>
          <w:rStyle w:val="af9"/>
          <w:rFonts w:hint="cs"/>
          <w:rtl/>
        </w:rPr>
        <w:t xml:space="preserve">הרמב"ן </w:t>
      </w:r>
      <w:r w:rsidRPr="001D1883">
        <w:rPr>
          <w:rFonts w:hint="cs"/>
          <w:rtl/>
        </w:rPr>
        <w:t xml:space="preserve">לא קשה, </w:t>
      </w:r>
      <w:r>
        <w:rPr>
          <w:rFonts w:hint="cs"/>
          <w:rtl/>
        </w:rPr>
        <w:t xml:space="preserve">דאף דביאר </w:t>
      </w:r>
      <w:r w:rsidRPr="001D1883">
        <w:rPr>
          <w:rStyle w:val="af9"/>
          <w:rFonts w:hint="cs"/>
          <w:rtl/>
        </w:rPr>
        <w:t>הרמב"ן</w:t>
      </w:r>
      <w:r w:rsidRPr="001D1883">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EF5937">
        <w:rPr>
          <w:rStyle w:val="af7"/>
          <w:rFonts w:eastAsia="Guttman Hodes" w:hint="cs"/>
          <w:rtl/>
        </w:rPr>
        <w:t>משור</w:t>
      </w:r>
      <w:r w:rsidRPr="001D1883">
        <w:rPr>
          <w:rStyle w:val="af7"/>
          <w:rFonts w:eastAsia="Guttman Hodes" w:hint="cs"/>
          <w:rtl/>
        </w:rPr>
        <w:t xml:space="preserve">, הובא בסימן </w:t>
      </w:r>
      <w:r>
        <w:rPr>
          <w:rStyle w:val="af7"/>
          <w:rFonts w:eastAsia="Guttman Hodes" w:hint="cs"/>
          <w:rtl/>
        </w:rPr>
        <w:t>ג</w:t>
      </w:r>
      <w:r w:rsidRPr="001D1883">
        <w:rPr>
          <w:rStyle w:val="af7"/>
          <w:rFonts w:eastAsia="Guttman Hodes" w:hint="cs"/>
          <w:rtl/>
        </w:rPr>
        <w:t xml:space="preserve">' אות </w:t>
      </w:r>
      <w:r>
        <w:rPr>
          <w:rStyle w:val="af7"/>
          <w:rFonts w:eastAsia="Guttman Hodes" w:hint="cs"/>
          <w:rtl/>
        </w:rPr>
        <w:t>ט'</w:t>
      </w:r>
      <w:r w:rsidRPr="001D1883">
        <w:rPr>
          <w:rStyle w:val="af7"/>
          <w:rFonts w:eastAsia="Guttman Hodes" w:hint="cs"/>
          <w:rtl/>
        </w:rPr>
        <w:t>)</w:t>
      </w:r>
      <w:r>
        <w:rPr>
          <w:rStyle w:val="af7"/>
          <w:rFonts w:eastAsia="Guttman Hodes" w:hint="cs"/>
          <w:rtl/>
        </w:rPr>
        <w:t xml:space="preserve"> </w:t>
      </w:r>
      <w:r w:rsidRPr="001D1883">
        <w:rPr>
          <w:rFonts w:hint="cs"/>
          <w:rtl/>
        </w:rPr>
        <w:t xml:space="preserve">בילפותא משור המועד דבג' אכילות המחזיק נעשה למוחזק בקרקע, </w:t>
      </w:r>
      <w:r>
        <w:rPr>
          <w:rFonts w:hint="cs"/>
          <w:rtl/>
        </w:rPr>
        <w:t xml:space="preserve">מ"מ </w:t>
      </w:r>
      <w:r w:rsidRPr="001D1883">
        <w:rPr>
          <w:rFonts w:hint="cs"/>
          <w:rtl/>
        </w:rPr>
        <w:t xml:space="preserve">אפש"ל דהאכילות לבדם מוציאות מחזקת המרא קמא, אף במקום שיש מחאה, ולכן ביאר </w:t>
      </w:r>
      <w:r w:rsidRPr="008E23EB">
        <w:rPr>
          <w:rStyle w:val="af9"/>
          <w:rFonts w:hint="cs"/>
          <w:rtl/>
        </w:rPr>
        <w:t xml:space="preserve">הרמב"ן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Ref54627930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 xml:space="preserve">דהמחאה היא רק בכדי שישמור את שטרו, אבל בדעת </w:t>
      </w:r>
      <w:r w:rsidRPr="008E23EB">
        <w:rPr>
          <w:rStyle w:val="af9"/>
          <w:rFonts w:hint="cs"/>
          <w:rtl/>
        </w:rPr>
        <w:t xml:space="preserve">רש"י </w:t>
      </w:r>
      <w:r w:rsidRPr="001D1883">
        <w:rPr>
          <w:rFonts w:hint="cs"/>
          <w:rtl/>
        </w:rPr>
        <w:t xml:space="preserve">קשה, כיון דכתב </w:t>
      </w:r>
      <w:r w:rsidRPr="008E23EB">
        <w:rPr>
          <w:rStyle w:val="af9"/>
          <w:rFonts w:hint="cs"/>
          <w:rtl/>
        </w:rPr>
        <w:t xml:space="preserve">רש"י במתני' </w:t>
      </w:r>
      <w:r w:rsidRPr="001D1883">
        <w:rPr>
          <w:rFonts w:hint="cs"/>
          <w:rtl/>
        </w:rPr>
        <w:t>דהחזקה היא מחמת שתיקת המערער.</w:t>
      </w:r>
      <w:bookmarkEnd w:id="3705"/>
    </w:p>
    <w:p w:rsidR="007A505A" w:rsidRPr="00B86B18" w:rsidRDefault="007A505A" w:rsidP="007A505A">
      <w:pPr>
        <w:pStyle w:val="1"/>
        <w:rPr>
          <w:rtl/>
        </w:rPr>
      </w:pPr>
      <w:bookmarkStart w:id="3706" w:name="_Toc55386276"/>
      <w:bookmarkStart w:id="3707" w:name="_Toc55391196"/>
      <w:r>
        <w:rPr>
          <w:rFonts w:hint="cs"/>
          <w:rtl/>
        </w:rPr>
        <w:t>ביאור הגרנ"פ ברש"י דמחאה לא מבטלת את הראיה דלא סילקו</w:t>
      </w:r>
      <w:bookmarkEnd w:id="3706"/>
      <w:bookmarkEnd w:id="3707"/>
    </w:p>
    <w:p w:rsidR="007A505A" w:rsidRPr="001D1883" w:rsidRDefault="007A505A" w:rsidP="007A505A">
      <w:pPr>
        <w:pStyle w:val="a3"/>
        <w:rPr>
          <w:rtl/>
        </w:rPr>
      </w:pPr>
      <w:bookmarkStart w:id="3708" w:name="_Toc55386277"/>
      <w:bookmarkStart w:id="3709" w:name="_Toc55391197"/>
      <w:r>
        <w:rPr>
          <w:rFonts w:hint="cs"/>
          <w:rtl/>
        </w:rPr>
        <w:t>ביאור הגרנ"פ ברש"י במתני' דהראיה בחזקה מדלא סילק המערער את המחזיק ולא מדלא מחה</w:t>
      </w:r>
      <w:bookmarkEnd w:id="3708"/>
      <w:bookmarkEnd w:id="3709"/>
    </w:p>
    <w:p w:rsidR="007A505A" w:rsidRDefault="007A505A" w:rsidP="007E4E81">
      <w:pPr>
        <w:pStyle w:val="a0"/>
        <w:rPr>
          <w:rtl/>
        </w:rPr>
      </w:pPr>
      <w:r w:rsidRPr="001D1883">
        <w:rPr>
          <w:rFonts w:hint="cs"/>
          <w:rtl/>
        </w:rPr>
        <w:t xml:space="preserve">אלא ביאר </w:t>
      </w:r>
      <w:r w:rsidRPr="008E23EB">
        <w:rPr>
          <w:rStyle w:val="af9"/>
          <w:rFonts w:hint="cs"/>
          <w:rtl/>
        </w:rPr>
        <w:t xml:space="preserve">בחי' רבי נחום </w:t>
      </w:r>
      <w:r w:rsidRPr="001D1883">
        <w:rPr>
          <w:rStyle w:val="af7"/>
          <w:rFonts w:eastAsia="Guttman Hodes" w:hint="cs"/>
          <w:rtl/>
        </w:rPr>
        <w:t>(או' ט"ז ד"ה ו</w:t>
      </w:r>
      <w:r>
        <w:rPr>
          <w:rStyle w:val="af7"/>
          <w:rFonts w:eastAsia="Guttman Hodes" w:hint="cs"/>
          <w:rtl/>
        </w:rPr>
        <w:t>צ"ל</w:t>
      </w:r>
      <w:r w:rsidRPr="001D1883">
        <w:rPr>
          <w:rStyle w:val="af7"/>
          <w:rFonts w:eastAsia="Guttman Hodes" w:hint="cs"/>
          <w:rtl/>
        </w:rPr>
        <w:t>)</w:t>
      </w:r>
      <w:r w:rsidRPr="001D1883">
        <w:rPr>
          <w:rFonts w:hint="cs"/>
          <w:rtl/>
        </w:rPr>
        <w:t xml:space="preserve"> דמ"ש </w:t>
      </w:r>
      <w:r w:rsidRPr="008E23EB">
        <w:rPr>
          <w:rStyle w:val="af9"/>
          <w:rFonts w:hint="cs"/>
          <w:rtl/>
        </w:rPr>
        <w:t xml:space="preserve">רש"י במתני' </w:t>
      </w:r>
      <w:r w:rsidRPr="00FD5886">
        <w:rPr>
          <w:rStyle w:val="af7"/>
          <w:rFonts w:eastAsia="Guttman Hodes" w:hint="cs"/>
          <w:rtl/>
        </w:rPr>
        <w:t xml:space="preserve">(עי' אות </w:t>
      </w:r>
      <w:r w:rsidRPr="00FD5886">
        <w:rPr>
          <w:rStyle w:val="af7"/>
          <w:rFonts w:eastAsia="Guttman Hodes"/>
          <w:rtl/>
        </w:rPr>
        <w:fldChar w:fldCharType="begin"/>
      </w:r>
      <w:r w:rsidRPr="00FD5886">
        <w:rPr>
          <w:rStyle w:val="af7"/>
          <w:rFonts w:eastAsia="Guttman Hodes"/>
          <w:rtl/>
        </w:rPr>
        <w:instrText xml:space="preserve"> </w:instrText>
      </w:r>
      <w:r w:rsidRPr="00FD5886">
        <w:rPr>
          <w:rStyle w:val="af7"/>
          <w:rFonts w:eastAsia="Guttman Hodes" w:hint="cs"/>
        </w:rPr>
        <w:instrText>REF</w:instrText>
      </w:r>
      <w:r w:rsidRPr="00FD5886">
        <w:rPr>
          <w:rStyle w:val="af7"/>
          <w:rFonts w:eastAsia="Guttman Hodes" w:hint="cs"/>
          <w:rtl/>
        </w:rPr>
        <w:instrText xml:space="preserve"> _</w:instrText>
      </w:r>
      <w:r w:rsidRPr="00FD5886">
        <w:rPr>
          <w:rStyle w:val="af7"/>
          <w:rFonts w:eastAsia="Guttman Hodes" w:hint="cs"/>
        </w:rPr>
        <w:instrText>Ref55379764 \r \h</w:instrText>
      </w:r>
      <w:r w:rsidRPr="00FD5886">
        <w:rPr>
          <w:rStyle w:val="af7"/>
          <w:rFonts w:eastAsia="Guttman Hodes"/>
          <w:rtl/>
        </w:rPr>
        <w:instrText xml:space="preserve"> </w:instrText>
      </w:r>
      <w:r w:rsidRPr="00FD5886">
        <w:rPr>
          <w:rStyle w:val="af7"/>
          <w:rFonts w:eastAsia="Guttman Hodes"/>
          <w:rtl/>
        </w:rPr>
      </w:r>
      <w:r w:rsidRPr="00FD5886">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FD5886">
        <w:rPr>
          <w:rStyle w:val="af7"/>
          <w:rFonts w:eastAsia="Guttman Hodes"/>
          <w:rtl/>
        </w:rPr>
        <w:fldChar w:fldCharType="end"/>
      </w:r>
      <w:r w:rsidRPr="001D1883">
        <w:rPr>
          <w:rFonts w:hint="cs"/>
          <w:rtl/>
        </w:rPr>
        <w:t xml:space="preserve"> דאדם אינו שותק על אכילת פרי של שנה, אין כוונתו דאינו שותק אלא מוחה, אלא כוונתו דהוא מסלק את המחזיק מהקרקע ואינו מניח לו לאכול את פירותיו</w:t>
      </w:r>
      <w:r>
        <w:rPr>
          <w:rFonts w:hint="cs"/>
          <w:rtl/>
        </w:rPr>
        <w:t>.</w:t>
      </w:r>
    </w:p>
    <w:p w:rsidR="007A505A" w:rsidRPr="00B86B18" w:rsidRDefault="007A505A" w:rsidP="007A505A">
      <w:pPr>
        <w:pStyle w:val="a3"/>
      </w:pPr>
      <w:bookmarkStart w:id="3710" w:name="_Toc55386278"/>
      <w:bookmarkStart w:id="3711" w:name="_Toc55391198"/>
      <w:r>
        <w:rPr>
          <w:rFonts w:hint="cs"/>
          <w:rtl/>
        </w:rPr>
        <w:t>ביאור הגרנ"פ ברש"י דהמחאה אינה מבטלת את ראיית החזקה אלא המחאה מהני רק לשטר</w:t>
      </w:r>
      <w:bookmarkEnd w:id="3710"/>
      <w:bookmarkEnd w:id="3711"/>
    </w:p>
    <w:p w:rsidR="007A505A" w:rsidRDefault="007A505A" w:rsidP="007E4E81">
      <w:pPr>
        <w:pStyle w:val="a0"/>
        <w:rPr>
          <w:rtl/>
        </w:rPr>
      </w:pPr>
      <w:r w:rsidRPr="001D1883">
        <w:rPr>
          <w:rFonts w:hint="cs"/>
          <w:rtl/>
        </w:rPr>
        <w:t>ו</w:t>
      </w:r>
      <w:r>
        <w:rPr>
          <w:rFonts w:hint="cs"/>
          <w:rtl/>
        </w:rPr>
        <w:t>כתב</w:t>
      </w:r>
      <w:r w:rsidRPr="001D1883">
        <w:rPr>
          <w:rFonts w:hint="cs"/>
          <w:rtl/>
        </w:rPr>
        <w:t xml:space="preserve"> </w:t>
      </w:r>
      <w:r w:rsidRPr="008E23EB">
        <w:rPr>
          <w:rStyle w:val="af9"/>
          <w:rFonts w:hint="cs"/>
          <w:rtl/>
        </w:rPr>
        <w:t xml:space="preserve">בחי' רבי נחום </w:t>
      </w:r>
      <w:r>
        <w:rPr>
          <w:rFonts w:hint="cs"/>
          <w:rtl/>
        </w:rPr>
        <w:t>ד</w:t>
      </w:r>
      <w:r w:rsidRPr="001D1883">
        <w:rPr>
          <w:rFonts w:hint="cs"/>
          <w:rtl/>
        </w:rPr>
        <w:t xml:space="preserve">א"כ מ"ש </w:t>
      </w:r>
      <w:r w:rsidRPr="008E23EB">
        <w:rPr>
          <w:rStyle w:val="af9"/>
          <w:rFonts w:hint="cs"/>
          <w:rtl/>
        </w:rPr>
        <w:t xml:space="preserve">רש"י בסוגיין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sidRPr="001D1883">
        <w:rPr>
          <w:rFonts w:hint="cs"/>
          <w:rtl/>
        </w:rPr>
        <w:t xml:space="preserve"> דהמחאה היא בכדי להתרות במחזיק שיזהר בשטרו, כוונת </w:t>
      </w:r>
      <w:r w:rsidRPr="00FD5886">
        <w:rPr>
          <w:rStyle w:val="af9"/>
          <w:rFonts w:hint="cs"/>
          <w:rtl/>
        </w:rPr>
        <w:t>רש"י</w:t>
      </w:r>
      <w:r w:rsidRPr="001D1883">
        <w:rPr>
          <w:rFonts w:hint="cs"/>
          <w:rtl/>
        </w:rPr>
        <w:t xml:space="preserve"> לומר דהמחאה עצמה אינה מבטלת את הראיה של החזקה, דאף שמחה הבעלים, עדיין יש למחזיק ראיה שהקרקע שלו, דהא אם המחזיק היה גזלן, היה להבעלים לסלקו מהשדה ולא רק למחות בו, וכל שרק מחה הבעלים והניח למחזיק לאכול את פירותיו, מוכח דהשדה היא שלו, ולכן הוצרך </w:t>
      </w:r>
      <w:r w:rsidRPr="008E23EB">
        <w:rPr>
          <w:rStyle w:val="af9"/>
          <w:rFonts w:hint="cs"/>
          <w:rtl/>
        </w:rPr>
        <w:t xml:space="preserve">רש"י </w:t>
      </w:r>
      <w:r w:rsidRPr="001D1883">
        <w:rPr>
          <w:rFonts w:hint="cs"/>
          <w:rtl/>
        </w:rPr>
        <w:t xml:space="preserve">לבאר דהמחאה היא בכדי להתרות במחזיק שיזהר בשטרו, וכתב </w:t>
      </w:r>
      <w:r w:rsidRPr="001D1883">
        <w:rPr>
          <w:rStyle w:val="af9"/>
          <w:rFonts w:hint="cs"/>
          <w:rtl/>
        </w:rPr>
        <w:t>בחי' רבי נחום</w:t>
      </w:r>
      <w:r w:rsidRPr="001D1883">
        <w:rPr>
          <w:rFonts w:hint="cs"/>
          <w:rtl/>
        </w:rPr>
        <w:t xml:space="preserve"> דאולי זו כוונת </w:t>
      </w:r>
      <w:r w:rsidRPr="001D1883">
        <w:rPr>
          <w:rStyle w:val="af9"/>
          <w:rFonts w:hint="cs"/>
          <w:rtl/>
        </w:rPr>
        <w:t>הרמב"ן</w:t>
      </w:r>
      <w:r w:rsidRPr="001D1883">
        <w:rPr>
          <w:rFonts w:hint="cs"/>
          <w:rtl/>
        </w:rPr>
        <w:t xml:space="preserve"> </w:t>
      </w:r>
      <w:r w:rsidRPr="001D1883">
        <w:rPr>
          <w:rStyle w:val="af7"/>
          <w:rFonts w:eastAsia="Guttman Hodes" w:hint="cs"/>
          <w:rtl/>
        </w:rPr>
        <w:t>(עי' אות</w:t>
      </w:r>
      <w:r>
        <w:rPr>
          <w:rStyle w:val="af7"/>
          <w:rFonts w:eastAsia="Guttman Hodes" w:hint="cs"/>
          <w:rtl/>
        </w:rPr>
        <w:t xml:space="preserve">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Ref54627930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1D1883">
        <w:rPr>
          <w:rStyle w:val="af7"/>
          <w:rFonts w:eastAsia="Guttman Hodes"/>
          <w:rtl/>
        </w:rPr>
        <w:fldChar w:fldCharType="end"/>
      </w:r>
      <w:r w:rsidRPr="001D1883">
        <w:rPr>
          <w:rFonts w:hint="cs"/>
          <w:rtl/>
        </w:rPr>
        <w:t>.</w:t>
      </w:r>
    </w:p>
    <w:p w:rsidR="007A505A" w:rsidRDefault="007A505A" w:rsidP="007A505A">
      <w:pPr>
        <w:pStyle w:val="afe"/>
        <w:rPr>
          <w:rtl/>
        </w:rPr>
      </w:pPr>
      <w:bookmarkStart w:id="3712" w:name="_Toc55391199"/>
      <w:bookmarkStart w:id="3713" w:name="_Toc55246105"/>
      <w:bookmarkStart w:id="3714" w:name="_Toc55325175"/>
      <w:bookmarkStart w:id="3715" w:name="_Toc55342102"/>
      <w:bookmarkStart w:id="3716" w:name="_Toc55342203"/>
      <w:bookmarkStart w:id="3717" w:name="_Toc55375309"/>
      <w:bookmarkStart w:id="3718" w:name="_Toc55386279"/>
      <w:r>
        <w:rPr>
          <w:rFonts w:hint="cs"/>
          <w:rtl/>
        </w:rPr>
        <w:lastRenderedPageBreak/>
        <w:t>בטעם המחאה לרש"י ולתוס'</w:t>
      </w:r>
      <w:bookmarkEnd w:id="3712"/>
    </w:p>
    <w:p w:rsidR="007A505A" w:rsidRPr="001D1883" w:rsidRDefault="007A505A" w:rsidP="007A505A">
      <w:pPr>
        <w:pStyle w:val="1"/>
        <w:rPr>
          <w:rtl/>
        </w:rPr>
      </w:pPr>
      <w:bookmarkStart w:id="3719" w:name="_Toc55391200"/>
      <w:r w:rsidRPr="001D1883">
        <w:rPr>
          <w:rFonts w:hint="cs"/>
          <w:rtl/>
        </w:rPr>
        <w:t>ביאור הגרנ"פ בתוס'</w:t>
      </w:r>
      <w:bookmarkEnd w:id="3702"/>
      <w:bookmarkEnd w:id="3713"/>
      <w:bookmarkEnd w:id="3714"/>
      <w:bookmarkEnd w:id="3715"/>
      <w:bookmarkEnd w:id="3716"/>
      <w:bookmarkEnd w:id="3717"/>
      <w:bookmarkEnd w:id="3718"/>
      <w:r>
        <w:rPr>
          <w:rFonts w:hint="cs"/>
          <w:rtl/>
        </w:rPr>
        <w:t xml:space="preserve"> דהמחאה בכדי ש המערער לא יוחזק שתקן</w:t>
      </w:r>
      <w:bookmarkEnd w:id="3719"/>
    </w:p>
    <w:p w:rsidR="007A505A" w:rsidRPr="001D1883" w:rsidRDefault="007A505A" w:rsidP="007A505A">
      <w:pPr>
        <w:pStyle w:val="a3"/>
        <w:rPr>
          <w:rtl/>
        </w:rPr>
      </w:pPr>
      <w:bookmarkStart w:id="3720" w:name="_Toc55386280"/>
      <w:bookmarkStart w:id="3721" w:name="_Toc55391201"/>
      <w:r>
        <w:rPr>
          <w:rFonts w:hint="cs"/>
          <w:rtl/>
        </w:rPr>
        <w:t>ביאור הגרנ"פ דלתוס' א"א לומר דהמחאה כדי שיזהר בשטרו דהמחאה היא שלא יוחזק שתקן</w:t>
      </w:r>
      <w:bookmarkEnd w:id="3720"/>
      <w:bookmarkEnd w:id="3721"/>
    </w:p>
    <w:p w:rsidR="007A505A" w:rsidRPr="001D1883" w:rsidRDefault="007A505A" w:rsidP="007E4E81">
      <w:pPr>
        <w:pStyle w:val="a0"/>
        <w:rPr>
          <w:rtl/>
        </w:rPr>
      </w:pPr>
      <w:bookmarkStart w:id="3722" w:name="_Ref55318934"/>
      <w:r w:rsidRPr="001D1883">
        <w:rPr>
          <w:rFonts w:hint="cs"/>
          <w:rtl/>
        </w:rPr>
        <w:t>במ"ש</w:t>
      </w:r>
      <w:r w:rsidRPr="001D1883">
        <w:rPr>
          <w:rStyle w:val="af9"/>
          <w:rFonts w:hint="cs"/>
          <w:rtl/>
        </w:rPr>
        <w:t xml:space="preserve"> התוס'</w:t>
      </w:r>
      <w:r w:rsidRPr="001D1883">
        <w:rPr>
          <w:rStyle w:val="af7"/>
          <w:rFonts w:eastAsia="Guttman Hodes" w:hint="cs"/>
          <w:rtl/>
        </w:rPr>
        <w:t xml:space="preserve"> (עי'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Ref54609901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1D1883">
        <w:rPr>
          <w:rStyle w:val="af7"/>
          <w:rFonts w:eastAsia="Guttman Hodes"/>
          <w:rtl/>
        </w:rPr>
        <w:fldChar w:fldCharType="end"/>
      </w:r>
      <w:r w:rsidRPr="001D1883">
        <w:rPr>
          <w:rStyle w:val="af9"/>
          <w:rFonts w:hint="cs"/>
          <w:rtl/>
        </w:rPr>
        <w:t xml:space="preserve"> </w:t>
      </w:r>
      <w:r w:rsidRPr="001D1883">
        <w:rPr>
          <w:rFonts w:hint="cs"/>
          <w:rtl/>
        </w:rPr>
        <w:t xml:space="preserve">דקושית הגמ' היא דכמו דהעדאה בפני הבעלים, ולא אמרינן שיש קול וישמע הבעלים, ה"ה במחאה דלא אמרינן שיש קול ישמע המחזיק, כתב </w:t>
      </w:r>
      <w:r w:rsidRPr="001D1883">
        <w:rPr>
          <w:rStyle w:val="af9"/>
          <w:rFonts w:hint="cs"/>
          <w:rtl/>
        </w:rPr>
        <w:t xml:space="preserve">בחי' רבי נחום </w:t>
      </w:r>
      <w:r w:rsidRPr="001D1883">
        <w:rPr>
          <w:rStyle w:val="af7"/>
          <w:rFonts w:eastAsia="Guttman Hodes" w:hint="cs"/>
          <w:rtl/>
        </w:rPr>
        <w:t>(או' ט"ז)</w:t>
      </w:r>
      <w:r w:rsidRPr="001D1883">
        <w:rPr>
          <w:rFonts w:hint="cs"/>
          <w:rtl/>
        </w:rPr>
        <w:t xml:space="preserve"> </w:t>
      </w:r>
      <w:r w:rsidRPr="001D1883">
        <w:rPr>
          <w:rStyle w:val="af9"/>
          <w:rFonts w:hint="cs"/>
          <w:rtl/>
        </w:rPr>
        <w:t xml:space="preserve">דהתוס' </w:t>
      </w:r>
      <w:r w:rsidRPr="001D1883">
        <w:rPr>
          <w:rFonts w:hint="cs"/>
          <w:rtl/>
        </w:rPr>
        <w:t xml:space="preserve">אינם יכולים לבאר </w:t>
      </w:r>
      <w:r w:rsidRPr="001D1883">
        <w:rPr>
          <w:rStyle w:val="af9"/>
          <w:rFonts w:hint="cs"/>
          <w:rtl/>
        </w:rPr>
        <w:t>כרש"י והרמב"ן</w:t>
      </w:r>
      <w:r w:rsidRPr="001D1883">
        <w:rPr>
          <w:rStyle w:val="af7"/>
          <w:rFonts w:eastAsia="Guttman Hodes" w:hint="cs"/>
          <w:rtl/>
        </w:rPr>
        <w:t xml:space="preserve"> (עי'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Ref55124646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sidRPr="001D1883">
        <w:rPr>
          <w:rStyle w:val="af7"/>
          <w:rFonts w:eastAsia="Guttman Hodes"/>
          <w:rtl/>
        </w:rPr>
        <w:fldChar w:fldCharType="end"/>
      </w:r>
      <w:r w:rsidRPr="001D1883">
        <w:rPr>
          <w:rStyle w:val="af7"/>
          <w:rFonts w:eastAsia="Guttman Hodes" w:hint="cs"/>
          <w:rtl/>
        </w:rPr>
        <w:t xml:space="preserve"> </w:t>
      </w:r>
      <w:r w:rsidRPr="001D1883">
        <w:rPr>
          <w:rFonts w:hint="cs"/>
          <w:rtl/>
        </w:rPr>
        <w:t xml:space="preserve">המחאה היא בכדי שיזהר המחזיק בשטרו, דהא ביארו </w:t>
      </w:r>
      <w:r w:rsidRPr="00746242">
        <w:rPr>
          <w:rStyle w:val="af9"/>
          <w:rFonts w:hint="cs"/>
          <w:rtl/>
        </w:rPr>
        <w:t>התוס'</w:t>
      </w:r>
      <w:r w:rsidRPr="001D1883">
        <w:rPr>
          <w:rStyle w:val="afb"/>
          <w:rFonts w:hint="cs"/>
          <w:rtl/>
        </w:rPr>
        <w:t xml:space="preserve"> </w:t>
      </w:r>
      <w:r w:rsidRPr="00746242">
        <w:rPr>
          <w:rStyle w:val="af7"/>
          <w:rFonts w:eastAsia="Guttman Hodes" w:hint="cs"/>
          <w:rtl/>
        </w:rPr>
        <w:t>(כח. ד</w:t>
      </w:r>
      <w:r w:rsidRPr="00746242">
        <w:rPr>
          <w:rStyle w:val="af7"/>
          <w:rFonts w:eastAsia="Guttman Hodes"/>
          <w:rtl/>
        </w:rPr>
        <w:t>"</w:t>
      </w:r>
      <w:r w:rsidRPr="00746242">
        <w:rPr>
          <w:rStyle w:val="af7"/>
          <w:rFonts w:eastAsia="Guttman Hodes" w:hint="cs"/>
          <w:rtl/>
        </w:rPr>
        <w:t xml:space="preserve">ה עד ,כט. ד"ה שתא, הובא בסימן ג' אות י"ג) </w:t>
      </w:r>
      <w:r w:rsidRPr="001D1883">
        <w:rPr>
          <w:rFonts w:hint="cs"/>
          <w:rtl/>
        </w:rPr>
        <w:t>דהילפותא משור המועד, דבג"פ הוחזק שתקן, וא"כ המחאה היא כדי שלא יוחזק שתקן, ואף כשמוחה שלא בפניו אינו מוחזק שתקן,</w:t>
      </w:r>
      <w:r w:rsidRPr="001D1883">
        <w:rPr>
          <w:rStyle w:val="afb"/>
          <w:rFonts w:hint="cs"/>
          <w:rtl/>
        </w:rPr>
        <w:t xml:space="preserve"> [כדכתב </w:t>
      </w:r>
      <w:r w:rsidRPr="001D1883">
        <w:rPr>
          <w:rStyle w:val="affa"/>
          <w:rFonts w:hint="cs"/>
          <w:rtl/>
        </w:rPr>
        <w:t>הרמב"ן</w:t>
      </w:r>
      <w:r w:rsidRPr="001D1883">
        <w:rPr>
          <w:rStyle w:val="afb"/>
          <w:rFonts w:hint="cs"/>
          <w:rtl/>
        </w:rPr>
        <w:t xml:space="preserve"> </w:t>
      </w:r>
      <w:r w:rsidRPr="00962CFB">
        <w:rPr>
          <w:rStyle w:val="aff6"/>
          <w:rFonts w:hint="cs"/>
          <w:rtl/>
        </w:rPr>
        <w:t xml:space="preserve">(עי' אות </w:t>
      </w:r>
      <w:r w:rsidRPr="00962CFB">
        <w:rPr>
          <w:rStyle w:val="aff6"/>
          <w:rtl/>
        </w:rPr>
        <w:fldChar w:fldCharType="begin"/>
      </w:r>
      <w:r w:rsidRPr="00962CFB">
        <w:rPr>
          <w:rStyle w:val="aff6"/>
          <w:rtl/>
        </w:rPr>
        <w:instrText xml:space="preserve"> </w:instrText>
      </w:r>
      <w:r w:rsidRPr="00962CFB">
        <w:rPr>
          <w:rStyle w:val="aff6"/>
          <w:rFonts w:hint="cs"/>
        </w:rPr>
        <w:instrText>REF</w:instrText>
      </w:r>
      <w:r w:rsidRPr="00962CFB">
        <w:rPr>
          <w:rStyle w:val="aff6"/>
          <w:rFonts w:hint="cs"/>
          <w:rtl/>
        </w:rPr>
        <w:instrText xml:space="preserve"> _</w:instrText>
      </w:r>
      <w:r w:rsidRPr="00962CFB">
        <w:rPr>
          <w:rStyle w:val="aff6"/>
          <w:rFonts w:hint="cs"/>
        </w:rPr>
        <w:instrText>Ref55378813 \r \h</w:instrText>
      </w:r>
      <w:r w:rsidRPr="00962CFB">
        <w:rPr>
          <w:rStyle w:val="aff6"/>
          <w:rtl/>
        </w:rPr>
        <w:instrText xml:space="preserve"> </w:instrText>
      </w:r>
      <w:r w:rsidRPr="00962CFB">
        <w:rPr>
          <w:rStyle w:val="aff6"/>
          <w:rtl/>
        </w:rPr>
      </w:r>
      <w:r w:rsidRPr="00962CFB">
        <w:rPr>
          <w:rStyle w:val="aff6"/>
          <w:rtl/>
        </w:rPr>
        <w:fldChar w:fldCharType="separate"/>
      </w:r>
      <w:r w:rsidR="00265073">
        <w:rPr>
          <w:rStyle w:val="aff6"/>
          <w:cs/>
        </w:rPr>
        <w:t>‎</w:t>
      </w:r>
      <w:r w:rsidR="00265073">
        <w:rPr>
          <w:rStyle w:val="aff6"/>
          <w:rtl/>
        </w:rPr>
        <w:t>א)</w:t>
      </w:r>
      <w:r w:rsidRPr="00962CFB">
        <w:rPr>
          <w:rStyle w:val="aff6"/>
          <w:rtl/>
        </w:rPr>
        <w:fldChar w:fldCharType="end"/>
      </w:r>
      <w:r w:rsidRPr="001D1883">
        <w:rPr>
          <w:rStyle w:val="afb"/>
          <w:rFonts w:hint="cs"/>
          <w:rtl/>
        </w:rPr>
        <w:t xml:space="preserve"> לדעת רבנן דאי טעמא דחזקה הוא דבג"ש מקפיד, א"כ אף במחאה שלא בפני המחזיק, ג"כ מוכח דהקפיד], </w:t>
      </w:r>
      <w:r w:rsidRPr="001D1883">
        <w:rPr>
          <w:rFonts w:hint="cs"/>
          <w:rtl/>
        </w:rPr>
        <w:t xml:space="preserve">וכתב </w:t>
      </w:r>
      <w:r w:rsidRPr="001D1883">
        <w:rPr>
          <w:rStyle w:val="af9"/>
          <w:rFonts w:hint="cs"/>
          <w:rtl/>
        </w:rPr>
        <w:t>בחי' רבי נחום</w:t>
      </w:r>
      <w:r w:rsidRPr="001D1883">
        <w:rPr>
          <w:rFonts w:hint="cs"/>
          <w:rtl/>
        </w:rPr>
        <w:t xml:space="preserve"> דלכן הוצרכו </w:t>
      </w:r>
      <w:r w:rsidRPr="001D1883">
        <w:rPr>
          <w:rStyle w:val="af9"/>
          <w:rFonts w:hint="cs"/>
          <w:rtl/>
        </w:rPr>
        <w:t>התוס'</w:t>
      </w:r>
      <w:r w:rsidRPr="001D1883">
        <w:rPr>
          <w:rFonts w:hint="cs"/>
          <w:rtl/>
        </w:rPr>
        <w:t xml:space="preserve"> לבאר דקושית הגמ' דמוכח מהעדאה דלא אמרינן שיש קול</w:t>
      </w:r>
      <w:r>
        <w:rPr>
          <w:rFonts w:hint="cs"/>
          <w:rtl/>
        </w:rPr>
        <w:t xml:space="preserve">. [וכן מבואר </w:t>
      </w:r>
      <w:r w:rsidRPr="00F26CFD">
        <w:rPr>
          <w:rStyle w:val="af9"/>
          <w:rFonts w:hint="cs"/>
          <w:rtl/>
        </w:rPr>
        <w:t>בתוס' הרא"ש</w:t>
      </w:r>
      <w:r>
        <w:rPr>
          <w:rFonts w:hint="cs"/>
          <w:rtl/>
        </w:rPr>
        <w:t xml:space="preserve"> </w:t>
      </w:r>
      <w:r w:rsidRPr="00072F3A">
        <w:rPr>
          <w:rStyle w:val="af7"/>
          <w:rFonts w:eastAsia="Guttman Hodes" w:hint="cs"/>
          <w:rtl/>
        </w:rPr>
        <w:t xml:space="preserve">(עי' אות </w:t>
      </w:r>
      <w:r w:rsidRPr="00072F3A">
        <w:rPr>
          <w:rStyle w:val="af7"/>
          <w:rFonts w:eastAsia="Guttman Hodes"/>
          <w:rtl/>
        </w:rPr>
        <w:fldChar w:fldCharType="begin"/>
      </w:r>
      <w:r w:rsidRPr="00072F3A">
        <w:rPr>
          <w:rStyle w:val="af7"/>
          <w:rFonts w:eastAsia="Guttman Hodes"/>
          <w:rtl/>
        </w:rPr>
        <w:instrText xml:space="preserve"> </w:instrText>
      </w:r>
      <w:r w:rsidRPr="00072F3A">
        <w:rPr>
          <w:rStyle w:val="af7"/>
          <w:rFonts w:eastAsia="Guttman Hodes" w:hint="cs"/>
        </w:rPr>
        <w:instrText>REF</w:instrText>
      </w:r>
      <w:r w:rsidRPr="00072F3A">
        <w:rPr>
          <w:rStyle w:val="af7"/>
          <w:rFonts w:eastAsia="Guttman Hodes" w:hint="cs"/>
          <w:rtl/>
        </w:rPr>
        <w:instrText xml:space="preserve"> _</w:instrText>
      </w:r>
      <w:r w:rsidRPr="00072F3A">
        <w:rPr>
          <w:rStyle w:val="af7"/>
          <w:rFonts w:eastAsia="Guttman Hodes" w:hint="cs"/>
        </w:rPr>
        <w:instrText>Ref55378182 \r \h</w:instrText>
      </w:r>
      <w:r w:rsidRPr="00072F3A">
        <w:rPr>
          <w:rStyle w:val="af7"/>
          <w:rFonts w:eastAsia="Guttman Hodes"/>
          <w:rtl/>
        </w:rPr>
        <w:instrText xml:space="preserve"> </w:instrText>
      </w:r>
      <w:r w:rsidRPr="00072F3A">
        <w:rPr>
          <w:rStyle w:val="af7"/>
          <w:rFonts w:eastAsia="Guttman Hodes"/>
          <w:rtl/>
        </w:rPr>
      </w:r>
      <w:r w:rsidRPr="00072F3A">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072F3A">
        <w:rPr>
          <w:rStyle w:val="af7"/>
          <w:rFonts w:eastAsia="Guttman Hodes"/>
          <w:rtl/>
        </w:rPr>
        <w:fldChar w:fldCharType="end"/>
      </w:r>
      <w:r>
        <w:rPr>
          <w:rFonts w:hint="cs"/>
          <w:rtl/>
        </w:rPr>
        <w:t xml:space="preserve">, ודלא כביאור </w:t>
      </w:r>
      <w:r w:rsidRPr="00F26CFD">
        <w:rPr>
          <w:rStyle w:val="af9"/>
          <w:rFonts w:hint="cs"/>
          <w:rtl/>
        </w:rPr>
        <w:t>המהרש"א</w:t>
      </w:r>
      <w:r w:rsidRPr="00072F3A">
        <w:rPr>
          <w:rStyle w:val="af7"/>
          <w:rFonts w:eastAsia="Guttman Hodes" w:hint="cs"/>
          <w:rtl/>
        </w:rPr>
        <w:t xml:space="preserve"> (עי' אות </w:t>
      </w:r>
      <w:r w:rsidRPr="00072F3A">
        <w:rPr>
          <w:rStyle w:val="af7"/>
          <w:rFonts w:eastAsia="Guttman Hodes"/>
          <w:rtl/>
        </w:rPr>
        <w:fldChar w:fldCharType="begin"/>
      </w:r>
      <w:r w:rsidRPr="00072F3A">
        <w:rPr>
          <w:rStyle w:val="af7"/>
          <w:rFonts w:eastAsia="Guttman Hodes"/>
          <w:rtl/>
        </w:rPr>
        <w:instrText xml:space="preserve"> </w:instrText>
      </w:r>
      <w:r w:rsidRPr="00072F3A">
        <w:rPr>
          <w:rStyle w:val="af7"/>
          <w:rFonts w:eastAsia="Guttman Hodes" w:hint="cs"/>
        </w:rPr>
        <w:instrText>REF</w:instrText>
      </w:r>
      <w:r w:rsidRPr="00072F3A">
        <w:rPr>
          <w:rStyle w:val="af7"/>
          <w:rFonts w:eastAsia="Guttman Hodes" w:hint="cs"/>
          <w:rtl/>
        </w:rPr>
        <w:instrText xml:space="preserve"> _</w:instrText>
      </w:r>
      <w:r w:rsidRPr="00072F3A">
        <w:rPr>
          <w:rStyle w:val="af7"/>
          <w:rFonts w:eastAsia="Guttman Hodes" w:hint="cs"/>
        </w:rPr>
        <w:instrText>Ref55332858 \r \h</w:instrText>
      </w:r>
      <w:r w:rsidRPr="00072F3A">
        <w:rPr>
          <w:rStyle w:val="af7"/>
          <w:rFonts w:eastAsia="Guttman Hodes"/>
          <w:rtl/>
        </w:rPr>
        <w:instrText xml:space="preserve">  \* </w:instrText>
      </w:r>
      <w:r w:rsidRPr="00072F3A">
        <w:rPr>
          <w:rStyle w:val="af7"/>
          <w:rFonts w:eastAsia="Guttman Hodes"/>
        </w:rPr>
        <w:instrText>MERGEFORMAT</w:instrText>
      </w:r>
      <w:r w:rsidRPr="00072F3A">
        <w:rPr>
          <w:rStyle w:val="af7"/>
          <w:rFonts w:eastAsia="Guttman Hodes"/>
          <w:rtl/>
        </w:rPr>
        <w:instrText xml:space="preserve"> </w:instrText>
      </w:r>
      <w:r w:rsidRPr="00072F3A">
        <w:rPr>
          <w:rStyle w:val="af7"/>
          <w:rFonts w:eastAsia="Guttman Hodes"/>
          <w:rtl/>
        </w:rPr>
      </w:r>
      <w:r w:rsidRPr="00072F3A">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072F3A">
        <w:rPr>
          <w:rStyle w:val="af7"/>
          <w:rFonts w:eastAsia="Guttman Hodes"/>
          <w:rtl/>
        </w:rPr>
        <w:fldChar w:fldCharType="end"/>
      </w:r>
      <w:r w:rsidRPr="001D1883">
        <w:rPr>
          <w:rStyle w:val="afb"/>
          <w:rFonts w:hint="cs"/>
          <w:rtl/>
        </w:rPr>
        <w:t xml:space="preserve"> </w:t>
      </w:r>
      <w:r w:rsidRPr="00F26CFD">
        <w:rPr>
          <w:rStyle w:val="af9"/>
          <w:rFonts w:hint="cs"/>
          <w:rtl/>
        </w:rPr>
        <w:t>בתוס'</w:t>
      </w:r>
      <w:r>
        <w:rPr>
          <w:rFonts w:hint="cs"/>
          <w:rtl/>
        </w:rPr>
        <w:t>]</w:t>
      </w:r>
      <w:r w:rsidRPr="001D1883">
        <w:rPr>
          <w:rFonts w:hint="cs"/>
          <w:rtl/>
        </w:rPr>
        <w:t>.</w:t>
      </w:r>
      <w:bookmarkEnd w:id="3722"/>
    </w:p>
    <w:p w:rsidR="007A505A" w:rsidRPr="001D1883" w:rsidRDefault="007A505A" w:rsidP="007A505A">
      <w:pPr>
        <w:pStyle w:val="1"/>
        <w:rPr>
          <w:rtl/>
        </w:rPr>
      </w:pPr>
      <w:bookmarkStart w:id="3723" w:name="_Toc55325176"/>
      <w:bookmarkStart w:id="3724" w:name="_Toc55342103"/>
      <w:bookmarkStart w:id="3725" w:name="_Toc55342204"/>
      <w:bookmarkStart w:id="3726" w:name="_Toc55375310"/>
      <w:bookmarkStart w:id="3727" w:name="_Toc55386281"/>
      <w:bookmarkStart w:id="3728" w:name="_Toc55391202"/>
      <w:r w:rsidRPr="001D1883">
        <w:rPr>
          <w:rFonts w:hint="cs"/>
          <w:rtl/>
        </w:rPr>
        <w:t>ביאור הגרנ"פ ברש"י</w:t>
      </w:r>
      <w:bookmarkEnd w:id="3723"/>
      <w:bookmarkEnd w:id="3724"/>
      <w:bookmarkEnd w:id="3725"/>
      <w:bookmarkEnd w:id="3726"/>
      <w:bookmarkEnd w:id="3727"/>
      <w:r>
        <w:rPr>
          <w:rFonts w:hint="cs"/>
          <w:rtl/>
        </w:rPr>
        <w:t xml:space="preserve"> דבאותו מקום במחה שלא בפניו ל"ה חזקה</w:t>
      </w:r>
      <w:bookmarkEnd w:id="3728"/>
    </w:p>
    <w:p w:rsidR="007A505A" w:rsidRPr="001D1883" w:rsidRDefault="007A505A" w:rsidP="007A505A">
      <w:pPr>
        <w:pStyle w:val="a3"/>
        <w:rPr>
          <w:rtl/>
        </w:rPr>
      </w:pPr>
      <w:bookmarkStart w:id="3729" w:name="_Toc55386282"/>
      <w:bookmarkStart w:id="3730" w:name="_Toc55391203"/>
      <w:r>
        <w:rPr>
          <w:rFonts w:hint="cs"/>
          <w:rtl/>
        </w:rPr>
        <w:t>ביאור הגרנ"פ דאף לרש"י אי ל"מ מחאה ל"מ החזקה ואיירי באותה העיר והיה לו למחות בפניו</w:t>
      </w:r>
      <w:bookmarkEnd w:id="3729"/>
      <w:bookmarkEnd w:id="3730"/>
    </w:p>
    <w:p w:rsidR="007A505A" w:rsidRPr="001D1883" w:rsidRDefault="007A505A" w:rsidP="007E4E81">
      <w:pPr>
        <w:pStyle w:val="a0"/>
        <w:rPr>
          <w:rtl/>
        </w:rPr>
      </w:pPr>
      <w:r w:rsidRPr="001D1883">
        <w:rPr>
          <w:rFonts w:hint="cs"/>
          <w:rtl/>
        </w:rPr>
        <w:t xml:space="preserve">ועוד כתב </w:t>
      </w:r>
      <w:r w:rsidRPr="001D1883">
        <w:rPr>
          <w:rStyle w:val="af9"/>
          <w:rFonts w:hint="cs"/>
          <w:rtl/>
        </w:rPr>
        <w:t>בחי' רבי נחום</w:t>
      </w:r>
      <w:r w:rsidRPr="001D1883">
        <w:rPr>
          <w:rFonts w:hint="cs"/>
          <w:rtl/>
        </w:rPr>
        <w:t xml:space="preserve"> </w:t>
      </w:r>
      <w:r w:rsidRPr="001D1883">
        <w:rPr>
          <w:rStyle w:val="af7"/>
          <w:rFonts w:eastAsia="Guttman Hodes" w:hint="cs"/>
          <w:rtl/>
        </w:rPr>
        <w:t>(כט. או' ל' ד"ה ונראה)</w:t>
      </w:r>
      <w:r w:rsidRPr="001D1883">
        <w:rPr>
          <w:rFonts w:hint="cs"/>
          <w:rtl/>
        </w:rPr>
        <w:t xml:space="preserve"> דהא </w:t>
      </w:r>
      <w:r w:rsidRPr="001D1883">
        <w:rPr>
          <w:rStyle w:val="af9"/>
          <w:rFonts w:hint="cs"/>
          <w:rtl/>
        </w:rPr>
        <w:t>דרש"י</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Ref55147610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1D1883">
        <w:rPr>
          <w:rStyle w:val="af7"/>
          <w:rFonts w:eastAsia="Guttman Hodes"/>
          <w:rtl/>
        </w:rPr>
        <w:fldChar w:fldCharType="end"/>
      </w:r>
      <w:r w:rsidRPr="001D1883">
        <w:rPr>
          <w:rFonts w:hint="cs"/>
          <w:rtl/>
        </w:rPr>
        <w:t xml:space="preserve"> ביאר דכוונת הגמ' להקשות דהמחאה אינה מחאה וממילא הוי חזקה, אין כוונתו לחלוק על עיקר דברי </w:t>
      </w:r>
      <w:r w:rsidRPr="001D1883">
        <w:rPr>
          <w:rStyle w:val="af9"/>
          <w:rFonts w:hint="cs"/>
          <w:rtl/>
        </w:rPr>
        <w:t xml:space="preserve">התוס'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Ref54609901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1D1883">
        <w:rPr>
          <w:rStyle w:val="af7"/>
          <w:rFonts w:eastAsia="Guttman Hodes"/>
          <w:rtl/>
        </w:rPr>
        <w:fldChar w:fldCharType="end"/>
      </w:r>
      <w:r w:rsidRPr="001D1883">
        <w:rPr>
          <w:rStyle w:val="af9"/>
          <w:rFonts w:hint="cs"/>
          <w:rtl/>
        </w:rPr>
        <w:t xml:space="preserve"> </w:t>
      </w:r>
      <w:r w:rsidRPr="001D1883">
        <w:rPr>
          <w:rFonts w:hint="cs"/>
          <w:rtl/>
        </w:rPr>
        <w:t xml:space="preserve">דכל שאין מחאה אין חזקה, אלא </w:t>
      </w:r>
      <w:r w:rsidRPr="001D1883">
        <w:rPr>
          <w:rStyle w:val="af9"/>
          <w:rFonts w:hint="cs"/>
          <w:rtl/>
        </w:rPr>
        <w:t>דרש"י</w:t>
      </w:r>
      <w:r w:rsidRPr="001D1883">
        <w:rPr>
          <w:rFonts w:hint="cs"/>
          <w:rtl/>
        </w:rPr>
        <w:t xml:space="preserve"> ביאר דאיירי שהמערער נמצא באותה העיר של המחזיק, וא"כ היה למערער לבא ולמחות בפני המחזיק, וכל שמחה שלא בפניו, לא הוי מחאה והוי חזקה.</w:t>
      </w:r>
    </w:p>
    <w:p w:rsidR="007A505A" w:rsidRPr="001D1883" w:rsidRDefault="007A505A" w:rsidP="007A505A">
      <w:pPr>
        <w:pStyle w:val="a3"/>
        <w:rPr>
          <w:rtl/>
        </w:rPr>
      </w:pPr>
      <w:bookmarkStart w:id="3731" w:name="_Toc55386283"/>
      <w:bookmarkStart w:id="3732" w:name="_Toc55391204"/>
      <w:r>
        <w:rPr>
          <w:rFonts w:hint="cs"/>
          <w:rtl/>
        </w:rPr>
        <w:t>ביאור הגרנ"פ ברש"י דהחזקה מוציאה מהמר"ק ואף במחה שלא בפניו באותה העיר הוי חזקה</w:t>
      </w:r>
      <w:bookmarkEnd w:id="3731"/>
      <w:bookmarkEnd w:id="3732"/>
    </w:p>
    <w:p w:rsidR="007A505A" w:rsidRPr="001D1883" w:rsidRDefault="007A505A" w:rsidP="007E4E81">
      <w:pPr>
        <w:pStyle w:val="a0"/>
        <w:rPr>
          <w:rtl/>
        </w:rPr>
      </w:pPr>
      <w:r w:rsidRPr="001D1883">
        <w:rPr>
          <w:rFonts w:hint="cs"/>
          <w:rtl/>
        </w:rPr>
        <w:t xml:space="preserve">אך כתב </w:t>
      </w:r>
      <w:r w:rsidRPr="001D1883">
        <w:rPr>
          <w:rStyle w:val="af9"/>
          <w:rFonts w:hint="cs"/>
          <w:rtl/>
        </w:rPr>
        <w:t>בחי' רבי נחום</w:t>
      </w:r>
      <w:r w:rsidRPr="001D1883">
        <w:rPr>
          <w:rFonts w:hint="cs"/>
          <w:rtl/>
        </w:rPr>
        <w:t xml:space="preserve"> דלפי ביאורו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Ref55147610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1D1883">
        <w:rPr>
          <w:rStyle w:val="af7"/>
          <w:rFonts w:eastAsia="Guttman Hodes"/>
          <w:rtl/>
        </w:rPr>
        <w:fldChar w:fldCharType="end"/>
      </w:r>
      <w:r w:rsidRPr="001D1883">
        <w:rPr>
          <w:rStyle w:val="af9"/>
          <w:rFonts w:hint="cs"/>
          <w:rtl/>
        </w:rPr>
        <w:t xml:space="preserve"> דרש"י</w:t>
      </w:r>
      <w:r w:rsidRPr="001D1883">
        <w:rPr>
          <w:rFonts w:hint="cs"/>
          <w:rtl/>
        </w:rPr>
        <w:t xml:space="preserve"> לשיטתו דס"ל דהחזקה להולכי אושא היא מחמת עצם הג' אכילות, דהחזקה עצמה מוציאה מרשות המוכר, א"כ אפש"ל דאף כשהמערער לא נמצא בעיר של המחזיק, אף אי מחאה שלא בפניו לא הוי מחאה, ולא היה על המערער לבא ולמחות בפני המחזיק, מ"מ הוי חזקה, דהא כל שאכל המחזיק ג' אכילות, יצאה בזה הקרקע מחזקת המרא קמא, והיא עומדת בחזקת המחזיק, והרי ביאר </w:t>
      </w:r>
      <w:r w:rsidRPr="001D1883">
        <w:rPr>
          <w:rStyle w:val="af9"/>
          <w:rFonts w:hint="cs"/>
          <w:rtl/>
        </w:rPr>
        <w:t>רש"י</w:t>
      </w:r>
      <w:r w:rsidRPr="001D1883">
        <w:rPr>
          <w:rStyle w:val="af7"/>
          <w:rFonts w:eastAsia="Guttman Hodes" w:hint="cs"/>
          <w:rtl/>
        </w:rPr>
        <w:t xml:space="preserve"> (עי'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Ref54603459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1D1883">
        <w:rPr>
          <w:rStyle w:val="af7"/>
          <w:rFonts w:eastAsia="Guttman Hodes"/>
          <w:rtl/>
        </w:rPr>
        <w:fldChar w:fldCharType="end"/>
      </w:r>
      <w:r w:rsidRPr="001D1883">
        <w:rPr>
          <w:rFonts w:hint="cs"/>
          <w:rtl/>
        </w:rPr>
        <w:t xml:space="preserve"> דהמחאה היא רק בכדי שישמור את שטרו, ואינה עיקר הטעם של החזקה.</w:t>
      </w:r>
    </w:p>
    <w:p w:rsidR="007A505A" w:rsidRPr="001D1883" w:rsidRDefault="007A505A" w:rsidP="007A505A">
      <w:pPr>
        <w:pStyle w:val="1"/>
        <w:rPr>
          <w:rtl/>
        </w:rPr>
      </w:pPr>
      <w:bookmarkStart w:id="3733" w:name="_Toc55325177"/>
      <w:bookmarkStart w:id="3734" w:name="_Toc55342104"/>
      <w:bookmarkStart w:id="3735" w:name="_Toc55342205"/>
      <w:bookmarkStart w:id="3736" w:name="_Toc55375311"/>
      <w:bookmarkStart w:id="3737" w:name="_Toc55386284"/>
      <w:bookmarkStart w:id="3738" w:name="_Toc55391205"/>
      <w:r w:rsidRPr="001D1883">
        <w:rPr>
          <w:rFonts w:hint="cs"/>
          <w:rtl/>
        </w:rPr>
        <w:t>ביאור הגרנ"פ בתוס'</w:t>
      </w:r>
      <w:bookmarkEnd w:id="3733"/>
      <w:bookmarkEnd w:id="3734"/>
      <w:bookmarkEnd w:id="3735"/>
      <w:bookmarkEnd w:id="3736"/>
      <w:bookmarkEnd w:id="3737"/>
      <w:r>
        <w:rPr>
          <w:rFonts w:hint="cs"/>
          <w:rtl/>
        </w:rPr>
        <w:t xml:space="preserve"> דרק במחה בעיר אחרת ל"ה חזקה</w:t>
      </w:r>
      <w:bookmarkEnd w:id="3738"/>
    </w:p>
    <w:p w:rsidR="007A505A" w:rsidRPr="001D1883" w:rsidRDefault="007A505A" w:rsidP="007A505A">
      <w:pPr>
        <w:pStyle w:val="a3"/>
        <w:rPr>
          <w:rtl/>
        </w:rPr>
      </w:pPr>
      <w:bookmarkStart w:id="3739" w:name="_Toc55386285"/>
      <w:bookmarkStart w:id="3740" w:name="_Toc55391206"/>
      <w:r>
        <w:rPr>
          <w:rFonts w:hint="cs"/>
          <w:rtl/>
        </w:rPr>
        <w:t>ביאור הגרנ"פ בתוס' דהמחאה דלא יוחזק שתקן במחאה שלא בפניו בעיר אחרת לא הוי חזקה</w:t>
      </w:r>
      <w:bookmarkEnd w:id="3739"/>
      <w:bookmarkEnd w:id="3740"/>
    </w:p>
    <w:p w:rsidR="007A505A" w:rsidRDefault="007A505A" w:rsidP="007E4E81">
      <w:pPr>
        <w:pStyle w:val="a0"/>
        <w:rPr>
          <w:rtl/>
        </w:rPr>
      </w:pPr>
      <w:bookmarkStart w:id="3741" w:name="_Ref55383662"/>
      <w:r w:rsidRPr="001D1883">
        <w:rPr>
          <w:rFonts w:hint="cs"/>
          <w:rtl/>
        </w:rPr>
        <w:t xml:space="preserve">אבל לדעת </w:t>
      </w:r>
      <w:r w:rsidRPr="00746242">
        <w:rPr>
          <w:rStyle w:val="af9"/>
          <w:rFonts w:hint="cs"/>
          <w:rtl/>
        </w:rPr>
        <w:t>התוס'</w:t>
      </w:r>
      <w:r w:rsidRPr="001D1883">
        <w:rPr>
          <w:rStyle w:val="afb"/>
          <w:rFonts w:hint="cs"/>
          <w:rtl/>
        </w:rPr>
        <w:t xml:space="preserve"> </w:t>
      </w:r>
      <w:r w:rsidRPr="00746242">
        <w:rPr>
          <w:rStyle w:val="af7"/>
          <w:rFonts w:eastAsia="Guttman Hodes" w:hint="cs"/>
          <w:rtl/>
        </w:rPr>
        <w:t>(כח. ד</w:t>
      </w:r>
      <w:r w:rsidRPr="00746242">
        <w:rPr>
          <w:rStyle w:val="af7"/>
          <w:rFonts w:eastAsia="Guttman Hodes"/>
          <w:rtl/>
        </w:rPr>
        <w:t>"</w:t>
      </w:r>
      <w:r w:rsidRPr="00746242">
        <w:rPr>
          <w:rStyle w:val="af7"/>
          <w:rFonts w:eastAsia="Guttman Hodes" w:hint="cs"/>
          <w:rtl/>
        </w:rPr>
        <w:t>ה עד ,כט. ד"ה שתא, הובא בסימן ג' אות י"ג)</w:t>
      </w:r>
      <w:r>
        <w:rPr>
          <w:rFonts w:hint="cs"/>
          <w:rtl/>
        </w:rPr>
        <w:t xml:space="preserve"> </w:t>
      </w:r>
      <w:r w:rsidRPr="001D1883">
        <w:rPr>
          <w:rFonts w:hint="cs"/>
          <w:rtl/>
        </w:rPr>
        <w:t xml:space="preserve">דביארו דלהולכי אושא החזקה היא שבג"פ הוחזק המערער שתקן, כתב </w:t>
      </w:r>
      <w:r w:rsidRPr="00282A82">
        <w:rPr>
          <w:rStyle w:val="af9"/>
          <w:rFonts w:hint="cs"/>
          <w:rtl/>
        </w:rPr>
        <w:t>בחי' רבי נחום</w:t>
      </w:r>
      <w:r w:rsidRPr="001D1883">
        <w:rPr>
          <w:rFonts w:hint="cs"/>
          <w:rtl/>
        </w:rPr>
        <w:t xml:space="preserve"> </w:t>
      </w:r>
      <w:r w:rsidRPr="001D1883">
        <w:rPr>
          <w:rStyle w:val="af7"/>
          <w:rFonts w:eastAsia="Guttman Hodes" w:hint="cs"/>
          <w:rtl/>
        </w:rPr>
        <w:t>(כט. או' ל' ד"ה ונראה)</w:t>
      </w:r>
      <w:r w:rsidRPr="001D1883">
        <w:rPr>
          <w:rFonts w:hint="cs"/>
          <w:rtl/>
        </w:rPr>
        <w:t xml:space="preserve"> דא"כ כל שהיה המערער בעיר אחרת, ולא היה עליו לבא ולמחות לפני המחזיק, א"כ אי מחאה שלא בפניו לא הוי מחאה, ממילא לא הוי חזקה, דהא לא הוחזק המערער שתקן, דהוא לא היה יכול למחות.</w:t>
      </w:r>
      <w:bookmarkEnd w:id="3741"/>
    </w:p>
    <w:p w:rsidR="007A505A" w:rsidRPr="00B004E8" w:rsidRDefault="007A505A" w:rsidP="007A505A">
      <w:pPr>
        <w:pStyle w:val="1"/>
        <w:rPr>
          <w:rtl/>
        </w:rPr>
      </w:pPr>
      <w:bookmarkStart w:id="3742" w:name="_Toc55386286"/>
      <w:bookmarkStart w:id="3743" w:name="_Toc55391207"/>
      <w:r>
        <w:rPr>
          <w:rFonts w:hint="cs"/>
          <w:rtl/>
        </w:rPr>
        <w:t>תי' הגרנ"פ על קושית המהרש"א בסתירת דברי התוס'</w:t>
      </w:r>
      <w:bookmarkEnd w:id="3742"/>
      <w:bookmarkEnd w:id="3743"/>
    </w:p>
    <w:p w:rsidR="007A505A" w:rsidRPr="001D1883" w:rsidRDefault="007A505A" w:rsidP="007A505A">
      <w:pPr>
        <w:pStyle w:val="a3"/>
        <w:rPr>
          <w:rtl/>
        </w:rPr>
      </w:pPr>
      <w:bookmarkStart w:id="3744" w:name="_Toc55386287"/>
      <w:bookmarkStart w:id="3745" w:name="_Toc55391208"/>
      <w:r>
        <w:rPr>
          <w:rFonts w:hint="cs"/>
          <w:rtl/>
        </w:rPr>
        <w:t>דברי הגרנ"פ דתי'</w:t>
      </w:r>
      <w:r w:rsidRPr="001D1883">
        <w:rPr>
          <w:rFonts w:hint="cs"/>
          <w:rtl/>
        </w:rPr>
        <w:t xml:space="preserve"> המהרש"א </w:t>
      </w:r>
      <w:r>
        <w:rPr>
          <w:rFonts w:hint="cs"/>
          <w:rtl/>
        </w:rPr>
        <w:t>בסתירת דברי ה</w:t>
      </w:r>
      <w:r w:rsidRPr="001D1883">
        <w:rPr>
          <w:rFonts w:hint="cs"/>
          <w:rtl/>
        </w:rPr>
        <w:t xml:space="preserve">תוס' </w:t>
      </w:r>
      <w:r>
        <w:rPr>
          <w:rFonts w:hint="cs"/>
          <w:rtl/>
        </w:rPr>
        <w:t>ב</w:t>
      </w:r>
      <w:r w:rsidRPr="001D1883">
        <w:rPr>
          <w:rFonts w:hint="cs"/>
          <w:rtl/>
        </w:rPr>
        <w:t xml:space="preserve">מחאה שלא בפניו </w:t>
      </w:r>
      <w:r>
        <w:rPr>
          <w:rFonts w:hint="cs"/>
          <w:rtl/>
        </w:rPr>
        <w:t xml:space="preserve">אי </w:t>
      </w:r>
      <w:r w:rsidRPr="001D1883">
        <w:rPr>
          <w:rFonts w:hint="cs"/>
          <w:rtl/>
        </w:rPr>
        <w:t>הוי חזקה</w:t>
      </w:r>
      <w:r>
        <w:rPr>
          <w:rFonts w:hint="cs"/>
          <w:rtl/>
        </w:rPr>
        <w:t xml:space="preserve"> הוא דוחק</w:t>
      </w:r>
      <w:bookmarkEnd w:id="3744"/>
      <w:bookmarkEnd w:id="3745"/>
    </w:p>
    <w:p w:rsidR="007A505A" w:rsidRPr="001D1883" w:rsidRDefault="007A505A" w:rsidP="007E4E81">
      <w:pPr>
        <w:pStyle w:val="a0"/>
        <w:rPr>
          <w:rtl/>
        </w:rPr>
      </w:pPr>
      <w:bookmarkStart w:id="3746" w:name="_Ref55324042"/>
      <w:r w:rsidRPr="001D1883">
        <w:rPr>
          <w:rFonts w:hint="cs"/>
          <w:rtl/>
        </w:rPr>
        <w:t xml:space="preserve">והביא </w:t>
      </w:r>
      <w:r w:rsidRPr="001D1883">
        <w:rPr>
          <w:rStyle w:val="af9"/>
          <w:rFonts w:hint="cs"/>
          <w:rtl/>
        </w:rPr>
        <w:t>בחי' רבי נחום</w:t>
      </w:r>
      <w:r w:rsidRPr="001D1883">
        <w:rPr>
          <w:rFonts w:hint="cs"/>
          <w:rtl/>
        </w:rPr>
        <w:t xml:space="preserve"> </w:t>
      </w:r>
      <w:r w:rsidRPr="001D1883">
        <w:rPr>
          <w:rStyle w:val="af7"/>
          <w:rFonts w:eastAsia="Guttman Hodes" w:hint="cs"/>
          <w:rtl/>
        </w:rPr>
        <w:t xml:space="preserve">(כט. או' ל' ד"ה </w:t>
      </w:r>
      <w:r>
        <w:rPr>
          <w:rStyle w:val="af7"/>
          <w:rFonts w:eastAsia="Guttman Hodes" w:hint="cs"/>
          <w:rtl/>
        </w:rPr>
        <w:t>תוד"ה</w:t>
      </w:r>
      <w:r w:rsidRPr="001D1883">
        <w:rPr>
          <w:rStyle w:val="af7"/>
          <w:rFonts w:eastAsia="Guttman Hodes" w:hint="cs"/>
          <w:rtl/>
        </w:rPr>
        <w:t>)</w:t>
      </w:r>
      <w:r w:rsidRPr="001D1883">
        <w:rPr>
          <w:rFonts w:hint="cs"/>
          <w:rtl/>
        </w:rPr>
        <w:t xml:space="preserve"> את קושית </w:t>
      </w:r>
      <w:r w:rsidRPr="001D1883">
        <w:rPr>
          <w:rStyle w:val="af9"/>
          <w:rFonts w:hint="cs"/>
          <w:rtl/>
        </w:rPr>
        <w:t>המהרש"א</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Ref55323400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1D1883">
        <w:rPr>
          <w:rStyle w:val="af7"/>
          <w:rFonts w:eastAsia="Guttman Hodes"/>
          <w:rtl/>
        </w:rPr>
        <w:fldChar w:fldCharType="end"/>
      </w:r>
      <w:r w:rsidRPr="001D1883">
        <w:rPr>
          <w:rStyle w:val="af7"/>
          <w:rFonts w:eastAsia="Guttman Hodes" w:hint="cs"/>
          <w:rtl/>
        </w:rPr>
        <w:t xml:space="preserve"> </w:t>
      </w:r>
      <w:r w:rsidRPr="001D1883">
        <w:rPr>
          <w:rStyle w:val="af9"/>
          <w:rFonts w:hint="cs"/>
          <w:rtl/>
        </w:rPr>
        <w:t xml:space="preserve">דהתוס'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Ref55319218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1D1883">
        <w:rPr>
          <w:rStyle w:val="af7"/>
          <w:rFonts w:eastAsia="Guttman Hodes"/>
          <w:rtl/>
        </w:rPr>
        <w:fldChar w:fldCharType="end"/>
      </w:r>
      <w:r w:rsidRPr="001D1883">
        <w:rPr>
          <w:rFonts w:hint="cs"/>
          <w:rtl/>
        </w:rPr>
        <w:t xml:space="preserve"> ביארו דקושית הגמ' היא דכיון דלא מהני המחאה לא מהני החזקה, ואילו </w:t>
      </w:r>
      <w:r w:rsidRPr="001D1883">
        <w:rPr>
          <w:rStyle w:val="af9"/>
          <w:rFonts w:hint="cs"/>
          <w:rtl/>
        </w:rPr>
        <w:t>ר"י בתוס' לקמן</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Ref55208036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1D1883">
        <w:rPr>
          <w:rStyle w:val="af7"/>
          <w:rFonts w:eastAsia="Guttman Hodes"/>
          <w:rtl/>
        </w:rPr>
        <w:fldChar w:fldCharType="end"/>
      </w:r>
      <w:r w:rsidRPr="001D1883">
        <w:rPr>
          <w:rFonts w:hint="cs"/>
          <w:rtl/>
        </w:rPr>
        <w:t xml:space="preserve"> ביאר דקושית אביי דלרבנן לא תועיל המחאה היא באופן שהמערער והמחזיק נמצאים באותה העיר, דהו"א דהמחאה לא מהני, ואפ"ה הוי חזקה, וכתב </w:t>
      </w:r>
      <w:r w:rsidRPr="001D1883">
        <w:rPr>
          <w:rStyle w:val="af9"/>
          <w:rFonts w:hint="cs"/>
          <w:rtl/>
        </w:rPr>
        <w:t>בחי' רבי נחום</w:t>
      </w:r>
      <w:r w:rsidRPr="001D1883">
        <w:rPr>
          <w:rFonts w:hint="cs"/>
          <w:rtl/>
        </w:rPr>
        <w:t xml:space="preserve"> </w:t>
      </w:r>
      <w:r w:rsidRPr="001D1883">
        <w:rPr>
          <w:rStyle w:val="af7"/>
          <w:rFonts w:eastAsia="Guttman Hodes" w:hint="cs"/>
          <w:rtl/>
        </w:rPr>
        <w:t>(כט. או' ל' ד"ה ונראה)</w:t>
      </w:r>
      <w:r w:rsidRPr="001D1883">
        <w:rPr>
          <w:rFonts w:hint="cs"/>
          <w:rtl/>
        </w:rPr>
        <w:t xml:space="preserve"> דתירוץ </w:t>
      </w:r>
      <w:r w:rsidRPr="001D1883">
        <w:rPr>
          <w:rStyle w:val="af9"/>
          <w:rFonts w:hint="cs"/>
          <w:rtl/>
        </w:rPr>
        <w:t xml:space="preserve">המהרש"א </w:t>
      </w:r>
      <w:r w:rsidRPr="001D1883">
        <w:rPr>
          <w:rFonts w:hint="cs"/>
          <w:rtl/>
        </w:rPr>
        <w:t>הוא דוחק.</w:t>
      </w:r>
      <w:bookmarkEnd w:id="3746"/>
    </w:p>
    <w:p w:rsidR="007A505A" w:rsidRPr="001D1883" w:rsidRDefault="007A505A" w:rsidP="007A505A">
      <w:pPr>
        <w:pStyle w:val="a3"/>
      </w:pPr>
      <w:bookmarkStart w:id="3747" w:name="_Toc55386288"/>
      <w:bookmarkStart w:id="3748" w:name="_Toc55391209"/>
      <w:r>
        <w:rPr>
          <w:rFonts w:hint="cs"/>
          <w:rtl/>
        </w:rPr>
        <w:t>ביאור הגרנ"פ דבעיר אחרת א"צ לבא ולמחות ולא הוחזק שתקן וביארו התוס' דאיירי בעיר אחת</w:t>
      </w:r>
      <w:bookmarkEnd w:id="3747"/>
      <w:bookmarkEnd w:id="3748"/>
    </w:p>
    <w:p w:rsidR="007A505A" w:rsidRPr="001D1883" w:rsidRDefault="007A505A" w:rsidP="007E4E81">
      <w:pPr>
        <w:pStyle w:val="a0"/>
        <w:rPr>
          <w:rtl/>
        </w:rPr>
      </w:pPr>
      <w:r w:rsidRPr="001D1883">
        <w:rPr>
          <w:rFonts w:hint="cs"/>
          <w:rtl/>
        </w:rPr>
        <w:t xml:space="preserve">וכתב </w:t>
      </w:r>
      <w:r w:rsidRPr="001D1883">
        <w:rPr>
          <w:rStyle w:val="af9"/>
          <w:rFonts w:hint="cs"/>
          <w:rtl/>
        </w:rPr>
        <w:t>בחי' רבי נחום</w:t>
      </w:r>
      <w:r w:rsidRPr="001D1883">
        <w:rPr>
          <w:rFonts w:hint="cs"/>
          <w:rtl/>
        </w:rPr>
        <w:t xml:space="preserve"> </w:t>
      </w:r>
      <w:r w:rsidRPr="001D1883">
        <w:rPr>
          <w:rStyle w:val="af7"/>
          <w:rFonts w:eastAsia="Guttman Hodes" w:hint="cs"/>
          <w:rtl/>
        </w:rPr>
        <w:t>(כט. או' ל' ד"ה ונראה)</w:t>
      </w:r>
      <w:r w:rsidRPr="001D1883">
        <w:rPr>
          <w:rFonts w:hint="cs"/>
          <w:rtl/>
        </w:rPr>
        <w:t xml:space="preserve"> דלפי דבריו </w:t>
      </w:r>
      <w:r>
        <w:rPr>
          <w:rFonts w:hint="cs"/>
          <w:rtl/>
        </w:rPr>
        <w:t xml:space="preserve">דביאר </w:t>
      </w:r>
      <w:r w:rsidRPr="00295E87">
        <w:rPr>
          <w:rStyle w:val="af9"/>
          <w:rFonts w:hint="cs"/>
          <w:rtl/>
        </w:rPr>
        <w:t>רבי נחום</w:t>
      </w:r>
      <w:r>
        <w:rPr>
          <w:rFonts w:hint="cs"/>
          <w:rtl/>
        </w:rPr>
        <w:t xml:space="preserve"> </w:t>
      </w:r>
      <w:r w:rsidRPr="00170AC2">
        <w:rPr>
          <w:rStyle w:val="af7"/>
          <w:rFonts w:eastAsia="Guttman Hodes" w:hint="cs"/>
          <w:rtl/>
        </w:rPr>
        <w:t xml:space="preserve">(עי' אות </w:t>
      </w:r>
      <w:r w:rsidRPr="00170AC2">
        <w:rPr>
          <w:rStyle w:val="af7"/>
          <w:rFonts w:eastAsia="Guttman Hodes"/>
          <w:rtl/>
        </w:rPr>
        <w:fldChar w:fldCharType="begin"/>
      </w:r>
      <w:r w:rsidRPr="00170AC2">
        <w:rPr>
          <w:rStyle w:val="af7"/>
          <w:rFonts w:eastAsia="Guttman Hodes"/>
          <w:rtl/>
        </w:rPr>
        <w:instrText xml:space="preserve"> </w:instrText>
      </w:r>
      <w:r w:rsidRPr="00170AC2">
        <w:rPr>
          <w:rStyle w:val="af7"/>
          <w:rFonts w:eastAsia="Guttman Hodes" w:hint="cs"/>
        </w:rPr>
        <w:instrText>REF</w:instrText>
      </w:r>
      <w:r w:rsidRPr="00170AC2">
        <w:rPr>
          <w:rStyle w:val="af7"/>
          <w:rFonts w:eastAsia="Guttman Hodes" w:hint="cs"/>
          <w:rtl/>
        </w:rPr>
        <w:instrText xml:space="preserve"> _</w:instrText>
      </w:r>
      <w:r w:rsidRPr="00170AC2">
        <w:rPr>
          <w:rStyle w:val="af7"/>
          <w:rFonts w:eastAsia="Guttman Hodes" w:hint="cs"/>
        </w:rPr>
        <w:instrText>Ref55383662 \r \h</w:instrText>
      </w:r>
      <w:r w:rsidRPr="00170AC2">
        <w:rPr>
          <w:rStyle w:val="af7"/>
          <w:rFonts w:eastAsia="Guttman Hodes"/>
          <w:rtl/>
        </w:rPr>
        <w:instrText xml:space="preserve"> </w:instrText>
      </w:r>
      <w:r w:rsidRPr="00170AC2">
        <w:rPr>
          <w:rStyle w:val="af7"/>
          <w:rFonts w:eastAsia="Guttman Hodes"/>
          <w:rtl/>
        </w:rPr>
      </w:r>
      <w:r w:rsidRPr="00170AC2">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sidRPr="00170AC2">
        <w:rPr>
          <w:rStyle w:val="af7"/>
          <w:rFonts w:eastAsia="Guttman Hodes"/>
          <w:rtl/>
        </w:rPr>
        <w:fldChar w:fldCharType="end"/>
      </w:r>
      <w:r>
        <w:rPr>
          <w:rFonts w:hint="cs"/>
          <w:rtl/>
        </w:rPr>
        <w:t xml:space="preserve"> </w:t>
      </w:r>
      <w:r w:rsidRPr="00170AC2">
        <w:rPr>
          <w:rStyle w:val="af9"/>
          <w:rFonts w:hint="cs"/>
          <w:rtl/>
        </w:rPr>
        <w:t>דלתוס'</w:t>
      </w:r>
      <w:r>
        <w:rPr>
          <w:rFonts w:hint="cs"/>
          <w:rtl/>
        </w:rPr>
        <w:t xml:space="preserve"> כל שהיה המערער בעיר אחרת, </w:t>
      </w:r>
      <w:r w:rsidRPr="001D1883">
        <w:rPr>
          <w:rFonts w:hint="cs"/>
          <w:rtl/>
        </w:rPr>
        <w:t>לא היה עליו לבא ולמחות לפני המחזיק,</w:t>
      </w:r>
      <w:r>
        <w:rPr>
          <w:rFonts w:hint="cs"/>
          <w:rtl/>
        </w:rPr>
        <w:t xml:space="preserve"> דהא אינו מוחזק שתקן,</w:t>
      </w:r>
      <w:r w:rsidRPr="001D1883">
        <w:rPr>
          <w:rFonts w:hint="cs"/>
          <w:rtl/>
        </w:rPr>
        <w:t xml:space="preserve"> מתורצת קושית </w:t>
      </w:r>
      <w:r w:rsidRPr="001D1883">
        <w:rPr>
          <w:rStyle w:val="af9"/>
          <w:rFonts w:hint="cs"/>
          <w:rtl/>
        </w:rPr>
        <w:t>המהרש"א</w:t>
      </w:r>
      <w:r w:rsidRPr="001D1883">
        <w:rPr>
          <w:rFonts w:hint="cs"/>
          <w:rtl/>
        </w:rPr>
        <w:t xml:space="preserve"> ד</w:t>
      </w:r>
      <w:r>
        <w:rPr>
          <w:rFonts w:hint="cs"/>
          <w:rtl/>
        </w:rPr>
        <w:t>ב</w:t>
      </w:r>
      <w:r w:rsidRPr="001D1883">
        <w:rPr>
          <w:rFonts w:hint="cs"/>
          <w:rtl/>
        </w:rPr>
        <w:t xml:space="preserve">היה המערער בעיר אחרת, ולא היה עליו לבא ולמחות לפני המחזיק, א"כ אי מחאה שלא בפניו לא הוי מחאה, ממילא לדעת הולכי אושא לא הוי חזקה, דהא לא הוחזק המערער שתקן, דהוא לא היה יכול למחות, ולכן ביארו </w:t>
      </w:r>
      <w:r w:rsidRPr="001D1883">
        <w:rPr>
          <w:rStyle w:val="af9"/>
          <w:rFonts w:hint="cs"/>
          <w:rtl/>
        </w:rPr>
        <w:t xml:space="preserve">התוס'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Ref55319218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1D1883">
        <w:rPr>
          <w:rStyle w:val="af7"/>
          <w:rFonts w:eastAsia="Guttman Hodes"/>
          <w:rtl/>
        </w:rPr>
        <w:fldChar w:fldCharType="end"/>
      </w:r>
      <w:r w:rsidRPr="001D1883">
        <w:rPr>
          <w:rFonts w:hint="cs"/>
          <w:rtl/>
        </w:rPr>
        <w:t xml:space="preserve"> דבקושית הגמ' להולכי אושא איירי באופן שהמערער אינו נמצא באותה העיר של המחזיק, ואי מחאה שלא בפניו לא הוי מחאה, א"כ אין חזקה כלל, דהמערער לא היה יכול למחות, ולא הוחזק שתקן.</w:t>
      </w:r>
    </w:p>
    <w:p w:rsidR="007A505A" w:rsidRPr="001D1883" w:rsidRDefault="007A505A" w:rsidP="007A505A">
      <w:pPr>
        <w:pStyle w:val="a3"/>
        <w:rPr>
          <w:rtl/>
        </w:rPr>
      </w:pPr>
      <w:bookmarkStart w:id="3749" w:name="_Toc55386289"/>
      <w:bookmarkStart w:id="3750" w:name="_Toc55391210"/>
      <w:r>
        <w:rPr>
          <w:rFonts w:hint="cs"/>
          <w:rtl/>
        </w:rPr>
        <w:t>ביאור הגרנ"פ בתוס' דקושית אביי איירי באותה העיר רק לרבנן דהחזקה אינה דהוחזק שתקן</w:t>
      </w:r>
      <w:bookmarkEnd w:id="3749"/>
      <w:bookmarkEnd w:id="3750"/>
    </w:p>
    <w:p w:rsidR="007A505A" w:rsidRPr="001D1883" w:rsidRDefault="007A505A" w:rsidP="007E4E81">
      <w:pPr>
        <w:pStyle w:val="a0"/>
        <w:rPr>
          <w:rtl/>
        </w:rPr>
      </w:pPr>
      <w:r w:rsidRPr="001D1883">
        <w:rPr>
          <w:rFonts w:hint="cs"/>
          <w:rtl/>
        </w:rPr>
        <w:t xml:space="preserve">וכתב </w:t>
      </w:r>
      <w:r w:rsidRPr="0086566E">
        <w:rPr>
          <w:rStyle w:val="af9"/>
          <w:rFonts w:hint="cs"/>
          <w:rtl/>
        </w:rPr>
        <w:t>בחי' רבי נחום</w:t>
      </w:r>
      <w:r w:rsidRPr="001D1883">
        <w:rPr>
          <w:rFonts w:hint="cs"/>
          <w:rtl/>
        </w:rPr>
        <w:t xml:space="preserve"> דלפי"ז מבואר דהא ד</w:t>
      </w:r>
      <w:r>
        <w:rPr>
          <w:rFonts w:hint="cs"/>
          <w:rtl/>
        </w:rPr>
        <w:t xml:space="preserve">כתבו </w:t>
      </w:r>
      <w:r w:rsidRPr="001D1883">
        <w:rPr>
          <w:rStyle w:val="af9"/>
          <w:rFonts w:hint="cs"/>
          <w:rtl/>
        </w:rPr>
        <w:t>התוס' לקמן</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Ref55208036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1D1883">
        <w:rPr>
          <w:rStyle w:val="af7"/>
          <w:rFonts w:eastAsia="Guttman Hodes"/>
          <w:rtl/>
        </w:rPr>
        <w:fldChar w:fldCharType="end"/>
      </w:r>
      <w:r w:rsidRPr="001D1883">
        <w:rPr>
          <w:rFonts w:hint="cs"/>
          <w:rtl/>
        </w:rPr>
        <w:t xml:space="preserve"> דבקושית הגמ' לאביי איירי שהמערער והמחזיק הם באותה העיר, דלא הוי מחאה והוי חזקה, היינו כיון דאביי הקשה לדעת רבנן, אבל להולכי אושא דטעמא דחזקה הוא מחמת שהוחזק המערער שתקן, לא שייך להקשות כלל דבאותה העיר לא תהיה מחאה, דהא אף שהיה המערער צריך לבא ולמחות בפניו ולא בא, מ"מ א"א לומר דהוא הוחזק המערער שתקן, דהא הוא מחה, וכל שלא הוחזק שתקן ממילא לא הוי חזקה.</w:t>
      </w:r>
    </w:p>
    <w:p w:rsidR="007A505A" w:rsidRPr="001D1883" w:rsidRDefault="007A505A" w:rsidP="007A505A">
      <w:pPr>
        <w:pStyle w:val="a3"/>
        <w:rPr>
          <w:rtl/>
        </w:rPr>
      </w:pPr>
      <w:bookmarkStart w:id="3751" w:name="_Toc55386290"/>
      <w:bookmarkStart w:id="3752" w:name="_Toc55391211"/>
      <w:r>
        <w:rPr>
          <w:rFonts w:hint="cs"/>
          <w:rtl/>
        </w:rPr>
        <w:t>ביאור הגרנ"פ דכוונת התוס' דאפשר להקשות אף בלא הילפותא היינו כדהקשה אביי מסברא</w:t>
      </w:r>
      <w:bookmarkEnd w:id="3751"/>
      <w:bookmarkEnd w:id="3752"/>
    </w:p>
    <w:p w:rsidR="007A505A" w:rsidRDefault="007A505A" w:rsidP="007E4E81">
      <w:pPr>
        <w:pStyle w:val="a0"/>
        <w:rPr>
          <w:rtl/>
        </w:rPr>
      </w:pPr>
      <w:bookmarkStart w:id="3753" w:name="_Ref55383812"/>
      <w:r w:rsidRPr="001D1883">
        <w:rPr>
          <w:rFonts w:hint="cs"/>
          <w:rtl/>
        </w:rPr>
        <w:t xml:space="preserve">וכתב </w:t>
      </w:r>
      <w:r w:rsidRPr="00343831">
        <w:rPr>
          <w:rStyle w:val="af9"/>
          <w:rFonts w:hint="cs"/>
          <w:rtl/>
        </w:rPr>
        <w:t xml:space="preserve">בחי' רבי נחום </w:t>
      </w:r>
      <w:r>
        <w:rPr>
          <w:rStyle w:val="af7"/>
          <w:rFonts w:eastAsia="Guttman Hodes" w:hint="cs"/>
          <w:rtl/>
        </w:rPr>
        <w:t>(כט. או' ל' ד"ה ולפי"ז</w:t>
      </w:r>
      <w:r w:rsidRPr="001D1883">
        <w:rPr>
          <w:rStyle w:val="af7"/>
          <w:rFonts w:eastAsia="Guttman Hodes" w:hint="cs"/>
          <w:rtl/>
        </w:rPr>
        <w:t>)</w:t>
      </w:r>
      <w:r w:rsidRPr="001D1883">
        <w:rPr>
          <w:rFonts w:hint="cs"/>
          <w:rtl/>
        </w:rPr>
        <w:t xml:space="preserve"> דלפי"ז מ"ש </w:t>
      </w:r>
      <w:r w:rsidRPr="00343831">
        <w:rPr>
          <w:rStyle w:val="af9"/>
          <w:rFonts w:hint="cs"/>
          <w:rtl/>
        </w:rPr>
        <w:t>התוס'</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Ref54609901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1D1883">
        <w:rPr>
          <w:rStyle w:val="af7"/>
          <w:rFonts w:eastAsia="Guttman Hodes"/>
          <w:rtl/>
        </w:rPr>
        <w:fldChar w:fldCharType="end"/>
      </w:r>
      <w:r w:rsidRPr="001D1883">
        <w:rPr>
          <w:rFonts w:hint="cs"/>
          <w:rtl/>
        </w:rPr>
        <w:t xml:space="preserve"> דהגמ' בסוגיין הייתה יכולה להקשות אף לדעת רבנן ולא רק להולכי אושא, אין כוונת </w:t>
      </w:r>
      <w:r w:rsidRPr="00343831">
        <w:rPr>
          <w:rStyle w:val="af9"/>
          <w:rFonts w:hint="cs"/>
          <w:rtl/>
        </w:rPr>
        <w:t xml:space="preserve">התוס' </w:t>
      </w:r>
      <w:r w:rsidRPr="001D1883">
        <w:rPr>
          <w:rFonts w:hint="cs"/>
          <w:rtl/>
        </w:rPr>
        <w:t xml:space="preserve">לומר דלרבנן אפשר להקשות בעיר אחרת, כדביאר </w:t>
      </w:r>
      <w:r w:rsidRPr="00343831">
        <w:rPr>
          <w:rStyle w:val="af9"/>
          <w:rFonts w:hint="cs"/>
          <w:rtl/>
        </w:rPr>
        <w:t xml:space="preserve">המהרש"א </w:t>
      </w:r>
      <w:r w:rsidRPr="00343831">
        <w:rPr>
          <w:rStyle w:val="af7"/>
          <w:rFonts w:eastAsia="Guttman Hodes" w:hint="cs"/>
          <w:rtl/>
        </w:rPr>
        <w:t xml:space="preserve">(עי' אות </w:t>
      </w:r>
      <w:r w:rsidRPr="00343831">
        <w:rPr>
          <w:rStyle w:val="af7"/>
          <w:rFonts w:eastAsia="Guttman Hodes"/>
          <w:rtl/>
        </w:rPr>
        <w:fldChar w:fldCharType="begin"/>
      </w:r>
      <w:r w:rsidRPr="00343831">
        <w:rPr>
          <w:rStyle w:val="af7"/>
          <w:rFonts w:eastAsia="Guttman Hodes"/>
          <w:rtl/>
        </w:rPr>
        <w:instrText xml:space="preserve"> </w:instrText>
      </w:r>
      <w:r w:rsidRPr="00343831">
        <w:rPr>
          <w:rStyle w:val="af7"/>
          <w:rFonts w:eastAsia="Guttman Hodes" w:hint="cs"/>
        </w:rPr>
        <w:instrText>REF</w:instrText>
      </w:r>
      <w:r w:rsidRPr="00343831">
        <w:rPr>
          <w:rStyle w:val="af7"/>
          <w:rFonts w:eastAsia="Guttman Hodes" w:hint="cs"/>
          <w:rtl/>
        </w:rPr>
        <w:instrText xml:space="preserve"> _</w:instrText>
      </w:r>
      <w:r w:rsidRPr="00343831">
        <w:rPr>
          <w:rStyle w:val="af7"/>
          <w:rFonts w:eastAsia="Guttman Hodes" w:hint="cs"/>
        </w:rPr>
        <w:instrText>Ref55211188 \r \h</w:instrText>
      </w:r>
      <w:r w:rsidRPr="00343831">
        <w:rPr>
          <w:rStyle w:val="af7"/>
          <w:rFonts w:eastAsia="Guttman Hodes"/>
          <w:rtl/>
        </w:rPr>
        <w:instrText xml:space="preserve"> </w:instrText>
      </w:r>
      <w:r w:rsidRPr="00343831">
        <w:rPr>
          <w:rStyle w:val="af7"/>
          <w:rFonts w:eastAsia="Guttman Hodes"/>
          <w:rtl/>
        </w:rPr>
      </w:r>
      <w:r w:rsidRPr="00343831">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343831">
        <w:rPr>
          <w:rStyle w:val="af7"/>
          <w:rFonts w:eastAsia="Guttman Hodes"/>
          <w:rtl/>
        </w:rPr>
        <w:fldChar w:fldCharType="end"/>
      </w:r>
      <w:r w:rsidRPr="001D1883">
        <w:rPr>
          <w:rFonts w:hint="cs"/>
          <w:rtl/>
        </w:rPr>
        <w:t xml:space="preserve">, אלא כוונת </w:t>
      </w:r>
      <w:r w:rsidRPr="00343831">
        <w:rPr>
          <w:rStyle w:val="af9"/>
          <w:rFonts w:hint="cs"/>
          <w:rtl/>
        </w:rPr>
        <w:t>התוס'</w:t>
      </w:r>
      <w:r w:rsidRPr="001D1883">
        <w:rPr>
          <w:rFonts w:hint="cs"/>
          <w:rtl/>
        </w:rPr>
        <w:t xml:space="preserve"> לומר דאף אי לא ילפינן מהעדאה דלא מהני שלא בפניו, מ"מ אפשר להקשות מסברא דלא הוי מחאה, כמו שהקשה אביי לרבנן מסברא.</w:t>
      </w:r>
      <w:bookmarkEnd w:id="3753"/>
    </w:p>
    <w:p w:rsidR="007A505A" w:rsidRPr="0055349A" w:rsidRDefault="007A505A" w:rsidP="007A505A">
      <w:pPr>
        <w:pStyle w:val="a3"/>
        <w:rPr>
          <w:rtl/>
        </w:rPr>
      </w:pPr>
      <w:bookmarkStart w:id="3754" w:name="_Toc55386291"/>
      <w:bookmarkStart w:id="3755" w:name="_Toc55391212"/>
      <w:r>
        <w:rPr>
          <w:rFonts w:hint="cs"/>
          <w:rtl/>
        </w:rPr>
        <w:t>ביאור הגרנ"פ בתוס' דלרבנן א"א להקשות דמחאה ל"מ דהא אף המחאה היא מתקנת חכמים</w:t>
      </w:r>
      <w:bookmarkEnd w:id="3754"/>
      <w:bookmarkEnd w:id="3755"/>
    </w:p>
    <w:p w:rsidR="007A505A" w:rsidRDefault="007A505A" w:rsidP="007E4E81">
      <w:pPr>
        <w:pStyle w:val="a0"/>
        <w:rPr>
          <w:rtl/>
        </w:rPr>
      </w:pPr>
      <w:bookmarkStart w:id="3756" w:name="_Ref55319304"/>
      <w:r w:rsidRPr="001D1883">
        <w:rPr>
          <w:rFonts w:hint="cs"/>
          <w:rtl/>
        </w:rPr>
        <w:t xml:space="preserve">וכתב </w:t>
      </w:r>
      <w:r w:rsidRPr="001D1883">
        <w:rPr>
          <w:rStyle w:val="af9"/>
          <w:rFonts w:hint="cs"/>
          <w:rtl/>
        </w:rPr>
        <w:t>בחי' רבי נחום</w:t>
      </w:r>
      <w:r w:rsidRPr="001D1883">
        <w:rPr>
          <w:rFonts w:hint="cs"/>
          <w:rtl/>
        </w:rPr>
        <w:t xml:space="preserve"> </w:t>
      </w:r>
      <w:r w:rsidRPr="001D1883">
        <w:rPr>
          <w:rStyle w:val="af7"/>
          <w:rFonts w:eastAsia="Guttman Hodes" w:hint="cs"/>
          <w:rtl/>
        </w:rPr>
        <w:t xml:space="preserve">(כט. או' ל' ד"ה אמנם אכתי) </w:t>
      </w:r>
      <w:r w:rsidRPr="001D1883">
        <w:rPr>
          <w:rFonts w:hint="cs"/>
          <w:rtl/>
        </w:rPr>
        <w:t xml:space="preserve">דהא דבדעת רבנן ביארו </w:t>
      </w:r>
      <w:r w:rsidRPr="001D1883">
        <w:rPr>
          <w:rStyle w:val="af9"/>
          <w:rFonts w:hint="cs"/>
          <w:rtl/>
        </w:rPr>
        <w:t>התוס' לקמן</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Ref55319271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1D1883">
        <w:rPr>
          <w:rStyle w:val="af7"/>
          <w:rFonts w:eastAsia="Guttman Hodes"/>
          <w:rtl/>
        </w:rPr>
        <w:fldChar w:fldCharType="end"/>
      </w:r>
      <w:r w:rsidRPr="001D1883">
        <w:rPr>
          <w:rFonts w:hint="cs"/>
          <w:rtl/>
        </w:rPr>
        <w:t xml:space="preserve"> דקושית אביי היא דלא תועיל מחאה שלא בפניו, רק כשהמערער נמצא באותה העיר, הוא כיון דבפשטות לרבנן לא שייך להקשות דלא מהני המחאה, דכיון דס"ל לרבנן דהחזקה והמחאה הם תקנת חכמים, </w:t>
      </w:r>
      <w:r w:rsidRPr="001D1883">
        <w:rPr>
          <w:rStyle w:val="afb"/>
          <w:rFonts w:hint="cs"/>
          <w:rtl/>
        </w:rPr>
        <w:t>[ולא ילפינן משור המועד],</w:t>
      </w:r>
      <w:r w:rsidRPr="001D1883">
        <w:rPr>
          <w:rFonts w:hint="cs"/>
          <w:rtl/>
        </w:rPr>
        <w:t xml:space="preserve"> א"כ אפש"ל דהתקנה היא שימחה המערער במקומו, אף כשהוא נמצא בעיר אחרת, אף בלא הסברא ד</w:t>
      </w:r>
      <w:r>
        <w:rPr>
          <w:rFonts w:hint="cs"/>
          <w:rtl/>
        </w:rPr>
        <w:t>חברך חברא</w:t>
      </w:r>
      <w:r w:rsidRPr="001D1883">
        <w:rPr>
          <w:rFonts w:hint="cs"/>
          <w:rtl/>
        </w:rPr>
        <w:t xml:space="preserve"> אית ליה, כיון שיתכן שישמע המחזיק מהמחאה, וכל שלא מחה המערער הוי חזקה</w:t>
      </w:r>
      <w:r>
        <w:rPr>
          <w:rFonts w:hint="cs"/>
          <w:rtl/>
        </w:rPr>
        <w:t>.</w:t>
      </w:r>
    </w:p>
    <w:p w:rsidR="007A505A" w:rsidRPr="001D1883" w:rsidRDefault="007A505A" w:rsidP="007A505A">
      <w:pPr>
        <w:pStyle w:val="a3"/>
        <w:rPr>
          <w:rtl/>
        </w:rPr>
      </w:pPr>
      <w:bookmarkStart w:id="3757" w:name="_Toc55386292"/>
      <w:bookmarkStart w:id="3758" w:name="_Toc55391213"/>
      <w:r>
        <w:rPr>
          <w:rFonts w:hint="cs"/>
          <w:rtl/>
        </w:rPr>
        <w:t>ביאור הגרנ"פ בתוס' לקמן דלרבנן הקושיה דאמאי לא תקנו דבאותה העיר יבא וימחה לפניו</w:t>
      </w:r>
      <w:bookmarkEnd w:id="3757"/>
      <w:bookmarkEnd w:id="3758"/>
    </w:p>
    <w:p w:rsidR="007A505A" w:rsidRDefault="007A505A" w:rsidP="007E4E81">
      <w:pPr>
        <w:pStyle w:val="a0"/>
        <w:rPr>
          <w:rtl/>
        </w:rPr>
      </w:pPr>
      <w:r w:rsidRPr="001D1883">
        <w:rPr>
          <w:rFonts w:hint="cs"/>
          <w:rtl/>
        </w:rPr>
        <w:t xml:space="preserve">וכתב </w:t>
      </w:r>
      <w:r w:rsidRPr="001D1883">
        <w:rPr>
          <w:rStyle w:val="af9"/>
          <w:rFonts w:hint="cs"/>
          <w:rtl/>
        </w:rPr>
        <w:t>בחי' רבי נחום</w:t>
      </w:r>
      <w:r w:rsidRPr="001D1883">
        <w:rPr>
          <w:rFonts w:hint="cs"/>
          <w:rtl/>
        </w:rPr>
        <w:t xml:space="preserve"> </w:t>
      </w:r>
      <w:r>
        <w:rPr>
          <w:rFonts w:hint="cs"/>
          <w:rtl/>
        </w:rPr>
        <w:t>ד</w:t>
      </w:r>
      <w:r w:rsidRPr="001D1883">
        <w:rPr>
          <w:rFonts w:hint="cs"/>
          <w:rtl/>
        </w:rPr>
        <w:t xml:space="preserve">לכן ביארו </w:t>
      </w:r>
      <w:r w:rsidRPr="00F31337">
        <w:rPr>
          <w:rStyle w:val="af9"/>
          <w:rFonts w:hint="cs"/>
          <w:rtl/>
        </w:rPr>
        <w:t>התוס' לקמן</w:t>
      </w:r>
      <w:r w:rsidRPr="001D1883">
        <w:rPr>
          <w:rFonts w:hint="cs"/>
          <w:rtl/>
        </w:rPr>
        <w:t xml:space="preserve"> דקושית אביי היא רק באותה העיר, וכוונתו להקשות דאמאי לא תיקנו רבנן שיצטרך המערער לבא ולמחות לפני המחזיק, ועיי"ש במה שביאר עוד </w:t>
      </w:r>
      <w:r w:rsidRPr="001D1883">
        <w:rPr>
          <w:rStyle w:val="af9"/>
          <w:rFonts w:hint="cs"/>
          <w:rtl/>
        </w:rPr>
        <w:t>בחי' רבי נחום</w:t>
      </w:r>
      <w:r w:rsidRPr="001D1883">
        <w:rPr>
          <w:rFonts w:hint="cs"/>
          <w:rtl/>
        </w:rPr>
        <w:t xml:space="preserve"> בזה.</w:t>
      </w:r>
      <w:bookmarkEnd w:id="3756"/>
    </w:p>
    <w:p w:rsidR="007A505A" w:rsidRPr="00B004E8" w:rsidRDefault="007A505A" w:rsidP="007A505A">
      <w:pPr>
        <w:pStyle w:val="afe"/>
        <w:rPr>
          <w:rtl/>
        </w:rPr>
      </w:pPr>
      <w:bookmarkStart w:id="3759" w:name="_Toc55386293"/>
      <w:bookmarkStart w:id="3760" w:name="_Toc55391214"/>
      <w:r>
        <w:rPr>
          <w:rFonts w:hint="cs"/>
          <w:rtl/>
        </w:rPr>
        <w:lastRenderedPageBreak/>
        <w:t>בגדר חלות המחאה להולכי אושא ולרבנן</w:t>
      </w:r>
      <w:bookmarkEnd w:id="3759"/>
      <w:bookmarkEnd w:id="3760"/>
    </w:p>
    <w:p w:rsidR="007A505A" w:rsidRPr="001D1883" w:rsidRDefault="007A505A" w:rsidP="007A505A">
      <w:pPr>
        <w:pStyle w:val="1"/>
        <w:rPr>
          <w:rtl/>
        </w:rPr>
      </w:pPr>
      <w:bookmarkStart w:id="3761" w:name="_Toc55325178"/>
      <w:bookmarkStart w:id="3762" w:name="_Toc55342105"/>
      <w:bookmarkStart w:id="3763" w:name="_Toc55342206"/>
      <w:bookmarkStart w:id="3764" w:name="_Toc55375312"/>
      <w:bookmarkStart w:id="3765" w:name="_Toc55386294"/>
      <w:bookmarkStart w:id="3766" w:name="_Toc55391215"/>
      <w:bookmarkStart w:id="3767" w:name="_Toc55246106"/>
      <w:r w:rsidRPr="001D1883">
        <w:rPr>
          <w:rFonts w:hint="cs"/>
          <w:rtl/>
        </w:rPr>
        <w:t>דברי הגר"ח</w:t>
      </w:r>
      <w:bookmarkEnd w:id="3761"/>
      <w:bookmarkEnd w:id="3762"/>
      <w:bookmarkEnd w:id="3763"/>
      <w:bookmarkEnd w:id="3764"/>
      <w:r w:rsidRPr="001D1883">
        <w:rPr>
          <w:rFonts w:hint="cs"/>
          <w:rtl/>
        </w:rPr>
        <w:t xml:space="preserve"> </w:t>
      </w:r>
      <w:r>
        <w:rPr>
          <w:rFonts w:hint="cs"/>
          <w:rtl/>
        </w:rPr>
        <w:t>דלרבנן חלות המחאה היא לאחר ששמע המחזיק</w:t>
      </w:r>
      <w:bookmarkEnd w:id="3765"/>
      <w:bookmarkEnd w:id="3766"/>
    </w:p>
    <w:p w:rsidR="007A505A" w:rsidRPr="001D1883" w:rsidRDefault="007A505A" w:rsidP="007A505A">
      <w:pPr>
        <w:pStyle w:val="a3"/>
      </w:pPr>
      <w:bookmarkStart w:id="3768" w:name="_Toc55386295"/>
      <w:bookmarkStart w:id="3769" w:name="_Toc55391216"/>
      <w:r>
        <w:rPr>
          <w:rFonts w:hint="cs"/>
          <w:rtl/>
        </w:rPr>
        <w:t>דברי הגר"ח דלרבנן חלות המחאה היא רק לאחר שהגיעה המחאה לאוזני המחזיק</w:t>
      </w:r>
      <w:bookmarkEnd w:id="3768"/>
      <w:bookmarkEnd w:id="3769"/>
    </w:p>
    <w:p w:rsidR="007A505A" w:rsidRPr="001D1883" w:rsidRDefault="007A505A" w:rsidP="007E4E81">
      <w:pPr>
        <w:pStyle w:val="a0"/>
        <w:rPr>
          <w:rtl/>
        </w:rPr>
      </w:pPr>
      <w:r w:rsidRPr="001D1883">
        <w:rPr>
          <w:rFonts w:hint="cs"/>
          <w:rtl/>
        </w:rPr>
        <w:t xml:space="preserve">כתב </w:t>
      </w:r>
      <w:r w:rsidRPr="001D1883">
        <w:rPr>
          <w:rStyle w:val="af9"/>
          <w:rFonts w:hint="cs"/>
          <w:rtl/>
        </w:rPr>
        <w:t>הגר"ח</w:t>
      </w:r>
      <w:r w:rsidRPr="001D1883">
        <w:rPr>
          <w:rStyle w:val="af7"/>
          <w:rFonts w:eastAsia="Guttman Hodes" w:hint="cs"/>
          <w:rtl/>
        </w:rPr>
        <w:t xml:space="preserve"> (שיעורי רבנו חיים הלוי עמ"ס ב"ב לח. ד"ה אכן נראה)</w:t>
      </w:r>
      <w:r w:rsidRPr="001D1883">
        <w:rPr>
          <w:rFonts w:hint="cs"/>
          <w:rtl/>
        </w:rPr>
        <w:t xml:space="preserve"> דלדעת רבנן דטעמא דחזקה הוא דעד ג"ש אדם נזהר בשטרו, והמחאה היא בכדי שישמע המחזיק וישמור את שטרו, א"כ המחאה חלה ומבטלת את החזקה, רק לאחר שהגיעה המחאה לאוזני המחזיק והוא יכול להזהר בשטרו.</w:t>
      </w:r>
    </w:p>
    <w:p w:rsidR="007A505A" w:rsidRPr="001D1883" w:rsidRDefault="007A505A" w:rsidP="007A505A">
      <w:pPr>
        <w:pStyle w:val="a3"/>
      </w:pPr>
      <w:bookmarkStart w:id="3770" w:name="_Toc55386296"/>
      <w:bookmarkStart w:id="3771" w:name="_Toc55391217"/>
      <w:r>
        <w:rPr>
          <w:rFonts w:hint="cs"/>
          <w:rtl/>
        </w:rPr>
        <w:t>דברי הגר"ח דאף אי החזקה היא ראיה מדשתק המערער מ"מ עיקר המחאה שיזהר בשטרו</w:t>
      </w:r>
      <w:bookmarkEnd w:id="3770"/>
      <w:bookmarkEnd w:id="3771"/>
    </w:p>
    <w:p w:rsidR="007A505A" w:rsidRDefault="007A505A" w:rsidP="007E4E81">
      <w:pPr>
        <w:pStyle w:val="a0"/>
        <w:rPr>
          <w:rStyle w:val="afb"/>
          <w:rtl/>
        </w:rPr>
      </w:pPr>
      <w:r w:rsidRPr="001D1883">
        <w:rPr>
          <w:rFonts w:hint="cs"/>
          <w:rtl/>
        </w:rPr>
        <w:t xml:space="preserve">והוסיף </w:t>
      </w:r>
      <w:r w:rsidRPr="001D1883">
        <w:rPr>
          <w:rStyle w:val="af9"/>
          <w:rFonts w:hint="cs"/>
          <w:rtl/>
        </w:rPr>
        <w:t>הגר"ח</w:t>
      </w:r>
      <w:r w:rsidRPr="001D1883">
        <w:rPr>
          <w:rFonts w:hint="cs"/>
          <w:rtl/>
        </w:rPr>
        <w:t xml:space="preserve"> דאף לדעת הסוברים דלרבנן החזקה היא ראיה, דמהא דלא מחה המערער בתוך ג"ש, מוכח דהוא מכר למחזיק ולכן לא מחה כדי שלא ישמור המחזיק את השטר, מ"מ המחאה נגמרת בזמן שהיא הגיעה לאוזני המחזיק, כיון שעיקר המחאה היא בכדי שישמור את שטרו. </w:t>
      </w:r>
      <w:r w:rsidRPr="001D1883">
        <w:rPr>
          <w:rStyle w:val="afb"/>
          <w:rFonts w:hint="cs"/>
          <w:rtl/>
        </w:rPr>
        <w:t xml:space="preserve">[ויעוי' </w:t>
      </w:r>
      <w:r w:rsidRPr="001D1883">
        <w:rPr>
          <w:rStyle w:val="affa"/>
          <w:rFonts w:hint="cs"/>
          <w:rtl/>
        </w:rPr>
        <w:t>ברמב"ן</w:t>
      </w:r>
      <w:r w:rsidRPr="001D1883">
        <w:rPr>
          <w:rStyle w:val="afb"/>
          <w:rFonts w:hint="cs"/>
          <w:rtl/>
        </w:rPr>
        <w:t xml:space="preserve"> </w:t>
      </w:r>
      <w:r w:rsidRPr="00BC0030">
        <w:rPr>
          <w:rStyle w:val="aff6"/>
          <w:rFonts w:hint="cs"/>
          <w:rtl/>
        </w:rPr>
        <w:t xml:space="preserve">(עי' אות </w:t>
      </w:r>
      <w:r w:rsidRPr="00BC0030">
        <w:rPr>
          <w:rStyle w:val="aff6"/>
          <w:rtl/>
        </w:rPr>
        <w:fldChar w:fldCharType="begin"/>
      </w:r>
      <w:r w:rsidRPr="00BC0030">
        <w:rPr>
          <w:rStyle w:val="aff6"/>
          <w:rtl/>
        </w:rPr>
        <w:instrText xml:space="preserve"> </w:instrText>
      </w:r>
      <w:r w:rsidRPr="00BC0030">
        <w:rPr>
          <w:rStyle w:val="aff6"/>
          <w:rFonts w:hint="cs"/>
        </w:rPr>
        <w:instrText>REF</w:instrText>
      </w:r>
      <w:r w:rsidRPr="00BC0030">
        <w:rPr>
          <w:rStyle w:val="aff6"/>
          <w:rFonts w:hint="cs"/>
          <w:rtl/>
        </w:rPr>
        <w:instrText xml:space="preserve"> _</w:instrText>
      </w:r>
      <w:r w:rsidRPr="00BC0030">
        <w:rPr>
          <w:rStyle w:val="aff6"/>
          <w:rFonts w:hint="cs"/>
        </w:rPr>
        <w:instrText>Ref55378949 \r \h</w:instrText>
      </w:r>
      <w:r w:rsidRPr="00BC0030">
        <w:rPr>
          <w:rStyle w:val="aff6"/>
          <w:rtl/>
        </w:rPr>
        <w:instrText xml:space="preserve"> </w:instrText>
      </w:r>
      <w:r w:rsidRPr="00BC0030">
        <w:rPr>
          <w:rStyle w:val="aff6"/>
          <w:rtl/>
        </w:rPr>
      </w:r>
      <w:r w:rsidRPr="00BC0030">
        <w:rPr>
          <w:rStyle w:val="aff6"/>
          <w:rtl/>
        </w:rPr>
        <w:fldChar w:fldCharType="separate"/>
      </w:r>
      <w:r w:rsidR="00265073">
        <w:rPr>
          <w:rStyle w:val="aff6"/>
          <w:cs/>
        </w:rPr>
        <w:t>‎</w:t>
      </w:r>
      <w:r w:rsidR="00265073">
        <w:rPr>
          <w:rStyle w:val="aff6"/>
          <w:rtl/>
        </w:rPr>
        <w:t>נג)</w:t>
      </w:r>
      <w:r w:rsidRPr="00BC0030">
        <w:rPr>
          <w:rStyle w:val="aff6"/>
          <w:rtl/>
        </w:rPr>
        <w:fldChar w:fldCharType="end"/>
      </w:r>
      <w:r w:rsidRPr="001D1883">
        <w:rPr>
          <w:rStyle w:val="afb"/>
          <w:rFonts w:hint="cs"/>
          <w:rtl/>
        </w:rPr>
        <w:t xml:space="preserve"> דביאר להדיא דלכו"ע המחאה היא בכדי שיזהר המחזיק בשטרו]. </w:t>
      </w:r>
    </w:p>
    <w:p w:rsidR="007A505A" w:rsidRPr="007A33FE" w:rsidRDefault="007A505A" w:rsidP="007A505A">
      <w:pPr>
        <w:pStyle w:val="1"/>
        <w:rPr>
          <w:rtl/>
        </w:rPr>
      </w:pPr>
      <w:bookmarkStart w:id="3772" w:name="_Toc55386297"/>
      <w:bookmarkStart w:id="3773" w:name="_Toc55391218"/>
      <w:r>
        <w:rPr>
          <w:rFonts w:hint="cs"/>
          <w:rtl/>
        </w:rPr>
        <w:t>דברי הגר"ח דלהולכי אושא המחאה חלה מיד ובטלה החזקה</w:t>
      </w:r>
      <w:bookmarkEnd w:id="3772"/>
      <w:bookmarkEnd w:id="3773"/>
    </w:p>
    <w:p w:rsidR="007A505A" w:rsidRPr="001D1883" w:rsidRDefault="007A505A" w:rsidP="007A505A">
      <w:pPr>
        <w:pStyle w:val="a3"/>
      </w:pPr>
      <w:bookmarkStart w:id="3774" w:name="_Toc55386298"/>
      <w:bookmarkStart w:id="3775" w:name="_Toc55391219"/>
      <w:r>
        <w:rPr>
          <w:rFonts w:hint="cs"/>
          <w:rtl/>
        </w:rPr>
        <w:t>ביאור הגר"ח בתוס' דלהולכי אושא המחאה חלה מיד כשמחה דהא לא המערער הוחזק שתקן</w:t>
      </w:r>
      <w:bookmarkEnd w:id="3774"/>
      <w:bookmarkEnd w:id="3775"/>
    </w:p>
    <w:p w:rsidR="007A505A" w:rsidRPr="001D1883" w:rsidRDefault="007A505A" w:rsidP="007E4E81">
      <w:pPr>
        <w:pStyle w:val="a0"/>
        <w:rPr>
          <w:rtl/>
        </w:rPr>
      </w:pPr>
      <w:bookmarkStart w:id="3776" w:name="_Ref55293046"/>
      <w:r w:rsidRPr="001D1883">
        <w:rPr>
          <w:rFonts w:hint="cs"/>
          <w:rtl/>
        </w:rPr>
        <w:t xml:space="preserve">אבל לדעת הולכי אושא כתב </w:t>
      </w:r>
      <w:r w:rsidRPr="001D1883">
        <w:rPr>
          <w:rStyle w:val="af9"/>
          <w:rFonts w:hint="cs"/>
          <w:rtl/>
        </w:rPr>
        <w:t>הגר"ח</w:t>
      </w:r>
      <w:r w:rsidRPr="001D1883">
        <w:rPr>
          <w:rStyle w:val="af7"/>
          <w:rFonts w:eastAsia="Guttman Hodes" w:hint="cs"/>
          <w:rtl/>
        </w:rPr>
        <w:t xml:space="preserve"> (שיעורי רבנו חיים הלוי עמ"ס ב"ב לח. ד"ה אכן נראה) </w:t>
      </w:r>
      <w:r w:rsidRPr="001D1883">
        <w:rPr>
          <w:rFonts w:hint="cs"/>
          <w:rtl/>
        </w:rPr>
        <w:t xml:space="preserve">לדעת </w:t>
      </w:r>
      <w:r w:rsidRPr="00746242">
        <w:rPr>
          <w:rStyle w:val="af9"/>
          <w:rFonts w:hint="cs"/>
          <w:rtl/>
        </w:rPr>
        <w:t>התוס'</w:t>
      </w:r>
      <w:r w:rsidRPr="001D1883">
        <w:rPr>
          <w:rStyle w:val="afb"/>
          <w:rFonts w:hint="cs"/>
          <w:rtl/>
        </w:rPr>
        <w:t xml:space="preserve"> </w:t>
      </w:r>
      <w:r w:rsidRPr="00746242">
        <w:rPr>
          <w:rStyle w:val="af7"/>
          <w:rFonts w:eastAsia="Guttman Hodes" w:hint="cs"/>
          <w:rtl/>
        </w:rPr>
        <w:t>(כח. ד</w:t>
      </w:r>
      <w:r w:rsidRPr="00746242">
        <w:rPr>
          <w:rStyle w:val="af7"/>
          <w:rFonts w:eastAsia="Guttman Hodes"/>
          <w:rtl/>
        </w:rPr>
        <w:t>"</w:t>
      </w:r>
      <w:r w:rsidRPr="00746242">
        <w:rPr>
          <w:rStyle w:val="af7"/>
          <w:rFonts w:eastAsia="Guttman Hodes" w:hint="cs"/>
          <w:rtl/>
        </w:rPr>
        <w:t>ה עד ,כט. ד"ה שתא, הובא בסימן ג' אות י"ג)</w:t>
      </w:r>
      <w:r>
        <w:rPr>
          <w:rFonts w:hint="cs"/>
          <w:rtl/>
        </w:rPr>
        <w:t xml:space="preserve"> </w:t>
      </w:r>
      <w:r w:rsidRPr="001D1883">
        <w:rPr>
          <w:rFonts w:hint="cs"/>
          <w:rtl/>
        </w:rPr>
        <w:t>דביארו דלהולכי אושא החזקה היא דהוחזק המערער שלא ימחה עוד, א"כ המחאה חלה מיד כשמחה המערער, אף שהמחזיק עדיין לא שמע מהמחאה כלל, דהא לא שתק המערער, ולא הוחזק שתקן.</w:t>
      </w:r>
      <w:bookmarkEnd w:id="3776"/>
    </w:p>
    <w:p w:rsidR="007A505A" w:rsidRPr="001D1883" w:rsidRDefault="007A505A" w:rsidP="007A505A">
      <w:pPr>
        <w:pStyle w:val="a3"/>
      </w:pPr>
      <w:bookmarkStart w:id="3777" w:name="_Toc55386299"/>
      <w:bookmarkStart w:id="3778" w:name="_Toc55391220"/>
      <w:r>
        <w:rPr>
          <w:rFonts w:hint="cs"/>
          <w:rtl/>
        </w:rPr>
        <w:t>ביאור הגר"ח ברמב"ן דמיד כשמחה המערער ולא הסכים להחזקת המחזיק בטלה המוחזקות שלו</w:t>
      </w:r>
      <w:bookmarkEnd w:id="3777"/>
      <w:bookmarkEnd w:id="3778"/>
    </w:p>
    <w:p w:rsidR="007A505A" w:rsidRPr="001D1883" w:rsidRDefault="007A505A" w:rsidP="007E4E81">
      <w:pPr>
        <w:pStyle w:val="a0"/>
        <w:rPr>
          <w:rtl/>
        </w:rPr>
      </w:pPr>
      <w:r w:rsidRPr="001D1883">
        <w:rPr>
          <w:rFonts w:hint="cs"/>
          <w:rtl/>
        </w:rPr>
        <w:t xml:space="preserve">וכתב </w:t>
      </w:r>
      <w:r w:rsidRPr="001D1883">
        <w:rPr>
          <w:rStyle w:val="af9"/>
          <w:rFonts w:hint="cs"/>
          <w:rtl/>
        </w:rPr>
        <w:t>הגר"ח</w:t>
      </w:r>
      <w:r w:rsidRPr="001D1883">
        <w:rPr>
          <w:rStyle w:val="af7"/>
          <w:rFonts w:eastAsia="Guttman Hodes" w:hint="cs"/>
          <w:rtl/>
        </w:rPr>
        <w:t xml:space="preserve"> </w:t>
      </w:r>
      <w:r w:rsidRPr="001D1883">
        <w:rPr>
          <w:rFonts w:hint="cs"/>
          <w:rtl/>
        </w:rPr>
        <w:t xml:space="preserve">דאף לדעת </w:t>
      </w:r>
      <w:r w:rsidRPr="001D1883">
        <w:rPr>
          <w:rStyle w:val="af9"/>
          <w:rFonts w:hint="cs"/>
          <w:rtl/>
        </w:rPr>
        <w:t>הרמב"ן</w:t>
      </w:r>
      <w:r w:rsidRPr="001D1883">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EF5937">
        <w:rPr>
          <w:rStyle w:val="af7"/>
          <w:rFonts w:eastAsia="Guttman Hodes" w:hint="cs"/>
          <w:rtl/>
        </w:rPr>
        <w:t>משור</w:t>
      </w:r>
      <w:r w:rsidRPr="001D1883">
        <w:rPr>
          <w:rStyle w:val="af7"/>
          <w:rFonts w:eastAsia="Guttman Hodes" w:hint="cs"/>
          <w:rtl/>
        </w:rPr>
        <w:t xml:space="preserve">, הובא בסימן </w:t>
      </w:r>
      <w:r>
        <w:rPr>
          <w:rStyle w:val="af7"/>
          <w:rFonts w:eastAsia="Guttman Hodes" w:hint="cs"/>
          <w:rtl/>
        </w:rPr>
        <w:t>ג</w:t>
      </w:r>
      <w:r w:rsidRPr="001D1883">
        <w:rPr>
          <w:rStyle w:val="af7"/>
          <w:rFonts w:eastAsia="Guttman Hodes" w:hint="cs"/>
          <w:rtl/>
        </w:rPr>
        <w:t xml:space="preserve">' אות </w:t>
      </w:r>
      <w:r>
        <w:rPr>
          <w:rStyle w:val="af7"/>
          <w:rFonts w:eastAsia="Guttman Hodes" w:hint="cs"/>
          <w:rtl/>
        </w:rPr>
        <w:t>ט'</w:t>
      </w:r>
      <w:r w:rsidRPr="001D1883">
        <w:rPr>
          <w:rStyle w:val="af7"/>
          <w:rFonts w:eastAsia="Guttman Hodes" w:hint="cs"/>
          <w:rtl/>
        </w:rPr>
        <w:t>)</w:t>
      </w:r>
      <w:r w:rsidRPr="001D1883">
        <w:rPr>
          <w:rFonts w:hint="cs"/>
          <w:rtl/>
        </w:rPr>
        <w:t xml:space="preserve"> דביאר דלהולכי אושא החזקה היא במה שהמחזיק הוחזק בשדה ג"פ מדעת הבעלים, מ"מ מיד בשעה שמחה המערער אין למחזיק כל חזקה, דהא המערער אינו מסכים להחזקת המחזיק, וא"כ מיד כשמחה המערער מתבטלת החזקה, אף שהמחזיק עדיין לא שמע מהמחאה כלל, ואין המחזיק נעשה מוחזק.</w:t>
      </w:r>
    </w:p>
    <w:p w:rsidR="007A505A" w:rsidRPr="001D1883" w:rsidRDefault="007A505A" w:rsidP="007A505A">
      <w:pPr>
        <w:pStyle w:val="a3"/>
      </w:pPr>
      <w:bookmarkStart w:id="3779" w:name="_Toc55386300"/>
      <w:bookmarkStart w:id="3780" w:name="_Toc55391221"/>
      <w:r>
        <w:rPr>
          <w:rFonts w:hint="cs"/>
          <w:rtl/>
        </w:rPr>
        <w:t>דברי הגר"ח דאף להולכי אושא צריך שהמערער יוכל לשמוע מהמחאה ובלאה הוא פטומי מילי</w:t>
      </w:r>
      <w:bookmarkEnd w:id="3779"/>
      <w:bookmarkEnd w:id="3780"/>
    </w:p>
    <w:p w:rsidR="007A505A" w:rsidRDefault="007A505A" w:rsidP="007E4E81">
      <w:pPr>
        <w:pStyle w:val="a0"/>
        <w:rPr>
          <w:rtl/>
        </w:rPr>
      </w:pPr>
      <w:r w:rsidRPr="001D1883">
        <w:rPr>
          <w:rFonts w:hint="cs"/>
          <w:rtl/>
        </w:rPr>
        <w:t xml:space="preserve">אך כתב </w:t>
      </w:r>
      <w:r w:rsidRPr="001D1883">
        <w:rPr>
          <w:rStyle w:val="af9"/>
          <w:rFonts w:hint="cs"/>
          <w:rtl/>
        </w:rPr>
        <w:t>הגר"ח</w:t>
      </w:r>
      <w:r w:rsidRPr="001D1883">
        <w:rPr>
          <w:rStyle w:val="af7"/>
          <w:rFonts w:eastAsia="Guttman Hodes" w:hint="cs"/>
          <w:rtl/>
        </w:rPr>
        <w:t xml:space="preserve"> (שיעורי רבנו חיים הלוי עמ"ס ב"ב לח. ד"ה והנה זה) </w:t>
      </w:r>
      <w:r w:rsidRPr="001D1883">
        <w:rPr>
          <w:rFonts w:hint="cs"/>
          <w:rtl/>
        </w:rPr>
        <w:t>דאעפ"י דלהולכי אושא מהני המחאה מיד בשעה שמחה, דהמערער מראה בזה שאינו מסכים להחזקת המחזיק, מ"מ כל מה דמהני המחאה הוא רק באופן שיכול המחזיק לשמוע שמחה המערער, אבל כשמוחה באופן שאין המערער יכול לשמוע, הוא פטומי מילי בעלמא, וכמבואר בסוגיין דאף להולכי אושא טעם המחאה הוא מחמת דחברך חברא אית ליה, ולכן אם המחזיק אינו יכול לשמוע מהמחאה לא חשיבא מחאה כלל.</w:t>
      </w:r>
    </w:p>
    <w:p w:rsidR="007A505A" w:rsidRPr="001D1883" w:rsidRDefault="007A505A" w:rsidP="007A505A">
      <w:pPr>
        <w:pStyle w:val="1"/>
        <w:rPr>
          <w:rtl/>
        </w:rPr>
      </w:pPr>
      <w:bookmarkStart w:id="3781" w:name="_Toc55386301"/>
      <w:bookmarkStart w:id="3782" w:name="_Toc55391222"/>
      <w:bookmarkEnd w:id="3767"/>
      <w:r>
        <w:rPr>
          <w:rFonts w:hint="cs"/>
          <w:rtl/>
        </w:rPr>
        <w:t>דברי הגר"ח דלהולכי אושא צריך שיוכל למחות בכל הג"ש</w:t>
      </w:r>
      <w:bookmarkEnd w:id="3781"/>
      <w:bookmarkEnd w:id="3782"/>
    </w:p>
    <w:p w:rsidR="007A505A" w:rsidRPr="001D1883" w:rsidRDefault="007A505A" w:rsidP="007A505A">
      <w:pPr>
        <w:pStyle w:val="a3"/>
      </w:pPr>
      <w:bookmarkStart w:id="3783" w:name="_Toc55386302"/>
      <w:bookmarkStart w:id="3784" w:name="_Toc55391223"/>
      <w:r>
        <w:rPr>
          <w:rFonts w:hint="cs"/>
          <w:rtl/>
        </w:rPr>
        <w:t>ביאור הגר"ח בתוס' דלהולכי אושא אם המערער לא היה יכול למחות בחלק מהג"ש ל"ה חזקה</w:t>
      </w:r>
      <w:bookmarkEnd w:id="3783"/>
      <w:bookmarkEnd w:id="3784"/>
    </w:p>
    <w:p w:rsidR="007A505A" w:rsidRDefault="007A505A" w:rsidP="007E4E81">
      <w:pPr>
        <w:pStyle w:val="a0"/>
        <w:rPr>
          <w:rtl/>
        </w:rPr>
      </w:pPr>
      <w:bookmarkStart w:id="3785" w:name="_Ref55293320"/>
      <w:r w:rsidRPr="001D1883">
        <w:rPr>
          <w:rFonts w:hint="cs"/>
          <w:rtl/>
        </w:rPr>
        <w:t xml:space="preserve">ועוד כתב </w:t>
      </w:r>
      <w:r w:rsidRPr="001D1883">
        <w:rPr>
          <w:rStyle w:val="af9"/>
          <w:rFonts w:hint="cs"/>
          <w:rtl/>
        </w:rPr>
        <w:t>הגר"ח</w:t>
      </w:r>
      <w:r w:rsidRPr="001D1883">
        <w:rPr>
          <w:rStyle w:val="af7"/>
          <w:rFonts w:eastAsia="Guttman Hodes" w:hint="cs"/>
          <w:rtl/>
        </w:rPr>
        <w:t xml:space="preserve"> (שיעורי רבנו חיים הלוי עמ"ס ב"ב לח. ד"ה אכן כ"ז)</w:t>
      </w:r>
      <w:r w:rsidRPr="001D1883">
        <w:rPr>
          <w:rFonts w:hint="cs"/>
          <w:rtl/>
        </w:rPr>
        <w:t xml:space="preserve"> דלהולכי אושא דילפינן חזקה משור המועד, לדעת </w:t>
      </w:r>
      <w:r w:rsidRPr="00746242">
        <w:rPr>
          <w:rStyle w:val="af9"/>
          <w:rFonts w:hint="cs"/>
          <w:rtl/>
        </w:rPr>
        <w:t>התוס'</w:t>
      </w:r>
      <w:r w:rsidRPr="001D1883">
        <w:rPr>
          <w:rStyle w:val="afb"/>
          <w:rFonts w:hint="cs"/>
          <w:rtl/>
        </w:rPr>
        <w:t xml:space="preserve"> </w:t>
      </w:r>
      <w:r w:rsidRPr="00746242">
        <w:rPr>
          <w:rStyle w:val="af7"/>
          <w:rFonts w:eastAsia="Guttman Hodes" w:hint="cs"/>
          <w:rtl/>
        </w:rPr>
        <w:t>(כח. ד</w:t>
      </w:r>
      <w:r w:rsidRPr="00746242">
        <w:rPr>
          <w:rStyle w:val="af7"/>
          <w:rFonts w:eastAsia="Guttman Hodes"/>
          <w:rtl/>
        </w:rPr>
        <w:t>"</w:t>
      </w:r>
      <w:r w:rsidRPr="00746242">
        <w:rPr>
          <w:rStyle w:val="af7"/>
          <w:rFonts w:eastAsia="Guttman Hodes" w:hint="cs"/>
          <w:rtl/>
        </w:rPr>
        <w:t>ה עד ,כט. ד"ה שתא, הובא בסימן ג' אות י"ג)</w:t>
      </w:r>
      <w:r>
        <w:rPr>
          <w:rFonts w:hint="cs"/>
          <w:rtl/>
        </w:rPr>
        <w:t xml:space="preserve"> </w:t>
      </w:r>
      <w:r w:rsidRPr="001D1883">
        <w:rPr>
          <w:rFonts w:hint="cs"/>
          <w:rtl/>
        </w:rPr>
        <w:t xml:space="preserve">דביארו דהחזקה להולכי אושא הוא דהוחזק המערער לשתקן, ולא ימחה עוד, א"כ צריך שהמערער לא יוכל למחות בכל הג"ש, </w:t>
      </w:r>
      <w:r w:rsidRPr="001D1883">
        <w:rPr>
          <w:rFonts w:hint="cs"/>
          <w:rtl/>
        </w:rPr>
        <w:t>ואם בחלק מהג"ש היה המערער במקום חירום שלא היה יכול למחות, א"כ אין כאן חזקה שהוחזק שתקן ג"פ ולא הוי חזקה.</w:t>
      </w:r>
      <w:bookmarkEnd w:id="3785"/>
    </w:p>
    <w:p w:rsidR="007A505A" w:rsidRPr="0076716E" w:rsidRDefault="007A505A" w:rsidP="007A505A">
      <w:pPr>
        <w:pStyle w:val="a3"/>
        <w:rPr>
          <w:rtl/>
        </w:rPr>
      </w:pPr>
      <w:bookmarkStart w:id="3786" w:name="_Toc55386303"/>
      <w:bookmarkStart w:id="3787" w:name="_Toc55391224"/>
      <w:r>
        <w:rPr>
          <w:rFonts w:hint="cs"/>
          <w:rtl/>
        </w:rPr>
        <w:t>ביאור הגר"ח ברש"י וברמב"ן דבהחזיק כשהמערער אינו יכול למחות נראה כגזלן ואינה חזקה</w:t>
      </w:r>
      <w:bookmarkEnd w:id="3786"/>
      <w:bookmarkEnd w:id="3787"/>
    </w:p>
    <w:p w:rsidR="007A505A" w:rsidRPr="001D1883" w:rsidRDefault="007A505A" w:rsidP="007E4E81">
      <w:pPr>
        <w:pStyle w:val="a0"/>
        <w:rPr>
          <w:rtl/>
        </w:rPr>
      </w:pPr>
      <w:r w:rsidRPr="001D1883">
        <w:rPr>
          <w:rFonts w:hint="cs"/>
          <w:rtl/>
        </w:rPr>
        <w:t xml:space="preserve">וכתב </w:t>
      </w:r>
      <w:r w:rsidRPr="001D1883">
        <w:rPr>
          <w:rStyle w:val="af9"/>
          <w:rFonts w:hint="cs"/>
          <w:rtl/>
        </w:rPr>
        <w:t>הגר"ח</w:t>
      </w:r>
      <w:r w:rsidRPr="001D1883">
        <w:rPr>
          <w:rFonts w:hint="cs"/>
          <w:rtl/>
        </w:rPr>
        <w:t xml:space="preserve"> דאף לדעת </w:t>
      </w:r>
      <w:r w:rsidRPr="00EF5937">
        <w:rPr>
          <w:rStyle w:val="af9"/>
          <w:rFonts w:hint="cs"/>
          <w:rtl/>
        </w:rPr>
        <w:t xml:space="preserve">רש"י </w:t>
      </w:r>
      <w:r w:rsidRPr="008559E7">
        <w:rPr>
          <w:rStyle w:val="af7"/>
          <w:rFonts w:eastAsia="Guttman Hodes" w:hint="cs"/>
          <w:rtl/>
        </w:rPr>
        <w:t>(ד</w:t>
      </w:r>
      <w:r w:rsidRPr="008559E7">
        <w:rPr>
          <w:rStyle w:val="af7"/>
          <w:rFonts w:eastAsia="Guttman Hodes"/>
          <w:rtl/>
        </w:rPr>
        <w:t>"</w:t>
      </w:r>
      <w:r w:rsidRPr="008559E7">
        <w:rPr>
          <w:rStyle w:val="af7"/>
          <w:rFonts w:eastAsia="Guttman Hodes" w:hint="cs"/>
          <w:rtl/>
        </w:rPr>
        <w:t>ה התם, ד</w:t>
      </w:r>
      <w:r w:rsidRPr="008559E7">
        <w:rPr>
          <w:rStyle w:val="af7"/>
          <w:rFonts w:eastAsia="Guttman Hodes"/>
          <w:rtl/>
        </w:rPr>
        <w:t>"</w:t>
      </w:r>
      <w:r w:rsidRPr="008559E7">
        <w:rPr>
          <w:rStyle w:val="af7"/>
          <w:rFonts w:eastAsia="Guttman Hodes" w:hint="cs"/>
          <w:rtl/>
        </w:rPr>
        <w:t>ה ומשני, הובא בסימן ג' אות ה')</w:t>
      </w:r>
      <w:r w:rsidRPr="001D1883">
        <w:rPr>
          <w:rFonts w:hint="cs"/>
          <w:rtl/>
        </w:rPr>
        <w:t xml:space="preserve"> </w:t>
      </w:r>
      <w:r w:rsidRPr="001D1883">
        <w:rPr>
          <w:rStyle w:val="af9"/>
          <w:rFonts w:hint="cs"/>
          <w:rtl/>
        </w:rPr>
        <w:t>והרמב"ן</w:t>
      </w:r>
      <w:r w:rsidRPr="001D1883">
        <w:rPr>
          <w:rFonts w:hint="cs"/>
          <w:rtl/>
        </w:rPr>
        <w:t xml:space="preserve"> </w:t>
      </w:r>
      <w:r>
        <w:rPr>
          <w:rStyle w:val="af7"/>
          <w:rFonts w:eastAsia="Guttman Hodes" w:hint="cs"/>
          <w:rtl/>
        </w:rPr>
        <w:t>(ד</w:t>
      </w:r>
      <w:r>
        <w:rPr>
          <w:rStyle w:val="af7"/>
          <w:rFonts w:eastAsia="Guttman Hodes"/>
          <w:rtl/>
        </w:rPr>
        <w:t>"</w:t>
      </w:r>
      <w:r>
        <w:rPr>
          <w:rStyle w:val="af7"/>
          <w:rFonts w:eastAsia="Guttman Hodes" w:hint="cs"/>
          <w:rtl/>
        </w:rPr>
        <w:t xml:space="preserve">ה </w:t>
      </w:r>
      <w:r w:rsidRPr="00EF5937">
        <w:rPr>
          <w:rStyle w:val="af7"/>
          <w:rFonts w:eastAsia="Guttman Hodes" w:hint="cs"/>
          <w:rtl/>
        </w:rPr>
        <w:t>משור</w:t>
      </w:r>
      <w:r w:rsidRPr="001D1883">
        <w:rPr>
          <w:rStyle w:val="af7"/>
          <w:rFonts w:eastAsia="Guttman Hodes" w:hint="cs"/>
          <w:rtl/>
        </w:rPr>
        <w:t xml:space="preserve">, הובא בסימן </w:t>
      </w:r>
      <w:r>
        <w:rPr>
          <w:rStyle w:val="af7"/>
          <w:rFonts w:eastAsia="Guttman Hodes" w:hint="cs"/>
          <w:rtl/>
        </w:rPr>
        <w:t>ג</w:t>
      </w:r>
      <w:r w:rsidRPr="001D1883">
        <w:rPr>
          <w:rStyle w:val="af7"/>
          <w:rFonts w:eastAsia="Guttman Hodes" w:hint="cs"/>
          <w:rtl/>
        </w:rPr>
        <w:t xml:space="preserve">' אות </w:t>
      </w:r>
      <w:r>
        <w:rPr>
          <w:rStyle w:val="af7"/>
          <w:rFonts w:eastAsia="Guttman Hodes" w:hint="cs"/>
          <w:rtl/>
        </w:rPr>
        <w:t>ט'</w:t>
      </w:r>
      <w:r w:rsidRPr="001D1883">
        <w:rPr>
          <w:rStyle w:val="af7"/>
          <w:rFonts w:eastAsia="Guttman Hodes" w:hint="cs"/>
          <w:rtl/>
        </w:rPr>
        <w:t>)</w:t>
      </w:r>
      <w:r w:rsidRPr="001D1883">
        <w:rPr>
          <w:rFonts w:hint="cs"/>
          <w:rtl/>
        </w:rPr>
        <w:t xml:space="preserve"> דביארו דהילפותא משור המועד דבג"פ הקרקע דעומדת ברשות המחזיק, מ"מ כל שנכנס לקרקע של חבירו שלא בפניו, הוא נראה כחוטף והקרקע בחזקת גזולה, וא"כ ה"ה כשנכנס לקרקע כשהמערער נמצא במקום חירום שאינו יכול למחות, דהוא נראה כגוזל ולא הוי חזקה.</w:t>
      </w:r>
    </w:p>
    <w:p w:rsidR="007A505A" w:rsidRPr="001D1883" w:rsidRDefault="007A505A" w:rsidP="007A505A">
      <w:pPr>
        <w:pStyle w:val="a3"/>
      </w:pPr>
      <w:bookmarkStart w:id="3788" w:name="_Toc55386304"/>
      <w:bookmarkStart w:id="3789" w:name="_Toc55391225"/>
      <w:r>
        <w:rPr>
          <w:rFonts w:hint="cs"/>
          <w:rtl/>
        </w:rPr>
        <w:t>דברי הגר"ח דלרבנן בלא היה המערער יכול למחות בחלק מהג"ש הוי חזקה דיכול למחות בשאר</w:t>
      </w:r>
      <w:bookmarkEnd w:id="3788"/>
      <w:bookmarkEnd w:id="3789"/>
      <w:r>
        <w:rPr>
          <w:rFonts w:hint="cs"/>
          <w:rtl/>
        </w:rPr>
        <w:t xml:space="preserve"> </w:t>
      </w:r>
    </w:p>
    <w:p w:rsidR="007A505A" w:rsidRPr="001D1883" w:rsidRDefault="007A505A" w:rsidP="007E4E81">
      <w:pPr>
        <w:pStyle w:val="a0"/>
        <w:rPr>
          <w:rStyle w:val="afb"/>
        </w:rPr>
      </w:pPr>
      <w:r w:rsidRPr="001D1883">
        <w:rPr>
          <w:rFonts w:hint="cs"/>
          <w:rtl/>
        </w:rPr>
        <w:t xml:space="preserve">אך כתב </w:t>
      </w:r>
      <w:r w:rsidRPr="001D1883">
        <w:rPr>
          <w:rStyle w:val="af9"/>
          <w:rFonts w:hint="cs"/>
          <w:rtl/>
        </w:rPr>
        <w:t>הגר"ח</w:t>
      </w:r>
      <w:r w:rsidRPr="001D1883">
        <w:rPr>
          <w:rStyle w:val="af7"/>
          <w:rFonts w:eastAsia="Guttman Hodes" w:hint="cs"/>
          <w:rtl/>
        </w:rPr>
        <w:t xml:space="preserve"> (שיעורי רבנו חיים הלוי עמ"ס ב"ב לח. ד"ה ונראה לומר דהנה)</w:t>
      </w:r>
      <w:r w:rsidRPr="001D1883">
        <w:rPr>
          <w:rFonts w:hint="cs"/>
          <w:rtl/>
        </w:rPr>
        <w:t xml:space="preserve"> דלדעת רבנן דטעמא דחזקה דעד ג"ש אדם נזהר בשטרו, </w:t>
      </w:r>
      <w:r w:rsidRPr="001D1883">
        <w:rPr>
          <w:rStyle w:val="afb"/>
          <w:rFonts w:hint="cs"/>
          <w:rtl/>
        </w:rPr>
        <w:t>[והחזקה היא לאחר שעברו ג"ש שאינו צריך להזהר בשטרו, וכל המחאה היא רק בכדי שידע המחזיק להזהר בשטרו אף לאחר הג"ש],</w:t>
      </w:r>
      <w:r w:rsidRPr="001D1883">
        <w:rPr>
          <w:rFonts w:hint="cs"/>
          <w:rtl/>
        </w:rPr>
        <w:t xml:space="preserve"> א"כ אף אם בחלק מהג"ש היה המערער במקום חירום שלא היה יכול למחות, מ"מ כיון שהמערער היה יכול למחות בחלק מהג"ש, והיה המחזיק שומע מהמחאה ונזהר בשטרו, כל שלא מחה בתוך הוי חזקה. </w:t>
      </w:r>
      <w:r w:rsidRPr="001D1883">
        <w:rPr>
          <w:rStyle w:val="afb"/>
          <w:rFonts w:hint="cs"/>
          <w:rtl/>
        </w:rPr>
        <w:t>[דלא היה למחזיק להזהר בשטרו].</w:t>
      </w:r>
    </w:p>
    <w:p w:rsidR="007A505A" w:rsidRPr="001D1883" w:rsidRDefault="007A505A" w:rsidP="007A505A">
      <w:pPr>
        <w:pStyle w:val="1"/>
        <w:rPr>
          <w:rtl/>
        </w:rPr>
      </w:pPr>
      <w:bookmarkStart w:id="3790" w:name="_Toc55386305"/>
      <w:bookmarkStart w:id="3791" w:name="_Toc55391226"/>
      <w:r>
        <w:rPr>
          <w:rFonts w:hint="cs"/>
          <w:rtl/>
        </w:rPr>
        <w:t>קושית הגר"ח דבכל ג"ש יש זמן שהמחזיק עדיין לא שמע</w:t>
      </w:r>
      <w:bookmarkEnd w:id="3790"/>
      <w:bookmarkEnd w:id="3791"/>
      <w:r>
        <w:rPr>
          <w:rFonts w:hint="cs"/>
          <w:rtl/>
        </w:rPr>
        <w:t xml:space="preserve"> </w:t>
      </w:r>
    </w:p>
    <w:p w:rsidR="007A505A" w:rsidRPr="001D1883" w:rsidRDefault="007A505A" w:rsidP="007A505A">
      <w:pPr>
        <w:pStyle w:val="a3"/>
        <w:rPr>
          <w:rtl/>
        </w:rPr>
      </w:pPr>
      <w:bookmarkStart w:id="3792" w:name="_Toc55386306"/>
      <w:bookmarkStart w:id="3793" w:name="_Toc55391227"/>
      <w:r>
        <w:rPr>
          <w:rFonts w:hint="cs"/>
          <w:rtl/>
        </w:rPr>
        <w:t>קושית הגר"ח דלהולכי אושא יש זמן דהחזקה אינה יכולה להגיע למחזיק וחסר בג"ש שלימות</w:t>
      </w:r>
      <w:bookmarkEnd w:id="3792"/>
      <w:bookmarkEnd w:id="3793"/>
    </w:p>
    <w:p w:rsidR="007A505A" w:rsidRPr="001D1883" w:rsidRDefault="007A505A" w:rsidP="007E4E81">
      <w:pPr>
        <w:pStyle w:val="a0"/>
        <w:rPr>
          <w:rtl/>
        </w:rPr>
      </w:pPr>
      <w:r w:rsidRPr="001D1883">
        <w:rPr>
          <w:rFonts w:hint="cs"/>
          <w:rtl/>
        </w:rPr>
        <w:t xml:space="preserve">והקשה </w:t>
      </w:r>
      <w:r w:rsidRPr="001D1883">
        <w:rPr>
          <w:rStyle w:val="af9"/>
          <w:rtl/>
        </w:rPr>
        <w:t>הגר"ח</w:t>
      </w:r>
      <w:r w:rsidRPr="001D1883">
        <w:rPr>
          <w:rStyle w:val="af7"/>
          <w:rFonts w:eastAsia="Guttman Hodes" w:hint="cs"/>
          <w:rtl/>
        </w:rPr>
        <w:t xml:space="preserve"> (שיעורי רבנו חיים הלוי עמ"ס ב"ב לח. ד"ה ונראה לומר דהנה, סוד"ה אכן כ"ז)</w:t>
      </w:r>
      <w:r w:rsidRPr="001D1883">
        <w:rPr>
          <w:rFonts w:hint="cs"/>
          <w:rtl/>
        </w:rPr>
        <w:t xml:space="preserve"> דלהולכי אושא שצריך שבכל הג"ש יוכל המערער למחות</w:t>
      </w:r>
      <w:r w:rsidRPr="001D1883">
        <w:rPr>
          <w:rStyle w:val="afb"/>
          <w:rFonts w:hint="cs"/>
          <w:rtl/>
        </w:rPr>
        <w:t xml:space="preserve">, [כדביאר </w:t>
      </w:r>
      <w:r w:rsidRPr="001D1883">
        <w:rPr>
          <w:rStyle w:val="affa"/>
          <w:rFonts w:hint="cs"/>
          <w:rtl/>
        </w:rPr>
        <w:t>הגר"ח</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Ref55293320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sidR="00265073">
        <w:rPr>
          <w:rStyle w:val="aff6"/>
          <w:cs/>
        </w:rPr>
        <w:t>‎</w:t>
      </w:r>
      <w:r w:rsidR="00265073">
        <w:rPr>
          <w:rStyle w:val="aff6"/>
          <w:rtl/>
        </w:rPr>
        <w:t>קא)</w:t>
      </w:r>
      <w:r w:rsidRPr="001D1883">
        <w:rPr>
          <w:rStyle w:val="aff6"/>
          <w:rtl/>
        </w:rPr>
        <w:fldChar w:fldCharType="end"/>
      </w:r>
      <w:r w:rsidRPr="001D1883">
        <w:rPr>
          <w:rStyle w:val="afb"/>
          <w:rFonts w:hint="cs"/>
          <w:rtl/>
        </w:rPr>
        <w:t xml:space="preserve">], </w:t>
      </w:r>
      <w:r w:rsidRPr="001D1883">
        <w:rPr>
          <w:rFonts w:hint="cs"/>
          <w:rtl/>
        </w:rPr>
        <w:t>א"כ בכל חזקת ג"ש יש זמן שבו המחאה של המערער עדיין לא הספיקה להגיע אל המחזיק, וממילא בזמן הזה נחשב שאין המערער יכול למחות במחזיק, ובזמן הזה כיון דאינו יכול למחות ממילא לא הוי חזקה, וא"כ בכל חזקה חסר מקצת מהג"ש, ואינה חזקה לדעת הולכי אושא.</w:t>
      </w:r>
    </w:p>
    <w:p w:rsidR="007A505A" w:rsidRPr="001D1883" w:rsidRDefault="007A505A" w:rsidP="007A505A">
      <w:pPr>
        <w:pStyle w:val="a3"/>
      </w:pPr>
      <w:bookmarkStart w:id="3794" w:name="_Toc55386307"/>
      <w:bookmarkStart w:id="3795" w:name="_Toc55391228"/>
      <w:r>
        <w:rPr>
          <w:rFonts w:hint="cs"/>
          <w:rtl/>
        </w:rPr>
        <w:t>תירוץ הגר"ח דלהולכי אושא המחאה חלה מיד אף לפני ששמע המחזיק ולא חסר בג"ש שלימות</w:t>
      </w:r>
      <w:bookmarkEnd w:id="3794"/>
      <w:bookmarkEnd w:id="3795"/>
    </w:p>
    <w:p w:rsidR="007A505A" w:rsidRDefault="007A505A" w:rsidP="007E4E81">
      <w:pPr>
        <w:pStyle w:val="a0"/>
        <w:rPr>
          <w:rtl/>
        </w:rPr>
      </w:pPr>
      <w:r w:rsidRPr="001D1883">
        <w:rPr>
          <w:rFonts w:hint="cs"/>
          <w:rtl/>
        </w:rPr>
        <w:t xml:space="preserve">ותירץ </w:t>
      </w:r>
      <w:r w:rsidRPr="001D1883">
        <w:rPr>
          <w:rStyle w:val="af9"/>
          <w:rFonts w:hint="cs"/>
          <w:rtl/>
        </w:rPr>
        <w:t>הגר"ח</w:t>
      </w:r>
      <w:r w:rsidRPr="001D1883">
        <w:rPr>
          <w:rStyle w:val="af7"/>
          <w:rFonts w:eastAsia="Guttman Hodes" w:hint="cs"/>
          <w:rtl/>
        </w:rPr>
        <w:t xml:space="preserve"> (שיעורי רבנו חיים הלוי עמ"ס ב"ב לח. ד"ה ולפי"ז)</w:t>
      </w:r>
      <w:r w:rsidRPr="001D1883">
        <w:rPr>
          <w:rFonts w:hint="cs"/>
          <w:rtl/>
        </w:rPr>
        <w:t xml:space="preserve"> לפי מה שביאר </w:t>
      </w:r>
      <w:r w:rsidRPr="001D1883">
        <w:rPr>
          <w:rStyle w:val="af9"/>
          <w:rFonts w:hint="cs"/>
          <w:rtl/>
        </w:rPr>
        <w:t>הגר"ח</w:t>
      </w:r>
      <w:r w:rsidRPr="001D1883">
        <w:rPr>
          <w:rFonts w:hint="cs"/>
          <w:rtl/>
        </w:rPr>
        <w:t xml:space="preserve"> </w:t>
      </w:r>
      <w:r w:rsidRPr="001D1883">
        <w:rPr>
          <w:rStyle w:val="af7"/>
          <w:rFonts w:eastAsia="Guttman Hodes" w:hint="cs"/>
          <w:rtl/>
        </w:rPr>
        <w:t xml:space="preserve">(עי' אות </w:t>
      </w:r>
      <w:r w:rsidRPr="001D1883">
        <w:rPr>
          <w:rStyle w:val="af7"/>
          <w:rFonts w:eastAsia="Guttman Hodes"/>
          <w:rtl/>
        </w:rPr>
        <w:fldChar w:fldCharType="begin"/>
      </w:r>
      <w:r w:rsidRPr="001D1883">
        <w:rPr>
          <w:rStyle w:val="af7"/>
          <w:rFonts w:eastAsia="Guttman Hodes"/>
          <w:rtl/>
        </w:rPr>
        <w:instrText xml:space="preserve"> </w:instrText>
      </w:r>
      <w:r w:rsidRPr="001D1883">
        <w:rPr>
          <w:rStyle w:val="af7"/>
          <w:rFonts w:eastAsia="Guttman Hodes" w:hint="cs"/>
        </w:rPr>
        <w:instrText>REF</w:instrText>
      </w:r>
      <w:r w:rsidRPr="001D1883">
        <w:rPr>
          <w:rStyle w:val="af7"/>
          <w:rFonts w:eastAsia="Guttman Hodes" w:hint="cs"/>
          <w:rtl/>
        </w:rPr>
        <w:instrText xml:space="preserve"> _</w:instrText>
      </w:r>
      <w:r w:rsidRPr="001D1883">
        <w:rPr>
          <w:rStyle w:val="af7"/>
          <w:rFonts w:eastAsia="Guttman Hodes" w:hint="cs"/>
        </w:rPr>
        <w:instrText>Ref55293046 \r \h</w:instrText>
      </w:r>
      <w:r w:rsidRPr="001D1883">
        <w:rPr>
          <w:rStyle w:val="af7"/>
          <w:rFonts w:eastAsia="Guttman Hodes"/>
          <w:rtl/>
        </w:rPr>
        <w:instrText xml:space="preserve">  \* </w:instrText>
      </w:r>
      <w:r w:rsidRPr="001D1883">
        <w:rPr>
          <w:rStyle w:val="af7"/>
          <w:rFonts w:eastAsia="Guttman Hodes"/>
        </w:rPr>
        <w:instrText>MERGEFORMAT</w:instrText>
      </w:r>
      <w:r w:rsidRPr="001D1883">
        <w:rPr>
          <w:rStyle w:val="af7"/>
          <w:rFonts w:eastAsia="Guttman Hodes"/>
          <w:rtl/>
        </w:rPr>
        <w:instrText xml:space="preserve"> </w:instrText>
      </w:r>
      <w:r w:rsidRPr="001D1883">
        <w:rPr>
          <w:rStyle w:val="af7"/>
          <w:rFonts w:eastAsia="Guttman Hodes"/>
          <w:rtl/>
        </w:rPr>
      </w:r>
      <w:r w:rsidRPr="001D1883">
        <w:rPr>
          <w:rStyle w:val="af7"/>
          <w:rFonts w:eastAsia="Guttman Hodes"/>
          <w:rtl/>
        </w:rPr>
        <w:fldChar w:fldCharType="separate"/>
      </w:r>
      <w:r w:rsidR="00265073">
        <w:rPr>
          <w:rStyle w:val="af7"/>
          <w:rFonts w:eastAsia="Guttman Hodes"/>
          <w:cs/>
        </w:rPr>
        <w:t>‎</w:t>
      </w:r>
      <w:r w:rsidR="00265073">
        <w:rPr>
          <w:rStyle w:val="af7"/>
          <w:rFonts w:eastAsia="Guttman Hodes"/>
          <w:rtl/>
        </w:rPr>
        <w:t>צח)</w:t>
      </w:r>
      <w:r w:rsidRPr="001D1883">
        <w:rPr>
          <w:rStyle w:val="af7"/>
          <w:rFonts w:eastAsia="Guttman Hodes"/>
          <w:rtl/>
        </w:rPr>
        <w:fldChar w:fldCharType="end"/>
      </w:r>
      <w:r w:rsidRPr="001D1883">
        <w:rPr>
          <w:rFonts w:hint="cs"/>
          <w:rtl/>
        </w:rPr>
        <w:t xml:space="preserve"> דלהולכי אושא המחאה חלה מיד כשמחה המערער, אף לפני ששמע ממנה המחזיק, א"כ אף שיש זמן שהמחאה אינה יכולה להגיע אל המחזיק, מ"מ אין הזמן הזה מחסר בחזקה, דהא המחאה חלה מיד כשמחה המערער, וממילא אין זמן שבו המערער אינו יכול למחות.</w:t>
      </w:r>
    </w:p>
    <w:p w:rsidR="007A505A" w:rsidRDefault="007A505A" w:rsidP="007A505A">
      <w:pPr>
        <w:pStyle w:val="afe"/>
        <w:rPr>
          <w:rtl/>
        </w:rPr>
      </w:pPr>
      <w:bookmarkStart w:id="3796" w:name="_Toc55386308"/>
      <w:bookmarkStart w:id="3797" w:name="_Toc55391229"/>
      <w:r>
        <w:rPr>
          <w:rFonts w:hint="cs"/>
          <w:rtl/>
        </w:rPr>
        <w:t>בדין מחאה שלא שמע המחזיק ממנה</w:t>
      </w:r>
      <w:bookmarkEnd w:id="3796"/>
      <w:bookmarkEnd w:id="3797"/>
    </w:p>
    <w:p w:rsidR="007A505A" w:rsidRPr="009D03E8" w:rsidRDefault="007A505A" w:rsidP="007A505A">
      <w:pPr>
        <w:pStyle w:val="1"/>
        <w:rPr>
          <w:rtl/>
        </w:rPr>
      </w:pPr>
      <w:bookmarkStart w:id="3798" w:name="_Toc55386309"/>
      <w:bookmarkStart w:id="3799" w:name="_Toc55391230"/>
      <w:r>
        <w:rPr>
          <w:rFonts w:hint="cs"/>
          <w:rtl/>
        </w:rPr>
        <w:t>ביאור הגרנ"פ ברב"י</w:t>
      </w:r>
      <w:bookmarkEnd w:id="3798"/>
      <w:r>
        <w:rPr>
          <w:rFonts w:hint="cs"/>
          <w:rtl/>
        </w:rPr>
        <w:t xml:space="preserve"> דסתם מחאה נשמעת ומהני אף שלא שמע</w:t>
      </w:r>
      <w:bookmarkEnd w:id="3799"/>
    </w:p>
    <w:p w:rsidR="007A505A" w:rsidRPr="00894FB9" w:rsidRDefault="007A505A" w:rsidP="007A505A">
      <w:pPr>
        <w:pStyle w:val="a3"/>
        <w:rPr>
          <w:rtl/>
        </w:rPr>
      </w:pPr>
      <w:bookmarkStart w:id="3800" w:name="_Toc55386310"/>
      <w:bookmarkStart w:id="3801" w:name="_Toc55391231"/>
      <w:r>
        <w:rPr>
          <w:rFonts w:hint="cs"/>
          <w:rtl/>
        </w:rPr>
        <w:t>ביאור הגרנ"פ ברב"י דלהולכי אושא חלה המחאה אף שלא שמע המחזיק ממנה לבסוף</w:t>
      </w:r>
      <w:bookmarkEnd w:id="3800"/>
      <w:bookmarkEnd w:id="3801"/>
    </w:p>
    <w:p w:rsidR="007A505A" w:rsidRDefault="007A505A" w:rsidP="007E4E81">
      <w:pPr>
        <w:pStyle w:val="a0"/>
        <w:rPr>
          <w:rStyle w:val="afb"/>
          <w:rtl/>
        </w:rPr>
      </w:pPr>
      <w:bookmarkStart w:id="3802" w:name="_Ref55382133"/>
      <w:r w:rsidRPr="001D1883">
        <w:rPr>
          <w:rFonts w:hint="cs"/>
          <w:rtl/>
        </w:rPr>
        <w:t xml:space="preserve">במ"ש הגמ' </w:t>
      </w:r>
      <w:r w:rsidRPr="001D1883">
        <w:rPr>
          <w:rStyle w:val="af9"/>
          <w:rFonts w:hint="cs"/>
          <w:rtl/>
        </w:rPr>
        <w:t>רבינו יונה</w:t>
      </w:r>
      <w:r w:rsidRPr="001D1883">
        <w:rPr>
          <w:rFonts w:hint="cs"/>
          <w:rtl/>
        </w:rPr>
        <w:t xml:space="preserve"> </w:t>
      </w:r>
      <w:r w:rsidRPr="001D1883">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Ref55381914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Pr>
          <w:rStyle w:val="af7"/>
          <w:rFonts w:eastAsia="Guttman Hodes"/>
          <w:rtl/>
        </w:rPr>
        <w:fldChar w:fldCharType="end"/>
      </w:r>
      <w:r w:rsidRPr="001D1883">
        <w:rPr>
          <w:rStyle w:val="af7"/>
          <w:rFonts w:eastAsia="Guttman Hodes" w:hint="cs"/>
          <w:rtl/>
        </w:rPr>
        <w:t xml:space="preserve"> </w:t>
      </w:r>
      <w:r w:rsidRPr="001D1883">
        <w:rPr>
          <w:rFonts w:hint="cs"/>
          <w:rtl/>
        </w:rPr>
        <w:t xml:space="preserve">דחברך חברא אית ליה, </w:t>
      </w:r>
      <w:r>
        <w:rPr>
          <w:rFonts w:hint="cs"/>
          <w:rtl/>
        </w:rPr>
        <w:t>היינו</w:t>
      </w:r>
      <w:r w:rsidRPr="001D1883">
        <w:rPr>
          <w:rFonts w:hint="cs"/>
          <w:rtl/>
        </w:rPr>
        <w:t xml:space="preserve"> דבמחאה חביריו של המחזיק מודיעים לו שיזהר בשטרו, ומסתמא שמע המחזיק מהמחאה, כתב </w:t>
      </w:r>
      <w:r w:rsidRPr="008E23EB">
        <w:rPr>
          <w:rStyle w:val="af9"/>
          <w:rFonts w:hint="cs"/>
          <w:rtl/>
        </w:rPr>
        <w:t>בחי' רבי נחום</w:t>
      </w:r>
      <w:r w:rsidRPr="00234EC6">
        <w:rPr>
          <w:rStyle w:val="af7"/>
          <w:rFonts w:eastAsia="Guttman Hodes" w:hint="cs"/>
          <w:rtl/>
        </w:rPr>
        <w:t xml:space="preserve"> (או' י"ז) </w:t>
      </w:r>
      <w:r w:rsidRPr="001D1883">
        <w:rPr>
          <w:rFonts w:hint="cs"/>
          <w:rtl/>
        </w:rPr>
        <w:t xml:space="preserve">דמשמע מדברי </w:t>
      </w:r>
      <w:r w:rsidRPr="009D03E8">
        <w:rPr>
          <w:rStyle w:val="af9"/>
          <w:rFonts w:hint="cs"/>
          <w:rtl/>
        </w:rPr>
        <w:t>רבינו יונה</w:t>
      </w:r>
      <w:r w:rsidRPr="001D1883">
        <w:rPr>
          <w:rFonts w:hint="cs"/>
          <w:rtl/>
        </w:rPr>
        <w:t xml:space="preserve"> דאף אם המחזיק לא שמע לבסוף הוה מחאה</w:t>
      </w:r>
      <w:r>
        <w:rPr>
          <w:rFonts w:hint="cs"/>
          <w:rtl/>
        </w:rPr>
        <w:t xml:space="preserve">. </w:t>
      </w:r>
      <w:r w:rsidRPr="001E07C6">
        <w:rPr>
          <w:rStyle w:val="afb"/>
          <w:rFonts w:hint="cs"/>
          <w:rtl/>
        </w:rPr>
        <w:t>[וכ</w:t>
      </w:r>
      <w:r>
        <w:rPr>
          <w:rStyle w:val="afb"/>
          <w:rFonts w:hint="cs"/>
          <w:rtl/>
        </w:rPr>
        <w:t>"כ</w:t>
      </w:r>
      <w:r w:rsidRPr="001E07C6">
        <w:rPr>
          <w:rStyle w:val="afb"/>
          <w:rFonts w:hint="cs"/>
          <w:rtl/>
        </w:rPr>
        <w:t xml:space="preserve"> </w:t>
      </w:r>
      <w:r w:rsidRPr="00BD388B">
        <w:rPr>
          <w:rStyle w:val="affa"/>
          <w:rFonts w:hint="cs"/>
          <w:rtl/>
        </w:rPr>
        <w:t>רבינו יונה</w:t>
      </w:r>
      <w:r w:rsidRPr="001E07C6">
        <w:rPr>
          <w:rStyle w:val="afb"/>
          <w:rFonts w:hint="cs"/>
          <w:rtl/>
        </w:rPr>
        <w:t xml:space="preserve"> </w:t>
      </w:r>
      <w:r w:rsidRPr="00BD388B">
        <w:rPr>
          <w:rStyle w:val="aff6"/>
          <w:rFonts w:hint="cs"/>
          <w:rtl/>
        </w:rPr>
        <w:t xml:space="preserve">(עי' אות </w:t>
      </w:r>
      <w:r w:rsidRPr="00BD388B">
        <w:rPr>
          <w:rStyle w:val="aff6"/>
          <w:rtl/>
        </w:rPr>
        <w:fldChar w:fldCharType="begin"/>
      </w:r>
      <w:r w:rsidRPr="00BD388B">
        <w:rPr>
          <w:rStyle w:val="aff6"/>
          <w:rtl/>
        </w:rPr>
        <w:instrText xml:space="preserve"> </w:instrText>
      </w:r>
      <w:r w:rsidRPr="00BD388B">
        <w:rPr>
          <w:rStyle w:val="aff6"/>
          <w:rFonts w:hint="cs"/>
        </w:rPr>
        <w:instrText>REF</w:instrText>
      </w:r>
      <w:r w:rsidRPr="00BD388B">
        <w:rPr>
          <w:rStyle w:val="aff6"/>
          <w:rFonts w:hint="cs"/>
          <w:rtl/>
        </w:rPr>
        <w:instrText xml:space="preserve"> _</w:instrText>
      </w:r>
      <w:r w:rsidRPr="00BD388B">
        <w:rPr>
          <w:rStyle w:val="aff6"/>
          <w:rFonts w:hint="cs"/>
        </w:rPr>
        <w:instrText>Ref55382258 \r \h</w:instrText>
      </w:r>
      <w:r w:rsidRPr="00BD388B">
        <w:rPr>
          <w:rStyle w:val="aff6"/>
          <w:rtl/>
        </w:rPr>
        <w:instrText xml:space="preserve"> </w:instrText>
      </w:r>
      <w:r w:rsidRPr="00BD388B">
        <w:rPr>
          <w:rStyle w:val="aff6"/>
          <w:rtl/>
        </w:rPr>
      </w:r>
      <w:r w:rsidRPr="00BD388B">
        <w:rPr>
          <w:rStyle w:val="aff6"/>
          <w:rtl/>
        </w:rPr>
        <w:fldChar w:fldCharType="separate"/>
      </w:r>
      <w:r w:rsidR="00265073">
        <w:rPr>
          <w:rStyle w:val="aff6"/>
          <w:cs/>
        </w:rPr>
        <w:t>‎</w:t>
      </w:r>
      <w:r w:rsidR="00265073">
        <w:rPr>
          <w:rStyle w:val="aff6"/>
          <w:rtl/>
        </w:rPr>
        <w:t>סב)</w:t>
      </w:r>
      <w:r w:rsidRPr="00BD388B">
        <w:rPr>
          <w:rStyle w:val="aff6"/>
          <w:rtl/>
        </w:rPr>
        <w:fldChar w:fldCharType="end"/>
      </w:r>
      <w:r w:rsidRPr="001E07C6">
        <w:rPr>
          <w:rStyle w:val="afb"/>
          <w:rFonts w:hint="cs"/>
          <w:rtl/>
        </w:rPr>
        <w:t xml:space="preserve"> </w:t>
      </w:r>
      <w:r>
        <w:rPr>
          <w:rStyle w:val="afb"/>
          <w:rFonts w:hint="cs"/>
          <w:rtl/>
        </w:rPr>
        <w:t xml:space="preserve">להדיא </w:t>
      </w:r>
      <w:r w:rsidRPr="001E07C6">
        <w:rPr>
          <w:rStyle w:val="afb"/>
          <w:rFonts w:hint="cs"/>
          <w:rtl/>
        </w:rPr>
        <w:t>בדעת רבנן].</w:t>
      </w:r>
      <w:bookmarkEnd w:id="3802"/>
    </w:p>
    <w:p w:rsidR="007A505A" w:rsidRDefault="007A505A" w:rsidP="007A505A">
      <w:pPr>
        <w:pStyle w:val="1"/>
        <w:rPr>
          <w:rtl/>
        </w:rPr>
      </w:pPr>
      <w:bookmarkStart w:id="3803" w:name="_Toc55391232"/>
      <w:r>
        <w:rPr>
          <w:rFonts w:hint="cs"/>
          <w:rtl/>
        </w:rPr>
        <w:lastRenderedPageBreak/>
        <w:t>דברי הגרש"ר דבלא שמע המחזיק מהני רק אי חזקה היא תקנ"ח</w:t>
      </w:r>
    </w:p>
    <w:p w:rsidR="007A505A" w:rsidRDefault="007A505A" w:rsidP="007A505A">
      <w:pPr>
        <w:pStyle w:val="a3"/>
        <w:rPr>
          <w:rtl/>
        </w:rPr>
      </w:pPr>
      <w:r>
        <w:rPr>
          <w:rFonts w:hint="cs"/>
          <w:rtl/>
        </w:rPr>
        <w:t>ביאור הגרש"ר בראשונים דמחאה מהני אף שלא שמע המחזיק להסוברים דחזקה היא תקנ"ח</w:t>
      </w:r>
    </w:p>
    <w:p w:rsidR="007A505A" w:rsidRDefault="007A505A" w:rsidP="007E4E81">
      <w:pPr>
        <w:pStyle w:val="a0"/>
        <w:rPr>
          <w:rtl/>
        </w:rPr>
      </w:pPr>
      <w:bookmarkStart w:id="3804" w:name="_Ref55470322"/>
      <w:r>
        <w:rPr>
          <w:rFonts w:hint="cs"/>
          <w:rtl/>
        </w:rPr>
        <w:t xml:space="preserve">במ"ש </w:t>
      </w:r>
      <w:r w:rsidRPr="003114CC">
        <w:rPr>
          <w:rStyle w:val="af9"/>
          <w:rFonts w:hint="cs"/>
          <w:rtl/>
        </w:rPr>
        <w:t>רבינו יונה</w:t>
      </w:r>
      <w:r>
        <w:rPr>
          <w:rFonts w:hint="cs"/>
          <w:rtl/>
        </w:rPr>
        <w:t xml:space="preserve"> </w:t>
      </w:r>
      <w:r w:rsidRPr="003114CC">
        <w:rPr>
          <w:rStyle w:val="af7"/>
          <w:rFonts w:eastAsia="Guttman Hodes" w:hint="cs"/>
          <w:rtl/>
        </w:rPr>
        <w:t xml:space="preserve">(עי' אות </w:t>
      </w:r>
      <w:r w:rsidRPr="003114CC">
        <w:rPr>
          <w:rStyle w:val="af7"/>
          <w:rFonts w:eastAsia="Guttman Hodes"/>
          <w:rtl/>
        </w:rPr>
        <w:fldChar w:fldCharType="begin"/>
      </w:r>
      <w:r w:rsidRPr="003114CC">
        <w:rPr>
          <w:rStyle w:val="af7"/>
          <w:rFonts w:eastAsia="Guttman Hodes"/>
          <w:rtl/>
        </w:rPr>
        <w:instrText xml:space="preserve"> </w:instrText>
      </w:r>
      <w:r w:rsidRPr="003114CC">
        <w:rPr>
          <w:rStyle w:val="af7"/>
          <w:rFonts w:eastAsia="Guttman Hodes" w:hint="cs"/>
        </w:rPr>
        <w:instrText>REF</w:instrText>
      </w:r>
      <w:r w:rsidRPr="003114CC">
        <w:rPr>
          <w:rStyle w:val="af7"/>
          <w:rFonts w:eastAsia="Guttman Hodes" w:hint="cs"/>
          <w:rtl/>
        </w:rPr>
        <w:instrText xml:space="preserve"> _</w:instrText>
      </w:r>
      <w:r w:rsidRPr="003114CC">
        <w:rPr>
          <w:rStyle w:val="af7"/>
          <w:rFonts w:eastAsia="Guttman Hodes" w:hint="cs"/>
        </w:rPr>
        <w:instrText>Ref55382258 \r \h</w:instrText>
      </w:r>
      <w:r w:rsidRPr="003114CC">
        <w:rPr>
          <w:rStyle w:val="af7"/>
          <w:rFonts w:eastAsia="Guttman Hodes"/>
          <w:rtl/>
        </w:rPr>
        <w:instrText xml:space="preserve"> </w:instrText>
      </w:r>
      <w:r w:rsidRPr="003114CC">
        <w:rPr>
          <w:rStyle w:val="af7"/>
          <w:rFonts w:eastAsia="Guttman Hodes"/>
          <w:rtl/>
        </w:rPr>
      </w:r>
      <w:r w:rsidRPr="003114CC">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3114CC">
        <w:rPr>
          <w:rStyle w:val="af7"/>
          <w:rFonts w:eastAsia="Guttman Hodes"/>
          <w:rtl/>
        </w:rPr>
        <w:fldChar w:fldCharType="end"/>
      </w:r>
      <w:r>
        <w:rPr>
          <w:rFonts w:hint="cs"/>
          <w:rtl/>
        </w:rPr>
        <w:t xml:space="preserve"> </w:t>
      </w:r>
      <w:r w:rsidRPr="003114CC">
        <w:rPr>
          <w:rStyle w:val="af9"/>
          <w:rFonts w:hint="cs"/>
          <w:rtl/>
        </w:rPr>
        <w:t>וה</w:t>
      </w:r>
      <w:r w:rsidRPr="00EF5372">
        <w:rPr>
          <w:rStyle w:val="af9"/>
          <w:rFonts w:hint="cs"/>
          <w:rtl/>
        </w:rPr>
        <w:t>נימוק"י</w:t>
      </w:r>
      <w:r w:rsidRPr="001D1883">
        <w:rPr>
          <w:rFonts w:hint="cs"/>
          <w:rtl/>
        </w:rPr>
        <w:t xml:space="preserve"> </w:t>
      </w:r>
      <w:r w:rsidRPr="000173A0">
        <w:rPr>
          <w:rStyle w:val="af7"/>
          <w:rFonts w:eastAsia="Guttman Hodes" w:hint="cs"/>
          <w:rtl/>
        </w:rPr>
        <w:t xml:space="preserve">(עי' אות </w:t>
      </w:r>
      <w:r w:rsidRPr="000173A0">
        <w:rPr>
          <w:rStyle w:val="af7"/>
          <w:rFonts w:eastAsia="Guttman Hodes"/>
          <w:rtl/>
        </w:rPr>
        <w:fldChar w:fldCharType="begin"/>
      </w:r>
      <w:r w:rsidRPr="000173A0">
        <w:rPr>
          <w:rStyle w:val="af7"/>
          <w:rFonts w:eastAsia="Guttman Hodes"/>
          <w:rtl/>
        </w:rPr>
        <w:instrText xml:space="preserve"> </w:instrText>
      </w:r>
      <w:r w:rsidRPr="000173A0">
        <w:rPr>
          <w:rStyle w:val="af7"/>
          <w:rFonts w:eastAsia="Guttman Hodes" w:hint="cs"/>
        </w:rPr>
        <w:instrText>REF</w:instrText>
      </w:r>
      <w:r w:rsidRPr="000173A0">
        <w:rPr>
          <w:rStyle w:val="af7"/>
          <w:rFonts w:eastAsia="Guttman Hodes" w:hint="cs"/>
          <w:rtl/>
        </w:rPr>
        <w:instrText xml:space="preserve"> _</w:instrText>
      </w:r>
      <w:r w:rsidRPr="000173A0">
        <w:rPr>
          <w:rStyle w:val="af7"/>
          <w:rFonts w:eastAsia="Guttman Hodes" w:hint="cs"/>
        </w:rPr>
        <w:instrText>Ref55315892 \r \h</w:instrText>
      </w:r>
      <w:r w:rsidRPr="000173A0">
        <w:rPr>
          <w:rStyle w:val="af7"/>
          <w:rFonts w:eastAsia="Guttman Hodes"/>
          <w:rtl/>
        </w:rPr>
        <w:instrText xml:space="preserve">  \* </w:instrText>
      </w:r>
      <w:r w:rsidRPr="000173A0">
        <w:rPr>
          <w:rStyle w:val="af7"/>
          <w:rFonts w:eastAsia="Guttman Hodes"/>
        </w:rPr>
        <w:instrText>MERGEFORMAT</w:instrText>
      </w:r>
      <w:r w:rsidRPr="000173A0">
        <w:rPr>
          <w:rStyle w:val="af7"/>
          <w:rFonts w:eastAsia="Guttman Hodes"/>
          <w:rtl/>
        </w:rPr>
        <w:instrText xml:space="preserve"> </w:instrText>
      </w:r>
      <w:r w:rsidRPr="000173A0">
        <w:rPr>
          <w:rStyle w:val="af7"/>
          <w:rFonts w:eastAsia="Guttman Hodes"/>
          <w:rtl/>
        </w:rPr>
      </w:r>
      <w:r w:rsidRPr="000173A0">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0173A0">
        <w:rPr>
          <w:rStyle w:val="af7"/>
          <w:rFonts w:eastAsia="Guttman Hodes"/>
          <w:rtl/>
        </w:rPr>
        <w:fldChar w:fldCharType="end"/>
      </w:r>
      <w:r w:rsidRPr="004F3C1C">
        <w:rPr>
          <w:rStyle w:val="af9"/>
          <w:rFonts w:hint="cs"/>
          <w:rtl/>
        </w:rPr>
        <w:t xml:space="preserve"> </w:t>
      </w:r>
      <w:r>
        <w:rPr>
          <w:rStyle w:val="af9"/>
          <w:rFonts w:hint="cs"/>
          <w:rtl/>
        </w:rPr>
        <w:t>ו</w:t>
      </w:r>
      <w:r w:rsidRPr="00EF5372">
        <w:rPr>
          <w:rStyle w:val="af9"/>
          <w:rFonts w:hint="cs"/>
          <w:rtl/>
        </w:rPr>
        <w:t>הרא"ש</w:t>
      </w:r>
      <w:r w:rsidRPr="001D1883">
        <w:rPr>
          <w:rFonts w:hint="cs"/>
          <w:rtl/>
        </w:rPr>
        <w:t xml:space="preserve"> </w:t>
      </w:r>
      <w:r w:rsidRPr="000173A0">
        <w:rPr>
          <w:rStyle w:val="af7"/>
          <w:rFonts w:eastAsia="Guttman Hodes" w:hint="cs"/>
          <w:rtl/>
        </w:rPr>
        <w:t xml:space="preserve">(עי' אות </w:t>
      </w:r>
      <w:r w:rsidRPr="000173A0">
        <w:rPr>
          <w:rStyle w:val="af7"/>
          <w:rFonts w:eastAsia="Guttman Hodes"/>
          <w:rtl/>
        </w:rPr>
        <w:fldChar w:fldCharType="begin"/>
      </w:r>
      <w:r w:rsidRPr="000173A0">
        <w:rPr>
          <w:rStyle w:val="af7"/>
          <w:rFonts w:eastAsia="Guttman Hodes"/>
          <w:rtl/>
        </w:rPr>
        <w:instrText xml:space="preserve"> </w:instrText>
      </w:r>
      <w:r w:rsidRPr="000173A0">
        <w:rPr>
          <w:rStyle w:val="af7"/>
          <w:rFonts w:eastAsia="Guttman Hodes" w:hint="cs"/>
        </w:rPr>
        <w:instrText>REF</w:instrText>
      </w:r>
      <w:r w:rsidRPr="000173A0">
        <w:rPr>
          <w:rStyle w:val="af7"/>
          <w:rFonts w:eastAsia="Guttman Hodes" w:hint="cs"/>
          <w:rtl/>
        </w:rPr>
        <w:instrText xml:space="preserve"> _</w:instrText>
      </w:r>
      <w:r w:rsidRPr="000173A0">
        <w:rPr>
          <w:rStyle w:val="af7"/>
          <w:rFonts w:eastAsia="Guttman Hodes" w:hint="cs"/>
        </w:rPr>
        <w:instrText>Ref55315159 \r \h</w:instrText>
      </w:r>
      <w:r w:rsidRPr="000173A0">
        <w:rPr>
          <w:rStyle w:val="af7"/>
          <w:rFonts w:eastAsia="Guttman Hodes"/>
          <w:rtl/>
        </w:rPr>
        <w:instrText xml:space="preserve">  \* </w:instrText>
      </w:r>
      <w:r w:rsidRPr="000173A0">
        <w:rPr>
          <w:rStyle w:val="af7"/>
          <w:rFonts w:eastAsia="Guttman Hodes"/>
        </w:rPr>
        <w:instrText>MERGEFORMAT</w:instrText>
      </w:r>
      <w:r w:rsidRPr="000173A0">
        <w:rPr>
          <w:rStyle w:val="af7"/>
          <w:rFonts w:eastAsia="Guttman Hodes"/>
          <w:rtl/>
        </w:rPr>
        <w:instrText xml:space="preserve"> </w:instrText>
      </w:r>
      <w:r w:rsidRPr="000173A0">
        <w:rPr>
          <w:rStyle w:val="af7"/>
          <w:rFonts w:eastAsia="Guttman Hodes"/>
          <w:rtl/>
        </w:rPr>
      </w:r>
      <w:r w:rsidRPr="000173A0">
        <w:rPr>
          <w:rStyle w:val="af7"/>
          <w:rFonts w:eastAsia="Guttman Hodes"/>
          <w:rtl/>
        </w:rPr>
        <w:fldChar w:fldCharType="separate"/>
      </w:r>
      <w:r w:rsidR="00265073">
        <w:rPr>
          <w:rStyle w:val="af7"/>
          <w:rFonts w:eastAsia="Guttman Hodes"/>
          <w:cs/>
        </w:rPr>
        <w:t>‎</w:t>
      </w:r>
      <w:r w:rsidR="00265073">
        <w:rPr>
          <w:rStyle w:val="af7"/>
          <w:rFonts w:eastAsia="Guttman Hodes"/>
          <w:rtl/>
        </w:rPr>
        <w:t>סז)</w:t>
      </w:r>
      <w:r w:rsidRPr="000173A0">
        <w:rPr>
          <w:rStyle w:val="af7"/>
          <w:rFonts w:eastAsia="Guttman Hodes"/>
          <w:rtl/>
        </w:rPr>
        <w:fldChar w:fldCharType="end"/>
      </w:r>
      <w:r>
        <w:rPr>
          <w:rFonts w:hint="cs"/>
          <w:rtl/>
        </w:rPr>
        <w:t xml:space="preserve"> </w:t>
      </w:r>
      <w:r>
        <w:rPr>
          <w:rStyle w:val="af9"/>
          <w:rFonts w:hint="cs"/>
          <w:rtl/>
        </w:rPr>
        <w:t>ו</w:t>
      </w:r>
      <w:r w:rsidRPr="00282A82">
        <w:rPr>
          <w:rStyle w:val="af9"/>
          <w:rFonts w:hint="cs"/>
          <w:rtl/>
        </w:rPr>
        <w:t>הרשב"ם לקמן</w:t>
      </w:r>
      <w:r w:rsidRPr="001D1883">
        <w:rPr>
          <w:rFonts w:hint="cs"/>
          <w:rtl/>
        </w:rPr>
        <w:t xml:space="preserve"> </w:t>
      </w:r>
      <w:r w:rsidRPr="00282A82">
        <w:rPr>
          <w:rStyle w:val="af7"/>
          <w:rFonts w:eastAsia="Guttman Hodes" w:hint="cs"/>
          <w:rtl/>
        </w:rPr>
        <w:t xml:space="preserve">(עי' אות </w:t>
      </w:r>
      <w:r w:rsidRPr="00282A82">
        <w:rPr>
          <w:rStyle w:val="af7"/>
          <w:rFonts w:eastAsia="Guttman Hodes"/>
          <w:rtl/>
        </w:rPr>
        <w:fldChar w:fldCharType="begin"/>
      </w:r>
      <w:r w:rsidRPr="00282A82">
        <w:rPr>
          <w:rStyle w:val="af7"/>
          <w:rFonts w:eastAsia="Guttman Hodes"/>
          <w:rtl/>
        </w:rPr>
        <w:instrText xml:space="preserve"> </w:instrText>
      </w:r>
      <w:r w:rsidRPr="00282A82">
        <w:rPr>
          <w:rStyle w:val="af7"/>
          <w:rFonts w:eastAsia="Guttman Hodes" w:hint="cs"/>
        </w:rPr>
        <w:instrText>REF</w:instrText>
      </w:r>
      <w:r w:rsidRPr="00282A82">
        <w:rPr>
          <w:rStyle w:val="af7"/>
          <w:rFonts w:eastAsia="Guttman Hodes" w:hint="cs"/>
          <w:rtl/>
        </w:rPr>
        <w:instrText xml:space="preserve"> _</w:instrText>
      </w:r>
      <w:r w:rsidRPr="00282A82">
        <w:rPr>
          <w:rStyle w:val="af7"/>
          <w:rFonts w:eastAsia="Guttman Hodes" w:hint="cs"/>
        </w:rPr>
        <w:instrText>Ref55380175 \r \h</w:instrText>
      </w:r>
      <w:r w:rsidRPr="00282A82">
        <w:rPr>
          <w:rStyle w:val="af7"/>
          <w:rFonts w:eastAsia="Guttman Hodes"/>
          <w:rtl/>
        </w:rPr>
        <w:instrText xml:space="preserve"> </w:instrText>
      </w:r>
      <w:r w:rsidRPr="00282A82">
        <w:rPr>
          <w:rStyle w:val="af7"/>
          <w:rFonts w:eastAsia="Guttman Hodes"/>
          <w:rtl/>
        </w:rPr>
      </w:r>
      <w:r w:rsidRPr="00282A82">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282A82">
        <w:rPr>
          <w:rStyle w:val="af7"/>
          <w:rFonts w:eastAsia="Guttman Hodes"/>
          <w:rtl/>
        </w:rPr>
        <w:fldChar w:fldCharType="end"/>
      </w:r>
      <w:r>
        <w:rPr>
          <w:rFonts w:hint="cs"/>
          <w:rtl/>
        </w:rPr>
        <w:t xml:space="preserve"> </w:t>
      </w:r>
      <w:r w:rsidRPr="001D1883">
        <w:rPr>
          <w:rFonts w:hint="cs"/>
          <w:rtl/>
        </w:rPr>
        <w:t>דאף שידוע שעידי המחאה מודים שלא סיפרו עליה לשום אדם</w:t>
      </w:r>
      <w:r>
        <w:rPr>
          <w:rFonts w:hint="cs"/>
          <w:rtl/>
        </w:rPr>
        <w:t xml:space="preserve">, הוי מחאה, כתב </w:t>
      </w:r>
      <w:r w:rsidRPr="00813B85">
        <w:rPr>
          <w:rStyle w:val="af9"/>
          <w:rFonts w:hint="cs"/>
          <w:rtl/>
        </w:rPr>
        <w:t>בשיעורי רבי שמואל</w:t>
      </w:r>
      <w:r>
        <w:rPr>
          <w:rFonts w:hint="cs"/>
          <w:rtl/>
        </w:rPr>
        <w:t xml:space="preserve"> דרק לדעת הסוברים דטעמא דחזקת ג"ש הוא מתקנת חכמים, א"כ אפשר לבאר דכל שהמערער מחה כדין בטלה החזקה, אף שלא שמע המחזיק. </w:t>
      </w:r>
      <w:r w:rsidRPr="0037320D">
        <w:rPr>
          <w:rStyle w:val="afb"/>
          <w:rFonts w:hint="cs"/>
          <w:rtl/>
        </w:rPr>
        <w:t xml:space="preserve">[ועי' במה שביאר </w:t>
      </w:r>
      <w:r w:rsidRPr="0037320D">
        <w:rPr>
          <w:rStyle w:val="affa"/>
          <w:rFonts w:hint="cs"/>
          <w:rtl/>
        </w:rPr>
        <w:t>הקה"י</w:t>
      </w:r>
      <w:r w:rsidRPr="0037320D">
        <w:rPr>
          <w:rStyle w:val="afb"/>
          <w:rFonts w:hint="cs"/>
          <w:rtl/>
        </w:rPr>
        <w:t xml:space="preserve"> </w:t>
      </w:r>
      <w:r w:rsidRPr="0037320D">
        <w:rPr>
          <w:rStyle w:val="aff6"/>
          <w:rFonts w:hint="cs"/>
          <w:rtl/>
        </w:rPr>
        <w:t xml:space="preserve">(עי' אות </w:t>
      </w:r>
      <w:r w:rsidRPr="0037320D">
        <w:rPr>
          <w:rStyle w:val="aff6"/>
          <w:rtl/>
        </w:rPr>
        <w:fldChar w:fldCharType="begin"/>
      </w:r>
      <w:r w:rsidRPr="0037320D">
        <w:rPr>
          <w:rStyle w:val="aff6"/>
          <w:rtl/>
        </w:rPr>
        <w:instrText xml:space="preserve"> </w:instrText>
      </w:r>
      <w:r w:rsidRPr="0037320D">
        <w:rPr>
          <w:rStyle w:val="aff6"/>
          <w:rFonts w:hint="cs"/>
        </w:rPr>
        <w:instrText>REF</w:instrText>
      </w:r>
      <w:r w:rsidRPr="0037320D">
        <w:rPr>
          <w:rStyle w:val="aff6"/>
          <w:rFonts w:hint="cs"/>
          <w:rtl/>
        </w:rPr>
        <w:instrText xml:space="preserve"> _</w:instrText>
      </w:r>
      <w:r w:rsidRPr="0037320D">
        <w:rPr>
          <w:rStyle w:val="aff6"/>
          <w:rFonts w:hint="cs"/>
        </w:rPr>
        <w:instrText>Ref55315908 \r \h</w:instrText>
      </w:r>
      <w:r w:rsidRPr="0037320D">
        <w:rPr>
          <w:rStyle w:val="aff6"/>
          <w:rtl/>
        </w:rPr>
        <w:instrText xml:space="preserve"> </w:instrText>
      </w:r>
      <w:r w:rsidRPr="0037320D">
        <w:rPr>
          <w:rStyle w:val="aff6"/>
          <w:rtl/>
        </w:rPr>
      </w:r>
      <w:r w:rsidRPr="0037320D">
        <w:rPr>
          <w:rStyle w:val="aff6"/>
          <w:rtl/>
        </w:rPr>
        <w:fldChar w:fldCharType="separate"/>
      </w:r>
      <w:r w:rsidR="00265073">
        <w:rPr>
          <w:rStyle w:val="aff6"/>
          <w:cs/>
        </w:rPr>
        <w:t>‎</w:t>
      </w:r>
      <w:r w:rsidR="00265073">
        <w:rPr>
          <w:rStyle w:val="aff6"/>
          <w:rtl/>
        </w:rPr>
        <w:t>קטז)</w:t>
      </w:r>
      <w:r w:rsidRPr="0037320D">
        <w:rPr>
          <w:rStyle w:val="aff6"/>
          <w:rtl/>
        </w:rPr>
        <w:fldChar w:fldCharType="end"/>
      </w:r>
      <w:r>
        <w:rPr>
          <w:rStyle w:val="afb"/>
          <w:rFonts w:hint="cs"/>
          <w:rtl/>
        </w:rPr>
        <w:t xml:space="preserve"> </w:t>
      </w:r>
      <w:r w:rsidRPr="0037320D">
        <w:rPr>
          <w:rStyle w:val="afb"/>
          <w:rFonts w:hint="cs"/>
          <w:rtl/>
        </w:rPr>
        <w:t xml:space="preserve">בדעת </w:t>
      </w:r>
      <w:r w:rsidRPr="0037320D">
        <w:rPr>
          <w:rStyle w:val="affa"/>
          <w:rFonts w:hint="cs"/>
          <w:rtl/>
        </w:rPr>
        <w:t>הנימוק"י</w:t>
      </w:r>
      <w:r w:rsidRPr="0037320D">
        <w:rPr>
          <w:rStyle w:val="afb"/>
          <w:rFonts w:hint="cs"/>
          <w:rtl/>
        </w:rPr>
        <w:t>].</w:t>
      </w:r>
      <w:bookmarkEnd w:id="3804"/>
    </w:p>
    <w:p w:rsidR="007A505A" w:rsidRPr="008E5DBB" w:rsidRDefault="007A505A" w:rsidP="007A505A">
      <w:pPr>
        <w:pStyle w:val="1"/>
        <w:rPr>
          <w:rtl/>
        </w:rPr>
      </w:pPr>
      <w:r>
        <w:rPr>
          <w:rFonts w:hint="cs"/>
          <w:rtl/>
        </w:rPr>
        <w:t>בי' הגרש"ר והגרנ"פ ברש"י וברמב"ן דבלא שמע מהמחאה ל"מ</w:t>
      </w:r>
    </w:p>
    <w:p w:rsidR="007A505A" w:rsidRDefault="007A505A" w:rsidP="007A505A">
      <w:pPr>
        <w:pStyle w:val="a3"/>
        <w:rPr>
          <w:rtl/>
        </w:rPr>
      </w:pPr>
      <w:r>
        <w:rPr>
          <w:rFonts w:hint="cs"/>
          <w:rtl/>
        </w:rPr>
        <w:t>דברי הגרש"ר דמבואר בדברי רש"י דמחאה מהני רק אם שמע המחזיק ממנה</w:t>
      </w:r>
    </w:p>
    <w:p w:rsidR="007A505A" w:rsidRDefault="007A505A" w:rsidP="007E4E81">
      <w:pPr>
        <w:pStyle w:val="a0"/>
        <w:rPr>
          <w:rtl/>
        </w:rPr>
      </w:pPr>
      <w:bookmarkStart w:id="3805" w:name="_Ref55470027"/>
      <w:r>
        <w:rPr>
          <w:rFonts w:hint="cs"/>
          <w:rtl/>
        </w:rPr>
        <w:t xml:space="preserve">במ"ש </w:t>
      </w:r>
      <w:r w:rsidRPr="001D1883">
        <w:rPr>
          <w:rStyle w:val="af9"/>
          <w:rFonts w:hint="cs"/>
          <w:rtl/>
        </w:rPr>
        <w:t>רש"י</w:t>
      </w:r>
      <w:r w:rsidRPr="001D1883">
        <w:rPr>
          <w:rFonts w:hint="cs"/>
          <w:rtl/>
        </w:rPr>
        <w:t xml:space="preserve"> </w:t>
      </w:r>
      <w:r w:rsidRPr="005854CE">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Ref55470130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ה)</w:t>
      </w:r>
      <w:r>
        <w:rPr>
          <w:rStyle w:val="af7"/>
          <w:rFonts w:eastAsia="Guttman Hodes"/>
          <w:rtl/>
        </w:rPr>
        <w:fldChar w:fldCharType="end"/>
      </w:r>
      <w:r>
        <w:rPr>
          <w:rStyle w:val="af7"/>
          <w:rFonts w:eastAsia="Guttman Hodes" w:hint="cs"/>
          <w:rtl/>
        </w:rPr>
        <w:t xml:space="preserve"> </w:t>
      </w:r>
      <w:r>
        <w:rPr>
          <w:rFonts w:hint="cs"/>
          <w:rtl/>
        </w:rPr>
        <w:t>דכיון</w:t>
      </w:r>
      <w:r w:rsidRPr="001D1883">
        <w:rPr>
          <w:rFonts w:hint="cs"/>
          <w:rtl/>
        </w:rPr>
        <w:t xml:space="preserve"> דאמרינן חברך חברא אית ליה, ישמע המחזיק מהמחאה ולא יוכל לטעון שלא נזהר בזכויותיו דלא שמע מהמחאה,</w:t>
      </w:r>
      <w:r>
        <w:rPr>
          <w:rFonts w:hint="cs"/>
          <w:rtl/>
        </w:rPr>
        <w:t xml:space="preserve"> כתב </w:t>
      </w:r>
      <w:r w:rsidRPr="00813B85">
        <w:rPr>
          <w:rStyle w:val="af9"/>
          <w:rFonts w:hint="cs"/>
          <w:rtl/>
        </w:rPr>
        <w:t>בשיעורי רבי שמואל</w:t>
      </w:r>
      <w:r>
        <w:rPr>
          <w:rFonts w:hint="cs"/>
          <w:rtl/>
        </w:rPr>
        <w:t xml:space="preserve"> </w:t>
      </w:r>
      <w:r w:rsidRPr="005854CE">
        <w:rPr>
          <w:rStyle w:val="af7"/>
          <w:rFonts w:eastAsia="Guttman Hodes" w:hint="cs"/>
          <w:rtl/>
        </w:rPr>
        <w:t xml:space="preserve">(כח. או' ב' ד"ה עוד קשה) </w:t>
      </w:r>
      <w:r>
        <w:rPr>
          <w:rFonts w:hint="cs"/>
          <w:rtl/>
        </w:rPr>
        <w:t xml:space="preserve">דמשמע מדברי </w:t>
      </w:r>
      <w:r w:rsidRPr="00813B85">
        <w:rPr>
          <w:rStyle w:val="af9"/>
          <w:rFonts w:hint="cs"/>
          <w:rtl/>
        </w:rPr>
        <w:t>רש"י</w:t>
      </w:r>
      <w:r>
        <w:rPr>
          <w:rFonts w:hint="cs"/>
          <w:rtl/>
        </w:rPr>
        <w:t xml:space="preserve"> דצריך שהמחאה תבא לאוזני המחזיק, ופליג </w:t>
      </w:r>
      <w:r w:rsidRPr="00813B85">
        <w:rPr>
          <w:rStyle w:val="af9"/>
          <w:rFonts w:hint="cs"/>
          <w:rtl/>
        </w:rPr>
        <w:t>רש"י</w:t>
      </w:r>
      <w:r w:rsidRPr="00A05A4B">
        <w:rPr>
          <w:rFonts w:hint="cs"/>
          <w:rtl/>
        </w:rPr>
        <w:t xml:space="preserve"> </w:t>
      </w:r>
      <w:r>
        <w:rPr>
          <w:rFonts w:hint="cs"/>
          <w:rtl/>
        </w:rPr>
        <w:t xml:space="preserve">על דברי </w:t>
      </w:r>
      <w:r w:rsidRPr="003114CC">
        <w:rPr>
          <w:rStyle w:val="af9"/>
          <w:rFonts w:hint="cs"/>
          <w:rtl/>
        </w:rPr>
        <w:t>רבינו יונה</w:t>
      </w:r>
      <w:r>
        <w:rPr>
          <w:rFonts w:hint="cs"/>
          <w:rtl/>
        </w:rPr>
        <w:t xml:space="preserve"> </w:t>
      </w:r>
      <w:r w:rsidRPr="003114CC">
        <w:rPr>
          <w:rStyle w:val="af9"/>
          <w:rFonts w:hint="cs"/>
          <w:rtl/>
        </w:rPr>
        <w:t>וה</w:t>
      </w:r>
      <w:r w:rsidRPr="00EF5372">
        <w:rPr>
          <w:rStyle w:val="af9"/>
          <w:rFonts w:hint="cs"/>
          <w:rtl/>
        </w:rPr>
        <w:t>נימוק"י</w:t>
      </w:r>
      <w:r w:rsidRPr="004F3C1C">
        <w:rPr>
          <w:rStyle w:val="af9"/>
          <w:rFonts w:hint="cs"/>
          <w:rtl/>
        </w:rPr>
        <w:t xml:space="preserve"> </w:t>
      </w:r>
      <w:r>
        <w:rPr>
          <w:rStyle w:val="af9"/>
          <w:rFonts w:hint="cs"/>
          <w:rtl/>
        </w:rPr>
        <w:t>ו</w:t>
      </w:r>
      <w:r w:rsidRPr="00EF5372">
        <w:rPr>
          <w:rStyle w:val="af9"/>
          <w:rFonts w:hint="cs"/>
          <w:rtl/>
        </w:rPr>
        <w:t>הרא"ש</w:t>
      </w:r>
      <w:r>
        <w:rPr>
          <w:rStyle w:val="af9"/>
          <w:rFonts w:hint="cs"/>
          <w:rtl/>
        </w:rPr>
        <w:t xml:space="preserve"> ו</w:t>
      </w:r>
      <w:r w:rsidRPr="00282A82">
        <w:rPr>
          <w:rStyle w:val="af9"/>
          <w:rFonts w:hint="cs"/>
          <w:rtl/>
        </w:rPr>
        <w:t>הרשב"ם</w:t>
      </w:r>
      <w:r>
        <w:rPr>
          <w:rFonts w:hint="cs"/>
          <w:rtl/>
        </w:rPr>
        <w:t xml:space="preserve"> דכתבו </w:t>
      </w:r>
      <w:r w:rsidRPr="001D1883">
        <w:rPr>
          <w:rFonts w:hint="cs"/>
          <w:rtl/>
        </w:rPr>
        <w:t>דאף שידוע שעידי המחאה מודים שלא סיפרו עליה לשום אדם</w:t>
      </w:r>
      <w:r>
        <w:rPr>
          <w:rFonts w:hint="cs"/>
          <w:rtl/>
        </w:rPr>
        <w:t xml:space="preserve">, הוי מחאה, דלדעת </w:t>
      </w:r>
      <w:r w:rsidRPr="00813B85">
        <w:rPr>
          <w:rStyle w:val="af9"/>
          <w:rFonts w:hint="cs"/>
          <w:rtl/>
        </w:rPr>
        <w:t>רש"י</w:t>
      </w:r>
      <w:r>
        <w:rPr>
          <w:rFonts w:hint="cs"/>
          <w:rtl/>
        </w:rPr>
        <w:t xml:space="preserve"> צריך שישמע המחזיק מהמחאה.</w:t>
      </w:r>
      <w:bookmarkEnd w:id="3805"/>
    </w:p>
    <w:p w:rsidR="007A505A" w:rsidRDefault="007A505A" w:rsidP="007A505A">
      <w:pPr>
        <w:pStyle w:val="a3"/>
        <w:rPr>
          <w:rtl/>
        </w:rPr>
      </w:pPr>
      <w:r>
        <w:rPr>
          <w:rFonts w:hint="cs"/>
          <w:rtl/>
        </w:rPr>
        <w:t>ביאור הגרש"ר ברמב"ן דבלא שמע המחזיק אין ריעותא דאחוי שטרך ול"מ המחאה</w:t>
      </w:r>
    </w:p>
    <w:p w:rsidR="007A505A" w:rsidRPr="0067352C" w:rsidRDefault="007A505A" w:rsidP="007E4E81">
      <w:pPr>
        <w:pStyle w:val="a0"/>
        <w:rPr>
          <w:rtl/>
        </w:rPr>
      </w:pPr>
      <w:bookmarkStart w:id="3806" w:name="_Ref55469943"/>
      <w:r>
        <w:rPr>
          <w:rFonts w:hint="cs"/>
          <w:rtl/>
        </w:rPr>
        <w:t xml:space="preserve">והקשו </w:t>
      </w:r>
      <w:r w:rsidRPr="00813B85">
        <w:rPr>
          <w:rStyle w:val="af9"/>
          <w:rFonts w:hint="cs"/>
          <w:rtl/>
        </w:rPr>
        <w:t>בשיעורי רבי שמואל</w:t>
      </w:r>
      <w:r>
        <w:rPr>
          <w:rFonts w:hint="cs"/>
          <w:rtl/>
        </w:rPr>
        <w:t xml:space="preserve"> </w:t>
      </w:r>
      <w:r w:rsidRPr="00EE2164">
        <w:rPr>
          <w:rStyle w:val="af9"/>
          <w:rFonts w:hint="cs"/>
          <w:rtl/>
        </w:rPr>
        <w:t>ובחי' רבי ראובן</w:t>
      </w:r>
      <w:r>
        <w:rPr>
          <w:rFonts w:hint="cs"/>
          <w:rtl/>
        </w:rPr>
        <w:t xml:space="preserve"> </w:t>
      </w:r>
      <w:r w:rsidRPr="00EE2164">
        <w:rPr>
          <w:rStyle w:val="af7"/>
          <w:rFonts w:eastAsia="Guttman Hodes" w:hint="cs"/>
          <w:rtl/>
        </w:rPr>
        <w:t>(סי' י"א ד"ה שי' הרמב"ן)</w:t>
      </w:r>
      <w:r>
        <w:rPr>
          <w:rStyle w:val="af7"/>
          <w:rFonts w:eastAsia="Guttman Hodes" w:hint="cs"/>
          <w:rtl/>
        </w:rPr>
        <w:t xml:space="preserve"> </w:t>
      </w:r>
      <w:r>
        <w:rPr>
          <w:rFonts w:hint="cs"/>
          <w:rtl/>
        </w:rPr>
        <w:t xml:space="preserve">דלדעת </w:t>
      </w:r>
      <w:r w:rsidRPr="00D43AE7">
        <w:rPr>
          <w:rStyle w:val="af9"/>
          <w:rFonts w:hint="cs"/>
          <w:rtl/>
        </w:rPr>
        <w:t>הרמב"ן לקמן</w:t>
      </w:r>
      <w:r>
        <w:rPr>
          <w:rFonts w:hint="cs"/>
          <w:rtl/>
        </w:rPr>
        <w:t xml:space="preserve"> </w:t>
      </w:r>
      <w:r w:rsidRPr="0067352C">
        <w:rPr>
          <w:rStyle w:val="af7"/>
          <w:rFonts w:eastAsia="Guttman Hodes" w:hint="cs"/>
          <w:rtl/>
        </w:rPr>
        <w:t>(מב. ד"ה הא</w:t>
      </w:r>
      <w:r w:rsidRPr="009E750E">
        <w:rPr>
          <w:rStyle w:val="af7"/>
          <w:rFonts w:eastAsia="Guttman Hodes" w:hint="cs"/>
          <w:rtl/>
        </w:rPr>
        <w:t>, הובא בסימן ה' אות ז')</w:t>
      </w:r>
      <w:r w:rsidR="00A77F33">
        <w:rPr>
          <w:rStyle w:val="afb"/>
          <w:rFonts w:hint="cs"/>
          <w:rtl/>
        </w:rPr>
        <w:t xml:space="preserve"> </w:t>
      </w:r>
      <w:r>
        <w:rPr>
          <w:rFonts w:hint="cs"/>
          <w:rtl/>
        </w:rPr>
        <w:t xml:space="preserve">דס"ל דטעמא דחזקת ג"ש הוא דכל ששתק המערער מוכח דמכר לו, וכ"מ שצריך ג"ש הוא כיון דרק לאחר ג"ש אין ריעותא דאחוי שטרך, ומהני הראיה שלא מחה בו המערער, א"כ היאך אפש"ל כדברי </w:t>
      </w:r>
      <w:r w:rsidRPr="003114CC">
        <w:rPr>
          <w:rStyle w:val="af9"/>
          <w:rFonts w:hint="cs"/>
          <w:rtl/>
        </w:rPr>
        <w:t>רבינו יונה</w:t>
      </w:r>
      <w:r>
        <w:rPr>
          <w:rFonts w:hint="cs"/>
          <w:rtl/>
        </w:rPr>
        <w:t xml:space="preserve"> </w:t>
      </w:r>
      <w:r w:rsidRPr="003114CC">
        <w:rPr>
          <w:rStyle w:val="af9"/>
          <w:rFonts w:hint="cs"/>
          <w:rtl/>
        </w:rPr>
        <w:t>וה</w:t>
      </w:r>
      <w:r w:rsidRPr="00EF5372">
        <w:rPr>
          <w:rStyle w:val="af9"/>
          <w:rFonts w:hint="cs"/>
          <w:rtl/>
        </w:rPr>
        <w:t>נימוק"י</w:t>
      </w:r>
      <w:r w:rsidRPr="004F3C1C">
        <w:rPr>
          <w:rStyle w:val="af9"/>
          <w:rFonts w:hint="cs"/>
          <w:rtl/>
        </w:rPr>
        <w:t xml:space="preserve"> </w:t>
      </w:r>
      <w:r>
        <w:rPr>
          <w:rStyle w:val="af9"/>
          <w:rFonts w:hint="cs"/>
          <w:rtl/>
        </w:rPr>
        <w:t>ו</w:t>
      </w:r>
      <w:r w:rsidRPr="00EF5372">
        <w:rPr>
          <w:rStyle w:val="af9"/>
          <w:rFonts w:hint="cs"/>
          <w:rtl/>
        </w:rPr>
        <w:t>הרא"ש</w:t>
      </w:r>
      <w:r>
        <w:rPr>
          <w:rStyle w:val="af9"/>
          <w:rFonts w:hint="cs"/>
          <w:rtl/>
        </w:rPr>
        <w:t xml:space="preserve"> ו</w:t>
      </w:r>
      <w:r w:rsidRPr="00282A82">
        <w:rPr>
          <w:rStyle w:val="af9"/>
          <w:rFonts w:hint="cs"/>
          <w:rtl/>
        </w:rPr>
        <w:t xml:space="preserve">הרשב"ם </w:t>
      </w:r>
      <w:r>
        <w:rPr>
          <w:rFonts w:hint="cs"/>
          <w:rtl/>
        </w:rPr>
        <w:t xml:space="preserve">דמהני המחאה אף שלא שמע ממנה המחזיק, הא לא היה לו להזהר בשטרו, ואין כל ריעותא בחזקתו, אלא כתב </w:t>
      </w:r>
      <w:r w:rsidRPr="00813B85">
        <w:rPr>
          <w:rStyle w:val="af9"/>
          <w:rFonts w:hint="cs"/>
          <w:rtl/>
        </w:rPr>
        <w:t>בשיעורי רבי שמואל</w:t>
      </w:r>
      <w:r>
        <w:rPr>
          <w:rFonts w:hint="cs"/>
          <w:rtl/>
        </w:rPr>
        <w:t xml:space="preserve"> דצ"ל דס"ל </w:t>
      </w:r>
      <w:r w:rsidRPr="00813B85">
        <w:rPr>
          <w:rStyle w:val="af9"/>
          <w:rFonts w:hint="cs"/>
          <w:rtl/>
        </w:rPr>
        <w:t>להרמב"ן</w:t>
      </w:r>
      <w:r>
        <w:rPr>
          <w:rFonts w:hint="cs"/>
          <w:rtl/>
        </w:rPr>
        <w:t xml:space="preserve"> כדעת </w:t>
      </w:r>
      <w:r w:rsidRPr="00813B85">
        <w:rPr>
          <w:rStyle w:val="af9"/>
          <w:rFonts w:hint="cs"/>
          <w:rtl/>
        </w:rPr>
        <w:t>רש"י</w:t>
      </w:r>
      <w:r>
        <w:rPr>
          <w:rFonts w:hint="cs"/>
          <w:rtl/>
        </w:rPr>
        <w:t xml:space="preserve"> </w:t>
      </w:r>
      <w:r w:rsidRPr="0067352C">
        <w:rPr>
          <w:rStyle w:val="af7"/>
          <w:rFonts w:eastAsia="Guttman Hodes" w:hint="cs"/>
          <w:rtl/>
        </w:rPr>
        <w:t xml:space="preserve">(עי' אות </w:t>
      </w:r>
      <w:r w:rsidRPr="0067352C">
        <w:rPr>
          <w:rStyle w:val="af7"/>
          <w:rFonts w:eastAsia="Guttman Hodes"/>
          <w:rtl/>
        </w:rPr>
        <w:fldChar w:fldCharType="begin"/>
      </w:r>
      <w:r w:rsidRPr="0067352C">
        <w:rPr>
          <w:rStyle w:val="af7"/>
          <w:rFonts w:eastAsia="Guttman Hodes"/>
          <w:rtl/>
        </w:rPr>
        <w:instrText xml:space="preserve"> </w:instrText>
      </w:r>
      <w:r w:rsidRPr="0067352C">
        <w:rPr>
          <w:rStyle w:val="af7"/>
          <w:rFonts w:eastAsia="Guttman Hodes" w:hint="cs"/>
        </w:rPr>
        <w:instrText>REF</w:instrText>
      </w:r>
      <w:r w:rsidRPr="0067352C">
        <w:rPr>
          <w:rStyle w:val="af7"/>
          <w:rFonts w:eastAsia="Guttman Hodes" w:hint="cs"/>
          <w:rtl/>
        </w:rPr>
        <w:instrText xml:space="preserve"> _</w:instrText>
      </w:r>
      <w:r w:rsidRPr="0067352C">
        <w:rPr>
          <w:rStyle w:val="af7"/>
          <w:rFonts w:eastAsia="Guttman Hodes" w:hint="cs"/>
        </w:rPr>
        <w:instrText>Ref55470027 \r \h</w:instrText>
      </w:r>
      <w:r w:rsidRPr="0067352C">
        <w:rPr>
          <w:rStyle w:val="af7"/>
          <w:rFonts w:eastAsia="Guttman Hodes"/>
          <w:rtl/>
        </w:rPr>
        <w:instrText xml:space="preserve"> </w:instrText>
      </w:r>
      <w:r w:rsidRPr="0067352C">
        <w:rPr>
          <w:rStyle w:val="af7"/>
          <w:rFonts w:eastAsia="Guttman Hodes"/>
          <w:rtl/>
        </w:rPr>
      </w:r>
      <w:r w:rsidRPr="0067352C">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67352C">
        <w:rPr>
          <w:rStyle w:val="af7"/>
          <w:rFonts w:eastAsia="Guttman Hodes"/>
          <w:rtl/>
        </w:rPr>
        <w:fldChar w:fldCharType="end"/>
      </w:r>
      <w:r>
        <w:rPr>
          <w:rFonts w:hint="cs"/>
          <w:rtl/>
        </w:rPr>
        <w:t xml:space="preserve"> דהמחאה מהני רק כששמע המחזיק ממנה.</w:t>
      </w:r>
      <w:bookmarkEnd w:id="3806"/>
      <w:r>
        <w:rPr>
          <w:rFonts w:hint="cs"/>
          <w:rtl/>
        </w:rPr>
        <w:t xml:space="preserve"> </w:t>
      </w:r>
    </w:p>
    <w:p w:rsidR="007A505A" w:rsidRPr="001D1883" w:rsidRDefault="007A505A" w:rsidP="007A505A">
      <w:pPr>
        <w:pStyle w:val="a3"/>
        <w:rPr>
          <w:rtl/>
        </w:rPr>
      </w:pPr>
      <w:bookmarkStart w:id="3807" w:name="_Toc55386312"/>
      <w:bookmarkStart w:id="3808" w:name="_Toc55391234"/>
      <w:bookmarkStart w:id="3809" w:name="_Toc55386311"/>
      <w:bookmarkStart w:id="3810" w:name="_Toc55391233"/>
      <w:bookmarkEnd w:id="3803"/>
      <w:r>
        <w:rPr>
          <w:rFonts w:hint="cs"/>
          <w:rtl/>
        </w:rPr>
        <w:t>ביאור הגרנ"פ ברש"י וברמב"ן תלינן דהמחזיק ודאי שומע מהמחאה וכן מוכח ברשב"ם לקמן</w:t>
      </w:r>
      <w:bookmarkEnd w:id="3807"/>
      <w:bookmarkEnd w:id="3808"/>
    </w:p>
    <w:p w:rsidR="007A505A" w:rsidRPr="001D1883" w:rsidRDefault="007A505A" w:rsidP="007E4E81">
      <w:pPr>
        <w:pStyle w:val="a0"/>
        <w:rPr>
          <w:rtl/>
        </w:rPr>
      </w:pPr>
      <w:bookmarkStart w:id="3811" w:name="_Ref55382348"/>
      <w:bookmarkEnd w:id="3809"/>
      <w:bookmarkEnd w:id="3810"/>
      <w:r>
        <w:rPr>
          <w:rFonts w:hint="cs"/>
          <w:rtl/>
        </w:rPr>
        <w:t>וכ"כ</w:t>
      </w:r>
      <w:r w:rsidRPr="001D1883">
        <w:rPr>
          <w:rFonts w:hint="cs"/>
          <w:rtl/>
        </w:rPr>
        <w:t xml:space="preserve"> </w:t>
      </w:r>
      <w:r w:rsidRPr="008E23EB">
        <w:rPr>
          <w:rStyle w:val="af9"/>
          <w:rFonts w:hint="cs"/>
          <w:rtl/>
        </w:rPr>
        <w:t>בחי' רבי נחום</w:t>
      </w:r>
      <w:r w:rsidRPr="008669A4">
        <w:rPr>
          <w:rStyle w:val="af7"/>
          <w:rFonts w:eastAsia="Guttman Hodes" w:hint="cs"/>
          <w:rtl/>
        </w:rPr>
        <w:t xml:space="preserve"> (או' י"ז ד"ה ולפרש"י) </w:t>
      </w:r>
      <w:r>
        <w:rPr>
          <w:rFonts w:hint="cs"/>
          <w:rtl/>
        </w:rPr>
        <w:t>ד</w:t>
      </w:r>
      <w:r w:rsidRPr="001D1883">
        <w:rPr>
          <w:rFonts w:hint="cs"/>
          <w:rtl/>
        </w:rPr>
        <w:t xml:space="preserve">לדעת </w:t>
      </w:r>
      <w:r w:rsidRPr="008E23EB">
        <w:rPr>
          <w:rStyle w:val="af9"/>
          <w:rFonts w:hint="cs"/>
          <w:rtl/>
        </w:rPr>
        <w:t xml:space="preserve">רש"י </w:t>
      </w:r>
      <w:r w:rsidRPr="008669A4">
        <w:rPr>
          <w:rStyle w:val="af7"/>
          <w:rFonts w:eastAsia="Guttman Hodes" w:hint="cs"/>
          <w:rtl/>
        </w:rPr>
        <w:t xml:space="preserve">(עי' אות </w:t>
      </w:r>
      <w:r w:rsidRPr="008669A4">
        <w:rPr>
          <w:rStyle w:val="af7"/>
          <w:rFonts w:eastAsia="Guttman Hodes"/>
          <w:rtl/>
        </w:rPr>
        <w:fldChar w:fldCharType="begin"/>
      </w:r>
      <w:r w:rsidRPr="008669A4">
        <w:rPr>
          <w:rStyle w:val="af7"/>
          <w:rFonts w:eastAsia="Guttman Hodes"/>
          <w:rtl/>
        </w:rPr>
        <w:instrText xml:space="preserve"> </w:instrText>
      </w:r>
      <w:r w:rsidRPr="008669A4">
        <w:rPr>
          <w:rStyle w:val="af7"/>
          <w:rFonts w:eastAsia="Guttman Hodes" w:hint="cs"/>
        </w:rPr>
        <w:instrText>REF</w:instrText>
      </w:r>
      <w:r w:rsidRPr="008669A4">
        <w:rPr>
          <w:rStyle w:val="af7"/>
          <w:rFonts w:eastAsia="Guttman Hodes" w:hint="cs"/>
          <w:rtl/>
        </w:rPr>
        <w:instrText xml:space="preserve"> _</w:instrText>
      </w:r>
      <w:r w:rsidRPr="008669A4">
        <w:rPr>
          <w:rStyle w:val="af7"/>
          <w:rFonts w:eastAsia="Guttman Hodes" w:hint="cs"/>
        </w:rPr>
        <w:instrText>Ref54603459 \r \h</w:instrText>
      </w:r>
      <w:r w:rsidRPr="008669A4">
        <w:rPr>
          <w:rStyle w:val="af7"/>
          <w:rFonts w:eastAsia="Guttman Hodes"/>
          <w:rtl/>
        </w:rPr>
        <w:instrText xml:space="preserve">  \* </w:instrText>
      </w:r>
      <w:r w:rsidRPr="008669A4">
        <w:rPr>
          <w:rStyle w:val="af7"/>
          <w:rFonts w:eastAsia="Guttman Hodes"/>
        </w:rPr>
        <w:instrText>MERGEFORMAT</w:instrText>
      </w:r>
      <w:r w:rsidRPr="008669A4">
        <w:rPr>
          <w:rStyle w:val="af7"/>
          <w:rFonts w:eastAsia="Guttman Hodes"/>
          <w:rtl/>
        </w:rPr>
        <w:instrText xml:space="preserve"> </w:instrText>
      </w:r>
      <w:r w:rsidRPr="008669A4">
        <w:rPr>
          <w:rStyle w:val="af7"/>
          <w:rFonts w:eastAsia="Guttman Hodes"/>
          <w:rtl/>
        </w:rPr>
      </w:r>
      <w:r w:rsidRPr="008669A4">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8669A4">
        <w:rPr>
          <w:rStyle w:val="af7"/>
          <w:rFonts w:eastAsia="Guttman Hodes"/>
          <w:rtl/>
        </w:rPr>
        <w:fldChar w:fldCharType="end"/>
      </w:r>
      <w:r w:rsidRPr="008669A4">
        <w:rPr>
          <w:rStyle w:val="af7"/>
          <w:rFonts w:eastAsia="Guttman Hodes" w:hint="cs"/>
          <w:rtl/>
        </w:rPr>
        <w:t xml:space="preserve"> </w:t>
      </w:r>
      <w:r w:rsidRPr="008E23EB">
        <w:rPr>
          <w:rStyle w:val="af9"/>
          <w:rFonts w:hint="cs"/>
          <w:rtl/>
        </w:rPr>
        <w:t xml:space="preserve">והרמב"ן </w:t>
      </w:r>
      <w:r w:rsidRPr="008669A4">
        <w:rPr>
          <w:rStyle w:val="af7"/>
          <w:rFonts w:eastAsia="Guttman Hodes" w:hint="cs"/>
          <w:rtl/>
        </w:rPr>
        <w:t xml:space="preserve">(עי' אות </w:t>
      </w:r>
      <w:r w:rsidRPr="008669A4">
        <w:rPr>
          <w:rStyle w:val="af7"/>
          <w:rFonts w:eastAsia="Guttman Hodes"/>
          <w:rtl/>
        </w:rPr>
        <w:fldChar w:fldCharType="begin"/>
      </w:r>
      <w:r w:rsidRPr="008669A4">
        <w:rPr>
          <w:rStyle w:val="af7"/>
          <w:rFonts w:eastAsia="Guttman Hodes"/>
          <w:rtl/>
        </w:rPr>
        <w:instrText xml:space="preserve"> </w:instrText>
      </w:r>
      <w:r w:rsidRPr="008669A4">
        <w:rPr>
          <w:rStyle w:val="af7"/>
          <w:rFonts w:eastAsia="Guttman Hodes" w:hint="cs"/>
        </w:rPr>
        <w:instrText>REF</w:instrText>
      </w:r>
      <w:r w:rsidRPr="008669A4">
        <w:rPr>
          <w:rStyle w:val="af7"/>
          <w:rFonts w:eastAsia="Guttman Hodes" w:hint="cs"/>
          <w:rtl/>
        </w:rPr>
        <w:instrText xml:space="preserve"> _</w:instrText>
      </w:r>
      <w:r w:rsidRPr="008669A4">
        <w:rPr>
          <w:rStyle w:val="af7"/>
          <w:rFonts w:eastAsia="Guttman Hodes" w:hint="cs"/>
        </w:rPr>
        <w:instrText>Ref55378949 \r \h</w:instrText>
      </w:r>
      <w:r w:rsidRPr="008669A4">
        <w:rPr>
          <w:rStyle w:val="af7"/>
          <w:rFonts w:eastAsia="Guttman Hodes"/>
          <w:rtl/>
        </w:rPr>
        <w:instrText xml:space="preserve"> </w:instrText>
      </w:r>
      <w:r w:rsidRPr="008669A4">
        <w:rPr>
          <w:rStyle w:val="af7"/>
          <w:rFonts w:eastAsia="Guttman Hodes"/>
          <w:rtl/>
        </w:rPr>
      </w:r>
      <w:r w:rsidRPr="008669A4">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8669A4">
        <w:rPr>
          <w:rStyle w:val="af7"/>
          <w:rFonts w:eastAsia="Guttman Hodes"/>
          <w:rtl/>
        </w:rPr>
        <w:fldChar w:fldCharType="end"/>
      </w:r>
      <w:r w:rsidRPr="001D1883">
        <w:rPr>
          <w:rFonts w:hint="cs"/>
          <w:rtl/>
        </w:rPr>
        <w:t xml:space="preserve"> דהמחאה היא בכדי שישמע המחזיק ויזהר בשטרו, א"כ כל שלא שמע המחזיק, אין כל ריעותא בחזקתו, ואף שלא שמר את שטרו, הוי חזקה</w:t>
      </w:r>
      <w:bookmarkEnd w:id="3811"/>
      <w:r>
        <w:rPr>
          <w:rFonts w:hint="cs"/>
          <w:rtl/>
        </w:rPr>
        <w:t xml:space="preserve">, </w:t>
      </w:r>
      <w:bookmarkStart w:id="3812" w:name="_Ref55382584"/>
      <w:r w:rsidRPr="001D1883">
        <w:rPr>
          <w:rFonts w:hint="cs"/>
          <w:rtl/>
        </w:rPr>
        <w:t>ו</w:t>
      </w:r>
      <w:r>
        <w:rPr>
          <w:rFonts w:hint="cs"/>
          <w:rtl/>
        </w:rPr>
        <w:t>ביאר</w:t>
      </w:r>
      <w:r w:rsidRPr="001D1883">
        <w:rPr>
          <w:rFonts w:hint="cs"/>
          <w:rtl/>
        </w:rPr>
        <w:t xml:space="preserve"> </w:t>
      </w:r>
      <w:r w:rsidRPr="00282A82">
        <w:rPr>
          <w:rStyle w:val="af9"/>
          <w:rFonts w:hint="cs"/>
          <w:rtl/>
        </w:rPr>
        <w:t>בחי' רבי נחום</w:t>
      </w:r>
      <w:r w:rsidRPr="001D1883">
        <w:rPr>
          <w:rFonts w:hint="cs"/>
          <w:rtl/>
        </w:rPr>
        <w:t xml:space="preserve"> דלדעת </w:t>
      </w:r>
      <w:r w:rsidRPr="00282A82">
        <w:rPr>
          <w:rStyle w:val="af9"/>
          <w:rFonts w:hint="cs"/>
          <w:rtl/>
        </w:rPr>
        <w:t>רש"י והרמב"ן</w:t>
      </w:r>
      <w:r w:rsidRPr="001D1883">
        <w:rPr>
          <w:rFonts w:hint="cs"/>
          <w:rtl/>
        </w:rPr>
        <w:t xml:space="preserve"> </w:t>
      </w:r>
      <w:r>
        <w:rPr>
          <w:rFonts w:hint="cs"/>
          <w:rtl/>
        </w:rPr>
        <w:t>צ"ל ד</w:t>
      </w:r>
      <w:r w:rsidRPr="001D1883">
        <w:rPr>
          <w:rFonts w:hint="cs"/>
          <w:rtl/>
        </w:rPr>
        <w:t xml:space="preserve">תירוץ הגמ' דחברך חברא אית ליה, היינו דתלינן דודאי שמע המחזיק מהמחאה, וכתב </w:t>
      </w:r>
      <w:r w:rsidRPr="00282A82">
        <w:rPr>
          <w:rStyle w:val="af9"/>
          <w:rFonts w:hint="cs"/>
          <w:rtl/>
        </w:rPr>
        <w:t>בחי' רבי נחום</w:t>
      </w:r>
      <w:r w:rsidRPr="001D1883">
        <w:rPr>
          <w:rFonts w:hint="cs"/>
          <w:rtl/>
        </w:rPr>
        <w:t xml:space="preserve"> דכן מוכח מלשון </w:t>
      </w:r>
      <w:r w:rsidRPr="00282A82">
        <w:rPr>
          <w:rStyle w:val="af9"/>
          <w:rFonts w:hint="cs"/>
          <w:rtl/>
        </w:rPr>
        <w:t>הרשב"ם לקמן</w:t>
      </w:r>
      <w:r w:rsidRPr="001D1883">
        <w:rPr>
          <w:rFonts w:hint="cs"/>
          <w:rtl/>
        </w:rPr>
        <w:t xml:space="preserve"> </w:t>
      </w:r>
      <w:r w:rsidRPr="008669A4">
        <w:rPr>
          <w:rStyle w:val="af7"/>
          <w:rFonts w:eastAsia="Guttman Hodes" w:hint="cs"/>
          <w:rtl/>
        </w:rPr>
        <w:t>(כט. ד"ה אי)</w:t>
      </w:r>
      <w:r w:rsidRPr="001D1883">
        <w:rPr>
          <w:rFonts w:hint="cs"/>
          <w:rtl/>
        </w:rPr>
        <w:t xml:space="preserve"> דביאר את תירוץ הגמ' דחברך חברך אית ליה, דטוען המערער למחזיק, דכיון ד</w:t>
      </w:r>
      <w:r>
        <w:rPr>
          <w:rFonts w:hint="cs"/>
          <w:rtl/>
        </w:rPr>
        <w:t>חברך חברא</w:t>
      </w:r>
      <w:r w:rsidRPr="001D1883">
        <w:rPr>
          <w:rFonts w:hint="cs"/>
          <w:rtl/>
        </w:rPr>
        <w:t xml:space="preserve"> אית ליה, א"כ "נודע לך שמחיתי", והיה לך לשמור את שטרך אף לאחר ג"ש, וכתב </w:t>
      </w:r>
      <w:r w:rsidRPr="00282A82">
        <w:rPr>
          <w:rStyle w:val="af9"/>
          <w:rFonts w:hint="cs"/>
          <w:rtl/>
        </w:rPr>
        <w:t>בחי' רבי נחום</w:t>
      </w:r>
      <w:r w:rsidRPr="001D1883">
        <w:rPr>
          <w:rFonts w:hint="cs"/>
          <w:rtl/>
        </w:rPr>
        <w:t xml:space="preserve"> דמבואר מדברי </w:t>
      </w:r>
      <w:r w:rsidRPr="00282A82">
        <w:rPr>
          <w:rStyle w:val="af9"/>
          <w:rFonts w:hint="cs"/>
          <w:rtl/>
        </w:rPr>
        <w:t>הרשב"ם</w:t>
      </w:r>
      <w:r w:rsidRPr="001D1883">
        <w:rPr>
          <w:rFonts w:hint="cs"/>
          <w:rtl/>
        </w:rPr>
        <w:t xml:space="preserve"> דביאר </w:t>
      </w:r>
      <w:r w:rsidRPr="00282A82">
        <w:rPr>
          <w:rStyle w:val="af9"/>
          <w:rFonts w:hint="cs"/>
          <w:rtl/>
        </w:rPr>
        <w:t>כרש"י</w:t>
      </w:r>
      <w:r w:rsidRPr="001D1883">
        <w:rPr>
          <w:rFonts w:hint="cs"/>
          <w:rtl/>
        </w:rPr>
        <w:t xml:space="preserve"> דטעם המחאה הוא בכדי שיזהר בשטרו, והא דמהני המחאה הוא כיון דודאי שמע ממנה המחזיק</w:t>
      </w:r>
      <w:r>
        <w:rPr>
          <w:rFonts w:hint="cs"/>
          <w:rtl/>
        </w:rPr>
        <w:t xml:space="preserve">, ועי' במ"ש </w:t>
      </w:r>
      <w:r w:rsidRPr="006C2BCD">
        <w:rPr>
          <w:rStyle w:val="af9"/>
          <w:rFonts w:hint="cs"/>
          <w:rtl/>
        </w:rPr>
        <w:t>הדברי מרדכי</w:t>
      </w:r>
      <w:r>
        <w:rPr>
          <w:rFonts w:hint="cs"/>
          <w:rtl/>
        </w:rPr>
        <w:t xml:space="preserve"> </w:t>
      </w:r>
      <w:r w:rsidRPr="008669A4">
        <w:rPr>
          <w:rStyle w:val="af7"/>
          <w:rFonts w:eastAsia="Guttman Hodes" w:hint="cs"/>
          <w:rtl/>
        </w:rPr>
        <w:t xml:space="preserve">(עי' אות </w:t>
      </w:r>
      <w:r w:rsidRPr="008669A4">
        <w:rPr>
          <w:rStyle w:val="af7"/>
          <w:rFonts w:eastAsia="Guttman Hodes"/>
          <w:rtl/>
        </w:rPr>
        <w:fldChar w:fldCharType="begin"/>
      </w:r>
      <w:r w:rsidRPr="008669A4">
        <w:rPr>
          <w:rStyle w:val="af7"/>
          <w:rFonts w:eastAsia="Guttman Hodes"/>
          <w:rtl/>
        </w:rPr>
        <w:instrText xml:space="preserve"> </w:instrText>
      </w:r>
      <w:r w:rsidRPr="008669A4">
        <w:rPr>
          <w:rStyle w:val="af7"/>
          <w:rFonts w:eastAsia="Guttman Hodes" w:hint="cs"/>
        </w:rPr>
        <w:instrText>REF</w:instrText>
      </w:r>
      <w:r w:rsidRPr="008669A4">
        <w:rPr>
          <w:rStyle w:val="af7"/>
          <w:rFonts w:eastAsia="Guttman Hodes" w:hint="cs"/>
          <w:rtl/>
        </w:rPr>
        <w:instrText xml:space="preserve"> _</w:instrText>
      </w:r>
      <w:r w:rsidRPr="008669A4">
        <w:rPr>
          <w:rStyle w:val="af7"/>
          <w:rFonts w:eastAsia="Guttman Hodes" w:hint="cs"/>
        </w:rPr>
        <w:instrText>Ref55386057 \r \h</w:instrText>
      </w:r>
      <w:r w:rsidRPr="008669A4">
        <w:rPr>
          <w:rStyle w:val="af7"/>
          <w:rFonts w:eastAsia="Guttman Hodes"/>
          <w:rtl/>
        </w:rPr>
        <w:instrText xml:space="preserve"> </w:instrText>
      </w:r>
      <w:r w:rsidRPr="008669A4">
        <w:rPr>
          <w:rStyle w:val="af7"/>
          <w:rFonts w:eastAsia="Guttman Hodes"/>
          <w:rtl/>
        </w:rPr>
      </w:r>
      <w:r w:rsidRPr="008669A4">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8669A4">
        <w:rPr>
          <w:rStyle w:val="af7"/>
          <w:rFonts w:eastAsia="Guttman Hodes"/>
          <w:rtl/>
        </w:rPr>
        <w:fldChar w:fldCharType="end"/>
      </w:r>
      <w:r>
        <w:rPr>
          <w:rFonts w:hint="cs"/>
          <w:rtl/>
        </w:rPr>
        <w:t xml:space="preserve"> בזה</w:t>
      </w:r>
      <w:r w:rsidRPr="001D1883">
        <w:rPr>
          <w:rFonts w:hint="cs"/>
          <w:rtl/>
        </w:rPr>
        <w:t>.</w:t>
      </w:r>
      <w:bookmarkEnd w:id="3812"/>
    </w:p>
    <w:p w:rsidR="007A505A" w:rsidRPr="001D1883" w:rsidRDefault="007A505A" w:rsidP="007A505A">
      <w:pPr>
        <w:pStyle w:val="a3"/>
        <w:rPr>
          <w:rtl/>
        </w:rPr>
      </w:pPr>
      <w:bookmarkStart w:id="3813" w:name="_Toc55386313"/>
      <w:bookmarkStart w:id="3814" w:name="_Toc55391235"/>
      <w:r>
        <w:rPr>
          <w:rFonts w:hint="cs"/>
          <w:rtl/>
        </w:rPr>
        <w:t>קושית הגרנ"פ דברשב"ם לקמן כתב להדיא דמהני המחאה אף שלא שמע המחזיק ממנה</w:t>
      </w:r>
      <w:bookmarkEnd w:id="3813"/>
      <w:bookmarkEnd w:id="3814"/>
    </w:p>
    <w:p w:rsidR="007A505A" w:rsidRPr="008D092E" w:rsidRDefault="007A505A" w:rsidP="007E4E81">
      <w:pPr>
        <w:pStyle w:val="a0"/>
        <w:rPr>
          <w:rtl/>
        </w:rPr>
      </w:pPr>
      <w:bookmarkStart w:id="3815" w:name="_Ref55382687"/>
      <w:r w:rsidRPr="001D1883">
        <w:rPr>
          <w:rFonts w:hint="cs"/>
          <w:rtl/>
        </w:rPr>
        <w:t xml:space="preserve">אך הקשה </w:t>
      </w:r>
      <w:r w:rsidRPr="00282A82">
        <w:rPr>
          <w:rStyle w:val="af9"/>
          <w:rFonts w:hint="cs"/>
          <w:rtl/>
        </w:rPr>
        <w:t>בחי' רבי נחום</w:t>
      </w:r>
      <w:r w:rsidRPr="001D1883">
        <w:rPr>
          <w:rFonts w:hint="cs"/>
          <w:rtl/>
        </w:rPr>
        <w:t xml:space="preserve"> דהא </w:t>
      </w:r>
      <w:r w:rsidRPr="00282A82">
        <w:rPr>
          <w:rStyle w:val="af9"/>
          <w:rFonts w:hint="cs"/>
          <w:rtl/>
        </w:rPr>
        <w:t>הרשב"ם לקמן</w:t>
      </w:r>
      <w:r w:rsidRPr="001D1883">
        <w:rPr>
          <w:rFonts w:hint="cs"/>
          <w:rtl/>
        </w:rPr>
        <w:t xml:space="preserve"> </w:t>
      </w:r>
      <w:r w:rsidRPr="00282A82">
        <w:rPr>
          <w:rStyle w:val="af7"/>
          <w:rFonts w:eastAsia="Guttman Hodes" w:hint="cs"/>
          <w:rtl/>
        </w:rPr>
        <w:t xml:space="preserve">(עי' אות </w:t>
      </w:r>
      <w:r w:rsidRPr="00282A82">
        <w:rPr>
          <w:rStyle w:val="af7"/>
          <w:rFonts w:eastAsia="Guttman Hodes"/>
          <w:rtl/>
        </w:rPr>
        <w:fldChar w:fldCharType="begin"/>
      </w:r>
      <w:r w:rsidRPr="00282A82">
        <w:rPr>
          <w:rStyle w:val="af7"/>
          <w:rFonts w:eastAsia="Guttman Hodes"/>
          <w:rtl/>
        </w:rPr>
        <w:instrText xml:space="preserve"> </w:instrText>
      </w:r>
      <w:r w:rsidRPr="00282A82">
        <w:rPr>
          <w:rStyle w:val="af7"/>
          <w:rFonts w:eastAsia="Guttman Hodes" w:hint="cs"/>
        </w:rPr>
        <w:instrText>REF</w:instrText>
      </w:r>
      <w:r w:rsidRPr="00282A82">
        <w:rPr>
          <w:rStyle w:val="af7"/>
          <w:rFonts w:eastAsia="Guttman Hodes" w:hint="cs"/>
          <w:rtl/>
        </w:rPr>
        <w:instrText xml:space="preserve"> _</w:instrText>
      </w:r>
      <w:r w:rsidRPr="00282A82">
        <w:rPr>
          <w:rStyle w:val="af7"/>
          <w:rFonts w:eastAsia="Guttman Hodes" w:hint="cs"/>
        </w:rPr>
        <w:instrText>Ref55380175 \r \h</w:instrText>
      </w:r>
      <w:r w:rsidRPr="00282A82">
        <w:rPr>
          <w:rStyle w:val="af7"/>
          <w:rFonts w:eastAsia="Guttman Hodes"/>
          <w:rtl/>
        </w:rPr>
        <w:instrText xml:space="preserve"> </w:instrText>
      </w:r>
      <w:r w:rsidRPr="00282A82">
        <w:rPr>
          <w:rStyle w:val="af7"/>
          <w:rFonts w:eastAsia="Guttman Hodes"/>
          <w:rtl/>
        </w:rPr>
      </w:r>
      <w:r w:rsidRPr="00282A82">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282A82">
        <w:rPr>
          <w:rStyle w:val="af7"/>
          <w:rFonts w:eastAsia="Guttman Hodes"/>
          <w:rtl/>
        </w:rPr>
        <w:fldChar w:fldCharType="end"/>
      </w:r>
      <w:r>
        <w:rPr>
          <w:rFonts w:hint="cs"/>
          <w:rtl/>
        </w:rPr>
        <w:t xml:space="preserve"> </w:t>
      </w:r>
      <w:r w:rsidRPr="001D1883">
        <w:rPr>
          <w:rFonts w:hint="cs"/>
          <w:rtl/>
        </w:rPr>
        <w:t xml:space="preserve">כתב דמחאה שלא בפניו לא הוי מחאה, דאף אם המחזיק לא שמע מהמחאה, מ"מ החזקה התבטלה, כיון שהמערער מחה כדין, והקשה </w:t>
      </w:r>
      <w:r w:rsidRPr="00282A82">
        <w:rPr>
          <w:rStyle w:val="af9"/>
          <w:rFonts w:hint="cs"/>
          <w:rtl/>
        </w:rPr>
        <w:t>בחי' רבי נחום</w:t>
      </w:r>
      <w:r w:rsidRPr="001D1883">
        <w:rPr>
          <w:rFonts w:hint="cs"/>
          <w:rtl/>
        </w:rPr>
        <w:t xml:space="preserve"> דהא לפי דברי </w:t>
      </w:r>
      <w:r w:rsidRPr="00282A82">
        <w:rPr>
          <w:rStyle w:val="af9"/>
          <w:rFonts w:hint="cs"/>
          <w:rtl/>
        </w:rPr>
        <w:t xml:space="preserve">רש"י </w:t>
      </w:r>
      <w:r w:rsidRPr="00297717">
        <w:rPr>
          <w:rStyle w:val="af7"/>
          <w:rFonts w:eastAsia="Guttman Hodes" w:hint="cs"/>
          <w:rtl/>
        </w:rPr>
        <w:t xml:space="preserve">(עי' אות </w:t>
      </w:r>
      <w:r w:rsidRPr="00297717">
        <w:rPr>
          <w:rStyle w:val="af7"/>
          <w:rFonts w:eastAsia="Guttman Hodes"/>
          <w:rtl/>
        </w:rPr>
        <w:fldChar w:fldCharType="begin"/>
      </w:r>
      <w:r w:rsidRPr="00297717">
        <w:rPr>
          <w:rStyle w:val="af7"/>
          <w:rFonts w:eastAsia="Guttman Hodes"/>
          <w:rtl/>
        </w:rPr>
        <w:instrText xml:space="preserve"> </w:instrText>
      </w:r>
      <w:r w:rsidRPr="00297717">
        <w:rPr>
          <w:rStyle w:val="af7"/>
          <w:rFonts w:eastAsia="Guttman Hodes" w:hint="cs"/>
        </w:rPr>
        <w:instrText>REF</w:instrText>
      </w:r>
      <w:r w:rsidRPr="00297717">
        <w:rPr>
          <w:rStyle w:val="af7"/>
          <w:rFonts w:eastAsia="Guttman Hodes" w:hint="cs"/>
          <w:rtl/>
        </w:rPr>
        <w:instrText xml:space="preserve"> _</w:instrText>
      </w:r>
      <w:r w:rsidRPr="00297717">
        <w:rPr>
          <w:rStyle w:val="af7"/>
          <w:rFonts w:eastAsia="Guttman Hodes" w:hint="cs"/>
        </w:rPr>
        <w:instrText>Ref55382348 \r \h</w:instrText>
      </w:r>
      <w:r w:rsidRPr="00297717">
        <w:rPr>
          <w:rStyle w:val="af7"/>
          <w:rFonts w:eastAsia="Guttman Hodes"/>
          <w:rtl/>
        </w:rPr>
        <w:instrText xml:space="preserve"> </w:instrText>
      </w:r>
      <w:r w:rsidRPr="00297717">
        <w:rPr>
          <w:rStyle w:val="af7"/>
          <w:rFonts w:eastAsia="Guttman Hodes"/>
          <w:rtl/>
        </w:rPr>
      </w:r>
      <w:r w:rsidRPr="00297717">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297717">
        <w:rPr>
          <w:rStyle w:val="af7"/>
          <w:rFonts w:eastAsia="Guttman Hodes"/>
          <w:rtl/>
        </w:rPr>
        <w:fldChar w:fldCharType="end"/>
      </w:r>
      <w:r>
        <w:rPr>
          <w:rStyle w:val="af9"/>
          <w:rFonts w:hint="cs"/>
          <w:rtl/>
        </w:rPr>
        <w:t xml:space="preserve"> </w:t>
      </w:r>
      <w:r w:rsidRPr="00282A82">
        <w:rPr>
          <w:rStyle w:val="af9"/>
          <w:rFonts w:hint="cs"/>
          <w:rtl/>
        </w:rPr>
        <w:t xml:space="preserve">והרשב"ם </w:t>
      </w:r>
      <w:r w:rsidRPr="00297717">
        <w:rPr>
          <w:rStyle w:val="af7"/>
          <w:rFonts w:eastAsia="Guttman Hodes" w:hint="cs"/>
          <w:rtl/>
        </w:rPr>
        <w:t xml:space="preserve">(עי' אות </w:t>
      </w:r>
      <w:r w:rsidRPr="00297717">
        <w:rPr>
          <w:rStyle w:val="af7"/>
          <w:rFonts w:eastAsia="Guttman Hodes"/>
          <w:rtl/>
        </w:rPr>
        <w:fldChar w:fldCharType="begin"/>
      </w:r>
      <w:r w:rsidRPr="00297717">
        <w:rPr>
          <w:rStyle w:val="af7"/>
          <w:rFonts w:eastAsia="Guttman Hodes"/>
          <w:rtl/>
        </w:rPr>
        <w:instrText xml:space="preserve"> </w:instrText>
      </w:r>
      <w:r w:rsidRPr="00297717">
        <w:rPr>
          <w:rStyle w:val="af7"/>
          <w:rFonts w:eastAsia="Guttman Hodes" w:hint="cs"/>
        </w:rPr>
        <w:instrText>REF</w:instrText>
      </w:r>
      <w:r w:rsidRPr="00297717">
        <w:rPr>
          <w:rStyle w:val="af7"/>
          <w:rFonts w:eastAsia="Guttman Hodes" w:hint="cs"/>
          <w:rtl/>
        </w:rPr>
        <w:instrText xml:space="preserve"> _</w:instrText>
      </w:r>
      <w:r w:rsidRPr="00297717">
        <w:rPr>
          <w:rStyle w:val="af7"/>
          <w:rFonts w:eastAsia="Guttman Hodes" w:hint="cs"/>
        </w:rPr>
        <w:instrText>Ref55382584 \r \h</w:instrText>
      </w:r>
      <w:r w:rsidRPr="00297717">
        <w:rPr>
          <w:rStyle w:val="af7"/>
          <w:rFonts w:eastAsia="Guttman Hodes"/>
          <w:rtl/>
        </w:rPr>
        <w:instrText xml:space="preserve"> </w:instrText>
      </w:r>
      <w:r w:rsidRPr="00297717">
        <w:rPr>
          <w:rStyle w:val="af7"/>
          <w:rFonts w:eastAsia="Guttman Hodes"/>
          <w:rtl/>
        </w:rPr>
      </w:r>
      <w:r w:rsidRPr="00297717">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297717">
        <w:rPr>
          <w:rStyle w:val="af7"/>
          <w:rFonts w:eastAsia="Guttman Hodes"/>
          <w:rtl/>
        </w:rPr>
        <w:fldChar w:fldCharType="end"/>
      </w:r>
      <w:r>
        <w:rPr>
          <w:rFonts w:hint="cs"/>
          <w:rtl/>
        </w:rPr>
        <w:t xml:space="preserve"> </w:t>
      </w:r>
      <w:r w:rsidRPr="001D1883">
        <w:rPr>
          <w:rFonts w:hint="cs"/>
          <w:rtl/>
        </w:rPr>
        <w:t>כל שלא שמע המחזיק מהמחאה, אינו נזהר בשטרו, וא"א לטעון לו אחוי שטרך, וא"כ לא הועילה המחאה כלום.</w:t>
      </w:r>
      <w:bookmarkEnd w:id="3815"/>
    </w:p>
    <w:p w:rsidR="007A505A" w:rsidRPr="00EF5372" w:rsidRDefault="007A505A" w:rsidP="007A505A">
      <w:pPr>
        <w:pStyle w:val="1"/>
      </w:pPr>
      <w:bookmarkStart w:id="3816" w:name="_Toc55386314"/>
      <w:bookmarkStart w:id="3817" w:name="_Toc55391236"/>
      <w:r>
        <w:rPr>
          <w:rFonts w:hint="cs"/>
          <w:rtl/>
        </w:rPr>
        <w:t>ביאור הדברי מרדכי</w:t>
      </w:r>
      <w:bookmarkEnd w:id="3816"/>
      <w:r>
        <w:rPr>
          <w:rFonts w:hint="cs"/>
          <w:rtl/>
        </w:rPr>
        <w:t xml:space="preserve"> דל"פ רבנן במחאה אף שלא שמע</w:t>
      </w:r>
      <w:bookmarkEnd w:id="3817"/>
    </w:p>
    <w:p w:rsidR="007A505A" w:rsidRPr="001D1883" w:rsidRDefault="007A505A" w:rsidP="007A505A">
      <w:pPr>
        <w:pStyle w:val="a3"/>
        <w:rPr>
          <w:rtl/>
        </w:rPr>
      </w:pPr>
      <w:bookmarkStart w:id="3818" w:name="_Toc55386315"/>
      <w:bookmarkStart w:id="3819" w:name="_Toc55391237"/>
      <w:r>
        <w:rPr>
          <w:rFonts w:hint="cs"/>
          <w:rtl/>
        </w:rPr>
        <w:t>קושית הדברי מרדכי על רב"י האיך מהני מחאה שלא שמע המחזיק הא אינו יודע לשמור שטרו</w:t>
      </w:r>
      <w:bookmarkEnd w:id="3818"/>
      <w:bookmarkEnd w:id="3819"/>
    </w:p>
    <w:p w:rsidR="007A505A" w:rsidRDefault="007A505A" w:rsidP="007E4E81">
      <w:pPr>
        <w:pStyle w:val="a0"/>
        <w:rPr>
          <w:rStyle w:val="afb"/>
          <w:rtl/>
        </w:rPr>
      </w:pPr>
      <w:r w:rsidRPr="001D1883">
        <w:rPr>
          <w:rFonts w:hint="cs"/>
          <w:rtl/>
        </w:rPr>
        <w:t xml:space="preserve">במ"ש </w:t>
      </w:r>
      <w:r w:rsidRPr="00EF5372">
        <w:rPr>
          <w:rStyle w:val="af9"/>
          <w:rFonts w:hint="cs"/>
          <w:rtl/>
        </w:rPr>
        <w:t>רבינו יונה</w:t>
      </w:r>
      <w:r w:rsidRPr="000173A0">
        <w:rPr>
          <w:rStyle w:val="af7"/>
          <w:rFonts w:eastAsia="Guttman Hodes" w:hint="cs"/>
          <w:rtl/>
        </w:rPr>
        <w:t xml:space="preserve"> (עי' אות </w:t>
      </w:r>
      <w:r w:rsidRPr="000173A0">
        <w:rPr>
          <w:rStyle w:val="af7"/>
          <w:rFonts w:eastAsia="Guttman Hodes"/>
          <w:rtl/>
        </w:rPr>
        <w:fldChar w:fldCharType="begin"/>
      </w:r>
      <w:r w:rsidRPr="000173A0">
        <w:rPr>
          <w:rStyle w:val="af7"/>
          <w:rFonts w:eastAsia="Guttman Hodes"/>
          <w:rtl/>
        </w:rPr>
        <w:instrText xml:space="preserve"> </w:instrText>
      </w:r>
      <w:r w:rsidRPr="000173A0">
        <w:rPr>
          <w:rStyle w:val="af7"/>
          <w:rFonts w:eastAsia="Guttman Hodes" w:hint="cs"/>
        </w:rPr>
        <w:instrText>REF</w:instrText>
      </w:r>
      <w:r w:rsidRPr="000173A0">
        <w:rPr>
          <w:rStyle w:val="af7"/>
          <w:rFonts w:eastAsia="Guttman Hodes" w:hint="cs"/>
          <w:rtl/>
        </w:rPr>
        <w:instrText xml:space="preserve"> _</w:instrText>
      </w:r>
      <w:r w:rsidRPr="000173A0">
        <w:rPr>
          <w:rStyle w:val="af7"/>
          <w:rFonts w:eastAsia="Guttman Hodes" w:hint="cs"/>
        </w:rPr>
        <w:instrText>Ref55382258 \r \h</w:instrText>
      </w:r>
      <w:r w:rsidRPr="000173A0">
        <w:rPr>
          <w:rStyle w:val="af7"/>
          <w:rFonts w:eastAsia="Guttman Hodes"/>
          <w:rtl/>
        </w:rPr>
        <w:instrText xml:space="preserve"> </w:instrText>
      </w:r>
      <w:r w:rsidRPr="000173A0">
        <w:rPr>
          <w:rStyle w:val="af7"/>
          <w:rFonts w:eastAsia="Guttman Hodes"/>
          <w:rtl/>
        </w:rPr>
      </w:r>
      <w:r w:rsidRPr="000173A0">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0173A0">
        <w:rPr>
          <w:rStyle w:val="af7"/>
          <w:rFonts w:eastAsia="Guttman Hodes"/>
          <w:rtl/>
        </w:rPr>
        <w:fldChar w:fldCharType="end"/>
      </w:r>
      <w:r w:rsidRPr="001E07C6">
        <w:rPr>
          <w:rStyle w:val="afb"/>
          <w:rFonts w:hint="cs"/>
          <w:rtl/>
        </w:rPr>
        <w:t xml:space="preserve"> </w:t>
      </w:r>
      <w:r w:rsidRPr="001D1883">
        <w:rPr>
          <w:rFonts w:hint="cs"/>
          <w:rtl/>
        </w:rPr>
        <w:t xml:space="preserve">דמחאה שלא בפניו מהני, אף שעידי המחאה מודים שלא סיפרו עליה לשום אדם, הקשה </w:t>
      </w:r>
      <w:r w:rsidR="009647B3">
        <w:rPr>
          <w:rStyle w:val="af9"/>
          <w:rFonts w:hint="cs"/>
          <w:rtl/>
        </w:rPr>
        <w:t xml:space="preserve">הגר"מ מן </w:t>
      </w:r>
      <w:r w:rsidR="009647B3" w:rsidRPr="00834955">
        <w:rPr>
          <w:rStyle w:val="af9"/>
          <w:rFonts w:hint="cs"/>
          <w:rtl/>
        </w:rPr>
        <w:t>בדברי מרדכי</w:t>
      </w:r>
      <w:r w:rsidR="009647B3">
        <w:rPr>
          <w:rStyle w:val="af9"/>
          <w:rFonts w:hint="cs"/>
          <w:rtl/>
        </w:rPr>
        <w:t xml:space="preserve"> </w:t>
      </w:r>
      <w:r w:rsidRPr="000173A0">
        <w:rPr>
          <w:rStyle w:val="af7"/>
          <w:rFonts w:eastAsia="Guttman Hodes" w:hint="cs"/>
          <w:rtl/>
        </w:rPr>
        <w:t>(סי' י"ז)</w:t>
      </w:r>
      <w:r w:rsidRPr="001D1883">
        <w:rPr>
          <w:rFonts w:hint="cs"/>
          <w:rtl/>
        </w:rPr>
        <w:t xml:space="preserve"> דהא ביארו </w:t>
      </w:r>
      <w:r w:rsidRPr="00EF5372">
        <w:rPr>
          <w:rStyle w:val="af9"/>
          <w:rFonts w:hint="cs"/>
          <w:rtl/>
        </w:rPr>
        <w:t>הראשונים</w:t>
      </w:r>
      <w:r w:rsidRPr="001D1883">
        <w:rPr>
          <w:rFonts w:hint="cs"/>
          <w:rtl/>
        </w:rPr>
        <w:t xml:space="preserve"> </w:t>
      </w:r>
      <w:r w:rsidRPr="00B75A36">
        <w:rPr>
          <w:rStyle w:val="afb"/>
          <w:rFonts w:hint="cs"/>
          <w:rtl/>
        </w:rPr>
        <w:t>[</w:t>
      </w:r>
      <w:r w:rsidRPr="00172D9F">
        <w:rPr>
          <w:rStyle w:val="affa"/>
          <w:rFonts w:hint="cs"/>
          <w:rtl/>
        </w:rPr>
        <w:t>רש"י</w:t>
      </w:r>
      <w:r w:rsidRPr="00B75A36">
        <w:rPr>
          <w:rStyle w:val="afb"/>
          <w:rFonts w:hint="cs"/>
          <w:rtl/>
        </w:rPr>
        <w:t xml:space="preserve"> </w:t>
      </w:r>
      <w:r w:rsidRPr="00172D9F">
        <w:rPr>
          <w:rStyle w:val="aff6"/>
          <w:rFonts w:hint="cs"/>
          <w:rtl/>
        </w:rPr>
        <w:t xml:space="preserve">(עי' אות </w:t>
      </w:r>
      <w:r w:rsidRPr="00172D9F">
        <w:rPr>
          <w:rStyle w:val="aff6"/>
          <w:rtl/>
        </w:rPr>
        <w:fldChar w:fldCharType="begin"/>
      </w:r>
      <w:r w:rsidRPr="00172D9F">
        <w:rPr>
          <w:rStyle w:val="aff6"/>
          <w:rtl/>
        </w:rPr>
        <w:instrText xml:space="preserve"> </w:instrText>
      </w:r>
      <w:r w:rsidRPr="00172D9F">
        <w:rPr>
          <w:rStyle w:val="aff6"/>
          <w:rFonts w:hint="cs"/>
        </w:rPr>
        <w:instrText>REF</w:instrText>
      </w:r>
      <w:r w:rsidRPr="00172D9F">
        <w:rPr>
          <w:rStyle w:val="aff6"/>
          <w:rFonts w:hint="cs"/>
          <w:rtl/>
        </w:rPr>
        <w:instrText xml:space="preserve"> _</w:instrText>
      </w:r>
      <w:r w:rsidRPr="00172D9F">
        <w:rPr>
          <w:rStyle w:val="aff6"/>
          <w:rFonts w:hint="cs"/>
        </w:rPr>
        <w:instrText>Ref54603459 \r \h</w:instrText>
      </w:r>
      <w:r w:rsidRPr="00172D9F">
        <w:rPr>
          <w:rStyle w:val="aff6"/>
          <w:rtl/>
        </w:rPr>
        <w:instrText xml:space="preserve"> </w:instrText>
      </w:r>
      <w:r w:rsidRPr="00172D9F">
        <w:rPr>
          <w:rStyle w:val="aff6"/>
          <w:rtl/>
        </w:rPr>
      </w:r>
      <w:r w:rsidRPr="00172D9F">
        <w:rPr>
          <w:rStyle w:val="aff6"/>
          <w:rtl/>
        </w:rPr>
        <w:fldChar w:fldCharType="separate"/>
      </w:r>
      <w:r w:rsidR="00265073">
        <w:rPr>
          <w:rStyle w:val="aff6"/>
          <w:cs/>
        </w:rPr>
        <w:t>‎</w:t>
      </w:r>
      <w:r w:rsidR="00265073">
        <w:rPr>
          <w:rStyle w:val="aff6"/>
          <w:rtl/>
        </w:rPr>
        <w:t>ג)</w:t>
      </w:r>
      <w:r w:rsidRPr="00172D9F">
        <w:rPr>
          <w:rStyle w:val="aff6"/>
          <w:rtl/>
        </w:rPr>
        <w:fldChar w:fldCharType="end"/>
      </w:r>
      <w:r w:rsidRPr="00B75A36">
        <w:rPr>
          <w:rStyle w:val="afb"/>
          <w:rFonts w:hint="cs"/>
          <w:rtl/>
        </w:rPr>
        <w:t xml:space="preserve"> </w:t>
      </w:r>
      <w:r w:rsidRPr="00172D9F">
        <w:rPr>
          <w:rStyle w:val="affa"/>
          <w:rFonts w:hint="cs"/>
          <w:rtl/>
        </w:rPr>
        <w:t>והרמב"ן</w:t>
      </w:r>
      <w:r w:rsidRPr="00B75A36">
        <w:rPr>
          <w:rStyle w:val="afb"/>
          <w:rFonts w:hint="cs"/>
          <w:rtl/>
        </w:rPr>
        <w:t xml:space="preserve"> </w:t>
      </w:r>
      <w:r w:rsidRPr="00172D9F">
        <w:rPr>
          <w:rStyle w:val="aff6"/>
          <w:rFonts w:hint="cs"/>
          <w:rtl/>
        </w:rPr>
        <w:t xml:space="preserve">(עי' אות </w:t>
      </w:r>
      <w:r w:rsidRPr="00172D9F">
        <w:rPr>
          <w:rStyle w:val="aff6"/>
          <w:rtl/>
        </w:rPr>
        <w:fldChar w:fldCharType="begin"/>
      </w:r>
      <w:r w:rsidRPr="00172D9F">
        <w:rPr>
          <w:rStyle w:val="aff6"/>
          <w:rtl/>
        </w:rPr>
        <w:instrText xml:space="preserve"> </w:instrText>
      </w:r>
      <w:r w:rsidRPr="00172D9F">
        <w:rPr>
          <w:rStyle w:val="aff6"/>
          <w:rFonts w:hint="cs"/>
        </w:rPr>
        <w:instrText>REF</w:instrText>
      </w:r>
      <w:r w:rsidRPr="00172D9F">
        <w:rPr>
          <w:rStyle w:val="aff6"/>
          <w:rFonts w:hint="cs"/>
          <w:rtl/>
        </w:rPr>
        <w:instrText xml:space="preserve"> _</w:instrText>
      </w:r>
      <w:r w:rsidRPr="00172D9F">
        <w:rPr>
          <w:rStyle w:val="aff6"/>
          <w:rFonts w:hint="cs"/>
        </w:rPr>
        <w:instrText>Ref55378949 \r \h</w:instrText>
      </w:r>
      <w:r w:rsidRPr="00172D9F">
        <w:rPr>
          <w:rStyle w:val="aff6"/>
          <w:rtl/>
        </w:rPr>
        <w:instrText xml:space="preserve"> </w:instrText>
      </w:r>
      <w:r w:rsidRPr="00172D9F">
        <w:rPr>
          <w:rStyle w:val="aff6"/>
          <w:rtl/>
        </w:rPr>
      </w:r>
      <w:r w:rsidRPr="00172D9F">
        <w:rPr>
          <w:rStyle w:val="aff6"/>
          <w:rtl/>
        </w:rPr>
        <w:fldChar w:fldCharType="separate"/>
      </w:r>
      <w:r w:rsidR="00265073">
        <w:rPr>
          <w:rStyle w:val="aff6"/>
          <w:cs/>
        </w:rPr>
        <w:t>‎</w:t>
      </w:r>
      <w:r w:rsidR="00265073">
        <w:rPr>
          <w:rStyle w:val="aff6"/>
          <w:rtl/>
        </w:rPr>
        <w:t>נג)</w:t>
      </w:r>
      <w:r w:rsidRPr="00172D9F">
        <w:rPr>
          <w:rStyle w:val="aff6"/>
          <w:rtl/>
        </w:rPr>
        <w:fldChar w:fldCharType="end"/>
      </w:r>
      <w:r w:rsidRPr="00B75A36">
        <w:rPr>
          <w:rStyle w:val="afb"/>
          <w:rFonts w:hint="cs"/>
          <w:rtl/>
        </w:rPr>
        <w:t>]</w:t>
      </w:r>
      <w:r w:rsidRPr="001D1883">
        <w:rPr>
          <w:rFonts w:hint="cs"/>
          <w:rtl/>
        </w:rPr>
        <w:t xml:space="preserve"> דטעמא דמחאה הוא כדי שיזהר המחזיק בשטרו, וכל שלא שמע אינו יכול להזהר, ואמאי בטלה החזקה.</w:t>
      </w:r>
      <w:r>
        <w:rPr>
          <w:rFonts w:hint="cs"/>
          <w:rtl/>
        </w:rPr>
        <w:t xml:space="preserve"> </w:t>
      </w:r>
      <w:r w:rsidRPr="006C2BCD">
        <w:rPr>
          <w:rStyle w:val="afb"/>
          <w:rFonts w:hint="cs"/>
          <w:rtl/>
        </w:rPr>
        <w:t xml:space="preserve">[ועי' במ"ש </w:t>
      </w:r>
      <w:r>
        <w:rPr>
          <w:rStyle w:val="affa"/>
          <w:rFonts w:hint="cs"/>
          <w:rtl/>
        </w:rPr>
        <w:t xml:space="preserve">בשיעורי רבי שמואל </w:t>
      </w:r>
      <w:r w:rsidRPr="006C2BCD">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Ref55469943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קט)</w:t>
      </w:r>
      <w:r>
        <w:rPr>
          <w:rStyle w:val="aff6"/>
          <w:rtl/>
        </w:rPr>
        <w:fldChar w:fldCharType="end"/>
      </w:r>
      <w:r w:rsidRPr="006C2BCD">
        <w:rPr>
          <w:rStyle w:val="aff6"/>
          <w:rFonts w:hint="cs"/>
          <w:rtl/>
        </w:rPr>
        <w:t xml:space="preserve"> </w:t>
      </w:r>
      <w:r>
        <w:rPr>
          <w:rStyle w:val="affa"/>
          <w:rFonts w:hint="cs"/>
          <w:rtl/>
        </w:rPr>
        <w:t>ו</w:t>
      </w:r>
      <w:r w:rsidRPr="006C2BCD">
        <w:rPr>
          <w:rStyle w:val="affa"/>
          <w:rFonts w:hint="cs"/>
          <w:rtl/>
        </w:rPr>
        <w:t xml:space="preserve">בחי' רבי נחום </w:t>
      </w:r>
      <w:r w:rsidRPr="006C2BCD">
        <w:rPr>
          <w:rStyle w:val="aff6"/>
          <w:rFonts w:hint="cs"/>
          <w:rtl/>
        </w:rPr>
        <w:t xml:space="preserve">(עי' אות </w:t>
      </w:r>
      <w:r w:rsidRPr="006C2BCD">
        <w:rPr>
          <w:rStyle w:val="aff6"/>
          <w:rtl/>
        </w:rPr>
        <w:fldChar w:fldCharType="begin"/>
      </w:r>
      <w:r w:rsidRPr="006C2BCD">
        <w:rPr>
          <w:rStyle w:val="aff6"/>
          <w:rtl/>
        </w:rPr>
        <w:instrText xml:space="preserve"> </w:instrText>
      </w:r>
      <w:r w:rsidRPr="006C2BCD">
        <w:rPr>
          <w:rStyle w:val="aff6"/>
          <w:rFonts w:hint="cs"/>
        </w:rPr>
        <w:instrText>REF</w:instrText>
      </w:r>
      <w:r w:rsidRPr="006C2BCD">
        <w:rPr>
          <w:rStyle w:val="aff6"/>
          <w:rFonts w:hint="cs"/>
          <w:rtl/>
        </w:rPr>
        <w:instrText xml:space="preserve"> _</w:instrText>
      </w:r>
      <w:r w:rsidRPr="006C2BCD">
        <w:rPr>
          <w:rStyle w:val="aff6"/>
          <w:rFonts w:hint="cs"/>
        </w:rPr>
        <w:instrText>Ref55382348 \r \h</w:instrText>
      </w:r>
      <w:r w:rsidRPr="006C2BCD">
        <w:rPr>
          <w:rStyle w:val="aff6"/>
          <w:rtl/>
        </w:rPr>
        <w:instrText xml:space="preserve"> </w:instrText>
      </w:r>
      <w:r w:rsidRPr="006C2BCD">
        <w:rPr>
          <w:rStyle w:val="aff6"/>
          <w:rtl/>
        </w:rPr>
      </w:r>
      <w:r w:rsidRPr="006C2BCD">
        <w:rPr>
          <w:rStyle w:val="aff6"/>
          <w:rtl/>
        </w:rPr>
        <w:fldChar w:fldCharType="separate"/>
      </w:r>
      <w:r w:rsidR="00265073">
        <w:rPr>
          <w:rStyle w:val="aff6"/>
          <w:cs/>
        </w:rPr>
        <w:t>‎</w:t>
      </w:r>
      <w:r w:rsidR="00265073">
        <w:rPr>
          <w:rStyle w:val="aff6"/>
          <w:rtl/>
        </w:rPr>
        <w:t>קי)</w:t>
      </w:r>
      <w:r w:rsidRPr="006C2BCD">
        <w:rPr>
          <w:rStyle w:val="aff6"/>
          <w:rtl/>
        </w:rPr>
        <w:fldChar w:fldCharType="end"/>
      </w:r>
      <w:r w:rsidRPr="006C2BCD">
        <w:rPr>
          <w:rStyle w:val="afb"/>
          <w:rFonts w:hint="cs"/>
          <w:rtl/>
        </w:rPr>
        <w:t xml:space="preserve"> </w:t>
      </w:r>
      <w:r w:rsidRPr="006C2BCD">
        <w:rPr>
          <w:rStyle w:val="affa"/>
          <w:rFonts w:hint="cs"/>
          <w:rtl/>
        </w:rPr>
        <w:t>דלרש"י ולרמב"ן</w:t>
      </w:r>
      <w:r w:rsidRPr="006C2BCD">
        <w:rPr>
          <w:rStyle w:val="afb"/>
          <w:rFonts w:hint="cs"/>
          <w:rtl/>
        </w:rPr>
        <w:t xml:space="preserve"> כל שלא שמע המחזיק מהמחאה, הוי חזקה].</w:t>
      </w:r>
    </w:p>
    <w:p w:rsidR="007A505A" w:rsidRPr="001D1883" w:rsidRDefault="007A505A" w:rsidP="007A505A">
      <w:pPr>
        <w:pStyle w:val="a3"/>
        <w:rPr>
          <w:rtl/>
        </w:rPr>
      </w:pPr>
      <w:bookmarkStart w:id="3820" w:name="_Toc55386316"/>
      <w:bookmarkStart w:id="3821" w:name="_Toc55391239"/>
      <w:r>
        <w:rPr>
          <w:rFonts w:hint="cs"/>
          <w:rtl/>
        </w:rPr>
        <w:t>תירוץ הדברי מרדכי דהמחאה אינה רק שיזהר בשטר אלא דל"פ רבנן וכל שמחה כדין הוי מחאה</w:t>
      </w:r>
      <w:bookmarkEnd w:id="3820"/>
      <w:bookmarkEnd w:id="3821"/>
    </w:p>
    <w:p w:rsidR="007A505A" w:rsidRDefault="007A505A" w:rsidP="007E4E81">
      <w:pPr>
        <w:pStyle w:val="a0"/>
        <w:rPr>
          <w:rtl/>
        </w:rPr>
      </w:pPr>
      <w:bookmarkStart w:id="3822" w:name="_Ref55386057"/>
      <w:r w:rsidRPr="001D1883">
        <w:rPr>
          <w:rFonts w:hint="cs"/>
          <w:rtl/>
        </w:rPr>
        <w:t xml:space="preserve">וכתב </w:t>
      </w:r>
      <w:r w:rsidR="009647B3">
        <w:rPr>
          <w:rStyle w:val="af9"/>
          <w:rFonts w:hint="cs"/>
          <w:rtl/>
        </w:rPr>
        <w:t xml:space="preserve">הגר"מ מן </w:t>
      </w:r>
      <w:r w:rsidR="009647B3" w:rsidRPr="00834955">
        <w:rPr>
          <w:rStyle w:val="af9"/>
          <w:rFonts w:hint="cs"/>
          <w:rtl/>
        </w:rPr>
        <w:t>בדברי מרדכי</w:t>
      </w:r>
      <w:r w:rsidR="009647B3">
        <w:rPr>
          <w:rStyle w:val="af9"/>
          <w:rFonts w:hint="cs"/>
          <w:rtl/>
        </w:rPr>
        <w:t xml:space="preserve"> </w:t>
      </w:r>
      <w:r w:rsidRPr="000173A0">
        <w:rPr>
          <w:rStyle w:val="af7"/>
          <w:rFonts w:eastAsia="Guttman Hodes" w:hint="cs"/>
          <w:rtl/>
        </w:rPr>
        <w:t>(סי' י"ז סק"ב)</w:t>
      </w:r>
      <w:r w:rsidRPr="001D1883">
        <w:rPr>
          <w:rFonts w:hint="cs"/>
          <w:rtl/>
        </w:rPr>
        <w:t xml:space="preserve"> דמבואר דהמחאה אינה רק בכדי שיזהר בשטרו, אלא דאחר שקבעו רבנן דמהני חזקה בג"ש, אמרינן לא פלוג רבנן וכל שהחזיק ג"ש כדין הוי חזקה, ואף במקום שאין טענת אחוי שטרך לא מהני חזקה בפחות מג"ש, </w:t>
      </w:r>
      <w:r w:rsidRPr="00172D9F">
        <w:rPr>
          <w:rStyle w:val="afb"/>
          <w:rFonts w:hint="cs"/>
          <w:rtl/>
        </w:rPr>
        <w:t xml:space="preserve">[עיי"ש במה שהאריך </w:t>
      </w:r>
      <w:r w:rsidRPr="00172D9F">
        <w:rPr>
          <w:rStyle w:val="affa"/>
          <w:rFonts w:hint="cs"/>
          <w:rtl/>
        </w:rPr>
        <w:t>הדברי מרדכי</w:t>
      </w:r>
      <w:r w:rsidRPr="00172D9F">
        <w:rPr>
          <w:rStyle w:val="afb"/>
          <w:rFonts w:hint="cs"/>
          <w:rtl/>
        </w:rPr>
        <w:t xml:space="preserve"> להוכיח כן],</w:t>
      </w:r>
      <w:r w:rsidRPr="001D1883">
        <w:rPr>
          <w:rFonts w:hint="cs"/>
          <w:rtl/>
        </w:rPr>
        <w:t xml:space="preserve"> וכן במחאה לא פלוג רבנן דכל שמחה כדינו לא הוי חזקה, וחשיב כאילו הוא עדיין בתוך הג"ש, ואין לו חזקה, אעפ"י שלא שמע המחזיק ולא ידע שצריך להזהר בשטר, ואין דנ</w:t>
      </w:r>
      <w:r>
        <w:rPr>
          <w:rFonts w:hint="cs"/>
          <w:rtl/>
        </w:rPr>
        <w:t>ים כ"א בפנ"ע.</w:t>
      </w:r>
      <w:bookmarkEnd w:id="3822"/>
    </w:p>
    <w:p w:rsidR="007A505A" w:rsidRPr="00CF127B" w:rsidRDefault="007A505A" w:rsidP="007A505A">
      <w:pPr>
        <w:pStyle w:val="1"/>
        <w:rPr>
          <w:rtl/>
        </w:rPr>
      </w:pPr>
      <w:bookmarkStart w:id="3823" w:name="_Toc55391238"/>
      <w:bookmarkStart w:id="3824" w:name="_Toc55386317"/>
      <w:bookmarkStart w:id="3825" w:name="_Toc55391240"/>
      <w:r>
        <w:rPr>
          <w:rFonts w:hint="cs"/>
          <w:rtl/>
        </w:rPr>
        <w:t>ביאור הדברי מרדכי דל"פ רבנן במחאה כשמחה שלא כדין</w:t>
      </w:r>
      <w:bookmarkEnd w:id="3823"/>
    </w:p>
    <w:p w:rsidR="007A505A" w:rsidRPr="00F03AC1" w:rsidRDefault="007A505A" w:rsidP="007A505A">
      <w:pPr>
        <w:pStyle w:val="a3"/>
      </w:pPr>
      <w:r>
        <w:rPr>
          <w:rFonts w:hint="cs"/>
          <w:rtl/>
        </w:rPr>
        <w:t>ביאור הדברי מרדכי בקצוה"ח דכשמחה שלא כדין לא פלוג רבנן והוי חזקה אף שלא נזהר בשטר</w:t>
      </w:r>
      <w:bookmarkEnd w:id="3824"/>
      <w:bookmarkEnd w:id="3825"/>
    </w:p>
    <w:p w:rsidR="007A505A" w:rsidRDefault="007A505A" w:rsidP="007E4E81">
      <w:pPr>
        <w:pStyle w:val="a0"/>
        <w:rPr>
          <w:rtl/>
        </w:rPr>
      </w:pPr>
      <w:bookmarkStart w:id="3826" w:name="_Ref55316893"/>
      <w:r w:rsidRPr="001D1883">
        <w:rPr>
          <w:rFonts w:hint="cs"/>
          <w:rtl/>
        </w:rPr>
        <w:t xml:space="preserve">ובזה ביאר </w:t>
      </w:r>
      <w:r w:rsidR="009647B3">
        <w:rPr>
          <w:rStyle w:val="af9"/>
          <w:rFonts w:hint="cs"/>
          <w:rtl/>
        </w:rPr>
        <w:t xml:space="preserve">הגר"מ מן </w:t>
      </w:r>
      <w:r w:rsidR="009647B3" w:rsidRPr="00834955">
        <w:rPr>
          <w:rStyle w:val="af9"/>
          <w:rFonts w:hint="cs"/>
          <w:rtl/>
        </w:rPr>
        <w:t>בדברי מרדכי</w:t>
      </w:r>
      <w:r w:rsidR="009647B3">
        <w:rPr>
          <w:rStyle w:val="af9"/>
          <w:rFonts w:hint="cs"/>
          <w:rtl/>
        </w:rPr>
        <w:t xml:space="preserve"> </w:t>
      </w:r>
      <w:r w:rsidRPr="000173A0">
        <w:rPr>
          <w:rStyle w:val="af7"/>
          <w:rFonts w:eastAsia="Guttman Hodes" w:hint="cs"/>
          <w:rtl/>
        </w:rPr>
        <w:t>(סי' י"ז)</w:t>
      </w:r>
      <w:r w:rsidRPr="001D1883">
        <w:rPr>
          <w:rFonts w:hint="cs"/>
          <w:rtl/>
        </w:rPr>
        <w:t xml:space="preserve"> את דברי </w:t>
      </w:r>
      <w:r w:rsidRPr="00EF5372">
        <w:rPr>
          <w:rStyle w:val="af9"/>
          <w:rFonts w:hint="cs"/>
          <w:rtl/>
        </w:rPr>
        <w:t>הקצוה"ח</w:t>
      </w:r>
      <w:r w:rsidRPr="001D1883">
        <w:rPr>
          <w:rFonts w:hint="cs"/>
          <w:rtl/>
        </w:rPr>
        <w:t xml:space="preserve"> </w:t>
      </w:r>
      <w:r w:rsidRPr="000173A0">
        <w:rPr>
          <w:rStyle w:val="af7"/>
          <w:rFonts w:eastAsia="Guttman Hodes" w:hint="cs"/>
          <w:rtl/>
        </w:rPr>
        <w:t xml:space="preserve">(עי' אות </w:t>
      </w:r>
      <w:r w:rsidRPr="000173A0">
        <w:rPr>
          <w:rStyle w:val="af7"/>
          <w:rFonts w:eastAsia="Guttman Hodes"/>
          <w:rtl/>
        </w:rPr>
        <w:fldChar w:fldCharType="begin"/>
      </w:r>
      <w:r w:rsidRPr="000173A0">
        <w:rPr>
          <w:rStyle w:val="af7"/>
          <w:rFonts w:eastAsia="Guttman Hodes"/>
          <w:rtl/>
        </w:rPr>
        <w:instrText xml:space="preserve"> </w:instrText>
      </w:r>
      <w:r w:rsidRPr="000173A0">
        <w:rPr>
          <w:rStyle w:val="af7"/>
          <w:rFonts w:eastAsia="Guttman Hodes" w:hint="cs"/>
        </w:rPr>
        <w:instrText>REF</w:instrText>
      </w:r>
      <w:r w:rsidRPr="000173A0">
        <w:rPr>
          <w:rStyle w:val="af7"/>
          <w:rFonts w:eastAsia="Guttman Hodes" w:hint="cs"/>
          <w:rtl/>
        </w:rPr>
        <w:instrText xml:space="preserve"> _</w:instrText>
      </w:r>
      <w:r w:rsidRPr="000173A0">
        <w:rPr>
          <w:rStyle w:val="af7"/>
          <w:rFonts w:eastAsia="Guttman Hodes" w:hint="cs"/>
        </w:rPr>
        <w:instrText>Ref55316863 \r \h</w:instrText>
      </w:r>
      <w:r w:rsidRPr="000173A0">
        <w:rPr>
          <w:rStyle w:val="af7"/>
          <w:rFonts w:eastAsia="Guttman Hodes"/>
          <w:rtl/>
        </w:rPr>
        <w:instrText xml:space="preserve">  \* </w:instrText>
      </w:r>
      <w:r w:rsidRPr="000173A0">
        <w:rPr>
          <w:rStyle w:val="af7"/>
          <w:rFonts w:eastAsia="Guttman Hodes"/>
        </w:rPr>
        <w:instrText>MERGEFORMAT</w:instrText>
      </w:r>
      <w:r w:rsidRPr="000173A0">
        <w:rPr>
          <w:rStyle w:val="af7"/>
          <w:rFonts w:eastAsia="Guttman Hodes"/>
          <w:rtl/>
        </w:rPr>
        <w:instrText xml:space="preserve"> </w:instrText>
      </w:r>
      <w:r w:rsidRPr="000173A0">
        <w:rPr>
          <w:rStyle w:val="af7"/>
          <w:rFonts w:eastAsia="Guttman Hodes"/>
          <w:rtl/>
        </w:rPr>
      </w:r>
      <w:r w:rsidRPr="000173A0">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0173A0">
        <w:rPr>
          <w:rStyle w:val="af7"/>
          <w:rFonts w:eastAsia="Guttman Hodes"/>
          <w:rtl/>
        </w:rPr>
        <w:fldChar w:fldCharType="end"/>
      </w:r>
      <w:r w:rsidRPr="001D1883">
        <w:rPr>
          <w:rFonts w:hint="cs"/>
          <w:rtl/>
        </w:rPr>
        <w:t xml:space="preserve"> דכתב דכל שהמחאה לא הייתה כדין הוי חזקה, אף שהמחזיק חושב שמחה המערער מחאה גמורה, והיה למחזיק להזהר בשטרו, ויש ריעותא בחזקתו דאחוי שטרך, מ"מ כיון שבאמת לא הייתה מחאה, לא פלוג רבנן, ומהני החזקה, דרק במקום שהייתה המחאה כדין תיקנו רבנן דלאחר ג"ש חשיב כמו בתוך ג"ש, ולא הוי חזקה, אבל כשמחאה לא הייתה כדין, אף שיש סיבה צדדית שהיה לו להזהר בשטרו, מ"מ הוי חזקה.</w:t>
      </w:r>
      <w:bookmarkEnd w:id="3826"/>
    </w:p>
    <w:p w:rsidR="007A505A" w:rsidRPr="00160221" w:rsidRDefault="007A505A" w:rsidP="007A505A">
      <w:pPr>
        <w:pStyle w:val="1"/>
        <w:rPr>
          <w:rtl/>
        </w:rPr>
      </w:pPr>
      <w:bookmarkStart w:id="3827" w:name="_Toc55391241"/>
      <w:r>
        <w:rPr>
          <w:rFonts w:hint="cs"/>
          <w:rtl/>
        </w:rPr>
        <w:t>ביאור הקה"י ברא"ש ובנימוק"י בלא שמע המחזיק את המחאה</w:t>
      </w:r>
      <w:bookmarkEnd w:id="3827"/>
    </w:p>
    <w:p w:rsidR="007A505A" w:rsidRPr="001D1883" w:rsidRDefault="007A505A" w:rsidP="007A505A">
      <w:pPr>
        <w:pStyle w:val="a3"/>
      </w:pPr>
      <w:bookmarkStart w:id="3828" w:name="_Toc55386319"/>
      <w:bookmarkStart w:id="3829" w:name="_Toc55391242"/>
      <w:r>
        <w:rPr>
          <w:rFonts w:hint="cs"/>
          <w:rtl/>
        </w:rPr>
        <w:t>ביאור הקה"י ברא"ש דהחזקה היא תקנ"ח וכשמחה כדינו לא תיקנו חזקה אף שלא שמע המחזיק</w:t>
      </w:r>
      <w:bookmarkEnd w:id="3828"/>
      <w:bookmarkEnd w:id="3829"/>
    </w:p>
    <w:p w:rsidR="007A505A" w:rsidRPr="001D1883" w:rsidRDefault="007A505A" w:rsidP="007E4E81">
      <w:pPr>
        <w:pStyle w:val="a0"/>
      </w:pPr>
      <w:bookmarkStart w:id="3830" w:name="_Ref55315123"/>
      <w:r w:rsidRPr="001D1883">
        <w:rPr>
          <w:rFonts w:hint="cs"/>
          <w:rtl/>
        </w:rPr>
        <w:t xml:space="preserve">במ"ש </w:t>
      </w:r>
      <w:r w:rsidRPr="00EF5372">
        <w:rPr>
          <w:rStyle w:val="af9"/>
          <w:rFonts w:hint="cs"/>
          <w:rtl/>
        </w:rPr>
        <w:t>הרא"ש</w:t>
      </w:r>
      <w:r w:rsidRPr="001D1883">
        <w:rPr>
          <w:rFonts w:hint="cs"/>
          <w:rtl/>
        </w:rPr>
        <w:t xml:space="preserve"> </w:t>
      </w:r>
      <w:r w:rsidRPr="000173A0">
        <w:rPr>
          <w:rStyle w:val="af7"/>
          <w:rFonts w:eastAsia="Guttman Hodes" w:hint="cs"/>
          <w:rtl/>
        </w:rPr>
        <w:t xml:space="preserve">(עי' אות </w:t>
      </w:r>
      <w:r w:rsidRPr="000173A0">
        <w:rPr>
          <w:rStyle w:val="af7"/>
          <w:rFonts w:eastAsia="Guttman Hodes"/>
          <w:rtl/>
        </w:rPr>
        <w:fldChar w:fldCharType="begin"/>
      </w:r>
      <w:r w:rsidRPr="000173A0">
        <w:rPr>
          <w:rStyle w:val="af7"/>
          <w:rFonts w:eastAsia="Guttman Hodes"/>
          <w:rtl/>
        </w:rPr>
        <w:instrText xml:space="preserve"> </w:instrText>
      </w:r>
      <w:r w:rsidRPr="000173A0">
        <w:rPr>
          <w:rStyle w:val="af7"/>
          <w:rFonts w:eastAsia="Guttman Hodes" w:hint="cs"/>
        </w:rPr>
        <w:instrText>REF</w:instrText>
      </w:r>
      <w:r w:rsidRPr="000173A0">
        <w:rPr>
          <w:rStyle w:val="af7"/>
          <w:rFonts w:eastAsia="Guttman Hodes" w:hint="cs"/>
          <w:rtl/>
        </w:rPr>
        <w:instrText xml:space="preserve"> _</w:instrText>
      </w:r>
      <w:r w:rsidRPr="000173A0">
        <w:rPr>
          <w:rStyle w:val="af7"/>
          <w:rFonts w:eastAsia="Guttman Hodes" w:hint="cs"/>
        </w:rPr>
        <w:instrText>Ref55315159 \r \h</w:instrText>
      </w:r>
      <w:r w:rsidRPr="000173A0">
        <w:rPr>
          <w:rStyle w:val="af7"/>
          <w:rFonts w:eastAsia="Guttman Hodes"/>
          <w:rtl/>
        </w:rPr>
        <w:instrText xml:space="preserve">  \* </w:instrText>
      </w:r>
      <w:r w:rsidRPr="000173A0">
        <w:rPr>
          <w:rStyle w:val="af7"/>
          <w:rFonts w:eastAsia="Guttman Hodes"/>
        </w:rPr>
        <w:instrText>MERGEFORMAT</w:instrText>
      </w:r>
      <w:r w:rsidRPr="000173A0">
        <w:rPr>
          <w:rStyle w:val="af7"/>
          <w:rFonts w:eastAsia="Guttman Hodes"/>
          <w:rtl/>
        </w:rPr>
        <w:instrText xml:space="preserve"> </w:instrText>
      </w:r>
      <w:r w:rsidRPr="000173A0">
        <w:rPr>
          <w:rStyle w:val="af7"/>
          <w:rFonts w:eastAsia="Guttman Hodes"/>
          <w:rtl/>
        </w:rPr>
      </w:r>
      <w:r w:rsidRPr="000173A0">
        <w:rPr>
          <w:rStyle w:val="af7"/>
          <w:rFonts w:eastAsia="Guttman Hodes"/>
          <w:rtl/>
        </w:rPr>
        <w:fldChar w:fldCharType="separate"/>
      </w:r>
      <w:r w:rsidR="00265073">
        <w:rPr>
          <w:rStyle w:val="af7"/>
          <w:rFonts w:eastAsia="Guttman Hodes"/>
          <w:cs/>
        </w:rPr>
        <w:t>‎</w:t>
      </w:r>
      <w:r w:rsidR="00265073">
        <w:rPr>
          <w:rStyle w:val="af7"/>
          <w:rFonts w:eastAsia="Guttman Hodes"/>
          <w:rtl/>
        </w:rPr>
        <w:t>סז)</w:t>
      </w:r>
      <w:r w:rsidRPr="000173A0">
        <w:rPr>
          <w:rStyle w:val="af7"/>
          <w:rFonts w:eastAsia="Guttman Hodes"/>
          <w:rtl/>
        </w:rPr>
        <w:fldChar w:fldCharType="end"/>
      </w:r>
      <w:r w:rsidRPr="001D1883">
        <w:rPr>
          <w:rFonts w:hint="cs"/>
          <w:rtl/>
        </w:rPr>
        <w:t xml:space="preserve"> דכיון דתיקנו חכמים דאחר ג"ש א"צ שטר, וכמחאה מהני, אף כשהעדים לא אמרו לשום אדם, כיון שמיחה כדברי חכמים, כתב </w:t>
      </w:r>
      <w:r w:rsidRPr="00EF5372">
        <w:rPr>
          <w:rStyle w:val="af9"/>
          <w:rFonts w:hint="cs"/>
          <w:rtl/>
        </w:rPr>
        <w:t>הקה"י</w:t>
      </w:r>
      <w:r w:rsidRPr="001D1883">
        <w:rPr>
          <w:rFonts w:hint="cs"/>
          <w:rtl/>
        </w:rPr>
        <w:t xml:space="preserve"> </w:t>
      </w:r>
      <w:r w:rsidRPr="000173A0">
        <w:rPr>
          <w:rStyle w:val="af7"/>
          <w:rFonts w:eastAsia="Guttman Hodes" w:hint="cs"/>
          <w:rtl/>
        </w:rPr>
        <w:t>(סי' י"ח סק"ב)</w:t>
      </w:r>
      <w:r w:rsidRPr="001D1883">
        <w:rPr>
          <w:rFonts w:hint="cs"/>
          <w:rtl/>
        </w:rPr>
        <w:t xml:space="preserve"> דמשמע מדברי </w:t>
      </w:r>
      <w:r w:rsidRPr="00EF5372">
        <w:rPr>
          <w:rStyle w:val="af9"/>
          <w:rFonts w:hint="cs"/>
          <w:rtl/>
        </w:rPr>
        <w:t>הרא"ש</w:t>
      </w:r>
      <w:r w:rsidRPr="001D1883">
        <w:rPr>
          <w:rFonts w:hint="cs"/>
          <w:rtl/>
        </w:rPr>
        <w:t xml:space="preserve"> דס"ל דעיקר דין חזקת ג"ש הוא תקנת חכמים ללוקח, דאחר ג"ש לא יצטרך להביא שטר, </w:t>
      </w:r>
      <w:r w:rsidRPr="00D11637">
        <w:rPr>
          <w:rStyle w:val="afb"/>
          <w:rFonts w:hint="cs"/>
          <w:rtl/>
        </w:rPr>
        <w:t xml:space="preserve">[כדביאר </w:t>
      </w:r>
      <w:r w:rsidRPr="00D11637">
        <w:rPr>
          <w:rStyle w:val="affa"/>
          <w:rFonts w:hint="cs"/>
          <w:rtl/>
        </w:rPr>
        <w:t>הקצוה"ח</w:t>
      </w:r>
      <w:r w:rsidRPr="00D11637">
        <w:rPr>
          <w:rStyle w:val="afb"/>
          <w:rFonts w:hint="cs"/>
          <w:rtl/>
        </w:rPr>
        <w:t xml:space="preserve"> </w:t>
      </w:r>
      <w:r w:rsidRPr="00D11637">
        <w:rPr>
          <w:rStyle w:val="aff6"/>
          <w:rFonts w:hint="cs"/>
          <w:rtl/>
        </w:rPr>
        <w:t>(סי' ק"מ סק"</w:t>
      </w:r>
      <w:r>
        <w:rPr>
          <w:rStyle w:val="aff6"/>
          <w:rFonts w:hint="cs"/>
          <w:rtl/>
        </w:rPr>
        <w:t>ב</w:t>
      </w:r>
      <w:r w:rsidRPr="00AE2D38">
        <w:rPr>
          <w:rStyle w:val="aff6"/>
          <w:rtl/>
        </w:rPr>
        <w:t>, הובא בסימן ו' אות ל"</w:t>
      </w:r>
      <w:r>
        <w:rPr>
          <w:rStyle w:val="aff6"/>
          <w:rFonts w:hint="cs"/>
          <w:rtl/>
        </w:rPr>
        <w:t>א</w:t>
      </w:r>
      <w:r w:rsidRPr="00D11637">
        <w:rPr>
          <w:rStyle w:val="aff6"/>
          <w:rFonts w:hint="cs"/>
          <w:rtl/>
        </w:rPr>
        <w:t>)</w:t>
      </w:r>
      <w:r w:rsidRPr="00D11637">
        <w:rPr>
          <w:rStyle w:val="afb"/>
          <w:rFonts w:hint="cs"/>
          <w:rtl/>
        </w:rPr>
        <w:t>],</w:t>
      </w:r>
      <w:r w:rsidRPr="001D1883">
        <w:rPr>
          <w:rFonts w:hint="cs"/>
          <w:rtl/>
        </w:rPr>
        <w:t xml:space="preserve"> וכדי שהמערער לא יפסיד תיקנו לו מחאה, ולכן כל שמחה המערער כדינו, ממילא אין את התקנה של חזקת ג"ש, דלא תיקנו שיפסיד בעל הקרקע, וממילא נשאר הדין דאו' דקרקע בחזקת בעליה עומדת.</w:t>
      </w:r>
      <w:r w:rsidRPr="001D1883">
        <w:rPr>
          <w:rStyle w:val="afb"/>
          <w:rFonts w:hint="cs"/>
          <w:rtl/>
        </w:rPr>
        <w:t xml:space="preserve"> [</w:t>
      </w:r>
      <w:r>
        <w:rPr>
          <w:rStyle w:val="afb"/>
          <w:rFonts w:hint="cs"/>
          <w:rtl/>
        </w:rPr>
        <w:t>ועי' ב</w:t>
      </w:r>
      <w:r w:rsidRPr="001D1883">
        <w:rPr>
          <w:rStyle w:val="afb"/>
          <w:rFonts w:hint="cs"/>
          <w:rtl/>
        </w:rPr>
        <w:t xml:space="preserve">דברי </w:t>
      </w:r>
      <w:r w:rsidRPr="001D1883">
        <w:rPr>
          <w:rStyle w:val="affa"/>
          <w:rFonts w:hint="cs"/>
          <w:rtl/>
        </w:rPr>
        <w:t xml:space="preserve">הרא"ש </w:t>
      </w:r>
      <w:r w:rsidRPr="007D2B4E">
        <w:rPr>
          <w:rStyle w:val="aff6"/>
          <w:rFonts w:hint="cs"/>
          <w:rtl/>
        </w:rPr>
        <w:t xml:space="preserve">(הובא בסימן ו' אות י"ב) </w:t>
      </w:r>
      <w:r>
        <w:rPr>
          <w:rStyle w:val="afb"/>
          <w:rFonts w:hint="cs"/>
          <w:rtl/>
        </w:rPr>
        <w:t>בגדר חזקת ג"ש</w:t>
      </w:r>
      <w:r w:rsidRPr="001D1883">
        <w:rPr>
          <w:rStyle w:val="afb"/>
          <w:rFonts w:hint="cs"/>
          <w:rtl/>
        </w:rPr>
        <w:t>].</w:t>
      </w:r>
      <w:bookmarkEnd w:id="3830"/>
    </w:p>
    <w:p w:rsidR="007A505A" w:rsidRPr="001D1883" w:rsidRDefault="007A505A" w:rsidP="007A505A">
      <w:pPr>
        <w:pStyle w:val="a3"/>
      </w:pPr>
      <w:bookmarkStart w:id="3831" w:name="_Toc55386320"/>
      <w:bookmarkStart w:id="3832" w:name="_Toc55391243"/>
      <w:r>
        <w:rPr>
          <w:rFonts w:hint="cs"/>
          <w:rtl/>
        </w:rPr>
        <w:t>ביאור הקה"י בנימוק"י דהחזקה היא ראיה מדלא מיחה ובמחה אין ראיה אף שלא שמע המחזיק</w:t>
      </w:r>
      <w:bookmarkEnd w:id="3831"/>
      <w:bookmarkEnd w:id="3832"/>
    </w:p>
    <w:p w:rsidR="007A505A" w:rsidRPr="001D1883" w:rsidRDefault="007A505A" w:rsidP="007E4E81">
      <w:pPr>
        <w:pStyle w:val="a0"/>
        <w:rPr>
          <w:rtl/>
        </w:rPr>
      </w:pPr>
      <w:bookmarkStart w:id="3833" w:name="_Ref55315908"/>
      <w:r w:rsidRPr="001D1883">
        <w:rPr>
          <w:rFonts w:hint="cs"/>
          <w:rtl/>
        </w:rPr>
        <w:t xml:space="preserve">במ"ש </w:t>
      </w:r>
      <w:r w:rsidRPr="00EF5372">
        <w:rPr>
          <w:rStyle w:val="af9"/>
          <w:rFonts w:hint="cs"/>
          <w:rtl/>
        </w:rPr>
        <w:t>הנימוק"י</w:t>
      </w:r>
      <w:r w:rsidRPr="001D1883">
        <w:rPr>
          <w:rFonts w:hint="cs"/>
          <w:rtl/>
        </w:rPr>
        <w:t xml:space="preserve"> </w:t>
      </w:r>
      <w:r w:rsidRPr="000173A0">
        <w:rPr>
          <w:rStyle w:val="af7"/>
          <w:rFonts w:eastAsia="Guttman Hodes" w:hint="cs"/>
          <w:rtl/>
        </w:rPr>
        <w:t xml:space="preserve">(עי' אות </w:t>
      </w:r>
      <w:r w:rsidRPr="000173A0">
        <w:rPr>
          <w:rStyle w:val="af7"/>
          <w:rFonts w:eastAsia="Guttman Hodes"/>
          <w:rtl/>
        </w:rPr>
        <w:fldChar w:fldCharType="begin"/>
      </w:r>
      <w:r w:rsidRPr="000173A0">
        <w:rPr>
          <w:rStyle w:val="af7"/>
          <w:rFonts w:eastAsia="Guttman Hodes"/>
          <w:rtl/>
        </w:rPr>
        <w:instrText xml:space="preserve"> </w:instrText>
      </w:r>
      <w:r w:rsidRPr="000173A0">
        <w:rPr>
          <w:rStyle w:val="af7"/>
          <w:rFonts w:eastAsia="Guttman Hodes" w:hint="cs"/>
        </w:rPr>
        <w:instrText>REF</w:instrText>
      </w:r>
      <w:r w:rsidRPr="000173A0">
        <w:rPr>
          <w:rStyle w:val="af7"/>
          <w:rFonts w:eastAsia="Guttman Hodes" w:hint="cs"/>
          <w:rtl/>
        </w:rPr>
        <w:instrText xml:space="preserve"> _</w:instrText>
      </w:r>
      <w:r w:rsidRPr="000173A0">
        <w:rPr>
          <w:rStyle w:val="af7"/>
          <w:rFonts w:eastAsia="Guttman Hodes" w:hint="cs"/>
        </w:rPr>
        <w:instrText>Ref55315892 \r \h</w:instrText>
      </w:r>
      <w:r w:rsidRPr="000173A0">
        <w:rPr>
          <w:rStyle w:val="af7"/>
          <w:rFonts w:eastAsia="Guttman Hodes"/>
          <w:rtl/>
        </w:rPr>
        <w:instrText xml:space="preserve">  \* </w:instrText>
      </w:r>
      <w:r w:rsidRPr="000173A0">
        <w:rPr>
          <w:rStyle w:val="af7"/>
          <w:rFonts w:eastAsia="Guttman Hodes"/>
        </w:rPr>
        <w:instrText>MERGEFORMAT</w:instrText>
      </w:r>
      <w:r w:rsidRPr="000173A0">
        <w:rPr>
          <w:rStyle w:val="af7"/>
          <w:rFonts w:eastAsia="Guttman Hodes"/>
          <w:rtl/>
        </w:rPr>
        <w:instrText xml:space="preserve"> </w:instrText>
      </w:r>
      <w:r w:rsidRPr="000173A0">
        <w:rPr>
          <w:rStyle w:val="af7"/>
          <w:rFonts w:eastAsia="Guttman Hodes"/>
          <w:rtl/>
        </w:rPr>
      </w:r>
      <w:r w:rsidRPr="000173A0">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0173A0">
        <w:rPr>
          <w:rStyle w:val="af7"/>
          <w:rFonts w:eastAsia="Guttman Hodes"/>
          <w:rtl/>
        </w:rPr>
        <w:fldChar w:fldCharType="end"/>
      </w:r>
      <w:r w:rsidRPr="001D1883">
        <w:rPr>
          <w:rFonts w:hint="cs"/>
          <w:rtl/>
        </w:rPr>
        <w:t xml:space="preserve"> דס"ל </w:t>
      </w:r>
      <w:r w:rsidRPr="00EF5372">
        <w:rPr>
          <w:rStyle w:val="af9"/>
          <w:rFonts w:hint="cs"/>
          <w:rtl/>
        </w:rPr>
        <w:t>לרבינו יונה</w:t>
      </w:r>
      <w:r w:rsidRPr="001D1883">
        <w:rPr>
          <w:rFonts w:hint="cs"/>
          <w:rtl/>
        </w:rPr>
        <w:t xml:space="preserve"> </w:t>
      </w:r>
      <w:r w:rsidRPr="000173A0">
        <w:rPr>
          <w:rStyle w:val="af7"/>
          <w:rFonts w:eastAsia="Guttman Hodes" w:hint="cs"/>
          <w:rtl/>
        </w:rPr>
        <w:t xml:space="preserve">(עי' אות </w:t>
      </w:r>
      <w:r w:rsidRPr="000173A0">
        <w:rPr>
          <w:rStyle w:val="af7"/>
          <w:rFonts w:eastAsia="Guttman Hodes"/>
          <w:rtl/>
        </w:rPr>
        <w:fldChar w:fldCharType="begin"/>
      </w:r>
      <w:r w:rsidRPr="000173A0">
        <w:rPr>
          <w:rStyle w:val="af7"/>
          <w:rFonts w:eastAsia="Guttman Hodes"/>
          <w:rtl/>
        </w:rPr>
        <w:instrText xml:space="preserve"> </w:instrText>
      </w:r>
      <w:r w:rsidRPr="000173A0">
        <w:rPr>
          <w:rStyle w:val="af7"/>
          <w:rFonts w:eastAsia="Guttman Hodes" w:hint="cs"/>
        </w:rPr>
        <w:instrText>REF</w:instrText>
      </w:r>
      <w:r w:rsidRPr="000173A0">
        <w:rPr>
          <w:rStyle w:val="af7"/>
          <w:rFonts w:eastAsia="Guttman Hodes" w:hint="cs"/>
          <w:rtl/>
        </w:rPr>
        <w:instrText xml:space="preserve"> _</w:instrText>
      </w:r>
      <w:r w:rsidRPr="000173A0">
        <w:rPr>
          <w:rStyle w:val="af7"/>
          <w:rFonts w:eastAsia="Guttman Hodes" w:hint="cs"/>
        </w:rPr>
        <w:instrText>Ref55382258 \r \h</w:instrText>
      </w:r>
      <w:r w:rsidRPr="000173A0">
        <w:rPr>
          <w:rStyle w:val="af7"/>
          <w:rFonts w:eastAsia="Guttman Hodes"/>
          <w:rtl/>
        </w:rPr>
        <w:instrText xml:space="preserve"> </w:instrText>
      </w:r>
      <w:r w:rsidRPr="000173A0">
        <w:rPr>
          <w:rStyle w:val="af7"/>
          <w:rFonts w:eastAsia="Guttman Hodes"/>
          <w:rtl/>
        </w:rPr>
      </w:r>
      <w:r w:rsidRPr="000173A0">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0173A0">
        <w:rPr>
          <w:rStyle w:val="af7"/>
          <w:rFonts w:eastAsia="Guttman Hodes"/>
          <w:rtl/>
        </w:rPr>
        <w:fldChar w:fldCharType="end"/>
      </w:r>
      <w:r w:rsidRPr="001E07C6">
        <w:rPr>
          <w:rStyle w:val="afb"/>
          <w:rFonts w:hint="cs"/>
          <w:rtl/>
        </w:rPr>
        <w:t xml:space="preserve"> </w:t>
      </w:r>
      <w:r w:rsidRPr="001D1883">
        <w:rPr>
          <w:rFonts w:hint="cs"/>
          <w:rtl/>
        </w:rPr>
        <w:t>דכיון שכ"מ שהמחזיק זכה ע"י החזקה, הוא כיון שהיה למערער למחות, וכשלא מחה אמרינן דודאי מכר לו, א"כ כל שמחה המערער, אף שלא מחה בפני המחזיק, מ"מ אין הוכחה שמכר לו,</w:t>
      </w:r>
      <w:r w:rsidR="00A77F33">
        <w:rPr>
          <w:rFonts w:hint="cs"/>
          <w:rtl/>
        </w:rPr>
        <w:t xml:space="preserve"> </w:t>
      </w:r>
      <w:r w:rsidRPr="001D1883">
        <w:rPr>
          <w:rFonts w:hint="cs"/>
          <w:rtl/>
        </w:rPr>
        <w:t xml:space="preserve">ביאר </w:t>
      </w:r>
      <w:r w:rsidRPr="00EF5372">
        <w:rPr>
          <w:rStyle w:val="af9"/>
          <w:rFonts w:hint="cs"/>
          <w:rtl/>
        </w:rPr>
        <w:t>הקה"י</w:t>
      </w:r>
      <w:r w:rsidRPr="001D1883">
        <w:rPr>
          <w:rFonts w:hint="cs"/>
          <w:rtl/>
        </w:rPr>
        <w:t xml:space="preserve"> </w:t>
      </w:r>
      <w:r w:rsidRPr="000173A0">
        <w:rPr>
          <w:rStyle w:val="af7"/>
          <w:rFonts w:eastAsia="Guttman Hodes" w:hint="cs"/>
          <w:rtl/>
        </w:rPr>
        <w:t>(סי' י"ח סק"ג)</w:t>
      </w:r>
      <w:r w:rsidRPr="001D1883">
        <w:rPr>
          <w:rFonts w:hint="cs"/>
          <w:rtl/>
        </w:rPr>
        <w:t xml:space="preserve"> דס"ל </w:t>
      </w:r>
      <w:r w:rsidRPr="006276A9">
        <w:rPr>
          <w:rStyle w:val="af9"/>
          <w:rFonts w:hint="cs"/>
          <w:rtl/>
        </w:rPr>
        <w:t>להנימוק"י</w:t>
      </w:r>
      <w:r w:rsidRPr="001D1883">
        <w:rPr>
          <w:rFonts w:hint="cs"/>
          <w:rtl/>
        </w:rPr>
        <w:t xml:space="preserve"> דטעמא דחזקת ג"ש הוא כיון דלא מחה המערער יש ראיה שמכר את הקרקע למחזיק, </w:t>
      </w:r>
      <w:r w:rsidRPr="001D1883">
        <w:rPr>
          <w:rStyle w:val="afb"/>
          <w:rFonts w:hint="cs"/>
          <w:rtl/>
        </w:rPr>
        <w:t xml:space="preserve">[וכדעת </w:t>
      </w:r>
      <w:r w:rsidRPr="000173A0">
        <w:rPr>
          <w:rStyle w:val="affa"/>
          <w:rFonts w:hint="cs"/>
          <w:rtl/>
        </w:rPr>
        <w:t>הרמב"ן לקמן</w:t>
      </w:r>
      <w:r w:rsidRPr="001D1883">
        <w:rPr>
          <w:rStyle w:val="afb"/>
          <w:rFonts w:hint="cs"/>
          <w:rtl/>
        </w:rPr>
        <w:t xml:space="preserve"> </w:t>
      </w:r>
      <w:r w:rsidRPr="000173A0">
        <w:rPr>
          <w:rStyle w:val="aff6"/>
          <w:rFonts w:hint="cs"/>
          <w:rtl/>
        </w:rPr>
        <w:t>(מב. ד"</w:t>
      </w:r>
      <w:r w:rsidRPr="009E750E">
        <w:rPr>
          <w:rStyle w:val="aff6"/>
          <w:rFonts w:hint="cs"/>
          <w:rtl/>
        </w:rPr>
        <w:t xml:space="preserve">ה הא, הובא בסימן ה' אות </w:t>
      </w:r>
      <w:r w:rsidRPr="009E750E">
        <w:rPr>
          <w:rStyle w:val="aff6"/>
          <w:rFonts w:hint="cs"/>
          <w:rtl/>
        </w:rPr>
        <w:lastRenderedPageBreak/>
        <w:t>ז')</w:t>
      </w:r>
      <w:r w:rsidRPr="001D1883">
        <w:rPr>
          <w:rStyle w:val="afb"/>
          <w:rFonts w:hint="cs"/>
          <w:rtl/>
        </w:rPr>
        <w:t xml:space="preserve">], </w:t>
      </w:r>
      <w:r w:rsidRPr="001D1883">
        <w:rPr>
          <w:rFonts w:hint="cs"/>
          <w:rtl/>
        </w:rPr>
        <w:t>ולכן כל שמחה אף שלא שמע המחזיק, אין כל ראיה שמכר לו ולא הוי חזקה.</w:t>
      </w:r>
      <w:bookmarkEnd w:id="3833"/>
    </w:p>
    <w:p w:rsidR="007A505A" w:rsidRPr="006276A9" w:rsidRDefault="007A505A" w:rsidP="007A505A">
      <w:pPr>
        <w:pStyle w:val="a3"/>
      </w:pPr>
      <w:bookmarkStart w:id="3834" w:name="_Toc55386321"/>
      <w:bookmarkStart w:id="3835" w:name="_Toc55391244"/>
      <w:r>
        <w:rPr>
          <w:rFonts w:hint="cs"/>
          <w:rtl/>
        </w:rPr>
        <w:t>ביאור הקה"י בנימוק"י דאחר שתיקנו רבנן את דין חזקה כל שלא מחה ממילא יש ראיה מדאו'</w:t>
      </w:r>
      <w:bookmarkEnd w:id="3834"/>
      <w:bookmarkEnd w:id="3835"/>
    </w:p>
    <w:p w:rsidR="00F163D7" w:rsidRDefault="007A505A" w:rsidP="007E4E81">
      <w:pPr>
        <w:pStyle w:val="a0"/>
        <w:rPr>
          <w:rStyle w:val="afb"/>
          <w:rtl/>
        </w:rPr>
        <w:sectPr w:rsidR="00F163D7" w:rsidSect="005049E2">
          <w:footerReference w:type="default" r:id="rId46"/>
          <w:type w:val="continuous"/>
          <w:pgSz w:w="11906" w:h="16838"/>
          <w:pgMar w:top="720" w:right="720" w:bottom="720" w:left="720" w:header="283" w:footer="283" w:gutter="0"/>
          <w:cols w:num="2" w:space="567"/>
          <w:titlePg/>
          <w:bidi/>
          <w:rtlGutter/>
          <w:docGrid w:linePitch="299"/>
        </w:sectPr>
      </w:pPr>
      <w:r w:rsidRPr="001D1883">
        <w:rPr>
          <w:rFonts w:hint="cs"/>
          <w:rtl/>
        </w:rPr>
        <w:t xml:space="preserve">והביא </w:t>
      </w:r>
      <w:r w:rsidRPr="00EF5372">
        <w:rPr>
          <w:rStyle w:val="af9"/>
          <w:rFonts w:hint="cs"/>
          <w:rtl/>
        </w:rPr>
        <w:t>הקה"י</w:t>
      </w:r>
      <w:r w:rsidRPr="001D1883">
        <w:rPr>
          <w:rFonts w:hint="cs"/>
          <w:rtl/>
        </w:rPr>
        <w:t xml:space="preserve"> את דברי </w:t>
      </w:r>
      <w:r w:rsidRPr="00EF5372">
        <w:rPr>
          <w:rStyle w:val="af9"/>
          <w:rFonts w:hint="cs"/>
          <w:rtl/>
        </w:rPr>
        <w:t>הקצוה"ח</w:t>
      </w:r>
      <w:r w:rsidRPr="001D1883">
        <w:rPr>
          <w:rFonts w:hint="cs"/>
          <w:rtl/>
        </w:rPr>
        <w:t xml:space="preserve"> </w:t>
      </w:r>
      <w:r w:rsidRPr="000173A0">
        <w:rPr>
          <w:rStyle w:val="af7"/>
          <w:rFonts w:eastAsia="Guttman Hodes" w:hint="cs"/>
          <w:rtl/>
        </w:rPr>
        <w:t>(סי' ק"מ סק"</w:t>
      </w:r>
      <w:r>
        <w:rPr>
          <w:rStyle w:val="af7"/>
          <w:rFonts w:eastAsia="Guttman Hodes" w:hint="cs"/>
          <w:rtl/>
        </w:rPr>
        <w:t>ב</w:t>
      </w:r>
      <w:r w:rsidRPr="000173A0">
        <w:rPr>
          <w:rStyle w:val="af7"/>
          <w:rFonts w:eastAsia="Guttman Hodes" w:hint="cs"/>
          <w:rtl/>
        </w:rPr>
        <w:t xml:space="preserve"> ד"ה ולענ"ד</w:t>
      </w:r>
      <w:r>
        <w:rPr>
          <w:rStyle w:val="af7"/>
          <w:rFonts w:eastAsia="Guttman Hodes" w:hint="cs"/>
          <w:rtl/>
        </w:rPr>
        <w:t>, הובא בסימן ו' אות ל"ד)</w:t>
      </w:r>
      <w:r w:rsidRPr="001D1883">
        <w:rPr>
          <w:rFonts w:hint="cs"/>
          <w:rtl/>
        </w:rPr>
        <w:t xml:space="preserve"> דהוכיח מדברי </w:t>
      </w:r>
      <w:r w:rsidRPr="00EF5372">
        <w:rPr>
          <w:rStyle w:val="af9"/>
          <w:rFonts w:hint="cs"/>
          <w:rtl/>
        </w:rPr>
        <w:t>הנימוק"י</w:t>
      </w:r>
      <w:r w:rsidRPr="001D1883">
        <w:rPr>
          <w:rFonts w:hint="cs"/>
          <w:rtl/>
        </w:rPr>
        <w:t xml:space="preserve"> </w:t>
      </w:r>
      <w:r w:rsidRPr="000173A0">
        <w:rPr>
          <w:rStyle w:val="af7"/>
          <w:rFonts w:eastAsia="Guttman Hodes" w:hint="cs"/>
          <w:rtl/>
        </w:rPr>
        <w:t>(יד. מדה"ר ד"ה טפי</w:t>
      </w:r>
      <w:r>
        <w:rPr>
          <w:rStyle w:val="af7"/>
          <w:rFonts w:eastAsia="Guttman Hodes" w:hint="cs"/>
          <w:rtl/>
        </w:rPr>
        <w:t>, הובא בסימן ו' אות ח)</w:t>
      </w:r>
      <w:r w:rsidRPr="001D1883">
        <w:rPr>
          <w:rFonts w:hint="cs"/>
          <w:rtl/>
        </w:rPr>
        <w:t xml:space="preserve"> דטעמא דחזקה הוא מתקנת חכמים, עיי"ש בדבריו, וכתב </w:t>
      </w:r>
      <w:r w:rsidRPr="00EF5372">
        <w:rPr>
          <w:rStyle w:val="af9"/>
          <w:rFonts w:hint="cs"/>
          <w:rtl/>
        </w:rPr>
        <w:t>הקה"י</w:t>
      </w:r>
      <w:r w:rsidRPr="001D1883">
        <w:rPr>
          <w:rFonts w:hint="cs"/>
          <w:rtl/>
        </w:rPr>
        <w:t xml:space="preserve"> דצ"ל דס"ל </w:t>
      </w:r>
      <w:r w:rsidRPr="006276A9">
        <w:rPr>
          <w:rStyle w:val="af9"/>
          <w:rFonts w:hint="cs"/>
          <w:rtl/>
        </w:rPr>
        <w:t>להנימוק"י</w:t>
      </w:r>
      <w:r w:rsidRPr="001D1883">
        <w:rPr>
          <w:rFonts w:hint="cs"/>
          <w:rtl/>
        </w:rPr>
        <w:t xml:space="preserve"> דעיקר החזקה הוא מתקנת חכמים, אלא דאחר התקנה </w:t>
      </w:r>
      <w:r w:rsidRPr="001D1883">
        <w:rPr>
          <w:rFonts w:hint="cs"/>
          <w:rtl/>
        </w:rPr>
        <w:t xml:space="preserve">כל שלא מיחה המערער ממילא יש ראיה שמכר ללוקח, דהא יודע המערער שאם לא ימחה, תהיה ללוקח חזקה, וראיה זו מהני אף מדאו', וא"כ לאחר התקנה הא דהמחזיק זוכה בקרקע הוא מכח הראיה שלא מחה בו המערער, ולכן כתב </w:t>
      </w:r>
      <w:r w:rsidRPr="00EF5372">
        <w:rPr>
          <w:rStyle w:val="af9"/>
          <w:rFonts w:hint="cs"/>
          <w:rtl/>
        </w:rPr>
        <w:t>הנימוק"י</w:t>
      </w:r>
      <w:r w:rsidRPr="001D1883">
        <w:rPr>
          <w:rFonts w:hint="cs"/>
          <w:rtl/>
        </w:rPr>
        <w:t xml:space="preserve"> דכל שמחה המערער כדין, לא הוי חזקה, דאעפ"י שהמחזיק לא שמע מהמחאה, מ"מ כבר אין ראיה שמכר לו את הקרקע, ובכה"ג לא תיקנו חכמים את חזקת ג"ש. </w:t>
      </w:r>
      <w:r w:rsidRPr="001D1883">
        <w:rPr>
          <w:rStyle w:val="afb"/>
          <w:rFonts w:hint="cs"/>
          <w:rtl/>
        </w:rPr>
        <w:t>[</w:t>
      </w:r>
      <w:r>
        <w:rPr>
          <w:rStyle w:val="afb"/>
          <w:rFonts w:hint="cs"/>
          <w:rtl/>
        </w:rPr>
        <w:t>ועי' ב</w:t>
      </w:r>
      <w:r w:rsidRPr="001D1883">
        <w:rPr>
          <w:rStyle w:val="afb"/>
          <w:rFonts w:hint="cs"/>
          <w:rtl/>
        </w:rPr>
        <w:t xml:space="preserve">דברי </w:t>
      </w:r>
      <w:r w:rsidRPr="001D1883">
        <w:rPr>
          <w:rStyle w:val="affa"/>
          <w:rFonts w:hint="cs"/>
          <w:rtl/>
        </w:rPr>
        <w:t xml:space="preserve">הנימוק"י </w:t>
      </w:r>
      <w:r w:rsidRPr="007D2B4E">
        <w:rPr>
          <w:rStyle w:val="aff6"/>
          <w:rFonts w:hint="cs"/>
          <w:rtl/>
        </w:rPr>
        <w:t>(הובא בסימן</w:t>
      </w:r>
      <w:r w:rsidR="00A77F33">
        <w:rPr>
          <w:rStyle w:val="aff6"/>
          <w:rFonts w:hint="cs"/>
          <w:rtl/>
        </w:rPr>
        <w:t xml:space="preserve"> </w:t>
      </w:r>
      <w:r>
        <w:rPr>
          <w:rStyle w:val="af7"/>
          <w:rFonts w:eastAsia="Guttman Hodes" w:hint="cs"/>
          <w:rtl/>
        </w:rPr>
        <w:t>הובא בסימן ו' אות ח'</w:t>
      </w:r>
      <w:r w:rsidRPr="007D2B4E">
        <w:rPr>
          <w:rStyle w:val="aff6"/>
          <w:rFonts w:hint="cs"/>
          <w:rtl/>
        </w:rPr>
        <w:t>)</w:t>
      </w:r>
      <w:r w:rsidRPr="001D1883">
        <w:rPr>
          <w:rStyle w:val="afb"/>
          <w:rFonts w:hint="cs"/>
          <w:rtl/>
        </w:rPr>
        <w:t xml:space="preserve"> בגדר חזקת ג"ש].</w:t>
      </w:r>
    </w:p>
    <w:p w:rsidR="00F163D7" w:rsidRDefault="00F163D7" w:rsidP="007E4E81">
      <w:pPr>
        <w:pStyle w:val="a0"/>
        <w:rPr>
          <w:rStyle w:val="afb"/>
          <w:rtl/>
        </w:rPr>
        <w:sectPr w:rsidR="00F163D7" w:rsidSect="005049E2">
          <w:type w:val="continuous"/>
          <w:pgSz w:w="11906" w:h="16838"/>
          <w:pgMar w:top="720" w:right="720" w:bottom="720" w:left="720" w:header="283" w:footer="283" w:gutter="0"/>
          <w:cols w:num="2" w:space="567"/>
          <w:titlePg/>
          <w:bidi/>
          <w:rtlGutter/>
          <w:docGrid w:linePitch="299"/>
        </w:sectPr>
      </w:pPr>
    </w:p>
    <w:p w:rsidR="007A505A" w:rsidRDefault="007A505A" w:rsidP="007E4E81">
      <w:pPr>
        <w:pStyle w:val="a0"/>
        <w:rPr>
          <w:rtl/>
        </w:rPr>
        <w:sectPr w:rsidR="007A505A" w:rsidSect="00F163D7">
          <w:pgSz w:w="11906" w:h="16838"/>
          <w:pgMar w:top="720" w:right="720" w:bottom="720" w:left="720" w:header="283" w:footer="283" w:gutter="0"/>
          <w:cols w:num="2" w:space="567"/>
          <w:bidi/>
          <w:rtlGutter/>
          <w:docGrid w:linePitch="299"/>
        </w:sectPr>
      </w:pPr>
    </w:p>
    <w:p w:rsidR="00F163D7" w:rsidRDefault="00F163D7" w:rsidP="00470070">
      <w:pPr>
        <w:pStyle w:val="afd"/>
        <w:spacing w:before="0"/>
        <w:rPr>
          <w:rtl/>
        </w:rPr>
      </w:pPr>
      <w:bookmarkStart w:id="3836" w:name="_Toc55419935"/>
      <w:bookmarkStart w:id="3837" w:name="_Toc55421142"/>
      <w:bookmarkStart w:id="3838" w:name="_Toc55508515"/>
      <w:bookmarkStart w:id="3839" w:name="_Toc55569158"/>
      <w:bookmarkStart w:id="3840" w:name="_Toc55718265"/>
      <w:bookmarkStart w:id="3841" w:name="_Toc55739884"/>
      <w:bookmarkStart w:id="3842" w:name="_Toc55839435"/>
      <w:bookmarkStart w:id="3843" w:name="_Toc55927834"/>
      <w:bookmarkStart w:id="3844" w:name="_Toc55946534"/>
      <w:bookmarkStart w:id="3845" w:name="_Toc55991829"/>
      <w:bookmarkStart w:id="3846" w:name="_Toc56030378"/>
      <w:bookmarkStart w:id="3847" w:name="_Toc56032571"/>
      <w:bookmarkStart w:id="3848" w:name="_Toc66209199"/>
      <w:r w:rsidRPr="00C03D92">
        <w:rPr>
          <w:rFonts w:hint="cs"/>
          <w:rtl/>
        </w:rPr>
        <w:t>סימן</w:t>
      </w:r>
      <w:bookmarkEnd w:id="3836"/>
      <w:r w:rsidRPr="00C03D92">
        <w:rPr>
          <w:rFonts w:hint="cs"/>
          <w:rtl/>
        </w:rPr>
        <w:t xml:space="preserve"> </w:t>
      </w:r>
      <w:r>
        <w:rPr>
          <w:rFonts w:hint="cs"/>
          <w:rtl/>
        </w:rPr>
        <w:t>ה'</w:t>
      </w:r>
      <w:bookmarkEnd w:id="3837"/>
      <w:bookmarkEnd w:id="3838"/>
      <w:bookmarkEnd w:id="3839"/>
      <w:bookmarkEnd w:id="3840"/>
      <w:bookmarkEnd w:id="3841"/>
      <w:bookmarkEnd w:id="3842"/>
      <w:bookmarkEnd w:id="3843"/>
      <w:bookmarkEnd w:id="3844"/>
      <w:bookmarkEnd w:id="3845"/>
      <w:bookmarkEnd w:id="3846"/>
      <w:bookmarkEnd w:id="3847"/>
      <w:bookmarkEnd w:id="3848"/>
    </w:p>
    <w:p w:rsidR="00F163D7" w:rsidRDefault="00F163D7" w:rsidP="00470070">
      <w:pPr>
        <w:pStyle w:val="afd"/>
        <w:spacing w:before="0"/>
        <w:rPr>
          <w:rFonts w:ascii="FrankRuehl" w:hAnsi="FrankRuehl"/>
          <w:b/>
          <w:noProof/>
          <w:rtl/>
        </w:rPr>
      </w:pPr>
      <w:bookmarkStart w:id="3849" w:name="_Toc55421143"/>
      <w:bookmarkStart w:id="3850" w:name="_Toc55508516"/>
      <w:bookmarkStart w:id="3851" w:name="_Toc55569159"/>
      <w:bookmarkStart w:id="3852" w:name="_Toc55718266"/>
      <w:bookmarkStart w:id="3853" w:name="_Toc55739885"/>
      <w:bookmarkStart w:id="3854" w:name="_Toc55839436"/>
      <w:bookmarkStart w:id="3855" w:name="_Toc55927835"/>
      <w:bookmarkStart w:id="3856" w:name="_Toc55946535"/>
      <w:bookmarkStart w:id="3857" w:name="_Toc55991830"/>
      <w:bookmarkStart w:id="3858" w:name="_Toc56030379"/>
      <w:bookmarkStart w:id="3859" w:name="_Toc56032572"/>
      <w:bookmarkStart w:id="3860" w:name="_Toc66209200"/>
      <w:r w:rsidRPr="007A12B2">
        <w:rPr>
          <w:rFonts w:ascii="FrankRuehl" w:hAnsi="FrankRuehl"/>
          <w:b/>
          <w:noProof/>
          <w:rtl/>
        </w:rPr>
        <w:t>ב</w:t>
      </w:r>
      <w:r>
        <w:rPr>
          <w:rFonts w:ascii="FrankRuehl" w:hAnsi="FrankRuehl" w:hint="cs"/>
          <w:b/>
          <w:noProof/>
          <w:rtl/>
        </w:rPr>
        <w:t>טעם</w:t>
      </w:r>
      <w:r w:rsidRPr="007A12B2">
        <w:rPr>
          <w:rFonts w:ascii="FrankRuehl" w:hAnsi="FrankRuehl"/>
          <w:b/>
          <w:noProof/>
          <w:rtl/>
        </w:rPr>
        <w:t xml:space="preserve"> חזקת ג"ש</w:t>
      </w:r>
      <w:bookmarkEnd w:id="3849"/>
      <w:bookmarkEnd w:id="3850"/>
      <w:bookmarkEnd w:id="3851"/>
      <w:bookmarkEnd w:id="3852"/>
      <w:r>
        <w:rPr>
          <w:rFonts w:ascii="FrankRuehl" w:hAnsi="FrankRuehl" w:hint="cs"/>
          <w:b/>
          <w:noProof/>
          <w:rtl/>
        </w:rPr>
        <w:t xml:space="preserve"> לרבנן (א')</w:t>
      </w:r>
      <w:bookmarkEnd w:id="3853"/>
      <w:bookmarkEnd w:id="3854"/>
      <w:bookmarkEnd w:id="3855"/>
      <w:bookmarkEnd w:id="3856"/>
      <w:bookmarkEnd w:id="3857"/>
      <w:bookmarkEnd w:id="3858"/>
      <w:bookmarkEnd w:id="3859"/>
      <w:bookmarkEnd w:id="3860"/>
    </w:p>
    <w:p w:rsidR="00F163D7" w:rsidRPr="00A01CE7" w:rsidRDefault="00F163D7" w:rsidP="00470070">
      <w:pPr>
        <w:pStyle w:val="afd"/>
        <w:spacing w:before="0"/>
        <w:rPr>
          <w:rtl/>
        </w:rPr>
      </w:pPr>
      <w:bookmarkStart w:id="3861" w:name="_Toc55739886"/>
      <w:bookmarkStart w:id="3862" w:name="_Toc55839437"/>
      <w:bookmarkStart w:id="3863" w:name="_Toc55927836"/>
      <w:bookmarkStart w:id="3864" w:name="_Toc55946536"/>
      <w:bookmarkStart w:id="3865" w:name="_Toc55991831"/>
      <w:bookmarkStart w:id="3866" w:name="_Toc56030380"/>
      <w:bookmarkStart w:id="3867" w:name="_Toc56032573"/>
      <w:bookmarkStart w:id="3868" w:name="_Toc66209201"/>
      <w:r w:rsidRPr="004B06A4">
        <w:rPr>
          <w:rtl/>
        </w:rPr>
        <w:t>בביאור דעות</w:t>
      </w:r>
      <w:r w:rsidRPr="004B06A4">
        <w:rPr>
          <w:rFonts w:hint="cs"/>
          <w:rtl/>
        </w:rPr>
        <w:t xml:space="preserve"> </w:t>
      </w:r>
      <w:r>
        <w:rPr>
          <w:rFonts w:hint="cs"/>
          <w:rtl/>
        </w:rPr>
        <w:t>הסוברים דכיון דלא מחה המרא קמא לכן מהני חזקת ג"ש</w:t>
      </w:r>
      <w:bookmarkEnd w:id="3861"/>
      <w:bookmarkEnd w:id="3862"/>
      <w:bookmarkEnd w:id="3863"/>
      <w:bookmarkEnd w:id="3864"/>
      <w:bookmarkEnd w:id="3865"/>
      <w:bookmarkEnd w:id="3866"/>
      <w:bookmarkEnd w:id="3867"/>
      <w:bookmarkEnd w:id="3868"/>
    </w:p>
    <w:p w:rsidR="00F163D7" w:rsidRDefault="000B328B" w:rsidP="00F163D7">
      <w:pPr>
        <w:pStyle w:val="2"/>
        <w:rPr>
          <w:rtl/>
        </w:rPr>
      </w:pPr>
      <w:r>
        <w:rPr>
          <w:rFonts w:hint="cs"/>
          <w:rtl/>
        </w:rPr>
        <w:t xml:space="preserve">~~~~~~~ תוכן הענינים ~~~~~~~ </w:t>
      </w:r>
    </w:p>
    <w:p w:rsidR="00F163D7" w:rsidRDefault="00F163D7" w:rsidP="0007171D">
      <w:pPr>
        <w:pStyle w:val="aff4"/>
        <w:rPr>
          <w:rtl/>
        </w:rPr>
        <w:sectPr w:rsidR="00F163D7" w:rsidSect="00C345F0">
          <w:headerReference w:type="default" r:id="rId47"/>
          <w:headerReference w:type="first" r:id="rId48"/>
          <w:footerReference w:type="first" r:id="rId49"/>
          <w:type w:val="continuous"/>
          <w:pgSz w:w="11906" w:h="16838"/>
          <w:pgMar w:top="720" w:right="720" w:bottom="720" w:left="720" w:header="283" w:footer="283" w:gutter="0"/>
          <w:cols w:space="113"/>
          <w:titlePg/>
          <w:bidi/>
          <w:rtlGutter/>
          <w:docGrid w:linePitch="299"/>
        </w:sectPr>
      </w:pPr>
    </w:p>
    <w:p w:rsidR="00F163D7" w:rsidRDefault="00F163D7" w:rsidP="00F163D7">
      <w:pPr>
        <w:pStyle w:val="2"/>
        <w:rPr>
          <w:rFonts w:eastAsiaTheme="minorEastAsia" w:cstheme="minorBidi"/>
          <w:i/>
          <w:iCs/>
          <w:sz w:val="22"/>
          <w:rtl/>
        </w:rPr>
      </w:pPr>
      <w:r>
        <w:rPr>
          <w:rFonts w:asciiTheme="minorHAnsi" w:eastAsiaTheme="minorHAnsi" w:hAnsiTheme="minorHAnsi" w:cstheme="minorHAnsi"/>
          <w:i/>
          <w:iCs/>
          <w:noProof w:val="0"/>
          <w:sz w:val="20"/>
          <w:szCs w:val="20"/>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Theme="minorHAnsi" w:eastAsiaTheme="minorHAnsi" w:hAnsiTheme="minorHAnsi" w:cstheme="minorHAnsi"/>
          <w:i/>
          <w:iCs/>
          <w:noProof w:val="0"/>
          <w:sz w:val="20"/>
          <w:szCs w:val="20"/>
          <w:rtl/>
        </w:rPr>
        <w:fldChar w:fldCharType="separate"/>
      </w:r>
      <w:r w:rsidR="006C4F47">
        <w:rPr>
          <w:rtl/>
        </w:rPr>
        <w:t>~~~~~~~ מראי מקומות וביאורים ~~~~~~~</w:t>
      </w:r>
    </w:p>
    <w:p w:rsidR="00F163D7" w:rsidRDefault="00F163D7" w:rsidP="00F163D7">
      <w:pPr>
        <w:pStyle w:val="2"/>
        <w:rPr>
          <w:rFonts w:eastAsiaTheme="minorEastAsia" w:cstheme="minorBidi"/>
          <w:i/>
          <w:iCs/>
          <w:sz w:val="22"/>
          <w:rtl/>
        </w:rPr>
      </w:pPr>
      <w:r>
        <w:rPr>
          <w:rtl/>
        </w:rPr>
        <w:t>הקו' דאף שא"צ שטר איך יוצא מהמר"ק</w:t>
      </w:r>
    </w:p>
    <w:p w:rsidR="00F163D7" w:rsidRDefault="00F163D7" w:rsidP="0007171D">
      <w:pPr>
        <w:pStyle w:val="aff4"/>
        <w:rPr>
          <w:rFonts w:eastAsiaTheme="minorEastAsia" w:cstheme="minorBidi"/>
          <w:i/>
          <w:iCs/>
          <w:noProof/>
          <w:sz w:val="22"/>
          <w:szCs w:val="22"/>
          <w:rtl/>
        </w:rPr>
      </w:pPr>
      <w:r>
        <w:rPr>
          <w:noProof/>
          <w:rtl/>
        </w:rPr>
        <w:t>קושית הריטב"א והקצוה"ח היאך יוצאת הקרקע מחזקת המר"ק</w:t>
      </w:r>
    </w:p>
    <w:p w:rsidR="00F163D7" w:rsidRPr="007E4E81" w:rsidRDefault="00F163D7" w:rsidP="00BA3263">
      <w:pPr>
        <w:pStyle w:val="a"/>
        <w:numPr>
          <w:ilvl w:val="0"/>
          <w:numId w:val="11"/>
        </w:numPr>
        <w:rPr>
          <w:rFonts w:eastAsiaTheme="minorEastAsia" w:cstheme="minorBidi"/>
          <w:sz w:val="22"/>
          <w:szCs w:val="22"/>
          <w:rtl/>
        </w:rPr>
      </w:pPr>
      <w:r>
        <w:rPr>
          <w:rtl/>
        </w:rPr>
        <w:t>דברי הריטב"א דלמסקנא טעם החזקה הוא כיון דלא נזהר בשטרו ולא מסברות דמחיל ולא קפיד</w:t>
      </w:r>
    </w:p>
    <w:p w:rsidR="00F163D7" w:rsidRDefault="00F163D7" w:rsidP="007E4E81">
      <w:pPr>
        <w:pStyle w:val="a"/>
        <w:rPr>
          <w:rFonts w:eastAsiaTheme="minorEastAsia" w:cstheme="minorBidi"/>
          <w:sz w:val="22"/>
          <w:szCs w:val="22"/>
          <w:rtl/>
        </w:rPr>
      </w:pPr>
      <w:r>
        <w:rPr>
          <w:rtl/>
        </w:rPr>
        <w:t>קושית הריטב"א דאי טעם החזקה הוא רק מחמת דאינו נזהר בשטר אמאי יפסיד המר"ק בזה</w:t>
      </w:r>
    </w:p>
    <w:p w:rsidR="00F163D7" w:rsidRDefault="00F163D7" w:rsidP="007E4E81">
      <w:pPr>
        <w:pStyle w:val="a"/>
        <w:rPr>
          <w:rFonts w:eastAsiaTheme="minorEastAsia" w:cstheme="minorBidi"/>
          <w:sz w:val="22"/>
          <w:szCs w:val="22"/>
          <w:rtl/>
        </w:rPr>
      </w:pPr>
      <w:r>
        <w:rPr>
          <w:rtl/>
        </w:rPr>
        <w:t xml:space="preserve">קושית הקצוה"ח והשע"מ דאף דלאחר ג"ש אין אחוי שטרך מ"מ </w:t>
      </w:r>
      <w:r>
        <w:rPr>
          <w:rFonts w:hint="cs"/>
          <w:rtl/>
        </w:rPr>
        <w:t xml:space="preserve">איך </w:t>
      </w:r>
      <w:r>
        <w:rPr>
          <w:rtl/>
        </w:rPr>
        <w:t>יצאה מהמר"ק בלא ראיה</w:t>
      </w:r>
    </w:p>
    <w:p w:rsidR="00F163D7" w:rsidRDefault="00F163D7" w:rsidP="00F163D7">
      <w:pPr>
        <w:pStyle w:val="2"/>
        <w:rPr>
          <w:rFonts w:eastAsiaTheme="minorEastAsia" w:cstheme="minorBidi"/>
          <w:i/>
          <w:iCs/>
          <w:sz w:val="22"/>
          <w:rtl/>
        </w:rPr>
      </w:pPr>
      <w:r>
        <w:rPr>
          <w:rtl/>
        </w:rPr>
        <w:t>דעת הריטב"א דבאכילה אחת יש ראיה</w:t>
      </w:r>
    </w:p>
    <w:p w:rsidR="00F163D7" w:rsidRDefault="00F163D7" w:rsidP="0007171D">
      <w:pPr>
        <w:pStyle w:val="aff4"/>
        <w:rPr>
          <w:rFonts w:eastAsiaTheme="minorEastAsia" w:cstheme="minorBidi"/>
          <w:i/>
          <w:iCs/>
          <w:noProof/>
          <w:sz w:val="22"/>
          <w:szCs w:val="22"/>
          <w:rtl/>
        </w:rPr>
      </w:pPr>
      <w:r>
        <w:rPr>
          <w:noProof/>
          <w:rtl/>
        </w:rPr>
        <w:t>דברי הריטב"א דמדינא הראיה היא באכילה אחת שלא מחה</w:t>
      </w:r>
    </w:p>
    <w:p w:rsidR="00F163D7" w:rsidRDefault="00F163D7" w:rsidP="007E4E81">
      <w:pPr>
        <w:pStyle w:val="a"/>
        <w:rPr>
          <w:rFonts w:eastAsiaTheme="minorEastAsia" w:cstheme="minorBidi"/>
          <w:sz w:val="22"/>
          <w:szCs w:val="22"/>
          <w:rtl/>
        </w:rPr>
      </w:pPr>
      <w:r>
        <w:rPr>
          <w:rtl/>
        </w:rPr>
        <w:t>תירוץ הריטב"א דמדינא כל שידעו הבעלים מהחזקה ולא מחו יש ראיה אף מאכילה אחת</w:t>
      </w:r>
    </w:p>
    <w:p w:rsidR="00F163D7" w:rsidRDefault="00F163D7" w:rsidP="007E4E81">
      <w:pPr>
        <w:pStyle w:val="a"/>
        <w:rPr>
          <w:rFonts w:eastAsiaTheme="minorEastAsia" w:cstheme="minorBidi"/>
          <w:sz w:val="22"/>
          <w:szCs w:val="22"/>
          <w:rtl/>
        </w:rPr>
      </w:pPr>
      <w:r>
        <w:rPr>
          <w:rtl/>
        </w:rPr>
        <w:t>ביאור הריטב"א דחזקה בקרקע כתפיסה במטלטלין אלא דיש בקרקע טענת אחוי שטרך עד ג"ש</w:t>
      </w:r>
    </w:p>
    <w:p w:rsidR="00F163D7" w:rsidRDefault="00F163D7" w:rsidP="007E4E81">
      <w:pPr>
        <w:pStyle w:val="a"/>
        <w:rPr>
          <w:rFonts w:eastAsiaTheme="minorEastAsia" w:cstheme="minorBidi"/>
          <w:sz w:val="22"/>
          <w:szCs w:val="22"/>
          <w:rtl/>
        </w:rPr>
      </w:pPr>
      <w:r>
        <w:rPr>
          <w:rtl/>
        </w:rPr>
        <w:t>דברי הריטב"א לקמן דרק כיון דעד ג"ש נזהר בשטרו מהני החזקה ואל"ה מדינא אין החזקה כלום</w:t>
      </w:r>
    </w:p>
    <w:p w:rsidR="00F163D7" w:rsidRDefault="00F163D7" w:rsidP="00F163D7">
      <w:pPr>
        <w:pStyle w:val="2"/>
        <w:rPr>
          <w:rFonts w:eastAsiaTheme="minorEastAsia" w:cstheme="minorBidi"/>
          <w:i/>
          <w:iCs/>
          <w:sz w:val="22"/>
          <w:rtl/>
        </w:rPr>
      </w:pPr>
      <w:r>
        <w:rPr>
          <w:rtl/>
        </w:rPr>
        <w:t>דברי הרמב"ן בטעם החזקה ואחוי שטרך</w:t>
      </w:r>
    </w:p>
    <w:p w:rsidR="00F163D7" w:rsidRDefault="00F163D7" w:rsidP="0007171D">
      <w:pPr>
        <w:pStyle w:val="aff4"/>
        <w:rPr>
          <w:rFonts w:eastAsiaTheme="minorEastAsia" w:cstheme="minorBidi"/>
          <w:i/>
          <w:iCs/>
          <w:noProof/>
          <w:sz w:val="22"/>
          <w:szCs w:val="22"/>
          <w:rtl/>
        </w:rPr>
      </w:pPr>
      <w:r>
        <w:rPr>
          <w:noProof/>
          <w:rtl/>
        </w:rPr>
        <w:t>דברי הרמב"ן דמדשתק רגל"ד דמכר ומהני כשאין אחוי שטרך</w:t>
      </w:r>
    </w:p>
    <w:p w:rsidR="00F163D7" w:rsidRDefault="00F163D7" w:rsidP="007E4E81">
      <w:pPr>
        <w:pStyle w:val="a"/>
        <w:rPr>
          <w:rFonts w:eastAsiaTheme="minorEastAsia" w:cstheme="minorBidi"/>
          <w:sz w:val="22"/>
          <w:szCs w:val="22"/>
          <w:rtl/>
        </w:rPr>
      </w:pPr>
      <w:r>
        <w:rPr>
          <w:rtl/>
        </w:rPr>
        <w:t>דברי הרמב"ן דכיון ששתק יש רגל"ד דמכר לו אלא דבתוך ג"ש יש ריעותא דאחוי שטרך</w:t>
      </w:r>
    </w:p>
    <w:p w:rsidR="00F163D7" w:rsidRDefault="00F163D7" w:rsidP="0007171D">
      <w:pPr>
        <w:pStyle w:val="aff4"/>
        <w:rPr>
          <w:rFonts w:eastAsiaTheme="minorEastAsia" w:cstheme="minorBidi"/>
          <w:i/>
          <w:iCs/>
          <w:noProof/>
          <w:sz w:val="22"/>
          <w:szCs w:val="22"/>
          <w:rtl/>
        </w:rPr>
      </w:pPr>
      <w:r>
        <w:rPr>
          <w:noProof/>
          <w:rtl/>
        </w:rPr>
        <w:t>דברי הרמב"ן דכשנודע בחזקה שהוא שלו אינו נזהר בשטרו</w:t>
      </w:r>
    </w:p>
    <w:p w:rsidR="00F163D7" w:rsidRDefault="00F163D7" w:rsidP="007E4E81">
      <w:pPr>
        <w:pStyle w:val="a"/>
        <w:rPr>
          <w:rFonts w:eastAsiaTheme="minorEastAsia" w:cstheme="minorBidi"/>
          <w:sz w:val="22"/>
          <w:szCs w:val="22"/>
          <w:rtl/>
        </w:rPr>
      </w:pPr>
      <w:r>
        <w:rPr>
          <w:rtl/>
        </w:rPr>
        <w:t>דברי הרמב"ן לרשב"ם דאי ל</w:t>
      </w:r>
      <w:r>
        <w:rPr>
          <w:rFonts w:hint="cs"/>
          <w:rtl/>
        </w:rPr>
        <w:t>רב</w:t>
      </w:r>
      <w:r>
        <w:rPr>
          <w:rtl/>
        </w:rPr>
        <w:t xml:space="preserve"> צריך ג"ש שלימות א"כ אמאי ל"מ חזקה במפוזרות וכדומה</w:t>
      </w:r>
    </w:p>
    <w:p w:rsidR="00F163D7" w:rsidRDefault="00F163D7" w:rsidP="007E4E81">
      <w:pPr>
        <w:pStyle w:val="a"/>
        <w:rPr>
          <w:rFonts w:eastAsiaTheme="minorEastAsia" w:cstheme="minorBidi"/>
          <w:sz w:val="22"/>
          <w:szCs w:val="22"/>
          <w:rtl/>
        </w:rPr>
      </w:pPr>
      <w:r>
        <w:rPr>
          <w:rtl/>
        </w:rPr>
        <w:t>ביאור הרמב"ן דטעמא דחזקה דכל שמשתמש כדרך הבעלים ואין ערער אינו נזהר בשטרו</w:t>
      </w:r>
    </w:p>
    <w:p w:rsidR="00F163D7" w:rsidRDefault="00F163D7" w:rsidP="007E4E81">
      <w:pPr>
        <w:pStyle w:val="a"/>
        <w:rPr>
          <w:rFonts w:eastAsiaTheme="minorEastAsia" w:cstheme="minorBidi"/>
          <w:sz w:val="22"/>
          <w:szCs w:val="22"/>
          <w:rtl/>
        </w:rPr>
      </w:pPr>
      <w:r>
        <w:rPr>
          <w:rtl/>
        </w:rPr>
        <w:t>דברי הרמב"ן דטעם החזקה דכשהמחזיק יודע שנודע לכל שהקרקע שלו אינו נזהר בשטרו</w:t>
      </w:r>
    </w:p>
    <w:p w:rsidR="00F163D7" w:rsidRDefault="00F163D7" w:rsidP="0007171D">
      <w:pPr>
        <w:pStyle w:val="aff4"/>
        <w:rPr>
          <w:rFonts w:eastAsiaTheme="minorEastAsia" w:cstheme="minorBidi"/>
          <w:i/>
          <w:iCs/>
          <w:noProof/>
          <w:sz w:val="22"/>
          <w:szCs w:val="22"/>
          <w:rtl/>
        </w:rPr>
      </w:pPr>
      <w:r>
        <w:rPr>
          <w:noProof/>
          <w:rtl/>
        </w:rPr>
        <w:t>דברי הרמב"ן דעיקר העדות על החזקה היא היא על שנה אחת</w:t>
      </w:r>
    </w:p>
    <w:p w:rsidR="00F163D7" w:rsidRDefault="00F163D7" w:rsidP="007E4E81">
      <w:pPr>
        <w:pStyle w:val="a"/>
        <w:rPr>
          <w:rFonts w:eastAsiaTheme="minorEastAsia" w:cstheme="minorBidi"/>
          <w:sz w:val="22"/>
          <w:szCs w:val="22"/>
          <w:rtl/>
        </w:rPr>
      </w:pPr>
      <w:r>
        <w:rPr>
          <w:rtl/>
        </w:rPr>
        <w:t>דברי הרמב"ן דג' כיתי עדים על ג"ש חשיב עדות אחת דעיקר העדות היא על שנה אחת</w:t>
      </w:r>
    </w:p>
    <w:p w:rsidR="00F163D7" w:rsidRDefault="00F163D7" w:rsidP="0007171D">
      <w:pPr>
        <w:pStyle w:val="aff4"/>
        <w:rPr>
          <w:rFonts w:eastAsiaTheme="minorEastAsia" w:cstheme="minorBidi"/>
          <w:i/>
          <w:iCs/>
          <w:noProof/>
          <w:sz w:val="22"/>
          <w:szCs w:val="22"/>
          <w:rtl/>
        </w:rPr>
      </w:pPr>
      <w:r>
        <w:rPr>
          <w:noProof/>
          <w:rtl/>
        </w:rPr>
        <w:t>דברי הרמב"ן דבחזקת נזיקין הוי חזקה לאלתר כיון שאין שטר</w:t>
      </w:r>
    </w:p>
    <w:p w:rsidR="00F163D7" w:rsidRDefault="00F163D7" w:rsidP="007E4E81">
      <w:pPr>
        <w:pStyle w:val="a"/>
        <w:rPr>
          <w:rFonts w:eastAsiaTheme="minorEastAsia" w:cstheme="minorBidi"/>
          <w:sz w:val="22"/>
          <w:szCs w:val="22"/>
          <w:rtl/>
        </w:rPr>
      </w:pPr>
      <w:r>
        <w:rPr>
          <w:rtl/>
        </w:rPr>
        <w:t>דברי הרמב"ן דחזקת נזיקין מהני לאלתר כדין חזקת קרקעות ובכל קרקע צריך ג"ש מחמת השטר</w:t>
      </w:r>
    </w:p>
    <w:p w:rsidR="00F163D7" w:rsidRDefault="00F163D7" w:rsidP="0007171D">
      <w:pPr>
        <w:pStyle w:val="aff4"/>
        <w:rPr>
          <w:rFonts w:eastAsiaTheme="minorEastAsia" w:cstheme="minorBidi"/>
          <w:i/>
          <w:iCs/>
          <w:noProof/>
          <w:sz w:val="22"/>
          <w:szCs w:val="22"/>
          <w:rtl/>
        </w:rPr>
      </w:pPr>
      <w:r>
        <w:rPr>
          <w:noProof/>
          <w:rtl/>
        </w:rPr>
        <w:t>משמעות הרמב"ן בדין צנא דפירי דחזקת ג"ש היא תקנ"ח</w:t>
      </w:r>
    </w:p>
    <w:p w:rsidR="00F163D7" w:rsidRDefault="00F163D7" w:rsidP="007E4E81">
      <w:pPr>
        <w:pStyle w:val="a"/>
        <w:rPr>
          <w:rFonts w:eastAsiaTheme="minorEastAsia" w:cstheme="minorBidi"/>
          <w:sz w:val="22"/>
          <w:szCs w:val="22"/>
          <w:rtl/>
        </w:rPr>
      </w:pPr>
      <w:r>
        <w:rPr>
          <w:rtl/>
        </w:rPr>
        <w:t>דברי הי"מ ברמב"ן דהו"א בגמ' לקמן דבטוען לפירות הורדתיו לא תיקנו חכמים חזקת ג"ש</w:t>
      </w:r>
    </w:p>
    <w:p w:rsidR="00F163D7" w:rsidRDefault="00F163D7" w:rsidP="007E4E81">
      <w:pPr>
        <w:pStyle w:val="a"/>
        <w:rPr>
          <w:rFonts w:eastAsiaTheme="minorEastAsia" w:cstheme="minorBidi"/>
          <w:sz w:val="22"/>
          <w:szCs w:val="22"/>
          <w:rtl/>
        </w:rPr>
      </w:pPr>
      <w:r>
        <w:rPr>
          <w:rtl/>
        </w:rPr>
        <w:t>ביאור הרמב"ן דאין הו"א דאין חזקה והגמ' מקשה דאי נאמן מה הועילו חכמים כשתיקנו חזקה</w:t>
      </w:r>
    </w:p>
    <w:p w:rsidR="00F163D7" w:rsidRDefault="00F163D7" w:rsidP="00F163D7">
      <w:pPr>
        <w:pStyle w:val="2"/>
        <w:rPr>
          <w:rFonts w:eastAsiaTheme="minorEastAsia" w:cstheme="minorBidi"/>
          <w:i/>
          <w:iCs/>
          <w:sz w:val="22"/>
          <w:rtl/>
        </w:rPr>
      </w:pPr>
      <w:r>
        <w:rPr>
          <w:rtl/>
        </w:rPr>
        <w:t>דברי הר"ן בגדר חזקת ג"ש לרבנן</w:t>
      </w:r>
    </w:p>
    <w:p w:rsidR="00F163D7" w:rsidRDefault="00F163D7" w:rsidP="0007171D">
      <w:pPr>
        <w:pStyle w:val="aff4"/>
        <w:rPr>
          <w:rFonts w:eastAsiaTheme="minorEastAsia" w:cstheme="minorBidi"/>
          <w:i/>
          <w:iCs/>
          <w:noProof/>
          <w:sz w:val="22"/>
          <w:szCs w:val="22"/>
          <w:rtl/>
        </w:rPr>
      </w:pPr>
      <w:r>
        <w:rPr>
          <w:noProof/>
          <w:rtl/>
        </w:rPr>
        <w:t>דברי הר"ן דמוחזק ע"י החזקה וצריך ג"ש מטענת אחוי שטרך</w:t>
      </w:r>
    </w:p>
    <w:p w:rsidR="00F163D7" w:rsidRDefault="00F163D7" w:rsidP="007E4E81">
      <w:pPr>
        <w:pStyle w:val="a"/>
        <w:rPr>
          <w:rFonts w:eastAsiaTheme="minorEastAsia" w:cstheme="minorBidi"/>
          <w:sz w:val="22"/>
          <w:szCs w:val="22"/>
          <w:rtl/>
        </w:rPr>
      </w:pPr>
      <w:r>
        <w:rPr>
          <w:rtl/>
        </w:rPr>
        <w:t>דברי הר"ן לקמן דעדות חזקה היא עדות על מחוזקות וצריך ג"ש רק מחמת ריעותא דאחוי שטרך</w:t>
      </w:r>
    </w:p>
    <w:p w:rsidR="00F163D7" w:rsidRDefault="00F163D7" w:rsidP="007E4E81">
      <w:pPr>
        <w:pStyle w:val="a"/>
        <w:rPr>
          <w:rFonts w:eastAsiaTheme="minorEastAsia" w:cstheme="minorBidi"/>
          <w:sz w:val="22"/>
          <w:szCs w:val="22"/>
          <w:rtl/>
        </w:rPr>
      </w:pPr>
      <w:r>
        <w:rPr>
          <w:rtl/>
        </w:rPr>
        <w:t>ביאור הר"ן בתשו' דחזקה ל"מ מחמת ששמע המחזיק אלא דאם לא מחה ודאי שמכרה לו</w:t>
      </w:r>
    </w:p>
    <w:p w:rsidR="00F163D7" w:rsidRDefault="00F163D7" w:rsidP="0007171D">
      <w:pPr>
        <w:pStyle w:val="aff4"/>
        <w:rPr>
          <w:rFonts w:eastAsiaTheme="minorEastAsia" w:cstheme="minorBidi"/>
          <w:i/>
          <w:iCs/>
          <w:noProof/>
          <w:sz w:val="22"/>
          <w:szCs w:val="22"/>
          <w:rtl/>
        </w:rPr>
      </w:pPr>
      <w:r>
        <w:rPr>
          <w:noProof/>
          <w:rtl/>
        </w:rPr>
        <w:t>הביאור הב' בר"ן בפי' לרי"ף דהו"ל למחויי שלא תשמע טענתו</w:t>
      </w:r>
    </w:p>
    <w:p w:rsidR="00F163D7" w:rsidRDefault="00F163D7" w:rsidP="007E4E81">
      <w:pPr>
        <w:pStyle w:val="a"/>
        <w:rPr>
          <w:rFonts w:eastAsiaTheme="minorEastAsia" w:cstheme="minorBidi"/>
          <w:sz w:val="22"/>
          <w:szCs w:val="22"/>
          <w:rtl/>
        </w:rPr>
      </w:pPr>
      <w:r>
        <w:rPr>
          <w:rtl/>
        </w:rPr>
        <w:t>הבי' הב' בר"ן על הרי"ף דמדינא ל"מ שא"צ שטר אך הו"ל למחות שלא תתקבל טענת המחזיק</w:t>
      </w:r>
    </w:p>
    <w:p w:rsidR="00F163D7" w:rsidRDefault="00F163D7" w:rsidP="00F163D7">
      <w:pPr>
        <w:pStyle w:val="2"/>
        <w:rPr>
          <w:rFonts w:eastAsiaTheme="minorEastAsia" w:cstheme="minorBidi"/>
          <w:i/>
          <w:iCs/>
          <w:sz w:val="22"/>
          <w:rtl/>
        </w:rPr>
      </w:pPr>
      <w:r>
        <w:rPr>
          <w:rtl/>
        </w:rPr>
        <w:t>דברי הראשונים בדין חזקת קטן</w:t>
      </w:r>
    </w:p>
    <w:p w:rsidR="00F163D7" w:rsidRDefault="00F163D7" w:rsidP="0007171D">
      <w:pPr>
        <w:pStyle w:val="aff4"/>
        <w:rPr>
          <w:rFonts w:eastAsiaTheme="minorEastAsia" w:cstheme="minorBidi"/>
          <w:i/>
          <w:iCs/>
          <w:noProof/>
          <w:sz w:val="22"/>
          <w:szCs w:val="22"/>
          <w:rtl/>
        </w:rPr>
      </w:pPr>
      <w:r>
        <w:rPr>
          <w:rFonts w:hint="cs"/>
          <w:rtl/>
        </w:rPr>
        <w:t xml:space="preserve">ד' הי"מ ברמב"ן [עיטור] </w:t>
      </w:r>
      <w:r>
        <w:rPr>
          <w:noProof/>
          <w:rtl/>
        </w:rPr>
        <w:t>דקטן אינו נזהר בשטר וא"א למחות בו</w:t>
      </w:r>
    </w:p>
    <w:p w:rsidR="00F163D7" w:rsidRDefault="00F163D7" w:rsidP="007E4E81">
      <w:pPr>
        <w:pStyle w:val="a"/>
        <w:rPr>
          <w:rFonts w:eastAsiaTheme="minorEastAsia" w:cstheme="minorBidi"/>
          <w:sz w:val="22"/>
          <w:szCs w:val="22"/>
          <w:rtl/>
        </w:rPr>
      </w:pPr>
      <w:r>
        <w:rPr>
          <w:rtl/>
        </w:rPr>
        <w:t>דע הי"מ ברמב"ן דאין חזקה לקטן דכיון דאינו יודע להזהר בשטר אין המערער מוחה בו</w:t>
      </w:r>
    </w:p>
    <w:p w:rsidR="00F163D7" w:rsidRDefault="00F163D7" w:rsidP="007E4E81">
      <w:pPr>
        <w:pStyle w:val="a"/>
        <w:rPr>
          <w:rFonts w:eastAsiaTheme="minorEastAsia" w:cstheme="minorBidi"/>
          <w:sz w:val="22"/>
          <w:szCs w:val="22"/>
          <w:rtl/>
        </w:rPr>
      </w:pPr>
      <w:r>
        <w:rPr>
          <w:rtl/>
        </w:rPr>
        <w:t>ביאור הרשב"א בי"מ דהחזקה מכח המחאה וביאור הר"ן בי"מ דחשיב שהמערער במקום חירום</w:t>
      </w:r>
    </w:p>
    <w:p w:rsidR="00F163D7" w:rsidRDefault="00F163D7" w:rsidP="0007171D">
      <w:pPr>
        <w:pStyle w:val="aff4"/>
        <w:rPr>
          <w:rFonts w:eastAsiaTheme="minorEastAsia" w:cstheme="minorBidi"/>
          <w:i/>
          <w:iCs/>
          <w:noProof/>
          <w:sz w:val="22"/>
          <w:szCs w:val="22"/>
          <w:rtl/>
        </w:rPr>
      </w:pPr>
      <w:r>
        <w:rPr>
          <w:noProof/>
          <w:rtl/>
        </w:rPr>
        <w:t>דברי הרמב"ן דטעם חזקה הוא מדלא מחה ולא רק מחמת השטר</w:t>
      </w:r>
    </w:p>
    <w:p w:rsidR="00F163D7" w:rsidRDefault="00F163D7" w:rsidP="007E4E81">
      <w:pPr>
        <w:pStyle w:val="a"/>
        <w:rPr>
          <w:rFonts w:eastAsiaTheme="minorEastAsia" w:cstheme="minorBidi"/>
          <w:sz w:val="22"/>
          <w:szCs w:val="22"/>
          <w:rtl/>
        </w:rPr>
      </w:pPr>
      <w:r>
        <w:rPr>
          <w:rtl/>
        </w:rPr>
        <w:t>דחיית הרמב"ן דבכל חזקה מיד כשלא מחה יש רגל"ד וצריך ג"ש מחמת השטר ובקטן אין שטר</w:t>
      </w:r>
    </w:p>
    <w:p w:rsidR="00F163D7" w:rsidRDefault="00F163D7" w:rsidP="007E4E81">
      <w:pPr>
        <w:pStyle w:val="a"/>
        <w:rPr>
          <w:rFonts w:eastAsiaTheme="minorEastAsia" w:cstheme="minorBidi"/>
          <w:sz w:val="22"/>
          <w:szCs w:val="22"/>
          <w:rtl/>
        </w:rPr>
      </w:pPr>
      <w:r>
        <w:rPr>
          <w:rtl/>
        </w:rPr>
        <w:t>דברי הרמב"ן דהחזקה מהני לקטן מיד דאינו נזהר בשטר וצריך ג"ש דלא מצינו שהקטן מרויח</w:t>
      </w:r>
    </w:p>
    <w:p w:rsidR="00F163D7" w:rsidRDefault="00F163D7" w:rsidP="007E4E81">
      <w:pPr>
        <w:pStyle w:val="a"/>
        <w:rPr>
          <w:rFonts w:eastAsiaTheme="minorEastAsia" w:cstheme="minorBidi"/>
          <w:sz w:val="22"/>
          <w:szCs w:val="22"/>
          <w:rtl/>
        </w:rPr>
      </w:pPr>
      <w:r>
        <w:rPr>
          <w:rtl/>
        </w:rPr>
        <w:t>דברי הרמב"ן דכשמוחה באופן שלא ישמע המחזיק יש רגל"ד דמכר ומתבייש למחות בו</w:t>
      </w:r>
    </w:p>
    <w:p w:rsidR="00F163D7" w:rsidRDefault="00F163D7" w:rsidP="0007171D">
      <w:pPr>
        <w:pStyle w:val="aff4"/>
        <w:rPr>
          <w:rFonts w:eastAsiaTheme="minorEastAsia" w:cstheme="minorBidi"/>
          <w:i/>
          <w:iCs/>
          <w:noProof/>
          <w:sz w:val="22"/>
          <w:szCs w:val="22"/>
          <w:rtl/>
        </w:rPr>
      </w:pPr>
      <w:r>
        <w:rPr>
          <w:noProof/>
          <w:rtl/>
        </w:rPr>
        <w:t>ביאורי הראשונים בהא דמהני חזקה לקטן אף שאינו נזהר בשטר</w:t>
      </w:r>
    </w:p>
    <w:p w:rsidR="00F163D7" w:rsidRDefault="00F163D7" w:rsidP="007E4E81">
      <w:pPr>
        <w:pStyle w:val="a"/>
        <w:rPr>
          <w:rFonts w:eastAsiaTheme="minorEastAsia" w:cstheme="minorBidi"/>
          <w:sz w:val="22"/>
          <w:szCs w:val="22"/>
          <w:rtl/>
        </w:rPr>
      </w:pPr>
      <w:r>
        <w:rPr>
          <w:rtl/>
        </w:rPr>
        <w:t>דברי הרשב"א דמהני חזקה בקטן דלא היה מניחו בשדה דאף שאין לו שטר מ"מ הו"ל להקפיד</w:t>
      </w:r>
    </w:p>
    <w:p w:rsidR="00F163D7" w:rsidRDefault="00F163D7" w:rsidP="007E4E81">
      <w:pPr>
        <w:pStyle w:val="a"/>
        <w:rPr>
          <w:rFonts w:eastAsiaTheme="minorEastAsia" w:cstheme="minorBidi"/>
          <w:sz w:val="22"/>
          <w:szCs w:val="22"/>
          <w:rtl/>
        </w:rPr>
      </w:pPr>
      <w:r>
        <w:rPr>
          <w:rtl/>
        </w:rPr>
        <w:t>ביאור הריטב"א דמהני חזקה לקטן אף שיש ראיה מיד דלא פלוג רבנן בחזקת ג"ש</w:t>
      </w:r>
    </w:p>
    <w:p w:rsidR="00F163D7" w:rsidRDefault="00F163D7" w:rsidP="007E4E81">
      <w:pPr>
        <w:pStyle w:val="a"/>
        <w:rPr>
          <w:rFonts w:eastAsiaTheme="minorEastAsia" w:cstheme="minorBidi"/>
          <w:sz w:val="22"/>
          <w:szCs w:val="22"/>
          <w:rtl/>
        </w:rPr>
      </w:pPr>
      <w:r>
        <w:rPr>
          <w:rtl/>
        </w:rPr>
        <w:t>ביאור הר"ן דמהני חזקה לקטן דהיה לו למחות ולא דמי לחירום שאכל שלא בידיעת המר"ק</w:t>
      </w:r>
    </w:p>
    <w:p w:rsidR="00F163D7" w:rsidRDefault="00F163D7" w:rsidP="00F163D7">
      <w:pPr>
        <w:pStyle w:val="2"/>
        <w:rPr>
          <w:rFonts w:eastAsiaTheme="minorEastAsia" w:cstheme="minorBidi"/>
          <w:i/>
          <w:iCs/>
          <w:sz w:val="22"/>
          <w:rtl/>
        </w:rPr>
      </w:pPr>
      <w:r>
        <w:rPr>
          <w:rtl/>
        </w:rPr>
        <w:t>ביאור הקצוה"ח בטעם החזקה לרמב"ן</w:t>
      </w:r>
    </w:p>
    <w:p w:rsidR="00F163D7" w:rsidRDefault="00F163D7" w:rsidP="0007171D">
      <w:pPr>
        <w:pStyle w:val="aff4"/>
        <w:rPr>
          <w:rFonts w:eastAsiaTheme="minorEastAsia" w:cstheme="minorBidi"/>
          <w:i/>
          <w:iCs/>
          <w:noProof/>
          <w:sz w:val="22"/>
          <w:szCs w:val="22"/>
          <w:rtl/>
        </w:rPr>
      </w:pPr>
      <w:r>
        <w:rPr>
          <w:noProof/>
          <w:rtl/>
        </w:rPr>
        <w:t>ביאור הקצוה"ח ברמב"ן דהחזקה היא מרגל"ד דלא מחה בו</w:t>
      </w:r>
    </w:p>
    <w:p w:rsidR="00F163D7" w:rsidRDefault="00F163D7" w:rsidP="007E4E81">
      <w:pPr>
        <w:pStyle w:val="a"/>
        <w:rPr>
          <w:rFonts w:eastAsiaTheme="minorEastAsia" w:cstheme="minorBidi"/>
          <w:sz w:val="22"/>
          <w:szCs w:val="22"/>
          <w:rtl/>
        </w:rPr>
      </w:pPr>
      <w:r>
        <w:rPr>
          <w:rtl/>
        </w:rPr>
        <w:t>ביאור הקצוה"ח והשע"מ ברמב"ן דלא סגי בטעם דאינו נזהר בשטרו בכדי להוציא מהמר"ק</w:t>
      </w:r>
    </w:p>
    <w:p w:rsidR="00F163D7" w:rsidRDefault="00F163D7" w:rsidP="007E4E81">
      <w:pPr>
        <w:pStyle w:val="a"/>
        <w:rPr>
          <w:rFonts w:eastAsiaTheme="minorEastAsia" w:cstheme="minorBidi"/>
          <w:sz w:val="22"/>
          <w:szCs w:val="22"/>
          <w:rtl/>
        </w:rPr>
      </w:pPr>
      <w:r>
        <w:rPr>
          <w:rtl/>
        </w:rPr>
        <w:t>ביאור הקצוה"ח והשע"מ ברמב"ן דהחזקה מרגל"ד דלא מחה ומהני כשאין ריעותא מחמת השטר</w:t>
      </w:r>
    </w:p>
    <w:p w:rsidR="00F163D7" w:rsidRDefault="00F163D7" w:rsidP="007E4E81">
      <w:pPr>
        <w:pStyle w:val="a"/>
        <w:rPr>
          <w:rFonts w:eastAsiaTheme="minorEastAsia" w:cstheme="minorBidi"/>
          <w:sz w:val="22"/>
          <w:szCs w:val="22"/>
          <w:rtl/>
        </w:rPr>
      </w:pPr>
      <w:r>
        <w:rPr>
          <w:rtl/>
        </w:rPr>
        <w:t>דברי התו"ח דא"א לומר דמחמת השטר תצא מהמר"ק דא"כ אמאי בניר וכדו' לא הוי חזקה</w:t>
      </w:r>
    </w:p>
    <w:p w:rsidR="00F163D7" w:rsidRDefault="00F163D7" w:rsidP="007E4E81">
      <w:pPr>
        <w:pStyle w:val="a"/>
        <w:rPr>
          <w:rFonts w:eastAsiaTheme="minorEastAsia" w:cstheme="minorBidi"/>
          <w:sz w:val="22"/>
          <w:szCs w:val="22"/>
          <w:rtl/>
        </w:rPr>
      </w:pPr>
      <w:r>
        <w:rPr>
          <w:rtl/>
        </w:rPr>
        <w:t>ביאור התו"ח דהחזקה מדלא מיחה ולא הקפיד אך בתוך ג"ש כשאין לו שטר מסתבר שהוא גזלן</w:t>
      </w:r>
    </w:p>
    <w:p w:rsidR="00F163D7" w:rsidRDefault="00F163D7" w:rsidP="007E4E81">
      <w:pPr>
        <w:pStyle w:val="a"/>
        <w:rPr>
          <w:rFonts w:eastAsiaTheme="minorEastAsia" w:cstheme="minorBidi"/>
          <w:sz w:val="22"/>
          <w:szCs w:val="22"/>
          <w:rtl/>
        </w:rPr>
      </w:pPr>
      <w:r>
        <w:rPr>
          <w:rtl/>
        </w:rPr>
        <w:t>ביאור התו"ח דההו"א דל"מ מחאה שלא בפניו היינו רק בשנה השניה והשלישית ולא בראשונה</w:t>
      </w:r>
    </w:p>
    <w:p w:rsidR="00F163D7" w:rsidRDefault="00F163D7" w:rsidP="00F163D7">
      <w:pPr>
        <w:pStyle w:val="2"/>
        <w:rPr>
          <w:rFonts w:eastAsiaTheme="minorEastAsia" w:cstheme="minorBidi"/>
          <w:i/>
          <w:iCs/>
          <w:sz w:val="22"/>
          <w:rtl/>
        </w:rPr>
      </w:pPr>
      <w:r>
        <w:rPr>
          <w:rtl/>
        </w:rPr>
        <w:t>קושיות האחרונים על הרמב"ן</w:t>
      </w:r>
    </w:p>
    <w:p w:rsidR="00F163D7" w:rsidRDefault="00F163D7" w:rsidP="0007171D">
      <w:pPr>
        <w:pStyle w:val="aff4"/>
        <w:rPr>
          <w:rFonts w:eastAsiaTheme="minorEastAsia" w:cstheme="minorBidi"/>
          <w:i/>
          <w:iCs/>
          <w:noProof/>
          <w:sz w:val="22"/>
          <w:szCs w:val="22"/>
          <w:rtl/>
        </w:rPr>
      </w:pPr>
      <w:r>
        <w:rPr>
          <w:noProof/>
          <w:rtl/>
        </w:rPr>
        <w:t>קושית הקצוה"ח על הרמב"ן מדלי ליה צנא דפירי</w:t>
      </w:r>
    </w:p>
    <w:p w:rsidR="00F163D7" w:rsidRDefault="00F163D7" w:rsidP="007E4E81">
      <w:pPr>
        <w:pStyle w:val="a"/>
        <w:rPr>
          <w:rFonts w:eastAsiaTheme="minorEastAsia" w:cstheme="minorBidi"/>
          <w:sz w:val="22"/>
          <w:szCs w:val="22"/>
          <w:rtl/>
        </w:rPr>
      </w:pPr>
      <w:r>
        <w:rPr>
          <w:rtl/>
        </w:rPr>
        <w:t>קושית הקצוה"ח דאמאי בדלי צנא דפירי נאמן דלפירות הורדתיו ובשתיקה בג"ש אינו נאמן</w:t>
      </w:r>
    </w:p>
    <w:p w:rsidR="00F163D7" w:rsidRDefault="00F163D7" w:rsidP="007E4E81">
      <w:pPr>
        <w:pStyle w:val="a"/>
        <w:rPr>
          <w:rFonts w:eastAsiaTheme="minorEastAsia" w:cstheme="minorBidi"/>
          <w:sz w:val="22"/>
          <w:szCs w:val="22"/>
          <w:rtl/>
        </w:rPr>
      </w:pPr>
      <w:r>
        <w:rPr>
          <w:rtl/>
        </w:rPr>
        <w:t>תירוץ חי' רמ"ש דבדלי ליה הוא אנ"ס ובלפירות הורדתיו אין אנ"ס ובחזקת ג"ש הוא אומדנא</w:t>
      </w:r>
    </w:p>
    <w:p w:rsidR="00F163D7" w:rsidRDefault="00F163D7" w:rsidP="0007171D">
      <w:pPr>
        <w:pStyle w:val="aff4"/>
        <w:rPr>
          <w:rFonts w:eastAsiaTheme="minorEastAsia" w:cstheme="minorBidi"/>
          <w:i/>
          <w:iCs/>
          <w:noProof/>
          <w:sz w:val="22"/>
          <w:szCs w:val="22"/>
          <w:rtl/>
        </w:rPr>
      </w:pPr>
      <w:r>
        <w:rPr>
          <w:noProof/>
          <w:rtl/>
        </w:rPr>
        <w:t>קושית הקצוה"ח על הרמב"ן מדין חזקה בעבד קטן</w:t>
      </w:r>
    </w:p>
    <w:p w:rsidR="00F163D7" w:rsidRDefault="00F163D7" w:rsidP="007E4E81">
      <w:pPr>
        <w:pStyle w:val="a"/>
        <w:rPr>
          <w:rFonts w:eastAsiaTheme="minorEastAsia" w:cstheme="minorBidi"/>
          <w:sz w:val="22"/>
          <w:szCs w:val="22"/>
          <w:rtl/>
        </w:rPr>
      </w:pPr>
      <w:r>
        <w:rPr>
          <w:rtl/>
        </w:rPr>
        <w:t>קושית הקצוה"ח דאמאי בעבד קטן יש חזקה לאלתר הא יש ריעותא דאחוי שטרך</w:t>
      </w:r>
    </w:p>
    <w:p w:rsidR="00F163D7" w:rsidRDefault="00F163D7" w:rsidP="007E4E81">
      <w:pPr>
        <w:pStyle w:val="a"/>
        <w:rPr>
          <w:rFonts w:eastAsiaTheme="minorEastAsia" w:cstheme="minorBidi"/>
          <w:sz w:val="22"/>
          <w:szCs w:val="22"/>
          <w:rtl/>
        </w:rPr>
      </w:pPr>
      <w:r>
        <w:rPr>
          <w:rtl/>
        </w:rPr>
        <w:t>תי' הקצוה"ח דבעבד קטן יש ראיה דאמו לא שכחתו דמהני כנגד אחוי שטרך כמו דלי צנא דפירי</w:t>
      </w:r>
    </w:p>
    <w:p w:rsidR="00F163D7" w:rsidRDefault="00F163D7" w:rsidP="0007171D">
      <w:pPr>
        <w:pStyle w:val="aff4"/>
        <w:rPr>
          <w:rFonts w:eastAsiaTheme="minorEastAsia" w:cstheme="minorBidi"/>
          <w:i/>
          <w:iCs/>
          <w:noProof/>
          <w:sz w:val="22"/>
          <w:szCs w:val="22"/>
          <w:rtl/>
        </w:rPr>
      </w:pPr>
      <w:r>
        <w:rPr>
          <w:noProof/>
          <w:rtl/>
        </w:rPr>
        <w:t>קושית השע"מ על הרמב"ן מהא דמהני חזקת ג"ש ליורש</w:t>
      </w:r>
    </w:p>
    <w:p w:rsidR="00F163D7" w:rsidRDefault="00F163D7" w:rsidP="007E4E81">
      <w:pPr>
        <w:pStyle w:val="a"/>
        <w:rPr>
          <w:rFonts w:eastAsiaTheme="minorEastAsia" w:cstheme="minorBidi"/>
          <w:sz w:val="22"/>
          <w:szCs w:val="22"/>
          <w:rtl/>
        </w:rPr>
      </w:pPr>
      <w:r>
        <w:rPr>
          <w:rtl/>
        </w:rPr>
        <w:t>קושית השע"מ דיורש צריך ג"ש אף דאין עליו טענת אחוי שטרך דאי הוי ריעותא אין כל חזקה</w:t>
      </w:r>
    </w:p>
    <w:p w:rsidR="00F163D7" w:rsidRDefault="00F163D7" w:rsidP="007E4E81">
      <w:pPr>
        <w:pStyle w:val="a"/>
        <w:rPr>
          <w:rFonts w:eastAsiaTheme="minorEastAsia" w:cstheme="minorBidi"/>
          <w:sz w:val="22"/>
          <w:szCs w:val="22"/>
          <w:rtl/>
        </w:rPr>
      </w:pPr>
      <w:r>
        <w:rPr>
          <w:rtl/>
        </w:rPr>
        <w:t>תירוץ חי' רמ"ש דיש ריעותא שאין לו שטר אך אחר תקנ"ח דג"ש כל שלא מחה יש אנן סהדי</w:t>
      </w:r>
    </w:p>
    <w:p w:rsidR="00F163D7" w:rsidRDefault="00F163D7" w:rsidP="0007171D">
      <w:pPr>
        <w:pStyle w:val="aff4"/>
        <w:rPr>
          <w:rFonts w:eastAsiaTheme="minorEastAsia" w:cstheme="minorBidi"/>
          <w:i/>
          <w:iCs/>
          <w:noProof/>
          <w:sz w:val="22"/>
          <w:szCs w:val="22"/>
          <w:rtl/>
        </w:rPr>
      </w:pPr>
      <w:r>
        <w:rPr>
          <w:noProof/>
          <w:rtl/>
        </w:rPr>
        <w:t>קושית השע"מ על הרמב"ן דאמאי צריך עדים על כל הג"ש</w:t>
      </w:r>
    </w:p>
    <w:p w:rsidR="00F163D7" w:rsidRDefault="00F163D7" w:rsidP="007E4E81">
      <w:pPr>
        <w:pStyle w:val="a"/>
        <w:rPr>
          <w:rFonts w:eastAsiaTheme="minorEastAsia" w:cstheme="minorBidi"/>
          <w:sz w:val="22"/>
          <w:szCs w:val="22"/>
          <w:rtl/>
        </w:rPr>
      </w:pPr>
      <w:r>
        <w:rPr>
          <w:rtl/>
        </w:rPr>
        <w:t>קושית השע"מ דסגי בעידי חזקה של שנה אחת וטענת חזקת ג"ש דהוי ראיה מדין לא חציף</w:t>
      </w:r>
    </w:p>
    <w:p w:rsidR="00F163D7" w:rsidRDefault="00F163D7" w:rsidP="007E4E81">
      <w:pPr>
        <w:pStyle w:val="a"/>
        <w:rPr>
          <w:rFonts w:eastAsiaTheme="minorEastAsia" w:cstheme="minorBidi"/>
          <w:sz w:val="22"/>
          <w:szCs w:val="22"/>
          <w:rtl/>
        </w:rPr>
      </w:pPr>
      <w:r>
        <w:rPr>
          <w:rtl/>
        </w:rPr>
        <w:t>תירוץ השע"מ דבלא חציף א"א להוציא ממר"ק בלא עידי חזקת ג"ש דיש ריעותא שאין לו שטר</w:t>
      </w:r>
    </w:p>
    <w:p w:rsidR="00F163D7" w:rsidRDefault="00F163D7" w:rsidP="00F163D7">
      <w:pPr>
        <w:pStyle w:val="2"/>
        <w:rPr>
          <w:rFonts w:eastAsiaTheme="minorEastAsia" w:cstheme="minorBidi"/>
          <w:i/>
          <w:iCs/>
          <w:sz w:val="22"/>
          <w:rtl/>
        </w:rPr>
      </w:pPr>
      <w:r>
        <w:rPr>
          <w:rtl/>
        </w:rPr>
        <w:t>ביאור הנתיה"מ בטעם החזקה לרמב"ן</w:t>
      </w:r>
    </w:p>
    <w:p w:rsidR="00F163D7" w:rsidRDefault="00F163D7" w:rsidP="0007171D">
      <w:pPr>
        <w:pStyle w:val="aff4"/>
        <w:rPr>
          <w:rFonts w:eastAsiaTheme="minorEastAsia" w:cstheme="minorBidi"/>
          <w:i/>
          <w:iCs/>
          <w:noProof/>
          <w:sz w:val="22"/>
          <w:szCs w:val="22"/>
          <w:rtl/>
        </w:rPr>
      </w:pPr>
      <w:r>
        <w:rPr>
          <w:noProof/>
          <w:rtl/>
        </w:rPr>
        <w:t>דברי הנתיה"מ דהחזקה תלויה בקפידת המערער ולכן צריך ג"ש</w:t>
      </w:r>
    </w:p>
    <w:p w:rsidR="00F163D7" w:rsidRDefault="00F163D7" w:rsidP="007E4E81">
      <w:pPr>
        <w:pStyle w:val="a"/>
        <w:rPr>
          <w:rFonts w:eastAsiaTheme="minorEastAsia" w:cstheme="minorBidi"/>
          <w:sz w:val="22"/>
          <w:szCs w:val="22"/>
          <w:rtl/>
        </w:rPr>
      </w:pPr>
      <w:r>
        <w:rPr>
          <w:rtl/>
        </w:rPr>
        <w:t>קושית הנתיה"מ דא"א לומר דהראיה מהני מיד דא"כ בהקדש שא"צ שטר אמאי צריך חזקת ג"ש</w:t>
      </w:r>
    </w:p>
    <w:p w:rsidR="00F163D7" w:rsidRDefault="00F163D7" w:rsidP="007E4E81">
      <w:pPr>
        <w:pStyle w:val="a"/>
        <w:rPr>
          <w:rFonts w:eastAsiaTheme="minorEastAsia" w:cstheme="minorBidi"/>
          <w:sz w:val="22"/>
          <w:szCs w:val="22"/>
          <w:rtl/>
        </w:rPr>
      </w:pPr>
      <w:r>
        <w:rPr>
          <w:rtl/>
        </w:rPr>
        <w:t>דברי הנתיה"מ דא"א לומר דיש ראיה בתוך ג"ש דא"כ אמאי צריך ג"ש בגודרות שאין שטר</w:t>
      </w:r>
    </w:p>
    <w:p w:rsidR="00F163D7" w:rsidRDefault="00F163D7" w:rsidP="007E4E81">
      <w:pPr>
        <w:pStyle w:val="a"/>
        <w:rPr>
          <w:rFonts w:eastAsiaTheme="minorEastAsia" w:cstheme="minorBidi"/>
          <w:sz w:val="22"/>
          <w:szCs w:val="22"/>
          <w:rtl/>
        </w:rPr>
      </w:pPr>
      <w:r>
        <w:rPr>
          <w:rtl/>
        </w:rPr>
        <w:t>ביאור הנתיה"מ ברמב"ן דהחזקה תלויה בקפידת המערער וצריך ג"ש שמא מקפיד רק בג"ש</w:t>
      </w:r>
    </w:p>
    <w:p w:rsidR="00F163D7" w:rsidRDefault="00F163D7" w:rsidP="007E4E81">
      <w:pPr>
        <w:pStyle w:val="a"/>
        <w:rPr>
          <w:rFonts w:eastAsiaTheme="minorEastAsia" w:cstheme="minorBidi"/>
          <w:sz w:val="22"/>
          <w:szCs w:val="22"/>
          <w:rtl/>
        </w:rPr>
      </w:pPr>
      <w:r>
        <w:rPr>
          <w:rtl/>
        </w:rPr>
        <w:t>ביאור הנתיה"מ דמ"ש הרמב"ן שיש ראיה בתוך ג"ש הוא רק באדם שדרכו להקפיד מיד</w:t>
      </w:r>
    </w:p>
    <w:p w:rsidR="00F163D7" w:rsidRDefault="00F163D7" w:rsidP="007E4E81">
      <w:pPr>
        <w:pStyle w:val="a"/>
        <w:rPr>
          <w:rFonts w:eastAsiaTheme="minorEastAsia" w:cstheme="minorBidi"/>
          <w:sz w:val="22"/>
          <w:szCs w:val="22"/>
          <w:rtl/>
        </w:rPr>
      </w:pPr>
      <w:r>
        <w:rPr>
          <w:rtl/>
        </w:rPr>
        <w:t>דברי הנתיה"מ דבאין המחאה נשמעת אף שלא הקפיד הו"ל להזהר בשטר שמא מחה ול"ה חזקה</w:t>
      </w:r>
    </w:p>
    <w:p w:rsidR="00F163D7" w:rsidRDefault="00F163D7" w:rsidP="00F163D7">
      <w:pPr>
        <w:pStyle w:val="2"/>
        <w:rPr>
          <w:rFonts w:eastAsiaTheme="minorEastAsia" w:cstheme="minorBidi"/>
          <w:i/>
          <w:iCs/>
          <w:sz w:val="22"/>
          <w:rtl/>
        </w:rPr>
      </w:pPr>
      <w:r>
        <w:rPr>
          <w:rtl/>
        </w:rPr>
        <w:t>דעת הרשב"א דה</w:t>
      </w:r>
      <w:r>
        <w:rPr>
          <w:rFonts w:hint="cs"/>
          <w:rtl/>
        </w:rPr>
        <w:t xml:space="preserve">הוכחה </w:t>
      </w:r>
      <w:r>
        <w:rPr>
          <w:rtl/>
        </w:rPr>
        <w:t>גם מדלא הקפיד</w:t>
      </w:r>
    </w:p>
    <w:p w:rsidR="00F163D7" w:rsidRDefault="00F163D7" w:rsidP="0007171D">
      <w:pPr>
        <w:pStyle w:val="aff4"/>
        <w:rPr>
          <w:rFonts w:eastAsiaTheme="minorEastAsia" w:cstheme="minorBidi"/>
          <w:i/>
          <w:iCs/>
          <w:noProof/>
          <w:sz w:val="22"/>
          <w:szCs w:val="22"/>
          <w:rtl/>
        </w:rPr>
      </w:pPr>
      <w:r>
        <w:rPr>
          <w:noProof/>
          <w:rtl/>
        </w:rPr>
        <w:t>דברי הרשב"א דאחר ג"ש ולא הקפיד הוי חזקה והמערער מערים</w:t>
      </w:r>
    </w:p>
    <w:p w:rsidR="00F163D7" w:rsidRDefault="00F163D7" w:rsidP="007E4E81">
      <w:pPr>
        <w:pStyle w:val="a"/>
        <w:rPr>
          <w:rFonts w:eastAsiaTheme="minorEastAsia" w:cstheme="minorBidi"/>
          <w:sz w:val="22"/>
          <w:szCs w:val="22"/>
          <w:rtl/>
        </w:rPr>
      </w:pPr>
      <w:r>
        <w:rPr>
          <w:rtl/>
        </w:rPr>
        <w:t>דברי הרשב"א דכשמחה המערער לאחר ג"ש נראה כמערים שהמתין שיאבד המחזיק את שטרו</w:t>
      </w:r>
    </w:p>
    <w:p w:rsidR="00F163D7" w:rsidRDefault="00F163D7" w:rsidP="007E4E81">
      <w:pPr>
        <w:pStyle w:val="a"/>
        <w:rPr>
          <w:rFonts w:eastAsiaTheme="minorEastAsia" w:cstheme="minorBidi"/>
          <w:sz w:val="22"/>
          <w:szCs w:val="22"/>
          <w:rtl/>
        </w:rPr>
      </w:pPr>
      <w:r>
        <w:rPr>
          <w:rtl/>
        </w:rPr>
        <w:t>דברי הרשב"א דכשאכל פירות ג"ש ושתק ולא הקפיד סומך המחזיק שלא יערער ולא נזהר בשטר</w:t>
      </w:r>
    </w:p>
    <w:p w:rsidR="00F163D7" w:rsidRDefault="00F163D7" w:rsidP="007E4E81">
      <w:pPr>
        <w:pStyle w:val="a"/>
        <w:rPr>
          <w:rFonts w:eastAsiaTheme="minorEastAsia" w:cstheme="minorBidi"/>
          <w:sz w:val="22"/>
          <w:szCs w:val="22"/>
          <w:rtl/>
        </w:rPr>
      </w:pPr>
      <w:r>
        <w:rPr>
          <w:rtl/>
        </w:rPr>
        <w:t>דברי הרשב"א דבאכל ניר וכדו' או שלא הרויח מהקרקע נזהר יותר מג"ש שמא לא הקפיד עדיין</w:t>
      </w:r>
    </w:p>
    <w:p w:rsidR="00F163D7" w:rsidRDefault="00F163D7" w:rsidP="007E4E81">
      <w:pPr>
        <w:pStyle w:val="a"/>
        <w:rPr>
          <w:rFonts w:eastAsiaTheme="minorEastAsia" w:cstheme="minorBidi"/>
          <w:sz w:val="22"/>
          <w:szCs w:val="22"/>
          <w:rtl/>
        </w:rPr>
      </w:pPr>
      <w:r>
        <w:rPr>
          <w:rtl/>
        </w:rPr>
        <w:t>דברי הרשב"א דלכן לשמואל בדקל נערה א"צ ג"ש וכן במזיק קרקע דמקפיד הוי חזקה לאלתר</w:t>
      </w:r>
    </w:p>
    <w:p w:rsidR="00F163D7" w:rsidRDefault="00F163D7" w:rsidP="007E4E81">
      <w:pPr>
        <w:pStyle w:val="a"/>
        <w:rPr>
          <w:rFonts w:eastAsiaTheme="minorEastAsia" w:cstheme="minorBidi"/>
          <w:sz w:val="22"/>
          <w:szCs w:val="22"/>
          <w:rtl/>
        </w:rPr>
      </w:pPr>
      <w:r>
        <w:rPr>
          <w:rtl/>
        </w:rPr>
        <w:t>דברי הרשב"א דאף במי שדרכו להקפיד מיד חושש הלוקח שיאמר שלא הקפיד ונזהר בשטר ג"ש</w:t>
      </w:r>
    </w:p>
    <w:p w:rsidR="00F163D7" w:rsidRPr="009B0412" w:rsidRDefault="00F163D7" w:rsidP="0007171D">
      <w:pPr>
        <w:pStyle w:val="aff4"/>
      </w:pPr>
      <w:r w:rsidRPr="009B0412">
        <w:rPr>
          <w:rtl/>
        </w:rPr>
        <w:t>ביאור הנתיה"מ ברשב"א דחושש שב"ד יאמדו שהמר"ק מקפיד</w:t>
      </w:r>
    </w:p>
    <w:p w:rsidR="00F163D7" w:rsidRDefault="00F163D7" w:rsidP="007E4E81">
      <w:pPr>
        <w:pStyle w:val="a"/>
        <w:rPr>
          <w:rFonts w:eastAsiaTheme="minorEastAsia" w:cstheme="minorBidi"/>
          <w:sz w:val="22"/>
          <w:szCs w:val="22"/>
          <w:rtl/>
        </w:rPr>
      </w:pPr>
      <w:r>
        <w:rPr>
          <w:rtl/>
        </w:rPr>
        <w:t>ביאור הנתיה"מ ברשב"א דהקפידא תלויה באומדנת ב"ד ולעולם נזהר בשטר שמא אינו מקפיד</w:t>
      </w:r>
    </w:p>
    <w:p w:rsidR="00F163D7" w:rsidRDefault="00F163D7" w:rsidP="00F163D7">
      <w:pPr>
        <w:pStyle w:val="2"/>
        <w:rPr>
          <w:rtl/>
        </w:rPr>
      </w:pPr>
      <w:r>
        <w:rPr>
          <w:rtl/>
        </w:rPr>
        <w:t>ד' הרשב"א בתשו' דאין ראיה מדשתק</w:t>
      </w:r>
    </w:p>
    <w:p w:rsidR="00F163D7" w:rsidRPr="007813B5" w:rsidRDefault="00F163D7" w:rsidP="0007171D">
      <w:pPr>
        <w:pStyle w:val="aff4"/>
      </w:pPr>
      <w:r w:rsidRPr="007813B5">
        <w:rPr>
          <w:rtl/>
        </w:rPr>
        <w:t>דברי הרשב"א בתשו' דתיקנו דכל שלא נזהר בשטר מפסיד</w:t>
      </w:r>
    </w:p>
    <w:p w:rsidR="00F163D7" w:rsidRDefault="00F163D7" w:rsidP="007E4E81">
      <w:pPr>
        <w:pStyle w:val="a"/>
        <w:rPr>
          <w:rFonts w:eastAsiaTheme="minorEastAsia" w:cstheme="minorBidi"/>
          <w:sz w:val="22"/>
          <w:szCs w:val="22"/>
          <w:rtl/>
        </w:rPr>
      </w:pPr>
      <w:r>
        <w:rPr>
          <w:rtl/>
        </w:rPr>
        <w:t>דברי הרשב"א בתשו' דעד ג"ש חושש דיטען המערער דלא חשש לפירות כיון שיוציא ממנו בדין</w:t>
      </w:r>
    </w:p>
    <w:p w:rsidR="00F163D7" w:rsidRDefault="00F163D7" w:rsidP="007E4E81">
      <w:pPr>
        <w:pStyle w:val="a"/>
        <w:rPr>
          <w:rFonts w:eastAsiaTheme="minorEastAsia" w:cstheme="minorBidi"/>
          <w:sz w:val="22"/>
          <w:szCs w:val="22"/>
          <w:rtl/>
        </w:rPr>
      </w:pPr>
      <w:r>
        <w:rPr>
          <w:rtl/>
        </w:rPr>
        <w:t>דברי הרשב"א בתשו' דכיון דדרך העולם להזהר עד ג"ש תיקנו שיזהר עד ג"ש ובלא נזהר הפסיד</w:t>
      </w:r>
    </w:p>
    <w:p w:rsidR="00F163D7" w:rsidRDefault="00F163D7" w:rsidP="007E4E81">
      <w:pPr>
        <w:pStyle w:val="a"/>
        <w:rPr>
          <w:rFonts w:eastAsiaTheme="minorEastAsia" w:cstheme="minorBidi"/>
          <w:sz w:val="22"/>
          <w:szCs w:val="22"/>
        </w:rPr>
      </w:pPr>
      <w:r>
        <w:rPr>
          <w:rtl/>
        </w:rPr>
        <w:t>דברי הרשב"א בתשו' דבהזיק את השדה הוי חזקה לאלתר דכיון דשתק הבעלים אינו נזהר</w:t>
      </w:r>
    </w:p>
    <w:p w:rsidR="00F163D7" w:rsidRPr="000E0244" w:rsidRDefault="00F163D7" w:rsidP="0007171D">
      <w:pPr>
        <w:pStyle w:val="aff4"/>
        <w:rPr>
          <w:rFonts w:cstheme="minorBidi"/>
          <w:rtl/>
        </w:rPr>
      </w:pPr>
      <w:r w:rsidRPr="000E0244">
        <w:rPr>
          <w:rtl/>
        </w:rPr>
        <w:t>דברי הרשב"א בתשו' דלמסקנא אין טעם החזקה מחמת קפידא</w:t>
      </w:r>
    </w:p>
    <w:p w:rsidR="00F163D7" w:rsidRPr="000E0244" w:rsidRDefault="00F163D7" w:rsidP="007E4E81">
      <w:pPr>
        <w:pStyle w:val="a"/>
        <w:rPr>
          <w:rFonts w:cstheme="minorBidi"/>
        </w:rPr>
      </w:pPr>
      <w:r w:rsidRPr="000E0244">
        <w:rPr>
          <w:rtl/>
        </w:rPr>
        <w:t>קושית הרשב"א בתשו' דבחזקת ג"ש למסקנא אין הטעם מחמת קפידא ובנזיקין הוא מקפידא</w:t>
      </w:r>
    </w:p>
    <w:p w:rsidR="00F163D7" w:rsidRDefault="00F163D7" w:rsidP="007E4E81">
      <w:pPr>
        <w:pStyle w:val="a"/>
        <w:rPr>
          <w:rFonts w:cstheme="minorBidi"/>
        </w:rPr>
      </w:pPr>
      <w:r w:rsidRPr="000E0244">
        <w:rPr>
          <w:rtl/>
        </w:rPr>
        <w:t>דברי הרשב"א בתשו' דבאכילת פירות אין קפידא כ"כ ואין ראיה מדלא קפיד משא"כ בנזיקין</w:t>
      </w:r>
    </w:p>
    <w:p w:rsidR="00F163D7" w:rsidRDefault="00F163D7" w:rsidP="00F163D7">
      <w:pPr>
        <w:pStyle w:val="2"/>
        <w:rPr>
          <w:rFonts w:eastAsiaTheme="minorEastAsia" w:cstheme="minorBidi"/>
          <w:i/>
          <w:iCs/>
          <w:sz w:val="22"/>
          <w:rtl/>
        </w:rPr>
      </w:pPr>
      <w:r>
        <w:rPr>
          <w:rtl/>
        </w:rPr>
        <w:t>בחיוב המערער להוכיח שמחה</w:t>
      </w:r>
    </w:p>
    <w:p w:rsidR="00F163D7" w:rsidRDefault="00F163D7" w:rsidP="0007171D">
      <w:pPr>
        <w:pStyle w:val="aff4"/>
        <w:rPr>
          <w:rFonts w:eastAsiaTheme="minorEastAsia" w:cstheme="minorBidi"/>
          <w:i/>
          <w:iCs/>
          <w:noProof/>
          <w:sz w:val="22"/>
          <w:szCs w:val="22"/>
          <w:rtl/>
        </w:rPr>
      </w:pPr>
      <w:r>
        <w:rPr>
          <w:noProof/>
          <w:rtl/>
        </w:rPr>
        <w:t>קו' הריטב"א דאמאי המחזיק א"צ להוכיח שלא הייתה מחאה</w:t>
      </w:r>
    </w:p>
    <w:p w:rsidR="00F163D7" w:rsidRDefault="00F163D7" w:rsidP="007E4E81">
      <w:pPr>
        <w:pStyle w:val="a"/>
        <w:rPr>
          <w:rFonts w:eastAsiaTheme="minorEastAsia" w:cstheme="minorBidi"/>
          <w:sz w:val="22"/>
          <w:szCs w:val="22"/>
          <w:rtl/>
        </w:rPr>
      </w:pPr>
      <w:r>
        <w:rPr>
          <w:rtl/>
        </w:rPr>
        <w:t>קושית הריטב"א דבטוען המערער שמחה אמאי אין המחזיק צריך להוכיח שלא מחה בו המערער</w:t>
      </w:r>
    </w:p>
    <w:p w:rsidR="00F163D7" w:rsidRDefault="00F163D7" w:rsidP="007E4E81">
      <w:pPr>
        <w:pStyle w:val="a"/>
        <w:rPr>
          <w:rFonts w:eastAsiaTheme="minorEastAsia" w:cstheme="minorBidi"/>
          <w:sz w:val="22"/>
          <w:szCs w:val="22"/>
          <w:rtl/>
        </w:rPr>
      </w:pPr>
      <w:r>
        <w:rPr>
          <w:rtl/>
        </w:rPr>
        <w:t>תירוץ הריטב"א דחזקת ג"ש היא כשטר מקוים וטענת מחאה כטענת פרוע או אמנה</w:t>
      </w:r>
    </w:p>
    <w:p w:rsidR="00F163D7" w:rsidRDefault="00F163D7" w:rsidP="007E4E81">
      <w:pPr>
        <w:pStyle w:val="a"/>
        <w:rPr>
          <w:rFonts w:eastAsiaTheme="minorEastAsia" w:cstheme="minorBidi"/>
          <w:sz w:val="22"/>
          <w:szCs w:val="22"/>
          <w:rtl/>
        </w:rPr>
      </w:pPr>
      <w:r>
        <w:rPr>
          <w:rtl/>
        </w:rPr>
        <w:t>התי' הא' ברבינו יונה דהמחזיק אינו יכול להוכיח שלא מחה המערער דלא ראינו אינו ראיה</w:t>
      </w:r>
    </w:p>
    <w:p w:rsidR="00F163D7" w:rsidRDefault="00F163D7" w:rsidP="007E4E81">
      <w:pPr>
        <w:pStyle w:val="a"/>
        <w:rPr>
          <w:rFonts w:eastAsiaTheme="minorEastAsia" w:cstheme="minorBidi"/>
          <w:sz w:val="22"/>
          <w:szCs w:val="22"/>
          <w:rtl/>
        </w:rPr>
      </w:pPr>
      <w:r>
        <w:rPr>
          <w:rtl/>
        </w:rPr>
        <w:t>התי' הב' ברבינו יונה דבחזקה גמורה על המערער להוכיח שמחה ובהיה במק"א עוקר את החזקה</w:t>
      </w:r>
    </w:p>
    <w:p w:rsidR="00F163D7" w:rsidRDefault="001B6519" w:rsidP="00F163D7">
      <w:pPr>
        <w:pStyle w:val="2"/>
        <w:rPr>
          <w:rFonts w:eastAsiaTheme="minorEastAsia" w:cstheme="minorBidi"/>
          <w:i/>
          <w:iCs/>
          <w:sz w:val="22"/>
          <w:rtl/>
        </w:rPr>
      </w:pPr>
      <w:r>
        <w:rPr>
          <w:rtl/>
        </w:rPr>
        <w:lastRenderedPageBreak/>
        <w:t>~~~~~~~ ביאורי ראשי הישיבות ~~~~~~~</w:t>
      </w:r>
    </w:p>
    <w:p w:rsidR="00F163D7" w:rsidRDefault="00F163D7" w:rsidP="00F163D7">
      <w:pPr>
        <w:pStyle w:val="2"/>
        <w:rPr>
          <w:rFonts w:eastAsiaTheme="minorEastAsia" w:cstheme="minorBidi"/>
          <w:i/>
          <w:iCs/>
          <w:sz w:val="22"/>
          <w:rtl/>
        </w:rPr>
      </w:pPr>
      <w:r>
        <w:rPr>
          <w:rtl/>
        </w:rPr>
        <w:t>בביטול החזקה ע"י טענת אחוי שטרך</w:t>
      </w:r>
    </w:p>
    <w:p w:rsidR="00F163D7" w:rsidRDefault="00F163D7" w:rsidP="0007171D">
      <w:pPr>
        <w:pStyle w:val="aff4"/>
        <w:rPr>
          <w:rFonts w:eastAsiaTheme="minorEastAsia" w:cstheme="minorBidi"/>
          <w:i/>
          <w:iCs/>
          <w:noProof/>
          <w:sz w:val="22"/>
          <w:szCs w:val="22"/>
          <w:rtl/>
        </w:rPr>
      </w:pPr>
      <w:r>
        <w:rPr>
          <w:noProof/>
          <w:rtl/>
        </w:rPr>
        <w:t>ביאור הברכ"ש ברמב"ן דאחוי שטרך מבטל ראיה ולא תפיסה</w:t>
      </w:r>
    </w:p>
    <w:p w:rsidR="00F163D7" w:rsidRDefault="00F163D7" w:rsidP="007E4E81">
      <w:pPr>
        <w:pStyle w:val="a"/>
        <w:rPr>
          <w:rFonts w:eastAsiaTheme="minorEastAsia" w:cstheme="minorBidi"/>
          <w:sz w:val="22"/>
          <w:szCs w:val="22"/>
          <w:rtl/>
        </w:rPr>
      </w:pPr>
      <w:r>
        <w:rPr>
          <w:rtl/>
        </w:rPr>
        <w:t>ביאור הברכ"ש ברמב"ן דמדלא מחה מתבטלת הריעותא דאחוי שטרך ונשארת בחזקת המר"ק</w:t>
      </w:r>
    </w:p>
    <w:p w:rsidR="00F163D7" w:rsidRDefault="00F163D7" w:rsidP="007E4E81">
      <w:pPr>
        <w:pStyle w:val="a"/>
        <w:rPr>
          <w:rFonts w:eastAsiaTheme="minorEastAsia" w:cstheme="minorBidi"/>
          <w:sz w:val="22"/>
          <w:szCs w:val="22"/>
          <w:rtl/>
        </w:rPr>
      </w:pPr>
      <w:r>
        <w:rPr>
          <w:rtl/>
        </w:rPr>
        <w:t>ביאור הברכ"ש ברמב"ן דבהחזיק ג"ש וטוען לקוח בידי אחוי שטרך אינה ריעותא דהוא תפוס</w:t>
      </w:r>
    </w:p>
    <w:p w:rsidR="00F163D7" w:rsidRDefault="00F163D7" w:rsidP="0007171D">
      <w:pPr>
        <w:pStyle w:val="aff4"/>
        <w:rPr>
          <w:rFonts w:eastAsiaTheme="minorEastAsia" w:cstheme="minorBidi"/>
          <w:i/>
          <w:iCs/>
          <w:noProof/>
          <w:sz w:val="22"/>
          <w:szCs w:val="22"/>
          <w:rtl/>
        </w:rPr>
      </w:pPr>
      <w:r>
        <w:rPr>
          <w:noProof/>
          <w:rtl/>
        </w:rPr>
        <w:t>ביאור הגרב"ב ברמב"ן דקרקע בחזקת המחזיק מסברת לא חציף</w:t>
      </w:r>
    </w:p>
    <w:p w:rsidR="00F163D7" w:rsidRDefault="00F163D7" w:rsidP="007E4E81">
      <w:pPr>
        <w:pStyle w:val="a"/>
        <w:rPr>
          <w:rFonts w:eastAsiaTheme="minorEastAsia" w:cstheme="minorBidi"/>
          <w:sz w:val="22"/>
          <w:szCs w:val="22"/>
          <w:rtl/>
        </w:rPr>
      </w:pPr>
      <w:r>
        <w:rPr>
          <w:rtl/>
        </w:rPr>
        <w:t>קושית הגרב"ב על הרמב"ן דהאיך יש ראיה להחשיב את המחזיק כמוחזק הא אין תפיסה בקרקע</w:t>
      </w:r>
    </w:p>
    <w:p w:rsidR="00F163D7" w:rsidRDefault="00F163D7" w:rsidP="007E4E81">
      <w:pPr>
        <w:pStyle w:val="a"/>
        <w:rPr>
          <w:rFonts w:eastAsiaTheme="minorEastAsia" w:cstheme="minorBidi"/>
          <w:sz w:val="22"/>
          <w:szCs w:val="22"/>
          <w:rtl/>
        </w:rPr>
      </w:pPr>
      <w:r>
        <w:rPr>
          <w:rtl/>
        </w:rPr>
        <w:t>ביאור הגרב"ב ברמב"ן דהקרקע בחזקת המחזיק מחמת סברת לא חציף ולא מכח תפיסה</w:t>
      </w:r>
    </w:p>
    <w:p w:rsidR="00F163D7" w:rsidRDefault="00F163D7" w:rsidP="0007171D">
      <w:pPr>
        <w:pStyle w:val="aff4"/>
        <w:rPr>
          <w:rFonts w:eastAsiaTheme="minorEastAsia" w:cstheme="minorBidi"/>
          <w:i/>
          <w:iCs/>
          <w:noProof/>
          <w:sz w:val="22"/>
          <w:szCs w:val="22"/>
          <w:rtl/>
        </w:rPr>
      </w:pPr>
      <w:r>
        <w:rPr>
          <w:noProof/>
          <w:rtl/>
        </w:rPr>
        <w:t>ביאור הברכ"ש בקצוה"ח דהמחזיק כמוחזק ולא כתפוס</w:t>
      </w:r>
    </w:p>
    <w:p w:rsidR="00F163D7" w:rsidRDefault="00F163D7" w:rsidP="007E4E81">
      <w:pPr>
        <w:pStyle w:val="a"/>
        <w:rPr>
          <w:rFonts w:eastAsiaTheme="minorEastAsia" w:cstheme="minorBidi"/>
          <w:sz w:val="22"/>
          <w:szCs w:val="22"/>
          <w:rtl/>
        </w:rPr>
      </w:pPr>
      <w:r>
        <w:rPr>
          <w:rtl/>
        </w:rPr>
        <w:t>ביאור הברכ"ש בקצוה"ח דראית המחזיק היא מחמת התפיסה ולכן הוקשה לו דנימא אחוי שטרך</w:t>
      </w:r>
    </w:p>
    <w:p w:rsidR="00F163D7" w:rsidRDefault="00F163D7" w:rsidP="00F163D7">
      <w:pPr>
        <w:pStyle w:val="2"/>
        <w:rPr>
          <w:rFonts w:eastAsiaTheme="minorEastAsia" w:cstheme="minorBidi"/>
          <w:i/>
          <w:iCs/>
          <w:sz w:val="22"/>
          <w:rtl/>
        </w:rPr>
      </w:pPr>
      <w:r>
        <w:rPr>
          <w:rtl/>
        </w:rPr>
        <w:t>ביאור הגר"ח בגדר החזקה לרבנן</w:t>
      </w:r>
    </w:p>
    <w:p w:rsidR="00F163D7" w:rsidRDefault="00F163D7" w:rsidP="0007171D">
      <w:pPr>
        <w:pStyle w:val="aff4"/>
        <w:rPr>
          <w:rFonts w:eastAsiaTheme="minorEastAsia" w:cstheme="minorBidi"/>
          <w:i/>
          <w:iCs/>
          <w:noProof/>
          <w:sz w:val="22"/>
          <w:szCs w:val="22"/>
          <w:rtl/>
        </w:rPr>
      </w:pPr>
      <w:r>
        <w:rPr>
          <w:noProof/>
          <w:rtl/>
        </w:rPr>
        <w:t>ביאור הגר"ח ברמב"ן דעיקר הראיה היא בשנה הראשונה</w:t>
      </w:r>
    </w:p>
    <w:p w:rsidR="00F163D7" w:rsidRDefault="00F163D7" w:rsidP="007E4E81">
      <w:pPr>
        <w:pStyle w:val="a"/>
        <w:rPr>
          <w:rFonts w:eastAsiaTheme="minorEastAsia" w:cstheme="minorBidi"/>
          <w:sz w:val="22"/>
          <w:szCs w:val="22"/>
          <w:rtl/>
        </w:rPr>
      </w:pPr>
      <w:r>
        <w:rPr>
          <w:rtl/>
        </w:rPr>
        <w:t>ביאור הגר"ח ברמב"ן דעיקר ראיית החזקה בשנה אחת ולכן ג' כיתות על ג"ש היא עדות אחת</w:t>
      </w:r>
    </w:p>
    <w:p w:rsidR="00F163D7" w:rsidRDefault="00F163D7" w:rsidP="007E4E81">
      <w:pPr>
        <w:pStyle w:val="a"/>
        <w:rPr>
          <w:rFonts w:eastAsiaTheme="minorEastAsia" w:cstheme="minorBidi"/>
          <w:sz w:val="22"/>
          <w:szCs w:val="22"/>
          <w:rtl/>
        </w:rPr>
      </w:pPr>
      <w:r>
        <w:rPr>
          <w:rtl/>
        </w:rPr>
        <w:t>דברי הגר"ח דלרבנן החזקה היא מחמת שלא מחה המערער ואין המחזיק עושה את החזקה</w:t>
      </w:r>
    </w:p>
    <w:p w:rsidR="00F163D7" w:rsidRDefault="00F163D7" w:rsidP="0007171D">
      <w:pPr>
        <w:pStyle w:val="aff4"/>
        <w:rPr>
          <w:rFonts w:eastAsiaTheme="minorEastAsia" w:cstheme="minorBidi"/>
          <w:i/>
          <w:iCs/>
          <w:noProof/>
          <w:sz w:val="22"/>
          <w:szCs w:val="22"/>
          <w:rtl/>
        </w:rPr>
      </w:pPr>
      <w:r>
        <w:rPr>
          <w:noProof/>
          <w:rtl/>
        </w:rPr>
        <w:t>דברי הגר"ח דלרבנן הראיה בחזקה מהני אף כנגד המוחזק</w:t>
      </w:r>
    </w:p>
    <w:p w:rsidR="00F163D7" w:rsidRDefault="00F163D7" w:rsidP="007E4E81">
      <w:pPr>
        <w:pStyle w:val="a"/>
        <w:rPr>
          <w:rFonts w:eastAsiaTheme="minorEastAsia" w:cstheme="minorBidi"/>
          <w:sz w:val="22"/>
          <w:szCs w:val="22"/>
          <w:rtl/>
        </w:rPr>
      </w:pPr>
      <w:r>
        <w:rPr>
          <w:rtl/>
        </w:rPr>
        <w:t>דברי הגר"ח דלרבנן בחזקת ג"ש אינה יוצאת מהמר"ק והיא רק ראיה דמערער מכר למחזיק</w:t>
      </w:r>
    </w:p>
    <w:p w:rsidR="00F163D7" w:rsidRDefault="00F163D7" w:rsidP="00F163D7">
      <w:pPr>
        <w:pStyle w:val="2"/>
        <w:rPr>
          <w:rFonts w:eastAsiaTheme="minorEastAsia" w:cstheme="minorBidi"/>
          <w:i/>
          <w:iCs/>
          <w:sz w:val="22"/>
          <w:rtl/>
        </w:rPr>
      </w:pPr>
      <w:r>
        <w:rPr>
          <w:rtl/>
        </w:rPr>
        <w:t>בי' רבי ראובן והקה"י ד</w:t>
      </w:r>
      <w:r>
        <w:rPr>
          <w:rFonts w:hint="cs"/>
          <w:rtl/>
        </w:rPr>
        <w:t>ה</w:t>
      </w:r>
      <w:r>
        <w:rPr>
          <w:rtl/>
        </w:rPr>
        <w:t>ה</w:t>
      </w:r>
      <w:r>
        <w:rPr>
          <w:rFonts w:hint="cs"/>
          <w:rtl/>
        </w:rPr>
        <w:t>וכח</w:t>
      </w:r>
      <w:r>
        <w:rPr>
          <w:rtl/>
        </w:rPr>
        <w:t>ה אחר ג"ש</w:t>
      </w:r>
    </w:p>
    <w:p w:rsidR="00F163D7" w:rsidRDefault="00F163D7" w:rsidP="0007171D">
      <w:pPr>
        <w:pStyle w:val="aff4"/>
        <w:rPr>
          <w:rFonts w:eastAsiaTheme="minorEastAsia" w:cstheme="minorBidi"/>
          <w:i/>
          <w:iCs/>
          <w:noProof/>
          <w:sz w:val="22"/>
          <w:szCs w:val="22"/>
          <w:rtl/>
        </w:rPr>
      </w:pPr>
      <w:r>
        <w:rPr>
          <w:noProof/>
          <w:rtl/>
        </w:rPr>
        <w:t xml:space="preserve">ביאור רבי ראובן ברמב"ן דאחר תקנת ג"ש </w:t>
      </w:r>
      <w:r>
        <w:rPr>
          <w:rFonts w:hint="cs"/>
          <w:rtl/>
        </w:rPr>
        <w:t>ההוכחה</w:t>
      </w:r>
      <w:r>
        <w:rPr>
          <w:noProof/>
          <w:rtl/>
        </w:rPr>
        <w:t xml:space="preserve"> היא בג"ש</w:t>
      </w:r>
    </w:p>
    <w:p w:rsidR="00F163D7" w:rsidRDefault="00F163D7" w:rsidP="007E4E81">
      <w:pPr>
        <w:pStyle w:val="a"/>
        <w:rPr>
          <w:rFonts w:eastAsiaTheme="minorEastAsia" w:cstheme="minorBidi"/>
          <w:sz w:val="22"/>
          <w:szCs w:val="22"/>
          <w:rtl/>
        </w:rPr>
      </w:pPr>
      <w:r>
        <w:rPr>
          <w:rtl/>
        </w:rPr>
        <w:t>קושית רבי ראובן על הרמב"ן דאמאי מהני מחאה כשלא שמע המחזיק הא א"צ להזהר בשטר</w:t>
      </w:r>
    </w:p>
    <w:p w:rsidR="00F163D7" w:rsidRDefault="00F163D7" w:rsidP="007E4E81">
      <w:pPr>
        <w:pStyle w:val="a"/>
        <w:rPr>
          <w:rFonts w:eastAsiaTheme="minorEastAsia" w:cstheme="minorBidi"/>
          <w:sz w:val="22"/>
          <w:szCs w:val="22"/>
          <w:rtl/>
        </w:rPr>
      </w:pPr>
      <w:r>
        <w:rPr>
          <w:rtl/>
        </w:rPr>
        <w:t>ביאור רבי ראובן ברמב"ן דבתוך ג"ש אין רגל"ד ממה ששתק דיכול לומר שסמך על אחוי שטרך</w:t>
      </w:r>
    </w:p>
    <w:p w:rsidR="00F163D7" w:rsidRDefault="00F163D7" w:rsidP="007E4E81">
      <w:pPr>
        <w:pStyle w:val="a"/>
        <w:rPr>
          <w:rFonts w:eastAsiaTheme="minorEastAsia" w:cstheme="minorBidi"/>
          <w:sz w:val="22"/>
          <w:szCs w:val="22"/>
          <w:rtl/>
        </w:rPr>
      </w:pPr>
      <w:r>
        <w:rPr>
          <w:rtl/>
        </w:rPr>
        <w:t>ביאור רבי ראובן ברמב"ן דלאחר שתיקנו חזקת ג"ש הרגל"ד משתיקת המערער היא רק בג"ש</w:t>
      </w:r>
    </w:p>
    <w:p w:rsidR="00F163D7" w:rsidRDefault="00F163D7" w:rsidP="0007171D">
      <w:pPr>
        <w:pStyle w:val="aff4"/>
        <w:rPr>
          <w:rFonts w:eastAsiaTheme="minorEastAsia" w:cstheme="minorBidi"/>
          <w:i/>
          <w:iCs/>
          <w:noProof/>
          <w:sz w:val="22"/>
          <w:szCs w:val="22"/>
          <w:rtl/>
        </w:rPr>
      </w:pPr>
      <w:r>
        <w:rPr>
          <w:noProof/>
          <w:rtl/>
        </w:rPr>
        <w:t>ביאור הקה"י ברמב"ן דאחר תקנת ג"ש אינו מוחה בתוך ג"ש</w:t>
      </w:r>
    </w:p>
    <w:p w:rsidR="00F163D7" w:rsidRDefault="00F163D7" w:rsidP="007E4E81">
      <w:pPr>
        <w:pStyle w:val="a"/>
        <w:rPr>
          <w:rFonts w:eastAsiaTheme="minorEastAsia" w:cstheme="minorBidi"/>
          <w:sz w:val="22"/>
          <w:szCs w:val="22"/>
          <w:rtl/>
        </w:rPr>
      </w:pPr>
      <w:r>
        <w:rPr>
          <w:rtl/>
        </w:rPr>
        <w:t>ביאור הקה"י ברמב"ן דאחר תקנת חזקת ג"ש אין הבעלים חושש למחות והראיה לאחר ג"ש</w:t>
      </w:r>
    </w:p>
    <w:p w:rsidR="00F163D7" w:rsidRDefault="00F163D7" w:rsidP="007E4E81">
      <w:pPr>
        <w:pStyle w:val="a"/>
        <w:rPr>
          <w:rFonts w:eastAsiaTheme="minorEastAsia" w:cstheme="minorBidi"/>
          <w:sz w:val="22"/>
          <w:szCs w:val="22"/>
          <w:rtl/>
        </w:rPr>
      </w:pPr>
      <w:r>
        <w:rPr>
          <w:rtl/>
        </w:rPr>
        <w:t>ביאור הקה"י ברמב"ן דלקטן אף שאין שטר לא תיקנו תקנה מיוחדת שירויח ותועיל חזקה מיד</w:t>
      </w:r>
    </w:p>
    <w:p w:rsidR="00F163D7" w:rsidRDefault="00F163D7" w:rsidP="007E4E81">
      <w:pPr>
        <w:pStyle w:val="a"/>
        <w:rPr>
          <w:rFonts w:eastAsiaTheme="minorEastAsia" w:cstheme="minorBidi"/>
          <w:sz w:val="22"/>
          <w:szCs w:val="22"/>
          <w:rtl/>
        </w:rPr>
      </w:pPr>
      <w:r>
        <w:rPr>
          <w:rtl/>
        </w:rPr>
        <w:t>דברי הקה"י דלכן צריך עדות על כל הג"ש דהראיה משתיקת המערער היא רק לאחר ג"ש</w:t>
      </w:r>
    </w:p>
    <w:p w:rsidR="00F163D7" w:rsidRDefault="00F163D7" w:rsidP="0007171D">
      <w:pPr>
        <w:pStyle w:val="aff4"/>
        <w:rPr>
          <w:rFonts w:eastAsiaTheme="minorEastAsia" w:cstheme="minorBidi"/>
          <w:i/>
          <w:iCs/>
          <w:noProof/>
          <w:sz w:val="22"/>
          <w:szCs w:val="22"/>
          <w:rtl/>
        </w:rPr>
      </w:pPr>
      <w:r>
        <w:rPr>
          <w:noProof/>
          <w:rtl/>
        </w:rPr>
        <w:t>הוכחת רבי ראובן מהנתיה"מ דלרמב"ן הראיה מדלא הקפיד</w:t>
      </w:r>
    </w:p>
    <w:p w:rsidR="00F163D7" w:rsidRDefault="00F163D7" w:rsidP="007E4E81">
      <w:pPr>
        <w:pStyle w:val="a"/>
        <w:rPr>
          <w:rFonts w:eastAsiaTheme="minorEastAsia" w:cstheme="minorBidi"/>
          <w:sz w:val="22"/>
          <w:szCs w:val="22"/>
          <w:rtl/>
        </w:rPr>
      </w:pPr>
      <w:r>
        <w:rPr>
          <w:rtl/>
        </w:rPr>
        <w:t>דברי רבי ראובן דהנתיה"מ ביאר ברמב"ן דהראיה רק אחר שלא הקפיד כל הג"ש</w:t>
      </w:r>
    </w:p>
    <w:p w:rsidR="00F163D7" w:rsidRDefault="00F163D7" w:rsidP="007E4E81">
      <w:pPr>
        <w:pStyle w:val="a"/>
        <w:rPr>
          <w:rFonts w:eastAsiaTheme="minorEastAsia" w:cstheme="minorBidi"/>
          <w:sz w:val="22"/>
          <w:szCs w:val="22"/>
          <w:rtl/>
        </w:rPr>
      </w:pPr>
      <w:r>
        <w:rPr>
          <w:rtl/>
        </w:rPr>
        <w:t>ביאור רבי ראובן ברמב"ן דרבא לא חזר מהתי' דקפיד ורק בדרכו להקפיד יש ראיה מיד</w:t>
      </w:r>
    </w:p>
    <w:p w:rsidR="00F163D7" w:rsidRDefault="00F163D7" w:rsidP="007E4E81">
      <w:pPr>
        <w:pStyle w:val="a"/>
        <w:rPr>
          <w:rFonts w:eastAsiaTheme="minorEastAsia" w:cstheme="minorBidi"/>
          <w:sz w:val="22"/>
          <w:szCs w:val="22"/>
          <w:rtl/>
        </w:rPr>
      </w:pPr>
      <w:r>
        <w:rPr>
          <w:rtl/>
        </w:rPr>
        <w:t>דברי רבי ראובן דמשמע ברמב"ן דאינו נזהר בשטר כיון שסומך החזקה ולא שסומך שלא יערער</w:t>
      </w:r>
    </w:p>
    <w:p w:rsidR="00F163D7" w:rsidRDefault="00F163D7" w:rsidP="0007171D">
      <w:pPr>
        <w:pStyle w:val="aff4"/>
        <w:rPr>
          <w:rFonts w:eastAsiaTheme="minorEastAsia" w:cstheme="minorBidi"/>
          <w:i/>
          <w:iCs/>
          <w:noProof/>
          <w:sz w:val="22"/>
          <w:szCs w:val="22"/>
          <w:rtl/>
        </w:rPr>
      </w:pPr>
      <w:r>
        <w:rPr>
          <w:noProof/>
          <w:rtl/>
        </w:rPr>
        <w:t>ביאור רבי ראובן בקצוה"ח דיש ב' זמנים דעל המערער להקפיד</w:t>
      </w:r>
    </w:p>
    <w:p w:rsidR="00F163D7" w:rsidRDefault="00F163D7" w:rsidP="007E4E81">
      <w:pPr>
        <w:pStyle w:val="a"/>
        <w:rPr>
          <w:rFonts w:eastAsiaTheme="minorEastAsia" w:cstheme="minorBidi"/>
          <w:sz w:val="22"/>
          <w:szCs w:val="22"/>
          <w:rtl/>
        </w:rPr>
      </w:pPr>
      <w:r>
        <w:rPr>
          <w:rtl/>
        </w:rPr>
        <w:t>ביאור רבי ראובן בקצוה"ח דהמערער אינו מקפיד בתחילה ואינו מקפיד בזמן שנזהר בשטרו</w:t>
      </w:r>
    </w:p>
    <w:p w:rsidR="00F163D7" w:rsidRDefault="00F163D7" w:rsidP="007E4E81">
      <w:pPr>
        <w:pStyle w:val="a"/>
        <w:rPr>
          <w:rFonts w:eastAsiaTheme="minorEastAsia" w:cstheme="minorBidi"/>
          <w:sz w:val="22"/>
          <w:szCs w:val="22"/>
          <w:rtl/>
        </w:rPr>
      </w:pPr>
      <w:r>
        <w:rPr>
          <w:rtl/>
        </w:rPr>
        <w:t>דברי רבי ראובן דלקצוה"ח אינו נזהר דאחר ג"ש סומך שלא יערער ולא משמע כן ברמב"ן</w:t>
      </w:r>
    </w:p>
    <w:p w:rsidR="00F163D7" w:rsidRDefault="00F163D7" w:rsidP="007E4E81">
      <w:pPr>
        <w:pStyle w:val="a"/>
        <w:rPr>
          <w:rFonts w:eastAsiaTheme="minorEastAsia" w:cstheme="minorBidi"/>
          <w:sz w:val="22"/>
          <w:szCs w:val="22"/>
          <w:rtl/>
        </w:rPr>
      </w:pPr>
      <w:r>
        <w:rPr>
          <w:rtl/>
        </w:rPr>
        <w:t>תי' רבי ראובן על קושית הקצוה"ח מעבד קטן דל"מ אחוי שטרך כנגד החזקה ויש ראיה אחר ג"ש</w:t>
      </w:r>
    </w:p>
    <w:p w:rsidR="00F163D7" w:rsidRDefault="00F163D7" w:rsidP="007E4E81">
      <w:pPr>
        <w:pStyle w:val="a"/>
        <w:rPr>
          <w:rFonts w:eastAsiaTheme="minorEastAsia" w:cstheme="minorBidi"/>
          <w:sz w:val="22"/>
          <w:szCs w:val="22"/>
          <w:rtl/>
        </w:rPr>
      </w:pPr>
      <w:r>
        <w:rPr>
          <w:rtl/>
        </w:rPr>
        <w:t>תי' רבי ראובן על קושית הקצוה"ח מצנא דפירי דרק לאחר ג"ש הוי חזקה ולא לאלתר</w:t>
      </w:r>
    </w:p>
    <w:p w:rsidR="00F163D7" w:rsidRDefault="00F163D7" w:rsidP="007E4E81">
      <w:pPr>
        <w:pStyle w:val="a"/>
        <w:rPr>
          <w:rFonts w:eastAsiaTheme="minorEastAsia" w:cstheme="minorBidi"/>
          <w:sz w:val="22"/>
          <w:szCs w:val="22"/>
          <w:rtl/>
        </w:rPr>
      </w:pPr>
      <w:r>
        <w:rPr>
          <w:rtl/>
        </w:rPr>
        <w:t>ביאור רבי ראובן דלא היה לרמב"ן הו"א דתועיל חזקה בפחות מג"ש בקטן אלא בצירוף האב</w:t>
      </w:r>
    </w:p>
    <w:p w:rsidR="00F163D7" w:rsidRDefault="00F163D7" w:rsidP="0007171D">
      <w:pPr>
        <w:pStyle w:val="aff4"/>
        <w:rPr>
          <w:rFonts w:eastAsiaTheme="minorEastAsia" w:cstheme="minorBidi"/>
          <w:i/>
          <w:iCs/>
          <w:noProof/>
          <w:sz w:val="22"/>
          <w:szCs w:val="22"/>
          <w:rtl/>
        </w:rPr>
      </w:pPr>
      <w:r>
        <w:rPr>
          <w:noProof/>
          <w:rtl/>
        </w:rPr>
        <w:t>ביאור רבי ראובן ברשב"א דבג"ש יש ריעותא בטענת המערער</w:t>
      </w:r>
    </w:p>
    <w:p w:rsidR="00F163D7" w:rsidRDefault="00F163D7" w:rsidP="007E4E81">
      <w:pPr>
        <w:pStyle w:val="a"/>
        <w:rPr>
          <w:rFonts w:eastAsiaTheme="minorEastAsia" w:cstheme="minorBidi"/>
          <w:sz w:val="22"/>
          <w:szCs w:val="22"/>
          <w:rtl/>
        </w:rPr>
      </w:pPr>
      <w:r>
        <w:rPr>
          <w:rtl/>
        </w:rPr>
        <w:t>ביאור רבי ראובן ברשב"א דבנראה המערער כמערים טענתו רעועה ואינו יכול להוציא מהמחזיק</w:t>
      </w:r>
    </w:p>
    <w:p w:rsidR="00F163D7" w:rsidRDefault="00F163D7" w:rsidP="007E4E81">
      <w:pPr>
        <w:pStyle w:val="a"/>
        <w:rPr>
          <w:rFonts w:eastAsiaTheme="minorEastAsia" w:cstheme="minorBidi"/>
          <w:sz w:val="22"/>
          <w:szCs w:val="22"/>
          <w:rtl/>
        </w:rPr>
      </w:pPr>
      <w:r>
        <w:rPr>
          <w:rtl/>
        </w:rPr>
        <w:t>ביאור רבי ראובן ברשב"א דרבא חזר בו מטעמא דקפיד ועיקר הטעם שיש ריעותא בטענתו</w:t>
      </w:r>
    </w:p>
    <w:p w:rsidR="00F163D7" w:rsidRDefault="00F163D7" w:rsidP="007E4E81">
      <w:pPr>
        <w:pStyle w:val="a"/>
        <w:rPr>
          <w:rFonts w:eastAsiaTheme="minorEastAsia" w:cstheme="minorBidi"/>
          <w:sz w:val="22"/>
          <w:szCs w:val="22"/>
          <w:rtl/>
        </w:rPr>
      </w:pPr>
      <w:r>
        <w:rPr>
          <w:rtl/>
        </w:rPr>
        <w:t>ביאור רבי ראובן ברשב"א דמהני מחאה שלא שמע המחזיק כיון שאין הערמה בטענתו</w:t>
      </w:r>
    </w:p>
    <w:p w:rsidR="00F163D7" w:rsidRDefault="00F163D7" w:rsidP="0007171D">
      <w:pPr>
        <w:pStyle w:val="aff4"/>
        <w:rPr>
          <w:rFonts w:eastAsiaTheme="minorEastAsia" w:cstheme="minorBidi"/>
          <w:i/>
          <w:iCs/>
          <w:noProof/>
          <w:sz w:val="22"/>
          <w:szCs w:val="22"/>
          <w:rtl/>
        </w:rPr>
      </w:pPr>
      <w:r>
        <w:rPr>
          <w:noProof/>
          <w:rtl/>
        </w:rPr>
        <w:t>בי' הגרנ"פ ברמב"ן דהראיה היא מיד ודלא כרבי ראובן והקה"י</w:t>
      </w:r>
    </w:p>
    <w:p w:rsidR="00F163D7" w:rsidRDefault="00F163D7" w:rsidP="007E4E81">
      <w:pPr>
        <w:pStyle w:val="a"/>
        <w:rPr>
          <w:rFonts w:eastAsiaTheme="minorEastAsia" w:cstheme="minorBidi"/>
          <w:sz w:val="22"/>
          <w:szCs w:val="22"/>
          <w:rtl/>
        </w:rPr>
      </w:pPr>
      <w:r>
        <w:rPr>
          <w:rtl/>
        </w:rPr>
        <w:t>דברי הגרנ"פ דמוכח ברמב"ן דאף לאחר תקנת חזקת ג"ש הראיה היא לאלתר ולא רק לאחר ג"ש</w:t>
      </w:r>
    </w:p>
    <w:p w:rsidR="00F163D7" w:rsidRDefault="00F163D7" w:rsidP="00F163D7">
      <w:pPr>
        <w:pStyle w:val="2"/>
        <w:rPr>
          <w:rFonts w:eastAsiaTheme="minorEastAsia" w:cstheme="minorBidi"/>
          <w:i/>
          <w:iCs/>
          <w:sz w:val="22"/>
          <w:rtl/>
        </w:rPr>
      </w:pPr>
      <w:r>
        <w:rPr>
          <w:rtl/>
        </w:rPr>
        <w:t xml:space="preserve">בגדר </w:t>
      </w:r>
      <w:r>
        <w:rPr>
          <w:rFonts w:hint="cs"/>
          <w:rtl/>
        </w:rPr>
        <w:t>ההוכחה</w:t>
      </w:r>
      <w:r>
        <w:rPr>
          <w:rtl/>
        </w:rPr>
        <w:t xml:space="preserve"> משתיקת המערער</w:t>
      </w:r>
    </w:p>
    <w:p w:rsidR="00F163D7" w:rsidRDefault="00F163D7" w:rsidP="0007171D">
      <w:pPr>
        <w:pStyle w:val="aff4"/>
        <w:rPr>
          <w:rFonts w:eastAsiaTheme="minorEastAsia" w:cstheme="minorBidi"/>
          <w:i/>
          <w:iCs/>
          <w:noProof/>
          <w:sz w:val="22"/>
          <w:szCs w:val="22"/>
          <w:rtl/>
        </w:rPr>
      </w:pPr>
      <w:r>
        <w:rPr>
          <w:noProof/>
          <w:rtl/>
        </w:rPr>
        <w:t>ביאור הגרנ"פ ברמב"ן דע"י הרגל"ד נעשה מוחזק</w:t>
      </w:r>
    </w:p>
    <w:p w:rsidR="00F163D7" w:rsidRDefault="00F163D7" w:rsidP="007E4E81">
      <w:pPr>
        <w:pStyle w:val="a"/>
        <w:rPr>
          <w:rFonts w:eastAsiaTheme="minorEastAsia" w:cstheme="minorBidi"/>
          <w:sz w:val="22"/>
          <w:szCs w:val="22"/>
          <w:rtl/>
        </w:rPr>
      </w:pPr>
      <w:r>
        <w:rPr>
          <w:rtl/>
        </w:rPr>
        <w:t>ביאור הגרנ"פ ברמב"ן דשתיקת המערער אינה ראיה שמוציאה ממון אלא רגל"ד דנעשה מוחזק</w:t>
      </w:r>
    </w:p>
    <w:p w:rsidR="00F163D7" w:rsidRDefault="00F163D7" w:rsidP="0007171D">
      <w:pPr>
        <w:pStyle w:val="aff4"/>
        <w:rPr>
          <w:rFonts w:eastAsiaTheme="minorEastAsia" w:cstheme="minorBidi"/>
          <w:i/>
          <w:iCs/>
          <w:noProof/>
          <w:sz w:val="22"/>
          <w:szCs w:val="22"/>
          <w:rtl/>
        </w:rPr>
      </w:pPr>
      <w:r>
        <w:rPr>
          <w:noProof/>
          <w:rtl/>
        </w:rPr>
        <w:t>ביאור הגרנ"פ בחילוק בין הראיה להרמב"ן לראיה להרשב"א</w:t>
      </w:r>
    </w:p>
    <w:p w:rsidR="00F163D7" w:rsidRDefault="00F163D7" w:rsidP="007E4E81">
      <w:pPr>
        <w:pStyle w:val="a"/>
        <w:rPr>
          <w:rFonts w:eastAsiaTheme="minorEastAsia" w:cstheme="minorBidi"/>
          <w:sz w:val="22"/>
          <w:szCs w:val="22"/>
          <w:rtl/>
        </w:rPr>
      </w:pPr>
      <w:r>
        <w:rPr>
          <w:rtl/>
        </w:rPr>
        <w:t>ביאור הגרנ"פ ברשב"א דאחר ג"ש הריעותא היא בטענת המערער ולא באחוי שטרך כרמב"ן</w:t>
      </w:r>
    </w:p>
    <w:p w:rsidR="00F163D7" w:rsidRDefault="00F163D7" w:rsidP="007E4E81">
      <w:pPr>
        <w:pStyle w:val="a"/>
        <w:rPr>
          <w:rFonts w:eastAsiaTheme="minorEastAsia" w:cstheme="minorBidi"/>
          <w:sz w:val="22"/>
          <w:szCs w:val="22"/>
          <w:rtl/>
        </w:rPr>
      </w:pPr>
      <w:r>
        <w:rPr>
          <w:rtl/>
        </w:rPr>
        <w:t>ביאור הגרנ"פ ברשב"א דהראיה ל"מ להוציא ממון אלא שהסתמא כמחזיק דנעשה מוחזק</w:t>
      </w:r>
    </w:p>
    <w:p w:rsidR="00F163D7" w:rsidRDefault="00F163D7" w:rsidP="007E4E81">
      <w:pPr>
        <w:pStyle w:val="a"/>
        <w:rPr>
          <w:rFonts w:eastAsiaTheme="minorEastAsia" w:cstheme="minorBidi"/>
          <w:sz w:val="22"/>
          <w:szCs w:val="22"/>
          <w:rtl/>
        </w:rPr>
      </w:pPr>
      <w:r>
        <w:rPr>
          <w:rtl/>
        </w:rPr>
        <w:t>דברי הגרנ"פ דלרמב"ן ולרשב"א נעשה מוחזק לרמב"ן מדלא מיחה ולרשב"א דנראה כמערים</w:t>
      </w:r>
    </w:p>
    <w:p w:rsidR="00F163D7" w:rsidRDefault="00F163D7" w:rsidP="007E4E81">
      <w:pPr>
        <w:pStyle w:val="a"/>
        <w:rPr>
          <w:rFonts w:eastAsiaTheme="minorEastAsia" w:cstheme="minorBidi"/>
          <w:sz w:val="22"/>
          <w:szCs w:val="22"/>
          <w:rtl/>
        </w:rPr>
      </w:pPr>
      <w:r>
        <w:rPr>
          <w:rtl/>
        </w:rPr>
        <w:t>דברי הגרנ"פ דלרמב"ן הראיה היא לאלתר אבל להרשב"א הראיה רק לאחר ג"ש</w:t>
      </w:r>
    </w:p>
    <w:p w:rsidR="00F163D7" w:rsidRDefault="00F163D7" w:rsidP="007E4E81">
      <w:pPr>
        <w:pStyle w:val="a"/>
        <w:rPr>
          <w:rFonts w:eastAsiaTheme="minorEastAsia" w:cstheme="minorBidi"/>
          <w:sz w:val="22"/>
          <w:szCs w:val="22"/>
          <w:rtl/>
        </w:rPr>
      </w:pPr>
      <w:r>
        <w:rPr>
          <w:rtl/>
        </w:rPr>
        <w:t>דברי הגרנ"פ דמבואר בראשונים דחזקת ג"ש אינה אנ"ס שמוציא מהמר"ק אלא דנעשה כמוחזק</w:t>
      </w:r>
    </w:p>
    <w:p w:rsidR="00F163D7" w:rsidRDefault="00F163D7" w:rsidP="00F163D7">
      <w:pPr>
        <w:pStyle w:val="2"/>
        <w:rPr>
          <w:rFonts w:eastAsiaTheme="minorEastAsia" w:cstheme="minorBidi"/>
          <w:i/>
          <w:iCs/>
          <w:sz w:val="22"/>
          <w:rtl/>
        </w:rPr>
      </w:pPr>
      <w:r>
        <w:rPr>
          <w:rtl/>
        </w:rPr>
        <w:t xml:space="preserve">ד' הגרנ"פ דלרמב"ן </w:t>
      </w:r>
      <w:r>
        <w:rPr>
          <w:rFonts w:hint="cs"/>
          <w:rtl/>
        </w:rPr>
        <w:t>ההוכחה</w:t>
      </w:r>
      <w:r>
        <w:rPr>
          <w:rtl/>
        </w:rPr>
        <w:t xml:space="preserve"> מתקנ"ח</w:t>
      </w:r>
    </w:p>
    <w:p w:rsidR="00F163D7" w:rsidRDefault="00F163D7" w:rsidP="0007171D">
      <w:pPr>
        <w:pStyle w:val="aff4"/>
        <w:rPr>
          <w:rFonts w:eastAsiaTheme="minorEastAsia" w:cstheme="minorBidi"/>
          <w:i/>
          <w:iCs/>
          <w:noProof/>
          <w:sz w:val="22"/>
          <w:szCs w:val="22"/>
          <w:rtl/>
        </w:rPr>
      </w:pPr>
      <w:r>
        <w:rPr>
          <w:noProof/>
          <w:rtl/>
        </w:rPr>
        <w:t>ביאור הגרנ"פ ברמב"ן דהחזקה היא תקנ"ח ולא ראיה מדאו'</w:t>
      </w:r>
    </w:p>
    <w:p w:rsidR="00F163D7" w:rsidRDefault="00F163D7" w:rsidP="007E4E81">
      <w:pPr>
        <w:pStyle w:val="a"/>
        <w:rPr>
          <w:rFonts w:eastAsiaTheme="minorEastAsia" w:cstheme="minorBidi"/>
          <w:sz w:val="22"/>
          <w:szCs w:val="22"/>
          <w:rtl/>
        </w:rPr>
      </w:pPr>
      <w:r>
        <w:rPr>
          <w:rtl/>
        </w:rPr>
        <w:t>דברי הגרנ"פ דמוכח ברמב"ן דחזקת ג"ש היא תקנת חכמים לטובת המחזיק ואינה ראיה מדאו'</w:t>
      </w:r>
    </w:p>
    <w:p w:rsidR="00F163D7" w:rsidRDefault="00F163D7" w:rsidP="007E4E81">
      <w:pPr>
        <w:pStyle w:val="a"/>
        <w:rPr>
          <w:rFonts w:eastAsiaTheme="minorEastAsia" w:cstheme="minorBidi"/>
          <w:sz w:val="22"/>
          <w:szCs w:val="22"/>
          <w:rtl/>
        </w:rPr>
      </w:pPr>
      <w:r>
        <w:rPr>
          <w:rtl/>
        </w:rPr>
        <w:t>ביאור הגרנ"פ ברמב"ן דמחמת הרגל"ד ששתק תיקנו חכמים חזקה אך אי"ז ראיה גמורה מדאו'</w:t>
      </w:r>
    </w:p>
    <w:p w:rsidR="00F163D7" w:rsidRDefault="00F163D7" w:rsidP="007E4E81">
      <w:pPr>
        <w:pStyle w:val="a"/>
        <w:rPr>
          <w:rFonts w:eastAsiaTheme="minorEastAsia" w:cstheme="minorBidi"/>
          <w:sz w:val="22"/>
          <w:szCs w:val="22"/>
          <w:rtl/>
        </w:rPr>
      </w:pPr>
      <w:r>
        <w:rPr>
          <w:rtl/>
        </w:rPr>
        <w:t>דברי הגרנ"פ דמדכתב הרמב"ן דלקטן ל"מ פחות מג"ש שלא ירויח מוכח דהחזקה היא תקנ"ח</w:t>
      </w:r>
    </w:p>
    <w:p w:rsidR="00F163D7" w:rsidRDefault="00F163D7" w:rsidP="00F163D7">
      <w:pPr>
        <w:pStyle w:val="2"/>
        <w:rPr>
          <w:rFonts w:eastAsiaTheme="minorEastAsia" w:cstheme="minorBidi"/>
          <w:i/>
          <w:iCs/>
          <w:sz w:val="22"/>
          <w:rtl/>
        </w:rPr>
      </w:pPr>
      <w:r>
        <w:rPr>
          <w:rtl/>
        </w:rPr>
        <w:t>בי' הגרנ"פ בריטב"א דהראיה היא מדאו'</w:t>
      </w:r>
    </w:p>
    <w:p w:rsidR="00F163D7" w:rsidRDefault="00F163D7" w:rsidP="0007171D">
      <w:pPr>
        <w:pStyle w:val="aff4"/>
        <w:rPr>
          <w:rFonts w:eastAsiaTheme="minorEastAsia" w:cstheme="minorBidi"/>
          <w:i/>
          <w:iCs/>
          <w:noProof/>
          <w:sz w:val="22"/>
          <w:szCs w:val="22"/>
          <w:rtl/>
        </w:rPr>
      </w:pPr>
      <w:r>
        <w:rPr>
          <w:noProof/>
          <w:rtl/>
        </w:rPr>
        <w:t>ביאור הגרנ"פ בריטב"א דבחזקה יש ראיה דמהני מדאו'</w:t>
      </w:r>
    </w:p>
    <w:p w:rsidR="00F163D7" w:rsidRDefault="00F163D7" w:rsidP="007E4E81">
      <w:pPr>
        <w:pStyle w:val="a"/>
        <w:rPr>
          <w:rFonts w:eastAsiaTheme="minorEastAsia" w:cstheme="minorBidi"/>
          <w:sz w:val="22"/>
          <w:szCs w:val="22"/>
          <w:rtl/>
        </w:rPr>
      </w:pPr>
      <w:r>
        <w:rPr>
          <w:rtl/>
        </w:rPr>
        <w:t>ביאור הגרנ"פ בריטב"א דחזקת ג"ש היא ראיה מדאו' ולכן דמי לתפיסה במטלטלין</w:t>
      </w:r>
    </w:p>
    <w:p w:rsidR="00F163D7" w:rsidRDefault="00F163D7" w:rsidP="00F163D7">
      <w:pPr>
        <w:pStyle w:val="2"/>
        <w:rPr>
          <w:rFonts w:eastAsiaTheme="minorEastAsia" w:cstheme="minorBidi"/>
          <w:i/>
          <w:iCs/>
          <w:sz w:val="22"/>
          <w:rtl/>
        </w:rPr>
      </w:pPr>
      <w:r>
        <w:rPr>
          <w:rtl/>
        </w:rPr>
        <w:t xml:space="preserve">בביאור גדר </w:t>
      </w:r>
      <w:r>
        <w:rPr>
          <w:rFonts w:hint="cs"/>
          <w:rtl/>
        </w:rPr>
        <w:t>ההוכחה</w:t>
      </w:r>
      <w:r>
        <w:rPr>
          <w:rtl/>
        </w:rPr>
        <w:t xml:space="preserve"> מהחזקה להרמב"ן</w:t>
      </w:r>
    </w:p>
    <w:p w:rsidR="00F163D7" w:rsidRDefault="00F163D7" w:rsidP="0007171D">
      <w:pPr>
        <w:pStyle w:val="aff4"/>
        <w:rPr>
          <w:rFonts w:eastAsiaTheme="minorEastAsia" w:cstheme="minorBidi"/>
          <w:i/>
          <w:iCs/>
          <w:noProof/>
          <w:sz w:val="22"/>
          <w:szCs w:val="22"/>
          <w:rtl/>
        </w:rPr>
      </w:pPr>
      <w:r>
        <w:rPr>
          <w:noProof/>
          <w:rtl/>
        </w:rPr>
        <w:t>קושית הגרש"ר והגרנ"פ והאבי עזרי דא"צ עדות על חזקת ג"ש</w:t>
      </w:r>
    </w:p>
    <w:p w:rsidR="00F163D7" w:rsidRDefault="00F163D7" w:rsidP="007E4E81">
      <w:pPr>
        <w:pStyle w:val="a"/>
        <w:rPr>
          <w:rFonts w:eastAsiaTheme="minorEastAsia" w:cstheme="minorBidi"/>
          <w:sz w:val="22"/>
          <w:szCs w:val="22"/>
          <w:rtl/>
        </w:rPr>
      </w:pPr>
      <w:r>
        <w:rPr>
          <w:rtl/>
        </w:rPr>
        <w:t>קושית הגרש"ר על הרמב"ן דסגי בעדות חזקת יום אחד עם טענת ג"ש וא"צ עדות ג"ש שלימות</w:t>
      </w:r>
    </w:p>
    <w:p w:rsidR="00F163D7" w:rsidRDefault="00F163D7" w:rsidP="007E4E81">
      <w:pPr>
        <w:pStyle w:val="a"/>
        <w:rPr>
          <w:rFonts w:eastAsiaTheme="minorEastAsia" w:cstheme="minorBidi"/>
          <w:sz w:val="22"/>
          <w:szCs w:val="22"/>
          <w:rtl/>
        </w:rPr>
      </w:pPr>
      <w:r>
        <w:rPr>
          <w:rtl/>
        </w:rPr>
        <w:t>קושית האבי עזרי והגרנ"פ דסגי בעדות שנה א' ועל המערער להוכיח שיש ריעותא דאחוי שטרך</w:t>
      </w:r>
    </w:p>
    <w:p w:rsidR="00F163D7" w:rsidRDefault="00F163D7" w:rsidP="007E4E81">
      <w:pPr>
        <w:pStyle w:val="a"/>
        <w:rPr>
          <w:rFonts w:eastAsiaTheme="minorEastAsia" w:cstheme="minorBidi"/>
          <w:sz w:val="22"/>
          <w:szCs w:val="22"/>
          <w:rtl/>
        </w:rPr>
      </w:pPr>
      <w:r>
        <w:rPr>
          <w:rtl/>
        </w:rPr>
        <w:t>ביאור הגרנ"פ דבלא עדות חזקת ג"ש יש ראיה שאין הקרקע של המחזיק מטענת אחוי שטרך</w:t>
      </w:r>
    </w:p>
    <w:p w:rsidR="00F163D7" w:rsidRDefault="00F163D7" w:rsidP="0007171D">
      <w:pPr>
        <w:pStyle w:val="aff4"/>
        <w:rPr>
          <w:rFonts w:eastAsiaTheme="minorEastAsia" w:cstheme="minorBidi"/>
          <w:i/>
          <w:iCs/>
          <w:noProof/>
          <w:sz w:val="22"/>
          <w:szCs w:val="22"/>
          <w:rtl/>
        </w:rPr>
      </w:pPr>
      <w:r>
        <w:rPr>
          <w:noProof/>
          <w:rtl/>
        </w:rPr>
        <w:t>ביאור האבי עזרי ברמב"ן דבלא שטר אינו כבעלים ואינו תפוס</w:t>
      </w:r>
    </w:p>
    <w:p w:rsidR="00F163D7" w:rsidRDefault="00F163D7" w:rsidP="007E4E81">
      <w:pPr>
        <w:pStyle w:val="a"/>
        <w:rPr>
          <w:rFonts w:eastAsiaTheme="minorEastAsia" w:cstheme="minorBidi"/>
          <w:sz w:val="22"/>
          <w:szCs w:val="22"/>
          <w:rtl/>
        </w:rPr>
      </w:pPr>
      <w:r>
        <w:rPr>
          <w:rtl/>
        </w:rPr>
        <w:t>ביאור האבי עזרי ברמב"ן דחזקה בקרקע היא כתפיסה במטלטלין אך בלא שטר אי"ז דרך בעלים</w:t>
      </w:r>
    </w:p>
    <w:p w:rsidR="00F163D7" w:rsidRDefault="00F163D7" w:rsidP="007E4E81">
      <w:pPr>
        <w:pStyle w:val="a"/>
        <w:rPr>
          <w:rFonts w:eastAsiaTheme="minorEastAsia" w:cstheme="minorBidi"/>
          <w:sz w:val="22"/>
          <w:szCs w:val="22"/>
          <w:rtl/>
        </w:rPr>
      </w:pPr>
      <w:r>
        <w:rPr>
          <w:rtl/>
        </w:rPr>
        <w:t>תירוץ האבי עזרי דעל המחזיק להוכיח שישב ג"ש וא"צ להביא שטר ובלא"ה אינו כדרך הבעלים</w:t>
      </w:r>
    </w:p>
    <w:p w:rsidR="00F163D7" w:rsidRDefault="00F163D7" w:rsidP="007E4E81">
      <w:pPr>
        <w:pStyle w:val="a"/>
        <w:rPr>
          <w:rFonts w:eastAsiaTheme="minorEastAsia" w:cstheme="minorBidi"/>
          <w:sz w:val="22"/>
          <w:szCs w:val="22"/>
          <w:rtl/>
        </w:rPr>
      </w:pPr>
      <w:r>
        <w:rPr>
          <w:rtl/>
        </w:rPr>
        <w:t>תי' האבי עזרי על קו' הקצוה"ח דמוחזק בקרקע כתפוס במטלטלין וא"א לומר לפירות הורדתיו</w:t>
      </w:r>
    </w:p>
    <w:p w:rsidR="00F163D7" w:rsidRDefault="00F163D7" w:rsidP="0007171D">
      <w:pPr>
        <w:pStyle w:val="aff4"/>
        <w:rPr>
          <w:rFonts w:eastAsiaTheme="minorEastAsia" w:cstheme="minorBidi"/>
          <w:i/>
          <w:iCs/>
          <w:noProof/>
          <w:sz w:val="22"/>
          <w:szCs w:val="22"/>
          <w:rtl/>
        </w:rPr>
      </w:pPr>
      <w:r>
        <w:rPr>
          <w:noProof/>
          <w:rtl/>
        </w:rPr>
        <w:t>ביאור הדברי מרדכי דבלא שטר יש חסרון בתפיסה בקרקע</w:t>
      </w:r>
    </w:p>
    <w:p w:rsidR="00F163D7" w:rsidRDefault="00F163D7" w:rsidP="007E4E81">
      <w:pPr>
        <w:pStyle w:val="a"/>
        <w:rPr>
          <w:rFonts w:eastAsiaTheme="minorEastAsia" w:cstheme="minorBidi"/>
          <w:sz w:val="22"/>
          <w:szCs w:val="22"/>
          <w:rtl/>
        </w:rPr>
      </w:pPr>
      <w:r>
        <w:rPr>
          <w:rtl/>
        </w:rPr>
        <w:t>ביאור הדברי מרדכי ברמב"ן דאחיזת השטר כתפיסה בשדה וכל שאין לו שטר חסר בתפיסה שלו</w:t>
      </w:r>
    </w:p>
    <w:p w:rsidR="00F163D7" w:rsidRDefault="00F163D7" w:rsidP="0007171D">
      <w:pPr>
        <w:pStyle w:val="aff4"/>
        <w:rPr>
          <w:rFonts w:eastAsiaTheme="minorEastAsia" w:cstheme="minorBidi"/>
          <w:i/>
          <w:iCs/>
          <w:noProof/>
          <w:sz w:val="22"/>
          <w:szCs w:val="22"/>
          <w:rtl/>
        </w:rPr>
      </w:pPr>
      <w:r>
        <w:rPr>
          <w:noProof/>
          <w:rtl/>
        </w:rPr>
        <w:t>קושית הקוב"ש והגרש"ר והגרנ"פ דהמחזיק יוכיח שלא מחו בו</w:t>
      </w:r>
    </w:p>
    <w:p w:rsidR="00F163D7" w:rsidRDefault="00F163D7" w:rsidP="007E4E81">
      <w:pPr>
        <w:pStyle w:val="a"/>
        <w:rPr>
          <w:rFonts w:eastAsiaTheme="minorEastAsia" w:cstheme="minorBidi"/>
          <w:sz w:val="22"/>
          <w:szCs w:val="22"/>
          <w:rtl/>
        </w:rPr>
      </w:pPr>
      <w:r>
        <w:rPr>
          <w:rtl/>
        </w:rPr>
        <w:t>קושית הקוב"ש והגרנ"פ והגרש"ר דלרמב"ן על המחזיק להוכיח שלא הייתה מחאה דזו החזקה</w:t>
      </w:r>
    </w:p>
    <w:p w:rsidR="00F163D7" w:rsidRDefault="00F163D7" w:rsidP="0007171D">
      <w:pPr>
        <w:pStyle w:val="aff4"/>
        <w:rPr>
          <w:rFonts w:eastAsiaTheme="minorEastAsia" w:cstheme="minorBidi"/>
          <w:i/>
          <w:iCs/>
          <w:noProof/>
          <w:sz w:val="22"/>
          <w:szCs w:val="22"/>
          <w:rtl/>
        </w:rPr>
      </w:pPr>
      <w:r>
        <w:rPr>
          <w:noProof/>
          <w:rtl/>
        </w:rPr>
        <w:t>תירוץ הגרנ"פ דלרמב"ן הוא נעשה מוחזק ולא חיישינן למחאה</w:t>
      </w:r>
    </w:p>
    <w:p w:rsidR="00F163D7" w:rsidRDefault="00F163D7" w:rsidP="007E4E81">
      <w:pPr>
        <w:pStyle w:val="a"/>
        <w:rPr>
          <w:rFonts w:eastAsiaTheme="minorEastAsia" w:cstheme="minorBidi"/>
          <w:sz w:val="22"/>
          <w:szCs w:val="22"/>
          <w:rtl/>
        </w:rPr>
      </w:pPr>
      <w:r>
        <w:rPr>
          <w:rtl/>
        </w:rPr>
        <w:t>תירוץ הגרנ"פ דלרמב"ן ע"י הרגל"ד הוא מוחזק ואנו רואים מוחזקות לפנינו וא"צ לחוש למחאה</w:t>
      </w:r>
    </w:p>
    <w:p w:rsidR="00F163D7" w:rsidRDefault="00F163D7" w:rsidP="0007171D">
      <w:pPr>
        <w:pStyle w:val="aff4"/>
        <w:rPr>
          <w:rFonts w:eastAsiaTheme="minorEastAsia" w:cstheme="minorBidi"/>
          <w:i/>
          <w:iCs/>
          <w:noProof/>
          <w:sz w:val="22"/>
          <w:szCs w:val="22"/>
          <w:rtl/>
        </w:rPr>
      </w:pPr>
      <w:r>
        <w:rPr>
          <w:noProof/>
          <w:rtl/>
        </w:rPr>
        <w:t>ביאור הגרש"ר ברמב"ן דהראיה מדלא סילקו מהקרקע</w:t>
      </w:r>
    </w:p>
    <w:p w:rsidR="00F163D7" w:rsidRDefault="00F163D7" w:rsidP="007E4E81">
      <w:pPr>
        <w:pStyle w:val="a"/>
        <w:rPr>
          <w:rFonts w:eastAsiaTheme="minorEastAsia" w:cstheme="minorBidi"/>
          <w:sz w:val="22"/>
          <w:szCs w:val="22"/>
          <w:rtl/>
        </w:rPr>
      </w:pPr>
      <w:r>
        <w:rPr>
          <w:rtl/>
        </w:rPr>
        <w:t>דברי הגרש"ר דצ"ל כביאור רבינו יונה דלמחזיק קשה למצא עדים שלא מחו בו</w:t>
      </w:r>
    </w:p>
    <w:p w:rsidR="00F163D7" w:rsidRDefault="00F163D7" w:rsidP="007E4E81">
      <w:pPr>
        <w:pStyle w:val="a"/>
        <w:rPr>
          <w:rFonts w:eastAsiaTheme="minorEastAsia" w:cstheme="minorBidi"/>
          <w:sz w:val="22"/>
          <w:szCs w:val="22"/>
          <w:rtl/>
        </w:rPr>
      </w:pPr>
      <w:r>
        <w:rPr>
          <w:rtl/>
        </w:rPr>
        <w:t>ביאור הגרש"ר ברמב"ן דהראיה בחזקה היא ממה שלא סילקו מהקרקע אף אם מחה בפני עדים</w:t>
      </w:r>
    </w:p>
    <w:p w:rsidR="00F163D7" w:rsidRDefault="00F163D7" w:rsidP="0007171D">
      <w:pPr>
        <w:pStyle w:val="aff4"/>
        <w:rPr>
          <w:rFonts w:eastAsiaTheme="minorEastAsia" w:cstheme="minorBidi"/>
          <w:i/>
          <w:iCs/>
          <w:noProof/>
          <w:sz w:val="22"/>
          <w:szCs w:val="22"/>
          <w:rtl/>
        </w:rPr>
      </w:pPr>
      <w:r>
        <w:rPr>
          <w:noProof/>
          <w:rtl/>
        </w:rPr>
        <w:t>תירוץ הקוב"ש דאין בכח ספק מחאה לבטל ודאי חזקה</w:t>
      </w:r>
    </w:p>
    <w:p w:rsidR="00F163D7" w:rsidRDefault="00F163D7" w:rsidP="007E4E81">
      <w:pPr>
        <w:pStyle w:val="a"/>
        <w:rPr>
          <w:rFonts w:eastAsiaTheme="minorEastAsia" w:cstheme="minorBidi"/>
          <w:sz w:val="22"/>
          <w:szCs w:val="22"/>
          <w:rtl/>
        </w:rPr>
      </w:pPr>
      <w:r>
        <w:rPr>
          <w:rtl/>
        </w:rPr>
        <w:t>דברי הקוב"ש דבודאי חזקה וספק מחאה כשהמערער היה יכול למחות אין ספק מוציא מודאי</w:t>
      </w:r>
    </w:p>
    <w:p w:rsidR="00F163D7" w:rsidRDefault="00F163D7" w:rsidP="007E4E81">
      <w:pPr>
        <w:pStyle w:val="a"/>
        <w:rPr>
          <w:rFonts w:eastAsiaTheme="minorEastAsia" w:cstheme="minorBidi"/>
          <w:sz w:val="22"/>
          <w:szCs w:val="22"/>
          <w:rtl/>
        </w:rPr>
      </w:pPr>
      <w:r>
        <w:rPr>
          <w:rtl/>
        </w:rPr>
        <w:t>דברי הקוב"ש דכשלא היה המערער יכול למחות הספק בעיקר החזקה ועל המחזיק להוכיח</w:t>
      </w:r>
    </w:p>
    <w:p w:rsidR="00F163D7" w:rsidRDefault="00F163D7" w:rsidP="0007171D">
      <w:pPr>
        <w:pStyle w:val="aff4"/>
        <w:rPr>
          <w:rtl/>
        </w:rPr>
      </w:pPr>
      <w:r>
        <w:rPr>
          <w:rtl/>
        </w:rPr>
        <w:t>חקירת המשנת ר"א בגדר המוחזקות בחזקת ג"ש להרמב"ן</w:t>
      </w:r>
    </w:p>
    <w:p w:rsidR="00F163D7" w:rsidRDefault="00F163D7" w:rsidP="007E4E81">
      <w:pPr>
        <w:pStyle w:val="a"/>
        <w:rPr>
          <w:rtl/>
        </w:rPr>
      </w:pPr>
      <w:r>
        <w:rPr>
          <w:rtl/>
        </w:rPr>
        <w:t>הצד הא' במשנת ר"א דקרקע בחזקת בעליה כגודרות ואחר חזקת ג"ש היא בחזקת המחזיק</w:t>
      </w:r>
    </w:p>
    <w:p w:rsidR="00F163D7" w:rsidRDefault="00F163D7" w:rsidP="007E4E81">
      <w:pPr>
        <w:pStyle w:val="a"/>
        <w:rPr>
          <w:rtl/>
        </w:rPr>
      </w:pPr>
      <w:r>
        <w:rPr>
          <w:rtl/>
        </w:rPr>
        <w:t>הצד הב' במשנת ר"א דהחזקה מוציאה מהבעלים בראיה כשטר מכר אעפ"י דהמר"ק מוחזק</w:t>
      </w:r>
    </w:p>
    <w:p w:rsidR="00F163D7" w:rsidRDefault="00F163D7" w:rsidP="00F163D7">
      <w:pPr>
        <w:pStyle w:val="2"/>
        <w:rPr>
          <w:rFonts w:eastAsiaTheme="minorEastAsia" w:cstheme="minorBidi"/>
          <w:i/>
          <w:iCs/>
          <w:sz w:val="22"/>
          <w:rtl/>
        </w:rPr>
      </w:pPr>
      <w:r>
        <w:rPr>
          <w:rtl/>
        </w:rPr>
        <w:t>תי' האחרונים על קושיות הקצוה"ח</w:t>
      </w:r>
    </w:p>
    <w:p w:rsidR="00F163D7" w:rsidRDefault="00F163D7" w:rsidP="0007171D">
      <w:pPr>
        <w:pStyle w:val="aff4"/>
        <w:rPr>
          <w:rFonts w:eastAsiaTheme="minorEastAsia" w:cstheme="minorBidi"/>
          <w:i/>
          <w:iCs/>
          <w:noProof/>
          <w:sz w:val="22"/>
          <w:szCs w:val="22"/>
          <w:rtl/>
        </w:rPr>
      </w:pPr>
      <w:r>
        <w:rPr>
          <w:noProof/>
          <w:rtl/>
        </w:rPr>
        <w:t>תירוצי האחרונים על קו' הקצוה"ח מעבד קטן ומצנא דפירי</w:t>
      </w:r>
    </w:p>
    <w:p w:rsidR="00F163D7" w:rsidRDefault="00F163D7" w:rsidP="007E4E81">
      <w:pPr>
        <w:pStyle w:val="a"/>
        <w:rPr>
          <w:rFonts w:eastAsiaTheme="minorEastAsia" w:cstheme="minorBidi"/>
          <w:sz w:val="22"/>
          <w:szCs w:val="22"/>
          <w:rtl/>
        </w:rPr>
      </w:pPr>
      <w:r>
        <w:rPr>
          <w:rtl/>
        </w:rPr>
        <w:t>דברי הקוב"ש דבמטלטלין התפיסה היא ראיה ואחוי שטרך יוצר ספק ומעמידים בחזקת המוחזק</w:t>
      </w:r>
    </w:p>
    <w:p w:rsidR="00F163D7" w:rsidRDefault="00F163D7" w:rsidP="007E4E81">
      <w:pPr>
        <w:pStyle w:val="a"/>
        <w:rPr>
          <w:rFonts w:eastAsiaTheme="minorEastAsia" w:cstheme="minorBidi"/>
          <w:sz w:val="22"/>
          <w:szCs w:val="22"/>
          <w:rtl/>
        </w:rPr>
      </w:pPr>
      <w:r>
        <w:rPr>
          <w:rtl/>
        </w:rPr>
        <w:t>דברי הקוב"ש דעבד קטן לענין מוחזקות כמטלטלין ומהני תפיסה כנגד טענת אחוי שטרך</w:t>
      </w:r>
    </w:p>
    <w:p w:rsidR="00F163D7" w:rsidRDefault="00F163D7" w:rsidP="007E4E81">
      <w:pPr>
        <w:pStyle w:val="a"/>
        <w:rPr>
          <w:rFonts w:eastAsiaTheme="minorEastAsia" w:cstheme="minorBidi"/>
          <w:sz w:val="22"/>
          <w:szCs w:val="22"/>
          <w:rtl/>
        </w:rPr>
      </w:pPr>
      <w:r>
        <w:rPr>
          <w:rtl/>
        </w:rPr>
        <w:t>ביאור הגרש"ר דאחוי שטרך אינו ראיה גמורה ועושה רק ספק ובקרקע מעמידים בחזקת המר"ק</w:t>
      </w:r>
    </w:p>
    <w:p w:rsidR="00F163D7" w:rsidRDefault="00F163D7" w:rsidP="007E4E81">
      <w:pPr>
        <w:pStyle w:val="a"/>
        <w:rPr>
          <w:rFonts w:eastAsiaTheme="minorEastAsia" w:cstheme="minorBidi"/>
          <w:sz w:val="22"/>
          <w:szCs w:val="22"/>
          <w:rtl/>
        </w:rPr>
      </w:pPr>
      <w:r>
        <w:rPr>
          <w:rtl/>
        </w:rPr>
        <w:t>תי' הגרש"ר על קושית הקצוה"ח דבעבד קטן אחוי שטרך עושה ספק ומעמידים בחזקת המוחזק</w:t>
      </w:r>
    </w:p>
    <w:p w:rsidR="00F163D7" w:rsidRDefault="00F163D7" w:rsidP="007E4E81">
      <w:pPr>
        <w:pStyle w:val="a"/>
        <w:rPr>
          <w:rFonts w:eastAsiaTheme="minorEastAsia" w:cstheme="minorBidi"/>
          <w:sz w:val="22"/>
          <w:szCs w:val="22"/>
          <w:rtl/>
        </w:rPr>
      </w:pPr>
      <w:r>
        <w:rPr>
          <w:rtl/>
        </w:rPr>
        <w:t>תי' הקה"י על קו' הקצוה"ח דבחזקת קרקע אם הורידו לפירות היה לו למחות ולפרסם כן</w:t>
      </w:r>
    </w:p>
    <w:p w:rsidR="00F163D7" w:rsidRDefault="00F163D7" w:rsidP="007E4E81">
      <w:pPr>
        <w:pStyle w:val="a"/>
        <w:rPr>
          <w:rFonts w:eastAsiaTheme="minorEastAsia" w:cstheme="minorBidi"/>
          <w:sz w:val="22"/>
          <w:szCs w:val="22"/>
          <w:rtl/>
        </w:rPr>
      </w:pPr>
      <w:r>
        <w:rPr>
          <w:rtl/>
        </w:rPr>
        <w:t>ביאור הקה"י דבצנא דפירי בטוען לפירות הורדתיו פירי נאמן בצירוף הריעותא דאחוי שטרך</w:t>
      </w:r>
    </w:p>
    <w:p w:rsidR="00F163D7" w:rsidRDefault="00F163D7" w:rsidP="00F163D7">
      <w:pPr>
        <w:pStyle w:val="2"/>
        <w:rPr>
          <w:rFonts w:eastAsiaTheme="minorEastAsia" w:cstheme="minorBidi"/>
          <w:i/>
          <w:iCs/>
          <w:sz w:val="22"/>
          <w:rtl/>
        </w:rPr>
      </w:pPr>
      <w:r>
        <w:rPr>
          <w:rtl/>
        </w:rPr>
        <w:t>בדעת הי"מ ברמב"ן דאין חזקה לקטן</w:t>
      </w:r>
    </w:p>
    <w:p w:rsidR="00F163D7" w:rsidRDefault="00F163D7" w:rsidP="0007171D">
      <w:pPr>
        <w:pStyle w:val="aff4"/>
        <w:rPr>
          <w:rFonts w:eastAsiaTheme="minorEastAsia" w:cstheme="minorBidi"/>
          <w:i/>
          <w:iCs/>
          <w:noProof/>
          <w:sz w:val="22"/>
          <w:szCs w:val="22"/>
          <w:rtl/>
        </w:rPr>
      </w:pPr>
      <w:r>
        <w:rPr>
          <w:noProof/>
          <w:rtl/>
        </w:rPr>
        <w:t>ביאור הגרנ"פ בי"מ ברמב"ן דגדר התקנ"ח דימחה לצורך השטר</w:t>
      </w:r>
    </w:p>
    <w:p w:rsidR="00F163D7" w:rsidRDefault="00F163D7" w:rsidP="007E4E81">
      <w:pPr>
        <w:pStyle w:val="a"/>
        <w:rPr>
          <w:rFonts w:eastAsiaTheme="minorEastAsia" w:cstheme="minorBidi"/>
          <w:sz w:val="22"/>
          <w:szCs w:val="22"/>
          <w:rtl/>
        </w:rPr>
      </w:pPr>
      <w:r>
        <w:rPr>
          <w:rtl/>
        </w:rPr>
        <w:t>ביאור הגרנ"פ בי"מ ברמב"ן דהתקנה לטובת המחזיק וגדר התקנה שימחה המערער שיזהר בשטר</w:t>
      </w:r>
    </w:p>
    <w:p w:rsidR="00F163D7" w:rsidRDefault="00F163D7" w:rsidP="007E4E81">
      <w:pPr>
        <w:pStyle w:val="a"/>
        <w:rPr>
          <w:rFonts w:eastAsiaTheme="minorEastAsia" w:cstheme="minorBidi"/>
          <w:sz w:val="22"/>
          <w:szCs w:val="22"/>
          <w:rtl/>
        </w:rPr>
      </w:pPr>
      <w:r>
        <w:rPr>
          <w:rtl/>
        </w:rPr>
        <w:t>ביאור הגרנ"פ בי"מ ברמב"ן דבקטן שאינו יודע להזהר בשטר לא שייך גדר תקנת החזקה</w:t>
      </w:r>
    </w:p>
    <w:p w:rsidR="00F163D7" w:rsidRDefault="00F163D7" w:rsidP="007E4E81">
      <w:pPr>
        <w:pStyle w:val="a"/>
        <w:rPr>
          <w:rFonts w:eastAsiaTheme="minorEastAsia" w:cstheme="minorBidi"/>
          <w:sz w:val="22"/>
          <w:szCs w:val="22"/>
          <w:rtl/>
        </w:rPr>
      </w:pPr>
      <w:r>
        <w:rPr>
          <w:rtl/>
        </w:rPr>
        <w:t>ביאור הגרנ"פ דהרמב"ן דחה דטעם החזקה אינו מחמת שאין נזהר בשטר אלא מדלא מחה</w:t>
      </w:r>
    </w:p>
    <w:p w:rsidR="00F163D7" w:rsidRDefault="00F163D7" w:rsidP="0007171D">
      <w:pPr>
        <w:pStyle w:val="aff4"/>
        <w:rPr>
          <w:rFonts w:eastAsiaTheme="minorEastAsia" w:cstheme="minorBidi"/>
          <w:i/>
          <w:iCs/>
          <w:noProof/>
          <w:sz w:val="22"/>
          <w:szCs w:val="22"/>
          <w:rtl/>
        </w:rPr>
      </w:pPr>
      <w:r>
        <w:rPr>
          <w:noProof/>
          <w:rtl/>
        </w:rPr>
        <w:t>ביאור הקה"י בי"מ ברמב"ן דהמחאה היא לעשות ריעותא בשטר</w:t>
      </w:r>
    </w:p>
    <w:p w:rsidR="00F163D7" w:rsidRDefault="00F163D7" w:rsidP="007E4E81">
      <w:pPr>
        <w:pStyle w:val="a"/>
        <w:rPr>
          <w:rFonts w:eastAsiaTheme="minorEastAsia" w:cstheme="minorBidi"/>
          <w:sz w:val="22"/>
          <w:szCs w:val="22"/>
          <w:rtl/>
        </w:rPr>
      </w:pPr>
      <w:r>
        <w:rPr>
          <w:rtl/>
        </w:rPr>
        <w:t>ביאור הקה"י בי"מ ברמב"ן דהראיה מדלא מיחה דהיה לו לעשות ריעותא דאחוי שטרך</w:t>
      </w:r>
    </w:p>
    <w:p w:rsidR="00F163D7" w:rsidRDefault="00F163D7" w:rsidP="007E4E81">
      <w:pPr>
        <w:pStyle w:val="a"/>
        <w:rPr>
          <w:rFonts w:eastAsiaTheme="minorEastAsia" w:cstheme="minorBidi"/>
          <w:sz w:val="22"/>
          <w:szCs w:val="22"/>
          <w:rtl/>
        </w:rPr>
      </w:pPr>
      <w:r>
        <w:rPr>
          <w:rtl/>
        </w:rPr>
        <w:t>ביאור הקה"י בי"מ ברמב"ן דבקטן שהמחאה אינה עושה ריעותא לא שייך למחות ואין חזקה</w:t>
      </w:r>
    </w:p>
    <w:p w:rsidR="00F163D7" w:rsidRDefault="00F163D7" w:rsidP="00F163D7">
      <w:pPr>
        <w:pStyle w:val="2"/>
        <w:rPr>
          <w:rFonts w:eastAsiaTheme="minorEastAsia" w:cstheme="minorBidi"/>
          <w:i/>
          <w:iCs/>
          <w:sz w:val="22"/>
          <w:rtl/>
        </w:rPr>
      </w:pPr>
      <w:r>
        <w:rPr>
          <w:rtl/>
        </w:rPr>
        <w:t>בביאור השו"ט בדברי רבא</w:t>
      </w:r>
    </w:p>
    <w:p w:rsidR="00F163D7" w:rsidRDefault="00F163D7" w:rsidP="0007171D">
      <w:pPr>
        <w:pStyle w:val="aff4"/>
        <w:rPr>
          <w:rFonts w:eastAsiaTheme="minorEastAsia" w:cstheme="minorBidi"/>
          <w:i/>
          <w:iCs/>
          <w:noProof/>
          <w:sz w:val="22"/>
          <w:szCs w:val="22"/>
          <w:rtl/>
        </w:rPr>
      </w:pPr>
      <w:r>
        <w:rPr>
          <w:noProof/>
          <w:rtl/>
        </w:rPr>
        <w:t>ביאור הדברי מרדכי בתירוץ רבא לדעת הרמב"ן</w:t>
      </w:r>
    </w:p>
    <w:p w:rsidR="00F163D7" w:rsidRDefault="00F163D7" w:rsidP="007E4E81">
      <w:pPr>
        <w:pStyle w:val="a"/>
        <w:rPr>
          <w:rFonts w:eastAsiaTheme="minorEastAsia" w:cstheme="minorBidi"/>
          <w:sz w:val="22"/>
          <w:szCs w:val="22"/>
          <w:rtl/>
        </w:rPr>
      </w:pPr>
      <w:r>
        <w:rPr>
          <w:rtl/>
        </w:rPr>
        <w:t>קושית הדברי מרדכי על הרמב"ן דעיקר התירוץ חסר דהמערער מקפיד מיד ולא אחר ג"ש כהו"א</w:t>
      </w:r>
    </w:p>
    <w:p w:rsidR="00F911D8" w:rsidRDefault="00F163D7" w:rsidP="007E4E81">
      <w:pPr>
        <w:pStyle w:val="a"/>
        <w:rPr>
          <w:rFonts w:eastAsiaTheme="minorEastAsia" w:cstheme="minorBidi"/>
          <w:sz w:val="22"/>
          <w:szCs w:val="22"/>
          <w:rtl/>
        </w:rPr>
        <w:sectPr w:rsidR="00F911D8" w:rsidSect="00DC277F">
          <w:type w:val="continuous"/>
          <w:pgSz w:w="11906" w:h="16838"/>
          <w:pgMar w:top="720" w:right="720" w:bottom="720" w:left="720" w:header="283" w:footer="283" w:gutter="0"/>
          <w:cols w:num="2" w:space="113"/>
          <w:titlePg/>
          <w:bidi/>
          <w:rtlGutter/>
          <w:docGrid w:linePitch="299"/>
        </w:sectPr>
      </w:pPr>
      <w:r>
        <w:rPr>
          <w:rtl/>
        </w:rPr>
        <w:t>ביאור הדברי מרדכי דלמסקנת רבא היא כהו"א בריש פירקין דבפחות מג"ש מקפיד</w:t>
      </w:r>
    </w:p>
    <w:p w:rsidR="00F163D7" w:rsidRPr="0081356D" w:rsidRDefault="00F163D7" w:rsidP="00F911D8">
      <w:pPr>
        <w:pStyle w:val="2"/>
        <w:rPr>
          <w:rtl/>
        </w:rPr>
      </w:pPr>
      <w:r>
        <w:rPr>
          <w:rtl/>
        </w:rPr>
        <w:lastRenderedPageBreak/>
        <w:fldChar w:fldCharType="end"/>
      </w:r>
      <w:r w:rsidR="006C4F47">
        <w:rPr>
          <w:rFonts w:hint="cs"/>
          <w:rtl/>
        </w:rPr>
        <w:t>~~~~~~~ מראי מקומות וביאורים ~~~~~~~</w:t>
      </w:r>
    </w:p>
    <w:p w:rsidR="00F163D7" w:rsidRPr="00B21444" w:rsidRDefault="00F163D7" w:rsidP="00F163D7">
      <w:pPr>
        <w:pStyle w:val="2"/>
        <w:bidi w:val="0"/>
        <w:rPr>
          <w:rtl/>
        </w:rPr>
        <w:sectPr w:rsidR="00F163D7" w:rsidRPr="00B21444" w:rsidSect="00962FD5">
          <w:footerReference w:type="default" r:id="rId50"/>
          <w:pgSz w:w="11906" w:h="16838"/>
          <w:pgMar w:top="720" w:right="720" w:bottom="720" w:left="720" w:header="283" w:footer="283" w:gutter="0"/>
          <w:cols w:space="720"/>
          <w:bidi/>
          <w:rtlGutter/>
          <w:docGrid w:linePitch="299"/>
        </w:sectPr>
      </w:pPr>
    </w:p>
    <w:p w:rsidR="00F163D7" w:rsidRDefault="00F163D7" w:rsidP="00F163D7">
      <w:pPr>
        <w:pStyle w:val="afe"/>
        <w:rPr>
          <w:rtl/>
        </w:rPr>
      </w:pPr>
      <w:bookmarkStart w:id="3869" w:name="_Toc55739889"/>
      <w:bookmarkStart w:id="3870" w:name="_Toc55839440"/>
      <w:bookmarkStart w:id="3871" w:name="_Toc55927839"/>
      <w:bookmarkStart w:id="3872" w:name="_Toc55946539"/>
      <w:bookmarkStart w:id="3873" w:name="_Toc55991834"/>
      <w:bookmarkStart w:id="3874" w:name="_Toc56030383"/>
      <w:bookmarkStart w:id="3875" w:name="_Toc56032576"/>
      <w:r>
        <w:rPr>
          <w:rFonts w:hint="cs"/>
          <w:rtl/>
        </w:rPr>
        <w:t>הקו</w:t>
      </w:r>
      <w:bookmarkEnd w:id="3869"/>
      <w:bookmarkEnd w:id="3870"/>
      <w:bookmarkEnd w:id="3871"/>
      <w:r>
        <w:rPr>
          <w:rFonts w:hint="cs"/>
          <w:rtl/>
        </w:rPr>
        <w:t>' דאף שא"צ שטר איך יוצא מהמר"ק</w:t>
      </w:r>
      <w:bookmarkEnd w:id="3872"/>
      <w:bookmarkEnd w:id="3873"/>
      <w:bookmarkEnd w:id="3874"/>
      <w:bookmarkEnd w:id="3875"/>
    </w:p>
    <w:p w:rsidR="00F163D7" w:rsidRDefault="00F163D7" w:rsidP="00F163D7">
      <w:pPr>
        <w:pStyle w:val="1"/>
        <w:rPr>
          <w:rtl/>
        </w:rPr>
      </w:pPr>
      <w:bookmarkStart w:id="3876" w:name="_Toc55946540"/>
      <w:bookmarkStart w:id="3877" w:name="_Toc55991835"/>
      <w:bookmarkStart w:id="3878" w:name="_Toc56030384"/>
      <w:bookmarkStart w:id="3879" w:name="_Toc56032577"/>
      <w:bookmarkStart w:id="3880" w:name="_Toc53934419"/>
      <w:bookmarkStart w:id="3881" w:name="_Toc54076380"/>
      <w:bookmarkStart w:id="3882" w:name="_Toc55419883"/>
      <w:bookmarkStart w:id="3883" w:name="_Toc55419939"/>
      <w:bookmarkStart w:id="3884" w:name="_Toc55421147"/>
      <w:r>
        <w:rPr>
          <w:rFonts w:hint="cs"/>
          <w:rtl/>
        </w:rPr>
        <w:t>קושית הריטב"א והקצוה"ח היאך יוצאת הקרקע מחזקת המר"ק</w:t>
      </w:r>
      <w:bookmarkEnd w:id="3876"/>
      <w:bookmarkEnd w:id="3877"/>
      <w:bookmarkEnd w:id="3878"/>
      <w:bookmarkEnd w:id="3879"/>
    </w:p>
    <w:p w:rsidR="00F163D7" w:rsidRDefault="00F163D7" w:rsidP="00F163D7">
      <w:pPr>
        <w:pStyle w:val="a3"/>
        <w:rPr>
          <w:rtl/>
        </w:rPr>
      </w:pPr>
      <w:bookmarkStart w:id="3885" w:name="_Toc55946541"/>
      <w:bookmarkStart w:id="3886" w:name="_Toc55991836"/>
      <w:bookmarkStart w:id="3887" w:name="_Toc56030385"/>
      <w:bookmarkStart w:id="3888" w:name="_Toc56032578"/>
      <w:r>
        <w:rPr>
          <w:rFonts w:hint="cs"/>
          <w:rtl/>
        </w:rPr>
        <w:t>דברי הריטב"א דלמסקנא טעם החזקה הוא כיון דלא נזהר בשטרו ולא מסברות דמחיל ולא קפיד</w:t>
      </w:r>
      <w:bookmarkEnd w:id="3885"/>
      <w:bookmarkEnd w:id="3886"/>
      <w:bookmarkEnd w:id="3887"/>
      <w:bookmarkEnd w:id="3888"/>
    </w:p>
    <w:p w:rsidR="00F163D7" w:rsidRPr="00DD4E3B" w:rsidRDefault="00F163D7" w:rsidP="00BA3263">
      <w:pPr>
        <w:pStyle w:val="a0"/>
        <w:numPr>
          <w:ilvl w:val="0"/>
          <w:numId w:val="12"/>
        </w:numPr>
        <w:rPr>
          <w:rtl/>
        </w:rPr>
      </w:pPr>
      <w:bookmarkStart w:id="3889" w:name="_Ref55464832"/>
      <w:r>
        <w:rPr>
          <w:rFonts w:hint="cs"/>
          <w:rtl/>
        </w:rPr>
        <w:t xml:space="preserve">כתב </w:t>
      </w:r>
      <w:r w:rsidRPr="00AA3E95">
        <w:rPr>
          <w:rStyle w:val="af9"/>
          <w:rFonts w:hint="cs"/>
          <w:rtl/>
        </w:rPr>
        <w:t>הריטב"א</w:t>
      </w:r>
      <w:r>
        <w:rPr>
          <w:rFonts w:hint="cs"/>
          <w:rtl/>
        </w:rPr>
        <w:t xml:space="preserve"> </w:t>
      </w:r>
      <w:r w:rsidRPr="007E4E81">
        <w:rPr>
          <w:rStyle w:val="af7"/>
          <w:rFonts w:eastAsia="Guttman Hodes" w:hint="cs"/>
          <w:rtl/>
        </w:rPr>
        <w:t>(ד"ה אלא)</w:t>
      </w:r>
      <w:r>
        <w:rPr>
          <w:rFonts w:hint="cs"/>
          <w:rtl/>
        </w:rPr>
        <w:t xml:space="preserve"> דהגירסא בגמ' היא "אלא" אמר רבא, והיינו דלמסקנא טעמא דחזקה הוא רק כיון דאין אדם נזהר בשטרו לאחר ג"ש, ולא מחמת הסברות שאמר רבא דעד ג"ש לא קפיד או מוחל, ועי' במ"ש </w:t>
      </w:r>
      <w:r w:rsidRPr="0096039A">
        <w:rPr>
          <w:rStyle w:val="af9"/>
          <w:rFonts w:hint="cs"/>
          <w:rtl/>
        </w:rPr>
        <w:t>הרשב"א</w:t>
      </w:r>
      <w:r>
        <w:rPr>
          <w:rStyle w:val="af9"/>
          <w:rFonts w:hint="cs"/>
          <w:rtl/>
        </w:rPr>
        <w:t xml:space="preserve"> בסוגיין </w:t>
      </w:r>
      <w:r w:rsidRPr="007E4E81">
        <w:rPr>
          <w:rStyle w:val="af7"/>
          <w:rFonts w:eastAsia="Guttman Rashi" w:hint="cs"/>
          <w:rtl/>
        </w:rPr>
        <w:t xml:space="preserve">(עי' אות </w:t>
      </w:r>
      <w:r w:rsidRPr="007E4E81">
        <w:rPr>
          <w:rStyle w:val="af7"/>
          <w:rFonts w:eastAsia="Guttman Rashi"/>
          <w:rtl/>
        </w:rPr>
        <w:fldChar w:fldCharType="begin"/>
      </w:r>
      <w:r w:rsidRPr="007E4E81">
        <w:rPr>
          <w:rStyle w:val="af7"/>
          <w:rFonts w:eastAsia="Guttman Rashi"/>
          <w:rtl/>
        </w:rPr>
        <w:instrText xml:space="preserve"> </w:instrText>
      </w:r>
      <w:r w:rsidRPr="007E4E81">
        <w:rPr>
          <w:rStyle w:val="af7"/>
          <w:rFonts w:eastAsia="Guttman Rashi" w:hint="cs"/>
        </w:rPr>
        <w:instrText>REF</w:instrText>
      </w:r>
      <w:r w:rsidRPr="007E4E81">
        <w:rPr>
          <w:rStyle w:val="af7"/>
          <w:rFonts w:eastAsia="Guttman Rashi" w:hint="cs"/>
          <w:rtl/>
        </w:rPr>
        <w:instrText xml:space="preserve"> _</w:instrText>
      </w:r>
      <w:r w:rsidRPr="007E4E81">
        <w:rPr>
          <w:rStyle w:val="af7"/>
          <w:rFonts w:eastAsia="Guttman Rashi" w:hint="cs"/>
        </w:rPr>
        <w:instrText>Ref56007864 \r \h</w:instrText>
      </w:r>
      <w:r w:rsidRPr="007E4E81">
        <w:rPr>
          <w:rStyle w:val="af7"/>
          <w:rFonts w:eastAsia="Guttman Rashi"/>
          <w:rtl/>
        </w:rPr>
        <w:instrText xml:space="preserve"> </w:instrText>
      </w:r>
      <w:r w:rsidRPr="007E4E81">
        <w:rPr>
          <w:rStyle w:val="af7"/>
          <w:rFonts w:eastAsia="Guttman Rashi"/>
          <w:rtl/>
        </w:rPr>
      </w:r>
      <w:r w:rsidRPr="007E4E81">
        <w:rPr>
          <w:rStyle w:val="af7"/>
          <w:rFonts w:eastAsia="Guttman Rashi"/>
          <w:rtl/>
        </w:rPr>
        <w:fldChar w:fldCharType="separate"/>
      </w:r>
      <w:r w:rsidR="00265073">
        <w:rPr>
          <w:rStyle w:val="af7"/>
          <w:rFonts w:eastAsia="Guttman Rashi"/>
          <w:cs/>
        </w:rPr>
        <w:t>‎</w:t>
      </w:r>
      <w:r w:rsidR="00265073">
        <w:rPr>
          <w:rStyle w:val="af7"/>
          <w:rFonts w:eastAsia="Guttman Rashi"/>
          <w:rtl/>
        </w:rPr>
        <w:t>מה)</w:t>
      </w:r>
      <w:r w:rsidRPr="007E4E81">
        <w:rPr>
          <w:rStyle w:val="af7"/>
          <w:rFonts w:eastAsia="Guttman Rashi"/>
          <w:rtl/>
        </w:rPr>
        <w:fldChar w:fldCharType="end"/>
      </w:r>
      <w:r w:rsidRPr="007E4E81">
        <w:rPr>
          <w:rStyle w:val="af7"/>
          <w:rFonts w:eastAsia="Guttman Rashi" w:hint="cs"/>
          <w:rtl/>
        </w:rPr>
        <w:t xml:space="preserve"> </w:t>
      </w:r>
      <w:r>
        <w:rPr>
          <w:rStyle w:val="af9"/>
          <w:rFonts w:hint="cs"/>
          <w:rtl/>
        </w:rPr>
        <w:t>וברשב"א לקמן</w:t>
      </w:r>
      <w:r>
        <w:rPr>
          <w:rFonts w:hint="cs"/>
          <w:rtl/>
        </w:rPr>
        <w:t xml:space="preserve"> </w:t>
      </w:r>
      <w:r w:rsidRPr="007E4E81">
        <w:rPr>
          <w:rStyle w:val="af7"/>
          <w:rFonts w:eastAsia="Guttman Rashi" w:hint="cs"/>
          <w:rtl/>
        </w:rPr>
        <w:t xml:space="preserve">(עי' אות </w:t>
      </w:r>
      <w:r w:rsidRPr="007E4E81">
        <w:rPr>
          <w:rStyle w:val="af7"/>
          <w:rFonts w:eastAsia="Guttman Rashi"/>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Ref53498629 \r \h</w:instrText>
      </w:r>
      <w:r w:rsidRPr="007E4E81">
        <w:rPr>
          <w:rStyle w:val="af7"/>
          <w:rFonts w:eastAsia="Guttman Hodes"/>
          <w:rtl/>
        </w:rPr>
        <w:instrText xml:space="preserve"> </w:instrText>
      </w:r>
      <w:r w:rsidRPr="007E4E81">
        <w:rPr>
          <w:rStyle w:val="af7"/>
          <w:rFonts w:eastAsia="Guttman Rashi"/>
          <w:rtl/>
        </w:rPr>
      </w:r>
      <w:r w:rsidRPr="007E4E81">
        <w:rPr>
          <w:rStyle w:val="af7"/>
          <w:rFonts w:eastAsia="Guttman Rashi"/>
          <w:rtl/>
        </w:rPr>
        <w:fldChar w:fldCharType="separate"/>
      </w:r>
      <w:r w:rsidR="00265073">
        <w:rPr>
          <w:rStyle w:val="af7"/>
          <w:rFonts w:eastAsia="Guttman Hodes"/>
          <w:cs/>
        </w:rPr>
        <w:t>‎</w:t>
      </w:r>
      <w:r w:rsidR="00265073">
        <w:rPr>
          <w:rStyle w:val="af7"/>
          <w:rFonts w:eastAsia="Guttman Hodes"/>
          <w:rtl/>
        </w:rPr>
        <w:t>כג)</w:t>
      </w:r>
      <w:r w:rsidRPr="007E4E81">
        <w:rPr>
          <w:rStyle w:val="af7"/>
          <w:rFonts w:eastAsia="Guttman Rashi"/>
          <w:rtl/>
        </w:rPr>
        <w:fldChar w:fldCharType="end"/>
      </w:r>
      <w:r>
        <w:rPr>
          <w:rFonts w:hint="cs"/>
          <w:rtl/>
        </w:rPr>
        <w:t xml:space="preserve">, ובמה שביאר </w:t>
      </w:r>
      <w:r w:rsidRPr="00DD4E3B">
        <w:rPr>
          <w:rStyle w:val="af9"/>
          <w:rFonts w:hint="cs"/>
          <w:rtl/>
        </w:rPr>
        <w:t xml:space="preserve">בחי' </w:t>
      </w:r>
      <w:r>
        <w:rPr>
          <w:rStyle w:val="af9"/>
          <w:rFonts w:hint="cs"/>
          <w:rtl/>
        </w:rPr>
        <w:t xml:space="preserve">רבי </w:t>
      </w:r>
      <w:r w:rsidRPr="00DD4E3B">
        <w:rPr>
          <w:rStyle w:val="af9"/>
          <w:rFonts w:hint="cs"/>
          <w:rtl/>
        </w:rPr>
        <w:t>ראובן</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Ref56008389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7E4E81">
        <w:rPr>
          <w:rStyle w:val="af7"/>
          <w:rFonts w:eastAsia="Guttman Hodes"/>
          <w:rtl/>
        </w:rPr>
        <w:fldChar w:fldCharType="end"/>
      </w:r>
      <w:r w:rsidRPr="007E4E81">
        <w:rPr>
          <w:rStyle w:val="af7"/>
          <w:rFonts w:eastAsia="Guttman Hodes" w:hint="cs"/>
          <w:rtl/>
        </w:rPr>
        <w:t xml:space="preserve"> </w:t>
      </w:r>
      <w:r>
        <w:rPr>
          <w:rFonts w:hint="cs"/>
          <w:rtl/>
        </w:rPr>
        <w:t xml:space="preserve">בדברי </w:t>
      </w:r>
      <w:r w:rsidRPr="00DD4E3B">
        <w:rPr>
          <w:rStyle w:val="af9"/>
          <w:rFonts w:hint="cs"/>
          <w:rtl/>
        </w:rPr>
        <w:t>הרשב"א</w:t>
      </w:r>
      <w:r w:rsidRPr="00DD4E3B">
        <w:rPr>
          <w:rFonts w:hint="cs"/>
          <w:rtl/>
        </w:rPr>
        <w:t xml:space="preserve">, </w:t>
      </w:r>
      <w:r>
        <w:rPr>
          <w:rFonts w:hint="cs"/>
          <w:rtl/>
        </w:rPr>
        <w:t>ו</w:t>
      </w:r>
      <w:r w:rsidRPr="00DD4E3B">
        <w:rPr>
          <w:rFonts w:hint="cs"/>
          <w:rtl/>
        </w:rPr>
        <w:t xml:space="preserve">במה שביאר בזה </w:t>
      </w:r>
      <w:r w:rsidRPr="00DD4E3B">
        <w:rPr>
          <w:rStyle w:val="af9"/>
          <w:rFonts w:hint="cs"/>
          <w:rtl/>
        </w:rPr>
        <w:t>הדברי מרדכי</w:t>
      </w:r>
      <w:r w:rsidRPr="00DD4E3B">
        <w:rPr>
          <w:rFonts w:hint="cs"/>
          <w:rtl/>
        </w:rPr>
        <w:t xml:space="preserve"> </w:t>
      </w:r>
      <w:r w:rsidRPr="007E4E81">
        <w:rPr>
          <w:rStyle w:val="af7"/>
          <w:rFonts w:eastAsia="Guttman Rashi" w:hint="cs"/>
          <w:rtl/>
        </w:rPr>
        <w:t xml:space="preserve">(עי' אות </w:t>
      </w:r>
      <w:r w:rsidRPr="007E4E81">
        <w:rPr>
          <w:rStyle w:val="af7"/>
          <w:rFonts w:eastAsia="Guttman Rashi"/>
          <w:rtl/>
        </w:rPr>
        <w:fldChar w:fldCharType="begin"/>
      </w:r>
      <w:r w:rsidRPr="007E4E81">
        <w:rPr>
          <w:rStyle w:val="af7"/>
          <w:rFonts w:eastAsia="Guttman Rashi"/>
          <w:rtl/>
        </w:rPr>
        <w:instrText xml:space="preserve"> </w:instrText>
      </w:r>
      <w:r w:rsidRPr="007E4E81">
        <w:rPr>
          <w:rStyle w:val="af7"/>
          <w:rFonts w:eastAsia="Guttman Rashi" w:hint="cs"/>
        </w:rPr>
        <w:instrText>REF</w:instrText>
      </w:r>
      <w:r w:rsidRPr="007E4E81">
        <w:rPr>
          <w:rStyle w:val="af7"/>
          <w:rFonts w:eastAsia="Guttman Rashi" w:hint="cs"/>
          <w:rtl/>
        </w:rPr>
        <w:instrText xml:space="preserve"> _</w:instrText>
      </w:r>
      <w:r w:rsidRPr="007E4E81">
        <w:rPr>
          <w:rStyle w:val="af7"/>
          <w:rFonts w:eastAsia="Guttman Rashi" w:hint="cs"/>
        </w:rPr>
        <w:instrText>Ref55935376 \r \h</w:instrText>
      </w:r>
      <w:r w:rsidRPr="007E4E81">
        <w:rPr>
          <w:rStyle w:val="af7"/>
          <w:rFonts w:eastAsia="Guttman Rashi"/>
          <w:rtl/>
        </w:rPr>
        <w:instrText xml:space="preserve"> </w:instrText>
      </w:r>
      <w:r w:rsidRPr="007E4E81">
        <w:rPr>
          <w:rStyle w:val="af7"/>
          <w:rFonts w:eastAsia="Guttman Rashi"/>
          <w:rtl/>
        </w:rPr>
      </w:r>
      <w:r w:rsidRPr="007E4E81">
        <w:rPr>
          <w:rStyle w:val="af7"/>
          <w:rFonts w:eastAsia="Guttman Rashi"/>
          <w:rtl/>
        </w:rPr>
        <w:fldChar w:fldCharType="separate"/>
      </w:r>
      <w:r w:rsidR="00265073">
        <w:rPr>
          <w:rStyle w:val="af7"/>
          <w:rFonts w:eastAsia="Guttman Rashi"/>
          <w:cs/>
        </w:rPr>
        <w:t>‎</w:t>
      </w:r>
      <w:r w:rsidR="00265073">
        <w:rPr>
          <w:rStyle w:val="af7"/>
          <w:rFonts w:eastAsia="Guttman Rashi"/>
          <w:rtl/>
        </w:rPr>
        <w:t>קכא)</w:t>
      </w:r>
      <w:r w:rsidRPr="007E4E81">
        <w:rPr>
          <w:rStyle w:val="af7"/>
          <w:rFonts w:eastAsia="Guttman Rashi"/>
          <w:rtl/>
        </w:rPr>
        <w:fldChar w:fldCharType="end"/>
      </w:r>
      <w:r w:rsidRPr="00DD4E3B">
        <w:rPr>
          <w:rFonts w:hint="cs"/>
          <w:rtl/>
        </w:rPr>
        <w:t xml:space="preserve"> בדעת </w:t>
      </w:r>
      <w:r w:rsidRPr="00DD4E3B">
        <w:rPr>
          <w:rStyle w:val="af9"/>
          <w:rFonts w:hint="cs"/>
          <w:rtl/>
        </w:rPr>
        <w:t>הרמב"ן</w:t>
      </w:r>
      <w:r w:rsidRPr="00DD4E3B">
        <w:rPr>
          <w:rFonts w:hint="cs"/>
          <w:rtl/>
        </w:rPr>
        <w:t>.</w:t>
      </w:r>
      <w:bookmarkEnd w:id="3889"/>
    </w:p>
    <w:p w:rsidR="00F163D7" w:rsidRPr="00CF0EE8" w:rsidRDefault="00F163D7" w:rsidP="00F163D7">
      <w:pPr>
        <w:pStyle w:val="a3"/>
      </w:pPr>
      <w:bookmarkStart w:id="3890" w:name="_Toc55946542"/>
      <w:bookmarkStart w:id="3891" w:name="_Toc55991837"/>
      <w:bookmarkStart w:id="3892" w:name="_Toc56030386"/>
      <w:bookmarkStart w:id="3893" w:name="_Toc56032579"/>
      <w:r>
        <w:rPr>
          <w:rFonts w:hint="cs"/>
          <w:rtl/>
        </w:rPr>
        <w:t>קושית הריטב"א דאי טעם החזקה הוא רק מחמת דאינו נזהר בשטר אמאי יפסיד המר"ק בזה</w:t>
      </w:r>
      <w:bookmarkEnd w:id="3890"/>
      <w:bookmarkEnd w:id="3891"/>
      <w:bookmarkEnd w:id="3892"/>
      <w:bookmarkEnd w:id="3893"/>
    </w:p>
    <w:p w:rsidR="00F163D7" w:rsidRDefault="00F163D7" w:rsidP="007E4E81">
      <w:pPr>
        <w:pStyle w:val="a0"/>
        <w:rPr>
          <w:rtl/>
        </w:rPr>
      </w:pPr>
      <w:bookmarkStart w:id="3894" w:name="_Ref55678939"/>
      <w:r>
        <w:rPr>
          <w:rFonts w:hint="cs"/>
          <w:rtl/>
        </w:rPr>
        <w:t xml:space="preserve">אך הקשה </w:t>
      </w:r>
      <w:r w:rsidRPr="00CF0EE8">
        <w:rPr>
          <w:rStyle w:val="af9"/>
          <w:rFonts w:hint="cs"/>
          <w:rtl/>
        </w:rPr>
        <w:t>הריטב"א</w:t>
      </w:r>
      <w:r w:rsidRPr="00926838">
        <w:rPr>
          <w:rStyle w:val="af7"/>
          <w:rFonts w:eastAsiaTheme="minorHAnsi" w:hint="cs"/>
          <w:rtl/>
        </w:rPr>
        <w:t xml:space="preserve"> (ד"ה אלא) </w:t>
      </w:r>
      <w:r>
        <w:rPr>
          <w:rFonts w:hint="cs"/>
          <w:rtl/>
        </w:rPr>
        <w:t>דאי טעם החזקה הוא רק מחמת הסברא דעד ג"ש נזהר בשטרו, א"כ היאך אפש"ל דהמרא קמא יפסיד את קרקעו, כיון שאין על המחזיק טענת אחוי שטרך, דאינו צריך להזהר בשטרו</w:t>
      </w:r>
      <w:r>
        <w:rPr>
          <w:rStyle w:val="af1"/>
          <w:rtl/>
        </w:rPr>
        <w:footnoteReference w:id="10"/>
      </w:r>
      <w:r>
        <w:rPr>
          <w:rFonts w:hint="cs"/>
          <w:rtl/>
        </w:rPr>
        <w:t xml:space="preserve">, וכן הקשה </w:t>
      </w:r>
      <w:r w:rsidRPr="008658DC">
        <w:rPr>
          <w:rStyle w:val="af9"/>
          <w:rFonts w:hint="cs"/>
          <w:rtl/>
        </w:rPr>
        <w:t>רבינו יונה</w:t>
      </w:r>
      <w:r>
        <w:rPr>
          <w:rFonts w:hint="cs"/>
          <w:rtl/>
        </w:rPr>
        <w:t xml:space="preserve"> </w:t>
      </w:r>
      <w:r w:rsidRPr="0080421E">
        <w:rPr>
          <w:rStyle w:val="af7"/>
          <w:rFonts w:eastAsia="Guttman Hodes" w:hint="cs"/>
          <w:rtl/>
        </w:rPr>
        <w:t>(ד"ה אלא)</w:t>
      </w:r>
      <w:r>
        <w:rPr>
          <w:rFonts w:hint="cs"/>
          <w:rtl/>
        </w:rPr>
        <w:t xml:space="preserve">. </w:t>
      </w:r>
      <w:bookmarkEnd w:id="3894"/>
    </w:p>
    <w:p w:rsidR="00F163D7" w:rsidRPr="00B45838" w:rsidRDefault="00F163D7" w:rsidP="00F163D7">
      <w:pPr>
        <w:pStyle w:val="a3"/>
        <w:rPr>
          <w:rtl/>
        </w:rPr>
      </w:pPr>
      <w:bookmarkStart w:id="3895" w:name="_Toc55946543"/>
      <w:bookmarkStart w:id="3896" w:name="_Toc55991838"/>
      <w:bookmarkStart w:id="3897" w:name="_Toc56030387"/>
      <w:bookmarkStart w:id="3898" w:name="_Toc56032580"/>
      <w:r>
        <w:rPr>
          <w:rFonts w:hint="cs"/>
          <w:rtl/>
        </w:rPr>
        <w:t>קושית הקצוה"ח והשע"מ דאף דלאחר ג"ש אין אחוי שטרך מ"מ איך יצאה מהמר"ק בלא ראיה</w:t>
      </w:r>
      <w:bookmarkEnd w:id="3895"/>
      <w:bookmarkEnd w:id="3896"/>
      <w:bookmarkEnd w:id="3897"/>
      <w:bookmarkEnd w:id="3898"/>
    </w:p>
    <w:p w:rsidR="00F163D7" w:rsidRDefault="00F163D7" w:rsidP="007E4E81">
      <w:pPr>
        <w:pStyle w:val="a0"/>
      </w:pPr>
      <w:r>
        <w:rPr>
          <w:rFonts w:hint="cs"/>
          <w:rtl/>
        </w:rPr>
        <w:t xml:space="preserve">וכן הקשו </w:t>
      </w:r>
      <w:r w:rsidRPr="00640004">
        <w:rPr>
          <w:rStyle w:val="af9"/>
          <w:rFonts w:hint="cs"/>
          <w:rtl/>
        </w:rPr>
        <w:t>הקצוה"ח</w:t>
      </w:r>
      <w:r>
        <w:rPr>
          <w:rFonts w:hint="cs"/>
          <w:rtl/>
        </w:rPr>
        <w:t xml:space="preserve"> </w:t>
      </w:r>
      <w:r w:rsidRPr="00DB3A04">
        <w:rPr>
          <w:rStyle w:val="af7"/>
          <w:rFonts w:eastAsia="Guttman Hodes" w:hint="cs"/>
          <w:rtl/>
        </w:rPr>
        <w:t>(</w:t>
      </w:r>
      <w:r>
        <w:rPr>
          <w:rStyle w:val="af7"/>
          <w:rFonts w:eastAsia="Guttman Hodes" w:hint="cs"/>
          <w:rtl/>
        </w:rPr>
        <w:t>סי</w:t>
      </w:r>
      <w:r>
        <w:rPr>
          <w:rStyle w:val="af7"/>
          <w:rFonts w:eastAsia="Guttman Hodes"/>
          <w:rtl/>
        </w:rPr>
        <w:t>'</w:t>
      </w:r>
      <w:r>
        <w:rPr>
          <w:rStyle w:val="af7"/>
          <w:rFonts w:eastAsia="Guttman Hodes" w:hint="cs"/>
          <w:rtl/>
        </w:rPr>
        <w:t xml:space="preserve"> ק</w:t>
      </w:r>
      <w:r>
        <w:rPr>
          <w:rStyle w:val="af7"/>
          <w:rFonts w:eastAsia="Guttman Hodes"/>
          <w:rtl/>
        </w:rPr>
        <w:t>"</w:t>
      </w:r>
      <w:r>
        <w:rPr>
          <w:rStyle w:val="af7"/>
          <w:rFonts w:eastAsia="Guttman Hodes" w:hint="cs"/>
          <w:rtl/>
        </w:rPr>
        <w:t>מ סק</w:t>
      </w:r>
      <w:r>
        <w:rPr>
          <w:rStyle w:val="af7"/>
          <w:rFonts w:eastAsia="Guttman Hodes"/>
          <w:rtl/>
        </w:rPr>
        <w:t>"</w:t>
      </w:r>
      <w:r>
        <w:rPr>
          <w:rStyle w:val="af7"/>
          <w:rFonts w:eastAsia="Guttman Hodes" w:hint="cs"/>
          <w:rtl/>
        </w:rPr>
        <w:t>ב</w:t>
      </w:r>
      <w:r w:rsidRPr="00DB3A04">
        <w:rPr>
          <w:rStyle w:val="af7"/>
          <w:rFonts w:eastAsia="Guttman Hodes" w:hint="cs"/>
          <w:rtl/>
        </w:rPr>
        <w:t>)</w:t>
      </w:r>
      <w:r>
        <w:rPr>
          <w:rFonts w:hint="cs"/>
          <w:rtl/>
        </w:rPr>
        <w:t xml:space="preserve"> </w:t>
      </w:r>
      <w:r w:rsidRPr="00154BD5">
        <w:rPr>
          <w:rStyle w:val="af9"/>
          <w:rFonts w:hint="cs"/>
          <w:rtl/>
        </w:rPr>
        <w:t>והשער משפט</w:t>
      </w:r>
      <w:r w:rsidRPr="002450F0">
        <w:rPr>
          <w:rFonts w:hint="cs"/>
          <w:rtl/>
        </w:rPr>
        <w:t xml:space="preserve"> </w:t>
      </w:r>
      <w:r w:rsidRPr="00154BD5">
        <w:rPr>
          <w:rStyle w:val="af7"/>
          <w:rFonts w:eastAsia="Guttman Hodes" w:hint="cs"/>
          <w:rtl/>
        </w:rPr>
        <w:t>(סי' ק"מ סק"ג)</w:t>
      </w:r>
      <w:r w:rsidRPr="002450F0">
        <w:rPr>
          <w:rFonts w:hint="cs"/>
          <w:rtl/>
        </w:rPr>
        <w:t xml:space="preserve"> </w:t>
      </w:r>
      <w:r w:rsidRPr="00A510F2">
        <w:rPr>
          <w:rStyle w:val="af9"/>
          <w:rFonts w:hint="cs"/>
          <w:rtl/>
        </w:rPr>
        <w:t xml:space="preserve">והתורת חיים </w:t>
      </w:r>
      <w:r w:rsidRPr="00A510F2">
        <w:rPr>
          <w:rStyle w:val="af7"/>
          <w:rFonts w:eastAsia="Guttman Hodes" w:hint="cs"/>
          <w:rtl/>
        </w:rPr>
        <w:t xml:space="preserve">(עי' אות </w:t>
      </w:r>
      <w:r w:rsidRPr="00A510F2">
        <w:rPr>
          <w:rStyle w:val="af7"/>
          <w:rFonts w:eastAsia="Guttman Hodes"/>
          <w:rtl/>
        </w:rPr>
        <w:fldChar w:fldCharType="begin"/>
      </w:r>
      <w:r w:rsidRPr="00A510F2">
        <w:rPr>
          <w:rStyle w:val="af7"/>
          <w:rFonts w:eastAsia="Guttman Hodes"/>
          <w:rtl/>
        </w:rPr>
        <w:instrText xml:space="preserve"> </w:instrText>
      </w:r>
      <w:r w:rsidRPr="00A510F2">
        <w:rPr>
          <w:rStyle w:val="af7"/>
          <w:rFonts w:eastAsia="Guttman Hodes" w:hint="cs"/>
        </w:rPr>
        <w:instrText>REF</w:instrText>
      </w:r>
      <w:r w:rsidRPr="00A510F2">
        <w:rPr>
          <w:rStyle w:val="af7"/>
          <w:rFonts w:eastAsia="Guttman Hodes" w:hint="cs"/>
          <w:rtl/>
        </w:rPr>
        <w:instrText xml:space="preserve"> _</w:instrText>
      </w:r>
      <w:r w:rsidRPr="00A510F2">
        <w:rPr>
          <w:rStyle w:val="af7"/>
          <w:rFonts w:eastAsia="Guttman Hodes" w:hint="cs"/>
        </w:rPr>
        <w:instrText>Ref55678968 \r \h</w:instrText>
      </w:r>
      <w:r w:rsidRPr="00A510F2">
        <w:rPr>
          <w:rStyle w:val="af7"/>
          <w:rFonts w:eastAsia="Guttman Hodes"/>
          <w:rtl/>
        </w:rPr>
        <w:instrText xml:space="preserve"> </w:instrText>
      </w:r>
      <w:r w:rsidRPr="00A510F2">
        <w:rPr>
          <w:rStyle w:val="af7"/>
          <w:rFonts w:eastAsia="Guttman Hodes"/>
          <w:rtl/>
        </w:rPr>
      </w:r>
      <w:r w:rsidRPr="00A510F2">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A510F2">
        <w:rPr>
          <w:rStyle w:val="af7"/>
          <w:rFonts w:eastAsia="Guttman Hodes"/>
          <w:rtl/>
        </w:rPr>
        <w:fldChar w:fldCharType="end"/>
      </w:r>
      <w:r>
        <w:rPr>
          <w:rFonts w:hint="cs"/>
          <w:rtl/>
        </w:rPr>
        <w:t xml:space="preserve"> דאעפ"י דלאחר ג"ש א"צ להזהר בשטרו, ואי"ז ריעותא במה שאין לו שטר, מ"מ עדיין אין למחזיק ראיה שהקרקע שלו, והיאך אפשר להוציא את הקרקע מהמרא קמא בלי ראיה.</w:t>
      </w:r>
    </w:p>
    <w:p w:rsidR="00F163D7" w:rsidRDefault="00F163D7" w:rsidP="00F163D7">
      <w:pPr>
        <w:pStyle w:val="afe"/>
        <w:rPr>
          <w:rtl/>
        </w:rPr>
      </w:pPr>
      <w:bookmarkStart w:id="3899" w:name="_Toc55508521"/>
      <w:bookmarkStart w:id="3900" w:name="_Toc55569164"/>
      <w:bookmarkStart w:id="3901" w:name="_Toc55718271"/>
      <w:bookmarkStart w:id="3902" w:name="_Toc55739891"/>
      <w:bookmarkStart w:id="3903" w:name="_Toc55839442"/>
      <w:bookmarkStart w:id="3904" w:name="_Toc55927841"/>
      <w:bookmarkStart w:id="3905" w:name="_Toc55946544"/>
      <w:bookmarkStart w:id="3906" w:name="_Toc55991839"/>
      <w:bookmarkStart w:id="3907" w:name="_Toc56030388"/>
      <w:bookmarkStart w:id="3908" w:name="_Toc56032581"/>
      <w:r>
        <w:rPr>
          <w:rFonts w:hint="cs"/>
          <w:rtl/>
        </w:rPr>
        <w:t>דעת הריטב"א</w:t>
      </w:r>
      <w:bookmarkEnd w:id="3899"/>
      <w:bookmarkEnd w:id="3900"/>
      <w:bookmarkEnd w:id="3901"/>
      <w:bookmarkEnd w:id="3902"/>
      <w:bookmarkEnd w:id="3903"/>
      <w:bookmarkEnd w:id="3904"/>
      <w:r>
        <w:rPr>
          <w:rFonts w:hint="cs"/>
          <w:rtl/>
        </w:rPr>
        <w:t xml:space="preserve"> דבאכילה אחת יש ראיה</w:t>
      </w:r>
      <w:bookmarkEnd w:id="3905"/>
      <w:bookmarkEnd w:id="3906"/>
      <w:bookmarkEnd w:id="3907"/>
      <w:bookmarkEnd w:id="3908"/>
    </w:p>
    <w:p w:rsidR="00F163D7" w:rsidRPr="007C6739" w:rsidRDefault="00F163D7" w:rsidP="00F163D7">
      <w:pPr>
        <w:pStyle w:val="1"/>
        <w:rPr>
          <w:rtl/>
        </w:rPr>
      </w:pPr>
      <w:bookmarkStart w:id="3909" w:name="_Toc55927842"/>
      <w:bookmarkStart w:id="3910" w:name="_Toc55946545"/>
      <w:bookmarkStart w:id="3911" w:name="_Toc55991840"/>
      <w:bookmarkStart w:id="3912" w:name="_Toc56030389"/>
      <w:bookmarkStart w:id="3913" w:name="_Toc56032582"/>
      <w:r>
        <w:rPr>
          <w:rFonts w:hint="cs"/>
          <w:rtl/>
        </w:rPr>
        <w:t>דברי הריטב"א</w:t>
      </w:r>
      <w:bookmarkEnd w:id="3909"/>
      <w:r>
        <w:rPr>
          <w:rFonts w:hint="cs"/>
          <w:rtl/>
        </w:rPr>
        <w:t xml:space="preserve"> דמדינא הראיה היא באכילה אחת שלא מחה</w:t>
      </w:r>
      <w:bookmarkEnd w:id="3910"/>
      <w:bookmarkEnd w:id="3911"/>
      <w:bookmarkEnd w:id="3912"/>
      <w:bookmarkEnd w:id="3913"/>
    </w:p>
    <w:p w:rsidR="00F163D7" w:rsidRPr="00EB38E1" w:rsidRDefault="00F163D7" w:rsidP="00F163D7">
      <w:pPr>
        <w:pStyle w:val="a3"/>
        <w:rPr>
          <w:rtl/>
        </w:rPr>
      </w:pPr>
      <w:bookmarkStart w:id="3914" w:name="_Toc55946546"/>
      <w:bookmarkStart w:id="3915" w:name="_Toc55991841"/>
      <w:bookmarkStart w:id="3916" w:name="_Toc56030390"/>
      <w:bookmarkStart w:id="3917" w:name="_Toc56032583"/>
      <w:r>
        <w:rPr>
          <w:rFonts w:hint="cs"/>
          <w:rtl/>
        </w:rPr>
        <w:t>תירוץ הריטב"א דמדינא כל שידעו הבעלים מהחזקה ולא מחו יש ראיה אף מאכילה אחת</w:t>
      </w:r>
      <w:bookmarkEnd w:id="3914"/>
      <w:bookmarkEnd w:id="3915"/>
      <w:bookmarkEnd w:id="3916"/>
      <w:bookmarkEnd w:id="3917"/>
    </w:p>
    <w:p w:rsidR="00F163D7" w:rsidRPr="00A979B2" w:rsidRDefault="00F163D7" w:rsidP="007E4E81">
      <w:pPr>
        <w:pStyle w:val="a0"/>
        <w:rPr>
          <w:sz w:val="10"/>
          <w:szCs w:val="14"/>
          <w:rtl/>
        </w:rPr>
      </w:pPr>
      <w:bookmarkStart w:id="3918" w:name="_Ref55936320"/>
      <w:bookmarkStart w:id="3919" w:name="_Ref57200434"/>
      <w:bookmarkStart w:id="3920" w:name="_Ref55473554"/>
      <w:r>
        <w:rPr>
          <w:rFonts w:hint="cs"/>
          <w:rtl/>
        </w:rPr>
        <w:t xml:space="preserve">ותירץ </w:t>
      </w:r>
      <w:r w:rsidRPr="00CF0EE8">
        <w:rPr>
          <w:rStyle w:val="af9"/>
          <w:rFonts w:hint="cs"/>
          <w:rtl/>
        </w:rPr>
        <w:t>הריטב"א</w:t>
      </w:r>
      <w:r w:rsidRPr="00926838">
        <w:rPr>
          <w:rStyle w:val="af7"/>
          <w:rFonts w:eastAsiaTheme="minorHAnsi" w:hint="cs"/>
          <w:rtl/>
        </w:rPr>
        <w:t xml:space="preserve"> (ד"ה אלא) </w:t>
      </w:r>
      <w:r>
        <w:rPr>
          <w:rFonts w:hint="cs"/>
          <w:rtl/>
        </w:rPr>
        <w:t xml:space="preserve">בשם </w:t>
      </w:r>
      <w:r w:rsidRPr="00CF61ED">
        <w:rPr>
          <w:rStyle w:val="af9"/>
          <w:rFonts w:hint="cs"/>
          <w:rtl/>
        </w:rPr>
        <w:t>הרא"ה</w:t>
      </w:r>
      <w:r>
        <w:rPr>
          <w:rFonts w:hint="cs"/>
          <w:rtl/>
        </w:rPr>
        <w:t xml:space="preserve"> דמעיקר הדין כל שהמחזיק אכל בשופי, והבעלים יודעים מזה ולא מחו, יש לו ראיה שקנה ממנו אף כשאכל אכילה אחת. </w:t>
      </w:r>
      <w:r w:rsidRPr="00387FB4">
        <w:rPr>
          <w:rStyle w:val="afb"/>
          <w:rFonts w:hint="cs"/>
          <w:rtl/>
        </w:rPr>
        <w:t xml:space="preserve">[ודלא </w:t>
      </w:r>
      <w:r w:rsidRPr="00387FB4">
        <w:rPr>
          <w:rStyle w:val="affa"/>
          <w:rFonts w:hint="cs"/>
          <w:rtl/>
        </w:rPr>
        <w:t>כהריטב"א לקמן</w:t>
      </w:r>
      <w:r w:rsidRPr="00387FB4">
        <w:rPr>
          <w:rStyle w:val="afb"/>
          <w:rFonts w:hint="cs"/>
          <w:rtl/>
        </w:rPr>
        <w:t xml:space="preserve"> </w:t>
      </w:r>
      <w:r w:rsidRPr="00A979B2">
        <w:rPr>
          <w:rStyle w:val="aff6"/>
          <w:rFonts w:hint="cs"/>
          <w:rtl/>
        </w:rPr>
        <w:t xml:space="preserve">(עי' אות </w:t>
      </w:r>
      <w:r w:rsidRPr="00A979B2">
        <w:rPr>
          <w:rStyle w:val="aff6"/>
          <w:rtl/>
        </w:rPr>
        <w:fldChar w:fldCharType="begin"/>
      </w:r>
      <w:r w:rsidRPr="00A979B2">
        <w:rPr>
          <w:rStyle w:val="aff6"/>
          <w:rtl/>
        </w:rPr>
        <w:instrText xml:space="preserve"> </w:instrText>
      </w:r>
      <w:r w:rsidRPr="00A979B2">
        <w:rPr>
          <w:rStyle w:val="aff6"/>
          <w:rFonts w:hint="cs"/>
        </w:rPr>
        <w:instrText>REF</w:instrText>
      </w:r>
      <w:r w:rsidRPr="00A979B2">
        <w:rPr>
          <w:rStyle w:val="aff6"/>
          <w:rFonts w:hint="cs"/>
          <w:rtl/>
        </w:rPr>
        <w:instrText xml:space="preserve"> _</w:instrText>
      </w:r>
      <w:r w:rsidRPr="00A979B2">
        <w:rPr>
          <w:rStyle w:val="aff6"/>
          <w:rFonts w:hint="cs"/>
        </w:rPr>
        <w:instrText>Ref56942487 \r \h</w:instrText>
      </w:r>
      <w:r w:rsidRPr="00A979B2">
        <w:rPr>
          <w:rStyle w:val="aff6"/>
          <w:rtl/>
        </w:rPr>
        <w:instrText xml:space="preserve"> </w:instrText>
      </w:r>
      <w:r w:rsidRPr="00A979B2">
        <w:rPr>
          <w:rStyle w:val="aff6"/>
          <w:rtl/>
        </w:rPr>
      </w:r>
      <w:r w:rsidRPr="00A979B2">
        <w:rPr>
          <w:rStyle w:val="aff6"/>
          <w:rtl/>
        </w:rPr>
        <w:fldChar w:fldCharType="separate"/>
      </w:r>
      <w:r w:rsidR="00265073">
        <w:rPr>
          <w:rStyle w:val="aff6"/>
          <w:cs/>
        </w:rPr>
        <w:t>‎</w:t>
      </w:r>
      <w:r w:rsidR="00265073">
        <w:rPr>
          <w:rStyle w:val="aff6"/>
          <w:rtl/>
        </w:rPr>
        <w:t>ו)</w:t>
      </w:r>
      <w:r w:rsidRPr="00A979B2">
        <w:rPr>
          <w:rStyle w:val="aff6"/>
          <w:rtl/>
        </w:rPr>
        <w:fldChar w:fldCharType="end"/>
      </w:r>
      <w:r>
        <w:rPr>
          <w:rStyle w:val="afb"/>
          <w:rFonts w:hint="cs"/>
          <w:rtl/>
        </w:rPr>
        <w:t>]</w:t>
      </w:r>
      <w:bookmarkEnd w:id="3918"/>
      <w:r>
        <w:rPr>
          <w:rStyle w:val="afb"/>
          <w:rFonts w:hint="cs"/>
          <w:rtl/>
        </w:rPr>
        <w:t>.</w:t>
      </w:r>
      <w:bookmarkEnd w:id="3919"/>
    </w:p>
    <w:p w:rsidR="00F163D7" w:rsidRPr="00ED38F0" w:rsidRDefault="00F163D7" w:rsidP="00F163D7">
      <w:pPr>
        <w:pStyle w:val="a3"/>
      </w:pPr>
      <w:bookmarkStart w:id="3921" w:name="_Toc55946547"/>
      <w:bookmarkStart w:id="3922" w:name="_Toc55991842"/>
      <w:bookmarkStart w:id="3923" w:name="_Toc56030391"/>
      <w:bookmarkStart w:id="3924" w:name="_Toc56032584"/>
      <w:r>
        <w:rPr>
          <w:rFonts w:hint="cs"/>
          <w:rtl/>
        </w:rPr>
        <w:t>ביאור הריטב"א דחזקה בקרקע כתפיסה במטלטלין אלא דיש בקרקע טענת אחוי שטרך עד ג"ש</w:t>
      </w:r>
      <w:bookmarkEnd w:id="3921"/>
      <w:bookmarkEnd w:id="3922"/>
      <w:bookmarkEnd w:id="3923"/>
      <w:bookmarkEnd w:id="3924"/>
    </w:p>
    <w:p w:rsidR="00F163D7" w:rsidRDefault="00F163D7" w:rsidP="007E4E81">
      <w:pPr>
        <w:pStyle w:val="a0"/>
        <w:rPr>
          <w:rStyle w:val="afb"/>
          <w:rtl/>
        </w:rPr>
      </w:pPr>
      <w:bookmarkStart w:id="3925" w:name="_Ref55900806"/>
      <w:r>
        <w:rPr>
          <w:rFonts w:hint="cs"/>
          <w:rtl/>
        </w:rPr>
        <w:t xml:space="preserve">וביאר </w:t>
      </w:r>
      <w:r w:rsidRPr="00CF61ED">
        <w:rPr>
          <w:rStyle w:val="af9"/>
          <w:rFonts w:hint="cs"/>
          <w:rtl/>
        </w:rPr>
        <w:t>הריטב"א</w:t>
      </w:r>
      <w:r>
        <w:rPr>
          <w:rFonts w:hint="cs"/>
          <w:rtl/>
        </w:rPr>
        <w:t xml:space="preserve"> דכמו דמהני תפיסה במטלטלין, כך היא החזקה בקרקע, אלא דכיון דקרקעות ועבדים הם בני שטרא, א"כ כל שאין לו שטר יש ריעותא בטענתו, </w:t>
      </w:r>
      <w:r w:rsidRPr="002B3C16">
        <w:rPr>
          <w:rStyle w:val="afb"/>
          <w:rFonts w:hint="cs"/>
          <w:rtl/>
        </w:rPr>
        <w:t xml:space="preserve">[וכדמצינו בגמ' בכתובות </w:t>
      </w:r>
      <w:r w:rsidRPr="002B3C16">
        <w:rPr>
          <w:rStyle w:val="aff6"/>
          <w:rFonts w:hint="cs"/>
          <w:rtl/>
        </w:rPr>
        <w:t>(כב.)</w:t>
      </w:r>
      <w:r w:rsidRPr="002B3C16">
        <w:rPr>
          <w:rStyle w:val="afb"/>
          <w:rFonts w:hint="cs"/>
          <w:rtl/>
        </w:rPr>
        <w:t xml:space="preserve"> דאשה שאמרה לבעלה עכשיו גירשתני, אינה נאמנת, דאמרינן לה אחוי גיטך], </w:t>
      </w:r>
      <w:r>
        <w:rPr>
          <w:rFonts w:hint="cs"/>
          <w:rtl/>
        </w:rPr>
        <w:t xml:space="preserve">ורק לאחר ג"ש שאין עליו טענת אחוי שטרך, מתקיימת חזקתו, וכתב </w:t>
      </w:r>
      <w:r w:rsidRPr="00CF61ED">
        <w:rPr>
          <w:rStyle w:val="af9"/>
          <w:rFonts w:hint="cs"/>
          <w:rtl/>
        </w:rPr>
        <w:t>הריטב"א</w:t>
      </w:r>
      <w:r>
        <w:rPr>
          <w:rFonts w:hint="cs"/>
          <w:rtl/>
        </w:rPr>
        <w:t xml:space="preserve"> דכן מבואר בגמ' לקמן </w:t>
      </w:r>
      <w:r w:rsidRPr="00CF61ED">
        <w:rPr>
          <w:rStyle w:val="af7"/>
          <w:rFonts w:eastAsia="Guttman Hodes" w:hint="cs"/>
          <w:rtl/>
        </w:rPr>
        <w:t>(לג:)</w:t>
      </w:r>
      <w:r>
        <w:rPr>
          <w:rFonts w:hint="cs"/>
          <w:rtl/>
        </w:rPr>
        <w:t xml:space="preserve"> דאם אכל את שדה חבירו ב' </w:t>
      </w:r>
      <w:r w:rsidRPr="00076F0B">
        <w:rPr>
          <w:rFonts w:hint="cs"/>
          <w:rtl/>
        </w:rPr>
        <w:t xml:space="preserve">שנים, ואומר לפירות ירדתי נאמן, כיון דלא חציף איניש למיכל פירי דלאו דיליה, אבל בקרקע אינו נאמן, דאמרינן ליה אחוי שטרך, </w:t>
      </w:r>
      <w:r w:rsidRPr="00076F0B">
        <w:rPr>
          <w:rStyle w:val="afb"/>
          <w:rFonts w:hint="cs"/>
          <w:rtl/>
        </w:rPr>
        <w:t xml:space="preserve">[ומבואר דאין חילוק </w:t>
      </w:r>
      <w:r w:rsidRPr="00076F0B">
        <w:rPr>
          <w:rStyle w:val="afb"/>
          <w:rFonts w:hint="cs"/>
          <w:rtl/>
        </w:rPr>
        <w:t>בין חזקת הקרקע לחזקת המטלטלין, ובאכילה אחת יש ראיה, והא דבקרקע אינו נאמן, הוא רק מחמת טענת אחוי שטרך],</w:t>
      </w:r>
      <w:r w:rsidRPr="00076F0B">
        <w:rPr>
          <w:rFonts w:hint="cs"/>
          <w:rtl/>
        </w:rPr>
        <w:t xml:space="preserve"> וע"ע בדברי </w:t>
      </w:r>
      <w:r w:rsidRPr="00076F0B">
        <w:rPr>
          <w:rStyle w:val="af9"/>
          <w:rFonts w:hint="cs"/>
          <w:rtl/>
        </w:rPr>
        <w:t>הריטב"א</w:t>
      </w:r>
      <w:r w:rsidRPr="00076F0B">
        <w:rPr>
          <w:rFonts w:hint="cs"/>
          <w:rtl/>
        </w:rPr>
        <w:t xml:space="preserve"> </w:t>
      </w:r>
      <w:r w:rsidRPr="00076F0B">
        <w:rPr>
          <w:rStyle w:val="af7"/>
          <w:rFonts w:eastAsia="Guttman Hodes" w:hint="cs"/>
          <w:rtl/>
        </w:rPr>
        <w:t xml:space="preserve">(עי' אות </w:t>
      </w:r>
      <w:r w:rsidRPr="00076F0B">
        <w:rPr>
          <w:rStyle w:val="af7"/>
          <w:rFonts w:eastAsia="Guttman Hodes"/>
          <w:rtl/>
        </w:rPr>
        <w:fldChar w:fldCharType="begin"/>
      </w:r>
      <w:r w:rsidRPr="00076F0B">
        <w:rPr>
          <w:rStyle w:val="af7"/>
          <w:rFonts w:eastAsia="Guttman Hodes"/>
          <w:rtl/>
        </w:rPr>
        <w:instrText xml:space="preserve"> </w:instrText>
      </w:r>
      <w:r w:rsidRPr="00076F0B">
        <w:rPr>
          <w:rStyle w:val="af7"/>
          <w:rFonts w:eastAsia="Guttman Hodes" w:hint="cs"/>
        </w:rPr>
        <w:instrText>REF</w:instrText>
      </w:r>
      <w:r w:rsidRPr="00076F0B">
        <w:rPr>
          <w:rStyle w:val="af7"/>
          <w:rFonts w:eastAsia="Guttman Hodes" w:hint="cs"/>
          <w:rtl/>
        </w:rPr>
        <w:instrText xml:space="preserve"> _</w:instrText>
      </w:r>
      <w:r w:rsidRPr="00076F0B">
        <w:rPr>
          <w:rStyle w:val="af7"/>
          <w:rFonts w:eastAsia="Guttman Hodes" w:hint="cs"/>
        </w:rPr>
        <w:instrText>Ref55763476 \r \h</w:instrText>
      </w:r>
      <w:r w:rsidRPr="00076F0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76F0B">
        <w:rPr>
          <w:rStyle w:val="af7"/>
          <w:rFonts w:eastAsia="Guttman Hodes"/>
          <w:rtl/>
        </w:rPr>
      </w:r>
      <w:r w:rsidRPr="00076F0B">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076F0B">
        <w:rPr>
          <w:rStyle w:val="af7"/>
          <w:rFonts w:eastAsia="Guttman Hodes"/>
          <w:rtl/>
        </w:rPr>
        <w:fldChar w:fldCharType="end"/>
      </w:r>
      <w:r w:rsidRPr="00076F0B">
        <w:rPr>
          <w:rFonts w:hint="cs"/>
          <w:rtl/>
        </w:rPr>
        <w:t xml:space="preserve"> בדין חזקת קטן, ועי' במה</w:t>
      </w:r>
      <w:r>
        <w:rPr>
          <w:rFonts w:hint="cs"/>
          <w:rtl/>
        </w:rPr>
        <w:t xml:space="preserve"> שביאר </w:t>
      </w:r>
      <w:r w:rsidRPr="00FF01A9">
        <w:rPr>
          <w:rStyle w:val="af9"/>
          <w:rFonts w:hint="cs"/>
          <w:rtl/>
        </w:rPr>
        <w:t>בחי' רבי נחום</w:t>
      </w:r>
      <w:r>
        <w:rPr>
          <w:rFonts w:hint="cs"/>
          <w:rtl/>
        </w:rPr>
        <w:t xml:space="preserve"> </w:t>
      </w:r>
      <w:r w:rsidRPr="00FF01A9">
        <w:rPr>
          <w:rStyle w:val="af7"/>
          <w:rFonts w:eastAsia="Guttman Hodes" w:hint="cs"/>
          <w:rtl/>
        </w:rPr>
        <w:t xml:space="preserve">(עי' אות </w:t>
      </w:r>
      <w:r w:rsidRPr="00FF01A9">
        <w:rPr>
          <w:rStyle w:val="af7"/>
          <w:rFonts w:eastAsia="Guttman Hodes"/>
          <w:rtl/>
        </w:rPr>
        <w:fldChar w:fldCharType="begin"/>
      </w:r>
      <w:r w:rsidRPr="00FF01A9">
        <w:rPr>
          <w:rStyle w:val="af7"/>
          <w:rFonts w:eastAsia="Guttman Hodes"/>
          <w:rtl/>
        </w:rPr>
        <w:instrText xml:space="preserve"> </w:instrText>
      </w:r>
      <w:r w:rsidRPr="00FF01A9">
        <w:rPr>
          <w:rStyle w:val="af7"/>
          <w:rFonts w:eastAsia="Guttman Hodes" w:hint="cs"/>
        </w:rPr>
        <w:instrText>REF</w:instrText>
      </w:r>
      <w:r w:rsidRPr="00FF01A9">
        <w:rPr>
          <w:rStyle w:val="af7"/>
          <w:rFonts w:eastAsia="Guttman Hodes" w:hint="cs"/>
          <w:rtl/>
        </w:rPr>
        <w:instrText xml:space="preserve"> _</w:instrText>
      </w:r>
      <w:r w:rsidRPr="00FF01A9">
        <w:rPr>
          <w:rStyle w:val="af7"/>
          <w:rFonts w:eastAsia="Guttman Hodes" w:hint="cs"/>
        </w:rPr>
        <w:instrText>Ref55473565 \r \h</w:instrText>
      </w:r>
      <w:r w:rsidRPr="00FF01A9">
        <w:rPr>
          <w:rStyle w:val="af7"/>
          <w:rFonts w:eastAsia="Guttman Hodes"/>
          <w:rtl/>
        </w:rPr>
        <w:instrText xml:space="preserve"> </w:instrText>
      </w:r>
      <w:r w:rsidRPr="00FF01A9">
        <w:rPr>
          <w:rStyle w:val="af7"/>
          <w:rFonts w:eastAsia="Guttman Hodes"/>
          <w:rtl/>
        </w:rPr>
      </w:r>
      <w:r w:rsidRPr="00FF01A9">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FF01A9">
        <w:rPr>
          <w:rStyle w:val="af7"/>
          <w:rFonts w:eastAsia="Guttman Hodes"/>
          <w:rtl/>
        </w:rPr>
        <w:fldChar w:fldCharType="end"/>
      </w:r>
      <w:r>
        <w:rPr>
          <w:rFonts w:hint="cs"/>
          <w:rtl/>
        </w:rPr>
        <w:t xml:space="preserve"> בדברי </w:t>
      </w:r>
      <w:r w:rsidRPr="00FF01A9">
        <w:rPr>
          <w:rStyle w:val="af9"/>
          <w:rFonts w:hint="cs"/>
          <w:rtl/>
        </w:rPr>
        <w:t>הריטב"א</w:t>
      </w:r>
      <w:r>
        <w:rPr>
          <w:rFonts w:hint="cs"/>
          <w:rtl/>
        </w:rPr>
        <w:t>.</w:t>
      </w:r>
      <w:bookmarkEnd w:id="3920"/>
      <w:bookmarkEnd w:id="3925"/>
    </w:p>
    <w:p w:rsidR="00F163D7" w:rsidRDefault="00F163D7" w:rsidP="00F163D7">
      <w:pPr>
        <w:pStyle w:val="a3"/>
        <w:rPr>
          <w:rtl/>
        </w:rPr>
      </w:pPr>
      <w:bookmarkStart w:id="3926" w:name="_Toc55991843"/>
      <w:bookmarkStart w:id="3927" w:name="_Toc56030392"/>
      <w:bookmarkStart w:id="3928" w:name="_Toc56032585"/>
      <w:r>
        <w:rPr>
          <w:rFonts w:hint="cs"/>
          <w:rtl/>
        </w:rPr>
        <w:t>דברי הריטב"א לקמן דרק כיון דעד ג"ש נזהר בשטרו מהני החזקה ואל"ה מדינא אין החזקה כלום</w:t>
      </w:r>
      <w:bookmarkEnd w:id="3926"/>
      <w:bookmarkEnd w:id="3927"/>
      <w:bookmarkEnd w:id="3928"/>
    </w:p>
    <w:p w:rsidR="00F163D7" w:rsidRPr="00B66E41" w:rsidRDefault="00F163D7" w:rsidP="007E4E81">
      <w:pPr>
        <w:pStyle w:val="a0"/>
        <w:rPr>
          <w:rStyle w:val="afb"/>
          <w:rtl/>
        </w:rPr>
      </w:pPr>
      <w:bookmarkStart w:id="3929" w:name="_Ref56942487"/>
      <w:bookmarkStart w:id="3930" w:name="_Ref57200443"/>
      <w:r>
        <w:rPr>
          <w:rFonts w:hint="cs"/>
          <w:rtl/>
        </w:rPr>
        <w:t xml:space="preserve">אמנם בהא דאמרינן בגמ' בסנהדרין </w:t>
      </w:r>
      <w:r w:rsidRPr="00D46F73">
        <w:rPr>
          <w:rStyle w:val="af7"/>
          <w:rFonts w:eastAsia="Guttman Hodes" w:hint="cs"/>
          <w:rtl/>
        </w:rPr>
        <w:t>(כג:)</w:t>
      </w:r>
      <w:r>
        <w:rPr>
          <w:rFonts w:hint="cs"/>
          <w:rtl/>
        </w:rPr>
        <w:t xml:space="preserve"> דאם אומר המחזיק שיש לו שטר וחזקה, הוא צריך להביא את שטרו, ולא סגי ליה בחזקה, כיון שהחזקה היא מכח השטר, כתב </w:t>
      </w:r>
      <w:r w:rsidRPr="00D46F73">
        <w:rPr>
          <w:rStyle w:val="af9"/>
          <w:rFonts w:hint="cs"/>
          <w:rtl/>
        </w:rPr>
        <w:t>הריטב"א לקמן</w:t>
      </w:r>
      <w:r>
        <w:rPr>
          <w:rFonts w:hint="cs"/>
          <w:rtl/>
        </w:rPr>
        <w:t xml:space="preserve"> </w:t>
      </w:r>
      <w:r w:rsidRPr="00D46F73">
        <w:rPr>
          <w:rStyle w:val="af7"/>
          <w:rFonts w:eastAsia="Guttman Hodes" w:hint="cs"/>
          <w:rtl/>
        </w:rPr>
        <w:t xml:space="preserve">(קע. ד"ה ומצינו) </w:t>
      </w:r>
      <w:r>
        <w:rPr>
          <w:rFonts w:hint="cs"/>
          <w:rtl/>
        </w:rPr>
        <w:t xml:space="preserve">דכוונת הגמ' בסנהדרין לומר דכל מה שתיקנו חכמים חזקת ג"ש, הוא רק מחמת דעד ג"ש אדם נזהר בשטרו, </w:t>
      </w:r>
      <w:r w:rsidRPr="007A6D15">
        <w:rPr>
          <w:rStyle w:val="afb"/>
          <w:rFonts w:hint="cs"/>
          <w:rtl/>
        </w:rPr>
        <w:t xml:space="preserve">[ולאחר ג"ש אין עליו טענת אחוי שטרך], </w:t>
      </w:r>
      <w:r>
        <w:rPr>
          <w:rFonts w:hint="cs"/>
          <w:rtl/>
        </w:rPr>
        <w:t xml:space="preserve">וכתב </w:t>
      </w:r>
      <w:r w:rsidRPr="002676DB">
        <w:rPr>
          <w:rStyle w:val="af9"/>
          <w:rFonts w:hint="cs"/>
          <w:rtl/>
        </w:rPr>
        <w:t>הריטב"א</w:t>
      </w:r>
      <w:r>
        <w:rPr>
          <w:rFonts w:hint="cs"/>
          <w:rtl/>
        </w:rPr>
        <w:t xml:space="preserve"> דלולי הסברא דאינו נזהר בשטרו, מדינא אין החזקה כלום. </w:t>
      </w:r>
      <w:r w:rsidRPr="00B66E41">
        <w:rPr>
          <w:rStyle w:val="afb"/>
          <w:rFonts w:hint="cs"/>
          <w:rtl/>
        </w:rPr>
        <w:t>[</w:t>
      </w:r>
      <w:r>
        <w:rPr>
          <w:rStyle w:val="afb"/>
          <w:rFonts w:hint="cs"/>
          <w:rtl/>
        </w:rPr>
        <w:t xml:space="preserve">ודלא </w:t>
      </w:r>
      <w:r w:rsidRPr="00161585">
        <w:rPr>
          <w:rStyle w:val="affa"/>
          <w:rFonts w:hint="cs"/>
          <w:rtl/>
        </w:rPr>
        <w:t>כריטב"א בסוגיין</w:t>
      </w:r>
      <w:r>
        <w:rPr>
          <w:rStyle w:val="afb"/>
          <w:rFonts w:hint="cs"/>
          <w:rtl/>
        </w:rPr>
        <w:t xml:space="preserve"> </w:t>
      </w:r>
      <w:r w:rsidRPr="00161585">
        <w:rPr>
          <w:rStyle w:val="aff6"/>
          <w:rFonts w:hint="cs"/>
          <w:rtl/>
        </w:rPr>
        <w:t xml:space="preserve">(עי' אות </w:t>
      </w:r>
      <w:r w:rsidRPr="00161585">
        <w:rPr>
          <w:rStyle w:val="aff6"/>
          <w:rtl/>
        </w:rPr>
        <w:fldChar w:fldCharType="begin"/>
      </w:r>
      <w:r w:rsidRPr="00161585">
        <w:rPr>
          <w:rStyle w:val="aff6"/>
          <w:rtl/>
        </w:rPr>
        <w:instrText xml:space="preserve"> </w:instrText>
      </w:r>
      <w:r w:rsidRPr="00161585">
        <w:rPr>
          <w:rStyle w:val="aff6"/>
          <w:rFonts w:hint="cs"/>
        </w:rPr>
        <w:instrText>REF</w:instrText>
      </w:r>
      <w:r w:rsidRPr="00161585">
        <w:rPr>
          <w:rStyle w:val="aff6"/>
          <w:rFonts w:hint="cs"/>
          <w:rtl/>
        </w:rPr>
        <w:instrText xml:space="preserve"> _</w:instrText>
      </w:r>
      <w:r w:rsidRPr="00161585">
        <w:rPr>
          <w:rStyle w:val="aff6"/>
          <w:rFonts w:hint="cs"/>
        </w:rPr>
        <w:instrText>Ref57200434 \r \h</w:instrText>
      </w:r>
      <w:r w:rsidRPr="00161585">
        <w:rPr>
          <w:rStyle w:val="aff6"/>
          <w:rtl/>
        </w:rPr>
        <w:instrText xml:space="preserve"> </w:instrText>
      </w:r>
      <w:r w:rsidRPr="00161585">
        <w:rPr>
          <w:rStyle w:val="aff6"/>
          <w:rtl/>
        </w:rPr>
      </w:r>
      <w:r w:rsidRPr="00161585">
        <w:rPr>
          <w:rStyle w:val="aff6"/>
          <w:rtl/>
        </w:rPr>
        <w:fldChar w:fldCharType="separate"/>
      </w:r>
      <w:r w:rsidR="00265073">
        <w:rPr>
          <w:rStyle w:val="aff6"/>
          <w:cs/>
        </w:rPr>
        <w:t>‎</w:t>
      </w:r>
      <w:r w:rsidR="00265073">
        <w:rPr>
          <w:rStyle w:val="aff6"/>
          <w:rtl/>
        </w:rPr>
        <w:t>ד)</w:t>
      </w:r>
      <w:r w:rsidRPr="00161585">
        <w:rPr>
          <w:rStyle w:val="aff6"/>
          <w:rtl/>
        </w:rPr>
        <w:fldChar w:fldCharType="end"/>
      </w:r>
      <w:r>
        <w:rPr>
          <w:rStyle w:val="afb"/>
          <w:rFonts w:hint="cs"/>
          <w:rtl/>
        </w:rPr>
        <w:t xml:space="preserve">, </w:t>
      </w:r>
      <w:r w:rsidRPr="00B66E41">
        <w:rPr>
          <w:rStyle w:val="afb"/>
          <w:rFonts w:hint="cs"/>
          <w:rtl/>
        </w:rPr>
        <w:t xml:space="preserve">ועי' </w:t>
      </w:r>
      <w:r w:rsidRPr="00B66E41">
        <w:rPr>
          <w:rStyle w:val="affa"/>
          <w:rFonts w:hint="cs"/>
          <w:rtl/>
        </w:rPr>
        <w:t>ברש"י בסנהדרין</w:t>
      </w:r>
      <w:r w:rsidRPr="00B66E41">
        <w:rPr>
          <w:rStyle w:val="afb"/>
          <w:rFonts w:hint="cs"/>
          <w:rtl/>
        </w:rPr>
        <w:t xml:space="preserve"> </w:t>
      </w:r>
      <w:r w:rsidRPr="00B66E41">
        <w:rPr>
          <w:rStyle w:val="aff6"/>
          <w:rFonts w:hint="cs"/>
          <w:rtl/>
        </w:rPr>
        <w:t>(כג: ג"ה אפי' תימא)</w:t>
      </w:r>
      <w:r w:rsidRPr="00B66E41">
        <w:rPr>
          <w:rStyle w:val="afb"/>
          <w:rFonts w:hint="cs"/>
          <w:rtl/>
        </w:rPr>
        <w:t xml:space="preserve"> </w:t>
      </w:r>
      <w:r w:rsidRPr="00B66E41">
        <w:rPr>
          <w:rStyle w:val="affa"/>
          <w:rFonts w:hint="cs"/>
          <w:rtl/>
        </w:rPr>
        <w:t>ובר"ח בסנהדרין</w:t>
      </w:r>
      <w:r w:rsidRPr="00B66E41">
        <w:rPr>
          <w:rStyle w:val="afb"/>
          <w:rFonts w:hint="cs"/>
          <w:rtl/>
        </w:rPr>
        <w:t xml:space="preserve"> </w:t>
      </w:r>
      <w:r w:rsidRPr="00B66E41">
        <w:rPr>
          <w:rStyle w:val="aff6"/>
          <w:rFonts w:hint="cs"/>
          <w:rtl/>
        </w:rPr>
        <w:t>(כג: ד"ה וקיי"ל)</w:t>
      </w:r>
      <w:r w:rsidRPr="00B66E41">
        <w:rPr>
          <w:rStyle w:val="afb"/>
          <w:rFonts w:hint="cs"/>
          <w:rtl/>
        </w:rPr>
        <w:t xml:space="preserve"> דביארו את דברי הגמ' שם באופ"א</w:t>
      </w:r>
      <w:bookmarkEnd w:id="3929"/>
      <w:r>
        <w:rPr>
          <w:rStyle w:val="afb"/>
          <w:rFonts w:hint="cs"/>
          <w:rtl/>
        </w:rPr>
        <w:t xml:space="preserve">, וע"ע בדברי </w:t>
      </w:r>
      <w:r w:rsidRPr="00387FB4">
        <w:rPr>
          <w:rStyle w:val="affa"/>
          <w:rFonts w:hint="cs"/>
          <w:rtl/>
        </w:rPr>
        <w:t>הרא"ה בשיטמ"ק בב"ק</w:t>
      </w:r>
      <w:r w:rsidRPr="00387FB4">
        <w:rPr>
          <w:rStyle w:val="afb"/>
          <w:rFonts w:hint="cs"/>
          <w:rtl/>
        </w:rPr>
        <w:t xml:space="preserve"> </w:t>
      </w:r>
      <w:r w:rsidRPr="00A979B2">
        <w:rPr>
          <w:rStyle w:val="aff6"/>
          <w:rFonts w:hint="cs"/>
          <w:rtl/>
        </w:rPr>
        <w:t xml:space="preserve">(לט. ד"ה משוית, הובא בסימן ו' אות נ"ד) </w:t>
      </w:r>
      <w:r w:rsidRPr="00387FB4">
        <w:rPr>
          <w:rStyle w:val="afb"/>
          <w:rFonts w:hint="cs"/>
          <w:rtl/>
        </w:rPr>
        <w:t>דכתב דחזקה אינה ראיה גמורה והיא דבר מסופק, ומ"מ תיקנו רבנן חזקת ג"ש, כיון שאין אדם נזהר בשטרו].</w:t>
      </w:r>
      <w:bookmarkEnd w:id="3930"/>
    </w:p>
    <w:p w:rsidR="00F163D7" w:rsidRDefault="00F163D7" w:rsidP="00F163D7">
      <w:pPr>
        <w:pStyle w:val="afe"/>
        <w:rPr>
          <w:rtl/>
        </w:rPr>
      </w:pPr>
      <w:bookmarkStart w:id="3931" w:name="_Toc55946548"/>
      <w:bookmarkStart w:id="3932" w:name="_Toc55991844"/>
      <w:bookmarkStart w:id="3933" w:name="_Toc56030393"/>
      <w:bookmarkStart w:id="3934" w:name="_Toc56032586"/>
      <w:bookmarkStart w:id="3935" w:name="_Toc55508522"/>
      <w:bookmarkStart w:id="3936" w:name="_Toc55569165"/>
      <w:bookmarkStart w:id="3937" w:name="_Toc55718272"/>
      <w:bookmarkStart w:id="3938" w:name="_Toc55739892"/>
      <w:bookmarkStart w:id="3939" w:name="_Toc55839443"/>
      <w:r>
        <w:rPr>
          <w:rFonts w:hint="cs"/>
          <w:rtl/>
        </w:rPr>
        <w:t>דברי הרמב"ן בטעם החזקה ואחוי שטרך</w:t>
      </w:r>
      <w:bookmarkEnd w:id="3931"/>
      <w:bookmarkEnd w:id="3932"/>
      <w:bookmarkEnd w:id="3933"/>
      <w:bookmarkEnd w:id="3934"/>
    </w:p>
    <w:p w:rsidR="00F163D7" w:rsidRPr="004C25CF" w:rsidRDefault="00F163D7" w:rsidP="00F163D7">
      <w:pPr>
        <w:pStyle w:val="1"/>
        <w:rPr>
          <w:rtl/>
        </w:rPr>
      </w:pPr>
      <w:bookmarkStart w:id="3940" w:name="_Toc55927844"/>
      <w:bookmarkStart w:id="3941" w:name="_Toc55946549"/>
      <w:bookmarkStart w:id="3942" w:name="_Toc55991845"/>
      <w:bookmarkStart w:id="3943" w:name="_Toc56030394"/>
      <w:bookmarkStart w:id="3944" w:name="_Toc56032587"/>
      <w:r>
        <w:rPr>
          <w:rFonts w:hint="cs"/>
          <w:rtl/>
        </w:rPr>
        <w:t xml:space="preserve">דברי </w:t>
      </w:r>
      <w:r w:rsidRPr="004C25CF">
        <w:rPr>
          <w:rFonts w:hint="cs"/>
          <w:rtl/>
        </w:rPr>
        <w:t xml:space="preserve">הרמב"ן </w:t>
      </w:r>
      <w:bookmarkEnd w:id="3940"/>
      <w:r>
        <w:rPr>
          <w:rFonts w:hint="cs"/>
          <w:rtl/>
        </w:rPr>
        <w:t>דמדשתק רגל"ד דמכר ומהני כשאין אחוי שטרך</w:t>
      </w:r>
      <w:bookmarkEnd w:id="3941"/>
      <w:bookmarkEnd w:id="3942"/>
      <w:bookmarkEnd w:id="3943"/>
      <w:bookmarkEnd w:id="3944"/>
    </w:p>
    <w:p w:rsidR="00F163D7" w:rsidRPr="004C25CF" w:rsidRDefault="00F163D7" w:rsidP="00F163D7">
      <w:pPr>
        <w:pStyle w:val="a3"/>
        <w:rPr>
          <w:rtl/>
        </w:rPr>
      </w:pPr>
      <w:bookmarkStart w:id="3945" w:name="_Toc55946550"/>
      <w:bookmarkStart w:id="3946" w:name="_Toc55991846"/>
      <w:bookmarkStart w:id="3947" w:name="_Toc56030395"/>
      <w:bookmarkStart w:id="3948" w:name="_Toc56032588"/>
      <w:r>
        <w:rPr>
          <w:rFonts w:hint="cs"/>
          <w:rtl/>
        </w:rPr>
        <w:t>דברי הרמב"ן דכיון ששתק יש רגל"ד דמכר לו אלא דבתוך ג"ש יש ריעותא דאחוי שטרך</w:t>
      </w:r>
      <w:bookmarkEnd w:id="3945"/>
      <w:bookmarkEnd w:id="3946"/>
      <w:bookmarkEnd w:id="3947"/>
      <w:bookmarkEnd w:id="3948"/>
    </w:p>
    <w:p w:rsidR="00F163D7" w:rsidRDefault="00F163D7" w:rsidP="007E4E81">
      <w:pPr>
        <w:pStyle w:val="a0"/>
        <w:rPr>
          <w:rtl/>
        </w:rPr>
      </w:pPr>
      <w:bookmarkStart w:id="3949" w:name="_Ref55940285"/>
      <w:r w:rsidRPr="004C25CF">
        <w:rPr>
          <w:rFonts w:hint="cs"/>
          <w:rtl/>
        </w:rPr>
        <w:t xml:space="preserve">עי' בדברי </w:t>
      </w:r>
      <w:r w:rsidRPr="004C25CF">
        <w:rPr>
          <w:rStyle w:val="af9"/>
          <w:rFonts w:hint="cs"/>
          <w:rtl/>
        </w:rPr>
        <w:t>הרמב"ן לקמן</w:t>
      </w:r>
      <w:r w:rsidRPr="004C25CF">
        <w:rPr>
          <w:rFonts w:hint="cs"/>
          <w:rtl/>
        </w:rPr>
        <w:t xml:space="preserve"> </w:t>
      </w:r>
      <w:r w:rsidRPr="006D5EE4">
        <w:rPr>
          <w:rStyle w:val="af7"/>
          <w:rFonts w:eastAsia="Guttman Hodes" w:hint="cs"/>
          <w:rtl/>
        </w:rPr>
        <w:t xml:space="preserve">(עי' אות </w:t>
      </w:r>
      <w:r w:rsidRPr="006D5EE4">
        <w:rPr>
          <w:rStyle w:val="af7"/>
          <w:rFonts w:eastAsia="Guttman Hodes"/>
          <w:rtl/>
        </w:rPr>
        <w:fldChar w:fldCharType="begin"/>
      </w:r>
      <w:r w:rsidRPr="006D5EE4">
        <w:rPr>
          <w:rStyle w:val="af7"/>
          <w:rFonts w:eastAsia="Guttman Hodes"/>
          <w:rtl/>
        </w:rPr>
        <w:instrText xml:space="preserve"> </w:instrText>
      </w:r>
      <w:r w:rsidRPr="006D5EE4">
        <w:rPr>
          <w:rStyle w:val="af7"/>
          <w:rFonts w:eastAsia="Guttman Hodes" w:hint="cs"/>
        </w:rPr>
        <w:instrText>REF</w:instrText>
      </w:r>
      <w:r w:rsidRPr="006D5EE4">
        <w:rPr>
          <w:rStyle w:val="af7"/>
          <w:rFonts w:eastAsia="Guttman Hodes" w:hint="cs"/>
          <w:rtl/>
        </w:rPr>
        <w:instrText xml:space="preserve"> _</w:instrText>
      </w:r>
      <w:r w:rsidRPr="006D5EE4">
        <w:rPr>
          <w:rStyle w:val="af7"/>
          <w:rFonts w:eastAsia="Guttman Hodes" w:hint="cs"/>
        </w:rPr>
        <w:instrText>Ref55489917 \r \h</w:instrText>
      </w:r>
      <w:r w:rsidRPr="006D5EE4">
        <w:rPr>
          <w:rStyle w:val="af7"/>
          <w:rFonts w:eastAsia="Guttman Hodes"/>
          <w:rtl/>
        </w:rPr>
        <w:instrText xml:space="preserve">  \* </w:instrText>
      </w:r>
      <w:r w:rsidRPr="006D5EE4">
        <w:rPr>
          <w:rStyle w:val="af7"/>
          <w:rFonts w:eastAsia="Guttman Hodes"/>
        </w:rPr>
        <w:instrText>MERGEFORMAT</w:instrText>
      </w:r>
      <w:r w:rsidRPr="006D5EE4">
        <w:rPr>
          <w:rStyle w:val="af7"/>
          <w:rFonts w:eastAsia="Guttman Hodes"/>
          <w:rtl/>
        </w:rPr>
        <w:instrText xml:space="preserve"> </w:instrText>
      </w:r>
      <w:r w:rsidRPr="006D5EE4">
        <w:rPr>
          <w:rStyle w:val="af7"/>
          <w:rFonts w:eastAsia="Guttman Hodes"/>
          <w:rtl/>
        </w:rPr>
      </w:r>
      <w:r w:rsidRPr="006D5EE4">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6D5EE4">
        <w:rPr>
          <w:rStyle w:val="af7"/>
          <w:rFonts w:eastAsia="Guttman Hodes"/>
          <w:rtl/>
        </w:rPr>
        <w:fldChar w:fldCharType="end"/>
      </w:r>
      <w:r w:rsidRPr="004C25CF">
        <w:rPr>
          <w:rFonts w:hint="cs"/>
          <w:rtl/>
        </w:rPr>
        <w:t xml:space="preserve"> דכתב דהטעם של חזקת ג"ש, אינו רק מחמת דאחר ג"ש אינו נזהר בשטרו, אלא דכיון שהמערער שותק למחזיק, יש רגלים לדבר דמכר לו, אלא דבתוך ג"ש אעפ"י שיש רגלים לדבר, עדיין טוענים למחזיק אחוי שטרך, ואחר ג"ש כיון שאינו נזהר בשטרו, יש ריעותא בטענת אחוי שטרך, ואחר שיש ריעותא בטענה, אמרינן דלא לחינם שתק לו המערער</w:t>
      </w:r>
      <w:r>
        <w:rPr>
          <w:rFonts w:hint="cs"/>
          <w:rtl/>
        </w:rPr>
        <w:t>,</w:t>
      </w:r>
      <w:r w:rsidRPr="004C25CF">
        <w:rPr>
          <w:rFonts w:hint="cs"/>
          <w:rtl/>
        </w:rPr>
        <w:t xml:space="preserve"> והוסיף </w:t>
      </w:r>
      <w:r w:rsidRPr="004C25CF">
        <w:rPr>
          <w:rStyle w:val="af9"/>
          <w:rFonts w:hint="cs"/>
          <w:rtl/>
        </w:rPr>
        <w:t>הרמב"ן</w:t>
      </w:r>
      <w:r w:rsidRPr="004C25CF">
        <w:rPr>
          <w:rFonts w:hint="cs"/>
          <w:rtl/>
        </w:rPr>
        <w:t xml:space="preserve"> דכן מוכח בגמ' בסוגיין</w:t>
      </w:r>
      <w:bookmarkStart w:id="3950" w:name="_Ref56010791"/>
      <w:r>
        <w:rPr>
          <w:rStyle w:val="af1"/>
          <w:rtl/>
        </w:rPr>
        <w:footnoteReference w:id="11"/>
      </w:r>
      <w:bookmarkEnd w:id="3950"/>
      <w:r>
        <w:rPr>
          <w:rFonts w:hint="cs"/>
          <w:rtl/>
        </w:rPr>
        <w:t xml:space="preserve">. [ועי' במה שביארו בדברי </w:t>
      </w:r>
      <w:r w:rsidRPr="00E919BD">
        <w:rPr>
          <w:rStyle w:val="af9"/>
          <w:rFonts w:hint="cs"/>
          <w:rtl/>
        </w:rPr>
        <w:t>הרמב"ן</w:t>
      </w:r>
      <w:r>
        <w:rPr>
          <w:rFonts w:hint="cs"/>
          <w:rtl/>
        </w:rPr>
        <w:t xml:space="preserve">, </w:t>
      </w:r>
      <w:r w:rsidRPr="00E919BD">
        <w:rPr>
          <w:rStyle w:val="af9"/>
          <w:rFonts w:hint="cs"/>
          <w:rtl/>
        </w:rPr>
        <w:t>הקצוה"ח</w:t>
      </w:r>
      <w:r>
        <w:rPr>
          <w:rFonts w:hint="cs"/>
          <w:rtl/>
        </w:rPr>
        <w:t xml:space="preserve"> </w:t>
      </w:r>
      <w:r w:rsidRPr="005276EC">
        <w:rPr>
          <w:rStyle w:val="af7"/>
          <w:rFonts w:eastAsia="Guttman Hodes" w:hint="cs"/>
          <w:rtl/>
        </w:rPr>
        <w:t xml:space="preserve">(עי' אות </w:t>
      </w:r>
      <w:r w:rsidRPr="005276EC">
        <w:rPr>
          <w:rStyle w:val="af7"/>
          <w:rFonts w:eastAsia="Guttman Hodes"/>
          <w:rtl/>
        </w:rPr>
        <w:fldChar w:fldCharType="begin"/>
      </w:r>
      <w:r w:rsidRPr="005276EC">
        <w:rPr>
          <w:rStyle w:val="af7"/>
          <w:rFonts w:eastAsia="Guttman Hodes"/>
          <w:rtl/>
        </w:rPr>
        <w:instrText xml:space="preserve"> </w:instrText>
      </w:r>
      <w:r w:rsidRPr="005276EC">
        <w:rPr>
          <w:rStyle w:val="af7"/>
          <w:rFonts w:eastAsia="Guttman Hodes" w:hint="cs"/>
        </w:rPr>
        <w:instrText>REF</w:instrText>
      </w:r>
      <w:r w:rsidRPr="005276EC">
        <w:rPr>
          <w:rStyle w:val="af7"/>
          <w:rFonts w:eastAsia="Guttman Hodes" w:hint="cs"/>
          <w:rtl/>
        </w:rPr>
        <w:instrText xml:space="preserve"> _</w:instrText>
      </w:r>
      <w:r w:rsidRPr="005276EC">
        <w:rPr>
          <w:rStyle w:val="af7"/>
          <w:rFonts w:eastAsia="Guttman Hodes" w:hint="cs"/>
        </w:rPr>
        <w:instrText>Ref55812937 \r \h</w:instrText>
      </w:r>
      <w:r w:rsidRPr="005276EC">
        <w:rPr>
          <w:rStyle w:val="af7"/>
          <w:rFonts w:eastAsia="Guttman Hodes"/>
          <w:rtl/>
        </w:rPr>
        <w:instrText xml:space="preserve"> </w:instrText>
      </w:r>
      <w:r w:rsidRPr="005276EC">
        <w:rPr>
          <w:rStyle w:val="af7"/>
          <w:rFonts w:eastAsia="Guttman Hodes"/>
          <w:rtl/>
        </w:rPr>
      </w:r>
      <w:r w:rsidRPr="005276EC">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5276EC">
        <w:rPr>
          <w:rStyle w:val="af7"/>
          <w:rFonts w:eastAsia="Guttman Hodes"/>
          <w:rtl/>
        </w:rPr>
        <w:fldChar w:fldCharType="end"/>
      </w:r>
      <w:r>
        <w:rPr>
          <w:rFonts w:hint="cs"/>
          <w:rtl/>
        </w:rPr>
        <w:t xml:space="preserve"> </w:t>
      </w:r>
      <w:r w:rsidRPr="00E919BD">
        <w:rPr>
          <w:rStyle w:val="af9"/>
          <w:rFonts w:hint="cs"/>
          <w:rtl/>
        </w:rPr>
        <w:t>והנתיה"מ</w:t>
      </w:r>
      <w:r>
        <w:rPr>
          <w:rFonts w:hint="cs"/>
          <w:rtl/>
        </w:rPr>
        <w:t xml:space="preserve"> </w:t>
      </w:r>
      <w:r w:rsidRPr="005276EC">
        <w:rPr>
          <w:rStyle w:val="af7"/>
          <w:rFonts w:eastAsia="Guttman Hodes" w:hint="cs"/>
          <w:rtl/>
        </w:rPr>
        <w:t xml:space="preserve">(עי' אות </w:t>
      </w:r>
      <w:r w:rsidRPr="005276EC">
        <w:rPr>
          <w:rStyle w:val="af7"/>
          <w:rFonts w:eastAsia="Guttman Hodes"/>
          <w:rtl/>
        </w:rPr>
        <w:fldChar w:fldCharType="begin"/>
      </w:r>
      <w:r w:rsidRPr="005276EC">
        <w:rPr>
          <w:rStyle w:val="af7"/>
          <w:rFonts w:eastAsia="Guttman Hodes"/>
          <w:rtl/>
        </w:rPr>
        <w:instrText xml:space="preserve"> </w:instrText>
      </w:r>
      <w:r w:rsidRPr="005276EC">
        <w:rPr>
          <w:rStyle w:val="af7"/>
          <w:rFonts w:eastAsia="Guttman Hodes" w:hint="cs"/>
        </w:rPr>
        <w:instrText>REF</w:instrText>
      </w:r>
      <w:r w:rsidRPr="005276EC">
        <w:rPr>
          <w:rStyle w:val="af7"/>
          <w:rFonts w:eastAsia="Guttman Hodes" w:hint="cs"/>
          <w:rtl/>
        </w:rPr>
        <w:instrText xml:space="preserve"> _</w:instrText>
      </w:r>
      <w:r w:rsidRPr="005276EC">
        <w:rPr>
          <w:rStyle w:val="af7"/>
          <w:rFonts w:eastAsia="Guttman Hodes" w:hint="cs"/>
        </w:rPr>
        <w:instrText>Ref55937520 \r \h</w:instrText>
      </w:r>
      <w:r w:rsidRPr="005276EC">
        <w:rPr>
          <w:rStyle w:val="af7"/>
          <w:rFonts w:eastAsia="Guttman Hodes"/>
          <w:rtl/>
        </w:rPr>
        <w:instrText xml:space="preserve"> </w:instrText>
      </w:r>
      <w:r w:rsidRPr="005276EC">
        <w:rPr>
          <w:rStyle w:val="af7"/>
          <w:rFonts w:eastAsia="Guttman Hodes"/>
          <w:rtl/>
        </w:rPr>
      </w:r>
      <w:r w:rsidRPr="005276EC">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5276EC">
        <w:rPr>
          <w:rStyle w:val="af7"/>
          <w:rFonts w:eastAsia="Guttman Hodes"/>
          <w:rtl/>
        </w:rPr>
        <w:fldChar w:fldCharType="end"/>
      </w:r>
      <w:r>
        <w:rPr>
          <w:rFonts w:hint="cs"/>
          <w:rtl/>
        </w:rPr>
        <w:t xml:space="preserve"> </w:t>
      </w:r>
      <w:r w:rsidRPr="00E919BD">
        <w:rPr>
          <w:rStyle w:val="af9"/>
          <w:rFonts w:hint="cs"/>
          <w:rtl/>
        </w:rPr>
        <w:t>והברכ"ש</w:t>
      </w:r>
      <w:r>
        <w:rPr>
          <w:rFonts w:hint="cs"/>
          <w:rtl/>
        </w:rPr>
        <w:t xml:space="preserve"> </w:t>
      </w:r>
      <w:r w:rsidRPr="00937194">
        <w:rPr>
          <w:rStyle w:val="af7"/>
          <w:rFonts w:eastAsia="Guttman Hodes" w:hint="cs"/>
          <w:rtl/>
        </w:rPr>
        <w:t xml:space="preserve">(עי' אות </w:t>
      </w:r>
      <w:r w:rsidRPr="00937194">
        <w:rPr>
          <w:rStyle w:val="af7"/>
          <w:rFonts w:eastAsia="Guttman Hodes"/>
          <w:rtl/>
        </w:rPr>
        <w:fldChar w:fldCharType="begin"/>
      </w:r>
      <w:r w:rsidRPr="00937194">
        <w:rPr>
          <w:rStyle w:val="af7"/>
          <w:rFonts w:eastAsia="Guttman Hodes"/>
          <w:rtl/>
        </w:rPr>
        <w:instrText xml:space="preserve"> </w:instrText>
      </w:r>
      <w:r w:rsidRPr="00937194">
        <w:rPr>
          <w:rStyle w:val="af7"/>
          <w:rFonts w:eastAsia="Guttman Hodes" w:hint="cs"/>
        </w:rPr>
        <w:instrText>REF</w:instrText>
      </w:r>
      <w:r w:rsidRPr="00937194">
        <w:rPr>
          <w:rStyle w:val="af7"/>
          <w:rFonts w:eastAsia="Guttman Hodes" w:hint="cs"/>
          <w:rtl/>
        </w:rPr>
        <w:instrText xml:space="preserve"> _</w:instrText>
      </w:r>
      <w:r w:rsidRPr="00937194">
        <w:rPr>
          <w:rStyle w:val="af7"/>
          <w:rFonts w:eastAsia="Guttman Hodes" w:hint="cs"/>
        </w:rPr>
        <w:instrText>Ref54091104 \r \h</w:instrText>
      </w:r>
      <w:r w:rsidRPr="00937194">
        <w:rPr>
          <w:rStyle w:val="af7"/>
          <w:rFonts w:eastAsia="Guttman Hodes"/>
          <w:rtl/>
        </w:rPr>
        <w:instrText xml:space="preserve"> </w:instrText>
      </w:r>
      <w:r w:rsidRPr="00937194">
        <w:rPr>
          <w:rStyle w:val="af7"/>
          <w:rFonts w:eastAsia="Guttman Hodes"/>
          <w:rtl/>
        </w:rPr>
      </w:r>
      <w:r w:rsidRPr="00937194">
        <w:rPr>
          <w:rStyle w:val="af7"/>
          <w:rFonts w:eastAsia="Guttman Hodes"/>
          <w:rtl/>
        </w:rPr>
        <w:fldChar w:fldCharType="separate"/>
      </w:r>
      <w:r w:rsidR="00265073">
        <w:rPr>
          <w:rStyle w:val="af7"/>
          <w:rFonts w:eastAsia="Guttman Hodes"/>
          <w:cs/>
        </w:rPr>
        <w:t>‎</w:t>
      </w:r>
      <w:r w:rsidR="00265073">
        <w:rPr>
          <w:rStyle w:val="af7"/>
          <w:rFonts w:eastAsia="Guttman Hodes"/>
          <w:rtl/>
        </w:rPr>
        <w:t>קא)</w:t>
      </w:r>
      <w:r w:rsidRPr="00937194">
        <w:rPr>
          <w:rStyle w:val="af7"/>
          <w:rFonts w:eastAsia="Guttman Hodes"/>
          <w:rtl/>
        </w:rPr>
        <w:fldChar w:fldCharType="end"/>
      </w:r>
      <w:r w:rsidRPr="00937194">
        <w:rPr>
          <w:rStyle w:val="af7"/>
          <w:rFonts w:eastAsia="Guttman Hodes" w:hint="cs"/>
          <w:rtl/>
        </w:rPr>
        <w:t xml:space="preserve"> </w:t>
      </w:r>
      <w:r w:rsidRPr="00937194">
        <w:rPr>
          <w:rStyle w:val="af9"/>
          <w:rFonts w:hint="cs"/>
          <w:rtl/>
        </w:rPr>
        <w:t>ובחי' רבי</w:t>
      </w:r>
      <w:r w:rsidRPr="00E919BD">
        <w:rPr>
          <w:rStyle w:val="af9"/>
          <w:rFonts w:hint="cs"/>
          <w:rtl/>
        </w:rPr>
        <w:t xml:space="preserve"> ראובן</w:t>
      </w:r>
      <w:r>
        <w:rPr>
          <w:rFonts w:hint="cs"/>
          <w:rtl/>
        </w:rPr>
        <w:t xml:space="preserve"> </w:t>
      </w:r>
      <w:r w:rsidRPr="00E71DB0">
        <w:rPr>
          <w:rStyle w:val="af7"/>
          <w:rFonts w:eastAsia="Guttman Hodes" w:hint="cs"/>
          <w:rtl/>
        </w:rPr>
        <w:t xml:space="preserve">(עי' אות </w:t>
      </w:r>
      <w:r w:rsidRPr="00E71DB0">
        <w:rPr>
          <w:rStyle w:val="af7"/>
          <w:rFonts w:eastAsia="Guttman Hodes"/>
          <w:rtl/>
        </w:rPr>
        <w:fldChar w:fldCharType="begin"/>
      </w:r>
      <w:r w:rsidRPr="00E71DB0">
        <w:rPr>
          <w:rStyle w:val="af7"/>
          <w:rFonts w:eastAsia="Guttman Hodes"/>
          <w:rtl/>
        </w:rPr>
        <w:instrText xml:space="preserve"> </w:instrText>
      </w:r>
      <w:r w:rsidRPr="00E71DB0">
        <w:rPr>
          <w:rStyle w:val="af7"/>
          <w:rFonts w:eastAsia="Guttman Hodes" w:hint="cs"/>
        </w:rPr>
        <w:instrText>REF</w:instrText>
      </w:r>
      <w:r w:rsidRPr="00E71DB0">
        <w:rPr>
          <w:rStyle w:val="af7"/>
          <w:rFonts w:eastAsia="Guttman Hodes" w:hint="cs"/>
          <w:rtl/>
        </w:rPr>
        <w:instrText xml:space="preserve"> _</w:instrText>
      </w:r>
      <w:r w:rsidRPr="00E71DB0">
        <w:rPr>
          <w:rStyle w:val="af7"/>
          <w:rFonts w:eastAsia="Guttman Hodes" w:hint="cs"/>
        </w:rPr>
        <w:instrText>Ref55748208 \r \h</w:instrText>
      </w:r>
      <w:r w:rsidRPr="00E71DB0">
        <w:rPr>
          <w:rStyle w:val="af7"/>
          <w:rFonts w:eastAsia="Guttman Hodes"/>
          <w:rtl/>
        </w:rPr>
        <w:instrText xml:space="preserve"> </w:instrText>
      </w:r>
      <w:r w:rsidRPr="00E71DB0">
        <w:rPr>
          <w:rStyle w:val="af7"/>
          <w:rFonts w:eastAsia="Guttman Hodes"/>
          <w:rtl/>
        </w:rPr>
      </w:r>
      <w:r w:rsidRPr="00E71DB0">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E71DB0">
        <w:rPr>
          <w:rStyle w:val="af7"/>
          <w:rFonts w:eastAsia="Guttman Hodes"/>
          <w:rtl/>
        </w:rPr>
        <w:fldChar w:fldCharType="end"/>
      </w:r>
      <w:r>
        <w:rPr>
          <w:rFonts w:hint="cs"/>
          <w:rtl/>
        </w:rPr>
        <w:t xml:space="preserve"> </w:t>
      </w:r>
      <w:r w:rsidRPr="00E919BD">
        <w:rPr>
          <w:rStyle w:val="af9"/>
          <w:rFonts w:hint="cs"/>
          <w:rtl/>
        </w:rPr>
        <w:t>ובקה"י</w:t>
      </w:r>
      <w:r>
        <w:rPr>
          <w:rFonts w:hint="cs"/>
          <w:rtl/>
        </w:rPr>
        <w:t xml:space="preserve"> </w:t>
      </w:r>
      <w:r w:rsidRPr="00E71DB0">
        <w:rPr>
          <w:rStyle w:val="af7"/>
          <w:rFonts w:eastAsia="Guttman Hodes" w:hint="cs"/>
          <w:rtl/>
        </w:rPr>
        <w:t xml:space="preserve">(עי' אות </w:t>
      </w:r>
      <w:r w:rsidRPr="00E71DB0">
        <w:rPr>
          <w:rStyle w:val="af7"/>
          <w:rFonts w:eastAsia="Guttman Hodes"/>
          <w:rtl/>
        </w:rPr>
        <w:fldChar w:fldCharType="begin"/>
      </w:r>
      <w:r w:rsidRPr="00E71DB0">
        <w:rPr>
          <w:rStyle w:val="af7"/>
          <w:rFonts w:eastAsia="Guttman Hodes"/>
          <w:rtl/>
        </w:rPr>
        <w:instrText xml:space="preserve"> </w:instrText>
      </w:r>
      <w:r w:rsidRPr="00E71DB0">
        <w:rPr>
          <w:rStyle w:val="af7"/>
          <w:rFonts w:eastAsia="Guttman Hodes" w:hint="cs"/>
        </w:rPr>
        <w:instrText>REF</w:instrText>
      </w:r>
      <w:r w:rsidRPr="00E71DB0">
        <w:rPr>
          <w:rStyle w:val="af7"/>
          <w:rFonts w:eastAsia="Guttman Hodes" w:hint="cs"/>
          <w:rtl/>
        </w:rPr>
        <w:instrText xml:space="preserve"> _</w:instrText>
      </w:r>
      <w:r w:rsidRPr="00E71DB0">
        <w:rPr>
          <w:rStyle w:val="af7"/>
          <w:rFonts w:eastAsia="Guttman Hodes" w:hint="cs"/>
        </w:rPr>
        <w:instrText>Ref55989070 \r \h</w:instrText>
      </w:r>
      <w:r w:rsidRPr="00E71DB0">
        <w:rPr>
          <w:rStyle w:val="af7"/>
          <w:rFonts w:eastAsia="Guttman Hodes"/>
          <w:rtl/>
        </w:rPr>
        <w:instrText xml:space="preserve"> </w:instrText>
      </w:r>
      <w:r w:rsidRPr="00E71DB0">
        <w:rPr>
          <w:rStyle w:val="af7"/>
          <w:rFonts w:eastAsia="Guttman Hodes"/>
          <w:rtl/>
        </w:rPr>
      </w:r>
      <w:r w:rsidRPr="00E71DB0">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E71DB0">
        <w:rPr>
          <w:rStyle w:val="af7"/>
          <w:rFonts w:eastAsia="Guttman Hodes"/>
          <w:rtl/>
        </w:rPr>
        <w:fldChar w:fldCharType="end"/>
      </w:r>
      <w:r>
        <w:rPr>
          <w:rFonts w:hint="cs"/>
          <w:rtl/>
        </w:rPr>
        <w:t xml:space="preserve"> </w:t>
      </w:r>
      <w:r w:rsidRPr="00E919BD">
        <w:rPr>
          <w:rStyle w:val="af9"/>
          <w:rFonts w:hint="cs"/>
          <w:rtl/>
        </w:rPr>
        <w:t>ובחי' רבי נחום</w:t>
      </w:r>
      <w:r>
        <w:rPr>
          <w:rFonts w:hint="cs"/>
          <w:rtl/>
        </w:rPr>
        <w:t xml:space="preserve"> </w:t>
      </w:r>
      <w:r w:rsidRPr="00327501">
        <w:rPr>
          <w:rStyle w:val="af7"/>
          <w:rFonts w:eastAsia="Guttman Hodes" w:hint="cs"/>
          <w:rtl/>
        </w:rPr>
        <w:t xml:space="preserve">(עי' אות </w:t>
      </w:r>
      <w:r w:rsidRPr="00327501">
        <w:rPr>
          <w:rStyle w:val="af7"/>
          <w:rFonts w:eastAsia="Guttman Hodes"/>
          <w:rtl/>
        </w:rPr>
        <w:fldChar w:fldCharType="begin"/>
      </w:r>
      <w:r w:rsidRPr="00327501">
        <w:rPr>
          <w:rStyle w:val="af7"/>
          <w:rFonts w:eastAsia="Guttman Hodes"/>
          <w:rtl/>
        </w:rPr>
        <w:instrText xml:space="preserve"> </w:instrText>
      </w:r>
      <w:r w:rsidRPr="00327501">
        <w:rPr>
          <w:rStyle w:val="af7"/>
          <w:rFonts w:eastAsia="Guttman Hodes" w:hint="cs"/>
        </w:rPr>
        <w:instrText>REF</w:instrText>
      </w:r>
      <w:r w:rsidRPr="00327501">
        <w:rPr>
          <w:rStyle w:val="af7"/>
          <w:rFonts w:eastAsia="Guttman Hodes" w:hint="cs"/>
          <w:rtl/>
        </w:rPr>
        <w:instrText xml:space="preserve"> _</w:instrText>
      </w:r>
      <w:r w:rsidRPr="00327501">
        <w:rPr>
          <w:rStyle w:val="af7"/>
          <w:rFonts w:eastAsia="Guttman Hodes" w:hint="cs"/>
        </w:rPr>
        <w:instrText>Ref55508194 \r \h</w:instrText>
      </w:r>
      <w:r w:rsidRPr="00327501">
        <w:rPr>
          <w:rStyle w:val="af7"/>
          <w:rFonts w:eastAsia="Guttman Hodes"/>
          <w:rtl/>
        </w:rPr>
        <w:instrText xml:space="preserve"> </w:instrText>
      </w:r>
      <w:r w:rsidRPr="00327501">
        <w:rPr>
          <w:rStyle w:val="af7"/>
          <w:rFonts w:eastAsia="Guttman Hodes"/>
          <w:rtl/>
        </w:rPr>
      </w:r>
      <w:r w:rsidRPr="00327501">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Pr="00327501">
        <w:rPr>
          <w:rStyle w:val="af7"/>
          <w:rFonts w:eastAsia="Guttman Hodes"/>
          <w:rtl/>
        </w:rPr>
        <w:fldChar w:fldCharType="end"/>
      </w:r>
      <w:r>
        <w:rPr>
          <w:rFonts w:hint="cs"/>
          <w:rtl/>
        </w:rPr>
        <w:t xml:space="preserve"> </w:t>
      </w:r>
      <w:r w:rsidRPr="00E919BD">
        <w:rPr>
          <w:rStyle w:val="af9"/>
          <w:rFonts w:hint="cs"/>
          <w:rtl/>
        </w:rPr>
        <w:t>ובשיעורי רבי שמואל</w:t>
      </w:r>
      <w:r>
        <w:rPr>
          <w:rFonts w:hint="cs"/>
          <w:rtl/>
        </w:rPr>
        <w:t xml:space="preserve"> </w:t>
      </w:r>
      <w:r w:rsidRPr="00435D0E">
        <w:rPr>
          <w:rStyle w:val="af7"/>
          <w:rFonts w:eastAsia="Guttman Hodes" w:hint="cs"/>
          <w:rtl/>
        </w:rPr>
        <w:t xml:space="preserve">(עי' אות </w:t>
      </w:r>
      <w:r w:rsidRPr="00435D0E">
        <w:rPr>
          <w:rStyle w:val="af7"/>
          <w:rFonts w:eastAsia="Guttman Hodes"/>
          <w:rtl/>
        </w:rPr>
        <w:fldChar w:fldCharType="begin"/>
      </w:r>
      <w:r w:rsidRPr="00435D0E">
        <w:rPr>
          <w:rStyle w:val="af7"/>
          <w:rFonts w:eastAsia="Guttman Hodes"/>
          <w:rtl/>
        </w:rPr>
        <w:instrText xml:space="preserve"> </w:instrText>
      </w:r>
      <w:r w:rsidRPr="00435D0E">
        <w:rPr>
          <w:rStyle w:val="af7"/>
          <w:rFonts w:eastAsia="Guttman Hodes" w:hint="cs"/>
        </w:rPr>
        <w:instrText>REF</w:instrText>
      </w:r>
      <w:r w:rsidRPr="00435D0E">
        <w:rPr>
          <w:rStyle w:val="af7"/>
          <w:rFonts w:eastAsia="Guttman Hodes" w:hint="cs"/>
          <w:rtl/>
        </w:rPr>
        <w:instrText xml:space="preserve"> _</w:instrText>
      </w:r>
      <w:r w:rsidRPr="00435D0E">
        <w:rPr>
          <w:rStyle w:val="af7"/>
          <w:rFonts w:eastAsia="Guttman Hodes" w:hint="cs"/>
        </w:rPr>
        <w:instrText>Ref56013955 \r \h</w:instrText>
      </w:r>
      <w:r w:rsidRPr="00435D0E">
        <w:rPr>
          <w:rStyle w:val="af7"/>
          <w:rFonts w:eastAsia="Guttman Hodes"/>
          <w:rtl/>
        </w:rPr>
        <w:instrText xml:space="preserve"> </w:instrText>
      </w:r>
      <w:r w:rsidRPr="00435D0E">
        <w:rPr>
          <w:rStyle w:val="af7"/>
          <w:rFonts w:eastAsia="Guttman Hodes"/>
          <w:rtl/>
        </w:rPr>
      </w:r>
      <w:r w:rsidRPr="00435D0E">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sidRPr="00435D0E">
        <w:rPr>
          <w:rStyle w:val="af7"/>
          <w:rFonts w:eastAsia="Guttman Hodes"/>
          <w:rtl/>
        </w:rPr>
        <w:fldChar w:fldCharType="end"/>
      </w:r>
      <w:r>
        <w:rPr>
          <w:rFonts w:hint="cs"/>
          <w:rtl/>
        </w:rPr>
        <w:t xml:space="preserve"> </w:t>
      </w:r>
      <w:r>
        <w:rPr>
          <w:rStyle w:val="af9"/>
          <w:rFonts w:hint="cs"/>
          <w:rtl/>
        </w:rPr>
        <w:t>וב</w:t>
      </w:r>
      <w:r w:rsidRPr="00272161">
        <w:rPr>
          <w:rStyle w:val="af9"/>
          <w:rFonts w:hint="cs"/>
          <w:rtl/>
        </w:rPr>
        <w:t xml:space="preserve">אבי עזרי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Ref56015301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צח)</w:t>
      </w:r>
      <w:r>
        <w:rPr>
          <w:rStyle w:val="af7"/>
          <w:rFonts w:eastAsia="Guttman Hodes"/>
          <w:rtl/>
        </w:rPr>
        <w:fldChar w:fldCharType="end"/>
      </w:r>
      <w:r>
        <w:rPr>
          <w:rStyle w:val="af7"/>
          <w:rFonts w:eastAsia="Guttman Hodes" w:hint="cs"/>
          <w:rtl/>
        </w:rPr>
        <w:t xml:space="preserve"> </w:t>
      </w:r>
      <w:r w:rsidRPr="00327501">
        <w:rPr>
          <w:rStyle w:val="af9"/>
          <w:rFonts w:hint="cs"/>
          <w:rtl/>
        </w:rPr>
        <w:t>ובדברי מרדכי</w:t>
      </w:r>
      <w:r>
        <w:rPr>
          <w:rFonts w:hint="cs"/>
          <w:rtl/>
        </w:rPr>
        <w:t xml:space="preserve"> </w:t>
      </w:r>
      <w:r w:rsidRPr="00327501">
        <w:rPr>
          <w:rStyle w:val="af7"/>
          <w:rFonts w:eastAsia="Guttman Hodes" w:hint="cs"/>
          <w:rtl/>
        </w:rPr>
        <w:t xml:space="preserve">(עי' אות </w:t>
      </w:r>
      <w:r w:rsidRPr="00327501">
        <w:rPr>
          <w:rStyle w:val="af7"/>
          <w:rFonts w:eastAsia="Guttman Hodes"/>
          <w:rtl/>
        </w:rPr>
        <w:fldChar w:fldCharType="begin"/>
      </w:r>
      <w:r w:rsidRPr="00327501">
        <w:rPr>
          <w:rStyle w:val="af7"/>
          <w:rFonts w:eastAsia="Guttman Hodes"/>
          <w:rtl/>
        </w:rPr>
        <w:instrText xml:space="preserve"> </w:instrText>
      </w:r>
      <w:r w:rsidRPr="00327501">
        <w:rPr>
          <w:rStyle w:val="af7"/>
          <w:rFonts w:eastAsia="Guttman Hodes" w:hint="cs"/>
        </w:rPr>
        <w:instrText>REF</w:instrText>
      </w:r>
      <w:r w:rsidRPr="00327501">
        <w:rPr>
          <w:rStyle w:val="af7"/>
          <w:rFonts w:eastAsia="Guttman Hodes" w:hint="cs"/>
          <w:rtl/>
        </w:rPr>
        <w:instrText xml:space="preserve"> _</w:instrText>
      </w:r>
      <w:r w:rsidRPr="00327501">
        <w:rPr>
          <w:rStyle w:val="af7"/>
          <w:rFonts w:eastAsia="Guttman Hodes" w:hint="cs"/>
        </w:rPr>
        <w:instrText>Ref56010649 \r \h</w:instrText>
      </w:r>
      <w:r w:rsidRPr="00327501">
        <w:rPr>
          <w:rStyle w:val="af7"/>
          <w:rFonts w:eastAsia="Guttman Hodes"/>
          <w:rtl/>
        </w:rPr>
        <w:instrText xml:space="preserve"> </w:instrText>
      </w:r>
      <w:r w:rsidRPr="00327501">
        <w:rPr>
          <w:rStyle w:val="af7"/>
          <w:rFonts w:eastAsia="Guttman Hodes"/>
          <w:rtl/>
        </w:rPr>
      </w:r>
      <w:r w:rsidRPr="00327501">
        <w:rPr>
          <w:rStyle w:val="af7"/>
          <w:rFonts w:eastAsia="Guttman Hodes"/>
          <w:rtl/>
        </w:rPr>
        <w:fldChar w:fldCharType="separate"/>
      </w:r>
      <w:r w:rsidR="00265073">
        <w:rPr>
          <w:rStyle w:val="af7"/>
          <w:rFonts w:eastAsia="Guttman Hodes"/>
          <w:cs/>
        </w:rPr>
        <w:t>‎</w:t>
      </w:r>
      <w:r w:rsidR="00265073">
        <w:rPr>
          <w:rStyle w:val="af7"/>
          <w:rFonts w:eastAsia="Guttman Hodes"/>
          <w:rtl/>
        </w:rPr>
        <w:t>קא)</w:t>
      </w:r>
      <w:r w:rsidRPr="00327501">
        <w:rPr>
          <w:rStyle w:val="af7"/>
          <w:rFonts w:eastAsia="Guttman Hodes"/>
          <w:rtl/>
        </w:rPr>
        <w:fldChar w:fldCharType="end"/>
      </w:r>
      <w:r>
        <w:rPr>
          <w:rFonts w:hint="cs"/>
          <w:rtl/>
        </w:rPr>
        <w:t xml:space="preserve">, וע"ע במ"ש </w:t>
      </w:r>
      <w:r w:rsidRPr="00D02BCB">
        <w:rPr>
          <w:rStyle w:val="af9"/>
          <w:rFonts w:hint="cs"/>
          <w:rtl/>
        </w:rPr>
        <w:t xml:space="preserve">בחי' רבי נחום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Ref56011661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Pr>
          <w:rStyle w:val="af7"/>
          <w:rFonts w:eastAsia="Guttman Hodes"/>
          <w:rtl/>
        </w:rPr>
        <w:fldChar w:fldCharType="end"/>
      </w:r>
      <w:r>
        <w:rPr>
          <w:rStyle w:val="af7"/>
          <w:rFonts w:eastAsia="Guttman Hodes" w:hint="cs"/>
          <w:rtl/>
        </w:rPr>
        <w:t xml:space="preserve"> </w:t>
      </w:r>
      <w:r w:rsidRPr="00D02BCB">
        <w:rPr>
          <w:rFonts w:hint="cs"/>
          <w:rtl/>
        </w:rPr>
        <w:t>ד</w:t>
      </w:r>
      <w:r>
        <w:rPr>
          <w:rFonts w:hint="cs"/>
          <w:rtl/>
        </w:rPr>
        <w:t>לדעת</w:t>
      </w:r>
      <w:r w:rsidRPr="00D02BCB">
        <w:rPr>
          <w:rFonts w:hint="cs"/>
          <w:rtl/>
        </w:rPr>
        <w:t xml:space="preserve"> </w:t>
      </w:r>
      <w:r w:rsidRPr="00D02BCB">
        <w:rPr>
          <w:rStyle w:val="af9"/>
          <w:rFonts w:hint="cs"/>
          <w:rtl/>
        </w:rPr>
        <w:t xml:space="preserve">הרמב"ן </w:t>
      </w:r>
      <w:r w:rsidRPr="00D02BCB">
        <w:rPr>
          <w:rFonts w:hint="cs"/>
          <w:rtl/>
        </w:rPr>
        <w:t>חזקת ג"ש היא תקנת חכמים</w:t>
      </w:r>
      <w:r>
        <w:rPr>
          <w:rFonts w:hint="cs"/>
          <w:rtl/>
        </w:rPr>
        <w:t>].</w:t>
      </w:r>
      <w:bookmarkEnd w:id="3949"/>
      <w:r w:rsidRPr="007E4D20">
        <w:rPr>
          <w:rStyle w:val="afb"/>
          <w:rFonts w:hint="cs"/>
          <w:rtl/>
        </w:rPr>
        <w:t xml:space="preserve"> </w:t>
      </w:r>
      <w:r w:rsidRPr="00327501">
        <w:rPr>
          <w:rStyle w:val="afb"/>
          <w:rFonts w:hint="cs"/>
          <w:rtl/>
        </w:rPr>
        <w:t>[</w:t>
      </w:r>
      <w:r>
        <w:rPr>
          <w:rStyle w:val="afb"/>
          <w:rFonts w:hint="cs"/>
          <w:rtl/>
        </w:rPr>
        <w:t xml:space="preserve">ועי' במה שהוסיף </w:t>
      </w:r>
      <w:r w:rsidRPr="00FE7665">
        <w:rPr>
          <w:rStyle w:val="affa"/>
          <w:rtl/>
        </w:rPr>
        <w:t>הר"ן על הרי"ף [הנדמ"ח]</w:t>
      </w:r>
      <w:r w:rsidRPr="00FE7665">
        <w:rPr>
          <w:rStyle w:val="afb"/>
          <w:rtl/>
        </w:rPr>
        <w:t xml:space="preserve"> </w:t>
      </w:r>
      <w:r w:rsidRPr="00FE7665">
        <w:rPr>
          <w:rStyle w:val="aff6"/>
          <w:rtl/>
        </w:rPr>
        <w:t>(</w:t>
      </w:r>
      <w:r>
        <w:rPr>
          <w:rStyle w:val="aff6"/>
          <w:rFonts w:hint="cs"/>
          <w:rtl/>
        </w:rPr>
        <w:t xml:space="preserve">מב. </w:t>
      </w:r>
      <w:r w:rsidRPr="00FE7665">
        <w:rPr>
          <w:rStyle w:val="aff6"/>
          <w:rtl/>
        </w:rPr>
        <w:t xml:space="preserve">ד"ה </w:t>
      </w:r>
      <w:r>
        <w:rPr>
          <w:rStyle w:val="aff6"/>
          <w:rFonts w:hint="cs"/>
          <w:rtl/>
        </w:rPr>
        <w:t>אכלה</w:t>
      </w:r>
      <w:r w:rsidRPr="00FE7665">
        <w:rPr>
          <w:rStyle w:val="aff6"/>
          <w:rtl/>
        </w:rPr>
        <w:t xml:space="preserve">, נד' בסוף חי' </w:t>
      </w:r>
      <w:r w:rsidRPr="00961111">
        <w:rPr>
          <w:rStyle w:val="aff6"/>
          <w:rtl/>
        </w:rPr>
        <w:t xml:space="preserve">הר"ן מהדו' </w:t>
      </w:r>
      <w:r>
        <w:rPr>
          <w:rStyle w:val="aff6"/>
          <w:rFonts w:hint="cs"/>
          <w:rtl/>
        </w:rPr>
        <w:t>פרדס</w:t>
      </w:r>
      <w:r w:rsidR="00CA3FDF">
        <w:rPr>
          <w:rStyle w:val="af1"/>
          <w:rtl/>
        </w:rPr>
        <w:footnoteReference w:id="12"/>
      </w:r>
      <w:r>
        <w:rPr>
          <w:rStyle w:val="aff6"/>
          <w:rFonts w:hint="cs"/>
          <w:rtl/>
        </w:rPr>
        <w:t xml:space="preserve">) </w:t>
      </w:r>
      <w:r w:rsidRPr="00DB275C">
        <w:rPr>
          <w:rStyle w:val="afb"/>
          <w:rFonts w:hint="cs"/>
          <w:rtl/>
        </w:rPr>
        <w:t xml:space="preserve">בשם </w:t>
      </w:r>
      <w:r w:rsidRPr="007E4D20">
        <w:rPr>
          <w:rStyle w:val="affa"/>
          <w:rFonts w:hint="cs"/>
          <w:rtl/>
        </w:rPr>
        <w:t>הרמב"ן</w:t>
      </w:r>
      <w:r w:rsidRPr="00DB275C">
        <w:rPr>
          <w:rStyle w:val="afb"/>
          <w:rFonts w:hint="cs"/>
          <w:rtl/>
        </w:rPr>
        <w:t xml:space="preserve"> </w:t>
      </w:r>
      <w:r>
        <w:rPr>
          <w:rStyle w:val="afb"/>
          <w:rFonts w:hint="cs"/>
          <w:rtl/>
        </w:rPr>
        <w:t>דבתוך ג"ש כשאין למחזיק שטר, יש ריעותא בטענת המחזיק, ולאחר ג"ש אין ריעותא בטענתו, כיון דיותר מג"ש אינו נזהר בשטרו].</w:t>
      </w:r>
      <w:r w:rsidR="00A77F33">
        <w:rPr>
          <w:rStyle w:val="afb"/>
          <w:rFonts w:hint="cs"/>
          <w:rtl/>
        </w:rPr>
        <w:t xml:space="preserve"> </w:t>
      </w:r>
    </w:p>
    <w:p w:rsidR="00F163D7" w:rsidRDefault="00F163D7" w:rsidP="00F163D7">
      <w:pPr>
        <w:pStyle w:val="1"/>
        <w:rPr>
          <w:rtl/>
        </w:rPr>
      </w:pPr>
      <w:bookmarkStart w:id="3951" w:name="_Toc55927847"/>
      <w:bookmarkStart w:id="3952" w:name="_Toc55946554"/>
      <w:bookmarkStart w:id="3953" w:name="_Toc55991847"/>
      <w:bookmarkStart w:id="3954" w:name="_Toc56030396"/>
      <w:bookmarkStart w:id="3955" w:name="_Toc56032589"/>
      <w:bookmarkStart w:id="3956" w:name="_Toc55419903"/>
      <w:bookmarkStart w:id="3957" w:name="_Toc55419959"/>
      <w:bookmarkStart w:id="3958" w:name="_Toc55421169"/>
      <w:bookmarkStart w:id="3959" w:name="_Toc55508547"/>
      <w:bookmarkStart w:id="3960" w:name="_Toc55569195"/>
      <w:bookmarkStart w:id="3961" w:name="_Toc55718306"/>
      <w:bookmarkStart w:id="3962" w:name="_Toc55739916"/>
      <w:bookmarkStart w:id="3963" w:name="_Toc55839451"/>
      <w:bookmarkStart w:id="3964" w:name="_Toc53934427"/>
      <w:bookmarkStart w:id="3965" w:name="_Toc54076389"/>
      <w:r>
        <w:rPr>
          <w:rFonts w:hint="cs"/>
          <w:rtl/>
        </w:rPr>
        <w:t>דברי הרמב"ן דכשנודע בחזקה שהוא שלו אינו נזהר בשטרו</w:t>
      </w:r>
      <w:bookmarkEnd w:id="3951"/>
      <w:bookmarkEnd w:id="3952"/>
      <w:bookmarkEnd w:id="3953"/>
      <w:bookmarkEnd w:id="3954"/>
      <w:bookmarkEnd w:id="3955"/>
    </w:p>
    <w:p w:rsidR="00F163D7" w:rsidRPr="008C2602" w:rsidRDefault="00F163D7" w:rsidP="00F163D7">
      <w:pPr>
        <w:pStyle w:val="a3"/>
        <w:rPr>
          <w:rtl/>
        </w:rPr>
      </w:pPr>
      <w:bookmarkStart w:id="3966" w:name="_Toc55927848"/>
      <w:bookmarkStart w:id="3967" w:name="_Toc55946555"/>
      <w:bookmarkStart w:id="3968" w:name="_Toc55991848"/>
      <w:bookmarkStart w:id="3969" w:name="_Toc56030397"/>
      <w:bookmarkStart w:id="3970" w:name="_Toc56032590"/>
      <w:r>
        <w:rPr>
          <w:rFonts w:hint="cs"/>
          <w:rtl/>
        </w:rPr>
        <w:t xml:space="preserve">דברי </w:t>
      </w:r>
      <w:r w:rsidRPr="008C2602">
        <w:rPr>
          <w:rFonts w:hint="cs"/>
          <w:rtl/>
        </w:rPr>
        <w:t xml:space="preserve">הרמב"ן </w:t>
      </w:r>
      <w:r>
        <w:rPr>
          <w:rFonts w:hint="cs"/>
          <w:rtl/>
        </w:rPr>
        <w:t xml:space="preserve">לרשב"ם דאי לרב צריך ג"ש שלימות א"כ </w:t>
      </w:r>
      <w:r w:rsidRPr="008C2602">
        <w:rPr>
          <w:rFonts w:hint="cs"/>
          <w:rtl/>
        </w:rPr>
        <w:t>אמאי ל"מ חזקה במפוזרות וכדומה</w:t>
      </w:r>
      <w:bookmarkEnd w:id="3956"/>
      <w:bookmarkEnd w:id="3957"/>
      <w:bookmarkEnd w:id="3958"/>
      <w:bookmarkEnd w:id="3959"/>
      <w:bookmarkEnd w:id="3960"/>
      <w:bookmarkEnd w:id="3961"/>
      <w:bookmarkEnd w:id="3962"/>
      <w:bookmarkEnd w:id="3963"/>
      <w:bookmarkEnd w:id="3966"/>
      <w:bookmarkEnd w:id="3967"/>
      <w:bookmarkEnd w:id="3968"/>
      <w:bookmarkEnd w:id="3969"/>
      <w:bookmarkEnd w:id="3970"/>
    </w:p>
    <w:p w:rsidR="00F163D7" w:rsidRPr="008C2602" w:rsidRDefault="00F163D7" w:rsidP="007E4E81">
      <w:pPr>
        <w:pStyle w:val="a0"/>
        <w:rPr>
          <w:rtl/>
        </w:rPr>
      </w:pPr>
      <w:bookmarkStart w:id="3971" w:name="_Ref55939920"/>
      <w:r w:rsidRPr="008C2602">
        <w:rPr>
          <w:rFonts w:hint="cs"/>
          <w:rtl/>
        </w:rPr>
        <w:t xml:space="preserve">כתב </w:t>
      </w:r>
      <w:r w:rsidRPr="008C2602">
        <w:rPr>
          <w:rStyle w:val="af9"/>
          <w:rFonts w:hint="cs"/>
          <w:rtl/>
        </w:rPr>
        <w:t>הרמב"ן לקמן</w:t>
      </w:r>
      <w:r w:rsidRPr="008C2602">
        <w:rPr>
          <w:rFonts w:hint="cs"/>
          <w:rtl/>
        </w:rPr>
        <w:t xml:space="preserve"> </w:t>
      </w:r>
      <w:r w:rsidRPr="008C2602">
        <w:rPr>
          <w:rStyle w:val="af7"/>
          <w:rFonts w:eastAsia="Guttman Hodes" w:hint="cs"/>
          <w:rtl/>
        </w:rPr>
        <w:t>(לו: ד"ה ואיכא)</w:t>
      </w:r>
      <w:r w:rsidRPr="008C2602">
        <w:rPr>
          <w:rFonts w:hint="cs"/>
          <w:rtl/>
        </w:rPr>
        <w:t xml:space="preserve"> דהא </w:t>
      </w:r>
      <w:r>
        <w:rPr>
          <w:rFonts w:hint="cs"/>
          <w:rtl/>
        </w:rPr>
        <w:t>דביאר</w:t>
      </w:r>
      <w:r w:rsidRPr="008C2602">
        <w:rPr>
          <w:rFonts w:hint="cs"/>
          <w:rtl/>
        </w:rPr>
        <w:t xml:space="preserve"> </w:t>
      </w:r>
      <w:r>
        <w:rPr>
          <w:rStyle w:val="af9"/>
          <w:rFonts w:hint="cs"/>
          <w:rtl/>
        </w:rPr>
        <w:t>ה</w:t>
      </w:r>
      <w:r w:rsidRPr="008C2602">
        <w:rPr>
          <w:rStyle w:val="af9"/>
          <w:rFonts w:hint="cs"/>
          <w:rtl/>
        </w:rPr>
        <w:t>רשב"ם</w:t>
      </w:r>
      <w:r>
        <w:rPr>
          <w:rStyle w:val="af9"/>
          <w:rFonts w:hint="cs"/>
          <w:rtl/>
        </w:rPr>
        <w:t xml:space="preserve"> לקמן</w:t>
      </w:r>
      <w:r w:rsidRPr="008C2602">
        <w:rPr>
          <w:rFonts w:hint="cs"/>
          <w:rtl/>
        </w:rPr>
        <w:t xml:space="preserve"> </w:t>
      </w:r>
      <w:r w:rsidRPr="008C2602">
        <w:rPr>
          <w:rStyle w:val="af7"/>
          <w:rFonts w:eastAsia="Guttman Hodes" w:hint="cs"/>
          <w:rtl/>
        </w:rPr>
        <w:t>(לו: ד"ה זו דברי</w:t>
      </w:r>
      <w:r w:rsidR="00E3133B">
        <w:rPr>
          <w:rStyle w:val="af7"/>
          <w:rFonts w:eastAsia="Guttman Hodes" w:hint="cs"/>
          <w:rtl/>
        </w:rPr>
        <w:t>, הובא בסימן ו' אות ס"ה)</w:t>
      </w:r>
      <w:r w:rsidRPr="008C2602">
        <w:rPr>
          <w:rFonts w:hint="cs"/>
          <w:rtl/>
        </w:rPr>
        <w:t xml:space="preserve"> דלרב צריך ג"ש שלימות, הוא כיון הוקשה </w:t>
      </w:r>
      <w:r w:rsidRPr="008C2602">
        <w:rPr>
          <w:rStyle w:val="af9"/>
          <w:rFonts w:hint="cs"/>
          <w:rtl/>
        </w:rPr>
        <w:t>לרשב"ם</w:t>
      </w:r>
      <w:r w:rsidRPr="008C2602">
        <w:rPr>
          <w:rFonts w:hint="cs"/>
          <w:rtl/>
        </w:rPr>
        <w:t xml:space="preserve"> דהיאך אפש"ל דהוי חזקה בפחות מג"ש מיום ליום, והא טעמא דחזקה דעד ג"ש אדם נזהר בשטרו, ולכן ביאר </w:t>
      </w:r>
      <w:r w:rsidRPr="008C2602">
        <w:rPr>
          <w:rStyle w:val="af9"/>
          <w:rFonts w:hint="cs"/>
          <w:rtl/>
        </w:rPr>
        <w:t>הרשב"ם</w:t>
      </w:r>
      <w:r w:rsidRPr="008C2602">
        <w:rPr>
          <w:rFonts w:hint="cs"/>
          <w:rtl/>
        </w:rPr>
        <w:t xml:space="preserve"> דלרב </w:t>
      </w:r>
      <w:r w:rsidRPr="008C2602">
        <w:rPr>
          <w:rFonts w:hint="cs"/>
          <w:rtl/>
        </w:rPr>
        <w:lastRenderedPageBreak/>
        <w:t>מיום ליום דוקא</w:t>
      </w:r>
      <w:r>
        <w:rPr>
          <w:rFonts w:hint="cs"/>
          <w:rtl/>
        </w:rPr>
        <w:t xml:space="preserve">, </w:t>
      </w:r>
      <w:r w:rsidRPr="008C2602">
        <w:rPr>
          <w:rFonts w:hint="cs"/>
          <w:rtl/>
        </w:rPr>
        <w:t xml:space="preserve">אך דחה </w:t>
      </w:r>
      <w:r w:rsidRPr="008C2602">
        <w:rPr>
          <w:rStyle w:val="af9"/>
          <w:rFonts w:hint="cs"/>
          <w:rtl/>
        </w:rPr>
        <w:t>הרמב"ן לקמן</w:t>
      </w:r>
      <w:r w:rsidRPr="008C2602">
        <w:rPr>
          <w:rFonts w:hint="cs"/>
          <w:rtl/>
        </w:rPr>
        <w:t xml:space="preserve"> את דברי </w:t>
      </w:r>
      <w:r w:rsidRPr="008C2602">
        <w:rPr>
          <w:rStyle w:val="af9"/>
          <w:rFonts w:hint="cs"/>
          <w:rtl/>
        </w:rPr>
        <w:t>הרשב"ם</w:t>
      </w:r>
      <w:r w:rsidRPr="008C2602">
        <w:rPr>
          <w:rFonts w:hint="cs"/>
          <w:rtl/>
        </w:rPr>
        <w:t>, דאף אי לרב</w:t>
      </w:r>
      <w:r w:rsidR="00A77F33">
        <w:rPr>
          <w:rFonts w:hint="cs"/>
          <w:rtl/>
        </w:rPr>
        <w:t xml:space="preserve"> </w:t>
      </w:r>
      <w:r w:rsidRPr="008C2602">
        <w:rPr>
          <w:rFonts w:hint="cs"/>
          <w:rtl/>
        </w:rPr>
        <w:t>צריך ג"ש מיום ליום, עדיין קשה דא"כ כל שעברו ג"ש תחשב חזקה אף בשנים מפוזרות, ואף בבתים שדר בהם ביום ולא בלילה, וכן באפיק כורא ועייל כורא, ושדה גרועה כ</w:t>
      </w:r>
      <w:r w:rsidRPr="008C2602">
        <w:rPr>
          <w:rtl/>
        </w:rPr>
        <w:t>תפתיחא</w:t>
      </w:r>
      <w:r w:rsidRPr="008C2602">
        <w:rPr>
          <w:rFonts w:hint="cs"/>
          <w:rtl/>
        </w:rPr>
        <w:t xml:space="preserve">, וכן בעשה בה רק ניר, דמבואר בגמ' לקמן </w:t>
      </w:r>
      <w:r w:rsidRPr="008C2602">
        <w:rPr>
          <w:rStyle w:val="af7"/>
          <w:rFonts w:eastAsia="Guttman Hodes" w:hint="cs"/>
          <w:rtl/>
        </w:rPr>
        <w:t>(לו:)</w:t>
      </w:r>
      <w:r w:rsidRPr="008C2602">
        <w:rPr>
          <w:rFonts w:hint="cs"/>
          <w:rtl/>
        </w:rPr>
        <w:t xml:space="preserve"> דלא הוי חזקה</w:t>
      </w:r>
      <w:r>
        <w:rPr>
          <w:rFonts w:hint="cs"/>
          <w:rtl/>
        </w:rPr>
        <w:t xml:space="preserve">, ועי' במ"ש </w:t>
      </w:r>
      <w:r w:rsidRPr="00167BEB">
        <w:rPr>
          <w:rStyle w:val="af9"/>
          <w:rFonts w:hint="cs"/>
          <w:rtl/>
        </w:rPr>
        <w:t>התורת חיים</w:t>
      </w:r>
      <w:r>
        <w:rPr>
          <w:rFonts w:hint="cs"/>
          <w:rtl/>
        </w:rPr>
        <w:t xml:space="preserve"> </w:t>
      </w:r>
      <w:r w:rsidRPr="00167BEB">
        <w:rPr>
          <w:rStyle w:val="af7"/>
          <w:rFonts w:eastAsia="Guttman Hodes" w:hint="cs"/>
          <w:rtl/>
        </w:rPr>
        <w:t xml:space="preserve">(עי' אות </w:t>
      </w:r>
      <w:r w:rsidRPr="00167BEB">
        <w:rPr>
          <w:rStyle w:val="af7"/>
          <w:rFonts w:eastAsia="Guttman Hodes"/>
          <w:rtl/>
        </w:rPr>
        <w:fldChar w:fldCharType="begin"/>
      </w:r>
      <w:r w:rsidRPr="00167BEB">
        <w:rPr>
          <w:rStyle w:val="af7"/>
          <w:rFonts w:eastAsia="Guttman Hodes"/>
          <w:rtl/>
        </w:rPr>
        <w:instrText xml:space="preserve"> </w:instrText>
      </w:r>
      <w:r w:rsidRPr="00167BEB">
        <w:rPr>
          <w:rStyle w:val="af7"/>
          <w:rFonts w:eastAsia="Guttman Hodes" w:hint="cs"/>
        </w:rPr>
        <w:instrText>REF</w:instrText>
      </w:r>
      <w:r w:rsidRPr="00167BEB">
        <w:rPr>
          <w:rStyle w:val="af7"/>
          <w:rFonts w:eastAsia="Guttman Hodes" w:hint="cs"/>
          <w:rtl/>
        </w:rPr>
        <w:instrText xml:space="preserve"> _</w:instrText>
      </w:r>
      <w:r w:rsidRPr="00167BEB">
        <w:rPr>
          <w:rStyle w:val="af7"/>
          <w:rFonts w:eastAsia="Guttman Hodes" w:hint="cs"/>
        </w:rPr>
        <w:instrText>Ref55678968 \r \h</w:instrText>
      </w:r>
      <w:r w:rsidRPr="00167BEB">
        <w:rPr>
          <w:rStyle w:val="af7"/>
          <w:rFonts w:eastAsia="Guttman Hodes"/>
          <w:rtl/>
        </w:rPr>
        <w:instrText xml:space="preserve"> </w:instrText>
      </w:r>
      <w:r w:rsidRPr="00167BEB">
        <w:rPr>
          <w:rStyle w:val="af7"/>
          <w:rFonts w:eastAsia="Guttman Hodes"/>
          <w:rtl/>
        </w:rPr>
      </w:r>
      <w:r w:rsidRPr="00167BEB">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167BEB">
        <w:rPr>
          <w:rStyle w:val="af7"/>
          <w:rFonts w:eastAsia="Guttman Hodes"/>
          <w:rtl/>
        </w:rPr>
        <w:fldChar w:fldCharType="end"/>
      </w:r>
      <w:r w:rsidRPr="008C2602">
        <w:rPr>
          <w:rFonts w:hint="cs"/>
          <w:rtl/>
        </w:rPr>
        <w:t>.</w:t>
      </w:r>
      <w:bookmarkEnd w:id="3971"/>
    </w:p>
    <w:p w:rsidR="00F163D7" w:rsidRDefault="00F163D7" w:rsidP="00F163D7">
      <w:pPr>
        <w:pStyle w:val="a3"/>
        <w:rPr>
          <w:rtl/>
        </w:rPr>
      </w:pPr>
      <w:bookmarkStart w:id="3972" w:name="_Toc55419905"/>
      <w:bookmarkStart w:id="3973" w:name="_Toc55419961"/>
      <w:bookmarkStart w:id="3974" w:name="_Toc55421171"/>
      <w:bookmarkStart w:id="3975" w:name="_Toc55508549"/>
      <w:bookmarkStart w:id="3976" w:name="_Toc55569197"/>
      <w:bookmarkStart w:id="3977" w:name="_Toc55718308"/>
      <w:bookmarkStart w:id="3978" w:name="_Toc55739918"/>
      <w:bookmarkStart w:id="3979" w:name="_Toc55839453"/>
      <w:bookmarkStart w:id="3980" w:name="_Toc55927849"/>
      <w:bookmarkStart w:id="3981" w:name="_Toc55946556"/>
      <w:bookmarkStart w:id="3982" w:name="_Toc55991849"/>
      <w:bookmarkStart w:id="3983" w:name="_Toc56030398"/>
      <w:bookmarkStart w:id="3984" w:name="_Toc56032591"/>
      <w:r>
        <w:rPr>
          <w:rFonts w:hint="cs"/>
          <w:rtl/>
        </w:rPr>
        <w:t>ביאור הרמב"ן דטעמא דחזקה דכל שמשתמש כדרך הבעלים ואין ערער אינו נזהר בשטרו</w:t>
      </w:r>
      <w:bookmarkEnd w:id="3972"/>
      <w:bookmarkEnd w:id="3973"/>
      <w:bookmarkEnd w:id="3974"/>
      <w:bookmarkEnd w:id="3975"/>
      <w:bookmarkEnd w:id="3976"/>
      <w:bookmarkEnd w:id="3977"/>
      <w:bookmarkEnd w:id="3978"/>
      <w:bookmarkEnd w:id="3979"/>
      <w:bookmarkEnd w:id="3980"/>
      <w:bookmarkEnd w:id="3981"/>
      <w:bookmarkEnd w:id="3982"/>
      <w:bookmarkEnd w:id="3983"/>
      <w:bookmarkEnd w:id="3984"/>
    </w:p>
    <w:p w:rsidR="00F163D7" w:rsidRDefault="00F163D7" w:rsidP="007E4E81">
      <w:pPr>
        <w:pStyle w:val="a0"/>
        <w:rPr>
          <w:rtl/>
        </w:rPr>
      </w:pPr>
      <w:r>
        <w:rPr>
          <w:rFonts w:hint="cs"/>
          <w:rtl/>
        </w:rPr>
        <w:t xml:space="preserve">אלא כתב </w:t>
      </w:r>
      <w:r w:rsidRPr="00650F9F">
        <w:rPr>
          <w:rStyle w:val="af9"/>
          <w:rFonts w:hint="cs"/>
          <w:rtl/>
        </w:rPr>
        <w:t>הרמב"ן לקמן</w:t>
      </w:r>
      <w:r>
        <w:rPr>
          <w:rFonts w:hint="cs"/>
          <w:rtl/>
        </w:rPr>
        <w:t xml:space="preserve"> </w:t>
      </w:r>
      <w:r w:rsidRPr="002331F1">
        <w:rPr>
          <w:rStyle w:val="af7"/>
          <w:rFonts w:eastAsia="Guttman Hodes" w:hint="cs"/>
          <w:rtl/>
        </w:rPr>
        <w:t>(לו: ד"ה אלא כך)</w:t>
      </w:r>
      <w:r>
        <w:rPr>
          <w:rFonts w:hint="cs"/>
          <w:rtl/>
        </w:rPr>
        <w:t xml:space="preserve"> דמבואר דטעמא דחזקה, הוא דכיון שאדם מחזיק בבית או בשדה ג"ש, ומשתמש בו כדרך שהבעלים משתמש בשלו, ורואה שאין עליו מערער, אינו נזהר בשטרו. </w:t>
      </w:r>
      <w:r w:rsidRPr="00F143EC">
        <w:rPr>
          <w:rStyle w:val="afb"/>
          <w:rFonts w:hint="cs"/>
          <w:rtl/>
        </w:rPr>
        <w:t xml:space="preserve">[וכתב </w:t>
      </w:r>
      <w:r w:rsidRPr="00F143EC">
        <w:rPr>
          <w:rStyle w:val="affa"/>
          <w:rFonts w:hint="cs"/>
          <w:rtl/>
        </w:rPr>
        <w:t>הרמב"ן</w:t>
      </w:r>
      <w:r w:rsidRPr="00F143EC">
        <w:rPr>
          <w:rStyle w:val="afb"/>
          <w:rFonts w:hint="cs"/>
          <w:rtl/>
        </w:rPr>
        <w:t xml:space="preserve"> דלכן הצריכו רבנן בכל דבר שישתמש בו כדרך תשמישו, אבל אם המחזיק לא השתמש בו כדרך שהבעלים משתמש בשלו, היה למחזיק להזהר בשטרו].</w:t>
      </w:r>
    </w:p>
    <w:p w:rsidR="00F163D7" w:rsidRDefault="00F163D7" w:rsidP="00F163D7">
      <w:pPr>
        <w:pStyle w:val="a3"/>
        <w:rPr>
          <w:rtl/>
        </w:rPr>
      </w:pPr>
      <w:bookmarkStart w:id="3985" w:name="_Toc55946557"/>
      <w:bookmarkStart w:id="3986" w:name="_Toc55991850"/>
      <w:bookmarkStart w:id="3987" w:name="_Toc56030399"/>
      <w:bookmarkStart w:id="3988" w:name="_Toc56032592"/>
      <w:r>
        <w:rPr>
          <w:rFonts w:hint="cs"/>
          <w:rtl/>
        </w:rPr>
        <w:t>דברי הרמב"ן דטעם החזקה דכשהמחזיק יודע שנודע לכל שהקרקע שלו אינו נזהר בשטרו</w:t>
      </w:r>
      <w:bookmarkEnd w:id="3985"/>
      <w:bookmarkEnd w:id="3986"/>
      <w:bookmarkEnd w:id="3987"/>
      <w:bookmarkEnd w:id="3988"/>
    </w:p>
    <w:p w:rsidR="00F163D7" w:rsidRDefault="00F163D7" w:rsidP="007E4E81">
      <w:pPr>
        <w:pStyle w:val="a0"/>
        <w:rPr>
          <w:rStyle w:val="afb"/>
          <w:rtl/>
        </w:rPr>
      </w:pPr>
      <w:bookmarkStart w:id="3989" w:name="_Ref55809608"/>
      <w:r>
        <w:rPr>
          <w:rFonts w:hint="cs"/>
          <w:rtl/>
        </w:rPr>
        <w:t xml:space="preserve">והוסיף </w:t>
      </w:r>
      <w:r w:rsidRPr="00B57FD5">
        <w:rPr>
          <w:rStyle w:val="af9"/>
          <w:rFonts w:hint="cs"/>
          <w:rtl/>
        </w:rPr>
        <w:t>הרמב"ן לקמן</w:t>
      </w:r>
      <w:r>
        <w:rPr>
          <w:rFonts w:hint="cs"/>
          <w:rtl/>
        </w:rPr>
        <w:t xml:space="preserve"> דכשהמערער נמצא במקום חירום, לא הוי חזקה והיה לו להזהר בשטרו, עד שיראה המרא קמא את המחזיק שהוא מחזיק בקרקע שלו, דרק באותו הזמן יוודע לכל שהוא שלו ולא יצטרך להזהר בשטרו, וכתב </w:t>
      </w:r>
      <w:r w:rsidRPr="00B57FD5">
        <w:rPr>
          <w:rStyle w:val="af9"/>
          <w:rFonts w:hint="cs"/>
          <w:rtl/>
        </w:rPr>
        <w:t>הרמב"ן לקמן</w:t>
      </w:r>
      <w:r>
        <w:rPr>
          <w:rFonts w:hint="cs"/>
          <w:rtl/>
        </w:rPr>
        <w:t xml:space="preserve"> שזהו הטעם בדיני החזקות והמחאות, ועי' במה שביאר </w:t>
      </w:r>
      <w:r w:rsidRPr="007338D0">
        <w:rPr>
          <w:rStyle w:val="af9"/>
          <w:rFonts w:hint="cs"/>
          <w:rtl/>
        </w:rPr>
        <w:t>בחי' רבי ראובן</w:t>
      </w:r>
      <w:r>
        <w:rPr>
          <w:rFonts w:hint="cs"/>
          <w:rtl/>
        </w:rPr>
        <w:t xml:space="preserve"> </w:t>
      </w:r>
      <w:r w:rsidRPr="007338D0">
        <w:rPr>
          <w:rStyle w:val="af7"/>
          <w:rFonts w:eastAsia="Guttman Hodes" w:hint="cs"/>
          <w:rtl/>
        </w:rPr>
        <w:t xml:space="preserve">(עי' אות </w:t>
      </w:r>
      <w:r w:rsidRPr="007338D0">
        <w:rPr>
          <w:rStyle w:val="af7"/>
          <w:rFonts w:eastAsia="Guttman Hodes"/>
          <w:rtl/>
        </w:rPr>
        <w:fldChar w:fldCharType="begin"/>
      </w:r>
      <w:r w:rsidRPr="007338D0">
        <w:rPr>
          <w:rStyle w:val="af7"/>
          <w:rFonts w:eastAsia="Guttman Hodes"/>
          <w:rtl/>
        </w:rPr>
        <w:instrText xml:space="preserve"> </w:instrText>
      </w:r>
      <w:r w:rsidRPr="007338D0">
        <w:rPr>
          <w:rStyle w:val="af7"/>
          <w:rFonts w:eastAsia="Guttman Hodes" w:hint="cs"/>
        </w:rPr>
        <w:instrText>REF</w:instrText>
      </w:r>
      <w:r w:rsidRPr="007338D0">
        <w:rPr>
          <w:rStyle w:val="af7"/>
          <w:rFonts w:eastAsia="Guttman Hodes" w:hint="cs"/>
          <w:rtl/>
        </w:rPr>
        <w:instrText xml:space="preserve"> _</w:instrText>
      </w:r>
      <w:r w:rsidRPr="007338D0">
        <w:rPr>
          <w:rStyle w:val="af7"/>
          <w:rFonts w:eastAsia="Guttman Hodes" w:hint="cs"/>
        </w:rPr>
        <w:instrText>Ref55814221 \r \h</w:instrText>
      </w:r>
      <w:r w:rsidRPr="007338D0">
        <w:rPr>
          <w:rStyle w:val="af7"/>
          <w:rFonts w:eastAsia="Guttman Hodes"/>
          <w:rtl/>
        </w:rPr>
        <w:instrText xml:space="preserve"> </w:instrText>
      </w:r>
      <w:r w:rsidRPr="007338D0">
        <w:rPr>
          <w:rStyle w:val="af7"/>
          <w:rFonts w:eastAsia="Guttman Hodes"/>
          <w:rtl/>
        </w:rPr>
      </w:r>
      <w:r w:rsidRPr="007338D0">
        <w:rPr>
          <w:rStyle w:val="af7"/>
          <w:rFonts w:eastAsia="Guttman Hodes"/>
          <w:rtl/>
        </w:rPr>
        <w:fldChar w:fldCharType="separate"/>
      </w:r>
      <w:r w:rsidR="00265073">
        <w:rPr>
          <w:rStyle w:val="af7"/>
          <w:rFonts w:eastAsia="Guttman Hodes"/>
          <w:cs/>
        </w:rPr>
        <w:t>‎</w:t>
      </w:r>
      <w:r w:rsidR="00265073">
        <w:rPr>
          <w:rStyle w:val="af7"/>
          <w:rFonts w:eastAsia="Guttman Hodes"/>
          <w:rtl/>
        </w:rPr>
        <w:t>עה)</w:t>
      </w:r>
      <w:r w:rsidRPr="007338D0">
        <w:rPr>
          <w:rStyle w:val="af7"/>
          <w:rFonts w:eastAsia="Guttman Hodes"/>
          <w:rtl/>
        </w:rPr>
        <w:fldChar w:fldCharType="end"/>
      </w:r>
      <w:r>
        <w:rPr>
          <w:rFonts w:hint="cs"/>
          <w:rtl/>
        </w:rPr>
        <w:t xml:space="preserve"> בדברי </w:t>
      </w:r>
      <w:r w:rsidRPr="007338D0">
        <w:rPr>
          <w:rStyle w:val="af9"/>
          <w:rFonts w:hint="cs"/>
          <w:rtl/>
        </w:rPr>
        <w:t>הרמב"ן</w:t>
      </w:r>
      <w:r>
        <w:rPr>
          <w:rFonts w:hint="cs"/>
          <w:rtl/>
        </w:rPr>
        <w:t xml:space="preserve">. </w:t>
      </w:r>
      <w:bookmarkEnd w:id="3989"/>
    </w:p>
    <w:p w:rsidR="00F163D7" w:rsidRDefault="00F163D7" w:rsidP="00F163D7">
      <w:pPr>
        <w:pStyle w:val="1"/>
        <w:rPr>
          <w:rtl/>
        </w:rPr>
      </w:pPr>
      <w:bookmarkStart w:id="3990" w:name="_Toc55991851"/>
      <w:bookmarkStart w:id="3991" w:name="_Toc56030400"/>
      <w:bookmarkStart w:id="3992" w:name="_Toc56032593"/>
      <w:r>
        <w:rPr>
          <w:rFonts w:hint="cs"/>
          <w:rtl/>
        </w:rPr>
        <w:t>דברי הרמב"ן דעיקר העדות על החזקה היא היא על שנה אחת</w:t>
      </w:r>
      <w:bookmarkEnd w:id="3990"/>
      <w:bookmarkEnd w:id="3991"/>
      <w:bookmarkEnd w:id="3992"/>
    </w:p>
    <w:p w:rsidR="00F163D7" w:rsidRDefault="00F163D7" w:rsidP="00F163D7">
      <w:pPr>
        <w:pStyle w:val="a3"/>
        <w:rPr>
          <w:rtl/>
        </w:rPr>
      </w:pPr>
      <w:bookmarkStart w:id="3993" w:name="_Toc55991852"/>
      <w:bookmarkStart w:id="3994" w:name="_Toc56030401"/>
      <w:bookmarkStart w:id="3995" w:name="_Toc56032594"/>
      <w:r>
        <w:rPr>
          <w:rFonts w:hint="cs"/>
          <w:rtl/>
        </w:rPr>
        <w:t>דברי הרמב"ן דג' כיתי עדים על ג"ש חשיב עדות אחת דעיקר העדות היא על שנה אחת</w:t>
      </w:r>
      <w:bookmarkEnd w:id="3993"/>
      <w:bookmarkEnd w:id="3994"/>
      <w:bookmarkEnd w:id="3995"/>
    </w:p>
    <w:p w:rsidR="00F163D7" w:rsidRPr="00E93930" w:rsidRDefault="00F163D7" w:rsidP="007E4E81">
      <w:pPr>
        <w:pStyle w:val="a0"/>
        <w:rPr>
          <w:rtl/>
        </w:rPr>
      </w:pPr>
      <w:bookmarkStart w:id="3996" w:name="_Ref55986037"/>
      <w:r>
        <w:rPr>
          <w:rFonts w:hint="cs"/>
          <w:rtl/>
        </w:rPr>
        <w:t xml:space="preserve">ועוד כתב </w:t>
      </w:r>
      <w:r w:rsidRPr="00971CE9">
        <w:rPr>
          <w:rStyle w:val="af9"/>
          <w:rFonts w:hint="cs"/>
          <w:rtl/>
        </w:rPr>
        <w:t>הרמב"ן לקמן</w:t>
      </w:r>
      <w:r>
        <w:rPr>
          <w:rFonts w:hint="cs"/>
          <w:rtl/>
        </w:rPr>
        <w:t xml:space="preserve"> </w:t>
      </w:r>
      <w:r w:rsidRPr="00971CE9">
        <w:rPr>
          <w:rStyle w:val="af7"/>
          <w:rFonts w:eastAsia="Guttman Hodes" w:hint="cs"/>
          <w:rtl/>
        </w:rPr>
        <w:t xml:space="preserve">(נו: ד"ה אבל) </w:t>
      </w:r>
      <w:r w:rsidRPr="00971CE9">
        <w:rPr>
          <w:rStyle w:val="af9"/>
          <w:rFonts w:hint="cs"/>
          <w:rtl/>
        </w:rPr>
        <w:t>ובמלחמות בב"ק</w:t>
      </w:r>
      <w:r>
        <w:rPr>
          <w:rFonts w:hint="cs"/>
          <w:rtl/>
        </w:rPr>
        <w:t xml:space="preserve"> </w:t>
      </w:r>
      <w:r w:rsidRPr="00971CE9">
        <w:rPr>
          <w:rStyle w:val="af7"/>
          <w:rFonts w:eastAsia="Guttman Hodes" w:hint="cs"/>
          <w:rtl/>
        </w:rPr>
        <w:t xml:space="preserve">(כח. מדה"ר) </w:t>
      </w:r>
      <w:r>
        <w:rPr>
          <w:rFonts w:hint="cs"/>
          <w:rtl/>
        </w:rPr>
        <w:t xml:space="preserve">דכשיש ג' כיתות עדים על ג"ש, לא חשיב חצי דבר, כיון שכל כת מעידה שהמחזיק מוחזק בקרקע כאדם שמחזיק בשלו, כיון שהוא טוען שקנה מהמרא קמא, ואנו צריכים רק ראיה שהוא אכל את הפירות כדרך שהבעלים אוכל את שלו, וכך מעידים העדים, ולאחר שהעידו על שנה אחת כ"מ שצריך עדות על ב' השנים הנוספות, הוא כיון שאנו חוששים שיצאה מחזקתו לאחר השנה הראשונה, ואחר שיש עדות על ג"ש, א"כ העדות הראשונה היא התחלה של העדות השניה, שהקרקע היא ברשותו ולא יצאה מרשותו, ולא נולד כל דבר שמוציאה מרשותו וא"כ חשיב עדות אחת. </w:t>
      </w:r>
      <w:r w:rsidRPr="00C20189">
        <w:rPr>
          <w:rStyle w:val="afb"/>
          <w:rFonts w:hint="cs"/>
          <w:rtl/>
        </w:rPr>
        <w:t>[ועי' במ</w:t>
      </w:r>
      <w:r>
        <w:rPr>
          <w:rStyle w:val="afb"/>
          <w:rFonts w:hint="cs"/>
          <w:rtl/>
        </w:rPr>
        <w:t>"ש</w:t>
      </w:r>
      <w:r w:rsidRPr="00C20189">
        <w:rPr>
          <w:rStyle w:val="afb"/>
          <w:rFonts w:hint="cs"/>
          <w:rtl/>
        </w:rPr>
        <w:t xml:space="preserve"> </w:t>
      </w:r>
      <w:r w:rsidRPr="00C20189">
        <w:rPr>
          <w:rStyle w:val="affa"/>
          <w:rFonts w:hint="cs"/>
          <w:rtl/>
        </w:rPr>
        <w:t>הגר"ח</w:t>
      </w:r>
      <w:r w:rsidRPr="00C20189">
        <w:rPr>
          <w:rStyle w:val="afb"/>
          <w:rFonts w:hint="cs"/>
          <w:rtl/>
        </w:rPr>
        <w:t xml:space="preserve"> </w:t>
      </w:r>
      <w:r w:rsidRPr="00C20189">
        <w:rPr>
          <w:rStyle w:val="aff6"/>
          <w:rFonts w:hint="cs"/>
          <w:rtl/>
        </w:rPr>
        <w:t xml:space="preserve">(עי' אות </w:t>
      </w:r>
      <w:r w:rsidRPr="00C20189">
        <w:rPr>
          <w:rStyle w:val="aff6"/>
          <w:rtl/>
        </w:rPr>
        <w:fldChar w:fldCharType="begin"/>
      </w:r>
      <w:r w:rsidRPr="00C20189">
        <w:rPr>
          <w:rStyle w:val="aff6"/>
          <w:rtl/>
        </w:rPr>
        <w:instrText xml:space="preserve"> </w:instrText>
      </w:r>
      <w:r w:rsidRPr="00C20189">
        <w:rPr>
          <w:rStyle w:val="aff6"/>
          <w:rFonts w:hint="cs"/>
        </w:rPr>
        <w:instrText>REF</w:instrText>
      </w:r>
      <w:r w:rsidRPr="00C20189">
        <w:rPr>
          <w:rStyle w:val="aff6"/>
          <w:rFonts w:hint="cs"/>
          <w:rtl/>
        </w:rPr>
        <w:instrText xml:space="preserve"> _</w:instrText>
      </w:r>
      <w:r w:rsidRPr="00C20189">
        <w:rPr>
          <w:rStyle w:val="aff6"/>
          <w:rFonts w:hint="cs"/>
        </w:rPr>
        <w:instrText>Ref55986167 \r \h</w:instrText>
      </w:r>
      <w:r w:rsidRPr="00C20189">
        <w:rPr>
          <w:rStyle w:val="aff6"/>
          <w:rtl/>
        </w:rPr>
        <w:instrText xml:space="preserve"> </w:instrText>
      </w:r>
      <w:r w:rsidRPr="00C20189">
        <w:rPr>
          <w:rStyle w:val="aff6"/>
          <w:rtl/>
        </w:rPr>
      </w:r>
      <w:r w:rsidRPr="00C20189">
        <w:rPr>
          <w:rStyle w:val="aff6"/>
          <w:rtl/>
        </w:rPr>
        <w:fldChar w:fldCharType="separate"/>
      </w:r>
      <w:r w:rsidR="00265073">
        <w:rPr>
          <w:rStyle w:val="aff6"/>
          <w:cs/>
        </w:rPr>
        <w:t>‎</w:t>
      </w:r>
      <w:r w:rsidR="00265073">
        <w:rPr>
          <w:rStyle w:val="aff6"/>
          <w:rtl/>
        </w:rPr>
        <w:t>סד)</w:t>
      </w:r>
      <w:r w:rsidRPr="00C20189">
        <w:rPr>
          <w:rStyle w:val="aff6"/>
          <w:rtl/>
        </w:rPr>
        <w:fldChar w:fldCharType="end"/>
      </w:r>
      <w:r w:rsidRPr="00C20189">
        <w:rPr>
          <w:rStyle w:val="afb"/>
          <w:rFonts w:hint="cs"/>
          <w:rtl/>
        </w:rPr>
        <w:t xml:space="preserve"> דמבואר </w:t>
      </w:r>
      <w:r w:rsidRPr="00C20189">
        <w:rPr>
          <w:rStyle w:val="affa"/>
          <w:rFonts w:hint="cs"/>
          <w:rtl/>
        </w:rPr>
        <w:t>ברמב"ן</w:t>
      </w:r>
      <w:r w:rsidRPr="00C20189">
        <w:rPr>
          <w:rStyle w:val="afb"/>
          <w:rFonts w:hint="cs"/>
          <w:rtl/>
        </w:rPr>
        <w:t xml:space="preserve"> דעיקר הראיה</w:t>
      </w:r>
      <w:r>
        <w:rPr>
          <w:rStyle w:val="afb"/>
          <w:rFonts w:hint="cs"/>
          <w:rtl/>
        </w:rPr>
        <w:t xml:space="preserve"> ב</w:t>
      </w:r>
      <w:r w:rsidRPr="00C20189">
        <w:rPr>
          <w:rStyle w:val="afb"/>
          <w:rFonts w:hint="cs"/>
          <w:rtl/>
        </w:rPr>
        <w:t>חזקה היא כבר בשנה הראשונה].</w:t>
      </w:r>
      <w:bookmarkEnd w:id="3996"/>
      <w:r>
        <w:rPr>
          <w:rFonts w:hint="cs"/>
          <w:rtl/>
        </w:rPr>
        <w:t xml:space="preserve"> </w:t>
      </w:r>
    </w:p>
    <w:p w:rsidR="00F163D7" w:rsidRPr="00287467" w:rsidRDefault="00F163D7" w:rsidP="00F163D7">
      <w:pPr>
        <w:pStyle w:val="1"/>
        <w:rPr>
          <w:rtl/>
        </w:rPr>
      </w:pPr>
      <w:bookmarkStart w:id="3997" w:name="_Toc55508525"/>
      <w:bookmarkStart w:id="3998" w:name="_Toc55569168"/>
      <w:bookmarkStart w:id="3999" w:name="_Toc55718284"/>
      <w:bookmarkStart w:id="4000" w:name="_Toc55739901"/>
      <w:bookmarkStart w:id="4001" w:name="_Toc55839454"/>
      <w:bookmarkStart w:id="4002" w:name="_Toc55927850"/>
      <w:bookmarkStart w:id="4003" w:name="_Toc55946558"/>
      <w:bookmarkStart w:id="4004" w:name="_Toc55991853"/>
      <w:bookmarkStart w:id="4005" w:name="_Toc56030402"/>
      <w:bookmarkStart w:id="4006" w:name="_Toc56032595"/>
      <w:bookmarkStart w:id="4007" w:name="_Toc55508527"/>
      <w:bookmarkStart w:id="4008" w:name="_Toc55569175"/>
      <w:bookmarkStart w:id="4009" w:name="_Toc55419887"/>
      <w:bookmarkStart w:id="4010" w:name="_Toc55419943"/>
      <w:bookmarkStart w:id="4011" w:name="_Toc55421151"/>
      <w:bookmarkEnd w:id="3964"/>
      <w:bookmarkEnd w:id="3965"/>
      <w:r>
        <w:rPr>
          <w:rFonts w:hint="cs"/>
          <w:rtl/>
        </w:rPr>
        <w:t xml:space="preserve">דברי </w:t>
      </w:r>
      <w:r w:rsidRPr="00287467">
        <w:rPr>
          <w:rFonts w:hint="cs"/>
          <w:rtl/>
        </w:rPr>
        <w:t xml:space="preserve">הרמב"ן </w:t>
      </w:r>
      <w:r>
        <w:rPr>
          <w:rFonts w:hint="cs"/>
          <w:rtl/>
        </w:rPr>
        <w:t>ד</w:t>
      </w:r>
      <w:r w:rsidRPr="00287467">
        <w:rPr>
          <w:rFonts w:hint="cs"/>
          <w:rtl/>
        </w:rPr>
        <w:t xml:space="preserve">בחזקת נזיקין </w:t>
      </w:r>
      <w:bookmarkEnd w:id="3997"/>
      <w:bookmarkEnd w:id="3998"/>
      <w:bookmarkEnd w:id="3999"/>
      <w:bookmarkEnd w:id="4000"/>
      <w:bookmarkEnd w:id="4001"/>
      <w:bookmarkEnd w:id="4002"/>
      <w:r>
        <w:rPr>
          <w:rFonts w:hint="cs"/>
          <w:rtl/>
        </w:rPr>
        <w:t>הוי חזקה לאלתר כיון שאין שטר</w:t>
      </w:r>
      <w:bookmarkEnd w:id="4003"/>
      <w:bookmarkEnd w:id="4004"/>
      <w:bookmarkEnd w:id="4005"/>
      <w:bookmarkEnd w:id="4006"/>
      <w:r>
        <w:rPr>
          <w:rFonts w:hint="cs"/>
          <w:rtl/>
        </w:rPr>
        <w:t xml:space="preserve"> </w:t>
      </w:r>
    </w:p>
    <w:p w:rsidR="00F163D7" w:rsidRPr="00287467" w:rsidRDefault="00F163D7" w:rsidP="00F163D7">
      <w:pPr>
        <w:pStyle w:val="a3"/>
        <w:rPr>
          <w:rtl/>
        </w:rPr>
      </w:pPr>
      <w:bookmarkStart w:id="4012" w:name="_Toc55946559"/>
      <w:bookmarkStart w:id="4013" w:name="_Toc55991854"/>
      <w:bookmarkStart w:id="4014" w:name="_Toc56030403"/>
      <w:bookmarkStart w:id="4015" w:name="_Toc56032596"/>
      <w:r>
        <w:rPr>
          <w:rFonts w:hint="cs"/>
          <w:rtl/>
        </w:rPr>
        <w:t>דברי הרמב"ן דחזקת נזיקין מהני לאלתר כדין חזקת קרקעות ובכל קרקע צריך ג"ש מחמת השטר</w:t>
      </w:r>
      <w:bookmarkEnd w:id="4012"/>
      <w:bookmarkEnd w:id="4013"/>
      <w:bookmarkEnd w:id="4014"/>
      <w:bookmarkEnd w:id="4015"/>
    </w:p>
    <w:p w:rsidR="00F163D7" w:rsidRDefault="00F163D7" w:rsidP="007E4E81">
      <w:pPr>
        <w:pStyle w:val="a0"/>
        <w:rPr>
          <w:rStyle w:val="afb"/>
          <w:rtl/>
        </w:rPr>
      </w:pPr>
      <w:bookmarkStart w:id="4016" w:name="_Ref56007686"/>
      <w:r w:rsidRPr="00287467">
        <w:rPr>
          <w:rFonts w:hint="cs"/>
          <w:rtl/>
        </w:rPr>
        <w:t xml:space="preserve">עוד כתב </w:t>
      </w:r>
      <w:r w:rsidRPr="00287467">
        <w:rPr>
          <w:rStyle w:val="af9"/>
          <w:rFonts w:hint="cs"/>
          <w:rtl/>
        </w:rPr>
        <w:t>הרמב"ן לקמן</w:t>
      </w:r>
      <w:r w:rsidRPr="00287467">
        <w:rPr>
          <w:rFonts w:hint="cs"/>
          <w:rtl/>
        </w:rPr>
        <w:t xml:space="preserve"> </w:t>
      </w:r>
      <w:r w:rsidRPr="00287467">
        <w:rPr>
          <w:rStyle w:val="af7"/>
          <w:rFonts w:eastAsia="Guttman Hodes" w:hint="cs"/>
          <w:rtl/>
        </w:rPr>
        <w:t xml:space="preserve">(נ: ד"ה והא) </w:t>
      </w:r>
      <w:r w:rsidRPr="00287467">
        <w:rPr>
          <w:rFonts w:hint="cs"/>
          <w:rtl/>
        </w:rPr>
        <w:t>לענין המזיק את קרקע חבירו אם יש לו חזקה מדלא מחה בו</w:t>
      </w:r>
      <w:r>
        <w:rPr>
          <w:rFonts w:hint="cs"/>
          <w:rtl/>
        </w:rPr>
        <w:t xml:space="preserve">, דאמרינן בגמ' דבנזיקין א"צ חזקת ג"ש אלא הוי חזקה לאלתר, וביאר </w:t>
      </w:r>
      <w:r w:rsidRPr="001549A4">
        <w:rPr>
          <w:rStyle w:val="af9"/>
          <w:rFonts w:hint="cs"/>
          <w:rtl/>
        </w:rPr>
        <w:t>הרמב"ן</w:t>
      </w:r>
      <w:r>
        <w:rPr>
          <w:rFonts w:hint="cs"/>
          <w:rtl/>
        </w:rPr>
        <w:t xml:space="preserve"> דכיון שהזיק את הקרקע שלו היה לו למחות לאלתר במחזיק, דהא בנזיקין א"צ חזקה עם טענה, וכל שלא מחה מחל, ובכל חזקת קרקעות שצריך ג"ש, הוא כיון דל"מ חזקה בלי טענה, ובתוך ג"ש אמרינן ליה אחוי שטרך. </w:t>
      </w:r>
      <w:r w:rsidRPr="00633471">
        <w:rPr>
          <w:rStyle w:val="afb"/>
          <w:rFonts w:hint="cs"/>
          <w:rtl/>
        </w:rPr>
        <w:t xml:space="preserve">[וכתב </w:t>
      </w:r>
      <w:r w:rsidRPr="00226C08">
        <w:rPr>
          <w:rStyle w:val="affa"/>
          <w:rFonts w:hint="cs"/>
          <w:rtl/>
        </w:rPr>
        <w:t>בחי' רבי נחום</w:t>
      </w:r>
      <w:r w:rsidRPr="00633471">
        <w:rPr>
          <w:rStyle w:val="afb"/>
          <w:rFonts w:hint="cs"/>
          <w:rtl/>
        </w:rPr>
        <w:t xml:space="preserve"> </w:t>
      </w:r>
      <w:r w:rsidRPr="00226C08">
        <w:rPr>
          <w:rStyle w:val="aff6"/>
          <w:rFonts w:hint="cs"/>
          <w:rtl/>
        </w:rPr>
        <w:t>(או' כ"ה ד"ה וכעי"ז)</w:t>
      </w:r>
      <w:r w:rsidRPr="00633471">
        <w:rPr>
          <w:rStyle w:val="afb"/>
          <w:rFonts w:hint="cs"/>
          <w:rtl/>
        </w:rPr>
        <w:t xml:space="preserve"> דכוונת </w:t>
      </w:r>
      <w:r w:rsidRPr="00226C08">
        <w:rPr>
          <w:rStyle w:val="affa"/>
          <w:rFonts w:hint="cs"/>
          <w:rtl/>
        </w:rPr>
        <w:t>הרמב"ן</w:t>
      </w:r>
      <w:r w:rsidRPr="00633471">
        <w:rPr>
          <w:rStyle w:val="afb"/>
          <w:rFonts w:hint="cs"/>
          <w:rtl/>
        </w:rPr>
        <w:t xml:space="preserve"> לומר דבכל קרקע יש ראיה לאלתר, וצריך ג"ש מחמת טענת אחוי שטרך].</w:t>
      </w:r>
      <w:bookmarkEnd w:id="4016"/>
    </w:p>
    <w:p w:rsidR="00F163D7" w:rsidRDefault="00F163D7" w:rsidP="00F163D7">
      <w:pPr>
        <w:pStyle w:val="1"/>
        <w:rPr>
          <w:rtl/>
        </w:rPr>
      </w:pPr>
      <w:bookmarkStart w:id="4017" w:name="_Toc55739902"/>
      <w:bookmarkStart w:id="4018" w:name="_Toc55839455"/>
      <w:bookmarkStart w:id="4019" w:name="_Toc55927851"/>
      <w:bookmarkStart w:id="4020" w:name="_Toc55946560"/>
      <w:bookmarkStart w:id="4021" w:name="_Toc55991855"/>
      <w:bookmarkStart w:id="4022" w:name="_Toc56030404"/>
      <w:bookmarkStart w:id="4023" w:name="_Toc56032597"/>
      <w:r>
        <w:rPr>
          <w:rFonts w:hint="cs"/>
          <w:rtl/>
        </w:rPr>
        <w:t>משמעות הרמב"ן בדין צנא דפירי דחזקת ג"ש היא תקנ"ח</w:t>
      </w:r>
      <w:bookmarkEnd w:id="4017"/>
      <w:bookmarkEnd w:id="4018"/>
      <w:bookmarkEnd w:id="4019"/>
      <w:bookmarkEnd w:id="4020"/>
      <w:bookmarkEnd w:id="4021"/>
      <w:bookmarkEnd w:id="4022"/>
      <w:bookmarkEnd w:id="4023"/>
    </w:p>
    <w:p w:rsidR="00F163D7" w:rsidRPr="00E2793B" w:rsidRDefault="00F163D7" w:rsidP="00F163D7">
      <w:pPr>
        <w:pStyle w:val="a3"/>
        <w:rPr>
          <w:rtl/>
        </w:rPr>
      </w:pPr>
      <w:bookmarkStart w:id="4024" w:name="_Toc55946561"/>
      <w:bookmarkStart w:id="4025" w:name="_Toc55991856"/>
      <w:bookmarkStart w:id="4026" w:name="_Toc56030405"/>
      <w:bookmarkStart w:id="4027" w:name="_Toc56032598"/>
      <w:r>
        <w:rPr>
          <w:rFonts w:hint="cs"/>
          <w:rtl/>
        </w:rPr>
        <w:t>דברי הי"מ ברמב"ן דהו"א בגמ' לקמן דבטוען לפירות הורדתיו לא תיקנו חכמים חזקת ג"ש</w:t>
      </w:r>
      <w:bookmarkEnd w:id="4024"/>
      <w:bookmarkEnd w:id="4025"/>
      <w:bookmarkEnd w:id="4026"/>
      <w:bookmarkEnd w:id="4027"/>
    </w:p>
    <w:p w:rsidR="00F163D7" w:rsidRDefault="00F163D7" w:rsidP="007E4E81">
      <w:pPr>
        <w:pStyle w:val="a0"/>
        <w:rPr>
          <w:sz w:val="10"/>
          <w:szCs w:val="14"/>
          <w:rtl/>
        </w:rPr>
      </w:pPr>
      <w:bookmarkStart w:id="4028" w:name="_Ref55496115"/>
      <w:r w:rsidRPr="00BD09DD">
        <w:rPr>
          <w:rFonts w:hint="cs"/>
          <w:rtl/>
        </w:rPr>
        <w:t>בהא דאיתא בגמ' לקמן</w:t>
      </w:r>
      <w:r w:rsidRPr="00226C08">
        <w:rPr>
          <w:rStyle w:val="af7"/>
          <w:rFonts w:eastAsia="Guttman Hodes" w:hint="cs"/>
          <w:rtl/>
        </w:rPr>
        <w:t xml:space="preserve"> (לה:) </w:t>
      </w:r>
      <w:r w:rsidRPr="00BD09DD">
        <w:rPr>
          <w:rFonts w:hint="cs"/>
          <w:rtl/>
        </w:rPr>
        <w:t xml:space="preserve">דאי דלה ליה צנא דפירי נאמן לטעון לפירות הורדתיו, רק בתוך ג"ש אבל לאחר ג"ש אינו נאמן והוי חזקה, כתב </w:t>
      </w:r>
      <w:r w:rsidRPr="001549A4">
        <w:rPr>
          <w:rStyle w:val="af9"/>
          <w:rFonts w:hint="cs"/>
          <w:rtl/>
        </w:rPr>
        <w:t>הרמב"ן לקמן</w:t>
      </w:r>
      <w:r w:rsidRPr="00BD09DD">
        <w:rPr>
          <w:rFonts w:hint="cs"/>
          <w:rtl/>
        </w:rPr>
        <w:t xml:space="preserve"> </w:t>
      </w:r>
      <w:r w:rsidRPr="00226C08">
        <w:rPr>
          <w:rStyle w:val="af7"/>
          <w:rFonts w:eastAsia="Guttman Hodes" w:hint="cs"/>
          <w:rtl/>
        </w:rPr>
        <w:t xml:space="preserve">(לה: ד"ה והני מילי) </w:t>
      </w:r>
      <w:r>
        <w:rPr>
          <w:rFonts w:hint="cs"/>
          <w:rtl/>
        </w:rPr>
        <w:t xml:space="preserve">בשם </w:t>
      </w:r>
      <w:r w:rsidRPr="001549A4">
        <w:rPr>
          <w:rStyle w:val="af9"/>
          <w:rFonts w:hint="cs"/>
          <w:rtl/>
        </w:rPr>
        <w:t>י"מ</w:t>
      </w:r>
      <w:r>
        <w:rPr>
          <w:rFonts w:hint="cs"/>
          <w:rtl/>
        </w:rPr>
        <w:t xml:space="preserve"> </w:t>
      </w:r>
      <w:r w:rsidRPr="00BD09DD">
        <w:rPr>
          <w:rFonts w:hint="cs"/>
          <w:rtl/>
        </w:rPr>
        <w:t xml:space="preserve">דאעפ"י </w:t>
      </w:r>
      <w:r>
        <w:rPr>
          <w:rFonts w:hint="cs"/>
          <w:rtl/>
        </w:rPr>
        <w:t>ד</w:t>
      </w:r>
      <w:r w:rsidRPr="00BD09DD">
        <w:rPr>
          <w:rFonts w:hint="cs"/>
          <w:rtl/>
        </w:rPr>
        <w:t>תנן במתני'</w:t>
      </w:r>
      <w:r w:rsidRPr="00226C08">
        <w:rPr>
          <w:rStyle w:val="af7"/>
          <w:rFonts w:eastAsia="Guttman Hodes" w:hint="cs"/>
          <w:rtl/>
        </w:rPr>
        <w:t xml:space="preserve"> (כח.) </w:t>
      </w:r>
      <w:r w:rsidRPr="00BD09DD">
        <w:rPr>
          <w:rFonts w:hint="cs"/>
          <w:rtl/>
        </w:rPr>
        <w:t>דלאחר ג"ש הוי חזקה, ואי יכול לטעון לפירות הורדתיו, עקרת את כל החזקות, מ"מ ה</w:t>
      </w:r>
      <w:r>
        <w:rPr>
          <w:rFonts w:hint="cs"/>
          <w:rtl/>
        </w:rPr>
        <w:t>וצרכה הגמ' לומר דאינו נאמן, ד</w:t>
      </w:r>
      <w:r w:rsidRPr="00BD09DD">
        <w:rPr>
          <w:rFonts w:hint="cs"/>
          <w:rtl/>
        </w:rPr>
        <w:t>הו"א</w:t>
      </w:r>
      <w:r w:rsidR="00A77F33">
        <w:rPr>
          <w:rFonts w:hint="cs"/>
          <w:rtl/>
        </w:rPr>
        <w:t xml:space="preserve"> </w:t>
      </w:r>
      <w:r w:rsidRPr="00BD09DD">
        <w:rPr>
          <w:rFonts w:hint="cs"/>
          <w:rtl/>
        </w:rPr>
        <w:t>דכל תקנת חכמים של חזקה היא רק כשהמערער טוען שגזלה ממנו, אבל אם טוען לפירות הורדתיו, לא הוי חזקה</w:t>
      </w:r>
      <w:r>
        <w:rPr>
          <w:rFonts w:hint="cs"/>
          <w:rtl/>
        </w:rPr>
        <w:t>.</w:t>
      </w:r>
      <w:bookmarkEnd w:id="4028"/>
    </w:p>
    <w:p w:rsidR="00F163D7" w:rsidRPr="00116648" w:rsidRDefault="00F163D7" w:rsidP="00F163D7">
      <w:pPr>
        <w:pStyle w:val="a3"/>
      </w:pPr>
      <w:bookmarkStart w:id="4029" w:name="_Toc55946562"/>
      <w:bookmarkStart w:id="4030" w:name="_Toc55991857"/>
      <w:bookmarkStart w:id="4031" w:name="_Toc56030406"/>
      <w:bookmarkStart w:id="4032" w:name="_Toc56032599"/>
      <w:r>
        <w:rPr>
          <w:rFonts w:hint="cs"/>
          <w:rtl/>
        </w:rPr>
        <w:t>ביאור הרמב"ן דאין הו"א דאין חזקה והגמ' מקשה דאי נאמן מה הועילו חכמים כשתיקנו חזקה</w:t>
      </w:r>
      <w:bookmarkEnd w:id="4029"/>
      <w:bookmarkEnd w:id="4030"/>
      <w:bookmarkEnd w:id="4031"/>
      <w:bookmarkEnd w:id="4032"/>
    </w:p>
    <w:p w:rsidR="00F163D7" w:rsidRDefault="00F163D7" w:rsidP="007E4E81">
      <w:pPr>
        <w:pStyle w:val="a0"/>
        <w:rPr>
          <w:rStyle w:val="afb"/>
          <w:rtl/>
        </w:rPr>
      </w:pPr>
      <w:bookmarkStart w:id="4033" w:name="_Ref56011534"/>
      <w:r w:rsidRPr="00BD09DD">
        <w:rPr>
          <w:rFonts w:hint="cs"/>
          <w:rtl/>
        </w:rPr>
        <w:t>ו</w:t>
      </w:r>
      <w:r>
        <w:rPr>
          <w:rFonts w:hint="cs"/>
          <w:rtl/>
        </w:rPr>
        <w:t>עיי"ש במה ש</w:t>
      </w:r>
      <w:r w:rsidRPr="00BD09DD">
        <w:rPr>
          <w:rFonts w:hint="cs"/>
          <w:rtl/>
        </w:rPr>
        <w:t xml:space="preserve">דחה </w:t>
      </w:r>
      <w:r w:rsidRPr="001549A4">
        <w:rPr>
          <w:rStyle w:val="af9"/>
          <w:rFonts w:hint="cs"/>
          <w:rtl/>
        </w:rPr>
        <w:t>הרמב"ן</w:t>
      </w:r>
      <w:r>
        <w:rPr>
          <w:rFonts w:hint="cs"/>
          <w:rtl/>
        </w:rPr>
        <w:t xml:space="preserve"> </w:t>
      </w:r>
      <w:r w:rsidRPr="008F38F6">
        <w:rPr>
          <w:rStyle w:val="af9"/>
          <w:rFonts w:hint="cs"/>
          <w:rtl/>
        </w:rPr>
        <w:t>לקמן</w:t>
      </w:r>
      <w:r>
        <w:rPr>
          <w:rFonts w:hint="cs"/>
          <w:rtl/>
        </w:rPr>
        <w:t xml:space="preserve"> את דברי </w:t>
      </w:r>
      <w:r w:rsidRPr="001549A4">
        <w:rPr>
          <w:rStyle w:val="af9"/>
          <w:rFonts w:hint="cs"/>
          <w:rtl/>
        </w:rPr>
        <w:t>הי"מ</w:t>
      </w:r>
      <w:r w:rsidRPr="00BD09DD">
        <w:rPr>
          <w:rFonts w:hint="cs"/>
          <w:rtl/>
        </w:rPr>
        <w:t>,</w:t>
      </w:r>
      <w:r>
        <w:rPr>
          <w:rFonts w:hint="cs"/>
          <w:rtl/>
        </w:rPr>
        <w:t xml:space="preserve"> וביאר </w:t>
      </w:r>
      <w:r w:rsidRPr="001549A4">
        <w:rPr>
          <w:rStyle w:val="af9"/>
          <w:rFonts w:hint="cs"/>
          <w:rtl/>
        </w:rPr>
        <w:t>הרמב"</w:t>
      </w:r>
      <w:r w:rsidRPr="008F38F6">
        <w:rPr>
          <w:rStyle w:val="af9"/>
          <w:rFonts w:hint="cs"/>
          <w:rtl/>
        </w:rPr>
        <w:t xml:space="preserve">ן </w:t>
      </w:r>
      <w:r>
        <w:rPr>
          <w:rFonts w:hint="cs"/>
          <w:rtl/>
        </w:rPr>
        <w:t xml:space="preserve">דהא דאמר רב אשי בגמ' לקמן דאי הורידו לפירות מאי הו"ל למעבד, דאין כוונת רב אשי להקשות דיהיה נאמן ול"מ חזקת ג"ש בטוען לפירות הורדתיו, אלא דהקשה רב אשי היאך יתכן שתיקנו חכמים חזקת ג"ש, ולא תיקנו שבהורידו לפירות יוכל לעשות דדבר שתתקיים הקרקע בידו, דא"כ לקתה מידת הדין, דכל שהורידו לפירות מאי הו"ל למעבד. </w:t>
      </w:r>
      <w:r w:rsidRPr="005F0D66">
        <w:rPr>
          <w:rStyle w:val="afb"/>
          <w:rFonts w:hint="cs"/>
          <w:rtl/>
        </w:rPr>
        <w:t xml:space="preserve">[וכתב </w:t>
      </w:r>
      <w:r w:rsidRPr="00A510F2">
        <w:rPr>
          <w:rStyle w:val="affa"/>
          <w:rFonts w:hint="cs"/>
          <w:rtl/>
        </w:rPr>
        <w:t>בחי' רבי נחום</w:t>
      </w:r>
      <w:r w:rsidRPr="005F0D66">
        <w:rPr>
          <w:rStyle w:val="afb"/>
          <w:rFonts w:hint="cs"/>
          <w:rtl/>
        </w:rPr>
        <w:t xml:space="preserve"> </w:t>
      </w:r>
      <w:r w:rsidRPr="005276EC">
        <w:rPr>
          <w:rStyle w:val="aff6"/>
          <w:rFonts w:hint="cs"/>
          <w:rtl/>
        </w:rPr>
        <w:t xml:space="preserve">(עי' אות </w:t>
      </w:r>
      <w:r w:rsidRPr="005276EC">
        <w:rPr>
          <w:rStyle w:val="aff6"/>
          <w:rtl/>
        </w:rPr>
        <w:fldChar w:fldCharType="begin"/>
      </w:r>
      <w:r w:rsidRPr="005276EC">
        <w:rPr>
          <w:rStyle w:val="aff6"/>
          <w:rtl/>
        </w:rPr>
        <w:instrText xml:space="preserve"> </w:instrText>
      </w:r>
      <w:r w:rsidRPr="005276EC">
        <w:rPr>
          <w:rStyle w:val="aff6"/>
          <w:rFonts w:hint="cs"/>
        </w:rPr>
        <w:instrText>REF</w:instrText>
      </w:r>
      <w:r w:rsidRPr="005276EC">
        <w:rPr>
          <w:rStyle w:val="aff6"/>
          <w:rFonts w:hint="cs"/>
          <w:rtl/>
        </w:rPr>
        <w:instrText xml:space="preserve"> _</w:instrText>
      </w:r>
      <w:r w:rsidRPr="005276EC">
        <w:rPr>
          <w:rStyle w:val="aff6"/>
          <w:rFonts w:hint="cs"/>
        </w:rPr>
        <w:instrText>Ref55496081 \r \h</w:instrText>
      </w:r>
      <w:r w:rsidRPr="005276EC">
        <w:rPr>
          <w:rStyle w:val="aff6"/>
          <w:rtl/>
        </w:rPr>
        <w:instrText xml:space="preserve"> </w:instrText>
      </w:r>
      <w:r w:rsidRPr="005276EC">
        <w:rPr>
          <w:rStyle w:val="aff6"/>
          <w:rtl/>
        </w:rPr>
      </w:r>
      <w:r w:rsidRPr="005276EC">
        <w:rPr>
          <w:rStyle w:val="aff6"/>
          <w:rtl/>
        </w:rPr>
        <w:fldChar w:fldCharType="separate"/>
      </w:r>
      <w:r w:rsidR="00265073">
        <w:rPr>
          <w:rStyle w:val="aff6"/>
          <w:cs/>
        </w:rPr>
        <w:t>‎</w:t>
      </w:r>
      <w:r w:rsidR="00265073">
        <w:rPr>
          <w:rStyle w:val="aff6"/>
          <w:rtl/>
        </w:rPr>
        <w:t>צא)</w:t>
      </w:r>
      <w:r w:rsidRPr="005276EC">
        <w:rPr>
          <w:rStyle w:val="aff6"/>
          <w:rtl/>
        </w:rPr>
        <w:fldChar w:fldCharType="end"/>
      </w:r>
      <w:r>
        <w:rPr>
          <w:rStyle w:val="afb"/>
          <w:rFonts w:hint="cs"/>
          <w:rtl/>
        </w:rPr>
        <w:t xml:space="preserve"> </w:t>
      </w:r>
      <w:r w:rsidRPr="005F0D66">
        <w:rPr>
          <w:rStyle w:val="afb"/>
          <w:rFonts w:hint="cs"/>
          <w:rtl/>
        </w:rPr>
        <w:t xml:space="preserve">דמבואר </w:t>
      </w:r>
      <w:r w:rsidRPr="005276EC">
        <w:rPr>
          <w:rStyle w:val="afb"/>
          <w:rFonts w:hint="cs"/>
          <w:rtl/>
        </w:rPr>
        <w:t>מכל דברי</w:t>
      </w:r>
      <w:r w:rsidRPr="00A510F2">
        <w:rPr>
          <w:rStyle w:val="affa"/>
          <w:rFonts w:hint="cs"/>
          <w:rtl/>
        </w:rPr>
        <w:t xml:space="preserve"> הרמב"ן</w:t>
      </w:r>
      <w:r w:rsidRPr="005F0D66">
        <w:rPr>
          <w:rStyle w:val="afb"/>
          <w:rFonts w:hint="cs"/>
          <w:rtl/>
        </w:rPr>
        <w:t xml:space="preserve"> </w:t>
      </w:r>
      <w:r>
        <w:rPr>
          <w:rStyle w:val="afb"/>
          <w:rFonts w:hint="cs"/>
          <w:rtl/>
        </w:rPr>
        <w:t xml:space="preserve">הללו </w:t>
      </w:r>
      <w:r w:rsidRPr="005F0D66">
        <w:rPr>
          <w:rStyle w:val="afb"/>
          <w:rFonts w:hint="cs"/>
          <w:rtl/>
        </w:rPr>
        <w:t xml:space="preserve">דחזקת ג"ש היא תקנת חכמים, לטובת המחזיק, ודלא </w:t>
      </w:r>
      <w:r w:rsidRPr="00A510F2">
        <w:rPr>
          <w:rStyle w:val="affa"/>
          <w:rFonts w:hint="cs"/>
          <w:rtl/>
        </w:rPr>
        <w:t>כהקצוה"ח</w:t>
      </w:r>
      <w:r w:rsidRPr="005F0D66">
        <w:rPr>
          <w:rStyle w:val="afb"/>
          <w:rFonts w:hint="cs"/>
          <w:rtl/>
        </w:rPr>
        <w:t xml:space="preserve"> </w:t>
      </w:r>
      <w:r w:rsidRPr="005276EC">
        <w:rPr>
          <w:rStyle w:val="aff6"/>
          <w:rFonts w:hint="cs"/>
          <w:rtl/>
        </w:rPr>
        <w:t xml:space="preserve">(עי' אות </w:t>
      </w:r>
      <w:r w:rsidRPr="005276EC">
        <w:rPr>
          <w:rStyle w:val="aff6"/>
          <w:rtl/>
        </w:rPr>
        <w:fldChar w:fldCharType="begin"/>
      </w:r>
      <w:r w:rsidRPr="005276EC">
        <w:rPr>
          <w:rStyle w:val="aff6"/>
          <w:rtl/>
        </w:rPr>
        <w:instrText xml:space="preserve"> </w:instrText>
      </w:r>
      <w:r w:rsidRPr="005276EC">
        <w:rPr>
          <w:rStyle w:val="aff6"/>
          <w:rFonts w:hint="cs"/>
        </w:rPr>
        <w:instrText>REF</w:instrText>
      </w:r>
      <w:r w:rsidRPr="005276EC">
        <w:rPr>
          <w:rStyle w:val="aff6"/>
          <w:rFonts w:hint="cs"/>
          <w:rtl/>
        </w:rPr>
        <w:instrText xml:space="preserve"> _</w:instrText>
      </w:r>
      <w:r w:rsidRPr="005276EC">
        <w:rPr>
          <w:rStyle w:val="aff6"/>
          <w:rFonts w:hint="cs"/>
        </w:rPr>
        <w:instrText>Ref55812937 \r \h</w:instrText>
      </w:r>
      <w:r w:rsidRPr="005276EC">
        <w:rPr>
          <w:rStyle w:val="aff6"/>
          <w:rtl/>
        </w:rPr>
        <w:instrText xml:space="preserve"> </w:instrText>
      </w:r>
      <w:r w:rsidRPr="005276EC">
        <w:rPr>
          <w:rStyle w:val="aff6"/>
          <w:rtl/>
        </w:rPr>
      </w:r>
      <w:r w:rsidRPr="005276EC">
        <w:rPr>
          <w:rStyle w:val="aff6"/>
          <w:rtl/>
        </w:rPr>
        <w:fldChar w:fldCharType="separate"/>
      </w:r>
      <w:r w:rsidR="00265073">
        <w:rPr>
          <w:rStyle w:val="aff6"/>
          <w:cs/>
        </w:rPr>
        <w:t>‎</w:t>
      </w:r>
      <w:r w:rsidR="00265073">
        <w:rPr>
          <w:rStyle w:val="aff6"/>
          <w:rtl/>
        </w:rPr>
        <w:t>כו)</w:t>
      </w:r>
      <w:r w:rsidRPr="005276EC">
        <w:rPr>
          <w:rStyle w:val="aff6"/>
          <w:rtl/>
        </w:rPr>
        <w:fldChar w:fldCharType="end"/>
      </w:r>
      <w:r w:rsidRPr="005F0D66">
        <w:rPr>
          <w:rStyle w:val="afb"/>
          <w:rFonts w:hint="cs"/>
          <w:rtl/>
        </w:rPr>
        <w:t xml:space="preserve"> דכתב דלדעת </w:t>
      </w:r>
      <w:r w:rsidRPr="00A510F2">
        <w:rPr>
          <w:rStyle w:val="affa"/>
          <w:rFonts w:hint="cs"/>
          <w:rtl/>
        </w:rPr>
        <w:t>הרמב"ן</w:t>
      </w:r>
      <w:r w:rsidRPr="005F0D66">
        <w:rPr>
          <w:rStyle w:val="afb"/>
          <w:rFonts w:hint="cs"/>
          <w:rtl/>
        </w:rPr>
        <w:t xml:space="preserve"> חזקת ג"ש היא מדאו'].</w:t>
      </w:r>
      <w:bookmarkEnd w:id="4033"/>
    </w:p>
    <w:p w:rsidR="00F163D7" w:rsidRDefault="00F163D7" w:rsidP="00F163D7">
      <w:pPr>
        <w:pStyle w:val="afe"/>
        <w:rPr>
          <w:rtl/>
        </w:rPr>
      </w:pPr>
      <w:bookmarkStart w:id="4034" w:name="_Toc55991858"/>
      <w:bookmarkStart w:id="4035" w:name="_Toc56030407"/>
      <w:bookmarkStart w:id="4036" w:name="_Toc56032600"/>
      <w:bookmarkStart w:id="4037" w:name="_Toc55927852"/>
      <w:bookmarkStart w:id="4038" w:name="_Toc55946563"/>
      <w:bookmarkEnd w:id="4007"/>
      <w:bookmarkEnd w:id="4008"/>
      <w:bookmarkEnd w:id="4009"/>
      <w:bookmarkEnd w:id="4010"/>
      <w:bookmarkEnd w:id="4011"/>
      <w:r>
        <w:rPr>
          <w:rFonts w:hint="cs"/>
          <w:rtl/>
        </w:rPr>
        <w:t>דברי הר"ן בגדר חזקת ג"ש לרבנן</w:t>
      </w:r>
      <w:bookmarkEnd w:id="4034"/>
      <w:bookmarkEnd w:id="4035"/>
      <w:bookmarkEnd w:id="4036"/>
    </w:p>
    <w:p w:rsidR="00F163D7" w:rsidRDefault="00F163D7" w:rsidP="00F163D7">
      <w:pPr>
        <w:pStyle w:val="1"/>
        <w:rPr>
          <w:rtl/>
        </w:rPr>
      </w:pPr>
      <w:bookmarkStart w:id="4039" w:name="_Toc55839466"/>
      <w:bookmarkStart w:id="4040" w:name="_Toc55927846"/>
      <w:bookmarkStart w:id="4041" w:name="_Toc55946552"/>
      <w:bookmarkStart w:id="4042" w:name="_Toc55991860"/>
      <w:bookmarkStart w:id="4043" w:name="_Toc56030409"/>
      <w:bookmarkStart w:id="4044" w:name="_Toc56032601"/>
      <w:bookmarkStart w:id="4045" w:name="_Toc55419884"/>
      <w:bookmarkStart w:id="4046" w:name="_Toc55419940"/>
      <w:bookmarkStart w:id="4047" w:name="_Toc55421148"/>
      <w:bookmarkStart w:id="4048" w:name="_Toc55508523"/>
      <w:bookmarkStart w:id="4049" w:name="_Toc55569166"/>
      <w:bookmarkStart w:id="4050" w:name="_Toc55718273"/>
      <w:bookmarkStart w:id="4051" w:name="_Toc55739894"/>
      <w:bookmarkStart w:id="4052" w:name="_Toc55839445"/>
      <w:bookmarkStart w:id="4053" w:name="_Toc55927845"/>
      <w:bookmarkStart w:id="4054" w:name="_Toc55946551"/>
      <w:bookmarkStart w:id="4055" w:name="_Toc55991859"/>
      <w:bookmarkStart w:id="4056" w:name="_Toc56030408"/>
      <w:r w:rsidRPr="00E23AE4">
        <w:rPr>
          <w:rFonts w:hint="cs"/>
          <w:rtl/>
        </w:rPr>
        <w:t>דברי הר"ן ד</w:t>
      </w:r>
      <w:r>
        <w:rPr>
          <w:rFonts w:hint="cs"/>
          <w:rtl/>
        </w:rPr>
        <w:t>מוחזק</w:t>
      </w:r>
      <w:r w:rsidRPr="00876C34">
        <w:rPr>
          <w:rFonts w:hint="cs"/>
          <w:rtl/>
        </w:rPr>
        <w:t xml:space="preserve"> </w:t>
      </w:r>
      <w:r>
        <w:rPr>
          <w:rFonts w:hint="cs"/>
          <w:rtl/>
        </w:rPr>
        <w:t>ע"י ה</w:t>
      </w:r>
      <w:r w:rsidRPr="00E23AE4">
        <w:rPr>
          <w:rFonts w:hint="cs"/>
          <w:rtl/>
        </w:rPr>
        <w:t xml:space="preserve">חזקה </w:t>
      </w:r>
      <w:r>
        <w:rPr>
          <w:rFonts w:hint="cs"/>
          <w:rtl/>
        </w:rPr>
        <w:t>וצריך ג"ש מטענת אחוי שטרך</w:t>
      </w:r>
      <w:bookmarkEnd w:id="4039"/>
      <w:bookmarkEnd w:id="4040"/>
      <w:bookmarkEnd w:id="4041"/>
      <w:bookmarkEnd w:id="4042"/>
      <w:bookmarkEnd w:id="4043"/>
      <w:bookmarkEnd w:id="4044"/>
    </w:p>
    <w:p w:rsidR="00F163D7" w:rsidRPr="00721BF0" w:rsidRDefault="00F163D7" w:rsidP="00F163D7">
      <w:pPr>
        <w:pStyle w:val="a3"/>
        <w:rPr>
          <w:rtl/>
        </w:rPr>
      </w:pPr>
      <w:bookmarkStart w:id="4057" w:name="_Toc55946553"/>
      <w:bookmarkStart w:id="4058" w:name="_Toc55991861"/>
      <w:bookmarkStart w:id="4059" w:name="_Toc56030410"/>
      <w:bookmarkStart w:id="4060" w:name="_Toc56032602"/>
      <w:r>
        <w:rPr>
          <w:rFonts w:hint="cs"/>
          <w:rtl/>
        </w:rPr>
        <w:t>דברי הר"ן לקמן דעדות חזקה היא עדות על מחוזקות וצריך ג"ש רק מחמת ריעותא דאחוי שטרך</w:t>
      </w:r>
      <w:bookmarkEnd w:id="4057"/>
      <w:bookmarkEnd w:id="4058"/>
      <w:bookmarkEnd w:id="4059"/>
      <w:bookmarkEnd w:id="4060"/>
    </w:p>
    <w:p w:rsidR="00F163D7" w:rsidRDefault="00F163D7" w:rsidP="007E4E81">
      <w:pPr>
        <w:pStyle w:val="a0"/>
        <w:rPr>
          <w:rtl/>
        </w:rPr>
      </w:pPr>
      <w:r>
        <w:rPr>
          <w:rFonts w:hint="cs"/>
          <w:rtl/>
        </w:rPr>
        <w:t xml:space="preserve">כתב </w:t>
      </w:r>
      <w:r w:rsidRPr="007C48B2">
        <w:rPr>
          <w:rStyle w:val="af9"/>
          <w:rFonts w:hint="cs"/>
          <w:rtl/>
        </w:rPr>
        <w:t>הר"ן לקמן</w:t>
      </w:r>
      <w:r>
        <w:rPr>
          <w:rFonts w:hint="cs"/>
          <w:rtl/>
        </w:rPr>
        <w:t xml:space="preserve"> </w:t>
      </w:r>
      <w:r w:rsidRPr="007C48B2">
        <w:rPr>
          <w:rStyle w:val="af7"/>
          <w:rFonts w:eastAsia="Guttman Hodes" w:hint="cs"/>
          <w:rtl/>
        </w:rPr>
        <w:t>(נו: סוד"ה אלא)</w:t>
      </w:r>
      <w:r>
        <w:rPr>
          <w:rFonts w:hint="cs"/>
          <w:rtl/>
        </w:rPr>
        <w:t xml:space="preserve"> דעדות על חזקה בקרקע, היא עדות שהמחזיק מוחזק בקרקע, כמו שאדם מוחזק בשלו, וכ"מ שצריך ג"ש הוא רק כיון שיש ריעותא בטענתו כשאין לו שטר.</w:t>
      </w:r>
    </w:p>
    <w:p w:rsidR="00F163D7" w:rsidRPr="004213B4" w:rsidRDefault="00F163D7" w:rsidP="00F163D7">
      <w:pPr>
        <w:pStyle w:val="a3"/>
      </w:pPr>
      <w:bookmarkStart w:id="4061" w:name="_Toc56032603"/>
      <w:r w:rsidRPr="004213B4">
        <w:rPr>
          <w:rFonts w:hint="cs"/>
          <w:rtl/>
        </w:rPr>
        <w:t>ביאור הר"ן בתשו' דחזקה ל"מ מחמת ששמע המחזיק אלא דאם לא מחה ודאי שמכרה לו</w:t>
      </w:r>
      <w:bookmarkEnd w:id="4045"/>
      <w:bookmarkEnd w:id="4046"/>
      <w:bookmarkEnd w:id="4047"/>
      <w:bookmarkEnd w:id="4048"/>
      <w:bookmarkEnd w:id="4049"/>
      <w:bookmarkEnd w:id="4050"/>
      <w:bookmarkEnd w:id="4051"/>
      <w:bookmarkEnd w:id="4052"/>
      <w:bookmarkEnd w:id="4053"/>
      <w:bookmarkEnd w:id="4054"/>
      <w:bookmarkEnd w:id="4055"/>
      <w:bookmarkEnd w:id="4056"/>
      <w:bookmarkEnd w:id="4061"/>
    </w:p>
    <w:p w:rsidR="00F163D7" w:rsidRPr="00E23AE4" w:rsidRDefault="00F163D7" w:rsidP="007E4E81">
      <w:pPr>
        <w:pStyle w:val="a0"/>
        <w:rPr>
          <w:rtl/>
        </w:rPr>
      </w:pPr>
      <w:bookmarkStart w:id="4062" w:name="_Ref55726886"/>
      <w:r>
        <w:rPr>
          <w:rFonts w:hint="cs"/>
          <w:rtl/>
        </w:rPr>
        <w:t>ועוד כתב</w:t>
      </w:r>
      <w:r w:rsidRPr="004213B4">
        <w:rPr>
          <w:rFonts w:hint="cs"/>
          <w:rtl/>
        </w:rPr>
        <w:t xml:space="preserve"> </w:t>
      </w:r>
      <w:r w:rsidRPr="004213B4">
        <w:rPr>
          <w:rStyle w:val="af9"/>
          <w:rFonts w:hint="cs"/>
          <w:rtl/>
        </w:rPr>
        <w:t xml:space="preserve">הר"ן בתשו' </w:t>
      </w:r>
      <w:r w:rsidRPr="004213B4">
        <w:rPr>
          <w:rStyle w:val="af7"/>
          <w:rFonts w:eastAsia="Guttman Hodes" w:hint="cs"/>
          <w:rtl/>
        </w:rPr>
        <w:t>(סי' ע"ה)</w:t>
      </w:r>
      <w:r w:rsidRPr="004213B4">
        <w:rPr>
          <w:rFonts w:hint="cs"/>
          <w:rtl/>
        </w:rPr>
        <w:t xml:space="preserve"> דטעמא דחזקה אינו מחמת דאמרינן דודאי המחזיק שמע מהמחאה של המערער, אלא טעמא דחזקה היא דכל שלא מחה המערער, מוכח שמכר לו או שנתן לו במתנה, וכיון שאין כל ריעותא בטענה של המחזיק, דאינו צריך להזהר בשטרו לאחר ג"ש</w:t>
      </w:r>
      <w:r w:rsidRPr="00E23AE4">
        <w:rPr>
          <w:rFonts w:hint="cs"/>
          <w:rtl/>
        </w:rPr>
        <w:t xml:space="preserve">, מעמידים את הקרקע בחזקתו, </w:t>
      </w:r>
      <w:r w:rsidRPr="00E23AE4">
        <w:rPr>
          <w:rStyle w:val="afb"/>
          <w:rFonts w:hint="cs"/>
          <w:rtl/>
        </w:rPr>
        <w:t xml:space="preserve">[וכתב </w:t>
      </w:r>
      <w:r w:rsidRPr="00E23AE4">
        <w:rPr>
          <w:rStyle w:val="affa"/>
          <w:rFonts w:hint="cs"/>
          <w:rtl/>
        </w:rPr>
        <w:t>הר"ן בתשו'</w:t>
      </w:r>
      <w:r w:rsidRPr="00E23AE4">
        <w:rPr>
          <w:rStyle w:val="afb"/>
          <w:rFonts w:hint="cs"/>
          <w:rtl/>
        </w:rPr>
        <w:t xml:space="preserve"> דלכן כל שמיחה המערער אף אם עידי המחאה מעידים שלא אמרו לשום אדם, אין למחזיק ראיה שקנה את הקרקע, ולא מהני חזקתו],</w:t>
      </w:r>
      <w:r w:rsidRPr="00E23AE4">
        <w:rPr>
          <w:rFonts w:hint="cs"/>
          <w:rtl/>
        </w:rPr>
        <w:t xml:space="preserve"> ועי' במה שביארו </w:t>
      </w:r>
      <w:r w:rsidRPr="00E23AE4">
        <w:rPr>
          <w:rStyle w:val="af9"/>
          <w:rFonts w:hint="cs"/>
          <w:rtl/>
        </w:rPr>
        <w:t>השער משפט</w:t>
      </w:r>
      <w:r w:rsidRPr="00E23AE4">
        <w:rPr>
          <w:rFonts w:hint="cs"/>
          <w:rtl/>
        </w:rPr>
        <w:t xml:space="preserve"> </w:t>
      </w:r>
      <w:r w:rsidRPr="00E23AE4">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Ref55936634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Pr>
          <w:rStyle w:val="af7"/>
          <w:rFonts w:eastAsia="Guttman Hodes"/>
          <w:rtl/>
        </w:rPr>
        <w:fldChar w:fldCharType="end"/>
      </w:r>
      <w:r>
        <w:rPr>
          <w:rStyle w:val="af7"/>
          <w:rFonts w:eastAsia="Guttman Hodes" w:hint="cs"/>
          <w:rtl/>
        </w:rPr>
        <w:t xml:space="preserve"> </w:t>
      </w:r>
      <w:r w:rsidRPr="00E23AE4">
        <w:rPr>
          <w:rStyle w:val="af9"/>
          <w:rFonts w:hint="cs"/>
          <w:rtl/>
        </w:rPr>
        <w:t>ובחי' רבי נחום</w:t>
      </w:r>
      <w:r w:rsidRPr="00E23AE4">
        <w:rPr>
          <w:rFonts w:hint="cs"/>
          <w:rtl/>
        </w:rPr>
        <w:t xml:space="preserve"> </w:t>
      </w:r>
      <w:r w:rsidRPr="00E23AE4">
        <w:rPr>
          <w:rStyle w:val="af7"/>
          <w:rFonts w:eastAsia="Guttman Hodes" w:hint="cs"/>
          <w:rtl/>
        </w:rPr>
        <w:t xml:space="preserve">(עי' אות </w:t>
      </w:r>
      <w:r w:rsidRPr="00E23AE4">
        <w:rPr>
          <w:rStyle w:val="af7"/>
          <w:rFonts w:eastAsia="Guttman Hodes"/>
          <w:rtl/>
        </w:rPr>
        <w:fldChar w:fldCharType="begin"/>
      </w:r>
      <w:r w:rsidRPr="00E23AE4">
        <w:rPr>
          <w:rStyle w:val="af7"/>
          <w:rFonts w:eastAsia="Guttman Hodes"/>
          <w:rtl/>
        </w:rPr>
        <w:instrText xml:space="preserve"> </w:instrText>
      </w:r>
      <w:r w:rsidRPr="00E23AE4">
        <w:rPr>
          <w:rStyle w:val="af7"/>
          <w:rFonts w:eastAsia="Guttman Hodes" w:hint="cs"/>
        </w:rPr>
        <w:instrText>REF</w:instrText>
      </w:r>
      <w:r w:rsidRPr="00E23AE4">
        <w:rPr>
          <w:rStyle w:val="af7"/>
          <w:rFonts w:eastAsia="Guttman Hodes" w:hint="cs"/>
          <w:rtl/>
        </w:rPr>
        <w:instrText xml:space="preserve"> _</w:instrText>
      </w:r>
      <w:r w:rsidRPr="00E23AE4">
        <w:rPr>
          <w:rStyle w:val="af7"/>
          <w:rFonts w:eastAsia="Guttman Hodes" w:hint="cs"/>
        </w:rPr>
        <w:instrText>Ref55936656 \r \h</w:instrText>
      </w:r>
      <w:r w:rsidRPr="00E23AE4">
        <w:rPr>
          <w:rStyle w:val="af7"/>
          <w:rFonts w:eastAsia="Guttman Hodes"/>
          <w:rtl/>
        </w:rPr>
        <w:instrText xml:space="preserve"> </w:instrText>
      </w:r>
      <w:r w:rsidRPr="00E23AE4">
        <w:rPr>
          <w:rStyle w:val="af7"/>
          <w:rFonts w:eastAsia="Guttman Hodes"/>
          <w:rtl/>
        </w:rPr>
      </w:r>
      <w:r w:rsidRPr="00E23AE4">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E23AE4">
        <w:rPr>
          <w:rStyle w:val="af7"/>
          <w:rFonts w:eastAsia="Guttman Hodes"/>
          <w:rtl/>
        </w:rPr>
        <w:fldChar w:fldCharType="end"/>
      </w:r>
      <w:r>
        <w:rPr>
          <w:rFonts w:hint="cs"/>
          <w:rtl/>
        </w:rPr>
        <w:t xml:space="preserve"> </w:t>
      </w:r>
      <w:r w:rsidRPr="00E23AE4">
        <w:rPr>
          <w:rFonts w:hint="cs"/>
          <w:rtl/>
        </w:rPr>
        <w:t xml:space="preserve">בדברי </w:t>
      </w:r>
      <w:r w:rsidRPr="00E23AE4">
        <w:rPr>
          <w:rStyle w:val="af9"/>
          <w:rFonts w:hint="cs"/>
          <w:rtl/>
        </w:rPr>
        <w:t>הר"ן בתשו'</w:t>
      </w:r>
      <w:r w:rsidRPr="00E23AE4">
        <w:rPr>
          <w:rFonts w:hint="cs"/>
          <w:rtl/>
        </w:rPr>
        <w:t>.</w:t>
      </w:r>
      <w:bookmarkEnd w:id="4062"/>
      <w:r w:rsidRPr="00E23AE4">
        <w:rPr>
          <w:rFonts w:hint="cs"/>
          <w:rtl/>
        </w:rPr>
        <w:t xml:space="preserve"> </w:t>
      </w:r>
    </w:p>
    <w:p w:rsidR="00F163D7" w:rsidRDefault="00F163D7" w:rsidP="00F163D7">
      <w:pPr>
        <w:pStyle w:val="1"/>
        <w:rPr>
          <w:rtl/>
        </w:rPr>
      </w:pPr>
      <w:bookmarkStart w:id="4063" w:name="_Toc55508528"/>
      <w:bookmarkStart w:id="4064" w:name="_Toc55569176"/>
      <w:bookmarkStart w:id="4065" w:name="_Toc55718286"/>
      <w:bookmarkStart w:id="4066" w:name="_Toc55739904"/>
      <w:bookmarkStart w:id="4067" w:name="_Toc55991862"/>
      <w:bookmarkStart w:id="4068" w:name="_Toc56030411"/>
      <w:bookmarkStart w:id="4069" w:name="_Toc56032604"/>
      <w:r>
        <w:rPr>
          <w:rFonts w:hint="cs"/>
          <w:rtl/>
        </w:rPr>
        <w:t>הביאור הב' בר"ן בפי' לרי"ף</w:t>
      </w:r>
      <w:bookmarkEnd w:id="4063"/>
      <w:bookmarkEnd w:id="4064"/>
      <w:bookmarkEnd w:id="4065"/>
      <w:bookmarkEnd w:id="4066"/>
      <w:r>
        <w:rPr>
          <w:rFonts w:hint="cs"/>
          <w:rtl/>
        </w:rPr>
        <w:t xml:space="preserve"> דהו"ל למחויי שלא תשמע טענתו</w:t>
      </w:r>
      <w:bookmarkEnd w:id="4067"/>
      <w:bookmarkEnd w:id="4068"/>
      <w:bookmarkEnd w:id="4069"/>
    </w:p>
    <w:p w:rsidR="00F163D7" w:rsidRDefault="00F163D7" w:rsidP="00F163D7">
      <w:pPr>
        <w:pStyle w:val="a3"/>
        <w:rPr>
          <w:rtl/>
        </w:rPr>
      </w:pPr>
      <w:bookmarkStart w:id="4070" w:name="_Toc55991863"/>
      <w:bookmarkStart w:id="4071" w:name="_Toc56030412"/>
      <w:bookmarkStart w:id="4072" w:name="_Toc56032605"/>
      <w:r>
        <w:rPr>
          <w:rFonts w:hint="cs"/>
          <w:rtl/>
        </w:rPr>
        <w:t>הבי' הב' בר"ן על הרי"ף דמדינא ל"מ שא"צ שטר אך הו"ל למחות שלא תתקבל טענת המחזיק</w:t>
      </w:r>
      <w:bookmarkEnd w:id="4070"/>
      <w:bookmarkEnd w:id="4071"/>
      <w:bookmarkEnd w:id="4072"/>
    </w:p>
    <w:p w:rsidR="00F163D7" w:rsidRPr="00964167" w:rsidRDefault="00F163D7" w:rsidP="007E4E81">
      <w:pPr>
        <w:pStyle w:val="a0"/>
        <w:rPr>
          <w:rStyle w:val="afb"/>
          <w:rtl/>
        </w:rPr>
      </w:pPr>
      <w:bookmarkStart w:id="4073" w:name="_Ref55989668"/>
      <w:r>
        <w:rPr>
          <w:rFonts w:hint="cs"/>
          <w:rtl/>
        </w:rPr>
        <w:t xml:space="preserve">וע"ע בדברי </w:t>
      </w:r>
      <w:r w:rsidRPr="00876C34">
        <w:rPr>
          <w:rStyle w:val="af9"/>
          <w:rFonts w:hint="cs"/>
          <w:rtl/>
        </w:rPr>
        <w:t xml:space="preserve">הר"ן על הרי"ף [הנדמ"ח] בביאורו הב' </w:t>
      </w:r>
      <w:r w:rsidRPr="00876C34">
        <w:rPr>
          <w:rStyle w:val="af7"/>
          <w:rFonts w:eastAsia="Guttman Hodes" w:hint="cs"/>
          <w:rtl/>
        </w:rPr>
        <w:t>(סוד"ה שתא, נד' בסוף חי' הר"ן מהדו' פרדס</w:t>
      </w:r>
      <w:r w:rsidR="00CA3FDF">
        <w:rPr>
          <w:rStyle w:val="af1"/>
          <w:rtl/>
        </w:rPr>
        <w:footnoteReference w:id="13"/>
      </w:r>
      <w:r>
        <w:rPr>
          <w:rStyle w:val="af7"/>
          <w:rFonts w:eastAsia="Guttman Hodes" w:hint="cs"/>
          <w:rtl/>
        </w:rPr>
        <w:t>, ובקובץ מפרשים עוז והדר</w:t>
      </w:r>
      <w:r w:rsidRPr="00876C34">
        <w:rPr>
          <w:rStyle w:val="af7"/>
          <w:rFonts w:eastAsia="Guttman Hodes" w:hint="cs"/>
          <w:rtl/>
        </w:rPr>
        <w:t>)</w:t>
      </w:r>
      <w:r>
        <w:rPr>
          <w:rFonts w:hint="cs"/>
          <w:rtl/>
        </w:rPr>
        <w:t xml:space="preserve"> דכתב דנראה לומר דבאמת מדינא אינו זוכה בקרקע מחמת הטענה דלאחר ג"ש אין אדם נזהר בשטרו, אלא דבזמן שדרך המחזיק להזהר בשטרו, המערער אינו חושש למחות דאם יטען המחזיק שקנה ממנו יטען לו אחוי שטרך, אבל לפני </w:t>
      </w:r>
      <w:r>
        <w:rPr>
          <w:rFonts w:hint="cs"/>
          <w:rtl/>
        </w:rPr>
        <w:lastRenderedPageBreak/>
        <w:t xml:space="preserve">שיעברו הג"ש דאין דרך המחזיק להזהר בשטרו, כיון שהמחזיק יוכל לטעון שקנה ממנו ויהיה נראה שטענתו טענה, לכן אעפ"י דמדינא אינו זוכה בקרקע, מ"מ דרך למערער למחות, כדי שלא יתרגלו לקבל את טענת המחזיק, וכיון שהדרך למחות, כל שלא מחה מוכח שמכר לו. </w:t>
      </w:r>
      <w:r w:rsidRPr="00964167">
        <w:rPr>
          <w:rStyle w:val="afb"/>
          <w:rFonts w:hint="cs"/>
          <w:rtl/>
        </w:rPr>
        <w:t>[</w:t>
      </w:r>
      <w:r>
        <w:rPr>
          <w:rStyle w:val="afb"/>
          <w:rFonts w:hint="cs"/>
          <w:rtl/>
        </w:rPr>
        <w:t>וע"ע במ"ש</w:t>
      </w:r>
      <w:r w:rsidRPr="00964167">
        <w:rPr>
          <w:rStyle w:val="afb"/>
          <w:rFonts w:hint="cs"/>
          <w:rtl/>
        </w:rPr>
        <w:t xml:space="preserve"> </w:t>
      </w:r>
      <w:r w:rsidRPr="00876C34">
        <w:rPr>
          <w:rStyle w:val="affa"/>
          <w:rFonts w:hint="cs"/>
          <w:rtl/>
        </w:rPr>
        <w:t>הר"ן על הרי"ף בביאורו הא'</w:t>
      </w:r>
      <w:r w:rsidRPr="00964167">
        <w:rPr>
          <w:rStyle w:val="afb"/>
          <w:rFonts w:hint="cs"/>
          <w:rtl/>
        </w:rPr>
        <w:t xml:space="preserve"> </w:t>
      </w:r>
      <w:r w:rsidRPr="003C3861">
        <w:rPr>
          <w:rStyle w:val="aff6"/>
          <w:rFonts w:hint="cs"/>
          <w:rtl/>
        </w:rPr>
        <w:t>(הובא בסימן ו' אות ג')</w:t>
      </w:r>
      <w:r>
        <w:rPr>
          <w:rStyle w:val="afb"/>
          <w:rFonts w:hint="cs"/>
          <w:rtl/>
        </w:rPr>
        <w:t xml:space="preserve"> </w:t>
      </w:r>
      <w:r w:rsidRPr="00964167">
        <w:rPr>
          <w:rStyle w:val="afb"/>
          <w:rFonts w:hint="cs"/>
          <w:rtl/>
        </w:rPr>
        <w:t>דה</w:t>
      </w:r>
      <w:r>
        <w:rPr>
          <w:rStyle w:val="afb"/>
          <w:rFonts w:hint="cs"/>
          <w:rtl/>
        </w:rPr>
        <w:t>חזקה הי</w:t>
      </w:r>
      <w:r w:rsidRPr="00964167">
        <w:rPr>
          <w:rStyle w:val="afb"/>
          <w:rFonts w:hint="cs"/>
          <w:rtl/>
        </w:rPr>
        <w:t>א תקנת חכמים].</w:t>
      </w:r>
      <w:bookmarkEnd w:id="4073"/>
    </w:p>
    <w:p w:rsidR="00F163D7" w:rsidRDefault="00F163D7" w:rsidP="00F163D7">
      <w:pPr>
        <w:pStyle w:val="afe"/>
        <w:rPr>
          <w:rtl/>
        </w:rPr>
      </w:pPr>
      <w:bookmarkStart w:id="4074" w:name="_Toc55991864"/>
      <w:bookmarkStart w:id="4075" w:name="_Toc56030413"/>
      <w:bookmarkStart w:id="4076" w:name="_Toc56032606"/>
      <w:r>
        <w:rPr>
          <w:rFonts w:hint="cs"/>
          <w:rtl/>
        </w:rPr>
        <w:t>דברי הראשונים בדין חזקת קטן</w:t>
      </w:r>
      <w:bookmarkEnd w:id="4037"/>
      <w:bookmarkEnd w:id="4038"/>
      <w:bookmarkEnd w:id="4074"/>
      <w:bookmarkEnd w:id="4075"/>
      <w:bookmarkEnd w:id="4076"/>
    </w:p>
    <w:p w:rsidR="00F163D7" w:rsidRDefault="00F163D7" w:rsidP="00F163D7">
      <w:pPr>
        <w:pStyle w:val="1"/>
        <w:rPr>
          <w:rtl/>
        </w:rPr>
      </w:pPr>
      <w:bookmarkStart w:id="4077" w:name="_Toc55927853"/>
      <w:bookmarkStart w:id="4078" w:name="_Toc55946564"/>
      <w:bookmarkStart w:id="4079" w:name="_Toc55991865"/>
      <w:bookmarkStart w:id="4080" w:name="_Toc56030414"/>
      <w:bookmarkStart w:id="4081" w:name="_Toc56032607"/>
      <w:r>
        <w:rPr>
          <w:rFonts w:hint="cs"/>
          <w:rtl/>
        </w:rPr>
        <w:t>ד' הי"מ ברמב"ן</w:t>
      </w:r>
      <w:bookmarkEnd w:id="3880"/>
      <w:bookmarkEnd w:id="3881"/>
      <w:bookmarkEnd w:id="3882"/>
      <w:bookmarkEnd w:id="3883"/>
      <w:bookmarkEnd w:id="3884"/>
      <w:bookmarkEnd w:id="3935"/>
      <w:bookmarkEnd w:id="3936"/>
      <w:bookmarkEnd w:id="3937"/>
      <w:bookmarkEnd w:id="3938"/>
      <w:bookmarkEnd w:id="3939"/>
      <w:bookmarkEnd w:id="4077"/>
      <w:bookmarkEnd w:id="4078"/>
      <w:bookmarkEnd w:id="4079"/>
      <w:bookmarkEnd w:id="4080"/>
      <w:r>
        <w:rPr>
          <w:rFonts w:hint="cs"/>
          <w:rtl/>
        </w:rPr>
        <w:t xml:space="preserve"> [עיטור] דקטן אינו נזהר בשטר וא"א למחות בו</w:t>
      </w:r>
      <w:bookmarkEnd w:id="4081"/>
    </w:p>
    <w:p w:rsidR="00F163D7" w:rsidRPr="00B32087" w:rsidRDefault="00F163D7" w:rsidP="00F163D7">
      <w:pPr>
        <w:pStyle w:val="a3"/>
        <w:rPr>
          <w:rtl/>
        </w:rPr>
      </w:pPr>
      <w:bookmarkStart w:id="4082" w:name="_Toc55946565"/>
      <w:bookmarkStart w:id="4083" w:name="_Toc55991866"/>
      <w:bookmarkStart w:id="4084" w:name="_Toc56030415"/>
      <w:bookmarkStart w:id="4085" w:name="_Toc56032608"/>
      <w:r>
        <w:rPr>
          <w:rFonts w:hint="cs"/>
          <w:rtl/>
        </w:rPr>
        <w:t>דע הי"מ ברמב"ן דאין חזקה לקטן דכיון דאינו יודע להזהר בשטר אין המערער מוחה בו</w:t>
      </w:r>
      <w:bookmarkEnd w:id="4082"/>
      <w:bookmarkEnd w:id="4083"/>
      <w:bookmarkEnd w:id="4084"/>
      <w:bookmarkEnd w:id="4085"/>
    </w:p>
    <w:p w:rsidR="00F163D7" w:rsidRDefault="00F163D7" w:rsidP="007E4E81">
      <w:pPr>
        <w:pStyle w:val="a0"/>
        <w:rPr>
          <w:rtl/>
        </w:rPr>
      </w:pPr>
      <w:bookmarkStart w:id="4086" w:name="_Ref55937745"/>
      <w:bookmarkStart w:id="4087" w:name="_Ref55489907"/>
      <w:r>
        <w:rPr>
          <w:rFonts w:hint="cs"/>
          <w:rtl/>
        </w:rPr>
        <w:t xml:space="preserve">הביאו </w:t>
      </w:r>
      <w:r w:rsidRPr="00D43AE7">
        <w:rPr>
          <w:rStyle w:val="af9"/>
          <w:rFonts w:hint="cs"/>
          <w:rtl/>
        </w:rPr>
        <w:t>הרמב"ן לקמן</w:t>
      </w:r>
      <w:r>
        <w:rPr>
          <w:rFonts w:hint="cs"/>
          <w:rtl/>
        </w:rPr>
        <w:t xml:space="preserve"> </w:t>
      </w:r>
      <w:r w:rsidRPr="00DB3A04">
        <w:rPr>
          <w:rStyle w:val="af7"/>
          <w:rFonts w:eastAsia="Guttman Hodes" w:hint="cs"/>
          <w:rtl/>
        </w:rPr>
        <w:t>(מב. ד"ה הא)</w:t>
      </w:r>
      <w:r>
        <w:rPr>
          <w:rFonts w:hint="cs"/>
          <w:rtl/>
        </w:rPr>
        <w:t xml:space="preserve"> </w:t>
      </w:r>
      <w:r w:rsidRPr="00D43AE7">
        <w:rPr>
          <w:rStyle w:val="af9"/>
          <w:rFonts w:hint="cs"/>
          <w:rtl/>
        </w:rPr>
        <w:t>והרשב"א לקמן</w:t>
      </w:r>
      <w:r>
        <w:rPr>
          <w:rFonts w:hint="cs"/>
          <w:rtl/>
        </w:rPr>
        <w:t xml:space="preserve"> </w:t>
      </w:r>
      <w:r w:rsidRPr="00DB3A04">
        <w:rPr>
          <w:rStyle w:val="af7"/>
          <w:rFonts w:eastAsia="Guttman Hodes" w:hint="cs"/>
          <w:rtl/>
        </w:rPr>
        <w:t>(מב. ד"ה הא)</w:t>
      </w:r>
      <w:r>
        <w:rPr>
          <w:rFonts w:hint="cs"/>
          <w:rtl/>
        </w:rPr>
        <w:t xml:space="preserve"> </w:t>
      </w:r>
      <w:r w:rsidRPr="00D43AE7">
        <w:rPr>
          <w:rStyle w:val="af9"/>
          <w:rFonts w:hint="cs"/>
          <w:rtl/>
        </w:rPr>
        <w:t>והר"ן לקמן</w:t>
      </w:r>
      <w:r>
        <w:rPr>
          <w:rFonts w:hint="cs"/>
          <w:rtl/>
        </w:rPr>
        <w:t xml:space="preserve"> </w:t>
      </w:r>
      <w:r w:rsidRPr="00DB3A04">
        <w:rPr>
          <w:rStyle w:val="af7"/>
          <w:rFonts w:eastAsia="Guttman Hodes" w:hint="cs"/>
          <w:rtl/>
        </w:rPr>
        <w:t>(מב. ד"ה אכלה)</w:t>
      </w:r>
      <w:r>
        <w:rPr>
          <w:rFonts w:hint="cs"/>
          <w:rtl/>
        </w:rPr>
        <w:t xml:space="preserve"> בשם </w:t>
      </w:r>
      <w:r w:rsidRPr="00D43AE7">
        <w:rPr>
          <w:rStyle w:val="af9"/>
          <w:rFonts w:hint="cs"/>
          <w:rtl/>
        </w:rPr>
        <w:t>י"מ</w:t>
      </w:r>
      <w:r>
        <w:rPr>
          <w:rFonts w:hint="cs"/>
          <w:rtl/>
        </w:rPr>
        <w:t xml:space="preserve"> [</w:t>
      </w:r>
      <w:r w:rsidRPr="00967B38">
        <w:rPr>
          <w:rStyle w:val="af9"/>
          <w:rFonts w:hint="cs"/>
          <w:rtl/>
        </w:rPr>
        <w:t>העיטור</w:t>
      </w:r>
      <w:r>
        <w:rPr>
          <w:rFonts w:hint="cs"/>
          <w:rtl/>
        </w:rPr>
        <w:t xml:space="preserve"> </w:t>
      </w:r>
      <w:r w:rsidRPr="00967B38">
        <w:rPr>
          <w:rStyle w:val="aff6"/>
          <w:rFonts w:hint="cs"/>
          <w:rtl/>
        </w:rPr>
        <w:t>(</w:t>
      </w:r>
      <w:r w:rsidRPr="004F0316">
        <w:rPr>
          <w:rStyle w:val="af7"/>
          <w:rFonts w:eastAsia="Guttman Hodes" w:hint="cs"/>
          <w:rtl/>
        </w:rPr>
        <w:t>או' מ' מחאה (מודעה) מה: הועתק בקובץ שיטות קמאי ב"ב ח"ב עמ' אלף פ')</w:t>
      </w:r>
      <w:r>
        <w:rPr>
          <w:rFonts w:hint="cs"/>
          <w:rtl/>
        </w:rPr>
        <w:t>] דקטן שהחזיק בקרקע, אין חזקתו חזקה כיון שקטן אינו בר מחאה, וא"כ אף החזקתו אינה חזקה, דאף אם ימחה בו המערער, אין הקטן יודע להזהר בשטרו, ולכן המערער אינו מוחה בו.</w:t>
      </w:r>
      <w:bookmarkEnd w:id="4086"/>
    </w:p>
    <w:p w:rsidR="00F163D7" w:rsidRPr="000C6CC4" w:rsidRDefault="00F163D7" w:rsidP="00F163D7">
      <w:pPr>
        <w:pStyle w:val="a3"/>
      </w:pPr>
      <w:bookmarkStart w:id="4088" w:name="_Toc55946566"/>
      <w:bookmarkStart w:id="4089" w:name="_Toc55991867"/>
      <w:bookmarkStart w:id="4090" w:name="_Toc56030416"/>
      <w:bookmarkStart w:id="4091" w:name="_Toc56032609"/>
      <w:r>
        <w:rPr>
          <w:rFonts w:hint="cs"/>
          <w:rtl/>
        </w:rPr>
        <w:t>ביאור הרשב"א בי"מ דהחזקה מכח המחאה וביאור הר"ן בי"מ דחשיב שהמערער במקום חירום</w:t>
      </w:r>
      <w:bookmarkEnd w:id="4088"/>
      <w:bookmarkEnd w:id="4089"/>
      <w:bookmarkEnd w:id="4090"/>
      <w:bookmarkEnd w:id="4091"/>
    </w:p>
    <w:p w:rsidR="00F163D7" w:rsidRDefault="00F163D7" w:rsidP="007E4E81">
      <w:pPr>
        <w:pStyle w:val="a0"/>
        <w:rPr>
          <w:rtl/>
        </w:rPr>
      </w:pPr>
      <w:bookmarkStart w:id="4092" w:name="_Ref55939402"/>
      <w:r>
        <w:rPr>
          <w:rFonts w:hint="cs"/>
          <w:rtl/>
        </w:rPr>
        <w:t xml:space="preserve">וביאר </w:t>
      </w:r>
      <w:r w:rsidRPr="00D43AE7">
        <w:rPr>
          <w:rStyle w:val="af9"/>
          <w:rFonts w:hint="cs"/>
          <w:rtl/>
        </w:rPr>
        <w:t>הרשב"א</w:t>
      </w:r>
      <w:r>
        <w:rPr>
          <w:rFonts w:hint="cs"/>
          <w:rtl/>
        </w:rPr>
        <w:t xml:space="preserve"> את דעת </w:t>
      </w:r>
      <w:r w:rsidRPr="000C6CC4">
        <w:rPr>
          <w:rStyle w:val="af9"/>
          <w:rFonts w:hint="cs"/>
          <w:rtl/>
        </w:rPr>
        <w:t>הי"מ</w:t>
      </w:r>
      <w:r>
        <w:rPr>
          <w:rFonts w:hint="cs"/>
          <w:rtl/>
        </w:rPr>
        <w:t xml:space="preserve"> [</w:t>
      </w:r>
      <w:r w:rsidRPr="00967B38">
        <w:rPr>
          <w:rStyle w:val="af9"/>
          <w:rFonts w:hint="cs"/>
          <w:rtl/>
        </w:rPr>
        <w:t>העיטור</w:t>
      </w:r>
      <w:r>
        <w:rPr>
          <w:rStyle w:val="af9"/>
          <w:rFonts w:hint="cs"/>
          <w:rtl/>
        </w:rPr>
        <w:t>]</w:t>
      </w:r>
      <w:r>
        <w:rPr>
          <w:rFonts w:hint="cs"/>
          <w:rtl/>
        </w:rPr>
        <w:t xml:space="preserve"> דכיון שאינו בר מחאה אינו בר חזקה, החזקה באה מכח המחאה,</w:t>
      </w:r>
      <w:r w:rsidRPr="00A94814">
        <w:rPr>
          <w:rFonts w:hint="cs"/>
          <w:rtl/>
        </w:rPr>
        <w:t xml:space="preserve"> </w:t>
      </w:r>
      <w:r>
        <w:rPr>
          <w:rFonts w:hint="cs"/>
          <w:rtl/>
        </w:rPr>
        <w:t xml:space="preserve">והוסיף </w:t>
      </w:r>
      <w:r w:rsidRPr="00D43AE7">
        <w:rPr>
          <w:rStyle w:val="af9"/>
          <w:rFonts w:hint="cs"/>
          <w:rtl/>
        </w:rPr>
        <w:t xml:space="preserve">הר"ן </w:t>
      </w:r>
      <w:r w:rsidRPr="000C6CC4">
        <w:rPr>
          <w:rFonts w:hint="cs"/>
          <w:rtl/>
        </w:rPr>
        <w:t xml:space="preserve">לבאר </w:t>
      </w:r>
      <w:r>
        <w:rPr>
          <w:rFonts w:hint="cs"/>
          <w:rtl/>
        </w:rPr>
        <w:t xml:space="preserve">את דעת </w:t>
      </w:r>
      <w:r w:rsidRPr="000C6CC4">
        <w:rPr>
          <w:rStyle w:val="af9"/>
          <w:rFonts w:hint="cs"/>
          <w:rtl/>
        </w:rPr>
        <w:t>הי"מ</w:t>
      </w:r>
      <w:r>
        <w:rPr>
          <w:rFonts w:hint="cs"/>
          <w:rtl/>
        </w:rPr>
        <w:t xml:space="preserve"> [</w:t>
      </w:r>
      <w:r w:rsidRPr="00967B38">
        <w:rPr>
          <w:rStyle w:val="af9"/>
          <w:rFonts w:hint="cs"/>
          <w:rtl/>
        </w:rPr>
        <w:t>העיטור</w:t>
      </w:r>
      <w:r>
        <w:rPr>
          <w:rStyle w:val="af9"/>
          <w:rFonts w:hint="cs"/>
          <w:rtl/>
        </w:rPr>
        <w:t>]</w:t>
      </w:r>
      <w:r>
        <w:rPr>
          <w:rFonts w:hint="cs"/>
          <w:rtl/>
        </w:rPr>
        <w:t xml:space="preserve"> דכיון שא"א למחות בקטן, חשיב כאילו המערער היה במקום חירום, וכיון שהמערער אינו יכול למחות, לא עלתה לקטן חזקה, ועי' במה שביארו </w:t>
      </w:r>
      <w:r w:rsidRPr="004C6AE1">
        <w:rPr>
          <w:rStyle w:val="af9"/>
          <w:rFonts w:hint="cs"/>
          <w:rtl/>
        </w:rPr>
        <w:t xml:space="preserve">בחי' רבי </w:t>
      </w:r>
      <w:r w:rsidRPr="001C6831">
        <w:rPr>
          <w:rStyle w:val="af9"/>
          <w:rFonts w:hint="cs"/>
          <w:rtl/>
        </w:rPr>
        <w:t>נחום ובקוב"ש</w:t>
      </w:r>
      <w:r>
        <w:rPr>
          <w:rFonts w:hint="cs"/>
          <w:rtl/>
        </w:rPr>
        <w:t xml:space="preserve"> </w:t>
      </w:r>
      <w:r w:rsidRPr="001C6831">
        <w:rPr>
          <w:rStyle w:val="af7"/>
          <w:rFonts w:eastAsia="Guttman Hodes" w:hint="cs"/>
          <w:rtl/>
        </w:rPr>
        <w:t xml:space="preserve">(עי' אות </w:t>
      </w:r>
      <w:r w:rsidRPr="001C6831">
        <w:rPr>
          <w:rStyle w:val="af7"/>
          <w:rFonts w:eastAsia="Guttman Hodes"/>
          <w:rtl/>
        </w:rPr>
        <w:fldChar w:fldCharType="begin"/>
      </w:r>
      <w:r w:rsidRPr="001C6831">
        <w:rPr>
          <w:rStyle w:val="af7"/>
          <w:rFonts w:eastAsia="Guttman Hodes"/>
          <w:rtl/>
        </w:rPr>
        <w:instrText xml:space="preserve"> </w:instrText>
      </w:r>
      <w:r w:rsidRPr="001C6831">
        <w:rPr>
          <w:rStyle w:val="af7"/>
          <w:rFonts w:eastAsia="Guttman Hodes" w:hint="cs"/>
        </w:rPr>
        <w:instrText>REF</w:instrText>
      </w:r>
      <w:r w:rsidRPr="001C6831">
        <w:rPr>
          <w:rStyle w:val="af7"/>
          <w:rFonts w:eastAsia="Guttman Hodes" w:hint="cs"/>
          <w:rtl/>
        </w:rPr>
        <w:instrText xml:space="preserve"> _</w:instrText>
      </w:r>
      <w:r w:rsidRPr="001C6831">
        <w:rPr>
          <w:rStyle w:val="af7"/>
          <w:rFonts w:eastAsia="Guttman Hodes" w:hint="cs"/>
        </w:rPr>
        <w:instrText>Ref55490022 \r \h</w:instrText>
      </w:r>
      <w:r w:rsidRPr="001C6831">
        <w:rPr>
          <w:rStyle w:val="af7"/>
          <w:rFonts w:eastAsia="Guttman Hodes"/>
          <w:rtl/>
        </w:rPr>
        <w:instrText xml:space="preserve">  \* </w:instrText>
      </w:r>
      <w:r w:rsidRPr="001C6831">
        <w:rPr>
          <w:rStyle w:val="af7"/>
          <w:rFonts w:eastAsia="Guttman Hodes"/>
        </w:rPr>
        <w:instrText>MERGEFORMAT</w:instrText>
      </w:r>
      <w:r w:rsidRPr="001C6831">
        <w:rPr>
          <w:rStyle w:val="af7"/>
          <w:rFonts w:eastAsia="Guttman Hodes"/>
          <w:rtl/>
        </w:rPr>
        <w:instrText xml:space="preserve"> </w:instrText>
      </w:r>
      <w:r w:rsidRPr="001C6831">
        <w:rPr>
          <w:rStyle w:val="af7"/>
          <w:rFonts w:eastAsia="Guttman Hodes"/>
          <w:rtl/>
        </w:rPr>
      </w:r>
      <w:r w:rsidRPr="001C6831">
        <w:rPr>
          <w:rStyle w:val="af7"/>
          <w:rFonts w:eastAsia="Guttman Hodes"/>
          <w:rtl/>
        </w:rPr>
        <w:fldChar w:fldCharType="separate"/>
      </w:r>
      <w:r w:rsidR="00265073">
        <w:rPr>
          <w:rStyle w:val="af7"/>
          <w:rFonts w:eastAsia="Guttman Hodes"/>
          <w:cs/>
        </w:rPr>
        <w:t>‎</w:t>
      </w:r>
      <w:r w:rsidR="00265073">
        <w:rPr>
          <w:rStyle w:val="af7"/>
          <w:rFonts w:eastAsia="Guttman Hodes"/>
          <w:rtl/>
        </w:rPr>
        <w:t>קטז)</w:t>
      </w:r>
      <w:r w:rsidRPr="001C6831">
        <w:rPr>
          <w:rStyle w:val="af7"/>
          <w:rFonts w:eastAsia="Guttman Hodes"/>
          <w:rtl/>
        </w:rPr>
        <w:fldChar w:fldCharType="end"/>
      </w:r>
      <w:r w:rsidRPr="006E6AAA">
        <w:rPr>
          <w:rStyle w:val="af9"/>
          <w:rFonts w:hint="cs"/>
          <w:rtl/>
        </w:rPr>
        <w:t xml:space="preserve"> ובקה"י</w:t>
      </w:r>
      <w:r w:rsidRPr="006E6AAA">
        <w:rPr>
          <w:rFonts w:hint="cs"/>
          <w:rtl/>
        </w:rPr>
        <w:t xml:space="preserve"> </w:t>
      </w:r>
      <w:r w:rsidRPr="001C6831">
        <w:rPr>
          <w:rStyle w:val="af7"/>
          <w:rFonts w:eastAsia="Guttman Hodes" w:hint="cs"/>
          <w:rtl/>
        </w:rPr>
        <w:t xml:space="preserve">(עי' אות </w:t>
      </w:r>
      <w:r w:rsidRPr="001C6831">
        <w:rPr>
          <w:rStyle w:val="af7"/>
          <w:rFonts w:eastAsia="Guttman Hodes"/>
          <w:rtl/>
        </w:rPr>
        <w:fldChar w:fldCharType="begin"/>
      </w:r>
      <w:r w:rsidRPr="001C6831">
        <w:rPr>
          <w:rStyle w:val="af7"/>
          <w:rFonts w:eastAsia="Guttman Hodes"/>
          <w:rtl/>
        </w:rPr>
        <w:instrText xml:space="preserve"> </w:instrText>
      </w:r>
      <w:r w:rsidRPr="001C6831">
        <w:rPr>
          <w:rStyle w:val="af7"/>
          <w:rFonts w:eastAsia="Guttman Hodes" w:hint="cs"/>
        </w:rPr>
        <w:instrText>REF</w:instrText>
      </w:r>
      <w:r w:rsidRPr="001C6831">
        <w:rPr>
          <w:rStyle w:val="af7"/>
          <w:rFonts w:eastAsia="Guttman Hodes" w:hint="cs"/>
          <w:rtl/>
        </w:rPr>
        <w:instrText xml:space="preserve"> _</w:instrText>
      </w:r>
      <w:r w:rsidRPr="001C6831">
        <w:rPr>
          <w:rStyle w:val="af7"/>
          <w:rFonts w:eastAsia="Guttman Hodes" w:hint="cs"/>
        </w:rPr>
        <w:instrText>Ref55937862 \r \h</w:instrText>
      </w:r>
      <w:r w:rsidRPr="001C6831">
        <w:rPr>
          <w:rStyle w:val="af7"/>
          <w:rFonts w:eastAsia="Guttman Hodes"/>
          <w:rtl/>
        </w:rPr>
        <w:instrText xml:space="preserve"> </w:instrText>
      </w:r>
      <w:r w:rsidRPr="001C6831">
        <w:rPr>
          <w:rStyle w:val="af7"/>
          <w:rFonts w:eastAsia="Guttman Hodes"/>
          <w:rtl/>
        </w:rPr>
      </w:r>
      <w:r w:rsidRPr="001C6831">
        <w:rPr>
          <w:rStyle w:val="af7"/>
          <w:rFonts w:eastAsia="Guttman Hodes"/>
          <w:rtl/>
        </w:rPr>
        <w:fldChar w:fldCharType="separate"/>
      </w:r>
      <w:r w:rsidR="00265073">
        <w:rPr>
          <w:rStyle w:val="af7"/>
          <w:rFonts w:eastAsia="Guttman Hodes"/>
          <w:cs/>
        </w:rPr>
        <w:t>‎</w:t>
      </w:r>
      <w:r w:rsidR="00265073">
        <w:rPr>
          <w:rStyle w:val="af7"/>
          <w:rFonts w:eastAsia="Guttman Hodes"/>
          <w:rtl/>
        </w:rPr>
        <w:t>קיט)</w:t>
      </w:r>
      <w:r w:rsidRPr="001C6831">
        <w:rPr>
          <w:rStyle w:val="af7"/>
          <w:rFonts w:eastAsia="Guttman Hodes"/>
          <w:rtl/>
        </w:rPr>
        <w:fldChar w:fldCharType="end"/>
      </w:r>
      <w:r w:rsidRPr="006E6AAA">
        <w:rPr>
          <w:rFonts w:hint="cs"/>
          <w:rtl/>
        </w:rPr>
        <w:t xml:space="preserve"> בדעת </w:t>
      </w:r>
      <w:r w:rsidRPr="006E6AAA">
        <w:rPr>
          <w:rStyle w:val="af9"/>
          <w:rFonts w:hint="cs"/>
          <w:rtl/>
        </w:rPr>
        <w:t>הי</w:t>
      </w:r>
      <w:r w:rsidRPr="00D43AE7">
        <w:rPr>
          <w:rStyle w:val="af9"/>
          <w:rFonts w:hint="cs"/>
          <w:rtl/>
        </w:rPr>
        <w:t>"מ</w:t>
      </w:r>
      <w:r>
        <w:rPr>
          <w:rStyle w:val="af9"/>
          <w:rFonts w:hint="cs"/>
          <w:rtl/>
        </w:rPr>
        <w:t xml:space="preserve"> ברמב"ן</w:t>
      </w:r>
      <w:r>
        <w:rPr>
          <w:rFonts w:hint="cs"/>
          <w:rtl/>
        </w:rPr>
        <w:t xml:space="preserve">. </w:t>
      </w:r>
      <w:bookmarkStart w:id="4093" w:name="_Toc55739893"/>
      <w:bookmarkStart w:id="4094" w:name="_Toc55839444"/>
      <w:bookmarkStart w:id="4095" w:name="_Toc55927854"/>
      <w:bookmarkStart w:id="4096" w:name="_Toc55946567"/>
      <w:bookmarkStart w:id="4097" w:name="_Toc55991868"/>
      <w:bookmarkStart w:id="4098" w:name="_Toc56030417"/>
      <w:bookmarkStart w:id="4099" w:name="_Toc56032610"/>
      <w:bookmarkEnd w:id="4087"/>
      <w:bookmarkEnd w:id="4092"/>
      <w:r>
        <w:rPr>
          <w:rFonts w:hint="cs"/>
          <w:rtl/>
        </w:rPr>
        <w:t>דברי הרמב"ן</w:t>
      </w:r>
      <w:bookmarkEnd w:id="4093"/>
      <w:bookmarkEnd w:id="4094"/>
      <w:bookmarkEnd w:id="4095"/>
      <w:r>
        <w:rPr>
          <w:rFonts w:hint="cs"/>
          <w:rtl/>
        </w:rPr>
        <w:t xml:space="preserve"> דטעם חזקה הוא מדלא מחה ולא רק מחמת השטר</w:t>
      </w:r>
      <w:bookmarkEnd w:id="4096"/>
      <w:bookmarkEnd w:id="4097"/>
      <w:bookmarkEnd w:id="4098"/>
      <w:bookmarkEnd w:id="4099"/>
    </w:p>
    <w:p w:rsidR="00F163D7" w:rsidRPr="00167808" w:rsidRDefault="00F163D7" w:rsidP="00F163D7">
      <w:pPr>
        <w:pStyle w:val="a3"/>
        <w:rPr>
          <w:rtl/>
        </w:rPr>
      </w:pPr>
      <w:bookmarkStart w:id="4100" w:name="_Toc55946568"/>
      <w:bookmarkStart w:id="4101" w:name="_Toc55991869"/>
      <w:bookmarkStart w:id="4102" w:name="_Toc56030418"/>
      <w:bookmarkStart w:id="4103" w:name="_Toc56032611"/>
      <w:r>
        <w:rPr>
          <w:rFonts w:hint="cs"/>
          <w:rtl/>
        </w:rPr>
        <w:t>דחיית הרמב"ן דבכל חזקה מיד כשלא מחה יש רגל"ד וצריך ג"ש מחמת השטר ובקטן אין שטר</w:t>
      </w:r>
      <w:bookmarkEnd w:id="4100"/>
      <w:bookmarkEnd w:id="4101"/>
      <w:bookmarkEnd w:id="4102"/>
      <w:bookmarkEnd w:id="4103"/>
    </w:p>
    <w:p w:rsidR="00F163D7" w:rsidRPr="00327501" w:rsidRDefault="00F163D7" w:rsidP="007E4E81">
      <w:pPr>
        <w:pStyle w:val="a0"/>
        <w:rPr>
          <w:rStyle w:val="afb"/>
          <w:rtl/>
        </w:rPr>
      </w:pPr>
      <w:bookmarkStart w:id="4104" w:name="_Ref55489917"/>
      <w:r>
        <w:rPr>
          <w:rFonts w:hint="cs"/>
          <w:rtl/>
        </w:rPr>
        <w:t xml:space="preserve">אך דחה </w:t>
      </w:r>
      <w:r w:rsidRPr="00640004">
        <w:rPr>
          <w:rStyle w:val="af9"/>
          <w:rFonts w:hint="cs"/>
          <w:rtl/>
        </w:rPr>
        <w:t xml:space="preserve">הרמב"ן </w:t>
      </w:r>
      <w:r w:rsidRPr="00D43AE7">
        <w:rPr>
          <w:rStyle w:val="af9"/>
          <w:rFonts w:hint="cs"/>
          <w:rtl/>
        </w:rPr>
        <w:t>לקמן</w:t>
      </w:r>
      <w:r>
        <w:rPr>
          <w:rFonts w:hint="cs"/>
          <w:rtl/>
        </w:rPr>
        <w:t xml:space="preserve"> </w:t>
      </w:r>
      <w:r w:rsidRPr="00DB3A04">
        <w:rPr>
          <w:rStyle w:val="af7"/>
          <w:rFonts w:eastAsia="Guttman Hodes" w:hint="cs"/>
          <w:rtl/>
        </w:rPr>
        <w:t>(מב. ד"ה הא)</w:t>
      </w:r>
      <w:r>
        <w:rPr>
          <w:rFonts w:hint="cs"/>
          <w:rtl/>
        </w:rPr>
        <w:t xml:space="preserve"> את דעת </w:t>
      </w:r>
      <w:r w:rsidRPr="00640004">
        <w:rPr>
          <w:rStyle w:val="af9"/>
          <w:rFonts w:hint="cs"/>
          <w:rtl/>
        </w:rPr>
        <w:t>הי"מ</w:t>
      </w:r>
      <w:r>
        <w:rPr>
          <w:rFonts w:hint="cs"/>
          <w:rtl/>
        </w:rPr>
        <w:t xml:space="preserve"> [</w:t>
      </w:r>
      <w:r w:rsidRPr="00967B38">
        <w:rPr>
          <w:rStyle w:val="af9"/>
          <w:rFonts w:hint="cs"/>
          <w:rtl/>
        </w:rPr>
        <w:t>העיטור</w:t>
      </w:r>
      <w:r>
        <w:rPr>
          <w:rStyle w:val="af9"/>
          <w:rFonts w:hint="cs"/>
          <w:rtl/>
        </w:rPr>
        <w:t>]</w:t>
      </w:r>
      <w:r>
        <w:rPr>
          <w:rFonts w:hint="cs"/>
          <w:rtl/>
        </w:rPr>
        <w:t xml:space="preserve"> דאף חזקת קטן מהני, וביאר </w:t>
      </w:r>
      <w:r w:rsidRPr="00640004">
        <w:rPr>
          <w:rStyle w:val="af9"/>
          <w:rFonts w:hint="cs"/>
          <w:rtl/>
        </w:rPr>
        <w:t>הרמב"ן</w:t>
      </w:r>
      <w:r>
        <w:rPr>
          <w:rFonts w:hint="cs"/>
          <w:rtl/>
        </w:rPr>
        <w:t xml:space="preserve"> דהטעם של חזקת ג"ש, אינו רק מחמת דאחר ג"ש אינו נזהר בשטרו, אלא דכיון שהמערער שותק למחזיק, יש רגלים לדבר דמכר לו, אלא דבתוך</w:t>
      </w:r>
      <w:r w:rsidRPr="002F34B1">
        <w:rPr>
          <w:rFonts w:hint="cs"/>
          <w:rtl/>
        </w:rPr>
        <w:t xml:space="preserve"> </w:t>
      </w:r>
      <w:r>
        <w:rPr>
          <w:rFonts w:hint="cs"/>
          <w:rtl/>
        </w:rPr>
        <w:t>ג"ש אעפ"י שיש רגלים לדבר, עדיין טוענים למחזיק אחוי שטרך, ואחר ג"ש כיון שאינו נזהר בשטרו, יש ריעותא בטענת אחוי שטרך, ואחר שיש ריעותא בטענה, אמרינן דלא לחינם שתק לו המערער,</w:t>
      </w:r>
      <w:r w:rsidRPr="00AB79A1">
        <w:rPr>
          <w:rFonts w:hint="cs"/>
          <w:rtl/>
        </w:rPr>
        <w:t xml:space="preserve"> </w:t>
      </w:r>
      <w:r>
        <w:rPr>
          <w:rFonts w:hint="cs"/>
          <w:rtl/>
        </w:rPr>
        <w:t xml:space="preserve">וא"כ אעפ"י דקטן אינו יודע להזהר בשטרו, מ"מ יש חזקה כיון דלא מחה המערער, והוסיף </w:t>
      </w:r>
      <w:r w:rsidRPr="00A0279A">
        <w:rPr>
          <w:rStyle w:val="af9"/>
          <w:rFonts w:hint="cs"/>
          <w:rtl/>
        </w:rPr>
        <w:t>הרמב"ן</w:t>
      </w:r>
      <w:r>
        <w:rPr>
          <w:rFonts w:hint="cs"/>
          <w:rtl/>
        </w:rPr>
        <w:t xml:space="preserve"> דכן מוכח בגמ' </w:t>
      </w:r>
      <w:r w:rsidRPr="00327501">
        <w:rPr>
          <w:rFonts w:hint="cs"/>
          <w:rtl/>
        </w:rPr>
        <w:t xml:space="preserve">בסוגיין. </w:t>
      </w:r>
      <w:r w:rsidRPr="00327501">
        <w:rPr>
          <w:rStyle w:val="afb"/>
          <w:rFonts w:hint="cs"/>
          <w:rtl/>
        </w:rPr>
        <w:t>[</w:t>
      </w:r>
      <w:r w:rsidRPr="00DB275C">
        <w:rPr>
          <w:rStyle w:val="afb"/>
          <w:rFonts w:hint="cs"/>
          <w:rtl/>
        </w:rPr>
        <w:t>ועי'</w:t>
      </w:r>
      <w:r w:rsidRPr="00327501">
        <w:rPr>
          <w:rStyle w:val="afb"/>
          <w:rFonts w:hint="cs"/>
          <w:rtl/>
        </w:rPr>
        <w:t xml:space="preserve"> במה שביאר </w:t>
      </w:r>
      <w:r w:rsidRPr="00327501">
        <w:rPr>
          <w:rStyle w:val="affa"/>
          <w:rFonts w:hint="cs"/>
          <w:rtl/>
        </w:rPr>
        <w:t>בחי' רבי נחום</w:t>
      </w:r>
      <w:r w:rsidRPr="00327501">
        <w:rPr>
          <w:rFonts w:hint="cs"/>
          <w:rtl/>
        </w:rPr>
        <w:t xml:space="preserve"> </w:t>
      </w:r>
      <w:r w:rsidRPr="00327501">
        <w:rPr>
          <w:rStyle w:val="aff6"/>
          <w:rFonts w:hint="cs"/>
          <w:rtl/>
        </w:rPr>
        <w:t>(עי'</w:t>
      </w:r>
      <w:r>
        <w:rPr>
          <w:rFonts w:hint="cs"/>
          <w:rtl/>
        </w:rPr>
        <w:t xml:space="preserve"> </w:t>
      </w:r>
      <w:r w:rsidRPr="00327501">
        <w:rPr>
          <w:rStyle w:val="aff6"/>
          <w:rFonts w:hint="cs"/>
          <w:rtl/>
        </w:rPr>
        <w:t>הערה</w:t>
      </w:r>
      <w:r w:rsidRPr="00327501">
        <w:rPr>
          <w:vertAlign w:val="superscript"/>
          <w:rtl/>
        </w:rPr>
        <w:fldChar w:fldCharType="begin"/>
      </w:r>
      <w:r w:rsidRPr="00327501">
        <w:rPr>
          <w:vertAlign w:val="superscript"/>
          <w:rtl/>
        </w:rPr>
        <w:instrText xml:space="preserve"> </w:instrText>
      </w:r>
      <w:r w:rsidRPr="00327501">
        <w:rPr>
          <w:rFonts w:hint="cs"/>
          <w:vertAlign w:val="superscript"/>
        </w:rPr>
        <w:instrText>NOTEREF</w:instrText>
      </w:r>
      <w:r w:rsidRPr="00327501">
        <w:rPr>
          <w:rFonts w:hint="cs"/>
          <w:vertAlign w:val="superscript"/>
          <w:rtl/>
        </w:rPr>
        <w:instrText xml:space="preserve"> _</w:instrText>
      </w:r>
      <w:r w:rsidRPr="00327501">
        <w:rPr>
          <w:rFonts w:hint="cs"/>
          <w:vertAlign w:val="superscript"/>
        </w:rPr>
        <w:instrText>Ref56010791 \h</w:instrText>
      </w:r>
      <w:r w:rsidRPr="00327501">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327501">
        <w:rPr>
          <w:vertAlign w:val="superscript"/>
          <w:rtl/>
        </w:rPr>
      </w:r>
      <w:r w:rsidRPr="00327501">
        <w:rPr>
          <w:vertAlign w:val="superscript"/>
          <w:rtl/>
        </w:rPr>
        <w:fldChar w:fldCharType="separate"/>
      </w:r>
      <w:r w:rsidR="00265073">
        <w:rPr>
          <w:vertAlign w:val="superscript"/>
          <w:rtl/>
        </w:rPr>
        <w:t>11</w:t>
      </w:r>
      <w:r w:rsidRPr="00327501">
        <w:rPr>
          <w:vertAlign w:val="superscript"/>
          <w:rtl/>
        </w:rPr>
        <w:fldChar w:fldCharType="end"/>
      </w:r>
      <w:r w:rsidRPr="00327501">
        <w:rPr>
          <w:rStyle w:val="aff6"/>
          <w:rFonts w:hint="cs"/>
          <w:rtl/>
        </w:rPr>
        <w:t>)</w:t>
      </w:r>
      <w:r w:rsidR="00A77F33">
        <w:rPr>
          <w:rFonts w:hint="cs"/>
          <w:rtl/>
        </w:rPr>
        <w:t xml:space="preserve"> </w:t>
      </w:r>
      <w:r w:rsidRPr="00327501">
        <w:rPr>
          <w:rStyle w:val="afb"/>
          <w:rFonts w:hint="cs"/>
          <w:rtl/>
        </w:rPr>
        <w:t xml:space="preserve">בדברי </w:t>
      </w:r>
      <w:r w:rsidRPr="00327501">
        <w:rPr>
          <w:rStyle w:val="affa"/>
          <w:rFonts w:hint="cs"/>
          <w:rtl/>
        </w:rPr>
        <w:t>הרמב"ן</w:t>
      </w:r>
      <w:r w:rsidRPr="00327501">
        <w:rPr>
          <w:rStyle w:val="afb"/>
          <w:rFonts w:hint="cs"/>
          <w:rtl/>
        </w:rPr>
        <w:t>].</w:t>
      </w:r>
      <w:bookmarkEnd w:id="4104"/>
    </w:p>
    <w:p w:rsidR="00F163D7" w:rsidRDefault="00F163D7" w:rsidP="00F163D7">
      <w:pPr>
        <w:pStyle w:val="a3"/>
        <w:rPr>
          <w:rtl/>
        </w:rPr>
      </w:pPr>
      <w:bookmarkStart w:id="4105" w:name="_Toc55946569"/>
      <w:bookmarkStart w:id="4106" w:name="_Toc55991870"/>
      <w:bookmarkStart w:id="4107" w:name="_Toc56030419"/>
      <w:bookmarkStart w:id="4108" w:name="_Toc56032612"/>
      <w:r>
        <w:rPr>
          <w:rFonts w:hint="cs"/>
          <w:rtl/>
        </w:rPr>
        <w:t>דברי הרמב"ן דהחזקה מהני לקטן מיד דאינו נזהר בשטר וצריך ג"ש דלא מצינו שהקטן מרויח</w:t>
      </w:r>
      <w:bookmarkEnd w:id="4105"/>
      <w:bookmarkEnd w:id="4106"/>
      <w:bookmarkEnd w:id="4107"/>
      <w:bookmarkEnd w:id="4108"/>
    </w:p>
    <w:p w:rsidR="00F163D7" w:rsidRDefault="00F163D7" w:rsidP="007E4E81">
      <w:pPr>
        <w:pStyle w:val="a0"/>
        <w:rPr>
          <w:rtl/>
        </w:rPr>
      </w:pPr>
      <w:bookmarkStart w:id="4109" w:name="_Ref55728248"/>
      <w:r>
        <w:rPr>
          <w:rFonts w:hint="cs"/>
          <w:rtl/>
        </w:rPr>
        <w:t xml:space="preserve">וכתב </w:t>
      </w:r>
      <w:r w:rsidRPr="00E53B4F">
        <w:rPr>
          <w:rStyle w:val="af9"/>
          <w:rFonts w:hint="cs"/>
          <w:rtl/>
        </w:rPr>
        <w:t>הרמב"ן לקמן</w:t>
      </w:r>
      <w:r>
        <w:rPr>
          <w:rFonts w:hint="cs"/>
          <w:rtl/>
        </w:rPr>
        <w:t xml:space="preserve"> דא"כ כיון דקטן אינו יודע להזהר בשטרו, יש לו חזקה כיון דלא מחה המערער,</w:t>
      </w:r>
      <w:r w:rsidRPr="00043F53">
        <w:rPr>
          <w:rFonts w:hint="cs"/>
          <w:rtl/>
        </w:rPr>
        <w:t xml:space="preserve"> </w:t>
      </w:r>
      <w:r>
        <w:rPr>
          <w:rFonts w:hint="cs"/>
          <w:rtl/>
        </w:rPr>
        <w:t xml:space="preserve">אך כתב </w:t>
      </w:r>
      <w:r w:rsidRPr="00E53B4F">
        <w:rPr>
          <w:rStyle w:val="af9"/>
          <w:rFonts w:hint="cs"/>
          <w:rtl/>
        </w:rPr>
        <w:t>הרמב"ן</w:t>
      </w:r>
      <w:r>
        <w:rPr>
          <w:rFonts w:hint="cs"/>
          <w:rtl/>
        </w:rPr>
        <w:t xml:space="preserve"> דמ"מ בתוך ג"ש לא מהני החזקה לקטן אף שאין לו ריעותא דאחוי שטרך, דא"כ מי שאין לו דעת מרויח, ולא מצינו שהוא מרויח בכל מקום אלא הוא מפסיד, וביאר </w:t>
      </w:r>
      <w:r w:rsidRPr="007709C8">
        <w:rPr>
          <w:rStyle w:val="af9"/>
          <w:rFonts w:hint="cs"/>
          <w:rtl/>
        </w:rPr>
        <w:t>הנתיה"מ</w:t>
      </w:r>
      <w:r>
        <w:rPr>
          <w:rFonts w:hint="cs"/>
          <w:rtl/>
        </w:rPr>
        <w:t xml:space="preserve"> </w:t>
      </w:r>
      <w:r w:rsidRPr="007709C8">
        <w:rPr>
          <w:rStyle w:val="af7"/>
          <w:rFonts w:eastAsia="Guttman Hodes" w:hint="cs"/>
          <w:rtl/>
        </w:rPr>
        <w:t>(סי' קמ"ד סוס"ק ג')</w:t>
      </w:r>
      <w:r>
        <w:rPr>
          <w:rFonts w:hint="cs"/>
          <w:rtl/>
        </w:rPr>
        <w:t xml:space="preserve"> דכוונת </w:t>
      </w:r>
      <w:r w:rsidRPr="007709C8">
        <w:rPr>
          <w:rStyle w:val="af9"/>
          <w:rFonts w:hint="cs"/>
          <w:rtl/>
        </w:rPr>
        <w:t>הרמב"ן</w:t>
      </w:r>
      <w:r>
        <w:rPr>
          <w:rFonts w:hint="cs"/>
          <w:rtl/>
        </w:rPr>
        <w:t xml:space="preserve"> לומר דלא חילקו רבנן בחזקת קרקעות, בין חזקת גדול לחזקת קטן, וכן מפורש </w:t>
      </w:r>
      <w:r w:rsidRPr="007709C8">
        <w:rPr>
          <w:rStyle w:val="af9"/>
          <w:rFonts w:hint="cs"/>
          <w:rtl/>
        </w:rPr>
        <w:t>בריטב"א</w:t>
      </w:r>
      <w:r>
        <w:rPr>
          <w:rFonts w:hint="cs"/>
          <w:rtl/>
        </w:rPr>
        <w:t xml:space="preserve"> </w:t>
      </w:r>
      <w:r w:rsidRPr="007709C8">
        <w:rPr>
          <w:rStyle w:val="af7"/>
          <w:rFonts w:eastAsia="Guttman Hodes" w:hint="cs"/>
          <w:rtl/>
        </w:rPr>
        <w:t xml:space="preserve">(עי' אות </w:t>
      </w:r>
      <w:r w:rsidRPr="007709C8">
        <w:rPr>
          <w:rStyle w:val="af7"/>
          <w:rFonts w:eastAsia="Guttman Hodes"/>
          <w:rtl/>
        </w:rPr>
        <w:fldChar w:fldCharType="begin"/>
      </w:r>
      <w:r w:rsidRPr="007709C8">
        <w:rPr>
          <w:rStyle w:val="af7"/>
          <w:rFonts w:eastAsia="Guttman Hodes"/>
          <w:rtl/>
        </w:rPr>
        <w:instrText xml:space="preserve"> </w:instrText>
      </w:r>
      <w:r w:rsidRPr="007709C8">
        <w:rPr>
          <w:rStyle w:val="af7"/>
          <w:rFonts w:eastAsia="Guttman Hodes" w:hint="cs"/>
        </w:rPr>
        <w:instrText>REF</w:instrText>
      </w:r>
      <w:r w:rsidRPr="007709C8">
        <w:rPr>
          <w:rStyle w:val="af7"/>
          <w:rFonts w:eastAsia="Guttman Hodes" w:hint="cs"/>
          <w:rtl/>
        </w:rPr>
        <w:instrText xml:space="preserve"> _</w:instrText>
      </w:r>
      <w:r w:rsidRPr="007709C8">
        <w:rPr>
          <w:rStyle w:val="af7"/>
          <w:rFonts w:eastAsia="Guttman Hodes" w:hint="cs"/>
        </w:rPr>
        <w:instrText>Ref55763476 \r \h</w:instrText>
      </w:r>
      <w:r w:rsidRPr="007709C8">
        <w:rPr>
          <w:rStyle w:val="af7"/>
          <w:rFonts w:eastAsia="Guttman Hodes"/>
          <w:rtl/>
        </w:rPr>
        <w:instrText xml:space="preserve"> </w:instrText>
      </w:r>
      <w:r w:rsidRPr="007709C8">
        <w:rPr>
          <w:rStyle w:val="af7"/>
          <w:rFonts w:eastAsia="Guttman Hodes"/>
          <w:rtl/>
        </w:rPr>
      </w:r>
      <w:r w:rsidRPr="007709C8">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7709C8">
        <w:rPr>
          <w:rStyle w:val="af7"/>
          <w:rFonts w:eastAsia="Guttman Hodes"/>
          <w:rtl/>
        </w:rPr>
        <w:fldChar w:fldCharType="end"/>
      </w:r>
      <w:r>
        <w:rPr>
          <w:rFonts w:hint="cs"/>
          <w:rtl/>
        </w:rPr>
        <w:t xml:space="preserve"> ועי' במה שביארו </w:t>
      </w:r>
      <w:r>
        <w:rPr>
          <w:rStyle w:val="af9"/>
          <w:rFonts w:hint="cs"/>
          <w:rtl/>
        </w:rPr>
        <w:t>ב</w:t>
      </w:r>
      <w:r w:rsidRPr="003B70D4">
        <w:rPr>
          <w:rStyle w:val="af9"/>
          <w:rFonts w:hint="cs"/>
          <w:rtl/>
        </w:rPr>
        <w:t>קה"י</w:t>
      </w:r>
      <w:r>
        <w:rPr>
          <w:rFonts w:hint="cs"/>
          <w:rtl/>
        </w:rPr>
        <w:t xml:space="preserve"> </w:t>
      </w:r>
      <w:r w:rsidRPr="003B70D4">
        <w:rPr>
          <w:rStyle w:val="af7"/>
          <w:rFonts w:eastAsia="Guttman Hodes" w:hint="cs"/>
          <w:rtl/>
        </w:rPr>
        <w:t xml:space="preserve">(עי' אות </w:t>
      </w:r>
      <w:r w:rsidRPr="003B70D4">
        <w:rPr>
          <w:rStyle w:val="af7"/>
          <w:rFonts w:eastAsia="Guttman Hodes"/>
          <w:rtl/>
        </w:rPr>
        <w:fldChar w:fldCharType="begin"/>
      </w:r>
      <w:r w:rsidRPr="003B70D4">
        <w:rPr>
          <w:rStyle w:val="af7"/>
          <w:rFonts w:eastAsia="Guttman Hodes"/>
          <w:rtl/>
        </w:rPr>
        <w:instrText xml:space="preserve"> </w:instrText>
      </w:r>
      <w:r w:rsidRPr="003B70D4">
        <w:rPr>
          <w:rStyle w:val="af7"/>
          <w:rFonts w:eastAsia="Guttman Hodes" w:hint="cs"/>
        </w:rPr>
        <w:instrText>REF</w:instrText>
      </w:r>
      <w:r w:rsidRPr="003B70D4">
        <w:rPr>
          <w:rStyle w:val="af7"/>
          <w:rFonts w:eastAsia="Guttman Hodes" w:hint="cs"/>
          <w:rtl/>
        </w:rPr>
        <w:instrText xml:space="preserve"> _</w:instrText>
      </w:r>
      <w:r w:rsidRPr="003B70D4">
        <w:rPr>
          <w:rStyle w:val="af7"/>
          <w:rFonts w:eastAsia="Guttman Hodes" w:hint="cs"/>
        </w:rPr>
        <w:instrText>Ref55990392 \r \h</w:instrText>
      </w:r>
      <w:r w:rsidRPr="003B70D4">
        <w:rPr>
          <w:rStyle w:val="af7"/>
          <w:rFonts w:eastAsia="Guttman Hodes"/>
          <w:rtl/>
        </w:rPr>
        <w:instrText xml:space="preserve"> </w:instrText>
      </w:r>
      <w:r w:rsidRPr="003B70D4">
        <w:rPr>
          <w:rStyle w:val="af7"/>
          <w:rFonts w:eastAsia="Guttman Hodes"/>
          <w:rtl/>
        </w:rPr>
      </w:r>
      <w:r w:rsidRPr="003B70D4">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3B70D4">
        <w:rPr>
          <w:rStyle w:val="af7"/>
          <w:rFonts w:eastAsia="Guttman Hodes"/>
          <w:rtl/>
        </w:rPr>
        <w:fldChar w:fldCharType="end"/>
      </w:r>
      <w:r w:rsidRPr="003B70D4">
        <w:rPr>
          <w:rStyle w:val="af7"/>
          <w:rFonts w:eastAsia="Guttman Hodes" w:hint="cs"/>
          <w:rtl/>
        </w:rPr>
        <w:t xml:space="preserve"> </w:t>
      </w:r>
      <w:r w:rsidRPr="00424E06">
        <w:rPr>
          <w:rStyle w:val="af9"/>
          <w:rFonts w:hint="cs"/>
          <w:rtl/>
        </w:rPr>
        <w:t>ובחי' רבי ראובן</w:t>
      </w:r>
      <w:r>
        <w:rPr>
          <w:rFonts w:hint="cs"/>
          <w:rtl/>
        </w:rPr>
        <w:t xml:space="preserve"> </w:t>
      </w:r>
      <w:r w:rsidRPr="00424E06">
        <w:rPr>
          <w:rStyle w:val="af7"/>
          <w:rFonts w:eastAsia="Guttman Hodes" w:hint="cs"/>
          <w:rtl/>
        </w:rPr>
        <w:t xml:space="preserve">(עי' אות </w:t>
      </w:r>
      <w:r w:rsidRPr="00424E06">
        <w:rPr>
          <w:rStyle w:val="af7"/>
          <w:rFonts w:eastAsia="Guttman Hodes"/>
          <w:rtl/>
        </w:rPr>
        <w:fldChar w:fldCharType="begin"/>
      </w:r>
      <w:r w:rsidRPr="00424E06">
        <w:rPr>
          <w:rStyle w:val="af7"/>
          <w:rFonts w:eastAsia="Guttman Hodes"/>
          <w:rtl/>
        </w:rPr>
        <w:instrText xml:space="preserve"> </w:instrText>
      </w:r>
      <w:r w:rsidRPr="00424E06">
        <w:rPr>
          <w:rStyle w:val="af7"/>
          <w:rFonts w:eastAsia="Guttman Hodes" w:hint="cs"/>
        </w:rPr>
        <w:instrText>REF</w:instrText>
      </w:r>
      <w:r w:rsidRPr="00424E06">
        <w:rPr>
          <w:rStyle w:val="af7"/>
          <w:rFonts w:eastAsia="Guttman Hodes" w:hint="cs"/>
          <w:rtl/>
        </w:rPr>
        <w:instrText xml:space="preserve"> _</w:instrText>
      </w:r>
      <w:r w:rsidRPr="00424E06">
        <w:rPr>
          <w:rStyle w:val="af7"/>
          <w:rFonts w:eastAsia="Guttman Hodes" w:hint="cs"/>
        </w:rPr>
        <w:instrText>Ref56008649 \r \h</w:instrText>
      </w:r>
      <w:r w:rsidRPr="00424E06">
        <w:rPr>
          <w:rStyle w:val="af7"/>
          <w:rFonts w:eastAsia="Guttman Hodes"/>
          <w:rtl/>
        </w:rPr>
        <w:instrText xml:space="preserve"> </w:instrText>
      </w:r>
      <w:r w:rsidRPr="00424E06">
        <w:rPr>
          <w:rStyle w:val="af7"/>
          <w:rFonts w:eastAsia="Guttman Hodes"/>
          <w:rtl/>
        </w:rPr>
      </w:r>
      <w:r w:rsidRPr="00424E06">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424E06">
        <w:rPr>
          <w:rStyle w:val="af7"/>
          <w:rFonts w:eastAsia="Guttman Hodes"/>
          <w:rtl/>
        </w:rPr>
        <w:fldChar w:fldCharType="end"/>
      </w:r>
      <w:r>
        <w:rPr>
          <w:rFonts w:hint="cs"/>
          <w:rtl/>
        </w:rPr>
        <w:t xml:space="preserve"> בדברי </w:t>
      </w:r>
      <w:r w:rsidRPr="009113CA">
        <w:rPr>
          <w:rStyle w:val="af9"/>
          <w:rFonts w:hint="cs"/>
          <w:rtl/>
        </w:rPr>
        <w:t>הרמב"ן</w:t>
      </w:r>
      <w:r w:rsidRPr="00F97BE1">
        <w:rPr>
          <w:rFonts w:hint="cs"/>
          <w:rtl/>
        </w:rPr>
        <w:t xml:space="preserve">, וע"ע במ"ש </w:t>
      </w:r>
      <w:r w:rsidRPr="00F97BE1">
        <w:rPr>
          <w:rStyle w:val="af9"/>
          <w:rFonts w:hint="cs"/>
          <w:rtl/>
        </w:rPr>
        <w:t>בחי' רבי נחום</w:t>
      </w:r>
      <w:r w:rsidRPr="00F97BE1">
        <w:rPr>
          <w:rFonts w:hint="cs"/>
          <w:rtl/>
        </w:rPr>
        <w:t xml:space="preserve"> </w:t>
      </w:r>
      <w:r w:rsidRPr="00F97BE1">
        <w:rPr>
          <w:rStyle w:val="af7"/>
          <w:rFonts w:eastAsia="Guttman Rashi" w:hint="cs"/>
          <w:rtl/>
        </w:rPr>
        <w:t xml:space="preserve">(עי' אות </w:t>
      </w:r>
      <w:r w:rsidRPr="00F97BE1">
        <w:rPr>
          <w:rStyle w:val="af7"/>
          <w:rFonts w:eastAsia="Guttman Rashi"/>
          <w:rtl/>
        </w:rPr>
        <w:fldChar w:fldCharType="begin"/>
      </w:r>
      <w:r w:rsidRPr="00F97BE1">
        <w:rPr>
          <w:rStyle w:val="af7"/>
          <w:rFonts w:eastAsia="Guttman Rashi"/>
          <w:rtl/>
        </w:rPr>
        <w:instrText xml:space="preserve"> </w:instrText>
      </w:r>
      <w:r w:rsidRPr="00F97BE1">
        <w:rPr>
          <w:rStyle w:val="af7"/>
          <w:rFonts w:eastAsia="Guttman Rashi" w:hint="cs"/>
        </w:rPr>
        <w:instrText>REF</w:instrText>
      </w:r>
      <w:r w:rsidRPr="00F97BE1">
        <w:rPr>
          <w:rStyle w:val="af7"/>
          <w:rFonts w:eastAsia="Guttman Rashi" w:hint="cs"/>
          <w:rtl/>
        </w:rPr>
        <w:instrText xml:space="preserve"> _</w:instrText>
      </w:r>
      <w:r w:rsidRPr="00F97BE1">
        <w:rPr>
          <w:rStyle w:val="af7"/>
          <w:rFonts w:eastAsia="Guttman Rashi" w:hint="cs"/>
        </w:rPr>
        <w:instrText>Ref55728305 \r \h</w:instrText>
      </w:r>
      <w:r w:rsidRPr="00F97BE1">
        <w:rPr>
          <w:rStyle w:val="af7"/>
          <w:rFonts w:eastAsia="Guttman Rashi"/>
          <w:rtl/>
        </w:rPr>
        <w:instrText xml:space="preserve"> </w:instrText>
      </w:r>
      <w:r w:rsidRPr="00F97BE1">
        <w:rPr>
          <w:rStyle w:val="af7"/>
          <w:rFonts w:eastAsia="Guttman Rashi"/>
          <w:rtl/>
        </w:rPr>
      </w:r>
      <w:r w:rsidRPr="00F97BE1">
        <w:rPr>
          <w:rStyle w:val="af7"/>
          <w:rFonts w:eastAsia="Guttman Rashi"/>
          <w:rtl/>
        </w:rPr>
        <w:fldChar w:fldCharType="separate"/>
      </w:r>
      <w:r w:rsidR="00265073">
        <w:rPr>
          <w:rStyle w:val="af7"/>
          <w:rFonts w:eastAsia="Guttman Rashi"/>
          <w:cs/>
        </w:rPr>
        <w:t>‎</w:t>
      </w:r>
      <w:r w:rsidR="00265073">
        <w:rPr>
          <w:rStyle w:val="af7"/>
          <w:rFonts w:eastAsia="Guttman Rashi"/>
          <w:rtl/>
        </w:rPr>
        <w:t>צג)</w:t>
      </w:r>
      <w:r w:rsidRPr="00F97BE1">
        <w:rPr>
          <w:rStyle w:val="af7"/>
          <w:rFonts w:eastAsia="Guttman Rashi"/>
          <w:rtl/>
        </w:rPr>
        <w:fldChar w:fldCharType="end"/>
      </w:r>
      <w:r w:rsidRPr="00F97BE1">
        <w:rPr>
          <w:rFonts w:hint="cs"/>
          <w:rtl/>
        </w:rPr>
        <w:t xml:space="preserve"> דמשמע מדברי </w:t>
      </w:r>
      <w:r w:rsidRPr="00F97BE1">
        <w:rPr>
          <w:rStyle w:val="af9"/>
          <w:rFonts w:hint="cs"/>
          <w:rtl/>
        </w:rPr>
        <w:t>הרמב"ן</w:t>
      </w:r>
      <w:r w:rsidRPr="00F97BE1">
        <w:rPr>
          <w:rFonts w:hint="cs"/>
          <w:rtl/>
        </w:rPr>
        <w:t xml:space="preserve"> הללו דחזקת ג"ש היא תקנת חכמים.</w:t>
      </w:r>
      <w:bookmarkEnd w:id="4109"/>
    </w:p>
    <w:p w:rsidR="00F163D7" w:rsidRDefault="00F163D7" w:rsidP="00F163D7">
      <w:pPr>
        <w:pStyle w:val="a3"/>
        <w:rPr>
          <w:rtl/>
        </w:rPr>
      </w:pPr>
      <w:bookmarkStart w:id="4110" w:name="_Toc55946570"/>
      <w:bookmarkStart w:id="4111" w:name="_Toc55991871"/>
      <w:bookmarkStart w:id="4112" w:name="_Toc56030420"/>
      <w:bookmarkStart w:id="4113" w:name="_Toc56032613"/>
      <w:r>
        <w:rPr>
          <w:rFonts w:hint="cs"/>
          <w:rtl/>
        </w:rPr>
        <w:t>דברי הרמב"ן דכשמוחה באופן שלא ישמע המחזיק יש רגל"ד דמכר ומתבייש למחות בו</w:t>
      </w:r>
      <w:bookmarkEnd w:id="4110"/>
      <w:bookmarkEnd w:id="4111"/>
      <w:bookmarkEnd w:id="4112"/>
      <w:bookmarkEnd w:id="4113"/>
    </w:p>
    <w:p w:rsidR="00F163D7" w:rsidRDefault="00F163D7" w:rsidP="007E4E81">
      <w:pPr>
        <w:pStyle w:val="a0"/>
        <w:rPr>
          <w:rtl/>
        </w:rPr>
      </w:pPr>
      <w:r>
        <w:rPr>
          <w:rFonts w:hint="cs"/>
          <w:rtl/>
        </w:rPr>
        <w:t xml:space="preserve">וכתב </w:t>
      </w:r>
      <w:r w:rsidRPr="00E53B4F">
        <w:rPr>
          <w:rStyle w:val="af9"/>
          <w:rFonts w:hint="cs"/>
          <w:rtl/>
        </w:rPr>
        <w:t>הרמב"ן לקמן</w:t>
      </w:r>
      <w:r>
        <w:rPr>
          <w:rFonts w:hint="cs"/>
          <w:rtl/>
        </w:rPr>
        <w:t xml:space="preserve"> דהא דאמרינן לקמן </w:t>
      </w:r>
      <w:r w:rsidRPr="00E53B4F">
        <w:rPr>
          <w:rStyle w:val="af7"/>
          <w:rFonts w:eastAsia="Guttman Hodes" w:hint="cs"/>
          <w:rtl/>
        </w:rPr>
        <w:t>(לח:)</w:t>
      </w:r>
      <w:r>
        <w:rPr>
          <w:rFonts w:hint="cs"/>
          <w:rtl/>
        </w:rPr>
        <w:t xml:space="preserve"> דמיחה בפני בנ"א שאינם יכולים לומר למחזיק, לא הוי מחאה, </w:t>
      </w:r>
      <w:r w:rsidRPr="00E53B4F">
        <w:rPr>
          <w:rStyle w:val="afb"/>
          <w:rFonts w:hint="cs"/>
          <w:rtl/>
        </w:rPr>
        <w:t xml:space="preserve">[לדעת שמואל, דלא קיי"ל </w:t>
      </w:r>
      <w:r w:rsidRPr="00E53B4F">
        <w:rPr>
          <w:rStyle w:val="afb"/>
          <w:rFonts w:hint="cs"/>
          <w:rtl/>
        </w:rPr>
        <w:t xml:space="preserve">כוותיה], </w:t>
      </w:r>
      <w:r>
        <w:rPr>
          <w:rFonts w:hint="cs"/>
          <w:rtl/>
        </w:rPr>
        <w:t xml:space="preserve">הוא כיון דכל שמחה באופן כזה עדיין יש רגלים לדבר שמכר לו, והוא מתבייש מהמחזיק למחות באופן שישמע המחזיק מהמחאה, וכתב </w:t>
      </w:r>
      <w:r w:rsidRPr="00E53B4F">
        <w:rPr>
          <w:rStyle w:val="af9"/>
          <w:rFonts w:hint="cs"/>
          <w:rtl/>
        </w:rPr>
        <w:t>הרמב"ן לקמן</w:t>
      </w:r>
      <w:r>
        <w:rPr>
          <w:rFonts w:hint="cs"/>
          <w:rtl/>
        </w:rPr>
        <w:t xml:space="preserve"> דכשנמצא המערער במקום חירום, דאף אם ימחה המחזיק לא ישמע ממחאה זו לעולם, א"כ עדיין צריך המחזיק להזהר בשטרו.</w:t>
      </w:r>
    </w:p>
    <w:p w:rsidR="00F163D7" w:rsidRPr="00D75579" w:rsidRDefault="00F163D7" w:rsidP="00F163D7">
      <w:pPr>
        <w:pStyle w:val="1"/>
        <w:rPr>
          <w:rtl/>
        </w:rPr>
      </w:pPr>
      <w:bookmarkStart w:id="4114" w:name="_Toc55946571"/>
      <w:bookmarkStart w:id="4115" w:name="_Toc55991872"/>
      <w:bookmarkStart w:id="4116" w:name="_Toc56030421"/>
      <w:bookmarkStart w:id="4117" w:name="_Toc56032614"/>
      <w:r>
        <w:rPr>
          <w:rFonts w:hint="cs"/>
          <w:rtl/>
        </w:rPr>
        <w:t>ביאורי הראשונים בהא דמהני חזקה לקטן אף שאינו נזהר בשטר</w:t>
      </w:r>
      <w:bookmarkEnd w:id="4114"/>
      <w:bookmarkEnd w:id="4115"/>
      <w:bookmarkEnd w:id="4116"/>
      <w:bookmarkEnd w:id="4117"/>
    </w:p>
    <w:p w:rsidR="00F163D7" w:rsidRPr="006B6BB8" w:rsidRDefault="00F163D7" w:rsidP="00F163D7">
      <w:pPr>
        <w:pStyle w:val="a3"/>
        <w:rPr>
          <w:rtl/>
        </w:rPr>
      </w:pPr>
      <w:bookmarkStart w:id="4118" w:name="_Toc55946572"/>
      <w:bookmarkStart w:id="4119" w:name="_Toc55991873"/>
      <w:bookmarkStart w:id="4120" w:name="_Toc56030422"/>
      <w:bookmarkStart w:id="4121" w:name="_Toc56032615"/>
      <w:r>
        <w:rPr>
          <w:rFonts w:hint="cs"/>
          <w:rtl/>
        </w:rPr>
        <w:t>דברי הרשב"א דמהני חזקה בקטן דלא היה מניחו בשדה דאף שאין לו שטר מ"מ הו"ל להקפיד</w:t>
      </w:r>
      <w:bookmarkEnd w:id="4118"/>
      <w:bookmarkEnd w:id="4119"/>
      <w:bookmarkEnd w:id="4120"/>
      <w:bookmarkEnd w:id="4121"/>
    </w:p>
    <w:p w:rsidR="00F163D7" w:rsidRDefault="00F163D7" w:rsidP="007E4E81">
      <w:pPr>
        <w:pStyle w:val="a0"/>
        <w:rPr>
          <w:rtl/>
        </w:rPr>
      </w:pPr>
      <w:bookmarkStart w:id="4122" w:name="_Ref53498629"/>
      <w:r>
        <w:rPr>
          <w:rFonts w:hint="cs"/>
          <w:rtl/>
        </w:rPr>
        <w:t xml:space="preserve">וכ"כ </w:t>
      </w:r>
      <w:r w:rsidRPr="00640004">
        <w:rPr>
          <w:rStyle w:val="af9"/>
          <w:rFonts w:hint="cs"/>
          <w:rtl/>
        </w:rPr>
        <w:t xml:space="preserve">הרשב"א </w:t>
      </w:r>
      <w:r w:rsidRPr="00D43AE7">
        <w:rPr>
          <w:rStyle w:val="af9"/>
          <w:rFonts w:hint="cs"/>
          <w:rtl/>
        </w:rPr>
        <w:t>לקמן</w:t>
      </w:r>
      <w:r>
        <w:rPr>
          <w:rFonts w:hint="cs"/>
          <w:rtl/>
        </w:rPr>
        <w:t xml:space="preserve"> </w:t>
      </w:r>
      <w:r w:rsidRPr="00DB3A04">
        <w:rPr>
          <w:rStyle w:val="af7"/>
          <w:rFonts w:eastAsia="Guttman Hodes" w:hint="cs"/>
          <w:rtl/>
        </w:rPr>
        <w:t>(מב. ד"ה הא)</w:t>
      </w:r>
      <w:r>
        <w:rPr>
          <w:rFonts w:hint="cs"/>
          <w:rtl/>
        </w:rPr>
        <w:t xml:space="preserve"> דאף חזקת קטן מהני, וביאר </w:t>
      </w:r>
      <w:r w:rsidRPr="00640004">
        <w:rPr>
          <w:rStyle w:val="af9"/>
          <w:rFonts w:hint="cs"/>
          <w:rtl/>
        </w:rPr>
        <w:t xml:space="preserve">הרשב"א </w:t>
      </w:r>
      <w:r>
        <w:rPr>
          <w:rFonts w:hint="cs"/>
          <w:rtl/>
        </w:rPr>
        <w:t xml:space="preserve">דכל שהיה המערער יכול למחות בו שלא יחזיק בשדהו, לא היה המערער מניח לו, כיון שהסברא דאחר ג"ש אינו נזהר בשטרו, מהני יחד עם הסברא דאדם מקפיד על אכילת ג"ש, </w:t>
      </w:r>
      <w:r w:rsidRPr="00640004">
        <w:rPr>
          <w:rStyle w:val="afb"/>
          <w:rFonts w:hint="cs"/>
          <w:rtl/>
        </w:rPr>
        <w:t>[</w:t>
      </w:r>
      <w:r>
        <w:rPr>
          <w:rStyle w:val="afb"/>
          <w:rFonts w:hint="cs"/>
          <w:rtl/>
        </w:rPr>
        <w:t>ועי' במה שביאר</w:t>
      </w:r>
      <w:r w:rsidRPr="00640004">
        <w:rPr>
          <w:rStyle w:val="afb"/>
          <w:rFonts w:hint="cs"/>
          <w:rtl/>
        </w:rPr>
        <w:t xml:space="preserve"> </w:t>
      </w:r>
      <w:r w:rsidRPr="00640004">
        <w:rPr>
          <w:rStyle w:val="affa"/>
          <w:rFonts w:hint="cs"/>
          <w:rtl/>
        </w:rPr>
        <w:t>הרשב"א</w:t>
      </w:r>
      <w:r w:rsidRPr="00640004">
        <w:rPr>
          <w:rStyle w:val="afb"/>
          <w:rFonts w:hint="cs"/>
          <w:rtl/>
        </w:rPr>
        <w:t xml:space="preserve"> </w:t>
      </w:r>
      <w:r w:rsidRPr="00640004">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Ref56007864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מה)</w:t>
      </w:r>
      <w:r>
        <w:rPr>
          <w:rStyle w:val="aff6"/>
          <w:rtl/>
        </w:rPr>
        <w:fldChar w:fldCharType="end"/>
      </w:r>
      <w:r w:rsidRPr="00640004">
        <w:rPr>
          <w:rStyle w:val="afb"/>
          <w:rFonts w:hint="cs"/>
          <w:rtl/>
        </w:rPr>
        <w:t>],</w:t>
      </w:r>
      <w:r>
        <w:rPr>
          <w:rFonts w:hint="cs"/>
          <w:rtl/>
        </w:rPr>
        <w:t xml:space="preserve"> וא"כ היה למערער למחות אף באכילת ג"ש של קטן,</w:t>
      </w:r>
      <w:r w:rsidRPr="00AB79A1">
        <w:rPr>
          <w:rFonts w:hint="cs"/>
          <w:rtl/>
        </w:rPr>
        <w:t xml:space="preserve"> </w:t>
      </w:r>
      <w:r>
        <w:rPr>
          <w:rFonts w:hint="cs"/>
          <w:rtl/>
        </w:rPr>
        <w:t>ועי' במה שביאר</w:t>
      </w:r>
      <w:r w:rsidRPr="004C6AE1">
        <w:rPr>
          <w:rStyle w:val="af9"/>
          <w:rFonts w:hint="cs"/>
          <w:rtl/>
        </w:rPr>
        <w:t xml:space="preserve"> בחי' רבי נחום </w:t>
      </w:r>
      <w:r w:rsidRPr="004C6AE1">
        <w:rPr>
          <w:rStyle w:val="af7"/>
          <w:rFonts w:eastAsia="Guttman Hodes" w:hint="cs"/>
          <w:rtl/>
        </w:rPr>
        <w:t xml:space="preserve">(עי' אות </w:t>
      </w:r>
      <w:r w:rsidRPr="004C6AE1">
        <w:rPr>
          <w:rStyle w:val="af7"/>
          <w:rFonts w:eastAsia="Guttman Hodes"/>
          <w:rtl/>
        </w:rPr>
        <w:fldChar w:fldCharType="begin"/>
      </w:r>
      <w:r w:rsidRPr="004C6AE1">
        <w:rPr>
          <w:rStyle w:val="af7"/>
          <w:rFonts w:eastAsia="Guttman Hodes"/>
          <w:rtl/>
        </w:rPr>
        <w:instrText xml:space="preserve"> </w:instrText>
      </w:r>
      <w:r w:rsidRPr="004C6AE1">
        <w:rPr>
          <w:rStyle w:val="af7"/>
          <w:rFonts w:eastAsia="Guttman Hodes" w:hint="cs"/>
        </w:rPr>
        <w:instrText>REF</w:instrText>
      </w:r>
      <w:r w:rsidRPr="004C6AE1">
        <w:rPr>
          <w:rStyle w:val="af7"/>
          <w:rFonts w:eastAsia="Guttman Hodes" w:hint="cs"/>
          <w:rtl/>
        </w:rPr>
        <w:instrText xml:space="preserve"> _</w:instrText>
      </w:r>
      <w:r w:rsidRPr="004C6AE1">
        <w:rPr>
          <w:rStyle w:val="af7"/>
          <w:rFonts w:eastAsia="Guttman Hodes" w:hint="cs"/>
        </w:rPr>
        <w:instrText>Ref55489993 \r \h</w:instrText>
      </w:r>
      <w:r w:rsidRPr="004C6AE1">
        <w:rPr>
          <w:rStyle w:val="af7"/>
          <w:rFonts w:eastAsia="Guttman Hodes"/>
          <w:rtl/>
        </w:rPr>
        <w:instrText xml:space="preserve"> </w:instrText>
      </w:r>
      <w:r w:rsidRPr="004C6AE1">
        <w:rPr>
          <w:rStyle w:val="af7"/>
          <w:rFonts w:eastAsia="Guttman Hodes"/>
          <w:rtl/>
        </w:rPr>
      </w:r>
      <w:r w:rsidRPr="004C6AE1">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4C6AE1">
        <w:rPr>
          <w:rStyle w:val="af7"/>
          <w:rFonts w:eastAsia="Guttman Hodes"/>
          <w:rtl/>
        </w:rPr>
        <w:fldChar w:fldCharType="end"/>
      </w:r>
      <w:r>
        <w:rPr>
          <w:rFonts w:hint="cs"/>
          <w:rtl/>
        </w:rPr>
        <w:t xml:space="preserve"> בדעת </w:t>
      </w:r>
      <w:r>
        <w:rPr>
          <w:rStyle w:val="af9"/>
          <w:rFonts w:hint="cs"/>
          <w:rtl/>
        </w:rPr>
        <w:t>הרשב"א</w:t>
      </w:r>
      <w:r>
        <w:rPr>
          <w:rFonts w:hint="cs"/>
          <w:rtl/>
        </w:rPr>
        <w:t xml:space="preserve">, אמנם </w:t>
      </w:r>
      <w:r w:rsidRPr="001C5299">
        <w:rPr>
          <w:rStyle w:val="af9"/>
          <w:rFonts w:hint="cs"/>
          <w:rtl/>
        </w:rPr>
        <w:t>הרשב"א בתשו'</w:t>
      </w:r>
      <w:r>
        <w:rPr>
          <w:rFonts w:hint="cs"/>
          <w:rtl/>
        </w:rPr>
        <w:t xml:space="preserve"> </w:t>
      </w:r>
      <w:r w:rsidRPr="001C5299">
        <w:rPr>
          <w:rStyle w:val="af7"/>
          <w:rFonts w:eastAsia="Guttman Hodes" w:hint="cs"/>
          <w:rtl/>
        </w:rPr>
        <w:t xml:space="preserve">(עי' אות </w:t>
      </w:r>
      <w:r w:rsidRPr="001C5299">
        <w:rPr>
          <w:rStyle w:val="af7"/>
          <w:rFonts w:eastAsia="Guttman Hodes"/>
          <w:rtl/>
        </w:rPr>
        <w:fldChar w:fldCharType="begin"/>
      </w:r>
      <w:r w:rsidRPr="001C5299">
        <w:rPr>
          <w:rStyle w:val="af7"/>
          <w:rFonts w:eastAsia="Guttman Hodes"/>
          <w:rtl/>
        </w:rPr>
        <w:instrText xml:space="preserve"> </w:instrText>
      </w:r>
      <w:r w:rsidRPr="001C5299">
        <w:rPr>
          <w:rStyle w:val="af7"/>
          <w:rFonts w:eastAsia="Guttman Hodes" w:hint="cs"/>
        </w:rPr>
        <w:instrText>REF</w:instrText>
      </w:r>
      <w:r w:rsidRPr="001C5299">
        <w:rPr>
          <w:rStyle w:val="af7"/>
          <w:rFonts w:eastAsia="Guttman Hodes" w:hint="cs"/>
          <w:rtl/>
        </w:rPr>
        <w:instrText xml:space="preserve"> _</w:instrText>
      </w:r>
      <w:r w:rsidRPr="001C5299">
        <w:rPr>
          <w:rStyle w:val="af7"/>
          <w:rFonts w:eastAsia="Guttman Hodes" w:hint="cs"/>
        </w:rPr>
        <w:instrText>Ref57052099 \r \h</w:instrText>
      </w:r>
      <w:r w:rsidRPr="001C5299">
        <w:rPr>
          <w:rStyle w:val="af7"/>
          <w:rFonts w:eastAsia="Guttman Hodes"/>
          <w:rtl/>
        </w:rPr>
        <w:instrText xml:space="preserve"> </w:instrText>
      </w:r>
      <w:r w:rsidRPr="001C5299">
        <w:rPr>
          <w:rStyle w:val="af7"/>
          <w:rFonts w:eastAsia="Guttman Hodes"/>
          <w:rtl/>
        </w:rPr>
      </w:r>
      <w:r w:rsidRPr="001C5299">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1C5299">
        <w:rPr>
          <w:rStyle w:val="af7"/>
          <w:rFonts w:eastAsia="Guttman Hodes"/>
          <w:rtl/>
        </w:rPr>
        <w:fldChar w:fldCharType="end"/>
      </w:r>
      <w:r>
        <w:rPr>
          <w:rFonts w:hint="cs"/>
          <w:rtl/>
        </w:rPr>
        <w:t xml:space="preserve"> כתב להדיא דלמסקנא טעם החזקה אינו מחמת הקפידא</w:t>
      </w:r>
      <w:r w:rsidRPr="001C5299">
        <w:rPr>
          <w:rFonts w:hint="cs"/>
          <w:rtl/>
        </w:rPr>
        <w:t xml:space="preserve"> </w:t>
      </w:r>
      <w:r>
        <w:rPr>
          <w:rFonts w:hint="cs"/>
          <w:rtl/>
        </w:rPr>
        <w:t>כלל.</w:t>
      </w:r>
      <w:bookmarkEnd w:id="4122"/>
    </w:p>
    <w:p w:rsidR="00F163D7" w:rsidRDefault="00F163D7" w:rsidP="00F163D7">
      <w:pPr>
        <w:pStyle w:val="a3"/>
        <w:rPr>
          <w:rtl/>
        </w:rPr>
      </w:pPr>
      <w:bookmarkStart w:id="4123" w:name="_Toc55946573"/>
      <w:bookmarkStart w:id="4124" w:name="_Toc55991874"/>
      <w:bookmarkStart w:id="4125" w:name="_Toc56030423"/>
      <w:bookmarkStart w:id="4126" w:name="_Toc56032616"/>
      <w:r>
        <w:rPr>
          <w:rFonts w:hint="cs"/>
          <w:rtl/>
        </w:rPr>
        <w:t>ביאור הריטב"א דמהני חזקה לקטן אף שיש ראיה מיד דלא פלוג רבנן בחזקת ג"ש</w:t>
      </w:r>
      <w:bookmarkEnd w:id="4123"/>
      <w:bookmarkEnd w:id="4124"/>
      <w:bookmarkEnd w:id="4125"/>
      <w:bookmarkEnd w:id="4126"/>
    </w:p>
    <w:p w:rsidR="00F163D7" w:rsidRDefault="00F163D7" w:rsidP="007E4E81">
      <w:pPr>
        <w:pStyle w:val="a0"/>
        <w:rPr>
          <w:rtl/>
        </w:rPr>
      </w:pPr>
      <w:bookmarkStart w:id="4127" w:name="_Ref55763476"/>
      <w:r>
        <w:rPr>
          <w:rFonts w:hint="cs"/>
          <w:rtl/>
        </w:rPr>
        <w:t xml:space="preserve">וכ"כ </w:t>
      </w:r>
      <w:r w:rsidRPr="003F6BC0">
        <w:rPr>
          <w:rStyle w:val="af9"/>
          <w:rFonts w:hint="cs"/>
          <w:rtl/>
        </w:rPr>
        <w:t>הריטב"א לקמן</w:t>
      </w:r>
      <w:r>
        <w:rPr>
          <w:rFonts w:hint="cs"/>
          <w:rtl/>
        </w:rPr>
        <w:t xml:space="preserve"> </w:t>
      </w:r>
      <w:r w:rsidRPr="003F6BC0">
        <w:rPr>
          <w:rStyle w:val="af7"/>
          <w:rFonts w:eastAsia="Guttman Hodes" w:hint="cs"/>
          <w:rtl/>
        </w:rPr>
        <w:t>(מב. ד"ה ת"ר)</w:t>
      </w:r>
      <w:r>
        <w:rPr>
          <w:rFonts w:hint="cs"/>
          <w:rtl/>
        </w:rPr>
        <w:t xml:space="preserve"> דאף חזקת קטן מהני, וביאר </w:t>
      </w:r>
      <w:r w:rsidRPr="00A902BD">
        <w:rPr>
          <w:rStyle w:val="af9"/>
          <w:rFonts w:hint="cs"/>
          <w:rtl/>
        </w:rPr>
        <w:t>הריטב"א</w:t>
      </w:r>
      <w:r>
        <w:rPr>
          <w:rFonts w:hint="cs"/>
          <w:rtl/>
        </w:rPr>
        <w:t xml:space="preserve"> דמעיקר הדין חזקת קטן מהני לאלתר, כיון דכ"מ שאמרו חכמים דהחזקה מהני רק לאחר ג"ש, הוא כיון שעד ג"ש הוא נזהר בשטרו, </w:t>
      </w:r>
      <w:r w:rsidRPr="003F6BC0">
        <w:rPr>
          <w:rStyle w:val="afb"/>
          <w:rFonts w:hint="cs"/>
          <w:rtl/>
        </w:rPr>
        <w:t>[ואמרינן ליה אחוי שטרך</w:t>
      </w:r>
      <w:r>
        <w:rPr>
          <w:rStyle w:val="afb"/>
          <w:rFonts w:hint="cs"/>
          <w:rtl/>
        </w:rPr>
        <w:t>]</w:t>
      </w:r>
      <w:r w:rsidRPr="003F6BC0">
        <w:rPr>
          <w:rStyle w:val="afb"/>
          <w:rFonts w:hint="cs"/>
          <w:rtl/>
        </w:rPr>
        <w:t xml:space="preserve">, </w:t>
      </w:r>
      <w:r>
        <w:rPr>
          <w:rFonts w:hint="cs"/>
          <w:rtl/>
        </w:rPr>
        <w:t xml:space="preserve">וכיון דקטן אינו יודע להזהר בשטרו, ממילא מהני חזקתו מיד, </w:t>
      </w:r>
      <w:r>
        <w:rPr>
          <w:rStyle w:val="afb"/>
          <w:rFonts w:hint="cs"/>
          <w:rtl/>
        </w:rPr>
        <w:t>[ו</w:t>
      </w:r>
      <w:r w:rsidRPr="003F6BC0">
        <w:rPr>
          <w:rStyle w:val="afb"/>
          <w:rFonts w:hint="cs"/>
          <w:rtl/>
        </w:rPr>
        <w:t>כדביאר</w:t>
      </w:r>
      <w:r>
        <w:rPr>
          <w:rStyle w:val="afb"/>
          <w:rFonts w:hint="cs"/>
          <w:rtl/>
        </w:rPr>
        <w:t xml:space="preserve"> </w:t>
      </w:r>
      <w:r w:rsidRPr="003F6BC0">
        <w:rPr>
          <w:rStyle w:val="affa"/>
          <w:rFonts w:hint="cs"/>
          <w:rtl/>
        </w:rPr>
        <w:t>הריטב"א</w:t>
      </w:r>
      <w:r w:rsidRPr="003F6BC0">
        <w:rPr>
          <w:rStyle w:val="afb"/>
          <w:rFonts w:hint="cs"/>
          <w:rtl/>
        </w:rPr>
        <w:t xml:space="preserve"> </w:t>
      </w:r>
      <w:r w:rsidRPr="006C4EDC">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Ref55936320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ד)</w:t>
      </w:r>
      <w:r>
        <w:rPr>
          <w:rStyle w:val="aff6"/>
          <w:rtl/>
        </w:rPr>
        <w:fldChar w:fldCharType="end"/>
      </w:r>
      <w:r>
        <w:rPr>
          <w:rStyle w:val="aff6"/>
          <w:rFonts w:hint="cs"/>
          <w:rtl/>
        </w:rPr>
        <w:t xml:space="preserve"> </w:t>
      </w:r>
      <w:r>
        <w:rPr>
          <w:rStyle w:val="afb"/>
          <w:rFonts w:hint="cs"/>
          <w:rtl/>
        </w:rPr>
        <w:t>דמהא דלא מחה יש ראיה מיד, וצריך ג"ש רק מחמת טענת אחוי שטרך],</w:t>
      </w:r>
      <w:r>
        <w:rPr>
          <w:rFonts w:hint="cs"/>
          <w:rtl/>
        </w:rPr>
        <w:t xml:space="preserve"> אלא דלא פלוג רבנן, ולכן מהני חזקתו רק לאחר ג"ש, וודאי דקטן לא גרע מגדול דחזקתו מהני, והיה למערער למחות בו, וכל שלא מחה בו המערער יש לו חזקה, </w:t>
      </w:r>
      <w:r w:rsidRPr="00D14786">
        <w:rPr>
          <w:rStyle w:val="afb"/>
          <w:rFonts w:hint="cs"/>
          <w:rtl/>
        </w:rPr>
        <w:t xml:space="preserve">[ועי' במ"ש </w:t>
      </w:r>
      <w:r w:rsidRPr="00D14786">
        <w:rPr>
          <w:rStyle w:val="affa"/>
          <w:rFonts w:hint="cs"/>
          <w:rtl/>
        </w:rPr>
        <w:t>הנתיה"מ</w:t>
      </w:r>
      <w:r w:rsidRPr="00D14786">
        <w:rPr>
          <w:rStyle w:val="afb"/>
          <w:rFonts w:hint="cs"/>
          <w:rtl/>
        </w:rPr>
        <w:t xml:space="preserve"> </w:t>
      </w:r>
      <w:r w:rsidRPr="00D14786">
        <w:rPr>
          <w:rStyle w:val="aff6"/>
          <w:rFonts w:hint="cs"/>
          <w:rtl/>
        </w:rPr>
        <w:t xml:space="preserve">(עי' אות </w:t>
      </w:r>
      <w:r w:rsidRPr="00D14786">
        <w:rPr>
          <w:rStyle w:val="aff6"/>
          <w:rtl/>
        </w:rPr>
        <w:fldChar w:fldCharType="begin"/>
      </w:r>
      <w:r w:rsidRPr="00D14786">
        <w:rPr>
          <w:rStyle w:val="aff6"/>
          <w:rtl/>
        </w:rPr>
        <w:instrText xml:space="preserve"> </w:instrText>
      </w:r>
      <w:r w:rsidRPr="00D14786">
        <w:rPr>
          <w:rStyle w:val="aff6"/>
          <w:rFonts w:hint="cs"/>
        </w:rPr>
        <w:instrText>REF</w:instrText>
      </w:r>
      <w:r w:rsidRPr="00D14786">
        <w:rPr>
          <w:rStyle w:val="aff6"/>
          <w:rFonts w:hint="cs"/>
          <w:rtl/>
        </w:rPr>
        <w:instrText xml:space="preserve"> _</w:instrText>
      </w:r>
      <w:r w:rsidRPr="00D14786">
        <w:rPr>
          <w:rStyle w:val="aff6"/>
          <w:rFonts w:hint="cs"/>
        </w:rPr>
        <w:instrText>Ref55728248 \r \h</w:instrText>
      </w:r>
      <w:r w:rsidRPr="00D14786">
        <w:rPr>
          <w:rStyle w:val="aff6"/>
          <w:rtl/>
        </w:rPr>
        <w:instrText xml:space="preserve"> </w:instrText>
      </w:r>
      <w:r w:rsidRPr="00D14786">
        <w:rPr>
          <w:rStyle w:val="aff6"/>
          <w:rtl/>
        </w:rPr>
      </w:r>
      <w:r w:rsidRPr="00D14786">
        <w:rPr>
          <w:rStyle w:val="aff6"/>
          <w:rtl/>
        </w:rPr>
        <w:fldChar w:fldCharType="separate"/>
      </w:r>
      <w:r w:rsidR="00265073">
        <w:rPr>
          <w:rStyle w:val="aff6"/>
          <w:cs/>
        </w:rPr>
        <w:t>‎</w:t>
      </w:r>
      <w:r w:rsidR="00265073">
        <w:rPr>
          <w:rStyle w:val="aff6"/>
          <w:rtl/>
        </w:rPr>
        <w:t>כא)</w:t>
      </w:r>
      <w:r w:rsidRPr="00D14786">
        <w:rPr>
          <w:rStyle w:val="aff6"/>
          <w:rtl/>
        </w:rPr>
        <w:fldChar w:fldCharType="end"/>
      </w:r>
      <w:r w:rsidRPr="00D14786">
        <w:rPr>
          <w:rStyle w:val="afb"/>
          <w:rFonts w:hint="cs"/>
          <w:rtl/>
        </w:rPr>
        <w:t xml:space="preserve"> דכן דעת </w:t>
      </w:r>
      <w:r w:rsidRPr="00D14786">
        <w:rPr>
          <w:rStyle w:val="affa"/>
          <w:rFonts w:hint="cs"/>
          <w:rtl/>
        </w:rPr>
        <w:t>הרמב"ן</w:t>
      </w:r>
      <w:r w:rsidRPr="00D14786">
        <w:rPr>
          <w:rStyle w:val="afb"/>
          <w:rFonts w:hint="cs"/>
          <w:rtl/>
        </w:rPr>
        <w:t>]</w:t>
      </w:r>
      <w:r>
        <w:rPr>
          <w:rStyle w:val="afb"/>
          <w:rFonts w:hint="cs"/>
          <w:rtl/>
        </w:rPr>
        <w:t>,</w:t>
      </w:r>
      <w:r>
        <w:rPr>
          <w:rFonts w:hint="cs"/>
          <w:rtl/>
        </w:rPr>
        <w:t xml:space="preserve"> וע"ע במ"ש </w:t>
      </w:r>
      <w:r w:rsidRPr="00161585">
        <w:rPr>
          <w:rStyle w:val="af9"/>
          <w:rFonts w:hint="cs"/>
          <w:rtl/>
        </w:rPr>
        <w:t>הריטב"א בסוגיין</w:t>
      </w:r>
      <w:r>
        <w:rPr>
          <w:rFonts w:hint="cs"/>
          <w:rtl/>
        </w:rPr>
        <w:t xml:space="preserve"> </w:t>
      </w:r>
      <w:r w:rsidRPr="00161585">
        <w:rPr>
          <w:rStyle w:val="af7"/>
          <w:rFonts w:eastAsia="Guttman Hodes" w:hint="cs"/>
          <w:rtl/>
        </w:rPr>
        <w:t xml:space="preserve">(עי' אות </w:t>
      </w:r>
      <w:r w:rsidRPr="00161585">
        <w:rPr>
          <w:rStyle w:val="af7"/>
          <w:rFonts w:eastAsia="Guttman Hodes"/>
          <w:rtl/>
        </w:rPr>
        <w:fldChar w:fldCharType="begin"/>
      </w:r>
      <w:r w:rsidRPr="00161585">
        <w:rPr>
          <w:rStyle w:val="af7"/>
          <w:rFonts w:eastAsia="Guttman Hodes"/>
          <w:rtl/>
        </w:rPr>
        <w:instrText xml:space="preserve"> </w:instrText>
      </w:r>
      <w:r w:rsidRPr="00161585">
        <w:rPr>
          <w:rStyle w:val="af7"/>
          <w:rFonts w:eastAsia="Guttman Hodes" w:hint="cs"/>
        </w:rPr>
        <w:instrText>REF</w:instrText>
      </w:r>
      <w:r w:rsidRPr="00161585">
        <w:rPr>
          <w:rStyle w:val="af7"/>
          <w:rFonts w:eastAsia="Guttman Hodes" w:hint="cs"/>
          <w:rtl/>
        </w:rPr>
        <w:instrText xml:space="preserve"> _</w:instrText>
      </w:r>
      <w:r w:rsidRPr="00161585">
        <w:rPr>
          <w:rStyle w:val="af7"/>
          <w:rFonts w:eastAsia="Guttman Hodes" w:hint="cs"/>
        </w:rPr>
        <w:instrText>Ref57200434 \r \h</w:instrText>
      </w:r>
      <w:r w:rsidRPr="00161585">
        <w:rPr>
          <w:rStyle w:val="af7"/>
          <w:rFonts w:eastAsia="Guttman Hodes"/>
          <w:rtl/>
        </w:rPr>
        <w:instrText xml:space="preserve"> </w:instrText>
      </w:r>
      <w:r w:rsidRPr="00161585">
        <w:rPr>
          <w:rStyle w:val="af7"/>
          <w:rFonts w:eastAsia="Guttman Hodes"/>
          <w:rtl/>
        </w:rPr>
      </w:r>
      <w:r w:rsidRPr="00161585">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161585">
        <w:rPr>
          <w:rStyle w:val="af7"/>
          <w:rFonts w:eastAsia="Guttman Hodes"/>
          <w:rtl/>
        </w:rPr>
        <w:fldChar w:fldCharType="end"/>
      </w:r>
      <w:r>
        <w:rPr>
          <w:rFonts w:hint="cs"/>
          <w:rtl/>
        </w:rPr>
        <w:t xml:space="preserve"> </w:t>
      </w:r>
      <w:r w:rsidRPr="00161585">
        <w:rPr>
          <w:rStyle w:val="af9"/>
          <w:rFonts w:hint="cs"/>
          <w:rtl/>
        </w:rPr>
        <w:t>ובריטב"א לקמן</w:t>
      </w:r>
      <w:r>
        <w:rPr>
          <w:rFonts w:hint="cs"/>
          <w:rtl/>
        </w:rPr>
        <w:t xml:space="preserve"> </w:t>
      </w:r>
      <w:r w:rsidRPr="00161585">
        <w:rPr>
          <w:rStyle w:val="af7"/>
          <w:rFonts w:eastAsia="Guttman Hodes" w:hint="cs"/>
          <w:rtl/>
        </w:rPr>
        <w:t xml:space="preserve">(עי' אות </w:t>
      </w:r>
      <w:r w:rsidRPr="00161585">
        <w:rPr>
          <w:rStyle w:val="af7"/>
          <w:rFonts w:eastAsia="Guttman Hodes"/>
          <w:rtl/>
        </w:rPr>
        <w:fldChar w:fldCharType="begin"/>
      </w:r>
      <w:r w:rsidRPr="00161585">
        <w:rPr>
          <w:rStyle w:val="af7"/>
          <w:rFonts w:eastAsia="Guttman Hodes"/>
          <w:rtl/>
        </w:rPr>
        <w:instrText xml:space="preserve"> </w:instrText>
      </w:r>
      <w:r w:rsidRPr="00161585">
        <w:rPr>
          <w:rStyle w:val="af7"/>
          <w:rFonts w:eastAsia="Guttman Hodes" w:hint="cs"/>
        </w:rPr>
        <w:instrText>REF</w:instrText>
      </w:r>
      <w:r w:rsidRPr="00161585">
        <w:rPr>
          <w:rStyle w:val="af7"/>
          <w:rFonts w:eastAsia="Guttman Hodes" w:hint="cs"/>
          <w:rtl/>
        </w:rPr>
        <w:instrText xml:space="preserve"> _</w:instrText>
      </w:r>
      <w:r w:rsidRPr="00161585">
        <w:rPr>
          <w:rStyle w:val="af7"/>
          <w:rFonts w:eastAsia="Guttman Hodes" w:hint="cs"/>
        </w:rPr>
        <w:instrText>Ref57200443 \r \h</w:instrText>
      </w:r>
      <w:r w:rsidRPr="00161585">
        <w:rPr>
          <w:rStyle w:val="af7"/>
          <w:rFonts w:eastAsia="Guttman Hodes"/>
          <w:rtl/>
        </w:rPr>
        <w:instrText xml:space="preserve"> </w:instrText>
      </w:r>
      <w:r w:rsidRPr="00161585">
        <w:rPr>
          <w:rStyle w:val="af7"/>
          <w:rFonts w:eastAsia="Guttman Hodes"/>
          <w:rtl/>
        </w:rPr>
      </w:r>
      <w:r w:rsidRPr="00161585">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161585">
        <w:rPr>
          <w:rStyle w:val="af7"/>
          <w:rFonts w:eastAsia="Guttman Hodes"/>
          <w:rtl/>
        </w:rPr>
        <w:fldChar w:fldCharType="end"/>
      </w:r>
      <w:r>
        <w:rPr>
          <w:rFonts w:hint="cs"/>
          <w:rtl/>
        </w:rPr>
        <w:t xml:space="preserve">. </w:t>
      </w:r>
      <w:bookmarkEnd w:id="4127"/>
    </w:p>
    <w:p w:rsidR="00F163D7" w:rsidRDefault="00F163D7" w:rsidP="00F163D7">
      <w:pPr>
        <w:pStyle w:val="a3"/>
        <w:rPr>
          <w:rtl/>
        </w:rPr>
      </w:pPr>
      <w:bookmarkStart w:id="4128" w:name="_Toc55946574"/>
      <w:bookmarkStart w:id="4129" w:name="_Toc55991875"/>
      <w:bookmarkStart w:id="4130" w:name="_Toc56030424"/>
      <w:bookmarkStart w:id="4131" w:name="_Toc56032617"/>
      <w:r>
        <w:rPr>
          <w:rFonts w:hint="cs"/>
          <w:rtl/>
        </w:rPr>
        <w:t>ביאור הר"ן דמהני חזקה לקטן דהיה לו למחות ולא דמי לחירום שאכל שלא בידיעת המר"ק</w:t>
      </w:r>
      <w:bookmarkEnd w:id="4128"/>
      <w:bookmarkEnd w:id="4129"/>
      <w:bookmarkEnd w:id="4130"/>
      <w:bookmarkEnd w:id="4131"/>
    </w:p>
    <w:p w:rsidR="00F163D7" w:rsidRDefault="00F163D7" w:rsidP="007E4E81">
      <w:pPr>
        <w:pStyle w:val="a0"/>
        <w:rPr>
          <w:rtl/>
        </w:rPr>
      </w:pPr>
      <w:r>
        <w:rPr>
          <w:rFonts w:hint="cs"/>
          <w:rtl/>
        </w:rPr>
        <w:t xml:space="preserve">וכ"כ </w:t>
      </w:r>
      <w:r w:rsidRPr="003F6BC0">
        <w:rPr>
          <w:rStyle w:val="af9"/>
          <w:rFonts w:hint="cs"/>
          <w:rtl/>
        </w:rPr>
        <w:t xml:space="preserve">הר"ן </w:t>
      </w:r>
      <w:r w:rsidRPr="00D43AE7">
        <w:rPr>
          <w:rStyle w:val="af9"/>
          <w:rFonts w:hint="cs"/>
          <w:rtl/>
        </w:rPr>
        <w:t>לקמן</w:t>
      </w:r>
      <w:r>
        <w:rPr>
          <w:rFonts w:hint="cs"/>
          <w:rtl/>
        </w:rPr>
        <w:t xml:space="preserve"> </w:t>
      </w:r>
      <w:r w:rsidRPr="00DB3A04">
        <w:rPr>
          <w:rStyle w:val="af7"/>
          <w:rFonts w:eastAsia="Guttman Hodes" w:hint="cs"/>
          <w:rtl/>
        </w:rPr>
        <w:t>(מב. ד"ה אכלה)</w:t>
      </w:r>
      <w:r>
        <w:rPr>
          <w:rFonts w:hint="cs"/>
          <w:rtl/>
        </w:rPr>
        <w:t xml:space="preserve"> דאף חזקת קטן מהני, וביאר </w:t>
      </w:r>
      <w:r w:rsidRPr="003F6BC0">
        <w:rPr>
          <w:rStyle w:val="af9"/>
          <w:rFonts w:hint="cs"/>
          <w:rtl/>
        </w:rPr>
        <w:t xml:space="preserve">הר"ן </w:t>
      </w:r>
      <w:r>
        <w:rPr>
          <w:rFonts w:hint="cs"/>
          <w:rtl/>
        </w:rPr>
        <w:t xml:space="preserve">דאף שהמחזיק הוא קטן, מ"מ אם הוא לא קנה מהמערער היה לו למחות, והא דבהיה המערער במקום חירום לא מהני החזקה, </w:t>
      </w:r>
      <w:r w:rsidRPr="003F6BC0">
        <w:rPr>
          <w:rStyle w:val="afb"/>
          <w:rFonts w:hint="cs"/>
          <w:rtl/>
        </w:rPr>
        <w:t xml:space="preserve">[כדביאר </w:t>
      </w:r>
      <w:r w:rsidRPr="003F6BC0">
        <w:rPr>
          <w:rStyle w:val="affa"/>
          <w:rFonts w:hint="cs"/>
          <w:rtl/>
        </w:rPr>
        <w:t>הר"ן</w:t>
      </w:r>
      <w:r w:rsidRPr="003F6BC0">
        <w:rPr>
          <w:rStyle w:val="afb"/>
          <w:rFonts w:hint="cs"/>
          <w:rtl/>
        </w:rPr>
        <w:t xml:space="preserve"> </w:t>
      </w:r>
      <w:r w:rsidRPr="00D75579">
        <w:rPr>
          <w:rStyle w:val="aff6"/>
          <w:rFonts w:hint="cs"/>
          <w:rtl/>
        </w:rPr>
        <w:t xml:space="preserve">(עי' אות </w:t>
      </w:r>
      <w:r w:rsidRPr="00D75579">
        <w:rPr>
          <w:rStyle w:val="aff6"/>
          <w:rtl/>
        </w:rPr>
        <w:fldChar w:fldCharType="begin"/>
      </w:r>
      <w:r w:rsidRPr="00D75579">
        <w:rPr>
          <w:rStyle w:val="aff6"/>
          <w:rtl/>
        </w:rPr>
        <w:instrText xml:space="preserve"> </w:instrText>
      </w:r>
      <w:r w:rsidRPr="00D75579">
        <w:rPr>
          <w:rStyle w:val="aff6"/>
          <w:rFonts w:hint="cs"/>
        </w:rPr>
        <w:instrText>REF</w:instrText>
      </w:r>
      <w:r w:rsidRPr="00D75579">
        <w:rPr>
          <w:rStyle w:val="aff6"/>
          <w:rFonts w:hint="cs"/>
          <w:rtl/>
        </w:rPr>
        <w:instrText xml:space="preserve"> _</w:instrText>
      </w:r>
      <w:r w:rsidRPr="00D75579">
        <w:rPr>
          <w:rStyle w:val="aff6"/>
          <w:rFonts w:hint="cs"/>
        </w:rPr>
        <w:instrText>Ref55939402 \r \h</w:instrText>
      </w:r>
      <w:r w:rsidRPr="00D75579">
        <w:rPr>
          <w:rStyle w:val="aff6"/>
          <w:rtl/>
        </w:rPr>
        <w:instrText xml:space="preserve"> </w:instrText>
      </w:r>
      <w:r w:rsidRPr="00D75579">
        <w:rPr>
          <w:rStyle w:val="aff6"/>
          <w:rtl/>
        </w:rPr>
      </w:r>
      <w:r w:rsidRPr="00D75579">
        <w:rPr>
          <w:rStyle w:val="aff6"/>
          <w:rtl/>
        </w:rPr>
        <w:fldChar w:fldCharType="separate"/>
      </w:r>
      <w:r w:rsidR="00265073">
        <w:rPr>
          <w:rStyle w:val="aff6"/>
          <w:cs/>
        </w:rPr>
        <w:t>‎</w:t>
      </w:r>
      <w:r w:rsidR="00265073">
        <w:rPr>
          <w:rStyle w:val="aff6"/>
          <w:rtl/>
        </w:rPr>
        <w:t>יט)</w:t>
      </w:r>
      <w:r w:rsidRPr="00D75579">
        <w:rPr>
          <w:rStyle w:val="aff6"/>
          <w:rtl/>
        </w:rPr>
        <w:fldChar w:fldCharType="end"/>
      </w:r>
      <w:r w:rsidRPr="003F6BC0">
        <w:rPr>
          <w:rStyle w:val="afb"/>
          <w:rFonts w:hint="cs"/>
          <w:rtl/>
        </w:rPr>
        <w:t xml:space="preserve"> בדעת </w:t>
      </w:r>
      <w:r w:rsidRPr="003F6BC0">
        <w:rPr>
          <w:rStyle w:val="affa"/>
          <w:rFonts w:hint="cs"/>
          <w:rtl/>
        </w:rPr>
        <w:t>הי"מ</w:t>
      </w:r>
      <w:r w:rsidRPr="003F6BC0">
        <w:rPr>
          <w:rStyle w:val="afb"/>
          <w:rFonts w:hint="cs"/>
          <w:rtl/>
        </w:rPr>
        <w:t>],</w:t>
      </w:r>
      <w:r>
        <w:rPr>
          <w:rFonts w:hint="cs"/>
          <w:rtl/>
        </w:rPr>
        <w:t xml:space="preserve"> הוא כיון דהיה לו להזהר בשטרו אף לאחר ג"ש, דהא הוא אכל את הקרקע ללא ידיעת הבעלים, אבל בקטן ודאי דמהני חזקתו, דאם אין הקרקע שלו היה למערער למחות, או ללכת לב"ד שיוציאו את הקטן מהקרקע.</w:t>
      </w:r>
    </w:p>
    <w:p w:rsidR="00F163D7" w:rsidRDefault="00F163D7" w:rsidP="00F163D7">
      <w:pPr>
        <w:pStyle w:val="afe"/>
        <w:rPr>
          <w:rtl/>
        </w:rPr>
      </w:pPr>
      <w:bookmarkStart w:id="4132" w:name="_Toc53934420"/>
      <w:bookmarkStart w:id="4133" w:name="_Toc54076381"/>
      <w:bookmarkStart w:id="4134" w:name="_Toc55419886"/>
      <w:bookmarkStart w:id="4135" w:name="_Toc55419942"/>
      <w:bookmarkStart w:id="4136" w:name="_Toc55421150"/>
      <w:bookmarkStart w:id="4137" w:name="_Toc55508526"/>
      <w:bookmarkStart w:id="4138" w:name="_Toc55569169"/>
      <w:bookmarkStart w:id="4139" w:name="_Toc55718275"/>
      <w:bookmarkStart w:id="4140" w:name="_Toc55739895"/>
      <w:bookmarkStart w:id="4141" w:name="_Toc55839456"/>
      <w:bookmarkStart w:id="4142" w:name="_Toc55927855"/>
      <w:bookmarkStart w:id="4143" w:name="_Toc55946575"/>
      <w:bookmarkStart w:id="4144" w:name="_Toc55991876"/>
      <w:bookmarkStart w:id="4145" w:name="_Toc56030425"/>
      <w:bookmarkStart w:id="4146" w:name="_Toc56032618"/>
      <w:r>
        <w:rPr>
          <w:rFonts w:hint="cs"/>
          <w:rtl/>
        </w:rPr>
        <w:t xml:space="preserve">ביאור הקצוה"ח </w:t>
      </w:r>
      <w:bookmarkEnd w:id="4132"/>
      <w:bookmarkEnd w:id="4133"/>
      <w:bookmarkEnd w:id="4134"/>
      <w:bookmarkEnd w:id="4135"/>
      <w:bookmarkEnd w:id="4136"/>
      <w:bookmarkEnd w:id="4137"/>
      <w:bookmarkEnd w:id="4138"/>
      <w:bookmarkEnd w:id="4139"/>
      <w:bookmarkEnd w:id="4140"/>
      <w:bookmarkEnd w:id="4141"/>
      <w:bookmarkEnd w:id="4142"/>
      <w:r>
        <w:rPr>
          <w:rFonts w:hint="cs"/>
          <w:rtl/>
        </w:rPr>
        <w:t>בטעם החזקה לרמב"ן</w:t>
      </w:r>
      <w:bookmarkEnd w:id="4143"/>
      <w:bookmarkEnd w:id="4144"/>
      <w:bookmarkEnd w:id="4145"/>
      <w:bookmarkEnd w:id="4146"/>
    </w:p>
    <w:p w:rsidR="00F163D7" w:rsidRPr="009F2A56" w:rsidRDefault="00F163D7" w:rsidP="00F163D7">
      <w:pPr>
        <w:pStyle w:val="1"/>
        <w:rPr>
          <w:rtl/>
        </w:rPr>
      </w:pPr>
      <w:bookmarkStart w:id="4147" w:name="_Toc55946576"/>
      <w:bookmarkStart w:id="4148" w:name="_Toc55991877"/>
      <w:bookmarkStart w:id="4149" w:name="_Toc56030426"/>
      <w:bookmarkStart w:id="4150" w:name="_Toc56032619"/>
      <w:r>
        <w:rPr>
          <w:rFonts w:hint="cs"/>
          <w:rtl/>
        </w:rPr>
        <w:t>ביאור הקצוה"ח ברמב"ן דהחזקה היא מרגל"ד דלא מחה בו</w:t>
      </w:r>
      <w:bookmarkEnd w:id="4147"/>
      <w:bookmarkEnd w:id="4148"/>
      <w:bookmarkEnd w:id="4149"/>
      <w:bookmarkEnd w:id="4150"/>
    </w:p>
    <w:p w:rsidR="00F163D7" w:rsidRPr="00537B86" w:rsidRDefault="00F163D7" w:rsidP="00F163D7">
      <w:pPr>
        <w:pStyle w:val="a3"/>
        <w:rPr>
          <w:rtl/>
        </w:rPr>
      </w:pPr>
      <w:bookmarkStart w:id="4151" w:name="_Toc55946577"/>
      <w:bookmarkStart w:id="4152" w:name="_Toc55991878"/>
      <w:bookmarkStart w:id="4153" w:name="_Toc56030427"/>
      <w:bookmarkStart w:id="4154" w:name="_Toc56032620"/>
      <w:r>
        <w:rPr>
          <w:rFonts w:hint="cs"/>
          <w:rtl/>
        </w:rPr>
        <w:t>ביאור הקצוה"ח והשע"מ ברמב"ן דלא סגי בטעם דאינו נזהר בשטרו בכדי להוציא מהמר"ק</w:t>
      </w:r>
      <w:bookmarkEnd w:id="4151"/>
      <w:bookmarkEnd w:id="4152"/>
      <w:bookmarkEnd w:id="4153"/>
      <w:bookmarkEnd w:id="4154"/>
    </w:p>
    <w:p w:rsidR="00F163D7" w:rsidRDefault="00F163D7" w:rsidP="007E4E81">
      <w:pPr>
        <w:pStyle w:val="a0"/>
        <w:rPr>
          <w:rtl/>
        </w:rPr>
      </w:pPr>
      <w:bookmarkStart w:id="4155" w:name="_Ref55812937"/>
      <w:bookmarkStart w:id="4156" w:name="_Ref53498137"/>
      <w:r>
        <w:rPr>
          <w:rFonts w:hint="cs"/>
          <w:rtl/>
        </w:rPr>
        <w:t>במ"ש</w:t>
      </w:r>
      <w:r w:rsidRPr="00154BD5">
        <w:rPr>
          <w:rFonts w:hint="cs"/>
          <w:rtl/>
        </w:rPr>
        <w:t xml:space="preserve"> </w:t>
      </w:r>
      <w:r w:rsidRPr="00154BD5">
        <w:rPr>
          <w:rStyle w:val="af9"/>
          <w:rFonts w:hint="cs"/>
          <w:rtl/>
        </w:rPr>
        <w:t>הרמב"ן 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דהטעם של חזקת ג"ש, אינו רק מחמת דאחר ג"ש אינו נזהר בשטרו, אלא דבשתיקת המערער</w:t>
      </w:r>
      <w:r w:rsidR="00A77F33">
        <w:rPr>
          <w:rFonts w:hint="cs"/>
          <w:rtl/>
        </w:rPr>
        <w:t xml:space="preserve"> </w:t>
      </w:r>
      <w:r>
        <w:rPr>
          <w:rFonts w:hint="cs"/>
          <w:rtl/>
        </w:rPr>
        <w:t>יש רגלים לדבר דמכר לו, ובתוך</w:t>
      </w:r>
      <w:r w:rsidRPr="002F34B1">
        <w:rPr>
          <w:rFonts w:hint="cs"/>
          <w:rtl/>
        </w:rPr>
        <w:t xml:space="preserve"> </w:t>
      </w:r>
      <w:r>
        <w:rPr>
          <w:rFonts w:hint="cs"/>
          <w:rtl/>
        </w:rPr>
        <w:t xml:space="preserve">ג"ש אעפ"י שיש רגלים לדבר, עדיין טוענים למחזיק אחוי שטרך, ואחר ג"ש אין ריעותא בטענת המחזיק, </w:t>
      </w:r>
      <w:r w:rsidRPr="00154BD5">
        <w:rPr>
          <w:rFonts w:hint="cs"/>
          <w:rtl/>
        </w:rPr>
        <w:t>ביאר</w:t>
      </w:r>
      <w:r>
        <w:rPr>
          <w:rFonts w:hint="cs"/>
          <w:rtl/>
        </w:rPr>
        <w:t>ו</w:t>
      </w:r>
      <w:r w:rsidRPr="00154BD5">
        <w:rPr>
          <w:rFonts w:hint="cs"/>
          <w:rtl/>
        </w:rPr>
        <w:t xml:space="preserve"> </w:t>
      </w:r>
      <w:r w:rsidRPr="00154BD5">
        <w:rPr>
          <w:rStyle w:val="af9"/>
          <w:rFonts w:hint="cs"/>
          <w:rtl/>
        </w:rPr>
        <w:t>הקצוה"ח</w:t>
      </w:r>
      <w:r w:rsidRPr="00154BD5">
        <w:rPr>
          <w:rFonts w:hint="cs"/>
          <w:rtl/>
        </w:rPr>
        <w:t xml:space="preserve"> </w:t>
      </w:r>
      <w:r w:rsidRPr="00154BD5">
        <w:rPr>
          <w:rStyle w:val="af7"/>
          <w:rFonts w:eastAsia="Guttman Hodes" w:hint="cs"/>
          <w:rtl/>
        </w:rPr>
        <w:t>(</w:t>
      </w:r>
      <w:r>
        <w:rPr>
          <w:rStyle w:val="af7"/>
          <w:rFonts w:eastAsia="Guttman Hodes" w:hint="cs"/>
          <w:rtl/>
        </w:rPr>
        <w:t>סי</w:t>
      </w:r>
      <w:r>
        <w:rPr>
          <w:rStyle w:val="af7"/>
          <w:rFonts w:eastAsia="Guttman Hodes"/>
          <w:rtl/>
        </w:rPr>
        <w:t>'</w:t>
      </w:r>
      <w:r>
        <w:rPr>
          <w:rStyle w:val="af7"/>
          <w:rFonts w:eastAsia="Guttman Hodes" w:hint="cs"/>
          <w:rtl/>
        </w:rPr>
        <w:t xml:space="preserve"> ק</w:t>
      </w:r>
      <w:r>
        <w:rPr>
          <w:rStyle w:val="af7"/>
          <w:rFonts w:eastAsia="Guttman Hodes"/>
          <w:rtl/>
        </w:rPr>
        <w:t>"</w:t>
      </w:r>
      <w:r>
        <w:rPr>
          <w:rStyle w:val="af7"/>
          <w:rFonts w:eastAsia="Guttman Hodes" w:hint="cs"/>
          <w:rtl/>
        </w:rPr>
        <w:t>מ סק</w:t>
      </w:r>
      <w:r>
        <w:rPr>
          <w:rStyle w:val="af7"/>
          <w:rFonts w:eastAsia="Guttman Hodes"/>
          <w:rtl/>
        </w:rPr>
        <w:t>"</w:t>
      </w:r>
      <w:r>
        <w:rPr>
          <w:rStyle w:val="af7"/>
          <w:rFonts w:eastAsia="Guttman Hodes" w:hint="cs"/>
          <w:rtl/>
        </w:rPr>
        <w:t>ב</w:t>
      </w:r>
      <w:r w:rsidRPr="00154BD5">
        <w:rPr>
          <w:rStyle w:val="af7"/>
          <w:rFonts w:eastAsia="Guttman Hodes" w:hint="cs"/>
          <w:rtl/>
        </w:rPr>
        <w:t>)</w:t>
      </w:r>
      <w:r w:rsidRPr="00154BD5">
        <w:rPr>
          <w:rFonts w:hint="cs"/>
          <w:rtl/>
        </w:rPr>
        <w:t xml:space="preserve"> </w:t>
      </w:r>
      <w:r>
        <w:rPr>
          <w:rStyle w:val="af9"/>
          <w:rFonts w:hint="cs"/>
          <w:rtl/>
        </w:rPr>
        <w:t>ו</w:t>
      </w:r>
      <w:r w:rsidRPr="00154BD5">
        <w:rPr>
          <w:rStyle w:val="af9"/>
          <w:rFonts w:hint="cs"/>
          <w:rtl/>
        </w:rPr>
        <w:t>השער משפט</w:t>
      </w:r>
      <w:r w:rsidRPr="002450F0">
        <w:rPr>
          <w:rFonts w:hint="cs"/>
          <w:rtl/>
        </w:rPr>
        <w:t xml:space="preserve"> </w:t>
      </w:r>
      <w:r w:rsidRPr="00154BD5">
        <w:rPr>
          <w:rStyle w:val="af7"/>
          <w:rFonts w:eastAsia="Guttman Hodes" w:hint="cs"/>
          <w:rtl/>
        </w:rPr>
        <w:t>(סי' ק"מ סק"ג)</w:t>
      </w:r>
      <w:r w:rsidRPr="002450F0">
        <w:rPr>
          <w:rFonts w:hint="cs"/>
          <w:rtl/>
        </w:rPr>
        <w:t xml:space="preserve"> </w:t>
      </w:r>
      <w:r>
        <w:rPr>
          <w:rFonts w:hint="cs"/>
          <w:rtl/>
        </w:rPr>
        <w:t xml:space="preserve">דס"ל </w:t>
      </w:r>
      <w:r>
        <w:rPr>
          <w:rStyle w:val="af9"/>
          <w:rFonts w:hint="cs"/>
          <w:rtl/>
        </w:rPr>
        <w:t>ל</w:t>
      </w:r>
      <w:r w:rsidRPr="00154BD5">
        <w:rPr>
          <w:rStyle w:val="af9"/>
          <w:rFonts w:hint="cs"/>
          <w:rtl/>
        </w:rPr>
        <w:t xml:space="preserve">הרמב"ן </w:t>
      </w:r>
      <w:r w:rsidRPr="00154BD5">
        <w:rPr>
          <w:rFonts w:hint="cs"/>
          <w:rtl/>
        </w:rPr>
        <w:t>דאעפ"י דמפורש בגמ' דהא דמהני חזקת ג"ש, הוא כיון דעד ג"ש נזהר בשטרו, עדיין אין למחזיק ראיה שהקרקע שלו, וצריך לבאר היאך אפשר להוציא מהמרא קמא בלא ראיה</w:t>
      </w:r>
      <w:r>
        <w:rPr>
          <w:rFonts w:hint="cs"/>
          <w:rtl/>
        </w:rPr>
        <w:t>.</w:t>
      </w:r>
      <w:bookmarkEnd w:id="4155"/>
    </w:p>
    <w:p w:rsidR="00F163D7" w:rsidRPr="004E79F1" w:rsidRDefault="00F163D7" w:rsidP="00F163D7">
      <w:pPr>
        <w:pStyle w:val="a3"/>
      </w:pPr>
      <w:bookmarkStart w:id="4157" w:name="_Toc55946578"/>
      <w:bookmarkStart w:id="4158" w:name="_Toc55991879"/>
      <w:bookmarkStart w:id="4159" w:name="_Toc56030428"/>
      <w:bookmarkStart w:id="4160" w:name="_Toc56032621"/>
      <w:r>
        <w:rPr>
          <w:rFonts w:hint="cs"/>
          <w:rtl/>
        </w:rPr>
        <w:lastRenderedPageBreak/>
        <w:t>ביאור הקצוה"ח והשע"מ ברמב"ן דהחזקה מרגל"ד דלא מחה ומהני כשאין ריעותא מחמת השטר</w:t>
      </w:r>
      <w:bookmarkEnd w:id="4157"/>
      <w:bookmarkEnd w:id="4158"/>
      <w:bookmarkEnd w:id="4159"/>
      <w:bookmarkEnd w:id="4160"/>
    </w:p>
    <w:p w:rsidR="00F163D7" w:rsidRDefault="00F163D7" w:rsidP="007E4E81">
      <w:pPr>
        <w:pStyle w:val="a0"/>
        <w:rPr>
          <w:rtl/>
        </w:rPr>
      </w:pPr>
      <w:bookmarkStart w:id="4161" w:name="_Ref55936634"/>
      <w:r>
        <w:rPr>
          <w:rFonts w:hint="cs"/>
          <w:rtl/>
        </w:rPr>
        <w:t xml:space="preserve">וכתבו </w:t>
      </w:r>
      <w:r w:rsidRPr="00154BD5">
        <w:rPr>
          <w:rStyle w:val="af9"/>
          <w:rFonts w:hint="cs"/>
          <w:rtl/>
        </w:rPr>
        <w:t>הקצוה"ח</w:t>
      </w:r>
      <w:r w:rsidRPr="009E409E">
        <w:rPr>
          <w:rStyle w:val="af9"/>
          <w:rFonts w:hint="cs"/>
          <w:rtl/>
        </w:rPr>
        <w:t xml:space="preserve"> </w:t>
      </w:r>
      <w:r>
        <w:rPr>
          <w:rStyle w:val="af9"/>
          <w:rFonts w:hint="cs"/>
          <w:rtl/>
        </w:rPr>
        <w:t>ו</w:t>
      </w:r>
      <w:r w:rsidRPr="00154BD5">
        <w:rPr>
          <w:rStyle w:val="af9"/>
          <w:rFonts w:hint="cs"/>
          <w:rtl/>
        </w:rPr>
        <w:t>השער משפט</w:t>
      </w:r>
      <w:r w:rsidRPr="00154BD5">
        <w:rPr>
          <w:rFonts w:hint="cs"/>
          <w:rtl/>
        </w:rPr>
        <w:t xml:space="preserve"> </w:t>
      </w:r>
      <w:r>
        <w:rPr>
          <w:rFonts w:hint="cs"/>
          <w:rtl/>
        </w:rPr>
        <w:t>ד</w:t>
      </w:r>
      <w:r w:rsidRPr="00154BD5">
        <w:rPr>
          <w:rFonts w:hint="cs"/>
          <w:rtl/>
        </w:rPr>
        <w:t>לכן ביאר</w:t>
      </w:r>
      <w:r>
        <w:rPr>
          <w:rFonts w:hint="cs"/>
          <w:rtl/>
        </w:rPr>
        <w:t xml:space="preserve"> </w:t>
      </w:r>
      <w:r w:rsidRPr="001549A4">
        <w:rPr>
          <w:rStyle w:val="af9"/>
          <w:rFonts w:hint="cs"/>
          <w:rtl/>
        </w:rPr>
        <w:t>הרמב"ן</w:t>
      </w:r>
      <w:r>
        <w:rPr>
          <w:rFonts w:hint="cs"/>
          <w:rtl/>
        </w:rPr>
        <w:t xml:space="preserve"> דעיקר הא דמהני החזקה, הוא כיון דכששתק המערער יש רגלים לדבר, ורק כיון דבתוך ג"ש יש ריעותא בחזקה, דאמרינן ליה אחוי שטרך ואחר ג"ש שאין ריעותא בחזקתו, אמרינן דכיון ששתק למחזיק, ודאי שמכר לו</w:t>
      </w:r>
      <w:r w:rsidRPr="002450F0">
        <w:rPr>
          <w:rFonts w:hint="cs"/>
          <w:rtl/>
        </w:rPr>
        <w:t>,</w:t>
      </w:r>
      <w:r>
        <w:rPr>
          <w:rFonts w:hint="cs"/>
          <w:rtl/>
        </w:rPr>
        <w:t xml:space="preserve"> וכתב </w:t>
      </w:r>
      <w:r w:rsidRPr="00F640CC">
        <w:rPr>
          <w:rStyle w:val="af9"/>
          <w:rFonts w:hint="cs"/>
          <w:rtl/>
        </w:rPr>
        <w:t>השער משפט</w:t>
      </w:r>
      <w:r>
        <w:rPr>
          <w:rFonts w:hint="cs"/>
          <w:rtl/>
        </w:rPr>
        <w:t xml:space="preserve"> דכן מבואר מדברי </w:t>
      </w:r>
      <w:r w:rsidRPr="00F009C7">
        <w:rPr>
          <w:rStyle w:val="af9"/>
          <w:rFonts w:hint="cs"/>
          <w:rtl/>
        </w:rPr>
        <w:t>הר"ן בתשו'</w:t>
      </w:r>
      <w:r>
        <w:rPr>
          <w:rFonts w:hint="cs"/>
          <w:rtl/>
        </w:rPr>
        <w:t xml:space="preserve"> </w:t>
      </w:r>
      <w:r w:rsidRPr="00F009C7">
        <w:rPr>
          <w:rStyle w:val="af7"/>
          <w:rFonts w:eastAsia="Guttman Hodes" w:hint="cs"/>
          <w:rtl/>
        </w:rPr>
        <w:t xml:space="preserve">(עי' אות </w:t>
      </w:r>
      <w:r w:rsidRPr="00F009C7">
        <w:rPr>
          <w:rStyle w:val="af7"/>
          <w:rFonts w:eastAsia="Guttman Hodes"/>
          <w:rtl/>
        </w:rPr>
        <w:fldChar w:fldCharType="begin"/>
      </w:r>
      <w:r w:rsidRPr="00F009C7">
        <w:rPr>
          <w:rStyle w:val="af7"/>
          <w:rFonts w:eastAsia="Guttman Hodes"/>
          <w:rtl/>
        </w:rPr>
        <w:instrText xml:space="preserve"> </w:instrText>
      </w:r>
      <w:r w:rsidRPr="00F009C7">
        <w:rPr>
          <w:rStyle w:val="af7"/>
          <w:rFonts w:eastAsia="Guttman Hodes" w:hint="cs"/>
        </w:rPr>
        <w:instrText>REF</w:instrText>
      </w:r>
      <w:r w:rsidRPr="00F009C7">
        <w:rPr>
          <w:rStyle w:val="af7"/>
          <w:rFonts w:eastAsia="Guttman Hodes" w:hint="cs"/>
          <w:rtl/>
        </w:rPr>
        <w:instrText xml:space="preserve"> _</w:instrText>
      </w:r>
      <w:r w:rsidRPr="00F009C7">
        <w:rPr>
          <w:rStyle w:val="af7"/>
          <w:rFonts w:eastAsia="Guttman Hodes" w:hint="cs"/>
        </w:rPr>
        <w:instrText>Ref55726886 \r \h</w:instrText>
      </w:r>
      <w:r w:rsidRPr="00F009C7">
        <w:rPr>
          <w:rStyle w:val="af7"/>
          <w:rFonts w:eastAsia="Guttman Hodes"/>
          <w:rtl/>
        </w:rPr>
        <w:instrText xml:space="preserve"> </w:instrText>
      </w:r>
      <w:r w:rsidRPr="00F009C7">
        <w:rPr>
          <w:rStyle w:val="af7"/>
          <w:rFonts w:eastAsia="Guttman Hodes"/>
          <w:rtl/>
        </w:rPr>
      </w:r>
      <w:r w:rsidRPr="00F009C7">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F009C7">
        <w:rPr>
          <w:rStyle w:val="af7"/>
          <w:rFonts w:eastAsia="Guttman Hodes"/>
          <w:rtl/>
        </w:rPr>
        <w:fldChar w:fldCharType="end"/>
      </w:r>
      <w:r>
        <w:rPr>
          <w:rFonts w:hint="cs"/>
          <w:rtl/>
        </w:rPr>
        <w:t xml:space="preserve"> והביא </w:t>
      </w:r>
      <w:r w:rsidRPr="00640004">
        <w:rPr>
          <w:rStyle w:val="af9"/>
          <w:rFonts w:hint="cs"/>
          <w:rtl/>
        </w:rPr>
        <w:t>הקצוה"ח</w:t>
      </w:r>
      <w:r>
        <w:rPr>
          <w:rFonts w:hint="cs"/>
          <w:rtl/>
        </w:rPr>
        <w:t xml:space="preserve"> דכן ביאר </w:t>
      </w:r>
      <w:r w:rsidRPr="00640004">
        <w:rPr>
          <w:rStyle w:val="af9"/>
          <w:rFonts w:hint="cs"/>
          <w:rtl/>
        </w:rPr>
        <w:t>התורת חיים</w:t>
      </w:r>
      <w:r>
        <w:rPr>
          <w:rFonts w:hint="cs"/>
          <w:rtl/>
        </w:rPr>
        <w:t xml:space="preserve"> </w:t>
      </w:r>
      <w:r w:rsidRPr="009F2A56">
        <w:rPr>
          <w:rStyle w:val="af7"/>
          <w:rFonts w:eastAsia="Guttman Hodes" w:hint="cs"/>
          <w:rtl/>
        </w:rPr>
        <w:t xml:space="preserve">(עי' אות </w:t>
      </w:r>
      <w:bookmarkEnd w:id="4156"/>
      <w:r w:rsidRPr="009F2A56">
        <w:rPr>
          <w:rStyle w:val="af7"/>
          <w:rFonts w:eastAsia="Guttman Hodes"/>
          <w:rtl/>
        </w:rPr>
        <w:fldChar w:fldCharType="begin"/>
      </w:r>
      <w:r w:rsidRPr="009F2A56">
        <w:rPr>
          <w:rStyle w:val="af7"/>
          <w:rFonts w:eastAsia="Guttman Hodes"/>
          <w:rtl/>
        </w:rPr>
        <w:instrText xml:space="preserve"> </w:instrText>
      </w:r>
      <w:r w:rsidRPr="009F2A56">
        <w:rPr>
          <w:rStyle w:val="af7"/>
          <w:rFonts w:eastAsia="Guttman Hodes" w:hint="cs"/>
        </w:rPr>
        <w:instrText>REF</w:instrText>
      </w:r>
      <w:r w:rsidRPr="009F2A56">
        <w:rPr>
          <w:rStyle w:val="af7"/>
          <w:rFonts w:eastAsia="Guttman Hodes" w:hint="cs"/>
          <w:rtl/>
        </w:rPr>
        <w:instrText xml:space="preserve"> _</w:instrText>
      </w:r>
      <w:r w:rsidRPr="009F2A56">
        <w:rPr>
          <w:rStyle w:val="af7"/>
          <w:rFonts w:eastAsia="Guttman Hodes" w:hint="cs"/>
        </w:rPr>
        <w:instrText>Ref55678968 \r \h</w:instrText>
      </w:r>
      <w:r w:rsidRPr="009F2A56">
        <w:rPr>
          <w:rStyle w:val="af7"/>
          <w:rFonts w:eastAsia="Guttman Hodes"/>
          <w:rtl/>
        </w:rPr>
        <w:instrText xml:space="preserve"> </w:instrText>
      </w:r>
      <w:r w:rsidRPr="009F2A56">
        <w:rPr>
          <w:rStyle w:val="af7"/>
          <w:rFonts w:eastAsia="Guttman Hodes"/>
          <w:rtl/>
        </w:rPr>
      </w:r>
      <w:r w:rsidRPr="009F2A56">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9F2A56">
        <w:rPr>
          <w:rStyle w:val="af7"/>
          <w:rFonts w:eastAsia="Guttman Hodes"/>
          <w:rtl/>
        </w:rPr>
        <w:fldChar w:fldCharType="end"/>
      </w:r>
      <w:r>
        <w:rPr>
          <w:rFonts w:hint="cs"/>
          <w:rtl/>
        </w:rPr>
        <w:t xml:space="preserve">, ועי' במ"ש </w:t>
      </w:r>
      <w:r w:rsidRPr="006F13AC">
        <w:rPr>
          <w:rStyle w:val="af9"/>
          <w:rFonts w:hint="cs"/>
          <w:rtl/>
        </w:rPr>
        <w:t>בחי' רבי ראובן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Ref55991465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6F13AC">
        <w:rPr>
          <w:rStyle w:val="af9"/>
          <w:rFonts w:hint="cs"/>
          <w:rtl/>
        </w:rPr>
        <w:t>הקצוה"ח</w:t>
      </w:r>
      <w:r>
        <w:rPr>
          <w:rFonts w:hint="cs"/>
          <w:rtl/>
        </w:rPr>
        <w:t>, וע"ע במה שדחה</w:t>
      </w:r>
      <w:r w:rsidRPr="00D02BCB">
        <w:rPr>
          <w:rFonts w:hint="cs"/>
          <w:rtl/>
        </w:rPr>
        <w:t xml:space="preserve"> </w:t>
      </w:r>
      <w:r w:rsidRPr="00D02BCB">
        <w:rPr>
          <w:rStyle w:val="af9"/>
          <w:rFonts w:hint="cs"/>
          <w:rtl/>
        </w:rPr>
        <w:t xml:space="preserve">בחי' רבי נחום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Ref56011661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Pr>
          <w:rStyle w:val="af7"/>
          <w:rFonts w:eastAsia="Guttman Hodes"/>
          <w:rtl/>
        </w:rPr>
        <w:fldChar w:fldCharType="end"/>
      </w:r>
      <w:r>
        <w:rPr>
          <w:rStyle w:val="af7"/>
          <w:rFonts w:eastAsia="Guttman Hodes" w:hint="cs"/>
          <w:rtl/>
        </w:rPr>
        <w:t xml:space="preserve"> </w:t>
      </w:r>
      <w:r w:rsidRPr="00D02BCB">
        <w:rPr>
          <w:rFonts w:hint="cs"/>
          <w:rtl/>
        </w:rPr>
        <w:t xml:space="preserve">דמדברי </w:t>
      </w:r>
      <w:r w:rsidRPr="00D02BCB">
        <w:rPr>
          <w:rStyle w:val="af9"/>
          <w:rFonts w:hint="cs"/>
          <w:rtl/>
        </w:rPr>
        <w:t xml:space="preserve">הרמב"ן לקמן </w:t>
      </w:r>
      <w:r w:rsidRPr="00D02BCB">
        <w:rPr>
          <w:rStyle w:val="af7"/>
          <w:rFonts w:eastAsia="Guttman Hodes" w:hint="cs"/>
          <w:rtl/>
        </w:rPr>
        <w:t xml:space="preserve">(עי' אות </w:t>
      </w:r>
      <w:r w:rsidRPr="00D02BCB">
        <w:rPr>
          <w:rStyle w:val="af7"/>
          <w:rFonts w:eastAsia="Guttman Hodes"/>
          <w:rtl/>
        </w:rPr>
        <w:fldChar w:fldCharType="begin"/>
      </w:r>
      <w:r w:rsidRPr="00D02BCB">
        <w:rPr>
          <w:rStyle w:val="af7"/>
          <w:rFonts w:eastAsia="Guttman Hodes"/>
          <w:rtl/>
        </w:rPr>
        <w:instrText xml:space="preserve"> </w:instrText>
      </w:r>
      <w:r w:rsidRPr="00D02BCB">
        <w:rPr>
          <w:rStyle w:val="af7"/>
          <w:rFonts w:eastAsia="Guttman Hodes" w:hint="cs"/>
        </w:rPr>
        <w:instrText>REF</w:instrText>
      </w:r>
      <w:r w:rsidRPr="00D02BCB">
        <w:rPr>
          <w:rStyle w:val="af7"/>
          <w:rFonts w:eastAsia="Guttman Hodes" w:hint="cs"/>
          <w:rtl/>
        </w:rPr>
        <w:instrText xml:space="preserve"> _</w:instrText>
      </w:r>
      <w:r w:rsidRPr="00D02BCB">
        <w:rPr>
          <w:rStyle w:val="af7"/>
          <w:rFonts w:eastAsia="Guttman Hodes" w:hint="cs"/>
        </w:rPr>
        <w:instrText>Ref55496115 \r \h</w:instrText>
      </w:r>
      <w:r w:rsidRPr="00D02BC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02BCB">
        <w:rPr>
          <w:rStyle w:val="af7"/>
          <w:rFonts w:eastAsia="Guttman Hodes"/>
          <w:rtl/>
        </w:rPr>
      </w:r>
      <w:r w:rsidRPr="00D02BCB">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D02BCB">
        <w:rPr>
          <w:rStyle w:val="af7"/>
          <w:rFonts w:eastAsia="Guttman Hodes"/>
          <w:rtl/>
        </w:rPr>
        <w:fldChar w:fldCharType="end"/>
      </w:r>
      <w:r w:rsidRPr="00D02BCB">
        <w:rPr>
          <w:rFonts w:hint="cs"/>
          <w:rtl/>
        </w:rPr>
        <w:t xml:space="preserve"> מוכח דחזקת ג"ש היא תקנת חכמים</w:t>
      </w:r>
      <w:r>
        <w:rPr>
          <w:rFonts w:hint="cs"/>
          <w:rtl/>
        </w:rPr>
        <w:t>.</w:t>
      </w:r>
      <w:bookmarkEnd w:id="4161"/>
    </w:p>
    <w:p w:rsidR="00F163D7" w:rsidRDefault="00F163D7" w:rsidP="00F163D7">
      <w:pPr>
        <w:pStyle w:val="a3"/>
        <w:rPr>
          <w:rtl/>
        </w:rPr>
      </w:pPr>
      <w:bookmarkStart w:id="4162" w:name="_Toc55946580"/>
      <w:bookmarkStart w:id="4163" w:name="_Toc55991881"/>
      <w:bookmarkStart w:id="4164" w:name="_Toc56030430"/>
      <w:bookmarkStart w:id="4165" w:name="_Toc56032622"/>
      <w:r>
        <w:rPr>
          <w:rFonts w:hint="cs"/>
          <w:rtl/>
        </w:rPr>
        <w:t>דברי התו"ח דא"א לומר דמחמת השטר תצא מהמר"ק דא"כ אמאי בניר וכדו' לא הוי חזקה</w:t>
      </w:r>
      <w:bookmarkEnd w:id="4162"/>
      <w:bookmarkEnd w:id="4163"/>
      <w:bookmarkEnd w:id="4164"/>
      <w:bookmarkEnd w:id="4165"/>
    </w:p>
    <w:p w:rsidR="00F163D7" w:rsidRDefault="00F163D7" w:rsidP="007E4E81">
      <w:pPr>
        <w:pStyle w:val="a0"/>
        <w:rPr>
          <w:rtl/>
        </w:rPr>
      </w:pPr>
      <w:bookmarkStart w:id="4166" w:name="_Ref55678968"/>
      <w:r>
        <w:rPr>
          <w:rFonts w:hint="cs"/>
          <w:rtl/>
        </w:rPr>
        <w:t xml:space="preserve">כתב </w:t>
      </w:r>
      <w:r w:rsidRPr="00A510F2">
        <w:rPr>
          <w:rStyle w:val="af9"/>
          <w:rFonts w:hint="cs"/>
          <w:rtl/>
        </w:rPr>
        <w:t>התורת חיים</w:t>
      </w:r>
      <w:r>
        <w:rPr>
          <w:rFonts w:hint="cs"/>
          <w:rtl/>
        </w:rPr>
        <w:t xml:space="preserve"> </w:t>
      </w:r>
      <w:r w:rsidRPr="00A510F2">
        <w:rPr>
          <w:rStyle w:val="af7"/>
          <w:rFonts w:eastAsia="Guttman Hodes" w:hint="cs"/>
          <w:rtl/>
        </w:rPr>
        <w:t>(ד"ה תרתי)</w:t>
      </w:r>
      <w:r>
        <w:rPr>
          <w:rFonts w:hint="cs"/>
          <w:rtl/>
        </w:rPr>
        <w:t xml:space="preserve"> דא"א לומר דטעם החזקה הוא רק כיון שאין אדם נזהר בשטרו יותר מג"ש, דאין כל סברא לומר דמחמת שאינו נזהר בשטרו, נוציא את הקרקע מחזקת המרא קמא, </w:t>
      </w:r>
      <w:r w:rsidRPr="00A510F2">
        <w:rPr>
          <w:rStyle w:val="afb"/>
          <w:rFonts w:hint="cs"/>
          <w:rtl/>
        </w:rPr>
        <w:t xml:space="preserve">[וכדהקשה </w:t>
      </w:r>
      <w:r w:rsidRPr="00A510F2">
        <w:rPr>
          <w:rStyle w:val="affa"/>
          <w:rFonts w:hint="cs"/>
          <w:rtl/>
        </w:rPr>
        <w:t>הריטב"א</w:t>
      </w:r>
      <w:r w:rsidRPr="00A510F2">
        <w:rPr>
          <w:rStyle w:val="afb"/>
          <w:rFonts w:hint="cs"/>
          <w:rtl/>
        </w:rPr>
        <w:t xml:space="preserve"> </w:t>
      </w:r>
      <w:r w:rsidRPr="00A510F2">
        <w:rPr>
          <w:rStyle w:val="aff6"/>
          <w:rFonts w:hint="cs"/>
          <w:rtl/>
        </w:rPr>
        <w:t xml:space="preserve">(עי' אות </w:t>
      </w:r>
      <w:r w:rsidRPr="00A510F2">
        <w:rPr>
          <w:rStyle w:val="aff6"/>
          <w:rtl/>
        </w:rPr>
        <w:fldChar w:fldCharType="begin"/>
      </w:r>
      <w:r w:rsidRPr="00A510F2">
        <w:rPr>
          <w:rStyle w:val="aff6"/>
          <w:rtl/>
        </w:rPr>
        <w:instrText xml:space="preserve"> </w:instrText>
      </w:r>
      <w:r w:rsidRPr="00A510F2">
        <w:rPr>
          <w:rStyle w:val="aff6"/>
          <w:rFonts w:hint="cs"/>
        </w:rPr>
        <w:instrText>REF</w:instrText>
      </w:r>
      <w:r w:rsidRPr="00A510F2">
        <w:rPr>
          <w:rStyle w:val="aff6"/>
          <w:rFonts w:hint="cs"/>
          <w:rtl/>
        </w:rPr>
        <w:instrText xml:space="preserve"> _</w:instrText>
      </w:r>
      <w:r w:rsidRPr="00A510F2">
        <w:rPr>
          <w:rStyle w:val="aff6"/>
          <w:rFonts w:hint="cs"/>
        </w:rPr>
        <w:instrText>Ref55678939 \r \h</w:instrText>
      </w:r>
      <w:r w:rsidRPr="00A510F2">
        <w:rPr>
          <w:rStyle w:val="aff6"/>
          <w:rtl/>
        </w:rPr>
        <w:instrText xml:space="preserve"> </w:instrText>
      </w:r>
      <w:r w:rsidRPr="00A510F2">
        <w:rPr>
          <w:rStyle w:val="aff6"/>
          <w:rtl/>
        </w:rPr>
      </w:r>
      <w:r w:rsidRPr="00A510F2">
        <w:rPr>
          <w:rStyle w:val="aff6"/>
          <w:rtl/>
        </w:rPr>
        <w:fldChar w:fldCharType="separate"/>
      </w:r>
      <w:r w:rsidR="00265073">
        <w:rPr>
          <w:rStyle w:val="aff6"/>
          <w:cs/>
        </w:rPr>
        <w:t>‎</w:t>
      </w:r>
      <w:r w:rsidR="00265073">
        <w:rPr>
          <w:rStyle w:val="aff6"/>
          <w:rtl/>
        </w:rPr>
        <w:t>ב)</w:t>
      </w:r>
      <w:r w:rsidRPr="00A510F2">
        <w:rPr>
          <w:rStyle w:val="aff6"/>
          <w:rtl/>
        </w:rPr>
        <w:fldChar w:fldCharType="end"/>
      </w:r>
      <w:r w:rsidRPr="00A510F2">
        <w:rPr>
          <w:rStyle w:val="afb"/>
          <w:rFonts w:hint="cs"/>
          <w:rtl/>
        </w:rPr>
        <w:t>],</w:t>
      </w:r>
      <w:r>
        <w:rPr>
          <w:rFonts w:hint="cs"/>
          <w:rtl/>
        </w:rPr>
        <w:t xml:space="preserve"> והוסיף </w:t>
      </w:r>
      <w:r w:rsidRPr="00A510F2">
        <w:rPr>
          <w:rStyle w:val="af9"/>
          <w:rFonts w:hint="cs"/>
          <w:rtl/>
        </w:rPr>
        <w:t xml:space="preserve">התורת חיים </w:t>
      </w:r>
      <w:r>
        <w:rPr>
          <w:rFonts w:hint="cs"/>
          <w:rtl/>
        </w:rPr>
        <w:t xml:space="preserve">דכן מוכח מהא דאמרינן בגמ' לקמן </w:t>
      </w:r>
      <w:r w:rsidRPr="002133D6">
        <w:rPr>
          <w:rStyle w:val="af7"/>
          <w:rFonts w:eastAsia="Guttman Hodes" w:hint="cs"/>
          <w:rtl/>
        </w:rPr>
        <w:t xml:space="preserve">(לו:) </w:t>
      </w:r>
      <w:r>
        <w:rPr>
          <w:rFonts w:hint="cs"/>
          <w:rtl/>
        </w:rPr>
        <w:t>ד</w:t>
      </w:r>
      <w:r>
        <w:rPr>
          <w:rtl/>
        </w:rPr>
        <w:t>תפתיחא</w:t>
      </w:r>
      <w:r>
        <w:rPr>
          <w:rFonts w:hint="cs"/>
          <w:rtl/>
        </w:rPr>
        <w:t>, וכן אפיק כורא ועייל כורא,</w:t>
      </w:r>
      <w:r w:rsidRPr="00B0276D">
        <w:rPr>
          <w:rFonts w:hint="cs"/>
          <w:rtl/>
        </w:rPr>
        <w:t xml:space="preserve"> </w:t>
      </w:r>
      <w:r>
        <w:rPr>
          <w:rFonts w:hint="cs"/>
          <w:rtl/>
        </w:rPr>
        <w:t xml:space="preserve">לא הוי חזקה, והא עברו כבר ג"ש שהחזיק בקרקע, ואינו נזהר בשטרו, וא"כ אמאי אין לו חזקה. </w:t>
      </w:r>
      <w:r w:rsidRPr="00A510F2">
        <w:rPr>
          <w:rStyle w:val="afb"/>
          <w:rFonts w:hint="cs"/>
          <w:rtl/>
        </w:rPr>
        <w:t>[ו</w:t>
      </w:r>
      <w:r>
        <w:rPr>
          <w:rStyle w:val="afb"/>
          <w:rFonts w:hint="cs"/>
          <w:rtl/>
        </w:rPr>
        <w:t xml:space="preserve">כבר כתבו כסברא זו </w:t>
      </w:r>
      <w:r w:rsidRPr="00167BEB">
        <w:rPr>
          <w:rStyle w:val="affa"/>
          <w:rFonts w:hint="cs"/>
          <w:rtl/>
        </w:rPr>
        <w:t>הרמב"ן לקמן</w:t>
      </w:r>
      <w:r>
        <w:rPr>
          <w:rStyle w:val="afb"/>
          <w:rFonts w:hint="cs"/>
          <w:rtl/>
        </w:rPr>
        <w:t xml:space="preserve"> </w:t>
      </w:r>
      <w:r w:rsidRPr="00FE7665">
        <w:rPr>
          <w:rStyle w:val="aff6"/>
          <w:rFonts w:hint="cs"/>
          <w:rtl/>
        </w:rPr>
        <w:t xml:space="preserve">(עי' אות </w:t>
      </w:r>
      <w:r w:rsidRPr="00FE7665">
        <w:rPr>
          <w:rStyle w:val="aff6"/>
          <w:rtl/>
        </w:rPr>
        <w:fldChar w:fldCharType="begin"/>
      </w:r>
      <w:r w:rsidRPr="00FE7665">
        <w:rPr>
          <w:rStyle w:val="aff6"/>
          <w:rtl/>
        </w:rPr>
        <w:instrText xml:space="preserve"> </w:instrText>
      </w:r>
      <w:r w:rsidRPr="00FE7665">
        <w:rPr>
          <w:rStyle w:val="aff6"/>
          <w:rFonts w:hint="cs"/>
        </w:rPr>
        <w:instrText>REF</w:instrText>
      </w:r>
      <w:r w:rsidRPr="00FE7665">
        <w:rPr>
          <w:rStyle w:val="aff6"/>
          <w:rFonts w:hint="cs"/>
          <w:rtl/>
        </w:rPr>
        <w:instrText xml:space="preserve"> _</w:instrText>
      </w:r>
      <w:r w:rsidRPr="00FE7665">
        <w:rPr>
          <w:rStyle w:val="aff6"/>
          <w:rFonts w:hint="cs"/>
        </w:rPr>
        <w:instrText>Ref55939920 \r \h</w:instrText>
      </w:r>
      <w:r w:rsidRPr="00FE7665">
        <w:rPr>
          <w:rStyle w:val="aff6"/>
          <w:rtl/>
        </w:rPr>
        <w:instrText xml:space="preserve"> </w:instrText>
      </w:r>
      <w:r w:rsidRPr="00FE7665">
        <w:rPr>
          <w:rStyle w:val="aff6"/>
          <w:rtl/>
        </w:rPr>
      </w:r>
      <w:r w:rsidRPr="00FE7665">
        <w:rPr>
          <w:rStyle w:val="aff6"/>
          <w:rtl/>
        </w:rPr>
        <w:fldChar w:fldCharType="separate"/>
      </w:r>
      <w:r w:rsidR="00265073">
        <w:rPr>
          <w:rStyle w:val="aff6"/>
          <w:cs/>
        </w:rPr>
        <w:t>‎</w:t>
      </w:r>
      <w:r w:rsidR="00265073">
        <w:rPr>
          <w:rStyle w:val="aff6"/>
          <w:rtl/>
        </w:rPr>
        <w:t>ח)</w:t>
      </w:r>
      <w:r w:rsidRPr="00FE7665">
        <w:rPr>
          <w:rStyle w:val="aff6"/>
          <w:rtl/>
        </w:rPr>
        <w:fldChar w:fldCharType="end"/>
      </w:r>
      <w:r>
        <w:rPr>
          <w:rStyle w:val="afb"/>
          <w:rFonts w:hint="cs"/>
          <w:rtl/>
        </w:rPr>
        <w:t xml:space="preserve">, </w:t>
      </w:r>
      <w:r w:rsidRPr="00FE7665">
        <w:rPr>
          <w:rStyle w:val="affa"/>
          <w:rFonts w:hint="cs"/>
          <w:rtl/>
        </w:rPr>
        <w:t>ו</w:t>
      </w:r>
      <w:r w:rsidRPr="00FE7665">
        <w:rPr>
          <w:rStyle w:val="affa"/>
          <w:rtl/>
        </w:rPr>
        <w:t>הר"ן על הרי"ף [הנדמ"ח]</w:t>
      </w:r>
      <w:r w:rsidRPr="00FE7665">
        <w:rPr>
          <w:rStyle w:val="afb"/>
          <w:rtl/>
        </w:rPr>
        <w:t xml:space="preserve"> </w:t>
      </w:r>
      <w:r w:rsidRPr="00FE7665">
        <w:rPr>
          <w:rStyle w:val="aff6"/>
          <w:rtl/>
        </w:rPr>
        <w:t xml:space="preserve">(ד"ה שתא, נד' בסוף חי' </w:t>
      </w:r>
      <w:r w:rsidRPr="00961111">
        <w:rPr>
          <w:rStyle w:val="aff6"/>
          <w:rtl/>
        </w:rPr>
        <w:t xml:space="preserve">הר"ן מהדו' </w:t>
      </w:r>
      <w:r w:rsidRPr="00961111">
        <w:rPr>
          <w:rStyle w:val="aff6"/>
          <w:rFonts w:hint="cs"/>
          <w:rtl/>
        </w:rPr>
        <w:t>פרדס</w:t>
      </w:r>
      <w:r w:rsidR="00CA3FDF">
        <w:rPr>
          <w:rStyle w:val="af1"/>
          <w:rtl/>
        </w:rPr>
        <w:footnoteReference w:id="14"/>
      </w:r>
      <w:r w:rsidRPr="00961111">
        <w:rPr>
          <w:rStyle w:val="aff6"/>
          <w:rFonts w:hint="cs"/>
          <w:rtl/>
        </w:rPr>
        <w:t>, ובקובץ מפרשים עוז והדר</w:t>
      </w:r>
      <w:r>
        <w:rPr>
          <w:rStyle w:val="aff6"/>
          <w:rFonts w:hint="cs"/>
          <w:rtl/>
        </w:rPr>
        <w:t>, הובא בסימן ו' אות ב')</w:t>
      </w:r>
      <w:r w:rsidRPr="00FE7665">
        <w:rPr>
          <w:rStyle w:val="aff6"/>
          <w:rtl/>
        </w:rPr>
        <w:t xml:space="preserve"> </w:t>
      </w:r>
      <w:r>
        <w:rPr>
          <w:rStyle w:val="afb"/>
          <w:rFonts w:hint="cs"/>
          <w:rtl/>
        </w:rPr>
        <w:t>ו</w:t>
      </w:r>
      <w:r w:rsidRPr="00A510F2">
        <w:rPr>
          <w:rStyle w:val="afb"/>
          <w:rFonts w:hint="cs"/>
          <w:rtl/>
        </w:rPr>
        <w:t xml:space="preserve">עי' במ"ש </w:t>
      </w:r>
      <w:r w:rsidRPr="00A510F2">
        <w:rPr>
          <w:rStyle w:val="affa"/>
          <w:rFonts w:hint="cs"/>
          <w:rtl/>
        </w:rPr>
        <w:t>הרשב"א</w:t>
      </w:r>
      <w:r w:rsidRPr="00A510F2">
        <w:rPr>
          <w:rStyle w:val="afb"/>
          <w:rFonts w:hint="cs"/>
          <w:rtl/>
        </w:rPr>
        <w:t xml:space="preserve"> </w:t>
      </w:r>
      <w:r w:rsidRPr="00FE7665">
        <w:rPr>
          <w:rStyle w:val="aff6"/>
          <w:rFonts w:hint="cs"/>
          <w:rtl/>
        </w:rPr>
        <w:t xml:space="preserve">(עי' אות </w:t>
      </w:r>
      <w:r w:rsidRPr="00FE7665">
        <w:rPr>
          <w:rStyle w:val="aff6"/>
          <w:rtl/>
        </w:rPr>
        <w:fldChar w:fldCharType="begin"/>
      </w:r>
      <w:r w:rsidRPr="00FE7665">
        <w:rPr>
          <w:rStyle w:val="aff6"/>
          <w:rtl/>
        </w:rPr>
        <w:instrText xml:space="preserve"> </w:instrText>
      </w:r>
      <w:r w:rsidRPr="00FE7665">
        <w:rPr>
          <w:rStyle w:val="aff6"/>
          <w:rFonts w:hint="cs"/>
        </w:rPr>
        <w:instrText>REF</w:instrText>
      </w:r>
      <w:r w:rsidRPr="00FE7665">
        <w:rPr>
          <w:rStyle w:val="aff6"/>
          <w:rFonts w:hint="cs"/>
          <w:rtl/>
        </w:rPr>
        <w:instrText xml:space="preserve"> _</w:instrText>
      </w:r>
      <w:r w:rsidRPr="00FE7665">
        <w:rPr>
          <w:rStyle w:val="aff6"/>
          <w:rFonts w:hint="cs"/>
        </w:rPr>
        <w:instrText>Ref55939990 \r \h</w:instrText>
      </w:r>
      <w:r w:rsidRPr="00FE7665">
        <w:rPr>
          <w:rStyle w:val="aff6"/>
          <w:rtl/>
        </w:rPr>
        <w:instrText xml:space="preserve"> </w:instrText>
      </w:r>
      <w:r w:rsidRPr="00FE7665">
        <w:rPr>
          <w:rStyle w:val="aff6"/>
          <w:rtl/>
        </w:rPr>
      </w:r>
      <w:r w:rsidRPr="00FE7665">
        <w:rPr>
          <w:rStyle w:val="aff6"/>
          <w:rtl/>
        </w:rPr>
        <w:fldChar w:fldCharType="separate"/>
      </w:r>
      <w:r w:rsidR="00265073">
        <w:rPr>
          <w:rStyle w:val="aff6"/>
          <w:cs/>
        </w:rPr>
        <w:t>‎</w:t>
      </w:r>
      <w:r w:rsidR="00265073">
        <w:rPr>
          <w:rStyle w:val="aff6"/>
          <w:rtl/>
        </w:rPr>
        <w:t>מו)</w:t>
      </w:r>
      <w:r w:rsidRPr="00FE7665">
        <w:rPr>
          <w:rStyle w:val="aff6"/>
          <w:rtl/>
        </w:rPr>
        <w:fldChar w:fldCharType="end"/>
      </w:r>
      <w:r w:rsidRPr="00A510F2">
        <w:rPr>
          <w:rStyle w:val="afb"/>
          <w:rFonts w:hint="cs"/>
          <w:rtl/>
        </w:rPr>
        <w:t>].</w:t>
      </w:r>
      <w:bookmarkEnd w:id="4166"/>
    </w:p>
    <w:p w:rsidR="00F163D7" w:rsidRDefault="00F163D7" w:rsidP="00F163D7">
      <w:pPr>
        <w:pStyle w:val="a3"/>
        <w:rPr>
          <w:rtl/>
        </w:rPr>
      </w:pPr>
      <w:bookmarkStart w:id="4167" w:name="_Toc55946581"/>
      <w:bookmarkStart w:id="4168" w:name="_Toc55991882"/>
      <w:bookmarkStart w:id="4169" w:name="_Toc56030431"/>
      <w:bookmarkStart w:id="4170" w:name="_Toc56032623"/>
      <w:r>
        <w:rPr>
          <w:rFonts w:hint="cs"/>
          <w:rtl/>
        </w:rPr>
        <w:t>ביאור התו"ח דהחזקה מדלא מיחה ולא הקפיד אך בתוך ג"ש כשאין לו שטר מסתבר שהוא גזלן</w:t>
      </w:r>
      <w:bookmarkEnd w:id="4167"/>
      <w:bookmarkEnd w:id="4168"/>
      <w:bookmarkEnd w:id="4169"/>
      <w:bookmarkEnd w:id="4170"/>
    </w:p>
    <w:p w:rsidR="00F163D7" w:rsidRDefault="00F163D7" w:rsidP="007E4E81">
      <w:pPr>
        <w:pStyle w:val="a0"/>
        <w:rPr>
          <w:rtl/>
        </w:rPr>
      </w:pPr>
      <w:r>
        <w:rPr>
          <w:rFonts w:hint="cs"/>
          <w:rtl/>
        </w:rPr>
        <w:t xml:space="preserve">אלא ביאר </w:t>
      </w:r>
      <w:r w:rsidRPr="00A510F2">
        <w:rPr>
          <w:rStyle w:val="af9"/>
          <w:rFonts w:hint="cs"/>
          <w:rtl/>
        </w:rPr>
        <w:t>התורת חיים</w:t>
      </w:r>
      <w:r>
        <w:rPr>
          <w:rFonts w:hint="cs"/>
          <w:rtl/>
        </w:rPr>
        <w:t xml:space="preserve"> דטעם החזקה הוא מחמת דכל אדם מקפיד לאלתר כשרואה שחבירו אוכל את קרקעו, וכיון שלא מחה המערער ולא הקפיד, מוכח שהוא מכר את הקרקע למחזיק, אלא דבתוך ג"ש לא הוי חזקה, כיון דבתוך ג"ש יש ריעותא גם ללוקח, דכיון שהדרך להזהר בשטר עד ג"ש, א"כ כל שאין לו שטר מסתבר שהוא גזלן ואינו לוקח, אבל לאחר ג"ש שאינו נזהר בשטרו, ואין ריעותא ללוקח, ואילו למוכר יש ריעותא שלא הקפיד, ולכן הוי חזקה, וכן ביארו </w:t>
      </w:r>
      <w:r w:rsidRPr="0047420A">
        <w:rPr>
          <w:rStyle w:val="af9"/>
          <w:rFonts w:hint="cs"/>
          <w:rtl/>
        </w:rPr>
        <w:t>הקצוה"ח והשער משפט</w:t>
      </w:r>
      <w:r>
        <w:rPr>
          <w:rFonts w:hint="cs"/>
          <w:rtl/>
        </w:rPr>
        <w:t xml:space="preserve"> </w:t>
      </w:r>
      <w:r w:rsidRPr="0047420A">
        <w:rPr>
          <w:rStyle w:val="af7"/>
          <w:rFonts w:eastAsia="Guttman Hodes" w:hint="cs"/>
          <w:rtl/>
        </w:rPr>
        <w:t xml:space="preserve">(עי' אות </w:t>
      </w:r>
      <w:r w:rsidRPr="0047420A">
        <w:rPr>
          <w:rStyle w:val="af7"/>
          <w:rFonts w:eastAsia="Guttman Hodes"/>
          <w:rtl/>
        </w:rPr>
        <w:fldChar w:fldCharType="begin"/>
      </w:r>
      <w:r w:rsidRPr="0047420A">
        <w:rPr>
          <w:rStyle w:val="af7"/>
          <w:rFonts w:eastAsia="Guttman Hodes"/>
          <w:rtl/>
        </w:rPr>
        <w:instrText xml:space="preserve"> </w:instrText>
      </w:r>
      <w:r w:rsidRPr="0047420A">
        <w:rPr>
          <w:rStyle w:val="af7"/>
          <w:rFonts w:eastAsia="Guttman Hodes" w:hint="cs"/>
        </w:rPr>
        <w:instrText>REF</w:instrText>
      </w:r>
      <w:r w:rsidRPr="0047420A">
        <w:rPr>
          <w:rStyle w:val="af7"/>
          <w:rFonts w:eastAsia="Guttman Hodes" w:hint="cs"/>
          <w:rtl/>
        </w:rPr>
        <w:instrText xml:space="preserve"> _</w:instrText>
      </w:r>
      <w:r w:rsidRPr="0047420A">
        <w:rPr>
          <w:rStyle w:val="af7"/>
          <w:rFonts w:eastAsia="Guttman Hodes" w:hint="cs"/>
        </w:rPr>
        <w:instrText>Ref55812937 \r \h</w:instrText>
      </w:r>
      <w:r w:rsidRPr="0047420A">
        <w:rPr>
          <w:rStyle w:val="af7"/>
          <w:rFonts w:eastAsia="Guttman Hodes"/>
          <w:rtl/>
        </w:rPr>
        <w:instrText xml:space="preserve"> </w:instrText>
      </w:r>
      <w:r w:rsidRPr="0047420A">
        <w:rPr>
          <w:rStyle w:val="af7"/>
          <w:rFonts w:eastAsia="Guttman Hodes"/>
          <w:rtl/>
        </w:rPr>
      </w:r>
      <w:r w:rsidRPr="0047420A">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47420A">
        <w:rPr>
          <w:rStyle w:val="af7"/>
          <w:rFonts w:eastAsia="Guttman Hodes"/>
          <w:rtl/>
        </w:rPr>
        <w:fldChar w:fldCharType="end"/>
      </w:r>
      <w:r w:rsidRPr="0047420A">
        <w:rPr>
          <w:rStyle w:val="af7"/>
          <w:rFonts w:eastAsia="Guttman Hodes" w:hint="cs"/>
          <w:rtl/>
        </w:rPr>
        <w:t xml:space="preserve"> </w:t>
      </w:r>
      <w:r>
        <w:rPr>
          <w:rFonts w:hint="cs"/>
          <w:rtl/>
        </w:rPr>
        <w:t xml:space="preserve">בדעת </w:t>
      </w:r>
      <w:r w:rsidRPr="0047420A">
        <w:rPr>
          <w:rStyle w:val="af9"/>
          <w:rFonts w:hint="cs"/>
          <w:rtl/>
        </w:rPr>
        <w:t>הרמב"ן</w:t>
      </w:r>
      <w:r>
        <w:rPr>
          <w:rFonts w:hint="cs"/>
          <w:rtl/>
        </w:rPr>
        <w:t xml:space="preserve">. </w:t>
      </w:r>
    </w:p>
    <w:p w:rsidR="00F163D7" w:rsidRDefault="00F163D7" w:rsidP="00F163D7">
      <w:pPr>
        <w:pStyle w:val="a3"/>
        <w:rPr>
          <w:rtl/>
        </w:rPr>
      </w:pPr>
      <w:bookmarkStart w:id="4171" w:name="_Toc55946582"/>
      <w:bookmarkStart w:id="4172" w:name="_Toc55991883"/>
      <w:bookmarkStart w:id="4173" w:name="_Toc56030432"/>
      <w:bookmarkStart w:id="4174" w:name="_Toc56032624"/>
      <w:r>
        <w:rPr>
          <w:rFonts w:hint="cs"/>
          <w:rtl/>
        </w:rPr>
        <w:t>ביאור התו"ח דההו"א דל"מ מחאה שלא בפניו היינו רק בשנה השניה והשלישית ולא בראשונה</w:t>
      </w:r>
      <w:bookmarkEnd w:id="4171"/>
      <w:bookmarkEnd w:id="4172"/>
      <w:bookmarkEnd w:id="4173"/>
      <w:bookmarkEnd w:id="4174"/>
    </w:p>
    <w:p w:rsidR="00F163D7" w:rsidRDefault="00F163D7" w:rsidP="007E4E81">
      <w:pPr>
        <w:pStyle w:val="a0"/>
        <w:rPr>
          <w:rtl/>
        </w:rPr>
      </w:pPr>
      <w:r>
        <w:rPr>
          <w:rFonts w:hint="cs"/>
          <w:rtl/>
        </w:rPr>
        <w:t xml:space="preserve">אך הקשה </w:t>
      </w:r>
      <w:r w:rsidRPr="00A510F2">
        <w:rPr>
          <w:rStyle w:val="af9"/>
          <w:rFonts w:hint="cs"/>
          <w:rtl/>
        </w:rPr>
        <w:t>התורת חיים</w:t>
      </w:r>
      <w:r>
        <w:rPr>
          <w:rFonts w:hint="cs"/>
          <w:rtl/>
        </w:rPr>
        <w:t xml:space="preserve"> דא"כ מה מקשה הגמ' דלא תועיל מחאה שלא בפניו, הא כיון שמחה המערער וגילה בדעתו שהוא מקפיד, אין לו ריעותא אף כשהמחאה לא הייתה לפני המחזיק, ותירץ </w:t>
      </w:r>
      <w:r w:rsidRPr="00A510F2">
        <w:rPr>
          <w:rStyle w:val="af9"/>
          <w:rFonts w:hint="cs"/>
          <w:rtl/>
        </w:rPr>
        <w:t>התורת חיים</w:t>
      </w:r>
      <w:r>
        <w:rPr>
          <w:rFonts w:hint="cs"/>
          <w:rtl/>
        </w:rPr>
        <w:t xml:space="preserve"> דצ"ל דכוונת הגמ' להקשות דהאיך מהני מחאה שלא בפניו בשנה השניה והשלישית, אחר שבשנה הראשונה לא מחה ולא הקפיד, א"כ יש ריעותא למוכר ואין ריעותא ללוקח, וא"כ הוי חזקה.</w:t>
      </w:r>
    </w:p>
    <w:p w:rsidR="00F163D7" w:rsidRPr="00E56096" w:rsidRDefault="00F163D7" w:rsidP="00F163D7">
      <w:pPr>
        <w:pStyle w:val="afe"/>
        <w:rPr>
          <w:rtl/>
        </w:rPr>
      </w:pPr>
      <w:bookmarkStart w:id="4175" w:name="_Toc55927857"/>
      <w:bookmarkStart w:id="4176" w:name="_Toc55946583"/>
      <w:bookmarkStart w:id="4177" w:name="_Toc55991884"/>
      <w:bookmarkStart w:id="4178" w:name="_Toc56030433"/>
      <w:bookmarkStart w:id="4179" w:name="_Toc56032625"/>
      <w:r>
        <w:rPr>
          <w:rFonts w:hint="cs"/>
          <w:rtl/>
        </w:rPr>
        <w:t>קושיות האחרונים על הרמב"ן</w:t>
      </w:r>
      <w:bookmarkEnd w:id="4175"/>
      <w:bookmarkEnd w:id="4176"/>
      <w:bookmarkEnd w:id="4177"/>
      <w:bookmarkEnd w:id="4178"/>
      <w:bookmarkEnd w:id="4179"/>
    </w:p>
    <w:p w:rsidR="00F163D7" w:rsidRPr="00BC6F82" w:rsidRDefault="00F163D7" w:rsidP="00F163D7">
      <w:pPr>
        <w:pStyle w:val="1"/>
        <w:rPr>
          <w:rtl/>
        </w:rPr>
      </w:pPr>
      <w:bookmarkStart w:id="4180" w:name="_Toc55569172"/>
      <w:bookmarkStart w:id="4181" w:name="_Toc55718280"/>
      <w:bookmarkStart w:id="4182" w:name="_Toc55739899"/>
      <w:bookmarkStart w:id="4183" w:name="_Toc55839460"/>
      <w:bookmarkStart w:id="4184" w:name="_Toc55927858"/>
      <w:bookmarkStart w:id="4185" w:name="_Toc55946584"/>
      <w:bookmarkStart w:id="4186" w:name="_Toc55991885"/>
      <w:bookmarkStart w:id="4187" w:name="_Toc56030434"/>
      <w:bookmarkStart w:id="4188" w:name="_Toc56032626"/>
      <w:bookmarkStart w:id="4189" w:name="_Toc55739897"/>
      <w:bookmarkStart w:id="4190" w:name="_Toc55839458"/>
      <w:r>
        <w:rPr>
          <w:rFonts w:hint="cs"/>
          <w:rtl/>
        </w:rPr>
        <w:t>קושית הקצוה"ח על הרמב"ן</w:t>
      </w:r>
      <w:bookmarkEnd w:id="4180"/>
      <w:bookmarkEnd w:id="4181"/>
      <w:r w:rsidRPr="00C83D3E">
        <w:rPr>
          <w:rFonts w:hint="cs"/>
          <w:rtl/>
        </w:rPr>
        <w:t xml:space="preserve"> </w:t>
      </w:r>
      <w:r>
        <w:rPr>
          <w:rFonts w:hint="cs"/>
          <w:rtl/>
        </w:rPr>
        <w:t>מדלי ליה צנא דפירי</w:t>
      </w:r>
      <w:bookmarkEnd w:id="4182"/>
      <w:bookmarkEnd w:id="4183"/>
      <w:bookmarkEnd w:id="4184"/>
      <w:bookmarkEnd w:id="4185"/>
      <w:bookmarkEnd w:id="4186"/>
      <w:bookmarkEnd w:id="4187"/>
      <w:bookmarkEnd w:id="4188"/>
    </w:p>
    <w:p w:rsidR="00F163D7" w:rsidRDefault="00F163D7" w:rsidP="00F163D7">
      <w:pPr>
        <w:pStyle w:val="a3"/>
        <w:rPr>
          <w:rtl/>
        </w:rPr>
      </w:pPr>
      <w:bookmarkStart w:id="4191" w:name="_Toc55991886"/>
      <w:bookmarkStart w:id="4192" w:name="_Toc56030435"/>
      <w:bookmarkStart w:id="4193" w:name="_Toc56032627"/>
      <w:r>
        <w:rPr>
          <w:rFonts w:hint="cs"/>
          <w:rtl/>
        </w:rPr>
        <w:t>קושית הקצוה"ח דאמאי בדלי צנא דפירי נאמן דלפירות הורדתיו ובשתיקה בג"ש אינו נאמן</w:t>
      </w:r>
      <w:bookmarkEnd w:id="4191"/>
      <w:bookmarkEnd w:id="4192"/>
      <w:bookmarkEnd w:id="4193"/>
    </w:p>
    <w:p w:rsidR="00F163D7" w:rsidRDefault="00F163D7" w:rsidP="007E4E81">
      <w:pPr>
        <w:pStyle w:val="a0"/>
        <w:rPr>
          <w:rtl/>
        </w:rPr>
      </w:pPr>
      <w:bookmarkStart w:id="4194" w:name="_Ref55567158"/>
      <w:bookmarkStart w:id="4195" w:name="_Ref56007385"/>
      <w:bookmarkStart w:id="4196" w:name="_Ref56015914"/>
      <w:r>
        <w:rPr>
          <w:rFonts w:hint="cs"/>
          <w:rtl/>
        </w:rPr>
        <w:t xml:space="preserve">הקשה </w:t>
      </w:r>
      <w:r w:rsidRPr="00640004">
        <w:rPr>
          <w:rStyle w:val="af9"/>
          <w:rFonts w:hint="cs"/>
          <w:rtl/>
        </w:rPr>
        <w:t>הקצוה"ח</w:t>
      </w:r>
      <w:r>
        <w:rPr>
          <w:rFonts w:hint="cs"/>
          <w:rtl/>
        </w:rPr>
        <w:t xml:space="preserve"> </w:t>
      </w:r>
      <w:r w:rsidRPr="00E52B8E">
        <w:rPr>
          <w:rStyle w:val="af7"/>
          <w:rFonts w:eastAsia="Guttman Hodes" w:hint="cs"/>
          <w:rtl/>
        </w:rPr>
        <w:t>(סי' ק"מ סוס"ק א')</w:t>
      </w:r>
      <w:r>
        <w:rPr>
          <w:rFonts w:hint="cs"/>
          <w:rtl/>
        </w:rPr>
        <w:t xml:space="preserve"> על </w:t>
      </w:r>
      <w:r w:rsidRPr="0089410B">
        <w:rPr>
          <w:rStyle w:val="af9"/>
          <w:rFonts w:hint="cs"/>
          <w:rtl/>
        </w:rPr>
        <w:t>הרמב"ן</w:t>
      </w:r>
      <w:r>
        <w:rPr>
          <w:rFonts w:hint="cs"/>
          <w:rtl/>
        </w:rPr>
        <w:t xml:space="preserve">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 xml:space="preserve">דאי טעם החזקה הוא דכל ששתק המערער מסתמא מכר למחזיק, הא איתא </w:t>
      </w:r>
      <w:r>
        <w:rPr>
          <w:rFonts w:hint="cs"/>
          <w:rtl/>
        </w:rPr>
        <w:t xml:space="preserve">בגמ' לקמן </w:t>
      </w:r>
      <w:r w:rsidRPr="00E52B8E">
        <w:rPr>
          <w:rStyle w:val="af7"/>
          <w:rFonts w:eastAsia="Guttman Hodes" w:hint="cs"/>
          <w:rtl/>
        </w:rPr>
        <w:t>(לה:)</w:t>
      </w:r>
      <w:r>
        <w:rPr>
          <w:rFonts w:hint="cs"/>
          <w:rtl/>
        </w:rPr>
        <w:t xml:space="preserve"> דבדלי ליה צנא דפירי, דהוי חזקה לאלתר, אם טען לפירות הורדתיו נאמן, וא"כ היאך אפש"ל דבהחזיק ג"ש וטען לפירות הורדתיו אינו נאמן, דהיה לו למחות בתוך ג"ש ולומר שהורידו לפירות, והרי לדברי </w:t>
      </w:r>
      <w:r w:rsidRPr="007C746D">
        <w:rPr>
          <w:rStyle w:val="af9"/>
          <w:rFonts w:hint="cs"/>
          <w:rtl/>
        </w:rPr>
        <w:t xml:space="preserve">הרמב"ן </w:t>
      </w:r>
      <w:r>
        <w:rPr>
          <w:rFonts w:hint="cs"/>
          <w:rtl/>
        </w:rPr>
        <w:t>דטעם חזקת ג"ש הוא מחמת ששתק ולא מחה, יש רגלים לדבר שמכר לו, א"כ הראיה בחזקת ג"ש אינה ראיה גדולה יותר מדלי ליה צנא דפירי, דעשה מעשה, ואי בעשה מעשה נאמן בטענת לפירות הורדתיו, כ"ש שיהיה נאמן בראיה ששתק בחזקת ג"ש</w:t>
      </w:r>
      <w:r>
        <w:rPr>
          <w:rStyle w:val="af1"/>
          <w:rtl/>
        </w:rPr>
        <w:footnoteReference w:id="15"/>
      </w:r>
      <w:bookmarkEnd w:id="4194"/>
      <w:r>
        <w:rPr>
          <w:rFonts w:hint="cs"/>
          <w:rtl/>
        </w:rPr>
        <w:t xml:space="preserve">, ועי' במ"ש </w:t>
      </w:r>
      <w:r w:rsidRPr="000D3E37">
        <w:rPr>
          <w:rStyle w:val="af9"/>
          <w:rFonts w:hint="cs"/>
          <w:rtl/>
        </w:rPr>
        <w:t>הקצוה"ח</w:t>
      </w:r>
      <w:r>
        <w:rPr>
          <w:rFonts w:hint="cs"/>
          <w:rtl/>
        </w:rPr>
        <w:t xml:space="preserve"> </w:t>
      </w:r>
      <w:r w:rsidR="00E76F37" w:rsidRPr="00EE78E2">
        <w:rPr>
          <w:rStyle w:val="af7"/>
          <w:rFonts w:eastAsia="Guttman Hodes" w:hint="cs"/>
          <w:rtl/>
        </w:rPr>
        <w:t>(סי</w:t>
      </w:r>
      <w:r w:rsidR="00E76F37" w:rsidRPr="00EE78E2">
        <w:rPr>
          <w:rStyle w:val="af7"/>
          <w:rFonts w:eastAsia="Guttman Hodes"/>
          <w:rtl/>
        </w:rPr>
        <w:t>'</w:t>
      </w:r>
      <w:r w:rsidR="00E76F37" w:rsidRPr="00EE78E2">
        <w:rPr>
          <w:rStyle w:val="af7"/>
          <w:rFonts w:eastAsia="Guttman Hodes" w:hint="cs"/>
          <w:rtl/>
        </w:rPr>
        <w:t xml:space="preserve"> ק</w:t>
      </w:r>
      <w:r w:rsidR="00E76F37" w:rsidRPr="00EE78E2">
        <w:rPr>
          <w:rStyle w:val="af7"/>
          <w:rFonts w:eastAsia="Guttman Hodes"/>
          <w:rtl/>
        </w:rPr>
        <w:t>"</w:t>
      </w:r>
      <w:r w:rsidR="00E76F37" w:rsidRPr="00EE78E2">
        <w:rPr>
          <w:rStyle w:val="af7"/>
          <w:rFonts w:eastAsia="Guttman Hodes" w:hint="cs"/>
          <w:rtl/>
        </w:rPr>
        <w:t>מ סק</w:t>
      </w:r>
      <w:r w:rsidR="00E76F37" w:rsidRPr="00EE78E2">
        <w:rPr>
          <w:rStyle w:val="af7"/>
          <w:rFonts w:eastAsia="Guttman Hodes"/>
          <w:rtl/>
        </w:rPr>
        <w:t>"</w:t>
      </w:r>
      <w:r w:rsidR="00E76F37" w:rsidRPr="00EE78E2">
        <w:rPr>
          <w:rStyle w:val="af7"/>
          <w:rFonts w:eastAsia="Guttman Hodes" w:hint="cs"/>
          <w:rtl/>
        </w:rPr>
        <w:t>ב ד"ה ולענ"ד</w:t>
      </w:r>
      <w:r w:rsidR="00E76F37">
        <w:rPr>
          <w:rStyle w:val="af7"/>
          <w:rFonts w:eastAsia="Guttman Hodes" w:hint="cs"/>
          <w:rtl/>
        </w:rPr>
        <w:t xml:space="preserve">, הובא בסימן ו' אות ל"א) </w:t>
      </w:r>
      <w:r>
        <w:rPr>
          <w:rFonts w:hint="cs"/>
          <w:rtl/>
        </w:rPr>
        <w:t xml:space="preserve">דמוכח דמוכח דטעם חזקת ג"ש הוא מתקנת חכמים, ועי' במה שתירצו </w:t>
      </w:r>
      <w:r w:rsidRPr="00990521">
        <w:rPr>
          <w:rStyle w:val="af9"/>
          <w:rFonts w:hint="cs"/>
          <w:rtl/>
        </w:rPr>
        <w:t xml:space="preserve">בחי' רבי ראובן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Ref56007611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Pr>
          <w:rStyle w:val="af7"/>
          <w:rFonts w:eastAsia="Guttman Hodes"/>
          <w:rtl/>
        </w:rPr>
        <w:fldChar w:fldCharType="end"/>
      </w:r>
      <w:r>
        <w:rPr>
          <w:rStyle w:val="af7"/>
          <w:rFonts w:eastAsia="Guttman Hodes" w:hint="cs"/>
          <w:rtl/>
        </w:rPr>
        <w:t xml:space="preserve"> </w:t>
      </w:r>
      <w:r>
        <w:rPr>
          <w:rStyle w:val="af9"/>
          <w:rFonts w:hint="cs"/>
          <w:rtl/>
        </w:rPr>
        <w:t>וב</w:t>
      </w:r>
      <w:r w:rsidRPr="00272161">
        <w:rPr>
          <w:rStyle w:val="af9"/>
          <w:rFonts w:hint="cs"/>
          <w:rtl/>
        </w:rPr>
        <w:t>אבי עזרי</w:t>
      </w:r>
      <w:r>
        <w:rPr>
          <w:rFonts w:hint="cs"/>
          <w:rtl/>
        </w:rPr>
        <w:t xml:space="preserve"> </w:t>
      </w:r>
      <w:r w:rsidRPr="00E00D10">
        <w:rPr>
          <w:rStyle w:val="af7"/>
          <w:rFonts w:eastAsia="Guttman Hodes" w:hint="cs"/>
          <w:rtl/>
        </w:rPr>
        <w:t xml:space="preserve">(עי' אות </w:t>
      </w:r>
      <w:r w:rsidRPr="00E00D10">
        <w:rPr>
          <w:rStyle w:val="af7"/>
          <w:rFonts w:eastAsia="Guttman Hodes"/>
          <w:rtl/>
        </w:rPr>
        <w:fldChar w:fldCharType="begin"/>
      </w:r>
      <w:r w:rsidRPr="00E00D10">
        <w:rPr>
          <w:rStyle w:val="af7"/>
          <w:rFonts w:eastAsia="Guttman Hodes"/>
          <w:rtl/>
        </w:rPr>
        <w:instrText xml:space="preserve"> </w:instrText>
      </w:r>
      <w:r w:rsidRPr="00E00D10">
        <w:rPr>
          <w:rStyle w:val="af7"/>
          <w:rFonts w:eastAsia="Guttman Hodes" w:hint="cs"/>
        </w:rPr>
        <w:instrText>REF</w:instrText>
      </w:r>
      <w:r w:rsidRPr="00E00D10">
        <w:rPr>
          <w:rStyle w:val="af7"/>
          <w:rFonts w:eastAsia="Guttman Hodes" w:hint="cs"/>
          <w:rtl/>
        </w:rPr>
        <w:instrText xml:space="preserve"> _</w:instrText>
      </w:r>
      <w:r w:rsidRPr="00E00D10">
        <w:rPr>
          <w:rStyle w:val="af7"/>
          <w:rFonts w:eastAsia="Guttman Hodes" w:hint="cs"/>
        </w:rPr>
        <w:instrText>Ref56015881 \r \h</w:instrText>
      </w:r>
      <w:r w:rsidRPr="00E00D10">
        <w:rPr>
          <w:rStyle w:val="af7"/>
          <w:rFonts w:eastAsia="Guttman Hodes"/>
          <w:rtl/>
        </w:rPr>
        <w:instrText xml:space="preserve"> </w:instrText>
      </w:r>
      <w:r w:rsidRPr="00E00D10">
        <w:rPr>
          <w:rStyle w:val="af7"/>
          <w:rFonts w:eastAsia="Guttman Hodes"/>
          <w:rtl/>
        </w:rPr>
      </w:r>
      <w:r w:rsidRPr="00E00D10">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E00D10">
        <w:rPr>
          <w:rStyle w:val="af7"/>
          <w:rFonts w:eastAsia="Guttman Hodes"/>
          <w:rtl/>
        </w:rPr>
        <w:fldChar w:fldCharType="end"/>
      </w:r>
      <w:r>
        <w:rPr>
          <w:rFonts w:hint="cs"/>
          <w:rtl/>
        </w:rPr>
        <w:t xml:space="preserve"> </w:t>
      </w:r>
      <w:r>
        <w:rPr>
          <w:rStyle w:val="af9"/>
          <w:rFonts w:hint="cs"/>
          <w:rtl/>
        </w:rPr>
        <w:t>וב</w:t>
      </w:r>
      <w:r w:rsidRPr="00816922">
        <w:rPr>
          <w:rStyle w:val="af9"/>
          <w:rFonts w:hint="cs"/>
          <w:rtl/>
        </w:rPr>
        <w:t>קה"י</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Ref56031750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Pr>
          <w:rStyle w:val="af7"/>
          <w:rFonts w:eastAsia="Guttman Hodes"/>
          <w:rtl/>
        </w:rPr>
        <w:fldChar w:fldCharType="end"/>
      </w:r>
      <w:r>
        <w:rPr>
          <w:rStyle w:val="af7"/>
          <w:rFonts w:eastAsia="Guttman Hodes" w:hint="cs"/>
          <w:rtl/>
        </w:rPr>
        <w:t xml:space="preserve"> </w:t>
      </w:r>
      <w:r>
        <w:rPr>
          <w:rFonts w:hint="cs"/>
          <w:rtl/>
        </w:rPr>
        <w:t xml:space="preserve">את קושית </w:t>
      </w:r>
      <w:r w:rsidRPr="00990521">
        <w:rPr>
          <w:rStyle w:val="af9"/>
          <w:rFonts w:hint="cs"/>
          <w:rtl/>
        </w:rPr>
        <w:t>הקצוה"ח</w:t>
      </w:r>
      <w:bookmarkEnd w:id="4195"/>
      <w:r w:rsidRPr="007009E3">
        <w:rPr>
          <w:rFonts w:hint="cs"/>
          <w:rtl/>
        </w:rPr>
        <w:t xml:space="preserve">, וע"ע במה שתירץ </w:t>
      </w:r>
      <w:r w:rsidRPr="007009E3">
        <w:rPr>
          <w:rStyle w:val="af9"/>
          <w:rFonts w:hint="cs"/>
          <w:rtl/>
        </w:rPr>
        <w:t xml:space="preserve">בחי' </w:t>
      </w:r>
      <w:r>
        <w:rPr>
          <w:rStyle w:val="af9"/>
          <w:rFonts w:hint="cs"/>
          <w:rtl/>
        </w:rPr>
        <w:t xml:space="preserve">רבי נחום </w:t>
      </w:r>
      <w:r w:rsidRPr="007009E3">
        <w:rPr>
          <w:rStyle w:val="af7"/>
          <w:rFonts w:eastAsia="Guttman Hodes" w:hint="cs"/>
          <w:rtl/>
        </w:rPr>
        <w:t xml:space="preserve">(או' כ"ב ד"ה </w:t>
      </w:r>
      <w:r w:rsidRPr="007009E3">
        <w:rPr>
          <w:rStyle w:val="af7"/>
          <w:rFonts w:eastAsia="Guttman Hodes"/>
          <w:rtl/>
        </w:rPr>
        <w:t>ולפמש"נ א"ש</w:t>
      </w:r>
      <w:r w:rsidRPr="007009E3">
        <w:rPr>
          <w:rStyle w:val="af7"/>
          <w:rFonts w:eastAsia="Guttman Hodes" w:hint="cs"/>
          <w:rtl/>
        </w:rPr>
        <w:t>)</w:t>
      </w:r>
      <w:r>
        <w:rPr>
          <w:rFonts w:hint="cs"/>
          <w:rtl/>
        </w:rPr>
        <w:t>.</w:t>
      </w:r>
      <w:bookmarkEnd w:id="4196"/>
      <w:r>
        <w:rPr>
          <w:rFonts w:hint="cs"/>
          <w:rtl/>
        </w:rPr>
        <w:t xml:space="preserve"> </w:t>
      </w:r>
      <w:r w:rsidRPr="00CD3894">
        <w:rPr>
          <w:rStyle w:val="afb"/>
          <w:rFonts w:hint="cs"/>
          <w:rtl/>
        </w:rPr>
        <w:t xml:space="preserve">[וע"ע במה שביאר </w:t>
      </w:r>
      <w:r w:rsidRPr="00CD3894">
        <w:rPr>
          <w:rStyle w:val="affa"/>
          <w:rFonts w:hint="cs"/>
          <w:rtl/>
        </w:rPr>
        <w:t>האבהא"ז</w:t>
      </w:r>
      <w:r w:rsidRPr="00CD3894">
        <w:rPr>
          <w:rStyle w:val="aff6"/>
          <w:rFonts w:hint="cs"/>
          <w:rtl/>
        </w:rPr>
        <w:t xml:space="preserve"> (טו"נ פ"</w:t>
      </w:r>
      <w:r w:rsidRPr="00CD3894">
        <w:rPr>
          <w:rStyle w:val="aff6"/>
          <w:rtl/>
        </w:rPr>
        <w:t>ט ה</w:t>
      </w:r>
      <w:r w:rsidRPr="00CD3894">
        <w:rPr>
          <w:rStyle w:val="aff6"/>
          <w:rFonts w:hint="cs"/>
          <w:rtl/>
        </w:rPr>
        <w:t>"</w:t>
      </w:r>
      <w:r w:rsidRPr="00CD3894">
        <w:rPr>
          <w:rStyle w:val="aff6"/>
          <w:rtl/>
        </w:rPr>
        <w:t>ו</w:t>
      </w:r>
      <w:r w:rsidRPr="00CD3894">
        <w:rPr>
          <w:rStyle w:val="aff6"/>
          <w:rFonts w:hint="cs"/>
          <w:rtl/>
        </w:rPr>
        <w:t xml:space="preserve"> ד"ה וראיתי) </w:t>
      </w:r>
      <w:r w:rsidRPr="00CD3894">
        <w:rPr>
          <w:rStyle w:val="afb"/>
          <w:rFonts w:hint="cs"/>
          <w:rtl/>
        </w:rPr>
        <w:t xml:space="preserve">בדברי </w:t>
      </w:r>
      <w:r w:rsidRPr="00CD3894">
        <w:rPr>
          <w:rStyle w:val="affa"/>
          <w:rFonts w:hint="cs"/>
          <w:rtl/>
        </w:rPr>
        <w:t>הקצוה"ח</w:t>
      </w:r>
      <w:r w:rsidRPr="00CD3894">
        <w:rPr>
          <w:rStyle w:val="afb"/>
          <w:rFonts w:hint="cs"/>
          <w:rtl/>
        </w:rPr>
        <w:t>].</w:t>
      </w:r>
    </w:p>
    <w:p w:rsidR="00F163D7" w:rsidRDefault="00F163D7" w:rsidP="00F163D7">
      <w:pPr>
        <w:pStyle w:val="a3"/>
        <w:rPr>
          <w:rtl/>
        </w:rPr>
      </w:pPr>
      <w:bookmarkStart w:id="4197" w:name="_Toc55991887"/>
      <w:bookmarkStart w:id="4198" w:name="_Toc56030436"/>
      <w:bookmarkStart w:id="4199" w:name="_Toc56032628"/>
      <w:r>
        <w:rPr>
          <w:rFonts w:hint="cs"/>
          <w:rtl/>
        </w:rPr>
        <w:t>תירוץ חי' רמ"ש דבדלי ליה הוא אנ"ס ובלפירות הורדתיו אין אנ"ס ובחזקת ג"ש הוא אומדנא</w:t>
      </w:r>
      <w:bookmarkEnd w:id="4197"/>
      <w:bookmarkEnd w:id="4198"/>
      <w:bookmarkEnd w:id="4199"/>
      <w:r>
        <w:rPr>
          <w:rFonts w:hint="cs"/>
          <w:rtl/>
        </w:rPr>
        <w:t xml:space="preserve"> </w:t>
      </w:r>
    </w:p>
    <w:p w:rsidR="00F163D7" w:rsidRDefault="00F163D7" w:rsidP="007E4E81">
      <w:pPr>
        <w:pStyle w:val="a0"/>
        <w:rPr>
          <w:rtl/>
        </w:rPr>
      </w:pPr>
      <w:r>
        <w:rPr>
          <w:rFonts w:hint="cs"/>
          <w:rtl/>
        </w:rPr>
        <w:t xml:space="preserve">ותירץ </w:t>
      </w:r>
      <w:r w:rsidRPr="000D3E37">
        <w:rPr>
          <w:rStyle w:val="af9"/>
          <w:rFonts w:hint="cs"/>
          <w:rtl/>
        </w:rPr>
        <w:t xml:space="preserve">בחי' רמ"ש </w:t>
      </w:r>
      <w:r w:rsidRPr="000D3E37">
        <w:rPr>
          <w:rStyle w:val="af7"/>
          <w:rFonts w:eastAsia="Guttman Hodes" w:hint="cs"/>
          <w:rtl/>
        </w:rPr>
        <w:t>(או' א' ד"ה הקצוה"ח)</w:t>
      </w:r>
      <w:r>
        <w:rPr>
          <w:rFonts w:hint="cs"/>
          <w:rtl/>
        </w:rPr>
        <w:t xml:space="preserve"> את</w:t>
      </w:r>
      <w:r w:rsidR="00A77F33">
        <w:rPr>
          <w:rFonts w:hint="cs"/>
          <w:rtl/>
        </w:rPr>
        <w:t xml:space="preserve"> </w:t>
      </w:r>
      <w:r>
        <w:rPr>
          <w:rFonts w:hint="cs"/>
          <w:rtl/>
        </w:rPr>
        <w:t xml:space="preserve">קושית </w:t>
      </w:r>
      <w:r w:rsidRPr="000D3E37">
        <w:rPr>
          <w:rStyle w:val="af9"/>
          <w:rFonts w:hint="cs"/>
          <w:rtl/>
        </w:rPr>
        <w:t xml:space="preserve">הקצוה"ח </w:t>
      </w:r>
      <w:r w:rsidRPr="000D3E37">
        <w:rPr>
          <w:rStyle w:val="af7"/>
          <w:rFonts w:eastAsia="Guttman Hodes" w:hint="cs"/>
          <w:rtl/>
        </w:rPr>
        <w:t xml:space="preserve">(עי' אות </w:t>
      </w:r>
      <w:r w:rsidRPr="000D3E37">
        <w:rPr>
          <w:rStyle w:val="af7"/>
          <w:rFonts w:eastAsia="Guttman Hodes"/>
          <w:rtl/>
        </w:rPr>
        <w:fldChar w:fldCharType="begin"/>
      </w:r>
      <w:r w:rsidRPr="000D3E37">
        <w:rPr>
          <w:rStyle w:val="af7"/>
          <w:rFonts w:eastAsia="Guttman Hodes"/>
          <w:rtl/>
        </w:rPr>
        <w:instrText xml:space="preserve"> </w:instrText>
      </w:r>
      <w:r w:rsidRPr="000D3E37">
        <w:rPr>
          <w:rStyle w:val="af7"/>
          <w:rFonts w:eastAsia="Guttman Hodes" w:hint="cs"/>
        </w:rPr>
        <w:instrText>REF</w:instrText>
      </w:r>
      <w:r w:rsidRPr="000D3E37">
        <w:rPr>
          <w:rStyle w:val="af7"/>
          <w:rFonts w:eastAsia="Guttman Hodes" w:hint="cs"/>
          <w:rtl/>
        </w:rPr>
        <w:instrText xml:space="preserve"> _</w:instrText>
      </w:r>
      <w:r w:rsidRPr="000D3E37">
        <w:rPr>
          <w:rStyle w:val="af7"/>
          <w:rFonts w:eastAsia="Guttman Hodes" w:hint="cs"/>
        </w:rPr>
        <w:instrText>Ref55567158 \r \h</w:instrText>
      </w:r>
      <w:r w:rsidRPr="000D3E37">
        <w:rPr>
          <w:rStyle w:val="af7"/>
          <w:rFonts w:eastAsia="Guttman Hodes"/>
          <w:rtl/>
        </w:rPr>
        <w:instrText xml:space="preserve"> </w:instrText>
      </w:r>
      <w:r w:rsidRPr="000D3E37">
        <w:rPr>
          <w:rStyle w:val="af7"/>
          <w:rFonts w:eastAsia="Guttman Hodes"/>
          <w:rtl/>
        </w:rPr>
      </w:r>
      <w:r w:rsidRPr="000D3E37">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0D3E37">
        <w:rPr>
          <w:rStyle w:val="af7"/>
          <w:rFonts w:eastAsia="Guttman Hodes"/>
          <w:rtl/>
        </w:rPr>
        <w:fldChar w:fldCharType="end"/>
      </w:r>
      <w:r>
        <w:rPr>
          <w:rFonts w:hint="cs"/>
          <w:rtl/>
        </w:rPr>
        <w:t xml:space="preserve"> על </w:t>
      </w:r>
      <w:r w:rsidRPr="000D3E37">
        <w:rPr>
          <w:rStyle w:val="af9"/>
          <w:rFonts w:hint="cs"/>
          <w:rtl/>
        </w:rPr>
        <w:t xml:space="preserve">הרמב"ן </w:t>
      </w:r>
      <w:r>
        <w:rPr>
          <w:rFonts w:hint="cs"/>
          <w:rtl/>
        </w:rPr>
        <w:t xml:space="preserve">דבתוך ג"ש יש ריעותא בחזקת המחזיק כיון שאין לו שטר, אבל בדלי ליה צנא דפירי אין כל ריעותא במה שאין לו שטר, </w:t>
      </w:r>
      <w:r w:rsidRPr="000D3E37">
        <w:rPr>
          <w:rStyle w:val="afb"/>
          <w:rFonts w:hint="cs"/>
          <w:rtl/>
        </w:rPr>
        <w:t xml:space="preserve">[כדמוכח בגמ' לקמן </w:t>
      </w:r>
      <w:r w:rsidRPr="000D3E37">
        <w:rPr>
          <w:rStyle w:val="aff6"/>
          <w:rFonts w:hint="cs"/>
          <w:rtl/>
        </w:rPr>
        <w:t>(לה:)</w:t>
      </w:r>
      <w:r w:rsidRPr="000D3E37">
        <w:rPr>
          <w:rStyle w:val="afb"/>
          <w:rFonts w:hint="cs"/>
          <w:rtl/>
        </w:rPr>
        <w:t>],</w:t>
      </w:r>
      <w:r>
        <w:rPr>
          <w:rFonts w:hint="cs"/>
          <w:rtl/>
        </w:rPr>
        <w:t xml:space="preserve"> ומוכח דבתוך ג"ש יש רק אומדנא דמוכח דכל ששתק ולא הקפיד מסתמא מכר לו, ולכן בתוך ג"ש יש בכח הריעותא דאחוי שטרך לבטל את האומדנא, אבל בדלי ליה צנא דפירי חשיב שיש אנן סהדי דמכר לו, ולכן לא חיישינן לריעותא דאחוי שטרך, אבל אם טען לפירות הורדיתך, א"כ אף דדלי ליה צנא דפירי אין אנן סהדי, משא"כ בחזקת ג"ש דהראיה ממה שלא מחה המערער היא רק אומדנא, והריעותא דאחוי שטרך מבטלת את האומדנא, וממילא תלויה החזקה בג"ש.</w:t>
      </w:r>
    </w:p>
    <w:p w:rsidR="00F163D7" w:rsidRDefault="00F163D7" w:rsidP="00F163D7">
      <w:pPr>
        <w:pStyle w:val="1"/>
        <w:rPr>
          <w:rtl/>
        </w:rPr>
      </w:pPr>
      <w:bookmarkStart w:id="4200" w:name="_Toc53934431"/>
      <w:bookmarkStart w:id="4201" w:name="_Toc54076394"/>
      <w:bookmarkStart w:id="4202" w:name="_Toc55419915"/>
      <w:bookmarkStart w:id="4203" w:name="_Toc55419971"/>
      <w:bookmarkStart w:id="4204" w:name="_Toc55421185"/>
      <w:bookmarkStart w:id="4205" w:name="_Toc55508563"/>
      <w:bookmarkStart w:id="4206" w:name="_Toc55569214"/>
      <w:bookmarkStart w:id="4207" w:name="_Toc55718325"/>
      <w:bookmarkStart w:id="4208" w:name="_Toc55739921"/>
      <w:bookmarkStart w:id="4209" w:name="_Toc55839469"/>
      <w:bookmarkStart w:id="4210" w:name="_Toc55927860"/>
      <w:bookmarkStart w:id="4211" w:name="_Toc55946586"/>
      <w:bookmarkStart w:id="4212" w:name="_Toc55991888"/>
      <w:bookmarkStart w:id="4213" w:name="_Toc56030437"/>
      <w:bookmarkStart w:id="4214" w:name="_Toc56032629"/>
      <w:r>
        <w:rPr>
          <w:rFonts w:hint="cs"/>
          <w:rtl/>
        </w:rPr>
        <w:t>קושית הקצוה"ח על הרמב"ן מדין חזקה בעבד קטן</w:t>
      </w:r>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p>
    <w:p w:rsidR="00F163D7" w:rsidRDefault="00F163D7" w:rsidP="00F163D7">
      <w:pPr>
        <w:pStyle w:val="a3"/>
        <w:rPr>
          <w:rtl/>
        </w:rPr>
      </w:pPr>
      <w:bookmarkStart w:id="4215" w:name="_Toc55991889"/>
      <w:bookmarkStart w:id="4216" w:name="_Toc56030438"/>
      <w:bookmarkStart w:id="4217" w:name="_Toc56032630"/>
      <w:r>
        <w:rPr>
          <w:rFonts w:hint="cs"/>
          <w:rtl/>
        </w:rPr>
        <w:t>קושית הקצוה"ח דאמאי בעבד קטן יש חזקה לאלתר הא יש ריעותא דאחוי שטרך</w:t>
      </w:r>
      <w:bookmarkEnd w:id="4215"/>
      <w:bookmarkEnd w:id="4216"/>
      <w:bookmarkEnd w:id="4217"/>
    </w:p>
    <w:p w:rsidR="00F163D7" w:rsidRDefault="00F163D7" w:rsidP="007E4E81">
      <w:pPr>
        <w:pStyle w:val="a0"/>
        <w:rPr>
          <w:rtl/>
        </w:rPr>
      </w:pPr>
      <w:bookmarkStart w:id="4218" w:name="_Ref55749815"/>
      <w:r>
        <w:rPr>
          <w:rFonts w:hint="cs"/>
          <w:rtl/>
        </w:rPr>
        <w:t xml:space="preserve">בהא דאיתא בגמ' לקמן </w:t>
      </w:r>
      <w:r w:rsidRPr="00272161">
        <w:rPr>
          <w:rStyle w:val="af7"/>
          <w:rFonts w:eastAsia="Guttman Hodes" w:hint="cs"/>
          <w:rtl/>
        </w:rPr>
        <w:t>(לו.)</w:t>
      </w:r>
      <w:r>
        <w:rPr>
          <w:rFonts w:hint="cs"/>
          <w:rtl/>
        </w:rPr>
        <w:t xml:space="preserve"> דעבד קטן יש לו חזקה לאלתר כיון שאינו יכול להלך, הקשה </w:t>
      </w:r>
      <w:r w:rsidRPr="00CA00E1">
        <w:rPr>
          <w:rStyle w:val="af9"/>
          <w:rFonts w:hint="cs"/>
          <w:rtl/>
        </w:rPr>
        <w:t>הקצוה"ח</w:t>
      </w:r>
      <w:r>
        <w:rPr>
          <w:rFonts w:hint="cs"/>
          <w:rtl/>
        </w:rPr>
        <w:t xml:space="preserve"> </w:t>
      </w:r>
      <w:r w:rsidRPr="00272161">
        <w:rPr>
          <w:rStyle w:val="af7"/>
          <w:rFonts w:eastAsia="Guttman Hodes" w:hint="cs"/>
          <w:rtl/>
        </w:rPr>
        <w:t>(סי' קל"ה סק"ב)</w:t>
      </w:r>
      <w:r>
        <w:rPr>
          <w:rFonts w:hint="cs"/>
          <w:rtl/>
        </w:rPr>
        <w:t xml:space="preserve"> דלפי דעת </w:t>
      </w:r>
      <w:r w:rsidRPr="00CA00E1">
        <w:rPr>
          <w:rStyle w:val="af9"/>
          <w:rFonts w:hint="cs"/>
          <w:rtl/>
        </w:rPr>
        <w:t>הרמב"ן</w:t>
      </w:r>
      <w:r>
        <w:rPr>
          <w:rFonts w:hint="cs"/>
          <w:rtl/>
        </w:rPr>
        <w:t xml:space="preserve">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דהטעם של חזקת ג"ש, הוא דכיון שהמערער שתק יש רגלים לדבר דמכר לו, אלא דבתוך</w:t>
      </w:r>
      <w:r w:rsidRPr="002F34B1">
        <w:rPr>
          <w:rFonts w:hint="cs"/>
          <w:rtl/>
        </w:rPr>
        <w:t xml:space="preserve"> </w:t>
      </w:r>
      <w:r>
        <w:rPr>
          <w:rFonts w:hint="cs"/>
          <w:rtl/>
        </w:rPr>
        <w:t xml:space="preserve">טוענים למחזיק אחוי שטרך, א"כ כיון דעבדים בני שטרא, נימא ליה אחוי שטרך, ועי' במה שתירצו </w:t>
      </w:r>
      <w:r w:rsidRPr="00990521">
        <w:rPr>
          <w:rStyle w:val="af9"/>
          <w:rFonts w:hint="cs"/>
          <w:rtl/>
        </w:rPr>
        <w:t xml:space="preserve">בחי' רבי ראובן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Ref56007326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Pr>
          <w:rStyle w:val="af7"/>
          <w:rFonts w:eastAsia="Guttman Hodes"/>
          <w:rtl/>
        </w:rPr>
        <w:fldChar w:fldCharType="end"/>
      </w:r>
      <w:r w:rsidR="00A77F33">
        <w:rPr>
          <w:rStyle w:val="af7"/>
          <w:rFonts w:eastAsia="Guttman Hodes" w:hint="cs"/>
          <w:rtl/>
        </w:rPr>
        <w:t xml:space="preserve"> </w:t>
      </w:r>
      <w:r w:rsidRPr="006F7C20">
        <w:rPr>
          <w:rStyle w:val="af9"/>
          <w:rFonts w:hint="cs"/>
          <w:rtl/>
        </w:rPr>
        <w:t>ובקוב"ש</w:t>
      </w:r>
      <w:r>
        <w:rPr>
          <w:rFonts w:hint="cs"/>
          <w:rtl/>
        </w:rPr>
        <w:t xml:space="preserve"> </w:t>
      </w:r>
      <w:r w:rsidRPr="006F7C20">
        <w:rPr>
          <w:rStyle w:val="af7"/>
          <w:rFonts w:eastAsia="Guttman Hodes" w:hint="cs"/>
          <w:rtl/>
        </w:rPr>
        <w:t xml:space="preserve">(עי' אות </w:t>
      </w:r>
      <w:r w:rsidRPr="006F7C20">
        <w:rPr>
          <w:rStyle w:val="af7"/>
          <w:rFonts w:eastAsia="Guttman Hodes"/>
          <w:rtl/>
        </w:rPr>
        <w:fldChar w:fldCharType="begin"/>
      </w:r>
      <w:r w:rsidRPr="006F7C20">
        <w:rPr>
          <w:rStyle w:val="af7"/>
          <w:rFonts w:eastAsia="Guttman Hodes"/>
          <w:rtl/>
        </w:rPr>
        <w:instrText xml:space="preserve"> </w:instrText>
      </w:r>
      <w:r w:rsidRPr="006F7C20">
        <w:rPr>
          <w:rStyle w:val="af7"/>
          <w:rFonts w:eastAsia="Guttman Hodes" w:hint="cs"/>
        </w:rPr>
        <w:instrText>REF</w:instrText>
      </w:r>
      <w:r w:rsidRPr="006F7C20">
        <w:rPr>
          <w:rStyle w:val="af7"/>
          <w:rFonts w:eastAsia="Guttman Hodes" w:hint="cs"/>
          <w:rtl/>
        </w:rPr>
        <w:instrText xml:space="preserve"> _</w:instrText>
      </w:r>
      <w:r w:rsidRPr="006F7C20">
        <w:rPr>
          <w:rStyle w:val="af7"/>
          <w:rFonts w:eastAsia="Guttman Hodes" w:hint="cs"/>
        </w:rPr>
        <w:instrText>Ref54134082 \r \h</w:instrText>
      </w:r>
      <w:r w:rsidRPr="006F7C20">
        <w:rPr>
          <w:rStyle w:val="af7"/>
          <w:rFonts w:eastAsia="Guttman Hodes"/>
          <w:rtl/>
        </w:rPr>
        <w:instrText xml:space="preserve"> </w:instrText>
      </w:r>
      <w:r w:rsidRPr="006F7C20">
        <w:rPr>
          <w:rStyle w:val="af7"/>
          <w:rFonts w:eastAsia="Guttman Hodes"/>
          <w:rtl/>
        </w:rPr>
      </w:r>
      <w:r w:rsidRPr="006F7C20">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sidRPr="006F7C20">
        <w:rPr>
          <w:rStyle w:val="af7"/>
          <w:rFonts w:eastAsia="Guttman Hodes"/>
          <w:rtl/>
        </w:rPr>
        <w:fldChar w:fldCharType="end"/>
      </w:r>
      <w:r>
        <w:rPr>
          <w:rFonts w:hint="cs"/>
          <w:rtl/>
        </w:rPr>
        <w:t xml:space="preserve"> </w:t>
      </w:r>
      <w:r>
        <w:rPr>
          <w:rStyle w:val="af9"/>
          <w:rFonts w:hint="cs"/>
          <w:rtl/>
        </w:rPr>
        <w:t>ו</w:t>
      </w:r>
      <w:r>
        <w:rPr>
          <w:rStyle w:val="af9"/>
          <w:rtl/>
        </w:rPr>
        <w:t xml:space="preserve">בשיעורי רבי שמואל </w:t>
      </w:r>
      <w:r w:rsidRPr="006F7C20">
        <w:rPr>
          <w:rStyle w:val="af7"/>
          <w:rFonts w:eastAsia="Guttman Hodes" w:hint="cs"/>
          <w:rtl/>
        </w:rPr>
        <w:t xml:space="preserve">(עי' אות </w:t>
      </w:r>
      <w:r w:rsidRPr="006F7C20">
        <w:rPr>
          <w:rStyle w:val="af7"/>
          <w:rFonts w:eastAsia="Guttman Hodes"/>
          <w:rtl/>
        </w:rPr>
        <w:fldChar w:fldCharType="begin"/>
      </w:r>
      <w:r w:rsidRPr="006F7C20">
        <w:rPr>
          <w:rStyle w:val="af7"/>
          <w:rFonts w:eastAsia="Guttman Hodes"/>
          <w:rtl/>
        </w:rPr>
        <w:instrText xml:space="preserve"> </w:instrText>
      </w:r>
      <w:r w:rsidRPr="006F7C20">
        <w:rPr>
          <w:rStyle w:val="af7"/>
          <w:rFonts w:eastAsia="Guttman Hodes" w:hint="cs"/>
        </w:rPr>
        <w:instrText>REF</w:instrText>
      </w:r>
      <w:r w:rsidRPr="006F7C20">
        <w:rPr>
          <w:rStyle w:val="af7"/>
          <w:rFonts w:eastAsia="Guttman Hodes" w:hint="cs"/>
          <w:rtl/>
        </w:rPr>
        <w:instrText xml:space="preserve"> _</w:instrText>
      </w:r>
      <w:r w:rsidRPr="006F7C20">
        <w:rPr>
          <w:rStyle w:val="af7"/>
          <w:rFonts w:eastAsia="Guttman Hodes" w:hint="cs"/>
        </w:rPr>
        <w:instrText>Ref56028897 \r \h</w:instrText>
      </w:r>
      <w:r w:rsidRPr="006F7C20">
        <w:rPr>
          <w:rStyle w:val="af7"/>
          <w:rFonts w:eastAsia="Guttman Hodes"/>
          <w:rtl/>
        </w:rPr>
        <w:instrText xml:space="preserve"> </w:instrText>
      </w:r>
      <w:r w:rsidRPr="006F7C20">
        <w:rPr>
          <w:rStyle w:val="af7"/>
          <w:rFonts w:eastAsia="Guttman Hodes"/>
          <w:rtl/>
        </w:rPr>
      </w:r>
      <w:r w:rsidRPr="006F7C20">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6F7C20">
        <w:rPr>
          <w:rStyle w:val="af7"/>
          <w:rFonts w:eastAsia="Guttman Hodes"/>
          <w:rtl/>
        </w:rPr>
        <w:fldChar w:fldCharType="end"/>
      </w:r>
      <w:r>
        <w:rPr>
          <w:rFonts w:hint="cs"/>
          <w:rtl/>
        </w:rPr>
        <w:t xml:space="preserve"> את קושית </w:t>
      </w:r>
      <w:r w:rsidRPr="00990521">
        <w:rPr>
          <w:rStyle w:val="af9"/>
          <w:rFonts w:hint="cs"/>
          <w:rtl/>
        </w:rPr>
        <w:t>הקצוה"ח</w:t>
      </w:r>
      <w:r>
        <w:rPr>
          <w:rFonts w:hint="cs"/>
          <w:rtl/>
        </w:rPr>
        <w:t>.</w:t>
      </w:r>
      <w:bookmarkEnd w:id="4218"/>
    </w:p>
    <w:p w:rsidR="00F163D7" w:rsidRDefault="00F163D7" w:rsidP="00F163D7">
      <w:pPr>
        <w:pStyle w:val="a3"/>
        <w:rPr>
          <w:rtl/>
        </w:rPr>
      </w:pPr>
      <w:bookmarkStart w:id="4219" w:name="_Toc55991890"/>
      <w:bookmarkStart w:id="4220" w:name="_Toc56030439"/>
      <w:bookmarkStart w:id="4221" w:name="_Toc56032631"/>
      <w:r>
        <w:rPr>
          <w:rFonts w:hint="cs"/>
          <w:rtl/>
        </w:rPr>
        <w:t>תי' הקצוה"ח דבעבד קטן יש ראיה דאמו לא שכחתו דמהני כנגד אחוי שטרך כמו דלי צנא דפירי</w:t>
      </w:r>
      <w:bookmarkEnd w:id="4219"/>
      <w:bookmarkEnd w:id="4220"/>
      <w:bookmarkEnd w:id="4221"/>
    </w:p>
    <w:p w:rsidR="00F163D7" w:rsidRDefault="00F163D7" w:rsidP="007E4E81">
      <w:pPr>
        <w:pStyle w:val="a0"/>
        <w:rPr>
          <w:rtl/>
        </w:rPr>
      </w:pPr>
      <w:bookmarkStart w:id="4222" w:name="_Ref55749869"/>
      <w:r>
        <w:rPr>
          <w:rFonts w:hint="cs"/>
          <w:rtl/>
        </w:rPr>
        <w:t xml:space="preserve">ותירץ </w:t>
      </w:r>
      <w:r w:rsidRPr="00272161">
        <w:rPr>
          <w:rStyle w:val="af9"/>
          <w:rFonts w:hint="cs"/>
          <w:rtl/>
        </w:rPr>
        <w:t>הקצוה"ח</w:t>
      </w:r>
      <w:r>
        <w:rPr>
          <w:rFonts w:hint="cs"/>
          <w:rtl/>
        </w:rPr>
        <w:t xml:space="preserve"> דהא איתא בגמ' לקמן </w:t>
      </w:r>
      <w:r w:rsidRPr="00272161">
        <w:rPr>
          <w:rStyle w:val="af7"/>
          <w:rFonts w:eastAsia="Guttman Hodes" w:hint="cs"/>
          <w:rtl/>
        </w:rPr>
        <w:t>(לה:)</w:t>
      </w:r>
      <w:r>
        <w:rPr>
          <w:rFonts w:hint="cs"/>
          <w:rtl/>
        </w:rPr>
        <w:t xml:space="preserve"> דבדלי ליה צנא דפירי, הוי חזקה לאלתר, ולא אמרינן ליה אחוי שטרך, ומבואר דבמקום שיש ראיה גדולה א"א לטעון לו אחוי שטרך, </w:t>
      </w:r>
      <w:r w:rsidRPr="00862A45">
        <w:rPr>
          <w:rStyle w:val="afb"/>
          <w:rFonts w:hint="cs"/>
          <w:rtl/>
        </w:rPr>
        <w:t xml:space="preserve">[ורק בחזקת ג"ש ששתיקת המערער אינה ראיה גדולה כ"כ, כדכתב </w:t>
      </w:r>
      <w:r w:rsidRPr="00862A45">
        <w:rPr>
          <w:rStyle w:val="affa"/>
          <w:rFonts w:hint="cs"/>
          <w:rtl/>
        </w:rPr>
        <w:t>הרמב"ן</w:t>
      </w:r>
      <w:r w:rsidRPr="00862A45">
        <w:rPr>
          <w:rStyle w:val="afb"/>
          <w:rFonts w:hint="cs"/>
          <w:rtl/>
        </w:rPr>
        <w:t xml:space="preserve"> דהוא רק רגלים לדבר, מהני טענת אחוי שטרך],</w:t>
      </w:r>
      <w:r>
        <w:rPr>
          <w:rFonts w:hint="cs"/>
          <w:rtl/>
        </w:rPr>
        <w:t xml:space="preserve"> וא"כ אף בעבד קטן המוטל בעריסה, שיש ראיה </w:t>
      </w:r>
      <w:r w:rsidRPr="00A600FD">
        <w:rPr>
          <w:rFonts w:hint="cs"/>
          <w:rtl/>
        </w:rPr>
        <w:t>גדולה דאימא לא מנשיא ברא</w:t>
      </w:r>
      <w:r>
        <w:rPr>
          <w:rFonts w:hint="cs"/>
          <w:rtl/>
        </w:rPr>
        <w:t xml:space="preserve">, </w:t>
      </w:r>
      <w:r w:rsidRPr="00A600FD">
        <w:rPr>
          <w:rStyle w:val="afb"/>
          <w:rFonts w:hint="cs"/>
          <w:rtl/>
        </w:rPr>
        <w:t>[דאינו הולך מעצמו</w:t>
      </w:r>
      <w:r>
        <w:rPr>
          <w:rStyle w:val="afb"/>
          <w:rFonts w:hint="cs"/>
          <w:rtl/>
        </w:rPr>
        <w:t xml:space="preserve"> ואמו הנחתו שם ולא שכחתו</w:t>
      </w:r>
      <w:r w:rsidRPr="00A600FD">
        <w:rPr>
          <w:rStyle w:val="afb"/>
          <w:rFonts w:hint="cs"/>
          <w:rtl/>
        </w:rPr>
        <w:t>],</w:t>
      </w:r>
      <w:r>
        <w:rPr>
          <w:rFonts w:hint="cs"/>
          <w:rtl/>
        </w:rPr>
        <w:t xml:space="preserve"> לכן לא שייך בו טענת אחוי שטרך, ועי' במ"ש </w:t>
      </w:r>
      <w:r w:rsidRPr="00272161">
        <w:rPr>
          <w:rStyle w:val="af9"/>
          <w:rFonts w:hint="cs"/>
          <w:rtl/>
        </w:rPr>
        <w:t>הברכ"ש</w:t>
      </w:r>
      <w:r>
        <w:rPr>
          <w:rFonts w:hint="cs"/>
          <w:rtl/>
        </w:rPr>
        <w:t xml:space="preserve"> </w:t>
      </w:r>
      <w:r w:rsidRPr="006D2E92">
        <w:rPr>
          <w:rStyle w:val="af7"/>
          <w:rFonts w:eastAsia="Guttman Hodes" w:hint="cs"/>
          <w:rtl/>
        </w:rPr>
        <w:t xml:space="preserve">(עי' אות </w:t>
      </w:r>
      <w:r w:rsidRPr="006D2E92">
        <w:rPr>
          <w:rStyle w:val="af7"/>
          <w:rFonts w:eastAsia="Guttman Hodes"/>
          <w:rtl/>
        </w:rPr>
        <w:fldChar w:fldCharType="begin"/>
      </w:r>
      <w:r w:rsidRPr="006D2E92">
        <w:rPr>
          <w:rStyle w:val="af7"/>
          <w:rFonts w:eastAsia="Guttman Hodes"/>
          <w:rtl/>
        </w:rPr>
        <w:instrText xml:space="preserve"> </w:instrText>
      </w:r>
      <w:r w:rsidRPr="006D2E92">
        <w:rPr>
          <w:rStyle w:val="af7"/>
          <w:rFonts w:eastAsia="Guttman Hodes" w:hint="cs"/>
        </w:rPr>
        <w:instrText>REF</w:instrText>
      </w:r>
      <w:r w:rsidRPr="006D2E92">
        <w:rPr>
          <w:rStyle w:val="af7"/>
          <w:rFonts w:eastAsia="Guttman Hodes" w:hint="cs"/>
          <w:rtl/>
        </w:rPr>
        <w:instrText xml:space="preserve"> _</w:instrText>
      </w:r>
      <w:r w:rsidRPr="006D2E92">
        <w:rPr>
          <w:rStyle w:val="af7"/>
          <w:rFonts w:eastAsia="Guttman Hodes" w:hint="cs"/>
        </w:rPr>
        <w:instrText>Ref55987819 \r \h</w:instrText>
      </w:r>
      <w:r w:rsidRPr="006D2E92">
        <w:rPr>
          <w:rStyle w:val="af7"/>
          <w:rFonts w:eastAsia="Guttman Hodes"/>
          <w:rtl/>
        </w:rPr>
        <w:instrText xml:space="preserve"> </w:instrText>
      </w:r>
      <w:r w:rsidRPr="006D2E92">
        <w:rPr>
          <w:rStyle w:val="af7"/>
          <w:rFonts w:eastAsia="Guttman Hodes"/>
          <w:rtl/>
        </w:rPr>
      </w:r>
      <w:r w:rsidRPr="006D2E92">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6D2E92">
        <w:rPr>
          <w:rStyle w:val="af7"/>
          <w:rFonts w:eastAsia="Guttman Hodes"/>
          <w:rtl/>
        </w:rPr>
        <w:fldChar w:fldCharType="end"/>
      </w:r>
      <w:r>
        <w:rPr>
          <w:rFonts w:hint="cs"/>
          <w:rtl/>
        </w:rPr>
        <w:t xml:space="preserve"> בדברי </w:t>
      </w:r>
      <w:r w:rsidRPr="00272161">
        <w:rPr>
          <w:rStyle w:val="af9"/>
          <w:rFonts w:hint="cs"/>
          <w:rtl/>
        </w:rPr>
        <w:t>הקצוה"ח</w:t>
      </w:r>
      <w:r>
        <w:rPr>
          <w:rFonts w:hint="cs"/>
          <w:rtl/>
        </w:rPr>
        <w:t>.</w:t>
      </w:r>
      <w:bookmarkEnd w:id="4222"/>
    </w:p>
    <w:p w:rsidR="00F163D7" w:rsidRDefault="00F163D7" w:rsidP="00F163D7">
      <w:pPr>
        <w:pStyle w:val="1"/>
        <w:rPr>
          <w:rtl/>
        </w:rPr>
      </w:pPr>
      <w:bookmarkStart w:id="4223" w:name="_Toc55927861"/>
      <w:bookmarkStart w:id="4224" w:name="_Toc55946587"/>
      <w:bookmarkStart w:id="4225" w:name="_Toc55991891"/>
      <w:bookmarkStart w:id="4226" w:name="_Toc56030440"/>
      <w:bookmarkStart w:id="4227" w:name="_Toc56032632"/>
      <w:r>
        <w:rPr>
          <w:rFonts w:hint="cs"/>
          <w:rtl/>
        </w:rPr>
        <w:lastRenderedPageBreak/>
        <w:t>קושית השע"מ על הרמב"ן מהא דמהני חזקת ג"ש ליורש</w:t>
      </w:r>
      <w:bookmarkEnd w:id="4189"/>
      <w:bookmarkEnd w:id="4190"/>
      <w:bookmarkEnd w:id="4223"/>
      <w:bookmarkEnd w:id="4224"/>
      <w:bookmarkEnd w:id="4225"/>
      <w:bookmarkEnd w:id="4226"/>
      <w:bookmarkEnd w:id="4227"/>
    </w:p>
    <w:p w:rsidR="00F163D7" w:rsidRPr="004213B4" w:rsidRDefault="00F163D7" w:rsidP="00F163D7">
      <w:pPr>
        <w:pStyle w:val="a3"/>
        <w:rPr>
          <w:rtl/>
        </w:rPr>
      </w:pPr>
      <w:bookmarkStart w:id="4228" w:name="_Toc55991892"/>
      <w:bookmarkStart w:id="4229" w:name="_Toc56030441"/>
      <w:bookmarkStart w:id="4230" w:name="_Toc56032633"/>
      <w:r>
        <w:rPr>
          <w:rFonts w:hint="cs"/>
          <w:rtl/>
        </w:rPr>
        <w:t>קושית השע"מ דיורש צריך ג"ש אף דאין עליו טענת אחוי שטרך דאי הוי ריעותא אין כל חזקה</w:t>
      </w:r>
      <w:bookmarkEnd w:id="4228"/>
      <w:bookmarkEnd w:id="4229"/>
      <w:bookmarkEnd w:id="4230"/>
    </w:p>
    <w:p w:rsidR="00F163D7" w:rsidRDefault="00F163D7" w:rsidP="007E4E81">
      <w:pPr>
        <w:pStyle w:val="a0"/>
        <w:rPr>
          <w:rtl/>
        </w:rPr>
      </w:pPr>
      <w:bookmarkStart w:id="4231" w:name="_Ref55678429"/>
      <w:bookmarkStart w:id="4232" w:name="_Ref56007990"/>
      <w:r>
        <w:rPr>
          <w:rFonts w:hint="cs"/>
          <w:rtl/>
        </w:rPr>
        <w:t xml:space="preserve">הקשה </w:t>
      </w:r>
      <w:r w:rsidRPr="00F640CC">
        <w:rPr>
          <w:rStyle w:val="af9"/>
          <w:rFonts w:hint="cs"/>
          <w:rtl/>
        </w:rPr>
        <w:t>השער משפט</w:t>
      </w:r>
      <w:r w:rsidRPr="00296B28">
        <w:rPr>
          <w:rFonts w:hint="cs"/>
          <w:rtl/>
        </w:rPr>
        <w:t xml:space="preserve"> </w:t>
      </w:r>
      <w:r w:rsidRPr="00F640CC">
        <w:rPr>
          <w:rStyle w:val="af7"/>
          <w:rFonts w:eastAsia="Guttman Hodes" w:hint="cs"/>
          <w:rtl/>
        </w:rPr>
        <w:t>(סי' ק"מ סק"ג ד"ה אמנם)</w:t>
      </w:r>
      <w:r>
        <w:rPr>
          <w:rFonts w:hint="cs"/>
          <w:rtl/>
        </w:rPr>
        <w:t xml:space="preserve"> על</w:t>
      </w:r>
      <w:r w:rsidRPr="00154BD5">
        <w:rPr>
          <w:rFonts w:hint="cs"/>
          <w:rtl/>
        </w:rPr>
        <w:t xml:space="preserve"> </w:t>
      </w:r>
      <w:r w:rsidRPr="00154BD5">
        <w:rPr>
          <w:rStyle w:val="af9"/>
          <w:rFonts w:hint="cs"/>
          <w:rtl/>
        </w:rPr>
        <w:t>הרמב"ן 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 xml:space="preserve">דהא פסק </w:t>
      </w:r>
      <w:r w:rsidRPr="00F640CC">
        <w:rPr>
          <w:rStyle w:val="af9"/>
          <w:rFonts w:hint="cs"/>
          <w:rtl/>
        </w:rPr>
        <w:t>השו"ע</w:t>
      </w:r>
      <w:r>
        <w:rPr>
          <w:rFonts w:hint="cs"/>
          <w:rtl/>
        </w:rPr>
        <w:t xml:space="preserve"> </w:t>
      </w:r>
      <w:r w:rsidRPr="00F640CC">
        <w:rPr>
          <w:rStyle w:val="af7"/>
          <w:rFonts w:eastAsia="Guttman Hodes" w:hint="cs"/>
          <w:rtl/>
        </w:rPr>
        <w:t>(סי' קמ"ו י')</w:t>
      </w:r>
      <w:r>
        <w:rPr>
          <w:rFonts w:hint="cs"/>
          <w:rtl/>
        </w:rPr>
        <w:t xml:space="preserve"> דיורש שיש לו עדים שדר אביו בקרקע יום אחד, והיורש דר בה ג"ש הוי חזקה, ובודאי איירי שאין היורש אומר שיש לו שטר מאביו, דא"כ א"צ עדים שדר בה חד יומא, ואי מה שלא מצא שטר בעזבונו של אביו הוא ריעותא, א"כ לא מהני שישב בה אח"כ ג"ש, ואי לא חשיב כריעותא, א"כ בפחות מג"ש הוי חזקה, דכל שיש למערער ריעותא ששתק על ישיבת האב והבן, ולבן אין ריעותא במה שאין לו שטר, הוי חזקה</w:t>
      </w:r>
      <w:r>
        <w:rPr>
          <w:rStyle w:val="af1"/>
          <w:rtl/>
        </w:rPr>
        <w:footnoteReference w:id="16"/>
      </w:r>
      <w:r>
        <w:rPr>
          <w:rFonts w:hint="cs"/>
          <w:rtl/>
        </w:rPr>
        <w:t>.</w:t>
      </w:r>
      <w:bookmarkEnd w:id="4231"/>
      <w:r>
        <w:rPr>
          <w:rFonts w:hint="cs"/>
          <w:rtl/>
        </w:rPr>
        <w:t xml:space="preserve"> [</w:t>
      </w:r>
      <w:r w:rsidRPr="003C73C2">
        <w:rPr>
          <w:rStyle w:val="afb"/>
          <w:rtl/>
        </w:rPr>
        <w:t>וע</w:t>
      </w:r>
      <w:r>
        <w:rPr>
          <w:rStyle w:val="afb"/>
          <w:rFonts w:hint="cs"/>
          <w:rtl/>
        </w:rPr>
        <w:t>י'</w:t>
      </w:r>
      <w:r w:rsidRPr="003C73C2">
        <w:rPr>
          <w:rStyle w:val="afb"/>
          <w:rtl/>
        </w:rPr>
        <w:t xml:space="preserve"> במה שתירץ </w:t>
      </w:r>
      <w:r w:rsidRPr="003C73C2">
        <w:rPr>
          <w:rStyle w:val="affa"/>
          <w:rtl/>
        </w:rPr>
        <w:t xml:space="preserve">בחי' רבי ראובן </w:t>
      </w:r>
      <w:r w:rsidRPr="003C73C2">
        <w:rPr>
          <w:rStyle w:val="aff6"/>
          <w:rtl/>
        </w:rPr>
        <w:t>(סי' י"א הערה 1)</w:t>
      </w:r>
      <w:r>
        <w:rPr>
          <w:rFonts w:hint="cs"/>
          <w:rtl/>
        </w:rPr>
        <w:t>].</w:t>
      </w:r>
      <w:bookmarkEnd w:id="4232"/>
    </w:p>
    <w:p w:rsidR="00F163D7" w:rsidRDefault="00F163D7" w:rsidP="00F163D7">
      <w:pPr>
        <w:pStyle w:val="a3"/>
        <w:rPr>
          <w:rtl/>
        </w:rPr>
      </w:pPr>
      <w:bookmarkStart w:id="4233" w:name="_Toc55991893"/>
      <w:bookmarkStart w:id="4234" w:name="_Toc56030442"/>
      <w:bookmarkStart w:id="4235" w:name="_Toc56032634"/>
      <w:r>
        <w:rPr>
          <w:rFonts w:hint="cs"/>
          <w:rtl/>
        </w:rPr>
        <w:t>תירוץ חי' רמ"ש דיש ריעותא שאין לו שטר אך אחר תקנ"ח דג"ש כל שלא מחה יש אנן סהדי</w:t>
      </w:r>
      <w:bookmarkEnd w:id="4233"/>
      <w:bookmarkEnd w:id="4234"/>
      <w:bookmarkEnd w:id="4235"/>
    </w:p>
    <w:p w:rsidR="00F163D7" w:rsidRDefault="00F163D7" w:rsidP="007E4E81">
      <w:pPr>
        <w:pStyle w:val="a0"/>
        <w:rPr>
          <w:rtl/>
        </w:rPr>
      </w:pPr>
      <w:r>
        <w:rPr>
          <w:rFonts w:hint="cs"/>
          <w:rtl/>
        </w:rPr>
        <w:t xml:space="preserve">ותירץ </w:t>
      </w:r>
      <w:r w:rsidRPr="00F640CC">
        <w:rPr>
          <w:rStyle w:val="af9"/>
          <w:rFonts w:hint="cs"/>
          <w:rtl/>
        </w:rPr>
        <w:t>בחי' רמ"ש</w:t>
      </w:r>
      <w:r>
        <w:rPr>
          <w:rFonts w:hint="cs"/>
          <w:rtl/>
        </w:rPr>
        <w:t xml:space="preserve"> </w:t>
      </w:r>
      <w:r w:rsidRPr="00F640CC">
        <w:rPr>
          <w:rStyle w:val="af7"/>
          <w:rFonts w:eastAsia="Guttman Hodes" w:hint="cs"/>
          <w:rtl/>
        </w:rPr>
        <w:t>(או' ז' ד"ה עוד ראיתי)</w:t>
      </w:r>
      <w:r>
        <w:rPr>
          <w:rFonts w:hint="cs"/>
          <w:rtl/>
        </w:rPr>
        <w:t xml:space="preserve"> דודאי שיש ריעותא במה שהיורש לא מצא את השטר בעזבון של אביו, אלא דלאחר ג"ש כיון שתיקנו חכמים חזקה דהקרקע היא של המחזיק, א"כ כל שלא מחה המערער ביורש בכל הג"ש, יש אנן סהדי דהקרקע היא שלו, דהא היה למוכר למחות שמא יטען היורש שמצא שטר בעזבונו של אביו, ושמר עליו ג"ש, ואחר ג"ש לא נזהר בו, וכתב </w:t>
      </w:r>
      <w:r w:rsidRPr="00F640CC">
        <w:rPr>
          <w:rStyle w:val="af9"/>
          <w:rFonts w:hint="cs"/>
          <w:rtl/>
        </w:rPr>
        <w:t>בחי' רמ"ש</w:t>
      </w:r>
      <w:r>
        <w:rPr>
          <w:rFonts w:hint="cs"/>
          <w:rtl/>
        </w:rPr>
        <w:t xml:space="preserve"> דכיון שיש לו אנן סהדי, לא מהני הריעותא דלא מצא את השטר, דהיא ראיה גמורה כמו דדלי ליה צנא דפירי, דלא מהני הריעותא דאחוי שטרך נגד ראיה כזו, ועיי"ש </w:t>
      </w:r>
      <w:r w:rsidRPr="00F640CC">
        <w:rPr>
          <w:rStyle w:val="af9"/>
          <w:rFonts w:hint="cs"/>
          <w:rtl/>
        </w:rPr>
        <w:t>בחי' רמ"ש</w:t>
      </w:r>
      <w:r>
        <w:rPr>
          <w:rFonts w:hint="cs"/>
          <w:rtl/>
        </w:rPr>
        <w:t xml:space="preserve"> במה שהוסיף בזה. </w:t>
      </w:r>
    </w:p>
    <w:p w:rsidR="00F163D7" w:rsidRDefault="00F163D7" w:rsidP="00F163D7">
      <w:pPr>
        <w:pStyle w:val="1"/>
        <w:rPr>
          <w:rtl/>
        </w:rPr>
      </w:pPr>
      <w:bookmarkStart w:id="4236" w:name="_Toc55739898"/>
      <w:bookmarkStart w:id="4237" w:name="_Toc55839459"/>
      <w:bookmarkStart w:id="4238" w:name="_Toc55927862"/>
      <w:bookmarkStart w:id="4239" w:name="_Toc55946588"/>
      <w:bookmarkStart w:id="4240" w:name="_Toc55991894"/>
      <w:bookmarkStart w:id="4241" w:name="_Toc56030443"/>
      <w:bookmarkStart w:id="4242" w:name="_Toc56032635"/>
      <w:r>
        <w:rPr>
          <w:rFonts w:hint="cs"/>
          <w:rtl/>
        </w:rPr>
        <w:t>קושית השע"מ על הרמב"ן דאמאי צריך עדים על כל הג"ש</w:t>
      </w:r>
      <w:bookmarkEnd w:id="4236"/>
      <w:bookmarkEnd w:id="4237"/>
      <w:bookmarkEnd w:id="4238"/>
      <w:bookmarkEnd w:id="4239"/>
      <w:bookmarkEnd w:id="4240"/>
      <w:bookmarkEnd w:id="4241"/>
      <w:bookmarkEnd w:id="4242"/>
    </w:p>
    <w:p w:rsidR="00F163D7" w:rsidRPr="004213B4" w:rsidRDefault="00F163D7" w:rsidP="00F163D7">
      <w:pPr>
        <w:pStyle w:val="a3"/>
        <w:rPr>
          <w:rtl/>
        </w:rPr>
      </w:pPr>
      <w:bookmarkStart w:id="4243" w:name="_Toc55991895"/>
      <w:bookmarkStart w:id="4244" w:name="_Toc56030444"/>
      <w:bookmarkStart w:id="4245" w:name="_Toc56032636"/>
      <w:r>
        <w:rPr>
          <w:rFonts w:hint="cs"/>
          <w:rtl/>
        </w:rPr>
        <w:t>קושית השע"מ דסגי בעידי חזקה של שנה אחת וטענת חזקת ג"ש דהוי ראיה מדין לא חציף</w:t>
      </w:r>
      <w:bookmarkEnd w:id="4243"/>
      <w:bookmarkEnd w:id="4244"/>
      <w:bookmarkEnd w:id="4245"/>
    </w:p>
    <w:p w:rsidR="00F163D7" w:rsidRDefault="00F163D7" w:rsidP="007E4E81">
      <w:pPr>
        <w:pStyle w:val="a0"/>
        <w:rPr>
          <w:rtl/>
        </w:rPr>
      </w:pPr>
      <w:bookmarkStart w:id="4246" w:name="_Ref55748309"/>
      <w:r>
        <w:rPr>
          <w:rFonts w:hint="cs"/>
          <w:rtl/>
        </w:rPr>
        <w:t xml:space="preserve">ועוד הקשה </w:t>
      </w:r>
      <w:r w:rsidRPr="00F640CC">
        <w:rPr>
          <w:rStyle w:val="af9"/>
          <w:rFonts w:hint="cs"/>
          <w:rtl/>
        </w:rPr>
        <w:t>השער משפט</w:t>
      </w:r>
      <w:r>
        <w:rPr>
          <w:rFonts w:hint="cs"/>
          <w:rtl/>
        </w:rPr>
        <w:t xml:space="preserve"> </w:t>
      </w:r>
      <w:r w:rsidRPr="00F640CC">
        <w:rPr>
          <w:rStyle w:val="af7"/>
          <w:rFonts w:eastAsia="Guttman Hodes" w:hint="cs"/>
          <w:rtl/>
        </w:rPr>
        <w:t>(סי' קמ"ה סוס"ק א' ד"ה ומה)</w:t>
      </w:r>
      <w:r>
        <w:rPr>
          <w:rFonts w:hint="cs"/>
          <w:rtl/>
        </w:rPr>
        <w:t xml:space="preserve"> על מ"ש </w:t>
      </w:r>
      <w:r w:rsidRPr="00272161">
        <w:rPr>
          <w:rStyle w:val="af9"/>
          <w:rFonts w:hint="cs"/>
          <w:rtl/>
        </w:rPr>
        <w:t>הרמב"ן</w:t>
      </w:r>
      <w:r>
        <w:rPr>
          <w:rFonts w:hint="cs"/>
          <w:rtl/>
        </w:rPr>
        <w:t xml:space="preserve">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sidRPr="00CA37E2">
        <w:rPr>
          <w:rFonts w:hint="cs"/>
          <w:rtl/>
        </w:rPr>
        <w:t>דהטעם של חזקת ג"ש, הוא כיון שהמערער שותק למחזיק, יש רגלים לדבר דמכר לו, ובתוך ג"ש יש עליו</w:t>
      </w:r>
      <w:r w:rsidR="00A77F33">
        <w:rPr>
          <w:rFonts w:hint="cs"/>
          <w:rtl/>
        </w:rPr>
        <w:t xml:space="preserve"> </w:t>
      </w:r>
      <w:r w:rsidRPr="00CA37E2">
        <w:rPr>
          <w:rFonts w:hint="cs"/>
          <w:rtl/>
        </w:rPr>
        <w:t>טענת אחוי שטרך</w:t>
      </w:r>
      <w:r>
        <w:rPr>
          <w:rFonts w:hint="cs"/>
          <w:rtl/>
        </w:rPr>
        <w:t xml:space="preserve">, א"כ אמאי צריך המחזיק להביא עדים על כל הג"ש, הא כל שהביא עדים על שנה אחת, והוא טוען שאכל ג"ש יש לו חזקה, דהא איתא בגמ' לקמן </w:t>
      </w:r>
      <w:r w:rsidRPr="00F640CC">
        <w:rPr>
          <w:rStyle w:val="af7"/>
          <w:rFonts w:eastAsia="Guttman Hodes" w:hint="cs"/>
          <w:rtl/>
        </w:rPr>
        <w:t>(לג:)</w:t>
      </w:r>
      <w:r>
        <w:rPr>
          <w:rFonts w:hint="cs"/>
          <w:rtl/>
        </w:rPr>
        <w:t xml:space="preserve"> דיש לו ראיה כיון דלא חציף איניש למיכל פירי דלאו דיליה, ואינו נאמן רק מחמת טענת אחוי שטרך, וכל שהוא טוען שאכל ג"ש, אין עליו טענת אחוי שטרך, דאינו נזהר יותר בשטרו, וכעי"ז הקשו </w:t>
      </w:r>
      <w:r w:rsidRPr="00272161">
        <w:rPr>
          <w:rStyle w:val="af9"/>
          <w:rFonts w:hint="cs"/>
          <w:rtl/>
        </w:rPr>
        <w:t xml:space="preserve">בשיעורי רבי שמואל </w:t>
      </w:r>
      <w:r w:rsidRPr="00AF5226">
        <w:rPr>
          <w:rStyle w:val="af7"/>
          <w:rFonts w:eastAsia="Guttman Hodes" w:hint="cs"/>
          <w:rtl/>
        </w:rPr>
        <w:t xml:space="preserve">(עי' אות </w:t>
      </w:r>
      <w:r w:rsidRPr="00AF5226">
        <w:rPr>
          <w:rStyle w:val="af7"/>
          <w:rFonts w:eastAsia="Guttman Hodes"/>
          <w:rtl/>
        </w:rPr>
        <w:fldChar w:fldCharType="begin"/>
      </w:r>
      <w:r w:rsidRPr="00AF5226">
        <w:rPr>
          <w:rStyle w:val="af7"/>
          <w:rFonts w:eastAsia="Guttman Hodes"/>
          <w:rtl/>
        </w:rPr>
        <w:instrText xml:space="preserve"> </w:instrText>
      </w:r>
      <w:r w:rsidRPr="00AF5226">
        <w:rPr>
          <w:rStyle w:val="af7"/>
          <w:rFonts w:eastAsia="Guttman Hodes" w:hint="cs"/>
        </w:rPr>
        <w:instrText>REF</w:instrText>
      </w:r>
      <w:r w:rsidRPr="00AF5226">
        <w:rPr>
          <w:rStyle w:val="af7"/>
          <w:rFonts w:eastAsia="Guttman Hodes" w:hint="cs"/>
          <w:rtl/>
        </w:rPr>
        <w:instrText xml:space="preserve"> _</w:instrText>
      </w:r>
      <w:r w:rsidRPr="00AF5226">
        <w:rPr>
          <w:rStyle w:val="af7"/>
          <w:rFonts w:eastAsia="Guttman Hodes" w:hint="cs"/>
        </w:rPr>
        <w:instrText>Ref56013661 \r \h</w:instrText>
      </w:r>
      <w:r w:rsidRPr="00AF5226">
        <w:rPr>
          <w:rStyle w:val="af7"/>
          <w:rFonts w:eastAsia="Guttman Hodes"/>
          <w:rtl/>
        </w:rPr>
        <w:instrText xml:space="preserve"> </w:instrText>
      </w:r>
      <w:r w:rsidRPr="00AF5226">
        <w:rPr>
          <w:rStyle w:val="af7"/>
          <w:rFonts w:eastAsia="Guttman Hodes"/>
          <w:rtl/>
        </w:rPr>
      </w:r>
      <w:r w:rsidRPr="00AF5226">
        <w:rPr>
          <w:rStyle w:val="af7"/>
          <w:rFonts w:eastAsia="Guttman Hodes"/>
          <w:rtl/>
        </w:rPr>
        <w:fldChar w:fldCharType="separate"/>
      </w:r>
      <w:r w:rsidR="00265073">
        <w:rPr>
          <w:rStyle w:val="af7"/>
          <w:rFonts w:eastAsia="Guttman Hodes"/>
          <w:cs/>
        </w:rPr>
        <w:t>‎</w:t>
      </w:r>
      <w:r w:rsidR="00265073">
        <w:rPr>
          <w:rStyle w:val="af7"/>
          <w:rFonts w:eastAsia="Guttman Hodes"/>
          <w:rtl/>
        </w:rPr>
        <w:t>צה)</w:t>
      </w:r>
      <w:r w:rsidRPr="00AF5226">
        <w:rPr>
          <w:rStyle w:val="af7"/>
          <w:rFonts w:eastAsia="Guttman Hodes"/>
          <w:rtl/>
        </w:rPr>
        <w:fldChar w:fldCharType="end"/>
      </w:r>
      <w:r>
        <w:rPr>
          <w:rFonts w:hint="cs"/>
          <w:rtl/>
        </w:rPr>
        <w:t xml:space="preserve"> </w:t>
      </w:r>
      <w:r>
        <w:rPr>
          <w:rStyle w:val="af9"/>
          <w:rFonts w:hint="cs"/>
          <w:rtl/>
        </w:rPr>
        <w:t>וב</w:t>
      </w:r>
      <w:r w:rsidRPr="00272161">
        <w:rPr>
          <w:rStyle w:val="af9"/>
          <w:rFonts w:hint="cs"/>
          <w:rtl/>
        </w:rPr>
        <w:t xml:space="preserve">אבי עזרי </w:t>
      </w:r>
      <w:r>
        <w:rPr>
          <w:rStyle w:val="af9"/>
          <w:rFonts w:hint="cs"/>
          <w:rtl/>
        </w:rPr>
        <w:t>ו</w:t>
      </w:r>
      <w:r w:rsidRPr="00C56FC8">
        <w:rPr>
          <w:rStyle w:val="af9"/>
          <w:rFonts w:hint="cs"/>
          <w:rtl/>
        </w:rPr>
        <w:t>בחי' רבי נחום</w:t>
      </w:r>
      <w:r w:rsidRPr="00C0037B">
        <w:rPr>
          <w:rStyle w:val="af7"/>
          <w:rFonts w:eastAsia="Guttman Hode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Ref56013670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Pr>
          <w:rStyle w:val="af7"/>
          <w:rFonts w:eastAsia="Guttman Hodes"/>
          <w:rtl/>
        </w:rPr>
        <w:fldChar w:fldCharType="end"/>
      </w:r>
      <w:r>
        <w:rPr>
          <w:rFonts w:hint="cs"/>
          <w:rtl/>
        </w:rPr>
        <w:t xml:space="preserve">, ועי' במ"ש בזה </w:t>
      </w:r>
      <w:r w:rsidRPr="00F82536">
        <w:rPr>
          <w:rStyle w:val="af9"/>
          <w:rFonts w:hint="cs"/>
          <w:rtl/>
        </w:rPr>
        <w:t>בחי' הרי"ם</w:t>
      </w:r>
      <w:r>
        <w:rPr>
          <w:rFonts w:hint="cs"/>
          <w:rtl/>
        </w:rPr>
        <w:t xml:space="preserve"> </w:t>
      </w:r>
      <w:r w:rsidRPr="00F82536">
        <w:rPr>
          <w:rStyle w:val="af7"/>
          <w:rFonts w:eastAsia="Guttman Hodes" w:hint="cs"/>
          <w:rtl/>
        </w:rPr>
        <w:t>(חו"מ סי' ק"מ או' א' ד"ה אמנם</w:t>
      </w:r>
      <w:r w:rsidRPr="00C0037B">
        <w:rPr>
          <w:rStyle w:val="af7"/>
          <w:rFonts w:eastAsia="Guttman Hodes" w:hint="cs"/>
          <w:rtl/>
        </w:rPr>
        <w:t>)</w:t>
      </w:r>
      <w:r>
        <w:rPr>
          <w:rFonts w:hint="cs"/>
          <w:rtl/>
        </w:rPr>
        <w:t>.</w:t>
      </w:r>
      <w:bookmarkEnd w:id="4246"/>
    </w:p>
    <w:p w:rsidR="00F163D7" w:rsidRPr="00E70299" w:rsidRDefault="00F163D7" w:rsidP="00F163D7">
      <w:pPr>
        <w:pStyle w:val="a3"/>
        <w:rPr>
          <w:rtl/>
        </w:rPr>
      </w:pPr>
      <w:bookmarkStart w:id="4247" w:name="_Toc55991896"/>
      <w:bookmarkStart w:id="4248" w:name="_Toc56030445"/>
      <w:bookmarkStart w:id="4249" w:name="_Toc56032637"/>
      <w:r>
        <w:rPr>
          <w:rFonts w:hint="cs"/>
          <w:rtl/>
        </w:rPr>
        <w:t>תירוץ השע"מ דבלא חציף א"א להוציא ממר"ק בלא עידי חזקת ג"ש דיש ריעותא שאין לו שטר</w:t>
      </w:r>
      <w:bookmarkEnd w:id="4247"/>
      <w:bookmarkEnd w:id="4248"/>
      <w:bookmarkEnd w:id="4249"/>
    </w:p>
    <w:p w:rsidR="00F163D7" w:rsidRDefault="00F163D7" w:rsidP="007E4E81">
      <w:pPr>
        <w:pStyle w:val="a0"/>
        <w:rPr>
          <w:rtl/>
        </w:rPr>
      </w:pPr>
      <w:r>
        <w:rPr>
          <w:rFonts w:hint="cs"/>
          <w:rtl/>
        </w:rPr>
        <w:t xml:space="preserve">ותירץ </w:t>
      </w:r>
      <w:r w:rsidRPr="00F640CC">
        <w:rPr>
          <w:rStyle w:val="af9"/>
          <w:rFonts w:hint="cs"/>
          <w:rtl/>
        </w:rPr>
        <w:t>השער משפט</w:t>
      </w:r>
      <w:r>
        <w:rPr>
          <w:rFonts w:hint="cs"/>
          <w:rtl/>
        </w:rPr>
        <w:t xml:space="preserve"> </w:t>
      </w:r>
      <w:r w:rsidRPr="001C5299">
        <w:rPr>
          <w:rStyle w:val="af7"/>
          <w:rFonts w:eastAsia="Guttman Hodes" w:hint="cs"/>
          <w:rtl/>
        </w:rPr>
        <w:t>(סי' קמ"ה סק"א ד"ה ומה)</w:t>
      </w:r>
      <w:r>
        <w:rPr>
          <w:rFonts w:hint="cs"/>
          <w:rtl/>
        </w:rPr>
        <w:t xml:space="preserve"> דכוונת הגמ' לומר דמ"מ יש ריעותא למחזיק במה שאין לו שטר, והראיה דלא חציף למיכל פירי דלאו דיליה, אינה ראיה אלימא להוציא את המרא קמא מחזקתו, כשיש ריעותא לפנינו דאין למחזיק שטר, אא"כ יש למחזיק עדים שהחזיק בה ג"ש.</w:t>
      </w:r>
    </w:p>
    <w:p w:rsidR="00A64E72" w:rsidRPr="00A64E72" w:rsidRDefault="00A64E72" w:rsidP="00A64E72">
      <w:pPr>
        <w:pStyle w:val="a3"/>
        <w:rPr>
          <w:rtl/>
        </w:rPr>
      </w:pPr>
    </w:p>
    <w:p w:rsidR="00A64E72" w:rsidRPr="00A64E72" w:rsidRDefault="00A64E72" w:rsidP="00A64E72">
      <w:pPr>
        <w:pStyle w:val="a3"/>
        <w:rPr>
          <w:rtl/>
        </w:rPr>
      </w:pPr>
    </w:p>
    <w:p w:rsidR="00F163D7" w:rsidRDefault="00F163D7" w:rsidP="00F163D7">
      <w:pPr>
        <w:pStyle w:val="afe"/>
        <w:rPr>
          <w:rtl/>
        </w:rPr>
      </w:pPr>
      <w:bookmarkStart w:id="4250" w:name="_Toc55839462"/>
      <w:bookmarkStart w:id="4251" w:name="_Toc55927863"/>
      <w:bookmarkStart w:id="4252" w:name="_Toc55946589"/>
      <w:bookmarkStart w:id="4253" w:name="_Toc55991897"/>
      <w:bookmarkStart w:id="4254" w:name="_Toc56030446"/>
      <w:bookmarkStart w:id="4255" w:name="_Toc56032638"/>
      <w:r>
        <w:rPr>
          <w:rFonts w:hint="cs"/>
          <w:rtl/>
        </w:rPr>
        <w:t xml:space="preserve">ביאור הנתיה"מ </w:t>
      </w:r>
      <w:bookmarkEnd w:id="4250"/>
      <w:bookmarkEnd w:id="4251"/>
      <w:r>
        <w:rPr>
          <w:rFonts w:hint="cs"/>
          <w:rtl/>
        </w:rPr>
        <w:t>בטעם החזקה לרמב"ן</w:t>
      </w:r>
      <w:bookmarkEnd w:id="4252"/>
      <w:bookmarkEnd w:id="4253"/>
      <w:bookmarkEnd w:id="4254"/>
      <w:bookmarkEnd w:id="4255"/>
    </w:p>
    <w:p w:rsidR="00F163D7" w:rsidRDefault="00F163D7" w:rsidP="00F163D7">
      <w:pPr>
        <w:pStyle w:val="1"/>
        <w:rPr>
          <w:rtl/>
        </w:rPr>
      </w:pPr>
      <w:bookmarkStart w:id="4256" w:name="_Toc55927864"/>
      <w:bookmarkStart w:id="4257" w:name="_Toc55946590"/>
      <w:bookmarkStart w:id="4258" w:name="_Toc55991898"/>
      <w:bookmarkStart w:id="4259" w:name="_Toc56030447"/>
      <w:bookmarkStart w:id="4260" w:name="_Toc56032639"/>
      <w:r>
        <w:rPr>
          <w:rFonts w:hint="cs"/>
          <w:rtl/>
        </w:rPr>
        <w:t>דברי הנתיה"מ</w:t>
      </w:r>
      <w:bookmarkEnd w:id="4256"/>
      <w:bookmarkEnd w:id="4257"/>
      <w:bookmarkEnd w:id="4258"/>
      <w:bookmarkEnd w:id="4259"/>
      <w:r>
        <w:rPr>
          <w:rFonts w:hint="cs"/>
          <w:rtl/>
        </w:rPr>
        <w:t xml:space="preserve"> דהחזקה תלויה בקפידת המערער ולכן צריך ג"ש</w:t>
      </w:r>
      <w:bookmarkEnd w:id="4260"/>
    </w:p>
    <w:p w:rsidR="00F163D7" w:rsidRPr="002376F5" w:rsidRDefault="00F163D7" w:rsidP="00F163D7">
      <w:pPr>
        <w:pStyle w:val="a3"/>
        <w:rPr>
          <w:rtl/>
        </w:rPr>
      </w:pPr>
      <w:bookmarkStart w:id="4261" w:name="_Toc55991899"/>
      <w:bookmarkStart w:id="4262" w:name="_Toc56030448"/>
      <w:bookmarkStart w:id="4263" w:name="_Toc56032640"/>
      <w:r>
        <w:rPr>
          <w:rFonts w:hint="cs"/>
          <w:rtl/>
        </w:rPr>
        <w:t>קושית הנתיה"מ דא"א לומר דהראיה מהני מיד דא"כ בהקדש שא"צ שטר אמאי צריך חזקת ג"ש</w:t>
      </w:r>
      <w:bookmarkEnd w:id="4261"/>
      <w:bookmarkEnd w:id="4262"/>
      <w:bookmarkEnd w:id="4263"/>
    </w:p>
    <w:p w:rsidR="00F163D7" w:rsidRDefault="00F163D7" w:rsidP="007E4E81">
      <w:pPr>
        <w:pStyle w:val="a0"/>
        <w:rPr>
          <w:rtl/>
        </w:rPr>
      </w:pPr>
      <w:bookmarkStart w:id="4264" w:name="_Ref55937520"/>
      <w:r>
        <w:rPr>
          <w:rFonts w:hint="cs"/>
          <w:rtl/>
        </w:rPr>
        <w:t>במ"ש</w:t>
      </w:r>
      <w:r w:rsidRPr="00154BD5">
        <w:rPr>
          <w:rFonts w:hint="cs"/>
          <w:rtl/>
        </w:rPr>
        <w:t xml:space="preserve"> </w:t>
      </w:r>
      <w:r w:rsidRPr="00154BD5">
        <w:rPr>
          <w:rStyle w:val="af9"/>
          <w:rFonts w:hint="cs"/>
          <w:rtl/>
        </w:rPr>
        <w:t>הרמב"ן 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דבשתיקת המערער</w:t>
      </w:r>
      <w:r w:rsidR="00A77F33">
        <w:rPr>
          <w:rFonts w:hint="cs"/>
          <w:rtl/>
        </w:rPr>
        <w:t xml:space="preserve"> </w:t>
      </w:r>
      <w:r>
        <w:rPr>
          <w:rFonts w:hint="cs"/>
          <w:rtl/>
        </w:rPr>
        <w:t xml:space="preserve">יש רגלים לדבר דמכר לו, וצריך ג"ש מחמת הריעותא דאחוי שטרך, ואחר ג"ש אין ריעותא בטענת המחזיק, כתב </w:t>
      </w:r>
      <w:r w:rsidRPr="001166C4">
        <w:rPr>
          <w:rStyle w:val="af9"/>
          <w:rFonts w:hint="cs"/>
          <w:rtl/>
        </w:rPr>
        <w:t>הנתיה"מ</w:t>
      </w:r>
      <w:r>
        <w:rPr>
          <w:rFonts w:hint="cs"/>
          <w:rtl/>
        </w:rPr>
        <w:t xml:space="preserve"> </w:t>
      </w:r>
      <w:r w:rsidRPr="001166C4">
        <w:rPr>
          <w:rStyle w:val="af7"/>
          <w:rFonts w:eastAsia="Guttman Hodes" w:hint="cs"/>
          <w:rtl/>
        </w:rPr>
        <w:t xml:space="preserve">(סי' קמ"ד סק"ג ד"ה אמנם) </w:t>
      </w:r>
      <w:r>
        <w:rPr>
          <w:rFonts w:hint="cs"/>
          <w:rtl/>
        </w:rPr>
        <w:t xml:space="preserve">דבפשטות משמע </w:t>
      </w:r>
      <w:r w:rsidRPr="001166C4">
        <w:rPr>
          <w:rStyle w:val="af9"/>
          <w:rFonts w:hint="cs"/>
          <w:rtl/>
        </w:rPr>
        <w:t>ברמב"ן</w:t>
      </w:r>
      <w:r>
        <w:rPr>
          <w:rFonts w:hint="cs"/>
          <w:rtl/>
        </w:rPr>
        <w:t xml:space="preserve"> דהחזקה נגמרת מיד, אף בתוך הג"ש, ורק מחמת הריעותא דאחוי שטרך מהני החזקה רק לאחר ג"ש, </w:t>
      </w:r>
      <w:r w:rsidRPr="00D83951">
        <w:rPr>
          <w:rStyle w:val="afb"/>
          <w:rFonts w:hint="cs"/>
          <w:rtl/>
        </w:rPr>
        <w:t>[</w:t>
      </w:r>
      <w:r>
        <w:rPr>
          <w:rStyle w:val="afb"/>
          <w:rFonts w:hint="cs"/>
          <w:rtl/>
        </w:rPr>
        <w:t>ו</w:t>
      </w:r>
      <w:r w:rsidRPr="00D83951">
        <w:rPr>
          <w:rStyle w:val="afb"/>
          <w:rFonts w:hint="cs"/>
          <w:rtl/>
        </w:rPr>
        <w:t xml:space="preserve">כדביאר </w:t>
      </w:r>
      <w:r w:rsidRPr="00D83951">
        <w:rPr>
          <w:rStyle w:val="affa"/>
          <w:rFonts w:hint="cs"/>
          <w:rtl/>
        </w:rPr>
        <w:t>הקצוה"ח</w:t>
      </w:r>
      <w:r w:rsidRPr="00D83951">
        <w:rPr>
          <w:rStyle w:val="afb"/>
          <w:rFonts w:hint="cs"/>
          <w:rtl/>
        </w:rPr>
        <w:t xml:space="preserve"> </w:t>
      </w:r>
      <w:r w:rsidRPr="002376F5">
        <w:rPr>
          <w:rStyle w:val="aff6"/>
          <w:rFonts w:hint="cs"/>
          <w:rtl/>
        </w:rPr>
        <w:t xml:space="preserve">(עי' אות </w:t>
      </w:r>
      <w:r w:rsidRPr="002376F5">
        <w:rPr>
          <w:rStyle w:val="aff6"/>
          <w:rtl/>
        </w:rPr>
        <w:fldChar w:fldCharType="begin"/>
      </w:r>
      <w:r w:rsidRPr="002376F5">
        <w:rPr>
          <w:rStyle w:val="aff6"/>
          <w:rtl/>
        </w:rPr>
        <w:instrText xml:space="preserve"> </w:instrText>
      </w:r>
      <w:r w:rsidRPr="002376F5">
        <w:rPr>
          <w:rStyle w:val="aff6"/>
          <w:rFonts w:hint="cs"/>
        </w:rPr>
        <w:instrText>REF</w:instrText>
      </w:r>
      <w:r w:rsidRPr="002376F5">
        <w:rPr>
          <w:rStyle w:val="aff6"/>
          <w:rFonts w:hint="cs"/>
          <w:rtl/>
        </w:rPr>
        <w:instrText xml:space="preserve"> _</w:instrText>
      </w:r>
      <w:r w:rsidRPr="002376F5">
        <w:rPr>
          <w:rStyle w:val="aff6"/>
          <w:rFonts w:hint="cs"/>
        </w:rPr>
        <w:instrText>Ref55812937 \r \h</w:instrText>
      </w:r>
      <w:r w:rsidRPr="002376F5">
        <w:rPr>
          <w:rStyle w:val="aff6"/>
          <w:rtl/>
        </w:rPr>
        <w:instrText xml:space="preserve"> </w:instrText>
      </w:r>
      <w:r w:rsidRPr="002376F5">
        <w:rPr>
          <w:rStyle w:val="aff6"/>
          <w:rtl/>
        </w:rPr>
      </w:r>
      <w:r w:rsidRPr="002376F5">
        <w:rPr>
          <w:rStyle w:val="aff6"/>
          <w:rtl/>
        </w:rPr>
        <w:fldChar w:fldCharType="separate"/>
      </w:r>
      <w:r w:rsidR="00265073">
        <w:rPr>
          <w:rStyle w:val="aff6"/>
          <w:cs/>
        </w:rPr>
        <w:t>‎</w:t>
      </w:r>
      <w:r w:rsidR="00265073">
        <w:rPr>
          <w:rStyle w:val="aff6"/>
          <w:rtl/>
        </w:rPr>
        <w:t>כו)</w:t>
      </w:r>
      <w:r w:rsidRPr="002376F5">
        <w:rPr>
          <w:rStyle w:val="aff6"/>
          <w:rtl/>
        </w:rPr>
        <w:fldChar w:fldCharType="end"/>
      </w:r>
      <w:r>
        <w:rPr>
          <w:rStyle w:val="afb"/>
          <w:rFonts w:hint="cs"/>
          <w:rtl/>
        </w:rPr>
        <w:t xml:space="preserve"> </w:t>
      </w:r>
      <w:r w:rsidRPr="00D83951">
        <w:rPr>
          <w:rStyle w:val="affa"/>
          <w:rFonts w:hint="cs"/>
          <w:rtl/>
        </w:rPr>
        <w:t>ברמב"ן</w:t>
      </w:r>
      <w:r w:rsidRPr="00D83951">
        <w:rPr>
          <w:rStyle w:val="afb"/>
          <w:rFonts w:hint="cs"/>
          <w:rtl/>
        </w:rPr>
        <w:t>]</w:t>
      </w:r>
      <w:r>
        <w:rPr>
          <w:rFonts w:hint="cs"/>
          <w:rtl/>
        </w:rPr>
        <w:t>,</w:t>
      </w:r>
      <w:r w:rsidRPr="00AC1491">
        <w:rPr>
          <w:rFonts w:hint="cs"/>
          <w:rtl/>
        </w:rPr>
        <w:t xml:space="preserve"> </w:t>
      </w:r>
      <w:r>
        <w:rPr>
          <w:rFonts w:hint="cs"/>
          <w:rtl/>
        </w:rPr>
        <w:t xml:space="preserve">אך הקשה </w:t>
      </w:r>
      <w:r w:rsidRPr="001166C4">
        <w:rPr>
          <w:rStyle w:val="af9"/>
          <w:rFonts w:hint="cs"/>
          <w:rtl/>
        </w:rPr>
        <w:t>הנתיה"מ</w:t>
      </w:r>
      <w:r>
        <w:rPr>
          <w:rFonts w:hint="cs"/>
          <w:rtl/>
        </w:rPr>
        <w:t xml:space="preserve"> על </w:t>
      </w:r>
      <w:r w:rsidRPr="001166C4">
        <w:rPr>
          <w:rStyle w:val="af9"/>
          <w:rFonts w:hint="cs"/>
          <w:rtl/>
        </w:rPr>
        <w:t>הרמב"ן</w:t>
      </w:r>
      <w:r>
        <w:rPr>
          <w:rFonts w:hint="cs"/>
          <w:rtl/>
        </w:rPr>
        <w:t xml:space="preserve"> דא"כ במקום שאין שטר כגון בהקדישה, אמאי צריך ג"ש ולא מהני החזקה מיד.</w:t>
      </w:r>
      <w:bookmarkEnd w:id="4264"/>
    </w:p>
    <w:p w:rsidR="00F163D7" w:rsidRPr="00930FAB" w:rsidRDefault="00F163D7" w:rsidP="00F163D7">
      <w:pPr>
        <w:pStyle w:val="a3"/>
      </w:pPr>
      <w:bookmarkStart w:id="4265" w:name="_Toc55991900"/>
      <w:bookmarkStart w:id="4266" w:name="_Toc56030449"/>
      <w:bookmarkStart w:id="4267" w:name="_Toc56032641"/>
      <w:r>
        <w:rPr>
          <w:rFonts w:hint="cs"/>
          <w:rtl/>
        </w:rPr>
        <w:t>דברי הנתיה"מ דא"א לומר דיש ראיה בתוך ג"ש דא"כ אמאי צריך ג"ש בגודרות שאין שטר</w:t>
      </w:r>
      <w:bookmarkEnd w:id="4265"/>
      <w:bookmarkEnd w:id="4266"/>
      <w:bookmarkEnd w:id="4267"/>
    </w:p>
    <w:p w:rsidR="00F163D7" w:rsidRDefault="00F163D7" w:rsidP="007E4E81">
      <w:pPr>
        <w:pStyle w:val="a0"/>
        <w:rPr>
          <w:rtl/>
        </w:rPr>
      </w:pPr>
      <w:r>
        <w:rPr>
          <w:rFonts w:hint="cs"/>
          <w:rtl/>
        </w:rPr>
        <w:t xml:space="preserve">והוסיף </w:t>
      </w:r>
      <w:r w:rsidRPr="001166C4">
        <w:rPr>
          <w:rStyle w:val="af9"/>
          <w:rFonts w:hint="cs"/>
          <w:rtl/>
        </w:rPr>
        <w:t>הנתיה"מ</w:t>
      </w:r>
      <w:r>
        <w:rPr>
          <w:rFonts w:hint="cs"/>
          <w:rtl/>
        </w:rPr>
        <w:t xml:space="preserve"> דמ"ש </w:t>
      </w:r>
      <w:r w:rsidRPr="001166C4">
        <w:rPr>
          <w:rStyle w:val="af9"/>
          <w:rFonts w:hint="cs"/>
          <w:rtl/>
        </w:rPr>
        <w:t>הרמב"ן</w:t>
      </w:r>
      <w:r>
        <w:rPr>
          <w:rFonts w:hint="cs"/>
          <w:rtl/>
        </w:rPr>
        <w:t xml:space="preserve"> דבתוך ג"ש כבר יש ראיה, וכל מה שצריך ג"ש הוא מחמת השטר, אין כל סברא לומר דכוונת </w:t>
      </w:r>
      <w:r w:rsidRPr="001166C4">
        <w:rPr>
          <w:rStyle w:val="af9"/>
          <w:rFonts w:hint="cs"/>
          <w:rtl/>
        </w:rPr>
        <w:t>הרמב"ן</w:t>
      </w:r>
      <w:r>
        <w:rPr>
          <w:rFonts w:hint="cs"/>
          <w:rtl/>
        </w:rPr>
        <w:t xml:space="preserve"> לומר דמהני החזקה מיד, כדמוכח מהא דבגודרות צריך ג"ש אף שאינם בני שטרא.</w:t>
      </w:r>
      <w:r w:rsidRPr="00EA3A04">
        <w:rPr>
          <w:rStyle w:val="afb"/>
          <w:rFonts w:hint="cs"/>
          <w:rtl/>
        </w:rPr>
        <w:t xml:space="preserve"> [בדין גודרות עמ"ש בזה באריכות בסימן א'].</w:t>
      </w:r>
    </w:p>
    <w:p w:rsidR="00F163D7" w:rsidRDefault="00F163D7" w:rsidP="00F163D7">
      <w:pPr>
        <w:pStyle w:val="a3"/>
        <w:rPr>
          <w:rtl/>
        </w:rPr>
      </w:pPr>
      <w:bookmarkStart w:id="4268" w:name="_Toc55991901"/>
      <w:bookmarkStart w:id="4269" w:name="_Toc56030450"/>
      <w:bookmarkStart w:id="4270" w:name="_Toc56032642"/>
      <w:r>
        <w:rPr>
          <w:rFonts w:hint="cs"/>
          <w:rtl/>
        </w:rPr>
        <w:t>ביאור הנתיה"מ ברמב"ן דהחזקה תלויה בקפידת המערער וצריך ג"ש שמא מקפיד רק בג"ש</w:t>
      </w:r>
      <w:bookmarkEnd w:id="4268"/>
      <w:bookmarkEnd w:id="4269"/>
      <w:bookmarkEnd w:id="4270"/>
    </w:p>
    <w:p w:rsidR="00F163D7" w:rsidRDefault="00F163D7" w:rsidP="007E4E81">
      <w:pPr>
        <w:pStyle w:val="a0"/>
        <w:rPr>
          <w:rtl/>
        </w:rPr>
      </w:pPr>
      <w:bookmarkStart w:id="4271" w:name="_Ref55814029"/>
      <w:bookmarkStart w:id="4272" w:name="_Ref55763292"/>
      <w:r>
        <w:rPr>
          <w:rFonts w:hint="cs"/>
          <w:rtl/>
        </w:rPr>
        <w:t xml:space="preserve">אלא ביאר </w:t>
      </w:r>
      <w:r w:rsidRPr="001166C4">
        <w:rPr>
          <w:rStyle w:val="af9"/>
          <w:rFonts w:hint="cs"/>
          <w:rtl/>
        </w:rPr>
        <w:t>הנתיה"מ</w:t>
      </w:r>
      <w:r>
        <w:rPr>
          <w:rStyle w:val="af9"/>
          <w:rFonts w:hint="cs"/>
          <w:rtl/>
        </w:rPr>
        <w:t xml:space="preserve"> </w:t>
      </w:r>
      <w:r w:rsidRPr="001166C4">
        <w:rPr>
          <w:rStyle w:val="af7"/>
          <w:rFonts w:eastAsia="Guttman Hodes" w:hint="cs"/>
          <w:rtl/>
        </w:rPr>
        <w:t xml:space="preserve">(סי' קמ"ד סק"ג ד"ה אמנם) </w:t>
      </w:r>
      <w:r w:rsidRPr="001166C4">
        <w:rPr>
          <w:rStyle w:val="af9"/>
          <w:rFonts w:hint="cs"/>
          <w:rtl/>
        </w:rPr>
        <w:t>דהרמב"ן</w:t>
      </w:r>
      <w:r w:rsidRPr="009D1AC0">
        <w:rPr>
          <w:rStyle w:val="af9"/>
          <w:rFonts w:hint="cs"/>
          <w:rtl/>
        </w:rPr>
        <w:t xml:space="preserve"> </w:t>
      </w:r>
      <w:r>
        <w:rPr>
          <w:rFonts w:hint="cs"/>
          <w:rtl/>
        </w:rPr>
        <w:t xml:space="preserve">ס"ל כדביאר </w:t>
      </w:r>
      <w:r w:rsidRPr="001166C4">
        <w:rPr>
          <w:rStyle w:val="af9"/>
          <w:rFonts w:hint="cs"/>
          <w:rtl/>
        </w:rPr>
        <w:t>הנתיה"מ</w:t>
      </w:r>
      <w:r>
        <w:rPr>
          <w:rFonts w:hint="cs"/>
          <w:rtl/>
        </w:rPr>
        <w:t xml:space="preserve"> </w:t>
      </w:r>
      <w:r w:rsidRPr="001166C4">
        <w:rPr>
          <w:rStyle w:val="af7"/>
          <w:rFonts w:eastAsia="Guttman Hodes" w:hint="cs"/>
          <w:rtl/>
        </w:rPr>
        <w:t xml:space="preserve">(עי' אות </w:t>
      </w:r>
      <w:r w:rsidRPr="001166C4">
        <w:rPr>
          <w:rStyle w:val="af7"/>
          <w:rFonts w:eastAsia="Guttman Hodes"/>
          <w:rtl/>
        </w:rPr>
        <w:fldChar w:fldCharType="begin"/>
      </w:r>
      <w:r w:rsidRPr="001166C4">
        <w:rPr>
          <w:rStyle w:val="af7"/>
          <w:rFonts w:eastAsia="Guttman Hodes"/>
          <w:rtl/>
        </w:rPr>
        <w:instrText xml:space="preserve"> </w:instrText>
      </w:r>
      <w:r w:rsidRPr="001166C4">
        <w:rPr>
          <w:rStyle w:val="af7"/>
          <w:rFonts w:eastAsia="Guttman Hodes" w:hint="cs"/>
        </w:rPr>
        <w:instrText>REF</w:instrText>
      </w:r>
      <w:r w:rsidRPr="001166C4">
        <w:rPr>
          <w:rStyle w:val="af7"/>
          <w:rFonts w:eastAsia="Guttman Hodes" w:hint="cs"/>
          <w:rtl/>
        </w:rPr>
        <w:instrText xml:space="preserve"> _</w:instrText>
      </w:r>
      <w:r w:rsidRPr="001166C4">
        <w:rPr>
          <w:rStyle w:val="af7"/>
          <w:rFonts w:eastAsia="Guttman Hodes" w:hint="cs"/>
        </w:rPr>
        <w:instrText>Ref55763317 \r \h</w:instrText>
      </w:r>
      <w:r w:rsidRPr="001166C4">
        <w:rPr>
          <w:rStyle w:val="af7"/>
          <w:rFonts w:eastAsia="Guttman Hodes"/>
          <w:rtl/>
        </w:rPr>
        <w:instrText xml:space="preserve"> </w:instrText>
      </w:r>
      <w:r w:rsidRPr="001166C4">
        <w:rPr>
          <w:rStyle w:val="af7"/>
          <w:rFonts w:eastAsia="Guttman Hodes"/>
          <w:rtl/>
        </w:rPr>
      </w:r>
      <w:r w:rsidRPr="001166C4">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1166C4">
        <w:rPr>
          <w:rStyle w:val="af7"/>
          <w:rFonts w:eastAsia="Guttman Hodes"/>
          <w:rtl/>
        </w:rPr>
        <w:fldChar w:fldCharType="end"/>
      </w:r>
      <w:r>
        <w:rPr>
          <w:rFonts w:hint="cs"/>
          <w:rtl/>
        </w:rPr>
        <w:t xml:space="preserve"> בדעת </w:t>
      </w:r>
      <w:r w:rsidRPr="001166C4">
        <w:rPr>
          <w:rStyle w:val="af9"/>
          <w:rFonts w:hint="cs"/>
          <w:rtl/>
        </w:rPr>
        <w:t>הרשב"א</w:t>
      </w:r>
      <w:r>
        <w:rPr>
          <w:rFonts w:hint="cs"/>
          <w:rtl/>
        </w:rPr>
        <w:t xml:space="preserve"> </w:t>
      </w:r>
      <w:r w:rsidRPr="002D7C35">
        <w:rPr>
          <w:rStyle w:val="af7"/>
          <w:rFonts w:eastAsia="Guttman Hodes" w:hint="cs"/>
          <w:rtl/>
        </w:rPr>
        <w:t xml:space="preserve">(עי' אות </w:t>
      </w:r>
      <w:r w:rsidRPr="002D7C35">
        <w:rPr>
          <w:rStyle w:val="af7"/>
          <w:rFonts w:eastAsia="Guttman Hodes"/>
          <w:rtl/>
        </w:rPr>
        <w:fldChar w:fldCharType="begin"/>
      </w:r>
      <w:r w:rsidRPr="002D7C35">
        <w:rPr>
          <w:rStyle w:val="af7"/>
          <w:rFonts w:eastAsia="Guttman Hodes"/>
          <w:rtl/>
        </w:rPr>
        <w:instrText xml:space="preserve"> </w:instrText>
      </w:r>
      <w:r w:rsidRPr="002D7C35">
        <w:rPr>
          <w:rStyle w:val="af7"/>
          <w:rFonts w:eastAsia="Guttman Hodes" w:hint="cs"/>
        </w:rPr>
        <w:instrText>REF</w:instrText>
      </w:r>
      <w:r w:rsidRPr="002D7C35">
        <w:rPr>
          <w:rStyle w:val="af7"/>
          <w:rFonts w:eastAsia="Guttman Hodes" w:hint="cs"/>
          <w:rtl/>
        </w:rPr>
        <w:instrText xml:space="preserve"> _</w:instrText>
      </w:r>
      <w:r w:rsidRPr="002D7C35">
        <w:rPr>
          <w:rStyle w:val="af7"/>
          <w:rFonts w:eastAsia="Guttman Hodes" w:hint="cs"/>
        </w:rPr>
        <w:instrText>Ref55763284 \r \h</w:instrText>
      </w:r>
      <w:r w:rsidRPr="002D7C35">
        <w:rPr>
          <w:rStyle w:val="af7"/>
          <w:rFonts w:eastAsia="Guttman Hodes"/>
          <w:rtl/>
        </w:rPr>
        <w:instrText xml:space="preserve"> </w:instrText>
      </w:r>
      <w:r w:rsidRPr="002D7C35">
        <w:rPr>
          <w:rStyle w:val="af7"/>
          <w:rFonts w:eastAsia="Guttman Hodes"/>
          <w:rtl/>
        </w:rPr>
      </w:r>
      <w:r w:rsidRPr="002D7C35">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2D7C35">
        <w:rPr>
          <w:rStyle w:val="af7"/>
          <w:rFonts w:eastAsia="Guttman Hodes"/>
          <w:rtl/>
        </w:rPr>
        <w:fldChar w:fldCharType="end"/>
      </w:r>
      <w:r>
        <w:rPr>
          <w:rFonts w:hint="cs"/>
          <w:rtl/>
        </w:rPr>
        <w:t xml:space="preserve"> דהחזקה תלויה בקפידא של המרא קמא,</w:t>
      </w:r>
      <w:r w:rsidRPr="00BC0B34">
        <w:rPr>
          <w:rFonts w:hint="cs"/>
          <w:rtl/>
        </w:rPr>
        <w:t xml:space="preserve"> </w:t>
      </w:r>
      <w:r>
        <w:rPr>
          <w:rFonts w:hint="cs"/>
          <w:rtl/>
        </w:rPr>
        <w:t>והקפידא של כ"א תלויה באומדנא של ב"ד, לכן לעולם המחזיק מחוייב להזהר בשטרו, דאם יאמרו הב"ד דהמרא קמא הזה אינו מקפיד מיד, הוא יוכל למחות בו בכל הג"ש.</w:t>
      </w:r>
      <w:bookmarkEnd w:id="4271"/>
    </w:p>
    <w:p w:rsidR="00F163D7" w:rsidRPr="00930FAB" w:rsidRDefault="00F163D7" w:rsidP="00F163D7">
      <w:pPr>
        <w:pStyle w:val="a3"/>
      </w:pPr>
      <w:bookmarkStart w:id="4273" w:name="_Toc55991902"/>
      <w:bookmarkStart w:id="4274" w:name="_Toc56030451"/>
      <w:bookmarkStart w:id="4275" w:name="_Toc56032643"/>
      <w:r>
        <w:rPr>
          <w:rFonts w:hint="cs"/>
          <w:rtl/>
        </w:rPr>
        <w:t>ביאור הנתיה"מ דמ"ש הרמב"ן שיש ראיה בתוך ג"ש הוא רק באדם שדרכו להקפיד מיד</w:t>
      </w:r>
      <w:bookmarkEnd w:id="4273"/>
      <w:bookmarkEnd w:id="4274"/>
      <w:bookmarkEnd w:id="4275"/>
    </w:p>
    <w:p w:rsidR="00F163D7" w:rsidRDefault="00F163D7" w:rsidP="007E4E81">
      <w:pPr>
        <w:pStyle w:val="a0"/>
        <w:rPr>
          <w:rtl/>
        </w:rPr>
      </w:pPr>
      <w:r>
        <w:rPr>
          <w:rFonts w:hint="cs"/>
          <w:rtl/>
        </w:rPr>
        <w:t xml:space="preserve">ובמ"ש </w:t>
      </w:r>
      <w:r w:rsidRPr="001166C4">
        <w:rPr>
          <w:rStyle w:val="af9"/>
          <w:rFonts w:hint="cs"/>
          <w:rtl/>
        </w:rPr>
        <w:t>הרמב"ן</w:t>
      </w:r>
      <w:r>
        <w:rPr>
          <w:rFonts w:hint="cs"/>
          <w:rtl/>
        </w:rPr>
        <w:t xml:space="preserve"> דבתוך ג"ש כבר יש ראיה, ביאר </w:t>
      </w:r>
      <w:r w:rsidRPr="001166C4">
        <w:rPr>
          <w:rStyle w:val="af9"/>
          <w:rFonts w:hint="cs"/>
          <w:rtl/>
        </w:rPr>
        <w:t>הנתיה"מ</w:t>
      </w:r>
      <w:r>
        <w:rPr>
          <w:rFonts w:hint="cs"/>
          <w:rtl/>
        </w:rPr>
        <w:t xml:space="preserve"> דכוונת </w:t>
      </w:r>
      <w:r w:rsidRPr="00ED0409">
        <w:rPr>
          <w:rStyle w:val="af9"/>
          <w:rFonts w:hint="cs"/>
          <w:rtl/>
        </w:rPr>
        <w:t>הרמב"ן</w:t>
      </w:r>
      <w:r>
        <w:rPr>
          <w:rFonts w:hint="cs"/>
          <w:rtl/>
        </w:rPr>
        <w:t xml:space="preserve"> לומר דבאדם שדרכו להקפיד מיד כבני בר אלישיב, יש ראיה כבר בתוך הג"ש, וע"ז כתב </w:t>
      </w:r>
      <w:r w:rsidRPr="00930FAB">
        <w:rPr>
          <w:rStyle w:val="af9"/>
          <w:rFonts w:hint="cs"/>
          <w:rtl/>
        </w:rPr>
        <w:t>הרמב"ן</w:t>
      </w:r>
      <w:r>
        <w:rPr>
          <w:rFonts w:hint="cs"/>
          <w:rtl/>
        </w:rPr>
        <w:t xml:space="preserve"> דאעפ"י דבכה"ג מיד יש רגלים לדבר שמכר לו, מ"מ לא מהני חזקה בפחות מג"ש, כיון שטוענים למחזיק אחוי שטרך, אך אין כוונת </w:t>
      </w:r>
      <w:r w:rsidRPr="00930FAB">
        <w:rPr>
          <w:rStyle w:val="af9"/>
          <w:rFonts w:hint="cs"/>
          <w:rtl/>
        </w:rPr>
        <w:t>הרמב"ן</w:t>
      </w:r>
      <w:r>
        <w:rPr>
          <w:rFonts w:hint="cs"/>
          <w:rtl/>
        </w:rPr>
        <w:t xml:space="preserve"> לומר דבכל חזקה יש רגלים לדבר מיד, וצריך ג"ש רק מפני טענת אחוי שטרך, וא"כ טעמא דחזקה לדעת </w:t>
      </w:r>
      <w:r w:rsidRPr="001166C4">
        <w:rPr>
          <w:rStyle w:val="af9"/>
          <w:rFonts w:hint="cs"/>
          <w:rtl/>
        </w:rPr>
        <w:t>הרמב"ן</w:t>
      </w:r>
      <w:r>
        <w:rPr>
          <w:rFonts w:hint="cs"/>
          <w:rtl/>
        </w:rPr>
        <w:t xml:space="preserve"> היא מחמת שהיה לו להקפיד בתוך ג"ש ולא הקפיד, ועי' במ"ש בזה </w:t>
      </w:r>
      <w:r w:rsidRPr="001166C4">
        <w:rPr>
          <w:rStyle w:val="af9"/>
          <w:rFonts w:hint="cs"/>
          <w:rtl/>
        </w:rPr>
        <w:t>בחי' הרי"ם</w:t>
      </w:r>
      <w:r>
        <w:rPr>
          <w:rFonts w:hint="cs"/>
          <w:rtl/>
        </w:rPr>
        <w:t xml:space="preserve"> </w:t>
      </w:r>
      <w:r w:rsidRPr="001166C4">
        <w:rPr>
          <w:rStyle w:val="af7"/>
          <w:rFonts w:eastAsia="Guttman Hodes" w:hint="cs"/>
          <w:rtl/>
        </w:rPr>
        <w:t>(חו"מ סי' ק"מ או' א')</w:t>
      </w:r>
      <w:r>
        <w:rPr>
          <w:rFonts w:hint="cs"/>
          <w:rtl/>
        </w:rPr>
        <w:t>.</w:t>
      </w:r>
      <w:bookmarkEnd w:id="4272"/>
    </w:p>
    <w:p w:rsidR="00F163D7" w:rsidRDefault="00F163D7" w:rsidP="00F163D7">
      <w:pPr>
        <w:pStyle w:val="a3"/>
        <w:rPr>
          <w:rtl/>
        </w:rPr>
      </w:pPr>
      <w:bookmarkStart w:id="4276" w:name="_Toc55991903"/>
      <w:bookmarkStart w:id="4277" w:name="_Toc56030452"/>
      <w:bookmarkStart w:id="4278" w:name="_Toc56032644"/>
      <w:r>
        <w:rPr>
          <w:rFonts w:hint="cs"/>
          <w:rtl/>
        </w:rPr>
        <w:t>דברי הנתיה"מ דבאין המחאה נשמעת אף שלא הקפיד הו"ל להזהר בשטר שמא מחה</w:t>
      </w:r>
      <w:r w:rsidRPr="00025754">
        <w:rPr>
          <w:rFonts w:hint="cs"/>
          <w:rtl/>
        </w:rPr>
        <w:t xml:space="preserve"> </w:t>
      </w:r>
      <w:r>
        <w:rPr>
          <w:rFonts w:hint="cs"/>
          <w:rtl/>
        </w:rPr>
        <w:t>ול"ה חזקה</w:t>
      </w:r>
      <w:bookmarkEnd w:id="4276"/>
      <w:bookmarkEnd w:id="4277"/>
      <w:bookmarkEnd w:id="4278"/>
    </w:p>
    <w:p w:rsidR="00F163D7" w:rsidRDefault="00F163D7" w:rsidP="007E4E81">
      <w:pPr>
        <w:pStyle w:val="a0"/>
        <w:rPr>
          <w:rtl/>
        </w:rPr>
      </w:pPr>
      <w:r>
        <w:rPr>
          <w:rFonts w:hint="cs"/>
          <w:rtl/>
        </w:rPr>
        <w:t xml:space="preserve">וכתב </w:t>
      </w:r>
      <w:r w:rsidRPr="001166C4">
        <w:rPr>
          <w:rStyle w:val="af9"/>
          <w:rFonts w:hint="cs"/>
          <w:rtl/>
        </w:rPr>
        <w:t>הנתיה"מ</w:t>
      </w:r>
      <w:r>
        <w:rPr>
          <w:rFonts w:hint="cs"/>
          <w:rtl/>
        </w:rPr>
        <w:t xml:space="preserve"> דהא דאם היה המרא קמא במקום שאינו יכול למחות לא הוי חזקה, אף אם לא הקפיד, ולא מחה שלא בפני המחזיק, הוא כיון דכל שמחאת המרא קמא אינה נשמעת, ממילא יש ריעותא בחזקה של המחזיק, דעליו להזהר בשטרו, מחשש שמחה המרא קמא והוא לא שמע מהמחאה, ולכן כל שאין המרא קמא יכול למחות לא הוי חזקה כלל, כמו בני בר אלישיב דלא הוי חזקה כיון שיש ריעותא דאין לו שטר, ועי' במה שביאר </w:t>
      </w:r>
      <w:r w:rsidRPr="005E4891">
        <w:rPr>
          <w:rStyle w:val="af9"/>
          <w:rFonts w:hint="cs"/>
          <w:rtl/>
        </w:rPr>
        <w:t>בחי' רבי ראובן</w:t>
      </w:r>
      <w:r>
        <w:rPr>
          <w:rFonts w:hint="cs"/>
          <w:rtl/>
        </w:rPr>
        <w:t xml:space="preserve"> </w:t>
      </w:r>
      <w:r w:rsidRPr="00A5710F">
        <w:rPr>
          <w:rStyle w:val="af7"/>
          <w:rFonts w:eastAsia="Guttman Hodes" w:hint="cs"/>
          <w:rtl/>
        </w:rPr>
        <w:t xml:space="preserve">(עי' אות </w:t>
      </w:r>
      <w:r w:rsidRPr="00A5710F">
        <w:rPr>
          <w:rStyle w:val="af7"/>
          <w:rFonts w:eastAsia="Guttman Hodes"/>
          <w:rtl/>
        </w:rPr>
        <w:fldChar w:fldCharType="begin"/>
      </w:r>
      <w:r w:rsidRPr="00A5710F">
        <w:rPr>
          <w:rStyle w:val="af7"/>
          <w:rFonts w:eastAsia="Guttman Hodes"/>
          <w:rtl/>
        </w:rPr>
        <w:instrText xml:space="preserve"> </w:instrText>
      </w:r>
      <w:r w:rsidRPr="00A5710F">
        <w:rPr>
          <w:rStyle w:val="af7"/>
          <w:rFonts w:eastAsia="Guttman Hodes" w:hint="cs"/>
        </w:rPr>
        <w:instrText>REF</w:instrText>
      </w:r>
      <w:r w:rsidRPr="00A5710F">
        <w:rPr>
          <w:rStyle w:val="af7"/>
          <w:rFonts w:eastAsia="Guttman Hodes" w:hint="cs"/>
          <w:rtl/>
        </w:rPr>
        <w:instrText xml:space="preserve"> _</w:instrText>
      </w:r>
      <w:r w:rsidRPr="00A5710F">
        <w:rPr>
          <w:rStyle w:val="af7"/>
          <w:rFonts w:eastAsia="Guttman Hodes" w:hint="cs"/>
        </w:rPr>
        <w:instrText>Ref55813993 \r \h</w:instrText>
      </w:r>
      <w:r w:rsidRPr="00A5710F">
        <w:rPr>
          <w:rStyle w:val="af7"/>
          <w:rFonts w:eastAsia="Guttman Hodes"/>
          <w:rtl/>
        </w:rPr>
        <w:instrText xml:space="preserve"> </w:instrText>
      </w:r>
      <w:r w:rsidRPr="00A5710F">
        <w:rPr>
          <w:rStyle w:val="af7"/>
          <w:rFonts w:eastAsia="Guttman Hodes"/>
          <w:rtl/>
        </w:rPr>
      </w:r>
      <w:r w:rsidRPr="00A5710F">
        <w:rPr>
          <w:rStyle w:val="af7"/>
          <w:rFonts w:eastAsia="Guttman Hodes"/>
          <w:rtl/>
        </w:rPr>
        <w:fldChar w:fldCharType="separate"/>
      </w:r>
      <w:r w:rsidR="00265073">
        <w:rPr>
          <w:rStyle w:val="af7"/>
          <w:rFonts w:eastAsia="Guttman Hodes"/>
          <w:cs/>
        </w:rPr>
        <w:t>‎</w:t>
      </w:r>
      <w:r w:rsidR="00265073">
        <w:rPr>
          <w:rStyle w:val="af7"/>
          <w:rFonts w:eastAsia="Guttman Hodes"/>
          <w:rtl/>
        </w:rPr>
        <w:t>עג)</w:t>
      </w:r>
      <w:r w:rsidRPr="00A5710F">
        <w:rPr>
          <w:rStyle w:val="af7"/>
          <w:rFonts w:eastAsia="Guttman Hodes"/>
          <w:rtl/>
        </w:rPr>
        <w:fldChar w:fldCharType="end"/>
      </w:r>
      <w:r>
        <w:rPr>
          <w:rFonts w:hint="cs"/>
          <w:rtl/>
        </w:rPr>
        <w:t xml:space="preserve"> בדברי </w:t>
      </w:r>
      <w:r w:rsidRPr="005E4891">
        <w:rPr>
          <w:rStyle w:val="af9"/>
          <w:rFonts w:hint="cs"/>
          <w:rtl/>
        </w:rPr>
        <w:t>הנתיה"מ</w:t>
      </w:r>
      <w:r>
        <w:rPr>
          <w:rFonts w:hint="cs"/>
          <w:rtl/>
        </w:rPr>
        <w:t>.</w:t>
      </w:r>
    </w:p>
    <w:p w:rsidR="00A64E72" w:rsidRPr="00A64E72" w:rsidRDefault="00A64E72" w:rsidP="00A64E72">
      <w:pPr>
        <w:pStyle w:val="a3"/>
        <w:rPr>
          <w:rtl/>
        </w:rPr>
      </w:pPr>
    </w:p>
    <w:p w:rsidR="00A64E72" w:rsidRPr="00A64E72" w:rsidRDefault="00A64E72" w:rsidP="00A64E72">
      <w:pPr>
        <w:pStyle w:val="a3"/>
        <w:rPr>
          <w:rtl/>
        </w:rPr>
      </w:pPr>
    </w:p>
    <w:p w:rsidR="00F163D7" w:rsidRDefault="00F163D7" w:rsidP="00F163D7">
      <w:pPr>
        <w:pStyle w:val="afe"/>
        <w:rPr>
          <w:rtl/>
        </w:rPr>
      </w:pPr>
      <w:bookmarkStart w:id="4279" w:name="_Toc55739908"/>
      <w:bookmarkStart w:id="4280" w:name="_Toc55839463"/>
      <w:bookmarkStart w:id="4281" w:name="_Toc55927865"/>
      <w:bookmarkStart w:id="4282" w:name="_Toc55946591"/>
      <w:bookmarkStart w:id="4283" w:name="_Toc55991904"/>
      <w:bookmarkStart w:id="4284" w:name="_Toc56030453"/>
      <w:bookmarkStart w:id="4285" w:name="_Toc56032645"/>
      <w:bookmarkStart w:id="4286" w:name="_Toc53934422"/>
      <w:bookmarkStart w:id="4287" w:name="_Toc54076383"/>
      <w:bookmarkStart w:id="4288" w:name="_Toc55419894"/>
      <w:bookmarkStart w:id="4289" w:name="_Toc55419950"/>
      <w:bookmarkStart w:id="4290" w:name="_Toc55421158"/>
      <w:bookmarkStart w:id="4291" w:name="_Toc55508536"/>
      <w:bookmarkStart w:id="4292" w:name="_Toc55569184"/>
      <w:bookmarkStart w:id="4293" w:name="_Toc55718295"/>
      <w:r>
        <w:rPr>
          <w:rFonts w:hint="cs"/>
          <w:rtl/>
        </w:rPr>
        <w:lastRenderedPageBreak/>
        <w:t>דעת הרשב"א</w:t>
      </w:r>
      <w:bookmarkEnd w:id="4279"/>
      <w:bookmarkEnd w:id="4280"/>
      <w:bookmarkEnd w:id="4281"/>
      <w:bookmarkEnd w:id="4282"/>
      <w:bookmarkEnd w:id="4283"/>
      <w:bookmarkEnd w:id="4284"/>
      <w:r>
        <w:rPr>
          <w:rFonts w:hint="cs"/>
          <w:rtl/>
        </w:rPr>
        <w:t xml:space="preserve"> </w:t>
      </w:r>
      <w:r>
        <w:rPr>
          <w:rtl/>
        </w:rPr>
        <w:t>דה</w:t>
      </w:r>
      <w:r>
        <w:rPr>
          <w:rFonts w:hint="cs"/>
          <w:rtl/>
        </w:rPr>
        <w:t>הוכחה גם מדלא הקפיד</w:t>
      </w:r>
      <w:bookmarkEnd w:id="4285"/>
    </w:p>
    <w:p w:rsidR="00F163D7" w:rsidRDefault="00F163D7" w:rsidP="00F163D7">
      <w:pPr>
        <w:pStyle w:val="1"/>
        <w:rPr>
          <w:rtl/>
        </w:rPr>
      </w:pPr>
      <w:bookmarkStart w:id="4294" w:name="_Toc55739909"/>
      <w:bookmarkStart w:id="4295" w:name="_Toc55839464"/>
      <w:bookmarkStart w:id="4296" w:name="_Toc55927866"/>
      <w:bookmarkStart w:id="4297" w:name="_Toc55946592"/>
      <w:bookmarkStart w:id="4298" w:name="_Toc55991905"/>
      <w:bookmarkStart w:id="4299" w:name="_Toc56030454"/>
      <w:bookmarkStart w:id="4300" w:name="_Toc56032646"/>
      <w:r>
        <w:rPr>
          <w:rFonts w:hint="cs"/>
          <w:rtl/>
        </w:rPr>
        <w:t>דברי הרשב"א</w:t>
      </w:r>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r>
        <w:rPr>
          <w:rFonts w:hint="cs"/>
          <w:rtl/>
        </w:rPr>
        <w:t xml:space="preserve"> דאחר ג"ש ולא הקפיד הוי חזקה והמערער מערים</w:t>
      </w:r>
      <w:bookmarkEnd w:id="4300"/>
      <w:r>
        <w:rPr>
          <w:rFonts w:hint="cs"/>
          <w:rtl/>
        </w:rPr>
        <w:t xml:space="preserve"> </w:t>
      </w:r>
    </w:p>
    <w:p w:rsidR="00F163D7" w:rsidRDefault="00F163D7" w:rsidP="00F163D7">
      <w:pPr>
        <w:pStyle w:val="a3"/>
        <w:rPr>
          <w:rtl/>
        </w:rPr>
      </w:pPr>
      <w:bookmarkStart w:id="4301" w:name="_Toc55991906"/>
      <w:bookmarkStart w:id="4302" w:name="_Toc56030455"/>
      <w:bookmarkStart w:id="4303" w:name="_Toc56032647"/>
      <w:bookmarkStart w:id="4304" w:name="_Ref53498642"/>
      <w:r>
        <w:rPr>
          <w:rFonts w:hint="cs"/>
          <w:rtl/>
        </w:rPr>
        <w:t>דברי הרשב"א דכשמחה המערער לאחר ג"ש נראה כמערים שהמתין שיאבד המחזיק את שטרו</w:t>
      </w:r>
      <w:bookmarkEnd w:id="4301"/>
      <w:bookmarkEnd w:id="4302"/>
      <w:bookmarkEnd w:id="4303"/>
    </w:p>
    <w:p w:rsidR="00F163D7" w:rsidRDefault="00F163D7" w:rsidP="007E4E81">
      <w:pPr>
        <w:pStyle w:val="a0"/>
        <w:rPr>
          <w:rStyle w:val="afb"/>
          <w:rtl/>
        </w:rPr>
      </w:pPr>
      <w:bookmarkStart w:id="4305" w:name="_Ref56008060"/>
      <w:bookmarkStart w:id="4306" w:name="_Ref56009495"/>
      <w:r>
        <w:rPr>
          <w:rFonts w:hint="cs"/>
          <w:rtl/>
        </w:rPr>
        <w:t xml:space="preserve">כתב </w:t>
      </w:r>
      <w:r w:rsidRPr="00AA3E95">
        <w:rPr>
          <w:rStyle w:val="af9"/>
          <w:rFonts w:hint="cs"/>
          <w:rtl/>
        </w:rPr>
        <w:t>הרשב"א</w:t>
      </w:r>
      <w:r>
        <w:rPr>
          <w:rFonts w:hint="cs"/>
          <w:rtl/>
        </w:rPr>
        <w:t xml:space="preserve"> </w:t>
      </w:r>
      <w:r w:rsidRPr="00AA3E95">
        <w:rPr>
          <w:rStyle w:val="af7"/>
          <w:rFonts w:eastAsia="Guttman Hodes" w:hint="cs"/>
          <w:rtl/>
        </w:rPr>
        <w:t>(ד"ה אלא)</w:t>
      </w:r>
      <w:r>
        <w:rPr>
          <w:rFonts w:hint="cs"/>
          <w:rtl/>
        </w:rPr>
        <w:t xml:space="preserve"> דהא דאמר רבא דעד ג"ש הלוקח נזהר בשטרו, כוונתו לומר דכיון שהמערער יודע דלאחר ג"ש אין הלוקח נזהר, א"כ כיון שמחה רק לאחר ג"ש, הוא נראה כמערים ושותק עד שהלוקח יאבד את הראיה שלו</w:t>
      </w:r>
      <w:bookmarkEnd w:id="4304"/>
      <w:bookmarkEnd w:id="4305"/>
      <w:r>
        <w:rPr>
          <w:rStyle w:val="afb"/>
          <w:rFonts w:hint="cs"/>
          <w:rtl/>
        </w:rPr>
        <w:t>,</w:t>
      </w:r>
      <w:r w:rsidRPr="00837B9C">
        <w:rPr>
          <w:rFonts w:hint="cs"/>
          <w:rtl/>
        </w:rPr>
        <w:t xml:space="preserve"> </w:t>
      </w:r>
      <w:r>
        <w:rPr>
          <w:rFonts w:hint="cs"/>
          <w:rtl/>
        </w:rPr>
        <w:t xml:space="preserve">ועי' במה שביארו </w:t>
      </w:r>
      <w:r w:rsidRPr="0033552A">
        <w:rPr>
          <w:rStyle w:val="af9"/>
          <w:rFonts w:hint="cs"/>
          <w:rtl/>
        </w:rPr>
        <w:t xml:space="preserve">בחי' רבי נחום </w:t>
      </w:r>
      <w:r w:rsidRPr="0033552A">
        <w:rPr>
          <w:rStyle w:val="af7"/>
          <w:rFonts w:eastAsia="Guttman Hodes" w:hint="cs"/>
          <w:rtl/>
        </w:rPr>
        <w:t xml:space="preserve">(עי' אות </w:t>
      </w:r>
      <w:r w:rsidRPr="0033552A">
        <w:rPr>
          <w:rStyle w:val="af7"/>
          <w:rFonts w:eastAsia="Guttman Hodes"/>
          <w:rtl/>
        </w:rPr>
        <w:fldChar w:fldCharType="begin"/>
      </w:r>
      <w:r w:rsidRPr="0033552A">
        <w:rPr>
          <w:rStyle w:val="af7"/>
          <w:rFonts w:eastAsia="Guttman Hodes"/>
          <w:rtl/>
        </w:rPr>
        <w:instrText xml:space="preserve"> </w:instrText>
      </w:r>
      <w:r w:rsidRPr="0033552A">
        <w:rPr>
          <w:rStyle w:val="af7"/>
          <w:rFonts w:eastAsia="Guttman Hodes" w:hint="cs"/>
        </w:rPr>
        <w:instrText>REF</w:instrText>
      </w:r>
      <w:r w:rsidRPr="0033552A">
        <w:rPr>
          <w:rStyle w:val="af7"/>
          <w:rFonts w:eastAsia="Guttman Hodes" w:hint="cs"/>
          <w:rtl/>
        </w:rPr>
        <w:instrText xml:space="preserve"> _</w:instrText>
      </w:r>
      <w:r w:rsidRPr="0033552A">
        <w:rPr>
          <w:rStyle w:val="af7"/>
          <w:rFonts w:eastAsia="Guttman Hodes" w:hint="cs"/>
        </w:rPr>
        <w:instrText>Ref56009983 \r \h</w:instrText>
      </w:r>
      <w:r w:rsidRPr="0033552A">
        <w:rPr>
          <w:rStyle w:val="af7"/>
          <w:rFonts w:eastAsia="Guttman Hodes"/>
          <w:rtl/>
        </w:rPr>
        <w:instrText xml:space="preserve"> </w:instrText>
      </w:r>
      <w:r w:rsidRPr="0033552A">
        <w:rPr>
          <w:rStyle w:val="af7"/>
          <w:rFonts w:eastAsia="Guttman Hodes"/>
          <w:rtl/>
        </w:rPr>
      </w:r>
      <w:r w:rsidRPr="0033552A">
        <w:rPr>
          <w:rStyle w:val="af7"/>
          <w:rFonts w:eastAsia="Guttman Hodes"/>
          <w:rtl/>
        </w:rPr>
        <w:fldChar w:fldCharType="separate"/>
      </w:r>
      <w:r w:rsidR="00265073">
        <w:rPr>
          <w:rStyle w:val="af7"/>
          <w:rFonts w:eastAsia="Guttman Hodes"/>
          <w:cs/>
        </w:rPr>
        <w:t>‎</w:t>
      </w:r>
      <w:r w:rsidR="00265073">
        <w:rPr>
          <w:rStyle w:val="af7"/>
          <w:rFonts w:eastAsia="Guttman Hodes"/>
          <w:rtl/>
        </w:rPr>
        <w:t>פז)</w:t>
      </w:r>
      <w:r w:rsidRPr="0033552A">
        <w:rPr>
          <w:rStyle w:val="af7"/>
          <w:rFonts w:eastAsia="Guttman Hodes"/>
          <w:rtl/>
        </w:rPr>
        <w:fldChar w:fldCharType="end"/>
      </w:r>
      <w:r>
        <w:rPr>
          <w:rFonts w:hint="cs"/>
          <w:rtl/>
        </w:rPr>
        <w:t xml:space="preserve"> </w:t>
      </w:r>
      <w:r w:rsidRPr="0033552A">
        <w:rPr>
          <w:rStyle w:val="af9"/>
          <w:rFonts w:hint="cs"/>
          <w:rtl/>
        </w:rPr>
        <w:t xml:space="preserve">ובחי' רבי ראובן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Ref56008216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Pr>
          <w:rStyle w:val="af7"/>
          <w:rFonts w:eastAsia="Guttman Hodes"/>
          <w:rtl/>
        </w:rPr>
        <w:fldChar w:fldCharType="end"/>
      </w:r>
      <w:r>
        <w:rPr>
          <w:rStyle w:val="af7"/>
          <w:rFonts w:eastAsia="Guttman Hodes" w:hint="cs"/>
          <w:rtl/>
        </w:rPr>
        <w:t xml:space="preserve"> </w:t>
      </w:r>
      <w:r w:rsidRPr="00837B9C">
        <w:rPr>
          <w:rFonts w:hint="cs"/>
          <w:rtl/>
        </w:rPr>
        <w:t xml:space="preserve">בדברי </w:t>
      </w:r>
      <w:r w:rsidRPr="00796B70">
        <w:rPr>
          <w:rStyle w:val="af9"/>
          <w:rFonts w:hint="cs"/>
          <w:rtl/>
        </w:rPr>
        <w:t>הרשב"א</w:t>
      </w:r>
      <w:r w:rsidRPr="00837B9C">
        <w:rPr>
          <w:rFonts w:hint="cs"/>
          <w:rtl/>
        </w:rPr>
        <w:t>.</w:t>
      </w:r>
      <w:bookmarkEnd w:id="4306"/>
    </w:p>
    <w:p w:rsidR="00F163D7" w:rsidRDefault="00F163D7" w:rsidP="00F163D7">
      <w:pPr>
        <w:pStyle w:val="a3"/>
        <w:rPr>
          <w:rtl/>
        </w:rPr>
      </w:pPr>
      <w:bookmarkStart w:id="4307" w:name="_Toc55991907"/>
      <w:bookmarkStart w:id="4308" w:name="_Toc56030456"/>
      <w:bookmarkStart w:id="4309" w:name="_Toc56032648"/>
      <w:r>
        <w:rPr>
          <w:rFonts w:hint="cs"/>
          <w:rtl/>
        </w:rPr>
        <w:t>דברי הרשב"א דכשאכל פירות ג"ש ושתק ולא הקפיד סומך המחזיק שלא יערער ולא נזהר בשטר</w:t>
      </w:r>
      <w:bookmarkEnd w:id="4307"/>
      <w:bookmarkEnd w:id="4308"/>
      <w:bookmarkEnd w:id="4309"/>
    </w:p>
    <w:p w:rsidR="00F163D7" w:rsidRPr="00F31D60" w:rsidRDefault="00F163D7" w:rsidP="007E4E81">
      <w:pPr>
        <w:pStyle w:val="a0"/>
        <w:rPr>
          <w:rtl/>
        </w:rPr>
      </w:pPr>
      <w:bookmarkStart w:id="4310" w:name="_Ref56007864"/>
      <w:r>
        <w:rPr>
          <w:rFonts w:hint="cs"/>
          <w:rtl/>
        </w:rPr>
        <w:t xml:space="preserve">והוסיף </w:t>
      </w:r>
      <w:r w:rsidRPr="008658DC">
        <w:rPr>
          <w:rStyle w:val="af9"/>
          <w:rFonts w:hint="cs"/>
          <w:rtl/>
        </w:rPr>
        <w:t>הרשב"א</w:t>
      </w:r>
      <w:r>
        <w:rPr>
          <w:rFonts w:hint="cs"/>
          <w:rtl/>
        </w:rPr>
        <w:t xml:space="preserve"> דהסברא דנראה כמערים לבדה לא מהני לעשות חזקה, אלא דחזקה מהני רק כשאכל פירות, ולא בעשה ניר בקרקע וכדומה, כיון דהדרך של רוב בנ"א שהם מקפידים על אכילת פירות ג"ש, ובפחות מג"ש אינם מקפידים, וכמו שאמר רבא בתחילה</w:t>
      </w:r>
      <w:r>
        <w:rPr>
          <w:rStyle w:val="af1"/>
          <w:rtl/>
        </w:rPr>
        <w:footnoteReference w:id="17"/>
      </w:r>
      <w:r>
        <w:rPr>
          <w:rFonts w:hint="cs"/>
          <w:rtl/>
        </w:rPr>
        <w:t>, ולכן הלוקח נזהר בשטרו כל ג"ש, שמא יערער עליו המרא קמא, אבל לאחר ג"ש שראה שהמרא קמא שותק, הוא בוטח שלא יחזור ויערער עליו, ואינו נזהר בשטרו</w:t>
      </w:r>
      <w:r>
        <w:rPr>
          <w:rStyle w:val="af1"/>
          <w:rtl/>
        </w:rPr>
        <w:footnoteReference w:id="18"/>
      </w:r>
      <w:r>
        <w:rPr>
          <w:rFonts w:hint="cs"/>
          <w:rtl/>
        </w:rPr>
        <w:t xml:space="preserve">. </w:t>
      </w:r>
      <w:r w:rsidRPr="008658DC">
        <w:rPr>
          <w:rStyle w:val="afb"/>
          <w:rFonts w:hint="cs"/>
          <w:rtl/>
        </w:rPr>
        <w:t xml:space="preserve">[ועי' במ"ש </w:t>
      </w:r>
      <w:r w:rsidRPr="008658DC">
        <w:rPr>
          <w:rStyle w:val="affa"/>
          <w:rFonts w:hint="cs"/>
          <w:rtl/>
        </w:rPr>
        <w:t>הרשב"א לקמן</w:t>
      </w:r>
      <w:r w:rsidRPr="008658DC">
        <w:rPr>
          <w:rStyle w:val="aff6"/>
          <w:rFonts w:hint="cs"/>
          <w:rtl/>
        </w:rPr>
        <w:t xml:space="preserve"> (עי' אות </w:t>
      </w:r>
      <w:r w:rsidRPr="008658DC">
        <w:rPr>
          <w:rStyle w:val="aff6"/>
          <w:rtl/>
        </w:rPr>
        <w:fldChar w:fldCharType="begin"/>
      </w:r>
      <w:r w:rsidRPr="008658DC">
        <w:rPr>
          <w:rStyle w:val="aff6"/>
          <w:rtl/>
        </w:rPr>
        <w:instrText xml:space="preserve"> </w:instrText>
      </w:r>
      <w:r w:rsidRPr="008658DC">
        <w:rPr>
          <w:rStyle w:val="aff6"/>
          <w:rFonts w:hint="cs"/>
        </w:rPr>
        <w:instrText>REF</w:instrText>
      </w:r>
      <w:r w:rsidRPr="008658DC">
        <w:rPr>
          <w:rStyle w:val="aff6"/>
          <w:rFonts w:hint="cs"/>
          <w:rtl/>
        </w:rPr>
        <w:instrText xml:space="preserve"> _</w:instrText>
      </w:r>
      <w:r w:rsidRPr="008658DC">
        <w:rPr>
          <w:rStyle w:val="aff6"/>
          <w:rFonts w:hint="cs"/>
        </w:rPr>
        <w:instrText>Ref53498629 \r \h</w:instrText>
      </w:r>
      <w:r w:rsidRPr="008658DC">
        <w:rPr>
          <w:rStyle w:val="aff6"/>
          <w:rtl/>
        </w:rPr>
        <w:instrText xml:space="preserve"> </w:instrText>
      </w:r>
      <w:r w:rsidRPr="008658DC">
        <w:rPr>
          <w:rStyle w:val="aff6"/>
          <w:rtl/>
        </w:rPr>
      </w:r>
      <w:r w:rsidRPr="008658DC">
        <w:rPr>
          <w:rStyle w:val="aff6"/>
          <w:rtl/>
        </w:rPr>
        <w:fldChar w:fldCharType="separate"/>
      </w:r>
      <w:r w:rsidR="00265073">
        <w:rPr>
          <w:rStyle w:val="aff6"/>
          <w:cs/>
        </w:rPr>
        <w:t>‎</w:t>
      </w:r>
      <w:r w:rsidR="00265073">
        <w:rPr>
          <w:rStyle w:val="aff6"/>
          <w:rtl/>
        </w:rPr>
        <w:t>כג)</w:t>
      </w:r>
      <w:r w:rsidRPr="008658DC">
        <w:rPr>
          <w:rStyle w:val="aff6"/>
          <w:rtl/>
        </w:rPr>
        <w:fldChar w:fldCharType="end"/>
      </w:r>
      <w:r w:rsidRPr="008658DC">
        <w:rPr>
          <w:rStyle w:val="aff6"/>
          <w:rFonts w:hint="cs"/>
          <w:rtl/>
        </w:rPr>
        <w:t xml:space="preserve"> </w:t>
      </w:r>
      <w:r w:rsidRPr="008658DC">
        <w:rPr>
          <w:rStyle w:val="afb"/>
          <w:rFonts w:hint="cs"/>
          <w:rtl/>
        </w:rPr>
        <w:t>דלכן מהני חזקה אף בפני קטן, כיון שהסברא דאחר ג"ש אינו נזהר בשטרו, מהני יחד עם הסברא דאדם מקפיד על אכילת ג"ש, וא"כ היה למערער למחות אף באכילת ג"ש של קטן</w:t>
      </w:r>
      <w:r w:rsidRPr="007E5B4F">
        <w:rPr>
          <w:rStyle w:val="afb"/>
          <w:rFonts w:hint="cs"/>
          <w:rtl/>
        </w:rPr>
        <w:t>].</w:t>
      </w:r>
      <w:bookmarkEnd w:id="4310"/>
    </w:p>
    <w:p w:rsidR="00F163D7" w:rsidRPr="00130402" w:rsidRDefault="00F163D7" w:rsidP="00F163D7">
      <w:pPr>
        <w:pStyle w:val="a3"/>
        <w:rPr>
          <w:rtl/>
        </w:rPr>
      </w:pPr>
      <w:bookmarkStart w:id="4311" w:name="_Toc55991908"/>
      <w:bookmarkStart w:id="4312" w:name="_Toc56030457"/>
      <w:bookmarkStart w:id="4313" w:name="_Toc56032649"/>
      <w:r>
        <w:rPr>
          <w:rFonts w:hint="cs"/>
          <w:rtl/>
        </w:rPr>
        <w:t>דברי הרשב"א דבאכל ניר וכדו' או שלא הרויח מהקרקע נזהר יותר מג"ש שמא לא הקפיד עדיין</w:t>
      </w:r>
      <w:bookmarkEnd w:id="4311"/>
      <w:bookmarkEnd w:id="4312"/>
      <w:bookmarkEnd w:id="4313"/>
    </w:p>
    <w:p w:rsidR="00F163D7" w:rsidRPr="00167BEB" w:rsidRDefault="00F163D7" w:rsidP="007E4E81">
      <w:pPr>
        <w:pStyle w:val="a0"/>
        <w:rPr>
          <w:rStyle w:val="afb"/>
          <w:rtl/>
        </w:rPr>
      </w:pPr>
      <w:bookmarkStart w:id="4314" w:name="_Ref55939990"/>
      <w:bookmarkStart w:id="4315" w:name="_Toc53934424"/>
      <w:bookmarkStart w:id="4316" w:name="_Toc54076385"/>
      <w:bookmarkStart w:id="4317" w:name="_Toc55419896"/>
      <w:bookmarkStart w:id="4318" w:name="_Toc55419952"/>
      <w:bookmarkStart w:id="4319" w:name="_Toc55421159"/>
      <w:r>
        <w:rPr>
          <w:rFonts w:hint="cs"/>
          <w:rtl/>
        </w:rPr>
        <w:t xml:space="preserve">וכתב </w:t>
      </w:r>
      <w:r w:rsidRPr="002133D6">
        <w:rPr>
          <w:rStyle w:val="af9"/>
          <w:rFonts w:hint="cs"/>
          <w:rtl/>
        </w:rPr>
        <w:t>הרשב"א</w:t>
      </w:r>
      <w:r>
        <w:rPr>
          <w:rFonts w:hint="cs"/>
          <w:rtl/>
        </w:rPr>
        <w:t xml:space="preserve"> דלכן כל שאכל ג"ש שלא כדרך הבעלים, כאופנים דאמרינן בגמ' לקמן </w:t>
      </w:r>
      <w:r w:rsidRPr="002133D6">
        <w:rPr>
          <w:rStyle w:val="af7"/>
          <w:rFonts w:eastAsia="Guttman Hodes" w:hint="cs"/>
          <w:rtl/>
        </w:rPr>
        <w:t xml:space="preserve">(לו:) </w:t>
      </w:r>
      <w:r>
        <w:rPr>
          <w:rFonts w:hint="cs"/>
          <w:rtl/>
        </w:rPr>
        <w:t>דלא הוי חזקה, כ</w:t>
      </w:r>
      <w:r>
        <w:rPr>
          <w:rtl/>
        </w:rPr>
        <w:t>תפתיחא</w:t>
      </w:r>
      <w:r>
        <w:rPr>
          <w:rFonts w:hint="cs"/>
          <w:rtl/>
        </w:rPr>
        <w:t xml:space="preserve">, או שעשה רק ניר ולא אכל פירות, או באפיק כורא ועייל כורא, שלא הרויח פירות מהקרקע, כיון דבכה"ג הדרך של הלוקח להזהר בשטרו, אף לאחר ג"ש, דסובר הלוקח דשמא לא חשש המרא קמא למחות, כיון שלא אכל פירות ג"ש, או שלא הרויח מהאכילה. </w:t>
      </w:r>
      <w:r w:rsidRPr="00167BEB">
        <w:rPr>
          <w:rStyle w:val="afb"/>
          <w:rFonts w:hint="cs"/>
          <w:rtl/>
        </w:rPr>
        <w:t xml:space="preserve">[ועי' במ"ש </w:t>
      </w:r>
      <w:r w:rsidRPr="00167BEB">
        <w:rPr>
          <w:rStyle w:val="affa"/>
          <w:rFonts w:hint="cs"/>
          <w:rtl/>
        </w:rPr>
        <w:t>התורת חיים</w:t>
      </w:r>
      <w:r w:rsidRPr="00167BEB">
        <w:rPr>
          <w:rStyle w:val="afb"/>
          <w:rFonts w:hint="cs"/>
          <w:rtl/>
        </w:rPr>
        <w:t xml:space="preserve"> </w:t>
      </w:r>
      <w:r w:rsidRPr="00167BEB">
        <w:rPr>
          <w:rStyle w:val="aff6"/>
          <w:rFonts w:hint="cs"/>
          <w:rtl/>
        </w:rPr>
        <w:t xml:space="preserve">(עי' אות </w:t>
      </w:r>
      <w:r w:rsidRPr="00167BEB">
        <w:rPr>
          <w:rStyle w:val="aff6"/>
          <w:rtl/>
        </w:rPr>
        <w:fldChar w:fldCharType="begin"/>
      </w:r>
      <w:r w:rsidRPr="00167BEB">
        <w:rPr>
          <w:rStyle w:val="aff6"/>
          <w:rtl/>
        </w:rPr>
        <w:instrText xml:space="preserve"> </w:instrText>
      </w:r>
      <w:r w:rsidRPr="00167BEB">
        <w:rPr>
          <w:rStyle w:val="aff6"/>
          <w:rFonts w:hint="cs"/>
        </w:rPr>
        <w:instrText>REF</w:instrText>
      </w:r>
      <w:r w:rsidRPr="00167BEB">
        <w:rPr>
          <w:rStyle w:val="aff6"/>
          <w:rFonts w:hint="cs"/>
          <w:rtl/>
        </w:rPr>
        <w:instrText xml:space="preserve"> _</w:instrText>
      </w:r>
      <w:r w:rsidRPr="00167BEB">
        <w:rPr>
          <w:rStyle w:val="aff6"/>
          <w:rFonts w:hint="cs"/>
        </w:rPr>
        <w:instrText>Ref55678968 \r \h</w:instrText>
      </w:r>
      <w:r w:rsidRPr="00167BEB">
        <w:rPr>
          <w:rStyle w:val="aff6"/>
          <w:rtl/>
        </w:rPr>
        <w:instrText xml:space="preserve"> </w:instrText>
      </w:r>
      <w:r w:rsidRPr="00167BEB">
        <w:rPr>
          <w:rStyle w:val="aff6"/>
          <w:rtl/>
        </w:rPr>
      </w:r>
      <w:r w:rsidRPr="00167BEB">
        <w:rPr>
          <w:rStyle w:val="aff6"/>
          <w:rtl/>
        </w:rPr>
        <w:fldChar w:fldCharType="separate"/>
      </w:r>
      <w:r w:rsidR="00265073">
        <w:rPr>
          <w:rStyle w:val="aff6"/>
          <w:cs/>
        </w:rPr>
        <w:t>‎</w:t>
      </w:r>
      <w:r w:rsidR="00265073">
        <w:rPr>
          <w:rStyle w:val="aff6"/>
          <w:rtl/>
        </w:rPr>
        <w:t>כח)</w:t>
      </w:r>
      <w:r w:rsidRPr="00167BEB">
        <w:rPr>
          <w:rStyle w:val="aff6"/>
          <w:rtl/>
        </w:rPr>
        <w:fldChar w:fldCharType="end"/>
      </w:r>
      <w:r w:rsidRPr="00167BEB">
        <w:rPr>
          <w:rStyle w:val="afb"/>
          <w:rFonts w:hint="cs"/>
          <w:rtl/>
        </w:rPr>
        <w:t>].</w:t>
      </w:r>
      <w:bookmarkEnd w:id="4314"/>
    </w:p>
    <w:p w:rsidR="00F163D7" w:rsidRDefault="00F163D7" w:rsidP="00F163D7">
      <w:pPr>
        <w:pStyle w:val="a3"/>
        <w:rPr>
          <w:rtl/>
        </w:rPr>
      </w:pPr>
      <w:bookmarkStart w:id="4320" w:name="_Toc55991909"/>
      <w:bookmarkStart w:id="4321" w:name="_Toc56030458"/>
      <w:bookmarkStart w:id="4322" w:name="_Toc56032650"/>
      <w:r>
        <w:rPr>
          <w:rFonts w:hint="cs"/>
          <w:rtl/>
        </w:rPr>
        <w:t>דברי הרשב"א דלכן לשמואל בדקל נערה א"צ ג"ש וכן במזיק קרקע דמקפיד הוי חזקה לאלתר</w:t>
      </w:r>
      <w:bookmarkEnd w:id="4320"/>
      <w:bookmarkEnd w:id="4321"/>
      <w:bookmarkEnd w:id="4322"/>
    </w:p>
    <w:p w:rsidR="00F163D7" w:rsidRDefault="00F163D7" w:rsidP="007E4E81">
      <w:pPr>
        <w:pStyle w:val="a0"/>
        <w:rPr>
          <w:rtl/>
        </w:rPr>
      </w:pPr>
      <w:bookmarkStart w:id="4323" w:name="_Ref55987322"/>
      <w:r>
        <w:rPr>
          <w:rFonts w:hint="cs"/>
          <w:rtl/>
        </w:rPr>
        <w:t xml:space="preserve">והוסיף </w:t>
      </w:r>
      <w:r w:rsidRPr="002133D6">
        <w:rPr>
          <w:rStyle w:val="af9"/>
          <w:rFonts w:hint="cs"/>
          <w:rtl/>
        </w:rPr>
        <w:t>הרשב"א</w:t>
      </w:r>
      <w:r>
        <w:rPr>
          <w:rFonts w:hint="cs"/>
          <w:rtl/>
        </w:rPr>
        <w:t xml:space="preserve"> דלכן ס"ל לשמואל בגמ' לקמן </w:t>
      </w:r>
      <w:r w:rsidRPr="002133D6">
        <w:rPr>
          <w:rStyle w:val="af7"/>
          <w:rFonts w:eastAsia="Guttman Hodes" w:hint="cs"/>
          <w:rtl/>
        </w:rPr>
        <w:t xml:space="preserve">(לו:) </w:t>
      </w:r>
      <w:r>
        <w:rPr>
          <w:rFonts w:hint="cs"/>
          <w:rtl/>
        </w:rPr>
        <w:t xml:space="preserve">דבדקל נערה אף בפחות מג"ש הוי חזקה, דכיון שאכל פירות שהם ראויים לג"ש, ולא מחה בו המרא קמא, הוא בוטח שלא ימחה יותר, וכתב </w:t>
      </w:r>
      <w:r w:rsidRPr="002133D6">
        <w:rPr>
          <w:rStyle w:val="af9"/>
          <w:rFonts w:hint="cs"/>
          <w:rtl/>
        </w:rPr>
        <w:t>הרשב"א</w:t>
      </w:r>
      <w:r>
        <w:rPr>
          <w:rFonts w:hint="cs"/>
          <w:rtl/>
        </w:rPr>
        <w:t xml:space="preserve"> דלכן ס"ל לרבא גופיה בגמ' לקמן</w:t>
      </w:r>
      <w:r w:rsidRPr="002133D6">
        <w:rPr>
          <w:rStyle w:val="af7"/>
          <w:rFonts w:eastAsia="Guttman Hodes" w:hint="cs"/>
          <w:rtl/>
        </w:rPr>
        <w:t xml:space="preserve"> (נ:) </w:t>
      </w:r>
      <w:r>
        <w:rPr>
          <w:rFonts w:hint="cs"/>
          <w:rtl/>
        </w:rPr>
        <w:t xml:space="preserve">דבעל שחפר בורות בקרקע של אשתו ולא מחתה בו, הוי חזקה לאלתר, דכיון שקלקל את הקרקע שלה לפניה ולא מחתה בו, אין הבעל נזהר בשטרו יותר, וכ"כ </w:t>
      </w:r>
      <w:r w:rsidRPr="008E4A26">
        <w:rPr>
          <w:rStyle w:val="af9"/>
          <w:rFonts w:hint="cs"/>
          <w:rtl/>
        </w:rPr>
        <w:t>הרשב"א בתשו'</w:t>
      </w:r>
      <w:r>
        <w:rPr>
          <w:rFonts w:hint="cs"/>
          <w:rtl/>
        </w:rPr>
        <w:t xml:space="preserve"> </w:t>
      </w:r>
      <w:r w:rsidRPr="008E4A26">
        <w:rPr>
          <w:rStyle w:val="af7"/>
          <w:rFonts w:eastAsia="Guttman Hodes" w:hint="cs"/>
          <w:rtl/>
        </w:rPr>
        <w:t xml:space="preserve">(עי' אות </w:t>
      </w:r>
      <w:r w:rsidRPr="008E4A26">
        <w:rPr>
          <w:rStyle w:val="af7"/>
          <w:rFonts w:eastAsia="Guttman Hodes"/>
          <w:rtl/>
        </w:rPr>
        <w:fldChar w:fldCharType="begin"/>
      </w:r>
      <w:r w:rsidRPr="008E4A26">
        <w:rPr>
          <w:rStyle w:val="af7"/>
          <w:rFonts w:eastAsia="Guttman Hodes"/>
          <w:rtl/>
        </w:rPr>
        <w:instrText xml:space="preserve"> </w:instrText>
      </w:r>
      <w:r w:rsidRPr="008E4A26">
        <w:rPr>
          <w:rStyle w:val="af7"/>
          <w:rFonts w:eastAsia="Guttman Hodes" w:hint="cs"/>
        </w:rPr>
        <w:instrText>REF</w:instrText>
      </w:r>
      <w:r w:rsidRPr="008E4A26">
        <w:rPr>
          <w:rStyle w:val="af7"/>
          <w:rFonts w:eastAsia="Guttman Hodes" w:hint="cs"/>
          <w:rtl/>
        </w:rPr>
        <w:instrText xml:space="preserve"> _</w:instrText>
      </w:r>
      <w:r w:rsidRPr="008E4A26">
        <w:rPr>
          <w:rStyle w:val="af7"/>
          <w:rFonts w:eastAsia="Guttman Hodes" w:hint="cs"/>
        </w:rPr>
        <w:instrText>Ref55987344 \r \h</w:instrText>
      </w:r>
      <w:r w:rsidRPr="008E4A26">
        <w:rPr>
          <w:rStyle w:val="af7"/>
          <w:rFonts w:eastAsia="Guttman Hodes"/>
          <w:rtl/>
        </w:rPr>
        <w:instrText xml:space="preserve"> </w:instrText>
      </w:r>
      <w:r w:rsidRPr="008E4A26">
        <w:rPr>
          <w:rStyle w:val="af7"/>
          <w:rFonts w:eastAsia="Guttman Hodes"/>
          <w:rtl/>
        </w:rPr>
      </w:r>
      <w:r w:rsidRPr="008E4A26">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8E4A26">
        <w:rPr>
          <w:rStyle w:val="af7"/>
          <w:rFonts w:eastAsia="Guttman Hodes"/>
          <w:rtl/>
        </w:rPr>
        <w:fldChar w:fldCharType="end"/>
      </w:r>
      <w:r>
        <w:rPr>
          <w:rFonts w:hint="cs"/>
          <w:rtl/>
        </w:rPr>
        <w:t>.</w:t>
      </w:r>
      <w:bookmarkEnd w:id="4323"/>
    </w:p>
    <w:p w:rsidR="00F163D7" w:rsidRDefault="00F163D7" w:rsidP="00F163D7">
      <w:pPr>
        <w:pStyle w:val="a3"/>
        <w:rPr>
          <w:rtl/>
        </w:rPr>
      </w:pPr>
      <w:bookmarkStart w:id="4324" w:name="_Toc55991910"/>
      <w:bookmarkStart w:id="4325" w:name="_Toc56030459"/>
      <w:bookmarkStart w:id="4326" w:name="_Toc56032651"/>
      <w:r>
        <w:rPr>
          <w:rFonts w:hint="cs"/>
          <w:rtl/>
        </w:rPr>
        <w:t>דברי הרשב"א דאף במי שדרכו להקפיד מיד חושש הלוקח שיאמר שלא הקפיד ונזהר בשטר ג"ש</w:t>
      </w:r>
      <w:bookmarkEnd w:id="4324"/>
      <w:bookmarkEnd w:id="4325"/>
      <w:bookmarkEnd w:id="4326"/>
    </w:p>
    <w:p w:rsidR="00F163D7" w:rsidRDefault="00F163D7" w:rsidP="007E4E81">
      <w:pPr>
        <w:pStyle w:val="a0"/>
        <w:rPr>
          <w:rtl/>
        </w:rPr>
      </w:pPr>
      <w:bookmarkStart w:id="4327" w:name="_Ref55763284"/>
      <w:r>
        <w:rPr>
          <w:rFonts w:hint="cs"/>
          <w:rtl/>
        </w:rPr>
        <w:t xml:space="preserve">וכתב </w:t>
      </w:r>
      <w:r w:rsidRPr="002133D6">
        <w:rPr>
          <w:rStyle w:val="af9"/>
          <w:rFonts w:hint="cs"/>
          <w:rtl/>
        </w:rPr>
        <w:t>הרשב"א</w:t>
      </w:r>
      <w:r>
        <w:rPr>
          <w:rFonts w:hint="cs"/>
          <w:rtl/>
        </w:rPr>
        <w:t xml:space="preserve"> דכיון דרוב בנ"א אין דרכם להקפיד בפחות מג"ש, לכן אף במי שדרכם להקפיד טובא כבני בר אלישיב,</w:t>
      </w:r>
      <w:r w:rsidRPr="00556FA0">
        <w:rPr>
          <w:rFonts w:hint="cs"/>
          <w:rtl/>
        </w:rPr>
        <w:t xml:space="preserve"> </w:t>
      </w:r>
      <w:r>
        <w:rPr>
          <w:rFonts w:hint="cs"/>
          <w:rtl/>
        </w:rPr>
        <w:t xml:space="preserve">החזקה היא בג"ש, דעד ג"ש דרך הלוקח להזהר בשטרו, דחושש הלוקח שיטען לו המרא קמא דלא הקפיד עליו בתוך ג"ש כדרך רוב בנ"א, ולכן נזהר הלוקח בשטרו עד ג"ש, אף כשהמרא קמא דרכו להקפיד </w:t>
      </w:r>
      <w:r>
        <w:rPr>
          <w:rFonts w:hint="cs"/>
          <w:rtl/>
        </w:rPr>
        <w:t>טובא, אבל בחופר בורות, דאין שאדם שמקלקלים את שדהו כל כך בפניו והוא שותק, לכן הוי חזקה לאלתר.</w:t>
      </w:r>
      <w:bookmarkEnd w:id="4327"/>
    </w:p>
    <w:p w:rsidR="00F163D7" w:rsidRDefault="00F163D7" w:rsidP="00F163D7">
      <w:pPr>
        <w:pStyle w:val="1"/>
        <w:rPr>
          <w:rtl/>
        </w:rPr>
      </w:pPr>
      <w:bookmarkStart w:id="4328" w:name="_Toc55991912"/>
      <w:bookmarkStart w:id="4329" w:name="_Toc56030461"/>
      <w:bookmarkStart w:id="4330" w:name="_Toc56032652"/>
      <w:r>
        <w:rPr>
          <w:rFonts w:hint="cs"/>
          <w:rtl/>
        </w:rPr>
        <w:t>ביאור הנתיה"מ ברשב"א דחושש שב"ד יאמדו שהמר"ק מקפיד</w:t>
      </w:r>
    </w:p>
    <w:p w:rsidR="00F163D7" w:rsidRPr="002D7C35" w:rsidRDefault="00F163D7" w:rsidP="00F163D7">
      <w:pPr>
        <w:pStyle w:val="a3"/>
        <w:rPr>
          <w:rtl/>
        </w:rPr>
      </w:pPr>
      <w:r>
        <w:rPr>
          <w:rFonts w:hint="cs"/>
          <w:rtl/>
        </w:rPr>
        <w:t>ביאור הנתיה"מ ברשב"א דהקפידא תלויה באומדנת ב"ד ולעולם נזהר בשטר שמא אינו מקפיד</w:t>
      </w:r>
      <w:bookmarkEnd w:id="4328"/>
      <w:bookmarkEnd w:id="4329"/>
      <w:bookmarkEnd w:id="4330"/>
    </w:p>
    <w:p w:rsidR="00F163D7" w:rsidRDefault="00F163D7" w:rsidP="007E4E81">
      <w:pPr>
        <w:pStyle w:val="a0"/>
        <w:rPr>
          <w:rtl/>
        </w:rPr>
      </w:pPr>
      <w:bookmarkStart w:id="4331" w:name="_Ref55763317"/>
      <w:bookmarkStart w:id="4332" w:name="_Toc55508537"/>
      <w:bookmarkStart w:id="4333" w:name="_Toc55569185"/>
      <w:bookmarkStart w:id="4334" w:name="_Toc55718296"/>
      <w:bookmarkStart w:id="4335" w:name="_Toc55739910"/>
      <w:r>
        <w:rPr>
          <w:rFonts w:hint="cs"/>
          <w:rtl/>
        </w:rPr>
        <w:t xml:space="preserve">במ"ש </w:t>
      </w:r>
      <w:r w:rsidRPr="005248DF">
        <w:rPr>
          <w:rStyle w:val="af9"/>
          <w:rFonts w:hint="cs"/>
          <w:rtl/>
        </w:rPr>
        <w:t>הרשב"א</w:t>
      </w:r>
      <w:r>
        <w:rPr>
          <w:rFonts w:hint="cs"/>
          <w:rtl/>
        </w:rPr>
        <w:t xml:space="preserve"> </w:t>
      </w:r>
      <w:r w:rsidRPr="002D7C35">
        <w:rPr>
          <w:rStyle w:val="af7"/>
          <w:rFonts w:eastAsia="Guttman Hodes" w:hint="cs"/>
          <w:rtl/>
        </w:rPr>
        <w:t xml:space="preserve">(עי' אות </w:t>
      </w:r>
      <w:r w:rsidRPr="002D7C35">
        <w:rPr>
          <w:rStyle w:val="af7"/>
          <w:rFonts w:eastAsia="Guttman Hodes"/>
          <w:rtl/>
        </w:rPr>
        <w:fldChar w:fldCharType="begin"/>
      </w:r>
      <w:r w:rsidRPr="002D7C35">
        <w:rPr>
          <w:rStyle w:val="af7"/>
          <w:rFonts w:eastAsia="Guttman Hodes"/>
          <w:rtl/>
        </w:rPr>
        <w:instrText xml:space="preserve"> </w:instrText>
      </w:r>
      <w:r w:rsidRPr="002D7C35">
        <w:rPr>
          <w:rStyle w:val="af7"/>
          <w:rFonts w:eastAsia="Guttman Hodes" w:hint="cs"/>
        </w:rPr>
        <w:instrText>REF</w:instrText>
      </w:r>
      <w:r w:rsidRPr="002D7C35">
        <w:rPr>
          <w:rStyle w:val="af7"/>
          <w:rFonts w:eastAsia="Guttman Hodes" w:hint="cs"/>
          <w:rtl/>
        </w:rPr>
        <w:instrText xml:space="preserve"> _</w:instrText>
      </w:r>
      <w:r w:rsidRPr="002D7C35">
        <w:rPr>
          <w:rStyle w:val="af7"/>
          <w:rFonts w:eastAsia="Guttman Hodes" w:hint="cs"/>
        </w:rPr>
        <w:instrText>Ref55763284 \r \h</w:instrText>
      </w:r>
      <w:r w:rsidRPr="002D7C35">
        <w:rPr>
          <w:rStyle w:val="af7"/>
          <w:rFonts w:eastAsia="Guttman Hodes"/>
          <w:rtl/>
        </w:rPr>
        <w:instrText xml:space="preserve"> </w:instrText>
      </w:r>
      <w:r w:rsidRPr="002D7C35">
        <w:rPr>
          <w:rStyle w:val="af7"/>
          <w:rFonts w:eastAsia="Guttman Hodes"/>
          <w:rtl/>
        </w:rPr>
      </w:r>
      <w:r w:rsidRPr="002D7C35">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2D7C35">
        <w:rPr>
          <w:rStyle w:val="af7"/>
          <w:rFonts w:eastAsia="Guttman Hodes"/>
          <w:rtl/>
        </w:rPr>
        <w:fldChar w:fldCharType="end"/>
      </w:r>
      <w:r>
        <w:rPr>
          <w:rFonts w:hint="cs"/>
          <w:rtl/>
        </w:rPr>
        <w:t xml:space="preserve"> דכיון דרוב בנ"א אין דרכם להקפיד בפחות מג"ש, לכן לעולם, דרך הלוקח להזהר בשטרו, דחושש הלוקח שיטען לו המרא קמא דלא הקפיד עליו בתוך ג"ש, ביאר </w:t>
      </w:r>
      <w:r w:rsidRPr="005248DF">
        <w:rPr>
          <w:rStyle w:val="af9"/>
          <w:rFonts w:hint="cs"/>
          <w:rtl/>
        </w:rPr>
        <w:t>הנתיה"מ</w:t>
      </w:r>
      <w:r>
        <w:rPr>
          <w:rFonts w:hint="cs"/>
          <w:rtl/>
        </w:rPr>
        <w:t xml:space="preserve"> </w:t>
      </w:r>
      <w:r w:rsidRPr="005248DF">
        <w:rPr>
          <w:rStyle w:val="af7"/>
          <w:rFonts w:eastAsia="Guttman Hodes" w:hint="cs"/>
          <w:rtl/>
        </w:rPr>
        <w:t>(סי' קמ"ד סק"ג ד"ה אמנם)</w:t>
      </w:r>
      <w:r>
        <w:rPr>
          <w:rFonts w:hint="cs"/>
          <w:rtl/>
        </w:rPr>
        <w:t xml:space="preserve"> את דברי </w:t>
      </w:r>
      <w:r w:rsidRPr="005248DF">
        <w:rPr>
          <w:rStyle w:val="af9"/>
          <w:rFonts w:hint="cs"/>
          <w:rtl/>
        </w:rPr>
        <w:t>הרשב"א</w:t>
      </w:r>
      <w:r>
        <w:rPr>
          <w:rFonts w:hint="cs"/>
          <w:rtl/>
        </w:rPr>
        <w:t xml:space="preserve"> דכיון דהקפידא של כ"א תלויה באומדנא של ב"ד, לכן לעולם המחזיק מחוייב להזהר בשטרו, דאם יאמרו הב"ד דהמרא קמא הזה אינו מקפיד מיד, הוא יוכל למחות בו בכל הג"ש, ועי' במ"ש </w:t>
      </w:r>
      <w:r w:rsidRPr="005248DF">
        <w:rPr>
          <w:rStyle w:val="af9"/>
          <w:rFonts w:hint="cs"/>
          <w:rtl/>
        </w:rPr>
        <w:t>הנתיה"מ</w:t>
      </w:r>
      <w:r>
        <w:rPr>
          <w:rFonts w:hint="cs"/>
          <w:rtl/>
        </w:rPr>
        <w:t xml:space="preserve"> </w:t>
      </w:r>
      <w:r w:rsidRPr="005248DF">
        <w:rPr>
          <w:rStyle w:val="af7"/>
          <w:rFonts w:eastAsia="Guttman Hodes" w:hint="cs"/>
          <w:rtl/>
        </w:rPr>
        <w:t xml:space="preserve">(עי' אות </w:t>
      </w:r>
      <w:r w:rsidRPr="005248DF">
        <w:rPr>
          <w:rStyle w:val="af7"/>
          <w:rFonts w:eastAsia="Guttman Hodes"/>
          <w:rtl/>
        </w:rPr>
        <w:fldChar w:fldCharType="begin"/>
      </w:r>
      <w:r w:rsidRPr="005248DF">
        <w:rPr>
          <w:rStyle w:val="af7"/>
          <w:rFonts w:eastAsia="Guttman Hodes"/>
          <w:rtl/>
        </w:rPr>
        <w:instrText xml:space="preserve"> </w:instrText>
      </w:r>
      <w:r w:rsidRPr="005248DF">
        <w:rPr>
          <w:rStyle w:val="af7"/>
          <w:rFonts w:eastAsia="Guttman Hodes" w:hint="cs"/>
        </w:rPr>
        <w:instrText>REF</w:instrText>
      </w:r>
      <w:r w:rsidRPr="005248DF">
        <w:rPr>
          <w:rStyle w:val="af7"/>
          <w:rFonts w:eastAsia="Guttman Hodes" w:hint="cs"/>
          <w:rtl/>
        </w:rPr>
        <w:instrText xml:space="preserve"> _</w:instrText>
      </w:r>
      <w:r w:rsidRPr="005248DF">
        <w:rPr>
          <w:rStyle w:val="af7"/>
          <w:rFonts w:eastAsia="Guttman Hodes" w:hint="cs"/>
        </w:rPr>
        <w:instrText>Ref55763292 \r \h</w:instrText>
      </w:r>
      <w:r w:rsidRPr="005248DF">
        <w:rPr>
          <w:rStyle w:val="af7"/>
          <w:rFonts w:eastAsia="Guttman Hodes"/>
          <w:rtl/>
        </w:rPr>
        <w:instrText xml:space="preserve"> </w:instrText>
      </w:r>
      <w:r w:rsidRPr="005248DF">
        <w:rPr>
          <w:rStyle w:val="af7"/>
          <w:rFonts w:eastAsia="Guttman Hodes"/>
          <w:rtl/>
        </w:rPr>
      </w:r>
      <w:r w:rsidRPr="005248DF">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5248DF">
        <w:rPr>
          <w:rStyle w:val="af7"/>
          <w:rFonts w:eastAsia="Guttman Hodes"/>
          <w:rtl/>
        </w:rPr>
        <w:fldChar w:fldCharType="end"/>
      </w:r>
      <w:r>
        <w:rPr>
          <w:rFonts w:hint="cs"/>
          <w:rtl/>
        </w:rPr>
        <w:t xml:space="preserve"> דזו גם כוונת </w:t>
      </w:r>
      <w:r w:rsidRPr="005248DF">
        <w:rPr>
          <w:rStyle w:val="af9"/>
          <w:rFonts w:hint="cs"/>
          <w:rtl/>
        </w:rPr>
        <w:t>הרמב"ן</w:t>
      </w:r>
      <w:r>
        <w:rPr>
          <w:rFonts w:hint="cs"/>
          <w:rtl/>
        </w:rPr>
        <w:t>.</w:t>
      </w:r>
      <w:bookmarkEnd w:id="4331"/>
    </w:p>
    <w:p w:rsidR="00F163D7" w:rsidRPr="00916229" w:rsidRDefault="00F163D7" w:rsidP="00F163D7">
      <w:pPr>
        <w:pStyle w:val="afe"/>
        <w:rPr>
          <w:rtl/>
        </w:rPr>
      </w:pPr>
      <w:r>
        <w:rPr>
          <w:rFonts w:hint="cs"/>
          <w:rtl/>
        </w:rPr>
        <w:t>ד' הרשב"א בתשו' דאין ראיה מדשתק</w:t>
      </w:r>
    </w:p>
    <w:p w:rsidR="00F163D7" w:rsidRPr="00457C7E" w:rsidRDefault="00F163D7" w:rsidP="00F163D7">
      <w:pPr>
        <w:pStyle w:val="1"/>
        <w:rPr>
          <w:rtl/>
        </w:rPr>
      </w:pPr>
      <w:r>
        <w:rPr>
          <w:rFonts w:hint="cs"/>
          <w:rtl/>
        </w:rPr>
        <w:t xml:space="preserve">דברי הרשב"א בתשו' דתיקנו דכל שלא נזהר בשטר מפסיד </w:t>
      </w:r>
    </w:p>
    <w:p w:rsidR="00F163D7" w:rsidRDefault="00F163D7" w:rsidP="00F163D7">
      <w:pPr>
        <w:pStyle w:val="a3"/>
        <w:rPr>
          <w:rtl/>
        </w:rPr>
      </w:pPr>
      <w:bookmarkStart w:id="4336" w:name="_Toc55991914"/>
      <w:bookmarkStart w:id="4337" w:name="_Toc56030463"/>
      <w:bookmarkStart w:id="4338" w:name="_Toc56032653"/>
      <w:r>
        <w:rPr>
          <w:rFonts w:hint="cs"/>
          <w:rtl/>
        </w:rPr>
        <w:t>דברי הרשב"א בתשו' דעד ג"ש חושש דיטען המערער דלא חשש לפירות כיון שיוציא ממנו בדין</w:t>
      </w:r>
      <w:bookmarkEnd w:id="4336"/>
      <w:bookmarkEnd w:id="4337"/>
      <w:bookmarkEnd w:id="4338"/>
    </w:p>
    <w:p w:rsidR="00F163D7" w:rsidRDefault="00F163D7" w:rsidP="007E4E81">
      <w:pPr>
        <w:pStyle w:val="a0"/>
        <w:rPr>
          <w:rtl/>
        </w:rPr>
      </w:pPr>
      <w:r>
        <w:rPr>
          <w:rFonts w:hint="cs"/>
          <w:rtl/>
        </w:rPr>
        <w:t xml:space="preserve">כתב </w:t>
      </w:r>
      <w:r w:rsidRPr="00B93217">
        <w:rPr>
          <w:rStyle w:val="af9"/>
          <w:rFonts w:hint="cs"/>
          <w:rtl/>
        </w:rPr>
        <w:t>הרשב"א בתשו'</w:t>
      </w:r>
      <w:r>
        <w:rPr>
          <w:rFonts w:hint="cs"/>
          <w:rtl/>
        </w:rPr>
        <w:t xml:space="preserve"> </w:t>
      </w:r>
      <w:r w:rsidRPr="00D16C75">
        <w:rPr>
          <w:rStyle w:val="af7"/>
          <w:rFonts w:eastAsia="Guttman Hodes" w:hint="cs"/>
          <w:rtl/>
        </w:rPr>
        <w:t>(ח"ב סי' רמ"ד סוד"ה תשובה</w:t>
      </w:r>
      <w:r>
        <w:rPr>
          <w:rStyle w:val="af7"/>
          <w:rFonts w:eastAsia="Guttman Hodes" w:hint="cs"/>
          <w:rtl/>
        </w:rPr>
        <w:t xml:space="preserve"> שאלת</w:t>
      </w:r>
      <w:r w:rsidRPr="00D16C75">
        <w:rPr>
          <w:rStyle w:val="af7"/>
          <w:rFonts w:eastAsia="Guttman Hodes" w:hint="cs"/>
          <w:rtl/>
        </w:rPr>
        <w:t>)</w:t>
      </w:r>
      <w:r>
        <w:rPr>
          <w:rFonts w:hint="cs"/>
          <w:rtl/>
        </w:rPr>
        <w:t xml:space="preserve"> דהא דצריך חזקת ג"ש הוא רק כשאכל כדרך הנאתן, </w:t>
      </w:r>
      <w:r w:rsidRPr="00110691">
        <w:rPr>
          <w:rStyle w:val="afb"/>
          <w:rFonts w:hint="cs"/>
          <w:rtl/>
        </w:rPr>
        <w:t xml:space="preserve">[ולא כשהזיק את הקרקע], </w:t>
      </w:r>
      <w:r>
        <w:rPr>
          <w:rFonts w:hint="cs"/>
          <w:rtl/>
        </w:rPr>
        <w:t>כיון דעד ג"ש אדם נזהר בשטרו, דהוא חושש שמא המוכר יערער עליו, ויאמר לו שלא מחה בו, כיון שהוא יכול להעמידו בדין ולהוציא את הקרקע מידו, ולכן לא חשש על מה שאכל את הקרקע והפירות.</w:t>
      </w:r>
    </w:p>
    <w:p w:rsidR="00F163D7" w:rsidRPr="00E21C94" w:rsidRDefault="00F163D7" w:rsidP="00F163D7">
      <w:pPr>
        <w:pStyle w:val="a3"/>
      </w:pPr>
      <w:bookmarkStart w:id="4339" w:name="_Toc55991915"/>
      <w:bookmarkStart w:id="4340" w:name="_Toc56030464"/>
      <w:bookmarkStart w:id="4341" w:name="_Toc56032654"/>
      <w:r>
        <w:rPr>
          <w:rFonts w:hint="cs"/>
          <w:rtl/>
        </w:rPr>
        <w:t>דברי הרשב"א בתשו' דכיון דדרך העולם להזהר עד ג"ש תיקנו שיזהר עד ג"ש ובלא נזהר הפסיד</w:t>
      </w:r>
      <w:bookmarkEnd w:id="4339"/>
      <w:bookmarkEnd w:id="4340"/>
      <w:bookmarkEnd w:id="4341"/>
    </w:p>
    <w:p w:rsidR="00F163D7" w:rsidRPr="00CB1934" w:rsidRDefault="00F163D7" w:rsidP="007E4E81">
      <w:pPr>
        <w:pStyle w:val="a0"/>
        <w:rPr>
          <w:rStyle w:val="afb"/>
        </w:rPr>
      </w:pPr>
      <w:r>
        <w:rPr>
          <w:rFonts w:hint="cs"/>
          <w:rtl/>
        </w:rPr>
        <w:t xml:space="preserve">וכתב </w:t>
      </w:r>
      <w:r w:rsidRPr="00D16C75">
        <w:rPr>
          <w:rStyle w:val="af9"/>
          <w:rFonts w:hint="cs"/>
          <w:rtl/>
        </w:rPr>
        <w:t>הרשב"א בתשו'</w:t>
      </w:r>
      <w:r>
        <w:rPr>
          <w:rFonts w:hint="cs"/>
          <w:rtl/>
        </w:rPr>
        <w:t xml:space="preserve"> דכיון שדרך העולם דמחמת חשש זה שומרים את השטר עד ג"ש, לכן הצריכו חכמים לכל מחזיק להזהר בשטר עד ג"ש, ואם לא נזהר הפסיד המחזיק.</w:t>
      </w:r>
      <w:r w:rsidRPr="0023788C">
        <w:rPr>
          <w:rFonts w:hint="cs"/>
          <w:rtl/>
        </w:rPr>
        <w:t xml:space="preserve"> </w:t>
      </w:r>
      <w:r w:rsidRPr="00CB1934">
        <w:rPr>
          <w:rStyle w:val="afb"/>
          <w:rFonts w:hint="cs"/>
          <w:rtl/>
        </w:rPr>
        <w:t xml:space="preserve">[ועי' במה שביאר </w:t>
      </w:r>
      <w:r w:rsidRPr="007813B5">
        <w:rPr>
          <w:rStyle w:val="affa"/>
          <w:rFonts w:hint="cs"/>
          <w:rtl/>
        </w:rPr>
        <w:t>הקצוה"ח</w:t>
      </w:r>
      <w:r w:rsidRPr="00CB1934">
        <w:rPr>
          <w:rStyle w:val="afb"/>
          <w:rFonts w:hint="cs"/>
          <w:rtl/>
        </w:rPr>
        <w:t xml:space="preserve"> </w:t>
      </w:r>
      <w:r w:rsidRPr="007813B5">
        <w:rPr>
          <w:rStyle w:val="aff6"/>
          <w:rFonts w:hint="cs"/>
          <w:rtl/>
        </w:rPr>
        <w:t>(סי</w:t>
      </w:r>
      <w:r w:rsidRPr="007813B5">
        <w:rPr>
          <w:rStyle w:val="aff6"/>
          <w:rtl/>
        </w:rPr>
        <w:t>'</w:t>
      </w:r>
      <w:r w:rsidRPr="007813B5">
        <w:rPr>
          <w:rStyle w:val="aff6"/>
          <w:rFonts w:hint="cs"/>
          <w:rtl/>
        </w:rPr>
        <w:t xml:space="preserve"> ק</w:t>
      </w:r>
      <w:r w:rsidRPr="007813B5">
        <w:rPr>
          <w:rStyle w:val="aff6"/>
          <w:rtl/>
        </w:rPr>
        <w:t>"</w:t>
      </w:r>
      <w:r w:rsidRPr="007813B5">
        <w:rPr>
          <w:rStyle w:val="aff6"/>
          <w:rFonts w:hint="cs"/>
          <w:rtl/>
        </w:rPr>
        <w:t>מ סק</w:t>
      </w:r>
      <w:r w:rsidRPr="007813B5">
        <w:rPr>
          <w:rStyle w:val="aff6"/>
          <w:rtl/>
        </w:rPr>
        <w:t>"</w:t>
      </w:r>
      <w:r w:rsidRPr="007813B5">
        <w:rPr>
          <w:rStyle w:val="aff6"/>
          <w:rFonts w:hint="cs"/>
          <w:rtl/>
        </w:rPr>
        <w:t xml:space="preserve">ב ד"ה ולענ"ד, הובא בסימן ו' אות ל"ה) </w:t>
      </w:r>
      <w:r w:rsidRPr="00CB1934">
        <w:rPr>
          <w:rStyle w:val="afb"/>
          <w:rFonts w:hint="cs"/>
          <w:rtl/>
        </w:rPr>
        <w:t xml:space="preserve">בדברי </w:t>
      </w:r>
      <w:r w:rsidRPr="007813B5">
        <w:rPr>
          <w:rStyle w:val="affa"/>
          <w:rFonts w:hint="cs"/>
          <w:rtl/>
        </w:rPr>
        <w:t>הרמב"ם</w:t>
      </w:r>
      <w:r w:rsidRPr="00CB1934">
        <w:rPr>
          <w:rStyle w:val="afb"/>
          <w:rFonts w:hint="cs"/>
          <w:rtl/>
        </w:rPr>
        <w:t xml:space="preserve"> </w:t>
      </w:r>
      <w:r w:rsidRPr="007813B5">
        <w:rPr>
          <w:rStyle w:val="aff6"/>
          <w:rFonts w:hint="cs"/>
          <w:rtl/>
        </w:rPr>
        <w:t>(טו</w:t>
      </w:r>
      <w:r w:rsidRPr="007813B5">
        <w:rPr>
          <w:rStyle w:val="aff6"/>
          <w:rtl/>
        </w:rPr>
        <w:t>"</w:t>
      </w:r>
      <w:r w:rsidRPr="007813B5">
        <w:rPr>
          <w:rStyle w:val="aff6"/>
          <w:rFonts w:hint="cs"/>
          <w:rtl/>
        </w:rPr>
        <w:t xml:space="preserve">נ פי"א ה"ב, הובא בסימן ו' אות ס"א) </w:t>
      </w:r>
      <w:r w:rsidRPr="00CB1934">
        <w:rPr>
          <w:rStyle w:val="afb"/>
          <w:rFonts w:hint="cs"/>
          <w:rtl/>
        </w:rPr>
        <w:t>דכתב דכל שלא מחה המערער הפסיד, דמהלשון דהפסיד המערער, משמע דהחזקה היא תקנת חכמים, גם למחזיק שתהיה לו חזקה לאחר ג"ש, וגם למערער שאם לא מכרה למחזיק יוכל למחות בתוך ג"ש, וכיון שלא מיחה הפסיד].</w:t>
      </w:r>
    </w:p>
    <w:p w:rsidR="00F163D7" w:rsidRDefault="00F163D7" w:rsidP="00F163D7">
      <w:pPr>
        <w:pStyle w:val="a3"/>
      </w:pPr>
      <w:bookmarkStart w:id="4342" w:name="_Toc55991916"/>
      <w:bookmarkStart w:id="4343" w:name="_Toc56030465"/>
      <w:bookmarkStart w:id="4344" w:name="_Toc56032655"/>
      <w:r>
        <w:rPr>
          <w:rFonts w:hint="cs"/>
          <w:rtl/>
        </w:rPr>
        <w:t>דברי הרשב"א בתשו' דבהזיק את השדה הוי חזקה לאלתר דכיון דשתק הבעלים</w:t>
      </w:r>
      <w:r w:rsidRPr="008E4A26">
        <w:rPr>
          <w:rFonts w:hint="cs"/>
          <w:rtl/>
        </w:rPr>
        <w:t xml:space="preserve"> </w:t>
      </w:r>
      <w:r>
        <w:rPr>
          <w:rFonts w:hint="cs"/>
          <w:rtl/>
        </w:rPr>
        <w:t>אינו נזהר</w:t>
      </w:r>
      <w:bookmarkEnd w:id="4342"/>
      <w:bookmarkEnd w:id="4343"/>
      <w:bookmarkEnd w:id="4344"/>
    </w:p>
    <w:p w:rsidR="00F163D7" w:rsidRDefault="00F163D7" w:rsidP="007E4E81">
      <w:pPr>
        <w:pStyle w:val="a0"/>
        <w:rPr>
          <w:rtl/>
        </w:rPr>
      </w:pPr>
      <w:bookmarkStart w:id="4345" w:name="_Ref55987344"/>
      <w:r>
        <w:rPr>
          <w:rFonts w:hint="cs"/>
          <w:rtl/>
        </w:rPr>
        <w:t xml:space="preserve">אך כתב </w:t>
      </w:r>
      <w:r w:rsidRPr="00D16C75">
        <w:rPr>
          <w:rStyle w:val="af9"/>
          <w:rFonts w:hint="cs"/>
          <w:rtl/>
        </w:rPr>
        <w:t>הרשב"א בתשו'</w:t>
      </w:r>
      <w:r>
        <w:rPr>
          <w:rFonts w:hint="cs"/>
          <w:rtl/>
        </w:rPr>
        <w:t xml:space="preserve"> דבהזיק את הקרקע מיד כשראו הבעלים את הנזק ושתקו, יש לו חזקה כשטוען שקנה מהמרא קמא, דאין אדם רואה שמקלקלין את שדהו ושותק, אא"כ הוא מכר למחזיק, ואף הלוקח אחר שהזיק את הקרקע אינו נזהר עוד בשטרו, כיון שרואה ששתקו הבעלים כשהזיק, יש למחזיק ראיה גדולה שמכר לו המרא קמא או נתן לו במתנה, וכ"כ </w:t>
      </w:r>
      <w:r w:rsidRPr="008E4A26">
        <w:rPr>
          <w:rStyle w:val="af9"/>
          <w:rFonts w:hint="cs"/>
          <w:rtl/>
        </w:rPr>
        <w:t>הרשב"א בחי'</w:t>
      </w:r>
      <w:r>
        <w:rPr>
          <w:rFonts w:hint="cs"/>
          <w:rtl/>
        </w:rPr>
        <w:t xml:space="preserve"> </w:t>
      </w:r>
      <w:r w:rsidRPr="008E4A26">
        <w:rPr>
          <w:rStyle w:val="af7"/>
          <w:rFonts w:eastAsia="Guttman Hodes" w:hint="cs"/>
          <w:rtl/>
        </w:rPr>
        <w:t xml:space="preserve">(עי' אות </w:t>
      </w:r>
      <w:r w:rsidRPr="008E4A26">
        <w:rPr>
          <w:rStyle w:val="af7"/>
          <w:rFonts w:eastAsia="Guttman Hodes"/>
          <w:rtl/>
        </w:rPr>
        <w:fldChar w:fldCharType="begin"/>
      </w:r>
      <w:r w:rsidRPr="008E4A26">
        <w:rPr>
          <w:rStyle w:val="af7"/>
          <w:rFonts w:eastAsia="Guttman Hodes"/>
          <w:rtl/>
        </w:rPr>
        <w:instrText xml:space="preserve"> </w:instrText>
      </w:r>
      <w:r w:rsidRPr="008E4A26">
        <w:rPr>
          <w:rStyle w:val="af7"/>
          <w:rFonts w:eastAsia="Guttman Hodes" w:hint="cs"/>
        </w:rPr>
        <w:instrText>REF</w:instrText>
      </w:r>
      <w:r w:rsidRPr="008E4A26">
        <w:rPr>
          <w:rStyle w:val="af7"/>
          <w:rFonts w:eastAsia="Guttman Hodes" w:hint="cs"/>
          <w:rtl/>
        </w:rPr>
        <w:instrText xml:space="preserve"> _</w:instrText>
      </w:r>
      <w:r w:rsidRPr="008E4A26">
        <w:rPr>
          <w:rStyle w:val="af7"/>
          <w:rFonts w:eastAsia="Guttman Hodes" w:hint="cs"/>
        </w:rPr>
        <w:instrText>Ref55987322 \r \h</w:instrText>
      </w:r>
      <w:r w:rsidRPr="008E4A26">
        <w:rPr>
          <w:rStyle w:val="af7"/>
          <w:rFonts w:eastAsia="Guttman Hodes"/>
          <w:rtl/>
        </w:rPr>
        <w:instrText xml:space="preserve"> </w:instrText>
      </w:r>
      <w:r w:rsidRPr="008E4A26">
        <w:rPr>
          <w:rStyle w:val="af7"/>
          <w:rFonts w:eastAsia="Guttman Hodes"/>
          <w:rtl/>
        </w:rPr>
      </w:r>
      <w:r w:rsidRPr="008E4A26">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8E4A26">
        <w:rPr>
          <w:rStyle w:val="af7"/>
          <w:rFonts w:eastAsia="Guttman Hodes"/>
          <w:rtl/>
        </w:rPr>
        <w:fldChar w:fldCharType="end"/>
      </w:r>
      <w:r>
        <w:rPr>
          <w:rFonts w:hint="cs"/>
          <w:rtl/>
        </w:rPr>
        <w:t>.</w:t>
      </w:r>
      <w:bookmarkEnd w:id="4345"/>
    </w:p>
    <w:p w:rsidR="00F163D7" w:rsidRPr="0044384F" w:rsidRDefault="00F163D7" w:rsidP="00F163D7">
      <w:pPr>
        <w:pStyle w:val="1"/>
        <w:rPr>
          <w:rtl/>
        </w:rPr>
      </w:pPr>
      <w:r>
        <w:rPr>
          <w:rFonts w:hint="cs"/>
          <w:rtl/>
        </w:rPr>
        <w:lastRenderedPageBreak/>
        <w:t>דברי הרשב"א בתשו' דלמסקנא אין טעם החזקה מחמת קפידא</w:t>
      </w:r>
    </w:p>
    <w:p w:rsidR="00F163D7" w:rsidRDefault="00F163D7" w:rsidP="00F163D7">
      <w:pPr>
        <w:pStyle w:val="a3"/>
        <w:rPr>
          <w:rtl/>
        </w:rPr>
      </w:pPr>
      <w:r>
        <w:rPr>
          <w:rFonts w:hint="cs"/>
          <w:rtl/>
        </w:rPr>
        <w:t xml:space="preserve">קושית הרשב"א בתשו' דבחזקת ג"ש למסקנא אין הטעם מחמת קפידא ובנזיקין הוא מקפידא </w:t>
      </w:r>
    </w:p>
    <w:p w:rsidR="00F163D7" w:rsidRDefault="00F163D7" w:rsidP="007E4E81">
      <w:pPr>
        <w:pStyle w:val="a0"/>
        <w:rPr>
          <w:rtl/>
        </w:rPr>
      </w:pPr>
      <w:bookmarkStart w:id="4346" w:name="_Ref57052099"/>
      <w:bookmarkStart w:id="4347" w:name="_Toc55927868"/>
      <w:bookmarkStart w:id="4348" w:name="_Toc55946594"/>
      <w:bookmarkStart w:id="4349" w:name="_Toc55991917"/>
      <w:bookmarkStart w:id="4350" w:name="_Toc56030466"/>
      <w:bookmarkStart w:id="4351" w:name="_Toc56032656"/>
      <w:bookmarkStart w:id="4352" w:name="_Toc55839470"/>
      <w:bookmarkEnd w:id="4315"/>
      <w:bookmarkEnd w:id="4316"/>
      <w:bookmarkEnd w:id="4317"/>
      <w:bookmarkEnd w:id="4318"/>
      <w:bookmarkEnd w:id="4319"/>
      <w:bookmarkEnd w:id="4332"/>
      <w:bookmarkEnd w:id="4333"/>
      <w:bookmarkEnd w:id="4334"/>
      <w:bookmarkEnd w:id="4335"/>
      <w:r>
        <w:rPr>
          <w:rFonts w:hint="cs"/>
          <w:rtl/>
        </w:rPr>
        <w:t xml:space="preserve">אך הקשה </w:t>
      </w:r>
      <w:r w:rsidRPr="00B93217">
        <w:rPr>
          <w:rStyle w:val="af9"/>
          <w:rFonts w:hint="cs"/>
          <w:rtl/>
        </w:rPr>
        <w:t>הרשב"א בתשו'</w:t>
      </w:r>
      <w:r>
        <w:rPr>
          <w:rFonts w:hint="cs"/>
          <w:rtl/>
        </w:rPr>
        <w:t xml:space="preserve"> </w:t>
      </w:r>
      <w:r>
        <w:rPr>
          <w:rStyle w:val="af7"/>
          <w:rFonts w:eastAsia="Guttman Hodes" w:hint="cs"/>
          <w:rtl/>
        </w:rPr>
        <w:t xml:space="preserve">(ח"ב סי' רמ"ד </w:t>
      </w:r>
      <w:r w:rsidRPr="00D16C75">
        <w:rPr>
          <w:rStyle w:val="af7"/>
          <w:rFonts w:eastAsia="Guttman Hodes" w:hint="cs"/>
          <w:rtl/>
        </w:rPr>
        <w:t xml:space="preserve">ד"ה </w:t>
      </w:r>
      <w:r>
        <w:rPr>
          <w:rStyle w:val="af7"/>
          <w:rFonts w:eastAsia="Guttman Hodes" w:hint="cs"/>
          <w:rtl/>
        </w:rPr>
        <w:t>וראיה</w:t>
      </w:r>
      <w:r w:rsidRPr="00D16C75">
        <w:rPr>
          <w:rStyle w:val="af7"/>
          <w:rFonts w:eastAsia="Guttman Hodes" w:hint="cs"/>
          <w:rtl/>
        </w:rPr>
        <w:t>)</w:t>
      </w:r>
      <w:r>
        <w:rPr>
          <w:rFonts w:hint="cs"/>
          <w:rtl/>
        </w:rPr>
        <w:t xml:space="preserve"> דהא בתירוץ הראשון ס"ל לרבא דהטעם של חזקת ג"ש, הוא דרק בשנה השלישית מקפיד על אכילת הפירות, ודחה לו אביי דא"כ בהני דבי בר אלישיב יהיה חזקה מיד, ולכן חזר בו רבא ותירץ דטעם החזקה הוא דעד ג"ש אדם נזהר בשטרו, ומשמע מדברי רבא שטעם החזקה אינו כלל מחמת הקפידא, ואילו בהזיק את הקרקע,</w:t>
      </w:r>
      <w:r w:rsidRPr="00846D51">
        <w:rPr>
          <w:rFonts w:hint="cs"/>
          <w:rtl/>
        </w:rPr>
        <w:t xml:space="preserve"> </w:t>
      </w:r>
      <w:r>
        <w:rPr>
          <w:rFonts w:hint="cs"/>
          <w:rtl/>
        </w:rPr>
        <w:t>ס"ל לרבא גופיה בגמ' לקמן</w:t>
      </w:r>
      <w:r w:rsidRPr="002133D6">
        <w:rPr>
          <w:rStyle w:val="af7"/>
          <w:rFonts w:eastAsia="Guttman Hodes" w:hint="cs"/>
          <w:rtl/>
        </w:rPr>
        <w:t xml:space="preserve"> (נ:) </w:t>
      </w:r>
      <w:r>
        <w:rPr>
          <w:rFonts w:hint="cs"/>
          <w:rtl/>
        </w:rPr>
        <w:t xml:space="preserve">דהוי חזקה לאלתר, כיון שבנזיקין יש ראיה מהשתיקה של המרא קמא, דאין אדם שרואה שמקלקלין את הקרקע שלו והוא שותק, ומשמע דס"ל לרבא דטעם החזקה הוא מחמת הקפידא דכל ששתק ולא הקפיד הוי ראיה, ודלא כמסקנת רבא בסוגיין. [אמנם </w:t>
      </w:r>
      <w:r w:rsidRPr="00640004">
        <w:rPr>
          <w:rStyle w:val="af9"/>
          <w:rFonts w:hint="cs"/>
          <w:rtl/>
        </w:rPr>
        <w:t xml:space="preserve">הרשב"א </w:t>
      </w:r>
      <w:r w:rsidRPr="00D43AE7">
        <w:rPr>
          <w:rStyle w:val="af9"/>
          <w:rFonts w:hint="cs"/>
          <w:rtl/>
        </w:rPr>
        <w:t>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Ref53498629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Pr>
          <w:rStyle w:val="af7"/>
          <w:rFonts w:eastAsia="Guttman Hodes"/>
          <w:rtl/>
        </w:rPr>
        <w:fldChar w:fldCharType="end"/>
      </w:r>
      <w:r>
        <w:rPr>
          <w:rFonts w:hint="cs"/>
          <w:rtl/>
        </w:rPr>
        <w:t xml:space="preserve"> כתב דהסברא דאחר ג"ש אינו נזהר בשטרו, מהני יחד עם הסברא דאדם מקפיד על אכילת ג"ש].</w:t>
      </w:r>
      <w:bookmarkEnd w:id="4346"/>
    </w:p>
    <w:p w:rsidR="00F163D7" w:rsidRDefault="00F163D7" w:rsidP="00F163D7">
      <w:pPr>
        <w:pStyle w:val="a3"/>
        <w:rPr>
          <w:rtl/>
        </w:rPr>
      </w:pPr>
      <w:r>
        <w:rPr>
          <w:rFonts w:hint="cs"/>
          <w:rtl/>
        </w:rPr>
        <w:t>דברי הרשב"א בתשו' דבאכילת פירות אין קפידא כ"כ ואין ראיה מדלא קפיד משא"כ בנזיקין</w:t>
      </w:r>
    </w:p>
    <w:p w:rsidR="00F163D7" w:rsidRDefault="00F163D7" w:rsidP="007E4E81">
      <w:pPr>
        <w:pStyle w:val="a0"/>
        <w:rPr>
          <w:rStyle w:val="afb"/>
          <w:rtl/>
        </w:rPr>
      </w:pPr>
      <w:r>
        <w:rPr>
          <w:rFonts w:hint="cs"/>
          <w:rtl/>
        </w:rPr>
        <w:t xml:space="preserve">אלא כתב </w:t>
      </w:r>
      <w:r w:rsidRPr="003C09B6">
        <w:rPr>
          <w:rStyle w:val="af9"/>
          <w:rFonts w:hint="cs"/>
          <w:rtl/>
        </w:rPr>
        <w:t>הרשב"א בתשו'</w:t>
      </w:r>
      <w:r>
        <w:rPr>
          <w:rFonts w:hint="cs"/>
          <w:rtl/>
        </w:rPr>
        <w:t xml:space="preserve"> דמוכח דלא דמי הקפידא של אכילת פירות לקפידא של נזיקין, דבאכילת פירות אין אדם מקפיד כל כך, ולכן אי"ז עיקר הטעם לחזקה, אלא עיקר הטעם הוא דעד ג"ש אדם נזהר בשטרו, אבל בנזיקין היא קפידא שכל אדם מקפיד לאלתר, ובזה כל אדם הוא כמו דבי בר אלישיב באכילת פירות, ולכן הוי חזקה לאלתר, דכל שראה המרא קמא שמקלקלין את קרקעו ושתק, מוכח שמכר למחזיק את הקרקע. </w:t>
      </w:r>
      <w:r w:rsidRPr="003C09B6">
        <w:rPr>
          <w:rStyle w:val="afb"/>
          <w:rFonts w:hint="cs"/>
          <w:rtl/>
        </w:rPr>
        <w:t xml:space="preserve">[והוסיף </w:t>
      </w:r>
      <w:r w:rsidRPr="003C09B6">
        <w:rPr>
          <w:rStyle w:val="affa"/>
          <w:rFonts w:hint="cs"/>
          <w:rtl/>
        </w:rPr>
        <w:t>הרשב"א בתשו'</w:t>
      </w:r>
      <w:r w:rsidRPr="003C09B6">
        <w:rPr>
          <w:rStyle w:val="afb"/>
          <w:rFonts w:hint="cs"/>
          <w:rtl/>
        </w:rPr>
        <w:t xml:space="preserve"> דאף דרבא ורב יוסף בגמ' לקמן </w:t>
      </w:r>
      <w:r w:rsidRPr="003C09B6">
        <w:rPr>
          <w:rStyle w:val="aff6"/>
          <w:rFonts w:hint="cs"/>
          <w:rtl/>
        </w:rPr>
        <w:t>(נ:)</w:t>
      </w:r>
      <w:r w:rsidRPr="003C09B6">
        <w:rPr>
          <w:rStyle w:val="afb"/>
          <w:rFonts w:hint="cs"/>
          <w:rtl/>
        </w:rPr>
        <w:t xml:space="preserve"> הוסיפו באופן אחר, מ"מ אין התירוצים הללו חולקים על התירוץ הראשון של רבא].</w:t>
      </w:r>
    </w:p>
    <w:p w:rsidR="00F163D7" w:rsidRPr="00534F3F" w:rsidRDefault="00F163D7" w:rsidP="00F163D7">
      <w:pPr>
        <w:pStyle w:val="a3"/>
        <w:rPr>
          <w:rtl/>
        </w:rPr>
      </w:pPr>
    </w:p>
    <w:p w:rsidR="00F163D7" w:rsidRPr="00534F3F" w:rsidRDefault="00F163D7" w:rsidP="00F163D7">
      <w:pPr>
        <w:pStyle w:val="a3"/>
        <w:rPr>
          <w:rtl/>
        </w:rPr>
      </w:pPr>
    </w:p>
    <w:p w:rsidR="00F163D7" w:rsidRPr="00534F3F" w:rsidRDefault="00F163D7" w:rsidP="00F163D7">
      <w:pPr>
        <w:pStyle w:val="a3"/>
        <w:rPr>
          <w:rtl/>
        </w:rPr>
      </w:pPr>
    </w:p>
    <w:p w:rsidR="00F163D7" w:rsidRDefault="00F163D7" w:rsidP="00F163D7">
      <w:pPr>
        <w:pStyle w:val="afe"/>
        <w:rPr>
          <w:rtl/>
        </w:rPr>
      </w:pPr>
      <w:r>
        <w:rPr>
          <w:rFonts w:hint="cs"/>
          <w:rtl/>
        </w:rPr>
        <w:t>בחיוב המערער להוכיח שמחה</w:t>
      </w:r>
      <w:bookmarkEnd w:id="4347"/>
      <w:bookmarkEnd w:id="4348"/>
      <w:bookmarkEnd w:id="4349"/>
      <w:bookmarkEnd w:id="4350"/>
      <w:bookmarkEnd w:id="4351"/>
    </w:p>
    <w:p w:rsidR="00F163D7" w:rsidRDefault="00F163D7" w:rsidP="00F163D7">
      <w:pPr>
        <w:pStyle w:val="1"/>
        <w:rPr>
          <w:rtl/>
        </w:rPr>
      </w:pPr>
      <w:bookmarkStart w:id="4353" w:name="_Toc55927869"/>
      <w:bookmarkStart w:id="4354" w:name="_Toc55946595"/>
      <w:bookmarkStart w:id="4355" w:name="_Toc55991918"/>
      <w:bookmarkStart w:id="4356" w:name="_Toc56030467"/>
      <w:bookmarkStart w:id="4357" w:name="_Toc56032657"/>
      <w:r>
        <w:rPr>
          <w:rFonts w:hint="cs"/>
          <w:rtl/>
        </w:rPr>
        <w:t>קו' הריטב"א דאמאי המחזיק א"צ להוכיח שלא הייתה מחאה</w:t>
      </w:r>
      <w:bookmarkEnd w:id="4352"/>
      <w:bookmarkEnd w:id="4353"/>
      <w:bookmarkEnd w:id="4354"/>
      <w:bookmarkEnd w:id="4355"/>
      <w:bookmarkEnd w:id="4356"/>
      <w:bookmarkEnd w:id="4357"/>
    </w:p>
    <w:p w:rsidR="00F163D7" w:rsidRDefault="00F163D7" w:rsidP="00F163D7">
      <w:pPr>
        <w:pStyle w:val="a3"/>
        <w:rPr>
          <w:rtl/>
        </w:rPr>
      </w:pPr>
      <w:bookmarkStart w:id="4358" w:name="_Toc55991919"/>
      <w:bookmarkStart w:id="4359" w:name="_Toc56030468"/>
      <w:bookmarkStart w:id="4360" w:name="_Toc56032658"/>
      <w:r>
        <w:rPr>
          <w:rFonts w:hint="cs"/>
          <w:rtl/>
        </w:rPr>
        <w:t>קושית הריטב"א דבטוען המערער שמחה אמאי אין המחזיק צריך להוכיח שלא מחה בו המערער</w:t>
      </w:r>
      <w:bookmarkEnd w:id="4358"/>
      <w:bookmarkEnd w:id="4359"/>
      <w:bookmarkEnd w:id="4360"/>
    </w:p>
    <w:p w:rsidR="00F163D7" w:rsidRPr="00AA447F" w:rsidRDefault="00F163D7" w:rsidP="007E4E81">
      <w:pPr>
        <w:pStyle w:val="a0"/>
        <w:rPr>
          <w:rStyle w:val="af7"/>
          <w:rFonts w:eastAsia="Guttman Hodes"/>
        </w:rPr>
      </w:pPr>
      <w:r>
        <w:rPr>
          <w:rFonts w:hint="cs"/>
          <w:rtl/>
        </w:rPr>
        <w:t xml:space="preserve">הקשה </w:t>
      </w:r>
      <w:r w:rsidRPr="00935D16">
        <w:rPr>
          <w:rStyle w:val="af9"/>
          <w:rFonts w:hint="cs"/>
          <w:rtl/>
        </w:rPr>
        <w:t>הריטב"א לקמן</w:t>
      </w:r>
      <w:r>
        <w:rPr>
          <w:rFonts w:hint="cs"/>
          <w:rtl/>
        </w:rPr>
        <w:t xml:space="preserve"> </w:t>
      </w:r>
      <w:r w:rsidRPr="00935D16">
        <w:rPr>
          <w:rStyle w:val="af7"/>
          <w:rFonts w:eastAsia="Guttman Hodes" w:hint="cs"/>
          <w:rtl/>
        </w:rPr>
        <w:t>(ל. ד"ה ובההוא)</w:t>
      </w:r>
      <w:r>
        <w:rPr>
          <w:rFonts w:hint="cs"/>
          <w:rtl/>
        </w:rPr>
        <w:t xml:space="preserve"> דבכל חזקה כשיטען המערער שמחה, יצטרך המחזיק לברר שלא מחה בו, וכן הקשו </w:t>
      </w:r>
      <w:r w:rsidRPr="00935D16">
        <w:rPr>
          <w:rStyle w:val="af9"/>
          <w:rFonts w:hint="cs"/>
          <w:rtl/>
        </w:rPr>
        <w:t xml:space="preserve">בקוב"ש </w:t>
      </w:r>
      <w:r>
        <w:rPr>
          <w:rStyle w:val="af9"/>
          <w:rFonts w:hint="cs"/>
          <w:rtl/>
        </w:rPr>
        <w:t>ו</w:t>
      </w:r>
      <w:r w:rsidRPr="00272161">
        <w:rPr>
          <w:rStyle w:val="af9"/>
          <w:rFonts w:hint="cs"/>
          <w:rtl/>
        </w:rPr>
        <w:t xml:space="preserve">בשיעורי רבי שמואל </w:t>
      </w:r>
      <w:r>
        <w:rPr>
          <w:rStyle w:val="af9"/>
          <w:rFonts w:hint="cs"/>
          <w:rtl/>
        </w:rPr>
        <w:t>ו</w:t>
      </w:r>
      <w:r w:rsidRPr="00BB045B">
        <w:rPr>
          <w:rStyle w:val="af9"/>
          <w:rFonts w:hint="cs"/>
          <w:rtl/>
        </w:rPr>
        <w:t>בחי' רבי נחום</w:t>
      </w:r>
      <w:r>
        <w:rPr>
          <w:rFonts w:hint="cs"/>
          <w:rtl/>
        </w:rPr>
        <w:t xml:space="preserve"> </w:t>
      </w:r>
      <w:r w:rsidRPr="00935D16">
        <w:rPr>
          <w:rStyle w:val="af7"/>
          <w:rFonts w:eastAsia="Guttman Hodes" w:hint="cs"/>
          <w:rtl/>
        </w:rPr>
        <w:t>(</w:t>
      </w:r>
      <w:r w:rsidRPr="00AA447F">
        <w:rPr>
          <w:rStyle w:val="af7"/>
          <w:rFonts w:eastAsia="Guttman Hodes" w:hint="cs"/>
          <w:rtl/>
        </w:rPr>
        <w:t xml:space="preserve">עי' אות </w:t>
      </w:r>
      <w:r w:rsidRPr="00AA447F">
        <w:rPr>
          <w:rStyle w:val="af7"/>
          <w:rFonts w:eastAsia="Guttman Hodes"/>
          <w:rtl/>
        </w:rPr>
        <w:fldChar w:fldCharType="begin"/>
      </w:r>
      <w:r w:rsidRPr="00AA447F">
        <w:rPr>
          <w:rStyle w:val="af7"/>
          <w:rFonts w:eastAsia="Guttman Hodes"/>
          <w:rtl/>
        </w:rPr>
        <w:instrText xml:space="preserve"> </w:instrText>
      </w:r>
      <w:r w:rsidRPr="00AA447F">
        <w:rPr>
          <w:rStyle w:val="af7"/>
          <w:rFonts w:eastAsia="Guttman Hodes" w:hint="cs"/>
        </w:rPr>
        <w:instrText>REF</w:instrText>
      </w:r>
      <w:r w:rsidRPr="00AA447F">
        <w:rPr>
          <w:rStyle w:val="af7"/>
          <w:rFonts w:eastAsia="Guttman Hodes" w:hint="cs"/>
          <w:rtl/>
        </w:rPr>
        <w:instrText xml:space="preserve"> _</w:instrText>
      </w:r>
      <w:r w:rsidRPr="00AA447F">
        <w:rPr>
          <w:rStyle w:val="af7"/>
          <w:rFonts w:eastAsia="Guttman Hodes" w:hint="cs"/>
        </w:rPr>
        <w:instrText>Ref56031435 \r \h</w:instrText>
      </w:r>
      <w:r w:rsidRPr="00AA447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A447F">
        <w:rPr>
          <w:rStyle w:val="af7"/>
          <w:rFonts w:eastAsia="Guttman Hodes"/>
          <w:rtl/>
        </w:rPr>
      </w:r>
      <w:r w:rsidRPr="00AA447F">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AA447F">
        <w:rPr>
          <w:rStyle w:val="af7"/>
          <w:rFonts w:eastAsia="Guttman Hodes"/>
          <w:rtl/>
        </w:rPr>
        <w:fldChar w:fldCharType="end"/>
      </w:r>
      <w:r w:rsidRPr="00AA447F">
        <w:rPr>
          <w:rStyle w:val="af7"/>
          <w:rFonts w:eastAsia="Guttman Hodes" w:hint="cs"/>
          <w:rtl/>
        </w:rPr>
        <w:t>.</w:t>
      </w:r>
    </w:p>
    <w:p w:rsidR="00F163D7" w:rsidRPr="003A1415" w:rsidRDefault="00F163D7" w:rsidP="00F163D7">
      <w:pPr>
        <w:pStyle w:val="a3"/>
        <w:rPr>
          <w:rtl/>
        </w:rPr>
      </w:pPr>
      <w:bookmarkStart w:id="4361" w:name="_Toc55991920"/>
      <w:bookmarkStart w:id="4362" w:name="_Toc56030469"/>
      <w:bookmarkStart w:id="4363" w:name="_Toc56032659"/>
      <w:r>
        <w:rPr>
          <w:rFonts w:hint="cs"/>
          <w:rtl/>
        </w:rPr>
        <w:t>תירוץ הריטב"א דחזקת ג"ש היא כשטר מקוים וטענת מחאה כטענת פרוע או אמנה</w:t>
      </w:r>
      <w:bookmarkEnd w:id="4361"/>
      <w:bookmarkEnd w:id="4362"/>
      <w:bookmarkEnd w:id="4363"/>
    </w:p>
    <w:p w:rsidR="00F163D7" w:rsidRDefault="00F163D7" w:rsidP="007E4E81">
      <w:pPr>
        <w:pStyle w:val="a0"/>
        <w:rPr>
          <w:rtl/>
        </w:rPr>
      </w:pPr>
      <w:bookmarkStart w:id="4364" w:name="_Ref55764877"/>
      <w:r>
        <w:rPr>
          <w:rFonts w:hint="cs"/>
          <w:rtl/>
        </w:rPr>
        <w:t xml:space="preserve">ותירץ </w:t>
      </w:r>
      <w:r w:rsidRPr="00935D16">
        <w:rPr>
          <w:rStyle w:val="af9"/>
          <w:rFonts w:hint="cs"/>
          <w:rtl/>
        </w:rPr>
        <w:t>הרטב"א</w:t>
      </w:r>
      <w:r>
        <w:rPr>
          <w:rFonts w:hint="cs"/>
          <w:rtl/>
        </w:rPr>
        <w:t xml:space="preserve"> דאף במקום שטוען המערער שביום ידוע מחה בו, מ"מ אין המחזיק צריך להוכיח שלא הייתה מחאה באותו היום, דכיון שהמחזיק בירר שאכל ג"ש לפני המרא קמא, הוא כמו מקיים שטר שהוא ברור, וכשטוען המערער שהוא מחה, חשיב כטוען על השטר שהוא שטר אמנה, או פרוע, דאינו נאמן, וכתב </w:t>
      </w:r>
      <w:r w:rsidRPr="00935D16">
        <w:rPr>
          <w:rStyle w:val="af9"/>
          <w:rFonts w:hint="cs"/>
          <w:rtl/>
        </w:rPr>
        <w:t>הריטב"א</w:t>
      </w:r>
      <w:r>
        <w:rPr>
          <w:rFonts w:hint="cs"/>
          <w:rtl/>
        </w:rPr>
        <w:t xml:space="preserve"> דכ"ש במקום שהמערער אינו אומר שעה ידועה שמחה בה, דודאי שהמחזיק אינו יכול לברר שלא מחה בו המערער, והוסיף </w:t>
      </w:r>
      <w:r w:rsidRPr="00935D16">
        <w:rPr>
          <w:rStyle w:val="af9"/>
          <w:rFonts w:hint="cs"/>
          <w:rtl/>
        </w:rPr>
        <w:t>הריטב"א</w:t>
      </w:r>
      <w:r>
        <w:rPr>
          <w:rFonts w:hint="cs"/>
          <w:rtl/>
        </w:rPr>
        <w:t xml:space="preserve"> דעוד קיי"ל דמחאה שלא בפניו לא הוי מחאה.</w:t>
      </w:r>
      <w:bookmarkEnd w:id="4364"/>
    </w:p>
    <w:p w:rsidR="00F163D7" w:rsidRPr="007765A0" w:rsidRDefault="00F163D7" w:rsidP="00F163D7">
      <w:pPr>
        <w:pStyle w:val="a3"/>
        <w:rPr>
          <w:rtl/>
        </w:rPr>
      </w:pPr>
      <w:bookmarkStart w:id="4365" w:name="_Toc55991921"/>
      <w:bookmarkStart w:id="4366" w:name="_Toc56030470"/>
      <w:bookmarkStart w:id="4367" w:name="_Toc56032660"/>
      <w:r>
        <w:rPr>
          <w:rFonts w:hint="cs"/>
          <w:rtl/>
        </w:rPr>
        <w:t>התי' הא' ברבינו יונה דהמחזיק אינו יכול להוכיח שלא מחה המערער דלא ראינו אינו ראיה</w:t>
      </w:r>
      <w:bookmarkEnd w:id="4365"/>
      <w:bookmarkEnd w:id="4366"/>
      <w:bookmarkEnd w:id="4367"/>
    </w:p>
    <w:p w:rsidR="00F163D7" w:rsidRDefault="00F163D7" w:rsidP="007E4E81">
      <w:pPr>
        <w:pStyle w:val="a0"/>
        <w:rPr>
          <w:rtl/>
        </w:rPr>
      </w:pPr>
      <w:bookmarkStart w:id="4368" w:name="_Ref55764883"/>
      <w:r w:rsidRPr="00935D16">
        <w:rPr>
          <w:rStyle w:val="af9"/>
          <w:rFonts w:hint="cs"/>
          <w:rtl/>
        </w:rPr>
        <w:t>ורבינו יונה לקמן</w:t>
      </w:r>
      <w:r>
        <w:rPr>
          <w:rFonts w:hint="cs"/>
          <w:rtl/>
        </w:rPr>
        <w:t xml:space="preserve"> </w:t>
      </w:r>
      <w:r w:rsidRPr="00935D16">
        <w:rPr>
          <w:rStyle w:val="af7"/>
          <w:rFonts w:eastAsia="Guttman Hodes" w:hint="cs"/>
          <w:rtl/>
        </w:rPr>
        <w:t>(כט: ד"ה א"ל רבא)</w:t>
      </w:r>
      <w:r>
        <w:rPr>
          <w:rFonts w:hint="cs"/>
          <w:rtl/>
        </w:rPr>
        <w:t xml:space="preserve"> כתב דהמחזיק אינו יכול להביא עדים שלא מחה המערער, כיון דעדים שאומרים לא ראינו אינו ראיה שלא מחה.</w:t>
      </w:r>
      <w:bookmarkEnd w:id="4368"/>
    </w:p>
    <w:p w:rsidR="00F163D7" w:rsidRDefault="00F163D7" w:rsidP="00F163D7">
      <w:pPr>
        <w:pStyle w:val="a3"/>
        <w:rPr>
          <w:rtl/>
        </w:rPr>
      </w:pPr>
      <w:bookmarkStart w:id="4369" w:name="_Toc55991922"/>
      <w:bookmarkStart w:id="4370" w:name="_Toc56030471"/>
      <w:bookmarkStart w:id="4371" w:name="_Toc56032661"/>
      <w:r>
        <w:rPr>
          <w:rFonts w:hint="cs"/>
          <w:rtl/>
        </w:rPr>
        <w:t>התי' הב' ברבינו יונה דבחזקה גמורה על המערער להוכיח שמחה ובהיה במק"א עוקר את החזקה</w:t>
      </w:r>
      <w:bookmarkEnd w:id="4369"/>
      <w:bookmarkEnd w:id="4370"/>
      <w:bookmarkEnd w:id="4371"/>
    </w:p>
    <w:p w:rsidR="00F163D7" w:rsidRDefault="00F163D7" w:rsidP="007E4E81">
      <w:pPr>
        <w:pStyle w:val="a0"/>
        <w:rPr>
          <w:rtl/>
        </w:rPr>
      </w:pPr>
      <w:r>
        <w:rPr>
          <w:rFonts w:hint="cs"/>
          <w:rtl/>
        </w:rPr>
        <w:t xml:space="preserve">ועוד ביאר </w:t>
      </w:r>
      <w:r w:rsidRPr="00935D16">
        <w:rPr>
          <w:rStyle w:val="af9"/>
          <w:rFonts w:hint="cs"/>
          <w:rtl/>
        </w:rPr>
        <w:t>רבינו יונה לקמן</w:t>
      </w:r>
      <w:r>
        <w:rPr>
          <w:rFonts w:hint="cs"/>
          <w:rtl/>
        </w:rPr>
        <w:t xml:space="preserve"> דכיון שהמחזיק החזיק בחזקה גמורה, שצריך המערער למחות בו, א"כ ודאי שהוא צריך להוכיח שמחה בפני עדים, ורק אם טוען המערער שלא היה במדינה הוא עוקר בזה את החזקה, ועל המחזיק להביא ראיה ששמע המערער מחזקתו.</w:t>
      </w:r>
    </w:p>
    <w:p w:rsidR="00F163D7" w:rsidRPr="00E82902" w:rsidRDefault="00F163D7" w:rsidP="007E4E81">
      <w:pPr>
        <w:pStyle w:val="a0"/>
        <w:rPr>
          <w:rtl/>
        </w:rPr>
        <w:sectPr w:rsidR="00F163D7" w:rsidRPr="00E82902" w:rsidSect="005049E2">
          <w:footerReference w:type="default" r:id="rId51"/>
          <w:type w:val="continuous"/>
          <w:pgSz w:w="11906" w:h="16838"/>
          <w:pgMar w:top="720" w:right="720" w:bottom="720" w:left="720" w:header="283" w:footer="283" w:gutter="0"/>
          <w:cols w:num="2" w:space="567"/>
          <w:titlePg/>
          <w:bidi/>
          <w:rtlGutter/>
          <w:docGrid w:linePitch="299"/>
        </w:sectPr>
      </w:pPr>
    </w:p>
    <w:p w:rsidR="00F163D7" w:rsidRDefault="00F163D7" w:rsidP="00F163D7">
      <w:pPr>
        <w:tabs>
          <w:tab w:val="left" w:pos="1163"/>
        </w:tabs>
        <w:spacing w:after="120" w:line="240" w:lineRule="auto"/>
        <w:ind w:left="0"/>
        <w:rPr>
          <w:rFonts w:ascii="Guttman Hodes" w:eastAsia="Guttman Hodes" w:hAnsi="Guttman Hodes" w:cs="Guttman Hodes"/>
          <w:noProof/>
          <w:sz w:val="18"/>
          <w:szCs w:val="18"/>
        </w:rPr>
        <w:sectPr w:rsidR="00F163D7" w:rsidSect="00AE06CB">
          <w:type w:val="continuous"/>
          <w:pgSz w:w="11906" w:h="16838"/>
          <w:pgMar w:top="720" w:right="720" w:bottom="720" w:left="720" w:header="283" w:footer="283" w:gutter="0"/>
          <w:cols w:space="567"/>
          <w:bidi/>
          <w:rtlGutter/>
          <w:docGrid w:linePitch="299"/>
        </w:sectPr>
      </w:pPr>
    </w:p>
    <w:p w:rsidR="00F163D7" w:rsidRPr="00D47CE7" w:rsidRDefault="00E949D5" w:rsidP="00F163D7">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29" type="#_x0000_t75" style="width:404.55pt;height:6.8pt" o:hrpct="0" o:hralign="center" o:hr="t">
            <v:imagedata r:id="rId24" o:title="BD14845_"/>
          </v:shape>
        </w:pict>
      </w:r>
      <w:r w:rsidR="00F163D7" w:rsidRPr="00D47CE7">
        <w:rPr>
          <w:rFonts w:ascii="Guttman Hodes" w:eastAsia="Guttman Hodes" w:hAnsi="Guttman Hodes" w:cs="Guttman Hodes" w:hint="cs"/>
          <w:noProof/>
          <w:sz w:val="18"/>
          <w:szCs w:val="18"/>
          <w:rtl/>
        </w:rPr>
        <w:t xml:space="preserve"> </w:t>
      </w:r>
    </w:p>
    <w:p w:rsidR="00F163D7" w:rsidRPr="0081356D" w:rsidRDefault="001B6519" w:rsidP="00F163D7">
      <w:pPr>
        <w:pStyle w:val="afe"/>
        <w:rPr>
          <w:rtl/>
        </w:rPr>
        <w:sectPr w:rsidR="00F163D7" w:rsidRPr="0081356D" w:rsidSect="00361B2E">
          <w:pgSz w:w="11906" w:h="16838"/>
          <w:pgMar w:top="720" w:right="720" w:bottom="720" w:left="720" w:header="283" w:footer="283" w:gutter="0"/>
          <w:cols w:space="567"/>
          <w:bidi/>
          <w:rtlGutter/>
          <w:docGrid w:linePitch="299"/>
        </w:sectPr>
      </w:pPr>
      <w:r>
        <w:rPr>
          <w:rFonts w:hint="cs"/>
          <w:rtl/>
        </w:rPr>
        <w:t>~~~~~~~ ביאורי ראשי הישיבות ~~~~~~~</w:t>
      </w:r>
      <w:r w:rsidR="00F163D7" w:rsidRPr="0081356D">
        <w:rPr>
          <w:rFonts w:hint="cs"/>
          <w:rtl/>
        </w:rPr>
        <w:t xml:space="preserve"> </w:t>
      </w:r>
    </w:p>
    <w:p w:rsidR="00F163D7" w:rsidRDefault="00F163D7" w:rsidP="00F163D7">
      <w:pPr>
        <w:pStyle w:val="afe"/>
        <w:rPr>
          <w:rtl/>
        </w:rPr>
      </w:pPr>
      <w:bookmarkStart w:id="4372" w:name="_Toc55927871"/>
      <w:bookmarkStart w:id="4373" w:name="_Toc55946597"/>
      <w:bookmarkStart w:id="4374" w:name="_Toc55991924"/>
      <w:bookmarkStart w:id="4375" w:name="_Toc56030473"/>
      <w:bookmarkStart w:id="4376" w:name="_Toc56032663"/>
      <w:r>
        <w:rPr>
          <w:rFonts w:hint="cs"/>
          <w:rtl/>
        </w:rPr>
        <w:t>בביטול החזקה ע"י טענת אחוי שטרך</w:t>
      </w:r>
      <w:bookmarkEnd w:id="4372"/>
      <w:bookmarkEnd w:id="4373"/>
      <w:bookmarkEnd w:id="4374"/>
      <w:bookmarkEnd w:id="4375"/>
      <w:bookmarkEnd w:id="4376"/>
      <w:r>
        <w:rPr>
          <w:rFonts w:hint="cs"/>
          <w:rtl/>
        </w:rPr>
        <w:t xml:space="preserve"> </w:t>
      </w:r>
    </w:p>
    <w:p w:rsidR="00F163D7" w:rsidRDefault="00F163D7" w:rsidP="00F163D7">
      <w:pPr>
        <w:pStyle w:val="1"/>
        <w:rPr>
          <w:rtl/>
        </w:rPr>
      </w:pPr>
      <w:bookmarkStart w:id="4377" w:name="_Toc55419918"/>
      <w:bookmarkStart w:id="4378" w:name="_Toc55419974"/>
      <w:bookmarkStart w:id="4379" w:name="_Toc55421188"/>
      <w:bookmarkStart w:id="4380" w:name="_Toc55508566"/>
      <w:bookmarkStart w:id="4381" w:name="_Toc55569217"/>
      <w:bookmarkStart w:id="4382" w:name="_Toc55718328"/>
      <w:bookmarkStart w:id="4383" w:name="_Toc55739924"/>
      <w:bookmarkStart w:id="4384" w:name="_Toc55839473"/>
      <w:bookmarkStart w:id="4385" w:name="_Toc55927872"/>
      <w:bookmarkStart w:id="4386" w:name="_Toc55946598"/>
      <w:bookmarkStart w:id="4387" w:name="_Toc55991925"/>
      <w:bookmarkStart w:id="4388" w:name="_Toc56030474"/>
      <w:bookmarkStart w:id="4389" w:name="_Toc56032664"/>
      <w:r>
        <w:rPr>
          <w:rFonts w:hint="cs"/>
          <w:rtl/>
        </w:rPr>
        <w:t>ביאור הברכ"ש ברמב"ן</w:t>
      </w:r>
      <w:bookmarkEnd w:id="4377"/>
      <w:bookmarkEnd w:id="4378"/>
      <w:bookmarkEnd w:id="4379"/>
      <w:bookmarkEnd w:id="4380"/>
      <w:bookmarkEnd w:id="4381"/>
      <w:bookmarkEnd w:id="4382"/>
      <w:bookmarkEnd w:id="4383"/>
      <w:bookmarkEnd w:id="4384"/>
      <w:r>
        <w:rPr>
          <w:rFonts w:hint="cs"/>
          <w:rtl/>
        </w:rPr>
        <w:t xml:space="preserve"> דאחוי שטרך מבטל ראיה ולא תפיסה</w:t>
      </w:r>
      <w:bookmarkEnd w:id="4385"/>
      <w:bookmarkEnd w:id="4386"/>
      <w:bookmarkEnd w:id="4387"/>
      <w:bookmarkEnd w:id="4388"/>
      <w:bookmarkEnd w:id="4389"/>
    </w:p>
    <w:p w:rsidR="00F163D7" w:rsidRDefault="00F163D7" w:rsidP="00F163D7">
      <w:pPr>
        <w:pStyle w:val="a3"/>
        <w:rPr>
          <w:rtl/>
        </w:rPr>
      </w:pPr>
      <w:bookmarkStart w:id="4390" w:name="_Toc55419919"/>
      <w:bookmarkStart w:id="4391" w:name="_Toc55419975"/>
      <w:bookmarkStart w:id="4392" w:name="_Toc55421189"/>
      <w:bookmarkStart w:id="4393" w:name="_Toc55508567"/>
      <w:bookmarkStart w:id="4394" w:name="_Toc55569218"/>
      <w:bookmarkStart w:id="4395" w:name="_Toc55718329"/>
      <w:bookmarkStart w:id="4396" w:name="_Toc55739925"/>
      <w:bookmarkStart w:id="4397" w:name="_Toc55839474"/>
      <w:bookmarkStart w:id="4398" w:name="_Toc55927873"/>
      <w:bookmarkStart w:id="4399" w:name="_Toc55946599"/>
      <w:bookmarkStart w:id="4400" w:name="_Toc55991926"/>
      <w:bookmarkStart w:id="4401" w:name="_Toc56030475"/>
      <w:bookmarkStart w:id="4402" w:name="_Toc56032665"/>
      <w:bookmarkStart w:id="4403" w:name="_Toc53934434"/>
      <w:bookmarkStart w:id="4404" w:name="_Toc54076397"/>
      <w:r>
        <w:rPr>
          <w:rFonts w:hint="cs"/>
          <w:rtl/>
        </w:rPr>
        <w:t>ביאור הברכ"ש ברמב"ן דמדלא מחה מתבטלת הריעותא דאחוי שטרך</w:t>
      </w:r>
      <w:r w:rsidRPr="005458C8">
        <w:rPr>
          <w:rFonts w:hint="cs"/>
          <w:rtl/>
        </w:rPr>
        <w:t xml:space="preserve"> </w:t>
      </w:r>
      <w:r>
        <w:rPr>
          <w:rFonts w:hint="cs"/>
          <w:rtl/>
        </w:rPr>
        <w:t>ונשארת בחזקת המר"ק</w:t>
      </w:r>
      <w:bookmarkEnd w:id="4390"/>
      <w:bookmarkEnd w:id="4391"/>
      <w:bookmarkEnd w:id="4392"/>
      <w:bookmarkEnd w:id="4393"/>
      <w:bookmarkEnd w:id="4394"/>
      <w:bookmarkEnd w:id="4395"/>
      <w:bookmarkEnd w:id="4396"/>
      <w:bookmarkEnd w:id="4397"/>
      <w:bookmarkEnd w:id="4398"/>
      <w:bookmarkEnd w:id="4399"/>
      <w:bookmarkEnd w:id="4400"/>
      <w:bookmarkEnd w:id="4401"/>
      <w:bookmarkEnd w:id="4402"/>
    </w:p>
    <w:p w:rsidR="00F163D7" w:rsidRDefault="00F163D7" w:rsidP="007E4E81">
      <w:pPr>
        <w:pStyle w:val="a0"/>
        <w:rPr>
          <w:rtl/>
        </w:rPr>
      </w:pPr>
      <w:r>
        <w:rPr>
          <w:rFonts w:hint="cs"/>
          <w:rtl/>
        </w:rPr>
        <w:t xml:space="preserve">במ"ש </w:t>
      </w:r>
      <w:r w:rsidRPr="003F2A29">
        <w:rPr>
          <w:rStyle w:val="af9"/>
          <w:rFonts w:hint="cs"/>
          <w:rtl/>
        </w:rPr>
        <w:t xml:space="preserve">הרמב"ן </w:t>
      </w:r>
      <w:r>
        <w:rPr>
          <w:rStyle w:val="af9"/>
          <w:rtl/>
        </w:rPr>
        <w:t>לקמן</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Ref55940285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ז</w:t>
      </w:r>
      <w:r w:rsidR="00265073">
        <w:rPr>
          <w:rStyle w:val="af7"/>
          <w:rFonts w:eastAsia="Guttman Hodes"/>
          <w:rtl/>
        </w:rPr>
        <w:t>)</w:t>
      </w:r>
      <w:r>
        <w:rPr>
          <w:rStyle w:val="af7"/>
          <w:rFonts w:eastAsia="Guttman Hodes" w:hint="cs"/>
          <w:rtl/>
        </w:rPr>
        <w:fldChar w:fldCharType="end"/>
      </w:r>
      <w:r>
        <w:rPr>
          <w:rStyle w:val="af7"/>
          <w:rFonts w:eastAsia="Guttman Hodes" w:hint="cs"/>
          <w:rtl/>
        </w:rPr>
        <w:t xml:space="preserve"> </w:t>
      </w:r>
      <w:r>
        <w:rPr>
          <w:rFonts w:hint="cs"/>
          <w:rtl/>
        </w:rPr>
        <w:t>דמהא דשתק המערער יש רגלים לדבר דמכר לו, וצריך</w:t>
      </w:r>
      <w:r w:rsidRPr="002F34B1">
        <w:rPr>
          <w:rFonts w:hint="cs"/>
          <w:rtl/>
        </w:rPr>
        <w:t xml:space="preserve"> </w:t>
      </w:r>
      <w:r>
        <w:rPr>
          <w:rFonts w:hint="cs"/>
          <w:rtl/>
        </w:rPr>
        <w:t xml:space="preserve">ג"ש כדי שלא יהיה טענת אחוי שטרך, ביאר </w:t>
      </w:r>
      <w:r w:rsidRPr="003F2A29">
        <w:rPr>
          <w:rStyle w:val="af9"/>
          <w:rFonts w:hint="cs"/>
          <w:rtl/>
        </w:rPr>
        <w:t>הברכ"ש</w:t>
      </w:r>
      <w:r>
        <w:rPr>
          <w:rFonts w:hint="cs"/>
          <w:rtl/>
        </w:rPr>
        <w:t xml:space="preserve"> </w:t>
      </w:r>
      <w:r w:rsidRPr="003F2A29">
        <w:rPr>
          <w:rStyle w:val="af7"/>
          <w:rFonts w:eastAsia="Guttman Hodes" w:hint="cs"/>
          <w:rtl/>
        </w:rPr>
        <w:t>(סי' כ"ו)</w:t>
      </w:r>
      <w:r w:rsidR="00A77F33">
        <w:rPr>
          <w:rFonts w:hint="cs"/>
          <w:rtl/>
        </w:rPr>
        <w:t xml:space="preserve"> </w:t>
      </w:r>
      <w:r>
        <w:rPr>
          <w:rFonts w:hint="cs"/>
          <w:rtl/>
        </w:rPr>
        <w:t>דבמקום שהמחזיק טוען לקוח הוא בידי, ויש לו ראיה שאכל את השדה ולא מחה בו המרא קמא, מהני טענת אחוי שטרך כנגד חזקתו, דהטענה הזו היא ריעותא בחזקתו, ועי"ז מתבטלת הראיה שיש ממה דלא מחה בו המרא קמא, וכיון דראייתו מתבטלת ממילא הקרקע נשארת בחזקת המרא קמא</w:t>
      </w:r>
      <w:r>
        <w:rPr>
          <w:rStyle w:val="af1"/>
          <w:rtl/>
        </w:rPr>
        <w:footnoteReference w:id="19"/>
      </w:r>
      <w:r>
        <w:rPr>
          <w:rFonts w:hint="cs"/>
          <w:rtl/>
        </w:rPr>
        <w:t>.</w:t>
      </w:r>
    </w:p>
    <w:p w:rsidR="00F163D7" w:rsidRDefault="00F163D7" w:rsidP="00F163D7">
      <w:pPr>
        <w:pStyle w:val="a3"/>
        <w:rPr>
          <w:rtl/>
        </w:rPr>
      </w:pPr>
      <w:bookmarkStart w:id="4405" w:name="_Toc55419920"/>
      <w:bookmarkStart w:id="4406" w:name="_Toc55419976"/>
      <w:bookmarkStart w:id="4407" w:name="_Toc55421190"/>
      <w:bookmarkStart w:id="4408" w:name="_Toc55508568"/>
      <w:bookmarkStart w:id="4409" w:name="_Toc55569219"/>
      <w:bookmarkStart w:id="4410" w:name="_Toc55718330"/>
      <w:bookmarkStart w:id="4411" w:name="_Toc55739926"/>
      <w:bookmarkStart w:id="4412" w:name="_Toc55839475"/>
      <w:bookmarkStart w:id="4413" w:name="_Toc55927874"/>
      <w:bookmarkStart w:id="4414" w:name="_Toc55946600"/>
      <w:bookmarkStart w:id="4415" w:name="_Toc55991927"/>
      <w:bookmarkStart w:id="4416" w:name="_Toc56030476"/>
      <w:bookmarkStart w:id="4417" w:name="_Toc56032666"/>
      <w:r w:rsidRPr="00F90D48">
        <w:rPr>
          <w:rtl/>
        </w:rPr>
        <w:t>ביאור הברכ"ש ברמב"ן דבהחזיק ג"ש וטוען לקוח בידי אחוי שטרך אינה ריעותא דהוא תפוס</w:t>
      </w:r>
      <w:bookmarkEnd w:id="4405"/>
      <w:bookmarkEnd w:id="4406"/>
      <w:bookmarkEnd w:id="4407"/>
      <w:bookmarkEnd w:id="4408"/>
      <w:bookmarkEnd w:id="4409"/>
      <w:bookmarkEnd w:id="4410"/>
      <w:bookmarkEnd w:id="4411"/>
      <w:bookmarkEnd w:id="4412"/>
      <w:bookmarkEnd w:id="4413"/>
      <w:bookmarkEnd w:id="4414"/>
      <w:bookmarkEnd w:id="4415"/>
      <w:bookmarkEnd w:id="4416"/>
      <w:bookmarkEnd w:id="4417"/>
    </w:p>
    <w:p w:rsidR="00F163D7" w:rsidRPr="004C41BC" w:rsidRDefault="00F163D7" w:rsidP="007E4E81">
      <w:pPr>
        <w:pStyle w:val="a0"/>
        <w:rPr>
          <w:rStyle w:val="afb"/>
        </w:rPr>
      </w:pPr>
      <w:bookmarkStart w:id="4418" w:name="_Ref55750559"/>
      <w:r>
        <w:rPr>
          <w:rFonts w:hint="cs"/>
          <w:rtl/>
        </w:rPr>
        <w:t xml:space="preserve">אך כתב </w:t>
      </w:r>
      <w:r w:rsidRPr="003F2A29">
        <w:rPr>
          <w:rStyle w:val="af9"/>
          <w:rFonts w:hint="cs"/>
          <w:rtl/>
        </w:rPr>
        <w:t>הברכ"ש</w:t>
      </w:r>
      <w:r>
        <w:rPr>
          <w:rFonts w:hint="cs"/>
          <w:rtl/>
        </w:rPr>
        <w:t xml:space="preserve"> דבמקום שהמחזיק אינו טוען לקוח הוא בידי ושיש לו חזקה מחמת אכילתו, אלא הוא טוען שהדבר תפוס בידו, בזה לא שייך לטעון לו אחוי שטרך,</w:t>
      </w:r>
      <w:r w:rsidRPr="001D6D91">
        <w:rPr>
          <w:rFonts w:hint="cs"/>
          <w:rtl/>
        </w:rPr>
        <w:t xml:space="preserve"> </w:t>
      </w:r>
      <w:r>
        <w:rPr>
          <w:rFonts w:hint="cs"/>
          <w:rtl/>
        </w:rPr>
        <w:t xml:space="preserve">דאחוי שטרך אינה עושה כל ריעותא בטענתו דהדבר תפוס בידו. </w:t>
      </w:r>
      <w:r w:rsidRPr="004C41BC">
        <w:rPr>
          <w:rStyle w:val="afb"/>
          <w:rFonts w:hint="cs"/>
          <w:rtl/>
        </w:rPr>
        <w:t>[</w:t>
      </w:r>
      <w:bookmarkStart w:id="4419" w:name="_Toc55419921"/>
      <w:bookmarkStart w:id="4420" w:name="_Toc55419977"/>
      <w:bookmarkStart w:id="4421" w:name="_Toc55421191"/>
      <w:bookmarkStart w:id="4422" w:name="_Toc55508569"/>
      <w:bookmarkStart w:id="4423" w:name="_Toc55569220"/>
      <w:bookmarkStart w:id="4424" w:name="_Toc55718331"/>
      <w:bookmarkStart w:id="4425" w:name="_Toc55739927"/>
      <w:r w:rsidRPr="004C41BC">
        <w:rPr>
          <w:rStyle w:val="afb"/>
          <w:rFonts w:hint="cs"/>
          <w:rtl/>
        </w:rPr>
        <w:t xml:space="preserve">אך הקשה </w:t>
      </w:r>
      <w:r w:rsidRPr="004C41BC">
        <w:rPr>
          <w:rStyle w:val="affa"/>
          <w:rFonts w:hint="cs"/>
          <w:rtl/>
        </w:rPr>
        <w:t>הברכ"ש</w:t>
      </w:r>
      <w:r w:rsidRPr="004C41BC">
        <w:rPr>
          <w:rStyle w:val="afb"/>
          <w:rFonts w:hint="cs"/>
          <w:rtl/>
        </w:rPr>
        <w:t xml:space="preserve"> </w:t>
      </w:r>
      <w:r w:rsidRPr="004C41BC">
        <w:rPr>
          <w:rStyle w:val="aff6"/>
          <w:rFonts w:hint="cs"/>
          <w:rtl/>
        </w:rPr>
        <w:t>(סי' כ"ו ד"ה אולם)</w:t>
      </w:r>
      <w:r w:rsidRPr="004C41BC">
        <w:rPr>
          <w:rStyle w:val="afb"/>
          <w:rFonts w:hint="cs"/>
          <w:rtl/>
        </w:rPr>
        <w:t xml:space="preserve"> דהא בגמ' לקמן </w:t>
      </w:r>
      <w:r w:rsidRPr="004C41BC">
        <w:rPr>
          <w:rStyle w:val="aff6"/>
          <w:rFonts w:hint="cs"/>
          <w:rtl/>
        </w:rPr>
        <w:t>(לו:)</w:t>
      </w:r>
      <w:r w:rsidRPr="004C41BC">
        <w:rPr>
          <w:rStyle w:val="afb"/>
          <w:rFonts w:hint="cs"/>
          <w:rtl/>
        </w:rPr>
        <w:t xml:space="preserve"> מבואר דאף על </w:t>
      </w:r>
      <w:r>
        <w:rPr>
          <w:rStyle w:val="afb"/>
          <w:rFonts w:hint="cs"/>
          <w:rtl/>
        </w:rPr>
        <w:t xml:space="preserve">פירות שהם </w:t>
      </w:r>
      <w:r w:rsidRPr="004C41BC">
        <w:rPr>
          <w:rStyle w:val="afb"/>
          <w:rFonts w:hint="cs"/>
          <w:rtl/>
        </w:rPr>
        <w:t>מטלטלין שייכא טענת אחוי שטרך,</w:t>
      </w:r>
      <w:r>
        <w:rPr>
          <w:rStyle w:val="afb"/>
          <w:rFonts w:hint="cs"/>
          <w:rtl/>
        </w:rPr>
        <w:t xml:space="preserve"> אי היה דרך לכתוב עליהם שטר,</w:t>
      </w:r>
      <w:r w:rsidRPr="004C41BC">
        <w:rPr>
          <w:rStyle w:val="afb"/>
          <w:rFonts w:hint="cs"/>
          <w:rtl/>
        </w:rPr>
        <w:t xml:space="preserve"> והניח </w:t>
      </w:r>
      <w:r w:rsidRPr="004C41BC">
        <w:rPr>
          <w:rStyle w:val="affa"/>
          <w:rFonts w:hint="cs"/>
          <w:rtl/>
        </w:rPr>
        <w:t>הברכ"ש</w:t>
      </w:r>
      <w:r w:rsidRPr="004C41BC">
        <w:rPr>
          <w:rStyle w:val="afb"/>
          <w:rFonts w:hint="cs"/>
          <w:rtl/>
        </w:rPr>
        <w:t xml:space="preserve"> בצ"ע, ועי' במה שתמה </w:t>
      </w:r>
      <w:r w:rsidR="009647B3" w:rsidRPr="009647B3">
        <w:rPr>
          <w:rStyle w:val="affa"/>
          <w:rtl/>
        </w:rPr>
        <w:t xml:space="preserve">הגר"מ מן בדברי מרדכי </w:t>
      </w:r>
      <w:r w:rsidRPr="004C41BC">
        <w:rPr>
          <w:rStyle w:val="aff6"/>
          <w:rFonts w:hint="cs"/>
          <w:rtl/>
        </w:rPr>
        <w:t>(סי' ט"ז או' ב')</w:t>
      </w:r>
      <w:r w:rsidRPr="004C41BC">
        <w:rPr>
          <w:rStyle w:val="afb"/>
          <w:rFonts w:hint="cs"/>
          <w:rtl/>
        </w:rPr>
        <w:t xml:space="preserve"> על קושית </w:t>
      </w:r>
      <w:r w:rsidRPr="004C41BC">
        <w:rPr>
          <w:rStyle w:val="affa"/>
          <w:rFonts w:hint="cs"/>
          <w:rtl/>
        </w:rPr>
        <w:t>הברכ"ש</w:t>
      </w:r>
      <w:r w:rsidRPr="004C41BC">
        <w:rPr>
          <w:rStyle w:val="afb"/>
          <w:rFonts w:hint="cs"/>
          <w:rtl/>
        </w:rPr>
        <w:t>].</w:t>
      </w:r>
      <w:bookmarkEnd w:id="4418"/>
    </w:p>
    <w:p w:rsidR="00F163D7" w:rsidRPr="00994656" w:rsidRDefault="00F163D7" w:rsidP="00F163D7">
      <w:pPr>
        <w:pStyle w:val="1"/>
        <w:rPr>
          <w:rtl/>
        </w:rPr>
      </w:pPr>
      <w:bookmarkStart w:id="4426" w:name="_Toc55839515"/>
      <w:bookmarkStart w:id="4427" w:name="_Toc55927875"/>
      <w:bookmarkStart w:id="4428" w:name="_Toc55946601"/>
      <w:bookmarkStart w:id="4429" w:name="_Toc55991928"/>
      <w:bookmarkStart w:id="4430" w:name="_Toc56030477"/>
      <w:bookmarkStart w:id="4431" w:name="_Toc56032667"/>
      <w:bookmarkStart w:id="4432" w:name="_Toc55508575"/>
      <w:bookmarkStart w:id="4433" w:name="_Toc55569226"/>
      <w:bookmarkStart w:id="4434" w:name="_Toc55718337"/>
      <w:bookmarkStart w:id="4435" w:name="_Toc55739933"/>
      <w:bookmarkStart w:id="4436" w:name="_Toc55839483"/>
      <w:bookmarkStart w:id="4437" w:name="_Toc55508572"/>
      <w:bookmarkStart w:id="4438" w:name="_Toc55569223"/>
      <w:bookmarkStart w:id="4439" w:name="_Toc55718334"/>
      <w:bookmarkStart w:id="4440" w:name="_Toc55739930"/>
      <w:bookmarkStart w:id="4441" w:name="_Toc55839479"/>
      <w:bookmarkStart w:id="4442" w:name="_Toc53934435"/>
      <w:bookmarkStart w:id="4443" w:name="_Toc54076398"/>
      <w:bookmarkStart w:id="4444" w:name="_Toc55419922"/>
      <w:bookmarkStart w:id="4445" w:name="_Toc55419978"/>
      <w:bookmarkStart w:id="4446" w:name="_Toc55421192"/>
      <w:bookmarkEnd w:id="4403"/>
      <w:bookmarkEnd w:id="4404"/>
      <w:bookmarkEnd w:id="4419"/>
      <w:bookmarkEnd w:id="4420"/>
      <w:bookmarkEnd w:id="4421"/>
      <w:bookmarkEnd w:id="4422"/>
      <w:bookmarkEnd w:id="4423"/>
      <w:bookmarkEnd w:id="4424"/>
      <w:bookmarkEnd w:id="4425"/>
      <w:r>
        <w:rPr>
          <w:rFonts w:hint="cs"/>
          <w:rtl/>
        </w:rPr>
        <w:t>ביאור הגרב"ב ברמב"ן דקרקע בחזקת המחזיק מסברת לא חציף</w:t>
      </w:r>
      <w:bookmarkEnd w:id="4426"/>
      <w:bookmarkEnd w:id="4427"/>
      <w:bookmarkEnd w:id="4428"/>
      <w:bookmarkEnd w:id="4429"/>
      <w:bookmarkEnd w:id="4430"/>
      <w:bookmarkEnd w:id="4431"/>
      <w:r>
        <w:rPr>
          <w:rFonts w:hint="cs"/>
          <w:rtl/>
        </w:rPr>
        <w:t xml:space="preserve"> </w:t>
      </w:r>
    </w:p>
    <w:p w:rsidR="00F163D7" w:rsidRDefault="00F163D7" w:rsidP="00F163D7">
      <w:pPr>
        <w:pStyle w:val="a3"/>
        <w:rPr>
          <w:rtl/>
        </w:rPr>
      </w:pPr>
      <w:bookmarkStart w:id="4447" w:name="_Toc55839516"/>
      <w:bookmarkStart w:id="4448" w:name="_Toc55927876"/>
      <w:bookmarkStart w:id="4449" w:name="_Toc55946602"/>
      <w:bookmarkStart w:id="4450" w:name="_Toc55991929"/>
      <w:bookmarkStart w:id="4451" w:name="_Toc56030478"/>
      <w:bookmarkStart w:id="4452" w:name="_Toc56032668"/>
      <w:r>
        <w:rPr>
          <w:rFonts w:hint="cs"/>
          <w:rtl/>
        </w:rPr>
        <w:t>קושית הגרב"ב על הרמב"ן דהאיך יש ראיה להחשיב את המחזיק כמוחזק הא אין תפיסה בקרקע</w:t>
      </w:r>
      <w:bookmarkEnd w:id="4447"/>
      <w:bookmarkEnd w:id="4448"/>
      <w:bookmarkEnd w:id="4449"/>
      <w:bookmarkEnd w:id="4450"/>
      <w:bookmarkEnd w:id="4451"/>
      <w:bookmarkEnd w:id="4452"/>
    </w:p>
    <w:p w:rsidR="00F163D7" w:rsidRDefault="00F163D7" w:rsidP="007E4E81">
      <w:pPr>
        <w:pStyle w:val="a0"/>
        <w:rPr>
          <w:rtl/>
        </w:rPr>
      </w:pPr>
      <w:r>
        <w:rPr>
          <w:rFonts w:hint="cs"/>
          <w:rtl/>
        </w:rPr>
        <w:t>והקשה</w:t>
      </w:r>
      <w:r w:rsidRPr="007C07BF">
        <w:rPr>
          <w:rStyle w:val="af9"/>
          <w:rFonts w:hint="cs"/>
          <w:rtl/>
        </w:rPr>
        <w:t xml:space="preserve"> בחו"ש הגרב"ב</w:t>
      </w:r>
      <w:r>
        <w:rPr>
          <w:rFonts w:hint="cs"/>
          <w:rtl/>
        </w:rPr>
        <w:t xml:space="preserve"> </w:t>
      </w:r>
      <w:r w:rsidRPr="007C07BF">
        <w:rPr>
          <w:rStyle w:val="af7"/>
          <w:rFonts w:eastAsia="Guttman Hodes" w:hint="cs"/>
          <w:rtl/>
        </w:rPr>
        <w:t>(</w:t>
      </w:r>
      <w:r>
        <w:rPr>
          <w:rStyle w:val="af7"/>
          <w:rFonts w:eastAsia="Guttman Hodes" w:hint="cs"/>
          <w:rtl/>
        </w:rPr>
        <w:t xml:space="preserve">ח"א </w:t>
      </w:r>
      <w:r w:rsidRPr="007C07BF">
        <w:rPr>
          <w:rStyle w:val="af7"/>
          <w:rFonts w:eastAsia="Guttman Hodes" w:hint="cs"/>
          <w:rtl/>
        </w:rPr>
        <w:t xml:space="preserve">סי' י' ד"ה הנה יש לעיין) </w:t>
      </w:r>
      <w:r>
        <w:rPr>
          <w:rFonts w:hint="cs"/>
          <w:rtl/>
        </w:rPr>
        <w:t xml:space="preserve">דכיון דס"ל </w:t>
      </w:r>
      <w:r w:rsidRPr="00737BBE">
        <w:rPr>
          <w:rStyle w:val="af9"/>
          <w:rFonts w:hint="cs"/>
          <w:rtl/>
        </w:rPr>
        <w:t>להרמב"ן</w:t>
      </w:r>
      <w:r>
        <w:rPr>
          <w:rFonts w:hint="cs"/>
          <w:rtl/>
        </w:rPr>
        <w:t xml:space="preserve"> </w:t>
      </w:r>
      <w:r>
        <w:rPr>
          <w:rStyle w:val="af9"/>
          <w:rtl/>
        </w:rPr>
        <w:t>לקמן</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Ref55940285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ז</w:t>
      </w:r>
      <w:r w:rsidR="00265073">
        <w:rPr>
          <w:rStyle w:val="af7"/>
          <w:rFonts w:eastAsia="Guttman Hodes"/>
          <w:rtl/>
        </w:rPr>
        <w:t>)</w:t>
      </w:r>
      <w:r>
        <w:rPr>
          <w:rStyle w:val="af7"/>
          <w:rFonts w:eastAsia="Guttman Hodes" w:hint="cs"/>
          <w:rtl/>
        </w:rPr>
        <w:fldChar w:fldCharType="end"/>
      </w:r>
      <w:r>
        <w:rPr>
          <w:rStyle w:val="af7"/>
          <w:rFonts w:eastAsia="Guttman Hodes" w:hint="cs"/>
          <w:rtl/>
        </w:rPr>
        <w:t xml:space="preserve"> </w:t>
      </w:r>
      <w:r>
        <w:rPr>
          <w:rFonts w:hint="cs"/>
          <w:rtl/>
        </w:rPr>
        <w:t xml:space="preserve">דאף בשנה אחת מהני החזקה, והקרקע בחזקת המחזיק, וכ"מ דצריך ג"ש הוא רק כיון שיש ריעותא בחזקה, מחמת טענת אחוי שטרך, א"כ היאך אפש"ל דמהני חזקת המחזיק להחשיבו כמוחזק, והא לא שייך דין תפוס בקרקע, ואף אי ס"ל </w:t>
      </w:r>
      <w:r w:rsidRPr="00737BBE">
        <w:rPr>
          <w:rStyle w:val="af9"/>
          <w:rFonts w:hint="cs"/>
          <w:rtl/>
        </w:rPr>
        <w:t>להרמב"ן</w:t>
      </w:r>
      <w:r>
        <w:rPr>
          <w:rFonts w:hint="cs"/>
          <w:rtl/>
        </w:rPr>
        <w:t xml:space="preserve"> דלא אמרינן דקרקע בחזקת בעליה עומדת, מ"מ היאך היא עומדת בחזקת המחזיק.</w:t>
      </w:r>
    </w:p>
    <w:p w:rsidR="00F163D7" w:rsidRDefault="00F163D7" w:rsidP="00F163D7">
      <w:pPr>
        <w:pStyle w:val="a3"/>
        <w:rPr>
          <w:rtl/>
        </w:rPr>
      </w:pPr>
      <w:bookmarkStart w:id="4453" w:name="_Toc55839517"/>
      <w:bookmarkStart w:id="4454" w:name="_Toc55927877"/>
      <w:bookmarkStart w:id="4455" w:name="_Toc55946603"/>
      <w:bookmarkStart w:id="4456" w:name="_Toc55991930"/>
      <w:bookmarkStart w:id="4457" w:name="_Toc56030479"/>
      <w:bookmarkStart w:id="4458" w:name="_Toc56032669"/>
      <w:r>
        <w:rPr>
          <w:rFonts w:hint="cs"/>
          <w:rtl/>
        </w:rPr>
        <w:t>ביאור הגרב"ב ברמב"ן דהקרקע בחזקת המחזיק מחמת סברת לא חציף ולא מכח תפיסה</w:t>
      </w:r>
      <w:bookmarkEnd w:id="4453"/>
      <w:bookmarkEnd w:id="4454"/>
      <w:bookmarkEnd w:id="4455"/>
      <w:bookmarkEnd w:id="4456"/>
      <w:bookmarkEnd w:id="4457"/>
      <w:bookmarkEnd w:id="4458"/>
    </w:p>
    <w:p w:rsidR="00F163D7" w:rsidRPr="00D6202C" w:rsidRDefault="00F163D7" w:rsidP="007E4E81">
      <w:pPr>
        <w:pStyle w:val="a0"/>
        <w:rPr>
          <w:rStyle w:val="afb"/>
        </w:rPr>
      </w:pPr>
      <w:r>
        <w:rPr>
          <w:rFonts w:hint="cs"/>
          <w:rtl/>
        </w:rPr>
        <w:t xml:space="preserve">וביאר </w:t>
      </w:r>
      <w:r w:rsidRPr="00737BBE">
        <w:rPr>
          <w:rStyle w:val="af9"/>
          <w:rFonts w:hint="cs"/>
          <w:rtl/>
        </w:rPr>
        <w:t>בחו"ש הגרב"ב</w:t>
      </w:r>
      <w:r>
        <w:rPr>
          <w:rFonts w:hint="cs"/>
          <w:rtl/>
        </w:rPr>
        <w:t xml:space="preserve"> </w:t>
      </w:r>
      <w:r w:rsidRPr="00D6202C">
        <w:rPr>
          <w:rStyle w:val="af7"/>
          <w:rFonts w:eastAsia="Guttman Hodes" w:hint="cs"/>
          <w:rtl/>
        </w:rPr>
        <w:t>(ח"א סי' ט' ד"ה והנה בדברים</w:t>
      </w:r>
      <w:r>
        <w:rPr>
          <w:rStyle w:val="af7"/>
          <w:rFonts w:eastAsia="Guttman Hodes" w:hint="cs"/>
          <w:rtl/>
        </w:rPr>
        <w:t>,</w:t>
      </w:r>
      <w:r w:rsidRPr="00D040C6">
        <w:rPr>
          <w:rFonts w:hint="cs"/>
          <w:rtl/>
        </w:rPr>
        <w:t xml:space="preserve"> </w:t>
      </w:r>
      <w:r w:rsidRPr="007C07BF">
        <w:rPr>
          <w:rStyle w:val="af7"/>
          <w:rFonts w:eastAsia="Guttman Hodes" w:hint="cs"/>
          <w:rtl/>
        </w:rPr>
        <w:t>סי' י' ד"ה הנה יש לעיין</w:t>
      </w:r>
      <w:r w:rsidRPr="00D6202C">
        <w:rPr>
          <w:rStyle w:val="af7"/>
          <w:rFonts w:eastAsia="Guttman Hodes" w:hint="cs"/>
          <w:rtl/>
        </w:rPr>
        <w:t>)</w:t>
      </w:r>
      <w:r w:rsidRPr="00D6202C">
        <w:rPr>
          <w:rFonts w:hint="cs"/>
          <w:rtl/>
        </w:rPr>
        <w:t xml:space="preserve"> </w:t>
      </w:r>
      <w:r>
        <w:rPr>
          <w:rFonts w:hint="cs"/>
          <w:rtl/>
        </w:rPr>
        <w:t xml:space="preserve">דס"ל </w:t>
      </w:r>
      <w:r w:rsidRPr="00737BBE">
        <w:rPr>
          <w:rStyle w:val="af9"/>
          <w:rFonts w:hint="cs"/>
          <w:rtl/>
        </w:rPr>
        <w:t>להרמב"ן</w:t>
      </w:r>
      <w:r>
        <w:rPr>
          <w:rFonts w:hint="cs"/>
          <w:rtl/>
        </w:rPr>
        <w:t xml:space="preserve"> דהא דחשיב שהקרקע בחזקת המחזיק, </w:t>
      </w:r>
      <w:r w:rsidRPr="00737BBE">
        <w:rPr>
          <w:rStyle w:val="afb"/>
          <w:rFonts w:hint="cs"/>
          <w:rtl/>
        </w:rPr>
        <w:t>[ויש עליו רק טענת אחוי שטרך],</w:t>
      </w:r>
      <w:r>
        <w:rPr>
          <w:rFonts w:hint="cs"/>
          <w:rtl/>
        </w:rPr>
        <w:t xml:space="preserve"> הוא מחמת הסברא דלא חציף איניש למיחת לארעא דלאו דיליה, </w:t>
      </w:r>
      <w:r w:rsidRPr="00D6202C">
        <w:rPr>
          <w:rFonts w:hint="cs"/>
          <w:rtl/>
        </w:rPr>
        <w:t xml:space="preserve">ולא מחמת שהוא תפוס, ועי' במ"ש בזה </w:t>
      </w:r>
      <w:r w:rsidRPr="00D6202C">
        <w:rPr>
          <w:rStyle w:val="af9"/>
          <w:rFonts w:hint="cs"/>
          <w:rtl/>
        </w:rPr>
        <w:t xml:space="preserve">בחי' הרי"ם </w:t>
      </w:r>
      <w:r w:rsidRPr="00D6202C">
        <w:rPr>
          <w:rStyle w:val="af7"/>
          <w:rFonts w:eastAsia="Guttman Hodes" w:hint="cs"/>
          <w:rtl/>
        </w:rPr>
        <w:t>(חו"מ סי' ק"מ או' א')</w:t>
      </w:r>
      <w:r w:rsidRPr="00D6202C">
        <w:rPr>
          <w:rFonts w:hint="cs"/>
          <w:rtl/>
        </w:rPr>
        <w:t xml:space="preserve">. </w:t>
      </w:r>
      <w:r w:rsidRPr="00D6202C">
        <w:rPr>
          <w:rStyle w:val="afb"/>
          <w:rFonts w:hint="cs"/>
          <w:rtl/>
        </w:rPr>
        <w:t xml:space="preserve">[ועי' במה שהקשה </w:t>
      </w:r>
      <w:r w:rsidRPr="00D6202C">
        <w:rPr>
          <w:rStyle w:val="affa"/>
          <w:rFonts w:hint="cs"/>
          <w:rtl/>
        </w:rPr>
        <w:t>הברכ"ש</w:t>
      </w:r>
      <w:r w:rsidRPr="00D6202C">
        <w:rPr>
          <w:rStyle w:val="afb"/>
          <w:rFonts w:hint="cs"/>
          <w:rtl/>
        </w:rPr>
        <w:t xml:space="preserve"> </w:t>
      </w:r>
      <w:r w:rsidRPr="00D6202C">
        <w:rPr>
          <w:rStyle w:val="aff6"/>
          <w:rFonts w:hint="cs"/>
          <w:rtl/>
        </w:rPr>
        <w:t xml:space="preserve">(עי' אות </w:t>
      </w:r>
      <w:r w:rsidRPr="00D6202C">
        <w:rPr>
          <w:rStyle w:val="aff6"/>
          <w:rtl/>
        </w:rPr>
        <w:fldChar w:fldCharType="begin"/>
      </w:r>
      <w:r w:rsidRPr="00D6202C">
        <w:rPr>
          <w:rStyle w:val="aff6"/>
          <w:rtl/>
        </w:rPr>
        <w:instrText xml:space="preserve"> </w:instrText>
      </w:r>
      <w:r w:rsidRPr="00D6202C">
        <w:rPr>
          <w:rStyle w:val="aff6"/>
          <w:rFonts w:hint="cs"/>
        </w:rPr>
        <w:instrText>REF</w:instrText>
      </w:r>
      <w:r w:rsidRPr="00D6202C">
        <w:rPr>
          <w:rStyle w:val="aff6"/>
          <w:rFonts w:hint="cs"/>
          <w:rtl/>
        </w:rPr>
        <w:instrText xml:space="preserve"> _</w:instrText>
      </w:r>
      <w:r w:rsidRPr="00D6202C">
        <w:rPr>
          <w:rStyle w:val="aff6"/>
          <w:rFonts w:hint="cs"/>
        </w:rPr>
        <w:instrText>Ref55750559 \r \h</w:instrText>
      </w:r>
      <w:r w:rsidRPr="00D6202C">
        <w:rPr>
          <w:rStyle w:val="aff6"/>
          <w:rtl/>
        </w:rPr>
        <w:instrText xml:space="preserve">  \* </w:instrText>
      </w:r>
      <w:r w:rsidRPr="00D6202C">
        <w:rPr>
          <w:rStyle w:val="aff6"/>
        </w:rPr>
        <w:instrText>MERGEFORMAT</w:instrText>
      </w:r>
      <w:r w:rsidRPr="00D6202C">
        <w:rPr>
          <w:rStyle w:val="aff6"/>
          <w:rtl/>
        </w:rPr>
        <w:instrText xml:space="preserve"> </w:instrText>
      </w:r>
      <w:r w:rsidRPr="00D6202C">
        <w:rPr>
          <w:rStyle w:val="aff6"/>
          <w:rtl/>
        </w:rPr>
      </w:r>
      <w:r w:rsidRPr="00D6202C">
        <w:rPr>
          <w:rStyle w:val="aff6"/>
          <w:rtl/>
        </w:rPr>
        <w:fldChar w:fldCharType="separate"/>
      </w:r>
      <w:r w:rsidR="00265073">
        <w:rPr>
          <w:rStyle w:val="aff6"/>
          <w:cs/>
        </w:rPr>
        <w:t>‎</w:t>
      </w:r>
      <w:r w:rsidR="00265073">
        <w:rPr>
          <w:rStyle w:val="aff6"/>
          <w:rtl/>
        </w:rPr>
        <w:t>ס)</w:t>
      </w:r>
      <w:r w:rsidRPr="00D6202C">
        <w:rPr>
          <w:rStyle w:val="aff6"/>
          <w:rtl/>
        </w:rPr>
        <w:fldChar w:fldCharType="end"/>
      </w:r>
      <w:r w:rsidRPr="00D6202C">
        <w:rPr>
          <w:rStyle w:val="afb"/>
          <w:rFonts w:hint="cs"/>
          <w:rtl/>
        </w:rPr>
        <w:t xml:space="preserve"> בזה].</w:t>
      </w:r>
    </w:p>
    <w:p w:rsidR="00F163D7" w:rsidRPr="0098709C" w:rsidRDefault="00F163D7" w:rsidP="00F163D7">
      <w:pPr>
        <w:pStyle w:val="1"/>
      </w:pPr>
      <w:bookmarkStart w:id="4459" w:name="_Toc55927878"/>
      <w:bookmarkStart w:id="4460" w:name="_Toc55946604"/>
      <w:bookmarkStart w:id="4461" w:name="_Toc55991931"/>
      <w:bookmarkStart w:id="4462" w:name="_Toc56030480"/>
      <w:bookmarkStart w:id="4463" w:name="_Toc56032670"/>
      <w:r>
        <w:rPr>
          <w:rFonts w:hint="cs"/>
          <w:rtl/>
        </w:rPr>
        <w:t>ביאור הברכ"ש בקצוה"ח דהמחזיק כמוחזק ולא כתפוס</w:t>
      </w:r>
      <w:bookmarkEnd w:id="4459"/>
      <w:bookmarkEnd w:id="4460"/>
      <w:bookmarkEnd w:id="4461"/>
      <w:bookmarkEnd w:id="4462"/>
      <w:bookmarkEnd w:id="4463"/>
    </w:p>
    <w:p w:rsidR="00F163D7" w:rsidRPr="00980D27" w:rsidRDefault="00F163D7" w:rsidP="00F163D7">
      <w:pPr>
        <w:pStyle w:val="a3"/>
      </w:pPr>
      <w:bookmarkStart w:id="4464" w:name="_Toc55839531"/>
      <w:bookmarkStart w:id="4465" w:name="_Toc55927879"/>
      <w:bookmarkStart w:id="4466" w:name="_Toc55946605"/>
      <w:bookmarkStart w:id="4467" w:name="_Toc55991932"/>
      <w:bookmarkStart w:id="4468" w:name="_Toc56030481"/>
      <w:bookmarkStart w:id="4469" w:name="_Toc56032671"/>
      <w:r>
        <w:rPr>
          <w:rFonts w:hint="cs"/>
          <w:rtl/>
        </w:rPr>
        <w:t>ביאור הברכ"ש בקצוה"ח דראית המחזיק היא מחמת התפיסה ולכן הוקשה לו דנימא אחוי שטרך</w:t>
      </w:r>
      <w:bookmarkEnd w:id="4464"/>
      <w:bookmarkEnd w:id="4465"/>
      <w:bookmarkEnd w:id="4466"/>
      <w:bookmarkEnd w:id="4467"/>
      <w:bookmarkEnd w:id="4468"/>
      <w:bookmarkEnd w:id="4469"/>
    </w:p>
    <w:p w:rsidR="00F163D7" w:rsidRDefault="00F163D7" w:rsidP="007E4E81">
      <w:pPr>
        <w:pStyle w:val="a0"/>
        <w:rPr>
          <w:sz w:val="10"/>
          <w:szCs w:val="14"/>
          <w:rtl/>
        </w:rPr>
      </w:pPr>
      <w:bookmarkStart w:id="4470" w:name="_Ref55987819"/>
      <w:r>
        <w:rPr>
          <w:rFonts w:hint="cs"/>
          <w:rtl/>
        </w:rPr>
        <w:t xml:space="preserve">ובמה שהקשה </w:t>
      </w:r>
      <w:r w:rsidRPr="00AF5643">
        <w:rPr>
          <w:rStyle w:val="af9"/>
          <w:rFonts w:hint="cs"/>
          <w:rtl/>
        </w:rPr>
        <w:t xml:space="preserve">הקצוה"ח </w:t>
      </w:r>
      <w:r w:rsidRPr="001E11D7">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Ref55749815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Pr>
          <w:rStyle w:val="af7"/>
          <w:rFonts w:eastAsia="Guttman Hodes"/>
          <w:rtl/>
        </w:rPr>
        <w:fldChar w:fldCharType="end"/>
      </w:r>
      <w:r w:rsidRPr="001E11D7">
        <w:rPr>
          <w:rStyle w:val="af7"/>
          <w:rFonts w:eastAsia="Guttman Hodes" w:hint="cs"/>
          <w:rtl/>
        </w:rPr>
        <w:t xml:space="preserve"> </w:t>
      </w:r>
      <w:r>
        <w:rPr>
          <w:rFonts w:hint="cs"/>
          <w:rtl/>
        </w:rPr>
        <w:t xml:space="preserve">אמאי בעבד קטן לא אמרינן אחוי שטרך, ותירץ </w:t>
      </w:r>
      <w:r w:rsidRPr="00AF5643">
        <w:rPr>
          <w:rStyle w:val="af9"/>
          <w:rFonts w:hint="cs"/>
          <w:rtl/>
        </w:rPr>
        <w:t xml:space="preserve">הקצוה"ח </w:t>
      </w:r>
      <w:r w:rsidRPr="00830F7F">
        <w:rPr>
          <w:rStyle w:val="af7"/>
          <w:rFonts w:eastAsia="Guttman Hodes" w:hint="cs"/>
          <w:rtl/>
        </w:rPr>
        <w:t>(</w:t>
      </w:r>
      <w:r w:rsidRPr="002B2024">
        <w:rPr>
          <w:rStyle w:val="af7"/>
          <w:rFonts w:eastAsia="Guttman Hodes" w:hint="cs"/>
          <w:rtl/>
        </w:rPr>
        <w:t xml:space="preserve">עי' אות </w:t>
      </w:r>
      <w:r w:rsidRPr="002B2024">
        <w:rPr>
          <w:rStyle w:val="af7"/>
          <w:rFonts w:eastAsia="Guttman Hodes"/>
          <w:rtl/>
        </w:rPr>
        <w:fldChar w:fldCharType="begin"/>
      </w:r>
      <w:r w:rsidRPr="002B2024">
        <w:rPr>
          <w:rStyle w:val="af7"/>
          <w:rFonts w:eastAsia="Guttman Hodes"/>
          <w:rtl/>
        </w:rPr>
        <w:instrText xml:space="preserve"> </w:instrText>
      </w:r>
      <w:r w:rsidRPr="002B2024">
        <w:rPr>
          <w:rStyle w:val="af7"/>
          <w:rFonts w:eastAsia="Guttman Hodes" w:hint="cs"/>
        </w:rPr>
        <w:instrText>REF</w:instrText>
      </w:r>
      <w:r w:rsidRPr="002B2024">
        <w:rPr>
          <w:rStyle w:val="af7"/>
          <w:rFonts w:eastAsia="Guttman Hodes" w:hint="cs"/>
          <w:rtl/>
        </w:rPr>
        <w:instrText xml:space="preserve"> _</w:instrText>
      </w:r>
      <w:r w:rsidRPr="002B2024">
        <w:rPr>
          <w:rStyle w:val="af7"/>
          <w:rFonts w:eastAsia="Guttman Hodes" w:hint="cs"/>
        </w:rPr>
        <w:instrText>Ref55749869 \r \h</w:instrText>
      </w:r>
      <w:r w:rsidRPr="002B2024">
        <w:rPr>
          <w:rStyle w:val="af7"/>
          <w:rFonts w:eastAsia="Guttman Hodes"/>
          <w:rtl/>
        </w:rPr>
        <w:instrText xml:space="preserve"> </w:instrText>
      </w:r>
      <w:r w:rsidRPr="002B2024">
        <w:rPr>
          <w:rStyle w:val="af7"/>
          <w:rFonts w:eastAsia="Guttman Hodes"/>
          <w:rtl/>
        </w:rPr>
      </w:r>
      <w:r w:rsidRPr="002B2024">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2B2024">
        <w:rPr>
          <w:rStyle w:val="af7"/>
          <w:rFonts w:eastAsia="Guttman Hodes"/>
          <w:rtl/>
        </w:rPr>
        <w:fldChar w:fldCharType="end"/>
      </w:r>
      <w:r>
        <w:rPr>
          <w:rFonts w:hint="cs"/>
          <w:rtl/>
        </w:rPr>
        <w:t xml:space="preserve"> שתפיסתו היא ראיה גדולה יותר מחזקת ג"ש, כתב </w:t>
      </w:r>
      <w:r w:rsidRPr="00F15E1B">
        <w:rPr>
          <w:rStyle w:val="af9"/>
          <w:rFonts w:hint="cs"/>
          <w:rtl/>
        </w:rPr>
        <w:t>הברכ"ש</w:t>
      </w:r>
      <w:r>
        <w:rPr>
          <w:rFonts w:hint="cs"/>
          <w:rtl/>
        </w:rPr>
        <w:t xml:space="preserve"> </w:t>
      </w:r>
      <w:r w:rsidRPr="003F2A29">
        <w:rPr>
          <w:rStyle w:val="af7"/>
          <w:rFonts w:eastAsia="Guttman Hodes" w:hint="cs"/>
          <w:rtl/>
        </w:rPr>
        <w:t>(סי' כ"ו)</w:t>
      </w:r>
      <w:r>
        <w:rPr>
          <w:rFonts w:hint="cs"/>
          <w:rtl/>
        </w:rPr>
        <w:t xml:space="preserve"> דמבואר מדברי </w:t>
      </w:r>
      <w:r w:rsidRPr="00AF5643">
        <w:rPr>
          <w:rStyle w:val="af9"/>
          <w:rFonts w:hint="cs"/>
          <w:rtl/>
        </w:rPr>
        <w:t>הקצוה"ח</w:t>
      </w:r>
      <w:r>
        <w:rPr>
          <w:rFonts w:hint="cs"/>
          <w:rtl/>
        </w:rPr>
        <w:t xml:space="preserve"> דעבד קטן הוא בכלל גודרות, ורק מחמת</w:t>
      </w:r>
      <w:r w:rsidR="00A77F33">
        <w:rPr>
          <w:rFonts w:hint="cs"/>
          <w:rtl/>
        </w:rPr>
        <w:t xml:space="preserve"> </w:t>
      </w:r>
      <w:r>
        <w:rPr>
          <w:rFonts w:hint="cs"/>
          <w:rtl/>
        </w:rPr>
        <w:t xml:space="preserve">סברא דאמא לא מנשיא ברא, </w:t>
      </w:r>
      <w:r w:rsidRPr="00F15E1B">
        <w:rPr>
          <w:rStyle w:val="afb"/>
          <w:rFonts w:hint="cs"/>
          <w:rtl/>
        </w:rPr>
        <w:t>[דלא יתכן שהביאתו לבית המחזיק ושכחתו שם],</w:t>
      </w:r>
      <w:r>
        <w:rPr>
          <w:rFonts w:hint="cs"/>
          <w:rtl/>
        </w:rPr>
        <w:t xml:space="preserve"> לכן יש ראיה דהוא לקוח ביד המחזיק, וכיון דס"ל </w:t>
      </w:r>
      <w:r w:rsidRPr="00AF5643">
        <w:rPr>
          <w:rStyle w:val="af9"/>
          <w:rFonts w:hint="cs"/>
          <w:rtl/>
        </w:rPr>
        <w:t xml:space="preserve">להקצוה"ח </w:t>
      </w:r>
      <w:r>
        <w:rPr>
          <w:rFonts w:hint="cs"/>
          <w:rtl/>
        </w:rPr>
        <w:t xml:space="preserve">דכל הראיה של המחזיק היא מדין חזקה ולא מדין תפיסה, לכן הוקשה </w:t>
      </w:r>
      <w:r w:rsidRPr="00AF5643">
        <w:rPr>
          <w:rStyle w:val="af9"/>
          <w:rFonts w:hint="cs"/>
          <w:rtl/>
        </w:rPr>
        <w:t xml:space="preserve">להקצוה"ח </w:t>
      </w:r>
      <w:r>
        <w:rPr>
          <w:rFonts w:hint="cs"/>
          <w:rtl/>
        </w:rPr>
        <w:t xml:space="preserve">דאמאי לא אמרינן לו אחוי שטרך, </w:t>
      </w:r>
      <w:r w:rsidRPr="00AF5643">
        <w:rPr>
          <w:rStyle w:val="afb"/>
          <w:rFonts w:hint="cs"/>
          <w:rtl/>
        </w:rPr>
        <w:t xml:space="preserve">[אבל לפי ביאור </w:t>
      </w:r>
      <w:r w:rsidRPr="00AF5643">
        <w:rPr>
          <w:rStyle w:val="affa"/>
          <w:rFonts w:hint="cs"/>
          <w:rtl/>
        </w:rPr>
        <w:t>הברכ"ש</w:t>
      </w:r>
      <w:r w:rsidRPr="00AF5643">
        <w:rPr>
          <w:rStyle w:val="afb"/>
          <w:rFonts w:hint="cs"/>
          <w:rtl/>
        </w:rPr>
        <w:t xml:space="preserve"> </w:t>
      </w:r>
      <w:r w:rsidRPr="00662A6A">
        <w:rPr>
          <w:rStyle w:val="aff6"/>
          <w:rFonts w:hint="cs"/>
          <w:rtl/>
        </w:rPr>
        <w:t>(סי' כ"ו, הובא בסימן א' אות קכ"ו)</w:t>
      </w:r>
      <w:r>
        <w:rPr>
          <w:rFonts w:hint="cs"/>
          <w:rtl/>
        </w:rPr>
        <w:t xml:space="preserve"> </w:t>
      </w:r>
      <w:r w:rsidRPr="00AF5643">
        <w:rPr>
          <w:rStyle w:val="afb"/>
          <w:rFonts w:hint="cs"/>
          <w:rtl/>
        </w:rPr>
        <w:t xml:space="preserve">דעבד קטן הוא בכלל מטלטלין ואינו בכלל גודרות, א"כ הראיה היא מהא דהוא תפוס ביד המחזיק, וכנגד טענת תפוס הוא בידי, לא מהני טענת אחוי שטרך, כדביאר </w:t>
      </w:r>
      <w:r w:rsidRPr="00AF5643">
        <w:rPr>
          <w:rStyle w:val="affa"/>
          <w:rFonts w:hint="cs"/>
          <w:rtl/>
        </w:rPr>
        <w:t>הברכ"ש</w:t>
      </w:r>
      <w:r w:rsidRPr="00AF5643">
        <w:rPr>
          <w:rStyle w:val="afb"/>
          <w:rFonts w:hint="cs"/>
          <w:rtl/>
        </w:rPr>
        <w:t xml:space="preserve"> </w:t>
      </w:r>
      <w:r w:rsidRPr="001E11D7">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Ref55750559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ס)</w:t>
      </w:r>
      <w:r>
        <w:rPr>
          <w:rStyle w:val="aff6"/>
          <w:rtl/>
        </w:rPr>
        <w:fldChar w:fldCharType="end"/>
      </w:r>
      <w:r>
        <w:rPr>
          <w:rFonts w:hint="cs"/>
          <w:rtl/>
        </w:rPr>
        <w:t xml:space="preserve"> וע"ע במה שביאר </w:t>
      </w:r>
      <w:r w:rsidRPr="00461951">
        <w:rPr>
          <w:rStyle w:val="af9"/>
          <w:rFonts w:hint="cs"/>
          <w:rtl/>
        </w:rPr>
        <w:t>בחו"ש הגרב"ב</w:t>
      </w:r>
      <w:r>
        <w:rPr>
          <w:rFonts w:hint="cs"/>
          <w:rtl/>
        </w:rPr>
        <w:t xml:space="preserve"> </w:t>
      </w:r>
      <w:r w:rsidRPr="00CA77C7">
        <w:rPr>
          <w:rStyle w:val="af7"/>
          <w:rFonts w:eastAsia="Guttman Hodes" w:hint="cs"/>
          <w:rtl/>
        </w:rPr>
        <w:t>(סי' י' ד"ה הנה יש לעיין</w:t>
      </w:r>
      <w:r>
        <w:rPr>
          <w:rStyle w:val="af7"/>
          <w:rFonts w:eastAsia="Guttman Hodes" w:hint="cs"/>
          <w:rtl/>
        </w:rPr>
        <w:t>, הובא בסימן אא' אות צ"ה)</w:t>
      </w:r>
      <w:r w:rsidRPr="000076F4">
        <w:rPr>
          <w:rStyle w:val="af7"/>
          <w:rFonts w:eastAsia="Guttman Hodes" w:hint="cs"/>
          <w:rtl/>
        </w:rPr>
        <w:t xml:space="preserve"> </w:t>
      </w:r>
      <w:r>
        <w:rPr>
          <w:rFonts w:hint="cs"/>
          <w:rtl/>
        </w:rPr>
        <w:t xml:space="preserve">בדברי </w:t>
      </w:r>
      <w:r w:rsidRPr="00461951">
        <w:rPr>
          <w:rStyle w:val="af9"/>
          <w:rFonts w:hint="cs"/>
          <w:rtl/>
        </w:rPr>
        <w:t>הקצוה"ח</w:t>
      </w:r>
      <w:r>
        <w:rPr>
          <w:rFonts w:hint="cs"/>
          <w:rtl/>
        </w:rPr>
        <w:t>.</w:t>
      </w:r>
      <w:bookmarkEnd w:id="4470"/>
    </w:p>
    <w:p w:rsidR="00F163D7" w:rsidRPr="007F1A86" w:rsidRDefault="00F163D7" w:rsidP="00F163D7">
      <w:pPr>
        <w:pStyle w:val="afe"/>
        <w:rPr>
          <w:rtl/>
        </w:rPr>
      </w:pPr>
      <w:bookmarkStart w:id="4471" w:name="_Toc55991933"/>
      <w:bookmarkStart w:id="4472" w:name="_Toc56030482"/>
      <w:bookmarkStart w:id="4473" w:name="_Toc56032672"/>
      <w:r>
        <w:rPr>
          <w:rFonts w:hint="cs"/>
          <w:rtl/>
        </w:rPr>
        <w:t>ביאור הגר"ח בגדר החזקה לרבנן</w:t>
      </w:r>
      <w:bookmarkEnd w:id="4471"/>
      <w:bookmarkEnd w:id="4472"/>
      <w:bookmarkEnd w:id="4473"/>
    </w:p>
    <w:p w:rsidR="00F163D7" w:rsidRDefault="00F163D7" w:rsidP="00F163D7">
      <w:pPr>
        <w:pStyle w:val="1"/>
        <w:rPr>
          <w:rtl/>
        </w:rPr>
      </w:pPr>
      <w:bookmarkStart w:id="4474" w:name="_Toc55991934"/>
      <w:bookmarkStart w:id="4475" w:name="_Toc56030483"/>
      <w:bookmarkStart w:id="4476" w:name="_Toc56032673"/>
      <w:r>
        <w:rPr>
          <w:rFonts w:hint="cs"/>
          <w:rtl/>
        </w:rPr>
        <w:t>ביאור הגר"ח ברמב"ן דעיקר הראיה היא בשנה הראשונה</w:t>
      </w:r>
      <w:bookmarkEnd w:id="4474"/>
      <w:bookmarkEnd w:id="4475"/>
      <w:bookmarkEnd w:id="4476"/>
    </w:p>
    <w:p w:rsidR="00F163D7" w:rsidRDefault="00F163D7" w:rsidP="00F163D7">
      <w:pPr>
        <w:pStyle w:val="a3"/>
        <w:rPr>
          <w:rtl/>
        </w:rPr>
      </w:pPr>
      <w:bookmarkStart w:id="4477" w:name="_Toc55991935"/>
      <w:bookmarkStart w:id="4478" w:name="_Toc56030484"/>
      <w:bookmarkStart w:id="4479" w:name="_Toc56032674"/>
      <w:r>
        <w:rPr>
          <w:rFonts w:hint="cs"/>
          <w:rtl/>
        </w:rPr>
        <w:t>ביאור הגר"ח ברמב"ן דעיקר ראיית החזקה בשנה אחת ולכן ג' כיתות על ג"ש היא עדות אחת</w:t>
      </w:r>
      <w:bookmarkEnd w:id="4477"/>
      <w:bookmarkEnd w:id="4478"/>
      <w:bookmarkEnd w:id="4479"/>
    </w:p>
    <w:p w:rsidR="00F163D7" w:rsidRPr="00971CE9" w:rsidRDefault="00F163D7" w:rsidP="007E4E81">
      <w:pPr>
        <w:pStyle w:val="a0"/>
        <w:rPr>
          <w:sz w:val="10"/>
          <w:szCs w:val="14"/>
          <w:rtl/>
        </w:rPr>
      </w:pPr>
      <w:bookmarkStart w:id="4480" w:name="_Ref55986167"/>
      <w:r>
        <w:rPr>
          <w:rFonts w:hint="cs"/>
          <w:rtl/>
        </w:rPr>
        <w:t xml:space="preserve">במ"ש </w:t>
      </w:r>
      <w:r w:rsidRPr="00971CE9">
        <w:rPr>
          <w:rStyle w:val="af9"/>
          <w:rFonts w:hint="cs"/>
          <w:rtl/>
        </w:rPr>
        <w:t>הרמב"ן לקמן</w:t>
      </w:r>
      <w:r>
        <w:rPr>
          <w:rFonts w:hint="cs"/>
          <w:rtl/>
        </w:rPr>
        <w:t xml:space="preserve"> </w:t>
      </w:r>
      <w:r w:rsidRPr="00971CE9">
        <w:rPr>
          <w:rStyle w:val="af7"/>
          <w:rFonts w:eastAsia="Guttman Hodes" w:hint="cs"/>
          <w:rtl/>
        </w:rPr>
        <w:t xml:space="preserve">(עי' אות </w:t>
      </w:r>
      <w:r w:rsidRPr="00971CE9">
        <w:rPr>
          <w:rStyle w:val="af7"/>
          <w:rFonts w:eastAsia="Guttman Hodes"/>
          <w:rtl/>
        </w:rPr>
        <w:fldChar w:fldCharType="begin"/>
      </w:r>
      <w:r w:rsidRPr="00971CE9">
        <w:rPr>
          <w:rStyle w:val="af7"/>
          <w:rFonts w:eastAsia="Guttman Hodes"/>
          <w:rtl/>
        </w:rPr>
        <w:instrText xml:space="preserve"> </w:instrText>
      </w:r>
      <w:r w:rsidRPr="00971CE9">
        <w:rPr>
          <w:rStyle w:val="af7"/>
          <w:rFonts w:eastAsia="Guttman Hodes" w:hint="cs"/>
        </w:rPr>
        <w:instrText>REF</w:instrText>
      </w:r>
      <w:r w:rsidRPr="00971CE9">
        <w:rPr>
          <w:rStyle w:val="af7"/>
          <w:rFonts w:eastAsia="Guttman Hodes" w:hint="cs"/>
          <w:rtl/>
        </w:rPr>
        <w:instrText xml:space="preserve"> _</w:instrText>
      </w:r>
      <w:r w:rsidRPr="00971CE9">
        <w:rPr>
          <w:rStyle w:val="af7"/>
          <w:rFonts w:eastAsia="Guttman Hodes" w:hint="cs"/>
        </w:rPr>
        <w:instrText>Ref55986037 \r \h</w:instrText>
      </w:r>
      <w:r w:rsidRPr="00971CE9">
        <w:rPr>
          <w:rStyle w:val="af7"/>
          <w:rFonts w:eastAsia="Guttman Hodes"/>
          <w:rtl/>
        </w:rPr>
        <w:instrText xml:space="preserve"> </w:instrText>
      </w:r>
      <w:r w:rsidRPr="00971CE9">
        <w:rPr>
          <w:rStyle w:val="af7"/>
          <w:rFonts w:eastAsia="Guttman Hodes"/>
          <w:rtl/>
        </w:rPr>
      </w:r>
      <w:r w:rsidRPr="00971CE9">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971CE9">
        <w:rPr>
          <w:rStyle w:val="af7"/>
          <w:rFonts w:eastAsia="Guttman Hodes"/>
          <w:rtl/>
        </w:rPr>
        <w:fldChar w:fldCharType="end"/>
      </w:r>
      <w:r>
        <w:rPr>
          <w:rFonts w:hint="cs"/>
          <w:rtl/>
        </w:rPr>
        <w:t xml:space="preserve"> דג' כיתות עדים על ג"ש, חשיב עדות אחת, דהקרקע היא של המחזיק, ביאר </w:t>
      </w:r>
      <w:r w:rsidRPr="00971CE9">
        <w:rPr>
          <w:rStyle w:val="af9"/>
          <w:rFonts w:hint="cs"/>
          <w:rtl/>
        </w:rPr>
        <w:t>הגר"ח</w:t>
      </w:r>
      <w:r>
        <w:rPr>
          <w:rFonts w:hint="cs"/>
          <w:rtl/>
        </w:rPr>
        <w:t xml:space="preserve"> </w:t>
      </w:r>
      <w:r w:rsidRPr="00971CE9">
        <w:rPr>
          <w:rStyle w:val="af7"/>
          <w:rFonts w:eastAsia="Guttman Hodes" w:hint="cs"/>
          <w:rtl/>
        </w:rPr>
        <w:t>(מגנזי הגר"ח סי' נ"ד ד"ה אכן)</w:t>
      </w:r>
      <w:r>
        <w:rPr>
          <w:rFonts w:hint="cs"/>
          <w:rtl/>
        </w:rPr>
        <w:t xml:space="preserve"> דכיון דס"ל </w:t>
      </w:r>
      <w:r w:rsidRPr="00971CE9">
        <w:rPr>
          <w:rStyle w:val="af9"/>
          <w:rFonts w:hint="cs"/>
          <w:rtl/>
        </w:rPr>
        <w:t>להרמב"ן</w:t>
      </w:r>
      <w:r>
        <w:rPr>
          <w:rFonts w:hint="cs"/>
          <w:rtl/>
        </w:rPr>
        <w:t xml:space="preserve"> </w:t>
      </w:r>
      <w:r w:rsidRPr="00971CE9">
        <w:rPr>
          <w:rStyle w:val="af7"/>
          <w:rFonts w:eastAsia="Guttman Hodes" w:hint="cs"/>
          <w:rtl/>
        </w:rPr>
        <w:t xml:space="preserve">(עי' אות </w:t>
      </w:r>
      <w:r w:rsidRPr="00971CE9">
        <w:rPr>
          <w:rStyle w:val="af7"/>
          <w:rFonts w:eastAsia="Guttman Hodes"/>
          <w:rtl/>
        </w:rPr>
        <w:fldChar w:fldCharType="begin"/>
      </w:r>
      <w:r w:rsidRPr="00971CE9">
        <w:rPr>
          <w:rStyle w:val="af7"/>
          <w:rFonts w:eastAsia="Guttman Hodes"/>
          <w:rtl/>
        </w:rPr>
        <w:instrText xml:space="preserve"> </w:instrText>
      </w:r>
      <w:r w:rsidRPr="00971CE9">
        <w:rPr>
          <w:rStyle w:val="af7"/>
          <w:rFonts w:eastAsia="Guttman Hodes" w:hint="cs"/>
        </w:rPr>
        <w:instrText>REF</w:instrText>
      </w:r>
      <w:r w:rsidRPr="00971CE9">
        <w:rPr>
          <w:rStyle w:val="af7"/>
          <w:rFonts w:eastAsia="Guttman Hodes" w:hint="cs"/>
          <w:rtl/>
        </w:rPr>
        <w:instrText xml:space="preserve"> _</w:instrText>
      </w:r>
      <w:r w:rsidRPr="00971CE9">
        <w:rPr>
          <w:rStyle w:val="af7"/>
          <w:rFonts w:eastAsia="Guttman Hodes" w:hint="cs"/>
        </w:rPr>
        <w:instrText>Ref55940285 \r \h</w:instrText>
      </w:r>
      <w:r w:rsidRPr="00971CE9">
        <w:rPr>
          <w:rStyle w:val="af7"/>
          <w:rFonts w:eastAsia="Guttman Hodes"/>
          <w:rtl/>
        </w:rPr>
        <w:instrText xml:space="preserve"> </w:instrText>
      </w:r>
      <w:r w:rsidRPr="00971CE9">
        <w:rPr>
          <w:rStyle w:val="af7"/>
          <w:rFonts w:eastAsia="Guttman Hodes"/>
          <w:rtl/>
        </w:rPr>
      </w:r>
      <w:r w:rsidRPr="00971CE9">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971CE9">
        <w:rPr>
          <w:rStyle w:val="af7"/>
          <w:rFonts w:eastAsia="Guttman Hodes"/>
          <w:rtl/>
        </w:rPr>
        <w:fldChar w:fldCharType="end"/>
      </w:r>
      <w:r>
        <w:rPr>
          <w:rFonts w:hint="cs"/>
          <w:rtl/>
        </w:rPr>
        <w:t xml:space="preserve"> דעיקר החזקה היא בשנה הראשונה, אלא דאף שיש לו חזקה שמסייעת לו וטענת לקוח הוא בידי, מ"מ צריך ג"ש מחמת טענת אחוי שטרך, ולאחר ג"ש שאין ריעותא מהני החזקה, ממילא בעדות של ג' כיתות עדים על ג"ש, כל כת וכת בפנ"ע מעידה על חזקה שלימה, ורק לענין הריעותא דאחוי שטרך, הם מעידים על חצי דבר. </w:t>
      </w:r>
      <w:r w:rsidRPr="00971CE9">
        <w:rPr>
          <w:rStyle w:val="afb"/>
          <w:rFonts w:hint="cs"/>
          <w:rtl/>
        </w:rPr>
        <w:t xml:space="preserve">[אך כתב </w:t>
      </w:r>
      <w:r w:rsidRPr="00971CE9">
        <w:rPr>
          <w:rStyle w:val="affa"/>
          <w:rFonts w:hint="cs"/>
          <w:rtl/>
        </w:rPr>
        <w:t>הגר"ח</w:t>
      </w:r>
      <w:r w:rsidRPr="00971CE9">
        <w:rPr>
          <w:rStyle w:val="afb"/>
          <w:rFonts w:hint="cs"/>
          <w:rtl/>
        </w:rPr>
        <w:t xml:space="preserve"> דלהולכי אושא דילפינן חזקה משור המועד, א"כ החזקה נגמרת רק לאחר ג"ש, ועדות על שנה אחת היא חצי דבר].</w:t>
      </w:r>
      <w:bookmarkEnd w:id="4480"/>
    </w:p>
    <w:p w:rsidR="00F163D7" w:rsidRPr="001160AF" w:rsidRDefault="00F163D7" w:rsidP="00F163D7">
      <w:pPr>
        <w:pStyle w:val="a3"/>
      </w:pPr>
      <w:bookmarkStart w:id="4481" w:name="_Toc55839504"/>
      <w:bookmarkStart w:id="4482" w:name="_Toc55927881"/>
      <w:bookmarkStart w:id="4483" w:name="_Toc55946607"/>
      <w:bookmarkStart w:id="4484" w:name="_Toc55991936"/>
      <w:bookmarkStart w:id="4485" w:name="_Toc56030485"/>
      <w:bookmarkStart w:id="4486" w:name="_Toc56032675"/>
      <w:bookmarkStart w:id="4487" w:name="_Toc55839501"/>
      <w:r>
        <w:rPr>
          <w:rFonts w:hint="cs"/>
          <w:rtl/>
        </w:rPr>
        <w:t>דברי הגר"ח דלרבנן החזקה היא מחמת שלא מחה המערער ואין המחזיק עושה את החזקה</w:t>
      </w:r>
      <w:bookmarkEnd w:id="4481"/>
      <w:bookmarkEnd w:id="4482"/>
      <w:bookmarkEnd w:id="4483"/>
      <w:bookmarkEnd w:id="4484"/>
      <w:bookmarkEnd w:id="4485"/>
      <w:bookmarkEnd w:id="4486"/>
    </w:p>
    <w:p w:rsidR="00F163D7" w:rsidRDefault="00F163D7" w:rsidP="007E4E81">
      <w:pPr>
        <w:pStyle w:val="a0"/>
        <w:rPr>
          <w:rStyle w:val="afb"/>
          <w:rtl/>
        </w:rPr>
      </w:pPr>
      <w:r>
        <w:rPr>
          <w:rFonts w:hint="cs"/>
          <w:rtl/>
        </w:rPr>
        <w:t xml:space="preserve">ועוד כתב </w:t>
      </w:r>
      <w:r w:rsidRPr="00E377FA">
        <w:rPr>
          <w:rStyle w:val="af9"/>
          <w:rFonts w:hint="cs"/>
          <w:rtl/>
        </w:rPr>
        <w:t>הגר"ח</w:t>
      </w:r>
      <w:r w:rsidRPr="00700E0D">
        <w:rPr>
          <w:rStyle w:val="af7"/>
          <w:rFonts w:eastAsia="Guttman Hodes" w:hint="cs"/>
          <w:rtl/>
        </w:rPr>
        <w:t xml:space="preserve"> (שיעורי רבינו חיים הלוי עמ"ס ב"ב כט.) </w:t>
      </w:r>
      <w:r>
        <w:rPr>
          <w:rFonts w:hint="cs"/>
          <w:rtl/>
        </w:rPr>
        <w:t xml:space="preserve">דלדעת רבנן דטעמא דחזקה הוא דעד ג"ש אדם נזהר בשטרו, א"כ עיקר החזקה היא מחמת שלא מחה בו המערער שישמור את שטרו, והחזקה היא ע"י שהמערער לא מחה במי שדר בביתו, והמחזיק אינו עושה את החזקה. </w:t>
      </w:r>
      <w:r w:rsidRPr="00321556">
        <w:rPr>
          <w:rStyle w:val="afb"/>
          <w:rFonts w:hint="cs"/>
          <w:rtl/>
        </w:rPr>
        <w:t xml:space="preserve">[ולכן </w:t>
      </w:r>
      <w:r>
        <w:rPr>
          <w:rStyle w:val="afb"/>
          <w:rFonts w:hint="cs"/>
          <w:rtl/>
        </w:rPr>
        <w:t xml:space="preserve">כתב </w:t>
      </w:r>
      <w:r w:rsidRPr="001160AF">
        <w:rPr>
          <w:rStyle w:val="affa"/>
          <w:rFonts w:hint="cs"/>
          <w:rtl/>
        </w:rPr>
        <w:t>הגר"ח</w:t>
      </w:r>
      <w:r>
        <w:rPr>
          <w:rStyle w:val="afb"/>
          <w:rFonts w:hint="cs"/>
          <w:rtl/>
        </w:rPr>
        <w:t xml:space="preserve"> ד</w:t>
      </w:r>
      <w:r w:rsidRPr="00321556">
        <w:rPr>
          <w:rStyle w:val="afb"/>
          <w:rFonts w:hint="cs"/>
          <w:rtl/>
        </w:rPr>
        <w:t xml:space="preserve">כל שלא ידע המערער במי למחות לא הוי חזקה כלל, ועיי"ש במ"ש </w:t>
      </w:r>
      <w:r w:rsidRPr="00E377FA">
        <w:rPr>
          <w:rStyle w:val="affa"/>
          <w:rFonts w:hint="cs"/>
          <w:rtl/>
        </w:rPr>
        <w:t>הגר"ח</w:t>
      </w:r>
      <w:r w:rsidRPr="00321556">
        <w:rPr>
          <w:rStyle w:val="afb"/>
          <w:rFonts w:hint="cs"/>
          <w:rtl/>
        </w:rPr>
        <w:t xml:space="preserve"> דנ"מ אי השוכרים נאמנים להעיד על החזקה, דלהולכי אושא שהמחזיק עושה את החזקה, הם נאמנים, אבל לרבנן שהם בדירתם בבית גורמים לחזקה, אינם יכולים להעיד</w:t>
      </w:r>
      <w:r w:rsidRPr="00112B99">
        <w:rPr>
          <w:rStyle w:val="afb"/>
          <w:rFonts w:hint="cs"/>
          <w:rtl/>
        </w:rPr>
        <w:t xml:space="preserve">, ועיי"ש במ"ש </w:t>
      </w:r>
      <w:r w:rsidRPr="00112B99">
        <w:rPr>
          <w:rStyle w:val="affa"/>
          <w:rFonts w:hint="cs"/>
          <w:rtl/>
        </w:rPr>
        <w:t>הגר"ח</w:t>
      </w:r>
      <w:r w:rsidRPr="00112B99">
        <w:rPr>
          <w:rStyle w:val="afb"/>
          <w:rFonts w:hint="cs"/>
          <w:rtl/>
        </w:rPr>
        <w:t xml:space="preserve"> </w:t>
      </w:r>
      <w:r w:rsidRPr="00112B99">
        <w:rPr>
          <w:rStyle w:val="aff6"/>
          <w:rFonts w:hint="cs"/>
          <w:rtl/>
        </w:rPr>
        <w:t>(הובא בסימן ג' אות ע"ח)</w:t>
      </w:r>
      <w:r w:rsidRPr="00112B99">
        <w:rPr>
          <w:rStyle w:val="afb"/>
          <w:rFonts w:hint="cs"/>
          <w:rtl/>
        </w:rPr>
        <w:t xml:space="preserve"> דלהולכי אושא לאחר ג"ש </w:t>
      </w:r>
      <w:r w:rsidRPr="00112B99">
        <w:rPr>
          <w:rStyle w:val="afb"/>
          <w:rFonts w:hint="cs"/>
          <w:rtl/>
        </w:rPr>
        <w:lastRenderedPageBreak/>
        <w:t>נעשה המחזיק למוחזק, והקרקע עומדת ברשות המחזיק, לכן הוא נאמן בכל טענותיו, ואין החזקה תלויה במחאת המערער כלל, דהמחזיק עצמו הוא עושה את החזקה].</w:t>
      </w:r>
    </w:p>
    <w:p w:rsidR="00F163D7" w:rsidRDefault="00F163D7" w:rsidP="00F163D7">
      <w:pPr>
        <w:pStyle w:val="1"/>
        <w:rPr>
          <w:rtl/>
        </w:rPr>
      </w:pPr>
      <w:bookmarkStart w:id="4488" w:name="_Toc55927880"/>
      <w:bookmarkStart w:id="4489" w:name="_Toc55946606"/>
      <w:bookmarkStart w:id="4490" w:name="_Toc55991937"/>
      <w:bookmarkStart w:id="4491" w:name="_Toc56030486"/>
      <w:bookmarkStart w:id="4492" w:name="_Toc56032676"/>
      <w:bookmarkStart w:id="4493" w:name="_Toc55927882"/>
      <w:bookmarkStart w:id="4494" w:name="_Toc55946608"/>
      <w:r>
        <w:rPr>
          <w:rFonts w:hint="cs"/>
          <w:rtl/>
        </w:rPr>
        <w:t xml:space="preserve">דברי הגר"ח </w:t>
      </w:r>
      <w:bookmarkEnd w:id="4488"/>
      <w:bookmarkEnd w:id="4489"/>
      <w:r>
        <w:rPr>
          <w:rFonts w:hint="cs"/>
          <w:rtl/>
        </w:rPr>
        <w:t>דלרבנן הראיה בחזקה מהני אף כנגד המוחזק</w:t>
      </w:r>
      <w:bookmarkEnd w:id="4490"/>
      <w:bookmarkEnd w:id="4491"/>
      <w:bookmarkEnd w:id="4492"/>
    </w:p>
    <w:p w:rsidR="00F163D7" w:rsidRDefault="00F163D7" w:rsidP="00F163D7">
      <w:pPr>
        <w:pStyle w:val="a3"/>
        <w:rPr>
          <w:rtl/>
        </w:rPr>
      </w:pPr>
      <w:bookmarkStart w:id="4495" w:name="_Toc55991938"/>
      <w:bookmarkStart w:id="4496" w:name="_Toc56030487"/>
      <w:bookmarkStart w:id="4497" w:name="_Toc56032677"/>
      <w:r>
        <w:rPr>
          <w:rFonts w:hint="cs"/>
          <w:rtl/>
        </w:rPr>
        <w:t>דברי הגר"ח דלרבנן בחזקת ג"ש אינה יוצאת מהמר"ק והיא רק ראיה דמערער מכר למחזיק</w:t>
      </w:r>
      <w:bookmarkEnd w:id="4487"/>
      <w:bookmarkEnd w:id="4493"/>
      <w:bookmarkEnd w:id="4494"/>
      <w:bookmarkEnd w:id="4495"/>
      <w:bookmarkEnd w:id="4496"/>
      <w:bookmarkEnd w:id="4497"/>
    </w:p>
    <w:p w:rsidR="00F163D7" w:rsidRPr="00454635" w:rsidRDefault="00F163D7" w:rsidP="007E4E81">
      <w:pPr>
        <w:pStyle w:val="a0"/>
        <w:rPr>
          <w:rStyle w:val="afb"/>
          <w:rtl/>
        </w:rPr>
      </w:pPr>
      <w:r>
        <w:rPr>
          <w:rFonts w:hint="cs"/>
          <w:rtl/>
        </w:rPr>
        <w:t xml:space="preserve">כתב </w:t>
      </w:r>
      <w:r w:rsidRPr="00E377FA">
        <w:rPr>
          <w:rStyle w:val="af9"/>
          <w:rFonts w:hint="cs"/>
          <w:rtl/>
        </w:rPr>
        <w:t>בחו"ש הגרב"ב</w:t>
      </w:r>
      <w:r>
        <w:rPr>
          <w:rFonts w:hint="cs"/>
          <w:rtl/>
        </w:rPr>
        <w:t xml:space="preserve"> </w:t>
      </w:r>
      <w:r w:rsidRPr="00783B3F">
        <w:rPr>
          <w:rStyle w:val="af7"/>
          <w:rFonts w:eastAsia="Guttman Hodes" w:hint="cs"/>
          <w:rtl/>
        </w:rPr>
        <w:t>(ח"א סי' ז'</w:t>
      </w:r>
      <w:r>
        <w:rPr>
          <w:rStyle w:val="af7"/>
          <w:rFonts w:eastAsia="Guttman Hodes" w:hint="cs"/>
          <w:rtl/>
        </w:rPr>
        <w:t xml:space="preserve"> ד"ה ומקודם</w:t>
      </w:r>
      <w:r w:rsidRPr="00783B3F">
        <w:rPr>
          <w:rStyle w:val="af7"/>
          <w:rFonts w:eastAsia="Guttman Hodes" w:hint="cs"/>
          <w:rtl/>
        </w:rPr>
        <w:t>)</w:t>
      </w:r>
      <w:r>
        <w:rPr>
          <w:rFonts w:hint="cs"/>
          <w:rtl/>
        </w:rPr>
        <w:t xml:space="preserve"> בשם </w:t>
      </w:r>
      <w:r w:rsidRPr="00E377FA">
        <w:rPr>
          <w:rStyle w:val="af9"/>
          <w:rFonts w:hint="cs"/>
          <w:rtl/>
        </w:rPr>
        <w:t>הגר"ח</w:t>
      </w:r>
      <w:r>
        <w:rPr>
          <w:rFonts w:hint="cs"/>
          <w:rtl/>
        </w:rPr>
        <w:t xml:space="preserve"> דלדעת רבנן דטעמא דחזקה הוא דעד ג"ש אדם נזהר בשטרו, הקרקע לא יצאה מחזקת המרא קמא, והוא נחשב למוחזק, אלא שיש למחזיק ראיה שהקרקע שלו, כיון שלא מיחה בו המרא קמא כשהחזיק ג"ש, ומוכח דהמרא קמא מכר לו את הקרקע, ומהני ראית חזקת ג"ש להוציא את הקרקע מהמרא קמא אף שהוא המוחזק, דכיון דלאחר ג"ש אין אדם נזהר בשטרו, א"כ החזקה היא במקום השטר. </w:t>
      </w:r>
      <w:r w:rsidRPr="00454635">
        <w:rPr>
          <w:rStyle w:val="afb"/>
          <w:rFonts w:hint="cs"/>
          <w:rtl/>
        </w:rPr>
        <w:t>[ועיי"ש במ"ש</w:t>
      </w:r>
      <w:r w:rsidRPr="00454635">
        <w:rPr>
          <w:rStyle w:val="affa"/>
          <w:rFonts w:hint="cs"/>
          <w:rtl/>
        </w:rPr>
        <w:t xml:space="preserve"> בחו"ש הגרב"ב </w:t>
      </w:r>
      <w:r w:rsidRPr="00454635">
        <w:rPr>
          <w:rStyle w:val="aff6"/>
          <w:rFonts w:hint="cs"/>
          <w:rtl/>
        </w:rPr>
        <w:t>(הובא בסימן ג' אות ע"ה)</w:t>
      </w:r>
      <w:r w:rsidRPr="00454635">
        <w:rPr>
          <w:rStyle w:val="afb"/>
          <w:rFonts w:hint="cs"/>
          <w:rtl/>
        </w:rPr>
        <w:t xml:space="preserve"> בשם </w:t>
      </w:r>
      <w:r w:rsidRPr="00454635">
        <w:rPr>
          <w:rStyle w:val="affa"/>
          <w:rFonts w:hint="cs"/>
          <w:rtl/>
        </w:rPr>
        <w:t xml:space="preserve">הגר"ח </w:t>
      </w:r>
      <w:r w:rsidRPr="00454635">
        <w:rPr>
          <w:rStyle w:val="afb"/>
          <w:rFonts w:hint="cs"/>
          <w:rtl/>
        </w:rPr>
        <w:t>דלדעת הולכי אושא הקרקע יצאה מחזקת המרא קמא לחזקת המחזיק].</w:t>
      </w:r>
    </w:p>
    <w:p w:rsidR="00F163D7" w:rsidRDefault="00F163D7" w:rsidP="00F163D7">
      <w:pPr>
        <w:pStyle w:val="afe"/>
        <w:rPr>
          <w:rtl/>
        </w:rPr>
      </w:pPr>
      <w:bookmarkStart w:id="4498" w:name="_Toc55927883"/>
      <w:bookmarkStart w:id="4499" w:name="_Toc55946609"/>
      <w:bookmarkStart w:id="4500" w:name="_Toc55991939"/>
      <w:bookmarkStart w:id="4501" w:name="_Toc56030488"/>
      <w:bookmarkStart w:id="4502" w:name="_Toc56032678"/>
      <w:r>
        <w:rPr>
          <w:rFonts w:hint="cs"/>
          <w:rtl/>
        </w:rPr>
        <w:t>בי' רבי ראובן והקה"י דהראיה אחר ג"ש</w:t>
      </w:r>
      <w:bookmarkEnd w:id="4498"/>
      <w:bookmarkEnd w:id="4499"/>
      <w:bookmarkEnd w:id="4500"/>
      <w:bookmarkEnd w:id="4501"/>
      <w:bookmarkEnd w:id="4502"/>
    </w:p>
    <w:p w:rsidR="00F163D7" w:rsidRPr="007B7205" w:rsidRDefault="00F163D7" w:rsidP="00F163D7">
      <w:pPr>
        <w:pStyle w:val="1"/>
        <w:rPr>
          <w:rtl/>
        </w:rPr>
      </w:pPr>
      <w:bookmarkStart w:id="4503" w:name="_Toc55991941"/>
      <w:bookmarkStart w:id="4504" w:name="_Toc56030490"/>
      <w:bookmarkStart w:id="4505" w:name="_Toc56032679"/>
      <w:bookmarkEnd w:id="4432"/>
      <w:bookmarkEnd w:id="4433"/>
      <w:bookmarkEnd w:id="4434"/>
      <w:bookmarkEnd w:id="4435"/>
      <w:bookmarkEnd w:id="4436"/>
      <w:r>
        <w:rPr>
          <w:rFonts w:hint="cs"/>
          <w:rtl/>
        </w:rPr>
        <w:t>ביאור רבי ראובן ברמב"ן דאחר תקנת ג"ש ההוכחה היא בג"ש</w:t>
      </w:r>
      <w:bookmarkEnd w:id="4503"/>
      <w:bookmarkEnd w:id="4504"/>
      <w:bookmarkEnd w:id="4505"/>
    </w:p>
    <w:p w:rsidR="00F163D7" w:rsidRDefault="00F163D7" w:rsidP="00F163D7">
      <w:pPr>
        <w:pStyle w:val="a3"/>
      </w:pPr>
      <w:bookmarkStart w:id="4506" w:name="_Toc56032680"/>
      <w:r>
        <w:rPr>
          <w:rFonts w:hint="cs"/>
          <w:rtl/>
        </w:rPr>
        <w:t>קושית רבי ראובן על הרמב"ן דאמאי מהני מחאה כשלא שמע המחזיק הא א"צ להזהר בשטר</w:t>
      </w:r>
      <w:bookmarkEnd w:id="4506"/>
    </w:p>
    <w:p w:rsidR="00F163D7" w:rsidRDefault="00F163D7" w:rsidP="007E4E81">
      <w:pPr>
        <w:pStyle w:val="a0"/>
        <w:rPr>
          <w:rStyle w:val="afb"/>
          <w:rtl/>
        </w:rPr>
      </w:pPr>
      <w:r>
        <w:rPr>
          <w:rFonts w:hint="cs"/>
          <w:rtl/>
        </w:rPr>
        <w:t xml:space="preserve">במ"ש </w:t>
      </w:r>
      <w:r w:rsidRPr="00991D1E">
        <w:rPr>
          <w:rStyle w:val="af9"/>
          <w:rFonts w:hint="cs"/>
          <w:rtl/>
        </w:rPr>
        <w:t>הרמב"ן</w:t>
      </w:r>
      <w:r>
        <w:rPr>
          <w:rStyle w:val="af9"/>
          <w:rFonts w:hint="cs"/>
          <w:rtl/>
        </w:rPr>
        <w:t xml:space="preserve"> לקמן</w:t>
      </w:r>
      <w:r w:rsidRPr="00771E64">
        <w:rPr>
          <w:rStyle w:val="af7"/>
          <w:rFonts w:eastAsia="Guttman Hodes" w:hint="cs"/>
          <w:rtl/>
        </w:rPr>
        <w:t xml:space="preserve"> (עי' אות </w:t>
      </w:r>
      <w:r w:rsidRPr="00771E64">
        <w:rPr>
          <w:rStyle w:val="af7"/>
          <w:rFonts w:eastAsia="Guttman Hodes"/>
          <w:rtl/>
        </w:rPr>
        <w:fldChar w:fldCharType="begin"/>
      </w:r>
      <w:r w:rsidRPr="00771E64">
        <w:rPr>
          <w:rStyle w:val="af7"/>
          <w:rFonts w:eastAsia="Guttman Hodes"/>
          <w:rtl/>
        </w:rPr>
        <w:instrText xml:space="preserve"> </w:instrText>
      </w:r>
      <w:r w:rsidRPr="00771E64">
        <w:rPr>
          <w:rStyle w:val="af7"/>
          <w:rFonts w:eastAsia="Guttman Hodes" w:hint="cs"/>
        </w:rPr>
        <w:instrText>REF</w:instrText>
      </w:r>
      <w:r w:rsidRPr="00771E64">
        <w:rPr>
          <w:rStyle w:val="af7"/>
          <w:rFonts w:eastAsia="Guttman Hodes" w:hint="cs"/>
          <w:rtl/>
        </w:rPr>
        <w:instrText xml:space="preserve"> _</w:instrText>
      </w:r>
      <w:r w:rsidRPr="00771E64">
        <w:rPr>
          <w:rStyle w:val="af7"/>
          <w:rFonts w:eastAsia="Guttman Hodes" w:hint="cs"/>
        </w:rPr>
        <w:instrText>Ref55940285 \r \h</w:instrText>
      </w:r>
      <w:r w:rsidRPr="00771E64">
        <w:rPr>
          <w:rStyle w:val="af7"/>
          <w:rFonts w:eastAsia="Guttman Hodes"/>
          <w:rtl/>
        </w:rPr>
        <w:instrText xml:space="preserve"> </w:instrText>
      </w:r>
      <w:r w:rsidRPr="00771E64">
        <w:rPr>
          <w:rStyle w:val="af7"/>
          <w:rFonts w:eastAsia="Guttman Hodes"/>
          <w:rtl/>
        </w:rPr>
      </w:r>
      <w:r w:rsidRPr="00771E64">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771E64">
        <w:rPr>
          <w:rStyle w:val="af7"/>
          <w:rFonts w:eastAsia="Guttman Hodes"/>
          <w:rtl/>
        </w:rPr>
        <w:fldChar w:fldCharType="end"/>
      </w:r>
      <w:r w:rsidRPr="00771E64">
        <w:rPr>
          <w:rStyle w:val="af7"/>
          <w:rFonts w:eastAsia="Guttman Hodes" w:hint="cs"/>
          <w:rtl/>
        </w:rPr>
        <w:t xml:space="preserve"> </w:t>
      </w:r>
      <w:r>
        <w:rPr>
          <w:rFonts w:hint="cs"/>
          <w:rtl/>
        </w:rPr>
        <w:t xml:space="preserve">דטעמא דחזקת ג"ש היא דכיון ששתק יש רגלים לדבר שמכר לו, אלא דבתוך ג"ש אמרינן אחוי שטרך, הביא </w:t>
      </w:r>
      <w:r w:rsidRPr="00991D1E">
        <w:rPr>
          <w:rStyle w:val="af9"/>
          <w:rFonts w:hint="cs"/>
          <w:rtl/>
        </w:rPr>
        <w:t xml:space="preserve">בחי' רבי ראובן </w:t>
      </w:r>
      <w:r w:rsidRPr="00796B70">
        <w:rPr>
          <w:rStyle w:val="af7"/>
          <w:rFonts w:eastAsia="Guttman Hodes" w:hint="cs"/>
          <w:rtl/>
        </w:rPr>
        <w:t>(סי' י"א ד"ה שי' הרמב"ן)</w:t>
      </w:r>
      <w:r>
        <w:rPr>
          <w:rFonts w:hint="cs"/>
          <w:rtl/>
        </w:rPr>
        <w:t xml:space="preserve"> את קושית </w:t>
      </w:r>
      <w:r w:rsidRPr="00991D1E">
        <w:rPr>
          <w:rStyle w:val="af9"/>
          <w:rFonts w:hint="cs"/>
          <w:rtl/>
        </w:rPr>
        <w:t xml:space="preserve">הקצוה"ח </w:t>
      </w:r>
      <w:r w:rsidRPr="00AB287C">
        <w:rPr>
          <w:rStyle w:val="af7"/>
          <w:rFonts w:eastAsia="Guttman Hodes" w:hint="cs"/>
          <w:rtl/>
        </w:rPr>
        <w:t xml:space="preserve">(עי' אות </w:t>
      </w:r>
      <w:r w:rsidRPr="00AB287C">
        <w:rPr>
          <w:rStyle w:val="af7"/>
          <w:rFonts w:eastAsia="Guttman Hodes"/>
          <w:rtl/>
        </w:rPr>
        <w:fldChar w:fldCharType="begin"/>
      </w:r>
      <w:r w:rsidRPr="00AB287C">
        <w:rPr>
          <w:rStyle w:val="af7"/>
          <w:rFonts w:eastAsia="Guttman Hodes"/>
          <w:rtl/>
        </w:rPr>
        <w:instrText xml:space="preserve"> </w:instrText>
      </w:r>
      <w:r w:rsidRPr="00AB287C">
        <w:rPr>
          <w:rStyle w:val="af7"/>
          <w:rFonts w:eastAsia="Guttman Hodes" w:hint="cs"/>
        </w:rPr>
        <w:instrText>REF</w:instrText>
      </w:r>
      <w:r w:rsidRPr="00AB287C">
        <w:rPr>
          <w:rStyle w:val="af7"/>
          <w:rFonts w:eastAsia="Guttman Hodes" w:hint="cs"/>
          <w:rtl/>
        </w:rPr>
        <w:instrText xml:space="preserve"> _</w:instrText>
      </w:r>
      <w:r w:rsidRPr="00AB287C">
        <w:rPr>
          <w:rStyle w:val="af7"/>
          <w:rFonts w:eastAsia="Guttman Hodes" w:hint="cs"/>
        </w:rPr>
        <w:instrText>Ref55749815 \r \h</w:instrText>
      </w:r>
      <w:r w:rsidRPr="00AB287C">
        <w:rPr>
          <w:rStyle w:val="af7"/>
          <w:rFonts w:eastAsia="Guttman Hodes"/>
          <w:rtl/>
        </w:rPr>
        <w:instrText xml:space="preserve"> </w:instrText>
      </w:r>
      <w:r w:rsidRPr="00AB287C">
        <w:rPr>
          <w:rStyle w:val="af7"/>
          <w:rFonts w:eastAsia="Guttman Hodes"/>
          <w:rtl/>
        </w:rPr>
      </w:r>
      <w:r w:rsidRPr="00AB287C">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AB287C">
        <w:rPr>
          <w:rStyle w:val="af7"/>
          <w:rFonts w:eastAsia="Guttman Hodes"/>
          <w:rtl/>
        </w:rPr>
        <w:fldChar w:fldCharType="end"/>
      </w:r>
      <w:r>
        <w:rPr>
          <w:rFonts w:hint="cs"/>
          <w:rtl/>
        </w:rPr>
        <w:t xml:space="preserve"> מעבד קטן, ועוד הקשה </w:t>
      </w:r>
      <w:r w:rsidRPr="00991D1E">
        <w:rPr>
          <w:rStyle w:val="af9"/>
          <w:rFonts w:hint="cs"/>
          <w:rtl/>
        </w:rPr>
        <w:t>בחי' רבי ראובן</w:t>
      </w:r>
      <w:r>
        <w:rPr>
          <w:rFonts w:hint="cs"/>
          <w:rtl/>
        </w:rPr>
        <w:t xml:space="preserve"> דלדעת </w:t>
      </w:r>
      <w:r w:rsidRPr="00D43AE7">
        <w:rPr>
          <w:rStyle w:val="af9"/>
          <w:rFonts w:hint="cs"/>
          <w:rtl/>
        </w:rPr>
        <w:t>הרמב"</w:t>
      </w:r>
      <w:r>
        <w:rPr>
          <w:rStyle w:val="af9"/>
          <w:rFonts w:hint="cs"/>
          <w:rtl/>
        </w:rPr>
        <w:t>ן</w:t>
      </w:r>
      <w:r>
        <w:rPr>
          <w:rFonts w:hint="cs"/>
          <w:rtl/>
        </w:rPr>
        <w:t xml:space="preserve"> היאך אפש"ל כדברי </w:t>
      </w:r>
      <w:r w:rsidRPr="002A1F78">
        <w:rPr>
          <w:rStyle w:val="af9"/>
          <w:rFonts w:hint="cs"/>
          <w:rtl/>
        </w:rPr>
        <w:t>הנימוק"י</w:t>
      </w:r>
      <w:r w:rsidRPr="004955E2">
        <w:rPr>
          <w:rStyle w:val="af7"/>
          <w:rFonts w:eastAsia="Guttman Hodes" w:hint="cs"/>
          <w:rtl/>
        </w:rPr>
        <w:t xml:space="preserve"> (יד</w:t>
      </w:r>
      <w:r w:rsidRPr="002A1F78">
        <w:rPr>
          <w:rStyle w:val="af7"/>
          <w:rFonts w:eastAsia="Guttman Hodes" w:hint="cs"/>
          <w:rtl/>
        </w:rPr>
        <w:t>. מדה"ר ד"ה דא"ל</w:t>
      </w:r>
      <w:r>
        <w:rPr>
          <w:rStyle w:val="af7"/>
          <w:rFonts w:eastAsia="Guttman Hodes" w:hint="cs"/>
          <w:rtl/>
        </w:rPr>
        <w:t>, הובא בסימן ד' אות ס"ה)</w:t>
      </w:r>
      <w:r w:rsidR="00A77F33">
        <w:rPr>
          <w:rFonts w:hint="cs"/>
          <w:rtl/>
        </w:rPr>
        <w:t xml:space="preserve"> </w:t>
      </w:r>
      <w:r>
        <w:rPr>
          <w:rStyle w:val="af9"/>
          <w:rFonts w:hint="cs"/>
          <w:rtl/>
        </w:rPr>
        <w:t>ו</w:t>
      </w:r>
      <w:r w:rsidRPr="002A1F78">
        <w:rPr>
          <w:rStyle w:val="af9"/>
          <w:rFonts w:hint="cs"/>
          <w:rtl/>
        </w:rPr>
        <w:t xml:space="preserve">הרשב"ם לקמן </w:t>
      </w:r>
      <w:r w:rsidRPr="002A1F78">
        <w:rPr>
          <w:rStyle w:val="af7"/>
          <w:rFonts w:eastAsia="Guttman Hodes" w:hint="cs"/>
          <w:rtl/>
        </w:rPr>
        <w:t>(לט. ד"ה מחאה</w:t>
      </w:r>
      <w:r>
        <w:rPr>
          <w:rStyle w:val="af7"/>
          <w:rFonts w:eastAsia="Guttman Hodes" w:hint="cs"/>
          <w:rtl/>
        </w:rPr>
        <w:t>, הובא בסימן ד' אות ע')</w:t>
      </w:r>
      <w:r w:rsidRPr="001D1883">
        <w:rPr>
          <w:rFonts w:hint="cs"/>
          <w:rtl/>
        </w:rPr>
        <w:t xml:space="preserve"> </w:t>
      </w:r>
      <w:r>
        <w:rPr>
          <w:rStyle w:val="af9"/>
          <w:rFonts w:hint="cs"/>
          <w:rtl/>
        </w:rPr>
        <w:t>וה</w:t>
      </w:r>
      <w:r w:rsidRPr="003331E8">
        <w:rPr>
          <w:rStyle w:val="af9"/>
          <w:rFonts w:hint="cs"/>
          <w:rtl/>
        </w:rPr>
        <w:t>ר"ן בתשו'</w:t>
      </w:r>
      <w:r w:rsidRPr="00E2793B">
        <w:rPr>
          <w:rStyle w:val="aff6"/>
          <w:rFonts w:hint="cs"/>
          <w:rtl/>
        </w:rPr>
        <w:t xml:space="preserve"> </w:t>
      </w:r>
      <w:r w:rsidRPr="003331E8">
        <w:rPr>
          <w:rStyle w:val="af7"/>
          <w:rFonts w:eastAsia="Guttman Rashi" w:hint="cs"/>
          <w:rtl/>
        </w:rPr>
        <w:t xml:space="preserve">(עי' אות </w:t>
      </w:r>
      <w:r w:rsidRPr="003331E8">
        <w:rPr>
          <w:rStyle w:val="af7"/>
          <w:rFonts w:eastAsia="Guttman Rashi"/>
          <w:rtl/>
        </w:rPr>
        <w:fldChar w:fldCharType="begin"/>
      </w:r>
      <w:r w:rsidRPr="003331E8">
        <w:rPr>
          <w:rStyle w:val="af7"/>
          <w:rFonts w:eastAsia="Guttman Rashi"/>
          <w:rtl/>
        </w:rPr>
        <w:instrText xml:space="preserve"> </w:instrText>
      </w:r>
      <w:r w:rsidRPr="003331E8">
        <w:rPr>
          <w:rStyle w:val="af7"/>
          <w:rFonts w:eastAsia="Guttman Rashi" w:hint="cs"/>
        </w:rPr>
        <w:instrText>REF</w:instrText>
      </w:r>
      <w:r w:rsidRPr="003331E8">
        <w:rPr>
          <w:rStyle w:val="af7"/>
          <w:rFonts w:eastAsia="Guttman Rashi" w:hint="cs"/>
          <w:rtl/>
        </w:rPr>
        <w:instrText xml:space="preserve"> _</w:instrText>
      </w:r>
      <w:r w:rsidRPr="003331E8">
        <w:rPr>
          <w:rStyle w:val="af7"/>
          <w:rFonts w:eastAsia="Guttman Rashi" w:hint="cs"/>
        </w:rPr>
        <w:instrText>Ref55726886 \r \h</w:instrText>
      </w:r>
      <w:r w:rsidRPr="003331E8">
        <w:rPr>
          <w:rStyle w:val="af7"/>
          <w:rFonts w:eastAsia="Guttman Rashi"/>
          <w:rtl/>
        </w:rPr>
        <w:instrText xml:space="preserve"> </w:instrText>
      </w:r>
      <w:r w:rsidRPr="003331E8">
        <w:rPr>
          <w:rStyle w:val="af7"/>
          <w:rFonts w:eastAsia="Guttman Rashi"/>
          <w:rtl/>
        </w:rPr>
      </w:r>
      <w:r w:rsidRPr="003331E8">
        <w:rPr>
          <w:rStyle w:val="af7"/>
          <w:rFonts w:eastAsia="Guttman Rashi"/>
          <w:rtl/>
        </w:rPr>
        <w:fldChar w:fldCharType="separate"/>
      </w:r>
      <w:r w:rsidR="00265073">
        <w:rPr>
          <w:rStyle w:val="af7"/>
          <w:rFonts w:eastAsia="Guttman Rashi"/>
          <w:cs/>
        </w:rPr>
        <w:t>‎</w:t>
      </w:r>
      <w:r w:rsidR="00265073">
        <w:rPr>
          <w:rStyle w:val="af7"/>
          <w:rFonts w:eastAsia="Guttman Rashi"/>
          <w:rtl/>
        </w:rPr>
        <w:t>טז)</w:t>
      </w:r>
      <w:r w:rsidRPr="003331E8">
        <w:rPr>
          <w:rStyle w:val="af7"/>
          <w:rFonts w:eastAsia="Guttman Rashi"/>
          <w:rtl/>
        </w:rPr>
        <w:fldChar w:fldCharType="end"/>
      </w:r>
      <w:r w:rsidRPr="00E2793B">
        <w:rPr>
          <w:rStyle w:val="aff6"/>
          <w:rFonts w:hint="cs"/>
          <w:rtl/>
        </w:rPr>
        <w:t xml:space="preserve"> </w:t>
      </w:r>
      <w:r>
        <w:rPr>
          <w:rFonts w:hint="cs"/>
          <w:rtl/>
        </w:rPr>
        <w:t xml:space="preserve">דמהני המחאה אף שלא שמע ממנה המחזיק, הא לדעת </w:t>
      </w:r>
      <w:r w:rsidRPr="00991D1E">
        <w:rPr>
          <w:rStyle w:val="af9"/>
          <w:rFonts w:hint="cs"/>
          <w:rtl/>
        </w:rPr>
        <w:t xml:space="preserve">הרמב"ן </w:t>
      </w:r>
      <w:r>
        <w:rPr>
          <w:rFonts w:hint="cs"/>
          <w:rtl/>
        </w:rPr>
        <w:t>והרי החזקה היא ביום הראשון ששמע המערער ולא מחה דיש רגלים לדבר שמכר לו, ואין עליו טענת אחוי שטרך כיון שלא שמע מהמחאה א"צ להזהר בשטר</w:t>
      </w:r>
      <w:bookmarkStart w:id="4507" w:name="_Ref56008761"/>
      <w:r>
        <w:rPr>
          <w:rStyle w:val="af1"/>
          <w:rtl/>
        </w:rPr>
        <w:footnoteReference w:id="20"/>
      </w:r>
      <w:bookmarkEnd w:id="4507"/>
      <w:r>
        <w:rPr>
          <w:rFonts w:hint="cs"/>
          <w:rtl/>
        </w:rPr>
        <w:t>.</w:t>
      </w:r>
      <w:r w:rsidRPr="00470002">
        <w:rPr>
          <w:rStyle w:val="afb"/>
          <w:rFonts w:hint="cs"/>
          <w:rtl/>
        </w:rPr>
        <w:t xml:space="preserve"> </w:t>
      </w:r>
      <w:r w:rsidRPr="00991D1E">
        <w:rPr>
          <w:rStyle w:val="afb"/>
          <w:rFonts w:hint="cs"/>
          <w:rtl/>
        </w:rPr>
        <w:t xml:space="preserve">[וע"ע במה שהקשה </w:t>
      </w:r>
      <w:r w:rsidRPr="00991D1E">
        <w:rPr>
          <w:rStyle w:val="affa"/>
          <w:rFonts w:hint="cs"/>
          <w:rtl/>
        </w:rPr>
        <w:t>בחי' רבי ראובן</w:t>
      </w:r>
      <w:r w:rsidRPr="00991D1E">
        <w:rPr>
          <w:rStyle w:val="afb"/>
          <w:rFonts w:hint="cs"/>
          <w:rtl/>
        </w:rPr>
        <w:t xml:space="preserve"> מדברי רב נחמן לקמן </w:t>
      </w:r>
      <w:r w:rsidRPr="00991D1E">
        <w:rPr>
          <w:rStyle w:val="aff6"/>
          <w:rFonts w:hint="cs"/>
          <w:rtl/>
        </w:rPr>
        <w:t>(כט:)</w:t>
      </w:r>
      <w:r w:rsidRPr="00991D1E">
        <w:rPr>
          <w:rStyle w:val="afb"/>
          <w:rFonts w:hint="cs"/>
          <w:rtl/>
        </w:rPr>
        <w:t>].</w:t>
      </w:r>
    </w:p>
    <w:p w:rsidR="00F163D7" w:rsidRDefault="00F163D7" w:rsidP="00F163D7">
      <w:pPr>
        <w:pStyle w:val="a3"/>
      </w:pPr>
      <w:bookmarkStart w:id="4508" w:name="_Toc55991942"/>
      <w:bookmarkStart w:id="4509" w:name="_Toc56030491"/>
      <w:bookmarkStart w:id="4510" w:name="_Toc56032681"/>
      <w:r>
        <w:rPr>
          <w:rFonts w:hint="cs"/>
          <w:rtl/>
        </w:rPr>
        <w:t>ביאור רבי ראובן ברמב"ן דבתוך ג"ש אין רגל"ד ממה ששתק דיכול לומר שסמך על אחוי שטרך</w:t>
      </w:r>
      <w:bookmarkEnd w:id="4508"/>
      <w:bookmarkEnd w:id="4509"/>
      <w:bookmarkEnd w:id="4510"/>
    </w:p>
    <w:p w:rsidR="00F163D7" w:rsidRDefault="00F163D7" w:rsidP="007E4E81">
      <w:pPr>
        <w:pStyle w:val="a0"/>
        <w:rPr>
          <w:rtl/>
        </w:rPr>
      </w:pPr>
      <w:bookmarkStart w:id="4511" w:name="_Ref55748208"/>
      <w:bookmarkStart w:id="4512" w:name="_Ref55814783"/>
      <w:r>
        <w:rPr>
          <w:rFonts w:hint="cs"/>
          <w:rtl/>
        </w:rPr>
        <w:t xml:space="preserve">אלא ביאר </w:t>
      </w:r>
      <w:r w:rsidRPr="00EE2164">
        <w:rPr>
          <w:rStyle w:val="af9"/>
          <w:rFonts w:hint="cs"/>
          <w:rtl/>
        </w:rPr>
        <w:t>בחי' רבי ראובן</w:t>
      </w:r>
      <w:r>
        <w:rPr>
          <w:rFonts w:hint="cs"/>
          <w:rtl/>
        </w:rPr>
        <w:t xml:space="preserve"> </w:t>
      </w:r>
      <w:r w:rsidRPr="006F13AC">
        <w:rPr>
          <w:rStyle w:val="af7"/>
          <w:rFonts w:eastAsia="Guttman Hodes" w:hint="cs"/>
          <w:rtl/>
        </w:rPr>
        <w:t>(סי' י"א ד"ה ונראה דיש)</w:t>
      </w:r>
      <w:r>
        <w:rPr>
          <w:rFonts w:hint="cs"/>
          <w:rtl/>
        </w:rPr>
        <w:t xml:space="preserve"> דכוונת</w:t>
      </w:r>
      <w:r w:rsidRPr="002435EF">
        <w:rPr>
          <w:rFonts w:hint="cs"/>
          <w:rtl/>
        </w:rPr>
        <w:t xml:space="preserve"> </w:t>
      </w:r>
      <w:r w:rsidRPr="00953615">
        <w:rPr>
          <w:rStyle w:val="af9"/>
          <w:rFonts w:hint="cs"/>
          <w:rtl/>
        </w:rPr>
        <w:t>הרמב"ן</w:t>
      </w:r>
      <w:r>
        <w:rPr>
          <w:rFonts w:hint="cs"/>
          <w:rtl/>
        </w:rPr>
        <w:t xml:space="preserve"> </w:t>
      </w:r>
      <w:r>
        <w:rPr>
          <w:rStyle w:val="af9"/>
          <w:rFonts w:hint="cs"/>
          <w:rtl/>
        </w:rPr>
        <w:t>לקמן</w:t>
      </w:r>
      <w:r w:rsidRPr="00991D1E">
        <w:rPr>
          <w:rStyle w:val="af9"/>
          <w:rFonts w:hint="cs"/>
          <w:rtl/>
        </w:rPr>
        <w:t xml:space="preserve"> </w:t>
      </w:r>
      <w:r w:rsidRPr="00E71DB0">
        <w:rPr>
          <w:rStyle w:val="af7"/>
          <w:rFonts w:eastAsia="Guttman Hodes" w:hint="cs"/>
          <w:rtl/>
        </w:rPr>
        <w:t xml:space="preserve">(עי' אות </w:t>
      </w:r>
      <w:r w:rsidRPr="00E71DB0">
        <w:rPr>
          <w:rStyle w:val="af7"/>
          <w:rFonts w:eastAsia="Guttman Hodes"/>
          <w:rtl/>
        </w:rPr>
        <w:fldChar w:fldCharType="begin"/>
      </w:r>
      <w:r w:rsidRPr="00E71DB0">
        <w:rPr>
          <w:rStyle w:val="af7"/>
          <w:rFonts w:eastAsia="Guttman Hodes"/>
          <w:rtl/>
        </w:rPr>
        <w:instrText xml:space="preserve"> </w:instrText>
      </w:r>
      <w:r w:rsidRPr="00E71DB0">
        <w:rPr>
          <w:rStyle w:val="af7"/>
          <w:rFonts w:eastAsia="Guttman Hodes" w:hint="cs"/>
        </w:rPr>
        <w:instrText>REF</w:instrText>
      </w:r>
      <w:r w:rsidRPr="00E71DB0">
        <w:rPr>
          <w:rStyle w:val="af7"/>
          <w:rFonts w:eastAsia="Guttman Hodes" w:hint="cs"/>
          <w:rtl/>
        </w:rPr>
        <w:instrText xml:space="preserve"> _</w:instrText>
      </w:r>
      <w:r w:rsidRPr="00E71DB0">
        <w:rPr>
          <w:rStyle w:val="af7"/>
          <w:rFonts w:eastAsia="Guttman Hodes" w:hint="cs"/>
        </w:rPr>
        <w:instrText>Ref55940285 \r \h</w:instrText>
      </w:r>
      <w:r w:rsidRPr="00E71DB0">
        <w:rPr>
          <w:rStyle w:val="af7"/>
          <w:rFonts w:eastAsia="Guttman Hodes"/>
          <w:rtl/>
        </w:rPr>
        <w:instrText xml:space="preserve"> </w:instrText>
      </w:r>
      <w:r w:rsidRPr="00E71DB0">
        <w:rPr>
          <w:rStyle w:val="af7"/>
          <w:rFonts w:eastAsia="Guttman Hodes"/>
          <w:rtl/>
        </w:rPr>
      </w:r>
      <w:r w:rsidRPr="00E71DB0">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E71DB0">
        <w:rPr>
          <w:rStyle w:val="af7"/>
          <w:rFonts w:eastAsia="Guttman Hodes"/>
          <w:rtl/>
        </w:rPr>
        <w:fldChar w:fldCharType="end"/>
      </w:r>
      <w:r>
        <w:rPr>
          <w:rFonts w:hint="cs"/>
          <w:rtl/>
        </w:rPr>
        <w:t xml:space="preserve"> לומר דבתוך ג"ש כיון שיכול המערער לטעון לו אחוי שטרך, ממילא אף ששתק המערער, מ"מ אין רגלים לדבר שמכר לו דיכול המערער לטעון דהוא לא היה צריך למחות, כיון שהוא סומך על טענת אחוי שטרך</w:t>
      </w:r>
      <w:r>
        <w:rPr>
          <w:rStyle w:val="af1"/>
          <w:rtl/>
        </w:rPr>
        <w:footnoteReference w:id="21"/>
      </w:r>
      <w:r>
        <w:rPr>
          <w:rFonts w:hint="cs"/>
          <w:rtl/>
        </w:rPr>
        <w:t xml:space="preserve">. </w:t>
      </w:r>
      <w:r w:rsidRPr="00990521">
        <w:rPr>
          <w:rStyle w:val="afb"/>
          <w:rFonts w:hint="cs"/>
          <w:rtl/>
        </w:rPr>
        <w:t>[</w:t>
      </w:r>
      <w:r>
        <w:rPr>
          <w:rStyle w:val="afb"/>
          <w:rFonts w:hint="cs"/>
          <w:rtl/>
        </w:rPr>
        <w:t>ו</w:t>
      </w:r>
      <w:r w:rsidRPr="00990521">
        <w:rPr>
          <w:rStyle w:val="afb"/>
          <w:rFonts w:hint="cs"/>
          <w:rtl/>
        </w:rPr>
        <w:t xml:space="preserve">עי' במ"ש </w:t>
      </w:r>
      <w:r w:rsidRPr="00990521">
        <w:rPr>
          <w:rStyle w:val="affa"/>
          <w:rFonts w:hint="cs"/>
          <w:rtl/>
        </w:rPr>
        <w:t>הר"ן על הרי"ף [הנדמ"ח] בביאורו הב'</w:t>
      </w:r>
      <w:r w:rsidRPr="00990521">
        <w:rPr>
          <w:rStyle w:val="afb"/>
          <w:rFonts w:hint="cs"/>
          <w:rtl/>
        </w:rPr>
        <w:t xml:space="preserve"> </w:t>
      </w:r>
      <w:r w:rsidRPr="00080020">
        <w:rPr>
          <w:rStyle w:val="aff6"/>
          <w:rFonts w:hint="cs"/>
          <w:rtl/>
        </w:rPr>
        <w:t xml:space="preserve">(עי' אות </w:t>
      </w:r>
      <w:r w:rsidRPr="00080020">
        <w:rPr>
          <w:rStyle w:val="aff6"/>
          <w:rtl/>
        </w:rPr>
        <w:fldChar w:fldCharType="begin"/>
      </w:r>
      <w:r w:rsidRPr="00080020">
        <w:rPr>
          <w:rStyle w:val="aff6"/>
          <w:rtl/>
        </w:rPr>
        <w:instrText xml:space="preserve"> </w:instrText>
      </w:r>
      <w:r w:rsidRPr="00080020">
        <w:rPr>
          <w:rStyle w:val="aff6"/>
          <w:rFonts w:hint="cs"/>
        </w:rPr>
        <w:instrText>REF</w:instrText>
      </w:r>
      <w:r w:rsidRPr="00080020">
        <w:rPr>
          <w:rStyle w:val="aff6"/>
          <w:rFonts w:hint="cs"/>
          <w:rtl/>
        </w:rPr>
        <w:instrText xml:space="preserve"> _</w:instrText>
      </w:r>
      <w:r w:rsidRPr="00080020">
        <w:rPr>
          <w:rStyle w:val="aff6"/>
          <w:rFonts w:hint="cs"/>
        </w:rPr>
        <w:instrText>Ref55989668 \r \h</w:instrText>
      </w:r>
      <w:r w:rsidRPr="00080020">
        <w:rPr>
          <w:rStyle w:val="aff6"/>
          <w:rtl/>
        </w:rPr>
        <w:instrText xml:space="preserve"> </w:instrText>
      </w:r>
      <w:r w:rsidRPr="00080020">
        <w:rPr>
          <w:rStyle w:val="aff6"/>
          <w:rtl/>
        </w:rPr>
      </w:r>
      <w:r w:rsidRPr="00080020">
        <w:rPr>
          <w:rStyle w:val="aff6"/>
          <w:rtl/>
        </w:rPr>
        <w:fldChar w:fldCharType="separate"/>
      </w:r>
      <w:r w:rsidR="00265073">
        <w:rPr>
          <w:rStyle w:val="aff6"/>
          <w:cs/>
        </w:rPr>
        <w:t>‎</w:t>
      </w:r>
      <w:r w:rsidR="00265073">
        <w:rPr>
          <w:rStyle w:val="aff6"/>
          <w:rtl/>
        </w:rPr>
        <w:t>יז)</w:t>
      </w:r>
      <w:r w:rsidRPr="00080020">
        <w:rPr>
          <w:rStyle w:val="aff6"/>
          <w:rtl/>
        </w:rPr>
        <w:fldChar w:fldCharType="end"/>
      </w:r>
      <w:r w:rsidRPr="00990521">
        <w:rPr>
          <w:rStyle w:val="afb"/>
          <w:rFonts w:hint="cs"/>
          <w:rtl/>
        </w:rPr>
        <w:t>].</w:t>
      </w:r>
      <w:bookmarkEnd w:id="4511"/>
      <w:r w:rsidRPr="00C56FC8">
        <w:rPr>
          <w:rFonts w:hint="cs"/>
          <w:rtl/>
        </w:rPr>
        <w:t xml:space="preserve"> </w:t>
      </w:r>
      <w:bookmarkEnd w:id="4512"/>
    </w:p>
    <w:p w:rsidR="00F163D7" w:rsidRPr="00AE0789" w:rsidRDefault="00F163D7" w:rsidP="00F163D7">
      <w:pPr>
        <w:pStyle w:val="a3"/>
        <w:rPr>
          <w:rtl/>
        </w:rPr>
      </w:pPr>
      <w:bookmarkStart w:id="4513" w:name="_Toc55991943"/>
      <w:bookmarkStart w:id="4514" w:name="_Toc56030492"/>
      <w:bookmarkStart w:id="4515" w:name="_Toc56032682"/>
      <w:r>
        <w:rPr>
          <w:rFonts w:hint="cs"/>
          <w:rtl/>
        </w:rPr>
        <w:t>ביאור רבי ראובן ברמב"ן דלאחר שתיקנו חזקת ג"ש הרגל"ד משתיקת המערער היא רק בג"ש</w:t>
      </w:r>
      <w:bookmarkEnd w:id="4513"/>
      <w:bookmarkEnd w:id="4514"/>
      <w:bookmarkEnd w:id="4515"/>
    </w:p>
    <w:p w:rsidR="00F163D7" w:rsidRDefault="00F163D7" w:rsidP="007E4E81">
      <w:pPr>
        <w:pStyle w:val="a0"/>
        <w:rPr>
          <w:rStyle w:val="afb"/>
          <w:rtl/>
        </w:rPr>
      </w:pPr>
      <w:r>
        <w:rPr>
          <w:rFonts w:hint="cs"/>
          <w:rtl/>
        </w:rPr>
        <w:t xml:space="preserve">וכתב </w:t>
      </w:r>
      <w:r w:rsidRPr="00990521">
        <w:rPr>
          <w:rStyle w:val="af9"/>
          <w:rFonts w:hint="cs"/>
          <w:rtl/>
        </w:rPr>
        <w:t xml:space="preserve">בחי' רבי ראובן </w:t>
      </w:r>
      <w:r>
        <w:rPr>
          <w:rFonts w:hint="cs"/>
          <w:rtl/>
        </w:rPr>
        <w:t>דלפי"ז מבואר דאליבא דאמת אחר שתיקנו חזקת ג"ש, אם מחה המערער בתוך ג"ש, אין כל רגלים לדבר ואין חזקה כלל, דלא הוי חזקה ביום הראשון כלל.</w:t>
      </w:r>
      <w:r w:rsidRPr="006F13AC">
        <w:rPr>
          <w:rFonts w:hint="cs"/>
          <w:rtl/>
        </w:rPr>
        <w:t xml:space="preserve"> </w:t>
      </w:r>
      <w:r w:rsidRPr="006F13AC">
        <w:rPr>
          <w:rStyle w:val="afb"/>
          <w:rFonts w:hint="cs"/>
          <w:rtl/>
        </w:rPr>
        <w:t xml:space="preserve">[ועי' במה שדחה </w:t>
      </w:r>
      <w:r w:rsidRPr="006F13AC">
        <w:rPr>
          <w:rStyle w:val="affa"/>
          <w:rFonts w:hint="cs"/>
          <w:rtl/>
        </w:rPr>
        <w:t>בחי' רבי נחום</w:t>
      </w:r>
      <w:r w:rsidRPr="006F13AC">
        <w:rPr>
          <w:rStyle w:val="afb"/>
          <w:rFonts w:hint="cs"/>
          <w:rtl/>
        </w:rPr>
        <w:t xml:space="preserve"> </w:t>
      </w:r>
      <w:r w:rsidRPr="006F13AC">
        <w:rPr>
          <w:rStyle w:val="aff6"/>
          <w:rFonts w:hint="cs"/>
          <w:rtl/>
        </w:rPr>
        <w:t xml:space="preserve">(עי' אות </w:t>
      </w:r>
      <w:r w:rsidRPr="006F13AC">
        <w:rPr>
          <w:rStyle w:val="aff6"/>
          <w:rtl/>
        </w:rPr>
        <w:fldChar w:fldCharType="begin"/>
      </w:r>
      <w:r w:rsidRPr="006F13AC">
        <w:rPr>
          <w:rStyle w:val="aff6"/>
          <w:rtl/>
        </w:rPr>
        <w:instrText xml:space="preserve"> </w:instrText>
      </w:r>
      <w:r w:rsidRPr="006F13AC">
        <w:rPr>
          <w:rStyle w:val="aff6"/>
          <w:rFonts w:hint="cs"/>
        </w:rPr>
        <w:instrText>REF</w:instrText>
      </w:r>
      <w:r w:rsidRPr="006F13AC">
        <w:rPr>
          <w:rStyle w:val="aff6"/>
          <w:rFonts w:hint="cs"/>
          <w:rtl/>
        </w:rPr>
        <w:instrText xml:space="preserve"> _</w:instrText>
      </w:r>
      <w:r w:rsidRPr="006F13AC">
        <w:rPr>
          <w:rStyle w:val="aff6"/>
          <w:rFonts w:hint="cs"/>
        </w:rPr>
        <w:instrText>Ref55748373 \r \h</w:instrText>
      </w:r>
      <w:r w:rsidRPr="006F13AC">
        <w:rPr>
          <w:rStyle w:val="aff6"/>
          <w:rtl/>
        </w:rPr>
        <w:instrText xml:space="preserve"> </w:instrText>
      </w:r>
      <w:r w:rsidRPr="006F13AC">
        <w:rPr>
          <w:rStyle w:val="aff6"/>
          <w:rtl/>
        </w:rPr>
      </w:r>
      <w:r w:rsidRPr="006F13AC">
        <w:rPr>
          <w:rStyle w:val="aff6"/>
          <w:rtl/>
        </w:rPr>
        <w:fldChar w:fldCharType="separate"/>
      </w:r>
      <w:r w:rsidR="00265073">
        <w:rPr>
          <w:rStyle w:val="aff6"/>
          <w:cs/>
        </w:rPr>
        <w:t>‎</w:t>
      </w:r>
      <w:r w:rsidR="00265073">
        <w:rPr>
          <w:rStyle w:val="aff6"/>
          <w:rtl/>
        </w:rPr>
        <w:t>פד)</w:t>
      </w:r>
      <w:r w:rsidRPr="006F13AC">
        <w:rPr>
          <w:rStyle w:val="aff6"/>
          <w:rtl/>
        </w:rPr>
        <w:fldChar w:fldCharType="end"/>
      </w:r>
      <w:r w:rsidRPr="006F13AC">
        <w:rPr>
          <w:rStyle w:val="afb"/>
          <w:rFonts w:hint="cs"/>
          <w:rtl/>
        </w:rPr>
        <w:t xml:space="preserve"> דמוכח בדברי </w:t>
      </w:r>
      <w:r w:rsidRPr="006F13AC">
        <w:rPr>
          <w:rStyle w:val="affa"/>
          <w:rFonts w:hint="cs"/>
          <w:rtl/>
        </w:rPr>
        <w:t>הרמב"ן</w:t>
      </w:r>
      <w:r w:rsidRPr="006F13AC">
        <w:rPr>
          <w:rStyle w:val="afb"/>
          <w:rFonts w:hint="cs"/>
          <w:rtl/>
        </w:rPr>
        <w:t xml:space="preserve"> דאף לאחר שתיקנו חזקת ג"ש, עדיין הראיה היא לאלתר].</w:t>
      </w:r>
    </w:p>
    <w:p w:rsidR="00F163D7" w:rsidRPr="007B7205" w:rsidRDefault="00F163D7" w:rsidP="00F163D7">
      <w:pPr>
        <w:pStyle w:val="1"/>
        <w:rPr>
          <w:rtl/>
        </w:rPr>
      </w:pPr>
      <w:bookmarkStart w:id="4516" w:name="_Toc55991944"/>
      <w:bookmarkStart w:id="4517" w:name="_Toc56030493"/>
      <w:bookmarkStart w:id="4518" w:name="_Toc56032683"/>
      <w:r>
        <w:rPr>
          <w:rFonts w:hint="cs"/>
          <w:rtl/>
        </w:rPr>
        <w:t>ביאור הקה"י ברמב"ן</w:t>
      </w:r>
      <w:bookmarkEnd w:id="4516"/>
      <w:bookmarkEnd w:id="4517"/>
      <w:r>
        <w:rPr>
          <w:rFonts w:hint="cs"/>
          <w:rtl/>
        </w:rPr>
        <w:t xml:space="preserve"> דאחר תקנת ג"ש אינו מוחה בתוך ג"ש</w:t>
      </w:r>
      <w:bookmarkEnd w:id="4518"/>
    </w:p>
    <w:p w:rsidR="00F163D7" w:rsidRPr="00C50D3A" w:rsidRDefault="00F163D7" w:rsidP="00F163D7">
      <w:pPr>
        <w:pStyle w:val="a3"/>
        <w:rPr>
          <w:rtl/>
        </w:rPr>
      </w:pPr>
      <w:bookmarkStart w:id="4519" w:name="_Toc56032684"/>
      <w:r>
        <w:rPr>
          <w:rFonts w:hint="cs"/>
          <w:rtl/>
        </w:rPr>
        <w:t>ביאור הקה"י ברמב"ן דאחר תקנת חזקת ג"ש אין הבעלים חושש למחות והראיה לאחר ג"ש</w:t>
      </w:r>
      <w:bookmarkEnd w:id="4519"/>
      <w:r>
        <w:rPr>
          <w:rFonts w:hint="cs"/>
          <w:rtl/>
        </w:rPr>
        <w:t xml:space="preserve"> </w:t>
      </w:r>
    </w:p>
    <w:p w:rsidR="00F163D7" w:rsidRPr="00933393" w:rsidRDefault="00F163D7" w:rsidP="007E4E81">
      <w:pPr>
        <w:pStyle w:val="a0"/>
        <w:rPr>
          <w:sz w:val="10"/>
          <w:szCs w:val="14"/>
          <w:rtl/>
        </w:rPr>
      </w:pPr>
      <w:bookmarkStart w:id="4520" w:name="_Ref55989070"/>
      <w:r>
        <w:rPr>
          <w:rFonts w:hint="cs"/>
          <w:rtl/>
        </w:rPr>
        <w:t xml:space="preserve">וכ"כ </w:t>
      </w:r>
      <w:r w:rsidRPr="00D21B56">
        <w:rPr>
          <w:rStyle w:val="af9"/>
          <w:rFonts w:hint="cs"/>
          <w:rtl/>
        </w:rPr>
        <w:t>הקה"י</w:t>
      </w:r>
      <w:r>
        <w:rPr>
          <w:rFonts w:hint="cs"/>
          <w:rtl/>
        </w:rPr>
        <w:t xml:space="preserve"> </w:t>
      </w:r>
      <w:r w:rsidRPr="00D21B56">
        <w:rPr>
          <w:rStyle w:val="af7"/>
          <w:rFonts w:eastAsia="Guttman Hodes" w:hint="cs"/>
          <w:rtl/>
        </w:rPr>
        <w:t>(סי' י"ח או' ח' ד"ה ואשר)</w:t>
      </w:r>
      <w:r>
        <w:rPr>
          <w:rFonts w:hint="cs"/>
          <w:rtl/>
        </w:rPr>
        <w:t xml:space="preserve"> דאף לדעת </w:t>
      </w:r>
      <w:r w:rsidRPr="00CF15CB">
        <w:rPr>
          <w:rStyle w:val="af9"/>
          <w:rFonts w:hint="cs"/>
          <w:rtl/>
        </w:rPr>
        <w:t>הרמב"ן</w:t>
      </w:r>
      <w:r>
        <w:rPr>
          <w:rFonts w:hint="cs"/>
          <w:rtl/>
        </w:rPr>
        <w:t xml:space="preserve"> </w:t>
      </w:r>
      <w:r>
        <w:rPr>
          <w:rStyle w:val="af9"/>
          <w:rFonts w:hint="cs"/>
          <w:rtl/>
        </w:rPr>
        <w:t>לקמן</w:t>
      </w:r>
      <w:r w:rsidRPr="00991D1E">
        <w:rPr>
          <w:rStyle w:val="af9"/>
          <w:rFonts w:hint="cs"/>
          <w:rtl/>
        </w:rPr>
        <w:t xml:space="preserve"> </w:t>
      </w:r>
      <w:r w:rsidRPr="00E71DB0">
        <w:rPr>
          <w:rStyle w:val="af7"/>
          <w:rFonts w:eastAsia="Guttman Hodes" w:hint="cs"/>
          <w:rtl/>
        </w:rPr>
        <w:t xml:space="preserve">(עי' אות </w:t>
      </w:r>
      <w:r w:rsidRPr="00E71DB0">
        <w:rPr>
          <w:rStyle w:val="af7"/>
          <w:rFonts w:eastAsia="Guttman Hodes"/>
          <w:rtl/>
        </w:rPr>
        <w:fldChar w:fldCharType="begin"/>
      </w:r>
      <w:r w:rsidRPr="00E71DB0">
        <w:rPr>
          <w:rStyle w:val="af7"/>
          <w:rFonts w:eastAsia="Guttman Hodes"/>
          <w:rtl/>
        </w:rPr>
        <w:instrText xml:space="preserve"> </w:instrText>
      </w:r>
      <w:r w:rsidRPr="00E71DB0">
        <w:rPr>
          <w:rStyle w:val="af7"/>
          <w:rFonts w:eastAsia="Guttman Hodes" w:hint="cs"/>
        </w:rPr>
        <w:instrText>REF</w:instrText>
      </w:r>
      <w:r w:rsidRPr="00E71DB0">
        <w:rPr>
          <w:rStyle w:val="af7"/>
          <w:rFonts w:eastAsia="Guttman Hodes" w:hint="cs"/>
          <w:rtl/>
        </w:rPr>
        <w:instrText xml:space="preserve"> _</w:instrText>
      </w:r>
      <w:r w:rsidRPr="00E71DB0">
        <w:rPr>
          <w:rStyle w:val="af7"/>
          <w:rFonts w:eastAsia="Guttman Hodes" w:hint="cs"/>
        </w:rPr>
        <w:instrText>Ref55940285 \r \h</w:instrText>
      </w:r>
      <w:r w:rsidRPr="00E71DB0">
        <w:rPr>
          <w:rStyle w:val="af7"/>
          <w:rFonts w:eastAsia="Guttman Hodes"/>
          <w:rtl/>
        </w:rPr>
        <w:instrText xml:space="preserve"> </w:instrText>
      </w:r>
      <w:r w:rsidRPr="00E71DB0">
        <w:rPr>
          <w:rStyle w:val="af7"/>
          <w:rFonts w:eastAsia="Guttman Hodes"/>
          <w:rtl/>
        </w:rPr>
      </w:r>
      <w:r w:rsidRPr="00E71DB0">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E71DB0">
        <w:rPr>
          <w:rStyle w:val="af7"/>
          <w:rFonts w:eastAsia="Guttman Hodes"/>
          <w:rtl/>
        </w:rPr>
        <w:fldChar w:fldCharType="end"/>
      </w:r>
      <w:r>
        <w:rPr>
          <w:rFonts w:hint="cs"/>
          <w:rtl/>
        </w:rPr>
        <w:t xml:space="preserve"> הא דמהני החזקה לאלתר, היינו רק לפני שתיקנו חכמים חזקת ג"ש, אבל לאחר שתיקנו דהחזקה מהני רק לאחר ג"ש, כיון שיש ריעותא למחזיק דאחוי שטרך, ממילא הבעלים אינו חושש למחות לפני ג"ש, ואין כל ראיה משתיקת המערער, ומ"ש </w:t>
      </w:r>
      <w:r w:rsidRPr="00D21B56">
        <w:rPr>
          <w:rStyle w:val="af9"/>
          <w:rFonts w:hint="cs"/>
          <w:rtl/>
        </w:rPr>
        <w:t>הרמב"ן</w:t>
      </w:r>
      <w:r>
        <w:rPr>
          <w:rFonts w:hint="cs"/>
          <w:rtl/>
        </w:rPr>
        <w:t xml:space="preserve"> שיש ראיה מיד משתיקתו, היינו לפני שתיקנו</w:t>
      </w:r>
      <w:r w:rsidR="00A77F33">
        <w:rPr>
          <w:rFonts w:hint="cs"/>
          <w:rtl/>
        </w:rPr>
        <w:t xml:space="preserve"> </w:t>
      </w:r>
      <w:r>
        <w:rPr>
          <w:rFonts w:hint="cs"/>
          <w:rtl/>
        </w:rPr>
        <w:t>חזקת ג"ש.</w:t>
      </w:r>
      <w:r w:rsidRPr="00933393">
        <w:rPr>
          <w:rStyle w:val="afb"/>
          <w:rFonts w:hint="cs"/>
          <w:rtl/>
        </w:rPr>
        <w:t xml:space="preserve"> </w:t>
      </w:r>
      <w:r w:rsidRPr="006F13AC">
        <w:rPr>
          <w:rStyle w:val="afb"/>
          <w:rFonts w:hint="cs"/>
          <w:rtl/>
        </w:rPr>
        <w:t xml:space="preserve">[ועי' במה שדחה </w:t>
      </w:r>
      <w:r w:rsidRPr="006F13AC">
        <w:rPr>
          <w:rStyle w:val="affa"/>
          <w:rFonts w:hint="cs"/>
          <w:rtl/>
        </w:rPr>
        <w:t>בחי' רבי נחום</w:t>
      </w:r>
      <w:r w:rsidRPr="006F13AC">
        <w:rPr>
          <w:rStyle w:val="afb"/>
          <w:rFonts w:hint="cs"/>
          <w:rtl/>
        </w:rPr>
        <w:t xml:space="preserve"> </w:t>
      </w:r>
      <w:r w:rsidRPr="006F13AC">
        <w:rPr>
          <w:rStyle w:val="aff6"/>
          <w:rFonts w:hint="cs"/>
          <w:rtl/>
        </w:rPr>
        <w:t xml:space="preserve">(עי' אות </w:t>
      </w:r>
      <w:r w:rsidRPr="006F13AC">
        <w:rPr>
          <w:rStyle w:val="aff6"/>
          <w:rtl/>
        </w:rPr>
        <w:fldChar w:fldCharType="begin"/>
      </w:r>
      <w:r w:rsidRPr="006F13AC">
        <w:rPr>
          <w:rStyle w:val="aff6"/>
          <w:rtl/>
        </w:rPr>
        <w:instrText xml:space="preserve"> </w:instrText>
      </w:r>
      <w:r w:rsidRPr="006F13AC">
        <w:rPr>
          <w:rStyle w:val="aff6"/>
          <w:rFonts w:hint="cs"/>
        </w:rPr>
        <w:instrText>REF</w:instrText>
      </w:r>
      <w:r w:rsidRPr="006F13AC">
        <w:rPr>
          <w:rStyle w:val="aff6"/>
          <w:rFonts w:hint="cs"/>
          <w:rtl/>
        </w:rPr>
        <w:instrText xml:space="preserve"> _</w:instrText>
      </w:r>
      <w:r w:rsidRPr="006F13AC">
        <w:rPr>
          <w:rStyle w:val="aff6"/>
          <w:rFonts w:hint="cs"/>
        </w:rPr>
        <w:instrText>Ref55748373 \r \h</w:instrText>
      </w:r>
      <w:r w:rsidRPr="006F13AC">
        <w:rPr>
          <w:rStyle w:val="aff6"/>
          <w:rtl/>
        </w:rPr>
        <w:instrText xml:space="preserve"> </w:instrText>
      </w:r>
      <w:r w:rsidRPr="006F13AC">
        <w:rPr>
          <w:rStyle w:val="aff6"/>
          <w:rtl/>
        </w:rPr>
      </w:r>
      <w:r w:rsidRPr="006F13AC">
        <w:rPr>
          <w:rStyle w:val="aff6"/>
          <w:rtl/>
        </w:rPr>
        <w:fldChar w:fldCharType="separate"/>
      </w:r>
      <w:r w:rsidR="00265073">
        <w:rPr>
          <w:rStyle w:val="aff6"/>
          <w:cs/>
        </w:rPr>
        <w:t>‎</w:t>
      </w:r>
      <w:r w:rsidR="00265073">
        <w:rPr>
          <w:rStyle w:val="aff6"/>
          <w:rtl/>
        </w:rPr>
        <w:t>פד)</w:t>
      </w:r>
      <w:r w:rsidRPr="006F13AC">
        <w:rPr>
          <w:rStyle w:val="aff6"/>
          <w:rtl/>
        </w:rPr>
        <w:fldChar w:fldCharType="end"/>
      </w:r>
      <w:r w:rsidRPr="006F13AC">
        <w:rPr>
          <w:rStyle w:val="afb"/>
          <w:rFonts w:hint="cs"/>
          <w:rtl/>
        </w:rPr>
        <w:t xml:space="preserve"> דמוכח בדברי </w:t>
      </w:r>
      <w:r w:rsidRPr="006F13AC">
        <w:rPr>
          <w:rStyle w:val="affa"/>
          <w:rFonts w:hint="cs"/>
          <w:rtl/>
        </w:rPr>
        <w:t>הרמב"ן</w:t>
      </w:r>
      <w:r w:rsidRPr="006F13AC">
        <w:rPr>
          <w:rStyle w:val="afb"/>
          <w:rFonts w:hint="cs"/>
          <w:rtl/>
        </w:rPr>
        <w:t xml:space="preserve"> דאף לאחר שתיקנו חזקת ג"ש, עדיין הראיה היא לאלתר].</w:t>
      </w:r>
      <w:bookmarkEnd w:id="4520"/>
      <w:r>
        <w:rPr>
          <w:rFonts w:hint="cs"/>
          <w:rtl/>
        </w:rPr>
        <w:t xml:space="preserve"> </w:t>
      </w:r>
    </w:p>
    <w:p w:rsidR="00F163D7" w:rsidRPr="00D615F6" w:rsidRDefault="00F163D7" w:rsidP="00F163D7">
      <w:pPr>
        <w:pStyle w:val="a3"/>
      </w:pPr>
      <w:bookmarkStart w:id="4521" w:name="_Toc55991945"/>
      <w:bookmarkStart w:id="4522" w:name="_Toc56030494"/>
      <w:bookmarkStart w:id="4523" w:name="_Toc56032685"/>
      <w:r>
        <w:rPr>
          <w:rFonts w:hint="cs"/>
          <w:rtl/>
        </w:rPr>
        <w:t>ביאור הקה"י ברמב"ן דלקטן אף שאין שטר לא תיקנו תקנה מיוחדת שירויח ותועיל חזקה מיד</w:t>
      </w:r>
      <w:bookmarkEnd w:id="4521"/>
      <w:bookmarkEnd w:id="4522"/>
      <w:bookmarkEnd w:id="4523"/>
    </w:p>
    <w:p w:rsidR="00F163D7" w:rsidRPr="00F37C05" w:rsidRDefault="00F163D7" w:rsidP="007E4E81">
      <w:pPr>
        <w:pStyle w:val="a0"/>
        <w:rPr>
          <w:rtl/>
        </w:rPr>
      </w:pPr>
      <w:bookmarkStart w:id="4524" w:name="_Ref55990392"/>
      <w:r>
        <w:rPr>
          <w:rFonts w:hint="cs"/>
          <w:rtl/>
        </w:rPr>
        <w:t xml:space="preserve">וכתב </w:t>
      </w:r>
      <w:r w:rsidRPr="00A33D1F">
        <w:rPr>
          <w:rStyle w:val="af9"/>
          <w:rFonts w:hint="cs"/>
          <w:rtl/>
        </w:rPr>
        <w:t>הקה"י</w:t>
      </w:r>
      <w:r>
        <w:rPr>
          <w:rFonts w:hint="cs"/>
          <w:rtl/>
        </w:rPr>
        <w:t xml:space="preserve"> דכן מוכח מהא דכתב </w:t>
      </w:r>
      <w:r w:rsidRPr="00D21B56">
        <w:rPr>
          <w:rStyle w:val="af9"/>
          <w:rFonts w:hint="cs"/>
          <w:rtl/>
        </w:rPr>
        <w:t>הרמב"ן</w:t>
      </w:r>
      <w:r>
        <w:rPr>
          <w:rFonts w:hint="cs"/>
          <w:rtl/>
        </w:rPr>
        <w:t xml:space="preserve"> </w:t>
      </w:r>
      <w:r w:rsidRPr="003B70D4">
        <w:rPr>
          <w:rStyle w:val="af7"/>
          <w:rFonts w:eastAsia="Guttman Hodes" w:hint="cs"/>
          <w:rtl/>
        </w:rPr>
        <w:t xml:space="preserve">(עי' אות </w:t>
      </w:r>
      <w:r w:rsidRPr="003B70D4">
        <w:rPr>
          <w:rStyle w:val="af7"/>
          <w:rFonts w:eastAsia="Guttman Hodes"/>
          <w:rtl/>
        </w:rPr>
        <w:fldChar w:fldCharType="begin"/>
      </w:r>
      <w:r w:rsidRPr="003B70D4">
        <w:rPr>
          <w:rStyle w:val="af7"/>
          <w:rFonts w:eastAsia="Guttman Hodes"/>
          <w:rtl/>
        </w:rPr>
        <w:instrText xml:space="preserve"> </w:instrText>
      </w:r>
      <w:r w:rsidRPr="003B70D4">
        <w:rPr>
          <w:rStyle w:val="af7"/>
          <w:rFonts w:eastAsia="Guttman Hodes" w:hint="cs"/>
        </w:rPr>
        <w:instrText>REF</w:instrText>
      </w:r>
      <w:r w:rsidRPr="003B70D4">
        <w:rPr>
          <w:rStyle w:val="af7"/>
          <w:rFonts w:eastAsia="Guttman Hodes" w:hint="cs"/>
          <w:rtl/>
        </w:rPr>
        <w:instrText xml:space="preserve"> _</w:instrText>
      </w:r>
      <w:r w:rsidRPr="003B70D4">
        <w:rPr>
          <w:rStyle w:val="af7"/>
          <w:rFonts w:eastAsia="Guttman Hodes" w:hint="cs"/>
        </w:rPr>
        <w:instrText>Ref55728248 \r \h</w:instrText>
      </w:r>
      <w:r w:rsidRPr="003B70D4">
        <w:rPr>
          <w:rStyle w:val="af7"/>
          <w:rFonts w:eastAsia="Guttman Hodes"/>
          <w:rtl/>
        </w:rPr>
        <w:instrText xml:space="preserve"> </w:instrText>
      </w:r>
      <w:r w:rsidRPr="003B70D4">
        <w:rPr>
          <w:rStyle w:val="af7"/>
          <w:rFonts w:eastAsia="Guttman Hodes"/>
          <w:rtl/>
        </w:rPr>
      </w:r>
      <w:r w:rsidRPr="003B70D4">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3B70D4">
        <w:rPr>
          <w:rStyle w:val="af7"/>
          <w:rFonts w:eastAsia="Guttman Hodes"/>
          <w:rtl/>
        </w:rPr>
        <w:fldChar w:fldCharType="end"/>
      </w:r>
      <w:r>
        <w:rPr>
          <w:rFonts w:hint="cs"/>
          <w:rtl/>
        </w:rPr>
        <w:t xml:space="preserve"> דלא מהני לקטן חזקה בפחות מג"ש, כיון דלא מצינו מי שאין בו דעת ירויח, וביאר </w:t>
      </w:r>
      <w:r w:rsidRPr="00A33D1F">
        <w:rPr>
          <w:rStyle w:val="af9"/>
          <w:rFonts w:hint="cs"/>
          <w:rtl/>
        </w:rPr>
        <w:t>הקה"י</w:t>
      </w:r>
      <w:r>
        <w:rPr>
          <w:rFonts w:hint="cs"/>
          <w:rtl/>
        </w:rPr>
        <w:t xml:space="preserve"> דכוונת </w:t>
      </w:r>
      <w:r w:rsidRPr="00A33D1F">
        <w:rPr>
          <w:rStyle w:val="af9"/>
          <w:rFonts w:hint="cs"/>
          <w:rtl/>
        </w:rPr>
        <w:t>הרמב"ן</w:t>
      </w:r>
      <w:r>
        <w:rPr>
          <w:rFonts w:hint="cs"/>
          <w:rtl/>
        </w:rPr>
        <w:t xml:space="preserve"> לומר דכיון דלאחר שתיקנו חזקת ג"ש אין המערער חושש למחות בתוך ג"ש, לכן אף בקטן שאינו נזהר בשטרו, מ"מ הבעלים אינם חוששים למחות לפני ג"ש, ואף שבקטן אפשר לתקן שיהיה לו חזקה מיד, דכיון שאינו נזהר בשטרו, יש ראיה מדלא מחה לאלתר, מ"מ ביאר </w:t>
      </w:r>
      <w:r w:rsidRPr="00A33D1F">
        <w:rPr>
          <w:rStyle w:val="af9"/>
          <w:rFonts w:hint="cs"/>
          <w:rtl/>
        </w:rPr>
        <w:t>הרמב"ן</w:t>
      </w:r>
      <w:r>
        <w:rPr>
          <w:rFonts w:hint="cs"/>
          <w:rtl/>
        </w:rPr>
        <w:t xml:space="preserve"> דלא תיקנו חכמים חזקה מיוחדת לקטן, שירויח יותר מאשר בן דעת, וכיון שלא תיקנו לו חזקה מיוחדת, ממילא אין ראיה משתיקת </w:t>
      </w:r>
      <w:r w:rsidRPr="00F37C05">
        <w:rPr>
          <w:rFonts w:hint="cs"/>
          <w:rtl/>
        </w:rPr>
        <w:t>המערער עד לאחר ג"ש.</w:t>
      </w:r>
      <w:bookmarkEnd w:id="4524"/>
    </w:p>
    <w:p w:rsidR="00F163D7" w:rsidRPr="00F37C05" w:rsidRDefault="00F163D7" w:rsidP="00F163D7">
      <w:pPr>
        <w:pStyle w:val="a3"/>
        <w:rPr>
          <w:rtl/>
        </w:rPr>
      </w:pPr>
      <w:bookmarkStart w:id="4525" w:name="_Toc55991946"/>
      <w:bookmarkStart w:id="4526" w:name="_Toc56030495"/>
      <w:bookmarkStart w:id="4527" w:name="_Toc56032686"/>
      <w:r w:rsidRPr="00F37C05">
        <w:rPr>
          <w:rFonts w:hint="cs"/>
          <w:rtl/>
        </w:rPr>
        <w:t>דברי הקה"י דלכן צריך עדות על כל הג"ש דהראיה משתיקת המערער היא רק לאחר ג"ש</w:t>
      </w:r>
      <w:bookmarkEnd w:id="4525"/>
      <w:bookmarkEnd w:id="4526"/>
      <w:bookmarkEnd w:id="4527"/>
    </w:p>
    <w:p w:rsidR="00F163D7" w:rsidRPr="00F37C05" w:rsidRDefault="00F163D7" w:rsidP="007E4E81">
      <w:pPr>
        <w:pStyle w:val="a0"/>
        <w:rPr>
          <w:rtl/>
        </w:rPr>
      </w:pPr>
      <w:bookmarkStart w:id="4528" w:name="_Ref56032171"/>
      <w:r w:rsidRPr="00F37C05">
        <w:rPr>
          <w:rFonts w:hint="cs"/>
          <w:rtl/>
        </w:rPr>
        <w:t xml:space="preserve">וכתב </w:t>
      </w:r>
      <w:r w:rsidRPr="00F37C05">
        <w:rPr>
          <w:rStyle w:val="af9"/>
          <w:rFonts w:hint="cs"/>
          <w:rtl/>
        </w:rPr>
        <w:t>הקה"י</w:t>
      </w:r>
      <w:r w:rsidRPr="00F37C05">
        <w:rPr>
          <w:rFonts w:hint="cs"/>
          <w:rtl/>
        </w:rPr>
        <w:t xml:space="preserve"> </w:t>
      </w:r>
      <w:r w:rsidRPr="00F37C05">
        <w:rPr>
          <w:rStyle w:val="af7"/>
          <w:rFonts w:eastAsia="Guttman Hodes" w:hint="cs"/>
          <w:rtl/>
        </w:rPr>
        <w:t>(סי' י"ח או' ט' ד"ה עוד)</w:t>
      </w:r>
      <w:r w:rsidRPr="00F37C05">
        <w:rPr>
          <w:rFonts w:hint="cs"/>
          <w:rtl/>
        </w:rPr>
        <w:t xml:space="preserve"> דכן מוכח דלכו"ע אין ראיה משתיקת המערער בפחות מג"ש, </w:t>
      </w:r>
      <w:r w:rsidRPr="00F37C05">
        <w:rPr>
          <w:rStyle w:val="afb"/>
          <w:rFonts w:hint="cs"/>
          <w:rtl/>
        </w:rPr>
        <w:t>[לכה"פ לאחר שתיקנו חזקת ג"ש],</w:t>
      </w:r>
      <w:r w:rsidRPr="00F37C05">
        <w:rPr>
          <w:rFonts w:hint="cs"/>
          <w:rtl/>
        </w:rPr>
        <w:t xml:space="preserve"> מהא דאיתא בגמ' לקמן </w:t>
      </w:r>
      <w:r w:rsidRPr="00F37C05">
        <w:rPr>
          <w:rStyle w:val="af7"/>
          <w:rFonts w:eastAsia="Guttman Hodes" w:hint="cs"/>
          <w:rtl/>
        </w:rPr>
        <w:t>(לג:)</w:t>
      </w:r>
      <w:r w:rsidRPr="00F37C05">
        <w:rPr>
          <w:rFonts w:hint="cs"/>
          <w:rtl/>
        </w:rPr>
        <w:t xml:space="preserve"> דצריך עדים על כל הג"ש, ואי נימא דשתיקה של שנה אחת מהני א"כ כשיש עדים על שנה אחת, וא"צ עדים על חזקת ג"ש, אלא מוכח דהראיה היא רק משתיקת המערער לאחר ג"ש. [ומיושב לפי"ז </w:t>
      </w:r>
      <w:r>
        <w:rPr>
          <w:rFonts w:hint="cs"/>
          <w:rtl/>
        </w:rPr>
        <w:t>מה שהקשו</w:t>
      </w:r>
      <w:r w:rsidRPr="00F37C05">
        <w:rPr>
          <w:rFonts w:hint="cs"/>
          <w:rtl/>
        </w:rPr>
        <w:t xml:space="preserve"> </w:t>
      </w:r>
      <w:r>
        <w:rPr>
          <w:rStyle w:val="af9"/>
          <w:rFonts w:hint="cs"/>
          <w:rtl/>
        </w:rPr>
        <w:t>ב</w:t>
      </w:r>
      <w:r w:rsidRPr="00272161">
        <w:rPr>
          <w:rStyle w:val="af9"/>
          <w:rFonts w:hint="cs"/>
          <w:rtl/>
        </w:rPr>
        <w:t xml:space="preserve">שיעורי רבי שמואל </w:t>
      </w:r>
      <w:r w:rsidRPr="00782D95">
        <w:rPr>
          <w:rStyle w:val="af7"/>
          <w:rFonts w:eastAsia="Guttman Hodes" w:hint="cs"/>
          <w:rtl/>
        </w:rPr>
        <w:t xml:space="preserve">(עי' אות </w:t>
      </w:r>
      <w:r w:rsidRPr="00782D95">
        <w:rPr>
          <w:rStyle w:val="af7"/>
          <w:rFonts w:eastAsia="Guttman Hodes"/>
          <w:rtl/>
        </w:rPr>
        <w:fldChar w:fldCharType="begin"/>
      </w:r>
      <w:r w:rsidRPr="00782D95">
        <w:rPr>
          <w:rStyle w:val="af7"/>
          <w:rFonts w:eastAsia="Guttman Hodes"/>
          <w:rtl/>
        </w:rPr>
        <w:instrText xml:space="preserve"> </w:instrText>
      </w:r>
      <w:r w:rsidRPr="00782D95">
        <w:rPr>
          <w:rStyle w:val="af7"/>
          <w:rFonts w:eastAsia="Guttman Hodes" w:hint="cs"/>
        </w:rPr>
        <w:instrText>REF</w:instrText>
      </w:r>
      <w:r w:rsidRPr="00782D95">
        <w:rPr>
          <w:rStyle w:val="af7"/>
          <w:rFonts w:eastAsia="Guttman Hodes" w:hint="cs"/>
          <w:rtl/>
        </w:rPr>
        <w:instrText xml:space="preserve"> _</w:instrText>
      </w:r>
      <w:r w:rsidRPr="00782D95">
        <w:rPr>
          <w:rStyle w:val="af7"/>
          <w:rFonts w:eastAsia="Guttman Hodes" w:hint="cs"/>
        </w:rPr>
        <w:instrText>Ref56032073 \r \h</w:instrText>
      </w:r>
      <w:r w:rsidRPr="00782D95">
        <w:rPr>
          <w:rStyle w:val="af7"/>
          <w:rFonts w:eastAsia="Guttman Hodes"/>
          <w:rtl/>
        </w:rPr>
        <w:instrText xml:space="preserve"> </w:instrText>
      </w:r>
      <w:r w:rsidRPr="00782D95">
        <w:rPr>
          <w:rStyle w:val="af7"/>
          <w:rFonts w:eastAsia="Guttman Hodes"/>
          <w:rtl/>
        </w:rPr>
      </w:r>
      <w:r w:rsidRPr="00782D95">
        <w:rPr>
          <w:rStyle w:val="af7"/>
          <w:rFonts w:eastAsia="Guttman Hodes"/>
          <w:rtl/>
        </w:rPr>
        <w:fldChar w:fldCharType="separate"/>
      </w:r>
      <w:r w:rsidR="00265073">
        <w:rPr>
          <w:rStyle w:val="af7"/>
          <w:rFonts w:eastAsia="Guttman Hodes"/>
          <w:cs/>
        </w:rPr>
        <w:t>‎</w:t>
      </w:r>
      <w:r w:rsidR="00265073">
        <w:rPr>
          <w:rStyle w:val="af7"/>
          <w:rFonts w:eastAsia="Guttman Hodes"/>
          <w:rtl/>
        </w:rPr>
        <w:t>צה)</w:t>
      </w:r>
      <w:r w:rsidRPr="00782D95">
        <w:rPr>
          <w:rStyle w:val="af7"/>
          <w:rFonts w:eastAsia="Guttman Hodes"/>
          <w:rtl/>
        </w:rPr>
        <w:fldChar w:fldCharType="end"/>
      </w:r>
      <w:r>
        <w:rPr>
          <w:rStyle w:val="af7"/>
          <w:rFonts w:eastAsia="Guttman Hodes" w:hint="cs"/>
          <w:rtl/>
        </w:rPr>
        <w:t xml:space="preserve"> </w:t>
      </w:r>
      <w:r w:rsidRPr="00782D95">
        <w:rPr>
          <w:rStyle w:val="af9"/>
          <w:rFonts w:hint="cs"/>
          <w:rtl/>
        </w:rPr>
        <w:t>ובחי' רבי נחום ובאבי עזרי</w:t>
      </w:r>
      <w:r>
        <w:rPr>
          <w:rStyle w:val="af7"/>
          <w:rFonts w:eastAsia="Guttman Hodes" w:hint="cs"/>
          <w:rtl/>
        </w:rPr>
        <w:t xml:space="preserve"> </w:t>
      </w:r>
      <w:r w:rsidRPr="00782D95">
        <w:rPr>
          <w:rStyle w:val="af7"/>
          <w:rFonts w:eastAsia="Guttman Hodes" w:hint="cs"/>
          <w:rtl/>
        </w:rPr>
        <w:t xml:space="preserve">(עי' אות </w:t>
      </w:r>
      <w:r w:rsidRPr="00782D95">
        <w:rPr>
          <w:rStyle w:val="af7"/>
          <w:rFonts w:eastAsia="Guttman Hodes"/>
          <w:rtl/>
        </w:rPr>
        <w:fldChar w:fldCharType="begin"/>
      </w:r>
      <w:r w:rsidRPr="00782D95">
        <w:rPr>
          <w:rStyle w:val="af7"/>
          <w:rFonts w:eastAsia="Guttman Hodes"/>
          <w:rtl/>
        </w:rPr>
        <w:instrText xml:space="preserve"> </w:instrText>
      </w:r>
      <w:r w:rsidRPr="00782D95">
        <w:rPr>
          <w:rStyle w:val="af7"/>
          <w:rFonts w:eastAsia="Guttman Hodes" w:hint="cs"/>
        </w:rPr>
        <w:instrText>REF</w:instrText>
      </w:r>
      <w:r w:rsidRPr="00782D95">
        <w:rPr>
          <w:rStyle w:val="af7"/>
          <w:rFonts w:eastAsia="Guttman Hodes" w:hint="cs"/>
          <w:rtl/>
        </w:rPr>
        <w:instrText xml:space="preserve"> _</w:instrText>
      </w:r>
      <w:r w:rsidRPr="00782D95">
        <w:rPr>
          <w:rStyle w:val="af7"/>
          <w:rFonts w:eastAsia="Guttman Hodes" w:hint="cs"/>
        </w:rPr>
        <w:instrText>Ref56013670 \r \h</w:instrText>
      </w:r>
      <w:r w:rsidRPr="00782D95">
        <w:rPr>
          <w:rStyle w:val="af7"/>
          <w:rFonts w:eastAsia="Guttman Hodes"/>
          <w:rtl/>
        </w:rPr>
        <w:instrText xml:space="preserve"> </w:instrText>
      </w:r>
      <w:r w:rsidRPr="00782D95">
        <w:rPr>
          <w:rStyle w:val="af7"/>
          <w:rFonts w:eastAsia="Guttman Hodes"/>
          <w:rtl/>
        </w:rPr>
      </w:r>
      <w:r w:rsidRPr="00782D95">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782D95">
        <w:rPr>
          <w:rStyle w:val="af7"/>
          <w:rFonts w:eastAsia="Guttman Hodes"/>
          <w:rtl/>
        </w:rPr>
        <w:fldChar w:fldCharType="end"/>
      </w:r>
      <w:r w:rsidRPr="00F37C05">
        <w:rPr>
          <w:rFonts w:hint="cs"/>
          <w:rtl/>
        </w:rPr>
        <w:t>]</w:t>
      </w:r>
      <w:bookmarkEnd w:id="4528"/>
    </w:p>
    <w:p w:rsidR="00F163D7" w:rsidRPr="00B27E32" w:rsidRDefault="00F163D7" w:rsidP="00F163D7">
      <w:pPr>
        <w:pStyle w:val="1"/>
        <w:rPr>
          <w:rtl/>
        </w:rPr>
      </w:pPr>
      <w:bookmarkStart w:id="4529" w:name="_Toc55927885"/>
      <w:bookmarkStart w:id="4530" w:name="_Toc55946611"/>
      <w:bookmarkStart w:id="4531" w:name="_Toc55991947"/>
      <w:bookmarkStart w:id="4532" w:name="_Toc56030496"/>
      <w:bookmarkStart w:id="4533" w:name="_Toc56032687"/>
      <w:r>
        <w:rPr>
          <w:rFonts w:hint="cs"/>
          <w:rtl/>
        </w:rPr>
        <w:t>הוכחת רבי ראובן מהנתיה"מ</w:t>
      </w:r>
      <w:bookmarkEnd w:id="4529"/>
      <w:bookmarkEnd w:id="4530"/>
      <w:bookmarkEnd w:id="4531"/>
      <w:bookmarkEnd w:id="4532"/>
      <w:r>
        <w:rPr>
          <w:rFonts w:hint="cs"/>
          <w:rtl/>
        </w:rPr>
        <w:t xml:space="preserve"> דלרמב"ן הראיה מדלא הקפיד</w:t>
      </w:r>
      <w:bookmarkEnd w:id="4533"/>
    </w:p>
    <w:p w:rsidR="00F163D7" w:rsidRPr="003C3BD1" w:rsidRDefault="00F163D7" w:rsidP="00F163D7">
      <w:pPr>
        <w:pStyle w:val="a3"/>
        <w:rPr>
          <w:rtl/>
        </w:rPr>
      </w:pPr>
      <w:bookmarkStart w:id="4534" w:name="_Toc55991948"/>
      <w:bookmarkStart w:id="4535" w:name="_Toc56030497"/>
      <w:bookmarkStart w:id="4536" w:name="_Toc56032688"/>
      <w:r>
        <w:rPr>
          <w:rFonts w:hint="cs"/>
          <w:rtl/>
        </w:rPr>
        <w:t>דברי רבי ראובן דהנתיה"מ ביאר ברמב"ן דהראיה רק אחר שלא הקפיד כל הג"ש</w:t>
      </w:r>
      <w:bookmarkEnd w:id="4534"/>
      <w:bookmarkEnd w:id="4535"/>
      <w:bookmarkEnd w:id="4536"/>
    </w:p>
    <w:p w:rsidR="00F163D7" w:rsidRDefault="00F163D7" w:rsidP="007E4E81">
      <w:pPr>
        <w:pStyle w:val="a0"/>
        <w:rPr>
          <w:sz w:val="10"/>
          <w:szCs w:val="14"/>
          <w:rtl/>
        </w:rPr>
      </w:pPr>
      <w:bookmarkStart w:id="4537" w:name="_Ref55813993"/>
      <w:r>
        <w:rPr>
          <w:rFonts w:hint="cs"/>
          <w:rtl/>
        </w:rPr>
        <w:t>וכתב</w:t>
      </w:r>
      <w:r w:rsidRPr="002B21D8">
        <w:rPr>
          <w:rtl/>
        </w:rPr>
        <w:t xml:space="preserve"> </w:t>
      </w:r>
      <w:r w:rsidRPr="006F13AC">
        <w:rPr>
          <w:rStyle w:val="af9"/>
          <w:rtl/>
        </w:rPr>
        <w:t>בחי' רבי ראובן</w:t>
      </w:r>
      <w:r w:rsidRPr="002B21D8">
        <w:rPr>
          <w:rtl/>
        </w:rPr>
        <w:t xml:space="preserve"> </w:t>
      </w:r>
      <w:r w:rsidRPr="006F13AC">
        <w:rPr>
          <w:rStyle w:val="af7"/>
          <w:rFonts w:eastAsia="Guttman Hodes"/>
          <w:rtl/>
        </w:rPr>
        <w:t>(סי' י"א</w:t>
      </w:r>
      <w:r w:rsidRPr="006F13AC">
        <w:rPr>
          <w:rStyle w:val="af7"/>
          <w:rFonts w:eastAsia="Guttman Hodes" w:hint="cs"/>
          <w:rtl/>
        </w:rPr>
        <w:t xml:space="preserve"> ד"ה ובהנתיה"מ)</w:t>
      </w:r>
      <w:r>
        <w:rPr>
          <w:rFonts w:hint="cs"/>
          <w:rtl/>
        </w:rPr>
        <w:t xml:space="preserve"> דכן מבואר בדברי </w:t>
      </w:r>
      <w:r w:rsidRPr="006F13AC">
        <w:rPr>
          <w:rStyle w:val="af9"/>
          <w:rFonts w:hint="cs"/>
          <w:rtl/>
        </w:rPr>
        <w:t>הנתיה"מ</w:t>
      </w:r>
      <w:r>
        <w:rPr>
          <w:rFonts w:hint="cs"/>
          <w:rtl/>
        </w:rPr>
        <w:t xml:space="preserve"> </w:t>
      </w:r>
      <w:r w:rsidRPr="006F13AC">
        <w:rPr>
          <w:rStyle w:val="af7"/>
          <w:rFonts w:eastAsia="Guttman Hodes" w:hint="cs"/>
          <w:rtl/>
        </w:rPr>
        <w:t xml:space="preserve">(עי' אות </w:t>
      </w:r>
      <w:r w:rsidRPr="006F13AC">
        <w:rPr>
          <w:rStyle w:val="af7"/>
          <w:rFonts w:eastAsia="Guttman Hodes"/>
          <w:rtl/>
        </w:rPr>
        <w:fldChar w:fldCharType="begin"/>
      </w:r>
      <w:r w:rsidRPr="006F13AC">
        <w:rPr>
          <w:rStyle w:val="af7"/>
          <w:rFonts w:eastAsia="Guttman Hodes"/>
          <w:rtl/>
        </w:rPr>
        <w:instrText xml:space="preserve"> </w:instrText>
      </w:r>
      <w:r w:rsidRPr="006F13AC">
        <w:rPr>
          <w:rStyle w:val="af7"/>
          <w:rFonts w:eastAsia="Guttman Hodes" w:hint="cs"/>
        </w:rPr>
        <w:instrText>REF</w:instrText>
      </w:r>
      <w:r w:rsidRPr="006F13AC">
        <w:rPr>
          <w:rStyle w:val="af7"/>
          <w:rFonts w:eastAsia="Guttman Hodes" w:hint="cs"/>
          <w:rtl/>
        </w:rPr>
        <w:instrText xml:space="preserve"> _</w:instrText>
      </w:r>
      <w:r w:rsidRPr="006F13AC">
        <w:rPr>
          <w:rStyle w:val="af7"/>
          <w:rFonts w:eastAsia="Guttman Hodes" w:hint="cs"/>
        </w:rPr>
        <w:instrText>Ref55814029 \r \h</w:instrText>
      </w:r>
      <w:r w:rsidRPr="006F13AC">
        <w:rPr>
          <w:rStyle w:val="af7"/>
          <w:rFonts w:eastAsia="Guttman Hodes"/>
          <w:rtl/>
        </w:rPr>
        <w:instrText xml:space="preserve"> </w:instrText>
      </w:r>
      <w:r w:rsidRPr="006F13AC">
        <w:rPr>
          <w:rStyle w:val="af7"/>
          <w:rFonts w:eastAsia="Guttman Hodes"/>
          <w:rtl/>
        </w:rPr>
      </w:r>
      <w:r w:rsidRPr="006F13A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6F13AC">
        <w:rPr>
          <w:rStyle w:val="af7"/>
          <w:rFonts w:eastAsia="Guttman Hodes"/>
          <w:rtl/>
        </w:rPr>
        <w:fldChar w:fldCharType="end"/>
      </w:r>
      <w:r>
        <w:rPr>
          <w:rStyle w:val="af7"/>
          <w:rFonts w:eastAsia="Guttman Hodes" w:hint="cs"/>
          <w:rtl/>
        </w:rPr>
        <w:t xml:space="preserve"> </w:t>
      </w:r>
      <w:r>
        <w:rPr>
          <w:rFonts w:hint="cs"/>
          <w:rtl/>
        </w:rPr>
        <w:t xml:space="preserve">דהביאור בדברי </w:t>
      </w:r>
      <w:r w:rsidRPr="005465B3">
        <w:rPr>
          <w:rStyle w:val="af9"/>
          <w:rFonts w:hint="cs"/>
          <w:rtl/>
        </w:rPr>
        <w:t>הרמב"ן</w:t>
      </w:r>
      <w:r>
        <w:rPr>
          <w:rFonts w:hint="cs"/>
          <w:rtl/>
        </w:rPr>
        <w:t xml:space="preserve"> </w:t>
      </w:r>
      <w:r>
        <w:rPr>
          <w:rStyle w:val="af9"/>
          <w:rFonts w:hint="cs"/>
          <w:rtl/>
        </w:rPr>
        <w:t>לקמן</w:t>
      </w:r>
      <w:r w:rsidRPr="00991D1E">
        <w:rPr>
          <w:rStyle w:val="af9"/>
          <w:rFonts w:hint="cs"/>
          <w:rtl/>
        </w:rPr>
        <w:t xml:space="preserve"> </w:t>
      </w:r>
      <w:r w:rsidRPr="00E71DB0">
        <w:rPr>
          <w:rStyle w:val="af7"/>
          <w:rFonts w:eastAsia="Guttman Hodes" w:hint="cs"/>
          <w:rtl/>
        </w:rPr>
        <w:t xml:space="preserve">(עי' אות </w:t>
      </w:r>
      <w:r w:rsidRPr="00E71DB0">
        <w:rPr>
          <w:rStyle w:val="af7"/>
          <w:rFonts w:eastAsia="Guttman Hodes"/>
          <w:rtl/>
        </w:rPr>
        <w:fldChar w:fldCharType="begin"/>
      </w:r>
      <w:r w:rsidRPr="00E71DB0">
        <w:rPr>
          <w:rStyle w:val="af7"/>
          <w:rFonts w:eastAsia="Guttman Hodes"/>
          <w:rtl/>
        </w:rPr>
        <w:instrText xml:space="preserve"> </w:instrText>
      </w:r>
      <w:r w:rsidRPr="00E71DB0">
        <w:rPr>
          <w:rStyle w:val="af7"/>
          <w:rFonts w:eastAsia="Guttman Hodes" w:hint="cs"/>
        </w:rPr>
        <w:instrText>REF</w:instrText>
      </w:r>
      <w:r w:rsidRPr="00E71DB0">
        <w:rPr>
          <w:rStyle w:val="af7"/>
          <w:rFonts w:eastAsia="Guttman Hodes" w:hint="cs"/>
          <w:rtl/>
        </w:rPr>
        <w:instrText xml:space="preserve"> _</w:instrText>
      </w:r>
      <w:r w:rsidRPr="00E71DB0">
        <w:rPr>
          <w:rStyle w:val="af7"/>
          <w:rFonts w:eastAsia="Guttman Hodes" w:hint="cs"/>
        </w:rPr>
        <w:instrText>Ref55940285 \r \h</w:instrText>
      </w:r>
      <w:r w:rsidRPr="00E71DB0">
        <w:rPr>
          <w:rStyle w:val="af7"/>
          <w:rFonts w:eastAsia="Guttman Hodes"/>
          <w:rtl/>
        </w:rPr>
        <w:instrText xml:space="preserve"> </w:instrText>
      </w:r>
      <w:r w:rsidRPr="00E71DB0">
        <w:rPr>
          <w:rStyle w:val="af7"/>
          <w:rFonts w:eastAsia="Guttman Hodes"/>
          <w:rtl/>
        </w:rPr>
      </w:r>
      <w:r w:rsidRPr="00E71DB0">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E71DB0">
        <w:rPr>
          <w:rStyle w:val="af7"/>
          <w:rFonts w:eastAsia="Guttman Hodes"/>
          <w:rtl/>
        </w:rPr>
        <w:fldChar w:fldCharType="end"/>
      </w:r>
      <w:r>
        <w:rPr>
          <w:rFonts w:hint="cs"/>
          <w:rtl/>
        </w:rPr>
        <w:t xml:space="preserve"> הוא דהראיה שלא מחה המערער היא רק לאחר שעברו ג"ש, אבל בתוך ג"ש אין רגלים לדבר דהמערער סומך על טענת אחוי שטרך, ממה שביאר </w:t>
      </w:r>
      <w:r w:rsidRPr="006F13AC">
        <w:rPr>
          <w:rStyle w:val="af9"/>
          <w:rFonts w:hint="cs"/>
          <w:rtl/>
        </w:rPr>
        <w:t>הנתיה"מ</w:t>
      </w:r>
      <w:r>
        <w:rPr>
          <w:rFonts w:hint="cs"/>
          <w:rtl/>
        </w:rPr>
        <w:t xml:space="preserve"> בדברי </w:t>
      </w:r>
      <w:r w:rsidRPr="006F13AC">
        <w:rPr>
          <w:rStyle w:val="af9"/>
          <w:rFonts w:hint="cs"/>
          <w:rtl/>
        </w:rPr>
        <w:t>הרמב"ן</w:t>
      </w:r>
      <w:r>
        <w:rPr>
          <w:rFonts w:hint="cs"/>
          <w:rtl/>
        </w:rPr>
        <w:t xml:space="preserve"> דהראיה שלא הקפיד המערער דכוונתו לומר דהרגלים לדבר הוא ממה שהמערער לא הקפיד בכל הג"ש.</w:t>
      </w:r>
    </w:p>
    <w:p w:rsidR="00F163D7" w:rsidRPr="00E87F89" w:rsidRDefault="00F163D7" w:rsidP="00F163D7">
      <w:pPr>
        <w:pStyle w:val="a3"/>
        <w:rPr>
          <w:sz w:val="10"/>
          <w:szCs w:val="14"/>
        </w:rPr>
      </w:pPr>
      <w:bookmarkStart w:id="4538" w:name="_Toc55991949"/>
      <w:bookmarkStart w:id="4539" w:name="_Toc56030498"/>
      <w:bookmarkStart w:id="4540" w:name="_Toc56032689"/>
      <w:r>
        <w:rPr>
          <w:rFonts w:hint="cs"/>
          <w:rtl/>
        </w:rPr>
        <w:t>ביאור רבי ראובן ברמב"ן דרבא לא חזר מהתי' דקפיד ורק בדרכו להקפיד יש ראיה מיד</w:t>
      </w:r>
      <w:bookmarkEnd w:id="4538"/>
      <w:bookmarkEnd w:id="4539"/>
      <w:bookmarkEnd w:id="4540"/>
    </w:p>
    <w:p w:rsidR="00F163D7" w:rsidRDefault="00F163D7" w:rsidP="007E4E81">
      <w:pPr>
        <w:pStyle w:val="a0"/>
        <w:rPr>
          <w:rStyle w:val="afb"/>
          <w:rtl/>
        </w:rPr>
      </w:pPr>
      <w:r>
        <w:rPr>
          <w:rFonts w:hint="cs"/>
          <w:rtl/>
        </w:rPr>
        <w:t>וכתב</w:t>
      </w:r>
      <w:r w:rsidRPr="002B21D8">
        <w:rPr>
          <w:rtl/>
        </w:rPr>
        <w:t xml:space="preserve"> </w:t>
      </w:r>
      <w:r w:rsidRPr="006F13AC">
        <w:rPr>
          <w:rStyle w:val="af9"/>
          <w:rtl/>
        </w:rPr>
        <w:t>בחי' רבי ראובן</w:t>
      </w:r>
      <w:r w:rsidRPr="002B21D8">
        <w:rPr>
          <w:rtl/>
        </w:rPr>
        <w:t xml:space="preserve"> </w:t>
      </w:r>
      <w:r>
        <w:rPr>
          <w:rFonts w:hint="cs"/>
          <w:rtl/>
        </w:rPr>
        <w:t xml:space="preserve">היינו </w:t>
      </w:r>
      <w:r w:rsidRPr="006F13AC">
        <w:rPr>
          <w:rStyle w:val="af9"/>
          <w:rFonts w:hint="cs"/>
          <w:rtl/>
        </w:rPr>
        <w:t>דלהרמב"ן</w:t>
      </w:r>
      <w:r>
        <w:rPr>
          <w:rFonts w:hint="cs"/>
          <w:rtl/>
        </w:rPr>
        <w:t xml:space="preserve"> רבא לא חזר בו מהתירוץ דבג"ש אדם מקפיד, והא דמבואר </w:t>
      </w:r>
      <w:r>
        <w:rPr>
          <w:rStyle w:val="af9"/>
          <w:rFonts w:hint="cs"/>
          <w:rtl/>
        </w:rPr>
        <w:t>ב</w:t>
      </w:r>
      <w:r w:rsidRPr="006F13AC">
        <w:rPr>
          <w:rStyle w:val="af9"/>
          <w:rFonts w:hint="cs"/>
          <w:rtl/>
        </w:rPr>
        <w:t>רמב"ן</w:t>
      </w:r>
      <w:r>
        <w:rPr>
          <w:rFonts w:hint="cs"/>
          <w:rtl/>
        </w:rPr>
        <w:t xml:space="preserve"> דבתוך</w:t>
      </w:r>
      <w:r w:rsidRPr="002F34B1">
        <w:rPr>
          <w:rFonts w:hint="cs"/>
          <w:rtl/>
        </w:rPr>
        <w:t xml:space="preserve"> </w:t>
      </w:r>
      <w:r>
        <w:rPr>
          <w:rFonts w:hint="cs"/>
          <w:rtl/>
        </w:rPr>
        <w:t xml:space="preserve">ג"ש יש ראיה, כוונתו לאדם שדרכו להקפיד מיד כבני בר אלישיב, אבל בכל אדם הראיה היא רק לאחר שעברו ג"ש כשלא מחה אעפ"י שאינו יכול לטעון אחוי שטרך. </w:t>
      </w:r>
      <w:r w:rsidRPr="003C3BD1">
        <w:rPr>
          <w:rStyle w:val="afb"/>
          <w:rFonts w:hint="cs"/>
          <w:rtl/>
        </w:rPr>
        <w:t xml:space="preserve">[והוסיף </w:t>
      </w:r>
      <w:r w:rsidRPr="006F13AC">
        <w:rPr>
          <w:rStyle w:val="affa"/>
          <w:rFonts w:hint="cs"/>
          <w:rtl/>
        </w:rPr>
        <w:t>בחי' רבי ראובן</w:t>
      </w:r>
      <w:r w:rsidRPr="003C3BD1">
        <w:rPr>
          <w:rStyle w:val="afb"/>
          <w:rFonts w:hint="cs"/>
          <w:rtl/>
        </w:rPr>
        <w:t xml:space="preserve"> דאעפ"י דמה שאינו נזהר בשטר, </w:t>
      </w:r>
      <w:r w:rsidRPr="003C3BD1">
        <w:rPr>
          <w:rStyle w:val="afb"/>
          <w:rFonts w:hint="cs"/>
          <w:rtl/>
        </w:rPr>
        <w:lastRenderedPageBreak/>
        <w:t>הוא ג"כ תלוי בקפיד</w:t>
      </w:r>
      <w:r>
        <w:rPr>
          <w:rStyle w:val="afb"/>
          <w:rFonts w:hint="cs"/>
          <w:rtl/>
        </w:rPr>
        <w:t>ת</w:t>
      </w:r>
      <w:r w:rsidRPr="003C3BD1">
        <w:rPr>
          <w:rStyle w:val="afb"/>
          <w:rFonts w:hint="cs"/>
          <w:rtl/>
        </w:rPr>
        <w:t xml:space="preserve"> המערער, מ"מ אף כשהמערער דרכו להקפיד הוא נזהר עד ג"ש שמא יטען שאין דרכו להקפיד, כדביאר </w:t>
      </w:r>
      <w:r w:rsidRPr="006F13AC">
        <w:rPr>
          <w:rStyle w:val="affa"/>
          <w:rFonts w:hint="cs"/>
          <w:rtl/>
        </w:rPr>
        <w:t>הרשב"א</w:t>
      </w:r>
      <w:r w:rsidRPr="003C3BD1">
        <w:rPr>
          <w:rStyle w:val="afb"/>
          <w:rFonts w:hint="cs"/>
          <w:rtl/>
        </w:rPr>
        <w:t xml:space="preserve"> </w:t>
      </w:r>
      <w:r w:rsidRPr="005248DF">
        <w:rPr>
          <w:rStyle w:val="aff6"/>
          <w:rFonts w:hint="cs"/>
          <w:rtl/>
        </w:rPr>
        <w:t xml:space="preserve">(עי' אות </w:t>
      </w:r>
      <w:r w:rsidRPr="005248DF">
        <w:rPr>
          <w:rStyle w:val="aff6"/>
          <w:rtl/>
        </w:rPr>
        <w:fldChar w:fldCharType="begin"/>
      </w:r>
      <w:r w:rsidRPr="005248DF">
        <w:rPr>
          <w:rStyle w:val="aff6"/>
          <w:rtl/>
        </w:rPr>
        <w:instrText xml:space="preserve"> </w:instrText>
      </w:r>
      <w:r w:rsidRPr="005248DF">
        <w:rPr>
          <w:rStyle w:val="aff6"/>
          <w:rFonts w:hint="cs"/>
        </w:rPr>
        <w:instrText>REF</w:instrText>
      </w:r>
      <w:r w:rsidRPr="005248DF">
        <w:rPr>
          <w:rStyle w:val="aff6"/>
          <w:rFonts w:hint="cs"/>
          <w:rtl/>
        </w:rPr>
        <w:instrText xml:space="preserve"> _</w:instrText>
      </w:r>
      <w:r w:rsidRPr="005248DF">
        <w:rPr>
          <w:rStyle w:val="aff6"/>
          <w:rFonts w:hint="cs"/>
        </w:rPr>
        <w:instrText>Ref55763284 \r \h</w:instrText>
      </w:r>
      <w:r w:rsidRPr="005248DF">
        <w:rPr>
          <w:rStyle w:val="aff6"/>
          <w:rtl/>
        </w:rPr>
        <w:instrText xml:space="preserve"> </w:instrText>
      </w:r>
      <w:r w:rsidRPr="005248DF">
        <w:rPr>
          <w:rStyle w:val="aff6"/>
          <w:rtl/>
        </w:rPr>
      </w:r>
      <w:r w:rsidRPr="005248DF">
        <w:rPr>
          <w:rStyle w:val="aff6"/>
          <w:rtl/>
        </w:rPr>
        <w:fldChar w:fldCharType="separate"/>
      </w:r>
      <w:r w:rsidR="00265073">
        <w:rPr>
          <w:rStyle w:val="aff6"/>
          <w:cs/>
        </w:rPr>
        <w:t>‎</w:t>
      </w:r>
      <w:r w:rsidR="00265073">
        <w:rPr>
          <w:rStyle w:val="aff6"/>
          <w:rtl/>
        </w:rPr>
        <w:t>מח)</w:t>
      </w:r>
      <w:r w:rsidRPr="005248DF">
        <w:rPr>
          <w:rStyle w:val="aff6"/>
          <w:rtl/>
        </w:rPr>
        <w:fldChar w:fldCharType="end"/>
      </w:r>
      <w:r w:rsidRPr="003C3BD1">
        <w:rPr>
          <w:rStyle w:val="afb"/>
          <w:rFonts w:hint="cs"/>
          <w:rtl/>
        </w:rPr>
        <w:t>].</w:t>
      </w:r>
      <w:bookmarkEnd w:id="4537"/>
    </w:p>
    <w:p w:rsidR="00F163D7" w:rsidRDefault="00F163D7" w:rsidP="00F163D7">
      <w:pPr>
        <w:pStyle w:val="a3"/>
        <w:rPr>
          <w:rtl/>
        </w:rPr>
      </w:pPr>
      <w:bookmarkStart w:id="4541" w:name="_Toc55991950"/>
      <w:bookmarkStart w:id="4542" w:name="_Toc56030499"/>
      <w:bookmarkStart w:id="4543" w:name="_Toc56032690"/>
      <w:r>
        <w:rPr>
          <w:rFonts w:hint="cs"/>
          <w:rtl/>
        </w:rPr>
        <w:t>דברי רבי ראובן דמשמע ברמב"ן דאינו נזהר בשטר כיון שסומך החזקה ולא שסומך שלא יערער</w:t>
      </w:r>
      <w:bookmarkEnd w:id="4541"/>
      <w:bookmarkEnd w:id="4542"/>
      <w:bookmarkEnd w:id="4543"/>
    </w:p>
    <w:p w:rsidR="00F163D7" w:rsidRDefault="00F163D7" w:rsidP="007E4E81">
      <w:pPr>
        <w:pStyle w:val="a0"/>
        <w:rPr>
          <w:rtl/>
        </w:rPr>
      </w:pPr>
      <w:bookmarkStart w:id="4544" w:name="_Ref55814221"/>
      <w:r>
        <w:rPr>
          <w:rFonts w:hint="cs"/>
          <w:rtl/>
        </w:rPr>
        <w:t xml:space="preserve">וכתב </w:t>
      </w:r>
      <w:r w:rsidRPr="00A5710F">
        <w:rPr>
          <w:rStyle w:val="af9"/>
          <w:rFonts w:hint="cs"/>
          <w:rtl/>
        </w:rPr>
        <w:t>ב</w:t>
      </w:r>
      <w:r w:rsidRPr="00A5710F">
        <w:rPr>
          <w:rStyle w:val="af9"/>
          <w:rtl/>
        </w:rPr>
        <w:t>חי' רבי ראובן</w:t>
      </w:r>
      <w:r>
        <w:rPr>
          <w:rFonts w:hint="cs"/>
          <w:rtl/>
        </w:rPr>
        <w:t xml:space="preserve"> דכן משמע מלשון </w:t>
      </w:r>
      <w:r w:rsidRPr="00A5710F">
        <w:rPr>
          <w:rStyle w:val="af9"/>
          <w:rtl/>
        </w:rPr>
        <w:t>הרמב"ן</w:t>
      </w:r>
      <w:r>
        <w:rPr>
          <w:rFonts w:hint="cs"/>
          <w:rtl/>
        </w:rPr>
        <w:t xml:space="preserve"> </w:t>
      </w:r>
      <w:r>
        <w:rPr>
          <w:rStyle w:val="af9"/>
          <w:rFonts w:hint="cs"/>
          <w:rtl/>
        </w:rPr>
        <w:t>לקמן</w:t>
      </w:r>
      <w:r w:rsidRPr="00991D1E">
        <w:rPr>
          <w:rStyle w:val="af9"/>
          <w:rFonts w:hint="cs"/>
          <w:rtl/>
        </w:rPr>
        <w:t xml:space="preserve"> </w:t>
      </w:r>
      <w:r w:rsidRPr="00E71DB0">
        <w:rPr>
          <w:rStyle w:val="af7"/>
          <w:rFonts w:eastAsia="Guttman Hodes" w:hint="cs"/>
          <w:rtl/>
        </w:rPr>
        <w:t xml:space="preserve">(עי' אות </w:t>
      </w:r>
      <w:r w:rsidRPr="00E71DB0">
        <w:rPr>
          <w:rStyle w:val="af7"/>
          <w:rFonts w:eastAsia="Guttman Hodes"/>
          <w:rtl/>
        </w:rPr>
        <w:fldChar w:fldCharType="begin"/>
      </w:r>
      <w:r w:rsidRPr="00E71DB0">
        <w:rPr>
          <w:rStyle w:val="af7"/>
          <w:rFonts w:eastAsia="Guttman Hodes"/>
          <w:rtl/>
        </w:rPr>
        <w:instrText xml:space="preserve"> </w:instrText>
      </w:r>
      <w:r w:rsidRPr="00E71DB0">
        <w:rPr>
          <w:rStyle w:val="af7"/>
          <w:rFonts w:eastAsia="Guttman Hodes" w:hint="cs"/>
        </w:rPr>
        <w:instrText>REF</w:instrText>
      </w:r>
      <w:r w:rsidRPr="00E71DB0">
        <w:rPr>
          <w:rStyle w:val="af7"/>
          <w:rFonts w:eastAsia="Guttman Hodes" w:hint="cs"/>
          <w:rtl/>
        </w:rPr>
        <w:instrText xml:space="preserve"> _</w:instrText>
      </w:r>
      <w:r w:rsidRPr="00E71DB0">
        <w:rPr>
          <w:rStyle w:val="af7"/>
          <w:rFonts w:eastAsia="Guttman Hodes" w:hint="cs"/>
        </w:rPr>
        <w:instrText>Ref55940285 \r \h</w:instrText>
      </w:r>
      <w:r w:rsidRPr="00E71DB0">
        <w:rPr>
          <w:rStyle w:val="af7"/>
          <w:rFonts w:eastAsia="Guttman Hodes"/>
          <w:rtl/>
        </w:rPr>
        <w:instrText xml:space="preserve"> </w:instrText>
      </w:r>
      <w:r w:rsidRPr="00E71DB0">
        <w:rPr>
          <w:rStyle w:val="af7"/>
          <w:rFonts w:eastAsia="Guttman Hodes"/>
          <w:rtl/>
        </w:rPr>
      </w:r>
      <w:r w:rsidRPr="00E71DB0">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E71DB0">
        <w:rPr>
          <w:rStyle w:val="af7"/>
          <w:rFonts w:eastAsia="Guttman Hodes"/>
          <w:rtl/>
        </w:rPr>
        <w:fldChar w:fldCharType="end"/>
      </w:r>
      <w:r>
        <w:rPr>
          <w:rFonts w:hint="cs"/>
          <w:rtl/>
        </w:rPr>
        <w:t xml:space="preserve"> דהא דאינו נזהר בשטרו לאחר ג"ש, הוא כיון שסומך על החזקה, ולא כיון שאחר ג"ש סומך שלא יערערו עליו, וכן מבואר מדברי </w:t>
      </w:r>
      <w:r w:rsidRPr="00953079">
        <w:rPr>
          <w:rStyle w:val="af9"/>
          <w:rtl/>
        </w:rPr>
        <w:t>הרמב"ן לקמן</w:t>
      </w:r>
      <w:r>
        <w:rPr>
          <w:rFonts w:hint="cs"/>
          <w:rtl/>
        </w:rPr>
        <w:t xml:space="preserve"> </w:t>
      </w:r>
      <w:r w:rsidRPr="00953079">
        <w:rPr>
          <w:rStyle w:val="af7"/>
          <w:rFonts w:eastAsia="Guttman Rashi"/>
          <w:rtl/>
        </w:rPr>
        <w:t xml:space="preserve">(עי' אות </w:t>
      </w:r>
      <w:r w:rsidRPr="00953079">
        <w:rPr>
          <w:rStyle w:val="af7"/>
          <w:rFonts w:eastAsia="Guttman Rashi"/>
          <w:rtl/>
        </w:rPr>
        <w:fldChar w:fldCharType="begin"/>
      </w:r>
      <w:r w:rsidRPr="00953079">
        <w:rPr>
          <w:rStyle w:val="af7"/>
          <w:rFonts w:eastAsia="Guttman Rashi"/>
          <w:rtl/>
        </w:rPr>
        <w:instrText xml:space="preserve"> </w:instrText>
      </w:r>
      <w:r w:rsidRPr="00953079">
        <w:rPr>
          <w:rStyle w:val="af7"/>
          <w:rFonts w:eastAsia="Guttman Rashi"/>
        </w:rPr>
        <w:instrText>REF</w:instrText>
      </w:r>
      <w:r w:rsidRPr="00953079">
        <w:rPr>
          <w:rStyle w:val="af7"/>
          <w:rFonts w:eastAsia="Guttman Rashi"/>
          <w:rtl/>
        </w:rPr>
        <w:instrText xml:space="preserve"> _</w:instrText>
      </w:r>
      <w:r w:rsidRPr="00953079">
        <w:rPr>
          <w:rStyle w:val="af7"/>
          <w:rFonts w:eastAsia="Guttman Rashi"/>
        </w:rPr>
        <w:instrText>Ref55809608 \r \h</w:instrText>
      </w:r>
      <w:r w:rsidRPr="00953079">
        <w:rPr>
          <w:rStyle w:val="af7"/>
          <w:rFonts w:eastAsia="Guttman Rashi"/>
          <w:rtl/>
        </w:rPr>
        <w:instrText xml:space="preserve"> </w:instrText>
      </w:r>
      <w:r w:rsidRPr="00953079">
        <w:rPr>
          <w:rStyle w:val="af7"/>
          <w:rFonts w:eastAsia="Guttman Rashi"/>
          <w:rtl/>
        </w:rPr>
      </w:r>
      <w:r w:rsidRPr="00953079">
        <w:rPr>
          <w:rStyle w:val="af7"/>
          <w:rFonts w:eastAsia="Guttman Rashi"/>
          <w:rtl/>
        </w:rPr>
        <w:fldChar w:fldCharType="separate"/>
      </w:r>
      <w:r w:rsidR="00265073">
        <w:rPr>
          <w:rStyle w:val="af7"/>
          <w:rFonts w:eastAsia="Guttman Rashi"/>
          <w:cs/>
        </w:rPr>
        <w:t>‎</w:t>
      </w:r>
      <w:r w:rsidR="00265073">
        <w:rPr>
          <w:rStyle w:val="af7"/>
          <w:rFonts w:eastAsia="Guttman Rashi"/>
          <w:rtl/>
        </w:rPr>
        <w:t>י)</w:t>
      </w:r>
      <w:r w:rsidRPr="00953079">
        <w:rPr>
          <w:rStyle w:val="af7"/>
          <w:rFonts w:eastAsia="Guttman Rashi"/>
          <w:rtl/>
        </w:rPr>
        <w:fldChar w:fldCharType="end"/>
      </w:r>
      <w:r w:rsidRPr="00953079">
        <w:rPr>
          <w:rStyle w:val="af7"/>
          <w:rFonts w:eastAsia="Guttman Rashi"/>
          <w:rtl/>
        </w:rPr>
        <w:t xml:space="preserve"> </w:t>
      </w:r>
      <w:r>
        <w:rPr>
          <w:rFonts w:hint="cs"/>
          <w:rtl/>
        </w:rPr>
        <w:t xml:space="preserve">דכתב דכשהמערער נמצא במקום חירום, לא הוי חזקה והיה לו להזהר בשטרו, עד שיראה המרא קמא את המחזיק שהוא מחזיק בקרקע שלו, דרק באותו הזמן יוודע לכל שהוא שלו ולא יצטרך להזהר בשטרו, וכתב </w:t>
      </w:r>
      <w:r w:rsidRPr="0005611D">
        <w:rPr>
          <w:rStyle w:val="af9"/>
          <w:rFonts w:hint="cs"/>
          <w:rtl/>
        </w:rPr>
        <w:t>בחי' רבי ראובן</w:t>
      </w:r>
      <w:r>
        <w:rPr>
          <w:rFonts w:hint="cs"/>
          <w:rtl/>
        </w:rPr>
        <w:t xml:space="preserve"> דמבואר מדברי </w:t>
      </w:r>
      <w:r w:rsidRPr="00C13CCE">
        <w:rPr>
          <w:rStyle w:val="af9"/>
          <w:rFonts w:hint="cs"/>
          <w:rtl/>
        </w:rPr>
        <w:t>הרמב"ן</w:t>
      </w:r>
      <w:r>
        <w:rPr>
          <w:rFonts w:hint="cs"/>
          <w:rtl/>
        </w:rPr>
        <w:t xml:space="preserve"> דהא דאין המחזיק נזהר בשטרו, הוא </w:t>
      </w:r>
      <w:r>
        <w:rPr>
          <w:rtl/>
        </w:rPr>
        <w:t>רק כש</w:t>
      </w:r>
      <w:r>
        <w:rPr>
          <w:rFonts w:hint="cs"/>
          <w:rtl/>
        </w:rPr>
        <w:t>סומך על החזקה שאף בלא השטר הקרקע בחזקתו, ולא מחמת שסומך שלא יערער עליו עוד.</w:t>
      </w:r>
      <w:bookmarkEnd w:id="4544"/>
      <w:r w:rsidRPr="007338D0">
        <w:rPr>
          <w:rStyle w:val="afb"/>
          <w:rFonts w:hint="cs"/>
          <w:rtl/>
        </w:rPr>
        <w:t xml:space="preserve"> [וד</w:t>
      </w:r>
      <w:r>
        <w:rPr>
          <w:rStyle w:val="afb"/>
          <w:rFonts w:hint="cs"/>
          <w:rtl/>
        </w:rPr>
        <w:t xml:space="preserve">לא </w:t>
      </w:r>
      <w:r w:rsidRPr="00C13CCE">
        <w:rPr>
          <w:rStyle w:val="affa"/>
          <w:rFonts w:hint="cs"/>
          <w:rtl/>
        </w:rPr>
        <w:t>כ</w:t>
      </w:r>
      <w:r w:rsidRPr="004B6E60">
        <w:rPr>
          <w:rStyle w:val="affa"/>
          <w:rFonts w:hint="cs"/>
          <w:rtl/>
        </w:rPr>
        <w:t>הרשב"א</w:t>
      </w:r>
      <w:r>
        <w:rPr>
          <w:rStyle w:val="afb"/>
          <w:rFonts w:hint="cs"/>
          <w:rtl/>
        </w:rPr>
        <w:t xml:space="preserve"> </w:t>
      </w:r>
      <w:r w:rsidRPr="004B6E60">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Ref56007864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מה)</w:t>
      </w:r>
      <w:r>
        <w:rPr>
          <w:rStyle w:val="aff6"/>
          <w:rtl/>
        </w:rPr>
        <w:fldChar w:fldCharType="end"/>
      </w:r>
      <w:r>
        <w:rPr>
          <w:rStyle w:val="aff6"/>
          <w:rFonts w:hint="cs"/>
          <w:rtl/>
        </w:rPr>
        <w:t xml:space="preserve"> </w:t>
      </w:r>
      <w:r w:rsidRPr="004B6E60">
        <w:rPr>
          <w:rStyle w:val="affa"/>
          <w:rFonts w:hint="cs"/>
          <w:rtl/>
        </w:rPr>
        <w:t>ו</w:t>
      </w:r>
      <w:r w:rsidRPr="00C13CCE">
        <w:rPr>
          <w:rStyle w:val="affa"/>
          <w:rFonts w:hint="cs"/>
          <w:rtl/>
        </w:rPr>
        <w:t>ה</w:t>
      </w:r>
      <w:r w:rsidRPr="004B6E60">
        <w:rPr>
          <w:rStyle w:val="affa"/>
          <w:rFonts w:hint="cs"/>
          <w:rtl/>
        </w:rPr>
        <w:t>יד רמ"ה</w:t>
      </w:r>
      <w:r w:rsidRPr="0004162B">
        <w:rPr>
          <w:rStyle w:val="afb"/>
          <w:rFonts w:hint="cs"/>
          <w:rtl/>
        </w:rPr>
        <w:t xml:space="preserve"> </w:t>
      </w:r>
      <w:r w:rsidRPr="009D1DFE">
        <w:rPr>
          <w:rStyle w:val="af7"/>
          <w:rFonts w:eastAsia="Guttman Hodes" w:hint="cs"/>
          <w:rtl/>
        </w:rPr>
        <w:t>(</w:t>
      </w:r>
      <w:r>
        <w:rPr>
          <w:rStyle w:val="af7"/>
          <w:rFonts w:eastAsia="Guttman Hodes" w:hint="cs"/>
          <w:rtl/>
        </w:rPr>
        <w:t xml:space="preserve">כח. </w:t>
      </w:r>
      <w:r w:rsidRPr="009D1DFE">
        <w:rPr>
          <w:rStyle w:val="af7"/>
          <w:rFonts w:eastAsia="Guttman Hodes" w:hint="cs"/>
          <w:rtl/>
        </w:rPr>
        <w:t>או' א' ד"ה ומסקנא)</w:t>
      </w:r>
      <w:r>
        <w:rPr>
          <w:rFonts w:hint="cs"/>
          <w:rtl/>
        </w:rPr>
        <w:t xml:space="preserve"> </w:t>
      </w:r>
      <w:r w:rsidRPr="0004162B">
        <w:rPr>
          <w:rStyle w:val="afb"/>
          <w:rFonts w:hint="cs"/>
          <w:rtl/>
        </w:rPr>
        <w:t>דכתב</w:t>
      </w:r>
      <w:r>
        <w:rPr>
          <w:rStyle w:val="afb"/>
          <w:rFonts w:hint="cs"/>
          <w:rtl/>
        </w:rPr>
        <w:t>ו</w:t>
      </w:r>
      <w:r w:rsidRPr="0004162B">
        <w:rPr>
          <w:rStyle w:val="afb"/>
          <w:rFonts w:hint="cs"/>
          <w:rtl/>
        </w:rPr>
        <w:t xml:space="preserve"> </w:t>
      </w:r>
      <w:r>
        <w:rPr>
          <w:rStyle w:val="afb"/>
          <w:rFonts w:hint="cs"/>
          <w:rtl/>
        </w:rPr>
        <w:t>ד</w:t>
      </w:r>
      <w:r w:rsidRPr="0004162B">
        <w:rPr>
          <w:rStyle w:val="afb"/>
          <w:rFonts w:hint="cs"/>
          <w:rtl/>
        </w:rPr>
        <w:t xml:space="preserve">לאחר ג"ש </w:t>
      </w:r>
      <w:r>
        <w:rPr>
          <w:rStyle w:val="afb"/>
          <w:rFonts w:hint="cs"/>
          <w:rtl/>
        </w:rPr>
        <w:t xml:space="preserve">ששתק </w:t>
      </w:r>
      <w:r w:rsidRPr="0004162B">
        <w:rPr>
          <w:rStyle w:val="afb"/>
          <w:rFonts w:hint="cs"/>
          <w:rtl/>
        </w:rPr>
        <w:t>המרא קמא, הוא בוטח שלא יחזו</w:t>
      </w:r>
      <w:r>
        <w:rPr>
          <w:rStyle w:val="afb"/>
          <w:rFonts w:hint="cs"/>
          <w:rtl/>
        </w:rPr>
        <w:t xml:space="preserve">ר ויערער עליו, ואינו נזהר </w:t>
      </w:r>
      <w:r w:rsidRPr="007338D0">
        <w:rPr>
          <w:rStyle w:val="afb"/>
          <w:rFonts w:hint="cs"/>
          <w:rtl/>
        </w:rPr>
        <w:t>בשטרו].</w:t>
      </w:r>
    </w:p>
    <w:p w:rsidR="00F163D7" w:rsidRDefault="00F163D7" w:rsidP="00F163D7">
      <w:pPr>
        <w:pStyle w:val="1"/>
        <w:rPr>
          <w:rtl/>
        </w:rPr>
      </w:pPr>
      <w:bookmarkStart w:id="4545" w:name="_Toc55927886"/>
      <w:bookmarkStart w:id="4546" w:name="_Toc55946612"/>
      <w:bookmarkStart w:id="4547" w:name="_Toc55991951"/>
      <w:bookmarkStart w:id="4548" w:name="_Toc56030500"/>
      <w:bookmarkStart w:id="4549" w:name="_Toc56032691"/>
      <w:r>
        <w:rPr>
          <w:rFonts w:hint="cs"/>
          <w:rtl/>
        </w:rPr>
        <w:t>ביאור רבי ראובן בקצוה"ח</w:t>
      </w:r>
      <w:bookmarkEnd w:id="4545"/>
      <w:bookmarkEnd w:id="4546"/>
      <w:bookmarkEnd w:id="4547"/>
      <w:bookmarkEnd w:id="4548"/>
      <w:r>
        <w:rPr>
          <w:rFonts w:hint="cs"/>
          <w:rtl/>
        </w:rPr>
        <w:t xml:space="preserve"> דיש ב' זמנים דעל המערער להקפיד</w:t>
      </w:r>
      <w:bookmarkEnd w:id="4549"/>
    </w:p>
    <w:p w:rsidR="00F163D7" w:rsidRPr="00FC0330" w:rsidRDefault="00F163D7" w:rsidP="00F163D7">
      <w:pPr>
        <w:pStyle w:val="a3"/>
      </w:pPr>
      <w:bookmarkStart w:id="4550" w:name="_Toc55991952"/>
      <w:bookmarkStart w:id="4551" w:name="_Toc56030501"/>
      <w:bookmarkStart w:id="4552" w:name="_Toc56032692"/>
      <w:r>
        <w:rPr>
          <w:rFonts w:hint="cs"/>
          <w:rtl/>
        </w:rPr>
        <w:t>ביאור רבי ראובן בקצוה"ח דהמערער אינו מקפיד בתחילה ואינו מקפיד בזמן שנזהר בשטרו</w:t>
      </w:r>
      <w:bookmarkEnd w:id="4550"/>
      <w:bookmarkEnd w:id="4551"/>
      <w:bookmarkEnd w:id="4552"/>
    </w:p>
    <w:p w:rsidR="00F163D7" w:rsidRDefault="00F163D7" w:rsidP="007E4E81">
      <w:pPr>
        <w:pStyle w:val="a0"/>
        <w:rPr>
          <w:rtl/>
        </w:rPr>
      </w:pPr>
      <w:bookmarkStart w:id="4553" w:name="_Ref55991465"/>
      <w:r>
        <w:rPr>
          <w:rFonts w:hint="cs"/>
          <w:rtl/>
        </w:rPr>
        <w:t xml:space="preserve">אך כתב </w:t>
      </w:r>
      <w:r w:rsidRPr="006F13AC">
        <w:rPr>
          <w:rStyle w:val="af9"/>
          <w:rFonts w:hint="cs"/>
          <w:rtl/>
        </w:rPr>
        <w:t>בחי' רבי ראובן</w:t>
      </w:r>
      <w:r>
        <w:rPr>
          <w:rFonts w:hint="cs"/>
          <w:rtl/>
        </w:rPr>
        <w:t xml:space="preserve"> </w:t>
      </w:r>
      <w:r w:rsidRPr="00C9748F">
        <w:rPr>
          <w:rStyle w:val="af7"/>
          <w:rFonts w:eastAsia="Guttman Hodes"/>
          <w:rtl/>
        </w:rPr>
        <w:t>(סי' י"א</w:t>
      </w:r>
      <w:r w:rsidRPr="00C9748F">
        <w:rPr>
          <w:rStyle w:val="af7"/>
          <w:rFonts w:eastAsia="Guttman Hodes" w:hint="cs"/>
          <w:rtl/>
        </w:rPr>
        <w:t xml:space="preserve"> ד"ה ולביאור)</w:t>
      </w:r>
      <w:r>
        <w:rPr>
          <w:rFonts w:hint="cs"/>
          <w:rtl/>
        </w:rPr>
        <w:t xml:space="preserve"> דלפי ביאור </w:t>
      </w:r>
      <w:r w:rsidRPr="006F13AC">
        <w:rPr>
          <w:rStyle w:val="af9"/>
          <w:rFonts w:hint="cs"/>
          <w:rtl/>
        </w:rPr>
        <w:t>הקצוה"ח</w:t>
      </w:r>
      <w:r>
        <w:rPr>
          <w:rFonts w:hint="cs"/>
          <w:rtl/>
        </w:rPr>
        <w:t xml:space="preserve"> </w:t>
      </w:r>
      <w:r w:rsidRPr="007338D0">
        <w:rPr>
          <w:rStyle w:val="af7"/>
          <w:rFonts w:eastAsia="Guttman Hodes" w:hint="cs"/>
          <w:rtl/>
        </w:rPr>
        <w:t xml:space="preserve">(עי' אות </w:t>
      </w:r>
      <w:r w:rsidRPr="007338D0">
        <w:rPr>
          <w:rStyle w:val="af7"/>
          <w:rFonts w:eastAsia="Guttman Hodes"/>
          <w:rtl/>
        </w:rPr>
        <w:fldChar w:fldCharType="begin"/>
      </w:r>
      <w:r w:rsidRPr="007338D0">
        <w:rPr>
          <w:rStyle w:val="af7"/>
          <w:rFonts w:eastAsia="Guttman Hodes"/>
          <w:rtl/>
        </w:rPr>
        <w:instrText xml:space="preserve"> </w:instrText>
      </w:r>
      <w:r w:rsidRPr="007338D0">
        <w:rPr>
          <w:rStyle w:val="af7"/>
          <w:rFonts w:eastAsia="Guttman Hodes" w:hint="cs"/>
        </w:rPr>
        <w:instrText>REF</w:instrText>
      </w:r>
      <w:r w:rsidRPr="007338D0">
        <w:rPr>
          <w:rStyle w:val="af7"/>
          <w:rFonts w:eastAsia="Guttman Hodes" w:hint="cs"/>
          <w:rtl/>
        </w:rPr>
        <w:instrText xml:space="preserve"> _</w:instrText>
      </w:r>
      <w:r w:rsidRPr="007338D0">
        <w:rPr>
          <w:rStyle w:val="af7"/>
          <w:rFonts w:eastAsia="Guttman Hodes" w:hint="cs"/>
        </w:rPr>
        <w:instrText>Ref55812937 \r \h</w:instrText>
      </w:r>
      <w:r w:rsidRPr="007338D0">
        <w:rPr>
          <w:rStyle w:val="af7"/>
          <w:rFonts w:eastAsia="Guttman Hodes"/>
          <w:rtl/>
        </w:rPr>
        <w:instrText xml:space="preserve"> </w:instrText>
      </w:r>
      <w:r w:rsidRPr="007338D0">
        <w:rPr>
          <w:rStyle w:val="af7"/>
          <w:rFonts w:eastAsia="Guttman Hodes"/>
          <w:rtl/>
        </w:rPr>
      </w:r>
      <w:r w:rsidRPr="007338D0">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7338D0">
        <w:rPr>
          <w:rStyle w:val="af7"/>
          <w:rFonts w:eastAsia="Guttman Hodes"/>
          <w:rtl/>
        </w:rPr>
        <w:fldChar w:fldCharType="end"/>
      </w:r>
      <w:r>
        <w:rPr>
          <w:rFonts w:hint="cs"/>
          <w:rtl/>
        </w:rPr>
        <w:t xml:space="preserve"> </w:t>
      </w:r>
      <w:r w:rsidRPr="006F13AC">
        <w:rPr>
          <w:rStyle w:val="af9"/>
          <w:rFonts w:hint="cs"/>
          <w:rtl/>
        </w:rPr>
        <w:t>ברמב"ן</w:t>
      </w:r>
      <w:r>
        <w:rPr>
          <w:rFonts w:hint="cs"/>
          <w:rtl/>
        </w:rPr>
        <w:t xml:space="preserve"> יש ב' זמנים שהמערער מקפיד, דהרגלים לדבר הוא ממה שלא הקפיד המערער ביום הראשון שרואה את המחזיק בקרקע, והזמן השני הוא דהמחזיק אינו נזהר בשטרו, כיון שלא הקפיד עליו המערער במה שלא מחה בג' אכילות. </w:t>
      </w:r>
      <w:r w:rsidRPr="00024FF6">
        <w:rPr>
          <w:rStyle w:val="afb"/>
          <w:rFonts w:hint="cs"/>
          <w:rtl/>
        </w:rPr>
        <w:t>[כדביאר</w:t>
      </w:r>
      <w:r w:rsidRPr="00413E03">
        <w:rPr>
          <w:szCs w:val="14"/>
          <w:rtl/>
        </w:rPr>
        <w:t xml:space="preserve"> </w:t>
      </w:r>
      <w:r>
        <w:rPr>
          <w:rStyle w:val="affa"/>
          <w:rtl/>
        </w:rPr>
        <w:t>הרמב</w:t>
      </w:r>
      <w:r w:rsidRPr="006C176C">
        <w:rPr>
          <w:rStyle w:val="affa"/>
          <w:rtl/>
        </w:rPr>
        <w:t>"ן</w:t>
      </w:r>
      <w:r w:rsidRPr="006C176C">
        <w:rPr>
          <w:rStyle w:val="affa"/>
          <w:rFonts w:hint="cs"/>
          <w:rtl/>
        </w:rPr>
        <w:t xml:space="preserve"> לקמן</w:t>
      </w:r>
      <w:r w:rsidRPr="00413E03">
        <w:rPr>
          <w:szCs w:val="14"/>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Ref55809608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י)</w:t>
      </w:r>
      <w:r>
        <w:rPr>
          <w:rStyle w:val="aff6"/>
          <w:rtl/>
        </w:rPr>
        <w:fldChar w:fldCharType="end"/>
      </w:r>
      <w:r>
        <w:rPr>
          <w:rStyle w:val="aff6"/>
          <w:rFonts w:hint="cs"/>
          <w:rtl/>
        </w:rPr>
        <w:t xml:space="preserve"> </w:t>
      </w:r>
      <w:r w:rsidRPr="001508FD">
        <w:rPr>
          <w:rStyle w:val="afb"/>
          <w:rFonts w:hint="cs"/>
          <w:rtl/>
        </w:rPr>
        <w:t>בדין חזקה כשהמערער במקום חירום]</w:t>
      </w:r>
      <w:r>
        <w:rPr>
          <w:rStyle w:val="afb"/>
          <w:rFonts w:hint="cs"/>
          <w:rtl/>
        </w:rPr>
        <w:t>.</w:t>
      </w:r>
      <w:bookmarkEnd w:id="4553"/>
    </w:p>
    <w:p w:rsidR="00F163D7" w:rsidRPr="006F13AC" w:rsidRDefault="00F163D7" w:rsidP="00F163D7">
      <w:pPr>
        <w:pStyle w:val="a3"/>
      </w:pPr>
      <w:bookmarkStart w:id="4554" w:name="_Toc56030502"/>
      <w:bookmarkStart w:id="4555" w:name="_Toc56032693"/>
      <w:r>
        <w:rPr>
          <w:rFonts w:hint="cs"/>
          <w:rtl/>
        </w:rPr>
        <w:t>דברי רבי ראובן דלקצוה"ח אינו נזהר דאחר ג"ש סומך שלא יערער ולא משמע כן ברמב"ן</w:t>
      </w:r>
      <w:bookmarkEnd w:id="4554"/>
      <w:bookmarkEnd w:id="4555"/>
    </w:p>
    <w:p w:rsidR="00F163D7" w:rsidRDefault="00F163D7" w:rsidP="007E4E81">
      <w:pPr>
        <w:pStyle w:val="a0"/>
      </w:pPr>
      <w:r>
        <w:rPr>
          <w:rFonts w:hint="cs"/>
          <w:rtl/>
        </w:rPr>
        <w:t xml:space="preserve">וכתב </w:t>
      </w:r>
      <w:r w:rsidRPr="006F13AC">
        <w:rPr>
          <w:rStyle w:val="af9"/>
          <w:rFonts w:hint="cs"/>
          <w:rtl/>
        </w:rPr>
        <w:t xml:space="preserve">בחי' רבי ראובן </w:t>
      </w:r>
      <w:r>
        <w:rPr>
          <w:rFonts w:hint="cs"/>
          <w:rtl/>
        </w:rPr>
        <w:t xml:space="preserve">דכ"מ שאפשר לבאר כדברי </w:t>
      </w:r>
      <w:r w:rsidRPr="006F13AC">
        <w:rPr>
          <w:rStyle w:val="af9"/>
          <w:rFonts w:hint="cs"/>
          <w:rtl/>
        </w:rPr>
        <w:t>הקצוה"ח</w:t>
      </w:r>
      <w:r>
        <w:rPr>
          <w:rFonts w:hint="cs"/>
          <w:rtl/>
        </w:rPr>
        <w:t xml:space="preserve">, הוא רק אי נימא דהא דאינו נזהר בשטרו הוא כיון דסומך שלאחר ג"ש לא יערערו עליו עוד, אבל בדברי </w:t>
      </w:r>
      <w:r w:rsidRPr="006F13AC">
        <w:rPr>
          <w:rStyle w:val="af9"/>
          <w:rFonts w:hint="cs"/>
          <w:rtl/>
        </w:rPr>
        <w:t>הרמב"ן</w:t>
      </w:r>
      <w:r>
        <w:rPr>
          <w:rFonts w:hint="cs"/>
          <w:rtl/>
        </w:rPr>
        <w:t xml:space="preserve"> </w:t>
      </w:r>
      <w:r w:rsidRPr="006F13AC">
        <w:rPr>
          <w:rStyle w:val="af7"/>
          <w:rFonts w:eastAsia="Guttman Hodes" w:hint="cs"/>
          <w:rtl/>
        </w:rPr>
        <w:t xml:space="preserve">(עי' אות </w:t>
      </w:r>
      <w:r w:rsidRPr="006F13AC">
        <w:rPr>
          <w:rStyle w:val="af7"/>
          <w:rFonts w:eastAsia="Guttman Hodes"/>
          <w:rtl/>
        </w:rPr>
        <w:fldChar w:fldCharType="begin"/>
      </w:r>
      <w:r w:rsidRPr="006F13AC">
        <w:rPr>
          <w:rStyle w:val="af7"/>
          <w:rFonts w:eastAsia="Guttman Hodes"/>
          <w:rtl/>
        </w:rPr>
        <w:instrText xml:space="preserve"> </w:instrText>
      </w:r>
      <w:r w:rsidRPr="006F13AC">
        <w:rPr>
          <w:rStyle w:val="af7"/>
          <w:rFonts w:eastAsia="Guttman Hodes" w:hint="cs"/>
        </w:rPr>
        <w:instrText>REF</w:instrText>
      </w:r>
      <w:r w:rsidRPr="006F13AC">
        <w:rPr>
          <w:rStyle w:val="af7"/>
          <w:rFonts w:eastAsia="Guttman Hodes" w:hint="cs"/>
          <w:rtl/>
        </w:rPr>
        <w:instrText xml:space="preserve"> _</w:instrText>
      </w:r>
      <w:r w:rsidRPr="006F13AC">
        <w:rPr>
          <w:rStyle w:val="af7"/>
          <w:rFonts w:eastAsia="Guttman Hodes" w:hint="cs"/>
        </w:rPr>
        <w:instrText>Ref55814221 \r \h</w:instrText>
      </w:r>
      <w:r w:rsidRPr="006F13AC">
        <w:rPr>
          <w:rStyle w:val="af7"/>
          <w:rFonts w:eastAsia="Guttman Hodes"/>
          <w:rtl/>
        </w:rPr>
        <w:instrText xml:space="preserve"> </w:instrText>
      </w:r>
      <w:r w:rsidRPr="006F13AC">
        <w:rPr>
          <w:rStyle w:val="af7"/>
          <w:rFonts w:eastAsia="Guttman Hodes"/>
          <w:rtl/>
        </w:rPr>
      </w:r>
      <w:r w:rsidRPr="006F13AC">
        <w:rPr>
          <w:rStyle w:val="af7"/>
          <w:rFonts w:eastAsia="Guttman Hodes"/>
          <w:rtl/>
        </w:rPr>
        <w:fldChar w:fldCharType="separate"/>
      </w:r>
      <w:r w:rsidR="00265073">
        <w:rPr>
          <w:rStyle w:val="af7"/>
          <w:rFonts w:eastAsia="Guttman Hodes"/>
          <w:cs/>
        </w:rPr>
        <w:t>‎</w:t>
      </w:r>
      <w:r w:rsidR="00265073">
        <w:rPr>
          <w:rStyle w:val="af7"/>
          <w:rFonts w:eastAsia="Guttman Hodes"/>
          <w:rtl/>
        </w:rPr>
        <w:t>עה)</w:t>
      </w:r>
      <w:r w:rsidRPr="006F13AC">
        <w:rPr>
          <w:rStyle w:val="af7"/>
          <w:rFonts w:eastAsia="Guttman Hodes"/>
          <w:rtl/>
        </w:rPr>
        <w:fldChar w:fldCharType="end"/>
      </w:r>
      <w:r>
        <w:rPr>
          <w:rFonts w:hint="cs"/>
          <w:rtl/>
        </w:rPr>
        <w:t xml:space="preserve"> משמע דאינו נזהר בשטרו, כיון שידוע לכל שהקרקע שלו, והיינו שהועילה לו החזקת ג"ש, ולא מחמת שסומך שלאחר ג"ש לא יערערו עליו עוד, </w:t>
      </w:r>
      <w:r w:rsidRPr="006F13AC">
        <w:rPr>
          <w:rStyle w:val="afb"/>
          <w:rFonts w:hint="cs"/>
          <w:rtl/>
        </w:rPr>
        <w:t xml:space="preserve">[דהא אם אינו נזהר מחמת שהועילה לו החזקה, א"כ לדברי </w:t>
      </w:r>
      <w:r w:rsidRPr="006F13AC">
        <w:rPr>
          <w:rStyle w:val="affa"/>
          <w:rFonts w:hint="cs"/>
          <w:rtl/>
        </w:rPr>
        <w:t>הקצוה"ח</w:t>
      </w:r>
      <w:r w:rsidRPr="006F13AC">
        <w:rPr>
          <w:rStyle w:val="afb"/>
          <w:rFonts w:hint="cs"/>
          <w:rtl/>
        </w:rPr>
        <w:t xml:space="preserve"> ביום הראשון שהחזיק ולא מחה, יש לו כבר ראיה והוי חזקה, ואמאי הוא נזהר בשטרו],</w:t>
      </w:r>
      <w:r>
        <w:rPr>
          <w:rFonts w:hint="cs"/>
          <w:rtl/>
        </w:rPr>
        <w:t xml:space="preserve"> וכתב </w:t>
      </w:r>
      <w:r w:rsidRPr="006F13AC">
        <w:rPr>
          <w:rStyle w:val="af9"/>
          <w:rFonts w:hint="cs"/>
          <w:rtl/>
        </w:rPr>
        <w:t>בחי' רבי ראובן</w:t>
      </w:r>
      <w:r>
        <w:rPr>
          <w:rFonts w:hint="cs"/>
          <w:rtl/>
        </w:rPr>
        <w:t xml:space="preserve"> דלדעת </w:t>
      </w:r>
      <w:r w:rsidRPr="006F13AC">
        <w:rPr>
          <w:rStyle w:val="af9"/>
          <w:rFonts w:hint="cs"/>
          <w:rtl/>
        </w:rPr>
        <w:t>הקצוה"ח</w:t>
      </w:r>
      <w:r>
        <w:rPr>
          <w:rFonts w:hint="cs"/>
          <w:rtl/>
        </w:rPr>
        <w:t xml:space="preserve"> צ"ל דאעפ"י שבשעה אחת כבר יש רגלים לדבר, מ"מ אין המחזיק סומך על זה לאבד את שטרו, אלא רק לאחר ג"ש שידוע לכל שהקרקע שלו, אעפ"י שמדינא כבר בשעה אחת יש לו ראיה וחזקה.</w:t>
      </w:r>
    </w:p>
    <w:p w:rsidR="00F163D7" w:rsidRPr="0007053F" w:rsidRDefault="00F163D7" w:rsidP="00F163D7">
      <w:pPr>
        <w:pStyle w:val="a3"/>
        <w:rPr>
          <w:rtl/>
        </w:rPr>
      </w:pPr>
      <w:bookmarkStart w:id="4556" w:name="_Toc56030503"/>
      <w:bookmarkStart w:id="4557" w:name="_Toc56032694"/>
      <w:r>
        <w:rPr>
          <w:rFonts w:hint="cs"/>
          <w:rtl/>
        </w:rPr>
        <w:t>תי' רבי ראובן על קושית הקצוה"ח מעבד קטן דל"מ אחוי שטרך כנגד החזקה ויש ראיה אחר ג"ש</w:t>
      </w:r>
      <w:bookmarkEnd w:id="4556"/>
      <w:bookmarkEnd w:id="4557"/>
    </w:p>
    <w:p w:rsidR="00F163D7" w:rsidRDefault="00F163D7" w:rsidP="007E4E81">
      <w:pPr>
        <w:pStyle w:val="a0"/>
        <w:rPr>
          <w:sz w:val="10"/>
          <w:szCs w:val="14"/>
          <w:rtl/>
        </w:rPr>
      </w:pPr>
      <w:bookmarkStart w:id="4558" w:name="_Ref56007326"/>
      <w:r>
        <w:rPr>
          <w:rFonts w:hint="cs"/>
          <w:rtl/>
        </w:rPr>
        <w:t xml:space="preserve">וכתב </w:t>
      </w:r>
      <w:r w:rsidRPr="00990521">
        <w:rPr>
          <w:rStyle w:val="af9"/>
          <w:rFonts w:hint="cs"/>
          <w:rtl/>
        </w:rPr>
        <w:t xml:space="preserve">בחי' רבי ראובן </w:t>
      </w:r>
      <w:r w:rsidRPr="0016564D">
        <w:rPr>
          <w:rStyle w:val="af7"/>
          <w:rFonts w:eastAsia="Guttman Hodes" w:hint="cs"/>
          <w:rtl/>
        </w:rPr>
        <w:t>(סי' י"א ד"ה ונראה דיש)</w:t>
      </w:r>
      <w:r>
        <w:rPr>
          <w:rFonts w:hint="cs"/>
          <w:rtl/>
        </w:rPr>
        <w:t xml:space="preserve"> דלפי ביאורו בדברי </w:t>
      </w:r>
      <w:r w:rsidRPr="006F13AC">
        <w:rPr>
          <w:rStyle w:val="af9"/>
          <w:rFonts w:hint="cs"/>
          <w:rtl/>
        </w:rPr>
        <w:t>הרמב"ן</w:t>
      </w:r>
      <w:r>
        <w:rPr>
          <w:rFonts w:hint="cs"/>
          <w:rtl/>
        </w:rPr>
        <w:t xml:space="preserve"> </w:t>
      </w:r>
      <w:r w:rsidRPr="006F13AC">
        <w:rPr>
          <w:rStyle w:val="af7"/>
          <w:rFonts w:eastAsia="Guttman Hodes" w:hint="cs"/>
          <w:rtl/>
        </w:rPr>
        <w:t xml:space="preserve">(עי' אות </w:t>
      </w:r>
      <w:r w:rsidRPr="006F13AC">
        <w:rPr>
          <w:rStyle w:val="af7"/>
          <w:rFonts w:eastAsia="Guttman Hodes"/>
          <w:rtl/>
        </w:rPr>
        <w:fldChar w:fldCharType="begin"/>
      </w:r>
      <w:r w:rsidRPr="006F13AC">
        <w:rPr>
          <w:rStyle w:val="af7"/>
          <w:rFonts w:eastAsia="Guttman Hodes"/>
          <w:rtl/>
        </w:rPr>
        <w:instrText xml:space="preserve"> </w:instrText>
      </w:r>
      <w:r w:rsidRPr="006F13AC">
        <w:rPr>
          <w:rStyle w:val="af7"/>
          <w:rFonts w:eastAsia="Guttman Hodes" w:hint="cs"/>
        </w:rPr>
        <w:instrText>REF</w:instrText>
      </w:r>
      <w:r w:rsidRPr="006F13AC">
        <w:rPr>
          <w:rStyle w:val="af7"/>
          <w:rFonts w:eastAsia="Guttman Hodes" w:hint="cs"/>
          <w:rtl/>
        </w:rPr>
        <w:instrText xml:space="preserve"> _</w:instrText>
      </w:r>
      <w:r w:rsidRPr="006F13AC">
        <w:rPr>
          <w:rStyle w:val="af7"/>
          <w:rFonts w:eastAsia="Guttman Hodes" w:hint="cs"/>
        </w:rPr>
        <w:instrText>Ref55814783 \r \h</w:instrText>
      </w:r>
      <w:r w:rsidRPr="006F13AC">
        <w:rPr>
          <w:rStyle w:val="af7"/>
          <w:rFonts w:eastAsia="Guttman Hodes"/>
          <w:rtl/>
        </w:rPr>
        <w:instrText xml:space="preserve"> </w:instrText>
      </w:r>
      <w:r w:rsidRPr="006F13AC">
        <w:rPr>
          <w:rStyle w:val="af7"/>
          <w:rFonts w:eastAsia="Guttman Hodes"/>
          <w:rtl/>
        </w:rPr>
      </w:r>
      <w:r w:rsidRPr="006F13AC">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6F13AC">
        <w:rPr>
          <w:rStyle w:val="af7"/>
          <w:rFonts w:eastAsia="Guttman Hodes"/>
          <w:rtl/>
        </w:rPr>
        <w:fldChar w:fldCharType="end"/>
      </w:r>
      <w:r>
        <w:rPr>
          <w:rFonts w:hint="cs"/>
          <w:rtl/>
        </w:rPr>
        <w:t xml:space="preserve"> מתורצת קושית </w:t>
      </w:r>
      <w:r w:rsidRPr="00990521">
        <w:rPr>
          <w:rStyle w:val="af9"/>
          <w:rFonts w:hint="cs"/>
          <w:rtl/>
        </w:rPr>
        <w:t xml:space="preserve">הקצוה"ח </w:t>
      </w:r>
      <w:r w:rsidRPr="008C08C0">
        <w:rPr>
          <w:rStyle w:val="af7"/>
          <w:rFonts w:eastAsia="Guttman Hodes" w:hint="cs"/>
          <w:rtl/>
        </w:rPr>
        <w:t xml:space="preserve">(עי' אות </w:t>
      </w:r>
      <w:r w:rsidRPr="008C08C0">
        <w:rPr>
          <w:rStyle w:val="af7"/>
          <w:rFonts w:eastAsia="Guttman Hodes"/>
          <w:rtl/>
        </w:rPr>
        <w:fldChar w:fldCharType="begin"/>
      </w:r>
      <w:r w:rsidRPr="008C08C0">
        <w:rPr>
          <w:rStyle w:val="af7"/>
          <w:rFonts w:eastAsia="Guttman Hodes"/>
          <w:rtl/>
        </w:rPr>
        <w:instrText xml:space="preserve"> </w:instrText>
      </w:r>
      <w:r w:rsidRPr="008C08C0">
        <w:rPr>
          <w:rStyle w:val="af7"/>
          <w:rFonts w:eastAsia="Guttman Hodes" w:hint="cs"/>
        </w:rPr>
        <w:instrText>REF</w:instrText>
      </w:r>
      <w:r w:rsidRPr="008C08C0">
        <w:rPr>
          <w:rStyle w:val="af7"/>
          <w:rFonts w:eastAsia="Guttman Hodes" w:hint="cs"/>
          <w:rtl/>
        </w:rPr>
        <w:instrText xml:space="preserve"> _</w:instrText>
      </w:r>
      <w:r w:rsidRPr="008C08C0">
        <w:rPr>
          <w:rStyle w:val="af7"/>
          <w:rFonts w:eastAsia="Guttman Hodes" w:hint="cs"/>
        </w:rPr>
        <w:instrText>Ref55749815 \r \h</w:instrText>
      </w:r>
      <w:r w:rsidRPr="008C08C0">
        <w:rPr>
          <w:rStyle w:val="af7"/>
          <w:rFonts w:eastAsia="Guttman Hodes"/>
          <w:rtl/>
        </w:rPr>
        <w:instrText xml:space="preserve"> </w:instrText>
      </w:r>
      <w:r w:rsidRPr="008C08C0">
        <w:rPr>
          <w:rStyle w:val="af7"/>
          <w:rFonts w:eastAsia="Guttman Hodes"/>
          <w:rtl/>
        </w:rPr>
      </w:r>
      <w:r w:rsidRPr="008C08C0">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8C08C0">
        <w:rPr>
          <w:rStyle w:val="af7"/>
          <w:rFonts w:eastAsia="Guttman Hodes"/>
          <w:rtl/>
        </w:rPr>
        <w:fldChar w:fldCharType="end"/>
      </w:r>
      <w:r>
        <w:rPr>
          <w:rFonts w:hint="cs"/>
          <w:rtl/>
        </w:rPr>
        <w:t xml:space="preserve"> מעבד קטן, דאין כוונת </w:t>
      </w:r>
      <w:r w:rsidRPr="006F13AC">
        <w:rPr>
          <w:rStyle w:val="af9"/>
          <w:rFonts w:hint="cs"/>
          <w:rtl/>
        </w:rPr>
        <w:t>הרמב"ן</w:t>
      </w:r>
      <w:r>
        <w:rPr>
          <w:rFonts w:hint="cs"/>
          <w:rtl/>
        </w:rPr>
        <w:t xml:space="preserve"> לומר דטענת אחוי שטרך מהני כנגד חזקה, אלא דבחזקת ג"ש כל שיש טענת אחוי שטרך, ממילא אין כל ראיה מדלא מיחה, דסמך על טענת אחוי שטרך, וממילא אין כל ראיה מהחזקה, אבל במטלטלין כל שהוא מוחזק, לא מהני אחוי שטרך להוציא ממנו.</w:t>
      </w:r>
    </w:p>
    <w:p w:rsidR="00F163D7" w:rsidRPr="00510369" w:rsidRDefault="00F163D7" w:rsidP="00F163D7">
      <w:pPr>
        <w:pStyle w:val="a3"/>
      </w:pPr>
      <w:bookmarkStart w:id="4559" w:name="_Toc56030504"/>
      <w:bookmarkStart w:id="4560" w:name="_Toc56032695"/>
      <w:r>
        <w:rPr>
          <w:rFonts w:hint="cs"/>
          <w:rtl/>
        </w:rPr>
        <w:t>תי' רבי ראובן על קושית הקצוה"ח מצנא דפירי דרק לאחר ג"ש הוי חזקה ולא לאלתר</w:t>
      </w:r>
      <w:bookmarkEnd w:id="4559"/>
      <w:bookmarkEnd w:id="4560"/>
    </w:p>
    <w:p w:rsidR="00F163D7" w:rsidRPr="006F13AC" w:rsidRDefault="00F163D7" w:rsidP="007E4E81">
      <w:pPr>
        <w:pStyle w:val="a0"/>
        <w:rPr>
          <w:rStyle w:val="afb"/>
          <w:rtl/>
        </w:rPr>
      </w:pPr>
      <w:bookmarkStart w:id="4561" w:name="_Ref56007611"/>
      <w:r>
        <w:rPr>
          <w:rFonts w:hint="cs"/>
          <w:rtl/>
        </w:rPr>
        <w:t xml:space="preserve">והוסיף </w:t>
      </w:r>
      <w:r w:rsidRPr="006F13AC">
        <w:rPr>
          <w:rStyle w:val="af9"/>
          <w:rFonts w:hint="cs"/>
          <w:rtl/>
        </w:rPr>
        <w:t>בחי' רבי ראובן</w:t>
      </w:r>
      <w:r>
        <w:rPr>
          <w:rFonts w:hint="cs"/>
          <w:rtl/>
        </w:rPr>
        <w:t xml:space="preserve"> דכן מתורצת לפי"ז קושית </w:t>
      </w:r>
      <w:r w:rsidRPr="00990521">
        <w:rPr>
          <w:rStyle w:val="af9"/>
          <w:rFonts w:hint="cs"/>
          <w:rtl/>
        </w:rPr>
        <w:t xml:space="preserve">הקצוה"ח </w:t>
      </w:r>
      <w:r w:rsidRPr="008C08C0">
        <w:rPr>
          <w:rStyle w:val="af7"/>
          <w:rFonts w:eastAsia="Guttman Hodes" w:hint="cs"/>
          <w:rtl/>
        </w:rPr>
        <w:t xml:space="preserve">(עי' אות </w:t>
      </w:r>
      <w:r w:rsidRPr="008C08C0">
        <w:rPr>
          <w:rStyle w:val="af7"/>
          <w:rFonts w:eastAsia="Guttman Hodes"/>
          <w:rtl/>
        </w:rPr>
        <w:fldChar w:fldCharType="begin"/>
      </w:r>
      <w:r w:rsidRPr="008C08C0">
        <w:rPr>
          <w:rStyle w:val="af7"/>
          <w:rFonts w:eastAsia="Guttman Hodes"/>
          <w:rtl/>
        </w:rPr>
        <w:instrText xml:space="preserve"> </w:instrText>
      </w:r>
      <w:r w:rsidRPr="008C08C0">
        <w:rPr>
          <w:rStyle w:val="af7"/>
          <w:rFonts w:eastAsia="Guttman Hodes" w:hint="cs"/>
        </w:rPr>
        <w:instrText>REF</w:instrText>
      </w:r>
      <w:r w:rsidRPr="008C08C0">
        <w:rPr>
          <w:rStyle w:val="af7"/>
          <w:rFonts w:eastAsia="Guttman Hodes" w:hint="cs"/>
          <w:rtl/>
        </w:rPr>
        <w:instrText xml:space="preserve"> _</w:instrText>
      </w:r>
      <w:r w:rsidRPr="008C08C0">
        <w:rPr>
          <w:rStyle w:val="af7"/>
          <w:rFonts w:eastAsia="Guttman Hodes" w:hint="cs"/>
        </w:rPr>
        <w:instrText>Ref56007385 \r \h</w:instrText>
      </w:r>
      <w:r w:rsidRPr="008C08C0">
        <w:rPr>
          <w:rStyle w:val="af7"/>
          <w:rFonts w:eastAsia="Guttman Hodes"/>
          <w:rtl/>
        </w:rPr>
        <w:instrText xml:space="preserve"> </w:instrText>
      </w:r>
      <w:r w:rsidRPr="008C08C0">
        <w:rPr>
          <w:rStyle w:val="af7"/>
          <w:rFonts w:eastAsia="Guttman Hodes"/>
          <w:rtl/>
        </w:rPr>
      </w:r>
      <w:r w:rsidRPr="008C08C0">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8C08C0">
        <w:rPr>
          <w:rStyle w:val="af7"/>
          <w:rFonts w:eastAsia="Guttman Hodes"/>
          <w:rtl/>
        </w:rPr>
        <w:fldChar w:fldCharType="end"/>
      </w:r>
      <w:r>
        <w:rPr>
          <w:rFonts w:hint="cs"/>
          <w:rtl/>
        </w:rPr>
        <w:t xml:space="preserve"> מדלא ליה</w:t>
      </w:r>
      <w:r w:rsidR="00A77F33">
        <w:rPr>
          <w:rFonts w:hint="cs"/>
          <w:rtl/>
        </w:rPr>
        <w:t xml:space="preserve"> </w:t>
      </w:r>
      <w:r>
        <w:rPr>
          <w:rFonts w:hint="cs"/>
          <w:rtl/>
        </w:rPr>
        <w:t xml:space="preserve">צנא דפירי, </w:t>
      </w:r>
      <w:r w:rsidRPr="006F13AC">
        <w:rPr>
          <w:rStyle w:val="af9"/>
          <w:rFonts w:hint="cs"/>
          <w:rtl/>
        </w:rPr>
        <w:t>דלהרמב"ן</w:t>
      </w:r>
      <w:r>
        <w:rPr>
          <w:rFonts w:hint="cs"/>
          <w:rtl/>
        </w:rPr>
        <w:t xml:space="preserve"> רק לאחר ג"ש הוי חזקה, ולא שייך לומר שתהיה חזקה לאלתר כלל. </w:t>
      </w:r>
      <w:r w:rsidRPr="006F13AC">
        <w:rPr>
          <w:rStyle w:val="afb"/>
          <w:rFonts w:hint="cs"/>
          <w:rtl/>
        </w:rPr>
        <w:t xml:space="preserve">[וכתב </w:t>
      </w:r>
      <w:r w:rsidRPr="006F13AC">
        <w:rPr>
          <w:rStyle w:val="affa"/>
          <w:rFonts w:hint="cs"/>
          <w:rtl/>
        </w:rPr>
        <w:t>בחי' רבי ראובן</w:t>
      </w:r>
      <w:r w:rsidRPr="006F13AC">
        <w:rPr>
          <w:rStyle w:val="afb"/>
          <w:rFonts w:hint="cs"/>
          <w:rtl/>
        </w:rPr>
        <w:t xml:space="preserve"> דכן מבוארת לפי"ז הגמ' לקמן </w:t>
      </w:r>
      <w:r w:rsidRPr="006F13AC">
        <w:rPr>
          <w:rStyle w:val="aff6"/>
          <w:rFonts w:hint="cs"/>
          <w:rtl/>
        </w:rPr>
        <w:t>(נ:)</w:t>
      </w:r>
      <w:r w:rsidRPr="006F13AC">
        <w:rPr>
          <w:rStyle w:val="afb"/>
          <w:rFonts w:hint="cs"/>
          <w:rtl/>
        </w:rPr>
        <w:t xml:space="preserve"> דבחפר בורות הוי חזקה לאלתר, ואילו </w:t>
      </w:r>
      <w:r w:rsidRPr="006F13AC">
        <w:rPr>
          <w:rStyle w:val="affa"/>
          <w:rFonts w:hint="cs"/>
          <w:rtl/>
        </w:rPr>
        <w:t>להרמב"ן</w:t>
      </w:r>
      <w:r w:rsidRPr="006F13AC">
        <w:rPr>
          <w:rStyle w:val="afb"/>
          <w:rFonts w:hint="cs"/>
          <w:rtl/>
        </w:rPr>
        <w:t xml:space="preserve"> לא אמרינן דהוי חזקה לאלתר, עי' בדברי </w:t>
      </w:r>
      <w:r w:rsidRPr="006F13AC">
        <w:rPr>
          <w:rStyle w:val="affa"/>
          <w:rFonts w:hint="cs"/>
          <w:rtl/>
        </w:rPr>
        <w:t>הרמב"ן לקמן</w:t>
      </w:r>
      <w:r w:rsidRPr="006F13AC">
        <w:rPr>
          <w:rStyle w:val="afb"/>
          <w:rFonts w:hint="cs"/>
          <w:rtl/>
        </w:rPr>
        <w:t xml:space="preserve"> </w:t>
      </w:r>
      <w:r w:rsidRPr="00156DEC">
        <w:rPr>
          <w:rStyle w:val="aff6"/>
          <w:rFonts w:hint="cs"/>
          <w:rtl/>
        </w:rPr>
        <w:t xml:space="preserve">(עי' אות </w:t>
      </w:r>
      <w:r w:rsidRPr="00156DEC">
        <w:rPr>
          <w:rStyle w:val="aff6"/>
          <w:rtl/>
        </w:rPr>
        <w:fldChar w:fldCharType="begin"/>
      </w:r>
      <w:r w:rsidRPr="00156DEC">
        <w:rPr>
          <w:rStyle w:val="aff6"/>
          <w:rtl/>
        </w:rPr>
        <w:instrText xml:space="preserve"> </w:instrText>
      </w:r>
      <w:r w:rsidRPr="00156DEC">
        <w:rPr>
          <w:rStyle w:val="aff6"/>
          <w:rFonts w:hint="cs"/>
        </w:rPr>
        <w:instrText>REF</w:instrText>
      </w:r>
      <w:r w:rsidRPr="00156DEC">
        <w:rPr>
          <w:rStyle w:val="aff6"/>
          <w:rFonts w:hint="cs"/>
          <w:rtl/>
        </w:rPr>
        <w:instrText xml:space="preserve"> _</w:instrText>
      </w:r>
      <w:r w:rsidRPr="00156DEC">
        <w:rPr>
          <w:rStyle w:val="aff6"/>
          <w:rFonts w:hint="cs"/>
        </w:rPr>
        <w:instrText>Ref56007686 \r \h</w:instrText>
      </w:r>
      <w:r w:rsidRPr="00156DEC">
        <w:rPr>
          <w:rStyle w:val="aff6"/>
          <w:rtl/>
        </w:rPr>
        <w:instrText xml:space="preserve"> </w:instrText>
      </w:r>
      <w:r w:rsidRPr="00156DEC">
        <w:rPr>
          <w:rStyle w:val="aff6"/>
          <w:rtl/>
        </w:rPr>
      </w:r>
      <w:r w:rsidRPr="00156DEC">
        <w:rPr>
          <w:rStyle w:val="aff6"/>
          <w:rtl/>
        </w:rPr>
        <w:fldChar w:fldCharType="separate"/>
      </w:r>
      <w:r w:rsidR="00265073">
        <w:rPr>
          <w:rStyle w:val="aff6"/>
          <w:cs/>
        </w:rPr>
        <w:t>‎</w:t>
      </w:r>
      <w:r w:rsidR="00265073">
        <w:rPr>
          <w:rStyle w:val="aff6"/>
          <w:rtl/>
        </w:rPr>
        <w:t>יב)</w:t>
      </w:r>
      <w:r w:rsidRPr="00156DEC">
        <w:rPr>
          <w:rStyle w:val="aff6"/>
          <w:rtl/>
        </w:rPr>
        <w:fldChar w:fldCharType="end"/>
      </w:r>
      <w:r w:rsidRPr="006F13AC">
        <w:rPr>
          <w:rStyle w:val="afb"/>
          <w:rFonts w:hint="cs"/>
          <w:rtl/>
        </w:rPr>
        <w:t xml:space="preserve"> </w:t>
      </w:r>
      <w:r w:rsidRPr="006F13AC">
        <w:rPr>
          <w:rStyle w:val="affa"/>
          <w:rFonts w:hint="cs"/>
          <w:rtl/>
        </w:rPr>
        <w:t>והרשב"א</w:t>
      </w:r>
      <w:r w:rsidRPr="006F13AC">
        <w:rPr>
          <w:rStyle w:val="afb"/>
          <w:rFonts w:hint="cs"/>
          <w:rtl/>
        </w:rPr>
        <w:t xml:space="preserve"> </w:t>
      </w:r>
      <w:r w:rsidRPr="00156DEC">
        <w:rPr>
          <w:rStyle w:val="aff6"/>
          <w:rFonts w:hint="cs"/>
          <w:rtl/>
        </w:rPr>
        <w:t xml:space="preserve">(עי' אות </w:t>
      </w:r>
      <w:r w:rsidRPr="00156DEC">
        <w:rPr>
          <w:rStyle w:val="aff6"/>
          <w:rtl/>
        </w:rPr>
        <w:fldChar w:fldCharType="begin"/>
      </w:r>
      <w:r w:rsidRPr="00156DEC">
        <w:rPr>
          <w:rStyle w:val="aff6"/>
          <w:rtl/>
        </w:rPr>
        <w:instrText xml:space="preserve"> </w:instrText>
      </w:r>
      <w:r w:rsidRPr="00156DEC">
        <w:rPr>
          <w:rStyle w:val="aff6"/>
          <w:rFonts w:hint="cs"/>
        </w:rPr>
        <w:instrText>REF</w:instrText>
      </w:r>
      <w:r w:rsidRPr="00156DEC">
        <w:rPr>
          <w:rStyle w:val="aff6"/>
          <w:rFonts w:hint="cs"/>
          <w:rtl/>
        </w:rPr>
        <w:instrText xml:space="preserve"> _</w:instrText>
      </w:r>
      <w:r w:rsidRPr="00156DEC">
        <w:rPr>
          <w:rStyle w:val="aff6"/>
          <w:rFonts w:hint="cs"/>
        </w:rPr>
        <w:instrText>Ref55987322 \r \h</w:instrText>
      </w:r>
      <w:r w:rsidRPr="00156DEC">
        <w:rPr>
          <w:rStyle w:val="aff6"/>
          <w:rtl/>
        </w:rPr>
        <w:instrText xml:space="preserve"> </w:instrText>
      </w:r>
      <w:r w:rsidRPr="00156DEC">
        <w:rPr>
          <w:rStyle w:val="aff6"/>
          <w:rtl/>
        </w:rPr>
      </w:r>
      <w:r w:rsidRPr="00156DEC">
        <w:rPr>
          <w:rStyle w:val="aff6"/>
          <w:rtl/>
        </w:rPr>
        <w:fldChar w:fldCharType="separate"/>
      </w:r>
      <w:r w:rsidR="00265073">
        <w:rPr>
          <w:rStyle w:val="aff6"/>
          <w:cs/>
        </w:rPr>
        <w:t>‎</w:t>
      </w:r>
      <w:r w:rsidR="00265073">
        <w:rPr>
          <w:rStyle w:val="aff6"/>
          <w:rtl/>
        </w:rPr>
        <w:t>מז)</w:t>
      </w:r>
      <w:r w:rsidRPr="00156DEC">
        <w:rPr>
          <w:rStyle w:val="aff6"/>
          <w:rtl/>
        </w:rPr>
        <w:fldChar w:fldCharType="end"/>
      </w:r>
      <w:r w:rsidRPr="006F13AC">
        <w:rPr>
          <w:rStyle w:val="afb"/>
          <w:rFonts w:hint="cs"/>
          <w:rtl/>
        </w:rPr>
        <w:t>].</w:t>
      </w:r>
      <w:bookmarkEnd w:id="4558"/>
      <w:bookmarkEnd w:id="4561"/>
    </w:p>
    <w:p w:rsidR="00F163D7" w:rsidRDefault="00F163D7" w:rsidP="00F163D7">
      <w:pPr>
        <w:pStyle w:val="a3"/>
        <w:rPr>
          <w:rtl/>
        </w:rPr>
      </w:pPr>
      <w:bookmarkStart w:id="4562" w:name="_Toc56030505"/>
      <w:bookmarkStart w:id="4563" w:name="_Toc56032696"/>
      <w:r>
        <w:rPr>
          <w:rFonts w:hint="cs"/>
          <w:rtl/>
        </w:rPr>
        <w:t>ביאור רבי ראובן דלא היה לרמב"ן הו"א דתועיל חזקה בפחות מג"ש בקטן אלא בצירוף האב</w:t>
      </w:r>
      <w:bookmarkEnd w:id="4562"/>
      <w:bookmarkEnd w:id="4563"/>
    </w:p>
    <w:p w:rsidR="00F163D7" w:rsidRDefault="00F163D7" w:rsidP="007E4E81">
      <w:pPr>
        <w:pStyle w:val="a0"/>
        <w:rPr>
          <w:rStyle w:val="afb"/>
          <w:rtl/>
        </w:rPr>
      </w:pPr>
      <w:bookmarkStart w:id="4564" w:name="_Ref56008649"/>
      <w:r>
        <w:rPr>
          <w:rFonts w:hint="cs"/>
          <w:rtl/>
        </w:rPr>
        <w:t xml:space="preserve">והוסיף </w:t>
      </w:r>
      <w:r w:rsidRPr="006F13AC">
        <w:rPr>
          <w:rStyle w:val="af9"/>
          <w:rFonts w:hint="cs"/>
          <w:rtl/>
        </w:rPr>
        <w:t>בחי' רבי ראובן</w:t>
      </w:r>
      <w:r>
        <w:rPr>
          <w:rFonts w:hint="cs"/>
          <w:rtl/>
        </w:rPr>
        <w:t xml:space="preserve"> דמה שהקשה </w:t>
      </w:r>
      <w:r w:rsidRPr="006F13AC">
        <w:rPr>
          <w:rStyle w:val="af9"/>
          <w:rFonts w:hint="cs"/>
          <w:rtl/>
        </w:rPr>
        <w:t>הרמב"ן לקמן</w:t>
      </w:r>
      <w:r>
        <w:rPr>
          <w:rFonts w:hint="cs"/>
          <w:rtl/>
        </w:rPr>
        <w:t xml:space="preserve"> </w:t>
      </w:r>
      <w:r w:rsidRPr="003B70D4">
        <w:rPr>
          <w:rStyle w:val="af7"/>
          <w:rFonts w:eastAsia="Guttman Hodes" w:hint="cs"/>
          <w:rtl/>
        </w:rPr>
        <w:t xml:space="preserve">(עי' אות </w:t>
      </w:r>
      <w:r w:rsidRPr="003B70D4">
        <w:rPr>
          <w:rStyle w:val="af7"/>
          <w:rFonts w:eastAsia="Guttman Hodes"/>
          <w:rtl/>
        </w:rPr>
        <w:fldChar w:fldCharType="begin"/>
      </w:r>
      <w:r w:rsidRPr="003B70D4">
        <w:rPr>
          <w:rStyle w:val="af7"/>
          <w:rFonts w:eastAsia="Guttman Hodes"/>
          <w:rtl/>
        </w:rPr>
        <w:instrText xml:space="preserve"> </w:instrText>
      </w:r>
      <w:r w:rsidRPr="003B70D4">
        <w:rPr>
          <w:rStyle w:val="af7"/>
          <w:rFonts w:eastAsia="Guttman Hodes" w:hint="cs"/>
        </w:rPr>
        <w:instrText>REF</w:instrText>
      </w:r>
      <w:r w:rsidRPr="003B70D4">
        <w:rPr>
          <w:rStyle w:val="af7"/>
          <w:rFonts w:eastAsia="Guttman Hodes" w:hint="cs"/>
          <w:rtl/>
        </w:rPr>
        <w:instrText xml:space="preserve"> _</w:instrText>
      </w:r>
      <w:r w:rsidRPr="003B70D4">
        <w:rPr>
          <w:rStyle w:val="af7"/>
          <w:rFonts w:eastAsia="Guttman Hodes" w:hint="cs"/>
        </w:rPr>
        <w:instrText>Ref55728248 \r \h</w:instrText>
      </w:r>
      <w:r w:rsidRPr="003B70D4">
        <w:rPr>
          <w:rStyle w:val="af7"/>
          <w:rFonts w:eastAsia="Guttman Hodes"/>
          <w:rtl/>
        </w:rPr>
        <w:instrText xml:space="preserve"> </w:instrText>
      </w:r>
      <w:r w:rsidRPr="003B70D4">
        <w:rPr>
          <w:rStyle w:val="af7"/>
          <w:rFonts w:eastAsia="Guttman Hodes"/>
          <w:rtl/>
        </w:rPr>
      </w:r>
      <w:r w:rsidRPr="003B70D4">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3B70D4">
        <w:rPr>
          <w:rStyle w:val="af7"/>
          <w:rFonts w:eastAsia="Guttman Hodes"/>
          <w:rtl/>
        </w:rPr>
        <w:fldChar w:fldCharType="end"/>
      </w:r>
      <w:r w:rsidR="00A77F33">
        <w:rPr>
          <w:rFonts w:hint="cs"/>
          <w:rtl/>
        </w:rPr>
        <w:t xml:space="preserve"> </w:t>
      </w:r>
      <w:r>
        <w:rPr>
          <w:rFonts w:hint="cs"/>
          <w:rtl/>
        </w:rPr>
        <w:t xml:space="preserve">דבקטן תהיה לו חזקה בפחות מג"ש, אין כוונתו להקשות דבצירוף אכילת האב תהיה לו חזקה, אלא דכיון דהקטן אינו נזהר בשטרו, ואין עליו טענת אחוי שטרך, ממילא ביום אחד שאכל הקטן הוה חזקה, דהיה למערער למחות, כיון שאינו יכול לסמוך על טענת אחוי שטרך. </w:t>
      </w:r>
      <w:r w:rsidRPr="003C73C2">
        <w:rPr>
          <w:rStyle w:val="afb"/>
          <w:rtl/>
        </w:rPr>
        <w:t xml:space="preserve">[וע"ע במה שתירץ לפי"ז </w:t>
      </w:r>
      <w:r w:rsidRPr="003C73C2">
        <w:rPr>
          <w:rStyle w:val="affa"/>
          <w:rtl/>
        </w:rPr>
        <w:t xml:space="preserve">בחי' רבי ראובן </w:t>
      </w:r>
      <w:r w:rsidRPr="003C73C2">
        <w:rPr>
          <w:rStyle w:val="aff6"/>
          <w:rtl/>
        </w:rPr>
        <w:t>(סי' י"א הערה 1)</w:t>
      </w:r>
      <w:r w:rsidRPr="003C73C2">
        <w:rPr>
          <w:rStyle w:val="afb"/>
          <w:rtl/>
        </w:rPr>
        <w:t xml:space="preserve"> את קושית </w:t>
      </w:r>
      <w:r w:rsidRPr="003C73C2">
        <w:rPr>
          <w:rStyle w:val="affa"/>
          <w:rtl/>
        </w:rPr>
        <w:t xml:space="preserve">השער </w:t>
      </w:r>
      <w:r w:rsidRPr="003C73C2">
        <w:rPr>
          <w:rStyle w:val="afb"/>
          <w:rtl/>
        </w:rPr>
        <w:t xml:space="preserve">משפט </w:t>
      </w:r>
      <w:r w:rsidRPr="00837B9C">
        <w:rPr>
          <w:rStyle w:val="aff6"/>
          <w:rtl/>
        </w:rPr>
        <w:t xml:space="preserve">(עי' אות </w:t>
      </w:r>
      <w:r w:rsidRPr="00837B9C">
        <w:rPr>
          <w:rStyle w:val="aff6"/>
          <w:rtl/>
        </w:rPr>
        <w:fldChar w:fldCharType="begin"/>
      </w:r>
      <w:r w:rsidRPr="00837B9C">
        <w:rPr>
          <w:rStyle w:val="aff6"/>
          <w:rtl/>
        </w:rPr>
        <w:instrText xml:space="preserve"> </w:instrText>
      </w:r>
      <w:r w:rsidRPr="00837B9C">
        <w:rPr>
          <w:rStyle w:val="aff6"/>
        </w:rPr>
        <w:instrText>REF</w:instrText>
      </w:r>
      <w:r w:rsidRPr="00837B9C">
        <w:rPr>
          <w:rStyle w:val="aff6"/>
          <w:rtl/>
        </w:rPr>
        <w:instrText xml:space="preserve"> _</w:instrText>
      </w:r>
      <w:r w:rsidRPr="00837B9C">
        <w:rPr>
          <w:rStyle w:val="aff6"/>
        </w:rPr>
        <w:instrText>Ref56007990 \r \h</w:instrText>
      </w:r>
      <w:r w:rsidRPr="00837B9C">
        <w:rPr>
          <w:rStyle w:val="aff6"/>
          <w:rtl/>
        </w:rPr>
        <w:instrText xml:space="preserve"> </w:instrText>
      </w:r>
      <w:r w:rsidRPr="00837B9C">
        <w:rPr>
          <w:rStyle w:val="aff6"/>
          <w:rtl/>
        </w:rPr>
      </w:r>
      <w:r w:rsidRPr="00837B9C">
        <w:rPr>
          <w:rStyle w:val="aff6"/>
          <w:rtl/>
        </w:rPr>
        <w:fldChar w:fldCharType="separate"/>
      </w:r>
      <w:r w:rsidR="00265073">
        <w:rPr>
          <w:rStyle w:val="aff6"/>
          <w:cs/>
        </w:rPr>
        <w:t>‎</w:t>
      </w:r>
      <w:r w:rsidR="00265073">
        <w:rPr>
          <w:rStyle w:val="aff6"/>
          <w:rtl/>
        </w:rPr>
        <w:t>לה)</w:t>
      </w:r>
      <w:r w:rsidRPr="00837B9C">
        <w:rPr>
          <w:rStyle w:val="aff6"/>
          <w:rtl/>
        </w:rPr>
        <w:fldChar w:fldCharType="end"/>
      </w:r>
      <w:r w:rsidRPr="003C73C2">
        <w:rPr>
          <w:rStyle w:val="afb"/>
          <w:rtl/>
        </w:rPr>
        <w:t xml:space="preserve"> מהא דיורש מהני לו חזקת ג"ש].</w:t>
      </w:r>
      <w:bookmarkEnd w:id="4564"/>
    </w:p>
    <w:p w:rsidR="00F163D7" w:rsidRDefault="00F163D7" w:rsidP="00F163D7">
      <w:pPr>
        <w:pStyle w:val="1"/>
        <w:rPr>
          <w:rtl/>
        </w:rPr>
      </w:pPr>
      <w:bookmarkStart w:id="4565" w:name="_Toc55839485"/>
      <w:bookmarkStart w:id="4566" w:name="_Toc55927887"/>
      <w:bookmarkStart w:id="4567" w:name="_Toc55946613"/>
      <w:bookmarkStart w:id="4568" w:name="_Toc55991953"/>
      <w:bookmarkStart w:id="4569" w:name="_Toc56030506"/>
      <w:bookmarkStart w:id="4570" w:name="_Toc56032697"/>
      <w:r>
        <w:rPr>
          <w:rFonts w:hint="cs"/>
          <w:rtl/>
        </w:rPr>
        <w:t>ביאור רבי ראובן ברשב"א</w:t>
      </w:r>
      <w:bookmarkEnd w:id="4565"/>
      <w:bookmarkEnd w:id="4566"/>
      <w:bookmarkEnd w:id="4567"/>
      <w:bookmarkEnd w:id="4568"/>
      <w:bookmarkEnd w:id="4569"/>
      <w:r>
        <w:rPr>
          <w:rFonts w:hint="cs"/>
          <w:rtl/>
        </w:rPr>
        <w:t xml:space="preserve"> דבג"ש יש ריעותא בטענת המערער</w:t>
      </w:r>
      <w:bookmarkEnd w:id="4570"/>
    </w:p>
    <w:p w:rsidR="00F163D7" w:rsidRPr="004F6054" w:rsidRDefault="00F163D7" w:rsidP="00F163D7">
      <w:pPr>
        <w:pStyle w:val="a3"/>
        <w:rPr>
          <w:rtl/>
        </w:rPr>
      </w:pPr>
      <w:bookmarkStart w:id="4571" w:name="_Toc56030507"/>
      <w:bookmarkStart w:id="4572" w:name="_Toc56032698"/>
      <w:r>
        <w:rPr>
          <w:rFonts w:hint="cs"/>
          <w:rtl/>
        </w:rPr>
        <w:t>ביאור רבי ראובן ברשב"א דבנראה המערער כמערים טענתו רעועה ואינו יכול להוציא מהמחזיק</w:t>
      </w:r>
      <w:bookmarkEnd w:id="4571"/>
      <w:bookmarkEnd w:id="4572"/>
    </w:p>
    <w:p w:rsidR="00F163D7" w:rsidRDefault="00F163D7" w:rsidP="007E4E81">
      <w:pPr>
        <w:pStyle w:val="a0"/>
        <w:rPr>
          <w:rtl/>
        </w:rPr>
      </w:pPr>
      <w:bookmarkStart w:id="4573" w:name="_Ref56008216"/>
      <w:r w:rsidRPr="00B40BFD">
        <w:rPr>
          <w:rFonts w:hint="cs"/>
          <w:rtl/>
        </w:rPr>
        <w:t xml:space="preserve">במ"ש </w:t>
      </w:r>
      <w:r w:rsidRPr="002C616B">
        <w:rPr>
          <w:rStyle w:val="af9"/>
          <w:rFonts w:hint="cs"/>
          <w:rtl/>
        </w:rPr>
        <w:t>הרשב"א</w:t>
      </w:r>
      <w:r w:rsidRPr="00B40BFD">
        <w:rPr>
          <w:rFonts w:hint="cs"/>
          <w:rtl/>
        </w:rPr>
        <w:t xml:space="preserve"> </w:t>
      </w:r>
      <w:r w:rsidRPr="002C616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Ref56008060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Pr>
          <w:rStyle w:val="af7"/>
          <w:rFonts w:eastAsia="Guttman Hodes"/>
          <w:rtl/>
        </w:rPr>
        <w:fldChar w:fldCharType="end"/>
      </w:r>
      <w:r w:rsidRPr="002C616B">
        <w:rPr>
          <w:rStyle w:val="af7"/>
          <w:rFonts w:eastAsia="Guttman Hodes" w:hint="cs"/>
          <w:rtl/>
        </w:rPr>
        <w:t xml:space="preserve"> </w:t>
      </w:r>
      <w:r w:rsidRPr="00B40BFD">
        <w:rPr>
          <w:rFonts w:hint="cs"/>
          <w:rtl/>
        </w:rPr>
        <w:t xml:space="preserve">דטעם החזקה הוא </w:t>
      </w:r>
      <w:r>
        <w:rPr>
          <w:rFonts w:hint="cs"/>
          <w:rtl/>
        </w:rPr>
        <w:t>כיון דלאחר ג"ש אינו נזהר בשטרו, וזהו הריעותא בטענה של המערער שלא מחה בתוך ה</w:t>
      </w:r>
      <w:r w:rsidRPr="00B40BFD">
        <w:rPr>
          <w:rFonts w:hint="cs"/>
          <w:rtl/>
        </w:rPr>
        <w:t xml:space="preserve">ג"ש, הוא נראה כמערים ושותק עד שהלוקח יאבד את הראיה שלו, </w:t>
      </w:r>
      <w:r>
        <w:rPr>
          <w:rFonts w:hint="cs"/>
          <w:rtl/>
        </w:rPr>
        <w:t xml:space="preserve">ביאר </w:t>
      </w:r>
      <w:r w:rsidRPr="00990521">
        <w:rPr>
          <w:rStyle w:val="af9"/>
          <w:rFonts w:hint="cs"/>
          <w:rtl/>
        </w:rPr>
        <w:t xml:space="preserve">בחי' רבי ראובן </w:t>
      </w:r>
      <w:r w:rsidRPr="0016564D">
        <w:rPr>
          <w:rStyle w:val="af7"/>
          <w:rFonts w:eastAsia="Guttman Hodes" w:hint="cs"/>
          <w:rtl/>
        </w:rPr>
        <w:t xml:space="preserve">(סי' י"א ד"ה </w:t>
      </w:r>
      <w:r>
        <w:rPr>
          <w:rStyle w:val="af7"/>
          <w:rFonts w:eastAsia="Guttman Hodes" w:hint="cs"/>
          <w:rtl/>
        </w:rPr>
        <w:t>ושי' הרשב"א)</w:t>
      </w:r>
      <w:r>
        <w:rPr>
          <w:rFonts w:hint="cs"/>
          <w:rtl/>
        </w:rPr>
        <w:t xml:space="preserve"> דכיון שטענת המערער היא טענה רעועה, לכן אינו יכול להוציא את הקרקע מהמחזיק, אף שהוא המרא קמא.</w:t>
      </w:r>
      <w:bookmarkEnd w:id="4573"/>
    </w:p>
    <w:p w:rsidR="00F163D7" w:rsidRDefault="00F163D7" w:rsidP="00F163D7">
      <w:pPr>
        <w:pStyle w:val="a3"/>
        <w:rPr>
          <w:rtl/>
        </w:rPr>
      </w:pPr>
      <w:bookmarkStart w:id="4574" w:name="_Toc56030508"/>
      <w:bookmarkStart w:id="4575" w:name="_Toc56032699"/>
      <w:r>
        <w:rPr>
          <w:rFonts w:hint="cs"/>
          <w:rtl/>
        </w:rPr>
        <w:t>ביאור רבי ראובן ברשב"א דרבא חזר בו מטעמא דקפיד ועיקר הטעם שיש ריעותא בטענתו</w:t>
      </w:r>
      <w:bookmarkEnd w:id="4574"/>
      <w:bookmarkEnd w:id="4575"/>
    </w:p>
    <w:p w:rsidR="00F163D7" w:rsidRDefault="00F163D7" w:rsidP="007E4E81">
      <w:pPr>
        <w:pStyle w:val="a0"/>
      </w:pPr>
      <w:bookmarkStart w:id="4576" w:name="_Ref56008389"/>
      <w:r>
        <w:rPr>
          <w:rFonts w:hint="cs"/>
          <w:rtl/>
        </w:rPr>
        <w:t xml:space="preserve">והוסיף </w:t>
      </w:r>
      <w:r w:rsidRPr="00796B70">
        <w:rPr>
          <w:rStyle w:val="af9"/>
          <w:rFonts w:hint="cs"/>
          <w:rtl/>
        </w:rPr>
        <w:t>בחי' רבי ראובן</w:t>
      </w:r>
      <w:r>
        <w:rPr>
          <w:rFonts w:hint="cs"/>
          <w:rtl/>
        </w:rPr>
        <w:t xml:space="preserve"> </w:t>
      </w:r>
      <w:r w:rsidRPr="008D776E">
        <w:rPr>
          <w:rStyle w:val="af7"/>
          <w:rFonts w:eastAsia="Guttman Hodes" w:hint="cs"/>
          <w:rtl/>
        </w:rPr>
        <w:t>(סי' י"א ד"ה ונראה לבאר)</w:t>
      </w:r>
      <w:r>
        <w:rPr>
          <w:rFonts w:hint="cs"/>
          <w:rtl/>
        </w:rPr>
        <w:t xml:space="preserve"> </w:t>
      </w:r>
      <w:r w:rsidRPr="00796B70">
        <w:rPr>
          <w:rStyle w:val="af9"/>
          <w:rFonts w:hint="cs"/>
          <w:rtl/>
        </w:rPr>
        <w:t>דלהרשב"א</w:t>
      </w:r>
      <w:r>
        <w:rPr>
          <w:rFonts w:hint="cs"/>
          <w:rtl/>
        </w:rPr>
        <w:t xml:space="preserve"> רבא חזר בו ממה שתירץ דעיקר הטעם הוא מחמת דעד ג"ש לא קפיד, אלא עיקר הטעם הוא מחמת שיש ריעותא בטענתו. </w:t>
      </w:r>
      <w:r w:rsidRPr="00CA37B6">
        <w:rPr>
          <w:rStyle w:val="afb"/>
          <w:rFonts w:hint="cs"/>
          <w:rtl/>
        </w:rPr>
        <w:t>[ועיי"ש</w:t>
      </w:r>
      <w:r>
        <w:rPr>
          <w:rFonts w:hint="cs"/>
          <w:rtl/>
        </w:rPr>
        <w:t xml:space="preserve"> </w:t>
      </w:r>
      <w:r w:rsidRPr="00CA37B6">
        <w:rPr>
          <w:rStyle w:val="afb"/>
          <w:rFonts w:hint="cs"/>
          <w:rtl/>
        </w:rPr>
        <w:t xml:space="preserve">במ"ש </w:t>
      </w:r>
      <w:r w:rsidRPr="00CA37B6">
        <w:rPr>
          <w:rStyle w:val="affa"/>
          <w:rFonts w:hint="cs"/>
          <w:rtl/>
        </w:rPr>
        <w:t>בחי' רבי ראובן דהתוס' לקמן</w:t>
      </w:r>
      <w:r w:rsidRPr="00CA37B6">
        <w:rPr>
          <w:rStyle w:val="afb"/>
          <w:rFonts w:hint="cs"/>
          <w:rtl/>
        </w:rPr>
        <w:t xml:space="preserve"> </w:t>
      </w:r>
      <w:r w:rsidRPr="00CA37B6">
        <w:rPr>
          <w:rStyle w:val="aff6"/>
          <w:rFonts w:hint="cs"/>
          <w:rtl/>
        </w:rPr>
        <w:t>(לה: ד"ה ואי</w:t>
      </w:r>
      <w:r w:rsidR="00E32206">
        <w:rPr>
          <w:rStyle w:val="aff6"/>
          <w:rFonts w:hint="cs"/>
          <w:rtl/>
        </w:rPr>
        <w:t>, הובא בסימן ו' אות כ"ד)</w:t>
      </w:r>
      <w:r w:rsidRPr="00CA37B6">
        <w:rPr>
          <w:rStyle w:val="afb"/>
          <w:rFonts w:hint="cs"/>
          <w:rtl/>
        </w:rPr>
        <w:t xml:space="preserve"> פליגי על </w:t>
      </w:r>
      <w:r w:rsidRPr="00CA37B6">
        <w:rPr>
          <w:rStyle w:val="affa"/>
          <w:rFonts w:hint="cs"/>
          <w:rtl/>
        </w:rPr>
        <w:t>הרשב"א</w:t>
      </w:r>
      <w:r w:rsidRPr="00CA37B6">
        <w:rPr>
          <w:rStyle w:val="afb"/>
          <w:rFonts w:hint="cs"/>
          <w:rtl/>
        </w:rPr>
        <w:t xml:space="preserve"> בזה].</w:t>
      </w:r>
      <w:bookmarkEnd w:id="4576"/>
    </w:p>
    <w:p w:rsidR="00F163D7" w:rsidRDefault="00F163D7" w:rsidP="00F163D7">
      <w:pPr>
        <w:pStyle w:val="a3"/>
        <w:rPr>
          <w:rtl/>
        </w:rPr>
      </w:pPr>
      <w:bookmarkStart w:id="4577" w:name="_Toc56030509"/>
      <w:bookmarkStart w:id="4578" w:name="_Toc56032700"/>
      <w:r>
        <w:rPr>
          <w:rFonts w:hint="cs"/>
          <w:rtl/>
        </w:rPr>
        <w:t>ביאור רבי ראובן ברשב"א דמהני מחאה שלא שמע המחזיק כיון שאין הערמה בטענתו</w:t>
      </w:r>
      <w:bookmarkEnd w:id="4577"/>
      <w:bookmarkEnd w:id="4578"/>
    </w:p>
    <w:p w:rsidR="00F163D7" w:rsidRPr="00424E06" w:rsidRDefault="00F163D7" w:rsidP="007E4E81">
      <w:pPr>
        <w:pStyle w:val="a0"/>
        <w:rPr>
          <w:rStyle w:val="afb"/>
          <w:rtl/>
        </w:rPr>
      </w:pPr>
      <w:bookmarkStart w:id="4579" w:name="_Ref56008889"/>
      <w:r>
        <w:rPr>
          <w:rFonts w:hint="cs"/>
          <w:rtl/>
        </w:rPr>
        <w:t xml:space="preserve">וכתב </w:t>
      </w:r>
      <w:r w:rsidRPr="00990521">
        <w:rPr>
          <w:rStyle w:val="af9"/>
          <w:rFonts w:hint="cs"/>
          <w:rtl/>
        </w:rPr>
        <w:t xml:space="preserve">בחי' רבי ראובן </w:t>
      </w:r>
      <w:r w:rsidRPr="0016564D">
        <w:rPr>
          <w:rStyle w:val="af7"/>
          <w:rFonts w:eastAsia="Guttman Hodes" w:hint="cs"/>
          <w:rtl/>
        </w:rPr>
        <w:t xml:space="preserve">(סי' י"א ד"ה </w:t>
      </w:r>
      <w:r>
        <w:rPr>
          <w:rStyle w:val="af7"/>
          <w:rFonts w:eastAsia="Guttman Hodes" w:hint="cs"/>
          <w:rtl/>
        </w:rPr>
        <w:t>ושי' הרשב"א)</w:t>
      </w:r>
      <w:r>
        <w:rPr>
          <w:rFonts w:hint="cs"/>
          <w:rtl/>
        </w:rPr>
        <w:t xml:space="preserve"> דלדעת </w:t>
      </w:r>
      <w:r w:rsidRPr="00F10F00">
        <w:rPr>
          <w:rStyle w:val="af9"/>
          <w:rFonts w:hint="cs"/>
          <w:rtl/>
        </w:rPr>
        <w:t>הרשב"א</w:t>
      </w:r>
      <w:r>
        <w:rPr>
          <w:rFonts w:hint="cs"/>
          <w:rtl/>
        </w:rPr>
        <w:t xml:space="preserve"> מבוארים דברי </w:t>
      </w:r>
      <w:r w:rsidRPr="002A1F78">
        <w:rPr>
          <w:rStyle w:val="af9"/>
          <w:rFonts w:hint="cs"/>
          <w:rtl/>
        </w:rPr>
        <w:t>הנימוק"י</w:t>
      </w:r>
      <w:r w:rsidRPr="00E806D5">
        <w:rPr>
          <w:rStyle w:val="af7"/>
          <w:rFonts w:eastAsia="Guttman Hodes" w:hint="cs"/>
          <w:rtl/>
        </w:rPr>
        <w:t xml:space="preserve"> </w:t>
      </w:r>
      <w:r w:rsidRPr="002A1F78">
        <w:rPr>
          <w:rStyle w:val="af7"/>
          <w:rFonts w:eastAsia="Guttman Hodes" w:hint="cs"/>
          <w:rtl/>
        </w:rPr>
        <w:t>(יד. מדה"ר ד"ה דא"ל</w:t>
      </w:r>
      <w:r>
        <w:rPr>
          <w:rStyle w:val="af7"/>
          <w:rFonts w:eastAsia="Guttman Hodes" w:hint="cs"/>
          <w:rtl/>
        </w:rPr>
        <w:t>, הובא בסימן ג' אות ס"ה)</w:t>
      </w:r>
      <w:r w:rsidRPr="001D1883">
        <w:rPr>
          <w:rFonts w:hint="cs"/>
          <w:rtl/>
        </w:rPr>
        <w:t xml:space="preserve"> </w:t>
      </w:r>
      <w:r>
        <w:rPr>
          <w:rStyle w:val="af9"/>
          <w:rFonts w:hint="cs"/>
          <w:rtl/>
        </w:rPr>
        <w:t>ו</w:t>
      </w:r>
      <w:r w:rsidRPr="002A1F78">
        <w:rPr>
          <w:rStyle w:val="af9"/>
          <w:rFonts w:hint="cs"/>
          <w:rtl/>
        </w:rPr>
        <w:t xml:space="preserve">הרשב"ם לקמן </w:t>
      </w:r>
      <w:r w:rsidRPr="002A1F78">
        <w:rPr>
          <w:rStyle w:val="af7"/>
          <w:rFonts w:eastAsia="Guttman Hodes" w:hint="cs"/>
          <w:rtl/>
        </w:rPr>
        <w:t>(לט. ד"ה מחאה</w:t>
      </w:r>
      <w:r>
        <w:rPr>
          <w:rStyle w:val="af7"/>
          <w:rFonts w:eastAsia="Guttman Hodes" w:hint="cs"/>
          <w:rtl/>
        </w:rPr>
        <w:t>, הובא בסימן ג' אות ע')</w:t>
      </w:r>
      <w:r w:rsidRPr="00E806D5">
        <w:rPr>
          <w:rStyle w:val="af7"/>
          <w:rFonts w:eastAsia="Guttman Hodes" w:hint="cs"/>
          <w:rtl/>
        </w:rPr>
        <w:t xml:space="preserve"> </w:t>
      </w:r>
      <w:r>
        <w:rPr>
          <w:rFonts w:hint="cs"/>
          <w:rtl/>
        </w:rPr>
        <w:t xml:space="preserve">דמהני המחאה אף שלא שמע ממנה המחזיק, דכיון שמחה כדין ואין כל הערמה בטענתו, הוא יכול להוציא מהמחזיק. </w:t>
      </w:r>
      <w:r w:rsidRPr="00424E06">
        <w:rPr>
          <w:rStyle w:val="afb"/>
          <w:rFonts w:hint="cs"/>
          <w:rtl/>
        </w:rPr>
        <w:t xml:space="preserve">[וע"ע במ"ש בזה </w:t>
      </w:r>
      <w:r w:rsidRPr="00424E06">
        <w:rPr>
          <w:rStyle w:val="affa"/>
          <w:rFonts w:hint="cs"/>
          <w:rtl/>
        </w:rPr>
        <w:t>בחי' רבי נחום ובשיעורי רבי שמואל</w:t>
      </w:r>
      <w:r w:rsidRPr="00424E06">
        <w:rPr>
          <w:rStyle w:val="afb"/>
          <w:rFonts w:hint="cs"/>
          <w:rtl/>
        </w:rPr>
        <w:t xml:space="preserve"> </w:t>
      </w:r>
      <w:r w:rsidRPr="00424E06">
        <w:rPr>
          <w:rStyle w:val="aff6"/>
          <w:rFonts w:hint="cs"/>
          <w:rtl/>
        </w:rPr>
        <w:t>(עי' הערה</w:t>
      </w:r>
      <w:r w:rsidRPr="00424E06">
        <w:rPr>
          <w:vertAlign w:val="superscript"/>
          <w:rtl/>
        </w:rPr>
        <w:fldChar w:fldCharType="begin"/>
      </w:r>
      <w:r w:rsidRPr="00424E06">
        <w:rPr>
          <w:vertAlign w:val="superscript"/>
          <w:rtl/>
        </w:rPr>
        <w:instrText xml:space="preserve"> </w:instrText>
      </w:r>
      <w:r w:rsidRPr="00424E06">
        <w:rPr>
          <w:rFonts w:hint="cs"/>
          <w:vertAlign w:val="superscript"/>
        </w:rPr>
        <w:instrText>NOTEREF</w:instrText>
      </w:r>
      <w:r w:rsidRPr="00424E06">
        <w:rPr>
          <w:rFonts w:hint="cs"/>
          <w:vertAlign w:val="superscript"/>
          <w:rtl/>
        </w:rPr>
        <w:instrText xml:space="preserve"> _</w:instrText>
      </w:r>
      <w:r w:rsidRPr="00424E06">
        <w:rPr>
          <w:rFonts w:hint="cs"/>
          <w:vertAlign w:val="superscript"/>
        </w:rPr>
        <w:instrText>Ref56008761 \h</w:instrText>
      </w:r>
      <w:r w:rsidRPr="00424E0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24E06">
        <w:rPr>
          <w:vertAlign w:val="superscript"/>
          <w:rtl/>
        </w:rPr>
      </w:r>
      <w:r w:rsidRPr="00424E06">
        <w:rPr>
          <w:vertAlign w:val="superscript"/>
          <w:rtl/>
        </w:rPr>
        <w:fldChar w:fldCharType="separate"/>
      </w:r>
      <w:r w:rsidR="00265073">
        <w:rPr>
          <w:vertAlign w:val="superscript"/>
          <w:rtl/>
        </w:rPr>
        <w:t>20</w:t>
      </w:r>
      <w:r w:rsidRPr="00424E06">
        <w:rPr>
          <w:vertAlign w:val="superscript"/>
          <w:rtl/>
        </w:rPr>
        <w:fldChar w:fldCharType="end"/>
      </w:r>
      <w:r w:rsidRPr="00424E06">
        <w:rPr>
          <w:rStyle w:val="aff6"/>
          <w:rFonts w:hint="cs"/>
          <w:rtl/>
        </w:rPr>
        <w:t xml:space="preserve">) </w:t>
      </w:r>
      <w:r w:rsidRPr="00424E06">
        <w:rPr>
          <w:rStyle w:val="afb"/>
          <w:rFonts w:hint="cs"/>
          <w:rtl/>
        </w:rPr>
        <w:t xml:space="preserve">בדעת </w:t>
      </w:r>
      <w:r w:rsidRPr="00424E06">
        <w:rPr>
          <w:rStyle w:val="affa"/>
          <w:rFonts w:hint="cs"/>
          <w:rtl/>
        </w:rPr>
        <w:t>הרמב"ן</w:t>
      </w:r>
      <w:r w:rsidRPr="00424E06">
        <w:rPr>
          <w:rStyle w:val="afb"/>
          <w:rFonts w:hint="cs"/>
          <w:rtl/>
        </w:rPr>
        <w:t>].</w:t>
      </w:r>
      <w:bookmarkEnd w:id="4579"/>
    </w:p>
    <w:p w:rsidR="00F163D7" w:rsidRPr="00F83651" w:rsidRDefault="00F163D7" w:rsidP="00F163D7">
      <w:pPr>
        <w:pStyle w:val="1"/>
        <w:rPr>
          <w:rtl/>
        </w:rPr>
      </w:pPr>
      <w:bookmarkStart w:id="4580" w:name="_Toc55927888"/>
      <w:bookmarkStart w:id="4581" w:name="_Toc55946614"/>
      <w:bookmarkStart w:id="4582" w:name="_Toc55991954"/>
      <w:bookmarkStart w:id="4583" w:name="_Toc56030510"/>
      <w:bookmarkStart w:id="4584" w:name="_Toc56032701"/>
      <w:r>
        <w:rPr>
          <w:rFonts w:hint="cs"/>
          <w:rtl/>
        </w:rPr>
        <w:t>בי' הגרנ"פ ברמב"ן דהראיה היא מיד ודלא כרבי ראובן</w:t>
      </w:r>
      <w:bookmarkEnd w:id="4580"/>
      <w:bookmarkEnd w:id="4581"/>
      <w:r>
        <w:rPr>
          <w:rFonts w:hint="cs"/>
          <w:rtl/>
        </w:rPr>
        <w:t xml:space="preserve"> והקה"י</w:t>
      </w:r>
      <w:bookmarkEnd w:id="4582"/>
      <w:bookmarkEnd w:id="4583"/>
      <w:bookmarkEnd w:id="4584"/>
      <w:r>
        <w:rPr>
          <w:rFonts w:hint="cs"/>
          <w:rtl/>
        </w:rPr>
        <w:t xml:space="preserve"> </w:t>
      </w:r>
    </w:p>
    <w:p w:rsidR="00F163D7" w:rsidRDefault="00F163D7" w:rsidP="00F163D7">
      <w:pPr>
        <w:pStyle w:val="a3"/>
        <w:rPr>
          <w:rtl/>
        </w:rPr>
      </w:pPr>
      <w:bookmarkStart w:id="4585" w:name="_Toc56030511"/>
      <w:bookmarkStart w:id="4586" w:name="_Toc56032702"/>
      <w:r>
        <w:rPr>
          <w:rFonts w:hint="cs"/>
          <w:rtl/>
        </w:rPr>
        <w:t>דברי הגרנ"פ דמוכח ברמב"ן דאף לאחר תקנת חזקת ג"ש הראיה היא לאלתר ולא רק לאחר ג"ש</w:t>
      </w:r>
      <w:bookmarkEnd w:id="4585"/>
      <w:bookmarkEnd w:id="4586"/>
      <w:r>
        <w:rPr>
          <w:rFonts w:hint="cs"/>
          <w:rtl/>
        </w:rPr>
        <w:t xml:space="preserve"> </w:t>
      </w:r>
    </w:p>
    <w:p w:rsidR="00F163D7" w:rsidRDefault="00F163D7" w:rsidP="007E4E81">
      <w:pPr>
        <w:pStyle w:val="a0"/>
        <w:rPr>
          <w:rtl/>
        </w:rPr>
      </w:pPr>
      <w:bookmarkStart w:id="4587" w:name="_Ref55748373"/>
      <w:r>
        <w:rPr>
          <w:rFonts w:hint="cs"/>
          <w:rtl/>
        </w:rPr>
        <w:t xml:space="preserve">אבל </w:t>
      </w:r>
      <w:r w:rsidRPr="002B5969">
        <w:rPr>
          <w:rStyle w:val="af9"/>
          <w:rFonts w:hint="cs"/>
          <w:rtl/>
        </w:rPr>
        <w:t>בחי' רבי נחום</w:t>
      </w:r>
      <w:r>
        <w:rPr>
          <w:rFonts w:hint="cs"/>
          <w:rtl/>
        </w:rPr>
        <w:t xml:space="preserve"> </w:t>
      </w:r>
      <w:r w:rsidRPr="002B5969">
        <w:rPr>
          <w:rStyle w:val="af7"/>
          <w:rFonts w:eastAsia="Guttman Hodes" w:hint="cs"/>
          <w:rtl/>
        </w:rPr>
        <w:t>(או' כ"ו ד"ה אמנם אכתי)</w:t>
      </w:r>
      <w:r>
        <w:rPr>
          <w:rFonts w:hint="cs"/>
          <w:rtl/>
        </w:rPr>
        <w:t xml:space="preserve"> כתב דא"א לבאר בדעת </w:t>
      </w:r>
      <w:r w:rsidRPr="002B5969">
        <w:rPr>
          <w:rStyle w:val="af9"/>
          <w:rFonts w:hint="cs"/>
          <w:rtl/>
        </w:rPr>
        <w:t>הרמב"ן</w:t>
      </w:r>
      <w:r>
        <w:rPr>
          <w:rFonts w:hint="cs"/>
          <w:rtl/>
        </w:rPr>
        <w:t xml:space="preserve"> דלאחר שתיקנו ג"ש, ממילא אין ראיה משתיקת המערער בתוך הג"ש, דהוא סומך על כך שבתוך ג"ש יכול לומר למחזיק אחוי שטרך, דהא מדברי </w:t>
      </w:r>
      <w:r w:rsidRPr="002B5969">
        <w:rPr>
          <w:rStyle w:val="af9"/>
          <w:rFonts w:hint="cs"/>
          <w:rtl/>
        </w:rPr>
        <w:t>הרמב"ן לקמן</w:t>
      </w:r>
      <w:r>
        <w:rPr>
          <w:rFonts w:hint="cs"/>
          <w:rtl/>
        </w:rPr>
        <w:t xml:space="preserve"> מוכח דאף לאחר התקנת חכמים הראיה היא לאלתר, דהא לדעת </w:t>
      </w:r>
      <w:r w:rsidRPr="002B5969">
        <w:rPr>
          <w:rStyle w:val="af9"/>
          <w:rFonts w:hint="cs"/>
          <w:rtl/>
        </w:rPr>
        <w:t>הי"מ ברמב"ן לקמן</w:t>
      </w:r>
      <w:r>
        <w:rPr>
          <w:rFonts w:hint="cs"/>
          <w:rtl/>
        </w:rPr>
        <w:t xml:space="preserve"> </w:t>
      </w:r>
      <w:r w:rsidRPr="00696F20">
        <w:rPr>
          <w:rStyle w:val="af7"/>
          <w:rFonts w:eastAsia="Guttman Hodes" w:hint="cs"/>
          <w:rtl/>
        </w:rPr>
        <w:t xml:space="preserve">(עי' אות </w:t>
      </w:r>
      <w:r w:rsidRPr="00696F20">
        <w:rPr>
          <w:rStyle w:val="af7"/>
          <w:rFonts w:eastAsia="Guttman Hodes"/>
          <w:rtl/>
        </w:rPr>
        <w:fldChar w:fldCharType="begin"/>
      </w:r>
      <w:r w:rsidRPr="00696F20">
        <w:rPr>
          <w:rStyle w:val="af7"/>
          <w:rFonts w:eastAsia="Guttman Hodes"/>
          <w:rtl/>
        </w:rPr>
        <w:instrText xml:space="preserve"> </w:instrText>
      </w:r>
      <w:r w:rsidRPr="00696F20">
        <w:rPr>
          <w:rStyle w:val="af7"/>
          <w:rFonts w:eastAsia="Guttman Hodes" w:hint="cs"/>
        </w:rPr>
        <w:instrText>REF</w:instrText>
      </w:r>
      <w:r w:rsidRPr="00696F20">
        <w:rPr>
          <w:rStyle w:val="af7"/>
          <w:rFonts w:eastAsia="Guttman Hodes" w:hint="cs"/>
          <w:rtl/>
        </w:rPr>
        <w:instrText xml:space="preserve"> _</w:instrText>
      </w:r>
      <w:r w:rsidRPr="00696F20">
        <w:rPr>
          <w:rStyle w:val="af7"/>
          <w:rFonts w:eastAsia="Guttman Hodes" w:hint="cs"/>
        </w:rPr>
        <w:instrText>Ref55937745 \r \h</w:instrText>
      </w:r>
      <w:r w:rsidRPr="00696F20">
        <w:rPr>
          <w:rStyle w:val="af7"/>
          <w:rFonts w:eastAsia="Guttman Hodes"/>
          <w:rtl/>
        </w:rPr>
        <w:instrText xml:space="preserve"> </w:instrText>
      </w:r>
      <w:r w:rsidRPr="00696F20">
        <w:rPr>
          <w:rStyle w:val="af7"/>
          <w:rFonts w:eastAsia="Guttman Hodes"/>
          <w:rtl/>
        </w:rPr>
      </w:r>
      <w:r w:rsidRPr="00696F20">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696F20">
        <w:rPr>
          <w:rStyle w:val="af7"/>
          <w:rFonts w:eastAsia="Guttman Hodes"/>
          <w:rtl/>
        </w:rPr>
        <w:fldChar w:fldCharType="end"/>
      </w:r>
      <w:r>
        <w:rPr>
          <w:rFonts w:hint="cs"/>
          <w:rtl/>
        </w:rPr>
        <w:t xml:space="preserve"> לא מהני חזקה בקטן, כיון שא"א למחות בו, וכ"מ שנחלק </w:t>
      </w:r>
      <w:r w:rsidRPr="002B5969">
        <w:rPr>
          <w:rStyle w:val="af9"/>
          <w:rFonts w:hint="cs"/>
          <w:rtl/>
        </w:rPr>
        <w:t>הרמב"ן</w:t>
      </w:r>
      <w:r>
        <w:rPr>
          <w:rFonts w:hint="cs"/>
          <w:rtl/>
        </w:rPr>
        <w:t xml:space="preserve"> לקמן </w:t>
      </w:r>
      <w:r w:rsidRPr="00696F20">
        <w:rPr>
          <w:rStyle w:val="af7"/>
          <w:rFonts w:eastAsia="Guttman Hodes" w:hint="cs"/>
          <w:rtl/>
        </w:rPr>
        <w:t xml:space="preserve">(עי' אות </w:t>
      </w:r>
      <w:r w:rsidRPr="00696F20">
        <w:rPr>
          <w:rStyle w:val="af7"/>
          <w:rFonts w:eastAsia="Guttman Hodes"/>
          <w:rtl/>
        </w:rPr>
        <w:fldChar w:fldCharType="begin"/>
      </w:r>
      <w:r w:rsidRPr="00696F20">
        <w:rPr>
          <w:rStyle w:val="af7"/>
          <w:rFonts w:eastAsia="Guttman Hodes"/>
          <w:rtl/>
        </w:rPr>
        <w:instrText xml:space="preserve"> </w:instrText>
      </w:r>
      <w:r w:rsidRPr="00696F20">
        <w:rPr>
          <w:rStyle w:val="af7"/>
          <w:rFonts w:eastAsia="Guttman Hodes" w:hint="cs"/>
        </w:rPr>
        <w:instrText>REF</w:instrText>
      </w:r>
      <w:r w:rsidRPr="00696F20">
        <w:rPr>
          <w:rStyle w:val="af7"/>
          <w:rFonts w:eastAsia="Guttman Hodes" w:hint="cs"/>
          <w:rtl/>
        </w:rPr>
        <w:instrText xml:space="preserve"> _</w:instrText>
      </w:r>
      <w:r w:rsidRPr="00696F20">
        <w:rPr>
          <w:rStyle w:val="af7"/>
          <w:rFonts w:eastAsia="Guttman Hodes" w:hint="cs"/>
        </w:rPr>
        <w:instrText>Ref55489917 \r \h</w:instrText>
      </w:r>
      <w:r w:rsidRPr="00696F20">
        <w:rPr>
          <w:rStyle w:val="af7"/>
          <w:rFonts w:eastAsia="Guttman Hodes"/>
          <w:rtl/>
        </w:rPr>
        <w:instrText xml:space="preserve"> </w:instrText>
      </w:r>
      <w:r w:rsidRPr="00696F20">
        <w:rPr>
          <w:rStyle w:val="af7"/>
          <w:rFonts w:eastAsia="Guttman Hodes"/>
          <w:rtl/>
        </w:rPr>
      </w:r>
      <w:r w:rsidRPr="00696F20">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696F20">
        <w:rPr>
          <w:rStyle w:val="af7"/>
          <w:rFonts w:eastAsia="Guttman Hodes"/>
          <w:rtl/>
        </w:rPr>
        <w:fldChar w:fldCharType="end"/>
      </w:r>
      <w:r>
        <w:rPr>
          <w:rFonts w:hint="cs"/>
          <w:rtl/>
        </w:rPr>
        <w:t xml:space="preserve"> על </w:t>
      </w:r>
      <w:r w:rsidRPr="002B5969">
        <w:rPr>
          <w:rStyle w:val="af9"/>
          <w:rFonts w:hint="cs"/>
          <w:rtl/>
        </w:rPr>
        <w:t>הי"מ</w:t>
      </w:r>
      <w:r>
        <w:rPr>
          <w:rFonts w:hint="cs"/>
          <w:rtl/>
        </w:rPr>
        <w:t xml:space="preserve"> הוא באכל שנה אחת בפני האב, דהיה לו למחות באב, ואי ס"ל דלאחר תקנת חזקת ג"ש אין ראיה לאלתר, אף כשאכל האב שנה אחת, עדיין אין חזקה דהמרא קמא לא חשש למחות לפני שיעברו הג"ש, אלא מוכח דס"ל </w:t>
      </w:r>
      <w:r w:rsidRPr="002B5969">
        <w:rPr>
          <w:rStyle w:val="af9"/>
          <w:rFonts w:hint="cs"/>
          <w:rtl/>
        </w:rPr>
        <w:t>לרמב"ן</w:t>
      </w:r>
      <w:r>
        <w:rPr>
          <w:rFonts w:hint="cs"/>
          <w:rtl/>
        </w:rPr>
        <w:t xml:space="preserve"> דאף לאחר התקנה, יש ראיה לאלתר מדלא מיחה.</w:t>
      </w:r>
      <w:bookmarkEnd w:id="4587"/>
    </w:p>
    <w:p w:rsidR="00282EB0" w:rsidRPr="00282EB0" w:rsidRDefault="00282EB0" w:rsidP="00282EB0">
      <w:pPr>
        <w:pStyle w:val="a3"/>
        <w:rPr>
          <w:rtl/>
        </w:rPr>
      </w:pPr>
    </w:p>
    <w:p w:rsidR="00282EB0" w:rsidRPr="00282EB0" w:rsidRDefault="00282EB0" w:rsidP="00282EB0">
      <w:pPr>
        <w:pStyle w:val="a3"/>
        <w:rPr>
          <w:rtl/>
        </w:rPr>
      </w:pPr>
    </w:p>
    <w:p w:rsidR="00105E7C" w:rsidRPr="00105E7C" w:rsidRDefault="00105E7C" w:rsidP="00105E7C">
      <w:pPr>
        <w:pStyle w:val="a3"/>
        <w:rPr>
          <w:rtl/>
        </w:rPr>
      </w:pPr>
    </w:p>
    <w:p w:rsidR="00F163D7" w:rsidRDefault="00F163D7" w:rsidP="00F163D7">
      <w:pPr>
        <w:pStyle w:val="afe"/>
        <w:rPr>
          <w:rtl/>
        </w:rPr>
      </w:pPr>
      <w:bookmarkStart w:id="4588" w:name="_Toc55927889"/>
      <w:bookmarkStart w:id="4589" w:name="_Toc55946615"/>
      <w:bookmarkStart w:id="4590" w:name="_Toc55991955"/>
      <w:bookmarkStart w:id="4591" w:name="_Toc56030512"/>
      <w:bookmarkStart w:id="4592" w:name="_Toc56032703"/>
      <w:r>
        <w:rPr>
          <w:rFonts w:hint="cs"/>
          <w:rtl/>
        </w:rPr>
        <w:lastRenderedPageBreak/>
        <w:t>בגדר ההוכחה משתיקת המערער</w:t>
      </w:r>
      <w:bookmarkEnd w:id="4588"/>
      <w:bookmarkEnd w:id="4589"/>
      <w:bookmarkEnd w:id="4590"/>
      <w:bookmarkEnd w:id="4591"/>
      <w:bookmarkEnd w:id="4592"/>
    </w:p>
    <w:p w:rsidR="00F163D7" w:rsidRPr="0011475D" w:rsidRDefault="00F163D7" w:rsidP="00F163D7">
      <w:pPr>
        <w:pStyle w:val="1"/>
        <w:rPr>
          <w:rtl/>
        </w:rPr>
      </w:pPr>
      <w:bookmarkStart w:id="4593" w:name="_Toc55927890"/>
      <w:bookmarkStart w:id="4594" w:name="_Toc55946616"/>
      <w:bookmarkStart w:id="4595" w:name="_Toc55991956"/>
      <w:bookmarkStart w:id="4596" w:name="_Toc56030513"/>
      <w:bookmarkStart w:id="4597" w:name="_Toc56032704"/>
      <w:r>
        <w:rPr>
          <w:rFonts w:hint="cs"/>
          <w:rtl/>
        </w:rPr>
        <w:t>ביאור הגרנ"פ ברמב"ן דע"י הרגל"ד נעשה מוחזק</w:t>
      </w:r>
      <w:bookmarkEnd w:id="4437"/>
      <w:bookmarkEnd w:id="4438"/>
      <w:bookmarkEnd w:id="4439"/>
      <w:bookmarkEnd w:id="4440"/>
      <w:bookmarkEnd w:id="4441"/>
      <w:bookmarkEnd w:id="4593"/>
      <w:bookmarkEnd w:id="4594"/>
      <w:bookmarkEnd w:id="4595"/>
      <w:bookmarkEnd w:id="4596"/>
      <w:bookmarkEnd w:id="4597"/>
    </w:p>
    <w:p w:rsidR="00F163D7" w:rsidRDefault="00F163D7" w:rsidP="00F163D7">
      <w:pPr>
        <w:pStyle w:val="a3"/>
        <w:rPr>
          <w:rtl/>
        </w:rPr>
      </w:pPr>
      <w:bookmarkStart w:id="4598" w:name="_Toc56030514"/>
      <w:bookmarkStart w:id="4599" w:name="_Toc56032705"/>
      <w:r>
        <w:rPr>
          <w:rFonts w:hint="cs"/>
          <w:rtl/>
        </w:rPr>
        <w:t>ביאור הגרנ"פ ברמב"ן דשתיקת המערער אינה ראיה שמוציאה ממון אלא רגל"ד דנעשה מוחזק</w:t>
      </w:r>
      <w:bookmarkEnd w:id="4598"/>
      <w:bookmarkEnd w:id="4599"/>
    </w:p>
    <w:p w:rsidR="00F163D7" w:rsidRDefault="00F163D7" w:rsidP="007E4E81">
      <w:pPr>
        <w:pStyle w:val="a0"/>
        <w:rPr>
          <w:rStyle w:val="afb"/>
          <w:rtl/>
        </w:rPr>
      </w:pPr>
      <w:bookmarkStart w:id="4600" w:name="_Ref55508194"/>
      <w:bookmarkStart w:id="4601" w:name="_Ref55920562"/>
      <w:r>
        <w:rPr>
          <w:rFonts w:hint="cs"/>
          <w:rtl/>
        </w:rPr>
        <w:t xml:space="preserve">במ"ש </w:t>
      </w:r>
      <w:r w:rsidRPr="00142E47">
        <w:rPr>
          <w:rStyle w:val="af9"/>
          <w:rFonts w:hint="cs"/>
          <w:rtl/>
        </w:rPr>
        <w:t xml:space="preserve">הרמב"ן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 xml:space="preserve">דשתיקת המערער היא רגלים לדבר שמכר לו, הקשה </w:t>
      </w:r>
      <w:r w:rsidRPr="00142E47">
        <w:rPr>
          <w:rStyle w:val="af9"/>
          <w:rFonts w:hint="cs"/>
          <w:rtl/>
        </w:rPr>
        <w:t>בחי' רבי נחום</w:t>
      </w:r>
      <w:r>
        <w:rPr>
          <w:rFonts w:hint="cs"/>
          <w:rtl/>
        </w:rPr>
        <w:t xml:space="preserve"> </w:t>
      </w:r>
      <w:r w:rsidRPr="00342CAE">
        <w:rPr>
          <w:rStyle w:val="af7"/>
          <w:rFonts w:eastAsia="Guttman Hodes" w:hint="cs"/>
          <w:rtl/>
        </w:rPr>
        <w:t>(או' כ"ה ד"ה וצריך להוסיף)</w:t>
      </w:r>
      <w:r>
        <w:rPr>
          <w:rFonts w:hint="cs"/>
          <w:rtl/>
        </w:rPr>
        <w:t xml:space="preserve"> דמשמע מדברי </w:t>
      </w:r>
      <w:r w:rsidRPr="00142E47">
        <w:rPr>
          <w:rStyle w:val="af9"/>
          <w:rFonts w:hint="cs"/>
          <w:rtl/>
        </w:rPr>
        <w:t>הרמב"ן</w:t>
      </w:r>
      <w:r>
        <w:rPr>
          <w:rFonts w:hint="cs"/>
          <w:rtl/>
        </w:rPr>
        <w:t xml:space="preserve"> דאי"ז ראיה גמורה, אלא רק רגלים לדבר, וא"כ האיך אפשר להוציא ממון עי"ז, אלא כתב </w:t>
      </w:r>
      <w:r w:rsidRPr="00142E47">
        <w:rPr>
          <w:rStyle w:val="af9"/>
          <w:rFonts w:hint="cs"/>
          <w:rtl/>
        </w:rPr>
        <w:t>בחי' רבי נחום</w:t>
      </w:r>
      <w:r>
        <w:rPr>
          <w:rFonts w:hint="cs"/>
          <w:rtl/>
        </w:rPr>
        <w:t xml:space="preserve"> דמוכח מדברי </w:t>
      </w:r>
      <w:r w:rsidRPr="00176298">
        <w:rPr>
          <w:rStyle w:val="af9"/>
          <w:rFonts w:hint="cs"/>
          <w:rtl/>
        </w:rPr>
        <w:t>הרמב"ן</w:t>
      </w:r>
      <w:r>
        <w:rPr>
          <w:rFonts w:hint="cs"/>
          <w:rtl/>
        </w:rPr>
        <w:t xml:space="preserve"> דהראיה עצמה אינה מוציאה את הקרקע מהמרא קמא למחזיק, אלא דע"י הראיה הוא נעשה מוחזק בקרקע, וכל שהוא מוחזק לא חשיב שמוציא ממון, </w:t>
      </w:r>
      <w:r w:rsidRPr="00D77DFE">
        <w:rPr>
          <w:rStyle w:val="afb"/>
          <w:rFonts w:hint="cs"/>
          <w:rtl/>
        </w:rPr>
        <w:t xml:space="preserve">[וכדביאר </w:t>
      </w:r>
      <w:r w:rsidRPr="00342CAE">
        <w:rPr>
          <w:rStyle w:val="affa"/>
          <w:rFonts w:hint="cs"/>
          <w:rtl/>
        </w:rPr>
        <w:t>בחי' רבי נחום</w:t>
      </w:r>
      <w:r w:rsidRPr="00D77DFE">
        <w:rPr>
          <w:rStyle w:val="afb"/>
          <w:rFonts w:hint="cs"/>
          <w:rtl/>
        </w:rPr>
        <w:t xml:space="preserve"> </w:t>
      </w:r>
      <w:r w:rsidRPr="00342CAE">
        <w:rPr>
          <w:rStyle w:val="aff6"/>
          <w:rFonts w:hint="cs"/>
          <w:rtl/>
        </w:rPr>
        <w:t>(או' א' ד"ה אמנם, הובא בסימן א' אות פ"ד)</w:t>
      </w:r>
      <w:r w:rsidRPr="00D77DFE">
        <w:rPr>
          <w:rStyle w:val="afb"/>
          <w:rFonts w:hint="cs"/>
          <w:rtl/>
        </w:rPr>
        <w:t xml:space="preserve"> בדעת </w:t>
      </w:r>
      <w:r w:rsidRPr="00342CAE">
        <w:rPr>
          <w:rStyle w:val="affa"/>
          <w:rFonts w:hint="cs"/>
          <w:rtl/>
        </w:rPr>
        <w:t>הריטב"א והר"י מגאש</w:t>
      </w:r>
      <w:r w:rsidRPr="00D77DFE">
        <w:rPr>
          <w:rStyle w:val="afb"/>
          <w:rFonts w:hint="cs"/>
          <w:rtl/>
        </w:rPr>
        <w:t>]</w:t>
      </w:r>
      <w:r>
        <w:rPr>
          <w:rStyle w:val="afb"/>
          <w:rFonts w:hint="cs"/>
          <w:rtl/>
        </w:rPr>
        <w:t xml:space="preserve">, </w:t>
      </w:r>
      <w:r w:rsidRPr="006D5B94">
        <w:rPr>
          <w:rFonts w:hint="cs"/>
          <w:rtl/>
        </w:rPr>
        <w:t>ו</w:t>
      </w:r>
      <w:r>
        <w:rPr>
          <w:rFonts w:hint="cs"/>
          <w:rtl/>
        </w:rPr>
        <w:t>לכן סגי ברגלים לדבר, דיש סתמא שקנה מהמרא קמא, וסגי בסתמא זו בשביל להעמיד את הקרקע בחזקת המוחזק</w:t>
      </w:r>
      <w:r>
        <w:rPr>
          <w:rStyle w:val="af1"/>
          <w:rtl/>
        </w:rPr>
        <w:footnoteReference w:id="22"/>
      </w:r>
      <w:r>
        <w:rPr>
          <w:rFonts w:hint="cs"/>
          <w:rtl/>
        </w:rPr>
        <w:t xml:space="preserve">, וע"ע במה שישב לפי"ז </w:t>
      </w:r>
      <w:r w:rsidRPr="00570055">
        <w:rPr>
          <w:rStyle w:val="af9"/>
          <w:rFonts w:hint="cs"/>
          <w:rtl/>
        </w:rPr>
        <w:t>בחי' רבי נחום</w:t>
      </w:r>
      <w:r>
        <w:rPr>
          <w:rFonts w:hint="cs"/>
          <w:rtl/>
        </w:rPr>
        <w:t xml:space="preserve"> </w:t>
      </w:r>
      <w:r w:rsidRPr="00570055">
        <w:rPr>
          <w:rStyle w:val="af7"/>
          <w:rFonts w:eastAsia="Guttman Hodes" w:hint="cs"/>
          <w:rtl/>
        </w:rPr>
        <w:t xml:space="preserve">(עי' אות </w:t>
      </w:r>
      <w:r w:rsidRPr="00570055">
        <w:rPr>
          <w:rStyle w:val="af7"/>
          <w:rFonts w:eastAsia="Guttman Hodes"/>
          <w:rtl/>
        </w:rPr>
        <w:fldChar w:fldCharType="begin"/>
      </w:r>
      <w:r w:rsidRPr="00570055">
        <w:rPr>
          <w:rStyle w:val="af7"/>
          <w:rFonts w:eastAsia="Guttman Hodes"/>
          <w:rtl/>
        </w:rPr>
        <w:instrText xml:space="preserve"> </w:instrText>
      </w:r>
      <w:r w:rsidRPr="00570055">
        <w:rPr>
          <w:rStyle w:val="af7"/>
          <w:rFonts w:eastAsia="Guttman Hodes" w:hint="cs"/>
        </w:rPr>
        <w:instrText>REF</w:instrText>
      </w:r>
      <w:r w:rsidRPr="00570055">
        <w:rPr>
          <w:rStyle w:val="af7"/>
          <w:rFonts w:eastAsia="Guttman Hodes" w:hint="cs"/>
          <w:rtl/>
        </w:rPr>
        <w:instrText xml:space="preserve"> _</w:instrText>
      </w:r>
      <w:r w:rsidRPr="00570055">
        <w:rPr>
          <w:rStyle w:val="af7"/>
          <w:rFonts w:eastAsia="Guttman Hodes" w:hint="cs"/>
        </w:rPr>
        <w:instrText>Ref56015045 \r \h</w:instrText>
      </w:r>
      <w:r w:rsidRPr="00570055">
        <w:rPr>
          <w:rStyle w:val="af7"/>
          <w:rFonts w:eastAsia="Guttman Hodes"/>
          <w:rtl/>
        </w:rPr>
        <w:instrText xml:space="preserve"> </w:instrText>
      </w:r>
      <w:r w:rsidRPr="00570055">
        <w:rPr>
          <w:rStyle w:val="af7"/>
          <w:rFonts w:eastAsia="Guttman Hodes"/>
          <w:rtl/>
        </w:rPr>
      </w:r>
      <w:r w:rsidRPr="00570055">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sidRPr="00570055">
        <w:rPr>
          <w:rStyle w:val="af7"/>
          <w:rFonts w:eastAsia="Guttman Hodes"/>
          <w:rtl/>
        </w:rPr>
        <w:fldChar w:fldCharType="end"/>
      </w:r>
      <w:r>
        <w:rPr>
          <w:rFonts w:hint="cs"/>
          <w:rtl/>
        </w:rPr>
        <w:t xml:space="preserve"> את דברי </w:t>
      </w:r>
      <w:r w:rsidRPr="00570055">
        <w:rPr>
          <w:rStyle w:val="af9"/>
          <w:rFonts w:hint="cs"/>
          <w:rtl/>
        </w:rPr>
        <w:t>הרמב"ן</w:t>
      </w:r>
      <w:r>
        <w:rPr>
          <w:rFonts w:hint="cs"/>
          <w:rtl/>
        </w:rPr>
        <w:t>.</w:t>
      </w:r>
      <w:bookmarkEnd w:id="4600"/>
      <w:r>
        <w:rPr>
          <w:rStyle w:val="afb"/>
          <w:rFonts w:hint="cs"/>
          <w:rtl/>
        </w:rPr>
        <w:t xml:space="preserve"> </w:t>
      </w:r>
      <w:bookmarkEnd w:id="4601"/>
    </w:p>
    <w:p w:rsidR="00F163D7" w:rsidRPr="00280571" w:rsidRDefault="00F163D7" w:rsidP="00F163D7">
      <w:pPr>
        <w:pStyle w:val="1"/>
        <w:rPr>
          <w:rtl/>
        </w:rPr>
      </w:pPr>
      <w:bookmarkStart w:id="4602" w:name="_Toc56030518"/>
      <w:bookmarkStart w:id="4603" w:name="_Toc56032706"/>
      <w:bookmarkStart w:id="4604" w:name="_Toc56030516"/>
      <w:r>
        <w:rPr>
          <w:rFonts w:hint="cs"/>
          <w:rtl/>
        </w:rPr>
        <w:t>ביאור הגרנ"פ בחילוק בין הראיה להרמב"ן לראיה להרשב"א</w:t>
      </w:r>
      <w:bookmarkEnd w:id="4602"/>
      <w:bookmarkEnd w:id="4603"/>
    </w:p>
    <w:p w:rsidR="00F163D7" w:rsidRDefault="00F163D7" w:rsidP="00F163D7">
      <w:pPr>
        <w:pStyle w:val="a3"/>
      </w:pPr>
      <w:bookmarkStart w:id="4605" w:name="_Toc56032707"/>
      <w:r>
        <w:rPr>
          <w:rFonts w:hint="cs"/>
          <w:rtl/>
        </w:rPr>
        <w:t>ביאור הגרנ"פ ברשב"א דאחר ג"ש הריעותא היא בטענת המערער ולא באחוי שטרך כרמב"ן</w:t>
      </w:r>
      <w:bookmarkEnd w:id="4604"/>
      <w:bookmarkEnd w:id="4605"/>
      <w:r>
        <w:rPr>
          <w:rFonts w:hint="cs"/>
          <w:rtl/>
        </w:rPr>
        <w:t xml:space="preserve"> </w:t>
      </w:r>
    </w:p>
    <w:p w:rsidR="00F163D7" w:rsidRDefault="00F163D7" w:rsidP="007E4E81">
      <w:pPr>
        <w:pStyle w:val="a0"/>
        <w:rPr>
          <w:rtl/>
        </w:rPr>
      </w:pPr>
      <w:bookmarkStart w:id="4606" w:name="_Ref55936656"/>
      <w:r>
        <w:rPr>
          <w:rFonts w:hint="cs"/>
          <w:rtl/>
        </w:rPr>
        <w:t xml:space="preserve">ועוד כתב </w:t>
      </w:r>
      <w:r w:rsidRPr="00471D1F">
        <w:rPr>
          <w:rStyle w:val="af9"/>
          <w:rFonts w:hint="cs"/>
          <w:rtl/>
        </w:rPr>
        <w:t>בחי' רבי נחום</w:t>
      </w:r>
      <w:r>
        <w:rPr>
          <w:rFonts w:hint="cs"/>
          <w:rtl/>
        </w:rPr>
        <w:t xml:space="preserve"> </w:t>
      </w:r>
      <w:r w:rsidRPr="00C96D06">
        <w:rPr>
          <w:rStyle w:val="af7"/>
          <w:rFonts w:eastAsia="Guttman Hodes" w:hint="cs"/>
          <w:rtl/>
        </w:rPr>
        <w:t>(או' כ"ה ד"ה שיטת)</w:t>
      </w:r>
      <w:r>
        <w:rPr>
          <w:rFonts w:hint="cs"/>
          <w:rtl/>
        </w:rPr>
        <w:t xml:space="preserve"> דמדברי </w:t>
      </w:r>
      <w:r w:rsidRPr="00471D1F">
        <w:rPr>
          <w:rStyle w:val="af9"/>
          <w:rFonts w:hint="cs"/>
          <w:rtl/>
        </w:rPr>
        <w:t xml:space="preserve">הרמב"ן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 xml:space="preserve">מבואר דאחר ג"ש יש ריעותא בטענת אחוי שטרך, ולכן מהני הראיה ששתק לו, </w:t>
      </w:r>
      <w:bookmarkStart w:id="4607" w:name="_Ref55489993"/>
      <w:r>
        <w:rPr>
          <w:rFonts w:hint="cs"/>
          <w:rtl/>
        </w:rPr>
        <w:t xml:space="preserve">אך כתב </w:t>
      </w:r>
      <w:r w:rsidRPr="00471D1F">
        <w:rPr>
          <w:rStyle w:val="af9"/>
          <w:rFonts w:hint="cs"/>
          <w:rtl/>
        </w:rPr>
        <w:t>בחי' רבי נחום</w:t>
      </w:r>
      <w:r>
        <w:rPr>
          <w:rFonts w:hint="cs"/>
          <w:rtl/>
        </w:rPr>
        <w:t xml:space="preserve"> דמדברי </w:t>
      </w:r>
      <w:r w:rsidRPr="00471D1F">
        <w:rPr>
          <w:rStyle w:val="af9"/>
          <w:rFonts w:hint="cs"/>
          <w:rtl/>
        </w:rPr>
        <w:t>הרשב"א לקמן</w:t>
      </w:r>
      <w:r>
        <w:rPr>
          <w:rFonts w:hint="cs"/>
          <w:rtl/>
        </w:rPr>
        <w:t xml:space="preserve"> </w:t>
      </w:r>
      <w:r w:rsidRPr="00C96D06">
        <w:rPr>
          <w:rStyle w:val="af7"/>
          <w:rFonts w:eastAsia="Guttman Hodes" w:hint="cs"/>
          <w:rtl/>
        </w:rPr>
        <w:t xml:space="preserve">(עי' אות </w:t>
      </w:r>
      <w:r w:rsidRPr="00C96D06">
        <w:rPr>
          <w:rStyle w:val="af7"/>
          <w:rFonts w:eastAsia="Guttman Hodes"/>
          <w:rtl/>
        </w:rPr>
        <w:fldChar w:fldCharType="begin"/>
      </w:r>
      <w:r w:rsidRPr="00C96D06">
        <w:rPr>
          <w:rStyle w:val="af7"/>
          <w:rFonts w:eastAsia="Guttman Hodes"/>
          <w:rtl/>
        </w:rPr>
        <w:instrText xml:space="preserve"> </w:instrText>
      </w:r>
      <w:r w:rsidRPr="00C96D06">
        <w:rPr>
          <w:rStyle w:val="af7"/>
          <w:rFonts w:eastAsia="Guttman Hodes" w:hint="cs"/>
        </w:rPr>
        <w:instrText>REF</w:instrText>
      </w:r>
      <w:r w:rsidRPr="00C96D06">
        <w:rPr>
          <w:rStyle w:val="af7"/>
          <w:rFonts w:eastAsia="Guttman Hodes" w:hint="cs"/>
          <w:rtl/>
        </w:rPr>
        <w:instrText xml:space="preserve"> _</w:instrText>
      </w:r>
      <w:r w:rsidRPr="00C96D06">
        <w:rPr>
          <w:rStyle w:val="af7"/>
          <w:rFonts w:eastAsia="Guttman Hodes" w:hint="cs"/>
        </w:rPr>
        <w:instrText>Ref53498629 \r \h</w:instrText>
      </w:r>
      <w:r w:rsidRPr="00C96D06">
        <w:rPr>
          <w:rStyle w:val="af7"/>
          <w:rFonts w:eastAsia="Guttman Hodes"/>
          <w:rtl/>
        </w:rPr>
        <w:instrText xml:space="preserve"> </w:instrText>
      </w:r>
      <w:r w:rsidRPr="00C96D06">
        <w:rPr>
          <w:rStyle w:val="af7"/>
          <w:rFonts w:eastAsia="Guttman Hodes"/>
          <w:rtl/>
        </w:rPr>
      </w:r>
      <w:r w:rsidRPr="00C96D06">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C96D06">
        <w:rPr>
          <w:rStyle w:val="af7"/>
          <w:rFonts w:eastAsia="Guttman Hodes"/>
          <w:rtl/>
        </w:rPr>
        <w:fldChar w:fldCharType="end"/>
      </w:r>
      <w:r>
        <w:rPr>
          <w:rFonts w:hint="cs"/>
          <w:rtl/>
        </w:rPr>
        <w:t xml:space="preserve"> מבואר דלאחר ג"ש אי"ז ריעותא בטענת אחוי שטרך,</w:t>
      </w:r>
      <w:r w:rsidRPr="00471D1F">
        <w:rPr>
          <w:rStyle w:val="afb"/>
          <w:rFonts w:hint="cs"/>
          <w:rtl/>
        </w:rPr>
        <w:t xml:space="preserve"> </w:t>
      </w:r>
      <w:r>
        <w:rPr>
          <w:rFonts w:hint="cs"/>
          <w:rtl/>
        </w:rPr>
        <w:t xml:space="preserve">אלא יש ריעותא בטענה של המערער שהקרקע שלו, מדלא מחה בתוך הג"ש, ולכן כל שאכל שנה אחת בפני האב הוי חזקה, דהא היה למערער למחות בפני האב, וכתב </w:t>
      </w:r>
      <w:r w:rsidRPr="00074736">
        <w:rPr>
          <w:rStyle w:val="af9"/>
          <w:rFonts w:hint="cs"/>
          <w:rtl/>
        </w:rPr>
        <w:t>בחי' רבי נחום</w:t>
      </w:r>
      <w:r>
        <w:rPr>
          <w:rFonts w:hint="cs"/>
          <w:rtl/>
        </w:rPr>
        <w:t xml:space="preserve"> דכן מבואר בדברי </w:t>
      </w:r>
      <w:r w:rsidRPr="00074736">
        <w:rPr>
          <w:rStyle w:val="af9"/>
          <w:rFonts w:hint="cs"/>
          <w:rtl/>
        </w:rPr>
        <w:t>הר"ן בתשו'</w:t>
      </w:r>
      <w:r>
        <w:rPr>
          <w:rFonts w:hint="cs"/>
          <w:rtl/>
        </w:rPr>
        <w:t xml:space="preserve"> </w:t>
      </w:r>
      <w:r w:rsidRPr="00E23AE4">
        <w:rPr>
          <w:rStyle w:val="af7"/>
          <w:rFonts w:eastAsia="Guttman Hodes" w:hint="cs"/>
          <w:rtl/>
        </w:rPr>
        <w:t xml:space="preserve">(עי' אות </w:t>
      </w:r>
      <w:r w:rsidRPr="00E23AE4">
        <w:rPr>
          <w:rStyle w:val="af7"/>
          <w:rFonts w:eastAsia="Guttman Hodes"/>
          <w:rtl/>
        </w:rPr>
        <w:fldChar w:fldCharType="begin"/>
      </w:r>
      <w:r w:rsidRPr="00E23AE4">
        <w:rPr>
          <w:rStyle w:val="af7"/>
          <w:rFonts w:eastAsia="Guttman Hodes"/>
          <w:rtl/>
        </w:rPr>
        <w:instrText xml:space="preserve"> </w:instrText>
      </w:r>
      <w:r w:rsidRPr="00E23AE4">
        <w:rPr>
          <w:rStyle w:val="af7"/>
          <w:rFonts w:eastAsia="Guttman Hodes" w:hint="cs"/>
        </w:rPr>
        <w:instrText>REF</w:instrText>
      </w:r>
      <w:r w:rsidRPr="00E23AE4">
        <w:rPr>
          <w:rStyle w:val="af7"/>
          <w:rFonts w:eastAsia="Guttman Hodes" w:hint="cs"/>
          <w:rtl/>
        </w:rPr>
        <w:instrText xml:space="preserve"> _</w:instrText>
      </w:r>
      <w:r w:rsidRPr="00E23AE4">
        <w:rPr>
          <w:rStyle w:val="af7"/>
          <w:rFonts w:eastAsia="Guttman Hodes" w:hint="cs"/>
        </w:rPr>
        <w:instrText>Ref55726886 \r \h</w:instrText>
      </w:r>
      <w:r w:rsidRPr="00E23AE4">
        <w:rPr>
          <w:rStyle w:val="af7"/>
          <w:rFonts w:eastAsia="Guttman Hodes"/>
          <w:rtl/>
        </w:rPr>
        <w:instrText xml:space="preserve"> </w:instrText>
      </w:r>
      <w:r w:rsidRPr="00E23AE4">
        <w:rPr>
          <w:rStyle w:val="af7"/>
          <w:rFonts w:eastAsia="Guttman Hodes"/>
          <w:rtl/>
        </w:rPr>
      </w:r>
      <w:r w:rsidRPr="00E23AE4">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E23AE4">
        <w:rPr>
          <w:rStyle w:val="af7"/>
          <w:rFonts w:eastAsia="Guttman Hodes"/>
          <w:rtl/>
        </w:rPr>
        <w:fldChar w:fldCharType="end"/>
      </w:r>
      <w:r>
        <w:rPr>
          <w:rFonts w:hint="cs"/>
          <w:rtl/>
        </w:rPr>
        <w:t>.</w:t>
      </w:r>
      <w:bookmarkEnd w:id="4606"/>
      <w:bookmarkEnd w:id="4607"/>
    </w:p>
    <w:p w:rsidR="00F163D7" w:rsidRPr="00165493" w:rsidRDefault="00F163D7" w:rsidP="00F163D7">
      <w:pPr>
        <w:pStyle w:val="a3"/>
        <w:rPr>
          <w:rtl/>
        </w:rPr>
      </w:pPr>
      <w:bookmarkStart w:id="4608" w:name="_Toc56030517"/>
      <w:bookmarkStart w:id="4609" w:name="_Toc56032708"/>
      <w:r>
        <w:rPr>
          <w:rFonts w:hint="cs"/>
          <w:rtl/>
        </w:rPr>
        <w:t>ביאור הגרנ"פ ברשב"א דהראיה ל"מ להוציא ממון אלא שהסתמא כמחזיק דנעשה מוחזק</w:t>
      </w:r>
      <w:bookmarkEnd w:id="4608"/>
      <w:bookmarkEnd w:id="4609"/>
    </w:p>
    <w:p w:rsidR="00F163D7" w:rsidRDefault="00F163D7" w:rsidP="007E4E81">
      <w:pPr>
        <w:pStyle w:val="a0"/>
        <w:rPr>
          <w:rtl/>
        </w:rPr>
      </w:pPr>
      <w:bookmarkStart w:id="4610" w:name="_Ref56009983"/>
      <w:r w:rsidRPr="00B40BFD">
        <w:rPr>
          <w:rFonts w:hint="cs"/>
          <w:rtl/>
        </w:rPr>
        <w:t xml:space="preserve">במ"ש </w:t>
      </w:r>
      <w:r w:rsidRPr="002C616B">
        <w:rPr>
          <w:rStyle w:val="af9"/>
          <w:rFonts w:hint="cs"/>
          <w:rtl/>
        </w:rPr>
        <w:t>הרשב"א</w:t>
      </w:r>
      <w:r>
        <w:rPr>
          <w:rStyle w:val="af9"/>
          <w:rFonts w:hint="cs"/>
          <w:rtl/>
        </w:rPr>
        <w:t xml:space="preserve"> לקמן</w:t>
      </w:r>
      <w:r w:rsidRPr="00B40BFD">
        <w:rPr>
          <w:rFonts w:hint="cs"/>
          <w:rtl/>
        </w:rPr>
        <w:t xml:space="preserve"> </w:t>
      </w:r>
      <w:r w:rsidRPr="002C616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Ref56009495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Pr>
          <w:rStyle w:val="af7"/>
          <w:rFonts w:eastAsia="Guttman Hodes"/>
          <w:rtl/>
        </w:rPr>
        <w:fldChar w:fldCharType="end"/>
      </w:r>
      <w:r>
        <w:rPr>
          <w:rStyle w:val="af7"/>
          <w:rFonts w:eastAsia="Guttman Hodes" w:hint="cs"/>
          <w:rtl/>
        </w:rPr>
        <w:t xml:space="preserve"> </w:t>
      </w:r>
      <w:r>
        <w:rPr>
          <w:rFonts w:hint="cs"/>
          <w:rtl/>
        </w:rPr>
        <w:t>ד</w:t>
      </w:r>
      <w:r w:rsidRPr="00B40BFD">
        <w:rPr>
          <w:rFonts w:hint="cs"/>
          <w:rtl/>
        </w:rPr>
        <w:t xml:space="preserve">טעם החזקה שהמערער נראה כמערים </w:t>
      </w:r>
      <w:r>
        <w:rPr>
          <w:rFonts w:hint="cs"/>
          <w:rtl/>
        </w:rPr>
        <w:t>ששתק עד אחר ג"ש</w:t>
      </w:r>
      <w:r w:rsidRPr="00B40BFD">
        <w:rPr>
          <w:rFonts w:hint="cs"/>
          <w:rtl/>
        </w:rPr>
        <w:t xml:space="preserve">, והוסיף </w:t>
      </w:r>
      <w:r w:rsidRPr="00B40BFD">
        <w:rPr>
          <w:rStyle w:val="af9"/>
          <w:rFonts w:hint="cs"/>
          <w:rtl/>
        </w:rPr>
        <w:t>הרשב"א</w:t>
      </w:r>
      <w:r w:rsidRPr="0033552A">
        <w:rPr>
          <w:rStyle w:val="af7"/>
          <w:rFonts w:eastAsia="Guttman Hodes" w:hint="cs"/>
          <w:rtl/>
        </w:rPr>
        <w:t xml:space="preserve"> (עי' אות </w:t>
      </w:r>
      <w:r w:rsidRPr="0033552A">
        <w:rPr>
          <w:rStyle w:val="af7"/>
          <w:rFonts w:eastAsia="Guttman Hodes"/>
          <w:rtl/>
        </w:rPr>
        <w:fldChar w:fldCharType="begin"/>
      </w:r>
      <w:r w:rsidRPr="0033552A">
        <w:rPr>
          <w:rStyle w:val="af7"/>
          <w:rFonts w:eastAsia="Guttman Hodes"/>
          <w:rtl/>
        </w:rPr>
        <w:instrText xml:space="preserve"> </w:instrText>
      </w:r>
      <w:r w:rsidRPr="0033552A">
        <w:rPr>
          <w:rStyle w:val="af7"/>
          <w:rFonts w:eastAsia="Guttman Hodes" w:hint="cs"/>
        </w:rPr>
        <w:instrText>REF</w:instrText>
      </w:r>
      <w:r w:rsidRPr="0033552A">
        <w:rPr>
          <w:rStyle w:val="af7"/>
          <w:rFonts w:eastAsia="Guttman Hodes" w:hint="cs"/>
          <w:rtl/>
        </w:rPr>
        <w:instrText xml:space="preserve"> _</w:instrText>
      </w:r>
      <w:r w:rsidRPr="0033552A">
        <w:rPr>
          <w:rStyle w:val="af7"/>
          <w:rFonts w:eastAsia="Guttman Hodes" w:hint="cs"/>
        </w:rPr>
        <w:instrText>Ref56007864 \r \h</w:instrText>
      </w:r>
      <w:r w:rsidRPr="0033552A">
        <w:rPr>
          <w:rStyle w:val="af7"/>
          <w:rFonts w:eastAsia="Guttman Hodes"/>
          <w:rtl/>
        </w:rPr>
        <w:instrText xml:space="preserve"> </w:instrText>
      </w:r>
      <w:r w:rsidRPr="0033552A">
        <w:rPr>
          <w:rStyle w:val="af7"/>
          <w:rFonts w:eastAsia="Guttman Hodes"/>
          <w:rtl/>
        </w:rPr>
      </w:r>
      <w:r w:rsidRPr="0033552A">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sidRPr="0033552A">
        <w:rPr>
          <w:rStyle w:val="af7"/>
          <w:rFonts w:eastAsia="Guttman Hodes"/>
          <w:rtl/>
        </w:rPr>
        <w:fldChar w:fldCharType="end"/>
      </w:r>
      <w:r>
        <w:rPr>
          <w:rFonts w:hint="cs"/>
          <w:rtl/>
        </w:rPr>
        <w:t xml:space="preserve"> דאף למסקנא אמרינן ד</w:t>
      </w:r>
      <w:r w:rsidRPr="00B40BFD">
        <w:rPr>
          <w:rFonts w:hint="cs"/>
          <w:rtl/>
        </w:rPr>
        <w:t xml:space="preserve">בפחות מג"ש </w:t>
      </w:r>
      <w:r>
        <w:rPr>
          <w:rFonts w:hint="cs"/>
          <w:rtl/>
        </w:rPr>
        <w:t xml:space="preserve">רוב בנ"א לא </w:t>
      </w:r>
      <w:r w:rsidRPr="00B40BFD">
        <w:rPr>
          <w:rFonts w:hint="cs"/>
          <w:rtl/>
        </w:rPr>
        <w:t xml:space="preserve">מקפידים, </w:t>
      </w:r>
      <w:r>
        <w:rPr>
          <w:rFonts w:hint="cs"/>
          <w:rtl/>
        </w:rPr>
        <w:t>ו</w:t>
      </w:r>
      <w:r w:rsidRPr="00B40BFD">
        <w:rPr>
          <w:rFonts w:hint="cs"/>
          <w:rtl/>
        </w:rPr>
        <w:t>לאחר</w:t>
      </w:r>
      <w:r>
        <w:rPr>
          <w:rFonts w:hint="cs"/>
          <w:rtl/>
        </w:rPr>
        <w:t xml:space="preserve"> ששתק</w:t>
      </w:r>
      <w:r w:rsidRPr="00B40BFD">
        <w:rPr>
          <w:rFonts w:hint="cs"/>
          <w:rtl/>
        </w:rPr>
        <w:t xml:space="preserve"> ג"ש בוטח שלא יערער </w:t>
      </w:r>
      <w:r>
        <w:rPr>
          <w:rFonts w:hint="cs"/>
          <w:rtl/>
        </w:rPr>
        <w:t>ולא</w:t>
      </w:r>
      <w:r w:rsidRPr="00B40BFD">
        <w:rPr>
          <w:rFonts w:hint="cs"/>
          <w:rtl/>
        </w:rPr>
        <w:t xml:space="preserve"> נזהר בשטר, </w:t>
      </w:r>
      <w:r>
        <w:rPr>
          <w:rFonts w:hint="cs"/>
          <w:rtl/>
        </w:rPr>
        <w:t>כתב</w:t>
      </w:r>
      <w:r w:rsidRPr="00B40BFD">
        <w:rPr>
          <w:rFonts w:hint="cs"/>
          <w:rtl/>
        </w:rPr>
        <w:t xml:space="preserve"> </w:t>
      </w:r>
      <w:r w:rsidRPr="002C616B">
        <w:rPr>
          <w:rStyle w:val="af9"/>
          <w:rFonts w:hint="cs"/>
          <w:rtl/>
        </w:rPr>
        <w:t>בחי' רבי נחום</w:t>
      </w:r>
      <w:r w:rsidRPr="00B40BFD">
        <w:rPr>
          <w:rFonts w:hint="cs"/>
          <w:rtl/>
        </w:rPr>
        <w:t xml:space="preserve"> </w:t>
      </w:r>
      <w:r w:rsidRPr="002C616B">
        <w:rPr>
          <w:rStyle w:val="af7"/>
          <w:rFonts w:eastAsia="Guttman Hodes" w:hint="cs"/>
          <w:rtl/>
        </w:rPr>
        <w:t>(או' כ"ח ד"ה שיטת הרשב"א)</w:t>
      </w:r>
      <w:r>
        <w:rPr>
          <w:rFonts w:hint="cs"/>
          <w:rtl/>
        </w:rPr>
        <w:t xml:space="preserve"> דאף לדעת </w:t>
      </w:r>
      <w:r w:rsidRPr="002C616B">
        <w:rPr>
          <w:rStyle w:val="af9"/>
          <w:rFonts w:hint="cs"/>
          <w:rtl/>
        </w:rPr>
        <w:t>הרשב"א</w:t>
      </w:r>
      <w:r>
        <w:rPr>
          <w:rFonts w:hint="cs"/>
          <w:rtl/>
        </w:rPr>
        <w:t xml:space="preserve"> צ"ל דהראיה מהחזקה אינה אנן סהדי, ולא מהני להוציא ממון, אלא מהני רק להחשיבו כמוחזק, </w:t>
      </w:r>
      <w:r w:rsidRPr="00D92CFA">
        <w:rPr>
          <w:rStyle w:val="afb"/>
          <w:rFonts w:hint="cs"/>
          <w:rtl/>
        </w:rPr>
        <w:t>[</w:t>
      </w:r>
      <w:r>
        <w:rPr>
          <w:rStyle w:val="afb"/>
          <w:rFonts w:hint="cs"/>
          <w:rtl/>
        </w:rPr>
        <w:t>ו</w:t>
      </w:r>
      <w:r w:rsidRPr="00D92CFA">
        <w:rPr>
          <w:rStyle w:val="afb"/>
          <w:rFonts w:hint="cs"/>
          <w:rtl/>
        </w:rPr>
        <w:t xml:space="preserve">כדביאר </w:t>
      </w:r>
      <w:r w:rsidRPr="00D92CFA">
        <w:rPr>
          <w:rStyle w:val="affa"/>
          <w:rFonts w:hint="cs"/>
          <w:rtl/>
        </w:rPr>
        <w:t>בחי' רבי נחום</w:t>
      </w:r>
      <w:r w:rsidRPr="00D92CFA">
        <w:rPr>
          <w:rStyle w:val="afb"/>
          <w:rFonts w:hint="cs"/>
          <w:rtl/>
        </w:rPr>
        <w:t xml:space="preserve"> </w:t>
      </w:r>
      <w:r w:rsidRPr="00D92CFA">
        <w:rPr>
          <w:rStyle w:val="aff6"/>
          <w:rFonts w:hint="cs"/>
          <w:rtl/>
        </w:rPr>
        <w:t xml:space="preserve">(עי' אות </w:t>
      </w:r>
      <w:r w:rsidRPr="00D92CFA">
        <w:rPr>
          <w:rStyle w:val="aff6"/>
          <w:rtl/>
        </w:rPr>
        <w:fldChar w:fldCharType="begin"/>
      </w:r>
      <w:r w:rsidRPr="00D92CFA">
        <w:rPr>
          <w:rStyle w:val="aff6"/>
          <w:rtl/>
        </w:rPr>
        <w:instrText xml:space="preserve"> </w:instrText>
      </w:r>
      <w:r w:rsidRPr="00D92CFA">
        <w:rPr>
          <w:rStyle w:val="aff6"/>
          <w:rFonts w:hint="cs"/>
        </w:rPr>
        <w:instrText>REF</w:instrText>
      </w:r>
      <w:r w:rsidRPr="00D92CFA">
        <w:rPr>
          <w:rStyle w:val="aff6"/>
          <w:rFonts w:hint="cs"/>
          <w:rtl/>
        </w:rPr>
        <w:instrText xml:space="preserve"> _</w:instrText>
      </w:r>
      <w:r w:rsidRPr="00D92CFA">
        <w:rPr>
          <w:rStyle w:val="aff6"/>
          <w:rFonts w:hint="cs"/>
        </w:rPr>
        <w:instrText>Ref55920562 \r \h</w:instrText>
      </w:r>
      <w:r w:rsidRPr="00D92CFA">
        <w:rPr>
          <w:rStyle w:val="aff6"/>
          <w:rtl/>
        </w:rPr>
        <w:instrText xml:space="preserve"> </w:instrText>
      </w:r>
      <w:r w:rsidRPr="00D92CFA">
        <w:rPr>
          <w:rStyle w:val="aff6"/>
          <w:rtl/>
        </w:rPr>
      </w:r>
      <w:r w:rsidRPr="00D92CFA">
        <w:rPr>
          <w:rStyle w:val="aff6"/>
          <w:rtl/>
        </w:rPr>
        <w:fldChar w:fldCharType="separate"/>
      </w:r>
      <w:r w:rsidR="00265073">
        <w:rPr>
          <w:rStyle w:val="aff6"/>
          <w:cs/>
        </w:rPr>
        <w:t>‎</w:t>
      </w:r>
      <w:r w:rsidR="00265073">
        <w:rPr>
          <w:rStyle w:val="aff6"/>
          <w:rtl/>
        </w:rPr>
        <w:t>פה)</w:t>
      </w:r>
      <w:r w:rsidRPr="00D92CFA">
        <w:rPr>
          <w:rStyle w:val="aff6"/>
          <w:rtl/>
        </w:rPr>
        <w:fldChar w:fldCharType="end"/>
      </w:r>
      <w:r w:rsidRPr="00D92CFA">
        <w:rPr>
          <w:rStyle w:val="afb"/>
          <w:rFonts w:hint="cs"/>
          <w:rtl/>
        </w:rPr>
        <w:t xml:space="preserve"> בדעת </w:t>
      </w:r>
      <w:r w:rsidRPr="00D92CFA">
        <w:rPr>
          <w:rStyle w:val="affa"/>
          <w:rFonts w:hint="cs"/>
          <w:rtl/>
        </w:rPr>
        <w:t>הרמב"ן</w:t>
      </w:r>
      <w:r w:rsidRPr="00D92CFA">
        <w:rPr>
          <w:rStyle w:val="afb"/>
          <w:rFonts w:hint="cs"/>
          <w:rtl/>
        </w:rPr>
        <w:t xml:space="preserve">], </w:t>
      </w:r>
      <w:r>
        <w:rPr>
          <w:rFonts w:hint="cs"/>
          <w:rtl/>
        </w:rPr>
        <w:t xml:space="preserve">דס"ל </w:t>
      </w:r>
      <w:r w:rsidRPr="00D92CFA">
        <w:rPr>
          <w:rStyle w:val="af9"/>
          <w:rFonts w:hint="cs"/>
          <w:rtl/>
        </w:rPr>
        <w:t>להרשב"א</w:t>
      </w:r>
      <w:r>
        <w:rPr>
          <w:rFonts w:hint="cs"/>
          <w:rtl/>
        </w:rPr>
        <w:t xml:space="preserve"> דכיון שנראה שהמערער הוא מערים, אמרינן דהסתמא היא שהמחזיק הוא הבעלים, וממילא נחשב למוחזק בקרקע.</w:t>
      </w:r>
      <w:bookmarkEnd w:id="4610"/>
    </w:p>
    <w:p w:rsidR="00F163D7" w:rsidRDefault="00F163D7" w:rsidP="00F163D7">
      <w:pPr>
        <w:pStyle w:val="a3"/>
        <w:rPr>
          <w:rtl/>
        </w:rPr>
      </w:pPr>
      <w:bookmarkStart w:id="4611" w:name="_Toc56030519"/>
      <w:bookmarkStart w:id="4612" w:name="_Toc56032709"/>
      <w:r>
        <w:rPr>
          <w:rFonts w:hint="cs"/>
          <w:rtl/>
        </w:rPr>
        <w:t>דברי הגרנ"פ דלרמב"ן ולרשב"א נעשה מוחזק לרמב"ן מדלא מיחה ולרשב"א דנראה כמערים</w:t>
      </w:r>
      <w:bookmarkEnd w:id="4611"/>
      <w:bookmarkEnd w:id="4612"/>
    </w:p>
    <w:p w:rsidR="00F163D7" w:rsidRDefault="00F163D7" w:rsidP="007E4E81">
      <w:pPr>
        <w:pStyle w:val="a0"/>
        <w:rPr>
          <w:rtl/>
        </w:rPr>
      </w:pPr>
      <w:r>
        <w:rPr>
          <w:rFonts w:hint="cs"/>
          <w:rtl/>
        </w:rPr>
        <w:t xml:space="preserve">וכתב </w:t>
      </w:r>
      <w:r w:rsidRPr="00E7150E">
        <w:rPr>
          <w:rStyle w:val="af9"/>
          <w:rFonts w:hint="cs"/>
          <w:rtl/>
        </w:rPr>
        <w:t>בחי' רבי נחום</w:t>
      </w:r>
      <w:r>
        <w:rPr>
          <w:rFonts w:hint="cs"/>
          <w:rtl/>
        </w:rPr>
        <w:t xml:space="preserve"> דלפי"ז בין </w:t>
      </w:r>
      <w:r w:rsidRPr="00E7150E">
        <w:rPr>
          <w:rStyle w:val="af9"/>
          <w:rFonts w:hint="cs"/>
          <w:rtl/>
        </w:rPr>
        <w:t>להרמב"ן</w:t>
      </w:r>
      <w:r>
        <w:rPr>
          <w:rFonts w:hint="cs"/>
          <w:rtl/>
        </w:rPr>
        <w:t xml:space="preserve"> ובין </w:t>
      </w:r>
      <w:r w:rsidRPr="00E7150E">
        <w:rPr>
          <w:rStyle w:val="af9"/>
          <w:rFonts w:hint="cs"/>
          <w:rtl/>
        </w:rPr>
        <w:t>להרשב"א</w:t>
      </w:r>
      <w:r>
        <w:rPr>
          <w:rFonts w:hint="cs"/>
          <w:rtl/>
        </w:rPr>
        <w:t xml:space="preserve">, יסוד החזקה היא דיש רגלים לדבר דהמחזיק הוא כמוחזק, אלא </w:t>
      </w:r>
      <w:r w:rsidRPr="00E7150E">
        <w:rPr>
          <w:rStyle w:val="af9"/>
          <w:rFonts w:hint="cs"/>
          <w:rtl/>
        </w:rPr>
        <w:t>דל</w:t>
      </w:r>
      <w:r>
        <w:rPr>
          <w:rStyle w:val="af9"/>
          <w:rFonts w:hint="cs"/>
          <w:rtl/>
        </w:rPr>
        <w:t>ה</w:t>
      </w:r>
      <w:r w:rsidRPr="00E7150E">
        <w:rPr>
          <w:rStyle w:val="af9"/>
          <w:rFonts w:hint="cs"/>
          <w:rtl/>
        </w:rPr>
        <w:t>רמב"ן</w:t>
      </w:r>
      <w:r>
        <w:rPr>
          <w:rFonts w:hint="cs"/>
          <w:rtl/>
        </w:rPr>
        <w:t xml:space="preserve"> הרגלים לדבר הוא מדלא מיחה, </w:t>
      </w:r>
      <w:r w:rsidRPr="00E7150E">
        <w:rPr>
          <w:rStyle w:val="af9"/>
          <w:rFonts w:hint="cs"/>
          <w:rtl/>
        </w:rPr>
        <w:t>ול</w:t>
      </w:r>
      <w:r>
        <w:rPr>
          <w:rStyle w:val="af9"/>
          <w:rFonts w:hint="cs"/>
          <w:rtl/>
        </w:rPr>
        <w:t>ה</w:t>
      </w:r>
      <w:r w:rsidRPr="00E7150E">
        <w:rPr>
          <w:rStyle w:val="af9"/>
          <w:rFonts w:hint="cs"/>
          <w:rtl/>
        </w:rPr>
        <w:t>רשב"א</w:t>
      </w:r>
      <w:r>
        <w:rPr>
          <w:rFonts w:hint="cs"/>
          <w:rtl/>
        </w:rPr>
        <w:t xml:space="preserve"> הרגלים לדבר הוא מדנראה כמערים.</w:t>
      </w:r>
    </w:p>
    <w:p w:rsidR="00105E7C" w:rsidRPr="00105E7C" w:rsidRDefault="00105E7C" w:rsidP="00105E7C">
      <w:pPr>
        <w:pStyle w:val="a3"/>
        <w:rPr>
          <w:rtl/>
        </w:rPr>
      </w:pPr>
    </w:p>
    <w:p w:rsidR="00F163D7" w:rsidRPr="00121BE0" w:rsidRDefault="00F163D7" w:rsidP="00F163D7">
      <w:pPr>
        <w:pStyle w:val="a3"/>
      </w:pPr>
      <w:bookmarkStart w:id="4613" w:name="_Toc56030520"/>
      <w:bookmarkStart w:id="4614" w:name="_Toc56032710"/>
      <w:r>
        <w:rPr>
          <w:rFonts w:hint="cs"/>
          <w:rtl/>
        </w:rPr>
        <w:t>דברי הגרנ"פ דלרמב"ן הראיה היא לאלתר אבל להרשב"א הראיה רק לאחר ג"ש</w:t>
      </w:r>
      <w:bookmarkEnd w:id="4613"/>
      <w:bookmarkEnd w:id="4614"/>
    </w:p>
    <w:p w:rsidR="00F163D7" w:rsidRPr="00EE4383" w:rsidRDefault="00F163D7" w:rsidP="007E4E81">
      <w:pPr>
        <w:pStyle w:val="a0"/>
        <w:rPr>
          <w:rtl/>
        </w:rPr>
      </w:pPr>
      <w:r>
        <w:rPr>
          <w:rFonts w:hint="cs"/>
          <w:rtl/>
        </w:rPr>
        <w:t xml:space="preserve">אך כתב </w:t>
      </w:r>
      <w:r w:rsidRPr="00E7150E">
        <w:rPr>
          <w:rStyle w:val="af9"/>
          <w:rFonts w:hint="cs"/>
          <w:rtl/>
        </w:rPr>
        <w:t>בחי' רבי נחום</w:t>
      </w:r>
      <w:r>
        <w:rPr>
          <w:rFonts w:hint="cs"/>
          <w:rtl/>
        </w:rPr>
        <w:t xml:space="preserve"> </w:t>
      </w:r>
      <w:r>
        <w:rPr>
          <w:rStyle w:val="af9"/>
          <w:rFonts w:hint="cs"/>
          <w:rtl/>
        </w:rPr>
        <w:t>דל</w:t>
      </w:r>
      <w:r w:rsidRPr="00E7150E">
        <w:rPr>
          <w:rStyle w:val="af9"/>
          <w:rFonts w:hint="cs"/>
          <w:rtl/>
        </w:rPr>
        <w:t>הרמב"ן</w:t>
      </w:r>
      <w:r>
        <w:rPr>
          <w:rFonts w:hint="cs"/>
          <w:rtl/>
        </w:rPr>
        <w:t xml:space="preserve"> יש רגלים לדבר לאלתר, ולכן הוצרך </w:t>
      </w:r>
      <w:r w:rsidRPr="00121BE0">
        <w:rPr>
          <w:rStyle w:val="af9"/>
          <w:rFonts w:hint="cs"/>
          <w:rtl/>
        </w:rPr>
        <w:t>הרמב"ן</w:t>
      </w:r>
      <w:r w:rsidRPr="00121BE0">
        <w:rPr>
          <w:rStyle w:val="af7"/>
          <w:rFonts w:eastAsia="Guttman Hodes" w:hint="cs"/>
          <w:rtl/>
        </w:rPr>
        <w:t xml:space="preserve">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 xml:space="preserve">להוסיף דאין חזקה לאלתר מחמת הריעותא דאחוי שטרך, אבל </w:t>
      </w:r>
      <w:r w:rsidRPr="00E7150E">
        <w:rPr>
          <w:rStyle w:val="af9"/>
          <w:rFonts w:hint="cs"/>
          <w:rtl/>
        </w:rPr>
        <w:t>להרשב"א</w:t>
      </w:r>
      <w:r>
        <w:rPr>
          <w:rFonts w:hint="cs"/>
          <w:rtl/>
        </w:rPr>
        <w:t xml:space="preserve"> רק לאחר ג"ש יש רגלים לדבר.</w:t>
      </w:r>
    </w:p>
    <w:p w:rsidR="00F163D7" w:rsidRPr="00E97AAE" w:rsidRDefault="00F163D7" w:rsidP="00F163D7">
      <w:pPr>
        <w:pStyle w:val="a3"/>
        <w:rPr>
          <w:rtl/>
        </w:rPr>
      </w:pPr>
      <w:bookmarkStart w:id="4615" w:name="_Toc55419925"/>
      <w:bookmarkStart w:id="4616" w:name="_Toc55419981"/>
      <w:bookmarkStart w:id="4617" w:name="_Toc55421195"/>
      <w:bookmarkStart w:id="4618" w:name="_Toc55508578"/>
      <w:bookmarkStart w:id="4619" w:name="_Toc55569229"/>
      <w:bookmarkStart w:id="4620" w:name="_Toc55718340"/>
      <w:bookmarkStart w:id="4621" w:name="_Toc55739935"/>
      <w:bookmarkStart w:id="4622" w:name="_Toc55839487"/>
      <w:bookmarkStart w:id="4623" w:name="_Toc55927892"/>
      <w:bookmarkStart w:id="4624" w:name="_Toc55946618"/>
      <w:bookmarkStart w:id="4625" w:name="_Toc55991958"/>
      <w:bookmarkStart w:id="4626" w:name="_Toc56030521"/>
      <w:bookmarkStart w:id="4627" w:name="_Toc56032711"/>
      <w:bookmarkStart w:id="4628" w:name="_Toc54076401"/>
      <w:bookmarkStart w:id="4629" w:name="_Toc55839480"/>
      <w:r w:rsidRPr="00E97AAE">
        <w:rPr>
          <w:rFonts w:hint="cs"/>
          <w:rtl/>
        </w:rPr>
        <w:t xml:space="preserve">דברי הגרנ"פ </w:t>
      </w:r>
      <w:bookmarkEnd w:id="4615"/>
      <w:bookmarkEnd w:id="4616"/>
      <w:bookmarkEnd w:id="4617"/>
      <w:bookmarkEnd w:id="4618"/>
      <w:bookmarkEnd w:id="4619"/>
      <w:bookmarkEnd w:id="4620"/>
      <w:bookmarkEnd w:id="4621"/>
      <w:bookmarkEnd w:id="4622"/>
      <w:bookmarkEnd w:id="4623"/>
      <w:bookmarkEnd w:id="4624"/>
      <w:bookmarkEnd w:id="4625"/>
      <w:r>
        <w:rPr>
          <w:rFonts w:hint="cs"/>
          <w:rtl/>
        </w:rPr>
        <w:t>דמבואר בראשונים דחזקת ג"ש אינה אנ"ס שמוציא מהמר"ק אלא דנעשה כמוחזק</w:t>
      </w:r>
      <w:bookmarkEnd w:id="4626"/>
      <w:bookmarkEnd w:id="4627"/>
    </w:p>
    <w:p w:rsidR="00F163D7" w:rsidRDefault="00F163D7" w:rsidP="007E4E81">
      <w:pPr>
        <w:pStyle w:val="a0"/>
        <w:rPr>
          <w:rtl/>
        </w:rPr>
      </w:pPr>
      <w:r>
        <w:rPr>
          <w:rFonts w:hint="cs"/>
          <w:rtl/>
        </w:rPr>
        <w:t>וע"ע במה שהוכיח</w:t>
      </w:r>
      <w:r w:rsidRPr="00E97AAE">
        <w:rPr>
          <w:rFonts w:hint="cs"/>
          <w:rtl/>
        </w:rPr>
        <w:t xml:space="preserve"> </w:t>
      </w:r>
      <w:r w:rsidRPr="00E97AAE">
        <w:rPr>
          <w:rStyle w:val="af9"/>
          <w:rFonts w:hint="cs"/>
          <w:rtl/>
        </w:rPr>
        <w:t>בחי' רבי נחום</w:t>
      </w:r>
      <w:r w:rsidRPr="00E97AAE">
        <w:rPr>
          <w:rFonts w:hint="cs"/>
          <w:rtl/>
        </w:rPr>
        <w:t xml:space="preserve"> </w:t>
      </w:r>
      <w:r w:rsidRPr="006D6A86">
        <w:rPr>
          <w:rStyle w:val="af7"/>
          <w:rFonts w:eastAsia="Guttman Hodes" w:hint="cs"/>
          <w:rtl/>
        </w:rPr>
        <w:t>(או' א' ד"ה אמנם</w:t>
      </w:r>
      <w:r>
        <w:rPr>
          <w:rStyle w:val="af7"/>
          <w:rFonts w:eastAsia="Guttman Hodes" w:hint="cs"/>
          <w:rtl/>
        </w:rPr>
        <w:t>, הובא בסימן א' אות פ"ג)</w:t>
      </w:r>
      <w:r w:rsidRPr="00E97AAE">
        <w:rPr>
          <w:rFonts w:hint="cs"/>
          <w:rtl/>
        </w:rPr>
        <w:t xml:space="preserve"> </w:t>
      </w:r>
      <w:r>
        <w:rPr>
          <w:rFonts w:hint="cs"/>
          <w:rtl/>
        </w:rPr>
        <w:t>בדעת</w:t>
      </w:r>
      <w:r w:rsidRPr="00E97AAE">
        <w:rPr>
          <w:rFonts w:hint="cs"/>
          <w:rtl/>
        </w:rPr>
        <w:t xml:space="preserve"> </w:t>
      </w:r>
      <w:r>
        <w:rPr>
          <w:rStyle w:val="af9"/>
          <w:rFonts w:hint="cs"/>
          <w:rtl/>
        </w:rPr>
        <w:t xml:space="preserve">המאירי בב"ק </w:t>
      </w:r>
      <w:r w:rsidRPr="00FD4B89">
        <w:rPr>
          <w:rStyle w:val="af7"/>
          <w:rFonts w:eastAsia="Guttman Hodes" w:hint="cs"/>
          <w:rtl/>
        </w:rPr>
        <w:t>(קיב: ד"ה כבר בתו"ד)</w:t>
      </w:r>
      <w:r>
        <w:rPr>
          <w:rFonts w:hint="cs"/>
          <w:rtl/>
        </w:rPr>
        <w:t xml:space="preserve"> </w:t>
      </w:r>
      <w:r w:rsidRPr="00FD4B89">
        <w:rPr>
          <w:rStyle w:val="af9"/>
          <w:rFonts w:hint="cs"/>
          <w:rtl/>
        </w:rPr>
        <w:t>והריטב"א</w:t>
      </w:r>
      <w:r>
        <w:rPr>
          <w:rFonts w:hint="cs"/>
          <w:rtl/>
        </w:rPr>
        <w:t xml:space="preserve"> </w:t>
      </w:r>
      <w:r w:rsidRPr="00FD4B89">
        <w:rPr>
          <w:rStyle w:val="af7"/>
          <w:rFonts w:eastAsia="Guttman Hodes" w:hint="cs"/>
          <w:rtl/>
        </w:rPr>
        <w:t>(</w:t>
      </w:r>
      <w:r>
        <w:rPr>
          <w:rStyle w:val="af7"/>
          <w:rFonts w:eastAsia="Guttman Hodes" w:hint="cs"/>
          <w:rtl/>
        </w:rPr>
        <w:t xml:space="preserve">כח. </w:t>
      </w:r>
      <w:r w:rsidRPr="00FD4B89">
        <w:rPr>
          <w:rStyle w:val="af7"/>
          <w:rFonts w:eastAsia="Guttman Hodes" w:hint="cs"/>
          <w:rtl/>
        </w:rPr>
        <w:t>ד"ה וכל)</w:t>
      </w:r>
      <w:r>
        <w:rPr>
          <w:rFonts w:hint="cs"/>
          <w:rtl/>
        </w:rPr>
        <w:t xml:space="preserve"> </w:t>
      </w:r>
      <w:r w:rsidRPr="00E97AAE">
        <w:rPr>
          <w:rFonts w:hint="cs"/>
          <w:rtl/>
        </w:rPr>
        <w:t xml:space="preserve">דא"א לומר דחזקת ג"ש היא מחמת שיש אנן סהדי מדלא מיחה בו, </w:t>
      </w:r>
      <w:r>
        <w:rPr>
          <w:rFonts w:hint="cs"/>
          <w:rtl/>
        </w:rPr>
        <w:t>ד</w:t>
      </w:r>
      <w:r w:rsidRPr="00E97AAE">
        <w:rPr>
          <w:rFonts w:hint="cs"/>
          <w:rtl/>
        </w:rPr>
        <w:t>א"א להוציא מחזקת המרא קמא ע"י אנן סהדי, אלא דע"י דלא מיחה בו כשהחזיק, יצאה הקרקע מחזקת המרא קמא, וכיון שיושב בה עכשיו כדרך הבעלים, הוא חשיב כמוחזק</w:t>
      </w:r>
      <w:r>
        <w:rPr>
          <w:rFonts w:hint="cs"/>
          <w:rtl/>
        </w:rPr>
        <w:t>,</w:t>
      </w:r>
      <w:r w:rsidRPr="00B4407B">
        <w:rPr>
          <w:rFonts w:hint="cs"/>
          <w:rtl/>
        </w:rPr>
        <w:t xml:space="preserve"> </w:t>
      </w:r>
      <w:r w:rsidRPr="00E97AAE">
        <w:rPr>
          <w:rFonts w:hint="cs"/>
          <w:rtl/>
        </w:rPr>
        <w:t xml:space="preserve">וכתב </w:t>
      </w:r>
      <w:r w:rsidRPr="00E97AAE">
        <w:rPr>
          <w:rStyle w:val="af9"/>
          <w:rFonts w:hint="cs"/>
          <w:rtl/>
        </w:rPr>
        <w:t>בחי' רבי נחום</w:t>
      </w:r>
      <w:r w:rsidRPr="00E97AAE">
        <w:rPr>
          <w:rFonts w:hint="cs"/>
          <w:rtl/>
        </w:rPr>
        <w:t xml:space="preserve"> דכן מבואר מדברי </w:t>
      </w:r>
      <w:r w:rsidRPr="00E97AAE">
        <w:rPr>
          <w:rStyle w:val="af9"/>
          <w:rFonts w:hint="cs"/>
          <w:rtl/>
        </w:rPr>
        <w:t xml:space="preserve">הרשב"א </w:t>
      </w:r>
      <w:r w:rsidRPr="0035137A">
        <w:rPr>
          <w:rStyle w:val="af9"/>
          <w:rFonts w:hint="cs"/>
          <w:rtl/>
        </w:rPr>
        <w:t>לקמן</w:t>
      </w:r>
      <w:r>
        <w:rPr>
          <w:rFonts w:hint="cs"/>
          <w:rtl/>
        </w:rPr>
        <w:t xml:space="preserve"> </w:t>
      </w:r>
      <w:r w:rsidRPr="0035137A">
        <w:rPr>
          <w:rStyle w:val="af7"/>
          <w:rFonts w:eastAsia="Guttman Hodes" w:hint="cs"/>
          <w:rtl/>
        </w:rPr>
        <w:t>(לב. ד"ה א"ל)</w:t>
      </w:r>
      <w:r>
        <w:rPr>
          <w:rFonts w:hint="cs"/>
          <w:rtl/>
        </w:rPr>
        <w:t xml:space="preserve"> </w:t>
      </w:r>
      <w:r w:rsidRPr="00E97AAE">
        <w:rPr>
          <w:rFonts w:hint="cs"/>
          <w:rtl/>
        </w:rPr>
        <w:t xml:space="preserve">בדעת </w:t>
      </w:r>
      <w:r w:rsidRPr="00E97AAE">
        <w:rPr>
          <w:rStyle w:val="af9"/>
          <w:rFonts w:hint="cs"/>
          <w:rtl/>
        </w:rPr>
        <w:t xml:space="preserve">הר"י מגאש </w:t>
      </w:r>
      <w:r w:rsidRPr="00683709">
        <w:rPr>
          <w:rFonts w:hint="cs"/>
          <w:rtl/>
        </w:rPr>
        <w:t>[</w:t>
      </w:r>
      <w:r w:rsidRPr="00E97AAE">
        <w:rPr>
          <w:rStyle w:val="af9"/>
          <w:rFonts w:hint="cs"/>
          <w:rtl/>
        </w:rPr>
        <w:t>והריב"ם בתוס'</w:t>
      </w:r>
      <w:r w:rsidRPr="00705748">
        <w:rPr>
          <w:rStyle w:val="af9"/>
          <w:rFonts w:hint="cs"/>
          <w:rtl/>
        </w:rPr>
        <w:t xml:space="preserve"> </w:t>
      </w:r>
      <w:r w:rsidRPr="00E26F6E">
        <w:rPr>
          <w:rStyle w:val="af9"/>
          <w:rFonts w:hint="cs"/>
          <w:rtl/>
        </w:rPr>
        <w:t>לקמן</w:t>
      </w:r>
      <w:r>
        <w:rPr>
          <w:rFonts w:hint="cs"/>
          <w:rtl/>
        </w:rPr>
        <w:t xml:space="preserve"> </w:t>
      </w:r>
      <w:r w:rsidRPr="009034FE">
        <w:rPr>
          <w:rStyle w:val="af7"/>
          <w:rFonts w:eastAsia="Guttman Hodes" w:hint="cs"/>
          <w:rtl/>
        </w:rPr>
        <w:t>(לב: ד"ה אמאי)</w:t>
      </w:r>
      <w:r w:rsidRPr="00683709">
        <w:rPr>
          <w:rFonts w:hint="cs"/>
          <w:rtl/>
        </w:rPr>
        <w:t>]</w:t>
      </w:r>
      <w:r>
        <w:rPr>
          <w:rFonts w:hint="cs"/>
          <w:rtl/>
        </w:rPr>
        <w:t>,</w:t>
      </w:r>
      <w:r w:rsidRPr="00B4407B">
        <w:rPr>
          <w:rFonts w:hint="cs"/>
          <w:rtl/>
        </w:rPr>
        <w:t xml:space="preserve"> </w:t>
      </w:r>
      <w:r>
        <w:rPr>
          <w:rFonts w:hint="cs"/>
          <w:rtl/>
        </w:rPr>
        <w:t>ו</w:t>
      </w:r>
      <w:r w:rsidRPr="00E97AAE">
        <w:rPr>
          <w:rFonts w:hint="cs"/>
          <w:rtl/>
        </w:rPr>
        <w:t xml:space="preserve">כן מבואר מדברי </w:t>
      </w:r>
      <w:r w:rsidRPr="00E97AAE">
        <w:rPr>
          <w:rStyle w:val="af9"/>
          <w:rFonts w:hint="cs"/>
          <w:rtl/>
        </w:rPr>
        <w:t>הרמב"ם</w:t>
      </w:r>
      <w:r w:rsidRPr="00E97AAE">
        <w:rPr>
          <w:rStyle w:val="af7"/>
          <w:rFonts w:eastAsia="Guttman Hodes" w:hint="cs"/>
          <w:rtl/>
        </w:rPr>
        <w:t xml:space="preserve"> </w:t>
      </w:r>
      <w:r w:rsidRPr="00826BFD">
        <w:rPr>
          <w:rStyle w:val="af7"/>
          <w:rFonts w:eastAsia="Guttman Hodes" w:hint="cs"/>
          <w:rtl/>
        </w:rPr>
        <w:t>(טו</w:t>
      </w:r>
      <w:r w:rsidRPr="00826BFD">
        <w:rPr>
          <w:rStyle w:val="af7"/>
          <w:rFonts w:eastAsia="Guttman Hodes"/>
          <w:rtl/>
        </w:rPr>
        <w:t>"</w:t>
      </w:r>
      <w:r w:rsidRPr="00826BFD">
        <w:rPr>
          <w:rStyle w:val="af7"/>
          <w:rFonts w:eastAsia="Guttman Hodes" w:hint="cs"/>
          <w:rtl/>
        </w:rPr>
        <w:t>נ פי"א ה"א)</w:t>
      </w:r>
      <w:r>
        <w:rPr>
          <w:rFonts w:hint="cs"/>
          <w:rtl/>
        </w:rPr>
        <w:t xml:space="preserve"> </w:t>
      </w:r>
      <w:r w:rsidRPr="00E97AAE">
        <w:rPr>
          <w:rFonts w:hint="cs"/>
          <w:rtl/>
        </w:rPr>
        <w:t>דג"ש אינה ראיה ואנן סהדי, אלא הוא סיבה להוציא את הקרקע מהמוחזקות של המרא קמא, ולהעמידה בחזקת המחזיק</w:t>
      </w:r>
      <w:r>
        <w:rPr>
          <w:rFonts w:hint="cs"/>
          <w:rtl/>
        </w:rPr>
        <w:t xml:space="preserve">, עיי"ש במ"ש בזה </w:t>
      </w:r>
      <w:r w:rsidRPr="00E97AAE">
        <w:rPr>
          <w:rStyle w:val="af9"/>
          <w:rFonts w:hint="cs"/>
          <w:rtl/>
        </w:rPr>
        <w:t>בחי' רבי נחום</w:t>
      </w:r>
      <w:r w:rsidRPr="00E97AAE">
        <w:rPr>
          <w:rFonts w:hint="cs"/>
          <w:rtl/>
        </w:rPr>
        <w:t xml:space="preserve"> </w:t>
      </w:r>
      <w:r w:rsidRPr="006D6A86">
        <w:rPr>
          <w:rStyle w:val="af7"/>
          <w:rFonts w:eastAsia="Guttman Hodes" w:hint="cs"/>
          <w:rtl/>
        </w:rPr>
        <w:t>(או' א' ד"ה אמנם</w:t>
      </w:r>
      <w:r>
        <w:rPr>
          <w:rStyle w:val="af7"/>
          <w:rFonts w:eastAsia="Guttman Hodes" w:hint="cs"/>
          <w:rtl/>
        </w:rPr>
        <w:t>, הובא בסימן א' אות פ"ג)</w:t>
      </w:r>
      <w:r w:rsidRPr="00E97AAE">
        <w:rPr>
          <w:rFonts w:hint="cs"/>
          <w:rtl/>
        </w:rPr>
        <w:t xml:space="preserve"> </w:t>
      </w:r>
      <w:r>
        <w:rPr>
          <w:rFonts w:hint="cs"/>
          <w:rtl/>
        </w:rPr>
        <w:t>בארוכה</w:t>
      </w:r>
      <w:r w:rsidRPr="00E97AAE">
        <w:rPr>
          <w:rFonts w:hint="cs"/>
          <w:rtl/>
        </w:rPr>
        <w:t>.</w:t>
      </w:r>
      <w:r w:rsidRPr="00E97AAE">
        <w:rPr>
          <w:rFonts w:hint="cs"/>
          <w:highlight w:val="yellow"/>
          <w:rtl/>
        </w:rPr>
        <w:t xml:space="preserve"> </w:t>
      </w:r>
    </w:p>
    <w:p w:rsidR="00F163D7" w:rsidRDefault="00F163D7" w:rsidP="00F163D7">
      <w:pPr>
        <w:pStyle w:val="afe"/>
        <w:rPr>
          <w:rtl/>
        </w:rPr>
      </w:pPr>
      <w:bookmarkStart w:id="4630" w:name="_Toc55927894"/>
      <w:bookmarkStart w:id="4631" w:name="_Toc55946620"/>
      <w:bookmarkStart w:id="4632" w:name="_Toc55991960"/>
      <w:bookmarkStart w:id="4633" w:name="_Toc56030524"/>
      <w:bookmarkStart w:id="4634" w:name="_Toc56032714"/>
      <w:bookmarkEnd w:id="4628"/>
      <w:r>
        <w:rPr>
          <w:rFonts w:hint="cs"/>
          <w:rtl/>
        </w:rPr>
        <w:t>ד' הגרנ"פ דלרמב"ן ההוכחה מתקנ"ח</w:t>
      </w:r>
      <w:bookmarkEnd w:id="4630"/>
      <w:bookmarkEnd w:id="4631"/>
      <w:bookmarkEnd w:id="4632"/>
      <w:bookmarkEnd w:id="4633"/>
      <w:bookmarkEnd w:id="4634"/>
    </w:p>
    <w:p w:rsidR="00F163D7" w:rsidRDefault="00F163D7" w:rsidP="00F163D7">
      <w:pPr>
        <w:pStyle w:val="1"/>
        <w:rPr>
          <w:rtl/>
        </w:rPr>
      </w:pPr>
      <w:bookmarkStart w:id="4635" w:name="_Toc55927895"/>
      <w:bookmarkStart w:id="4636" w:name="_Toc55946621"/>
      <w:bookmarkStart w:id="4637" w:name="_Toc55991961"/>
      <w:bookmarkStart w:id="4638" w:name="_Toc56030525"/>
      <w:bookmarkStart w:id="4639" w:name="_Toc56032715"/>
      <w:r>
        <w:rPr>
          <w:rFonts w:hint="cs"/>
          <w:rtl/>
        </w:rPr>
        <w:t>ביאור הגרנ"פ ברמב"ן דהחזקה היא תקנ"ח</w:t>
      </w:r>
      <w:bookmarkEnd w:id="4629"/>
      <w:bookmarkEnd w:id="4635"/>
      <w:bookmarkEnd w:id="4636"/>
      <w:bookmarkEnd w:id="4637"/>
      <w:r>
        <w:rPr>
          <w:rFonts w:hint="cs"/>
          <w:rtl/>
        </w:rPr>
        <w:t xml:space="preserve"> ולא ראיה מדאו'</w:t>
      </w:r>
      <w:bookmarkEnd w:id="4638"/>
      <w:bookmarkEnd w:id="4639"/>
    </w:p>
    <w:p w:rsidR="00F163D7" w:rsidRPr="00165493" w:rsidRDefault="00F163D7" w:rsidP="00F163D7">
      <w:pPr>
        <w:pStyle w:val="a3"/>
        <w:rPr>
          <w:rtl/>
        </w:rPr>
      </w:pPr>
      <w:bookmarkStart w:id="4640" w:name="_Toc56030526"/>
      <w:bookmarkStart w:id="4641" w:name="_Toc56032716"/>
      <w:r>
        <w:rPr>
          <w:rFonts w:hint="cs"/>
          <w:rtl/>
        </w:rPr>
        <w:t>דברי הגרנ"פ דמוכח ברמב"ן דחזקת ג"ש היא תקנת חכמים לטובת המחזיק ואינה ראיה מדאו'</w:t>
      </w:r>
      <w:bookmarkEnd w:id="4640"/>
      <w:bookmarkEnd w:id="4641"/>
    </w:p>
    <w:p w:rsidR="00F163D7" w:rsidRPr="00D02BCB" w:rsidRDefault="00F163D7" w:rsidP="007E4E81">
      <w:pPr>
        <w:pStyle w:val="a0"/>
        <w:rPr>
          <w:rtl/>
        </w:rPr>
      </w:pPr>
      <w:bookmarkStart w:id="4642" w:name="_Ref56011661"/>
      <w:bookmarkStart w:id="4643" w:name="_Ref55496081"/>
      <w:r w:rsidRPr="00D02BCB">
        <w:rPr>
          <w:rFonts w:hint="cs"/>
          <w:rtl/>
        </w:rPr>
        <w:t xml:space="preserve">במ"ש </w:t>
      </w:r>
      <w:r w:rsidRPr="00D02BCB">
        <w:rPr>
          <w:rStyle w:val="af9"/>
          <w:rFonts w:hint="cs"/>
          <w:rtl/>
        </w:rPr>
        <w:t xml:space="preserve">הקצוה"ח </w:t>
      </w:r>
      <w:r w:rsidRPr="00D02BCB">
        <w:rPr>
          <w:rStyle w:val="af7"/>
          <w:rFonts w:eastAsia="Guttman Hodes" w:hint="cs"/>
          <w:rtl/>
        </w:rPr>
        <w:t xml:space="preserve">(עי' אות </w:t>
      </w:r>
      <w:r w:rsidRPr="00D02BCB">
        <w:rPr>
          <w:rStyle w:val="af7"/>
          <w:rFonts w:eastAsia="Guttman Hodes"/>
          <w:rtl/>
        </w:rPr>
        <w:fldChar w:fldCharType="begin"/>
      </w:r>
      <w:r w:rsidRPr="00D02BCB">
        <w:rPr>
          <w:rStyle w:val="af7"/>
          <w:rFonts w:eastAsia="Guttman Hodes"/>
          <w:rtl/>
        </w:rPr>
        <w:instrText xml:space="preserve"> </w:instrText>
      </w:r>
      <w:r w:rsidRPr="00D02BCB">
        <w:rPr>
          <w:rStyle w:val="af7"/>
          <w:rFonts w:eastAsia="Guttman Hodes" w:hint="cs"/>
        </w:rPr>
        <w:instrText>REF</w:instrText>
      </w:r>
      <w:r w:rsidRPr="00D02BCB">
        <w:rPr>
          <w:rStyle w:val="af7"/>
          <w:rFonts w:eastAsia="Guttman Hodes" w:hint="cs"/>
          <w:rtl/>
        </w:rPr>
        <w:instrText xml:space="preserve"> _</w:instrText>
      </w:r>
      <w:r w:rsidRPr="00D02BCB">
        <w:rPr>
          <w:rStyle w:val="af7"/>
          <w:rFonts w:eastAsia="Guttman Hodes" w:hint="cs"/>
        </w:rPr>
        <w:instrText>Ref53498137 \r \h</w:instrText>
      </w:r>
      <w:r w:rsidRPr="00D02BCB">
        <w:rPr>
          <w:rStyle w:val="af7"/>
          <w:rFonts w:eastAsia="Guttman Hodes"/>
          <w:rtl/>
        </w:rPr>
        <w:instrText xml:space="preserve">  \* </w:instrText>
      </w:r>
      <w:r w:rsidRPr="00D02BCB">
        <w:rPr>
          <w:rStyle w:val="af7"/>
          <w:rFonts w:eastAsia="Guttman Hodes"/>
        </w:rPr>
        <w:instrText>MERGEFORMAT</w:instrText>
      </w:r>
      <w:r w:rsidRPr="00D02BCB">
        <w:rPr>
          <w:rStyle w:val="af7"/>
          <w:rFonts w:eastAsia="Guttman Hodes"/>
          <w:rtl/>
        </w:rPr>
        <w:instrText xml:space="preserve"> </w:instrText>
      </w:r>
      <w:r w:rsidRPr="00D02BCB">
        <w:rPr>
          <w:rStyle w:val="af7"/>
          <w:rFonts w:eastAsia="Guttman Hodes"/>
          <w:rtl/>
        </w:rPr>
      </w:r>
      <w:r w:rsidRPr="00D02BCB">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D02BCB">
        <w:rPr>
          <w:rStyle w:val="af7"/>
          <w:rFonts w:eastAsia="Guttman Hodes"/>
          <w:rtl/>
        </w:rPr>
        <w:fldChar w:fldCharType="end"/>
      </w:r>
      <w:r w:rsidRPr="00D02BCB">
        <w:rPr>
          <w:rFonts w:hint="cs"/>
          <w:rtl/>
        </w:rPr>
        <w:t xml:space="preserve"> דלדעת </w:t>
      </w:r>
      <w:r w:rsidRPr="00D02BCB">
        <w:rPr>
          <w:rStyle w:val="af9"/>
          <w:rFonts w:hint="cs"/>
          <w:rtl/>
        </w:rPr>
        <w:t xml:space="preserve">הרמב"ן </w:t>
      </w:r>
      <w:r w:rsidRPr="00D02BCB">
        <w:rPr>
          <w:rFonts w:hint="cs"/>
          <w:rtl/>
        </w:rPr>
        <w:t xml:space="preserve">חזקת ג"ש היא מדאו', כתב </w:t>
      </w:r>
      <w:r w:rsidRPr="00D02BCB">
        <w:rPr>
          <w:rStyle w:val="af9"/>
          <w:rFonts w:hint="cs"/>
          <w:rtl/>
        </w:rPr>
        <w:t xml:space="preserve">בחי' רבי נחום </w:t>
      </w:r>
      <w:r w:rsidRPr="00D02BCB">
        <w:rPr>
          <w:rStyle w:val="af7"/>
          <w:rFonts w:eastAsia="Guttman Hodes" w:hint="cs"/>
          <w:rtl/>
        </w:rPr>
        <w:t xml:space="preserve">(או' כ"ה ד"ה והנה בקצה"ח) </w:t>
      </w:r>
      <w:r w:rsidRPr="00D02BCB">
        <w:rPr>
          <w:rFonts w:hint="cs"/>
          <w:rtl/>
        </w:rPr>
        <w:t xml:space="preserve">דמדברי </w:t>
      </w:r>
      <w:r w:rsidRPr="00D02BCB">
        <w:rPr>
          <w:rStyle w:val="af9"/>
          <w:rFonts w:hint="cs"/>
          <w:rtl/>
        </w:rPr>
        <w:t xml:space="preserve">הרמב"ן לקמן </w:t>
      </w:r>
      <w:r w:rsidRPr="00D02BCB">
        <w:rPr>
          <w:rStyle w:val="af7"/>
          <w:rFonts w:eastAsia="Guttman Hodes" w:hint="cs"/>
          <w:rtl/>
        </w:rPr>
        <w:t xml:space="preserve">(עי' אות </w:t>
      </w:r>
      <w:r w:rsidRPr="00D02BCB">
        <w:rPr>
          <w:rStyle w:val="af7"/>
          <w:rFonts w:eastAsia="Guttman Hodes"/>
          <w:rtl/>
        </w:rPr>
        <w:fldChar w:fldCharType="begin"/>
      </w:r>
      <w:r w:rsidRPr="00D02BCB">
        <w:rPr>
          <w:rStyle w:val="af7"/>
          <w:rFonts w:eastAsia="Guttman Hodes"/>
          <w:rtl/>
        </w:rPr>
        <w:instrText xml:space="preserve"> </w:instrText>
      </w:r>
      <w:r w:rsidRPr="00D02BCB">
        <w:rPr>
          <w:rStyle w:val="af7"/>
          <w:rFonts w:eastAsia="Guttman Hodes" w:hint="cs"/>
        </w:rPr>
        <w:instrText>REF</w:instrText>
      </w:r>
      <w:r w:rsidRPr="00D02BCB">
        <w:rPr>
          <w:rStyle w:val="af7"/>
          <w:rFonts w:eastAsia="Guttman Hodes" w:hint="cs"/>
          <w:rtl/>
        </w:rPr>
        <w:instrText xml:space="preserve"> _</w:instrText>
      </w:r>
      <w:r w:rsidRPr="00D02BCB">
        <w:rPr>
          <w:rStyle w:val="af7"/>
          <w:rFonts w:eastAsia="Guttman Hodes" w:hint="cs"/>
        </w:rPr>
        <w:instrText>Ref55496115 \r \h</w:instrText>
      </w:r>
      <w:r w:rsidRPr="00D02BC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02BCB">
        <w:rPr>
          <w:rStyle w:val="af7"/>
          <w:rFonts w:eastAsia="Guttman Hodes"/>
          <w:rtl/>
        </w:rPr>
      </w:r>
      <w:r w:rsidRPr="00D02BCB">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D02BCB">
        <w:rPr>
          <w:rStyle w:val="af7"/>
          <w:rFonts w:eastAsia="Guttman Hodes"/>
          <w:rtl/>
        </w:rPr>
        <w:fldChar w:fldCharType="end"/>
      </w:r>
      <w:r w:rsidRPr="00D02BCB">
        <w:rPr>
          <w:rFonts w:hint="cs"/>
          <w:rtl/>
        </w:rPr>
        <w:t xml:space="preserve"> מוכח דחזקת ג"ש היא תקנת חכמים, לטובת המחזיק</w:t>
      </w:r>
      <w:r>
        <w:rPr>
          <w:rFonts w:hint="cs"/>
          <w:rtl/>
        </w:rPr>
        <w:t xml:space="preserve">, דהביא </w:t>
      </w:r>
      <w:r w:rsidRPr="00106259">
        <w:rPr>
          <w:rStyle w:val="af9"/>
          <w:rFonts w:hint="cs"/>
          <w:rtl/>
        </w:rPr>
        <w:t>הרמב"ן</w:t>
      </w:r>
      <w:r>
        <w:rPr>
          <w:rFonts w:hint="cs"/>
          <w:rtl/>
        </w:rPr>
        <w:t xml:space="preserve"> בשם </w:t>
      </w:r>
      <w:r w:rsidRPr="00106259">
        <w:rPr>
          <w:rStyle w:val="af9"/>
          <w:rFonts w:hint="cs"/>
          <w:rtl/>
        </w:rPr>
        <w:t>י"מ</w:t>
      </w:r>
      <w:r w:rsidRPr="00D02BCB">
        <w:rPr>
          <w:rFonts w:hint="cs"/>
          <w:rtl/>
        </w:rPr>
        <w:t xml:space="preserve"> דה</w:t>
      </w:r>
      <w:r>
        <w:rPr>
          <w:rFonts w:hint="cs"/>
          <w:rtl/>
        </w:rPr>
        <w:t>יה ה</w:t>
      </w:r>
      <w:r w:rsidRPr="00D02BCB">
        <w:rPr>
          <w:rFonts w:hint="cs"/>
          <w:rtl/>
        </w:rPr>
        <w:t>ו"א</w:t>
      </w:r>
      <w:r>
        <w:rPr>
          <w:rFonts w:hint="cs"/>
          <w:rtl/>
        </w:rPr>
        <w:t xml:space="preserve"> בגמ' לקמן</w:t>
      </w:r>
      <w:r w:rsidRPr="00D02BCB">
        <w:rPr>
          <w:rFonts w:hint="cs"/>
          <w:rtl/>
        </w:rPr>
        <w:t xml:space="preserve"> דכל תקנת חכמים של חזקה היא רק כשהמערער טוען שגזלה ממנו, אבל אם טוען לפירות הורדתיו, לא הוי חזקה</w:t>
      </w:r>
      <w:r>
        <w:rPr>
          <w:rFonts w:hint="cs"/>
          <w:rtl/>
        </w:rPr>
        <w:t>, ודחה</w:t>
      </w:r>
      <w:r w:rsidR="00A77F33">
        <w:rPr>
          <w:rFonts w:hint="cs"/>
          <w:rtl/>
        </w:rPr>
        <w:t xml:space="preserve"> </w:t>
      </w:r>
      <w:r w:rsidRPr="00D02BCB">
        <w:rPr>
          <w:rStyle w:val="af9"/>
          <w:rFonts w:hint="cs"/>
          <w:rtl/>
        </w:rPr>
        <w:t xml:space="preserve">הרמב"ן לקמן </w:t>
      </w:r>
      <w:r w:rsidRPr="00D02BC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Ref56011534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Pr>
          <w:rStyle w:val="af7"/>
          <w:rFonts w:eastAsia="Guttman Hodes"/>
          <w:rtl/>
        </w:rPr>
        <w:fldChar w:fldCharType="end"/>
      </w:r>
      <w:r w:rsidRPr="00D02BCB">
        <w:rPr>
          <w:rStyle w:val="af7"/>
          <w:rFonts w:eastAsia="Guttman Hodes" w:hint="cs"/>
          <w:rtl/>
        </w:rPr>
        <w:t xml:space="preserve"> </w:t>
      </w:r>
      <w:r>
        <w:rPr>
          <w:rFonts w:hint="cs"/>
          <w:rtl/>
        </w:rPr>
        <w:t xml:space="preserve">דכוונת הגמ' </w:t>
      </w:r>
      <w:r w:rsidRPr="00D02BCB">
        <w:rPr>
          <w:rFonts w:hint="cs"/>
          <w:rtl/>
        </w:rPr>
        <w:t xml:space="preserve">להקשות </w:t>
      </w:r>
      <w:r>
        <w:rPr>
          <w:rFonts w:hint="cs"/>
          <w:rtl/>
        </w:rPr>
        <w:t>ד</w:t>
      </w:r>
      <w:r w:rsidRPr="00D02BCB">
        <w:rPr>
          <w:rFonts w:hint="cs"/>
          <w:rtl/>
        </w:rPr>
        <w:t xml:space="preserve">היאך יתכן שתיקנו חכמים חזקת ג"ש, ולא תיקנו שבהורידו לפירות יוכל לעשות דדבר שתתקיים הקרקע בידו, דא"כ לקתה מידת הדין, דכל שהורידו לפירות מאי הו"ל </w:t>
      </w:r>
      <w:r w:rsidRPr="002C02FA">
        <w:rPr>
          <w:rFonts w:hint="cs"/>
          <w:rtl/>
        </w:rPr>
        <w:t>למעבד</w:t>
      </w:r>
      <w:r>
        <w:rPr>
          <w:rFonts w:hint="cs"/>
          <w:rtl/>
        </w:rPr>
        <w:t>,</w:t>
      </w:r>
      <w:r w:rsidRPr="002C02FA">
        <w:rPr>
          <w:rFonts w:hint="cs"/>
          <w:rtl/>
        </w:rPr>
        <w:t xml:space="preserve">וכתב </w:t>
      </w:r>
      <w:r w:rsidRPr="002C02FA">
        <w:rPr>
          <w:rStyle w:val="af9"/>
          <w:rFonts w:hint="cs"/>
          <w:rtl/>
        </w:rPr>
        <w:t>בחי' רבי נחום</w:t>
      </w:r>
      <w:r w:rsidRPr="002C02FA">
        <w:rPr>
          <w:rFonts w:hint="cs"/>
          <w:rtl/>
        </w:rPr>
        <w:t xml:space="preserve"> דמבואר מכל דברי </w:t>
      </w:r>
      <w:r w:rsidRPr="00106259">
        <w:rPr>
          <w:rStyle w:val="af9"/>
          <w:rFonts w:hint="cs"/>
          <w:rtl/>
        </w:rPr>
        <w:t xml:space="preserve">הרמב"ן </w:t>
      </w:r>
      <w:r w:rsidRPr="002C02FA">
        <w:rPr>
          <w:rFonts w:hint="cs"/>
          <w:rtl/>
        </w:rPr>
        <w:t xml:space="preserve">הללו דחזקת ג"ש היא תקנת חכמים, לטובת המחזיק, ודלא </w:t>
      </w:r>
      <w:r w:rsidRPr="00106259">
        <w:rPr>
          <w:rStyle w:val="af9"/>
          <w:rFonts w:hint="cs"/>
          <w:rtl/>
        </w:rPr>
        <w:t>כהקצוה"ח</w:t>
      </w:r>
      <w:r w:rsidRPr="002C02FA">
        <w:rPr>
          <w:rFonts w:hint="cs"/>
          <w:rtl/>
        </w:rPr>
        <w:t>.</w:t>
      </w:r>
      <w:bookmarkEnd w:id="4642"/>
    </w:p>
    <w:p w:rsidR="00F163D7" w:rsidRPr="00AA48AC" w:rsidRDefault="00F163D7" w:rsidP="00F163D7">
      <w:pPr>
        <w:pStyle w:val="a3"/>
      </w:pPr>
      <w:bookmarkStart w:id="4644" w:name="_Toc56030527"/>
      <w:bookmarkStart w:id="4645" w:name="_Toc56032717"/>
      <w:r>
        <w:rPr>
          <w:rFonts w:hint="cs"/>
          <w:rtl/>
        </w:rPr>
        <w:t>ביאור הגרנ"פ ברמב"ן דמחמת הרגל"ד ששתק תיקנו חכמים חזקה אך אי"ז ראיה גמורה מדאו'</w:t>
      </w:r>
      <w:bookmarkEnd w:id="4644"/>
      <w:bookmarkEnd w:id="4645"/>
    </w:p>
    <w:p w:rsidR="00F163D7" w:rsidRDefault="00F163D7" w:rsidP="007E4E81">
      <w:pPr>
        <w:pStyle w:val="a0"/>
        <w:rPr>
          <w:rtl/>
        </w:rPr>
      </w:pPr>
      <w:r>
        <w:rPr>
          <w:rFonts w:hint="cs"/>
          <w:rtl/>
        </w:rPr>
        <w:t xml:space="preserve">וביאר </w:t>
      </w:r>
      <w:r w:rsidRPr="006E03BB">
        <w:rPr>
          <w:rStyle w:val="af9"/>
          <w:rFonts w:hint="cs"/>
          <w:rtl/>
        </w:rPr>
        <w:t xml:space="preserve">בחי' רבי נחום </w:t>
      </w:r>
      <w:r>
        <w:rPr>
          <w:rFonts w:hint="cs"/>
          <w:rtl/>
        </w:rPr>
        <w:t xml:space="preserve">דמ"ש </w:t>
      </w:r>
      <w:r w:rsidRPr="006E03BB">
        <w:rPr>
          <w:rStyle w:val="af9"/>
          <w:rFonts w:hint="cs"/>
          <w:rtl/>
        </w:rPr>
        <w:t xml:space="preserve">הרמב"ן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 xml:space="preserve">דטעם החזקה הוא דכיון ששתק שיש רגלים לדבר שמכר לו, אין כוונת </w:t>
      </w:r>
      <w:r w:rsidRPr="006E03BB">
        <w:rPr>
          <w:rStyle w:val="af9"/>
          <w:rFonts w:hint="cs"/>
          <w:rtl/>
        </w:rPr>
        <w:t>הרמב"ן</w:t>
      </w:r>
      <w:r>
        <w:rPr>
          <w:rFonts w:hint="cs"/>
          <w:rtl/>
        </w:rPr>
        <w:t xml:space="preserve"> לומר דהוא סברא דאו', אלא הוא הטעם שתיקנו חכמים את החזקה, אבל מדינא לא סגי בראיה כזו שהיא רק רגלים לדבר להחשיבו כמוחזק, </w:t>
      </w:r>
      <w:r w:rsidRPr="006E03BB">
        <w:rPr>
          <w:rStyle w:val="afb"/>
          <w:rFonts w:hint="cs"/>
          <w:rtl/>
        </w:rPr>
        <w:t>[וכד</w:t>
      </w:r>
      <w:r>
        <w:rPr>
          <w:rStyle w:val="afb"/>
          <w:rFonts w:hint="cs"/>
          <w:rtl/>
        </w:rPr>
        <w:t>ביאר</w:t>
      </w:r>
      <w:r w:rsidRPr="006E03BB">
        <w:rPr>
          <w:rStyle w:val="afb"/>
          <w:rFonts w:hint="cs"/>
          <w:rtl/>
        </w:rPr>
        <w:t xml:space="preserve"> </w:t>
      </w:r>
      <w:r w:rsidRPr="006E03BB">
        <w:rPr>
          <w:rStyle w:val="affa"/>
          <w:rFonts w:hint="cs"/>
          <w:rtl/>
        </w:rPr>
        <w:t>בחי' רבי נחום</w:t>
      </w:r>
      <w:r w:rsidRPr="006E03BB">
        <w:rPr>
          <w:rStyle w:val="afb"/>
          <w:rFonts w:hint="cs"/>
          <w:rtl/>
        </w:rPr>
        <w:t xml:space="preserve"> </w:t>
      </w:r>
      <w:r w:rsidRPr="006E03BB">
        <w:rPr>
          <w:rStyle w:val="aff6"/>
          <w:rFonts w:hint="cs"/>
          <w:rtl/>
        </w:rPr>
        <w:t xml:space="preserve">(עי' אות </w:t>
      </w:r>
      <w:r w:rsidRPr="006E03BB">
        <w:rPr>
          <w:rStyle w:val="aff6"/>
          <w:rtl/>
        </w:rPr>
        <w:fldChar w:fldCharType="begin"/>
      </w:r>
      <w:r w:rsidRPr="006E03BB">
        <w:rPr>
          <w:rStyle w:val="aff6"/>
          <w:rtl/>
        </w:rPr>
        <w:instrText xml:space="preserve"> </w:instrText>
      </w:r>
      <w:r w:rsidRPr="006E03BB">
        <w:rPr>
          <w:rStyle w:val="aff6"/>
          <w:rFonts w:hint="cs"/>
        </w:rPr>
        <w:instrText>REF</w:instrText>
      </w:r>
      <w:r w:rsidRPr="006E03BB">
        <w:rPr>
          <w:rStyle w:val="aff6"/>
          <w:rFonts w:hint="cs"/>
          <w:rtl/>
        </w:rPr>
        <w:instrText xml:space="preserve"> _</w:instrText>
      </w:r>
      <w:r w:rsidRPr="006E03BB">
        <w:rPr>
          <w:rStyle w:val="aff6"/>
          <w:rFonts w:hint="cs"/>
        </w:rPr>
        <w:instrText>Ref55508194 \r \h</w:instrText>
      </w:r>
      <w:r w:rsidRPr="006E03BB">
        <w:rPr>
          <w:rStyle w:val="aff6"/>
          <w:rtl/>
        </w:rPr>
        <w:instrText xml:space="preserve"> </w:instrText>
      </w:r>
      <w:r w:rsidRPr="006E03BB">
        <w:rPr>
          <w:rStyle w:val="aff6"/>
          <w:rtl/>
        </w:rPr>
      </w:r>
      <w:r w:rsidRPr="006E03BB">
        <w:rPr>
          <w:rStyle w:val="aff6"/>
          <w:rtl/>
        </w:rPr>
        <w:fldChar w:fldCharType="separate"/>
      </w:r>
      <w:r w:rsidR="00265073">
        <w:rPr>
          <w:rStyle w:val="aff6"/>
          <w:cs/>
        </w:rPr>
        <w:t>‎</w:t>
      </w:r>
      <w:r w:rsidR="00265073">
        <w:rPr>
          <w:rStyle w:val="aff6"/>
          <w:rtl/>
        </w:rPr>
        <w:t>פה)</w:t>
      </w:r>
      <w:r w:rsidRPr="006E03BB">
        <w:rPr>
          <w:rStyle w:val="aff6"/>
          <w:rtl/>
        </w:rPr>
        <w:fldChar w:fldCharType="end"/>
      </w:r>
      <w:r w:rsidRPr="006E03BB">
        <w:rPr>
          <w:rStyle w:val="afb"/>
          <w:rFonts w:hint="cs"/>
          <w:rtl/>
        </w:rPr>
        <w:t xml:space="preserve"> דאינה ראיה גמורה],</w:t>
      </w:r>
      <w:r>
        <w:rPr>
          <w:rFonts w:hint="cs"/>
          <w:rtl/>
        </w:rPr>
        <w:t xml:space="preserve"> אלא כיון שתיקנו חכמים חזקת ג"ש לטובת המחזיק, תיקנו שכיון שיש רגלים לדבר שמכר לו, זה יועיל לו להחשיבו כמוחזק, וכתב </w:t>
      </w:r>
      <w:r w:rsidRPr="006E03BB">
        <w:rPr>
          <w:rStyle w:val="af9"/>
          <w:rFonts w:hint="cs"/>
          <w:rtl/>
        </w:rPr>
        <w:t>בחי' רבי נחום</w:t>
      </w:r>
      <w:r>
        <w:rPr>
          <w:rFonts w:hint="cs"/>
          <w:rtl/>
        </w:rPr>
        <w:t xml:space="preserve"> דא"כ מבואר </w:t>
      </w:r>
      <w:r w:rsidRPr="006E03BB">
        <w:rPr>
          <w:rStyle w:val="af9"/>
          <w:rFonts w:hint="cs"/>
          <w:rtl/>
        </w:rPr>
        <w:t>ברמב"ן</w:t>
      </w:r>
      <w:r>
        <w:rPr>
          <w:rFonts w:hint="cs"/>
          <w:rtl/>
        </w:rPr>
        <w:t xml:space="preserve"> דלא </w:t>
      </w:r>
      <w:r w:rsidRPr="006E03BB">
        <w:rPr>
          <w:rStyle w:val="af9"/>
          <w:rFonts w:hint="cs"/>
          <w:rtl/>
        </w:rPr>
        <w:t>כהריטב"א</w:t>
      </w:r>
      <w:r>
        <w:rPr>
          <w:rFonts w:hint="cs"/>
          <w:rtl/>
        </w:rPr>
        <w:t xml:space="preserve"> </w:t>
      </w:r>
      <w:r w:rsidRPr="006E03BB">
        <w:rPr>
          <w:rStyle w:val="af7"/>
          <w:rFonts w:eastAsia="Guttman Hodes" w:hint="cs"/>
          <w:rtl/>
        </w:rPr>
        <w:t xml:space="preserve">(עי' אות </w:t>
      </w:r>
      <w:r w:rsidRPr="006E03BB">
        <w:rPr>
          <w:rStyle w:val="af7"/>
          <w:rFonts w:eastAsia="Guttman Hodes"/>
          <w:rtl/>
        </w:rPr>
        <w:fldChar w:fldCharType="begin"/>
      </w:r>
      <w:r w:rsidRPr="006E03BB">
        <w:rPr>
          <w:rStyle w:val="af7"/>
          <w:rFonts w:eastAsia="Guttman Hodes"/>
          <w:rtl/>
        </w:rPr>
        <w:instrText xml:space="preserve"> </w:instrText>
      </w:r>
      <w:r w:rsidRPr="006E03BB">
        <w:rPr>
          <w:rStyle w:val="af7"/>
          <w:rFonts w:eastAsia="Guttman Hodes" w:hint="cs"/>
        </w:rPr>
        <w:instrText>REF</w:instrText>
      </w:r>
      <w:r w:rsidRPr="006E03BB">
        <w:rPr>
          <w:rStyle w:val="af7"/>
          <w:rFonts w:eastAsia="Guttman Hodes" w:hint="cs"/>
          <w:rtl/>
        </w:rPr>
        <w:instrText xml:space="preserve"> _</w:instrText>
      </w:r>
      <w:r w:rsidRPr="006E03BB">
        <w:rPr>
          <w:rStyle w:val="af7"/>
          <w:rFonts w:eastAsia="Guttman Hodes" w:hint="cs"/>
        </w:rPr>
        <w:instrText>Ref55496093 \r \h</w:instrText>
      </w:r>
      <w:r w:rsidRPr="006E03BB">
        <w:rPr>
          <w:rStyle w:val="af7"/>
          <w:rFonts w:eastAsia="Guttman Hodes"/>
          <w:rtl/>
        </w:rPr>
        <w:instrText xml:space="preserve"> </w:instrText>
      </w:r>
      <w:r w:rsidRPr="006E03BB">
        <w:rPr>
          <w:rStyle w:val="af7"/>
          <w:rFonts w:eastAsia="Guttman Hodes"/>
          <w:rtl/>
        </w:rPr>
      </w:r>
      <w:r w:rsidRPr="006E03BB">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6E03BB">
        <w:rPr>
          <w:rStyle w:val="af7"/>
          <w:rFonts w:eastAsia="Guttman Hodes"/>
          <w:rtl/>
        </w:rPr>
        <w:fldChar w:fldCharType="end"/>
      </w:r>
      <w:r>
        <w:rPr>
          <w:rFonts w:hint="cs"/>
          <w:rtl/>
        </w:rPr>
        <w:t xml:space="preserve"> דס"ל דמהני הראיה מדאו' כמו בחזקת מטלטלין.</w:t>
      </w:r>
      <w:bookmarkEnd w:id="4643"/>
    </w:p>
    <w:p w:rsidR="00105E7C" w:rsidRPr="00105E7C" w:rsidRDefault="00105E7C" w:rsidP="00105E7C">
      <w:pPr>
        <w:pStyle w:val="a3"/>
        <w:rPr>
          <w:rtl/>
        </w:rPr>
      </w:pPr>
    </w:p>
    <w:p w:rsidR="00F163D7" w:rsidRDefault="00F163D7" w:rsidP="00F163D7">
      <w:pPr>
        <w:pStyle w:val="a3"/>
        <w:rPr>
          <w:rtl/>
        </w:rPr>
      </w:pPr>
      <w:bookmarkStart w:id="4646" w:name="_Toc56030528"/>
      <w:bookmarkStart w:id="4647" w:name="_Toc56032718"/>
      <w:r>
        <w:rPr>
          <w:rFonts w:hint="cs"/>
          <w:rtl/>
        </w:rPr>
        <w:lastRenderedPageBreak/>
        <w:t>דברי הגרנ"פ דמדכתב הרמב"ן דלקטן ל"מ פחות מג"ש שלא ירויח מוכח דהחזקה היא תקנ"ח</w:t>
      </w:r>
      <w:bookmarkEnd w:id="4646"/>
      <w:bookmarkEnd w:id="4647"/>
    </w:p>
    <w:p w:rsidR="00F163D7" w:rsidRPr="009113CA" w:rsidRDefault="00F163D7" w:rsidP="007E4E81">
      <w:pPr>
        <w:pStyle w:val="a0"/>
        <w:rPr>
          <w:rStyle w:val="afb"/>
          <w:rtl/>
        </w:rPr>
      </w:pPr>
      <w:bookmarkStart w:id="4648" w:name="_Ref55728305"/>
      <w:r>
        <w:rPr>
          <w:rFonts w:hint="cs"/>
          <w:rtl/>
        </w:rPr>
        <w:t xml:space="preserve">והוסיף </w:t>
      </w:r>
      <w:r w:rsidRPr="006E03BB">
        <w:rPr>
          <w:rStyle w:val="af9"/>
          <w:rFonts w:hint="cs"/>
          <w:rtl/>
        </w:rPr>
        <w:t xml:space="preserve">בחי' רבי נחום </w:t>
      </w:r>
      <w:r w:rsidRPr="006E03BB">
        <w:rPr>
          <w:rStyle w:val="af7"/>
          <w:rFonts w:eastAsia="Guttman Hodes" w:hint="cs"/>
          <w:rtl/>
        </w:rPr>
        <w:t xml:space="preserve">(או' כ"ה ד"ה </w:t>
      </w:r>
      <w:r>
        <w:rPr>
          <w:rStyle w:val="af7"/>
          <w:rFonts w:eastAsia="Guttman Hodes" w:hint="cs"/>
          <w:rtl/>
        </w:rPr>
        <w:t>ולכ' זוהי</w:t>
      </w:r>
      <w:r w:rsidRPr="006E03BB">
        <w:rPr>
          <w:rStyle w:val="af7"/>
          <w:rFonts w:eastAsia="Guttman Hodes" w:hint="cs"/>
          <w:rtl/>
        </w:rPr>
        <w:t xml:space="preserve">) </w:t>
      </w:r>
      <w:r>
        <w:rPr>
          <w:rFonts w:hint="cs"/>
          <w:rtl/>
        </w:rPr>
        <w:t xml:space="preserve">דכן מבואר מסוף דברי </w:t>
      </w:r>
      <w:r w:rsidRPr="006E03BB">
        <w:rPr>
          <w:rStyle w:val="af9"/>
          <w:rFonts w:hint="cs"/>
          <w:rtl/>
        </w:rPr>
        <w:t xml:space="preserve">הרמב"ן לקמן </w:t>
      </w:r>
      <w:r>
        <w:rPr>
          <w:rStyle w:val="af7"/>
          <w:rFonts w:eastAsia="Guttman Hodes" w:hint="cs"/>
          <w:rtl/>
        </w:rPr>
        <w:t>(</w:t>
      </w:r>
      <w:r w:rsidRPr="000C182E">
        <w:rPr>
          <w:rStyle w:val="af7"/>
          <w:rFonts w:eastAsia="Guttman Hodes" w:hint="cs"/>
          <w:rtl/>
        </w:rPr>
        <w:t xml:space="preserve">עי' אות </w:t>
      </w:r>
      <w:r w:rsidRPr="000C182E">
        <w:rPr>
          <w:rStyle w:val="af7"/>
          <w:rFonts w:eastAsia="Guttman Hodes"/>
          <w:rtl/>
        </w:rPr>
        <w:fldChar w:fldCharType="begin"/>
      </w:r>
      <w:r w:rsidRPr="000C182E">
        <w:rPr>
          <w:rStyle w:val="af7"/>
          <w:rFonts w:eastAsia="Guttman Hodes"/>
          <w:rtl/>
        </w:rPr>
        <w:instrText xml:space="preserve"> </w:instrText>
      </w:r>
      <w:r w:rsidRPr="000C182E">
        <w:rPr>
          <w:rStyle w:val="af7"/>
          <w:rFonts w:eastAsia="Guttman Hodes" w:hint="cs"/>
        </w:rPr>
        <w:instrText>REF</w:instrText>
      </w:r>
      <w:r w:rsidRPr="000C182E">
        <w:rPr>
          <w:rStyle w:val="af7"/>
          <w:rFonts w:eastAsia="Guttman Hodes" w:hint="cs"/>
          <w:rtl/>
        </w:rPr>
        <w:instrText xml:space="preserve"> _</w:instrText>
      </w:r>
      <w:r w:rsidRPr="000C182E">
        <w:rPr>
          <w:rStyle w:val="af7"/>
          <w:rFonts w:eastAsia="Guttman Hodes" w:hint="cs"/>
        </w:rPr>
        <w:instrText>Ref55728248 \r \h</w:instrText>
      </w:r>
      <w:r w:rsidRPr="000C182E">
        <w:rPr>
          <w:rStyle w:val="af7"/>
          <w:rFonts w:eastAsia="Guttman Hodes"/>
          <w:rtl/>
        </w:rPr>
        <w:instrText xml:space="preserve"> </w:instrText>
      </w:r>
      <w:r w:rsidRPr="000C182E">
        <w:rPr>
          <w:rStyle w:val="af7"/>
          <w:rFonts w:eastAsia="Guttman Hodes"/>
          <w:rtl/>
        </w:rPr>
      </w:r>
      <w:r w:rsidRPr="000C182E">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0C182E">
        <w:rPr>
          <w:rStyle w:val="af7"/>
          <w:rFonts w:eastAsia="Guttman Hodes"/>
          <w:rtl/>
        </w:rPr>
        <w:fldChar w:fldCharType="end"/>
      </w:r>
      <w:r w:rsidRPr="00295AB2">
        <w:rPr>
          <w:rFonts w:hint="cs"/>
          <w:rtl/>
        </w:rPr>
        <w:t xml:space="preserve"> שה</w:t>
      </w:r>
      <w:r>
        <w:rPr>
          <w:rFonts w:hint="cs"/>
          <w:rtl/>
        </w:rPr>
        <w:t xml:space="preserve">ביא </w:t>
      </w:r>
      <w:r w:rsidRPr="000C182E">
        <w:rPr>
          <w:rStyle w:val="af9"/>
          <w:rFonts w:hint="cs"/>
          <w:rtl/>
        </w:rPr>
        <w:t>הקצוה"ח</w:t>
      </w:r>
      <w:r>
        <w:rPr>
          <w:rFonts w:hint="cs"/>
          <w:rtl/>
        </w:rPr>
        <w:t xml:space="preserve">, דכתב </w:t>
      </w:r>
      <w:r w:rsidRPr="00E53B4F">
        <w:rPr>
          <w:rStyle w:val="af9"/>
          <w:rFonts w:hint="cs"/>
          <w:rtl/>
        </w:rPr>
        <w:t>הרמב"ן</w:t>
      </w:r>
      <w:r>
        <w:rPr>
          <w:rFonts w:hint="cs"/>
          <w:rtl/>
        </w:rPr>
        <w:t xml:space="preserve"> דאף שאין לקטן ריעותא דאחוי שטרך</w:t>
      </w:r>
      <w:r w:rsidRPr="00D5078C">
        <w:rPr>
          <w:rFonts w:hint="cs"/>
          <w:rtl/>
        </w:rPr>
        <w:t xml:space="preserve"> </w:t>
      </w:r>
      <w:r>
        <w:rPr>
          <w:rFonts w:hint="cs"/>
          <w:rtl/>
        </w:rPr>
        <w:t xml:space="preserve">אף בתוך ג"ש, מ"מ לא מהני החזקה לקטן דא"כ מי שאין לו דעת מרויח, ולא מצינו שהוא מרויח בכל מקום אלא הוא מפסיד, והקשה </w:t>
      </w:r>
      <w:r w:rsidRPr="00AD2DC1">
        <w:rPr>
          <w:rStyle w:val="af9"/>
          <w:rFonts w:hint="cs"/>
          <w:rtl/>
        </w:rPr>
        <w:t>בחי' רבי נחום</w:t>
      </w:r>
      <w:r>
        <w:rPr>
          <w:rFonts w:hint="cs"/>
          <w:rtl/>
        </w:rPr>
        <w:t xml:space="preserve"> דמה הסברא שלא ירויח הא כל שיש לו ראיה ואין כל ריעותא בטענתו, ממילא מוכח דהמרא קמא מכר לו, ולאלתר הוי חזקה, </w:t>
      </w:r>
      <w:r w:rsidRPr="007666F3">
        <w:rPr>
          <w:rStyle w:val="afb"/>
          <w:rFonts w:hint="cs"/>
          <w:rtl/>
        </w:rPr>
        <w:t xml:space="preserve">[וכן הקשה </w:t>
      </w:r>
      <w:r w:rsidRPr="009B68FF">
        <w:rPr>
          <w:rStyle w:val="affa"/>
          <w:rFonts w:hint="cs"/>
          <w:rtl/>
        </w:rPr>
        <w:t>בשיעורי רבי שמואל</w:t>
      </w:r>
      <w:r w:rsidRPr="007666F3">
        <w:rPr>
          <w:rStyle w:val="afb"/>
          <w:rFonts w:hint="cs"/>
          <w:rtl/>
        </w:rPr>
        <w:t xml:space="preserve"> </w:t>
      </w:r>
      <w:r w:rsidRPr="009B68FF">
        <w:rPr>
          <w:rStyle w:val="aff6"/>
          <w:rFonts w:hint="cs"/>
          <w:rtl/>
        </w:rPr>
        <w:t>(או' ב' ד"ה ומקור)</w:t>
      </w:r>
      <w:r w:rsidRPr="007666F3">
        <w:rPr>
          <w:rStyle w:val="afb"/>
          <w:rFonts w:hint="cs"/>
          <w:rtl/>
        </w:rPr>
        <w:t xml:space="preserve">, וציין לדברי </w:t>
      </w:r>
      <w:r w:rsidRPr="007666F3">
        <w:rPr>
          <w:rStyle w:val="affa"/>
          <w:rFonts w:hint="cs"/>
          <w:rtl/>
        </w:rPr>
        <w:t>הריטב"א</w:t>
      </w:r>
      <w:r w:rsidRPr="007666F3">
        <w:rPr>
          <w:rStyle w:val="afb"/>
          <w:rFonts w:hint="cs"/>
          <w:rtl/>
        </w:rPr>
        <w:t xml:space="preserve"> </w:t>
      </w:r>
      <w:r w:rsidRPr="009B68FF">
        <w:rPr>
          <w:rStyle w:val="af7"/>
          <w:rFonts w:eastAsia="Guttman Hodes" w:hint="cs"/>
          <w:rtl/>
        </w:rPr>
        <w:t xml:space="preserve">(עי' אות </w:t>
      </w:r>
      <w:r w:rsidRPr="009B68FF">
        <w:rPr>
          <w:rStyle w:val="af7"/>
          <w:rFonts w:eastAsia="Guttman Hodes"/>
          <w:rtl/>
        </w:rPr>
        <w:fldChar w:fldCharType="begin"/>
      </w:r>
      <w:r w:rsidRPr="009B68FF">
        <w:rPr>
          <w:rStyle w:val="af7"/>
          <w:rFonts w:eastAsia="Guttman Hodes"/>
          <w:rtl/>
        </w:rPr>
        <w:instrText xml:space="preserve"> </w:instrText>
      </w:r>
      <w:r w:rsidRPr="009B68FF">
        <w:rPr>
          <w:rStyle w:val="af7"/>
          <w:rFonts w:eastAsia="Guttman Hodes" w:hint="cs"/>
        </w:rPr>
        <w:instrText>REF</w:instrText>
      </w:r>
      <w:r w:rsidRPr="009B68FF">
        <w:rPr>
          <w:rStyle w:val="af7"/>
          <w:rFonts w:eastAsia="Guttman Hodes" w:hint="cs"/>
          <w:rtl/>
        </w:rPr>
        <w:instrText xml:space="preserve"> _</w:instrText>
      </w:r>
      <w:r w:rsidRPr="009B68FF">
        <w:rPr>
          <w:rStyle w:val="af7"/>
          <w:rFonts w:eastAsia="Guttman Hodes" w:hint="cs"/>
        </w:rPr>
        <w:instrText>Ref55763476 \r \h</w:instrText>
      </w:r>
      <w:r w:rsidRPr="009B68FF">
        <w:rPr>
          <w:rStyle w:val="af7"/>
          <w:rFonts w:eastAsia="Guttman Hodes"/>
          <w:rtl/>
        </w:rPr>
        <w:instrText xml:space="preserve"> </w:instrText>
      </w:r>
      <w:r w:rsidRPr="009B68FF">
        <w:rPr>
          <w:rStyle w:val="af7"/>
          <w:rFonts w:eastAsia="Guttman Hodes"/>
          <w:rtl/>
        </w:rPr>
      </w:r>
      <w:r w:rsidRPr="009B68FF">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9B68FF">
        <w:rPr>
          <w:rStyle w:val="af7"/>
          <w:rFonts w:eastAsia="Guttman Hodes"/>
          <w:rtl/>
        </w:rPr>
        <w:fldChar w:fldCharType="end"/>
      </w:r>
      <w:r w:rsidRPr="007666F3">
        <w:rPr>
          <w:rStyle w:val="afb"/>
          <w:rFonts w:hint="cs"/>
          <w:rtl/>
        </w:rPr>
        <w:t xml:space="preserve"> דביאר דלא פלוג רבנן,</w:t>
      </w:r>
      <w:r>
        <w:rPr>
          <w:rStyle w:val="afb"/>
          <w:rFonts w:hint="cs"/>
          <w:rtl/>
        </w:rPr>
        <w:t xml:space="preserve"> ועי' במ"ש </w:t>
      </w:r>
      <w:r w:rsidRPr="007666F3">
        <w:rPr>
          <w:rStyle w:val="affa"/>
          <w:rFonts w:hint="cs"/>
          <w:rtl/>
        </w:rPr>
        <w:t>הנתיה"מ</w:t>
      </w:r>
      <w:r w:rsidRPr="007666F3">
        <w:rPr>
          <w:rStyle w:val="afb"/>
          <w:rFonts w:hint="cs"/>
          <w:rtl/>
        </w:rPr>
        <w:t xml:space="preserve"> </w:t>
      </w:r>
      <w:r w:rsidRPr="009B68FF">
        <w:rPr>
          <w:rStyle w:val="af7"/>
          <w:rFonts w:eastAsia="Guttman Hodes" w:hint="cs"/>
          <w:rtl/>
        </w:rPr>
        <w:t xml:space="preserve">(עי' אות </w:t>
      </w:r>
      <w:r w:rsidRPr="009B68FF">
        <w:rPr>
          <w:rStyle w:val="af7"/>
          <w:rFonts w:eastAsia="Guttman Hodes"/>
          <w:rtl/>
        </w:rPr>
        <w:fldChar w:fldCharType="begin"/>
      </w:r>
      <w:r w:rsidRPr="009B68FF">
        <w:rPr>
          <w:rStyle w:val="af7"/>
          <w:rFonts w:eastAsia="Guttman Hodes"/>
          <w:rtl/>
        </w:rPr>
        <w:instrText xml:space="preserve"> </w:instrText>
      </w:r>
      <w:r w:rsidRPr="009B68FF">
        <w:rPr>
          <w:rStyle w:val="af7"/>
          <w:rFonts w:eastAsia="Guttman Hodes" w:hint="cs"/>
        </w:rPr>
        <w:instrText>REF</w:instrText>
      </w:r>
      <w:r w:rsidRPr="009B68FF">
        <w:rPr>
          <w:rStyle w:val="af7"/>
          <w:rFonts w:eastAsia="Guttman Hodes" w:hint="cs"/>
          <w:rtl/>
        </w:rPr>
        <w:instrText xml:space="preserve"> _</w:instrText>
      </w:r>
      <w:r w:rsidRPr="009B68FF">
        <w:rPr>
          <w:rStyle w:val="af7"/>
          <w:rFonts w:eastAsia="Guttman Hodes" w:hint="cs"/>
        </w:rPr>
        <w:instrText>Ref55728248 \r \h</w:instrText>
      </w:r>
      <w:r w:rsidRPr="009B68FF">
        <w:rPr>
          <w:rStyle w:val="af7"/>
          <w:rFonts w:eastAsia="Guttman Hodes"/>
          <w:rtl/>
        </w:rPr>
        <w:instrText xml:space="preserve"> </w:instrText>
      </w:r>
      <w:r w:rsidRPr="009B68FF">
        <w:rPr>
          <w:rStyle w:val="af7"/>
          <w:rFonts w:eastAsia="Guttman Hodes"/>
          <w:rtl/>
        </w:rPr>
      </w:r>
      <w:r w:rsidRPr="009B68FF">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9B68FF">
        <w:rPr>
          <w:rStyle w:val="af7"/>
          <w:rFonts w:eastAsia="Guttman Hodes"/>
          <w:rtl/>
        </w:rPr>
        <w:fldChar w:fldCharType="end"/>
      </w:r>
      <w:r>
        <w:rPr>
          <w:rStyle w:val="afb"/>
          <w:rFonts w:hint="cs"/>
          <w:rtl/>
        </w:rPr>
        <w:t xml:space="preserve"> דזו כוונת</w:t>
      </w:r>
      <w:r w:rsidRPr="007666F3">
        <w:rPr>
          <w:rStyle w:val="afb"/>
          <w:rFonts w:hint="cs"/>
          <w:rtl/>
        </w:rPr>
        <w:t xml:space="preserve"> </w:t>
      </w:r>
      <w:r>
        <w:rPr>
          <w:rStyle w:val="affa"/>
          <w:rFonts w:hint="cs"/>
          <w:rtl/>
        </w:rPr>
        <w:t>ה</w:t>
      </w:r>
      <w:r w:rsidRPr="007666F3">
        <w:rPr>
          <w:rStyle w:val="affa"/>
          <w:rFonts w:hint="cs"/>
          <w:rtl/>
        </w:rPr>
        <w:t>רמב"ן</w:t>
      </w:r>
      <w:r w:rsidRPr="007666F3">
        <w:rPr>
          <w:rStyle w:val="afb"/>
          <w:rFonts w:hint="cs"/>
          <w:rtl/>
        </w:rPr>
        <w:t xml:space="preserve">], </w:t>
      </w:r>
      <w:r>
        <w:rPr>
          <w:rFonts w:hint="cs"/>
          <w:rtl/>
        </w:rPr>
        <w:t xml:space="preserve">אלא כתב </w:t>
      </w:r>
      <w:r w:rsidRPr="00AD2DC1">
        <w:rPr>
          <w:rStyle w:val="af9"/>
          <w:rFonts w:hint="cs"/>
          <w:rtl/>
        </w:rPr>
        <w:t>בחי' רבי נחום</w:t>
      </w:r>
      <w:r>
        <w:rPr>
          <w:rFonts w:hint="cs"/>
          <w:rtl/>
        </w:rPr>
        <w:t xml:space="preserve"> דמוכח מדברי </w:t>
      </w:r>
      <w:r w:rsidRPr="00AD2DC1">
        <w:rPr>
          <w:rStyle w:val="af9"/>
          <w:rFonts w:hint="cs"/>
          <w:rtl/>
        </w:rPr>
        <w:t>הרמב"ן</w:t>
      </w:r>
      <w:r>
        <w:rPr>
          <w:rFonts w:hint="cs"/>
          <w:rtl/>
        </w:rPr>
        <w:t xml:space="preserve"> דחזקת ג"ש היא תקנת חכמים, וא"כ אפש"ל דלא תיקנו חכמים תקנה בפנ"ע דקטן שאין בו דעת תועיל לו חזקה אף בפחות מג"ש.</w:t>
      </w:r>
      <w:bookmarkEnd w:id="4648"/>
      <w:r w:rsidRPr="00AD2DC1">
        <w:rPr>
          <w:rFonts w:hint="cs"/>
          <w:rtl/>
        </w:rPr>
        <w:t xml:space="preserve"> </w:t>
      </w:r>
      <w:r>
        <w:rPr>
          <w:rStyle w:val="afb"/>
          <w:rFonts w:hint="cs"/>
          <w:rtl/>
        </w:rPr>
        <w:t>[וע"ע במה שביארו</w:t>
      </w:r>
      <w:r w:rsidRPr="009113CA">
        <w:rPr>
          <w:rStyle w:val="afb"/>
          <w:rFonts w:hint="cs"/>
          <w:rtl/>
        </w:rPr>
        <w:t xml:space="preserve"> </w:t>
      </w:r>
      <w:r w:rsidRPr="009113CA">
        <w:rPr>
          <w:rStyle w:val="affa"/>
          <w:rFonts w:hint="cs"/>
          <w:rtl/>
        </w:rPr>
        <w:t>בקה"י</w:t>
      </w:r>
      <w:r w:rsidRPr="009113CA">
        <w:rPr>
          <w:rStyle w:val="afb"/>
          <w:rFonts w:hint="cs"/>
          <w:rtl/>
        </w:rPr>
        <w:t xml:space="preserve"> </w:t>
      </w:r>
      <w:r w:rsidRPr="009113CA">
        <w:rPr>
          <w:rStyle w:val="aff6"/>
          <w:rFonts w:hint="cs"/>
          <w:rtl/>
        </w:rPr>
        <w:t xml:space="preserve">(עי' אות </w:t>
      </w:r>
      <w:r w:rsidRPr="009113CA">
        <w:rPr>
          <w:rStyle w:val="aff6"/>
          <w:rtl/>
        </w:rPr>
        <w:fldChar w:fldCharType="begin"/>
      </w:r>
      <w:r w:rsidRPr="009113CA">
        <w:rPr>
          <w:rStyle w:val="aff6"/>
          <w:rtl/>
        </w:rPr>
        <w:instrText xml:space="preserve"> </w:instrText>
      </w:r>
      <w:r w:rsidRPr="009113CA">
        <w:rPr>
          <w:rStyle w:val="aff6"/>
          <w:rFonts w:hint="cs"/>
        </w:rPr>
        <w:instrText>REF</w:instrText>
      </w:r>
      <w:r w:rsidRPr="009113CA">
        <w:rPr>
          <w:rStyle w:val="aff6"/>
          <w:rFonts w:hint="cs"/>
          <w:rtl/>
        </w:rPr>
        <w:instrText xml:space="preserve"> _</w:instrText>
      </w:r>
      <w:r w:rsidRPr="009113CA">
        <w:rPr>
          <w:rStyle w:val="aff6"/>
          <w:rFonts w:hint="cs"/>
        </w:rPr>
        <w:instrText>Ref55990392 \r \h</w:instrText>
      </w:r>
      <w:r w:rsidRPr="009113CA">
        <w:rPr>
          <w:rStyle w:val="aff6"/>
          <w:rtl/>
        </w:rPr>
        <w:instrText xml:space="preserve"> </w:instrText>
      </w:r>
      <w:r w:rsidRPr="009113CA">
        <w:rPr>
          <w:rStyle w:val="aff6"/>
          <w:rtl/>
        </w:rPr>
      </w:r>
      <w:r w:rsidRPr="009113CA">
        <w:rPr>
          <w:rStyle w:val="aff6"/>
          <w:rtl/>
        </w:rPr>
        <w:fldChar w:fldCharType="separate"/>
      </w:r>
      <w:r w:rsidR="00265073">
        <w:rPr>
          <w:rStyle w:val="aff6"/>
          <w:cs/>
        </w:rPr>
        <w:t>‎</w:t>
      </w:r>
      <w:r w:rsidR="00265073">
        <w:rPr>
          <w:rStyle w:val="aff6"/>
          <w:rtl/>
        </w:rPr>
        <w:t>עא)</w:t>
      </w:r>
      <w:r w:rsidRPr="009113CA">
        <w:rPr>
          <w:rStyle w:val="aff6"/>
          <w:rtl/>
        </w:rPr>
        <w:fldChar w:fldCharType="end"/>
      </w:r>
      <w:r w:rsidRPr="009113CA">
        <w:rPr>
          <w:rStyle w:val="afb"/>
          <w:rFonts w:hint="cs"/>
          <w:rtl/>
        </w:rPr>
        <w:t xml:space="preserve"> </w:t>
      </w:r>
      <w:r w:rsidRPr="009113CA">
        <w:rPr>
          <w:rStyle w:val="affa"/>
          <w:rFonts w:hint="cs"/>
          <w:rtl/>
        </w:rPr>
        <w:t>ובחי' רבי ראובן</w:t>
      </w:r>
      <w:r w:rsidRPr="009113CA">
        <w:rPr>
          <w:rStyle w:val="afb"/>
          <w:rFonts w:hint="cs"/>
          <w:rtl/>
        </w:rPr>
        <w:t xml:space="preserve"> </w:t>
      </w:r>
      <w:r w:rsidRPr="009113CA">
        <w:rPr>
          <w:rStyle w:val="aff6"/>
          <w:rFonts w:hint="cs"/>
          <w:rtl/>
        </w:rPr>
        <w:t xml:space="preserve">(עי' אות </w:t>
      </w:r>
      <w:r w:rsidRPr="009113CA">
        <w:rPr>
          <w:rStyle w:val="aff6"/>
          <w:rtl/>
        </w:rPr>
        <w:fldChar w:fldCharType="begin"/>
      </w:r>
      <w:r w:rsidRPr="009113CA">
        <w:rPr>
          <w:rStyle w:val="aff6"/>
          <w:rtl/>
        </w:rPr>
        <w:instrText xml:space="preserve"> </w:instrText>
      </w:r>
      <w:r w:rsidRPr="009113CA">
        <w:rPr>
          <w:rStyle w:val="aff6"/>
          <w:rFonts w:hint="cs"/>
        </w:rPr>
        <w:instrText>REF</w:instrText>
      </w:r>
      <w:r w:rsidRPr="009113CA">
        <w:rPr>
          <w:rStyle w:val="aff6"/>
          <w:rFonts w:hint="cs"/>
          <w:rtl/>
        </w:rPr>
        <w:instrText xml:space="preserve"> _</w:instrText>
      </w:r>
      <w:r w:rsidRPr="009113CA">
        <w:rPr>
          <w:rStyle w:val="aff6"/>
          <w:rFonts w:hint="cs"/>
        </w:rPr>
        <w:instrText>Ref56008649 \r \h</w:instrText>
      </w:r>
      <w:r w:rsidRPr="009113CA">
        <w:rPr>
          <w:rStyle w:val="aff6"/>
          <w:rtl/>
        </w:rPr>
        <w:instrText xml:space="preserve"> </w:instrText>
      </w:r>
      <w:r w:rsidRPr="009113CA">
        <w:rPr>
          <w:rStyle w:val="aff6"/>
          <w:rtl/>
        </w:rPr>
      </w:r>
      <w:r w:rsidRPr="009113CA">
        <w:rPr>
          <w:rStyle w:val="aff6"/>
          <w:rtl/>
        </w:rPr>
        <w:fldChar w:fldCharType="separate"/>
      </w:r>
      <w:r w:rsidR="00265073">
        <w:rPr>
          <w:rStyle w:val="aff6"/>
          <w:cs/>
        </w:rPr>
        <w:t>‎</w:t>
      </w:r>
      <w:r w:rsidR="00265073">
        <w:rPr>
          <w:rStyle w:val="aff6"/>
          <w:rtl/>
        </w:rPr>
        <w:t>פ)</w:t>
      </w:r>
      <w:r w:rsidRPr="009113CA">
        <w:rPr>
          <w:rStyle w:val="aff6"/>
          <w:rtl/>
        </w:rPr>
        <w:fldChar w:fldCharType="end"/>
      </w:r>
      <w:r w:rsidRPr="009113CA">
        <w:rPr>
          <w:rStyle w:val="afb"/>
          <w:rFonts w:hint="cs"/>
          <w:rtl/>
        </w:rPr>
        <w:t xml:space="preserve"> בדברי </w:t>
      </w:r>
      <w:r w:rsidRPr="0082402E">
        <w:rPr>
          <w:rStyle w:val="affa"/>
          <w:rFonts w:hint="cs"/>
          <w:rtl/>
        </w:rPr>
        <w:t>הרמב"ן</w:t>
      </w:r>
      <w:r w:rsidRPr="009113CA">
        <w:rPr>
          <w:rStyle w:val="afb"/>
          <w:rFonts w:hint="cs"/>
          <w:rtl/>
        </w:rPr>
        <w:t>]</w:t>
      </w:r>
      <w:r>
        <w:rPr>
          <w:rStyle w:val="afb"/>
          <w:rFonts w:hint="cs"/>
          <w:rtl/>
        </w:rPr>
        <w:t>.</w:t>
      </w:r>
    </w:p>
    <w:p w:rsidR="00F163D7" w:rsidRDefault="00F163D7" w:rsidP="00F163D7">
      <w:pPr>
        <w:pStyle w:val="afe"/>
        <w:rPr>
          <w:rtl/>
        </w:rPr>
      </w:pPr>
      <w:bookmarkStart w:id="4649" w:name="_Toc55927896"/>
      <w:bookmarkStart w:id="4650" w:name="_Toc55946622"/>
      <w:bookmarkStart w:id="4651" w:name="_Toc55991962"/>
      <w:bookmarkStart w:id="4652" w:name="_Toc56030529"/>
      <w:bookmarkStart w:id="4653" w:name="_Toc56032719"/>
      <w:bookmarkStart w:id="4654" w:name="_Toc55508573"/>
      <w:bookmarkStart w:id="4655" w:name="_Toc55569224"/>
      <w:bookmarkStart w:id="4656" w:name="_Toc55718335"/>
      <w:bookmarkStart w:id="4657" w:name="_Toc55739931"/>
      <w:bookmarkStart w:id="4658" w:name="_Toc55839481"/>
      <w:r>
        <w:rPr>
          <w:rFonts w:hint="cs"/>
          <w:rtl/>
        </w:rPr>
        <w:t>בי' הגרנ"פ בריטב"א דהראיה היא מדאו'</w:t>
      </w:r>
      <w:bookmarkEnd w:id="4649"/>
      <w:bookmarkEnd w:id="4650"/>
      <w:bookmarkEnd w:id="4651"/>
      <w:bookmarkEnd w:id="4652"/>
      <w:bookmarkEnd w:id="4653"/>
    </w:p>
    <w:p w:rsidR="00F163D7" w:rsidRDefault="00F163D7" w:rsidP="00F163D7">
      <w:pPr>
        <w:pStyle w:val="1"/>
        <w:rPr>
          <w:rtl/>
        </w:rPr>
      </w:pPr>
      <w:bookmarkStart w:id="4659" w:name="_Toc55927897"/>
      <w:bookmarkStart w:id="4660" w:name="_Toc55946623"/>
      <w:bookmarkStart w:id="4661" w:name="_Toc55991963"/>
      <w:bookmarkStart w:id="4662" w:name="_Toc56030530"/>
      <w:bookmarkStart w:id="4663" w:name="_Toc56032720"/>
      <w:r>
        <w:rPr>
          <w:rFonts w:hint="cs"/>
          <w:rtl/>
        </w:rPr>
        <w:t>ביאור הגרנ"פ בריטב"א</w:t>
      </w:r>
      <w:bookmarkEnd w:id="4654"/>
      <w:bookmarkEnd w:id="4655"/>
      <w:bookmarkEnd w:id="4656"/>
      <w:bookmarkEnd w:id="4657"/>
      <w:bookmarkEnd w:id="4658"/>
      <w:bookmarkEnd w:id="4659"/>
      <w:bookmarkEnd w:id="4660"/>
      <w:bookmarkEnd w:id="4661"/>
      <w:bookmarkEnd w:id="4662"/>
      <w:r>
        <w:rPr>
          <w:rFonts w:hint="cs"/>
          <w:rtl/>
        </w:rPr>
        <w:t xml:space="preserve"> דבחזקה יש ראיה דמהני מדאו'</w:t>
      </w:r>
      <w:bookmarkEnd w:id="4663"/>
    </w:p>
    <w:p w:rsidR="00F163D7" w:rsidRDefault="00F163D7" w:rsidP="00F163D7">
      <w:pPr>
        <w:pStyle w:val="a3"/>
        <w:rPr>
          <w:rtl/>
        </w:rPr>
      </w:pPr>
      <w:bookmarkStart w:id="4664" w:name="_Toc56030531"/>
      <w:bookmarkStart w:id="4665" w:name="_Toc56032721"/>
      <w:r>
        <w:rPr>
          <w:rFonts w:hint="cs"/>
          <w:rtl/>
        </w:rPr>
        <w:t>ביאור הגרנ"פ בריטב"א דחזקת ג"ש היא ראיה מדאו' ולכן דמי לתפיסה במטלטלין</w:t>
      </w:r>
      <w:bookmarkEnd w:id="4664"/>
      <w:bookmarkEnd w:id="4665"/>
    </w:p>
    <w:p w:rsidR="00F163D7" w:rsidRPr="00E97AAE" w:rsidRDefault="00F163D7" w:rsidP="007E4E81">
      <w:pPr>
        <w:pStyle w:val="a0"/>
        <w:rPr>
          <w:rtl/>
        </w:rPr>
      </w:pPr>
      <w:bookmarkStart w:id="4666" w:name="_Ref55473565"/>
      <w:bookmarkStart w:id="4667" w:name="_Ref55496093"/>
      <w:r w:rsidRPr="006A0A42">
        <w:rPr>
          <w:rFonts w:hint="cs"/>
          <w:rtl/>
        </w:rPr>
        <w:t xml:space="preserve">במ"ש </w:t>
      </w:r>
      <w:r w:rsidRPr="006A0A42">
        <w:rPr>
          <w:rStyle w:val="af9"/>
          <w:rFonts w:hint="cs"/>
          <w:rtl/>
        </w:rPr>
        <w:t>הריטב"א</w:t>
      </w:r>
      <w:r w:rsidRPr="00E442AC">
        <w:rPr>
          <w:rStyle w:val="af7"/>
          <w:rFonts w:eastAsia="Guttman Hodes" w:hint="cs"/>
          <w:rtl/>
        </w:rPr>
        <w:t xml:space="preserve"> (עי' אות </w:t>
      </w:r>
      <w:r w:rsidRPr="00E442AC">
        <w:rPr>
          <w:rStyle w:val="af7"/>
          <w:rFonts w:eastAsia="Guttman Hodes"/>
          <w:rtl/>
        </w:rPr>
        <w:fldChar w:fldCharType="begin"/>
      </w:r>
      <w:r w:rsidRPr="00E442AC">
        <w:rPr>
          <w:rStyle w:val="af7"/>
          <w:rFonts w:eastAsia="Guttman Hodes"/>
          <w:rtl/>
        </w:rPr>
        <w:instrText xml:space="preserve"> </w:instrText>
      </w:r>
      <w:r w:rsidRPr="00E442AC">
        <w:rPr>
          <w:rStyle w:val="af7"/>
          <w:rFonts w:eastAsia="Guttman Hodes" w:hint="cs"/>
        </w:rPr>
        <w:instrText>REF</w:instrText>
      </w:r>
      <w:r w:rsidRPr="00E442AC">
        <w:rPr>
          <w:rStyle w:val="af7"/>
          <w:rFonts w:eastAsia="Guttman Hodes" w:hint="cs"/>
          <w:rtl/>
        </w:rPr>
        <w:instrText xml:space="preserve"> _</w:instrText>
      </w:r>
      <w:r w:rsidRPr="00E442AC">
        <w:rPr>
          <w:rStyle w:val="af7"/>
          <w:rFonts w:eastAsia="Guttman Hodes" w:hint="cs"/>
        </w:rPr>
        <w:instrText>Ref55473554 \r \h</w:instrText>
      </w:r>
      <w:r w:rsidRPr="00E442AC">
        <w:rPr>
          <w:rStyle w:val="af7"/>
          <w:rFonts w:eastAsia="Guttman Hodes"/>
          <w:rtl/>
        </w:rPr>
        <w:instrText xml:space="preserve">  \* </w:instrText>
      </w:r>
      <w:r w:rsidRPr="00E442AC">
        <w:rPr>
          <w:rStyle w:val="af7"/>
          <w:rFonts w:eastAsia="Guttman Hodes"/>
        </w:rPr>
        <w:instrText>MERGEFORMAT</w:instrText>
      </w:r>
      <w:r w:rsidRPr="00E442AC">
        <w:rPr>
          <w:rStyle w:val="af7"/>
          <w:rFonts w:eastAsia="Guttman Hodes"/>
          <w:rtl/>
        </w:rPr>
        <w:instrText xml:space="preserve"> </w:instrText>
      </w:r>
      <w:r w:rsidRPr="00E442AC">
        <w:rPr>
          <w:rStyle w:val="af7"/>
          <w:rFonts w:eastAsia="Guttman Hodes"/>
          <w:rtl/>
        </w:rPr>
      </w:r>
      <w:r w:rsidRPr="00E442AC">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E442AC">
        <w:rPr>
          <w:rStyle w:val="af7"/>
          <w:rFonts w:eastAsia="Guttman Hodes"/>
          <w:rtl/>
        </w:rPr>
        <w:fldChar w:fldCharType="end"/>
      </w:r>
      <w:r w:rsidRPr="00E442AC">
        <w:rPr>
          <w:rStyle w:val="af7"/>
          <w:rFonts w:eastAsia="Guttman Hodes" w:hint="cs"/>
          <w:rtl/>
        </w:rPr>
        <w:t xml:space="preserve"> </w:t>
      </w:r>
      <w:r>
        <w:rPr>
          <w:rFonts w:hint="cs"/>
          <w:rtl/>
        </w:rPr>
        <w:t>דמדינא הראיה</w:t>
      </w:r>
      <w:r w:rsidRPr="006A0A42">
        <w:rPr>
          <w:rFonts w:hint="cs"/>
          <w:rtl/>
        </w:rPr>
        <w:t xml:space="preserve"> </w:t>
      </w:r>
      <w:r>
        <w:rPr>
          <w:rFonts w:hint="cs"/>
          <w:rtl/>
        </w:rPr>
        <w:t>ב</w:t>
      </w:r>
      <w:r w:rsidRPr="006A0A42">
        <w:rPr>
          <w:rFonts w:hint="cs"/>
          <w:rtl/>
        </w:rPr>
        <w:t xml:space="preserve">אכילה אחת </w:t>
      </w:r>
      <w:r>
        <w:rPr>
          <w:rFonts w:hint="cs"/>
          <w:rtl/>
        </w:rPr>
        <w:t>בלא מחאה</w:t>
      </w:r>
      <w:r w:rsidRPr="006A0A42">
        <w:rPr>
          <w:rFonts w:hint="cs"/>
          <w:rtl/>
        </w:rPr>
        <w:t xml:space="preserve">, כתפיסה במטלטלין, אלא דבקרקע יש ריעותא בטענתו דאין לו שטר, ולאחר ג"ש שאין </w:t>
      </w:r>
      <w:r>
        <w:rPr>
          <w:rFonts w:hint="cs"/>
          <w:rtl/>
        </w:rPr>
        <w:t>ריעותא</w:t>
      </w:r>
      <w:r w:rsidRPr="006A0A42">
        <w:rPr>
          <w:rFonts w:hint="cs"/>
          <w:rtl/>
        </w:rPr>
        <w:t xml:space="preserve"> מתקיימת חזקתו, כתב </w:t>
      </w:r>
      <w:r w:rsidRPr="006E03BB">
        <w:rPr>
          <w:rStyle w:val="af9"/>
          <w:rFonts w:hint="cs"/>
          <w:rtl/>
        </w:rPr>
        <w:t>בחי' רבי נחום</w:t>
      </w:r>
      <w:r w:rsidRPr="006A0A42">
        <w:rPr>
          <w:rFonts w:hint="cs"/>
          <w:rtl/>
        </w:rPr>
        <w:t xml:space="preserve"> </w:t>
      </w:r>
      <w:r w:rsidRPr="006E03BB">
        <w:rPr>
          <w:rStyle w:val="af7"/>
          <w:rFonts w:eastAsia="Guttman Hodes" w:hint="cs"/>
          <w:rtl/>
        </w:rPr>
        <w:t>(או' כ"ד ד"ה עכ"פ)</w:t>
      </w:r>
      <w:r w:rsidRPr="006A0A42">
        <w:rPr>
          <w:rFonts w:hint="cs"/>
          <w:rtl/>
        </w:rPr>
        <w:t xml:space="preserve"> דמהא דדימה </w:t>
      </w:r>
      <w:r w:rsidRPr="006E03BB">
        <w:rPr>
          <w:rStyle w:val="af9"/>
          <w:rFonts w:hint="cs"/>
          <w:rtl/>
        </w:rPr>
        <w:t>הריטב"א</w:t>
      </w:r>
      <w:r w:rsidRPr="006A0A42">
        <w:rPr>
          <w:rFonts w:hint="cs"/>
          <w:rtl/>
        </w:rPr>
        <w:t xml:space="preserve"> את חזקת קרקעות לתפיסת מטלטלין</w:t>
      </w:r>
      <w:r w:rsidRPr="00E97AAE">
        <w:rPr>
          <w:rStyle w:val="af1"/>
          <w:rtl/>
        </w:rPr>
        <w:footnoteReference w:id="23"/>
      </w:r>
      <w:r w:rsidRPr="006A0A42">
        <w:rPr>
          <w:rFonts w:hint="cs"/>
          <w:rtl/>
        </w:rPr>
        <w:t xml:space="preserve">, מוכח דס"ל </w:t>
      </w:r>
      <w:r w:rsidRPr="006E03BB">
        <w:rPr>
          <w:rStyle w:val="af9"/>
          <w:rFonts w:hint="cs"/>
          <w:rtl/>
        </w:rPr>
        <w:t>להריטב"א</w:t>
      </w:r>
      <w:r>
        <w:rPr>
          <w:rFonts w:hint="cs"/>
          <w:rtl/>
        </w:rPr>
        <w:t xml:space="preserve"> </w:t>
      </w:r>
      <w:r w:rsidRPr="006A0A42">
        <w:rPr>
          <w:rFonts w:hint="cs"/>
          <w:rtl/>
        </w:rPr>
        <w:t>דחזקת ג"ש מהני מדאו', ואינה תקנת חכמים</w:t>
      </w:r>
      <w:r>
        <w:rPr>
          <w:rFonts w:hint="cs"/>
          <w:rtl/>
        </w:rPr>
        <w:t xml:space="preserve">, וכדכתב </w:t>
      </w:r>
      <w:r w:rsidRPr="00D02BCB">
        <w:rPr>
          <w:rStyle w:val="af9"/>
          <w:rFonts w:hint="cs"/>
          <w:rtl/>
        </w:rPr>
        <w:t xml:space="preserve">הקצוה"ח </w:t>
      </w:r>
      <w:r w:rsidRPr="00D02BCB">
        <w:rPr>
          <w:rStyle w:val="af7"/>
          <w:rFonts w:eastAsia="Guttman Hodes" w:hint="cs"/>
          <w:rtl/>
        </w:rPr>
        <w:t xml:space="preserve">(עי' אות </w:t>
      </w:r>
      <w:r w:rsidRPr="00D02BCB">
        <w:rPr>
          <w:rStyle w:val="af7"/>
          <w:rFonts w:eastAsia="Guttman Hodes"/>
          <w:rtl/>
        </w:rPr>
        <w:fldChar w:fldCharType="begin"/>
      </w:r>
      <w:r w:rsidRPr="00D02BCB">
        <w:rPr>
          <w:rStyle w:val="af7"/>
          <w:rFonts w:eastAsia="Guttman Hodes"/>
          <w:rtl/>
        </w:rPr>
        <w:instrText xml:space="preserve"> </w:instrText>
      </w:r>
      <w:r w:rsidRPr="00D02BCB">
        <w:rPr>
          <w:rStyle w:val="af7"/>
          <w:rFonts w:eastAsia="Guttman Hodes" w:hint="cs"/>
        </w:rPr>
        <w:instrText>REF</w:instrText>
      </w:r>
      <w:r w:rsidRPr="00D02BCB">
        <w:rPr>
          <w:rStyle w:val="af7"/>
          <w:rFonts w:eastAsia="Guttman Hodes" w:hint="cs"/>
          <w:rtl/>
        </w:rPr>
        <w:instrText xml:space="preserve"> _</w:instrText>
      </w:r>
      <w:r w:rsidRPr="00D02BCB">
        <w:rPr>
          <w:rStyle w:val="af7"/>
          <w:rFonts w:eastAsia="Guttman Hodes" w:hint="cs"/>
        </w:rPr>
        <w:instrText>Ref53498137 \r \h</w:instrText>
      </w:r>
      <w:r w:rsidRPr="00D02BCB">
        <w:rPr>
          <w:rStyle w:val="af7"/>
          <w:rFonts w:eastAsia="Guttman Hodes"/>
          <w:rtl/>
        </w:rPr>
        <w:instrText xml:space="preserve">  \* </w:instrText>
      </w:r>
      <w:r w:rsidRPr="00D02BCB">
        <w:rPr>
          <w:rStyle w:val="af7"/>
          <w:rFonts w:eastAsia="Guttman Hodes"/>
        </w:rPr>
        <w:instrText>MERGEFORMAT</w:instrText>
      </w:r>
      <w:r w:rsidRPr="00D02BCB">
        <w:rPr>
          <w:rStyle w:val="af7"/>
          <w:rFonts w:eastAsia="Guttman Hodes"/>
          <w:rtl/>
        </w:rPr>
        <w:instrText xml:space="preserve"> </w:instrText>
      </w:r>
      <w:r w:rsidRPr="00D02BCB">
        <w:rPr>
          <w:rStyle w:val="af7"/>
          <w:rFonts w:eastAsia="Guttman Hodes"/>
          <w:rtl/>
        </w:rPr>
      </w:r>
      <w:r w:rsidRPr="00D02BCB">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D02BCB">
        <w:rPr>
          <w:rStyle w:val="af7"/>
          <w:rFonts w:eastAsia="Guttman Hodes"/>
          <w:rtl/>
        </w:rPr>
        <w:fldChar w:fldCharType="end"/>
      </w:r>
      <w:r w:rsidRPr="00D02BCB">
        <w:rPr>
          <w:rFonts w:hint="cs"/>
          <w:rtl/>
        </w:rPr>
        <w:t xml:space="preserve"> </w:t>
      </w:r>
      <w:r>
        <w:rPr>
          <w:rFonts w:hint="cs"/>
          <w:rtl/>
        </w:rPr>
        <w:t xml:space="preserve">בדעת </w:t>
      </w:r>
      <w:r w:rsidRPr="006E03BB">
        <w:rPr>
          <w:rStyle w:val="af9"/>
          <w:rFonts w:hint="cs"/>
          <w:rtl/>
        </w:rPr>
        <w:t>הרמב"ן,</w:t>
      </w:r>
      <w:r>
        <w:rPr>
          <w:rFonts w:hint="cs"/>
          <w:rtl/>
        </w:rPr>
        <w:t xml:space="preserve"> אך כתב </w:t>
      </w:r>
      <w:r w:rsidRPr="006E03BB">
        <w:rPr>
          <w:rStyle w:val="af9"/>
          <w:rFonts w:hint="cs"/>
          <w:rtl/>
        </w:rPr>
        <w:t>בחי' רבי נחום</w:t>
      </w:r>
      <w:r>
        <w:rPr>
          <w:rFonts w:hint="cs"/>
          <w:rtl/>
        </w:rPr>
        <w:t xml:space="preserve"> </w:t>
      </w:r>
      <w:r w:rsidRPr="006E03BB">
        <w:rPr>
          <w:rStyle w:val="af7"/>
          <w:rFonts w:eastAsia="Guttman Hodes" w:hint="cs"/>
          <w:rtl/>
        </w:rPr>
        <w:t xml:space="preserve">(עי' אות </w:t>
      </w:r>
      <w:r w:rsidRPr="006E03BB">
        <w:rPr>
          <w:rStyle w:val="af7"/>
          <w:rFonts w:eastAsia="Guttman Hodes"/>
          <w:rtl/>
        </w:rPr>
        <w:fldChar w:fldCharType="begin"/>
      </w:r>
      <w:r w:rsidRPr="006E03BB">
        <w:rPr>
          <w:rStyle w:val="af7"/>
          <w:rFonts w:eastAsia="Guttman Hodes"/>
          <w:rtl/>
        </w:rPr>
        <w:instrText xml:space="preserve"> </w:instrText>
      </w:r>
      <w:r w:rsidRPr="006E03BB">
        <w:rPr>
          <w:rStyle w:val="af7"/>
          <w:rFonts w:eastAsia="Guttman Hodes" w:hint="cs"/>
        </w:rPr>
        <w:instrText>REF</w:instrText>
      </w:r>
      <w:r w:rsidRPr="006E03BB">
        <w:rPr>
          <w:rStyle w:val="af7"/>
          <w:rFonts w:eastAsia="Guttman Hodes" w:hint="cs"/>
          <w:rtl/>
        </w:rPr>
        <w:instrText xml:space="preserve"> _</w:instrText>
      </w:r>
      <w:r w:rsidRPr="006E03BB">
        <w:rPr>
          <w:rStyle w:val="af7"/>
          <w:rFonts w:eastAsia="Guttman Hodes" w:hint="cs"/>
        </w:rPr>
        <w:instrText>Ref55496081 \r \h</w:instrText>
      </w:r>
      <w:r w:rsidRPr="006E03BB">
        <w:rPr>
          <w:rStyle w:val="af7"/>
          <w:rFonts w:eastAsia="Guttman Hodes"/>
          <w:rtl/>
        </w:rPr>
        <w:instrText xml:space="preserve"> </w:instrText>
      </w:r>
      <w:r w:rsidRPr="006E03BB">
        <w:rPr>
          <w:rStyle w:val="af7"/>
          <w:rFonts w:eastAsia="Guttman Hodes"/>
          <w:rtl/>
        </w:rPr>
      </w:r>
      <w:r w:rsidRPr="006E03BB">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6E03BB">
        <w:rPr>
          <w:rStyle w:val="af7"/>
          <w:rFonts w:eastAsia="Guttman Hodes"/>
          <w:rtl/>
        </w:rPr>
        <w:fldChar w:fldCharType="end"/>
      </w:r>
      <w:r>
        <w:rPr>
          <w:rFonts w:hint="cs"/>
          <w:rtl/>
        </w:rPr>
        <w:t xml:space="preserve"> דמדברי </w:t>
      </w:r>
      <w:r w:rsidRPr="006E03BB">
        <w:rPr>
          <w:rStyle w:val="af9"/>
          <w:rFonts w:hint="cs"/>
          <w:rtl/>
        </w:rPr>
        <w:t>הרמב"ן לקמן</w:t>
      </w:r>
      <w:r>
        <w:rPr>
          <w:rFonts w:hint="cs"/>
          <w:rtl/>
        </w:rPr>
        <w:t xml:space="preserve"> </w:t>
      </w:r>
      <w:r w:rsidRPr="006E03BB">
        <w:rPr>
          <w:rStyle w:val="af7"/>
          <w:rFonts w:eastAsia="Guttman Hodes" w:hint="cs"/>
          <w:rtl/>
        </w:rPr>
        <w:t xml:space="preserve">(עי' אות </w:t>
      </w:r>
      <w:r w:rsidRPr="006E03BB">
        <w:rPr>
          <w:rStyle w:val="af7"/>
          <w:rFonts w:eastAsia="Guttman Hodes"/>
          <w:rtl/>
        </w:rPr>
        <w:fldChar w:fldCharType="begin"/>
      </w:r>
      <w:r w:rsidRPr="006E03BB">
        <w:rPr>
          <w:rStyle w:val="af7"/>
          <w:rFonts w:eastAsia="Guttman Hodes"/>
          <w:rtl/>
        </w:rPr>
        <w:instrText xml:space="preserve"> </w:instrText>
      </w:r>
      <w:r w:rsidRPr="006E03BB">
        <w:rPr>
          <w:rStyle w:val="af7"/>
          <w:rFonts w:eastAsia="Guttman Hodes" w:hint="cs"/>
        </w:rPr>
        <w:instrText>REF</w:instrText>
      </w:r>
      <w:r w:rsidRPr="006E03BB">
        <w:rPr>
          <w:rStyle w:val="af7"/>
          <w:rFonts w:eastAsia="Guttman Hodes" w:hint="cs"/>
          <w:rtl/>
        </w:rPr>
        <w:instrText xml:space="preserve"> _</w:instrText>
      </w:r>
      <w:r w:rsidRPr="006E03BB">
        <w:rPr>
          <w:rStyle w:val="af7"/>
          <w:rFonts w:eastAsia="Guttman Hodes" w:hint="cs"/>
        </w:rPr>
        <w:instrText>Ref55496115 \r \h</w:instrText>
      </w:r>
      <w:r w:rsidRPr="006E03BB">
        <w:rPr>
          <w:rStyle w:val="af7"/>
          <w:rFonts w:eastAsia="Guttman Hodes"/>
          <w:rtl/>
        </w:rPr>
        <w:instrText xml:space="preserve"> </w:instrText>
      </w:r>
      <w:r w:rsidRPr="006E03BB">
        <w:rPr>
          <w:rStyle w:val="af7"/>
          <w:rFonts w:eastAsia="Guttman Hodes"/>
          <w:rtl/>
        </w:rPr>
      </w:r>
      <w:r w:rsidRPr="006E03BB">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6E03BB">
        <w:rPr>
          <w:rStyle w:val="af7"/>
          <w:rFonts w:eastAsia="Guttman Hodes"/>
          <w:rtl/>
        </w:rPr>
        <w:fldChar w:fldCharType="end"/>
      </w:r>
      <w:r>
        <w:rPr>
          <w:rFonts w:hint="cs"/>
          <w:rtl/>
        </w:rPr>
        <w:t xml:space="preserve"> מוכח דהיא תקנת חכמים, </w:t>
      </w:r>
      <w:r w:rsidRPr="00E97AAE">
        <w:rPr>
          <w:rFonts w:hint="cs"/>
          <w:rtl/>
        </w:rPr>
        <w:t xml:space="preserve">ודלא </w:t>
      </w:r>
      <w:r w:rsidRPr="00E97AAE">
        <w:rPr>
          <w:rStyle w:val="af9"/>
          <w:rFonts w:hint="cs"/>
          <w:rtl/>
        </w:rPr>
        <w:t>כהריטב"א</w:t>
      </w:r>
      <w:r w:rsidRPr="00E97AAE">
        <w:rPr>
          <w:rFonts w:hint="cs"/>
          <w:rtl/>
        </w:rPr>
        <w:t>.</w:t>
      </w:r>
      <w:bookmarkEnd w:id="4666"/>
      <w:bookmarkEnd w:id="4667"/>
    </w:p>
    <w:p w:rsidR="00F163D7" w:rsidRDefault="00F163D7" w:rsidP="00F163D7">
      <w:pPr>
        <w:pStyle w:val="afe"/>
        <w:rPr>
          <w:rtl/>
        </w:rPr>
      </w:pPr>
      <w:bookmarkStart w:id="4668" w:name="_Toc56030532"/>
      <w:bookmarkStart w:id="4669" w:name="_Toc56032722"/>
      <w:bookmarkStart w:id="4670" w:name="_Toc55739945"/>
      <w:bookmarkStart w:id="4671" w:name="_Toc55839497"/>
      <w:bookmarkStart w:id="4672" w:name="_Toc55839505"/>
      <w:bookmarkEnd w:id="4442"/>
      <w:bookmarkEnd w:id="4443"/>
      <w:bookmarkEnd w:id="4444"/>
      <w:bookmarkEnd w:id="4445"/>
      <w:bookmarkEnd w:id="4446"/>
      <w:r>
        <w:rPr>
          <w:rFonts w:hint="cs"/>
          <w:rtl/>
        </w:rPr>
        <w:t>בביאור גדר ההוכחה מהחזקה להרמב"ן</w:t>
      </w:r>
      <w:bookmarkEnd w:id="4668"/>
      <w:bookmarkEnd w:id="4669"/>
    </w:p>
    <w:p w:rsidR="00F163D7" w:rsidRDefault="00F163D7" w:rsidP="00F163D7">
      <w:pPr>
        <w:pStyle w:val="1"/>
        <w:rPr>
          <w:rtl/>
        </w:rPr>
      </w:pPr>
      <w:bookmarkStart w:id="4673" w:name="_Toc55927899"/>
      <w:bookmarkStart w:id="4674" w:name="_Toc55946625"/>
      <w:bookmarkStart w:id="4675" w:name="_Toc55991965"/>
      <w:bookmarkStart w:id="4676" w:name="_Toc56030533"/>
      <w:bookmarkStart w:id="4677" w:name="_Toc56032723"/>
      <w:r>
        <w:rPr>
          <w:rFonts w:hint="cs"/>
          <w:rtl/>
        </w:rPr>
        <w:t>קושית הגרש"ר והגרנ"פ והאבי עזרי</w:t>
      </w:r>
      <w:bookmarkEnd w:id="4673"/>
      <w:bookmarkEnd w:id="4674"/>
      <w:bookmarkEnd w:id="4675"/>
      <w:r>
        <w:rPr>
          <w:rFonts w:hint="cs"/>
          <w:rtl/>
        </w:rPr>
        <w:t xml:space="preserve"> דא"צ עדות על חזקת ג"ש</w:t>
      </w:r>
      <w:bookmarkEnd w:id="4676"/>
      <w:bookmarkEnd w:id="4677"/>
    </w:p>
    <w:p w:rsidR="00F163D7" w:rsidRPr="00732709" w:rsidRDefault="00F163D7" w:rsidP="00F163D7">
      <w:pPr>
        <w:pStyle w:val="a3"/>
        <w:rPr>
          <w:rtl/>
        </w:rPr>
      </w:pPr>
      <w:bookmarkStart w:id="4678" w:name="_Toc56030534"/>
      <w:bookmarkStart w:id="4679" w:name="_Toc56032724"/>
      <w:r>
        <w:rPr>
          <w:rFonts w:hint="cs"/>
          <w:rtl/>
        </w:rPr>
        <w:t>קושית הגרש"ר על הרמב"ן דסגי בעדות חזקת יום אחד עם טענת ג"ש וא"צ עדות ג"ש שלימות</w:t>
      </w:r>
      <w:bookmarkEnd w:id="4678"/>
      <w:bookmarkEnd w:id="4679"/>
    </w:p>
    <w:p w:rsidR="00F163D7" w:rsidRDefault="00F163D7" w:rsidP="007E4E81">
      <w:pPr>
        <w:pStyle w:val="a0"/>
        <w:rPr>
          <w:rtl/>
        </w:rPr>
      </w:pPr>
      <w:bookmarkStart w:id="4680" w:name="_Ref56013661"/>
      <w:bookmarkStart w:id="4681" w:name="_Ref56032073"/>
      <w:r>
        <w:rPr>
          <w:rtl/>
        </w:rPr>
        <w:t xml:space="preserve">במ"ש </w:t>
      </w:r>
      <w:r>
        <w:rPr>
          <w:rStyle w:val="af9"/>
          <w:rtl/>
        </w:rPr>
        <w:t xml:space="preserve">הרמב"ן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 xml:space="preserve">דטעם הוא כיון שהמערער שותק למחזיק, יש רגלים לדבר דמכר לו, הקשו </w:t>
      </w:r>
      <w:r w:rsidRPr="00272161">
        <w:rPr>
          <w:rStyle w:val="af9"/>
          <w:rFonts w:hint="cs"/>
          <w:rtl/>
        </w:rPr>
        <w:t xml:space="preserve">בשיעורי רבי שמואל </w:t>
      </w:r>
      <w:r w:rsidRPr="00272161">
        <w:rPr>
          <w:rStyle w:val="af7"/>
          <w:rFonts w:eastAsia="Guttman Hodes" w:hint="cs"/>
          <w:rtl/>
        </w:rPr>
        <w:t>(</w:t>
      </w:r>
      <w:r>
        <w:rPr>
          <w:rStyle w:val="af7"/>
          <w:rFonts w:eastAsia="Guttman Hodes" w:hint="cs"/>
          <w:rtl/>
        </w:rPr>
        <w:t xml:space="preserve">כח. </w:t>
      </w:r>
      <w:r w:rsidRPr="00272161">
        <w:rPr>
          <w:rStyle w:val="af7"/>
          <w:rFonts w:eastAsia="Guttman Hodes" w:hint="cs"/>
          <w:rtl/>
        </w:rPr>
        <w:t>או' ב' ד"ה והנה לדעת)</w:t>
      </w:r>
      <w:r>
        <w:rPr>
          <w:rFonts w:hint="cs"/>
          <w:rtl/>
        </w:rPr>
        <w:t xml:space="preserve"> דאי שתיקת המערער היא ראיה, א"כ אמאי מבואר בגמ' </w:t>
      </w:r>
      <w:r w:rsidRPr="00272161">
        <w:rPr>
          <w:rStyle w:val="af7"/>
          <w:rFonts w:eastAsia="Guttman Hodes" w:hint="cs"/>
          <w:rtl/>
        </w:rPr>
        <w:t>(כט.)</w:t>
      </w:r>
      <w:r>
        <w:rPr>
          <w:rFonts w:hint="cs"/>
          <w:rtl/>
        </w:rPr>
        <w:t xml:space="preserve"> שצריך אכילת ג"ש שלימות, הא כל שיש לו עדים שישב בקרקע יום אחד, ושתק לו המערער, יש רגלים לדבר שמכר לו, ואחר שעברו ג"ש שאין עליו טענת אחוי שטרך, תועיל החזקה, אף שלא אכל ג"ש שלימות, ועי' במה שביאר </w:t>
      </w:r>
      <w:r w:rsidRPr="00272161">
        <w:rPr>
          <w:rStyle w:val="af9"/>
          <w:rFonts w:hint="cs"/>
          <w:rtl/>
        </w:rPr>
        <w:t>בשיעורי רבי שמואל</w:t>
      </w:r>
      <w:r>
        <w:rPr>
          <w:rFonts w:hint="cs"/>
          <w:rtl/>
        </w:rPr>
        <w:t xml:space="preserve"> </w:t>
      </w:r>
      <w:r w:rsidRPr="00435D0E">
        <w:rPr>
          <w:rStyle w:val="af7"/>
          <w:rFonts w:eastAsia="Guttman Hodes" w:hint="cs"/>
          <w:rtl/>
        </w:rPr>
        <w:t xml:space="preserve">(עי' אות </w:t>
      </w:r>
      <w:r w:rsidRPr="00435D0E">
        <w:rPr>
          <w:rStyle w:val="af7"/>
          <w:rFonts w:eastAsia="Guttman Hodes"/>
          <w:rtl/>
        </w:rPr>
        <w:fldChar w:fldCharType="begin"/>
      </w:r>
      <w:r w:rsidRPr="00435D0E">
        <w:rPr>
          <w:rStyle w:val="af7"/>
          <w:rFonts w:eastAsia="Guttman Hodes"/>
          <w:rtl/>
        </w:rPr>
        <w:instrText xml:space="preserve"> </w:instrText>
      </w:r>
      <w:r w:rsidRPr="00435D0E">
        <w:rPr>
          <w:rStyle w:val="af7"/>
          <w:rFonts w:eastAsia="Guttman Hodes" w:hint="cs"/>
        </w:rPr>
        <w:instrText>REF</w:instrText>
      </w:r>
      <w:r w:rsidRPr="00435D0E">
        <w:rPr>
          <w:rStyle w:val="af7"/>
          <w:rFonts w:eastAsia="Guttman Hodes" w:hint="cs"/>
          <w:rtl/>
        </w:rPr>
        <w:instrText xml:space="preserve"> _</w:instrText>
      </w:r>
      <w:r w:rsidRPr="00435D0E">
        <w:rPr>
          <w:rStyle w:val="af7"/>
          <w:rFonts w:eastAsia="Guttman Hodes" w:hint="cs"/>
        </w:rPr>
        <w:instrText>Ref56013955 \r \h</w:instrText>
      </w:r>
      <w:r w:rsidRPr="00435D0E">
        <w:rPr>
          <w:rStyle w:val="af7"/>
          <w:rFonts w:eastAsia="Guttman Hodes"/>
          <w:rtl/>
        </w:rPr>
        <w:instrText xml:space="preserve"> </w:instrText>
      </w:r>
      <w:r w:rsidRPr="00435D0E">
        <w:rPr>
          <w:rStyle w:val="af7"/>
          <w:rFonts w:eastAsia="Guttman Hodes"/>
          <w:rtl/>
        </w:rPr>
      </w:r>
      <w:r w:rsidRPr="00435D0E">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sidRPr="00435D0E">
        <w:rPr>
          <w:rStyle w:val="af7"/>
          <w:rFonts w:eastAsia="Guttman Hodes"/>
          <w:rtl/>
        </w:rPr>
        <w:fldChar w:fldCharType="end"/>
      </w:r>
      <w:r>
        <w:rPr>
          <w:rFonts w:hint="cs"/>
          <w:rtl/>
        </w:rPr>
        <w:t xml:space="preserve"> בדעת </w:t>
      </w:r>
      <w:r w:rsidRPr="00435D0E">
        <w:rPr>
          <w:rStyle w:val="af9"/>
          <w:rFonts w:hint="cs"/>
          <w:rtl/>
        </w:rPr>
        <w:t>הרמב"ן</w:t>
      </w:r>
      <w:r>
        <w:rPr>
          <w:rFonts w:hint="cs"/>
          <w:rtl/>
        </w:rPr>
        <w:t xml:space="preserve">. </w:t>
      </w:r>
      <w:r w:rsidRPr="001217F1">
        <w:rPr>
          <w:rStyle w:val="afb"/>
          <w:rFonts w:hint="cs"/>
          <w:rtl/>
        </w:rPr>
        <w:t>[וכעי"ז הקשה</w:t>
      </w:r>
      <w:r w:rsidRPr="002B5969">
        <w:rPr>
          <w:rStyle w:val="afb"/>
          <w:rFonts w:hint="cs"/>
          <w:rtl/>
        </w:rPr>
        <w:t xml:space="preserve"> </w:t>
      </w:r>
      <w:r w:rsidRPr="002B5969">
        <w:rPr>
          <w:rStyle w:val="affa"/>
          <w:rFonts w:hint="cs"/>
          <w:rtl/>
        </w:rPr>
        <w:t>השער משפט</w:t>
      </w:r>
      <w:r w:rsidRPr="002B5969">
        <w:rPr>
          <w:rStyle w:val="afb"/>
          <w:rFonts w:hint="cs"/>
          <w:rtl/>
        </w:rPr>
        <w:t xml:space="preserve"> </w:t>
      </w:r>
      <w:r w:rsidRPr="002B5969">
        <w:rPr>
          <w:rStyle w:val="aff6"/>
          <w:rFonts w:hint="cs"/>
          <w:rtl/>
        </w:rPr>
        <w:t xml:space="preserve">(עי' אות </w:t>
      </w:r>
      <w:r w:rsidRPr="002B5969">
        <w:rPr>
          <w:rStyle w:val="aff6"/>
          <w:rtl/>
        </w:rPr>
        <w:fldChar w:fldCharType="begin"/>
      </w:r>
      <w:r w:rsidRPr="002B5969">
        <w:rPr>
          <w:rStyle w:val="aff6"/>
          <w:rtl/>
        </w:rPr>
        <w:instrText xml:space="preserve"> </w:instrText>
      </w:r>
      <w:r w:rsidRPr="002B5969">
        <w:rPr>
          <w:rStyle w:val="aff6"/>
          <w:rFonts w:hint="cs"/>
        </w:rPr>
        <w:instrText>REF</w:instrText>
      </w:r>
      <w:r w:rsidRPr="002B5969">
        <w:rPr>
          <w:rStyle w:val="aff6"/>
          <w:rFonts w:hint="cs"/>
          <w:rtl/>
        </w:rPr>
        <w:instrText xml:space="preserve"> _</w:instrText>
      </w:r>
      <w:r w:rsidRPr="002B5969">
        <w:rPr>
          <w:rStyle w:val="aff6"/>
          <w:rFonts w:hint="cs"/>
        </w:rPr>
        <w:instrText>Ref55748309 \r \h</w:instrText>
      </w:r>
      <w:r w:rsidRPr="002B5969">
        <w:rPr>
          <w:rStyle w:val="aff6"/>
          <w:rtl/>
        </w:rPr>
        <w:instrText xml:space="preserve"> </w:instrText>
      </w:r>
      <w:r w:rsidRPr="002B5969">
        <w:rPr>
          <w:rStyle w:val="aff6"/>
          <w:rtl/>
        </w:rPr>
      </w:r>
      <w:r w:rsidRPr="002B5969">
        <w:rPr>
          <w:rStyle w:val="aff6"/>
          <w:rtl/>
        </w:rPr>
        <w:fldChar w:fldCharType="separate"/>
      </w:r>
      <w:r w:rsidR="00265073">
        <w:rPr>
          <w:rStyle w:val="aff6"/>
          <w:cs/>
        </w:rPr>
        <w:t>‎</w:t>
      </w:r>
      <w:r w:rsidR="00265073">
        <w:rPr>
          <w:rStyle w:val="aff6"/>
          <w:rtl/>
        </w:rPr>
        <w:t>לז)</w:t>
      </w:r>
      <w:r w:rsidRPr="002B5969">
        <w:rPr>
          <w:rStyle w:val="aff6"/>
          <w:rtl/>
        </w:rPr>
        <w:fldChar w:fldCharType="end"/>
      </w:r>
      <w:r w:rsidRPr="001217F1">
        <w:rPr>
          <w:rStyle w:val="afb"/>
          <w:rFonts w:hint="cs"/>
          <w:rtl/>
        </w:rPr>
        <w:t>]</w:t>
      </w:r>
      <w:bookmarkEnd w:id="4680"/>
      <w:r>
        <w:rPr>
          <w:rStyle w:val="afb"/>
          <w:rFonts w:hint="cs"/>
          <w:rtl/>
        </w:rPr>
        <w:t>,</w:t>
      </w:r>
      <w:bookmarkEnd w:id="4681"/>
    </w:p>
    <w:p w:rsidR="00F163D7" w:rsidRPr="00DA0F87" w:rsidRDefault="00F163D7" w:rsidP="00F163D7">
      <w:pPr>
        <w:pStyle w:val="a3"/>
        <w:rPr>
          <w:rtl/>
        </w:rPr>
      </w:pPr>
      <w:bookmarkStart w:id="4682" w:name="_Toc56030535"/>
      <w:bookmarkStart w:id="4683" w:name="_Toc56032725"/>
      <w:r>
        <w:rPr>
          <w:rFonts w:hint="cs"/>
          <w:rtl/>
        </w:rPr>
        <w:t>קושית האבי עזרי והגרנ"פ דסגי בעדות שנה א' ועל המערער להוכיח שיש ריעותא דאחוי שטרך</w:t>
      </w:r>
      <w:bookmarkEnd w:id="4682"/>
      <w:bookmarkEnd w:id="4683"/>
    </w:p>
    <w:p w:rsidR="00F163D7" w:rsidRDefault="00F163D7" w:rsidP="007E4E81">
      <w:pPr>
        <w:pStyle w:val="a0"/>
      </w:pPr>
      <w:bookmarkStart w:id="4684" w:name="_Ref56013670"/>
      <w:r>
        <w:rPr>
          <w:rFonts w:hint="cs"/>
          <w:rtl/>
        </w:rPr>
        <w:t xml:space="preserve">וכעי"ז הקשו </w:t>
      </w:r>
      <w:r>
        <w:rPr>
          <w:rStyle w:val="af9"/>
          <w:rFonts w:hint="cs"/>
          <w:rtl/>
        </w:rPr>
        <w:t>ב</w:t>
      </w:r>
      <w:r w:rsidRPr="00272161">
        <w:rPr>
          <w:rStyle w:val="af9"/>
          <w:rFonts w:hint="cs"/>
          <w:rtl/>
        </w:rPr>
        <w:t xml:space="preserve">אבי עזרי </w:t>
      </w:r>
      <w:r w:rsidRPr="00C0037B">
        <w:rPr>
          <w:rStyle w:val="af7"/>
          <w:rFonts w:eastAsia="Guttman Hodes" w:hint="cs"/>
          <w:rtl/>
        </w:rPr>
        <w:t>(טו"נ פי"א ה"א ד"ה ונראה בביאור)</w:t>
      </w:r>
      <w:r>
        <w:rPr>
          <w:rFonts w:hint="cs"/>
          <w:rtl/>
        </w:rPr>
        <w:t xml:space="preserve"> </w:t>
      </w:r>
      <w:r w:rsidRPr="00C56FC8">
        <w:rPr>
          <w:rStyle w:val="af9"/>
          <w:rFonts w:hint="cs"/>
          <w:rtl/>
        </w:rPr>
        <w:t>בחי' רבי נחום</w:t>
      </w:r>
      <w:r>
        <w:rPr>
          <w:rFonts w:hint="cs"/>
          <w:rtl/>
        </w:rPr>
        <w:t xml:space="preserve"> </w:t>
      </w:r>
      <w:r w:rsidRPr="00C0037B">
        <w:rPr>
          <w:rStyle w:val="af7"/>
          <w:rFonts w:eastAsia="Guttman Hodes" w:hint="cs"/>
          <w:rtl/>
        </w:rPr>
        <w:t>(או' כ"ו ד"ה אמנם אכתי)</w:t>
      </w:r>
      <w:r>
        <w:rPr>
          <w:rFonts w:hint="cs"/>
          <w:rtl/>
        </w:rPr>
        <w:t xml:space="preserve"> דאם המחזיק טוען שהחזיק ג"ש אך הביא עדים על שנה </w:t>
      </w:r>
      <w:r>
        <w:rPr>
          <w:rFonts w:hint="cs"/>
          <w:rtl/>
        </w:rPr>
        <w:t>אחת, צריך המחזיק להיות נאמן כיון שאת הראיה שלא מחה המערער יש כבר בשנה אחת, ואת הריעותא דאחוי שטרך טוען המחזיק שאינה טענה עליו, כיון שלטענתו החזיק ג"ש, ועל המערער להוכיח שיש ריעותא, כמו שהמערער צריך להוכיח שמחה, וכתב</w:t>
      </w:r>
      <w:r w:rsidRPr="00C0037B">
        <w:rPr>
          <w:rStyle w:val="af9"/>
          <w:rFonts w:hint="cs"/>
          <w:rtl/>
        </w:rPr>
        <w:t xml:space="preserve"> </w:t>
      </w:r>
      <w:r w:rsidRPr="00C56FC8">
        <w:rPr>
          <w:rStyle w:val="af9"/>
          <w:rFonts w:hint="cs"/>
          <w:rtl/>
        </w:rPr>
        <w:t>בחי' רבי נחום</w:t>
      </w:r>
      <w:r>
        <w:rPr>
          <w:rFonts w:hint="cs"/>
          <w:rtl/>
        </w:rPr>
        <w:t xml:space="preserve"> דכן יש להקשות על דברי</w:t>
      </w:r>
      <w:r w:rsidRPr="00C0037B">
        <w:rPr>
          <w:rStyle w:val="af7"/>
          <w:rFonts w:eastAsia="Guttman Hodes" w:hint="cs"/>
          <w:rtl/>
        </w:rPr>
        <w:t xml:space="preserve"> </w:t>
      </w:r>
      <w:r w:rsidRPr="002B5969">
        <w:rPr>
          <w:rStyle w:val="af9"/>
          <w:rFonts w:hint="cs"/>
          <w:rtl/>
        </w:rPr>
        <w:t>הריטב"א</w:t>
      </w:r>
      <w:r w:rsidRPr="00C0037B">
        <w:rPr>
          <w:rStyle w:val="af7"/>
          <w:rFonts w:eastAsia="Guttman Hodes" w:hint="cs"/>
          <w:rtl/>
        </w:rPr>
        <w:t xml:space="preserve"> (עי' אות </w:t>
      </w:r>
      <w:r w:rsidRPr="00C0037B">
        <w:rPr>
          <w:rStyle w:val="af7"/>
          <w:rFonts w:eastAsia="Guttman Hodes"/>
          <w:rtl/>
        </w:rPr>
        <w:fldChar w:fldCharType="begin"/>
      </w:r>
      <w:r w:rsidRPr="00C0037B">
        <w:rPr>
          <w:rStyle w:val="af7"/>
          <w:rFonts w:eastAsia="Guttman Hodes"/>
          <w:rtl/>
        </w:rPr>
        <w:instrText xml:space="preserve"> </w:instrText>
      </w:r>
      <w:r w:rsidRPr="00C0037B">
        <w:rPr>
          <w:rStyle w:val="af7"/>
          <w:rFonts w:eastAsia="Guttman Hodes" w:hint="cs"/>
        </w:rPr>
        <w:instrText>REF</w:instrText>
      </w:r>
      <w:r w:rsidRPr="00C0037B">
        <w:rPr>
          <w:rStyle w:val="af7"/>
          <w:rFonts w:eastAsia="Guttman Hodes" w:hint="cs"/>
          <w:rtl/>
        </w:rPr>
        <w:instrText xml:space="preserve"> _</w:instrText>
      </w:r>
      <w:r w:rsidRPr="00C0037B">
        <w:rPr>
          <w:rStyle w:val="af7"/>
          <w:rFonts w:eastAsia="Guttman Hodes" w:hint="cs"/>
        </w:rPr>
        <w:instrText>Ref55936320 \r \h</w:instrText>
      </w:r>
      <w:r w:rsidRPr="00C0037B">
        <w:rPr>
          <w:rStyle w:val="af7"/>
          <w:rFonts w:eastAsia="Guttman Hodes"/>
          <w:rtl/>
        </w:rPr>
        <w:instrText xml:space="preserve"> </w:instrText>
      </w:r>
      <w:r w:rsidRPr="00C0037B">
        <w:rPr>
          <w:rStyle w:val="af7"/>
          <w:rFonts w:eastAsia="Guttman Hodes"/>
          <w:rtl/>
        </w:rPr>
      </w:r>
      <w:r w:rsidRPr="00C0037B">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C0037B">
        <w:rPr>
          <w:rStyle w:val="af7"/>
          <w:rFonts w:eastAsia="Guttman Hodes"/>
          <w:rtl/>
        </w:rPr>
        <w:fldChar w:fldCharType="end"/>
      </w:r>
      <w:r>
        <w:rPr>
          <w:rFonts w:hint="cs"/>
          <w:rtl/>
        </w:rPr>
        <w:t xml:space="preserve">, ועי' במה שביאר בזה </w:t>
      </w:r>
      <w:r w:rsidRPr="00782D95">
        <w:rPr>
          <w:rStyle w:val="af9"/>
          <w:rFonts w:hint="cs"/>
          <w:rtl/>
        </w:rPr>
        <w:t>הקה"י</w:t>
      </w:r>
      <w:r>
        <w:rPr>
          <w:rFonts w:hint="cs"/>
          <w:rtl/>
        </w:rPr>
        <w:t xml:space="preserve"> </w:t>
      </w:r>
      <w:r w:rsidRPr="00782D95">
        <w:rPr>
          <w:rStyle w:val="af7"/>
          <w:rFonts w:eastAsia="Guttman Hodes" w:hint="cs"/>
          <w:rtl/>
        </w:rPr>
        <w:t xml:space="preserve">(עי' אות </w:t>
      </w:r>
      <w:r w:rsidRPr="00782D95">
        <w:rPr>
          <w:rStyle w:val="af7"/>
          <w:rFonts w:eastAsia="Guttman Hodes"/>
          <w:rtl/>
        </w:rPr>
        <w:fldChar w:fldCharType="begin"/>
      </w:r>
      <w:r w:rsidRPr="00782D95">
        <w:rPr>
          <w:rStyle w:val="af7"/>
          <w:rFonts w:eastAsia="Guttman Hodes"/>
          <w:rtl/>
        </w:rPr>
        <w:instrText xml:space="preserve"> </w:instrText>
      </w:r>
      <w:r w:rsidRPr="00782D95">
        <w:rPr>
          <w:rStyle w:val="af7"/>
          <w:rFonts w:eastAsia="Guttman Hodes" w:hint="cs"/>
        </w:rPr>
        <w:instrText>REF</w:instrText>
      </w:r>
      <w:r w:rsidRPr="00782D95">
        <w:rPr>
          <w:rStyle w:val="af7"/>
          <w:rFonts w:eastAsia="Guttman Hodes" w:hint="cs"/>
          <w:rtl/>
        </w:rPr>
        <w:instrText xml:space="preserve"> _</w:instrText>
      </w:r>
      <w:r w:rsidRPr="00782D95">
        <w:rPr>
          <w:rStyle w:val="af7"/>
          <w:rFonts w:eastAsia="Guttman Hodes" w:hint="cs"/>
        </w:rPr>
        <w:instrText>Ref56032171 \r \h</w:instrText>
      </w:r>
      <w:r w:rsidRPr="00782D95">
        <w:rPr>
          <w:rStyle w:val="af7"/>
          <w:rFonts w:eastAsia="Guttman Hodes"/>
          <w:rtl/>
        </w:rPr>
        <w:instrText xml:space="preserve"> </w:instrText>
      </w:r>
      <w:r w:rsidRPr="00782D95">
        <w:rPr>
          <w:rStyle w:val="af7"/>
          <w:rFonts w:eastAsia="Guttman Hodes"/>
          <w:rtl/>
        </w:rPr>
      </w:r>
      <w:r w:rsidRPr="00782D95">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782D95">
        <w:rPr>
          <w:rStyle w:val="af7"/>
          <w:rFonts w:eastAsia="Guttman Hodes"/>
          <w:rtl/>
        </w:rPr>
        <w:fldChar w:fldCharType="end"/>
      </w:r>
      <w:r>
        <w:rPr>
          <w:rFonts w:hint="cs"/>
          <w:rtl/>
        </w:rPr>
        <w:t>.</w:t>
      </w:r>
      <w:bookmarkEnd w:id="4684"/>
    </w:p>
    <w:p w:rsidR="00F163D7" w:rsidRPr="00F46AE6" w:rsidRDefault="00F163D7" w:rsidP="00F163D7">
      <w:pPr>
        <w:pStyle w:val="a3"/>
        <w:rPr>
          <w:rtl/>
        </w:rPr>
      </w:pPr>
      <w:bookmarkStart w:id="4685" w:name="_Toc56030536"/>
      <w:bookmarkStart w:id="4686" w:name="_Toc56032726"/>
      <w:r>
        <w:rPr>
          <w:rFonts w:hint="cs"/>
          <w:rtl/>
        </w:rPr>
        <w:t>ביאור הגרנ"פ דבלא עדות חזקת ג"ש יש ראיה שאין הקרקע של המחזיק מטענת אחוי שטרך</w:t>
      </w:r>
      <w:bookmarkEnd w:id="4685"/>
      <w:bookmarkEnd w:id="4686"/>
    </w:p>
    <w:p w:rsidR="00F163D7" w:rsidRDefault="00F163D7" w:rsidP="007E4E81">
      <w:pPr>
        <w:pStyle w:val="a0"/>
        <w:rPr>
          <w:rtl/>
        </w:rPr>
      </w:pPr>
      <w:bookmarkStart w:id="4687" w:name="_Ref55748291"/>
      <w:r>
        <w:rPr>
          <w:rFonts w:hint="cs"/>
          <w:rtl/>
        </w:rPr>
        <w:t xml:space="preserve">וכתב </w:t>
      </w:r>
      <w:r w:rsidRPr="002B5969">
        <w:rPr>
          <w:rStyle w:val="af9"/>
          <w:rFonts w:hint="cs"/>
          <w:rtl/>
        </w:rPr>
        <w:t>בחי' רבי נחום</w:t>
      </w:r>
      <w:r>
        <w:rPr>
          <w:rFonts w:hint="cs"/>
          <w:rtl/>
        </w:rPr>
        <w:t xml:space="preserve"> דצריך לדחוק דכל שאין לו עידי חזקת ג"ש, עדיין יש הוכחה דהקרקע אינה שלו מחמת טענת אחוי שטרך, דכל מה שהמחזיק אינו נזהר בשטרו, הוא כשיש לו עידי חזקת ג"ש, והניח </w:t>
      </w:r>
      <w:r w:rsidRPr="00B84AFE">
        <w:rPr>
          <w:rStyle w:val="af9"/>
          <w:rFonts w:hint="cs"/>
          <w:rtl/>
        </w:rPr>
        <w:t>בחי' רבי נחום</w:t>
      </w:r>
      <w:r>
        <w:rPr>
          <w:rFonts w:hint="cs"/>
          <w:rtl/>
        </w:rPr>
        <w:t xml:space="preserve"> בצ"ע.</w:t>
      </w:r>
      <w:bookmarkEnd w:id="4687"/>
    </w:p>
    <w:p w:rsidR="00F163D7" w:rsidRDefault="00F163D7" w:rsidP="00F163D7">
      <w:pPr>
        <w:pStyle w:val="1"/>
        <w:rPr>
          <w:rtl/>
        </w:rPr>
      </w:pPr>
      <w:bookmarkStart w:id="4688" w:name="_Toc55508574"/>
      <w:bookmarkStart w:id="4689" w:name="_Toc55569225"/>
      <w:bookmarkStart w:id="4690" w:name="_Toc55718336"/>
      <w:bookmarkStart w:id="4691" w:name="_Toc55739932"/>
      <w:bookmarkStart w:id="4692" w:name="_Toc55839482"/>
      <w:bookmarkStart w:id="4693" w:name="_Toc55927902"/>
      <w:bookmarkStart w:id="4694" w:name="_Toc55946628"/>
      <w:bookmarkStart w:id="4695" w:name="_Toc55991968"/>
      <w:bookmarkStart w:id="4696" w:name="_Toc56030537"/>
      <w:bookmarkStart w:id="4697" w:name="_Toc56032727"/>
      <w:bookmarkStart w:id="4698" w:name="_Toc55927900"/>
      <w:bookmarkStart w:id="4699" w:name="_Toc55946626"/>
      <w:bookmarkStart w:id="4700" w:name="_Toc55991966"/>
      <w:r>
        <w:rPr>
          <w:rFonts w:hint="cs"/>
          <w:rtl/>
        </w:rPr>
        <w:t>ביאור האבי עזרי ברמב"ן</w:t>
      </w:r>
      <w:bookmarkEnd w:id="4688"/>
      <w:bookmarkEnd w:id="4689"/>
      <w:bookmarkEnd w:id="4690"/>
      <w:bookmarkEnd w:id="4691"/>
      <w:bookmarkEnd w:id="4692"/>
      <w:bookmarkEnd w:id="4693"/>
      <w:bookmarkEnd w:id="4694"/>
      <w:bookmarkEnd w:id="4695"/>
      <w:bookmarkEnd w:id="4696"/>
      <w:r>
        <w:rPr>
          <w:rFonts w:hint="cs"/>
          <w:rtl/>
        </w:rPr>
        <w:t xml:space="preserve"> דבלא שטר אינו כבעלים ואינו תפוס</w:t>
      </w:r>
      <w:bookmarkEnd w:id="4697"/>
    </w:p>
    <w:p w:rsidR="00F163D7" w:rsidRDefault="00F163D7" w:rsidP="00F163D7">
      <w:pPr>
        <w:pStyle w:val="a3"/>
        <w:rPr>
          <w:rtl/>
        </w:rPr>
      </w:pPr>
      <w:bookmarkStart w:id="4701" w:name="_Toc56030538"/>
      <w:bookmarkStart w:id="4702" w:name="_Toc56032728"/>
      <w:r>
        <w:rPr>
          <w:rFonts w:hint="cs"/>
          <w:rtl/>
        </w:rPr>
        <w:t>ביאור האבי עזרי ברמב"ן דחזקה בקרקע היא כתפיסה במטלטלין אך בלא שטר אי"ז דרך בעלים</w:t>
      </w:r>
      <w:bookmarkEnd w:id="4701"/>
      <w:bookmarkEnd w:id="4702"/>
    </w:p>
    <w:p w:rsidR="00F163D7" w:rsidRDefault="00F163D7" w:rsidP="007E4E81">
      <w:pPr>
        <w:pStyle w:val="a0"/>
        <w:rPr>
          <w:rtl/>
        </w:rPr>
      </w:pPr>
      <w:bookmarkStart w:id="4703" w:name="_Ref56015301"/>
      <w:r>
        <w:rPr>
          <w:rStyle w:val="af9"/>
          <w:rFonts w:hint="cs"/>
          <w:rtl/>
        </w:rPr>
        <w:t>ו</w:t>
      </w:r>
      <w:r w:rsidRPr="00272161">
        <w:rPr>
          <w:rStyle w:val="af9"/>
          <w:rFonts w:hint="cs"/>
          <w:rtl/>
        </w:rPr>
        <w:t xml:space="preserve">האבי עזרי </w:t>
      </w:r>
      <w:r w:rsidRPr="00272161">
        <w:rPr>
          <w:rStyle w:val="af7"/>
          <w:rFonts w:eastAsia="Guttman Hodes" w:hint="cs"/>
          <w:rtl/>
        </w:rPr>
        <w:t>(טו"נ פי"א ה"א ד"ה ונראה בביאור)</w:t>
      </w:r>
      <w:r>
        <w:rPr>
          <w:rFonts w:hint="cs"/>
          <w:rtl/>
        </w:rPr>
        <w:t xml:space="preserve"> ביאר דלדעת </w:t>
      </w:r>
      <w:r w:rsidRPr="00272161">
        <w:rPr>
          <w:rStyle w:val="af9"/>
          <w:rFonts w:hint="cs"/>
          <w:rtl/>
        </w:rPr>
        <w:t xml:space="preserve">הרמב"ן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חזקת ג"ש בקרקע, היא כמו חזקה מה שתח"י של אדם שלו היא במטלטלין, דאף דאין ראיה איך הגיע החפץ לידו, ויתכן שהוא בשכירות או בשאילה, וה"ה בקרקע דכל שישב בה בשופי בלא מחאה, חשיב שהקרקע תח"י, כיון שרק הבעלים מחזיקים בקרקע, ובתוך ג"ש אף שיושב בקרקע כדרך הבעלים, מ"מ כיון שהדרך דהבעלים מחזיקים את השטר בתוך ג"ש, א"כ כל שאין לו שטר לא חשיב ישיבה כדרך הבעלים, ואין הקרקע מוחזקת תח"י.</w:t>
      </w:r>
    </w:p>
    <w:p w:rsidR="00F163D7" w:rsidRDefault="00F163D7" w:rsidP="00F163D7">
      <w:pPr>
        <w:pStyle w:val="a3"/>
      </w:pPr>
      <w:bookmarkStart w:id="4704" w:name="_Toc56030539"/>
      <w:bookmarkStart w:id="4705" w:name="_Toc56032729"/>
      <w:r>
        <w:rPr>
          <w:rFonts w:hint="cs"/>
          <w:rtl/>
        </w:rPr>
        <w:t>תירוץ האבי עזרי דעל המחזיק להוכיח שישב ג"ש וא"צ להביא שטר ובלא"ה אינו כדרך הבעלים</w:t>
      </w:r>
      <w:bookmarkEnd w:id="4704"/>
      <w:bookmarkEnd w:id="4705"/>
    </w:p>
    <w:p w:rsidR="00F163D7" w:rsidRPr="006622FF" w:rsidRDefault="00F163D7" w:rsidP="007E4E81">
      <w:pPr>
        <w:pStyle w:val="a0"/>
        <w:rPr>
          <w:rtl/>
        </w:rPr>
      </w:pPr>
      <w:r>
        <w:rPr>
          <w:rFonts w:hint="cs"/>
          <w:rtl/>
        </w:rPr>
        <w:t xml:space="preserve">וכתב </w:t>
      </w:r>
      <w:r w:rsidRPr="00272161">
        <w:rPr>
          <w:rStyle w:val="af9"/>
          <w:rFonts w:hint="cs"/>
          <w:rtl/>
        </w:rPr>
        <w:t>האבי עזרי</w:t>
      </w:r>
      <w:r>
        <w:rPr>
          <w:rFonts w:hint="cs"/>
          <w:rtl/>
        </w:rPr>
        <w:t xml:space="preserve"> דכיון דבתוך ג"ש יש ריעותא דאחוי שטרך, וכל שהוא יושב בה בתוך הג"ש ואין לו שטר, אינו מחזיק בקרקע כדרך הבעלים, ולכן על המחזיק להביא ראיה שישב בה ג"ש, ואינו צריך להביא שטר, ורק עי"ז הוא מוחזק שהקרקע תח"י.</w:t>
      </w:r>
      <w:bookmarkEnd w:id="4703"/>
    </w:p>
    <w:p w:rsidR="00F163D7" w:rsidRDefault="00F163D7" w:rsidP="00F163D7">
      <w:pPr>
        <w:pStyle w:val="a3"/>
      </w:pPr>
      <w:bookmarkStart w:id="4706" w:name="_Toc56030540"/>
      <w:bookmarkStart w:id="4707" w:name="_Toc56032730"/>
      <w:r>
        <w:rPr>
          <w:rFonts w:hint="cs"/>
          <w:rtl/>
        </w:rPr>
        <w:t>תי' האבי עזרי על קו' הקצוה"ח דמוחזק בקרקע כתפוס במטלטלין וא"א לומר לפירות הורדתיו</w:t>
      </w:r>
      <w:bookmarkEnd w:id="4706"/>
      <w:bookmarkEnd w:id="4707"/>
    </w:p>
    <w:p w:rsidR="00F163D7" w:rsidRDefault="00F163D7" w:rsidP="007E4E81">
      <w:pPr>
        <w:pStyle w:val="a0"/>
        <w:rPr>
          <w:rtl/>
        </w:rPr>
      </w:pPr>
      <w:bookmarkStart w:id="4708" w:name="_Ref56015881"/>
      <w:r>
        <w:rPr>
          <w:rFonts w:hint="cs"/>
          <w:rtl/>
        </w:rPr>
        <w:t xml:space="preserve">וכתב </w:t>
      </w:r>
      <w:r w:rsidRPr="00272161">
        <w:rPr>
          <w:rStyle w:val="af9"/>
          <w:rFonts w:hint="cs"/>
          <w:rtl/>
        </w:rPr>
        <w:t>האבי עזרי</w:t>
      </w:r>
      <w:r>
        <w:rPr>
          <w:rFonts w:hint="cs"/>
          <w:rtl/>
        </w:rPr>
        <w:t xml:space="preserve"> דלפי"ז </w:t>
      </w:r>
      <w:r w:rsidRPr="009E420A">
        <w:rPr>
          <w:rFonts w:hint="cs"/>
          <w:rtl/>
        </w:rPr>
        <w:t xml:space="preserve">מיושבת קושית </w:t>
      </w:r>
      <w:r w:rsidRPr="009E420A">
        <w:rPr>
          <w:rStyle w:val="af9"/>
          <w:rFonts w:hint="cs"/>
          <w:rtl/>
        </w:rPr>
        <w:t>הקצוה"ח</w:t>
      </w:r>
      <w:r w:rsidRPr="009E420A">
        <w:rPr>
          <w:rFonts w:hint="cs"/>
          <w:rtl/>
        </w:rPr>
        <w:t xml:space="preserve"> </w:t>
      </w:r>
      <w:r w:rsidRPr="00E00D10">
        <w:rPr>
          <w:rStyle w:val="af7"/>
          <w:rFonts w:eastAsia="Guttman Hodes" w:hint="cs"/>
          <w:rtl/>
        </w:rPr>
        <w:t xml:space="preserve">(עי' אות </w:t>
      </w:r>
      <w:r w:rsidRPr="00E00D10">
        <w:rPr>
          <w:rStyle w:val="af7"/>
          <w:rFonts w:eastAsia="Guttman Hodes"/>
          <w:rtl/>
        </w:rPr>
        <w:fldChar w:fldCharType="begin"/>
      </w:r>
      <w:r w:rsidRPr="00E00D10">
        <w:rPr>
          <w:rStyle w:val="af7"/>
          <w:rFonts w:eastAsia="Guttman Hodes"/>
          <w:rtl/>
        </w:rPr>
        <w:instrText xml:space="preserve"> </w:instrText>
      </w:r>
      <w:r w:rsidRPr="00E00D10">
        <w:rPr>
          <w:rStyle w:val="af7"/>
          <w:rFonts w:eastAsia="Guttman Hodes" w:hint="cs"/>
        </w:rPr>
        <w:instrText>REF</w:instrText>
      </w:r>
      <w:r w:rsidRPr="00E00D10">
        <w:rPr>
          <w:rStyle w:val="af7"/>
          <w:rFonts w:eastAsia="Guttman Hodes" w:hint="cs"/>
          <w:rtl/>
        </w:rPr>
        <w:instrText xml:space="preserve"> _</w:instrText>
      </w:r>
      <w:r w:rsidRPr="00E00D10">
        <w:rPr>
          <w:rStyle w:val="af7"/>
          <w:rFonts w:eastAsia="Guttman Hodes" w:hint="cs"/>
        </w:rPr>
        <w:instrText>Ref56015914 \r \h</w:instrText>
      </w:r>
      <w:r w:rsidRPr="00E00D10">
        <w:rPr>
          <w:rStyle w:val="af7"/>
          <w:rFonts w:eastAsia="Guttman Hodes"/>
          <w:rtl/>
        </w:rPr>
        <w:instrText xml:space="preserve"> </w:instrText>
      </w:r>
      <w:r w:rsidRPr="00E00D10">
        <w:rPr>
          <w:rStyle w:val="af7"/>
          <w:rFonts w:eastAsia="Guttman Hodes"/>
          <w:rtl/>
        </w:rPr>
      </w:r>
      <w:r w:rsidRPr="00E00D10">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E00D10">
        <w:rPr>
          <w:rStyle w:val="af7"/>
          <w:rFonts w:eastAsia="Guttman Hodes"/>
          <w:rtl/>
        </w:rPr>
        <w:fldChar w:fldCharType="end"/>
      </w:r>
      <w:r w:rsidRPr="009E420A">
        <w:rPr>
          <w:rFonts w:hint="cs"/>
          <w:rtl/>
        </w:rPr>
        <w:t xml:space="preserve"> אמאי אין המערער נאמן לטעון</w:t>
      </w:r>
      <w:r>
        <w:rPr>
          <w:rFonts w:hint="cs"/>
          <w:rtl/>
        </w:rPr>
        <w:t xml:space="preserve"> לפירות הורדתיו, אעפ"י דאי דלי ליה צנא דפירי דהוי חזקה לאלתר, אך יכול לטעון לפירות הורדתיו, וביאר </w:t>
      </w:r>
      <w:r w:rsidRPr="009E420A">
        <w:rPr>
          <w:rStyle w:val="af9"/>
          <w:rFonts w:hint="cs"/>
          <w:rtl/>
        </w:rPr>
        <w:t>האבי עזרי</w:t>
      </w:r>
      <w:r>
        <w:rPr>
          <w:rFonts w:hint="cs"/>
          <w:rtl/>
        </w:rPr>
        <w:t xml:space="preserve"> דבדלי ליה צנא דפירי הוא ראיה שמכר לו ואי"ז חזקה, ולכן כשטוען דהורידו לפירות אינה ראיה, אבל בישב בה ג"ש שהוא מוחזק בה כבעלים, א"א לטעון שירד לפירות, כמו בחזקת מטלטלין, שא"א לטעון דהחפץ שתח"י בא לידו בשכירות או בשאילה.</w:t>
      </w:r>
      <w:bookmarkEnd w:id="4708"/>
    </w:p>
    <w:p w:rsidR="00F163D7" w:rsidRPr="009E5B2D" w:rsidRDefault="00F163D7" w:rsidP="00F163D7">
      <w:pPr>
        <w:pStyle w:val="1"/>
        <w:rPr>
          <w:rtl/>
        </w:rPr>
      </w:pPr>
      <w:bookmarkStart w:id="4709" w:name="_Toc55927893"/>
      <w:bookmarkStart w:id="4710" w:name="_Toc55946619"/>
      <w:bookmarkStart w:id="4711" w:name="_Toc55991959"/>
      <w:bookmarkStart w:id="4712" w:name="_Toc56030522"/>
      <w:bookmarkStart w:id="4713" w:name="_Toc56032712"/>
      <w:bookmarkStart w:id="4714" w:name="_Toc56030541"/>
      <w:bookmarkStart w:id="4715" w:name="_Toc56032731"/>
      <w:r>
        <w:rPr>
          <w:rFonts w:hint="cs"/>
          <w:rtl/>
        </w:rPr>
        <w:t>ביאור הדברי מרדכי</w:t>
      </w:r>
      <w:bookmarkEnd w:id="4709"/>
      <w:bookmarkEnd w:id="4710"/>
      <w:bookmarkEnd w:id="4711"/>
      <w:bookmarkEnd w:id="4712"/>
      <w:r>
        <w:rPr>
          <w:rFonts w:hint="cs"/>
          <w:rtl/>
        </w:rPr>
        <w:t xml:space="preserve"> דבלא שטר יש חסרון בתפיסה בקרקע</w:t>
      </w:r>
      <w:bookmarkEnd w:id="4713"/>
    </w:p>
    <w:p w:rsidR="00F163D7" w:rsidRDefault="00F163D7" w:rsidP="00F163D7">
      <w:pPr>
        <w:pStyle w:val="a3"/>
      </w:pPr>
      <w:bookmarkStart w:id="4716" w:name="_Toc56030523"/>
      <w:bookmarkStart w:id="4717" w:name="_Toc56032713"/>
      <w:r>
        <w:rPr>
          <w:rFonts w:hint="cs"/>
          <w:rtl/>
        </w:rPr>
        <w:t>ביאור הדברי מרדכי ברמב"ן דאחיזת השטר כתפיסה בשדה וכל שאין לו שטר חסר בתפיסה שלו</w:t>
      </w:r>
      <w:bookmarkEnd w:id="4716"/>
      <w:bookmarkEnd w:id="4717"/>
    </w:p>
    <w:p w:rsidR="00F163D7" w:rsidRDefault="00F163D7" w:rsidP="007E4E81">
      <w:pPr>
        <w:pStyle w:val="a0"/>
        <w:rPr>
          <w:rStyle w:val="afb"/>
          <w:rFonts w:asciiTheme="minorHAnsi" w:hAnsiTheme="minorHAnsi"/>
        </w:rPr>
      </w:pPr>
      <w:bookmarkStart w:id="4718" w:name="_Ref56010649"/>
      <w:r>
        <w:rPr>
          <w:rFonts w:hint="cs"/>
          <w:rtl/>
        </w:rPr>
        <w:t xml:space="preserve">וע"ע במה שהאריך </w:t>
      </w:r>
      <w:r w:rsidR="009647B3">
        <w:rPr>
          <w:rStyle w:val="af9"/>
          <w:rFonts w:hint="cs"/>
          <w:rtl/>
        </w:rPr>
        <w:t xml:space="preserve">הגר"מ מן </w:t>
      </w:r>
      <w:r w:rsidR="009647B3" w:rsidRPr="00834955">
        <w:rPr>
          <w:rStyle w:val="af9"/>
          <w:rFonts w:hint="cs"/>
          <w:rtl/>
        </w:rPr>
        <w:t>בדברי מרדכי</w:t>
      </w:r>
      <w:r w:rsidR="009647B3">
        <w:rPr>
          <w:rStyle w:val="af9"/>
          <w:rFonts w:hint="cs"/>
          <w:rtl/>
        </w:rPr>
        <w:t xml:space="preserve"> </w:t>
      </w:r>
      <w:r w:rsidRPr="00C442A3">
        <w:rPr>
          <w:rStyle w:val="af7"/>
          <w:rFonts w:eastAsia="Guttman Hodes" w:hint="cs"/>
          <w:rtl/>
        </w:rPr>
        <w:t>(סי' ט"ז או' ד' ד"ה והנה הטעם)</w:t>
      </w:r>
      <w:r>
        <w:rPr>
          <w:rFonts w:hint="cs"/>
          <w:rtl/>
        </w:rPr>
        <w:t xml:space="preserve"> להוכיח דהא דמהני החזקה אינו מחמת שיש ראיה שמועילה להוציא מהמוחזק, אלא דע"י החזקה הוא נעשה למוחזק, וכתב </w:t>
      </w:r>
      <w:r w:rsidR="009647B3">
        <w:rPr>
          <w:rStyle w:val="af9"/>
          <w:rFonts w:hint="cs"/>
          <w:rtl/>
        </w:rPr>
        <w:t xml:space="preserve">הגר"מ מן </w:t>
      </w:r>
      <w:r w:rsidR="009647B3" w:rsidRPr="00834955">
        <w:rPr>
          <w:rStyle w:val="af9"/>
          <w:rFonts w:hint="cs"/>
          <w:rtl/>
        </w:rPr>
        <w:t>בדברי מרדכי</w:t>
      </w:r>
      <w:r w:rsidR="009647B3">
        <w:rPr>
          <w:rStyle w:val="af9"/>
          <w:rFonts w:hint="cs"/>
          <w:rtl/>
        </w:rPr>
        <w:t xml:space="preserve"> </w:t>
      </w:r>
      <w:r w:rsidRPr="00C442A3">
        <w:rPr>
          <w:rStyle w:val="af7"/>
          <w:rFonts w:eastAsia="Guttman Hodes" w:hint="cs"/>
          <w:rtl/>
        </w:rPr>
        <w:t>(סי' ט"ז או' ה' ד"ה מעתה, ד"ה ולפי"ז נראה)</w:t>
      </w:r>
      <w:r>
        <w:rPr>
          <w:rFonts w:hint="cs"/>
          <w:rtl/>
        </w:rPr>
        <w:t xml:space="preserve"> דלפי"ז אפשר לבאר את דברי </w:t>
      </w:r>
      <w:r w:rsidRPr="00142E47">
        <w:rPr>
          <w:rStyle w:val="af9"/>
          <w:rFonts w:hint="cs"/>
          <w:rtl/>
        </w:rPr>
        <w:t xml:space="preserve">הרמב"ן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154BD5">
        <w:rPr>
          <w:rStyle w:val="af7"/>
          <w:rFonts w:eastAsia="Guttman Hodes" w:hint="cs"/>
          <w:rtl/>
        </w:rPr>
        <w:t xml:space="preserve"> </w:t>
      </w:r>
      <w:r>
        <w:rPr>
          <w:rFonts w:hint="cs"/>
          <w:rtl/>
        </w:rPr>
        <w:t xml:space="preserve">דלא כביאור </w:t>
      </w:r>
      <w:r w:rsidRPr="00C442A3">
        <w:rPr>
          <w:rStyle w:val="af9"/>
          <w:rFonts w:hint="cs"/>
          <w:rtl/>
        </w:rPr>
        <w:t>הקצוה"ח</w:t>
      </w:r>
      <w:r>
        <w:rPr>
          <w:rFonts w:hint="cs"/>
          <w:rtl/>
        </w:rPr>
        <w:t xml:space="preserve"> </w:t>
      </w:r>
      <w:r w:rsidRPr="00171B89">
        <w:rPr>
          <w:rStyle w:val="af7"/>
          <w:rFonts w:eastAsia="Guttman Hodes" w:hint="cs"/>
          <w:rtl/>
        </w:rPr>
        <w:t xml:space="preserve">(עי' אות </w:t>
      </w:r>
      <w:r w:rsidRPr="00171B89">
        <w:rPr>
          <w:rStyle w:val="af7"/>
          <w:rFonts w:eastAsia="Guttman Hodes"/>
          <w:rtl/>
        </w:rPr>
        <w:lastRenderedPageBreak/>
        <w:fldChar w:fldCharType="begin"/>
      </w:r>
      <w:r w:rsidRPr="00171B89">
        <w:rPr>
          <w:rStyle w:val="af7"/>
          <w:rFonts w:eastAsia="Guttman Hodes"/>
          <w:rtl/>
        </w:rPr>
        <w:instrText xml:space="preserve"> </w:instrText>
      </w:r>
      <w:r w:rsidRPr="00171B89">
        <w:rPr>
          <w:rStyle w:val="af7"/>
          <w:rFonts w:eastAsia="Guttman Hodes" w:hint="cs"/>
        </w:rPr>
        <w:instrText>REF</w:instrText>
      </w:r>
      <w:r w:rsidRPr="00171B89">
        <w:rPr>
          <w:rStyle w:val="af7"/>
          <w:rFonts w:eastAsia="Guttman Hodes" w:hint="cs"/>
          <w:rtl/>
        </w:rPr>
        <w:instrText xml:space="preserve"> _</w:instrText>
      </w:r>
      <w:r w:rsidRPr="00171B89">
        <w:rPr>
          <w:rStyle w:val="af7"/>
          <w:rFonts w:eastAsia="Guttman Hodes" w:hint="cs"/>
        </w:rPr>
        <w:instrText>Ref55812937 \r \h</w:instrText>
      </w:r>
      <w:r w:rsidRPr="00171B89">
        <w:rPr>
          <w:rStyle w:val="af7"/>
          <w:rFonts w:eastAsia="Guttman Hodes"/>
          <w:rtl/>
        </w:rPr>
        <w:instrText xml:space="preserve"> </w:instrText>
      </w:r>
      <w:r w:rsidRPr="00171B89">
        <w:rPr>
          <w:rStyle w:val="af7"/>
          <w:rFonts w:eastAsia="Guttman Hodes"/>
          <w:rtl/>
        </w:rPr>
      </w:r>
      <w:r w:rsidRPr="00171B89">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171B89">
        <w:rPr>
          <w:rStyle w:val="af7"/>
          <w:rFonts w:eastAsia="Guttman Hodes"/>
          <w:rtl/>
        </w:rPr>
        <w:fldChar w:fldCharType="end"/>
      </w:r>
      <w:r>
        <w:rPr>
          <w:rFonts w:hint="cs"/>
          <w:rtl/>
        </w:rPr>
        <w:t xml:space="preserve">, אלא דכוונת </w:t>
      </w:r>
      <w:r w:rsidRPr="00C442A3">
        <w:rPr>
          <w:rStyle w:val="af9"/>
          <w:rFonts w:hint="cs"/>
          <w:rtl/>
        </w:rPr>
        <w:t>הרמב"ן</w:t>
      </w:r>
      <w:r>
        <w:rPr>
          <w:rFonts w:hint="cs"/>
          <w:rtl/>
        </w:rPr>
        <w:t xml:space="preserve"> לומר דאחיזת השטר חשיבא כתפיסת השדה, </w:t>
      </w:r>
      <w:r w:rsidRPr="008A6D57">
        <w:rPr>
          <w:rStyle w:val="afb"/>
          <w:rFonts w:hint="cs"/>
          <w:rtl/>
        </w:rPr>
        <w:t xml:space="preserve">[עיי"ש במה שהוכיח </w:t>
      </w:r>
      <w:r w:rsidRPr="005C0DB6">
        <w:rPr>
          <w:rStyle w:val="affa"/>
          <w:rFonts w:hint="cs"/>
          <w:rtl/>
        </w:rPr>
        <w:t>הדברי מרדכי</w:t>
      </w:r>
      <w:r w:rsidRPr="008A6D57">
        <w:rPr>
          <w:rStyle w:val="afb"/>
          <w:rFonts w:hint="cs"/>
          <w:rtl/>
        </w:rPr>
        <w:t xml:space="preserve"> כן],</w:t>
      </w:r>
      <w:r>
        <w:rPr>
          <w:rFonts w:hint="cs"/>
          <w:rtl/>
        </w:rPr>
        <w:t xml:space="preserve"> וכיון דהחזקה היא תפיסה שנחשב עי"ז למוחזק, א"כ בחזקת ג"ש לא סגי במה שהוא תפוס בקרקע בלא השטר, ותפיסתו בקרקע צריכה להיות בצירוף התפיסה של השטר, דכיון שבתוך ג"ש אדם נזהר בשטרו, א"כ כל שאין לו שטר, יש חסרון בתפיסתו בקרקע. </w:t>
      </w:r>
      <w:r w:rsidRPr="008A6D57">
        <w:rPr>
          <w:rStyle w:val="afb"/>
          <w:rFonts w:hint="cs"/>
          <w:rtl/>
        </w:rPr>
        <w:t xml:space="preserve">[ועיי"ש במ"ש </w:t>
      </w:r>
      <w:r w:rsidR="009647B3" w:rsidRPr="009647B3">
        <w:rPr>
          <w:rStyle w:val="affa"/>
          <w:rtl/>
        </w:rPr>
        <w:t xml:space="preserve">הגר"מ מן בדברי מרדכי </w:t>
      </w:r>
      <w:r w:rsidRPr="00C442A3">
        <w:rPr>
          <w:rStyle w:val="aff6"/>
          <w:rFonts w:hint="cs"/>
          <w:rtl/>
        </w:rPr>
        <w:t>(סי' ט"ז או' ו' ד"ה ויסוד)</w:t>
      </w:r>
      <w:r w:rsidRPr="008A6D57">
        <w:rPr>
          <w:rStyle w:val="afb"/>
          <w:rFonts w:hint="cs"/>
          <w:rtl/>
        </w:rPr>
        <w:t xml:space="preserve"> להוכיח כן מדברי </w:t>
      </w:r>
      <w:r w:rsidRPr="005C0DB6">
        <w:rPr>
          <w:rStyle w:val="affa"/>
          <w:rFonts w:hint="cs"/>
          <w:rtl/>
        </w:rPr>
        <w:t>רבינו גרשום</w:t>
      </w:r>
      <w:r w:rsidRPr="008A6D57">
        <w:rPr>
          <w:rStyle w:val="afb"/>
          <w:rFonts w:hint="cs"/>
          <w:rtl/>
        </w:rPr>
        <w:t xml:space="preserve"> </w:t>
      </w:r>
      <w:r w:rsidRPr="00C442A3">
        <w:rPr>
          <w:rStyle w:val="aff6"/>
          <w:rFonts w:hint="cs"/>
          <w:rtl/>
        </w:rPr>
        <w:t>(ד"ה תרתי)</w:t>
      </w:r>
      <w:r w:rsidRPr="008A6D57">
        <w:rPr>
          <w:rStyle w:val="afb"/>
          <w:rFonts w:hint="cs"/>
          <w:rtl/>
        </w:rPr>
        <w:t>].</w:t>
      </w:r>
      <w:bookmarkEnd w:id="4718"/>
    </w:p>
    <w:p w:rsidR="00F163D7" w:rsidRPr="00732709" w:rsidRDefault="00F163D7" w:rsidP="00F163D7">
      <w:pPr>
        <w:pStyle w:val="1"/>
      </w:pPr>
      <w:r>
        <w:rPr>
          <w:rFonts w:hint="cs"/>
          <w:rtl/>
        </w:rPr>
        <w:t>קושית הקוב"ש והגרש"ר והגרנ"פ</w:t>
      </w:r>
      <w:bookmarkEnd w:id="4698"/>
      <w:bookmarkEnd w:id="4699"/>
      <w:bookmarkEnd w:id="4700"/>
      <w:r>
        <w:rPr>
          <w:rFonts w:hint="cs"/>
          <w:rtl/>
        </w:rPr>
        <w:t xml:space="preserve"> דהמחזיק יוכיח שלא מחו בו</w:t>
      </w:r>
      <w:bookmarkEnd w:id="4714"/>
      <w:bookmarkEnd w:id="4715"/>
    </w:p>
    <w:p w:rsidR="00F163D7" w:rsidRDefault="00F163D7" w:rsidP="00F163D7">
      <w:pPr>
        <w:pStyle w:val="a3"/>
        <w:rPr>
          <w:rtl/>
        </w:rPr>
      </w:pPr>
      <w:bookmarkStart w:id="4719" w:name="_Toc56030542"/>
      <w:bookmarkStart w:id="4720" w:name="_Toc56032732"/>
      <w:r>
        <w:rPr>
          <w:rFonts w:hint="cs"/>
          <w:rtl/>
        </w:rPr>
        <w:t>קושית הקוב"ש והגרנ"פ והגרש"ר דלרמב"ן על המחזיק להוכיח שלא הייתה מחאה דזו החזקה</w:t>
      </w:r>
      <w:bookmarkEnd w:id="4719"/>
      <w:bookmarkEnd w:id="4720"/>
    </w:p>
    <w:p w:rsidR="00F163D7" w:rsidRDefault="00F163D7" w:rsidP="007E4E81">
      <w:pPr>
        <w:pStyle w:val="a0"/>
        <w:rPr>
          <w:rtl/>
        </w:rPr>
      </w:pPr>
      <w:bookmarkStart w:id="4721" w:name="_Ref56031435"/>
      <w:r>
        <w:rPr>
          <w:rFonts w:hint="cs"/>
          <w:rtl/>
        </w:rPr>
        <w:t xml:space="preserve">עוד הקשו </w:t>
      </w:r>
      <w:r w:rsidRPr="00272161">
        <w:rPr>
          <w:rStyle w:val="af9"/>
          <w:rFonts w:hint="cs"/>
          <w:rtl/>
        </w:rPr>
        <w:t xml:space="preserve">בשיעורי רבי שמואל </w:t>
      </w:r>
      <w:r w:rsidRPr="00272161">
        <w:rPr>
          <w:rStyle w:val="af7"/>
          <w:rFonts w:eastAsia="Guttman Hodes" w:hint="cs"/>
          <w:rtl/>
        </w:rPr>
        <w:t>(</w:t>
      </w:r>
      <w:r>
        <w:rPr>
          <w:rStyle w:val="af7"/>
          <w:rFonts w:eastAsia="Guttman Hodes" w:hint="cs"/>
          <w:rtl/>
        </w:rPr>
        <w:t xml:space="preserve">כח. </w:t>
      </w:r>
      <w:r w:rsidRPr="00272161">
        <w:rPr>
          <w:rStyle w:val="af7"/>
          <w:rFonts w:eastAsia="Guttman Hodes" w:hint="cs"/>
          <w:rtl/>
        </w:rPr>
        <w:t>או' ב' ד"ה והנה לדעת)</w:t>
      </w:r>
      <w:r>
        <w:rPr>
          <w:rFonts w:hint="cs"/>
          <w:rtl/>
        </w:rPr>
        <w:t xml:space="preserve"> </w:t>
      </w:r>
      <w:r w:rsidRPr="00BB045B">
        <w:rPr>
          <w:rStyle w:val="af9"/>
          <w:rFonts w:hint="cs"/>
          <w:rtl/>
        </w:rPr>
        <w:t>בחי' רבי נחום</w:t>
      </w:r>
      <w:r>
        <w:rPr>
          <w:rFonts w:hint="cs"/>
          <w:rtl/>
        </w:rPr>
        <w:t xml:space="preserve"> </w:t>
      </w:r>
      <w:r w:rsidRPr="00BB045B">
        <w:rPr>
          <w:rStyle w:val="af7"/>
          <w:rFonts w:eastAsia="Guttman Hodes" w:hint="cs"/>
          <w:rtl/>
        </w:rPr>
        <w:t xml:space="preserve">(או' כ"ו ד"ה והנה) </w:t>
      </w:r>
      <w:r>
        <w:rPr>
          <w:rFonts w:hint="cs"/>
          <w:rtl/>
        </w:rPr>
        <w:t xml:space="preserve">לדעת </w:t>
      </w:r>
      <w:r w:rsidRPr="00BB045B">
        <w:rPr>
          <w:rStyle w:val="af9"/>
          <w:rFonts w:hint="cs"/>
          <w:rtl/>
        </w:rPr>
        <w:t>הרמב"ן</w:t>
      </w:r>
      <w:r>
        <w:rPr>
          <w:rFonts w:hint="cs"/>
          <w:rtl/>
        </w:rPr>
        <w:t xml:space="preserve">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Pr>
          <w:rFonts w:hint="cs"/>
          <w:rtl/>
        </w:rPr>
        <w:t xml:space="preserve"> דס"ל דטעם החזקה היא מהראיה שלא מחה בו המערער, דא"כ אמאי המחזיק צריך להביא עדים רק על החזקה, ואינו צריך להוכיח שלא מיחה בו המערער, הא </w:t>
      </w:r>
      <w:r w:rsidRPr="00272161">
        <w:rPr>
          <w:rStyle w:val="af9"/>
          <w:rFonts w:hint="cs"/>
          <w:rtl/>
        </w:rPr>
        <w:t xml:space="preserve">להרמב"ן </w:t>
      </w:r>
      <w:r>
        <w:rPr>
          <w:rFonts w:hint="cs"/>
          <w:rtl/>
        </w:rPr>
        <w:t>כל הראיה מהחזקה היא במה שהמערער לא מחה, וכן</w:t>
      </w:r>
      <w:r w:rsidRPr="004A6EEF">
        <w:rPr>
          <w:rFonts w:hint="cs"/>
          <w:rtl/>
        </w:rPr>
        <w:t xml:space="preserve"> </w:t>
      </w:r>
      <w:r>
        <w:rPr>
          <w:rFonts w:hint="cs"/>
          <w:rtl/>
        </w:rPr>
        <w:t xml:space="preserve">הקשה </w:t>
      </w:r>
      <w:r w:rsidRPr="00E43DAC">
        <w:rPr>
          <w:rStyle w:val="af9"/>
          <w:rFonts w:hint="cs"/>
          <w:rtl/>
        </w:rPr>
        <w:t>הקוב"ש</w:t>
      </w:r>
      <w:r>
        <w:rPr>
          <w:rFonts w:hint="cs"/>
          <w:rtl/>
        </w:rPr>
        <w:t xml:space="preserve"> </w:t>
      </w:r>
      <w:r w:rsidRPr="00E43DAC">
        <w:rPr>
          <w:rStyle w:val="af7"/>
          <w:rFonts w:eastAsia="Guttman Hodes" w:hint="cs"/>
          <w:rtl/>
        </w:rPr>
        <w:t>(או' ק"ד)</w:t>
      </w:r>
      <w:r>
        <w:rPr>
          <w:rFonts w:hint="cs"/>
          <w:rtl/>
        </w:rPr>
        <w:t xml:space="preserve">. </w:t>
      </w:r>
      <w:r w:rsidRPr="00A77D4E">
        <w:rPr>
          <w:rStyle w:val="afb"/>
          <w:rFonts w:hint="cs"/>
          <w:rtl/>
        </w:rPr>
        <w:t xml:space="preserve">[והוסיף </w:t>
      </w:r>
      <w:r w:rsidRPr="00A77D4E">
        <w:rPr>
          <w:rStyle w:val="affa"/>
          <w:rFonts w:hint="cs"/>
          <w:rtl/>
        </w:rPr>
        <w:t>בחי' רבי נחום</w:t>
      </w:r>
      <w:r w:rsidRPr="00A77D4E">
        <w:rPr>
          <w:rStyle w:val="afb"/>
          <w:rFonts w:hint="cs"/>
          <w:rtl/>
        </w:rPr>
        <w:t xml:space="preserve"> דכן קשה לדעת </w:t>
      </w:r>
      <w:r w:rsidRPr="00A77D4E">
        <w:rPr>
          <w:rStyle w:val="affa"/>
          <w:rFonts w:hint="cs"/>
          <w:rtl/>
        </w:rPr>
        <w:t xml:space="preserve">התוס' לעיל </w:t>
      </w:r>
      <w:r w:rsidRPr="00F473E6">
        <w:rPr>
          <w:rStyle w:val="aff6"/>
          <w:rFonts w:hint="cs"/>
          <w:rtl/>
        </w:rPr>
        <w:t>(כח. ד</w:t>
      </w:r>
      <w:r w:rsidRPr="00F473E6">
        <w:rPr>
          <w:rStyle w:val="aff6"/>
          <w:rtl/>
        </w:rPr>
        <w:t>"</w:t>
      </w:r>
      <w:r w:rsidRPr="00F473E6">
        <w:rPr>
          <w:rStyle w:val="aff6"/>
          <w:rFonts w:hint="cs"/>
          <w:rtl/>
        </w:rPr>
        <w:t>ה עד, כט. ד"ה שתא</w:t>
      </w:r>
      <w:r>
        <w:rPr>
          <w:rStyle w:val="aff6"/>
          <w:rFonts w:hint="cs"/>
          <w:rtl/>
        </w:rPr>
        <w:t>,</w:t>
      </w:r>
      <w:r w:rsidRPr="00F473E6">
        <w:rPr>
          <w:rStyle w:val="aff6"/>
          <w:rFonts w:hint="cs"/>
          <w:rtl/>
        </w:rPr>
        <w:t xml:space="preserve"> הובא בסימן ג' אות י"ט)</w:t>
      </w:r>
      <w:r w:rsidRPr="00A77D4E">
        <w:rPr>
          <w:rStyle w:val="afb"/>
          <w:rFonts w:hint="cs"/>
          <w:rtl/>
        </w:rPr>
        <w:t xml:space="preserve"> דס"ל דלהולכי אושא טעם החזקה היא דבג' אכילות הוחזק המערער לשתקן, דא"כ כל שטוען המערער שמחה, אין כל ראיה מהחזקה, ואמאי צריך המערער להביא עדים שמחה]</w:t>
      </w:r>
      <w:r w:rsidRPr="00732709">
        <w:rPr>
          <w:rStyle w:val="afb"/>
          <w:rFonts w:hint="cs"/>
          <w:rtl/>
        </w:rPr>
        <w:t>.</w:t>
      </w:r>
      <w:bookmarkEnd w:id="4721"/>
    </w:p>
    <w:p w:rsidR="00F163D7" w:rsidRDefault="00F163D7" w:rsidP="00F163D7">
      <w:pPr>
        <w:pStyle w:val="1"/>
        <w:rPr>
          <w:rtl/>
        </w:rPr>
      </w:pPr>
      <w:bookmarkStart w:id="4722" w:name="_Toc55739948"/>
      <w:bookmarkStart w:id="4723" w:name="_Toc55839500"/>
      <w:bookmarkStart w:id="4724" w:name="_Toc55927901"/>
      <w:bookmarkStart w:id="4725" w:name="_Toc55946627"/>
      <w:bookmarkStart w:id="4726" w:name="_Toc55991967"/>
      <w:bookmarkStart w:id="4727" w:name="_Toc56030543"/>
      <w:bookmarkStart w:id="4728" w:name="_Toc56032733"/>
      <w:r>
        <w:rPr>
          <w:rFonts w:hint="cs"/>
          <w:rtl/>
        </w:rPr>
        <w:t>תירוץ הגרנ"פ</w:t>
      </w:r>
      <w:bookmarkEnd w:id="4722"/>
      <w:bookmarkEnd w:id="4723"/>
      <w:bookmarkEnd w:id="4724"/>
      <w:bookmarkEnd w:id="4725"/>
      <w:bookmarkEnd w:id="4726"/>
      <w:bookmarkEnd w:id="4727"/>
      <w:r>
        <w:rPr>
          <w:rFonts w:hint="cs"/>
          <w:rtl/>
        </w:rPr>
        <w:t xml:space="preserve"> דלרמב"ן הוא נעשה מוחזק ולא חיישינן למחאה</w:t>
      </w:r>
      <w:bookmarkEnd w:id="4728"/>
    </w:p>
    <w:p w:rsidR="00F163D7" w:rsidRDefault="00F163D7" w:rsidP="00F163D7">
      <w:pPr>
        <w:pStyle w:val="a3"/>
        <w:rPr>
          <w:rtl/>
        </w:rPr>
      </w:pPr>
      <w:bookmarkStart w:id="4729" w:name="_Toc56030544"/>
      <w:bookmarkStart w:id="4730" w:name="_Toc56032734"/>
      <w:r>
        <w:rPr>
          <w:rFonts w:hint="cs"/>
          <w:rtl/>
        </w:rPr>
        <w:t>תירוץ הגרנ"פ דלרמב"ן ע"י הרגל"ד הוא מוחזק ואנו רואים מוחזקות לפנינו וא"צ לחוש למחאה</w:t>
      </w:r>
      <w:bookmarkEnd w:id="4729"/>
      <w:bookmarkEnd w:id="4730"/>
    </w:p>
    <w:p w:rsidR="00F163D7" w:rsidRDefault="00F163D7" w:rsidP="007E4E81">
      <w:pPr>
        <w:pStyle w:val="a0"/>
        <w:rPr>
          <w:rtl/>
        </w:rPr>
      </w:pPr>
      <w:bookmarkStart w:id="4731" w:name="_Ref56015045"/>
      <w:r w:rsidRPr="00092DE8">
        <w:rPr>
          <w:rStyle w:val="af9"/>
          <w:rFonts w:hint="cs"/>
          <w:rtl/>
        </w:rPr>
        <w:t xml:space="preserve">ובחי' רבי נחום </w:t>
      </w:r>
      <w:r w:rsidRPr="00092DE8">
        <w:rPr>
          <w:rStyle w:val="af7"/>
          <w:rFonts w:eastAsia="Guttman Hodes" w:hint="cs"/>
          <w:rtl/>
        </w:rPr>
        <w:t>(או' כ"ו ד"ה ולכ' קו')</w:t>
      </w:r>
      <w:r>
        <w:rPr>
          <w:rFonts w:hint="cs"/>
          <w:rtl/>
        </w:rPr>
        <w:t xml:space="preserve"> כתב דכל הקושיה היא רק אי הביאור בדעת </w:t>
      </w:r>
      <w:r w:rsidRPr="00092DE8">
        <w:rPr>
          <w:rStyle w:val="af9"/>
          <w:rFonts w:hint="cs"/>
          <w:rtl/>
        </w:rPr>
        <w:t xml:space="preserve">הרמב"ן </w:t>
      </w:r>
      <w:r>
        <w:rPr>
          <w:rFonts w:hint="cs"/>
          <w:rtl/>
        </w:rPr>
        <w:t xml:space="preserve">דגדר החזקה הוא ששתיקת המערער היא ראיה שמוציאה ממון, אבל לפי מה שביאר </w:t>
      </w:r>
      <w:r w:rsidRPr="00092DE8">
        <w:rPr>
          <w:rStyle w:val="af9"/>
          <w:rFonts w:hint="cs"/>
          <w:rtl/>
        </w:rPr>
        <w:t xml:space="preserve">בחי' רבי נחום </w:t>
      </w:r>
      <w:r w:rsidRPr="00570055">
        <w:rPr>
          <w:rStyle w:val="af7"/>
          <w:rFonts w:eastAsia="Guttman Hodes" w:hint="cs"/>
          <w:rtl/>
        </w:rPr>
        <w:t xml:space="preserve">(עי' אות </w:t>
      </w:r>
      <w:r w:rsidRPr="00570055">
        <w:rPr>
          <w:rStyle w:val="af7"/>
          <w:rFonts w:eastAsia="Guttman Hodes"/>
          <w:rtl/>
        </w:rPr>
        <w:fldChar w:fldCharType="begin"/>
      </w:r>
      <w:r w:rsidRPr="00570055">
        <w:rPr>
          <w:rStyle w:val="af7"/>
          <w:rFonts w:eastAsia="Guttman Hodes"/>
          <w:rtl/>
        </w:rPr>
        <w:instrText xml:space="preserve"> </w:instrText>
      </w:r>
      <w:r w:rsidRPr="00570055">
        <w:rPr>
          <w:rStyle w:val="af7"/>
          <w:rFonts w:eastAsia="Guttman Hodes" w:hint="cs"/>
        </w:rPr>
        <w:instrText>REF</w:instrText>
      </w:r>
      <w:r w:rsidRPr="00570055">
        <w:rPr>
          <w:rStyle w:val="af7"/>
          <w:rFonts w:eastAsia="Guttman Hodes" w:hint="cs"/>
          <w:rtl/>
        </w:rPr>
        <w:instrText xml:space="preserve"> _</w:instrText>
      </w:r>
      <w:r w:rsidRPr="00570055">
        <w:rPr>
          <w:rStyle w:val="af7"/>
          <w:rFonts w:eastAsia="Guttman Hodes" w:hint="cs"/>
        </w:rPr>
        <w:instrText>Ref55508194 \r \h</w:instrText>
      </w:r>
      <w:r w:rsidRPr="00570055">
        <w:rPr>
          <w:rStyle w:val="af7"/>
          <w:rFonts w:eastAsia="Guttman Hodes"/>
          <w:rtl/>
        </w:rPr>
        <w:instrText xml:space="preserve"> </w:instrText>
      </w:r>
      <w:r w:rsidRPr="00570055">
        <w:rPr>
          <w:rStyle w:val="af7"/>
          <w:rFonts w:eastAsia="Guttman Hodes"/>
          <w:rtl/>
        </w:rPr>
      </w:r>
      <w:r w:rsidRPr="00570055">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Pr="00570055">
        <w:rPr>
          <w:rStyle w:val="af7"/>
          <w:rFonts w:eastAsia="Guttman Hodes"/>
          <w:rtl/>
        </w:rPr>
        <w:fldChar w:fldCharType="end"/>
      </w:r>
      <w:r w:rsidRPr="00570055">
        <w:rPr>
          <w:rStyle w:val="af7"/>
          <w:rFonts w:eastAsia="Guttman Hodes" w:hint="cs"/>
          <w:rtl/>
        </w:rPr>
        <w:t xml:space="preserve"> </w:t>
      </w:r>
      <w:r>
        <w:rPr>
          <w:rFonts w:hint="cs"/>
          <w:rtl/>
        </w:rPr>
        <w:t xml:space="preserve">בדעת </w:t>
      </w:r>
      <w:r w:rsidRPr="00092DE8">
        <w:rPr>
          <w:rStyle w:val="af9"/>
          <w:rFonts w:hint="cs"/>
          <w:rtl/>
        </w:rPr>
        <w:t>הרמב"ן</w:t>
      </w:r>
      <w:r>
        <w:rPr>
          <w:rFonts w:hint="cs"/>
          <w:rtl/>
        </w:rPr>
        <w:t xml:space="preserve"> דגדר החזקה היא דכיון שיש רגלים לדבר עי"ז הוא נעשה מוחזק, א"כ אפש"ל דאף כשטוען המערער שמחה, מ"מ כיון שאנו רואים לפנינו חזקת ג"ש בלא מחאה, לכן אנו רואים את המחזיק כמוחזק, שהוא יושב בקרקע כדרך הבעלים, וא"צ לחשוש למחאה, ולכן על המרא קמא להביא ראיה שמחה בו.</w:t>
      </w:r>
      <w:bookmarkEnd w:id="4731"/>
    </w:p>
    <w:p w:rsidR="00F163D7" w:rsidRPr="00F05B21" w:rsidRDefault="00F163D7" w:rsidP="00F163D7">
      <w:pPr>
        <w:pStyle w:val="1"/>
        <w:rPr>
          <w:rtl/>
        </w:rPr>
      </w:pPr>
      <w:bookmarkStart w:id="4732" w:name="_Toc56030545"/>
      <w:bookmarkStart w:id="4733" w:name="_Toc56032735"/>
      <w:r>
        <w:rPr>
          <w:rFonts w:hint="cs"/>
          <w:rtl/>
        </w:rPr>
        <w:t>ביאור הגרש"ר ברמב"ן</w:t>
      </w:r>
      <w:bookmarkEnd w:id="4732"/>
      <w:r>
        <w:rPr>
          <w:rFonts w:hint="cs"/>
          <w:rtl/>
        </w:rPr>
        <w:t xml:space="preserve"> דהראיה מדלא סילקו מהקרקע</w:t>
      </w:r>
      <w:bookmarkEnd w:id="4733"/>
    </w:p>
    <w:p w:rsidR="00F163D7" w:rsidRPr="00DA68B6" w:rsidRDefault="00F163D7" w:rsidP="00F163D7">
      <w:pPr>
        <w:pStyle w:val="a3"/>
      </w:pPr>
      <w:bookmarkStart w:id="4734" w:name="_Toc56030546"/>
      <w:bookmarkStart w:id="4735" w:name="_Toc56032736"/>
      <w:r>
        <w:rPr>
          <w:rFonts w:hint="cs"/>
          <w:rtl/>
        </w:rPr>
        <w:t>דברי הגרש"ר דצ"ל כביאור רבינו יונה דלמחזיק קשה למצא עדים שלא מחו בו</w:t>
      </w:r>
      <w:bookmarkEnd w:id="4734"/>
      <w:bookmarkEnd w:id="4735"/>
    </w:p>
    <w:p w:rsidR="00F163D7" w:rsidRDefault="00F163D7" w:rsidP="007E4E81">
      <w:pPr>
        <w:pStyle w:val="a0"/>
        <w:rPr>
          <w:rtl/>
        </w:rPr>
      </w:pPr>
      <w:r>
        <w:rPr>
          <w:rStyle w:val="af9"/>
          <w:rFonts w:hint="cs"/>
          <w:rtl/>
        </w:rPr>
        <w:t>ו</w:t>
      </w:r>
      <w:r w:rsidRPr="00A425B4">
        <w:rPr>
          <w:rStyle w:val="af9"/>
          <w:rFonts w:hint="cs"/>
          <w:rtl/>
        </w:rPr>
        <w:t>בשיעורי רבי שמואל</w:t>
      </w:r>
      <w:r>
        <w:rPr>
          <w:rStyle w:val="af9"/>
          <w:rFonts w:hint="cs"/>
          <w:rtl/>
        </w:rPr>
        <w:t xml:space="preserve"> </w:t>
      </w:r>
      <w:r w:rsidRPr="00272161">
        <w:rPr>
          <w:rStyle w:val="af7"/>
          <w:rFonts w:eastAsia="Guttman Hodes" w:hint="cs"/>
          <w:rtl/>
        </w:rPr>
        <w:t>(</w:t>
      </w:r>
      <w:r>
        <w:rPr>
          <w:rStyle w:val="af7"/>
          <w:rFonts w:eastAsia="Guttman Hodes" w:hint="cs"/>
          <w:rtl/>
        </w:rPr>
        <w:t xml:space="preserve">כח. </w:t>
      </w:r>
      <w:r w:rsidRPr="00272161">
        <w:rPr>
          <w:rStyle w:val="af7"/>
          <w:rFonts w:eastAsia="Guttman Hodes" w:hint="cs"/>
          <w:rtl/>
        </w:rPr>
        <w:t>או' ב' ד"ה והנה לדעת)</w:t>
      </w:r>
      <w:r>
        <w:rPr>
          <w:rFonts w:hint="cs"/>
          <w:rtl/>
        </w:rPr>
        <w:t xml:space="preserve"> כתב דאפש"ל דהמחזיק קשה לו למצוא עדים שלא מיחה בו המערער, וכמבואר בדברי </w:t>
      </w:r>
      <w:r w:rsidRPr="00A425B4">
        <w:rPr>
          <w:rStyle w:val="af9"/>
          <w:rFonts w:hint="cs"/>
          <w:rtl/>
        </w:rPr>
        <w:t>רבינו יונה</w:t>
      </w:r>
      <w:r>
        <w:rPr>
          <w:rFonts w:hint="cs"/>
          <w:rtl/>
        </w:rPr>
        <w:t xml:space="preserve"> </w:t>
      </w:r>
      <w:r w:rsidRPr="00BB045B">
        <w:rPr>
          <w:rStyle w:val="af7"/>
          <w:rFonts w:eastAsia="Guttman Hodes" w:hint="cs"/>
          <w:rtl/>
        </w:rPr>
        <w:t xml:space="preserve">(עי' אות </w:t>
      </w:r>
      <w:r w:rsidRPr="00BB045B">
        <w:rPr>
          <w:rStyle w:val="af7"/>
          <w:rFonts w:eastAsia="Guttman Hodes"/>
          <w:rtl/>
        </w:rPr>
        <w:fldChar w:fldCharType="begin"/>
      </w:r>
      <w:r w:rsidRPr="00BB045B">
        <w:rPr>
          <w:rStyle w:val="af7"/>
          <w:rFonts w:eastAsia="Guttman Hodes"/>
          <w:rtl/>
        </w:rPr>
        <w:instrText xml:space="preserve"> </w:instrText>
      </w:r>
      <w:r w:rsidRPr="00BB045B">
        <w:rPr>
          <w:rStyle w:val="af7"/>
          <w:rFonts w:eastAsia="Guttman Hodes" w:hint="cs"/>
        </w:rPr>
        <w:instrText>REF</w:instrText>
      </w:r>
      <w:r w:rsidRPr="00BB045B">
        <w:rPr>
          <w:rStyle w:val="af7"/>
          <w:rFonts w:eastAsia="Guttman Hodes" w:hint="cs"/>
          <w:rtl/>
        </w:rPr>
        <w:instrText xml:space="preserve"> _</w:instrText>
      </w:r>
      <w:r w:rsidRPr="00BB045B">
        <w:rPr>
          <w:rStyle w:val="af7"/>
          <w:rFonts w:eastAsia="Guttman Hodes" w:hint="cs"/>
        </w:rPr>
        <w:instrText>Ref55764883 \r \h</w:instrText>
      </w:r>
      <w:r w:rsidRPr="00BB045B">
        <w:rPr>
          <w:rStyle w:val="af7"/>
          <w:rFonts w:eastAsia="Guttman Hodes"/>
          <w:rtl/>
        </w:rPr>
        <w:instrText xml:space="preserve"> </w:instrText>
      </w:r>
      <w:r w:rsidRPr="00BB045B">
        <w:rPr>
          <w:rStyle w:val="af7"/>
          <w:rFonts w:eastAsia="Guttman Hodes"/>
          <w:rtl/>
        </w:rPr>
      </w:r>
      <w:r w:rsidRPr="00BB045B">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BB045B">
        <w:rPr>
          <w:rStyle w:val="af7"/>
          <w:rFonts w:eastAsia="Guttman Hodes"/>
          <w:rtl/>
        </w:rPr>
        <w:fldChar w:fldCharType="end"/>
      </w:r>
      <w:r>
        <w:rPr>
          <w:rFonts w:hint="cs"/>
          <w:rtl/>
        </w:rPr>
        <w:t>, וע"ע</w:t>
      </w:r>
      <w:r w:rsidR="00A77F33">
        <w:rPr>
          <w:rFonts w:hint="cs"/>
          <w:rtl/>
        </w:rPr>
        <w:t xml:space="preserve"> </w:t>
      </w:r>
      <w:r>
        <w:rPr>
          <w:rFonts w:hint="cs"/>
          <w:rtl/>
        </w:rPr>
        <w:t xml:space="preserve">במה שביאר בזה </w:t>
      </w:r>
      <w:r w:rsidRPr="00BB045B">
        <w:rPr>
          <w:rStyle w:val="af9"/>
          <w:rFonts w:hint="cs"/>
          <w:rtl/>
        </w:rPr>
        <w:t>הריטב"א</w:t>
      </w:r>
      <w:r>
        <w:rPr>
          <w:rFonts w:hint="cs"/>
          <w:rtl/>
        </w:rPr>
        <w:t xml:space="preserve"> </w:t>
      </w:r>
      <w:r w:rsidRPr="00BB045B">
        <w:rPr>
          <w:rStyle w:val="af7"/>
          <w:rFonts w:eastAsia="Guttman Hodes" w:hint="cs"/>
          <w:rtl/>
        </w:rPr>
        <w:t xml:space="preserve">(עי' אות </w:t>
      </w:r>
      <w:r w:rsidRPr="00BB045B">
        <w:rPr>
          <w:rStyle w:val="af7"/>
          <w:rFonts w:eastAsia="Guttman Hodes"/>
          <w:rtl/>
        </w:rPr>
        <w:fldChar w:fldCharType="begin"/>
      </w:r>
      <w:r w:rsidRPr="00BB045B">
        <w:rPr>
          <w:rStyle w:val="af7"/>
          <w:rFonts w:eastAsia="Guttman Hodes"/>
          <w:rtl/>
        </w:rPr>
        <w:instrText xml:space="preserve"> </w:instrText>
      </w:r>
      <w:r w:rsidRPr="00BB045B">
        <w:rPr>
          <w:rStyle w:val="af7"/>
          <w:rFonts w:eastAsia="Guttman Hodes" w:hint="cs"/>
        </w:rPr>
        <w:instrText>REF</w:instrText>
      </w:r>
      <w:r w:rsidRPr="00BB045B">
        <w:rPr>
          <w:rStyle w:val="af7"/>
          <w:rFonts w:eastAsia="Guttman Hodes" w:hint="cs"/>
          <w:rtl/>
        </w:rPr>
        <w:instrText xml:space="preserve"> _</w:instrText>
      </w:r>
      <w:r w:rsidRPr="00BB045B">
        <w:rPr>
          <w:rStyle w:val="af7"/>
          <w:rFonts w:eastAsia="Guttman Hodes" w:hint="cs"/>
        </w:rPr>
        <w:instrText>Ref55764877 \r \h</w:instrText>
      </w:r>
      <w:r w:rsidRPr="00BB045B">
        <w:rPr>
          <w:rStyle w:val="af7"/>
          <w:rFonts w:eastAsia="Guttman Hodes"/>
          <w:rtl/>
        </w:rPr>
        <w:instrText xml:space="preserve"> </w:instrText>
      </w:r>
      <w:r w:rsidRPr="00BB045B">
        <w:rPr>
          <w:rStyle w:val="af7"/>
          <w:rFonts w:eastAsia="Guttman Hodes"/>
          <w:rtl/>
        </w:rPr>
      </w:r>
      <w:r w:rsidRPr="00BB045B">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BB045B">
        <w:rPr>
          <w:rStyle w:val="af7"/>
          <w:rFonts w:eastAsia="Guttman Hodes"/>
          <w:rtl/>
        </w:rPr>
        <w:fldChar w:fldCharType="end"/>
      </w:r>
      <w:r>
        <w:rPr>
          <w:rFonts w:hint="cs"/>
          <w:rtl/>
        </w:rPr>
        <w:t>.</w:t>
      </w:r>
    </w:p>
    <w:p w:rsidR="00F163D7" w:rsidRPr="00AD0263" w:rsidRDefault="00F163D7" w:rsidP="00F163D7">
      <w:pPr>
        <w:pStyle w:val="a3"/>
      </w:pPr>
      <w:bookmarkStart w:id="4736" w:name="_Toc56030547"/>
      <w:bookmarkStart w:id="4737" w:name="_Toc56032737"/>
      <w:r>
        <w:rPr>
          <w:rFonts w:hint="cs"/>
          <w:rtl/>
        </w:rPr>
        <w:t>ביאור הגרש"ר ברמב"ן דהראיה בחזקה היא ממה שלא סילקו מהקרקע אף אם מחה בפני עדים</w:t>
      </w:r>
      <w:bookmarkEnd w:id="4736"/>
      <w:bookmarkEnd w:id="4737"/>
    </w:p>
    <w:p w:rsidR="00F163D7" w:rsidRDefault="00F163D7" w:rsidP="007E4E81">
      <w:pPr>
        <w:pStyle w:val="a0"/>
        <w:rPr>
          <w:rtl/>
        </w:rPr>
      </w:pPr>
      <w:bookmarkStart w:id="4738" w:name="_Ref56013955"/>
      <w:r>
        <w:rPr>
          <w:rFonts w:hint="cs"/>
          <w:rtl/>
        </w:rPr>
        <w:t xml:space="preserve">ועוד כתב </w:t>
      </w:r>
      <w:r w:rsidRPr="00A425B4">
        <w:rPr>
          <w:rStyle w:val="af9"/>
          <w:rFonts w:hint="cs"/>
          <w:rtl/>
        </w:rPr>
        <w:t>בשיעורי רבי שמואל</w:t>
      </w:r>
      <w:r>
        <w:rPr>
          <w:rFonts w:hint="cs"/>
          <w:rtl/>
        </w:rPr>
        <w:t xml:space="preserve"> דאפש"ל דאין כוונת </w:t>
      </w:r>
      <w:r w:rsidRPr="00A425B4">
        <w:rPr>
          <w:rStyle w:val="af9"/>
          <w:rFonts w:hint="cs"/>
          <w:rtl/>
        </w:rPr>
        <w:t>הרמב"ן</w:t>
      </w:r>
      <w:r>
        <w:rPr>
          <w:rFonts w:hint="cs"/>
          <w:rtl/>
        </w:rPr>
        <w:t xml:space="preserve"> לומר דהראיה היא ממה שהמערער לא מיחה בו בפני עדים, אלא ממה שהמערער לא הוציאו מהקרקע בב"ד, וא"כ אף אם מחה המערער בפני עדים, עדיין החזקה היא ראיה למחזיק דהוא נחשב עי"ז כמוחזק, מהא דלא הוציאו המערער, אלא דהמחאה מועילה למערער לבטל את חזקת המחזיק, אך לעיקר החזקה א"צ בירור שלא מחה המחזיק, ולכן אינו צריך להביא עדים ע"ז.</w:t>
      </w:r>
      <w:bookmarkEnd w:id="4738"/>
    </w:p>
    <w:p w:rsidR="00F163D7" w:rsidRDefault="00F163D7" w:rsidP="00F163D7">
      <w:pPr>
        <w:pStyle w:val="1"/>
        <w:rPr>
          <w:rtl/>
        </w:rPr>
      </w:pPr>
      <w:bookmarkStart w:id="4739" w:name="_Toc55739947"/>
      <w:bookmarkStart w:id="4740" w:name="_Toc55839499"/>
      <w:bookmarkStart w:id="4741" w:name="_Toc55927903"/>
      <w:bookmarkStart w:id="4742" w:name="_Toc55946629"/>
      <w:bookmarkStart w:id="4743" w:name="_Toc55991969"/>
      <w:bookmarkStart w:id="4744" w:name="_Toc56030548"/>
      <w:bookmarkStart w:id="4745" w:name="_Toc56032738"/>
      <w:bookmarkEnd w:id="4670"/>
      <w:bookmarkEnd w:id="4671"/>
      <w:bookmarkEnd w:id="4672"/>
      <w:r>
        <w:rPr>
          <w:rFonts w:hint="cs"/>
          <w:rtl/>
        </w:rPr>
        <w:t>תירוץ הקוב"ש</w:t>
      </w:r>
      <w:bookmarkEnd w:id="4739"/>
      <w:bookmarkEnd w:id="4740"/>
      <w:bookmarkEnd w:id="4741"/>
      <w:bookmarkEnd w:id="4742"/>
      <w:bookmarkEnd w:id="4743"/>
      <w:r>
        <w:rPr>
          <w:rFonts w:hint="cs"/>
          <w:rtl/>
        </w:rPr>
        <w:t xml:space="preserve"> דאין בכח ספק מחאה לבטל ודאי חזקה</w:t>
      </w:r>
      <w:bookmarkEnd w:id="4744"/>
      <w:bookmarkEnd w:id="4745"/>
    </w:p>
    <w:p w:rsidR="00F163D7" w:rsidRPr="00E43DAC" w:rsidRDefault="00F163D7" w:rsidP="00F163D7">
      <w:pPr>
        <w:pStyle w:val="a3"/>
        <w:rPr>
          <w:rtl/>
        </w:rPr>
      </w:pPr>
      <w:bookmarkStart w:id="4746" w:name="_Toc56030549"/>
      <w:bookmarkStart w:id="4747" w:name="_Toc56032739"/>
      <w:r>
        <w:rPr>
          <w:rFonts w:hint="cs"/>
          <w:rtl/>
        </w:rPr>
        <w:t>דברי הקוב"ש דבודאי חזקה וספק מחאה כשהמערער היה יכול למחות אין ספק מוציא מודאי</w:t>
      </w:r>
      <w:bookmarkEnd w:id="4746"/>
      <w:bookmarkEnd w:id="4747"/>
      <w:r>
        <w:rPr>
          <w:rFonts w:hint="cs"/>
          <w:rtl/>
        </w:rPr>
        <w:t xml:space="preserve"> </w:t>
      </w:r>
    </w:p>
    <w:p w:rsidR="00F163D7" w:rsidRDefault="00F163D7" w:rsidP="007E4E81">
      <w:pPr>
        <w:pStyle w:val="a0"/>
      </w:pPr>
      <w:bookmarkStart w:id="4748" w:name="_Ref55839081"/>
      <w:r w:rsidRPr="00104757">
        <w:rPr>
          <w:rStyle w:val="af9"/>
          <w:rFonts w:hint="cs"/>
          <w:rtl/>
        </w:rPr>
        <w:t>והקוב"ש</w:t>
      </w:r>
      <w:r w:rsidRPr="00104757">
        <w:rPr>
          <w:rFonts w:hint="cs"/>
          <w:rtl/>
        </w:rPr>
        <w:t xml:space="preserve"> </w:t>
      </w:r>
      <w:r w:rsidRPr="00104757">
        <w:rPr>
          <w:rStyle w:val="af7"/>
          <w:rFonts w:eastAsia="Guttman Hodes" w:hint="cs"/>
          <w:rtl/>
        </w:rPr>
        <w:t>(או' ק"ד)</w:t>
      </w:r>
      <w:r w:rsidRPr="00104757">
        <w:rPr>
          <w:rFonts w:hint="cs"/>
          <w:rtl/>
        </w:rPr>
        <w:t xml:space="preserve"> תירץ דכיון שיש ודאי חזקה, ויש ספק אי הייתה מחאה שביטלה את החזקה, לכן אמרינן דאין ספק מוציא מידי ודאי</w:t>
      </w:r>
      <w:bookmarkEnd w:id="4748"/>
      <w:r>
        <w:rPr>
          <w:rFonts w:hint="cs"/>
          <w:rtl/>
        </w:rPr>
        <w:t xml:space="preserve">, אך כתב </w:t>
      </w:r>
      <w:r w:rsidRPr="00CB445C">
        <w:rPr>
          <w:rStyle w:val="af9"/>
          <w:rFonts w:hint="cs"/>
          <w:rtl/>
        </w:rPr>
        <w:t>הקוב"ש</w:t>
      </w:r>
      <w:r>
        <w:rPr>
          <w:rFonts w:hint="cs"/>
          <w:rtl/>
        </w:rPr>
        <w:t xml:space="preserve"> דרק באופן שהמערער היה יכול למחות חשיב ודאי חזקה וספק מחאה שביטלה אותה.</w:t>
      </w:r>
    </w:p>
    <w:p w:rsidR="00F163D7" w:rsidRDefault="00F163D7" w:rsidP="00F163D7">
      <w:pPr>
        <w:pStyle w:val="a3"/>
      </w:pPr>
      <w:bookmarkStart w:id="4749" w:name="_Toc56030550"/>
      <w:bookmarkStart w:id="4750" w:name="_Toc56032740"/>
      <w:r>
        <w:rPr>
          <w:rFonts w:hint="cs"/>
          <w:rtl/>
        </w:rPr>
        <w:t>דברי הקוב"ש דכשלא היה המערער יכול למחות הספק בעיקר החזקה ועל המחזיק להוכיח</w:t>
      </w:r>
      <w:bookmarkEnd w:id="4749"/>
      <w:bookmarkEnd w:id="4750"/>
    </w:p>
    <w:p w:rsidR="00F163D7" w:rsidRPr="00741039" w:rsidRDefault="00F163D7" w:rsidP="007E4E81">
      <w:pPr>
        <w:pStyle w:val="a0"/>
        <w:rPr>
          <w:rtl/>
        </w:rPr>
      </w:pPr>
      <w:r>
        <w:rPr>
          <w:rFonts w:hint="cs"/>
          <w:rtl/>
        </w:rPr>
        <w:t xml:space="preserve">אבל באופן שהיה המערער במקום שלא היה יכול למחות, כתב </w:t>
      </w:r>
      <w:r w:rsidRPr="00CB445C">
        <w:rPr>
          <w:rStyle w:val="af9"/>
          <w:rFonts w:hint="cs"/>
          <w:rtl/>
        </w:rPr>
        <w:t>הקוב"ש</w:t>
      </w:r>
      <w:r>
        <w:rPr>
          <w:rFonts w:hint="cs"/>
          <w:rtl/>
        </w:rPr>
        <w:t xml:space="preserve"> דאי"ז חזקה כלל, והספק אם הייתה מחאה, אינו בביטול החזקה, אלא הוא בעיקר החזקה, אם החזיק כדין, ולכן בכה"ג על </w:t>
      </w:r>
      <w:r w:rsidRPr="00741039">
        <w:rPr>
          <w:rFonts w:hint="cs"/>
          <w:rtl/>
        </w:rPr>
        <w:t xml:space="preserve">המחזיק להוכיח שהחזיק כדין, עיי"ש במה שהאריך </w:t>
      </w:r>
      <w:r w:rsidRPr="00741039">
        <w:rPr>
          <w:rStyle w:val="af9"/>
          <w:rFonts w:hint="cs"/>
          <w:rtl/>
        </w:rPr>
        <w:t>הקוב"ש</w:t>
      </w:r>
      <w:r w:rsidRPr="00741039">
        <w:rPr>
          <w:rFonts w:hint="cs"/>
          <w:rtl/>
        </w:rPr>
        <w:t xml:space="preserve"> בזה .</w:t>
      </w:r>
    </w:p>
    <w:p w:rsidR="00F163D7" w:rsidRPr="00741039" w:rsidRDefault="00F163D7" w:rsidP="00F163D7">
      <w:pPr>
        <w:pStyle w:val="1"/>
        <w:rPr>
          <w:rtl/>
        </w:rPr>
      </w:pPr>
      <w:r>
        <w:rPr>
          <w:rFonts w:hint="cs"/>
          <w:rtl/>
        </w:rPr>
        <w:t>חקירת</w:t>
      </w:r>
      <w:r w:rsidRPr="00741039">
        <w:rPr>
          <w:rFonts w:hint="cs"/>
          <w:rtl/>
        </w:rPr>
        <w:t xml:space="preserve"> המשנת ר"א </w:t>
      </w:r>
      <w:r>
        <w:rPr>
          <w:rFonts w:hint="cs"/>
          <w:rtl/>
        </w:rPr>
        <w:t>בגדר המוחזקות בחזקת ג"ש להרמב"ן</w:t>
      </w:r>
    </w:p>
    <w:p w:rsidR="00F163D7" w:rsidRPr="00741039" w:rsidRDefault="00F163D7" w:rsidP="00F163D7">
      <w:pPr>
        <w:pStyle w:val="a3"/>
        <w:rPr>
          <w:rtl/>
        </w:rPr>
      </w:pPr>
      <w:r w:rsidRPr="00CB09E4">
        <w:rPr>
          <w:rtl/>
        </w:rPr>
        <w:t>ה</w:t>
      </w:r>
      <w:r>
        <w:rPr>
          <w:rFonts w:hint="cs"/>
          <w:rtl/>
        </w:rPr>
        <w:t>צד הא' ב</w:t>
      </w:r>
      <w:r w:rsidRPr="00CB09E4">
        <w:rPr>
          <w:rtl/>
        </w:rPr>
        <w:t>משנת ר"א דקרקע בחזקת בעליה כגודרות ואחר חזקת ג"ש היא בחזקת המחזיק</w:t>
      </w:r>
    </w:p>
    <w:p w:rsidR="00F163D7" w:rsidRPr="00741039" w:rsidRDefault="00F163D7" w:rsidP="007E4E81">
      <w:pPr>
        <w:pStyle w:val="a0"/>
      </w:pPr>
      <w:r w:rsidRPr="00741039">
        <w:rPr>
          <w:rFonts w:hint="cs"/>
          <w:rtl/>
        </w:rPr>
        <w:t>ב</w:t>
      </w:r>
      <w:r>
        <w:rPr>
          <w:rFonts w:hint="cs"/>
          <w:rtl/>
        </w:rPr>
        <w:t xml:space="preserve">מ"ש </w:t>
      </w:r>
      <w:r w:rsidRPr="00BB045B">
        <w:rPr>
          <w:rStyle w:val="af9"/>
          <w:rFonts w:hint="cs"/>
          <w:rtl/>
        </w:rPr>
        <w:t>הרמב"ן</w:t>
      </w:r>
      <w:r>
        <w:rPr>
          <w:rFonts w:hint="cs"/>
          <w:rtl/>
        </w:rPr>
        <w:t xml:space="preserve">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741039">
        <w:rPr>
          <w:rFonts w:hint="cs"/>
          <w:rtl/>
        </w:rPr>
        <w:t xml:space="preserve"> דהחזקה עצמה מהני אף בפחות מג"ש, כיון שהבעלים לא מיחה, והא דצריך ג"ש הוא רק כיון דבתוך ג"ש, אמרינן למחזיק אחוי שטרך, כתב </w:t>
      </w:r>
      <w:r w:rsidRPr="00741039">
        <w:rPr>
          <w:rStyle w:val="af9"/>
          <w:rFonts w:hint="cs"/>
          <w:rtl/>
        </w:rPr>
        <w:t>במשנת ר"א בב"מ</w:t>
      </w:r>
      <w:r w:rsidRPr="00741039">
        <w:rPr>
          <w:rFonts w:hint="cs"/>
          <w:rtl/>
        </w:rPr>
        <w:t xml:space="preserve"> </w:t>
      </w:r>
      <w:r w:rsidRPr="00741039">
        <w:rPr>
          <w:rStyle w:val="af7"/>
          <w:rFonts w:eastAsia="Guttman Hodes" w:hint="cs"/>
          <w:rtl/>
        </w:rPr>
        <w:t xml:space="preserve">(מילואים לסי' ז' או' ד' ד"ה דשיטת הרמב"ן) </w:t>
      </w:r>
      <w:r w:rsidRPr="00741039">
        <w:rPr>
          <w:rFonts w:hint="cs"/>
          <w:rtl/>
        </w:rPr>
        <w:t xml:space="preserve">דיש לחקור בגדר המוחזקות בחזקת ג"ש, והצד הא' כתב </w:t>
      </w:r>
      <w:r w:rsidRPr="00741039">
        <w:rPr>
          <w:rStyle w:val="af9"/>
          <w:rFonts w:hint="cs"/>
          <w:rtl/>
        </w:rPr>
        <w:t>במשנת ר"א</w:t>
      </w:r>
      <w:r w:rsidRPr="00741039">
        <w:rPr>
          <w:rFonts w:hint="cs"/>
          <w:rtl/>
        </w:rPr>
        <w:t xml:space="preserve"> דע"י החזקה המחזיק נעשה למוחזק והקרקע יצאה מרשות הבעלים לרשות המחזיק, דכ"מ דאמרינן דקרקע בחזקת בעליה עומדת, היינו כיון דאפש"ל דהמחזיק נכנס מעצמו, </w:t>
      </w:r>
      <w:r w:rsidRPr="00741039">
        <w:rPr>
          <w:rStyle w:val="afb"/>
          <w:rFonts w:hint="cs"/>
          <w:rtl/>
        </w:rPr>
        <w:t xml:space="preserve">[כמו בגודרות דאפש"ל שבאו מעצמם למי שתפוס בהם], </w:t>
      </w:r>
      <w:r w:rsidRPr="00741039">
        <w:rPr>
          <w:rFonts w:hint="cs"/>
          <w:rtl/>
        </w:rPr>
        <w:t>ואחר שעברו ג"ש ולא מיחה בו הבעלים, לא אמרינן דאפש"ל שנכנס מעצמו, והמחזיק נעשה למוחזק ויצאה הקרקע מחזקת הבעלים.</w:t>
      </w:r>
    </w:p>
    <w:p w:rsidR="00F163D7" w:rsidRPr="00741039" w:rsidRDefault="00F163D7" w:rsidP="00F163D7">
      <w:pPr>
        <w:pStyle w:val="a3"/>
      </w:pPr>
      <w:r w:rsidRPr="00CB09E4">
        <w:rPr>
          <w:rtl/>
        </w:rPr>
        <w:t>ה</w:t>
      </w:r>
      <w:r>
        <w:rPr>
          <w:rFonts w:hint="cs"/>
          <w:rtl/>
        </w:rPr>
        <w:t>צד הב' ב</w:t>
      </w:r>
      <w:r w:rsidRPr="00CB09E4">
        <w:rPr>
          <w:rtl/>
        </w:rPr>
        <w:t>משנת ר"א דהחזקה מוציאה מהבעלים בראיה כשטר מכר אעפ"י דהמר"ק מוחזק</w:t>
      </w:r>
    </w:p>
    <w:p w:rsidR="00F163D7" w:rsidRPr="00741039" w:rsidRDefault="00F163D7" w:rsidP="007E4E81">
      <w:pPr>
        <w:pStyle w:val="a0"/>
        <w:rPr>
          <w:rtl/>
        </w:rPr>
      </w:pPr>
      <w:r w:rsidRPr="00741039">
        <w:rPr>
          <w:rFonts w:hint="cs"/>
          <w:rtl/>
        </w:rPr>
        <w:t xml:space="preserve">והצד הב' כתב </w:t>
      </w:r>
      <w:r w:rsidRPr="00741039">
        <w:rPr>
          <w:rStyle w:val="af9"/>
          <w:rFonts w:hint="cs"/>
          <w:rtl/>
        </w:rPr>
        <w:t>במשנת ר"א</w:t>
      </w:r>
      <w:r w:rsidRPr="00741039">
        <w:rPr>
          <w:rFonts w:hint="cs"/>
          <w:rtl/>
        </w:rPr>
        <w:t xml:space="preserve"> דלעולם קרקע בחזקת בעליה עומדת, ואף שיש למחזיק חזקת ג"ש, מ"מ המרא קמא הוא המוחזק, אלא דהחזקה מוציאה מהמרא קמא מדין ראיה, דמדלא מיחה מוכח שמכר לו, ומהני להוציא מהמרא קמא כמו ששטר מכר מוציא מהבעלים, והחזקה היא במקום שטר. </w:t>
      </w:r>
      <w:r w:rsidRPr="00BE07F2">
        <w:rPr>
          <w:rStyle w:val="afb"/>
          <w:rFonts w:hint="cs"/>
          <w:rtl/>
        </w:rPr>
        <w:t xml:space="preserve">[ועיי"ש במ"ש </w:t>
      </w:r>
      <w:r w:rsidRPr="00BE07F2">
        <w:rPr>
          <w:rStyle w:val="affa"/>
          <w:rFonts w:hint="cs"/>
          <w:rtl/>
        </w:rPr>
        <w:t>המשנת ר"א בב"מ</w:t>
      </w:r>
      <w:r w:rsidRPr="00BE07F2">
        <w:rPr>
          <w:rStyle w:val="afb"/>
          <w:rFonts w:hint="cs"/>
          <w:rtl/>
        </w:rPr>
        <w:t xml:space="preserve"> </w:t>
      </w:r>
      <w:r w:rsidRPr="00BE07F2">
        <w:rPr>
          <w:rStyle w:val="aff6"/>
          <w:rFonts w:hint="cs"/>
          <w:rtl/>
        </w:rPr>
        <w:t>(מילואים לסי' ז' או' ד' ד"ה ובזה תלוי)</w:t>
      </w:r>
      <w:r w:rsidRPr="00BE07F2">
        <w:rPr>
          <w:rStyle w:val="afb"/>
          <w:rFonts w:hint="cs"/>
          <w:rtl/>
        </w:rPr>
        <w:t xml:space="preserve"> דבב' צדדים אלו תלוי הספק אי טענת אחוי שטרך מהני להוציא ממוחזק],</w:t>
      </w:r>
      <w:r>
        <w:rPr>
          <w:rFonts w:hint="cs"/>
          <w:rtl/>
        </w:rPr>
        <w:t xml:space="preserve"> ועי' במ"ש </w:t>
      </w:r>
      <w:r w:rsidRPr="000875E5">
        <w:rPr>
          <w:rStyle w:val="af9"/>
          <w:rFonts w:hint="cs"/>
          <w:rtl/>
        </w:rPr>
        <w:t>במשנת ר"א בב"מ</w:t>
      </w:r>
      <w:r>
        <w:rPr>
          <w:rFonts w:hint="cs"/>
          <w:rtl/>
        </w:rPr>
        <w:t xml:space="preserve"> </w:t>
      </w:r>
      <w:r w:rsidRPr="000875E5">
        <w:rPr>
          <w:rStyle w:val="af7"/>
          <w:rFonts w:eastAsia="Guttman Hodes" w:hint="cs"/>
          <w:rtl/>
        </w:rPr>
        <w:t>(מילואים לסי' ז' או' ד' ד ונראה דהספק</w:t>
      </w:r>
      <w:r>
        <w:rPr>
          <w:rStyle w:val="af7"/>
          <w:rFonts w:eastAsia="Guttman Hodes" w:hint="cs"/>
          <w:rtl/>
        </w:rPr>
        <w:t>, הובא בסימן ז' אות פ"ב)</w:t>
      </w:r>
      <w:r>
        <w:rPr>
          <w:rFonts w:hint="cs"/>
          <w:rtl/>
        </w:rPr>
        <w:t xml:space="preserve"> דבב' צדדים אלו נחלקו רבא ור"נ לקמן </w:t>
      </w:r>
      <w:r w:rsidRPr="00BE07F2">
        <w:rPr>
          <w:rStyle w:val="af7"/>
          <w:rFonts w:eastAsia="Guttman Hodes" w:hint="cs"/>
          <w:rtl/>
        </w:rPr>
        <w:t>(כט:)</w:t>
      </w:r>
      <w:r>
        <w:rPr>
          <w:rFonts w:hint="cs"/>
          <w:rtl/>
        </w:rPr>
        <w:t xml:space="preserve"> בסוגיא דשכוני גוואי</w:t>
      </w:r>
      <w:r w:rsidRPr="00741039">
        <w:rPr>
          <w:rFonts w:hint="cs"/>
          <w:rtl/>
        </w:rPr>
        <w:t>.</w:t>
      </w:r>
    </w:p>
    <w:p w:rsidR="00F163D7" w:rsidRPr="00741039" w:rsidRDefault="00F163D7" w:rsidP="00F163D7">
      <w:pPr>
        <w:pStyle w:val="afe"/>
        <w:rPr>
          <w:rtl/>
        </w:rPr>
      </w:pPr>
      <w:bookmarkStart w:id="4751" w:name="_Toc55927904"/>
      <w:bookmarkStart w:id="4752" w:name="_Toc55946630"/>
      <w:bookmarkStart w:id="4753" w:name="_Toc55991970"/>
      <w:bookmarkStart w:id="4754" w:name="_Toc56030551"/>
      <w:bookmarkStart w:id="4755" w:name="_Toc56032741"/>
      <w:r w:rsidRPr="00741039">
        <w:rPr>
          <w:rFonts w:hint="cs"/>
          <w:rtl/>
        </w:rPr>
        <w:t>תי' האחרונים על קושיות הקצוה"ח</w:t>
      </w:r>
      <w:bookmarkEnd w:id="4751"/>
      <w:bookmarkEnd w:id="4752"/>
      <w:bookmarkEnd w:id="4753"/>
      <w:bookmarkEnd w:id="4754"/>
      <w:bookmarkEnd w:id="4755"/>
    </w:p>
    <w:p w:rsidR="00F163D7" w:rsidRPr="00741039" w:rsidRDefault="00F163D7" w:rsidP="00F163D7">
      <w:pPr>
        <w:pStyle w:val="1"/>
        <w:rPr>
          <w:rtl/>
        </w:rPr>
      </w:pPr>
      <w:bookmarkStart w:id="4756" w:name="_Toc55839532"/>
      <w:bookmarkStart w:id="4757" w:name="_Toc55927905"/>
      <w:bookmarkStart w:id="4758" w:name="_Toc55946631"/>
      <w:bookmarkStart w:id="4759" w:name="_Toc55991971"/>
      <w:bookmarkStart w:id="4760" w:name="_Toc56030552"/>
      <w:bookmarkStart w:id="4761" w:name="_Toc56032742"/>
      <w:r w:rsidRPr="00741039">
        <w:rPr>
          <w:rFonts w:hint="cs"/>
          <w:rtl/>
        </w:rPr>
        <w:t xml:space="preserve">תירוצי האחרונים על קו' הקצוה"ח מעבד קטן </w:t>
      </w:r>
      <w:bookmarkEnd w:id="4756"/>
      <w:bookmarkEnd w:id="4757"/>
      <w:bookmarkEnd w:id="4758"/>
      <w:bookmarkEnd w:id="4759"/>
      <w:bookmarkEnd w:id="4760"/>
      <w:r w:rsidRPr="00741039">
        <w:rPr>
          <w:rFonts w:hint="cs"/>
          <w:rtl/>
        </w:rPr>
        <w:t>ומצנא דפירי</w:t>
      </w:r>
      <w:bookmarkEnd w:id="4761"/>
    </w:p>
    <w:p w:rsidR="00F163D7" w:rsidRPr="00741039" w:rsidRDefault="00F163D7" w:rsidP="00F163D7">
      <w:pPr>
        <w:pStyle w:val="a3"/>
        <w:rPr>
          <w:rtl/>
        </w:rPr>
      </w:pPr>
      <w:bookmarkStart w:id="4762" w:name="_Toc55839533"/>
      <w:bookmarkStart w:id="4763" w:name="_Toc55927906"/>
      <w:bookmarkStart w:id="4764" w:name="_Toc55946632"/>
      <w:bookmarkStart w:id="4765" w:name="_Toc55991972"/>
      <w:bookmarkStart w:id="4766" w:name="_Toc56030553"/>
      <w:bookmarkStart w:id="4767" w:name="_Toc56032743"/>
      <w:r w:rsidRPr="00741039">
        <w:rPr>
          <w:rFonts w:hint="cs"/>
          <w:rtl/>
        </w:rPr>
        <w:t>דברי הקוב"ש דבמטלטלין התפיסה היא ראיה ואחוי שטרך יוצר ספק ומעמידים בחזקת המוחזק</w:t>
      </w:r>
      <w:bookmarkEnd w:id="4762"/>
      <w:bookmarkEnd w:id="4763"/>
      <w:bookmarkEnd w:id="4764"/>
      <w:bookmarkEnd w:id="4765"/>
      <w:bookmarkEnd w:id="4766"/>
      <w:bookmarkEnd w:id="4767"/>
    </w:p>
    <w:p w:rsidR="00F163D7" w:rsidRDefault="00F163D7" w:rsidP="007E4E81">
      <w:pPr>
        <w:pStyle w:val="a0"/>
        <w:rPr>
          <w:rtl/>
        </w:rPr>
      </w:pPr>
      <w:r w:rsidRPr="00741039">
        <w:rPr>
          <w:rFonts w:hint="cs"/>
          <w:rtl/>
        </w:rPr>
        <w:t xml:space="preserve">במה שהקשה </w:t>
      </w:r>
      <w:r w:rsidRPr="00741039">
        <w:rPr>
          <w:rStyle w:val="af9"/>
          <w:rFonts w:hint="cs"/>
          <w:rtl/>
        </w:rPr>
        <w:t xml:space="preserve">הקצוה"ח </w:t>
      </w:r>
      <w:r w:rsidRPr="00741039">
        <w:rPr>
          <w:rStyle w:val="af7"/>
          <w:rFonts w:eastAsia="Guttman Hodes" w:hint="cs"/>
          <w:rtl/>
        </w:rPr>
        <w:t xml:space="preserve">(עי' אות </w:t>
      </w:r>
      <w:r w:rsidRPr="00741039">
        <w:rPr>
          <w:rStyle w:val="af7"/>
          <w:rFonts w:eastAsia="Guttman Hodes"/>
          <w:rtl/>
        </w:rPr>
        <w:fldChar w:fldCharType="begin"/>
      </w:r>
      <w:r w:rsidRPr="00741039">
        <w:rPr>
          <w:rStyle w:val="af7"/>
          <w:rFonts w:eastAsia="Guttman Hodes"/>
          <w:rtl/>
        </w:rPr>
        <w:instrText xml:space="preserve"> </w:instrText>
      </w:r>
      <w:r w:rsidRPr="00741039">
        <w:rPr>
          <w:rStyle w:val="af7"/>
          <w:rFonts w:eastAsia="Guttman Hodes" w:hint="cs"/>
        </w:rPr>
        <w:instrText>REF</w:instrText>
      </w:r>
      <w:r w:rsidRPr="00741039">
        <w:rPr>
          <w:rStyle w:val="af7"/>
          <w:rFonts w:eastAsia="Guttman Hodes" w:hint="cs"/>
          <w:rtl/>
        </w:rPr>
        <w:instrText xml:space="preserve"> _</w:instrText>
      </w:r>
      <w:r w:rsidRPr="00741039">
        <w:rPr>
          <w:rStyle w:val="af7"/>
          <w:rFonts w:eastAsia="Guttman Hodes" w:hint="cs"/>
        </w:rPr>
        <w:instrText>Ref55749815 \r \h</w:instrText>
      </w:r>
      <w:r w:rsidRPr="0074103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41039">
        <w:rPr>
          <w:rStyle w:val="af7"/>
          <w:rFonts w:eastAsia="Guttman Hodes"/>
          <w:rtl/>
        </w:rPr>
      </w:r>
      <w:r w:rsidRPr="00741039">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741039">
        <w:rPr>
          <w:rStyle w:val="af7"/>
          <w:rFonts w:eastAsia="Guttman Hodes"/>
          <w:rtl/>
        </w:rPr>
        <w:fldChar w:fldCharType="end"/>
      </w:r>
      <w:r w:rsidR="00A77F33">
        <w:rPr>
          <w:rStyle w:val="af7"/>
          <w:rFonts w:eastAsia="Guttman Hodes" w:hint="cs"/>
          <w:rtl/>
        </w:rPr>
        <w:t xml:space="preserve"> </w:t>
      </w:r>
      <w:r w:rsidRPr="00741039">
        <w:rPr>
          <w:rStyle w:val="af9"/>
          <w:rFonts w:hint="cs"/>
          <w:rtl/>
        </w:rPr>
        <w:t>דלרמב"ן</w:t>
      </w:r>
      <w:r w:rsidRPr="00741039">
        <w:rPr>
          <w:rFonts w:hint="cs"/>
          <w:rtl/>
        </w:rPr>
        <w:t xml:space="preserve"> דחזקת ג"ש היא דכיון ששתק שהמערער רגלים לדבר שמכר לו, אלא דבתוך ג"ש טוענים למחזיק אחוי שטרך, א"כ בעבד קטן אמאי יש בו חזקה לאלתר, כיון דעבדים בני שטרא, נימא ליה אחוי שטרך, תירץ </w:t>
      </w:r>
      <w:r w:rsidRPr="00741039">
        <w:rPr>
          <w:rStyle w:val="af9"/>
          <w:rFonts w:hint="cs"/>
          <w:rtl/>
        </w:rPr>
        <w:t>הקוב"ש</w:t>
      </w:r>
      <w:r w:rsidRPr="00741039">
        <w:rPr>
          <w:rFonts w:hint="cs"/>
          <w:rtl/>
        </w:rPr>
        <w:t xml:space="preserve"> </w:t>
      </w:r>
      <w:r w:rsidRPr="00741039">
        <w:rPr>
          <w:rStyle w:val="af7"/>
          <w:rFonts w:eastAsia="Guttman Hodes" w:hint="cs"/>
          <w:rtl/>
        </w:rPr>
        <w:t>(או' ק"ס ד"ה בקצה"ח)</w:t>
      </w:r>
      <w:r w:rsidRPr="00741039">
        <w:rPr>
          <w:rFonts w:hint="cs"/>
          <w:rtl/>
        </w:rPr>
        <w:t xml:space="preserve"> דבמטלטלין התפיסה היא הוכחה לטענה של המחזיק דקנה</w:t>
      </w:r>
      <w:r>
        <w:rPr>
          <w:rFonts w:hint="cs"/>
          <w:rtl/>
        </w:rPr>
        <w:t xml:space="preserve"> מהבעלים, וטענת אחוי שטרך סותרת לתפיסה של המחזיק, ועי"ז יש דררא דממונא וספק, וכיון שיש ספק לכן במטלטלין מעמידים בחזקת התפוס,</w:t>
      </w:r>
      <w:r w:rsidRPr="00E5797B">
        <w:rPr>
          <w:rFonts w:hint="cs"/>
          <w:rtl/>
        </w:rPr>
        <w:t xml:space="preserve"> </w:t>
      </w:r>
      <w:r>
        <w:rPr>
          <w:rFonts w:hint="cs"/>
          <w:rtl/>
        </w:rPr>
        <w:t>וא"א להוציא ממנו בספק.</w:t>
      </w:r>
    </w:p>
    <w:p w:rsidR="00F163D7" w:rsidRPr="00794053" w:rsidRDefault="00F163D7" w:rsidP="00F163D7">
      <w:pPr>
        <w:pStyle w:val="a3"/>
        <w:rPr>
          <w:rtl/>
        </w:rPr>
      </w:pPr>
      <w:bookmarkStart w:id="4768" w:name="_Toc55839534"/>
      <w:bookmarkStart w:id="4769" w:name="_Toc55927907"/>
      <w:bookmarkStart w:id="4770" w:name="_Toc55946633"/>
      <w:bookmarkStart w:id="4771" w:name="_Toc55991973"/>
      <w:bookmarkStart w:id="4772" w:name="_Toc56030554"/>
      <w:bookmarkStart w:id="4773" w:name="_Toc56032744"/>
      <w:r>
        <w:rPr>
          <w:rFonts w:hint="cs"/>
          <w:rtl/>
        </w:rPr>
        <w:lastRenderedPageBreak/>
        <w:t>דברי הקוב"ש דעבד קטן לענין מוחזקות כמטלטלין ומהני תפיסה כנגד טענת אחוי שטרך</w:t>
      </w:r>
      <w:bookmarkEnd w:id="4768"/>
      <w:bookmarkEnd w:id="4769"/>
      <w:bookmarkEnd w:id="4770"/>
      <w:bookmarkEnd w:id="4771"/>
      <w:bookmarkEnd w:id="4772"/>
      <w:bookmarkEnd w:id="4773"/>
    </w:p>
    <w:p w:rsidR="00F163D7" w:rsidRDefault="00F163D7" w:rsidP="007E4E81">
      <w:pPr>
        <w:pStyle w:val="a0"/>
        <w:rPr>
          <w:rtl/>
        </w:rPr>
      </w:pPr>
      <w:r>
        <w:rPr>
          <w:rFonts w:hint="cs"/>
          <w:rtl/>
        </w:rPr>
        <w:t xml:space="preserve">אבל בקרקע ביאר </w:t>
      </w:r>
      <w:r w:rsidRPr="00613703">
        <w:rPr>
          <w:rStyle w:val="af9"/>
          <w:rFonts w:hint="cs"/>
          <w:rtl/>
        </w:rPr>
        <w:t>הקוב"ש</w:t>
      </w:r>
      <w:r>
        <w:rPr>
          <w:rFonts w:hint="cs"/>
          <w:rtl/>
        </w:rPr>
        <w:t xml:space="preserve"> דכיון דבחזקת בעליה עומדת, א"כ כל שיש ספק מעמידים בחזקת המרא קמא, וכתב </w:t>
      </w:r>
      <w:r w:rsidRPr="00703D63">
        <w:rPr>
          <w:rStyle w:val="af9"/>
          <w:rFonts w:hint="cs"/>
          <w:rtl/>
        </w:rPr>
        <w:t>הקוב"ש</w:t>
      </w:r>
      <w:r>
        <w:rPr>
          <w:rFonts w:hint="cs"/>
          <w:rtl/>
        </w:rPr>
        <w:t xml:space="preserve"> דא"כ בעבד קטן, אף דעבד דינו כקרקע מ"מ לענין מוחזק דינו כמטלטלין שמהני בהם תפיסה, ולכן אף שיש כנגדו טענת אחוי שטרך, מ"מ יש בו חזקה לאלתר.</w:t>
      </w:r>
    </w:p>
    <w:p w:rsidR="00F163D7" w:rsidRPr="00620BEF" w:rsidRDefault="00F163D7" w:rsidP="00F163D7">
      <w:pPr>
        <w:pStyle w:val="a3"/>
      </w:pPr>
      <w:bookmarkStart w:id="4774" w:name="_Toc56030555"/>
      <w:bookmarkStart w:id="4775" w:name="_Toc56032745"/>
      <w:bookmarkStart w:id="4776" w:name="_Toc55839535"/>
      <w:r>
        <w:rPr>
          <w:rFonts w:hint="cs"/>
          <w:rtl/>
        </w:rPr>
        <w:t>ביאור הגרש"ר דאחוי שטרך אינו ראיה גמורה ועושה רק ספק ובקרקע מעמידים בחזקת המר"ק</w:t>
      </w:r>
      <w:bookmarkEnd w:id="4774"/>
      <w:bookmarkEnd w:id="4775"/>
    </w:p>
    <w:p w:rsidR="00F163D7" w:rsidRDefault="00F163D7" w:rsidP="007E4E81">
      <w:pPr>
        <w:pStyle w:val="a0"/>
        <w:rPr>
          <w:rtl/>
        </w:rPr>
      </w:pPr>
      <w:bookmarkStart w:id="4777" w:name="_Ref56028897"/>
      <w:r>
        <w:rPr>
          <w:rFonts w:hint="cs"/>
          <w:rtl/>
        </w:rPr>
        <w:t xml:space="preserve">במה שהקשה </w:t>
      </w:r>
      <w:r w:rsidRPr="00AF5643">
        <w:rPr>
          <w:rStyle w:val="af9"/>
          <w:rFonts w:hint="cs"/>
          <w:rtl/>
        </w:rPr>
        <w:t xml:space="preserve">הקצוה"ח </w:t>
      </w:r>
      <w:r w:rsidRPr="008A1A1C">
        <w:rPr>
          <w:rStyle w:val="af7"/>
          <w:rFonts w:eastAsia="Guttman Hodes" w:hint="cs"/>
          <w:rtl/>
        </w:rPr>
        <w:t xml:space="preserve">(עי' אות </w:t>
      </w:r>
      <w:r w:rsidRPr="008A1A1C">
        <w:rPr>
          <w:rStyle w:val="af7"/>
          <w:rFonts w:eastAsia="Guttman Hodes"/>
          <w:rtl/>
        </w:rPr>
        <w:fldChar w:fldCharType="begin"/>
      </w:r>
      <w:r w:rsidRPr="008A1A1C">
        <w:rPr>
          <w:rStyle w:val="af7"/>
          <w:rFonts w:eastAsia="Guttman Hodes"/>
          <w:rtl/>
        </w:rPr>
        <w:instrText xml:space="preserve"> </w:instrText>
      </w:r>
      <w:r w:rsidRPr="008A1A1C">
        <w:rPr>
          <w:rStyle w:val="af7"/>
          <w:rFonts w:eastAsia="Guttman Hodes" w:hint="cs"/>
        </w:rPr>
        <w:instrText>REF</w:instrText>
      </w:r>
      <w:r w:rsidRPr="008A1A1C">
        <w:rPr>
          <w:rStyle w:val="af7"/>
          <w:rFonts w:eastAsia="Guttman Hodes" w:hint="cs"/>
          <w:rtl/>
        </w:rPr>
        <w:instrText xml:space="preserve"> _</w:instrText>
      </w:r>
      <w:r w:rsidRPr="008A1A1C">
        <w:rPr>
          <w:rStyle w:val="af7"/>
          <w:rFonts w:eastAsia="Guttman Hodes" w:hint="cs"/>
        </w:rPr>
        <w:instrText>Ref55749815 \r \h</w:instrText>
      </w:r>
      <w:r w:rsidRPr="008A1A1C">
        <w:rPr>
          <w:rStyle w:val="af7"/>
          <w:rFonts w:eastAsia="Guttman Hodes"/>
          <w:rtl/>
        </w:rPr>
        <w:instrText xml:space="preserve"> </w:instrText>
      </w:r>
      <w:r w:rsidRPr="008A1A1C">
        <w:rPr>
          <w:rStyle w:val="af7"/>
          <w:rFonts w:eastAsia="Guttman Hodes"/>
          <w:rtl/>
        </w:rPr>
      </w:r>
      <w:r w:rsidRPr="008A1A1C">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8A1A1C">
        <w:rPr>
          <w:rStyle w:val="af7"/>
          <w:rFonts w:eastAsia="Guttman Hodes"/>
          <w:rtl/>
        </w:rPr>
        <w:fldChar w:fldCharType="end"/>
      </w:r>
      <w:r>
        <w:rPr>
          <w:rStyle w:val="af9"/>
          <w:rFonts w:hint="cs"/>
          <w:rtl/>
        </w:rPr>
        <w:t xml:space="preserve"> </w:t>
      </w:r>
      <w:r>
        <w:rPr>
          <w:rFonts w:hint="cs"/>
          <w:rtl/>
        </w:rPr>
        <w:t xml:space="preserve">דאמאי בעבד קטן אין טענת אחוי שטרך, תירץ </w:t>
      </w:r>
      <w:r>
        <w:rPr>
          <w:rStyle w:val="af9"/>
          <w:rtl/>
        </w:rPr>
        <w:t xml:space="preserve">בשיעורי רבי שמואל </w:t>
      </w:r>
      <w:r>
        <w:rPr>
          <w:rStyle w:val="af7"/>
          <w:rFonts w:eastAsia="Guttman Hodes" w:hint="cs"/>
          <w:rtl/>
        </w:rPr>
        <w:t>(כח. או' ב' ד"</w:t>
      </w:r>
      <w:r w:rsidRPr="008A1A1C">
        <w:rPr>
          <w:rStyle w:val="af7"/>
          <w:rFonts w:eastAsia="Guttman Hodes" w:hint="cs"/>
          <w:rtl/>
        </w:rPr>
        <w:t>ה עוד תמה)</w:t>
      </w:r>
      <w:r>
        <w:rPr>
          <w:rFonts w:hint="cs"/>
          <w:rtl/>
        </w:rPr>
        <w:t xml:space="preserve"> דהראיה דאחוי שטרך אינה ראיה גמורה, אלא היא רק עושה ספק, ולכן בקרקע מעמידים בחזקת המרא קמא.</w:t>
      </w:r>
    </w:p>
    <w:p w:rsidR="00F163D7" w:rsidRPr="006F7C20" w:rsidRDefault="00F163D7" w:rsidP="00F163D7">
      <w:pPr>
        <w:pStyle w:val="a3"/>
        <w:rPr>
          <w:rtl/>
        </w:rPr>
      </w:pPr>
      <w:bookmarkStart w:id="4778" w:name="_Toc56030556"/>
      <w:bookmarkStart w:id="4779" w:name="_Toc56032746"/>
      <w:r>
        <w:rPr>
          <w:rFonts w:hint="cs"/>
          <w:rtl/>
        </w:rPr>
        <w:t>תי' הגרש"ר על קושית הקצוה"ח דבעבד קטן אחוי שטרך עושה ספק ומעמידים בחזקת המוחזק</w:t>
      </w:r>
      <w:bookmarkEnd w:id="4778"/>
      <w:bookmarkEnd w:id="4779"/>
    </w:p>
    <w:p w:rsidR="00F163D7" w:rsidRPr="00971894" w:rsidRDefault="00F163D7" w:rsidP="007E4E81">
      <w:pPr>
        <w:pStyle w:val="a0"/>
        <w:rPr>
          <w:rStyle w:val="afb"/>
          <w:rtl/>
        </w:rPr>
      </w:pPr>
      <w:r>
        <w:rPr>
          <w:rFonts w:hint="cs"/>
          <w:rtl/>
        </w:rPr>
        <w:t xml:space="preserve">אבל בעבד קטן, </w:t>
      </w:r>
      <w:r>
        <w:rPr>
          <w:rStyle w:val="af9"/>
          <w:rtl/>
        </w:rPr>
        <w:t xml:space="preserve">בשיעורי רבי שמואל </w:t>
      </w:r>
      <w:r>
        <w:rPr>
          <w:rFonts w:hint="cs"/>
          <w:rtl/>
        </w:rPr>
        <w:t xml:space="preserve">ביאר דכיון שיש לו חזקה כמטלטלין דכל מה שתח"י של אדם שלו הוא, לכן מעמידים בחזקת המחזיק, וא"כ מבואר דבמטלטלין אין טענת אחוי שטרך כלל. </w:t>
      </w:r>
      <w:r w:rsidRPr="00971894">
        <w:rPr>
          <w:rStyle w:val="afb"/>
          <w:rFonts w:hint="cs"/>
          <w:rtl/>
        </w:rPr>
        <w:t xml:space="preserve">[אך הקשה </w:t>
      </w:r>
      <w:r w:rsidRPr="00971894">
        <w:rPr>
          <w:rStyle w:val="affa"/>
          <w:rFonts w:hint="cs"/>
          <w:rtl/>
        </w:rPr>
        <w:t>בשיעורי רבי שמואל</w:t>
      </w:r>
      <w:r w:rsidRPr="00971894">
        <w:rPr>
          <w:rStyle w:val="afb"/>
          <w:rFonts w:hint="cs"/>
          <w:rtl/>
        </w:rPr>
        <w:t xml:space="preserve"> דהא </w:t>
      </w:r>
      <w:r w:rsidRPr="00971894">
        <w:rPr>
          <w:rStyle w:val="affa"/>
          <w:rFonts w:hint="cs"/>
          <w:rtl/>
        </w:rPr>
        <w:t>ברשב"ם לקמן</w:t>
      </w:r>
      <w:r w:rsidRPr="00971894">
        <w:rPr>
          <w:rStyle w:val="afb"/>
          <w:rFonts w:hint="cs"/>
          <w:rtl/>
        </w:rPr>
        <w:t xml:space="preserve"> </w:t>
      </w:r>
      <w:r w:rsidRPr="00971894">
        <w:rPr>
          <w:rStyle w:val="aff6"/>
          <w:rFonts w:hint="cs"/>
          <w:rtl/>
        </w:rPr>
        <w:t>(מב. ד"ה אין להם, לג: ד"ה והדרי)</w:t>
      </w:r>
      <w:r w:rsidRPr="00971894">
        <w:rPr>
          <w:rStyle w:val="afb"/>
          <w:rFonts w:hint="cs"/>
          <w:rtl/>
        </w:rPr>
        <w:t xml:space="preserve"> כתב דבמטלטלין אין דרך לכתוב שטר, ומשמע דאם הייתה דרך לכתוב שטר, מהני טענת אחוי שטרך להוציא ממוחזק, ועיי"ש במ"ש </w:t>
      </w:r>
      <w:r w:rsidRPr="00971894">
        <w:rPr>
          <w:rStyle w:val="affa"/>
          <w:rtl/>
        </w:rPr>
        <w:t>בשיעורי רבי שמואל</w:t>
      </w:r>
      <w:r w:rsidRPr="00971894">
        <w:rPr>
          <w:rStyle w:val="afb"/>
          <w:rtl/>
        </w:rPr>
        <w:t xml:space="preserve"> </w:t>
      </w:r>
      <w:r w:rsidRPr="00971894">
        <w:rPr>
          <w:rStyle w:val="aff6"/>
          <w:rFonts w:hint="cs"/>
          <w:rtl/>
        </w:rPr>
        <w:t>(כח. או' ג)</w:t>
      </w:r>
      <w:r w:rsidRPr="00971894">
        <w:rPr>
          <w:rStyle w:val="afb"/>
          <w:rFonts w:hint="cs"/>
          <w:rtl/>
        </w:rPr>
        <w:t xml:space="preserve"> דמוכח דמהני טענת אחוי שטרך במטלטלין].</w:t>
      </w:r>
      <w:bookmarkEnd w:id="4777"/>
    </w:p>
    <w:p w:rsidR="00F163D7" w:rsidRDefault="00F163D7" w:rsidP="00F163D7">
      <w:pPr>
        <w:pStyle w:val="a3"/>
      </w:pPr>
      <w:bookmarkStart w:id="4780" w:name="_Toc56030558"/>
      <w:bookmarkStart w:id="4781" w:name="_Toc56032747"/>
      <w:bookmarkStart w:id="4782" w:name="_Ref56029135"/>
      <w:bookmarkEnd w:id="4776"/>
      <w:r>
        <w:rPr>
          <w:rFonts w:hint="cs"/>
          <w:rtl/>
        </w:rPr>
        <w:t>תי' הקה"י על קו' הקצוה"ח דבחזקת קרקע אם הורידו לפירות היה לו למחות ולפרסם כן</w:t>
      </w:r>
      <w:bookmarkEnd w:id="4780"/>
      <w:bookmarkEnd w:id="4781"/>
    </w:p>
    <w:p w:rsidR="00F163D7" w:rsidRDefault="00F163D7" w:rsidP="007E4E81">
      <w:pPr>
        <w:pStyle w:val="a0"/>
        <w:rPr>
          <w:rtl/>
        </w:rPr>
      </w:pPr>
      <w:bookmarkStart w:id="4783" w:name="_Ref56031750"/>
      <w:r>
        <w:rPr>
          <w:rFonts w:hint="cs"/>
          <w:rtl/>
        </w:rPr>
        <w:t xml:space="preserve">במה שהקשה </w:t>
      </w:r>
      <w:r w:rsidRPr="000D3E37">
        <w:rPr>
          <w:rStyle w:val="af9"/>
          <w:rFonts w:hint="cs"/>
          <w:rtl/>
        </w:rPr>
        <w:t xml:space="preserve">הקצוה"ח </w:t>
      </w:r>
      <w:r w:rsidRPr="000D3E37">
        <w:rPr>
          <w:rStyle w:val="af7"/>
          <w:rFonts w:eastAsia="Guttman Hodes" w:hint="cs"/>
          <w:rtl/>
        </w:rPr>
        <w:t xml:space="preserve">(עי' אות </w:t>
      </w:r>
      <w:r w:rsidRPr="000D3E37">
        <w:rPr>
          <w:rStyle w:val="af7"/>
          <w:rFonts w:eastAsia="Guttman Hodes"/>
          <w:rtl/>
        </w:rPr>
        <w:fldChar w:fldCharType="begin"/>
      </w:r>
      <w:r w:rsidRPr="000D3E37">
        <w:rPr>
          <w:rStyle w:val="af7"/>
          <w:rFonts w:eastAsia="Guttman Hodes"/>
          <w:rtl/>
        </w:rPr>
        <w:instrText xml:space="preserve"> </w:instrText>
      </w:r>
      <w:r w:rsidRPr="000D3E37">
        <w:rPr>
          <w:rStyle w:val="af7"/>
          <w:rFonts w:eastAsia="Guttman Hodes" w:hint="cs"/>
        </w:rPr>
        <w:instrText>REF</w:instrText>
      </w:r>
      <w:r w:rsidRPr="000D3E37">
        <w:rPr>
          <w:rStyle w:val="af7"/>
          <w:rFonts w:eastAsia="Guttman Hodes" w:hint="cs"/>
          <w:rtl/>
        </w:rPr>
        <w:instrText xml:space="preserve"> _</w:instrText>
      </w:r>
      <w:r w:rsidRPr="000D3E37">
        <w:rPr>
          <w:rStyle w:val="af7"/>
          <w:rFonts w:eastAsia="Guttman Hodes" w:hint="cs"/>
        </w:rPr>
        <w:instrText>Ref55567158 \r \h</w:instrText>
      </w:r>
      <w:r w:rsidRPr="000D3E37">
        <w:rPr>
          <w:rStyle w:val="af7"/>
          <w:rFonts w:eastAsia="Guttman Hodes"/>
          <w:rtl/>
        </w:rPr>
        <w:instrText xml:space="preserve"> </w:instrText>
      </w:r>
      <w:r w:rsidRPr="000D3E37">
        <w:rPr>
          <w:rStyle w:val="af7"/>
          <w:rFonts w:eastAsia="Guttman Hodes"/>
          <w:rtl/>
        </w:rPr>
      </w:r>
      <w:r w:rsidRPr="000D3E37">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0D3E37">
        <w:rPr>
          <w:rStyle w:val="af7"/>
          <w:rFonts w:eastAsia="Guttman Hodes"/>
          <w:rtl/>
        </w:rPr>
        <w:fldChar w:fldCharType="end"/>
      </w:r>
      <w:r>
        <w:rPr>
          <w:rFonts w:hint="cs"/>
          <w:rtl/>
        </w:rPr>
        <w:t xml:space="preserve"> על </w:t>
      </w:r>
      <w:r w:rsidRPr="000D3E37">
        <w:rPr>
          <w:rStyle w:val="af9"/>
          <w:rFonts w:hint="cs"/>
          <w:rtl/>
        </w:rPr>
        <w:t xml:space="preserve">הרמב"ן </w:t>
      </w:r>
      <w:r>
        <w:rPr>
          <w:rFonts w:hint="cs"/>
          <w:rtl/>
        </w:rPr>
        <w:t xml:space="preserve">דהא בדלי ליה צנא דפירי אף שהראיה היא ממה שעשה המערער מעשה, מ"מ נאמן המערער בטענת לפירות הורדתיך, ואילו בחזקת ג"ש שהראיה היא רק משתיקת המערער אינו נאמן, תירץ </w:t>
      </w:r>
      <w:r w:rsidRPr="00816922">
        <w:rPr>
          <w:rStyle w:val="af9"/>
          <w:rFonts w:hint="cs"/>
          <w:rtl/>
        </w:rPr>
        <w:t>הקה"י</w:t>
      </w:r>
      <w:r>
        <w:rPr>
          <w:rFonts w:hint="cs"/>
          <w:rtl/>
        </w:rPr>
        <w:t xml:space="preserve"> </w:t>
      </w:r>
      <w:r w:rsidRPr="00816922">
        <w:rPr>
          <w:rStyle w:val="af7"/>
          <w:rFonts w:eastAsia="Guttman Hodes" w:hint="cs"/>
          <w:rtl/>
        </w:rPr>
        <w:t>(סי' י"ח או' ד' ד"ה והנה)</w:t>
      </w:r>
      <w:r>
        <w:rPr>
          <w:rFonts w:hint="cs"/>
          <w:rtl/>
        </w:rPr>
        <w:t xml:space="preserve"> דבדלי ליה צנא דפירי, אין ראיה שהקנה לו את גוף הקרקע, ואם יטען המרא קמא לפירות הורדתיו הוא נאמן, אלא דבמקום שטוען שהמחזיק הוא גזלן, מהני הראיה דדלי ליה צנא דפירי, משא"כ בשתיקת המערער על חזקת המחזיק, דהיא ראיה גם על הפירות וגם על עצם הקנין בקרקע, דאי הורידו רק לפירות היה לו לפרסם ולמחות שגוף הקרקע אינו של המחזיק, וכן היה לו למונעו מלנהוג בה כבעלים גמור, ולכן אינו נאמן בטענת לפירות הורדתיך.</w:t>
      </w:r>
      <w:bookmarkEnd w:id="4782"/>
      <w:bookmarkEnd w:id="4783"/>
    </w:p>
    <w:p w:rsidR="00F163D7" w:rsidRDefault="00F163D7" w:rsidP="00F163D7">
      <w:pPr>
        <w:pStyle w:val="a3"/>
      </w:pPr>
      <w:bookmarkStart w:id="4784" w:name="_Toc56030559"/>
      <w:bookmarkStart w:id="4785" w:name="_Toc56032748"/>
      <w:r>
        <w:rPr>
          <w:rFonts w:hint="cs"/>
          <w:rtl/>
        </w:rPr>
        <w:t>ביאור הקה"י דבצנא דפירי בטוען לפירות הורדתיו פירי נאמן בצירוף הריעותא דאחוי שטרך</w:t>
      </w:r>
      <w:bookmarkEnd w:id="4784"/>
      <w:bookmarkEnd w:id="4785"/>
      <w:r>
        <w:rPr>
          <w:rFonts w:hint="cs"/>
          <w:rtl/>
        </w:rPr>
        <w:t xml:space="preserve"> </w:t>
      </w:r>
    </w:p>
    <w:p w:rsidR="00F163D7" w:rsidRDefault="00F163D7" w:rsidP="007E4E81">
      <w:pPr>
        <w:pStyle w:val="a0"/>
        <w:rPr>
          <w:rtl/>
        </w:rPr>
      </w:pPr>
      <w:r>
        <w:rPr>
          <w:rFonts w:hint="cs"/>
          <w:rtl/>
        </w:rPr>
        <w:t xml:space="preserve">והוסיף </w:t>
      </w:r>
      <w:r w:rsidRPr="00816922">
        <w:rPr>
          <w:rStyle w:val="af9"/>
          <w:rFonts w:hint="cs"/>
          <w:rtl/>
        </w:rPr>
        <w:t>הקה"י</w:t>
      </w:r>
      <w:r>
        <w:rPr>
          <w:rFonts w:hint="cs"/>
          <w:rtl/>
        </w:rPr>
        <w:t xml:space="preserve"> דהראיה דדלי ליה צנא דפירי, היא ראיה אלימתא אף כנגד טענת אחוי שטרך, וכשטוען לפירות הורדתיו, מהני טענתו בצירוף הריעותא דאחוי שטרך, אבל בשתיקת המערער בג"ש, אין ריעותא דאחוי שטרך, וא"א לצרף אותה לטענת לפירות הורדתיו, וכן היא טענה גרועה דאין אדם מוריד לפירות</w:t>
      </w:r>
      <w:r w:rsidRPr="00FE1AA3">
        <w:rPr>
          <w:rFonts w:hint="cs"/>
          <w:rtl/>
        </w:rPr>
        <w:t xml:space="preserve"> </w:t>
      </w:r>
      <w:r>
        <w:rPr>
          <w:rFonts w:hint="cs"/>
          <w:rtl/>
        </w:rPr>
        <w:t>לג"ש, אלא באריסות.</w:t>
      </w:r>
      <w:r w:rsidRPr="000A2B74">
        <w:rPr>
          <w:rStyle w:val="afb"/>
          <w:rFonts w:hint="cs"/>
          <w:rtl/>
        </w:rPr>
        <w:t xml:space="preserve"> [אמנם יעוי' </w:t>
      </w:r>
      <w:r w:rsidRPr="000A2B74">
        <w:rPr>
          <w:rStyle w:val="affa"/>
          <w:rFonts w:hint="cs"/>
          <w:rtl/>
        </w:rPr>
        <w:t>ברבינו גרשום לקמן</w:t>
      </w:r>
      <w:r w:rsidRPr="000A2B74">
        <w:rPr>
          <w:rStyle w:val="aff6"/>
          <w:rFonts w:hint="cs"/>
          <w:rtl/>
        </w:rPr>
        <w:t xml:space="preserve"> (לה: ד"ה אמר) </w:t>
      </w:r>
      <w:r w:rsidRPr="000A2B74">
        <w:rPr>
          <w:rStyle w:val="afb"/>
          <w:rFonts w:hint="cs"/>
          <w:rtl/>
        </w:rPr>
        <w:t>דכתב דטענת לפירות הורדתיו, היינו שהורידו באריסות].</w:t>
      </w:r>
    </w:p>
    <w:p w:rsidR="00F163D7" w:rsidRDefault="00F163D7" w:rsidP="00F163D7">
      <w:pPr>
        <w:pStyle w:val="afe"/>
        <w:rPr>
          <w:rtl/>
        </w:rPr>
      </w:pPr>
      <w:bookmarkStart w:id="4786" w:name="_Toc55927910"/>
      <w:bookmarkStart w:id="4787" w:name="_Toc55946636"/>
      <w:bookmarkStart w:id="4788" w:name="_Toc55991976"/>
      <w:bookmarkStart w:id="4789" w:name="_Toc56030561"/>
      <w:bookmarkStart w:id="4790" w:name="_Toc56032749"/>
      <w:bookmarkStart w:id="4791" w:name="_Toc55508570"/>
      <w:bookmarkStart w:id="4792" w:name="_Toc55569221"/>
      <w:bookmarkStart w:id="4793" w:name="_Toc55718332"/>
      <w:bookmarkStart w:id="4794" w:name="_Toc55739928"/>
      <w:bookmarkStart w:id="4795" w:name="_Toc55839477"/>
      <w:bookmarkStart w:id="4796" w:name="_Toc55839536"/>
      <w:r>
        <w:rPr>
          <w:rFonts w:hint="cs"/>
          <w:rtl/>
        </w:rPr>
        <w:t>בדעת הי"מ ברמב"ן</w:t>
      </w:r>
      <w:bookmarkEnd w:id="4786"/>
      <w:bookmarkEnd w:id="4787"/>
      <w:bookmarkEnd w:id="4788"/>
      <w:r>
        <w:rPr>
          <w:rFonts w:hint="cs"/>
          <w:rtl/>
        </w:rPr>
        <w:t xml:space="preserve"> דאין חזקה לקטן</w:t>
      </w:r>
      <w:bookmarkEnd w:id="4789"/>
      <w:bookmarkEnd w:id="4790"/>
    </w:p>
    <w:p w:rsidR="00F163D7" w:rsidRDefault="00F163D7" w:rsidP="00F163D7">
      <w:pPr>
        <w:pStyle w:val="1"/>
        <w:rPr>
          <w:rtl/>
        </w:rPr>
      </w:pPr>
      <w:bookmarkStart w:id="4797" w:name="_Toc55927911"/>
      <w:bookmarkStart w:id="4798" w:name="_Toc55946637"/>
      <w:bookmarkStart w:id="4799" w:name="_Toc55991977"/>
      <w:bookmarkStart w:id="4800" w:name="_Toc56030562"/>
      <w:bookmarkStart w:id="4801" w:name="_Toc56032750"/>
      <w:r>
        <w:rPr>
          <w:rFonts w:hint="cs"/>
          <w:rtl/>
        </w:rPr>
        <w:t>ביאור הגרנ"פ בי"מ ברמב"ן</w:t>
      </w:r>
      <w:bookmarkEnd w:id="4791"/>
      <w:bookmarkEnd w:id="4792"/>
      <w:bookmarkEnd w:id="4793"/>
      <w:bookmarkEnd w:id="4794"/>
      <w:bookmarkEnd w:id="4795"/>
      <w:bookmarkEnd w:id="4797"/>
      <w:bookmarkEnd w:id="4798"/>
      <w:bookmarkEnd w:id="4799"/>
      <w:bookmarkEnd w:id="4800"/>
      <w:r>
        <w:rPr>
          <w:rFonts w:hint="cs"/>
          <w:rtl/>
        </w:rPr>
        <w:t xml:space="preserve"> דגדר התקנ"ח דימחה לצורך השטר</w:t>
      </w:r>
      <w:bookmarkEnd w:id="4801"/>
    </w:p>
    <w:p w:rsidR="00F163D7" w:rsidRPr="007A55E5" w:rsidRDefault="00F163D7" w:rsidP="00F163D7">
      <w:pPr>
        <w:pStyle w:val="a3"/>
        <w:rPr>
          <w:rtl/>
        </w:rPr>
      </w:pPr>
      <w:bookmarkStart w:id="4802" w:name="_Toc56030563"/>
      <w:bookmarkStart w:id="4803" w:name="_Toc56032751"/>
      <w:r>
        <w:rPr>
          <w:rFonts w:hint="cs"/>
          <w:rtl/>
        </w:rPr>
        <w:t>ביאור הגרנ"פ בי"מ ברמב"ן דהתקנה לטובת המחזיק וגדר התקנה שימחה המערער שיזהר בשטר</w:t>
      </w:r>
      <w:bookmarkEnd w:id="4802"/>
      <w:bookmarkEnd w:id="4803"/>
    </w:p>
    <w:p w:rsidR="00F163D7" w:rsidRDefault="00F163D7" w:rsidP="007E4E81">
      <w:pPr>
        <w:pStyle w:val="a0"/>
        <w:rPr>
          <w:rtl/>
        </w:rPr>
      </w:pPr>
      <w:bookmarkStart w:id="4804" w:name="_Ref55490022"/>
      <w:r>
        <w:rPr>
          <w:rFonts w:hint="cs"/>
          <w:rtl/>
        </w:rPr>
        <w:t xml:space="preserve">במ"ש </w:t>
      </w:r>
      <w:r w:rsidRPr="00471D1F">
        <w:rPr>
          <w:rStyle w:val="af9"/>
          <w:rFonts w:hint="cs"/>
          <w:rtl/>
        </w:rPr>
        <w:t>הי"מ ברמב"ן לקמן</w:t>
      </w:r>
      <w:r>
        <w:rPr>
          <w:rFonts w:hint="cs"/>
          <w:rtl/>
        </w:rPr>
        <w:t xml:space="preserve"> </w:t>
      </w:r>
      <w:r w:rsidRPr="00471D1F">
        <w:rPr>
          <w:rStyle w:val="af7"/>
          <w:rFonts w:eastAsia="Guttman Hodes" w:hint="cs"/>
          <w:rtl/>
        </w:rPr>
        <w:t xml:space="preserve">(עי' אות </w:t>
      </w:r>
      <w:r w:rsidRPr="00471D1F">
        <w:rPr>
          <w:rStyle w:val="af7"/>
          <w:rFonts w:eastAsia="Guttman Hodes"/>
          <w:rtl/>
        </w:rPr>
        <w:fldChar w:fldCharType="begin"/>
      </w:r>
      <w:r w:rsidRPr="00471D1F">
        <w:rPr>
          <w:rStyle w:val="af7"/>
          <w:rFonts w:eastAsia="Guttman Hodes"/>
          <w:rtl/>
        </w:rPr>
        <w:instrText xml:space="preserve"> </w:instrText>
      </w:r>
      <w:r w:rsidRPr="00471D1F">
        <w:rPr>
          <w:rStyle w:val="af7"/>
          <w:rFonts w:eastAsia="Guttman Hodes" w:hint="cs"/>
        </w:rPr>
        <w:instrText>REF</w:instrText>
      </w:r>
      <w:r w:rsidRPr="00471D1F">
        <w:rPr>
          <w:rStyle w:val="af7"/>
          <w:rFonts w:eastAsia="Guttman Hodes" w:hint="cs"/>
          <w:rtl/>
        </w:rPr>
        <w:instrText xml:space="preserve"> _</w:instrText>
      </w:r>
      <w:r w:rsidRPr="00471D1F">
        <w:rPr>
          <w:rStyle w:val="af7"/>
          <w:rFonts w:eastAsia="Guttman Hodes" w:hint="cs"/>
        </w:rPr>
        <w:instrText>Ref55489907 \r \h</w:instrText>
      </w:r>
      <w:r w:rsidRPr="00471D1F">
        <w:rPr>
          <w:rStyle w:val="af7"/>
          <w:rFonts w:eastAsia="Guttman Hodes"/>
          <w:rtl/>
        </w:rPr>
        <w:instrText xml:space="preserve"> </w:instrText>
      </w:r>
      <w:r w:rsidRPr="00471D1F">
        <w:rPr>
          <w:rStyle w:val="af7"/>
          <w:rFonts w:eastAsia="Guttman Hodes"/>
          <w:rtl/>
        </w:rPr>
      </w:r>
      <w:r w:rsidRPr="00471D1F">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471D1F">
        <w:rPr>
          <w:rStyle w:val="af7"/>
          <w:rFonts w:eastAsia="Guttman Hodes"/>
          <w:rtl/>
        </w:rPr>
        <w:fldChar w:fldCharType="end"/>
      </w:r>
      <w:r>
        <w:rPr>
          <w:rFonts w:hint="cs"/>
          <w:rtl/>
        </w:rPr>
        <w:t xml:space="preserve"> דקטן שהחזיק בקרקע, אין חזקתו חזקה כיון שקטן אינו בר מחאה, וא"כ אף החזקתו אינה חזקה, דאף אם ימחה בו המערער, אין הקטן יודע להזהר בשטרו, ולכן המערער אינו מוחה בו, ביאר </w:t>
      </w:r>
      <w:r w:rsidRPr="00471D1F">
        <w:rPr>
          <w:rStyle w:val="af9"/>
          <w:rFonts w:hint="cs"/>
          <w:rtl/>
        </w:rPr>
        <w:t>בחי' רבי נחום</w:t>
      </w:r>
      <w:r>
        <w:rPr>
          <w:rFonts w:hint="cs"/>
          <w:rtl/>
        </w:rPr>
        <w:t xml:space="preserve"> </w:t>
      </w:r>
      <w:r w:rsidRPr="00471D1F">
        <w:rPr>
          <w:rStyle w:val="af7"/>
          <w:rFonts w:eastAsia="Guttman Hodes" w:hint="cs"/>
          <w:rtl/>
        </w:rPr>
        <w:t>(או' כ"ה ד"ה שיטת)</w:t>
      </w:r>
      <w:r>
        <w:rPr>
          <w:rFonts w:hint="cs"/>
          <w:rtl/>
        </w:rPr>
        <w:t xml:space="preserve"> דס"ל </w:t>
      </w:r>
      <w:r w:rsidRPr="003A547B">
        <w:rPr>
          <w:rStyle w:val="af9"/>
          <w:rFonts w:hint="cs"/>
          <w:rtl/>
        </w:rPr>
        <w:t>להי"מ ברמב"ן</w:t>
      </w:r>
      <w:r>
        <w:rPr>
          <w:rFonts w:hint="cs"/>
          <w:rtl/>
        </w:rPr>
        <w:t xml:space="preserve"> דהתקנת חכמים בחזקה היא לטובת המחזיק, וגדר התקנה היא שהמערער יצטרך למחות בכדי שיצטרך המחזיק להזהר בשטרו, וכן </w:t>
      </w:r>
      <w:r w:rsidRPr="00F95645">
        <w:rPr>
          <w:rtl/>
        </w:rPr>
        <w:t xml:space="preserve">ביאר </w:t>
      </w:r>
      <w:r w:rsidRPr="00F95645">
        <w:rPr>
          <w:rStyle w:val="af9"/>
          <w:rtl/>
        </w:rPr>
        <w:t>הקוב"ש</w:t>
      </w:r>
      <w:r w:rsidRPr="00F95645">
        <w:rPr>
          <w:rtl/>
        </w:rPr>
        <w:t xml:space="preserve"> </w:t>
      </w:r>
      <w:r w:rsidRPr="00F95645">
        <w:rPr>
          <w:rStyle w:val="af7"/>
          <w:rFonts w:eastAsia="Guttman Hodes"/>
          <w:rtl/>
        </w:rPr>
        <w:t>(סוף או' ק"ד)</w:t>
      </w:r>
      <w:r w:rsidRPr="00F95645">
        <w:rPr>
          <w:rtl/>
        </w:rPr>
        <w:t xml:space="preserve"> דס"ל </w:t>
      </w:r>
      <w:r w:rsidRPr="00F95645">
        <w:rPr>
          <w:rStyle w:val="af9"/>
          <w:rtl/>
        </w:rPr>
        <w:t>להי"מ ברמב"ן</w:t>
      </w:r>
      <w:r w:rsidRPr="00F95645">
        <w:rPr>
          <w:rtl/>
        </w:rPr>
        <w:t xml:space="preserve"> דטעם החזקה הוא מתקנת חכמים</w:t>
      </w:r>
      <w:r>
        <w:rPr>
          <w:rFonts w:hint="cs"/>
          <w:rtl/>
        </w:rPr>
        <w:t>.</w:t>
      </w:r>
    </w:p>
    <w:p w:rsidR="00F163D7" w:rsidRPr="007A55E5" w:rsidRDefault="00F163D7" w:rsidP="00F163D7">
      <w:pPr>
        <w:pStyle w:val="a3"/>
      </w:pPr>
      <w:bookmarkStart w:id="4805" w:name="_Toc56030564"/>
      <w:bookmarkStart w:id="4806" w:name="_Toc56032752"/>
      <w:r>
        <w:rPr>
          <w:rFonts w:hint="cs"/>
          <w:rtl/>
        </w:rPr>
        <w:t>ביאור הגרנ"פ בי"מ ברמב"ן דבקטן שאינו יודע להזהר בשטר לא שייך גדר תקנת החזקה</w:t>
      </w:r>
      <w:bookmarkEnd w:id="4805"/>
      <w:bookmarkEnd w:id="4806"/>
    </w:p>
    <w:p w:rsidR="00F163D7" w:rsidRDefault="00F163D7" w:rsidP="007E4E81">
      <w:pPr>
        <w:pStyle w:val="a0"/>
        <w:rPr>
          <w:rtl/>
        </w:rPr>
      </w:pPr>
      <w:r>
        <w:rPr>
          <w:rFonts w:hint="cs"/>
          <w:rtl/>
        </w:rPr>
        <w:t xml:space="preserve">וביאר </w:t>
      </w:r>
      <w:r w:rsidRPr="00471D1F">
        <w:rPr>
          <w:rStyle w:val="af9"/>
          <w:rFonts w:hint="cs"/>
          <w:rtl/>
        </w:rPr>
        <w:t>בחי' רבי נחום</w:t>
      </w:r>
      <w:r>
        <w:rPr>
          <w:rFonts w:hint="cs"/>
          <w:rtl/>
        </w:rPr>
        <w:t xml:space="preserve"> לכן ס"ל </w:t>
      </w:r>
      <w:r w:rsidRPr="00471D1F">
        <w:rPr>
          <w:rStyle w:val="af9"/>
          <w:rFonts w:hint="cs"/>
          <w:rtl/>
        </w:rPr>
        <w:t>להי"מ ברמב"ן</w:t>
      </w:r>
      <w:r>
        <w:rPr>
          <w:rFonts w:hint="cs"/>
          <w:rtl/>
        </w:rPr>
        <w:t xml:space="preserve"> דבקטן שאינו יודע להזהר בשטר, ממילא אין המערער יכול למחות בו שיזהר בשטרו, ולכן לא תיקנו חכמים את דין חזקת ג"ש בקרקע שלו.</w:t>
      </w:r>
      <w:bookmarkEnd w:id="4804"/>
    </w:p>
    <w:p w:rsidR="00F163D7" w:rsidRPr="007A55E5" w:rsidRDefault="00F163D7" w:rsidP="00F163D7">
      <w:pPr>
        <w:pStyle w:val="a3"/>
        <w:rPr>
          <w:rtl/>
        </w:rPr>
      </w:pPr>
      <w:bookmarkStart w:id="4807" w:name="_Toc56030565"/>
      <w:bookmarkStart w:id="4808" w:name="_Toc56032753"/>
      <w:r>
        <w:rPr>
          <w:rFonts w:hint="cs"/>
          <w:rtl/>
        </w:rPr>
        <w:t>ביאור הגרנ"פ דהרמב"ן דחה דטעם החזקה אינו מחמת שאין נזהר בשטר אלא מדלא מחה</w:t>
      </w:r>
      <w:bookmarkEnd w:id="4807"/>
      <w:bookmarkEnd w:id="4808"/>
    </w:p>
    <w:p w:rsidR="00F163D7" w:rsidRDefault="00F163D7" w:rsidP="007E4E81">
      <w:pPr>
        <w:pStyle w:val="a0"/>
        <w:rPr>
          <w:rtl/>
        </w:rPr>
      </w:pPr>
      <w:bookmarkStart w:id="4809" w:name="_Ref55489893"/>
      <w:r>
        <w:rPr>
          <w:rFonts w:hint="cs"/>
          <w:rtl/>
        </w:rPr>
        <w:t xml:space="preserve">ובמה שדחה </w:t>
      </w:r>
      <w:r w:rsidRPr="00471D1F">
        <w:rPr>
          <w:rStyle w:val="af9"/>
          <w:rFonts w:hint="cs"/>
          <w:rtl/>
        </w:rPr>
        <w:t>הרמב"ן לקמן</w:t>
      </w:r>
      <w:r>
        <w:rPr>
          <w:rFonts w:hint="cs"/>
          <w:rtl/>
        </w:rPr>
        <w:t xml:space="preserve"> </w:t>
      </w:r>
      <w:r w:rsidRPr="00471D1F">
        <w:rPr>
          <w:rStyle w:val="af7"/>
          <w:rFonts w:eastAsia="Guttman Hodes" w:hint="cs"/>
          <w:rtl/>
        </w:rPr>
        <w:t xml:space="preserve">(עי' אות </w:t>
      </w:r>
      <w:r w:rsidRPr="00471D1F">
        <w:rPr>
          <w:rStyle w:val="af7"/>
          <w:rFonts w:eastAsia="Guttman Hodes"/>
          <w:rtl/>
        </w:rPr>
        <w:fldChar w:fldCharType="begin"/>
      </w:r>
      <w:r w:rsidRPr="00471D1F">
        <w:rPr>
          <w:rStyle w:val="af7"/>
          <w:rFonts w:eastAsia="Guttman Hodes"/>
          <w:rtl/>
        </w:rPr>
        <w:instrText xml:space="preserve"> </w:instrText>
      </w:r>
      <w:r w:rsidRPr="00471D1F">
        <w:rPr>
          <w:rStyle w:val="af7"/>
          <w:rFonts w:eastAsia="Guttman Hodes" w:hint="cs"/>
        </w:rPr>
        <w:instrText>REF</w:instrText>
      </w:r>
      <w:r w:rsidRPr="00471D1F">
        <w:rPr>
          <w:rStyle w:val="af7"/>
          <w:rFonts w:eastAsia="Guttman Hodes" w:hint="cs"/>
          <w:rtl/>
        </w:rPr>
        <w:instrText xml:space="preserve"> _</w:instrText>
      </w:r>
      <w:r w:rsidRPr="00471D1F">
        <w:rPr>
          <w:rStyle w:val="af7"/>
          <w:rFonts w:eastAsia="Guttman Hodes" w:hint="cs"/>
        </w:rPr>
        <w:instrText>Ref55489917 \r \h</w:instrText>
      </w:r>
      <w:r w:rsidRPr="00471D1F">
        <w:rPr>
          <w:rStyle w:val="af7"/>
          <w:rFonts w:eastAsia="Guttman Hodes"/>
          <w:rtl/>
        </w:rPr>
        <w:instrText xml:space="preserve"> </w:instrText>
      </w:r>
      <w:r w:rsidRPr="00471D1F">
        <w:rPr>
          <w:rStyle w:val="af7"/>
          <w:rFonts w:eastAsia="Guttman Hodes"/>
          <w:rtl/>
        </w:rPr>
      </w:r>
      <w:r w:rsidRPr="00471D1F">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471D1F">
        <w:rPr>
          <w:rStyle w:val="af7"/>
          <w:rFonts w:eastAsia="Guttman Hodes"/>
          <w:rtl/>
        </w:rPr>
        <w:fldChar w:fldCharType="end"/>
      </w:r>
      <w:r>
        <w:rPr>
          <w:rFonts w:hint="cs"/>
          <w:rtl/>
        </w:rPr>
        <w:t xml:space="preserve"> את דעת </w:t>
      </w:r>
      <w:r w:rsidRPr="00471D1F">
        <w:rPr>
          <w:rStyle w:val="af9"/>
          <w:rFonts w:hint="cs"/>
          <w:rtl/>
        </w:rPr>
        <w:t>הי"מ</w:t>
      </w:r>
      <w:r>
        <w:rPr>
          <w:rFonts w:hint="cs"/>
          <w:rtl/>
        </w:rPr>
        <w:t xml:space="preserve">, דהטעם של חזקת ג"ש, אינו רק מחמת דאחר ג"ש אינו נזהר בשטרו, אלא דכיון שהמערער שותק למחזיק, יש רגלים לדבר דמכר לו, ביאר </w:t>
      </w:r>
      <w:r w:rsidRPr="00471D1F">
        <w:rPr>
          <w:rStyle w:val="af9"/>
          <w:rFonts w:hint="cs"/>
          <w:rtl/>
        </w:rPr>
        <w:t>בחי' רבי נחום</w:t>
      </w:r>
      <w:r>
        <w:rPr>
          <w:rFonts w:hint="cs"/>
          <w:rtl/>
        </w:rPr>
        <w:t xml:space="preserve"> דכוונת </w:t>
      </w:r>
      <w:r w:rsidRPr="00471D1F">
        <w:rPr>
          <w:rStyle w:val="af9"/>
          <w:rFonts w:hint="cs"/>
          <w:rtl/>
        </w:rPr>
        <w:t>הרמב"ן</w:t>
      </w:r>
      <w:r>
        <w:rPr>
          <w:rFonts w:hint="cs"/>
          <w:rtl/>
        </w:rPr>
        <w:t xml:space="preserve"> לומר דהטעם של החזקה, אינו מחמת שאין המחזיק נזהר בשטר לאחר ג"ש, </w:t>
      </w:r>
      <w:r w:rsidRPr="00471D1F">
        <w:rPr>
          <w:rStyle w:val="afb"/>
          <w:rFonts w:hint="cs"/>
          <w:rtl/>
        </w:rPr>
        <w:t>[וזהו רק הגדר של החזקה],</w:t>
      </w:r>
      <w:r>
        <w:rPr>
          <w:rFonts w:hint="cs"/>
          <w:rtl/>
        </w:rPr>
        <w:t xml:space="preserve"> אבל הטעם של החזקה הוא דכיון ששתק יש ראיה שמכרה לו.</w:t>
      </w:r>
      <w:bookmarkEnd w:id="4809"/>
    </w:p>
    <w:p w:rsidR="00F163D7" w:rsidRPr="007A55E5" w:rsidRDefault="00F163D7" w:rsidP="00F163D7">
      <w:pPr>
        <w:pStyle w:val="1"/>
        <w:rPr>
          <w:rtl/>
        </w:rPr>
      </w:pPr>
      <w:bookmarkStart w:id="4810" w:name="_Toc56030566"/>
      <w:bookmarkStart w:id="4811" w:name="_Toc56032754"/>
      <w:r>
        <w:rPr>
          <w:rFonts w:hint="cs"/>
          <w:rtl/>
        </w:rPr>
        <w:t>ביאור הקה"י בי"מ ברמב"ן</w:t>
      </w:r>
      <w:bookmarkEnd w:id="4810"/>
      <w:r>
        <w:rPr>
          <w:rFonts w:hint="cs"/>
          <w:rtl/>
        </w:rPr>
        <w:t xml:space="preserve"> דהמחאה היא לעשות ריעותא בשטר</w:t>
      </w:r>
      <w:bookmarkEnd w:id="4811"/>
    </w:p>
    <w:p w:rsidR="00F163D7" w:rsidRDefault="00F163D7" w:rsidP="00F163D7">
      <w:pPr>
        <w:pStyle w:val="a3"/>
        <w:rPr>
          <w:rtl/>
        </w:rPr>
      </w:pPr>
      <w:bookmarkStart w:id="4812" w:name="_Toc55927912"/>
      <w:bookmarkStart w:id="4813" w:name="_Toc55946638"/>
      <w:bookmarkStart w:id="4814" w:name="_Toc55991978"/>
      <w:bookmarkStart w:id="4815" w:name="_Toc56030567"/>
      <w:bookmarkStart w:id="4816" w:name="_Toc56032755"/>
      <w:r>
        <w:rPr>
          <w:rFonts w:hint="cs"/>
          <w:rtl/>
        </w:rPr>
        <w:t>ביאור הקה"י בי"מ ברמב"ן דהראיה מדלא מיחה דהיה לו לעשות ריעותא דאחוי שטרך</w:t>
      </w:r>
      <w:bookmarkEnd w:id="4796"/>
      <w:bookmarkEnd w:id="4812"/>
      <w:bookmarkEnd w:id="4813"/>
      <w:bookmarkEnd w:id="4814"/>
      <w:bookmarkEnd w:id="4815"/>
      <w:bookmarkEnd w:id="4816"/>
    </w:p>
    <w:p w:rsidR="00F163D7" w:rsidRDefault="00F163D7" w:rsidP="007E4E81">
      <w:pPr>
        <w:pStyle w:val="a0"/>
        <w:rPr>
          <w:rtl/>
        </w:rPr>
      </w:pPr>
      <w:bookmarkStart w:id="4817" w:name="_Ref55937862"/>
      <w:r>
        <w:rPr>
          <w:rFonts w:hint="cs"/>
          <w:rtl/>
        </w:rPr>
        <w:t xml:space="preserve">במ"ש </w:t>
      </w:r>
      <w:r w:rsidRPr="00B66504">
        <w:rPr>
          <w:rStyle w:val="af9"/>
          <w:rFonts w:hint="cs"/>
          <w:rtl/>
        </w:rPr>
        <w:t>הי"מ ברמב"ן</w:t>
      </w:r>
      <w:r>
        <w:rPr>
          <w:rFonts w:hint="cs"/>
          <w:rtl/>
        </w:rPr>
        <w:t xml:space="preserve"> </w:t>
      </w:r>
      <w:r w:rsidRPr="00B66504">
        <w:rPr>
          <w:rStyle w:val="af9"/>
          <w:rFonts w:hint="cs"/>
          <w:rtl/>
        </w:rPr>
        <w:t>לקמן</w:t>
      </w:r>
      <w:r>
        <w:rPr>
          <w:rFonts w:hint="cs"/>
          <w:rtl/>
        </w:rPr>
        <w:t xml:space="preserve"> </w:t>
      </w:r>
      <w:r>
        <w:rPr>
          <w:rStyle w:val="af7"/>
          <w:rFonts w:eastAsia="Guttman Hodes" w:hint="cs"/>
          <w:rtl/>
        </w:rPr>
        <w:t xml:space="preserve">(עי' </w:t>
      </w:r>
      <w:r w:rsidRPr="00471D1F">
        <w:rPr>
          <w:rStyle w:val="af7"/>
          <w:rFonts w:eastAsia="Guttman Hodes" w:hint="cs"/>
          <w:rtl/>
        </w:rPr>
        <w:t xml:space="preserve">אות </w:t>
      </w:r>
      <w:r w:rsidRPr="00471D1F">
        <w:rPr>
          <w:rStyle w:val="af7"/>
          <w:rFonts w:eastAsia="Guttman Hodes"/>
          <w:rtl/>
        </w:rPr>
        <w:fldChar w:fldCharType="begin"/>
      </w:r>
      <w:r w:rsidRPr="00471D1F">
        <w:rPr>
          <w:rStyle w:val="af7"/>
          <w:rFonts w:eastAsia="Guttman Hodes"/>
          <w:rtl/>
        </w:rPr>
        <w:instrText xml:space="preserve"> </w:instrText>
      </w:r>
      <w:r w:rsidRPr="00471D1F">
        <w:rPr>
          <w:rStyle w:val="af7"/>
          <w:rFonts w:eastAsia="Guttman Hodes" w:hint="cs"/>
        </w:rPr>
        <w:instrText>REF</w:instrText>
      </w:r>
      <w:r w:rsidRPr="00471D1F">
        <w:rPr>
          <w:rStyle w:val="af7"/>
          <w:rFonts w:eastAsia="Guttman Hodes" w:hint="cs"/>
          <w:rtl/>
        </w:rPr>
        <w:instrText xml:space="preserve"> _</w:instrText>
      </w:r>
      <w:r w:rsidRPr="00471D1F">
        <w:rPr>
          <w:rStyle w:val="af7"/>
          <w:rFonts w:eastAsia="Guttman Hodes" w:hint="cs"/>
        </w:rPr>
        <w:instrText>Ref55489907 \r \h</w:instrText>
      </w:r>
      <w:r w:rsidRPr="00471D1F">
        <w:rPr>
          <w:rStyle w:val="af7"/>
          <w:rFonts w:eastAsia="Guttman Hodes"/>
          <w:rtl/>
        </w:rPr>
        <w:instrText xml:space="preserve"> </w:instrText>
      </w:r>
      <w:r w:rsidRPr="00471D1F">
        <w:rPr>
          <w:rStyle w:val="af7"/>
          <w:rFonts w:eastAsia="Guttman Hodes"/>
          <w:rtl/>
        </w:rPr>
      </w:r>
      <w:r w:rsidRPr="00471D1F">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471D1F">
        <w:rPr>
          <w:rStyle w:val="af7"/>
          <w:rFonts w:eastAsia="Guttman Hodes"/>
          <w:rtl/>
        </w:rPr>
        <w:fldChar w:fldCharType="end"/>
      </w:r>
      <w:r>
        <w:rPr>
          <w:rFonts w:hint="cs"/>
          <w:rtl/>
        </w:rPr>
        <w:t xml:space="preserve"> דקטן שהחזיק בקרקע, אין חזקתו חזקה כיון שקטן אינו בר מחאה, וא"כ אף החזקתו אינה חזקה, דאף אם ימחה בו המערער, אין הקטן יודע להזהר בשטרו, ולכן המערער אינו מוחה בו, ביאר </w:t>
      </w:r>
      <w:r w:rsidRPr="00B66504">
        <w:rPr>
          <w:rStyle w:val="af9"/>
          <w:rFonts w:hint="cs"/>
          <w:rtl/>
        </w:rPr>
        <w:t>הקה"י</w:t>
      </w:r>
      <w:r>
        <w:rPr>
          <w:rFonts w:hint="cs"/>
          <w:rtl/>
        </w:rPr>
        <w:t xml:space="preserve"> </w:t>
      </w:r>
      <w:r w:rsidRPr="00B66504">
        <w:rPr>
          <w:rStyle w:val="af7"/>
          <w:rFonts w:eastAsia="Guttman Hodes" w:hint="cs"/>
          <w:rtl/>
        </w:rPr>
        <w:t>(סי' י"ח או' ה' ד"ה והנה)</w:t>
      </w:r>
      <w:r>
        <w:rPr>
          <w:rFonts w:hint="cs"/>
          <w:rtl/>
        </w:rPr>
        <w:t xml:space="preserve"> </w:t>
      </w:r>
      <w:r>
        <w:rPr>
          <w:rStyle w:val="af9"/>
          <w:rFonts w:hint="cs"/>
          <w:rtl/>
        </w:rPr>
        <w:t>ד</w:t>
      </w:r>
      <w:r w:rsidRPr="00B66504">
        <w:rPr>
          <w:rStyle w:val="af9"/>
          <w:rFonts w:hint="cs"/>
          <w:rtl/>
        </w:rPr>
        <w:t>הי"מ ברמב"ן</w:t>
      </w:r>
      <w:r>
        <w:rPr>
          <w:rFonts w:hint="cs"/>
          <w:rtl/>
        </w:rPr>
        <w:t xml:space="preserve"> ס"ל כדעת </w:t>
      </w:r>
      <w:r w:rsidRPr="00816922">
        <w:rPr>
          <w:rStyle w:val="af9"/>
          <w:rFonts w:hint="cs"/>
          <w:rtl/>
        </w:rPr>
        <w:t>הרמב"ן</w:t>
      </w:r>
      <w:r>
        <w:rPr>
          <w:rFonts w:hint="cs"/>
          <w:rtl/>
        </w:rPr>
        <w:t xml:space="preserve"> </w:t>
      </w:r>
      <w:r w:rsidRPr="00154BD5">
        <w:rPr>
          <w:rStyle w:val="af9"/>
          <w:rFonts w:hint="cs"/>
          <w:rtl/>
        </w:rPr>
        <w:t>לקמן</w:t>
      </w:r>
      <w:r w:rsidRPr="00154BD5">
        <w:rPr>
          <w:rFonts w:hint="cs"/>
          <w:rtl/>
        </w:rPr>
        <w:t xml:space="preserve"> </w:t>
      </w:r>
      <w:r w:rsidRPr="00154BD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Ref55940285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Pr>
          <w:rFonts w:hint="cs"/>
          <w:rtl/>
        </w:rPr>
        <w:t xml:space="preserve"> דהראיה בחזקת ג"ש היא מדלא מיחה, אלא </w:t>
      </w:r>
      <w:r w:rsidRPr="00816922">
        <w:rPr>
          <w:rStyle w:val="af9"/>
          <w:rFonts w:hint="cs"/>
          <w:rtl/>
        </w:rPr>
        <w:t>דלהרמב"ן</w:t>
      </w:r>
      <w:r>
        <w:rPr>
          <w:rFonts w:hint="cs"/>
          <w:rtl/>
        </w:rPr>
        <w:t xml:space="preserve"> הראיה היא דכך הוא טבע האדם, שמוחה מיד כשרואה שאחר אוכל את פירות שדהו, אבל לדעת </w:t>
      </w:r>
      <w:r w:rsidRPr="00B66504">
        <w:rPr>
          <w:rStyle w:val="af9"/>
          <w:rFonts w:hint="cs"/>
          <w:rtl/>
        </w:rPr>
        <w:t>הי"מ ברמב"ן</w:t>
      </w:r>
      <w:r>
        <w:rPr>
          <w:rFonts w:hint="cs"/>
          <w:rtl/>
        </w:rPr>
        <w:t xml:space="preserve"> הראיה מדלא מחה, היא כיון דהיה לו למחות בכדי לעשות ריעותא בחזקה, דבתוך ג"ש יטען לו אחוי שטרך, אבל אם לא ימחה עד לאחר ג"ש, יוכל המחזיק לומר דהיה לו שטר ואבד.</w:t>
      </w:r>
      <w:bookmarkEnd w:id="4817"/>
    </w:p>
    <w:p w:rsidR="00F163D7" w:rsidRDefault="00F163D7" w:rsidP="00F163D7">
      <w:pPr>
        <w:pStyle w:val="a3"/>
      </w:pPr>
      <w:bookmarkStart w:id="4818" w:name="_Toc56030568"/>
      <w:bookmarkStart w:id="4819" w:name="_Toc56032756"/>
      <w:r>
        <w:rPr>
          <w:rFonts w:hint="cs"/>
          <w:rtl/>
        </w:rPr>
        <w:t>ביאור הקה"י בי"מ ברמב"ן דבקטן שהמחאה אינה עושה ריעותא לא שייך למחות ואין חזקה</w:t>
      </w:r>
      <w:bookmarkEnd w:id="4818"/>
      <w:bookmarkEnd w:id="4819"/>
    </w:p>
    <w:p w:rsidR="00F163D7" w:rsidRDefault="00F163D7" w:rsidP="007E4E81">
      <w:pPr>
        <w:pStyle w:val="a0"/>
        <w:rPr>
          <w:rtl/>
        </w:rPr>
      </w:pPr>
      <w:r>
        <w:rPr>
          <w:rFonts w:hint="cs"/>
          <w:rtl/>
        </w:rPr>
        <w:t xml:space="preserve">וכתב </w:t>
      </w:r>
      <w:r w:rsidRPr="00816922">
        <w:rPr>
          <w:rStyle w:val="af9"/>
          <w:rFonts w:hint="cs"/>
          <w:rtl/>
        </w:rPr>
        <w:t>הקה"י</w:t>
      </w:r>
      <w:r>
        <w:rPr>
          <w:rFonts w:hint="cs"/>
          <w:rtl/>
        </w:rPr>
        <w:t xml:space="preserve"> דלכן ס"ל </w:t>
      </w:r>
      <w:r>
        <w:rPr>
          <w:rStyle w:val="af9"/>
          <w:rFonts w:hint="cs"/>
          <w:rtl/>
        </w:rPr>
        <w:t>ל</w:t>
      </w:r>
      <w:r w:rsidRPr="00B66504">
        <w:rPr>
          <w:rStyle w:val="af9"/>
          <w:rFonts w:hint="cs"/>
          <w:rtl/>
        </w:rPr>
        <w:t>הי"מ ברמב"ן</w:t>
      </w:r>
      <w:r>
        <w:rPr>
          <w:rFonts w:hint="cs"/>
          <w:rtl/>
        </w:rPr>
        <w:t xml:space="preserve"> דבקטן אין כל ראיה מדלא מיחה המערער, דכיון שיודע המערער שמחאתו אינה עושה כל ריעותא בטענת המחזיק, דאין עליו טענת אחוי שטרך, ממילא לא היה לו למחות בו, ולכן ס"ל דאין ראיה מדלא מיחה המחזיק, ואין חזקת הקטן חזקה.</w:t>
      </w:r>
    </w:p>
    <w:p w:rsidR="00F163D7" w:rsidRDefault="00F163D7" w:rsidP="00F163D7">
      <w:pPr>
        <w:pStyle w:val="afe"/>
        <w:rPr>
          <w:rtl/>
        </w:rPr>
      </w:pPr>
      <w:bookmarkStart w:id="4820" w:name="_Toc55927913"/>
      <w:bookmarkStart w:id="4821" w:name="_Toc55946639"/>
      <w:bookmarkStart w:id="4822" w:name="_Toc55991979"/>
      <w:bookmarkStart w:id="4823" w:name="_Toc56030569"/>
      <w:bookmarkStart w:id="4824" w:name="_Toc56032757"/>
      <w:r>
        <w:rPr>
          <w:rFonts w:hint="cs"/>
          <w:rtl/>
        </w:rPr>
        <w:t>בביאור השו"ט בדברי רבא</w:t>
      </w:r>
      <w:bookmarkEnd w:id="4820"/>
      <w:bookmarkEnd w:id="4821"/>
      <w:bookmarkEnd w:id="4822"/>
      <w:bookmarkEnd w:id="4823"/>
      <w:bookmarkEnd w:id="4824"/>
      <w:r>
        <w:rPr>
          <w:rFonts w:hint="cs"/>
          <w:rtl/>
        </w:rPr>
        <w:t xml:space="preserve"> </w:t>
      </w:r>
    </w:p>
    <w:p w:rsidR="00F163D7" w:rsidRDefault="00F163D7" w:rsidP="00F163D7">
      <w:pPr>
        <w:pStyle w:val="1"/>
        <w:rPr>
          <w:rtl/>
        </w:rPr>
      </w:pPr>
      <w:bookmarkStart w:id="4825" w:name="_Toc55839537"/>
      <w:bookmarkStart w:id="4826" w:name="_Toc55927914"/>
      <w:bookmarkStart w:id="4827" w:name="_Toc55946640"/>
      <w:bookmarkStart w:id="4828" w:name="_Toc55991980"/>
      <w:bookmarkStart w:id="4829" w:name="_Toc56030570"/>
      <w:bookmarkStart w:id="4830" w:name="_Toc56032758"/>
      <w:r>
        <w:rPr>
          <w:rFonts w:hint="cs"/>
          <w:rtl/>
        </w:rPr>
        <w:t>ביאור הדברי מרדכי בתירוץ רבא לדעת הרמב"ן</w:t>
      </w:r>
      <w:bookmarkEnd w:id="4825"/>
      <w:bookmarkEnd w:id="4826"/>
      <w:bookmarkEnd w:id="4827"/>
      <w:bookmarkEnd w:id="4828"/>
      <w:bookmarkEnd w:id="4829"/>
      <w:bookmarkEnd w:id="4830"/>
    </w:p>
    <w:p w:rsidR="00F163D7" w:rsidRPr="00C442A3" w:rsidRDefault="00F163D7" w:rsidP="00F163D7">
      <w:pPr>
        <w:pStyle w:val="a3"/>
      </w:pPr>
      <w:bookmarkStart w:id="4831" w:name="_Toc56030571"/>
      <w:bookmarkStart w:id="4832" w:name="_Toc56032759"/>
      <w:r>
        <w:rPr>
          <w:rFonts w:hint="cs"/>
          <w:rtl/>
        </w:rPr>
        <w:t>קושית הדברי מרדכי על הרמב"ן דעיקר התירוץ חסר דהמערער מקפיד מיד ולא אחר ג"ש כהו"א</w:t>
      </w:r>
      <w:bookmarkEnd w:id="4831"/>
      <w:bookmarkEnd w:id="4832"/>
    </w:p>
    <w:p w:rsidR="00F163D7" w:rsidRDefault="00F163D7" w:rsidP="007E4E81">
      <w:pPr>
        <w:pStyle w:val="a0"/>
      </w:pPr>
      <w:bookmarkStart w:id="4833" w:name="_Ref55935376"/>
      <w:r>
        <w:rPr>
          <w:rFonts w:hint="cs"/>
          <w:rtl/>
        </w:rPr>
        <w:t>במ"ש</w:t>
      </w:r>
      <w:r w:rsidRPr="00154BD5">
        <w:rPr>
          <w:rFonts w:hint="cs"/>
          <w:rtl/>
        </w:rPr>
        <w:t xml:space="preserve"> </w:t>
      </w:r>
      <w:r w:rsidRPr="00154BD5">
        <w:rPr>
          <w:rStyle w:val="af9"/>
          <w:rFonts w:hint="cs"/>
          <w:rtl/>
        </w:rPr>
        <w:t>הרמב"ן לקמן</w:t>
      </w:r>
      <w:r w:rsidRPr="00154BD5">
        <w:rPr>
          <w:rFonts w:hint="cs"/>
          <w:rtl/>
        </w:rPr>
        <w:t xml:space="preserve"> </w:t>
      </w:r>
      <w:r w:rsidRPr="00154BD5">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Ref55489917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w:t>
      </w:r>
      <w:r>
        <w:rPr>
          <w:rStyle w:val="af7"/>
          <w:rFonts w:eastAsia="Guttman Hodes"/>
          <w:rtl/>
        </w:rPr>
        <w:fldChar w:fldCharType="end"/>
      </w:r>
      <w:r w:rsidRPr="00154BD5">
        <w:rPr>
          <w:rStyle w:val="af7"/>
          <w:rFonts w:eastAsia="Guttman Hodes" w:hint="cs"/>
          <w:rtl/>
        </w:rPr>
        <w:t xml:space="preserve"> </w:t>
      </w:r>
      <w:r>
        <w:rPr>
          <w:rFonts w:hint="cs"/>
          <w:rtl/>
        </w:rPr>
        <w:t xml:space="preserve">דבשתיקת המערער מיד יש רגלים לדבר דמכר לו, הקשה </w:t>
      </w:r>
      <w:r w:rsidR="009647B3">
        <w:rPr>
          <w:rStyle w:val="af9"/>
          <w:rFonts w:hint="cs"/>
          <w:rtl/>
        </w:rPr>
        <w:t xml:space="preserve">הגר"מ מן </w:t>
      </w:r>
      <w:r w:rsidR="009647B3" w:rsidRPr="00834955">
        <w:rPr>
          <w:rStyle w:val="af9"/>
          <w:rFonts w:hint="cs"/>
          <w:rtl/>
        </w:rPr>
        <w:t>בדברי מרדכי</w:t>
      </w:r>
      <w:r w:rsidR="009647B3">
        <w:rPr>
          <w:rStyle w:val="af9"/>
          <w:rFonts w:hint="cs"/>
          <w:rtl/>
        </w:rPr>
        <w:t xml:space="preserve"> </w:t>
      </w:r>
      <w:r w:rsidRPr="00C442A3">
        <w:rPr>
          <w:rStyle w:val="af7"/>
          <w:rFonts w:eastAsia="Guttman Hodes" w:hint="cs"/>
          <w:rtl/>
        </w:rPr>
        <w:t>(סי' ט"ז או' ד' ד"ה ונראה)</w:t>
      </w:r>
      <w:r>
        <w:rPr>
          <w:rFonts w:hint="cs"/>
          <w:rtl/>
        </w:rPr>
        <w:t xml:space="preserve"> דא"כ רבא חזר בו מתירוצו הראשון דעד ג"ש אינו מקפיד, אלא ס"ל דהוא מקפיד מיד, וא"כ עיקר תירוץ רבא חסר מן הספר.</w:t>
      </w:r>
      <w:bookmarkEnd w:id="4833"/>
    </w:p>
    <w:p w:rsidR="00F163D7" w:rsidRDefault="00F163D7" w:rsidP="00F163D7">
      <w:pPr>
        <w:pStyle w:val="a3"/>
      </w:pPr>
      <w:bookmarkStart w:id="4834" w:name="_Toc56030572"/>
      <w:bookmarkStart w:id="4835" w:name="_Toc56032760"/>
      <w:r>
        <w:rPr>
          <w:rFonts w:hint="cs"/>
          <w:rtl/>
        </w:rPr>
        <w:t>ביאור הדברי מרדכי דלמסקנת רבא היא כהו"א בריש פירקין דבפחות מג"ש מקפיד</w:t>
      </w:r>
      <w:bookmarkEnd w:id="4834"/>
      <w:bookmarkEnd w:id="4835"/>
    </w:p>
    <w:p w:rsidR="00F163D7" w:rsidRPr="00387996" w:rsidRDefault="00F163D7" w:rsidP="007E4E81">
      <w:pPr>
        <w:pStyle w:val="a0"/>
      </w:pPr>
      <w:r>
        <w:rPr>
          <w:rFonts w:hint="cs"/>
          <w:rtl/>
        </w:rPr>
        <w:t xml:space="preserve">והביא </w:t>
      </w:r>
      <w:r w:rsidR="009647B3">
        <w:rPr>
          <w:rStyle w:val="af9"/>
          <w:rFonts w:hint="cs"/>
          <w:rtl/>
        </w:rPr>
        <w:t xml:space="preserve">הגר"מ מן </w:t>
      </w:r>
      <w:r w:rsidR="009647B3" w:rsidRPr="00834955">
        <w:rPr>
          <w:rStyle w:val="af9"/>
          <w:rFonts w:hint="cs"/>
          <w:rtl/>
        </w:rPr>
        <w:t>בדברי מרדכי</w:t>
      </w:r>
      <w:r w:rsidR="009647B3">
        <w:rPr>
          <w:rStyle w:val="af9"/>
          <w:rFonts w:hint="cs"/>
          <w:rtl/>
        </w:rPr>
        <w:t xml:space="preserve"> </w:t>
      </w:r>
      <w:r>
        <w:rPr>
          <w:rFonts w:hint="cs"/>
          <w:rtl/>
        </w:rPr>
        <w:t xml:space="preserve">דבקושית הגמ' לעיל </w:t>
      </w:r>
      <w:r w:rsidRPr="00C20B90">
        <w:rPr>
          <w:rStyle w:val="af7"/>
          <w:rFonts w:eastAsia="Guttman Hodes" w:hint="cs"/>
          <w:rtl/>
        </w:rPr>
        <w:t>(כח.)</w:t>
      </w:r>
      <w:r>
        <w:rPr>
          <w:rFonts w:hint="cs"/>
          <w:rtl/>
        </w:rPr>
        <w:t xml:space="preserve"> דמנין לחזקת ג"ש לפי הגי' דלפנינו משמע דקושית הגמ' היא על עיקר דין </w:t>
      </w:r>
      <w:r>
        <w:rPr>
          <w:rFonts w:hint="cs"/>
          <w:rtl/>
        </w:rPr>
        <w:lastRenderedPageBreak/>
        <w:t xml:space="preserve">חזקה, וכן משמע </w:t>
      </w:r>
      <w:r w:rsidRPr="00D21B56">
        <w:rPr>
          <w:rStyle w:val="af9"/>
          <w:rFonts w:hint="cs"/>
          <w:rtl/>
        </w:rPr>
        <w:t>ברש"י לעיל</w:t>
      </w:r>
      <w:r>
        <w:rPr>
          <w:rFonts w:hint="cs"/>
          <w:rtl/>
        </w:rPr>
        <w:t xml:space="preserve"> </w:t>
      </w:r>
      <w:r w:rsidRPr="00C20B90">
        <w:rPr>
          <w:rStyle w:val="af7"/>
          <w:rFonts w:eastAsia="Guttman Hodes" w:hint="cs"/>
          <w:rtl/>
        </w:rPr>
        <w:t>(כח. ד"ה לרבנן)</w:t>
      </w:r>
      <w:r>
        <w:rPr>
          <w:rFonts w:hint="cs"/>
          <w:rtl/>
        </w:rPr>
        <w:t xml:space="preserve"> אבל לגירסת </w:t>
      </w:r>
      <w:r w:rsidRPr="00D21B56">
        <w:rPr>
          <w:rStyle w:val="af9"/>
          <w:rFonts w:hint="cs"/>
          <w:rtl/>
        </w:rPr>
        <w:t xml:space="preserve">הראשונים </w:t>
      </w:r>
      <w:r w:rsidRPr="00C766C7">
        <w:rPr>
          <w:rStyle w:val="afb"/>
          <w:rFonts w:hint="cs"/>
          <w:rtl/>
        </w:rPr>
        <w:t>[</w:t>
      </w:r>
      <w:r w:rsidRPr="00C766C7">
        <w:rPr>
          <w:rStyle w:val="affa"/>
          <w:rFonts w:hint="cs"/>
          <w:rtl/>
        </w:rPr>
        <w:t>הרמב"ן</w:t>
      </w:r>
      <w:r w:rsidRPr="00C766C7">
        <w:rPr>
          <w:rStyle w:val="afb"/>
          <w:rFonts w:hint="cs"/>
          <w:rtl/>
        </w:rPr>
        <w:t xml:space="preserve"> </w:t>
      </w:r>
      <w:r w:rsidRPr="00C766C7">
        <w:rPr>
          <w:rStyle w:val="aff6"/>
          <w:rFonts w:hint="cs"/>
          <w:rtl/>
        </w:rPr>
        <w:t>(כח. ד</w:t>
      </w:r>
      <w:r w:rsidRPr="00C766C7">
        <w:rPr>
          <w:rStyle w:val="aff6"/>
          <w:rtl/>
        </w:rPr>
        <w:t>"</w:t>
      </w:r>
      <w:r w:rsidRPr="00C766C7">
        <w:rPr>
          <w:rStyle w:val="aff6"/>
          <w:rFonts w:hint="cs"/>
          <w:rtl/>
        </w:rPr>
        <w:t>ה מנין)</w:t>
      </w:r>
      <w:r w:rsidRPr="00C766C7">
        <w:rPr>
          <w:rStyle w:val="afb"/>
          <w:rFonts w:hint="cs"/>
          <w:rtl/>
        </w:rPr>
        <w:t xml:space="preserve"> </w:t>
      </w:r>
      <w:r>
        <w:rPr>
          <w:rStyle w:val="affa"/>
          <w:rFonts w:hint="cs"/>
          <w:rtl/>
        </w:rPr>
        <w:t>ו</w:t>
      </w:r>
      <w:r w:rsidRPr="00C766C7">
        <w:rPr>
          <w:rStyle w:val="affa"/>
          <w:rFonts w:hint="cs"/>
          <w:rtl/>
        </w:rPr>
        <w:t>הריטב"א</w:t>
      </w:r>
      <w:r w:rsidRPr="00C766C7">
        <w:rPr>
          <w:rStyle w:val="afb"/>
          <w:rFonts w:hint="cs"/>
          <w:rtl/>
        </w:rPr>
        <w:t xml:space="preserve"> </w:t>
      </w:r>
      <w:r w:rsidRPr="00C766C7">
        <w:rPr>
          <w:rStyle w:val="aff6"/>
          <w:rFonts w:hint="cs"/>
          <w:rtl/>
        </w:rPr>
        <w:t>(כח. ד</w:t>
      </w:r>
      <w:r w:rsidRPr="00C766C7">
        <w:rPr>
          <w:rStyle w:val="aff6"/>
          <w:rtl/>
        </w:rPr>
        <w:t>"</w:t>
      </w:r>
      <w:r w:rsidRPr="00C766C7">
        <w:rPr>
          <w:rStyle w:val="aff6"/>
          <w:rFonts w:hint="cs"/>
          <w:rtl/>
        </w:rPr>
        <w:t>ה מנין)</w:t>
      </w:r>
      <w:r w:rsidRPr="00C766C7">
        <w:rPr>
          <w:rStyle w:val="afb"/>
          <w:rFonts w:hint="cs"/>
          <w:rtl/>
        </w:rPr>
        <w:t xml:space="preserve"> </w:t>
      </w:r>
      <w:r w:rsidRPr="00C766C7">
        <w:rPr>
          <w:rStyle w:val="affa"/>
          <w:rFonts w:hint="cs"/>
          <w:rtl/>
        </w:rPr>
        <w:t>והיד רמ"ה</w:t>
      </w:r>
      <w:r w:rsidRPr="00C766C7">
        <w:rPr>
          <w:rStyle w:val="afb"/>
          <w:rFonts w:hint="cs"/>
          <w:rtl/>
        </w:rPr>
        <w:t xml:space="preserve"> </w:t>
      </w:r>
      <w:r w:rsidRPr="00C766C7">
        <w:rPr>
          <w:rStyle w:val="aff6"/>
          <w:rFonts w:hint="cs"/>
          <w:rtl/>
        </w:rPr>
        <w:t>(כח. או' י"ז ד"ה אמר)</w:t>
      </w:r>
      <w:r w:rsidRPr="00C766C7">
        <w:rPr>
          <w:rStyle w:val="afb"/>
          <w:rFonts w:hint="cs"/>
          <w:rtl/>
        </w:rPr>
        <w:t xml:space="preserve"> </w:t>
      </w:r>
      <w:r w:rsidRPr="00C766C7">
        <w:rPr>
          <w:rStyle w:val="affa"/>
          <w:rFonts w:hint="cs"/>
          <w:rtl/>
        </w:rPr>
        <w:t>ורבינו יונה</w:t>
      </w:r>
      <w:r w:rsidRPr="00C766C7">
        <w:rPr>
          <w:rStyle w:val="afb"/>
          <w:rFonts w:hint="cs"/>
          <w:rtl/>
        </w:rPr>
        <w:t xml:space="preserve"> </w:t>
      </w:r>
      <w:r w:rsidRPr="00C766C7">
        <w:rPr>
          <w:rStyle w:val="aff6"/>
          <w:rFonts w:hint="cs"/>
          <w:rtl/>
        </w:rPr>
        <w:t>(כח. ד</w:t>
      </w:r>
      <w:r w:rsidRPr="00C766C7">
        <w:rPr>
          <w:rStyle w:val="aff6"/>
          <w:rtl/>
        </w:rPr>
        <w:t>"</w:t>
      </w:r>
      <w:r w:rsidRPr="00C766C7">
        <w:rPr>
          <w:rStyle w:val="aff6"/>
          <w:rFonts w:hint="cs"/>
          <w:rtl/>
        </w:rPr>
        <w:t>ה מנין)</w:t>
      </w:r>
      <w:r w:rsidRPr="00C766C7">
        <w:rPr>
          <w:rStyle w:val="afb"/>
          <w:rFonts w:hint="cs"/>
          <w:rtl/>
        </w:rPr>
        <w:t>]</w:t>
      </w:r>
      <w:r>
        <w:rPr>
          <w:rStyle w:val="af9"/>
          <w:rFonts w:hint="cs"/>
          <w:rtl/>
        </w:rPr>
        <w:t xml:space="preserve"> </w:t>
      </w:r>
      <w:r w:rsidRPr="00D21B56">
        <w:rPr>
          <w:rStyle w:val="af9"/>
          <w:rFonts w:hint="cs"/>
          <w:rtl/>
        </w:rPr>
        <w:t>והב"ח</w:t>
      </w:r>
      <w:r>
        <w:rPr>
          <w:rFonts w:hint="cs"/>
          <w:rtl/>
        </w:rPr>
        <w:t xml:space="preserve"> </w:t>
      </w:r>
      <w:r w:rsidRPr="00C20B90">
        <w:rPr>
          <w:rStyle w:val="af7"/>
          <w:rFonts w:eastAsia="Guttman Hodes" w:hint="cs"/>
          <w:rtl/>
        </w:rPr>
        <w:t>(הובא בסימן א' אות א')</w:t>
      </w:r>
      <w:r>
        <w:rPr>
          <w:rFonts w:hint="cs"/>
          <w:rtl/>
        </w:rPr>
        <w:t xml:space="preserve"> דהקושיה היא מנין לחזקה "שהיא" ג"ש, וא"כ הקושיה היא דמנין שצריך ג"ש, ולא מהני החזקה לאלתר, </w:t>
      </w:r>
      <w:r w:rsidRPr="00026662">
        <w:rPr>
          <w:rStyle w:val="afb"/>
          <w:rFonts w:hint="cs"/>
          <w:rtl/>
        </w:rPr>
        <w:t>[ועי'</w:t>
      </w:r>
      <w:r w:rsidRPr="00D21B56">
        <w:rPr>
          <w:rStyle w:val="afb"/>
          <w:rFonts w:hint="cs"/>
          <w:rtl/>
        </w:rPr>
        <w:t xml:space="preserve"> במה שביאר </w:t>
      </w:r>
      <w:r w:rsidRPr="00D21B56">
        <w:rPr>
          <w:rStyle w:val="affa"/>
          <w:rFonts w:hint="cs"/>
          <w:rtl/>
        </w:rPr>
        <w:t>הריטב"א לעיל</w:t>
      </w:r>
      <w:r w:rsidRPr="00D21B56">
        <w:rPr>
          <w:rStyle w:val="aff6"/>
          <w:rFonts w:hint="cs"/>
          <w:rtl/>
        </w:rPr>
        <w:t xml:space="preserve"> (כח. ד"ה מנין, הובא בסימן א' אות א</w:t>
      </w:r>
      <w:r>
        <w:rPr>
          <w:rStyle w:val="aff6"/>
          <w:rFonts w:hint="cs"/>
          <w:rtl/>
        </w:rPr>
        <w:t>'</w:t>
      </w:r>
      <w:r w:rsidRPr="00D21B56">
        <w:rPr>
          <w:rStyle w:val="aff6"/>
          <w:rFonts w:hint="cs"/>
          <w:rtl/>
        </w:rPr>
        <w:t>)</w:t>
      </w:r>
      <w:r w:rsidRPr="00D21B56">
        <w:rPr>
          <w:rStyle w:val="afb"/>
          <w:rFonts w:hint="cs"/>
          <w:rtl/>
        </w:rPr>
        <w:t xml:space="preserve"> דהקושיה מנין שצריך ג"ש לא פחות ולא יותר], </w:t>
      </w:r>
      <w:r>
        <w:rPr>
          <w:rFonts w:hint="cs"/>
          <w:rtl/>
        </w:rPr>
        <w:t xml:space="preserve">והביא </w:t>
      </w:r>
      <w:r w:rsidRPr="00D21B56">
        <w:rPr>
          <w:rStyle w:val="af9"/>
          <w:rFonts w:hint="cs"/>
          <w:rtl/>
        </w:rPr>
        <w:t>הדברי מרדכי</w:t>
      </w:r>
      <w:r>
        <w:rPr>
          <w:rFonts w:hint="cs"/>
          <w:rtl/>
        </w:rPr>
        <w:t xml:space="preserve"> דכן משמע </w:t>
      </w:r>
      <w:r w:rsidRPr="00D21B56">
        <w:rPr>
          <w:rStyle w:val="af9"/>
          <w:rFonts w:hint="cs"/>
          <w:rtl/>
        </w:rPr>
        <w:t xml:space="preserve">ברבינו גרשום </w:t>
      </w:r>
      <w:r w:rsidRPr="00C20B90">
        <w:rPr>
          <w:rStyle w:val="af7"/>
          <w:rFonts w:eastAsia="Guttman Hodes" w:hint="cs"/>
          <w:rtl/>
        </w:rPr>
        <w:t xml:space="preserve">לעיל (כח. ד"ה </w:t>
      </w:r>
      <w:r w:rsidRPr="00C20B90">
        <w:rPr>
          <w:rStyle w:val="af7"/>
          <w:rFonts w:eastAsia="Guttman Hodes" w:hint="cs"/>
          <w:rtl/>
        </w:rPr>
        <w:t>ורבנן)</w:t>
      </w:r>
      <w:r>
        <w:rPr>
          <w:rFonts w:hint="cs"/>
          <w:rtl/>
        </w:rPr>
        <w:t xml:space="preserve">, וכתב </w:t>
      </w:r>
      <w:r w:rsidRPr="00D21B56">
        <w:rPr>
          <w:rStyle w:val="af9"/>
          <w:rFonts w:hint="cs"/>
          <w:rtl/>
        </w:rPr>
        <w:t>הדברי מרדכי</w:t>
      </w:r>
      <w:r>
        <w:rPr>
          <w:rFonts w:hint="cs"/>
          <w:rtl/>
        </w:rPr>
        <w:t xml:space="preserve"> דא"כ בקושיה סברה הגמ' דמדינא מהני חזקה לאלתר, </w:t>
      </w:r>
      <w:r w:rsidRPr="00D21B56">
        <w:rPr>
          <w:rStyle w:val="afb"/>
          <w:rFonts w:hint="cs"/>
          <w:rtl/>
        </w:rPr>
        <w:t>[ולהולכי אושא יש ילפותא לג"ש],</w:t>
      </w:r>
      <w:r>
        <w:rPr>
          <w:rFonts w:hint="cs"/>
          <w:rtl/>
        </w:rPr>
        <w:t xml:space="preserve"> ובתי' הראשון רצה רבא לומר דבאמת לא מהני החזקה לאלתר דהקפידא היא רק לאחר ג"ש, ובתירוצו האחרון חזר רבא להבנת הגמ' בהו"א דבאמת הראיה היא לאלתר, והא דצריך ג"ש, הוא רק מפני טענת אחוי שטרך, וא"כ מבוארים דברי </w:t>
      </w:r>
      <w:r w:rsidRPr="00D21B56">
        <w:rPr>
          <w:rStyle w:val="af9"/>
          <w:rFonts w:hint="cs"/>
          <w:rtl/>
        </w:rPr>
        <w:t>הרמב"ן</w:t>
      </w:r>
      <w:r>
        <w:rPr>
          <w:rFonts w:hint="cs"/>
          <w:rtl/>
        </w:rPr>
        <w:t xml:space="preserve"> דאין עיקר התירוץ חסר מן הספר.</w:t>
      </w:r>
    </w:p>
    <w:p w:rsidR="00F163D7" w:rsidRPr="00335CE7" w:rsidRDefault="00F163D7" w:rsidP="00F163D7">
      <w:pPr>
        <w:pStyle w:val="a3"/>
        <w:rPr>
          <w:rtl/>
        </w:rPr>
        <w:sectPr w:rsidR="00F163D7" w:rsidRPr="00335CE7" w:rsidSect="005049E2">
          <w:footerReference w:type="default" r:id="rId52"/>
          <w:type w:val="continuous"/>
          <w:pgSz w:w="11906" w:h="16838"/>
          <w:pgMar w:top="720" w:right="720" w:bottom="720" w:left="720" w:header="283" w:footer="283" w:gutter="0"/>
          <w:cols w:num="2" w:space="567"/>
          <w:titlePg/>
          <w:bidi/>
          <w:rtlGutter/>
          <w:docGrid w:linePitch="299"/>
        </w:sectPr>
      </w:pPr>
    </w:p>
    <w:p w:rsidR="00F163D7" w:rsidRPr="001A4CFB" w:rsidRDefault="00F163D7" w:rsidP="007E4E81">
      <w:pPr>
        <w:pStyle w:val="a0"/>
        <w:numPr>
          <w:ilvl w:val="0"/>
          <w:numId w:val="0"/>
        </w:numPr>
        <w:rPr>
          <w:rtl/>
        </w:rPr>
      </w:pPr>
    </w:p>
    <w:p w:rsidR="00E874E8" w:rsidRDefault="00E874E8" w:rsidP="007E4E81">
      <w:pPr>
        <w:pStyle w:val="a0"/>
        <w:numPr>
          <w:ilvl w:val="0"/>
          <w:numId w:val="0"/>
        </w:numPr>
        <w:rPr>
          <w:rtl/>
        </w:rPr>
        <w:sectPr w:rsidR="00E874E8" w:rsidSect="005049E2">
          <w:type w:val="continuous"/>
          <w:pgSz w:w="11906" w:h="16838"/>
          <w:pgMar w:top="720" w:right="720" w:bottom="720" w:left="720" w:header="283" w:footer="283" w:gutter="0"/>
          <w:cols w:num="2" w:space="567"/>
          <w:titlePg/>
          <w:bidi/>
          <w:rtlGutter/>
          <w:docGrid w:linePitch="299"/>
        </w:sectPr>
      </w:pPr>
    </w:p>
    <w:p w:rsidR="00E874E8" w:rsidRPr="00206C20" w:rsidRDefault="00E874E8" w:rsidP="00470070">
      <w:pPr>
        <w:pStyle w:val="afd"/>
        <w:spacing w:before="0"/>
        <w:rPr>
          <w:rtl/>
        </w:rPr>
      </w:pPr>
      <w:bookmarkStart w:id="4836" w:name="_Toc55739949"/>
      <w:bookmarkStart w:id="4837" w:name="_Toc56372842"/>
      <w:bookmarkStart w:id="4838" w:name="_Toc56458180"/>
      <w:bookmarkStart w:id="4839" w:name="_Toc56544310"/>
      <w:bookmarkStart w:id="4840" w:name="_Toc56609747"/>
      <w:bookmarkStart w:id="4841" w:name="_Toc56626580"/>
      <w:bookmarkStart w:id="4842" w:name="_Toc56630048"/>
      <w:bookmarkStart w:id="4843" w:name="_Toc56636897"/>
      <w:bookmarkStart w:id="4844" w:name="_Toc56638031"/>
      <w:bookmarkStart w:id="4845" w:name="_Toc56640875"/>
      <w:bookmarkStart w:id="4846" w:name="_Toc66209202"/>
      <w:r w:rsidRPr="00206C20">
        <w:rPr>
          <w:rFonts w:hint="cs"/>
          <w:rtl/>
        </w:rPr>
        <w:lastRenderedPageBreak/>
        <w:t>סימן ו'</w:t>
      </w:r>
      <w:bookmarkEnd w:id="4836"/>
      <w:bookmarkEnd w:id="4837"/>
      <w:bookmarkEnd w:id="4838"/>
      <w:bookmarkEnd w:id="4839"/>
      <w:bookmarkEnd w:id="4840"/>
      <w:bookmarkEnd w:id="4841"/>
      <w:bookmarkEnd w:id="4842"/>
      <w:bookmarkEnd w:id="4843"/>
      <w:bookmarkEnd w:id="4844"/>
      <w:bookmarkEnd w:id="4845"/>
      <w:bookmarkEnd w:id="4846"/>
    </w:p>
    <w:p w:rsidR="00E874E8" w:rsidRPr="00206C20" w:rsidRDefault="00E874E8" w:rsidP="00470070">
      <w:pPr>
        <w:pStyle w:val="afd"/>
        <w:spacing w:before="0"/>
        <w:rPr>
          <w:noProof/>
          <w:rtl/>
        </w:rPr>
      </w:pPr>
      <w:bookmarkStart w:id="4847" w:name="_Toc55739950"/>
      <w:bookmarkStart w:id="4848" w:name="_Toc56372843"/>
      <w:bookmarkStart w:id="4849" w:name="_Toc56458181"/>
      <w:bookmarkStart w:id="4850" w:name="_Toc56544311"/>
      <w:bookmarkStart w:id="4851" w:name="_Toc56609748"/>
      <w:bookmarkStart w:id="4852" w:name="_Toc56626581"/>
      <w:bookmarkStart w:id="4853" w:name="_Toc56630049"/>
      <w:bookmarkStart w:id="4854" w:name="_Toc56636898"/>
      <w:bookmarkStart w:id="4855" w:name="_Toc56638032"/>
      <w:bookmarkStart w:id="4856" w:name="_Toc56640876"/>
      <w:bookmarkStart w:id="4857" w:name="_Toc66209203"/>
      <w:r w:rsidRPr="00206C20">
        <w:rPr>
          <w:noProof/>
          <w:rtl/>
        </w:rPr>
        <w:t>ב</w:t>
      </w:r>
      <w:r w:rsidRPr="00206C20">
        <w:rPr>
          <w:rFonts w:hint="cs"/>
          <w:noProof/>
          <w:rtl/>
        </w:rPr>
        <w:t>טעם</w:t>
      </w:r>
      <w:r w:rsidRPr="00206C20">
        <w:rPr>
          <w:noProof/>
          <w:rtl/>
        </w:rPr>
        <w:t xml:space="preserve"> חזקת ג"ש</w:t>
      </w:r>
      <w:r w:rsidRPr="00206C20">
        <w:rPr>
          <w:rFonts w:hint="cs"/>
          <w:noProof/>
          <w:rtl/>
        </w:rPr>
        <w:t xml:space="preserve"> לרבנן (ב')</w:t>
      </w:r>
      <w:bookmarkEnd w:id="4847"/>
      <w:bookmarkEnd w:id="4848"/>
      <w:bookmarkEnd w:id="4849"/>
      <w:bookmarkEnd w:id="4850"/>
      <w:bookmarkEnd w:id="4851"/>
      <w:bookmarkEnd w:id="4852"/>
      <w:bookmarkEnd w:id="4853"/>
      <w:bookmarkEnd w:id="4854"/>
      <w:bookmarkEnd w:id="4855"/>
      <w:bookmarkEnd w:id="4856"/>
      <w:bookmarkEnd w:id="4857"/>
    </w:p>
    <w:p w:rsidR="00E874E8" w:rsidRPr="00206C20" w:rsidRDefault="00E874E8" w:rsidP="00470070">
      <w:pPr>
        <w:pStyle w:val="afd"/>
        <w:spacing w:before="0"/>
        <w:rPr>
          <w:rtl/>
        </w:rPr>
      </w:pPr>
      <w:bookmarkStart w:id="4858" w:name="_Toc55739951"/>
      <w:bookmarkStart w:id="4859" w:name="_Toc56372844"/>
      <w:bookmarkStart w:id="4860" w:name="_Toc56458182"/>
      <w:bookmarkStart w:id="4861" w:name="_Toc56544312"/>
      <w:bookmarkStart w:id="4862" w:name="_Toc56609749"/>
      <w:bookmarkStart w:id="4863" w:name="_Toc56626582"/>
      <w:bookmarkStart w:id="4864" w:name="_Toc56630050"/>
      <w:bookmarkStart w:id="4865" w:name="_Toc56636899"/>
      <w:bookmarkStart w:id="4866" w:name="_Toc56638033"/>
      <w:bookmarkStart w:id="4867" w:name="_Toc56640877"/>
      <w:bookmarkStart w:id="4868" w:name="_Toc66209204"/>
      <w:r w:rsidRPr="00206C20">
        <w:rPr>
          <w:rFonts w:hint="cs"/>
          <w:rtl/>
        </w:rPr>
        <w:t>בביאור דעות הסוברים דחזקת ג"ש היא תקנת חכמים</w:t>
      </w:r>
      <w:bookmarkEnd w:id="4858"/>
      <w:bookmarkEnd w:id="4859"/>
      <w:bookmarkEnd w:id="4860"/>
      <w:bookmarkEnd w:id="4861"/>
      <w:bookmarkEnd w:id="4862"/>
      <w:bookmarkEnd w:id="4863"/>
      <w:bookmarkEnd w:id="4864"/>
      <w:bookmarkEnd w:id="4865"/>
      <w:bookmarkEnd w:id="4866"/>
      <w:bookmarkEnd w:id="4867"/>
      <w:bookmarkEnd w:id="4868"/>
    </w:p>
    <w:p w:rsidR="00E874E8" w:rsidRDefault="000B328B" w:rsidP="00E874E8">
      <w:pPr>
        <w:pStyle w:val="2"/>
        <w:rPr>
          <w:rtl/>
        </w:rPr>
      </w:pPr>
      <w:r>
        <w:rPr>
          <w:rFonts w:hint="cs"/>
          <w:rtl/>
        </w:rPr>
        <w:t xml:space="preserve">~~~~~~~ תוכן הענינים ~~~~~~~ </w:t>
      </w:r>
    </w:p>
    <w:p w:rsidR="00E874E8" w:rsidRDefault="00E874E8" w:rsidP="0007171D">
      <w:pPr>
        <w:pStyle w:val="aff4"/>
        <w:rPr>
          <w:rtl/>
        </w:rPr>
        <w:sectPr w:rsidR="00E874E8" w:rsidSect="00E874E8">
          <w:headerReference w:type="even" r:id="rId53"/>
          <w:headerReference w:type="default" r:id="rId54"/>
          <w:footerReference w:type="even" r:id="rId55"/>
          <w:footerReference w:type="default" r:id="rId56"/>
          <w:headerReference w:type="first" r:id="rId57"/>
          <w:footerReference w:type="first" r:id="rId58"/>
          <w:pgSz w:w="11906" w:h="16838"/>
          <w:pgMar w:top="720" w:right="720" w:bottom="720" w:left="720" w:header="283" w:footer="283" w:gutter="0"/>
          <w:cols w:space="113"/>
          <w:bidi/>
          <w:rtlGutter/>
          <w:docGrid w:linePitch="299"/>
        </w:sectPr>
      </w:pPr>
    </w:p>
    <w:p w:rsidR="00E874E8" w:rsidRDefault="00E874E8" w:rsidP="00E874E8">
      <w:pPr>
        <w:pStyle w:val="2"/>
        <w:rPr>
          <w:rFonts w:eastAsiaTheme="minorEastAsia" w:cstheme="minorBidi"/>
          <w:i/>
          <w:iCs/>
          <w:sz w:val="22"/>
          <w:szCs w:val="22"/>
          <w:rtl/>
        </w:rPr>
      </w:pPr>
      <w:r>
        <w:rPr>
          <w:i/>
          <w:i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i/>
          <w:iCs/>
          <w:rtl/>
        </w:rPr>
        <w:fldChar w:fldCharType="separate"/>
      </w:r>
      <w:r w:rsidR="006C4F47">
        <w:rPr>
          <w:rtl/>
        </w:rPr>
        <w:t>~~~~~~~ מראי מקומות וביאורים ~~~~~~~</w:t>
      </w:r>
    </w:p>
    <w:p w:rsidR="00E874E8" w:rsidRDefault="00E874E8" w:rsidP="00E874E8">
      <w:pPr>
        <w:pStyle w:val="2"/>
        <w:rPr>
          <w:rFonts w:eastAsiaTheme="minorEastAsia" w:cstheme="minorBidi"/>
          <w:i/>
          <w:iCs/>
          <w:sz w:val="22"/>
          <w:szCs w:val="22"/>
          <w:rtl/>
        </w:rPr>
      </w:pPr>
      <w:r>
        <w:rPr>
          <w:rtl/>
        </w:rPr>
        <w:t>הקושיה על רבא היאך מהני החזקה</w:t>
      </w:r>
    </w:p>
    <w:p w:rsidR="00E874E8" w:rsidRDefault="00E874E8" w:rsidP="0007171D">
      <w:pPr>
        <w:pStyle w:val="aff4"/>
        <w:rPr>
          <w:rFonts w:eastAsiaTheme="minorEastAsia" w:cstheme="minorBidi"/>
          <w:i/>
          <w:iCs/>
          <w:noProof/>
          <w:sz w:val="22"/>
          <w:szCs w:val="22"/>
          <w:rtl/>
        </w:rPr>
      </w:pPr>
      <w:r>
        <w:rPr>
          <w:noProof/>
          <w:rtl/>
        </w:rPr>
        <w:t>קושית הריטב"א דאף דלא נזהר בשטר מ"מ היאך זוכה בקרקע</w:t>
      </w:r>
    </w:p>
    <w:p w:rsidR="00E874E8" w:rsidRPr="007E4E81" w:rsidRDefault="00E874E8" w:rsidP="00BA3263">
      <w:pPr>
        <w:pStyle w:val="a"/>
        <w:numPr>
          <w:ilvl w:val="0"/>
          <w:numId w:val="13"/>
        </w:numPr>
        <w:rPr>
          <w:rFonts w:eastAsiaTheme="minorEastAsia" w:cstheme="minorBidi"/>
          <w:sz w:val="22"/>
          <w:szCs w:val="22"/>
          <w:rtl/>
        </w:rPr>
      </w:pPr>
      <w:r>
        <w:rPr>
          <w:rtl/>
        </w:rPr>
        <w:t>קושית הריטב"א והקצוה"ח והשע"מ דאף דלאחר ג"ש אין אחוי שטרך מ"מ היאך מוציא מהמר"ק</w:t>
      </w:r>
    </w:p>
    <w:p w:rsidR="00E874E8" w:rsidRDefault="00E874E8" w:rsidP="00E874E8">
      <w:pPr>
        <w:pStyle w:val="2"/>
        <w:rPr>
          <w:rFonts w:eastAsiaTheme="minorEastAsia" w:cstheme="minorBidi"/>
          <w:i/>
          <w:iCs/>
          <w:sz w:val="22"/>
          <w:szCs w:val="22"/>
          <w:rtl/>
        </w:rPr>
      </w:pPr>
      <w:r>
        <w:rPr>
          <w:rtl/>
        </w:rPr>
        <w:t>הסוברים דע"י תקנ"ח יש ראיה דלא מחה</w:t>
      </w:r>
    </w:p>
    <w:p w:rsidR="00E874E8" w:rsidRDefault="00E874E8" w:rsidP="0007171D">
      <w:pPr>
        <w:pStyle w:val="aff4"/>
        <w:rPr>
          <w:rFonts w:eastAsiaTheme="minorEastAsia" w:cstheme="minorBidi"/>
          <w:i/>
          <w:iCs/>
          <w:noProof/>
          <w:sz w:val="22"/>
          <w:szCs w:val="22"/>
          <w:rtl/>
        </w:rPr>
      </w:pPr>
      <w:r>
        <w:rPr>
          <w:noProof/>
          <w:rtl/>
        </w:rPr>
        <w:t>דברי הר"ן על הרי"ף דא"א לומר דאינו נזהר כיון שעבר זמן</w:t>
      </w:r>
    </w:p>
    <w:p w:rsidR="00E874E8" w:rsidRDefault="00E874E8" w:rsidP="007E4E81">
      <w:pPr>
        <w:pStyle w:val="a"/>
        <w:rPr>
          <w:rFonts w:eastAsiaTheme="minorEastAsia" w:cstheme="minorBidi"/>
          <w:sz w:val="22"/>
          <w:szCs w:val="22"/>
          <w:rtl/>
        </w:rPr>
      </w:pPr>
      <w:r>
        <w:rPr>
          <w:rtl/>
        </w:rPr>
        <w:t>דברי הר"ן על הרי"ף דאינו נזהר בשטר אינו כיון שעבר זמן אלא כיון שאכל ג"ש בלא מחאה</w:t>
      </w:r>
    </w:p>
    <w:p w:rsidR="00E874E8" w:rsidRDefault="00E874E8" w:rsidP="0007171D">
      <w:pPr>
        <w:pStyle w:val="aff4"/>
        <w:rPr>
          <w:rFonts w:eastAsiaTheme="minorEastAsia" w:cstheme="minorBidi"/>
          <w:i/>
          <w:iCs/>
          <w:noProof/>
          <w:sz w:val="22"/>
          <w:szCs w:val="22"/>
          <w:rtl/>
        </w:rPr>
      </w:pPr>
      <w:r>
        <w:rPr>
          <w:noProof/>
          <w:rtl/>
        </w:rPr>
        <w:t>דברי רבינו יונה דכיון שיש תקנ"ח כל שלא מחה יש ראיה שמכר</w:t>
      </w:r>
    </w:p>
    <w:p w:rsidR="00E874E8" w:rsidRDefault="00E874E8" w:rsidP="007E4E81">
      <w:pPr>
        <w:pStyle w:val="a"/>
        <w:rPr>
          <w:rFonts w:eastAsiaTheme="minorEastAsia" w:cstheme="minorBidi"/>
          <w:sz w:val="22"/>
          <w:szCs w:val="22"/>
          <w:rtl/>
        </w:rPr>
      </w:pPr>
      <w:r>
        <w:rPr>
          <w:rtl/>
        </w:rPr>
        <w:t>דברי רב"י והר"ן דהחזקה היא דכיון שלא נזהר בשטר תיקנו שימחה ומדלא מחה מוכח דמכר</w:t>
      </w:r>
    </w:p>
    <w:p w:rsidR="00E874E8" w:rsidRDefault="00E874E8" w:rsidP="007E4E81">
      <w:pPr>
        <w:pStyle w:val="a"/>
        <w:rPr>
          <w:rFonts w:eastAsiaTheme="minorEastAsia" w:cstheme="minorBidi"/>
          <w:sz w:val="22"/>
          <w:szCs w:val="22"/>
          <w:rtl/>
        </w:rPr>
      </w:pPr>
      <w:r>
        <w:rPr>
          <w:rtl/>
        </w:rPr>
        <w:t>דברי רב"י והר"ן דמוכח דהראיה מדלא מיחה דאל"ה היאך יצאה הקרקע מהמר"ק בלא שטר</w:t>
      </w:r>
    </w:p>
    <w:p w:rsidR="00E874E8" w:rsidRDefault="00E874E8" w:rsidP="007E4E81">
      <w:pPr>
        <w:pStyle w:val="a"/>
        <w:rPr>
          <w:rFonts w:eastAsiaTheme="minorEastAsia" w:cstheme="minorBidi"/>
          <w:sz w:val="22"/>
          <w:szCs w:val="22"/>
          <w:rtl/>
        </w:rPr>
      </w:pPr>
      <w:r>
        <w:rPr>
          <w:rtl/>
        </w:rPr>
        <w:t>דברי רב"י דמהני מחאה שלא בפניו אף שלא שמע המחזיק דלא היה לו לטרוח למחות בפניו</w:t>
      </w:r>
    </w:p>
    <w:p w:rsidR="00E874E8" w:rsidRDefault="00E874E8" w:rsidP="007E4E81">
      <w:pPr>
        <w:pStyle w:val="a"/>
        <w:rPr>
          <w:rFonts w:eastAsiaTheme="minorEastAsia" w:cstheme="minorBidi"/>
          <w:sz w:val="22"/>
          <w:szCs w:val="22"/>
          <w:rtl/>
        </w:rPr>
      </w:pPr>
      <w:r>
        <w:rPr>
          <w:rtl/>
        </w:rPr>
        <w:t>דברי רב"י והר"ן דבמקום שאין דרך למחות לא מהני החזקה דכל החזקה היא מדלא מחה</w:t>
      </w:r>
    </w:p>
    <w:p w:rsidR="00E874E8" w:rsidRDefault="00E874E8" w:rsidP="0007171D">
      <w:pPr>
        <w:pStyle w:val="aff4"/>
        <w:rPr>
          <w:rFonts w:eastAsiaTheme="minorEastAsia" w:cstheme="minorBidi"/>
          <w:i/>
          <w:iCs/>
          <w:noProof/>
          <w:sz w:val="22"/>
          <w:szCs w:val="22"/>
          <w:rtl/>
        </w:rPr>
      </w:pPr>
      <w:r>
        <w:rPr>
          <w:noProof/>
          <w:rtl/>
        </w:rPr>
        <w:t>דברי רב"י והנימוק"י דאינו נזהר בשטר רק כשיש לו עידי חזקה</w:t>
      </w:r>
    </w:p>
    <w:p w:rsidR="00E874E8" w:rsidRDefault="00E874E8" w:rsidP="007E4E81">
      <w:pPr>
        <w:pStyle w:val="a"/>
        <w:rPr>
          <w:rFonts w:eastAsiaTheme="minorEastAsia" w:cstheme="minorBidi"/>
          <w:sz w:val="22"/>
          <w:szCs w:val="22"/>
          <w:rtl/>
        </w:rPr>
      </w:pPr>
      <w:r>
        <w:rPr>
          <w:rtl/>
        </w:rPr>
        <w:t>דברי רבינו יונה והנימוק"י דהא דאינו נזהר בשטרו הוא רק באופן שיש לו עידי חזקת ג"ש</w:t>
      </w:r>
    </w:p>
    <w:p w:rsidR="00E874E8" w:rsidRDefault="00E874E8" w:rsidP="0007171D">
      <w:pPr>
        <w:pStyle w:val="aff4"/>
        <w:rPr>
          <w:rFonts w:eastAsiaTheme="minorEastAsia" w:cstheme="minorBidi"/>
          <w:i/>
          <w:iCs/>
          <w:noProof/>
          <w:sz w:val="22"/>
          <w:szCs w:val="22"/>
          <w:rtl/>
        </w:rPr>
      </w:pPr>
      <w:r>
        <w:rPr>
          <w:noProof/>
          <w:rtl/>
        </w:rPr>
        <w:t>דברי הנימוק"י דכיון דהדרך שלא נזהר בשטר תיקנו חזקת ג"ש</w:t>
      </w:r>
    </w:p>
    <w:p w:rsidR="00E874E8" w:rsidRDefault="00E874E8" w:rsidP="007E4E81">
      <w:pPr>
        <w:pStyle w:val="a"/>
        <w:rPr>
          <w:rFonts w:eastAsiaTheme="minorEastAsia" w:cstheme="minorBidi"/>
          <w:sz w:val="22"/>
          <w:szCs w:val="22"/>
          <w:rtl/>
        </w:rPr>
      </w:pPr>
      <w:r>
        <w:rPr>
          <w:rtl/>
        </w:rPr>
        <w:t>דברי הנימוק"י דאחר שאכל ג"ש א"צ שטר דדרך העולם שלא להזהר ותיקנו חכמים חזקת ג"ש</w:t>
      </w:r>
    </w:p>
    <w:p w:rsidR="00E874E8" w:rsidRDefault="00E874E8" w:rsidP="007E4E81">
      <w:pPr>
        <w:pStyle w:val="a"/>
        <w:rPr>
          <w:rFonts w:eastAsiaTheme="minorEastAsia" w:cstheme="minorBidi"/>
          <w:sz w:val="22"/>
          <w:szCs w:val="22"/>
          <w:rtl/>
        </w:rPr>
      </w:pPr>
      <w:r>
        <w:rPr>
          <w:rtl/>
        </w:rPr>
        <w:t>ביאור הנימוק"י בקושיה דל"מ מחאה שלא בפניו דאחר שאכל המחזיק בשופי לא נזהר בשטרו</w:t>
      </w:r>
    </w:p>
    <w:p w:rsidR="00E874E8" w:rsidRDefault="00E874E8" w:rsidP="007E4E81">
      <w:pPr>
        <w:pStyle w:val="a"/>
        <w:rPr>
          <w:rFonts w:eastAsiaTheme="minorEastAsia" w:cstheme="minorBidi"/>
          <w:sz w:val="22"/>
          <w:szCs w:val="22"/>
          <w:rtl/>
        </w:rPr>
      </w:pPr>
      <w:r>
        <w:rPr>
          <w:rtl/>
        </w:rPr>
        <w:t>דברי הנימוק"י דבכל מחאה ודאי שמע המחזיק וכשאין לו שטר מוכח שלא היה לו מעולם</w:t>
      </w:r>
    </w:p>
    <w:p w:rsidR="00E874E8" w:rsidRDefault="00E874E8" w:rsidP="0007171D">
      <w:pPr>
        <w:pStyle w:val="aff4"/>
        <w:rPr>
          <w:rFonts w:eastAsiaTheme="minorEastAsia" w:cstheme="minorBidi"/>
          <w:i/>
          <w:iCs/>
          <w:noProof/>
          <w:sz w:val="22"/>
          <w:szCs w:val="22"/>
          <w:rtl/>
        </w:rPr>
      </w:pPr>
      <w:r>
        <w:rPr>
          <w:noProof/>
          <w:rtl/>
        </w:rPr>
        <w:t>ביאור הנימוק"י ברב"י דכל שלא מחה יש ראיה דודאי מכר לו</w:t>
      </w:r>
    </w:p>
    <w:p w:rsidR="00E874E8" w:rsidRDefault="00E874E8" w:rsidP="007E4E81">
      <w:pPr>
        <w:pStyle w:val="a"/>
        <w:rPr>
          <w:rFonts w:eastAsiaTheme="minorEastAsia" w:cstheme="minorBidi"/>
          <w:sz w:val="22"/>
          <w:szCs w:val="22"/>
          <w:rtl/>
        </w:rPr>
      </w:pPr>
      <w:r>
        <w:rPr>
          <w:rtl/>
        </w:rPr>
        <w:t>ביאור הנימוק"י ברב"י דהחזקה מהני מהראיה שלא מחה וכל שמחה אף שלא בפניו אין לו ראיה</w:t>
      </w:r>
    </w:p>
    <w:p w:rsidR="00E874E8" w:rsidRDefault="00E874E8" w:rsidP="00E874E8">
      <w:pPr>
        <w:pStyle w:val="2"/>
        <w:rPr>
          <w:rFonts w:eastAsiaTheme="minorEastAsia" w:cstheme="minorBidi"/>
          <w:i/>
          <w:iCs/>
          <w:sz w:val="22"/>
          <w:szCs w:val="22"/>
          <w:rtl/>
        </w:rPr>
      </w:pPr>
      <w:r>
        <w:rPr>
          <w:rtl/>
        </w:rPr>
        <w:t>ד' הרא"ש דהתקנ"ח דחזקה במקום שטר</w:t>
      </w:r>
    </w:p>
    <w:p w:rsidR="00E874E8" w:rsidRDefault="00E874E8" w:rsidP="0007171D">
      <w:pPr>
        <w:pStyle w:val="aff4"/>
        <w:rPr>
          <w:rFonts w:eastAsiaTheme="minorEastAsia" w:cstheme="minorBidi"/>
          <w:i/>
          <w:iCs/>
          <w:noProof/>
          <w:sz w:val="22"/>
          <w:szCs w:val="22"/>
          <w:rtl/>
        </w:rPr>
      </w:pPr>
      <w:r>
        <w:rPr>
          <w:noProof/>
          <w:rtl/>
        </w:rPr>
        <w:t>דברי הרא"ש דכיון שאין נזהר בשטר תיקנו שא"צ להראות שטר</w:t>
      </w:r>
    </w:p>
    <w:p w:rsidR="00E874E8" w:rsidRDefault="00E874E8" w:rsidP="007E4E81">
      <w:pPr>
        <w:pStyle w:val="a"/>
        <w:rPr>
          <w:rFonts w:eastAsiaTheme="minorEastAsia" w:cstheme="minorBidi"/>
          <w:sz w:val="22"/>
          <w:szCs w:val="22"/>
          <w:rtl/>
        </w:rPr>
      </w:pPr>
      <w:r>
        <w:rPr>
          <w:rtl/>
        </w:rPr>
        <w:t>דברי הרא"ש דכיון שאחר ג"ש אינו נזהר בשטרו תיקנו חכמים דאחר ג"ש א"צ להראות שטרו</w:t>
      </w:r>
    </w:p>
    <w:p w:rsidR="00E874E8" w:rsidRDefault="00E874E8" w:rsidP="007E4E81">
      <w:pPr>
        <w:pStyle w:val="a"/>
        <w:rPr>
          <w:rFonts w:eastAsiaTheme="minorEastAsia" w:cstheme="minorBidi"/>
          <w:sz w:val="22"/>
          <w:szCs w:val="22"/>
          <w:rtl/>
        </w:rPr>
      </w:pPr>
      <w:r>
        <w:rPr>
          <w:rtl/>
        </w:rPr>
        <w:t>דברי הרא"ש דהמחאה מהני אף כשעידי המחאה לא סיפרו עליה לשום אדם דמחה כדינו</w:t>
      </w:r>
    </w:p>
    <w:p w:rsidR="00E874E8" w:rsidRDefault="00E874E8" w:rsidP="007E4E81">
      <w:pPr>
        <w:pStyle w:val="a"/>
        <w:rPr>
          <w:rFonts w:eastAsiaTheme="minorEastAsia" w:cstheme="minorBidi"/>
          <w:sz w:val="22"/>
          <w:szCs w:val="22"/>
          <w:rtl/>
        </w:rPr>
      </w:pPr>
      <w:r>
        <w:rPr>
          <w:rtl/>
        </w:rPr>
        <w:t>ביאור השער משפט ברא"ש דחזקת ג"ש היא תקנת חכמים שלא יצטרך המחזיק לשמור שטרו</w:t>
      </w:r>
    </w:p>
    <w:p w:rsidR="00E874E8" w:rsidRDefault="00E874E8" w:rsidP="0007171D">
      <w:pPr>
        <w:pStyle w:val="aff4"/>
        <w:rPr>
          <w:rFonts w:eastAsiaTheme="minorEastAsia" w:cstheme="minorBidi"/>
          <w:i/>
          <w:iCs/>
          <w:noProof/>
          <w:sz w:val="22"/>
          <w:szCs w:val="22"/>
          <w:rtl/>
        </w:rPr>
      </w:pPr>
      <w:r>
        <w:rPr>
          <w:noProof/>
          <w:rtl/>
        </w:rPr>
        <w:t>דברי התורא"ש דכיון שתיקנו חזקת ג"ש כל שלא מחה יש אנ"ס</w:t>
      </w:r>
    </w:p>
    <w:p w:rsidR="00E874E8" w:rsidRDefault="00E874E8" w:rsidP="007E4E81">
      <w:pPr>
        <w:pStyle w:val="a"/>
        <w:rPr>
          <w:rFonts w:eastAsiaTheme="minorEastAsia" w:cstheme="minorBidi"/>
          <w:sz w:val="22"/>
          <w:szCs w:val="22"/>
          <w:rtl/>
        </w:rPr>
      </w:pPr>
      <w:r>
        <w:rPr>
          <w:rtl/>
        </w:rPr>
        <w:t>דברי התורא"ש בב"מ דתיקנו חכמים חזקה במקום שטר ותיקנו מחאה ומדלא מחה אנ"ס שמכר</w:t>
      </w:r>
    </w:p>
    <w:p w:rsidR="00E874E8" w:rsidRDefault="00E874E8" w:rsidP="007E4E81">
      <w:pPr>
        <w:pStyle w:val="a"/>
        <w:rPr>
          <w:rFonts w:eastAsiaTheme="minorEastAsia" w:cstheme="minorBidi"/>
          <w:sz w:val="22"/>
          <w:szCs w:val="22"/>
          <w:rtl/>
        </w:rPr>
      </w:pPr>
      <w:r>
        <w:rPr>
          <w:rtl/>
        </w:rPr>
        <w:t>דברי הרא"ש דבמודה המחזיק שמחה בפניו לבדו ל"ה חזקה דהיה לו להזהר בשטרו</w:t>
      </w:r>
    </w:p>
    <w:p w:rsidR="00E874E8" w:rsidRDefault="00E874E8" w:rsidP="007E4E81">
      <w:pPr>
        <w:pStyle w:val="a"/>
        <w:rPr>
          <w:rFonts w:eastAsiaTheme="minorEastAsia" w:cstheme="minorBidi"/>
          <w:sz w:val="22"/>
          <w:szCs w:val="22"/>
          <w:rtl/>
        </w:rPr>
      </w:pPr>
      <w:r>
        <w:rPr>
          <w:rtl/>
        </w:rPr>
        <w:t>ביאור הנתיה"מ ברא"ש דהחזקה היא תקנ"ח דא"א להזהר בשטר אך בצריך להזהר אין תקנ"ח</w:t>
      </w:r>
    </w:p>
    <w:p w:rsidR="00E874E8" w:rsidRDefault="00E874E8" w:rsidP="00E874E8">
      <w:pPr>
        <w:pStyle w:val="2"/>
        <w:rPr>
          <w:rFonts w:eastAsiaTheme="minorEastAsia" w:cstheme="minorBidi"/>
          <w:i/>
          <w:iCs/>
          <w:sz w:val="22"/>
          <w:szCs w:val="22"/>
          <w:rtl/>
        </w:rPr>
      </w:pPr>
      <w:r>
        <w:rPr>
          <w:rtl/>
        </w:rPr>
        <w:t>ד' התוס' דהתקנ"ח דמהני חזקה ומחאה</w:t>
      </w:r>
    </w:p>
    <w:p w:rsidR="00E874E8" w:rsidRDefault="00E874E8" w:rsidP="0007171D">
      <w:pPr>
        <w:pStyle w:val="aff4"/>
        <w:rPr>
          <w:rFonts w:eastAsiaTheme="minorEastAsia" w:cstheme="minorBidi"/>
          <w:i/>
          <w:iCs/>
          <w:noProof/>
          <w:sz w:val="22"/>
          <w:szCs w:val="22"/>
          <w:rtl/>
        </w:rPr>
      </w:pPr>
      <w:r>
        <w:rPr>
          <w:noProof/>
          <w:rtl/>
        </w:rPr>
        <w:t>דברי התוס' בב"מ דבטענת גזול הו"ל למחות ולא במשכנתא</w:t>
      </w:r>
    </w:p>
    <w:p w:rsidR="00E874E8" w:rsidRDefault="00E874E8" w:rsidP="007E4E81">
      <w:pPr>
        <w:pStyle w:val="a"/>
        <w:rPr>
          <w:rFonts w:eastAsiaTheme="minorEastAsia" w:cstheme="minorBidi"/>
          <w:sz w:val="22"/>
          <w:szCs w:val="22"/>
          <w:rtl/>
        </w:rPr>
      </w:pPr>
      <w:r>
        <w:rPr>
          <w:rtl/>
        </w:rPr>
        <w:t>דברי התוס' בב"מ דכשטוען המערער שהמחזיק גזלן היה לו למחות כתקנ"ח ומדלא מחה הפסיד</w:t>
      </w:r>
    </w:p>
    <w:p w:rsidR="00E874E8" w:rsidRDefault="00E874E8" w:rsidP="007E4E81">
      <w:pPr>
        <w:pStyle w:val="a"/>
        <w:rPr>
          <w:rFonts w:eastAsiaTheme="minorEastAsia" w:cstheme="minorBidi"/>
          <w:sz w:val="22"/>
          <w:szCs w:val="22"/>
          <w:rtl/>
        </w:rPr>
      </w:pPr>
      <w:r>
        <w:rPr>
          <w:rtl/>
        </w:rPr>
        <w:t>דברי התורא"ש דידוע דתיקנו חזקה במקום שטר ותיקנו מחאה אי לא מחה הפסיד דאנ"ס שמכר</w:t>
      </w:r>
    </w:p>
    <w:p w:rsidR="00E874E8" w:rsidRDefault="00E874E8" w:rsidP="007E4E81">
      <w:pPr>
        <w:pStyle w:val="a"/>
        <w:rPr>
          <w:rFonts w:eastAsiaTheme="minorEastAsia" w:cstheme="minorBidi"/>
          <w:sz w:val="22"/>
          <w:szCs w:val="22"/>
          <w:rtl/>
        </w:rPr>
      </w:pPr>
      <w:r>
        <w:rPr>
          <w:rtl/>
        </w:rPr>
        <w:t>דברי התוס' בב"מ דבטוען שהמחזיק אכלה במשכנתא הו"א דאינו חושש לגזילה וא"צ למחות</w:t>
      </w:r>
    </w:p>
    <w:p w:rsidR="00E874E8" w:rsidRDefault="00E874E8" w:rsidP="0007171D">
      <w:pPr>
        <w:pStyle w:val="aff4"/>
        <w:rPr>
          <w:rFonts w:eastAsiaTheme="minorEastAsia" w:cstheme="minorBidi"/>
          <w:i/>
          <w:iCs/>
          <w:noProof/>
          <w:sz w:val="22"/>
          <w:szCs w:val="22"/>
          <w:rtl/>
        </w:rPr>
      </w:pPr>
      <w:r>
        <w:rPr>
          <w:noProof/>
          <w:rtl/>
        </w:rPr>
        <w:t>דברי התוס' בב"מ דבטוען גזול ולא מחה אנ"ס שמכר לו</w:t>
      </w:r>
    </w:p>
    <w:p w:rsidR="00E874E8" w:rsidRDefault="00E874E8" w:rsidP="007E4E81">
      <w:pPr>
        <w:pStyle w:val="a"/>
        <w:rPr>
          <w:rFonts w:eastAsiaTheme="minorEastAsia" w:cstheme="minorBidi"/>
          <w:sz w:val="22"/>
          <w:szCs w:val="22"/>
          <w:rtl/>
        </w:rPr>
      </w:pPr>
      <w:r>
        <w:rPr>
          <w:rtl/>
        </w:rPr>
        <w:t>דברי התוס' בב"מ דכשטוען גזולה ביד המחזיק אנן סהדי דלא היה שותק ואם שתק ל"מ מיגו</w:t>
      </w:r>
    </w:p>
    <w:p w:rsidR="00E874E8" w:rsidRDefault="00E874E8" w:rsidP="0007171D">
      <w:pPr>
        <w:pStyle w:val="aff4"/>
        <w:rPr>
          <w:rFonts w:eastAsiaTheme="minorEastAsia" w:cstheme="minorBidi"/>
          <w:i/>
          <w:iCs/>
          <w:noProof/>
          <w:sz w:val="22"/>
          <w:szCs w:val="22"/>
          <w:rtl/>
        </w:rPr>
      </w:pPr>
      <w:r>
        <w:rPr>
          <w:noProof/>
          <w:rtl/>
        </w:rPr>
        <w:t>קושיות התוס' דבצריך להזהר בשטר מחמת דבר אחר אין חזקה</w:t>
      </w:r>
    </w:p>
    <w:p w:rsidR="00E874E8" w:rsidRDefault="00E874E8" w:rsidP="007E4E81">
      <w:pPr>
        <w:pStyle w:val="a"/>
        <w:rPr>
          <w:rFonts w:eastAsiaTheme="minorEastAsia" w:cstheme="minorBidi"/>
          <w:sz w:val="22"/>
          <w:szCs w:val="22"/>
          <w:rtl/>
        </w:rPr>
      </w:pPr>
      <w:r>
        <w:rPr>
          <w:rtl/>
        </w:rPr>
        <w:t>קושית התוס' בב"מ דאי נאמן בטענת משכנתא לעולם צריך לשמור שטרו שמא יטען משכנתא</w:t>
      </w:r>
    </w:p>
    <w:p w:rsidR="00E874E8" w:rsidRDefault="00E874E8" w:rsidP="007E4E81">
      <w:pPr>
        <w:pStyle w:val="a"/>
        <w:rPr>
          <w:rFonts w:eastAsiaTheme="minorEastAsia" w:cstheme="minorBidi"/>
          <w:sz w:val="22"/>
          <w:szCs w:val="22"/>
          <w:rtl/>
        </w:rPr>
      </w:pPr>
      <w:r>
        <w:rPr>
          <w:rtl/>
        </w:rPr>
        <w:t>ביאור התוס' בב"מ דקושית הגמ' מה התקנה לממשכן שלא יהיה למחזיק חזקת ג"ש דל"מ מחאה</w:t>
      </w:r>
    </w:p>
    <w:p w:rsidR="00E874E8" w:rsidRDefault="00E874E8" w:rsidP="007E4E81">
      <w:pPr>
        <w:pStyle w:val="a"/>
        <w:rPr>
          <w:rFonts w:eastAsiaTheme="minorEastAsia" w:cstheme="minorBidi"/>
          <w:sz w:val="22"/>
          <w:szCs w:val="22"/>
          <w:rtl/>
        </w:rPr>
      </w:pPr>
      <w:r>
        <w:rPr>
          <w:rtl/>
        </w:rPr>
        <w:t>קושית התוס' לקמן דאי נאמן בטענת לפירות הורדתיך לעולם צריך לשמור שטרו שמא יטען כן</w:t>
      </w:r>
    </w:p>
    <w:p w:rsidR="00E874E8" w:rsidRDefault="00E874E8" w:rsidP="007E4E81">
      <w:pPr>
        <w:pStyle w:val="a"/>
        <w:rPr>
          <w:rFonts w:eastAsiaTheme="minorEastAsia" w:cstheme="minorBidi"/>
          <w:sz w:val="22"/>
          <w:szCs w:val="22"/>
          <w:rtl/>
        </w:rPr>
      </w:pPr>
      <w:r>
        <w:rPr>
          <w:rtl/>
        </w:rPr>
        <w:t>קושית התוס' לקמן דאי נאמן בטענת לפירות הורדתיך א"כ לא היה לו למחות דל"מ המחאה</w:t>
      </w:r>
    </w:p>
    <w:p w:rsidR="00E874E8" w:rsidRDefault="00E874E8" w:rsidP="007E4E81">
      <w:pPr>
        <w:pStyle w:val="a"/>
        <w:rPr>
          <w:rFonts w:eastAsiaTheme="minorEastAsia" w:cstheme="minorBidi"/>
          <w:sz w:val="22"/>
          <w:szCs w:val="22"/>
          <w:rtl/>
        </w:rPr>
      </w:pPr>
      <w:r>
        <w:rPr>
          <w:rtl/>
        </w:rPr>
        <w:t>ביאור התוס' לקמן דקושית הגמ' לקמן מה התקנה שיוריד לפירות ולא יהיה למחזיק חזקת ג"ש</w:t>
      </w:r>
    </w:p>
    <w:p w:rsidR="00E874E8" w:rsidRDefault="00E874E8" w:rsidP="0007171D">
      <w:pPr>
        <w:pStyle w:val="aff4"/>
        <w:rPr>
          <w:rFonts w:eastAsiaTheme="minorEastAsia" w:cstheme="minorBidi"/>
          <w:i/>
          <w:iCs/>
          <w:noProof/>
          <w:sz w:val="22"/>
          <w:szCs w:val="22"/>
          <w:rtl/>
        </w:rPr>
      </w:pPr>
      <w:r>
        <w:rPr>
          <w:noProof/>
          <w:rtl/>
        </w:rPr>
        <w:t>ביאור הנתיה"מ בתוס' דלרבנן המחאה היא רק כשיש תקנ"ח</w:t>
      </w:r>
    </w:p>
    <w:p w:rsidR="00E874E8" w:rsidRDefault="00E874E8" w:rsidP="007E4E81">
      <w:pPr>
        <w:pStyle w:val="a"/>
        <w:rPr>
          <w:rFonts w:eastAsiaTheme="minorEastAsia" w:cstheme="minorBidi"/>
          <w:sz w:val="22"/>
          <w:szCs w:val="22"/>
          <w:rtl/>
        </w:rPr>
      </w:pPr>
      <w:r>
        <w:rPr>
          <w:rtl/>
        </w:rPr>
        <w:t>ביאור הנתיה"מ בתוס' בב"מ דלרבנן דחזקה הוא תקנ"ח הו"א דבמשכנתא אין תקנ"ח שימחה</w:t>
      </w:r>
    </w:p>
    <w:p w:rsidR="00E874E8" w:rsidRDefault="00E874E8" w:rsidP="007E4E81">
      <w:pPr>
        <w:pStyle w:val="a"/>
        <w:rPr>
          <w:rFonts w:eastAsiaTheme="minorEastAsia" w:cstheme="minorBidi"/>
          <w:sz w:val="22"/>
          <w:szCs w:val="22"/>
          <w:rtl/>
        </w:rPr>
      </w:pPr>
      <w:r>
        <w:rPr>
          <w:rtl/>
        </w:rPr>
        <w:t>דברי הנתיה"מ דלהולכי אושא דהחזקה מדאו' דהוחזק שתקן פשיטא דמהני מחאה במשכנתא</w:t>
      </w:r>
    </w:p>
    <w:p w:rsidR="00E874E8" w:rsidRDefault="00E874E8" w:rsidP="007E4E81">
      <w:pPr>
        <w:pStyle w:val="a"/>
        <w:rPr>
          <w:rFonts w:eastAsiaTheme="minorEastAsia" w:cstheme="minorBidi"/>
          <w:sz w:val="22"/>
          <w:szCs w:val="22"/>
          <w:rtl/>
        </w:rPr>
      </w:pPr>
      <w:r>
        <w:rPr>
          <w:rtl/>
        </w:rPr>
        <w:t>דברי הנתיה"מ דלרבנן דהחזקה היא תקנ"ח במקום שבלא"ה צריך לשמור שטרו לא תיקנו חכמים</w:t>
      </w:r>
    </w:p>
    <w:p w:rsidR="00E874E8" w:rsidRDefault="00E874E8" w:rsidP="0007171D">
      <w:pPr>
        <w:pStyle w:val="aff4"/>
        <w:rPr>
          <w:rFonts w:eastAsiaTheme="minorEastAsia" w:cstheme="minorBidi"/>
          <w:i/>
          <w:iCs/>
          <w:noProof/>
          <w:sz w:val="22"/>
          <w:szCs w:val="22"/>
          <w:rtl/>
        </w:rPr>
      </w:pPr>
      <w:r>
        <w:rPr>
          <w:noProof/>
          <w:rtl/>
        </w:rPr>
        <w:t xml:space="preserve">דברי התוס' לקמן דתיקנו מחאה שמבטלת חזקה בדבר מועט </w:t>
      </w:r>
    </w:p>
    <w:p w:rsidR="00E874E8" w:rsidRDefault="00E874E8" w:rsidP="007E4E81">
      <w:pPr>
        <w:pStyle w:val="a"/>
        <w:rPr>
          <w:rFonts w:eastAsiaTheme="minorEastAsia" w:cstheme="minorBidi"/>
          <w:sz w:val="22"/>
          <w:szCs w:val="22"/>
          <w:rtl/>
        </w:rPr>
      </w:pPr>
      <w:r>
        <w:rPr>
          <w:rtl/>
        </w:rPr>
        <w:t>דברי התוס' לקמן דמחאה היא תקנ"ח ומהני אף בדבר מועט לבטל חזקה אף שלא שמע המחזיק</w:t>
      </w:r>
    </w:p>
    <w:p w:rsidR="00E874E8" w:rsidRDefault="00E874E8" w:rsidP="00E874E8">
      <w:pPr>
        <w:pStyle w:val="2"/>
        <w:rPr>
          <w:rFonts w:eastAsiaTheme="minorEastAsia" w:cstheme="minorBidi"/>
          <w:i/>
          <w:iCs/>
          <w:sz w:val="22"/>
          <w:szCs w:val="22"/>
          <w:rtl/>
        </w:rPr>
      </w:pPr>
      <w:r>
        <w:rPr>
          <w:rtl/>
        </w:rPr>
        <w:t>ד' הקצוה"ח דהתקנ"ח לטובת המחזיק</w:t>
      </w:r>
    </w:p>
    <w:p w:rsidR="00E874E8" w:rsidRDefault="00E874E8" w:rsidP="0007171D">
      <w:pPr>
        <w:pStyle w:val="aff4"/>
        <w:rPr>
          <w:rFonts w:eastAsiaTheme="minorEastAsia" w:cstheme="minorBidi"/>
          <w:i/>
          <w:iCs/>
          <w:noProof/>
          <w:sz w:val="22"/>
          <w:szCs w:val="22"/>
          <w:rtl/>
        </w:rPr>
      </w:pPr>
      <w:r>
        <w:rPr>
          <w:noProof/>
          <w:rtl/>
        </w:rPr>
        <w:t>דברי הקצוה"ח והנתיה"מ והשע"מ דחזקת ג"ש היא תקנ"ח</w:t>
      </w:r>
    </w:p>
    <w:p w:rsidR="00E874E8" w:rsidRDefault="00E874E8" w:rsidP="007E4E81">
      <w:pPr>
        <w:pStyle w:val="a"/>
        <w:rPr>
          <w:rFonts w:eastAsiaTheme="minorEastAsia" w:cstheme="minorBidi"/>
          <w:sz w:val="22"/>
          <w:szCs w:val="22"/>
          <w:rtl/>
        </w:rPr>
      </w:pPr>
      <w:r>
        <w:rPr>
          <w:rtl/>
        </w:rPr>
        <w:t>דעת הקצוה"ח דהחזקה היא תקנ"ח מתיקון העולם דאחר ג"ש אינו נזהר בשטר ונאמן המחזיק</w:t>
      </w:r>
    </w:p>
    <w:p w:rsidR="00E874E8" w:rsidRDefault="00E874E8" w:rsidP="007E4E81">
      <w:pPr>
        <w:pStyle w:val="a"/>
        <w:rPr>
          <w:rFonts w:eastAsiaTheme="minorEastAsia" w:cstheme="minorBidi"/>
          <w:sz w:val="22"/>
          <w:szCs w:val="22"/>
          <w:rtl/>
        </w:rPr>
      </w:pPr>
      <w:r>
        <w:rPr>
          <w:rtl/>
        </w:rPr>
        <w:t>דעת הקצוה"ח דתיקנו חכמים שהמערער יוכל למחות בתוך ג"ש וכל שלא מחה הפסיד</w:t>
      </w:r>
    </w:p>
    <w:p w:rsidR="00E874E8" w:rsidRDefault="00E874E8" w:rsidP="007E4E81">
      <w:pPr>
        <w:pStyle w:val="a"/>
        <w:rPr>
          <w:rFonts w:eastAsiaTheme="minorEastAsia" w:cstheme="minorBidi"/>
          <w:sz w:val="22"/>
          <w:szCs w:val="22"/>
          <w:rtl/>
        </w:rPr>
      </w:pPr>
      <w:r>
        <w:rPr>
          <w:rtl/>
        </w:rPr>
        <w:t>ביאור השע"מ דהחזקה היא תקנ"ח שלא יהיה פסידא ללקוחות וכל שלא מחה המערער הפסיד</w:t>
      </w:r>
    </w:p>
    <w:p w:rsidR="00E874E8" w:rsidRDefault="00E874E8" w:rsidP="007E4E81">
      <w:pPr>
        <w:pStyle w:val="a"/>
        <w:rPr>
          <w:rFonts w:eastAsiaTheme="minorEastAsia" w:cstheme="minorBidi"/>
          <w:sz w:val="22"/>
          <w:szCs w:val="22"/>
          <w:rtl/>
        </w:rPr>
      </w:pPr>
      <w:r>
        <w:rPr>
          <w:rtl/>
        </w:rPr>
        <w:t>ביאור הקצוה"ח בנימוק"י דהתקנה גם למחזיק שיהיה לו חזקה וגם למערער שיוכל למחות</w:t>
      </w:r>
    </w:p>
    <w:p w:rsidR="00E874E8" w:rsidRDefault="00E874E8" w:rsidP="0007171D">
      <w:pPr>
        <w:pStyle w:val="aff4"/>
        <w:rPr>
          <w:rFonts w:eastAsiaTheme="minorEastAsia" w:cstheme="minorBidi"/>
          <w:i/>
          <w:iCs/>
          <w:noProof/>
          <w:sz w:val="22"/>
          <w:szCs w:val="22"/>
          <w:rtl/>
        </w:rPr>
      </w:pPr>
      <w:r>
        <w:rPr>
          <w:noProof/>
          <w:rtl/>
        </w:rPr>
        <w:t>ביאור הקצוה"ח ברמב"ם דהפסיד המערער מהתקנ"ח דמחאה</w:t>
      </w:r>
    </w:p>
    <w:p w:rsidR="00E874E8" w:rsidRDefault="00E874E8" w:rsidP="007E4E81">
      <w:pPr>
        <w:pStyle w:val="a"/>
        <w:rPr>
          <w:rFonts w:eastAsiaTheme="minorEastAsia" w:cstheme="minorBidi"/>
          <w:sz w:val="22"/>
          <w:szCs w:val="22"/>
          <w:rtl/>
        </w:rPr>
      </w:pPr>
      <w:r>
        <w:rPr>
          <w:rtl/>
        </w:rPr>
        <w:t>ביאור הקצוה"ח ברמב"ם דהחזקה היא מתקנ"ח ולכן כתב דבלא מחה המערער הפסיד</w:t>
      </w:r>
    </w:p>
    <w:p w:rsidR="00E874E8" w:rsidRDefault="00E874E8" w:rsidP="007E4E81">
      <w:pPr>
        <w:pStyle w:val="a"/>
        <w:rPr>
          <w:rFonts w:eastAsiaTheme="minorEastAsia" w:cstheme="minorBidi"/>
          <w:sz w:val="22"/>
          <w:szCs w:val="22"/>
          <w:rtl/>
        </w:rPr>
      </w:pPr>
      <w:r>
        <w:rPr>
          <w:rtl/>
        </w:rPr>
        <w:t>דחיית חי' רמ"ש דאף אי החזקה היא תקנ"ח מ"מ יש ראיה מדלא מיחה ול"ש לשון הפסיד</w:t>
      </w:r>
    </w:p>
    <w:p w:rsidR="00E874E8" w:rsidRDefault="00E874E8" w:rsidP="007E4E81">
      <w:pPr>
        <w:pStyle w:val="a"/>
        <w:rPr>
          <w:rFonts w:eastAsiaTheme="minorEastAsia" w:cstheme="minorBidi"/>
          <w:sz w:val="22"/>
          <w:szCs w:val="22"/>
          <w:rtl/>
        </w:rPr>
      </w:pPr>
      <w:r>
        <w:rPr>
          <w:rtl/>
        </w:rPr>
        <w:t>ביאור חי' רמ"ש בלשון הרמב"ם דהפסיד כשלא מחה בפני עדים ולא שמע המחזיק ממחאתו</w:t>
      </w:r>
    </w:p>
    <w:p w:rsidR="00E874E8" w:rsidRDefault="00E874E8" w:rsidP="0007171D">
      <w:pPr>
        <w:pStyle w:val="aff4"/>
        <w:rPr>
          <w:rFonts w:eastAsiaTheme="minorEastAsia" w:cstheme="minorBidi"/>
          <w:i/>
          <w:iCs/>
          <w:noProof/>
          <w:sz w:val="22"/>
          <w:szCs w:val="22"/>
          <w:rtl/>
        </w:rPr>
      </w:pPr>
      <w:r>
        <w:rPr>
          <w:noProof/>
          <w:rtl/>
        </w:rPr>
        <w:t>קושית הקצוה"ח על התוס' דכל שלא מחו בו לא נזהר בשטר</w:t>
      </w:r>
    </w:p>
    <w:p w:rsidR="00E874E8" w:rsidRDefault="00E874E8" w:rsidP="007E4E81">
      <w:pPr>
        <w:pStyle w:val="a"/>
        <w:rPr>
          <w:rFonts w:eastAsiaTheme="minorEastAsia" w:cstheme="minorBidi"/>
          <w:sz w:val="22"/>
          <w:szCs w:val="22"/>
          <w:rtl/>
        </w:rPr>
      </w:pPr>
      <w:r>
        <w:rPr>
          <w:rtl/>
        </w:rPr>
        <w:t>ביאור הקצוה"ח בתוס' דהמחזיק סומך על החזקה ולא נזהר בשטר וכשל"מ חזקה צריך להזהר</w:t>
      </w:r>
    </w:p>
    <w:p w:rsidR="00E874E8" w:rsidRDefault="00E874E8" w:rsidP="007E4E81">
      <w:pPr>
        <w:pStyle w:val="a"/>
        <w:rPr>
          <w:rFonts w:eastAsiaTheme="minorEastAsia" w:cstheme="minorBidi"/>
          <w:sz w:val="22"/>
          <w:szCs w:val="22"/>
          <w:rtl/>
        </w:rPr>
      </w:pPr>
      <w:r>
        <w:rPr>
          <w:rtl/>
        </w:rPr>
        <w:t>קושית הקצוה"ח דהא דאינו נזהר בשטר אינו מחמת החזקה ולהיפך כיון שלא נזהר יש חזקה</w:t>
      </w:r>
    </w:p>
    <w:p w:rsidR="00E874E8" w:rsidRDefault="00E874E8" w:rsidP="007E4E81">
      <w:pPr>
        <w:pStyle w:val="a"/>
        <w:rPr>
          <w:rFonts w:eastAsiaTheme="minorEastAsia" w:cstheme="minorBidi"/>
          <w:sz w:val="22"/>
          <w:szCs w:val="22"/>
          <w:rtl/>
        </w:rPr>
      </w:pPr>
      <w:r>
        <w:rPr>
          <w:rtl/>
        </w:rPr>
        <w:t>דברי הקצוה"ח דבין אם החזקה מדלא מיחה ובין מתקנ"ח הא דאינו נזהר בשטר לפני דין חזקה</w:t>
      </w:r>
    </w:p>
    <w:p w:rsidR="00E874E8" w:rsidRDefault="00E874E8" w:rsidP="007E4E81">
      <w:pPr>
        <w:pStyle w:val="a"/>
        <w:rPr>
          <w:rFonts w:eastAsiaTheme="minorEastAsia" w:cstheme="minorBidi"/>
          <w:sz w:val="22"/>
          <w:szCs w:val="22"/>
          <w:rtl/>
        </w:rPr>
      </w:pPr>
      <w:r>
        <w:rPr>
          <w:rtl/>
        </w:rPr>
        <w:t>קושית הקצוה"ח על תוס' דאף שיכול לטעון שהורידו לפירות מ"מ לא יזהר כיון שלא ערער עליו</w:t>
      </w:r>
    </w:p>
    <w:p w:rsidR="00E874E8" w:rsidRDefault="00E874E8" w:rsidP="0007171D">
      <w:pPr>
        <w:pStyle w:val="aff4"/>
        <w:rPr>
          <w:rFonts w:eastAsiaTheme="minorEastAsia" w:cstheme="minorBidi"/>
          <w:i/>
          <w:iCs/>
          <w:noProof/>
          <w:sz w:val="22"/>
          <w:szCs w:val="22"/>
          <w:rtl/>
        </w:rPr>
      </w:pPr>
      <w:r>
        <w:rPr>
          <w:noProof/>
          <w:rtl/>
        </w:rPr>
        <w:t>ביאור הקצוה"ח והשע"מ בתוס' דהחזקה תקנ"ח לטובת המחזיק</w:t>
      </w:r>
    </w:p>
    <w:p w:rsidR="00E874E8" w:rsidRDefault="00E874E8" w:rsidP="007E4E81">
      <w:pPr>
        <w:pStyle w:val="a"/>
        <w:rPr>
          <w:rFonts w:eastAsiaTheme="minorEastAsia" w:cstheme="minorBidi"/>
          <w:sz w:val="22"/>
          <w:szCs w:val="22"/>
          <w:rtl/>
        </w:rPr>
      </w:pPr>
      <w:r>
        <w:rPr>
          <w:rtl/>
        </w:rPr>
        <w:t>ביאור הקצוה"ח בתוס' דהתקנ"ח שלא יפסיד המחזיק וא"כ קשה דיפסיד בטענת לפירות הורדתיך</w:t>
      </w:r>
    </w:p>
    <w:p w:rsidR="00E874E8" w:rsidRDefault="00E874E8" w:rsidP="007E4E81">
      <w:pPr>
        <w:pStyle w:val="a"/>
        <w:rPr>
          <w:rFonts w:eastAsiaTheme="minorEastAsia" w:cstheme="minorBidi"/>
          <w:sz w:val="22"/>
          <w:szCs w:val="22"/>
          <w:rtl/>
        </w:rPr>
      </w:pPr>
      <w:r>
        <w:rPr>
          <w:rtl/>
        </w:rPr>
        <w:t>קושית הקצוה"ח דאמאי בדלי צנא דפירי נאמן דלפירות הורדתיו ובשתיקה בג"ש אינו נאמן</w:t>
      </w:r>
    </w:p>
    <w:p w:rsidR="00E874E8" w:rsidRDefault="00E874E8" w:rsidP="007E4E81">
      <w:pPr>
        <w:pStyle w:val="a"/>
        <w:rPr>
          <w:rFonts w:eastAsiaTheme="minorEastAsia" w:cstheme="minorBidi"/>
          <w:sz w:val="22"/>
          <w:szCs w:val="22"/>
          <w:rtl/>
        </w:rPr>
      </w:pPr>
      <w:r>
        <w:rPr>
          <w:rtl/>
        </w:rPr>
        <w:t>דברי הקצוה"ח דהחזקה מתקנ"ח ולא נאמן בטענת לפירות הורדתיו אבל בצנא דפירי אין תקנ"ח</w:t>
      </w:r>
    </w:p>
    <w:p w:rsidR="00E874E8" w:rsidRDefault="00E874E8" w:rsidP="0007171D">
      <w:pPr>
        <w:pStyle w:val="aff4"/>
        <w:rPr>
          <w:rFonts w:eastAsiaTheme="minorEastAsia" w:cstheme="minorBidi"/>
          <w:i/>
          <w:iCs/>
          <w:noProof/>
          <w:sz w:val="22"/>
          <w:szCs w:val="22"/>
          <w:rtl/>
        </w:rPr>
      </w:pPr>
      <w:r>
        <w:rPr>
          <w:noProof/>
          <w:rtl/>
        </w:rPr>
        <w:t>קושית השע"מ בסתירת הנימוק"י בטעם שאינו נזהר בשטר</w:t>
      </w:r>
    </w:p>
    <w:p w:rsidR="00E874E8" w:rsidRDefault="00E874E8" w:rsidP="007E4E81">
      <w:pPr>
        <w:pStyle w:val="a"/>
        <w:rPr>
          <w:rFonts w:eastAsiaTheme="minorEastAsia" w:cstheme="minorBidi"/>
          <w:sz w:val="22"/>
          <w:szCs w:val="22"/>
          <w:rtl/>
        </w:rPr>
      </w:pPr>
      <w:r>
        <w:rPr>
          <w:rtl/>
        </w:rPr>
        <w:t>קושית השע"מ דבנימוק"י לקמן משמע דלא נזהר בשטר מחמת שיש לו חזקה ודלא כגמ' בסוגיין</w:t>
      </w:r>
    </w:p>
    <w:p w:rsidR="00E874E8" w:rsidRDefault="00E874E8" w:rsidP="007E4E81">
      <w:pPr>
        <w:pStyle w:val="a"/>
        <w:rPr>
          <w:rFonts w:eastAsiaTheme="minorEastAsia" w:cstheme="minorBidi"/>
          <w:sz w:val="22"/>
          <w:szCs w:val="22"/>
          <w:rtl/>
        </w:rPr>
      </w:pPr>
      <w:r>
        <w:rPr>
          <w:rtl/>
        </w:rPr>
        <w:t>דברי השע"מ דבתוס' לקמן מוכח דבמקום שנאמן בחזקת ג"ש בלי עדים א"צ שטר ודלא כנימוק"י</w:t>
      </w:r>
    </w:p>
    <w:p w:rsidR="00E874E8" w:rsidRDefault="00E874E8" w:rsidP="00E874E8">
      <w:pPr>
        <w:pStyle w:val="2"/>
        <w:rPr>
          <w:rFonts w:eastAsiaTheme="minorEastAsia" w:cstheme="minorBidi"/>
          <w:i/>
          <w:iCs/>
          <w:sz w:val="22"/>
          <w:szCs w:val="22"/>
          <w:rtl/>
        </w:rPr>
      </w:pPr>
      <w:r>
        <w:rPr>
          <w:rtl/>
        </w:rPr>
        <w:t>ד' השע"מ דאחר התקנ"ח מהני אף מדאו'</w:t>
      </w:r>
    </w:p>
    <w:p w:rsidR="00E874E8" w:rsidRDefault="00E874E8" w:rsidP="0007171D">
      <w:pPr>
        <w:pStyle w:val="aff4"/>
        <w:rPr>
          <w:rFonts w:eastAsiaTheme="minorEastAsia" w:cstheme="minorBidi"/>
          <w:i/>
          <w:iCs/>
          <w:noProof/>
          <w:sz w:val="22"/>
          <w:szCs w:val="22"/>
          <w:rtl/>
        </w:rPr>
      </w:pPr>
      <w:r>
        <w:rPr>
          <w:noProof/>
          <w:rtl/>
        </w:rPr>
        <w:t>ביאור השע"מ דאחר שתיקנו חזקת ג"ש ממילא יש ראיה מדאו'</w:t>
      </w:r>
    </w:p>
    <w:p w:rsidR="00E874E8" w:rsidRDefault="00E874E8" w:rsidP="007E4E81">
      <w:pPr>
        <w:pStyle w:val="a"/>
        <w:rPr>
          <w:rFonts w:eastAsiaTheme="minorEastAsia" w:cstheme="minorBidi"/>
          <w:sz w:val="22"/>
          <w:szCs w:val="22"/>
          <w:rtl/>
        </w:rPr>
      </w:pPr>
      <w:r>
        <w:rPr>
          <w:rtl/>
        </w:rPr>
        <w:t>קושית השע"מ דמוכח דחזקת ג"ש מהני אף לענין גט מדאו' וא"א לומר דהיא רק תקנ"ח מדרבנן</w:t>
      </w:r>
    </w:p>
    <w:p w:rsidR="00E874E8" w:rsidRDefault="00E874E8" w:rsidP="007E4E81">
      <w:pPr>
        <w:pStyle w:val="a"/>
        <w:rPr>
          <w:rFonts w:eastAsiaTheme="minorEastAsia" w:cstheme="minorBidi"/>
          <w:sz w:val="22"/>
          <w:szCs w:val="22"/>
          <w:rtl/>
        </w:rPr>
      </w:pPr>
      <w:r>
        <w:rPr>
          <w:rtl/>
        </w:rPr>
        <w:t>ביאור השע"מ דאחר שתיקנו דמהני חזקה א"כ יש ראיה אף מדאו' דכל שלא מחה מוכח שמכר</w:t>
      </w:r>
    </w:p>
    <w:p w:rsidR="00E874E8" w:rsidRDefault="00E874E8" w:rsidP="00E874E8">
      <w:pPr>
        <w:pStyle w:val="2"/>
        <w:rPr>
          <w:rFonts w:eastAsiaTheme="minorEastAsia" w:cstheme="minorBidi"/>
          <w:i/>
          <w:iCs/>
          <w:sz w:val="22"/>
          <w:szCs w:val="22"/>
          <w:rtl/>
        </w:rPr>
      </w:pPr>
      <w:r>
        <w:rPr>
          <w:rtl/>
        </w:rPr>
        <w:t>דברי שא"ר דהחזקה היא תקנ"ח</w:t>
      </w:r>
    </w:p>
    <w:p w:rsidR="00E874E8" w:rsidRDefault="00E874E8" w:rsidP="0007171D">
      <w:pPr>
        <w:pStyle w:val="aff4"/>
        <w:rPr>
          <w:rFonts w:eastAsiaTheme="minorEastAsia" w:cstheme="minorBidi"/>
          <w:i/>
          <w:iCs/>
          <w:noProof/>
          <w:sz w:val="22"/>
          <w:szCs w:val="22"/>
          <w:rtl/>
        </w:rPr>
      </w:pPr>
      <w:r>
        <w:rPr>
          <w:noProof/>
          <w:rtl/>
        </w:rPr>
        <w:t>דברי רבינו גרשום דאחר ג"ש קים לרבנן דלא נזהר ול"מ ערעור</w:t>
      </w:r>
    </w:p>
    <w:p w:rsidR="00E874E8" w:rsidRDefault="00E874E8" w:rsidP="007E4E81">
      <w:pPr>
        <w:pStyle w:val="a"/>
        <w:rPr>
          <w:rFonts w:eastAsiaTheme="minorEastAsia" w:cstheme="minorBidi"/>
          <w:sz w:val="22"/>
          <w:szCs w:val="22"/>
          <w:rtl/>
        </w:rPr>
      </w:pPr>
      <w:r>
        <w:rPr>
          <w:rtl/>
        </w:rPr>
        <w:t>דברי רבינו גרשום דאחר ג"ש קים לרבנן דמתייאש מלשומרו ול"מ ערעור עליו אף שאבד השטר</w:t>
      </w:r>
    </w:p>
    <w:p w:rsidR="00E874E8" w:rsidRDefault="00E874E8" w:rsidP="0007171D">
      <w:pPr>
        <w:pStyle w:val="aff4"/>
        <w:rPr>
          <w:rFonts w:eastAsiaTheme="minorEastAsia" w:cstheme="minorBidi"/>
          <w:i/>
          <w:iCs/>
          <w:noProof/>
          <w:sz w:val="22"/>
          <w:szCs w:val="22"/>
          <w:rtl/>
        </w:rPr>
      </w:pPr>
      <w:r>
        <w:rPr>
          <w:noProof/>
          <w:rtl/>
        </w:rPr>
        <w:t>משמעות הרמב"ן בדין צנא דפירי דחזקת ג"ש היא תקנ"ח</w:t>
      </w:r>
    </w:p>
    <w:p w:rsidR="00E874E8" w:rsidRDefault="00E874E8" w:rsidP="007E4E81">
      <w:pPr>
        <w:pStyle w:val="a"/>
        <w:rPr>
          <w:rFonts w:eastAsiaTheme="minorEastAsia" w:cstheme="minorBidi"/>
          <w:sz w:val="22"/>
          <w:szCs w:val="22"/>
          <w:rtl/>
        </w:rPr>
      </w:pPr>
      <w:r>
        <w:rPr>
          <w:rtl/>
        </w:rPr>
        <w:t>דברי הי"מ ברמב"ן דהו"א בגמ' לקמן דבטוען לפירות הורדתיו לא תיקנו חכמים חזקת ג"ש</w:t>
      </w:r>
    </w:p>
    <w:p w:rsidR="00E874E8" w:rsidRDefault="00E874E8" w:rsidP="007E4E81">
      <w:pPr>
        <w:pStyle w:val="a"/>
        <w:rPr>
          <w:rFonts w:eastAsiaTheme="minorEastAsia" w:cstheme="minorBidi"/>
          <w:sz w:val="22"/>
          <w:szCs w:val="22"/>
          <w:rtl/>
        </w:rPr>
      </w:pPr>
      <w:r>
        <w:rPr>
          <w:rtl/>
        </w:rPr>
        <w:t>ביאור הרמב"ן דאין הו"א דאין חזקה והגמ' מקשה דאי נאמן מה הועילו חכמים כשתיקנו חזקה</w:t>
      </w:r>
    </w:p>
    <w:p w:rsidR="00E874E8" w:rsidRDefault="00E874E8" w:rsidP="0007171D">
      <w:pPr>
        <w:pStyle w:val="aff4"/>
        <w:rPr>
          <w:rFonts w:eastAsiaTheme="minorEastAsia" w:cstheme="minorBidi"/>
          <w:i/>
          <w:iCs/>
          <w:noProof/>
          <w:sz w:val="22"/>
          <w:szCs w:val="22"/>
          <w:rtl/>
        </w:rPr>
      </w:pPr>
      <w:r>
        <w:rPr>
          <w:rtl/>
        </w:rPr>
        <w:t xml:space="preserve">ד' הי"מ ברמב"ן [עיטור] </w:t>
      </w:r>
      <w:r>
        <w:rPr>
          <w:noProof/>
          <w:rtl/>
        </w:rPr>
        <w:t>דאין מחאה בקטן ואין חזקתו חזקה</w:t>
      </w:r>
    </w:p>
    <w:p w:rsidR="00E874E8" w:rsidRDefault="00E874E8" w:rsidP="007E4E81">
      <w:pPr>
        <w:pStyle w:val="a"/>
        <w:rPr>
          <w:rFonts w:eastAsiaTheme="minorEastAsia" w:cstheme="minorBidi"/>
          <w:sz w:val="22"/>
          <w:szCs w:val="22"/>
          <w:rtl/>
        </w:rPr>
      </w:pPr>
      <w:r>
        <w:rPr>
          <w:rtl/>
        </w:rPr>
        <w:t>דעת הי"מ ברמב"ן דאין חזקה לקטן דכיון דאינו יודע להזהר בשטר אין המערער מוחה בו</w:t>
      </w:r>
    </w:p>
    <w:p w:rsidR="00E874E8" w:rsidRDefault="00E874E8" w:rsidP="0007171D">
      <w:pPr>
        <w:pStyle w:val="aff4"/>
        <w:rPr>
          <w:rFonts w:eastAsiaTheme="minorEastAsia" w:cstheme="minorBidi"/>
          <w:i/>
          <w:iCs/>
          <w:noProof/>
          <w:sz w:val="22"/>
          <w:szCs w:val="22"/>
          <w:rtl/>
        </w:rPr>
      </w:pPr>
      <w:r>
        <w:rPr>
          <w:noProof/>
          <w:rtl/>
        </w:rPr>
        <w:t>דברי רש"י בכתובות דתיקנו חזקת ג"ש שהמחזיק נאמן בלי שטר</w:t>
      </w:r>
    </w:p>
    <w:p w:rsidR="00E874E8" w:rsidRDefault="00E874E8" w:rsidP="007E4E81">
      <w:pPr>
        <w:pStyle w:val="a"/>
        <w:rPr>
          <w:rFonts w:eastAsiaTheme="minorEastAsia" w:cstheme="minorBidi"/>
          <w:sz w:val="22"/>
          <w:szCs w:val="22"/>
          <w:rtl/>
        </w:rPr>
      </w:pPr>
      <w:r>
        <w:rPr>
          <w:rtl/>
        </w:rPr>
        <w:t>דברי רש"י בכתובות דחכמים תיקנו ג"ש למחזיק בלא ערעור דאינו נזהר בשטר ונאמן שקנה</w:t>
      </w:r>
    </w:p>
    <w:p w:rsidR="00E874E8" w:rsidRDefault="00E874E8" w:rsidP="0007171D">
      <w:pPr>
        <w:pStyle w:val="aff4"/>
        <w:rPr>
          <w:rFonts w:eastAsiaTheme="minorEastAsia" w:cstheme="minorBidi"/>
          <w:i/>
          <w:iCs/>
          <w:noProof/>
          <w:sz w:val="22"/>
          <w:szCs w:val="22"/>
          <w:rtl/>
        </w:rPr>
      </w:pPr>
      <w:r>
        <w:rPr>
          <w:noProof/>
          <w:rtl/>
        </w:rPr>
        <w:t>דברי הרא"ה דחזקה אינה ראיה גמורה ותיקנוה מחמת השטר</w:t>
      </w:r>
    </w:p>
    <w:p w:rsidR="00E874E8" w:rsidRDefault="00E874E8" w:rsidP="007E4E81">
      <w:pPr>
        <w:pStyle w:val="a"/>
        <w:rPr>
          <w:rFonts w:eastAsiaTheme="minorEastAsia" w:cstheme="minorBidi"/>
          <w:sz w:val="22"/>
          <w:szCs w:val="22"/>
          <w:rtl/>
        </w:rPr>
      </w:pPr>
      <w:r>
        <w:rPr>
          <w:rtl/>
        </w:rPr>
        <w:t>דברי הרא"ה בב"ק דחזקה אינה ראיה גמורה ומ"מ תיקנו חכמים דמהני כיון שאין נזהר בשטר</w:t>
      </w:r>
    </w:p>
    <w:p w:rsidR="00E874E8" w:rsidRDefault="00E874E8" w:rsidP="0007171D">
      <w:pPr>
        <w:pStyle w:val="aff4"/>
        <w:rPr>
          <w:rFonts w:eastAsiaTheme="minorEastAsia" w:cstheme="minorBidi"/>
          <w:i/>
          <w:iCs/>
          <w:noProof/>
          <w:sz w:val="22"/>
          <w:szCs w:val="22"/>
          <w:rtl/>
        </w:rPr>
      </w:pPr>
      <w:r>
        <w:rPr>
          <w:noProof/>
          <w:rtl/>
        </w:rPr>
        <w:t>דברי הריטב"א לקמן דלולי הסברא בשטר ל"מ חזקה מדינא כלל</w:t>
      </w:r>
    </w:p>
    <w:p w:rsidR="00E874E8" w:rsidRDefault="00E874E8" w:rsidP="007E4E81">
      <w:pPr>
        <w:pStyle w:val="a"/>
        <w:rPr>
          <w:rFonts w:eastAsiaTheme="minorEastAsia" w:cstheme="minorBidi"/>
          <w:sz w:val="22"/>
          <w:szCs w:val="22"/>
          <w:rtl/>
        </w:rPr>
      </w:pPr>
      <w:r>
        <w:rPr>
          <w:rtl/>
        </w:rPr>
        <w:t>דברי הריטב"א לקמן דרק כיון דעד ג"ש נזהר בשטרו מהני החזקה ואל"ה מדינא אין החזקה כלום</w:t>
      </w:r>
    </w:p>
    <w:p w:rsidR="00E874E8" w:rsidRDefault="00E874E8" w:rsidP="0007171D">
      <w:pPr>
        <w:pStyle w:val="aff4"/>
        <w:rPr>
          <w:rFonts w:eastAsiaTheme="minorEastAsia" w:cstheme="minorBidi"/>
          <w:i/>
          <w:iCs/>
          <w:noProof/>
          <w:sz w:val="22"/>
          <w:szCs w:val="22"/>
          <w:rtl/>
        </w:rPr>
      </w:pPr>
      <w:r>
        <w:rPr>
          <w:noProof/>
          <w:rtl/>
        </w:rPr>
        <w:t>דברי המהר"ם מרוטנבורג דרק כלפי ערעור המר"ק תיקנו חזקה</w:t>
      </w:r>
    </w:p>
    <w:p w:rsidR="00E874E8" w:rsidRDefault="00E874E8" w:rsidP="007E4E81">
      <w:pPr>
        <w:pStyle w:val="a"/>
        <w:rPr>
          <w:rFonts w:eastAsiaTheme="minorEastAsia" w:cstheme="minorBidi"/>
          <w:sz w:val="22"/>
          <w:szCs w:val="22"/>
          <w:rtl/>
        </w:rPr>
      </w:pPr>
      <w:r>
        <w:rPr>
          <w:rtl/>
        </w:rPr>
        <w:t>דברי המהר"ם מרוטנבורג דאחר ג"ש תיקנו שא"צ לטרוח לשמור שטר בשביל שלא יטרוף המוכר</w:t>
      </w:r>
    </w:p>
    <w:p w:rsidR="00E874E8" w:rsidRDefault="00E874E8" w:rsidP="007E4E81">
      <w:pPr>
        <w:pStyle w:val="a"/>
        <w:rPr>
          <w:rFonts w:eastAsiaTheme="minorEastAsia" w:cstheme="minorBidi"/>
          <w:sz w:val="22"/>
          <w:szCs w:val="22"/>
          <w:rtl/>
        </w:rPr>
      </w:pPr>
      <w:r>
        <w:rPr>
          <w:rtl/>
        </w:rPr>
        <w:t>דברי המהר"ם מרוטנבורג דלענין שאר דברים צריך לשמור שטר אף לאחר ג"ש דאין תקנ"ח</w:t>
      </w:r>
    </w:p>
    <w:p w:rsidR="00E874E8" w:rsidRDefault="00E874E8" w:rsidP="0007171D">
      <w:pPr>
        <w:pStyle w:val="aff4"/>
        <w:rPr>
          <w:rFonts w:eastAsiaTheme="minorEastAsia" w:cstheme="minorBidi"/>
          <w:i/>
          <w:iCs/>
          <w:noProof/>
          <w:sz w:val="22"/>
          <w:szCs w:val="22"/>
          <w:rtl/>
        </w:rPr>
      </w:pPr>
      <w:r>
        <w:rPr>
          <w:noProof/>
          <w:rtl/>
        </w:rPr>
        <w:t>דברי הרמ"ה דבמחזיק דרך בעלים לא נזהר בשטר והוי חזקה</w:t>
      </w:r>
    </w:p>
    <w:p w:rsidR="00E874E8" w:rsidRDefault="00E874E8" w:rsidP="007E4E81">
      <w:pPr>
        <w:pStyle w:val="a"/>
        <w:rPr>
          <w:rFonts w:eastAsiaTheme="minorEastAsia" w:cstheme="minorBidi"/>
          <w:sz w:val="22"/>
          <w:szCs w:val="22"/>
          <w:rtl/>
        </w:rPr>
      </w:pPr>
      <w:r>
        <w:rPr>
          <w:rtl/>
        </w:rPr>
        <w:t>דברי הרמ"ה דחזקת ג"ש הוא כיון שאינו נזהר בשטר דאומר למערער שאם מחה בו היה נזהר</w:t>
      </w:r>
    </w:p>
    <w:p w:rsidR="00E874E8" w:rsidRDefault="00E874E8" w:rsidP="007E4E81">
      <w:pPr>
        <w:pStyle w:val="a"/>
        <w:rPr>
          <w:rFonts w:eastAsiaTheme="minorEastAsia" w:cstheme="minorBidi"/>
          <w:sz w:val="22"/>
          <w:szCs w:val="22"/>
          <w:rtl/>
        </w:rPr>
      </w:pPr>
      <w:r>
        <w:rPr>
          <w:rtl/>
        </w:rPr>
        <w:t>דברי היד רמ"ה דרק באכילה כדרך הבעלים סומך שלא יערער אבל בארעי יתכן שלא מחה בו</w:t>
      </w:r>
    </w:p>
    <w:p w:rsidR="00E874E8" w:rsidRDefault="00E874E8" w:rsidP="00E874E8">
      <w:pPr>
        <w:pStyle w:val="2"/>
        <w:rPr>
          <w:rFonts w:eastAsiaTheme="minorEastAsia" w:cstheme="minorBidi"/>
          <w:i/>
          <w:iCs/>
          <w:sz w:val="22"/>
          <w:szCs w:val="22"/>
          <w:rtl/>
        </w:rPr>
      </w:pPr>
      <w:r>
        <w:rPr>
          <w:rtl/>
        </w:rPr>
        <w:t>בדעת הרמב"ם בטעמא דחזקת ג"ש</w:t>
      </w:r>
    </w:p>
    <w:p w:rsidR="00E874E8" w:rsidRDefault="00E874E8" w:rsidP="0007171D">
      <w:pPr>
        <w:pStyle w:val="aff4"/>
        <w:rPr>
          <w:rFonts w:eastAsiaTheme="minorEastAsia" w:cstheme="minorBidi"/>
          <w:i/>
          <w:iCs/>
          <w:noProof/>
          <w:sz w:val="22"/>
          <w:szCs w:val="22"/>
          <w:rtl/>
        </w:rPr>
      </w:pPr>
      <w:r>
        <w:rPr>
          <w:noProof/>
          <w:rtl/>
        </w:rPr>
        <w:t>דברי הרמב"ם דכל שלא מחה המערער הפסיד לעצמו</w:t>
      </w:r>
    </w:p>
    <w:p w:rsidR="00E874E8" w:rsidRDefault="00E874E8" w:rsidP="007E4E81">
      <w:pPr>
        <w:pStyle w:val="a"/>
        <w:rPr>
          <w:rFonts w:eastAsiaTheme="minorEastAsia" w:cstheme="minorBidi"/>
          <w:sz w:val="22"/>
          <w:szCs w:val="22"/>
          <w:rtl/>
        </w:rPr>
      </w:pPr>
      <w:r>
        <w:rPr>
          <w:rtl/>
        </w:rPr>
        <w:lastRenderedPageBreak/>
        <w:t>דברי הרמב"ם דקרקע שידועה בעדים שהיא של המר"ק היא בחזקתו עד שיביא המחזיק ראיה</w:t>
      </w:r>
    </w:p>
    <w:p w:rsidR="00E874E8" w:rsidRDefault="00E874E8" w:rsidP="007E4E81">
      <w:pPr>
        <w:pStyle w:val="a"/>
        <w:rPr>
          <w:rFonts w:eastAsiaTheme="minorEastAsia" w:cstheme="minorBidi"/>
          <w:sz w:val="22"/>
          <w:szCs w:val="22"/>
          <w:rtl/>
        </w:rPr>
      </w:pPr>
      <w:r>
        <w:rPr>
          <w:rtl/>
        </w:rPr>
        <w:t>דברי הרמב"ם דבהביא המחזיק עידי חזקת ג"ש ולא מחה המערער בפני עדים הפסיד המערער</w:t>
      </w:r>
    </w:p>
    <w:p w:rsidR="00E874E8" w:rsidRDefault="00E874E8" w:rsidP="0007171D">
      <w:pPr>
        <w:pStyle w:val="aff4"/>
        <w:rPr>
          <w:rFonts w:eastAsiaTheme="minorEastAsia" w:cstheme="minorBidi"/>
          <w:i/>
          <w:iCs/>
          <w:noProof/>
          <w:sz w:val="22"/>
          <w:szCs w:val="22"/>
          <w:rtl/>
        </w:rPr>
      </w:pPr>
      <w:r>
        <w:rPr>
          <w:noProof/>
          <w:rtl/>
        </w:rPr>
        <w:t>דברי הרמב"ם דחזקה שאין נזהר בשטר כשלא ערער עליו ג"ש</w:t>
      </w:r>
    </w:p>
    <w:p w:rsidR="00E874E8" w:rsidRDefault="00E874E8" w:rsidP="007E4E81">
      <w:pPr>
        <w:pStyle w:val="a"/>
        <w:rPr>
          <w:rFonts w:eastAsiaTheme="minorEastAsia" w:cstheme="minorBidi"/>
          <w:sz w:val="22"/>
          <w:szCs w:val="22"/>
          <w:rtl/>
        </w:rPr>
      </w:pPr>
      <w:r>
        <w:rPr>
          <w:rtl/>
        </w:rPr>
        <w:t>דברי הרמב"ם דאין אומרים למחזיק אחוי שטרך דלא נזהר בשטר אחר ג"ש שלא ערערו עליו</w:t>
      </w:r>
    </w:p>
    <w:p w:rsidR="00E874E8" w:rsidRDefault="00E874E8" w:rsidP="007E4E81">
      <w:pPr>
        <w:pStyle w:val="a"/>
        <w:rPr>
          <w:rFonts w:eastAsiaTheme="minorEastAsia" w:cstheme="minorBidi"/>
          <w:sz w:val="22"/>
          <w:szCs w:val="22"/>
          <w:rtl/>
        </w:rPr>
      </w:pPr>
      <w:r>
        <w:rPr>
          <w:rtl/>
        </w:rPr>
        <w:t>דברי הרמב"ם דבמחה המערער במקום רחוק חזקה ששמע המחזיק וכל שלא נזהר בשטרו הפסיד</w:t>
      </w:r>
    </w:p>
    <w:p w:rsidR="00E874E8" w:rsidRDefault="00E874E8" w:rsidP="007E4E81">
      <w:pPr>
        <w:pStyle w:val="a"/>
        <w:rPr>
          <w:rFonts w:eastAsiaTheme="minorEastAsia" w:cstheme="minorBidi"/>
          <w:sz w:val="22"/>
          <w:szCs w:val="22"/>
          <w:rtl/>
        </w:rPr>
      </w:pPr>
      <w:r>
        <w:rPr>
          <w:rtl/>
        </w:rPr>
        <w:t>דברי הרמב"ם בפיהמ"ש דאחר ג"ש א"צ לשמור שטר וטוענים למר"ק למה הניח לו לאכול פירות</w:t>
      </w:r>
    </w:p>
    <w:p w:rsidR="00E874E8" w:rsidRDefault="00E874E8" w:rsidP="00E874E8">
      <w:pPr>
        <w:pStyle w:val="2"/>
        <w:rPr>
          <w:rFonts w:eastAsiaTheme="minorEastAsia" w:cstheme="minorBidi"/>
          <w:i/>
          <w:iCs/>
          <w:sz w:val="22"/>
          <w:szCs w:val="22"/>
          <w:rtl/>
        </w:rPr>
      </w:pPr>
      <w:r>
        <w:rPr>
          <w:rtl/>
        </w:rPr>
        <w:t>דברי הרשב"ם בטעם החזקה לרבנן</w:t>
      </w:r>
    </w:p>
    <w:p w:rsidR="00E874E8" w:rsidRDefault="00E874E8" w:rsidP="0007171D">
      <w:pPr>
        <w:pStyle w:val="aff4"/>
        <w:rPr>
          <w:rFonts w:eastAsiaTheme="minorEastAsia" w:cstheme="minorBidi"/>
          <w:i/>
          <w:iCs/>
          <w:noProof/>
          <w:sz w:val="22"/>
          <w:szCs w:val="22"/>
          <w:rtl/>
        </w:rPr>
      </w:pPr>
      <w:r>
        <w:rPr>
          <w:noProof/>
          <w:rtl/>
        </w:rPr>
        <w:t>ביאור הרמב"ן ברשב"ם דטעם החזקה דעד ג"ש נזהר בשטר</w:t>
      </w:r>
    </w:p>
    <w:p w:rsidR="00E874E8" w:rsidRDefault="00E874E8" w:rsidP="007E4E81">
      <w:pPr>
        <w:pStyle w:val="a"/>
        <w:rPr>
          <w:rFonts w:eastAsiaTheme="minorEastAsia" w:cstheme="minorBidi"/>
          <w:sz w:val="22"/>
          <w:szCs w:val="22"/>
          <w:rtl/>
        </w:rPr>
      </w:pPr>
      <w:r>
        <w:rPr>
          <w:rtl/>
        </w:rPr>
        <w:t>דברי הרשב"ם דלרבנן כיון דטעמא דחזקה דעד ג"ש נזהר בשטרו לכן צריך חזקת ג"ש מיום ליום</w:t>
      </w:r>
    </w:p>
    <w:p w:rsidR="00E874E8" w:rsidRDefault="00E874E8" w:rsidP="007E4E81">
      <w:pPr>
        <w:pStyle w:val="a"/>
        <w:rPr>
          <w:rFonts w:eastAsiaTheme="minorEastAsia" w:cstheme="minorBidi"/>
          <w:sz w:val="22"/>
          <w:szCs w:val="22"/>
          <w:rtl/>
        </w:rPr>
      </w:pPr>
      <w:r>
        <w:rPr>
          <w:rtl/>
        </w:rPr>
        <w:t>ביאור הרמב"ן ברשב"ם דטעמא דחזקה לרבנן דאחר ג"ש אין נזהר בשטר והוא רק בג"ש שלימות</w:t>
      </w:r>
    </w:p>
    <w:p w:rsidR="00E874E8" w:rsidRDefault="00E874E8" w:rsidP="007E4E81">
      <w:pPr>
        <w:pStyle w:val="a"/>
        <w:rPr>
          <w:rFonts w:eastAsiaTheme="minorEastAsia" w:cstheme="minorBidi"/>
          <w:sz w:val="22"/>
          <w:szCs w:val="22"/>
          <w:rtl/>
        </w:rPr>
      </w:pPr>
      <w:r>
        <w:rPr>
          <w:rtl/>
        </w:rPr>
        <w:t>דחיית הרמב"ן דאף אי לרב צריך ג"ש שלימות עדיין קשה אמאי ל"מ חזקה במפוזרות וכדומה</w:t>
      </w:r>
    </w:p>
    <w:p w:rsidR="00E874E8" w:rsidRDefault="00E874E8" w:rsidP="0007171D">
      <w:pPr>
        <w:pStyle w:val="aff4"/>
        <w:rPr>
          <w:rFonts w:eastAsiaTheme="minorEastAsia" w:cstheme="minorBidi"/>
          <w:i/>
          <w:iCs/>
          <w:noProof/>
          <w:sz w:val="22"/>
          <w:szCs w:val="22"/>
          <w:rtl/>
        </w:rPr>
      </w:pPr>
      <w:r>
        <w:rPr>
          <w:noProof/>
          <w:rtl/>
        </w:rPr>
        <w:t>דברי הרשב"ם דמי שלא מחה או שלא נזהר בשטר הפסיד</w:t>
      </w:r>
    </w:p>
    <w:p w:rsidR="00E874E8" w:rsidRDefault="00E874E8" w:rsidP="007E4E81">
      <w:pPr>
        <w:pStyle w:val="a"/>
        <w:rPr>
          <w:rFonts w:eastAsiaTheme="minorEastAsia" w:cstheme="minorBidi"/>
          <w:sz w:val="22"/>
          <w:szCs w:val="22"/>
          <w:rtl/>
        </w:rPr>
      </w:pPr>
      <w:r>
        <w:rPr>
          <w:rtl/>
        </w:rPr>
        <w:t>גי' הב"ח ברשב"ם דכיון שאינו נזהר בשטר צריך למחות בתוך ג"ש וכל שלא מחה הפסיד</w:t>
      </w:r>
    </w:p>
    <w:p w:rsidR="00E874E8" w:rsidRDefault="00E874E8" w:rsidP="007E4E81">
      <w:pPr>
        <w:pStyle w:val="a"/>
        <w:rPr>
          <w:rFonts w:eastAsiaTheme="minorEastAsia" w:cstheme="minorBidi"/>
          <w:sz w:val="22"/>
          <w:szCs w:val="22"/>
          <w:rtl/>
        </w:rPr>
      </w:pPr>
      <w:r>
        <w:rPr>
          <w:rtl/>
        </w:rPr>
        <w:t>דברי הרשב"ם דכל שלא מחה המערער הפסיד ואם אינו יכול למחות אינו מפסיד</w:t>
      </w:r>
    </w:p>
    <w:p w:rsidR="00E874E8" w:rsidRDefault="00E874E8" w:rsidP="007E4E81">
      <w:pPr>
        <w:pStyle w:val="a"/>
        <w:rPr>
          <w:rFonts w:eastAsiaTheme="minorEastAsia" w:cstheme="minorBidi"/>
          <w:sz w:val="22"/>
          <w:szCs w:val="22"/>
          <w:rtl/>
        </w:rPr>
      </w:pPr>
      <w:r>
        <w:rPr>
          <w:rtl/>
        </w:rPr>
        <w:t>דברי הרשב"ם דבתוך ג"ש ולא נזהר המחזיק בשטר או שלא נזהר לאחר מחאה הפסיד המחזיק</w:t>
      </w:r>
    </w:p>
    <w:p w:rsidR="00E874E8" w:rsidRDefault="00E874E8" w:rsidP="007E4E81">
      <w:pPr>
        <w:pStyle w:val="a"/>
        <w:rPr>
          <w:rFonts w:eastAsiaTheme="minorEastAsia" w:cstheme="minorBidi"/>
          <w:sz w:val="22"/>
          <w:szCs w:val="22"/>
          <w:rtl/>
        </w:rPr>
      </w:pPr>
      <w:r>
        <w:rPr>
          <w:rtl/>
        </w:rPr>
        <w:t>דברי הרשב"ם לקמן דהטעם דחזקה קונה הוא כיון דטוען למערער דהיה לו למחות בתוך ג"ש</w:t>
      </w:r>
    </w:p>
    <w:p w:rsidR="00E874E8" w:rsidRDefault="00E874E8" w:rsidP="007E4E81">
      <w:pPr>
        <w:pStyle w:val="a"/>
        <w:rPr>
          <w:rFonts w:eastAsiaTheme="minorEastAsia" w:cstheme="minorBidi"/>
          <w:sz w:val="22"/>
          <w:szCs w:val="22"/>
          <w:rtl/>
        </w:rPr>
      </w:pPr>
      <w:r>
        <w:rPr>
          <w:rtl/>
        </w:rPr>
        <w:t>דברי הרשב"ם לקמן דבאין המערער יכול למחות ל"ה חזקה דא"א לטעון לו אמאי לא מחה</w:t>
      </w:r>
    </w:p>
    <w:p w:rsidR="00E874E8" w:rsidRDefault="00E874E8" w:rsidP="007E4E81">
      <w:pPr>
        <w:pStyle w:val="a"/>
        <w:rPr>
          <w:rFonts w:eastAsiaTheme="minorEastAsia" w:cstheme="minorBidi"/>
          <w:sz w:val="22"/>
          <w:szCs w:val="22"/>
          <w:rtl/>
        </w:rPr>
      </w:pPr>
      <w:r>
        <w:rPr>
          <w:rtl/>
        </w:rPr>
        <w:t>דברי הרשב"ם לקמן דכשהחזיק כשיעור שאמרו חכמים ושתק המערער אינו נאמן שלא מכר לו</w:t>
      </w:r>
    </w:p>
    <w:p w:rsidR="00E874E8" w:rsidRDefault="00E874E8" w:rsidP="0007171D">
      <w:pPr>
        <w:pStyle w:val="aff4"/>
        <w:rPr>
          <w:rFonts w:eastAsiaTheme="minorEastAsia" w:cstheme="minorBidi"/>
          <w:i/>
          <w:iCs/>
          <w:noProof/>
          <w:sz w:val="22"/>
          <w:szCs w:val="22"/>
          <w:rtl/>
        </w:rPr>
      </w:pPr>
      <w:r>
        <w:rPr>
          <w:noProof/>
          <w:rtl/>
        </w:rPr>
        <w:t>דברי הרשב"ם דלר"י בעיר אחת הוי חזקה מיד דל"ש לשטר</w:t>
      </w:r>
    </w:p>
    <w:p w:rsidR="00E874E8" w:rsidRDefault="00E874E8" w:rsidP="007E4E81">
      <w:pPr>
        <w:pStyle w:val="a"/>
        <w:rPr>
          <w:rFonts w:eastAsiaTheme="minorEastAsia" w:cstheme="minorBidi"/>
          <w:sz w:val="22"/>
          <w:szCs w:val="22"/>
          <w:rtl/>
        </w:rPr>
      </w:pPr>
      <w:r>
        <w:rPr>
          <w:rtl/>
        </w:rPr>
        <w:t>ביאור הרשב"ם דלרבי יהודה אדם אינו שותק אף לשעה אחת ולא ס"ל דהג"ש הם מחמת השטר</w:t>
      </w:r>
    </w:p>
    <w:p w:rsidR="00E874E8" w:rsidRDefault="00E874E8" w:rsidP="007E4E81">
      <w:pPr>
        <w:pStyle w:val="a"/>
        <w:rPr>
          <w:rFonts w:eastAsiaTheme="minorEastAsia" w:cstheme="minorBidi"/>
          <w:sz w:val="22"/>
          <w:szCs w:val="22"/>
          <w:rtl/>
        </w:rPr>
      </w:pPr>
      <w:r>
        <w:rPr>
          <w:rtl/>
        </w:rPr>
        <w:t>ביאור הרשב"ם דלר"י תיקנו ג"ש כדי שיוכל לבא ממקום רחוק אך באותה העיר הוי חזקה מיד</w:t>
      </w:r>
    </w:p>
    <w:p w:rsidR="00E874E8" w:rsidRDefault="00E874E8" w:rsidP="00E874E8">
      <w:pPr>
        <w:pStyle w:val="2"/>
        <w:rPr>
          <w:rFonts w:eastAsiaTheme="minorEastAsia" w:cstheme="minorBidi"/>
          <w:i/>
          <w:iCs/>
          <w:sz w:val="22"/>
          <w:szCs w:val="22"/>
          <w:rtl/>
        </w:rPr>
      </w:pPr>
      <w:r>
        <w:rPr>
          <w:rtl/>
        </w:rPr>
        <w:t>ביאור התורי"ד דנח' בגמ' בגדר החזקה</w:t>
      </w:r>
    </w:p>
    <w:p w:rsidR="00E874E8" w:rsidRDefault="00E874E8" w:rsidP="0007171D">
      <w:pPr>
        <w:pStyle w:val="aff4"/>
        <w:rPr>
          <w:rFonts w:eastAsiaTheme="minorEastAsia" w:cstheme="minorBidi"/>
          <w:i/>
          <w:iCs/>
          <w:noProof/>
          <w:sz w:val="22"/>
          <w:szCs w:val="22"/>
          <w:rtl/>
        </w:rPr>
      </w:pPr>
      <w:r>
        <w:rPr>
          <w:noProof/>
          <w:rtl/>
        </w:rPr>
        <w:t>דעת התוס' רי"ד דלריו"ח החזקה מחמת השטר ושתיקת המר"ק</w:t>
      </w:r>
    </w:p>
    <w:p w:rsidR="00E874E8" w:rsidRDefault="00E874E8" w:rsidP="007E4E81">
      <w:pPr>
        <w:pStyle w:val="a"/>
        <w:rPr>
          <w:rFonts w:eastAsiaTheme="minorEastAsia" w:cstheme="minorBidi"/>
          <w:sz w:val="22"/>
          <w:szCs w:val="22"/>
          <w:rtl/>
        </w:rPr>
      </w:pPr>
      <w:r>
        <w:rPr>
          <w:rtl/>
        </w:rPr>
        <w:t>ביאור התורי"ד דלריו"ח חזקה היא גם מחמת השטר וגם דשתיקת המערער היא אמתלא למחזיק</w:t>
      </w:r>
    </w:p>
    <w:p w:rsidR="00E874E8" w:rsidRDefault="00E874E8" w:rsidP="007E4E81">
      <w:pPr>
        <w:pStyle w:val="a"/>
        <w:rPr>
          <w:rFonts w:eastAsiaTheme="minorEastAsia" w:cstheme="minorBidi"/>
          <w:sz w:val="22"/>
          <w:szCs w:val="22"/>
          <w:rtl/>
        </w:rPr>
      </w:pPr>
      <w:r>
        <w:rPr>
          <w:rtl/>
        </w:rPr>
        <w:t>ביאור התורי"ד דבלא עברו ג"ש ושתק המערער וכן אם מחה בפני ב' ולא שתק לא הוי חזקה</w:t>
      </w:r>
    </w:p>
    <w:p w:rsidR="00E874E8" w:rsidRDefault="00E874E8" w:rsidP="007E4E81">
      <w:pPr>
        <w:pStyle w:val="a"/>
        <w:rPr>
          <w:rFonts w:eastAsiaTheme="minorEastAsia" w:cstheme="minorBidi"/>
          <w:sz w:val="22"/>
          <w:szCs w:val="22"/>
          <w:rtl/>
        </w:rPr>
      </w:pPr>
      <w:r>
        <w:rPr>
          <w:rtl/>
        </w:rPr>
        <w:t>ביאור התורי"ד בריו"ח דמחאה בפני ב' מהני דאף שלא שומע ממנה מ"מ אין אמתלא לטענתו</w:t>
      </w:r>
    </w:p>
    <w:p w:rsidR="00E874E8" w:rsidRDefault="00E874E8" w:rsidP="0007171D">
      <w:pPr>
        <w:pStyle w:val="aff4"/>
        <w:rPr>
          <w:rFonts w:eastAsiaTheme="minorEastAsia" w:cstheme="minorBidi"/>
          <w:i/>
          <w:iCs/>
          <w:noProof/>
          <w:sz w:val="22"/>
          <w:szCs w:val="22"/>
          <w:rtl/>
        </w:rPr>
      </w:pPr>
      <w:r>
        <w:rPr>
          <w:noProof/>
          <w:rtl/>
        </w:rPr>
        <w:t>דעת התוס' רי"ד דלרב אבהו החזקה היא רק מחמת השטר</w:t>
      </w:r>
    </w:p>
    <w:p w:rsidR="00E874E8" w:rsidRDefault="00E874E8" w:rsidP="007E4E81">
      <w:pPr>
        <w:pStyle w:val="a"/>
        <w:rPr>
          <w:rFonts w:eastAsiaTheme="minorEastAsia" w:cstheme="minorBidi"/>
          <w:sz w:val="22"/>
          <w:szCs w:val="22"/>
          <w:rtl/>
        </w:rPr>
      </w:pPr>
      <w:r>
        <w:rPr>
          <w:rtl/>
        </w:rPr>
        <w:t>ביאור התורי"ד ברב אבהו דחזקה רק מחמת השטר ורק בפני ג' שומע המחזיק ונזהר בשטרו</w:t>
      </w:r>
    </w:p>
    <w:p w:rsidR="00E874E8" w:rsidRDefault="001B6519" w:rsidP="00E874E8">
      <w:pPr>
        <w:pStyle w:val="2"/>
        <w:rPr>
          <w:rFonts w:eastAsiaTheme="minorEastAsia" w:cstheme="minorBidi"/>
          <w:i/>
          <w:iCs/>
          <w:sz w:val="22"/>
          <w:szCs w:val="22"/>
          <w:rtl/>
        </w:rPr>
      </w:pPr>
      <w:r>
        <w:rPr>
          <w:rtl/>
        </w:rPr>
        <w:t>~~~~~~~ ביאורי ראשי הישיבות ~~~~~~~</w:t>
      </w:r>
    </w:p>
    <w:p w:rsidR="00E874E8" w:rsidRDefault="00E874E8" w:rsidP="00E874E8">
      <w:pPr>
        <w:pStyle w:val="2"/>
        <w:rPr>
          <w:rFonts w:eastAsiaTheme="minorEastAsia" w:cstheme="minorBidi"/>
          <w:i/>
          <w:iCs/>
          <w:sz w:val="22"/>
          <w:szCs w:val="22"/>
          <w:rtl/>
        </w:rPr>
      </w:pPr>
      <w:r>
        <w:rPr>
          <w:rtl/>
        </w:rPr>
        <w:t>בדעת רבינו יונה דע"י התקנ"ח יש ראיה</w:t>
      </w:r>
    </w:p>
    <w:p w:rsidR="00E874E8" w:rsidRDefault="00E874E8" w:rsidP="0007171D">
      <w:pPr>
        <w:pStyle w:val="aff4"/>
        <w:rPr>
          <w:rFonts w:eastAsiaTheme="minorEastAsia" w:cstheme="minorBidi"/>
          <w:i/>
          <w:iCs/>
          <w:noProof/>
          <w:sz w:val="22"/>
          <w:szCs w:val="22"/>
          <w:rtl/>
        </w:rPr>
      </w:pPr>
      <w:r>
        <w:rPr>
          <w:noProof/>
          <w:rtl/>
        </w:rPr>
        <w:t>ביאור הגרנ"פ ברבינו יונה דגדר התקנה שיהיה ראיה דלא מחה</w:t>
      </w:r>
    </w:p>
    <w:p w:rsidR="00E874E8" w:rsidRDefault="00E874E8" w:rsidP="007E4E81">
      <w:pPr>
        <w:pStyle w:val="a"/>
        <w:rPr>
          <w:rFonts w:eastAsiaTheme="minorEastAsia" w:cstheme="minorBidi"/>
          <w:sz w:val="22"/>
          <w:szCs w:val="22"/>
          <w:rtl/>
        </w:rPr>
      </w:pPr>
      <w:r>
        <w:rPr>
          <w:rtl/>
        </w:rPr>
        <w:t>ביאור הגרנ"פ ברב"י דהחזקה היא תקנ"ח שהטילו על המר"ק למחות כדי שיהיה ראיה למחזיק</w:t>
      </w:r>
    </w:p>
    <w:p w:rsidR="00E874E8" w:rsidRDefault="00E874E8" w:rsidP="007E4E81">
      <w:pPr>
        <w:pStyle w:val="a"/>
        <w:rPr>
          <w:rFonts w:eastAsiaTheme="minorEastAsia" w:cstheme="minorBidi"/>
          <w:sz w:val="22"/>
          <w:szCs w:val="22"/>
          <w:rtl/>
        </w:rPr>
      </w:pPr>
      <w:r>
        <w:rPr>
          <w:rtl/>
        </w:rPr>
        <w:t>ביאור הגרנ"פ ברב"י דהראיה מדלא מיחה היא רק לאחר התקנ"ח דהראיה היא מחמת התקנה</w:t>
      </w:r>
    </w:p>
    <w:p w:rsidR="00E874E8" w:rsidRDefault="00E874E8" w:rsidP="007E4E81">
      <w:pPr>
        <w:pStyle w:val="a"/>
        <w:rPr>
          <w:rFonts w:eastAsiaTheme="minorEastAsia" w:cstheme="minorBidi"/>
          <w:sz w:val="22"/>
          <w:szCs w:val="22"/>
          <w:rtl/>
        </w:rPr>
      </w:pPr>
      <w:r>
        <w:rPr>
          <w:rtl/>
        </w:rPr>
        <w:t>ביאור הגרנ"פ ברבינו יונה דכיון שהחזקה והמחאה הם מתקנ"ח מהני אף שלא שמע המחזיק</w:t>
      </w:r>
    </w:p>
    <w:p w:rsidR="00E874E8" w:rsidRDefault="00E874E8" w:rsidP="00E874E8">
      <w:pPr>
        <w:pStyle w:val="2"/>
        <w:rPr>
          <w:rFonts w:eastAsiaTheme="minorEastAsia" w:cstheme="minorBidi"/>
          <w:i/>
          <w:iCs/>
          <w:sz w:val="22"/>
          <w:szCs w:val="22"/>
          <w:rtl/>
        </w:rPr>
      </w:pPr>
      <w:r>
        <w:rPr>
          <w:rtl/>
        </w:rPr>
        <w:t>בדעת הנימוק"י בטעם חזקת ג"ש</w:t>
      </w:r>
    </w:p>
    <w:p w:rsidR="00E874E8" w:rsidRDefault="00E874E8" w:rsidP="0007171D">
      <w:pPr>
        <w:pStyle w:val="aff4"/>
        <w:rPr>
          <w:rFonts w:eastAsiaTheme="minorEastAsia" w:cstheme="minorBidi"/>
          <w:i/>
          <w:iCs/>
          <w:noProof/>
          <w:sz w:val="22"/>
          <w:szCs w:val="22"/>
          <w:rtl/>
        </w:rPr>
      </w:pPr>
      <w:r>
        <w:rPr>
          <w:noProof/>
          <w:rtl/>
        </w:rPr>
        <w:t>דברי הקוב"ש דמשמעות הנימוק"י דחזקה היא ראיה ולא תקנ"ח</w:t>
      </w:r>
    </w:p>
    <w:p w:rsidR="00E874E8" w:rsidRDefault="00E874E8" w:rsidP="007E4E81">
      <w:pPr>
        <w:pStyle w:val="a"/>
        <w:rPr>
          <w:rFonts w:eastAsiaTheme="minorEastAsia" w:cstheme="minorBidi"/>
          <w:sz w:val="22"/>
          <w:szCs w:val="22"/>
          <w:rtl/>
        </w:rPr>
      </w:pPr>
      <w:r>
        <w:rPr>
          <w:rtl/>
        </w:rPr>
        <w:t>ביאור הקוב"ש בנימוק"י דהחזקה היא הוכחה דמדשתק המערער מוכח דודאי מכר לו</w:t>
      </w:r>
    </w:p>
    <w:p w:rsidR="00E874E8" w:rsidRDefault="00E874E8" w:rsidP="007E4E81">
      <w:pPr>
        <w:pStyle w:val="a"/>
        <w:rPr>
          <w:rFonts w:eastAsiaTheme="minorEastAsia" w:cstheme="minorBidi"/>
          <w:sz w:val="22"/>
          <w:szCs w:val="22"/>
          <w:rtl/>
        </w:rPr>
      </w:pPr>
      <w:r>
        <w:rPr>
          <w:rtl/>
        </w:rPr>
        <w:t>קושית הקוב"ש דלנימוק"י על המחזיק להוכיח שלא הייתה מחאה דזו הראיה של החזקה</w:t>
      </w:r>
    </w:p>
    <w:p w:rsidR="00E874E8" w:rsidRDefault="00E874E8" w:rsidP="0007171D">
      <w:pPr>
        <w:pStyle w:val="aff4"/>
        <w:rPr>
          <w:rFonts w:eastAsiaTheme="minorEastAsia" w:cstheme="minorBidi"/>
          <w:i/>
          <w:iCs/>
          <w:noProof/>
          <w:sz w:val="22"/>
          <w:szCs w:val="22"/>
          <w:rtl/>
        </w:rPr>
      </w:pPr>
      <w:r>
        <w:rPr>
          <w:noProof/>
          <w:rtl/>
        </w:rPr>
        <w:t>ביאור הקוב"ש בנימוק"י דבודאי חזקה וספק מחאה הוי חזקה</w:t>
      </w:r>
    </w:p>
    <w:p w:rsidR="00E874E8" w:rsidRDefault="00E874E8" w:rsidP="007E4E81">
      <w:pPr>
        <w:pStyle w:val="a"/>
        <w:rPr>
          <w:rFonts w:eastAsiaTheme="minorEastAsia" w:cstheme="minorBidi"/>
          <w:sz w:val="22"/>
          <w:szCs w:val="22"/>
          <w:rtl/>
        </w:rPr>
      </w:pPr>
      <w:r>
        <w:rPr>
          <w:rtl/>
        </w:rPr>
        <w:t>ביאור הקוב"ש בנימוק"י דהראיה מהחזקה היא רק בהיה יכול למחות ועל המחזיק להוכיח כן</w:t>
      </w:r>
    </w:p>
    <w:p w:rsidR="00E874E8" w:rsidRDefault="00E874E8" w:rsidP="007E4E81">
      <w:pPr>
        <w:pStyle w:val="a"/>
        <w:rPr>
          <w:rFonts w:eastAsiaTheme="minorEastAsia" w:cstheme="minorBidi"/>
          <w:sz w:val="22"/>
          <w:szCs w:val="22"/>
          <w:rtl/>
        </w:rPr>
      </w:pPr>
      <w:r>
        <w:rPr>
          <w:rtl/>
        </w:rPr>
        <w:t>קושית הקוב"ש דא"כ כשטוען המערער שמחה ואין לו עדים יצטרך המחזיק להוכיח שלא מחה</w:t>
      </w:r>
    </w:p>
    <w:p w:rsidR="00E874E8" w:rsidRDefault="00E874E8" w:rsidP="007E4E81">
      <w:pPr>
        <w:pStyle w:val="a"/>
        <w:rPr>
          <w:rFonts w:eastAsiaTheme="minorEastAsia" w:cstheme="minorBidi"/>
          <w:sz w:val="22"/>
          <w:szCs w:val="22"/>
          <w:rtl/>
        </w:rPr>
      </w:pPr>
      <w:r>
        <w:rPr>
          <w:rtl/>
        </w:rPr>
        <w:t>ביאור הקוב"ש דבספק אם לא היה יכול למחות הוא ספק בעיקר חזקה ואינו ספק אי התבטלה</w:t>
      </w:r>
    </w:p>
    <w:p w:rsidR="00E874E8" w:rsidRDefault="00E874E8" w:rsidP="0007171D">
      <w:pPr>
        <w:pStyle w:val="aff4"/>
        <w:rPr>
          <w:rFonts w:eastAsiaTheme="minorEastAsia" w:cstheme="minorBidi"/>
          <w:i/>
          <w:iCs/>
          <w:noProof/>
          <w:sz w:val="22"/>
          <w:szCs w:val="22"/>
          <w:rtl/>
        </w:rPr>
      </w:pPr>
      <w:r>
        <w:rPr>
          <w:noProof/>
          <w:rtl/>
        </w:rPr>
        <w:t>ביאור רבי ראובן בנימוק"י דהתקנ"ח כיון שנראה כמערים</w:t>
      </w:r>
    </w:p>
    <w:p w:rsidR="00E874E8" w:rsidRDefault="00E874E8" w:rsidP="007E4E81">
      <w:pPr>
        <w:pStyle w:val="a"/>
        <w:rPr>
          <w:rFonts w:eastAsiaTheme="minorEastAsia" w:cstheme="minorBidi"/>
          <w:sz w:val="22"/>
          <w:szCs w:val="22"/>
          <w:rtl/>
        </w:rPr>
      </w:pPr>
      <w:r>
        <w:rPr>
          <w:rtl/>
        </w:rPr>
        <w:t>דברי רבי ראובן דאפש"ל דהנימוק"י דהתקנ"ח היא מחמת שהמערער נראה כמערים וכרשב"א</w:t>
      </w:r>
    </w:p>
    <w:p w:rsidR="00E874E8" w:rsidRDefault="00E874E8" w:rsidP="0007171D">
      <w:pPr>
        <w:pStyle w:val="aff4"/>
        <w:rPr>
          <w:rFonts w:eastAsiaTheme="minorEastAsia" w:cstheme="minorBidi"/>
          <w:i/>
          <w:iCs/>
          <w:noProof/>
          <w:sz w:val="22"/>
          <w:szCs w:val="22"/>
          <w:rtl/>
        </w:rPr>
      </w:pPr>
      <w:r>
        <w:rPr>
          <w:noProof/>
          <w:rtl/>
        </w:rPr>
        <w:t>ביאור הקה"י בנימוק"י דעיקר התקנה דאח"כ יהיה ראיה מדאו'</w:t>
      </w:r>
    </w:p>
    <w:p w:rsidR="00E874E8" w:rsidRDefault="00E874E8" w:rsidP="007E4E81">
      <w:pPr>
        <w:pStyle w:val="a"/>
        <w:rPr>
          <w:rFonts w:eastAsiaTheme="minorEastAsia" w:cstheme="minorBidi"/>
          <w:sz w:val="22"/>
          <w:szCs w:val="22"/>
          <w:rtl/>
        </w:rPr>
      </w:pPr>
      <w:r>
        <w:rPr>
          <w:rtl/>
        </w:rPr>
        <w:t>דברי הקה"י דמבואר בנימוק"י דטעמא דחזקת ג"ש הוא כרמב"ן דמוכח מדלא מיחה המערער</w:t>
      </w:r>
    </w:p>
    <w:p w:rsidR="00E874E8" w:rsidRDefault="00E874E8" w:rsidP="007E4E81">
      <w:pPr>
        <w:pStyle w:val="a"/>
        <w:rPr>
          <w:rFonts w:eastAsiaTheme="minorEastAsia" w:cstheme="minorBidi"/>
          <w:sz w:val="22"/>
          <w:szCs w:val="22"/>
          <w:rtl/>
        </w:rPr>
      </w:pPr>
      <w:r>
        <w:rPr>
          <w:rtl/>
        </w:rPr>
        <w:t>קושית הקה"י דהקצוה"ח הוכיח מהנימוק"י דהחזקה היא מתקנ"ח ולא מחמת שלא מיחה</w:t>
      </w:r>
    </w:p>
    <w:p w:rsidR="00E874E8" w:rsidRDefault="00E874E8" w:rsidP="007E4E81">
      <w:pPr>
        <w:pStyle w:val="a"/>
        <w:rPr>
          <w:rFonts w:eastAsiaTheme="minorEastAsia" w:cstheme="minorBidi"/>
          <w:sz w:val="22"/>
          <w:szCs w:val="22"/>
          <w:rtl/>
        </w:rPr>
      </w:pPr>
      <w:r>
        <w:rPr>
          <w:rtl/>
        </w:rPr>
        <w:t>ביאור הקה"י בנימוק"י דאחר שתיקנו רבנן את דין חזקה כל שלא מחה ממילא יש ראיה מדאו'</w:t>
      </w:r>
    </w:p>
    <w:p w:rsidR="00E874E8" w:rsidRDefault="00E874E8" w:rsidP="007E4E81">
      <w:pPr>
        <w:pStyle w:val="a"/>
        <w:rPr>
          <w:rFonts w:eastAsiaTheme="minorEastAsia" w:cstheme="minorBidi"/>
          <w:sz w:val="22"/>
          <w:szCs w:val="22"/>
          <w:rtl/>
        </w:rPr>
      </w:pPr>
      <w:r>
        <w:rPr>
          <w:rtl/>
        </w:rPr>
        <w:t>ביאור הקה"י בנימוק"י דבעיקר התקנה סמכו חכמים על כך שאחר התקנה יהיה ראיה מדאו'</w:t>
      </w:r>
    </w:p>
    <w:p w:rsidR="00E874E8" w:rsidRDefault="00E874E8" w:rsidP="00E874E8">
      <w:pPr>
        <w:pStyle w:val="2"/>
        <w:rPr>
          <w:rFonts w:eastAsiaTheme="minorEastAsia" w:cstheme="minorBidi"/>
          <w:i/>
          <w:iCs/>
          <w:sz w:val="22"/>
          <w:szCs w:val="22"/>
          <w:rtl/>
        </w:rPr>
      </w:pPr>
      <w:r>
        <w:rPr>
          <w:rtl/>
        </w:rPr>
        <w:t>בביאור דעת הרא"ש בגדר התקנ"ח</w:t>
      </w:r>
    </w:p>
    <w:p w:rsidR="00E874E8" w:rsidRDefault="00E874E8" w:rsidP="0007171D">
      <w:pPr>
        <w:pStyle w:val="aff4"/>
        <w:rPr>
          <w:rFonts w:eastAsiaTheme="minorEastAsia" w:cstheme="minorBidi"/>
          <w:i/>
          <w:iCs/>
          <w:noProof/>
          <w:sz w:val="22"/>
          <w:szCs w:val="22"/>
          <w:rtl/>
        </w:rPr>
      </w:pPr>
      <w:r>
        <w:rPr>
          <w:noProof/>
          <w:rtl/>
        </w:rPr>
        <w:t>ביאור הקה"י ברא"ש דהחזקה מתקנ"ח וכל שמחה כדין מהני</w:t>
      </w:r>
    </w:p>
    <w:p w:rsidR="00E874E8" w:rsidRDefault="00E874E8" w:rsidP="007E4E81">
      <w:pPr>
        <w:pStyle w:val="a"/>
        <w:rPr>
          <w:rFonts w:eastAsiaTheme="minorEastAsia" w:cstheme="minorBidi"/>
          <w:sz w:val="22"/>
          <w:szCs w:val="22"/>
          <w:rtl/>
        </w:rPr>
      </w:pPr>
      <w:r>
        <w:rPr>
          <w:rtl/>
        </w:rPr>
        <w:t>ביאור הקה"י ברא"ש דהחזקה היא תקנ"ח ולכן מהני מחאה אף שלא בפני המחזיק דמחה כדין</w:t>
      </w:r>
    </w:p>
    <w:p w:rsidR="00E874E8" w:rsidRDefault="00E874E8" w:rsidP="0007171D">
      <w:pPr>
        <w:pStyle w:val="aff4"/>
        <w:rPr>
          <w:rFonts w:eastAsiaTheme="minorEastAsia" w:cstheme="minorBidi"/>
          <w:i/>
          <w:iCs/>
          <w:noProof/>
          <w:sz w:val="22"/>
          <w:szCs w:val="22"/>
          <w:rtl/>
        </w:rPr>
      </w:pPr>
      <w:r>
        <w:rPr>
          <w:noProof/>
          <w:rtl/>
        </w:rPr>
        <w:t>ביאור הקוב"ש ברא"ש דשתיקת המערער אינה חלק מהחזקה</w:t>
      </w:r>
    </w:p>
    <w:p w:rsidR="00E874E8" w:rsidRDefault="00E874E8" w:rsidP="007E4E81">
      <w:pPr>
        <w:pStyle w:val="a"/>
        <w:rPr>
          <w:rFonts w:eastAsiaTheme="minorEastAsia" w:cstheme="minorBidi"/>
          <w:sz w:val="22"/>
          <w:szCs w:val="22"/>
          <w:rtl/>
        </w:rPr>
      </w:pPr>
      <w:r>
        <w:rPr>
          <w:rtl/>
        </w:rPr>
        <w:t>ביאור הקוב"ש ברא"ש דשתיקת המערער אינה חלק מהחזקה אלא מתקנ"ח שא"צ לשמור שטרו</w:t>
      </w:r>
    </w:p>
    <w:p w:rsidR="00E874E8" w:rsidRDefault="00E874E8" w:rsidP="007E4E81">
      <w:pPr>
        <w:pStyle w:val="a"/>
        <w:rPr>
          <w:rFonts w:eastAsiaTheme="minorEastAsia" w:cstheme="minorBidi"/>
          <w:sz w:val="22"/>
          <w:szCs w:val="22"/>
          <w:rtl/>
        </w:rPr>
      </w:pPr>
      <w:r>
        <w:rPr>
          <w:rtl/>
        </w:rPr>
        <w:t>ביאור הקוב"ש ברא"ש דכיון שהחזקה מתקנ"ח על המערער להביא ראיה שהיה במקום רחוק</w:t>
      </w:r>
    </w:p>
    <w:p w:rsidR="00E874E8" w:rsidRDefault="00E874E8" w:rsidP="0007171D">
      <w:pPr>
        <w:pStyle w:val="aff4"/>
        <w:rPr>
          <w:rFonts w:eastAsiaTheme="minorEastAsia" w:cstheme="minorBidi"/>
          <w:i/>
          <w:iCs/>
          <w:noProof/>
          <w:sz w:val="22"/>
          <w:szCs w:val="22"/>
          <w:rtl/>
        </w:rPr>
      </w:pPr>
      <w:r>
        <w:rPr>
          <w:noProof/>
          <w:rtl/>
        </w:rPr>
        <w:t>ביאור החזון יחזקאל ברא"ש דעיקר החזקה אינה מתקנ"ח</w:t>
      </w:r>
    </w:p>
    <w:p w:rsidR="00E874E8" w:rsidRDefault="00E874E8" w:rsidP="007E4E81">
      <w:pPr>
        <w:pStyle w:val="a"/>
        <w:rPr>
          <w:rFonts w:eastAsiaTheme="minorEastAsia" w:cstheme="minorBidi"/>
          <w:sz w:val="22"/>
          <w:szCs w:val="22"/>
          <w:rtl/>
        </w:rPr>
      </w:pPr>
      <w:r>
        <w:rPr>
          <w:rtl/>
        </w:rPr>
        <w:t>דברי החזון יחזקאל דדוחק לבאר ברא"ש דהחזקה רק מתקנ"ח דא"כ איך מוציא מהמר"ק</w:t>
      </w:r>
    </w:p>
    <w:p w:rsidR="00E874E8" w:rsidRDefault="00E874E8" w:rsidP="007E4E81">
      <w:pPr>
        <w:pStyle w:val="a"/>
        <w:rPr>
          <w:rFonts w:eastAsiaTheme="minorEastAsia" w:cstheme="minorBidi"/>
          <w:sz w:val="22"/>
          <w:szCs w:val="22"/>
          <w:rtl/>
        </w:rPr>
      </w:pPr>
      <w:r>
        <w:rPr>
          <w:rtl/>
        </w:rPr>
        <w:t>ביאור החזון יחזקאל ברא"ש דהתקנ"ח היא רק לענין שא"צ להראות את השטר ולא לדין החזקה</w:t>
      </w:r>
    </w:p>
    <w:p w:rsidR="00E874E8" w:rsidRDefault="00E874E8" w:rsidP="007E4E81">
      <w:pPr>
        <w:pStyle w:val="a"/>
        <w:rPr>
          <w:rFonts w:eastAsiaTheme="minorEastAsia" w:cstheme="minorBidi"/>
          <w:sz w:val="22"/>
          <w:szCs w:val="22"/>
          <w:rtl/>
        </w:rPr>
      </w:pPr>
      <w:r>
        <w:rPr>
          <w:rtl/>
        </w:rPr>
        <w:t>ביאור החזון יחזקאל ברא"ש דבחזקה הוא מוחזק והוסיף רבא דאין טענת אחוי שטרך אחר ג"ש</w:t>
      </w:r>
    </w:p>
    <w:p w:rsidR="00E874E8" w:rsidRDefault="00E874E8" w:rsidP="007E4E81">
      <w:pPr>
        <w:pStyle w:val="a"/>
        <w:rPr>
          <w:rFonts w:eastAsiaTheme="minorEastAsia" w:cstheme="minorBidi"/>
          <w:sz w:val="22"/>
          <w:szCs w:val="22"/>
          <w:rtl/>
        </w:rPr>
      </w:pPr>
      <w:r>
        <w:rPr>
          <w:rtl/>
        </w:rPr>
        <w:t>ביאור החזון יחזקאל ברא"ש דהחזקה מחמת שנעשה מוחזק והמערער נראה כמערים</w:t>
      </w:r>
    </w:p>
    <w:p w:rsidR="00E874E8" w:rsidRDefault="00E874E8" w:rsidP="00E874E8">
      <w:pPr>
        <w:pStyle w:val="2"/>
        <w:rPr>
          <w:rFonts w:eastAsiaTheme="minorEastAsia" w:cstheme="minorBidi"/>
          <w:i/>
          <w:iCs/>
          <w:sz w:val="22"/>
          <w:szCs w:val="22"/>
          <w:rtl/>
        </w:rPr>
      </w:pPr>
      <w:r>
        <w:rPr>
          <w:rtl/>
        </w:rPr>
        <w:t>בדעת התוס' דהחזקה היא תקנ"ח</w:t>
      </w:r>
    </w:p>
    <w:p w:rsidR="00E874E8" w:rsidRDefault="00E874E8" w:rsidP="0007171D">
      <w:pPr>
        <w:pStyle w:val="aff4"/>
        <w:rPr>
          <w:rFonts w:eastAsiaTheme="minorEastAsia" w:cstheme="minorBidi"/>
          <w:i/>
          <w:iCs/>
          <w:noProof/>
          <w:sz w:val="22"/>
          <w:szCs w:val="22"/>
          <w:rtl/>
        </w:rPr>
      </w:pPr>
      <w:r>
        <w:rPr>
          <w:noProof/>
          <w:rtl/>
        </w:rPr>
        <w:t>ביאור הגרנ"פ בתוס' דמדינא מחאה רק בפניו אך מהני מתקנ"ח</w:t>
      </w:r>
    </w:p>
    <w:p w:rsidR="00E874E8" w:rsidRDefault="00E874E8" w:rsidP="007E4E81">
      <w:pPr>
        <w:pStyle w:val="a"/>
        <w:rPr>
          <w:rFonts w:eastAsiaTheme="minorEastAsia" w:cstheme="minorBidi"/>
          <w:sz w:val="22"/>
          <w:szCs w:val="22"/>
          <w:rtl/>
        </w:rPr>
      </w:pPr>
      <w:r>
        <w:rPr>
          <w:rtl/>
        </w:rPr>
        <w:t>דברי הגרנ"פ דבתוס' מוכח דמעיקר הדין ל"מ מחאה כשלא שמע המחזיק אך הקילו חכמים בזה</w:t>
      </w:r>
    </w:p>
    <w:p w:rsidR="00E874E8" w:rsidRDefault="00E874E8" w:rsidP="007E4E81">
      <w:pPr>
        <w:pStyle w:val="a"/>
        <w:rPr>
          <w:rFonts w:eastAsiaTheme="minorEastAsia" w:cstheme="minorBidi"/>
          <w:sz w:val="22"/>
          <w:szCs w:val="22"/>
          <w:rtl/>
        </w:rPr>
      </w:pPr>
      <w:r>
        <w:rPr>
          <w:rtl/>
        </w:rPr>
        <w:t>דברי הגרנ"פ דמוכח בתוס' דהתקנה מתקנ"ח ולכן מעיקר הדין ל"מ המחאה בלא שמיעת המחזיק</w:t>
      </w:r>
    </w:p>
    <w:p w:rsidR="00E874E8" w:rsidRDefault="00E874E8" w:rsidP="0007171D">
      <w:pPr>
        <w:pStyle w:val="aff4"/>
        <w:rPr>
          <w:rFonts w:eastAsiaTheme="minorEastAsia" w:cstheme="minorBidi"/>
          <w:i/>
          <w:iCs/>
          <w:noProof/>
          <w:sz w:val="22"/>
          <w:szCs w:val="22"/>
          <w:rtl/>
        </w:rPr>
      </w:pPr>
      <w:r>
        <w:rPr>
          <w:noProof/>
          <w:rtl/>
        </w:rPr>
        <w:t>ביאור הגרנ"פ בקו' התוס' דמנלן דהחזקה מתקנ"ח ולא מילפותא</w:t>
      </w:r>
    </w:p>
    <w:p w:rsidR="00E874E8" w:rsidRDefault="00E874E8" w:rsidP="007E4E81">
      <w:pPr>
        <w:pStyle w:val="a"/>
        <w:rPr>
          <w:rFonts w:eastAsiaTheme="minorEastAsia" w:cstheme="minorBidi"/>
          <w:sz w:val="22"/>
          <w:szCs w:val="22"/>
          <w:rtl/>
        </w:rPr>
      </w:pPr>
      <w:r>
        <w:rPr>
          <w:rtl/>
        </w:rPr>
        <w:t>קושית הגרנ"פ על התוס' בסוגיין דלרבא החזקה היא מסברא ומה הוקשה לתוס' דיש ילפותא</w:t>
      </w:r>
    </w:p>
    <w:p w:rsidR="00E874E8" w:rsidRDefault="00E874E8" w:rsidP="007E4E81">
      <w:pPr>
        <w:pStyle w:val="a"/>
        <w:rPr>
          <w:rFonts w:eastAsiaTheme="minorEastAsia" w:cstheme="minorBidi"/>
          <w:sz w:val="22"/>
          <w:szCs w:val="22"/>
          <w:rtl/>
        </w:rPr>
      </w:pPr>
      <w:r>
        <w:rPr>
          <w:rtl/>
        </w:rPr>
        <w:t>ביאור הגרנ"פ בתוס' דהחזקה מתקנ"ח והקשו התוס' דמנליה דהיא תקנה ולא ילפותא</w:t>
      </w:r>
    </w:p>
    <w:p w:rsidR="00E874E8" w:rsidRDefault="00E874E8" w:rsidP="0007171D">
      <w:pPr>
        <w:pStyle w:val="aff4"/>
        <w:rPr>
          <w:rFonts w:eastAsiaTheme="minorEastAsia" w:cstheme="minorBidi"/>
          <w:i/>
          <w:iCs/>
          <w:noProof/>
          <w:sz w:val="22"/>
          <w:szCs w:val="22"/>
          <w:rtl/>
        </w:rPr>
      </w:pPr>
      <w:r>
        <w:rPr>
          <w:noProof/>
          <w:rtl/>
        </w:rPr>
        <w:t>ביאור רבי ראובן בתוס' דהמחזיק סומך על דין חזקה מדלא קפיד</w:t>
      </w:r>
    </w:p>
    <w:p w:rsidR="00E874E8" w:rsidRDefault="00E874E8" w:rsidP="007E4E81">
      <w:pPr>
        <w:pStyle w:val="a"/>
        <w:rPr>
          <w:rFonts w:eastAsiaTheme="minorEastAsia" w:cstheme="minorBidi"/>
          <w:sz w:val="22"/>
          <w:szCs w:val="22"/>
          <w:rtl/>
        </w:rPr>
      </w:pPr>
      <w:r>
        <w:rPr>
          <w:rtl/>
        </w:rPr>
        <w:t>ביאור רבי ראובן בתוס' כנתיה"מ דלא נזהר בשטר דסומך על החזקה ולא מחמת שלא יערער</w:t>
      </w:r>
    </w:p>
    <w:p w:rsidR="00E874E8" w:rsidRDefault="00E874E8" w:rsidP="007E4E81">
      <w:pPr>
        <w:pStyle w:val="a"/>
        <w:rPr>
          <w:rFonts w:eastAsiaTheme="minorEastAsia" w:cstheme="minorBidi"/>
          <w:sz w:val="22"/>
          <w:szCs w:val="22"/>
          <w:rtl/>
        </w:rPr>
      </w:pPr>
      <w:r>
        <w:rPr>
          <w:rtl/>
        </w:rPr>
        <w:t>ביאור רבי ראובן בתוס' דרבא לא חזר מהתי' דקפיד אחר ג"ש וכל שלא מחה ודאי מכר</w:t>
      </w:r>
    </w:p>
    <w:p w:rsidR="00E874E8" w:rsidRDefault="00E874E8" w:rsidP="007E4E81">
      <w:pPr>
        <w:pStyle w:val="a"/>
        <w:rPr>
          <w:rFonts w:eastAsiaTheme="minorEastAsia" w:cstheme="minorBidi"/>
          <w:sz w:val="22"/>
          <w:szCs w:val="22"/>
          <w:rtl/>
        </w:rPr>
      </w:pPr>
      <w:r>
        <w:rPr>
          <w:rtl/>
        </w:rPr>
        <w:t>ביאור רבי ראובן בתוס' דרבא רק הוסיף דרוב בנ"א לא נזהרים בשטר ואינו תלוי בקפידת כ"א</w:t>
      </w:r>
    </w:p>
    <w:p w:rsidR="00E874E8" w:rsidRDefault="00E874E8" w:rsidP="007E4E81">
      <w:pPr>
        <w:pStyle w:val="a"/>
        <w:rPr>
          <w:rFonts w:eastAsiaTheme="minorEastAsia" w:cstheme="minorBidi"/>
          <w:sz w:val="22"/>
          <w:szCs w:val="22"/>
          <w:rtl/>
        </w:rPr>
      </w:pPr>
      <w:r>
        <w:rPr>
          <w:rtl/>
        </w:rPr>
        <w:t>ביאור רבי ראובן בתוס' דכל שיתכן שאין לו חזקה הוא נזהר בשטר וטוען לו אחוי שטרך</w:t>
      </w:r>
    </w:p>
    <w:p w:rsidR="00E874E8" w:rsidRDefault="00E874E8" w:rsidP="007E4E81">
      <w:pPr>
        <w:pStyle w:val="a"/>
        <w:rPr>
          <w:rFonts w:eastAsiaTheme="minorEastAsia" w:cstheme="minorBidi"/>
          <w:sz w:val="22"/>
          <w:szCs w:val="22"/>
          <w:rtl/>
        </w:rPr>
      </w:pPr>
      <w:r>
        <w:rPr>
          <w:rtl/>
        </w:rPr>
        <w:t>תירוץ רבי ראובן על קושיות הקצוה"ח דבכל מקום שאין ברור לו שיש לו דין חזקה נזהר בשטר</w:t>
      </w:r>
    </w:p>
    <w:p w:rsidR="00E874E8" w:rsidRDefault="00E874E8" w:rsidP="0007171D">
      <w:pPr>
        <w:pStyle w:val="aff4"/>
        <w:rPr>
          <w:rFonts w:eastAsiaTheme="minorEastAsia" w:cstheme="minorBidi"/>
          <w:i/>
          <w:iCs/>
          <w:noProof/>
          <w:sz w:val="22"/>
          <w:szCs w:val="22"/>
          <w:rtl/>
        </w:rPr>
      </w:pPr>
      <w:r>
        <w:rPr>
          <w:noProof/>
          <w:rtl/>
        </w:rPr>
        <w:t>ביאור הגרנ"פ בחילוק התקנה בין רש"י ותוס' והרא"ש לרמב"ן</w:t>
      </w:r>
    </w:p>
    <w:p w:rsidR="00E874E8" w:rsidRDefault="00E874E8" w:rsidP="007E4E81">
      <w:pPr>
        <w:pStyle w:val="a"/>
        <w:rPr>
          <w:rFonts w:eastAsiaTheme="minorEastAsia" w:cstheme="minorBidi"/>
          <w:sz w:val="22"/>
          <w:szCs w:val="22"/>
          <w:rtl/>
        </w:rPr>
      </w:pPr>
      <w:r>
        <w:rPr>
          <w:rtl/>
        </w:rPr>
        <w:t>דברי הגרנ"פ דלהרא"ש ורש"י ותוס' היא תקנ"ח בעלמא ולרמב"ן גדר התקנ"ח דיש הוכחה</w:t>
      </w:r>
    </w:p>
    <w:p w:rsidR="00E874E8" w:rsidRDefault="00E874E8" w:rsidP="0007171D">
      <w:pPr>
        <w:pStyle w:val="aff4"/>
        <w:rPr>
          <w:rFonts w:eastAsiaTheme="minorEastAsia" w:cstheme="minorBidi"/>
          <w:i/>
          <w:iCs/>
          <w:noProof/>
          <w:sz w:val="22"/>
          <w:szCs w:val="22"/>
          <w:rtl/>
        </w:rPr>
      </w:pPr>
      <w:r>
        <w:rPr>
          <w:noProof/>
          <w:rtl/>
        </w:rPr>
        <w:t>ביאור הגרנ"פ בתוס' בב"מ בגדר האנ"ס והמוחזקות בחזקת ג"ש</w:t>
      </w:r>
    </w:p>
    <w:p w:rsidR="00E874E8" w:rsidRDefault="00E874E8" w:rsidP="007E4E81">
      <w:pPr>
        <w:pStyle w:val="a"/>
        <w:rPr>
          <w:rFonts w:eastAsiaTheme="minorEastAsia" w:cstheme="minorBidi"/>
          <w:sz w:val="22"/>
          <w:szCs w:val="22"/>
          <w:rtl/>
        </w:rPr>
      </w:pPr>
      <w:r>
        <w:rPr>
          <w:rtl/>
        </w:rPr>
        <w:t>דברי הגרנ"פ דמבואר בתוס' בב"מ דגדר החזקה דיש אנ"ס שלא שותק לו וא"כ יש ראיה שמכר</w:t>
      </w:r>
    </w:p>
    <w:p w:rsidR="00E874E8" w:rsidRDefault="00E874E8" w:rsidP="007E4E81">
      <w:pPr>
        <w:pStyle w:val="a"/>
        <w:rPr>
          <w:rFonts w:eastAsiaTheme="minorEastAsia" w:cstheme="minorBidi"/>
          <w:sz w:val="22"/>
          <w:szCs w:val="22"/>
          <w:rtl/>
        </w:rPr>
      </w:pPr>
      <w:r>
        <w:rPr>
          <w:rtl/>
        </w:rPr>
        <w:t>דחיית הגרנ"פ דלתוס' גדר החזקה דנעשה מוחזק והאנן סהדי היינו דחשיב כמיגו במקום עדים</w:t>
      </w:r>
    </w:p>
    <w:p w:rsidR="00E874E8" w:rsidRDefault="00E874E8" w:rsidP="007E4E81">
      <w:pPr>
        <w:pStyle w:val="a"/>
        <w:rPr>
          <w:rFonts w:eastAsiaTheme="minorEastAsia" w:cstheme="minorBidi"/>
          <w:sz w:val="22"/>
          <w:szCs w:val="22"/>
          <w:rtl/>
        </w:rPr>
      </w:pPr>
      <w:r>
        <w:rPr>
          <w:rtl/>
        </w:rPr>
        <w:t>דברי הגרנ"פ דאפש"ל בתוס' דהיא תקנ"ח ואחר התקנ"ח ממילא יש אנ"ס מדהניחו להחזיק</w:t>
      </w:r>
    </w:p>
    <w:p w:rsidR="00E874E8" w:rsidRDefault="00E874E8" w:rsidP="00E874E8">
      <w:pPr>
        <w:pStyle w:val="2"/>
        <w:rPr>
          <w:rFonts w:eastAsiaTheme="minorEastAsia" w:cstheme="minorBidi"/>
          <w:i/>
          <w:iCs/>
          <w:sz w:val="22"/>
          <w:szCs w:val="22"/>
          <w:rtl/>
        </w:rPr>
      </w:pPr>
      <w:r>
        <w:rPr>
          <w:rtl/>
        </w:rPr>
        <w:t>בד' הרמב"ם דהחזקה ראיה או תקנ"ח</w:t>
      </w:r>
    </w:p>
    <w:p w:rsidR="00E874E8" w:rsidRDefault="00E874E8" w:rsidP="0007171D">
      <w:pPr>
        <w:pStyle w:val="aff4"/>
        <w:rPr>
          <w:rFonts w:eastAsiaTheme="minorEastAsia" w:cstheme="minorBidi"/>
          <w:i/>
          <w:iCs/>
          <w:noProof/>
          <w:sz w:val="22"/>
          <w:szCs w:val="22"/>
          <w:rtl/>
        </w:rPr>
      </w:pPr>
      <w:r>
        <w:rPr>
          <w:noProof/>
          <w:rtl/>
        </w:rPr>
        <w:t>קו' הגרנ"פ בסתירת הרמב"ם אי החזקה מדלא מיחה או מתקנ"ח</w:t>
      </w:r>
    </w:p>
    <w:p w:rsidR="00E874E8" w:rsidRDefault="00E874E8" w:rsidP="007E4E81">
      <w:pPr>
        <w:pStyle w:val="a"/>
        <w:rPr>
          <w:rFonts w:eastAsiaTheme="minorEastAsia" w:cstheme="minorBidi"/>
          <w:sz w:val="22"/>
          <w:szCs w:val="22"/>
          <w:rtl/>
        </w:rPr>
      </w:pPr>
      <w:r>
        <w:rPr>
          <w:rtl/>
        </w:rPr>
        <w:t>דברי הגרנ"פ דהפשטות ברמב"ם דהחזקה היא מחמת דלא מחה המערער ועד ג"ש יש ריעותא</w:t>
      </w:r>
    </w:p>
    <w:p w:rsidR="00E874E8" w:rsidRDefault="00E874E8" w:rsidP="007E4E81">
      <w:pPr>
        <w:pStyle w:val="a"/>
        <w:rPr>
          <w:rFonts w:eastAsiaTheme="minorEastAsia" w:cstheme="minorBidi"/>
          <w:sz w:val="22"/>
          <w:szCs w:val="22"/>
          <w:rtl/>
        </w:rPr>
      </w:pPr>
      <w:r>
        <w:rPr>
          <w:rtl/>
        </w:rPr>
        <w:t>קושית הגרנ"פ דכיון דכתב הרמב"ם דכל מחאה חזקה ששמע ממנה א"כ אין החזקה מדלא מחה</w:t>
      </w:r>
    </w:p>
    <w:p w:rsidR="00E874E8" w:rsidRDefault="00E874E8" w:rsidP="007E4E81">
      <w:pPr>
        <w:pStyle w:val="a"/>
        <w:rPr>
          <w:rFonts w:eastAsiaTheme="minorEastAsia" w:cstheme="minorBidi"/>
          <w:sz w:val="22"/>
          <w:szCs w:val="22"/>
          <w:rtl/>
        </w:rPr>
      </w:pPr>
      <w:r>
        <w:rPr>
          <w:rtl/>
        </w:rPr>
        <w:t>קושית הגרנ"פ דמשמע ברמב"ם דעיקר טעם החזקה הוא מחמת השטר ולכן כתב דחזקה ששמע</w:t>
      </w:r>
    </w:p>
    <w:p w:rsidR="00E874E8" w:rsidRDefault="00E874E8" w:rsidP="007E4E81">
      <w:pPr>
        <w:pStyle w:val="a"/>
        <w:rPr>
          <w:rFonts w:eastAsiaTheme="minorEastAsia" w:cstheme="minorBidi"/>
          <w:sz w:val="22"/>
          <w:szCs w:val="22"/>
          <w:rtl/>
        </w:rPr>
      </w:pPr>
      <w:r>
        <w:rPr>
          <w:rtl/>
        </w:rPr>
        <w:t>קושית הגרנ"פ דברמב"ם בפיהמ"ש משמע דהחזקה היא תקנ"ח בעלמא ואינה ראיה</w:t>
      </w:r>
    </w:p>
    <w:p w:rsidR="00E874E8" w:rsidRDefault="00E874E8" w:rsidP="007E4E81">
      <w:pPr>
        <w:pStyle w:val="a"/>
        <w:rPr>
          <w:rFonts w:eastAsiaTheme="minorEastAsia" w:cstheme="minorBidi"/>
          <w:sz w:val="22"/>
          <w:szCs w:val="22"/>
          <w:rtl/>
        </w:rPr>
      </w:pPr>
      <w:r>
        <w:rPr>
          <w:rtl/>
        </w:rPr>
        <w:t>קושית הגרנ"פ דבפיהמ"ש משמע דמחמת השטר א"א להוציא ממר"ק וסמכינן על מה שלא מחה</w:t>
      </w:r>
    </w:p>
    <w:p w:rsidR="00E874E8" w:rsidRDefault="00E874E8" w:rsidP="0007171D">
      <w:pPr>
        <w:pStyle w:val="aff4"/>
        <w:rPr>
          <w:rFonts w:eastAsiaTheme="minorEastAsia" w:cstheme="minorBidi"/>
          <w:i/>
          <w:iCs/>
          <w:noProof/>
          <w:sz w:val="22"/>
          <w:szCs w:val="22"/>
          <w:rtl/>
        </w:rPr>
      </w:pPr>
      <w:r>
        <w:rPr>
          <w:noProof/>
          <w:rtl/>
        </w:rPr>
        <w:t>קו' הגרנ"פ דלפיהמ"ש המחאה דלא יאכל פירות ולא שהיא שלו</w:t>
      </w:r>
    </w:p>
    <w:p w:rsidR="00E874E8" w:rsidRDefault="00E874E8" w:rsidP="007E4E81">
      <w:pPr>
        <w:pStyle w:val="a"/>
        <w:rPr>
          <w:rFonts w:eastAsiaTheme="minorEastAsia" w:cstheme="minorBidi"/>
          <w:sz w:val="22"/>
          <w:szCs w:val="22"/>
          <w:rtl/>
        </w:rPr>
      </w:pPr>
      <w:r>
        <w:rPr>
          <w:rtl/>
        </w:rPr>
        <w:t>קושית הגרנ"פ דבפיהמ"ש משמע דההוכחה ממה שהניחו לאכול ובגמ' משמע דמוחה שהיא שלו</w:t>
      </w:r>
    </w:p>
    <w:p w:rsidR="00E874E8" w:rsidRDefault="00E874E8" w:rsidP="0007171D">
      <w:pPr>
        <w:pStyle w:val="aff4"/>
        <w:rPr>
          <w:rFonts w:eastAsiaTheme="minorEastAsia" w:cstheme="minorBidi"/>
          <w:i/>
          <w:iCs/>
          <w:noProof/>
          <w:sz w:val="22"/>
          <w:szCs w:val="22"/>
          <w:rtl/>
        </w:rPr>
      </w:pPr>
      <w:r>
        <w:rPr>
          <w:noProof/>
          <w:rtl/>
        </w:rPr>
        <w:t>ביאור הגרנ"פ ברמב"ם דמוחזק בראיה ומוציא מהמר"ק בתקנה</w:t>
      </w:r>
    </w:p>
    <w:p w:rsidR="00E874E8" w:rsidRDefault="00E874E8" w:rsidP="007E4E81">
      <w:pPr>
        <w:pStyle w:val="a"/>
        <w:rPr>
          <w:rFonts w:eastAsiaTheme="minorEastAsia" w:cstheme="minorBidi"/>
          <w:sz w:val="22"/>
          <w:szCs w:val="22"/>
          <w:rtl/>
        </w:rPr>
      </w:pPr>
      <w:r>
        <w:rPr>
          <w:rtl/>
        </w:rPr>
        <w:t>ביאור הגרנ"פ ברמב"ם דמדלא מחה נעשה מוחזק מיד אלא דאחוי שטרך הוא ריעותא במוחזקות</w:t>
      </w:r>
    </w:p>
    <w:p w:rsidR="00E874E8" w:rsidRDefault="00E874E8" w:rsidP="007E4E81">
      <w:pPr>
        <w:pStyle w:val="a"/>
        <w:rPr>
          <w:rFonts w:eastAsiaTheme="minorEastAsia" w:cstheme="minorBidi"/>
          <w:sz w:val="22"/>
          <w:szCs w:val="22"/>
          <w:rtl/>
        </w:rPr>
      </w:pPr>
      <w:r>
        <w:rPr>
          <w:rtl/>
        </w:rPr>
        <w:t>ביאור הגרנ"פ דלא סגי במוחזקות להוציא ממר"ק אעפ"י שמוחזקתו היא מוחזקות שלימה</w:t>
      </w:r>
    </w:p>
    <w:p w:rsidR="00E874E8" w:rsidRDefault="00E874E8" w:rsidP="007E4E81">
      <w:pPr>
        <w:pStyle w:val="a"/>
        <w:rPr>
          <w:rFonts w:eastAsiaTheme="minorEastAsia" w:cstheme="minorBidi"/>
          <w:sz w:val="22"/>
          <w:szCs w:val="22"/>
          <w:rtl/>
        </w:rPr>
      </w:pPr>
      <w:r>
        <w:rPr>
          <w:rtl/>
        </w:rPr>
        <w:t>ביאור הגרנ"פ דאף שהוא מוחזק מ"מ מוציא מהמר"ק רק ע"י התקנ"ח דמדלא מחה הפסיד</w:t>
      </w:r>
    </w:p>
    <w:p w:rsidR="00E874E8" w:rsidRDefault="00E874E8" w:rsidP="0007171D">
      <w:pPr>
        <w:pStyle w:val="aff4"/>
        <w:rPr>
          <w:rFonts w:eastAsiaTheme="minorEastAsia" w:cstheme="minorBidi"/>
          <w:i/>
          <w:iCs/>
          <w:noProof/>
          <w:sz w:val="22"/>
          <w:szCs w:val="22"/>
          <w:rtl/>
        </w:rPr>
      </w:pPr>
      <w:r>
        <w:rPr>
          <w:noProof/>
          <w:rtl/>
        </w:rPr>
        <w:t>ביאור הגרנ"פ בפיהמ"ש דהמחאה על האכילה לענין המוחזקות</w:t>
      </w:r>
    </w:p>
    <w:p w:rsidR="00E874E8" w:rsidRDefault="00E874E8" w:rsidP="007E4E81">
      <w:pPr>
        <w:pStyle w:val="a"/>
        <w:rPr>
          <w:rFonts w:eastAsiaTheme="minorEastAsia" w:cstheme="minorBidi"/>
          <w:sz w:val="22"/>
          <w:szCs w:val="22"/>
          <w:rtl/>
        </w:rPr>
      </w:pPr>
      <w:r>
        <w:rPr>
          <w:rtl/>
        </w:rPr>
        <w:t>ביאור הגרנ"פ דהמוחזקות ע"י שהניחו לאכול והמחאה שהיא שלו היא לענין שלא יוציאו ממנו</w:t>
      </w:r>
    </w:p>
    <w:p w:rsidR="00E874E8" w:rsidRDefault="00E874E8" w:rsidP="0007171D">
      <w:pPr>
        <w:pStyle w:val="aff4"/>
        <w:rPr>
          <w:rFonts w:eastAsiaTheme="minorEastAsia" w:cstheme="minorBidi"/>
          <w:i/>
          <w:iCs/>
          <w:noProof/>
          <w:sz w:val="22"/>
          <w:szCs w:val="22"/>
          <w:rtl/>
        </w:rPr>
      </w:pPr>
      <w:r>
        <w:rPr>
          <w:noProof/>
          <w:rtl/>
        </w:rPr>
        <w:t>ביאור הגרנ"פ ברמב"ם דהחזקה אינה ראיה ומוציאה מהמר"ק</w:t>
      </w:r>
    </w:p>
    <w:p w:rsidR="00E874E8" w:rsidRDefault="00E874E8" w:rsidP="007E4E81">
      <w:pPr>
        <w:pStyle w:val="a"/>
        <w:rPr>
          <w:rFonts w:eastAsiaTheme="minorEastAsia" w:cstheme="minorBidi"/>
          <w:sz w:val="22"/>
          <w:szCs w:val="22"/>
          <w:rtl/>
        </w:rPr>
      </w:pPr>
      <w:r>
        <w:rPr>
          <w:rtl/>
        </w:rPr>
        <w:t>ביאור הגרנ"פ ברמב"ם דחזקת ג"ש אינה ראיה אלא הוא סיבה להוציא מהמר"ק לחזקת המחזיק</w:t>
      </w:r>
    </w:p>
    <w:p w:rsidR="00E874E8" w:rsidRDefault="00E874E8" w:rsidP="0007171D">
      <w:pPr>
        <w:pStyle w:val="aff4"/>
        <w:rPr>
          <w:rFonts w:eastAsiaTheme="minorEastAsia" w:cstheme="minorBidi"/>
          <w:i/>
          <w:iCs/>
          <w:noProof/>
          <w:sz w:val="22"/>
          <w:szCs w:val="22"/>
          <w:rtl/>
        </w:rPr>
      </w:pPr>
      <w:r>
        <w:rPr>
          <w:noProof/>
          <w:rtl/>
        </w:rPr>
        <w:t>ביאור החזון יחזקאל ברמב"ם דכל שלא מיחה המחזיק מוחזק</w:t>
      </w:r>
    </w:p>
    <w:p w:rsidR="00E874E8" w:rsidRDefault="00E874E8" w:rsidP="007E4E81">
      <w:pPr>
        <w:pStyle w:val="a"/>
        <w:rPr>
          <w:rFonts w:eastAsiaTheme="minorEastAsia" w:cstheme="minorBidi"/>
          <w:sz w:val="22"/>
          <w:szCs w:val="22"/>
          <w:rtl/>
        </w:rPr>
      </w:pPr>
      <w:r>
        <w:rPr>
          <w:rtl/>
        </w:rPr>
        <w:t>ביאור החזון יחזקאל ברמב"ם דמדלא מיחה מוכח דמכר ונעשה עי"ז מוחזק והמר"ק הוא המוציא</w:t>
      </w:r>
    </w:p>
    <w:p w:rsidR="00E874E8" w:rsidRDefault="00E874E8" w:rsidP="00E874E8">
      <w:pPr>
        <w:pStyle w:val="2"/>
        <w:rPr>
          <w:rFonts w:eastAsiaTheme="minorEastAsia" w:cstheme="minorBidi"/>
          <w:i/>
          <w:iCs/>
          <w:sz w:val="22"/>
          <w:szCs w:val="22"/>
          <w:rtl/>
        </w:rPr>
      </w:pPr>
      <w:r>
        <w:rPr>
          <w:rtl/>
        </w:rPr>
        <w:t>בדעת הי"מ ברמב"ן דהחזקה היא תקנ"ח</w:t>
      </w:r>
    </w:p>
    <w:p w:rsidR="00E874E8" w:rsidRDefault="00E874E8" w:rsidP="0007171D">
      <w:pPr>
        <w:pStyle w:val="aff4"/>
        <w:rPr>
          <w:rFonts w:eastAsiaTheme="minorEastAsia" w:cstheme="minorBidi"/>
          <w:i/>
          <w:iCs/>
          <w:noProof/>
          <w:sz w:val="22"/>
          <w:szCs w:val="22"/>
          <w:rtl/>
        </w:rPr>
      </w:pPr>
      <w:r>
        <w:rPr>
          <w:noProof/>
          <w:rtl/>
        </w:rPr>
        <w:t>ביאור הגרנ"פ בי"מ ברמב"ן דגדר התקנ"ח דימחה לצורך השטר</w:t>
      </w:r>
    </w:p>
    <w:p w:rsidR="00E874E8" w:rsidRDefault="00E874E8" w:rsidP="007E4E81">
      <w:pPr>
        <w:pStyle w:val="a"/>
        <w:rPr>
          <w:rFonts w:eastAsiaTheme="minorEastAsia" w:cstheme="minorBidi"/>
          <w:sz w:val="22"/>
          <w:szCs w:val="22"/>
          <w:rtl/>
        </w:rPr>
      </w:pPr>
      <w:r>
        <w:rPr>
          <w:rtl/>
        </w:rPr>
        <w:t>ביאור הגרנ"פ בי"מ ברמב"ן דהתקנה לטובת המחזיק וגדר התקנה שימחה המערער שיזהר בשטר</w:t>
      </w:r>
    </w:p>
    <w:p w:rsidR="00E874E8" w:rsidRDefault="00E874E8" w:rsidP="007E4E81">
      <w:pPr>
        <w:pStyle w:val="a"/>
        <w:rPr>
          <w:rFonts w:eastAsiaTheme="minorEastAsia" w:cstheme="minorBidi"/>
          <w:sz w:val="22"/>
          <w:szCs w:val="22"/>
          <w:rtl/>
        </w:rPr>
      </w:pPr>
      <w:r>
        <w:rPr>
          <w:rtl/>
        </w:rPr>
        <w:t>ביאור הגרנ"פ בי"מ ברמב"ן דבקטן שאינו יודע להזהר בשטר לא שייך גדר תקנת החזקה</w:t>
      </w:r>
    </w:p>
    <w:p w:rsidR="00E874E8" w:rsidRDefault="00E874E8" w:rsidP="0007171D">
      <w:pPr>
        <w:pStyle w:val="aff4"/>
        <w:rPr>
          <w:rFonts w:eastAsiaTheme="minorEastAsia" w:cstheme="minorBidi"/>
          <w:i/>
          <w:iCs/>
          <w:noProof/>
          <w:sz w:val="22"/>
          <w:szCs w:val="22"/>
          <w:rtl/>
        </w:rPr>
      </w:pPr>
      <w:r>
        <w:rPr>
          <w:noProof/>
          <w:rtl/>
        </w:rPr>
        <w:t>ביאור הקוב"ש בי"מ ברמב"ן דהחזקה מתקנ"ח ואין תקנ"ח בקטן</w:t>
      </w:r>
    </w:p>
    <w:p w:rsidR="00E874E8" w:rsidRDefault="00E874E8" w:rsidP="007E4E81">
      <w:pPr>
        <w:pStyle w:val="a"/>
        <w:rPr>
          <w:rFonts w:eastAsiaTheme="minorEastAsia" w:cstheme="minorBidi"/>
          <w:sz w:val="22"/>
          <w:szCs w:val="22"/>
          <w:rtl/>
        </w:rPr>
      </w:pPr>
      <w:r>
        <w:rPr>
          <w:rtl/>
        </w:rPr>
        <w:t>ביאור הקוב"ש בי"מ ברמב"ן דהתקנ"ח שא"צ לשמור שטרו לעולם ולכן ס"ל דאין חזקה לקטן</w:t>
      </w:r>
    </w:p>
    <w:p w:rsidR="00E874E8" w:rsidRDefault="00E874E8" w:rsidP="00E874E8">
      <w:pPr>
        <w:pStyle w:val="2"/>
        <w:rPr>
          <w:rtl/>
        </w:rPr>
        <w:sectPr w:rsidR="00E874E8"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E874E8" w:rsidRPr="0081356D" w:rsidRDefault="006C4F47" w:rsidP="00E874E8">
      <w:pPr>
        <w:pStyle w:val="afe"/>
        <w:rPr>
          <w:rtl/>
        </w:rPr>
      </w:pPr>
      <w:r>
        <w:rPr>
          <w:rFonts w:hint="cs"/>
          <w:rtl/>
        </w:rPr>
        <w:lastRenderedPageBreak/>
        <w:t>~~~~~~~ מראי מקומות וביאורים ~~~~~~~</w:t>
      </w:r>
    </w:p>
    <w:p w:rsidR="00E874E8" w:rsidRPr="00B21444" w:rsidRDefault="00E874E8" w:rsidP="00E874E8">
      <w:pPr>
        <w:pStyle w:val="2"/>
        <w:bidi w:val="0"/>
        <w:rPr>
          <w:rtl/>
        </w:rPr>
        <w:sectPr w:rsidR="00E874E8" w:rsidRPr="00B21444" w:rsidSect="00962FD5">
          <w:footerReference w:type="default" r:id="rId59"/>
          <w:pgSz w:w="11906" w:h="16838"/>
          <w:pgMar w:top="720" w:right="720" w:bottom="720" w:left="720" w:header="283" w:footer="283" w:gutter="0"/>
          <w:cols w:space="720"/>
          <w:bidi/>
          <w:rtlGutter/>
          <w:docGrid w:linePitch="299"/>
        </w:sectPr>
      </w:pPr>
    </w:p>
    <w:p w:rsidR="00E874E8" w:rsidRDefault="00E874E8" w:rsidP="00E874E8">
      <w:pPr>
        <w:pStyle w:val="afe"/>
        <w:rPr>
          <w:rtl/>
        </w:rPr>
      </w:pPr>
      <w:bookmarkStart w:id="4869" w:name="_Toc55739954"/>
      <w:bookmarkStart w:id="4870" w:name="_Toc56372847"/>
      <w:bookmarkStart w:id="4871" w:name="_Toc56458185"/>
      <w:bookmarkStart w:id="4872" w:name="_Toc56544315"/>
      <w:bookmarkStart w:id="4873" w:name="_Toc56609752"/>
      <w:bookmarkStart w:id="4874" w:name="_Toc56626585"/>
      <w:bookmarkStart w:id="4875" w:name="_Toc56630053"/>
      <w:bookmarkStart w:id="4876" w:name="_Toc56636902"/>
      <w:bookmarkStart w:id="4877" w:name="_Toc56638036"/>
      <w:bookmarkStart w:id="4878" w:name="_Toc56640880"/>
      <w:r>
        <w:rPr>
          <w:rFonts w:hint="cs"/>
          <w:rtl/>
        </w:rPr>
        <w:t>הקושיה על רבא היאך מהני החזקה</w:t>
      </w:r>
      <w:bookmarkEnd w:id="4869"/>
      <w:bookmarkEnd w:id="4870"/>
      <w:bookmarkEnd w:id="4871"/>
      <w:bookmarkEnd w:id="4872"/>
      <w:bookmarkEnd w:id="4873"/>
      <w:bookmarkEnd w:id="4874"/>
      <w:bookmarkEnd w:id="4875"/>
      <w:bookmarkEnd w:id="4876"/>
      <w:bookmarkEnd w:id="4877"/>
      <w:bookmarkEnd w:id="4878"/>
    </w:p>
    <w:p w:rsidR="00E874E8" w:rsidRDefault="00E874E8" w:rsidP="00E874E8">
      <w:pPr>
        <w:pStyle w:val="1"/>
        <w:rPr>
          <w:rtl/>
        </w:rPr>
      </w:pPr>
      <w:bookmarkStart w:id="4879" w:name="_Toc56636903"/>
      <w:bookmarkStart w:id="4880" w:name="_Toc56638037"/>
      <w:bookmarkStart w:id="4881" w:name="_Toc56640881"/>
      <w:r>
        <w:rPr>
          <w:rFonts w:hint="cs"/>
          <w:rtl/>
        </w:rPr>
        <w:t>קושית הריטב"א דאף דלא נזהר בשטר מ"מ היאך זוכה בקרקע</w:t>
      </w:r>
      <w:bookmarkEnd w:id="4879"/>
      <w:bookmarkEnd w:id="4880"/>
      <w:bookmarkEnd w:id="4881"/>
    </w:p>
    <w:p w:rsidR="00E874E8" w:rsidRPr="00B45838" w:rsidRDefault="00E874E8" w:rsidP="00E874E8">
      <w:pPr>
        <w:pStyle w:val="a3"/>
        <w:rPr>
          <w:rtl/>
        </w:rPr>
      </w:pPr>
      <w:bookmarkStart w:id="4882" w:name="_Toc56458187"/>
      <w:bookmarkStart w:id="4883" w:name="_Toc56544317"/>
      <w:bookmarkStart w:id="4884" w:name="_Toc56609754"/>
      <w:bookmarkStart w:id="4885" w:name="_Toc56626587"/>
      <w:bookmarkStart w:id="4886" w:name="_Toc56630055"/>
      <w:bookmarkStart w:id="4887" w:name="_Toc56636904"/>
      <w:bookmarkStart w:id="4888" w:name="_Toc56638038"/>
      <w:bookmarkStart w:id="4889" w:name="_Toc56640882"/>
      <w:r>
        <w:rPr>
          <w:rFonts w:hint="cs"/>
          <w:rtl/>
        </w:rPr>
        <w:t>קושית הריטב"א והקצוה"ח והשע"מ דאף דלאחר ג"ש אין אחוי שטרך מ"מ היאך מוציא מהמר"ק</w:t>
      </w:r>
      <w:bookmarkEnd w:id="4882"/>
      <w:bookmarkEnd w:id="4883"/>
      <w:bookmarkEnd w:id="4884"/>
      <w:bookmarkEnd w:id="4885"/>
      <w:bookmarkEnd w:id="4886"/>
      <w:bookmarkEnd w:id="4887"/>
      <w:bookmarkEnd w:id="4888"/>
      <w:bookmarkEnd w:id="4889"/>
    </w:p>
    <w:p w:rsidR="00E874E8" w:rsidRPr="007943CF" w:rsidRDefault="00E874E8" w:rsidP="00BA3263">
      <w:pPr>
        <w:pStyle w:val="a0"/>
        <w:numPr>
          <w:ilvl w:val="0"/>
          <w:numId w:val="14"/>
        </w:numPr>
        <w:rPr>
          <w:rStyle w:val="afb"/>
          <w:rtl/>
        </w:rPr>
      </w:pPr>
      <w:bookmarkStart w:id="4890" w:name="_Ref56590593"/>
      <w:r>
        <w:rPr>
          <w:rFonts w:hint="cs"/>
          <w:rtl/>
        </w:rPr>
        <w:t xml:space="preserve">הקשה </w:t>
      </w:r>
      <w:r w:rsidRPr="00CF0EE8">
        <w:rPr>
          <w:rStyle w:val="af9"/>
          <w:rFonts w:hint="cs"/>
          <w:rtl/>
        </w:rPr>
        <w:t>הריטב"א</w:t>
      </w:r>
      <w:r w:rsidRPr="007E4E81">
        <w:rPr>
          <w:rStyle w:val="af7"/>
          <w:rFonts w:eastAsiaTheme="minorHAnsi" w:hint="cs"/>
          <w:rtl/>
        </w:rPr>
        <w:t xml:space="preserve"> (ד"ה אלא) </w:t>
      </w:r>
      <w:r>
        <w:rPr>
          <w:rFonts w:hint="cs"/>
          <w:rtl/>
        </w:rPr>
        <w:t xml:space="preserve">דאי טעם החזקה הוא רק מחמת הסברא דעד ג"ש נזהר בשטרו, א"כ היאך אפש"ל דהמרא קמא יפסיד את קרקעו, כיון שאין על המחזיק טענת אחוי שטרך, דאינו צריך להזהר בשטרו, וכן הקשו </w:t>
      </w:r>
      <w:r w:rsidRPr="00152535">
        <w:rPr>
          <w:rStyle w:val="af9"/>
          <w:rFonts w:hint="cs"/>
          <w:rtl/>
        </w:rPr>
        <w:t>רבינו יונה</w:t>
      </w:r>
      <w:r w:rsidR="00A77F33" w:rsidRPr="007E4E81">
        <w:rPr>
          <w:rStyle w:val="af7"/>
          <w:rFonts w:eastAsia="Guttman Hodes" w:hint="cs"/>
          <w:rtl/>
        </w:rPr>
        <w:t xml:space="preserve"> </w:t>
      </w:r>
      <w:r>
        <w:rPr>
          <w:rStyle w:val="af9"/>
          <w:rFonts w:hint="cs"/>
          <w:rtl/>
        </w:rPr>
        <w:t>ו</w:t>
      </w:r>
      <w:r w:rsidRPr="009C3185">
        <w:rPr>
          <w:rStyle w:val="af9"/>
          <w:rFonts w:hint="cs"/>
          <w:rtl/>
        </w:rPr>
        <w:t>הר"ן על הרי"ף [הנדמ"ח]</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Ref56502436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7E4E81">
        <w:rPr>
          <w:rStyle w:val="af7"/>
          <w:rFonts w:eastAsia="Guttman Hodes"/>
          <w:rtl/>
        </w:rPr>
        <w:fldChar w:fldCharType="end"/>
      </w:r>
      <w:r>
        <w:rPr>
          <w:rFonts w:hint="cs"/>
          <w:rtl/>
        </w:rPr>
        <w:t xml:space="preserve"> </w:t>
      </w:r>
      <w:r w:rsidRPr="007C5BD3">
        <w:rPr>
          <w:rStyle w:val="af9"/>
          <w:rFonts w:hint="cs"/>
          <w:rtl/>
        </w:rPr>
        <w:t>והק</w:t>
      </w:r>
      <w:r w:rsidRPr="00640004">
        <w:rPr>
          <w:rStyle w:val="af9"/>
          <w:rFonts w:hint="cs"/>
          <w:rtl/>
        </w:rPr>
        <w:t>צוה"ח</w:t>
      </w:r>
      <w:r>
        <w:rPr>
          <w:rFonts w:hint="cs"/>
          <w:rtl/>
        </w:rPr>
        <w:t xml:space="preserve"> </w:t>
      </w:r>
      <w:r w:rsidRPr="007E4E81">
        <w:rPr>
          <w:rStyle w:val="af7"/>
          <w:rFonts w:eastAsia="Guttman Hodes" w:hint="cs"/>
          <w:rtl/>
        </w:rPr>
        <w:t>(סי</w:t>
      </w:r>
      <w:r w:rsidRPr="007E4E81">
        <w:rPr>
          <w:rStyle w:val="af7"/>
          <w:rFonts w:eastAsia="Guttman Hodes"/>
          <w:rtl/>
        </w:rPr>
        <w:t>'</w:t>
      </w:r>
      <w:r w:rsidRPr="007E4E81">
        <w:rPr>
          <w:rStyle w:val="af7"/>
          <w:rFonts w:eastAsia="Guttman Hodes" w:hint="cs"/>
          <w:rtl/>
        </w:rPr>
        <w:t xml:space="preserve"> ק</w:t>
      </w:r>
      <w:r w:rsidRPr="007E4E81">
        <w:rPr>
          <w:rStyle w:val="af7"/>
          <w:rFonts w:eastAsia="Guttman Hodes"/>
          <w:rtl/>
        </w:rPr>
        <w:t>"</w:t>
      </w:r>
      <w:r w:rsidRPr="007E4E81">
        <w:rPr>
          <w:rStyle w:val="af7"/>
          <w:rFonts w:eastAsia="Guttman Hodes" w:hint="cs"/>
          <w:rtl/>
        </w:rPr>
        <w:t>מ סק</w:t>
      </w:r>
      <w:r w:rsidRPr="007E4E81">
        <w:rPr>
          <w:rStyle w:val="af7"/>
          <w:rFonts w:eastAsia="Guttman Hodes"/>
          <w:rtl/>
        </w:rPr>
        <w:t>"</w:t>
      </w:r>
      <w:r w:rsidRPr="007E4E81">
        <w:rPr>
          <w:rStyle w:val="af7"/>
          <w:rFonts w:eastAsia="Guttman Hodes" w:hint="cs"/>
          <w:rtl/>
        </w:rPr>
        <w:t>ב)</w:t>
      </w:r>
      <w:r>
        <w:rPr>
          <w:rFonts w:hint="cs"/>
          <w:rtl/>
        </w:rPr>
        <w:t xml:space="preserve"> </w:t>
      </w:r>
      <w:r w:rsidRPr="00154BD5">
        <w:rPr>
          <w:rStyle w:val="af9"/>
          <w:rFonts w:hint="cs"/>
          <w:rtl/>
        </w:rPr>
        <w:t>והשער משפט</w:t>
      </w:r>
      <w:r w:rsidRPr="002450F0">
        <w:rPr>
          <w:rFonts w:hint="cs"/>
          <w:rtl/>
        </w:rPr>
        <w:t xml:space="preserve"> </w:t>
      </w:r>
      <w:r w:rsidRPr="007E4E81">
        <w:rPr>
          <w:rStyle w:val="af7"/>
          <w:rFonts w:eastAsia="Guttman Hodes" w:hint="cs"/>
          <w:rtl/>
        </w:rPr>
        <w:t>(סי' ק"מ סק"ג)</w:t>
      </w:r>
      <w:r w:rsidRPr="002450F0">
        <w:rPr>
          <w:rFonts w:hint="cs"/>
          <w:rtl/>
        </w:rPr>
        <w:t xml:space="preserve"> </w:t>
      </w:r>
      <w:r w:rsidRPr="00A510F2">
        <w:rPr>
          <w:rStyle w:val="af9"/>
          <w:rFonts w:hint="cs"/>
          <w:rtl/>
        </w:rPr>
        <w:t xml:space="preserve">והתורת חיים </w:t>
      </w:r>
      <w:r w:rsidRPr="007E4E81">
        <w:rPr>
          <w:rStyle w:val="af7"/>
          <w:rFonts w:eastAsia="Guttman Hodes" w:hint="cs"/>
          <w:rtl/>
        </w:rPr>
        <w:t>(ד"ה תרתי)</w:t>
      </w:r>
      <w:r>
        <w:rPr>
          <w:rFonts w:hint="cs"/>
          <w:rtl/>
        </w:rPr>
        <w:t xml:space="preserve"> דאעפ"י דלאחר ג"ש א"צ להזהר בשטרו, ואי"ז ריעותא במה שאין לו שטר, מ"מ עדיין אין למחזיק ראיה שהקרקע שלו, והיאך אפשר להוציא את הקרקע מהמרא קמא בלי ראיה. </w:t>
      </w:r>
      <w:r w:rsidRPr="007943CF">
        <w:rPr>
          <w:rStyle w:val="afb"/>
          <w:rFonts w:hint="cs"/>
          <w:rtl/>
        </w:rPr>
        <w:t xml:space="preserve">[ועי' במה שביאר </w:t>
      </w:r>
      <w:r w:rsidRPr="007943CF">
        <w:rPr>
          <w:rStyle w:val="affa"/>
          <w:rFonts w:hint="cs"/>
          <w:rtl/>
        </w:rPr>
        <w:t>הריטב"א</w:t>
      </w:r>
      <w:r w:rsidRPr="007943CF">
        <w:rPr>
          <w:rStyle w:val="afb"/>
          <w:rFonts w:hint="cs"/>
          <w:rtl/>
        </w:rPr>
        <w:t xml:space="preserve"> </w:t>
      </w:r>
      <w:r w:rsidRPr="007943CF">
        <w:rPr>
          <w:rStyle w:val="aff6"/>
          <w:rFonts w:hint="cs"/>
          <w:rtl/>
        </w:rPr>
        <w:t>(הובא בסימן ה' אות ד')</w:t>
      </w:r>
      <w:r w:rsidRPr="007943CF">
        <w:rPr>
          <w:rStyle w:val="afb"/>
          <w:rFonts w:hint="cs"/>
          <w:rtl/>
        </w:rPr>
        <w:t xml:space="preserve"> דמדלא מחה המערער יש ראיה שהמחזיק קנה ממנו].</w:t>
      </w:r>
      <w:bookmarkEnd w:id="4890"/>
    </w:p>
    <w:p w:rsidR="00E874E8" w:rsidRDefault="00E874E8" w:rsidP="00E874E8">
      <w:pPr>
        <w:pStyle w:val="afe"/>
        <w:rPr>
          <w:rtl/>
        </w:rPr>
      </w:pPr>
      <w:bookmarkStart w:id="4891" w:name="_Toc56544318"/>
      <w:bookmarkStart w:id="4892" w:name="_Toc56609755"/>
      <w:bookmarkStart w:id="4893" w:name="_Toc56626588"/>
      <w:bookmarkStart w:id="4894" w:name="_Toc56630056"/>
      <w:bookmarkStart w:id="4895" w:name="_Toc56636905"/>
      <w:bookmarkStart w:id="4896" w:name="_Toc56638039"/>
      <w:bookmarkStart w:id="4897" w:name="_Toc56640883"/>
      <w:r>
        <w:rPr>
          <w:rFonts w:hint="cs"/>
          <w:rtl/>
        </w:rPr>
        <w:t>הסוברים דע"י תקנ"ח יש ראיה דלא מחה</w:t>
      </w:r>
      <w:bookmarkEnd w:id="4891"/>
      <w:bookmarkEnd w:id="4892"/>
      <w:bookmarkEnd w:id="4893"/>
      <w:bookmarkEnd w:id="4894"/>
      <w:bookmarkEnd w:id="4895"/>
      <w:bookmarkEnd w:id="4896"/>
      <w:bookmarkEnd w:id="4897"/>
      <w:r>
        <w:rPr>
          <w:rFonts w:hint="cs"/>
          <w:rtl/>
        </w:rPr>
        <w:t xml:space="preserve"> </w:t>
      </w:r>
    </w:p>
    <w:p w:rsidR="00E874E8" w:rsidRDefault="00E874E8" w:rsidP="00E874E8">
      <w:pPr>
        <w:pStyle w:val="1"/>
        <w:rPr>
          <w:rtl/>
        </w:rPr>
      </w:pPr>
      <w:bookmarkStart w:id="4898" w:name="_Toc56636906"/>
      <w:bookmarkStart w:id="4899" w:name="_Toc56638040"/>
      <w:bookmarkStart w:id="4900" w:name="_Toc56640884"/>
      <w:bookmarkStart w:id="4901" w:name="_Toc56544320"/>
      <w:bookmarkStart w:id="4902" w:name="_Toc56609757"/>
      <w:bookmarkStart w:id="4903" w:name="_Toc56626590"/>
      <w:bookmarkStart w:id="4904" w:name="_Toc56630058"/>
      <w:bookmarkStart w:id="4905" w:name="_Toc56372859"/>
      <w:bookmarkStart w:id="4906" w:name="_Toc56458189"/>
      <w:bookmarkStart w:id="4907" w:name="_Toc55739977"/>
      <w:bookmarkStart w:id="4908" w:name="_Toc56372869"/>
      <w:bookmarkStart w:id="4909" w:name="_Toc54076387"/>
      <w:bookmarkStart w:id="4910" w:name="_Toc55419898"/>
      <w:bookmarkStart w:id="4911" w:name="_Toc55419954"/>
      <w:bookmarkStart w:id="4912" w:name="_Toc55421164"/>
      <w:bookmarkStart w:id="4913" w:name="_Toc55508542"/>
      <w:bookmarkStart w:id="4914" w:name="_Toc55569190"/>
      <w:bookmarkStart w:id="4915" w:name="_Toc55718301"/>
      <w:bookmarkStart w:id="4916" w:name="_Toc55739965"/>
      <w:bookmarkStart w:id="4917" w:name="_Toc56372850"/>
      <w:bookmarkStart w:id="4918" w:name="_Toc55419891"/>
      <w:bookmarkStart w:id="4919" w:name="_Toc55419947"/>
      <w:bookmarkStart w:id="4920" w:name="_Toc55421155"/>
      <w:bookmarkStart w:id="4921" w:name="_Toc55508533"/>
      <w:bookmarkStart w:id="4922" w:name="_Toc55569181"/>
      <w:bookmarkStart w:id="4923" w:name="_Toc55718292"/>
      <w:bookmarkStart w:id="4924" w:name="_Toc55739957"/>
      <w:bookmarkStart w:id="4925" w:name="_Toc55718276"/>
      <w:r>
        <w:rPr>
          <w:rFonts w:hint="cs"/>
          <w:rtl/>
        </w:rPr>
        <w:t>דברי הר"ן על הרי"ף דא"א לומר דאינו נזהר כיון שעבר זמן</w:t>
      </w:r>
      <w:bookmarkEnd w:id="4898"/>
      <w:bookmarkEnd w:id="4899"/>
      <w:bookmarkEnd w:id="4900"/>
    </w:p>
    <w:p w:rsidR="00E874E8" w:rsidRDefault="00E874E8" w:rsidP="00E874E8">
      <w:pPr>
        <w:pStyle w:val="a3"/>
      </w:pPr>
      <w:bookmarkStart w:id="4926" w:name="_Toc56636907"/>
      <w:bookmarkStart w:id="4927" w:name="_Toc56638041"/>
      <w:bookmarkStart w:id="4928" w:name="_Toc56640885"/>
      <w:r>
        <w:rPr>
          <w:rFonts w:hint="cs"/>
          <w:rtl/>
        </w:rPr>
        <w:t>דברי הר"ן על הרי"ף דאינו נזהר בשטר אינו כיון שעבר זמן אלא כיון שאכל ג"ש בלא מחאה</w:t>
      </w:r>
      <w:bookmarkEnd w:id="4901"/>
      <w:bookmarkEnd w:id="4902"/>
      <w:bookmarkEnd w:id="4903"/>
      <w:bookmarkEnd w:id="4904"/>
      <w:bookmarkEnd w:id="4926"/>
      <w:bookmarkEnd w:id="4927"/>
      <w:bookmarkEnd w:id="4928"/>
    </w:p>
    <w:p w:rsidR="00E874E8" w:rsidRPr="000853E6" w:rsidRDefault="00E874E8" w:rsidP="007E4E81">
      <w:pPr>
        <w:pStyle w:val="a0"/>
        <w:rPr>
          <w:rtl/>
        </w:rPr>
      </w:pPr>
      <w:bookmarkStart w:id="4929" w:name="_Ref55725350"/>
      <w:r>
        <w:rPr>
          <w:rFonts w:hint="cs"/>
          <w:rtl/>
        </w:rPr>
        <w:t xml:space="preserve">כתב </w:t>
      </w:r>
      <w:r w:rsidRPr="009C3185">
        <w:rPr>
          <w:rStyle w:val="af9"/>
          <w:rFonts w:hint="cs"/>
          <w:rtl/>
        </w:rPr>
        <w:t>הר"ן על הרי"ף [הנדמ"ח]</w:t>
      </w:r>
      <w:r>
        <w:rPr>
          <w:rFonts w:hint="cs"/>
          <w:rtl/>
        </w:rPr>
        <w:t xml:space="preserve"> </w:t>
      </w:r>
      <w:r w:rsidRPr="009C3185">
        <w:rPr>
          <w:rStyle w:val="af7"/>
          <w:rFonts w:eastAsia="Guttman Hodes" w:hint="cs"/>
          <w:rtl/>
        </w:rPr>
        <w:t xml:space="preserve">(ד"ה שתא, נד' בסוף חי' הר"ן מהדו' </w:t>
      </w:r>
      <w:r w:rsidRPr="00876C34">
        <w:rPr>
          <w:rStyle w:val="af7"/>
          <w:rFonts w:eastAsia="Guttman Hodes" w:hint="cs"/>
          <w:rtl/>
        </w:rPr>
        <w:t>פרדס</w:t>
      </w:r>
      <w:r w:rsidR="00CA3FDF">
        <w:rPr>
          <w:rStyle w:val="af1"/>
          <w:rtl/>
        </w:rPr>
        <w:footnoteReference w:id="24"/>
      </w:r>
      <w:r>
        <w:rPr>
          <w:rStyle w:val="af7"/>
          <w:rFonts w:eastAsia="Guttman Hodes" w:hint="cs"/>
          <w:rtl/>
        </w:rPr>
        <w:t>, ובקובץ מפרשים עוז והדר)</w:t>
      </w:r>
      <w:r w:rsidRPr="009C3185">
        <w:rPr>
          <w:rStyle w:val="af7"/>
          <w:rFonts w:eastAsia="Guttman Hodes" w:hint="cs"/>
          <w:rtl/>
        </w:rPr>
        <w:t xml:space="preserve"> </w:t>
      </w:r>
      <w:r>
        <w:rPr>
          <w:rFonts w:hint="cs"/>
          <w:rtl/>
        </w:rPr>
        <w:t xml:space="preserve">דהא דאין אדם נזהר בשטרו לאחר ג"ש, אינו רק מחמת שעבר זמן רב, דא"כ אמאי אמרינן בגמ' לקמן </w:t>
      </w:r>
      <w:r w:rsidRPr="009C3185">
        <w:rPr>
          <w:rStyle w:val="af7"/>
          <w:rFonts w:eastAsia="Guttman Hodes" w:hint="cs"/>
          <w:rtl/>
        </w:rPr>
        <w:t xml:space="preserve">(לו:) </w:t>
      </w:r>
      <w:r>
        <w:rPr>
          <w:rFonts w:hint="cs"/>
          <w:rtl/>
        </w:rPr>
        <w:t xml:space="preserve">דניר לא הוי חזקה, הא עברו ג"ש מתחילת החזקה, אלא דכיון שהלוקח אכל פירות בשופי ג"ש, הוא בטוח שלא יערערו עליו, ולכן אינו נזהר בשטרו. </w:t>
      </w:r>
      <w:r w:rsidRPr="008E4944">
        <w:rPr>
          <w:rStyle w:val="afb"/>
          <w:rFonts w:hint="cs"/>
          <w:rtl/>
        </w:rPr>
        <w:t xml:space="preserve">[ועי' בדברי </w:t>
      </w:r>
      <w:r w:rsidRPr="008E4944">
        <w:rPr>
          <w:rStyle w:val="affa"/>
          <w:rFonts w:hint="cs"/>
          <w:rtl/>
        </w:rPr>
        <w:t>הרמב"ן לקמן</w:t>
      </w:r>
      <w:r w:rsidRPr="000853E6">
        <w:rPr>
          <w:rFonts w:hint="cs"/>
          <w:rtl/>
        </w:rPr>
        <w:t xml:space="preserve"> </w:t>
      </w:r>
      <w:r w:rsidRPr="008E4944">
        <w:rPr>
          <w:rStyle w:val="aff6"/>
          <w:rFonts w:hint="cs"/>
          <w:rtl/>
        </w:rPr>
        <w:t xml:space="preserve">(עי' אות </w:t>
      </w:r>
      <w:r w:rsidRPr="008E4944">
        <w:rPr>
          <w:rStyle w:val="aff6"/>
          <w:rtl/>
        </w:rPr>
        <w:fldChar w:fldCharType="begin"/>
      </w:r>
      <w:r w:rsidRPr="008E4944">
        <w:rPr>
          <w:rStyle w:val="aff6"/>
          <w:rtl/>
        </w:rPr>
        <w:instrText xml:space="preserve"> </w:instrText>
      </w:r>
      <w:r w:rsidRPr="008E4944">
        <w:rPr>
          <w:rStyle w:val="aff6"/>
          <w:rFonts w:hint="cs"/>
        </w:rPr>
        <w:instrText>REF</w:instrText>
      </w:r>
      <w:r w:rsidRPr="008E4944">
        <w:rPr>
          <w:rStyle w:val="aff6"/>
          <w:rFonts w:hint="cs"/>
          <w:rtl/>
        </w:rPr>
        <w:instrText xml:space="preserve"> _</w:instrText>
      </w:r>
      <w:r w:rsidRPr="008E4944">
        <w:rPr>
          <w:rStyle w:val="aff6"/>
          <w:rFonts w:hint="cs"/>
        </w:rPr>
        <w:instrText>Ref56505619 \r \h</w:instrText>
      </w:r>
      <w:r w:rsidRPr="008E4944">
        <w:rPr>
          <w:rStyle w:val="aff6"/>
          <w:rtl/>
        </w:rPr>
        <w:instrText xml:space="preserve"> </w:instrText>
      </w:r>
      <w:r w:rsidRPr="008E4944">
        <w:rPr>
          <w:rStyle w:val="aff6"/>
          <w:rtl/>
        </w:rPr>
      </w:r>
      <w:r w:rsidRPr="008E4944">
        <w:rPr>
          <w:rStyle w:val="aff6"/>
          <w:rtl/>
        </w:rPr>
        <w:fldChar w:fldCharType="separate"/>
      </w:r>
      <w:r w:rsidR="00265073">
        <w:rPr>
          <w:rStyle w:val="aff6"/>
          <w:cs/>
        </w:rPr>
        <w:t>‎</w:t>
      </w:r>
      <w:r w:rsidR="00265073">
        <w:rPr>
          <w:rStyle w:val="aff6"/>
          <w:rtl/>
        </w:rPr>
        <w:t>סז)</w:t>
      </w:r>
      <w:r w:rsidRPr="008E4944">
        <w:rPr>
          <w:rStyle w:val="aff6"/>
          <w:rtl/>
        </w:rPr>
        <w:fldChar w:fldCharType="end"/>
      </w:r>
      <w:r>
        <w:rPr>
          <w:rFonts w:hint="cs"/>
          <w:rtl/>
        </w:rPr>
        <w:t xml:space="preserve"> </w:t>
      </w:r>
      <w:r w:rsidRPr="008E4944">
        <w:rPr>
          <w:rStyle w:val="affa"/>
          <w:rFonts w:hint="cs"/>
          <w:rtl/>
        </w:rPr>
        <w:t>והרשב"א</w:t>
      </w:r>
      <w:r>
        <w:rPr>
          <w:rFonts w:hint="cs"/>
          <w:rtl/>
        </w:rPr>
        <w:t xml:space="preserve"> </w:t>
      </w:r>
      <w:r w:rsidRPr="008E4944">
        <w:rPr>
          <w:rStyle w:val="aff6"/>
          <w:rFonts w:hint="cs"/>
          <w:rtl/>
        </w:rPr>
        <w:t>(ד"ה אלא, הובא בסימן ה' אות מ"ו)</w:t>
      </w:r>
      <w:r w:rsidRPr="008E4944">
        <w:rPr>
          <w:rStyle w:val="afb"/>
          <w:rFonts w:hint="cs"/>
          <w:rtl/>
        </w:rPr>
        <w:t xml:space="preserve">, ובמ"ש </w:t>
      </w:r>
      <w:r w:rsidRPr="008E4944">
        <w:rPr>
          <w:rStyle w:val="affa"/>
          <w:rFonts w:hint="cs"/>
          <w:rtl/>
        </w:rPr>
        <w:t>התורת חיים</w:t>
      </w:r>
      <w:r>
        <w:rPr>
          <w:rFonts w:hint="cs"/>
          <w:rtl/>
        </w:rPr>
        <w:t xml:space="preserve"> </w:t>
      </w:r>
      <w:r w:rsidRPr="008E4944">
        <w:rPr>
          <w:rStyle w:val="aff6"/>
          <w:rFonts w:hint="cs"/>
          <w:rtl/>
        </w:rPr>
        <w:t>(ד"ה תרתי, הובא בסימן ה' אות כ"ח)</w:t>
      </w:r>
      <w:r w:rsidRPr="008E4944">
        <w:rPr>
          <w:rStyle w:val="afb"/>
          <w:rFonts w:hint="cs"/>
          <w:rtl/>
        </w:rPr>
        <w:t>].</w:t>
      </w:r>
      <w:bookmarkEnd w:id="4929"/>
    </w:p>
    <w:p w:rsidR="00E874E8" w:rsidRDefault="00E874E8" w:rsidP="00E874E8">
      <w:pPr>
        <w:pStyle w:val="1"/>
        <w:rPr>
          <w:rtl/>
        </w:rPr>
      </w:pPr>
      <w:bookmarkStart w:id="4930" w:name="_Toc56372878"/>
      <w:bookmarkStart w:id="4931" w:name="_Toc56458193"/>
      <w:bookmarkStart w:id="4932" w:name="_Toc56544319"/>
      <w:bookmarkStart w:id="4933" w:name="_Toc56609756"/>
      <w:bookmarkStart w:id="4934" w:name="_Toc56626589"/>
      <w:bookmarkStart w:id="4935" w:name="_Toc56630057"/>
      <w:bookmarkStart w:id="4936" w:name="_Toc56636908"/>
      <w:bookmarkStart w:id="4937" w:name="_Toc56638042"/>
      <w:bookmarkStart w:id="4938" w:name="_Toc56640886"/>
      <w:bookmarkStart w:id="4939" w:name="_Toc56544321"/>
      <w:bookmarkStart w:id="4940" w:name="_Toc56609758"/>
      <w:bookmarkStart w:id="4941" w:name="_Toc56626591"/>
      <w:bookmarkStart w:id="4942" w:name="_Toc56630059"/>
      <w:r>
        <w:rPr>
          <w:rFonts w:hint="cs"/>
          <w:rtl/>
        </w:rPr>
        <w:t>דברי רבינו יונה</w:t>
      </w:r>
      <w:bookmarkEnd w:id="4930"/>
      <w:bookmarkEnd w:id="4931"/>
      <w:bookmarkEnd w:id="4932"/>
      <w:bookmarkEnd w:id="4933"/>
      <w:bookmarkEnd w:id="4934"/>
      <w:bookmarkEnd w:id="4935"/>
      <w:r>
        <w:rPr>
          <w:rFonts w:hint="cs"/>
          <w:rtl/>
        </w:rPr>
        <w:t xml:space="preserve"> דכיון שיש תקנ"ח כל שלא מחה יש ראיה שמכר</w:t>
      </w:r>
      <w:bookmarkEnd w:id="4936"/>
      <w:bookmarkEnd w:id="4937"/>
      <w:bookmarkEnd w:id="4938"/>
    </w:p>
    <w:p w:rsidR="00E874E8" w:rsidRDefault="00E874E8" w:rsidP="00E874E8">
      <w:pPr>
        <w:pStyle w:val="a3"/>
        <w:rPr>
          <w:rtl/>
        </w:rPr>
      </w:pPr>
      <w:bookmarkStart w:id="4943" w:name="_Toc56636909"/>
      <w:bookmarkStart w:id="4944" w:name="_Toc56638043"/>
      <w:bookmarkStart w:id="4945" w:name="_Toc56640887"/>
      <w:r>
        <w:rPr>
          <w:rFonts w:hint="cs"/>
          <w:rtl/>
        </w:rPr>
        <w:t>דברי רב"י והר"ן דהחזקה היא דכיון שלא נזהר בשטר תיקנו שימחה ומדלא מחה מוכח דמכר</w:t>
      </w:r>
      <w:bookmarkEnd w:id="4939"/>
      <w:bookmarkEnd w:id="4940"/>
      <w:bookmarkEnd w:id="4941"/>
      <w:bookmarkEnd w:id="4942"/>
      <w:bookmarkEnd w:id="4943"/>
      <w:bookmarkEnd w:id="4944"/>
      <w:bookmarkEnd w:id="4945"/>
    </w:p>
    <w:p w:rsidR="00E874E8" w:rsidRDefault="00E874E8" w:rsidP="007E4E81">
      <w:pPr>
        <w:pStyle w:val="a0"/>
        <w:rPr>
          <w:rtl/>
        </w:rPr>
      </w:pPr>
      <w:bookmarkStart w:id="4946" w:name="_Ref56612654"/>
      <w:bookmarkStart w:id="4947" w:name="_Ref56454838"/>
      <w:r>
        <w:rPr>
          <w:rFonts w:hint="cs"/>
          <w:rtl/>
        </w:rPr>
        <w:t xml:space="preserve">וכתב </w:t>
      </w:r>
      <w:r w:rsidRPr="008658DC">
        <w:rPr>
          <w:rStyle w:val="af9"/>
          <w:rFonts w:hint="cs"/>
          <w:rtl/>
        </w:rPr>
        <w:t>רבינו יונה</w:t>
      </w:r>
      <w:r>
        <w:rPr>
          <w:rFonts w:hint="cs"/>
          <w:rtl/>
        </w:rPr>
        <w:t xml:space="preserve"> </w:t>
      </w:r>
      <w:r w:rsidRPr="0080421E">
        <w:rPr>
          <w:rStyle w:val="af7"/>
          <w:rFonts w:eastAsia="Guttman Hodes" w:hint="cs"/>
          <w:rtl/>
        </w:rPr>
        <w:t>(ד"ה אלא)</w:t>
      </w:r>
      <w:r w:rsidRPr="0080421E">
        <w:rPr>
          <w:rFonts w:hint="cs"/>
          <w:rtl/>
        </w:rPr>
        <w:t xml:space="preserve"> דטעמא דחזקת ג"ש הוא דכיון שלאחר ג"ש אין הלוקח נזהר בשטרו, לכן תיקנו חכמים שימחה המערער, ומדלא מיחה מוכח שמכר לו</w:t>
      </w:r>
      <w:r>
        <w:rPr>
          <w:rFonts w:hint="cs"/>
          <w:rtl/>
        </w:rPr>
        <w:t>,</w:t>
      </w:r>
      <w:bookmarkStart w:id="4948" w:name="_Ref56503587"/>
      <w:r w:rsidRPr="00EC7F1C">
        <w:rPr>
          <w:rFonts w:hint="cs"/>
          <w:rtl/>
        </w:rPr>
        <w:t xml:space="preserve"> </w:t>
      </w:r>
      <w:r>
        <w:rPr>
          <w:rFonts w:hint="cs"/>
          <w:rtl/>
        </w:rPr>
        <w:t xml:space="preserve">וכן ביאר </w:t>
      </w:r>
      <w:r w:rsidRPr="009C3185">
        <w:rPr>
          <w:rStyle w:val="af9"/>
          <w:rFonts w:hint="cs"/>
          <w:rtl/>
        </w:rPr>
        <w:t>הר"ן על הרי"ף [הנדמ"ח]</w:t>
      </w:r>
      <w:r>
        <w:rPr>
          <w:rFonts w:hint="cs"/>
          <w:rtl/>
        </w:rPr>
        <w:t xml:space="preserve"> </w:t>
      </w:r>
      <w:r w:rsidRPr="009C3185">
        <w:rPr>
          <w:rStyle w:val="af7"/>
          <w:rFonts w:eastAsia="Guttman Hodes" w:hint="cs"/>
          <w:rtl/>
        </w:rPr>
        <w:t xml:space="preserve">ד"ה שתא, נד' בסוף חי' הר"ן מהדו' </w:t>
      </w:r>
      <w:r w:rsidRPr="00876C34">
        <w:rPr>
          <w:rStyle w:val="af7"/>
          <w:rFonts w:eastAsia="Guttman Hodes" w:hint="cs"/>
          <w:rtl/>
        </w:rPr>
        <w:t>פרדס</w:t>
      </w:r>
      <w:r>
        <w:rPr>
          <w:rStyle w:val="af7"/>
          <w:rFonts w:eastAsia="Guttman Hodes" w:hint="cs"/>
          <w:rtl/>
        </w:rPr>
        <w:t>, ובקובץ מפרשים עוז והדר)</w:t>
      </w:r>
      <w:r>
        <w:rPr>
          <w:rFonts w:hint="cs"/>
          <w:rtl/>
        </w:rPr>
        <w:t xml:space="preserve"> דכיון שאינו נזהר בשטר, הטילו חכמים על המרא קמא למחות, כדי שיזהר המחזיק בשטרו, וכל שלא מחה הפסיד המערער והוי חזקה, ועי' במה שביאר </w:t>
      </w:r>
      <w:r w:rsidRPr="00600D1E">
        <w:rPr>
          <w:rStyle w:val="af9"/>
          <w:rFonts w:hint="cs"/>
          <w:rtl/>
        </w:rPr>
        <w:t>בחי' רבי נחום</w:t>
      </w:r>
      <w:r>
        <w:rPr>
          <w:rFonts w:hint="cs"/>
          <w:rtl/>
        </w:rPr>
        <w:t xml:space="preserve"> </w:t>
      </w:r>
      <w:r w:rsidRPr="00600D1E">
        <w:rPr>
          <w:rStyle w:val="af7"/>
          <w:rFonts w:eastAsia="Guttman Hodes" w:hint="cs"/>
          <w:rtl/>
        </w:rPr>
        <w:t xml:space="preserve">(עי' אות </w:t>
      </w:r>
      <w:r w:rsidRPr="00600D1E">
        <w:rPr>
          <w:rStyle w:val="af7"/>
          <w:rFonts w:eastAsia="Guttman Hodes"/>
          <w:rtl/>
        </w:rPr>
        <w:fldChar w:fldCharType="begin"/>
      </w:r>
      <w:r w:rsidRPr="00600D1E">
        <w:rPr>
          <w:rStyle w:val="af7"/>
          <w:rFonts w:eastAsia="Guttman Hodes"/>
          <w:rtl/>
        </w:rPr>
        <w:instrText xml:space="preserve"> </w:instrText>
      </w:r>
      <w:r w:rsidRPr="00600D1E">
        <w:rPr>
          <w:rStyle w:val="af7"/>
          <w:rFonts w:eastAsia="Guttman Hodes" w:hint="cs"/>
        </w:rPr>
        <w:instrText>REF</w:instrText>
      </w:r>
      <w:r w:rsidRPr="00600D1E">
        <w:rPr>
          <w:rStyle w:val="af7"/>
          <w:rFonts w:eastAsia="Guttman Hodes" w:hint="cs"/>
          <w:rtl/>
        </w:rPr>
        <w:instrText xml:space="preserve"> _</w:instrText>
      </w:r>
      <w:r w:rsidRPr="00600D1E">
        <w:rPr>
          <w:rStyle w:val="af7"/>
          <w:rFonts w:eastAsia="Guttman Hodes" w:hint="cs"/>
        </w:rPr>
        <w:instrText>Ref56613276 \r \h</w:instrText>
      </w:r>
      <w:r w:rsidRPr="00600D1E">
        <w:rPr>
          <w:rStyle w:val="af7"/>
          <w:rFonts w:eastAsia="Guttman Hodes"/>
          <w:rtl/>
        </w:rPr>
        <w:instrText xml:space="preserve"> </w:instrText>
      </w:r>
      <w:r w:rsidRPr="00600D1E">
        <w:rPr>
          <w:rStyle w:val="af7"/>
          <w:rFonts w:eastAsia="Guttman Hodes"/>
          <w:rtl/>
        </w:rPr>
      </w:r>
      <w:r w:rsidRPr="00600D1E">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600D1E">
        <w:rPr>
          <w:rStyle w:val="af7"/>
          <w:rFonts w:eastAsia="Guttman Hodes"/>
          <w:rtl/>
        </w:rPr>
        <w:fldChar w:fldCharType="end"/>
      </w:r>
      <w:r>
        <w:rPr>
          <w:rFonts w:hint="cs"/>
          <w:rtl/>
        </w:rPr>
        <w:t xml:space="preserve"> בדברי </w:t>
      </w:r>
      <w:r w:rsidRPr="00600D1E">
        <w:rPr>
          <w:rStyle w:val="af9"/>
          <w:rFonts w:hint="cs"/>
          <w:rtl/>
        </w:rPr>
        <w:t>רבינו יונה</w:t>
      </w:r>
      <w:r>
        <w:rPr>
          <w:rFonts w:hint="cs"/>
          <w:rtl/>
        </w:rPr>
        <w:t>.</w:t>
      </w:r>
      <w:bookmarkEnd w:id="4946"/>
      <w:bookmarkEnd w:id="4948"/>
    </w:p>
    <w:p w:rsidR="00105E7C" w:rsidRPr="00105E7C" w:rsidRDefault="00105E7C" w:rsidP="00105E7C">
      <w:pPr>
        <w:pStyle w:val="a3"/>
        <w:rPr>
          <w:rtl/>
        </w:rPr>
      </w:pPr>
    </w:p>
    <w:p w:rsidR="00105E7C" w:rsidRPr="00105E7C" w:rsidRDefault="00105E7C" w:rsidP="00105E7C">
      <w:pPr>
        <w:pStyle w:val="a3"/>
        <w:rPr>
          <w:rtl/>
        </w:rPr>
      </w:pPr>
    </w:p>
    <w:p w:rsidR="00105E7C" w:rsidRPr="00105E7C" w:rsidRDefault="00105E7C" w:rsidP="00105E7C">
      <w:pPr>
        <w:pStyle w:val="a3"/>
        <w:rPr>
          <w:rtl/>
        </w:rPr>
      </w:pPr>
    </w:p>
    <w:p w:rsidR="00E874E8" w:rsidRPr="00353F64" w:rsidRDefault="00E874E8" w:rsidP="00E874E8">
      <w:pPr>
        <w:pStyle w:val="a3"/>
      </w:pPr>
      <w:bookmarkStart w:id="4949" w:name="_Toc56544322"/>
      <w:bookmarkStart w:id="4950" w:name="_Toc56609759"/>
      <w:bookmarkStart w:id="4951" w:name="_Toc56626592"/>
      <w:bookmarkStart w:id="4952" w:name="_Toc56630060"/>
      <w:bookmarkStart w:id="4953" w:name="_Toc56636910"/>
      <w:bookmarkStart w:id="4954" w:name="_Toc56638044"/>
      <w:bookmarkStart w:id="4955" w:name="_Toc56640888"/>
      <w:r>
        <w:rPr>
          <w:rFonts w:hint="cs"/>
          <w:rtl/>
        </w:rPr>
        <w:t>דברי רב"י והר"ן דמוכח דהראיה מדלא מיחה דאל"ה היאך יצאה הקרקע מהמר"ק בלא שטר</w:t>
      </w:r>
      <w:bookmarkEnd w:id="4949"/>
      <w:bookmarkEnd w:id="4950"/>
      <w:bookmarkEnd w:id="4951"/>
      <w:bookmarkEnd w:id="4952"/>
      <w:bookmarkEnd w:id="4953"/>
      <w:bookmarkEnd w:id="4954"/>
      <w:bookmarkEnd w:id="4955"/>
    </w:p>
    <w:p w:rsidR="00E874E8" w:rsidRDefault="00E874E8" w:rsidP="007E4E81">
      <w:pPr>
        <w:pStyle w:val="a0"/>
        <w:rPr>
          <w:sz w:val="10"/>
          <w:szCs w:val="14"/>
          <w:rtl/>
        </w:rPr>
      </w:pPr>
      <w:bookmarkStart w:id="4956" w:name="_Ref56502436"/>
      <w:r>
        <w:rPr>
          <w:rFonts w:hint="cs"/>
          <w:rtl/>
        </w:rPr>
        <w:t>והוסיפו</w:t>
      </w:r>
      <w:r w:rsidRPr="0080421E">
        <w:rPr>
          <w:rFonts w:hint="cs"/>
          <w:rtl/>
        </w:rPr>
        <w:t xml:space="preserve"> </w:t>
      </w:r>
      <w:r w:rsidRPr="002B1B3D">
        <w:rPr>
          <w:rStyle w:val="af9"/>
          <w:rFonts w:hint="cs"/>
          <w:rtl/>
        </w:rPr>
        <w:t>רבינו יונה</w:t>
      </w:r>
      <w:r w:rsidRPr="0080421E">
        <w:rPr>
          <w:rFonts w:hint="cs"/>
          <w:rtl/>
        </w:rPr>
        <w:t xml:space="preserve"> </w:t>
      </w:r>
      <w:r>
        <w:rPr>
          <w:rStyle w:val="af9"/>
          <w:rFonts w:hint="cs"/>
          <w:rtl/>
        </w:rPr>
        <w:t>ו</w:t>
      </w:r>
      <w:r w:rsidRPr="009C3185">
        <w:rPr>
          <w:rStyle w:val="af9"/>
          <w:rFonts w:hint="cs"/>
          <w:rtl/>
        </w:rPr>
        <w:t>הר"ן על הרי"ף</w:t>
      </w:r>
      <w:r>
        <w:rPr>
          <w:rFonts w:hint="cs"/>
          <w:rtl/>
        </w:rPr>
        <w:t xml:space="preserve"> </w:t>
      </w:r>
      <w:r w:rsidRPr="009C3185">
        <w:rPr>
          <w:rStyle w:val="af9"/>
          <w:rFonts w:hint="cs"/>
          <w:rtl/>
        </w:rPr>
        <w:t>[הנדמ"ח]</w:t>
      </w:r>
      <w:r>
        <w:rPr>
          <w:rFonts w:hint="cs"/>
          <w:rtl/>
        </w:rPr>
        <w:t xml:space="preserve"> </w:t>
      </w:r>
      <w:r w:rsidRPr="0080421E">
        <w:rPr>
          <w:rFonts w:hint="cs"/>
          <w:rtl/>
        </w:rPr>
        <w:t xml:space="preserve">דמוכח </w:t>
      </w:r>
      <w:r>
        <w:rPr>
          <w:rFonts w:hint="cs"/>
          <w:rtl/>
        </w:rPr>
        <w:t xml:space="preserve">דטעם החזקה הוא מחמת שלא מחה המערער, </w:t>
      </w:r>
      <w:r w:rsidRPr="0080421E">
        <w:rPr>
          <w:rFonts w:hint="cs"/>
          <w:rtl/>
        </w:rPr>
        <w:t>דהא אי אין הוכחה ממה שלא מחה, א"כ מה מהני למחזיק הטענה שאינו</w:t>
      </w:r>
      <w:r>
        <w:rPr>
          <w:rFonts w:hint="cs"/>
          <w:rtl/>
        </w:rPr>
        <w:t xml:space="preserve"> </w:t>
      </w:r>
      <w:r w:rsidRPr="0080421E">
        <w:rPr>
          <w:rFonts w:hint="cs"/>
          <w:rtl/>
        </w:rPr>
        <w:t>צריך להזהר בשטרו, הא מ"מ היאך יצאה הקרקע מחזקת הבעלים, ואין לו כל ראיה שהיה לו שטר בתחילה</w:t>
      </w:r>
      <w:r>
        <w:rPr>
          <w:rFonts w:hint="cs"/>
          <w:rtl/>
        </w:rPr>
        <w:t xml:space="preserve">, אלא כתב </w:t>
      </w:r>
      <w:r w:rsidRPr="009C3185">
        <w:rPr>
          <w:rStyle w:val="af9"/>
          <w:rFonts w:hint="cs"/>
          <w:rtl/>
        </w:rPr>
        <w:t>הר"ן על הרי"ף</w:t>
      </w:r>
      <w:r>
        <w:rPr>
          <w:rFonts w:hint="cs"/>
          <w:rtl/>
        </w:rPr>
        <w:t xml:space="preserve"> דמוכח דטעם החזקה הוא דכיון שאדם לא נזהר בשטר לאחר שאכל ג"ש בשופי, לכן הטילו חכמים על המרא קמא למחות, וכל שלא מחה הוא מפסיד את הקרקע</w:t>
      </w:r>
      <w:bookmarkEnd w:id="4956"/>
      <w:r>
        <w:rPr>
          <w:rFonts w:hint="cs"/>
          <w:rtl/>
        </w:rPr>
        <w:t>.</w:t>
      </w:r>
    </w:p>
    <w:p w:rsidR="00E874E8" w:rsidRPr="00324992" w:rsidRDefault="00E874E8" w:rsidP="00E874E8">
      <w:pPr>
        <w:pStyle w:val="a3"/>
      </w:pPr>
      <w:bookmarkStart w:id="4957" w:name="_Toc56544323"/>
      <w:bookmarkStart w:id="4958" w:name="_Toc56609760"/>
      <w:bookmarkStart w:id="4959" w:name="_Toc56626593"/>
      <w:bookmarkStart w:id="4960" w:name="_Toc56630061"/>
      <w:bookmarkStart w:id="4961" w:name="_Toc56636911"/>
      <w:bookmarkStart w:id="4962" w:name="_Toc56638045"/>
      <w:bookmarkStart w:id="4963" w:name="_Toc56640889"/>
      <w:r>
        <w:rPr>
          <w:rFonts w:hint="cs"/>
          <w:rtl/>
        </w:rPr>
        <w:t>דברי רב"י דמהני מחאה שלא בפניו אף שלא שמע המחזיק דלא היה לו לטרוח למחות בפניו</w:t>
      </w:r>
      <w:bookmarkEnd w:id="4957"/>
      <w:bookmarkEnd w:id="4958"/>
      <w:bookmarkEnd w:id="4959"/>
      <w:bookmarkEnd w:id="4960"/>
      <w:bookmarkEnd w:id="4961"/>
      <w:bookmarkEnd w:id="4962"/>
      <w:bookmarkEnd w:id="4963"/>
    </w:p>
    <w:p w:rsidR="00E874E8" w:rsidRDefault="00E874E8" w:rsidP="007E4E81">
      <w:pPr>
        <w:pStyle w:val="a0"/>
        <w:rPr>
          <w:rtl/>
        </w:rPr>
      </w:pPr>
      <w:bookmarkStart w:id="4964" w:name="_Ref56502987"/>
      <w:r>
        <w:rPr>
          <w:rFonts w:hint="cs"/>
          <w:rtl/>
        </w:rPr>
        <w:t>ובתירוץ הגמ'</w:t>
      </w:r>
      <w:r w:rsidRPr="0080421E">
        <w:rPr>
          <w:rFonts w:hint="cs"/>
          <w:rtl/>
        </w:rPr>
        <w:t xml:space="preserve"> דמהני</w:t>
      </w:r>
      <w:r w:rsidRPr="00626254">
        <w:rPr>
          <w:rFonts w:hint="cs"/>
          <w:rtl/>
        </w:rPr>
        <w:t xml:space="preserve"> </w:t>
      </w:r>
      <w:r w:rsidRPr="0080421E">
        <w:rPr>
          <w:rFonts w:hint="cs"/>
          <w:rtl/>
        </w:rPr>
        <w:t>מחאה שלא בפניו,</w:t>
      </w:r>
      <w:r>
        <w:rPr>
          <w:rFonts w:hint="cs"/>
          <w:rtl/>
        </w:rPr>
        <w:t xml:space="preserve"> דאמרינן חברך חברא אית ליה, ביארו</w:t>
      </w:r>
      <w:r w:rsidRPr="0080421E">
        <w:rPr>
          <w:rFonts w:hint="cs"/>
          <w:rtl/>
        </w:rPr>
        <w:t xml:space="preserve"> </w:t>
      </w:r>
      <w:r w:rsidRPr="002B1B3D">
        <w:rPr>
          <w:rStyle w:val="af9"/>
          <w:rFonts w:hint="cs"/>
          <w:rtl/>
        </w:rPr>
        <w:t>רבינו יונה</w:t>
      </w:r>
      <w:r w:rsidRPr="0080421E">
        <w:rPr>
          <w:rFonts w:hint="cs"/>
          <w:rtl/>
        </w:rPr>
        <w:t xml:space="preserve"> </w:t>
      </w:r>
      <w:r>
        <w:rPr>
          <w:rStyle w:val="af9"/>
          <w:rFonts w:hint="cs"/>
          <w:rtl/>
        </w:rPr>
        <w:t>ו</w:t>
      </w:r>
      <w:r w:rsidRPr="009C3185">
        <w:rPr>
          <w:rStyle w:val="af9"/>
          <w:rFonts w:hint="cs"/>
          <w:rtl/>
        </w:rPr>
        <w:t>הר"ן על הרי"ף</w:t>
      </w:r>
      <w:r>
        <w:rPr>
          <w:rFonts w:hint="cs"/>
          <w:rtl/>
        </w:rPr>
        <w:t xml:space="preserve"> </w:t>
      </w:r>
      <w:r w:rsidRPr="009C3185">
        <w:rPr>
          <w:rStyle w:val="af9"/>
          <w:rFonts w:hint="cs"/>
          <w:rtl/>
        </w:rPr>
        <w:t>[הנדמ"ח]</w:t>
      </w:r>
      <w:r>
        <w:rPr>
          <w:rFonts w:hint="cs"/>
          <w:rtl/>
        </w:rPr>
        <w:t xml:space="preserve"> דלכן מהני המחאה, </w:t>
      </w:r>
      <w:r w:rsidRPr="0080421E">
        <w:rPr>
          <w:rFonts w:hint="cs"/>
          <w:rtl/>
        </w:rPr>
        <w:t xml:space="preserve">אף </w:t>
      </w:r>
      <w:r>
        <w:rPr>
          <w:rFonts w:hint="cs"/>
          <w:rtl/>
        </w:rPr>
        <w:t xml:space="preserve">באופן </w:t>
      </w:r>
      <w:r w:rsidRPr="0080421E">
        <w:rPr>
          <w:rFonts w:hint="cs"/>
          <w:rtl/>
        </w:rPr>
        <w:t>שידוע</w:t>
      </w:r>
      <w:r>
        <w:rPr>
          <w:rFonts w:hint="cs"/>
          <w:rtl/>
        </w:rPr>
        <w:t xml:space="preserve"> שלא שמע המחזיק, כגון</w:t>
      </w:r>
      <w:r w:rsidRPr="0080421E">
        <w:rPr>
          <w:rFonts w:hint="cs"/>
          <w:rtl/>
        </w:rPr>
        <w:t xml:space="preserve"> שעידי המחאה מודים שלא סיפרו עליה לשום </w:t>
      </w:r>
      <w:r w:rsidRPr="00ED55CF">
        <w:rPr>
          <w:rFonts w:hint="cs"/>
          <w:rtl/>
        </w:rPr>
        <w:t xml:space="preserve">אדם, </w:t>
      </w:r>
      <w:r w:rsidRPr="00E44C04">
        <w:rPr>
          <w:rStyle w:val="afb"/>
          <w:rFonts w:hint="cs"/>
          <w:rtl/>
        </w:rPr>
        <w:t xml:space="preserve">[וכ"כ </w:t>
      </w:r>
      <w:r>
        <w:rPr>
          <w:rStyle w:val="affa"/>
          <w:rFonts w:hint="cs"/>
          <w:rtl/>
        </w:rPr>
        <w:t>הרא"ש</w:t>
      </w:r>
      <w:r w:rsidRPr="00E44C04">
        <w:rPr>
          <w:rStyle w:val="afb"/>
          <w:rFonts w:hint="cs"/>
          <w:rtl/>
        </w:rPr>
        <w:t xml:space="preserve"> </w:t>
      </w:r>
      <w:r w:rsidRPr="00E44C04">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Ref56502961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יג)</w:t>
      </w:r>
      <w:r>
        <w:rPr>
          <w:rStyle w:val="aff6"/>
          <w:rtl/>
        </w:rPr>
        <w:fldChar w:fldCharType="end"/>
      </w:r>
      <w:r>
        <w:rPr>
          <w:rStyle w:val="aff6"/>
          <w:rFonts w:hint="cs"/>
          <w:rtl/>
        </w:rPr>
        <w:t xml:space="preserve"> </w:t>
      </w:r>
      <w:r w:rsidRPr="00E44C04">
        <w:rPr>
          <w:rStyle w:val="affa"/>
          <w:rFonts w:hint="cs"/>
          <w:rtl/>
        </w:rPr>
        <w:t>והרשב"ם לקמן</w:t>
      </w:r>
      <w:r w:rsidRPr="00E44C04">
        <w:rPr>
          <w:rStyle w:val="afb"/>
          <w:rFonts w:hint="cs"/>
          <w:rtl/>
        </w:rPr>
        <w:t xml:space="preserve"> </w:t>
      </w:r>
      <w:r w:rsidRPr="00E44C04">
        <w:rPr>
          <w:rStyle w:val="aff6"/>
          <w:rFonts w:hint="cs"/>
          <w:rtl/>
        </w:rPr>
        <w:t xml:space="preserve">(לט. ד"ה מחאה, הובא בסימן ד' אות ע') </w:t>
      </w:r>
      <w:r w:rsidRPr="00E44C04">
        <w:rPr>
          <w:rStyle w:val="affa"/>
          <w:rFonts w:hint="cs"/>
          <w:rtl/>
        </w:rPr>
        <w:t>והר"ן בתשו'</w:t>
      </w:r>
      <w:r w:rsidRPr="00E44C04">
        <w:rPr>
          <w:rStyle w:val="afb"/>
          <w:rFonts w:hint="cs"/>
          <w:rtl/>
        </w:rPr>
        <w:t xml:space="preserve"> </w:t>
      </w:r>
      <w:r w:rsidRPr="00E44C04">
        <w:rPr>
          <w:rStyle w:val="aff6"/>
          <w:rFonts w:hint="cs"/>
          <w:rtl/>
        </w:rPr>
        <w:t>(סי' ע"ה, הובא בסימן ד' אות ס"ו)</w:t>
      </w:r>
      <w:r w:rsidRPr="00E44C04">
        <w:rPr>
          <w:rStyle w:val="afb"/>
          <w:rFonts w:hint="cs"/>
          <w:rtl/>
        </w:rPr>
        <w:t>]</w:t>
      </w:r>
      <w:r>
        <w:rPr>
          <w:rStyle w:val="afb"/>
          <w:rFonts w:hint="cs"/>
          <w:rtl/>
        </w:rPr>
        <w:t xml:space="preserve">, </w:t>
      </w:r>
      <w:r w:rsidRPr="00ED55CF">
        <w:rPr>
          <w:rFonts w:hint="cs"/>
          <w:rtl/>
        </w:rPr>
        <w:t>וביאר</w:t>
      </w:r>
      <w:r>
        <w:rPr>
          <w:rFonts w:hint="cs"/>
          <w:rtl/>
        </w:rPr>
        <w:t>ו</w:t>
      </w:r>
      <w:r w:rsidRPr="00ED55CF">
        <w:rPr>
          <w:rFonts w:hint="cs"/>
          <w:rtl/>
        </w:rPr>
        <w:t xml:space="preserve"> </w:t>
      </w:r>
      <w:r w:rsidRPr="002B1B3D">
        <w:rPr>
          <w:rStyle w:val="af9"/>
          <w:rFonts w:hint="cs"/>
          <w:rtl/>
        </w:rPr>
        <w:t>רבינו יונה</w:t>
      </w:r>
      <w:r w:rsidRPr="0080421E">
        <w:rPr>
          <w:rFonts w:hint="cs"/>
          <w:rtl/>
        </w:rPr>
        <w:t xml:space="preserve"> </w:t>
      </w:r>
      <w:r>
        <w:rPr>
          <w:rStyle w:val="af9"/>
          <w:rFonts w:hint="cs"/>
          <w:rtl/>
        </w:rPr>
        <w:t>ו</w:t>
      </w:r>
      <w:r w:rsidRPr="009C3185">
        <w:rPr>
          <w:rStyle w:val="af9"/>
          <w:rFonts w:hint="cs"/>
          <w:rtl/>
        </w:rPr>
        <w:t>הר"ן על הרי"ף</w:t>
      </w:r>
      <w:r>
        <w:rPr>
          <w:rFonts w:hint="cs"/>
          <w:rtl/>
        </w:rPr>
        <w:t xml:space="preserve"> </w:t>
      </w:r>
      <w:r w:rsidRPr="00ED55CF">
        <w:rPr>
          <w:rFonts w:hint="cs"/>
          <w:rtl/>
        </w:rPr>
        <w:t>דהמחאה מהני כיון דטוען המערער שהוא לא היה צריך לטרוח ולמחות בפני המחזיק, דסמך על סברת חברך חברא אית ליה, דהדרך של בנ"א לספר את המחאה, וממילא אין חזקת המחזיק חזקה</w:t>
      </w:r>
      <w:r>
        <w:rPr>
          <w:rFonts w:hint="cs"/>
          <w:rtl/>
        </w:rPr>
        <w:t xml:space="preserve">, ועי' במה שביאר </w:t>
      </w:r>
      <w:r w:rsidRPr="0080421E">
        <w:rPr>
          <w:rStyle w:val="af9"/>
          <w:rFonts w:hint="cs"/>
          <w:rtl/>
        </w:rPr>
        <w:t>הנימוק"י</w:t>
      </w:r>
      <w:r w:rsidRPr="00312BE8">
        <w:rPr>
          <w:rStyle w:val="af7"/>
          <w:rFonts w:eastAsia="Guttman Hodes" w:hint="cs"/>
          <w:rtl/>
        </w:rPr>
        <w:t xml:space="preserve"> (עי' אות </w:t>
      </w:r>
      <w:r w:rsidRPr="00312BE8">
        <w:rPr>
          <w:rStyle w:val="af7"/>
          <w:rFonts w:eastAsia="Guttman Hodes"/>
          <w:rtl/>
        </w:rPr>
        <w:fldChar w:fldCharType="begin"/>
      </w:r>
      <w:r w:rsidRPr="00312BE8">
        <w:rPr>
          <w:rStyle w:val="af7"/>
          <w:rFonts w:eastAsia="Guttman Hodes"/>
          <w:rtl/>
        </w:rPr>
        <w:instrText xml:space="preserve"> </w:instrText>
      </w:r>
      <w:r w:rsidRPr="00312BE8">
        <w:rPr>
          <w:rStyle w:val="af7"/>
          <w:rFonts w:eastAsia="Guttman Hodes" w:hint="cs"/>
        </w:rPr>
        <w:instrText>REF</w:instrText>
      </w:r>
      <w:r w:rsidRPr="00312BE8">
        <w:rPr>
          <w:rStyle w:val="af7"/>
          <w:rFonts w:eastAsia="Guttman Hodes" w:hint="cs"/>
          <w:rtl/>
        </w:rPr>
        <w:instrText xml:space="preserve"> _</w:instrText>
      </w:r>
      <w:r w:rsidRPr="00312BE8">
        <w:rPr>
          <w:rStyle w:val="af7"/>
          <w:rFonts w:eastAsia="Guttman Hodes" w:hint="cs"/>
        </w:rPr>
        <w:instrText>Ref55315892 \r \h</w:instrText>
      </w:r>
      <w:r w:rsidRPr="00312BE8">
        <w:rPr>
          <w:rStyle w:val="af7"/>
          <w:rFonts w:eastAsia="Guttman Hodes"/>
          <w:rtl/>
        </w:rPr>
        <w:instrText xml:space="preserve"> </w:instrText>
      </w:r>
      <w:r w:rsidRPr="00312BE8">
        <w:rPr>
          <w:rStyle w:val="af7"/>
          <w:rFonts w:eastAsia="Guttman Hodes"/>
          <w:rtl/>
        </w:rPr>
      </w:r>
      <w:r w:rsidRPr="00312BE8">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312BE8">
        <w:rPr>
          <w:rStyle w:val="af7"/>
          <w:rFonts w:eastAsia="Guttman Hodes"/>
          <w:rtl/>
        </w:rPr>
        <w:fldChar w:fldCharType="end"/>
      </w:r>
      <w:r>
        <w:rPr>
          <w:rFonts w:hint="cs"/>
          <w:rtl/>
        </w:rPr>
        <w:t xml:space="preserve"> בדברי </w:t>
      </w:r>
      <w:r w:rsidRPr="0080421E">
        <w:rPr>
          <w:rStyle w:val="af9"/>
          <w:rFonts w:hint="cs"/>
          <w:rtl/>
        </w:rPr>
        <w:t>רבינו יונה</w:t>
      </w:r>
      <w:r>
        <w:rPr>
          <w:rFonts w:hint="cs"/>
          <w:rtl/>
        </w:rPr>
        <w:t xml:space="preserve">, וע"ע במ"ש </w:t>
      </w:r>
      <w:r w:rsidRPr="00600D1E">
        <w:rPr>
          <w:rStyle w:val="af9"/>
          <w:rFonts w:hint="cs"/>
          <w:rtl/>
        </w:rPr>
        <w:t>בחי' רבי נחום</w:t>
      </w:r>
      <w:r>
        <w:rPr>
          <w:rFonts w:hint="cs"/>
          <w:rtl/>
        </w:rPr>
        <w:t xml:space="preserve"> </w:t>
      </w:r>
      <w:r w:rsidRPr="00600D1E">
        <w:rPr>
          <w:rStyle w:val="af7"/>
          <w:rFonts w:eastAsia="Guttman Hodes" w:hint="cs"/>
          <w:rtl/>
        </w:rPr>
        <w:t xml:space="preserve">(עי' אות </w:t>
      </w:r>
      <w:r w:rsidRPr="00600D1E">
        <w:rPr>
          <w:rStyle w:val="af7"/>
          <w:rFonts w:eastAsia="Guttman Hodes"/>
          <w:rtl/>
        </w:rPr>
        <w:fldChar w:fldCharType="begin"/>
      </w:r>
      <w:r w:rsidRPr="00600D1E">
        <w:rPr>
          <w:rStyle w:val="af7"/>
          <w:rFonts w:eastAsia="Guttman Hodes"/>
          <w:rtl/>
        </w:rPr>
        <w:instrText xml:space="preserve"> </w:instrText>
      </w:r>
      <w:r w:rsidRPr="00600D1E">
        <w:rPr>
          <w:rStyle w:val="af7"/>
          <w:rFonts w:eastAsia="Guttman Hodes" w:hint="cs"/>
        </w:rPr>
        <w:instrText>REF</w:instrText>
      </w:r>
      <w:r w:rsidRPr="00600D1E">
        <w:rPr>
          <w:rStyle w:val="af7"/>
          <w:rFonts w:eastAsia="Guttman Hodes" w:hint="cs"/>
          <w:rtl/>
        </w:rPr>
        <w:instrText xml:space="preserve"> _</w:instrText>
      </w:r>
      <w:r w:rsidRPr="00600D1E">
        <w:rPr>
          <w:rStyle w:val="af7"/>
          <w:rFonts w:eastAsia="Guttman Hodes" w:hint="cs"/>
        </w:rPr>
        <w:instrText>Ref56613234 \r \h</w:instrText>
      </w:r>
      <w:r w:rsidRPr="00600D1E">
        <w:rPr>
          <w:rStyle w:val="af7"/>
          <w:rFonts w:eastAsia="Guttman Hodes"/>
          <w:rtl/>
        </w:rPr>
        <w:instrText xml:space="preserve"> </w:instrText>
      </w:r>
      <w:r w:rsidRPr="00600D1E">
        <w:rPr>
          <w:rStyle w:val="af7"/>
          <w:rFonts w:eastAsia="Guttman Hodes"/>
          <w:rtl/>
        </w:rPr>
      </w:r>
      <w:r w:rsidRPr="00600D1E">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600D1E">
        <w:rPr>
          <w:rStyle w:val="af7"/>
          <w:rFonts w:eastAsia="Guttman Hodes"/>
          <w:rtl/>
        </w:rPr>
        <w:fldChar w:fldCharType="end"/>
      </w:r>
      <w:r>
        <w:rPr>
          <w:rFonts w:hint="cs"/>
          <w:rtl/>
        </w:rPr>
        <w:t>.</w:t>
      </w:r>
      <w:bookmarkEnd w:id="4947"/>
      <w:bookmarkEnd w:id="4964"/>
    </w:p>
    <w:p w:rsidR="00E874E8" w:rsidRDefault="00E874E8" w:rsidP="00E874E8">
      <w:pPr>
        <w:pStyle w:val="a3"/>
        <w:rPr>
          <w:rtl/>
        </w:rPr>
      </w:pPr>
      <w:bookmarkStart w:id="4965" w:name="_Toc56544324"/>
      <w:bookmarkStart w:id="4966" w:name="_Toc56609761"/>
      <w:bookmarkStart w:id="4967" w:name="_Toc56626594"/>
      <w:bookmarkStart w:id="4968" w:name="_Toc56630062"/>
      <w:bookmarkStart w:id="4969" w:name="_Toc56636912"/>
      <w:bookmarkStart w:id="4970" w:name="_Toc56638046"/>
      <w:bookmarkStart w:id="4971" w:name="_Toc56640890"/>
      <w:r>
        <w:rPr>
          <w:rFonts w:hint="cs"/>
          <w:rtl/>
        </w:rPr>
        <w:t>דברי רב"י והר"ן דבמקום שאין דרך למחות לא מהני החזקה דכל החזקה היא מדלא מחה</w:t>
      </w:r>
      <w:bookmarkEnd w:id="4965"/>
      <w:bookmarkEnd w:id="4966"/>
      <w:bookmarkEnd w:id="4967"/>
      <w:bookmarkEnd w:id="4968"/>
      <w:bookmarkEnd w:id="4969"/>
      <w:bookmarkEnd w:id="4970"/>
      <w:bookmarkEnd w:id="4971"/>
    </w:p>
    <w:p w:rsidR="00E874E8" w:rsidRDefault="00E874E8" w:rsidP="007E4E81">
      <w:pPr>
        <w:pStyle w:val="a0"/>
        <w:rPr>
          <w:rtl/>
        </w:rPr>
      </w:pPr>
      <w:r>
        <w:rPr>
          <w:rFonts w:hint="cs"/>
          <w:rtl/>
        </w:rPr>
        <w:t>והוסיפו</w:t>
      </w:r>
      <w:r w:rsidRPr="0080421E">
        <w:rPr>
          <w:rFonts w:hint="cs"/>
          <w:rtl/>
        </w:rPr>
        <w:t xml:space="preserve"> </w:t>
      </w:r>
      <w:r w:rsidRPr="002B1B3D">
        <w:rPr>
          <w:rStyle w:val="af9"/>
          <w:rFonts w:hint="cs"/>
          <w:rtl/>
        </w:rPr>
        <w:t>רבינו יונה</w:t>
      </w:r>
      <w:r w:rsidRPr="0080421E">
        <w:rPr>
          <w:rFonts w:hint="cs"/>
          <w:rtl/>
        </w:rPr>
        <w:t xml:space="preserve"> </w:t>
      </w:r>
      <w:r>
        <w:rPr>
          <w:rStyle w:val="af9"/>
          <w:rFonts w:hint="cs"/>
          <w:rtl/>
        </w:rPr>
        <w:t>ו</w:t>
      </w:r>
      <w:r w:rsidRPr="009C3185">
        <w:rPr>
          <w:rStyle w:val="af9"/>
          <w:rFonts w:hint="cs"/>
          <w:rtl/>
        </w:rPr>
        <w:t>הר"ן על הרי"ף</w:t>
      </w:r>
      <w:r>
        <w:rPr>
          <w:rFonts w:hint="cs"/>
          <w:rtl/>
        </w:rPr>
        <w:t xml:space="preserve"> </w:t>
      </w:r>
      <w:r w:rsidRPr="009C3185">
        <w:rPr>
          <w:rStyle w:val="af9"/>
          <w:rFonts w:hint="cs"/>
          <w:rtl/>
        </w:rPr>
        <w:t>[הנדמ"ח]</w:t>
      </w:r>
      <w:r>
        <w:rPr>
          <w:rFonts w:hint="cs"/>
          <w:rtl/>
        </w:rPr>
        <w:t xml:space="preserve"> דזהו הביאור בהא דאיתא בגמ' לקמן </w:t>
      </w:r>
      <w:r w:rsidRPr="001F2C4A">
        <w:rPr>
          <w:rStyle w:val="af7"/>
          <w:rFonts w:eastAsia="Guttman Hodes" w:hint="cs"/>
          <w:rtl/>
        </w:rPr>
        <w:t>(לו.)</w:t>
      </w:r>
      <w:r>
        <w:rPr>
          <w:rFonts w:hint="cs"/>
          <w:rtl/>
        </w:rPr>
        <w:t xml:space="preserve"> דהני דבי ריש גלותא אין להם חזקה, וא"א להחזיק בקרקע שלהם, כיון שאחרים יראים למחות בהם, וכן אין דרכם למחות, והיינו כיון דכ"מ דמהני החזקה הוא רק במקום שהיה על המרא קמא למחות ולא מחה.</w:t>
      </w:r>
    </w:p>
    <w:p w:rsidR="00E874E8" w:rsidRPr="009935B0" w:rsidRDefault="00E874E8" w:rsidP="00E874E8">
      <w:pPr>
        <w:pStyle w:val="1"/>
        <w:rPr>
          <w:rtl/>
        </w:rPr>
      </w:pPr>
      <w:bookmarkStart w:id="4972" w:name="_Toc56636913"/>
      <w:bookmarkStart w:id="4973" w:name="_Toc56638047"/>
      <w:bookmarkStart w:id="4974" w:name="_Toc56640891"/>
      <w:r>
        <w:rPr>
          <w:rFonts w:hint="cs"/>
          <w:rtl/>
        </w:rPr>
        <w:t>דברי רב"י והנימוק"י דאינו נזהר בשטר רק כשיש לו עידי חזקה</w:t>
      </w:r>
      <w:bookmarkEnd w:id="4972"/>
      <w:bookmarkEnd w:id="4973"/>
      <w:bookmarkEnd w:id="4974"/>
    </w:p>
    <w:p w:rsidR="00E874E8" w:rsidRDefault="00E874E8" w:rsidP="00E874E8">
      <w:pPr>
        <w:pStyle w:val="a3"/>
        <w:rPr>
          <w:rtl/>
        </w:rPr>
      </w:pPr>
      <w:bookmarkStart w:id="4975" w:name="_Toc56544325"/>
      <w:bookmarkStart w:id="4976" w:name="_Toc56609762"/>
      <w:bookmarkStart w:id="4977" w:name="_Toc56626595"/>
      <w:bookmarkStart w:id="4978" w:name="_Toc56630063"/>
      <w:bookmarkStart w:id="4979" w:name="_Toc56636914"/>
      <w:bookmarkStart w:id="4980" w:name="_Toc56638048"/>
      <w:bookmarkStart w:id="4981" w:name="_Toc56640892"/>
      <w:r>
        <w:rPr>
          <w:rFonts w:hint="cs"/>
          <w:rtl/>
        </w:rPr>
        <w:t>דברי רבינו יונה והנימוק"י דהא דאינו נזהר בשטרו הוא רק באופן שיש לו עידי חזקת ג"ש</w:t>
      </w:r>
      <w:bookmarkEnd w:id="4975"/>
      <w:bookmarkEnd w:id="4976"/>
      <w:bookmarkEnd w:id="4977"/>
      <w:bookmarkEnd w:id="4978"/>
      <w:bookmarkEnd w:id="4979"/>
      <w:bookmarkEnd w:id="4980"/>
      <w:bookmarkEnd w:id="4981"/>
    </w:p>
    <w:p w:rsidR="00E874E8" w:rsidRDefault="00E874E8" w:rsidP="007E4E81">
      <w:pPr>
        <w:pStyle w:val="a0"/>
        <w:rPr>
          <w:rtl/>
        </w:rPr>
      </w:pPr>
      <w:bookmarkStart w:id="4982" w:name="_Ref56610193"/>
      <w:r>
        <w:rPr>
          <w:rFonts w:hint="cs"/>
          <w:rtl/>
        </w:rPr>
        <w:t xml:space="preserve">בהא דאיתא בגמ' לקמן </w:t>
      </w:r>
      <w:r w:rsidRPr="000D3E37">
        <w:rPr>
          <w:rStyle w:val="af7"/>
          <w:rFonts w:eastAsia="Guttman Hodes" w:hint="cs"/>
          <w:rtl/>
        </w:rPr>
        <w:t>(לג:)</w:t>
      </w:r>
      <w:r>
        <w:rPr>
          <w:rFonts w:hint="cs"/>
          <w:rtl/>
        </w:rPr>
        <w:t xml:space="preserve"> דהיורד לשדה חבירו וטוען לפירות ירדתי נאמן, דלא חציף איניש לאכול את הפירות שאינם שלו, ומקשה הגמ' דא"כ אף בקרקע יהיה נאמן, ותירצה הגמ' דבקרקע אמרינן ליה אחוי שטרך, אבל בפירות אין הדרך לעשות שטר, כתבו</w:t>
      </w:r>
      <w:r w:rsidRPr="00AB3EB0">
        <w:rPr>
          <w:rStyle w:val="af9"/>
          <w:rFonts w:hint="cs"/>
          <w:rtl/>
        </w:rPr>
        <w:t xml:space="preserve"> רבינו יונה לקמן</w:t>
      </w:r>
      <w:r>
        <w:rPr>
          <w:rFonts w:hint="cs"/>
          <w:rtl/>
        </w:rPr>
        <w:t xml:space="preserve"> </w:t>
      </w:r>
      <w:r w:rsidRPr="00AB3EB0">
        <w:rPr>
          <w:rStyle w:val="af7"/>
          <w:rFonts w:eastAsia="Guttman Hodes" w:hint="cs"/>
          <w:rtl/>
        </w:rPr>
        <w:t>(לג: סוד"ה אי הכי)</w:t>
      </w:r>
      <w:r>
        <w:rPr>
          <w:rFonts w:hint="cs"/>
          <w:rtl/>
        </w:rPr>
        <w:t xml:space="preserve"> דאף שהוא טוען שהחזיק בקרקע ג"ש, וא"כ אינו צריך להזהר בשטרו, מ"מ כיון דאין לו עידי חזקה, אמרינן ליה אחוי שטרך, דכיון שאין לו עדים היה לו להזהר </w:t>
      </w:r>
      <w:r w:rsidRPr="00A249FD">
        <w:rPr>
          <w:rFonts w:hint="cs"/>
          <w:rtl/>
        </w:rPr>
        <w:t>בשטרו</w:t>
      </w:r>
      <w:r>
        <w:rPr>
          <w:rFonts w:hint="cs"/>
          <w:rtl/>
        </w:rPr>
        <w:t xml:space="preserve">, </w:t>
      </w:r>
      <w:r w:rsidRPr="00A249FD">
        <w:rPr>
          <w:rFonts w:hint="cs"/>
          <w:rtl/>
        </w:rPr>
        <w:t>אעפ"י שלדבריו כבר החזיק ג"ש</w:t>
      </w:r>
      <w:r>
        <w:rPr>
          <w:rFonts w:hint="cs"/>
          <w:rtl/>
        </w:rPr>
        <w:t xml:space="preserve">, </w:t>
      </w:r>
      <w:r w:rsidRPr="00AB3EB0">
        <w:rPr>
          <w:rStyle w:val="af9"/>
          <w:rFonts w:hint="cs"/>
          <w:rtl/>
        </w:rPr>
        <w:t>והנימוק"י לקמן</w:t>
      </w:r>
      <w:r>
        <w:rPr>
          <w:rFonts w:hint="cs"/>
          <w:rtl/>
        </w:rPr>
        <w:t xml:space="preserve"> </w:t>
      </w:r>
      <w:r w:rsidRPr="00AB3EB0">
        <w:rPr>
          <w:rStyle w:val="af7"/>
          <w:rFonts w:eastAsia="Guttman Hodes" w:hint="cs"/>
          <w:rtl/>
        </w:rPr>
        <w:t>(יז:</w:t>
      </w:r>
      <w:r w:rsidR="00A77F33">
        <w:rPr>
          <w:rStyle w:val="af7"/>
          <w:rFonts w:eastAsia="Guttman Hodes" w:hint="cs"/>
          <w:rtl/>
        </w:rPr>
        <w:t xml:space="preserve"> </w:t>
      </w:r>
      <w:r w:rsidRPr="00AB3EB0">
        <w:rPr>
          <w:rStyle w:val="af7"/>
          <w:rFonts w:eastAsia="Guttman Hodes" w:hint="cs"/>
          <w:rtl/>
        </w:rPr>
        <w:t>מדה"ר ד"ה אחוי)</w:t>
      </w:r>
      <w:r>
        <w:rPr>
          <w:rFonts w:hint="cs"/>
          <w:rtl/>
        </w:rPr>
        <w:t xml:space="preserve"> כתב דהא דאמרינן ליה אחוי שטרך, הוא לאו דוקא, דהא בחזקת קרקעות איירי כשאכל ג"ש ואינו נזהר בשטרו, אלא דאמרינן ליה או שתביא עדים שיש לך חזקת ג"ש, או אחוי שטרך, דאם אין לך עידי חזקה, היה לך להזהר בשטרך,ועי' במה שהקשה </w:t>
      </w:r>
      <w:r w:rsidRPr="00C45AF2">
        <w:rPr>
          <w:rStyle w:val="af9"/>
          <w:rFonts w:hint="cs"/>
          <w:rtl/>
        </w:rPr>
        <w:t>השער משפט</w:t>
      </w:r>
      <w:r>
        <w:rPr>
          <w:rFonts w:hint="cs"/>
          <w:rtl/>
        </w:rPr>
        <w:t xml:space="preserve"> </w:t>
      </w:r>
      <w:r w:rsidRPr="00C45AF2">
        <w:rPr>
          <w:rStyle w:val="af7"/>
          <w:rFonts w:eastAsia="Guttman Hodes" w:hint="cs"/>
          <w:rtl/>
        </w:rPr>
        <w:t xml:space="preserve">(עי' אות </w:t>
      </w:r>
      <w:r w:rsidRPr="00C45AF2">
        <w:rPr>
          <w:rStyle w:val="af7"/>
          <w:rFonts w:eastAsia="Guttman Hodes"/>
          <w:rtl/>
        </w:rPr>
        <w:fldChar w:fldCharType="begin"/>
      </w:r>
      <w:r w:rsidRPr="00C45AF2">
        <w:rPr>
          <w:rStyle w:val="af7"/>
          <w:rFonts w:eastAsia="Guttman Hodes"/>
          <w:rtl/>
        </w:rPr>
        <w:instrText xml:space="preserve"> </w:instrText>
      </w:r>
      <w:r w:rsidRPr="00C45AF2">
        <w:rPr>
          <w:rStyle w:val="af7"/>
          <w:rFonts w:eastAsia="Guttman Hodes" w:hint="cs"/>
        </w:rPr>
        <w:instrText>REF</w:instrText>
      </w:r>
      <w:r w:rsidRPr="00C45AF2">
        <w:rPr>
          <w:rStyle w:val="af7"/>
          <w:rFonts w:eastAsia="Guttman Hodes" w:hint="cs"/>
          <w:rtl/>
        </w:rPr>
        <w:instrText xml:space="preserve"> _</w:instrText>
      </w:r>
      <w:r w:rsidRPr="00C45AF2">
        <w:rPr>
          <w:rStyle w:val="af7"/>
          <w:rFonts w:eastAsia="Guttman Hodes" w:hint="cs"/>
        </w:rPr>
        <w:instrText>Ref56610142 \r \h</w:instrText>
      </w:r>
      <w:r w:rsidRPr="00C45AF2">
        <w:rPr>
          <w:rStyle w:val="af7"/>
          <w:rFonts w:eastAsia="Guttman Hodes"/>
          <w:rtl/>
        </w:rPr>
        <w:instrText xml:space="preserve"> </w:instrText>
      </w:r>
      <w:r w:rsidRPr="00C45AF2">
        <w:rPr>
          <w:rStyle w:val="af7"/>
          <w:rFonts w:eastAsia="Guttman Hodes"/>
          <w:rtl/>
        </w:rPr>
      </w:r>
      <w:r w:rsidRPr="00C45AF2">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sidRPr="00C45AF2">
        <w:rPr>
          <w:rStyle w:val="af7"/>
          <w:rFonts w:eastAsia="Guttman Hodes"/>
          <w:rtl/>
        </w:rPr>
        <w:fldChar w:fldCharType="end"/>
      </w:r>
      <w:r>
        <w:rPr>
          <w:rFonts w:hint="cs"/>
          <w:rtl/>
        </w:rPr>
        <w:t xml:space="preserve"> על </w:t>
      </w:r>
      <w:r w:rsidRPr="00C45AF2">
        <w:rPr>
          <w:rStyle w:val="af9"/>
          <w:rFonts w:hint="cs"/>
          <w:rtl/>
        </w:rPr>
        <w:lastRenderedPageBreak/>
        <w:t>הנימוק"י</w:t>
      </w:r>
      <w:r>
        <w:rPr>
          <w:rStyle w:val="af9"/>
          <w:rFonts w:hint="cs"/>
          <w:rtl/>
        </w:rPr>
        <w:t xml:space="preserve">, </w:t>
      </w:r>
      <w:r w:rsidRPr="00A14A61">
        <w:rPr>
          <w:rFonts w:hint="cs"/>
          <w:rtl/>
        </w:rPr>
        <w:t xml:space="preserve">ובמה שהביא </w:t>
      </w:r>
      <w:r w:rsidRPr="00C45AF2">
        <w:rPr>
          <w:rStyle w:val="af9"/>
          <w:rFonts w:hint="cs"/>
          <w:rtl/>
        </w:rPr>
        <w:t>השער משפט</w:t>
      </w:r>
      <w:r>
        <w:rPr>
          <w:rFonts w:hint="cs"/>
          <w:rtl/>
        </w:rPr>
        <w:t xml:space="preserve"> </w:t>
      </w:r>
      <w:r w:rsidRPr="00A14A61">
        <w:rPr>
          <w:rStyle w:val="af7"/>
          <w:rFonts w:eastAsia="Guttman Hodes" w:hint="cs"/>
          <w:rtl/>
        </w:rPr>
        <w:t xml:space="preserve">(עי' אות </w:t>
      </w:r>
      <w:r w:rsidRPr="00A14A61">
        <w:rPr>
          <w:rStyle w:val="af7"/>
          <w:rFonts w:eastAsia="Guttman Hodes"/>
          <w:rtl/>
        </w:rPr>
        <w:fldChar w:fldCharType="begin"/>
      </w:r>
      <w:r w:rsidRPr="00A14A61">
        <w:rPr>
          <w:rStyle w:val="af7"/>
          <w:rFonts w:eastAsia="Guttman Hodes"/>
          <w:rtl/>
        </w:rPr>
        <w:instrText xml:space="preserve"> </w:instrText>
      </w:r>
      <w:r w:rsidRPr="00A14A61">
        <w:rPr>
          <w:rStyle w:val="af7"/>
          <w:rFonts w:eastAsia="Guttman Hodes" w:hint="cs"/>
        </w:rPr>
        <w:instrText>REF</w:instrText>
      </w:r>
      <w:r w:rsidRPr="00A14A61">
        <w:rPr>
          <w:rStyle w:val="af7"/>
          <w:rFonts w:eastAsia="Guttman Hodes" w:hint="cs"/>
          <w:rtl/>
        </w:rPr>
        <w:instrText xml:space="preserve"> _</w:instrText>
      </w:r>
      <w:r w:rsidRPr="00A14A61">
        <w:rPr>
          <w:rStyle w:val="af7"/>
          <w:rFonts w:eastAsia="Guttman Hodes" w:hint="cs"/>
        </w:rPr>
        <w:instrText>Ref56610847 \r \h</w:instrText>
      </w:r>
      <w:r w:rsidRPr="00A14A61">
        <w:rPr>
          <w:rStyle w:val="af7"/>
          <w:rFonts w:eastAsia="Guttman Hodes"/>
          <w:rtl/>
        </w:rPr>
        <w:instrText xml:space="preserve"> </w:instrText>
      </w:r>
      <w:r w:rsidRPr="00A14A61">
        <w:rPr>
          <w:rStyle w:val="af7"/>
          <w:rFonts w:eastAsia="Guttman Hodes"/>
          <w:rtl/>
        </w:rPr>
      </w:r>
      <w:r w:rsidRPr="00A14A61">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A14A61">
        <w:rPr>
          <w:rStyle w:val="af7"/>
          <w:rFonts w:eastAsia="Guttman Hodes"/>
          <w:rtl/>
        </w:rPr>
        <w:fldChar w:fldCharType="end"/>
      </w:r>
      <w:r w:rsidRPr="00A14A61">
        <w:rPr>
          <w:rStyle w:val="af7"/>
          <w:rFonts w:eastAsia="Guttman Hodes" w:hint="cs"/>
          <w:rtl/>
        </w:rPr>
        <w:t xml:space="preserve"> </w:t>
      </w:r>
      <w:r w:rsidRPr="00A14A61">
        <w:rPr>
          <w:rFonts w:hint="cs"/>
          <w:rtl/>
        </w:rPr>
        <w:t>מדברי</w:t>
      </w:r>
      <w:r>
        <w:rPr>
          <w:rFonts w:hint="cs"/>
          <w:rtl/>
        </w:rPr>
        <w:t xml:space="preserve"> </w:t>
      </w:r>
      <w:r w:rsidRPr="000D3E37">
        <w:rPr>
          <w:rStyle w:val="af9"/>
          <w:rFonts w:hint="cs"/>
          <w:rtl/>
        </w:rPr>
        <w:t>התוס' לקמן</w:t>
      </w:r>
      <w:r>
        <w:rPr>
          <w:rFonts w:hint="cs"/>
          <w:rtl/>
        </w:rPr>
        <w:t xml:space="preserve"> </w:t>
      </w:r>
      <w:r w:rsidRPr="00A14A61">
        <w:rPr>
          <w:rFonts w:hint="cs"/>
          <w:rtl/>
        </w:rPr>
        <w:t>דפליגי ע</w:t>
      </w:r>
      <w:r>
        <w:rPr>
          <w:rFonts w:hint="cs"/>
          <w:rtl/>
        </w:rPr>
        <w:t xml:space="preserve">ל </w:t>
      </w:r>
      <w:r w:rsidRPr="00A14A61">
        <w:rPr>
          <w:rStyle w:val="af9"/>
          <w:rFonts w:hint="cs"/>
          <w:rtl/>
        </w:rPr>
        <w:t>הנימוק"י</w:t>
      </w:r>
      <w:r>
        <w:rPr>
          <w:rStyle w:val="af1"/>
          <w:rtl/>
        </w:rPr>
        <w:footnoteReference w:id="25"/>
      </w:r>
      <w:r w:rsidRPr="00A249FD">
        <w:rPr>
          <w:rFonts w:hint="cs"/>
          <w:rtl/>
        </w:rPr>
        <w:t>.</w:t>
      </w:r>
      <w:bookmarkEnd w:id="4982"/>
    </w:p>
    <w:p w:rsidR="00E874E8" w:rsidRDefault="00E874E8" w:rsidP="00E874E8">
      <w:pPr>
        <w:pStyle w:val="1"/>
        <w:rPr>
          <w:rtl/>
        </w:rPr>
      </w:pPr>
      <w:bookmarkStart w:id="4983" w:name="_Toc56458195"/>
      <w:bookmarkStart w:id="4984" w:name="_Toc56544326"/>
      <w:bookmarkStart w:id="4985" w:name="_Toc56609763"/>
      <w:bookmarkStart w:id="4986" w:name="_Toc56626596"/>
      <w:bookmarkStart w:id="4987" w:name="_Toc56630064"/>
      <w:bookmarkStart w:id="4988" w:name="_Toc56636915"/>
      <w:bookmarkStart w:id="4989" w:name="_Toc56638049"/>
      <w:bookmarkStart w:id="4990" w:name="_Toc56640893"/>
      <w:bookmarkStart w:id="4991" w:name="_Toc55419890"/>
      <w:bookmarkStart w:id="4992" w:name="_Toc55419946"/>
      <w:bookmarkStart w:id="4993" w:name="_Toc55421154"/>
      <w:bookmarkStart w:id="4994" w:name="_Toc55508532"/>
      <w:bookmarkStart w:id="4995" w:name="_Toc55569180"/>
      <w:bookmarkStart w:id="4996" w:name="_Toc55718291"/>
      <w:bookmarkStart w:id="4997" w:name="_Toc55739907"/>
      <w:bookmarkStart w:id="4998" w:name="_Toc56372879"/>
      <w:bookmarkStart w:id="4999" w:name="_Toc56458194"/>
      <w:r>
        <w:rPr>
          <w:rFonts w:hint="cs"/>
          <w:rtl/>
        </w:rPr>
        <w:t>דברי הנימוק"י</w:t>
      </w:r>
      <w:bookmarkEnd w:id="4983"/>
      <w:bookmarkEnd w:id="4984"/>
      <w:bookmarkEnd w:id="4985"/>
      <w:bookmarkEnd w:id="4986"/>
      <w:bookmarkEnd w:id="4987"/>
      <w:r>
        <w:rPr>
          <w:rFonts w:hint="cs"/>
          <w:rtl/>
        </w:rPr>
        <w:t xml:space="preserve"> דכיון דהדרך שלא נזהר בשטר תיקנו חזקת ג"ש</w:t>
      </w:r>
      <w:bookmarkEnd w:id="4988"/>
      <w:bookmarkEnd w:id="4989"/>
      <w:bookmarkEnd w:id="4990"/>
    </w:p>
    <w:p w:rsidR="00E874E8" w:rsidRDefault="00E874E8" w:rsidP="00E874E8">
      <w:pPr>
        <w:pStyle w:val="a3"/>
        <w:rPr>
          <w:rtl/>
        </w:rPr>
      </w:pPr>
      <w:bookmarkStart w:id="5000" w:name="_Toc56544327"/>
      <w:bookmarkStart w:id="5001" w:name="_Toc56609764"/>
      <w:bookmarkStart w:id="5002" w:name="_Toc56626597"/>
      <w:bookmarkStart w:id="5003" w:name="_Toc56630065"/>
      <w:bookmarkStart w:id="5004" w:name="_Toc56636916"/>
      <w:bookmarkStart w:id="5005" w:name="_Toc56638050"/>
      <w:bookmarkStart w:id="5006" w:name="_Toc56640894"/>
      <w:bookmarkEnd w:id="4991"/>
      <w:bookmarkEnd w:id="4992"/>
      <w:bookmarkEnd w:id="4993"/>
      <w:bookmarkEnd w:id="4994"/>
      <w:bookmarkEnd w:id="4995"/>
      <w:bookmarkEnd w:id="4996"/>
      <w:bookmarkEnd w:id="4997"/>
      <w:bookmarkEnd w:id="4998"/>
      <w:bookmarkEnd w:id="4999"/>
      <w:r>
        <w:rPr>
          <w:rFonts w:hint="cs"/>
          <w:rtl/>
        </w:rPr>
        <w:t>דברי הנימוק"י דאחר שאכל ג"ש א"צ שטר דדרך העולם שלא להזהר ותיקנו חכמים חזקת ג"ש</w:t>
      </w:r>
      <w:bookmarkEnd w:id="5000"/>
      <w:bookmarkEnd w:id="5001"/>
      <w:bookmarkEnd w:id="5002"/>
      <w:bookmarkEnd w:id="5003"/>
      <w:bookmarkEnd w:id="5004"/>
      <w:bookmarkEnd w:id="5005"/>
      <w:bookmarkEnd w:id="5006"/>
    </w:p>
    <w:p w:rsidR="00E874E8" w:rsidRPr="00772771" w:rsidRDefault="00E874E8" w:rsidP="007E4E81">
      <w:pPr>
        <w:pStyle w:val="a0"/>
        <w:rPr>
          <w:rtl/>
        </w:rPr>
      </w:pPr>
      <w:bookmarkStart w:id="5007" w:name="_Ref56510050"/>
      <w:bookmarkStart w:id="5008" w:name="_Ref56510344"/>
      <w:r>
        <w:rPr>
          <w:rFonts w:hint="cs"/>
          <w:rtl/>
        </w:rPr>
        <w:t xml:space="preserve">כתב </w:t>
      </w:r>
      <w:r w:rsidRPr="0080421E">
        <w:rPr>
          <w:rStyle w:val="af9"/>
          <w:rFonts w:hint="cs"/>
          <w:rtl/>
        </w:rPr>
        <w:t>הנימוק"י</w:t>
      </w:r>
      <w:r w:rsidRPr="008617E9">
        <w:rPr>
          <w:rStyle w:val="af7"/>
          <w:rFonts w:eastAsia="Guttman Hodes" w:hint="cs"/>
          <w:rtl/>
        </w:rPr>
        <w:t xml:space="preserve"> (יד. מדה"ר ד"ה חזקת, ד"ה טפי)</w:t>
      </w:r>
      <w:r>
        <w:rPr>
          <w:rFonts w:hint="cs"/>
          <w:rtl/>
        </w:rPr>
        <w:t xml:space="preserve"> דכל שהחזיק ג"ש כדרך הבעלים הוי חזקה, ואעפ"י שאין לו שטר סגי בחזקה, דשמא אבד לו השטר, דהא עד ג"ש נזהר בשטרו, דכיון שראה שאכל ג"ש פירות בשופי, ולא ערערו עליו, אינו נזהר עוד לשמור את השטר, דהוא בטוח שלא יערערו עליו יותר</w:t>
      </w:r>
      <w:bookmarkStart w:id="5009" w:name="_Ref56280682"/>
      <w:r>
        <w:rPr>
          <w:rFonts w:hint="cs"/>
          <w:rtl/>
        </w:rPr>
        <w:t xml:space="preserve">, וביאר </w:t>
      </w:r>
      <w:r w:rsidRPr="00640004">
        <w:rPr>
          <w:rStyle w:val="af9"/>
          <w:rFonts w:hint="cs"/>
          <w:rtl/>
        </w:rPr>
        <w:t>הנימוק"י</w:t>
      </w:r>
      <w:r>
        <w:rPr>
          <w:rFonts w:hint="cs"/>
          <w:rtl/>
        </w:rPr>
        <w:t xml:space="preserve"> דכיון שכן דעת העולם שא"צ להזהר בשטר אחר שאכל ג"ש בשופי, לכן תיקנו חכמים אלא ג"ש. </w:t>
      </w:r>
      <w:r w:rsidRPr="00FA3850">
        <w:rPr>
          <w:rStyle w:val="afb"/>
          <w:rFonts w:hint="cs"/>
          <w:rtl/>
        </w:rPr>
        <w:t>[דרק עד ג"ש מהני מחאת המערער]</w:t>
      </w:r>
      <w:bookmarkEnd w:id="5007"/>
      <w:bookmarkEnd w:id="5009"/>
      <w:r>
        <w:rPr>
          <w:rStyle w:val="afb"/>
          <w:rFonts w:hint="cs"/>
          <w:rtl/>
        </w:rPr>
        <w:t>,</w:t>
      </w:r>
      <w:r w:rsidRPr="00182D14">
        <w:rPr>
          <w:rFonts w:hint="cs"/>
          <w:rtl/>
        </w:rPr>
        <w:t xml:space="preserve"> </w:t>
      </w:r>
      <w:r>
        <w:rPr>
          <w:rFonts w:hint="cs"/>
          <w:rtl/>
        </w:rPr>
        <w:t xml:space="preserve">ועי' במה שביאר </w:t>
      </w:r>
      <w:r w:rsidRPr="003C4041">
        <w:rPr>
          <w:rStyle w:val="af9"/>
          <w:rFonts w:hint="cs"/>
          <w:rtl/>
        </w:rPr>
        <w:t>הקצוה"ח</w:t>
      </w:r>
      <w:r>
        <w:rPr>
          <w:rFonts w:hint="cs"/>
          <w:rtl/>
        </w:rPr>
        <w:t xml:space="preserve"> </w:t>
      </w:r>
      <w:r w:rsidRPr="007E69BF">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Ref56590074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3C4041">
        <w:rPr>
          <w:rStyle w:val="af9"/>
          <w:rFonts w:hint="cs"/>
          <w:rtl/>
        </w:rPr>
        <w:t>הנימוק"י</w:t>
      </w:r>
      <w:r>
        <w:rPr>
          <w:rFonts w:hint="cs"/>
          <w:rtl/>
        </w:rPr>
        <w:t xml:space="preserve"> דחזקת ג"ש היא תקנת חכמים, ואינה ראיה מדאו', ובמ"ש בזה </w:t>
      </w:r>
      <w:r>
        <w:rPr>
          <w:rStyle w:val="af9"/>
          <w:rtl/>
        </w:rPr>
        <w:t>בחי' רבי ראובן</w:t>
      </w:r>
      <w:r>
        <w:rPr>
          <w:rFonts w:hint="cs"/>
          <w:rtl/>
        </w:rPr>
        <w:t xml:space="preserve"> </w:t>
      </w:r>
      <w:r w:rsidRPr="00E0204D">
        <w:rPr>
          <w:rStyle w:val="af7"/>
          <w:rFonts w:eastAsia="Guttman Hodes" w:hint="cs"/>
          <w:rtl/>
        </w:rPr>
        <w:t xml:space="preserve">(עי' אות </w:t>
      </w:r>
      <w:r w:rsidRPr="00E0204D">
        <w:rPr>
          <w:rStyle w:val="af7"/>
          <w:rFonts w:eastAsia="Guttman Hodes"/>
          <w:rtl/>
        </w:rPr>
        <w:fldChar w:fldCharType="begin"/>
      </w:r>
      <w:r w:rsidRPr="00E0204D">
        <w:rPr>
          <w:rStyle w:val="af7"/>
          <w:rFonts w:eastAsia="Guttman Hodes"/>
          <w:rtl/>
        </w:rPr>
        <w:instrText xml:space="preserve"> </w:instrText>
      </w:r>
      <w:r w:rsidRPr="00E0204D">
        <w:rPr>
          <w:rStyle w:val="af7"/>
          <w:rFonts w:eastAsia="Guttman Hodes" w:hint="cs"/>
        </w:rPr>
        <w:instrText>REF</w:instrText>
      </w:r>
      <w:r w:rsidRPr="00E0204D">
        <w:rPr>
          <w:rStyle w:val="af7"/>
          <w:rFonts w:eastAsia="Guttman Hodes" w:hint="cs"/>
          <w:rtl/>
        </w:rPr>
        <w:instrText xml:space="preserve"> _</w:instrText>
      </w:r>
      <w:r w:rsidRPr="00E0204D">
        <w:rPr>
          <w:rStyle w:val="af7"/>
          <w:rFonts w:eastAsia="Guttman Hodes" w:hint="cs"/>
        </w:rPr>
        <w:instrText>Ref56510431 \r \h</w:instrText>
      </w:r>
      <w:r w:rsidRPr="00E0204D">
        <w:rPr>
          <w:rStyle w:val="af7"/>
          <w:rFonts w:eastAsia="Guttman Hodes"/>
          <w:rtl/>
        </w:rPr>
        <w:instrText xml:space="preserve"> </w:instrText>
      </w:r>
      <w:r w:rsidRPr="00E0204D">
        <w:rPr>
          <w:rStyle w:val="af7"/>
          <w:rFonts w:eastAsia="Guttman Hodes"/>
          <w:rtl/>
        </w:rPr>
      </w:r>
      <w:r w:rsidRPr="00E0204D">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E0204D">
        <w:rPr>
          <w:rStyle w:val="af7"/>
          <w:rFonts w:eastAsia="Guttman Hodes"/>
          <w:rtl/>
        </w:rPr>
        <w:fldChar w:fldCharType="end"/>
      </w:r>
      <w:r w:rsidRPr="00E0204D">
        <w:rPr>
          <w:rStyle w:val="af7"/>
          <w:rFonts w:eastAsia="Guttman Hodes" w:hint="cs"/>
          <w:rtl/>
        </w:rPr>
        <w:t xml:space="preserve"> </w:t>
      </w:r>
      <w:r>
        <w:rPr>
          <w:rStyle w:val="af9"/>
          <w:rFonts w:hint="cs"/>
          <w:rtl/>
        </w:rPr>
        <w:t>וב</w:t>
      </w:r>
      <w:r w:rsidRPr="003C4041">
        <w:rPr>
          <w:rStyle w:val="af9"/>
          <w:rFonts w:hint="cs"/>
          <w:rtl/>
        </w:rPr>
        <w:t>קה"י</w:t>
      </w:r>
      <w:r>
        <w:rPr>
          <w:rFonts w:hint="cs"/>
          <w:rtl/>
        </w:rPr>
        <w:t xml:space="preserve"> </w:t>
      </w:r>
      <w:r w:rsidRPr="003C4041">
        <w:rPr>
          <w:rStyle w:val="af7"/>
          <w:rFonts w:eastAsia="Guttman Hodes" w:hint="cs"/>
          <w:rtl/>
        </w:rPr>
        <w:t xml:space="preserve">(עי' אות </w:t>
      </w:r>
      <w:r w:rsidRPr="003C4041">
        <w:rPr>
          <w:rStyle w:val="af7"/>
          <w:rFonts w:eastAsia="Guttman Hodes"/>
          <w:rtl/>
        </w:rPr>
        <w:fldChar w:fldCharType="begin"/>
      </w:r>
      <w:r w:rsidRPr="003C4041">
        <w:rPr>
          <w:rStyle w:val="af7"/>
          <w:rFonts w:eastAsia="Guttman Hodes"/>
          <w:rtl/>
        </w:rPr>
        <w:instrText xml:space="preserve"> </w:instrText>
      </w:r>
      <w:r w:rsidRPr="003C4041">
        <w:rPr>
          <w:rStyle w:val="af7"/>
          <w:rFonts w:eastAsia="Guttman Hodes" w:hint="cs"/>
        </w:rPr>
        <w:instrText>REF</w:instrText>
      </w:r>
      <w:r w:rsidRPr="003C4041">
        <w:rPr>
          <w:rStyle w:val="af7"/>
          <w:rFonts w:eastAsia="Guttman Hodes" w:hint="cs"/>
          <w:rtl/>
        </w:rPr>
        <w:instrText xml:space="preserve"> _</w:instrText>
      </w:r>
      <w:r w:rsidRPr="003C4041">
        <w:rPr>
          <w:rStyle w:val="af7"/>
          <w:rFonts w:eastAsia="Guttman Hodes" w:hint="cs"/>
        </w:rPr>
        <w:instrText>Ref56510431 \r \h</w:instrText>
      </w:r>
      <w:r w:rsidRPr="003C4041">
        <w:rPr>
          <w:rStyle w:val="af7"/>
          <w:rFonts w:eastAsia="Guttman Hodes"/>
          <w:rtl/>
        </w:rPr>
        <w:instrText xml:space="preserve"> </w:instrText>
      </w:r>
      <w:r w:rsidRPr="003C4041">
        <w:rPr>
          <w:rStyle w:val="af7"/>
          <w:rFonts w:eastAsia="Guttman Hodes"/>
          <w:rtl/>
        </w:rPr>
      </w:r>
      <w:r w:rsidRPr="003C4041">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3C4041">
        <w:rPr>
          <w:rStyle w:val="af7"/>
          <w:rFonts w:eastAsia="Guttman Hodes"/>
          <w:rtl/>
        </w:rPr>
        <w:fldChar w:fldCharType="end"/>
      </w:r>
      <w:r>
        <w:rPr>
          <w:rFonts w:hint="cs"/>
          <w:rtl/>
        </w:rPr>
        <w:t>.</w:t>
      </w:r>
      <w:bookmarkEnd w:id="5008"/>
    </w:p>
    <w:p w:rsidR="00E874E8" w:rsidRDefault="00E874E8" w:rsidP="00E874E8">
      <w:pPr>
        <w:pStyle w:val="a3"/>
        <w:rPr>
          <w:rtl/>
        </w:rPr>
      </w:pPr>
      <w:bookmarkStart w:id="5010" w:name="_Toc56544328"/>
      <w:bookmarkStart w:id="5011" w:name="_Toc56609765"/>
      <w:bookmarkStart w:id="5012" w:name="_Toc56626598"/>
      <w:bookmarkStart w:id="5013" w:name="_Toc56630066"/>
      <w:bookmarkStart w:id="5014" w:name="_Toc56636917"/>
      <w:bookmarkStart w:id="5015" w:name="_Toc56638051"/>
      <w:bookmarkStart w:id="5016" w:name="_Toc56640895"/>
      <w:r>
        <w:rPr>
          <w:rFonts w:hint="cs"/>
          <w:rtl/>
        </w:rPr>
        <w:t>ביאור הנימוק"י בקושיה דל"מ מחאה שלא בפניו דאחר שאכל המחזיק בשופי לא נזהר בשטרו</w:t>
      </w:r>
      <w:bookmarkEnd w:id="5010"/>
      <w:bookmarkEnd w:id="5011"/>
      <w:bookmarkEnd w:id="5012"/>
      <w:bookmarkEnd w:id="5013"/>
      <w:bookmarkEnd w:id="5014"/>
      <w:bookmarkEnd w:id="5015"/>
      <w:bookmarkEnd w:id="5016"/>
    </w:p>
    <w:p w:rsidR="00E874E8" w:rsidRDefault="00E874E8" w:rsidP="007E4E81">
      <w:pPr>
        <w:pStyle w:val="a0"/>
        <w:rPr>
          <w:rtl/>
        </w:rPr>
      </w:pPr>
      <w:bookmarkStart w:id="5017" w:name="_Ref56613489"/>
      <w:r>
        <w:rPr>
          <w:rFonts w:hint="cs"/>
          <w:rtl/>
        </w:rPr>
        <w:t xml:space="preserve">ובקושית הגמ' דלא תועיל מחאה שלא בפניו, ביאר </w:t>
      </w:r>
      <w:r w:rsidRPr="00F51AD9">
        <w:rPr>
          <w:rStyle w:val="af9"/>
          <w:rFonts w:hint="cs"/>
          <w:rtl/>
        </w:rPr>
        <w:t>הנימוק"י</w:t>
      </w:r>
      <w:r>
        <w:rPr>
          <w:rFonts w:hint="cs"/>
          <w:rtl/>
        </w:rPr>
        <w:t xml:space="preserve"> </w:t>
      </w:r>
      <w:r w:rsidRPr="00F51AD9">
        <w:rPr>
          <w:rStyle w:val="af7"/>
          <w:rFonts w:eastAsia="Guttman Hodes" w:hint="cs"/>
          <w:rtl/>
        </w:rPr>
        <w:t>(יד. מדה"ר ד"ה אלא)</w:t>
      </w:r>
      <w:r>
        <w:rPr>
          <w:rFonts w:hint="cs"/>
          <w:rtl/>
        </w:rPr>
        <w:t xml:space="preserve"> דכיון שאכל ג"ש בשופי, ואינו נזהר בשטרו, א"כ היאך מהני המחאה כשהמערער רחוק, הרי יכול המחזיק לומר דכיון שלא מחה המערער בפניו לא נזהר בשטרו.</w:t>
      </w:r>
      <w:bookmarkEnd w:id="5017"/>
    </w:p>
    <w:p w:rsidR="00E874E8" w:rsidRPr="00573728" w:rsidRDefault="00E874E8" w:rsidP="00E874E8">
      <w:pPr>
        <w:pStyle w:val="a3"/>
        <w:rPr>
          <w:rtl/>
        </w:rPr>
      </w:pPr>
      <w:bookmarkStart w:id="5018" w:name="_Toc56544329"/>
      <w:bookmarkStart w:id="5019" w:name="_Toc56609766"/>
      <w:bookmarkStart w:id="5020" w:name="_Toc56626599"/>
      <w:bookmarkStart w:id="5021" w:name="_Toc56630067"/>
      <w:bookmarkStart w:id="5022" w:name="_Toc56636918"/>
      <w:bookmarkStart w:id="5023" w:name="_Toc56638052"/>
      <w:bookmarkStart w:id="5024" w:name="_Toc56640896"/>
      <w:r>
        <w:rPr>
          <w:rFonts w:hint="cs"/>
          <w:rtl/>
        </w:rPr>
        <w:t>דברי הנימוק"י דבכל מחאה ודאי שמע המחזיק וכשאין לו שטר מוכח שלא היה לו מעולם</w:t>
      </w:r>
      <w:bookmarkEnd w:id="5018"/>
      <w:bookmarkEnd w:id="5019"/>
      <w:bookmarkEnd w:id="5020"/>
      <w:bookmarkEnd w:id="5021"/>
      <w:bookmarkEnd w:id="5022"/>
      <w:bookmarkEnd w:id="5023"/>
      <w:bookmarkEnd w:id="5024"/>
    </w:p>
    <w:p w:rsidR="00E874E8" w:rsidRDefault="00E874E8" w:rsidP="007E4E81">
      <w:pPr>
        <w:pStyle w:val="a0"/>
        <w:rPr>
          <w:rtl/>
        </w:rPr>
      </w:pPr>
      <w:bookmarkStart w:id="5025" w:name="_Ref56613595"/>
      <w:bookmarkStart w:id="5026" w:name="_Toc56372873"/>
      <w:bookmarkStart w:id="5027" w:name="_Toc56458215"/>
      <w:r>
        <w:rPr>
          <w:rFonts w:hint="cs"/>
          <w:rtl/>
        </w:rPr>
        <w:t>ובתירוץ הגמ'</w:t>
      </w:r>
      <w:r w:rsidRPr="0080421E">
        <w:rPr>
          <w:rFonts w:hint="cs"/>
          <w:rtl/>
        </w:rPr>
        <w:t xml:space="preserve"> דמהני</w:t>
      </w:r>
      <w:r w:rsidRPr="00626254">
        <w:rPr>
          <w:rFonts w:hint="cs"/>
          <w:rtl/>
        </w:rPr>
        <w:t xml:space="preserve"> </w:t>
      </w:r>
      <w:r w:rsidRPr="0080421E">
        <w:rPr>
          <w:rFonts w:hint="cs"/>
          <w:rtl/>
        </w:rPr>
        <w:t>מחאה שלא בפניו,</w:t>
      </w:r>
      <w:r>
        <w:rPr>
          <w:rFonts w:hint="cs"/>
          <w:rtl/>
        </w:rPr>
        <w:t xml:space="preserve"> דאמרינן חברך חברא אית ליה, ביאר </w:t>
      </w:r>
      <w:r w:rsidRPr="00573728">
        <w:rPr>
          <w:rStyle w:val="af9"/>
          <w:rFonts w:hint="cs"/>
          <w:rtl/>
        </w:rPr>
        <w:t xml:space="preserve">הנימוק"י </w:t>
      </w:r>
      <w:r w:rsidRPr="00093657">
        <w:rPr>
          <w:rStyle w:val="af7"/>
          <w:rFonts w:eastAsia="Guttman Hodes" w:hint="cs"/>
          <w:rtl/>
        </w:rPr>
        <w:t>(יד. מדה"ר ד"ה דא"ל)</w:t>
      </w:r>
      <w:r>
        <w:rPr>
          <w:rFonts w:hint="cs"/>
          <w:rtl/>
        </w:rPr>
        <w:t xml:space="preserve"> דאומר המערער למחזיק, דכיון שמחיתי לפני כמה בנ"א, לא יתכן שלא שמעת, דהדרך דמספרים עד ששומע המחזיק, וכיון שאין לך שטר, ודאי שלא היה לך שטר מעולם, שאם היה לך שטר היית נזהר בו, ועי' במה שביאר </w:t>
      </w:r>
      <w:r w:rsidRPr="00093657">
        <w:rPr>
          <w:rStyle w:val="af9"/>
          <w:rFonts w:hint="cs"/>
          <w:rtl/>
        </w:rPr>
        <w:t>הקוב"ש</w:t>
      </w:r>
      <w:r>
        <w:rPr>
          <w:rFonts w:hint="cs"/>
          <w:rtl/>
        </w:rPr>
        <w:t xml:space="preserve"> </w:t>
      </w:r>
      <w:r w:rsidRPr="00093657">
        <w:rPr>
          <w:rStyle w:val="af7"/>
          <w:rFonts w:eastAsia="Guttman Hodes" w:hint="cs"/>
          <w:rtl/>
        </w:rPr>
        <w:t xml:space="preserve">(עי' אות </w:t>
      </w:r>
      <w:r w:rsidRPr="00093657">
        <w:rPr>
          <w:rStyle w:val="af7"/>
          <w:rFonts w:eastAsia="Guttman Hodes"/>
          <w:rtl/>
        </w:rPr>
        <w:fldChar w:fldCharType="begin"/>
      </w:r>
      <w:r w:rsidRPr="00093657">
        <w:rPr>
          <w:rStyle w:val="af7"/>
          <w:rFonts w:eastAsia="Guttman Hodes"/>
          <w:rtl/>
        </w:rPr>
        <w:instrText xml:space="preserve"> </w:instrText>
      </w:r>
      <w:r w:rsidRPr="00093657">
        <w:rPr>
          <w:rStyle w:val="af7"/>
          <w:rFonts w:eastAsia="Guttman Hodes" w:hint="cs"/>
        </w:rPr>
        <w:instrText>REF</w:instrText>
      </w:r>
      <w:r w:rsidRPr="00093657">
        <w:rPr>
          <w:rStyle w:val="af7"/>
          <w:rFonts w:eastAsia="Guttman Hodes" w:hint="cs"/>
          <w:rtl/>
        </w:rPr>
        <w:instrText xml:space="preserve"> _</w:instrText>
      </w:r>
      <w:r w:rsidRPr="00093657">
        <w:rPr>
          <w:rStyle w:val="af7"/>
          <w:rFonts w:eastAsia="Guttman Hodes" w:hint="cs"/>
        </w:rPr>
        <w:instrText>Ref56613578 \r \h</w:instrText>
      </w:r>
      <w:r w:rsidRPr="00093657">
        <w:rPr>
          <w:rStyle w:val="af7"/>
          <w:rFonts w:eastAsia="Guttman Hodes"/>
          <w:rtl/>
        </w:rPr>
        <w:instrText xml:space="preserve"> </w:instrText>
      </w:r>
      <w:r w:rsidRPr="00093657">
        <w:rPr>
          <w:rStyle w:val="af7"/>
          <w:rFonts w:eastAsia="Guttman Hodes"/>
          <w:rtl/>
        </w:rPr>
      </w:r>
      <w:r w:rsidRPr="00093657">
        <w:rPr>
          <w:rStyle w:val="af7"/>
          <w:rFonts w:eastAsia="Guttman Hodes"/>
          <w:rtl/>
        </w:rPr>
        <w:fldChar w:fldCharType="separate"/>
      </w:r>
      <w:r w:rsidR="00265073">
        <w:rPr>
          <w:rStyle w:val="af7"/>
          <w:rFonts w:eastAsia="Guttman Hodes"/>
          <w:cs/>
        </w:rPr>
        <w:t>‎</w:t>
      </w:r>
      <w:r w:rsidR="00265073">
        <w:rPr>
          <w:rStyle w:val="af7"/>
          <w:rFonts w:eastAsia="Guttman Hodes"/>
          <w:rtl/>
        </w:rPr>
        <w:t>פג)</w:t>
      </w:r>
      <w:r w:rsidRPr="00093657">
        <w:rPr>
          <w:rStyle w:val="af7"/>
          <w:rFonts w:eastAsia="Guttman Hodes"/>
          <w:rtl/>
        </w:rPr>
        <w:fldChar w:fldCharType="end"/>
      </w:r>
      <w:r>
        <w:rPr>
          <w:rFonts w:hint="cs"/>
          <w:rtl/>
        </w:rPr>
        <w:t xml:space="preserve"> בדברי </w:t>
      </w:r>
      <w:r w:rsidRPr="00093657">
        <w:rPr>
          <w:rStyle w:val="af9"/>
          <w:rFonts w:hint="cs"/>
          <w:rtl/>
        </w:rPr>
        <w:t>הנימוק"י</w:t>
      </w:r>
      <w:r>
        <w:rPr>
          <w:rFonts w:hint="cs"/>
          <w:rtl/>
        </w:rPr>
        <w:t>.</w:t>
      </w:r>
      <w:bookmarkStart w:id="5028" w:name="_Toc56544330"/>
      <w:bookmarkStart w:id="5029" w:name="_Toc56609767"/>
      <w:bookmarkEnd w:id="5025"/>
    </w:p>
    <w:p w:rsidR="00E874E8" w:rsidRPr="0034012E" w:rsidRDefault="00E874E8" w:rsidP="00E874E8">
      <w:pPr>
        <w:pStyle w:val="1"/>
      </w:pPr>
      <w:bookmarkStart w:id="5030" w:name="_Toc56636919"/>
      <w:bookmarkStart w:id="5031" w:name="_Toc56638053"/>
      <w:bookmarkStart w:id="5032" w:name="_Toc56640897"/>
      <w:r>
        <w:rPr>
          <w:rFonts w:hint="cs"/>
          <w:rtl/>
        </w:rPr>
        <w:t>ביאור הנימוק"י ברב"י דכל שלא מחה יש ראיה דודאי מכר לו</w:t>
      </w:r>
      <w:bookmarkEnd w:id="5030"/>
      <w:bookmarkEnd w:id="5031"/>
      <w:bookmarkEnd w:id="5032"/>
    </w:p>
    <w:p w:rsidR="00E874E8" w:rsidRPr="0080421E" w:rsidRDefault="00E874E8" w:rsidP="00E874E8">
      <w:pPr>
        <w:pStyle w:val="a3"/>
      </w:pPr>
      <w:bookmarkStart w:id="5033" w:name="_Toc56626600"/>
      <w:bookmarkStart w:id="5034" w:name="_Toc56630068"/>
      <w:bookmarkStart w:id="5035" w:name="_Toc56636920"/>
      <w:bookmarkStart w:id="5036" w:name="_Toc56638054"/>
      <w:bookmarkStart w:id="5037" w:name="_Toc56640898"/>
      <w:r w:rsidRPr="0080421E">
        <w:rPr>
          <w:rFonts w:hint="cs"/>
          <w:rtl/>
        </w:rPr>
        <w:t>ביאור הנימוק"י ברב"י דהחזקה מהני מהראיה שלא מחה וכל שמחה אף שלא בפניו אין לו ראיה</w:t>
      </w:r>
      <w:bookmarkEnd w:id="5028"/>
      <w:bookmarkEnd w:id="5029"/>
      <w:bookmarkEnd w:id="5033"/>
      <w:bookmarkEnd w:id="5034"/>
      <w:bookmarkEnd w:id="5035"/>
      <w:bookmarkEnd w:id="5036"/>
      <w:bookmarkEnd w:id="5037"/>
    </w:p>
    <w:p w:rsidR="00E874E8" w:rsidRDefault="00E874E8" w:rsidP="007E4E81">
      <w:pPr>
        <w:pStyle w:val="a0"/>
        <w:rPr>
          <w:rtl/>
        </w:rPr>
      </w:pPr>
      <w:r w:rsidRPr="0080421E">
        <w:rPr>
          <w:rFonts w:hint="cs"/>
          <w:rtl/>
        </w:rPr>
        <w:t>ו</w:t>
      </w:r>
      <w:r>
        <w:rPr>
          <w:rFonts w:hint="cs"/>
          <w:rtl/>
        </w:rPr>
        <w:t xml:space="preserve">הביא </w:t>
      </w:r>
      <w:r w:rsidRPr="0080421E">
        <w:rPr>
          <w:rStyle w:val="af9"/>
          <w:rFonts w:hint="cs"/>
          <w:rtl/>
        </w:rPr>
        <w:t>הנימוק"י</w:t>
      </w:r>
      <w:r>
        <w:rPr>
          <w:rFonts w:hint="cs"/>
          <w:rtl/>
        </w:rPr>
        <w:t xml:space="preserve"> את דברי </w:t>
      </w:r>
      <w:r w:rsidRPr="0080421E">
        <w:rPr>
          <w:rStyle w:val="af9"/>
          <w:rFonts w:hint="cs"/>
          <w:rtl/>
        </w:rPr>
        <w:t>רבינו יונה</w:t>
      </w:r>
      <w:r w:rsidRPr="0080421E">
        <w:rPr>
          <w:rFonts w:hint="cs"/>
          <w:rtl/>
        </w:rPr>
        <w:t xml:space="preserve"> </w:t>
      </w:r>
      <w:r w:rsidRPr="00312BE8">
        <w:rPr>
          <w:rStyle w:val="af7"/>
          <w:rFonts w:eastAsia="Guttman Hodes" w:hint="cs"/>
          <w:rtl/>
        </w:rPr>
        <w:t xml:space="preserve">(עי' אות </w:t>
      </w:r>
      <w:r w:rsidRPr="00312BE8">
        <w:rPr>
          <w:rStyle w:val="af7"/>
          <w:rFonts w:eastAsia="Guttman Hodes"/>
          <w:rtl/>
        </w:rPr>
        <w:fldChar w:fldCharType="begin"/>
      </w:r>
      <w:r w:rsidRPr="00312BE8">
        <w:rPr>
          <w:rStyle w:val="af7"/>
          <w:rFonts w:eastAsia="Guttman Hodes"/>
          <w:rtl/>
        </w:rPr>
        <w:instrText xml:space="preserve"> </w:instrText>
      </w:r>
      <w:r w:rsidRPr="00312BE8">
        <w:rPr>
          <w:rStyle w:val="af7"/>
          <w:rFonts w:eastAsia="Guttman Hodes" w:hint="cs"/>
        </w:rPr>
        <w:instrText>REF</w:instrText>
      </w:r>
      <w:r w:rsidRPr="00312BE8">
        <w:rPr>
          <w:rStyle w:val="af7"/>
          <w:rFonts w:eastAsia="Guttman Hodes" w:hint="cs"/>
          <w:rtl/>
        </w:rPr>
        <w:instrText xml:space="preserve"> _</w:instrText>
      </w:r>
      <w:r w:rsidRPr="00312BE8">
        <w:rPr>
          <w:rStyle w:val="af7"/>
          <w:rFonts w:eastAsia="Guttman Hodes" w:hint="cs"/>
        </w:rPr>
        <w:instrText>Ref56502987 \r \h</w:instrText>
      </w:r>
      <w:r w:rsidRPr="00312BE8">
        <w:rPr>
          <w:rStyle w:val="af7"/>
          <w:rFonts w:eastAsia="Guttman Hodes"/>
          <w:rtl/>
        </w:rPr>
        <w:instrText xml:space="preserve"> </w:instrText>
      </w:r>
      <w:r w:rsidRPr="00312BE8">
        <w:rPr>
          <w:rStyle w:val="af7"/>
          <w:rFonts w:eastAsia="Guttman Hodes"/>
          <w:rtl/>
        </w:rPr>
      </w:r>
      <w:r w:rsidRPr="00312BE8">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312BE8">
        <w:rPr>
          <w:rStyle w:val="af7"/>
          <w:rFonts w:eastAsia="Guttman Hodes"/>
          <w:rtl/>
        </w:rPr>
        <w:fldChar w:fldCharType="end"/>
      </w:r>
      <w:r>
        <w:rPr>
          <w:rFonts w:hint="cs"/>
          <w:rtl/>
        </w:rPr>
        <w:t xml:space="preserve"> דהמחאה</w:t>
      </w:r>
      <w:r w:rsidRPr="00A571F8">
        <w:rPr>
          <w:rFonts w:hint="cs"/>
          <w:rtl/>
        </w:rPr>
        <w:t xml:space="preserve"> </w:t>
      </w:r>
      <w:r>
        <w:rPr>
          <w:rFonts w:hint="cs"/>
          <w:rtl/>
        </w:rPr>
        <w:t xml:space="preserve">מהני </w:t>
      </w:r>
      <w:r w:rsidRPr="0080421E">
        <w:rPr>
          <w:rFonts w:hint="cs"/>
          <w:rtl/>
        </w:rPr>
        <w:t xml:space="preserve">אף </w:t>
      </w:r>
      <w:r>
        <w:rPr>
          <w:rFonts w:hint="cs"/>
          <w:rtl/>
        </w:rPr>
        <w:t xml:space="preserve">באופן </w:t>
      </w:r>
      <w:r w:rsidRPr="0080421E">
        <w:rPr>
          <w:rFonts w:hint="cs"/>
          <w:rtl/>
        </w:rPr>
        <w:t xml:space="preserve">שעידי המחאה מודים שלא סיפרו עליה לשום </w:t>
      </w:r>
      <w:r w:rsidRPr="00ED55CF">
        <w:rPr>
          <w:rFonts w:hint="cs"/>
          <w:rtl/>
        </w:rPr>
        <w:t xml:space="preserve">אדם, דטוען המערער שהוא לא היה צריך לטרוח ולמחות בפני המחזיק, דסמך על סברת חברך חברא אית ליה, </w:t>
      </w:r>
      <w:r w:rsidRPr="0080421E">
        <w:rPr>
          <w:rFonts w:hint="cs"/>
          <w:rtl/>
        </w:rPr>
        <w:t xml:space="preserve">וביאר </w:t>
      </w:r>
      <w:r w:rsidRPr="0080421E">
        <w:rPr>
          <w:rStyle w:val="af9"/>
          <w:rFonts w:hint="cs"/>
          <w:rtl/>
        </w:rPr>
        <w:t xml:space="preserve">הנימוק"י </w:t>
      </w:r>
      <w:r w:rsidRPr="0080421E">
        <w:rPr>
          <w:rFonts w:hint="cs"/>
          <w:rtl/>
        </w:rPr>
        <w:t xml:space="preserve">דס"ל </w:t>
      </w:r>
      <w:r w:rsidRPr="0080421E">
        <w:rPr>
          <w:rStyle w:val="af9"/>
          <w:rFonts w:hint="cs"/>
          <w:rtl/>
        </w:rPr>
        <w:t>לרבינו יונה</w:t>
      </w:r>
      <w:r w:rsidRPr="0080421E">
        <w:rPr>
          <w:rFonts w:hint="cs"/>
          <w:rtl/>
        </w:rPr>
        <w:t xml:space="preserve"> דכיון שכ"מ שהמחזיק זכה ע"י החזקה, הוא כיון שהיה למערער למחות, וכשלא מחה אמרינן דודאי מכר לו, א"כ כל שמחה המערער, אף שלא מחה בפני המחזיק, מ"מ אין הוכחה שמכר לו, ועי' במה שביאר </w:t>
      </w:r>
      <w:r w:rsidRPr="0080421E">
        <w:rPr>
          <w:rStyle w:val="af9"/>
          <w:rFonts w:hint="cs"/>
          <w:rtl/>
        </w:rPr>
        <w:t xml:space="preserve">הקה"י </w:t>
      </w:r>
      <w:r w:rsidRPr="0080421E">
        <w:rPr>
          <w:rStyle w:val="af7"/>
          <w:rFonts w:eastAsia="Guttman Hodes" w:hint="cs"/>
          <w:rtl/>
        </w:rPr>
        <w:t xml:space="preserve">(עי' </w:t>
      </w:r>
      <w:r w:rsidRPr="0034012E">
        <w:rPr>
          <w:rStyle w:val="af7"/>
          <w:rFonts w:eastAsia="Guttman Hodes" w:hint="cs"/>
          <w:rtl/>
        </w:rPr>
        <w:t xml:space="preserve">אות </w:t>
      </w:r>
      <w:r w:rsidRPr="0034012E">
        <w:rPr>
          <w:rStyle w:val="af7"/>
          <w:rFonts w:eastAsia="Guttman Hodes"/>
          <w:rtl/>
        </w:rPr>
        <w:fldChar w:fldCharType="begin"/>
      </w:r>
      <w:r w:rsidRPr="0034012E">
        <w:rPr>
          <w:rStyle w:val="af7"/>
          <w:rFonts w:eastAsia="Guttman Hodes"/>
          <w:rtl/>
        </w:rPr>
        <w:instrText xml:space="preserve"> </w:instrText>
      </w:r>
      <w:r w:rsidRPr="0034012E">
        <w:rPr>
          <w:rStyle w:val="af7"/>
          <w:rFonts w:eastAsia="Guttman Hodes" w:hint="cs"/>
        </w:rPr>
        <w:instrText>REF</w:instrText>
      </w:r>
      <w:r w:rsidRPr="0034012E">
        <w:rPr>
          <w:rStyle w:val="af7"/>
          <w:rFonts w:eastAsia="Guttman Hodes" w:hint="cs"/>
          <w:rtl/>
        </w:rPr>
        <w:instrText xml:space="preserve"> _</w:instrText>
      </w:r>
      <w:r w:rsidRPr="0034012E">
        <w:rPr>
          <w:rStyle w:val="af7"/>
          <w:rFonts w:eastAsia="Guttman Hodes" w:hint="cs"/>
        </w:rPr>
        <w:instrText>Ref55315908 \r \h</w:instrText>
      </w:r>
      <w:r w:rsidRPr="0034012E">
        <w:rPr>
          <w:rStyle w:val="af7"/>
          <w:rFonts w:eastAsia="Guttman Hodes"/>
          <w:rtl/>
        </w:rPr>
        <w:instrText xml:space="preserve">  \* </w:instrText>
      </w:r>
      <w:r w:rsidRPr="0034012E">
        <w:rPr>
          <w:rStyle w:val="af7"/>
          <w:rFonts w:eastAsia="Guttman Hodes"/>
        </w:rPr>
        <w:instrText>MERGEFORMAT</w:instrText>
      </w:r>
      <w:r w:rsidRPr="0034012E">
        <w:rPr>
          <w:rStyle w:val="af7"/>
          <w:rFonts w:eastAsia="Guttman Hodes"/>
          <w:rtl/>
        </w:rPr>
        <w:instrText xml:space="preserve"> </w:instrText>
      </w:r>
      <w:r w:rsidRPr="0034012E">
        <w:rPr>
          <w:rStyle w:val="af7"/>
          <w:rFonts w:eastAsia="Guttman Hodes"/>
          <w:rtl/>
        </w:rPr>
      </w:r>
      <w:r w:rsidRPr="0034012E">
        <w:rPr>
          <w:rStyle w:val="af7"/>
          <w:rFonts w:eastAsia="Guttman Hodes"/>
          <w:rtl/>
        </w:rPr>
        <w:fldChar w:fldCharType="separate"/>
      </w:r>
      <w:r w:rsidR="00265073">
        <w:rPr>
          <w:rStyle w:val="af7"/>
          <w:rFonts w:eastAsia="Guttman Hodes"/>
          <w:cs/>
        </w:rPr>
        <w:t>‎</w:t>
      </w:r>
      <w:r w:rsidR="00265073">
        <w:rPr>
          <w:rStyle w:val="af7"/>
          <w:rFonts w:eastAsia="Guttman Hodes"/>
          <w:rtl/>
        </w:rPr>
        <w:t>קטז)</w:t>
      </w:r>
      <w:r w:rsidRPr="0034012E">
        <w:rPr>
          <w:rStyle w:val="af7"/>
          <w:rFonts w:eastAsia="Guttman Hodes"/>
          <w:rtl/>
        </w:rPr>
        <w:fldChar w:fldCharType="end"/>
      </w:r>
      <w:r w:rsidRPr="0080421E">
        <w:rPr>
          <w:rFonts w:hint="cs"/>
          <w:rtl/>
        </w:rPr>
        <w:t xml:space="preserve"> בדברי </w:t>
      </w:r>
      <w:r w:rsidRPr="0080421E">
        <w:rPr>
          <w:rStyle w:val="af9"/>
          <w:rFonts w:hint="cs"/>
          <w:rtl/>
        </w:rPr>
        <w:t>הנימוק"י</w:t>
      </w:r>
      <w:r w:rsidRPr="0080421E">
        <w:rPr>
          <w:rFonts w:hint="cs"/>
          <w:rtl/>
        </w:rPr>
        <w:t>.</w:t>
      </w:r>
    </w:p>
    <w:p w:rsidR="002349C9" w:rsidRPr="002349C9" w:rsidRDefault="002349C9" w:rsidP="002349C9">
      <w:pPr>
        <w:pStyle w:val="a3"/>
        <w:rPr>
          <w:rtl/>
        </w:rPr>
      </w:pPr>
    </w:p>
    <w:p w:rsidR="00E874E8" w:rsidRDefault="00E874E8" w:rsidP="00E874E8">
      <w:pPr>
        <w:pStyle w:val="afe"/>
        <w:rPr>
          <w:rtl/>
        </w:rPr>
      </w:pPr>
      <w:bookmarkStart w:id="5038" w:name="_Toc56544332"/>
      <w:bookmarkStart w:id="5039" w:name="_Toc56609768"/>
      <w:bookmarkStart w:id="5040" w:name="_Toc56626601"/>
      <w:bookmarkStart w:id="5041" w:name="_Toc56630069"/>
      <w:bookmarkStart w:id="5042" w:name="_Toc56636921"/>
      <w:bookmarkStart w:id="5043" w:name="_Toc56638055"/>
      <w:bookmarkStart w:id="5044" w:name="_Toc56640899"/>
      <w:bookmarkEnd w:id="5026"/>
      <w:bookmarkEnd w:id="5027"/>
      <w:r>
        <w:rPr>
          <w:rFonts w:hint="cs"/>
          <w:rtl/>
        </w:rPr>
        <w:t>ד' הרא"ש דהתקנ"ח דחזקה במקום שטר</w:t>
      </w:r>
      <w:bookmarkEnd w:id="5038"/>
      <w:bookmarkEnd w:id="5039"/>
      <w:bookmarkEnd w:id="5040"/>
      <w:bookmarkEnd w:id="5041"/>
      <w:bookmarkEnd w:id="5042"/>
      <w:bookmarkEnd w:id="5043"/>
      <w:bookmarkEnd w:id="5044"/>
    </w:p>
    <w:p w:rsidR="00E874E8" w:rsidRDefault="00E874E8" w:rsidP="00E874E8">
      <w:pPr>
        <w:pStyle w:val="1"/>
        <w:rPr>
          <w:rtl/>
        </w:rPr>
      </w:pPr>
      <w:bookmarkStart w:id="5045" w:name="_Toc56544333"/>
      <w:bookmarkStart w:id="5046" w:name="_Toc56609769"/>
      <w:bookmarkStart w:id="5047" w:name="_Toc56626602"/>
      <w:bookmarkStart w:id="5048" w:name="_Toc56630070"/>
      <w:bookmarkStart w:id="5049" w:name="_Toc56636922"/>
      <w:bookmarkStart w:id="5050" w:name="_Toc56638056"/>
      <w:bookmarkStart w:id="5051" w:name="_Toc56640900"/>
      <w:r w:rsidRPr="00014E10">
        <w:rPr>
          <w:rFonts w:hint="cs"/>
          <w:rtl/>
        </w:rPr>
        <w:t>דברי הרא"ש</w:t>
      </w:r>
      <w:bookmarkEnd w:id="4905"/>
      <w:bookmarkEnd w:id="4906"/>
      <w:bookmarkEnd w:id="5045"/>
      <w:bookmarkEnd w:id="5046"/>
      <w:bookmarkEnd w:id="5047"/>
      <w:bookmarkEnd w:id="5048"/>
      <w:r>
        <w:rPr>
          <w:rFonts w:hint="cs"/>
          <w:rtl/>
        </w:rPr>
        <w:t xml:space="preserve"> דכיון שאין נזהר בשטר תיקנו שא"צ להראות שטר</w:t>
      </w:r>
      <w:bookmarkEnd w:id="5049"/>
      <w:bookmarkEnd w:id="5050"/>
      <w:bookmarkEnd w:id="5051"/>
    </w:p>
    <w:p w:rsidR="00E874E8" w:rsidRPr="00014E10" w:rsidRDefault="00E874E8" w:rsidP="00E874E8">
      <w:pPr>
        <w:pStyle w:val="a3"/>
        <w:rPr>
          <w:rtl/>
        </w:rPr>
      </w:pPr>
      <w:bookmarkStart w:id="5052" w:name="_Toc56458190"/>
      <w:bookmarkStart w:id="5053" w:name="_Toc56544334"/>
      <w:bookmarkStart w:id="5054" w:name="_Toc56609770"/>
      <w:bookmarkStart w:id="5055" w:name="_Toc56626603"/>
      <w:bookmarkStart w:id="5056" w:name="_Toc56630071"/>
      <w:bookmarkStart w:id="5057" w:name="_Toc56636923"/>
      <w:bookmarkStart w:id="5058" w:name="_Toc56638057"/>
      <w:bookmarkStart w:id="5059" w:name="_Toc56640901"/>
      <w:r>
        <w:rPr>
          <w:rFonts w:hint="cs"/>
          <w:rtl/>
        </w:rPr>
        <w:t>דברי הרא"ש דכיון שאחר ג"ש אינו נזהר בשטרו תיקנו חכמים דאחר ג"ש</w:t>
      </w:r>
      <w:r w:rsidRPr="00E46225">
        <w:rPr>
          <w:rFonts w:hint="cs"/>
          <w:rtl/>
        </w:rPr>
        <w:t xml:space="preserve"> </w:t>
      </w:r>
      <w:r>
        <w:rPr>
          <w:rFonts w:hint="cs"/>
          <w:rtl/>
        </w:rPr>
        <w:t>א"צ להראות שטרו</w:t>
      </w:r>
      <w:bookmarkEnd w:id="5052"/>
      <w:bookmarkEnd w:id="5053"/>
      <w:bookmarkEnd w:id="5054"/>
      <w:bookmarkEnd w:id="5055"/>
      <w:bookmarkEnd w:id="5056"/>
      <w:bookmarkEnd w:id="5057"/>
      <w:bookmarkEnd w:id="5058"/>
      <w:bookmarkEnd w:id="5059"/>
    </w:p>
    <w:p w:rsidR="00E874E8" w:rsidRDefault="00E874E8" w:rsidP="007E4E81">
      <w:pPr>
        <w:pStyle w:val="a0"/>
        <w:rPr>
          <w:rtl/>
        </w:rPr>
      </w:pPr>
      <w:bookmarkStart w:id="5060" w:name="_Ref56593158"/>
      <w:bookmarkStart w:id="5061" w:name="_Ref56348153"/>
      <w:r w:rsidRPr="00127C89">
        <w:rPr>
          <w:rFonts w:hint="cs"/>
          <w:rtl/>
        </w:rPr>
        <w:t xml:space="preserve">כתב </w:t>
      </w:r>
      <w:r w:rsidRPr="00127C89">
        <w:rPr>
          <w:rStyle w:val="af9"/>
          <w:rFonts w:hint="cs"/>
          <w:rtl/>
        </w:rPr>
        <w:t xml:space="preserve">הרא"ש </w:t>
      </w:r>
      <w:r w:rsidRPr="00127C89">
        <w:rPr>
          <w:rStyle w:val="af7"/>
          <w:rFonts w:eastAsia="Guttman Hodes" w:hint="cs"/>
          <w:rtl/>
        </w:rPr>
        <w:t>(סי' א')</w:t>
      </w:r>
      <w:r w:rsidRPr="00127C89">
        <w:rPr>
          <w:rFonts w:hint="cs"/>
          <w:rtl/>
        </w:rPr>
        <w:t xml:space="preserve"> דכיון שרק עד ג"ש אדם נזהר בשטרו, לכן תיקנו חכמים שאם יביא המחזיק עדים שאכל ג"ש בשופי, אינו צריך יותר להראות את שטרו</w:t>
      </w:r>
      <w:r>
        <w:rPr>
          <w:rFonts w:hint="cs"/>
          <w:rtl/>
        </w:rPr>
        <w:t>.</w:t>
      </w:r>
      <w:bookmarkEnd w:id="5060"/>
    </w:p>
    <w:p w:rsidR="00E874E8" w:rsidRPr="001D1883" w:rsidRDefault="00E874E8" w:rsidP="00E874E8">
      <w:pPr>
        <w:pStyle w:val="a3"/>
        <w:rPr>
          <w:rtl/>
        </w:rPr>
      </w:pPr>
      <w:bookmarkStart w:id="5062" w:name="_Toc56458191"/>
      <w:bookmarkStart w:id="5063" w:name="_Toc56544335"/>
      <w:bookmarkStart w:id="5064" w:name="_Toc56609771"/>
      <w:bookmarkStart w:id="5065" w:name="_Toc56626604"/>
      <w:bookmarkStart w:id="5066" w:name="_Toc56630072"/>
      <w:bookmarkStart w:id="5067" w:name="_Toc56636924"/>
      <w:bookmarkStart w:id="5068" w:name="_Toc56638058"/>
      <w:bookmarkStart w:id="5069" w:name="_Toc56640902"/>
      <w:r>
        <w:rPr>
          <w:rFonts w:hint="cs"/>
          <w:rtl/>
        </w:rPr>
        <w:t>דברי הרא"ש דהמחאה מהני אף כשעידי המחאה לא סיפרו עליה לשום אדם דמחה כדינו</w:t>
      </w:r>
      <w:bookmarkEnd w:id="5062"/>
      <w:bookmarkEnd w:id="5063"/>
      <w:bookmarkEnd w:id="5064"/>
      <w:bookmarkEnd w:id="5065"/>
      <w:bookmarkEnd w:id="5066"/>
      <w:bookmarkEnd w:id="5067"/>
      <w:bookmarkEnd w:id="5068"/>
      <w:bookmarkEnd w:id="5069"/>
    </w:p>
    <w:p w:rsidR="00E874E8" w:rsidRDefault="00E874E8" w:rsidP="007E4E81">
      <w:pPr>
        <w:pStyle w:val="a0"/>
        <w:rPr>
          <w:rtl/>
        </w:rPr>
      </w:pPr>
      <w:bookmarkStart w:id="5070" w:name="_Ref56502961"/>
      <w:r w:rsidRPr="00127C89">
        <w:rPr>
          <w:rFonts w:hint="cs"/>
          <w:rtl/>
        </w:rPr>
        <w:t xml:space="preserve">וכתב </w:t>
      </w:r>
      <w:r w:rsidRPr="00127C89">
        <w:rPr>
          <w:rStyle w:val="af9"/>
          <w:rFonts w:hint="cs"/>
          <w:rtl/>
        </w:rPr>
        <w:t xml:space="preserve">הרא"ש </w:t>
      </w:r>
      <w:r w:rsidRPr="00127C89">
        <w:rPr>
          <w:rFonts w:hint="cs"/>
          <w:rtl/>
        </w:rPr>
        <w:t xml:space="preserve">דמחאה מהני, אף במקום שעידי המחאה לא אמרו לשום אדם, דכיון שמיחה המערער כמו שאמרו חכמים, לא הצריכו אותו למחות בפני המחזיק, </w:t>
      </w:r>
      <w:r w:rsidRPr="00E44C04">
        <w:rPr>
          <w:rStyle w:val="afb"/>
          <w:rFonts w:hint="cs"/>
          <w:rtl/>
        </w:rPr>
        <w:t xml:space="preserve">[וכ"כ </w:t>
      </w:r>
      <w:r w:rsidRPr="00E44C04">
        <w:rPr>
          <w:rStyle w:val="affa"/>
          <w:rFonts w:hint="cs"/>
          <w:rtl/>
        </w:rPr>
        <w:t>רבינו יונה</w:t>
      </w:r>
      <w:r w:rsidRPr="00E44C04">
        <w:rPr>
          <w:rStyle w:val="afb"/>
          <w:rFonts w:hint="cs"/>
          <w:rtl/>
        </w:rPr>
        <w:t xml:space="preserve"> </w:t>
      </w:r>
      <w:r w:rsidRPr="00E44C04">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Ref56502987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ה)</w:t>
      </w:r>
      <w:r>
        <w:rPr>
          <w:rStyle w:val="aff6"/>
          <w:rtl/>
        </w:rPr>
        <w:fldChar w:fldCharType="end"/>
      </w:r>
      <w:r>
        <w:rPr>
          <w:rStyle w:val="aff6"/>
          <w:rFonts w:hint="cs"/>
          <w:rtl/>
        </w:rPr>
        <w:t xml:space="preserve"> </w:t>
      </w:r>
      <w:r w:rsidRPr="00E44C04">
        <w:rPr>
          <w:rStyle w:val="affa"/>
          <w:rFonts w:hint="cs"/>
          <w:rtl/>
        </w:rPr>
        <w:t>והנימוק"י</w:t>
      </w:r>
      <w:r w:rsidRPr="00E44C04">
        <w:rPr>
          <w:rStyle w:val="aff6"/>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Ref55315892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סד)</w:t>
      </w:r>
      <w:r>
        <w:rPr>
          <w:rStyle w:val="aff6"/>
          <w:rtl/>
        </w:rPr>
        <w:fldChar w:fldCharType="end"/>
      </w:r>
      <w:r>
        <w:rPr>
          <w:rStyle w:val="aff6"/>
          <w:rFonts w:hint="cs"/>
          <w:rtl/>
        </w:rPr>
        <w:t xml:space="preserve"> </w:t>
      </w:r>
      <w:r w:rsidRPr="00E44C04">
        <w:rPr>
          <w:rStyle w:val="affa"/>
          <w:rFonts w:hint="cs"/>
          <w:rtl/>
        </w:rPr>
        <w:t>והרשב"ם לקמן</w:t>
      </w:r>
      <w:r w:rsidRPr="00E44C04">
        <w:rPr>
          <w:rStyle w:val="afb"/>
          <w:rFonts w:hint="cs"/>
          <w:rtl/>
        </w:rPr>
        <w:t xml:space="preserve"> </w:t>
      </w:r>
      <w:r w:rsidRPr="00E44C04">
        <w:rPr>
          <w:rStyle w:val="aff6"/>
          <w:rFonts w:hint="cs"/>
          <w:rtl/>
        </w:rPr>
        <w:t xml:space="preserve">(לט. ד"ה מחאה, הובא בסימן ד' אות ע') </w:t>
      </w:r>
      <w:r w:rsidRPr="00E44C04">
        <w:rPr>
          <w:rStyle w:val="affa"/>
          <w:rFonts w:hint="cs"/>
          <w:rtl/>
        </w:rPr>
        <w:t>והר"ן בתשו'</w:t>
      </w:r>
      <w:r w:rsidRPr="00E44C04">
        <w:rPr>
          <w:rStyle w:val="afb"/>
          <w:rFonts w:hint="cs"/>
          <w:rtl/>
        </w:rPr>
        <w:t xml:space="preserve"> </w:t>
      </w:r>
      <w:r w:rsidRPr="00E44C04">
        <w:rPr>
          <w:rStyle w:val="aff6"/>
          <w:rFonts w:hint="cs"/>
          <w:rtl/>
        </w:rPr>
        <w:t>(סי' ע"ה, הובא בסימן ד' אות ס"ו)</w:t>
      </w:r>
      <w:r w:rsidRPr="00E44C04">
        <w:rPr>
          <w:rStyle w:val="afb"/>
          <w:rFonts w:hint="cs"/>
          <w:rtl/>
        </w:rPr>
        <w:t>],</w:t>
      </w:r>
      <w:r>
        <w:rPr>
          <w:rFonts w:hint="cs"/>
          <w:rtl/>
        </w:rPr>
        <w:t xml:space="preserve"> </w:t>
      </w:r>
      <w:r w:rsidRPr="00127C89">
        <w:rPr>
          <w:rFonts w:hint="cs"/>
          <w:rtl/>
        </w:rPr>
        <w:t>ועי' במ</w:t>
      </w:r>
      <w:r>
        <w:rPr>
          <w:rFonts w:hint="cs"/>
          <w:rtl/>
        </w:rPr>
        <w:t>ה שביארו</w:t>
      </w:r>
      <w:r w:rsidRPr="00127C89">
        <w:rPr>
          <w:rFonts w:hint="cs"/>
          <w:rtl/>
        </w:rPr>
        <w:t xml:space="preserve"> </w:t>
      </w:r>
      <w:r w:rsidRPr="00127C89">
        <w:rPr>
          <w:rStyle w:val="af9"/>
          <w:rFonts w:hint="cs"/>
          <w:rtl/>
        </w:rPr>
        <w:t>הקה"י</w:t>
      </w:r>
      <w:r w:rsidRPr="00B64C03">
        <w:rPr>
          <w:rStyle w:val="af7"/>
          <w:rFonts w:eastAsia="Guttman Hodes" w:hint="cs"/>
          <w:rtl/>
        </w:rPr>
        <w:t xml:space="preserve"> (עי' אות </w:t>
      </w:r>
      <w:r w:rsidRPr="00B64C03">
        <w:rPr>
          <w:rStyle w:val="af7"/>
          <w:rFonts w:eastAsia="Guttman Hodes"/>
          <w:rtl/>
        </w:rPr>
        <w:fldChar w:fldCharType="begin"/>
      </w:r>
      <w:r w:rsidRPr="00B64C03">
        <w:rPr>
          <w:rStyle w:val="af7"/>
          <w:rFonts w:eastAsia="Guttman Hodes"/>
          <w:rtl/>
        </w:rPr>
        <w:instrText xml:space="preserve"> </w:instrText>
      </w:r>
      <w:r w:rsidRPr="00B64C03">
        <w:rPr>
          <w:rStyle w:val="af7"/>
          <w:rFonts w:eastAsia="Guttman Hodes" w:hint="cs"/>
        </w:rPr>
        <w:instrText>REF</w:instrText>
      </w:r>
      <w:r w:rsidRPr="00B64C03">
        <w:rPr>
          <w:rStyle w:val="af7"/>
          <w:rFonts w:eastAsia="Guttman Hodes" w:hint="cs"/>
          <w:rtl/>
        </w:rPr>
        <w:instrText xml:space="preserve"> _</w:instrText>
      </w:r>
      <w:r w:rsidRPr="00B64C03">
        <w:rPr>
          <w:rStyle w:val="af7"/>
          <w:rFonts w:eastAsia="Guttman Hodes" w:hint="cs"/>
        </w:rPr>
        <w:instrText>Ref55315123 \r \h</w:instrText>
      </w:r>
      <w:r w:rsidRPr="00B64C03">
        <w:rPr>
          <w:rStyle w:val="af7"/>
          <w:rFonts w:eastAsia="Guttman Hodes"/>
          <w:rtl/>
        </w:rPr>
        <w:instrText xml:space="preserve">  \* </w:instrText>
      </w:r>
      <w:r w:rsidRPr="00B64C03">
        <w:rPr>
          <w:rStyle w:val="af7"/>
          <w:rFonts w:eastAsia="Guttman Hodes"/>
        </w:rPr>
        <w:instrText>MERGEFORMAT</w:instrText>
      </w:r>
      <w:r w:rsidRPr="00B64C03">
        <w:rPr>
          <w:rStyle w:val="af7"/>
          <w:rFonts w:eastAsia="Guttman Hodes"/>
          <w:rtl/>
        </w:rPr>
        <w:instrText xml:space="preserve"> </w:instrText>
      </w:r>
      <w:r w:rsidRPr="00B64C03">
        <w:rPr>
          <w:rStyle w:val="af7"/>
          <w:rFonts w:eastAsia="Guttman Hodes"/>
          <w:rtl/>
        </w:rPr>
      </w:r>
      <w:r w:rsidRPr="00B64C03">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sidRPr="00B64C03">
        <w:rPr>
          <w:rStyle w:val="af7"/>
          <w:rFonts w:eastAsia="Guttman Hodes"/>
          <w:rtl/>
        </w:rPr>
        <w:fldChar w:fldCharType="end"/>
      </w:r>
      <w:r w:rsidRPr="00127C89">
        <w:rPr>
          <w:rFonts w:hint="cs"/>
          <w:rtl/>
        </w:rPr>
        <w:t xml:space="preserve"> </w:t>
      </w:r>
      <w:r w:rsidRPr="0024741A">
        <w:rPr>
          <w:rStyle w:val="af9"/>
          <w:rFonts w:hint="cs"/>
          <w:rtl/>
        </w:rPr>
        <w:t>והקוב"ש</w:t>
      </w:r>
      <w:r>
        <w:rPr>
          <w:rFonts w:hint="cs"/>
          <w:rtl/>
        </w:rPr>
        <w:t xml:space="preserve"> </w:t>
      </w:r>
      <w:r w:rsidRPr="0024741A">
        <w:rPr>
          <w:rStyle w:val="af7"/>
          <w:rFonts w:eastAsia="Guttman Hodes" w:hint="cs"/>
          <w:rtl/>
        </w:rPr>
        <w:t xml:space="preserve">(עי' אות </w:t>
      </w:r>
      <w:r w:rsidRPr="0024741A">
        <w:rPr>
          <w:rStyle w:val="af7"/>
          <w:rFonts w:eastAsia="Guttman Hodes"/>
          <w:rtl/>
        </w:rPr>
        <w:fldChar w:fldCharType="begin"/>
      </w:r>
      <w:r w:rsidRPr="0024741A">
        <w:rPr>
          <w:rStyle w:val="af7"/>
          <w:rFonts w:eastAsia="Guttman Hodes"/>
          <w:rtl/>
        </w:rPr>
        <w:instrText xml:space="preserve"> </w:instrText>
      </w:r>
      <w:r w:rsidRPr="0024741A">
        <w:rPr>
          <w:rStyle w:val="af7"/>
          <w:rFonts w:eastAsia="Guttman Hodes" w:hint="cs"/>
        </w:rPr>
        <w:instrText>REF</w:instrText>
      </w:r>
      <w:r w:rsidRPr="0024741A">
        <w:rPr>
          <w:rStyle w:val="af7"/>
          <w:rFonts w:eastAsia="Guttman Hodes" w:hint="cs"/>
          <w:rtl/>
        </w:rPr>
        <w:instrText xml:space="preserve"> _</w:instrText>
      </w:r>
      <w:r w:rsidRPr="0024741A">
        <w:rPr>
          <w:rStyle w:val="af7"/>
          <w:rFonts w:eastAsia="Guttman Hodes" w:hint="cs"/>
        </w:rPr>
        <w:instrText>Ref56616214 \r \h</w:instrText>
      </w:r>
      <w:r w:rsidRPr="0024741A">
        <w:rPr>
          <w:rStyle w:val="af7"/>
          <w:rFonts w:eastAsia="Guttman Hodes"/>
          <w:rtl/>
        </w:rPr>
        <w:instrText xml:space="preserve"> </w:instrText>
      </w:r>
      <w:r w:rsidRPr="0024741A">
        <w:rPr>
          <w:rStyle w:val="af7"/>
          <w:rFonts w:eastAsia="Guttman Hodes"/>
          <w:rtl/>
        </w:rPr>
      </w:r>
      <w:r w:rsidRPr="0024741A">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24741A">
        <w:rPr>
          <w:rStyle w:val="af7"/>
          <w:rFonts w:eastAsia="Guttman Hodes"/>
          <w:rtl/>
        </w:rPr>
        <w:fldChar w:fldCharType="end"/>
      </w:r>
      <w:r>
        <w:rPr>
          <w:rFonts w:hint="cs"/>
          <w:rtl/>
        </w:rPr>
        <w:t xml:space="preserve"> </w:t>
      </w:r>
      <w:r>
        <w:rPr>
          <w:rStyle w:val="af9"/>
          <w:rFonts w:hint="cs"/>
          <w:rtl/>
        </w:rPr>
        <w:t>ו</w:t>
      </w:r>
      <w:r w:rsidRPr="00BE1C8F">
        <w:rPr>
          <w:rStyle w:val="af9"/>
          <w:rtl/>
        </w:rPr>
        <w:t>החזון יחזקאל</w:t>
      </w:r>
      <w:r w:rsidRPr="00523C69">
        <w:rPr>
          <w:rtl/>
        </w:rPr>
        <w:t xml:space="preserve"> </w:t>
      </w:r>
      <w:r w:rsidRPr="00024F12">
        <w:rPr>
          <w:rStyle w:val="af7"/>
          <w:rFonts w:eastAsia="Guttman Hodes" w:hint="cs"/>
          <w:rtl/>
        </w:rPr>
        <w:t xml:space="preserve">(עי' אות </w:t>
      </w:r>
      <w:r w:rsidRPr="00024F12">
        <w:rPr>
          <w:rStyle w:val="af7"/>
          <w:rFonts w:eastAsia="Guttman Hodes"/>
          <w:rtl/>
        </w:rPr>
        <w:fldChar w:fldCharType="begin"/>
      </w:r>
      <w:r w:rsidRPr="00024F12">
        <w:rPr>
          <w:rStyle w:val="af7"/>
          <w:rFonts w:eastAsia="Guttman Hodes"/>
          <w:rtl/>
        </w:rPr>
        <w:instrText xml:space="preserve"> </w:instrText>
      </w:r>
      <w:r w:rsidRPr="00024F12">
        <w:rPr>
          <w:rStyle w:val="af7"/>
          <w:rFonts w:eastAsia="Guttman Hodes" w:hint="cs"/>
        </w:rPr>
        <w:instrText>REF</w:instrText>
      </w:r>
      <w:r w:rsidRPr="00024F12">
        <w:rPr>
          <w:rStyle w:val="af7"/>
          <w:rFonts w:eastAsia="Guttman Hodes" w:hint="cs"/>
          <w:rtl/>
        </w:rPr>
        <w:instrText xml:space="preserve"> _</w:instrText>
      </w:r>
      <w:r w:rsidRPr="00024F12">
        <w:rPr>
          <w:rStyle w:val="af7"/>
          <w:rFonts w:eastAsia="Guttman Hodes" w:hint="cs"/>
        </w:rPr>
        <w:instrText>Ref56640632 \r \h</w:instrText>
      </w:r>
      <w:r w:rsidRPr="00024F12">
        <w:rPr>
          <w:rStyle w:val="af7"/>
          <w:rFonts w:eastAsia="Guttman Hodes"/>
          <w:rtl/>
        </w:rPr>
        <w:instrText xml:space="preserve"> </w:instrText>
      </w:r>
      <w:r w:rsidRPr="00024F12">
        <w:rPr>
          <w:rStyle w:val="af7"/>
          <w:rFonts w:eastAsia="Guttman Hodes"/>
          <w:rtl/>
        </w:rPr>
      </w:r>
      <w:r w:rsidRPr="00024F12">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024F12">
        <w:rPr>
          <w:rStyle w:val="af7"/>
          <w:rFonts w:eastAsia="Guttman Hodes"/>
          <w:rtl/>
        </w:rPr>
        <w:fldChar w:fldCharType="end"/>
      </w:r>
      <w:r w:rsidRPr="00024F12">
        <w:rPr>
          <w:rStyle w:val="af7"/>
          <w:rFonts w:eastAsia="Guttman Hodes" w:hint="cs"/>
          <w:rtl/>
        </w:rPr>
        <w:t xml:space="preserve"> </w:t>
      </w:r>
      <w:r w:rsidRPr="00127C89">
        <w:rPr>
          <w:rFonts w:hint="cs"/>
          <w:rtl/>
        </w:rPr>
        <w:t xml:space="preserve">בדברי </w:t>
      </w:r>
      <w:r w:rsidRPr="00127C89">
        <w:rPr>
          <w:rStyle w:val="af9"/>
          <w:rFonts w:hint="cs"/>
          <w:rtl/>
        </w:rPr>
        <w:t>הרא"ש</w:t>
      </w:r>
      <w:r>
        <w:rPr>
          <w:rFonts w:hint="cs"/>
          <w:rtl/>
        </w:rPr>
        <w:t>.</w:t>
      </w:r>
      <w:bookmarkEnd w:id="5061"/>
      <w:bookmarkEnd w:id="5070"/>
    </w:p>
    <w:p w:rsidR="00E874E8" w:rsidRDefault="00E874E8" w:rsidP="00E874E8">
      <w:pPr>
        <w:pStyle w:val="a3"/>
      </w:pPr>
      <w:bookmarkStart w:id="5071" w:name="_Toc56458192"/>
      <w:bookmarkStart w:id="5072" w:name="_Toc56544336"/>
      <w:bookmarkStart w:id="5073" w:name="_Toc56609772"/>
      <w:bookmarkStart w:id="5074" w:name="_Toc56626605"/>
      <w:bookmarkStart w:id="5075" w:name="_Toc56630073"/>
      <w:bookmarkStart w:id="5076" w:name="_Toc56636925"/>
      <w:bookmarkStart w:id="5077" w:name="_Toc56638059"/>
      <w:bookmarkStart w:id="5078" w:name="_Toc56640903"/>
      <w:r>
        <w:rPr>
          <w:rFonts w:hint="cs"/>
          <w:rtl/>
        </w:rPr>
        <w:t>ביאור השער משפט ברא"ש דחזקת ג"ש היא תקנת חכמים</w:t>
      </w:r>
      <w:bookmarkEnd w:id="5071"/>
      <w:r>
        <w:rPr>
          <w:rFonts w:hint="cs"/>
          <w:rtl/>
        </w:rPr>
        <w:t xml:space="preserve"> שלא יצטרך המחזיק לשמור שטרו</w:t>
      </w:r>
      <w:bookmarkEnd w:id="5072"/>
      <w:bookmarkEnd w:id="5073"/>
      <w:bookmarkEnd w:id="5074"/>
      <w:bookmarkEnd w:id="5075"/>
      <w:bookmarkEnd w:id="5076"/>
      <w:bookmarkEnd w:id="5077"/>
      <w:bookmarkEnd w:id="5078"/>
    </w:p>
    <w:p w:rsidR="00E874E8" w:rsidRDefault="00E874E8" w:rsidP="007E4E81">
      <w:pPr>
        <w:pStyle w:val="a0"/>
        <w:rPr>
          <w:rtl/>
        </w:rPr>
      </w:pPr>
      <w:r w:rsidRPr="00BB31D0">
        <w:rPr>
          <w:rFonts w:hint="cs"/>
          <w:rtl/>
        </w:rPr>
        <w:t>וכתב</w:t>
      </w:r>
      <w:r>
        <w:rPr>
          <w:rFonts w:hint="cs"/>
          <w:rtl/>
        </w:rPr>
        <w:t xml:space="preserve"> </w:t>
      </w:r>
      <w:r w:rsidRPr="00376614">
        <w:rPr>
          <w:rStyle w:val="af9"/>
          <w:rFonts w:hint="cs"/>
          <w:rtl/>
        </w:rPr>
        <w:t>השער משפט</w:t>
      </w:r>
      <w:r>
        <w:rPr>
          <w:rFonts w:hint="cs"/>
          <w:rtl/>
        </w:rPr>
        <w:t xml:space="preserve"> </w:t>
      </w:r>
      <w:r w:rsidRPr="00376614">
        <w:rPr>
          <w:rStyle w:val="af7"/>
          <w:rFonts w:eastAsia="Guttman Hodes" w:hint="cs"/>
          <w:rtl/>
        </w:rPr>
        <w:t>(סי' ק"מ סק"ג ד"</w:t>
      </w:r>
      <w:r w:rsidRPr="00254DCA">
        <w:rPr>
          <w:rStyle w:val="af7"/>
          <w:rFonts w:eastAsia="Guttman Hodes" w:hint="cs"/>
          <w:rtl/>
        </w:rPr>
        <w:t>ה</w:t>
      </w:r>
      <w:r w:rsidRPr="00254DCA">
        <w:rPr>
          <w:rStyle w:val="af7"/>
          <w:rFonts w:eastAsia="Guttman Hodes"/>
          <w:rtl/>
        </w:rPr>
        <w:t xml:space="preserve"> לכך נלפע"ד</w:t>
      </w:r>
      <w:r w:rsidRPr="00254DCA">
        <w:rPr>
          <w:rStyle w:val="af7"/>
          <w:rFonts w:eastAsia="Guttman Hodes" w:hint="cs"/>
          <w:rtl/>
        </w:rPr>
        <w:t>)</w:t>
      </w:r>
      <w:r>
        <w:rPr>
          <w:rFonts w:hint="cs"/>
          <w:rtl/>
        </w:rPr>
        <w:t xml:space="preserve"> </w:t>
      </w:r>
      <w:r w:rsidRPr="00BB31D0">
        <w:rPr>
          <w:rFonts w:hint="cs"/>
          <w:rtl/>
        </w:rPr>
        <w:t xml:space="preserve">דמבואר מדברי </w:t>
      </w:r>
      <w:r w:rsidRPr="002931CE">
        <w:rPr>
          <w:rStyle w:val="af9"/>
          <w:rFonts w:hint="cs"/>
          <w:rtl/>
        </w:rPr>
        <w:t>הרא"ש</w:t>
      </w:r>
      <w:r w:rsidRPr="00BB31D0">
        <w:rPr>
          <w:rFonts w:hint="cs"/>
          <w:rtl/>
        </w:rPr>
        <w:t xml:space="preserve"> </w:t>
      </w:r>
      <w:r w:rsidRPr="002931CE">
        <w:rPr>
          <w:rStyle w:val="af7"/>
          <w:rFonts w:eastAsia="Guttman Hodes" w:hint="cs"/>
          <w:rtl/>
        </w:rPr>
        <w:t xml:space="preserve">(עי' אות </w:t>
      </w:r>
      <w:r w:rsidRPr="002931CE">
        <w:rPr>
          <w:rStyle w:val="af7"/>
          <w:rFonts w:eastAsia="Guttman Hodes"/>
          <w:rtl/>
        </w:rPr>
        <w:fldChar w:fldCharType="begin"/>
      </w:r>
      <w:r w:rsidRPr="002931CE">
        <w:rPr>
          <w:rStyle w:val="af7"/>
          <w:rFonts w:eastAsia="Guttman Hodes"/>
          <w:rtl/>
        </w:rPr>
        <w:instrText xml:space="preserve"> </w:instrText>
      </w:r>
      <w:r w:rsidRPr="002931CE">
        <w:rPr>
          <w:rStyle w:val="af7"/>
          <w:rFonts w:eastAsia="Guttman Hodes" w:hint="cs"/>
        </w:rPr>
        <w:instrText>REF</w:instrText>
      </w:r>
      <w:r w:rsidRPr="002931CE">
        <w:rPr>
          <w:rStyle w:val="af7"/>
          <w:rFonts w:eastAsia="Guttman Hodes" w:hint="cs"/>
          <w:rtl/>
        </w:rPr>
        <w:instrText xml:space="preserve"> _</w:instrText>
      </w:r>
      <w:r w:rsidRPr="002931CE">
        <w:rPr>
          <w:rStyle w:val="af7"/>
          <w:rFonts w:eastAsia="Guttman Hodes" w:hint="cs"/>
        </w:rPr>
        <w:instrText>Ref56348153 \r \h</w:instrText>
      </w:r>
      <w:r w:rsidRPr="002931CE">
        <w:rPr>
          <w:rStyle w:val="af7"/>
          <w:rFonts w:eastAsia="Guttman Hodes"/>
          <w:rtl/>
        </w:rPr>
        <w:instrText xml:space="preserve">  \* </w:instrText>
      </w:r>
      <w:r w:rsidRPr="002931CE">
        <w:rPr>
          <w:rStyle w:val="af7"/>
          <w:rFonts w:eastAsia="Guttman Hodes"/>
        </w:rPr>
        <w:instrText>MERGEFORMAT</w:instrText>
      </w:r>
      <w:r w:rsidRPr="002931CE">
        <w:rPr>
          <w:rStyle w:val="af7"/>
          <w:rFonts w:eastAsia="Guttman Hodes"/>
          <w:rtl/>
        </w:rPr>
        <w:instrText xml:space="preserve"> </w:instrText>
      </w:r>
      <w:r w:rsidRPr="002931CE">
        <w:rPr>
          <w:rStyle w:val="af7"/>
          <w:rFonts w:eastAsia="Guttman Hodes"/>
          <w:rtl/>
        </w:rPr>
      </w:r>
      <w:r w:rsidRPr="002931CE">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2931CE">
        <w:rPr>
          <w:rStyle w:val="af7"/>
          <w:rFonts w:eastAsia="Guttman Hodes"/>
          <w:rtl/>
        </w:rPr>
        <w:fldChar w:fldCharType="end"/>
      </w:r>
      <w:r w:rsidRPr="002931CE">
        <w:rPr>
          <w:rStyle w:val="af7"/>
          <w:rFonts w:eastAsia="Guttman Hodes" w:hint="cs"/>
          <w:rtl/>
        </w:rPr>
        <w:t xml:space="preserve"> </w:t>
      </w:r>
      <w:r w:rsidRPr="00BB31D0">
        <w:rPr>
          <w:rFonts w:hint="cs"/>
          <w:rtl/>
        </w:rPr>
        <w:t>דחזקת ג"ש היא תקנת חכמים</w:t>
      </w:r>
      <w:r>
        <w:rPr>
          <w:rFonts w:hint="cs"/>
          <w:rtl/>
        </w:rPr>
        <w:t xml:space="preserve">, </w:t>
      </w:r>
      <w:r w:rsidRPr="003B5BFC">
        <w:rPr>
          <w:rFonts w:hint="cs"/>
          <w:rtl/>
        </w:rPr>
        <w:t>בכדי שלא יצטרך המחזיק לשמור את שטרו</w:t>
      </w:r>
      <w:r>
        <w:rPr>
          <w:rStyle w:val="af1"/>
          <w:rtl/>
        </w:rPr>
        <w:footnoteReference w:id="26"/>
      </w:r>
      <w:r w:rsidRPr="003B5BFC">
        <w:rPr>
          <w:rFonts w:hint="cs"/>
          <w:rtl/>
        </w:rPr>
        <w:t>.</w:t>
      </w:r>
    </w:p>
    <w:p w:rsidR="00E874E8" w:rsidRPr="005A5222" w:rsidRDefault="00E874E8" w:rsidP="00E874E8">
      <w:pPr>
        <w:pStyle w:val="1"/>
        <w:rPr>
          <w:rtl/>
        </w:rPr>
      </w:pPr>
      <w:bookmarkStart w:id="5079" w:name="_Toc56636926"/>
      <w:bookmarkStart w:id="5080" w:name="_Toc56638060"/>
      <w:bookmarkStart w:id="5081" w:name="_Toc56640904"/>
      <w:r>
        <w:rPr>
          <w:rFonts w:hint="cs"/>
          <w:rtl/>
        </w:rPr>
        <w:t>דברי התורא"ש דכיון שתיקנו חזקת ג"ש כל שלא מחה יש אנ"ס</w:t>
      </w:r>
      <w:bookmarkEnd w:id="5079"/>
      <w:bookmarkEnd w:id="5080"/>
      <w:bookmarkEnd w:id="5081"/>
    </w:p>
    <w:p w:rsidR="00E874E8" w:rsidRPr="00E4673F" w:rsidRDefault="00E874E8" w:rsidP="00E874E8">
      <w:pPr>
        <w:pStyle w:val="a3"/>
      </w:pPr>
      <w:bookmarkStart w:id="5082" w:name="_Toc56544337"/>
      <w:bookmarkStart w:id="5083" w:name="_Toc56609773"/>
      <w:bookmarkStart w:id="5084" w:name="_Toc56626606"/>
      <w:bookmarkStart w:id="5085" w:name="_Toc56630074"/>
      <w:bookmarkStart w:id="5086" w:name="_Toc56636927"/>
      <w:bookmarkStart w:id="5087" w:name="_Toc56638061"/>
      <w:bookmarkStart w:id="5088" w:name="_Toc56640905"/>
      <w:r>
        <w:rPr>
          <w:rFonts w:hint="cs"/>
          <w:rtl/>
        </w:rPr>
        <w:t>דברי התורא"ש בב"מ דתיקנו חכמים חזקה במקום שטר ותיקנו מחאה ומדלא מחה אנ"ס שמכר</w:t>
      </w:r>
      <w:bookmarkEnd w:id="5082"/>
      <w:bookmarkEnd w:id="5083"/>
      <w:bookmarkEnd w:id="5084"/>
      <w:bookmarkEnd w:id="5085"/>
      <w:bookmarkEnd w:id="5086"/>
      <w:bookmarkEnd w:id="5087"/>
      <w:bookmarkEnd w:id="5088"/>
    </w:p>
    <w:p w:rsidR="00E874E8" w:rsidRDefault="00E874E8" w:rsidP="007E4E81">
      <w:pPr>
        <w:pStyle w:val="a0"/>
        <w:rPr>
          <w:rtl/>
        </w:rPr>
      </w:pPr>
      <w:r w:rsidRPr="003C4D94">
        <w:rPr>
          <w:rFonts w:hint="cs"/>
          <w:rtl/>
        </w:rPr>
        <w:t>ו</w:t>
      </w:r>
      <w:r>
        <w:rPr>
          <w:rFonts w:hint="cs"/>
          <w:rtl/>
        </w:rPr>
        <w:t>ע"ע בדברי</w:t>
      </w:r>
      <w:r w:rsidRPr="003C4D94">
        <w:rPr>
          <w:rFonts w:hint="cs"/>
          <w:rtl/>
        </w:rPr>
        <w:t xml:space="preserve"> </w:t>
      </w:r>
      <w:r w:rsidRPr="003C4D94">
        <w:rPr>
          <w:rStyle w:val="af9"/>
          <w:rFonts w:hint="cs"/>
          <w:rtl/>
        </w:rPr>
        <w:t>התוס' הרא"ש בב"מ</w:t>
      </w:r>
      <w:r w:rsidRPr="003C4D94">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Ref56526775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Pr>
          <w:rStyle w:val="af7"/>
          <w:rFonts w:eastAsia="Guttman Hodes"/>
          <w:rtl/>
        </w:rPr>
        <w:fldChar w:fldCharType="end"/>
      </w:r>
      <w:r>
        <w:rPr>
          <w:rStyle w:val="af7"/>
          <w:rFonts w:eastAsia="Guttman Hodes" w:hint="cs"/>
          <w:rtl/>
        </w:rPr>
        <w:t xml:space="preserve"> </w:t>
      </w:r>
      <w:r>
        <w:rPr>
          <w:rFonts w:hint="cs"/>
          <w:rtl/>
        </w:rPr>
        <w:t>דכתב</w:t>
      </w:r>
      <w:r w:rsidRPr="003C4D94">
        <w:rPr>
          <w:rFonts w:hint="cs"/>
          <w:rtl/>
        </w:rPr>
        <w:t xml:space="preserve"> דכיון שידוע לכל דתיקנו חכמים דחזקת ג"ש מהני במקום שטר, כיון שאין אדם יכול לשמור שטרו לעולם, ותיקנו שמחאה מבטלת את החזקה, א"כ כל שלא מיחה בו יש אנן סהדי שמכרה לו</w:t>
      </w:r>
      <w:r>
        <w:rPr>
          <w:rFonts w:hint="cs"/>
          <w:rtl/>
        </w:rPr>
        <w:t>.</w:t>
      </w:r>
    </w:p>
    <w:p w:rsidR="00E874E8" w:rsidRPr="00CA746E" w:rsidRDefault="00E874E8" w:rsidP="00E874E8">
      <w:pPr>
        <w:pStyle w:val="a3"/>
      </w:pPr>
      <w:bookmarkStart w:id="5089" w:name="_Toc56544338"/>
      <w:bookmarkStart w:id="5090" w:name="_Toc56609774"/>
      <w:bookmarkStart w:id="5091" w:name="_Toc56626607"/>
      <w:bookmarkStart w:id="5092" w:name="_Toc56630075"/>
      <w:bookmarkStart w:id="5093" w:name="_Toc56636929"/>
      <w:bookmarkStart w:id="5094" w:name="_Toc56638063"/>
      <w:bookmarkStart w:id="5095" w:name="_Toc56640907"/>
      <w:r>
        <w:rPr>
          <w:rFonts w:hint="cs"/>
          <w:rtl/>
        </w:rPr>
        <w:t>דברי הרא"ש דבמודה המחזיק שמחה בפניו לבדו ל"ה חזקה דהיה לו להזהר בשטרו</w:t>
      </w:r>
      <w:bookmarkEnd w:id="5089"/>
      <w:bookmarkEnd w:id="5090"/>
      <w:bookmarkEnd w:id="5091"/>
      <w:bookmarkEnd w:id="5092"/>
      <w:bookmarkEnd w:id="5093"/>
      <w:bookmarkEnd w:id="5094"/>
      <w:bookmarkEnd w:id="5095"/>
    </w:p>
    <w:p w:rsidR="00E874E8" w:rsidRPr="00CA746E" w:rsidRDefault="00E874E8" w:rsidP="007E4E81">
      <w:pPr>
        <w:pStyle w:val="a0"/>
        <w:rPr>
          <w:rStyle w:val="afb"/>
          <w:rtl/>
        </w:rPr>
      </w:pPr>
      <w:bookmarkStart w:id="5096" w:name="_Ref56631040"/>
      <w:bookmarkStart w:id="5097" w:name="_Toc54076386"/>
      <w:bookmarkStart w:id="5098" w:name="_Toc55419897"/>
      <w:bookmarkStart w:id="5099" w:name="_Toc55419953"/>
      <w:bookmarkStart w:id="5100" w:name="_Toc55421160"/>
      <w:bookmarkStart w:id="5101" w:name="_Toc55508538"/>
      <w:bookmarkStart w:id="5102" w:name="_Toc55569186"/>
      <w:bookmarkStart w:id="5103" w:name="_Toc55718297"/>
      <w:bookmarkStart w:id="5104" w:name="_Toc55739961"/>
      <w:bookmarkStart w:id="5105" w:name="_Toc56372863"/>
      <w:bookmarkStart w:id="5106" w:name="_Toc56458198"/>
      <w:r>
        <w:rPr>
          <w:rFonts w:hint="cs"/>
          <w:rtl/>
        </w:rPr>
        <w:t xml:space="preserve">ועוד כתב </w:t>
      </w:r>
      <w:r w:rsidRPr="00CA746E">
        <w:rPr>
          <w:rStyle w:val="af9"/>
          <w:rFonts w:hint="cs"/>
          <w:rtl/>
        </w:rPr>
        <w:t>הרא"ש לקמן</w:t>
      </w:r>
      <w:r>
        <w:rPr>
          <w:rFonts w:hint="cs"/>
          <w:rtl/>
        </w:rPr>
        <w:t xml:space="preserve"> </w:t>
      </w:r>
      <w:r w:rsidRPr="00CA746E">
        <w:rPr>
          <w:rStyle w:val="af7"/>
          <w:rFonts w:eastAsia="Guttman Hodes" w:hint="cs"/>
          <w:rtl/>
        </w:rPr>
        <w:t>(סי' ל')</w:t>
      </w:r>
      <w:r>
        <w:rPr>
          <w:rFonts w:hint="cs"/>
          <w:rtl/>
        </w:rPr>
        <w:t xml:space="preserve"> דהא דבעינן מחאה בפני שנים, היינו דוקא כשלא מחה בפני המחזיק, אבל אם מודה המחזיק שמחה בפניו, אינו נאמן במיגו דהיה טוען שלא מחה, דכל שיודע שהמערער מחה בו היה לו להזהר בשטרו. </w:t>
      </w:r>
      <w:r w:rsidRPr="00CA746E">
        <w:rPr>
          <w:rStyle w:val="afb"/>
          <w:rFonts w:hint="cs"/>
          <w:rtl/>
        </w:rPr>
        <w:t>[ודלא</w:t>
      </w:r>
      <w:r>
        <w:rPr>
          <w:rFonts w:hint="cs"/>
          <w:rtl/>
        </w:rPr>
        <w:t xml:space="preserve"> </w:t>
      </w:r>
      <w:r w:rsidRPr="00CA746E">
        <w:rPr>
          <w:rStyle w:val="affa"/>
          <w:rFonts w:hint="cs"/>
          <w:rtl/>
        </w:rPr>
        <w:t>כהרמב"ן לקמן</w:t>
      </w:r>
      <w:r>
        <w:rPr>
          <w:rFonts w:hint="cs"/>
          <w:rtl/>
        </w:rPr>
        <w:t xml:space="preserve"> </w:t>
      </w:r>
      <w:r w:rsidRPr="00CA746E">
        <w:rPr>
          <w:rStyle w:val="aff6"/>
          <w:rFonts w:hint="cs"/>
          <w:rtl/>
        </w:rPr>
        <w:t>(לט: ד"ה מחאה)</w:t>
      </w:r>
      <w:r>
        <w:rPr>
          <w:rFonts w:hint="cs"/>
          <w:rtl/>
        </w:rPr>
        <w:t xml:space="preserve"> </w:t>
      </w:r>
      <w:r w:rsidRPr="00CA746E">
        <w:rPr>
          <w:rStyle w:val="afb"/>
          <w:rFonts w:hint="cs"/>
          <w:rtl/>
        </w:rPr>
        <w:t>דכתב דנאמן במיגו].</w:t>
      </w:r>
      <w:bookmarkEnd w:id="5096"/>
    </w:p>
    <w:p w:rsidR="00E874E8" w:rsidRPr="00CA746E" w:rsidRDefault="00E874E8" w:rsidP="00E874E8">
      <w:pPr>
        <w:pStyle w:val="a3"/>
      </w:pPr>
      <w:bookmarkStart w:id="5107" w:name="_Toc56544339"/>
      <w:bookmarkStart w:id="5108" w:name="_Toc56609775"/>
      <w:bookmarkStart w:id="5109" w:name="_Toc56626608"/>
      <w:bookmarkStart w:id="5110" w:name="_Toc56630076"/>
      <w:bookmarkStart w:id="5111" w:name="_Toc56636930"/>
      <w:bookmarkStart w:id="5112" w:name="_Toc56638064"/>
      <w:bookmarkStart w:id="5113" w:name="_Toc56640908"/>
      <w:r>
        <w:rPr>
          <w:rFonts w:hint="cs"/>
          <w:rtl/>
        </w:rPr>
        <w:t>ביאור הנתיה"מ ברא"ש דהחזקה היא תקנ"ח דא"א להזהר בשטר אך בצריך להזהר אין תקנ"ח</w:t>
      </w:r>
      <w:bookmarkEnd w:id="5107"/>
      <w:bookmarkEnd w:id="5108"/>
      <w:bookmarkEnd w:id="5109"/>
      <w:bookmarkEnd w:id="5110"/>
      <w:bookmarkEnd w:id="5111"/>
      <w:bookmarkEnd w:id="5112"/>
      <w:bookmarkEnd w:id="5113"/>
    </w:p>
    <w:p w:rsidR="00E874E8" w:rsidRDefault="00E874E8" w:rsidP="007E4E81">
      <w:pPr>
        <w:pStyle w:val="a0"/>
        <w:rPr>
          <w:rtl/>
        </w:rPr>
      </w:pPr>
      <w:r>
        <w:rPr>
          <w:rFonts w:hint="cs"/>
          <w:rtl/>
        </w:rPr>
        <w:t xml:space="preserve"> וכתב</w:t>
      </w:r>
      <w:r w:rsidRPr="00FD684C">
        <w:rPr>
          <w:rStyle w:val="af9"/>
          <w:rFonts w:hint="cs"/>
          <w:rtl/>
        </w:rPr>
        <w:t xml:space="preserve"> </w:t>
      </w:r>
      <w:r w:rsidRPr="00633715">
        <w:rPr>
          <w:rStyle w:val="af9"/>
          <w:rFonts w:hint="cs"/>
          <w:rtl/>
        </w:rPr>
        <w:t>הנתיה"מ</w:t>
      </w:r>
      <w:r>
        <w:rPr>
          <w:rFonts w:hint="cs"/>
          <w:rtl/>
        </w:rPr>
        <w:t xml:space="preserve"> </w:t>
      </w:r>
      <w:r w:rsidRPr="00633715">
        <w:rPr>
          <w:rStyle w:val="af7"/>
          <w:rFonts w:eastAsia="Guttman Hodes" w:hint="cs"/>
          <w:rtl/>
        </w:rPr>
        <w:t>(סי' ק"נ סק"ה ד"ה והנה הש"ך)</w:t>
      </w:r>
      <w:r>
        <w:rPr>
          <w:rFonts w:hint="cs"/>
          <w:rtl/>
        </w:rPr>
        <w:t xml:space="preserve"> דמבואר מדברי </w:t>
      </w:r>
      <w:r w:rsidRPr="00CA746E">
        <w:rPr>
          <w:rStyle w:val="af9"/>
          <w:rFonts w:hint="cs"/>
          <w:rtl/>
        </w:rPr>
        <w:t>הרא"ש</w:t>
      </w:r>
      <w:r w:rsidRPr="005A5222">
        <w:rPr>
          <w:rStyle w:val="af7"/>
          <w:rFonts w:eastAsia="Guttman Hodes" w:hint="cs"/>
          <w:rtl/>
        </w:rPr>
        <w:t xml:space="preserve"> (עי' אות </w:t>
      </w:r>
      <w:r w:rsidRPr="005A5222">
        <w:rPr>
          <w:rStyle w:val="af7"/>
          <w:rFonts w:eastAsia="Guttman Hodes"/>
          <w:rtl/>
        </w:rPr>
        <w:fldChar w:fldCharType="begin"/>
      </w:r>
      <w:r w:rsidRPr="005A5222">
        <w:rPr>
          <w:rStyle w:val="af7"/>
          <w:rFonts w:eastAsia="Guttman Hodes"/>
          <w:rtl/>
        </w:rPr>
        <w:instrText xml:space="preserve"> </w:instrText>
      </w:r>
      <w:r w:rsidRPr="005A5222">
        <w:rPr>
          <w:rStyle w:val="af7"/>
          <w:rFonts w:eastAsia="Guttman Hodes" w:hint="cs"/>
        </w:rPr>
        <w:instrText>REF</w:instrText>
      </w:r>
      <w:r w:rsidRPr="005A5222">
        <w:rPr>
          <w:rStyle w:val="af7"/>
          <w:rFonts w:eastAsia="Guttman Hodes" w:hint="cs"/>
          <w:rtl/>
        </w:rPr>
        <w:instrText xml:space="preserve"> _</w:instrText>
      </w:r>
      <w:r w:rsidRPr="005A5222">
        <w:rPr>
          <w:rStyle w:val="af7"/>
          <w:rFonts w:eastAsia="Guttman Hodes" w:hint="cs"/>
        </w:rPr>
        <w:instrText>Ref56631040 \r \h</w:instrText>
      </w:r>
      <w:r w:rsidRPr="005A5222">
        <w:rPr>
          <w:rStyle w:val="af7"/>
          <w:rFonts w:eastAsia="Guttman Hodes"/>
          <w:rtl/>
        </w:rPr>
        <w:instrText xml:space="preserve"> </w:instrText>
      </w:r>
      <w:r w:rsidRPr="005A5222">
        <w:rPr>
          <w:rStyle w:val="af7"/>
          <w:rFonts w:eastAsia="Guttman Hodes"/>
          <w:rtl/>
        </w:rPr>
      </w:r>
      <w:r w:rsidRPr="005A5222">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5A5222">
        <w:rPr>
          <w:rStyle w:val="af7"/>
          <w:rFonts w:eastAsia="Guttman Hodes"/>
          <w:rtl/>
        </w:rPr>
        <w:fldChar w:fldCharType="end"/>
      </w:r>
      <w:r>
        <w:rPr>
          <w:rFonts w:hint="cs"/>
          <w:rtl/>
        </w:rPr>
        <w:t xml:space="preserve"> דחזקת ג"ש היא תקנת חכמים, כיון שאינו יכול להזהר בשטרו יותר מג"ש, ובמקום שהוא מודה שהמערער מחה בפניו, א"כ היה לו להזהר בשטרו, וממילא התבטלה התקנה. </w:t>
      </w:r>
      <w:r w:rsidRPr="00E53FE7">
        <w:rPr>
          <w:rStyle w:val="afb"/>
          <w:rFonts w:hint="cs"/>
          <w:rtl/>
        </w:rPr>
        <w:t>[ו</w:t>
      </w:r>
      <w:r>
        <w:rPr>
          <w:rStyle w:val="afb"/>
          <w:rFonts w:hint="cs"/>
          <w:rtl/>
        </w:rPr>
        <w:t xml:space="preserve">בעיקר דברי </w:t>
      </w:r>
      <w:r w:rsidRPr="00EA2425">
        <w:rPr>
          <w:rStyle w:val="affa"/>
          <w:rFonts w:hint="cs"/>
          <w:rtl/>
        </w:rPr>
        <w:t>הרא"ש</w:t>
      </w:r>
      <w:r>
        <w:rPr>
          <w:rStyle w:val="afb"/>
          <w:rFonts w:hint="cs"/>
          <w:rtl/>
        </w:rPr>
        <w:t xml:space="preserve"> דאינו נאמן לטעון שאבד שטרו, עי' במה שביאר </w:t>
      </w:r>
      <w:r w:rsidRPr="00E53FE7">
        <w:rPr>
          <w:rStyle w:val="affa"/>
          <w:rFonts w:hint="cs"/>
          <w:rtl/>
        </w:rPr>
        <w:t>השער משפט</w:t>
      </w:r>
      <w:r>
        <w:rPr>
          <w:rFonts w:hint="cs"/>
          <w:rtl/>
        </w:rPr>
        <w:t xml:space="preserve"> </w:t>
      </w:r>
      <w:r w:rsidRPr="00E53FE7">
        <w:rPr>
          <w:rStyle w:val="aff6"/>
          <w:rFonts w:hint="cs"/>
          <w:rtl/>
        </w:rPr>
        <w:t>(סי' קמ"ו סק"ב)</w:t>
      </w:r>
      <w:r w:rsidRPr="00E53FE7">
        <w:rPr>
          <w:rStyle w:val="afb"/>
          <w:rFonts w:hint="cs"/>
          <w:rtl/>
        </w:rPr>
        <w:t>].</w:t>
      </w:r>
    </w:p>
    <w:p w:rsidR="00282EB0" w:rsidRPr="00282EB0" w:rsidRDefault="00282EB0" w:rsidP="00282EB0">
      <w:pPr>
        <w:pStyle w:val="a3"/>
        <w:rPr>
          <w:rtl/>
        </w:rPr>
      </w:pPr>
    </w:p>
    <w:p w:rsidR="00E874E8" w:rsidRDefault="00E874E8" w:rsidP="00E874E8">
      <w:pPr>
        <w:pStyle w:val="afe"/>
        <w:rPr>
          <w:rtl/>
        </w:rPr>
      </w:pPr>
      <w:bookmarkStart w:id="5114" w:name="_Toc56544340"/>
      <w:bookmarkStart w:id="5115" w:name="_Toc56609776"/>
      <w:bookmarkStart w:id="5116" w:name="_Toc56626609"/>
      <w:bookmarkStart w:id="5117" w:name="_Toc56630077"/>
      <w:bookmarkStart w:id="5118" w:name="_Toc56636931"/>
      <w:bookmarkStart w:id="5119" w:name="_Toc56638065"/>
      <w:bookmarkStart w:id="5120" w:name="_Toc56640909"/>
      <w:r>
        <w:rPr>
          <w:rFonts w:hint="cs"/>
          <w:rtl/>
        </w:rPr>
        <w:lastRenderedPageBreak/>
        <w:t>ד' התוס' דהתקנ"ח דמהני חזקה ומחאה</w:t>
      </w:r>
      <w:bookmarkEnd w:id="5114"/>
      <w:bookmarkEnd w:id="5115"/>
      <w:bookmarkEnd w:id="5116"/>
      <w:bookmarkEnd w:id="5117"/>
      <w:bookmarkEnd w:id="5118"/>
      <w:bookmarkEnd w:id="5119"/>
      <w:bookmarkEnd w:id="5120"/>
    </w:p>
    <w:p w:rsidR="00E874E8" w:rsidRPr="001A6B5C" w:rsidRDefault="00E874E8" w:rsidP="00E874E8">
      <w:pPr>
        <w:pStyle w:val="1"/>
        <w:rPr>
          <w:rtl/>
        </w:rPr>
      </w:pPr>
      <w:bookmarkStart w:id="5121" w:name="_Toc56544341"/>
      <w:bookmarkStart w:id="5122" w:name="_Toc56609777"/>
      <w:bookmarkStart w:id="5123" w:name="_Toc56626610"/>
      <w:bookmarkStart w:id="5124" w:name="_Toc56630078"/>
      <w:bookmarkStart w:id="5125" w:name="_Toc56636932"/>
      <w:bookmarkStart w:id="5126" w:name="_Toc56638066"/>
      <w:bookmarkStart w:id="5127" w:name="_Toc56640910"/>
      <w:r>
        <w:rPr>
          <w:rFonts w:hint="cs"/>
          <w:rtl/>
        </w:rPr>
        <w:t>דברי התוס' בב"מ</w:t>
      </w:r>
      <w:bookmarkEnd w:id="5097"/>
      <w:bookmarkEnd w:id="5098"/>
      <w:bookmarkEnd w:id="5099"/>
      <w:bookmarkEnd w:id="5100"/>
      <w:bookmarkEnd w:id="5101"/>
      <w:bookmarkEnd w:id="5102"/>
      <w:bookmarkEnd w:id="5103"/>
      <w:bookmarkEnd w:id="5104"/>
      <w:bookmarkEnd w:id="5105"/>
      <w:bookmarkEnd w:id="5106"/>
      <w:bookmarkEnd w:id="5121"/>
      <w:bookmarkEnd w:id="5122"/>
      <w:bookmarkEnd w:id="5123"/>
      <w:bookmarkEnd w:id="5124"/>
      <w:r>
        <w:rPr>
          <w:rFonts w:hint="cs"/>
          <w:rtl/>
        </w:rPr>
        <w:t xml:space="preserve"> דבטענת גזול הו"ל למחות ולא במשכנתא</w:t>
      </w:r>
      <w:bookmarkEnd w:id="5125"/>
      <w:bookmarkEnd w:id="5126"/>
      <w:bookmarkEnd w:id="5127"/>
    </w:p>
    <w:p w:rsidR="00E874E8" w:rsidRPr="00DC6C68" w:rsidRDefault="00E874E8" w:rsidP="00E874E8">
      <w:pPr>
        <w:pStyle w:val="a3"/>
        <w:rPr>
          <w:rtl/>
        </w:rPr>
      </w:pPr>
      <w:bookmarkStart w:id="5128" w:name="_Toc56544342"/>
      <w:bookmarkStart w:id="5129" w:name="_Toc56609778"/>
      <w:bookmarkStart w:id="5130" w:name="_Toc56626611"/>
      <w:bookmarkStart w:id="5131" w:name="_Toc56630079"/>
      <w:bookmarkStart w:id="5132" w:name="_Toc56636933"/>
      <w:bookmarkStart w:id="5133" w:name="_Toc56638067"/>
      <w:bookmarkStart w:id="5134" w:name="_Toc56640911"/>
      <w:bookmarkStart w:id="5135" w:name="_Toc53934425"/>
      <w:r>
        <w:rPr>
          <w:rFonts w:hint="cs"/>
          <w:rtl/>
        </w:rPr>
        <w:t>דברי התוס' בב"מ דכשטוען המערער שהמחזיק גזלן היה לו למחות כתקנ"ח ומדלא מחה הפסיד</w:t>
      </w:r>
      <w:bookmarkEnd w:id="5128"/>
      <w:bookmarkEnd w:id="5129"/>
      <w:bookmarkEnd w:id="5130"/>
      <w:bookmarkEnd w:id="5131"/>
      <w:bookmarkEnd w:id="5132"/>
      <w:bookmarkEnd w:id="5133"/>
      <w:bookmarkEnd w:id="5134"/>
    </w:p>
    <w:p w:rsidR="00E874E8" w:rsidRDefault="00E874E8" w:rsidP="007E4E81">
      <w:pPr>
        <w:pStyle w:val="a0"/>
        <w:rPr>
          <w:rtl/>
        </w:rPr>
      </w:pPr>
      <w:bookmarkStart w:id="5136" w:name="_Ref56528482"/>
      <w:r w:rsidRPr="00290022">
        <w:rPr>
          <w:rFonts w:hint="cs"/>
          <w:rtl/>
        </w:rPr>
        <w:t xml:space="preserve">כתב </w:t>
      </w:r>
      <w:r>
        <w:rPr>
          <w:rStyle w:val="af9"/>
          <w:rFonts w:hint="cs"/>
          <w:rtl/>
        </w:rPr>
        <w:t>ר"י ב</w:t>
      </w:r>
      <w:r w:rsidRPr="00290022">
        <w:rPr>
          <w:rStyle w:val="af9"/>
          <w:rFonts w:hint="cs"/>
          <w:rtl/>
        </w:rPr>
        <w:t>תוס' בב"מ</w:t>
      </w:r>
      <w:r w:rsidRPr="00290022">
        <w:rPr>
          <w:rStyle w:val="af7"/>
          <w:rFonts w:eastAsia="Guttman Hodes" w:hint="cs"/>
          <w:rtl/>
        </w:rPr>
        <w:t xml:space="preserve"> (קי. ד"ה א"ל) </w:t>
      </w:r>
      <w:r w:rsidRPr="00290022">
        <w:rPr>
          <w:rFonts w:hint="cs"/>
          <w:rtl/>
        </w:rPr>
        <w:t xml:space="preserve">דהא דבחזקת ג"ש, המחזיק נאמן לומר דהשדה לקוחה בידו, היינו דוקא כשטוען המערער דהיא גזולה ביד המחזיק, </w:t>
      </w:r>
      <w:r>
        <w:rPr>
          <w:rFonts w:hint="cs"/>
          <w:rtl/>
        </w:rPr>
        <w:t xml:space="preserve">דבכה"ג הוי חזקה, דכיון שהמערער טוען שהמחזיק יושב בגזל, ויודע המערער שאם ישתוק ולא ימחה בתוך ג"ש, יטען המחזיק שהקרקע שלו, </w:t>
      </w:r>
      <w:r w:rsidRPr="005A3276">
        <w:rPr>
          <w:rStyle w:val="afb"/>
          <w:rFonts w:hint="cs"/>
          <w:rtl/>
        </w:rPr>
        <w:t>[דהא כיון שנכנס לתוכה בגזילה, ודאי דישקר לומר שהיא שלו],</w:t>
      </w:r>
      <w:r>
        <w:rPr>
          <w:rFonts w:hint="cs"/>
          <w:rtl/>
        </w:rPr>
        <w:t xml:space="preserve"> א"כ היה לו למחות בתוך ג"ש, דהא ידוע לכל שתיקנו חכמים דמהני מחאה בתוך ג"ש, וכל שלא מחה הפסיד, ועי' במה שביאר </w:t>
      </w:r>
      <w:r w:rsidRPr="00735F62">
        <w:rPr>
          <w:rStyle w:val="af9"/>
          <w:rFonts w:hint="cs"/>
          <w:rtl/>
        </w:rPr>
        <w:t xml:space="preserve">הנתיה"מ </w:t>
      </w:r>
      <w:r w:rsidRPr="004155A6">
        <w:rPr>
          <w:rStyle w:val="af7"/>
          <w:rFonts w:eastAsia="Guttman Hodes" w:hint="cs"/>
          <w:rtl/>
        </w:rPr>
        <w:t xml:space="preserve">(עי' אות </w:t>
      </w:r>
      <w:r w:rsidRPr="004155A6">
        <w:rPr>
          <w:rStyle w:val="af7"/>
          <w:rFonts w:eastAsia="Guttman Hodes"/>
          <w:rtl/>
        </w:rPr>
        <w:fldChar w:fldCharType="begin"/>
      </w:r>
      <w:r w:rsidRPr="004155A6">
        <w:rPr>
          <w:rStyle w:val="af7"/>
          <w:rFonts w:eastAsia="Guttman Hodes"/>
          <w:rtl/>
        </w:rPr>
        <w:instrText xml:space="preserve"> </w:instrText>
      </w:r>
      <w:r w:rsidRPr="004155A6">
        <w:rPr>
          <w:rStyle w:val="af7"/>
          <w:rFonts w:eastAsia="Guttman Hodes" w:hint="cs"/>
        </w:rPr>
        <w:instrText>REF</w:instrText>
      </w:r>
      <w:r w:rsidRPr="004155A6">
        <w:rPr>
          <w:rStyle w:val="af7"/>
          <w:rFonts w:eastAsia="Guttman Hodes" w:hint="cs"/>
          <w:rtl/>
        </w:rPr>
        <w:instrText xml:space="preserve"> _</w:instrText>
      </w:r>
      <w:r w:rsidRPr="004155A6">
        <w:rPr>
          <w:rStyle w:val="af7"/>
          <w:rFonts w:eastAsia="Guttman Hodes" w:hint="cs"/>
        </w:rPr>
        <w:instrText>Ref56633472 \r \h</w:instrText>
      </w:r>
      <w:r w:rsidRPr="004155A6">
        <w:rPr>
          <w:rStyle w:val="af7"/>
          <w:rFonts w:eastAsia="Guttman Hodes"/>
          <w:rtl/>
        </w:rPr>
        <w:instrText xml:space="preserve"> </w:instrText>
      </w:r>
      <w:r w:rsidRPr="004155A6">
        <w:rPr>
          <w:rStyle w:val="af7"/>
          <w:rFonts w:eastAsia="Guttman Hodes"/>
          <w:rtl/>
        </w:rPr>
      </w:r>
      <w:r w:rsidRPr="004155A6">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4155A6">
        <w:rPr>
          <w:rStyle w:val="af7"/>
          <w:rFonts w:eastAsia="Guttman Hodes"/>
          <w:rtl/>
        </w:rPr>
        <w:fldChar w:fldCharType="end"/>
      </w:r>
      <w:r>
        <w:rPr>
          <w:rFonts w:hint="cs"/>
          <w:rtl/>
        </w:rPr>
        <w:t xml:space="preserve"> בדברי </w:t>
      </w:r>
      <w:r w:rsidRPr="00735F62">
        <w:rPr>
          <w:rStyle w:val="af9"/>
          <w:rFonts w:hint="cs"/>
          <w:rtl/>
        </w:rPr>
        <w:t>התוס'</w:t>
      </w:r>
      <w:r>
        <w:rPr>
          <w:rFonts w:hint="cs"/>
          <w:rtl/>
        </w:rPr>
        <w:t>.</w:t>
      </w:r>
      <w:bookmarkEnd w:id="5136"/>
    </w:p>
    <w:p w:rsidR="00E874E8" w:rsidRPr="00D84800" w:rsidRDefault="00E874E8" w:rsidP="00E874E8">
      <w:pPr>
        <w:pStyle w:val="a3"/>
      </w:pPr>
      <w:bookmarkStart w:id="5137" w:name="_Toc56544343"/>
      <w:bookmarkStart w:id="5138" w:name="_Toc56609779"/>
      <w:bookmarkStart w:id="5139" w:name="_Toc56626612"/>
      <w:bookmarkStart w:id="5140" w:name="_Toc56630080"/>
      <w:bookmarkStart w:id="5141" w:name="_Toc56636934"/>
      <w:bookmarkStart w:id="5142" w:name="_Toc56638068"/>
      <w:bookmarkStart w:id="5143" w:name="_Toc56640912"/>
      <w:r>
        <w:rPr>
          <w:rFonts w:hint="cs"/>
          <w:rtl/>
        </w:rPr>
        <w:t>דברי התורא"ש דידוע דתיקנו חזקה במקום שטר ותיקנו מחאה אי לא מחה הפסיד דאנ"ס שמכר</w:t>
      </w:r>
      <w:bookmarkEnd w:id="5137"/>
      <w:bookmarkEnd w:id="5138"/>
      <w:bookmarkEnd w:id="5139"/>
      <w:bookmarkEnd w:id="5140"/>
      <w:bookmarkEnd w:id="5141"/>
      <w:bookmarkEnd w:id="5142"/>
      <w:bookmarkEnd w:id="5143"/>
    </w:p>
    <w:p w:rsidR="00E874E8" w:rsidRDefault="00E874E8" w:rsidP="007E4E81">
      <w:pPr>
        <w:pStyle w:val="a0"/>
        <w:rPr>
          <w:rtl/>
        </w:rPr>
      </w:pPr>
      <w:bookmarkStart w:id="5144" w:name="_Ref56526775"/>
      <w:r>
        <w:rPr>
          <w:rFonts w:hint="cs"/>
          <w:rtl/>
        </w:rPr>
        <w:t xml:space="preserve">והוסיף </w:t>
      </w:r>
      <w:r w:rsidRPr="00E4673F">
        <w:rPr>
          <w:rStyle w:val="af9"/>
          <w:rFonts w:hint="cs"/>
          <w:rtl/>
        </w:rPr>
        <w:t>התוס' הרא"ש בב"מ</w:t>
      </w:r>
      <w:r>
        <w:rPr>
          <w:rFonts w:hint="cs"/>
          <w:rtl/>
        </w:rPr>
        <w:t xml:space="preserve"> </w:t>
      </w:r>
      <w:r w:rsidRPr="0035137A">
        <w:rPr>
          <w:rStyle w:val="af7"/>
          <w:rFonts w:eastAsia="Guttman Hodes" w:hint="cs"/>
          <w:rtl/>
        </w:rPr>
        <w:t>(קי. ד"ה ואמר)</w:t>
      </w:r>
      <w:r>
        <w:rPr>
          <w:rFonts w:hint="cs"/>
          <w:rtl/>
        </w:rPr>
        <w:t xml:space="preserve"> לבאר דכיון שידוע לכל דתיקנו חכמים דחזקת ג"ש מהני במקום שטר, כיון שאין אדם יכול לשמור שטרו לעולם, ותיקנו שמחאה מבטלת את החזקה, א"כ כל שלא מיחה בו יש אנן סהדי שמכרה לו, </w:t>
      </w:r>
      <w:r>
        <w:rPr>
          <w:rStyle w:val="afb"/>
          <w:rFonts w:hint="cs"/>
          <w:rtl/>
        </w:rPr>
        <w:t>[</w:t>
      </w:r>
      <w:r w:rsidRPr="005A3276">
        <w:rPr>
          <w:rStyle w:val="afb"/>
          <w:rFonts w:hint="cs"/>
          <w:rtl/>
        </w:rPr>
        <w:t>דהא כיון שנכנס לתוכה בגזילה, ודאי דישקר לומר שהיא שלו],</w:t>
      </w:r>
      <w:r>
        <w:rPr>
          <w:rFonts w:hint="cs"/>
          <w:rtl/>
        </w:rPr>
        <w:t xml:space="preserve"> וכיון דהיה לו למחות, כל שלא מחה הפסיד.</w:t>
      </w:r>
      <w:bookmarkEnd w:id="5144"/>
    </w:p>
    <w:p w:rsidR="00E874E8" w:rsidRPr="0094308D" w:rsidRDefault="00E874E8" w:rsidP="00E874E8">
      <w:pPr>
        <w:pStyle w:val="a3"/>
        <w:rPr>
          <w:rtl/>
        </w:rPr>
      </w:pPr>
      <w:bookmarkStart w:id="5145" w:name="_Toc56544344"/>
      <w:bookmarkStart w:id="5146" w:name="_Toc56609780"/>
      <w:bookmarkStart w:id="5147" w:name="_Toc56626613"/>
      <w:bookmarkStart w:id="5148" w:name="_Toc56630081"/>
      <w:bookmarkStart w:id="5149" w:name="_Toc56636935"/>
      <w:bookmarkStart w:id="5150" w:name="_Toc56638069"/>
      <w:bookmarkStart w:id="5151" w:name="_Toc56640913"/>
      <w:r>
        <w:rPr>
          <w:rFonts w:hint="cs"/>
          <w:rtl/>
        </w:rPr>
        <w:t>דברי התוס' בב"מ דבטוען שהמחזיק אכלה במשכנתא הו"א דאינו חושש לגזילה וא"צ למחות</w:t>
      </w:r>
      <w:bookmarkEnd w:id="5145"/>
      <w:bookmarkEnd w:id="5146"/>
      <w:bookmarkEnd w:id="5147"/>
      <w:bookmarkEnd w:id="5148"/>
      <w:bookmarkEnd w:id="5149"/>
      <w:bookmarkEnd w:id="5150"/>
      <w:bookmarkEnd w:id="5151"/>
    </w:p>
    <w:p w:rsidR="00E874E8" w:rsidRDefault="00E874E8" w:rsidP="007E4E81">
      <w:pPr>
        <w:pStyle w:val="a0"/>
        <w:rPr>
          <w:rStyle w:val="afb"/>
          <w:rtl/>
        </w:rPr>
      </w:pPr>
      <w:r>
        <w:rPr>
          <w:rFonts w:hint="cs"/>
          <w:rtl/>
        </w:rPr>
        <w:t xml:space="preserve">אבל במשכנתא </w:t>
      </w:r>
      <w:r w:rsidRPr="00290022">
        <w:rPr>
          <w:rFonts w:hint="cs"/>
          <w:rtl/>
        </w:rPr>
        <w:t xml:space="preserve">כתב </w:t>
      </w:r>
      <w:r>
        <w:rPr>
          <w:rStyle w:val="af9"/>
          <w:rFonts w:hint="cs"/>
          <w:rtl/>
        </w:rPr>
        <w:t>ר"י ב</w:t>
      </w:r>
      <w:r w:rsidRPr="00290022">
        <w:rPr>
          <w:rStyle w:val="af9"/>
          <w:rFonts w:hint="cs"/>
          <w:rtl/>
        </w:rPr>
        <w:t>תוס' בב"מ</w:t>
      </w:r>
      <w:r w:rsidRPr="00EF7EB3">
        <w:rPr>
          <w:rStyle w:val="af7"/>
          <w:rFonts w:eastAsia="Guttman Hodes" w:hint="cs"/>
          <w:rtl/>
        </w:rPr>
        <w:t xml:space="preserve"> </w:t>
      </w:r>
      <w:r>
        <w:rPr>
          <w:rFonts w:hint="cs"/>
          <w:rtl/>
        </w:rPr>
        <w:t>ד</w:t>
      </w:r>
      <w:r w:rsidRPr="00290022">
        <w:rPr>
          <w:rFonts w:hint="cs"/>
          <w:rtl/>
        </w:rPr>
        <w:t xml:space="preserve">אם טוען המערער דהמחזיק אכלה </w:t>
      </w:r>
      <w:r>
        <w:rPr>
          <w:rFonts w:hint="cs"/>
          <w:rtl/>
        </w:rPr>
        <w:t xml:space="preserve">ג"ש </w:t>
      </w:r>
      <w:r w:rsidRPr="00290022">
        <w:rPr>
          <w:rFonts w:hint="cs"/>
          <w:rtl/>
        </w:rPr>
        <w:t xml:space="preserve">במשכנתא דסורא, </w:t>
      </w:r>
      <w:r>
        <w:rPr>
          <w:rFonts w:hint="cs"/>
          <w:rtl/>
        </w:rPr>
        <w:t>היה הו"א</w:t>
      </w:r>
      <w:r w:rsidRPr="00290022">
        <w:rPr>
          <w:rFonts w:hint="cs"/>
          <w:rtl/>
        </w:rPr>
        <w:t xml:space="preserve"> בגמ' בב"מ </w:t>
      </w:r>
      <w:r w:rsidRPr="00EF7EB3">
        <w:rPr>
          <w:rStyle w:val="af7"/>
          <w:rFonts w:eastAsia="Guttman Hodes" w:hint="cs"/>
          <w:rtl/>
        </w:rPr>
        <w:t>(קי.)</w:t>
      </w:r>
      <w:r>
        <w:rPr>
          <w:rFonts w:hint="cs"/>
          <w:rtl/>
        </w:rPr>
        <w:t xml:space="preserve"> דאין לו חזקה כיון שהמרא קמא לא היה צריך למחות</w:t>
      </w:r>
      <w:r w:rsidRPr="00290022">
        <w:rPr>
          <w:rFonts w:hint="cs"/>
          <w:rtl/>
        </w:rPr>
        <w:t xml:space="preserve">, </w:t>
      </w:r>
      <w:r>
        <w:rPr>
          <w:rFonts w:hint="cs"/>
          <w:rtl/>
        </w:rPr>
        <w:t xml:space="preserve">דכשנכס לקרקע במשכנתא הו"א דלא תיקנו חכמים למרא קמא למחות, דאין לו לחשוש שישקר לאחר ג"ש, </w:t>
      </w:r>
      <w:r w:rsidRPr="005A3276">
        <w:rPr>
          <w:rStyle w:val="afb"/>
          <w:rFonts w:hint="cs"/>
          <w:rtl/>
        </w:rPr>
        <w:t>[דכיון שנכנס לתוכה כדין, א"צ לחוש שישקר וירצה לגוזלה]</w:t>
      </w:r>
      <w:r>
        <w:rPr>
          <w:rStyle w:val="afb"/>
          <w:rFonts w:hint="cs"/>
          <w:rtl/>
        </w:rPr>
        <w:t xml:space="preserve">, </w:t>
      </w:r>
      <w:r>
        <w:rPr>
          <w:rFonts w:hint="cs"/>
          <w:rtl/>
        </w:rPr>
        <w:t xml:space="preserve">והוסיף </w:t>
      </w:r>
      <w:r w:rsidRPr="00E4673F">
        <w:rPr>
          <w:rStyle w:val="af9"/>
          <w:rFonts w:hint="cs"/>
          <w:rtl/>
        </w:rPr>
        <w:t>התוס' הרא"ש בב"מ</w:t>
      </w:r>
      <w:r>
        <w:rPr>
          <w:rFonts w:hint="cs"/>
          <w:rtl/>
        </w:rPr>
        <w:t xml:space="preserve"> דבמשכנתא יכול המרא קמא לטעון דסבר דלא מהני מחאה, ואף אם יודע דמהני המחאה, עדיין יתכן שלא ימחה דלא יעלה על דעתו דאחר שיאכל את המשכנתא יגזול את קרקעו ממנו.</w:t>
      </w:r>
    </w:p>
    <w:p w:rsidR="00E874E8" w:rsidRPr="00C02CFA" w:rsidRDefault="00E874E8" w:rsidP="00E874E8">
      <w:pPr>
        <w:pStyle w:val="1"/>
        <w:rPr>
          <w:rtl/>
        </w:rPr>
      </w:pPr>
      <w:bookmarkStart w:id="5152" w:name="_Toc56636936"/>
      <w:bookmarkStart w:id="5153" w:name="_Toc56638070"/>
      <w:bookmarkStart w:id="5154" w:name="_Toc56640914"/>
      <w:r>
        <w:rPr>
          <w:rFonts w:hint="cs"/>
          <w:rtl/>
        </w:rPr>
        <w:t>דברי התוס' בב"מ דבטוען גזול ולא מחה אנ"ס שמכר לו</w:t>
      </w:r>
      <w:bookmarkEnd w:id="5152"/>
      <w:bookmarkEnd w:id="5153"/>
      <w:bookmarkEnd w:id="5154"/>
    </w:p>
    <w:p w:rsidR="00E874E8" w:rsidRPr="000A33FB" w:rsidRDefault="00E874E8" w:rsidP="00E874E8">
      <w:pPr>
        <w:pStyle w:val="a3"/>
        <w:rPr>
          <w:rtl/>
        </w:rPr>
      </w:pPr>
      <w:bookmarkStart w:id="5155" w:name="_Toc56544345"/>
      <w:bookmarkStart w:id="5156" w:name="_Toc56609781"/>
      <w:bookmarkStart w:id="5157" w:name="_Toc56626614"/>
      <w:bookmarkStart w:id="5158" w:name="_Toc56630082"/>
      <w:bookmarkStart w:id="5159" w:name="_Toc56636937"/>
      <w:bookmarkStart w:id="5160" w:name="_Toc56638071"/>
      <w:bookmarkStart w:id="5161" w:name="_Toc56640915"/>
      <w:r>
        <w:rPr>
          <w:rFonts w:hint="cs"/>
          <w:rtl/>
        </w:rPr>
        <w:t>דברי התוס' בב"מ דכשטוען גזולה ביד המחזיק אנן סהדי דלא היה שותק ואם שתק ל"מ מיגו</w:t>
      </w:r>
      <w:bookmarkEnd w:id="5155"/>
      <w:bookmarkEnd w:id="5156"/>
      <w:bookmarkEnd w:id="5157"/>
      <w:bookmarkEnd w:id="5158"/>
      <w:bookmarkEnd w:id="5159"/>
      <w:bookmarkEnd w:id="5160"/>
      <w:bookmarkEnd w:id="5161"/>
    </w:p>
    <w:p w:rsidR="00E874E8" w:rsidRDefault="00E874E8" w:rsidP="007E4E81">
      <w:pPr>
        <w:pStyle w:val="a0"/>
        <w:rPr>
          <w:rStyle w:val="afb"/>
          <w:rtl/>
        </w:rPr>
      </w:pPr>
      <w:bookmarkStart w:id="5162" w:name="_Ref56626148"/>
      <w:r w:rsidRPr="00290022">
        <w:rPr>
          <w:rFonts w:hint="cs"/>
          <w:rtl/>
        </w:rPr>
        <w:t xml:space="preserve">אך הקשו </w:t>
      </w:r>
      <w:r w:rsidRPr="00290022">
        <w:rPr>
          <w:rStyle w:val="af9"/>
          <w:rFonts w:hint="cs"/>
          <w:rtl/>
        </w:rPr>
        <w:t>התוס' בב"מ</w:t>
      </w:r>
      <w:r w:rsidRPr="00290022">
        <w:rPr>
          <w:rFonts w:hint="cs"/>
          <w:rtl/>
        </w:rPr>
        <w:t xml:space="preserve"> ד</w:t>
      </w:r>
      <w:r>
        <w:rPr>
          <w:rFonts w:hint="cs"/>
          <w:rtl/>
        </w:rPr>
        <w:t xml:space="preserve">א"כ </w:t>
      </w:r>
      <w:r w:rsidRPr="00290022">
        <w:rPr>
          <w:rFonts w:hint="cs"/>
          <w:rtl/>
        </w:rPr>
        <w:t xml:space="preserve">אף </w:t>
      </w:r>
      <w:r>
        <w:rPr>
          <w:rFonts w:hint="cs"/>
          <w:rtl/>
        </w:rPr>
        <w:t xml:space="preserve">כשטוען המערער שהיא </w:t>
      </w:r>
      <w:r w:rsidRPr="00290022">
        <w:rPr>
          <w:rFonts w:hint="cs"/>
          <w:rtl/>
        </w:rPr>
        <w:t xml:space="preserve">גזולה ביד המחזיק, </w:t>
      </w:r>
      <w:r>
        <w:rPr>
          <w:rFonts w:hint="cs"/>
          <w:rtl/>
        </w:rPr>
        <w:t xml:space="preserve">לא תועיל חזקת ג"ש, דיהיה המערער נאמן, </w:t>
      </w:r>
      <w:r w:rsidRPr="00290022">
        <w:rPr>
          <w:rFonts w:hint="cs"/>
          <w:rtl/>
        </w:rPr>
        <w:t>במיגו דהיה טוען דהמחזיק אכלה במשכנתא דסורא</w:t>
      </w:r>
      <w:r>
        <w:rPr>
          <w:rFonts w:hint="cs"/>
          <w:rtl/>
        </w:rPr>
        <w:t xml:space="preserve">, ותירצו </w:t>
      </w:r>
      <w:r w:rsidRPr="00E4673F">
        <w:rPr>
          <w:rStyle w:val="af9"/>
          <w:rFonts w:hint="cs"/>
          <w:rtl/>
        </w:rPr>
        <w:t>התוס' בב"מ בתירוצם הא'</w:t>
      </w:r>
      <w:r>
        <w:rPr>
          <w:rFonts w:hint="cs"/>
          <w:rtl/>
        </w:rPr>
        <w:t xml:space="preserve"> דהטוען גזולה היא ביד המחזיק, במיגו דנתן לו לאוכלה במשכנתא, חשיב מיגו במקום עדים, דאנן סהדי דאם היה המחזיק דר בה ג"ש, לא היה המערער שותק, ועי' במה שביאר </w:t>
      </w:r>
      <w:r w:rsidRPr="00054EB9">
        <w:rPr>
          <w:rStyle w:val="af9"/>
          <w:rFonts w:hint="cs"/>
          <w:rtl/>
        </w:rPr>
        <w:t>בחי' רבי נחום</w:t>
      </w:r>
      <w:r>
        <w:rPr>
          <w:rFonts w:hint="cs"/>
          <w:rtl/>
        </w:rPr>
        <w:t xml:space="preserve"> </w:t>
      </w:r>
      <w:r w:rsidRPr="00EB3B83">
        <w:rPr>
          <w:rStyle w:val="af7"/>
          <w:rFonts w:eastAsia="Guttman Hodes" w:hint="cs"/>
          <w:rtl/>
        </w:rPr>
        <w:t xml:space="preserve">(עי' אות </w:t>
      </w:r>
      <w:r w:rsidRPr="00EB3B83">
        <w:rPr>
          <w:rStyle w:val="af7"/>
          <w:rFonts w:eastAsia="Guttman Hodes"/>
          <w:rtl/>
        </w:rPr>
        <w:fldChar w:fldCharType="begin"/>
      </w:r>
      <w:r w:rsidRPr="00EB3B83">
        <w:rPr>
          <w:rStyle w:val="af7"/>
          <w:rFonts w:eastAsia="Guttman Hodes"/>
          <w:rtl/>
        </w:rPr>
        <w:instrText xml:space="preserve"> </w:instrText>
      </w:r>
      <w:r w:rsidRPr="00EB3B83">
        <w:rPr>
          <w:rStyle w:val="af7"/>
          <w:rFonts w:eastAsia="Guttman Hodes" w:hint="cs"/>
        </w:rPr>
        <w:instrText>REF</w:instrText>
      </w:r>
      <w:r w:rsidRPr="00EB3B83">
        <w:rPr>
          <w:rStyle w:val="af7"/>
          <w:rFonts w:eastAsia="Guttman Hodes" w:hint="cs"/>
          <w:rtl/>
        </w:rPr>
        <w:instrText xml:space="preserve"> _</w:instrText>
      </w:r>
      <w:r w:rsidRPr="00EB3B83">
        <w:rPr>
          <w:rStyle w:val="af7"/>
          <w:rFonts w:eastAsia="Guttman Hodes" w:hint="cs"/>
        </w:rPr>
        <w:instrText>Ref54034219 \r \h</w:instrText>
      </w:r>
      <w:r w:rsidRPr="00EB3B83">
        <w:rPr>
          <w:rStyle w:val="af7"/>
          <w:rFonts w:eastAsia="Guttman Hodes"/>
          <w:rtl/>
        </w:rPr>
        <w:instrText xml:space="preserve"> </w:instrText>
      </w:r>
      <w:r w:rsidRPr="00EB3B83">
        <w:rPr>
          <w:rStyle w:val="af7"/>
          <w:rFonts w:eastAsia="Guttman Hodes"/>
          <w:rtl/>
        </w:rPr>
      </w:r>
      <w:r w:rsidRPr="00EB3B83">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EB3B83">
        <w:rPr>
          <w:rStyle w:val="af7"/>
          <w:rFonts w:eastAsia="Guttman Hodes"/>
          <w:rtl/>
        </w:rPr>
        <w:fldChar w:fldCharType="end"/>
      </w:r>
      <w:r>
        <w:rPr>
          <w:rFonts w:hint="cs"/>
          <w:rtl/>
        </w:rPr>
        <w:t xml:space="preserve"> בדברי </w:t>
      </w:r>
      <w:r w:rsidRPr="00054EB9">
        <w:rPr>
          <w:rStyle w:val="af9"/>
          <w:rFonts w:hint="cs"/>
          <w:rtl/>
        </w:rPr>
        <w:t>התוס' בב"מ</w:t>
      </w:r>
      <w:r>
        <w:rPr>
          <w:rFonts w:hint="cs"/>
          <w:rtl/>
        </w:rPr>
        <w:t xml:space="preserve">. </w:t>
      </w:r>
      <w:r w:rsidRPr="00EB3B83">
        <w:rPr>
          <w:rStyle w:val="afb"/>
          <w:rFonts w:hint="cs"/>
          <w:rtl/>
        </w:rPr>
        <w:t>[ועוד תירצו</w:t>
      </w:r>
      <w:r w:rsidRPr="0081658F">
        <w:rPr>
          <w:rFonts w:hint="cs"/>
          <w:rtl/>
        </w:rPr>
        <w:t xml:space="preserve"> </w:t>
      </w:r>
      <w:r w:rsidRPr="00EB3B83">
        <w:rPr>
          <w:rStyle w:val="affa"/>
          <w:rFonts w:hint="cs"/>
          <w:rtl/>
        </w:rPr>
        <w:t>התוס' בב"מ בתירוצם הב'</w:t>
      </w:r>
      <w:r w:rsidRPr="0081658F">
        <w:rPr>
          <w:rFonts w:hint="cs"/>
          <w:rtl/>
        </w:rPr>
        <w:t xml:space="preserve"> </w:t>
      </w:r>
      <w:r w:rsidRPr="00EB3B83">
        <w:rPr>
          <w:rStyle w:val="afb"/>
          <w:rFonts w:hint="cs"/>
          <w:rtl/>
        </w:rPr>
        <w:t>דהטוען גזולה היא ביד המחזיק במיגו דנתן לו לאוכלה במשכנתא, חשיב מיגו להוציא דכיון שהמחזיק אכלה שני חזקה, חשיב שהוא המוחזק].</w:t>
      </w:r>
      <w:bookmarkEnd w:id="5162"/>
    </w:p>
    <w:p w:rsidR="00E874E8" w:rsidRPr="00CC02D2" w:rsidRDefault="00E874E8" w:rsidP="00E874E8">
      <w:pPr>
        <w:pStyle w:val="1"/>
        <w:rPr>
          <w:rtl/>
        </w:rPr>
      </w:pPr>
      <w:bookmarkStart w:id="5163" w:name="_Toc56636938"/>
      <w:bookmarkStart w:id="5164" w:name="_Toc56638072"/>
      <w:bookmarkStart w:id="5165" w:name="_Toc56640916"/>
      <w:r>
        <w:rPr>
          <w:rFonts w:hint="cs"/>
          <w:rtl/>
        </w:rPr>
        <w:t>קושיות התוס' דבצריך להזהר בשטר מחמת דבר אחר אין חזקה</w:t>
      </w:r>
      <w:bookmarkEnd w:id="5163"/>
      <w:bookmarkEnd w:id="5164"/>
      <w:bookmarkEnd w:id="5165"/>
    </w:p>
    <w:p w:rsidR="00E874E8" w:rsidRPr="0081658F" w:rsidRDefault="00E874E8" w:rsidP="00E874E8">
      <w:pPr>
        <w:pStyle w:val="a3"/>
        <w:rPr>
          <w:rtl/>
        </w:rPr>
      </w:pPr>
      <w:bookmarkStart w:id="5166" w:name="_Toc56544346"/>
      <w:bookmarkStart w:id="5167" w:name="_Toc56609782"/>
      <w:bookmarkStart w:id="5168" w:name="_Toc56626615"/>
      <w:bookmarkStart w:id="5169" w:name="_Toc56630083"/>
      <w:bookmarkStart w:id="5170" w:name="_Toc56636939"/>
      <w:bookmarkStart w:id="5171" w:name="_Toc56638073"/>
      <w:bookmarkStart w:id="5172" w:name="_Toc56640917"/>
      <w:r>
        <w:rPr>
          <w:rFonts w:hint="cs"/>
          <w:rtl/>
        </w:rPr>
        <w:t>קושית התוס' בב"מ דאי נאמן בטענת משכנתא לעולם צריך לשמור שטרו שמא יטען משכנתא</w:t>
      </w:r>
      <w:bookmarkEnd w:id="5166"/>
      <w:bookmarkEnd w:id="5167"/>
      <w:bookmarkEnd w:id="5168"/>
      <w:bookmarkEnd w:id="5169"/>
      <w:bookmarkEnd w:id="5170"/>
      <w:bookmarkEnd w:id="5171"/>
      <w:bookmarkEnd w:id="5172"/>
    </w:p>
    <w:p w:rsidR="00E874E8" w:rsidRDefault="00E874E8" w:rsidP="007E4E81">
      <w:pPr>
        <w:pStyle w:val="a0"/>
        <w:rPr>
          <w:rtl/>
        </w:rPr>
      </w:pPr>
      <w:bookmarkStart w:id="5173" w:name="_Ref56530074"/>
      <w:bookmarkStart w:id="5174" w:name="_Ref56500967"/>
      <w:bookmarkEnd w:id="5135"/>
      <w:r w:rsidRPr="003A5B64">
        <w:rPr>
          <w:rFonts w:hint="cs"/>
          <w:rtl/>
        </w:rPr>
        <w:t xml:space="preserve">אך הקשו </w:t>
      </w:r>
      <w:r w:rsidRPr="003A5B64">
        <w:rPr>
          <w:rStyle w:val="af9"/>
          <w:rFonts w:hint="cs"/>
          <w:rtl/>
        </w:rPr>
        <w:t>התוס' בב"מ</w:t>
      </w:r>
      <w:r w:rsidRPr="003A5B64">
        <w:rPr>
          <w:rStyle w:val="af7"/>
          <w:rFonts w:eastAsia="Guttman Hodes" w:hint="cs"/>
          <w:rtl/>
        </w:rPr>
        <w:t xml:space="preserve"> </w:t>
      </w:r>
      <w:r w:rsidRPr="003A5B64">
        <w:rPr>
          <w:rFonts w:hint="cs"/>
          <w:rtl/>
        </w:rPr>
        <w:t xml:space="preserve">דהא טעמא דחזקת ג"ש, הוא דעד ג"ש אדם נזהר בשטרו, ואי לעולם יכול המרא קמא לטעון שנתנה לו </w:t>
      </w:r>
      <w:r w:rsidRPr="003A5B64">
        <w:rPr>
          <w:rFonts w:hint="cs"/>
          <w:rtl/>
        </w:rPr>
        <w:t>במשכנתא, א"כ יצטרך לשמור את שטרו לעולם, שמא יטען לו משכנתא היא</w:t>
      </w:r>
      <w:r>
        <w:rPr>
          <w:rFonts w:hint="cs"/>
          <w:rtl/>
        </w:rPr>
        <w:t>, ועי' במ"ש</w:t>
      </w:r>
      <w:r w:rsidRPr="00997174">
        <w:rPr>
          <w:rFonts w:hint="cs"/>
          <w:rtl/>
        </w:rPr>
        <w:t xml:space="preserve"> </w:t>
      </w:r>
      <w:r w:rsidRPr="00226C08">
        <w:rPr>
          <w:rStyle w:val="af9"/>
          <w:rFonts w:hint="cs"/>
          <w:rtl/>
        </w:rPr>
        <w:t>הקצוה"ח</w:t>
      </w:r>
      <w:r>
        <w:rPr>
          <w:rStyle w:val="af9"/>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Ref56500948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Pr>
          <w:rStyle w:val="af7"/>
          <w:rFonts w:eastAsia="Guttman Hodes"/>
          <w:rtl/>
        </w:rPr>
        <w:fldChar w:fldCharType="end"/>
      </w:r>
      <w:r>
        <w:rPr>
          <w:rStyle w:val="af7"/>
          <w:rFonts w:eastAsia="Guttman Hodes" w:hint="cs"/>
          <w:rtl/>
        </w:rPr>
        <w:t xml:space="preserve"> </w:t>
      </w:r>
      <w:r>
        <w:rPr>
          <w:rFonts w:hint="cs"/>
          <w:rtl/>
        </w:rPr>
        <w:t>בדברי</w:t>
      </w:r>
      <w:r w:rsidRPr="004A357F">
        <w:rPr>
          <w:rStyle w:val="af9"/>
          <w:rFonts w:hint="cs"/>
          <w:rtl/>
        </w:rPr>
        <w:t xml:space="preserve"> התוס'</w:t>
      </w:r>
      <w:r>
        <w:rPr>
          <w:rStyle w:val="af9"/>
          <w:rFonts w:hint="cs"/>
          <w:rtl/>
        </w:rPr>
        <w:t xml:space="preserve"> בב"מ</w:t>
      </w:r>
      <w:r>
        <w:rPr>
          <w:rFonts w:hint="cs"/>
          <w:rtl/>
        </w:rPr>
        <w:t>.</w:t>
      </w:r>
      <w:bookmarkEnd w:id="5173"/>
    </w:p>
    <w:p w:rsidR="00E874E8" w:rsidRPr="00980008" w:rsidRDefault="00E874E8" w:rsidP="00E874E8">
      <w:pPr>
        <w:pStyle w:val="a3"/>
      </w:pPr>
      <w:bookmarkStart w:id="5175" w:name="_Toc56636940"/>
      <w:bookmarkStart w:id="5176" w:name="_Toc56638074"/>
      <w:bookmarkStart w:id="5177" w:name="_Toc56640918"/>
      <w:r>
        <w:rPr>
          <w:rFonts w:hint="cs"/>
          <w:rtl/>
        </w:rPr>
        <w:t>ביאור התוס' בב"מ דקושית הגמ' מה התקנה לממשכן שלא יהיה למחזיק חזקת ג"ש דל"מ מחאה</w:t>
      </w:r>
      <w:bookmarkEnd w:id="5175"/>
      <w:bookmarkEnd w:id="5176"/>
      <w:bookmarkEnd w:id="5177"/>
    </w:p>
    <w:bookmarkEnd w:id="5174"/>
    <w:p w:rsidR="00E874E8" w:rsidRDefault="00E874E8" w:rsidP="007E4E81">
      <w:pPr>
        <w:pStyle w:val="a0"/>
        <w:rPr>
          <w:rtl/>
        </w:rPr>
      </w:pPr>
      <w:r w:rsidRPr="003A5B64">
        <w:rPr>
          <w:rFonts w:hint="cs"/>
          <w:rtl/>
        </w:rPr>
        <w:t xml:space="preserve">אלא כתבו </w:t>
      </w:r>
      <w:r w:rsidRPr="003A5B64">
        <w:rPr>
          <w:rStyle w:val="af9"/>
          <w:rFonts w:hint="cs"/>
          <w:rtl/>
        </w:rPr>
        <w:t>התוס' בב"מ</w:t>
      </w:r>
      <w:r w:rsidRPr="003A5B64">
        <w:rPr>
          <w:rFonts w:hint="cs"/>
          <w:rtl/>
        </w:rPr>
        <w:t xml:space="preserve"> דאין כוונת הגמ' בב"מ לומר שהמחזיק לא יהיה נאמן</w:t>
      </w:r>
      <w:r>
        <w:rPr>
          <w:rFonts w:hint="cs"/>
          <w:rtl/>
        </w:rPr>
        <w:t>,</w:t>
      </w:r>
      <w:r w:rsidRPr="003A5B64">
        <w:rPr>
          <w:rFonts w:hint="cs"/>
          <w:rtl/>
        </w:rPr>
        <w:t xml:space="preserve"> </w:t>
      </w:r>
      <w:r>
        <w:rPr>
          <w:rFonts w:hint="cs"/>
          <w:rtl/>
        </w:rPr>
        <w:t>כשטוען</w:t>
      </w:r>
      <w:r w:rsidRPr="003A5B64">
        <w:rPr>
          <w:rFonts w:hint="cs"/>
          <w:rtl/>
        </w:rPr>
        <w:t xml:space="preserve"> שקנה מהמרא קמא והחזיק שני חזקה, אלא קושית הגמ' מה התקנה של הממשכן שלא יוכל המחזיק לטעון לו לקוחה היא בידי, </w:t>
      </w:r>
      <w:r>
        <w:rPr>
          <w:rFonts w:hint="cs"/>
          <w:rtl/>
        </w:rPr>
        <w:t>דההו"א בגמ' היא</w:t>
      </w:r>
      <w:r w:rsidRPr="003A5B64">
        <w:rPr>
          <w:rFonts w:hint="cs"/>
          <w:rtl/>
        </w:rPr>
        <w:t xml:space="preserve"> דהמחאה מהני רק באופן שמוחה שהקרקע היא בגזלנות אצל המחזיק, </w:t>
      </w:r>
      <w:r w:rsidRPr="00733854">
        <w:rPr>
          <w:rStyle w:val="afb"/>
          <w:rFonts w:hint="cs"/>
          <w:rtl/>
        </w:rPr>
        <w:t xml:space="preserve">[ולא מהני כשמוחה שהקרקע במשכנתא], </w:t>
      </w:r>
      <w:r w:rsidRPr="003A5B64">
        <w:rPr>
          <w:rFonts w:hint="cs"/>
          <w:rtl/>
        </w:rPr>
        <w:t>ולכן מקשה הגמ' מה התקנה לממשכן, ותירצה הגמ' דמהני מחאה אף כשטוען שהקרקע במשכנתא</w:t>
      </w:r>
      <w:r>
        <w:rPr>
          <w:rFonts w:hint="cs"/>
          <w:rtl/>
        </w:rPr>
        <w:t>.</w:t>
      </w:r>
    </w:p>
    <w:p w:rsidR="00E874E8" w:rsidRDefault="00E874E8" w:rsidP="00E874E8">
      <w:pPr>
        <w:pStyle w:val="a3"/>
        <w:rPr>
          <w:rtl/>
        </w:rPr>
      </w:pPr>
      <w:bookmarkStart w:id="5178" w:name="_Toc56544347"/>
      <w:bookmarkStart w:id="5179" w:name="_Toc56609783"/>
      <w:bookmarkStart w:id="5180" w:name="_Toc56626616"/>
      <w:bookmarkStart w:id="5181" w:name="_Toc56630084"/>
      <w:bookmarkStart w:id="5182" w:name="_Toc56636941"/>
      <w:bookmarkStart w:id="5183" w:name="_Toc56638075"/>
      <w:bookmarkStart w:id="5184" w:name="_Toc56640919"/>
      <w:r>
        <w:rPr>
          <w:rFonts w:hint="cs"/>
          <w:rtl/>
        </w:rPr>
        <w:t>קושית התוס' לקמן דאי נאמן בטענת לפירות הורדתיך לעולם צריך לשמור שטרו שמא יטען כן</w:t>
      </w:r>
      <w:bookmarkEnd w:id="5178"/>
      <w:bookmarkEnd w:id="5179"/>
      <w:bookmarkEnd w:id="5180"/>
      <w:bookmarkEnd w:id="5181"/>
      <w:bookmarkEnd w:id="5182"/>
      <w:bookmarkEnd w:id="5183"/>
      <w:bookmarkEnd w:id="5184"/>
    </w:p>
    <w:p w:rsidR="00E874E8" w:rsidRDefault="00E874E8" w:rsidP="007E4E81">
      <w:pPr>
        <w:pStyle w:val="a0"/>
        <w:rPr>
          <w:rtl/>
        </w:rPr>
      </w:pPr>
      <w:bookmarkStart w:id="5185" w:name="_Ref56359518"/>
      <w:r>
        <w:rPr>
          <w:rFonts w:hint="cs"/>
          <w:rtl/>
        </w:rPr>
        <w:t xml:space="preserve">וכן הקשו </w:t>
      </w:r>
      <w:r w:rsidRPr="00A13C8A">
        <w:rPr>
          <w:rStyle w:val="af9"/>
          <w:rFonts w:hint="cs"/>
          <w:rtl/>
        </w:rPr>
        <w:t>התוס' לקמן</w:t>
      </w:r>
      <w:r>
        <w:rPr>
          <w:rFonts w:hint="cs"/>
          <w:rtl/>
        </w:rPr>
        <w:t xml:space="preserve"> </w:t>
      </w:r>
      <w:r w:rsidRPr="00A13C8A">
        <w:rPr>
          <w:rStyle w:val="af7"/>
          <w:rFonts w:eastAsia="Guttman Hodes" w:hint="cs"/>
          <w:rtl/>
        </w:rPr>
        <w:t>(לה: ד"ה ואי לפירא)</w:t>
      </w:r>
      <w:r>
        <w:rPr>
          <w:rFonts w:hint="cs"/>
          <w:rtl/>
        </w:rPr>
        <w:t xml:space="preserve"> בהא דהקשה רב אשי בגמ' לקמן </w:t>
      </w:r>
      <w:r w:rsidRPr="00A13C8A">
        <w:rPr>
          <w:rStyle w:val="af7"/>
          <w:rFonts w:eastAsia="Guttman Hodes" w:hint="cs"/>
          <w:rtl/>
        </w:rPr>
        <w:t>(לה:)</w:t>
      </w:r>
      <w:r>
        <w:rPr>
          <w:rFonts w:hint="cs"/>
          <w:rtl/>
        </w:rPr>
        <w:t xml:space="preserve"> דאי הטוען לפירות הורדתיו לאחר ג"ש אינו נאמן, א"כ המוריד לפירות מאי הו"ל למעבד, והקשו </w:t>
      </w:r>
      <w:r w:rsidRPr="00A13C8A">
        <w:rPr>
          <w:rStyle w:val="af9"/>
          <w:rFonts w:hint="cs"/>
          <w:rtl/>
        </w:rPr>
        <w:t xml:space="preserve">התוס' </w:t>
      </w:r>
      <w:r>
        <w:rPr>
          <w:rFonts w:hint="cs"/>
          <w:rtl/>
        </w:rPr>
        <w:t xml:space="preserve">דאי כוונת רב אשי לומר דלעולם יהיה נאמן, א"כ קשה לרב אשי למה צריך חזקת ג"ש מיום ליום, </w:t>
      </w:r>
      <w:r w:rsidRPr="00A13C8A">
        <w:rPr>
          <w:rStyle w:val="afb"/>
          <w:rFonts w:hint="cs"/>
          <w:rtl/>
        </w:rPr>
        <w:t>[לרבנן דפליגי על רבי ישמעאל],</w:t>
      </w:r>
      <w:r>
        <w:rPr>
          <w:rFonts w:hint="cs"/>
          <w:rtl/>
        </w:rPr>
        <w:t xml:space="preserve"> דהרי רב אשי אינו יכול לסבור כרבא דטעמא דחזקה הוא דאחר ג"ש אינו נזהר בשטרו, דהא אי נאמן בטענת לפירות הורדתיו, א"כ לעולם צריך לשמור את השטר, שמא יטען לו לפירות הורדתיך, ועי' במ"ש</w:t>
      </w:r>
      <w:r w:rsidRPr="00997174">
        <w:rPr>
          <w:rFonts w:hint="cs"/>
          <w:rtl/>
        </w:rPr>
        <w:t xml:space="preserve"> </w:t>
      </w:r>
      <w:r w:rsidRPr="00226C08">
        <w:rPr>
          <w:rStyle w:val="af9"/>
          <w:rFonts w:hint="cs"/>
          <w:rtl/>
        </w:rPr>
        <w:t>הקצוה"ח</w:t>
      </w:r>
      <w:r>
        <w:rPr>
          <w:rStyle w:val="af9"/>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Ref56500948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Pr>
          <w:rStyle w:val="af7"/>
          <w:rFonts w:eastAsia="Guttman Hodes"/>
          <w:rtl/>
        </w:rPr>
        <w:fldChar w:fldCharType="end"/>
      </w:r>
      <w:r>
        <w:rPr>
          <w:rStyle w:val="af7"/>
          <w:rFonts w:eastAsia="Guttman Hodes" w:hint="cs"/>
          <w:rtl/>
        </w:rPr>
        <w:t xml:space="preserve"> </w:t>
      </w:r>
      <w:r>
        <w:rPr>
          <w:rFonts w:hint="cs"/>
          <w:rtl/>
        </w:rPr>
        <w:t>בדברי</w:t>
      </w:r>
      <w:r w:rsidRPr="004A357F">
        <w:rPr>
          <w:rStyle w:val="af9"/>
          <w:rFonts w:hint="cs"/>
          <w:rtl/>
        </w:rPr>
        <w:t xml:space="preserve"> התוס'</w:t>
      </w:r>
      <w:r>
        <w:rPr>
          <w:rStyle w:val="af9"/>
          <w:rFonts w:hint="cs"/>
          <w:rtl/>
        </w:rPr>
        <w:t xml:space="preserve"> לקמן</w:t>
      </w:r>
      <w:r>
        <w:rPr>
          <w:rFonts w:hint="cs"/>
          <w:rtl/>
        </w:rPr>
        <w:t xml:space="preserve">, ובמ"ש </w:t>
      </w:r>
      <w:r w:rsidRPr="00D767D7">
        <w:rPr>
          <w:rStyle w:val="af9"/>
          <w:rFonts w:hint="cs"/>
          <w:rtl/>
        </w:rPr>
        <w:t>בחי' רבי נחום</w:t>
      </w:r>
      <w:r>
        <w:rPr>
          <w:rFonts w:hint="cs"/>
          <w:rtl/>
        </w:rPr>
        <w:t xml:space="preserve"> </w:t>
      </w:r>
      <w:r w:rsidRPr="00E90350">
        <w:rPr>
          <w:rStyle w:val="af7"/>
          <w:rFonts w:eastAsia="Guttman Hodes" w:hint="cs"/>
          <w:rtl/>
        </w:rPr>
        <w:t xml:space="preserve">(עי' אות </w:t>
      </w:r>
      <w:r w:rsidRPr="00E90350">
        <w:rPr>
          <w:rStyle w:val="af7"/>
          <w:rFonts w:eastAsia="Guttman Hodes"/>
          <w:rtl/>
        </w:rPr>
        <w:fldChar w:fldCharType="begin"/>
      </w:r>
      <w:r w:rsidRPr="00E90350">
        <w:rPr>
          <w:rStyle w:val="af7"/>
          <w:rFonts w:eastAsia="Guttman Hodes"/>
          <w:rtl/>
        </w:rPr>
        <w:instrText xml:space="preserve"> </w:instrText>
      </w:r>
      <w:r w:rsidRPr="00E90350">
        <w:rPr>
          <w:rStyle w:val="af7"/>
          <w:rFonts w:eastAsia="Guttman Hodes" w:hint="cs"/>
        </w:rPr>
        <w:instrText>REF</w:instrText>
      </w:r>
      <w:r w:rsidRPr="00E90350">
        <w:rPr>
          <w:rStyle w:val="af7"/>
          <w:rFonts w:eastAsia="Guttman Hodes" w:hint="cs"/>
          <w:rtl/>
        </w:rPr>
        <w:instrText xml:space="preserve"> _</w:instrText>
      </w:r>
      <w:r w:rsidRPr="00E90350">
        <w:rPr>
          <w:rStyle w:val="af7"/>
          <w:rFonts w:eastAsia="Guttman Hodes" w:hint="cs"/>
        </w:rPr>
        <w:instrText>Ref56626983 \r \h</w:instrText>
      </w:r>
      <w:r w:rsidRPr="00E90350">
        <w:rPr>
          <w:rStyle w:val="af7"/>
          <w:rFonts w:eastAsia="Guttman Hodes"/>
          <w:rtl/>
        </w:rPr>
        <w:instrText xml:space="preserve"> </w:instrText>
      </w:r>
      <w:r w:rsidRPr="00E90350">
        <w:rPr>
          <w:rStyle w:val="af7"/>
          <w:rFonts w:eastAsia="Guttman Hodes"/>
          <w:rtl/>
        </w:rPr>
      </w:r>
      <w:r w:rsidRPr="00E90350">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E90350">
        <w:rPr>
          <w:rStyle w:val="af7"/>
          <w:rFonts w:eastAsia="Guttman Hodes"/>
          <w:rtl/>
        </w:rPr>
        <w:fldChar w:fldCharType="end"/>
      </w:r>
      <w:r>
        <w:rPr>
          <w:rFonts w:hint="cs"/>
          <w:rtl/>
        </w:rPr>
        <w:t xml:space="preserve"> </w:t>
      </w:r>
      <w:r w:rsidRPr="00D767D7">
        <w:rPr>
          <w:rStyle w:val="af9"/>
          <w:rFonts w:hint="cs"/>
          <w:rtl/>
        </w:rPr>
        <w:t>ובחי' רבי ראובן</w:t>
      </w:r>
      <w:r>
        <w:rPr>
          <w:rFonts w:hint="cs"/>
          <w:rtl/>
        </w:rPr>
        <w:t xml:space="preserve"> </w:t>
      </w:r>
      <w:r w:rsidRPr="00E90350">
        <w:rPr>
          <w:rStyle w:val="af7"/>
          <w:rFonts w:eastAsia="Guttman Hodes" w:hint="cs"/>
          <w:rtl/>
        </w:rPr>
        <w:t xml:space="preserve">(עי' אות </w:t>
      </w:r>
      <w:r w:rsidRPr="00E90350">
        <w:rPr>
          <w:rStyle w:val="af7"/>
          <w:rFonts w:eastAsia="Guttman Hodes"/>
          <w:rtl/>
        </w:rPr>
        <w:fldChar w:fldCharType="begin"/>
      </w:r>
      <w:r w:rsidRPr="00E90350">
        <w:rPr>
          <w:rStyle w:val="af7"/>
          <w:rFonts w:eastAsia="Guttman Hodes"/>
          <w:rtl/>
        </w:rPr>
        <w:instrText xml:space="preserve"> </w:instrText>
      </w:r>
      <w:r w:rsidRPr="00E90350">
        <w:rPr>
          <w:rStyle w:val="af7"/>
          <w:rFonts w:eastAsia="Guttman Hodes" w:hint="cs"/>
        </w:rPr>
        <w:instrText>REF</w:instrText>
      </w:r>
      <w:r w:rsidRPr="00E90350">
        <w:rPr>
          <w:rStyle w:val="af7"/>
          <w:rFonts w:eastAsia="Guttman Hodes" w:hint="cs"/>
          <w:rtl/>
        </w:rPr>
        <w:instrText xml:space="preserve"> _</w:instrText>
      </w:r>
      <w:r w:rsidRPr="00E90350">
        <w:rPr>
          <w:rStyle w:val="af7"/>
          <w:rFonts w:eastAsia="Guttman Hodes" w:hint="cs"/>
        </w:rPr>
        <w:instrText>Ref56626994 \r \h</w:instrText>
      </w:r>
      <w:r w:rsidRPr="00E90350">
        <w:rPr>
          <w:rStyle w:val="af7"/>
          <w:rFonts w:eastAsia="Guttman Hodes"/>
          <w:rtl/>
        </w:rPr>
        <w:instrText xml:space="preserve"> </w:instrText>
      </w:r>
      <w:r w:rsidRPr="00E90350">
        <w:rPr>
          <w:rStyle w:val="af7"/>
          <w:rFonts w:eastAsia="Guttman Hodes"/>
          <w:rtl/>
        </w:rPr>
      </w:r>
      <w:r w:rsidRPr="00E90350">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sidRPr="00E90350">
        <w:rPr>
          <w:rStyle w:val="af7"/>
          <w:rFonts w:eastAsia="Guttman Hodes"/>
          <w:rtl/>
        </w:rPr>
        <w:fldChar w:fldCharType="end"/>
      </w:r>
      <w:r>
        <w:rPr>
          <w:rFonts w:hint="cs"/>
          <w:rtl/>
        </w:rPr>
        <w:t>.</w:t>
      </w:r>
    </w:p>
    <w:p w:rsidR="00E874E8" w:rsidRPr="002D70E8" w:rsidRDefault="00E874E8" w:rsidP="00E874E8">
      <w:pPr>
        <w:pStyle w:val="a3"/>
      </w:pPr>
      <w:bookmarkStart w:id="5186" w:name="_Toc56544348"/>
      <w:bookmarkStart w:id="5187" w:name="_Toc56609784"/>
      <w:bookmarkStart w:id="5188" w:name="_Toc56626617"/>
      <w:bookmarkStart w:id="5189" w:name="_Toc56630085"/>
      <w:bookmarkStart w:id="5190" w:name="_Toc56636942"/>
      <w:bookmarkStart w:id="5191" w:name="_Toc56638076"/>
      <w:bookmarkStart w:id="5192" w:name="_Toc56640920"/>
      <w:r>
        <w:rPr>
          <w:rFonts w:hint="cs"/>
          <w:rtl/>
        </w:rPr>
        <w:t>קושית התוס' לקמן דאי נאמן בטענת לפירות הורדתיך א"כ לא היה לו למחות דל"מ המחאה</w:t>
      </w:r>
      <w:bookmarkEnd w:id="5186"/>
      <w:bookmarkEnd w:id="5187"/>
      <w:bookmarkEnd w:id="5188"/>
      <w:bookmarkEnd w:id="5189"/>
      <w:bookmarkEnd w:id="5190"/>
      <w:bookmarkEnd w:id="5191"/>
      <w:bookmarkEnd w:id="5192"/>
    </w:p>
    <w:p w:rsidR="00E874E8" w:rsidRDefault="00E874E8" w:rsidP="007E4E81">
      <w:pPr>
        <w:pStyle w:val="a0"/>
      </w:pPr>
      <w:r>
        <w:rPr>
          <w:rFonts w:hint="cs"/>
          <w:rtl/>
        </w:rPr>
        <w:t xml:space="preserve">ועוד הקשו </w:t>
      </w:r>
      <w:r w:rsidRPr="00A13C8A">
        <w:rPr>
          <w:rStyle w:val="af9"/>
          <w:rFonts w:hint="cs"/>
          <w:rtl/>
        </w:rPr>
        <w:t>התוס' לקמן</w:t>
      </w:r>
      <w:r>
        <w:rPr>
          <w:rFonts w:hint="cs"/>
          <w:rtl/>
        </w:rPr>
        <w:t xml:space="preserve"> דאי נאמן לטעון לפירות הורדתיו, א"כ מה מקשה הגמ' לקמן דהיה לו למחות, הא כיון דהחזקה אינה חזקה, דלעולם יכול לטעון לפירות הורדתיו, א"כ א"צ למחות כלל.</w:t>
      </w:r>
    </w:p>
    <w:p w:rsidR="00E874E8" w:rsidRDefault="00E874E8" w:rsidP="00E874E8">
      <w:pPr>
        <w:pStyle w:val="a3"/>
        <w:rPr>
          <w:rtl/>
        </w:rPr>
      </w:pPr>
      <w:bookmarkStart w:id="5193" w:name="_Toc56544349"/>
      <w:bookmarkStart w:id="5194" w:name="_Toc56609785"/>
      <w:bookmarkStart w:id="5195" w:name="_Toc56626618"/>
      <w:bookmarkStart w:id="5196" w:name="_Toc56630086"/>
      <w:bookmarkStart w:id="5197" w:name="_Toc56636943"/>
      <w:bookmarkStart w:id="5198" w:name="_Toc56638077"/>
      <w:bookmarkStart w:id="5199" w:name="_Toc56640921"/>
      <w:bookmarkEnd w:id="5185"/>
      <w:r>
        <w:rPr>
          <w:rFonts w:hint="cs"/>
          <w:rtl/>
        </w:rPr>
        <w:t>ביאור התוס' לקמן דקושית הגמ' לקמן מה התקנה שיוריד לפירות ולא יהיה למחזיק חזקת ג"ש</w:t>
      </w:r>
      <w:bookmarkEnd w:id="5193"/>
      <w:bookmarkEnd w:id="5194"/>
      <w:bookmarkEnd w:id="5195"/>
      <w:bookmarkEnd w:id="5196"/>
      <w:bookmarkEnd w:id="5197"/>
      <w:bookmarkEnd w:id="5198"/>
      <w:bookmarkEnd w:id="5199"/>
    </w:p>
    <w:p w:rsidR="00E874E8" w:rsidRDefault="00E874E8" w:rsidP="007E4E81">
      <w:pPr>
        <w:pStyle w:val="a0"/>
        <w:rPr>
          <w:rtl/>
        </w:rPr>
      </w:pPr>
      <w:r>
        <w:rPr>
          <w:rFonts w:hint="cs"/>
          <w:rtl/>
        </w:rPr>
        <w:t xml:space="preserve">אלא ביאר </w:t>
      </w:r>
      <w:r w:rsidRPr="0054699B">
        <w:rPr>
          <w:rStyle w:val="af9"/>
          <w:rFonts w:hint="cs"/>
          <w:rtl/>
        </w:rPr>
        <w:t>הרשב"א בתוס' לקמן</w:t>
      </w:r>
      <w:r>
        <w:rPr>
          <w:rFonts w:hint="cs"/>
          <w:rtl/>
        </w:rPr>
        <w:t xml:space="preserve"> דאין כוונת רב אשי להקשות שיהיה נאמן לעולם לטעון לפירות הורדתיו, אלא הקשה רב אשי מה אפשר לתקן שבהורידו לפירות, לא יוכל לומר לאחר ג"ש שקנה ממנו, דס"ל לרב אשי דהמחאה מהני רק כשטוען שהמחזיק הוא </w:t>
      </w:r>
      <w:r w:rsidRPr="00B50EE7">
        <w:rPr>
          <w:rFonts w:hint="cs"/>
          <w:rtl/>
        </w:rPr>
        <w:t>גזלן</w:t>
      </w:r>
      <w:r>
        <w:rPr>
          <w:rFonts w:hint="cs"/>
          <w:rtl/>
        </w:rPr>
        <w:t>,</w:t>
      </w:r>
      <w:r w:rsidRPr="00B50EE7">
        <w:rPr>
          <w:rFonts w:hint="cs"/>
          <w:rtl/>
        </w:rPr>
        <w:t xml:space="preserve"> </w:t>
      </w:r>
      <w:r w:rsidRPr="005E6CB5">
        <w:rPr>
          <w:rStyle w:val="afb"/>
          <w:rFonts w:hint="cs"/>
          <w:rtl/>
        </w:rPr>
        <w:t>[ותירצה הגמ' דאף בהורידו לפירות מהני מחאה],</w:t>
      </w:r>
      <w:r>
        <w:rPr>
          <w:rFonts w:hint="cs"/>
          <w:rtl/>
        </w:rPr>
        <w:t xml:space="preserve"> </w:t>
      </w:r>
      <w:r w:rsidRPr="00B50EE7">
        <w:rPr>
          <w:rFonts w:hint="cs"/>
          <w:rtl/>
        </w:rPr>
        <w:t xml:space="preserve">וכ"כ </w:t>
      </w:r>
      <w:r w:rsidRPr="00B50EE7">
        <w:rPr>
          <w:rStyle w:val="af9"/>
          <w:rFonts w:hint="cs"/>
          <w:rtl/>
        </w:rPr>
        <w:t>התוס'</w:t>
      </w:r>
      <w:r w:rsidRPr="00290022">
        <w:rPr>
          <w:rStyle w:val="af9"/>
          <w:rFonts w:hint="cs"/>
          <w:rtl/>
        </w:rPr>
        <w:t xml:space="preserve"> בב"מ</w:t>
      </w:r>
      <w:r w:rsidRPr="00290022">
        <w:rPr>
          <w:rStyle w:val="af7"/>
          <w:rFonts w:eastAsia="Guttman Hodes" w:hint="cs"/>
          <w:rtl/>
        </w:rPr>
        <w:t xml:space="preserve"> (קי. </w:t>
      </w:r>
      <w:r>
        <w:rPr>
          <w:rStyle w:val="af7"/>
          <w:rFonts w:eastAsia="Guttman Hodes" w:hint="cs"/>
          <w:rtl/>
        </w:rPr>
        <w:t>סו</w:t>
      </w:r>
      <w:r w:rsidRPr="00290022">
        <w:rPr>
          <w:rStyle w:val="af7"/>
          <w:rFonts w:eastAsia="Guttman Hodes" w:hint="cs"/>
          <w:rtl/>
        </w:rPr>
        <w:t>ד"ה א"ל)</w:t>
      </w:r>
      <w:r w:rsidRPr="00B50EE7">
        <w:rPr>
          <w:rFonts w:hint="cs"/>
          <w:rtl/>
        </w:rPr>
        <w:t>.</w:t>
      </w:r>
    </w:p>
    <w:p w:rsidR="00E874E8" w:rsidRPr="005E6CB5" w:rsidRDefault="00E874E8" w:rsidP="00E874E8">
      <w:pPr>
        <w:pStyle w:val="1"/>
        <w:rPr>
          <w:rtl/>
        </w:rPr>
      </w:pPr>
      <w:bookmarkStart w:id="5200" w:name="_Toc56544350"/>
      <w:bookmarkStart w:id="5201" w:name="_Toc56609786"/>
      <w:bookmarkStart w:id="5202" w:name="_Toc56626619"/>
      <w:bookmarkStart w:id="5203" w:name="_Toc56630087"/>
      <w:bookmarkStart w:id="5204" w:name="_Toc56636944"/>
      <w:bookmarkStart w:id="5205" w:name="_Toc56638078"/>
      <w:bookmarkStart w:id="5206" w:name="_Toc56640922"/>
      <w:r>
        <w:rPr>
          <w:rFonts w:hint="cs"/>
          <w:rtl/>
        </w:rPr>
        <w:t>ביאור הנתיה"מ בתוס'</w:t>
      </w:r>
      <w:bookmarkEnd w:id="5200"/>
      <w:bookmarkEnd w:id="5201"/>
      <w:bookmarkEnd w:id="5202"/>
      <w:bookmarkEnd w:id="5203"/>
      <w:r>
        <w:rPr>
          <w:rFonts w:hint="cs"/>
          <w:rtl/>
        </w:rPr>
        <w:t xml:space="preserve"> דלרבנן המחאה היא רק כשיש תקנ"ח</w:t>
      </w:r>
      <w:bookmarkEnd w:id="5204"/>
      <w:bookmarkEnd w:id="5205"/>
      <w:bookmarkEnd w:id="5206"/>
    </w:p>
    <w:p w:rsidR="00E874E8" w:rsidRPr="00CE63C9" w:rsidRDefault="00E874E8" w:rsidP="00E874E8">
      <w:pPr>
        <w:pStyle w:val="a3"/>
      </w:pPr>
      <w:bookmarkStart w:id="5207" w:name="_Toc56544351"/>
      <w:bookmarkStart w:id="5208" w:name="_Toc56609787"/>
      <w:bookmarkStart w:id="5209" w:name="_Toc56626620"/>
      <w:bookmarkStart w:id="5210" w:name="_Toc56630088"/>
      <w:bookmarkStart w:id="5211" w:name="_Toc56636945"/>
      <w:bookmarkStart w:id="5212" w:name="_Toc56638079"/>
      <w:bookmarkStart w:id="5213" w:name="_Toc56640923"/>
      <w:r>
        <w:rPr>
          <w:rFonts w:hint="cs"/>
          <w:rtl/>
        </w:rPr>
        <w:t>ביאור הנתיה"מ בתוס' בב"מ דלרבנן דחזקה הוא תקנ"ח הו"א דבמשכנתא אין תקנ"ח שימחה</w:t>
      </w:r>
      <w:bookmarkEnd w:id="5207"/>
      <w:bookmarkEnd w:id="5208"/>
      <w:bookmarkEnd w:id="5209"/>
      <w:bookmarkEnd w:id="5210"/>
      <w:bookmarkEnd w:id="5211"/>
      <w:bookmarkEnd w:id="5212"/>
      <w:bookmarkEnd w:id="5213"/>
    </w:p>
    <w:p w:rsidR="00E874E8" w:rsidRDefault="00E874E8" w:rsidP="007E4E81">
      <w:pPr>
        <w:pStyle w:val="a0"/>
        <w:rPr>
          <w:rtl/>
        </w:rPr>
      </w:pPr>
      <w:bookmarkStart w:id="5214" w:name="_Ref56633472"/>
      <w:r>
        <w:rPr>
          <w:rFonts w:hint="cs"/>
          <w:rtl/>
        </w:rPr>
        <w:t xml:space="preserve">וכתב </w:t>
      </w:r>
      <w:r w:rsidRPr="00633715">
        <w:rPr>
          <w:rStyle w:val="af9"/>
          <w:rFonts w:hint="cs"/>
          <w:rtl/>
        </w:rPr>
        <w:t>הנתיה"מ</w:t>
      </w:r>
      <w:r>
        <w:rPr>
          <w:rFonts w:hint="cs"/>
          <w:rtl/>
        </w:rPr>
        <w:t xml:space="preserve"> </w:t>
      </w:r>
      <w:r w:rsidRPr="00633715">
        <w:rPr>
          <w:rStyle w:val="af7"/>
          <w:rFonts w:eastAsia="Guttman Hodes" w:hint="cs"/>
          <w:rtl/>
        </w:rPr>
        <w:t>(סי' ק"נ סק"ה ד"ה והנה הש"ך)</w:t>
      </w:r>
      <w:r>
        <w:rPr>
          <w:rFonts w:hint="cs"/>
          <w:rtl/>
        </w:rPr>
        <w:t xml:space="preserve"> דהא דכתבו </w:t>
      </w:r>
      <w:r w:rsidRPr="00633715">
        <w:rPr>
          <w:rStyle w:val="af9"/>
          <w:rFonts w:hint="cs"/>
          <w:rtl/>
        </w:rPr>
        <w:t>התוס' בב"מ</w:t>
      </w:r>
      <w:r>
        <w:rPr>
          <w:rFonts w:hint="cs"/>
          <w:rtl/>
        </w:rPr>
        <w:t xml:space="preserve"> </w:t>
      </w:r>
      <w:r w:rsidRPr="005E6CB5">
        <w:rPr>
          <w:rStyle w:val="af7"/>
          <w:rFonts w:eastAsia="Guttman Hodes" w:hint="cs"/>
          <w:rtl/>
        </w:rPr>
        <w:t xml:space="preserve">(עי' אות </w:t>
      </w:r>
      <w:r w:rsidRPr="005E6CB5">
        <w:rPr>
          <w:rStyle w:val="af7"/>
          <w:rFonts w:eastAsia="Guttman Hodes"/>
          <w:rtl/>
        </w:rPr>
        <w:fldChar w:fldCharType="begin"/>
      </w:r>
      <w:r w:rsidRPr="005E6CB5">
        <w:rPr>
          <w:rStyle w:val="af7"/>
          <w:rFonts w:eastAsia="Guttman Hodes"/>
          <w:rtl/>
        </w:rPr>
        <w:instrText xml:space="preserve"> </w:instrText>
      </w:r>
      <w:r w:rsidRPr="005E6CB5">
        <w:rPr>
          <w:rStyle w:val="af7"/>
          <w:rFonts w:eastAsia="Guttman Hodes" w:hint="cs"/>
        </w:rPr>
        <w:instrText>REF</w:instrText>
      </w:r>
      <w:r w:rsidRPr="005E6CB5">
        <w:rPr>
          <w:rStyle w:val="af7"/>
          <w:rFonts w:eastAsia="Guttman Hodes" w:hint="cs"/>
          <w:rtl/>
        </w:rPr>
        <w:instrText xml:space="preserve"> _</w:instrText>
      </w:r>
      <w:r w:rsidRPr="005E6CB5">
        <w:rPr>
          <w:rStyle w:val="af7"/>
          <w:rFonts w:eastAsia="Guttman Hodes" w:hint="cs"/>
        </w:rPr>
        <w:instrText>Ref56528482 \r \h</w:instrText>
      </w:r>
      <w:r w:rsidRPr="005E6CB5">
        <w:rPr>
          <w:rStyle w:val="af7"/>
          <w:rFonts w:eastAsia="Guttman Hodes"/>
          <w:rtl/>
        </w:rPr>
        <w:instrText xml:space="preserve"> </w:instrText>
      </w:r>
      <w:r w:rsidRPr="005E6CB5">
        <w:rPr>
          <w:rStyle w:val="af7"/>
          <w:rFonts w:eastAsia="Guttman Hodes"/>
          <w:rtl/>
        </w:rPr>
      </w:r>
      <w:r w:rsidRPr="005E6CB5">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5E6CB5">
        <w:rPr>
          <w:rStyle w:val="af7"/>
          <w:rFonts w:eastAsia="Guttman Hodes"/>
          <w:rtl/>
        </w:rPr>
        <w:fldChar w:fldCharType="end"/>
      </w:r>
      <w:r>
        <w:rPr>
          <w:rFonts w:hint="cs"/>
          <w:rtl/>
        </w:rPr>
        <w:t xml:space="preserve"> דההו"א בגמ' בב"מ, דהמחאה מהני רק כשטוען שהמחזיק אוכל בגזלנות, ואינו נאמן כשטוען דהקרקע היא במשכנתא, היינו דוקא לרבנן דטעמא דחזקה ומחאה הם מתקנת חכמים, כיון שאין המחזיק יכול להזהר בשטרו לעולם, ולכן תיקנו חכמים דימחה המערער בתוך ג"ש, וכל שלא מיחה הפסיד, אבל בטענת משכנתא לא תיקנו חכמים. </w:t>
      </w:r>
      <w:r w:rsidRPr="00FB5077">
        <w:rPr>
          <w:rStyle w:val="afb"/>
          <w:rFonts w:hint="cs"/>
          <w:rtl/>
        </w:rPr>
        <w:t xml:space="preserve">[וביאר </w:t>
      </w:r>
      <w:r w:rsidRPr="00FB5077">
        <w:rPr>
          <w:rStyle w:val="affa"/>
          <w:rFonts w:hint="cs"/>
          <w:rtl/>
        </w:rPr>
        <w:t>הנתיה"מ</w:t>
      </w:r>
      <w:r w:rsidRPr="00FB5077">
        <w:rPr>
          <w:rStyle w:val="afb"/>
          <w:rFonts w:hint="cs"/>
          <w:rtl/>
        </w:rPr>
        <w:t xml:space="preserve"> דההו"א דהמחאה צריכה להיות דוקא בלשון שתיקנו חכמים, דמוחה במחזיק שיושב בקרקע בגזלנות, ולא מהני מחאה כשטוען שיושב בה במשכנתא].</w:t>
      </w:r>
      <w:bookmarkEnd w:id="5214"/>
    </w:p>
    <w:p w:rsidR="00E874E8" w:rsidRPr="003875D4" w:rsidRDefault="00E874E8" w:rsidP="00E874E8">
      <w:pPr>
        <w:pStyle w:val="a3"/>
      </w:pPr>
      <w:bookmarkStart w:id="5215" w:name="_Toc56544352"/>
      <w:bookmarkStart w:id="5216" w:name="_Toc56609788"/>
      <w:bookmarkStart w:id="5217" w:name="_Toc56626621"/>
      <w:bookmarkStart w:id="5218" w:name="_Toc56630089"/>
      <w:bookmarkStart w:id="5219" w:name="_Toc56636946"/>
      <w:bookmarkStart w:id="5220" w:name="_Toc56638080"/>
      <w:bookmarkStart w:id="5221" w:name="_Toc56640924"/>
      <w:r>
        <w:rPr>
          <w:rFonts w:hint="cs"/>
          <w:rtl/>
        </w:rPr>
        <w:t>דברי הנתיה"מ דלהולכי אושא דהחזקה מדאו' דהוחזק שתקן פשיטא דמהני מחאה במשכנתא</w:t>
      </w:r>
      <w:bookmarkEnd w:id="5215"/>
      <w:bookmarkEnd w:id="5216"/>
      <w:bookmarkEnd w:id="5217"/>
      <w:bookmarkEnd w:id="5218"/>
      <w:bookmarkEnd w:id="5219"/>
      <w:bookmarkEnd w:id="5220"/>
      <w:bookmarkEnd w:id="5221"/>
    </w:p>
    <w:p w:rsidR="00E874E8" w:rsidRPr="00E901A5" w:rsidRDefault="00E874E8" w:rsidP="007E4E81">
      <w:pPr>
        <w:pStyle w:val="a0"/>
        <w:rPr>
          <w:rtl/>
        </w:rPr>
      </w:pPr>
      <w:r>
        <w:rPr>
          <w:rFonts w:hint="cs"/>
          <w:rtl/>
        </w:rPr>
        <w:t xml:space="preserve">אך כתב </w:t>
      </w:r>
      <w:r w:rsidRPr="00633715">
        <w:rPr>
          <w:rStyle w:val="af9"/>
          <w:rFonts w:hint="cs"/>
          <w:rtl/>
        </w:rPr>
        <w:t>הנתיה"מ</w:t>
      </w:r>
      <w:r>
        <w:rPr>
          <w:rFonts w:hint="cs"/>
          <w:rtl/>
        </w:rPr>
        <w:t xml:space="preserve"> דלדעת הולכי אושא דס"ל דילפינן חזקה משור המועד, וביארו (רש"י) </w:t>
      </w:r>
      <w:r w:rsidRPr="00633715">
        <w:rPr>
          <w:rStyle w:val="af9"/>
          <w:rFonts w:hint="cs"/>
          <w:rtl/>
        </w:rPr>
        <w:t>התוס'</w:t>
      </w:r>
      <w:r>
        <w:rPr>
          <w:rFonts w:hint="cs"/>
          <w:rtl/>
        </w:rPr>
        <w:t xml:space="preserve"> </w:t>
      </w:r>
      <w:r w:rsidRPr="00F404FE">
        <w:rPr>
          <w:rStyle w:val="af7"/>
          <w:rFonts w:eastAsia="Guttman Hodes" w:hint="cs"/>
          <w:rtl/>
        </w:rPr>
        <w:t>(כח. ד</w:t>
      </w:r>
      <w:r w:rsidRPr="00F404FE">
        <w:rPr>
          <w:rStyle w:val="af7"/>
          <w:rFonts w:eastAsia="Guttman Hodes"/>
          <w:rtl/>
        </w:rPr>
        <w:t>"</w:t>
      </w:r>
      <w:r w:rsidRPr="00F404FE">
        <w:rPr>
          <w:rStyle w:val="af7"/>
          <w:rFonts w:eastAsia="Guttman Hodes" w:hint="cs"/>
          <w:rtl/>
        </w:rPr>
        <w:t>ה עד ,כט. ד"ה שתא, הובא בסימן ג' אות י"ג)</w:t>
      </w:r>
      <w:r w:rsidRPr="001D1883">
        <w:rPr>
          <w:rStyle w:val="afb"/>
          <w:rFonts w:hint="cs"/>
          <w:rtl/>
        </w:rPr>
        <w:t xml:space="preserve"> </w:t>
      </w:r>
      <w:r>
        <w:rPr>
          <w:rFonts w:hint="cs"/>
          <w:rtl/>
        </w:rPr>
        <w:t xml:space="preserve">דבג' פעמים הוחזק המערער שתקן, א"כ החזקה היא מדאו', לפי"ז </w:t>
      </w:r>
      <w:r>
        <w:rPr>
          <w:rFonts w:hint="cs"/>
          <w:rtl/>
        </w:rPr>
        <w:lastRenderedPageBreak/>
        <w:t xml:space="preserve">אין כל חילוק בין אם מוחה וטוען שהמחזיק אוכל בגזלנות, או שטוען שהקרקע ממושכנת בידו, דהא אף בכה"ג לא הוחזק שתקן ואדרבה הוא צווח בכל יום שיתבע אותו, וכתב </w:t>
      </w:r>
      <w:r w:rsidRPr="00633715">
        <w:rPr>
          <w:rStyle w:val="af9"/>
          <w:rFonts w:hint="cs"/>
          <w:rtl/>
        </w:rPr>
        <w:t>הנתיה"מ</w:t>
      </w:r>
      <w:r>
        <w:rPr>
          <w:rFonts w:hint="cs"/>
          <w:rtl/>
        </w:rPr>
        <w:t xml:space="preserve"> דהרי אף לדעת הולכי אושא המחאה </w:t>
      </w:r>
      <w:r w:rsidRPr="00E901A5">
        <w:rPr>
          <w:rFonts w:hint="cs"/>
          <w:rtl/>
        </w:rPr>
        <w:t xml:space="preserve">היא בכדי שיזהר בשטרו, וכדביאר </w:t>
      </w:r>
      <w:r w:rsidRPr="00E901A5">
        <w:rPr>
          <w:rStyle w:val="af9"/>
          <w:rFonts w:hint="cs"/>
          <w:rtl/>
        </w:rPr>
        <w:t>הרמב"ן</w:t>
      </w:r>
      <w:r w:rsidRPr="00E901A5">
        <w:rPr>
          <w:rFonts w:hint="cs"/>
          <w:rtl/>
        </w:rPr>
        <w:t xml:space="preserve"> </w:t>
      </w:r>
      <w:r w:rsidRPr="00E901A5">
        <w:rPr>
          <w:rStyle w:val="af7"/>
          <w:rFonts w:eastAsia="Guttman Hodes" w:hint="cs"/>
          <w:rtl/>
        </w:rPr>
        <w:t>(כח: ד"ה ותו, הובא בסימן ד' אות נ"ד)</w:t>
      </w:r>
      <w:bookmarkStart w:id="5222" w:name="_Ref56533684"/>
      <w:r w:rsidRPr="00E901A5">
        <w:rPr>
          <w:rStyle w:val="af1"/>
          <w:rtl/>
        </w:rPr>
        <w:footnoteReference w:id="27"/>
      </w:r>
      <w:bookmarkEnd w:id="5222"/>
      <w:r w:rsidRPr="00E901A5">
        <w:rPr>
          <w:rFonts w:hint="cs"/>
          <w:rtl/>
        </w:rPr>
        <w:t>.</w:t>
      </w:r>
    </w:p>
    <w:p w:rsidR="00E874E8" w:rsidRPr="00E901A5" w:rsidRDefault="00E874E8" w:rsidP="00E874E8">
      <w:pPr>
        <w:pStyle w:val="a3"/>
        <w:rPr>
          <w:rtl/>
        </w:rPr>
      </w:pPr>
      <w:bookmarkStart w:id="5223" w:name="_Toc56609789"/>
      <w:bookmarkStart w:id="5224" w:name="_Toc56626622"/>
      <w:bookmarkStart w:id="5225" w:name="_Toc56630090"/>
      <w:bookmarkStart w:id="5226" w:name="_Toc56636947"/>
      <w:bookmarkStart w:id="5227" w:name="_Toc56638081"/>
      <w:bookmarkStart w:id="5228" w:name="_Toc56640925"/>
      <w:r>
        <w:rPr>
          <w:rFonts w:hint="cs"/>
          <w:rtl/>
        </w:rPr>
        <w:t>דברי הנתיה"מ דלרבנן דהחזקה היא תקנ"ח במקום שבלא"ה צריך לשמור שטרו לא תיקנו חכמים</w:t>
      </w:r>
      <w:bookmarkEnd w:id="5223"/>
      <w:bookmarkEnd w:id="5224"/>
      <w:bookmarkEnd w:id="5225"/>
      <w:bookmarkEnd w:id="5226"/>
      <w:bookmarkEnd w:id="5227"/>
      <w:bookmarkEnd w:id="5228"/>
    </w:p>
    <w:p w:rsidR="00E874E8" w:rsidRPr="00722E51" w:rsidRDefault="00E874E8" w:rsidP="007E4E81">
      <w:pPr>
        <w:pStyle w:val="a0"/>
        <w:rPr>
          <w:rStyle w:val="afb"/>
          <w:rtl/>
        </w:rPr>
      </w:pPr>
      <w:r w:rsidRPr="00E901A5">
        <w:rPr>
          <w:rFonts w:hint="cs"/>
          <w:rtl/>
        </w:rPr>
        <w:t>ו</w:t>
      </w:r>
      <w:r>
        <w:rPr>
          <w:rFonts w:hint="cs"/>
          <w:rtl/>
        </w:rPr>
        <w:t xml:space="preserve">הוסיף </w:t>
      </w:r>
      <w:r w:rsidRPr="00E901A5">
        <w:rPr>
          <w:rStyle w:val="af9"/>
          <w:rFonts w:hint="cs"/>
          <w:rtl/>
        </w:rPr>
        <w:t>הנתיה"מ</w:t>
      </w:r>
      <w:r w:rsidRPr="00E901A5">
        <w:rPr>
          <w:rFonts w:hint="cs"/>
          <w:rtl/>
        </w:rPr>
        <w:t xml:space="preserve"> </w:t>
      </w:r>
      <w:r>
        <w:rPr>
          <w:rFonts w:hint="cs"/>
          <w:rtl/>
        </w:rPr>
        <w:t xml:space="preserve">דלדעת </w:t>
      </w:r>
      <w:r w:rsidRPr="00722E51">
        <w:rPr>
          <w:rStyle w:val="af9"/>
          <w:rFonts w:hint="cs"/>
          <w:rtl/>
        </w:rPr>
        <w:t>התוס' בב"מ</w:t>
      </w:r>
      <w:r w:rsidRPr="00E901A5">
        <w:rPr>
          <w:rFonts w:hint="cs"/>
          <w:rtl/>
        </w:rPr>
        <w:t xml:space="preserve"> </w:t>
      </w:r>
      <w:r w:rsidRPr="00722E51">
        <w:rPr>
          <w:rStyle w:val="af7"/>
          <w:rFonts w:eastAsia="Guttman Hodes" w:hint="cs"/>
          <w:rtl/>
        </w:rPr>
        <w:t xml:space="preserve">(עי' אות </w:t>
      </w:r>
      <w:r w:rsidRPr="00722E51">
        <w:rPr>
          <w:rStyle w:val="af7"/>
          <w:rFonts w:eastAsia="Guttman Hodes"/>
          <w:rtl/>
        </w:rPr>
        <w:fldChar w:fldCharType="begin"/>
      </w:r>
      <w:r w:rsidRPr="00722E51">
        <w:rPr>
          <w:rStyle w:val="af7"/>
          <w:rFonts w:eastAsia="Guttman Hodes"/>
          <w:rtl/>
        </w:rPr>
        <w:instrText xml:space="preserve"> </w:instrText>
      </w:r>
      <w:r w:rsidRPr="00722E51">
        <w:rPr>
          <w:rStyle w:val="af7"/>
          <w:rFonts w:eastAsia="Guttman Hodes" w:hint="cs"/>
        </w:rPr>
        <w:instrText>REF</w:instrText>
      </w:r>
      <w:r w:rsidRPr="00722E51">
        <w:rPr>
          <w:rStyle w:val="af7"/>
          <w:rFonts w:eastAsia="Guttman Hodes" w:hint="cs"/>
          <w:rtl/>
        </w:rPr>
        <w:instrText xml:space="preserve"> _</w:instrText>
      </w:r>
      <w:r w:rsidRPr="00722E51">
        <w:rPr>
          <w:rStyle w:val="af7"/>
          <w:rFonts w:eastAsia="Guttman Hodes" w:hint="cs"/>
        </w:rPr>
        <w:instrText>Ref56528482 \r \h</w:instrText>
      </w:r>
      <w:r w:rsidRPr="00722E51">
        <w:rPr>
          <w:rStyle w:val="af7"/>
          <w:rFonts w:eastAsia="Guttman Hodes"/>
          <w:rtl/>
        </w:rPr>
        <w:instrText xml:space="preserve"> </w:instrText>
      </w:r>
      <w:r w:rsidRPr="00722E51">
        <w:rPr>
          <w:rStyle w:val="af7"/>
          <w:rFonts w:eastAsia="Guttman Hodes"/>
          <w:rtl/>
        </w:rPr>
      </w:r>
      <w:r w:rsidRPr="00722E51">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722E51">
        <w:rPr>
          <w:rStyle w:val="af7"/>
          <w:rFonts w:eastAsia="Guttman Hodes"/>
          <w:rtl/>
        </w:rPr>
        <w:fldChar w:fldCharType="end"/>
      </w:r>
      <w:r w:rsidRPr="00722E51">
        <w:rPr>
          <w:rStyle w:val="af7"/>
          <w:rFonts w:eastAsia="Guttman Hodes" w:hint="cs"/>
          <w:rtl/>
        </w:rPr>
        <w:t xml:space="preserve"> </w:t>
      </w:r>
      <w:r w:rsidRPr="00E901A5">
        <w:rPr>
          <w:rFonts w:hint="cs"/>
          <w:rtl/>
        </w:rPr>
        <w:t xml:space="preserve">דחזקת ג"ש היא תקנת חכמים רק כיון שאינו יכול להזהר בשטרו, </w:t>
      </w:r>
      <w:r>
        <w:rPr>
          <w:rFonts w:hint="cs"/>
          <w:rtl/>
        </w:rPr>
        <w:t xml:space="preserve">א"כ </w:t>
      </w:r>
      <w:r w:rsidRPr="00E901A5">
        <w:rPr>
          <w:rFonts w:hint="cs"/>
          <w:rtl/>
        </w:rPr>
        <w:t>מבואר</w:t>
      </w:r>
      <w:r w:rsidR="00A77F33">
        <w:rPr>
          <w:rFonts w:hint="cs"/>
          <w:rtl/>
        </w:rPr>
        <w:t xml:space="preserve"> </w:t>
      </w:r>
      <w:r>
        <w:rPr>
          <w:rFonts w:hint="cs"/>
          <w:rtl/>
        </w:rPr>
        <w:t xml:space="preserve">אמאי הקשה רב אשי בגמ' </w:t>
      </w:r>
      <w:r w:rsidRPr="00290022">
        <w:rPr>
          <w:rFonts w:hint="cs"/>
          <w:rtl/>
        </w:rPr>
        <w:t xml:space="preserve">בב"מ </w:t>
      </w:r>
      <w:r w:rsidRPr="00EF7EB3">
        <w:rPr>
          <w:rStyle w:val="af7"/>
          <w:rFonts w:eastAsia="Guttman Hodes" w:hint="cs"/>
          <w:rtl/>
        </w:rPr>
        <w:t>(קי.)</w:t>
      </w:r>
      <w:r>
        <w:rPr>
          <w:rFonts w:hint="cs"/>
          <w:rtl/>
        </w:rPr>
        <w:t xml:space="preserve"> דהמוריד לפירות מאי הו"ל למעבד, רק </w:t>
      </w:r>
      <w:r w:rsidRPr="00E901A5">
        <w:rPr>
          <w:rFonts w:hint="cs"/>
          <w:rtl/>
        </w:rPr>
        <w:t xml:space="preserve">במקום שהוא צריך בלא"ה להזהר בשטרו, </w:t>
      </w:r>
      <w:r w:rsidRPr="00722E51">
        <w:rPr>
          <w:rStyle w:val="afb"/>
          <w:rFonts w:hint="cs"/>
          <w:rtl/>
        </w:rPr>
        <w:t>[לדעת רב זביד ורב עוירא דבשטר משכנתא דלגוביינא קאתי הוא נזהר בו],</w:t>
      </w:r>
      <w:r w:rsidRPr="00E901A5">
        <w:rPr>
          <w:rFonts w:hint="cs"/>
          <w:rtl/>
        </w:rPr>
        <w:t xml:space="preserve"> </w:t>
      </w:r>
      <w:r>
        <w:rPr>
          <w:rFonts w:hint="cs"/>
          <w:rtl/>
        </w:rPr>
        <w:t xml:space="preserve">דכיון שבלא"ה הוא צריך להזהר בשטר, א"כ </w:t>
      </w:r>
      <w:r w:rsidRPr="00E901A5">
        <w:rPr>
          <w:rFonts w:hint="cs"/>
          <w:rtl/>
        </w:rPr>
        <w:t xml:space="preserve">בטלה התקנה דחזקת ג"ש, </w:t>
      </w:r>
      <w:r>
        <w:rPr>
          <w:rFonts w:hint="cs"/>
          <w:rtl/>
        </w:rPr>
        <w:t xml:space="preserve">דכל התקנת חכמים היא כיון שאינו יכול להזהר בשטרו יותר מג"ש, ובמקום שהיה לו להזהר בשטרו, ממילא בטלה התקנה. </w:t>
      </w:r>
      <w:r w:rsidRPr="00722E51">
        <w:rPr>
          <w:rStyle w:val="afb"/>
          <w:rFonts w:hint="cs"/>
          <w:rtl/>
        </w:rPr>
        <w:t xml:space="preserve">[אבל לדעת רב יהודה בגמ' בב"מ </w:t>
      </w:r>
      <w:r w:rsidRPr="00722E51">
        <w:rPr>
          <w:rStyle w:val="aff6"/>
          <w:rFonts w:hint="cs"/>
          <w:rtl/>
        </w:rPr>
        <w:t>(קי.)</w:t>
      </w:r>
      <w:r w:rsidRPr="00722E51">
        <w:rPr>
          <w:rStyle w:val="afb"/>
          <w:rFonts w:hint="cs"/>
          <w:rtl/>
        </w:rPr>
        <w:t xml:space="preserve"> כתב </w:t>
      </w:r>
      <w:r w:rsidRPr="00722E51">
        <w:rPr>
          <w:rStyle w:val="affa"/>
          <w:rFonts w:hint="cs"/>
          <w:rtl/>
        </w:rPr>
        <w:t>הנתיה"מ</w:t>
      </w:r>
      <w:r w:rsidRPr="00722E51">
        <w:rPr>
          <w:rStyle w:val="afb"/>
          <w:rFonts w:hint="cs"/>
          <w:rtl/>
        </w:rPr>
        <w:t xml:space="preserve"> דס"ל כדעת הולכי אושא דילפינן חזקה משור המועד, וא"כ החזקה מהני מדאו' אף במקום שהיה לו להזהר בשטרו</w:t>
      </w:r>
      <w:r>
        <w:rPr>
          <w:rStyle w:val="afb"/>
          <w:rFonts w:hint="cs"/>
          <w:rtl/>
        </w:rPr>
        <w:t xml:space="preserve">, וכדביאר </w:t>
      </w:r>
      <w:r w:rsidRPr="00F00CC3">
        <w:rPr>
          <w:rStyle w:val="affa"/>
          <w:rFonts w:hint="cs"/>
          <w:rtl/>
        </w:rPr>
        <w:t>הנתיה"מ</w:t>
      </w:r>
      <w:r>
        <w:rPr>
          <w:rStyle w:val="afb"/>
          <w:rFonts w:hint="cs"/>
          <w:rtl/>
        </w:rPr>
        <w:t xml:space="preserve"> </w:t>
      </w:r>
      <w:r w:rsidRPr="00F00CC3">
        <w:rPr>
          <w:rStyle w:val="aff6"/>
          <w:rFonts w:hint="cs"/>
          <w:rtl/>
        </w:rPr>
        <w:t>(עי' הערה</w:t>
      </w:r>
      <w:r w:rsidRPr="00F00CC3">
        <w:rPr>
          <w:vertAlign w:val="superscript"/>
          <w:rtl/>
        </w:rPr>
        <w:fldChar w:fldCharType="begin"/>
      </w:r>
      <w:r w:rsidRPr="00F00CC3">
        <w:rPr>
          <w:vertAlign w:val="superscript"/>
          <w:rtl/>
        </w:rPr>
        <w:instrText xml:space="preserve"> </w:instrText>
      </w:r>
      <w:r w:rsidRPr="00F00CC3">
        <w:rPr>
          <w:rFonts w:hint="cs"/>
          <w:vertAlign w:val="superscript"/>
        </w:rPr>
        <w:instrText>NOTEREF</w:instrText>
      </w:r>
      <w:r w:rsidRPr="00F00CC3">
        <w:rPr>
          <w:rFonts w:hint="cs"/>
          <w:vertAlign w:val="superscript"/>
          <w:rtl/>
        </w:rPr>
        <w:instrText xml:space="preserve"> _</w:instrText>
      </w:r>
      <w:r w:rsidRPr="00F00CC3">
        <w:rPr>
          <w:rFonts w:hint="cs"/>
          <w:vertAlign w:val="superscript"/>
        </w:rPr>
        <w:instrText>Ref56533684 \h</w:instrText>
      </w:r>
      <w:r w:rsidRPr="00F00CC3">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F00CC3">
        <w:rPr>
          <w:vertAlign w:val="superscript"/>
          <w:rtl/>
        </w:rPr>
      </w:r>
      <w:r w:rsidRPr="00F00CC3">
        <w:rPr>
          <w:vertAlign w:val="superscript"/>
          <w:rtl/>
        </w:rPr>
        <w:fldChar w:fldCharType="separate"/>
      </w:r>
      <w:r w:rsidR="00265073">
        <w:rPr>
          <w:vertAlign w:val="superscript"/>
          <w:rtl/>
        </w:rPr>
        <w:t>27</w:t>
      </w:r>
      <w:r w:rsidRPr="00F00CC3">
        <w:rPr>
          <w:vertAlign w:val="superscript"/>
          <w:rtl/>
        </w:rPr>
        <w:fldChar w:fldCharType="end"/>
      </w:r>
      <w:r w:rsidRPr="00F00CC3">
        <w:rPr>
          <w:rStyle w:val="aff6"/>
          <w:rFonts w:hint="cs"/>
          <w:rtl/>
        </w:rPr>
        <w:t>)</w:t>
      </w:r>
      <w:r w:rsidRPr="00722E51">
        <w:rPr>
          <w:rStyle w:val="afb"/>
          <w:rFonts w:hint="cs"/>
          <w:rtl/>
        </w:rPr>
        <w:t>].</w:t>
      </w:r>
    </w:p>
    <w:p w:rsidR="00E874E8" w:rsidRPr="00127C89" w:rsidRDefault="00E874E8" w:rsidP="00E874E8">
      <w:pPr>
        <w:pStyle w:val="1"/>
        <w:rPr>
          <w:rtl/>
        </w:rPr>
      </w:pPr>
      <w:bookmarkStart w:id="5229" w:name="_Toc56544353"/>
      <w:bookmarkStart w:id="5230" w:name="_Toc56609790"/>
      <w:bookmarkStart w:id="5231" w:name="_Toc56626623"/>
      <w:bookmarkStart w:id="5232" w:name="_Toc56630091"/>
      <w:bookmarkStart w:id="5233" w:name="_Toc56636948"/>
      <w:bookmarkStart w:id="5234" w:name="_Toc56638082"/>
      <w:bookmarkStart w:id="5235" w:name="_Toc56640926"/>
      <w:bookmarkStart w:id="5236" w:name="_Toc55419892"/>
      <w:bookmarkStart w:id="5237" w:name="_Toc55419948"/>
      <w:bookmarkStart w:id="5238" w:name="_Toc55421156"/>
      <w:bookmarkStart w:id="5239" w:name="_Toc55508534"/>
      <w:bookmarkStart w:id="5240" w:name="_Toc55569182"/>
      <w:bookmarkStart w:id="5241" w:name="_Toc55718293"/>
      <w:bookmarkStart w:id="5242" w:name="_Toc55739958"/>
      <w:bookmarkStart w:id="5243" w:name="_Toc56458202"/>
      <w:bookmarkEnd w:id="4907"/>
      <w:bookmarkEnd w:id="4908"/>
      <w:r>
        <w:rPr>
          <w:rFonts w:hint="cs"/>
          <w:rtl/>
        </w:rPr>
        <w:t>דברי התוס' לקמן</w:t>
      </w:r>
      <w:bookmarkEnd w:id="5229"/>
      <w:bookmarkEnd w:id="5230"/>
      <w:bookmarkEnd w:id="5231"/>
      <w:bookmarkEnd w:id="5232"/>
      <w:r>
        <w:rPr>
          <w:rFonts w:hint="cs"/>
          <w:rtl/>
        </w:rPr>
        <w:t xml:space="preserve"> דתיקנו מחאה שמבטלת חזקה בדבר מועט </w:t>
      </w:r>
      <w:bookmarkEnd w:id="5233"/>
      <w:bookmarkEnd w:id="5234"/>
      <w:bookmarkEnd w:id="5235"/>
    </w:p>
    <w:p w:rsidR="00E874E8" w:rsidRPr="002170E4" w:rsidRDefault="00E874E8" w:rsidP="00E874E8">
      <w:pPr>
        <w:pStyle w:val="a3"/>
        <w:rPr>
          <w:rtl/>
        </w:rPr>
      </w:pPr>
      <w:bookmarkStart w:id="5244" w:name="_Toc56372860"/>
      <w:bookmarkStart w:id="5245" w:name="_Toc56458197"/>
      <w:bookmarkStart w:id="5246" w:name="_Toc56544354"/>
      <w:bookmarkStart w:id="5247" w:name="_Toc56609791"/>
      <w:bookmarkStart w:id="5248" w:name="_Toc56626624"/>
      <w:bookmarkStart w:id="5249" w:name="_Toc56630092"/>
      <w:bookmarkStart w:id="5250" w:name="_Toc56636949"/>
      <w:bookmarkStart w:id="5251" w:name="_Toc56638083"/>
      <w:bookmarkStart w:id="5252" w:name="_Toc56640927"/>
      <w:r w:rsidRPr="002170E4">
        <w:rPr>
          <w:rFonts w:hint="cs"/>
          <w:rtl/>
        </w:rPr>
        <w:t>דברי התוס' לקמן דמחאה היא תקנ"ח ומהני אף בדבר מועט לבטל חזקה אף שלא שמע המחזיק</w:t>
      </w:r>
      <w:bookmarkEnd w:id="5236"/>
      <w:bookmarkEnd w:id="5237"/>
      <w:bookmarkEnd w:id="5238"/>
      <w:bookmarkEnd w:id="5239"/>
      <w:bookmarkEnd w:id="5240"/>
      <w:bookmarkEnd w:id="5241"/>
      <w:bookmarkEnd w:id="5242"/>
      <w:bookmarkEnd w:id="5244"/>
      <w:bookmarkEnd w:id="5245"/>
      <w:bookmarkEnd w:id="5246"/>
      <w:bookmarkEnd w:id="5247"/>
      <w:bookmarkEnd w:id="5248"/>
      <w:bookmarkEnd w:id="5249"/>
      <w:bookmarkEnd w:id="5250"/>
      <w:bookmarkEnd w:id="5251"/>
      <w:bookmarkEnd w:id="5252"/>
    </w:p>
    <w:p w:rsidR="00E874E8" w:rsidRPr="002170E4" w:rsidRDefault="00E874E8" w:rsidP="007E4E81">
      <w:pPr>
        <w:pStyle w:val="a0"/>
        <w:rPr>
          <w:rtl/>
        </w:rPr>
      </w:pPr>
      <w:bookmarkStart w:id="5253" w:name="_Ref56415576"/>
      <w:r w:rsidRPr="002170E4">
        <w:rPr>
          <w:rFonts w:hint="cs"/>
          <w:rtl/>
        </w:rPr>
        <w:t xml:space="preserve">וע"ע בדברי </w:t>
      </w:r>
      <w:r w:rsidRPr="002170E4">
        <w:rPr>
          <w:rStyle w:val="af9"/>
          <w:rFonts w:hint="cs"/>
          <w:rtl/>
        </w:rPr>
        <w:t xml:space="preserve">התוס' לקמן </w:t>
      </w:r>
      <w:r w:rsidRPr="002170E4">
        <w:rPr>
          <w:rStyle w:val="af7"/>
          <w:rFonts w:eastAsia="Guttman Hodes" w:hint="cs"/>
          <w:rtl/>
        </w:rPr>
        <w:t>(מ. ד"ה מחאה)</w:t>
      </w:r>
      <w:r w:rsidRPr="002170E4">
        <w:rPr>
          <w:rFonts w:hint="cs"/>
          <w:rtl/>
        </w:rPr>
        <w:t xml:space="preserve"> </w:t>
      </w:r>
      <w:r>
        <w:rPr>
          <w:rFonts w:hint="cs"/>
          <w:rtl/>
        </w:rPr>
        <w:t xml:space="preserve">דהקשו דהאיך אפשר לכתוב שטר מחאה, בלא שהמחזיק שהוא המתחייב מסכים לשטר, הא בשטר בעינן דעת המתחייב, ותירצו </w:t>
      </w:r>
      <w:r w:rsidRPr="004F1571">
        <w:rPr>
          <w:rStyle w:val="af9"/>
          <w:rFonts w:hint="cs"/>
          <w:rtl/>
        </w:rPr>
        <w:t>התוס' לקמן</w:t>
      </w:r>
      <w:r>
        <w:rPr>
          <w:rFonts w:hint="cs"/>
          <w:rtl/>
        </w:rPr>
        <w:t xml:space="preserve"> </w:t>
      </w:r>
      <w:r w:rsidRPr="001D1883">
        <w:rPr>
          <w:rFonts w:hint="cs"/>
          <w:rtl/>
        </w:rPr>
        <w:t>דמחאה היא תקנת חכמים, בכדי לבטל את החזקה, ומהני אף בדבר מועט לבטל את החזקה, ואף אם יתברר שהמחזיק לא שמע מהמחאה, מ"מ מתבטלת החזקה</w:t>
      </w:r>
      <w:r>
        <w:rPr>
          <w:rFonts w:hint="cs"/>
          <w:rtl/>
        </w:rPr>
        <w:t xml:space="preserve">, ועי' במה שביאר </w:t>
      </w:r>
      <w:r w:rsidRPr="006B54AA">
        <w:rPr>
          <w:rStyle w:val="af9"/>
          <w:rFonts w:hint="cs"/>
          <w:rtl/>
        </w:rPr>
        <w:t>בחי' רבי נחום</w:t>
      </w:r>
      <w:r>
        <w:rPr>
          <w:rFonts w:hint="cs"/>
          <w:rtl/>
        </w:rPr>
        <w:t xml:space="preserve"> </w:t>
      </w:r>
      <w:r w:rsidRPr="006B54AA">
        <w:rPr>
          <w:rStyle w:val="af7"/>
          <w:rFonts w:eastAsia="Guttman Hodes" w:hint="cs"/>
          <w:rtl/>
        </w:rPr>
        <w:t xml:space="preserve">(עי' אות </w:t>
      </w:r>
      <w:r w:rsidRPr="006B54AA">
        <w:rPr>
          <w:rStyle w:val="af7"/>
          <w:rFonts w:eastAsia="Guttman Hodes"/>
          <w:rtl/>
        </w:rPr>
        <w:fldChar w:fldCharType="begin"/>
      </w:r>
      <w:r w:rsidRPr="006B54AA">
        <w:rPr>
          <w:rStyle w:val="af7"/>
          <w:rFonts w:eastAsia="Guttman Hodes"/>
          <w:rtl/>
        </w:rPr>
        <w:instrText xml:space="preserve"> </w:instrText>
      </w:r>
      <w:r w:rsidRPr="006B54AA">
        <w:rPr>
          <w:rStyle w:val="af7"/>
          <w:rFonts w:eastAsia="Guttman Hodes" w:hint="cs"/>
        </w:rPr>
        <w:instrText>REF</w:instrText>
      </w:r>
      <w:r w:rsidRPr="006B54AA">
        <w:rPr>
          <w:rStyle w:val="af7"/>
          <w:rFonts w:eastAsia="Guttman Hodes" w:hint="cs"/>
          <w:rtl/>
        </w:rPr>
        <w:instrText xml:space="preserve"> _</w:instrText>
      </w:r>
      <w:r w:rsidRPr="006B54AA">
        <w:rPr>
          <w:rStyle w:val="af7"/>
          <w:rFonts w:eastAsia="Guttman Hodes" w:hint="cs"/>
        </w:rPr>
        <w:instrText>Ref56415643 \r \h</w:instrText>
      </w:r>
      <w:r w:rsidRPr="006B54AA">
        <w:rPr>
          <w:rStyle w:val="af7"/>
          <w:rFonts w:eastAsia="Guttman Hodes"/>
          <w:rtl/>
        </w:rPr>
        <w:instrText xml:space="preserve"> </w:instrText>
      </w:r>
      <w:r w:rsidRPr="006B54AA">
        <w:rPr>
          <w:rStyle w:val="af7"/>
          <w:rFonts w:eastAsia="Guttman Hodes"/>
          <w:rtl/>
        </w:rPr>
      </w:r>
      <w:r w:rsidRPr="006B54AA">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6B54AA">
        <w:rPr>
          <w:rStyle w:val="af7"/>
          <w:rFonts w:eastAsia="Guttman Hodes"/>
          <w:rtl/>
        </w:rPr>
        <w:fldChar w:fldCharType="end"/>
      </w:r>
      <w:r>
        <w:rPr>
          <w:rFonts w:hint="cs"/>
          <w:rtl/>
        </w:rPr>
        <w:t xml:space="preserve"> בדברי </w:t>
      </w:r>
      <w:r w:rsidRPr="002170E4">
        <w:rPr>
          <w:rStyle w:val="af9"/>
          <w:rFonts w:hint="cs"/>
          <w:rtl/>
        </w:rPr>
        <w:t>התוס' לקמן</w:t>
      </w:r>
      <w:r w:rsidRPr="002170E4">
        <w:rPr>
          <w:rFonts w:hint="cs"/>
          <w:rtl/>
        </w:rPr>
        <w:t>.</w:t>
      </w:r>
      <w:bookmarkEnd w:id="5253"/>
    </w:p>
    <w:p w:rsidR="00E874E8" w:rsidRDefault="00E874E8" w:rsidP="00E874E8">
      <w:pPr>
        <w:pStyle w:val="afe"/>
        <w:rPr>
          <w:rtl/>
        </w:rPr>
      </w:pPr>
      <w:bookmarkStart w:id="5254" w:name="_Toc56544374"/>
      <w:bookmarkStart w:id="5255" w:name="_Toc56609792"/>
      <w:bookmarkStart w:id="5256" w:name="_Toc56626625"/>
      <w:bookmarkStart w:id="5257" w:name="_Toc56630093"/>
      <w:bookmarkStart w:id="5258" w:name="_Toc56636950"/>
      <w:bookmarkStart w:id="5259" w:name="_Toc56638084"/>
      <w:bookmarkStart w:id="5260" w:name="_Toc56640928"/>
      <w:bookmarkStart w:id="5261" w:name="_Toc56458224"/>
      <w:bookmarkStart w:id="5262" w:name="_Toc56544384"/>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5243"/>
      <w:r>
        <w:rPr>
          <w:rFonts w:hint="cs"/>
          <w:rtl/>
        </w:rPr>
        <w:t>ד' הקצוה"ח דהתקנ"ח לטובת המחזיק</w:t>
      </w:r>
      <w:bookmarkEnd w:id="5254"/>
      <w:bookmarkEnd w:id="5255"/>
      <w:bookmarkEnd w:id="5256"/>
      <w:bookmarkEnd w:id="5257"/>
      <w:bookmarkEnd w:id="5258"/>
      <w:bookmarkEnd w:id="5259"/>
      <w:bookmarkEnd w:id="5260"/>
    </w:p>
    <w:p w:rsidR="00E874E8" w:rsidRDefault="00E874E8" w:rsidP="00E874E8">
      <w:pPr>
        <w:pStyle w:val="1"/>
        <w:rPr>
          <w:rtl/>
        </w:rPr>
      </w:pPr>
      <w:bookmarkStart w:id="5263" w:name="_Toc56609793"/>
      <w:bookmarkStart w:id="5264" w:name="_Toc56626626"/>
      <w:bookmarkStart w:id="5265" w:name="_Toc56630094"/>
      <w:bookmarkStart w:id="5266" w:name="_Toc56636951"/>
      <w:bookmarkStart w:id="5267" w:name="_Toc56638085"/>
      <w:bookmarkStart w:id="5268" w:name="_Toc56640929"/>
      <w:r>
        <w:rPr>
          <w:rFonts w:hint="cs"/>
          <w:rtl/>
        </w:rPr>
        <w:t>דברי הקצוה"ח והנתיה"מ והשע"מ דחזקת ג"ש היא תקנ"ח</w:t>
      </w:r>
      <w:bookmarkEnd w:id="5263"/>
      <w:bookmarkEnd w:id="5264"/>
      <w:bookmarkEnd w:id="5265"/>
      <w:bookmarkEnd w:id="5266"/>
      <w:bookmarkEnd w:id="5267"/>
      <w:bookmarkEnd w:id="5268"/>
    </w:p>
    <w:p w:rsidR="00E874E8" w:rsidRDefault="00E874E8" w:rsidP="00E874E8">
      <w:pPr>
        <w:pStyle w:val="a3"/>
        <w:rPr>
          <w:rtl/>
        </w:rPr>
      </w:pPr>
      <w:bookmarkStart w:id="5269" w:name="_Toc56609794"/>
      <w:bookmarkStart w:id="5270" w:name="_Toc56626627"/>
      <w:bookmarkStart w:id="5271" w:name="_Toc56630095"/>
      <w:bookmarkStart w:id="5272" w:name="_Toc56636952"/>
      <w:bookmarkStart w:id="5273" w:name="_Toc56638086"/>
      <w:bookmarkStart w:id="5274" w:name="_Toc56640930"/>
      <w:r>
        <w:rPr>
          <w:rFonts w:hint="cs"/>
          <w:rtl/>
        </w:rPr>
        <w:t>דעת הקצוה"ח דהחזקה היא תקנ"ח מתיקון העולם דאחר ג"ש אינו נזהר בשטר ונאמן המחזיק</w:t>
      </w:r>
      <w:bookmarkEnd w:id="5269"/>
      <w:bookmarkEnd w:id="5270"/>
      <w:bookmarkEnd w:id="5271"/>
      <w:bookmarkEnd w:id="5272"/>
      <w:bookmarkEnd w:id="5273"/>
      <w:bookmarkEnd w:id="5274"/>
      <w:r>
        <w:rPr>
          <w:rFonts w:hint="cs"/>
          <w:rtl/>
        </w:rPr>
        <w:t xml:space="preserve"> </w:t>
      </w:r>
    </w:p>
    <w:p w:rsidR="00E874E8" w:rsidRDefault="00E874E8" w:rsidP="007E4E81">
      <w:pPr>
        <w:pStyle w:val="a0"/>
        <w:rPr>
          <w:rtl/>
        </w:rPr>
      </w:pPr>
      <w:bookmarkStart w:id="5275" w:name="_Ref56591681"/>
      <w:r>
        <w:rPr>
          <w:rFonts w:hint="cs"/>
          <w:rtl/>
        </w:rPr>
        <w:t>כתב</w:t>
      </w:r>
      <w:r>
        <w:rPr>
          <w:rStyle w:val="af9"/>
          <w:rFonts w:hint="cs"/>
          <w:rtl/>
        </w:rPr>
        <w:t xml:space="preserve"> </w:t>
      </w:r>
      <w:r w:rsidRPr="003F6BC0">
        <w:rPr>
          <w:rStyle w:val="af9"/>
          <w:rFonts w:hint="cs"/>
          <w:rtl/>
        </w:rPr>
        <w:t>הקצוה"ח</w:t>
      </w:r>
      <w:r>
        <w:rPr>
          <w:rFonts w:hint="cs"/>
          <w:rtl/>
        </w:rPr>
        <w:t xml:space="preserve"> </w:t>
      </w:r>
      <w:r w:rsidRPr="00EE78E2">
        <w:rPr>
          <w:rStyle w:val="af7"/>
          <w:rFonts w:eastAsia="Guttman Hodes" w:hint="cs"/>
          <w:rtl/>
        </w:rPr>
        <w:t>(סי</w:t>
      </w:r>
      <w:r w:rsidRPr="00EE78E2">
        <w:rPr>
          <w:rStyle w:val="af7"/>
          <w:rFonts w:eastAsia="Guttman Hodes"/>
          <w:rtl/>
        </w:rPr>
        <w:t>'</w:t>
      </w:r>
      <w:r w:rsidRPr="00EE78E2">
        <w:rPr>
          <w:rStyle w:val="af7"/>
          <w:rFonts w:eastAsia="Guttman Hodes" w:hint="cs"/>
          <w:rtl/>
        </w:rPr>
        <w:t xml:space="preserve"> ק</w:t>
      </w:r>
      <w:r w:rsidRPr="00EE78E2">
        <w:rPr>
          <w:rStyle w:val="af7"/>
          <w:rFonts w:eastAsia="Guttman Hodes"/>
          <w:rtl/>
        </w:rPr>
        <w:t>"</w:t>
      </w:r>
      <w:r w:rsidRPr="00EE78E2">
        <w:rPr>
          <w:rStyle w:val="af7"/>
          <w:rFonts w:eastAsia="Guttman Hodes" w:hint="cs"/>
          <w:rtl/>
        </w:rPr>
        <w:t>מ סק</w:t>
      </w:r>
      <w:r w:rsidRPr="00EE78E2">
        <w:rPr>
          <w:rStyle w:val="af7"/>
          <w:rFonts w:eastAsia="Guttman Hodes"/>
          <w:rtl/>
        </w:rPr>
        <w:t>"</w:t>
      </w:r>
      <w:r w:rsidRPr="00EE78E2">
        <w:rPr>
          <w:rStyle w:val="af7"/>
          <w:rFonts w:eastAsia="Guttman Hodes" w:hint="cs"/>
          <w:rtl/>
        </w:rPr>
        <w:t>ב ד"ה ולענ"ד)</w:t>
      </w:r>
      <w:r>
        <w:rPr>
          <w:rFonts w:hint="cs"/>
          <w:rtl/>
        </w:rPr>
        <w:t xml:space="preserve"> דנראה לבאר דעיקר חזקת ג"ש, הוא תקנת חכמים מפני תיקון העולם, דכיון שאין רגילות לשמור את השטר יותר מג"ש, ואם לאחר ג"ש לא יחשב כחזקה, חששו חכמים שיהיה פסידא ללקוחות, לכן תיקנו חכמים דבחזקת ג"ש המחזיק יהיה נאמן בטענתו שקנה מהמרא קמא.</w:t>
      </w:r>
      <w:r w:rsidRPr="003652C2">
        <w:rPr>
          <w:rStyle w:val="afb"/>
          <w:rFonts w:hint="cs"/>
          <w:rtl/>
        </w:rPr>
        <w:t xml:space="preserve"> </w:t>
      </w:r>
      <w:r>
        <w:rPr>
          <w:rStyle w:val="afb"/>
          <w:rFonts w:hint="cs"/>
          <w:rtl/>
        </w:rPr>
        <w:t>[</w:t>
      </w:r>
      <w:r w:rsidRPr="005F0D66">
        <w:rPr>
          <w:rStyle w:val="afb"/>
          <w:rFonts w:hint="cs"/>
          <w:rtl/>
        </w:rPr>
        <w:t xml:space="preserve">ודלא </w:t>
      </w:r>
      <w:r>
        <w:rPr>
          <w:rStyle w:val="afb"/>
          <w:rFonts w:hint="cs"/>
          <w:rtl/>
        </w:rPr>
        <w:t>כדהוכיח</w:t>
      </w:r>
      <w:r w:rsidRPr="00A510F2">
        <w:rPr>
          <w:rStyle w:val="affa"/>
          <w:rFonts w:hint="cs"/>
          <w:rtl/>
        </w:rPr>
        <w:t xml:space="preserve"> הקצוה"ח</w:t>
      </w:r>
      <w:r w:rsidRPr="005F0D66">
        <w:rPr>
          <w:rStyle w:val="afb"/>
          <w:rFonts w:hint="cs"/>
          <w:rtl/>
        </w:rPr>
        <w:t xml:space="preserve"> </w:t>
      </w:r>
      <w:r w:rsidRPr="004055E5">
        <w:rPr>
          <w:rStyle w:val="aff6"/>
          <w:rFonts w:hint="cs"/>
          <w:rtl/>
        </w:rPr>
        <w:t>(סי</w:t>
      </w:r>
      <w:r w:rsidRPr="004055E5">
        <w:rPr>
          <w:rStyle w:val="aff6"/>
          <w:rtl/>
        </w:rPr>
        <w:t>'</w:t>
      </w:r>
      <w:r w:rsidRPr="004055E5">
        <w:rPr>
          <w:rStyle w:val="aff6"/>
          <w:rFonts w:hint="cs"/>
          <w:rtl/>
        </w:rPr>
        <w:t xml:space="preserve"> ק</w:t>
      </w:r>
      <w:r w:rsidRPr="004055E5">
        <w:rPr>
          <w:rStyle w:val="aff6"/>
          <w:rtl/>
        </w:rPr>
        <w:t>"</w:t>
      </w:r>
      <w:r w:rsidRPr="004055E5">
        <w:rPr>
          <w:rStyle w:val="aff6"/>
          <w:rFonts w:hint="cs"/>
          <w:rtl/>
        </w:rPr>
        <w:t>מ סק</w:t>
      </w:r>
      <w:r w:rsidRPr="004055E5">
        <w:rPr>
          <w:rStyle w:val="aff6"/>
          <w:rtl/>
        </w:rPr>
        <w:t>"</w:t>
      </w:r>
      <w:r w:rsidRPr="004055E5">
        <w:rPr>
          <w:rStyle w:val="aff6"/>
          <w:rFonts w:hint="cs"/>
          <w:rtl/>
        </w:rPr>
        <w:t>ב</w:t>
      </w:r>
      <w:r>
        <w:rPr>
          <w:rStyle w:val="aff6"/>
          <w:rFonts w:hint="cs"/>
          <w:rtl/>
        </w:rPr>
        <w:t xml:space="preserve"> ד"ה כיצד</w:t>
      </w:r>
      <w:r w:rsidRPr="004055E5">
        <w:rPr>
          <w:rStyle w:val="aff6"/>
          <w:rFonts w:hint="cs"/>
          <w:rtl/>
        </w:rPr>
        <w:t>, הובא בסימן ה' אות כ"ו)</w:t>
      </w:r>
      <w:r w:rsidRPr="005F0D66">
        <w:rPr>
          <w:rStyle w:val="afb"/>
          <w:rFonts w:hint="cs"/>
          <w:rtl/>
        </w:rPr>
        <w:t xml:space="preserve"> </w:t>
      </w:r>
      <w:r>
        <w:rPr>
          <w:rStyle w:val="afb"/>
          <w:rFonts w:hint="cs"/>
          <w:rtl/>
        </w:rPr>
        <w:t>מדברי</w:t>
      </w:r>
      <w:r w:rsidRPr="005F0D66">
        <w:rPr>
          <w:rStyle w:val="afb"/>
          <w:rFonts w:hint="cs"/>
          <w:rtl/>
        </w:rPr>
        <w:t xml:space="preserve"> </w:t>
      </w:r>
      <w:r w:rsidRPr="004055E5">
        <w:rPr>
          <w:rStyle w:val="affa"/>
          <w:rFonts w:hint="cs"/>
          <w:rtl/>
        </w:rPr>
        <w:t>הרמב"ן לקמן</w:t>
      </w:r>
      <w:r>
        <w:rPr>
          <w:rFonts w:hint="cs"/>
          <w:rtl/>
        </w:rPr>
        <w:t xml:space="preserve"> </w:t>
      </w:r>
      <w:r w:rsidRPr="004055E5">
        <w:rPr>
          <w:rStyle w:val="aff6"/>
          <w:rFonts w:hint="cs"/>
          <w:rtl/>
        </w:rPr>
        <w:t>(מב. ד"ה הא, הובא בסימן ה' אות ז')</w:t>
      </w:r>
      <w:r>
        <w:rPr>
          <w:rFonts w:hint="cs"/>
          <w:rtl/>
        </w:rPr>
        <w:t xml:space="preserve"> </w:t>
      </w:r>
      <w:r w:rsidRPr="004055E5">
        <w:rPr>
          <w:rStyle w:val="afb"/>
          <w:rFonts w:hint="cs"/>
          <w:rtl/>
        </w:rPr>
        <w:t>דחז</w:t>
      </w:r>
      <w:r w:rsidRPr="005F0D66">
        <w:rPr>
          <w:rStyle w:val="afb"/>
          <w:rFonts w:hint="cs"/>
          <w:rtl/>
        </w:rPr>
        <w:t xml:space="preserve">קת ג"ש היא </w:t>
      </w:r>
      <w:r>
        <w:rPr>
          <w:rStyle w:val="afb"/>
          <w:rFonts w:hint="cs"/>
          <w:rtl/>
        </w:rPr>
        <w:t xml:space="preserve">ראיה </w:t>
      </w:r>
      <w:r w:rsidRPr="005F0D66">
        <w:rPr>
          <w:rStyle w:val="afb"/>
          <w:rFonts w:hint="cs"/>
          <w:rtl/>
        </w:rPr>
        <w:t>מדאו'</w:t>
      </w:r>
      <w:r>
        <w:rPr>
          <w:rStyle w:val="afb"/>
          <w:rFonts w:hint="cs"/>
          <w:rtl/>
        </w:rPr>
        <w:t>, דמדלא מחה המערער, יש רגליים לדבר שמכר למחזיק</w:t>
      </w:r>
      <w:r w:rsidRPr="005F0D66">
        <w:rPr>
          <w:rStyle w:val="afb"/>
          <w:rFonts w:hint="cs"/>
          <w:rtl/>
        </w:rPr>
        <w:t>].</w:t>
      </w:r>
      <w:bookmarkEnd w:id="5275"/>
    </w:p>
    <w:p w:rsidR="00E874E8" w:rsidRPr="00120CE2" w:rsidRDefault="00E874E8" w:rsidP="00E874E8">
      <w:pPr>
        <w:pStyle w:val="a3"/>
      </w:pPr>
      <w:bookmarkStart w:id="5276" w:name="_Toc56609795"/>
      <w:bookmarkStart w:id="5277" w:name="_Toc56626628"/>
      <w:bookmarkStart w:id="5278" w:name="_Toc56630096"/>
      <w:bookmarkStart w:id="5279" w:name="_Toc56636953"/>
      <w:bookmarkStart w:id="5280" w:name="_Toc56638087"/>
      <w:bookmarkStart w:id="5281" w:name="_Toc56640931"/>
      <w:r>
        <w:rPr>
          <w:rFonts w:hint="cs"/>
          <w:rtl/>
        </w:rPr>
        <w:t>דעת הקצוה"ח דתיקנו חכמים שהמערער יוכל למחות בתוך ג"ש וכל שלא מחה הפסיד</w:t>
      </w:r>
      <w:bookmarkEnd w:id="5276"/>
      <w:bookmarkEnd w:id="5277"/>
      <w:bookmarkEnd w:id="5278"/>
      <w:bookmarkEnd w:id="5279"/>
      <w:bookmarkEnd w:id="5280"/>
      <w:bookmarkEnd w:id="5281"/>
    </w:p>
    <w:p w:rsidR="00E874E8" w:rsidRDefault="00E874E8" w:rsidP="007E4E81">
      <w:pPr>
        <w:pStyle w:val="a0"/>
        <w:rPr>
          <w:rtl/>
        </w:rPr>
      </w:pPr>
      <w:r>
        <w:rPr>
          <w:rFonts w:hint="cs"/>
          <w:rtl/>
        </w:rPr>
        <w:t xml:space="preserve">וכתב </w:t>
      </w:r>
      <w:r w:rsidRPr="003F6BC0">
        <w:rPr>
          <w:rStyle w:val="af9"/>
          <w:rFonts w:hint="cs"/>
          <w:rtl/>
        </w:rPr>
        <w:t>הקצוה"ח</w:t>
      </w:r>
      <w:r>
        <w:rPr>
          <w:rFonts w:hint="cs"/>
          <w:rtl/>
        </w:rPr>
        <w:t xml:space="preserve"> דתיקנו חכמים דהמערער יכול למחות בתוך ג"ש, ואחר המחאה צריך המחזיק להזהר בשטרו, אבל אם לא מחה המערער בתוך הג"ש הוא הפסיד, ובזה מתורצת קושית </w:t>
      </w:r>
      <w:r w:rsidRPr="008B4192">
        <w:rPr>
          <w:rStyle w:val="af9"/>
          <w:rFonts w:hint="cs"/>
          <w:rtl/>
        </w:rPr>
        <w:t>הקצוה"ח</w:t>
      </w:r>
      <w:r>
        <w:rPr>
          <w:rFonts w:hint="cs"/>
          <w:rtl/>
        </w:rPr>
        <w:t xml:space="preserve"> </w:t>
      </w:r>
      <w:r w:rsidRPr="008B4192">
        <w:rPr>
          <w:rStyle w:val="af7"/>
          <w:rFonts w:eastAsia="Guttman Hodes" w:hint="cs"/>
          <w:rtl/>
        </w:rPr>
        <w:t xml:space="preserve">(עי' אות </w:t>
      </w:r>
      <w:r w:rsidRPr="008B4192">
        <w:rPr>
          <w:rStyle w:val="af7"/>
          <w:rFonts w:eastAsia="Guttman Hodes"/>
          <w:rtl/>
        </w:rPr>
        <w:fldChar w:fldCharType="begin"/>
      </w:r>
      <w:r w:rsidRPr="008B4192">
        <w:rPr>
          <w:rStyle w:val="af7"/>
          <w:rFonts w:eastAsia="Guttman Hodes"/>
          <w:rtl/>
        </w:rPr>
        <w:instrText xml:space="preserve"> </w:instrText>
      </w:r>
      <w:r w:rsidRPr="008B4192">
        <w:rPr>
          <w:rStyle w:val="af7"/>
          <w:rFonts w:eastAsia="Guttman Hodes" w:hint="cs"/>
        </w:rPr>
        <w:instrText>REF</w:instrText>
      </w:r>
      <w:r w:rsidRPr="008B4192">
        <w:rPr>
          <w:rStyle w:val="af7"/>
          <w:rFonts w:eastAsia="Guttman Hodes" w:hint="cs"/>
          <w:rtl/>
        </w:rPr>
        <w:instrText xml:space="preserve"> _</w:instrText>
      </w:r>
      <w:r w:rsidRPr="008B4192">
        <w:rPr>
          <w:rStyle w:val="af7"/>
          <w:rFonts w:eastAsia="Guttman Hodes" w:hint="cs"/>
        </w:rPr>
        <w:instrText>Ref56590593 \r \h</w:instrText>
      </w:r>
      <w:r w:rsidRPr="008B4192">
        <w:rPr>
          <w:rStyle w:val="af7"/>
          <w:rFonts w:eastAsia="Guttman Hodes"/>
          <w:rtl/>
        </w:rPr>
        <w:instrText xml:space="preserve"> </w:instrText>
      </w:r>
      <w:r w:rsidRPr="008B4192">
        <w:rPr>
          <w:rStyle w:val="af7"/>
          <w:rFonts w:eastAsia="Guttman Hodes"/>
          <w:rtl/>
        </w:rPr>
      </w:r>
      <w:r w:rsidRPr="008B4192">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8B4192">
        <w:rPr>
          <w:rStyle w:val="af7"/>
          <w:rFonts w:eastAsia="Guttman Hodes"/>
          <w:rtl/>
        </w:rPr>
        <w:fldChar w:fldCharType="end"/>
      </w:r>
      <w:r w:rsidRPr="00E46900">
        <w:rPr>
          <w:rFonts w:hint="cs"/>
          <w:rtl/>
        </w:rPr>
        <w:t xml:space="preserve"> </w:t>
      </w:r>
      <w:r>
        <w:rPr>
          <w:rFonts w:hint="cs"/>
          <w:rtl/>
        </w:rPr>
        <w:t>דהיאך אפשר להוציא את הקרקע מהמרא קמא בלי ראיה, ואעפ"י דלאחר ג"ש אין ריעותא במה שאין לו שטר, מ"מ עדיין אין למחזיק ראיה שהקרקע שלו, דהקרקע יוצאת מהמרא קמא מתקנת חכמים, דכל שלא מחה הפסיד,</w:t>
      </w:r>
      <w:r w:rsidRPr="004C46FF">
        <w:rPr>
          <w:rFonts w:hint="cs"/>
          <w:rtl/>
        </w:rPr>
        <w:t xml:space="preserve"> </w:t>
      </w:r>
      <w:r>
        <w:rPr>
          <w:rFonts w:hint="cs"/>
          <w:rtl/>
        </w:rPr>
        <w:t xml:space="preserve">וכ"כ </w:t>
      </w:r>
      <w:r w:rsidRPr="00504582">
        <w:rPr>
          <w:rStyle w:val="af9"/>
          <w:rFonts w:hint="cs"/>
          <w:rtl/>
        </w:rPr>
        <w:t>הנתיה"מ</w:t>
      </w:r>
      <w:r>
        <w:rPr>
          <w:rFonts w:hint="cs"/>
          <w:rtl/>
        </w:rPr>
        <w:t xml:space="preserve"> </w:t>
      </w:r>
      <w:r w:rsidRPr="00504582">
        <w:rPr>
          <w:rStyle w:val="af7"/>
          <w:rFonts w:eastAsia="Guttman Hodes" w:hint="cs"/>
          <w:rtl/>
        </w:rPr>
        <w:t>(סי' ק"נ סק"ה ד"ה והנה הש"ך)</w:t>
      </w:r>
      <w:r>
        <w:rPr>
          <w:rFonts w:hint="cs"/>
          <w:rtl/>
        </w:rPr>
        <w:t xml:space="preserve">. </w:t>
      </w:r>
    </w:p>
    <w:p w:rsidR="00E874E8" w:rsidRDefault="00E874E8" w:rsidP="00E874E8">
      <w:pPr>
        <w:pStyle w:val="a3"/>
        <w:rPr>
          <w:rtl/>
        </w:rPr>
      </w:pPr>
      <w:bookmarkStart w:id="5282" w:name="_Toc56609796"/>
      <w:bookmarkStart w:id="5283" w:name="_Toc56626629"/>
      <w:bookmarkStart w:id="5284" w:name="_Toc56630097"/>
      <w:bookmarkStart w:id="5285" w:name="_Toc56636954"/>
      <w:bookmarkStart w:id="5286" w:name="_Toc56638088"/>
      <w:bookmarkStart w:id="5287" w:name="_Toc56640932"/>
      <w:r>
        <w:rPr>
          <w:rFonts w:hint="cs"/>
          <w:rtl/>
        </w:rPr>
        <w:t>ביאור השע"מ דהחזקה היא תקנ"ח שלא יהיה פסידא ללקוחות וכל שלא מחה המערער הפסיד</w:t>
      </w:r>
      <w:bookmarkEnd w:id="5282"/>
      <w:bookmarkEnd w:id="5283"/>
      <w:bookmarkEnd w:id="5284"/>
      <w:bookmarkEnd w:id="5285"/>
      <w:bookmarkEnd w:id="5286"/>
      <w:bookmarkEnd w:id="5287"/>
    </w:p>
    <w:p w:rsidR="00E874E8" w:rsidRDefault="00E874E8" w:rsidP="007E4E81">
      <w:pPr>
        <w:pStyle w:val="a0"/>
        <w:rPr>
          <w:rtl/>
        </w:rPr>
      </w:pPr>
      <w:bookmarkStart w:id="5288" w:name="_Ref56591651"/>
      <w:r>
        <w:rPr>
          <w:rFonts w:hint="cs"/>
          <w:rtl/>
        </w:rPr>
        <w:t xml:space="preserve">וכן ביאר </w:t>
      </w:r>
      <w:r w:rsidRPr="00771E5D">
        <w:rPr>
          <w:rStyle w:val="af9"/>
          <w:rFonts w:hint="cs"/>
          <w:rtl/>
        </w:rPr>
        <w:t>השער משפט</w:t>
      </w:r>
      <w:r w:rsidRPr="00296B28">
        <w:rPr>
          <w:rFonts w:hint="cs"/>
          <w:rtl/>
        </w:rPr>
        <w:t xml:space="preserve"> </w:t>
      </w:r>
      <w:r w:rsidRPr="00771E5D">
        <w:rPr>
          <w:rStyle w:val="af7"/>
          <w:rFonts w:eastAsia="Guttman Hodes" w:hint="cs"/>
          <w:rtl/>
        </w:rPr>
        <w:t xml:space="preserve">(סי' ק"מ סק"ג ד"ה לכך) </w:t>
      </w:r>
      <w:r>
        <w:rPr>
          <w:rFonts w:hint="cs"/>
          <w:rtl/>
        </w:rPr>
        <w:t xml:space="preserve">דעיקר הטעם של החזקה, הוא תקנת חכמים דכיון דדרך בנ"א שלאחר אכילת ג"ש בשופי המחזיק בטוח שלא יערערו עליו, ואינו נזהר בשטרו, ואם יבא ויערער עליו אח"כ יהיה פסידא ללקוחות, לכן תיקנו חכמים דלאחר ג"ש הוי חזקה, והמערער צריך למחות בתוך ג"ש, וכל שלא מחה בתוך ג"ש הפסיד לעצמו, </w:t>
      </w:r>
      <w:r>
        <w:rPr>
          <w:rStyle w:val="afb"/>
          <w:rFonts w:hint="cs"/>
          <w:rtl/>
        </w:rPr>
        <w:t>[</w:t>
      </w:r>
      <w:r w:rsidRPr="0007058D">
        <w:rPr>
          <w:rStyle w:val="afb"/>
          <w:rFonts w:hint="cs"/>
          <w:rtl/>
        </w:rPr>
        <w:t xml:space="preserve">וכמו דאיתא בגמ' בב"מ </w:t>
      </w:r>
      <w:r w:rsidRPr="00CC3308">
        <w:rPr>
          <w:rStyle w:val="aff6"/>
          <w:rFonts w:hint="cs"/>
          <w:rtl/>
        </w:rPr>
        <w:t>(קי.)</w:t>
      </w:r>
      <w:r w:rsidRPr="0007058D">
        <w:rPr>
          <w:rStyle w:val="afb"/>
          <w:rFonts w:hint="cs"/>
          <w:rtl/>
        </w:rPr>
        <w:t xml:space="preserve"> דאם נתן את שדהו במשכנתא דסורא ולא מיחה בו שהוא משכנתא ולא מכר לו, </w:t>
      </w:r>
      <w:r>
        <w:rPr>
          <w:rStyle w:val="afb"/>
          <w:rFonts w:hint="cs"/>
          <w:rtl/>
        </w:rPr>
        <w:t>דאמרינן ד</w:t>
      </w:r>
      <w:r w:rsidRPr="0007058D">
        <w:rPr>
          <w:rStyle w:val="afb"/>
          <w:rFonts w:hint="cs"/>
          <w:rtl/>
        </w:rPr>
        <w:t>הפסיד הבעלים לעצמו],</w:t>
      </w:r>
      <w:r>
        <w:rPr>
          <w:rFonts w:hint="cs"/>
          <w:rtl/>
        </w:rPr>
        <w:t xml:space="preserve"> וכתב </w:t>
      </w:r>
      <w:r w:rsidRPr="00771E5D">
        <w:rPr>
          <w:rStyle w:val="af9"/>
          <w:rFonts w:hint="cs"/>
          <w:rtl/>
        </w:rPr>
        <w:t>השער משפט</w:t>
      </w:r>
      <w:r>
        <w:rPr>
          <w:rFonts w:hint="cs"/>
          <w:rtl/>
        </w:rPr>
        <w:t xml:space="preserve"> דכן משמע מדברי </w:t>
      </w:r>
      <w:r w:rsidRPr="00771E5D">
        <w:rPr>
          <w:rStyle w:val="af9"/>
          <w:rFonts w:hint="cs"/>
          <w:rtl/>
        </w:rPr>
        <w:t>הרא"ש</w:t>
      </w:r>
      <w:r>
        <w:rPr>
          <w:rFonts w:hint="cs"/>
          <w:rtl/>
        </w:rPr>
        <w:t xml:space="preserve"> </w:t>
      </w:r>
      <w:r w:rsidRPr="00A31AE5">
        <w:rPr>
          <w:rStyle w:val="af7"/>
          <w:rFonts w:eastAsia="Guttman Hodes" w:hint="cs"/>
          <w:rtl/>
        </w:rPr>
        <w:t xml:space="preserve">(עי' אות </w:t>
      </w:r>
      <w:r w:rsidRPr="00A31AE5">
        <w:rPr>
          <w:rStyle w:val="af7"/>
          <w:rFonts w:eastAsia="Guttman Hodes"/>
          <w:rtl/>
        </w:rPr>
        <w:fldChar w:fldCharType="begin"/>
      </w:r>
      <w:r w:rsidRPr="00A31AE5">
        <w:rPr>
          <w:rStyle w:val="af7"/>
          <w:rFonts w:eastAsia="Guttman Hodes"/>
          <w:rtl/>
        </w:rPr>
        <w:instrText xml:space="preserve"> </w:instrText>
      </w:r>
      <w:r w:rsidRPr="00A31AE5">
        <w:rPr>
          <w:rStyle w:val="af7"/>
          <w:rFonts w:eastAsia="Guttman Hodes" w:hint="cs"/>
        </w:rPr>
        <w:instrText>REF</w:instrText>
      </w:r>
      <w:r w:rsidRPr="00A31AE5">
        <w:rPr>
          <w:rStyle w:val="af7"/>
          <w:rFonts w:eastAsia="Guttman Hodes" w:hint="cs"/>
          <w:rtl/>
        </w:rPr>
        <w:instrText xml:space="preserve"> _</w:instrText>
      </w:r>
      <w:r w:rsidRPr="00A31AE5">
        <w:rPr>
          <w:rStyle w:val="af7"/>
          <w:rFonts w:eastAsia="Guttman Hodes" w:hint="cs"/>
        </w:rPr>
        <w:instrText>Ref56593158 \r \h</w:instrText>
      </w:r>
      <w:r w:rsidRPr="00A31AE5">
        <w:rPr>
          <w:rStyle w:val="af7"/>
          <w:rFonts w:eastAsia="Guttman Hodes"/>
          <w:rtl/>
        </w:rPr>
        <w:instrText xml:space="preserve"> </w:instrText>
      </w:r>
      <w:r w:rsidRPr="00A31AE5">
        <w:rPr>
          <w:rStyle w:val="af7"/>
          <w:rFonts w:eastAsia="Guttman Hodes"/>
          <w:rtl/>
        </w:rPr>
      </w:r>
      <w:r w:rsidRPr="00A31AE5">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A31AE5">
        <w:rPr>
          <w:rStyle w:val="af7"/>
          <w:rFonts w:eastAsia="Guttman Hodes"/>
          <w:rtl/>
        </w:rPr>
        <w:fldChar w:fldCharType="end"/>
      </w:r>
      <w:r>
        <w:rPr>
          <w:rFonts w:hint="cs"/>
          <w:rtl/>
        </w:rPr>
        <w:t xml:space="preserve"> דכתב דחזקה הוא תקנת</w:t>
      </w:r>
      <w:r w:rsidRPr="00127C89">
        <w:rPr>
          <w:rFonts w:hint="cs"/>
          <w:rtl/>
        </w:rPr>
        <w:t xml:space="preserve"> חכמים</w:t>
      </w:r>
      <w:r>
        <w:rPr>
          <w:rFonts w:hint="cs"/>
          <w:rtl/>
        </w:rPr>
        <w:t xml:space="preserve">, שלא יצטרך לשמור את שטרו יותר מג"ש, וכן מבואר </w:t>
      </w:r>
      <w:r w:rsidRPr="00771E5D">
        <w:rPr>
          <w:rStyle w:val="af9"/>
          <w:rFonts w:hint="cs"/>
          <w:rtl/>
        </w:rPr>
        <w:t xml:space="preserve">בתשובת </w:t>
      </w:r>
      <w:r>
        <w:rPr>
          <w:rStyle w:val="af9"/>
          <w:rFonts w:hint="cs"/>
          <w:rtl/>
        </w:rPr>
        <w:t>ה</w:t>
      </w:r>
      <w:r w:rsidRPr="00771E5D">
        <w:rPr>
          <w:rStyle w:val="af9"/>
          <w:rFonts w:hint="cs"/>
          <w:rtl/>
        </w:rPr>
        <w:t>מהר"ם מרוטנבורג</w:t>
      </w:r>
      <w:r>
        <w:rPr>
          <w:rFonts w:hint="cs"/>
          <w:rtl/>
        </w:rPr>
        <w:t xml:space="preserve"> </w:t>
      </w:r>
      <w:r w:rsidRPr="00EA44EB">
        <w:rPr>
          <w:rStyle w:val="af7"/>
          <w:rFonts w:eastAsia="Guttman Hodes" w:hint="cs"/>
          <w:rtl/>
        </w:rPr>
        <w:t xml:space="preserve">(עי' אות </w:t>
      </w:r>
      <w:r w:rsidRPr="00EA44EB">
        <w:rPr>
          <w:rStyle w:val="af7"/>
          <w:rFonts w:eastAsia="Guttman Hodes"/>
          <w:rtl/>
        </w:rPr>
        <w:fldChar w:fldCharType="begin"/>
      </w:r>
      <w:r w:rsidRPr="00EA44EB">
        <w:rPr>
          <w:rStyle w:val="af7"/>
          <w:rFonts w:eastAsia="Guttman Hodes"/>
          <w:rtl/>
        </w:rPr>
        <w:instrText xml:space="preserve"> </w:instrText>
      </w:r>
      <w:r w:rsidRPr="00EA44EB">
        <w:rPr>
          <w:rStyle w:val="af7"/>
          <w:rFonts w:eastAsia="Guttman Hodes" w:hint="cs"/>
        </w:rPr>
        <w:instrText>REF</w:instrText>
      </w:r>
      <w:r w:rsidRPr="00EA44EB">
        <w:rPr>
          <w:rStyle w:val="af7"/>
          <w:rFonts w:eastAsia="Guttman Hodes" w:hint="cs"/>
          <w:rtl/>
        </w:rPr>
        <w:instrText xml:space="preserve"> _</w:instrText>
      </w:r>
      <w:r w:rsidRPr="00EA44EB">
        <w:rPr>
          <w:rStyle w:val="af7"/>
          <w:rFonts w:eastAsia="Guttman Hodes" w:hint="cs"/>
        </w:rPr>
        <w:instrText>Ref56591570 \r \h</w:instrText>
      </w:r>
      <w:r w:rsidRPr="00EA44EB">
        <w:rPr>
          <w:rStyle w:val="af7"/>
          <w:rFonts w:eastAsia="Guttman Hodes"/>
          <w:rtl/>
        </w:rPr>
        <w:instrText xml:space="preserve"> </w:instrText>
      </w:r>
      <w:r w:rsidRPr="00EA44EB">
        <w:rPr>
          <w:rStyle w:val="af7"/>
          <w:rFonts w:eastAsia="Guttman Hodes"/>
          <w:rtl/>
        </w:rPr>
      </w:r>
      <w:r w:rsidRPr="00EA44EB">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EA44EB">
        <w:rPr>
          <w:rStyle w:val="af7"/>
          <w:rFonts w:eastAsia="Guttman Hodes"/>
          <w:rtl/>
        </w:rPr>
        <w:fldChar w:fldCharType="end"/>
      </w:r>
      <w:r>
        <w:rPr>
          <w:rFonts w:hint="cs"/>
          <w:rtl/>
        </w:rPr>
        <w:t>.</w:t>
      </w:r>
      <w:bookmarkEnd w:id="5288"/>
    </w:p>
    <w:p w:rsidR="00E874E8" w:rsidRPr="00DB786E" w:rsidRDefault="00E874E8" w:rsidP="00E874E8">
      <w:pPr>
        <w:pStyle w:val="a3"/>
        <w:rPr>
          <w:rtl/>
        </w:rPr>
      </w:pPr>
      <w:bookmarkStart w:id="5289" w:name="_Toc56609798"/>
      <w:bookmarkStart w:id="5290" w:name="_Toc56626631"/>
      <w:bookmarkStart w:id="5291" w:name="_Toc56630099"/>
      <w:bookmarkStart w:id="5292" w:name="_Toc56636956"/>
      <w:bookmarkStart w:id="5293" w:name="_Toc56638090"/>
      <w:bookmarkStart w:id="5294" w:name="_Toc56640934"/>
      <w:r>
        <w:rPr>
          <w:rFonts w:hint="cs"/>
          <w:rtl/>
        </w:rPr>
        <w:t>ביאור הקצוה"ח בנימוק"י דהתקנה גם למחזיק שיהיה לו חזקה וגם למערער שיוכל למחות</w:t>
      </w:r>
      <w:bookmarkEnd w:id="5289"/>
      <w:bookmarkEnd w:id="5290"/>
      <w:bookmarkEnd w:id="5291"/>
      <w:bookmarkEnd w:id="5292"/>
      <w:bookmarkEnd w:id="5293"/>
      <w:bookmarkEnd w:id="5294"/>
    </w:p>
    <w:p w:rsidR="00E874E8" w:rsidRDefault="00E874E8" w:rsidP="007E4E81">
      <w:pPr>
        <w:pStyle w:val="a0"/>
        <w:rPr>
          <w:rtl/>
        </w:rPr>
      </w:pPr>
      <w:bookmarkStart w:id="5295" w:name="_Ref56590074"/>
      <w:r>
        <w:rPr>
          <w:rFonts w:hint="cs"/>
          <w:rtl/>
        </w:rPr>
        <w:t xml:space="preserve">וכתב </w:t>
      </w:r>
      <w:r w:rsidRPr="003F6BC0">
        <w:rPr>
          <w:rStyle w:val="af9"/>
          <w:rFonts w:hint="cs"/>
          <w:rtl/>
        </w:rPr>
        <w:t>הקצוה"ח</w:t>
      </w:r>
      <w:r>
        <w:rPr>
          <w:rFonts w:hint="cs"/>
          <w:rtl/>
        </w:rPr>
        <w:t xml:space="preserve"> </w:t>
      </w:r>
      <w:r w:rsidRPr="00EE78E2">
        <w:rPr>
          <w:rStyle w:val="af7"/>
          <w:rFonts w:eastAsia="Guttman Hodes" w:hint="cs"/>
          <w:rtl/>
        </w:rPr>
        <w:t>(סי</w:t>
      </w:r>
      <w:r w:rsidRPr="00EE78E2">
        <w:rPr>
          <w:rStyle w:val="af7"/>
          <w:rFonts w:eastAsia="Guttman Hodes"/>
          <w:rtl/>
        </w:rPr>
        <w:t>'</w:t>
      </w:r>
      <w:r w:rsidRPr="00EE78E2">
        <w:rPr>
          <w:rStyle w:val="af7"/>
          <w:rFonts w:eastAsia="Guttman Hodes" w:hint="cs"/>
          <w:rtl/>
        </w:rPr>
        <w:t xml:space="preserve"> ק</w:t>
      </w:r>
      <w:r w:rsidRPr="00EE78E2">
        <w:rPr>
          <w:rStyle w:val="af7"/>
          <w:rFonts w:eastAsia="Guttman Hodes"/>
          <w:rtl/>
        </w:rPr>
        <w:t>"</w:t>
      </w:r>
      <w:r w:rsidRPr="00EE78E2">
        <w:rPr>
          <w:rStyle w:val="af7"/>
          <w:rFonts w:eastAsia="Guttman Hodes" w:hint="cs"/>
          <w:rtl/>
        </w:rPr>
        <w:t>מ סק</w:t>
      </w:r>
      <w:r w:rsidRPr="00EE78E2">
        <w:rPr>
          <w:rStyle w:val="af7"/>
          <w:rFonts w:eastAsia="Guttman Hodes"/>
          <w:rtl/>
        </w:rPr>
        <w:t>"</w:t>
      </w:r>
      <w:r w:rsidRPr="00EE78E2">
        <w:rPr>
          <w:rStyle w:val="af7"/>
          <w:rFonts w:eastAsia="Guttman Hodes" w:hint="cs"/>
          <w:rtl/>
        </w:rPr>
        <w:t>ב ד"ה ולענ"ד)</w:t>
      </w:r>
      <w:r>
        <w:rPr>
          <w:rFonts w:hint="cs"/>
          <w:rtl/>
        </w:rPr>
        <w:t xml:space="preserve"> דכן נראה</w:t>
      </w:r>
      <w:r w:rsidRPr="00DD3140">
        <w:rPr>
          <w:rFonts w:hint="cs"/>
          <w:rtl/>
        </w:rPr>
        <w:t xml:space="preserve"> </w:t>
      </w:r>
      <w:r>
        <w:rPr>
          <w:rFonts w:hint="cs"/>
          <w:rtl/>
        </w:rPr>
        <w:t xml:space="preserve">מדברי </w:t>
      </w:r>
      <w:r w:rsidRPr="003F6BC0">
        <w:rPr>
          <w:rStyle w:val="af9"/>
          <w:rFonts w:hint="cs"/>
          <w:rtl/>
        </w:rPr>
        <w:t>הנימוק"י</w:t>
      </w:r>
      <w:r>
        <w:rPr>
          <w:rFonts w:hint="cs"/>
          <w:rtl/>
        </w:rPr>
        <w:t xml:space="preserve"> </w:t>
      </w:r>
      <w:r w:rsidRPr="00710CE3">
        <w:rPr>
          <w:rStyle w:val="af7"/>
          <w:rFonts w:eastAsia="Guttman Hodes" w:hint="cs"/>
          <w:rtl/>
        </w:rPr>
        <w:t>(עי' או</w:t>
      </w:r>
      <w:r>
        <w:rPr>
          <w:rStyle w:val="af7"/>
          <w:rFonts w:eastAsia="Guttman Hodes" w:hint="cs"/>
          <w:rtl/>
        </w:rPr>
        <w:t xml:space="preserve">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Ref56510344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ח)</w:t>
      </w:r>
      <w:r>
        <w:rPr>
          <w:rStyle w:val="af7"/>
          <w:rFonts w:eastAsia="Guttman Hodes"/>
          <w:rtl/>
        </w:rPr>
        <w:fldChar w:fldCharType="end"/>
      </w:r>
      <w:r>
        <w:rPr>
          <w:rFonts w:hint="cs"/>
          <w:rtl/>
        </w:rPr>
        <w:t xml:space="preserve"> דכתב דכיון שכן דעת העולם שא"צ להזהר בשטר אחר שאכל ג"ש בשופי, לכן תיקנו חכמים אלא ג"ש, ומבואר מדבריו דחזקת ג"ש היא תקנת חכמים, והתקנה היא גם למחזיק וגם למערער, דלמחזיק יהיה חזקה לאחר ג"ש, והמערער יוכל למחות בתוך ג"ש, ועי' במ"ש בזה </w:t>
      </w:r>
      <w:r w:rsidRPr="003C4041">
        <w:rPr>
          <w:rStyle w:val="af9"/>
          <w:rFonts w:hint="cs"/>
          <w:rtl/>
        </w:rPr>
        <w:t>הקה"י</w:t>
      </w:r>
      <w:r>
        <w:rPr>
          <w:rFonts w:hint="cs"/>
          <w:rtl/>
        </w:rPr>
        <w:t xml:space="preserve"> </w:t>
      </w:r>
      <w:r w:rsidRPr="003C4041">
        <w:rPr>
          <w:rStyle w:val="af7"/>
          <w:rFonts w:eastAsia="Guttman Hodes" w:hint="cs"/>
          <w:rtl/>
        </w:rPr>
        <w:t xml:space="preserve">(עי' אות </w:t>
      </w:r>
      <w:r w:rsidRPr="003C4041">
        <w:rPr>
          <w:rStyle w:val="af7"/>
          <w:rFonts w:eastAsia="Guttman Hodes"/>
          <w:rtl/>
        </w:rPr>
        <w:fldChar w:fldCharType="begin"/>
      </w:r>
      <w:r w:rsidRPr="003C4041">
        <w:rPr>
          <w:rStyle w:val="af7"/>
          <w:rFonts w:eastAsia="Guttman Hodes"/>
          <w:rtl/>
        </w:rPr>
        <w:instrText xml:space="preserve"> </w:instrText>
      </w:r>
      <w:r w:rsidRPr="003C4041">
        <w:rPr>
          <w:rStyle w:val="af7"/>
          <w:rFonts w:eastAsia="Guttman Hodes" w:hint="cs"/>
        </w:rPr>
        <w:instrText>REF</w:instrText>
      </w:r>
      <w:r w:rsidRPr="003C4041">
        <w:rPr>
          <w:rStyle w:val="af7"/>
          <w:rFonts w:eastAsia="Guttman Hodes" w:hint="cs"/>
          <w:rtl/>
        </w:rPr>
        <w:instrText xml:space="preserve"> _</w:instrText>
      </w:r>
      <w:r w:rsidRPr="003C4041">
        <w:rPr>
          <w:rStyle w:val="af7"/>
          <w:rFonts w:eastAsia="Guttman Hodes" w:hint="cs"/>
        </w:rPr>
        <w:instrText>Ref56510431 \r \h</w:instrText>
      </w:r>
      <w:r w:rsidRPr="003C4041">
        <w:rPr>
          <w:rStyle w:val="af7"/>
          <w:rFonts w:eastAsia="Guttman Hodes"/>
          <w:rtl/>
        </w:rPr>
        <w:instrText xml:space="preserve"> </w:instrText>
      </w:r>
      <w:r w:rsidRPr="003C4041">
        <w:rPr>
          <w:rStyle w:val="af7"/>
          <w:rFonts w:eastAsia="Guttman Hodes"/>
          <w:rtl/>
        </w:rPr>
      </w:r>
      <w:r w:rsidRPr="003C4041">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3C4041">
        <w:rPr>
          <w:rStyle w:val="af7"/>
          <w:rFonts w:eastAsia="Guttman Hodes"/>
          <w:rtl/>
        </w:rPr>
        <w:fldChar w:fldCharType="end"/>
      </w:r>
      <w:r>
        <w:rPr>
          <w:rFonts w:hint="cs"/>
          <w:rtl/>
        </w:rPr>
        <w:t>.</w:t>
      </w:r>
      <w:bookmarkEnd w:id="5295"/>
      <w:r>
        <w:rPr>
          <w:rFonts w:hint="cs"/>
          <w:rtl/>
        </w:rPr>
        <w:t xml:space="preserve"> </w:t>
      </w:r>
    </w:p>
    <w:p w:rsidR="00E874E8" w:rsidRPr="008A1D63" w:rsidRDefault="00E874E8" w:rsidP="00E874E8">
      <w:pPr>
        <w:pStyle w:val="1"/>
        <w:rPr>
          <w:rtl/>
        </w:rPr>
      </w:pPr>
      <w:bookmarkStart w:id="5296" w:name="_Toc56609799"/>
      <w:bookmarkStart w:id="5297" w:name="_Toc56626632"/>
      <w:bookmarkStart w:id="5298" w:name="_Toc56630100"/>
      <w:bookmarkStart w:id="5299" w:name="_Toc56636957"/>
      <w:bookmarkStart w:id="5300" w:name="_Toc56638091"/>
      <w:bookmarkStart w:id="5301" w:name="_Toc56640935"/>
      <w:r>
        <w:rPr>
          <w:rFonts w:hint="cs"/>
          <w:rtl/>
        </w:rPr>
        <w:t>ביאור הקצוה"ח ברמב"ם</w:t>
      </w:r>
      <w:bookmarkEnd w:id="5261"/>
      <w:bookmarkEnd w:id="5262"/>
      <w:bookmarkEnd w:id="5296"/>
      <w:bookmarkEnd w:id="5297"/>
      <w:bookmarkEnd w:id="5298"/>
      <w:r>
        <w:rPr>
          <w:rFonts w:hint="cs"/>
          <w:rtl/>
        </w:rPr>
        <w:t xml:space="preserve"> דהפסיד המערער מהתקנ"ח דמחאה</w:t>
      </w:r>
      <w:bookmarkEnd w:id="5299"/>
      <w:bookmarkEnd w:id="5300"/>
      <w:bookmarkEnd w:id="5301"/>
    </w:p>
    <w:p w:rsidR="00E874E8" w:rsidRDefault="00E874E8" w:rsidP="00E874E8">
      <w:pPr>
        <w:pStyle w:val="a3"/>
        <w:rPr>
          <w:rtl/>
        </w:rPr>
      </w:pPr>
      <w:bookmarkStart w:id="5302" w:name="_Toc56609800"/>
      <w:bookmarkStart w:id="5303" w:name="_Toc56626633"/>
      <w:bookmarkStart w:id="5304" w:name="_Toc56630101"/>
      <w:bookmarkStart w:id="5305" w:name="_Toc56636958"/>
      <w:bookmarkStart w:id="5306" w:name="_Toc56638092"/>
      <w:bookmarkStart w:id="5307" w:name="_Toc56640936"/>
      <w:r>
        <w:rPr>
          <w:rFonts w:hint="cs"/>
          <w:rtl/>
        </w:rPr>
        <w:t>ביאור הקצוה"ח ברמב"ם דהחזקה היא מתקנ"ח ולכן כתב דבלא מחה המערער הפסיד</w:t>
      </w:r>
      <w:bookmarkEnd w:id="5302"/>
      <w:bookmarkEnd w:id="5303"/>
      <w:bookmarkEnd w:id="5304"/>
      <w:bookmarkEnd w:id="5305"/>
      <w:bookmarkEnd w:id="5306"/>
      <w:bookmarkEnd w:id="5307"/>
    </w:p>
    <w:p w:rsidR="00E874E8" w:rsidRPr="00DD09F5" w:rsidRDefault="00E874E8" w:rsidP="007E4E81">
      <w:pPr>
        <w:pStyle w:val="a0"/>
        <w:rPr>
          <w:rStyle w:val="afb"/>
          <w:rtl/>
        </w:rPr>
      </w:pPr>
      <w:bookmarkStart w:id="5308" w:name="_Ref55567426"/>
      <w:bookmarkStart w:id="5309" w:name="_Ref56609744"/>
      <w:r>
        <w:rPr>
          <w:rFonts w:hint="cs"/>
          <w:rtl/>
        </w:rPr>
        <w:t xml:space="preserve">וכתב </w:t>
      </w:r>
      <w:r w:rsidRPr="003F6BC0">
        <w:rPr>
          <w:rStyle w:val="af9"/>
          <w:rFonts w:hint="cs"/>
          <w:rtl/>
        </w:rPr>
        <w:t>הקצוה"ח</w:t>
      </w:r>
      <w:r>
        <w:rPr>
          <w:rFonts w:hint="cs"/>
          <w:rtl/>
        </w:rPr>
        <w:t xml:space="preserve"> </w:t>
      </w:r>
      <w:r w:rsidRPr="003F6BC0">
        <w:rPr>
          <w:rStyle w:val="af7"/>
          <w:rFonts w:eastAsia="Guttman Hodes" w:hint="cs"/>
          <w:rtl/>
        </w:rPr>
        <w:t>(</w:t>
      </w:r>
      <w:r>
        <w:rPr>
          <w:rStyle w:val="af7"/>
          <w:rFonts w:eastAsia="Guttman Hodes" w:hint="cs"/>
          <w:rtl/>
        </w:rPr>
        <w:t>סי</w:t>
      </w:r>
      <w:r>
        <w:rPr>
          <w:rStyle w:val="af7"/>
          <w:rFonts w:eastAsia="Guttman Hodes"/>
          <w:rtl/>
        </w:rPr>
        <w:t>'</w:t>
      </w:r>
      <w:r>
        <w:rPr>
          <w:rStyle w:val="af7"/>
          <w:rFonts w:eastAsia="Guttman Hodes" w:hint="cs"/>
          <w:rtl/>
        </w:rPr>
        <w:t xml:space="preserve"> ק</w:t>
      </w:r>
      <w:r>
        <w:rPr>
          <w:rStyle w:val="af7"/>
          <w:rFonts w:eastAsia="Guttman Hodes"/>
          <w:rtl/>
        </w:rPr>
        <w:t>"</w:t>
      </w:r>
      <w:r>
        <w:rPr>
          <w:rStyle w:val="af7"/>
          <w:rFonts w:eastAsia="Guttman Hodes" w:hint="cs"/>
          <w:rtl/>
        </w:rPr>
        <w:t>מ סק</w:t>
      </w:r>
      <w:r>
        <w:rPr>
          <w:rStyle w:val="af7"/>
          <w:rFonts w:eastAsia="Guttman Hodes"/>
          <w:rtl/>
        </w:rPr>
        <w:t>"</w:t>
      </w:r>
      <w:r>
        <w:rPr>
          <w:rStyle w:val="af7"/>
          <w:rFonts w:eastAsia="Guttman Hodes" w:hint="cs"/>
          <w:rtl/>
        </w:rPr>
        <w:t>ב</w:t>
      </w:r>
      <w:r w:rsidRPr="003F6BC0">
        <w:rPr>
          <w:rStyle w:val="af7"/>
          <w:rFonts w:eastAsia="Guttman Hodes" w:hint="cs"/>
          <w:rtl/>
        </w:rPr>
        <w:t xml:space="preserve"> ד"ה ולענ"ד)</w:t>
      </w:r>
      <w:r>
        <w:rPr>
          <w:rFonts w:hint="cs"/>
          <w:rtl/>
        </w:rPr>
        <w:t xml:space="preserve"> דמדברי </w:t>
      </w:r>
      <w:r w:rsidRPr="003F6BC0">
        <w:rPr>
          <w:rStyle w:val="af9"/>
          <w:rFonts w:hint="cs"/>
          <w:rtl/>
        </w:rPr>
        <w:t>הרמב"ם</w:t>
      </w:r>
      <w:r>
        <w:rPr>
          <w:rFonts w:hint="cs"/>
          <w:rtl/>
        </w:rPr>
        <w:t xml:space="preserve"> משמע דביאר </w:t>
      </w:r>
      <w:r w:rsidRPr="003F6BC0">
        <w:rPr>
          <w:rStyle w:val="af9"/>
          <w:rFonts w:hint="cs"/>
          <w:rtl/>
        </w:rPr>
        <w:t>כנימוק"י</w:t>
      </w:r>
      <w:r>
        <w:rPr>
          <w:rFonts w:hint="cs"/>
          <w:rtl/>
        </w:rPr>
        <w:t xml:space="preserve"> מהא דכתב </w:t>
      </w:r>
      <w:r w:rsidRPr="003F6BC0">
        <w:rPr>
          <w:rStyle w:val="af9"/>
          <w:rFonts w:hint="cs"/>
          <w:rtl/>
        </w:rPr>
        <w:t>הרמב"ם</w:t>
      </w:r>
      <w:r w:rsidRPr="00867E20">
        <w:rPr>
          <w:rStyle w:val="af7"/>
          <w:rFonts w:eastAsia="Guttman Hodes" w:hint="cs"/>
          <w:rtl/>
        </w:rPr>
        <w:t xml:space="preserve"> (עי' אות </w:t>
      </w:r>
      <w:r w:rsidRPr="00867E20">
        <w:rPr>
          <w:rStyle w:val="af7"/>
          <w:rFonts w:eastAsia="Guttman Hodes"/>
          <w:rtl/>
        </w:rPr>
        <w:fldChar w:fldCharType="begin"/>
      </w:r>
      <w:r w:rsidRPr="00867E20">
        <w:rPr>
          <w:rStyle w:val="af7"/>
          <w:rFonts w:eastAsia="Guttman Hodes"/>
          <w:rtl/>
        </w:rPr>
        <w:instrText xml:space="preserve"> </w:instrText>
      </w:r>
      <w:r w:rsidRPr="00867E20">
        <w:rPr>
          <w:rStyle w:val="af7"/>
          <w:rFonts w:eastAsia="Guttman Hodes" w:hint="cs"/>
        </w:rPr>
        <w:instrText>REF</w:instrText>
      </w:r>
      <w:r w:rsidRPr="00867E20">
        <w:rPr>
          <w:rStyle w:val="af7"/>
          <w:rFonts w:eastAsia="Guttman Hodes" w:hint="cs"/>
          <w:rtl/>
        </w:rPr>
        <w:instrText xml:space="preserve"> _</w:instrText>
      </w:r>
      <w:r w:rsidRPr="00867E20">
        <w:rPr>
          <w:rStyle w:val="af7"/>
          <w:rFonts w:eastAsia="Guttman Hodes" w:hint="cs"/>
        </w:rPr>
        <w:instrText>Ref54034873 \r \h</w:instrText>
      </w:r>
      <w:r w:rsidRPr="00867E20">
        <w:rPr>
          <w:rStyle w:val="af7"/>
          <w:rFonts w:eastAsia="Guttman Hodes"/>
          <w:rtl/>
        </w:rPr>
        <w:instrText xml:space="preserve"> </w:instrText>
      </w:r>
      <w:r w:rsidRPr="00867E20">
        <w:rPr>
          <w:rStyle w:val="af7"/>
          <w:rFonts w:eastAsia="Guttman Hodes"/>
          <w:rtl/>
        </w:rPr>
      </w:r>
      <w:r w:rsidRPr="00867E20">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867E20">
        <w:rPr>
          <w:rStyle w:val="af7"/>
          <w:rFonts w:eastAsia="Guttman Hodes"/>
          <w:rtl/>
        </w:rPr>
        <w:fldChar w:fldCharType="end"/>
      </w:r>
      <w:r w:rsidRPr="00867E20">
        <w:rPr>
          <w:rStyle w:val="af7"/>
          <w:rFonts w:eastAsia="Guttman Hodes" w:hint="cs"/>
          <w:rtl/>
        </w:rPr>
        <w:t xml:space="preserve"> </w:t>
      </w:r>
      <w:r>
        <w:rPr>
          <w:rFonts w:hint="cs"/>
          <w:rtl/>
        </w:rPr>
        <w:t xml:space="preserve">דכל שהמערער לא מיחה בפני עדים הפסיד המערער לעצמו, ומשמע דהתקנה היא גם למחזיק שתהיה לו חזקה לאחר ג"ש, וגם למערער שאם לא מכרה למחזיק יוכל למחות בתוך ג"ש, וכיון שלא מיחה הפסיד, וכתב </w:t>
      </w:r>
      <w:r w:rsidRPr="00D77537">
        <w:rPr>
          <w:rStyle w:val="af9"/>
          <w:rFonts w:hint="cs"/>
          <w:rtl/>
        </w:rPr>
        <w:t>הקצוה"ח</w:t>
      </w:r>
      <w:r>
        <w:rPr>
          <w:rFonts w:hint="cs"/>
          <w:rtl/>
        </w:rPr>
        <w:t xml:space="preserve"> דא"א לבאר </w:t>
      </w:r>
      <w:r w:rsidRPr="00D77537">
        <w:rPr>
          <w:rStyle w:val="af9"/>
          <w:rFonts w:hint="cs"/>
          <w:rtl/>
        </w:rPr>
        <w:t>דהרמב"ם</w:t>
      </w:r>
      <w:r>
        <w:rPr>
          <w:rFonts w:hint="cs"/>
          <w:rtl/>
        </w:rPr>
        <w:t xml:space="preserve"> ס"ל </w:t>
      </w:r>
      <w:r w:rsidRPr="00D77537">
        <w:rPr>
          <w:rStyle w:val="af9"/>
          <w:rFonts w:hint="cs"/>
          <w:rtl/>
        </w:rPr>
        <w:t>כרמב"ן</w:t>
      </w:r>
      <w:r>
        <w:rPr>
          <w:rFonts w:hint="cs"/>
          <w:rtl/>
        </w:rPr>
        <w:t xml:space="preserve"> דמהא דלא מיחה יש רגלים לדבר, דא"כ לא שייך הלשון שהמערער הפסיד לעצמו.</w:t>
      </w:r>
      <w:bookmarkEnd w:id="5308"/>
      <w:r>
        <w:rPr>
          <w:rFonts w:hint="cs"/>
          <w:rtl/>
        </w:rPr>
        <w:t xml:space="preserve"> </w:t>
      </w:r>
      <w:r w:rsidRPr="00DD09F5">
        <w:rPr>
          <w:rStyle w:val="afb"/>
          <w:rFonts w:hint="cs"/>
          <w:rtl/>
        </w:rPr>
        <w:t xml:space="preserve">[וע"ע בדברי </w:t>
      </w:r>
      <w:r w:rsidRPr="00DD09F5">
        <w:rPr>
          <w:rStyle w:val="affa"/>
          <w:rFonts w:hint="cs"/>
          <w:rtl/>
        </w:rPr>
        <w:t>הרשב"ם</w:t>
      </w:r>
      <w:r w:rsidRPr="00DD09F5">
        <w:rPr>
          <w:rStyle w:val="aff6"/>
          <w:rFonts w:hint="cs"/>
          <w:rtl/>
        </w:rPr>
        <w:t xml:space="preserve"> (עי' אות </w:t>
      </w:r>
      <w:r w:rsidRPr="00DD09F5">
        <w:rPr>
          <w:rStyle w:val="aff6"/>
          <w:rtl/>
        </w:rPr>
        <w:fldChar w:fldCharType="begin"/>
      </w:r>
      <w:r w:rsidRPr="00DD09F5">
        <w:rPr>
          <w:rStyle w:val="aff6"/>
          <w:rtl/>
        </w:rPr>
        <w:instrText xml:space="preserve"> </w:instrText>
      </w:r>
      <w:r w:rsidRPr="00DD09F5">
        <w:rPr>
          <w:rStyle w:val="aff6"/>
          <w:rFonts w:hint="cs"/>
        </w:rPr>
        <w:instrText>REF</w:instrText>
      </w:r>
      <w:r w:rsidRPr="00DD09F5">
        <w:rPr>
          <w:rStyle w:val="aff6"/>
          <w:rFonts w:hint="cs"/>
          <w:rtl/>
        </w:rPr>
        <w:instrText xml:space="preserve"> _</w:instrText>
      </w:r>
      <w:r w:rsidRPr="00DD09F5">
        <w:rPr>
          <w:rStyle w:val="aff6"/>
          <w:rFonts w:hint="cs"/>
        </w:rPr>
        <w:instrText>Ref56596308 \r \h</w:instrText>
      </w:r>
      <w:r w:rsidRPr="00DD09F5">
        <w:rPr>
          <w:rStyle w:val="aff6"/>
          <w:rtl/>
        </w:rPr>
        <w:instrText xml:space="preserve"> </w:instrText>
      </w:r>
      <w:r w:rsidRPr="00DD09F5">
        <w:rPr>
          <w:rStyle w:val="aff6"/>
          <w:rtl/>
        </w:rPr>
      </w:r>
      <w:r w:rsidRPr="00DD09F5">
        <w:rPr>
          <w:rStyle w:val="aff6"/>
          <w:rtl/>
        </w:rPr>
        <w:fldChar w:fldCharType="separate"/>
      </w:r>
      <w:r w:rsidR="00265073">
        <w:rPr>
          <w:rStyle w:val="aff6"/>
          <w:cs/>
        </w:rPr>
        <w:t>‎</w:t>
      </w:r>
      <w:r w:rsidR="00265073">
        <w:rPr>
          <w:rStyle w:val="aff6"/>
          <w:rtl/>
        </w:rPr>
        <w:t>סט)</w:t>
      </w:r>
      <w:r w:rsidRPr="00DD09F5">
        <w:rPr>
          <w:rStyle w:val="aff6"/>
          <w:rtl/>
        </w:rPr>
        <w:fldChar w:fldCharType="end"/>
      </w:r>
      <w:r w:rsidRPr="00DD09F5">
        <w:rPr>
          <w:rStyle w:val="afb"/>
          <w:rFonts w:hint="cs"/>
          <w:rtl/>
        </w:rPr>
        <w:t xml:space="preserve"> דכתב דכל שלא מחה המערער הפסיד, </w:t>
      </w:r>
      <w:r>
        <w:rPr>
          <w:rStyle w:val="afb"/>
          <w:rFonts w:hint="cs"/>
          <w:rtl/>
        </w:rPr>
        <w:t>ובדברי</w:t>
      </w:r>
      <w:r w:rsidRPr="00DD09F5">
        <w:rPr>
          <w:rStyle w:val="afb"/>
          <w:rFonts w:hint="cs"/>
          <w:rtl/>
        </w:rPr>
        <w:t xml:space="preserve"> </w:t>
      </w:r>
      <w:r w:rsidRPr="00DD09F5">
        <w:rPr>
          <w:rStyle w:val="affa"/>
          <w:rFonts w:hint="cs"/>
          <w:rtl/>
        </w:rPr>
        <w:t>הרשב"א בתשו'</w:t>
      </w:r>
      <w:r w:rsidRPr="00DD09F5">
        <w:rPr>
          <w:rStyle w:val="afb"/>
          <w:rFonts w:hint="cs"/>
          <w:rtl/>
        </w:rPr>
        <w:t xml:space="preserve"> </w:t>
      </w:r>
      <w:r w:rsidRPr="00DD09F5">
        <w:rPr>
          <w:rStyle w:val="aff6"/>
          <w:rFonts w:hint="cs"/>
          <w:rtl/>
        </w:rPr>
        <w:t>(ח"ב סי' רמ"ד סוד"ה תשובה שאלת, הובא בסימן ה' אות נ"א)</w:t>
      </w:r>
      <w:r w:rsidRPr="00DD09F5">
        <w:rPr>
          <w:rStyle w:val="afb"/>
          <w:rFonts w:hint="cs"/>
          <w:rtl/>
        </w:rPr>
        <w:t xml:space="preserve"> דכתב דהצריכו חכמים לכל מחזיק להזהר בשטר עד ג"ש, ואם לא נזהר הפסיד המחזיק].</w:t>
      </w:r>
      <w:bookmarkEnd w:id="5309"/>
    </w:p>
    <w:p w:rsidR="00E874E8" w:rsidRDefault="00E874E8" w:rsidP="00E874E8">
      <w:pPr>
        <w:pStyle w:val="a3"/>
        <w:rPr>
          <w:rtl/>
        </w:rPr>
      </w:pPr>
      <w:bookmarkStart w:id="5310" w:name="_Toc56609801"/>
      <w:bookmarkStart w:id="5311" w:name="_Toc56626634"/>
      <w:bookmarkStart w:id="5312" w:name="_Toc56630102"/>
      <w:bookmarkStart w:id="5313" w:name="_Toc56636959"/>
      <w:bookmarkStart w:id="5314" w:name="_Toc56638093"/>
      <w:bookmarkStart w:id="5315" w:name="_Toc56640937"/>
      <w:r>
        <w:rPr>
          <w:rFonts w:hint="cs"/>
          <w:rtl/>
        </w:rPr>
        <w:t>דחיית חי' רמ"ש דאף אי החזקה היא תקנ"ח מ"מ יש ראיה מדלא מיחה ול"ש לשון הפסיד</w:t>
      </w:r>
      <w:bookmarkEnd w:id="5310"/>
      <w:bookmarkEnd w:id="5311"/>
      <w:bookmarkEnd w:id="5312"/>
      <w:bookmarkEnd w:id="5313"/>
      <w:bookmarkEnd w:id="5314"/>
      <w:bookmarkEnd w:id="5315"/>
    </w:p>
    <w:p w:rsidR="00E874E8" w:rsidRPr="00C43F66" w:rsidRDefault="00E874E8" w:rsidP="007E4E81">
      <w:pPr>
        <w:pStyle w:val="a0"/>
        <w:rPr>
          <w:rStyle w:val="afb"/>
          <w:rtl/>
        </w:rPr>
      </w:pPr>
      <w:bookmarkStart w:id="5316" w:name="_Ref55670765"/>
      <w:bookmarkStart w:id="5317" w:name="_Ref56596468"/>
      <w:r>
        <w:rPr>
          <w:rFonts w:hint="cs"/>
          <w:rtl/>
        </w:rPr>
        <w:t xml:space="preserve">אבל </w:t>
      </w:r>
      <w:r w:rsidRPr="00C43F66">
        <w:rPr>
          <w:rStyle w:val="af9"/>
          <w:rFonts w:hint="cs"/>
          <w:rtl/>
        </w:rPr>
        <w:t>בחי' רמ"ש</w:t>
      </w:r>
      <w:r w:rsidRPr="006C6D50">
        <w:rPr>
          <w:rFonts w:hint="cs"/>
          <w:rtl/>
        </w:rPr>
        <w:t xml:space="preserve"> </w:t>
      </w:r>
      <w:r w:rsidRPr="00C43F66">
        <w:rPr>
          <w:rStyle w:val="af7"/>
          <w:rFonts w:eastAsia="Guttman Hodes" w:hint="cs"/>
          <w:rtl/>
        </w:rPr>
        <w:t>(או' ה' ד"ה ומה שהביא)</w:t>
      </w:r>
      <w:r w:rsidRPr="006C6D50">
        <w:rPr>
          <w:rFonts w:hint="cs"/>
          <w:rtl/>
        </w:rPr>
        <w:t xml:space="preserve"> דחה </w:t>
      </w:r>
      <w:r>
        <w:rPr>
          <w:rFonts w:hint="cs"/>
          <w:rtl/>
        </w:rPr>
        <w:t xml:space="preserve">את </w:t>
      </w:r>
      <w:r w:rsidRPr="006C6D50">
        <w:rPr>
          <w:rFonts w:hint="cs"/>
          <w:rtl/>
        </w:rPr>
        <w:t xml:space="preserve">ביאור </w:t>
      </w:r>
      <w:r w:rsidRPr="004044AD">
        <w:rPr>
          <w:rStyle w:val="af9"/>
          <w:rFonts w:hint="cs"/>
          <w:rtl/>
        </w:rPr>
        <w:t>הקצוה"ח</w:t>
      </w:r>
      <w:r>
        <w:rPr>
          <w:rStyle w:val="af9"/>
          <w:rFonts w:hint="cs"/>
          <w:rtl/>
        </w:rPr>
        <w:t xml:space="preserve"> ברמב"ם</w:t>
      </w:r>
      <w:r w:rsidRPr="006C6D50">
        <w:rPr>
          <w:rFonts w:hint="cs"/>
          <w:rtl/>
        </w:rPr>
        <w:t xml:space="preserve"> דהא אף </w:t>
      </w:r>
      <w:r>
        <w:rPr>
          <w:rFonts w:hint="cs"/>
          <w:rtl/>
        </w:rPr>
        <w:t xml:space="preserve">לדבריו </w:t>
      </w:r>
      <w:r w:rsidRPr="006C6D50">
        <w:rPr>
          <w:rFonts w:hint="cs"/>
          <w:rtl/>
        </w:rPr>
        <w:t xml:space="preserve">דחזקת ג"ש היא מתקנת חכמים, </w:t>
      </w:r>
      <w:r>
        <w:rPr>
          <w:rFonts w:hint="cs"/>
          <w:rtl/>
        </w:rPr>
        <w:t xml:space="preserve">ג"כ </w:t>
      </w:r>
      <w:r w:rsidRPr="006C6D50">
        <w:rPr>
          <w:rFonts w:hint="cs"/>
          <w:rtl/>
        </w:rPr>
        <w:t xml:space="preserve">לא </w:t>
      </w:r>
      <w:r w:rsidRPr="006C6D50">
        <w:rPr>
          <w:rFonts w:hint="cs"/>
          <w:rtl/>
        </w:rPr>
        <w:lastRenderedPageBreak/>
        <w:t>שייך הלשון שהמערער הפסיד לעצמו</w:t>
      </w:r>
      <w:r>
        <w:rPr>
          <w:rFonts w:hint="cs"/>
          <w:rtl/>
        </w:rPr>
        <w:t>, דאף</w:t>
      </w:r>
      <w:r w:rsidRPr="006C6D50">
        <w:rPr>
          <w:rFonts w:hint="cs"/>
          <w:rtl/>
        </w:rPr>
        <w:t xml:space="preserve"> דלפני התקנה אין כל ראיה ממה שלא מחה המערער, מ"מ אחר שתיקנו חכמים דבחזקת ג"ש אם לא ימחה תהיה השדה של המחזיק, א"כ כל שלא מחה המערער בתוך ג"ש, יש אנן סהדי שמכר את השדה</w:t>
      </w:r>
      <w:r>
        <w:rPr>
          <w:rFonts w:hint="cs"/>
          <w:rtl/>
        </w:rPr>
        <w:t xml:space="preserve"> למחזיק, </w:t>
      </w:r>
      <w:r w:rsidRPr="00C43F66">
        <w:rPr>
          <w:rStyle w:val="afb"/>
          <w:rFonts w:hint="cs"/>
          <w:rtl/>
        </w:rPr>
        <w:t>[והיא ראיה גמורה, וא"א לומר שהמערער גרם את ההפסד לעצמו]</w:t>
      </w:r>
      <w:bookmarkEnd w:id="5316"/>
      <w:r>
        <w:rPr>
          <w:rStyle w:val="afb"/>
          <w:rFonts w:hint="cs"/>
          <w:rtl/>
        </w:rPr>
        <w:t>,</w:t>
      </w:r>
      <w:r w:rsidRPr="006B4DAE">
        <w:rPr>
          <w:rFonts w:hint="cs"/>
          <w:rtl/>
        </w:rPr>
        <w:t xml:space="preserve"> </w:t>
      </w:r>
      <w:r>
        <w:rPr>
          <w:rFonts w:hint="cs"/>
          <w:rtl/>
        </w:rPr>
        <w:t xml:space="preserve">וכדביאר </w:t>
      </w:r>
      <w:r w:rsidRPr="006B4DAE">
        <w:rPr>
          <w:rStyle w:val="af9"/>
          <w:rFonts w:hint="cs"/>
          <w:rtl/>
        </w:rPr>
        <w:t xml:space="preserve">השער משפט </w:t>
      </w:r>
      <w:r w:rsidRPr="006B4DAE">
        <w:rPr>
          <w:rStyle w:val="af7"/>
          <w:rFonts w:eastAsia="Guttman Hodes" w:hint="cs"/>
          <w:rtl/>
        </w:rPr>
        <w:t xml:space="preserve">(עי' אות </w:t>
      </w:r>
      <w:r w:rsidRPr="006B4DAE">
        <w:rPr>
          <w:rStyle w:val="af7"/>
          <w:rFonts w:eastAsia="Guttman Hodes"/>
          <w:rtl/>
        </w:rPr>
        <w:fldChar w:fldCharType="begin"/>
      </w:r>
      <w:r w:rsidRPr="006B4DAE">
        <w:rPr>
          <w:rStyle w:val="af7"/>
          <w:rFonts w:eastAsia="Guttman Hodes"/>
          <w:rtl/>
        </w:rPr>
        <w:instrText xml:space="preserve"> </w:instrText>
      </w:r>
      <w:r w:rsidRPr="006B4DAE">
        <w:rPr>
          <w:rStyle w:val="af7"/>
          <w:rFonts w:eastAsia="Guttman Hodes" w:hint="cs"/>
        </w:rPr>
        <w:instrText>REF</w:instrText>
      </w:r>
      <w:r w:rsidRPr="006B4DAE">
        <w:rPr>
          <w:rStyle w:val="af7"/>
          <w:rFonts w:eastAsia="Guttman Hodes" w:hint="cs"/>
          <w:rtl/>
        </w:rPr>
        <w:instrText xml:space="preserve"> _</w:instrText>
      </w:r>
      <w:r w:rsidRPr="006B4DAE">
        <w:rPr>
          <w:rStyle w:val="af7"/>
          <w:rFonts w:eastAsia="Guttman Hodes" w:hint="cs"/>
        </w:rPr>
        <w:instrText>Ref56596421 \r \h</w:instrText>
      </w:r>
      <w:r w:rsidRPr="006B4DAE">
        <w:rPr>
          <w:rStyle w:val="af7"/>
          <w:rFonts w:eastAsia="Guttman Hodes"/>
          <w:rtl/>
        </w:rPr>
        <w:instrText xml:space="preserve"> </w:instrText>
      </w:r>
      <w:r w:rsidRPr="006B4DAE">
        <w:rPr>
          <w:rStyle w:val="af7"/>
          <w:rFonts w:eastAsia="Guttman Hodes"/>
          <w:rtl/>
        </w:rPr>
      </w:r>
      <w:r w:rsidRPr="006B4DAE">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6B4DAE">
        <w:rPr>
          <w:rStyle w:val="af7"/>
          <w:rFonts w:eastAsia="Guttman Hodes"/>
          <w:rtl/>
        </w:rPr>
        <w:fldChar w:fldCharType="end"/>
      </w:r>
      <w:r>
        <w:rPr>
          <w:rFonts w:hint="cs"/>
          <w:rtl/>
        </w:rPr>
        <w:t>.</w:t>
      </w:r>
      <w:bookmarkEnd w:id="5317"/>
    </w:p>
    <w:p w:rsidR="00E874E8" w:rsidRDefault="00E874E8" w:rsidP="00E874E8">
      <w:pPr>
        <w:pStyle w:val="a3"/>
        <w:rPr>
          <w:rtl/>
        </w:rPr>
      </w:pPr>
      <w:bookmarkStart w:id="5318" w:name="_Toc55718278"/>
      <w:bookmarkStart w:id="5319" w:name="_Toc55739983"/>
      <w:bookmarkStart w:id="5320" w:name="_Toc56372885"/>
      <w:bookmarkStart w:id="5321" w:name="_Toc56458226"/>
      <w:bookmarkStart w:id="5322" w:name="_Toc56544386"/>
      <w:bookmarkStart w:id="5323" w:name="_Toc56609802"/>
      <w:bookmarkStart w:id="5324" w:name="_Toc56626635"/>
      <w:bookmarkStart w:id="5325" w:name="_Toc56630103"/>
      <w:bookmarkStart w:id="5326" w:name="_Toc56636960"/>
      <w:bookmarkStart w:id="5327" w:name="_Toc56638094"/>
      <w:bookmarkStart w:id="5328" w:name="_Toc56640938"/>
      <w:r>
        <w:rPr>
          <w:rFonts w:hint="cs"/>
          <w:rtl/>
        </w:rPr>
        <w:t>ביאור חי' רמ"ש בלשון הרמב"ם דהפסיד כשלא מחה בפני עדים ולא שמע המחזיק ממחאתו</w:t>
      </w:r>
      <w:bookmarkEnd w:id="5318"/>
      <w:bookmarkEnd w:id="5319"/>
      <w:bookmarkEnd w:id="5320"/>
      <w:bookmarkEnd w:id="5321"/>
      <w:bookmarkEnd w:id="5322"/>
      <w:bookmarkEnd w:id="5323"/>
      <w:bookmarkEnd w:id="5324"/>
      <w:bookmarkEnd w:id="5325"/>
      <w:bookmarkEnd w:id="5326"/>
      <w:bookmarkEnd w:id="5327"/>
      <w:bookmarkEnd w:id="5328"/>
    </w:p>
    <w:p w:rsidR="00E874E8" w:rsidRDefault="00E874E8" w:rsidP="007E4E81">
      <w:pPr>
        <w:pStyle w:val="a0"/>
        <w:rPr>
          <w:rtl/>
        </w:rPr>
      </w:pPr>
      <w:bookmarkStart w:id="5329" w:name="_Toc55569171"/>
      <w:r>
        <w:rPr>
          <w:rFonts w:hint="cs"/>
          <w:rtl/>
        </w:rPr>
        <w:t xml:space="preserve">אלא כתב </w:t>
      </w:r>
      <w:r w:rsidRPr="00C43F66">
        <w:rPr>
          <w:rStyle w:val="af9"/>
          <w:rFonts w:hint="cs"/>
          <w:rtl/>
        </w:rPr>
        <w:t>בחי' רמ"ש</w:t>
      </w:r>
      <w:r>
        <w:rPr>
          <w:rFonts w:hint="cs"/>
          <w:rtl/>
        </w:rPr>
        <w:t xml:space="preserve"> דמ"ש </w:t>
      </w:r>
      <w:r w:rsidRPr="00C43F66">
        <w:rPr>
          <w:rStyle w:val="af9"/>
          <w:rFonts w:hint="cs"/>
          <w:rtl/>
        </w:rPr>
        <w:t>הרמב"ם</w:t>
      </w:r>
      <w:r>
        <w:rPr>
          <w:rFonts w:hint="cs"/>
          <w:rtl/>
        </w:rPr>
        <w:t xml:space="preserve"> דאם לא מחה המערער הפסיד, קאי על מ"ש </w:t>
      </w:r>
      <w:r w:rsidRPr="00C43F66">
        <w:rPr>
          <w:rStyle w:val="af9"/>
          <w:rFonts w:hint="cs"/>
          <w:rtl/>
        </w:rPr>
        <w:t>הרמב"ם</w:t>
      </w:r>
      <w:r>
        <w:rPr>
          <w:rFonts w:hint="cs"/>
          <w:rtl/>
        </w:rPr>
        <w:t xml:space="preserve"> דכל שמחה המערער שלא בפניו ולא שמע המחזיק, דאומר לו שאף שהקפיד מ"מ כיון שלא מחה בפני עדים, הפסיד המערער לעצמו.</w:t>
      </w:r>
    </w:p>
    <w:p w:rsidR="00E874E8" w:rsidRDefault="00E874E8" w:rsidP="00E874E8">
      <w:pPr>
        <w:pStyle w:val="1"/>
        <w:rPr>
          <w:rtl/>
        </w:rPr>
      </w:pPr>
      <w:bookmarkStart w:id="5330" w:name="_Toc55718279"/>
      <w:bookmarkStart w:id="5331" w:name="_Toc55739984"/>
      <w:bookmarkStart w:id="5332" w:name="_Toc56372886"/>
      <w:bookmarkStart w:id="5333" w:name="_Toc56458227"/>
      <w:bookmarkStart w:id="5334" w:name="_Toc56544387"/>
      <w:bookmarkStart w:id="5335" w:name="_Toc56609803"/>
      <w:bookmarkStart w:id="5336" w:name="_Toc56626636"/>
      <w:bookmarkStart w:id="5337" w:name="_Toc56630104"/>
      <w:bookmarkStart w:id="5338" w:name="_Toc56636961"/>
      <w:bookmarkStart w:id="5339" w:name="_Toc56638095"/>
      <w:bookmarkStart w:id="5340" w:name="_Toc56640939"/>
      <w:r>
        <w:rPr>
          <w:rFonts w:hint="cs"/>
          <w:rtl/>
        </w:rPr>
        <w:t>קושית הקצוה"ח על התוס'</w:t>
      </w:r>
      <w:bookmarkEnd w:id="5329"/>
      <w:bookmarkEnd w:id="5330"/>
      <w:bookmarkEnd w:id="5331"/>
      <w:bookmarkEnd w:id="5332"/>
      <w:bookmarkEnd w:id="5333"/>
      <w:bookmarkEnd w:id="5334"/>
      <w:r>
        <w:rPr>
          <w:rFonts w:hint="cs"/>
          <w:rtl/>
        </w:rPr>
        <w:t xml:space="preserve"> דכל שלא מחו בו לא נזהר בשטר</w:t>
      </w:r>
      <w:bookmarkEnd w:id="5335"/>
      <w:bookmarkEnd w:id="5336"/>
      <w:bookmarkEnd w:id="5337"/>
      <w:bookmarkEnd w:id="5338"/>
      <w:bookmarkEnd w:id="5339"/>
      <w:bookmarkEnd w:id="5340"/>
    </w:p>
    <w:p w:rsidR="00E874E8" w:rsidRDefault="00E874E8" w:rsidP="00E874E8">
      <w:pPr>
        <w:pStyle w:val="a3"/>
        <w:rPr>
          <w:rtl/>
        </w:rPr>
      </w:pPr>
      <w:bookmarkStart w:id="5341" w:name="_Toc56609804"/>
      <w:bookmarkStart w:id="5342" w:name="_Toc56626637"/>
      <w:bookmarkStart w:id="5343" w:name="_Toc56630105"/>
      <w:bookmarkStart w:id="5344" w:name="_Toc56636962"/>
      <w:bookmarkStart w:id="5345" w:name="_Toc56638096"/>
      <w:bookmarkStart w:id="5346" w:name="_Toc56640940"/>
      <w:r>
        <w:rPr>
          <w:rFonts w:hint="cs"/>
          <w:rtl/>
        </w:rPr>
        <w:t>ביאור הקצוה"ח בתוס' דהמחזיק סומך על החזקה ולא נזהר בשטר וכשל"מ חזקה צריך להזהר</w:t>
      </w:r>
      <w:bookmarkEnd w:id="5341"/>
      <w:bookmarkEnd w:id="5342"/>
      <w:bookmarkEnd w:id="5343"/>
      <w:bookmarkEnd w:id="5344"/>
      <w:bookmarkEnd w:id="5345"/>
      <w:bookmarkEnd w:id="5346"/>
    </w:p>
    <w:p w:rsidR="00E874E8" w:rsidRDefault="00E874E8" w:rsidP="007E4E81">
      <w:pPr>
        <w:pStyle w:val="a0"/>
        <w:rPr>
          <w:rtl/>
        </w:rPr>
      </w:pPr>
      <w:bookmarkStart w:id="5347" w:name="_Ref56500948"/>
      <w:r>
        <w:rPr>
          <w:rFonts w:hint="cs"/>
          <w:rtl/>
        </w:rPr>
        <w:t xml:space="preserve">במ"ש </w:t>
      </w:r>
      <w:r w:rsidRPr="00A13C8A">
        <w:rPr>
          <w:rStyle w:val="af9"/>
          <w:rFonts w:hint="cs"/>
          <w:rtl/>
        </w:rPr>
        <w:t>התוס' 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Ref56359518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Pr>
          <w:rStyle w:val="af7"/>
          <w:rFonts w:eastAsia="Guttman Hodes"/>
          <w:rtl/>
        </w:rPr>
        <w:fldChar w:fldCharType="end"/>
      </w:r>
      <w:r>
        <w:rPr>
          <w:rStyle w:val="af7"/>
          <w:rFonts w:eastAsia="Guttman Hodes" w:hint="cs"/>
          <w:rtl/>
        </w:rPr>
        <w:t xml:space="preserve"> </w:t>
      </w:r>
      <w:r>
        <w:rPr>
          <w:rFonts w:hint="cs"/>
          <w:rtl/>
        </w:rPr>
        <w:t>דא"א לומר דהמרא קמא יהיה נאמן</w:t>
      </w:r>
      <w:r w:rsidRPr="00D80C26">
        <w:rPr>
          <w:rFonts w:hint="cs"/>
          <w:rtl/>
        </w:rPr>
        <w:t xml:space="preserve"> </w:t>
      </w:r>
      <w:r>
        <w:rPr>
          <w:rFonts w:hint="cs"/>
          <w:rtl/>
        </w:rPr>
        <w:t xml:space="preserve">לעולם בטענת לפירות הורדתיך, דא"כ לעולם צריך לשמור את השטר, שמא יטען לו לפירות הורדתיך, וכן במ"ש </w:t>
      </w:r>
      <w:r w:rsidRPr="003A5B64">
        <w:rPr>
          <w:rStyle w:val="af9"/>
          <w:rFonts w:hint="cs"/>
          <w:rtl/>
        </w:rPr>
        <w:t>התוס' בב"מ</w:t>
      </w:r>
      <w:r w:rsidR="00A77F33">
        <w:rPr>
          <w:rStyle w:val="af7"/>
          <w:rFonts w:eastAsia="Guttman Hodes" w:hint="cs"/>
          <w:rtl/>
        </w:rPr>
        <w:t xml:space="preserve"> </w:t>
      </w:r>
      <w:r w:rsidRPr="00D84EBE">
        <w:rPr>
          <w:rStyle w:val="af7"/>
          <w:rFonts w:eastAsia="Guttman Rashi" w:hint="cs"/>
          <w:rtl/>
        </w:rPr>
        <w:t xml:space="preserve">(עי' אות </w:t>
      </w:r>
      <w:r w:rsidRPr="00D84EBE">
        <w:rPr>
          <w:rStyle w:val="af7"/>
          <w:rFonts w:eastAsia="Guttman Rashi"/>
          <w:rtl/>
        </w:rPr>
        <w:fldChar w:fldCharType="begin"/>
      </w:r>
      <w:r w:rsidRPr="00D84EBE">
        <w:rPr>
          <w:rStyle w:val="af7"/>
          <w:rFonts w:eastAsia="Guttman Rashi"/>
          <w:rtl/>
        </w:rPr>
        <w:instrText xml:space="preserve"> </w:instrText>
      </w:r>
      <w:r w:rsidRPr="00D84EBE">
        <w:rPr>
          <w:rStyle w:val="af7"/>
          <w:rFonts w:eastAsia="Guttman Rashi" w:hint="cs"/>
        </w:rPr>
        <w:instrText>REF</w:instrText>
      </w:r>
      <w:r w:rsidRPr="00D84EBE">
        <w:rPr>
          <w:rStyle w:val="af7"/>
          <w:rFonts w:eastAsia="Guttman Rashi" w:hint="cs"/>
          <w:rtl/>
        </w:rPr>
        <w:instrText xml:space="preserve"> _</w:instrText>
      </w:r>
      <w:r w:rsidRPr="00D84EBE">
        <w:rPr>
          <w:rStyle w:val="af7"/>
          <w:rFonts w:eastAsia="Guttman Rashi" w:hint="cs"/>
        </w:rPr>
        <w:instrText>Ref56500967 \r \h</w:instrText>
      </w:r>
      <w:r w:rsidRPr="00D84EBE">
        <w:rPr>
          <w:rStyle w:val="af7"/>
          <w:rFonts w:eastAsia="Guttman Rashi"/>
          <w:rtl/>
        </w:rPr>
        <w:instrText xml:space="preserve"> </w:instrText>
      </w:r>
      <w:r w:rsidRPr="00D84EBE">
        <w:rPr>
          <w:rStyle w:val="af7"/>
          <w:rFonts w:eastAsia="Guttman Rashi"/>
          <w:rtl/>
        </w:rPr>
      </w:r>
      <w:r w:rsidRPr="00D84EBE">
        <w:rPr>
          <w:rStyle w:val="af7"/>
          <w:rFonts w:eastAsia="Guttman Rashi"/>
          <w:rtl/>
        </w:rPr>
        <w:fldChar w:fldCharType="separate"/>
      </w:r>
      <w:r w:rsidR="00265073">
        <w:rPr>
          <w:rStyle w:val="af7"/>
          <w:rFonts w:eastAsia="Guttman Rashi"/>
          <w:cs/>
        </w:rPr>
        <w:t>‎</w:t>
      </w:r>
      <w:r w:rsidR="00265073">
        <w:rPr>
          <w:rStyle w:val="af7"/>
          <w:rFonts w:eastAsia="Guttman Rashi"/>
          <w:rtl/>
        </w:rPr>
        <w:t>כב)</w:t>
      </w:r>
      <w:r w:rsidRPr="00D84EBE">
        <w:rPr>
          <w:rStyle w:val="af7"/>
          <w:rFonts w:eastAsia="Guttman Rashi"/>
          <w:rtl/>
        </w:rPr>
        <w:fldChar w:fldCharType="end"/>
      </w:r>
      <w:r w:rsidRPr="00D84EBE">
        <w:rPr>
          <w:rStyle w:val="af7"/>
          <w:rFonts w:eastAsia="Guttman Hodes" w:hint="cs"/>
          <w:rtl/>
        </w:rPr>
        <w:t xml:space="preserve"> </w:t>
      </w:r>
      <w:r>
        <w:rPr>
          <w:rFonts w:hint="cs"/>
          <w:rtl/>
        </w:rPr>
        <w:t>דא"א לומר דהמרא קמא יהיה נאמן</w:t>
      </w:r>
      <w:r w:rsidRPr="00D80C26">
        <w:rPr>
          <w:rFonts w:hint="cs"/>
          <w:rtl/>
        </w:rPr>
        <w:t xml:space="preserve"> </w:t>
      </w:r>
      <w:r>
        <w:rPr>
          <w:rFonts w:hint="cs"/>
          <w:rtl/>
        </w:rPr>
        <w:t xml:space="preserve">לעולם </w:t>
      </w:r>
      <w:r w:rsidRPr="003A5B64">
        <w:rPr>
          <w:rFonts w:hint="cs"/>
          <w:rtl/>
        </w:rPr>
        <w:t>לטעון שנתנה לו במשכנתא, א"כ יצטרך לשמור את שטרו לעולם, שמא יטען לו משכנתא היא</w:t>
      </w:r>
      <w:r>
        <w:rPr>
          <w:rFonts w:hint="cs"/>
          <w:rtl/>
        </w:rPr>
        <w:t xml:space="preserve">, כתב </w:t>
      </w:r>
      <w:r w:rsidRPr="00226C08">
        <w:rPr>
          <w:rStyle w:val="af9"/>
          <w:rFonts w:hint="cs"/>
          <w:rtl/>
        </w:rPr>
        <w:t>הקצוה"ח</w:t>
      </w:r>
      <w:r>
        <w:rPr>
          <w:rStyle w:val="af9"/>
          <w:rFonts w:hint="cs"/>
          <w:rtl/>
        </w:rPr>
        <w:t xml:space="preserve"> </w:t>
      </w:r>
      <w:r w:rsidRPr="00264F32">
        <w:rPr>
          <w:rStyle w:val="af7"/>
          <w:rFonts w:eastAsia="Guttman Hodes" w:hint="cs"/>
          <w:rtl/>
        </w:rPr>
        <w:t>(</w:t>
      </w:r>
      <w:r>
        <w:rPr>
          <w:rStyle w:val="af7"/>
          <w:rFonts w:eastAsia="Guttman Hodes" w:hint="cs"/>
          <w:rtl/>
        </w:rPr>
        <w:t>סי</w:t>
      </w:r>
      <w:r>
        <w:rPr>
          <w:rStyle w:val="af7"/>
          <w:rFonts w:eastAsia="Guttman Hodes"/>
          <w:rtl/>
        </w:rPr>
        <w:t>'</w:t>
      </w:r>
      <w:r>
        <w:rPr>
          <w:rStyle w:val="af7"/>
          <w:rFonts w:eastAsia="Guttman Hodes" w:hint="cs"/>
          <w:rtl/>
        </w:rPr>
        <w:t xml:space="preserve"> ק</w:t>
      </w:r>
      <w:r>
        <w:rPr>
          <w:rStyle w:val="af7"/>
          <w:rFonts w:eastAsia="Guttman Hodes"/>
          <w:rtl/>
        </w:rPr>
        <w:t>"</w:t>
      </w:r>
      <w:r>
        <w:rPr>
          <w:rStyle w:val="af7"/>
          <w:rFonts w:eastAsia="Guttman Hodes" w:hint="cs"/>
          <w:rtl/>
        </w:rPr>
        <w:t>מ סק</w:t>
      </w:r>
      <w:r>
        <w:rPr>
          <w:rStyle w:val="af7"/>
          <w:rFonts w:eastAsia="Guttman Hodes"/>
          <w:rtl/>
        </w:rPr>
        <w:t>"</w:t>
      </w:r>
      <w:r>
        <w:rPr>
          <w:rStyle w:val="af7"/>
          <w:rFonts w:eastAsia="Guttman Hodes" w:hint="cs"/>
          <w:rtl/>
        </w:rPr>
        <w:t>ב</w:t>
      </w:r>
      <w:r w:rsidRPr="00264F32">
        <w:rPr>
          <w:rStyle w:val="af7"/>
          <w:rFonts w:eastAsia="Guttman Hodes" w:hint="cs"/>
          <w:rtl/>
        </w:rPr>
        <w:t xml:space="preserve"> ד"ה ועיין תוס')</w:t>
      </w:r>
      <w:r>
        <w:rPr>
          <w:rFonts w:hint="cs"/>
          <w:rtl/>
        </w:rPr>
        <w:t xml:space="preserve"> דמשמע מדברי</w:t>
      </w:r>
      <w:r w:rsidRPr="004A357F">
        <w:rPr>
          <w:rStyle w:val="af9"/>
          <w:rFonts w:hint="cs"/>
          <w:rtl/>
        </w:rPr>
        <w:t xml:space="preserve"> התוס'</w:t>
      </w:r>
      <w:r>
        <w:rPr>
          <w:rFonts w:hint="cs"/>
          <w:rtl/>
        </w:rPr>
        <w:t xml:space="preserve"> דמה שהמחזיק אינו נזהר בשטרו יותר מג"ש, הוא כיון שהוא סומך על הראיה של חזקת ג"ש, וא"כ החזקה היא גורמת שלא יזהר בשטרו יותר מג"ש, ולכן הוקשה להם דבמקום שלא תועיל לו החזקה, יצטרך לשמור את שטרו יותר מג"ש.</w:t>
      </w:r>
      <w:bookmarkEnd w:id="5347"/>
    </w:p>
    <w:p w:rsidR="00E874E8" w:rsidRPr="004D79A2" w:rsidRDefault="00E874E8" w:rsidP="00E874E8">
      <w:pPr>
        <w:pStyle w:val="a3"/>
        <w:rPr>
          <w:rtl/>
        </w:rPr>
      </w:pPr>
      <w:bookmarkStart w:id="5348" w:name="_Toc56609805"/>
      <w:bookmarkStart w:id="5349" w:name="_Toc56626638"/>
      <w:bookmarkStart w:id="5350" w:name="_Toc56630106"/>
      <w:bookmarkStart w:id="5351" w:name="_Toc56636963"/>
      <w:bookmarkStart w:id="5352" w:name="_Toc56638097"/>
      <w:bookmarkStart w:id="5353" w:name="_Toc56640941"/>
      <w:r>
        <w:rPr>
          <w:rFonts w:hint="cs"/>
          <w:rtl/>
        </w:rPr>
        <w:t>קושית הקצוה"ח דהא דאינו נזהר בשטר אינו מחמת החזקה ולהיפך כיון שלא נזהר יש חזקה</w:t>
      </w:r>
      <w:bookmarkEnd w:id="5348"/>
      <w:bookmarkEnd w:id="5349"/>
      <w:bookmarkEnd w:id="5350"/>
      <w:bookmarkEnd w:id="5351"/>
      <w:bookmarkEnd w:id="5352"/>
      <w:bookmarkEnd w:id="5353"/>
    </w:p>
    <w:p w:rsidR="00E874E8" w:rsidRDefault="00E874E8" w:rsidP="007E4E81">
      <w:pPr>
        <w:pStyle w:val="a0"/>
        <w:rPr>
          <w:rtl/>
        </w:rPr>
      </w:pPr>
      <w:bookmarkStart w:id="5354" w:name="_Ref55672820"/>
      <w:r>
        <w:rPr>
          <w:rFonts w:hint="cs"/>
          <w:rtl/>
        </w:rPr>
        <w:t xml:space="preserve">אך הקשה </w:t>
      </w:r>
      <w:r w:rsidRPr="00226C08">
        <w:rPr>
          <w:rStyle w:val="af9"/>
          <w:rFonts w:hint="cs"/>
          <w:rtl/>
        </w:rPr>
        <w:t>הקצוה"ח</w:t>
      </w:r>
      <w:r w:rsidRPr="006F0306">
        <w:rPr>
          <w:rFonts w:hint="cs"/>
          <w:rtl/>
        </w:rPr>
        <w:t xml:space="preserve"> על</w:t>
      </w:r>
      <w:r>
        <w:rPr>
          <w:rStyle w:val="af9"/>
          <w:rFonts w:hint="cs"/>
          <w:rtl/>
        </w:rPr>
        <w:t xml:space="preserve"> התוס' </w:t>
      </w:r>
      <w:r>
        <w:rPr>
          <w:rFonts w:hint="cs"/>
          <w:rtl/>
        </w:rPr>
        <w:t>דהא דין חזקת ג"ש אי"ז הטעם שהוא שומר את שטרו, אלא אדרבה מה שאינו נזהר בשטרו הוא טעם החזקה, דהא דאינו נזהר הוא כיון שסובר שאחר שאכל ג"ש בשופי, שוב לא יערערו עליו, ומכח זה יש את דין חזקת ג"ש.</w:t>
      </w:r>
    </w:p>
    <w:p w:rsidR="00E874E8" w:rsidRPr="00EA0BE0" w:rsidRDefault="00E874E8" w:rsidP="00E874E8">
      <w:pPr>
        <w:pStyle w:val="a3"/>
      </w:pPr>
      <w:bookmarkStart w:id="5355" w:name="_Toc56609806"/>
      <w:bookmarkStart w:id="5356" w:name="_Toc56626639"/>
      <w:bookmarkStart w:id="5357" w:name="_Toc56630107"/>
      <w:bookmarkStart w:id="5358" w:name="_Toc56636964"/>
      <w:bookmarkStart w:id="5359" w:name="_Toc56638098"/>
      <w:bookmarkStart w:id="5360" w:name="_Toc56640942"/>
      <w:r>
        <w:rPr>
          <w:rFonts w:hint="cs"/>
          <w:rtl/>
        </w:rPr>
        <w:t>דברי הקצוה"ח דבין אם החזקה מדלא מיחה ובין מתקנ"ח הא דאינו נזהר בשטר לפני דין חזקה</w:t>
      </w:r>
      <w:bookmarkEnd w:id="5355"/>
      <w:bookmarkEnd w:id="5356"/>
      <w:bookmarkEnd w:id="5357"/>
      <w:bookmarkEnd w:id="5358"/>
      <w:bookmarkEnd w:id="5359"/>
      <w:bookmarkEnd w:id="5360"/>
    </w:p>
    <w:p w:rsidR="00E874E8" w:rsidRDefault="00E874E8" w:rsidP="007E4E81">
      <w:pPr>
        <w:pStyle w:val="a0"/>
        <w:rPr>
          <w:rtl/>
        </w:rPr>
      </w:pPr>
      <w:r>
        <w:rPr>
          <w:rFonts w:hint="cs"/>
          <w:rtl/>
        </w:rPr>
        <w:t xml:space="preserve">וכתב </w:t>
      </w:r>
      <w:r w:rsidRPr="00226C08">
        <w:rPr>
          <w:rStyle w:val="af9"/>
          <w:rFonts w:hint="cs"/>
          <w:rtl/>
        </w:rPr>
        <w:t xml:space="preserve">הקצוה"ח </w:t>
      </w:r>
      <w:r>
        <w:rPr>
          <w:rFonts w:hint="cs"/>
          <w:rtl/>
        </w:rPr>
        <w:t xml:space="preserve">דבין לדעת </w:t>
      </w:r>
      <w:r w:rsidRPr="0070219C">
        <w:rPr>
          <w:rStyle w:val="af9"/>
          <w:rFonts w:hint="cs"/>
          <w:rtl/>
        </w:rPr>
        <w:t>הרמב"ן לקמן</w:t>
      </w:r>
      <w:r>
        <w:rPr>
          <w:rFonts w:hint="cs"/>
          <w:rtl/>
        </w:rPr>
        <w:t xml:space="preserve"> </w:t>
      </w:r>
      <w:r w:rsidRPr="0070219C">
        <w:rPr>
          <w:rStyle w:val="af7"/>
          <w:rFonts w:eastAsia="Guttman Rashi" w:hint="cs"/>
          <w:rtl/>
        </w:rPr>
        <w:t>(מב. ד"ה הא, הובא בסימן ה' אות ז')</w:t>
      </w:r>
      <w:r>
        <w:rPr>
          <w:rFonts w:hint="cs"/>
          <w:rtl/>
        </w:rPr>
        <w:t xml:space="preserve"> דחזקת ג"ש הוא מחמת הראיה שלא מחה,</w:t>
      </w:r>
      <w:r w:rsidRPr="0070219C">
        <w:rPr>
          <w:rStyle w:val="afb"/>
          <w:rFonts w:hint="cs"/>
          <w:rtl/>
        </w:rPr>
        <w:t xml:space="preserve"> </w:t>
      </w:r>
      <w:r>
        <w:rPr>
          <w:rStyle w:val="afb"/>
          <w:rFonts w:hint="cs"/>
          <w:rtl/>
        </w:rPr>
        <w:t>[כדביאר</w:t>
      </w:r>
      <w:r w:rsidRPr="00A510F2">
        <w:rPr>
          <w:rStyle w:val="affa"/>
          <w:rFonts w:hint="cs"/>
          <w:rtl/>
        </w:rPr>
        <w:t xml:space="preserve"> הקצוה"ח</w:t>
      </w:r>
      <w:r w:rsidRPr="005F0D66">
        <w:rPr>
          <w:rStyle w:val="afb"/>
          <w:rFonts w:hint="cs"/>
          <w:rtl/>
        </w:rPr>
        <w:t xml:space="preserve"> </w:t>
      </w:r>
      <w:r w:rsidRPr="004055E5">
        <w:rPr>
          <w:rStyle w:val="aff6"/>
          <w:rFonts w:hint="cs"/>
          <w:rtl/>
        </w:rPr>
        <w:t>(סי</w:t>
      </w:r>
      <w:r w:rsidRPr="004055E5">
        <w:rPr>
          <w:rStyle w:val="aff6"/>
          <w:rtl/>
        </w:rPr>
        <w:t>'</w:t>
      </w:r>
      <w:r w:rsidRPr="004055E5">
        <w:rPr>
          <w:rStyle w:val="aff6"/>
          <w:rFonts w:hint="cs"/>
          <w:rtl/>
        </w:rPr>
        <w:t xml:space="preserve"> ק</w:t>
      </w:r>
      <w:r w:rsidRPr="004055E5">
        <w:rPr>
          <w:rStyle w:val="aff6"/>
          <w:rtl/>
        </w:rPr>
        <w:t>"</w:t>
      </w:r>
      <w:r w:rsidRPr="004055E5">
        <w:rPr>
          <w:rStyle w:val="aff6"/>
          <w:rFonts w:hint="cs"/>
          <w:rtl/>
        </w:rPr>
        <w:t>מ סק</w:t>
      </w:r>
      <w:r w:rsidRPr="004055E5">
        <w:rPr>
          <w:rStyle w:val="aff6"/>
          <w:rtl/>
        </w:rPr>
        <w:t>"</w:t>
      </w:r>
      <w:r w:rsidRPr="004055E5">
        <w:rPr>
          <w:rStyle w:val="aff6"/>
          <w:rFonts w:hint="cs"/>
          <w:rtl/>
        </w:rPr>
        <w:t>ב</w:t>
      </w:r>
      <w:r>
        <w:rPr>
          <w:rStyle w:val="aff6"/>
          <w:rFonts w:hint="cs"/>
          <w:rtl/>
        </w:rPr>
        <w:t xml:space="preserve"> ד"ה כיצד</w:t>
      </w:r>
      <w:r w:rsidRPr="004055E5">
        <w:rPr>
          <w:rStyle w:val="aff6"/>
          <w:rFonts w:hint="cs"/>
          <w:rtl/>
        </w:rPr>
        <w:t>, הובא בסימן ה' אות כ"ו)</w:t>
      </w:r>
      <w:r>
        <w:rPr>
          <w:rStyle w:val="afb"/>
          <w:rFonts w:hint="cs"/>
          <w:rtl/>
        </w:rPr>
        <w:t xml:space="preserve"> </w:t>
      </w:r>
      <w:r w:rsidRPr="00306E45">
        <w:rPr>
          <w:rStyle w:val="affa"/>
          <w:rFonts w:hint="cs"/>
          <w:rtl/>
        </w:rPr>
        <w:t>ברמב"ן</w:t>
      </w:r>
      <w:r>
        <w:rPr>
          <w:rStyle w:val="afb"/>
          <w:rFonts w:hint="cs"/>
          <w:rtl/>
        </w:rPr>
        <w:t>],</w:t>
      </w:r>
      <w:r w:rsidR="00A77F33">
        <w:rPr>
          <w:rStyle w:val="afb"/>
          <w:rFonts w:hint="cs"/>
          <w:rtl/>
        </w:rPr>
        <w:t xml:space="preserve"> </w:t>
      </w:r>
      <w:r>
        <w:rPr>
          <w:rFonts w:hint="cs"/>
          <w:rtl/>
        </w:rPr>
        <w:t xml:space="preserve">ובין לפי ביאור </w:t>
      </w:r>
      <w:r w:rsidRPr="00226C08">
        <w:rPr>
          <w:rStyle w:val="af9"/>
          <w:rFonts w:hint="cs"/>
          <w:rtl/>
        </w:rPr>
        <w:t xml:space="preserve">הקצוה"ח </w:t>
      </w:r>
      <w:r w:rsidRPr="00CB71E6">
        <w:rPr>
          <w:rStyle w:val="af7"/>
          <w:rFonts w:eastAsia="Guttman Hodes" w:hint="cs"/>
          <w:rtl/>
        </w:rPr>
        <w:t xml:space="preserve">(עי' אות </w:t>
      </w:r>
      <w:r w:rsidRPr="00CB71E6">
        <w:rPr>
          <w:rStyle w:val="af7"/>
          <w:rFonts w:eastAsia="Guttman Hodes"/>
          <w:rtl/>
        </w:rPr>
        <w:fldChar w:fldCharType="begin"/>
      </w:r>
      <w:r w:rsidRPr="00CB71E6">
        <w:rPr>
          <w:rStyle w:val="af7"/>
          <w:rFonts w:eastAsia="Guttman Hodes"/>
          <w:rtl/>
        </w:rPr>
        <w:instrText xml:space="preserve"> </w:instrText>
      </w:r>
      <w:r w:rsidRPr="00CB71E6">
        <w:rPr>
          <w:rStyle w:val="af7"/>
          <w:rFonts w:eastAsia="Guttman Hodes" w:hint="cs"/>
        </w:rPr>
        <w:instrText>REF</w:instrText>
      </w:r>
      <w:r w:rsidRPr="00CB71E6">
        <w:rPr>
          <w:rStyle w:val="af7"/>
          <w:rFonts w:eastAsia="Guttman Hodes" w:hint="cs"/>
          <w:rtl/>
        </w:rPr>
        <w:instrText xml:space="preserve"> _</w:instrText>
      </w:r>
      <w:r w:rsidRPr="00CB71E6">
        <w:rPr>
          <w:rStyle w:val="af7"/>
          <w:rFonts w:eastAsia="Guttman Hodes" w:hint="cs"/>
        </w:rPr>
        <w:instrText>Ref56591681 \r \h</w:instrText>
      </w:r>
      <w:r w:rsidRPr="00CB71E6">
        <w:rPr>
          <w:rStyle w:val="af7"/>
          <w:rFonts w:eastAsia="Guttman Hodes"/>
          <w:rtl/>
        </w:rPr>
        <w:instrText xml:space="preserve"> </w:instrText>
      </w:r>
      <w:r w:rsidRPr="00CB71E6">
        <w:rPr>
          <w:rStyle w:val="af7"/>
          <w:rFonts w:eastAsia="Guttman Hodes"/>
          <w:rtl/>
        </w:rPr>
      </w:r>
      <w:r w:rsidRPr="00CB71E6">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CB71E6">
        <w:rPr>
          <w:rStyle w:val="af7"/>
          <w:rFonts w:eastAsia="Guttman Hodes"/>
          <w:rtl/>
        </w:rPr>
        <w:fldChar w:fldCharType="end"/>
      </w:r>
      <w:r>
        <w:rPr>
          <w:rFonts w:hint="cs"/>
          <w:rtl/>
        </w:rPr>
        <w:t xml:space="preserve"> דהחזקה היא מתקנת חכמים, מ"מ הא דאין אדם נזהר בשטרו יותר מג"ש, היה לפני דין חזקת ג"ש.</w:t>
      </w:r>
    </w:p>
    <w:p w:rsidR="00E874E8" w:rsidRPr="00306E45" w:rsidRDefault="00E874E8" w:rsidP="00E874E8">
      <w:pPr>
        <w:pStyle w:val="a3"/>
      </w:pPr>
      <w:bookmarkStart w:id="5361" w:name="_Toc56609807"/>
      <w:bookmarkStart w:id="5362" w:name="_Toc56626640"/>
      <w:bookmarkStart w:id="5363" w:name="_Toc56630108"/>
      <w:bookmarkStart w:id="5364" w:name="_Toc56636965"/>
      <w:bookmarkStart w:id="5365" w:name="_Toc56638099"/>
      <w:bookmarkStart w:id="5366" w:name="_Toc56640943"/>
      <w:r>
        <w:rPr>
          <w:rFonts w:hint="cs"/>
          <w:rtl/>
        </w:rPr>
        <w:t>קושית הקצוה"ח על תוס' דאף שיכול לטעון שהורידו לפירות מ"מ לא יזהר כיון שלא ערער עליו</w:t>
      </w:r>
      <w:bookmarkEnd w:id="5361"/>
      <w:bookmarkEnd w:id="5362"/>
      <w:bookmarkEnd w:id="5363"/>
      <w:bookmarkEnd w:id="5364"/>
      <w:bookmarkEnd w:id="5365"/>
      <w:bookmarkEnd w:id="5366"/>
    </w:p>
    <w:p w:rsidR="00E874E8" w:rsidRDefault="00E874E8" w:rsidP="007E4E81">
      <w:pPr>
        <w:pStyle w:val="a0"/>
        <w:rPr>
          <w:rtl/>
        </w:rPr>
      </w:pPr>
      <w:r>
        <w:rPr>
          <w:rFonts w:hint="cs"/>
          <w:rtl/>
        </w:rPr>
        <w:t xml:space="preserve">והקשה </w:t>
      </w:r>
      <w:r w:rsidRPr="00226C08">
        <w:rPr>
          <w:rStyle w:val="af9"/>
          <w:rFonts w:hint="cs"/>
          <w:rtl/>
        </w:rPr>
        <w:t>הקצוה"ח</w:t>
      </w:r>
      <w:r w:rsidRPr="006F0306">
        <w:rPr>
          <w:rFonts w:hint="cs"/>
          <w:rtl/>
        </w:rPr>
        <w:t xml:space="preserve"> </w:t>
      </w:r>
      <w:r>
        <w:rPr>
          <w:rFonts w:hint="cs"/>
          <w:rtl/>
        </w:rPr>
        <w:t xml:space="preserve">דא"כ אף לקושית </w:t>
      </w:r>
      <w:r w:rsidRPr="005537E4">
        <w:rPr>
          <w:rStyle w:val="af9"/>
          <w:rFonts w:hint="cs"/>
          <w:rtl/>
        </w:rPr>
        <w:t>התוס'</w:t>
      </w:r>
      <w:r>
        <w:rPr>
          <w:rFonts w:hint="cs"/>
          <w:rtl/>
        </w:rPr>
        <w:t xml:space="preserve"> דחזקת ג"ש אינה ראיה, ויכול לטעון </w:t>
      </w:r>
      <w:r w:rsidRPr="00306E45">
        <w:rPr>
          <w:rFonts w:hint="cs"/>
          <w:rtl/>
        </w:rPr>
        <w:t xml:space="preserve">לפירות הורדתיו, או </w:t>
      </w:r>
      <w:r>
        <w:rPr>
          <w:rFonts w:hint="cs"/>
          <w:rtl/>
        </w:rPr>
        <w:t>שהיא ממושכנת בידו</w:t>
      </w:r>
      <w:r w:rsidRPr="00306E45">
        <w:rPr>
          <w:rFonts w:hint="cs"/>
          <w:rtl/>
        </w:rPr>
        <w:t>, מ"מ לא יזהר המחזיק בשטרו יותר מג"ש, כיון שסובר שלא יערערו עליו, וא"כ מה הקשו התוס' שיצטרך להזהר</w:t>
      </w:r>
      <w:r>
        <w:rPr>
          <w:rFonts w:hint="cs"/>
          <w:rtl/>
        </w:rPr>
        <w:t xml:space="preserve"> יותר מג"ש כדי שלא יטען עליו לפירות הורדיתך, הא המחזיק לא חושש לערעור כלל, וכן הקשה </w:t>
      </w:r>
      <w:r w:rsidRPr="00376614">
        <w:rPr>
          <w:rStyle w:val="af9"/>
          <w:rFonts w:hint="cs"/>
          <w:rtl/>
        </w:rPr>
        <w:t xml:space="preserve">השער משפט </w:t>
      </w:r>
      <w:r w:rsidRPr="00376614">
        <w:rPr>
          <w:rStyle w:val="af7"/>
          <w:rFonts w:eastAsia="Guttman Hodes" w:hint="cs"/>
          <w:rtl/>
        </w:rPr>
        <w:t>(סי' ק"מ סק"ג ד"ה אמנם)</w:t>
      </w:r>
      <w:r>
        <w:rPr>
          <w:rFonts w:hint="cs"/>
          <w:rtl/>
        </w:rPr>
        <w:t>.</w:t>
      </w:r>
      <w:bookmarkEnd w:id="5354"/>
    </w:p>
    <w:p w:rsidR="00E874E8" w:rsidRPr="008427A9" w:rsidRDefault="00E874E8" w:rsidP="00E874E8">
      <w:pPr>
        <w:pStyle w:val="1"/>
        <w:rPr>
          <w:rtl/>
        </w:rPr>
      </w:pPr>
      <w:bookmarkStart w:id="5367" w:name="_Toc56609808"/>
      <w:bookmarkStart w:id="5368" w:name="_Toc56626641"/>
      <w:bookmarkStart w:id="5369" w:name="_Toc56630109"/>
      <w:bookmarkStart w:id="5370" w:name="_Toc56636966"/>
      <w:bookmarkStart w:id="5371" w:name="_Toc56638100"/>
      <w:bookmarkStart w:id="5372" w:name="_Toc56640944"/>
      <w:r>
        <w:rPr>
          <w:rFonts w:hint="cs"/>
          <w:rtl/>
        </w:rPr>
        <w:t>ביאור הקצוה"ח והשע"מ בתוס'</w:t>
      </w:r>
      <w:bookmarkEnd w:id="5367"/>
      <w:bookmarkEnd w:id="5368"/>
      <w:bookmarkEnd w:id="5369"/>
      <w:r>
        <w:rPr>
          <w:rFonts w:hint="cs"/>
          <w:rtl/>
        </w:rPr>
        <w:t xml:space="preserve"> דהחזקה תקנ"ח לטובת המחזיק</w:t>
      </w:r>
      <w:bookmarkEnd w:id="5370"/>
      <w:bookmarkEnd w:id="5371"/>
      <w:bookmarkEnd w:id="5372"/>
    </w:p>
    <w:p w:rsidR="00E874E8" w:rsidRDefault="00E874E8" w:rsidP="00E874E8">
      <w:pPr>
        <w:pStyle w:val="a3"/>
        <w:rPr>
          <w:rtl/>
        </w:rPr>
      </w:pPr>
      <w:bookmarkStart w:id="5373" w:name="_Toc56609809"/>
      <w:bookmarkStart w:id="5374" w:name="_Toc56626642"/>
      <w:bookmarkStart w:id="5375" w:name="_Toc56630110"/>
      <w:bookmarkStart w:id="5376" w:name="_Toc56636967"/>
      <w:bookmarkStart w:id="5377" w:name="_Toc56638101"/>
      <w:bookmarkStart w:id="5378" w:name="_Toc56640945"/>
      <w:r>
        <w:rPr>
          <w:rFonts w:hint="cs"/>
          <w:rtl/>
        </w:rPr>
        <w:t>ביאור הקצוה"ח בתוס' דהתקנ"ח שלא יפסיד המחזיק וא"כ קשה דיפסיד בטענת לפירות הורדתיך</w:t>
      </w:r>
      <w:bookmarkEnd w:id="5373"/>
      <w:bookmarkEnd w:id="5374"/>
      <w:bookmarkEnd w:id="5375"/>
      <w:bookmarkEnd w:id="5376"/>
      <w:bookmarkEnd w:id="5377"/>
      <w:bookmarkEnd w:id="5378"/>
    </w:p>
    <w:p w:rsidR="00E874E8" w:rsidRPr="00CE5BB5" w:rsidRDefault="00E874E8" w:rsidP="007E4E81">
      <w:pPr>
        <w:pStyle w:val="a0"/>
        <w:rPr>
          <w:rStyle w:val="afb"/>
          <w:rtl/>
        </w:rPr>
      </w:pPr>
      <w:bookmarkStart w:id="5379" w:name="_Ref56617954"/>
      <w:r>
        <w:rPr>
          <w:rFonts w:hint="cs"/>
          <w:rtl/>
        </w:rPr>
        <w:t xml:space="preserve">אלא ביארו </w:t>
      </w:r>
      <w:r w:rsidRPr="00640004">
        <w:rPr>
          <w:rStyle w:val="af9"/>
          <w:rFonts w:hint="cs"/>
          <w:rtl/>
        </w:rPr>
        <w:t>הקצוה"ח</w:t>
      </w:r>
      <w:r>
        <w:rPr>
          <w:rFonts w:hint="cs"/>
          <w:rtl/>
        </w:rPr>
        <w:t xml:space="preserve"> </w:t>
      </w:r>
      <w:r w:rsidRPr="00DB3A04">
        <w:rPr>
          <w:rStyle w:val="af7"/>
          <w:rFonts w:eastAsia="Guttman Hodes" w:hint="cs"/>
          <w:rtl/>
        </w:rPr>
        <w:t xml:space="preserve">(סי' ק"מ </w:t>
      </w:r>
      <w:r>
        <w:rPr>
          <w:rStyle w:val="af7"/>
          <w:rFonts w:eastAsia="Guttman Hodes" w:hint="cs"/>
          <w:rtl/>
        </w:rPr>
        <w:t>סוס"ק א'</w:t>
      </w:r>
      <w:r w:rsidRPr="00DB3A04">
        <w:rPr>
          <w:rStyle w:val="af7"/>
          <w:rFonts w:eastAsia="Guttman Hodes" w:hint="cs"/>
          <w:rtl/>
        </w:rPr>
        <w:t>)</w:t>
      </w:r>
      <w:r>
        <w:rPr>
          <w:rFonts w:hint="cs"/>
          <w:rtl/>
        </w:rPr>
        <w:t xml:space="preserve"> </w:t>
      </w:r>
      <w:r w:rsidRPr="00376614">
        <w:rPr>
          <w:rStyle w:val="af9"/>
          <w:rFonts w:hint="cs"/>
          <w:rtl/>
        </w:rPr>
        <w:t>והשער משפט</w:t>
      </w:r>
      <w:r>
        <w:rPr>
          <w:rFonts w:hint="cs"/>
          <w:rtl/>
        </w:rPr>
        <w:t xml:space="preserve"> </w:t>
      </w:r>
      <w:r w:rsidRPr="00376614">
        <w:rPr>
          <w:rStyle w:val="af7"/>
          <w:rFonts w:eastAsia="Guttman Hodes" w:hint="cs"/>
          <w:rtl/>
        </w:rPr>
        <w:t>(סי' ק"מ סק"ג ד"ה אמנם)</w:t>
      </w:r>
      <w:r>
        <w:rPr>
          <w:rStyle w:val="af7"/>
          <w:rFonts w:eastAsia="Guttman Hodes" w:hint="cs"/>
          <w:rtl/>
        </w:rPr>
        <w:t xml:space="preserve"> </w:t>
      </w:r>
      <w:r>
        <w:rPr>
          <w:rFonts w:hint="cs"/>
          <w:rtl/>
        </w:rPr>
        <w:t xml:space="preserve">דס"ל </w:t>
      </w:r>
      <w:r>
        <w:rPr>
          <w:rStyle w:val="af9"/>
          <w:rFonts w:hint="cs"/>
          <w:rtl/>
        </w:rPr>
        <w:t>להתוס'</w:t>
      </w:r>
      <w:r>
        <w:rPr>
          <w:rFonts w:hint="cs"/>
          <w:rtl/>
        </w:rPr>
        <w:t xml:space="preserve"> דטעמא דחזקת ג"ש, הוא דתיקנו חכמים שלא יפסיד המחזיק, מחמת שאינו נזהר בשטרו יותר מג"ש, וא"כ הקשו </w:t>
      </w:r>
      <w:r w:rsidRPr="00376614">
        <w:rPr>
          <w:rStyle w:val="af9"/>
          <w:rFonts w:hint="cs"/>
          <w:rtl/>
        </w:rPr>
        <w:t xml:space="preserve">התוס' </w:t>
      </w:r>
      <w:r w:rsidRPr="00A13C8A">
        <w:rPr>
          <w:rStyle w:val="af9"/>
          <w:rFonts w:hint="cs"/>
          <w:rtl/>
        </w:rPr>
        <w:t>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Ref56359518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Pr>
          <w:rStyle w:val="af7"/>
          <w:rFonts w:eastAsia="Guttman Hodes"/>
          <w:rtl/>
        </w:rPr>
        <w:fldChar w:fldCharType="end"/>
      </w:r>
      <w:r>
        <w:rPr>
          <w:rFonts w:hint="cs"/>
          <w:rtl/>
        </w:rPr>
        <w:t xml:space="preserve"> דאי המערער יכול לטעון לפירות הורדתיו, מה הועילו חכמים בתקנתם, דאף שתיקנו חזקת ג"ש, עדיין הלוקח יכול להפסיד בטענת לפירות הורדתיך, וממילא הוא יצטרך לשמור את שטרו לעולם, ומה הועיל בזה שתיקנו חזקת ג"ש,</w:t>
      </w:r>
      <w:r w:rsidRPr="00525C2A">
        <w:rPr>
          <w:rFonts w:hint="cs"/>
          <w:rtl/>
        </w:rPr>
        <w:t xml:space="preserve"> וכתב</w:t>
      </w:r>
      <w:r>
        <w:rPr>
          <w:rFonts w:hint="cs"/>
          <w:rtl/>
        </w:rPr>
        <w:t xml:space="preserve"> </w:t>
      </w:r>
      <w:r w:rsidRPr="00640004">
        <w:rPr>
          <w:rStyle w:val="af9"/>
          <w:rFonts w:hint="cs"/>
          <w:rtl/>
        </w:rPr>
        <w:t>הקצוה"ח</w:t>
      </w:r>
      <w:r>
        <w:rPr>
          <w:rFonts w:hint="cs"/>
          <w:rtl/>
        </w:rPr>
        <w:t xml:space="preserve"> דלדעת </w:t>
      </w:r>
      <w:r w:rsidRPr="00C43F66">
        <w:rPr>
          <w:rStyle w:val="af9"/>
          <w:rFonts w:hint="cs"/>
          <w:rtl/>
        </w:rPr>
        <w:t xml:space="preserve">הרמב"ן </w:t>
      </w:r>
      <w:r w:rsidRPr="00741315">
        <w:rPr>
          <w:rStyle w:val="af9"/>
          <w:rtl/>
        </w:rPr>
        <w:t>לקמן</w:t>
      </w:r>
      <w:r>
        <w:rPr>
          <w:rtl/>
        </w:rPr>
        <w:t xml:space="preserve"> </w:t>
      </w:r>
      <w:r w:rsidRPr="00741315">
        <w:rPr>
          <w:rStyle w:val="af7"/>
          <w:rFonts w:eastAsia="Guttman Hodes"/>
          <w:rtl/>
        </w:rPr>
        <w:t>(מב. ד"ה הא, הובא בסימן ה' אות ז')</w:t>
      </w:r>
      <w:r>
        <w:rPr>
          <w:rtl/>
        </w:rPr>
        <w:t xml:space="preserve"> </w:t>
      </w:r>
      <w:r>
        <w:rPr>
          <w:rFonts w:hint="cs"/>
          <w:rtl/>
        </w:rPr>
        <w:t xml:space="preserve">לא קשה כלל קושית </w:t>
      </w:r>
      <w:r w:rsidRPr="00C43F66">
        <w:rPr>
          <w:rStyle w:val="af9"/>
          <w:rFonts w:hint="cs"/>
          <w:rtl/>
        </w:rPr>
        <w:t>התוס'</w:t>
      </w:r>
      <w:r>
        <w:rPr>
          <w:rFonts w:hint="cs"/>
          <w:rtl/>
        </w:rPr>
        <w:t xml:space="preserve">, </w:t>
      </w:r>
      <w:r w:rsidRPr="00CE5BB5">
        <w:rPr>
          <w:rStyle w:val="afb"/>
          <w:rFonts w:hint="cs"/>
          <w:rtl/>
        </w:rPr>
        <w:t>[</w:t>
      </w:r>
      <w:r>
        <w:rPr>
          <w:rStyle w:val="afb"/>
          <w:rFonts w:hint="cs"/>
          <w:rtl/>
        </w:rPr>
        <w:t>דהחזקה לא מהני מחמת השטר, אלא כיון שלא מיחה בו ואף אם צריך לשמור את שטרו מחמת טענת לפירות הורדתיך, מ"מ יש לו חזקה כשטוען שגזלה ממנו, דהא היה לו למחות],</w:t>
      </w:r>
      <w:r w:rsidRPr="00CE5BB5">
        <w:rPr>
          <w:rStyle w:val="afb"/>
          <w:rFonts w:hint="cs"/>
          <w:rtl/>
        </w:rPr>
        <w:t xml:space="preserve"> </w:t>
      </w:r>
      <w:r>
        <w:rPr>
          <w:rFonts w:hint="cs"/>
          <w:rtl/>
        </w:rPr>
        <w:t xml:space="preserve">וע"ע במה שהוסיף </w:t>
      </w:r>
      <w:r w:rsidRPr="00376614">
        <w:rPr>
          <w:rStyle w:val="af9"/>
          <w:rFonts w:hint="cs"/>
          <w:rtl/>
        </w:rPr>
        <w:t xml:space="preserve">השער משפט </w:t>
      </w:r>
      <w:r w:rsidRPr="00376614">
        <w:rPr>
          <w:rStyle w:val="af7"/>
          <w:rFonts w:eastAsia="Guttman Hodes" w:hint="cs"/>
          <w:rtl/>
        </w:rPr>
        <w:t xml:space="preserve">(סי' ק"מ סק"ג ד"ה </w:t>
      </w:r>
      <w:r>
        <w:rPr>
          <w:rStyle w:val="af7"/>
          <w:rFonts w:eastAsia="Guttman Hodes" w:hint="cs"/>
          <w:rtl/>
        </w:rPr>
        <w:t>ולכאורה</w:t>
      </w:r>
      <w:r w:rsidRPr="00376614">
        <w:rPr>
          <w:rStyle w:val="af7"/>
          <w:rFonts w:eastAsia="Guttman Hodes" w:hint="cs"/>
          <w:rtl/>
        </w:rPr>
        <w:t>)</w:t>
      </w:r>
      <w:r>
        <w:rPr>
          <w:rStyle w:val="af7"/>
          <w:rFonts w:eastAsia="Guttman Hodes" w:hint="cs"/>
          <w:rtl/>
        </w:rPr>
        <w:t xml:space="preserve"> </w:t>
      </w:r>
      <w:r>
        <w:rPr>
          <w:rFonts w:hint="cs"/>
          <w:rtl/>
        </w:rPr>
        <w:t xml:space="preserve">לבאר בזה, אך כתב </w:t>
      </w:r>
      <w:r w:rsidRPr="001E2846">
        <w:rPr>
          <w:rStyle w:val="af9"/>
          <w:rFonts w:hint="cs"/>
          <w:rtl/>
        </w:rPr>
        <w:t>בחי' רבי ראובן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Ref56626994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Pr>
          <w:rStyle w:val="af7"/>
          <w:rFonts w:eastAsia="Guttman Hodes"/>
          <w:rtl/>
        </w:rPr>
        <w:fldChar w:fldCharType="end"/>
      </w:r>
      <w:r>
        <w:rPr>
          <w:rStyle w:val="af7"/>
          <w:rFonts w:eastAsia="Guttman Hodes" w:hint="cs"/>
          <w:rtl/>
        </w:rPr>
        <w:t xml:space="preserve"> </w:t>
      </w:r>
      <w:r>
        <w:rPr>
          <w:rFonts w:hint="cs"/>
          <w:rtl/>
        </w:rPr>
        <w:t xml:space="preserve">דביאור </w:t>
      </w:r>
      <w:r w:rsidRPr="001E2846">
        <w:rPr>
          <w:rStyle w:val="af9"/>
          <w:rFonts w:hint="cs"/>
          <w:rtl/>
        </w:rPr>
        <w:t>הקצוה"ח</w:t>
      </w:r>
      <w:r>
        <w:rPr>
          <w:rFonts w:hint="cs"/>
          <w:rtl/>
        </w:rPr>
        <w:t xml:space="preserve"> </w:t>
      </w:r>
      <w:r w:rsidRPr="001E2846">
        <w:rPr>
          <w:rStyle w:val="af9"/>
          <w:rFonts w:hint="cs"/>
          <w:rtl/>
        </w:rPr>
        <w:t>בתוס' לקמן</w:t>
      </w:r>
      <w:r>
        <w:rPr>
          <w:rFonts w:hint="cs"/>
          <w:rtl/>
        </w:rPr>
        <w:t xml:space="preserve"> הוא דוחק</w:t>
      </w:r>
      <w:r>
        <w:rPr>
          <w:rStyle w:val="af1"/>
          <w:rtl/>
        </w:rPr>
        <w:footnoteReference w:id="28"/>
      </w:r>
      <w:r>
        <w:rPr>
          <w:rFonts w:hint="cs"/>
          <w:rtl/>
        </w:rPr>
        <w:t>.</w:t>
      </w:r>
      <w:bookmarkEnd w:id="5379"/>
    </w:p>
    <w:p w:rsidR="00E874E8" w:rsidRPr="004D0007" w:rsidRDefault="00E874E8" w:rsidP="00E874E8">
      <w:pPr>
        <w:pStyle w:val="a3"/>
        <w:rPr>
          <w:rtl/>
        </w:rPr>
      </w:pPr>
      <w:bookmarkStart w:id="5380" w:name="_Toc56609811"/>
      <w:bookmarkStart w:id="5381" w:name="_Toc56626644"/>
      <w:bookmarkStart w:id="5382" w:name="_Toc56630112"/>
      <w:bookmarkStart w:id="5383" w:name="_Toc56636969"/>
      <w:bookmarkStart w:id="5384" w:name="_Toc56638103"/>
      <w:bookmarkStart w:id="5385" w:name="_Toc56640947"/>
      <w:r w:rsidRPr="006D15C9">
        <w:rPr>
          <w:rtl/>
        </w:rPr>
        <w:t>קושית הקצוה"ח דאמאי בדלי צנא דפירי נאמן דלפירות הורדתיו ובשתיקה בג"ש אינו נאמן</w:t>
      </w:r>
      <w:bookmarkEnd w:id="5380"/>
      <w:bookmarkEnd w:id="5381"/>
      <w:bookmarkEnd w:id="5382"/>
      <w:bookmarkEnd w:id="5383"/>
      <w:bookmarkEnd w:id="5384"/>
      <w:bookmarkEnd w:id="5385"/>
    </w:p>
    <w:p w:rsidR="00E874E8" w:rsidRPr="004D0007" w:rsidRDefault="00E874E8" w:rsidP="007E4E81">
      <w:pPr>
        <w:pStyle w:val="a0"/>
        <w:rPr>
          <w:rtl/>
        </w:rPr>
      </w:pPr>
      <w:r w:rsidRPr="004D0007">
        <w:rPr>
          <w:rFonts w:hint="cs"/>
          <w:rtl/>
        </w:rPr>
        <w:t xml:space="preserve">ועי' במה שהקשה </w:t>
      </w:r>
      <w:r w:rsidRPr="004D0007">
        <w:rPr>
          <w:rStyle w:val="af9"/>
          <w:rFonts w:hint="cs"/>
          <w:rtl/>
        </w:rPr>
        <w:t>הקצוה"ח</w:t>
      </w:r>
      <w:r w:rsidRPr="004D0007">
        <w:rPr>
          <w:rFonts w:hint="cs"/>
          <w:rtl/>
        </w:rPr>
        <w:t xml:space="preserve"> </w:t>
      </w:r>
      <w:r w:rsidRPr="004D0007">
        <w:rPr>
          <w:rStyle w:val="af7"/>
          <w:rFonts w:eastAsia="Guttman Hodes" w:hint="cs"/>
          <w:rtl/>
        </w:rPr>
        <w:t>(סי' ק"מ סוס"ק א')</w:t>
      </w:r>
      <w:r w:rsidRPr="004D0007">
        <w:rPr>
          <w:rFonts w:hint="cs"/>
          <w:rtl/>
        </w:rPr>
        <w:t xml:space="preserve"> על </w:t>
      </w:r>
      <w:r w:rsidRPr="00C43F66">
        <w:rPr>
          <w:rStyle w:val="af9"/>
          <w:rFonts w:hint="cs"/>
          <w:rtl/>
        </w:rPr>
        <w:t xml:space="preserve">הרמב"ן </w:t>
      </w:r>
      <w:r w:rsidRPr="00741315">
        <w:rPr>
          <w:rStyle w:val="af9"/>
          <w:rtl/>
        </w:rPr>
        <w:t>לקמן</w:t>
      </w:r>
      <w:r>
        <w:rPr>
          <w:rtl/>
        </w:rPr>
        <w:t xml:space="preserve"> </w:t>
      </w:r>
      <w:r w:rsidRPr="00741315">
        <w:rPr>
          <w:rStyle w:val="af7"/>
          <w:rFonts w:eastAsia="Guttman Hodes"/>
          <w:rtl/>
        </w:rPr>
        <w:t>(מב. ד"ה הא, הובא בסימן ה' אות ז')</w:t>
      </w:r>
      <w:r>
        <w:rPr>
          <w:rtl/>
        </w:rPr>
        <w:t xml:space="preserve"> </w:t>
      </w:r>
      <w:r w:rsidRPr="004D0007">
        <w:rPr>
          <w:rFonts w:hint="cs"/>
          <w:rtl/>
        </w:rPr>
        <w:t xml:space="preserve">דאי טעם החזקה הוא דכל ששתק המערער מסתמא מכר למחזיק, הא איתא בגמ' לקמן </w:t>
      </w:r>
      <w:r w:rsidRPr="004D0007">
        <w:rPr>
          <w:rStyle w:val="af7"/>
          <w:rFonts w:eastAsia="Guttman Hodes" w:hint="cs"/>
          <w:rtl/>
        </w:rPr>
        <w:t>(לה:)</w:t>
      </w:r>
      <w:r w:rsidRPr="004D0007">
        <w:rPr>
          <w:rFonts w:hint="cs"/>
          <w:rtl/>
        </w:rPr>
        <w:t xml:space="preserve"> דבדלי ליה צנא דפירי, דהוי חזקה לאלתר, אם טען לפירות הורדתיו נאמן, וא"כ היאך אפש"ל דבהחזיק ג"ש וטען לפירות הורדתיו אינו נאמן, דהיה לו למחות בתוך ג"ש ולומר שהורידו לפירות, והרי לדברי </w:t>
      </w:r>
      <w:r w:rsidRPr="00085665">
        <w:rPr>
          <w:rStyle w:val="af9"/>
          <w:rFonts w:hint="cs"/>
          <w:rtl/>
        </w:rPr>
        <w:t>הרמב"ן</w:t>
      </w:r>
      <w:r w:rsidRPr="004D0007">
        <w:rPr>
          <w:rFonts w:hint="cs"/>
          <w:rtl/>
        </w:rPr>
        <w:t xml:space="preserve"> דטעם חזקת ג"ש הוא מחמת ששתק ולא מחה, יש רגלים לדבר שמכר לו, א"כ הראיה בחזקת ג"ש אינה ראיה גדולה יותר מדלי ליה צנא דפירי, דעשה מעשה, ואי בעשה מעשה נאמן בטענת לפירות הורדתיו, כ"ש שיהיה נאמן בראיה ששתק בחזקת ג"ש, ועי' במה שתירצו </w:t>
      </w:r>
      <w:r w:rsidRPr="006D15C9">
        <w:rPr>
          <w:rStyle w:val="af9"/>
          <w:rFonts w:hint="cs"/>
          <w:rtl/>
        </w:rPr>
        <w:t>האחרונים</w:t>
      </w:r>
      <w:r w:rsidRPr="004D0007">
        <w:rPr>
          <w:rFonts w:hint="cs"/>
          <w:rtl/>
        </w:rPr>
        <w:t xml:space="preserve"> </w:t>
      </w:r>
      <w:r w:rsidRPr="006D15C9">
        <w:rPr>
          <w:rStyle w:val="af7"/>
          <w:rFonts w:eastAsia="Guttman Hodes" w:hint="cs"/>
          <w:rtl/>
        </w:rPr>
        <w:t>(הובא בסימן ה' אות ל"א)</w:t>
      </w:r>
      <w:r w:rsidRPr="004D0007">
        <w:rPr>
          <w:rFonts w:hint="cs"/>
          <w:rtl/>
        </w:rPr>
        <w:t xml:space="preserve"> על קושית </w:t>
      </w:r>
      <w:r w:rsidRPr="006D15C9">
        <w:rPr>
          <w:rStyle w:val="af9"/>
          <w:rFonts w:hint="cs"/>
          <w:rtl/>
        </w:rPr>
        <w:t>הקצוה</w:t>
      </w:r>
      <w:r>
        <w:rPr>
          <w:rStyle w:val="af9"/>
          <w:rFonts w:hint="cs"/>
          <w:rtl/>
        </w:rPr>
        <w:t>"</w:t>
      </w:r>
      <w:r w:rsidRPr="006D15C9">
        <w:rPr>
          <w:rStyle w:val="af9"/>
          <w:rFonts w:hint="cs"/>
          <w:rtl/>
        </w:rPr>
        <w:t>ח</w:t>
      </w:r>
      <w:r w:rsidRPr="004D0007">
        <w:rPr>
          <w:rFonts w:hint="cs"/>
          <w:rtl/>
        </w:rPr>
        <w:t>.</w:t>
      </w:r>
    </w:p>
    <w:p w:rsidR="00E874E8" w:rsidRDefault="00E874E8" w:rsidP="00E874E8">
      <w:pPr>
        <w:pStyle w:val="a3"/>
        <w:rPr>
          <w:rtl/>
        </w:rPr>
      </w:pPr>
      <w:bookmarkStart w:id="5386" w:name="_Toc56609812"/>
      <w:bookmarkStart w:id="5387" w:name="_Toc56626645"/>
      <w:bookmarkStart w:id="5388" w:name="_Toc56630113"/>
      <w:bookmarkStart w:id="5389" w:name="_Toc56636970"/>
      <w:bookmarkStart w:id="5390" w:name="_Toc56638104"/>
      <w:bookmarkStart w:id="5391" w:name="_Toc56640948"/>
      <w:r>
        <w:rPr>
          <w:rFonts w:hint="cs"/>
          <w:rtl/>
        </w:rPr>
        <w:t>דברי הקצוה"ח דהחזקה מתקנ"ח ולא נאמן בטענת לפירות הורדתיו אבל בצנא דפירי אין תקנ"ח</w:t>
      </w:r>
      <w:bookmarkEnd w:id="5386"/>
      <w:bookmarkEnd w:id="5387"/>
      <w:bookmarkEnd w:id="5388"/>
      <w:bookmarkEnd w:id="5389"/>
      <w:bookmarkEnd w:id="5390"/>
      <w:bookmarkEnd w:id="5391"/>
    </w:p>
    <w:p w:rsidR="00E874E8" w:rsidRDefault="00E874E8" w:rsidP="007E4E81">
      <w:pPr>
        <w:pStyle w:val="a0"/>
        <w:rPr>
          <w:rtl/>
        </w:rPr>
      </w:pPr>
      <w:r>
        <w:rPr>
          <w:rFonts w:hint="cs"/>
          <w:rtl/>
        </w:rPr>
        <w:t xml:space="preserve">אלא כתב </w:t>
      </w:r>
      <w:r w:rsidRPr="000D3E37">
        <w:rPr>
          <w:rStyle w:val="af9"/>
          <w:rFonts w:hint="cs"/>
          <w:rtl/>
        </w:rPr>
        <w:t>הקצוה"ח</w:t>
      </w:r>
      <w:r>
        <w:rPr>
          <w:rFonts w:hint="cs"/>
          <w:rtl/>
        </w:rPr>
        <w:t xml:space="preserve"> דמוכח מהא </w:t>
      </w:r>
      <w:r w:rsidRPr="004D0007">
        <w:rPr>
          <w:rFonts w:hint="cs"/>
          <w:rtl/>
        </w:rPr>
        <w:t xml:space="preserve">דבדלי ליה צנא דפירי, נאמן לפירות הורדתיו, </w:t>
      </w:r>
      <w:r>
        <w:rPr>
          <w:rFonts w:hint="cs"/>
          <w:rtl/>
        </w:rPr>
        <w:t xml:space="preserve">ואילו </w:t>
      </w:r>
      <w:r w:rsidRPr="004D0007">
        <w:rPr>
          <w:rFonts w:hint="cs"/>
          <w:rtl/>
        </w:rPr>
        <w:t xml:space="preserve">בהחזיק ג"ש אינו נאמן </w:t>
      </w:r>
      <w:r>
        <w:rPr>
          <w:rFonts w:hint="cs"/>
          <w:rtl/>
        </w:rPr>
        <w:t>ל</w:t>
      </w:r>
      <w:r w:rsidRPr="004D0007">
        <w:rPr>
          <w:rFonts w:hint="cs"/>
          <w:rtl/>
        </w:rPr>
        <w:t>טע</w:t>
      </w:r>
      <w:r>
        <w:rPr>
          <w:rFonts w:hint="cs"/>
          <w:rtl/>
        </w:rPr>
        <w:t>ו</w:t>
      </w:r>
      <w:r w:rsidRPr="004D0007">
        <w:rPr>
          <w:rFonts w:hint="cs"/>
          <w:rtl/>
        </w:rPr>
        <w:t>ן לפירות הורדתיו,</w:t>
      </w:r>
      <w:r>
        <w:rPr>
          <w:rFonts w:hint="cs"/>
          <w:rtl/>
        </w:rPr>
        <w:t xml:space="preserve"> הוא כיון דטעם חזקת ג"ש הוא מתקנת חכמים, דכיון שראו חכמים שאין אדם נזהר בשטרו יותר מג"ש, דסובר המחזיק שאחר שלא מחה המערער, לא ימחו בו יותר, ולכן תיקנו שהמערער לא יהיה נאמן אם לא ימחה בתוך הג"ש, וא"כ כל שלא מחה המערער הוא הפסיד לעצמו, וכדברי </w:t>
      </w:r>
      <w:r w:rsidRPr="000D3E37">
        <w:rPr>
          <w:rStyle w:val="af9"/>
          <w:rFonts w:hint="cs"/>
          <w:rtl/>
        </w:rPr>
        <w:t>הרמב"ם</w:t>
      </w:r>
      <w:r>
        <w:rPr>
          <w:rFonts w:hint="cs"/>
          <w:rtl/>
        </w:rPr>
        <w:t xml:space="preserve"> </w:t>
      </w:r>
      <w:r w:rsidRPr="00976BC6">
        <w:rPr>
          <w:rStyle w:val="af7"/>
          <w:rFonts w:eastAsia="Guttman Hodes" w:hint="cs"/>
          <w:rtl/>
        </w:rPr>
        <w:t xml:space="preserve">(עי' אות </w:t>
      </w:r>
      <w:r w:rsidRPr="00976BC6">
        <w:rPr>
          <w:rStyle w:val="af7"/>
          <w:rFonts w:eastAsia="Guttman Hodes"/>
          <w:rtl/>
        </w:rPr>
        <w:fldChar w:fldCharType="begin"/>
      </w:r>
      <w:r w:rsidRPr="00976BC6">
        <w:rPr>
          <w:rStyle w:val="af7"/>
          <w:rFonts w:eastAsia="Guttman Hodes"/>
          <w:rtl/>
        </w:rPr>
        <w:instrText xml:space="preserve"> </w:instrText>
      </w:r>
      <w:r w:rsidRPr="00976BC6">
        <w:rPr>
          <w:rStyle w:val="af7"/>
          <w:rFonts w:eastAsia="Guttman Hodes" w:hint="cs"/>
        </w:rPr>
        <w:instrText>REF</w:instrText>
      </w:r>
      <w:r w:rsidRPr="00976BC6">
        <w:rPr>
          <w:rStyle w:val="af7"/>
          <w:rFonts w:eastAsia="Guttman Hodes" w:hint="cs"/>
          <w:rtl/>
        </w:rPr>
        <w:instrText xml:space="preserve"> _</w:instrText>
      </w:r>
      <w:r w:rsidRPr="00976BC6">
        <w:rPr>
          <w:rStyle w:val="af7"/>
          <w:rFonts w:eastAsia="Guttman Hodes" w:hint="cs"/>
        </w:rPr>
        <w:instrText>Ref56609744 \r \h</w:instrText>
      </w:r>
      <w:r w:rsidRPr="00976BC6">
        <w:rPr>
          <w:rStyle w:val="af7"/>
          <w:rFonts w:eastAsia="Guttman Hodes"/>
          <w:rtl/>
        </w:rPr>
        <w:instrText xml:space="preserve"> </w:instrText>
      </w:r>
      <w:r w:rsidRPr="00976BC6">
        <w:rPr>
          <w:rStyle w:val="af7"/>
          <w:rFonts w:eastAsia="Guttman Hodes"/>
          <w:rtl/>
        </w:rPr>
      </w:r>
      <w:r w:rsidRPr="00976BC6">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976BC6">
        <w:rPr>
          <w:rStyle w:val="af7"/>
          <w:rFonts w:eastAsia="Guttman Hodes"/>
          <w:rtl/>
        </w:rPr>
        <w:fldChar w:fldCharType="end"/>
      </w:r>
      <w:r>
        <w:rPr>
          <w:rFonts w:hint="cs"/>
          <w:rtl/>
        </w:rPr>
        <w:t>, ולכן אינו נאמן אף בטענת לפירות הורדתיו, דהיה לו למחות בתוך ג"ש, מחמת תקנת החכמים.</w:t>
      </w:r>
    </w:p>
    <w:p w:rsidR="00E874E8" w:rsidRPr="000D3E37" w:rsidRDefault="00E874E8" w:rsidP="00E874E8">
      <w:pPr>
        <w:pStyle w:val="1"/>
        <w:rPr>
          <w:rtl/>
        </w:rPr>
      </w:pPr>
      <w:bookmarkStart w:id="5392" w:name="_Toc55718281"/>
      <w:bookmarkStart w:id="5393" w:name="_Toc55739987"/>
      <w:bookmarkStart w:id="5394" w:name="_Toc56372889"/>
      <w:bookmarkStart w:id="5395" w:name="_Toc56458229"/>
      <w:bookmarkStart w:id="5396" w:name="_Toc56544389"/>
      <w:bookmarkStart w:id="5397" w:name="_Toc56609813"/>
      <w:bookmarkStart w:id="5398" w:name="_Toc56626646"/>
      <w:bookmarkStart w:id="5399" w:name="_Toc56630114"/>
      <w:bookmarkStart w:id="5400" w:name="_Toc56636971"/>
      <w:bookmarkStart w:id="5401" w:name="_Toc56638105"/>
      <w:bookmarkStart w:id="5402" w:name="_Toc56640949"/>
      <w:r>
        <w:rPr>
          <w:rFonts w:hint="cs"/>
          <w:rtl/>
        </w:rPr>
        <w:t>קושית השע"מ בסתירת הנימוק"י</w:t>
      </w:r>
      <w:bookmarkEnd w:id="5392"/>
      <w:bookmarkEnd w:id="5393"/>
      <w:bookmarkEnd w:id="5394"/>
      <w:bookmarkEnd w:id="5395"/>
      <w:bookmarkEnd w:id="5396"/>
      <w:bookmarkEnd w:id="5397"/>
      <w:bookmarkEnd w:id="5398"/>
      <w:bookmarkEnd w:id="5399"/>
      <w:r>
        <w:rPr>
          <w:rFonts w:hint="cs"/>
          <w:rtl/>
        </w:rPr>
        <w:t xml:space="preserve"> בטעם שאינו נזהר בשטר</w:t>
      </w:r>
      <w:bookmarkEnd w:id="5400"/>
      <w:bookmarkEnd w:id="5401"/>
      <w:bookmarkEnd w:id="5402"/>
    </w:p>
    <w:p w:rsidR="00E874E8" w:rsidRPr="00177239" w:rsidRDefault="00E874E8" w:rsidP="00E874E8">
      <w:pPr>
        <w:pStyle w:val="a3"/>
        <w:rPr>
          <w:rtl/>
        </w:rPr>
      </w:pPr>
      <w:bookmarkStart w:id="5403" w:name="_Toc56626647"/>
      <w:bookmarkStart w:id="5404" w:name="_Toc56630115"/>
      <w:bookmarkStart w:id="5405" w:name="_Toc56636972"/>
      <w:bookmarkStart w:id="5406" w:name="_Toc56638106"/>
      <w:bookmarkStart w:id="5407" w:name="_Toc56640950"/>
      <w:bookmarkStart w:id="5408" w:name="_Toc55569173"/>
      <w:r>
        <w:rPr>
          <w:rFonts w:hint="cs"/>
          <w:rtl/>
        </w:rPr>
        <w:t>קושית השע"מ דבנימוק"י לקמן משמע דלא נזהר בשטר מחמת שיש לו חזקה ודלא כגמ' בסוגיין</w:t>
      </w:r>
      <w:bookmarkEnd w:id="5403"/>
      <w:bookmarkEnd w:id="5404"/>
      <w:bookmarkEnd w:id="5405"/>
      <w:bookmarkEnd w:id="5406"/>
      <w:bookmarkEnd w:id="5407"/>
    </w:p>
    <w:p w:rsidR="00E874E8" w:rsidRDefault="00E874E8" w:rsidP="007E4E81">
      <w:pPr>
        <w:pStyle w:val="a0"/>
        <w:rPr>
          <w:rtl/>
        </w:rPr>
      </w:pPr>
      <w:bookmarkStart w:id="5409" w:name="_Ref56610142"/>
      <w:r>
        <w:rPr>
          <w:rFonts w:hint="cs"/>
          <w:rtl/>
        </w:rPr>
        <w:t xml:space="preserve">אך הקשה </w:t>
      </w:r>
      <w:r w:rsidRPr="000D3E37">
        <w:rPr>
          <w:rStyle w:val="af9"/>
          <w:rFonts w:hint="cs"/>
          <w:rtl/>
        </w:rPr>
        <w:t>השער משפט</w:t>
      </w:r>
      <w:r>
        <w:rPr>
          <w:rFonts w:hint="cs"/>
          <w:rtl/>
        </w:rPr>
        <w:t xml:space="preserve"> </w:t>
      </w:r>
      <w:r w:rsidRPr="000D3E37">
        <w:rPr>
          <w:rStyle w:val="af7"/>
          <w:rFonts w:eastAsia="Guttman Hodes" w:hint="cs"/>
          <w:rtl/>
        </w:rPr>
        <w:t>(סי' קמ"ה סק"א ד"ה אמנם)</w:t>
      </w:r>
      <w:r>
        <w:rPr>
          <w:rFonts w:hint="cs"/>
          <w:rtl/>
        </w:rPr>
        <w:t xml:space="preserve"> דמדברי </w:t>
      </w:r>
      <w:r w:rsidRPr="000D3E37">
        <w:rPr>
          <w:rStyle w:val="af9"/>
          <w:rFonts w:hint="cs"/>
          <w:rtl/>
        </w:rPr>
        <w:t>הנימוק"י</w:t>
      </w:r>
      <w:r>
        <w:rPr>
          <w:rStyle w:val="af9"/>
          <w:rFonts w:hint="cs"/>
          <w:rtl/>
        </w:rPr>
        <w:t xml:space="preserve"> לקמן</w:t>
      </w:r>
      <w:r>
        <w:rPr>
          <w:rFonts w:hint="cs"/>
          <w:rtl/>
        </w:rPr>
        <w:t xml:space="preserve"> </w:t>
      </w:r>
      <w:r w:rsidRPr="00C45AF2">
        <w:rPr>
          <w:rStyle w:val="af7"/>
          <w:rFonts w:eastAsia="Guttman Hodes" w:hint="cs"/>
          <w:rtl/>
        </w:rPr>
        <w:t xml:space="preserve">(עי' אות </w:t>
      </w:r>
      <w:r w:rsidRPr="00C45AF2">
        <w:rPr>
          <w:rStyle w:val="af7"/>
          <w:rFonts w:eastAsia="Guttman Hodes"/>
          <w:rtl/>
        </w:rPr>
        <w:fldChar w:fldCharType="begin"/>
      </w:r>
      <w:r w:rsidRPr="00C45AF2">
        <w:rPr>
          <w:rStyle w:val="af7"/>
          <w:rFonts w:eastAsia="Guttman Hodes"/>
          <w:rtl/>
        </w:rPr>
        <w:instrText xml:space="preserve"> </w:instrText>
      </w:r>
      <w:r w:rsidRPr="00C45AF2">
        <w:rPr>
          <w:rStyle w:val="af7"/>
          <w:rFonts w:eastAsia="Guttman Hodes" w:hint="cs"/>
        </w:rPr>
        <w:instrText>REF</w:instrText>
      </w:r>
      <w:r w:rsidRPr="00C45AF2">
        <w:rPr>
          <w:rStyle w:val="af7"/>
          <w:rFonts w:eastAsia="Guttman Hodes" w:hint="cs"/>
          <w:rtl/>
        </w:rPr>
        <w:instrText xml:space="preserve"> _</w:instrText>
      </w:r>
      <w:r w:rsidRPr="00C45AF2">
        <w:rPr>
          <w:rStyle w:val="af7"/>
          <w:rFonts w:eastAsia="Guttman Hodes" w:hint="cs"/>
        </w:rPr>
        <w:instrText>Ref56610193 \r \h</w:instrText>
      </w:r>
      <w:r w:rsidRPr="00C45AF2">
        <w:rPr>
          <w:rStyle w:val="af7"/>
          <w:rFonts w:eastAsia="Guttman Hodes"/>
          <w:rtl/>
        </w:rPr>
        <w:instrText xml:space="preserve"> </w:instrText>
      </w:r>
      <w:r w:rsidRPr="00C45AF2">
        <w:rPr>
          <w:rStyle w:val="af7"/>
          <w:rFonts w:eastAsia="Guttman Hodes"/>
          <w:rtl/>
        </w:rPr>
      </w:r>
      <w:r w:rsidRPr="00C45AF2">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C45AF2">
        <w:rPr>
          <w:rStyle w:val="af7"/>
          <w:rFonts w:eastAsia="Guttman Hodes"/>
          <w:rtl/>
        </w:rPr>
        <w:fldChar w:fldCharType="end"/>
      </w:r>
      <w:r>
        <w:rPr>
          <w:rFonts w:hint="cs"/>
          <w:rtl/>
        </w:rPr>
        <w:t xml:space="preserve"> משמע דהא דאינו נזהר בשטרו לאחר ג"ש, הוא כיון שיש לו עידי חזקה, והא בגמ' בסוגיין מבואר להיפך דטעם החזקה </w:t>
      </w:r>
      <w:r>
        <w:rPr>
          <w:rFonts w:hint="cs"/>
          <w:rtl/>
        </w:rPr>
        <w:lastRenderedPageBreak/>
        <w:t xml:space="preserve">הוא כיון שהדרך היא שאינו נזהר בשטרו, וכן ביאר </w:t>
      </w:r>
      <w:r w:rsidRPr="000D3E37">
        <w:rPr>
          <w:rStyle w:val="af9"/>
          <w:rFonts w:hint="cs"/>
          <w:rtl/>
        </w:rPr>
        <w:t>הנימוק"י בסוגיין</w:t>
      </w:r>
      <w:r>
        <w:rPr>
          <w:rFonts w:hint="cs"/>
          <w:rtl/>
        </w:rPr>
        <w:t xml:space="preserve"> </w:t>
      </w:r>
      <w:r w:rsidRPr="00872BA0">
        <w:rPr>
          <w:rStyle w:val="af7"/>
          <w:rFonts w:eastAsia="Guttman Hodes" w:hint="cs"/>
          <w:rtl/>
        </w:rPr>
        <w:t xml:space="preserve">(עי' אות </w:t>
      </w:r>
      <w:r w:rsidRPr="00872BA0">
        <w:rPr>
          <w:rStyle w:val="af7"/>
          <w:rFonts w:eastAsia="Guttman Hodes"/>
          <w:rtl/>
        </w:rPr>
        <w:fldChar w:fldCharType="begin"/>
      </w:r>
      <w:r w:rsidRPr="00872BA0">
        <w:rPr>
          <w:rStyle w:val="af7"/>
          <w:rFonts w:eastAsia="Guttman Hodes"/>
          <w:rtl/>
        </w:rPr>
        <w:instrText xml:space="preserve"> </w:instrText>
      </w:r>
      <w:r w:rsidRPr="00872BA0">
        <w:rPr>
          <w:rStyle w:val="af7"/>
          <w:rFonts w:eastAsia="Guttman Hodes" w:hint="cs"/>
        </w:rPr>
        <w:instrText>REF</w:instrText>
      </w:r>
      <w:r w:rsidRPr="00872BA0">
        <w:rPr>
          <w:rStyle w:val="af7"/>
          <w:rFonts w:eastAsia="Guttman Hodes" w:hint="cs"/>
          <w:rtl/>
        </w:rPr>
        <w:instrText xml:space="preserve"> _</w:instrText>
      </w:r>
      <w:r w:rsidRPr="00872BA0">
        <w:rPr>
          <w:rStyle w:val="af7"/>
          <w:rFonts w:eastAsia="Guttman Hodes" w:hint="cs"/>
        </w:rPr>
        <w:instrText>Ref56510344 \r \h</w:instrText>
      </w:r>
      <w:r w:rsidRPr="00872BA0">
        <w:rPr>
          <w:rStyle w:val="af7"/>
          <w:rFonts w:eastAsia="Guttman Hodes"/>
          <w:rtl/>
        </w:rPr>
        <w:instrText xml:space="preserve"> </w:instrText>
      </w:r>
      <w:r w:rsidRPr="00872BA0">
        <w:rPr>
          <w:rStyle w:val="af7"/>
          <w:rFonts w:eastAsia="Guttman Hodes"/>
          <w:rtl/>
        </w:rPr>
      </w:r>
      <w:r w:rsidRPr="00872BA0">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872BA0">
        <w:rPr>
          <w:rStyle w:val="af7"/>
          <w:rFonts w:eastAsia="Guttman Hodes"/>
          <w:rtl/>
        </w:rPr>
        <w:fldChar w:fldCharType="end"/>
      </w:r>
      <w:r>
        <w:rPr>
          <w:rFonts w:hint="cs"/>
          <w:rtl/>
        </w:rPr>
        <w:t xml:space="preserve"> דאחר שהחזיק המחזיק ג"ש בשופי, ולא ערערו עליו, הוא סובר שלא יערערו עליו יותר, ולכן אינו נזהר בשטרו יותר מג"ש, וכתב </w:t>
      </w:r>
      <w:r w:rsidRPr="00872BA0">
        <w:rPr>
          <w:rStyle w:val="af9"/>
          <w:rFonts w:hint="cs"/>
          <w:rtl/>
        </w:rPr>
        <w:t>השער משפט</w:t>
      </w:r>
      <w:r>
        <w:rPr>
          <w:rFonts w:hint="cs"/>
          <w:rtl/>
        </w:rPr>
        <w:t xml:space="preserve"> דמוכח דהא דאינו נזהר בשטרו, אינו מחמת שהוא סובר שיאמינו לו בחזקת ג"ש, </w:t>
      </w:r>
      <w:r w:rsidRPr="000D3E37">
        <w:rPr>
          <w:rStyle w:val="afb"/>
          <w:rFonts w:hint="cs"/>
          <w:rtl/>
        </w:rPr>
        <w:t>[שיש לו עדים],</w:t>
      </w:r>
      <w:r>
        <w:rPr>
          <w:rFonts w:hint="cs"/>
          <w:rtl/>
        </w:rPr>
        <w:t xml:space="preserve"> אלא דסומך שלא יערערו עליו יותר, וכעי"ז הקשה </w:t>
      </w:r>
      <w:r w:rsidRPr="000D3E37">
        <w:rPr>
          <w:rStyle w:val="af9"/>
          <w:rFonts w:hint="cs"/>
          <w:rtl/>
        </w:rPr>
        <w:t>השער משפט</w:t>
      </w:r>
      <w:r>
        <w:rPr>
          <w:rFonts w:hint="cs"/>
          <w:rtl/>
        </w:rPr>
        <w:t xml:space="preserve"> </w:t>
      </w:r>
      <w:r w:rsidRPr="00B422C0">
        <w:rPr>
          <w:rStyle w:val="af7"/>
          <w:rFonts w:eastAsia="Guttman Hodes" w:hint="cs"/>
          <w:rtl/>
        </w:rPr>
        <w:t xml:space="preserve">(הובא בסימן </w:t>
      </w:r>
      <w:r>
        <w:rPr>
          <w:rStyle w:val="af7"/>
          <w:rFonts w:eastAsia="Guttman Hodes" w:hint="cs"/>
          <w:rtl/>
        </w:rPr>
        <w:t>ה</w:t>
      </w:r>
      <w:r w:rsidRPr="00B422C0">
        <w:rPr>
          <w:rStyle w:val="af7"/>
          <w:rFonts w:eastAsia="Guttman Hodes" w:hint="cs"/>
          <w:rtl/>
        </w:rPr>
        <w:t xml:space="preserve">' אות </w:t>
      </w:r>
      <w:r>
        <w:rPr>
          <w:rStyle w:val="af7"/>
          <w:rFonts w:eastAsia="Guttman Hodes" w:hint="cs"/>
          <w:rtl/>
        </w:rPr>
        <w:t>ל"ז</w:t>
      </w:r>
      <w:r w:rsidRPr="00B422C0">
        <w:rPr>
          <w:rStyle w:val="af7"/>
          <w:rFonts w:eastAsia="Guttman Hodes" w:hint="cs"/>
          <w:rtl/>
        </w:rPr>
        <w:t>)</w:t>
      </w:r>
      <w:r>
        <w:rPr>
          <w:rStyle w:val="af7"/>
          <w:rFonts w:eastAsia="Guttman Hodes" w:hint="cs"/>
          <w:rtl/>
        </w:rPr>
        <w:t xml:space="preserve"> </w:t>
      </w:r>
      <w:r>
        <w:rPr>
          <w:rFonts w:hint="cs"/>
          <w:rtl/>
        </w:rPr>
        <w:t xml:space="preserve">על </w:t>
      </w:r>
      <w:r w:rsidRPr="00B422C0">
        <w:rPr>
          <w:rStyle w:val="af9"/>
          <w:rFonts w:hint="cs"/>
          <w:rtl/>
        </w:rPr>
        <w:t>הרמב"ן</w:t>
      </w:r>
      <w:r>
        <w:rPr>
          <w:rFonts w:hint="cs"/>
          <w:rtl/>
        </w:rPr>
        <w:t xml:space="preserve">, ועי' במה שתירצו </w:t>
      </w:r>
      <w:r w:rsidRPr="00B422C0">
        <w:rPr>
          <w:rStyle w:val="af9"/>
          <w:rFonts w:hint="cs"/>
          <w:rtl/>
        </w:rPr>
        <w:t>האחרונים</w:t>
      </w:r>
      <w:r>
        <w:rPr>
          <w:rFonts w:hint="cs"/>
          <w:rtl/>
        </w:rPr>
        <w:t xml:space="preserve"> </w:t>
      </w:r>
      <w:r w:rsidRPr="00B422C0">
        <w:rPr>
          <w:rStyle w:val="af7"/>
          <w:rFonts w:eastAsia="Guttman Hodes" w:hint="cs"/>
          <w:rtl/>
        </w:rPr>
        <w:t xml:space="preserve">(הובא בסימן </w:t>
      </w:r>
      <w:r>
        <w:rPr>
          <w:rStyle w:val="af7"/>
          <w:rFonts w:eastAsia="Guttman Hodes" w:hint="cs"/>
          <w:rtl/>
        </w:rPr>
        <w:t>ה</w:t>
      </w:r>
      <w:r w:rsidRPr="00B422C0">
        <w:rPr>
          <w:rStyle w:val="af7"/>
          <w:rFonts w:eastAsia="Guttman Hodes" w:hint="cs"/>
          <w:rtl/>
        </w:rPr>
        <w:t xml:space="preserve">' אות </w:t>
      </w:r>
      <w:r>
        <w:rPr>
          <w:rStyle w:val="af7"/>
          <w:rFonts w:eastAsia="Guttman Hodes" w:hint="cs"/>
          <w:rtl/>
        </w:rPr>
        <w:t>צ"ו</w:t>
      </w:r>
      <w:r w:rsidRPr="00B422C0">
        <w:rPr>
          <w:rStyle w:val="af7"/>
          <w:rFonts w:eastAsia="Guttman Hodes" w:hint="cs"/>
          <w:rtl/>
        </w:rPr>
        <w:t>)</w:t>
      </w:r>
      <w:r w:rsidRPr="00B422C0">
        <w:rPr>
          <w:rFonts w:hint="cs"/>
          <w:rtl/>
        </w:rPr>
        <w:t>.</w:t>
      </w:r>
      <w:bookmarkEnd w:id="5409"/>
    </w:p>
    <w:p w:rsidR="00E874E8" w:rsidRPr="006F2C25" w:rsidRDefault="00E874E8" w:rsidP="00E874E8">
      <w:pPr>
        <w:pStyle w:val="a3"/>
        <w:rPr>
          <w:rtl/>
        </w:rPr>
      </w:pPr>
      <w:bookmarkStart w:id="5410" w:name="_Toc56626648"/>
      <w:bookmarkStart w:id="5411" w:name="_Toc56630116"/>
      <w:bookmarkStart w:id="5412" w:name="_Toc56636973"/>
      <w:bookmarkStart w:id="5413" w:name="_Toc56638107"/>
      <w:bookmarkStart w:id="5414" w:name="_Toc56640951"/>
      <w:r>
        <w:rPr>
          <w:rFonts w:hint="cs"/>
          <w:rtl/>
        </w:rPr>
        <w:t>דברי השע"מ דבתוס' לקמן מוכח דבמקום שנאמן בחזקת ג"ש בלי עדים א"צ שטר ודלא כנימוק"י</w:t>
      </w:r>
      <w:bookmarkEnd w:id="5410"/>
      <w:bookmarkEnd w:id="5411"/>
      <w:bookmarkEnd w:id="5412"/>
      <w:bookmarkEnd w:id="5413"/>
      <w:bookmarkEnd w:id="5414"/>
    </w:p>
    <w:p w:rsidR="00E874E8" w:rsidRDefault="00E874E8" w:rsidP="007E4E81">
      <w:pPr>
        <w:pStyle w:val="a0"/>
        <w:rPr>
          <w:rStyle w:val="afb"/>
          <w:rtl/>
        </w:rPr>
      </w:pPr>
      <w:bookmarkStart w:id="5415" w:name="_Ref56610847"/>
      <w:r>
        <w:rPr>
          <w:rFonts w:hint="cs"/>
          <w:rtl/>
        </w:rPr>
        <w:t xml:space="preserve">והביא </w:t>
      </w:r>
      <w:r w:rsidRPr="000D3E37">
        <w:rPr>
          <w:rStyle w:val="af9"/>
          <w:rFonts w:hint="cs"/>
          <w:rtl/>
        </w:rPr>
        <w:t>השער משפט</w:t>
      </w:r>
      <w:r>
        <w:rPr>
          <w:rFonts w:hint="cs"/>
          <w:rtl/>
        </w:rPr>
        <w:t xml:space="preserve"> </w:t>
      </w:r>
      <w:r w:rsidRPr="009105AA">
        <w:rPr>
          <w:rStyle w:val="af7"/>
          <w:rFonts w:eastAsia="Guttman Hodes" w:hint="cs"/>
          <w:rtl/>
        </w:rPr>
        <w:t>(סי' קמ"ה סק"א ד"ה אמנם)</w:t>
      </w:r>
      <w:r>
        <w:rPr>
          <w:rFonts w:hint="cs"/>
          <w:rtl/>
        </w:rPr>
        <w:t xml:space="preserve"> את דברי </w:t>
      </w:r>
      <w:r w:rsidRPr="000D3E37">
        <w:rPr>
          <w:rStyle w:val="af9"/>
          <w:rFonts w:hint="cs"/>
          <w:rtl/>
        </w:rPr>
        <w:t>התוס' לקמן</w:t>
      </w:r>
      <w:r>
        <w:rPr>
          <w:rFonts w:hint="cs"/>
          <w:rtl/>
        </w:rPr>
        <w:t xml:space="preserve"> </w:t>
      </w:r>
      <w:r w:rsidRPr="009105AA">
        <w:rPr>
          <w:rStyle w:val="af7"/>
          <w:rFonts w:eastAsia="Guttman Hodes" w:hint="cs"/>
          <w:rtl/>
        </w:rPr>
        <w:t>(לג. ד"ה ה"ג)</w:t>
      </w:r>
      <w:r>
        <w:rPr>
          <w:rFonts w:hint="cs"/>
          <w:rtl/>
        </w:rPr>
        <w:t xml:space="preserve"> דכתבו דהטוען שאכל ג"ש ויש לו עדים רק על ב' שנים, דא"צ לשלם על הפירות של השנה השלישית, דכיון שאם נאמין לו שאכל את פירות השנה השלישית, ממילא יש לו חזקת ג"ש, וכתב </w:t>
      </w:r>
      <w:r w:rsidRPr="000D3E37">
        <w:rPr>
          <w:rStyle w:val="af9"/>
          <w:rFonts w:hint="cs"/>
          <w:rtl/>
        </w:rPr>
        <w:t>השער משפט</w:t>
      </w:r>
      <w:r>
        <w:rPr>
          <w:rFonts w:hint="cs"/>
          <w:rtl/>
        </w:rPr>
        <w:t xml:space="preserve"> דמוכח מדברי </w:t>
      </w:r>
      <w:r w:rsidRPr="000D3E37">
        <w:rPr>
          <w:rStyle w:val="af9"/>
          <w:rFonts w:hint="cs"/>
          <w:rtl/>
        </w:rPr>
        <w:t>התוס' לקמן</w:t>
      </w:r>
      <w:r>
        <w:rPr>
          <w:rFonts w:hint="cs"/>
          <w:rtl/>
        </w:rPr>
        <w:t xml:space="preserve"> דלא </w:t>
      </w:r>
      <w:r w:rsidRPr="00E6073A">
        <w:rPr>
          <w:rStyle w:val="af9"/>
          <w:rFonts w:hint="cs"/>
          <w:rtl/>
        </w:rPr>
        <w:t>כהנימוק"י</w:t>
      </w:r>
      <w:r>
        <w:rPr>
          <w:rFonts w:hint="cs"/>
          <w:rtl/>
        </w:rPr>
        <w:t xml:space="preserve"> </w:t>
      </w:r>
      <w:r>
        <w:rPr>
          <w:rStyle w:val="af9"/>
          <w:rFonts w:hint="cs"/>
          <w:rtl/>
        </w:rPr>
        <w:t>לקמן</w:t>
      </w:r>
      <w:r>
        <w:rPr>
          <w:rFonts w:hint="cs"/>
          <w:rtl/>
        </w:rPr>
        <w:t xml:space="preserve"> </w:t>
      </w:r>
      <w:r w:rsidRPr="009105AA">
        <w:rPr>
          <w:rStyle w:val="af7"/>
          <w:rFonts w:eastAsia="Guttman Hodes" w:hint="cs"/>
          <w:rtl/>
        </w:rPr>
        <w:t xml:space="preserve">(עי' אות </w:t>
      </w:r>
      <w:r w:rsidRPr="009105AA">
        <w:rPr>
          <w:rStyle w:val="af7"/>
          <w:rFonts w:eastAsia="Guttman Hodes"/>
          <w:rtl/>
        </w:rPr>
        <w:fldChar w:fldCharType="begin"/>
      </w:r>
      <w:r w:rsidRPr="009105AA">
        <w:rPr>
          <w:rStyle w:val="af7"/>
          <w:rFonts w:eastAsia="Guttman Hodes"/>
          <w:rtl/>
        </w:rPr>
        <w:instrText xml:space="preserve"> </w:instrText>
      </w:r>
      <w:r w:rsidRPr="009105AA">
        <w:rPr>
          <w:rStyle w:val="af7"/>
          <w:rFonts w:eastAsia="Guttman Hodes" w:hint="cs"/>
        </w:rPr>
        <w:instrText>REF</w:instrText>
      </w:r>
      <w:r w:rsidRPr="009105AA">
        <w:rPr>
          <w:rStyle w:val="af7"/>
          <w:rFonts w:eastAsia="Guttman Hodes" w:hint="cs"/>
          <w:rtl/>
        </w:rPr>
        <w:instrText xml:space="preserve"> _</w:instrText>
      </w:r>
      <w:r w:rsidRPr="009105AA">
        <w:rPr>
          <w:rStyle w:val="af7"/>
          <w:rFonts w:eastAsia="Guttman Hodes" w:hint="cs"/>
        </w:rPr>
        <w:instrText>Ref56610193 \r \h</w:instrText>
      </w:r>
      <w:r w:rsidRPr="009105AA">
        <w:rPr>
          <w:rStyle w:val="af7"/>
          <w:rFonts w:eastAsia="Guttman Hodes"/>
          <w:rtl/>
        </w:rPr>
        <w:instrText xml:space="preserve"> </w:instrText>
      </w:r>
      <w:r w:rsidRPr="009105AA">
        <w:rPr>
          <w:rStyle w:val="af7"/>
          <w:rFonts w:eastAsia="Guttman Hodes"/>
          <w:rtl/>
        </w:rPr>
      </w:r>
      <w:r w:rsidRPr="009105AA">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9105AA">
        <w:rPr>
          <w:rStyle w:val="af7"/>
          <w:rFonts w:eastAsia="Guttman Hodes"/>
          <w:rtl/>
        </w:rPr>
        <w:fldChar w:fldCharType="end"/>
      </w:r>
      <w:r>
        <w:rPr>
          <w:rFonts w:hint="cs"/>
          <w:rtl/>
        </w:rPr>
        <w:t xml:space="preserve">, דהא לפי ביאור </w:t>
      </w:r>
      <w:r w:rsidRPr="000D3E37">
        <w:rPr>
          <w:rStyle w:val="af9"/>
          <w:rFonts w:hint="cs"/>
          <w:rtl/>
        </w:rPr>
        <w:t>הנימוק"י</w:t>
      </w:r>
      <w:r>
        <w:rPr>
          <w:rFonts w:hint="cs"/>
          <w:rtl/>
        </w:rPr>
        <w:t xml:space="preserve"> אף אם ישלם את פירות השנה השלישית, ונאמין לו שאכל, עדיין לא יהיה לו חזקה, כיון שיש עליו טענת אחוי שטרך, דהא אין לו עידי חזקת ג"ש.</w:t>
      </w:r>
      <w:bookmarkEnd w:id="5415"/>
      <w:r>
        <w:rPr>
          <w:rFonts w:hint="cs"/>
          <w:rtl/>
        </w:rPr>
        <w:t xml:space="preserve"> </w:t>
      </w:r>
      <w:r w:rsidRPr="009105AA">
        <w:rPr>
          <w:rStyle w:val="afb"/>
          <w:rFonts w:hint="cs"/>
          <w:rtl/>
        </w:rPr>
        <w:t xml:space="preserve">[ובמה שהוקשה </w:t>
      </w:r>
      <w:r w:rsidRPr="00A35BDA">
        <w:rPr>
          <w:rStyle w:val="affa"/>
          <w:rFonts w:hint="cs"/>
          <w:rtl/>
        </w:rPr>
        <w:t>לנימוק"י</w:t>
      </w:r>
      <w:r w:rsidRPr="009105AA">
        <w:rPr>
          <w:rStyle w:val="afb"/>
          <w:rFonts w:hint="cs"/>
          <w:rtl/>
        </w:rPr>
        <w:t xml:space="preserve"> </w:t>
      </w:r>
      <w:r w:rsidRPr="00A35BDA">
        <w:rPr>
          <w:rStyle w:val="aff6"/>
          <w:rFonts w:hint="cs"/>
          <w:rtl/>
        </w:rPr>
        <w:t xml:space="preserve">(עי' אות </w:t>
      </w:r>
      <w:r w:rsidRPr="00A35BDA">
        <w:rPr>
          <w:rStyle w:val="aff6"/>
          <w:rtl/>
        </w:rPr>
        <w:fldChar w:fldCharType="begin"/>
      </w:r>
      <w:r w:rsidRPr="00A35BDA">
        <w:rPr>
          <w:rStyle w:val="aff6"/>
          <w:rtl/>
        </w:rPr>
        <w:instrText xml:space="preserve"> </w:instrText>
      </w:r>
      <w:r w:rsidRPr="00A35BDA">
        <w:rPr>
          <w:rStyle w:val="aff6"/>
          <w:rFonts w:hint="cs"/>
        </w:rPr>
        <w:instrText>REF</w:instrText>
      </w:r>
      <w:r w:rsidRPr="00A35BDA">
        <w:rPr>
          <w:rStyle w:val="aff6"/>
          <w:rFonts w:hint="cs"/>
          <w:rtl/>
        </w:rPr>
        <w:instrText xml:space="preserve"> _</w:instrText>
      </w:r>
      <w:r w:rsidRPr="00A35BDA">
        <w:rPr>
          <w:rStyle w:val="aff6"/>
          <w:rFonts w:hint="cs"/>
        </w:rPr>
        <w:instrText>Ref56610193 \r \h</w:instrText>
      </w:r>
      <w:r w:rsidRPr="00A35BDA">
        <w:rPr>
          <w:rStyle w:val="aff6"/>
          <w:rtl/>
        </w:rPr>
        <w:instrText xml:space="preserve"> </w:instrText>
      </w:r>
      <w:r w:rsidRPr="00A35BDA">
        <w:rPr>
          <w:rStyle w:val="aff6"/>
          <w:rtl/>
        </w:rPr>
      </w:r>
      <w:r w:rsidRPr="00A35BDA">
        <w:rPr>
          <w:rStyle w:val="aff6"/>
          <w:rtl/>
        </w:rPr>
        <w:fldChar w:fldCharType="separate"/>
      </w:r>
      <w:r w:rsidR="00265073">
        <w:rPr>
          <w:rStyle w:val="aff6"/>
          <w:cs/>
        </w:rPr>
        <w:t>‎</w:t>
      </w:r>
      <w:r w:rsidR="00265073">
        <w:rPr>
          <w:rStyle w:val="aff6"/>
          <w:rtl/>
        </w:rPr>
        <w:t>ז)</w:t>
      </w:r>
      <w:r w:rsidRPr="00A35BDA">
        <w:rPr>
          <w:rStyle w:val="aff6"/>
          <w:rtl/>
        </w:rPr>
        <w:fldChar w:fldCharType="end"/>
      </w:r>
      <w:r w:rsidRPr="009105AA">
        <w:rPr>
          <w:rStyle w:val="afb"/>
          <w:rFonts w:hint="cs"/>
          <w:rtl/>
        </w:rPr>
        <w:t xml:space="preserve"> דמה תירצה הגמ' לקמן </w:t>
      </w:r>
      <w:r w:rsidRPr="00A35BDA">
        <w:rPr>
          <w:rStyle w:val="aff6"/>
          <w:rFonts w:hint="cs"/>
          <w:rtl/>
        </w:rPr>
        <w:t>(לג:)</w:t>
      </w:r>
      <w:r w:rsidRPr="009105AA">
        <w:rPr>
          <w:rStyle w:val="afb"/>
          <w:rFonts w:hint="cs"/>
          <w:rtl/>
        </w:rPr>
        <w:t xml:space="preserve"> דבקרקע אמרינן ליה אחוי שטרך, [אף על הפירות], והרי לדבריו יש לו חזקת ג"ש וא"צ להזהר בשטרו, תירץ </w:t>
      </w:r>
      <w:r w:rsidRPr="00A35BDA">
        <w:rPr>
          <w:rStyle w:val="affa"/>
          <w:rFonts w:hint="cs"/>
          <w:rtl/>
        </w:rPr>
        <w:t>השער משפט</w:t>
      </w:r>
      <w:r w:rsidRPr="009105AA">
        <w:rPr>
          <w:rStyle w:val="afb"/>
          <w:rFonts w:hint="cs"/>
          <w:rtl/>
        </w:rPr>
        <w:t xml:space="preserve"> </w:t>
      </w:r>
      <w:r w:rsidRPr="00A35BDA">
        <w:rPr>
          <w:rStyle w:val="aff6"/>
          <w:rFonts w:hint="cs"/>
          <w:rtl/>
        </w:rPr>
        <w:t>(סי' קמ"ה סק"א ד"ה ומה)</w:t>
      </w:r>
      <w:r w:rsidRPr="009105AA">
        <w:rPr>
          <w:rStyle w:val="afb"/>
          <w:rFonts w:hint="cs"/>
          <w:rtl/>
        </w:rPr>
        <w:t xml:space="preserve"> דכוונת הגמ' לומר דמ"מ יש ריעותא למחזיק במה שאין לו שטר, והראיה דלא חציף למיכל פירי דלאו דיליה, אינה ראיה אלימא להוציא עי"ז מהבעלים את הפירות, כשיש לו ריעותא דאחוי שטרך].</w:t>
      </w:r>
      <w:bookmarkEnd w:id="5408"/>
    </w:p>
    <w:p w:rsidR="00E874E8" w:rsidRPr="008A2471" w:rsidRDefault="00E874E8" w:rsidP="00E874E8">
      <w:pPr>
        <w:pStyle w:val="afe"/>
        <w:rPr>
          <w:rtl/>
        </w:rPr>
      </w:pPr>
      <w:bookmarkStart w:id="5416" w:name="_Toc56609814"/>
      <w:bookmarkStart w:id="5417" w:name="_Toc56626649"/>
      <w:bookmarkStart w:id="5418" w:name="_Toc56630117"/>
      <w:bookmarkStart w:id="5419" w:name="_Toc56636974"/>
      <w:bookmarkStart w:id="5420" w:name="_Toc56638108"/>
      <w:bookmarkStart w:id="5421" w:name="_Toc56640952"/>
      <w:r>
        <w:rPr>
          <w:rFonts w:hint="cs"/>
          <w:rtl/>
        </w:rPr>
        <w:t>ד' השע"מ דאחר התקנ"ח מהני אף מדאו'</w:t>
      </w:r>
      <w:bookmarkEnd w:id="5416"/>
      <w:bookmarkEnd w:id="5417"/>
      <w:bookmarkEnd w:id="5418"/>
      <w:bookmarkEnd w:id="5419"/>
      <w:bookmarkEnd w:id="5420"/>
      <w:bookmarkEnd w:id="5421"/>
    </w:p>
    <w:p w:rsidR="00E874E8" w:rsidRPr="00FE6110" w:rsidRDefault="00E874E8" w:rsidP="00E874E8">
      <w:pPr>
        <w:pStyle w:val="1"/>
        <w:rPr>
          <w:rtl/>
        </w:rPr>
      </w:pPr>
      <w:bookmarkStart w:id="5422" w:name="_Toc56609815"/>
      <w:bookmarkStart w:id="5423" w:name="_Toc56626650"/>
      <w:bookmarkStart w:id="5424" w:name="_Toc56630118"/>
      <w:bookmarkStart w:id="5425" w:name="_Toc56636975"/>
      <w:bookmarkStart w:id="5426" w:name="_Toc56638109"/>
      <w:bookmarkStart w:id="5427" w:name="_Toc56640953"/>
      <w:bookmarkStart w:id="5428" w:name="_Toc55569203"/>
      <w:bookmarkStart w:id="5429" w:name="_Toc55718314"/>
      <w:bookmarkStart w:id="5430" w:name="_Toc55739974"/>
      <w:bookmarkStart w:id="5431" w:name="_Toc56372867"/>
      <w:bookmarkStart w:id="5432" w:name="_Toc56458208"/>
      <w:bookmarkStart w:id="5433" w:name="_Toc56544370"/>
      <w:r>
        <w:rPr>
          <w:rFonts w:hint="cs"/>
          <w:rtl/>
        </w:rPr>
        <w:t>ביאור השע"מ דאחר שתיקנו חזקת ג"ש ממילא יש ראיה מדאו'</w:t>
      </w:r>
      <w:bookmarkEnd w:id="5422"/>
      <w:bookmarkEnd w:id="5423"/>
      <w:bookmarkEnd w:id="5424"/>
      <w:bookmarkEnd w:id="5425"/>
      <w:bookmarkEnd w:id="5426"/>
      <w:bookmarkEnd w:id="5427"/>
    </w:p>
    <w:p w:rsidR="00E874E8" w:rsidRDefault="00E874E8" w:rsidP="00E874E8">
      <w:pPr>
        <w:pStyle w:val="a3"/>
        <w:rPr>
          <w:rtl/>
        </w:rPr>
      </w:pPr>
      <w:bookmarkStart w:id="5434" w:name="_Toc56609816"/>
      <w:bookmarkStart w:id="5435" w:name="_Toc56626651"/>
      <w:bookmarkStart w:id="5436" w:name="_Toc56630119"/>
      <w:bookmarkStart w:id="5437" w:name="_Toc56636976"/>
      <w:bookmarkStart w:id="5438" w:name="_Toc56638110"/>
      <w:bookmarkStart w:id="5439" w:name="_Toc56640954"/>
      <w:r>
        <w:rPr>
          <w:rFonts w:hint="cs"/>
          <w:rtl/>
        </w:rPr>
        <w:t>קושית השע"מ דמוכח דחזקת ג"ש מהני אף לענין גט מדאו' וא"א לומר דהיא רק תקנ"ח מדרבנן</w:t>
      </w:r>
      <w:bookmarkEnd w:id="5434"/>
      <w:bookmarkEnd w:id="5435"/>
      <w:bookmarkEnd w:id="5436"/>
      <w:bookmarkEnd w:id="5437"/>
      <w:bookmarkEnd w:id="5438"/>
      <w:bookmarkEnd w:id="5439"/>
    </w:p>
    <w:p w:rsidR="00E874E8" w:rsidRDefault="00E874E8" w:rsidP="007E4E81">
      <w:pPr>
        <w:pStyle w:val="a0"/>
        <w:rPr>
          <w:rtl/>
        </w:rPr>
      </w:pPr>
      <w:r>
        <w:rPr>
          <w:rFonts w:hint="cs"/>
          <w:rtl/>
        </w:rPr>
        <w:t>אך הקשה</w:t>
      </w:r>
      <w:r w:rsidRPr="00963F50">
        <w:rPr>
          <w:rStyle w:val="af9"/>
          <w:rFonts w:hint="cs"/>
          <w:rtl/>
        </w:rPr>
        <w:t xml:space="preserve"> </w:t>
      </w:r>
      <w:r w:rsidRPr="00771E5D">
        <w:rPr>
          <w:rStyle w:val="af9"/>
          <w:rFonts w:hint="cs"/>
          <w:rtl/>
        </w:rPr>
        <w:t>השער משפט</w:t>
      </w:r>
      <w:r w:rsidRPr="00296B28">
        <w:rPr>
          <w:rFonts w:hint="cs"/>
          <w:rtl/>
        </w:rPr>
        <w:t xml:space="preserve"> </w:t>
      </w:r>
      <w:r w:rsidRPr="00771E5D">
        <w:rPr>
          <w:rStyle w:val="af7"/>
          <w:rFonts w:eastAsia="Guttman Hodes" w:hint="cs"/>
          <w:rtl/>
        </w:rPr>
        <w:t>(סי' ק"מ סק"ג ד"ה</w:t>
      </w:r>
      <w:r>
        <w:rPr>
          <w:rStyle w:val="af7"/>
          <w:rFonts w:eastAsia="Guttman Hodes" w:hint="cs"/>
          <w:rtl/>
        </w:rPr>
        <w:t xml:space="preserve"> ולכאורה)</w:t>
      </w:r>
      <w:r>
        <w:rPr>
          <w:rFonts w:hint="cs"/>
          <w:rtl/>
        </w:rPr>
        <w:t xml:space="preserve"> דהאיך אפש"ל דחזקת ג"ש היא תקנת חכמים ומהני רק מדרבנן, והא כתבו </w:t>
      </w:r>
      <w:r w:rsidRPr="00A279CD">
        <w:rPr>
          <w:rStyle w:val="af9"/>
          <w:rFonts w:hint="cs"/>
          <w:rtl/>
        </w:rPr>
        <w:t>הב"י והרמ"א</w:t>
      </w:r>
      <w:r>
        <w:rPr>
          <w:rFonts w:hint="cs"/>
          <w:rtl/>
        </w:rPr>
        <w:t xml:space="preserve"> </w:t>
      </w:r>
      <w:r w:rsidRPr="00A279CD">
        <w:rPr>
          <w:rStyle w:val="af7"/>
          <w:rFonts w:eastAsia="Guttman Hodes" w:hint="cs"/>
          <w:rtl/>
        </w:rPr>
        <w:t>(אבהע"ז סי' קכ"ד ו')</w:t>
      </w:r>
      <w:r>
        <w:rPr>
          <w:rFonts w:hint="cs"/>
          <w:rtl/>
        </w:rPr>
        <w:t xml:space="preserve"> דגט שהיה חקוק על ידו של עבד, שהוא מוחזק כעבד של הבעל, אינה מגורשת בגט זה, אך אם החזיקה בעבד ג"ש היא מגורשת, ומבואר דמהני חזקת ג"ש אף לענין גט דאו', ואינה רק תקנת חכמים.</w:t>
      </w:r>
    </w:p>
    <w:p w:rsidR="00E874E8" w:rsidRDefault="00E874E8" w:rsidP="00E874E8">
      <w:pPr>
        <w:pStyle w:val="a3"/>
        <w:rPr>
          <w:rtl/>
        </w:rPr>
      </w:pPr>
      <w:bookmarkStart w:id="5440" w:name="_Toc56609817"/>
      <w:bookmarkStart w:id="5441" w:name="_Toc56626652"/>
      <w:bookmarkStart w:id="5442" w:name="_Toc56630120"/>
      <w:bookmarkStart w:id="5443" w:name="_Toc56636977"/>
      <w:bookmarkStart w:id="5444" w:name="_Toc56638111"/>
      <w:bookmarkStart w:id="5445" w:name="_Toc56640955"/>
      <w:r>
        <w:rPr>
          <w:rFonts w:hint="cs"/>
          <w:rtl/>
        </w:rPr>
        <w:t>ביאור השע"מ דאחר שתיקנו דמהני חזקה א"כ יש ראיה אף מדאו' דכל שלא מחה מוכח שמכר</w:t>
      </w:r>
      <w:bookmarkEnd w:id="5440"/>
      <w:bookmarkEnd w:id="5441"/>
      <w:bookmarkEnd w:id="5442"/>
      <w:bookmarkEnd w:id="5443"/>
      <w:bookmarkEnd w:id="5444"/>
      <w:bookmarkEnd w:id="5445"/>
    </w:p>
    <w:p w:rsidR="00E874E8" w:rsidRDefault="00E874E8" w:rsidP="007E4E81">
      <w:pPr>
        <w:pStyle w:val="a0"/>
        <w:rPr>
          <w:rStyle w:val="afb"/>
          <w:rtl/>
        </w:rPr>
      </w:pPr>
      <w:bookmarkStart w:id="5446" w:name="_Ref56596421"/>
      <w:r>
        <w:rPr>
          <w:rFonts w:hint="cs"/>
          <w:rtl/>
        </w:rPr>
        <w:t xml:space="preserve">ותירץ </w:t>
      </w:r>
      <w:r w:rsidRPr="00A279CD">
        <w:rPr>
          <w:rStyle w:val="af9"/>
          <w:rFonts w:hint="cs"/>
          <w:rtl/>
        </w:rPr>
        <w:t>השער משפט</w:t>
      </w:r>
      <w:r>
        <w:rPr>
          <w:rFonts w:hint="cs"/>
          <w:rtl/>
        </w:rPr>
        <w:t xml:space="preserve"> דאחר שתיקנו חכמים דבג"ש הוי חזקה, ממילא יש ראיה גם מדאו', דהא כיון שהניח המרא קמא את הקרקע או העבד ביד המחזיק ג"ש, ויודע שאחר ג"ש יהיה לו חזקה מדרבנן, א"כ היה לו למחות בו, וכל שלא מחה יש ראיה אף מדאו' דמכר לו, ועי' במ"ש </w:t>
      </w:r>
      <w:r w:rsidRPr="00C43F66">
        <w:rPr>
          <w:rStyle w:val="af9"/>
          <w:rFonts w:hint="cs"/>
          <w:rtl/>
        </w:rPr>
        <w:t>בחי' רמ"ש</w:t>
      </w:r>
      <w:r w:rsidRPr="006C6D50">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Ref56596468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Pr>
          <w:rStyle w:val="af7"/>
          <w:rFonts w:eastAsia="Guttman Hodes"/>
          <w:rtl/>
        </w:rPr>
        <w:fldChar w:fldCharType="end"/>
      </w:r>
      <w:r>
        <w:rPr>
          <w:rStyle w:val="af1"/>
          <w:rtl/>
        </w:rPr>
        <w:footnoteReference w:id="29"/>
      </w:r>
      <w:r>
        <w:rPr>
          <w:rFonts w:hint="cs"/>
          <w:rtl/>
        </w:rPr>
        <w:t>.</w:t>
      </w:r>
      <w:bookmarkEnd w:id="5446"/>
    </w:p>
    <w:p w:rsidR="00282EB0" w:rsidRPr="00282EB0" w:rsidRDefault="00282EB0" w:rsidP="00282EB0">
      <w:pPr>
        <w:pStyle w:val="a3"/>
        <w:rPr>
          <w:rtl/>
        </w:rPr>
      </w:pPr>
    </w:p>
    <w:p w:rsidR="00282EB0" w:rsidRPr="00282EB0" w:rsidRDefault="00282EB0" w:rsidP="00282EB0">
      <w:pPr>
        <w:pStyle w:val="a3"/>
        <w:rPr>
          <w:rtl/>
        </w:rPr>
      </w:pPr>
    </w:p>
    <w:p w:rsidR="00282EB0" w:rsidRPr="00282EB0" w:rsidRDefault="00282EB0" w:rsidP="00282EB0">
      <w:pPr>
        <w:pStyle w:val="a3"/>
        <w:rPr>
          <w:rtl/>
        </w:rPr>
      </w:pPr>
    </w:p>
    <w:p w:rsidR="00E874E8" w:rsidRDefault="00E874E8" w:rsidP="00E874E8">
      <w:pPr>
        <w:pStyle w:val="afe"/>
        <w:rPr>
          <w:rtl/>
        </w:rPr>
      </w:pPr>
      <w:bookmarkStart w:id="5447" w:name="_Toc56626655"/>
      <w:bookmarkStart w:id="5448" w:name="_Toc56630123"/>
      <w:bookmarkStart w:id="5449" w:name="_Toc56636980"/>
      <w:bookmarkStart w:id="5450" w:name="_Toc56638114"/>
      <w:bookmarkStart w:id="5451" w:name="_Toc56640958"/>
      <w:bookmarkStart w:id="5452" w:name="_Toc56609818"/>
      <w:bookmarkStart w:id="5453" w:name="_Toc56626653"/>
      <w:bookmarkStart w:id="5454" w:name="_Toc56630121"/>
      <w:bookmarkStart w:id="5455" w:name="_Toc56636978"/>
      <w:bookmarkStart w:id="5456" w:name="_Toc56638112"/>
      <w:bookmarkStart w:id="5457" w:name="_Toc56640956"/>
      <w:r>
        <w:rPr>
          <w:rFonts w:hint="cs"/>
          <w:rtl/>
        </w:rPr>
        <w:t>דברי שא"ר דהחזקה היא תקנ"ח</w:t>
      </w:r>
      <w:bookmarkEnd w:id="5447"/>
      <w:bookmarkEnd w:id="5448"/>
      <w:bookmarkEnd w:id="5449"/>
      <w:bookmarkEnd w:id="5450"/>
      <w:bookmarkEnd w:id="5451"/>
    </w:p>
    <w:p w:rsidR="00E874E8" w:rsidRDefault="00E874E8" w:rsidP="00E874E8">
      <w:pPr>
        <w:pStyle w:val="1"/>
        <w:rPr>
          <w:rtl/>
        </w:rPr>
      </w:pPr>
      <w:r>
        <w:rPr>
          <w:rFonts w:hint="cs"/>
          <w:rtl/>
        </w:rPr>
        <w:t>דברי רבינו גרשום</w:t>
      </w:r>
      <w:bookmarkEnd w:id="5428"/>
      <w:bookmarkEnd w:id="5429"/>
      <w:bookmarkEnd w:id="5430"/>
      <w:bookmarkEnd w:id="5431"/>
      <w:bookmarkEnd w:id="5432"/>
      <w:bookmarkEnd w:id="5433"/>
      <w:bookmarkEnd w:id="5452"/>
      <w:bookmarkEnd w:id="5453"/>
      <w:bookmarkEnd w:id="5454"/>
      <w:r>
        <w:rPr>
          <w:rFonts w:hint="cs"/>
          <w:rtl/>
        </w:rPr>
        <w:t xml:space="preserve"> דאחר ג"ש קים לרבנן דלא נזהר ול"מ ערעור</w:t>
      </w:r>
      <w:bookmarkEnd w:id="5455"/>
      <w:bookmarkEnd w:id="5456"/>
      <w:bookmarkEnd w:id="5457"/>
    </w:p>
    <w:p w:rsidR="00E874E8" w:rsidRDefault="00E874E8" w:rsidP="00E874E8">
      <w:pPr>
        <w:pStyle w:val="a3"/>
        <w:rPr>
          <w:rtl/>
        </w:rPr>
      </w:pPr>
      <w:bookmarkStart w:id="5458" w:name="_Toc56609819"/>
      <w:bookmarkStart w:id="5459" w:name="_Toc56626654"/>
      <w:bookmarkStart w:id="5460" w:name="_Toc56630122"/>
      <w:bookmarkStart w:id="5461" w:name="_Toc56636979"/>
      <w:bookmarkStart w:id="5462" w:name="_Toc56638113"/>
      <w:bookmarkStart w:id="5463" w:name="_Toc56640957"/>
      <w:r>
        <w:rPr>
          <w:rFonts w:hint="cs"/>
          <w:rtl/>
        </w:rPr>
        <w:t>דברי רבינו גרשום דאחר ג"ש קים לרבנן דמתייאש מלשומרו ול"מ ערעור עליו אף שאבד השטר</w:t>
      </w:r>
      <w:bookmarkEnd w:id="5458"/>
      <w:bookmarkEnd w:id="5459"/>
      <w:bookmarkEnd w:id="5460"/>
      <w:bookmarkEnd w:id="5461"/>
      <w:bookmarkEnd w:id="5462"/>
      <w:bookmarkEnd w:id="5463"/>
    </w:p>
    <w:p w:rsidR="00E874E8" w:rsidRPr="000C3B99" w:rsidRDefault="00E874E8" w:rsidP="007E4E81">
      <w:pPr>
        <w:pStyle w:val="a0"/>
        <w:rPr>
          <w:rtl/>
        </w:rPr>
      </w:pPr>
      <w:r>
        <w:rPr>
          <w:rFonts w:hint="cs"/>
          <w:rtl/>
        </w:rPr>
        <w:t xml:space="preserve">כתב </w:t>
      </w:r>
      <w:r w:rsidRPr="00504582">
        <w:rPr>
          <w:rStyle w:val="af9"/>
          <w:rFonts w:hint="cs"/>
          <w:rtl/>
        </w:rPr>
        <w:t>רבינו גרשום</w:t>
      </w:r>
      <w:r>
        <w:rPr>
          <w:rFonts w:hint="cs"/>
          <w:rtl/>
        </w:rPr>
        <w:t xml:space="preserve"> </w:t>
      </w:r>
      <w:r w:rsidRPr="00504582">
        <w:rPr>
          <w:rStyle w:val="af7"/>
          <w:rFonts w:eastAsia="Guttman Hodes" w:hint="cs"/>
          <w:rtl/>
        </w:rPr>
        <w:t>(ד"ה תרי)</w:t>
      </w:r>
      <w:r>
        <w:rPr>
          <w:rFonts w:hint="cs"/>
          <w:rtl/>
        </w:rPr>
        <w:t xml:space="preserve"> דהדרך דאדם נזהר בשטרו עד ג"ש, שאם יערערו על המקח, יהיה לו ראיה, ואחר ג"ש הוא מתייאש מלשומרו, וכיון דקים להו לרבנן דאינו נזהר יותר, לכן אם ערער עליו לאחר ג"ש אין בערעורו כלום, אף שנאבד לו השטר, דמעמידים את הקרקע ביד המחזיק בעידי חזקת ג"ש, ועי' במה שביאר </w:t>
      </w:r>
      <w:r w:rsidR="00B6247C">
        <w:rPr>
          <w:rStyle w:val="af9"/>
          <w:rFonts w:hint="cs"/>
          <w:rtl/>
        </w:rPr>
        <w:t xml:space="preserve">הגר"מ מן </w:t>
      </w:r>
      <w:r w:rsidR="00B6247C" w:rsidRPr="00834955">
        <w:rPr>
          <w:rStyle w:val="af9"/>
          <w:rFonts w:hint="cs"/>
          <w:rtl/>
        </w:rPr>
        <w:t>בדברי מרדכי</w:t>
      </w:r>
      <w:r w:rsidR="00B6247C">
        <w:rPr>
          <w:rStyle w:val="af9"/>
          <w:rFonts w:hint="cs"/>
          <w:rtl/>
        </w:rPr>
        <w:t xml:space="preserve"> </w:t>
      </w:r>
      <w:r w:rsidRPr="00CF09D0">
        <w:rPr>
          <w:rStyle w:val="af7"/>
          <w:rFonts w:eastAsia="Guttman Hodes" w:hint="cs"/>
          <w:rtl/>
        </w:rPr>
        <w:t>(סי' ט"ז או' ו' ד"ה ויסוד)</w:t>
      </w:r>
      <w:r>
        <w:rPr>
          <w:rFonts w:hint="cs"/>
          <w:rtl/>
        </w:rPr>
        <w:t xml:space="preserve"> בדברי </w:t>
      </w:r>
      <w:r w:rsidRPr="00CF09D0">
        <w:rPr>
          <w:rStyle w:val="af9"/>
          <w:rFonts w:hint="cs"/>
          <w:rtl/>
        </w:rPr>
        <w:t>רבינו גרשום</w:t>
      </w:r>
      <w:r>
        <w:rPr>
          <w:rFonts w:hint="cs"/>
          <w:rtl/>
        </w:rPr>
        <w:t>.</w:t>
      </w:r>
    </w:p>
    <w:p w:rsidR="00E874E8" w:rsidRDefault="00E874E8" w:rsidP="00E874E8">
      <w:pPr>
        <w:pStyle w:val="1"/>
        <w:rPr>
          <w:rtl/>
        </w:rPr>
      </w:pPr>
      <w:bookmarkStart w:id="5464" w:name="_Toc55739960"/>
      <w:bookmarkStart w:id="5465" w:name="_Toc56372862"/>
      <w:bookmarkStart w:id="5466" w:name="_Toc56458210"/>
      <w:bookmarkStart w:id="5467" w:name="_Toc56544371"/>
      <w:bookmarkStart w:id="5468" w:name="_Toc56609820"/>
      <w:bookmarkStart w:id="5469" w:name="_Toc56626656"/>
      <w:bookmarkStart w:id="5470" w:name="_Toc56630124"/>
      <w:bookmarkStart w:id="5471" w:name="_Toc56636981"/>
      <w:bookmarkStart w:id="5472" w:name="_Toc56638115"/>
      <w:bookmarkStart w:id="5473" w:name="_Toc56640959"/>
      <w:bookmarkStart w:id="5474" w:name="_Toc55739976"/>
      <w:bookmarkStart w:id="5475" w:name="_Toc56372870"/>
      <w:r>
        <w:rPr>
          <w:rFonts w:hint="cs"/>
          <w:rtl/>
        </w:rPr>
        <w:t>משמעות הרמב"ן בדין צנא דפירי דחזקת ג"ש היא תקנ"ח</w:t>
      </w:r>
      <w:bookmarkEnd w:id="5464"/>
      <w:bookmarkEnd w:id="5465"/>
      <w:bookmarkEnd w:id="5466"/>
      <w:bookmarkEnd w:id="5467"/>
      <w:bookmarkEnd w:id="5468"/>
      <w:bookmarkEnd w:id="5469"/>
      <w:bookmarkEnd w:id="5470"/>
      <w:bookmarkEnd w:id="5471"/>
      <w:bookmarkEnd w:id="5472"/>
      <w:bookmarkEnd w:id="5473"/>
    </w:p>
    <w:p w:rsidR="00E874E8" w:rsidRPr="00F97DA2" w:rsidRDefault="00E874E8" w:rsidP="00E874E8">
      <w:pPr>
        <w:pStyle w:val="a3"/>
        <w:rPr>
          <w:rtl/>
        </w:rPr>
      </w:pPr>
      <w:bookmarkStart w:id="5476" w:name="_Toc56609821"/>
      <w:bookmarkStart w:id="5477" w:name="_Toc56626657"/>
      <w:bookmarkStart w:id="5478" w:name="_Toc56630125"/>
      <w:bookmarkStart w:id="5479" w:name="_Toc56636982"/>
      <w:bookmarkStart w:id="5480" w:name="_Toc56638116"/>
      <w:bookmarkStart w:id="5481" w:name="_Toc56640960"/>
      <w:r w:rsidRPr="002253EF">
        <w:rPr>
          <w:rtl/>
        </w:rPr>
        <w:t>דברי הי"מ ברמב"ן דהו"א בגמ' לקמן דבטוען לפירות הורדתיו לא תיקנו חכמים חזקת ג"ש</w:t>
      </w:r>
      <w:bookmarkEnd w:id="5476"/>
      <w:bookmarkEnd w:id="5477"/>
      <w:bookmarkEnd w:id="5478"/>
      <w:bookmarkEnd w:id="5479"/>
      <w:bookmarkEnd w:id="5480"/>
      <w:bookmarkEnd w:id="5481"/>
    </w:p>
    <w:p w:rsidR="00E874E8" w:rsidRDefault="00E874E8" w:rsidP="007E4E81">
      <w:pPr>
        <w:pStyle w:val="a0"/>
        <w:rPr>
          <w:sz w:val="10"/>
          <w:szCs w:val="14"/>
          <w:rtl/>
        </w:rPr>
      </w:pPr>
      <w:r w:rsidRPr="00BD09DD">
        <w:rPr>
          <w:rFonts w:hint="cs"/>
          <w:rtl/>
        </w:rPr>
        <w:t>בהא דאיתא בגמ' לקמן</w:t>
      </w:r>
      <w:r w:rsidRPr="00226C08">
        <w:rPr>
          <w:rStyle w:val="af7"/>
          <w:rFonts w:eastAsia="Guttman Hodes" w:hint="cs"/>
          <w:rtl/>
        </w:rPr>
        <w:t xml:space="preserve"> (לה:) </w:t>
      </w:r>
      <w:r w:rsidRPr="00BD09DD">
        <w:rPr>
          <w:rFonts w:hint="cs"/>
          <w:rtl/>
        </w:rPr>
        <w:t xml:space="preserve">דאי דלה ליה צנא דפירי נאמן לטעון לפירות הורדתיו, רק בתוך ג"ש אבל לאחר ג"ש אינו נאמן והוי חזקה, כתב </w:t>
      </w:r>
      <w:r w:rsidRPr="001549A4">
        <w:rPr>
          <w:rStyle w:val="af9"/>
          <w:rFonts w:hint="cs"/>
          <w:rtl/>
        </w:rPr>
        <w:t>הרמב"ן לקמן</w:t>
      </w:r>
      <w:r w:rsidRPr="00BD09DD">
        <w:rPr>
          <w:rFonts w:hint="cs"/>
          <w:rtl/>
        </w:rPr>
        <w:t xml:space="preserve"> </w:t>
      </w:r>
      <w:r w:rsidRPr="00226C08">
        <w:rPr>
          <w:rStyle w:val="af7"/>
          <w:rFonts w:eastAsia="Guttman Hodes" w:hint="cs"/>
          <w:rtl/>
        </w:rPr>
        <w:t xml:space="preserve">(לה: ד"ה והני מילי) </w:t>
      </w:r>
      <w:r>
        <w:rPr>
          <w:rFonts w:hint="cs"/>
          <w:rtl/>
        </w:rPr>
        <w:t xml:space="preserve">בשם </w:t>
      </w:r>
      <w:r w:rsidRPr="001549A4">
        <w:rPr>
          <w:rStyle w:val="af9"/>
          <w:rFonts w:hint="cs"/>
          <w:rtl/>
        </w:rPr>
        <w:t>י"מ</w:t>
      </w:r>
      <w:r>
        <w:rPr>
          <w:rFonts w:hint="cs"/>
          <w:rtl/>
        </w:rPr>
        <w:t xml:space="preserve"> </w:t>
      </w:r>
      <w:r w:rsidRPr="00BD09DD">
        <w:rPr>
          <w:rFonts w:hint="cs"/>
          <w:rtl/>
        </w:rPr>
        <w:t xml:space="preserve">דאעפ"י </w:t>
      </w:r>
      <w:r>
        <w:rPr>
          <w:rFonts w:hint="cs"/>
          <w:rtl/>
        </w:rPr>
        <w:t>ד</w:t>
      </w:r>
      <w:r w:rsidRPr="00BD09DD">
        <w:rPr>
          <w:rFonts w:hint="cs"/>
          <w:rtl/>
        </w:rPr>
        <w:t>תנן במתני'</w:t>
      </w:r>
      <w:r w:rsidRPr="00226C08">
        <w:rPr>
          <w:rStyle w:val="af7"/>
          <w:rFonts w:eastAsia="Guttman Hodes" w:hint="cs"/>
          <w:rtl/>
        </w:rPr>
        <w:t xml:space="preserve"> (כח.) </w:t>
      </w:r>
      <w:r w:rsidRPr="00BD09DD">
        <w:rPr>
          <w:rFonts w:hint="cs"/>
          <w:rtl/>
        </w:rPr>
        <w:t>דלאחר ג"ש הוי חזקה, ואי יכול לטעון לפירות הורדתיו, עקרת את כל החזקות, מ"מ ה</w:t>
      </w:r>
      <w:r>
        <w:rPr>
          <w:rFonts w:hint="cs"/>
          <w:rtl/>
        </w:rPr>
        <w:t>וצרכה הגמ' לומר דאינו נאמן, ד</w:t>
      </w:r>
      <w:r w:rsidRPr="00BD09DD">
        <w:rPr>
          <w:rFonts w:hint="cs"/>
          <w:rtl/>
        </w:rPr>
        <w:t>הו"א</w:t>
      </w:r>
      <w:r>
        <w:rPr>
          <w:rFonts w:hint="cs"/>
          <w:rtl/>
        </w:rPr>
        <w:t xml:space="preserve"> </w:t>
      </w:r>
      <w:r w:rsidRPr="00BD09DD">
        <w:rPr>
          <w:rFonts w:hint="cs"/>
          <w:rtl/>
        </w:rPr>
        <w:t>דכל תקנת חכמים של חזקה היא רק כשהמערער טוען שגזלה ממנו, אבל אם טוען לפירות הורדתיו, לא הוי חזקה, ו</w:t>
      </w:r>
      <w:r>
        <w:rPr>
          <w:rFonts w:hint="cs"/>
          <w:rtl/>
        </w:rPr>
        <w:t>עיי"ש במה ש</w:t>
      </w:r>
      <w:r w:rsidRPr="00BD09DD">
        <w:rPr>
          <w:rFonts w:hint="cs"/>
          <w:rtl/>
        </w:rPr>
        <w:t xml:space="preserve">דחה </w:t>
      </w:r>
      <w:r w:rsidRPr="001549A4">
        <w:rPr>
          <w:rStyle w:val="af9"/>
          <w:rFonts w:hint="cs"/>
          <w:rtl/>
        </w:rPr>
        <w:t>הרמב"ן</w:t>
      </w:r>
      <w:r>
        <w:rPr>
          <w:rFonts w:hint="cs"/>
          <w:rtl/>
        </w:rPr>
        <w:t xml:space="preserve"> את דברי </w:t>
      </w:r>
      <w:r w:rsidRPr="001549A4">
        <w:rPr>
          <w:rStyle w:val="af9"/>
          <w:rFonts w:hint="cs"/>
          <w:rtl/>
        </w:rPr>
        <w:t>הי"מ</w:t>
      </w:r>
      <w:r>
        <w:rPr>
          <w:rFonts w:hint="cs"/>
          <w:rtl/>
        </w:rPr>
        <w:t>.</w:t>
      </w:r>
    </w:p>
    <w:p w:rsidR="00E874E8" w:rsidRPr="00116648" w:rsidRDefault="00E874E8" w:rsidP="00E874E8">
      <w:pPr>
        <w:pStyle w:val="a3"/>
      </w:pPr>
      <w:bookmarkStart w:id="5482" w:name="_Toc56609822"/>
      <w:bookmarkStart w:id="5483" w:name="_Toc56626658"/>
      <w:bookmarkStart w:id="5484" w:name="_Toc56630126"/>
      <w:bookmarkStart w:id="5485" w:name="_Toc56636983"/>
      <w:bookmarkStart w:id="5486" w:name="_Toc56638117"/>
      <w:bookmarkStart w:id="5487" w:name="_Toc56640961"/>
      <w:r w:rsidRPr="002253EF">
        <w:rPr>
          <w:rtl/>
        </w:rPr>
        <w:t>ביאור הרמב"ן דאין הו"א דאין חזקה והגמ' מקשה דאי נאמן מה הועילו חכמים כשתיקנו חזקה</w:t>
      </w:r>
      <w:bookmarkEnd w:id="5482"/>
      <w:bookmarkEnd w:id="5483"/>
      <w:bookmarkEnd w:id="5484"/>
      <w:bookmarkEnd w:id="5485"/>
      <w:bookmarkEnd w:id="5486"/>
      <w:bookmarkEnd w:id="5487"/>
    </w:p>
    <w:p w:rsidR="00E874E8" w:rsidRPr="005F0D66" w:rsidRDefault="00E874E8" w:rsidP="007E4E81">
      <w:pPr>
        <w:pStyle w:val="a0"/>
        <w:rPr>
          <w:rStyle w:val="afb"/>
          <w:rtl/>
        </w:rPr>
      </w:pPr>
      <w:r>
        <w:rPr>
          <w:rFonts w:hint="cs"/>
          <w:rtl/>
        </w:rPr>
        <w:t xml:space="preserve">אלא כתב </w:t>
      </w:r>
      <w:r w:rsidRPr="001549A4">
        <w:rPr>
          <w:rStyle w:val="af9"/>
          <w:rFonts w:hint="cs"/>
          <w:rtl/>
        </w:rPr>
        <w:t>הרמב"ן</w:t>
      </w:r>
      <w:r>
        <w:rPr>
          <w:rFonts w:hint="cs"/>
          <w:rtl/>
        </w:rPr>
        <w:t xml:space="preserve"> לקמן דהא דאמר רב אשי בגמ' לקמן דאי הורידו לפירות מאי הו"ל למעבד, דאין כוונת רב אשי להקשות דיהיה נאמן ול"מ חזקת ג"ש בטוען לפירות הורדתיו, אלא דהקשה רב אשי היאך יתכן שתיקנו חכמים חזקת ג"ש, ולא תיקנו שבהורידו לפירות יוכל לעשות דדבר שתתקיים הקרקע בידו, דא"כ לקתה מידת הדין, דכל שהורידו לפירות מאי הו"ל למעבד. </w:t>
      </w:r>
      <w:r w:rsidRPr="005F0D66">
        <w:rPr>
          <w:rStyle w:val="afb"/>
          <w:rFonts w:hint="cs"/>
          <w:rtl/>
        </w:rPr>
        <w:t xml:space="preserve">[וכתב </w:t>
      </w:r>
      <w:r w:rsidRPr="00A510F2">
        <w:rPr>
          <w:rStyle w:val="affa"/>
          <w:rFonts w:hint="cs"/>
          <w:rtl/>
        </w:rPr>
        <w:t>בחי' רבי נחום</w:t>
      </w:r>
      <w:r w:rsidRPr="005F0D66">
        <w:rPr>
          <w:rStyle w:val="afb"/>
          <w:rFonts w:hint="cs"/>
          <w:rtl/>
        </w:rPr>
        <w:t xml:space="preserve"> </w:t>
      </w:r>
      <w:r w:rsidRPr="004055E5">
        <w:rPr>
          <w:rStyle w:val="aff6"/>
          <w:rFonts w:hint="cs"/>
          <w:rtl/>
        </w:rPr>
        <w:t xml:space="preserve">(או' כ"ה ד"ה והנה בקצה"ח, הובא בסימן ה' אות </w:t>
      </w:r>
      <w:r>
        <w:rPr>
          <w:rStyle w:val="aff6"/>
          <w:rFonts w:hint="cs"/>
          <w:rtl/>
        </w:rPr>
        <w:t>צ"א)</w:t>
      </w:r>
      <w:r>
        <w:rPr>
          <w:rStyle w:val="afb"/>
          <w:rFonts w:hint="cs"/>
          <w:rtl/>
        </w:rPr>
        <w:t xml:space="preserve"> </w:t>
      </w:r>
      <w:r w:rsidRPr="005F0D66">
        <w:rPr>
          <w:rStyle w:val="afb"/>
          <w:rFonts w:hint="cs"/>
          <w:rtl/>
        </w:rPr>
        <w:t>דמבואר מ</w:t>
      </w:r>
      <w:r>
        <w:rPr>
          <w:rStyle w:val="afb"/>
          <w:rFonts w:hint="cs"/>
          <w:rtl/>
        </w:rPr>
        <w:t xml:space="preserve">כל </w:t>
      </w:r>
      <w:r w:rsidRPr="00A510F2">
        <w:rPr>
          <w:rStyle w:val="affa"/>
          <w:rFonts w:hint="cs"/>
          <w:rtl/>
        </w:rPr>
        <w:t>דברי הרמב"ן</w:t>
      </w:r>
      <w:r w:rsidRPr="005F0D66">
        <w:rPr>
          <w:rStyle w:val="afb"/>
          <w:rFonts w:hint="cs"/>
          <w:rtl/>
        </w:rPr>
        <w:t xml:space="preserve"> </w:t>
      </w:r>
      <w:r>
        <w:rPr>
          <w:rStyle w:val="afb"/>
          <w:rFonts w:hint="cs"/>
          <w:rtl/>
        </w:rPr>
        <w:t xml:space="preserve">הללו </w:t>
      </w:r>
      <w:r w:rsidRPr="005F0D66">
        <w:rPr>
          <w:rStyle w:val="afb"/>
          <w:rFonts w:hint="cs"/>
          <w:rtl/>
        </w:rPr>
        <w:t xml:space="preserve">דחזקת ג"ש היא תקנת חכמים, לטובת המחזיק, ודלא </w:t>
      </w:r>
      <w:r w:rsidRPr="00A510F2">
        <w:rPr>
          <w:rStyle w:val="affa"/>
          <w:rFonts w:hint="cs"/>
          <w:rtl/>
        </w:rPr>
        <w:t>כהקצוה"ח</w:t>
      </w:r>
      <w:r w:rsidRPr="005F0D66">
        <w:rPr>
          <w:rStyle w:val="afb"/>
          <w:rFonts w:hint="cs"/>
          <w:rtl/>
        </w:rPr>
        <w:t xml:space="preserve"> </w:t>
      </w:r>
      <w:r w:rsidRPr="004055E5">
        <w:rPr>
          <w:rStyle w:val="aff6"/>
          <w:rFonts w:hint="cs"/>
          <w:rtl/>
        </w:rPr>
        <w:t>(סי</w:t>
      </w:r>
      <w:r w:rsidRPr="004055E5">
        <w:rPr>
          <w:rStyle w:val="aff6"/>
          <w:rtl/>
        </w:rPr>
        <w:t>'</w:t>
      </w:r>
      <w:r w:rsidRPr="004055E5">
        <w:rPr>
          <w:rStyle w:val="aff6"/>
          <w:rFonts w:hint="cs"/>
          <w:rtl/>
        </w:rPr>
        <w:t xml:space="preserve"> ק</w:t>
      </w:r>
      <w:r w:rsidRPr="004055E5">
        <w:rPr>
          <w:rStyle w:val="aff6"/>
          <w:rtl/>
        </w:rPr>
        <w:t>"</w:t>
      </w:r>
      <w:r w:rsidRPr="004055E5">
        <w:rPr>
          <w:rStyle w:val="aff6"/>
          <w:rFonts w:hint="cs"/>
          <w:rtl/>
        </w:rPr>
        <w:t>מ סק</w:t>
      </w:r>
      <w:r w:rsidRPr="004055E5">
        <w:rPr>
          <w:rStyle w:val="aff6"/>
          <w:rtl/>
        </w:rPr>
        <w:t>"</w:t>
      </w:r>
      <w:r w:rsidRPr="004055E5">
        <w:rPr>
          <w:rStyle w:val="aff6"/>
          <w:rFonts w:hint="cs"/>
          <w:rtl/>
        </w:rPr>
        <w:t>ב, הובא בסימן ה' אות כ"ו)</w:t>
      </w:r>
      <w:r w:rsidRPr="005F0D66">
        <w:rPr>
          <w:rStyle w:val="afb"/>
          <w:rFonts w:hint="cs"/>
          <w:rtl/>
        </w:rPr>
        <w:t xml:space="preserve"> </w:t>
      </w:r>
      <w:r>
        <w:rPr>
          <w:rStyle w:val="afb"/>
          <w:rFonts w:hint="cs"/>
          <w:rtl/>
        </w:rPr>
        <w:t>דהוכיח מדברי</w:t>
      </w:r>
      <w:r w:rsidRPr="005F0D66">
        <w:rPr>
          <w:rStyle w:val="afb"/>
          <w:rFonts w:hint="cs"/>
          <w:rtl/>
        </w:rPr>
        <w:t xml:space="preserve"> </w:t>
      </w:r>
      <w:r w:rsidRPr="004055E5">
        <w:rPr>
          <w:rStyle w:val="affa"/>
          <w:rFonts w:hint="cs"/>
          <w:rtl/>
        </w:rPr>
        <w:t>הרמב"ן לקמן</w:t>
      </w:r>
      <w:r>
        <w:rPr>
          <w:rFonts w:hint="cs"/>
          <w:rtl/>
        </w:rPr>
        <w:t xml:space="preserve"> </w:t>
      </w:r>
      <w:r w:rsidRPr="004055E5">
        <w:rPr>
          <w:rStyle w:val="aff6"/>
          <w:rFonts w:hint="cs"/>
          <w:rtl/>
        </w:rPr>
        <w:t>(מב. ד"ה הא, הובא בסימן ה' אות ז')</w:t>
      </w:r>
      <w:r>
        <w:rPr>
          <w:rFonts w:hint="cs"/>
          <w:rtl/>
        </w:rPr>
        <w:t xml:space="preserve"> </w:t>
      </w:r>
      <w:r w:rsidRPr="004055E5">
        <w:rPr>
          <w:rStyle w:val="afb"/>
          <w:rFonts w:hint="cs"/>
          <w:rtl/>
        </w:rPr>
        <w:t>דחז</w:t>
      </w:r>
      <w:r w:rsidRPr="005F0D66">
        <w:rPr>
          <w:rStyle w:val="afb"/>
          <w:rFonts w:hint="cs"/>
          <w:rtl/>
        </w:rPr>
        <w:t xml:space="preserve">קת ג"ש היא </w:t>
      </w:r>
      <w:r>
        <w:rPr>
          <w:rStyle w:val="afb"/>
          <w:rFonts w:hint="cs"/>
          <w:rtl/>
        </w:rPr>
        <w:t xml:space="preserve">ראיה </w:t>
      </w:r>
      <w:r w:rsidRPr="005F0D66">
        <w:rPr>
          <w:rStyle w:val="afb"/>
          <w:rFonts w:hint="cs"/>
          <w:rtl/>
        </w:rPr>
        <w:t>מדאו'].</w:t>
      </w:r>
    </w:p>
    <w:p w:rsidR="00E874E8" w:rsidRDefault="00E874E8" w:rsidP="00E874E8">
      <w:pPr>
        <w:pStyle w:val="1"/>
        <w:rPr>
          <w:rtl/>
        </w:rPr>
      </w:pPr>
      <w:bookmarkStart w:id="5488" w:name="_Toc56636984"/>
      <w:bookmarkStart w:id="5489" w:name="_Toc56638118"/>
      <w:bookmarkStart w:id="5490" w:name="_Toc56640962"/>
      <w:r>
        <w:rPr>
          <w:rtl/>
        </w:rPr>
        <w:t xml:space="preserve">ד' הי"מ ברמב"ן [עיטור] </w:t>
      </w:r>
      <w:r>
        <w:rPr>
          <w:rFonts w:hint="cs"/>
          <w:rtl/>
        </w:rPr>
        <w:t>דאין מחאה בקטן ואין חזקתו חזקה</w:t>
      </w:r>
      <w:bookmarkEnd w:id="5488"/>
      <w:bookmarkEnd w:id="5489"/>
      <w:bookmarkEnd w:id="5490"/>
    </w:p>
    <w:p w:rsidR="00E874E8" w:rsidRPr="00AE335A" w:rsidRDefault="00E874E8" w:rsidP="00E874E8">
      <w:pPr>
        <w:pStyle w:val="a3"/>
        <w:rPr>
          <w:rtl/>
        </w:rPr>
      </w:pPr>
      <w:bookmarkStart w:id="5491" w:name="_Toc56609824"/>
      <w:bookmarkStart w:id="5492" w:name="_Toc56626660"/>
      <w:bookmarkStart w:id="5493" w:name="_Toc56630128"/>
      <w:bookmarkStart w:id="5494" w:name="_Toc56636985"/>
      <w:bookmarkStart w:id="5495" w:name="_Toc56638119"/>
      <w:bookmarkStart w:id="5496" w:name="_Toc56640963"/>
      <w:r w:rsidRPr="004E67DB">
        <w:rPr>
          <w:rtl/>
        </w:rPr>
        <w:t>דעת הי"מ ברמב"ן דאין חזקה לקטן דכיון דאינו יודע להזהר בשטר אין המערער מוחה בו</w:t>
      </w:r>
      <w:bookmarkEnd w:id="5491"/>
      <w:bookmarkEnd w:id="5492"/>
      <w:bookmarkEnd w:id="5493"/>
      <w:bookmarkEnd w:id="5494"/>
      <w:bookmarkEnd w:id="5495"/>
      <w:bookmarkEnd w:id="5496"/>
    </w:p>
    <w:p w:rsidR="00E874E8" w:rsidRPr="002D2011" w:rsidRDefault="00E874E8" w:rsidP="007E4E81">
      <w:pPr>
        <w:pStyle w:val="a0"/>
        <w:rPr>
          <w:rtl/>
        </w:rPr>
      </w:pPr>
      <w:r>
        <w:rPr>
          <w:rFonts w:hint="cs"/>
          <w:rtl/>
        </w:rPr>
        <w:t xml:space="preserve">הביאו </w:t>
      </w:r>
      <w:r w:rsidRPr="00D43AE7">
        <w:rPr>
          <w:rStyle w:val="af9"/>
          <w:rFonts w:hint="cs"/>
          <w:rtl/>
        </w:rPr>
        <w:t>הרמב"ן לקמן</w:t>
      </w:r>
      <w:r>
        <w:rPr>
          <w:rFonts w:hint="cs"/>
          <w:rtl/>
        </w:rPr>
        <w:t xml:space="preserve"> </w:t>
      </w:r>
      <w:r w:rsidRPr="00DB3A04">
        <w:rPr>
          <w:rStyle w:val="af7"/>
          <w:rFonts w:eastAsia="Guttman Hodes" w:hint="cs"/>
          <w:rtl/>
        </w:rPr>
        <w:t>(מב. ד"ה הא)</w:t>
      </w:r>
      <w:r>
        <w:rPr>
          <w:rFonts w:hint="cs"/>
          <w:rtl/>
        </w:rPr>
        <w:t xml:space="preserve"> </w:t>
      </w:r>
      <w:r w:rsidRPr="00D43AE7">
        <w:rPr>
          <w:rStyle w:val="af9"/>
          <w:rFonts w:hint="cs"/>
          <w:rtl/>
        </w:rPr>
        <w:t>והרשב"א לקמן</w:t>
      </w:r>
      <w:r>
        <w:rPr>
          <w:rFonts w:hint="cs"/>
          <w:rtl/>
        </w:rPr>
        <w:t xml:space="preserve"> </w:t>
      </w:r>
      <w:r w:rsidRPr="00DB3A04">
        <w:rPr>
          <w:rStyle w:val="af7"/>
          <w:rFonts w:eastAsia="Guttman Hodes" w:hint="cs"/>
          <w:rtl/>
        </w:rPr>
        <w:t>(מב. ד"ה הא)</w:t>
      </w:r>
      <w:r>
        <w:rPr>
          <w:rFonts w:hint="cs"/>
          <w:rtl/>
        </w:rPr>
        <w:t xml:space="preserve"> </w:t>
      </w:r>
      <w:r w:rsidRPr="00D43AE7">
        <w:rPr>
          <w:rStyle w:val="af9"/>
          <w:rFonts w:hint="cs"/>
          <w:rtl/>
        </w:rPr>
        <w:t>והר"ן לקמן</w:t>
      </w:r>
      <w:r>
        <w:rPr>
          <w:rFonts w:hint="cs"/>
          <w:rtl/>
        </w:rPr>
        <w:t xml:space="preserve"> </w:t>
      </w:r>
      <w:r w:rsidRPr="00DB3A04">
        <w:rPr>
          <w:rStyle w:val="af7"/>
          <w:rFonts w:eastAsia="Guttman Hodes" w:hint="cs"/>
          <w:rtl/>
        </w:rPr>
        <w:t>(מב. ד"ה אכלה)</w:t>
      </w:r>
      <w:r>
        <w:rPr>
          <w:rFonts w:hint="cs"/>
          <w:rtl/>
        </w:rPr>
        <w:t xml:space="preserve"> בשם </w:t>
      </w:r>
      <w:r w:rsidRPr="00D43AE7">
        <w:rPr>
          <w:rStyle w:val="af9"/>
          <w:rFonts w:hint="cs"/>
          <w:rtl/>
        </w:rPr>
        <w:t>י"מ</w:t>
      </w:r>
      <w:r>
        <w:rPr>
          <w:rFonts w:hint="cs"/>
          <w:rtl/>
        </w:rPr>
        <w:t xml:space="preserve"> [</w:t>
      </w:r>
      <w:r w:rsidRPr="00967B38">
        <w:rPr>
          <w:rStyle w:val="af9"/>
          <w:rFonts w:hint="cs"/>
          <w:rtl/>
        </w:rPr>
        <w:t>העיטור</w:t>
      </w:r>
      <w:r>
        <w:rPr>
          <w:rFonts w:hint="cs"/>
          <w:rtl/>
        </w:rPr>
        <w:t xml:space="preserve"> </w:t>
      </w:r>
      <w:r w:rsidRPr="00967B38">
        <w:rPr>
          <w:rStyle w:val="aff6"/>
          <w:rFonts w:hint="cs"/>
          <w:rtl/>
        </w:rPr>
        <w:t>(</w:t>
      </w:r>
      <w:r w:rsidRPr="004F0316">
        <w:rPr>
          <w:rStyle w:val="af7"/>
          <w:rFonts w:eastAsia="Guttman Hodes" w:hint="cs"/>
          <w:rtl/>
        </w:rPr>
        <w:t>או' מ' מחאה (מודעה) מה: הועתק בקובץ שיטות קמאי ב"ב ח"ב עמ' אלף פ')</w:t>
      </w:r>
      <w:r>
        <w:rPr>
          <w:rFonts w:hint="cs"/>
          <w:rtl/>
        </w:rPr>
        <w:t xml:space="preserve">] דקטן שהחזיק בקרקע, אין חזקתו חזקה כיון שקטן אינו בר מחאה, וא"כ אף החזקתו אינה חזקה, דאף אם ימחה בו המערער, אין הקטן יודע להזהר בשטרו, ולכן המערער אינו מוחה בו, ועי' במה שדחו </w:t>
      </w:r>
      <w:r w:rsidRPr="003E26A4">
        <w:rPr>
          <w:rStyle w:val="af9"/>
          <w:rFonts w:hint="cs"/>
          <w:rtl/>
        </w:rPr>
        <w:t>הרמב"ן והרשב"א והר"ן</w:t>
      </w:r>
      <w:r>
        <w:rPr>
          <w:rFonts w:hint="cs"/>
          <w:rtl/>
        </w:rPr>
        <w:t xml:space="preserve"> </w:t>
      </w:r>
      <w:r w:rsidRPr="003E26A4">
        <w:rPr>
          <w:rStyle w:val="af7"/>
          <w:rFonts w:eastAsia="Guttman Hodes" w:hint="cs"/>
          <w:rtl/>
        </w:rPr>
        <w:t xml:space="preserve">(הובא בסימן ה' אות כ') </w:t>
      </w:r>
      <w:r>
        <w:rPr>
          <w:rFonts w:hint="cs"/>
          <w:rtl/>
        </w:rPr>
        <w:t xml:space="preserve">את דעת </w:t>
      </w:r>
      <w:r w:rsidRPr="003E26A4">
        <w:rPr>
          <w:rStyle w:val="af9"/>
          <w:rFonts w:hint="cs"/>
          <w:rtl/>
        </w:rPr>
        <w:t>הי"מ</w:t>
      </w:r>
      <w:r>
        <w:rPr>
          <w:rFonts w:hint="cs"/>
          <w:rtl/>
        </w:rPr>
        <w:t xml:space="preserve">, ועי' במה שביארו </w:t>
      </w:r>
      <w:r w:rsidRPr="004C6AE1">
        <w:rPr>
          <w:rStyle w:val="af9"/>
          <w:rFonts w:hint="cs"/>
          <w:rtl/>
        </w:rPr>
        <w:t xml:space="preserve">בחי' </w:t>
      </w:r>
      <w:r w:rsidRPr="00EF1418">
        <w:rPr>
          <w:rStyle w:val="af9"/>
          <w:rFonts w:hint="cs"/>
          <w:rtl/>
        </w:rPr>
        <w:t>רבי נחום</w:t>
      </w:r>
      <w:r w:rsidRPr="00EF1418">
        <w:rPr>
          <w:rFonts w:hint="cs"/>
          <w:rtl/>
        </w:rPr>
        <w:t xml:space="preserve"> </w:t>
      </w:r>
      <w:r w:rsidRPr="00EF1418">
        <w:rPr>
          <w:rStyle w:val="af7"/>
          <w:rFonts w:eastAsia="Guttman Hodes" w:hint="cs"/>
          <w:rtl/>
        </w:rPr>
        <w:t xml:space="preserve">(עי' אות </w:t>
      </w:r>
      <w:r w:rsidRPr="00EF1418">
        <w:rPr>
          <w:rStyle w:val="af7"/>
          <w:rFonts w:eastAsia="Guttman Hodes"/>
          <w:rtl/>
        </w:rPr>
        <w:fldChar w:fldCharType="begin"/>
      </w:r>
      <w:r w:rsidRPr="00EF1418">
        <w:rPr>
          <w:rStyle w:val="af7"/>
          <w:rFonts w:eastAsia="Guttman Hodes"/>
          <w:rtl/>
        </w:rPr>
        <w:instrText xml:space="preserve"> </w:instrText>
      </w:r>
      <w:r w:rsidRPr="00EF1418">
        <w:rPr>
          <w:rStyle w:val="af7"/>
          <w:rFonts w:eastAsia="Guttman Hodes" w:hint="cs"/>
        </w:rPr>
        <w:instrText>REF</w:instrText>
      </w:r>
      <w:r w:rsidRPr="00EF1418">
        <w:rPr>
          <w:rStyle w:val="af7"/>
          <w:rFonts w:eastAsia="Guttman Hodes" w:hint="cs"/>
          <w:rtl/>
        </w:rPr>
        <w:instrText xml:space="preserve"> _</w:instrText>
      </w:r>
      <w:r w:rsidRPr="00EF1418">
        <w:rPr>
          <w:rStyle w:val="af7"/>
          <w:rFonts w:eastAsia="Guttman Hodes" w:hint="cs"/>
        </w:rPr>
        <w:instrText>Ref56630262 \r \h</w:instrText>
      </w:r>
      <w:r w:rsidRPr="00EF1418">
        <w:rPr>
          <w:rStyle w:val="af7"/>
          <w:rFonts w:eastAsia="Guttman Hodes"/>
          <w:rtl/>
        </w:rPr>
        <w:instrText xml:space="preserve">  \* </w:instrText>
      </w:r>
      <w:r w:rsidRPr="00EF1418">
        <w:rPr>
          <w:rStyle w:val="af7"/>
          <w:rFonts w:eastAsia="Guttman Hodes"/>
        </w:rPr>
        <w:instrText>MERGEFORMAT</w:instrText>
      </w:r>
      <w:r w:rsidRPr="00EF1418">
        <w:rPr>
          <w:rStyle w:val="af7"/>
          <w:rFonts w:eastAsia="Guttman Hodes"/>
          <w:rtl/>
        </w:rPr>
        <w:instrText xml:space="preserve"> </w:instrText>
      </w:r>
      <w:r w:rsidRPr="00EF1418">
        <w:rPr>
          <w:rStyle w:val="af7"/>
          <w:rFonts w:eastAsia="Guttman Hodes"/>
          <w:rtl/>
        </w:rPr>
      </w:r>
      <w:r w:rsidRPr="00EF1418">
        <w:rPr>
          <w:rStyle w:val="af7"/>
          <w:rFonts w:eastAsia="Guttman Hodes"/>
          <w:rtl/>
        </w:rPr>
        <w:fldChar w:fldCharType="separate"/>
      </w:r>
      <w:r w:rsidR="00265073">
        <w:rPr>
          <w:rStyle w:val="af7"/>
          <w:rFonts w:eastAsia="Guttman Hodes"/>
          <w:cs/>
        </w:rPr>
        <w:t>‎</w:t>
      </w:r>
      <w:r w:rsidR="00265073">
        <w:rPr>
          <w:rStyle w:val="af7"/>
          <w:rFonts w:eastAsia="Guttman Hodes"/>
          <w:rtl/>
        </w:rPr>
        <w:t>קכד)</w:t>
      </w:r>
      <w:r w:rsidRPr="00EF1418">
        <w:rPr>
          <w:rStyle w:val="af7"/>
          <w:rFonts w:eastAsia="Guttman Hodes"/>
          <w:rtl/>
        </w:rPr>
        <w:fldChar w:fldCharType="end"/>
      </w:r>
      <w:r w:rsidRPr="00EF1418">
        <w:rPr>
          <w:rStyle w:val="af9"/>
          <w:rFonts w:hint="cs"/>
          <w:rtl/>
        </w:rPr>
        <w:t xml:space="preserve"> ובקוב"ש</w:t>
      </w:r>
      <w:r w:rsidRPr="00EF1418">
        <w:rPr>
          <w:rStyle w:val="af7"/>
          <w:rFonts w:eastAsia="Guttman Hodes" w:hint="cs"/>
          <w:rtl/>
        </w:rPr>
        <w:t xml:space="preserve"> (עי' אות </w:t>
      </w:r>
      <w:r w:rsidRPr="00EF1418">
        <w:rPr>
          <w:rStyle w:val="af7"/>
          <w:rFonts w:eastAsia="Guttman Hodes"/>
          <w:rtl/>
        </w:rPr>
        <w:fldChar w:fldCharType="begin"/>
      </w:r>
      <w:r w:rsidRPr="00EF1418">
        <w:rPr>
          <w:rStyle w:val="af7"/>
          <w:rFonts w:eastAsia="Guttman Hodes"/>
          <w:rtl/>
        </w:rPr>
        <w:instrText xml:space="preserve"> </w:instrText>
      </w:r>
      <w:r w:rsidRPr="00EF1418">
        <w:rPr>
          <w:rStyle w:val="af7"/>
          <w:rFonts w:eastAsia="Guttman Hodes" w:hint="cs"/>
        </w:rPr>
        <w:instrText>REF</w:instrText>
      </w:r>
      <w:r w:rsidRPr="00EF1418">
        <w:rPr>
          <w:rStyle w:val="af7"/>
          <w:rFonts w:eastAsia="Guttman Hodes" w:hint="cs"/>
          <w:rtl/>
        </w:rPr>
        <w:instrText xml:space="preserve"> _</w:instrText>
      </w:r>
      <w:r w:rsidRPr="00EF1418">
        <w:rPr>
          <w:rStyle w:val="af7"/>
          <w:rFonts w:eastAsia="Guttman Hodes" w:hint="cs"/>
        </w:rPr>
        <w:instrText>Ref56630271 \r \h</w:instrText>
      </w:r>
      <w:r w:rsidRPr="00EF1418">
        <w:rPr>
          <w:rStyle w:val="af7"/>
          <w:rFonts w:eastAsia="Guttman Hodes"/>
          <w:rtl/>
        </w:rPr>
        <w:instrText xml:space="preserve">  \* </w:instrText>
      </w:r>
      <w:r w:rsidRPr="00EF1418">
        <w:rPr>
          <w:rStyle w:val="af7"/>
          <w:rFonts w:eastAsia="Guttman Hodes"/>
        </w:rPr>
        <w:instrText>MERGEFORMAT</w:instrText>
      </w:r>
      <w:r w:rsidRPr="00EF1418">
        <w:rPr>
          <w:rStyle w:val="af7"/>
          <w:rFonts w:eastAsia="Guttman Hodes"/>
          <w:rtl/>
        </w:rPr>
        <w:instrText xml:space="preserve"> </w:instrText>
      </w:r>
      <w:r w:rsidRPr="00EF1418">
        <w:rPr>
          <w:rStyle w:val="af7"/>
          <w:rFonts w:eastAsia="Guttman Hodes"/>
          <w:rtl/>
        </w:rPr>
      </w:r>
      <w:r w:rsidRPr="00EF1418">
        <w:rPr>
          <w:rStyle w:val="af7"/>
          <w:rFonts w:eastAsia="Guttman Hodes"/>
          <w:rtl/>
        </w:rPr>
        <w:fldChar w:fldCharType="separate"/>
      </w:r>
      <w:r w:rsidR="00265073">
        <w:rPr>
          <w:rStyle w:val="af7"/>
          <w:rFonts w:eastAsia="Guttman Hodes"/>
          <w:cs/>
        </w:rPr>
        <w:t>‎</w:t>
      </w:r>
      <w:r w:rsidR="00265073">
        <w:rPr>
          <w:rStyle w:val="af7"/>
          <w:rFonts w:eastAsia="Guttman Hodes"/>
          <w:rtl/>
        </w:rPr>
        <w:t>קכו)</w:t>
      </w:r>
      <w:r w:rsidRPr="00EF1418">
        <w:rPr>
          <w:rStyle w:val="af7"/>
          <w:rFonts w:eastAsia="Guttman Hodes"/>
          <w:rtl/>
        </w:rPr>
        <w:fldChar w:fldCharType="end"/>
      </w:r>
      <w:r w:rsidRPr="00EF1418">
        <w:rPr>
          <w:rStyle w:val="af7"/>
          <w:rFonts w:eastAsia="Guttman Hodes" w:hint="cs"/>
          <w:rtl/>
        </w:rPr>
        <w:t xml:space="preserve"> </w:t>
      </w:r>
      <w:r w:rsidRPr="00EF1418">
        <w:rPr>
          <w:rFonts w:hint="cs"/>
          <w:rtl/>
        </w:rPr>
        <w:t xml:space="preserve">דס"ל </w:t>
      </w:r>
      <w:r w:rsidRPr="00EF1418">
        <w:rPr>
          <w:rStyle w:val="af9"/>
          <w:rFonts w:hint="cs"/>
          <w:rtl/>
        </w:rPr>
        <w:t xml:space="preserve">להי"מ </w:t>
      </w:r>
      <w:r w:rsidRPr="00EF1418">
        <w:rPr>
          <w:rStyle w:val="af9"/>
          <w:rFonts w:hint="cs"/>
          <w:rtl/>
        </w:rPr>
        <w:lastRenderedPageBreak/>
        <w:t xml:space="preserve">ברמב"ן </w:t>
      </w:r>
      <w:r w:rsidRPr="00EF1418">
        <w:rPr>
          <w:rFonts w:hint="cs"/>
          <w:rtl/>
        </w:rPr>
        <w:t xml:space="preserve">דחזקת ג"ש היא מתקנת חכמים, אמנם יעוי' במה שביאר </w:t>
      </w:r>
      <w:r w:rsidRPr="00EF1418">
        <w:rPr>
          <w:rStyle w:val="af9"/>
          <w:rFonts w:hint="cs"/>
          <w:rtl/>
        </w:rPr>
        <w:t>הקה"י</w:t>
      </w:r>
      <w:r w:rsidRPr="00EF1418">
        <w:rPr>
          <w:rFonts w:hint="cs"/>
          <w:rtl/>
        </w:rPr>
        <w:t xml:space="preserve"> </w:t>
      </w:r>
      <w:r w:rsidRPr="00EF1418">
        <w:rPr>
          <w:rStyle w:val="af7"/>
          <w:rFonts w:eastAsia="Guttman Hodes" w:hint="cs"/>
          <w:rtl/>
        </w:rPr>
        <w:t xml:space="preserve">(סי' י"ח או' ה' ד"ה והנה, הובא בסימן ה' אות </w:t>
      </w:r>
      <w:r>
        <w:rPr>
          <w:rStyle w:val="af7"/>
          <w:rFonts w:eastAsia="Guttman Hodes" w:hint="cs"/>
          <w:rtl/>
        </w:rPr>
        <w:t>קי"ז</w:t>
      </w:r>
      <w:r w:rsidRPr="00EF1418">
        <w:rPr>
          <w:rStyle w:val="af7"/>
          <w:rFonts w:eastAsia="Guttman Hodes" w:hint="cs"/>
          <w:rtl/>
        </w:rPr>
        <w:t>)</w:t>
      </w:r>
      <w:r w:rsidRPr="00EF1418">
        <w:rPr>
          <w:rFonts w:hint="cs"/>
          <w:rtl/>
        </w:rPr>
        <w:t xml:space="preserve"> בדעת </w:t>
      </w:r>
      <w:r w:rsidRPr="00EF1418">
        <w:rPr>
          <w:rStyle w:val="af9"/>
          <w:rFonts w:hint="cs"/>
          <w:rtl/>
        </w:rPr>
        <w:t xml:space="preserve">הי"מ </w:t>
      </w:r>
      <w:r w:rsidRPr="00EF1418">
        <w:rPr>
          <w:rFonts w:hint="cs"/>
          <w:rtl/>
        </w:rPr>
        <w:t>דלא ס"ל דהחזקה מתקנת חכמים.</w:t>
      </w:r>
      <w:r w:rsidRPr="002D2011">
        <w:rPr>
          <w:rFonts w:hint="cs"/>
          <w:rtl/>
        </w:rPr>
        <w:t xml:space="preserve"> </w:t>
      </w:r>
    </w:p>
    <w:p w:rsidR="00E874E8" w:rsidRDefault="00E874E8" w:rsidP="00E874E8">
      <w:pPr>
        <w:pStyle w:val="1"/>
        <w:rPr>
          <w:rtl/>
        </w:rPr>
      </w:pPr>
      <w:bookmarkStart w:id="5497" w:name="_Toc55569204"/>
      <w:bookmarkStart w:id="5498" w:name="_Toc55718315"/>
      <w:bookmarkStart w:id="5499" w:name="_Toc55739975"/>
      <w:bookmarkStart w:id="5500" w:name="_Toc56372868"/>
      <w:bookmarkStart w:id="5501" w:name="_Toc56458209"/>
      <w:bookmarkStart w:id="5502" w:name="_Toc56544373"/>
      <w:bookmarkStart w:id="5503" w:name="_Toc56609825"/>
      <w:bookmarkStart w:id="5504" w:name="_Toc56626661"/>
      <w:bookmarkStart w:id="5505" w:name="_Toc56630129"/>
      <w:bookmarkStart w:id="5506" w:name="_Toc56636986"/>
      <w:bookmarkStart w:id="5507" w:name="_Toc56638120"/>
      <w:bookmarkStart w:id="5508" w:name="_Toc56640964"/>
      <w:bookmarkStart w:id="5509" w:name="_Toc56458212"/>
      <w:r>
        <w:rPr>
          <w:rFonts w:hint="cs"/>
          <w:rtl/>
        </w:rPr>
        <w:t>דברי רש"י בכתובות</w:t>
      </w:r>
      <w:bookmarkEnd w:id="5497"/>
      <w:bookmarkEnd w:id="5498"/>
      <w:bookmarkEnd w:id="5499"/>
      <w:bookmarkEnd w:id="5500"/>
      <w:bookmarkEnd w:id="5501"/>
      <w:bookmarkEnd w:id="5502"/>
      <w:bookmarkEnd w:id="5503"/>
      <w:bookmarkEnd w:id="5504"/>
      <w:bookmarkEnd w:id="5505"/>
      <w:r>
        <w:rPr>
          <w:rFonts w:hint="cs"/>
          <w:rtl/>
        </w:rPr>
        <w:t xml:space="preserve"> דתיקנו חזקת ג"ש שהמחזיק נאמן בלי שטר</w:t>
      </w:r>
      <w:bookmarkEnd w:id="5506"/>
      <w:bookmarkEnd w:id="5507"/>
      <w:bookmarkEnd w:id="5508"/>
    </w:p>
    <w:p w:rsidR="00E874E8" w:rsidRDefault="00E874E8" w:rsidP="00E874E8">
      <w:pPr>
        <w:pStyle w:val="a3"/>
        <w:rPr>
          <w:rtl/>
        </w:rPr>
      </w:pPr>
      <w:bookmarkStart w:id="5510" w:name="_Toc56609826"/>
      <w:bookmarkStart w:id="5511" w:name="_Toc56626662"/>
      <w:bookmarkStart w:id="5512" w:name="_Toc56630130"/>
      <w:bookmarkStart w:id="5513" w:name="_Toc56636987"/>
      <w:bookmarkStart w:id="5514" w:name="_Toc56638121"/>
      <w:bookmarkStart w:id="5515" w:name="_Toc56640965"/>
      <w:r>
        <w:rPr>
          <w:rFonts w:hint="cs"/>
          <w:rtl/>
        </w:rPr>
        <w:t>דברי רש"י בכתובות דחכמים תיקנו ג"ש למחזיק בלא ערעור דאינו נזהר בשטר ונאמן שקנה</w:t>
      </w:r>
      <w:bookmarkEnd w:id="5510"/>
      <w:bookmarkEnd w:id="5511"/>
      <w:bookmarkEnd w:id="5512"/>
      <w:bookmarkEnd w:id="5513"/>
      <w:bookmarkEnd w:id="5514"/>
      <w:bookmarkEnd w:id="5515"/>
    </w:p>
    <w:p w:rsidR="00E874E8" w:rsidRPr="00D7163B" w:rsidRDefault="00E874E8" w:rsidP="007E4E81">
      <w:pPr>
        <w:pStyle w:val="a0"/>
        <w:rPr>
          <w:rtl/>
        </w:rPr>
      </w:pPr>
      <w:bookmarkStart w:id="5516" w:name="_Ref56618506"/>
      <w:r>
        <w:rPr>
          <w:rFonts w:hint="cs"/>
          <w:rtl/>
        </w:rPr>
        <w:t xml:space="preserve">כתב </w:t>
      </w:r>
      <w:r w:rsidRPr="00504582">
        <w:rPr>
          <w:rStyle w:val="af9"/>
          <w:rFonts w:hint="cs"/>
          <w:rtl/>
        </w:rPr>
        <w:t>רש"י בכתובות</w:t>
      </w:r>
      <w:r>
        <w:rPr>
          <w:rFonts w:hint="cs"/>
          <w:rtl/>
        </w:rPr>
        <w:t xml:space="preserve"> </w:t>
      </w:r>
      <w:r w:rsidRPr="00504582">
        <w:rPr>
          <w:rStyle w:val="af7"/>
          <w:rFonts w:eastAsia="Guttman Hodes" w:hint="cs"/>
          <w:rtl/>
        </w:rPr>
        <w:t>(יז: ד"ה שני חזקה)</w:t>
      </w:r>
      <w:r>
        <w:rPr>
          <w:rFonts w:hint="cs"/>
          <w:rtl/>
        </w:rPr>
        <w:t xml:space="preserve"> דתיקנו חכמים ג"ש לכל מי שמחזיק בקרקע, דאחר שאכל ג"ש בלא ערעור, הוא נאמן לומר שקנה מהמרא קמא ואבד שטרו, דלאחר זמן כזה אינו נזהר בשטרו, וכתב </w:t>
      </w:r>
      <w:r w:rsidRPr="00504582">
        <w:rPr>
          <w:rStyle w:val="af9"/>
          <w:rFonts w:hint="cs"/>
          <w:rtl/>
        </w:rPr>
        <w:t>הפני שלמה</w:t>
      </w:r>
      <w:r w:rsidRPr="00A35BDA">
        <w:rPr>
          <w:rStyle w:val="af7"/>
          <w:rFonts w:eastAsia="Guttman Hodes" w:hint="cs"/>
          <w:rtl/>
        </w:rPr>
        <w:t xml:space="preserve"> (ד"ה אלא) </w:t>
      </w:r>
      <w:r>
        <w:rPr>
          <w:rFonts w:hint="cs"/>
          <w:rtl/>
        </w:rPr>
        <w:t xml:space="preserve">דמבואר מדברי </w:t>
      </w:r>
      <w:r w:rsidRPr="00504582">
        <w:rPr>
          <w:rStyle w:val="af9"/>
          <w:rFonts w:hint="cs"/>
          <w:rtl/>
        </w:rPr>
        <w:t>רש"י בכתובות</w:t>
      </w:r>
      <w:r>
        <w:rPr>
          <w:rFonts w:hint="cs"/>
          <w:rtl/>
        </w:rPr>
        <w:t xml:space="preserve"> כדעת </w:t>
      </w:r>
      <w:r w:rsidRPr="00504582">
        <w:rPr>
          <w:rStyle w:val="af9"/>
          <w:rFonts w:hint="cs"/>
          <w:rtl/>
        </w:rPr>
        <w:t>הקצוה"ח</w:t>
      </w:r>
      <w:r>
        <w:rPr>
          <w:rFonts w:hint="cs"/>
          <w:rtl/>
        </w:rPr>
        <w:t xml:space="preserve"> </w:t>
      </w:r>
      <w:r w:rsidRPr="000C79C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Ref56591681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Pr>
          <w:rStyle w:val="af7"/>
          <w:rFonts w:eastAsia="Guttman Hodes"/>
          <w:rtl/>
        </w:rPr>
        <w:fldChar w:fldCharType="end"/>
      </w:r>
      <w:r>
        <w:rPr>
          <w:rFonts w:hint="cs"/>
          <w:rtl/>
        </w:rPr>
        <w:t xml:space="preserve"> דחזקת ג"ש הוא תקנת חכמים, וכ"כ </w:t>
      </w:r>
      <w:r w:rsidRPr="00504582">
        <w:rPr>
          <w:rStyle w:val="af9"/>
          <w:rFonts w:hint="cs"/>
          <w:rtl/>
        </w:rPr>
        <w:t>בחי' רבי נחום</w:t>
      </w:r>
      <w:r>
        <w:rPr>
          <w:rFonts w:hint="cs"/>
          <w:rtl/>
        </w:rPr>
        <w:t xml:space="preserve"> </w:t>
      </w:r>
      <w:r w:rsidRPr="00504582">
        <w:rPr>
          <w:rStyle w:val="af7"/>
          <w:rFonts w:eastAsia="Guttman Hodes" w:hint="cs"/>
          <w:rtl/>
        </w:rPr>
        <w:t>(או' כ"ז ד"ה ובעיקר)</w:t>
      </w:r>
      <w:r>
        <w:rPr>
          <w:rFonts w:hint="cs"/>
          <w:rtl/>
        </w:rPr>
        <w:t>.</w:t>
      </w:r>
      <w:bookmarkEnd w:id="5516"/>
    </w:p>
    <w:p w:rsidR="00E874E8" w:rsidRDefault="00E874E8" w:rsidP="00E874E8">
      <w:pPr>
        <w:pStyle w:val="1"/>
        <w:rPr>
          <w:rtl/>
        </w:rPr>
      </w:pPr>
      <w:bookmarkStart w:id="5517" w:name="_Toc56372874"/>
      <w:bookmarkStart w:id="5518" w:name="_Toc56458216"/>
      <w:bookmarkStart w:id="5519" w:name="_Toc56544376"/>
      <w:bookmarkStart w:id="5520" w:name="_Toc56609827"/>
      <w:bookmarkStart w:id="5521" w:name="_Toc56626663"/>
      <w:bookmarkStart w:id="5522" w:name="_Toc56630131"/>
      <w:bookmarkStart w:id="5523" w:name="_Toc56636988"/>
      <w:bookmarkStart w:id="5524" w:name="_Toc56638122"/>
      <w:bookmarkStart w:id="5525" w:name="_Toc56640966"/>
      <w:bookmarkStart w:id="5526" w:name="_Toc55739978"/>
      <w:bookmarkEnd w:id="5474"/>
      <w:bookmarkEnd w:id="5475"/>
      <w:bookmarkEnd w:id="5509"/>
      <w:r>
        <w:rPr>
          <w:rFonts w:hint="cs"/>
          <w:rtl/>
        </w:rPr>
        <w:t>דברי הרא"ה</w:t>
      </w:r>
      <w:bookmarkEnd w:id="5517"/>
      <w:bookmarkEnd w:id="5518"/>
      <w:bookmarkEnd w:id="5519"/>
      <w:bookmarkEnd w:id="5520"/>
      <w:bookmarkEnd w:id="5521"/>
      <w:bookmarkEnd w:id="5522"/>
      <w:r>
        <w:rPr>
          <w:rFonts w:hint="cs"/>
          <w:rtl/>
        </w:rPr>
        <w:t xml:space="preserve"> דחזקה אינה ראיה גמורה ותיקנוה מחמת השטר</w:t>
      </w:r>
      <w:bookmarkEnd w:id="5523"/>
      <w:bookmarkEnd w:id="5524"/>
      <w:bookmarkEnd w:id="5525"/>
    </w:p>
    <w:p w:rsidR="00E874E8" w:rsidRPr="007735D5" w:rsidRDefault="00E874E8" w:rsidP="00E874E8">
      <w:pPr>
        <w:pStyle w:val="a3"/>
        <w:rPr>
          <w:rtl/>
        </w:rPr>
      </w:pPr>
      <w:bookmarkStart w:id="5527" w:name="_Toc56626664"/>
      <w:bookmarkStart w:id="5528" w:name="_Toc56630132"/>
      <w:bookmarkStart w:id="5529" w:name="_Toc56636989"/>
      <w:bookmarkStart w:id="5530" w:name="_Toc56638123"/>
      <w:bookmarkStart w:id="5531" w:name="_Toc56640967"/>
      <w:r>
        <w:rPr>
          <w:rFonts w:hint="cs"/>
          <w:rtl/>
        </w:rPr>
        <w:t>דברי הרא"ה בב"ק דחזקה אינה ראיה גמורה ומ"מ תיקנו חכמים דמהני כיון שאין נזהר בשטר</w:t>
      </w:r>
      <w:bookmarkEnd w:id="5527"/>
      <w:bookmarkEnd w:id="5528"/>
      <w:bookmarkEnd w:id="5529"/>
      <w:bookmarkEnd w:id="5530"/>
      <w:bookmarkEnd w:id="5531"/>
    </w:p>
    <w:p w:rsidR="00E874E8" w:rsidRDefault="00E874E8" w:rsidP="007E4E81">
      <w:pPr>
        <w:pStyle w:val="a0"/>
        <w:rPr>
          <w:rtl/>
        </w:rPr>
      </w:pPr>
      <w:r>
        <w:rPr>
          <w:rFonts w:hint="cs"/>
          <w:rtl/>
        </w:rPr>
        <w:t xml:space="preserve">כתב </w:t>
      </w:r>
      <w:r w:rsidRPr="00504582">
        <w:rPr>
          <w:rStyle w:val="af9"/>
          <w:rFonts w:hint="cs"/>
          <w:rtl/>
        </w:rPr>
        <w:t>הרא"ה בשיטמ"ק בב"ק</w:t>
      </w:r>
      <w:r>
        <w:rPr>
          <w:rFonts w:hint="cs"/>
          <w:rtl/>
        </w:rPr>
        <w:t xml:space="preserve"> </w:t>
      </w:r>
      <w:r w:rsidRPr="00504582">
        <w:rPr>
          <w:rStyle w:val="af7"/>
          <w:rFonts w:eastAsia="Guttman Hodes" w:hint="cs"/>
          <w:rtl/>
        </w:rPr>
        <w:t>(לט. ד"ה משוית)</w:t>
      </w:r>
      <w:r>
        <w:rPr>
          <w:rFonts w:hint="cs"/>
          <w:rtl/>
        </w:rPr>
        <w:t xml:space="preserve"> דחזקה אינה ראיה גמורה, דהא יתכן שהמחזיק אכל ג"ש, אעפ"י שהקרקע אינה שלו, וכתב </w:t>
      </w:r>
      <w:r w:rsidRPr="00504582">
        <w:rPr>
          <w:rStyle w:val="af9"/>
          <w:rFonts w:hint="cs"/>
          <w:rtl/>
        </w:rPr>
        <w:t>הרא"ה</w:t>
      </w:r>
      <w:r>
        <w:rPr>
          <w:rFonts w:hint="cs"/>
          <w:rtl/>
        </w:rPr>
        <w:t xml:space="preserve"> דאעפ"י שאי"ז ראיה ואין החזקה דבר ברור, והיא דבר מסופק, </w:t>
      </w:r>
      <w:r w:rsidRPr="00AB21F6">
        <w:rPr>
          <w:rStyle w:val="afb"/>
          <w:rFonts w:hint="cs"/>
          <w:rtl/>
        </w:rPr>
        <w:t xml:space="preserve">[כדכתב </w:t>
      </w:r>
      <w:r w:rsidRPr="00AB21F6">
        <w:rPr>
          <w:rStyle w:val="affa"/>
          <w:rFonts w:hint="cs"/>
          <w:rtl/>
        </w:rPr>
        <w:t>הרא"ה</w:t>
      </w:r>
      <w:r w:rsidRPr="00AB21F6">
        <w:rPr>
          <w:rStyle w:val="afb"/>
          <w:rFonts w:hint="cs"/>
          <w:rtl/>
        </w:rPr>
        <w:t xml:space="preserve"> בהמשך דבריו],</w:t>
      </w:r>
      <w:r>
        <w:rPr>
          <w:rFonts w:hint="cs"/>
          <w:rtl/>
        </w:rPr>
        <w:t xml:space="preserve"> מ"מ תיקנו רבנן חזקת ג"ש, כיון שאין אדם נזהר בשטרו, </w:t>
      </w:r>
      <w:r w:rsidRPr="00504582">
        <w:rPr>
          <w:rStyle w:val="afb"/>
          <w:rFonts w:hint="cs"/>
          <w:rtl/>
        </w:rPr>
        <w:t xml:space="preserve">[וכתב </w:t>
      </w:r>
      <w:r w:rsidRPr="00504582">
        <w:rPr>
          <w:rStyle w:val="affa"/>
          <w:rFonts w:hint="cs"/>
          <w:rtl/>
        </w:rPr>
        <w:t>הרא"ה</w:t>
      </w:r>
      <w:r w:rsidRPr="00504582">
        <w:rPr>
          <w:rStyle w:val="afb"/>
          <w:rFonts w:hint="cs"/>
          <w:rtl/>
        </w:rPr>
        <w:t xml:space="preserve"> דכיון דאין החזקה דבר ברור, לכן בקטן אין מקבלין את עידי החזקה, כיון שאין הקטן יודע לטעון, וכשיגדל יתכן שיוכל לעשות ריעותא בח</w:t>
      </w:r>
      <w:r w:rsidRPr="00A61F6A">
        <w:rPr>
          <w:rStyle w:val="afb"/>
          <w:rFonts w:hint="cs"/>
          <w:rtl/>
        </w:rPr>
        <w:t>זקה],</w:t>
      </w:r>
      <w:r w:rsidRPr="00A61F6A">
        <w:rPr>
          <w:rFonts w:hint="cs"/>
          <w:rtl/>
        </w:rPr>
        <w:t xml:space="preserve"> ודלא </w:t>
      </w:r>
      <w:r w:rsidRPr="00F90A9D">
        <w:rPr>
          <w:rStyle w:val="af9"/>
          <w:rFonts w:hint="cs"/>
          <w:rtl/>
        </w:rPr>
        <w:t>כריטב"א בסוגיין</w:t>
      </w:r>
      <w:r w:rsidRPr="00A61F6A">
        <w:rPr>
          <w:rFonts w:hint="cs"/>
          <w:rtl/>
        </w:rPr>
        <w:t xml:space="preserve"> </w:t>
      </w:r>
      <w:r w:rsidRPr="00926838">
        <w:rPr>
          <w:rStyle w:val="af7"/>
          <w:rFonts w:eastAsiaTheme="minorHAnsi" w:hint="cs"/>
          <w:rtl/>
        </w:rPr>
        <w:t>(ד"ה אלא</w:t>
      </w:r>
      <w:r>
        <w:rPr>
          <w:rStyle w:val="af7"/>
          <w:rFonts w:eastAsiaTheme="minorHAnsi" w:hint="cs"/>
          <w:rtl/>
        </w:rPr>
        <w:t>, הובא בסימן ה' אות ד')</w:t>
      </w:r>
      <w:r w:rsidRPr="00A61F6A">
        <w:rPr>
          <w:rFonts w:hint="cs"/>
          <w:rtl/>
        </w:rPr>
        <w:t xml:space="preserve"> בשם </w:t>
      </w:r>
      <w:r w:rsidRPr="00F90A9D">
        <w:rPr>
          <w:rStyle w:val="af9"/>
          <w:rFonts w:hint="cs"/>
          <w:rtl/>
        </w:rPr>
        <w:t>הרא"ה</w:t>
      </w:r>
      <w:r w:rsidRPr="00E55BF6">
        <w:rPr>
          <w:rFonts w:hint="cs"/>
          <w:rtl/>
        </w:rPr>
        <w:t xml:space="preserve"> </w:t>
      </w:r>
      <w:r>
        <w:rPr>
          <w:rFonts w:hint="cs"/>
          <w:rtl/>
        </w:rPr>
        <w:t>דכתב דהחזקה היא כיון שיש ראיה מדלא מחו הבעלים</w:t>
      </w:r>
      <w:r w:rsidRPr="00A61F6A">
        <w:rPr>
          <w:rFonts w:hint="cs"/>
          <w:rtl/>
        </w:rPr>
        <w:t>.</w:t>
      </w:r>
      <w:r>
        <w:rPr>
          <w:rFonts w:hint="cs"/>
          <w:rtl/>
        </w:rPr>
        <w:t xml:space="preserve"> </w:t>
      </w:r>
      <w:r w:rsidRPr="008A3AFF">
        <w:rPr>
          <w:rStyle w:val="afb"/>
          <w:rFonts w:hint="cs"/>
          <w:rtl/>
        </w:rPr>
        <w:t>[</w:t>
      </w:r>
      <w:r>
        <w:rPr>
          <w:rStyle w:val="afb"/>
          <w:rFonts w:hint="cs"/>
          <w:rtl/>
        </w:rPr>
        <w:t>עי' בשיטמ"ק מהדו' "ברוכמן" דציין ע"ז לתוס' ולא לרא"ה, ובמהדו' ישנות אין ציון בשיטמ"ק על ד"ה זה</w:t>
      </w:r>
      <w:r w:rsidRPr="008A3AFF">
        <w:rPr>
          <w:rStyle w:val="afb"/>
          <w:rFonts w:hint="cs"/>
          <w:rtl/>
        </w:rPr>
        <w:t>].</w:t>
      </w:r>
    </w:p>
    <w:p w:rsidR="00E874E8" w:rsidRDefault="00E874E8" w:rsidP="00E874E8">
      <w:pPr>
        <w:pStyle w:val="1"/>
        <w:rPr>
          <w:rtl/>
        </w:rPr>
      </w:pPr>
      <w:bookmarkStart w:id="5532" w:name="_Toc56372875"/>
      <w:bookmarkStart w:id="5533" w:name="_Toc56458217"/>
      <w:bookmarkStart w:id="5534" w:name="_Toc56544377"/>
      <w:bookmarkStart w:id="5535" w:name="_Toc56609828"/>
      <w:bookmarkStart w:id="5536" w:name="_Toc56626665"/>
      <w:bookmarkStart w:id="5537" w:name="_Toc56630133"/>
      <w:bookmarkStart w:id="5538" w:name="_Toc56636990"/>
      <w:bookmarkStart w:id="5539" w:name="_Toc56638124"/>
      <w:bookmarkStart w:id="5540" w:name="_Toc56640968"/>
      <w:r>
        <w:rPr>
          <w:rFonts w:hint="cs"/>
          <w:rtl/>
        </w:rPr>
        <w:t>דברי הריטב"א לקמן</w:t>
      </w:r>
      <w:bookmarkEnd w:id="5532"/>
      <w:bookmarkEnd w:id="5533"/>
      <w:bookmarkEnd w:id="5534"/>
      <w:bookmarkEnd w:id="5535"/>
      <w:bookmarkEnd w:id="5536"/>
      <w:bookmarkEnd w:id="5537"/>
      <w:r>
        <w:rPr>
          <w:rFonts w:hint="cs"/>
          <w:rtl/>
        </w:rPr>
        <w:t xml:space="preserve"> דלולי הסברא בשטר ל"מ חזקה מדינא כלל</w:t>
      </w:r>
      <w:bookmarkEnd w:id="5538"/>
      <w:bookmarkEnd w:id="5539"/>
      <w:bookmarkEnd w:id="5540"/>
    </w:p>
    <w:p w:rsidR="00E874E8" w:rsidRDefault="00E874E8" w:rsidP="00E874E8">
      <w:pPr>
        <w:pStyle w:val="a3"/>
        <w:rPr>
          <w:rtl/>
        </w:rPr>
      </w:pPr>
      <w:bookmarkStart w:id="5541" w:name="_Toc56372876"/>
      <w:bookmarkStart w:id="5542" w:name="_Toc56458218"/>
      <w:bookmarkStart w:id="5543" w:name="_Toc56544378"/>
      <w:bookmarkStart w:id="5544" w:name="_Toc56609829"/>
      <w:bookmarkStart w:id="5545" w:name="_Toc56626666"/>
      <w:bookmarkStart w:id="5546" w:name="_Toc56630134"/>
      <w:bookmarkStart w:id="5547" w:name="_Toc56636991"/>
      <w:bookmarkStart w:id="5548" w:name="_Toc56638125"/>
      <w:bookmarkStart w:id="5549" w:name="_Toc56640969"/>
      <w:r>
        <w:rPr>
          <w:rFonts w:hint="cs"/>
          <w:rtl/>
        </w:rPr>
        <w:t>דברי הריטב"א לקמן דרק כיון דעד ג"ש נזהר בשטרו מהני החזקה ואל"ה מדינא אין החזקה כלום</w:t>
      </w:r>
      <w:bookmarkEnd w:id="5541"/>
      <w:bookmarkEnd w:id="5542"/>
      <w:bookmarkEnd w:id="5543"/>
      <w:bookmarkEnd w:id="5544"/>
      <w:bookmarkEnd w:id="5545"/>
      <w:bookmarkEnd w:id="5546"/>
      <w:bookmarkEnd w:id="5547"/>
      <w:bookmarkEnd w:id="5548"/>
      <w:bookmarkEnd w:id="5549"/>
    </w:p>
    <w:p w:rsidR="00E874E8" w:rsidRPr="00B66E41" w:rsidRDefault="00E874E8" w:rsidP="007E4E81">
      <w:pPr>
        <w:pStyle w:val="a0"/>
        <w:rPr>
          <w:rStyle w:val="afb"/>
          <w:rtl/>
        </w:rPr>
      </w:pPr>
      <w:r>
        <w:rPr>
          <w:rFonts w:hint="cs"/>
          <w:rtl/>
        </w:rPr>
        <w:t xml:space="preserve">בהא דאמרינן בגמ' בסנהדרין </w:t>
      </w:r>
      <w:r w:rsidRPr="00D46F73">
        <w:rPr>
          <w:rStyle w:val="af7"/>
          <w:rFonts w:eastAsia="Guttman Hodes" w:hint="cs"/>
          <w:rtl/>
        </w:rPr>
        <w:t>(כג:)</w:t>
      </w:r>
      <w:r>
        <w:rPr>
          <w:rFonts w:hint="cs"/>
          <w:rtl/>
        </w:rPr>
        <w:t xml:space="preserve"> דאם אומר המחזיק שיש לו שטר וחזקה, הוא צריך להביא את שטרו, ולא סגי ליה בחזקה, כיון שהחזקה היא מכח השטר, כתב </w:t>
      </w:r>
      <w:r w:rsidRPr="00D46F73">
        <w:rPr>
          <w:rStyle w:val="af9"/>
          <w:rFonts w:hint="cs"/>
          <w:rtl/>
        </w:rPr>
        <w:t>הריטב"א לקמן</w:t>
      </w:r>
      <w:r>
        <w:rPr>
          <w:rFonts w:hint="cs"/>
          <w:rtl/>
        </w:rPr>
        <w:t xml:space="preserve"> </w:t>
      </w:r>
      <w:r w:rsidRPr="00D46F73">
        <w:rPr>
          <w:rStyle w:val="af7"/>
          <w:rFonts w:eastAsia="Guttman Hodes" w:hint="cs"/>
          <w:rtl/>
        </w:rPr>
        <w:t xml:space="preserve">(קע. ד"ה ומצינו) </w:t>
      </w:r>
      <w:r>
        <w:rPr>
          <w:rFonts w:hint="cs"/>
          <w:rtl/>
        </w:rPr>
        <w:t xml:space="preserve">דכוונת הגמ' בסנהדרין לומר דכל מה שתיקנו חכמים חזקת ג"ש, הוא רק מחמת דעד ג"ש אדם נזהר בשטרו, </w:t>
      </w:r>
      <w:r w:rsidRPr="007A6D15">
        <w:rPr>
          <w:rStyle w:val="afb"/>
          <w:rFonts w:hint="cs"/>
          <w:rtl/>
        </w:rPr>
        <w:t xml:space="preserve">[ולאחר ג"ש אין עליו טענת אחוי שטרך], </w:t>
      </w:r>
      <w:r>
        <w:rPr>
          <w:rFonts w:hint="cs"/>
          <w:rtl/>
        </w:rPr>
        <w:t xml:space="preserve">וכתב </w:t>
      </w:r>
      <w:r w:rsidRPr="002676DB">
        <w:rPr>
          <w:rStyle w:val="af9"/>
          <w:rFonts w:hint="cs"/>
          <w:rtl/>
        </w:rPr>
        <w:t>הריטב"א</w:t>
      </w:r>
      <w:r>
        <w:rPr>
          <w:rFonts w:hint="cs"/>
          <w:rtl/>
        </w:rPr>
        <w:t xml:space="preserve"> דלולי הסברא דאינו נזהר בשטרו, מדינא אין החזקה כלום, </w:t>
      </w:r>
      <w:r w:rsidRPr="00B66E41">
        <w:rPr>
          <w:rStyle w:val="afb"/>
          <w:rFonts w:hint="cs"/>
          <w:rtl/>
        </w:rPr>
        <w:t xml:space="preserve">[ועי' </w:t>
      </w:r>
      <w:r w:rsidRPr="00B66E41">
        <w:rPr>
          <w:rStyle w:val="affa"/>
          <w:rFonts w:hint="cs"/>
          <w:rtl/>
        </w:rPr>
        <w:t>ברש"י בסנהדרין</w:t>
      </w:r>
      <w:r w:rsidRPr="00B66E41">
        <w:rPr>
          <w:rStyle w:val="afb"/>
          <w:rFonts w:hint="cs"/>
          <w:rtl/>
        </w:rPr>
        <w:t xml:space="preserve"> </w:t>
      </w:r>
      <w:r w:rsidRPr="00B66E41">
        <w:rPr>
          <w:rStyle w:val="aff6"/>
          <w:rFonts w:hint="cs"/>
          <w:rtl/>
        </w:rPr>
        <w:t>(כג: ג"ה אפי' תימא)</w:t>
      </w:r>
      <w:r w:rsidRPr="00B66E41">
        <w:rPr>
          <w:rStyle w:val="afb"/>
          <w:rFonts w:hint="cs"/>
          <w:rtl/>
        </w:rPr>
        <w:t xml:space="preserve"> </w:t>
      </w:r>
      <w:r w:rsidRPr="00B66E41">
        <w:rPr>
          <w:rStyle w:val="affa"/>
          <w:rFonts w:hint="cs"/>
          <w:rtl/>
        </w:rPr>
        <w:t>ובר"ח בסנהדרין</w:t>
      </w:r>
      <w:r w:rsidRPr="00B66E41">
        <w:rPr>
          <w:rStyle w:val="afb"/>
          <w:rFonts w:hint="cs"/>
          <w:rtl/>
        </w:rPr>
        <w:t xml:space="preserve"> </w:t>
      </w:r>
      <w:r w:rsidRPr="00B66E41">
        <w:rPr>
          <w:rStyle w:val="aff6"/>
          <w:rFonts w:hint="cs"/>
          <w:rtl/>
        </w:rPr>
        <w:t>(כג: ד"ה וקיי"ל)</w:t>
      </w:r>
      <w:r w:rsidRPr="00B66E41">
        <w:rPr>
          <w:rStyle w:val="afb"/>
          <w:rFonts w:hint="cs"/>
          <w:rtl/>
        </w:rPr>
        <w:t xml:space="preserve"> דביארו את דברי הגמ' שם באופ"א]</w:t>
      </w:r>
      <w:r>
        <w:rPr>
          <w:rStyle w:val="afb"/>
          <w:rFonts w:hint="cs"/>
          <w:rtl/>
        </w:rPr>
        <w:t>,</w:t>
      </w:r>
      <w:r w:rsidRPr="00F90A9D">
        <w:rPr>
          <w:rFonts w:hint="cs"/>
          <w:rtl/>
        </w:rPr>
        <w:t xml:space="preserve"> </w:t>
      </w:r>
      <w:r w:rsidRPr="00A61F6A">
        <w:rPr>
          <w:rFonts w:hint="cs"/>
          <w:rtl/>
        </w:rPr>
        <w:t xml:space="preserve">ודלא </w:t>
      </w:r>
      <w:r w:rsidRPr="00F90A9D">
        <w:rPr>
          <w:rStyle w:val="af9"/>
          <w:rFonts w:hint="cs"/>
          <w:rtl/>
        </w:rPr>
        <w:t>כריטב"א בסוגיין</w:t>
      </w:r>
      <w:r w:rsidRPr="00A61F6A">
        <w:rPr>
          <w:rFonts w:hint="cs"/>
          <w:rtl/>
        </w:rPr>
        <w:t xml:space="preserve"> </w:t>
      </w:r>
      <w:r w:rsidRPr="00926838">
        <w:rPr>
          <w:rStyle w:val="af7"/>
          <w:rFonts w:eastAsiaTheme="minorHAnsi" w:hint="cs"/>
          <w:rtl/>
        </w:rPr>
        <w:t>(ד"ה אלא</w:t>
      </w:r>
      <w:r>
        <w:rPr>
          <w:rStyle w:val="af7"/>
          <w:rFonts w:eastAsiaTheme="minorHAnsi" w:hint="cs"/>
          <w:rtl/>
        </w:rPr>
        <w:t>, הובא בסימן ה' אות ד')</w:t>
      </w:r>
      <w:r w:rsidRPr="00A61F6A">
        <w:rPr>
          <w:rFonts w:hint="cs"/>
          <w:rtl/>
        </w:rPr>
        <w:t xml:space="preserve"> </w:t>
      </w:r>
      <w:r>
        <w:rPr>
          <w:rFonts w:hint="cs"/>
          <w:rtl/>
        </w:rPr>
        <w:t>דכתב דהחזקה היא כיון שיש ראיה מדלא מחו הבעלים</w:t>
      </w:r>
      <w:r w:rsidRPr="00A61F6A">
        <w:rPr>
          <w:rFonts w:hint="cs"/>
          <w:rtl/>
        </w:rPr>
        <w:t>.</w:t>
      </w:r>
    </w:p>
    <w:p w:rsidR="00E874E8" w:rsidRDefault="00E874E8" w:rsidP="00E874E8">
      <w:pPr>
        <w:pStyle w:val="1"/>
        <w:rPr>
          <w:rtl/>
        </w:rPr>
      </w:pPr>
      <w:bookmarkStart w:id="5550" w:name="_Toc55718287"/>
      <w:bookmarkStart w:id="5551" w:name="_Toc55739905"/>
      <w:bookmarkStart w:id="5552" w:name="_Toc56372877"/>
      <w:bookmarkStart w:id="5553" w:name="_Toc56458219"/>
      <w:bookmarkStart w:id="5554" w:name="_Toc56544379"/>
      <w:bookmarkStart w:id="5555" w:name="_Toc56609830"/>
      <w:bookmarkStart w:id="5556" w:name="_Toc56626667"/>
      <w:bookmarkStart w:id="5557" w:name="_Toc56630135"/>
      <w:bookmarkStart w:id="5558" w:name="_Toc56636992"/>
      <w:bookmarkStart w:id="5559" w:name="_Toc56638126"/>
      <w:bookmarkStart w:id="5560" w:name="_Toc56640970"/>
      <w:r>
        <w:rPr>
          <w:rFonts w:hint="cs"/>
          <w:rtl/>
        </w:rPr>
        <w:t>דברי המהר"ם מרוטנבורג</w:t>
      </w:r>
      <w:bookmarkEnd w:id="5550"/>
      <w:bookmarkEnd w:id="5551"/>
      <w:bookmarkEnd w:id="5552"/>
      <w:bookmarkEnd w:id="5553"/>
      <w:bookmarkEnd w:id="5554"/>
      <w:bookmarkEnd w:id="5555"/>
      <w:bookmarkEnd w:id="5556"/>
      <w:bookmarkEnd w:id="5557"/>
      <w:r>
        <w:rPr>
          <w:rFonts w:hint="cs"/>
          <w:rtl/>
        </w:rPr>
        <w:t xml:space="preserve"> דרק כלפי ערעור המר"ק תיקנו חזקה</w:t>
      </w:r>
      <w:bookmarkEnd w:id="5558"/>
      <w:bookmarkEnd w:id="5559"/>
      <w:bookmarkEnd w:id="5560"/>
    </w:p>
    <w:p w:rsidR="00E874E8" w:rsidRPr="00D50964" w:rsidRDefault="00E874E8" w:rsidP="00E874E8">
      <w:pPr>
        <w:pStyle w:val="a3"/>
      </w:pPr>
      <w:bookmarkStart w:id="5561" w:name="_Toc56626668"/>
      <w:bookmarkStart w:id="5562" w:name="_Toc56630136"/>
      <w:bookmarkStart w:id="5563" w:name="_Toc56636993"/>
      <w:bookmarkStart w:id="5564" w:name="_Toc56638127"/>
      <w:bookmarkStart w:id="5565" w:name="_Toc56640971"/>
      <w:r>
        <w:rPr>
          <w:rFonts w:hint="cs"/>
          <w:rtl/>
        </w:rPr>
        <w:t>דברי המהר"ם מרוטנבורג דאחר ג"ש תיקנו שא"צ לטרוח לשמור שטר בשביל שלא יטרוף המוכר</w:t>
      </w:r>
      <w:bookmarkEnd w:id="5561"/>
      <w:bookmarkEnd w:id="5562"/>
      <w:bookmarkEnd w:id="5563"/>
      <w:bookmarkEnd w:id="5564"/>
      <w:bookmarkEnd w:id="5565"/>
    </w:p>
    <w:p w:rsidR="00E874E8" w:rsidRDefault="00E874E8" w:rsidP="007E4E81">
      <w:pPr>
        <w:pStyle w:val="a0"/>
        <w:rPr>
          <w:rtl/>
        </w:rPr>
      </w:pPr>
      <w:bookmarkStart w:id="5566" w:name="_Ref56591570"/>
      <w:bookmarkStart w:id="5567" w:name="_Toc55508529"/>
      <w:bookmarkStart w:id="5568" w:name="_Toc55569177"/>
      <w:bookmarkStart w:id="5569" w:name="_Toc55718288"/>
      <w:bookmarkStart w:id="5570" w:name="_Toc55739906"/>
      <w:r>
        <w:rPr>
          <w:rFonts w:hint="cs"/>
          <w:rtl/>
        </w:rPr>
        <w:t xml:space="preserve">כתב </w:t>
      </w:r>
      <w:r w:rsidRPr="00AF77C8">
        <w:rPr>
          <w:rStyle w:val="af9"/>
          <w:rFonts w:hint="cs"/>
          <w:rtl/>
        </w:rPr>
        <w:t>המהר"ם מרונטבורג בתשו'</w:t>
      </w:r>
      <w:r>
        <w:rPr>
          <w:rFonts w:hint="cs"/>
          <w:rtl/>
        </w:rPr>
        <w:t xml:space="preserve"> </w:t>
      </w:r>
      <w:r w:rsidRPr="00AF77C8">
        <w:rPr>
          <w:rStyle w:val="af7"/>
          <w:rFonts w:eastAsia="Guttman Hodes" w:hint="cs"/>
          <w:rtl/>
        </w:rPr>
        <w:t>(סי' תקע"א</w:t>
      </w:r>
      <w:r>
        <w:rPr>
          <w:rStyle w:val="af7"/>
          <w:rFonts w:eastAsia="Guttman Hodes" w:hint="cs"/>
          <w:rtl/>
        </w:rPr>
        <w:t>, נד' בהג' מיימוניות בתשו' בסוף הרמב"ם הל' אישות, סוף או' ה'</w:t>
      </w:r>
      <w:r w:rsidRPr="00AF77C8">
        <w:rPr>
          <w:rStyle w:val="af7"/>
          <w:rFonts w:eastAsia="Guttman Hodes" w:hint="cs"/>
          <w:rtl/>
        </w:rPr>
        <w:t>)</w:t>
      </w:r>
      <w:r>
        <w:rPr>
          <w:rFonts w:hint="cs"/>
          <w:rtl/>
        </w:rPr>
        <w:t xml:space="preserve"> דהא דאינו צריך להזהר לאחר ג"ש, הוא כלפי המוכר, דכיון שהיה המוכר יכול למחות בו בתוך הג"ש ולא מחה, תיקנו חכמים שלא יוכל המוכר לערער עליו ולטרוף ממנו, ולא יצטרך המחזיק להזהר בשטרו אחר ג"ש, וכתב </w:t>
      </w:r>
      <w:r w:rsidRPr="00771E5D">
        <w:rPr>
          <w:rStyle w:val="af9"/>
          <w:rFonts w:hint="cs"/>
          <w:rtl/>
        </w:rPr>
        <w:t>השער משפט</w:t>
      </w:r>
      <w:r w:rsidRPr="00EA44EB">
        <w:rPr>
          <w:rStyle w:val="af7"/>
          <w:rFonts w:eastAsia="Guttman Hode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Ref56591651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Pr>
          <w:rStyle w:val="af7"/>
          <w:rFonts w:eastAsia="Guttman Hodes"/>
          <w:rtl/>
        </w:rPr>
        <w:fldChar w:fldCharType="end"/>
      </w:r>
      <w:r w:rsidR="00A77F33">
        <w:rPr>
          <w:rStyle w:val="af7"/>
          <w:rFonts w:eastAsia="Guttman Hodes" w:hint="cs"/>
          <w:rtl/>
        </w:rPr>
        <w:t xml:space="preserve"> </w:t>
      </w:r>
      <w:r>
        <w:rPr>
          <w:rFonts w:hint="cs"/>
          <w:rtl/>
        </w:rPr>
        <w:t xml:space="preserve">דמבואר מדברי </w:t>
      </w:r>
      <w:r w:rsidRPr="00AF77C8">
        <w:rPr>
          <w:rStyle w:val="af9"/>
          <w:rFonts w:hint="cs"/>
          <w:rtl/>
        </w:rPr>
        <w:t>המהר"ם מרונטבורג</w:t>
      </w:r>
      <w:r>
        <w:rPr>
          <w:rFonts w:hint="cs"/>
          <w:rtl/>
        </w:rPr>
        <w:t xml:space="preserve"> דהחזקה מהני מתקנת חכמים, וכדביארו </w:t>
      </w:r>
      <w:r w:rsidRPr="00EA44EB">
        <w:rPr>
          <w:rStyle w:val="af9"/>
          <w:rFonts w:hint="cs"/>
          <w:rtl/>
        </w:rPr>
        <w:t xml:space="preserve">הקצוה"ח </w:t>
      </w:r>
      <w:r w:rsidRPr="00EA44EB">
        <w:rPr>
          <w:rStyle w:val="af7"/>
          <w:rFonts w:eastAsia="Guttman Hodes" w:hint="cs"/>
          <w:rtl/>
        </w:rPr>
        <w:t xml:space="preserve">(עי' אות </w:t>
      </w:r>
      <w:r w:rsidRPr="00EA44EB">
        <w:rPr>
          <w:rStyle w:val="af7"/>
          <w:rFonts w:eastAsia="Guttman Hodes"/>
          <w:rtl/>
        </w:rPr>
        <w:fldChar w:fldCharType="begin"/>
      </w:r>
      <w:r w:rsidRPr="00EA44EB">
        <w:rPr>
          <w:rStyle w:val="af7"/>
          <w:rFonts w:eastAsia="Guttman Hodes"/>
          <w:rtl/>
        </w:rPr>
        <w:instrText xml:space="preserve"> </w:instrText>
      </w:r>
      <w:r w:rsidRPr="00EA44EB">
        <w:rPr>
          <w:rStyle w:val="af7"/>
          <w:rFonts w:eastAsia="Guttman Hodes" w:hint="cs"/>
        </w:rPr>
        <w:instrText>REF</w:instrText>
      </w:r>
      <w:r w:rsidRPr="00EA44EB">
        <w:rPr>
          <w:rStyle w:val="af7"/>
          <w:rFonts w:eastAsia="Guttman Hodes" w:hint="cs"/>
          <w:rtl/>
        </w:rPr>
        <w:instrText xml:space="preserve"> _</w:instrText>
      </w:r>
      <w:r w:rsidRPr="00EA44EB">
        <w:rPr>
          <w:rStyle w:val="af7"/>
          <w:rFonts w:eastAsia="Guttman Hodes" w:hint="cs"/>
        </w:rPr>
        <w:instrText>Ref56591681 \r \h</w:instrText>
      </w:r>
      <w:r w:rsidRPr="00EA44EB">
        <w:rPr>
          <w:rStyle w:val="af7"/>
          <w:rFonts w:eastAsia="Guttman Hodes"/>
          <w:rtl/>
        </w:rPr>
        <w:instrText xml:space="preserve"> </w:instrText>
      </w:r>
      <w:r w:rsidRPr="00EA44EB">
        <w:rPr>
          <w:rStyle w:val="af7"/>
          <w:rFonts w:eastAsia="Guttman Hodes"/>
          <w:rtl/>
        </w:rPr>
      </w:r>
      <w:r w:rsidRPr="00EA44EB">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EA44EB">
        <w:rPr>
          <w:rStyle w:val="af7"/>
          <w:rFonts w:eastAsia="Guttman Hodes"/>
          <w:rtl/>
        </w:rPr>
        <w:fldChar w:fldCharType="end"/>
      </w:r>
      <w:r>
        <w:rPr>
          <w:rFonts w:hint="cs"/>
          <w:rtl/>
        </w:rPr>
        <w:t xml:space="preserve"> </w:t>
      </w:r>
      <w:r w:rsidRPr="00EA44EB">
        <w:rPr>
          <w:rStyle w:val="af9"/>
          <w:rFonts w:hint="cs"/>
          <w:rtl/>
        </w:rPr>
        <w:t>והשער משפט</w:t>
      </w:r>
      <w:r>
        <w:rPr>
          <w:rFonts w:hint="cs"/>
          <w:rtl/>
        </w:rPr>
        <w:t>.</w:t>
      </w:r>
      <w:bookmarkEnd w:id="5566"/>
    </w:p>
    <w:p w:rsidR="00E874E8" w:rsidRPr="001E0E7B" w:rsidRDefault="00E874E8" w:rsidP="00E874E8">
      <w:pPr>
        <w:pStyle w:val="a3"/>
        <w:rPr>
          <w:rtl/>
        </w:rPr>
      </w:pPr>
      <w:bookmarkStart w:id="5571" w:name="_Toc56626669"/>
      <w:bookmarkStart w:id="5572" w:name="_Toc56630137"/>
      <w:bookmarkStart w:id="5573" w:name="_Toc56636994"/>
      <w:bookmarkStart w:id="5574" w:name="_Toc56638128"/>
      <w:bookmarkStart w:id="5575" w:name="_Toc56640972"/>
      <w:r>
        <w:rPr>
          <w:rFonts w:hint="cs"/>
          <w:rtl/>
        </w:rPr>
        <w:t>דברי המהר"ם מרוטנבורג דלענין שאר דברים צריך לשמור שטר אף לאחר ג"ש דאין תקנ"ח</w:t>
      </w:r>
      <w:bookmarkEnd w:id="5571"/>
      <w:bookmarkEnd w:id="5572"/>
      <w:bookmarkEnd w:id="5573"/>
      <w:bookmarkEnd w:id="5574"/>
      <w:bookmarkEnd w:id="5575"/>
    </w:p>
    <w:p w:rsidR="00E874E8" w:rsidRDefault="00E874E8" w:rsidP="007E4E81">
      <w:pPr>
        <w:pStyle w:val="a0"/>
        <w:rPr>
          <w:rtl/>
        </w:rPr>
      </w:pPr>
      <w:r>
        <w:rPr>
          <w:rFonts w:hint="cs"/>
          <w:rtl/>
        </w:rPr>
        <w:t xml:space="preserve">אך כתב </w:t>
      </w:r>
      <w:r w:rsidRPr="00AF77C8">
        <w:rPr>
          <w:rStyle w:val="af9"/>
          <w:rFonts w:hint="cs"/>
          <w:rtl/>
        </w:rPr>
        <w:t>המהר"ם מרוטנבורג</w:t>
      </w:r>
      <w:r>
        <w:rPr>
          <w:rFonts w:hint="cs"/>
          <w:rtl/>
        </w:rPr>
        <w:t xml:space="preserve"> דכלפי החשש שמא יבא בע"ח של המוכר ויטרוף ממנו, וכן מהחשש שמא אשתו של המוכר תטרוף את השדה בכתובתה, צריך להזהר אף לאחר ג"ש שייך חשש זה, </w:t>
      </w:r>
      <w:r w:rsidRPr="00F252A4">
        <w:rPr>
          <w:rStyle w:val="afb"/>
          <w:rFonts w:hint="cs"/>
          <w:rtl/>
        </w:rPr>
        <w:t>[</w:t>
      </w:r>
      <w:r>
        <w:rPr>
          <w:rStyle w:val="afb"/>
          <w:rFonts w:hint="cs"/>
          <w:rtl/>
        </w:rPr>
        <w:t>דבחשש זה עליו</w:t>
      </w:r>
      <w:r w:rsidRPr="00F252A4">
        <w:rPr>
          <w:rStyle w:val="afb"/>
          <w:rtl/>
        </w:rPr>
        <w:t xml:space="preserve"> להזהר כל חיי הבעל משום כתובת אשתו, דתאמר האשה שלא מחתה במכירה שמכר בעלה, מסברת נחת רוח עשיתי לבעלי, </w:t>
      </w:r>
      <w:r w:rsidRPr="00F252A4">
        <w:rPr>
          <w:rStyle w:val="afb"/>
          <w:rFonts w:hint="cs"/>
          <w:rtl/>
        </w:rPr>
        <w:t>ולא היית</w:t>
      </w:r>
      <w:r w:rsidRPr="00F252A4">
        <w:rPr>
          <w:rStyle w:val="afb"/>
          <w:rtl/>
        </w:rPr>
        <w:t>ה יכולה למחות כלל</w:t>
      </w:r>
      <w:r w:rsidRPr="00F252A4">
        <w:rPr>
          <w:rStyle w:val="afb"/>
          <w:rFonts w:hint="cs"/>
          <w:rtl/>
        </w:rPr>
        <w:t xml:space="preserve">], </w:t>
      </w:r>
      <w:r>
        <w:rPr>
          <w:rFonts w:hint="cs"/>
          <w:rtl/>
        </w:rPr>
        <w:t xml:space="preserve">וכתב </w:t>
      </w:r>
      <w:r w:rsidRPr="003C7A53">
        <w:rPr>
          <w:rStyle w:val="af9"/>
          <w:rFonts w:hint="cs"/>
          <w:rtl/>
        </w:rPr>
        <w:t>המהר"ם מרוטנבורג</w:t>
      </w:r>
      <w:r>
        <w:rPr>
          <w:rFonts w:hint="cs"/>
          <w:rtl/>
        </w:rPr>
        <w:t xml:space="preserve"> דלכן אם כתוב בשטר שהאשה או הבע"ח הסכימו למכירה, ודאי שהוא צריך להזהר בשטר, </w:t>
      </w:r>
      <w:r w:rsidRPr="001541D3">
        <w:rPr>
          <w:rStyle w:val="afb"/>
          <w:rFonts w:hint="cs"/>
          <w:rtl/>
        </w:rPr>
        <w:t>[אם לא הניח הלוקח קרקע אחרת שיכולים לגבות ממנה]</w:t>
      </w:r>
      <w:r>
        <w:rPr>
          <w:rStyle w:val="afb"/>
          <w:rFonts w:hint="cs"/>
          <w:rtl/>
        </w:rPr>
        <w:t>,</w:t>
      </w:r>
      <w:r>
        <w:rPr>
          <w:rFonts w:hint="cs"/>
          <w:rtl/>
        </w:rPr>
        <w:t xml:space="preserve"> דעליו לחוש שמא יבואו לטרוף ממנו, וכתב </w:t>
      </w:r>
      <w:r w:rsidRPr="00E236DF">
        <w:rPr>
          <w:rStyle w:val="af9"/>
          <w:rFonts w:hint="cs"/>
          <w:rtl/>
        </w:rPr>
        <w:t>המהר"ם מרוטבורג</w:t>
      </w:r>
      <w:r>
        <w:rPr>
          <w:rFonts w:hint="cs"/>
          <w:rtl/>
        </w:rPr>
        <w:t xml:space="preserve"> דלא בכל השטרות שבעולם אמרינן שנזהר בהם רק עד ג"ש, דהא משכנתא דסורא שהיא עשר שנים, או הרבה יותר, ודאי שצריך להזהר יותר, אלא דרק כנגד מה שהמוכר יכול לערער עליו לא הטריחו אותו יותר.</w:t>
      </w:r>
    </w:p>
    <w:p w:rsidR="00E874E8" w:rsidRDefault="00E874E8" w:rsidP="00E874E8">
      <w:pPr>
        <w:pStyle w:val="1"/>
        <w:rPr>
          <w:rtl/>
        </w:rPr>
      </w:pPr>
      <w:bookmarkStart w:id="5576" w:name="_Toc53934429"/>
      <w:bookmarkStart w:id="5577" w:name="_Toc54076391"/>
      <w:bookmarkStart w:id="5578" w:name="_Toc55419910"/>
      <w:bookmarkStart w:id="5579" w:name="_Toc55419966"/>
      <w:bookmarkStart w:id="5580" w:name="_Toc55421176"/>
      <w:bookmarkStart w:id="5581" w:name="_Toc55508554"/>
      <w:bookmarkStart w:id="5582" w:name="_Toc55569205"/>
      <w:bookmarkStart w:id="5583" w:name="_Toc55718316"/>
      <w:bookmarkStart w:id="5584" w:name="_Toc55739920"/>
      <w:bookmarkStart w:id="5585" w:name="_Toc55839468"/>
      <w:bookmarkStart w:id="5586" w:name="_Toc56372890"/>
      <w:bookmarkStart w:id="5587" w:name="_Toc56458230"/>
      <w:bookmarkStart w:id="5588" w:name="_Toc56544390"/>
      <w:bookmarkStart w:id="5589" w:name="_Toc56609835"/>
      <w:bookmarkStart w:id="5590" w:name="_Toc56626670"/>
      <w:bookmarkStart w:id="5591" w:name="_Toc56630138"/>
      <w:bookmarkStart w:id="5592" w:name="_Toc56636995"/>
      <w:bookmarkStart w:id="5593" w:name="_Toc56638129"/>
      <w:bookmarkStart w:id="5594" w:name="_Toc56640973"/>
      <w:bookmarkStart w:id="5595" w:name="_Toc56372880"/>
      <w:bookmarkStart w:id="5596" w:name="_Toc56458220"/>
      <w:bookmarkStart w:id="5597" w:name="_Toc56544380"/>
      <w:bookmarkStart w:id="5598" w:name="_Toc56609831"/>
      <w:bookmarkEnd w:id="5567"/>
      <w:bookmarkEnd w:id="5568"/>
      <w:bookmarkEnd w:id="5569"/>
      <w:bookmarkEnd w:id="5570"/>
      <w:r>
        <w:rPr>
          <w:rFonts w:hint="cs"/>
          <w:rtl/>
        </w:rPr>
        <w:t>דברי הרמ"ה</w:t>
      </w:r>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r>
        <w:rPr>
          <w:rFonts w:hint="cs"/>
          <w:rtl/>
        </w:rPr>
        <w:t xml:space="preserve"> דבמחזיק דרך בעלים לא נזהר בשטר והוי חזקה</w:t>
      </w:r>
      <w:bookmarkEnd w:id="5592"/>
      <w:bookmarkEnd w:id="5593"/>
      <w:bookmarkEnd w:id="5594"/>
    </w:p>
    <w:p w:rsidR="00E874E8" w:rsidRPr="005277C3" w:rsidRDefault="00E874E8" w:rsidP="00E874E8">
      <w:pPr>
        <w:pStyle w:val="a3"/>
        <w:rPr>
          <w:rtl/>
        </w:rPr>
      </w:pPr>
      <w:bookmarkStart w:id="5599" w:name="_Toc56626671"/>
      <w:bookmarkStart w:id="5600" w:name="_Toc56630139"/>
      <w:bookmarkStart w:id="5601" w:name="_Toc56636996"/>
      <w:bookmarkStart w:id="5602" w:name="_Toc56638130"/>
      <w:bookmarkStart w:id="5603" w:name="_Toc56640974"/>
      <w:r>
        <w:rPr>
          <w:rFonts w:hint="cs"/>
          <w:rtl/>
        </w:rPr>
        <w:t>דברי הרמ"ה דחזקת ג"ש הוא כיון שאינו נזהר בשטר דאומר למערער שאם מחה בו היה נזהר</w:t>
      </w:r>
      <w:bookmarkEnd w:id="5599"/>
      <w:bookmarkEnd w:id="5600"/>
      <w:bookmarkEnd w:id="5601"/>
      <w:bookmarkEnd w:id="5602"/>
      <w:bookmarkEnd w:id="5603"/>
    </w:p>
    <w:p w:rsidR="00E874E8" w:rsidRDefault="00E874E8" w:rsidP="007E4E81">
      <w:pPr>
        <w:pStyle w:val="a0"/>
        <w:rPr>
          <w:rtl/>
        </w:rPr>
      </w:pPr>
      <w:bookmarkStart w:id="5604" w:name="_Ref55809540"/>
      <w:r>
        <w:rPr>
          <w:rFonts w:hint="cs"/>
          <w:rtl/>
        </w:rPr>
        <w:t xml:space="preserve">כתב </w:t>
      </w:r>
      <w:r w:rsidRPr="00183634">
        <w:rPr>
          <w:rStyle w:val="af9"/>
          <w:rFonts w:hint="cs"/>
          <w:rtl/>
        </w:rPr>
        <w:t>היד רמ"ה</w:t>
      </w:r>
      <w:r>
        <w:rPr>
          <w:rFonts w:hint="cs"/>
          <w:rtl/>
        </w:rPr>
        <w:t xml:space="preserve"> </w:t>
      </w:r>
      <w:r w:rsidRPr="009D1DFE">
        <w:rPr>
          <w:rStyle w:val="af7"/>
          <w:rFonts w:eastAsia="Guttman Hodes" w:hint="cs"/>
          <w:rtl/>
        </w:rPr>
        <w:t>(</w:t>
      </w:r>
      <w:r>
        <w:rPr>
          <w:rStyle w:val="af7"/>
          <w:rFonts w:eastAsia="Guttman Hodes" w:hint="cs"/>
          <w:rtl/>
        </w:rPr>
        <w:t xml:space="preserve">כח. </w:t>
      </w:r>
      <w:r w:rsidRPr="009D1DFE">
        <w:rPr>
          <w:rStyle w:val="af7"/>
          <w:rFonts w:eastAsia="Guttman Hodes" w:hint="cs"/>
          <w:rtl/>
        </w:rPr>
        <w:t>או' א' ד"ה ומסקנא)</w:t>
      </w:r>
      <w:r>
        <w:rPr>
          <w:rFonts w:hint="cs"/>
          <w:rtl/>
        </w:rPr>
        <w:t xml:space="preserve"> דלמסקנא טעמא דחזקת ג"ש, הוא כיון דיותר מג"ש אינו נזהר בשטרו, וכיון שאכל ג"ש ולא מחה בו המערער, כל שאמר שהיה לו שטר ואבד לו, הוא נאמן, דיכול לומר למערער שאם היה מוחה בו היה נזהר בשטרו.</w:t>
      </w:r>
    </w:p>
    <w:p w:rsidR="00E874E8" w:rsidRPr="00E61753" w:rsidRDefault="00E874E8" w:rsidP="00E874E8">
      <w:pPr>
        <w:pStyle w:val="a3"/>
      </w:pPr>
      <w:bookmarkStart w:id="5605" w:name="_Toc56636997"/>
      <w:bookmarkStart w:id="5606" w:name="_Toc56638131"/>
      <w:bookmarkStart w:id="5607" w:name="_Toc56640975"/>
      <w:r>
        <w:rPr>
          <w:rFonts w:hint="cs"/>
          <w:rtl/>
        </w:rPr>
        <w:t>דברי היד רמ"ה דרק באכילה כדרך הבעלים סומך שלא יערער אבל בארעי יתכן שלא מחה בו</w:t>
      </w:r>
      <w:bookmarkEnd w:id="5605"/>
      <w:bookmarkEnd w:id="5606"/>
      <w:bookmarkEnd w:id="5607"/>
    </w:p>
    <w:p w:rsidR="00E874E8" w:rsidRDefault="00E874E8" w:rsidP="007E4E81">
      <w:pPr>
        <w:pStyle w:val="a0"/>
        <w:rPr>
          <w:rtl/>
        </w:rPr>
      </w:pPr>
      <w:r>
        <w:rPr>
          <w:rFonts w:hint="cs"/>
          <w:rtl/>
        </w:rPr>
        <w:t xml:space="preserve">וכתב </w:t>
      </w:r>
      <w:r w:rsidRPr="00183634">
        <w:rPr>
          <w:rStyle w:val="af9"/>
          <w:rFonts w:hint="cs"/>
          <w:rtl/>
        </w:rPr>
        <w:t>היד רמ"ה</w:t>
      </w:r>
      <w:r>
        <w:rPr>
          <w:rFonts w:hint="cs"/>
          <w:rtl/>
        </w:rPr>
        <w:t xml:space="preserve"> דלכן צריך אכילת ג"ש בשופי, </w:t>
      </w:r>
      <w:r w:rsidRPr="00966C6E">
        <w:rPr>
          <w:rStyle w:val="afb"/>
          <w:rFonts w:hint="cs"/>
          <w:rtl/>
        </w:rPr>
        <w:t>[בבית השלחין מיום ליום, ובבית הבעל ג"ש ואינם מיום ליום],</w:t>
      </w:r>
      <w:r>
        <w:rPr>
          <w:rFonts w:hint="cs"/>
          <w:rtl/>
        </w:rPr>
        <w:t xml:space="preserve"> דרק באופן שהמחזיק השתמש בקרקע בדרך קבע כמו שהבעלים משתמשים הוי חזקה, דאי לא השתמש בדרך קבע, יכול המערער לטעון דכיון שראה שהמחזיק משתמש בדרך ארעי, אינו רוצה להחזיק בקרקע, וכוונתו רק להנות ממנה לזמן קצר, ולכן לא מחה בו המערער, אבל כשאכל ג"ש בשופי ונהנה מהשדה כדרך הבעלים, סמכה דעתו שלא יערערו עליו ואינו טורח להזהר בשטרו, והמערער הפסיד לעצמו במה שלא מחה בו.</w:t>
      </w:r>
      <w:bookmarkEnd w:id="5604"/>
    </w:p>
    <w:p w:rsidR="00E874E8" w:rsidRPr="00EA24AF" w:rsidRDefault="00E874E8" w:rsidP="00E874E8">
      <w:pPr>
        <w:pStyle w:val="afe"/>
        <w:rPr>
          <w:rtl/>
        </w:rPr>
      </w:pPr>
      <w:bookmarkStart w:id="5608" w:name="_Toc56626672"/>
      <w:bookmarkStart w:id="5609" w:name="_Toc56630140"/>
      <w:bookmarkStart w:id="5610" w:name="_Toc56636998"/>
      <w:bookmarkStart w:id="5611" w:name="_Toc56638132"/>
      <w:bookmarkStart w:id="5612" w:name="_Toc56640976"/>
      <w:r>
        <w:rPr>
          <w:rFonts w:hint="cs"/>
          <w:rtl/>
        </w:rPr>
        <w:t>בדעת הרמב"ם</w:t>
      </w:r>
      <w:bookmarkEnd w:id="5526"/>
      <w:bookmarkEnd w:id="5595"/>
      <w:bookmarkEnd w:id="5596"/>
      <w:bookmarkEnd w:id="5597"/>
      <w:bookmarkEnd w:id="5598"/>
      <w:bookmarkEnd w:id="5608"/>
      <w:bookmarkEnd w:id="5609"/>
      <w:r>
        <w:rPr>
          <w:rFonts w:hint="cs"/>
          <w:rtl/>
        </w:rPr>
        <w:t xml:space="preserve"> בטעמא דחזקת ג"ש</w:t>
      </w:r>
      <w:bookmarkEnd w:id="5610"/>
      <w:bookmarkEnd w:id="5611"/>
      <w:bookmarkEnd w:id="5612"/>
      <w:r>
        <w:rPr>
          <w:rFonts w:hint="cs"/>
          <w:rtl/>
        </w:rPr>
        <w:t xml:space="preserve"> </w:t>
      </w:r>
    </w:p>
    <w:p w:rsidR="00E874E8" w:rsidRDefault="00E874E8" w:rsidP="00E874E8">
      <w:pPr>
        <w:pStyle w:val="1"/>
        <w:rPr>
          <w:rtl/>
        </w:rPr>
      </w:pPr>
      <w:bookmarkStart w:id="5613" w:name="_Toc52907755"/>
      <w:bookmarkStart w:id="5614" w:name="_Toc53402182"/>
      <w:bookmarkStart w:id="5615" w:name="_Toc54076392"/>
      <w:bookmarkStart w:id="5616" w:name="_Toc55419911"/>
      <w:bookmarkStart w:id="5617" w:name="_Toc55419967"/>
      <w:bookmarkStart w:id="5618" w:name="_Toc55421177"/>
      <w:bookmarkStart w:id="5619" w:name="_Toc55508555"/>
      <w:bookmarkStart w:id="5620" w:name="_Toc55569206"/>
      <w:bookmarkStart w:id="5621" w:name="_Toc55718317"/>
      <w:bookmarkStart w:id="5622" w:name="_Toc55739979"/>
      <w:bookmarkStart w:id="5623" w:name="_Toc56372881"/>
      <w:bookmarkStart w:id="5624" w:name="_Toc56458221"/>
      <w:bookmarkStart w:id="5625" w:name="_Toc56544381"/>
      <w:bookmarkStart w:id="5626" w:name="_Toc56609832"/>
      <w:bookmarkStart w:id="5627" w:name="_Toc56626673"/>
      <w:bookmarkStart w:id="5628" w:name="_Toc56630141"/>
      <w:bookmarkStart w:id="5629" w:name="_Toc56636999"/>
      <w:bookmarkStart w:id="5630" w:name="_Toc56638133"/>
      <w:bookmarkStart w:id="5631" w:name="_Toc56640977"/>
      <w:r w:rsidRPr="00FD173A">
        <w:rPr>
          <w:rFonts w:hint="cs"/>
          <w:rtl/>
        </w:rPr>
        <w:t xml:space="preserve">דברי </w:t>
      </w:r>
      <w:r>
        <w:rPr>
          <w:rFonts w:hint="cs"/>
          <w:rtl/>
        </w:rPr>
        <w:t>הרמב"ם</w:t>
      </w:r>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r>
        <w:rPr>
          <w:rFonts w:hint="cs"/>
          <w:rtl/>
        </w:rPr>
        <w:t xml:space="preserve"> דכל שלא מחה המערער הפסיד לעצמו</w:t>
      </w:r>
      <w:bookmarkEnd w:id="5629"/>
      <w:bookmarkEnd w:id="5630"/>
      <w:bookmarkEnd w:id="5631"/>
    </w:p>
    <w:p w:rsidR="00E874E8" w:rsidRPr="000A7637" w:rsidRDefault="00E874E8" w:rsidP="00E874E8">
      <w:pPr>
        <w:pStyle w:val="a3"/>
        <w:rPr>
          <w:rtl/>
        </w:rPr>
      </w:pPr>
      <w:bookmarkStart w:id="5632" w:name="_Toc55419912"/>
      <w:bookmarkStart w:id="5633" w:name="_Toc55419968"/>
      <w:bookmarkStart w:id="5634" w:name="_Toc55421178"/>
      <w:bookmarkStart w:id="5635" w:name="_Toc55508556"/>
      <w:bookmarkStart w:id="5636" w:name="_Toc55569207"/>
      <w:bookmarkStart w:id="5637" w:name="_Toc55718318"/>
      <w:bookmarkStart w:id="5638" w:name="_Toc55739980"/>
      <w:bookmarkStart w:id="5639" w:name="_Toc56372882"/>
      <w:bookmarkStart w:id="5640" w:name="_Toc56458222"/>
      <w:bookmarkStart w:id="5641" w:name="_Toc56544382"/>
      <w:bookmarkStart w:id="5642" w:name="_Toc56609833"/>
      <w:bookmarkStart w:id="5643" w:name="_Toc56626674"/>
      <w:bookmarkStart w:id="5644" w:name="_Toc56630142"/>
      <w:bookmarkStart w:id="5645" w:name="_Toc56637000"/>
      <w:bookmarkStart w:id="5646" w:name="_Toc56638134"/>
      <w:bookmarkStart w:id="5647" w:name="_Toc56640978"/>
      <w:r>
        <w:rPr>
          <w:rFonts w:hint="cs"/>
          <w:rtl/>
        </w:rPr>
        <w:t>דברי הרמב"ם דקרקע שידועה בעדים שהיא של המר"ק היא בחזקתו</w:t>
      </w:r>
      <w:bookmarkEnd w:id="5632"/>
      <w:bookmarkEnd w:id="5633"/>
      <w:bookmarkEnd w:id="5634"/>
      <w:bookmarkEnd w:id="5635"/>
      <w:bookmarkEnd w:id="5636"/>
      <w:bookmarkEnd w:id="5637"/>
      <w:bookmarkEnd w:id="5638"/>
      <w:bookmarkEnd w:id="5639"/>
      <w:bookmarkEnd w:id="5640"/>
      <w:bookmarkEnd w:id="5641"/>
      <w:bookmarkEnd w:id="5642"/>
      <w:r>
        <w:rPr>
          <w:rFonts w:hint="cs"/>
          <w:rtl/>
        </w:rPr>
        <w:t xml:space="preserve"> עד שיביא המחזיק ראיה</w:t>
      </w:r>
      <w:bookmarkEnd w:id="5643"/>
      <w:bookmarkEnd w:id="5644"/>
      <w:bookmarkEnd w:id="5645"/>
      <w:bookmarkEnd w:id="5646"/>
      <w:bookmarkEnd w:id="5647"/>
    </w:p>
    <w:p w:rsidR="00E874E8" w:rsidRDefault="00E874E8" w:rsidP="007E4E81">
      <w:pPr>
        <w:pStyle w:val="a0"/>
        <w:rPr>
          <w:rtl/>
        </w:rPr>
      </w:pPr>
      <w:bookmarkStart w:id="5648" w:name="_Ref56627317"/>
      <w:bookmarkStart w:id="5649" w:name="_Toc55419913"/>
      <w:bookmarkStart w:id="5650" w:name="_Toc55419969"/>
      <w:bookmarkStart w:id="5651" w:name="_Toc55421179"/>
      <w:bookmarkStart w:id="5652" w:name="_Toc55508557"/>
      <w:bookmarkStart w:id="5653" w:name="_Toc55569208"/>
      <w:bookmarkStart w:id="5654" w:name="_Toc55718319"/>
      <w:bookmarkStart w:id="5655" w:name="_Toc55739981"/>
      <w:bookmarkStart w:id="5656" w:name="_Toc56372883"/>
      <w:r>
        <w:rPr>
          <w:rFonts w:hint="cs"/>
          <w:rtl/>
        </w:rPr>
        <w:t xml:space="preserve">כתב </w:t>
      </w:r>
      <w:r w:rsidRPr="006177F0">
        <w:rPr>
          <w:rStyle w:val="af9"/>
          <w:rFonts w:hint="cs"/>
          <w:rtl/>
        </w:rPr>
        <w:t>הרמב"ם</w:t>
      </w:r>
      <w:r>
        <w:rPr>
          <w:rFonts w:hint="cs"/>
          <w:rtl/>
        </w:rPr>
        <w:t xml:space="preserve"> </w:t>
      </w:r>
      <w:r w:rsidRPr="00826BFD">
        <w:rPr>
          <w:rStyle w:val="af7"/>
          <w:rFonts w:eastAsia="Guttman Hodes" w:hint="cs"/>
          <w:rtl/>
        </w:rPr>
        <w:t>(טו</w:t>
      </w:r>
      <w:r w:rsidRPr="00826BFD">
        <w:rPr>
          <w:rStyle w:val="af7"/>
          <w:rFonts w:eastAsia="Guttman Hodes"/>
          <w:rtl/>
        </w:rPr>
        <w:t>"</w:t>
      </w:r>
      <w:r w:rsidRPr="00826BFD">
        <w:rPr>
          <w:rStyle w:val="af7"/>
          <w:rFonts w:eastAsia="Guttman Hodes" w:hint="cs"/>
          <w:rtl/>
        </w:rPr>
        <w:t>נ פי"א ה"א)</w:t>
      </w:r>
      <w:r>
        <w:rPr>
          <w:rFonts w:hint="cs"/>
          <w:rtl/>
        </w:rPr>
        <w:t xml:space="preserve"> דקרקע שידועה שהיא של אדם אחד, אף שעכשיו היא תחת יד אחר, כגון שראובן משתמש בה כדרך הבעלים, ודר בה ומשכירה לאחרים, ובונה וסותר, ולאחר זמן בא שמעון וטוען שהחחצר היא שלו, וראובן שכרה או השאילה ממנו, [או שהיא גזולה בידו], וטוען המחזיק שקנה מהבעלים, הרי היא בחזקת הבעלים, עד שיביא המחזיק ראיה שקנה מהם, ואם יש לבעלים עדים שהייתה הקרקע שלו, אף אם המחזיק אינו מודה שקנה ממנו, וטוען שלא הייתה של המערער כלל, מ"מ היא בחזקת המערער כיון שיש לו עדים, ואם אין למערער עדים שהייתה שלו, המחזיק נשבע היסת, והקרקע ברשותו, ועי' במה שביאר </w:t>
      </w:r>
      <w:r w:rsidRPr="00E90350">
        <w:rPr>
          <w:rStyle w:val="af9"/>
          <w:rFonts w:hint="cs"/>
          <w:rtl/>
        </w:rPr>
        <w:t xml:space="preserve">בחי' רבי נחום </w:t>
      </w:r>
      <w:r w:rsidRPr="0014055E">
        <w:rPr>
          <w:rStyle w:val="af7"/>
          <w:rFonts w:eastAsia="Guttman Hodes" w:hint="cs"/>
          <w:rtl/>
        </w:rPr>
        <w:t xml:space="preserve">(עי' אות </w:t>
      </w:r>
      <w:r w:rsidRPr="000A1D88">
        <w:rPr>
          <w:rStyle w:val="af7"/>
          <w:rFonts w:eastAsia="Guttman Hodes"/>
          <w:rtl/>
        </w:rPr>
        <w:fldChar w:fldCharType="begin"/>
      </w:r>
      <w:r w:rsidRPr="000A1D88">
        <w:rPr>
          <w:rStyle w:val="af7"/>
          <w:rFonts w:eastAsia="Guttman Hodes"/>
          <w:rtl/>
        </w:rPr>
        <w:instrText xml:space="preserve"> </w:instrText>
      </w:r>
      <w:r w:rsidRPr="000A1D88">
        <w:rPr>
          <w:rStyle w:val="af7"/>
          <w:rFonts w:eastAsia="Guttman Hodes" w:hint="cs"/>
        </w:rPr>
        <w:instrText>REF</w:instrText>
      </w:r>
      <w:r w:rsidRPr="000A1D88">
        <w:rPr>
          <w:rStyle w:val="af7"/>
          <w:rFonts w:eastAsia="Guttman Hodes" w:hint="cs"/>
          <w:rtl/>
        </w:rPr>
        <w:instrText xml:space="preserve"> _</w:instrText>
      </w:r>
      <w:r w:rsidRPr="000A1D88">
        <w:rPr>
          <w:rStyle w:val="af7"/>
          <w:rFonts w:eastAsia="Guttman Hodes" w:hint="cs"/>
        </w:rPr>
        <w:instrText>Ref56627763 \r \h</w:instrText>
      </w:r>
      <w:r w:rsidRPr="000A1D8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A1D88">
        <w:rPr>
          <w:rStyle w:val="af7"/>
          <w:rFonts w:eastAsia="Guttman Hodes"/>
          <w:rtl/>
        </w:rPr>
      </w:r>
      <w:r w:rsidRPr="000A1D88">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0A1D88">
        <w:rPr>
          <w:rStyle w:val="af7"/>
          <w:rFonts w:eastAsia="Guttman Hodes"/>
          <w:rtl/>
        </w:rPr>
        <w:fldChar w:fldCharType="end"/>
      </w:r>
      <w:r>
        <w:rPr>
          <w:rFonts w:hint="cs"/>
          <w:rtl/>
        </w:rPr>
        <w:t xml:space="preserve"> </w:t>
      </w:r>
      <w:r w:rsidRPr="000A1D88">
        <w:rPr>
          <w:rFonts w:hint="cs"/>
          <w:rtl/>
        </w:rPr>
        <w:t xml:space="preserve">בדברי </w:t>
      </w:r>
      <w:r w:rsidRPr="000A1D88">
        <w:rPr>
          <w:rStyle w:val="af9"/>
          <w:rFonts w:hint="cs"/>
          <w:rtl/>
        </w:rPr>
        <w:t>הרמב"ם</w:t>
      </w:r>
      <w:r w:rsidRPr="000A1D88">
        <w:rPr>
          <w:rFonts w:hint="cs"/>
          <w:rtl/>
        </w:rPr>
        <w:t>, וע"ע במה שהוסיף לבאר</w:t>
      </w:r>
      <w:r w:rsidRPr="000A1D88">
        <w:rPr>
          <w:rStyle w:val="af9"/>
          <w:rFonts w:hint="cs"/>
          <w:rtl/>
        </w:rPr>
        <w:t xml:space="preserve"> בחי' רבי</w:t>
      </w:r>
      <w:r w:rsidRPr="0014055E">
        <w:rPr>
          <w:rStyle w:val="af9"/>
          <w:rFonts w:hint="cs"/>
          <w:rtl/>
        </w:rPr>
        <w:t xml:space="preserve"> נחום</w:t>
      </w:r>
      <w:r w:rsidRPr="0014055E">
        <w:rPr>
          <w:rFonts w:hint="cs"/>
          <w:rtl/>
        </w:rPr>
        <w:t xml:space="preserve"> </w:t>
      </w:r>
      <w:r w:rsidRPr="0014055E">
        <w:rPr>
          <w:rStyle w:val="af7"/>
          <w:rFonts w:eastAsia="Guttman Hodes" w:hint="cs"/>
          <w:rtl/>
        </w:rPr>
        <w:t xml:space="preserve">(עי' אות </w:t>
      </w:r>
      <w:r w:rsidRPr="0014055E">
        <w:rPr>
          <w:rStyle w:val="af7"/>
          <w:rFonts w:eastAsia="Guttman Hodes"/>
          <w:rtl/>
        </w:rPr>
        <w:fldChar w:fldCharType="begin"/>
      </w:r>
      <w:r w:rsidRPr="0014055E">
        <w:rPr>
          <w:rStyle w:val="af7"/>
          <w:rFonts w:eastAsia="Guttman Hodes"/>
          <w:rtl/>
        </w:rPr>
        <w:instrText xml:space="preserve"> </w:instrText>
      </w:r>
      <w:r w:rsidRPr="0014055E">
        <w:rPr>
          <w:rStyle w:val="af7"/>
          <w:rFonts w:eastAsia="Guttman Hodes" w:hint="cs"/>
        </w:rPr>
        <w:instrText>REF</w:instrText>
      </w:r>
      <w:r w:rsidRPr="0014055E">
        <w:rPr>
          <w:rStyle w:val="af7"/>
          <w:rFonts w:eastAsia="Guttman Hodes" w:hint="cs"/>
          <w:rtl/>
        </w:rPr>
        <w:instrText xml:space="preserve"> _</w:instrText>
      </w:r>
      <w:r w:rsidRPr="0014055E">
        <w:rPr>
          <w:rStyle w:val="af7"/>
          <w:rFonts w:eastAsia="Guttman Hodes" w:hint="cs"/>
        </w:rPr>
        <w:instrText>Ref54034956 \r \h</w:instrText>
      </w:r>
      <w:r w:rsidRPr="0014055E">
        <w:rPr>
          <w:rStyle w:val="af7"/>
          <w:rFonts w:eastAsia="Guttman Hodes"/>
          <w:rtl/>
        </w:rPr>
        <w:instrText xml:space="preserve">  \* </w:instrText>
      </w:r>
      <w:r w:rsidRPr="0014055E">
        <w:rPr>
          <w:rStyle w:val="af7"/>
          <w:rFonts w:eastAsia="Guttman Hodes"/>
        </w:rPr>
        <w:instrText>MERGEFORMAT</w:instrText>
      </w:r>
      <w:r w:rsidRPr="0014055E">
        <w:rPr>
          <w:rStyle w:val="af7"/>
          <w:rFonts w:eastAsia="Guttman Hodes"/>
          <w:rtl/>
        </w:rPr>
        <w:instrText xml:space="preserve"> </w:instrText>
      </w:r>
      <w:r w:rsidRPr="0014055E">
        <w:rPr>
          <w:rStyle w:val="af7"/>
          <w:rFonts w:eastAsia="Guttman Hodes"/>
          <w:rtl/>
        </w:rPr>
      </w:r>
      <w:r w:rsidRPr="0014055E">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14055E">
        <w:rPr>
          <w:rStyle w:val="af7"/>
          <w:rFonts w:eastAsia="Guttman Hodes"/>
          <w:rtl/>
        </w:rPr>
        <w:fldChar w:fldCharType="end"/>
      </w:r>
      <w:r w:rsidRPr="0014055E">
        <w:rPr>
          <w:rStyle w:val="af7"/>
          <w:rFonts w:eastAsia="Guttman Hodes" w:hint="cs"/>
          <w:rtl/>
        </w:rPr>
        <w:t xml:space="preserve"> </w:t>
      </w:r>
      <w:r w:rsidRPr="0014055E">
        <w:rPr>
          <w:rFonts w:hint="cs"/>
          <w:rtl/>
        </w:rPr>
        <w:t>ב</w:t>
      </w:r>
      <w:r>
        <w:rPr>
          <w:rFonts w:hint="cs"/>
          <w:rtl/>
        </w:rPr>
        <w:t>גדר</w:t>
      </w:r>
      <w:r w:rsidRPr="0014055E">
        <w:rPr>
          <w:rFonts w:hint="cs"/>
          <w:rtl/>
        </w:rPr>
        <w:t>י</w:t>
      </w:r>
      <w:r>
        <w:rPr>
          <w:rFonts w:hint="cs"/>
          <w:rtl/>
        </w:rPr>
        <w:t xml:space="preserve"> המוחזקות לדעת</w:t>
      </w:r>
      <w:r w:rsidRPr="0014055E">
        <w:rPr>
          <w:rFonts w:hint="cs"/>
          <w:rtl/>
        </w:rPr>
        <w:t xml:space="preserve"> </w:t>
      </w:r>
      <w:r>
        <w:rPr>
          <w:rStyle w:val="af9"/>
          <w:rFonts w:hint="cs"/>
          <w:rtl/>
        </w:rPr>
        <w:t>הרמב"ם</w:t>
      </w:r>
      <w:r>
        <w:rPr>
          <w:rFonts w:hint="cs"/>
          <w:rtl/>
        </w:rPr>
        <w:t xml:space="preserve">, </w:t>
      </w:r>
      <w:bookmarkEnd w:id="5648"/>
    </w:p>
    <w:p w:rsidR="00E874E8" w:rsidRPr="00CA65A6" w:rsidRDefault="00E874E8" w:rsidP="00E874E8">
      <w:pPr>
        <w:pStyle w:val="a3"/>
        <w:rPr>
          <w:rtl/>
        </w:rPr>
      </w:pPr>
      <w:bookmarkStart w:id="5657" w:name="_Toc56458223"/>
      <w:bookmarkStart w:id="5658" w:name="_Toc56544383"/>
      <w:bookmarkStart w:id="5659" w:name="_Toc56609834"/>
      <w:bookmarkStart w:id="5660" w:name="_Toc56626675"/>
      <w:bookmarkStart w:id="5661" w:name="_Toc56630143"/>
      <w:bookmarkStart w:id="5662" w:name="_Toc56637001"/>
      <w:bookmarkStart w:id="5663" w:name="_Toc56638135"/>
      <w:bookmarkStart w:id="5664" w:name="_Toc56640979"/>
      <w:r>
        <w:rPr>
          <w:rFonts w:hint="cs"/>
          <w:rtl/>
        </w:rPr>
        <w:lastRenderedPageBreak/>
        <w:t xml:space="preserve">דברי הרמב"ם דבהביא המחזיק עידי חזקת ג"ש ולא מחה המערער </w:t>
      </w:r>
      <w:bookmarkEnd w:id="5649"/>
      <w:bookmarkEnd w:id="5650"/>
      <w:bookmarkEnd w:id="5651"/>
      <w:bookmarkEnd w:id="5652"/>
      <w:bookmarkEnd w:id="5653"/>
      <w:bookmarkEnd w:id="5654"/>
      <w:bookmarkEnd w:id="5655"/>
      <w:bookmarkEnd w:id="5656"/>
      <w:bookmarkEnd w:id="5657"/>
      <w:bookmarkEnd w:id="5658"/>
      <w:bookmarkEnd w:id="5659"/>
      <w:r>
        <w:rPr>
          <w:rFonts w:hint="cs"/>
          <w:rtl/>
        </w:rPr>
        <w:t>בפני עדים הפסיד המערער</w:t>
      </w:r>
      <w:bookmarkEnd w:id="5660"/>
      <w:bookmarkEnd w:id="5661"/>
      <w:bookmarkEnd w:id="5662"/>
      <w:bookmarkEnd w:id="5663"/>
      <w:bookmarkEnd w:id="5664"/>
    </w:p>
    <w:p w:rsidR="00E874E8" w:rsidRDefault="00E874E8" w:rsidP="007E4E81">
      <w:pPr>
        <w:pStyle w:val="a0"/>
        <w:rPr>
          <w:rtl/>
        </w:rPr>
      </w:pPr>
      <w:r>
        <w:rPr>
          <w:rFonts w:hint="cs"/>
          <w:rtl/>
        </w:rPr>
        <w:t xml:space="preserve">וכתב </w:t>
      </w:r>
      <w:r w:rsidRPr="006177F0">
        <w:rPr>
          <w:rStyle w:val="af9"/>
          <w:rFonts w:hint="cs"/>
          <w:rtl/>
        </w:rPr>
        <w:t>הרמב"ם</w:t>
      </w:r>
      <w:r>
        <w:rPr>
          <w:rFonts w:hint="cs"/>
          <w:rtl/>
        </w:rPr>
        <w:t xml:space="preserve"> </w:t>
      </w:r>
      <w:r w:rsidRPr="00826BFD">
        <w:rPr>
          <w:rStyle w:val="af7"/>
          <w:rFonts w:eastAsia="Guttman Hodes" w:hint="cs"/>
          <w:rtl/>
        </w:rPr>
        <w:t>(טו</w:t>
      </w:r>
      <w:r w:rsidRPr="00826BFD">
        <w:rPr>
          <w:rStyle w:val="af7"/>
          <w:rFonts w:eastAsia="Guttman Hodes"/>
          <w:rtl/>
        </w:rPr>
        <w:t>"</w:t>
      </w:r>
      <w:r w:rsidRPr="00826BFD">
        <w:rPr>
          <w:rStyle w:val="af7"/>
          <w:rFonts w:eastAsia="Guttman Hodes" w:hint="cs"/>
          <w:rtl/>
        </w:rPr>
        <w:t>נ פי"א ה"ב)</w:t>
      </w:r>
      <w:r>
        <w:rPr>
          <w:rFonts w:hint="cs"/>
          <w:rtl/>
        </w:rPr>
        <w:t xml:space="preserve"> דאם הביא המחזיק עדים שאכלה ג"ש רצופות, ולא מיחו בו הבעלים, מעמידים אותה בחזקה המחזיק, וצריך להשבע שבועת היסת שהבעלים מכר לו, דאמרינן לבעלים דאם לא מכר לו, היאך החזיק בה המחזיק ג"ש ואין לך עליו שטר שכירות או משכנתא, ולא מחית בו, ואומר המחזיק למערער דבג"ש לא יתכן שלא שמע על החזקה, וכיון ששמע ולא מיחה בפני עדים הפסיד המערער לעצמו, ועי' במה שביארו </w:t>
      </w:r>
      <w:r w:rsidRPr="00D77537">
        <w:rPr>
          <w:rStyle w:val="af9"/>
          <w:rFonts w:hint="cs"/>
          <w:rtl/>
        </w:rPr>
        <w:t>הקצוה"ח</w:t>
      </w:r>
      <w:r>
        <w:rPr>
          <w:rFonts w:hint="cs"/>
          <w:rtl/>
        </w:rPr>
        <w:t xml:space="preserve"> </w:t>
      </w:r>
      <w:r w:rsidRPr="00D77537">
        <w:rPr>
          <w:rStyle w:val="af7"/>
          <w:rFonts w:eastAsia="Guttman Hodes" w:hint="cs"/>
          <w:rtl/>
        </w:rPr>
        <w:t xml:space="preserve">(עי' אות </w:t>
      </w:r>
      <w:r w:rsidRPr="00D77537">
        <w:rPr>
          <w:rStyle w:val="af7"/>
          <w:rFonts w:eastAsia="Guttman Hodes"/>
          <w:rtl/>
        </w:rPr>
        <w:fldChar w:fldCharType="begin"/>
      </w:r>
      <w:r w:rsidRPr="00D77537">
        <w:rPr>
          <w:rStyle w:val="af7"/>
          <w:rFonts w:eastAsia="Guttman Hodes"/>
          <w:rtl/>
        </w:rPr>
        <w:instrText xml:space="preserve"> </w:instrText>
      </w:r>
      <w:r w:rsidRPr="00D77537">
        <w:rPr>
          <w:rStyle w:val="af7"/>
          <w:rFonts w:eastAsia="Guttman Hodes" w:hint="cs"/>
        </w:rPr>
        <w:instrText>REF</w:instrText>
      </w:r>
      <w:r w:rsidRPr="00D77537">
        <w:rPr>
          <w:rStyle w:val="af7"/>
          <w:rFonts w:eastAsia="Guttman Hodes" w:hint="cs"/>
          <w:rtl/>
        </w:rPr>
        <w:instrText xml:space="preserve"> _</w:instrText>
      </w:r>
      <w:r w:rsidRPr="00D77537">
        <w:rPr>
          <w:rStyle w:val="af7"/>
          <w:rFonts w:eastAsia="Guttman Hodes" w:hint="cs"/>
        </w:rPr>
        <w:instrText>Ref55567426 \r \h</w:instrText>
      </w:r>
      <w:r w:rsidRPr="00D77537">
        <w:rPr>
          <w:rStyle w:val="af7"/>
          <w:rFonts w:eastAsia="Guttman Hodes"/>
          <w:rtl/>
        </w:rPr>
        <w:instrText xml:space="preserve"> </w:instrText>
      </w:r>
      <w:r w:rsidRPr="00D77537">
        <w:rPr>
          <w:rStyle w:val="af7"/>
          <w:rFonts w:eastAsia="Guttman Hodes"/>
          <w:rtl/>
        </w:rPr>
      </w:r>
      <w:r w:rsidRPr="00D77537">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D77537">
        <w:rPr>
          <w:rStyle w:val="af7"/>
          <w:rFonts w:eastAsia="Guttman Hodes"/>
          <w:rtl/>
        </w:rPr>
        <w:fldChar w:fldCharType="end"/>
      </w:r>
      <w:r>
        <w:rPr>
          <w:rStyle w:val="af9"/>
          <w:rFonts w:hint="cs"/>
          <w:rtl/>
        </w:rPr>
        <w:t xml:space="preserve"> </w:t>
      </w:r>
      <w:r w:rsidRPr="00A47C23">
        <w:rPr>
          <w:rStyle w:val="af9"/>
          <w:rFonts w:hint="cs"/>
          <w:rtl/>
        </w:rPr>
        <w:t xml:space="preserve">ובחי' רמ"ש </w:t>
      </w:r>
      <w:r w:rsidRPr="00A47C23">
        <w:rPr>
          <w:rStyle w:val="af7"/>
          <w:rFonts w:eastAsia="Guttman Hodes" w:hint="cs"/>
          <w:rtl/>
        </w:rPr>
        <w:t xml:space="preserve">(עי' אות </w:t>
      </w:r>
      <w:r w:rsidRPr="00A47C23">
        <w:rPr>
          <w:rStyle w:val="af7"/>
          <w:rFonts w:eastAsia="Guttman Hodes"/>
          <w:rtl/>
        </w:rPr>
        <w:fldChar w:fldCharType="begin"/>
      </w:r>
      <w:r w:rsidRPr="00A47C23">
        <w:rPr>
          <w:rStyle w:val="af7"/>
          <w:rFonts w:eastAsia="Guttman Hodes"/>
          <w:rtl/>
        </w:rPr>
        <w:instrText xml:space="preserve"> </w:instrText>
      </w:r>
      <w:r w:rsidRPr="00A47C23">
        <w:rPr>
          <w:rStyle w:val="af7"/>
          <w:rFonts w:eastAsia="Guttman Hodes" w:hint="cs"/>
        </w:rPr>
        <w:instrText>REF</w:instrText>
      </w:r>
      <w:r w:rsidRPr="00A47C23">
        <w:rPr>
          <w:rStyle w:val="af7"/>
          <w:rFonts w:eastAsia="Guttman Hodes" w:hint="cs"/>
          <w:rtl/>
        </w:rPr>
        <w:instrText xml:space="preserve"> _</w:instrText>
      </w:r>
      <w:r w:rsidRPr="00A47C23">
        <w:rPr>
          <w:rStyle w:val="af7"/>
          <w:rFonts w:eastAsia="Guttman Hodes" w:hint="cs"/>
        </w:rPr>
        <w:instrText>Ref55670765 \r \h</w:instrText>
      </w:r>
      <w:r w:rsidRPr="00A47C23">
        <w:rPr>
          <w:rStyle w:val="af7"/>
          <w:rFonts w:eastAsia="Guttman Hodes"/>
          <w:rtl/>
        </w:rPr>
        <w:instrText xml:space="preserve">  \* </w:instrText>
      </w:r>
      <w:r w:rsidRPr="00A47C23">
        <w:rPr>
          <w:rStyle w:val="af7"/>
          <w:rFonts w:eastAsia="Guttman Hodes"/>
        </w:rPr>
        <w:instrText>MERGEFORMAT</w:instrText>
      </w:r>
      <w:r w:rsidRPr="00A47C23">
        <w:rPr>
          <w:rStyle w:val="af7"/>
          <w:rFonts w:eastAsia="Guttman Hodes"/>
          <w:rtl/>
        </w:rPr>
        <w:instrText xml:space="preserve"> </w:instrText>
      </w:r>
      <w:r w:rsidRPr="00A47C23">
        <w:rPr>
          <w:rStyle w:val="af7"/>
          <w:rFonts w:eastAsia="Guttman Hodes"/>
          <w:rtl/>
        </w:rPr>
      </w:r>
      <w:r w:rsidRPr="00A47C23">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A47C23">
        <w:rPr>
          <w:rStyle w:val="af7"/>
          <w:rFonts w:eastAsia="Guttman Hodes"/>
          <w:rtl/>
        </w:rPr>
        <w:fldChar w:fldCharType="end"/>
      </w:r>
      <w:r w:rsidRPr="00A47C23">
        <w:rPr>
          <w:rStyle w:val="af9"/>
          <w:rFonts w:hint="cs"/>
          <w:rtl/>
        </w:rPr>
        <w:t xml:space="preserve"> </w:t>
      </w:r>
      <w:r w:rsidRPr="000A1D88">
        <w:rPr>
          <w:rStyle w:val="af9"/>
          <w:rFonts w:hint="cs"/>
          <w:rtl/>
        </w:rPr>
        <w:t xml:space="preserve">ובחזון יחזקאל </w:t>
      </w:r>
      <w:r w:rsidRPr="00FE23AF">
        <w:rPr>
          <w:rStyle w:val="af7"/>
          <w:rFonts w:eastAsia="Guttman Hodes" w:hint="cs"/>
          <w:rtl/>
        </w:rPr>
        <w:t xml:space="preserve">(עי' אות </w:t>
      </w:r>
      <w:r w:rsidRPr="00FE23AF">
        <w:rPr>
          <w:rStyle w:val="af7"/>
          <w:rFonts w:eastAsia="Guttman Hodes"/>
          <w:rtl/>
        </w:rPr>
        <w:fldChar w:fldCharType="begin"/>
      </w:r>
      <w:r w:rsidRPr="00FE23AF">
        <w:rPr>
          <w:rStyle w:val="af7"/>
          <w:rFonts w:eastAsia="Guttman Hodes"/>
          <w:rtl/>
        </w:rPr>
        <w:instrText xml:space="preserve"> </w:instrText>
      </w:r>
      <w:r w:rsidRPr="00FE23AF">
        <w:rPr>
          <w:rStyle w:val="af7"/>
          <w:rFonts w:eastAsia="Guttman Hodes" w:hint="cs"/>
        </w:rPr>
        <w:instrText>REF</w:instrText>
      </w:r>
      <w:r w:rsidRPr="00FE23AF">
        <w:rPr>
          <w:rStyle w:val="af7"/>
          <w:rFonts w:eastAsia="Guttman Hodes" w:hint="cs"/>
          <w:rtl/>
        </w:rPr>
        <w:instrText xml:space="preserve"> _</w:instrText>
      </w:r>
      <w:r w:rsidRPr="00FE23AF">
        <w:rPr>
          <w:rStyle w:val="af7"/>
          <w:rFonts w:eastAsia="Guttman Hodes" w:hint="cs"/>
        </w:rPr>
        <w:instrText>Ref56639787 \r \h</w:instrText>
      </w:r>
      <w:r w:rsidRPr="00FE23AF">
        <w:rPr>
          <w:rStyle w:val="af7"/>
          <w:rFonts w:eastAsia="Guttman Hodes"/>
          <w:rtl/>
        </w:rPr>
        <w:instrText xml:space="preserve"> </w:instrText>
      </w:r>
      <w:r w:rsidRPr="00FE23AF">
        <w:rPr>
          <w:rStyle w:val="af7"/>
          <w:rFonts w:eastAsia="Guttman Hodes"/>
          <w:rtl/>
        </w:rPr>
      </w:r>
      <w:r w:rsidRPr="00FE23AF">
        <w:rPr>
          <w:rStyle w:val="af7"/>
          <w:rFonts w:eastAsia="Guttman Hodes"/>
          <w:rtl/>
        </w:rPr>
        <w:fldChar w:fldCharType="separate"/>
      </w:r>
      <w:r w:rsidR="00265073">
        <w:rPr>
          <w:rStyle w:val="af7"/>
          <w:rFonts w:eastAsia="Guttman Hodes"/>
          <w:cs/>
        </w:rPr>
        <w:t>‎</w:t>
      </w:r>
      <w:r w:rsidR="00265073">
        <w:rPr>
          <w:rStyle w:val="af7"/>
          <w:rFonts w:eastAsia="Guttman Hodes"/>
          <w:rtl/>
        </w:rPr>
        <w:t>קכג)</w:t>
      </w:r>
      <w:r w:rsidRPr="00FE23AF">
        <w:rPr>
          <w:rStyle w:val="af7"/>
          <w:rFonts w:eastAsia="Guttman Hodes"/>
          <w:rtl/>
        </w:rPr>
        <w:fldChar w:fldCharType="end"/>
      </w:r>
      <w:r w:rsidRPr="00FE23AF">
        <w:rPr>
          <w:rStyle w:val="af7"/>
          <w:rFonts w:eastAsia="Guttman Hodes" w:hint="cs"/>
          <w:rtl/>
        </w:rPr>
        <w:t xml:space="preserve"> </w:t>
      </w:r>
      <w:r w:rsidRPr="00A47C23">
        <w:rPr>
          <w:rFonts w:hint="cs"/>
          <w:rtl/>
        </w:rPr>
        <w:t xml:space="preserve">בדברי </w:t>
      </w:r>
      <w:r w:rsidRPr="00A47C23">
        <w:rPr>
          <w:rStyle w:val="af9"/>
          <w:rFonts w:hint="cs"/>
          <w:rtl/>
        </w:rPr>
        <w:t>הרמב"ם</w:t>
      </w:r>
      <w:r w:rsidRPr="00A47C23">
        <w:rPr>
          <w:rFonts w:hint="cs"/>
          <w:rtl/>
        </w:rPr>
        <w:t>.</w:t>
      </w:r>
    </w:p>
    <w:p w:rsidR="00E874E8" w:rsidRPr="00726CE4" w:rsidRDefault="00E874E8" w:rsidP="00E874E8">
      <w:pPr>
        <w:pStyle w:val="1"/>
        <w:rPr>
          <w:rtl/>
        </w:rPr>
      </w:pPr>
      <w:bookmarkStart w:id="5665" w:name="_Toc56637002"/>
      <w:bookmarkStart w:id="5666" w:name="_Toc56638136"/>
      <w:bookmarkStart w:id="5667" w:name="_Toc56640980"/>
      <w:r>
        <w:rPr>
          <w:rFonts w:hint="cs"/>
          <w:rtl/>
        </w:rPr>
        <w:t>דברי הרמב"ם דחזקה שאין נזהר בשטר כשלא ערער עליו ג"ש</w:t>
      </w:r>
      <w:bookmarkEnd w:id="5665"/>
      <w:bookmarkEnd w:id="5666"/>
      <w:bookmarkEnd w:id="5667"/>
    </w:p>
    <w:p w:rsidR="00E874E8" w:rsidRPr="00F8430A" w:rsidRDefault="00E874E8" w:rsidP="00E874E8">
      <w:pPr>
        <w:pStyle w:val="a3"/>
        <w:rPr>
          <w:rtl/>
        </w:rPr>
      </w:pPr>
      <w:bookmarkStart w:id="5668" w:name="_Toc56626676"/>
      <w:bookmarkStart w:id="5669" w:name="_Toc56630144"/>
      <w:bookmarkStart w:id="5670" w:name="_Toc56637003"/>
      <w:bookmarkStart w:id="5671" w:name="_Toc56638137"/>
      <w:bookmarkStart w:id="5672" w:name="_Toc56640981"/>
      <w:r>
        <w:rPr>
          <w:rFonts w:hint="cs"/>
          <w:rtl/>
        </w:rPr>
        <w:t>דברי הרמב"ם דאין אומרים למחזיק אחוי שטרך דלא נזהר בשטר אחר ג"ש שלא ערערו עליו</w:t>
      </w:r>
      <w:bookmarkEnd w:id="5668"/>
      <w:bookmarkEnd w:id="5669"/>
      <w:bookmarkEnd w:id="5670"/>
      <w:bookmarkEnd w:id="5671"/>
      <w:bookmarkEnd w:id="5672"/>
    </w:p>
    <w:p w:rsidR="00E874E8" w:rsidRDefault="00E874E8" w:rsidP="007E4E81">
      <w:pPr>
        <w:pStyle w:val="a0"/>
        <w:rPr>
          <w:rtl/>
        </w:rPr>
      </w:pPr>
      <w:bookmarkStart w:id="5673" w:name="_Ref56627328"/>
      <w:r>
        <w:rPr>
          <w:rFonts w:hint="cs"/>
          <w:rtl/>
        </w:rPr>
        <w:t xml:space="preserve">והוסיף </w:t>
      </w:r>
      <w:r w:rsidRPr="006177F0">
        <w:rPr>
          <w:rStyle w:val="af9"/>
          <w:rFonts w:hint="cs"/>
          <w:rtl/>
        </w:rPr>
        <w:t>הרמב"ם</w:t>
      </w:r>
      <w:r>
        <w:rPr>
          <w:rFonts w:hint="cs"/>
          <w:rtl/>
        </w:rPr>
        <w:t xml:space="preserve"> </w:t>
      </w:r>
      <w:r w:rsidRPr="00826BFD">
        <w:rPr>
          <w:rStyle w:val="af7"/>
          <w:rFonts w:eastAsia="Guttman Hodes" w:hint="cs"/>
          <w:rtl/>
        </w:rPr>
        <w:t>(טו</w:t>
      </w:r>
      <w:r w:rsidRPr="00826BFD">
        <w:rPr>
          <w:rStyle w:val="af7"/>
          <w:rFonts w:eastAsia="Guttman Hodes"/>
          <w:rtl/>
        </w:rPr>
        <w:t>"</w:t>
      </w:r>
      <w:r w:rsidRPr="00826BFD">
        <w:rPr>
          <w:rStyle w:val="af7"/>
          <w:rFonts w:eastAsia="Guttman Hodes" w:hint="cs"/>
          <w:rtl/>
        </w:rPr>
        <w:t>נ פי"א ה"</w:t>
      </w:r>
      <w:r>
        <w:rPr>
          <w:rStyle w:val="af7"/>
          <w:rFonts w:eastAsia="Guttman Hodes" w:hint="cs"/>
          <w:rtl/>
        </w:rPr>
        <w:t>ד</w:t>
      </w:r>
      <w:r w:rsidRPr="00826BFD">
        <w:rPr>
          <w:rStyle w:val="af7"/>
          <w:rFonts w:eastAsia="Guttman Hodes" w:hint="cs"/>
          <w:rtl/>
        </w:rPr>
        <w:t>)</w:t>
      </w:r>
      <w:r>
        <w:rPr>
          <w:rFonts w:hint="cs"/>
          <w:rtl/>
        </w:rPr>
        <w:t xml:space="preserve"> דהא דאין אנו טוענים למחזיק דאם באמת מכר לו המרא קמא את הקרקע, א"כ למה לא נזהרת בשטרך, והא כיון שאדם אינו נזהר בשטר כל ימיו, ויש חזקה שאדם נזהר בשטר רק עד ג"ש, וכיון שהוא רואה שאין עליו מערער אינו נזהר יותרו, ועי' במה שביאר </w:t>
      </w:r>
      <w:r w:rsidRPr="00E90350">
        <w:rPr>
          <w:rStyle w:val="af9"/>
          <w:rFonts w:hint="cs"/>
          <w:rtl/>
        </w:rPr>
        <w:t xml:space="preserve">בחי' רבי נחום </w:t>
      </w:r>
      <w:r w:rsidRPr="0014055E">
        <w:rPr>
          <w:rStyle w:val="af7"/>
          <w:rFonts w:eastAsia="Guttman Hodes" w:hint="cs"/>
          <w:rtl/>
        </w:rPr>
        <w:t xml:space="preserve">(עי' אות </w:t>
      </w:r>
      <w:r w:rsidRPr="0014055E">
        <w:rPr>
          <w:rStyle w:val="af7"/>
          <w:rFonts w:eastAsia="Guttman Hodes"/>
          <w:rtl/>
        </w:rPr>
        <w:fldChar w:fldCharType="begin"/>
      </w:r>
      <w:r w:rsidRPr="0014055E">
        <w:rPr>
          <w:rStyle w:val="af7"/>
          <w:rFonts w:eastAsia="Guttman Hodes"/>
          <w:rtl/>
        </w:rPr>
        <w:instrText xml:space="preserve"> </w:instrText>
      </w:r>
      <w:r w:rsidRPr="0014055E">
        <w:rPr>
          <w:rStyle w:val="af7"/>
          <w:rFonts w:eastAsia="Guttman Hodes" w:hint="cs"/>
        </w:rPr>
        <w:instrText>REF</w:instrText>
      </w:r>
      <w:r w:rsidRPr="0014055E">
        <w:rPr>
          <w:rStyle w:val="af7"/>
          <w:rFonts w:eastAsia="Guttman Hodes" w:hint="cs"/>
          <w:rtl/>
        </w:rPr>
        <w:instrText xml:space="preserve"> _</w:instrText>
      </w:r>
      <w:r w:rsidRPr="0014055E">
        <w:rPr>
          <w:rStyle w:val="af7"/>
          <w:rFonts w:eastAsia="Guttman Hodes" w:hint="cs"/>
        </w:rPr>
        <w:instrText>Ref56627763 \r \h</w:instrText>
      </w:r>
      <w:r w:rsidRPr="0014055E">
        <w:rPr>
          <w:rStyle w:val="af7"/>
          <w:rFonts w:eastAsia="Guttman Hodes"/>
          <w:rtl/>
        </w:rPr>
        <w:instrText xml:space="preserve"> </w:instrText>
      </w:r>
      <w:r w:rsidRPr="0014055E">
        <w:rPr>
          <w:rStyle w:val="af7"/>
          <w:rFonts w:eastAsia="Guttman Hodes"/>
          <w:rtl/>
        </w:rPr>
      </w:r>
      <w:r w:rsidRPr="0014055E">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14055E">
        <w:rPr>
          <w:rStyle w:val="af7"/>
          <w:rFonts w:eastAsia="Guttman Hodes"/>
          <w:rtl/>
        </w:rPr>
        <w:fldChar w:fldCharType="end"/>
      </w:r>
      <w:r>
        <w:rPr>
          <w:rFonts w:hint="cs"/>
          <w:rtl/>
        </w:rPr>
        <w:t xml:space="preserve"> במדברי </w:t>
      </w:r>
      <w:r w:rsidRPr="006177F0">
        <w:rPr>
          <w:rStyle w:val="af9"/>
          <w:rFonts w:hint="cs"/>
          <w:rtl/>
        </w:rPr>
        <w:t>הרמב"ם</w:t>
      </w:r>
      <w:r>
        <w:rPr>
          <w:rFonts w:hint="cs"/>
          <w:rtl/>
        </w:rPr>
        <w:t>.</w:t>
      </w:r>
      <w:bookmarkEnd w:id="5673"/>
    </w:p>
    <w:p w:rsidR="00E874E8" w:rsidRDefault="00E874E8" w:rsidP="00E874E8">
      <w:pPr>
        <w:pStyle w:val="a3"/>
        <w:rPr>
          <w:rtl/>
        </w:rPr>
      </w:pPr>
      <w:bookmarkStart w:id="5674" w:name="_Toc56626677"/>
      <w:bookmarkStart w:id="5675" w:name="_Toc56630145"/>
      <w:bookmarkStart w:id="5676" w:name="_Toc56637005"/>
      <w:bookmarkStart w:id="5677" w:name="_Toc56638139"/>
      <w:bookmarkStart w:id="5678" w:name="_Toc56640983"/>
      <w:r>
        <w:rPr>
          <w:rFonts w:hint="cs"/>
          <w:rtl/>
        </w:rPr>
        <w:t>דברי הרמב"ם דבמחה המערער במקום רחוק חזקה ששמע המחזיק וכל שלא נזהר בשטרו הפסיד</w:t>
      </w:r>
      <w:bookmarkEnd w:id="5674"/>
      <w:bookmarkEnd w:id="5675"/>
      <w:bookmarkEnd w:id="5676"/>
      <w:bookmarkEnd w:id="5677"/>
      <w:bookmarkEnd w:id="5678"/>
    </w:p>
    <w:p w:rsidR="00E874E8" w:rsidRDefault="00E874E8" w:rsidP="007E4E81">
      <w:pPr>
        <w:pStyle w:val="a0"/>
        <w:rPr>
          <w:rtl/>
        </w:rPr>
      </w:pPr>
      <w:bookmarkStart w:id="5679" w:name="_Ref56627976"/>
      <w:r>
        <w:rPr>
          <w:rFonts w:hint="cs"/>
          <w:rtl/>
        </w:rPr>
        <w:t>והוסיף</w:t>
      </w:r>
      <w:r w:rsidRPr="006177F0">
        <w:rPr>
          <w:rStyle w:val="af9"/>
          <w:rFonts w:hint="cs"/>
          <w:rtl/>
        </w:rPr>
        <w:t xml:space="preserve"> הרמב"ם</w:t>
      </w:r>
      <w:r>
        <w:rPr>
          <w:rFonts w:hint="cs"/>
          <w:rtl/>
        </w:rPr>
        <w:t xml:space="preserve"> </w:t>
      </w:r>
      <w:r w:rsidRPr="00826BFD">
        <w:rPr>
          <w:rStyle w:val="af7"/>
          <w:rFonts w:eastAsia="Guttman Hodes" w:hint="cs"/>
          <w:rtl/>
        </w:rPr>
        <w:t>(טו</w:t>
      </w:r>
      <w:r w:rsidRPr="00826BFD">
        <w:rPr>
          <w:rStyle w:val="af7"/>
          <w:rFonts w:eastAsia="Guttman Hodes"/>
          <w:rtl/>
        </w:rPr>
        <w:t>"</w:t>
      </w:r>
      <w:r w:rsidRPr="00826BFD">
        <w:rPr>
          <w:rStyle w:val="af7"/>
          <w:rFonts w:eastAsia="Guttman Hodes" w:hint="cs"/>
          <w:rtl/>
        </w:rPr>
        <w:t>נ פי"א ה"</w:t>
      </w:r>
      <w:r>
        <w:rPr>
          <w:rStyle w:val="af7"/>
          <w:rFonts w:eastAsia="Guttman Hodes" w:hint="cs"/>
          <w:rtl/>
        </w:rPr>
        <w:t>ה</w:t>
      </w:r>
      <w:r w:rsidRPr="00826BFD">
        <w:rPr>
          <w:rStyle w:val="af7"/>
          <w:rFonts w:eastAsia="Guttman Hodes" w:hint="cs"/>
          <w:rtl/>
        </w:rPr>
        <w:t>)</w:t>
      </w:r>
      <w:r>
        <w:rPr>
          <w:rFonts w:hint="cs"/>
          <w:rtl/>
        </w:rPr>
        <w:t xml:space="preserve"> דאם מחה המערער במקום רחוק, אין המחזיק יכול לטעון שלא שמע את המחאה ולא נזהר בשטרו, שמסברת חברך חברא אית ליה, יש חזקה ששמע מהמחאה, וכיון שמחה בו בתוך ג"ש ולא נזהר בשטרו, הוא הפסיד לעצמו, ועי' במה שביאר </w:t>
      </w:r>
      <w:r w:rsidRPr="00E90350">
        <w:rPr>
          <w:rStyle w:val="af9"/>
          <w:rFonts w:hint="cs"/>
          <w:rtl/>
        </w:rPr>
        <w:t xml:space="preserve">בחי' רבי נחום </w:t>
      </w:r>
      <w:r w:rsidRPr="0014055E">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Ref56627907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Pr>
          <w:rStyle w:val="af7"/>
          <w:rFonts w:eastAsia="Guttman Hodes"/>
          <w:rtl/>
        </w:rPr>
        <w:fldChar w:fldCharType="end"/>
      </w:r>
      <w:r>
        <w:rPr>
          <w:rStyle w:val="af7"/>
          <w:rFonts w:eastAsia="Guttman Hodes" w:hint="cs"/>
          <w:rtl/>
        </w:rPr>
        <w:t xml:space="preserve"> </w:t>
      </w:r>
      <w:r w:rsidRPr="00A47C23">
        <w:rPr>
          <w:rFonts w:hint="cs"/>
          <w:rtl/>
        </w:rPr>
        <w:t xml:space="preserve">בדברי </w:t>
      </w:r>
      <w:r w:rsidRPr="00A47C23">
        <w:rPr>
          <w:rStyle w:val="af9"/>
          <w:rFonts w:hint="cs"/>
          <w:rtl/>
        </w:rPr>
        <w:t>הרמב"ם</w:t>
      </w:r>
      <w:r>
        <w:rPr>
          <w:rFonts w:hint="cs"/>
          <w:rtl/>
        </w:rPr>
        <w:t>.</w:t>
      </w:r>
      <w:bookmarkEnd w:id="5679"/>
    </w:p>
    <w:p w:rsidR="00E874E8" w:rsidRDefault="00E874E8" w:rsidP="00E874E8">
      <w:pPr>
        <w:pStyle w:val="a3"/>
        <w:rPr>
          <w:rtl/>
        </w:rPr>
      </w:pPr>
      <w:bookmarkStart w:id="5680" w:name="_Toc56626679"/>
      <w:bookmarkStart w:id="5681" w:name="_Toc56630147"/>
      <w:bookmarkStart w:id="5682" w:name="_Toc56637007"/>
      <w:bookmarkStart w:id="5683" w:name="_Toc56638141"/>
      <w:bookmarkStart w:id="5684" w:name="_Toc56640985"/>
      <w:r>
        <w:rPr>
          <w:rFonts w:hint="cs"/>
          <w:rtl/>
        </w:rPr>
        <w:t>דברי הרמב"ם בפיהמ"ש דאחר ג"ש א"צ לשמור שטר וטוענים למר"ק למה הניח לו לאכול פירות</w:t>
      </w:r>
      <w:bookmarkEnd w:id="5680"/>
      <w:bookmarkEnd w:id="5681"/>
      <w:bookmarkEnd w:id="5682"/>
      <w:bookmarkEnd w:id="5683"/>
      <w:bookmarkEnd w:id="5684"/>
    </w:p>
    <w:p w:rsidR="00E874E8" w:rsidRPr="008A1D63" w:rsidRDefault="00E874E8" w:rsidP="007E4E81">
      <w:pPr>
        <w:pStyle w:val="a0"/>
        <w:rPr>
          <w:rtl/>
        </w:rPr>
      </w:pPr>
      <w:bookmarkStart w:id="5685" w:name="_Ref56446954"/>
      <w:r>
        <w:rPr>
          <w:rFonts w:hint="cs"/>
          <w:rtl/>
        </w:rPr>
        <w:t xml:space="preserve">כתב </w:t>
      </w:r>
      <w:r w:rsidRPr="008A1D63">
        <w:rPr>
          <w:rStyle w:val="af9"/>
          <w:rFonts w:hint="cs"/>
          <w:rtl/>
        </w:rPr>
        <w:t>הרמב"ם בפיהמ"ש</w:t>
      </w:r>
      <w:r>
        <w:rPr>
          <w:rFonts w:hint="cs"/>
          <w:rtl/>
        </w:rPr>
        <w:t xml:space="preserve"> </w:t>
      </w:r>
      <w:r w:rsidRPr="00780EFB">
        <w:rPr>
          <w:rStyle w:val="af7"/>
          <w:rFonts w:eastAsia="Guttman Hodes" w:hint="cs"/>
          <w:rtl/>
        </w:rPr>
        <w:t>(פ"ג מ"א)</w:t>
      </w:r>
      <w:r>
        <w:rPr>
          <w:rFonts w:hint="cs"/>
          <w:rtl/>
        </w:rPr>
        <w:t xml:space="preserve"> דטעם חזקת ג"ש הוא דאדם נזהר בשטרו ג"ש ולא יותר, ואח"כ אינו שם לבו לשטר ויתכן שיאבד לו, ואם איבד את השטר לא יאבד לו ממונו, ולכן כ"ז שהביא המחזיק ראיה שיש לו חזקת ג"ש, הקרקע עומדת בידו, אעפ"י שיש למרא קמא עדים שהייתה ידוע לו, מ"מ נאמן המחזיק במה שטוען שקנה מהמרא קמא, ולא אמרינן ליה אחוי שטרך, כיון שהשטר כבר אבד לו, אלא אמרינן למרא קמא דאם לא מכר למחזיק למה הניח לו לאכול פירות ג"ש, ועי' במה שביאר </w:t>
      </w:r>
      <w:r w:rsidRPr="00867E20">
        <w:rPr>
          <w:rStyle w:val="af9"/>
          <w:rFonts w:hint="cs"/>
          <w:rtl/>
        </w:rPr>
        <w:t>בחי' רבי נחום</w:t>
      </w:r>
      <w:r>
        <w:rPr>
          <w:rFonts w:hint="cs"/>
          <w:rtl/>
        </w:rPr>
        <w:t xml:space="preserve"> </w:t>
      </w:r>
      <w:r w:rsidRPr="00867E20">
        <w:rPr>
          <w:rStyle w:val="af7"/>
          <w:rFonts w:eastAsia="Guttman Hodes" w:hint="cs"/>
          <w:rtl/>
        </w:rPr>
        <w:t xml:space="preserve">(עי' אות </w:t>
      </w:r>
      <w:r w:rsidRPr="00867E20">
        <w:rPr>
          <w:rStyle w:val="af7"/>
          <w:rFonts w:eastAsia="Guttman Hodes"/>
          <w:rtl/>
        </w:rPr>
        <w:fldChar w:fldCharType="begin"/>
      </w:r>
      <w:r w:rsidRPr="00867E20">
        <w:rPr>
          <w:rStyle w:val="af7"/>
          <w:rFonts w:eastAsia="Guttman Hodes"/>
          <w:rtl/>
        </w:rPr>
        <w:instrText xml:space="preserve"> </w:instrText>
      </w:r>
      <w:r w:rsidRPr="00867E20">
        <w:rPr>
          <w:rStyle w:val="af7"/>
          <w:rFonts w:eastAsia="Guttman Hodes" w:hint="cs"/>
        </w:rPr>
        <w:instrText>REF</w:instrText>
      </w:r>
      <w:r w:rsidRPr="00867E20">
        <w:rPr>
          <w:rStyle w:val="af7"/>
          <w:rFonts w:eastAsia="Guttman Hodes" w:hint="cs"/>
          <w:rtl/>
        </w:rPr>
        <w:instrText xml:space="preserve"> _</w:instrText>
      </w:r>
      <w:r w:rsidRPr="00867E20">
        <w:rPr>
          <w:rStyle w:val="af7"/>
          <w:rFonts w:eastAsia="Guttman Hodes" w:hint="cs"/>
        </w:rPr>
        <w:instrText>Ref56446923 \r \h</w:instrText>
      </w:r>
      <w:r w:rsidRPr="00867E20">
        <w:rPr>
          <w:rStyle w:val="af7"/>
          <w:rFonts w:eastAsia="Guttman Hodes"/>
          <w:rtl/>
        </w:rPr>
        <w:instrText xml:space="preserve"> </w:instrText>
      </w:r>
      <w:r w:rsidRPr="00867E20">
        <w:rPr>
          <w:rStyle w:val="af7"/>
          <w:rFonts w:eastAsia="Guttman Hodes"/>
          <w:rtl/>
        </w:rPr>
      </w:r>
      <w:r w:rsidRPr="00867E20">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sidRPr="00867E20">
        <w:rPr>
          <w:rStyle w:val="af7"/>
          <w:rFonts w:eastAsia="Guttman Hodes"/>
          <w:rtl/>
        </w:rPr>
        <w:fldChar w:fldCharType="end"/>
      </w:r>
      <w:r>
        <w:rPr>
          <w:rFonts w:hint="cs"/>
          <w:rtl/>
        </w:rPr>
        <w:t xml:space="preserve"> בדברי </w:t>
      </w:r>
      <w:r w:rsidRPr="00867E20">
        <w:rPr>
          <w:rStyle w:val="af9"/>
          <w:rFonts w:hint="cs"/>
          <w:rtl/>
        </w:rPr>
        <w:t>הרמב"ם בפיהמ"ש</w:t>
      </w:r>
      <w:r>
        <w:rPr>
          <w:rFonts w:hint="cs"/>
          <w:rtl/>
        </w:rPr>
        <w:t>.</w:t>
      </w:r>
      <w:bookmarkEnd w:id="5685"/>
    </w:p>
    <w:p w:rsidR="00E874E8" w:rsidRDefault="00E874E8" w:rsidP="00E874E8">
      <w:pPr>
        <w:pStyle w:val="afe"/>
        <w:rPr>
          <w:rtl/>
        </w:rPr>
      </w:pPr>
      <w:bookmarkStart w:id="5686" w:name="_Toc56544355"/>
      <w:bookmarkStart w:id="5687" w:name="_Toc56609836"/>
      <w:bookmarkStart w:id="5688" w:name="_Toc56626680"/>
      <w:bookmarkStart w:id="5689" w:name="_Toc56630148"/>
      <w:bookmarkStart w:id="5690" w:name="_Toc56637008"/>
      <w:bookmarkStart w:id="5691" w:name="_Toc56638142"/>
      <w:bookmarkStart w:id="5692" w:name="_Toc56640986"/>
      <w:r>
        <w:rPr>
          <w:rFonts w:hint="cs"/>
          <w:rtl/>
        </w:rPr>
        <w:t>דברי הרשב"ם בטעם החזקה לרבנן</w:t>
      </w:r>
      <w:bookmarkEnd w:id="5686"/>
      <w:bookmarkEnd w:id="5687"/>
      <w:bookmarkEnd w:id="5688"/>
      <w:bookmarkEnd w:id="5689"/>
      <w:bookmarkEnd w:id="5690"/>
      <w:bookmarkEnd w:id="5691"/>
      <w:bookmarkEnd w:id="5692"/>
    </w:p>
    <w:p w:rsidR="00E874E8" w:rsidRDefault="00E874E8" w:rsidP="00E874E8">
      <w:pPr>
        <w:pStyle w:val="1"/>
        <w:rPr>
          <w:rtl/>
        </w:rPr>
      </w:pPr>
      <w:bookmarkStart w:id="5693" w:name="_Toc56544356"/>
      <w:bookmarkStart w:id="5694" w:name="_Toc56609837"/>
      <w:bookmarkStart w:id="5695" w:name="_Toc56626681"/>
      <w:bookmarkStart w:id="5696" w:name="_Toc56630149"/>
      <w:bookmarkStart w:id="5697" w:name="_Toc56637009"/>
      <w:bookmarkStart w:id="5698" w:name="_Toc56638143"/>
      <w:bookmarkStart w:id="5699" w:name="_Toc56640987"/>
      <w:bookmarkStart w:id="5700" w:name="_Toc55419901"/>
      <w:bookmarkStart w:id="5701" w:name="_Toc55419957"/>
      <w:bookmarkStart w:id="5702" w:name="_Toc55421167"/>
      <w:bookmarkStart w:id="5703" w:name="_Toc55508545"/>
      <w:bookmarkStart w:id="5704" w:name="_Toc55569193"/>
      <w:bookmarkStart w:id="5705" w:name="_Toc55718304"/>
      <w:bookmarkStart w:id="5706" w:name="_Toc55739968"/>
      <w:bookmarkStart w:id="5707" w:name="_Toc56372853"/>
      <w:bookmarkStart w:id="5708" w:name="_Toc56458204"/>
      <w:r>
        <w:rPr>
          <w:rFonts w:hint="cs"/>
          <w:rtl/>
        </w:rPr>
        <w:t>ביאור הרמב"ן ברשב"ם דטעם החזקה דעד ג"ש נזהר בשטר</w:t>
      </w:r>
      <w:bookmarkEnd w:id="5693"/>
      <w:bookmarkEnd w:id="5694"/>
      <w:bookmarkEnd w:id="5695"/>
      <w:bookmarkEnd w:id="5696"/>
      <w:bookmarkEnd w:id="5697"/>
      <w:bookmarkEnd w:id="5698"/>
      <w:bookmarkEnd w:id="5699"/>
    </w:p>
    <w:p w:rsidR="00E874E8" w:rsidRPr="00F46455" w:rsidRDefault="00E874E8" w:rsidP="00E874E8">
      <w:pPr>
        <w:pStyle w:val="a3"/>
      </w:pPr>
      <w:bookmarkStart w:id="5709" w:name="_Toc56544357"/>
      <w:bookmarkStart w:id="5710" w:name="_Toc56609838"/>
      <w:bookmarkStart w:id="5711" w:name="_Toc56626682"/>
      <w:bookmarkStart w:id="5712" w:name="_Toc56630150"/>
      <w:bookmarkStart w:id="5713" w:name="_Toc56637010"/>
      <w:bookmarkStart w:id="5714" w:name="_Toc56638144"/>
      <w:bookmarkStart w:id="5715" w:name="_Toc56640988"/>
      <w:bookmarkStart w:id="5716" w:name="_Toc55419900"/>
      <w:bookmarkStart w:id="5717" w:name="_Toc55419956"/>
      <w:bookmarkStart w:id="5718" w:name="_Toc55421166"/>
      <w:bookmarkStart w:id="5719" w:name="_Toc55508544"/>
      <w:bookmarkStart w:id="5720" w:name="_Toc55569192"/>
      <w:bookmarkStart w:id="5721" w:name="_Toc55718303"/>
      <w:bookmarkStart w:id="5722" w:name="_Toc55739967"/>
      <w:bookmarkStart w:id="5723" w:name="_Toc56372852"/>
      <w:bookmarkStart w:id="5724" w:name="_Toc56458203"/>
      <w:bookmarkStart w:id="5725" w:name="_Toc55419899"/>
      <w:bookmarkStart w:id="5726" w:name="_Toc55419955"/>
      <w:bookmarkStart w:id="5727" w:name="_Toc55421165"/>
      <w:bookmarkStart w:id="5728" w:name="_Toc55508543"/>
      <w:bookmarkStart w:id="5729" w:name="_Toc55569191"/>
      <w:bookmarkStart w:id="5730" w:name="_Toc55718302"/>
      <w:bookmarkStart w:id="5731" w:name="_Toc55739966"/>
      <w:bookmarkStart w:id="5732" w:name="_Toc56372851"/>
      <w:bookmarkEnd w:id="5700"/>
      <w:bookmarkEnd w:id="5701"/>
      <w:bookmarkEnd w:id="5702"/>
      <w:bookmarkEnd w:id="5703"/>
      <w:bookmarkEnd w:id="5704"/>
      <w:bookmarkEnd w:id="5705"/>
      <w:bookmarkEnd w:id="5706"/>
      <w:bookmarkEnd w:id="5707"/>
      <w:bookmarkEnd w:id="5708"/>
      <w:r>
        <w:rPr>
          <w:rFonts w:hint="cs"/>
          <w:rtl/>
        </w:rPr>
        <w:t>דברי הרשב"ם דלרבנן כיון דטעמא דחזקה דעד ג"ש נזהר בשטרו לכן צריך חזקת ג"ש מיום ליום</w:t>
      </w:r>
      <w:bookmarkEnd w:id="5709"/>
      <w:bookmarkEnd w:id="5710"/>
      <w:bookmarkEnd w:id="5711"/>
      <w:bookmarkEnd w:id="5712"/>
      <w:bookmarkEnd w:id="5713"/>
      <w:bookmarkEnd w:id="5714"/>
      <w:bookmarkEnd w:id="5715"/>
      <w:r>
        <w:rPr>
          <w:rFonts w:hint="cs"/>
          <w:rtl/>
        </w:rPr>
        <w:t xml:space="preserve"> </w:t>
      </w:r>
      <w:bookmarkEnd w:id="5716"/>
      <w:bookmarkEnd w:id="5717"/>
      <w:bookmarkEnd w:id="5718"/>
      <w:bookmarkEnd w:id="5719"/>
      <w:bookmarkEnd w:id="5720"/>
      <w:bookmarkEnd w:id="5721"/>
      <w:bookmarkEnd w:id="5722"/>
      <w:bookmarkEnd w:id="5723"/>
      <w:bookmarkEnd w:id="5724"/>
    </w:p>
    <w:p w:rsidR="00E874E8" w:rsidRDefault="00E874E8" w:rsidP="007E4E81">
      <w:pPr>
        <w:pStyle w:val="a0"/>
        <w:rPr>
          <w:rtl/>
        </w:rPr>
      </w:pPr>
      <w:bookmarkStart w:id="5733" w:name="_Ref56530517"/>
      <w:bookmarkEnd w:id="5725"/>
      <w:bookmarkEnd w:id="5726"/>
      <w:bookmarkEnd w:id="5727"/>
      <w:bookmarkEnd w:id="5728"/>
      <w:bookmarkEnd w:id="5729"/>
      <w:bookmarkEnd w:id="5730"/>
      <w:bookmarkEnd w:id="5731"/>
      <w:bookmarkEnd w:id="5732"/>
      <w:r>
        <w:rPr>
          <w:rFonts w:hint="cs"/>
          <w:rtl/>
        </w:rPr>
        <w:t xml:space="preserve">בהא דאמר רב בגמ' לקמן </w:t>
      </w:r>
      <w:r w:rsidRPr="005B7B34">
        <w:rPr>
          <w:rStyle w:val="af7"/>
          <w:rFonts w:eastAsia="Guttman Hodes" w:hint="cs"/>
          <w:rtl/>
        </w:rPr>
        <w:t>(לו:)</w:t>
      </w:r>
      <w:r>
        <w:rPr>
          <w:rFonts w:hint="cs"/>
          <w:rtl/>
        </w:rPr>
        <w:t xml:space="preserve"> דלדעת חכמים החזקה היא בג"ש מיום ליום, </w:t>
      </w:r>
      <w:r w:rsidRPr="00F849DD">
        <w:rPr>
          <w:rStyle w:val="afb"/>
          <w:rFonts w:hint="cs"/>
          <w:rtl/>
        </w:rPr>
        <w:t>[דפליגי על ר"ע ורבי ישמעאל],</w:t>
      </w:r>
      <w:r>
        <w:rPr>
          <w:rFonts w:hint="cs"/>
          <w:rtl/>
        </w:rPr>
        <w:t xml:space="preserve"> כתב </w:t>
      </w:r>
      <w:r w:rsidRPr="005B7B34">
        <w:rPr>
          <w:rStyle w:val="af9"/>
          <w:rFonts w:hint="cs"/>
          <w:rtl/>
        </w:rPr>
        <w:t>הרשב"ם לקמן</w:t>
      </w:r>
      <w:r>
        <w:rPr>
          <w:rFonts w:hint="cs"/>
          <w:rtl/>
        </w:rPr>
        <w:t xml:space="preserve"> </w:t>
      </w:r>
      <w:r w:rsidRPr="005B7B34">
        <w:rPr>
          <w:rStyle w:val="af7"/>
          <w:rFonts w:eastAsia="Guttman Hodes" w:hint="cs"/>
          <w:rtl/>
        </w:rPr>
        <w:t>(לו: ד"ה זו דברי)</w:t>
      </w:r>
      <w:r>
        <w:rPr>
          <w:rFonts w:hint="cs"/>
          <w:rtl/>
        </w:rPr>
        <w:t xml:space="preserve"> דהא דאמר רבא דטעמא דחזקה הוא דעד ג"ש הלוקח נזהר בשטרו, </w:t>
      </w:r>
      <w:r>
        <w:rPr>
          <w:rFonts w:hint="cs"/>
          <w:rtl/>
        </w:rPr>
        <w:t xml:space="preserve">היינו אליבא דרבנן שהביא רב, כדמוכח בגמ' לקמן דלרבנן לא אזלינן בתר לקיטת ג' פירות של ג"ש, </w:t>
      </w:r>
      <w:r w:rsidRPr="005B7B34">
        <w:rPr>
          <w:rStyle w:val="afb"/>
          <w:rFonts w:hint="cs"/>
          <w:rtl/>
        </w:rPr>
        <w:t>[</w:t>
      </w:r>
      <w:r>
        <w:rPr>
          <w:rStyle w:val="afb"/>
          <w:rFonts w:hint="cs"/>
          <w:rtl/>
        </w:rPr>
        <w:t>ודלא כרבי ישמעאל דס"ל דסגי בג' אכילות בי"ח חודשים, ודלא</w:t>
      </w:r>
      <w:r w:rsidRPr="005B7B34">
        <w:rPr>
          <w:rStyle w:val="afb"/>
          <w:rFonts w:hint="cs"/>
          <w:rtl/>
        </w:rPr>
        <w:t xml:space="preserve"> </w:t>
      </w:r>
      <w:r>
        <w:rPr>
          <w:rStyle w:val="afb"/>
          <w:rFonts w:hint="cs"/>
          <w:rtl/>
        </w:rPr>
        <w:t>כ</w:t>
      </w:r>
      <w:r w:rsidRPr="005B7B34">
        <w:rPr>
          <w:rStyle w:val="afb"/>
          <w:rFonts w:hint="cs"/>
          <w:rtl/>
        </w:rPr>
        <w:t>רבנן שהביא שמואל בגמ' לקמן</w:t>
      </w:r>
      <w:r>
        <w:rPr>
          <w:rStyle w:val="afb"/>
          <w:rFonts w:hint="cs"/>
          <w:rtl/>
        </w:rPr>
        <w:t xml:space="preserve"> </w:t>
      </w:r>
      <w:r w:rsidRPr="005B7B34">
        <w:rPr>
          <w:rStyle w:val="aff6"/>
          <w:rFonts w:hint="cs"/>
          <w:rtl/>
        </w:rPr>
        <w:t>(לו:)</w:t>
      </w:r>
      <w:r>
        <w:rPr>
          <w:rStyle w:val="afb"/>
          <w:rFonts w:hint="cs"/>
          <w:rtl/>
        </w:rPr>
        <w:t xml:space="preserve"> דצריך ג' אכילות בג"ש</w:t>
      </w:r>
      <w:r w:rsidRPr="005B7B34">
        <w:rPr>
          <w:rStyle w:val="afb"/>
          <w:rFonts w:hint="cs"/>
          <w:rtl/>
        </w:rPr>
        <w:t>],</w:t>
      </w:r>
      <w:r>
        <w:rPr>
          <w:rFonts w:hint="cs"/>
          <w:rtl/>
        </w:rPr>
        <w:t xml:space="preserve"> אלא צריך ג"ש שלימות בכל דבר, כיון דאין אדם נזהר בשטרו יותר מג"ש.</w:t>
      </w:r>
      <w:bookmarkEnd w:id="5733"/>
    </w:p>
    <w:p w:rsidR="00E874E8" w:rsidRDefault="00E874E8" w:rsidP="00E874E8">
      <w:pPr>
        <w:pStyle w:val="a3"/>
        <w:rPr>
          <w:rtl/>
        </w:rPr>
      </w:pPr>
      <w:bookmarkStart w:id="5734" w:name="_Toc56544358"/>
      <w:bookmarkStart w:id="5735" w:name="_Toc56609839"/>
      <w:bookmarkStart w:id="5736" w:name="_Toc56626683"/>
      <w:bookmarkStart w:id="5737" w:name="_Toc56630151"/>
      <w:bookmarkStart w:id="5738" w:name="_Toc56637011"/>
      <w:bookmarkStart w:id="5739" w:name="_Toc56638145"/>
      <w:bookmarkStart w:id="5740" w:name="_Toc56640989"/>
      <w:bookmarkStart w:id="5741" w:name="_Toc56458205"/>
      <w:bookmarkStart w:id="5742" w:name="_Toc55419902"/>
      <w:bookmarkStart w:id="5743" w:name="_Toc55419958"/>
      <w:bookmarkStart w:id="5744" w:name="_Toc55421168"/>
      <w:bookmarkStart w:id="5745" w:name="_Toc55508546"/>
      <w:bookmarkStart w:id="5746" w:name="_Toc55569194"/>
      <w:bookmarkStart w:id="5747" w:name="_Toc55718305"/>
      <w:bookmarkStart w:id="5748" w:name="_Toc55739969"/>
      <w:bookmarkStart w:id="5749" w:name="_Toc56372854"/>
      <w:r>
        <w:rPr>
          <w:rFonts w:hint="cs"/>
          <w:rtl/>
        </w:rPr>
        <w:t>ביאור הרמב"ן ברשב"ם דטעמא דחזקה לרבנן דאחר ג"ש אין נזהר בשטר והוא רק בג"ש שלימות</w:t>
      </w:r>
      <w:bookmarkEnd w:id="5734"/>
      <w:bookmarkEnd w:id="5735"/>
      <w:bookmarkEnd w:id="5736"/>
      <w:bookmarkEnd w:id="5737"/>
      <w:bookmarkEnd w:id="5738"/>
      <w:bookmarkEnd w:id="5739"/>
      <w:bookmarkEnd w:id="5740"/>
      <w:r w:rsidRPr="000D6DD2">
        <w:rPr>
          <w:rFonts w:hint="cs"/>
          <w:rtl/>
        </w:rPr>
        <w:t xml:space="preserve"> </w:t>
      </w:r>
      <w:bookmarkEnd w:id="5741"/>
      <w:bookmarkEnd w:id="5742"/>
      <w:bookmarkEnd w:id="5743"/>
      <w:bookmarkEnd w:id="5744"/>
      <w:bookmarkEnd w:id="5745"/>
      <w:bookmarkEnd w:id="5746"/>
      <w:bookmarkEnd w:id="5747"/>
      <w:bookmarkEnd w:id="5748"/>
      <w:bookmarkEnd w:id="5749"/>
    </w:p>
    <w:p w:rsidR="00E874E8" w:rsidRDefault="00E874E8" w:rsidP="007E4E81">
      <w:pPr>
        <w:pStyle w:val="a0"/>
        <w:rPr>
          <w:rtl/>
        </w:rPr>
      </w:pPr>
      <w:bookmarkStart w:id="5750" w:name="_Toc55739970"/>
      <w:bookmarkStart w:id="5751" w:name="_Toc56372855"/>
      <w:bookmarkStart w:id="5752" w:name="_Toc56458206"/>
      <w:r>
        <w:rPr>
          <w:rFonts w:hint="cs"/>
          <w:rtl/>
        </w:rPr>
        <w:t xml:space="preserve">וביאר </w:t>
      </w:r>
      <w:r w:rsidRPr="002B245E">
        <w:rPr>
          <w:rStyle w:val="af9"/>
          <w:rFonts w:hint="cs"/>
          <w:rtl/>
        </w:rPr>
        <w:t>הרמב"ן לקמן</w:t>
      </w:r>
      <w:r>
        <w:rPr>
          <w:rFonts w:hint="cs"/>
          <w:rtl/>
        </w:rPr>
        <w:t xml:space="preserve"> </w:t>
      </w:r>
      <w:r w:rsidRPr="00650F9F">
        <w:rPr>
          <w:rStyle w:val="af7"/>
          <w:rFonts w:eastAsia="Guttman Hodes" w:hint="cs"/>
          <w:rtl/>
        </w:rPr>
        <w:t>(לו: ד"ה ואיכא)</w:t>
      </w:r>
      <w:r>
        <w:rPr>
          <w:rFonts w:hint="cs"/>
          <w:rtl/>
        </w:rPr>
        <w:t xml:space="preserve"> דהא דס"ל </w:t>
      </w:r>
      <w:r w:rsidRPr="002B245E">
        <w:rPr>
          <w:rStyle w:val="af9"/>
          <w:rFonts w:hint="cs"/>
          <w:rtl/>
        </w:rPr>
        <w:t>לרשב"ם</w:t>
      </w:r>
      <w:r>
        <w:rPr>
          <w:rFonts w:hint="cs"/>
          <w:rtl/>
        </w:rPr>
        <w:t xml:space="preserve"> </w:t>
      </w:r>
      <w:r w:rsidRPr="00650F9F">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Ref56530517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Pr>
          <w:rStyle w:val="af7"/>
          <w:rFonts w:eastAsia="Guttman Hodes"/>
          <w:rtl/>
        </w:rPr>
        <w:fldChar w:fldCharType="end"/>
      </w:r>
      <w:r>
        <w:rPr>
          <w:rStyle w:val="af7"/>
          <w:rFonts w:eastAsia="Guttman Hodes" w:hint="cs"/>
          <w:rtl/>
        </w:rPr>
        <w:t xml:space="preserve"> </w:t>
      </w:r>
      <w:r>
        <w:rPr>
          <w:rFonts w:hint="cs"/>
          <w:rtl/>
        </w:rPr>
        <w:t>דלרב צריך ג"ש שלימות, הוא כיון דטעמא דחזקה לרבנן, הוא כדברי רבא דאחר ג"ש אין אדם נזהר בשטרו,</w:t>
      </w:r>
      <w:r w:rsidRPr="00514A9B">
        <w:rPr>
          <w:rStyle w:val="afb"/>
          <w:rFonts w:hint="cs"/>
          <w:rtl/>
        </w:rPr>
        <w:t xml:space="preserve"> [כדביאר </w:t>
      </w:r>
      <w:r w:rsidRPr="0098571D">
        <w:rPr>
          <w:rStyle w:val="affa"/>
          <w:rFonts w:hint="cs"/>
          <w:rtl/>
        </w:rPr>
        <w:t xml:space="preserve">הרשב"ם </w:t>
      </w:r>
      <w:r w:rsidRPr="0098571D">
        <w:rPr>
          <w:rStyle w:val="aff6"/>
          <w:rFonts w:hint="cs"/>
          <w:rtl/>
        </w:rPr>
        <w:t xml:space="preserve">(עי' אות </w:t>
      </w:r>
      <w:r w:rsidRPr="0098571D">
        <w:rPr>
          <w:rStyle w:val="aff6"/>
          <w:rtl/>
        </w:rPr>
        <w:fldChar w:fldCharType="begin"/>
      </w:r>
      <w:r w:rsidRPr="0098571D">
        <w:rPr>
          <w:rStyle w:val="aff6"/>
          <w:rtl/>
        </w:rPr>
        <w:instrText xml:space="preserve"> </w:instrText>
      </w:r>
      <w:r w:rsidRPr="0098571D">
        <w:rPr>
          <w:rStyle w:val="aff6"/>
          <w:rFonts w:hint="cs"/>
        </w:rPr>
        <w:instrText>REF</w:instrText>
      </w:r>
      <w:r w:rsidRPr="0098571D">
        <w:rPr>
          <w:rStyle w:val="aff6"/>
          <w:rFonts w:hint="cs"/>
          <w:rtl/>
        </w:rPr>
        <w:instrText xml:space="preserve"> _</w:instrText>
      </w:r>
      <w:r w:rsidRPr="0098571D">
        <w:rPr>
          <w:rStyle w:val="aff6"/>
          <w:rFonts w:hint="cs"/>
        </w:rPr>
        <w:instrText>Ref56530517 \r \h</w:instrText>
      </w:r>
      <w:r w:rsidRPr="0098571D">
        <w:rPr>
          <w:rStyle w:val="aff6"/>
          <w:rtl/>
        </w:rPr>
        <w:instrText xml:space="preserve"> </w:instrText>
      </w:r>
      <w:r w:rsidRPr="0098571D">
        <w:rPr>
          <w:rStyle w:val="aff6"/>
          <w:rtl/>
        </w:rPr>
      </w:r>
      <w:r w:rsidRPr="0098571D">
        <w:rPr>
          <w:rStyle w:val="aff6"/>
          <w:rtl/>
        </w:rPr>
        <w:fldChar w:fldCharType="separate"/>
      </w:r>
      <w:r w:rsidR="00265073">
        <w:rPr>
          <w:rStyle w:val="aff6"/>
          <w:cs/>
        </w:rPr>
        <w:t>‎</w:t>
      </w:r>
      <w:r w:rsidR="00265073">
        <w:rPr>
          <w:rStyle w:val="aff6"/>
          <w:rtl/>
        </w:rPr>
        <w:t>סה)</w:t>
      </w:r>
      <w:r w:rsidRPr="0098571D">
        <w:rPr>
          <w:rStyle w:val="aff6"/>
          <w:rtl/>
        </w:rPr>
        <w:fldChar w:fldCharType="end"/>
      </w:r>
      <w:r w:rsidRPr="00514A9B">
        <w:rPr>
          <w:rStyle w:val="afb"/>
          <w:rFonts w:hint="cs"/>
          <w:rtl/>
        </w:rPr>
        <w:t>],</w:t>
      </w:r>
      <w:r w:rsidR="00A77F33">
        <w:rPr>
          <w:rStyle w:val="afb"/>
          <w:rFonts w:hint="cs"/>
          <w:rtl/>
        </w:rPr>
        <w:t xml:space="preserve"> </w:t>
      </w:r>
      <w:r>
        <w:rPr>
          <w:rFonts w:hint="cs"/>
          <w:rtl/>
        </w:rPr>
        <w:t xml:space="preserve">והוקשה </w:t>
      </w:r>
      <w:r w:rsidRPr="002B245E">
        <w:rPr>
          <w:rStyle w:val="af9"/>
          <w:rFonts w:hint="cs"/>
          <w:rtl/>
        </w:rPr>
        <w:t>לרשב"ם</w:t>
      </w:r>
      <w:r>
        <w:rPr>
          <w:rFonts w:hint="cs"/>
          <w:rtl/>
        </w:rPr>
        <w:t xml:space="preserve"> דא"כ היאך אפש"ל דלרב מהני החזקה בפחות מג"ש מיום ליום, </w:t>
      </w:r>
      <w:r w:rsidRPr="00D77CA5">
        <w:rPr>
          <w:rStyle w:val="afb"/>
          <w:rFonts w:hint="cs"/>
          <w:rtl/>
        </w:rPr>
        <w:t>[</w:t>
      </w:r>
      <w:r>
        <w:rPr>
          <w:rStyle w:val="afb"/>
          <w:rFonts w:hint="cs"/>
          <w:rtl/>
        </w:rPr>
        <w:t xml:space="preserve">דהא </w:t>
      </w:r>
      <w:r w:rsidRPr="00D77CA5">
        <w:rPr>
          <w:rStyle w:val="afb"/>
          <w:rFonts w:hint="cs"/>
          <w:rtl/>
        </w:rPr>
        <w:t>בפחות מג"ש מיום ליום, עדיין יש עליו טענת אחוי שטרך, אף אם אכל ג' אכילות של ג"ש],</w:t>
      </w:r>
      <w:r>
        <w:rPr>
          <w:rFonts w:hint="cs"/>
          <w:rtl/>
        </w:rPr>
        <w:t xml:space="preserve"> ולכן ביאר </w:t>
      </w:r>
      <w:r w:rsidRPr="00DF03F3">
        <w:rPr>
          <w:rStyle w:val="af9"/>
          <w:rFonts w:hint="cs"/>
          <w:rtl/>
        </w:rPr>
        <w:t>הרשב"ם</w:t>
      </w:r>
      <w:r>
        <w:rPr>
          <w:rFonts w:hint="cs"/>
          <w:rtl/>
        </w:rPr>
        <w:t xml:space="preserve"> דלרב מיום ליום דוקא.</w:t>
      </w:r>
    </w:p>
    <w:p w:rsidR="00E874E8" w:rsidRPr="000D6DD2" w:rsidRDefault="00E874E8" w:rsidP="00E874E8">
      <w:pPr>
        <w:pStyle w:val="a3"/>
        <w:rPr>
          <w:rtl/>
        </w:rPr>
      </w:pPr>
      <w:bookmarkStart w:id="5753" w:name="_Toc56544359"/>
      <w:bookmarkStart w:id="5754" w:name="_Toc56609840"/>
      <w:bookmarkStart w:id="5755" w:name="_Toc56626684"/>
      <w:bookmarkStart w:id="5756" w:name="_Toc56630152"/>
      <w:bookmarkStart w:id="5757" w:name="_Toc56637012"/>
      <w:bookmarkStart w:id="5758" w:name="_Toc56638146"/>
      <w:bookmarkStart w:id="5759" w:name="_Toc56640990"/>
      <w:r>
        <w:rPr>
          <w:rFonts w:hint="cs"/>
          <w:rtl/>
        </w:rPr>
        <w:t>דחיית הרמב"ן דאף אי לרב צריך ג"ש שלימות עדיין קשה אמאי ל"מ חזקה במפוזרות וכדומה</w:t>
      </w:r>
      <w:bookmarkEnd w:id="5750"/>
      <w:bookmarkEnd w:id="5751"/>
      <w:bookmarkEnd w:id="5752"/>
      <w:bookmarkEnd w:id="5753"/>
      <w:bookmarkEnd w:id="5754"/>
      <w:bookmarkEnd w:id="5755"/>
      <w:bookmarkEnd w:id="5756"/>
      <w:bookmarkEnd w:id="5757"/>
      <w:bookmarkEnd w:id="5758"/>
      <w:bookmarkEnd w:id="5759"/>
    </w:p>
    <w:p w:rsidR="00E874E8" w:rsidRPr="00591BDC" w:rsidRDefault="00E874E8" w:rsidP="007E4E81">
      <w:pPr>
        <w:pStyle w:val="a0"/>
        <w:rPr>
          <w:rtl/>
        </w:rPr>
      </w:pPr>
      <w:bookmarkStart w:id="5760" w:name="_Ref56505619"/>
      <w:r>
        <w:rPr>
          <w:rFonts w:hint="cs"/>
          <w:rtl/>
        </w:rPr>
        <w:t xml:space="preserve">אך דחה </w:t>
      </w:r>
      <w:r w:rsidRPr="002B245E">
        <w:rPr>
          <w:rStyle w:val="af9"/>
          <w:rFonts w:hint="cs"/>
          <w:rtl/>
        </w:rPr>
        <w:t>הרמב"ן לקמן</w:t>
      </w:r>
      <w:r>
        <w:rPr>
          <w:rFonts w:hint="cs"/>
          <w:rtl/>
        </w:rPr>
        <w:t xml:space="preserve"> את דברי </w:t>
      </w:r>
      <w:r w:rsidRPr="002B245E">
        <w:rPr>
          <w:rStyle w:val="af9"/>
          <w:rFonts w:hint="cs"/>
          <w:rtl/>
        </w:rPr>
        <w:t>הרשב"ם</w:t>
      </w:r>
      <w:r>
        <w:rPr>
          <w:rFonts w:hint="cs"/>
          <w:rtl/>
        </w:rPr>
        <w:t>, דאף אי לרב צריך ג"ש מיום ליום, עדיין קשה דא"כ כל שעברו ג"ש תחשב חזקה אף בשנים מפוזרות, ואף בבתים שדר בהם ביום ולא בלילה, וכן באפיק כורא ועייל כורא, ושדה גרועה כ</w:t>
      </w:r>
      <w:r>
        <w:rPr>
          <w:rtl/>
        </w:rPr>
        <w:t>תפתיחא</w:t>
      </w:r>
      <w:r>
        <w:rPr>
          <w:rFonts w:hint="cs"/>
          <w:rtl/>
        </w:rPr>
        <w:t xml:space="preserve">, וכן בעשה בה רק ניר, דמבואר בגמ' לקמן </w:t>
      </w:r>
      <w:r w:rsidRPr="00650F9F">
        <w:rPr>
          <w:rStyle w:val="af7"/>
          <w:rFonts w:eastAsia="Guttman Hodes" w:hint="cs"/>
          <w:rtl/>
        </w:rPr>
        <w:t>(לו:)</w:t>
      </w:r>
      <w:r>
        <w:rPr>
          <w:rFonts w:hint="cs"/>
          <w:rtl/>
        </w:rPr>
        <w:t xml:space="preserve"> דלא הוי חזקה. </w:t>
      </w:r>
      <w:r w:rsidRPr="00476CCA">
        <w:rPr>
          <w:rStyle w:val="afb"/>
          <w:rFonts w:hint="cs"/>
          <w:rtl/>
        </w:rPr>
        <w:t>[ו</w:t>
      </w:r>
      <w:bookmarkEnd w:id="5760"/>
      <w:r w:rsidRPr="00476CCA">
        <w:rPr>
          <w:rStyle w:val="afb"/>
          <w:rFonts w:hint="cs"/>
          <w:rtl/>
        </w:rPr>
        <w:t xml:space="preserve">עיי"ש במה שביאר </w:t>
      </w:r>
      <w:r w:rsidRPr="00C028C4">
        <w:rPr>
          <w:rStyle w:val="affa"/>
          <w:rFonts w:hint="cs"/>
          <w:rtl/>
        </w:rPr>
        <w:t>הרמב"ן</w:t>
      </w:r>
      <w:r w:rsidRPr="00476CCA">
        <w:rPr>
          <w:rStyle w:val="afb"/>
          <w:rFonts w:hint="cs"/>
          <w:rtl/>
        </w:rPr>
        <w:t xml:space="preserve"> </w:t>
      </w:r>
      <w:r w:rsidRPr="00C028C4">
        <w:rPr>
          <w:rStyle w:val="aff6"/>
          <w:rFonts w:hint="cs"/>
          <w:rtl/>
        </w:rPr>
        <w:t xml:space="preserve">(הובא בסימן ה' אות ט') </w:t>
      </w:r>
      <w:r w:rsidRPr="00476CCA">
        <w:rPr>
          <w:rStyle w:val="afb"/>
          <w:rFonts w:hint="cs"/>
          <w:rtl/>
        </w:rPr>
        <w:t>דטעמא דחזקה דכל שרואה שמשתמש כדרך הבעלים ואין עליו מערער, אינו נזהר בשטרו].</w:t>
      </w:r>
    </w:p>
    <w:p w:rsidR="00E874E8" w:rsidRDefault="00E874E8" w:rsidP="00E874E8">
      <w:pPr>
        <w:pStyle w:val="1"/>
        <w:rPr>
          <w:rtl/>
        </w:rPr>
      </w:pPr>
      <w:bookmarkStart w:id="5761" w:name="_Toc56544360"/>
      <w:bookmarkStart w:id="5762" w:name="_Toc56609841"/>
      <w:bookmarkStart w:id="5763" w:name="_Toc56626685"/>
      <w:bookmarkStart w:id="5764" w:name="_Toc56630153"/>
      <w:bookmarkStart w:id="5765" w:name="_Toc56637013"/>
      <w:bookmarkStart w:id="5766" w:name="_Toc56638147"/>
      <w:bookmarkStart w:id="5767" w:name="_Toc56640991"/>
      <w:r>
        <w:rPr>
          <w:rFonts w:hint="cs"/>
          <w:rtl/>
        </w:rPr>
        <w:t>דברי הרשב"ם דמי שלא מחה או שלא נזהר בשטר הפסיד</w:t>
      </w:r>
      <w:bookmarkEnd w:id="5761"/>
      <w:bookmarkEnd w:id="5762"/>
      <w:bookmarkEnd w:id="5763"/>
      <w:bookmarkEnd w:id="5764"/>
      <w:bookmarkEnd w:id="5765"/>
      <w:bookmarkEnd w:id="5766"/>
      <w:bookmarkEnd w:id="5767"/>
    </w:p>
    <w:p w:rsidR="00E874E8" w:rsidRPr="00FF6A98" w:rsidRDefault="00E874E8" w:rsidP="00E874E8">
      <w:pPr>
        <w:pStyle w:val="a3"/>
        <w:rPr>
          <w:rtl/>
        </w:rPr>
      </w:pPr>
      <w:bookmarkStart w:id="5768" w:name="_Toc56544361"/>
      <w:bookmarkStart w:id="5769" w:name="_Toc56609842"/>
      <w:bookmarkStart w:id="5770" w:name="_Toc56626686"/>
      <w:bookmarkStart w:id="5771" w:name="_Toc56630154"/>
      <w:bookmarkStart w:id="5772" w:name="_Toc56637014"/>
      <w:bookmarkStart w:id="5773" w:name="_Toc56638148"/>
      <w:bookmarkStart w:id="5774" w:name="_Toc56640992"/>
      <w:r>
        <w:rPr>
          <w:rFonts w:hint="cs"/>
          <w:rtl/>
        </w:rPr>
        <w:t>גי' הב"ח ברשב"ם דכיון שאינו נזהר בשטר צריך למחות בתוך ג"ש וכל שלא מחה הפסיד</w:t>
      </w:r>
      <w:bookmarkEnd w:id="5768"/>
      <w:bookmarkEnd w:id="5769"/>
      <w:bookmarkEnd w:id="5770"/>
      <w:bookmarkEnd w:id="5771"/>
      <w:bookmarkEnd w:id="5772"/>
      <w:bookmarkEnd w:id="5773"/>
      <w:bookmarkEnd w:id="5774"/>
    </w:p>
    <w:p w:rsidR="00E874E8" w:rsidRDefault="00E874E8" w:rsidP="007E4E81">
      <w:pPr>
        <w:pStyle w:val="a0"/>
        <w:rPr>
          <w:rtl/>
        </w:rPr>
      </w:pPr>
      <w:r>
        <w:rPr>
          <w:rFonts w:hint="cs"/>
          <w:rtl/>
        </w:rPr>
        <w:t xml:space="preserve">ועי' </w:t>
      </w:r>
      <w:r w:rsidRPr="00361ECC">
        <w:rPr>
          <w:rStyle w:val="af9"/>
          <w:rFonts w:hint="cs"/>
          <w:rtl/>
        </w:rPr>
        <w:t>בהג' הב"ח</w:t>
      </w:r>
      <w:r>
        <w:rPr>
          <w:rFonts w:hint="cs"/>
          <w:rtl/>
        </w:rPr>
        <w:t xml:space="preserve"> </w:t>
      </w:r>
      <w:r w:rsidRPr="00361ECC">
        <w:rPr>
          <w:rStyle w:val="af7"/>
          <w:rFonts w:eastAsia="Guttman Hodes" w:hint="cs"/>
          <w:rtl/>
        </w:rPr>
        <w:t>(או' ה')</w:t>
      </w:r>
      <w:r>
        <w:rPr>
          <w:rFonts w:hint="cs"/>
          <w:rtl/>
        </w:rPr>
        <w:t xml:space="preserve"> דהביא גירסא </w:t>
      </w:r>
      <w:r w:rsidRPr="00361ECC">
        <w:rPr>
          <w:rStyle w:val="af9"/>
          <w:rFonts w:hint="cs"/>
          <w:rtl/>
        </w:rPr>
        <w:t>ברשב"ם</w:t>
      </w:r>
      <w:r>
        <w:rPr>
          <w:rFonts w:hint="cs"/>
          <w:rtl/>
        </w:rPr>
        <w:t xml:space="preserve"> </w:t>
      </w:r>
      <w:r w:rsidRPr="00361ECC">
        <w:rPr>
          <w:rStyle w:val="af7"/>
          <w:rFonts w:eastAsia="Guttman Hodes" w:hint="cs"/>
          <w:rtl/>
        </w:rPr>
        <w:t>(מדפוס לובלין)</w:t>
      </w:r>
      <w:r>
        <w:rPr>
          <w:rFonts w:hint="cs"/>
          <w:rtl/>
        </w:rPr>
        <w:t xml:space="preserve"> וכן הוא </w:t>
      </w:r>
      <w:r w:rsidRPr="00361ECC">
        <w:rPr>
          <w:rStyle w:val="af9"/>
          <w:rFonts w:hint="cs"/>
          <w:rtl/>
        </w:rPr>
        <w:t>ברשב"ם הקצר</w:t>
      </w:r>
      <w:r>
        <w:rPr>
          <w:rFonts w:hint="cs"/>
          <w:rtl/>
        </w:rPr>
        <w:t xml:space="preserve"> </w:t>
      </w:r>
      <w:r w:rsidRPr="00361ECC">
        <w:rPr>
          <w:rStyle w:val="af7"/>
          <w:rFonts w:eastAsia="Guttman Hodes" w:hint="cs"/>
          <w:rtl/>
        </w:rPr>
        <w:t>(ד"ה טפי)</w:t>
      </w:r>
      <w:r>
        <w:rPr>
          <w:rFonts w:hint="cs"/>
          <w:rtl/>
        </w:rPr>
        <w:t xml:space="preserve"> דכתב דכיון שהמחזיק אינו נזהר בשטרו, לכן היה על המרא קמא למחות בתוך ג"ש, והוסיף </w:t>
      </w:r>
      <w:r w:rsidRPr="00361ECC">
        <w:rPr>
          <w:rStyle w:val="af9"/>
          <w:rFonts w:hint="cs"/>
          <w:rtl/>
        </w:rPr>
        <w:t>בהג' הב"ח</w:t>
      </w:r>
      <w:r>
        <w:rPr>
          <w:rFonts w:hint="cs"/>
          <w:rtl/>
        </w:rPr>
        <w:t xml:space="preserve"> </w:t>
      </w:r>
      <w:r w:rsidRPr="00361ECC">
        <w:rPr>
          <w:rStyle w:val="af7"/>
          <w:rFonts w:eastAsia="Guttman Hodes" w:hint="cs"/>
          <w:rtl/>
        </w:rPr>
        <w:t>(מדפוס לובלין)</w:t>
      </w:r>
      <w:r>
        <w:rPr>
          <w:rFonts w:hint="cs"/>
          <w:rtl/>
        </w:rPr>
        <w:t xml:space="preserve"> דהיה לו למחות כדי שלא יחזיק בקרקעו, וכל שלא מחה הפסיד.</w:t>
      </w:r>
    </w:p>
    <w:p w:rsidR="00E874E8" w:rsidRDefault="00E874E8" w:rsidP="00E874E8">
      <w:pPr>
        <w:pStyle w:val="a3"/>
        <w:rPr>
          <w:rtl/>
        </w:rPr>
      </w:pPr>
      <w:bookmarkStart w:id="5775" w:name="_Toc56544362"/>
      <w:bookmarkStart w:id="5776" w:name="_Toc56609843"/>
      <w:bookmarkStart w:id="5777" w:name="_Toc56626687"/>
      <w:bookmarkStart w:id="5778" w:name="_Toc56630155"/>
      <w:bookmarkStart w:id="5779" w:name="_Toc56637015"/>
      <w:bookmarkStart w:id="5780" w:name="_Toc56638149"/>
      <w:bookmarkStart w:id="5781" w:name="_Toc56640993"/>
      <w:r>
        <w:rPr>
          <w:rFonts w:hint="cs"/>
          <w:rtl/>
        </w:rPr>
        <w:t>דברי הרשב"ם דכל שלא מחה המערער הפסיד ואם אינו יכול למחות אינו מפסיד</w:t>
      </w:r>
      <w:bookmarkEnd w:id="5775"/>
      <w:bookmarkEnd w:id="5776"/>
      <w:bookmarkEnd w:id="5777"/>
      <w:bookmarkEnd w:id="5778"/>
      <w:bookmarkEnd w:id="5779"/>
      <w:bookmarkEnd w:id="5780"/>
      <w:bookmarkEnd w:id="5781"/>
    </w:p>
    <w:p w:rsidR="00E874E8" w:rsidRDefault="00E874E8" w:rsidP="007E4E81">
      <w:pPr>
        <w:pStyle w:val="a0"/>
        <w:rPr>
          <w:rtl/>
        </w:rPr>
      </w:pPr>
      <w:bookmarkStart w:id="5782" w:name="_Ref56596308"/>
      <w:r>
        <w:rPr>
          <w:rFonts w:hint="cs"/>
          <w:rtl/>
        </w:rPr>
        <w:t xml:space="preserve">וע"ע בדברי </w:t>
      </w:r>
      <w:r w:rsidRPr="00CC6D33">
        <w:rPr>
          <w:rStyle w:val="af9"/>
          <w:rFonts w:hint="cs"/>
          <w:rtl/>
        </w:rPr>
        <w:t>הרשב"ם</w:t>
      </w:r>
      <w:r>
        <w:rPr>
          <w:rStyle w:val="af9"/>
          <w:rFonts w:hint="cs"/>
          <w:rtl/>
        </w:rPr>
        <w:t xml:space="preserve"> לקמן</w:t>
      </w:r>
      <w:r>
        <w:rPr>
          <w:rFonts w:hint="cs"/>
          <w:rtl/>
        </w:rPr>
        <w:t xml:space="preserve"> </w:t>
      </w:r>
      <w:r w:rsidRPr="00690444">
        <w:rPr>
          <w:rStyle w:val="af7"/>
          <w:rFonts w:eastAsia="Guttman Hodes" w:hint="cs"/>
          <w:rtl/>
        </w:rPr>
        <w:t>(ל: ד"ה אמר רבא דינא, לה: ד"ה אלא, לו: ד"ה ושתיק, לח: ד"ה מחזיקין וד"ה א"ל, מא: ד"ה מצטרפין, נ: ד"ה אשת איש וד"ה אימא, נז. ד"ה הכניס, נח: ד"ה אבל)</w:t>
      </w:r>
      <w:r>
        <w:rPr>
          <w:rFonts w:hint="cs"/>
          <w:rtl/>
        </w:rPr>
        <w:t xml:space="preserve"> דכתב דכל שלא מחה המערער הפסיד, וכתב </w:t>
      </w:r>
      <w:r w:rsidRPr="00CC6D33">
        <w:rPr>
          <w:rStyle w:val="af9"/>
          <w:rFonts w:hint="cs"/>
          <w:rtl/>
        </w:rPr>
        <w:t>הרשב"ם</w:t>
      </w:r>
      <w:r>
        <w:rPr>
          <w:rFonts w:hint="cs"/>
          <w:rtl/>
        </w:rPr>
        <w:t xml:space="preserve"> </w:t>
      </w:r>
      <w:r>
        <w:rPr>
          <w:rStyle w:val="af9"/>
          <w:rFonts w:hint="cs"/>
          <w:rtl/>
        </w:rPr>
        <w:t>לקמן</w:t>
      </w:r>
      <w:r>
        <w:rPr>
          <w:rFonts w:hint="cs"/>
          <w:rtl/>
        </w:rPr>
        <w:t xml:space="preserve"> </w:t>
      </w:r>
      <w:r w:rsidRPr="00690444">
        <w:rPr>
          <w:rStyle w:val="af7"/>
          <w:rFonts w:eastAsia="Guttman Hodes" w:hint="cs"/>
          <w:rtl/>
        </w:rPr>
        <w:t>(לה: ד"ה מאי, לח. ד"ה היה)</w:t>
      </w:r>
      <w:r>
        <w:rPr>
          <w:rFonts w:hint="cs"/>
          <w:rtl/>
        </w:rPr>
        <w:t xml:space="preserve"> דבמקום שהמערער אינו יכול למחות, אין המערער מפסיד את הקרקע. [ועי' במה שביאר </w:t>
      </w:r>
      <w:r w:rsidRPr="00CD5D95">
        <w:rPr>
          <w:rStyle w:val="af9"/>
          <w:rFonts w:hint="cs"/>
          <w:rtl/>
        </w:rPr>
        <w:t>הקצוה"ח</w:t>
      </w:r>
      <w:r>
        <w:rPr>
          <w:rFonts w:hint="cs"/>
          <w:rtl/>
        </w:rPr>
        <w:t xml:space="preserve"> </w:t>
      </w:r>
      <w:r w:rsidRPr="00CD5D95">
        <w:rPr>
          <w:rStyle w:val="af7"/>
          <w:rFonts w:eastAsia="Guttman Hodes" w:hint="cs"/>
          <w:rtl/>
        </w:rPr>
        <w:t xml:space="preserve">(עי' אות </w:t>
      </w:r>
      <w:r w:rsidRPr="00CD5D95">
        <w:rPr>
          <w:rStyle w:val="af7"/>
          <w:rFonts w:eastAsia="Guttman Hodes"/>
          <w:rtl/>
        </w:rPr>
        <w:fldChar w:fldCharType="begin"/>
      </w:r>
      <w:r w:rsidRPr="00CD5D95">
        <w:rPr>
          <w:rStyle w:val="af7"/>
          <w:rFonts w:eastAsia="Guttman Hodes"/>
          <w:rtl/>
        </w:rPr>
        <w:instrText xml:space="preserve"> </w:instrText>
      </w:r>
      <w:r w:rsidRPr="00CD5D95">
        <w:rPr>
          <w:rStyle w:val="af7"/>
          <w:rFonts w:eastAsia="Guttman Hodes" w:hint="cs"/>
        </w:rPr>
        <w:instrText>REF</w:instrText>
      </w:r>
      <w:r w:rsidRPr="00CD5D95">
        <w:rPr>
          <w:rStyle w:val="af7"/>
          <w:rFonts w:eastAsia="Guttman Hodes" w:hint="cs"/>
          <w:rtl/>
        </w:rPr>
        <w:instrText xml:space="preserve"> _</w:instrText>
      </w:r>
      <w:r w:rsidRPr="00CD5D95">
        <w:rPr>
          <w:rStyle w:val="af7"/>
          <w:rFonts w:eastAsia="Guttman Hodes" w:hint="cs"/>
        </w:rPr>
        <w:instrText>Ref55567426 \r \h</w:instrText>
      </w:r>
      <w:r w:rsidRPr="00CD5D95">
        <w:rPr>
          <w:rStyle w:val="af7"/>
          <w:rFonts w:eastAsia="Guttman Hodes"/>
          <w:rtl/>
        </w:rPr>
        <w:instrText xml:space="preserve"> </w:instrText>
      </w:r>
      <w:r w:rsidRPr="00CD5D95">
        <w:rPr>
          <w:rStyle w:val="af7"/>
          <w:rFonts w:eastAsia="Guttman Hodes"/>
          <w:rtl/>
        </w:rPr>
      </w:r>
      <w:r w:rsidRPr="00CD5D95">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CD5D95">
        <w:rPr>
          <w:rStyle w:val="af7"/>
          <w:rFonts w:eastAsia="Guttman Hodes"/>
          <w:rtl/>
        </w:rPr>
        <w:fldChar w:fldCharType="end"/>
      </w:r>
      <w:r>
        <w:rPr>
          <w:rFonts w:hint="cs"/>
          <w:rtl/>
        </w:rPr>
        <w:t xml:space="preserve"> בדברי </w:t>
      </w:r>
      <w:r w:rsidRPr="00CD5D95">
        <w:rPr>
          <w:rStyle w:val="af9"/>
          <w:rFonts w:hint="cs"/>
          <w:rtl/>
        </w:rPr>
        <w:t>הרמב"ם</w:t>
      </w:r>
      <w:r>
        <w:rPr>
          <w:rFonts w:hint="cs"/>
          <w:rtl/>
        </w:rPr>
        <w:t xml:space="preserve"> </w:t>
      </w:r>
      <w:r w:rsidRPr="00CD5D95">
        <w:rPr>
          <w:rStyle w:val="af7"/>
          <w:rFonts w:eastAsia="Guttman Hodes" w:hint="cs"/>
          <w:rtl/>
        </w:rPr>
        <w:t xml:space="preserve">(עי' אות </w:t>
      </w:r>
      <w:r w:rsidRPr="00CD5D95">
        <w:rPr>
          <w:rStyle w:val="af7"/>
          <w:rFonts w:eastAsia="Guttman Hodes"/>
          <w:rtl/>
        </w:rPr>
        <w:fldChar w:fldCharType="begin"/>
      </w:r>
      <w:r w:rsidRPr="00CD5D95">
        <w:rPr>
          <w:rStyle w:val="af7"/>
          <w:rFonts w:eastAsia="Guttman Hodes"/>
          <w:rtl/>
        </w:rPr>
        <w:instrText xml:space="preserve"> </w:instrText>
      </w:r>
      <w:r w:rsidRPr="00CD5D95">
        <w:rPr>
          <w:rStyle w:val="af7"/>
          <w:rFonts w:eastAsia="Guttman Hodes" w:hint="cs"/>
        </w:rPr>
        <w:instrText>REF</w:instrText>
      </w:r>
      <w:r w:rsidRPr="00CD5D95">
        <w:rPr>
          <w:rStyle w:val="af7"/>
          <w:rFonts w:eastAsia="Guttman Hodes" w:hint="cs"/>
          <w:rtl/>
        </w:rPr>
        <w:instrText xml:space="preserve"> _</w:instrText>
      </w:r>
      <w:r w:rsidRPr="00CD5D95">
        <w:rPr>
          <w:rStyle w:val="af7"/>
          <w:rFonts w:eastAsia="Guttman Hodes" w:hint="cs"/>
        </w:rPr>
        <w:instrText>Ref54034873 \r \h</w:instrText>
      </w:r>
      <w:r w:rsidRPr="00CD5D95">
        <w:rPr>
          <w:rStyle w:val="af7"/>
          <w:rFonts w:eastAsia="Guttman Hodes"/>
          <w:rtl/>
        </w:rPr>
        <w:instrText xml:space="preserve"> </w:instrText>
      </w:r>
      <w:r w:rsidRPr="00CD5D95">
        <w:rPr>
          <w:rStyle w:val="af7"/>
          <w:rFonts w:eastAsia="Guttman Hodes"/>
          <w:rtl/>
        </w:rPr>
      </w:r>
      <w:r w:rsidRPr="00CD5D95">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CD5D95">
        <w:rPr>
          <w:rStyle w:val="af7"/>
          <w:rFonts w:eastAsia="Guttman Hodes"/>
          <w:rtl/>
        </w:rPr>
        <w:fldChar w:fldCharType="end"/>
      </w:r>
      <w:r>
        <w:rPr>
          <w:rFonts w:hint="cs"/>
          <w:rtl/>
        </w:rPr>
        <w:t xml:space="preserve"> דמהלשון דהפסיד המערער, משמע דהתקנה היא גם למחזיק שתהיה לו חזקה לאחר ג"ש, וגם למערער שאם לא מכרה למחזיק יוכל למחות בתוך ג"ש, וכיון שלא מיחה הפסיד]</w:t>
      </w:r>
      <w:bookmarkStart w:id="5783" w:name="_Ref56639032"/>
      <w:r>
        <w:rPr>
          <w:rStyle w:val="af1"/>
          <w:rtl/>
        </w:rPr>
        <w:footnoteReference w:id="30"/>
      </w:r>
      <w:bookmarkEnd w:id="5783"/>
      <w:r>
        <w:rPr>
          <w:rFonts w:hint="cs"/>
          <w:rtl/>
        </w:rPr>
        <w:t>.</w:t>
      </w:r>
      <w:bookmarkEnd w:id="5782"/>
    </w:p>
    <w:p w:rsidR="00E874E8" w:rsidRPr="00361ECC" w:rsidRDefault="00E874E8" w:rsidP="00E874E8">
      <w:pPr>
        <w:pStyle w:val="a3"/>
      </w:pPr>
      <w:bookmarkStart w:id="5784" w:name="_Toc56544363"/>
      <w:bookmarkStart w:id="5785" w:name="_Toc56609844"/>
      <w:bookmarkStart w:id="5786" w:name="_Toc56626688"/>
      <w:bookmarkStart w:id="5787" w:name="_Toc56630156"/>
      <w:bookmarkStart w:id="5788" w:name="_Toc56637016"/>
      <w:bookmarkStart w:id="5789" w:name="_Toc56638150"/>
      <w:bookmarkStart w:id="5790" w:name="_Toc56640994"/>
      <w:r>
        <w:rPr>
          <w:rFonts w:hint="cs"/>
          <w:rtl/>
        </w:rPr>
        <w:t>דברי הרשב"ם דבתוך ג"ש</w:t>
      </w:r>
      <w:r w:rsidRPr="00711B83">
        <w:rPr>
          <w:rFonts w:hint="cs"/>
          <w:rtl/>
        </w:rPr>
        <w:t xml:space="preserve"> </w:t>
      </w:r>
      <w:r>
        <w:rPr>
          <w:rFonts w:hint="cs"/>
          <w:rtl/>
        </w:rPr>
        <w:t>ולא נזהר המחזיק בשטר או שלא נזהר לאחר מחאה הפסיד המחזיק</w:t>
      </w:r>
      <w:bookmarkEnd w:id="5784"/>
      <w:bookmarkEnd w:id="5785"/>
      <w:bookmarkEnd w:id="5786"/>
      <w:bookmarkEnd w:id="5787"/>
      <w:bookmarkEnd w:id="5788"/>
      <w:bookmarkEnd w:id="5789"/>
      <w:bookmarkEnd w:id="5790"/>
    </w:p>
    <w:p w:rsidR="00E874E8" w:rsidRPr="00357210" w:rsidRDefault="00E874E8" w:rsidP="007E4E81">
      <w:pPr>
        <w:pStyle w:val="a0"/>
        <w:rPr>
          <w:rtl/>
        </w:rPr>
      </w:pPr>
      <w:r>
        <w:rPr>
          <w:rFonts w:hint="cs"/>
          <w:rtl/>
        </w:rPr>
        <w:t xml:space="preserve">ועוד כתב </w:t>
      </w:r>
      <w:r w:rsidRPr="00CC6D33">
        <w:rPr>
          <w:rStyle w:val="af9"/>
          <w:rFonts w:hint="cs"/>
          <w:rtl/>
        </w:rPr>
        <w:t>הרשב"ם</w:t>
      </w:r>
      <w:r>
        <w:rPr>
          <w:rStyle w:val="af9"/>
          <w:rFonts w:hint="cs"/>
          <w:rtl/>
        </w:rPr>
        <w:t xml:space="preserve"> לקמן</w:t>
      </w:r>
      <w:r>
        <w:rPr>
          <w:rFonts w:hint="cs"/>
          <w:rtl/>
        </w:rPr>
        <w:t xml:space="preserve"> </w:t>
      </w:r>
      <w:r w:rsidRPr="000E1601">
        <w:rPr>
          <w:rStyle w:val="af7"/>
          <w:rFonts w:eastAsia="Guttman Hodes" w:hint="cs"/>
          <w:rtl/>
        </w:rPr>
        <w:t>(ל: ד"ה אמר רבא דינא, לג: ד"ה והדרי, לח. ד"ה אי, לט: ד"ה וכי)</w:t>
      </w:r>
      <w:r>
        <w:rPr>
          <w:rFonts w:hint="cs"/>
          <w:rtl/>
        </w:rPr>
        <w:t xml:space="preserve"> דבתוך ג"ש כל שלא נזהר המחזיק בשטרו הפסיד, וכן אם מחה בו המערער בתוך ג"ש, ולא נזהר המחזיק בשטרו אף לאחר ג"ש, הפסיד</w:t>
      </w:r>
      <w:r>
        <w:rPr>
          <w:rStyle w:val="af1"/>
          <w:rtl/>
        </w:rPr>
        <w:footnoteReference w:id="31"/>
      </w:r>
      <w:r>
        <w:rPr>
          <w:rFonts w:hint="cs"/>
          <w:rtl/>
        </w:rPr>
        <w:t>.</w:t>
      </w:r>
    </w:p>
    <w:p w:rsidR="00E874E8" w:rsidRPr="009161D3" w:rsidRDefault="00E874E8" w:rsidP="00E874E8">
      <w:pPr>
        <w:pStyle w:val="a3"/>
        <w:rPr>
          <w:rtl/>
        </w:rPr>
      </w:pPr>
      <w:bookmarkStart w:id="5791" w:name="_Toc56544364"/>
      <w:bookmarkStart w:id="5792" w:name="_Toc56609845"/>
      <w:bookmarkStart w:id="5793" w:name="_Toc56626689"/>
      <w:bookmarkStart w:id="5794" w:name="_Toc56630157"/>
      <w:bookmarkStart w:id="5795" w:name="_Toc56637017"/>
      <w:bookmarkStart w:id="5796" w:name="_Toc56638151"/>
      <w:bookmarkStart w:id="5797" w:name="_Toc56640995"/>
      <w:r>
        <w:rPr>
          <w:rFonts w:hint="cs"/>
          <w:rtl/>
        </w:rPr>
        <w:lastRenderedPageBreak/>
        <w:t>דברי הרשב"ם לקמן דהטעם דחזקה קונה הוא כיון דטוען למערער דהיה לו למחות בתוך ג"ש</w:t>
      </w:r>
      <w:bookmarkEnd w:id="5791"/>
      <w:bookmarkEnd w:id="5792"/>
      <w:bookmarkEnd w:id="5793"/>
      <w:bookmarkEnd w:id="5794"/>
      <w:bookmarkEnd w:id="5795"/>
      <w:bookmarkEnd w:id="5796"/>
      <w:bookmarkEnd w:id="5797"/>
      <w:r>
        <w:rPr>
          <w:rFonts w:hint="cs"/>
          <w:rtl/>
        </w:rPr>
        <w:t xml:space="preserve"> </w:t>
      </w:r>
    </w:p>
    <w:p w:rsidR="00E874E8" w:rsidRPr="003B2AFB" w:rsidRDefault="00E874E8" w:rsidP="007E4E81">
      <w:pPr>
        <w:pStyle w:val="a0"/>
        <w:rPr>
          <w:rStyle w:val="afb"/>
          <w:rtl/>
        </w:rPr>
      </w:pPr>
      <w:r>
        <w:rPr>
          <w:rFonts w:hint="cs"/>
          <w:rtl/>
        </w:rPr>
        <w:t xml:space="preserve">כתב </w:t>
      </w:r>
      <w:r w:rsidRPr="0099622A">
        <w:rPr>
          <w:rStyle w:val="af9"/>
          <w:rFonts w:hint="cs"/>
          <w:rtl/>
        </w:rPr>
        <w:t>הרשב"ם לקמן</w:t>
      </w:r>
      <w:r>
        <w:rPr>
          <w:rFonts w:hint="cs"/>
          <w:rtl/>
        </w:rPr>
        <w:t xml:space="preserve"> </w:t>
      </w:r>
      <w:r w:rsidRPr="0099622A">
        <w:rPr>
          <w:rStyle w:val="af7"/>
          <w:rFonts w:eastAsia="Guttman Hodes" w:hint="cs"/>
          <w:rtl/>
        </w:rPr>
        <w:t>(לח. ד"ה לעולם)</w:t>
      </w:r>
      <w:r>
        <w:rPr>
          <w:rFonts w:hint="cs"/>
          <w:rtl/>
        </w:rPr>
        <w:t xml:space="preserve"> דטעמא דחזקת ג"ש קונה</w:t>
      </w:r>
      <w:r>
        <w:rPr>
          <w:rStyle w:val="af1"/>
          <w:rtl/>
        </w:rPr>
        <w:footnoteReference w:id="32"/>
      </w:r>
      <w:r>
        <w:rPr>
          <w:rFonts w:hint="cs"/>
          <w:rtl/>
        </w:rPr>
        <w:t>, היא משום שיכול המחזיק לטעון למערער אמאי לא מחית בתוך ג"ש.</w:t>
      </w:r>
    </w:p>
    <w:p w:rsidR="00E874E8" w:rsidRPr="00133D38" w:rsidRDefault="00E874E8" w:rsidP="00E874E8">
      <w:pPr>
        <w:pStyle w:val="a3"/>
      </w:pPr>
      <w:bookmarkStart w:id="5798" w:name="_Toc56544365"/>
      <w:bookmarkStart w:id="5799" w:name="_Toc56609846"/>
      <w:bookmarkStart w:id="5800" w:name="_Toc56626690"/>
      <w:bookmarkStart w:id="5801" w:name="_Toc56630158"/>
      <w:bookmarkStart w:id="5802" w:name="_Toc56637018"/>
      <w:bookmarkStart w:id="5803" w:name="_Toc56638152"/>
      <w:bookmarkStart w:id="5804" w:name="_Toc56640996"/>
      <w:r>
        <w:rPr>
          <w:rFonts w:hint="cs"/>
          <w:rtl/>
        </w:rPr>
        <w:t>דברי הרשב"ם לקמן דבאין המערער יכול למחות ל"ה חזקה דא"א לטעון לו אמאי לא מחה</w:t>
      </w:r>
      <w:bookmarkEnd w:id="5798"/>
      <w:bookmarkEnd w:id="5799"/>
      <w:bookmarkEnd w:id="5800"/>
      <w:bookmarkEnd w:id="5801"/>
      <w:bookmarkEnd w:id="5802"/>
      <w:bookmarkEnd w:id="5803"/>
      <w:bookmarkEnd w:id="5804"/>
    </w:p>
    <w:p w:rsidR="00E874E8" w:rsidRDefault="00E874E8" w:rsidP="007E4E81">
      <w:pPr>
        <w:pStyle w:val="a0"/>
        <w:rPr>
          <w:rtl/>
        </w:rPr>
      </w:pPr>
      <w:r>
        <w:rPr>
          <w:rFonts w:hint="cs"/>
          <w:rtl/>
        </w:rPr>
        <w:t xml:space="preserve">וכתב </w:t>
      </w:r>
      <w:r w:rsidRPr="0099622A">
        <w:rPr>
          <w:rStyle w:val="af9"/>
          <w:rFonts w:hint="cs"/>
          <w:rtl/>
        </w:rPr>
        <w:t>הרשב"ם לקמן</w:t>
      </w:r>
      <w:r>
        <w:rPr>
          <w:rFonts w:hint="cs"/>
          <w:rtl/>
        </w:rPr>
        <w:t xml:space="preserve"> דלכן כל שהמערער אינו יכול למחות, המחזיק אינו יכול לטעון למערער שלא מחה, ולכן אינה חזקה.</w:t>
      </w:r>
    </w:p>
    <w:p w:rsidR="00E874E8" w:rsidRDefault="00E874E8" w:rsidP="00E874E8">
      <w:pPr>
        <w:pStyle w:val="a3"/>
        <w:rPr>
          <w:rtl/>
        </w:rPr>
      </w:pPr>
      <w:bookmarkStart w:id="5805" w:name="_Toc56544366"/>
      <w:bookmarkStart w:id="5806" w:name="_Toc56609847"/>
      <w:bookmarkStart w:id="5807" w:name="_Toc56626691"/>
      <w:bookmarkStart w:id="5808" w:name="_Toc56630159"/>
      <w:bookmarkStart w:id="5809" w:name="_Toc56637019"/>
      <w:bookmarkStart w:id="5810" w:name="_Toc56638153"/>
      <w:bookmarkStart w:id="5811" w:name="_Toc56640997"/>
      <w:r>
        <w:rPr>
          <w:rFonts w:hint="cs"/>
          <w:rtl/>
        </w:rPr>
        <w:t>דברי הרשב"ם לקמן דכשהחזיק כשיעור שאמרו חכמים ושתק המערער אינו נאמן שלא מכר לו</w:t>
      </w:r>
      <w:bookmarkEnd w:id="5805"/>
      <w:bookmarkEnd w:id="5806"/>
      <w:bookmarkEnd w:id="5807"/>
      <w:bookmarkEnd w:id="5808"/>
      <w:bookmarkEnd w:id="5809"/>
      <w:bookmarkEnd w:id="5810"/>
      <w:bookmarkEnd w:id="5811"/>
    </w:p>
    <w:p w:rsidR="00E874E8" w:rsidRDefault="00E874E8" w:rsidP="007E4E81">
      <w:pPr>
        <w:pStyle w:val="a0"/>
        <w:rPr>
          <w:rtl/>
        </w:rPr>
      </w:pPr>
      <w:r>
        <w:rPr>
          <w:rFonts w:hint="cs"/>
          <w:rtl/>
        </w:rPr>
        <w:t xml:space="preserve">כתב </w:t>
      </w:r>
      <w:r w:rsidRPr="0099622A">
        <w:rPr>
          <w:rStyle w:val="af9"/>
          <w:rFonts w:hint="cs"/>
          <w:rtl/>
        </w:rPr>
        <w:t>הרשב"ם לקמן</w:t>
      </w:r>
      <w:r>
        <w:rPr>
          <w:rFonts w:hint="cs"/>
          <w:rtl/>
        </w:rPr>
        <w:t xml:space="preserve"> </w:t>
      </w:r>
      <w:r w:rsidRPr="0099622A">
        <w:rPr>
          <w:rStyle w:val="af7"/>
          <w:rFonts w:eastAsia="Guttman Hodes" w:hint="cs"/>
          <w:rtl/>
        </w:rPr>
        <w:t>(מא. ד"ה מתני')</w:t>
      </w:r>
      <w:r>
        <w:rPr>
          <w:rFonts w:hint="cs"/>
          <w:rtl/>
        </w:rPr>
        <w:t xml:space="preserve"> דחזקה שיש עמה טענה, היינו שלטענתו ירד לקרקע בדין, ומכח זה החזיק בה כשיעור החזקה שאמרו חכמים, והמערער שתק ולא מחה, ולכן הוה חזקה, ואין המערער נאמן לומר שלא ירד מכוחו לקרקע, וירד שלא ברשות, דא"כ למה הניחו המערער להחזיק בה. </w:t>
      </w:r>
    </w:p>
    <w:p w:rsidR="00E874E8" w:rsidRPr="002F0576" w:rsidRDefault="00E874E8" w:rsidP="00E874E8">
      <w:pPr>
        <w:pStyle w:val="1"/>
        <w:rPr>
          <w:rtl/>
        </w:rPr>
      </w:pPr>
      <w:bookmarkStart w:id="5812" w:name="_Toc56544367"/>
      <w:bookmarkStart w:id="5813" w:name="_Toc56609848"/>
      <w:bookmarkStart w:id="5814" w:name="_Toc56626692"/>
      <w:bookmarkStart w:id="5815" w:name="_Toc56630160"/>
      <w:bookmarkStart w:id="5816" w:name="_Toc56637020"/>
      <w:bookmarkStart w:id="5817" w:name="_Toc56638154"/>
      <w:bookmarkStart w:id="5818" w:name="_Toc56640998"/>
      <w:r>
        <w:rPr>
          <w:rFonts w:hint="cs"/>
          <w:rtl/>
        </w:rPr>
        <w:t>דברי הרשב"ם דלר"י בעיר אחת הוי חזקה מיד דל"ש לשטר</w:t>
      </w:r>
      <w:bookmarkEnd w:id="5812"/>
      <w:bookmarkEnd w:id="5813"/>
      <w:bookmarkEnd w:id="5814"/>
      <w:bookmarkEnd w:id="5815"/>
      <w:bookmarkEnd w:id="5816"/>
      <w:bookmarkEnd w:id="5817"/>
      <w:bookmarkEnd w:id="5818"/>
      <w:r>
        <w:rPr>
          <w:rFonts w:hint="cs"/>
          <w:rtl/>
        </w:rPr>
        <w:t xml:space="preserve"> </w:t>
      </w:r>
    </w:p>
    <w:p w:rsidR="00E874E8" w:rsidRDefault="00E874E8" w:rsidP="00E874E8">
      <w:pPr>
        <w:pStyle w:val="a3"/>
        <w:rPr>
          <w:rtl/>
        </w:rPr>
      </w:pPr>
      <w:bookmarkStart w:id="5819" w:name="_Toc56544368"/>
      <w:bookmarkStart w:id="5820" w:name="_Toc56609849"/>
      <w:bookmarkStart w:id="5821" w:name="_Toc56626693"/>
      <w:bookmarkStart w:id="5822" w:name="_Toc56630161"/>
      <w:bookmarkStart w:id="5823" w:name="_Toc56637021"/>
      <w:bookmarkStart w:id="5824" w:name="_Toc56638155"/>
      <w:bookmarkStart w:id="5825" w:name="_Toc56640999"/>
      <w:r>
        <w:rPr>
          <w:rFonts w:hint="cs"/>
          <w:rtl/>
        </w:rPr>
        <w:t>ביאור הרשב"ם דלרבי יהודה אדם אינו שותק אף לשעה אחת ולא ס"ל דהג"ש הם מחמת השטר</w:t>
      </w:r>
      <w:bookmarkEnd w:id="5819"/>
      <w:bookmarkEnd w:id="5820"/>
      <w:bookmarkEnd w:id="5821"/>
      <w:bookmarkEnd w:id="5822"/>
      <w:bookmarkEnd w:id="5823"/>
      <w:bookmarkEnd w:id="5824"/>
      <w:bookmarkEnd w:id="5825"/>
    </w:p>
    <w:p w:rsidR="00E874E8" w:rsidRDefault="00E874E8" w:rsidP="007E4E81">
      <w:pPr>
        <w:pStyle w:val="a0"/>
        <w:rPr>
          <w:rtl/>
        </w:rPr>
      </w:pPr>
      <w:r>
        <w:rPr>
          <w:rFonts w:hint="cs"/>
          <w:rtl/>
        </w:rPr>
        <w:t xml:space="preserve">בדברי רבי יהודה במתני' לקמן </w:t>
      </w:r>
      <w:r w:rsidRPr="0099622A">
        <w:rPr>
          <w:rStyle w:val="af7"/>
          <w:rFonts w:eastAsia="Guttman Hodes" w:hint="cs"/>
          <w:rtl/>
        </w:rPr>
        <w:t>(לח.)</w:t>
      </w:r>
      <w:r>
        <w:rPr>
          <w:rFonts w:hint="cs"/>
          <w:rtl/>
        </w:rPr>
        <w:t xml:space="preserve"> דאמר דחזקת ג"ש, היא בכדי שאם המערער נמצא באספמיא, והחזיק המחזיק שנה, ועוד שנה יודיעו למערער, ובשנה השלישית יבא המערער למחות, ביאר </w:t>
      </w:r>
      <w:r w:rsidRPr="0099622A">
        <w:rPr>
          <w:rStyle w:val="af9"/>
          <w:rFonts w:hint="cs"/>
          <w:rtl/>
        </w:rPr>
        <w:t>הרשב"ם לקמן</w:t>
      </w:r>
      <w:r>
        <w:rPr>
          <w:rFonts w:hint="cs"/>
          <w:rtl/>
        </w:rPr>
        <w:t xml:space="preserve"> </w:t>
      </w:r>
      <w:r w:rsidRPr="0099622A">
        <w:rPr>
          <w:rStyle w:val="af7"/>
          <w:rFonts w:eastAsia="Guttman Hodes" w:hint="cs"/>
          <w:rtl/>
        </w:rPr>
        <w:t>(לח. ד"ה א"ר יהודה)</w:t>
      </w:r>
      <w:r>
        <w:rPr>
          <w:rFonts w:hint="cs"/>
          <w:rtl/>
        </w:rPr>
        <w:t xml:space="preserve"> דלרבי יהודה ולא ס"ל לרבי יהודה דעד ג"ש נזהר בשטרו, אלא לדעת רבי יהודה אדם אינו שותק אף לא לשעה אחת, כששומע שאוכלים את שדהו בלא רשותו.</w:t>
      </w:r>
    </w:p>
    <w:p w:rsidR="00E874E8" w:rsidRPr="007647B8" w:rsidRDefault="00E874E8" w:rsidP="00E874E8">
      <w:pPr>
        <w:pStyle w:val="a3"/>
      </w:pPr>
      <w:bookmarkStart w:id="5826" w:name="_Toc56544369"/>
      <w:bookmarkStart w:id="5827" w:name="_Toc56609850"/>
      <w:bookmarkStart w:id="5828" w:name="_Toc56626694"/>
      <w:bookmarkStart w:id="5829" w:name="_Toc56630162"/>
      <w:bookmarkStart w:id="5830" w:name="_Toc56637022"/>
      <w:bookmarkStart w:id="5831" w:name="_Toc56638156"/>
      <w:bookmarkStart w:id="5832" w:name="_Toc56641000"/>
      <w:r>
        <w:rPr>
          <w:rFonts w:hint="cs"/>
          <w:rtl/>
        </w:rPr>
        <w:t>ביאור הרשב"ם דלר"י תיקנו ג"ש כדי שיוכל לבא ממקום רחוק אך באותה העיר הוי חזקה מיד</w:t>
      </w:r>
      <w:bookmarkEnd w:id="5826"/>
      <w:bookmarkEnd w:id="5827"/>
      <w:bookmarkEnd w:id="5828"/>
      <w:bookmarkEnd w:id="5829"/>
      <w:bookmarkEnd w:id="5830"/>
      <w:bookmarkEnd w:id="5831"/>
      <w:bookmarkEnd w:id="5832"/>
    </w:p>
    <w:p w:rsidR="00E874E8" w:rsidRDefault="00E874E8" w:rsidP="007E4E81">
      <w:pPr>
        <w:pStyle w:val="a0"/>
        <w:rPr>
          <w:rtl/>
        </w:rPr>
      </w:pPr>
      <w:r>
        <w:rPr>
          <w:rFonts w:hint="cs"/>
          <w:rtl/>
        </w:rPr>
        <w:t xml:space="preserve">וכתב </w:t>
      </w:r>
      <w:r w:rsidRPr="0099622A">
        <w:rPr>
          <w:rStyle w:val="af9"/>
          <w:rFonts w:hint="cs"/>
          <w:rtl/>
        </w:rPr>
        <w:t>הרשב"ם לקמן</w:t>
      </w:r>
      <w:r>
        <w:rPr>
          <w:rFonts w:hint="cs"/>
          <w:rtl/>
        </w:rPr>
        <w:t xml:space="preserve"> דס"ל לרבי יהודה דהא דתיקנו רבנן חזקת ג"ש, הוא בכדי שאם המערער נמצא באספמיא הוא יוכל לשמוע מהחזקה ולבא ולמחות, וכתב </w:t>
      </w:r>
      <w:r w:rsidRPr="00165103">
        <w:rPr>
          <w:rStyle w:val="af9"/>
          <w:rFonts w:hint="cs"/>
          <w:rtl/>
        </w:rPr>
        <w:t>הרשב"ם</w:t>
      </w:r>
      <w:r>
        <w:rPr>
          <w:rFonts w:hint="cs"/>
          <w:rtl/>
        </w:rPr>
        <w:t xml:space="preserve"> דלרבי יהודה כל שהמערער נמצא בעיר מיד הוי חזקה.</w:t>
      </w:r>
    </w:p>
    <w:p w:rsidR="00E874E8" w:rsidRPr="002D2011" w:rsidRDefault="00E874E8" w:rsidP="00E874E8">
      <w:pPr>
        <w:pStyle w:val="afe"/>
        <w:rPr>
          <w:rtl/>
        </w:rPr>
      </w:pPr>
      <w:bookmarkStart w:id="5833" w:name="_Toc56609851"/>
      <w:bookmarkStart w:id="5834" w:name="_Toc56626695"/>
      <w:bookmarkStart w:id="5835" w:name="_Toc56630163"/>
      <w:bookmarkStart w:id="5836" w:name="_Toc56637023"/>
      <w:bookmarkStart w:id="5837" w:name="_Toc56638157"/>
      <w:bookmarkStart w:id="5838" w:name="_Toc56641001"/>
      <w:r>
        <w:rPr>
          <w:rFonts w:hint="cs"/>
          <w:rtl/>
        </w:rPr>
        <w:t>ביאור התורי"ד דנח' בגמ' בגדר החזקה</w:t>
      </w:r>
      <w:bookmarkEnd w:id="5833"/>
      <w:bookmarkEnd w:id="5834"/>
      <w:bookmarkEnd w:id="5835"/>
      <w:bookmarkEnd w:id="5836"/>
      <w:bookmarkEnd w:id="5837"/>
      <w:bookmarkEnd w:id="5838"/>
    </w:p>
    <w:p w:rsidR="00E874E8" w:rsidRDefault="00E874E8" w:rsidP="00E874E8">
      <w:pPr>
        <w:pStyle w:val="1"/>
        <w:rPr>
          <w:rtl/>
        </w:rPr>
      </w:pPr>
      <w:bookmarkStart w:id="5839" w:name="_Toc56372892"/>
      <w:bookmarkStart w:id="5840" w:name="_Toc56458231"/>
      <w:bookmarkStart w:id="5841" w:name="_Toc56544391"/>
      <w:bookmarkStart w:id="5842" w:name="_Toc56609852"/>
      <w:bookmarkStart w:id="5843" w:name="_Toc56626696"/>
      <w:bookmarkStart w:id="5844" w:name="_Toc56630164"/>
      <w:bookmarkStart w:id="5845" w:name="_Toc56637024"/>
      <w:bookmarkStart w:id="5846" w:name="_Toc56638158"/>
      <w:bookmarkStart w:id="5847" w:name="_Toc56641002"/>
      <w:r>
        <w:rPr>
          <w:rFonts w:hint="cs"/>
          <w:rtl/>
        </w:rPr>
        <w:t>דעת התוס' רי"ד דלריו"ח החזקה מחמת השטר ושתיקת המר"ק</w:t>
      </w:r>
      <w:bookmarkEnd w:id="5839"/>
      <w:bookmarkEnd w:id="5840"/>
      <w:bookmarkEnd w:id="5841"/>
      <w:bookmarkEnd w:id="5842"/>
      <w:bookmarkEnd w:id="5843"/>
      <w:bookmarkEnd w:id="5844"/>
      <w:bookmarkEnd w:id="5845"/>
      <w:bookmarkEnd w:id="5846"/>
      <w:bookmarkEnd w:id="5847"/>
    </w:p>
    <w:p w:rsidR="00E874E8" w:rsidRDefault="00E874E8" w:rsidP="00E874E8">
      <w:pPr>
        <w:pStyle w:val="a3"/>
        <w:rPr>
          <w:rtl/>
        </w:rPr>
      </w:pPr>
      <w:bookmarkStart w:id="5848" w:name="_Toc56372893"/>
      <w:bookmarkStart w:id="5849" w:name="_Toc56458232"/>
      <w:bookmarkStart w:id="5850" w:name="_Toc56544392"/>
      <w:bookmarkStart w:id="5851" w:name="_Toc56609853"/>
      <w:bookmarkStart w:id="5852" w:name="_Toc56626697"/>
      <w:bookmarkStart w:id="5853" w:name="_Toc56630165"/>
      <w:bookmarkStart w:id="5854" w:name="_Toc56637025"/>
      <w:bookmarkStart w:id="5855" w:name="_Toc56638159"/>
      <w:bookmarkStart w:id="5856" w:name="_Toc56641003"/>
      <w:r>
        <w:rPr>
          <w:rFonts w:hint="cs"/>
          <w:rtl/>
        </w:rPr>
        <w:t>ביאור התורי"ד דלריו"ח חזקה היא גם מחמת השטר וגם דשתיקת המערער היא אמתלא למחזיק</w:t>
      </w:r>
      <w:bookmarkEnd w:id="5848"/>
      <w:bookmarkEnd w:id="5849"/>
      <w:bookmarkEnd w:id="5850"/>
      <w:bookmarkEnd w:id="5851"/>
      <w:bookmarkEnd w:id="5852"/>
      <w:bookmarkEnd w:id="5853"/>
      <w:bookmarkEnd w:id="5854"/>
      <w:bookmarkEnd w:id="5855"/>
      <w:bookmarkEnd w:id="5856"/>
    </w:p>
    <w:p w:rsidR="00E874E8" w:rsidRDefault="00E874E8" w:rsidP="007E4E81">
      <w:pPr>
        <w:pStyle w:val="a0"/>
        <w:rPr>
          <w:rtl/>
        </w:rPr>
      </w:pPr>
      <w:r>
        <w:rPr>
          <w:rFonts w:hint="cs"/>
          <w:rtl/>
        </w:rPr>
        <w:t xml:space="preserve">בהא דאיתא בגמ' לקמן </w:t>
      </w:r>
      <w:r w:rsidRPr="00675BFB">
        <w:rPr>
          <w:rStyle w:val="af7"/>
          <w:rFonts w:eastAsia="Guttman Hodes" w:hint="cs"/>
          <w:rtl/>
        </w:rPr>
        <w:t xml:space="preserve">(לט:) </w:t>
      </w:r>
      <w:r>
        <w:rPr>
          <w:rFonts w:hint="cs"/>
          <w:rtl/>
        </w:rPr>
        <w:t xml:space="preserve">דריו"ח דאמר מחאה בפני שנים, ס"ל דבמחאה בעינן סהדותא, ורב אבהו דאמר מחאה בפני שלשה, ס"ל </w:t>
      </w:r>
      <w:r>
        <w:rPr>
          <w:rFonts w:hint="cs"/>
          <w:rtl/>
        </w:rPr>
        <w:t xml:space="preserve">דבמחאה בעינן גילוי מילתא, ביאר </w:t>
      </w:r>
      <w:r w:rsidRPr="00675BFB">
        <w:rPr>
          <w:rStyle w:val="af9"/>
          <w:rFonts w:hint="cs"/>
          <w:rtl/>
        </w:rPr>
        <w:t>התוס' רי"ד לקמן</w:t>
      </w:r>
      <w:r>
        <w:rPr>
          <w:rFonts w:hint="cs"/>
          <w:rtl/>
        </w:rPr>
        <w:t xml:space="preserve"> </w:t>
      </w:r>
      <w:r w:rsidRPr="00675BFB">
        <w:rPr>
          <w:rStyle w:val="af7"/>
          <w:rFonts w:eastAsia="Guttman Hodes" w:hint="cs"/>
          <w:rtl/>
        </w:rPr>
        <w:t>(לט: או' כ"ב ד"ה מר)</w:t>
      </w:r>
      <w:r w:rsidRPr="00A370F3">
        <w:rPr>
          <w:rFonts w:hint="cs"/>
          <w:rtl/>
        </w:rPr>
        <w:t xml:space="preserve"> </w:t>
      </w:r>
      <w:r>
        <w:rPr>
          <w:rFonts w:hint="cs"/>
          <w:rtl/>
        </w:rPr>
        <w:t xml:space="preserve">דלכו"ע צריך במחאה גילוי מילתא ובפחות מג' אינו גילוי מילתא שישמע המחזיק מהמחאה, אלא ביאר </w:t>
      </w:r>
      <w:r w:rsidRPr="00675BFB">
        <w:rPr>
          <w:rStyle w:val="af9"/>
          <w:rFonts w:hint="cs"/>
          <w:rtl/>
        </w:rPr>
        <w:t>התוס' רי"ד</w:t>
      </w:r>
      <w:r>
        <w:rPr>
          <w:rFonts w:hint="cs"/>
          <w:rtl/>
        </w:rPr>
        <w:t xml:space="preserve"> דריו"ח דאמר בפני שנים, ס"ל דהטעם של החזקה הוא מפני ב' דברים, הא' דאחר ג"ש אין אדם נזהר בשטרו, והב' דאי המחזיק קנה מהמרא קמא, היה לו למחות, ושתיקת המערער נותנת אמתלא לדברי המחזיק, דודאי מכר לו המרא קמא את הקרקע, והיה לו שטר ואבד, וכתב התוס' רי"ד דמחמת ב' הדברים הללו זוכה המחזיק בקרקע.</w:t>
      </w:r>
    </w:p>
    <w:p w:rsidR="00E874E8" w:rsidRPr="00AD429A" w:rsidRDefault="00E874E8" w:rsidP="00E874E8">
      <w:pPr>
        <w:pStyle w:val="a3"/>
        <w:rPr>
          <w:rtl/>
        </w:rPr>
      </w:pPr>
      <w:bookmarkStart w:id="5857" w:name="_Toc56372894"/>
      <w:bookmarkStart w:id="5858" w:name="_Toc56458233"/>
      <w:bookmarkStart w:id="5859" w:name="_Toc56544393"/>
      <w:bookmarkStart w:id="5860" w:name="_Toc56609854"/>
      <w:bookmarkStart w:id="5861" w:name="_Toc56626698"/>
      <w:bookmarkStart w:id="5862" w:name="_Toc56630166"/>
      <w:bookmarkStart w:id="5863" w:name="_Toc56637026"/>
      <w:bookmarkStart w:id="5864" w:name="_Toc56638160"/>
      <w:bookmarkStart w:id="5865" w:name="_Toc56641004"/>
      <w:r>
        <w:rPr>
          <w:rFonts w:hint="cs"/>
          <w:rtl/>
        </w:rPr>
        <w:t>ביאור התורי"ד דבלא עברו ג"ש ושתק המערער וכן אם מחה בפני ב' ולא שתק לא הוי חזקה</w:t>
      </w:r>
      <w:bookmarkEnd w:id="5857"/>
      <w:bookmarkEnd w:id="5858"/>
      <w:bookmarkEnd w:id="5859"/>
      <w:bookmarkEnd w:id="5860"/>
      <w:bookmarkEnd w:id="5861"/>
      <w:bookmarkEnd w:id="5862"/>
      <w:bookmarkEnd w:id="5863"/>
      <w:bookmarkEnd w:id="5864"/>
      <w:bookmarkEnd w:id="5865"/>
    </w:p>
    <w:p w:rsidR="00E874E8" w:rsidRDefault="00E874E8" w:rsidP="007E4E81">
      <w:pPr>
        <w:pStyle w:val="a0"/>
        <w:rPr>
          <w:rtl/>
        </w:rPr>
      </w:pPr>
      <w:r>
        <w:rPr>
          <w:rFonts w:hint="cs"/>
          <w:rtl/>
        </w:rPr>
        <w:t xml:space="preserve">אך כתב </w:t>
      </w:r>
      <w:r w:rsidRPr="00675BFB">
        <w:rPr>
          <w:rStyle w:val="af9"/>
          <w:rFonts w:hint="cs"/>
          <w:rtl/>
        </w:rPr>
        <w:t>התוס' רי"ד לקמן</w:t>
      </w:r>
      <w:r>
        <w:rPr>
          <w:rFonts w:hint="cs"/>
          <w:rtl/>
        </w:rPr>
        <w:t xml:space="preserve"> דס"ל לריו"ח דאם חסר אחד מהדברים הללו, כגון שלא החזיק ג"ש, אף ששתק המרא קמא לא הוי חזקה, וכן אם החזיק ג"ש, אך המרא קמא לא שתק ומחה בפני שנים, אף שהמחזיק לא שמע ממחאתו, מ"מ לא הוי חזקה, כיון שאין אמתלא לטענת המחזיק.</w:t>
      </w:r>
    </w:p>
    <w:p w:rsidR="00E874E8" w:rsidRDefault="00E874E8" w:rsidP="00E874E8">
      <w:pPr>
        <w:pStyle w:val="a3"/>
        <w:rPr>
          <w:rtl/>
        </w:rPr>
      </w:pPr>
      <w:bookmarkStart w:id="5866" w:name="_Toc56372895"/>
      <w:bookmarkStart w:id="5867" w:name="_Toc56458234"/>
      <w:bookmarkStart w:id="5868" w:name="_Toc56544394"/>
      <w:bookmarkStart w:id="5869" w:name="_Toc56609855"/>
      <w:bookmarkStart w:id="5870" w:name="_Toc56626699"/>
      <w:bookmarkStart w:id="5871" w:name="_Toc56630167"/>
      <w:bookmarkStart w:id="5872" w:name="_Toc56637027"/>
      <w:bookmarkStart w:id="5873" w:name="_Toc56638161"/>
      <w:bookmarkStart w:id="5874" w:name="_Toc56641005"/>
      <w:r>
        <w:rPr>
          <w:rFonts w:hint="cs"/>
          <w:rtl/>
        </w:rPr>
        <w:t>ביאור התורי"ד בריו"ח דמחאה בפני ב' מהני דאף שלא שומע ממנה מ"מ אין אמתלא לטענתו</w:t>
      </w:r>
      <w:bookmarkEnd w:id="5866"/>
      <w:bookmarkEnd w:id="5867"/>
      <w:bookmarkEnd w:id="5868"/>
      <w:bookmarkEnd w:id="5869"/>
      <w:bookmarkEnd w:id="5870"/>
      <w:bookmarkEnd w:id="5871"/>
      <w:bookmarkEnd w:id="5872"/>
      <w:bookmarkEnd w:id="5873"/>
      <w:bookmarkEnd w:id="5874"/>
    </w:p>
    <w:p w:rsidR="00E874E8" w:rsidRDefault="00E874E8" w:rsidP="007E4E81">
      <w:pPr>
        <w:pStyle w:val="a0"/>
        <w:rPr>
          <w:rtl/>
        </w:rPr>
      </w:pPr>
      <w:r>
        <w:rPr>
          <w:rFonts w:hint="cs"/>
          <w:rtl/>
        </w:rPr>
        <w:t xml:space="preserve">וכתב </w:t>
      </w:r>
      <w:r w:rsidRPr="00675BFB">
        <w:rPr>
          <w:rStyle w:val="af9"/>
          <w:rFonts w:hint="cs"/>
          <w:rtl/>
        </w:rPr>
        <w:t>התוס' רי"ד לקמן</w:t>
      </w:r>
      <w:r>
        <w:rPr>
          <w:rFonts w:hint="cs"/>
          <w:rtl/>
        </w:rPr>
        <w:t xml:space="preserve"> דלכן לדעת ריו"ח כל שמחה המרא קמא בפני שנים הוי מחאה, אף שהמחזיק לא שמע ממנה, כיון שצריך רק עדות בעלמא, וכל המחאה היא רק בכדי לסלק ממנו את הטענה, דהשתיקה נותנת אמתלא לטענת המחזיק, וכל שהביא המרערער עדים שלא שתק, ואין אמתלא לטענת המחזיק, אין חזקתו חזקה.</w:t>
      </w:r>
    </w:p>
    <w:p w:rsidR="00E874E8" w:rsidRPr="000B004D" w:rsidRDefault="00E874E8" w:rsidP="00E874E8">
      <w:pPr>
        <w:pStyle w:val="1"/>
        <w:rPr>
          <w:rtl/>
        </w:rPr>
      </w:pPr>
      <w:bookmarkStart w:id="5875" w:name="_Toc56372896"/>
      <w:bookmarkStart w:id="5876" w:name="_Toc56458235"/>
      <w:bookmarkStart w:id="5877" w:name="_Toc56544395"/>
      <w:bookmarkStart w:id="5878" w:name="_Toc56609856"/>
      <w:bookmarkStart w:id="5879" w:name="_Toc56626700"/>
      <w:bookmarkStart w:id="5880" w:name="_Toc56630168"/>
      <w:bookmarkStart w:id="5881" w:name="_Toc56637028"/>
      <w:bookmarkStart w:id="5882" w:name="_Toc56638162"/>
      <w:bookmarkStart w:id="5883" w:name="_Toc56641006"/>
      <w:r>
        <w:rPr>
          <w:rFonts w:hint="cs"/>
          <w:rtl/>
        </w:rPr>
        <w:t>דעת התוס' רי"ד דלרב אבהו החזקה היא רק מחמת השטר</w:t>
      </w:r>
      <w:bookmarkEnd w:id="5875"/>
      <w:bookmarkEnd w:id="5876"/>
      <w:bookmarkEnd w:id="5877"/>
      <w:bookmarkEnd w:id="5878"/>
      <w:bookmarkEnd w:id="5879"/>
      <w:bookmarkEnd w:id="5880"/>
      <w:bookmarkEnd w:id="5881"/>
      <w:bookmarkEnd w:id="5882"/>
      <w:bookmarkEnd w:id="5883"/>
    </w:p>
    <w:p w:rsidR="00E874E8" w:rsidRDefault="00E874E8" w:rsidP="00E874E8">
      <w:pPr>
        <w:pStyle w:val="a3"/>
        <w:rPr>
          <w:rtl/>
        </w:rPr>
      </w:pPr>
      <w:bookmarkStart w:id="5884" w:name="_Toc56372897"/>
      <w:bookmarkStart w:id="5885" w:name="_Toc56458236"/>
      <w:bookmarkStart w:id="5886" w:name="_Toc56544396"/>
      <w:bookmarkStart w:id="5887" w:name="_Toc56609857"/>
      <w:bookmarkStart w:id="5888" w:name="_Toc56626701"/>
      <w:bookmarkStart w:id="5889" w:name="_Toc56630169"/>
      <w:bookmarkStart w:id="5890" w:name="_Toc56637029"/>
      <w:bookmarkStart w:id="5891" w:name="_Toc56638163"/>
      <w:bookmarkStart w:id="5892" w:name="_Toc56641007"/>
      <w:r>
        <w:rPr>
          <w:rFonts w:hint="cs"/>
          <w:rtl/>
        </w:rPr>
        <w:t>ביאור התורי"ד ברב אבהו דחזקה רק מחמת השטר ורק בפני ג' שומע המחזיק ונזהר בשטרו</w:t>
      </w:r>
      <w:bookmarkEnd w:id="5884"/>
      <w:bookmarkEnd w:id="5885"/>
      <w:bookmarkEnd w:id="5886"/>
      <w:bookmarkEnd w:id="5887"/>
      <w:bookmarkEnd w:id="5888"/>
      <w:bookmarkEnd w:id="5889"/>
      <w:bookmarkEnd w:id="5890"/>
      <w:bookmarkEnd w:id="5891"/>
      <w:bookmarkEnd w:id="5892"/>
    </w:p>
    <w:p w:rsidR="00E874E8" w:rsidRPr="00637651" w:rsidRDefault="00E874E8" w:rsidP="007E4E81">
      <w:pPr>
        <w:pStyle w:val="a0"/>
        <w:rPr>
          <w:rtl/>
        </w:rPr>
      </w:pPr>
      <w:r>
        <w:rPr>
          <w:rFonts w:hint="cs"/>
          <w:rtl/>
        </w:rPr>
        <w:t xml:space="preserve">ובדעת רב אבהו דס"ל דמחאה בפני שלשה, ביאר </w:t>
      </w:r>
      <w:r w:rsidRPr="00807233">
        <w:rPr>
          <w:rStyle w:val="af9"/>
          <w:rFonts w:hint="cs"/>
          <w:rtl/>
        </w:rPr>
        <w:t xml:space="preserve">התוס' רי"ד לקמן </w:t>
      </w:r>
      <w:r>
        <w:rPr>
          <w:rFonts w:hint="cs"/>
          <w:rtl/>
        </w:rPr>
        <w:t xml:space="preserve">דס"ל דטעם החזקה הוא רק מחמת דלאחר ג"ש אינו נזהר בשטרו, ולכן כל שאין המחזיק צריך להזהר בשטרו, הוי חזקה, אף שאין לו כל אמתלא לטענתו, </w:t>
      </w:r>
      <w:r w:rsidRPr="00807233">
        <w:rPr>
          <w:rStyle w:val="afb"/>
          <w:rFonts w:hint="cs"/>
          <w:rtl/>
        </w:rPr>
        <w:t>[שהיה לו שטר ואבד],</w:t>
      </w:r>
      <w:r>
        <w:rPr>
          <w:rFonts w:hint="cs"/>
          <w:rtl/>
        </w:rPr>
        <w:t xml:space="preserve"> וכיון דגילוי מילתא בחזקה אינו בפחות משלשה, לכן הצריך רב אבהו מחאה בפני שלשה שישמע המחזיק מהמאחה, ואמרינן ליה דכיון שמחו בו היה לו להזהר בשטרו אף לאחר ג"ש, וכל שלא נזהר בשטרו לא הוי חזקה, אבל אם מחה רק בפני שנים, ס"ל לרב אבהו דלא הוי מחאה, כיון שלא שמע המחזיק מהמחאה ולא היה לו להזהר בשטרו, א"כ הוי חזקה, וטענת המחזיק חשיבא לטענה, אף שאין לו אמתלא דלא שתק המערער.</w:t>
      </w:r>
    </w:p>
    <w:p w:rsidR="00E874E8" w:rsidRPr="00A009AE" w:rsidRDefault="00E874E8" w:rsidP="00E874E8">
      <w:pPr>
        <w:pStyle w:val="a3"/>
        <w:rPr>
          <w:rtl/>
        </w:rPr>
        <w:sectPr w:rsidR="00E874E8" w:rsidRPr="00A009AE" w:rsidSect="005049E2">
          <w:type w:val="continuous"/>
          <w:pgSz w:w="11906" w:h="16838"/>
          <w:pgMar w:top="720" w:right="720" w:bottom="720" w:left="720" w:header="283" w:footer="283" w:gutter="0"/>
          <w:cols w:num="2" w:space="567"/>
          <w:titlePg/>
          <w:bidi/>
          <w:rtlGutter/>
          <w:docGrid w:linePitch="299"/>
        </w:sectPr>
      </w:pPr>
    </w:p>
    <w:p w:rsidR="00E874E8" w:rsidRDefault="00E874E8" w:rsidP="00E874E8">
      <w:pPr>
        <w:tabs>
          <w:tab w:val="left" w:pos="1163"/>
        </w:tabs>
        <w:spacing w:after="120" w:line="240" w:lineRule="auto"/>
        <w:ind w:left="0"/>
        <w:rPr>
          <w:rFonts w:ascii="Guttman Hodes" w:eastAsia="Guttman Hodes" w:hAnsi="Guttman Hodes" w:cs="Guttman Hodes"/>
          <w:noProof/>
          <w:sz w:val="18"/>
          <w:szCs w:val="18"/>
        </w:rPr>
        <w:sectPr w:rsidR="00E874E8" w:rsidSect="00AE06CB">
          <w:type w:val="continuous"/>
          <w:pgSz w:w="11906" w:h="16838"/>
          <w:pgMar w:top="720" w:right="720" w:bottom="720" w:left="720" w:header="283" w:footer="283" w:gutter="0"/>
          <w:cols w:space="567"/>
          <w:bidi/>
          <w:rtlGutter/>
          <w:docGrid w:linePitch="299"/>
        </w:sectPr>
      </w:pPr>
    </w:p>
    <w:p w:rsidR="00E874E8" w:rsidRPr="00D47CE7" w:rsidRDefault="00E949D5" w:rsidP="00E874E8">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0" type="#_x0000_t75" style="width:404.55pt;height:6.8pt" o:hrpct="0" o:hralign="center" o:hr="t">
            <v:imagedata r:id="rId24" o:title="BD14845_"/>
          </v:shape>
        </w:pict>
      </w:r>
      <w:r w:rsidR="00E874E8" w:rsidRPr="00D47CE7">
        <w:rPr>
          <w:rFonts w:ascii="Guttman Hodes" w:eastAsia="Guttman Hodes" w:hAnsi="Guttman Hodes" w:cs="Guttman Hodes" w:hint="cs"/>
          <w:noProof/>
          <w:sz w:val="18"/>
          <w:szCs w:val="18"/>
          <w:rtl/>
        </w:rPr>
        <w:t xml:space="preserve"> </w:t>
      </w:r>
    </w:p>
    <w:p w:rsidR="00E874E8" w:rsidRPr="0081356D" w:rsidRDefault="001B6519" w:rsidP="00E874E8">
      <w:pPr>
        <w:pStyle w:val="afe"/>
        <w:rPr>
          <w:rtl/>
        </w:rPr>
        <w:sectPr w:rsidR="00E874E8" w:rsidRPr="0081356D" w:rsidSect="00361B2E">
          <w:pgSz w:w="11906" w:h="16838"/>
          <w:pgMar w:top="720" w:right="720" w:bottom="720" w:left="720" w:header="283" w:footer="283" w:gutter="0"/>
          <w:cols w:space="567"/>
          <w:bidi/>
          <w:rtlGutter/>
          <w:docGrid w:linePitch="299"/>
        </w:sectPr>
      </w:pPr>
      <w:r>
        <w:rPr>
          <w:rFonts w:hint="cs"/>
          <w:rtl/>
        </w:rPr>
        <w:t>~~~~~~~ ביאורי ראשי הישיבות ~~~~~~~</w:t>
      </w:r>
      <w:r w:rsidR="00E874E8" w:rsidRPr="0081356D">
        <w:rPr>
          <w:rFonts w:hint="cs"/>
          <w:rtl/>
        </w:rPr>
        <w:t xml:space="preserve"> </w:t>
      </w:r>
    </w:p>
    <w:p w:rsidR="00E874E8" w:rsidRDefault="00E874E8" w:rsidP="00E874E8">
      <w:pPr>
        <w:pStyle w:val="afe"/>
        <w:rPr>
          <w:rtl/>
        </w:rPr>
      </w:pPr>
      <w:bookmarkStart w:id="5893" w:name="_Toc56609859"/>
      <w:bookmarkStart w:id="5894" w:name="_Toc56626703"/>
      <w:bookmarkStart w:id="5895" w:name="_Toc56630171"/>
      <w:bookmarkStart w:id="5896" w:name="_Toc56637031"/>
      <w:bookmarkStart w:id="5897" w:name="_Toc56638165"/>
      <w:bookmarkStart w:id="5898" w:name="_Toc56641009"/>
      <w:r>
        <w:rPr>
          <w:rFonts w:hint="cs"/>
          <w:rtl/>
        </w:rPr>
        <w:t>בדעת רבינו יונה</w:t>
      </w:r>
      <w:bookmarkEnd w:id="5893"/>
      <w:bookmarkEnd w:id="5894"/>
      <w:bookmarkEnd w:id="5895"/>
      <w:r>
        <w:rPr>
          <w:rFonts w:hint="cs"/>
          <w:rtl/>
        </w:rPr>
        <w:t xml:space="preserve"> דע"י התקנ"ח יש ראיה</w:t>
      </w:r>
      <w:bookmarkEnd w:id="5896"/>
      <w:bookmarkEnd w:id="5897"/>
      <w:bookmarkEnd w:id="5898"/>
    </w:p>
    <w:p w:rsidR="00E874E8" w:rsidRDefault="00E874E8" w:rsidP="00E874E8">
      <w:pPr>
        <w:pStyle w:val="1"/>
        <w:rPr>
          <w:rtl/>
        </w:rPr>
      </w:pPr>
      <w:bookmarkStart w:id="5899" w:name="_Toc56609860"/>
      <w:bookmarkStart w:id="5900" w:name="_Toc56626704"/>
      <w:bookmarkStart w:id="5901" w:name="_Toc56630172"/>
      <w:bookmarkStart w:id="5902" w:name="_Toc56637032"/>
      <w:bookmarkStart w:id="5903" w:name="_Toc56638166"/>
      <w:bookmarkStart w:id="5904" w:name="_Toc56641010"/>
      <w:r>
        <w:rPr>
          <w:rFonts w:hint="cs"/>
          <w:rtl/>
        </w:rPr>
        <w:t>ביאור הגרנ"פ ברבינו יונה</w:t>
      </w:r>
      <w:bookmarkEnd w:id="5899"/>
      <w:bookmarkEnd w:id="5900"/>
      <w:bookmarkEnd w:id="5901"/>
      <w:r>
        <w:rPr>
          <w:rFonts w:hint="cs"/>
          <w:rtl/>
        </w:rPr>
        <w:t xml:space="preserve"> דגדר התקנה שיהיה ראיה דלא מחה</w:t>
      </w:r>
      <w:bookmarkEnd w:id="5902"/>
      <w:bookmarkEnd w:id="5903"/>
      <w:bookmarkEnd w:id="5904"/>
    </w:p>
    <w:p w:rsidR="00E874E8" w:rsidRPr="00AD15F0" w:rsidRDefault="00E874E8" w:rsidP="00E874E8">
      <w:pPr>
        <w:pStyle w:val="a3"/>
        <w:rPr>
          <w:rtl/>
        </w:rPr>
      </w:pPr>
      <w:bookmarkStart w:id="5905" w:name="_Toc56626705"/>
      <w:bookmarkStart w:id="5906" w:name="_Toc56630173"/>
      <w:bookmarkStart w:id="5907" w:name="_Toc56637033"/>
      <w:bookmarkStart w:id="5908" w:name="_Toc56638167"/>
      <w:bookmarkStart w:id="5909" w:name="_Toc56641011"/>
      <w:r w:rsidRPr="00AD15F0">
        <w:rPr>
          <w:rFonts w:hint="cs"/>
          <w:rtl/>
        </w:rPr>
        <w:t xml:space="preserve">ביאור הגרנ"פ </w:t>
      </w:r>
      <w:r>
        <w:rPr>
          <w:rFonts w:hint="cs"/>
          <w:rtl/>
        </w:rPr>
        <w:t>ברב"י דהחזקה היא תקנ"ח שהטילו על המר"ק למחות כדי שיהיה ראיה למחזיק</w:t>
      </w:r>
      <w:bookmarkEnd w:id="5905"/>
      <w:bookmarkEnd w:id="5906"/>
      <w:bookmarkEnd w:id="5907"/>
      <w:bookmarkEnd w:id="5908"/>
      <w:bookmarkEnd w:id="5909"/>
    </w:p>
    <w:p w:rsidR="00E874E8" w:rsidRDefault="00E874E8" w:rsidP="007E4E81">
      <w:pPr>
        <w:pStyle w:val="a0"/>
        <w:rPr>
          <w:rtl/>
        </w:rPr>
      </w:pPr>
      <w:bookmarkStart w:id="5910" w:name="_Ref56613276"/>
      <w:r>
        <w:rPr>
          <w:rFonts w:hint="cs"/>
          <w:rtl/>
        </w:rPr>
        <w:t xml:space="preserve">במ"ש </w:t>
      </w:r>
      <w:r w:rsidRPr="00AD15F0">
        <w:rPr>
          <w:rStyle w:val="af9"/>
          <w:rFonts w:hint="cs"/>
          <w:rtl/>
        </w:rPr>
        <w:t>רבינו יונה</w:t>
      </w:r>
      <w:r>
        <w:rPr>
          <w:rFonts w:hint="cs"/>
          <w:rtl/>
        </w:rPr>
        <w:t xml:space="preserve"> </w:t>
      </w:r>
      <w:r w:rsidRPr="00AD15F0">
        <w:rPr>
          <w:rStyle w:val="af7"/>
          <w:rFonts w:eastAsia="Guttman Hodes" w:hint="cs"/>
          <w:rtl/>
        </w:rPr>
        <w:t xml:space="preserve">(עי' אות </w:t>
      </w:r>
      <w:r w:rsidRPr="00AD15F0">
        <w:rPr>
          <w:rStyle w:val="af7"/>
          <w:rFonts w:eastAsia="Guttman Hodes"/>
          <w:rtl/>
        </w:rPr>
        <w:fldChar w:fldCharType="begin"/>
      </w:r>
      <w:r w:rsidRPr="00AD15F0">
        <w:rPr>
          <w:rStyle w:val="af7"/>
          <w:rFonts w:eastAsia="Guttman Hodes"/>
          <w:rtl/>
        </w:rPr>
        <w:instrText xml:space="preserve"> </w:instrText>
      </w:r>
      <w:r w:rsidRPr="00AD15F0">
        <w:rPr>
          <w:rStyle w:val="af7"/>
          <w:rFonts w:eastAsia="Guttman Hodes" w:hint="cs"/>
        </w:rPr>
        <w:instrText>REF</w:instrText>
      </w:r>
      <w:r w:rsidRPr="00AD15F0">
        <w:rPr>
          <w:rStyle w:val="af7"/>
          <w:rFonts w:eastAsia="Guttman Hodes" w:hint="cs"/>
          <w:rtl/>
        </w:rPr>
        <w:instrText xml:space="preserve"> _</w:instrText>
      </w:r>
      <w:r w:rsidRPr="00AD15F0">
        <w:rPr>
          <w:rStyle w:val="af7"/>
          <w:rFonts w:eastAsia="Guttman Hodes" w:hint="cs"/>
        </w:rPr>
        <w:instrText>Ref56612654 \r \h</w:instrText>
      </w:r>
      <w:r w:rsidRPr="00AD15F0">
        <w:rPr>
          <w:rStyle w:val="af7"/>
          <w:rFonts w:eastAsia="Guttman Hodes"/>
          <w:rtl/>
        </w:rPr>
        <w:instrText xml:space="preserve"> </w:instrText>
      </w:r>
      <w:r w:rsidRPr="00AD15F0">
        <w:rPr>
          <w:rStyle w:val="af7"/>
          <w:rFonts w:eastAsia="Guttman Hodes"/>
          <w:rtl/>
        </w:rPr>
      </w:r>
      <w:r w:rsidRPr="00AD15F0">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AD15F0">
        <w:rPr>
          <w:rStyle w:val="af7"/>
          <w:rFonts w:eastAsia="Guttman Hodes"/>
          <w:rtl/>
        </w:rPr>
        <w:fldChar w:fldCharType="end"/>
      </w:r>
      <w:r>
        <w:rPr>
          <w:rFonts w:hint="cs"/>
          <w:rtl/>
        </w:rPr>
        <w:t xml:space="preserve"> </w:t>
      </w:r>
      <w:r w:rsidRPr="0080421E">
        <w:rPr>
          <w:rFonts w:hint="cs"/>
          <w:rtl/>
        </w:rPr>
        <w:t>דטעמא דחזקת ג"ש הוא דכיון שלאחר ג"ש אין הלוקח נזהר בשטרו, לכן תיקנו חכמים שימחה המערער, ומדלא מיחה מוכח שמכר לו,</w:t>
      </w:r>
      <w:r>
        <w:rPr>
          <w:rFonts w:hint="cs"/>
          <w:rtl/>
        </w:rPr>
        <w:t xml:space="preserve"> ביאר </w:t>
      </w:r>
      <w:r w:rsidRPr="00AD15F0">
        <w:rPr>
          <w:rStyle w:val="af9"/>
          <w:rFonts w:hint="cs"/>
          <w:rtl/>
        </w:rPr>
        <w:t>בחי' רבי נחום</w:t>
      </w:r>
      <w:r>
        <w:rPr>
          <w:rFonts w:hint="cs"/>
          <w:rtl/>
        </w:rPr>
        <w:t xml:space="preserve"> </w:t>
      </w:r>
      <w:r w:rsidRPr="00AD15F0">
        <w:rPr>
          <w:rStyle w:val="af7"/>
          <w:rFonts w:eastAsia="Guttman Hodes" w:hint="cs"/>
          <w:rtl/>
        </w:rPr>
        <w:t>(או' כ"ז ד"ה וברבינו יונה)</w:t>
      </w:r>
      <w:r>
        <w:rPr>
          <w:rFonts w:hint="cs"/>
          <w:rtl/>
        </w:rPr>
        <w:t xml:space="preserve"> דס"ל דחזקת ג"ש היא תקנת חכמים, אלא דגדר התקנה היא שהטילו חכמים על המרא קמא למחות, כדי שאם לא ימחה המחזיק, יהיה ראיה משתיקתו שמכר לו את הקרקע.</w:t>
      </w:r>
      <w:bookmarkEnd w:id="5910"/>
    </w:p>
    <w:p w:rsidR="00E874E8" w:rsidRPr="0019315B" w:rsidRDefault="00E874E8" w:rsidP="00E874E8">
      <w:pPr>
        <w:pStyle w:val="a3"/>
        <w:rPr>
          <w:rtl/>
        </w:rPr>
      </w:pPr>
      <w:bookmarkStart w:id="5911" w:name="_Toc56626706"/>
      <w:bookmarkStart w:id="5912" w:name="_Toc56630174"/>
      <w:bookmarkStart w:id="5913" w:name="_Toc56637034"/>
      <w:bookmarkStart w:id="5914" w:name="_Toc56638168"/>
      <w:bookmarkStart w:id="5915" w:name="_Toc56641012"/>
      <w:r>
        <w:rPr>
          <w:rFonts w:hint="cs"/>
          <w:rtl/>
        </w:rPr>
        <w:t>ביאור הגרנ"פ ברב"י דהראיה מדלא מיחה היא רק לאחר התקנ"ח דהראיה היא מחמת התקנה</w:t>
      </w:r>
      <w:bookmarkEnd w:id="5911"/>
      <w:bookmarkEnd w:id="5912"/>
      <w:bookmarkEnd w:id="5913"/>
      <w:bookmarkEnd w:id="5914"/>
      <w:bookmarkEnd w:id="5915"/>
    </w:p>
    <w:p w:rsidR="00E874E8" w:rsidRDefault="00E874E8" w:rsidP="007E4E81">
      <w:pPr>
        <w:pStyle w:val="a0"/>
        <w:rPr>
          <w:rtl/>
        </w:rPr>
      </w:pPr>
      <w:r>
        <w:rPr>
          <w:rFonts w:hint="cs"/>
          <w:rtl/>
        </w:rPr>
        <w:t xml:space="preserve">וכתב </w:t>
      </w:r>
      <w:r w:rsidRPr="00AD15F0">
        <w:rPr>
          <w:rStyle w:val="af9"/>
          <w:rFonts w:hint="cs"/>
          <w:rtl/>
        </w:rPr>
        <w:t>בחי' רבי נחום</w:t>
      </w:r>
      <w:r>
        <w:rPr>
          <w:rFonts w:hint="cs"/>
          <w:rtl/>
        </w:rPr>
        <w:t xml:space="preserve"> דא"כ ס"ל </w:t>
      </w:r>
      <w:r w:rsidRPr="00AD15F0">
        <w:rPr>
          <w:rStyle w:val="af9"/>
          <w:rFonts w:hint="cs"/>
          <w:rtl/>
        </w:rPr>
        <w:t>לרבינו יונה</w:t>
      </w:r>
      <w:r>
        <w:rPr>
          <w:rFonts w:hint="cs"/>
          <w:rtl/>
        </w:rPr>
        <w:t xml:space="preserve"> דלפני התקנת חכמים של חזקת ג"ש, אין ראיה מדלא מחה, </w:t>
      </w:r>
      <w:r w:rsidRPr="00AD15F0">
        <w:rPr>
          <w:rStyle w:val="afb"/>
          <w:rFonts w:hint="cs"/>
          <w:rtl/>
        </w:rPr>
        <w:t xml:space="preserve">[ודלא </w:t>
      </w:r>
      <w:r w:rsidRPr="00093657">
        <w:rPr>
          <w:rStyle w:val="affa"/>
          <w:rFonts w:hint="cs"/>
          <w:rtl/>
        </w:rPr>
        <w:t>כה</w:t>
      </w:r>
      <w:r w:rsidRPr="004055E5">
        <w:rPr>
          <w:rStyle w:val="affa"/>
          <w:rFonts w:hint="cs"/>
          <w:rtl/>
        </w:rPr>
        <w:t>רמב"ן לקמן</w:t>
      </w:r>
      <w:r>
        <w:rPr>
          <w:rFonts w:hint="cs"/>
          <w:rtl/>
        </w:rPr>
        <w:t xml:space="preserve"> </w:t>
      </w:r>
      <w:r w:rsidRPr="004055E5">
        <w:rPr>
          <w:rStyle w:val="aff6"/>
          <w:rFonts w:hint="cs"/>
          <w:rtl/>
        </w:rPr>
        <w:t>(מב. ד"ה הא, הובא בסימן ה' אות ז')</w:t>
      </w:r>
      <w:r>
        <w:rPr>
          <w:rFonts w:hint="cs"/>
          <w:rtl/>
        </w:rPr>
        <w:t xml:space="preserve"> </w:t>
      </w:r>
      <w:r w:rsidRPr="004055E5">
        <w:rPr>
          <w:rStyle w:val="afb"/>
          <w:rFonts w:hint="cs"/>
          <w:rtl/>
        </w:rPr>
        <w:t>דחז</w:t>
      </w:r>
      <w:r w:rsidRPr="005F0D66">
        <w:rPr>
          <w:rStyle w:val="afb"/>
          <w:rFonts w:hint="cs"/>
          <w:rtl/>
        </w:rPr>
        <w:t xml:space="preserve">קת ג"ש היא </w:t>
      </w:r>
      <w:r>
        <w:rPr>
          <w:rStyle w:val="afb"/>
          <w:rFonts w:hint="cs"/>
          <w:rtl/>
        </w:rPr>
        <w:t>כיון דלא מחה בו המרא קמא</w:t>
      </w:r>
      <w:r w:rsidRPr="00AD15F0">
        <w:rPr>
          <w:rStyle w:val="afb"/>
          <w:rFonts w:hint="cs"/>
          <w:rtl/>
        </w:rPr>
        <w:t xml:space="preserve">], </w:t>
      </w:r>
      <w:r>
        <w:rPr>
          <w:rFonts w:hint="cs"/>
          <w:rtl/>
        </w:rPr>
        <w:t xml:space="preserve">אך לאחר התקנה מהני החזקה כיון שיש ראיה שלא מיחה, ודלא </w:t>
      </w:r>
      <w:r w:rsidRPr="00600D1E">
        <w:rPr>
          <w:rStyle w:val="af9"/>
          <w:rFonts w:hint="cs"/>
          <w:rtl/>
        </w:rPr>
        <w:t>כהקצוה"ח</w:t>
      </w:r>
      <w:r>
        <w:rPr>
          <w:rFonts w:hint="cs"/>
          <w:rtl/>
        </w:rPr>
        <w:t xml:space="preserve"> </w:t>
      </w:r>
      <w:r w:rsidRPr="00600D1E">
        <w:rPr>
          <w:rStyle w:val="af7"/>
          <w:rFonts w:eastAsia="Guttman Hodes" w:hint="cs"/>
          <w:rtl/>
        </w:rPr>
        <w:t xml:space="preserve">(עי' אות </w:t>
      </w:r>
      <w:r w:rsidRPr="00600D1E">
        <w:rPr>
          <w:rStyle w:val="af7"/>
          <w:rFonts w:eastAsia="Guttman Hodes"/>
          <w:rtl/>
        </w:rPr>
        <w:fldChar w:fldCharType="begin"/>
      </w:r>
      <w:r w:rsidRPr="00600D1E">
        <w:rPr>
          <w:rStyle w:val="af7"/>
          <w:rFonts w:eastAsia="Guttman Hodes"/>
          <w:rtl/>
        </w:rPr>
        <w:instrText xml:space="preserve"> </w:instrText>
      </w:r>
      <w:r w:rsidRPr="00600D1E">
        <w:rPr>
          <w:rStyle w:val="af7"/>
          <w:rFonts w:eastAsia="Guttman Hodes" w:hint="cs"/>
        </w:rPr>
        <w:instrText>REF</w:instrText>
      </w:r>
      <w:r w:rsidRPr="00600D1E">
        <w:rPr>
          <w:rStyle w:val="af7"/>
          <w:rFonts w:eastAsia="Guttman Hodes" w:hint="cs"/>
          <w:rtl/>
        </w:rPr>
        <w:instrText xml:space="preserve"> _</w:instrText>
      </w:r>
      <w:r w:rsidRPr="00600D1E">
        <w:rPr>
          <w:rStyle w:val="af7"/>
          <w:rFonts w:eastAsia="Guttman Hodes" w:hint="cs"/>
        </w:rPr>
        <w:instrText>Ref56591681 \r \h</w:instrText>
      </w:r>
      <w:r w:rsidRPr="00600D1E">
        <w:rPr>
          <w:rStyle w:val="af7"/>
          <w:rFonts w:eastAsia="Guttman Hodes"/>
          <w:rtl/>
        </w:rPr>
        <w:instrText xml:space="preserve"> </w:instrText>
      </w:r>
      <w:r w:rsidRPr="00600D1E">
        <w:rPr>
          <w:rStyle w:val="af7"/>
          <w:rFonts w:eastAsia="Guttman Hodes"/>
          <w:rtl/>
        </w:rPr>
      </w:r>
      <w:r w:rsidRPr="00600D1E">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600D1E">
        <w:rPr>
          <w:rStyle w:val="af7"/>
          <w:rFonts w:eastAsia="Guttman Hodes"/>
          <w:rtl/>
        </w:rPr>
        <w:fldChar w:fldCharType="end"/>
      </w:r>
      <w:r>
        <w:rPr>
          <w:rFonts w:hint="cs"/>
          <w:rtl/>
        </w:rPr>
        <w:t xml:space="preserve"> דהחזקה מהני רק מדין תקנת חכמים.</w:t>
      </w:r>
    </w:p>
    <w:p w:rsidR="00E874E8" w:rsidRPr="00C7782E" w:rsidRDefault="00E874E8" w:rsidP="00E874E8">
      <w:pPr>
        <w:pStyle w:val="a3"/>
      </w:pPr>
      <w:bookmarkStart w:id="5916" w:name="_Toc56626707"/>
      <w:bookmarkStart w:id="5917" w:name="_Toc56630175"/>
      <w:bookmarkStart w:id="5918" w:name="_Toc56637035"/>
      <w:bookmarkStart w:id="5919" w:name="_Toc56638169"/>
      <w:bookmarkStart w:id="5920" w:name="_Toc56641013"/>
      <w:r>
        <w:rPr>
          <w:rFonts w:hint="cs"/>
          <w:rtl/>
        </w:rPr>
        <w:t>ביאור הגרנ"פ ברבינו יונה דכיון שהחזקה והמחאה הם מתקנ"ח מהני אף שלא שמע המחזיק</w:t>
      </w:r>
      <w:bookmarkEnd w:id="5916"/>
      <w:bookmarkEnd w:id="5917"/>
      <w:bookmarkEnd w:id="5918"/>
      <w:bookmarkEnd w:id="5919"/>
      <w:bookmarkEnd w:id="5920"/>
    </w:p>
    <w:p w:rsidR="00E874E8" w:rsidRDefault="00E874E8" w:rsidP="007E4E81">
      <w:pPr>
        <w:pStyle w:val="a0"/>
        <w:rPr>
          <w:rtl/>
        </w:rPr>
      </w:pPr>
      <w:bookmarkStart w:id="5921" w:name="_Ref56613234"/>
      <w:r>
        <w:rPr>
          <w:rFonts w:hint="cs"/>
          <w:rtl/>
        </w:rPr>
        <w:t xml:space="preserve">וכתב </w:t>
      </w:r>
      <w:r w:rsidRPr="00AD15F0">
        <w:rPr>
          <w:rStyle w:val="af9"/>
          <w:rFonts w:hint="cs"/>
          <w:rtl/>
        </w:rPr>
        <w:t>בחי' רבי נחום</w:t>
      </w:r>
      <w:r>
        <w:rPr>
          <w:rFonts w:hint="cs"/>
          <w:rtl/>
        </w:rPr>
        <w:t xml:space="preserve"> דלכן כתב </w:t>
      </w:r>
      <w:r w:rsidRPr="00AD15F0">
        <w:rPr>
          <w:rStyle w:val="af9"/>
          <w:rFonts w:hint="cs"/>
          <w:rtl/>
        </w:rPr>
        <w:t>רבינו יונה</w:t>
      </w:r>
      <w:r>
        <w:rPr>
          <w:rFonts w:hint="cs"/>
          <w:rtl/>
        </w:rPr>
        <w:t xml:space="preserve"> </w:t>
      </w:r>
      <w:r w:rsidRPr="00600D1E">
        <w:rPr>
          <w:rStyle w:val="af7"/>
          <w:rFonts w:eastAsia="Guttman Hodes" w:hint="cs"/>
          <w:rtl/>
        </w:rPr>
        <w:t>(עי' אות</w:t>
      </w:r>
      <w:r>
        <w:rPr>
          <w:rFonts w:hint="cs"/>
          <w:rtl/>
        </w:rPr>
        <w:t xml:space="preserve"> </w:t>
      </w:r>
      <w:r w:rsidRPr="00600D1E">
        <w:rPr>
          <w:rStyle w:val="af7"/>
          <w:rFonts w:eastAsia="Guttman Hodes"/>
          <w:rtl/>
        </w:rPr>
        <w:fldChar w:fldCharType="begin"/>
      </w:r>
      <w:r w:rsidRPr="00600D1E">
        <w:rPr>
          <w:rStyle w:val="af7"/>
          <w:rFonts w:eastAsia="Guttman Hodes"/>
          <w:rtl/>
        </w:rPr>
        <w:instrText xml:space="preserve"> </w:instrText>
      </w:r>
      <w:r w:rsidRPr="00600D1E">
        <w:rPr>
          <w:rStyle w:val="af7"/>
          <w:rFonts w:eastAsia="Guttman Hodes" w:hint="cs"/>
        </w:rPr>
        <w:instrText>REF</w:instrText>
      </w:r>
      <w:r w:rsidRPr="00600D1E">
        <w:rPr>
          <w:rStyle w:val="af7"/>
          <w:rFonts w:eastAsia="Guttman Hodes" w:hint="cs"/>
          <w:rtl/>
        </w:rPr>
        <w:instrText xml:space="preserve"> _</w:instrText>
      </w:r>
      <w:r w:rsidRPr="00600D1E">
        <w:rPr>
          <w:rStyle w:val="af7"/>
          <w:rFonts w:eastAsia="Guttman Hodes" w:hint="cs"/>
        </w:rPr>
        <w:instrText>Ref56502987 \r \h</w:instrText>
      </w:r>
      <w:r w:rsidRPr="00600D1E">
        <w:rPr>
          <w:rStyle w:val="af7"/>
          <w:rFonts w:eastAsia="Guttman Hodes"/>
          <w:rtl/>
        </w:rPr>
        <w:instrText xml:space="preserve"> </w:instrText>
      </w:r>
      <w:r w:rsidRPr="00600D1E">
        <w:rPr>
          <w:rStyle w:val="af7"/>
          <w:rFonts w:eastAsia="Guttman Hodes"/>
          <w:rtl/>
        </w:rPr>
      </w:r>
      <w:r w:rsidRPr="00600D1E">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600D1E">
        <w:rPr>
          <w:rStyle w:val="af7"/>
          <w:rFonts w:eastAsia="Guttman Hodes"/>
          <w:rtl/>
        </w:rPr>
        <w:fldChar w:fldCharType="end"/>
      </w:r>
      <w:r>
        <w:rPr>
          <w:rFonts w:hint="cs"/>
          <w:rtl/>
        </w:rPr>
        <w:t xml:space="preserve"> דמהני המחאה אף שלא שמע המחזיק, דכיון שמחה כדין הוי מחאה, דמשמע מדברי </w:t>
      </w:r>
      <w:r w:rsidRPr="00C7782E">
        <w:rPr>
          <w:rStyle w:val="af9"/>
          <w:rFonts w:hint="cs"/>
          <w:rtl/>
        </w:rPr>
        <w:t>רבינו יונה</w:t>
      </w:r>
      <w:r>
        <w:rPr>
          <w:rFonts w:hint="cs"/>
          <w:rtl/>
        </w:rPr>
        <w:t xml:space="preserve"> דכיון דכל החזקה היא תקנת חכמים, לכן כל שמחה כדין יצא ידי חובת מחאה אף שלא שמע המחזיק, אבל להסוברים [</w:t>
      </w:r>
      <w:r w:rsidRPr="001D1883">
        <w:rPr>
          <w:rStyle w:val="af9"/>
          <w:rFonts w:hint="cs"/>
          <w:rtl/>
        </w:rPr>
        <w:t>רש"י</w:t>
      </w:r>
      <w:r w:rsidRPr="001D1883">
        <w:rPr>
          <w:rFonts w:hint="cs"/>
          <w:rtl/>
        </w:rPr>
        <w:t xml:space="preserve"> </w:t>
      </w:r>
      <w:r w:rsidRPr="001D1883">
        <w:rPr>
          <w:rStyle w:val="af7"/>
          <w:rFonts w:eastAsia="Guttman Hodes" w:hint="cs"/>
          <w:rtl/>
        </w:rPr>
        <w:t>(</w:t>
      </w:r>
      <w:r w:rsidRPr="00600D1E">
        <w:rPr>
          <w:rStyle w:val="af7"/>
          <w:rFonts w:eastAsia="Guttman Hodes" w:hint="cs"/>
          <w:rtl/>
        </w:rPr>
        <w:t>כח: ד"ה התם, ד"ה דחברך, הובא בסימן ה' אות ה')</w:t>
      </w:r>
      <w:r>
        <w:rPr>
          <w:rFonts w:hint="cs"/>
          <w:rtl/>
        </w:rPr>
        <w:t xml:space="preserve"> </w:t>
      </w:r>
      <w:r>
        <w:rPr>
          <w:rStyle w:val="af9"/>
          <w:rFonts w:hint="cs"/>
          <w:rtl/>
        </w:rPr>
        <w:t>וה</w:t>
      </w:r>
      <w:r w:rsidRPr="004362E2">
        <w:rPr>
          <w:rStyle w:val="af9"/>
          <w:rFonts w:hint="cs"/>
          <w:rtl/>
        </w:rPr>
        <w:t>רמב"ן</w:t>
      </w:r>
      <w:r>
        <w:rPr>
          <w:rStyle w:val="af7"/>
          <w:rFonts w:eastAsia="Guttman Hodes" w:hint="cs"/>
          <w:rtl/>
        </w:rPr>
        <w:t xml:space="preserve"> </w:t>
      </w:r>
      <w:r w:rsidRPr="00E901A5">
        <w:rPr>
          <w:rStyle w:val="af7"/>
          <w:rFonts w:eastAsia="Guttman Hodes" w:hint="cs"/>
          <w:rtl/>
        </w:rPr>
        <w:t>(כח: ד"ה ותו, הובא בסימן ד' אות נ"ד)</w:t>
      </w:r>
      <w:r>
        <w:rPr>
          <w:rFonts w:hint="cs"/>
          <w:rtl/>
        </w:rPr>
        <w:t>], דהמחאה הוא בכדי שיזהר המחזיק בשטרו לא מהני המחאה.</w:t>
      </w:r>
      <w:bookmarkEnd w:id="5921"/>
      <w:r>
        <w:rPr>
          <w:rFonts w:hint="cs"/>
          <w:rtl/>
        </w:rPr>
        <w:t xml:space="preserve"> </w:t>
      </w:r>
    </w:p>
    <w:p w:rsidR="00E874E8" w:rsidRPr="00B71F4B" w:rsidRDefault="00E874E8" w:rsidP="00E874E8">
      <w:pPr>
        <w:pStyle w:val="afe"/>
        <w:rPr>
          <w:rtl/>
        </w:rPr>
      </w:pPr>
      <w:bookmarkStart w:id="5922" w:name="_Toc56609861"/>
      <w:bookmarkStart w:id="5923" w:name="_Toc56626708"/>
      <w:bookmarkStart w:id="5924" w:name="_Toc56630176"/>
      <w:bookmarkStart w:id="5925" w:name="_Toc56637036"/>
      <w:bookmarkStart w:id="5926" w:name="_Toc56638170"/>
      <w:bookmarkStart w:id="5927" w:name="_Toc56641014"/>
      <w:r>
        <w:rPr>
          <w:rFonts w:hint="cs"/>
          <w:rtl/>
        </w:rPr>
        <w:t>בדעת הנימוק"י</w:t>
      </w:r>
      <w:bookmarkEnd w:id="5922"/>
      <w:bookmarkEnd w:id="5923"/>
      <w:bookmarkEnd w:id="5924"/>
      <w:r>
        <w:rPr>
          <w:rFonts w:hint="cs"/>
          <w:rtl/>
        </w:rPr>
        <w:t xml:space="preserve"> בטעם חזקת ג"ש</w:t>
      </w:r>
      <w:bookmarkEnd w:id="5925"/>
      <w:bookmarkEnd w:id="5926"/>
      <w:bookmarkEnd w:id="5927"/>
    </w:p>
    <w:p w:rsidR="00E874E8" w:rsidRDefault="00E874E8" w:rsidP="00E874E8">
      <w:pPr>
        <w:pStyle w:val="1"/>
        <w:rPr>
          <w:rtl/>
        </w:rPr>
      </w:pPr>
      <w:bookmarkStart w:id="5928" w:name="_Toc56637037"/>
      <w:bookmarkStart w:id="5929" w:name="_Toc56638171"/>
      <w:bookmarkStart w:id="5930" w:name="_Toc56641015"/>
      <w:r>
        <w:rPr>
          <w:rFonts w:hint="cs"/>
          <w:rtl/>
        </w:rPr>
        <w:t>דברי הקוב"ש דמשמעות הנימוק"י דחזקה היא ראיה ולא תקנ"ח</w:t>
      </w:r>
      <w:bookmarkEnd w:id="5928"/>
      <w:bookmarkEnd w:id="5929"/>
      <w:bookmarkEnd w:id="5930"/>
    </w:p>
    <w:p w:rsidR="00E874E8" w:rsidRDefault="00E874E8" w:rsidP="00E874E8">
      <w:pPr>
        <w:pStyle w:val="a3"/>
        <w:rPr>
          <w:rtl/>
        </w:rPr>
      </w:pPr>
      <w:bookmarkStart w:id="5931" w:name="_Toc56626710"/>
      <w:bookmarkStart w:id="5932" w:name="_Toc56630178"/>
      <w:bookmarkStart w:id="5933" w:name="_Toc56637038"/>
      <w:bookmarkStart w:id="5934" w:name="_Toc56638172"/>
      <w:bookmarkStart w:id="5935" w:name="_Toc56641016"/>
      <w:r>
        <w:rPr>
          <w:rFonts w:hint="cs"/>
          <w:rtl/>
        </w:rPr>
        <w:t>ביאור הקוב"ש בנימוק"י דהחזקה היא הוכחה דמדשתק המערער מוכח דודאי מכר לו</w:t>
      </w:r>
      <w:bookmarkEnd w:id="5931"/>
      <w:bookmarkEnd w:id="5932"/>
      <w:bookmarkEnd w:id="5933"/>
      <w:bookmarkEnd w:id="5934"/>
      <w:bookmarkEnd w:id="5935"/>
    </w:p>
    <w:p w:rsidR="00E874E8" w:rsidRPr="00CB445C" w:rsidRDefault="00E874E8" w:rsidP="007E4E81">
      <w:pPr>
        <w:pStyle w:val="a0"/>
        <w:rPr>
          <w:rStyle w:val="afb"/>
          <w:rtl/>
        </w:rPr>
      </w:pPr>
      <w:bookmarkStart w:id="5936" w:name="_Ref56613578"/>
      <w:r>
        <w:rPr>
          <w:rFonts w:hint="cs"/>
          <w:rtl/>
        </w:rPr>
        <w:t xml:space="preserve">במ"ש </w:t>
      </w:r>
      <w:r w:rsidRPr="00CB445C">
        <w:rPr>
          <w:rStyle w:val="af9"/>
          <w:rFonts w:hint="cs"/>
          <w:rtl/>
        </w:rPr>
        <w:t>הנימוק"י</w:t>
      </w:r>
      <w:r>
        <w:rPr>
          <w:rFonts w:hint="cs"/>
          <w:rtl/>
        </w:rPr>
        <w:t xml:space="preserve"> </w:t>
      </w:r>
      <w:r w:rsidRPr="00093657">
        <w:rPr>
          <w:rStyle w:val="af7"/>
          <w:rFonts w:eastAsia="Guttman Hodes" w:hint="cs"/>
          <w:rtl/>
        </w:rPr>
        <w:t xml:space="preserve">(עי' אות </w:t>
      </w:r>
      <w:r w:rsidRPr="00093657">
        <w:rPr>
          <w:rStyle w:val="af7"/>
          <w:rFonts w:eastAsia="Guttman Hodes"/>
          <w:rtl/>
        </w:rPr>
        <w:fldChar w:fldCharType="begin"/>
      </w:r>
      <w:r w:rsidRPr="00093657">
        <w:rPr>
          <w:rStyle w:val="af7"/>
          <w:rFonts w:eastAsia="Guttman Hodes"/>
          <w:rtl/>
        </w:rPr>
        <w:instrText xml:space="preserve"> </w:instrText>
      </w:r>
      <w:r w:rsidRPr="00093657">
        <w:rPr>
          <w:rStyle w:val="af7"/>
          <w:rFonts w:eastAsia="Guttman Hodes" w:hint="cs"/>
        </w:rPr>
        <w:instrText>REF</w:instrText>
      </w:r>
      <w:r w:rsidRPr="00093657">
        <w:rPr>
          <w:rStyle w:val="af7"/>
          <w:rFonts w:eastAsia="Guttman Hodes" w:hint="cs"/>
          <w:rtl/>
        </w:rPr>
        <w:instrText xml:space="preserve"> _</w:instrText>
      </w:r>
      <w:r w:rsidRPr="00093657">
        <w:rPr>
          <w:rStyle w:val="af7"/>
          <w:rFonts w:eastAsia="Guttman Hodes" w:hint="cs"/>
        </w:rPr>
        <w:instrText>Ref56613595 \r \h</w:instrText>
      </w:r>
      <w:r w:rsidRPr="00093657">
        <w:rPr>
          <w:rStyle w:val="af7"/>
          <w:rFonts w:eastAsia="Guttman Hodes"/>
          <w:rtl/>
        </w:rPr>
        <w:instrText xml:space="preserve"> </w:instrText>
      </w:r>
      <w:r w:rsidRPr="00093657">
        <w:rPr>
          <w:rStyle w:val="af7"/>
          <w:rFonts w:eastAsia="Guttman Hodes"/>
          <w:rtl/>
        </w:rPr>
      </w:r>
      <w:r w:rsidRPr="00093657">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093657">
        <w:rPr>
          <w:rStyle w:val="af7"/>
          <w:rFonts w:eastAsia="Guttman Hodes"/>
          <w:rtl/>
        </w:rPr>
        <w:fldChar w:fldCharType="end"/>
      </w:r>
      <w:r>
        <w:rPr>
          <w:rFonts w:hint="cs"/>
          <w:rtl/>
        </w:rPr>
        <w:t xml:space="preserve"> ד</w:t>
      </w:r>
      <w:r w:rsidRPr="0080421E">
        <w:rPr>
          <w:rFonts w:hint="cs"/>
          <w:rtl/>
        </w:rPr>
        <w:t xml:space="preserve">כ"מ שהמחזיק זכה ע"י החזקה, הוא כיון שהיה למערער למחות, וכשלא מחה אמרינן דודאי מכר לו, </w:t>
      </w:r>
      <w:r>
        <w:rPr>
          <w:rFonts w:hint="cs"/>
          <w:rtl/>
        </w:rPr>
        <w:t xml:space="preserve">כתב </w:t>
      </w:r>
      <w:r w:rsidRPr="00E43DAC">
        <w:rPr>
          <w:rStyle w:val="af9"/>
          <w:rFonts w:hint="cs"/>
          <w:rtl/>
        </w:rPr>
        <w:t>הקוב"ש</w:t>
      </w:r>
      <w:r>
        <w:rPr>
          <w:rFonts w:hint="cs"/>
          <w:rtl/>
        </w:rPr>
        <w:t xml:space="preserve"> </w:t>
      </w:r>
      <w:r w:rsidRPr="00E43DAC">
        <w:rPr>
          <w:rStyle w:val="af7"/>
          <w:rFonts w:eastAsia="Guttman Hodes" w:hint="cs"/>
          <w:rtl/>
        </w:rPr>
        <w:t>(או' ק"ד)</w:t>
      </w:r>
      <w:r>
        <w:rPr>
          <w:rFonts w:hint="cs"/>
          <w:rtl/>
        </w:rPr>
        <w:t xml:space="preserve"> דמבואר מדברי </w:t>
      </w:r>
      <w:r w:rsidRPr="00CB445C">
        <w:rPr>
          <w:rStyle w:val="af9"/>
          <w:rFonts w:hint="cs"/>
          <w:rtl/>
        </w:rPr>
        <w:t>הנימוק"י</w:t>
      </w:r>
      <w:r>
        <w:rPr>
          <w:rFonts w:hint="cs"/>
          <w:rtl/>
        </w:rPr>
        <w:t xml:space="preserve"> דס"ל דחזקת ג"ש אינה תקנת חכמים, כמבואר מדברי </w:t>
      </w:r>
      <w:r w:rsidRPr="00CB445C">
        <w:rPr>
          <w:rStyle w:val="af9"/>
          <w:rFonts w:hint="cs"/>
          <w:rtl/>
        </w:rPr>
        <w:t>הרא"</w:t>
      </w:r>
      <w:r w:rsidRPr="00093657">
        <w:rPr>
          <w:rStyle w:val="af9"/>
          <w:rFonts w:hint="cs"/>
          <w:rtl/>
        </w:rPr>
        <w:t>ש</w:t>
      </w:r>
      <w:r w:rsidRPr="00093657">
        <w:rPr>
          <w:rFonts w:hint="cs"/>
          <w:rtl/>
        </w:rPr>
        <w:t xml:space="preserve"> </w:t>
      </w:r>
      <w:r w:rsidRPr="00093657">
        <w:rPr>
          <w:rStyle w:val="af7"/>
          <w:rFonts w:eastAsia="Guttman Hodes" w:hint="cs"/>
          <w:rtl/>
        </w:rPr>
        <w:t xml:space="preserve">(עי' אות </w:t>
      </w:r>
      <w:r w:rsidRPr="00093657">
        <w:rPr>
          <w:rStyle w:val="af7"/>
          <w:rFonts w:eastAsia="Guttman Hodes"/>
          <w:rtl/>
        </w:rPr>
        <w:fldChar w:fldCharType="begin"/>
      </w:r>
      <w:r w:rsidRPr="00093657">
        <w:rPr>
          <w:rStyle w:val="af7"/>
          <w:rFonts w:eastAsia="Guttman Hodes"/>
          <w:rtl/>
        </w:rPr>
        <w:instrText xml:space="preserve"> </w:instrText>
      </w:r>
      <w:r w:rsidRPr="00093657">
        <w:rPr>
          <w:rStyle w:val="af7"/>
          <w:rFonts w:eastAsia="Guttman Hodes" w:hint="cs"/>
        </w:rPr>
        <w:instrText>REF</w:instrText>
      </w:r>
      <w:r w:rsidRPr="00093657">
        <w:rPr>
          <w:rStyle w:val="af7"/>
          <w:rFonts w:eastAsia="Guttman Hodes" w:hint="cs"/>
          <w:rtl/>
        </w:rPr>
        <w:instrText xml:space="preserve"> _</w:instrText>
      </w:r>
      <w:r w:rsidRPr="00093657">
        <w:rPr>
          <w:rStyle w:val="af7"/>
          <w:rFonts w:eastAsia="Guttman Hodes" w:hint="cs"/>
        </w:rPr>
        <w:instrText>Ref56593158 \r \h</w:instrText>
      </w:r>
      <w:r w:rsidRPr="00093657">
        <w:rPr>
          <w:rStyle w:val="af7"/>
          <w:rFonts w:eastAsia="Guttman Hodes"/>
          <w:rtl/>
        </w:rPr>
        <w:instrText xml:space="preserve">  \* </w:instrText>
      </w:r>
      <w:r w:rsidRPr="00093657">
        <w:rPr>
          <w:rStyle w:val="af7"/>
          <w:rFonts w:eastAsia="Guttman Hodes"/>
        </w:rPr>
        <w:instrText>MERGEFORMAT</w:instrText>
      </w:r>
      <w:r w:rsidRPr="00093657">
        <w:rPr>
          <w:rStyle w:val="af7"/>
          <w:rFonts w:eastAsia="Guttman Hodes"/>
          <w:rtl/>
        </w:rPr>
        <w:instrText xml:space="preserve"> </w:instrText>
      </w:r>
      <w:r w:rsidRPr="00093657">
        <w:rPr>
          <w:rStyle w:val="af7"/>
          <w:rFonts w:eastAsia="Guttman Hodes"/>
          <w:rtl/>
        </w:rPr>
      </w:r>
      <w:r w:rsidRPr="00093657">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093657">
        <w:rPr>
          <w:rStyle w:val="af7"/>
          <w:rFonts w:eastAsia="Guttman Hodes"/>
          <w:rtl/>
        </w:rPr>
        <w:fldChar w:fldCharType="end"/>
      </w:r>
      <w:r w:rsidRPr="00093657">
        <w:rPr>
          <w:rFonts w:hint="cs"/>
          <w:rtl/>
        </w:rPr>
        <w:t xml:space="preserve"> וכדעת </w:t>
      </w:r>
      <w:r w:rsidRPr="00093657">
        <w:rPr>
          <w:rStyle w:val="af9"/>
          <w:rFonts w:hint="cs"/>
          <w:rtl/>
        </w:rPr>
        <w:t>הקצוה"ח</w:t>
      </w:r>
      <w:r w:rsidRPr="00093657">
        <w:rPr>
          <w:rFonts w:hint="cs"/>
          <w:rtl/>
        </w:rPr>
        <w:t xml:space="preserve"> </w:t>
      </w:r>
      <w:r w:rsidRPr="00093657">
        <w:rPr>
          <w:rStyle w:val="af7"/>
          <w:rFonts w:eastAsia="Guttman Hodes" w:hint="cs"/>
          <w:rtl/>
        </w:rPr>
        <w:t xml:space="preserve">(עי' אות </w:t>
      </w:r>
      <w:r w:rsidRPr="00093657">
        <w:rPr>
          <w:rStyle w:val="af7"/>
          <w:rFonts w:eastAsia="Guttman Hodes"/>
          <w:rtl/>
        </w:rPr>
        <w:fldChar w:fldCharType="begin"/>
      </w:r>
      <w:r w:rsidRPr="00093657">
        <w:rPr>
          <w:rStyle w:val="af7"/>
          <w:rFonts w:eastAsia="Guttman Hodes"/>
          <w:rtl/>
        </w:rPr>
        <w:instrText xml:space="preserve"> </w:instrText>
      </w:r>
      <w:r w:rsidRPr="00093657">
        <w:rPr>
          <w:rStyle w:val="af7"/>
          <w:rFonts w:eastAsia="Guttman Hodes" w:hint="cs"/>
        </w:rPr>
        <w:instrText>REF</w:instrText>
      </w:r>
      <w:r w:rsidRPr="00093657">
        <w:rPr>
          <w:rStyle w:val="af7"/>
          <w:rFonts w:eastAsia="Guttman Hodes" w:hint="cs"/>
          <w:rtl/>
        </w:rPr>
        <w:instrText xml:space="preserve"> _</w:instrText>
      </w:r>
      <w:r w:rsidRPr="00093657">
        <w:rPr>
          <w:rStyle w:val="af7"/>
          <w:rFonts w:eastAsia="Guttman Hodes" w:hint="cs"/>
        </w:rPr>
        <w:instrText>Ref56591681 \r \h</w:instrText>
      </w:r>
      <w:r w:rsidRPr="00093657">
        <w:rPr>
          <w:rStyle w:val="af7"/>
          <w:rFonts w:eastAsia="Guttman Hodes"/>
          <w:rtl/>
        </w:rPr>
        <w:instrText xml:space="preserve">  \* </w:instrText>
      </w:r>
      <w:r w:rsidRPr="00093657">
        <w:rPr>
          <w:rStyle w:val="af7"/>
          <w:rFonts w:eastAsia="Guttman Hodes"/>
        </w:rPr>
        <w:instrText>MERGEFORMAT</w:instrText>
      </w:r>
      <w:r w:rsidRPr="00093657">
        <w:rPr>
          <w:rStyle w:val="af7"/>
          <w:rFonts w:eastAsia="Guttman Hodes"/>
          <w:rtl/>
        </w:rPr>
        <w:instrText xml:space="preserve"> </w:instrText>
      </w:r>
      <w:r w:rsidRPr="00093657">
        <w:rPr>
          <w:rStyle w:val="af7"/>
          <w:rFonts w:eastAsia="Guttman Hodes"/>
          <w:rtl/>
        </w:rPr>
      </w:r>
      <w:r w:rsidRPr="00093657">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093657">
        <w:rPr>
          <w:rStyle w:val="af7"/>
          <w:rFonts w:eastAsia="Guttman Hodes"/>
          <w:rtl/>
        </w:rPr>
        <w:fldChar w:fldCharType="end"/>
      </w:r>
      <w:r w:rsidRPr="00093657">
        <w:rPr>
          <w:rFonts w:hint="cs"/>
          <w:rtl/>
        </w:rPr>
        <w:t xml:space="preserve">, אלא היא ראיה משתיקת המערער. </w:t>
      </w:r>
      <w:r w:rsidRPr="00093657">
        <w:rPr>
          <w:rStyle w:val="afb"/>
          <w:rFonts w:hint="cs"/>
          <w:rtl/>
        </w:rPr>
        <w:t xml:space="preserve">[וכדעת </w:t>
      </w:r>
      <w:r w:rsidRPr="00093657">
        <w:rPr>
          <w:rStyle w:val="affa"/>
          <w:rFonts w:hint="cs"/>
          <w:rtl/>
        </w:rPr>
        <w:t>ה</w:t>
      </w:r>
      <w:r w:rsidRPr="004055E5">
        <w:rPr>
          <w:rStyle w:val="affa"/>
          <w:rFonts w:hint="cs"/>
          <w:rtl/>
        </w:rPr>
        <w:t>רמב"ן לקמן</w:t>
      </w:r>
      <w:r>
        <w:rPr>
          <w:rFonts w:hint="cs"/>
          <w:rtl/>
        </w:rPr>
        <w:t xml:space="preserve"> </w:t>
      </w:r>
      <w:r w:rsidRPr="004055E5">
        <w:rPr>
          <w:rStyle w:val="aff6"/>
          <w:rFonts w:hint="cs"/>
          <w:rtl/>
        </w:rPr>
        <w:t>(מב. ד"ה הא, הובא בסימן ה' אות ז')</w:t>
      </w:r>
      <w:r>
        <w:rPr>
          <w:rStyle w:val="afb"/>
          <w:rFonts w:hint="cs"/>
          <w:rtl/>
        </w:rPr>
        <w:t>, אמנם יעוי'</w:t>
      </w:r>
      <w:r w:rsidRPr="00093657">
        <w:rPr>
          <w:rStyle w:val="afb"/>
          <w:rFonts w:hint="cs"/>
          <w:rtl/>
        </w:rPr>
        <w:t xml:space="preserve"> במה שהוכיח </w:t>
      </w:r>
      <w:r w:rsidRPr="00093657">
        <w:rPr>
          <w:rStyle w:val="affa"/>
          <w:rFonts w:hint="cs"/>
          <w:rtl/>
        </w:rPr>
        <w:t>הקצוה"ח</w:t>
      </w:r>
      <w:r w:rsidRPr="00093657">
        <w:rPr>
          <w:rStyle w:val="afb"/>
          <w:rFonts w:hint="cs"/>
          <w:rtl/>
        </w:rPr>
        <w:t xml:space="preserve"> </w:t>
      </w:r>
      <w:r w:rsidRPr="00093657">
        <w:rPr>
          <w:rStyle w:val="aff6"/>
          <w:rFonts w:hint="cs"/>
          <w:rtl/>
        </w:rPr>
        <w:t xml:space="preserve">(עי' אות </w:t>
      </w:r>
      <w:r w:rsidRPr="00093657">
        <w:rPr>
          <w:rStyle w:val="aff6"/>
          <w:rtl/>
        </w:rPr>
        <w:fldChar w:fldCharType="begin"/>
      </w:r>
      <w:r w:rsidRPr="00093657">
        <w:rPr>
          <w:rStyle w:val="aff6"/>
          <w:rtl/>
        </w:rPr>
        <w:instrText xml:space="preserve"> </w:instrText>
      </w:r>
      <w:r w:rsidRPr="00093657">
        <w:rPr>
          <w:rStyle w:val="aff6"/>
          <w:rFonts w:hint="cs"/>
        </w:rPr>
        <w:instrText>REF</w:instrText>
      </w:r>
      <w:r w:rsidRPr="00093657">
        <w:rPr>
          <w:rStyle w:val="aff6"/>
          <w:rFonts w:hint="cs"/>
          <w:rtl/>
        </w:rPr>
        <w:instrText xml:space="preserve"> _</w:instrText>
      </w:r>
      <w:r w:rsidRPr="00093657">
        <w:rPr>
          <w:rStyle w:val="aff6"/>
          <w:rFonts w:hint="cs"/>
        </w:rPr>
        <w:instrText>Ref56590074 \r \h</w:instrText>
      </w:r>
      <w:r w:rsidRPr="00093657">
        <w:rPr>
          <w:rStyle w:val="aff6"/>
          <w:rtl/>
        </w:rPr>
        <w:instrText xml:space="preserve"> </w:instrText>
      </w:r>
      <w:r w:rsidRPr="00093657">
        <w:rPr>
          <w:rStyle w:val="aff6"/>
          <w:rtl/>
        </w:rPr>
      </w:r>
      <w:r w:rsidRPr="00093657">
        <w:rPr>
          <w:rStyle w:val="aff6"/>
          <w:rtl/>
        </w:rPr>
        <w:fldChar w:fldCharType="separate"/>
      </w:r>
      <w:r w:rsidR="00265073">
        <w:rPr>
          <w:rStyle w:val="aff6"/>
          <w:cs/>
        </w:rPr>
        <w:t>‎</w:t>
      </w:r>
      <w:r w:rsidR="00265073">
        <w:rPr>
          <w:rStyle w:val="aff6"/>
          <w:rtl/>
        </w:rPr>
        <w:t>לד)</w:t>
      </w:r>
      <w:r w:rsidRPr="00093657">
        <w:rPr>
          <w:rStyle w:val="aff6"/>
          <w:rtl/>
        </w:rPr>
        <w:fldChar w:fldCharType="end"/>
      </w:r>
      <w:r w:rsidRPr="00093657">
        <w:rPr>
          <w:rStyle w:val="afb"/>
          <w:rFonts w:hint="cs"/>
          <w:rtl/>
        </w:rPr>
        <w:t xml:space="preserve"> מדברי</w:t>
      </w:r>
      <w:r w:rsidRPr="00CB445C">
        <w:rPr>
          <w:rStyle w:val="afb"/>
          <w:rFonts w:hint="cs"/>
          <w:rtl/>
        </w:rPr>
        <w:t xml:space="preserve"> </w:t>
      </w:r>
      <w:r w:rsidRPr="00093657">
        <w:rPr>
          <w:rStyle w:val="affa"/>
          <w:rFonts w:hint="cs"/>
          <w:rtl/>
        </w:rPr>
        <w:t>הנימוק"י</w:t>
      </w:r>
      <w:r w:rsidRPr="00CB445C">
        <w:rPr>
          <w:rStyle w:val="afb"/>
          <w:rFonts w:hint="cs"/>
          <w:rtl/>
        </w:rPr>
        <w:t xml:space="preserve"> </w:t>
      </w:r>
      <w:r w:rsidRPr="00093657">
        <w:rPr>
          <w:rStyle w:val="aff6"/>
          <w:rFonts w:hint="cs"/>
          <w:rtl/>
        </w:rPr>
        <w:t xml:space="preserve">(עי' אות </w:t>
      </w:r>
      <w:r w:rsidRPr="00093657">
        <w:rPr>
          <w:rStyle w:val="aff6"/>
          <w:rtl/>
        </w:rPr>
        <w:fldChar w:fldCharType="begin"/>
      </w:r>
      <w:r w:rsidRPr="00093657">
        <w:rPr>
          <w:rStyle w:val="aff6"/>
          <w:rtl/>
        </w:rPr>
        <w:instrText xml:space="preserve"> </w:instrText>
      </w:r>
      <w:r w:rsidRPr="00093657">
        <w:rPr>
          <w:rStyle w:val="aff6"/>
          <w:rFonts w:hint="cs"/>
        </w:rPr>
        <w:instrText>REF</w:instrText>
      </w:r>
      <w:r w:rsidRPr="00093657">
        <w:rPr>
          <w:rStyle w:val="aff6"/>
          <w:rFonts w:hint="cs"/>
          <w:rtl/>
        </w:rPr>
        <w:instrText xml:space="preserve"> _</w:instrText>
      </w:r>
      <w:r w:rsidRPr="00093657">
        <w:rPr>
          <w:rStyle w:val="aff6"/>
          <w:rFonts w:hint="cs"/>
        </w:rPr>
        <w:instrText>Ref56510344 \r \h</w:instrText>
      </w:r>
      <w:r w:rsidRPr="00093657">
        <w:rPr>
          <w:rStyle w:val="aff6"/>
          <w:rtl/>
        </w:rPr>
        <w:instrText xml:space="preserve"> </w:instrText>
      </w:r>
      <w:r w:rsidRPr="00093657">
        <w:rPr>
          <w:rStyle w:val="aff6"/>
          <w:rtl/>
        </w:rPr>
      </w:r>
      <w:r w:rsidRPr="00093657">
        <w:rPr>
          <w:rStyle w:val="aff6"/>
          <w:rtl/>
        </w:rPr>
        <w:fldChar w:fldCharType="separate"/>
      </w:r>
      <w:r w:rsidR="00265073">
        <w:rPr>
          <w:rStyle w:val="aff6"/>
          <w:cs/>
        </w:rPr>
        <w:t>‎</w:t>
      </w:r>
      <w:r w:rsidR="00265073">
        <w:rPr>
          <w:rStyle w:val="aff6"/>
          <w:rtl/>
        </w:rPr>
        <w:t>ח)</w:t>
      </w:r>
      <w:r w:rsidRPr="00093657">
        <w:rPr>
          <w:rStyle w:val="aff6"/>
          <w:rtl/>
        </w:rPr>
        <w:fldChar w:fldCharType="end"/>
      </w:r>
      <w:r w:rsidRPr="00CB445C">
        <w:rPr>
          <w:rStyle w:val="afb"/>
          <w:rFonts w:hint="cs"/>
          <w:rtl/>
        </w:rPr>
        <w:t xml:space="preserve"> דס"ל דהוא תקנת חכמים].</w:t>
      </w:r>
      <w:bookmarkEnd w:id="5936"/>
    </w:p>
    <w:p w:rsidR="00E874E8" w:rsidRDefault="00E874E8" w:rsidP="00E874E8">
      <w:pPr>
        <w:pStyle w:val="a3"/>
        <w:rPr>
          <w:rtl/>
        </w:rPr>
      </w:pPr>
      <w:bookmarkStart w:id="5937" w:name="_Toc56626711"/>
      <w:bookmarkStart w:id="5938" w:name="_Toc56630179"/>
      <w:bookmarkStart w:id="5939" w:name="_Toc56637039"/>
      <w:bookmarkStart w:id="5940" w:name="_Toc56638173"/>
      <w:bookmarkStart w:id="5941" w:name="_Toc56641017"/>
      <w:r w:rsidRPr="007949E7">
        <w:rPr>
          <w:rtl/>
        </w:rPr>
        <w:t xml:space="preserve">קושית הקוב"ש </w:t>
      </w:r>
      <w:r>
        <w:rPr>
          <w:rFonts w:hint="cs"/>
          <w:rtl/>
        </w:rPr>
        <w:t>דלנימוק"י</w:t>
      </w:r>
      <w:r w:rsidRPr="007949E7">
        <w:rPr>
          <w:rtl/>
        </w:rPr>
        <w:t xml:space="preserve"> על המחזיק להוכיח שלא הייתה מחאה דזו </w:t>
      </w:r>
      <w:r>
        <w:rPr>
          <w:rFonts w:hint="cs"/>
          <w:rtl/>
        </w:rPr>
        <w:t xml:space="preserve">הראיה של </w:t>
      </w:r>
      <w:r w:rsidRPr="007949E7">
        <w:rPr>
          <w:rtl/>
        </w:rPr>
        <w:t>החזקה</w:t>
      </w:r>
      <w:bookmarkEnd w:id="5937"/>
      <w:bookmarkEnd w:id="5938"/>
      <w:bookmarkEnd w:id="5939"/>
      <w:bookmarkEnd w:id="5940"/>
      <w:bookmarkEnd w:id="5941"/>
    </w:p>
    <w:p w:rsidR="00E874E8" w:rsidRPr="00A71F85" w:rsidRDefault="00E874E8" w:rsidP="007E4E81">
      <w:pPr>
        <w:pStyle w:val="a0"/>
        <w:rPr>
          <w:rStyle w:val="afb"/>
        </w:rPr>
      </w:pPr>
      <w:r w:rsidRPr="007949E7">
        <w:rPr>
          <w:rFonts w:hint="cs"/>
          <w:rtl/>
        </w:rPr>
        <w:t xml:space="preserve">אך הקשה </w:t>
      </w:r>
      <w:r w:rsidRPr="007949E7">
        <w:rPr>
          <w:rStyle w:val="af9"/>
          <w:rFonts w:hint="cs"/>
          <w:rtl/>
        </w:rPr>
        <w:t>הקוב"ש</w:t>
      </w:r>
      <w:r w:rsidRPr="007949E7">
        <w:rPr>
          <w:rFonts w:hint="cs"/>
          <w:rtl/>
        </w:rPr>
        <w:t xml:space="preserve"> דא"כ אמאי צריך המערער להביא עדים שמחה, הא כיון דאם מחה המערער, לא מהני חזקת המחזיק כלל, א"כ על המחזיק להוכיח דחזקתו חזקה ושלא מחה בו המערער</w:t>
      </w:r>
      <w:r w:rsidRPr="00A71F85">
        <w:rPr>
          <w:rStyle w:val="afb"/>
          <w:rFonts w:hint="cs"/>
          <w:rtl/>
        </w:rPr>
        <w:t xml:space="preserve">. [וכן הקשו </w:t>
      </w:r>
      <w:r w:rsidRPr="00A71F85">
        <w:rPr>
          <w:rStyle w:val="affa"/>
          <w:rFonts w:hint="cs"/>
          <w:rtl/>
        </w:rPr>
        <w:t>בשיעורי רבי שמואל</w:t>
      </w:r>
      <w:r w:rsidRPr="00A71F85">
        <w:rPr>
          <w:rStyle w:val="afb"/>
          <w:rFonts w:hint="cs"/>
          <w:rtl/>
        </w:rPr>
        <w:t xml:space="preserve"> </w:t>
      </w:r>
      <w:r w:rsidRPr="00A71F85">
        <w:rPr>
          <w:rStyle w:val="aff6"/>
          <w:rFonts w:hint="cs"/>
          <w:rtl/>
        </w:rPr>
        <w:t xml:space="preserve">(כח. או' ב' ד"ה והנה לדעת) </w:t>
      </w:r>
      <w:r>
        <w:rPr>
          <w:rStyle w:val="affa"/>
          <w:rFonts w:hint="cs"/>
          <w:rtl/>
        </w:rPr>
        <w:t>ו</w:t>
      </w:r>
      <w:r w:rsidRPr="00A71F85">
        <w:rPr>
          <w:rStyle w:val="affa"/>
          <w:rFonts w:hint="cs"/>
          <w:rtl/>
        </w:rPr>
        <w:t>בחי' רבי נחום</w:t>
      </w:r>
      <w:r w:rsidRPr="00A71F85">
        <w:rPr>
          <w:rStyle w:val="afb"/>
          <w:rFonts w:hint="cs"/>
          <w:rtl/>
        </w:rPr>
        <w:t xml:space="preserve"> </w:t>
      </w:r>
      <w:r w:rsidRPr="00A71F85">
        <w:rPr>
          <w:rStyle w:val="aff6"/>
          <w:rFonts w:hint="cs"/>
          <w:rtl/>
        </w:rPr>
        <w:t xml:space="preserve">(או' כ"ו ד"ה והנה, הובאו בסימן ה' אות ק') </w:t>
      </w:r>
      <w:r w:rsidRPr="00A71F85">
        <w:rPr>
          <w:rStyle w:val="afb"/>
          <w:rFonts w:hint="cs"/>
          <w:rtl/>
        </w:rPr>
        <w:t xml:space="preserve">לדעת </w:t>
      </w:r>
      <w:r w:rsidRPr="00A71F85">
        <w:rPr>
          <w:rStyle w:val="affa"/>
          <w:rFonts w:hint="cs"/>
          <w:rtl/>
        </w:rPr>
        <w:t>הרמב"ן לקמן</w:t>
      </w:r>
      <w:r w:rsidRPr="00A71F85">
        <w:rPr>
          <w:rStyle w:val="afb"/>
          <w:rFonts w:hint="cs"/>
          <w:rtl/>
        </w:rPr>
        <w:t>, עיי"ש במה שתירצו].</w:t>
      </w:r>
    </w:p>
    <w:p w:rsidR="00E874E8" w:rsidRDefault="00E874E8" w:rsidP="00E874E8">
      <w:pPr>
        <w:pStyle w:val="1"/>
        <w:rPr>
          <w:rtl/>
        </w:rPr>
      </w:pPr>
      <w:bookmarkStart w:id="5942" w:name="_Toc56637040"/>
      <w:bookmarkStart w:id="5943" w:name="_Toc56638174"/>
      <w:bookmarkStart w:id="5944" w:name="_Toc56641018"/>
      <w:bookmarkStart w:id="5945" w:name="_Toc56626712"/>
      <w:bookmarkStart w:id="5946" w:name="_Toc56630180"/>
      <w:r>
        <w:rPr>
          <w:rFonts w:hint="cs"/>
          <w:rtl/>
        </w:rPr>
        <w:t>ביאור הקוב"ש בנימוק"י דבודאי חזקה וספק מחאה הוי חזקה</w:t>
      </w:r>
      <w:bookmarkEnd w:id="5942"/>
      <w:bookmarkEnd w:id="5943"/>
      <w:bookmarkEnd w:id="5944"/>
    </w:p>
    <w:p w:rsidR="00E874E8" w:rsidRDefault="00E874E8" w:rsidP="00E874E8">
      <w:pPr>
        <w:pStyle w:val="a3"/>
        <w:rPr>
          <w:rtl/>
        </w:rPr>
      </w:pPr>
      <w:bookmarkStart w:id="5947" w:name="_Toc56637041"/>
      <w:bookmarkStart w:id="5948" w:name="_Toc56638175"/>
      <w:bookmarkStart w:id="5949" w:name="_Toc56641019"/>
      <w:r>
        <w:rPr>
          <w:rFonts w:hint="cs"/>
          <w:rtl/>
        </w:rPr>
        <w:t>ביאור הקוב"ש בנימוק"י דהראיה מהחזקה היא רק בהיה יכול למחות ועל המחזיק להוכיח כן</w:t>
      </w:r>
      <w:bookmarkEnd w:id="5945"/>
      <w:bookmarkEnd w:id="5946"/>
      <w:bookmarkEnd w:id="5947"/>
      <w:bookmarkEnd w:id="5948"/>
      <w:bookmarkEnd w:id="5949"/>
    </w:p>
    <w:p w:rsidR="00E874E8" w:rsidRDefault="00E874E8" w:rsidP="007E4E81">
      <w:pPr>
        <w:pStyle w:val="a0"/>
        <w:rPr>
          <w:rtl/>
        </w:rPr>
      </w:pPr>
      <w:bookmarkStart w:id="5950" w:name="_Ref56614352"/>
      <w:r>
        <w:rPr>
          <w:rFonts w:hint="cs"/>
          <w:rtl/>
        </w:rPr>
        <w:t xml:space="preserve">ותירץ </w:t>
      </w:r>
      <w:r w:rsidRPr="00AD15F0">
        <w:rPr>
          <w:rStyle w:val="af9"/>
          <w:rFonts w:hint="cs"/>
          <w:rtl/>
        </w:rPr>
        <w:t>הקוב"ש</w:t>
      </w:r>
      <w:r>
        <w:rPr>
          <w:rFonts w:hint="cs"/>
          <w:rtl/>
        </w:rPr>
        <w:t xml:space="preserve"> דכיון שיש ודאי חזקה, ויש ספק אי הייתה מחאה שביטלה את החזקה, לכן אמרינן דאין ספק מוציא מידי ודאי, והביא </w:t>
      </w:r>
      <w:r w:rsidRPr="00AD15F0">
        <w:rPr>
          <w:rStyle w:val="af9"/>
          <w:rFonts w:hint="cs"/>
          <w:rtl/>
        </w:rPr>
        <w:t>הקוב"ש</w:t>
      </w:r>
      <w:r>
        <w:rPr>
          <w:rFonts w:hint="cs"/>
          <w:rtl/>
        </w:rPr>
        <w:t xml:space="preserve"> את דברי </w:t>
      </w:r>
      <w:r w:rsidRPr="00AD15F0">
        <w:rPr>
          <w:rStyle w:val="af9"/>
          <w:rFonts w:hint="cs"/>
          <w:rtl/>
        </w:rPr>
        <w:t>הנימוק"י</w:t>
      </w:r>
      <w:r>
        <w:rPr>
          <w:rStyle w:val="af9"/>
          <w:rFonts w:hint="cs"/>
          <w:rtl/>
        </w:rPr>
        <w:t xml:space="preserve"> לקמן</w:t>
      </w:r>
      <w:r>
        <w:rPr>
          <w:rFonts w:hint="cs"/>
          <w:rtl/>
        </w:rPr>
        <w:t xml:space="preserve"> </w:t>
      </w:r>
      <w:r w:rsidRPr="00702963">
        <w:rPr>
          <w:rStyle w:val="af7"/>
          <w:rFonts w:eastAsia="Guttman Hodes" w:hint="cs"/>
          <w:rtl/>
        </w:rPr>
        <w:t>(טו. מדה"ר ד"ה א"ל רב נחמן)</w:t>
      </w:r>
      <w:r>
        <w:rPr>
          <w:rFonts w:hint="cs"/>
          <w:rtl/>
        </w:rPr>
        <w:t xml:space="preserve"> דכתב דבמקום שיש ספק אם היה המערער במקום שהיה יכול למחות, דהוא תלוי בפלוגתת ר"נ ורבא בשיכוני גוואי, וקיי"ל כר"נ דאמרינן למחזיק זיל ברור אכילתך, וביאר </w:t>
      </w:r>
      <w:r w:rsidRPr="00AD15F0">
        <w:rPr>
          <w:rStyle w:val="af9"/>
          <w:rFonts w:hint="cs"/>
          <w:rtl/>
        </w:rPr>
        <w:t>הקוב"ש</w:t>
      </w:r>
      <w:r>
        <w:rPr>
          <w:rFonts w:hint="cs"/>
          <w:rtl/>
        </w:rPr>
        <w:t xml:space="preserve"> את דברי </w:t>
      </w:r>
      <w:r w:rsidRPr="00AD15F0">
        <w:rPr>
          <w:rStyle w:val="af9"/>
          <w:rFonts w:hint="cs"/>
          <w:rtl/>
        </w:rPr>
        <w:t>הנימוק"י</w:t>
      </w:r>
      <w:r>
        <w:rPr>
          <w:rFonts w:hint="cs"/>
          <w:rtl/>
        </w:rPr>
        <w:t xml:space="preserve"> דכיון דהראיה מהחזקה, היא במה שהחזיק ג"ש בצירוף שתיקת המערער, א"כ כל שלא היה המערער יכול למחות, אין כל ראיה מהחזקה, ולכן צריך המחזיק להוכיח שחזקתו חזקה.</w:t>
      </w:r>
      <w:bookmarkEnd w:id="5950"/>
    </w:p>
    <w:p w:rsidR="00E874E8" w:rsidRDefault="00E874E8" w:rsidP="00E874E8">
      <w:pPr>
        <w:pStyle w:val="a3"/>
        <w:rPr>
          <w:rtl/>
        </w:rPr>
      </w:pPr>
      <w:bookmarkStart w:id="5951" w:name="_Toc56626713"/>
      <w:bookmarkStart w:id="5952" w:name="_Toc56630181"/>
      <w:bookmarkStart w:id="5953" w:name="_Toc56637042"/>
      <w:bookmarkStart w:id="5954" w:name="_Toc56638176"/>
      <w:bookmarkStart w:id="5955" w:name="_Toc56641020"/>
      <w:r>
        <w:rPr>
          <w:rFonts w:hint="cs"/>
          <w:rtl/>
        </w:rPr>
        <w:t>קושית הקוב"ש דא"כ כשטוען המערער שמחה ואין לו עדים יצטרך המחזיק להוכיח שלא מחה</w:t>
      </w:r>
      <w:bookmarkEnd w:id="5951"/>
      <w:bookmarkEnd w:id="5952"/>
      <w:bookmarkEnd w:id="5953"/>
      <w:bookmarkEnd w:id="5954"/>
      <w:bookmarkEnd w:id="5955"/>
    </w:p>
    <w:p w:rsidR="00E874E8" w:rsidRDefault="00E874E8" w:rsidP="007E4E81">
      <w:pPr>
        <w:pStyle w:val="a0"/>
        <w:rPr>
          <w:rtl/>
        </w:rPr>
      </w:pPr>
      <w:r>
        <w:rPr>
          <w:rFonts w:hint="cs"/>
          <w:rtl/>
        </w:rPr>
        <w:t xml:space="preserve">אך הקשה </w:t>
      </w:r>
      <w:r w:rsidRPr="00AD15F0">
        <w:rPr>
          <w:rStyle w:val="af9"/>
          <w:rFonts w:hint="cs"/>
          <w:rtl/>
        </w:rPr>
        <w:t>הקוב"ש</w:t>
      </w:r>
      <w:r>
        <w:rPr>
          <w:rFonts w:hint="cs"/>
          <w:rtl/>
        </w:rPr>
        <w:t xml:space="preserve"> דא"כ מה החילוק בין אם טוען המערער שהיה במקום שלא היה יכול למחות, דעל המחזיק להוכיח שהחזיק כדין, לבין אם טוען המערער שמחה ואין לו עדים על מחאתו, דעל המערער להוכיח שמחה, וכתב </w:t>
      </w:r>
      <w:r w:rsidRPr="00AD15F0">
        <w:rPr>
          <w:rStyle w:val="af9"/>
          <w:rFonts w:hint="cs"/>
          <w:rtl/>
        </w:rPr>
        <w:t>הקוב"ש</w:t>
      </w:r>
      <w:r>
        <w:rPr>
          <w:rFonts w:hint="cs"/>
          <w:rtl/>
        </w:rPr>
        <w:t xml:space="preserve"> דאפש"ל דלכן ס"ל לרבא בשיכוני גוואי דאף במקום שיש ספק אם היה המערער במקום שהיה יכול למחות, צריך המערער להוכיח שלא יכל למחות.</w:t>
      </w:r>
    </w:p>
    <w:p w:rsidR="00E874E8" w:rsidRDefault="00E874E8" w:rsidP="00E874E8">
      <w:pPr>
        <w:pStyle w:val="a3"/>
        <w:rPr>
          <w:rtl/>
        </w:rPr>
      </w:pPr>
      <w:bookmarkStart w:id="5956" w:name="_Toc56626714"/>
      <w:bookmarkStart w:id="5957" w:name="_Toc56630182"/>
      <w:bookmarkStart w:id="5958" w:name="_Toc56637043"/>
      <w:bookmarkStart w:id="5959" w:name="_Toc56638177"/>
      <w:bookmarkStart w:id="5960" w:name="_Toc56641021"/>
      <w:r>
        <w:rPr>
          <w:rFonts w:hint="cs"/>
          <w:rtl/>
        </w:rPr>
        <w:t>ביאור הקוב"ש דבספק אם לא היה יכול למחות הוא ספק בעיקר חזקה ואינו ספק אי התבטלה</w:t>
      </w:r>
      <w:bookmarkEnd w:id="5956"/>
      <w:bookmarkEnd w:id="5957"/>
      <w:bookmarkEnd w:id="5958"/>
      <w:bookmarkEnd w:id="5959"/>
      <w:bookmarkEnd w:id="5960"/>
      <w:r>
        <w:rPr>
          <w:rFonts w:hint="cs"/>
          <w:rtl/>
        </w:rPr>
        <w:t xml:space="preserve"> </w:t>
      </w:r>
    </w:p>
    <w:p w:rsidR="00E874E8" w:rsidRDefault="00E874E8" w:rsidP="007E4E81">
      <w:pPr>
        <w:pStyle w:val="a0"/>
        <w:rPr>
          <w:rtl/>
        </w:rPr>
      </w:pPr>
      <w:r>
        <w:rPr>
          <w:rFonts w:hint="cs"/>
          <w:rtl/>
        </w:rPr>
        <w:t xml:space="preserve">ובדעת ר"נ דקיי"ל כוותיה דעל המחזיק להביא ראיה שהמערער היה יכול למחות, ביאר </w:t>
      </w:r>
      <w:r w:rsidRPr="00AD15F0">
        <w:rPr>
          <w:rStyle w:val="af9"/>
          <w:rFonts w:hint="cs"/>
          <w:rtl/>
        </w:rPr>
        <w:t>הקוב"ש</w:t>
      </w:r>
      <w:r>
        <w:rPr>
          <w:rFonts w:hint="cs"/>
          <w:rtl/>
        </w:rPr>
        <w:t xml:space="preserve"> דאם המערער היה במקום שאינו יכול למחות, לא חשיב שיש ודאי חזקה, ויש ספק אי הייתה מחאה שביטלה את החזקה, </w:t>
      </w:r>
      <w:r w:rsidRPr="005929F2">
        <w:rPr>
          <w:rStyle w:val="afb"/>
          <w:rFonts w:hint="cs"/>
          <w:rtl/>
        </w:rPr>
        <w:t xml:space="preserve">[כדביאר </w:t>
      </w:r>
      <w:r w:rsidRPr="00960D32">
        <w:rPr>
          <w:rStyle w:val="affa"/>
          <w:rFonts w:hint="cs"/>
          <w:rtl/>
        </w:rPr>
        <w:t>הקוב"ש</w:t>
      </w:r>
      <w:r w:rsidRPr="005929F2">
        <w:rPr>
          <w:rStyle w:val="afb"/>
          <w:rFonts w:hint="cs"/>
          <w:rtl/>
        </w:rPr>
        <w:t xml:space="preserve"> </w:t>
      </w:r>
      <w:r w:rsidRPr="00960D32">
        <w:rPr>
          <w:rStyle w:val="aff6"/>
          <w:rFonts w:hint="cs"/>
          <w:rtl/>
        </w:rPr>
        <w:t xml:space="preserve">(עי' אות </w:t>
      </w:r>
      <w:r w:rsidRPr="00960D32">
        <w:rPr>
          <w:rStyle w:val="aff6"/>
          <w:rtl/>
        </w:rPr>
        <w:fldChar w:fldCharType="begin"/>
      </w:r>
      <w:r w:rsidRPr="00960D32">
        <w:rPr>
          <w:rStyle w:val="aff6"/>
          <w:rtl/>
        </w:rPr>
        <w:instrText xml:space="preserve"> </w:instrText>
      </w:r>
      <w:r w:rsidRPr="00960D32">
        <w:rPr>
          <w:rStyle w:val="aff6"/>
          <w:rFonts w:hint="cs"/>
        </w:rPr>
        <w:instrText>REF</w:instrText>
      </w:r>
      <w:r w:rsidRPr="00960D32">
        <w:rPr>
          <w:rStyle w:val="aff6"/>
          <w:rFonts w:hint="cs"/>
          <w:rtl/>
        </w:rPr>
        <w:instrText xml:space="preserve"> _</w:instrText>
      </w:r>
      <w:r w:rsidRPr="00960D32">
        <w:rPr>
          <w:rStyle w:val="aff6"/>
          <w:rFonts w:hint="cs"/>
        </w:rPr>
        <w:instrText>Ref56614352 \r \h</w:instrText>
      </w:r>
      <w:r w:rsidRPr="00960D32">
        <w:rPr>
          <w:rStyle w:val="aff6"/>
          <w:rtl/>
        </w:rPr>
        <w:instrText xml:space="preserve"> </w:instrText>
      </w:r>
      <w:r w:rsidRPr="00960D32">
        <w:rPr>
          <w:rStyle w:val="aff6"/>
          <w:rtl/>
        </w:rPr>
      </w:r>
      <w:r w:rsidRPr="00960D32">
        <w:rPr>
          <w:rStyle w:val="aff6"/>
          <w:rtl/>
        </w:rPr>
        <w:fldChar w:fldCharType="separate"/>
      </w:r>
      <w:r w:rsidR="00265073">
        <w:rPr>
          <w:rStyle w:val="aff6"/>
          <w:cs/>
        </w:rPr>
        <w:t>‎</w:t>
      </w:r>
      <w:r w:rsidR="00265073">
        <w:rPr>
          <w:rStyle w:val="aff6"/>
          <w:rtl/>
        </w:rPr>
        <w:t>פה)</w:t>
      </w:r>
      <w:r w:rsidRPr="00960D32">
        <w:rPr>
          <w:rStyle w:val="aff6"/>
          <w:rtl/>
        </w:rPr>
        <w:fldChar w:fldCharType="end"/>
      </w:r>
      <w:r w:rsidRPr="005929F2">
        <w:rPr>
          <w:rStyle w:val="afb"/>
          <w:rFonts w:hint="cs"/>
          <w:rtl/>
        </w:rPr>
        <w:t>],</w:t>
      </w:r>
      <w:r>
        <w:rPr>
          <w:rFonts w:hint="cs"/>
          <w:rtl/>
        </w:rPr>
        <w:t xml:space="preserve"> אלא דאם המערער לא היה יכול למחות, אי"ז חזקה כלל, וא"כ הספק הוא אינו בביטול החזקה, אלא הוא בעיקר החזקה, אם החזיק כדין, ולכן ס"ל לר"נ דעל המחזיק להוכיח שהחזיק כדין.</w:t>
      </w:r>
    </w:p>
    <w:p w:rsidR="00E874E8" w:rsidRDefault="00E874E8" w:rsidP="00E874E8">
      <w:pPr>
        <w:pStyle w:val="1"/>
        <w:rPr>
          <w:rtl/>
        </w:rPr>
      </w:pPr>
      <w:bookmarkStart w:id="5961" w:name="_Toc56458246"/>
      <w:bookmarkStart w:id="5962" w:name="_Toc56544406"/>
      <w:bookmarkStart w:id="5963" w:name="_Toc56609863"/>
      <w:bookmarkStart w:id="5964" w:name="_Toc56626715"/>
      <w:bookmarkStart w:id="5965" w:name="_Toc56630183"/>
      <w:bookmarkStart w:id="5966" w:name="_Toc56637044"/>
      <w:bookmarkStart w:id="5967" w:name="_Toc56638178"/>
      <w:bookmarkStart w:id="5968" w:name="_Toc56641022"/>
      <w:r>
        <w:rPr>
          <w:rFonts w:hint="cs"/>
          <w:rtl/>
        </w:rPr>
        <w:t>ביאור רבי ראובן בנימוק"י</w:t>
      </w:r>
      <w:bookmarkEnd w:id="5961"/>
      <w:bookmarkEnd w:id="5962"/>
      <w:bookmarkEnd w:id="5963"/>
      <w:bookmarkEnd w:id="5964"/>
      <w:bookmarkEnd w:id="5965"/>
      <w:r>
        <w:rPr>
          <w:rFonts w:hint="cs"/>
          <w:rtl/>
        </w:rPr>
        <w:t xml:space="preserve"> דהתקנ"ח כיון שנראה כמערים</w:t>
      </w:r>
      <w:bookmarkEnd w:id="5966"/>
      <w:bookmarkEnd w:id="5967"/>
      <w:bookmarkEnd w:id="5968"/>
    </w:p>
    <w:p w:rsidR="00E874E8" w:rsidRPr="001822BF" w:rsidRDefault="00E874E8" w:rsidP="00E874E8">
      <w:pPr>
        <w:pStyle w:val="a3"/>
        <w:rPr>
          <w:rtl/>
        </w:rPr>
      </w:pPr>
      <w:bookmarkStart w:id="5969" w:name="_Toc56626716"/>
      <w:bookmarkStart w:id="5970" w:name="_Toc56630184"/>
      <w:bookmarkStart w:id="5971" w:name="_Toc56637045"/>
      <w:bookmarkStart w:id="5972" w:name="_Toc56638179"/>
      <w:bookmarkStart w:id="5973" w:name="_Toc56641023"/>
      <w:r>
        <w:rPr>
          <w:rFonts w:hint="cs"/>
          <w:rtl/>
        </w:rPr>
        <w:t>דברי רבי ראובן דאפש"ל דהנימוק"י דהתקנ"ח היא מחמת שהמערער נראה כמערים וכרשב"א</w:t>
      </w:r>
      <w:bookmarkEnd w:id="5969"/>
      <w:bookmarkEnd w:id="5970"/>
      <w:bookmarkEnd w:id="5971"/>
      <w:bookmarkEnd w:id="5972"/>
      <w:bookmarkEnd w:id="5973"/>
      <w:r>
        <w:rPr>
          <w:rFonts w:hint="cs"/>
          <w:rtl/>
        </w:rPr>
        <w:t xml:space="preserve"> </w:t>
      </w:r>
    </w:p>
    <w:p w:rsidR="00E874E8" w:rsidRDefault="00E874E8" w:rsidP="007E4E81">
      <w:pPr>
        <w:pStyle w:val="a0"/>
        <w:rPr>
          <w:rtl/>
        </w:rPr>
      </w:pPr>
      <w:bookmarkStart w:id="5974" w:name="_Ref56510431"/>
      <w:r>
        <w:rPr>
          <w:rFonts w:hint="cs"/>
          <w:rtl/>
        </w:rPr>
        <w:t>במ</w:t>
      </w:r>
      <w:r>
        <w:rPr>
          <w:rFonts w:cstheme="minorBidi" w:hint="cs"/>
          <w:rtl/>
        </w:rPr>
        <w:t>"</w:t>
      </w:r>
      <w:r>
        <w:rPr>
          <w:rFonts w:hint="cs"/>
          <w:rtl/>
        </w:rPr>
        <w:t>ש</w:t>
      </w:r>
      <w:r w:rsidRPr="00F060C8">
        <w:rPr>
          <w:rFonts w:hint="cs"/>
          <w:rtl/>
        </w:rPr>
        <w:t xml:space="preserve"> </w:t>
      </w:r>
      <w:r w:rsidRPr="00F060C8">
        <w:rPr>
          <w:rStyle w:val="af9"/>
          <w:rFonts w:hint="cs"/>
          <w:rtl/>
        </w:rPr>
        <w:t>הקצוה"ח</w:t>
      </w:r>
      <w:r w:rsidRPr="00F060C8">
        <w:rPr>
          <w:rFonts w:hint="cs"/>
          <w:rtl/>
        </w:rPr>
        <w:t xml:space="preserve"> </w:t>
      </w:r>
      <w:r w:rsidRPr="00DB041A">
        <w:rPr>
          <w:rStyle w:val="af7"/>
          <w:rFonts w:eastAsia="Guttman Hodes" w:hint="cs"/>
          <w:rtl/>
        </w:rPr>
        <w:t xml:space="preserve">(עי' </w:t>
      </w:r>
      <w:r w:rsidRPr="00E0204D">
        <w:rPr>
          <w:rStyle w:val="af7"/>
          <w:rFonts w:eastAsia="Guttman Hodes" w:hint="cs"/>
          <w:rtl/>
        </w:rPr>
        <w:t xml:space="preserve">אות </w:t>
      </w:r>
      <w:r w:rsidRPr="00E0204D">
        <w:rPr>
          <w:rStyle w:val="af7"/>
          <w:rFonts w:eastAsia="Guttman Hodes"/>
          <w:rtl/>
        </w:rPr>
        <w:fldChar w:fldCharType="begin"/>
      </w:r>
      <w:r w:rsidRPr="00E0204D">
        <w:rPr>
          <w:rStyle w:val="af7"/>
          <w:rFonts w:eastAsia="Guttman Hodes"/>
          <w:rtl/>
        </w:rPr>
        <w:instrText xml:space="preserve"> </w:instrText>
      </w:r>
      <w:r w:rsidRPr="00E0204D">
        <w:rPr>
          <w:rStyle w:val="af7"/>
          <w:rFonts w:eastAsia="Guttman Hodes" w:hint="cs"/>
        </w:rPr>
        <w:instrText>REF</w:instrText>
      </w:r>
      <w:r w:rsidRPr="00E0204D">
        <w:rPr>
          <w:rStyle w:val="af7"/>
          <w:rFonts w:eastAsia="Guttman Hodes" w:hint="cs"/>
          <w:rtl/>
        </w:rPr>
        <w:instrText xml:space="preserve"> _</w:instrText>
      </w:r>
      <w:r w:rsidRPr="00E0204D">
        <w:rPr>
          <w:rStyle w:val="af7"/>
          <w:rFonts w:eastAsia="Guttman Hodes" w:hint="cs"/>
        </w:rPr>
        <w:instrText>Ref56590074 \r \h</w:instrText>
      </w:r>
      <w:r w:rsidRPr="00E0204D">
        <w:rPr>
          <w:rStyle w:val="af7"/>
          <w:rFonts w:eastAsia="Guttman Hodes"/>
          <w:rtl/>
        </w:rPr>
        <w:instrText xml:space="preserve"> </w:instrText>
      </w:r>
      <w:r w:rsidRPr="00E0204D">
        <w:rPr>
          <w:rStyle w:val="af7"/>
          <w:rFonts w:eastAsia="Guttman Hodes"/>
          <w:rtl/>
        </w:rPr>
      </w:r>
      <w:r w:rsidRPr="00E0204D">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E0204D">
        <w:rPr>
          <w:rStyle w:val="af7"/>
          <w:rFonts w:eastAsia="Guttman Hodes"/>
          <w:rtl/>
        </w:rPr>
        <w:fldChar w:fldCharType="end"/>
      </w:r>
      <w:r>
        <w:rPr>
          <w:rFonts w:hint="cs"/>
          <w:rtl/>
        </w:rPr>
        <w:t xml:space="preserve"> דמוכח דדעת </w:t>
      </w:r>
      <w:r w:rsidRPr="00F060C8">
        <w:rPr>
          <w:rStyle w:val="af9"/>
          <w:rFonts w:hint="cs"/>
          <w:rtl/>
        </w:rPr>
        <w:t>הנימוק"י</w:t>
      </w:r>
      <w:r w:rsidRPr="00F060C8">
        <w:rPr>
          <w:rFonts w:hint="cs"/>
          <w:rtl/>
        </w:rPr>
        <w:t xml:space="preserve"> </w:t>
      </w:r>
      <w:r w:rsidRPr="00710CE3">
        <w:rPr>
          <w:rStyle w:val="af7"/>
          <w:rFonts w:eastAsia="Guttman Hodes" w:hint="cs"/>
          <w:rtl/>
        </w:rPr>
        <w:t>(עי' או</w:t>
      </w:r>
      <w:r>
        <w:rPr>
          <w:rStyle w:val="af7"/>
          <w:rFonts w:eastAsia="Guttman Hodes" w:hint="cs"/>
          <w:rtl/>
        </w:rPr>
        <w:t xml:space="preserve">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Ref56510344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ח)</w:t>
      </w:r>
      <w:r>
        <w:rPr>
          <w:rStyle w:val="af7"/>
          <w:rFonts w:eastAsia="Guttman Hodes"/>
          <w:rtl/>
        </w:rPr>
        <w:fldChar w:fldCharType="end"/>
      </w:r>
      <w:r>
        <w:rPr>
          <w:rStyle w:val="af7"/>
          <w:rFonts w:eastAsia="Guttman Hodes" w:hint="cs"/>
          <w:rtl/>
        </w:rPr>
        <w:t xml:space="preserve"> </w:t>
      </w:r>
      <w:r w:rsidRPr="00F060C8">
        <w:rPr>
          <w:rFonts w:hint="cs"/>
          <w:rtl/>
        </w:rPr>
        <w:t>דטעמא דחזקה הוא מתקנת חכמים</w:t>
      </w:r>
      <w:r>
        <w:rPr>
          <w:rFonts w:hint="cs"/>
          <w:rtl/>
        </w:rPr>
        <w:t xml:space="preserve">, כתב </w:t>
      </w:r>
      <w:r>
        <w:rPr>
          <w:rStyle w:val="af9"/>
          <w:rtl/>
        </w:rPr>
        <w:t xml:space="preserve">בחי' רבי ראובן </w:t>
      </w:r>
      <w:r>
        <w:rPr>
          <w:rStyle w:val="af7"/>
          <w:rFonts w:eastAsia="Guttman Hodes" w:hint="cs"/>
          <w:rtl/>
        </w:rPr>
        <w:t>(סי' י"א ד"ה והנה הקצוה"ח)</w:t>
      </w:r>
      <w:r>
        <w:rPr>
          <w:rFonts w:hint="cs"/>
          <w:rtl/>
        </w:rPr>
        <w:t xml:space="preserve"> דאין הכרח לומר </w:t>
      </w:r>
      <w:r w:rsidRPr="00922D68">
        <w:rPr>
          <w:rStyle w:val="af9"/>
          <w:rFonts w:hint="cs"/>
          <w:rtl/>
        </w:rPr>
        <w:t>דלהנימוק"י</w:t>
      </w:r>
      <w:r>
        <w:rPr>
          <w:rFonts w:hint="cs"/>
          <w:rtl/>
        </w:rPr>
        <w:t xml:space="preserve"> התקנה היא לטובת המחזיק, כדביאר </w:t>
      </w:r>
      <w:r w:rsidRPr="00922D68">
        <w:rPr>
          <w:rStyle w:val="af9"/>
          <w:rFonts w:hint="cs"/>
          <w:rtl/>
        </w:rPr>
        <w:t>הקצוה"ח</w:t>
      </w:r>
      <w:r>
        <w:rPr>
          <w:rFonts w:hint="cs"/>
          <w:rtl/>
        </w:rPr>
        <w:t xml:space="preserve"> </w:t>
      </w:r>
      <w:r w:rsidRPr="009E4F8D">
        <w:rPr>
          <w:rStyle w:val="af7"/>
          <w:rFonts w:eastAsia="Guttman Hodes" w:hint="cs"/>
          <w:rtl/>
        </w:rPr>
        <w:t xml:space="preserve">(עי' אות </w:t>
      </w:r>
      <w:r w:rsidRPr="009E4F8D">
        <w:rPr>
          <w:rStyle w:val="af7"/>
          <w:rFonts w:eastAsia="Guttman Hodes"/>
          <w:rtl/>
        </w:rPr>
        <w:fldChar w:fldCharType="begin"/>
      </w:r>
      <w:r w:rsidRPr="009E4F8D">
        <w:rPr>
          <w:rStyle w:val="af7"/>
          <w:rFonts w:eastAsia="Guttman Hodes"/>
          <w:rtl/>
        </w:rPr>
        <w:instrText xml:space="preserve"> </w:instrText>
      </w:r>
      <w:r w:rsidRPr="009E4F8D">
        <w:rPr>
          <w:rStyle w:val="af7"/>
          <w:rFonts w:eastAsia="Guttman Hodes" w:hint="cs"/>
        </w:rPr>
        <w:instrText>REF</w:instrText>
      </w:r>
      <w:r w:rsidRPr="009E4F8D">
        <w:rPr>
          <w:rStyle w:val="af7"/>
          <w:rFonts w:eastAsia="Guttman Hodes" w:hint="cs"/>
          <w:rtl/>
        </w:rPr>
        <w:instrText xml:space="preserve"> _</w:instrText>
      </w:r>
      <w:r w:rsidRPr="009E4F8D">
        <w:rPr>
          <w:rStyle w:val="af7"/>
          <w:rFonts w:eastAsia="Guttman Hodes" w:hint="cs"/>
        </w:rPr>
        <w:instrText>Ref56591681 \r \h</w:instrText>
      </w:r>
      <w:r w:rsidRPr="009E4F8D">
        <w:rPr>
          <w:rStyle w:val="af7"/>
          <w:rFonts w:eastAsia="Guttman Hodes"/>
          <w:rtl/>
        </w:rPr>
        <w:instrText xml:space="preserve"> </w:instrText>
      </w:r>
      <w:r w:rsidRPr="009E4F8D">
        <w:rPr>
          <w:rStyle w:val="af7"/>
          <w:rFonts w:eastAsia="Guttman Hodes"/>
          <w:rtl/>
        </w:rPr>
      </w:r>
      <w:r w:rsidRPr="009E4F8D">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9E4F8D">
        <w:rPr>
          <w:rStyle w:val="af7"/>
          <w:rFonts w:eastAsia="Guttman Hodes"/>
          <w:rtl/>
        </w:rPr>
        <w:fldChar w:fldCharType="end"/>
      </w:r>
      <w:r>
        <w:rPr>
          <w:rFonts w:hint="cs"/>
          <w:rtl/>
        </w:rPr>
        <w:t xml:space="preserve">, אלא אפשר לבאר דעיקר התקנה היא כיון שהמערער נראה כמערים במה שלא מחה בתוך ג"ש, וכדביאר </w:t>
      </w:r>
      <w:r w:rsidRPr="00922D68">
        <w:rPr>
          <w:rStyle w:val="af9"/>
          <w:rFonts w:hint="cs"/>
          <w:rtl/>
        </w:rPr>
        <w:t>הרשב"א</w:t>
      </w:r>
      <w:r>
        <w:rPr>
          <w:rFonts w:hint="cs"/>
          <w:rtl/>
        </w:rPr>
        <w:t xml:space="preserve"> </w:t>
      </w:r>
      <w:r w:rsidRPr="009E4F8D">
        <w:rPr>
          <w:rStyle w:val="af7"/>
          <w:rFonts w:eastAsia="Guttman Hodes" w:hint="cs"/>
          <w:rtl/>
        </w:rPr>
        <w:t>(ד"ה אלא, הובא בסימן ה' אות מ"ד)</w:t>
      </w:r>
      <w:r>
        <w:rPr>
          <w:rFonts w:hint="cs"/>
          <w:rtl/>
        </w:rPr>
        <w:t xml:space="preserve"> אלא דכיון שאי"ז סברא מדאו', דע"י שיש ריעותא בטענתו יפסיד המערער, </w:t>
      </w:r>
      <w:r w:rsidRPr="00922D68">
        <w:rPr>
          <w:rStyle w:val="afb"/>
          <w:rFonts w:hint="cs"/>
          <w:rtl/>
        </w:rPr>
        <w:t xml:space="preserve">[וכדביאר </w:t>
      </w:r>
      <w:r w:rsidRPr="00922D68">
        <w:rPr>
          <w:rStyle w:val="affa"/>
          <w:rFonts w:hint="cs"/>
          <w:rtl/>
        </w:rPr>
        <w:t>בחי' רבי ראובן</w:t>
      </w:r>
      <w:r w:rsidRPr="00922D68">
        <w:rPr>
          <w:rStyle w:val="afb"/>
          <w:rFonts w:hint="cs"/>
          <w:rtl/>
        </w:rPr>
        <w:t xml:space="preserve"> </w:t>
      </w:r>
      <w:r w:rsidRPr="009E4F8D">
        <w:rPr>
          <w:rStyle w:val="aff6"/>
          <w:rtl/>
        </w:rPr>
        <w:t>(סי' י"א</w:t>
      </w:r>
      <w:r w:rsidRPr="009E4F8D">
        <w:rPr>
          <w:rStyle w:val="aff6"/>
          <w:rFonts w:hint="cs"/>
          <w:rtl/>
        </w:rPr>
        <w:t xml:space="preserve"> ד"ה </w:t>
      </w:r>
      <w:r>
        <w:rPr>
          <w:rStyle w:val="af7"/>
          <w:rFonts w:eastAsia="Guttman Hodes" w:hint="cs"/>
          <w:rtl/>
        </w:rPr>
        <w:t>ושי' הרשב"א</w:t>
      </w:r>
      <w:r w:rsidRPr="009E4F8D">
        <w:rPr>
          <w:rStyle w:val="aff6"/>
          <w:rFonts w:hint="cs"/>
          <w:rtl/>
        </w:rPr>
        <w:t xml:space="preserve"> הובא בסימן ה' אות </w:t>
      </w:r>
      <w:r>
        <w:rPr>
          <w:rStyle w:val="aff6"/>
          <w:rFonts w:hint="cs"/>
          <w:rtl/>
        </w:rPr>
        <w:t>פ"א</w:t>
      </w:r>
      <w:r w:rsidRPr="009E4F8D">
        <w:rPr>
          <w:rStyle w:val="aff6"/>
          <w:rFonts w:hint="cs"/>
          <w:rtl/>
        </w:rPr>
        <w:t>)</w:t>
      </w:r>
      <w:r w:rsidRPr="00922D68">
        <w:rPr>
          <w:rStyle w:val="afb"/>
          <w:rFonts w:hint="cs"/>
          <w:rtl/>
        </w:rPr>
        <w:t xml:space="preserve"> בדעת </w:t>
      </w:r>
      <w:r w:rsidRPr="00922D68">
        <w:rPr>
          <w:rStyle w:val="affa"/>
          <w:rFonts w:hint="cs"/>
          <w:rtl/>
        </w:rPr>
        <w:t>הרשב"א</w:t>
      </w:r>
      <w:r w:rsidRPr="00922D68">
        <w:rPr>
          <w:rStyle w:val="afb"/>
          <w:rFonts w:hint="cs"/>
          <w:rtl/>
        </w:rPr>
        <w:t>],</w:t>
      </w:r>
      <w:r>
        <w:rPr>
          <w:rFonts w:hint="cs"/>
          <w:rtl/>
        </w:rPr>
        <w:t xml:space="preserve"> לכן ביאר </w:t>
      </w:r>
      <w:r w:rsidRPr="00922D68">
        <w:rPr>
          <w:rStyle w:val="af9"/>
          <w:rFonts w:hint="cs"/>
          <w:rtl/>
        </w:rPr>
        <w:t>הנימוק"</w:t>
      </w:r>
      <w:r>
        <w:rPr>
          <w:rFonts w:hint="cs"/>
          <w:rtl/>
        </w:rPr>
        <w:t>י דהוא תקנת חכמים.</w:t>
      </w:r>
      <w:bookmarkEnd w:id="5974"/>
    </w:p>
    <w:p w:rsidR="00E874E8" w:rsidRPr="00357210" w:rsidRDefault="00E874E8" w:rsidP="00E874E8">
      <w:pPr>
        <w:pStyle w:val="a3"/>
        <w:rPr>
          <w:rtl/>
        </w:rPr>
      </w:pPr>
    </w:p>
    <w:p w:rsidR="00E874E8" w:rsidRPr="00357210" w:rsidRDefault="00E874E8" w:rsidP="00E874E8">
      <w:pPr>
        <w:pStyle w:val="a3"/>
        <w:rPr>
          <w:rtl/>
        </w:rPr>
      </w:pPr>
    </w:p>
    <w:p w:rsidR="00E874E8" w:rsidRPr="00CE7CFE" w:rsidRDefault="00E874E8" w:rsidP="00E874E8">
      <w:pPr>
        <w:pStyle w:val="1"/>
        <w:rPr>
          <w:rtl/>
        </w:rPr>
      </w:pPr>
      <w:bookmarkStart w:id="5975" w:name="_Toc56637049"/>
      <w:bookmarkStart w:id="5976" w:name="_Toc56638183"/>
      <w:bookmarkStart w:id="5977" w:name="_Toc56641027"/>
      <w:bookmarkStart w:id="5978" w:name="_Toc56626718"/>
      <w:bookmarkStart w:id="5979" w:name="_Toc56630186"/>
      <w:bookmarkStart w:id="5980" w:name="_Toc56637047"/>
      <w:bookmarkStart w:id="5981" w:name="_Toc56638181"/>
      <w:bookmarkStart w:id="5982" w:name="_Toc56641025"/>
      <w:r>
        <w:rPr>
          <w:rFonts w:hint="cs"/>
          <w:rtl/>
        </w:rPr>
        <w:lastRenderedPageBreak/>
        <w:t>ביאור הקה"י בנימוק"י דעיקר התקנה דאח"כ יהיה ראיה מדאו'</w:t>
      </w:r>
      <w:bookmarkEnd w:id="5975"/>
      <w:bookmarkEnd w:id="5976"/>
      <w:bookmarkEnd w:id="5977"/>
    </w:p>
    <w:p w:rsidR="00E874E8" w:rsidRDefault="00E874E8" w:rsidP="00E874E8">
      <w:pPr>
        <w:pStyle w:val="a3"/>
      </w:pPr>
      <w:r>
        <w:rPr>
          <w:rFonts w:hint="cs"/>
          <w:rtl/>
        </w:rPr>
        <w:t>דברי הקה"י דמבואר בנימוק"י דטעמא דחזקת ג"ש הוא כרמב"ן דמוכח מדלא מיחה המערער</w:t>
      </w:r>
      <w:bookmarkEnd w:id="5978"/>
      <w:bookmarkEnd w:id="5979"/>
      <w:bookmarkEnd w:id="5980"/>
      <w:bookmarkEnd w:id="5981"/>
      <w:bookmarkEnd w:id="5982"/>
    </w:p>
    <w:p w:rsidR="00E874E8" w:rsidRDefault="00E874E8" w:rsidP="007E4E81">
      <w:pPr>
        <w:pStyle w:val="a0"/>
        <w:rPr>
          <w:rtl/>
        </w:rPr>
      </w:pPr>
      <w:r w:rsidRPr="001D1883">
        <w:rPr>
          <w:rFonts w:hint="cs"/>
          <w:rtl/>
        </w:rPr>
        <w:t xml:space="preserve">במ"ש </w:t>
      </w:r>
      <w:r w:rsidRPr="00EF5372">
        <w:rPr>
          <w:rStyle w:val="af9"/>
          <w:rFonts w:hint="cs"/>
          <w:rtl/>
        </w:rPr>
        <w:t>הנימוק"י</w:t>
      </w:r>
      <w:r w:rsidRPr="001D1883">
        <w:rPr>
          <w:rFonts w:hint="cs"/>
          <w:rtl/>
        </w:rPr>
        <w:t xml:space="preserve"> </w:t>
      </w:r>
      <w:r w:rsidRPr="005929F2">
        <w:rPr>
          <w:rStyle w:val="af7"/>
          <w:rFonts w:eastAsia="Guttman Hodes" w:hint="cs"/>
          <w:rtl/>
        </w:rPr>
        <w:t xml:space="preserve">(עי' אות </w:t>
      </w:r>
      <w:r w:rsidRPr="005929F2">
        <w:rPr>
          <w:rStyle w:val="af7"/>
          <w:rFonts w:eastAsia="Guttman Hodes"/>
          <w:rtl/>
        </w:rPr>
        <w:fldChar w:fldCharType="begin"/>
      </w:r>
      <w:r w:rsidRPr="005929F2">
        <w:rPr>
          <w:rStyle w:val="af7"/>
          <w:rFonts w:eastAsia="Guttman Hodes"/>
          <w:rtl/>
        </w:rPr>
        <w:instrText xml:space="preserve"> </w:instrText>
      </w:r>
      <w:r w:rsidRPr="005929F2">
        <w:rPr>
          <w:rStyle w:val="af7"/>
          <w:rFonts w:eastAsia="Guttman Hodes" w:hint="cs"/>
        </w:rPr>
        <w:instrText>REF</w:instrText>
      </w:r>
      <w:r w:rsidRPr="005929F2">
        <w:rPr>
          <w:rStyle w:val="af7"/>
          <w:rFonts w:eastAsia="Guttman Hodes" w:hint="cs"/>
          <w:rtl/>
        </w:rPr>
        <w:instrText xml:space="preserve"> _</w:instrText>
      </w:r>
      <w:r w:rsidRPr="005929F2">
        <w:rPr>
          <w:rStyle w:val="af7"/>
          <w:rFonts w:eastAsia="Guttman Hodes" w:hint="cs"/>
        </w:rPr>
        <w:instrText>Ref55315892 \r \h</w:instrText>
      </w:r>
      <w:r w:rsidRPr="005929F2">
        <w:rPr>
          <w:rStyle w:val="af7"/>
          <w:rFonts w:eastAsia="Guttman Hodes"/>
          <w:rtl/>
        </w:rPr>
        <w:instrText xml:space="preserve">  \* </w:instrText>
      </w:r>
      <w:r w:rsidRPr="005929F2">
        <w:rPr>
          <w:rStyle w:val="af7"/>
          <w:rFonts w:eastAsia="Guttman Hodes"/>
        </w:rPr>
        <w:instrText>MERGEFORMAT</w:instrText>
      </w:r>
      <w:r w:rsidRPr="005929F2">
        <w:rPr>
          <w:rStyle w:val="af7"/>
          <w:rFonts w:eastAsia="Guttman Hodes"/>
          <w:rtl/>
        </w:rPr>
        <w:instrText xml:space="preserve"> </w:instrText>
      </w:r>
      <w:r w:rsidRPr="005929F2">
        <w:rPr>
          <w:rStyle w:val="af7"/>
          <w:rFonts w:eastAsia="Guttman Hodes"/>
          <w:rtl/>
        </w:rPr>
      </w:r>
      <w:r w:rsidRPr="005929F2">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5929F2">
        <w:rPr>
          <w:rStyle w:val="af7"/>
          <w:rFonts w:eastAsia="Guttman Hodes"/>
          <w:rtl/>
        </w:rPr>
        <w:fldChar w:fldCharType="end"/>
      </w:r>
      <w:r w:rsidRPr="001D1883">
        <w:rPr>
          <w:rFonts w:hint="cs"/>
          <w:rtl/>
        </w:rPr>
        <w:t xml:space="preserve"> דס"ל </w:t>
      </w:r>
      <w:r w:rsidRPr="00EF5372">
        <w:rPr>
          <w:rStyle w:val="af9"/>
          <w:rFonts w:hint="cs"/>
          <w:rtl/>
        </w:rPr>
        <w:t>לרבינו יונה</w:t>
      </w:r>
      <w:r w:rsidRPr="001D1883">
        <w:rPr>
          <w:rFonts w:hint="cs"/>
          <w:rtl/>
        </w:rPr>
        <w:t xml:space="preserve"> </w:t>
      </w:r>
      <w:r w:rsidRPr="00312BE8">
        <w:rPr>
          <w:rStyle w:val="af7"/>
          <w:rFonts w:eastAsia="Guttman Hodes" w:hint="cs"/>
          <w:rtl/>
        </w:rPr>
        <w:t xml:space="preserve">(עי' אות </w:t>
      </w:r>
      <w:r w:rsidRPr="00312BE8">
        <w:rPr>
          <w:rStyle w:val="af7"/>
          <w:rFonts w:eastAsia="Guttman Hodes"/>
          <w:rtl/>
        </w:rPr>
        <w:fldChar w:fldCharType="begin"/>
      </w:r>
      <w:r w:rsidRPr="00312BE8">
        <w:rPr>
          <w:rStyle w:val="af7"/>
          <w:rFonts w:eastAsia="Guttman Hodes"/>
          <w:rtl/>
        </w:rPr>
        <w:instrText xml:space="preserve"> </w:instrText>
      </w:r>
      <w:r w:rsidRPr="00312BE8">
        <w:rPr>
          <w:rStyle w:val="af7"/>
          <w:rFonts w:eastAsia="Guttman Hodes" w:hint="cs"/>
        </w:rPr>
        <w:instrText>REF</w:instrText>
      </w:r>
      <w:r w:rsidRPr="00312BE8">
        <w:rPr>
          <w:rStyle w:val="af7"/>
          <w:rFonts w:eastAsia="Guttman Hodes" w:hint="cs"/>
          <w:rtl/>
        </w:rPr>
        <w:instrText xml:space="preserve"> _</w:instrText>
      </w:r>
      <w:r w:rsidRPr="00312BE8">
        <w:rPr>
          <w:rStyle w:val="af7"/>
          <w:rFonts w:eastAsia="Guttman Hodes" w:hint="cs"/>
        </w:rPr>
        <w:instrText>Ref56502987 \r \h</w:instrText>
      </w:r>
      <w:r w:rsidRPr="00312BE8">
        <w:rPr>
          <w:rStyle w:val="af7"/>
          <w:rFonts w:eastAsia="Guttman Hodes"/>
          <w:rtl/>
        </w:rPr>
        <w:instrText xml:space="preserve"> </w:instrText>
      </w:r>
      <w:r w:rsidRPr="00312BE8">
        <w:rPr>
          <w:rStyle w:val="af7"/>
          <w:rFonts w:eastAsia="Guttman Hodes"/>
          <w:rtl/>
        </w:rPr>
      </w:r>
      <w:r w:rsidRPr="00312BE8">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312BE8">
        <w:rPr>
          <w:rStyle w:val="af7"/>
          <w:rFonts w:eastAsia="Guttman Hodes"/>
          <w:rtl/>
        </w:rPr>
        <w:fldChar w:fldCharType="end"/>
      </w:r>
      <w:r>
        <w:rPr>
          <w:rFonts w:hint="cs"/>
          <w:rtl/>
        </w:rPr>
        <w:t xml:space="preserve"> </w:t>
      </w:r>
      <w:r w:rsidRPr="001D1883">
        <w:rPr>
          <w:rFonts w:hint="cs"/>
          <w:rtl/>
        </w:rPr>
        <w:t>דכיון שכ"מ שהמחזיק זכה ע"י החזקה, הוא כיון שהיה למערער למחות, וכשלא מחה אמרינן דודאי מכר לו, א"כ כל שמחה המערער, אף שלא מחה בפני המחזיק, מ"מ אין הוכחה שמכר לו,</w:t>
      </w:r>
      <w:r>
        <w:rPr>
          <w:rFonts w:hint="cs"/>
          <w:rtl/>
        </w:rPr>
        <w:t xml:space="preserve"> כתב </w:t>
      </w:r>
      <w:r w:rsidRPr="00EF5372">
        <w:rPr>
          <w:rStyle w:val="af9"/>
          <w:rFonts w:hint="cs"/>
          <w:rtl/>
        </w:rPr>
        <w:t>הקה"י</w:t>
      </w:r>
      <w:r w:rsidRPr="001D1883">
        <w:rPr>
          <w:rFonts w:hint="cs"/>
          <w:rtl/>
        </w:rPr>
        <w:t xml:space="preserve"> </w:t>
      </w:r>
      <w:r w:rsidRPr="000173A0">
        <w:rPr>
          <w:rStyle w:val="af7"/>
          <w:rFonts w:eastAsia="Guttman Hodes" w:hint="cs"/>
          <w:rtl/>
        </w:rPr>
        <w:t>(סי' י"ח סק"ג)</w:t>
      </w:r>
      <w:r w:rsidRPr="001D1883">
        <w:rPr>
          <w:rFonts w:hint="cs"/>
          <w:rtl/>
        </w:rPr>
        <w:t xml:space="preserve"> </w:t>
      </w:r>
      <w:r>
        <w:rPr>
          <w:rFonts w:hint="cs"/>
          <w:rtl/>
        </w:rPr>
        <w:t xml:space="preserve">דמבואר מדברי </w:t>
      </w:r>
      <w:r w:rsidRPr="006276A9">
        <w:rPr>
          <w:rStyle w:val="af9"/>
          <w:rFonts w:hint="cs"/>
          <w:rtl/>
        </w:rPr>
        <w:t>הנימוק"י</w:t>
      </w:r>
      <w:r w:rsidRPr="001D1883">
        <w:rPr>
          <w:rFonts w:hint="cs"/>
          <w:rtl/>
        </w:rPr>
        <w:t xml:space="preserve"> דס"ל דטעמא דחזקת ג"ש הוא כיון דלא מחה המערער יש ראיה שמכר את הקרקע למחזיק, </w:t>
      </w:r>
      <w:r w:rsidRPr="001D1883">
        <w:rPr>
          <w:rStyle w:val="afb"/>
          <w:rFonts w:hint="cs"/>
          <w:rtl/>
        </w:rPr>
        <w:t xml:space="preserve">[וכדעת </w:t>
      </w:r>
      <w:r w:rsidRPr="000173A0">
        <w:rPr>
          <w:rStyle w:val="affa"/>
          <w:rFonts w:hint="cs"/>
          <w:rtl/>
        </w:rPr>
        <w:t>הרמב"ן לקמן</w:t>
      </w:r>
      <w:r w:rsidRPr="001D1883">
        <w:rPr>
          <w:rStyle w:val="afb"/>
          <w:rFonts w:hint="cs"/>
          <w:rtl/>
        </w:rPr>
        <w:t xml:space="preserve"> </w:t>
      </w:r>
      <w:r w:rsidRPr="000173A0">
        <w:rPr>
          <w:rStyle w:val="aff6"/>
          <w:rFonts w:hint="cs"/>
          <w:rtl/>
        </w:rPr>
        <w:t>(מב. ד"</w:t>
      </w:r>
      <w:r w:rsidRPr="009E750E">
        <w:rPr>
          <w:rStyle w:val="aff6"/>
          <w:rFonts w:hint="cs"/>
          <w:rtl/>
        </w:rPr>
        <w:t>ה הא, הובא בסימן ה' אות ז')</w:t>
      </w:r>
      <w:r w:rsidRPr="001D1883">
        <w:rPr>
          <w:rStyle w:val="afb"/>
          <w:rFonts w:hint="cs"/>
          <w:rtl/>
        </w:rPr>
        <w:t xml:space="preserve">], </w:t>
      </w:r>
      <w:r w:rsidRPr="001D1883">
        <w:rPr>
          <w:rFonts w:hint="cs"/>
          <w:rtl/>
        </w:rPr>
        <w:t>ולכן כל שמחה אף שלא שמע המחזיק, אין כל ראיה שמכר לו ולא הוי חזקה</w:t>
      </w:r>
      <w:r>
        <w:rPr>
          <w:rFonts w:hint="cs"/>
          <w:rtl/>
        </w:rPr>
        <w:t>.</w:t>
      </w:r>
    </w:p>
    <w:p w:rsidR="00E874E8" w:rsidRPr="006B6202" w:rsidRDefault="00E874E8" w:rsidP="00E874E8">
      <w:pPr>
        <w:pStyle w:val="a3"/>
        <w:rPr>
          <w:rtl/>
        </w:rPr>
      </w:pPr>
      <w:bookmarkStart w:id="5983" w:name="_Toc56626719"/>
      <w:bookmarkStart w:id="5984" w:name="_Toc56630187"/>
      <w:bookmarkStart w:id="5985" w:name="_Toc56637048"/>
      <w:bookmarkStart w:id="5986" w:name="_Toc56638182"/>
      <w:bookmarkStart w:id="5987" w:name="_Toc56641026"/>
      <w:r>
        <w:rPr>
          <w:rFonts w:hint="cs"/>
          <w:rtl/>
        </w:rPr>
        <w:t>קושית הקה"י דהקצוה"ח הוכיח מהנימוק"י דהחזקה היא מתקנ"ח ולא מחמת שלא מיחה</w:t>
      </w:r>
      <w:bookmarkEnd w:id="5983"/>
      <w:bookmarkEnd w:id="5984"/>
      <w:bookmarkEnd w:id="5985"/>
      <w:bookmarkEnd w:id="5986"/>
      <w:bookmarkEnd w:id="5987"/>
    </w:p>
    <w:p w:rsidR="00E874E8" w:rsidRDefault="00E874E8" w:rsidP="007E4E81">
      <w:pPr>
        <w:pStyle w:val="a0"/>
        <w:rPr>
          <w:rtl/>
        </w:rPr>
      </w:pPr>
      <w:r>
        <w:rPr>
          <w:rFonts w:hint="cs"/>
          <w:rtl/>
        </w:rPr>
        <w:t>אך הקשה</w:t>
      </w:r>
      <w:r w:rsidRPr="00F060C8">
        <w:rPr>
          <w:rFonts w:hint="cs"/>
          <w:rtl/>
        </w:rPr>
        <w:t xml:space="preserve"> </w:t>
      </w:r>
      <w:r w:rsidRPr="00F060C8">
        <w:rPr>
          <w:rStyle w:val="af9"/>
          <w:rFonts w:hint="cs"/>
          <w:rtl/>
        </w:rPr>
        <w:t>הקה"י</w:t>
      </w:r>
      <w:r w:rsidRPr="00F060C8">
        <w:rPr>
          <w:rFonts w:hint="cs"/>
          <w:rtl/>
        </w:rPr>
        <w:t xml:space="preserve"> </w:t>
      </w:r>
      <w:r>
        <w:rPr>
          <w:rFonts w:hint="cs"/>
          <w:rtl/>
        </w:rPr>
        <w:t>דהא</w:t>
      </w:r>
      <w:r w:rsidRPr="00F060C8">
        <w:rPr>
          <w:rFonts w:hint="cs"/>
          <w:rtl/>
        </w:rPr>
        <w:t xml:space="preserve"> </w:t>
      </w:r>
      <w:r w:rsidRPr="00F060C8">
        <w:rPr>
          <w:rStyle w:val="af9"/>
          <w:rFonts w:hint="cs"/>
          <w:rtl/>
        </w:rPr>
        <w:t>הקצוה"ח</w:t>
      </w:r>
      <w:r w:rsidRPr="00F060C8">
        <w:rPr>
          <w:rFonts w:hint="cs"/>
          <w:rtl/>
        </w:rPr>
        <w:t xml:space="preserve"> </w:t>
      </w:r>
      <w:r w:rsidRPr="00DB041A">
        <w:rPr>
          <w:rStyle w:val="af7"/>
          <w:rFonts w:eastAsia="Guttman Hodes" w:hint="cs"/>
          <w:rtl/>
        </w:rPr>
        <w:t xml:space="preserve">(עי' </w:t>
      </w:r>
      <w:r w:rsidRPr="00E0204D">
        <w:rPr>
          <w:rStyle w:val="af7"/>
          <w:rFonts w:eastAsia="Guttman Hodes" w:hint="cs"/>
          <w:rtl/>
        </w:rPr>
        <w:t xml:space="preserve">אות </w:t>
      </w:r>
      <w:r w:rsidRPr="00E0204D">
        <w:rPr>
          <w:rStyle w:val="af7"/>
          <w:rFonts w:eastAsia="Guttman Hodes"/>
          <w:rtl/>
        </w:rPr>
        <w:fldChar w:fldCharType="begin"/>
      </w:r>
      <w:r w:rsidRPr="00E0204D">
        <w:rPr>
          <w:rStyle w:val="af7"/>
          <w:rFonts w:eastAsia="Guttman Hodes"/>
          <w:rtl/>
        </w:rPr>
        <w:instrText xml:space="preserve"> </w:instrText>
      </w:r>
      <w:r w:rsidRPr="00E0204D">
        <w:rPr>
          <w:rStyle w:val="af7"/>
          <w:rFonts w:eastAsia="Guttman Hodes" w:hint="cs"/>
        </w:rPr>
        <w:instrText>REF</w:instrText>
      </w:r>
      <w:r w:rsidRPr="00E0204D">
        <w:rPr>
          <w:rStyle w:val="af7"/>
          <w:rFonts w:eastAsia="Guttman Hodes" w:hint="cs"/>
          <w:rtl/>
        </w:rPr>
        <w:instrText xml:space="preserve"> _</w:instrText>
      </w:r>
      <w:r w:rsidRPr="00E0204D">
        <w:rPr>
          <w:rStyle w:val="af7"/>
          <w:rFonts w:eastAsia="Guttman Hodes" w:hint="cs"/>
        </w:rPr>
        <w:instrText>Ref56590074 \r \h</w:instrText>
      </w:r>
      <w:r w:rsidRPr="00E0204D">
        <w:rPr>
          <w:rStyle w:val="af7"/>
          <w:rFonts w:eastAsia="Guttman Hodes"/>
          <w:rtl/>
        </w:rPr>
        <w:instrText xml:space="preserve"> </w:instrText>
      </w:r>
      <w:r w:rsidRPr="00E0204D">
        <w:rPr>
          <w:rStyle w:val="af7"/>
          <w:rFonts w:eastAsia="Guttman Hodes"/>
          <w:rtl/>
        </w:rPr>
      </w:r>
      <w:r w:rsidRPr="00E0204D">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E0204D">
        <w:rPr>
          <w:rStyle w:val="af7"/>
          <w:rFonts w:eastAsia="Guttman Hodes"/>
          <w:rtl/>
        </w:rPr>
        <w:fldChar w:fldCharType="end"/>
      </w:r>
      <w:r>
        <w:rPr>
          <w:rFonts w:hint="cs"/>
          <w:rtl/>
        </w:rPr>
        <w:t xml:space="preserve"> הוכיח דדעת </w:t>
      </w:r>
      <w:r w:rsidRPr="00F060C8">
        <w:rPr>
          <w:rStyle w:val="af9"/>
          <w:rFonts w:hint="cs"/>
          <w:rtl/>
        </w:rPr>
        <w:t>הנימוק"י</w:t>
      </w:r>
      <w:r w:rsidRPr="00F060C8">
        <w:rPr>
          <w:rFonts w:hint="cs"/>
          <w:rtl/>
        </w:rPr>
        <w:t xml:space="preserve"> דטעמא דחזקה הוא מתקנת חכמים</w:t>
      </w:r>
      <w:r>
        <w:rPr>
          <w:rFonts w:hint="cs"/>
          <w:rtl/>
        </w:rPr>
        <w:t>, ולא שיש ראיה מדלא מיחה המערער, וכמבואר מהא דכתב</w:t>
      </w:r>
      <w:r w:rsidRPr="00D73CCB">
        <w:rPr>
          <w:rFonts w:hint="cs"/>
          <w:rtl/>
        </w:rPr>
        <w:t xml:space="preserve"> </w:t>
      </w:r>
      <w:r w:rsidRPr="003C4041">
        <w:rPr>
          <w:rStyle w:val="af9"/>
          <w:rtl/>
        </w:rPr>
        <w:t>הנימוק"י</w:t>
      </w:r>
      <w:r w:rsidRPr="00D73CCB">
        <w:rPr>
          <w:rtl/>
        </w:rPr>
        <w:t xml:space="preserve"> </w:t>
      </w:r>
      <w:r w:rsidRPr="003C4041">
        <w:rPr>
          <w:rStyle w:val="af7"/>
          <w:rFonts w:eastAsia="Guttman Hodes"/>
          <w:rtl/>
        </w:rPr>
        <w:t xml:space="preserve">(עי' אות </w:t>
      </w:r>
      <w:r w:rsidRPr="003C4041">
        <w:rPr>
          <w:rStyle w:val="af7"/>
          <w:rFonts w:eastAsia="Guttman Hodes"/>
          <w:rtl/>
        </w:rPr>
        <w:fldChar w:fldCharType="begin"/>
      </w:r>
      <w:r w:rsidRPr="003C4041">
        <w:rPr>
          <w:rStyle w:val="af7"/>
          <w:rFonts w:eastAsia="Guttman Hodes"/>
          <w:rtl/>
        </w:rPr>
        <w:instrText xml:space="preserve"> </w:instrText>
      </w:r>
      <w:r w:rsidRPr="003C4041">
        <w:rPr>
          <w:rStyle w:val="af7"/>
          <w:rFonts w:eastAsia="Guttman Hodes"/>
        </w:rPr>
        <w:instrText>REF</w:instrText>
      </w:r>
      <w:r w:rsidRPr="003C4041">
        <w:rPr>
          <w:rStyle w:val="af7"/>
          <w:rFonts w:eastAsia="Guttman Hodes"/>
          <w:rtl/>
        </w:rPr>
        <w:instrText xml:space="preserve"> _</w:instrText>
      </w:r>
      <w:r w:rsidRPr="003C4041">
        <w:rPr>
          <w:rStyle w:val="af7"/>
          <w:rFonts w:eastAsia="Guttman Hodes"/>
        </w:rPr>
        <w:instrText>Ref56510344 \r \h</w:instrText>
      </w:r>
      <w:r w:rsidRPr="003C4041">
        <w:rPr>
          <w:rStyle w:val="af7"/>
          <w:rFonts w:eastAsia="Guttman Hodes"/>
          <w:rtl/>
        </w:rPr>
        <w:instrText xml:space="preserve"> </w:instrText>
      </w:r>
      <w:r w:rsidRPr="003C4041">
        <w:rPr>
          <w:rStyle w:val="af7"/>
          <w:rFonts w:eastAsia="Guttman Hodes"/>
          <w:rtl/>
        </w:rPr>
      </w:r>
      <w:r w:rsidRPr="003C4041">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3C4041">
        <w:rPr>
          <w:rStyle w:val="af7"/>
          <w:rFonts w:eastAsia="Guttman Hodes"/>
          <w:rtl/>
        </w:rPr>
        <w:fldChar w:fldCharType="end"/>
      </w:r>
      <w:r w:rsidRPr="00D73CCB">
        <w:rPr>
          <w:rtl/>
        </w:rPr>
        <w:t xml:space="preserve"> </w:t>
      </w:r>
      <w:r>
        <w:rPr>
          <w:rFonts w:hint="cs"/>
          <w:rtl/>
        </w:rPr>
        <w:t>דמחזיק סובר שלא יערערו עליו יותר, ואינו נזהר בשטרו, וכיון שכן דעת העולם לכן תיקנו חכמים חזקת ג"ש</w:t>
      </w:r>
      <w:r w:rsidRPr="001D1883">
        <w:rPr>
          <w:rFonts w:hint="cs"/>
          <w:rtl/>
        </w:rPr>
        <w:t>.</w:t>
      </w:r>
    </w:p>
    <w:p w:rsidR="00E874E8" w:rsidRPr="006276A9" w:rsidRDefault="00E874E8" w:rsidP="00E874E8">
      <w:pPr>
        <w:pStyle w:val="a3"/>
      </w:pPr>
      <w:r>
        <w:rPr>
          <w:rFonts w:hint="cs"/>
          <w:rtl/>
        </w:rPr>
        <w:t>ביאור הקה"י בנימוק"י דאחר שתיקנו רבנן את דין חזקה כל שלא מחה ממילא יש ראיה מדאו'</w:t>
      </w:r>
    </w:p>
    <w:p w:rsidR="00E874E8" w:rsidRDefault="00E874E8" w:rsidP="007E4E81">
      <w:pPr>
        <w:pStyle w:val="a0"/>
        <w:rPr>
          <w:rtl/>
        </w:rPr>
      </w:pPr>
      <w:r>
        <w:rPr>
          <w:rFonts w:hint="cs"/>
          <w:rtl/>
        </w:rPr>
        <w:t xml:space="preserve">אלא ביאר </w:t>
      </w:r>
      <w:r w:rsidRPr="00F060C8">
        <w:rPr>
          <w:rStyle w:val="af9"/>
          <w:rFonts w:hint="cs"/>
          <w:rtl/>
        </w:rPr>
        <w:t>הקה"י</w:t>
      </w:r>
      <w:r w:rsidRPr="00F060C8">
        <w:rPr>
          <w:rFonts w:hint="cs"/>
          <w:rtl/>
        </w:rPr>
        <w:t xml:space="preserve"> דצ"ל דס"ל </w:t>
      </w:r>
      <w:r w:rsidRPr="00F060C8">
        <w:rPr>
          <w:rStyle w:val="af9"/>
          <w:rFonts w:hint="cs"/>
          <w:rtl/>
        </w:rPr>
        <w:t>להנימוק"י</w:t>
      </w:r>
      <w:r w:rsidRPr="00F060C8">
        <w:rPr>
          <w:rFonts w:hint="cs"/>
          <w:rtl/>
        </w:rPr>
        <w:t xml:space="preserve"> דעיקר החזקה הוא מתקנת חכמים, אלא </w:t>
      </w:r>
      <w:r>
        <w:rPr>
          <w:rFonts w:hint="cs"/>
          <w:rtl/>
        </w:rPr>
        <w:t>דלא דמי לכל תקנת חכמים דגם לאחר התקנה מהני רק מדרבנן, מדין הפקר ב"ד הפקר, דהא הכא לאחר שתיקנו דמהני חזקת ג"ש, א"כ</w:t>
      </w:r>
      <w:r w:rsidRPr="00F060C8">
        <w:rPr>
          <w:rFonts w:hint="cs"/>
          <w:rtl/>
        </w:rPr>
        <w:t xml:space="preserve"> כל שלא מיחה המערער ממילא יש ראיה שמכר ללוקח, דהא יודע המערער שאם לא ימחה, תהיה ללוקח חזקה, וראיה זו מהני אף מדאו'</w:t>
      </w:r>
      <w:r>
        <w:rPr>
          <w:rFonts w:hint="cs"/>
          <w:rtl/>
        </w:rPr>
        <w:t>.</w:t>
      </w:r>
    </w:p>
    <w:p w:rsidR="00E874E8" w:rsidRDefault="00E874E8" w:rsidP="00E874E8">
      <w:pPr>
        <w:pStyle w:val="a3"/>
        <w:rPr>
          <w:rtl/>
        </w:rPr>
      </w:pPr>
      <w:bookmarkStart w:id="5988" w:name="_Toc56626721"/>
      <w:bookmarkStart w:id="5989" w:name="_Toc56630189"/>
      <w:bookmarkStart w:id="5990" w:name="_Toc56637051"/>
      <w:bookmarkStart w:id="5991" w:name="_Toc56638185"/>
      <w:bookmarkStart w:id="5992" w:name="_Toc56641029"/>
      <w:r>
        <w:rPr>
          <w:rFonts w:hint="cs"/>
          <w:rtl/>
        </w:rPr>
        <w:t>ביאור הקה"י בנימוק"י דבעיקר התקנה סמכו חכמים על כך שאחר התקנה יהיה ראיה מדאו'</w:t>
      </w:r>
      <w:bookmarkEnd w:id="5988"/>
      <w:bookmarkEnd w:id="5989"/>
      <w:bookmarkEnd w:id="5990"/>
      <w:bookmarkEnd w:id="5991"/>
      <w:bookmarkEnd w:id="5992"/>
    </w:p>
    <w:p w:rsidR="00E874E8" w:rsidRPr="00294A4B" w:rsidRDefault="00E874E8" w:rsidP="007E4E81">
      <w:pPr>
        <w:pStyle w:val="a0"/>
        <w:rPr>
          <w:rtl/>
        </w:rPr>
      </w:pPr>
      <w:r>
        <w:rPr>
          <w:rFonts w:hint="cs"/>
          <w:rtl/>
        </w:rPr>
        <w:t xml:space="preserve">והוסיף </w:t>
      </w:r>
      <w:r w:rsidRPr="00644AFA">
        <w:rPr>
          <w:rStyle w:val="af9"/>
          <w:rFonts w:hint="cs"/>
          <w:rtl/>
        </w:rPr>
        <w:t>הקה"י</w:t>
      </w:r>
      <w:r>
        <w:rPr>
          <w:rFonts w:hint="cs"/>
          <w:rtl/>
        </w:rPr>
        <w:t xml:space="preserve"> דבעיקר התקנה סמכו חכמים על זה שלאחר התקנה ממילא תהיה ראיה מדאו', וא"כ עיקר הטעם שהמחזיק זוכה בקרקע הוא מדאו' ולא מדרבנן, </w:t>
      </w:r>
      <w:r w:rsidRPr="00F060C8">
        <w:rPr>
          <w:rFonts w:hint="cs"/>
          <w:rtl/>
        </w:rPr>
        <w:t xml:space="preserve">מכח הראיה שלא מחה בו המערער, ולכן כתב </w:t>
      </w:r>
      <w:r w:rsidRPr="00F060C8">
        <w:rPr>
          <w:rStyle w:val="af9"/>
          <w:rFonts w:hint="cs"/>
          <w:rtl/>
        </w:rPr>
        <w:t>הנימוק"י</w:t>
      </w:r>
      <w:r w:rsidRPr="00F060C8">
        <w:rPr>
          <w:rFonts w:hint="cs"/>
          <w:rtl/>
        </w:rPr>
        <w:t xml:space="preserve"> דכל שמחה המערער כדין, לא הוי חזקה, דאעפ"י שהמחזיק לא שמע מהמחאה, מ"מ כבר אין ראיה שמכר לו את הקרקע, ובכה"ג לא תיקנו חכמים את חזקת ג"ש.</w:t>
      </w:r>
    </w:p>
    <w:p w:rsidR="00E874E8" w:rsidRDefault="00E874E8" w:rsidP="00E874E8">
      <w:pPr>
        <w:pStyle w:val="afe"/>
        <w:rPr>
          <w:rtl/>
        </w:rPr>
      </w:pPr>
      <w:bookmarkStart w:id="5993" w:name="_Toc56609866"/>
      <w:bookmarkStart w:id="5994" w:name="_Toc56626722"/>
      <w:bookmarkStart w:id="5995" w:name="_Toc56630190"/>
      <w:bookmarkStart w:id="5996" w:name="_Toc56637052"/>
      <w:bookmarkStart w:id="5997" w:name="_Toc56638186"/>
      <w:bookmarkStart w:id="5998" w:name="_Toc56641030"/>
      <w:r>
        <w:rPr>
          <w:rFonts w:hint="cs"/>
          <w:rtl/>
        </w:rPr>
        <w:t>בביאור דעת הרא"ש</w:t>
      </w:r>
      <w:bookmarkEnd w:id="5993"/>
      <w:bookmarkEnd w:id="5994"/>
      <w:bookmarkEnd w:id="5995"/>
      <w:r>
        <w:rPr>
          <w:rFonts w:hint="cs"/>
          <w:rtl/>
        </w:rPr>
        <w:t xml:space="preserve"> בגדר התקנ"ח</w:t>
      </w:r>
      <w:bookmarkEnd w:id="5996"/>
      <w:bookmarkEnd w:id="5997"/>
      <w:bookmarkEnd w:id="5998"/>
      <w:r>
        <w:rPr>
          <w:rFonts w:hint="cs"/>
          <w:rtl/>
        </w:rPr>
        <w:t xml:space="preserve"> </w:t>
      </w:r>
    </w:p>
    <w:p w:rsidR="00E874E8" w:rsidRDefault="00E874E8" w:rsidP="00E874E8">
      <w:pPr>
        <w:pStyle w:val="1"/>
        <w:rPr>
          <w:rtl/>
        </w:rPr>
      </w:pPr>
      <w:bookmarkStart w:id="5999" w:name="_Toc56609867"/>
      <w:bookmarkStart w:id="6000" w:name="_Toc56626723"/>
      <w:bookmarkStart w:id="6001" w:name="_Toc56630191"/>
      <w:bookmarkStart w:id="6002" w:name="_Toc56637053"/>
      <w:bookmarkStart w:id="6003" w:name="_Toc56638187"/>
      <w:bookmarkStart w:id="6004" w:name="_Toc56641031"/>
      <w:r>
        <w:rPr>
          <w:rFonts w:hint="cs"/>
          <w:rtl/>
        </w:rPr>
        <w:t>ביאור הקה"י</w:t>
      </w:r>
      <w:bookmarkEnd w:id="5999"/>
      <w:bookmarkEnd w:id="6000"/>
      <w:bookmarkEnd w:id="6001"/>
      <w:r>
        <w:rPr>
          <w:rFonts w:hint="cs"/>
          <w:rtl/>
        </w:rPr>
        <w:t xml:space="preserve"> ברא"ש דהחזקה מתקנ"ח וכל שמחה כדין מהני</w:t>
      </w:r>
      <w:bookmarkEnd w:id="6002"/>
      <w:bookmarkEnd w:id="6003"/>
      <w:bookmarkEnd w:id="6004"/>
    </w:p>
    <w:p w:rsidR="00E874E8" w:rsidRPr="0024741A" w:rsidRDefault="00E874E8" w:rsidP="00E874E8">
      <w:pPr>
        <w:pStyle w:val="a3"/>
        <w:rPr>
          <w:rtl/>
        </w:rPr>
      </w:pPr>
      <w:bookmarkStart w:id="6005" w:name="_Toc56626724"/>
      <w:bookmarkStart w:id="6006" w:name="_Toc56630192"/>
      <w:bookmarkStart w:id="6007" w:name="_Toc56637054"/>
      <w:bookmarkStart w:id="6008" w:name="_Toc56638188"/>
      <w:bookmarkStart w:id="6009" w:name="_Toc56641032"/>
      <w:r>
        <w:rPr>
          <w:rFonts w:hint="cs"/>
          <w:rtl/>
        </w:rPr>
        <w:t>ביאור הקה"י ברא"ש דהחזקה היא תקנ"ח ולכן מהני מחאה אף שלא בפני המחזיק דמחה כדין</w:t>
      </w:r>
      <w:bookmarkEnd w:id="6005"/>
      <w:bookmarkEnd w:id="6006"/>
      <w:bookmarkEnd w:id="6007"/>
      <w:bookmarkEnd w:id="6008"/>
      <w:bookmarkEnd w:id="6009"/>
    </w:p>
    <w:p w:rsidR="00E874E8" w:rsidRPr="009919BA" w:rsidRDefault="00E874E8" w:rsidP="007E4E81">
      <w:pPr>
        <w:pStyle w:val="a0"/>
      </w:pPr>
      <w:r w:rsidRPr="001D1883">
        <w:rPr>
          <w:rFonts w:hint="cs"/>
          <w:rtl/>
        </w:rPr>
        <w:t xml:space="preserve">במ"ש </w:t>
      </w:r>
      <w:r w:rsidRPr="00EF5372">
        <w:rPr>
          <w:rStyle w:val="af9"/>
          <w:rFonts w:hint="cs"/>
          <w:rtl/>
        </w:rPr>
        <w:t>הרא"ש</w:t>
      </w:r>
      <w:r w:rsidRPr="001D1883">
        <w:rPr>
          <w:rFonts w:hint="cs"/>
          <w:rtl/>
        </w:rPr>
        <w:t xml:space="preserve"> </w:t>
      </w:r>
      <w:r w:rsidRPr="00E907BF">
        <w:rPr>
          <w:rStyle w:val="af7"/>
          <w:rFonts w:eastAsia="Guttman Hodes" w:hint="cs"/>
          <w:rtl/>
        </w:rPr>
        <w:t xml:space="preserve">(עי' אות </w:t>
      </w:r>
      <w:r w:rsidRPr="00E907BF">
        <w:rPr>
          <w:rStyle w:val="af7"/>
          <w:rFonts w:eastAsia="Guttman Hodes"/>
          <w:rtl/>
        </w:rPr>
        <w:fldChar w:fldCharType="begin"/>
      </w:r>
      <w:r w:rsidRPr="00E907BF">
        <w:rPr>
          <w:rStyle w:val="af7"/>
          <w:rFonts w:eastAsia="Guttman Hodes"/>
          <w:rtl/>
        </w:rPr>
        <w:instrText xml:space="preserve"> </w:instrText>
      </w:r>
      <w:r w:rsidRPr="00E907BF">
        <w:rPr>
          <w:rStyle w:val="af7"/>
          <w:rFonts w:eastAsia="Guttman Hodes" w:hint="cs"/>
        </w:rPr>
        <w:instrText>REF</w:instrText>
      </w:r>
      <w:r w:rsidRPr="00E907BF">
        <w:rPr>
          <w:rStyle w:val="af7"/>
          <w:rFonts w:eastAsia="Guttman Hodes" w:hint="cs"/>
          <w:rtl/>
        </w:rPr>
        <w:instrText xml:space="preserve"> _</w:instrText>
      </w:r>
      <w:r w:rsidRPr="00E907BF">
        <w:rPr>
          <w:rStyle w:val="af7"/>
          <w:rFonts w:eastAsia="Guttman Hodes" w:hint="cs"/>
        </w:rPr>
        <w:instrText>Ref55315159 \r \h</w:instrText>
      </w:r>
      <w:r w:rsidRPr="00E907BF">
        <w:rPr>
          <w:rStyle w:val="af7"/>
          <w:rFonts w:eastAsia="Guttman Hodes"/>
          <w:rtl/>
        </w:rPr>
        <w:instrText xml:space="preserve">  \* </w:instrText>
      </w:r>
      <w:r w:rsidRPr="00E907BF">
        <w:rPr>
          <w:rStyle w:val="af7"/>
          <w:rFonts w:eastAsia="Guttman Hodes"/>
        </w:rPr>
        <w:instrText>MERGEFORMAT</w:instrText>
      </w:r>
      <w:r w:rsidRPr="00E907BF">
        <w:rPr>
          <w:rStyle w:val="af7"/>
          <w:rFonts w:eastAsia="Guttman Hodes"/>
          <w:rtl/>
        </w:rPr>
        <w:instrText xml:space="preserve"> </w:instrText>
      </w:r>
      <w:r w:rsidRPr="00E907BF">
        <w:rPr>
          <w:rStyle w:val="af7"/>
          <w:rFonts w:eastAsia="Guttman Hodes"/>
          <w:rtl/>
        </w:rPr>
      </w:r>
      <w:r w:rsidRPr="00E907BF">
        <w:rPr>
          <w:rStyle w:val="af7"/>
          <w:rFonts w:eastAsia="Guttman Hodes"/>
          <w:rtl/>
        </w:rPr>
        <w:fldChar w:fldCharType="separate"/>
      </w:r>
      <w:r w:rsidR="00265073">
        <w:rPr>
          <w:rStyle w:val="af7"/>
          <w:rFonts w:eastAsia="Guttman Hodes"/>
          <w:cs/>
        </w:rPr>
        <w:t>‎</w:t>
      </w:r>
      <w:r w:rsidR="00265073">
        <w:rPr>
          <w:rStyle w:val="af7"/>
          <w:rFonts w:eastAsia="Guttman Hodes"/>
          <w:rtl/>
        </w:rPr>
        <w:t>סז)</w:t>
      </w:r>
      <w:r w:rsidRPr="00E907BF">
        <w:rPr>
          <w:rStyle w:val="af7"/>
          <w:rFonts w:eastAsia="Guttman Hodes"/>
          <w:rtl/>
        </w:rPr>
        <w:fldChar w:fldCharType="end"/>
      </w:r>
      <w:r w:rsidRPr="001D1883">
        <w:rPr>
          <w:rFonts w:hint="cs"/>
          <w:rtl/>
        </w:rPr>
        <w:t xml:space="preserve"> </w:t>
      </w:r>
      <w:r w:rsidRPr="00127C89">
        <w:rPr>
          <w:rFonts w:hint="cs"/>
          <w:rtl/>
        </w:rPr>
        <w:t xml:space="preserve">דכיון שרק עד ג"ש אדם נזהר בשטרו, לכן תיקנו חכמים שאם יביא המחזיק עדים שאכל ג"ש בשופי, אינו צריך יותר להראות את שטרו, וכתב </w:t>
      </w:r>
      <w:r w:rsidRPr="00127C89">
        <w:rPr>
          <w:rStyle w:val="af9"/>
          <w:rFonts w:hint="cs"/>
          <w:rtl/>
        </w:rPr>
        <w:t xml:space="preserve">הרא"ש </w:t>
      </w:r>
      <w:r w:rsidRPr="00127C89">
        <w:rPr>
          <w:rFonts w:hint="cs"/>
          <w:rtl/>
        </w:rPr>
        <w:t xml:space="preserve">דמחאה מהני, </w:t>
      </w:r>
      <w:r w:rsidRPr="001D1883">
        <w:rPr>
          <w:rFonts w:hint="cs"/>
          <w:rtl/>
        </w:rPr>
        <w:t xml:space="preserve">אף כשהעדים לא אמרו לשום אדם, כיון שמיחה כדברי חכמים, כתב </w:t>
      </w:r>
      <w:r w:rsidRPr="00EF5372">
        <w:rPr>
          <w:rStyle w:val="af9"/>
          <w:rFonts w:hint="cs"/>
          <w:rtl/>
        </w:rPr>
        <w:t>הקה"י</w:t>
      </w:r>
      <w:r w:rsidRPr="001D1883">
        <w:rPr>
          <w:rFonts w:hint="cs"/>
          <w:rtl/>
        </w:rPr>
        <w:t xml:space="preserve"> </w:t>
      </w:r>
      <w:r w:rsidRPr="00E907BF">
        <w:rPr>
          <w:rStyle w:val="af7"/>
          <w:rFonts w:eastAsia="Guttman Hodes" w:hint="cs"/>
          <w:rtl/>
        </w:rPr>
        <w:t>(סי' י"ח סק"ב)</w:t>
      </w:r>
      <w:r w:rsidRPr="001D1883">
        <w:rPr>
          <w:rFonts w:hint="cs"/>
          <w:rtl/>
        </w:rPr>
        <w:t xml:space="preserve"> דמשמע מדברי </w:t>
      </w:r>
      <w:r w:rsidRPr="00EF5372">
        <w:rPr>
          <w:rStyle w:val="af9"/>
          <w:rFonts w:hint="cs"/>
          <w:rtl/>
        </w:rPr>
        <w:t>הרא"ש</w:t>
      </w:r>
      <w:r w:rsidRPr="001D1883">
        <w:rPr>
          <w:rFonts w:hint="cs"/>
          <w:rtl/>
        </w:rPr>
        <w:t xml:space="preserve"> דס"ל </w:t>
      </w:r>
      <w:r>
        <w:rPr>
          <w:rFonts w:hint="cs"/>
          <w:rtl/>
        </w:rPr>
        <w:t xml:space="preserve">כדביאר </w:t>
      </w:r>
      <w:r w:rsidRPr="009919BA">
        <w:rPr>
          <w:rStyle w:val="af9"/>
          <w:rFonts w:hint="cs"/>
          <w:rtl/>
        </w:rPr>
        <w:t>הקצוה"ח</w:t>
      </w:r>
      <w:r w:rsidRPr="009919BA">
        <w:rPr>
          <w:rFonts w:hint="cs"/>
          <w:rtl/>
        </w:rPr>
        <w:t xml:space="preserve"> </w:t>
      </w:r>
      <w:r w:rsidRPr="0024741A">
        <w:rPr>
          <w:rStyle w:val="af7"/>
          <w:rFonts w:eastAsia="Guttman Hodes" w:hint="cs"/>
          <w:rtl/>
        </w:rPr>
        <w:t xml:space="preserve">(עי' אות </w:t>
      </w:r>
      <w:r w:rsidRPr="0024741A">
        <w:rPr>
          <w:rStyle w:val="af7"/>
          <w:rFonts w:eastAsia="Guttman Hodes"/>
          <w:rtl/>
        </w:rPr>
        <w:fldChar w:fldCharType="begin"/>
      </w:r>
      <w:r w:rsidRPr="0024741A">
        <w:rPr>
          <w:rStyle w:val="af7"/>
          <w:rFonts w:eastAsia="Guttman Hodes"/>
          <w:rtl/>
        </w:rPr>
        <w:instrText xml:space="preserve"> </w:instrText>
      </w:r>
      <w:r w:rsidRPr="0024741A">
        <w:rPr>
          <w:rStyle w:val="af7"/>
          <w:rFonts w:eastAsia="Guttman Hodes" w:hint="cs"/>
        </w:rPr>
        <w:instrText>REF</w:instrText>
      </w:r>
      <w:r w:rsidRPr="0024741A">
        <w:rPr>
          <w:rStyle w:val="af7"/>
          <w:rFonts w:eastAsia="Guttman Hodes" w:hint="cs"/>
          <w:rtl/>
        </w:rPr>
        <w:instrText xml:space="preserve"> _</w:instrText>
      </w:r>
      <w:r w:rsidRPr="0024741A">
        <w:rPr>
          <w:rStyle w:val="af7"/>
          <w:rFonts w:eastAsia="Guttman Hodes" w:hint="cs"/>
        </w:rPr>
        <w:instrText>Ref56591681 \r \h</w:instrText>
      </w:r>
      <w:r w:rsidRPr="0024741A">
        <w:rPr>
          <w:rStyle w:val="af7"/>
          <w:rFonts w:eastAsia="Guttman Hodes"/>
          <w:rtl/>
        </w:rPr>
        <w:instrText xml:space="preserve"> </w:instrText>
      </w:r>
      <w:r w:rsidRPr="0024741A">
        <w:rPr>
          <w:rStyle w:val="af7"/>
          <w:rFonts w:eastAsia="Guttman Hodes"/>
          <w:rtl/>
        </w:rPr>
      </w:r>
      <w:r w:rsidRPr="0024741A">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24741A">
        <w:rPr>
          <w:rStyle w:val="af7"/>
          <w:rFonts w:eastAsia="Guttman Hodes"/>
          <w:rtl/>
        </w:rPr>
        <w:fldChar w:fldCharType="end"/>
      </w:r>
      <w:r w:rsidRPr="001D1883">
        <w:rPr>
          <w:rFonts w:hint="cs"/>
          <w:rtl/>
        </w:rPr>
        <w:t xml:space="preserve"> דעיקר דין חזקת ג"ש הוא תקנת חכמים ללוקח, דאחר ג"ש לא יצטרך להביא שטר, וכדי שהמערער לא יפסיד תיקנו לו מחאה</w:t>
      </w:r>
      <w:r>
        <w:rPr>
          <w:rFonts w:hint="cs"/>
          <w:rtl/>
        </w:rPr>
        <w:t>,</w:t>
      </w:r>
      <w:r w:rsidRPr="009919BA">
        <w:rPr>
          <w:rFonts w:hint="cs"/>
          <w:rtl/>
        </w:rPr>
        <w:t xml:space="preserve"> </w:t>
      </w:r>
      <w:r w:rsidRPr="001D1883">
        <w:rPr>
          <w:rFonts w:hint="cs"/>
          <w:rtl/>
        </w:rPr>
        <w:t>ו</w:t>
      </w:r>
      <w:r>
        <w:rPr>
          <w:rFonts w:hint="cs"/>
          <w:rtl/>
        </w:rPr>
        <w:t xml:space="preserve">כתב </w:t>
      </w:r>
      <w:r w:rsidRPr="0024741A">
        <w:rPr>
          <w:rStyle w:val="af9"/>
          <w:rFonts w:hint="cs"/>
          <w:rtl/>
        </w:rPr>
        <w:t>הקה"י</w:t>
      </w:r>
      <w:r>
        <w:rPr>
          <w:rFonts w:hint="cs"/>
          <w:rtl/>
        </w:rPr>
        <w:t xml:space="preserve"> ד</w:t>
      </w:r>
      <w:r w:rsidRPr="001D1883">
        <w:rPr>
          <w:rFonts w:hint="cs"/>
          <w:rtl/>
        </w:rPr>
        <w:t xml:space="preserve">לכן </w:t>
      </w:r>
      <w:r>
        <w:rPr>
          <w:rFonts w:hint="cs"/>
          <w:rtl/>
        </w:rPr>
        <w:t xml:space="preserve">ס"ל </w:t>
      </w:r>
      <w:r w:rsidRPr="0024741A">
        <w:rPr>
          <w:rStyle w:val="af9"/>
          <w:rFonts w:hint="cs"/>
          <w:rtl/>
        </w:rPr>
        <w:t>להרא"ש</w:t>
      </w:r>
      <w:r>
        <w:rPr>
          <w:rFonts w:hint="cs"/>
          <w:rtl/>
        </w:rPr>
        <w:t xml:space="preserve"> ד</w:t>
      </w:r>
      <w:r w:rsidRPr="001D1883">
        <w:rPr>
          <w:rFonts w:hint="cs"/>
          <w:rtl/>
        </w:rPr>
        <w:t>כל שמחה המערער כדינו, ממילא אין את התקנה של חזקת ג"ש, דלא תיקנו שיפסיד בעל הקרקע, וממילא נשאר הדין דאו' דקרקע בחזקת בעליה עומדת.</w:t>
      </w:r>
    </w:p>
    <w:p w:rsidR="00E874E8" w:rsidRPr="002876F1" w:rsidRDefault="00E874E8" w:rsidP="00E874E8">
      <w:pPr>
        <w:pStyle w:val="1"/>
        <w:rPr>
          <w:rtl/>
        </w:rPr>
      </w:pPr>
      <w:bookmarkStart w:id="6010" w:name="_Toc56609868"/>
      <w:bookmarkStart w:id="6011" w:name="_Toc56626725"/>
      <w:bookmarkStart w:id="6012" w:name="_Toc56630193"/>
      <w:bookmarkStart w:id="6013" w:name="_Toc56637055"/>
      <w:bookmarkStart w:id="6014" w:name="_Toc56638189"/>
      <w:bookmarkStart w:id="6015" w:name="_Toc56641033"/>
      <w:r>
        <w:rPr>
          <w:rFonts w:hint="cs"/>
          <w:rtl/>
        </w:rPr>
        <w:t>ביאור הקוב"ש ברא"ש</w:t>
      </w:r>
      <w:bookmarkEnd w:id="6010"/>
      <w:bookmarkEnd w:id="6011"/>
      <w:bookmarkEnd w:id="6012"/>
      <w:r>
        <w:rPr>
          <w:rFonts w:hint="cs"/>
          <w:rtl/>
        </w:rPr>
        <w:t xml:space="preserve"> דשתיקת המערער אינה חלק מהחזקה</w:t>
      </w:r>
      <w:bookmarkEnd w:id="6013"/>
      <w:bookmarkEnd w:id="6014"/>
      <w:bookmarkEnd w:id="6015"/>
    </w:p>
    <w:p w:rsidR="00E874E8" w:rsidRDefault="00E874E8" w:rsidP="00E874E8">
      <w:pPr>
        <w:pStyle w:val="a3"/>
        <w:rPr>
          <w:rtl/>
        </w:rPr>
      </w:pPr>
      <w:bookmarkStart w:id="6016" w:name="_Toc56626726"/>
      <w:bookmarkStart w:id="6017" w:name="_Toc56630194"/>
      <w:bookmarkStart w:id="6018" w:name="_Toc56637056"/>
      <w:bookmarkStart w:id="6019" w:name="_Toc56638190"/>
      <w:bookmarkStart w:id="6020" w:name="_Toc56641034"/>
      <w:r>
        <w:rPr>
          <w:rFonts w:hint="cs"/>
          <w:rtl/>
        </w:rPr>
        <w:t>ביאור הקוב"ש ברא"ש דשתיקת המערער אינה חלק מהחזקה אלא מתקנ"ח שא"צ לשמור שטרו</w:t>
      </w:r>
      <w:bookmarkEnd w:id="6016"/>
      <w:bookmarkEnd w:id="6017"/>
      <w:bookmarkEnd w:id="6018"/>
      <w:bookmarkEnd w:id="6019"/>
      <w:bookmarkEnd w:id="6020"/>
    </w:p>
    <w:p w:rsidR="00E874E8" w:rsidRDefault="00E874E8" w:rsidP="007E4E81">
      <w:pPr>
        <w:pStyle w:val="a0"/>
        <w:rPr>
          <w:rtl/>
        </w:rPr>
      </w:pPr>
      <w:bookmarkStart w:id="6021" w:name="_Ref56616214"/>
      <w:r w:rsidRPr="001D1883">
        <w:rPr>
          <w:rFonts w:hint="cs"/>
          <w:rtl/>
        </w:rPr>
        <w:t xml:space="preserve">במ"ש </w:t>
      </w:r>
      <w:r w:rsidRPr="00EF5372">
        <w:rPr>
          <w:rStyle w:val="af9"/>
          <w:rFonts w:hint="cs"/>
          <w:rtl/>
        </w:rPr>
        <w:t>הרא"ש</w:t>
      </w:r>
      <w:r w:rsidRPr="001D1883">
        <w:rPr>
          <w:rFonts w:hint="cs"/>
          <w:rtl/>
        </w:rPr>
        <w:t xml:space="preserve"> </w:t>
      </w:r>
      <w:r w:rsidRPr="00E907BF">
        <w:rPr>
          <w:rStyle w:val="af7"/>
          <w:rFonts w:eastAsia="Guttman Hodes" w:hint="cs"/>
          <w:rtl/>
        </w:rPr>
        <w:t xml:space="preserve">(עי' אות </w:t>
      </w:r>
      <w:r w:rsidRPr="00E907BF">
        <w:rPr>
          <w:rStyle w:val="af7"/>
          <w:rFonts w:eastAsia="Guttman Hodes"/>
          <w:rtl/>
        </w:rPr>
        <w:fldChar w:fldCharType="begin"/>
      </w:r>
      <w:r w:rsidRPr="00E907BF">
        <w:rPr>
          <w:rStyle w:val="af7"/>
          <w:rFonts w:eastAsia="Guttman Hodes"/>
          <w:rtl/>
        </w:rPr>
        <w:instrText xml:space="preserve"> </w:instrText>
      </w:r>
      <w:r w:rsidRPr="00E907BF">
        <w:rPr>
          <w:rStyle w:val="af7"/>
          <w:rFonts w:eastAsia="Guttman Hodes" w:hint="cs"/>
        </w:rPr>
        <w:instrText>REF</w:instrText>
      </w:r>
      <w:r w:rsidRPr="00E907BF">
        <w:rPr>
          <w:rStyle w:val="af7"/>
          <w:rFonts w:eastAsia="Guttman Hodes" w:hint="cs"/>
          <w:rtl/>
        </w:rPr>
        <w:instrText xml:space="preserve"> _</w:instrText>
      </w:r>
      <w:r w:rsidRPr="00E907BF">
        <w:rPr>
          <w:rStyle w:val="af7"/>
          <w:rFonts w:eastAsia="Guttman Hodes" w:hint="cs"/>
        </w:rPr>
        <w:instrText>Ref55315159 \r \h</w:instrText>
      </w:r>
      <w:r w:rsidRPr="00E907BF">
        <w:rPr>
          <w:rStyle w:val="af7"/>
          <w:rFonts w:eastAsia="Guttman Hodes"/>
          <w:rtl/>
        </w:rPr>
        <w:instrText xml:space="preserve">  \* </w:instrText>
      </w:r>
      <w:r w:rsidRPr="00E907BF">
        <w:rPr>
          <w:rStyle w:val="af7"/>
          <w:rFonts w:eastAsia="Guttman Hodes"/>
        </w:rPr>
        <w:instrText>MERGEFORMAT</w:instrText>
      </w:r>
      <w:r w:rsidRPr="00E907BF">
        <w:rPr>
          <w:rStyle w:val="af7"/>
          <w:rFonts w:eastAsia="Guttman Hodes"/>
          <w:rtl/>
        </w:rPr>
        <w:instrText xml:space="preserve"> </w:instrText>
      </w:r>
      <w:r w:rsidRPr="00E907BF">
        <w:rPr>
          <w:rStyle w:val="af7"/>
          <w:rFonts w:eastAsia="Guttman Hodes"/>
          <w:rtl/>
        </w:rPr>
      </w:r>
      <w:r w:rsidRPr="00E907BF">
        <w:rPr>
          <w:rStyle w:val="af7"/>
          <w:rFonts w:eastAsia="Guttman Hodes"/>
          <w:rtl/>
        </w:rPr>
        <w:fldChar w:fldCharType="separate"/>
      </w:r>
      <w:r w:rsidR="00265073">
        <w:rPr>
          <w:rStyle w:val="af7"/>
          <w:rFonts w:eastAsia="Guttman Hodes"/>
          <w:cs/>
        </w:rPr>
        <w:t>‎</w:t>
      </w:r>
      <w:r w:rsidR="00265073">
        <w:rPr>
          <w:rStyle w:val="af7"/>
          <w:rFonts w:eastAsia="Guttman Hodes"/>
          <w:rtl/>
        </w:rPr>
        <w:t>סז)</w:t>
      </w:r>
      <w:r w:rsidRPr="00E907BF">
        <w:rPr>
          <w:rStyle w:val="af7"/>
          <w:rFonts w:eastAsia="Guttman Hodes"/>
          <w:rtl/>
        </w:rPr>
        <w:fldChar w:fldCharType="end"/>
      </w:r>
      <w:r w:rsidRPr="001D1883">
        <w:rPr>
          <w:rFonts w:hint="cs"/>
          <w:rtl/>
        </w:rPr>
        <w:t xml:space="preserve"> </w:t>
      </w:r>
      <w:r w:rsidRPr="00127C89">
        <w:rPr>
          <w:rFonts w:hint="cs"/>
          <w:rtl/>
        </w:rPr>
        <w:t xml:space="preserve">דכיון שרק עד ג"ש אדם נזהר בשטרו, לכן תיקנו חכמים </w:t>
      </w:r>
      <w:r>
        <w:rPr>
          <w:rFonts w:hint="cs"/>
          <w:rtl/>
        </w:rPr>
        <w:t>שאחר ג"ש</w:t>
      </w:r>
      <w:r w:rsidRPr="00127C89">
        <w:rPr>
          <w:rFonts w:hint="cs"/>
          <w:rtl/>
        </w:rPr>
        <w:t xml:space="preserve"> אינו צריך יותר להראות את שטרו,</w:t>
      </w:r>
      <w:r w:rsidR="00A77F33">
        <w:rPr>
          <w:rFonts w:hint="cs"/>
          <w:rtl/>
        </w:rPr>
        <w:t xml:space="preserve"> </w:t>
      </w:r>
      <w:r>
        <w:rPr>
          <w:rFonts w:hint="cs"/>
          <w:rtl/>
        </w:rPr>
        <w:t xml:space="preserve">ביאר </w:t>
      </w:r>
      <w:r w:rsidRPr="00644AFA">
        <w:rPr>
          <w:rStyle w:val="af9"/>
          <w:rFonts w:hint="cs"/>
          <w:rtl/>
        </w:rPr>
        <w:t>הקוב"ש</w:t>
      </w:r>
      <w:r>
        <w:rPr>
          <w:rFonts w:hint="cs"/>
          <w:rtl/>
        </w:rPr>
        <w:t xml:space="preserve"> </w:t>
      </w:r>
      <w:r w:rsidRPr="0024741A">
        <w:rPr>
          <w:rStyle w:val="af7"/>
          <w:rFonts w:eastAsia="Guttman Hodes" w:hint="cs"/>
          <w:rtl/>
        </w:rPr>
        <w:t>(או' ק"ד)</w:t>
      </w:r>
      <w:r>
        <w:rPr>
          <w:rFonts w:hint="cs"/>
          <w:rtl/>
        </w:rPr>
        <w:t xml:space="preserve"> דס"ל דטעם החזקה היא מתקנת חכמים שלא חייבו אותו לשמור את את שטרו לעולם, וא"כ שתיקת המערער אינה חלק מהחזקה. </w:t>
      </w:r>
      <w:r w:rsidRPr="0024741A">
        <w:rPr>
          <w:rStyle w:val="afb"/>
          <w:rFonts w:hint="cs"/>
          <w:rtl/>
        </w:rPr>
        <w:t xml:space="preserve">[ודלא </w:t>
      </w:r>
      <w:r>
        <w:rPr>
          <w:rStyle w:val="affa"/>
          <w:rFonts w:hint="cs"/>
          <w:rtl/>
        </w:rPr>
        <w:t>כ</w:t>
      </w:r>
      <w:r w:rsidRPr="000173A0">
        <w:rPr>
          <w:rStyle w:val="affa"/>
          <w:rFonts w:hint="cs"/>
          <w:rtl/>
        </w:rPr>
        <w:t>הרמב"ן לקמן</w:t>
      </w:r>
      <w:r w:rsidRPr="001D1883">
        <w:rPr>
          <w:rStyle w:val="afb"/>
          <w:rFonts w:hint="cs"/>
          <w:rtl/>
        </w:rPr>
        <w:t xml:space="preserve"> </w:t>
      </w:r>
      <w:r w:rsidRPr="000173A0">
        <w:rPr>
          <w:rStyle w:val="aff6"/>
          <w:rFonts w:hint="cs"/>
          <w:rtl/>
        </w:rPr>
        <w:t>(מב. ד"</w:t>
      </w:r>
      <w:r w:rsidRPr="009E750E">
        <w:rPr>
          <w:rStyle w:val="aff6"/>
          <w:rFonts w:hint="cs"/>
          <w:rtl/>
        </w:rPr>
        <w:t>ה הא, הובא בסימן ה' אות ז')</w:t>
      </w:r>
      <w:r>
        <w:rPr>
          <w:rStyle w:val="aff6"/>
          <w:rFonts w:hint="cs"/>
          <w:rtl/>
        </w:rPr>
        <w:t xml:space="preserve"> </w:t>
      </w:r>
      <w:r w:rsidRPr="00EF1418">
        <w:rPr>
          <w:rStyle w:val="affa"/>
          <w:rFonts w:hint="cs"/>
          <w:rtl/>
        </w:rPr>
        <w:t>והרשב"א</w:t>
      </w:r>
      <w:r w:rsidRPr="0024741A">
        <w:rPr>
          <w:rStyle w:val="afb"/>
          <w:rFonts w:hint="cs"/>
          <w:rtl/>
        </w:rPr>
        <w:t xml:space="preserve"> </w:t>
      </w:r>
      <w:r w:rsidRPr="00EF1418">
        <w:rPr>
          <w:rStyle w:val="aff6"/>
          <w:rFonts w:hint="cs"/>
          <w:rtl/>
        </w:rPr>
        <w:t>(ד"ה אלא, הובא בסימן ה' אות מ"ד)</w:t>
      </w:r>
      <w:r w:rsidRPr="0024741A">
        <w:rPr>
          <w:rStyle w:val="afb"/>
          <w:rFonts w:hint="cs"/>
          <w:rtl/>
        </w:rPr>
        <w:t>]</w:t>
      </w:r>
      <w:r>
        <w:rPr>
          <w:rStyle w:val="afb"/>
          <w:rFonts w:hint="cs"/>
          <w:rtl/>
        </w:rPr>
        <w:t>.</w:t>
      </w:r>
    </w:p>
    <w:p w:rsidR="00E874E8" w:rsidRPr="002C0AE1" w:rsidRDefault="00E874E8" w:rsidP="00E874E8">
      <w:pPr>
        <w:pStyle w:val="a3"/>
      </w:pPr>
      <w:bookmarkStart w:id="6022" w:name="_Toc56626727"/>
      <w:bookmarkStart w:id="6023" w:name="_Toc56630195"/>
      <w:bookmarkStart w:id="6024" w:name="_Toc56637057"/>
      <w:bookmarkStart w:id="6025" w:name="_Toc56638191"/>
      <w:bookmarkStart w:id="6026" w:name="_Toc56641035"/>
      <w:r>
        <w:rPr>
          <w:rFonts w:hint="cs"/>
          <w:rtl/>
        </w:rPr>
        <w:t>ביאור הקוב"ש ברא"ש דכיון שהחזקה מתקנ"ח על המערער להביא ראיה שהיה במקום רחוק</w:t>
      </w:r>
      <w:bookmarkEnd w:id="6022"/>
      <w:bookmarkEnd w:id="6023"/>
      <w:bookmarkEnd w:id="6024"/>
      <w:bookmarkEnd w:id="6025"/>
      <w:bookmarkEnd w:id="6026"/>
    </w:p>
    <w:p w:rsidR="00E874E8" w:rsidRDefault="00E874E8" w:rsidP="007E4E81">
      <w:pPr>
        <w:pStyle w:val="a0"/>
      </w:pPr>
      <w:r>
        <w:rPr>
          <w:rFonts w:hint="cs"/>
          <w:rtl/>
        </w:rPr>
        <w:t xml:space="preserve">וכתב </w:t>
      </w:r>
      <w:r w:rsidRPr="00644AFA">
        <w:rPr>
          <w:rStyle w:val="af9"/>
          <w:rFonts w:hint="cs"/>
          <w:rtl/>
        </w:rPr>
        <w:t>הקוב"ש</w:t>
      </w:r>
      <w:r>
        <w:rPr>
          <w:rFonts w:hint="cs"/>
          <w:rtl/>
        </w:rPr>
        <w:t xml:space="preserve"> דלכן ס"ל </w:t>
      </w:r>
      <w:r w:rsidRPr="00644AFA">
        <w:rPr>
          <w:rStyle w:val="af9"/>
          <w:rFonts w:hint="cs"/>
          <w:rtl/>
        </w:rPr>
        <w:t>להרא"ש</w:t>
      </w:r>
      <w:r>
        <w:rPr>
          <w:rFonts w:hint="cs"/>
          <w:rtl/>
        </w:rPr>
        <w:t xml:space="preserve"> </w:t>
      </w:r>
      <w:r w:rsidRPr="0024741A">
        <w:rPr>
          <w:rStyle w:val="af7"/>
          <w:rFonts w:eastAsia="Guttman Hodes" w:hint="cs"/>
          <w:rtl/>
        </w:rPr>
        <w:t>(סי' ו')</w:t>
      </w:r>
      <w:r>
        <w:rPr>
          <w:rFonts w:hint="cs"/>
          <w:rtl/>
        </w:rPr>
        <w:t xml:space="preserve"> דאם טוען המערער שהיה במקום שלא היה יכול למחות, עליו להביא ראיה, כמו שעליו להביא ראיה כשטוען שמחה, דהחזקה אינה מכח שתיקתו כלל.</w:t>
      </w:r>
    </w:p>
    <w:p w:rsidR="00E874E8" w:rsidRDefault="00E874E8" w:rsidP="00E874E8">
      <w:pPr>
        <w:pStyle w:val="1"/>
        <w:rPr>
          <w:rtl/>
        </w:rPr>
      </w:pPr>
      <w:bookmarkStart w:id="6027" w:name="_Toc56641036"/>
      <w:bookmarkStart w:id="6028" w:name="_Toc56637058"/>
      <w:bookmarkStart w:id="6029" w:name="_Toc56638192"/>
      <w:bookmarkStart w:id="6030" w:name="_Toc56372905"/>
      <w:bookmarkStart w:id="6031" w:name="_Toc56458244"/>
      <w:bookmarkStart w:id="6032" w:name="_Toc56544404"/>
      <w:bookmarkStart w:id="6033" w:name="_Toc56609869"/>
      <w:bookmarkStart w:id="6034" w:name="_Toc56626728"/>
      <w:bookmarkStart w:id="6035" w:name="_Toc56630196"/>
      <w:bookmarkEnd w:id="6021"/>
      <w:r>
        <w:rPr>
          <w:rFonts w:hint="cs"/>
          <w:rtl/>
        </w:rPr>
        <w:t>ביאור החזון יחזקאל ברא"ש דעיקר החזקה אינה מתקנ"ח</w:t>
      </w:r>
      <w:bookmarkEnd w:id="6027"/>
    </w:p>
    <w:p w:rsidR="00E874E8" w:rsidRDefault="00E874E8" w:rsidP="00E874E8">
      <w:pPr>
        <w:pStyle w:val="a3"/>
        <w:rPr>
          <w:rtl/>
        </w:rPr>
      </w:pPr>
      <w:bookmarkStart w:id="6036" w:name="_Toc56641037"/>
      <w:r>
        <w:rPr>
          <w:rFonts w:hint="cs"/>
          <w:rtl/>
        </w:rPr>
        <w:t>דברי החזון יחזקאל דדוחק לבאר ברא"ש דהחזקה רק מתקנ"ח דא"כ איך מוציא מהמר"ק</w:t>
      </w:r>
      <w:bookmarkEnd w:id="6036"/>
    </w:p>
    <w:p w:rsidR="00E874E8" w:rsidRDefault="00E874E8" w:rsidP="007E4E81">
      <w:pPr>
        <w:pStyle w:val="a0"/>
        <w:rPr>
          <w:rtl/>
        </w:rPr>
      </w:pPr>
      <w:bookmarkStart w:id="6037" w:name="_Ref56640632"/>
      <w:r w:rsidRPr="001D1883">
        <w:rPr>
          <w:rFonts w:hint="cs"/>
          <w:rtl/>
        </w:rPr>
        <w:t xml:space="preserve">במ"ש </w:t>
      </w:r>
      <w:r w:rsidRPr="00EF5372">
        <w:rPr>
          <w:rStyle w:val="af9"/>
          <w:rFonts w:hint="cs"/>
          <w:rtl/>
        </w:rPr>
        <w:t>הרא"ש</w:t>
      </w:r>
      <w:r w:rsidRPr="001D1883">
        <w:rPr>
          <w:rFonts w:hint="cs"/>
          <w:rtl/>
        </w:rPr>
        <w:t xml:space="preserve"> </w:t>
      </w:r>
      <w:r w:rsidRPr="001E0CE8">
        <w:rPr>
          <w:rStyle w:val="af7"/>
          <w:rFonts w:eastAsia="Guttman Hodes" w:hint="cs"/>
          <w:rtl/>
        </w:rPr>
        <w:t xml:space="preserve">(עי' אות </w:t>
      </w:r>
      <w:r w:rsidRPr="001E0CE8">
        <w:rPr>
          <w:rStyle w:val="af7"/>
          <w:rFonts w:eastAsia="Guttman Hodes"/>
          <w:rtl/>
        </w:rPr>
        <w:fldChar w:fldCharType="begin"/>
      </w:r>
      <w:r w:rsidRPr="001E0CE8">
        <w:rPr>
          <w:rStyle w:val="af7"/>
          <w:rFonts w:eastAsia="Guttman Hodes"/>
          <w:rtl/>
        </w:rPr>
        <w:instrText xml:space="preserve"> </w:instrText>
      </w:r>
      <w:r w:rsidRPr="001E0CE8">
        <w:rPr>
          <w:rStyle w:val="af7"/>
          <w:rFonts w:eastAsia="Guttman Hodes" w:hint="cs"/>
        </w:rPr>
        <w:instrText>REF</w:instrText>
      </w:r>
      <w:r w:rsidRPr="001E0CE8">
        <w:rPr>
          <w:rStyle w:val="af7"/>
          <w:rFonts w:eastAsia="Guttman Hodes" w:hint="cs"/>
          <w:rtl/>
        </w:rPr>
        <w:instrText xml:space="preserve"> _</w:instrText>
      </w:r>
      <w:r w:rsidRPr="001E0CE8">
        <w:rPr>
          <w:rStyle w:val="af7"/>
          <w:rFonts w:eastAsia="Guttman Hodes" w:hint="cs"/>
        </w:rPr>
        <w:instrText>Ref55315159 \r \h</w:instrText>
      </w:r>
      <w:r w:rsidRPr="001E0CE8">
        <w:rPr>
          <w:rStyle w:val="af7"/>
          <w:rFonts w:eastAsia="Guttman Hodes"/>
          <w:rtl/>
        </w:rPr>
        <w:instrText xml:space="preserve">  \* </w:instrText>
      </w:r>
      <w:r w:rsidRPr="001E0CE8">
        <w:rPr>
          <w:rStyle w:val="af7"/>
          <w:rFonts w:eastAsia="Guttman Hodes"/>
        </w:rPr>
        <w:instrText>MERGEFORMAT</w:instrText>
      </w:r>
      <w:r w:rsidRPr="001E0CE8">
        <w:rPr>
          <w:rStyle w:val="af7"/>
          <w:rFonts w:eastAsia="Guttman Hodes"/>
          <w:rtl/>
        </w:rPr>
        <w:instrText xml:space="preserve"> </w:instrText>
      </w:r>
      <w:r w:rsidRPr="001E0CE8">
        <w:rPr>
          <w:rStyle w:val="af7"/>
          <w:rFonts w:eastAsia="Guttman Hodes"/>
          <w:rtl/>
        </w:rPr>
      </w:r>
      <w:r w:rsidRPr="001E0CE8">
        <w:rPr>
          <w:rStyle w:val="af7"/>
          <w:rFonts w:eastAsia="Guttman Hodes"/>
          <w:rtl/>
        </w:rPr>
        <w:fldChar w:fldCharType="separate"/>
      </w:r>
      <w:r w:rsidR="00265073">
        <w:rPr>
          <w:rStyle w:val="af7"/>
          <w:rFonts w:eastAsia="Guttman Hodes"/>
          <w:cs/>
        </w:rPr>
        <w:t>‎</w:t>
      </w:r>
      <w:r w:rsidR="00265073">
        <w:rPr>
          <w:rStyle w:val="af7"/>
          <w:rFonts w:eastAsia="Guttman Hodes"/>
          <w:rtl/>
        </w:rPr>
        <w:t>סז)</w:t>
      </w:r>
      <w:r w:rsidRPr="001E0CE8">
        <w:rPr>
          <w:rStyle w:val="af7"/>
          <w:rFonts w:eastAsia="Guttman Hodes"/>
          <w:rtl/>
        </w:rPr>
        <w:fldChar w:fldCharType="end"/>
      </w:r>
      <w:r w:rsidRPr="001D1883">
        <w:rPr>
          <w:rFonts w:hint="cs"/>
          <w:rtl/>
        </w:rPr>
        <w:t xml:space="preserve"> </w:t>
      </w:r>
      <w:r w:rsidRPr="00127C89">
        <w:rPr>
          <w:rFonts w:hint="cs"/>
          <w:rtl/>
        </w:rPr>
        <w:t xml:space="preserve">דכיון שרק עד ג"ש אדם נזהר בשטרו, לכן תיקנו חכמים שאם יביא המחזיק עדים שאכל ג"ש בשופי, אינו צריך יותר להראות את שטרו, </w:t>
      </w:r>
      <w:r>
        <w:rPr>
          <w:rFonts w:hint="cs"/>
          <w:rtl/>
        </w:rPr>
        <w:t xml:space="preserve">כתב </w:t>
      </w:r>
      <w:r w:rsidRPr="00BE1C8F">
        <w:rPr>
          <w:rStyle w:val="af9"/>
          <w:rtl/>
        </w:rPr>
        <w:t>החזון יחזקאל</w:t>
      </w:r>
      <w:r w:rsidRPr="00523C69">
        <w:rPr>
          <w:rtl/>
        </w:rPr>
        <w:t xml:space="preserve"> </w:t>
      </w:r>
      <w:r w:rsidRPr="001E0CE8">
        <w:rPr>
          <w:rStyle w:val="af7"/>
          <w:rFonts w:eastAsia="Guttman Hodes"/>
          <w:rtl/>
        </w:rPr>
        <w:t>(השמטות בסוף המסכת, פ"ב ה"א או' ב' ד"ה</w:t>
      </w:r>
      <w:r w:rsidRPr="001E0CE8">
        <w:rPr>
          <w:rStyle w:val="af7"/>
          <w:rFonts w:eastAsia="Guttman Hodes" w:hint="cs"/>
          <w:rtl/>
        </w:rPr>
        <w:t xml:space="preserve"> חזות)</w:t>
      </w:r>
      <w:r>
        <w:rPr>
          <w:rFonts w:hint="cs"/>
          <w:rtl/>
        </w:rPr>
        <w:t xml:space="preserve"> דדוחק לומר דכוונת </w:t>
      </w:r>
      <w:r w:rsidRPr="0052077D">
        <w:rPr>
          <w:rStyle w:val="af9"/>
          <w:rFonts w:hint="cs"/>
          <w:rtl/>
        </w:rPr>
        <w:t>הרא"ש</w:t>
      </w:r>
      <w:r>
        <w:rPr>
          <w:rFonts w:hint="cs"/>
          <w:rtl/>
        </w:rPr>
        <w:t xml:space="preserve"> דכ"מ דמהני החזקה היא רק מחמת התקנת חכמים, [כדביאר </w:t>
      </w:r>
      <w:r w:rsidRPr="009919BA">
        <w:rPr>
          <w:rStyle w:val="af9"/>
          <w:rFonts w:hint="cs"/>
          <w:rtl/>
        </w:rPr>
        <w:t>הקצוה"ח</w:t>
      </w:r>
      <w:r w:rsidRPr="009919BA">
        <w:rPr>
          <w:rFonts w:hint="cs"/>
          <w:rtl/>
        </w:rPr>
        <w:t xml:space="preserve"> </w:t>
      </w:r>
      <w:r w:rsidRPr="0024741A">
        <w:rPr>
          <w:rStyle w:val="af7"/>
          <w:rFonts w:eastAsia="Guttman Hodes" w:hint="cs"/>
          <w:rtl/>
        </w:rPr>
        <w:t xml:space="preserve">(עי' אות </w:t>
      </w:r>
      <w:r w:rsidRPr="0024741A">
        <w:rPr>
          <w:rStyle w:val="af7"/>
          <w:rFonts w:eastAsia="Guttman Hodes"/>
          <w:rtl/>
        </w:rPr>
        <w:fldChar w:fldCharType="begin"/>
      </w:r>
      <w:r w:rsidRPr="0024741A">
        <w:rPr>
          <w:rStyle w:val="af7"/>
          <w:rFonts w:eastAsia="Guttman Hodes"/>
          <w:rtl/>
        </w:rPr>
        <w:instrText xml:space="preserve"> </w:instrText>
      </w:r>
      <w:r w:rsidRPr="0024741A">
        <w:rPr>
          <w:rStyle w:val="af7"/>
          <w:rFonts w:eastAsia="Guttman Hodes" w:hint="cs"/>
        </w:rPr>
        <w:instrText>REF</w:instrText>
      </w:r>
      <w:r w:rsidRPr="0024741A">
        <w:rPr>
          <w:rStyle w:val="af7"/>
          <w:rFonts w:eastAsia="Guttman Hodes" w:hint="cs"/>
          <w:rtl/>
        </w:rPr>
        <w:instrText xml:space="preserve"> _</w:instrText>
      </w:r>
      <w:r w:rsidRPr="0024741A">
        <w:rPr>
          <w:rStyle w:val="af7"/>
          <w:rFonts w:eastAsia="Guttman Hodes" w:hint="cs"/>
        </w:rPr>
        <w:instrText>Ref56591681 \r \h</w:instrText>
      </w:r>
      <w:r w:rsidRPr="0024741A">
        <w:rPr>
          <w:rStyle w:val="af7"/>
          <w:rFonts w:eastAsia="Guttman Hodes"/>
          <w:rtl/>
        </w:rPr>
        <w:instrText xml:space="preserve"> </w:instrText>
      </w:r>
      <w:r w:rsidRPr="0024741A">
        <w:rPr>
          <w:rStyle w:val="af7"/>
          <w:rFonts w:eastAsia="Guttman Hodes"/>
          <w:rtl/>
        </w:rPr>
      </w:r>
      <w:r w:rsidRPr="0024741A">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24741A">
        <w:rPr>
          <w:rStyle w:val="af7"/>
          <w:rFonts w:eastAsia="Guttman Hodes"/>
          <w:rtl/>
        </w:rPr>
        <w:fldChar w:fldCharType="end"/>
      </w:r>
      <w:r>
        <w:rPr>
          <w:rFonts w:hint="cs"/>
          <w:rtl/>
        </w:rPr>
        <w:t>], דא"כ היאך תיקנו חכמים להוציא מהמרא קמא כיון שאין לו שטר.</w:t>
      </w:r>
      <w:bookmarkEnd w:id="6037"/>
    </w:p>
    <w:p w:rsidR="00E874E8" w:rsidRDefault="00E874E8" w:rsidP="00E874E8">
      <w:pPr>
        <w:pStyle w:val="a3"/>
        <w:rPr>
          <w:rtl/>
        </w:rPr>
      </w:pPr>
      <w:bookmarkStart w:id="6038" w:name="_Toc56641038"/>
      <w:r>
        <w:rPr>
          <w:rFonts w:hint="cs"/>
          <w:rtl/>
        </w:rPr>
        <w:t>ביאור החזון יחזקאל ברא"ש דהתקנ"ח היא רק לענין שא"צ להראות את השטר ולא לדין החזקה</w:t>
      </w:r>
      <w:bookmarkEnd w:id="6038"/>
    </w:p>
    <w:p w:rsidR="00E874E8" w:rsidRPr="001E0CE8" w:rsidRDefault="00E874E8" w:rsidP="007E4E81">
      <w:pPr>
        <w:pStyle w:val="a0"/>
      </w:pPr>
      <w:r>
        <w:rPr>
          <w:rFonts w:hint="cs"/>
          <w:rtl/>
        </w:rPr>
        <w:t xml:space="preserve">וכתב </w:t>
      </w:r>
      <w:r w:rsidRPr="00B14800">
        <w:rPr>
          <w:rStyle w:val="af9"/>
          <w:rFonts w:hint="cs"/>
          <w:rtl/>
        </w:rPr>
        <w:t>החזון יחזקאל</w:t>
      </w:r>
      <w:r>
        <w:rPr>
          <w:rFonts w:hint="cs"/>
          <w:rtl/>
        </w:rPr>
        <w:t xml:space="preserve"> דמ"ש </w:t>
      </w:r>
      <w:r w:rsidRPr="00B14800">
        <w:rPr>
          <w:rStyle w:val="af9"/>
          <w:rFonts w:hint="cs"/>
          <w:rtl/>
        </w:rPr>
        <w:t>הרא"ש</w:t>
      </w:r>
      <w:r>
        <w:rPr>
          <w:rFonts w:hint="cs"/>
          <w:rtl/>
        </w:rPr>
        <w:t xml:space="preserve"> דהוא תקנת חכמים כוונתו לומר דלענין אחוי שטרך יש תקנה שאינו צריך להראות את שטרו לאחר ג"ש, אך אין כוונת הרא"ש לבאר בזה את טעם החזקה.</w:t>
      </w:r>
    </w:p>
    <w:p w:rsidR="00E874E8" w:rsidRDefault="00E874E8" w:rsidP="00E874E8">
      <w:pPr>
        <w:pStyle w:val="a3"/>
      </w:pPr>
      <w:bookmarkStart w:id="6039" w:name="_Toc56641039"/>
      <w:r>
        <w:rPr>
          <w:rFonts w:hint="cs"/>
          <w:rtl/>
        </w:rPr>
        <w:t>ביאור החזון יחזקאל ברא"ש דבחזקה הוא מוחזק והוסיף רבא דאין טענת אחוי שטרך אחר ג"ש</w:t>
      </w:r>
      <w:bookmarkEnd w:id="6039"/>
    </w:p>
    <w:p w:rsidR="00E874E8" w:rsidRDefault="00E874E8" w:rsidP="007E4E81">
      <w:pPr>
        <w:pStyle w:val="a0"/>
        <w:rPr>
          <w:rtl/>
        </w:rPr>
      </w:pPr>
      <w:bookmarkStart w:id="6040" w:name="_Ref56640856"/>
      <w:r>
        <w:rPr>
          <w:rFonts w:hint="cs"/>
          <w:rtl/>
        </w:rPr>
        <w:t xml:space="preserve">אלא ביאר </w:t>
      </w:r>
      <w:r w:rsidRPr="00BE1C8F">
        <w:rPr>
          <w:rStyle w:val="af9"/>
          <w:rtl/>
        </w:rPr>
        <w:t>החזון יחזקאל</w:t>
      </w:r>
      <w:r w:rsidRPr="00523C69">
        <w:rPr>
          <w:rtl/>
        </w:rPr>
        <w:t xml:space="preserve"> </w:t>
      </w:r>
      <w:r w:rsidRPr="001E0CE8">
        <w:rPr>
          <w:rStyle w:val="af7"/>
          <w:rFonts w:eastAsia="Guttman Hodes"/>
          <w:rtl/>
        </w:rPr>
        <w:t>(השמטות בסוף המסכת, פ"ב ה"א או' ב' ד"</w:t>
      </w:r>
      <w:r>
        <w:rPr>
          <w:rStyle w:val="af7"/>
          <w:rFonts w:eastAsia="Guttman Hodes" w:hint="cs"/>
          <w:rtl/>
        </w:rPr>
        <w:t xml:space="preserve">ה </w:t>
      </w:r>
      <w:r w:rsidRPr="001E0CE8">
        <w:rPr>
          <w:rStyle w:val="af7"/>
          <w:rFonts w:eastAsia="Guttman Hodes"/>
          <w:rtl/>
        </w:rPr>
        <w:t>ה</w:t>
      </w:r>
      <w:r>
        <w:rPr>
          <w:rStyle w:val="af7"/>
          <w:rFonts w:eastAsia="Guttman Hodes" w:hint="cs"/>
          <w:rtl/>
        </w:rPr>
        <w:t>ערה)</w:t>
      </w:r>
      <w:r>
        <w:rPr>
          <w:rFonts w:hint="cs"/>
          <w:rtl/>
        </w:rPr>
        <w:t xml:space="preserve"> דכוונת הרא"ש לומר דחזקת ג"ש היא חזקה כשמה, דע"י שהשתמש בשדה בשופי נעשה בה מוחזק, </w:t>
      </w:r>
      <w:r w:rsidRPr="00B14800">
        <w:rPr>
          <w:rStyle w:val="afb"/>
          <w:rFonts w:hint="cs"/>
          <w:rtl/>
        </w:rPr>
        <w:t xml:space="preserve">[וכדביאר </w:t>
      </w:r>
      <w:r w:rsidRPr="00296713">
        <w:rPr>
          <w:rStyle w:val="affa"/>
          <w:rFonts w:hint="cs"/>
          <w:rtl/>
        </w:rPr>
        <w:t>החזון יחזקאל</w:t>
      </w:r>
      <w:r w:rsidRPr="00B14800">
        <w:rPr>
          <w:rStyle w:val="afb"/>
          <w:rFonts w:hint="cs"/>
          <w:rtl/>
        </w:rPr>
        <w:t xml:space="preserve"> </w:t>
      </w:r>
      <w:r w:rsidRPr="00296713">
        <w:rPr>
          <w:rStyle w:val="aff6"/>
          <w:rFonts w:hint="cs"/>
          <w:rtl/>
        </w:rPr>
        <w:t xml:space="preserve">(עי' אות </w:t>
      </w:r>
      <w:r w:rsidRPr="00296713">
        <w:rPr>
          <w:rStyle w:val="aff6"/>
          <w:rtl/>
        </w:rPr>
        <w:fldChar w:fldCharType="begin"/>
      </w:r>
      <w:r w:rsidRPr="00296713">
        <w:rPr>
          <w:rStyle w:val="aff6"/>
          <w:rtl/>
        </w:rPr>
        <w:instrText xml:space="preserve"> </w:instrText>
      </w:r>
      <w:r w:rsidRPr="00296713">
        <w:rPr>
          <w:rStyle w:val="aff6"/>
          <w:rFonts w:hint="cs"/>
        </w:rPr>
        <w:instrText>REF</w:instrText>
      </w:r>
      <w:r w:rsidRPr="00296713">
        <w:rPr>
          <w:rStyle w:val="aff6"/>
          <w:rFonts w:hint="cs"/>
          <w:rtl/>
        </w:rPr>
        <w:instrText xml:space="preserve"> _</w:instrText>
      </w:r>
      <w:r w:rsidRPr="00296713">
        <w:rPr>
          <w:rStyle w:val="aff6"/>
          <w:rFonts w:hint="cs"/>
        </w:rPr>
        <w:instrText>Ref56639787 \r \h</w:instrText>
      </w:r>
      <w:r w:rsidRPr="00296713">
        <w:rPr>
          <w:rStyle w:val="aff6"/>
          <w:rtl/>
        </w:rPr>
        <w:instrText xml:space="preserve"> </w:instrText>
      </w:r>
      <w:r w:rsidRPr="00296713">
        <w:rPr>
          <w:rStyle w:val="aff6"/>
          <w:rtl/>
        </w:rPr>
      </w:r>
      <w:r w:rsidRPr="00296713">
        <w:rPr>
          <w:rStyle w:val="aff6"/>
          <w:rtl/>
        </w:rPr>
        <w:fldChar w:fldCharType="separate"/>
      </w:r>
      <w:r w:rsidR="00265073">
        <w:rPr>
          <w:rStyle w:val="aff6"/>
          <w:cs/>
        </w:rPr>
        <w:t>‎</w:t>
      </w:r>
      <w:r w:rsidR="00265073">
        <w:rPr>
          <w:rStyle w:val="aff6"/>
          <w:rtl/>
        </w:rPr>
        <w:t>קכג)</w:t>
      </w:r>
      <w:r w:rsidRPr="00296713">
        <w:rPr>
          <w:rStyle w:val="aff6"/>
          <w:rtl/>
        </w:rPr>
        <w:fldChar w:fldCharType="end"/>
      </w:r>
      <w:r w:rsidRPr="00B14800">
        <w:rPr>
          <w:rStyle w:val="afb"/>
          <w:rFonts w:hint="cs"/>
          <w:rtl/>
        </w:rPr>
        <w:t xml:space="preserve"> בדעת </w:t>
      </w:r>
      <w:r w:rsidRPr="00296713">
        <w:rPr>
          <w:rStyle w:val="affa"/>
          <w:rFonts w:hint="cs"/>
          <w:rtl/>
        </w:rPr>
        <w:t>הרמב"ם</w:t>
      </w:r>
      <w:r w:rsidRPr="00B14800">
        <w:rPr>
          <w:rStyle w:val="afb"/>
          <w:rFonts w:hint="cs"/>
          <w:rtl/>
        </w:rPr>
        <w:t>],</w:t>
      </w:r>
      <w:r>
        <w:rPr>
          <w:rFonts w:hint="cs"/>
          <w:rtl/>
        </w:rPr>
        <w:t xml:space="preserve"> ועל זה קשה דאף שהוא מוחזק עדיין יש עליו טענת אחוי שטרך, ובזה ביאר רבא דכיון שאינו נזהר בשטר אחר ג"ש, תיקנו חכמים שא"צ להראות את השטר לאחר ג"ש.</w:t>
      </w:r>
      <w:bookmarkEnd w:id="6040"/>
    </w:p>
    <w:p w:rsidR="00E874E8" w:rsidRDefault="00E874E8" w:rsidP="00E874E8">
      <w:pPr>
        <w:pStyle w:val="a3"/>
        <w:rPr>
          <w:rtl/>
        </w:rPr>
      </w:pPr>
      <w:bookmarkStart w:id="6041" w:name="_Toc56641040"/>
      <w:r>
        <w:rPr>
          <w:rFonts w:hint="cs"/>
          <w:rtl/>
        </w:rPr>
        <w:t>ביאור החזון יחזקאל ברא"ש דהחזקה מחמת שנעשה מוחזק והמערער נראה כמערים</w:t>
      </w:r>
      <w:bookmarkEnd w:id="6041"/>
    </w:p>
    <w:p w:rsidR="00E874E8" w:rsidRPr="006859E7" w:rsidRDefault="00E874E8" w:rsidP="007E4E81">
      <w:pPr>
        <w:pStyle w:val="a0"/>
        <w:rPr>
          <w:rtl/>
        </w:rPr>
      </w:pPr>
      <w:r>
        <w:rPr>
          <w:rFonts w:hint="cs"/>
          <w:rtl/>
        </w:rPr>
        <w:t xml:space="preserve">אך כתב </w:t>
      </w:r>
      <w:r w:rsidRPr="006859E7">
        <w:rPr>
          <w:rStyle w:val="af9"/>
          <w:rFonts w:hint="cs"/>
          <w:rtl/>
        </w:rPr>
        <w:t>החזון יחזקאל</w:t>
      </w:r>
      <w:r>
        <w:rPr>
          <w:rFonts w:hint="cs"/>
          <w:rtl/>
        </w:rPr>
        <w:t xml:space="preserve"> דעיקר החזקה לדעת </w:t>
      </w:r>
      <w:r w:rsidRPr="00024F12">
        <w:rPr>
          <w:rStyle w:val="af9"/>
          <w:rFonts w:hint="cs"/>
          <w:rtl/>
        </w:rPr>
        <w:t>הרא"ש</w:t>
      </w:r>
      <w:r>
        <w:rPr>
          <w:rFonts w:hint="cs"/>
          <w:rtl/>
        </w:rPr>
        <w:t xml:space="preserve"> היא מחמת שנעשה בה מוחזק, וכן מחמת שלא מיחה המערער בתוך ג"ש, והוא נראה כמערים, </w:t>
      </w:r>
      <w:r w:rsidRPr="00023A73">
        <w:rPr>
          <w:rStyle w:val="afb"/>
          <w:rFonts w:hint="cs"/>
          <w:rtl/>
        </w:rPr>
        <w:t xml:space="preserve">[כדביאר </w:t>
      </w:r>
      <w:r w:rsidRPr="00023A73">
        <w:rPr>
          <w:rStyle w:val="affa"/>
          <w:rFonts w:hint="cs"/>
          <w:rtl/>
        </w:rPr>
        <w:t>הרשב"א</w:t>
      </w:r>
      <w:r w:rsidRPr="00023A73">
        <w:rPr>
          <w:rStyle w:val="afb"/>
          <w:rFonts w:hint="cs"/>
          <w:rtl/>
        </w:rPr>
        <w:t xml:space="preserve"> </w:t>
      </w:r>
      <w:r w:rsidRPr="00023A73">
        <w:rPr>
          <w:rStyle w:val="aff6"/>
          <w:rFonts w:hint="cs"/>
          <w:rtl/>
        </w:rPr>
        <w:t>(ד"ה אלא, הובא בסימן ה' אות מ"ד</w:t>
      </w:r>
      <w:r>
        <w:rPr>
          <w:rStyle w:val="aff6"/>
          <w:rFonts w:hint="cs"/>
          <w:rtl/>
        </w:rPr>
        <w:t>)</w:t>
      </w:r>
      <w:r w:rsidRPr="00023A73">
        <w:rPr>
          <w:rStyle w:val="afb"/>
          <w:rFonts w:hint="cs"/>
          <w:rtl/>
        </w:rPr>
        <w:t>],</w:t>
      </w:r>
      <w:r>
        <w:rPr>
          <w:rFonts w:hint="cs"/>
          <w:rtl/>
        </w:rPr>
        <w:t xml:space="preserve"> וכתב </w:t>
      </w:r>
      <w:r w:rsidRPr="00BE1C8F">
        <w:rPr>
          <w:rStyle w:val="af9"/>
          <w:rtl/>
        </w:rPr>
        <w:t>החזון יחזקאל</w:t>
      </w:r>
      <w:r w:rsidRPr="00523C69">
        <w:rPr>
          <w:rtl/>
        </w:rPr>
        <w:t xml:space="preserve"> </w:t>
      </w:r>
      <w:r w:rsidRPr="001E0CE8">
        <w:rPr>
          <w:rStyle w:val="af7"/>
          <w:rFonts w:eastAsia="Guttman Hodes"/>
          <w:rtl/>
        </w:rPr>
        <w:t>(השמטות בסוף המסכת, פ"ב ה"א או' ב' ד"</w:t>
      </w:r>
      <w:r>
        <w:rPr>
          <w:rStyle w:val="af7"/>
          <w:rFonts w:eastAsia="Guttman Hodes" w:hint="cs"/>
          <w:rtl/>
        </w:rPr>
        <w:t xml:space="preserve">ה וכיון שדעת) </w:t>
      </w:r>
      <w:r w:rsidRPr="00B14800">
        <w:rPr>
          <w:rFonts w:hint="cs"/>
          <w:rtl/>
        </w:rPr>
        <w:t xml:space="preserve">דכיון דס"ל להרא"ש דטעם החזקה הוא כדעת </w:t>
      </w:r>
      <w:r w:rsidRPr="006859E7">
        <w:rPr>
          <w:rStyle w:val="af9"/>
          <w:rFonts w:hint="cs"/>
          <w:rtl/>
        </w:rPr>
        <w:t>הרמב"ם</w:t>
      </w:r>
      <w:r w:rsidRPr="00B14800">
        <w:rPr>
          <w:rFonts w:hint="cs"/>
          <w:rtl/>
        </w:rPr>
        <w:t xml:space="preserve"> </w:t>
      </w:r>
      <w:r w:rsidRPr="00296713">
        <w:rPr>
          <w:rStyle w:val="af7"/>
          <w:rFonts w:eastAsia="Guttman Hodes" w:hint="cs"/>
          <w:rtl/>
        </w:rPr>
        <w:t xml:space="preserve">(עי' אות </w:t>
      </w:r>
      <w:r w:rsidRPr="00296713">
        <w:rPr>
          <w:rStyle w:val="af7"/>
          <w:rFonts w:eastAsia="Guttman Hodes"/>
          <w:rtl/>
        </w:rPr>
        <w:fldChar w:fldCharType="begin"/>
      </w:r>
      <w:r w:rsidRPr="00296713">
        <w:rPr>
          <w:rStyle w:val="af7"/>
          <w:rFonts w:eastAsia="Guttman Hodes"/>
          <w:rtl/>
        </w:rPr>
        <w:instrText xml:space="preserve"> </w:instrText>
      </w:r>
      <w:r w:rsidRPr="00296713">
        <w:rPr>
          <w:rStyle w:val="af7"/>
          <w:rFonts w:eastAsia="Guttman Hodes" w:hint="cs"/>
        </w:rPr>
        <w:instrText>REF</w:instrText>
      </w:r>
      <w:r w:rsidRPr="00296713">
        <w:rPr>
          <w:rStyle w:val="af7"/>
          <w:rFonts w:eastAsia="Guttman Hodes" w:hint="cs"/>
          <w:rtl/>
        </w:rPr>
        <w:instrText xml:space="preserve"> _</w:instrText>
      </w:r>
      <w:r w:rsidRPr="00296713">
        <w:rPr>
          <w:rStyle w:val="af7"/>
          <w:rFonts w:eastAsia="Guttman Hodes" w:hint="cs"/>
        </w:rPr>
        <w:instrText>Ref56639787 \r \h</w:instrText>
      </w:r>
      <w:r w:rsidRPr="00296713">
        <w:rPr>
          <w:rStyle w:val="af7"/>
          <w:rFonts w:eastAsia="Guttman Hodes"/>
          <w:rtl/>
        </w:rPr>
        <w:instrText xml:space="preserve"> </w:instrText>
      </w:r>
      <w:r w:rsidRPr="00296713">
        <w:rPr>
          <w:rStyle w:val="af7"/>
          <w:rFonts w:eastAsia="Guttman Hodes"/>
          <w:rtl/>
        </w:rPr>
      </w:r>
      <w:r w:rsidRPr="00296713">
        <w:rPr>
          <w:rStyle w:val="af7"/>
          <w:rFonts w:eastAsia="Guttman Hodes"/>
          <w:rtl/>
        </w:rPr>
        <w:fldChar w:fldCharType="separate"/>
      </w:r>
      <w:r w:rsidR="00265073">
        <w:rPr>
          <w:rStyle w:val="af7"/>
          <w:rFonts w:eastAsia="Guttman Hodes"/>
          <w:cs/>
        </w:rPr>
        <w:t>‎</w:t>
      </w:r>
      <w:r w:rsidR="00265073">
        <w:rPr>
          <w:rStyle w:val="af7"/>
          <w:rFonts w:eastAsia="Guttman Hodes"/>
          <w:rtl/>
        </w:rPr>
        <w:t>קכג)</w:t>
      </w:r>
      <w:r w:rsidRPr="00296713">
        <w:rPr>
          <w:rStyle w:val="af7"/>
          <w:rFonts w:eastAsia="Guttman Hodes"/>
          <w:rtl/>
        </w:rPr>
        <w:fldChar w:fldCharType="end"/>
      </w:r>
      <w:r w:rsidRPr="00296713">
        <w:rPr>
          <w:rStyle w:val="af7"/>
          <w:rFonts w:eastAsia="Guttman Hodes" w:hint="cs"/>
          <w:rtl/>
        </w:rPr>
        <w:t xml:space="preserve"> </w:t>
      </w:r>
      <w:r w:rsidRPr="00B14800">
        <w:rPr>
          <w:rFonts w:hint="cs"/>
          <w:rtl/>
        </w:rPr>
        <w:t xml:space="preserve">לכן כתב </w:t>
      </w:r>
      <w:r w:rsidRPr="006859E7">
        <w:rPr>
          <w:rStyle w:val="af9"/>
          <w:rFonts w:hint="cs"/>
          <w:rtl/>
        </w:rPr>
        <w:t>הרא"ש לקמן</w:t>
      </w:r>
      <w:r w:rsidRPr="00B14800">
        <w:rPr>
          <w:rStyle w:val="af7"/>
          <w:rFonts w:eastAsia="Guttman Hodes" w:hint="cs"/>
          <w:rtl/>
        </w:rPr>
        <w:t xml:space="preserve"> (סי' י"ז) </w:t>
      </w:r>
      <w:r w:rsidRPr="00B14800">
        <w:rPr>
          <w:rFonts w:hint="cs"/>
          <w:rtl/>
        </w:rPr>
        <w:t>דהמחזיק צריך להשבע שבועת היסת.</w:t>
      </w:r>
    </w:p>
    <w:p w:rsidR="00E874E8" w:rsidRDefault="00E874E8" w:rsidP="00E874E8">
      <w:pPr>
        <w:pStyle w:val="afe"/>
        <w:rPr>
          <w:rtl/>
        </w:rPr>
      </w:pPr>
      <w:bookmarkStart w:id="6042" w:name="_Toc56641041"/>
      <w:r>
        <w:rPr>
          <w:rFonts w:hint="cs"/>
          <w:rtl/>
        </w:rPr>
        <w:t>בדעת התוס'</w:t>
      </w:r>
      <w:bookmarkEnd w:id="6028"/>
      <w:r>
        <w:rPr>
          <w:rFonts w:hint="cs"/>
          <w:rtl/>
        </w:rPr>
        <w:t xml:space="preserve"> דהחזקה היא תקנ"ח</w:t>
      </w:r>
      <w:bookmarkEnd w:id="6029"/>
      <w:bookmarkEnd w:id="6042"/>
    </w:p>
    <w:p w:rsidR="00E874E8" w:rsidRDefault="00E874E8" w:rsidP="00E874E8">
      <w:pPr>
        <w:pStyle w:val="1"/>
        <w:rPr>
          <w:rtl/>
        </w:rPr>
      </w:pPr>
      <w:bookmarkStart w:id="6043" w:name="_Toc56637059"/>
      <w:bookmarkStart w:id="6044" w:name="_Toc56638193"/>
      <w:bookmarkStart w:id="6045" w:name="_Toc56641042"/>
      <w:r>
        <w:rPr>
          <w:rFonts w:hint="cs"/>
          <w:rtl/>
        </w:rPr>
        <w:t>ביאור הגרנ"פ בתוס'</w:t>
      </w:r>
      <w:bookmarkEnd w:id="6030"/>
      <w:bookmarkEnd w:id="6031"/>
      <w:bookmarkEnd w:id="6032"/>
      <w:bookmarkEnd w:id="6033"/>
      <w:bookmarkEnd w:id="6034"/>
      <w:bookmarkEnd w:id="6035"/>
      <w:bookmarkEnd w:id="6043"/>
      <w:r>
        <w:rPr>
          <w:rFonts w:hint="cs"/>
          <w:rtl/>
        </w:rPr>
        <w:t xml:space="preserve"> דמדינא מחאה רק בפניו אך מהני מתקנ"ח</w:t>
      </w:r>
      <w:bookmarkEnd w:id="6044"/>
      <w:bookmarkEnd w:id="6045"/>
    </w:p>
    <w:p w:rsidR="00E874E8" w:rsidRPr="00676AB0" w:rsidRDefault="00E874E8" w:rsidP="00E874E8">
      <w:pPr>
        <w:pStyle w:val="a3"/>
        <w:rPr>
          <w:rtl/>
        </w:rPr>
      </w:pPr>
      <w:bookmarkStart w:id="6046" w:name="_Toc56626729"/>
      <w:bookmarkStart w:id="6047" w:name="_Toc56630197"/>
      <w:bookmarkStart w:id="6048" w:name="_Toc56637060"/>
      <w:bookmarkStart w:id="6049" w:name="_Toc56638194"/>
      <w:bookmarkStart w:id="6050" w:name="_Toc56641043"/>
      <w:r>
        <w:rPr>
          <w:rFonts w:hint="cs"/>
          <w:rtl/>
        </w:rPr>
        <w:t>דברי הגרנ"פ דבתוס' מוכח דמעיקר הדין ל"מ מחאה כשלא שמע המחזיק אך הקילו חכמים בזה</w:t>
      </w:r>
      <w:bookmarkEnd w:id="6046"/>
      <w:bookmarkEnd w:id="6047"/>
      <w:bookmarkEnd w:id="6048"/>
      <w:bookmarkEnd w:id="6049"/>
      <w:bookmarkEnd w:id="6050"/>
    </w:p>
    <w:p w:rsidR="00E874E8" w:rsidRDefault="00E874E8" w:rsidP="007E4E81">
      <w:pPr>
        <w:pStyle w:val="a0"/>
        <w:rPr>
          <w:rtl/>
        </w:rPr>
      </w:pPr>
      <w:bookmarkStart w:id="6051" w:name="_Ref56359532"/>
      <w:bookmarkStart w:id="6052" w:name="_Ref56626983"/>
      <w:r w:rsidRPr="007E01F0">
        <w:rPr>
          <w:rFonts w:hint="cs"/>
          <w:rtl/>
        </w:rPr>
        <w:t xml:space="preserve">במה שביאר </w:t>
      </w:r>
      <w:r w:rsidRPr="00644AFA">
        <w:rPr>
          <w:rStyle w:val="af9"/>
          <w:rFonts w:hint="cs"/>
          <w:rtl/>
        </w:rPr>
        <w:t>הקצוה"ח</w:t>
      </w:r>
      <w:r w:rsidRPr="007E01F0">
        <w:rPr>
          <w:rFonts w:hint="cs"/>
          <w:rtl/>
        </w:rPr>
        <w:t xml:space="preserve"> </w:t>
      </w:r>
      <w:r w:rsidRPr="00DC60B2">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Ref56617954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Pr>
          <w:rStyle w:val="af7"/>
          <w:rFonts w:eastAsia="Guttman Hodes"/>
          <w:rtl/>
        </w:rPr>
        <w:fldChar w:fldCharType="end"/>
      </w:r>
      <w:r>
        <w:rPr>
          <w:rStyle w:val="af7"/>
          <w:rFonts w:eastAsia="Guttman Hodes" w:hint="cs"/>
          <w:rtl/>
        </w:rPr>
        <w:t xml:space="preserve"> </w:t>
      </w:r>
      <w:r w:rsidRPr="007E01F0">
        <w:rPr>
          <w:rFonts w:hint="cs"/>
          <w:rtl/>
        </w:rPr>
        <w:t xml:space="preserve">בדברי </w:t>
      </w:r>
      <w:r w:rsidRPr="00C85FD2">
        <w:rPr>
          <w:rStyle w:val="af9"/>
          <w:rFonts w:hint="cs"/>
          <w:rtl/>
        </w:rPr>
        <w:t xml:space="preserve">התוס' </w:t>
      </w:r>
      <w:r w:rsidRPr="00A13C8A">
        <w:rPr>
          <w:rStyle w:val="af9"/>
          <w:rFonts w:hint="cs"/>
          <w:rtl/>
        </w:rPr>
        <w:t>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Ref56359518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Pr>
          <w:rStyle w:val="af7"/>
          <w:rFonts w:eastAsia="Guttman Hodes"/>
          <w:rtl/>
        </w:rPr>
        <w:fldChar w:fldCharType="end"/>
      </w:r>
      <w:r>
        <w:rPr>
          <w:rStyle w:val="af7"/>
          <w:rFonts w:eastAsia="Guttman Hodes" w:hint="cs"/>
          <w:rtl/>
        </w:rPr>
        <w:t xml:space="preserve"> </w:t>
      </w:r>
      <w:r>
        <w:rPr>
          <w:rFonts w:hint="cs"/>
          <w:rtl/>
        </w:rPr>
        <w:t xml:space="preserve">דהחזקה היא מתקנת חכמים לטובת המחזיק שלא יצטרך להזהר </w:t>
      </w:r>
      <w:r>
        <w:rPr>
          <w:rFonts w:hint="cs"/>
          <w:rtl/>
        </w:rPr>
        <w:lastRenderedPageBreak/>
        <w:t>בשטרו,</w:t>
      </w:r>
      <w:bookmarkEnd w:id="6051"/>
      <w:r>
        <w:rPr>
          <w:rFonts w:hint="cs"/>
          <w:rtl/>
        </w:rPr>
        <w:t xml:space="preserve"> כתב </w:t>
      </w:r>
      <w:bookmarkStart w:id="6053" w:name="_Ref56415643"/>
      <w:r w:rsidRPr="0024741A">
        <w:rPr>
          <w:rStyle w:val="af9"/>
          <w:rFonts w:hint="cs"/>
          <w:rtl/>
        </w:rPr>
        <w:t>בחי' רבי נחום</w:t>
      </w:r>
      <w:r>
        <w:rPr>
          <w:rFonts w:hint="cs"/>
          <w:rtl/>
        </w:rPr>
        <w:t xml:space="preserve"> </w:t>
      </w:r>
      <w:r w:rsidRPr="00C85FD2">
        <w:rPr>
          <w:rStyle w:val="af7"/>
          <w:rFonts w:eastAsia="Guttman Hodes" w:hint="cs"/>
          <w:rtl/>
        </w:rPr>
        <w:t>(או' כ"ז ד"ה שיטת התוס')</w:t>
      </w:r>
      <w:r>
        <w:rPr>
          <w:rFonts w:hint="cs"/>
          <w:rtl/>
        </w:rPr>
        <w:t xml:space="preserve"> דכן מוכח </w:t>
      </w:r>
      <w:r>
        <w:rPr>
          <w:rStyle w:val="af9"/>
          <w:rFonts w:hint="cs"/>
          <w:rtl/>
        </w:rPr>
        <w:t>ב</w:t>
      </w:r>
      <w:r w:rsidRPr="002A1F78">
        <w:rPr>
          <w:rStyle w:val="af9"/>
          <w:rFonts w:hint="cs"/>
          <w:rtl/>
        </w:rPr>
        <w:t xml:space="preserve">תוס' לקמן </w:t>
      </w:r>
      <w:r w:rsidRPr="00C85FD2">
        <w:rPr>
          <w:rStyle w:val="af7"/>
          <w:rFonts w:eastAsia="Guttman Hodes" w:hint="cs"/>
          <w:rtl/>
        </w:rPr>
        <w:t xml:space="preserve">(עי' אות </w:t>
      </w:r>
      <w:r w:rsidRPr="00C85FD2">
        <w:rPr>
          <w:rStyle w:val="af7"/>
          <w:rFonts w:eastAsia="Guttman Hodes"/>
          <w:rtl/>
        </w:rPr>
        <w:fldChar w:fldCharType="begin"/>
      </w:r>
      <w:r w:rsidRPr="00C85FD2">
        <w:rPr>
          <w:rStyle w:val="af7"/>
          <w:rFonts w:eastAsia="Guttman Hodes"/>
          <w:rtl/>
        </w:rPr>
        <w:instrText xml:space="preserve"> </w:instrText>
      </w:r>
      <w:r w:rsidRPr="00C85FD2">
        <w:rPr>
          <w:rStyle w:val="af7"/>
          <w:rFonts w:eastAsia="Guttman Hodes" w:hint="cs"/>
        </w:rPr>
        <w:instrText>REF</w:instrText>
      </w:r>
      <w:r w:rsidRPr="00C85FD2">
        <w:rPr>
          <w:rStyle w:val="af7"/>
          <w:rFonts w:eastAsia="Guttman Hodes" w:hint="cs"/>
          <w:rtl/>
        </w:rPr>
        <w:instrText xml:space="preserve"> _</w:instrText>
      </w:r>
      <w:r w:rsidRPr="00C85FD2">
        <w:rPr>
          <w:rStyle w:val="af7"/>
          <w:rFonts w:eastAsia="Guttman Hodes" w:hint="cs"/>
        </w:rPr>
        <w:instrText>Ref56415576 \r \h</w:instrText>
      </w:r>
      <w:r w:rsidRPr="00C85FD2">
        <w:rPr>
          <w:rStyle w:val="af7"/>
          <w:rFonts w:eastAsia="Guttman Hodes"/>
          <w:rtl/>
        </w:rPr>
        <w:instrText xml:space="preserve"> </w:instrText>
      </w:r>
      <w:r w:rsidRPr="00C85FD2">
        <w:rPr>
          <w:rStyle w:val="af7"/>
          <w:rFonts w:eastAsia="Guttman Hodes"/>
          <w:rtl/>
        </w:rPr>
      </w:r>
      <w:r w:rsidRPr="00C85FD2">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C85FD2">
        <w:rPr>
          <w:rStyle w:val="af7"/>
          <w:rFonts w:eastAsia="Guttman Hodes"/>
          <w:rtl/>
        </w:rPr>
        <w:fldChar w:fldCharType="end"/>
      </w:r>
      <w:r w:rsidRPr="001D1883">
        <w:rPr>
          <w:rFonts w:hint="cs"/>
          <w:rtl/>
        </w:rPr>
        <w:t xml:space="preserve"> </w:t>
      </w:r>
      <w:r>
        <w:rPr>
          <w:rFonts w:hint="cs"/>
          <w:rtl/>
        </w:rPr>
        <w:t xml:space="preserve">דהקשו האיך אפשר לכתוב שטר מחאה, בלא דעת המתחייב, ותירצו </w:t>
      </w:r>
      <w:r w:rsidRPr="001D1883">
        <w:rPr>
          <w:rFonts w:hint="cs"/>
          <w:rtl/>
        </w:rPr>
        <w:t xml:space="preserve">דמחאה היא תקנת חכמים, ומהני אף בדבר מועט לבטל את החזקה, </w:t>
      </w:r>
      <w:r>
        <w:rPr>
          <w:rFonts w:hint="cs"/>
          <w:rtl/>
        </w:rPr>
        <w:t xml:space="preserve">וכתב </w:t>
      </w:r>
      <w:r w:rsidRPr="00DC60B2">
        <w:rPr>
          <w:rStyle w:val="af9"/>
          <w:rFonts w:hint="cs"/>
          <w:rtl/>
        </w:rPr>
        <w:t>בחי' רבי נחום</w:t>
      </w:r>
      <w:r>
        <w:rPr>
          <w:rFonts w:hint="cs"/>
          <w:rtl/>
        </w:rPr>
        <w:t xml:space="preserve"> דמוכח מדברי </w:t>
      </w:r>
      <w:r w:rsidRPr="00DC60B2">
        <w:rPr>
          <w:rStyle w:val="af9"/>
          <w:rFonts w:hint="cs"/>
          <w:rtl/>
        </w:rPr>
        <w:t xml:space="preserve">התוס' </w:t>
      </w:r>
      <w:r>
        <w:rPr>
          <w:rFonts w:hint="cs"/>
          <w:rtl/>
        </w:rPr>
        <w:t>דמעיקר הדין לא מהני המחאה כשלא שמע המחזיק ממנה, אלא הוא קולא שהקילו חכמים בדין החזקה.</w:t>
      </w:r>
      <w:bookmarkEnd w:id="6052"/>
    </w:p>
    <w:p w:rsidR="00E874E8" w:rsidRPr="00DC60B2" w:rsidRDefault="00E874E8" w:rsidP="00E874E8">
      <w:pPr>
        <w:pStyle w:val="a3"/>
      </w:pPr>
      <w:bookmarkStart w:id="6054" w:name="_Toc56626730"/>
      <w:bookmarkStart w:id="6055" w:name="_Toc56630198"/>
      <w:bookmarkStart w:id="6056" w:name="_Toc56637061"/>
      <w:bookmarkStart w:id="6057" w:name="_Toc56638195"/>
      <w:bookmarkStart w:id="6058" w:name="_Toc56641044"/>
      <w:r>
        <w:rPr>
          <w:rFonts w:hint="cs"/>
          <w:rtl/>
        </w:rPr>
        <w:t>דברי הגרנ"פ דמוכח בתוס' דהתקנה מתקנ"ח ולכן מעיקר הדין ל"מ המחאה בלא שמיעת המחזיק</w:t>
      </w:r>
      <w:bookmarkEnd w:id="6054"/>
      <w:bookmarkEnd w:id="6055"/>
      <w:bookmarkEnd w:id="6056"/>
      <w:bookmarkEnd w:id="6057"/>
      <w:bookmarkEnd w:id="6058"/>
    </w:p>
    <w:p w:rsidR="00E874E8" w:rsidRDefault="00E874E8" w:rsidP="007E4E81">
      <w:pPr>
        <w:pStyle w:val="a0"/>
        <w:rPr>
          <w:rtl/>
        </w:rPr>
      </w:pPr>
      <w:r>
        <w:rPr>
          <w:rFonts w:hint="cs"/>
          <w:rtl/>
        </w:rPr>
        <w:t xml:space="preserve">והוסיף </w:t>
      </w:r>
      <w:r w:rsidRPr="00C41AF8">
        <w:rPr>
          <w:rStyle w:val="af9"/>
          <w:rFonts w:hint="cs"/>
          <w:rtl/>
        </w:rPr>
        <w:t xml:space="preserve">בחי' רבי נחום </w:t>
      </w:r>
      <w:r>
        <w:rPr>
          <w:rFonts w:hint="cs"/>
          <w:rtl/>
        </w:rPr>
        <w:t xml:space="preserve">דאי ס"ל </w:t>
      </w:r>
      <w:r w:rsidRPr="00C41AF8">
        <w:rPr>
          <w:rStyle w:val="af9"/>
          <w:rFonts w:hint="cs"/>
          <w:rtl/>
        </w:rPr>
        <w:t>להתוס'</w:t>
      </w:r>
      <w:r>
        <w:rPr>
          <w:rFonts w:hint="cs"/>
          <w:rtl/>
        </w:rPr>
        <w:t xml:space="preserve"> דטעם החזקה הוא כיון שיש ראיה שלא מחה המערער, </w:t>
      </w:r>
      <w:r w:rsidRPr="00C41AF8">
        <w:rPr>
          <w:rStyle w:val="afb"/>
          <w:rFonts w:hint="cs"/>
          <w:rtl/>
        </w:rPr>
        <w:t xml:space="preserve">[כדעת </w:t>
      </w:r>
      <w:r w:rsidRPr="000173A0">
        <w:rPr>
          <w:rStyle w:val="affa"/>
          <w:rFonts w:hint="cs"/>
          <w:rtl/>
        </w:rPr>
        <w:t>הרמב"ן לקמן</w:t>
      </w:r>
      <w:r w:rsidRPr="001D1883">
        <w:rPr>
          <w:rStyle w:val="afb"/>
          <w:rFonts w:hint="cs"/>
          <w:rtl/>
        </w:rPr>
        <w:t xml:space="preserve"> </w:t>
      </w:r>
      <w:r w:rsidRPr="000173A0">
        <w:rPr>
          <w:rStyle w:val="aff6"/>
          <w:rFonts w:hint="cs"/>
          <w:rtl/>
        </w:rPr>
        <w:t>(מב. ד"</w:t>
      </w:r>
      <w:r w:rsidRPr="009E750E">
        <w:rPr>
          <w:rStyle w:val="aff6"/>
          <w:rFonts w:hint="cs"/>
          <w:rtl/>
        </w:rPr>
        <w:t>ה הא, הובא בסימן ה' אות ז')</w:t>
      </w:r>
      <w:r w:rsidRPr="00C41AF8">
        <w:rPr>
          <w:rStyle w:val="afb"/>
          <w:rFonts w:hint="cs"/>
          <w:rtl/>
        </w:rPr>
        <w:t>],</w:t>
      </w:r>
      <w:r w:rsidRPr="00C41AF8">
        <w:rPr>
          <w:rFonts w:hint="cs"/>
          <w:rtl/>
        </w:rPr>
        <w:t xml:space="preserve"> </w:t>
      </w:r>
      <w:r>
        <w:rPr>
          <w:rFonts w:hint="cs"/>
          <w:rtl/>
        </w:rPr>
        <w:t xml:space="preserve">א"כ פשיטא דאף מחאה שלא בפניו מהני, דהא לא שתק המערער, אלא מוכח דס"ל </w:t>
      </w:r>
      <w:r w:rsidRPr="00C41AF8">
        <w:rPr>
          <w:rStyle w:val="af9"/>
          <w:rFonts w:hint="cs"/>
          <w:rtl/>
        </w:rPr>
        <w:t>להתוס'</w:t>
      </w:r>
      <w:r>
        <w:rPr>
          <w:rFonts w:hint="cs"/>
          <w:rtl/>
        </w:rPr>
        <w:t xml:space="preserve"> כדביאר </w:t>
      </w:r>
      <w:r w:rsidRPr="00C41AF8">
        <w:rPr>
          <w:rStyle w:val="af9"/>
          <w:rFonts w:hint="cs"/>
          <w:rtl/>
        </w:rPr>
        <w:t>הקצוה"ח</w:t>
      </w:r>
      <w:r w:rsidRPr="00C41AF8">
        <w:rPr>
          <w:rStyle w:val="af7"/>
          <w:rFonts w:eastAsia="Guttman Hodes" w:hint="cs"/>
          <w:rtl/>
        </w:rPr>
        <w:t xml:space="preserve"> (עי' אות </w:t>
      </w:r>
      <w:r w:rsidRPr="00C41AF8">
        <w:rPr>
          <w:rStyle w:val="af7"/>
          <w:rFonts w:eastAsia="Guttman Hodes"/>
          <w:rtl/>
        </w:rPr>
        <w:fldChar w:fldCharType="begin"/>
      </w:r>
      <w:r w:rsidRPr="00C41AF8">
        <w:rPr>
          <w:rStyle w:val="af7"/>
          <w:rFonts w:eastAsia="Guttman Hodes"/>
          <w:rtl/>
        </w:rPr>
        <w:instrText xml:space="preserve"> </w:instrText>
      </w:r>
      <w:r w:rsidRPr="00C41AF8">
        <w:rPr>
          <w:rStyle w:val="af7"/>
          <w:rFonts w:eastAsia="Guttman Hodes" w:hint="cs"/>
        </w:rPr>
        <w:instrText>REF</w:instrText>
      </w:r>
      <w:r w:rsidRPr="00C41AF8">
        <w:rPr>
          <w:rStyle w:val="af7"/>
          <w:rFonts w:eastAsia="Guttman Hodes" w:hint="cs"/>
          <w:rtl/>
        </w:rPr>
        <w:instrText xml:space="preserve"> _</w:instrText>
      </w:r>
      <w:r w:rsidRPr="00C41AF8">
        <w:rPr>
          <w:rStyle w:val="af7"/>
          <w:rFonts w:eastAsia="Guttman Hodes" w:hint="cs"/>
        </w:rPr>
        <w:instrText>Ref56591681 \r \h</w:instrText>
      </w:r>
      <w:r w:rsidRPr="00C41AF8">
        <w:rPr>
          <w:rStyle w:val="af7"/>
          <w:rFonts w:eastAsia="Guttman Hodes"/>
          <w:rtl/>
        </w:rPr>
        <w:instrText xml:space="preserve"> </w:instrText>
      </w:r>
      <w:r w:rsidRPr="00C41AF8">
        <w:rPr>
          <w:rStyle w:val="af7"/>
          <w:rFonts w:eastAsia="Guttman Hodes"/>
          <w:rtl/>
        </w:rPr>
      </w:r>
      <w:r w:rsidRPr="00C41AF8">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C41AF8">
        <w:rPr>
          <w:rStyle w:val="af7"/>
          <w:rFonts w:eastAsia="Guttman Hodes"/>
          <w:rtl/>
        </w:rPr>
        <w:fldChar w:fldCharType="end"/>
      </w:r>
      <w:r w:rsidRPr="00C41AF8">
        <w:rPr>
          <w:rStyle w:val="af7"/>
          <w:rFonts w:eastAsia="Guttman Hodes" w:hint="cs"/>
          <w:rtl/>
        </w:rPr>
        <w:t xml:space="preserve"> </w:t>
      </w:r>
      <w:r>
        <w:rPr>
          <w:rFonts w:hint="cs"/>
          <w:rtl/>
        </w:rPr>
        <w:t xml:space="preserve">דהחזקה היא מתקנת חכמים לטובת המחזיק, ולכן מדינא כל שלא שמע המחזיק לא הוי מחאה, דלא היה לו להזהר בשטרו, ולכן הוצרכו </w:t>
      </w:r>
      <w:r w:rsidRPr="00C41AF8">
        <w:rPr>
          <w:rStyle w:val="af9"/>
          <w:rFonts w:hint="cs"/>
          <w:rtl/>
        </w:rPr>
        <w:t>התוס'</w:t>
      </w:r>
      <w:r>
        <w:rPr>
          <w:rFonts w:hint="cs"/>
          <w:rtl/>
        </w:rPr>
        <w:t xml:space="preserve"> לבאר דמ"מ הקילו חכמים לבטל את החזקה בדבר מועט, וע"ע במה שביאר </w:t>
      </w:r>
      <w:r w:rsidR="00B6247C">
        <w:rPr>
          <w:rStyle w:val="af9"/>
          <w:rFonts w:hint="cs"/>
          <w:rtl/>
        </w:rPr>
        <w:t xml:space="preserve">הגר"מ מן </w:t>
      </w:r>
      <w:r w:rsidR="00B6247C" w:rsidRPr="00834955">
        <w:rPr>
          <w:rStyle w:val="af9"/>
          <w:rFonts w:hint="cs"/>
          <w:rtl/>
        </w:rPr>
        <w:t>בדברי מרדכי</w:t>
      </w:r>
      <w:r w:rsidR="00B6247C">
        <w:rPr>
          <w:rStyle w:val="af9"/>
          <w:rFonts w:hint="cs"/>
          <w:rtl/>
        </w:rPr>
        <w:t xml:space="preserve"> </w:t>
      </w:r>
      <w:r w:rsidRPr="00C41AF8">
        <w:rPr>
          <w:rStyle w:val="af7"/>
          <w:rFonts w:eastAsia="Guttman Hodes" w:hint="cs"/>
          <w:rtl/>
        </w:rPr>
        <w:t>(סי' י"ז סק"ב ד"ה ויעוי')</w:t>
      </w:r>
      <w:r w:rsidRPr="005C04AB">
        <w:rPr>
          <w:rFonts w:hint="cs"/>
          <w:rtl/>
        </w:rPr>
        <w:t xml:space="preserve"> </w:t>
      </w:r>
      <w:r>
        <w:rPr>
          <w:rFonts w:hint="cs"/>
          <w:rtl/>
        </w:rPr>
        <w:t xml:space="preserve">דס"ל </w:t>
      </w:r>
      <w:r w:rsidRPr="00C41AF8">
        <w:rPr>
          <w:rStyle w:val="af9"/>
          <w:rFonts w:hint="cs"/>
          <w:rtl/>
        </w:rPr>
        <w:t>להתוס'</w:t>
      </w:r>
      <w:r>
        <w:rPr>
          <w:rFonts w:hint="cs"/>
          <w:rtl/>
        </w:rPr>
        <w:t xml:space="preserve"> </w:t>
      </w:r>
      <w:r>
        <w:rPr>
          <w:rStyle w:val="af9"/>
          <w:rFonts w:hint="cs"/>
          <w:rtl/>
        </w:rPr>
        <w:t>כ</w:t>
      </w:r>
      <w:r w:rsidRPr="00C41AF8">
        <w:rPr>
          <w:rStyle w:val="af9"/>
          <w:rFonts w:hint="cs"/>
          <w:rtl/>
        </w:rPr>
        <w:t>הקצוה"ח</w:t>
      </w:r>
      <w:r w:rsidRPr="00C41AF8">
        <w:rPr>
          <w:rStyle w:val="af7"/>
          <w:rFonts w:eastAsia="Guttman Hodes" w:hint="cs"/>
          <w:rtl/>
        </w:rPr>
        <w:t xml:space="preserve"> (עי' אות </w:t>
      </w:r>
      <w:r w:rsidRPr="00C41AF8">
        <w:rPr>
          <w:rStyle w:val="af7"/>
          <w:rFonts w:eastAsia="Guttman Hodes"/>
          <w:rtl/>
        </w:rPr>
        <w:fldChar w:fldCharType="begin"/>
      </w:r>
      <w:r w:rsidRPr="00C41AF8">
        <w:rPr>
          <w:rStyle w:val="af7"/>
          <w:rFonts w:eastAsia="Guttman Hodes"/>
          <w:rtl/>
        </w:rPr>
        <w:instrText xml:space="preserve"> </w:instrText>
      </w:r>
      <w:r w:rsidRPr="00C41AF8">
        <w:rPr>
          <w:rStyle w:val="af7"/>
          <w:rFonts w:eastAsia="Guttman Hodes" w:hint="cs"/>
        </w:rPr>
        <w:instrText>REF</w:instrText>
      </w:r>
      <w:r w:rsidRPr="00C41AF8">
        <w:rPr>
          <w:rStyle w:val="af7"/>
          <w:rFonts w:eastAsia="Guttman Hodes" w:hint="cs"/>
          <w:rtl/>
        </w:rPr>
        <w:instrText xml:space="preserve"> _</w:instrText>
      </w:r>
      <w:r w:rsidRPr="00C41AF8">
        <w:rPr>
          <w:rStyle w:val="af7"/>
          <w:rFonts w:eastAsia="Guttman Hodes" w:hint="cs"/>
        </w:rPr>
        <w:instrText>Ref56591681 \r \h</w:instrText>
      </w:r>
      <w:r w:rsidRPr="00C41AF8">
        <w:rPr>
          <w:rStyle w:val="af7"/>
          <w:rFonts w:eastAsia="Guttman Hodes"/>
          <w:rtl/>
        </w:rPr>
        <w:instrText xml:space="preserve"> </w:instrText>
      </w:r>
      <w:r w:rsidRPr="00C41AF8">
        <w:rPr>
          <w:rStyle w:val="af7"/>
          <w:rFonts w:eastAsia="Guttman Hodes"/>
          <w:rtl/>
        </w:rPr>
      </w:r>
      <w:r w:rsidRPr="00C41AF8">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C41AF8">
        <w:rPr>
          <w:rStyle w:val="af7"/>
          <w:rFonts w:eastAsia="Guttman Hodes"/>
          <w:rtl/>
        </w:rPr>
        <w:fldChar w:fldCharType="end"/>
      </w:r>
      <w:r>
        <w:rPr>
          <w:rFonts w:hint="cs"/>
          <w:rtl/>
        </w:rPr>
        <w:t>.</w:t>
      </w:r>
      <w:bookmarkEnd w:id="6053"/>
    </w:p>
    <w:p w:rsidR="00E874E8" w:rsidRPr="00F82E0D" w:rsidRDefault="00E874E8" w:rsidP="00E874E8">
      <w:pPr>
        <w:pStyle w:val="1"/>
        <w:rPr>
          <w:rtl/>
        </w:rPr>
      </w:pPr>
      <w:bookmarkStart w:id="6059" w:name="_Toc56638196"/>
      <w:bookmarkStart w:id="6060" w:name="_Toc56641045"/>
      <w:r>
        <w:rPr>
          <w:rFonts w:hint="cs"/>
          <w:rtl/>
        </w:rPr>
        <w:t>ביאור הגרנ"פ בקו' התוס' דמנלן דהחזקה מתקנ"ח ולא מילפותא</w:t>
      </w:r>
      <w:bookmarkEnd w:id="6059"/>
      <w:bookmarkEnd w:id="6060"/>
    </w:p>
    <w:p w:rsidR="00E874E8" w:rsidRDefault="00E874E8" w:rsidP="00E874E8">
      <w:pPr>
        <w:pStyle w:val="a3"/>
        <w:rPr>
          <w:rtl/>
        </w:rPr>
      </w:pPr>
      <w:bookmarkStart w:id="6061" w:name="_Toc56626731"/>
      <w:bookmarkStart w:id="6062" w:name="_Toc56630199"/>
      <w:bookmarkStart w:id="6063" w:name="_Toc56637062"/>
      <w:bookmarkStart w:id="6064" w:name="_Toc56638197"/>
      <w:bookmarkStart w:id="6065" w:name="_Toc56641046"/>
      <w:r>
        <w:rPr>
          <w:rFonts w:hint="cs"/>
          <w:rtl/>
        </w:rPr>
        <w:t>קושית הגרנ"פ על התוס' בסוגיין דלרבא החזקה היא מסברא ומה הוקשה לתוס' דיש ילפותא</w:t>
      </w:r>
      <w:bookmarkEnd w:id="6061"/>
      <w:bookmarkEnd w:id="6062"/>
      <w:bookmarkEnd w:id="6063"/>
      <w:bookmarkEnd w:id="6064"/>
      <w:bookmarkEnd w:id="6065"/>
    </w:p>
    <w:p w:rsidR="00E874E8" w:rsidRDefault="00E874E8" w:rsidP="007E4E81">
      <w:pPr>
        <w:pStyle w:val="a0"/>
        <w:rPr>
          <w:rtl/>
        </w:rPr>
      </w:pPr>
      <w:r>
        <w:rPr>
          <w:rFonts w:hint="cs"/>
          <w:rtl/>
        </w:rPr>
        <w:t>ועוד הביא</w:t>
      </w:r>
      <w:r w:rsidRPr="00C41AF8">
        <w:rPr>
          <w:rStyle w:val="af9"/>
          <w:rFonts w:hint="cs"/>
          <w:rtl/>
        </w:rPr>
        <w:t xml:space="preserve"> בחי' רבי נחום </w:t>
      </w:r>
      <w:r w:rsidRPr="00C41AF8">
        <w:rPr>
          <w:rStyle w:val="af7"/>
          <w:rFonts w:eastAsia="Guttman Hodes" w:hint="cs"/>
          <w:rtl/>
        </w:rPr>
        <w:t>(או' כ"ז ד"ה והנה בתוס')</w:t>
      </w:r>
      <w:r>
        <w:rPr>
          <w:rFonts w:hint="cs"/>
          <w:rtl/>
        </w:rPr>
        <w:t xml:space="preserve"> את דברי </w:t>
      </w:r>
      <w:r w:rsidRPr="00ED4069">
        <w:rPr>
          <w:rStyle w:val="af9"/>
          <w:rFonts w:hint="cs"/>
          <w:rtl/>
        </w:rPr>
        <w:t>התוס'</w:t>
      </w:r>
      <w:r>
        <w:rPr>
          <w:rStyle w:val="af9"/>
          <w:rFonts w:hint="cs"/>
          <w:rtl/>
        </w:rPr>
        <w:t xml:space="preserve"> בסוגיין</w:t>
      </w:r>
      <w:r w:rsidRPr="00ED4069">
        <w:rPr>
          <w:rStyle w:val="af9"/>
          <w:rFonts w:hint="cs"/>
          <w:rtl/>
        </w:rPr>
        <w:t xml:space="preserve"> </w:t>
      </w:r>
      <w:r w:rsidRPr="00ED4069">
        <w:rPr>
          <w:rStyle w:val="af7"/>
          <w:rFonts w:eastAsia="Guttman Hodes" w:hint="cs"/>
          <w:rtl/>
        </w:rPr>
        <w:t>(ד"ה שתא)</w:t>
      </w:r>
      <w:r>
        <w:rPr>
          <w:rFonts w:hint="cs"/>
          <w:rtl/>
        </w:rPr>
        <w:t xml:space="preserve"> דהקשו על התירוץ הראשון של דטעמא דחזקה הוא כיון דרק בשנה השלישית הבעלים מקפיד, דא"כ אפש"ל דאף לרבנן ילפינן משור המועד, והקשה </w:t>
      </w:r>
      <w:r w:rsidRPr="00406DB3">
        <w:rPr>
          <w:rStyle w:val="af9"/>
          <w:rFonts w:hint="cs"/>
          <w:rtl/>
        </w:rPr>
        <w:t>בחי' רבי נחום</w:t>
      </w:r>
      <w:r>
        <w:rPr>
          <w:rFonts w:hint="cs"/>
          <w:rtl/>
        </w:rPr>
        <w:t xml:space="preserve"> דמה הוקשה </w:t>
      </w:r>
      <w:r w:rsidRPr="00406DB3">
        <w:rPr>
          <w:rStyle w:val="af9"/>
          <w:rFonts w:hint="cs"/>
          <w:rtl/>
        </w:rPr>
        <w:t>להתוס'</w:t>
      </w:r>
      <w:r>
        <w:rPr>
          <w:rFonts w:hint="cs"/>
          <w:rtl/>
        </w:rPr>
        <w:t xml:space="preserve"> והא לרבא לא יליפינן חזקה מפסוק אלא מסברא, וא"כ כוונת רבא לומר דלרבנן א"צ ילפותא לחזקה.</w:t>
      </w:r>
    </w:p>
    <w:p w:rsidR="00E874E8" w:rsidRPr="00924821" w:rsidRDefault="00E874E8" w:rsidP="00E874E8">
      <w:pPr>
        <w:pStyle w:val="a3"/>
      </w:pPr>
      <w:bookmarkStart w:id="6066" w:name="_Toc56630200"/>
      <w:bookmarkStart w:id="6067" w:name="_Toc56637063"/>
      <w:bookmarkStart w:id="6068" w:name="_Toc56638198"/>
      <w:bookmarkStart w:id="6069" w:name="_Toc56641047"/>
      <w:r>
        <w:rPr>
          <w:rFonts w:hint="cs"/>
          <w:rtl/>
        </w:rPr>
        <w:t>ביאור הגרנ"פ בתוס' דהחזקה מתקנ"ח והקשו התוס' דמנליה דהיא תקנה ולא ילפותא</w:t>
      </w:r>
      <w:bookmarkEnd w:id="6066"/>
      <w:bookmarkEnd w:id="6067"/>
      <w:bookmarkEnd w:id="6068"/>
      <w:bookmarkEnd w:id="6069"/>
    </w:p>
    <w:p w:rsidR="00E874E8" w:rsidRDefault="00E874E8" w:rsidP="007E4E81">
      <w:pPr>
        <w:pStyle w:val="a0"/>
        <w:rPr>
          <w:rtl/>
        </w:rPr>
      </w:pPr>
      <w:r>
        <w:rPr>
          <w:rFonts w:hint="cs"/>
          <w:rtl/>
        </w:rPr>
        <w:t xml:space="preserve">וכתב </w:t>
      </w:r>
      <w:r w:rsidRPr="00406DB3">
        <w:rPr>
          <w:rStyle w:val="af9"/>
          <w:rFonts w:hint="cs"/>
          <w:rtl/>
        </w:rPr>
        <w:t>בחי' רבי נחום</w:t>
      </w:r>
      <w:r>
        <w:rPr>
          <w:rFonts w:hint="cs"/>
          <w:rtl/>
        </w:rPr>
        <w:t xml:space="preserve"> דלפי ביאור </w:t>
      </w:r>
      <w:r w:rsidRPr="00406DB3">
        <w:rPr>
          <w:rStyle w:val="af9"/>
          <w:rFonts w:hint="cs"/>
          <w:rtl/>
        </w:rPr>
        <w:t xml:space="preserve">הקצוה"ח </w:t>
      </w:r>
      <w:r w:rsidRPr="00DC60B2">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Ref56617954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Pr>
          <w:rStyle w:val="af7"/>
          <w:rFonts w:eastAsia="Guttman Hodes"/>
          <w:rtl/>
        </w:rPr>
        <w:fldChar w:fldCharType="end"/>
      </w:r>
      <w:r>
        <w:rPr>
          <w:rStyle w:val="af7"/>
          <w:rFonts w:eastAsia="Guttman Hodes" w:hint="cs"/>
          <w:rtl/>
        </w:rPr>
        <w:t xml:space="preserve"> </w:t>
      </w:r>
      <w:r>
        <w:rPr>
          <w:rFonts w:hint="cs"/>
          <w:rtl/>
        </w:rPr>
        <w:t xml:space="preserve">בדעת </w:t>
      </w:r>
      <w:r w:rsidRPr="00406DB3">
        <w:rPr>
          <w:rStyle w:val="af9"/>
          <w:rFonts w:hint="cs"/>
          <w:rtl/>
        </w:rPr>
        <w:t>התוס'</w:t>
      </w:r>
      <w:r>
        <w:rPr>
          <w:rStyle w:val="af9"/>
          <w:rFonts w:hint="cs"/>
          <w:rtl/>
        </w:rPr>
        <w:t xml:space="preserve"> לקמן</w:t>
      </w:r>
      <w:r w:rsidRPr="00406DB3">
        <w:rPr>
          <w:rStyle w:val="af9"/>
          <w:rFonts w:hint="cs"/>
          <w:rtl/>
        </w:rPr>
        <w:t xml:space="preserve"> </w:t>
      </w:r>
      <w:r>
        <w:rPr>
          <w:rFonts w:hint="cs"/>
          <w:rtl/>
        </w:rPr>
        <w:t xml:space="preserve">דהחזקה היא תקנת חכמים, מבוארת קושית </w:t>
      </w:r>
      <w:r w:rsidRPr="00924821">
        <w:rPr>
          <w:rStyle w:val="af9"/>
          <w:rFonts w:hint="cs"/>
          <w:rtl/>
        </w:rPr>
        <w:t>התוס' בסוגיין</w:t>
      </w:r>
      <w:r>
        <w:rPr>
          <w:rFonts w:hint="cs"/>
          <w:rtl/>
        </w:rPr>
        <w:t xml:space="preserve"> דכיון דלמסקנת דברי רבא החזקה היא מתקנת חכמים, א"כ אף לתירוץ הראשון של רבא היא תקנת חכמים, וע"ז הקשו </w:t>
      </w:r>
      <w:r w:rsidRPr="00924821">
        <w:rPr>
          <w:rStyle w:val="af9"/>
          <w:rFonts w:hint="cs"/>
          <w:rtl/>
        </w:rPr>
        <w:t>התוס' בסוגיין</w:t>
      </w:r>
      <w:r>
        <w:rPr>
          <w:rFonts w:hint="cs"/>
          <w:rtl/>
        </w:rPr>
        <w:t xml:space="preserve"> דהרי כיון דלכו"ע משור המועד ילפינן דמדאו' ג"פ הוי חזקה, א"כ מנליה לרבא דלרבנן חזקת ג"ש היא תקנה ולא ילפותא, ותירצו </w:t>
      </w:r>
      <w:r w:rsidRPr="00B62A56">
        <w:rPr>
          <w:rStyle w:val="af9"/>
          <w:rFonts w:hint="cs"/>
          <w:rtl/>
        </w:rPr>
        <w:t xml:space="preserve">התוס' </w:t>
      </w:r>
      <w:r w:rsidRPr="00924821">
        <w:rPr>
          <w:rStyle w:val="af9"/>
          <w:rFonts w:hint="cs"/>
          <w:rtl/>
        </w:rPr>
        <w:t>בסוגיין</w:t>
      </w:r>
      <w:r>
        <w:rPr>
          <w:rFonts w:hint="cs"/>
          <w:rtl/>
        </w:rPr>
        <w:t xml:space="preserve"> דלדעת רבנן דהחזקה תלויה בג"ש, </w:t>
      </w:r>
      <w:r w:rsidRPr="00406DB3">
        <w:rPr>
          <w:rStyle w:val="afb"/>
          <w:rFonts w:hint="cs"/>
          <w:rtl/>
        </w:rPr>
        <w:t>[ולא בג' אכילות],</w:t>
      </w:r>
      <w:r>
        <w:rPr>
          <w:rFonts w:hint="cs"/>
          <w:rtl/>
        </w:rPr>
        <w:t xml:space="preserve"> וא"א ללמוד מג"פ בשור המועד, לשיעור הזמן של ג"ש.</w:t>
      </w:r>
    </w:p>
    <w:p w:rsidR="00E874E8" w:rsidRDefault="00E874E8" w:rsidP="00E874E8">
      <w:pPr>
        <w:pStyle w:val="1"/>
        <w:rPr>
          <w:rtl/>
        </w:rPr>
      </w:pPr>
      <w:bookmarkStart w:id="6070" w:name="_Toc56609872"/>
      <w:bookmarkStart w:id="6071" w:name="_Toc56626737"/>
      <w:bookmarkStart w:id="6072" w:name="_Toc56630206"/>
      <w:bookmarkStart w:id="6073" w:name="_Toc56637069"/>
      <w:bookmarkStart w:id="6074" w:name="_Toc56638199"/>
      <w:bookmarkStart w:id="6075" w:name="_Toc56641048"/>
      <w:r>
        <w:rPr>
          <w:rFonts w:hint="cs"/>
          <w:rtl/>
        </w:rPr>
        <w:t>ביאור רבי ראובן בתוס'</w:t>
      </w:r>
      <w:bookmarkEnd w:id="6070"/>
      <w:bookmarkEnd w:id="6071"/>
      <w:bookmarkEnd w:id="6072"/>
      <w:bookmarkEnd w:id="6073"/>
      <w:r>
        <w:rPr>
          <w:rFonts w:hint="cs"/>
          <w:rtl/>
        </w:rPr>
        <w:t xml:space="preserve"> דהמחזיק סומך על דין חזקה מדלא קפיד</w:t>
      </w:r>
      <w:bookmarkEnd w:id="6074"/>
      <w:bookmarkEnd w:id="6075"/>
    </w:p>
    <w:p w:rsidR="00E874E8" w:rsidRPr="00A07C6E" w:rsidRDefault="00E874E8" w:rsidP="00E874E8">
      <w:pPr>
        <w:pStyle w:val="a3"/>
      </w:pPr>
      <w:bookmarkStart w:id="6076" w:name="_Toc56626738"/>
      <w:bookmarkStart w:id="6077" w:name="_Toc56630207"/>
      <w:bookmarkStart w:id="6078" w:name="_Toc56637070"/>
      <w:bookmarkStart w:id="6079" w:name="_Toc56638200"/>
      <w:bookmarkStart w:id="6080" w:name="_Toc56641049"/>
      <w:r>
        <w:rPr>
          <w:rFonts w:hint="cs"/>
          <w:rtl/>
        </w:rPr>
        <w:t>ביאור רבי ראובן בתוס' כנתיה"מ דלא נזהר בשטר דסומך על החזקה ולא מחמת שלא יערער</w:t>
      </w:r>
      <w:bookmarkEnd w:id="6076"/>
      <w:bookmarkEnd w:id="6077"/>
      <w:bookmarkEnd w:id="6078"/>
      <w:bookmarkEnd w:id="6079"/>
      <w:bookmarkEnd w:id="6080"/>
    </w:p>
    <w:p w:rsidR="00E874E8" w:rsidRDefault="00E874E8" w:rsidP="007E4E81">
      <w:pPr>
        <w:pStyle w:val="a0"/>
        <w:rPr>
          <w:rtl/>
        </w:rPr>
      </w:pPr>
      <w:bookmarkStart w:id="6081" w:name="_Ref56626994"/>
      <w:r>
        <w:rPr>
          <w:rFonts w:hint="cs"/>
          <w:rtl/>
        </w:rPr>
        <w:t xml:space="preserve">במה שביאר </w:t>
      </w:r>
      <w:r w:rsidRPr="00406DB3">
        <w:rPr>
          <w:rStyle w:val="af9"/>
          <w:rFonts w:hint="cs"/>
          <w:rtl/>
        </w:rPr>
        <w:t>הקצוה"ח</w:t>
      </w:r>
      <w:r w:rsidRPr="005F0988">
        <w:rPr>
          <w:rStyle w:val="af7"/>
          <w:rFonts w:eastAsia="Guttman Hodes" w:hint="cs"/>
          <w:rtl/>
        </w:rPr>
        <w:t xml:space="preserve"> (עי' אות </w:t>
      </w:r>
      <w:r w:rsidRPr="005F0988">
        <w:rPr>
          <w:rStyle w:val="af7"/>
          <w:rFonts w:eastAsia="Guttman Hodes"/>
          <w:rtl/>
        </w:rPr>
        <w:fldChar w:fldCharType="begin"/>
      </w:r>
      <w:r w:rsidRPr="005F0988">
        <w:rPr>
          <w:rStyle w:val="af7"/>
          <w:rFonts w:eastAsia="Guttman Hodes"/>
          <w:rtl/>
        </w:rPr>
        <w:instrText xml:space="preserve"> </w:instrText>
      </w:r>
      <w:r w:rsidRPr="005F0988">
        <w:rPr>
          <w:rStyle w:val="af7"/>
          <w:rFonts w:eastAsia="Guttman Hodes" w:hint="cs"/>
        </w:rPr>
        <w:instrText>REF</w:instrText>
      </w:r>
      <w:r w:rsidRPr="005F0988">
        <w:rPr>
          <w:rStyle w:val="af7"/>
          <w:rFonts w:eastAsia="Guttman Hodes" w:hint="cs"/>
          <w:rtl/>
        </w:rPr>
        <w:instrText xml:space="preserve"> _</w:instrText>
      </w:r>
      <w:r w:rsidRPr="005F0988">
        <w:rPr>
          <w:rStyle w:val="af7"/>
          <w:rFonts w:eastAsia="Guttman Hodes" w:hint="cs"/>
        </w:rPr>
        <w:instrText>Ref56617954 \r \h</w:instrText>
      </w:r>
      <w:r w:rsidRPr="005F0988">
        <w:rPr>
          <w:rStyle w:val="af7"/>
          <w:rFonts w:eastAsia="Guttman Hodes"/>
          <w:rtl/>
        </w:rPr>
        <w:instrText xml:space="preserve"> </w:instrText>
      </w:r>
      <w:r w:rsidRPr="005F0988">
        <w:rPr>
          <w:rStyle w:val="af7"/>
          <w:rFonts w:eastAsia="Guttman Hodes"/>
          <w:rtl/>
        </w:rPr>
      </w:r>
      <w:r w:rsidRPr="005F0988">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5F0988">
        <w:rPr>
          <w:rStyle w:val="af7"/>
          <w:rFonts w:eastAsia="Guttman Hodes"/>
          <w:rtl/>
        </w:rPr>
        <w:fldChar w:fldCharType="end"/>
      </w:r>
      <w:r w:rsidRPr="005F0988">
        <w:rPr>
          <w:rStyle w:val="af7"/>
          <w:rFonts w:eastAsia="Guttman Hodes" w:hint="cs"/>
          <w:rtl/>
        </w:rPr>
        <w:t xml:space="preserve"> </w:t>
      </w:r>
      <w:r>
        <w:rPr>
          <w:rFonts w:hint="cs"/>
          <w:rtl/>
        </w:rPr>
        <w:t>בדברי</w:t>
      </w:r>
      <w:r>
        <w:rPr>
          <w:rStyle w:val="af9"/>
          <w:rFonts w:hint="cs"/>
          <w:rtl/>
        </w:rPr>
        <w:t xml:space="preserve"> התוס'</w:t>
      </w:r>
      <w:r>
        <w:rPr>
          <w:rFonts w:hint="cs"/>
          <w:rtl/>
        </w:rPr>
        <w:t xml:space="preserve"> דחזקת ג"ש היא מתקנת חכמים, ולכן הקשו </w:t>
      </w:r>
      <w:r w:rsidRPr="00376614">
        <w:rPr>
          <w:rStyle w:val="af9"/>
          <w:rFonts w:hint="cs"/>
          <w:rtl/>
        </w:rPr>
        <w:t xml:space="preserve">התוס' </w:t>
      </w:r>
      <w:r>
        <w:rPr>
          <w:rFonts w:hint="cs"/>
          <w:rtl/>
        </w:rPr>
        <w:t>דאי המערער יכול לטעון לפירות הורדתיו, מה הועילו חכמים בתקנתם, דעדיין הוא לשמור את שטרו לעולםשמא יטען לפירות הורדתיך,</w:t>
      </w:r>
      <w:r w:rsidRPr="00525C2A">
        <w:rPr>
          <w:rFonts w:hint="cs"/>
          <w:rtl/>
        </w:rPr>
        <w:t xml:space="preserve"> </w:t>
      </w:r>
      <w:r>
        <w:rPr>
          <w:rFonts w:hint="cs"/>
          <w:rtl/>
        </w:rPr>
        <w:t xml:space="preserve">כתב </w:t>
      </w:r>
      <w:r w:rsidRPr="001E2846">
        <w:rPr>
          <w:rStyle w:val="af9"/>
          <w:rFonts w:hint="cs"/>
          <w:rtl/>
        </w:rPr>
        <w:t>בחי' רבי ראובן</w:t>
      </w:r>
      <w:r>
        <w:rPr>
          <w:rFonts w:hint="cs"/>
          <w:rtl/>
        </w:rPr>
        <w:t xml:space="preserve"> </w:t>
      </w:r>
      <w:r w:rsidRPr="000F412D">
        <w:rPr>
          <w:rStyle w:val="af7"/>
          <w:rFonts w:eastAsia="Guttman Hodes" w:hint="cs"/>
          <w:rtl/>
        </w:rPr>
        <w:t>(סי' י"א ד"ה ועתה)</w:t>
      </w:r>
      <w:r>
        <w:rPr>
          <w:rFonts w:hint="cs"/>
          <w:rtl/>
        </w:rPr>
        <w:t xml:space="preserve"> דביאור </w:t>
      </w:r>
      <w:r w:rsidRPr="001E2846">
        <w:rPr>
          <w:rStyle w:val="af9"/>
          <w:rFonts w:hint="cs"/>
          <w:rtl/>
        </w:rPr>
        <w:t>הקצוה"ח</w:t>
      </w:r>
      <w:r>
        <w:rPr>
          <w:rFonts w:hint="cs"/>
          <w:rtl/>
        </w:rPr>
        <w:t xml:space="preserve"> </w:t>
      </w:r>
      <w:r w:rsidRPr="001E2846">
        <w:rPr>
          <w:rStyle w:val="af9"/>
          <w:rFonts w:hint="cs"/>
          <w:rtl/>
        </w:rPr>
        <w:t>בתוס' לקמן</w:t>
      </w:r>
      <w:r>
        <w:rPr>
          <w:rFonts w:hint="cs"/>
          <w:rtl/>
        </w:rPr>
        <w:t xml:space="preserve"> הוא דוחק, אלא כתב </w:t>
      </w:r>
      <w:r w:rsidRPr="001E2846">
        <w:rPr>
          <w:rStyle w:val="af9"/>
          <w:rFonts w:hint="cs"/>
          <w:rtl/>
        </w:rPr>
        <w:t>בחי' רבי ראובן</w:t>
      </w:r>
      <w:r>
        <w:rPr>
          <w:rFonts w:hint="cs"/>
          <w:rtl/>
        </w:rPr>
        <w:t xml:space="preserve"> </w:t>
      </w:r>
      <w:r w:rsidRPr="000F412D">
        <w:rPr>
          <w:rStyle w:val="af7"/>
          <w:rFonts w:eastAsia="Guttman Hodes" w:hint="cs"/>
          <w:rtl/>
        </w:rPr>
        <w:t>(סי' י"א ד"ה ונראה לבאר)</w:t>
      </w:r>
      <w:r>
        <w:rPr>
          <w:rFonts w:hint="cs"/>
          <w:rtl/>
        </w:rPr>
        <w:t xml:space="preserve"> דהביאור בדברי </w:t>
      </w:r>
      <w:r w:rsidRPr="000F412D">
        <w:rPr>
          <w:rStyle w:val="af9"/>
          <w:rFonts w:hint="cs"/>
          <w:rtl/>
        </w:rPr>
        <w:t xml:space="preserve">התוס' </w:t>
      </w:r>
      <w:r>
        <w:rPr>
          <w:rFonts w:hint="cs"/>
          <w:rtl/>
        </w:rPr>
        <w:t xml:space="preserve">הוא כמבואר בדברי </w:t>
      </w:r>
      <w:r w:rsidRPr="001166C4">
        <w:rPr>
          <w:rStyle w:val="af9"/>
          <w:rFonts w:hint="cs"/>
          <w:rtl/>
        </w:rPr>
        <w:t>הנתיה"מ</w:t>
      </w:r>
      <w:r>
        <w:rPr>
          <w:rStyle w:val="af9"/>
          <w:rFonts w:hint="cs"/>
          <w:rtl/>
        </w:rPr>
        <w:t xml:space="preserve"> </w:t>
      </w:r>
      <w:r w:rsidRPr="001166C4">
        <w:rPr>
          <w:rStyle w:val="af7"/>
          <w:rFonts w:eastAsia="Guttman Hodes" w:hint="cs"/>
          <w:rtl/>
        </w:rPr>
        <w:t>(סי' קמ"ד סק"ג ד"ה אמנם</w:t>
      </w:r>
      <w:r>
        <w:rPr>
          <w:rStyle w:val="af7"/>
          <w:rFonts w:eastAsia="Guttman Hodes" w:hint="cs"/>
          <w:rtl/>
        </w:rPr>
        <w:t>)</w:t>
      </w:r>
      <w:r>
        <w:rPr>
          <w:rFonts w:hint="cs"/>
          <w:rtl/>
        </w:rPr>
        <w:t xml:space="preserve"> </w:t>
      </w:r>
      <w:r w:rsidRPr="00B324DF">
        <w:rPr>
          <w:rStyle w:val="afb"/>
          <w:rFonts w:hint="cs"/>
          <w:rtl/>
        </w:rPr>
        <w:t>[</w:t>
      </w:r>
      <w:r>
        <w:rPr>
          <w:rStyle w:val="afb"/>
          <w:rFonts w:hint="cs"/>
          <w:rtl/>
        </w:rPr>
        <w:t>ו</w:t>
      </w:r>
      <w:r w:rsidRPr="00B324DF">
        <w:rPr>
          <w:rStyle w:val="afb"/>
          <w:rFonts w:hint="cs"/>
          <w:rtl/>
        </w:rPr>
        <w:t xml:space="preserve">כדביאר </w:t>
      </w:r>
      <w:r w:rsidRPr="000F412D">
        <w:rPr>
          <w:rStyle w:val="affa"/>
          <w:rFonts w:hint="cs"/>
          <w:rtl/>
        </w:rPr>
        <w:t>בחי' רבי ראובן</w:t>
      </w:r>
      <w:r w:rsidRPr="00B324DF">
        <w:rPr>
          <w:rStyle w:val="afb"/>
          <w:rFonts w:hint="cs"/>
          <w:rtl/>
        </w:rPr>
        <w:t xml:space="preserve"> </w:t>
      </w:r>
      <w:r w:rsidRPr="005F0988">
        <w:rPr>
          <w:rStyle w:val="aff6"/>
          <w:rFonts w:hint="cs"/>
          <w:rtl/>
        </w:rPr>
        <w:t>(</w:t>
      </w:r>
      <w:r w:rsidRPr="005F0988">
        <w:rPr>
          <w:rStyle w:val="aff6"/>
          <w:rtl/>
        </w:rPr>
        <w:t>סי' י"א</w:t>
      </w:r>
      <w:r w:rsidRPr="005F0988">
        <w:rPr>
          <w:rStyle w:val="aff6"/>
          <w:rFonts w:hint="cs"/>
          <w:rtl/>
        </w:rPr>
        <w:t xml:space="preserve"> ד"ה ובהנתיה"מ, הובא בסימן ה' אות ע"א) </w:t>
      </w:r>
      <w:r w:rsidRPr="00B324DF">
        <w:rPr>
          <w:rStyle w:val="afb"/>
          <w:rFonts w:hint="cs"/>
          <w:rtl/>
        </w:rPr>
        <w:t xml:space="preserve">בדבריו] </w:t>
      </w:r>
      <w:r>
        <w:rPr>
          <w:rFonts w:hint="cs"/>
          <w:rtl/>
        </w:rPr>
        <w:t xml:space="preserve">דהא דאין המחזיק נזהר בשטרו, אינו מחמת שסומך שלא יערער דהא דאין המחזיק נזהר בשטרו, הוא </w:t>
      </w:r>
      <w:r>
        <w:rPr>
          <w:rtl/>
        </w:rPr>
        <w:t>רק כש</w:t>
      </w:r>
      <w:r>
        <w:rPr>
          <w:rFonts w:hint="cs"/>
          <w:rtl/>
        </w:rPr>
        <w:t xml:space="preserve">סומך על החזקה שאף בלא השטר הקרקע בחזקתו, ולא מחמת שסומך שלא יערער </w:t>
      </w:r>
      <w:r>
        <w:rPr>
          <w:rFonts w:hint="cs"/>
          <w:rtl/>
        </w:rPr>
        <w:t>עליו עוד.</w:t>
      </w:r>
      <w:r w:rsidRPr="007338D0">
        <w:rPr>
          <w:rStyle w:val="afb"/>
          <w:rFonts w:hint="cs"/>
          <w:rtl/>
        </w:rPr>
        <w:t xml:space="preserve"> [וד</w:t>
      </w:r>
      <w:r>
        <w:rPr>
          <w:rStyle w:val="afb"/>
          <w:rFonts w:hint="cs"/>
          <w:rtl/>
        </w:rPr>
        <w:t xml:space="preserve">לא </w:t>
      </w:r>
      <w:r w:rsidRPr="00C13CCE">
        <w:rPr>
          <w:rStyle w:val="affa"/>
          <w:rFonts w:hint="cs"/>
          <w:rtl/>
        </w:rPr>
        <w:t>כ</w:t>
      </w:r>
      <w:r w:rsidRPr="004B6E60">
        <w:rPr>
          <w:rStyle w:val="affa"/>
          <w:rFonts w:hint="cs"/>
          <w:rtl/>
        </w:rPr>
        <w:t>הרשב"</w:t>
      </w:r>
      <w:r>
        <w:rPr>
          <w:rStyle w:val="affa"/>
          <w:rFonts w:hint="cs"/>
          <w:rtl/>
        </w:rPr>
        <w:t>א</w:t>
      </w:r>
      <w:r w:rsidRPr="00FA0BCF">
        <w:rPr>
          <w:rStyle w:val="afb"/>
          <w:rFonts w:hint="cs"/>
          <w:rtl/>
        </w:rPr>
        <w:t xml:space="preserve"> </w:t>
      </w:r>
      <w:r w:rsidRPr="00FA0BCF">
        <w:rPr>
          <w:rStyle w:val="aff6"/>
          <w:rFonts w:hint="cs"/>
          <w:rtl/>
        </w:rPr>
        <w:t>(ד"ה אלא</w:t>
      </w:r>
      <w:r w:rsidRPr="008E4944">
        <w:rPr>
          <w:rStyle w:val="aff6"/>
          <w:rFonts w:hint="cs"/>
          <w:rtl/>
        </w:rPr>
        <w:t>, הובא בסימן ה' אות מ"</w:t>
      </w:r>
      <w:r>
        <w:rPr>
          <w:rStyle w:val="aff6"/>
          <w:rFonts w:hint="cs"/>
          <w:rtl/>
        </w:rPr>
        <w:t>ה</w:t>
      </w:r>
      <w:r w:rsidRPr="008E4944">
        <w:rPr>
          <w:rStyle w:val="aff6"/>
          <w:rFonts w:hint="cs"/>
          <w:rtl/>
        </w:rPr>
        <w:t>)</w:t>
      </w:r>
      <w:r>
        <w:rPr>
          <w:rStyle w:val="aff6"/>
          <w:rFonts w:hint="cs"/>
          <w:rtl/>
        </w:rPr>
        <w:t xml:space="preserve"> </w:t>
      </w:r>
      <w:r w:rsidRPr="004B6E60">
        <w:rPr>
          <w:rStyle w:val="affa"/>
          <w:rFonts w:hint="cs"/>
          <w:rtl/>
        </w:rPr>
        <w:t>ו</w:t>
      </w:r>
      <w:r w:rsidRPr="00C13CCE">
        <w:rPr>
          <w:rStyle w:val="affa"/>
          <w:rFonts w:hint="cs"/>
          <w:rtl/>
        </w:rPr>
        <w:t>ה</w:t>
      </w:r>
      <w:r w:rsidRPr="004B6E60">
        <w:rPr>
          <w:rStyle w:val="affa"/>
          <w:rFonts w:hint="cs"/>
          <w:rtl/>
        </w:rPr>
        <w:t>יד רמ"ה</w:t>
      </w:r>
      <w:r w:rsidRPr="0004162B">
        <w:rPr>
          <w:rStyle w:val="afb"/>
          <w:rFonts w:hint="cs"/>
          <w:rtl/>
        </w:rPr>
        <w:t xml:space="preserve"> </w:t>
      </w:r>
      <w:r w:rsidRPr="00822394">
        <w:rPr>
          <w:rStyle w:val="aff6"/>
          <w:rFonts w:hint="cs"/>
          <w:rtl/>
        </w:rPr>
        <w:t xml:space="preserve">(עי' אות </w:t>
      </w:r>
      <w:r w:rsidRPr="00822394">
        <w:rPr>
          <w:rStyle w:val="aff6"/>
          <w:rtl/>
        </w:rPr>
        <w:fldChar w:fldCharType="begin"/>
      </w:r>
      <w:r w:rsidRPr="00822394">
        <w:rPr>
          <w:rStyle w:val="aff6"/>
          <w:rtl/>
        </w:rPr>
        <w:instrText xml:space="preserve"> </w:instrText>
      </w:r>
      <w:r w:rsidRPr="00822394">
        <w:rPr>
          <w:rStyle w:val="aff6"/>
          <w:rFonts w:hint="cs"/>
        </w:rPr>
        <w:instrText>REF</w:instrText>
      </w:r>
      <w:r w:rsidRPr="00822394">
        <w:rPr>
          <w:rStyle w:val="aff6"/>
          <w:rFonts w:hint="cs"/>
          <w:rtl/>
        </w:rPr>
        <w:instrText xml:space="preserve"> _</w:instrText>
      </w:r>
      <w:r w:rsidRPr="00822394">
        <w:rPr>
          <w:rStyle w:val="aff6"/>
          <w:rFonts w:hint="cs"/>
        </w:rPr>
        <w:instrText>Ref55809540 \r \h</w:instrText>
      </w:r>
      <w:r w:rsidRPr="00822394">
        <w:rPr>
          <w:rStyle w:val="aff6"/>
          <w:rtl/>
        </w:rPr>
        <w:instrText xml:space="preserve"> </w:instrText>
      </w:r>
      <w:r w:rsidRPr="00822394">
        <w:rPr>
          <w:rStyle w:val="aff6"/>
          <w:rtl/>
        </w:rPr>
      </w:r>
      <w:r w:rsidRPr="00822394">
        <w:rPr>
          <w:rStyle w:val="aff6"/>
          <w:rtl/>
        </w:rPr>
        <w:fldChar w:fldCharType="separate"/>
      </w:r>
      <w:r w:rsidR="00265073">
        <w:rPr>
          <w:rStyle w:val="aff6"/>
          <w:cs/>
        </w:rPr>
        <w:t>‎</w:t>
      </w:r>
      <w:r w:rsidR="00265073">
        <w:rPr>
          <w:rStyle w:val="aff6"/>
          <w:rtl/>
        </w:rPr>
        <w:t>נח)</w:t>
      </w:r>
      <w:r w:rsidRPr="00822394">
        <w:rPr>
          <w:rStyle w:val="aff6"/>
          <w:rtl/>
        </w:rPr>
        <w:fldChar w:fldCharType="end"/>
      </w:r>
      <w:r>
        <w:rPr>
          <w:rStyle w:val="af7"/>
          <w:rFonts w:eastAsia="Guttman Hodes" w:hint="cs"/>
          <w:rtl/>
        </w:rPr>
        <w:t xml:space="preserve"> </w:t>
      </w:r>
      <w:r w:rsidRPr="0004162B">
        <w:rPr>
          <w:rStyle w:val="afb"/>
          <w:rFonts w:hint="cs"/>
          <w:rtl/>
        </w:rPr>
        <w:t>דכתב</w:t>
      </w:r>
      <w:r>
        <w:rPr>
          <w:rStyle w:val="afb"/>
          <w:rFonts w:hint="cs"/>
          <w:rtl/>
        </w:rPr>
        <w:t>ו</w:t>
      </w:r>
      <w:r w:rsidRPr="0004162B">
        <w:rPr>
          <w:rStyle w:val="afb"/>
          <w:rFonts w:hint="cs"/>
          <w:rtl/>
        </w:rPr>
        <w:t xml:space="preserve"> </w:t>
      </w:r>
      <w:r>
        <w:rPr>
          <w:rStyle w:val="afb"/>
          <w:rFonts w:hint="cs"/>
          <w:rtl/>
        </w:rPr>
        <w:t>ד</w:t>
      </w:r>
      <w:r w:rsidRPr="0004162B">
        <w:rPr>
          <w:rStyle w:val="afb"/>
          <w:rFonts w:hint="cs"/>
          <w:rtl/>
        </w:rPr>
        <w:t xml:space="preserve">לאחר ג"ש </w:t>
      </w:r>
      <w:r>
        <w:rPr>
          <w:rStyle w:val="afb"/>
          <w:rFonts w:hint="cs"/>
          <w:rtl/>
        </w:rPr>
        <w:t xml:space="preserve">ששתק </w:t>
      </w:r>
      <w:r w:rsidRPr="0004162B">
        <w:rPr>
          <w:rStyle w:val="afb"/>
          <w:rFonts w:hint="cs"/>
          <w:rtl/>
        </w:rPr>
        <w:t>המרא קמא, הוא בוטח שלא יחזו</w:t>
      </w:r>
      <w:r>
        <w:rPr>
          <w:rStyle w:val="afb"/>
          <w:rFonts w:hint="cs"/>
          <w:rtl/>
        </w:rPr>
        <w:t xml:space="preserve">ר ויערער עליו, ואינו נזהר </w:t>
      </w:r>
      <w:r w:rsidRPr="007338D0">
        <w:rPr>
          <w:rStyle w:val="afb"/>
          <w:rFonts w:hint="cs"/>
          <w:rtl/>
        </w:rPr>
        <w:t>בשטרו].</w:t>
      </w:r>
      <w:bookmarkEnd w:id="6081"/>
    </w:p>
    <w:p w:rsidR="00E874E8" w:rsidRPr="002213F2" w:rsidRDefault="00E874E8" w:rsidP="00E874E8">
      <w:pPr>
        <w:pStyle w:val="a3"/>
        <w:rPr>
          <w:rtl/>
        </w:rPr>
      </w:pPr>
      <w:bookmarkStart w:id="6082" w:name="_Toc56638201"/>
      <w:bookmarkStart w:id="6083" w:name="_Toc56641050"/>
      <w:bookmarkStart w:id="6084" w:name="_Toc56630208"/>
      <w:bookmarkStart w:id="6085" w:name="_Toc56637071"/>
      <w:r>
        <w:rPr>
          <w:rFonts w:hint="cs"/>
          <w:rtl/>
        </w:rPr>
        <w:t>ביאור רבי ראובן בתוס' דרבא לא חזר מהתי' דקפיד אחר ג"ש וכל שלא מחה ודאי מכר</w:t>
      </w:r>
      <w:bookmarkEnd w:id="6082"/>
      <w:bookmarkEnd w:id="6083"/>
      <w:r>
        <w:rPr>
          <w:rFonts w:hint="cs"/>
          <w:rtl/>
        </w:rPr>
        <w:t xml:space="preserve"> </w:t>
      </w:r>
      <w:bookmarkEnd w:id="6084"/>
      <w:bookmarkEnd w:id="6085"/>
    </w:p>
    <w:p w:rsidR="00E874E8" w:rsidRDefault="00E874E8" w:rsidP="007E4E81">
      <w:pPr>
        <w:pStyle w:val="a0"/>
        <w:rPr>
          <w:rtl/>
        </w:rPr>
      </w:pPr>
      <w:r>
        <w:rPr>
          <w:rFonts w:hint="cs"/>
          <w:rtl/>
        </w:rPr>
        <w:t xml:space="preserve">וכתב </w:t>
      </w:r>
      <w:r w:rsidRPr="00CE6131">
        <w:rPr>
          <w:rStyle w:val="af9"/>
          <w:rFonts w:hint="cs"/>
          <w:rtl/>
        </w:rPr>
        <w:t>בחי' רבי ראובן</w:t>
      </w:r>
      <w:r>
        <w:rPr>
          <w:rFonts w:hint="cs"/>
          <w:rtl/>
        </w:rPr>
        <w:t xml:space="preserve"> דא"כ לדעת </w:t>
      </w:r>
      <w:r w:rsidRPr="00CE6131">
        <w:rPr>
          <w:rStyle w:val="af9"/>
          <w:rFonts w:hint="cs"/>
          <w:rtl/>
        </w:rPr>
        <w:t>התוס'</w:t>
      </w:r>
      <w:r>
        <w:rPr>
          <w:rFonts w:hint="cs"/>
          <w:rtl/>
        </w:rPr>
        <w:t xml:space="preserve"> רבא בתירוצו האחרון לא חזר בו ממה שביאר בתירוץ הראשון דעד ג"ש אינו מקפיד, וא"כ כל שלא מחה לאחר ג"ש, ודאי דמכר לו, וזה הטעם שאינו נזהר בשטרו לאחר ג"ש, כיון שיש לו חזקה ויודע שלא יוכל המערער להוציא מידו.</w:t>
      </w:r>
    </w:p>
    <w:p w:rsidR="00E874E8" w:rsidRPr="00841F6C" w:rsidRDefault="00E874E8" w:rsidP="00E874E8">
      <w:pPr>
        <w:pStyle w:val="a3"/>
      </w:pPr>
      <w:bookmarkStart w:id="6086" w:name="_Toc56638202"/>
      <w:bookmarkStart w:id="6087" w:name="_Toc56641051"/>
      <w:r>
        <w:rPr>
          <w:rFonts w:hint="cs"/>
          <w:rtl/>
        </w:rPr>
        <w:t>ביאור רבי ראובן בתוס' דרבא רק הוסיף דרוב בנ"א לא נזהרים בשטר ואינו תלוי בקפידת כ"א</w:t>
      </w:r>
      <w:bookmarkEnd w:id="6086"/>
      <w:bookmarkEnd w:id="6087"/>
    </w:p>
    <w:p w:rsidR="00E874E8" w:rsidRDefault="00E874E8" w:rsidP="007E4E81">
      <w:pPr>
        <w:pStyle w:val="a0"/>
        <w:rPr>
          <w:rtl/>
        </w:rPr>
      </w:pPr>
      <w:r>
        <w:rPr>
          <w:rFonts w:hint="cs"/>
          <w:rtl/>
        </w:rPr>
        <w:t xml:space="preserve">וביאר </w:t>
      </w:r>
      <w:r w:rsidRPr="00CE6131">
        <w:rPr>
          <w:rStyle w:val="af9"/>
          <w:rFonts w:hint="cs"/>
          <w:rtl/>
        </w:rPr>
        <w:t>בחי' רבי ראובן</w:t>
      </w:r>
      <w:r>
        <w:rPr>
          <w:rFonts w:hint="cs"/>
          <w:rtl/>
        </w:rPr>
        <w:t xml:space="preserve"> דכל מה שהוצרך רבא להוסיף בתירוצו האחרון את הסברא דעד ג"ש אדם נזהר בשטרו, הוא רק מחמת קושית אביי מהני דבי בר אלישיב, וע"ז תירץ רבא דאף שיש שמקפידים מיד, מ"מ יכול לומר המערער למחזיק אחוי שטרך, ואינו יכול לומר לו שלא נזהר בשטרו, כיון שלא הקפיד מיד, דהזהירות בשטר תלויה ברוב בנ"א, ולא רק בקפידת המרא קמא, וכדביאר </w:t>
      </w:r>
      <w:r w:rsidRPr="00CE6131">
        <w:rPr>
          <w:rStyle w:val="af9"/>
          <w:rFonts w:hint="cs"/>
          <w:rtl/>
        </w:rPr>
        <w:t>הרשב"א</w:t>
      </w:r>
      <w:r w:rsidRPr="00B8214B">
        <w:rPr>
          <w:rStyle w:val="af7"/>
          <w:rFonts w:eastAsia="Guttman Hodes" w:hint="cs"/>
          <w:rtl/>
        </w:rPr>
        <w:t xml:space="preserve"> (ד"ה אלא, הובא בסימן ה' אות מ"ה) </w:t>
      </w:r>
      <w:r>
        <w:rPr>
          <w:rFonts w:hint="cs"/>
          <w:rtl/>
        </w:rPr>
        <w:t xml:space="preserve">דהמחזיק חושש שמא יטען לו המרא קמא שאין דרכו להקפיד, וכן ביאר </w:t>
      </w:r>
      <w:r w:rsidRPr="00ED0B3A">
        <w:rPr>
          <w:rStyle w:val="af9"/>
          <w:rtl/>
        </w:rPr>
        <w:t>החזון יחזקאל</w:t>
      </w:r>
      <w:r w:rsidRPr="00ED0B3A">
        <w:rPr>
          <w:rtl/>
        </w:rPr>
        <w:t xml:space="preserve"> </w:t>
      </w:r>
      <w:r w:rsidRPr="00ED0B3A">
        <w:rPr>
          <w:rStyle w:val="af7"/>
          <w:rFonts w:eastAsia="Guttman Hodes"/>
          <w:rtl/>
        </w:rPr>
        <w:t>(</w:t>
      </w:r>
      <w:r w:rsidRPr="00ED0B3A">
        <w:rPr>
          <w:rStyle w:val="af7"/>
          <w:rFonts w:eastAsia="Guttman Hodes" w:hint="cs"/>
          <w:rtl/>
        </w:rPr>
        <w:t>עי' הערה</w:t>
      </w:r>
      <w:r w:rsidRPr="00ED0B3A">
        <w:rPr>
          <w:vertAlign w:val="superscript"/>
          <w:rtl/>
        </w:rPr>
        <w:fldChar w:fldCharType="begin"/>
      </w:r>
      <w:r w:rsidRPr="00ED0B3A">
        <w:rPr>
          <w:vertAlign w:val="superscript"/>
          <w:rtl/>
        </w:rPr>
        <w:instrText xml:space="preserve"> </w:instrText>
      </w:r>
      <w:r w:rsidRPr="00ED0B3A">
        <w:rPr>
          <w:rFonts w:hint="cs"/>
          <w:vertAlign w:val="superscript"/>
        </w:rPr>
        <w:instrText>NOTEREF</w:instrText>
      </w:r>
      <w:r w:rsidRPr="00ED0B3A">
        <w:rPr>
          <w:rFonts w:hint="cs"/>
          <w:vertAlign w:val="superscript"/>
          <w:rtl/>
        </w:rPr>
        <w:instrText xml:space="preserve"> _</w:instrText>
      </w:r>
      <w:r w:rsidRPr="00ED0B3A">
        <w:rPr>
          <w:rFonts w:hint="cs"/>
          <w:vertAlign w:val="superscript"/>
        </w:rPr>
        <w:instrText>Ref56639032 \h</w:instrText>
      </w:r>
      <w:r w:rsidRPr="00ED0B3A">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ED0B3A">
        <w:rPr>
          <w:vertAlign w:val="superscript"/>
          <w:rtl/>
        </w:rPr>
      </w:r>
      <w:r w:rsidRPr="00ED0B3A">
        <w:rPr>
          <w:vertAlign w:val="superscript"/>
          <w:rtl/>
        </w:rPr>
        <w:fldChar w:fldCharType="separate"/>
      </w:r>
      <w:r w:rsidR="00265073">
        <w:rPr>
          <w:vertAlign w:val="superscript"/>
          <w:rtl/>
        </w:rPr>
        <w:t>30</w:t>
      </w:r>
      <w:r w:rsidRPr="00ED0B3A">
        <w:rPr>
          <w:vertAlign w:val="superscript"/>
          <w:rtl/>
        </w:rPr>
        <w:fldChar w:fldCharType="end"/>
      </w:r>
      <w:r w:rsidRPr="00ED0B3A">
        <w:rPr>
          <w:rStyle w:val="af7"/>
          <w:rFonts w:eastAsia="Guttman Hodes"/>
          <w:rtl/>
        </w:rPr>
        <w:t>)</w:t>
      </w:r>
      <w:r w:rsidRPr="00ED0B3A">
        <w:rPr>
          <w:rtl/>
        </w:rPr>
        <w:t xml:space="preserve"> </w:t>
      </w:r>
      <w:r>
        <w:rPr>
          <w:rFonts w:hint="cs"/>
          <w:rtl/>
        </w:rPr>
        <w:t>ב</w:t>
      </w:r>
      <w:r w:rsidRPr="00ED0B3A">
        <w:rPr>
          <w:rtl/>
        </w:rPr>
        <w:t xml:space="preserve">דעת </w:t>
      </w:r>
      <w:r w:rsidRPr="00ED0B3A">
        <w:rPr>
          <w:rStyle w:val="af9"/>
          <w:rtl/>
        </w:rPr>
        <w:t>הרשב"ם</w:t>
      </w:r>
      <w:r>
        <w:rPr>
          <w:rFonts w:hint="cs"/>
          <w:rtl/>
        </w:rPr>
        <w:t>.</w:t>
      </w:r>
    </w:p>
    <w:p w:rsidR="00E874E8" w:rsidRDefault="00E874E8" w:rsidP="00E874E8">
      <w:pPr>
        <w:pStyle w:val="a3"/>
        <w:rPr>
          <w:rtl/>
        </w:rPr>
      </w:pPr>
      <w:bookmarkStart w:id="6088" w:name="_Toc56630209"/>
      <w:bookmarkStart w:id="6089" w:name="_Toc56637072"/>
      <w:bookmarkStart w:id="6090" w:name="_Toc56638203"/>
      <w:bookmarkStart w:id="6091" w:name="_Toc56641052"/>
      <w:r>
        <w:rPr>
          <w:rFonts w:hint="cs"/>
          <w:rtl/>
        </w:rPr>
        <w:t>ביאור רבי ראובן בתוס' דכל שיתכן שאין לו חזקה הוא נזהר בשטר וטוען לו אחוי שטרך</w:t>
      </w:r>
      <w:bookmarkEnd w:id="6088"/>
      <w:bookmarkEnd w:id="6089"/>
      <w:bookmarkEnd w:id="6090"/>
      <w:bookmarkEnd w:id="6091"/>
    </w:p>
    <w:p w:rsidR="00E874E8" w:rsidRDefault="00E874E8" w:rsidP="007E4E81">
      <w:pPr>
        <w:pStyle w:val="a0"/>
        <w:rPr>
          <w:rtl/>
        </w:rPr>
      </w:pPr>
      <w:r>
        <w:rPr>
          <w:rFonts w:hint="cs"/>
          <w:rtl/>
        </w:rPr>
        <w:t xml:space="preserve">ובזה ביאר </w:t>
      </w:r>
      <w:r w:rsidRPr="00CE6131">
        <w:rPr>
          <w:rStyle w:val="af9"/>
          <w:rFonts w:hint="cs"/>
          <w:rtl/>
        </w:rPr>
        <w:t>בחי' רבי ראובן</w:t>
      </w:r>
      <w:r>
        <w:rPr>
          <w:rFonts w:hint="cs"/>
          <w:rtl/>
        </w:rPr>
        <w:t xml:space="preserve"> את דברי </w:t>
      </w:r>
      <w:r w:rsidRPr="00CE6131">
        <w:rPr>
          <w:rStyle w:val="af9"/>
          <w:rFonts w:hint="cs"/>
          <w:rtl/>
        </w:rPr>
        <w:t>התוס'</w:t>
      </w:r>
      <w:r>
        <w:rPr>
          <w:rStyle w:val="af9"/>
          <w:rFonts w:hint="cs"/>
          <w:rtl/>
        </w:rPr>
        <w:t xml:space="preserve"> לקמן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Ref56359518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Pr>
          <w:rStyle w:val="af7"/>
          <w:rFonts w:eastAsia="Guttman Hodes"/>
          <w:rtl/>
        </w:rPr>
        <w:fldChar w:fldCharType="end"/>
      </w:r>
      <w:r>
        <w:rPr>
          <w:rFonts w:hint="cs"/>
          <w:rtl/>
        </w:rPr>
        <w:t xml:space="preserve"> דכל שיכול לטעון לו לפירות הורדתיך א"כ אינו יודע שיכול לזכות בקרקע ע"י חזקת ג"ש, והוא צריך להזהר בשטרו לעולם, וממילא יכול המערער לטעון לו אחוי שטרך.</w:t>
      </w:r>
    </w:p>
    <w:p w:rsidR="00E874E8" w:rsidRPr="001152A1" w:rsidRDefault="00E874E8" w:rsidP="00E874E8">
      <w:pPr>
        <w:pStyle w:val="a3"/>
      </w:pPr>
      <w:bookmarkStart w:id="6092" w:name="_Toc56630210"/>
      <w:bookmarkStart w:id="6093" w:name="_Toc56637073"/>
      <w:bookmarkStart w:id="6094" w:name="_Toc56638204"/>
      <w:bookmarkStart w:id="6095" w:name="_Toc56641053"/>
      <w:r>
        <w:rPr>
          <w:rFonts w:hint="cs"/>
          <w:rtl/>
        </w:rPr>
        <w:t>תירוץ רבי ראובן על קושיות הקצוה"ח דבכל מקום שאין ברור לו שיש לו דין חזקה נזהר בשטר</w:t>
      </w:r>
      <w:bookmarkEnd w:id="6092"/>
      <w:bookmarkEnd w:id="6093"/>
      <w:bookmarkEnd w:id="6094"/>
      <w:bookmarkEnd w:id="6095"/>
    </w:p>
    <w:p w:rsidR="00E874E8" w:rsidRPr="00B10557" w:rsidRDefault="00E874E8" w:rsidP="007E4E81">
      <w:pPr>
        <w:pStyle w:val="a0"/>
        <w:rPr>
          <w:rtl/>
        </w:rPr>
      </w:pPr>
      <w:r>
        <w:rPr>
          <w:rFonts w:hint="cs"/>
          <w:rtl/>
        </w:rPr>
        <w:t xml:space="preserve">וכתב </w:t>
      </w:r>
      <w:r w:rsidRPr="00CE6131">
        <w:rPr>
          <w:rStyle w:val="af9"/>
          <w:rFonts w:hint="cs"/>
          <w:rtl/>
        </w:rPr>
        <w:t>בחי' רבי ראובן</w:t>
      </w:r>
      <w:r>
        <w:rPr>
          <w:rFonts w:hint="cs"/>
          <w:rtl/>
        </w:rPr>
        <w:t xml:space="preserve"> דלפי"ז מיושבות קושית </w:t>
      </w:r>
      <w:r w:rsidRPr="00CA00E1">
        <w:rPr>
          <w:rStyle w:val="af9"/>
          <w:rFonts w:hint="cs"/>
          <w:rtl/>
        </w:rPr>
        <w:t>הקצוה"ח</w:t>
      </w:r>
      <w:r>
        <w:rPr>
          <w:rFonts w:hint="cs"/>
          <w:rtl/>
        </w:rPr>
        <w:t xml:space="preserve"> </w:t>
      </w:r>
      <w:r w:rsidRPr="00D06A6C">
        <w:rPr>
          <w:rStyle w:val="af7"/>
          <w:rFonts w:eastAsia="Guttman Hodes" w:hint="cs"/>
          <w:rtl/>
        </w:rPr>
        <w:t>(סי' קל"ה סק"ב הובא בסימן ה' אות ל"ג)</w:t>
      </w:r>
      <w:r>
        <w:rPr>
          <w:rFonts w:hint="cs"/>
          <w:rtl/>
        </w:rPr>
        <w:t xml:space="preserve"> מקטן המוטל בעריסה, וכן קושית </w:t>
      </w:r>
      <w:r w:rsidRPr="00CE6131">
        <w:rPr>
          <w:rStyle w:val="af9"/>
          <w:rFonts w:hint="cs"/>
          <w:rtl/>
        </w:rPr>
        <w:t>הקצוה"ח</w:t>
      </w:r>
      <w:r>
        <w:rPr>
          <w:rFonts w:hint="cs"/>
          <w:rtl/>
        </w:rPr>
        <w:t xml:space="preserve"> </w:t>
      </w:r>
      <w:r w:rsidRPr="00D06A6C">
        <w:rPr>
          <w:rStyle w:val="af7"/>
          <w:rFonts w:eastAsia="Guttman Hodes" w:hint="cs"/>
          <w:rtl/>
        </w:rPr>
        <w:t xml:space="preserve">(עי' אות </w:t>
      </w:r>
      <w:r w:rsidRPr="00D06A6C">
        <w:rPr>
          <w:rStyle w:val="af7"/>
          <w:rFonts w:eastAsia="Guttman Hodes"/>
          <w:rtl/>
        </w:rPr>
        <w:fldChar w:fldCharType="begin"/>
      </w:r>
      <w:r w:rsidRPr="00D06A6C">
        <w:rPr>
          <w:rStyle w:val="af7"/>
          <w:rFonts w:eastAsia="Guttman Hodes"/>
          <w:rtl/>
        </w:rPr>
        <w:instrText xml:space="preserve"> </w:instrText>
      </w:r>
      <w:r w:rsidRPr="00D06A6C">
        <w:rPr>
          <w:rStyle w:val="af7"/>
          <w:rFonts w:eastAsia="Guttman Hodes" w:hint="cs"/>
        </w:rPr>
        <w:instrText>REF</w:instrText>
      </w:r>
      <w:r w:rsidRPr="00D06A6C">
        <w:rPr>
          <w:rStyle w:val="af7"/>
          <w:rFonts w:eastAsia="Guttman Hodes" w:hint="cs"/>
          <w:rtl/>
        </w:rPr>
        <w:instrText xml:space="preserve"> _</w:instrText>
      </w:r>
      <w:r w:rsidRPr="00D06A6C">
        <w:rPr>
          <w:rStyle w:val="af7"/>
          <w:rFonts w:eastAsia="Guttman Hodes" w:hint="cs"/>
        </w:rPr>
        <w:instrText>Ref55567158 \r \h</w:instrText>
      </w:r>
      <w:r w:rsidRPr="00D06A6C">
        <w:rPr>
          <w:rStyle w:val="af7"/>
          <w:rFonts w:eastAsia="Guttman Hodes"/>
          <w:rtl/>
        </w:rPr>
        <w:instrText xml:space="preserve"> </w:instrText>
      </w:r>
      <w:r w:rsidRPr="00D06A6C">
        <w:rPr>
          <w:rStyle w:val="af7"/>
          <w:rFonts w:eastAsia="Guttman Hodes"/>
          <w:rtl/>
        </w:rPr>
      </w:r>
      <w:r w:rsidRPr="00D06A6C">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D06A6C">
        <w:rPr>
          <w:rStyle w:val="af7"/>
          <w:rFonts w:eastAsia="Guttman Hodes"/>
          <w:rtl/>
        </w:rPr>
        <w:fldChar w:fldCharType="end"/>
      </w:r>
      <w:r>
        <w:rPr>
          <w:rFonts w:hint="cs"/>
          <w:rtl/>
        </w:rPr>
        <w:t xml:space="preserve"> מצנא דפירי, דבכל מקום שאדם יודע שיזכה בדין מחמת חזקת מטלטלין או דמעשה המרא קמא נחשב כהודאה, והא סומך על זה ואנן סהדי דאינו נזהר בשטרו.</w:t>
      </w:r>
    </w:p>
    <w:p w:rsidR="00E874E8" w:rsidRPr="009F575B" w:rsidRDefault="00E874E8" w:rsidP="00E874E8">
      <w:pPr>
        <w:pStyle w:val="1"/>
        <w:rPr>
          <w:rtl/>
        </w:rPr>
      </w:pPr>
      <w:bookmarkStart w:id="6096" w:name="_Toc56638206"/>
      <w:bookmarkStart w:id="6097" w:name="_Toc56641055"/>
      <w:r>
        <w:rPr>
          <w:rFonts w:hint="cs"/>
          <w:rtl/>
        </w:rPr>
        <w:t>ביאור הגרנ"פ בחילוק התקנה בין רש"י ותוס' והרא"ש לרמב"ן</w:t>
      </w:r>
      <w:bookmarkEnd w:id="6096"/>
      <w:bookmarkEnd w:id="6097"/>
    </w:p>
    <w:p w:rsidR="00E874E8" w:rsidRPr="008B247F" w:rsidRDefault="00E874E8" w:rsidP="00E874E8">
      <w:pPr>
        <w:pStyle w:val="a3"/>
        <w:rPr>
          <w:rtl/>
        </w:rPr>
      </w:pPr>
      <w:bookmarkStart w:id="6098" w:name="_Toc56626732"/>
      <w:bookmarkStart w:id="6099" w:name="_Toc56630201"/>
      <w:bookmarkStart w:id="6100" w:name="_Toc56637064"/>
      <w:bookmarkStart w:id="6101" w:name="_Toc56638207"/>
      <w:bookmarkStart w:id="6102" w:name="_Toc56641056"/>
      <w:r>
        <w:rPr>
          <w:rFonts w:hint="cs"/>
          <w:rtl/>
        </w:rPr>
        <w:t>דברי הגרנ"פ דלהרא"ש ורש"י ותוס' היא תקנ"ח בעלמא ולרמב"ן גדר התקנ"ח דיש הוכחה</w:t>
      </w:r>
      <w:bookmarkEnd w:id="6098"/>
      <w:bookmarkEnd w:id="6099"/>
      <w:bookmarkEnd w:id="6100"/>
      <w:bookmarkEnd w:id="6101"/>
      <w:bookmarkEnd w:id="6102"/>
    </w:p>
    <w:p w:rsidR="00E874E8" w:rsidRDefault="00E874E8" w:rsidP="007E4E81">
      <w:pPr>
        <w:pStyle w:val="a0"/>
        <w:rPr>
          <w:rtl/>
        </w:rPr>
      </w:pPr>
      <w:r>
        <w:rPr>
          <w:rFonts w:hint="cs"/>
          <w:rtl/>
        </w:rPr>
        <w:t xml:space="preserve">כתב </w:t>
      </w:r>
      <w:r w:rsidRPr="00F0726F">
        <w:rPr>
          <w:rStyle w:val="af9"/>
          <w:rFonts w:hint="cs"/>
          <w:rtl/>
        </w:rPr>
        <w:t>בחי' רבי נחום</w:t>
      </w:r>
      <w:r>
        <w:rPr>
          <w:rFonts w:hint="cs"/>
          <w:rtl/>
        </w:rPr>
        <w:t xml:space="preserve"> </w:t>
      </w:r>
      <w:r w:rsidRPr="00F0726F">
        <w:rPr>
          <w:rStyle w:val="af7"/>
          <w:rFonts w:eastAsia="Guttman Hodes" w:hint="cs"/>
          <w:rtl/>
        </w:rPr>
        <w:t>(או' כ"ז ד"ה ובעיקר)</w:t>
      </w:r>
      <w:r>
        <w:rPr>
          <w:rFonts w:hint="cs"/>
          <w:rtl/>
        </w:rPr>
        <w:t xml:space="preserve"> דכביאור </w:t>
      </w:r>
      <w:r w:rsidRPr="00C41AF8">
        <w:rPr>
          <w:rStyle w:val="af9"/>
          <w:rFonts w:hint="cs"/>
          <w:rtl/>
        </w:rPr>
        <w:t>הקצוה"ח</w:t>
      </w:r>
      <w:r w:rsidRPr="00C41AF8">
        <w:rPr>
          <w:rStyle w:val="af7"/>
          <w:rFonts w:eastAsia="Guttman Hodes" w:hint="cs"/>
          <w:rtl/>
        </w:rPr>
        <w:t xml:space="preserve"> (עי' אות </w:t>
      </w:r>
      <w:r w:rsidRPr="00C41AF8">
        <w:rPr>
          <w:rStyle w:val="af7"/>
          <w:rFonts w:eastAsia="Guttman Hodes"/>
          <w:rtl/>
        </w:rPr>
        <w:fldChar w:fldCharType="begin"/>
      </w:r>
      <w:r w:rsidRPr="00C41AF8">
        <w:rPr>
          <w:rStyle w:val="af7"/>
          <w:rFonts w:eastAsia="Guttman Hodes"/>
          <w:rtl/>
        </w:rPr>
        <w:instrText xml:space="preserve"> </w:instrText>
      </w:r>
      <w:r w:rsidRPr="00C41AF8">
        <w:rPr>
          <w:rStyle w:val="af7"/>
          <w:rFonts w:eastAsia="Guttman Hodes" w:hint="cs"/>
        </w:rPr>
        <w:instrText>REF</w:instrText>
      </w:r>
      <w:r w:rsidRPr="00C41AF8">
        <w:rPr>
          <w:rStyle w:val="af7"/>
          <w:rFonts w:eastAsia="Guttman Hodes" w:hint="cs"/>
          <w:rtl/>
        </w:rPr>
        <w:instrText xml:space="preserve"> _</w:instrText>
      </w:r>
      <w:r w:rsidRPr="00C41AF8">
        <w:rPr>
          <w:rStyle w:val="af7"/>
          <w:rFonts w:eastAsia="Guttman Hodes" w:hint="cs"/>
        </w:rPr>
        <w:instrText>Ref56591681 \r \h</w:instrText>
      </w:r>
      <w:r w:rsidRPr="00C41AF8">
        <w:rPr>
          <w:rStyle w:val="af7"/>
          <w:rFonts w:eastAsia="Guttman Hodes"/>
          <w:rtl/>
        </w:rPr>
        <w:instrText xml:space="preserve"> </w:instrText>
      </w:r>
      <w:r w:rsidRPr="00C41AF8">
        <w:rPr>
          <w:rStyle w:val="af7"/>
          <w:rFonts w:eastAsia="Guttman Hodes"/>
          <w:rtl/>
        </w:rPr>
      </w:r>
      <w:r w:rsidRPr="00C41AF8">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C41AF8">
        <w:rPr>
          <w:rStyle w:val="af7"/>
          <w:rFonts w:eastAsia="Guttman Hodes"/>
          <w:rtl/>
        </w:rPr>
        <w:fldChar w:fldCharType="end"/>
      </w:r>
      <w:r>
        <w:rPr>
          <w:rFonts w:hint="cs"/>
          <w:rtl/>
        </w:rPr>
        <w:t xml:space="preserve"> דהחזקה היא תקנת חכמים מדרבנן, כן מבואר </w:t>
      </w:r>
      <w:r w:rsidRPr="00F0726F">
        <w:rPr>
          <w:rStyle w:val="af9"/>
          <w:rFonts w:hint="cs"/>
          <w:rtl/>
        </w:rPr>
        <w:t>ברא"ש</w:t>
      </w:r>
      <w:r>
        <w:rPr>
          <w:rFonts w:hint="cs"/>
          <w:rtl/>
        </w:rPr>
        <w:t xml:space="preserve"> </w:t>
      </w:r>
      <w:r w:rsidRPr="00A87AFA">
        <w:rPr>
          <w:rStyle w:val="af7"/>
          <w:rFonts w:eastAsia="Guttman Hodes" w:hint="cs"/>
          <w:rtl/>
        </w:rPr>
        <w:t xml:space="preserve">(עי' אות </w:t>
      </w:r>
      <w:r w:rsidRPr="00A87AFA">
        <w:rPr>
          <w:rStyle w:val="af7"/>
          <w:rFonts w:eastAsia="Guttman Hodes"/>
          <w:rtl/>
        </w:rPr>
        <w:fldChar w:fldCharType="begin"/>
      </w:r>
      <w:r w:rsidRPr="00A87AFA">
        <w:rPr>
          <w:rStyle w:val="af7"/>
          <w:rFonts w:eastAsia="Guttman Hodes"/>
          <w:rtl/>
        </w:rPr>
        <w:instrText xml:space="preserve"> </w:instrText>
      </w:r>
      <w:r w:rsidRPr="00A87AFA">
        <w:rPr>
          <w:rStyle w:val="af7"/>
          <w:rFonts w:eastAsia="Guttman Hodes" w:hint="cs"/>
        </w:rPr>
        <w:instrText>REF</w:instrText>
      </w:r>
      <w:r w:rsidRPr="00A87AFA">
        <w:rPr>
          <w:rStyle w:val="af7"/>
          <w:rFonts w:eastAsia="Guttman Hodes" w:hint="cs"/>
          <w:rtl/>
        </w:rPr>
        <w:instrText xml:space="preserve"> _</w:instrText>
      </w:r>
      <w:r w:rsidRPr="00A87AFA">
        <w:rPr>
          <w:rStyle w:val="af7"/>
          <w:rFonts w:eastAsia="Guttman Hodes" w:hint="cs"/>
        </w:rPr>
        <w:instrText>Ref56593158 \r \h</w:instrText>
      </w:r>
      <w:r w:rsidRPr="00A87AFA">
        <w:rPr>
          <w:rStyle w:val="af7"/>
          <w:rFonts w:eastAsia="Guttman Hodes"/>
          <w:rtl/>
        </w:rPr>
        <w:instrText xml:space="preserve"> </w:instrText>
      </w:r>
      <w:r w:rsidRPr="00A87AFA">
        <w:rPr>
          <w:rStyle w:val="af7"/>
          <w:rFonts w:eastAsia="Guttman Hodes"/>
          <w:rtl/>
        </w:rPr>
      </w:r>
      <w:r w:rsidRPr="00A87AFA">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A87AFA">
        <w:rPr>
          <w:rStyle w:val="af7"/>
          <w:rFonts w:eastAsia="Guttman Hodes"/>
          <w:rtl/>
        </w:rPr>
        <w:fldChar w:fldCharType="end"/>
      </w:r>
      <w:r>
        <w:rPr>
          <w:rFonts w:hint="cs"/>
          <w:rtl/>
        </w:rPr>
        <w:t xml:space="preserve"> </w:t>
      </w:r>
      <w:r w:rsidRPr="00F0726F">
        <w:rPr>
          <w:rStyle w:val="af9"/>
          <w:rFonts w:hint="cs"/>
          <w:rtl/>
        </w:rPr>
        <w:t>ובנימוק"י</w:t>
      </w:r>
      <w:r>
        <w:rPr>
          <w:rFonts w:hint="cs"/>
          <w:rtl/>
        </w:rPr>
        <w:t xml:space="preserve"> </w:t>
      </w:r>
      <w:r w:rsidRPr="00A87AFA">
        <w:rPr>
          <w:rStyle w:val="af7"/>
          <w:rFonts w:eastAsia="Guttman Hodes" w:hint="cs"/>
          <w:rtl/>
        </w:rPr>
        <w:t xml:space="preserve">(עי' אות </w:t>
      </w:r>
      <w:r w:rsidRPr="00A87AFA">
        <w:rPr>
          <w:rStyle w:val="af7"/>
          <w:rFonts w:eastAsia="Guttman Hodes"/>
          <w:rtl/>
        </w:rPr>
        <w:fldChar w:fldCharType="begin"/>
      </w:r>
      <w:r w:rsidRPr="00A87AFA">
        <w:rPr>
          <w:rStyle w:val="af7"/>
          <w:rFonts w:eastAsia="Guttman Hodes"/>
          <w:rtl/>
        </w:rPr>
        <w:instrText xml:space="preserve"> </w:instrText>
      </w:r>
      <w:r w:rsidRPr="00A87AFA">
        <w:rPr>
          <w:rStyle w:val="af7"/>
          <w:rFonts w:eastAsia="Guttman Hodes" w:hint="cs"/>
        </w:rPr>
        <w:instrText>REF</w:instrText>
      </w:r>
      <w:r w:rsidRPr="00A87AFA">
        <w:rPr>
          <w:rStyle w:val="af7"/>
          <w:rFonts w:eastAsia="Guttman Hodes" w:hint="cs"/>
          <w:rtl/>
        </w:rPr>
        <w:instrText xml:space="preserve"> _</w:instrText>
      </w:r>
      <w:r w:rsidRPr="00A87AFA">
        <w:rPr>
          <w:rStyle w:val="af7"/>
          <w:rFonts w:eastAsia="Guttman Hodes" w:hint="cs"/>
        </w:rPr>
        <w:instrText>Ref56510344 \r \h</w:instrText>
      </w:r>
      <w:r w:rsidRPr="00A87AFA">
        <w:rPr>
          <w:rStyle w:val="af7"/>
          <w:rFonts w:eastAsia="Guttman Hodes"/>
          <w:rtl/>
        </w:rPr>
        <w:instrText xml:space="preserve"> </w:instrText>
      </w:r>
      <w:r w:rsidRPr="00A87AFA">
        <w:rPr>
          <w:rStyle w:val="af7"/>
          <w:rFonts w:eastAsia="Guttman Hodes"/>
          <w:rtl/>
        </w:rPr>
      </w:r>
      <w:r w:rsidRPr="00A87AFA">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A87AFA">
        <w:rPr>
          <w:rStyle w:val="af7"/>
          <w:rFonts w:eastAsia="Guttman Hodes"/>
          <w:rtl/>
        </w:rPr>
        <w:fldChar w:fldCharType="end"/>
      </w:r>
      <w:r>
        <w:rPr>
          <w:rFonts w:hint="cs"/>
          <w:rtl/>
        </w:rPr>
        <w:t xml:space="preserve"> </w:t>
      </w:r>
      <w:r w:rsidRPr="00F0726F">
        <w:rPr>
          <w:rStyle w:val="af9"/>
          <w:rFonts w:hint="cs"/>
          <w:rtl/>
        </w:rPr>
        <w:t>וברש"י בכתובות</w:t>
      </w:r>
      <w:r>
        <w:rPr>
          <w:rFonts w:hint="cs"/>
          <w:rtl/>
        </w:rPr>
        <w:t xml:space="preserve"> </w:t>
      </w:r>
      <w:r w:rsidRPr="00A87AFA">
        <w:rPr>
          <w:rStyle w:val="af7"/>
          <w:rFonts w:eastAsia="Guttman Hodes" w:hint="cs"/>
          <w:rtl/>
        </w:rPr>
        <w:t xml:space="preserve">(עי' אות </w:t>
      </w:r>
      <w:r w:rsidRPr="00A87AFA">
        <w:rPr>
          <w:rStyle w:val="af7"/>
          <w:rFonts w:eastAsia="Guttman Hodes"/>
          <w:rtl/>
        </w:rPr>
        <w:fldChar w:fldCharType="begin"/>
      </w:r>
      <w:r w:rsidRPr="00A87AFA">
        <w:rPr>
          <w:rStyle w:val="af7"/>
          <w:rFonts w:eastAsia="Guttman Hodes"/>
          <w:rtl/>
        </w:rPr>
        <w:instrText xml:space="preserve"> </w:instrText>
      </w:r>
      <w:r w:rsidRPr="00A87AFA">
        <w:rPr>
          <w:rStyle w:val="af7"/>
          <w:rFonts w:eastAsia="Guttman Hodes" w:hint="cs"/>
        </w:rPr>
        <w:instrText>REF</w:instrText>
      </w:r>
      <w:r w:rsidRPr="00A87AFA">
        <w:rPr>
          <w:rStyle w:val="af7"/>
          <w:rFonts w:eastAsia="Guttman Hodes" w:hint="cs"/>
          <w:rtl/>
        </w:rPr>
        <w:instrText xml:space="preserve"> _</w:instrText>
      </w:r>
      <w:r w:rsidRPr="00A87AFA">
        <w:rPr>
          <w:rStyle w:val="af7"/>
          <w:rFonts w:eastAsia="Guttman Hodes" w:hint="cs"/>
        </w:rPr>
        <w:instrText>Ref56618506 \r \h</w:instrText>
      </w:r>
      <w:r w:rsidRPr="00A87AFA">
        <w:rPr>
          <w:rStyle w:val="af7"/>
          <w:rFonts w:eastAsia="Guttman Hodes"/>
          <w:rtl/>
        </w:rPr>
        <w:instrText xml:space="preserve"> </w:instrText>
      </w:r>
      <w:r w:rsidRPr="00A87AFA">
        <w:rPr>
          <w:rStyle w:val="af7"/>
          <w:rFonts w:eastAsia="Guttman Hodes"/>
          <w:rtl/>
        </w:rPr>
      </w:r>
      <w:r w:rsidRPr="00A87AFA">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A87AFA">
        <w:rPr>
          <w:rStyle w:val="af7"/>
          <w:rFonts w:eastAsia="Guttman Hodes"/>
          <w:rtl/>
        </w:rPr>
        <w:fldChar w:fldCharType="end"/>
      </w:r>
      <w:r>
        <w:rPr>
          <w:rFonts w:hint="cs"/>
          <w:rtl/>
        </w:rPr>
        <w:t xml:space="preserve">, וציין </w:t>
      </w:r>
      <w:r w:rsidRPr="00F0726F">
        <w:rPr>
          <w:rStyle w:val="af9"/>
          <w:rFonts w:hint="cs"/>
          <w:rtl/>
        </w:rPr>
        <w:t>רבי נחום</w:t>
      </w:r>
      <w:r>
        <w:rPr>
          <w:rFonts w:hint="cs"/>
          <w:rtl/>
        </w:rPr>
        <w:t xml:space="preserve"> למה שביאר בדעת </w:t>
      </w:r>
      <w:r w:rsidRPr="00F0726F">
        <w:rPr>
          <w:rStyle w:val="af9"/>
          <w:rFonts w:hint="cs"/>
          <w:rtl/>
        </w:rPr>
        <w:t>הרמב"ן</w:t>
      </w:r>
      <w:r>
        <w:rPr>
          <w:rFonts w:hint="cs"/>
          <w:rtl/>
        </w:rPr>
        <w:t xml:space="preserve"> </w:t>
      </w:r>
      <w:r w:rsidRPr="00F0726F">
        <w:rPr>
          <w:rStyle w:val="af7"/>
          <w:rFonts w:eastAsia="Guttman Rashi" w:hint="cs"/>
          <w:rtl/>
        </w:rPr>
        <w:t xml:space="preserve">(או' כ"ה ד"ה והנה בקצה"ח, הובא בסימן ה' אות </w:t>
      </w:r>
      <w:r>
        <w:rPr>
          <w:rStyle w:val="af7"/>
          <w:rFonts w:eastAsia="Guttman Rashi" w:hint="cs"/>
          <w:rtl/>
        </w:rPr>
        <w:t>צ"א)</w:t>
      </w:r>
      <w:r>
        <w:rPr>
          <w:rStyle w:val="afb"/>
          <w:rFonts w:hint="cs"/>
          <w:rtl/>
        </w:rPr>
        <w:t xml:space="preserve"> </w:t>
      </w:r>
      <w:r>
        <w:rPr>
          <w:rFonts w:hint="cs"/>
          <w:rtl/>
        </w:rPr>
        <w:t xml:space="preserve">דמוכח מדבריו דמודה דחזקת ג"ש היא תקנת חכמים, אך ביאר </w:t>
      </w:r>
      <w:r w:rsidRPr="00F0726F">
        <w:rPr>
          <w:rStyle w:val="af9"/>
          <w:rFonts w:hint="cs"/>
          <w:rtl/>
        </w:rPr>
        <w:t>בחי' רבי</w:t>
      </w:r>
      <w:r>
        <w:rPr>
          <w:rFonts w:hint="cs"/>
          <w:rtl/>
        </w:rPr>
        <w:t xml:space="preserve"> </w:t>
      </w:r>
      <w:r w:rsidRPr="00F0726F">
        <w:rPr>
          <w:rStyle w:val="af9"/>
          <w:rFonts w:hint="cs"/>
          <w:rtl/>
        </w:rPr>
        <w:t>נחום</w:t>
      </w:r>
      <w:r>
        <w:rPr>
          <w:rFonts w:hint="cs"/>
          <w:rtl/>
        </w:rPr>
        <w:t xml:space="preserve"> דלדעת </w:t>
      </w:r>
      <w:r>
        <w:rPr>
          <w:rStyle w:val="af9"/>
          <w:rFonts w:hint="cs"/>
          <w:rtl/>
        </w:rPr>
        <w:t>רש"י ו</w:t>
      </w:r>
      <w:r w:rsidRPr="00F0726F">
        <w:rPr>
          <w:rStyle w:val="af9"/>
          <w:rFonts w:hint="cs"/>
          <w:rtl/>
        </w:rPr>
        <w:t>התוס' והרא"ש</w:t>
      </w:r>
      <w:r>
        <w:rPr>
          <w:rFonts w:hint="cs"/>
          <w:rtl/>
        </w:rPr>
        <w:t xml:space="preserve"> הוא תקנה בעלמא, ולדעת </w:t>
      </w:r>
      <w:r w:rsidRPr="00F0726F">
        <w:rPr>
          <w:rStyle w:val="af9"/>
          <w:rFonts w:hint="cs"/>
          <w:rtl/>
        </w:rPr>
        <w:t>הרמב"ן</w:t>
      </w:r>
      <w:r>
        <w:rPr>
          <w:rFonts w:hint="cs"/>
          <w:rtl/>
        </w:rPr>
        <w:t xml:space="preserve"> גדר התקנה היא דההוכחה מהא דלא מחה המערער במחזיק, עושה את המחזיק למוחזק בקרקע.</w:t>
      </w:r>
    </w:p>
    <w:p w:rsidR="00E874E8" w:rsidRDefault="00E874E8" w:rsidP="00E874E8">
      <w:pPr>
        <w:pStyle w:val="1"/>
        <w:rPr>
          <w:rtl/>
        </w:rPr>
      </w:pPr>
      <w:bookmarkStart w:id="6103" w:name="_Toc53934436"/>
      <w:bookmarkStart w:id="6104" w:name="_Toc54076399"/>
      <w:bookmarkStart w:id="6105" w:name="_Toc55419923"/>
      <w:bookmarkStart w:id="6106" w:name="_Toc55419979"/>
      <w:bookmarkStart w:id="6107" w:name="_Toc55421193"/>
      <w:bookmarkStart w:id="6108" w:name="_Toc55508576"/>
      <w:bookmarkStart w:id="6109" w:name="_Toc55569227"/>
      <w:bookmarkStart w:id="6110" w:name="_Toc55718338"/>
      <w:bookmarkStart w:id="6111" w:name="_Toc55739991"/>
      <w:bookmarkStart w:id="6112" w:name="_Toc56372901"/>
      <w:bookmarkStart w:id="6113" w:name="_Toc56458240"/>
      <w:bookmarkStart w:id="6114" w:name="_Toc56544400"/>
      <w:bookmarkStart w:id="6115" w:name="_Toc56609870"/>
      <w:bookmarkStart w:id="6116" w:name="_Toc56626733"/>
      <w:bookmarkStart w:id="6117" w:name="_Toc56630202"/>
      <w:bookmarkStart w:id="6118" w:name="_Toc56637065"/>
      <w:bookmarkStart w:id="6119" w:name="_Toc56638209"/>
      <w:bookmarkStart w:id="6120" w:name="_Toc56641058"/>
      <w:bookmarkStart w:id="6121" w:name="_Toc56458245"/>
      <w:bookmarkStart w:id="6122" w:name="_Toc56544405"/>
      <w:r>
        <w:rPr>
          <w:rFonts w:hint="cs"/>
          <w:rtl/>
        </w:rPr>
        <w:t>ביאור הגרנ"פ בתוס' בב"מ</w:t>
      </w:r>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r>
        <w:rPr>
          <w:rFonts w:hint="cs"/>
          <w:rtl/>
        </w:rPr>
        <w:t xml:space="preserve"> בגדר האנ"ס והמוחזקות בחזקת ג"ש</w:t>
      </w:r>
      <w:bookmarkEnd w:id="6119"/>
      <w:bookmarkEnd w:id="6120"/>
    </w:p>
    <w:p w:rsidR="00E874E8" w:rsidRDefault="00E874E8" w:rsidP="00E874E8">
      <w:pPr>
        <w:pStyle w:val="a3"/>
        <w:rPr>
          <w:rtl/>
        </w:rPr>
      </w:pPr>
      <w:bookmarkStart w:id="6123" w:name="_Toc56626734"/>
      <w:bookmarkStart w:id="6124" w:name="_Toc56630203"/>
      <w:bookmarkStart w:id="6125" w:name="_Toc56637066"/>
      <w:bookmarkStart w:id="6126" w:name="_Toc56638210"/>
      <w:bookmarkStart w:id="6127" w:name="_Toc56641059"/>
      <w:r>
        <w:rPr>
          <w:rFonts w:hint="cs"/>
          <w:rtl/>
        </w:rPr>
        <w:t>דברי הגרנ"פ דמבואר בתוס' בב"מ דגדר החזקה דיש אנ"ס שלא שותק לו וא"כ יש ראיה שמכר</w:t>
      </w:r>
      <w:bookmarkEnd w:id="6123"/>
      <w:bookmarkEnd w:id="6124"/>
      <w:bookmarkEnd w:id="6125"/>
      <w:bookmarkEnd w:id="6126"/>
      <w:bookmarkEnd w:id="6127"/>
    </w:p>
    <w:p w:rsidR="00E874E8" w:rsidRDefault="00E874E8" w:rsidP="007E4E81">
      <w:pPr>
        <w:pStyle w:val="a0"/>
        <w:rPr>
          <w:rtl/>
        </w:rPr>
      </w:pPr>
      <w:bookmarkStart w:id="6128" w:name="_Ref54034219"/>
      <w:r>
        <w:rPr>
          <w:rFonts w:hint="cs"/>
          <w:rtl/>
        </w:rPr>
        <w:t xml:space="preserve">במ"ש </w:t>
      </w:r>
      <w:r w:rsidRPr="00A425B4">
        <w:rPr>
          <w:rStyle w:val="af9"/>
          <w:rFonts w:hint="cs"/>
          <w:rtl/>
        </w:rPr>
        <w:t xml:space="preserve">התוס' בב"מ </w:t>
      </w:r>
      <w:r w:rsidRPr="000F412D">
        <w:rPr>
          <w:rStyle w:val="af7"/>
          <w:rFonts w:eastAsia="Guttman Hodes" w:hint="cs"/>
          <w:rtl/>
        </w:rPr>
        <w:t xml:space="preserve">(עי' אות </w:t>
      </w:r>
      <w:r w:rsidRPr="000F412D">
        <w:rPr>
          <w:rStyle w:val="af7"/>
          <w:rFonts w:eastAsia="Guttman Hodes"/>
          <w:rtl/>
        </w:rPr>
        <w:fldChar w:fldCharType="begin"/>
      </w:r>
      <w:r w:rsidRPr="000F412D">
        <w:rPr>
          <w:rStyle w:val="af7"/>
          <w:rFonts w:eastAsia="Guttman Hodes"/>
          <w:rtl/>
        </w:rPr>
        <w:instrText xml:space="preserve"> </w:instrText>
      </w:r>
      <w:r w:rsidRPr="000F412D">
        <w:rPr>
          <w:rStyle w:val="af7"/>
          <w:rFonts w:eastAsia="Guttman Hodes" w:hint="cs"/>
        </w:rPr>
        <w:instrText>REF</w:instrText>
      </w:r>
      <w:r w:rsidRPr="000F412D">
        <w:rPr>
          <w:rStyle w:val="af7"/>
          <w:rFonts w:eastAsia="Guttman Hodes" w:hint="cs"/>
          <w:rtl/>
        </w:rPr>
        <w:instrText xml:space="preserve"> _</w:instrText>
      </w:r>
      <w:r w:rsidRPr="000F412D">
        <w:rPr>
          <w:rStyle w:val="af7"/>
          <w:rFonts w:eastAsia="Guttman Hodes" w:hint="cs"/>
        </w:rPr>
        <w:instrText>Ref56626148 \r \h</w:instrText>
      </w:r>
      <w:r w:rsidRPr="000F412D">
        <w:rPr>
          <w:rStyle w:val="af7"/>
          <w:rFonts w:eastAsia="Guttman Hodes"/>
          <w:rtl/>
        </w:rPr>
        <w:instrText xml:space="preserve"> </w:instrText>
      </w:r>
      <w:r w:rsidRPr="000F412D">
        <w:rPr>
          <w:rStyle w:val="af7"/>
          <w:rFonts w:eastAsia="Guttman Hodes"/>
          <w:rtl/>
        </w:rPr>
      </w:r>
      <w:r w:rsidRPr="000F412D">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0F412D">
        <w:rPr>
          <w:rStyle w:val="af7"/>
          <w:rFonts w:eastAsia="Guttman Hodes"/>
          <w:rtl/>
        </w:rPr>
        <w:fldChar w:fldCharType="end"/>
      </w:r>
      <w:r>
        <w:rPr>
          <w:rFonts w:hint="cs"/>
          <w:rtl/>
        </w:rPr>
        <w:t xml:space="preserve"> דהטוען גזולה היא ביד המחזיק במיגו דנתן לו לאוכלה במשכנתא, חשיב מיגו במקום עדים, דאנן סהדי דאם היה המחזיק דר בה ג"ש לא היה המערער שותק, כתב </w:t>
      </w:r>
      <w:r w:rsidRPr="00A425B4">
        <w:rPr>
          <w:rStyle w:val="af9"/>
          <w:rFonts w:hint="cs"/>
          <w:rtl/>
        </w:rPr>
        <w:t>בחי' רבי נחום</w:t>
      </w:r>
      <w:r>
        <w:rPr>
          <w:rFonts w:hint="cs"/>
          <w:rtl/>
        </w:rPr>
        <w:t xml:space="preserve"> </w:t>
      </w:r>
      <w:r w:rsidRPr="00A425B4">
        <w:rPr>
          <w:rStyle w:val="af7"/>
          <w:rFonts w:eastAsia="Guttman Hodes" w:hint="cs"/>
          <w:rtl/>
        </w:rPr>
        <w:t>(או' א' ד"ה בגדר)</w:t>
      </w:r>
      <w:r>
        <w:rPr>
          <w:rFonts w:hint="cs"/>
          <w:rtl/>
        </w:rPr>
        <w:t xml:space="preserve"> דמבואר מדברי </w:t>
      </w:r>
      <w:r w:rsidRPr="00332E33">
        <w:rPr>
          <w:rStyle w:val="af9"/>
          <w:rFonts w:hint="cs"/>
          <w:rtl/>
        </w:rPr>
        <w:t>התוס'</w:t>
      </w:r>
      <w:r>
        <w:rPr>
          <w:rFonts w:hint="cs"/>
          <w:rtl/>
        </w:rPr>
        <w:t xml:space="preserve"> דגדר חזקת ג"ש היא דאנן </w:t>
      </w:r>
      <w:r>
        <w:rPr>
          <w:rFonts w:hint="cs"/>
          <w:rtl/>
        </w:rPr>
        <w:lastRenderedPageBreak/>
        <w:t>סהדי שלא היה שותק, ולכן אף שהקרקע בחזקת המרא קמא, מ"מ יש ראיה גמורה דמכרה למחזיק מדלא מיחה בו.</w:t>
      </w:r>
      <w:bookmarkEnd w:id="6128"/>
    </w:p>
    <w:p w:rsidR="00E874E8" w:rsidRDefault="00E874E8" w:rsidP="00E874E8">
      <w:pPr>
        <w:pStyle w:val="a3"/>
        <w:rPr>
          <w:rtl/>
        </w:rPr>
      </w:pPr>
      <w:bookmarkStart w:id="6129" w:name="_Toc56626735"/>
      <w:bookmarkStart w:id="6130" w:name="_Toc56630204"/>
      <w:bookmarkStart w:id="6131" w:name="_Toc56637067"/>
      <w:bookmarkStart w:id="6132" w:name="_Toc56638211"/>
      <w:bookmarkStart w:id="6133" w:name="_Toc56641060"/>
      <w:r>
        <w:rPr>
          <w:rFonts w:hint="cs"/>
          <w:rtl/>
        </w:rPr>
        <w:t>דחיית הגרנ"פ דלתוס' גדר החזקה דנעשה מוחזק והאנן סהדי היינו דחשיב כמיגו במקום עדים</w:t>
      </w:r>
      <w:bookmarkEnd w:id="6129"/>
      <w:bookmarkEnd w:id="6130"/>
      <w:bookmarkEnd w:id="6131"/>
      <w:bookmarkEnd w:id="6132"/>
      <w:bookmarkEnd w:id="6133"/>
    </w:p>
    <w:p w:rsidR="00E874E8" w:rsidRPr="00D3214D" w:rsidRDefault="00E874E8" w:rsidP="007E4E81">
      <w:pPr>
        <w:pStyle w:val="afa"/>
        <w:rPr>
          <w:rtl/>
        </w:rPr>
      </w:pPr>
      <w:r w:rsidRPr="00E05ED7">
        <w:rPr>
          <w:rStyle w:val="a8"/>
          <w:rFonts w:hint="cs"/>
          <w:rtl/>
        </w:rPr>
        <w:t xml:space="preserve">אך דחה </w:t>
      </w:r>
      <w:r w:rsidRPr="006F2D22">
        <w:rPr>
          <w:rStyle w:val="af9"/>
          <w:rFonts w:hint="cs"/>
          <w:rtl/>
        </w:rPr>
        <w:t>בחי' רבי נחום</w:t>
      </w:r>
      <w:r w:rsidRPr="00E05ED7">
        <w:rPr>
          <w:rStyle w:val="a8"/>
          <w:rFonts w:hint="cs"/>
          <w:rtl/>
        </w:rPr>
        <w:t xml:space="preserve"> </w:t>
      </w:r>
      <w:r w:rsidRPr="006F2D22">
        <w:rPr>
          <w:rStyle w:val="af7"/>
          <w:rFonts w:eastAsia="Guttman Hodes" w:hint="cs"/>
          <w:rtl/>
        </w:rPr>
        <w:t>(סוף או' א' ד"ה ולדברינו)</w:t>
      </w:r>
      <w:r w:rsidRPr="00E05ED7">
        <w:rPr>
          <w:rStyle w:val="a8"/>
          <w:rFonts w:hint="cs"/>
          <w:rtl/>
        </w:rPr>
        <w:t xml:space="preserve"> דאפש"ל דאף לדעת </w:t>
      </w:r>
      <w:r w:rsidRPr="00A425B4">
        <w:rPr>
          <w:rStyle w:val="af9"/>
          <w:rFonts w:hint="cs"/>
          <w:rtl/>
        </w:rPr>
        <w:t>התוס' בב"מ</w:t>
      </w:r>
      <w:r w:rsidRPr="00E05ED7">
        <w:rPr>
          <w:rStyle w:val="a8"/>
          <w:rFonts w:hint="cs"/>
          <w:rtl/>
        </w:rPr>
        <w:t xml:space="preserve"> גדר החזקה היא דהמחזיק נחשב כמוחזק, </w:t>
      </w:r>
      <w:r w:rsidRPr="00A425B4">
        <w:rPr>
          <w:rFonts w:hint="cs"/>
          <w:rtl/>
        </w:rPr>
        <w:t>[כדביאר</w:t>
      </w:r>
      <w:r w:rsidRPr="00A425B4">
        <w:rPr>
          <w:rStyle w:val="affa"/>
          <w:rFonts w:hint="cs"/>
          <w:rtl/>
        </w:rPr>
        <w:t xml:space="preserve"> בחי' רבי נחום </w:t>
      </w:r>
      <w:r w:rsidRPr="00003ACA">
        <w:rPr>
          <w:rStyle w:val="aff6"/>
          <w:rFonts w:hint="cs"/>
          <w:rtl/>
        </w:rPr>
        <w:t>(או' א' ד"ה אמנם, הובא בסימן א' אות פ"ג)</w:t>
      </w:r>
      <w:r w:rsidRPr="00A425B4">
        <w:rPr>
          <w:rFonts w:hint="cs"/>
          <w:rtl/>
        </w:rPr>
        <w:t xml:space="preserve"> בדעת </w:t>
      </w:r>
      <w:r w:rsidRPr="00A425B4">
        <w:rPr>
          <w:rStyle w:val="affa"/>
          <w:rFonts w:hint="cs"/>
          <w:rtl/>
        </w:rPr>
        <w:t xml:space="preserve">המאירי </w:t>
      </w:r>
      <w:r w:rsidRPr="00003ACA">
        <w:rPr>
          <w:rStyle w:val="affa"/>
          <w:rtl/>
        </w:rPr>
        <w:t xml:space="preserve">בב"ק </w:t>
      </w:r>
      <w:r w:rsidRPr="00003ACA">
        <w:rPr>
          <w:rStyle w:val="aff6"/>
          <w:rtl/>
        </w:rPr>
        <w:t>(קיב: ד"ה כבר בתו"ד)</w:t>
      </w:r>
      <w:r w:rsidRPr="00003ACA">
        <w:rPr>
          <w:rStyle w:val="affa"/>
          <w:rtl/>
        </w:rPr>
        <w:t xml:space="preserve"> </w:t>
      </w:r>
      <w:r w:rsidRPr="00A425B4">
        <w:rPr>
          <w:rStyle w:val="affa"/>
          <w:rFonts w:hint="cs"/>
          <w:rtl/>
        </w:rPr>
        <w:t>והי"מ בריטב"א</w:t>
      </w:r>
      <w:r w:rsidRPr="00003ACA">
        <w:rPr>
          <w:rtl/>
        </w:rPr>
        <w:t xml:space="preserve"> </w:t>
      </w:r>
      <w:r>
        <w:rPr>
          <w:rStyle w:val="affa"/>
          <w:rFonts w:hint="cs"/>
          <w:rtl/>
        </w:rPr>
        <w:t>לעיל</w:t>
      </w:r>
      <w:r w:rsidRPr="00003ACA">
        <w:rPr>
          <w:rStyle w:val="affa"/>
          <w:rtl/>
        </w:rPr>
        <w:t xml:space="preserve"> </w:t>
      </w:r>
      <w:r w:rsidRPr="00003ACA">
        <w:rPr>
          <w:rStyle w:val="aff6"/>
          <w:rtl/>
        </w:rPr>
        <w:t>(</w:t>
      </w:r>
      <w:r w:rsidRPr="00003ACA">
        <w:rPr>
          <w:rStyle w:val="aff6"/>
          <w:rFonts w:hint="cs"/>
          <w:rtl/>
        </w:rPr>
        <w:t xml:space="preserve">כח. </w:t>
      </w:r>
      <w:r w:rsidRPr="00003ACA">
        <w:rPr>
          <w:rStyle w:val="aff6"/>
          <w:rtl/>
        </w:rPr>
        <w:t>ד"ה וכל)</w:t>
      </w:r>
      <w:r w:rsidRPr="00003ACA">
        <w:rPr>
          <w:rStyle w:val="affa"/>
          <w:rFonts w:hint="cs"/>
          <w:rtl/>
        </w:rPr>
        <w:t>]</w:t>
      </w:r>
      <w:r w:rsidRPr="00A425B4">
        <w:rPr>
          <w:rFonts w:hint="cs"/>
          <w:rtl/>
        </w:rPr>
        <w:t>,</w:t>
      </w:r>
      <w:r w:rsidRPr="00E05ED7">
        <w:rPr>
          <w:rStyle w:val="a8"/>
          <w:rFonts w:hint="cs"/>
          <w:rtl/>
        </w:rPr>
        <w:t xml:space="preserve"> וכ"מ דכתבו </w:t>
      </w:r>
      <w:r w:rsidRPr="00A425B4">
        <w:rPr>
          <w:rStyle w:val="af9"/>
          <w:rFonts w:hint="cs"/>
          <w:rtl/>
        </w:rPr>
        <w:t>התוס</w:t>
      </w:r>
      <w:r w:rsidRPr="00E05ED7">
        <w:rPr>
          <w:rStyle w:val="a8"/>
          <w:rFonts w:hint="cs"/>
          <w:rtl/>
        </w:rPr>
        <w:t>' דיש אנן סהדי, היינו דחשיב כמיגו במקום עדים, אבל החזקה עצמה היא היא מחשיבה את המחזיק כמוחזק, והמרא קמא הוא המוציא מהמוחזק.</w:t>
      </w:r>
      <w:r>
        <w:rPr>
          <w:rFonts w:hint="cs"/>
          <w:rtl/>
        </w:rPr>
        <w:t xml:space="preserve"> [וע"ע בדברי </w:t>
      </w:r>
      <w:r w:rsidRPr="0011475B">
        <w:rPr>
          <w:rStyle w:val="affa"/>
          <w:rFonts w:hint="cs"/>
          <w:rtl/>
        </w:rPr>
        <w:t>הגר"ח</w:t>
      </w:r>
      <w:r>
        <w:rPr>
          <w:rFonts w:hint="cs"/>
          <w:rtl/>
        </w:rPr>
        <w:t xml:space="preserve"> </w:t>
      </w:r>
      <w:r w:rsidRPr="0011475B">
        <w:rPr>
          <w:rStyle w:val="aff6"/>
          <w:rFonts w:hint="cs"/>
          <w:rtl/>
        </w:rPr>
        <w:t xml:space="preserve">(נד' בחו"ש הגרב"ב ח"א סי' י"א מכי"ק של הגר"ח) </w:t>
      </w:r>
      <w:r>
        <w:rPr>
          <w:rFonts w:hint="cs"/>
          <w:rtl/>
        </w:rPr>
        <w:t>בזה].</w:t>
      </w:r>
    </w:p>
    <w:p w:rsidR="00E874E8" w:rsidRPr="006D6C27" w:rsidRDefault="00E874E8" w:rsidP="00E874E8">
      <w:pPr>
        <w:pStyle w:val="a3"/>
        <w:rPr>
          <w:rtl/>
        </w:rPr>
      </w:pPr>
      <w:bookmarkStart w:id="6134" w:name="_Toc56626736"/>
      <w:bookmarkStart w:id="6135" w:name="_Toc56630205"/>
      <w:bookmarkStart w:id="6136" w:name="_Toc56637068"/>
      <w:bookmarkStart w:id="6137" w:name="_Toc56638212"/>
      <w:bookmarkStart w:id="6138" w:name="_Toc56641061"/>
      <w:r>
        <w:rPr>
          <w:rFonts w:hint="cs"/>
          <w:rtl/>
        </w:rPr>
        <w:t>דברי הגרנ"פ דאפש"ל בתוס' דהיא תקנ"ח ואחר התקנ"ח ממילא יש אנ"ס מדהניחו להחזיק</w:t>
      </w:r>
      <w:bookmarkEnd w:id="6134"/>
      <w:bookmarkEnd w:id="6135"/>
      <w:bookmarkEnd w:id="6136"/>
      <w:bookmarkEnd w:id="6137"/>
      <w:bookmarkEnd w:id="6138"/>
    </w:p>
    <w:p w:rsidR="00E874E8" w:rsidRPr="000F412D" w:rsidRDefault="00E874E8" w:rsidP="007E4E81">
      <w:pPr>
        <w:pStyle w:val="a0"/>
        <w:rPr>
          <w:rtl/>
        </w:rPr>
      </w:pPr>
      <w:r w:rsidRPr="000F412D">
        <w:rPr>
          <w:rFonts w:hint="cs"/>
          <w:rtl/>
        </w:rPr>
        <w:t xml:space="preserve">ועו"כ </w:t>
      </w:r>
      <w:r w:rsidRPr="000F412D">
        <w:rPr>
          <w:rStyle w:val="af9"/>
          <w:rFonts w:hint="cs"/>
          <w:rtl/>
        </w:rPr>
        <w:t xml:space="preserve">בחי' רבי נחום </w:t>
      </w:r>
      <w:r w:rsidRPr="000F412D">
        <w:rPr>
          <w:rStyle w:val="af7"/>
          <w:rFonts w:eastAsia="Guttman Hodes" w:hint="cs"/>
          <w:rtl/>
        </w:rPr>
        <w:t>(או' כ"ה ד"ה ויש)</w:t>
      </w:r>
      <w:r w:rsidRPr="000F412D">
        <w:rPr>
          <w:rFonts w:hint="cs"/>
          <w:rtl/>
        </w:rPr>
        <w:t xml:space="preserve"> דאפש"ל </w:t>
      </w:r>
      <w:r w:rsidRPr="000F412D">
        <w:rPr>
          <w:rStyle w:val="af9"/>
          <w:rFonts w:hint="cs"/>
          <w:rtl/>
        </w:rPr>
        <w:t xml:space="preserve">דהתוס' </w:t>
      </w:r>
      <w:r w:rsidRPr="000F412D">
        <w:rPr>
          <w:rFonts w:hint="cs"/>
          <w:rtl/>
        </w:rPr>
        <w:t xml:space="preserve">מודו דעיקר החזקה אינה מחמת האנן סהדי, אלא היא תקנת חכמים, </w:t>
      </w:r>
      <w:r w:rsidRPr="000F412D">
        <w:rPr>
          <w:rStyle w:val="afb"/>
          <w:rFonts w:hint="cs"/>
          <w:rtl/>
        </w:rPr>
        <w:t xml:space="preserve">[וכדביאר </w:t>
      </w:r>
      <w:r w:rsidRPr="000F412D">
        <w:rPr>
          <w:rStyle w:val="affa"/>
          <w:rFonts w:hint="cs"/>
          <w:rtl/>
        </w:rPr>
        <w:t>בחי' רבי נחום</w:t>
      </w:r>
      <w:r w:rsidRPr="000F412D">
        <w:rPr>
          <w:rStyle w:val="afb"/>
          <w:rFonts w:hint="cs"/>
          <w:rtl/>
        </w:rPr>
        <w:t xml:space="preserve"> </w:t>
      </w:r>
      <w:r w:rsidRPr="000F412D">
        <w:rPr>
          <w:rStyle w:val="aff6"/>
          <w:rFonts w:hint="cs"/>
          <w:rtl/>
        </w:rPr>
        <w:t>(או' כ"ה ד"ה והנה בקצה"ח, הובא בסימן ה' אות צ</w:t>
      </w:r>
      <w:r>
        <w:rPr>
          <w:rStyle w:val="aff6"/>
          <w:rFonts w:hint="cs"/>
          <w:rtl/>
        </w:rPr>
        <w:t>"א</w:t>
      </w:r>
      <w:r w:rsidRPr="000F412D">
        <w:rPr>
          <w:rStyle w:val="aff6"/>
          <w:rFonts w:hint="cs"/>
          <w:rtl/>
        </w:rPr>
        <w:t>)</w:t>
      </w:r>
      <w:r w:rsidRPr="000F412D">
        <w:rPr>
          <w:rStyle w:val="afb"/>
          <w:rFonts w:hint="cs"/>
          <w:rtl/>
        </w:rPr>
        <w:t xml:space="preserve"> בדעת </w:t>
      </w:r>
      <w:r w:rsidRPr="000F412D">
        <w:rPr>
          <w:rStyle w:val="affa"/>
          <w:rFonts w:hint="cs"/>
          <w:rtl/>
        </w:rPr>
        <w:t>הרמב"ן</w:t>
      </w:r>
      <w:r w:rsidRPr="000F412D">
        <w:rPr>
          <w:rStyle w:val="afb"/>
          <w:rFonts w:hint="cs"/>
          <w:rtl/>
        </w:rPr>
        <w:t>],</w:t>
      </w:r>
      <w:r w:rsidRPr="000F412D">
        <w:rPr>
          <w:rFonts w:hint="cs"/>
          <w:rtl/>
        </w:rPr>
        <w:t xml:space="preserve"> ואחר שתיקנו חכמים את חזקת ג"ש ממילא יש אנן סהדי גמור כשלא מיחה בו והניח לו להחזיק אף שידע דלאחר ג"ש שלא ימחה בו יפסיד את הקרקע, וכן מפורש </w:t>
      </w:r>
      <w:r w:rsidRPr="000F412D">
        <w:rPr>
          <w:rStyle w:val="af9"/>
          <w:rFonts w:hint="cs"/>
          <w:rtl/>
        </w:rPr>
        <w:t xml:space="preserve">בתוס' הרא"ש בב"מ </w:t>
      </w:r>
      <w:r w:rsidRPr="000F412D">
        <w:rPr>
          <w:rStyle w:val="af7"/>
          <w:rFonts w:eastAsia="Guttman Hodes" w:hint="cs"/>
          <w:rtl/>
        </w:rPr>
        <w:t xml:space="preserve">(עי' אות </w:t>
      </w:r>
      <w:r w:rsidRPr="000F412D">
        <w:rPr>
          <w:rStyle w:val="af7"/>
          <w:rFonts w:eastAsia="Guttman Hodes"/>
          <w:rtl/>
        </w:rPr>
        <w:fldChar w:fldCharType="begin"/>
      </w:r>
      <w:r w:rsidRPr="000F412D">
        <w:rPr>
          <w:rStyle w:val="af7"/>
          <w:rFonts w:eastAsia="Guttman Hodes"/>
          <w:rtl/>
        </w:rPr>
        <w:instrText xml:space="preserve"> </w:instrText>
      </w:r>
      <w:r w:rsidRPr="000F412D">
        <w:rPr>
          <w:rStyle w:val="af7"/>
          <w:rFonts w:eastAsia="Guttman Hodes" w:hint="cs"/>
        </w:rPr>
        <w:instrText>REF</w:instrText>
      </w:r>
      <w:r w:rsidRPr="000F412D">
        <w:rPr>
          <w:rStyle w:val="af7"/>
          <w:rFonts w:eastAsia="Guttman Hodes" w:hint="cs"/>
          <w:rtl/>
        </w:rPr>
        <w:instrText xml:space="preserve"> _</w:instrText>
      </w:r>
      <w:r w:rsidRPr="000F412D">
        <w:rPr>
          <w:rStyle w:val="af7"/>
          <w:rFonts w:eastAsia="Guttman Hodes" w:hint="cs"/>
        </w:rPr>
        <w:instrText>Ref56526775 \r \h</w:instrText>
      </w:r>
      <w:r w:rsidRPr="000F412D">
        <w:rPr>
          <w:rStyle w:val="af7"/>
          <w:rFonts w:eastAsia="Guttman Hodes"/>
          <w:rtl/>
        </w:rPr>
        <w:instrText xml:space="preserve"> </w:instrText>
      </w:r>
      <w:r w:rsidRPr="000F412D">
        <w:rPr>
          <w:rStyle w:val="af7"/>
          <w:rFonts w:eastAsia="Guttman Hodes"/>
          <w:rtl/>
        </w:rPr>
      </w:r>
      <w:r w:rsidRPr="000F412D">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0F412D">
        <w:rPr>
          <w:rStyle w:val="af7"/>
          <w:rFonts w:eastAsia="Guttman Hodes"/>
          <w:rtl/>
        </w:rPr>
        <w:fldChar w:fldCharType="end"/>
      </w:r>
      <w:r w:rsidRPr="000F412D">
        <w:rPr>
          <w:rFonts w:hint="cs"/>
          <w:rtl/>
        </w:rPr>
        <w:t xml:space="preserve"> ועיי"ש במ"ש </w:t>
      </w:r>
      <w:r w:rsidRPr="000F412D">
        <w:rPr>
          <w:rStyle w:val="af9"/>
          <w:rFonts w:hint="cs"/>
          <w:rtl/>
        </w:rPr>
        <w:t xml:space="preserve">בחי' רבי נחום </w:t>
      </w:r>
      <w:r w:rsidRPr="000F412D">
        <w:rPr>
          <w:rFonts w:hint="cs"/>
          <w:rtl/>
        </w:rPr>
        <w:t xml:space="preserve">דמ"מ </w:t>
      </w:r>
      <w:r w:rsidRPr="000F412D">
        <w:rPr>
          <w:rStyle w:val="af9"/>
          <w:rFonts w:hint="cs"/>
          <w:rtl/>
        </w:rPr>
        <w:t xml:space="preserve">הרמב"ן </w:t>
      </w:r>
      <w:r w:rsidRPr="000F412D">
        <w:rPr>
          <w:rFonts w:hint="cs"/>
          <w:rtl/>
        </w:rPr>
        <w:t>ס"ל דמהני מיגו אף בכה"ג.</w:t>
      </w:r>
    </w:p>
    <w:p w:rsidR="00E874E8" w:rsidRDefault="00E874E8" w:rsidP="00E874E8">
      <w:pPr>
        <w:pStyle w:val="afe"/>
        <w:rPr>
          <w:rtl/>
        </w:rPr>
      </w:pPr>
      <w:bookmarkStart w:id="6139" w:name="_Toc56372906"/>
      <w:bookmarkStart w:id="6140" w:name="_Toc56458248"/>
      <w:bookmarkStart w:id="6141" w:name="_Toc56544408"/>
      <w:bookmarkStart w:id="6142" w:name="_Toc56609873"/>
      <w:bookmarkStart w:id="6143" w:name="_Toc56626739"/>
      <w:bookmarkStart w:id="6144" w:name="_Toc56630211"/>
      <w:bookmarkStart w:id="6145" w:name="_Toc56637074"/>
      <w:bookmarkStart w:id="6146" w:name="_Toc56638213"/>
      <w:bookmarkStart w:id="6147" w:name="_Toc56641062"/>
      <w:bookmarkEnd w:id="6121"/>
      <w:bookmarkEnd w:id="6122"/>
      <w:r>
        <w:rPr>
          <w:rFonts w:hint="cs"/>
          <w:rtl/>
        </w:rPr>
        <w:t>בד' הרמב"ם</w:t>
      </w:r>
      <w:bookmarkEnd w:id="6139"/>
      <w:bookmarkEnd w:id="6140"/>
      <w:bookmarkEnd w:id="6141"/>
      <w:bookmarkEnd w:id="6142"/>
      <w:bookmarkEnd w:id="6143"/>
      <w:bookmarkEnd w:id="6144"/>
      <w:bookmarkEnd w:id="6145"/>
      <w:r>
        <w:rPr>
          <w:rFonts w:hint="cs"/>
          <w:rtl/>
        </w:rPr>
        <w:t xml:space="preserve"> דהחזקה ראיה או תקנ"ח</w:t>
      </w:r>
      <w:bookmarkEnd w:id="6146"/>
      <w:bookmarkEnd w:id="6147"/>
    </w:p>
    <w:p w:rsidR="00E874E8" w:rsidRPr="00420A1A" w:rsidRDefault="00E874E8" w:rsidP="00E874E8">
      <w:pPr>
        <w:pStyle w:val="1"/>
        <w:rPr>
          <w:rtl/>
        </w:rPr>
      </w:pPr>
      <w:bookmarkStart w:id="6148" w:name="_Toc56638214"/>
      <w:bookmarkStart w:id="6149" w:name="_Toc56641063"/>
      <w:r>
        <w:rPr>
          <w:rFonts w:hint="cs"/>
          <w:rtl/>
        </w:rPr>
        <w:t>קו' הגרנ"פ בסתירת הרמב"ם אי החזקה מדלא מיחה או מתקנ"ח</w:t>
      </w:r>
      <w:bookmarkEnd w:id="6148"/>
      <w:bookmarkEnd w:id="6149"/>
    </w:p>
    <w:p w:rsidR="00E874E8" w:rsidRPr="001152A1" w:rsidRDefault="00E874E8" w:rsidP="00E874E8">
      <w:pPr>
        <w:pStyle w:val="a3"/>
        <w:rPr>
          <w:rtl/>
        </w:rPr>
      </w:pPr>
      <w:bookmarkStart w:id="6150" w:name="_Toc56630213"/>
      <w:bookmarkStart w:id="6151" w:name="_Toc56637076"/>
      <w:bookmarkStart w:id="6152" w:name="_Toc56638215"/>
      <w:bookmarkStart w:id="6153" w:name="_Toc56641064"/>
      <w:r>
        <w:rPr>
          <w:rFonts w:hint="cs"/>
          <w:rtl/>
        </w:rPr>
        <w:t>דברי הגרנ"פ דהפשטות ברמב"ם דהחזקה היא מחמת דלא מחה המערער ועד ג"ש יש ריעותא</w:t>
      </w:r>
      <w:bookmarkEnd w:id="6150"/>
      <w:bookmarkEnd w:id="6151"/>
      <w:bookmarkEnd w:id="6152"/>
      <w:bookmarkEnd w:id="6153"/>
    </w:p>
    <w:p w:rsidR="00E874E8" w:rsidRDefault="00E874E8" w:rsidP="007E4E81">
      <w:pPr>
        <w:pStyle w:val="a0"/>
        <w:rPr>
          <w:rtl/>
        </w:rPr>
      </w:pPr>
      <w:bookmarkStart w:id="6154" w:name="_Ref56627763"/>
      <w:r>
        <w:rPr>
          <w:rFonts w:hint="cs"/>
          <w:rtl/>
        </w:rPr>
        <w:t xml:space="preserve">במ"ש </w:t>
      </w:r>
      <w:r w:rsidRPr="006177F0">
        <w:rPr>
          <w:rStyle w:val="af9"/>
          <w:rFonts w:hint="cs"/>
          <w:rtl/>
        </w:rPr>
        <w:t>הרמב"ם</w:t>
      </w:r>
      <w:r>
        <w:rPr>
          <w:rFonts w:hint="cs"/>
          <w:rtl/>
        </w:rPr>
        <w:t xml:space="preserve"> </w:t>
      </w:r>
      <w:r w:rsidRPr="00CF55F0">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Ref56627317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w:t>
      </w:r>
      <w:r>
        <w:rPr>
          <w:rStyle w:val="af7"/>
          <w:rFonts w:eastAsia="Guttman Hodes"/>
          <w:rtl/>
        </w:rPr>
        <w:fldChar w:fldCharType="end"/>
      </w:r>
      <w:r>
        <w:rPr>
          <w:rStyle w:val="af7"/>
          <w:rFonts w:eastAsia="Guttman Hodes" w:hint="cs"/>
          <w:rtl/>
        </w:rPr>
        <w:t xml:space="preserve"> </w:t>
      </w:r>
      <w:r>
        <w:rPr>
          <w:rFonts w:hint="cs"/>
          <w:rtl/>
        </w:rPr>
        <w:t xml:space="preserve">דאם הביא המחזיק עדים שאכלה ג"ש רצופות, ולא מיחו בו הבעלים, מעמידים אותה בחזקה המחזיק, דאמרינן לבעלים דאם לא מכר לו, אמאי לא מחה בו, וכיון ששמע ולא מיחה בפני עדים הפסיד המערער לעצמו, והוסיף </w:t>
      </w:r>
      <w:r w:rsidRPr="006177F0">
        <w:rPr>
          <w:rStyle w:val="af9"/>
          <w:rFonts w:hint="cs"/>
          <w:rtl/>
        </w:rPr>
        <w:t>הרמב"ם</w:t>
      </w:r>
      <w:r>
        <w:rPr>
          <w:rFonts w:hint="cs"/>
          <w:rtl/>
        </w:rPr>
        <w:t xml:space="preserve"> </w:t>
      </w:r>
      <w:r w:rsidRPr="00CF55F0">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Ref56627328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Pr>
          <w:rStyle w:val="af7"/>
          <w:rFonts w:eastAsia="Guttman Hodes"/>
          <w:rtl/>
        </w:rPr>
        <w:fldChar w:fldCharType="end"/>
      </w:r>
      <w:r>
        <w:rPr>
          <w:rStyle w:val="af7"/>
          <w:rFonts w:eastAsia="Guttman Hodes" w:hint="cs"/>
          <w:rtl/>
        </w:rPr>
        <w:t xml:space="preserve"> </w:t>
      </w:r>
      <w:r>
        <w:rPr>
          <w:rFonts w:hint="cs"/>
          <w:rtl/>
        </w:rPr>
        <w:t xml:space="preserve">דהא דאין אנו טוענים אחוי שטרך, הוא כיון שיש חזקה שאדם נזהר בשטר רק עד ג"ש, וכיון שהוא רואה שאין עליו מערער אינו נזהר יותר, כתב </w:t>
      </w:r>
      <w:r w:rsidRPr="001152A1">
        <w:rPr>
          <w:rStyle w:val="af9"/>
          <w:rFonts w:hint="cs"/>
          <w:rtl/>
        </w:rPr>
        <w:t>בחי' רבי נחום</w:t>
      </w:r>
      <w:r>
        <w:rPr>
          <w:rFonts w:hint="cs"/>
          <w:rtl/>
        </w:rPr>
        <w:t xml:space="preserve"> דבפשטות משמע דעיקר החזקה היא מחמת הראיה שלא מיחה המערער, אלא דבמקום שהיה צריך המחזיק לשמור את שטרו, יש ריעותא בחזקתו, ולכן לא הוי חזקה, וזו כוונת </w:t>
      </w:r>
      <w:r w:rsidRPr="001152A1">
        <w:rPr>
          <w:rStyle w:val="af9"/>
          <w:rFonts w:hint="cs"/>
          <w:rtl/>
        </w:rPr>
        <w:t>הרמב"ם</w:t>
      </w:r>
      <w:r>
        <w:rPr>
          <w:rFonts w:hint="cs"/>
          <w:rtl/>
        </w:rPr>
        <w:t xml:space="preserve"> </w:t>
      </w:r>
      <w:r w:rsidRPr="000327FC">
        <w:rPr>
          <w:rStyle w:val="af7"/>
          <w:rFonts w:eastAsia="Guttman Hodes" w:hint="cs"/>
          <w:rtl/>
        </w:rPr>
        <w:t xml:space="preserve">(עי' אות </w:t>
      </w:r>
      <w:r w:rsidRPr="000327FC">
        <w:rPr>
          <w:rStyle w:val="af7"/>
          <w:rFonts w:eastAsia="Guttman Hodes"/>
          <w:rtl/>
        </w:rPr>
        <w:fldChar w:fldCharType="begin"/>
      </w:r>
      <w:r w:rsidRPr="000327FC">
        <w:rPr>
          <w:rStyle w:val="af7"/>
          <w:rFonts w:eastAsia="Guttman Hodes"/>
          <w:rtl/>
        </w:rPr>
        <w:instrText xml:space="preserve"> </w:instrText>
      </w:r>
      <w:r w:rsidRPr="000327FC">
        <w:rPr>
          <w:rStyle w:val="af7"/>
          <w:rFonts w:eastAsia="Guttman Hodes" w:hint="cs"/>
        </w:rPr>
        <w:instrText>REF</w:instrText>
      </w:r>
      <w:r w:rsidRPr="000327FC">
        <w:rPr>
          <w:rStyle w:val="af7"/>
          <w:rFonts w:eastAsia="Guttman Hodes" w:hint="cs"/>
          <w:rtl/>
        </w:rPr>
        <w:instrText xml:space="preserve"> _</w:instrText>
      </w:r>
      <w:r w:rsidRPr="000327FC">
        <w:rPr>
          <w:rStyle w:val="af7"/>
          <w:rFonts w:eastAsia="Guttman Hodes" w:hint="cs"/>
        </w:rPr>
        <w:instrText>Ref56627328 \r \h</w:instrText>
      </w:r>
      <w:r w:rsidRPr="000327FC">
        <w:rPr>
          <w:rStyle w:val="af7"/>
          <w:rFonts w:eastAsia="Guttman Hodes"/>
          <w:rtl/>
        </w:rPr>
        <w:instrText xml:space="preserve"> </w:instrText>
      </w:r>
      <w:r w:rsidRPr="000327FC">
        <w:rPr>
          <w:rStyle w:val="af7"/>
          <w:rFonts w:eastAsia="Guttman Hodes"/>
          <w:rtl/>
        </w:rPr>
      </w:r>
      <w:r w:rsidRPr="000327FC">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0327FC">
        <w:rPr>
          <w:rStyle w:val="af7"/>
          <w:rFonts w:eastAsia="Guttman Hodes"/>
          <w:rtl/>
        </w:rPr>
        <w:fldChar w:fldCharType="end"/>
      </w:r>
      <w:r>
        <w:rPr>
          <w:rFonts w:hint="cs"/>
          <w:rtl/>
        </w:rPr>
        <w:t xml:space="preserve"> דכתב דאין טוענים למחזיק אחוי שטרך, כיון שיש חזקה שאדם נזהר בשטר רק עד ג"ש.</w:t>
      </w:r>
      <w:bookmarkEnd w:id="6154"/>
    </w:p>
    <w:p w:rsidR="00E874E8" w:rsidRPr="0017051E" w:rsidRDefault="00E874E8" w:rsidP="00E874E8">
      <w:pPr>
        <w:pStyle w:val="a3"/>
        <w:rPr>
          <w:rtl/>
        </w:rPr>
      </w:pPr>
      <w:bookmarkStart w:id="6155" w:name="_Toc56630214"/>
      <w:bookmarkStart w:id="6156" w:name="_Toc56637077"/>
      <w:bookmarkStart w:id="6157" w:name="_Toc56638216"/>
      <w:bookmarkStart w:id="6158" w:name="_Toc56641065"/>
      <w:r>
        <w:rPr>
          <w:rFonts w:hint="cs"/>
          <w:rtl/>
        </w:rPr>
        <w:t>קושית הגרנ"פ דכיון דכתב הרמב"ם דכל מחאה חזקה ששמע ממנה א"כ אין החזקה מדלא מחה</w:t>
      </w:r>
      <w:bookmarkEnd w:id="6155"/>
      <w:bookmarkEnd w:id="6156"/>
      <w:bookmarkEnd w:id="6157"/>
      <w:bookmarkEnd w:id="6158"/>
    </w:p>
    <w:p w:rsidR="00E874E8" w:rsidRDefault="00E874E8" w:rsidP="007E4E81">
      <w:pPr>
        <w:pStyle w:val="a0"/>
        <w:rPr>
          <w:rStyle w:val="afb"/>
          <w:sz w:val="18"/>
          <w:szCs w:val="18"/>
          <w:rtl/>
        </w:rPr>
      </w:pPr>
      <w:bookmarkStart w:id="6159" w:name="_Ref56627907"/>
      <w:r>
        <w:rPr>
          <w:rFonts w:hint="cs"/>
          <w:rtl/>
        </w:rPr>
        <w:t xml:space="preserve">אך הקשה </w:t>
      </w:r>
      <w:r w:rsidRPr="00E90350">
        <w:rPr>
          <w:rStyle w:val="af9"/>
          <w:rFonts w:hint="cs"/>
          <w:rtl/>
        </w:rPr>
        <w:t xml:space="preserve">בחי' רבי נחום </w:t>
      </w:r>
      <w:r>
        <w:rPr>
          <w:rFonts w:hint="cs"/>
          <w:rtl/>
        </w:rPr>
        <w:t xml:space="preserve">דמדברי </w:t>
      </w:r>
      <w:r w:rsidRPr="006177F0">
        <w:rPr>
          <w:rStyle w:val="af9"/>
          <w:rFonts w:hint="cs"/>
          <w:rtl/>
        </w:rPr>
        <w:t>הרמב"ם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Ref56627976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Pr>
          <w:rStyle w:val="af7"/>
          <w:rFonts w:eastAsia="Guttman Hodes"/>
          <w:rtl/>
        </w:rPr>
        <w:fldChar w:fldCharType="end"/>
      </w:r>
      <w:r>
        <w:rPr>
          <w:rStyle w:val="af7"/>
          <w:rFonts w:eastAsia="Guttman Hodes" w:hint="cs"/>
          <w:rtl/>
        </w:rPr>
        <w:t xml:space="preserve"> </w:t>
      </w:r>
      <w:r>
        <w:rPr>
          <w:rFonts w:hint="cs"/>
          <w:rtl/>
        </w:rPr>
        <w:t xml:space="preserve">דכתב דאם מחה המערער במקום רחוק, אמרינן דחברך חברא אית ליה, ויש חזקה ששמע מהמחאה, וכיון דלא נזהר בשטרו, הוא הפסיד לעצמו, משמע דטעם החזקה אינה מחמת הראיה שלא מחה בו, דא"כ היה </w:t>
      </w:r>
      <w:r w:rsidRPr="001C4DE0">
        <w:rPr>
          <w:rStyle w:val="af9"/>
          <w:rFonts w:hint="cs"/>
          <w:rtl/>
        </w:rPr>
        <w:t>להרמב"ם</w:t>
      </w:r>
      <w:r>
        <w:rPr>
          <w:rFonts w:hint="cs"/>
          <w:rtl/>
        </w:rPr>
        <w:t xml:space="preserve"> לומר בפשיטות דכל שמחה המערער אף במקום רחוק, ממילא אין כל ראיה משתיקת המערער, ואין חזקה כלל. </w:t>
      </w:r>
      <w:r w:rsidRPr="00685A5C">
        <w:rPr>
          <w:rStyle w:val="afb"/>
          <w:rFonts w:hint="cs"/>
          <w:rtl/>
        </w:rPr>
        <w:t xml:space="preserve">[וכתב </w:t>
      </w:r>
      <w:r w:rsidRPr="000327FC">
        <w:rPr>
          <w:rStyle w:val="affa"/>
          <w:rFonts w:hint="cs"/>
          <w:rtl/>
        </w:rPr>
        <w:t>בחי' רבי נחום</w:t>
      </w:r>
      <w:r w:rsidRPr="00685A5C">
        <w:rPr>
          <w:rStyle w:val="afb"/>
          <w:rFonts w:hint="cs"/>
          <w:rtl/>
        </w:rPr>
        <w:t xml:space="preserve"> דבאמת כ"כ </w:t>
      </w:r>
      <w:r w:rsidRPr="000327FC">
        <w:rPr>
          <w:rStyle w:val="affa"/>
          <w:rFonts w:hint="cs"/>
          <w:rtl/>
        </w:rPr>
        <w:t>רבינו יונה</w:t>
      </w:r>
      <w:r w:rsidRPr="00685A5C">
        <w:rPr>
          <w:rStyle w:val="afb"/>
          <w:rFonts w:hint="cs"/>
          <w:rtl/>
        </w:rPr>
        <w:t xml:space="preserve"> </w:t>
      </w:r>
      <w:r w:rsidRPr="000327FC">
        <w:rPr>
          <w:rStyle w:val="aff6"/>
          <w:rFonts w:hint="cs"/>
          <w:rtl/>
        </w:rPr>
        <w:t xml:space="preserve">(עי' אות </w:t>
      </w:r>
      <w:r w:rsidRPr="000327FC">
        <w:rPr>
          <w:rStyle w:val="aff6"/>
          <w:rtl/>
        </w:rPr>
        <w:fldChar w:fldCharType="begin"/>
      </w:r>
      <w:r w:rsidRPr="000327FC">
        <w:rPr>
          <w:rStyle w:val="aff6"/>
          <w:rtl/>
        </w:rPr>
        <w:instrText xml:space="preserve"> </w:instrText>
      </w:r>
      <w:r w:rsidRPr="000327FC">
        <w:rPr>
          <w:rStyle w:val="aff6"/>
          <w:rFonts w:hint="cs"/>
        </w:rPr>
        <w:instrText>REF</w:instrText>
      </w:r>
      <w:r w:rsidRPr="000327FC">
        <w:rPr>
          <w:rStyle w:val="aff6"/>
          <w:rFonts w:hint="cs"/>
          <w:rtl/>
        </w:rPr>
        <w:instrText xml:space="preserve"> _</w:instrText>
      </w:r>
      <w:r w:rsidRPr="000327FC">
        <w:rPr>
          <w:rStyle w:val="aff6"/>
          <w:rFonts w:hint="cs"/>
        </w:rPr>
        <w:instrText>Ref56502987 \r \h</w:instrText>
      </w:r>
      <w:r w:rsidRPr="000327FC">
        <w:rPr>
          <w:rStyle w:val="aff6"/>
          <w:rtl/>
        </w:rPr>
        <w:instrText xml:space="preserve"> </w:instrText>
      </w:r>
      <w:r w:rsidRPr="000327FC">
        <w:rPr>
          <w:rStyle w:val="aff6"/>
          <w:rtl/>
        </w:rPr>
      </w:r>
      <w:r w:rsidRPr="000327FC">
        <w:rPr>
          <w:rStyle w:val="aff6"/>
          <w:rtl/>
        </w:rPr>
        <w:fldChar w:fldCharType="separate"/>
      </w:r>
      <w:r w:rsidR="00265073">
        <w:rPr>
          <w:rStyle w:val="aff6"/>
          <w:cs/>
        </w:rPr>
        <w:t>‎</w:t>
      </w:r>
      <w:r w:rsidR="00265073">
        <w:rPr>
          <w:rStyle w:val="aff6"/>
          <w:rtl/>
        </w:rPr>
        <w:t>ה)</w:t>
      </w:r>
      <w:r w:rsidRPr="000327FC">
        <w:rPr>
          <w:rStyle w:val="aff6"/>
          <w:rtl/>
        </w:rPr>
        <w:fldChar w:fldCharType="end"/>
      </w:r>
      <w:r w:rsidRPr="00685A5C">
        <w:rPr>
          <w:rStyle w:val="afb"/>
          <w:rFonts w:hint="cs"/>
          <w:rtl/>
        </w:rPr>
        <w:t xml:space="preserve"> </w:t>
      </w:r>
      <w:r w:rsidRPr="00E44C04">
        <w:rPr>
          <w:rStyle w:val="affa"/>
          <w:rFonts w:hint="cs"/>
          <w:rtl/>
        </w:rPr>
        <w:t>והרשב"ם לקמן</w:t>
      </w:r>
      <w:r w:rsidRPr="00E44C04">
        <w:rPr>
          <w:rStyle w:val="afb"/>
          <w:rFonts w:hint="cs"/>
          <w:rtl/>
        </w:rPr>
        <w:t xml:space="preserve"> </w:t>
      </w:r>
      <w:r w:rsidRPr="00E44C04">
        <w:rPr>
          <w:rStyle w:val="aff6"/>
          <w:rFonts w:hint="cs"/>
          <w:rtl/>
        </w:rPr>
        <w:t xml:space="preserve">(לט. ד"ה מחאה, הובא בסימן ד' אות ע') </w:t>
      </w:r>
      <w:r w:rsidRPr="00685A5C">
        <w:rPr>
          <w:rStyle w:val="afb"/>
          <w:rFonts w:hint="cs"/>
          <w:rtl/>
        </w:rPr>
        <w:t>דאף שלא שמע המחזיק מהמחאה מ"מ לא הוי חזקה, כיון שהמערער מחה כפי הדין]</w:t>
      </w:r>
      <w:r>
        <w:rPr>
          <w:rStyle w:val="afb"/>
          <w:rFonts w:hint="cs"/>
          <w:rtl/>
        </w:rPr>
        <w:t>.</w:t>
      </w:r>
      <w:bookmarkEnd w:id="6159"/>
    </w:p>
    <w:p w:rsidR="00E874E8" w:rsidRPr="005D545D" w:rsidRDefault="00E874E8" w:rsidP="00E874E8">
      <w:pPr>
        <w:pStyle w:val="a3"/>
      </w:pPr>
      <w:bookmarkStart w:id="6160" w:name="_Toc56630215"/>
      <w:bookmarkStart w:id="6161" w:name="_Toc56637078"/>
      <w:bookmarkStart w:id="6162" w:name="_Toc56638217"/>
      <w:bookmarkStart w:id="6163" w:name="_Toc56641066"/>
      <w:r>
        <w:rPr>
          <w:rFonts w:hint="cs"/>
          <w:rtl/>
        </w:rPr>
        <w:t>קושית הגרנ"פ דמשמע ברמב"ם דעיקר טעם החזקה הוא מחמת השטר ולכן כתב דחזקה ששמע</w:t>
      </w:r>
      <w:bookmarkEnd w:id="6160"/>
      <w:bookmarkEnd w:id="6161"/>
      <w:bookmarkEnd w:id="6162"/>
      <w:bookmarkEnd w:id="6163"/>
    </w:p>
    <w:p w:rsidR="00E874E8" w:rsidRDefault="00E874E8" w:rsidP="007E4E81">
      <w:pPr>
        <w:pStyle w:val="a0"/>
        <w:rPr>
          <w:rtl/>
        </w:rPr>
      </w:pPr>
      <w:r>
        <w:rPr>
          <w:rFonts w:hint="cs"/>
          <w:rtl/>
        </w:rPr>
        <w:t xml:space="preserve">וביאר </w:t>
      </w:r>
      <w:r w:rsidRPr="00E90350">
        <w:rPr>
          <w:rStyle w:val="af9"/>
          <w:rFonts w:hint="cs"/>
          <w:rtl/>
        </w:rPr>
        <w:t>בחי' רבי נחום</w:t>
      </w:r>
      <w:r w:rsidRPr="00685A5C">
        <w:rPr>
          <w:rStyle w:val="afb"/>
          <w:rFonts w:hint="cs"/>
          <w:rtl/>
        </w:rPr>
        <w:t xml:space="preserve"> </w:t>
      </w:r>
      <w:r>
        <w:rPr>
          <w:rFonts w:hint="cs"/>
          <w:rtl/>
        </w:rPr>
        <w:t xml:space="preserve">דא"כ משמע דס"ל </w:t>
      </w:r>
      <w:r w:rsidRPr="001C4DE0">
        <w:rPr>
          <w:rStyle w:val="af9"/>
          <w:rFonts w:hint="cs"/>
          <w:rtl/>
        </w:rPr>
        <w:t>להרמב"ם</w:t>
      </w:r>
      <w:r>
        <w:rPr>
          <w:rFonts w:hint="cs"/>
          <w:rtl/>
        </w:rPr>
        <w:t xml:space="preserve"> דעיקר הטעם בחזקה הוא כיון דאחר ג"ש א"צ להזהר בשטרו, ולכן הוצרך </w:t>
      </w:r>
      <w:r w:rsidRPr="001C4DE0">
        <w:rPr>
          <w:rStyle w:val="af9"/>
          <w:rFonts w:hint="cs"/>
          <w:rtl/>
        </w:rPr>
        <w:t>הרמב"ם</w:t>
      </w:r>
      <w:r>
        <w:rPr>
          <w:rFonts w:hint="cs"/>
          <w:rtl/>
        </w:rPr>
        <w:t xml:space="preserve"> לומר דאף במקום שטוען המחזיק שלא שמע מהמחאה ולא היה לו להזהר בשטרו, מ"מ אמרינן דיש חזקה ששמע מהמחאה, </w:t>
      </w:r>
      <w:r>
        <w:rPr>
          <w:rFonts w:hint="cs"/>
          <w:rtl/>
        </w:rPr>
        <w:t xml:space="preserve">וכתב </w:t>
      </w:r>
      <w:r w:rsidRPr="000223E0">
        <w:rPr>
          <w:rStyle w:val="af9"/>
          <w:rFonts w:hint="cs"/>
          <w:rtl/>
        </w:rPr>
        <w:t xml:space="preserve">בחי' רבי נחום </w:t>
      </w:r>
      <w:r>
        <w:rPr>
          <w:rFonts w:hint="cs"/>
          <w:rtl/>
        </w:rPr>
        <w:t xml:space="preserve">דא"כ דברי </w:t>
      </w:r>
      <w:r w:rsidRPr="006177F0">
        <w:rPr>
          <w:rStyle w:val="af9"/>
          <w:rFonts w:hint="cs"/>
          <w:rtl/>
        </w:rPr>
        <w:t>הרמב"ם</w:t>
      </w:r>
      <w:r>
        <w:rPr>
          <w:rFonts w:hint="cs"/>
          <w:rtl/>
        </w:rPr>
        <w:t xml:space="preserve"> </w:t>
      </w:r>
      <w:r w:rsidRPr="000223E0">
        <w:rPr>
          <w:rStyle w:val="af7"/>
          <w:rFonts w:eastAsia="Guttman Hodes" w:hint="cs"/>
          <w:rtl/>
        </w:rPr>
        <w:t xml:space="preserve">(עי' אות </w:t>
      </w:r>
      <w:r w:rsidRPr="000223E0">
        <w:rPr>
          <w:rStyle w:val="af7"/>
          <w:rFonts w:eastAsia="Guttman Hodes"/>
          <w:rtl/>
        </w:rPr>
        <w:fldChar w:fldCharType="begin"/>
      </w:r>
      <w:r w:rsidRPr="000223E0">
        <w:rPr>
          <w:rStyle w:val="af7"/>
          <w:rFonts w:eastAsia="Guttman Hodes"/>
          <w:rtl/>
        </w:rPr>
        <w:instrText xml:space="preserve"> </w:instrText>
      </w:r>
      <w:r w:rsidRPr="000223E0">
        <w:rPr>
          <w:rStyle w:val="af7"/>
          <w:rFonts w:eastAsia="Guttman Hodes" w:hint="cs"/>
        </w:rPr>
        <w:instrText>REF</w:instrText>
      </w:r>
      <w:r w:rsidRPr="000223E0">
        <w:rPr>
          <w:rStyle w:val="af7"/>
          <w:rFonts w:eastAsia="Guttman Hodes" w:hint="cs"/>
          <w:rtl/>
        </w:rPr>
        <w:instrText xml:space="preserve"> _</w:instrText>
      </w:r>
      <w:r w:rsidRPr="000223E0">
        <w:rPr>
          <w:rStyle w:val="af7"/>
          <w:rFonts w:eastAsia="Guttman Hodes" w:hint="cs"/>
        </w:rPr>
        <w:instrText>Ref54034873 \r \h</w:instrText>
      </w:r>
      <w:r w:rsidRPr="000223E0">
        <w:rPr>
          <w:rStyle w:val="af7"/>
          <w:rFonts w:eastAsia="Guttman Hodes"/>
          <w:rtl/>
        </w:rPr>
        <w:instrText xml:space="preserve"> </w:instrText>
      </w:r>
      <w:r w:rsidRPr="000223E0">
        <w:rPr>
          <w:rStyle w:val="af7"/>
          <w:rFonts w:eastAsia="Guttman Hodes"/>
          <w:rtl/>
        </w:rPr>
      </w:r>
      <w:r w:rsidRPr="000223E0">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0223E0">
        <w:rPr>
          <w:rStyle w:val="af7"/>
          <w:rFonts w:eastAsia="Guttman Hodes"/>
          <w:rtl/>
        </w:rPr>
        <w:fldChar w:fldCharType="end"/>
      </w:r>
      <w:r w:rsidRPr="000223E0">
        <w:rPr>
          <w:rStyle w:val="af7"/>
          <w:rFonts w:eastAsia="Guttman Hodes" w:hint="cs"/>
          <w:rtl/>
        </w:rPr>
        <w:t xml:space="preserve"> </w:t>
      </w:r>
      <w:r>
        <w:rPr>
          <w:rFonts w:hint="cs"/>
          <w:rtl/>
        </w:rPr>
        <w:t xml:space="preserve">בדין מחאה שלא בפניו, סותרים למ"ש </w:t>
      </w:r>
      <w:r w:rsidRPr="006177F0">
        <w:rPr>
          <w:rStyle w:val="af9"/>
          <w:rFonts w:hint="cs"/>
          <w:rtl/>
        </w:rPr>
        <w:t>הרמב"ם</w:t>
      </w:r>
      <w:r>
        <w:rPr>
          <w:rFonts w:hint="cs"/>
          <w:rtl/>
        </w:rPr>
        <w:t xml:space="preserve"> </w:t>
      </w:r>
      <w:r w:rsidRPr="000223E0">
        <w:rPr>
          <w:rStyle w:val="af7"/>
          <w:rFonts w:eastAsia="Guttman Hodes" w:hint="cs"/>
          <w:rtl/>
        </w:rPr>
        <w:t xml:space="preserve">(עי' אות </w:t>
      </w:r>
      <w:r w:rsidRPr="000223E0">
        <w:rPr>
          <w:rStyle w:val="af7"/>
          <w:rFonts w:eastAsia="Guttman Hodes"/>
          <w:rtl/>
        </w:rPr>
        <w:fldChar w:fldCharType="begin"/>
      </w:r>
      <w:r w:rsidRPr="000223E0">
        <w:rPr>
          <w:rStyle w:val="af7"/>
          <w:rFonts w:eastAsia="Guttman Hodes"/>
          <w:rtl/>
        </w:rPr>
        <w:instrText xml:space="preserve"> </w:instrText>
      </w:r>
      <w:r w:rsidRPr="000223E0">
        <w:rPr>
          <w:rStyle w:val="af7"/>
          <w:rFonts w:eastAsia="Guttman Hodes" w:hint="cs"/>
        </w:rPr>
        <w:instrText>REF</w:instrText>
      </w:r>
      <w:r w:rsidRPr="000223E0">
        <w:rPr>
          <w:rStyle w:val="af7"/>
          <w:rFonts w:eastAsia="Guttman Hodes" w:hint="cs"/>
          <w:rtl/>
        </w:rPr>
        <w:instrText xml:space="preserve"> _</w:instrText>
      </w:r>
      <w:r w:rsidRPr="000223E0">
        <w:rPr>
          <w:rStyle w:val="af7"/>
          <w:rFonts w:eastAsia="Guttman Hodes" w:hint="cs"/>
        </w:rPr>
        <w:instrText>Ref56627317 \r \h</w:instrText>
      </w:r>
      <w:r w:rsidRPr="000223E0">
        <w:rPr>
          <w:rStyle w:val="af7"/>
          <w:rFonts w:eastAsia="Guttman Hodes"/>
          <w:rtl/>
        </w:rPr>
        <w:instrText xml:space="preserve"> </w:instrText>
      </w:r>
      <w:r w:rsidRPr="000223E0">
        <w:rPr>
          <w:rStyle w:val="af7"/>
          <w:rFonts w:eastAsia="Guttman Hodes"/>
          <w:rtl/>
        </w:rPr>
      </w:r>
      <w:r w:rsidRPr="000223E0">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0223E0">
        <w:rPr>
          <w:rStyle w:val="af7"/>
          <w:rFonts w:eastAsia="Guttman Hodes"/>
          <w:rtl/>
        </w:rPr>
        <w:fldChar w:fldCharType="end"/>
      </w:r>
      <w:r>
        <w:rPr>
          <w:rFonts w:hint="cs"/>
          <w:rtl/>
        </w:rPr>
        <w:t xml:space="preserve"> בתחילת דבריו דהמחאה היא מהראיה דלא מיחה.</w:t>
      </w:r>
    </w:p>
    <w:p w:rsidR="00E874E8" w:rsidRDefault="00E874E8" w:rsidP="00E874E8">
      <w:pPr>
        <w:pStyle w:val="a3"/>
        <w:rPr>
          <w:rtl/>
        </w:rPr>
      </w:pPr>
      <w:bookmarkStart w:id="6164" w:name="_Toc56630216"/>
      <w:bookmarkStart w:id="6165" w:name="_Toc56637079"/>
      <w:bookmarkStart w:id="6166" w:name="_Toc56638218"/>
      <w:bookmarkStart w:id="6167" w:name="_Toc56641067"/>
      <w:r>
        <w:rPr>
          <w:rFonts w:hint="cs"/>
          <w:rtl/>
        </w:rPr>
        <w:t>קושית הגרנ"פ דברמב"ם בפיהמ"ש משמע דהחזקה היא תקנ"ח בעלמא ואינה ראיה</w:t>
      </w:r>
      <w:bookmarkEnd w:id="6164"/>
      <w:bookmarkEnd w:id="6165"/>
      <w:bookmarkEnd w:id="6166"/>
      <w:bookmarkEnd w:id="6167"/>
    </w:p>
    <w:p w:rsidR="00E874E8" w:rsidRDefault="00E874E8" w:rsidP="007E4E81">
      <w:pPr>
        <w:pStyle w:val="a0"/>
        <w:rPr>
          <w:rtl/>
        </w:rPr>
      </w:pPr>
      <w:bookmarkStart w:id="6168" w:name="_Ref56446923"/>
      <w:r w:rsidRPr="000117BA">
        <w:rPr>
          <w:rFonts w:hint="cs"/>
          <w:rtl/>
        </w:rPr>
        <w:t xml:space="preserve">ועוד הקשה </w:t>
      </w:r>
      <w:r w:rsidRPr="00CF0AD4">
        <w:rPr>
          <w:rStyle w:val="af9"/>
          <w:rFonts w:hint="cs"/>
          <w:rtl/>
        </w:rPr>
        <w:t>בחי' רבי נחום</w:t>
      </w:r>
      <w:r>
        <w:rPr>
          <w:rFonts w:hint="cs"/>
          <w:rtl/>
        </w:rPr>
        <w:t xml:space="preserve"> </w:t>
      </w:r>
      <w:r w:rsidRPr="00664AD7">
        <w:rPr>
          <w:rStyle w:val="af7"/>
          <w:rFonts w:eastAsia="Guttman Hodes" w:hint="cs"/>
          <w:rtl/>
        </w:rPr>
        <w:t>(או' כ"ח ד"ה עוד יל"ע)</w:t>
      </w:r>
      <w:r>
        <w:rPr>
          <w:rFonts w:hint="cs"/>
          <w:rtl/>
        </w:rPr>
        <w:t xml:space="preserve"> דהא בדברי </w:t>
      </w:r>
      <w:r w:rsidRPr="00CF0AD4">
        <w:rPr>
          <w:rStyle w:val="af9"/>
          <w:rFonts w:hint="cs"/>
          <w:rtl/>
        </w:rPr>
        <w:t>הרמב"ם בפיהמ"ש</w:t>
      </w:r>
      <w:r>
        <w:rPr>
          <w:rFonts w:hint="cs"/>
          <w:rtl/>
        </w:rPr>
        <w:t xml:space="preserve"> </w:t>
      </w:r>
      <w:r w:rsidRPr="00664AD7">
        <w:rPr>
          <w:rStyle w:val="af7"/>
          <w:rFonts w:eastAsia="Guttman Hodes" w:hint="cs"/>
          <w:rtl/>
        </w:rPr>
        <w:t xml:space="preserve">(עי' אות </w:t>
      </w:r>
      <w:r w:rsidRPr="00664AD7">
        <w:rPr>
          <w:rStyle w:val="af7"/>
          <w:rFonts w:eastAsia="Guttman Hodes"/>
          <w:rtl/>
        </w:rPr>
        <w:fldChar w:fldCharType="begin"/>
      </w:r>
      <w:r w:rsidRPr="00664AD7">
        <w:rPr>
          <w:rStyle w:val="af7"/>
          <w:rFonts w:eastAsia="Guttman Hodes"/>
          <w:rtl/>
        </w:rPr>
        <w:instrText xml:space="preserve"> </w:instrText>
      </w:r>
      <w:r w:rsidRPr="00664AD7">
        <w:rPr>
          <w:rStyle w:val="af7"/>
          <w:rFonts w:eastAsia="Guttman Hodes" w:hint="cs"/>
        </w:rPr>
        <w:instrText>REF</w:instrText>
      </w:r>
      <w:r w:rsidRPr="00664AD7">
        <w:rPr>
          <w:rStyle w:val="af7"/>
          <w:rFonts w:eastAsia="Guttman Hodes" w:hint="cs"/>
          <w:rtl/>
        </w:rPr>
        <w:instrText xml:space="preserve"> _</w:instrText>
      </w:r>
      <w:r w:rsidRPr="00664AD7">
        <w:rPr>
          <w:rStyle w:val="af7"/>
          <w:rFonts w:eastAsia="Guttman Hodes" w:hint="cs"/>
        </w:rPr>
        <w:instrText>Ref56446954 \r \h</w:instrText>
      </w:r>
      <w:r w:rsidRPr="00664AD7">
        <w:rPr>
          <w:rStyle w:val="af7"/>
          <w:rFonts w:eastAsia="Guttman Hodes"/>
          <w:rtl/>
        </w:rPr>
        <w:instrText xml:space="preserve"> </w:instrText>
      </w:r>
      <w:r w:rsidRPr="00664AD7">
        <w:rPr>
          <w:rStyle w:val="af7"/>
          <w:rFonts w:eastAsia="Guttman Hodes"/>
          <w:rtl/>
        </w:rPr>
      </w:r>
      <w:r w:rsidRPr="00664AD7">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664AD7">
        <w:rPr>
          <w:rStyle w:val="af7"/>
          <w:rFonts w:eastAsia="Guttman Hodes"/>
          <w:rtl/>
        </w:rPr>
        <w:fldChar w:fldCharType="end"/>
      </w:r>
      <w:r>
        <w:rPr>
          <w:rFonts w:hint="cs"/>
          <w:rtl/>
        </w:rPr>
        <w:t xml:space="preserve"> מבואר דעיקר החזקה הוא כיון שאינו נזהר בשטרו, ומפשטות דבריו משמע שהוא תקנת חכמים בעלמא, ואינו ראיה.</w:t>
      </w:r>
      <w:bookmarkEnd w:id="6168"/>
    </w:p>
    <w:p w:rsidR="00E874E8" w:rsidRPr="001A06F1" w:rsidRDefault="00E874E8" w:rsidP="00E874E8">
      <w:pPr>
        <w:pStyle w:val="a3"/>
        <w:rPr>
          <w:rtl/>
        </w:rPr>
      </w:pPr>
      <w:bookmarkStart w:id="6169" w:name="_Toc56630217"/>
      <w:bookmarkStart w:id="6170" w:name="_Toc56637080"/>
      <w:bookmarkStart w:id="6171" w:name="_Toc56638219"/>
      <w:bookmarkStart w:id="6172" w:name="_Toc56641068"/>
      <w:r>
        <w:rPr>
          <w:rFonts w:hint="cs"/>
          <w:rtl/>
        </w:rPr>
        <w:t>קושית הגרנ"פ דבפיהמ"ש משמע דמחמת השטר א"א להוציא ממר"ק וסמכינן על מה שלא מחה</w:t>
      </w:r>
      <w:bookmarkEnd w:id="6169"/>
      <w:bookmarkEnd w:id="6170"/>
      <w:bookmarkEnd w:id="6171"/>
      <w:bookmarkEnd w:id="6172"/>
    </w:p>
    <w:p w:rsidR="00E874E8" w:rsidRDefault="00E874E8" w:rsidP="007E4E81">
      <w:pPr>
        <w:pStyle w:val="a0"/>
        <w:rPr>
          <w:rtl/>
        </w:rPr>
      </w:pPr>
      <w:r>
        <w:rPr>
          <w:rFonts w:hint="cs"/>
          <w:rtl/>
        </w:rPr>
        <w:t>והוסיף להקשות</w:t>
      </w:r>
      <w:r w:rsidRPr="00FC5857">
        <w:rPr>
          <w:rFonts w:hint="cs"/>
          <w:rtl/>
        </w:rPr>
        <w:t xml:space="preserve"> </w:t>
      </w:r>
      <w:r w:rsidRPr="00CF0AD4">
        <w:rPr>
          <w:rStyle w:val="af9"/>
          <w:rFonts w:hint="cs"/>
          <w:rtl/>
        </w:rPr>
        <w:t>בשיעורי רבי נחום</w:t>
      </w:r>
      <w:r w:rsidRPr="00FC5857">
        <w:rPr>
          <w:rStyle w:val="af7"/>
          <w:rFonts w:eastAsia="Guttman Hodes" w:hint="cs"/>
          <w:rtl/>
        </w:rPr>
        <w:t xml:space="preserve"> </w:t>
      </w:r>
      <w:r w:rsidRPr="00405C9D">
        <w:rPr>
          <w:rStyle w:val="af7"/>
          <w:rFonts w:eastAsia="Guttman Hodes" w:hint="cs"/>
          <w:rtl/>
        </w:rPr>
        <w:t>(סי' י"ז או' א' ד"ה והנה הרמב"ם)</w:t>
      </w:r>
      <w:r w:rsidRPr="00FC5857">
        <w:rPr>
          <w:rStyle w:val="af7"/>
          <w:rFonts w:eastAsia="Guttman Hodes" w:hint="cs"/>
          <w:rtl/>
        </w:rPr>
        <w:t xml:space="preserve"> </w:t>
      </w:r>
      <w:r>
        <w:rPr>
          <w:rFonts w:hint="cs"/>
          <w:rtl/>
        </w:rPr>
        <w:t xml:space="preserve">דמשמע </w:t>
      </w:r>
      <w:r w:rsidRPr="00CF0AD4">
        <w:rPr>
          <w:rStyle w:val="af9"/>
          <w:rFonts w:hint="cs"/>
          <w:rtl/>
        </w:rPr>
        <w:t>ברמב"ם בפיהמ"ש</w:t>
      </w:r>
      <w:r>
        <w:rPr>
          <w:rFonts w:hint="cs"/>
          <w:rtl/>
        </w:rPr>
        <w:t xml:space="preserve"> </w:t>
      </w:r>
      <w:r w:rsidRPr="00664AD7">
        <w:rPr>
          <w:rStyle w:val="af7"/>
          <w:rFonts w:eastAsia="Guttman Hodes" w:hint="cs"/>
          <w:rtl/>
        </w:rPr>
        <w:t xml:space="preserve">(עי' אות </w:t>
      </w:r>
      <w:r w:rsidRPr="00664AD7">
        <w:rPr>
          <w:rStyle w:val="af7"/>
          <w:rFonts w:eastAsia="Guttman Hodes"/>
          <w:rtl/>
        </w:rPr>
        <w:fldChar w:fldCharType="begin"/>
      </w:r>
      <w:r w:rsidRPr="00664AD7">
        <w:rPr>
          <w:rStyle w:val="af7"/>
          <w:rFonts w:eastAsia="Guttman Hodes"/>
          <w:rtl/>
        </w:rPr>
        <w:instrText xml:space="preserve"> </w:instrText>
      </w:r>
      <w:r w:rsidRPr="00664AD7">
        <w:rPr>
          <w:rStyle w:val="af7"/>
          <w:rFonts w:eastAsia="Guttman Hodes" w:hint="cs"/>
        </w:rPr>
        <w:instrText>REF</w:instrText>
      </w:r>
      <w:r w:rsidRPr="00664AD7">
        <w:rPr>
          <w:rStyle w:val="af7"/>
          <w:rFonts w:eastAsia="Guttman Hodes" w:hint="cs"/>
          <w:rtl/>
        </w:rPr>
        <w:instrText xml:space="preserve"> _</w:instrText>
      </w:r>
      <w:r w:rsidRPr="00664AD7">
        <w:rPr>
          <w:rStyle w:val="af7"/>
          <w:rFonts w:eastAsia="Guttman Hodes" w:hint="cs"/>
        </w:rPr>
        <w:instrText>Ref56446954 \r \h</w:instrText>
      </w:r>
      <w:r w:rsidRPr="00664AD7">
        <w:rPr>
          <w:rStyle w:val="af7"/>
          <w:rFonts w:eastAsia="Guttman Hodes"/>
          <w:rtl/>
        </w:rPr>
        <w:instrText xml:space="preserve"> </w:instrText>
      </w:r>
      <w:r w:rsidRPr="00664AD7">
        <w:rPr>
          <w:rStyle w:val="af7"/>
          <w:rFonts w:eastAsia="Guttman Hodes"/>
          <w:rtl/>
        </w:rPr>
      </w:r>
      <w:r w:rsidRPr="00664AD7">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664AD7">
        <w:rPr>
          <w:rStyle w:val="af7"/>
          <w:rFonts w:eastAsia="Guttman Hodes"/>
          <w:rtl/>
        </w:rPr>
        <w:fldChar w:fldCharType="end"/>
      </w:r>
      <w:r>
        <w:rPr>
          <w:rFonts w:hint="cs"/>
          <w:rtl/>
        </w:rPr>
        <w:t>דלא סגי במה שאינו שומר את השטר להוציא מהמרא קמא, כשטוען המרא קמא שהקרקע היא שלו, אלא דלענין זה סמכינן על הסברא דהיה לו למחות ולא מחה, בכדי לדחות את טענת המרא קמא.</w:t>
      </w:r>
    </w:p>
    <w:p w:rsidR="00E874E8" w:rsidRPr="00903A8D" w:rsidRDefault="00E874E8" w:rsidP="00E874E8">
      <w:pPr>
        <w:pStyle w:val="1"/>
        <w:rPr>
          <w:rtl/>
        </w:rPr>
      </w:pPr>
      <w:bookmarkStart w:id="6173" w:name="_Toc56638220"/>
      <w:bookmarkStart w:id="6174" w:name="_Toc56641069"/>
      <w:r>
        <w:rPr>
          <w:rFonts w:hint="cs"/>
          <w:rtl/>
        </w:rPr>
        <w:t>קו' הגרנ"פ דלפיהמ"ש המחאה דלא יאכל פירות ולא שהיא שלו</w:t>
      </w:r>
      <w:bookmarkEnd w:id="6173"/>
      <w:bookmarkEnd w:id="6174"/>
    </w:p>
    <w:p w:rsidR="00E874E8" w:rsidRDefault="00E874E8" w:rsidP="00E874E8">
      <w:pPr>
        <w:pStyle w:val="a3"/>
        <w:rPr>
          <w:rtl/>
        </w:rPr>
      </w:pPr>
      <w:bookmarkStart w:id="6175" w:name="_Toc56630218"/>
      <w:bookmarkStart w:id="6176" w:name="_Toc56637081"/>
      <w:bookmarkStart w:id="6177" w:name="_Toc56638221"/>
      <w:bookmarkStart w:id="6178" w:name="_Toc56641070"/>
      <w:r>
        <w:rPr>
          <w:rFonts w:hint="cs"/>
          <w:rtl/>
        </w:rPr>
        <w:t>קושית הגרנ"פ דבפיהמ"ש משמע דההוכחה ממה שהניחו לאכול ובגמ' משמע דמוחה שהיא שלו</w:t>
      </w:r>
      <w:bookmarkEnd w:id="6175"/>
      <w:bookmarkEnd w:id="6176"/>
      <w:bookmarkEnd w:id="6177"/>
      <w:bookmarkEnd w:id="6178"/>
    </w:p>
    <w:p w:rsidR="00E874E8" w:rsidRDefault="00E874E8" w:rsidP="007E4E81">
      <w:pPr>
        <w:pStyle w:val="a0"/>
        <w:rPr>
          <w:rtl/>
        </w:rPr>
      </w:pPr>
      <w:r>
        <w:rPr>
          <w:rFonts w:hint="cs"/>
          <w:rtl/>
        </w:rPr>
        <w:t xml:space="preserve">ועוד הקשה </w:t>
      </w:r>
      <w:r w:rsidRPr="00CF0AD4">
        <w:rPr>
          <w:rStyle w:val="af9"/>
          <w:rFonts w:hint="cs"/>
          <w:rtl/>
        </w:rPr>
        <w:t>בשיעורי רבי נחום</w:t>
      </w:r>
      <w:r>
        <w:rPr>
          <w:rFonts w:hint="cs"/>
          <w:rtl/>
        </w:rPr>
        <w:t xml:space="preserve"> </w:t>
      </w:r>
      <w:r w:rsidRPr="00320251">
        <w:rPr>
          <w:rStyle w:val="af7"/>
          <w:rFonts w:eastAsia="Guttman Hodes" w:hint="cs"/>
          <w:rtl/>
        </w:rPr>
        <w:t xml:space="preserve">(סי' י"ז או' א' ד"ה עוד יש) </w:t>
      </w:r>
      <w:r>
        <w:rPr>
          <w:rFonts w:hint="cs"/>
          <w:rtl/>
        </w:rPr>
        <w:t>דבגמ' לקמן</w:t>
      </w:r>
      <w:r w:rsidRPr="00320251">
        <w:rPr>
          <w:rStyle w:val="af7"/>
          <w:rFonts w:eastAsia="Guttman Hodes" w:hint="cs"/>
          <w:rtl/>
        </w:rPr>
        <w:t xml:space="preserve"> (לה:, לח.) </w:t>
      </w:r>
      <w:r>
        <w:rPr>
          <w:rFonts w:hint="cs"/>
          <w:rtl/>
        </w:rPr>
        <w:t xml:space="preserve">משמע דהטענה על המערער היא דהיה לו למחות בו, והיינו שהיה המערער צריך למחות שהקרקע היא שלו, ואילו </w:t>
      </w:r>
      <w:r w:rsidRPr="00CF0AD4">
        <w:rPr>
          <w:rStyle w:val="af9"/>
          <w:rFonts w:hint="cs"/>
          <w:rtl/>
        </w:rPr>
        <w:t>הרמב"ם בפיהמ"ש</w:t>
      </w:r>
      <w:r>
        <w:rPr>
          <w:rFonts w:hint="cs"/>
          <w:rtl/>
        </w:rPr>
        <w:t xml:space="preserve"> </w:t>
      </w:r>
      <w:r w:rsidRPr="00320251">
        <w:rPr>
          <w:rStyle w:val="af7"/>
          <w:rFonts w:eastAsia="Guttman Hodes" w:hint="cs"/>
          <w:rtl/>
        </w:rPr>
        <w:t xml:space="preserve">(עי' אות </w:t>
      </w:r>
      <w:r w:rsidRPr="00320251">
        <w:rPr>
          <w:rStyle w:val="af7"/>
          <w:rFonts w:eastAsia="Guttman Hodes"/>
          <w:rtl/>
        </w:rPr>
        <w:fldChar w:fldCharType="begin"/>
      </w:r>
      <w:r w:rsidRPr="00320251">
        <w:rPr>
          <w:rStyle w:val="af7"/>
          <w:rFonts w:eastAsia="Guttman Hodes"/>
          <w:rtl/>
        </w:rPr>
        <w:instrText xml:space="preserve"> </w:instrText>
      </w:r>
      <w:r w:rsidRPr="00320251">
        <w:rPr>
          <w:rStyle w:val="af7"/>
          <w:rFonts w:eastAsia="Guttman Hodes" w:hint="cs"/>
        </w:rPr>
        <w:instrText>REF</w:instrText>
      </w:r>
      <w:r w:rsidRPr="00320251">
        <w:rPr>
          <w:rStyle w:val="af7"/>
          <w:rFonts w:eastAsia="Guttman Hodes" w:hint="cs"/>
          <w:rtl/>
        </w:rPr>
        <w:instrText xml:space="preserve"> _</w:instrText>
      </w:r>
      <w:r w:rsidRPr="00320251">
        <w:rPr>
          <w:rStyle w:val="af7"/>
          <w:rFonts w:eastAsia="Guttman Hodes" w:hint="cs"/>
        </w:rPr>
        <w:instrText>Ref56446954 \r \h</w:instrText>
      </w:r>
      <w:r w:rsidRPr="00320251">
        <w:rPr>
          <w:rStyle w:val="af7"/>
          <w:rFonts w:eastAsia="Guttman Hodes"/>
          <w:rtl/>
        </w:rPr>
        <w:instrText xml:space="preserve"> </w:instrText>
      </w:r>
      <w:r w:rsidRPr="00320251">
        <w:rPr>
          <w:rStyle w:val="af7"/>
          <w:rFonts w:eastAsia="Guttman Hodes"/>
          <w:rtl/>
        </w:rPr>
      </w:r>
      <w:r w:rsidRPr="00320251">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320251">
        <w:rPr>
          <w:rStyle w:val="af7"/>
          <w:rFonts w:eastAsia="Guttman Hodes"/>
          <w:rtl/>
        </w:rPr>
        <w:fldChar w:fldCharType="end"/>
      </w:r>
      <w:r w:rsidRPr="00320251">
        <w:rPr>
          <w:rStyle w:val="af7"/>
          <w:rFonts w:eastAsia="Guttman Hodes" w:hint="cs"/>
          <w:rtl/>
        </w:rPr>
        <w:t xml:space="preserve"> </w:t>
      </w:r>
      <w:r>
        <w:rPr>
          <w:rFonts w:hint="cs"/>
          <w:rtl/>
        </w:rPr>
        <w:t xml:space="preserve">כתב דהטענה על המערער היא במה שהניחו לאכול את הפירות, והיינו דהריעותא היא במה שלא מחה בו שאכל את הפירות, ולא במה שלא מחה שהקרקע היא שלו, והא אעפ"י דהמחאה היא מחמת אכילת הפירות, מ"מ הרי עיקר המחאה היא "מאי בעית בהאי ארעא", ואמאי כתב </w:t>
      </w:r>
      <w:r w:rsidRPr="00CF0AD4">
        <w:rPr>
          <w:rStyle w:val="af9"/>
          <w:rFonts w:hint="cs"/>
          <w:rtl/>
        </w:rPr>
        <w:t>הרמב"ם בפיהמ"ש</w:t>
      </w:r>
      <w:r>
        <w:rPr>
          <w:rFonts w:hint="cs"/>
          <w:rtl/>
        </w:rPr>
        <w:t xml:space="preserve"> דהמחאה היא על עצם אכילת הפירות, ועוד הקשה </w:t>
      </w:r>
      <w:r w:rsidRPr="00420A1A">
        <w:rPr>
          <w:rStyle w:val="af9"/>
          <w:rFonts w:hint="cs"/>
          <w:rtl/>
        </w:rPr>
        <w:t>בשיעורי רבי נחום</w:t>
      </w:r>
      <w:r>
        <w:rPr>
          <w:rFonts w:hint="cs"/>
          <w:rtl/>
        </w:rPr>
        <w:t xml:space="preserve"> דבהלכות לא כתב </w:t>
      </w:r>
      <w:r w:rsidRPr="00CF0AD4">
        <w:rPr>
          <w:rStyle w:val="af9"/>
          <w:rFonts w:hint="cs"/>
          <w:rtl/>
        </w:rPr>
        <w:t>הרמב"ם</w:t>
      </w:r>
      <w:r>
        <w:rPr>
          <w:rFonts w:hint="cs"/>
          <w:rtl/>
        </w:rPr>
        <w:t xml:space="preserve"> </w:t>
      </w:r>
      <w:r w:rsidRPr="00320251">
        <w:rPr>
          <w:rStyle w:val="af7"/>
          <w:rFonts w:eastAsia="Guttman Hodes" w:hint="cs"/>
          <w:rtl/>
        </w:rPr>
        <w:t xml:space="preserve">(עי' אות </w:t>
      </w:r>
      <w:r w:rsidRPr="00320251">
        <w:rPr>
          <w:rStyle w:val="af7"/>
          <w:rFonts w:eastAsia="Guttman Hodes"/>
          <w:rtl/>
        </w:rPr>
        <w:fldChar w:fldCharType="begin"/>
      </w:r>
      <w:r w:rsidRPr="00320251">
        <w:rPr>
          <w:rStyle w:val="af7"/>
          <w:rFonts w:eastAsia="Guttman Hodes"/>
          <w:rtl/>
        </w:rPr>
        <w:instrText xml:space="preserve"> </w:instrText>
      </w:r>
      <w:r w:rsidRPr="00320251">
        <w:rPr>
          <w:rStyle w:val="af7"/>
          <w:rFonts w:eastAsia="Guttman Hodes" w:hint="cs"/>
        </w:rPr>
        <w:instrText>REF</w:instrText>
      </w:r>
      <w:r w:rsidRPr="00320251">
        <w:rPr>
          <w:rStyle w:val="af7"/>
          <w:rFonts w:eastAsia="Guttman Hodes" w:hint="cs"/>
          <w:rtl/>
        </w:rPr>
        <w:instrText xml:space="preserve"> _</w:instrText>
      </w:r>
      <w:r w:rsidRPr="00320251">
        <w:rPr>
          <w:rStyle w:val="af7"/>
          <w:rFonts w:eastAsia="Guttman Hodes" w:hint="cs"/>
        </w:rPr>
        <w:instrText>Ref53934882 \r \h</w:instrText>
      </w:r>
      <w:r w:rsidRPr="00320251">
        <w:rPr>
          <w:rStyle w:val="af7"/>
          <w:rFonts w:eastAsia="Guttman Hodes"/>
          <w:rtl/>
        </w:rPr>
        <w:instrText xml:space="preserve"> </w:instrText>
      </w:r>
      <w:r w:rsidRPr="00320251">
        <w:rPr>
          <w:rStyle w:val="af7"/>
          <w:rFonts w:eastAsia="Guttman Hodes"/>
          <w:rtl/>
        </w:rPr>
      </w:r>
      <w:r w:rsidRPr="00320251">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320251">
        <w:rPr>
          <w:rStyle w:val="af7"/>
          <w:rFonts w:eastAsia="Guttman Hodes"/>
          <w:rtl/>
        </w:rPr>
        <w:fldChar w:fldCharType="end"/>
      </w:r>
      <w:r>
        <w:rPr>
          <w:rFonts w:hint="cs"/>
          <w:rtl/>
        </w:rPr>
        <w:t xml:space="preserve"> כלל שהיה לו למחות על אכילת הפירות, עיי"ש </w:t>
      </w:r>
      <w:r w:rsidRPr="00CF0AD4">
        <w:rPr>
          <w:rStyle w:val="af9"/>
          <w:rFonts w:hint="cs"/>
          <w:rtl/>
        </w:rPr>
        <w:t>בשיעורי רבי נחום</w:t>
      </w:r>
      <w:r>
        <w:rPr>
          <w:rFonts w:hint="cs"/>
          <w:rtl/>
        </w:rPr>
        <w:t xml:space="preserve"> במה שהוסיף להקשות בזה.</w:t>
      </w:r>
    </w:p>
    <w:p w:rsidR="00E874E8" w:rsidRPr="00420A1A" w:rsidRDefault="00E874E8" w:rsidP="00E874E8">
      <w:pPr>
        <w:pStyle w:val="1"/>
        <w:rPr>
          <w:rtl/>
        </w:rPr>
      </w:pPr>
      <w:bookmarkStart w:id="6179" w:name="_Toc56630219"/>
      <w:bookmarkStart w:id="6180" w:name="_Toc56637082"/>
      <w:bookmarkStart w:id="6181" w:name="_Toc56638222"/>
      <w:bookmarkStart w:id="6182" w:name="_Toc56641071"/>
      <w:r>
        <w:rPr>
          <w:rFonts w:hint="cs"/>
          <w:rtl/>
        </w:rPr>
        <w:t>ביאור הגרנ"פ ברמב"ם</w:t>
      </w:r>
      <w:bookmarkEnd w:id="6179"/>
      <w:bookmarkEnd w:id="6180"/>
      <w:r>
        <w:rPr>
          <w:rFonts w:hint="cs"/>
          <w:rtl/>
        </w:rPr>
        <w:t xml:space="preserve"> דמוחזק בראיה ומוציא מהמר"ק בתקנה</w:t>
      </w:r>
      <w:bookmarkEnd w:id="6181"/>
      <w:bookmarkEnd w:id="6182"/>
    </w:p>
    <w:p w:rsidR="00E874E8" w:rsidRPr="00E629B7" w:rsidRDefault="00E874E8" w:rsidP="00E874E8">
      <w:pPr>
        <w:pStyle w:val="a3"/>
        <w:rPr>
          <w:rtl/>
        </w:rPr>
      </w:pPr>
      <w:bookmarkStart w:id="6183" w:name="_Toc56630220"/>
      <w:bookmarkStart w:id="6184" w:name="_Toc56637083"/>
      <w:bookmarkStart w:id="6185" w:name="_Toc56638223"/>
      <w:bookmarkStart w:id="6186" w:name="_Toc56641072"/>
      <w:r>
        <w:rPr>
          <w:rFonts w:hint="cs"/>
          <w:rtl/>
        </w:rPr>
        <w:t>ביאור הגרנ"פ ברמב"ם דמדלא מחה נעשה מוחזק מיד אלא דאחוי שטרך הוא ריעותא במוחזקות</w:t>
      </w:r>
      <w:bookmarkEnd w:id="6183"/>
      <w:bookmarkEnd w:id="6184"/>
      <w:bookmarkEnd w:id="6185"/>
      <w:bookmarkEnd w:id="6186"/>
    </w:p>
    <w:p w:rsidR="00E874E8" w:rsidRDefault="00E874E8" w:rsidP="007E4E81">
      <w:pPr>
        <w:pStyle w:val="a0"/>
        <w:rPr>
          <w:rtl/>
        </w:rPr>
      </w:pPr>
      <w:r>
        <w:rPr>
          <w:rFonts w:hint="cs"/>
          <w:rtl/>
        </w:rPr>
        <w:t xml:space="preserve">ועיי"ש במה שביאר </w:t>
      </w:r>
      <w:r w:rsidRPr="00405C9D">
        <w:rPr>
          <w:rStyle w:val="af9"/>
          <w:rFonts w:hint="cs"/>
          <w:rtl/>
        </w:rPr>
        <w:t>בשיעורי רבי נחום</w:t>
      </w:r>
      <w:r>
        <w:rPr>
          <w:rFonts w:hint="cs"/>
          <w:rtl/>
        </w:rPr>
        <w:t xml:space="preserve"> </w:t>
      </w:r>
      <w:r w:rsidRPr="00320251">
        <w:rPr>
          <w:rStyle w:val="af7"/>
          <w:rFonts w:eastAsia="Guttman Hodes" w:hint="cs"/>
          <w:rtl/>
        </w:rPr>
        <w:t xml:space="preserve">(סי' י"ז או' ג' ד"ה והנה הרמב"ם) </w:t>
      </w:r>
      <w:r>
        <w:rPr>
          <w:rFonts w:hint="cs"/>
          <w:rtl/>
        </w:rPr>
        <w:t xml:space="preserve">דדעת </w:t>
      </w:r>
      <w:r w:rsidRPr="00405C9D">
        <w:rPr>
          <w:rStyle w:val="af9"/>
          <w:rFonts w:hint="cs"/>
          <w:rtl/>
        </w:rPr>
        <w:t>הרמב"ם</w:t>
      </w:r>
      <w:r>
        <w:rPr>
          <w:rFonts w:hint="cs"/>
          <w:rtl/>
        </w:rPr>
        <w:t xml:space="preserve"> דלעצם המוחזקות של המחזיק א"צ ג"ש, אלא דטענת אחוי שטרך עושה ריעותא במוחזקות, וכדעת </w:t>
      </w:r>
      <w:r w:rsidRPr="00405C9D">
        <w:rPr>
          <w:rStyle w:val="af9"/>
          <w:rFonts w:hint="cs"/>
          <w:rtl/>
        </w:rPr>
        <w:t>הריטב"א</w:t>
      </w:r>
      <w:r>
        <w:rPr>
          <w:rFonts w:hint="cs"/>
          <w:rtl/>
        </w:rPr>
        <w:t xml:space="preserve"> </w:t>
      </w:r>
      <w:r w:rsidRPr="00926838">
        <w:rPr>
          <w:rStyle w:val="af7"/>
          <w:rFonts w:eastAsiaTheme="minorHAnsi" w:hint="cs"/>
          <w:rtl/>
        </w:rPr>
        <w:t>(ד"ה אלא</w:t>
      </w:r>
      <w:r>
        <w:rPr>
          <w:rStyle w:val="af7"/>
          <w:rFonts w:eastAsiaTheme="minorHAnsi" w:hint="cs"/>
          <w:rtl/>
        </w:rPr>
        <w:t>,</w:t>
      </w:r>
      <w:r w:rsidRPr="00320251">
        <w:rPr>
          <w:rStyle w:val="af7"/>
          <w:rFonts w:eastAsia="Guttman Hodes" w:hint="cs"/>
          <w:rtl/>
        </w:rPr>
        <w:t xml:space="preserve"> הובא בסימן </w:t>
      </w:r>
      <w:r>
        <w:rPr>
          <w:rStyle w:val="af7"/>
          <w:rFonts w:eastAsia="Guttman Hodes" w:hint="cs"/>
          <w:rtl/>
        </w:rPr>
        <w:t>ה</w:t>
      </w:r>
      <w:r w:rsidRPr="00320251">
        <w:rPr>
          <w:rStyle w:val="af7"/>
          <w:rFonts w:eastAsia="Guttman Hodes" w:hint="cs"/>
          <w:rtl/>
        </w:rPr>
        <w:t xml:space="preserve">' אות </w:t>
      </w:r>
      <w:r>
        <w:rPr>
          <w:rStyle w:val="af7"/>
          <w:rFonts w:eastAsia="Guttman Hodes" w:hint="cs"/>
          <w:rtl/>
        </w:rPr>
        <w:t>ד</w:t>
      </w:r>
      <w:r w:rsidRPr="00320251">
        <w:rPr>
          <w:rStyle w:val="af7"/>
          <w:rFonts w:eastAsia="Guttman Hodes" w:hint="cs"/>
          <w:rtl/>
        </w:rPr>
        <w:t>)</w:t>
      </w:r>
      <w:r w:rsidRPr="00756248">
        <w:rPr>
          <w:rFonts w:hint="cs"/>
          <w:rtl/>
        </w:rPr>
        <w:t xml:space="preserve"> </w:t>
      </w:r>
      <w:r>
        <w:rPr>
          <w:rFonts w:hint="cs"/>
          <w:rtl/>
        </w:rPr>
        <w:t>דמדינא הראיה</w:t>
      </w:r>
      <w:r w:rsidRPr="006A0A42">
        <w:rPr>
          <w:rFonts w:hint="cs"/>
          <w:rtl/>
        </w:rPr>
        <w:t xml:space="preserve"> </w:t>
      </w:r>
      <w:r>
        <w:rPr>
          <w:rFonts w:hint="cs"/>
          <w:rtl/>
        </w:rPr>
        <w:t>ב</w:t>
      </w:r>
      <w:r w:rsidRPr="006A0A42">
        <w:rPr>
          <w:rFonts w:hint="cs"/>
          <w:rtl/>
        </w:rPr>
        <w:t xml:space="preserve">אכילה אחת </w:t>
      </w:r>
      <w:r>
        <w:rPr>
          <w:rFonts w:hint="cs"/>
          <w:rtl/>
        </w:rPr>
        <w:t>בלא מחאה</w:t>
      </w:r>
      <w:r w:rsidRPr="006A0A42">
        <w:rPr>
          <w:rFonts w:hint="cs"/>
          <w:rtl/>
        </w:rPr>
        <w:t>,</w:t>
      </w:r>
      <w:r w:rsidR="00A77F33">
        <w:rPr>
          <w:rFonts w:hint="cs"/>
          <w:rtl/>
        </w:rPr>
        <w:t xml:space="preserve"> </w:t>
      </w:r>
      <w:r w:rsidRPr="006A0A42">
        <w:rPr>
          <w:rFonts w:hint="cs"/>
          <w:rtl/>
        </w:rPr>
        <w:t xml:space="preserve">אלא דיש ריעותא בטענתו דאין לו שטר, ולאחר ג"ש שאין </w:t>
      </w:r>
      <w:r>
        <w:rPr>
          <w:rFonts w:hint="cs"/>
          <w:rtl/>
        </w:rPr>
        <w:t>ריעותא</w:t>
      </w:r>
      <w:r w:rsidRPr="006A0A42">
        <w:rPr>
          <w:rFonts w:hint="cs"/>
          <w:rtl/>
        </w:rPr>
        <w:t xml:space="preserve"> מתקיימת חזקתו,</w:t>
      </w:r>
      <w:r w:rsidRPr="00420A1A">
        <w:rPr>
          <w:rStyle w:val="afb"/>
          <w:rFonts w:hint="cs"/>
          <w:rtl/>
        </w:rPr>
        <w:t xml:space="preserve"> [וכדביאר </w:t>
      </w:r>
      <w:r w:rsidRPr="00420A1A">
        <w:rPr>
          <w:rStyle w:val="affa"/>
          <w:rFonts w:hint="cs"/>
          <w:rtl/>
        </w:rPr>
        <w:t>בחי' רבי נחום</w:t>
      </w:r>
      <w:r w:rsidRPr="00420A1A">
        <w:rPr>
          <w:rStyle w:val="afb"/>
          <w:rFonts w:hint="cs"/>
          <w:rtl/>
        </w:rPr>
        <w:t xml:space="preserve"> </w:t>
      </w:r>
      <w:r w:rsidRPr="00D36F61">
        <w:rPr>
          <w:rStyle w:val="aff6"/>
          <w:rFonts w:hint="cs"/>
          <w:rtl/>
        </w:rPr>
        <w:t xml:space="preserve">(או' כ"ד ד"ה עכ"פ, הובא בסימן </w:t>
      </w:r>
      <w:r>
        <w:rPr>
          <w:rStyle w:val="aff6"/>
          <w:rFonts w:hint="cs"/>
          <w:rtl/>
        </w:rPr>
        <w:t>ה</w:t>
      </w:r>
      <w:r w:rsidRPr="00D36F61">
        <w:rPr>
          <w:rStyle w:val="aff6"/>
          <w:rFonts w:hint="cs"/>
          <w:rtl/>
        </w:rPr>
        <w:t xml:space="preserve">' אות </w:t>
      </w:r>
      <w:r>
        <w:rPr>
          <w:rStyle w:val="aff6"/>
          <w:rFonts w:hint="cs"/>
          <w:rtl/>
        </w:rPr>
        <w:t>צ"ד</w:t>
      </w:r>
      <w:r w:rsidRPr="00D36F61">
        <w:rPr>
          <w:rStyle w:val="aff6"/>
          <w:rFonts w:hint="cs"/>
          <w:rtl/>
        </w:rPr>
        <w:t>)</w:t>
      </w:r>
      <w:r w:rsidRPr="00420A1A">
        <w:rPr>
          <w:rStyle w:val="afb"/>
          <w:rFonts w:hint="cs"/>
          <w:rtl/>
        </w:rPr>
        <w:t xml:space="preserve"> בדעת </w:t>
      </w:r>
      <w:r w:rsidRPr="00420A1A">
        <w:rPr>
          <w:rStyle w:val="affa"/>
          <w:rFonts w:hint="cs"/>
          <w:rtl/>
        </w:rPr>
        <w:t>הריטב"א</w:t>
      </w:r>
      <w:r>
        <w:rPr>
          <w:rStyle w:val="afb"/>
          <w:rFonts w:hint="cs"/>
          <w:rtl/>
        </w:rPr>
        <w:t xml:space="preserve"> דהוא ראיה מדאו'</w:t>
      </w:r>
      <w:r w:rsidRPr="00420A1A">
        <w:rPr>
          <w:rStyle w:val="afb"/>
          <w:rFonts w:hint="cs"/>
          <w:rtl/>
        </w:rPr>
        <w:t>],</w:t>
      </w:r>
      <w:r>
        <w:rPr>
          <w:rFonts w:hint="cs"/>
          <w:rtl/>
        </w:rPr>
        <w:t xml:space="preserve"> עיי"ש במה שהוכיח כן </w:t>
      </w:r>
      <w:r w:rsidRPr="00405C9D">
        <w:rPr>
          <w:rStyle w:val="af9"/>
          <w:rFonts w:hint="cs"/>
          <w:rtl/>
        </w:rPr>
        <w:t>בשיעורי רבי נחום</w:t>
      </w:r>
      <w:r>
        <w:rPr>
          <w:rFonts w:hint="cs"/>
          <w:rtl/>
        </w:rPr>
        <w:t xml:space="preserve"> מדברי </w:t>
      </w:r>
      <w:r w:rsidRPr="00405C9D">
        <w:rPr>
          <w:rStyle w:val="af9"/>
          <w:rFonts w:hint="cs"/>
          <w:rtl/>
        </w:rPr>
        <w:t>הרמב"ם</w:t>
      </w:r>
      <w:r>
        <w:rPr>
          <w:rFonts w:hint="cs"/>
          <w:rtl/>
        </w:rPr>
        <w:t xml:space="preserve"> </w:t>
      </w:r>
      <w:r w:rsidRPr="00320251">
        <w:rPr>
          <w:rStyle w:val="af7"/>
          <w:rFonts w:eastAsia="Guttman Hodes" w:hint="cs"/>
          <w:rtl/>
        </w:rPr>
        <w:t>(טו"נ פי"ד הי"ג)</w:t>
      </w:r>
      <w:r>
        <w:rPr>
          <w:rFonts w:hint="cs"/>
          <w:rtl/>
        </w:rPr>
        <w:t>.</w:t>
      </w:r>
    </w:p>
    <w:p w:rsidR="00E874E8" w:rsidRPr="009161CD" w:rsidRDefault="00E874E8" w:rsidP="00E874E8">
      <w:pPr>
        <w:pStyle w:val="a3"/>
        <w:rPr>
          <w:rtl/>
        </w:rPr>
      </w:pPr>
      <w:bookmarkStart w:id="6187" w:name="_Toc56630221"/>
      <w:bookmarkStart w:id="6188" w:name="_Toc56637084"/>
      <w:bookmarkStart w:id="6189" w:name="_Toc56638224"/>
      <w:bookmarkStart w:id="6190" w:name="_Toc56641073"/>
      <w:r>
        <w:rPr>
          <w:rFonts w:hint="cs"/>
          <w:rtl/>
        </w:rPr>
        <w:t>ביאור הגרנ"פ דלא סגי במוחזקות להוציא ממר"ק אעפ"י שמוחזקתו היא מוחזקות שלימה</w:t>
      </w:r>
      <w:bookmarkEnd w:id="6187"/>
      <w:bookmarkEnd w:id="6188"/>
      <w:bookmarkEnd w:id="6189"/>
      <w:bookmarkEnd w:id="6190"/>
    </w:p>
    <w:p w:rsidR="00E874E8" w:rsidRDefault="00E874E8" w:rsidP="007E4E81">
      <w:pPr>
        <w:pStyle w:val="a0"/>
        <w:rPr>
          <w:rtl/>
        </w:rPr>
      </w:pPr>
      <w:r>
        <w:rPr>
          <w:rFonts w:hint="cs"/>
          <w:rtl/>
        </w:rPr>
        <w:t xml:space="preserve">אלא כתב </w:t>
      </w:r>
      <w:r w:rsidRPr="00405C9D">
        <w:rPr>
          <w:rStyle w:val="af9"/>
          <w:rFonts w:hint="cs"/>
          <w:rtl/>
        </w:rPr>
        <w:t>בשיעורי רבי נחום</w:t>
      </w:r>
      <w:r>
        <w:rPr>
          <w:rFonts w:hint="cs"/>
          <w:rtl/>
        </w:rPr>
        <w:t xml:space="preserve"> דמ"מ כיון דקרקע בחזקת בעליה עומדת, א"כ לא סגי במוחזקות להוציא מחזקת המרא קמא, וכדכתב </w:t>
      </w:r>
      <w:r>
        <w:rPr>
          <w:rStyle w:val="af9"/>
          <w:rFonts w:hint="cs"/>
          <w:rtl/>
        </w:rPr>
        <w:t>הרמב"ם</w:t>
      </w:r>
      <w:r>
        <w:rPr>
          <w:rFonts w:hint="cs"/>
          <w:rtl/>
        </w:rPr>
        <w:t xml:space="preserve"> דקרקע שידועה שהיא של אדם אחד, אף שעכשיו היא תחת יד אחר, הרי היא בחזקת הבעלים, ומשמע מדבריו דאין חסרון במוחזקות של המחזיק בקרקע, אלא דאף שהיא מוחזקת בידו, מ"מ א"א להוציא מהבעלים בלא ראיה, וע"ע במה שהוכיח כן </w:t>
      </w:r>
      <w:r w:rsidRPr="00405C9D">
        <w:rPr>
          <w:rStyle w:val="af9"/>
          <w:rFonts w:hint="cs"/>
          <w:rtl/>
        </w:rPr>
        <w:t>בשיעורי רבי נחום</w:t>
      </w:r>
      <w:r>
        <w:rPr>
          <w:rFonts w:hint="cs"/>
          <w:rtl/>
        </w:rPr>
        <w:t xml:space="preserve"> מדברי </w:t>
      </w:r>
      <w:r w:rsidRPr="00405C9D">
        <w:rPr>
          <w:rStyle w:val="af9"/>
          <w:rFonts w:hint="cs"/>
          <w:rtl/>
        </w:rPr>
        <w:t>הרמב"ם</w:t>
      </w:r>
      <w:r>
        <w:rPr>
          <w:rFonts w:hint="cs"/>
          <w:rtl/>
        </w:rPr>
        <w:t xml:space="preserve"> </w:t>
      </w:r>
      <w:r w:rsidRPr="00320251">
        <w:rPr>
          <w:rStyle w:val="af7"/>
          <w:rFonts w:eastAsia="Guttman Hodes" w:hint="cs"/>
          <w:rtl/>
        </w:rPr>
        <w:t>(טו"נ פ"ח ה"ג)</w:t>
      </w:r>
      <w:r>
        <w:rPr>
          <w:rFonts w:hint="cs"/>
          <w:rtl/>
        </w:rPr>
        <w:t>.</w:t>
      </w:r>
    </w:p>
    <w:p w:rsidR="00E874E8" w:rsidRPr="00357210" w:rsidRDefault="00E874E8" w:rsidP="00E874E8">
      <w:pPr>
        <w:pStyle w:val="a3"/>
        <w:rPr>
          <w:rtl/>
        </w:rPr>
      </w:pPr>
    </w:p>
    <w:p w:rsidR="00E874E8" w:rsidRDefault="00E874E8" w:rsidP="00E874E8">
      <w:pPr>
        <w:pStyle w:val="a3"/>
        <w:rPr>
          <w:rtl/>
        </w:rPr>
      </w:pPr>
      <w:bookmarkStart w:id="6191" w:name="_Toc56630222"/>
      <w:bookmarkStart w:id="6192" w:name="_Toc56637085"/>
      <w:bookmarkStart w:id="6193" w:name="_Toc56638225"/>
      <w:bookmarkStart w:id="6194" w:name="_Toc56641074"/>
      <w:r>
        <w:rPr>
          <w:rFonts w:hint="cs"/>
          <w:rtl/>
        </w:rPr>
        <w:lastRenderedPageBreak/>
        <w:t>ביאור הגרנ"פ דאף שהוא מוחזק מ"מ מוציא מהמר"ק רק ע"י התקנ"ח דמדלא מחה הפסיד</w:t>
      </w:r>
      <w:bookmarkEnd w:id="6191"/>
      <w:bookmarkEnd w:id="6192"/>
      <w:bookmarkEnd w:id="6193"/>
      <w:bookmarkEnd w:id="6194"/>
    </w:p>
    <w:p w:rsidR="00E874E8" w:rsidRDefault="00E874E8" w:rsidP="007E4E81">
      <w:pPr>
        <w:pStyle w:val="a0"/>
        <w:rPr>
          <w:rtl/>
        </w:rPr>
      </w:pPr>
      <w:r>
        <w:rPr>
          <w:rFonts w:hint="cs"/>
          <w:rtl/>
        </w:rPr>
        <w:t xml:space="preserve">וכתב </w:t>
      </w:r>
      <w:r w:rsidRPr="00CF0AD4">
        <w:rPr>
          <w:rStyle w:val="af9"/>
          <w:rFonts w:hint="cs"/>
          <w:rtl/>
        </w:rPr>
        <w:t>בשיעורי רבי נחום</w:t>
      </w:r>
      <w:r>
        <w:rPr>
          <w:rFonts w:hint="cs"/>
          <w:rtl/>
        </w:rPr>
        <w:t xml:space="preserve"> </w:t>
      </w:r>
      <w:r w:rsidRPr="00287518">
        <w:rPr>
          <w:rStyle w:val="af7"/>
          <w:rFonts w:eastAsia="Guttman Hodes" w:hint="cs"/>
          <w:rtl/>
        </w:rPr>
        <w:t xml:space="preserve">(סי' י"ז או' ג' ד"ה ולפי"ז) </w:t>
      </w:r>
      <w:r>
        <w:rPr>
          <w:rFonts w:hint="cs"/>
          <w:rtl/>
        </w:rPr>
        <w:t xml:space="preserve">דא"כ הא דחזקת ג"ש מעמידה את הקרקע ביד המחזיק, אינו מחמת שאין ריעותא דאחוי שטרך, דמ"מ אינו יכול להוציא מהמרא קמא בלא ראיה, אלא מחמת הסברא שכתב </w:t>
      </w:r>
      <w:r w:rsidRPr="00CF0AD4">
        <w:rPr>
          <w:rStyle w:val="af9"/>
          <w:rFonts w:hint="cs"/>
          <w:rtl/>
        </w:rPr>
        <w:t>הרמב"ם</w:t>
      </w:r>
      <w:r w:rsidRPr="00287518">
        <w:rPr>
          <w:rStyle w:val="af7"/>
          <w:rFonts w:eastAsia="Guttman Hodes" w:hint="cs"/>
          <w:rtl/>
        </w:rPr>
        <w:t xml:space="preserve"> (עי' אות </w:t>
      </w:r>
      <w:r w:rsidRPr="00287518">
        <w:rPr>
          <w:rStyle w:val="af7"/>
          <w:rFonts w:eastAsia="Guttman Hodes"/>
          <w:rtl/>
        </w:rPr>
        <w:fldChar w:fldCharType="begin"/>
      </w:r>
      <w:r w:rsidRPr="00287518">
        <w:rPr>
          <w:rStyle w:val="af7"/>
          <w:rFonts w:eastAsia="Guttman Hodes"/>
          <w:rtl/>
        </w:rPr>
        <w:instrText xml:space="preserve"> </w:instrText>
      </w:r>
      <w:r w:rsidRPr="00287518">
        <w:rPr>
          <w:rStyle w:val="af7"/>
          <w:rFonts w:eastAsia="Guttman Hodes" w:hint="cs"/>
        </w:rPr>
        <w:instrText>REF</w:instrText>
      </w:r>
      <w:r w:rsidRPr="00287518">
        <w:rPr>
          <w:rStyle w:val="af7"/>
          <w:rFonts w:eastAsia="Guttman Hodes" w:hint="cs"/>
          <w:rtl/>
        </w:rPr>
        <w:instrText xml:space="preserve"> _</w:instrText>
      </w:r>
      <w:r w:rsidRPr="00287518">
        <w:rPr>
          <w:rStyle w:val="af7"/>
          <w:rFonts w:eastAsia="Guttman Hodes" w:hint="cs"/>
        </w:rPr>
        <w:instrText>Ref54034873 \r \h</w:instrText>
      </w:r>
      <w:r w:rsidRPr="00287518">
        <w:rPr>
          <w:rStyle w:val="af7"/>
          <w:rFonts w:eastAsia="Guttman Hodes"/>
          <w:rtl/>
        </w:rPr>
        <w:instrText xml:space="preserve"> </w:instrText>
      </w:r>
      <w:r w:rsidRPr="00287518">
        <w:rPr>
          <w:rStyle w:val="af7"/>
          <w:rFonts w:eastAsia="Guttman Hodes"/>
          <w:rtl/>
        </w:rPr>
      </w:r>
      <w:r w:rsidRPr="00287518">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287518">
        <w:rPr>
          <w:rStyle w:val="af7"/>
          <w:rFonts w:eastAsia="Guttman Hodes"/>
          <w:rtl/>
        </w:rPr>
        <w:fldChar w:fldCharType="end"/>
      </w:r>
      <w:r>
        <w:rPr>
          <w:rFonts w:hint="cs"/>
          <w:rtl/>
        </w:rPr>
        <w:t xml:space="preserve"> דכל שלא מיחה הפסיד לעצמו, והיינו דלכן תיקנו חכמים דהקרקע ביד המחזיק, כיון שיש ריעותא בחזקת המרא קמא, מחמת שלא מיחה, אבל יסוד החזקה היא דע"י שהשתמש בה המחזיק כדרך הבעלים, הוא נעשה למוחזק בקרקע.</w:t>
      </w:r>
    </w:p>
    <w:p w:rsidR="00E874E8" w:rsidRPr="00E73196" w:rsidRDefault="00E874E8" w:rsidP="00E874E8">
      <w:pPr>
        <w:pStyle w:val="1"/>
        <w:rPr>
          <w:rtl/>
        </w:rPr>
      </w:pPr>
      <w:bookmarkStart w:id="6195" w:name="_Toc56638226"/>
      <w:bookmarkStart w:id="6196" w:name="_Toc56641075"/>
      <w:r>
        <w:rPr>
          <w:rFonts w:hint="cs"/>
          <w:rtl/>
        </w:rPr>
        <w:t>ביאור הגרנ"פ בפיהמ"ש דהמחאה על האכילה לענין המוחזקות</w:t>
      </w:r>
      <w:bookmarkEnd w:id="6195"/>
      <w:bookmarkEnd w:id="6196"/>
    </w:p>
    <w:p w:rsidR="00E874E8" w:rsidRPr="00C94BCD" w:rsidRDefault="00E874E8" w:rsidP="00E874E8">
      <w:pPr>
        <w:pStyle w:val="a3"/>
        <w:rPr>
          <w:rtl/>
        </w:rPr>
      </w:pPr>
      <w:bookmarkStart w:id="6197" w:name="_Toc56630223"/>
      <w:bookmarkStart w:id="6198" w:name="_Toc56637086"/>
      <w:bookmarkStart w:id="6199" w:name="_Toc56638227"/>
      <w:bookmarkStart w:id="6200" w:name="_Toc56641076"/>
      <w:r>
        <w:rPr>
          <w:rFonts w:hint="cs"/>
          <w:rtl/>
        </w:rPr>
        <w:t>ביאור הגרנ"פ דהמוחזקות ע"י שהניחו לאכול והמחאה שהיא שלו היא לענין שלא יוציאו ממנו</w:t>
      </w:r>
      <w:bookmarkEnd w:id="6197"/>
      <w:bookmarkEnd w:id="6198"/>
      <w:bookmarkEnd w:id="6199"/>
      <w:bookmarkEnd w:id="6200"/>
    </w:p>
    <w:p w:rsidR="00E874E8" w:rsidRDefault="00E874E8" w:rsidP="007E4E81">
      <w:pPr>
        <w:pStyle w:val="a0"/>
        <w:rPr>
          <w:rtl/>
        </w:rPr>
      </w:pPr>
      <w:r>
        <w:rPr>
          <w:rFonts w:hint="cs"/>
          <w:rtl/>
        </w:rPr>
        <w:t xml:space="preserve">ולפי"ז תירץ </w:t>
      </w:r>
      <w:r w:rsidRPr="00CF0AD4">
        <w:rPr>
          <w:rStyle w:val="af9"/>
          <w:rFonts w:hint="cs"/>
          <w:rtl/>
        </w:rPr>
        <w:t>בשיעורי רבי נחום</w:t>
      </w:r>
      <w:r>
        <w:rPr>
          <w:rFonts w:hint="cs"/>
          <w:rtl/>
        </w:rPr>
        <w:t xml:space="preserve"> </w:t>
      </w:r>
      <w:r w:rsidRPr="00287518">
        <w:rPr>
          <w:rStyle w:val="af7"/>
          <w:rFonts w:eastAsia="Guttman Hodes" w:hint="cs"/>
          <w:rtl/>
        </w:rPr>
        <w:t xml:space="preserve">(סי' י"ז או' ד' ד"ה ולפי"ז) </w:t>
      </w:r>
      <w:r>
        <w:rPr>
          <w:rFonts w:hint="cs"/>
          <w:rtl/>
        </w:rPr>
        <w:t xml:space="preserve">דמ"ש </w:t>
      </w:r>
      <w:r w:rsidRPr="00CF0AD4">
        <w:rPr>
          <w:rStyle w:val="af9"/>
          <w:rFonts w:hint="cs"/>
          <w:rtl/>
        </w:rPr>
        <w:t>הרמב"ם בפיהמ"ש</w:t>
      </w:r>
      <w:r>
        <w:rPr>
          <w:rFonts w:hint="cs"/>
          <w:rtl/>
        </w:rPr>
        <w:t xml:space="preserve"> </w:t>
      </w:r>
      <w:r w:rsidRPr="00664AD7">
        <w:rPr>
          <w:rStyle w:val="af7"/>
          <w:rFonts w:eastAsia="Guttman Hodes" w:hint="cs"/>
          <w:rtl/>
        </w:rPr>
        <w:t xml:space="preserve">(עי' אות </w:t>
      </w:r>
      <w:r w:rsidRPr="00664AD7">
        <w:rPr>
          <w:rStyle w:val="af7"/>
          <w:rFonts w:eastAsia="Guttman Hodes"/>
          <w:rtl/>
        </w:rPr>
        <w:fldChar w:fldCharType="begin"/>
      </w:r>
      <w:r w:rsidRPr="00664AD7">
        <w:rPr>
          <w:rStyle w:val="af7"/>
          <w:rFonts w:eastAsia="Guttman Hodes"/>
          <w:rtl/>
        </w:rPr>
        <w:instrText xml:space="preserve"> </w:instrText>
      </w:r>
      <w:r w:rsidRPr="00664AD7">
        <w:rPr>
          <w:rStyle w:val="af7"/>
          <w:rFonts w:eastAsia="Guttman Hodes" w:hint="cs"/>
        </w:rPr>
        <w:instrText>REF</w:instrText>
      </w:r>
      <w:r w:rsidRPr="00664AD7">
        <w:rPr>
          <w:rStyle w:val="af7"/>
          <w:rFonts w:eastAsia="Guttman Hodes" w:hint="cs"/>
          <w:rtl/>
        </w:rPr>
        <w:instrText xml:space="preserve"> _</w:instrText>
      </w:r>
      <w:r w:rsidRPr="00664AD7">
        <w:rPr>
          <w:rStyle w:val="af7"/>
          <w:rFonts w:eastAsia="Guttman Hodes" w:hint="cs"/>
        </w:rPr>
        <w:instrText>Ref56446954 \r \h</w:instrText>
      </w:r>
      <w:r w:rsidRPr="00664AD7">
        <w:rPr>
          <w:rStyle w:val="af7"/>
          <w:rFonts w:eastAsia="Guttman Hodes"/>
          <w:rtl/>
        </w:rPr>
        <w:instrText xml:space="preserve"> </w:instrText>
      </w:r>
      <w:r w:rsidRPr="00664AD7">
        <w:rPr>
          <w:rStyle w:val="af7"/>
          <w:rFonts w:eastAsia="Guttman Hodes"/>
          <w:rtl/>
        </w:rPr>
      </w:r>
      <w:r w:rsidRPr="00664AD7">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664AD7">
        <w:rPr>
          <w:rStyle w:val="af7"/>
          <w:rFonts w:eastAsia="Guttman Hodes"/>
          <w:rtl/>
        </w:rPr>
        <w:fldChar w:fldCharType="end"/>
      </w:r>
      <w:r>
        <w:rPr>
          <w:rStyle w:val="af7"/>
          <w:rFonts w:eastAsia="Guttman Hodes" w:hint="cs"/>
          <w:rtl/>
        </w:rPr>
        <w:t xml:space="preserve"> </w:t>
      </w:r>
      <w:r>
        <w:rPr>
          <w:rFonts w:hint="cs"/>
          <w:rtl/>
        </w:rPr>
        <w:t xml:space="preserve">דהיה לו למחות על אכילת הפירות, היינו כיון דבזה שהוא משתמש כדרך הבעלים ואוכל את הפירות, הוא נעשה מוחזק, ומ"ש </w:t>
      </w:r>
      <w:r w:rsidRPr="00CF0AD4">
        <w:rPr>
          <w:rStyle w:val="af9"/>
          <w:rFonts w:hint="cs"/>
          <w:rtl/>
        </w:rPr>
        <w:t>הרמב"ם בהלכות</w:t>
      </w:r>
      <w:r>
        <w:rPr>
          <w:rFonts w:hint="cs"/>
          <w:rtl/>
        </w:rPr>
        <w:t xml:space="preserve"> </w:t>
      </w:r>
      <w:r w:rsidRPr="00287518">
        <w:rPr>
          <w:rStyle w:val="af7"/>
          <w:rFonts w:eastAsia="Guttman Hodes" w:hint="cs"/>
          <w:rtl/>
        </w:rPr>
        <w:t xml:space="preserve">(עי' אות </w:t>
      </w:r>
      <w:r w:rsidRPr="00287518">
        <w:rPr>
          <w:rStyle w:val="af7"/>
          <w:rFonts w:eastAsia="Guttman Hodes"/>
          <w:rtl/>
        </w:rPr>
        <w:fldChar w:fldCharType="begin"/>
      </w:r>
      <w:r w:rsidRPr="00287518">
        <w:rPr>
          <w:rStyle w:val="af7"/>
          <w:rFonts w:eastAsia="Guttman Hodes"/>
          <w:rtl/>
        </w:rPr>
        <w:instrText xml:space="preserve"> </w:instrText>
      </w:r>
      <w:r w:rsidRPr="00287518">
        <w:rPr>
          <w:rStyle w:val="af7"/>
          <w:rFonts w:eastAsia="Guttman Hodes" w:hint="cs"/>
        </w:rPr>
        <w:instrText>REF</w:instrText>
      </w:r>
      <w:r w:rsidRPr="00287518">
        <w:rPr>
          <w:rStyle w:val="af7"/>
          <w:rFonts w:eastAsia="Guttman Hodes" w:hint="cs"/>
          <w:rtl/>
        </w:rPr>
        <w:instrText xml:space="preserve"> _</w:instrText>
      </w:r>
      <w:r w:rsidRPr="00287518">
        <w:rPr>
          <w:rStyle w:val="af7"/>
          <w:rFonts w:eastAsia="Guttman Hodes" w:hint="cs"/>
        </w:rPr>
        <w:instrText>Ref54034873 \r \h</w:instrText>
      </w:r>
      <w:r w:rsidRPr="00287518">
        <w:rPr>
          <w:rStyle w:val="af7"/>
          <w:rFonts w:eastAsia="Guttman Hodes"/>
          <w:rtl/>
        </w:rPr>
        <w:instrText xml:space="preserve"> </w:instrText>
      </w:r>
      <w:r w:rsidRPr="00287518">
        <w:rPr>
          <w:rStyle w:val="af7"/>
          <w:rFonts w:eastAsia="Guttman Hodes"/>
          <w:rtl/>
        </w:rPr>
      </w:r>
      <w:r w:rsidRPr="00287518">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287518">
        <w:rPr>
          <w:rStyle w:val="af7"/>
          <w:rFonts w:eastAsia="Guttman Hodes"/>
          <w:rtl/>
        </w:rPr>
        <w:fldChar w:fldCharType="end"/>
      </w:r>
      <w:r>
        <w:rPr>
          <w:rFonts w:hint="cs"/>
          <w:rtl/>
        </w:rPr>
        <w:t xml:space="preserve"> דמוחה בו על שמשתמש בקרקע שאינה שלו, היינו דעיקר מה שמעמידים את הקרקע ביד המחזיק, הוא כיון שלא מיחה והפסיד לעצמו, עיי"ש בדבריו.</w:t>
      </w:r>
    </w:p>
    <w:p w:rsidR="00E874E8" w:rsidRPr="00477D19" w:rsidRDefault="00E874E8" w:rsidP="00E874E8">
      <w:pPr>
        <w:pStyle w:val="1"/>
        <w:rPr>
          <w:rtl/>
        </w:rPr>
      </w:pPr>
      <w:bookmarkStart w:id="6201" w:name="_Toc56638228"/>
      <w:bookmarkStart w:id="6202" w:name="_Toc56641077"/>
      <w:r>
        <w:rPr>
          <w:rFonts w:hint="cs"/>
          <w:rtl/>
        </w:rPr>
        <w:t>ביאור הגרנ"פ ברמב"ם דהחזקה אינה ראיה ומוציאה מהמר"ק</w:t>
      </w:r>
      <w:bookmarkEnd w:id="6201"/>
      <w:bookmarkEnd w:id="6202"/>
    </w:p>
    <w:p w:rsidR="00E874E8" w:rsidRPr="00F9254E" w:rsidRDefault="00E874E8" w:rsidP="00E874E8">
      <w:pPr>
        <w:pStyle w:val="a3"/>
      </w:pPr>
      <w:bookmarkStart w:id="6203" w:name="_Toc56458249"/>
      <w:bookmarkStart w:id="6204" w:name="_Toc56544409"/>
      <w:bookmarkStart w:id="6205" w:name="_Toc56609874"/>
      <w:bookmarkStart w:id="6206" w:name="_Toc56626740"/>
      <w:bookmarkStart w:id="6207" w:name="_Toc56630224"/>
      <w:bookmarkStart w:id="6208" w:name="_Toc56637087"/>
      <w:bookmarkStart w:id="6209" w:name="_Toc56638229"/>
      <w:bookmarkStart w:id="6210" w:name="_Toc56641078"/>
      <w:r>
        <w:rPr>
          <w:rFonts w:hint="cs"/>
          <w:rtl/>
        </w:rPr>
        <w:t>ביאור הגרנ"פ ברמב"ם דחזקת ג"ש אינה ראיה אלא הוא סיבה להוציא מהמר"ק לחזקת המחזיק</w:t>
      </w:r>
      <w:bookmarkEnd w:id="6203"/>
      <w:bookmarkEnd w:id="6204"/>
      <w:bookmarkEnd w:id="6205"/>
      <w:bookmarkEnd w:id="6206"/>
      <w:bookmarkEnd w:id="6207"/>
      <w:bookmarkEnd w:id="6208"/>
      <w:bookmarkEnd w:id="6209"/>
      <w:bookmarkEnd w:id="6210"/>
    </w:p>
    <w:p w:rsidR="00E874E8" w:rsidRDefault="00E874E8" w:rsidP="007E4E81">
      <w:pPr>
        <w:pStyle w:val="a0"/>
        <w:rPr>
          <w:rtl/>
        </w:rPr>
      </w:pPr>
      <w:r>
        <w:rPr>
          <w:rFonts w:hint="cs"/>
          <w:rtl/>
        </w:rPr>
        <w:t>ועוד הביא</w:t>
      </w:r>
      <w:r w:rsidRPr="0014055E">
        <w:rPr>
          <w:rFonts w:hint="cs"/>
          <w:rtl/>
        </w:rPr>
        <w:t xml:space="preserve"> </w:t>
      </w:r>
      <w:r w:rsidRPr="0014055E">
        <w:rPr>
          <w:rStyle w:val="af9"/>
          <w:rFonts w:hint="cs"/>
          <w:rtl/>
        </w:rPr>
        <w:t>בחי' רבי נחום</w:t>
      </w:r>
      <w:r w:rsidRPr="0014055E">
        <w:rPr>
          <w:rFonts w:hint="cs"/>
          <w:rtl/>
        </w:rPr>
        <w:t xml:space="preserve"> </w:t>
      </w:r>
      <w:r w:rsidRPr="0014055E">
        <w:rPr>
          <w:rStyle w:val="af7"/>
          <w:rFonts w:eastAsia="Guttman Hodes" w:hint="cs"/>
          <w:rtl/>
        </w:rPr>
        <w:t>(או' א' ד"ה אמנם)</w:t>
      </w:r>
      <w:r w:rsidRPr="0014055E">
        <w:rPr>
          <w:rFonts w:hint="cs"/>
          <w:rtl/>
        </w:rPr>
        <w:t xml:space="preserve"> </w:t>
      </w:r>
      <w:r>
        <w:rPr>
          <w:rFonts w:hint="cs"/>
          <w:rtl/>
        </w:rPr>
        <w:t xml:space="preserve">את </w:t>
      </w:r>
      <w:r w:rsidRPr="0014055E">
        <w:rPr>
          <w:rFonts w:hint="cs"/>
          <w:rtl/>
        </w:rPr>
        <w:t xml:space="preserve">דברי </w:t>
      </w:r>
      <w:r w:rsidRPr="0014055E">
        <w:rPr>
          <w:rStyle w:val="af9"/>
          <w:rFonts w:hint="cs"/>
          <w:rtl/>
        </w:rPr>
        <w:t>הרמב"ם</w:t>
      </w:r>
      <w:r w:rsidRPr="0014055E">
        <w:rPr>
          <w:rStyle w:val="af7"/>
          <w:rFonts w:eastAsia="Guttman Hodes" w:hint="cs"/>
          <w:rtl/>
        </w:rPr>
        <w:t xml:space="preserve"> (עי' אות </w:t>
      </w:r>
      <w:r w:rsidRPr="0014055E">
        <w:rPr>
          <w:rStyle w:val="af7"/>
          <w:rFonts w:eastAsia="Guttman Hodes"/>
          <w:rtl/>
        </w:rPr>
        <w:fldChar w:fldCharType="begin"/>
      </w:r>
      <w:r w:rsidRPr="0014055E">
        <w:rPr>
          <w:rStyle w:val="af7"/>
          <w:rFonts w:eastAsia="Guttman Hodes"/>
          <w:rtl/>
        </w:rPr>
        <w:instrText xml:space="preserve"> </w:instrText>
      </w:r>
      <w:r w:rsidRPr="0014055E">
        <w:rPr>
          <w:rStyle w:val="af7"/>
          <w:rFonts w:eastAsia="Guttman Hodes" w:hint="cs"/>
        </w:rPr>
        <w:instrText>REF</w:instrText>
      </w:r>
      <w:r w:rsidRPr="0014055E">
        <w:rPr>
          <w:rStyle w:val="af7"/>
          <w:rFonts w:eastAsia="Guttman Hodes" w:hint="cs"/>
          <w:rtl/>
        </w:rPr>
        <w:instrText xml:space="preserve"> _</w:instrText>
      </w:r>
      <w:r w:rsidRPr="0014055E">
        <w:rPr>
          <w:rStyle w:val="af7"/>
          <w:rFonts w:eastAsia="Guttman Hodes" w:hint="cs"/>
        </w:rPr>
        <w:instrText>Ref53934882 \r \h</w:instrText>
      </w:r>
      <w:r w:rsidRPr="0014055E">
        <w:rPr>
          <w:rStyle w:val="af7"/>
          <w:rFonts w:eastAsia="Guttman Hodes"/>
          <w:rtl/>
        </w:rPr>
        <w:instrText xml:space="preserve">  \* </w:instrText>
      </w:r>
      <w:r w:rsidRPr="0014055E">
        <w:rPr>
          <w:rStyle w:val="af7"/>
          <w:rFonts w:eastAsia="Guttman Hodes"/>
        </w:rPr>
        <w:instrText>MERGEFORMAT</w:instrText>
      </w:r>
      <w:r w:rsidRPr="0014055E">
        <w:rPr>
          <w:rStyle w:val="af7"/>
          <w:rFonts w:eastAsia="Guttman Hodes"/>
          <w:rtl/>
        </w:rPr>
        <w:instrText xml:space="preserve"> </w:instrText>
      </w:r>
      <w:r w:rsidRPr="0014055E">
        <w:rPr>
          <w:rStyle w:val="af7"/>
          <w:rFonts w:eastAsia="Guttman Hodes"/>
          <w:rtl/>
        </w:rPr>
      </w:r>
      <w:r w:rsidRPr="0014055E">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14055E">
        <w:rPr>
          <w:rStyle w:val="af7"/>
          <w:rFonts w:eastAsia="Guttman Hodes"/>
          <w:rtl/>
        </w:rPr>
        <w:fldChar w:fldCharType="end"/>
      </w:r>
      <w:r w:rsidRPr="0014055E">
        <w:rPr>
          <w:rFonts w:hint="cs"/>
          <w:rtl/>
        </w:rPr>
        <w:t xml:space="preserve"> דכתב דקרקע שידועה שהיא של אדם אחד, אף שעכשיו היא תחת יד אחר, וטוען המחזיק שקנה מהבעלים, הרי היא בחזקת הבעלים, והוסיף </w:t>
      </w:r>
      <w:r w:rsidRPr="0014055E">
        <w:rPr>
          <w:rStyle w:val="af9"/>
          <w:rFonts w:hint="cs"/>
          <w:rtl/>
        </w:rPr>
        <w:t>הרמב"ם</w:t>
      </w:r>
      <w:r w:rsidRPr="0014055E">
        <w:rPr>
          <w:rFonts w:hint="cs"/>
          <w:rtl/>
        </w:rPr>
        <w:t xml:space="preserve"> </w:t>
      </w:r>
      <w:r w:rsidRPr="0014055E">
        <w:rPr>
          <w:rStyle w:val="af7"/>
          <w:rFonts w:eastAsia="Guttman Hodes" w:hint="cs"/>
          <w:rtl/>
        </w:rPr>
        <w:t xml:space="preserve">(עי' אות </w:t>
      </w:r>
      <w:r w:rsidRPr="0014055E">
        <w:rPr>
          <w:rStyle w:val="af7"/>
          <w:rFonts w:eastAsia="Guttman Hodes"/>
          <w:rtl/>
        </w:rPr>
        <w:fldChar w:fldCharType="begin"/>
      </w:r>
      <w:r w:rsidRPr="0014055E">
        <w:rPr>
          <w:rStyle w:val="af7"/>
          <w:rFonts w:eastAsia="Guttman Hodes"/>
          <w:rtl/>
        </w:rPr>
        <w:instrText xml:space="preserve"> </w:instrText>
      </w:r>
      <w:r w:rsidRPr="0014055E">
        <w:rPr>
          <w:rStyle w:val="af7"/>
          <w:rFonts w:eastAsia="Guttman Hodes" w:hint="cs"/>
        </w:rPr>
        <w:instrText>REF</w:instrText>
      </w:r>
      <w:r w:rsidRPr="0014055E">
        <w:rPr>
          <w:rStyle w:val="af7"/>
          <w:rFonts w:eastAsia="Guttman Hodes" w:hint="cs"/>
          <w:rtl/>
        </w:rPr>
        <w:instrText xml:space="preserve"> _</w:instrText>
      </w:r>
      <w:r w:rsidRPr="0014055E">
        <w:rPr>
          <w:rStyle w:val="af7"/>
          <w:rFonts w:eastAsia="Guttman Hodes" w:hint="cs"/>
        </w:rPr>
        <w:instrText>Ref54034873 \r \h</w:instrText>
      </w:r>
      <w:r w:rsidRPr="0014055E">
        <w:rPr>
          <w:rStyle w:val="af7"/>
          <w:rFonts w:eastAsia="Guttman Hodes"/>
          <w:rtl/>
        </w:rPr>
        <w:instrText xml:space="preserve">  \* </w:instrText>
      </w:r>
      <w:r w:rsidRPr="0014055E">
        <w:rPr>
          <w:rStyle w:val="af7"/>
          <w:rFonts w:eastAsia="Guttman Hodes"/>
        </w:rPr>
        <w:instrText>MERGEFORMAT</w:instrText>
      </w:r>
      <w:r w:rsidRPr="0014055E">
        <w:rPr>
          <w:rStyle w:val="af7"/>
          <w:rFonts w:eastAsia="Guttman Hodes"/>
          <w:rtl/>
        </w:rPr>
        <w:instrText xml:space="preserve"> </w:instrText>
      </w:r>
      <w:r w:rsidRPr="0014055E">
        <w:rPr>
          <w:rStyle w:val="af7"/>
          <w:rFonts w:eastAsia="Guttman Hodes"/>
          <w:rtl/>
        </w:rPr>
      </w:r>
      <w:r w:rsidRPr="0014055E">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14055E">
        <w:rPr>
          <w:rStyle w:val="af7"/>
          <w:rFonts w:eastAsia="Guttman Hodes"/>
          <w:rtl/>
        </w:rPr>
        <w:fldChar w:fldCharType="end"/>
      </w:r>
      <w:r w:rsidRPr="0014055E">
        <w:rPr>
          <w:rFonts w:hint="cs"/>
          <w:rtl/>
        </w:rPr>
        <w:t xml:space="preserve"> דאם החזיק בה ג"ש, מעמידים אותה בחזקה המחזיק, וכתב</w:t>
      </w:r>
      <w:r w:rsidRPr="0014055E">
        <w:rPr>
          <w:rStyle w:val="af9"/>
          <w:rFonts w:hint="cs"/>
          <w:rtl/>
        </w:rPr>
        <w:t xml:space="preserve"> בחי' רבי נחום </w:t>
      </w:r>
      <w:r w:rsidRPr="0014055E">
        <w:rPr>
          <w:rFonts w:hint="cs"/>
          <w:rtl/>
        </w:rPr>
        <w:t xml:space="preserve">דמדויק מדברי </w:t>
      </w:r>
      <w:r w:rsidRPr="0014055E">
        <w:rPr>
          <w:rStyle w:val="af9"/>
          <w:rFonts w:hint="cs"/>
          <w:rtl/>
        </w:rPr>
        <w:t>הרמב"ם</w:t>
      </w:r>
      <w:r w:rsidRPr="0014055E">
        <w:rPr>
          <w:rFonts w:hint="cs"/>
          <w:rtl/>
        </w:rPr>
        <w:t xml:space="preserve"> דג"ש אינה ראיה ואנן סהדי, אלא הוא סיבה להוציא את הקרקע מהמוחזקות של המרא קמא, ולהעמידה בחזקת המחזיק.</w:t>
      </w:r>
    </w:p>
    <w:p w:rsidR="00E874E8" w:rsidRDefault="00E874E8" w:rsidP="00E874E8">
      <w:pPr>
        <w:pStyle w:val="1"/>
        <w:rPr>
          <w:rtl/>
        </w:rPr>
      </w:pPr>
      <w:bookmarkStart w:id="6211" w:name="_Toc56641079"/>
      <w:r>
        <w:rPr>
          <w:rFonts w:hint="cs"/>
          <w:rtl/>
        </w:rPr>
        <w:t>ביאור החזון יחזקאל ברמב"ם דכל שלא מיחה המחזיק מוחזק</w:t>
      </w:r>
      <w:bookmarkEnd w:id="6211"/>
    </w:p>
    <w:p w:rsidR="00E874E8" w:rsidRDefault="00E874E8" w:rsidP="00E874E8">
      <w:pPr>
        <w:pStyle w:val="a3"/>
        <w:rPr>
          <w:rtl/>
        </w:rPr>
      </w:pPr>
      <w:bookmarkStart w:id="6212" w:name="_Toc56641080"/>
      <w:r>
        <w:rPr>
          <w:rFonts w:hint="cs"/>
          <w:rtl/>
        </w:rPr>
        <w:t>ביאור החזון יחזקאל ברמב"ם דמדלא מיחה מוכח דמכר ונעשה עי"ז מוחזק והמר"ק הוא המוציא</w:t>
      </w:r>
      <w:bookmarkEnd w:id="6212"/>
    </w:p>
    <w:p w:rsidR="00E874E8" w:rsidRPr="00523C69" w:rsidRDefault="00E874E8" w:rsidP="007E4E81">
      <w:pPr>
        <w:pStyle w:val="a0"/>
        <w:rPr>
          <w:rtl/>
        </w:rPr>
      </w:pPr>
      <w:bookmarkStart w:id="6213" w:name="_Ref56639787"/>
      <w:bookmarkStart w:id="6214" w:name="_Toc56609875"/>
      <w:bookmarkStart w:id="6215" w:name="_Toc56626741"/>
      <w:bookmarkStart w:id="6216" w:name="_Toc56630225"/>
      <w:bookmarkStart w:id="6217" w:name="_Toc56637088"/>
      <w:bookmarkStart w:id="6218" w:name="_Toc56638230"/>
      <w:bookmarkStart w:id="6219" w:name="_Toc55739990"/>
      <w:bookmarkStart w:id="6220" w:name="_Toc56372900"/>
      <w:bookmarkStart w:id="6221" w:name="_Toc56458239"/>
      <w:bookmarkStart w:id="6222" w:name="_Toc56544399"/>
      <w:r>
        <w:rPr>
          <w:rFonts w:hint="cs"/>
          <w:rtl/>
        </w:rPr>
        <w:t xml:space="preserve">במ"ש </w:t>
      </w:r>
      <w:r w:rsidRPr="006177F0">
        <w:rPr>
          <w:rStyle w:val="af9"/>
          <w:rFonts w:hint="cs"/>
          <w:rtl/>
        </w:rPr>
        <w:t>הרמב"ם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Ref54034873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ו)</w:t>
      </w:r>
      <w:r>
        <w:rPr>
          <w:rStyle w:val="af7"/>
          <w:rFonts w:eastAsia="Guttman Hodes"/>
          <w:rtl/>
        </w:rPr>
        <w:fldChar w:fldCharType="end"/>
      </w:r>
      <w:r>
        <w:rPr>
          <w:rStyle w:val="af7"/>
          <w:rFonts w:eastAsia="Guttman Hodes" w:hint="cs"/>
          <w:rtl/>
        </w:rPr>
        <w:t xml:space="preserve"> </w:t>
      </w:r>
      <w:r>
        <w:rPr>
          <w:rFonts w:hint="cs"/>
          <w:rtl/>
        </w:rPr>
        <w:t xml:space="preserve">דאם הביא המחזיק עדים שאכלה ג"ש רצופות, ולא מיחו בו הבעלים, מעמידים אותה בחזקה המחזיק, וצריך להשבע שבועת היסת שהבעלים מכר לו, כתב </w:t>
      </w:r>
      <w:r w:rsidRPr="00BE1C8F">
        <w:rPr>
          <w:rStyle w:val="af9"/>
          <w:rtl/>
        </w:rPr>
        <w:t>החזון יחזקאל</w:t>
      </w:r>
      <w:r w:rsidRPr="00523C69">
        <w:rPr>
          <w:rtl/>
        </w:rPr>
        <w:t xml:space="preserve"> </w:t>
      </w:r>
      <w:r w:rsidRPr="00BE1C8F">
        <w:rPr>
          <w:rStyle w:val="af7"/>
          <w:rFonts w:eastAsia="Guttman Hodes"/>
          <w:rtl/>
        </w:rPr>
        <w:t>(השמטות בסוף המסכת, פ"ב ה"א או' ב' ד"ה</w:t>
      </w:r>
      <w:r w:rsidRPr="00BE1C8F">
        <w:rPr>
          <w:rStyle w:val="af7"/>
          <w:rFonts w:eastAsia="Guttman Hodes" w:hint="cs"/>
          <w:rtl/>
        </w:rPr>
        <w:t xml:space="preserve"> אבל הרמב"ם)</w:t>
      </w:r>
      <w:r>
        <w:rPr>
          <w:rFonts w:hint="cs"/>
          <w:rtl/>
        </w:rPr>
        <w:t xml:space="preserve"> דמבואר מדברי </w:t>
      </w:r>
      <w:r w:rsidRPr="00BE1C8F">
        <w:rPr>
          <w:rStyle w:val="af9"/>
          <w:rFonts w:hint="cs"/>
          <w:rtl/>
        </w:rPr>
        <w:t>הרמב"ם</w:t>
      </w:r>
      <w:r>
        <w:rPr>
          <w:rFonts w:hint="cs"/>
          <w:rtl/>
        </w:rPr>
        <w:t xml:space="preserve"> דלמסקנת רבא החזקה אינה מחמת הסברא דעד ג"ש קפיד, דא"כ א"צ להשבע היסת, אלא דכיון ששתק ולא מחה מוכח דמכר לו, ואף דלא אמרינן דהחזקה מהני כמו שטר, אלא דע"י החזקה חשיב </w:t>
      </w:r>
      <w:r>
        <w:rPr>
          <w:rFonts w:hint="cs"/>
          <w:rtl/>
        </w:rPr>
        <w:t xml:space="preserve">המחזיק למוחזק, כיון שהחזיק בה ג"ש בשופי כדרך הבעלים, וכשטוען המחזיק שקנה מהמערער, א"כ המערער הוא המוציא ולכן הוא נשבע היסת, עיי"ש במה שהאריך </w:t>
      </w:r>
      <w:r w:rsidRPr="00BE1C8F">
        <w:rPr>
          <w:rStyle w:val="af9"/>
          <w:rFonts w:hint="cs"/>
          <w:rtl/>
        </w:rPr>
        <w:t>החזון יחזקאל</w:t>
      </w:r>
      <w:r>
        <w:rPr>
          <w:rFonts w:hint="cs"/>
          <w:rtl/>
        </w:rPr>
        <w:t xml:space="preserve"> בזה.</w:t>
      </w:r>
      <w:bookmarkEnd w:id="6213"/>
      <w:r w:rsidRPr="00C93BD5">
        <w:rPr>
          <w:rStyle w:val="afb"/>
          <w:rFonts w:hint="cs"/>
          <w:rtl/>
        </w:rPr>
        <w:t xml:space="preserve"> </w:t>
      </w:r>
      <w:r w:rsidRPr="00B14800">
        <w:rPr>
          <w:rStyle w:val="afb"/>
          <w:rFonts w:hint="cs"/>
          <w:rtl/>
        </w:rPr>
        <w:t>[וכ</w:t>
      </w:r>
      <w:r>
        <w:rPr>
          <w:rStyle w:val="afb"/>
          <w:rFonts w:hint="cs"/>
          <w:rtl/>
        </w:rPr>
        <w:t xml:space="preserve">ן </w:t>
      </w:r>
      <w:r w:rsidRPr="00B14800">
        <w:rPr>
          <w:rStyle w:val="afb"/>
          <w:rFonts w:hint="cs"/>
          <w:rtl/>
        </w:rPr>
        <w:t xml:space="preserve">ביאר </w:t>
      </w:r>
      <w:r w:rsidRPr="00296713">
        <w:rPr>
          <w:rStyle w:val="affa"/>
          <w:rFonts w:hint="cs"/>
          <w:rtl/>
        </w:rPr>
        <w:t>החזון יחזקאל</w:t>
      </w:r>
      <w:r w:rsidRPr="00B14800">
        <w:rPr>
          <w:rStyle w:val="afb"/>
          <w:rFonts w:hint="cs"/>
          <w:rtl/>
        </w:rPr>
        <w:t xml:space="preserve"> </w:t>
      </w:r>
      <w:r w:rsidRPr="0029671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Ref56640856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צח)</w:t>
      </w:r>
      <w:r>
        <w:rPr>
          <w:rStyle w:val="aff6"/>
          <w:rtl/>
        </w:rPr>
        <w:fldChar w:fldCharType="end"/>
      </w:r>
      <w:r>
        <w:rPr>
          <w:rStyle w:val="aff6"/>
          <w:rFonts w:hint="cs"/>
          <w:rtl/>
        </w:rPr>
        <w:t xml:space="preserve"> </w:t>
      </w:r>
      <w:r w:rsidRPr="00B14800">
        <w:rPr>
          <w:rStyle w:val="afb"/>
          <w:rFonts w:hint="cs"/>
          <w:rtl/>
        </w:rPr>
        <w:t xml:space="preserve">בדעת </w:t>
      </w:r>
      <w:r>
        <w:rPr>
          <w:rStyle w:val="affa"/>
          <w:rFonts w:hint="cs"/>
          <w:rtl/>
        </w:rPr>
        <w:t>הרא"ש</w:t>
      </w:r>
      <w:r w:rsidRPr="00B14800">
        <w:rPr>
          <w:rStyle w:val="afb"/>
          <w:rFonts w:hint="cs"/>
          <w:rtl/>
        </w:rPr>
        <w:t>],</w:t>
      </w:r>
      <w:r w:rsidR="00A77F33">
        <w:rPr>
          <w:rFonts w:hint="cs"/>
          <w:rtl/>
        </w:rPr>
        <w:t xml:space="preserve"> </w:t>
      </w:r>
    </w:p>
    <w:p w:rsidR="00E874E8" w:rsidRDefault="00E874E8" w:rsidP="00E874E8">
      <w:pPr>
        <w:pStyle w:val="afe"/>
        <w:rPr>
          <w:rtl/>
        </w:rPr>
      </w:pPr>
      <w:bookmarkStart w:id="6223" w:name="_Toc56641081"/>
      <w:r>
        <w:rPr>
          <w:rFonts w:hint="cs"/>
          <w:rtl/>
        </w:rPr>
        <w:t>בדעת הי"מ ברמב"ן</w:t>
      </w:r>
      <w:bookmarkEnd w:id="6214"/>
      <w:bookmarkEnd w:id="6215"/>
      <w:r>
        <w:rPr>
          <w:rFonts w:hint="cs"/>
          <w:rtl/>
        </w:rPr>
        <w:t xml:space="preserve"> דהחזקה היא תקנ"ח</w:t>
      </w:r>
      <w:bookmarkEnd w:id="6216"/>
      <w:bookmarkEnd w:id="6217"/>
      <w:bookmarkEnd w:id="6218"/>
      <w:bookmarkEnd w:id="6223"/>
    </w:p>
    <w:p w:rsidR="00E874E8" w:rsidRDefault="00E874E8" w:rsidP="00E874E8">
      <w:pPr>
        <w:pStyle w:val="1"/>
        <w:rPr>
          <w:rtl/>
        </w:rPr>
      </w:pPr>
      <w:bookmarkStart w:id="6224" w:name="_Toc56630226"/>
      <w:bookmarkStart w:id="6225" w:name="_Toc56637089"/>
      <w:bookmarkStart w:id="6226" w:name="_Toc56638231"/>
      <w:bookmarkStart w:id="6227" w:name="_Toc56641082"/>
      <w:bookmarkEnd w:id="6219"/>
      <w:bookmarkEnd w:id="6220"/>
      <w:bookmarkEnd w:id="6221"/>
      <w:bookmarkEnd w:id="6222"/>
      <w:r w:rsidRPr="0091235B">
        <w:rPr>
          <w:rtl/>
        </w:rPr>
        <w:t>ביאור הגרנ"פ בי"מ ברמב"ן דגדר התקנ"ח דימחה לצורך השטר</w:t>
      </w:r>
      <w:bookmarkEnd w:id="6224"/>
      <w:bookmarkEnd w:id="6225"/>
      <w:bookmarkEnd w:id="6226"/>
      <w:bookmarkEnd w:id="6227"/>
    </w:p>
    <w:p w:rsidR="00E874E8" w:rsidRDefault="00E874E8" w:rsidP="00E874E8">
      <w:pPr>
        <w:pStyle w:val="a3"/>
      </w:pPr>
      <w:bookmarkStart w:id="6228" w:name="_Toc56630227"/>
      <w:bookmarkStart w:id="6229" w:name="_Toc56637090"/>
      <w:bookmarkStart w:id="6230" w:name="_Toc56638232"/>
      <w:bookmarkStart w:id="6231" w:name="_Toc56641083"/>
      <w:r w:rsidRPr="00DD2927">
        <w:rPr>
          <w:rtl/>
        </w:rPr>
        <w:t>ביאור הגרנ"פ בי"מ ברמב"ן דהתקנה לטובת המחזיק וגדר התקנה שימחה המערער שיזהר בשטר</w:t>
      </w:r>
      <w:bookmarkEnd w:id="6228"/>
      <w:bookmarkEnd w:id="6229"/>
      <w:bookmarkEnd w:id="6230"/>
      <w:bookmarkEnd w:id="6231"/>
    </w:p>
    <w:p w:rsidR="00E874E8" w:rsidRDefault="00E874E8" w:rsidP="007E4E81">
      <w:pPr>
        <w:pStyle w:val="a0"/>
      </w:pPr>
      <w:bookmarkStart w:id="6232" w:name="_Ref56630262"/>
      <w:r>
        <w:rPr>
          <w:rFonts w:hint="cs"/>
          <w:rtl/>
        </w:rPr>
        <w:t xml:space="preserve">במ"ש </w:t>
      </w:r>
      <w:r w:rsidRPr="00471D1F">
        <w:rPr>
          <w:rStyle w:val="af9"/>
          <w:rFonts w:hint="cs"/>
          <w:rtl/>
        </w:rPr>
        <w:t>הי"מ ברמב"ן לקמן</w:t>
      </w:r>
      <w:r>
        <w:rPr>
          <w:rFonts w:hint="cs"/>
          <w:rtl/>
        </w:rPr>
        <w:t xml:space="preserve"> </w:t>
      </w:r>
      <w:r w:rsidRPr="00471D1F">
        <w:rPr>
          <w:rStyle w:val="af7"/>
          <w:rFonts w:eastAsia="Guttman Hodes" w:hint="cs"/>
          <w:rtl/>
        </w:rPr>
        <w:t xml:space="preserve">(עי' אות </w:t>
      </w:r>
      <w:r w:rsidRPr="00471D1F">
        <w:rPr>
          <w:rStyle w:val="af7"/>
          <w:rFonts w:eastAsia="Guttman Hodes"/>
          <w:rtl/>
        </w:rPr>
        <w:fldChar w:fldCharType="begin"/>
      </w:r>
      <w:r w:rsidRPr="00471D1F">
        <w:rPr>
          <w:rStyle w:val="af7"/>
          <w:rFonts w:eastAsia="Guttman Hodes"/>
          <w:rtl/>
        </w:rPr>
        <w:instrText xml:space="preserve"> </w:instrText>
      </w:r>
      <w:r w:rsidRPr="00471D1F">
        <w:rPr>
          <w:rStyle w:val="af7"/>
          <w:rFonts w:eastAsia="Guttman Hodes" w:hint="cs"/>
        </w:rPr>
        <w:instrText>REF</w:instrText>
      </w:r>
      <w:r w:rsidRPr="00471D1F">
        <w:rPr>
          <w:rStyle w:val="af7"/>
          <w:rFonts w:eastAsia="Guttman Hodes" w:hint="cs"/>
          <w:rtl/>
        </w:rPr>
        <w:instrText xml:space="preserve"> _</w:instrText>
      </w:r>
      <w:r w:rsidRPr="00471D1F">
        <w:rPr>
          <w:rStyle w:val="af7"/>
          <w:rFonts w:eastAsia="Guttman Hodes" w:hint="cs"/>
        </w:rPr>
        <w:instrText>Ref55489907 \r \h</w:instrText>
      </w:r>
      <w:r w:rsidRPr="00471D1F">
        <w:rPr>
          <w:rStyle w:val="af7"/>
          <w:rFonts w:eastAsia="Guttman Hodes"/>
          <w:rtl/>
        </w:rPr>
        <w:instrText xml:space="preserve"> </w:instrText>
      </w:r>
      <w:r w:rsidRPr="00471D1F">
        <w:rPr>
          <w:rStyle w:val="af7"/>
          <w:rFonts w:eastAsia="Guttman Hodes"/>
          <w:rtl/>
        </w:rPr>
      </w:r>
      <w:r w:rsidRPr="00471D1F">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471D1F">
        <w:rPr>
          <w:rStyle w:val="af7"/>
          <w:rFonts w:eastAsia="Guttman Hodes"/>
          <w:rtl/>
        </w:rPr>
        <w:fldChar w:fldCharType="end"/>
      </w:r>
      <w:r>
        <w:rPr>
          <w:rFonts w:hint="cs"/>
          <w:rtl/>
        </w:rPr>
        <w:t xml:space="preserve"> דקטן שהחזיק בקרקע, אין חזקתו חזקה כיון שקטן אינו בר מחאה, וא"כ אף החזקתו אינה חזקה, דאף אם ימחה בו המערער, אין הקטן יודע להזהר בשטרו, ולכן המערער אינו מוחה בו, ביאר </w:t>
      </w:r>
      <w:r w:rsidRPr="00471D1F">
        <w:rPr>
          <w:rStyle w:val="af9"/>
          <w:rFonts w:hint="cs"/>
          <w:rtl/>
        </w:rPr>
        <w:t>בחי' רבי נחום</w:t>
      </w:r>
      <w:r>
        <w:rPr>
          <w:rFonts w:hint="cs"/>
          <w:rtl/>
        </w:rPr>
        <w:t xml:space="preserve"> </w:t>
      </w:r>
      <w:r w:rsidRPr="00471D1F">
        <w:rPr>
          <w:rStyle w:val="af7"/>
          <w:rFonts w:eastAsia="Guttman Hodes" w:hint="cs"/>
          <w:rtl/>
        </w:rPr>
        <w:t>(או' כ"ה ד"ה שיטת)</w:t>
      </w:r>
      <w:r>
        <w:rPr>
          <w:rFonts w:hint="cs"/>
          <w:rtl/>
        </w:rPr>
        <w:t xml:space="preserve"> דס"ל </w:t>
      </w:r>
      <w:r w:rsidRPr="003A547B">
        <w:rPr>
          <w:rStyle w:val="af9"/>
          <w:rFonts w:hint="cs"/>
          <w:rtl/>
        </w:rPr>
        <w:t>להי"מ ברמב"ן</w:t>
      </w:r>
      <w:r>
        <w:rPr>
          <w:rFonts w:hint="cs"/>
          <w:rtl/>
        </w:rPr>
        <w:t xml:space="preserve"> דהתקנת חכמים בחזקה היא לטובת המחזיק, וגדר התקנה היא שהמערער יצטרך למחות בכדי שיצטרך המחזיק להזהר בשטרו, ולכן ס"ל </w:t>
      </w:r>
      <w:r w:rsidRPr="00471D1F">
        <w:rPr>
          <w:rStyle w:val="af9"/>
          <w:rFonts w:hint="cs"/>
          <w:rtl/>
        </w:rPr>
        <w:t>להי"מ ברמב"ן</w:t>
      </w:r>
      <w:r>
        <w:rPr>
          <w:rFonts w:hint="cs"/>
          <w:rtl/>
        </w:rPr>
        <w:t xml:space="preserve"> דבקטן שאינו יכול למחות א"כ לא תיקנו חכמים את דין חזקת ג"ש בקרקע שלו.</w:t>
      </w:r>
      <w:bookmarkEnd w:id="6232"/>
    </w:p>
    <w:p w:rsidR="00E874E8" w:rsidRDefault="00E874E8" w:rsidP="00E874E8">
      <w:pPr>
        <w:pStyle w:val="a3"/>
        <w:rPr>
          <w:rtl/>
        </w:rPr>
      </w:pPr>
      <w:bookmarkStart w:id="6233" w:name="_Toc56630228"/>
      <w:bookmarkStart w:id="6234" w:name="_Toc56637091"/>
      <w:bookmarkStart w:id="6235" w:name="_Toc56638233"/>
      <w:bookmarkStart w:id="6236" w:name="_Toc56641084"/>
      <w:r w:rsidRPr="00DD2927">
        <w:rPr>
          <w:rtl/>
        </w:rPr>
        <w:t>ביאור הגרנ"פ בי"מ ברמב"ן דבקטן שאינו יודע להזהר בשטר לא שייך גדר תקנת החזקה</w:t>
      </w:r>
      <w:bookmarkEnd w:id="6233"/>
      <w:bookmarkEnd w:id="6234"/>
      <w:bookmarkEnd w:id="6235"/>
      <w:bookmarkEnd w:id="6236"/>
    </w:p>
    <w:p w:rsidR="00E874E8" w:rsidRDefault="00E874E8" w:rsidP="007E4E81">
      <w:pPr>
        <w:pStyle w:val="a0"/>
        <w:rPr>
          <w:rtl/>
        </w:rPr>
      </w:pPr>
      <w:r>
        <w:rPr>
          <w:rFonts w:hint="cs"/>
          <w:rtl/>
        </w:rPr>
        <w:t xml:space="preserve">ובמה שדחה </w:t>
      </w:r>
      <w:r w:rsidRPr="00471D1F">
        <w:rPr>
          <w:rStyle w:val="af9"/>
          <w:rFonts w:hint="cs"/>
          <w:rtl/>
        </w:rPr>
        <w:t>הרמב"ן לקמן</w:t>
      </w:r>
      <w:r>
        <w:rPr>
          <w:rFonts w:hint="cs"/>
          <w:rtl/>
        </w:rPr>
        <w:t xml:space="preserve"> </w:t>
      </w:r>
      <w:r w:rsidRPr="00DD2927">
        <w:rPr>
          <w:rStyle w:val="af7"/>
          <w:rFonts w:eastAsia="Guttman Rashi" w:hint="cs"/>
          <w:rtl/>
        </w:rPr>
        <w:t>(מב. ד"ה הא, הובא בסימן ה' אות</w:t>
      </w:r>
      <w:r w:rsidRPr="00DD2927">
        <w:rPr>
          <w:rStyle w:val="af7"/>
          <w:rFonts w:eastAsia="Guttman Hodes" w:hint="cs"/>
          <w:rtl/>
        </w:rPr>
        <w:t xml:space="preserve"> כ') </w:t>
      </w:r>
      <w:r>
        <w:rPr>
          <w:rFonts w:hint="cs"/>
          <w:rtl/>
        </w:rPr>
        <w:t xml:space="preserve">את דעת </w:t>
      </w:r>
      <w:r w:rsidRPr="00471D1F">
        <w:rPr>
          <w:rStyle w:val="af9"/>
          <w:rFonts w:hint="cs"/>
          <w:rtl/>
        </w:rPr>
        <w:t>הי"מ</w:t>
      </w:r>
      <w:r>
        <w:rPr>
          <w:rFonts w:hint="cs"/>
          <w:rtl/>
        </w:rPr>
        <w:t xml:space="preserve">, דהטעם של חזקת ג"ש, אינו רק מחמת דאחר ג"ש אינו נזהר בשטרו, אלא דכיון שהמערער שותק למחזיק, יש רגלים לדבר דמכר לו, ביאר </w:t>
      </w:r>
      <w:r w:rsidRPr="00471D1F">
        <w:rPr>
          <w:rStyle w:val="af9"/>
          <w:rFonts w:hint="cs"/>
          <w:rtl/>
        </w:rPr>
        <w:t>בחי' רבי נחום</w:t>
      </w:r>
      <w:r>
        <w:rPr>
          <w:rFonts w:hint="cs"/>
          <w:rtl/>
        </w:rPr>
        <w:t xml:space="preserve"> דכוונת </w:t>
      </w:r>
      <w:r w:rsidRPr="00471D1F">
        <w:rPr>
          <w:rStyle w:val="af9"/>
          <w:rFonts w:hint="cs"/>
          <w:rtl/>
        </w:rPr>
        <w:t>הרמב"ן</w:t>
      </w:r>
      <w:r>
        <w:rPr>
          <w:rFonts w:hint="cs"/>
          <w:rtl/>
        </w:rPr>
        <w:t xml:space="preserve"> לומר דהטעם של החזקה, אינו מחמת שאין המחזיק נזהר בשטר לאחר ג"ש, </w:t>
      </w:r>
      <w:r w:rsidRPr="00471D1F">
        <w:rPr>
          <w:rStyle w:val="afb"/>
          <w:rFonts w:hint="cs"/>
          <w:rtl/>
        </w:rPr>
        <w:t>[וזהו רק הגדר של החזקה],</w:t>
      </w:r>
      <w:r>
        <w:rPr>
          <w:rFonts w:hint="cs"/>
          <w:rtl/>
        </w:rPr>
        <w:t xml:space="preserve"> אבל הטעם של החזקה הוא דכיון ששתק יש ראיה שמכרה לו.</w:t>
      </w:r>
    </w:p>
    <w:p w:rsidR="00E874E8" w:rsidRDefault="00E874E8" w:rsidP="00E874E8">
      <w:pPr>
        <w:pStyle w:val="1"/>
        <w:rPr>
          <w:rtl/>
        </w:rPr>
      </w:pPr>
      <w:bookmarkStart w:id="6237" w:name="_Toc56630229"/>
      <w:bookmarkStart w:id="6238" w:name="_Toc56637092"/>
      <w:bookmarkStart w:id="6239" w:name="_Toc56638234"/>
      <w:bookmarkStart w:id="6240" w:name="_Toc56641085"/>
      <w:r>
        <w:rPr>
          <w:rFonts w:hint="cs"/>
          <w:rtl/>
        </w:rPr>
        <w:t>ביאור הקוב"ש</w:t>
      </w:r>
      <w:bookmarkEnd w:id="6237"/>
      <w:bookmarkEnd w:id="6238"/>
      <w:r>
        <w:rPr>
          <w:rFonts w:hint="cs"/>
          <w:rtl/>
        </w:rPr>
        <w:t xml:space="preserve"> בי"מ ברמב"ן דהחזקה מתקנ"ח ואין תקנ"ח בקטן</w:t>
      </w:r>
      <w:bookmarkEnd w:id="6239"/>
      <w:bookmarkEnd w:id="6240"/>
    </w:p>
    <w:p w:rsidR="00E874E8" w:rsidRPr="0091235B" w:rsidRDefault="00E874E8" w:rsidP="00E874E8">
      <w:pPr>
        <w:pStyle w:val="a3"/>
        <w:rPr>
          <w:rtl/>
        </w:rPr>
      </w:pPr>
      <w:bookmarkStart w:id="6241" w:name="_Toc56630230"/>
      <w:bookmarkStart w:id="6242" w:name="_Toc56637093"/>
      <w:bookmarkStart w:id="6243" w:name="_Toc56638235"/>
      <w:bookmarkStart w:id="6244" w:name="_Toc56641086"/>
      <w:r>
        <w:rPr>
          <w:rFonts w:hint="cs"/>
          <w:rtl/>
        </w:rPr>
        <w:t>ביאור הקוב"ש בי"מ ברמב"ן דהתקנ"ח שא"צ לשמור שטרו לעולם ולכן ס"ל דאין חזקה לקטן</w:t>
      </w:r>
      <w:bookmarkEnd w:id="6241"/>
      <w:bookmarkEnd w:id="6242"/>
      <w:bookmarkEnd w:id="6243"/>
      <w:bookmarkEnd w:id="6244"/>
    </w:p>
    <w:p w:rsidR="00E874E8" w:rsidRPr="00A47C23" w:rsidRDefault="00E874E8" w:rsidP="007E4E81">
      <w:pPr>
        <w:pStyle w:val="a0"/>
        <w:rPr>
          <w:rtl/>
        </w:rPr>
      </w:pPr>
      <w:bookmarkStart w:id="6245" w:name="_Ref56630271"/>
      <w:r>
        <w:rPr>
          <w:rFonts w:hint="cs"/>
          <w:rtl/>
        </w:rPr>
        <w:t xml:space="preserve">כתב </w:t>
      </w:r>
      <w:r w:rsidRPr="00644AFA">
        <w:rPr>
          <w:rStyle w:val="af9"/>
          <w:rFonts w:hint="cs"/>
          <w:rtl/>
        </w:rPr>
        <w:t>הקוב"ש</w:t>
      </w:r>
      <w:r>
        <w:rPr>
          <w:rFonts w:hint="cs"/>
          <w:rtl/>
        </w:rPr>
        <w:t xml:space="preserve"> </w:t>
      </w:r>
      <w:r w:rsidRPr="00F95645">
        <w:rPr>
          <w:rStyle w:val="af7"/>
          <w:rFonts w:eastAsia="Guttman Hodes"/>
          <w:rtl/>
        </w:rPr>
        <w:t>(סוף או' ק"ד)</w:t>
      </w:r>
      <w:r w:rsidRPr="00F95645">
        <w:rPr>
          <w:rtl/>
        </w:rPr>
        <w:t xml:space="preserve"> </w:t>
      </w:r>
      <w:r>
        <w:rPr>
          <w:rFonts w:hint="cs"/>
          <w:rtl/>
        </w:rPr>
        <w:t xml:space="preserve">דדעת </w:t>
      </w:r>
      <w:r w:rsidRPr="00644AFA">
        <w:rPr>
          <w:rStyle w:val="af9"/>
          <w:rFonts w:hint="cs"/>
          <w:rtl/>
        </w:rPr>
        <w:t>הסוברים</w:t>
      </w:r>
      <w:r>
        <w:rPr>
          <w:rFonts w:hint="cs"/>
          <w:rtl/>
        </w:rPr>
        <w:t xml:space="preserve"> [</w:t>
      </w:r>
      <w:r w:rsidRPr="00471D1F">
        <w:rPr>
          <w:rStyle w:val="af9"/>
          <w:rFonts w:hint="cs"/>
          <w:rtl/>
        </w:rPr>
        <w:t>הי"מ ברמב"ן לקמן</w:t>
      </w:r>
      <w:r>
        <w:rPr>
          <w:rFonts w:hint="cs"/>
          <w:rtl/>
        </w:rPr>
        <w:t xml:space="preserve"> </w:t>
      </w:r>
      <w:r w:rsidRPr="00471D1F">
        <w:rPr>
          <w:rStyle w:val="af7"/>
          <w:rFonts w:eastAsia="Guttman Hodes" w:hint="cs"/>
          <w:rtl/>
        </w:rPr>
        <w:t xml:space="preserve">(עי' אות </w:t>
      </w:r>
      <w:r w:rsidRPr="00471D1F">
        <w:rPr>
          <w:rStyle w:val="af7"/>
          <w:rFonts w:eastAsia="Guttman Hodes"/>
          <w:rtl/>
        </w:rPr>
        <w:fldChar w:fldCharType="begin"/>
      </w:r>
      <w:r w:rsidRPr="00471D1F">
        <w:rPr>
          <w:rStyle w:val="af7"/>
          <w:rFonts w:eastAsia="Guttman Hodes"/>
          <w:rtl/>
        </w:rPr>
        <w:instrText xml:space="preserve"> </w:instrText>
      </w:r>
      <w:r w:rsidRPr="00471D1F">
        <w:rPr>
          <w:rStyle w:val="af7"/>
          <w:rFonts w:eastAsia="Guttman Hodes" w:hint="cs"/>
        </w:rPr>
        <w:instrText>REF</w:instrText>
      </w:r>
      <w:r w:rsidRPr="00471D1F">
        <w:rPr>
          <w:rStyle w:val="af7"/>
          <w:rFonts w:eastAsia="Guttman Hodes" w:hint="cs"/>
          <w:rtl/>
        </w:rPr>
        <w:instrText xml:space="preserve"> _</w:instrText>
      </w:r>
      <w:r w:rsidRPr="00471D1F">
        <w:rPr>
          <w:rStyle w:val="af7"/>
          <w:rFonts w:eastAsia="Guttman Hodes" w:hint="cs"/>
        </w:rPr>
        <w:instrText>Ref55489907 \r \h</w:instrText>
      </w:r>
      <w:r w:rsidRPr="00471D1F">
        <w:rPr>
          <w:rStyle w:val="af7"/>
          <w:rFonts w:eastAsia="Guttman Hodes"/>
          <w:rtl/>
        </w:rPr>
        <w:instrText xml:space="preserve"> </w:instrText>
      </w:r>
      <w:r w:rsidRPr="00471D1F">
        <w:rPr>
          <w:rStyle w:val="af7"/>
          <w:rFonts w:eastAsia="Guttman Hodes"/>
          <w:rtl/>
        </w:rPr>
      </w:r>
      <w:r w:rsidRPr="00471D1F">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471D1F">
        <w:rPr>
          <w:rStyle w:val="af7"/>
          <w:rFonts w:eastAsia="Guttman Hodes"/>
          <w:rtl/>
        </w:rPr>
        <w:fldChar w:fldCharType="end"/>
      </w:r>
      <w:r>
        <w:rPr>
          <w:rFonts w:hint="cs"/>
          <w:rtl/>
        </w:rPr>
        <w:t xml:space="preserve">] דס"ל דטעם החזקה היא מתקנת חכמים שלא חייבו אותו לשמור את את שטרו לעולם, וא"כ שתיקת המערער אינה חלק מהחזקה, ולכן ס"ל דקטן שהחזיק בקרקע, אין חזקתו חזקה כיון שקטן אינו בר מחאה, וא"כ אף החזקתו אינה חזקה, דאף אם ימחה בו המערער, אין הקטן יודע להזהר בשטרו, ולכן המערער אינו מוחה בו, אמנם יעוי' במה שביאר </w:t>
      </w:r>
      <w:r w:rsidRPr="00B66504">
        <w:rPr>
          <w:rStyle w:val="af9"/>
          <w:rFonts w:hint="cs"/>
          <w:rtl/>
        </w:rPr>
        <w:t>הקה"י</w:t>
      </w:r>
      <w:r>
        <w:rPr>
          <w:rFonts w:hint="cs"/>
          <w:rtl/>
        </w:rPr>
        <w:t xml:space="preserve"> </w:t>
      </w:r>
      <w:r w:rsidRPr="00EF1418">
        <w:rPr>
          <w:rStyle w:val="af7"/>
          <w:rFonts w:eastAsia="Guttman Hodes" w:hint="cs"/>
          <w:rtl/>
        </w:rPr>
        <w:t>(סי' י"ח או' ה' ד"ה והנה, הובא בסימן ה' אות ק</w:t>
      </w:r>
      <w:r>
        <w:rPr>
          <w:rStyle w:val="af7"/>
          <w:rFonts w:eastAsia="Guttman Hodes" w:hint="cs"/>
          <w:rtl/>
        </w:rPr>
        <w:t>י"ז</w:t>
      </w:r>
      <w:r w:rsidRPr="00EF1418">
        <w:rPr>
          <w:rStyle w:val="af7"/>
          <w:rFonts w:eastAsia="Guttman Hodes" w:hint="cs"/>
          <w:rtl/>
        </w:rPr>
        <w:t>)</w:t>
      </w:r>
      <w:r>
        <w:rPr>
          <w:rFonts w:hint="cs"/>
          <w:rtl/>
        </w:rPr>
        <w:t xml:space="preserve"> </w:t>
      </w:r>
      <w:r>
        <w:rPr>
          <w:rStyle w:val="af9"/>
          <w:rFonts w:hint="cs"/>
          <w:rtl/>
        </w:rPr>
        <w:t>ד</w:t>
      </w:r>
      <w:r w:rsidRPr="00B66504">
        <w:rPr>
          <w:rStyle w:val="af9"/>
          <w:rFonts w:hint="cs"/>
          <w:rtl/>
        </w:rPr>
        <w:t>הי"מ ברמב"ן</w:t>
      </w:r>
      <w:r>
        <w:rPr>
          <w:rFonts w:hint="cs"/>
          <w:rtl/>
        </w:rPr>
        <w:t xml:space="preserve"> ס"ל כדעת </w:t>
      </w:r>
      <w:r w:rsidRPr="00816922">
        <w:rPr>
          <w:rStyle w:val="af9"/>
          <w:rFonts w:hint="cs"/>
          <w:rtl/>
        </w:rPr>
        <w:t>הרמב"ן</w:t>
      </w:r>
      <w:r>
        <w:rPr>
          <w:rFonts w:hint="cs"/>
          <w:rtl/>
        </w:rPr>
        <w:t xml:space="preserve"> </w:t>
      </w:r>
      <w:r w:rsidRPr="00154BD5">
        <w:rPr>
          <w:rStyle w:val="af9"/>
          <w:rFonts w:hint="cs"/>
          <w:rtl/>
        </w:rPr>
        <w:t>לקמן</w:t>
      </w:r>
      <w:r w:rsidRPr="00154BD5">
        <w:rPr>
          <w:rFonts w:hint="cs"/>
          <w:rtl/>
        </w:rPr>
        <w:t xml:space="preserve"> </w:t>
      </w:r>
      <w:r w:rsidRPr="00EF1418">
        <w:rPr>
          <w:rStyle w:val="af7"/>
          <w:rFonts w:eastAsia="Guttman Rashi" w:hint="cs"/>
          <w:rtl/>
        </w:rPr>
        <w:t>(מב. ד"ה הא, הובא בסימן ה' אות</w:t>
      </w:r>
      <w:r w:rsidRPr="00EF1418">
        <w:rPr>
          <w:rStyle w:val="af7"/>
          <w:rFonts w:eastAsia="Guttman Hodes" w:hint="cs"/>
          <w:rtl/>
        </w:rPr>
        <w:t xml:space="preserve"> ז')</w:t>
      </w:r>
      <w:r w:rsidR="00A77F33">
        <w:rPr>
          <w:rStyle w:val="af7"/>
          <w:rFonts w:eastAsia="Guttman Hodes" w:hint="cs"/>
          <w:rtl/>
        </w:rPr>
        <w:t xml:space="preserve"> </w:t>
      </w:r>
      <w:r>
        <w:rPr>
          <w:rFonts w:hint="cs"/>
          <w:rtl/>
        </w:rPr>
        <w:t>דהראיה בחזקת ג"ש היא מדלא מיחה, ונחלקו בגדר הראיה.</w:t>
      </w:r>
      <w:bookmarkEnd w:id="6245"/>
    </w:p>
    <w:p w:rsidR="002349C9" w:rsidRDefault="002349C9" w:rsidP="00E874E8">
      <w:pPr>
        <w:pStyle w:val="a3"/>
        <w:rPr>
          <w:rtl/>
        </w:rPr>
        <w:sectPr w:rsidR="002349C9" w:rsidSect="005049E2">
          <w:footerReference w:type="default" r:id="rId60"/>
          <w:type w:val="continuous"/>
          <w:pgSz w:w="11906" w:h="16838"/>
          <w:pgMar w:top="720" w:right="720" w:bottom="720" w:left="720" w:header="283" w:footer="283" w:gutter="0"/>
          <w:cols w:num="2" w:space="567"/>
          <w:titlePg/>
          <w:bidi/>
          <w:rtlGutter/>
          <w:docGrid w:linePitch="299"/>
        </w:sectPr>
      </w:pPr>
    </w:p>
    <w:p w:rsidR="00E874E8" w:rsidRDefault="00E874E8" w:rsidP="00E874E8">
      <w:pPr>
        <w:pStyle w:val="a3"/>
        <w:rPr>
          <w:rtl/>
        </w:rPr>
        <w:sectPr w:rsidR="00E874E8" w:rsidSect="005049E2">
          <w:type w:val="continuous"/>
          <w:pgSz w:w="11906" w:h="16838"/>
          <w:pgMar w:top="720" w:right="720" w:bottom="720" w:left="720" w:header="283" w:footer="283" w:gutter="0"/>
          <w:cols w:num="2" w:space="567"/>
          <w:titlePg/>
          <w:bidi/>
          <w:rtlGutter/>
          <w:docGrid w:linePitch="299"/>
        </w:sectPr>
      </w:pPr>
    </w:p>
    <w:p w:rsidR="0019070E" w:rsidRDefault="0019070E" w:rsidP="0019070E">
      <w:pPr>
        <w:pStyle w:val="afd"/>
        <w:rPr>
          <w:rtl/>
        </w:rPr>
      </w:pPr>
      <w:bookmarkStart w:id="6246" w:name="_Toc57067170"/>
      <w:bookmarkStart w:id="6247" w:name="_Toc57234502"/>
      <w:bookmarkStart w:id="6248" w:name="_Toc57236086"/>
      <w:bookmarkStart w:id="6249" w:name="_Toc57310402"/>
      <w:bookmarkStart w:id="6250" w:name="_Toc57322954"/>
      <w:bookmarkStart w:id="6251" w:name="_Toc57323063"/>
      <w:bookmarkStart w:id="6252" w:name="_Toc57370288"/>
      <w:bookmarkStart w:id="6253" w:name="_Toc57491457"/>
      <w:bookmarkStart w:id="6254" w:name="_Toc57495268"/>
      <w:bookmarkStart w:id="6255" w:name="_Toc57544410"/>
      <w:bookmarkStart w:id="6256" w:name="_Toc58184916"/>
      <w:bookmarkStart w:id="6257" w:name="_Toc66209205"/>
      <w:r w:rsidRPr="00C03D92">
        <w:rPr>
          <w:rFonts w:hint="cs"/>
          <w:rtl/>
        </w:rPr>
        <w:lastRenderedPageBreak/>
        <w:t>סימן</w:t>
      </w:r>
      <w:bookmarkEnd w:id="6246"/>
      <w:bookmarkEnd w:id="6247"/>
      <w:r w:rsidRPr="00C03D92">
        <w:rPr>
          <w:rFonts w:hint="cs"/>
          <w:rtl/>
        </w:rPr>
        <w:t xml:space="preserve"> </w:t>
      </w:r>
      <w:r>
        <w:rPr>
          <w:rFonts w:hint="cs"/>
          <w:rtl/>
        </w:rPr>
        <w:t>ז'</w:t>
      </w:r>
      <w:bookmarkEnd w:id="6248"/>
      <w:bookmarkEnd w:id="6249"/>
      <w:bookmarkEnd w:id="6250"/>
      <w:bookmarkEnd w:id="6251"/>
      <w:bookmarkEnd w:id="6252"/>
      <w:bookmarkEnd w:id="6253"/>
      <w:bookmarkEnd w:id="6254"/>
      <w:bookmarkEnd w:id="6255"/>
      <w:bookmarkEnd w:id="6256"/>
      <w:bookmarkEnd w:id="6257"/>
    </w:p>
    <w:p w:rsidR="0019070E" w:rsidRPr="00C03D92" w:rsidRDefault="0019070E" w:rsidP="0019070E">
      <w:pPr>
        <w:pStyle w:val="afd"/>
        <w:rPr>
          <w:rFonts w:ascii="FrankRuehl" w:hAnsi="FrankRuehl"/>
          <w:b/>
          <w:noProof/>
          <w:rtl/>
        </w:rPr>
      </w:pPr>
      <w:bookmarkStart w:id="6258" w:name="_Toc57236087"/>
      <w:bookmarkStart w:id="6259" w:name="_Toc57310403"/>
      <w:bookmarkStart w:id="6260" w:name="_Toc57322955"/>
      <w:bookmarkStart w:id="6261" w:name="_Toc57323064"/>
      <w:bookmarkStart w:id="6262" w:name="_Toc57370289"/>
      <w:bookmarkStart w:id="6263" w:name="_Toc57491458"/>
      <w:bookmarkStart w:id="6264" w:name="_Toc57495269"/>
      <w:bookmarkStart w:id="6265" w:name="_Toc57544411"/>
      <w:bookmarkStart w:id="6266" w:name="_Toc58184917"/>
      <w:bookmarkStart w:id="6267" w:name="_Toc66209206"/>
      <w:r>
        <w:rPr>
          <w:rFonts w:ascii="FrankRuehl" w:hAnsi="FrankRuehl" w:hint="cs"/>
          <w:b/>
          <w:noProof/>
          <w:rtl/>
        </w:rPr>
        <w:t>בסוגיא דשכוני גוואי</w:t>
      </w:r>
      <w:bookmarkEnd w:id="6258"/>
      <w:bookmarkEnd w:id="6259"/>
      <w:bookmarkEnd w:id="6260"/>
      <w:bookmarkEnd w:id="6261"/>
      <w:bookmarkEnd w:id="6262"/>
      <w:bookmarkEnd w:id="6263"/>
      <w:bookmarkEnd w:id="6264"/>
      <w:bookmarkEnd w:id="6265"/>
      <w:r w:rsidRPr="009C5EDB">
        <w:rPr>
          <w:rtl/>
        </w:rPr>
        <w:t xml:space="preserve"> </w:t>
      </w:r>
      <w:r w:rsidRPr="009C5EDB">
        <w:rPr>
          <w:rFonts w:ascii="FrankRuehl" w:hAnsi="FrankRuehl"/>
          <w:b/>
          <w:noProof/>
          <w:rtl/>
        </w:rPr>
        <w:t>ובפלוגתת רבא ור"נ בדין המוחזקות בספק בחזקת ג"ש</w:t>
      </w:r>
      <w:bookmarkEnd w:id="6266"/>
      <w:bookmarkEnd w:id="6267"/>
    </w:p>
    <w:p w:rsidR="0019070E" w:rsidRDefault="000B328B" w:rsidP="0007171D">
      <w:pPr>
        <w:pStyle w:val="aff4"/>
        <w:rPr>
          <w:rtl/>
        </w:rPr>
        <w:sectPr w:rsidR="0019070E" w:rsidSect="0019070E">
          <w:headerReference w:type="default" r:id="rId61"/>
          <w:headerReference w:type="first" r:id="rId62"/>
          <w:footerReference w:type="first" r:id="rId63"/>
          <w:pgSz w:w="11906" w:h="16838"/>
          <w:pgMar w:top="720" w:right="720" w:bottom="720" w:left="720" w:header="283" w:footer="283" w:gutter="0"/>
          <w:cols w:space="113"/>
          <w:bidi/>
          <w:rtlGutter/>
          <w:docGrid w:linePitch="299"/>
        </w:sectPr>
      </w:pPr>
      <w:r>
        <w:rPr>
          <w:rFonts w:hint="cs"/>
          <w:rtl/>
        </w:rPr>
        <w:t xml:space="preserve">~~~~~~~ תוכן הענינים ~~~~~~~ </w:t>
      </w:r>
    </w:p>
    <w:p w:rsidR="0019070E" w:rsidRDefault="0019070E" w:rsidP="0019070E">
      <w:pPr>
        <w:pStyle w:val="2"/>
        <w:rPr>
          <w:rFonts w:eastAsiaTheme="minorEastAsia" w:cstheme="minorBidi"/>
          <w:i/>
          <w:iCs/>
          <w:sz w:val="22"/>
          <w:szCs w:val="22"/>
          <w:rtl/>
        </w:rPr>
      </w:pPr>
      <w:r>
        <w:rPr>
          <w:rFonts w:asciiTheme="minorHAnsi" w:eastAsiaTheme="minorHAnsi" w:hAnsiTheme="minorHAnsi" w:cstheme="minorHAnsi"/>
          <w:i/>
          <w:iCs/>
          <w:noProof w:val="0"/>
          <w:sz w:val="20"/>
          <w:szCs w:val="20"/>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Theme="minorHAnsi" w:eastAsiaTheme="minorHAnsi" w:hAnsiTheme="minorHAnsi" w:cstheme="minorHAnsi"/>
          <w:i/>
          <w:iCs/>
          <w:noProof w:val="0"/>
          <w:sz w:val="20"/>
          <w:szCs w:val="20"/>
          <w:rtl/>
        </w:rPr>
        <w:fldChar w:fldCharType="separate"/>
      </w:r>
      <w:r>
        <w:rPr>
          <w:rtl/>
        </w:rPr>
        <w:t>דעת הרשב"ם דטוען שדר בבית הפנימי</w:t>
      </w:r>
    </w:p>
    <w:p w:rsidR="0019070E" w:rsidRDefault="0019070E" w:rsidP="0007171D">
      <w:pPr>
        <w:pStyle w:val="aff4"/>
        <w:rPr>
          <w:rFonts w:eastAsiaTheme="minorEastAsia" w:cstheme="minorBidi"/>
          <w:i/>
          <w:iCs/>
          <w:noProof/>
          <w:sz w:val="22"/>
          <w:szCs w:val="22"/>
          <w:rtl/>
        </w:rPr>
      </w:pPr>
      <w:r>
        <w:rPr>
          <w:noProof/>
          <w:rtl/>
        </w:rPr>
        <w:t>דברי הרשב"ם דטוען שדר בפנימי ויצא דרך החיצון וא"צ למחות</w:t>
      </w:r>
    </w:p>
    <w:p w:rsidR="0019070E" w:rsidRPr="007E4E81" w:rsidRDefault="0019070E" w:rsidP="00BA3263">
      <w:pPr>
        <w:pStyle w:val="a"/>
        <w:numPr>
          <w:ilvl w:val="0"/>
          <w:numId w:val="15"/>
        </w:numPr>
        <w:rPr>
          <w:rFonts w:eastAsiaTheme="minorEastAsia" w:cstheme="minorBidi"/>
          <w:sz w:val="22"/>
          <w:szCs w:val="22"/>
          <w:rtl/>
        </w:rPr>
      </w:pPr>
      <w:r>
        <w:rPr>
          <w:rtl/>
        </w:rPr>
        <w:t>ביאור הרשב"ם דטוען המערער שהיה דר בבית הפנימי ויוצא דרך בית המחזיק ולכן לא מחה</w:t>
      </w:r>
    </w:p>
    <w:p w:rsidR="0019070E" w:rsidRDefault="0019070E" w:rsidP="007E4E81">
      <w:pPr>
        <w:pStyle w:val="a"/>
        <w:rPr>
          <w:rFonts w:eastAsiaTheme="minorEastAsia" w:cstheme="minorBidi"/>
          <w:sz w:val="22"/>
          <w:szCs w:val="22"/>
          <w:rtl/>
        </w:rPr>
      </w:pPr>
      <w:r>
        <w:rPr>
          <w:rtl/>
        </w:rPr>
        <w:t>דברי הרשב"ם דטענת המחזיק דקנה מהמר"ק ויש לו חזקה וכיון שלא מחה בו לא נזהר בשטר</w:t>
      </w:r>
    </w:p>
    <w:p w:rsidR="0019070E" w:rsidRDefault="0019070E" w:rsidP="007E4E81">
      <w:pPr>
        <w:pStyle w:val="a"/>
        <w:rPr>
          <w:rFonts w:eastAsiaTheme="minorEastAsia" w:cstheme="minorBidi"/>
          <w:sz w:val="22"/>
          <w:szCs w:val="22"/>
          <w:rtl/>
        </w:rPr>
      </w:pPr>
      <w:r>
        <w:rPr>
          <w:rtl/>
        </w:rPr>
        <w:t>ביאור הרשב"ם הקצר דטענת המערער דאין לך מחאה גדולה מזו דאי מכר לו היה לו דרך בו</w:t>
      </w:r>
    </w:p>
    <w:p w:rsidR="0019070E" w:rsidRDefault="0019070E" w:rsidP="007E4E81">
      <w:pPr>
        <w:pStyle w:val="a"/>
        <w:rPr>
          <w:rFonts w:eastAsiaTheme="minorEastAsia" w:cstheme="minorBidi"/>
          <w:sz w:val="22"/>
          <w:szCs w:val="22"/>
          <w:rtl/>
        </w:rPr>
      </w:pPr>
      <w:r>
        <w:rPr>
          <w:rtl/>
        </w:rPr>
        <w:t>ביאור הרשב"ם הקצר דדרך חשיבא כמחאה דקיי"ל כר"ע דאינו משייר דרך לעצמו ולא לרבנן</w:t>
      </w:r>
    </w:p>
    <w:p w:rsidR="0019070E" w:rsidRDefault="0019070E" w:rsidP="0007171D">
      <w:pPr>
        <w:pStyle w:val="aff4"/>
        <w:rPr>
          <w:rFonts w:eastAsiaTheme="minorEastAsia" w:cstheme="minorBidi"/>
          <w:i/>
          <w:iCs/>
          <w:noProof/>
          <w:sz w:val="22"/>
          <w:szCs w:val="22"/>
          <w:rtl/>
        </w:rPr>
      </w:pPr>
      <w:r>
        <w:rPr>
          <w:noProof/>
          <w:rtl/>
        </w:rPr>
        <w:t>ביאור התוס' דיש עדים למערער אך אין יודעים מהיכן יצא</w:t>
      </w:r>
    </w:p>
    <w:p w:rsidR="0019070E" w:rsidRDefault="0019070E" w:rsidP="007E4E81">
      <w:pPr>
        <w:pStyle w:val="a"/>
        <w:rPr>
          <w:rFonts w:eastAsiaTheme="minorEastAsia" w:cstheme="minorBidi"/>
          <w:sz w:val="22"/>
          <w:szCs w:val="22"/>
          <w:rtl/>
        </w:rPr>
      </w:pPr>
      <w:r>
        <w:rPr>
          <w:rtl/>
        </w:rPr>
        <w:t>ביאור התוס' והרא"ש דיש עדים שדר בפנימי אך אינם יודעים אם עבר דבלא"ה ודאי דהוי חזקה</w:t>
      </w:r>
    </w:p>
    <w:p w:rsidR="0019070E" w:rsidRDefault="0019070E" w:rsidP="007E4E81">
      <w:pPr>
        <w:pStyle w:val="a"/>
        <w:rPr>
          <w:rFonts w:eastAsiaTheme="minorEastAsia" w:cstheme="minorBidi"/>
          <w:sz w:val="22"/>
          <w:szCs w:val="22"/>
          <w:rtl/>
        </w:rPr>
      </w:pPr>
      <w:r>
        <w:rPr>
          <w:rtl/>
        </w:rPr>
        <w:t>ביאור התו</w:t>
      </w:r>
      <w:r>
        <w:rPr>
          <w:rFonts w:hint="cs"/>
          <w:rtl/>
        </w:rPr>
        <w:t xml:space="preserve">ס' </w:t>
      </w:r>
      <w:r>
        <w:rPr>
          <w:rtl/>
        </w:rPr>
        <w:t>רי"ד דיש עדים שדר בפנימי דאל"ה בכל חזקה בעולם יטען המערער כן</w:t>
      </w:r>
    </w:p>
    <w:p w:rsidR="0019070E" w:rsidRDefault="0019070E" w:rsidP="0007171D">
      <w:pPr>
        <w:pStyle w:val="aff4"/>
        <w:rPr>
          <w:rFonts w:eastAsiaTheme="minorEastAsia" w:cstheme="minorBidi"/>
          <w:i/>
          <w:iCs/>
          <w:noProof/>
          <w:sz w:val="22"/>
          <w:szCs w:val="22"/>
          <w:rtl/>
        </w:rPr>
      </w:pPr>
      <w:r>
        <w:rPr>
          <w:noProof/>
          <w:rtl/>
        </w:rPr>
        <w:t>דברי המהרי"ט דהעברת דרך היא רק מחאה ולא ביטול חזקה</w:t>
      </w:r>
    </w:p>
    <w:p w:rsidR="0019070E" w:rsidRDefault="0019070E" w:rsidP="007E4E81">
      <w:pPr>
        <w:pStyle w:val="a"/>
        <w:rPr>
          <w:rFonts w:eastAsiaTheme="minorEastAsia" w:cstheme="minorBidi"/>
          <w:sz w:val="22"/>
          <w:szCs w:val="22"/>
          <w:rtl/>
        </w:rPr>
      </w:pPr>
      <w:r>
        <w:rPr>
          <w:rtl/>
        </w:rPr>
        <w:t>ביאור המהרי"ט ברשב"ם דדרך היא מחאה ובמקום שלא היה צריך למחות אינה מבטלת חזקה</w:t>
      </w:r>
    </w:p>
    <w:p w:rsidR="0019070E" w:rsidRDefault="0019070E" w:rsidP="0007171D">
      <w:pPr>
        <w:pStyle w:val="aff4"/>
        <w:rPr>
          <w:rFonts w:eastAsiaTheme="minorEastAsia" w:cstheme="minorBidi"/>
          <w:i/>
          <w:iCs/>
          <w:noProof/>
          <w:sz w:val="22"/>
          <w:szCs w:val="22"/>
          <w:rtl/>
        </w:rPr>
      </w:pPr>
      <w:r>
        <w:rPr>
          <w:noProof/>
          <w:rtl/>
        </w:rPr>
        <w:t>קושיות הראשונים על הרשב"ם דדרך לא מבטלת חזקה</w:t>
      </w:r>
    </w:p>
    <w:p w:rsidR="0019070E" w:rsidRDefault="0019070E" w:rsidP="007E4E81">
      <w:pPr>
        <w:pStyle w:val="a"/>
        <w:rPr>
          <w:rFonts w:eastAsiaTheme="minorEastAsia" w:cstheme="minorBidi"/>
          <w:sz w:val="22"/>
          <w:szCs w:val="22"/>
          <w:rtl/>
        </w:rPr>
      </w:pPr>
      <w:r>
        <w:rPr>
          <w:rtl/>
        </w:rPr>
        <w:t xml:space="preserve">קושית </w:t>
      </w:r>
      <w:r>
        <w:rPr>
          <w:rFonts w:hint="cs"/>
          <w:rtl/>
        </w:rPr>
        <w:t>הרמב"ן</w:t>
      </w:r>
      <w:r>
        <w:rPr>
          <w:rtl/>
        </w:rPr>
        <w:t xml:space="preserve"> על הרשב"ם דהעברת דרך לא מבטלת חזקה דאדם עשוי לשייר דרך לעצמו</w:t>
      </w:r>
    </w:p>
    <w:p w:rsidR="0019070E" w:rsidRDefault="0019070E" w:rsidP="007E4E81">
      <w:pPr>
        <w:pStyle w:val="a"/>
        <w:rPr>
          <w:rFonts w:eastAsiaTheme="minorEastAsia" w:cstheme="minorBidi"/>
          <w:sz w:val="22"/>
          <w:szCs w:val="22"/>
          <w:rtl/>
        </w:rPr>
      </w:pPr>
      <w:r>
        <w:rPr>
          <w:rtl/>
        </w:rPr>
        <w:t>קושית הרשב"א על הרשב"ם דלעולם לא שייך להחזיק בבית החיצון או בשייר דרך</w:t>
      </w:r>
    </w:p>
    <w:p w:rsidR="0019070E" w:rsidRDefault="0019070E" w:rsidP="007E4E81">
      <w:pPr>
        <w:pStyle w:val="a"/>
        <w:rPr>
          <w:rFonts w:eastAsiaTheme="minorEastAsia" w:cstheme="minorBidi"/>
          <w:sz w:val="22"/>
          <w:szCs w:val="22"/>
          <w:rtl/>
        </w:rPr>
      </w:pPr>
      <w:r>
        <w:rPr>
          <w:rtl/>
        </w:rPr>
        <w:t>קושית הנימוק"י דהחיצון דר בפנ"ע והדרך אינה מבטלת חזקה דאל"ה א"א לקנות בשייר דרך</w:t>
      </w:r>
    </w:p>
    <w:p w:rsidR="0019070E" w:rsidRDefault="0019070E" w:rsidP="007E4E81">
      <w:pPr>
        <w:pStyle w:val="a"/>
        <w:rPr>
          <w:rFonts w:eastAsiaTheme="minorEastAsia" w:cstheme="minorBidi"/>
          <w:sz w:val="22"/>
          <w:szCs w:val="22"/>
          <w:rtl/>
        </w:rPr>
      </w:pPr>
      <w:r>
        <w:rPr>
          <w:rtl/>
        </w:rPr>
        <w:t>תירוץ הריטב"א דהיה למערער דרך אחרת וכשיצא מהחיצון מחה ודחה הריטבא דיתכן ששייר</w:t>
      </w:r>
    </w:p>
    <w:p w:rsidR="0019070E" w:rsidRDefault="0019070E" w:rsidP="007E4E81">
      <w:pPr>
        <w:pStyle w:val="a"/>
        <w:rPr>
          <w:rFonts w:eastAsiaTheme="minorEastAsia" w:cstheme="minorBidi"/>
          <w:sz w:val="22"/>
          <w:szCs w:val="22"/>
          <w:rtl/>
        </w:rPr>
      </w:pPr>
      <w:r>
        <w:rPr>
          <w:rtl/>
        </w:rPr>
        <w:t>ביאור הב"ח ברשב"ם דדרך מבטלת חזקה דכל ששייר דרך לעולם צריך לשמור את שטרו</w:t>
      </w:r>
    </w:p>
    <w:p w:rsidR="0019070E" w:rsidRDefault="0019070E" w:rsidP="007E4E81">
      <w:pPr>
        <w:pStyle w:val="a"/>
        <w:rPr>
          <w:rFonts w:eastAsiaTheme="minorEastAsia" w:cstheme="minorBidi"/>
          <w:sz w:val="22"/>
          <w:szCs w:val="22"/>
          <w:rtl/>
        </w:rPr>
      </w:pPr>
      <w:r>
        <w:rPr>
          <w:rtl/>
        </w:rPr>
        <w:t>ביאור הט"ז ברשב"ם דעל המחזיק להוכיח שלא שייר דרך ובעבר בחלק מהבית הוי מחאה בכולו</w:t>
      </w:r>
    </w:p>
    <w:p w:rsidR="0019070E" w:rsidRDefault="0019070E" w:rsidP="007E4E81">
      <w:pPr>
        <w:pStyle w:val="a"/>
        <w:rPr>
          <w:rFonts w:eastAsiaTheme="minorEastAsia" w:cstheme="minorBidi"/>
          <w:sz w:val="22"/>
          <w:szCs w:val="22"/>
          <w:rtl/>
        </w:rPr>
      </w:pPr>
      <w:r>
        <w:rPr>
          <w:rtl/>
        </w:rPr>
        <w:t>קושית הרמב"ן על הרשב"ם דהאיך אמר רבא דהוא מוחזק הא כשהמערער דר עמו אי"ז חזקה</w:t>
      </w:r>
    </w:p>
    <w:p w:rsidR="0019070E" w:rsidRDefault="0019070E" w:rsidP="007E4E81">
      <w:pPr>
        <w:pStyle w:val="a"/>
        <w:rPr>
          <w:rFonts w:eastAsiaTheme="minorEastAsia" w:cstheme="minorBidi"/>
          <w:sz w:val="22"/>
          <w:szCs w:val="22"/>
          <w:rtl/>
        </w:rPr>
      </w:pPr>
      <w:r>
        <w:rPr>
          <w:rtl/>
        </w:rPr>
        <w:t>קושיות הרמב"ן דלשון שיכוני גוואי משמע שהיה שם תמיד וגי' הגמ' אינה כהרשב"ם</w:t>
      </w:r>
    </w:p>
    <w:p w:rsidR="0019070E" w:rsidRDefault="0019070E" w:rsidP="0019070E">
      <w:pPr>
        <w:pStyle w:val="2"/>
        <w:rPr>
          <w:rFonts w:eastAsiaTheme="minorEastAsia" w:cstheme="minorBidi"/>
          <w:i/>
          <w:iCs/>
          <w:sz w:val="22"/>
          <w:szCs w:val="22"/>
          <w:rtl/>
        </w:rPr>
      </w:pPr>
      <w:r>
        <w:rPr>
          <w:rtl/>
        </w:rPr>
        <w:t>דברי הראשונים אי עבר דרך או השתמש</w:t>
      </w:r>
    </w:p>
    <w:p w:rsidR="0019070E" w:rsidRDefault="0019070E" w:rsidP="0007171D">
      <w:pPr>
        <w:pStyle w:val="aff4"/>
        <w:rPr>
          <w:rFonts w:eastAsiaTheme="minorEastAsia" w:cstheme="minorBidi"/>
          <w:i/>
          <w:iCs/>
          <w:noProof/>
          <w:sz w:val="22"/>
          <w:szCs w:val="22"/>
          <w:rtl/>
        </w:rPr>
      </w:pPr>
      <w:r>
        <w:rPr>
          <w:noProof/>
          <w:rtl/>
        </w:rPr>
        <w:t>דעת המהר"ם מרוטנבורג דהשימוש של הפנימי דחה את החיצון</w:t>
      </w:r>
    </w:p>
    <w:p w:rsidR="0019070E" w:rsidRDefault="0019070E" w:rsidP="007E4E81">
      <w:pPr>
        <w:pStyle w:val="a"/>
        <w:rPr>
          <w:rFonts w:eastAsiaTheme="minorEastAsia" w:cstheme="minorBidi"/>
          <w:sz w:val="22"/>
          <w:szCs w:val="22"/>
          <w:rtl/>
        </w:rPr>
      </w:pPr>
      <w:r>
        <w:rPr>
          <w:rtl/>
        </w:rPr>
        <w:t xml:space="preserve">ביאור המהר"ם </w:t>
      </w:r>
      <w:r w:rsidRPr="00F24E7C">
        <w:rPr>
          <w:rtl/>
        </w:rPr>
        <w:t>מרוטנבורג דהמערער היה משתמש בחיצון והמחזיק נדחה מפניו ולכן לא מחה</w:t>
      </w:r>
    </w:p>
    <w:p w:rsidR="0019070E" w:rsidRDefault="0019070E" w:rsidP="007E4E81">
      <w:pPr>
        <w:pStyle w:val="a"/>
        <w:rPr>
          <w:rFonts w:eastAsiaTheme="minorEastAsia" w:cstheme="minorBidi"/>
          <w:sz w:val="22"/>
          <w:szCs w:val="22"/>
          <w:rtl/>
        </w:rPr>
      </w:pPr>
      <w:r>
        <w:rPr>
          <w:rtl/>
        </w:rPr>
        <w:t>ביאור הסמ"ע והב"ח במהר"ם מרוטנבורג דדרך ושימוש לא מבטל חזקה ורק נדחה מפניו מבטל</w:t>
      </w:r>
    </w:p>
    <w:p w:rsidR="0019070E" w:rsidRDefault="0019070E" w:rsidP="007E4E81">
      <w:pPr>
        <w:pStyle w:val="a"/>
        <w:rPr>
          <w:rFonts w:eastAsiaTheme="minorEastAsia" w:cstheme="minorBidi"/>
          <w:sz w:val="22"/>
          <w:szCs w:val="22"/>
          <w:rtl/>
        </w:rPr>
      </w:pPr>
      <w:r>
        <w:rPr>
          <w:rtl/>
        </w:rPr>
        <w:t>דברי הדרכ"מ דהנימוק"י ס"ל כמהר"ם מרוטנבורג דדרך אינה מבטלת ורק נדחה מפניו מבטל</w:t>
      </w:r>
    </w:p>
    <w:p w:rsidR="0019070E" w:rsidRDefault="0019070E" w:rsidP="0007171D">
      <w:pPr>
        <w:pStyle w:val="aff4"/>
        <w:rPr>
          <w:rFonts w:eastAsiaTheme="minorEastAsia" w:cstheme="minorBidi"/>
          <w:i/>
          <w:iCs/>
          <w:noProof/>
          <w:sz w:val="22"/>
          <w:szCs w:val="22"/>
          <w:rtl/>
        </w:rPr>
      </w:pPr>
      <w:r>
        <w:rPr>
          <w:noProof/>
          <w:rtl/>
        </w:rPr>
        <w:t>דעת רבינו גרשום דהחיצון לא השתמש בבית יותר מהפנימי</w:t>
      </w:r>
    </w:p>
    <w:p w:rsidR="0019070E" w:rsidRDefault="0019070E" w:rsidP="007E4E81">
      <w:pPr>
        <w:pStyle w:val="a"/>
        <w:rPr>
          <w:rFonts w:eastAsiaTheme="minorEastAsia" w:cstheme="minorBidi"/>
          <w:sz w:val="22"/>
          <w:szCs w:val="22"/>
          <w:rtl/>
        </w:rPr>
      </w:pPr>
      <w:r>
        <w:rPr>
          <w:rtl/>
        </w:rPr>
        <w:t>ביאור רבינו גרשום דטענת המערער היה בבית הפנימי והמחזיק לא השתמש בבית יותר ממנו</w:t>
      </w:r>
    </w:p>
    <w:p w:rsidR="0019070E" w:rsidRDefault="0019070E" w:rsidP="0019070E">
      <w:pPr>
        <w:pStyle w:val="2"/>
        <w:rPr>
          <w:rFonts w:eastAsiaTheme="minorEastAsia" w:cstheme="minorBidi"/>
          <w:i/>
          <w:iCs/>
          <w:sz w:val="22"/>
          <w:szCs w:val="22"/>
          <w:rtl/>
        </w:rPr>
      </w:pPr>
      <w:r>
        <w:rPr>
          <w:rtl/>
        </w:rPr>
        <w:t>בד' הרשב"ם אי רק עבר דרך או השתמש</w:t>
      </w:r>
    </w:p>
    <w:p w:rsidR="0019070E" w:rsidRDefault="0019070E" w:rsidP="0007171D">
      <w:pPr>
        <w:pStyle w:val="aff4"/>
        <w:rPr>
          <w:rFonts w:eastAsiaTheme="minorEastAsia" w:cstheme="minorBidi"/>
          <w:i/>
          <w:iCs/>
          <w:noProof/>
          <w:sz w:val="22"/>
          <w:szCs w:val="22"/>
          <w:rtl/>
        </w:rPr>
      </w:pPr>
      <w:r>
        <w:rPr>
          <w:noProof/>
          <w:rtl/>
        </w:rPr>
        <w:t>ביאור הב"ח והסמ"ע ברשב"ם אי עבר עליו או גם השתמש עמו</w:t>
      </w:r>
    </w:p>
    <w:p w:rsidR="0019070E" w:rsidRDefault="0019070E" w:rsidP="007E4E81">
      <w:pPr>
        <w:pStyle w:val="a"/>
        <w:rPr>
          <w:rFonts w:eastAsiaTheme="minorEastAsia" w:cstheme="minorBidi"/>
          <w:sz w:val="22"/>
          <w:szCs w:val="22"/>
          <w:rtl/>
        </w:rPr>
      </w:pPr>
      <w:r>
        <w:rPr>
          <w:rtl/>
        </w:rPr>
        <w:t>דברי הסמ"ע דברשב"ם משמע דמשתמש עם החיצון אך ברא"ש ובנימוק"י משמע שיש רק דרך</w:t>
      </w:r>
    </w:p>
    <w:p w:rsidR="0019070E" w:rsidRDefault="0019070E" w:rsidP="0007171D">
      <w:pPr>
        <w:pStyle w:val="aff4"/>
        <w:rPr>
          <w:rFonts w:eastAsiaTheme="minorEastAsia" w:cstheme="minorBidi"/>
          <w:i/>
          <w:iCs/>
          <w:noProof/>
          <w:sz w:val="22"/>
          <w:szCs w:val="22"/>
          <w:rtl/>
        </w:rPr>
      </w:pPr>
      <w:r>
        <w:rPr>
          <w:noProof/>
          <w:rtl/>
        </w:rPr>
        <w:t>ביאור הב"ח בתשו' ברשב"ם ובקושיות הרמב"ן על הרשב"ם</w:t>
      </w:r>
    </w:p>
    <w:p w:rsidR="0019070E" w:rsidRDefault="0019070E" w:rsidP="007E4E81">
      <w:pPr>
        <w:pStyle w:val="a"/>
        <w:rPr>
          <w:rFonts w:eastAsiaTheme="minorEastAsia" w:cstheme="minorBidi"/>
          <w:sz w:val="22"/>
          <w:szCs w:val="22"/>
          <w:rtl/>
        </w:rPr>
      </w:pPr>
      <w:r>
        <w:rPr>
          <w:rtl/>
        </w:rPr>
        <w:t>ביאור הב"ח בנימוק"י דפשיטא דהעברת דרך אינה מבטלת חזקה ודלא כקו' הב' ברמב"ן</w:t>
      </w:r>
    </w:p>
    <w:p w:rsidR="0019070E" w:rsidRDefault="0019070E" w:rsidP="007E4E81">
      <w:pPr>
        <w:pStyle w:val="a"/>
        <w:rPr>
          <w:rFonts w:eastAsiaTheme="minorEastAsia" w:cstheme="minorBidi"/>
          <w:sz w:val="22"/>
          <w:szCs w:val="22"/>
          <w:rtl/>
        </w:rPr>
      </w:pPr>
      <w:r>
        <w:rPr>
          <w:rtl/>
        </w:rPr>
        <w:t>ביאור הב"ח דמספקא לרמב"ן אי כוונת הרשב"ם דעבר דרך או שגם השתמש בבית החיצון</w:t>
      </w:r>
    </w:p>
    <w:p w:rsidR="0019070E" w:rsidRDefault="0019070E" w:rsidP="007E4E81">
      <w:pPr>
        <w:pStyle w:val="a"/>
        <w:rPr>
          <w:rFonts w:eastAsiaTheme="minorEastAsia" w:cstheme="minorBidi"/>
          <w:sz w:val="22"/>
          <w:szCs w:val="22"/>
          <w:rtl/>
        </w:rPr>
      </w:pPr>
      <w:r>
        <w:rPr>
          <w:rtl/>
        </w:rPr>
        <w:t>ביאור הב"ח דהקו' הא' ברמב"ן להצד ברשב"ם דדרך מבטלת והקו' הב' להצד דשימוש מבטל</w:t>
      </w:r>
    </w:p>
    <w:p w:rsidR="0019070E" w:rsidRDefault="0019070E" w:rsidP="007E4E81">
      <w:pPr>
        <w:pStyle w:val="a"/>
        <w:rPr>
          <w:rFonts w:eastAsiaTheme="minorEastAsia" w:cstheme="minorBidi"/>
          <w:sz w:val="22"/>
          <w:szCs w:val="22"/>
          <w:rtl/>
        </w:rPr>
      </w:pPr>
      <w:r>
        <w:rPr>
          <w:rtl/>
        </w:rPr>
        <w:t>ביאור הב"ח ברמב"ן דהקשה בממה נפשך לב' הצדדים ברשב"ם אי דרך מבטלת או שימוש</w:t>
      </w:r>
    </w:p>
    <w:p w:rsidR="0019070E" w:rsidRDefault="0019070E" w:rsidP="007E4E81">
      <w:pPr>
        <w:pStyle w:val="a"/>
        <w:rPr>
          <w:rFonts w:eastAsiaTheme="minorEastAsia" w:cstheme="minorBidi"/>
          <w:sz w:val="22"/>
          <w:szCs w:val="22"/>
          <w:rtl/>
        </w:rPr>
      </w:pPr>
      <w:r>
        <w:rPr>
          <w:rtl/>
        </w:rPr>
        <w:t>תירוץ הב"ח דבדרך היה מעביר משאות וחשיב שימוש אך ס"ל לרבא דאינו מבטל את החזקה</w:t>
      </w:r>
    </w:p>
    <w:p w:rsidR="0019070E" w:rsidRDefault="0019070E" w:rsidP="007E4E81">
      <w:pPr>
        <w:pStyle w:val="a"/>
        <w:rPr>
          <w:rFonts w:eastAsiaTheme="minorEastAsia" w:cstheme="minorBidi"/>
          <w:sz w:val="22"/>
          <w:szCs w:val="22"/>
          <w:rtl/>
        </w:rPr>
      </w:pPr>
      <w:r>
        <w:rPr>
          <w:rtl/>
        </w:rPr>
        <w:t>תירוץ הב"ח דאינו כשייר דרך דבבית אחד הדרך היא ראיה שלא מכר לו ולא חילק את הבית</w:t>
      </w:r>
    </w:p>
    <w:p w:rsidR="0019070E" w:rsidRDefault="0019070E" w:rsidP="0007171D">
      <w:pPr>
        <w:pStyle w:val="aff4"/>
        <w:rPr>
          <w:rFonts w:eastAsiaTheme="minorEastAsia" w:cstheme="minorBidi"/>
          <w:i/>
          <w:iCs/>
          <w:noProof/>
          <w:sz w:val="22"/>
          <w:szCs w:val="22"/>
          <w:rtl/>
        </w:rPr>
      </w:pPr>
      <w:r>
        <w:rPr>
          <w:noProof/>
          <w:rtl/>
        </w:rPr>
        <w:t>דברי הקצוה"ח דרבא ור"נ פליגי בכל ספק ולא בהעברת דרך</w:t>
      </w:r>
    </w:p>
    <w:p w:rsidR="0019070E" w:rsidRDefault="0019070E" w:rsidP="007E4E81">
      <w:pPr>
        <w:pStyle w:val="a"/>
        <w:rPr>
          <w:rFonts w:eastAsiaTheme="minorEastAsia" w:cstheme="minorBidi"/>
          <w:sz w:val="22"/>
          <w:szCs w:val="22"/>
          <w:rtl/>
        </w:rPr>
      </w:pPr>
      <w:r>
        <w:rPr>
          <w:rtl/>
        </w:rPr>
        <w:t>דברי הקצוה"ח דרבא לא נחלק על ר"נ בדין חזקה בהעברת דרך אלא רק על מי להביא ראיה</w:t>
      </w:r>
    </w:p>
    <w:p w:rsidR="0019070E" w:rsidRDefault="0019070E" w:rsidP="007E4E81">
      <w:pPr>
        <w:pStyle w:val="a"/>
        <w:rPr>
          <w:rFonts w:eastAsiaTheme="minorEastAsia" w:cstheme="minorBidi"/>
          <w:sz w:val="22"/>
          <w:szCs w:val="22"/>
          <w:rtl/>
        </w:rPr>
      </w:pPr>
      <w:r>
        <w:rPr>
          <w:rtl/>
        </w:rPr>
        <w:t>דברי הקצוה"ח דהרמב"ן לא הקשה בדרך ממה נפשך אלא דכיון שיש לו דרך ל"ה אף לרבא</w:t>
      </w:r>
    </w:p>
    <w:p w:rsidR="0019070E" w:rsidRDefault="0019070E" w:rsidP="007E4E81">
      <w:pPr>
        <w:pStyle w:val="a"/>
        <w:rPr>
          <w:rFonts w:eastAsiaTheme="minorEastAsia" w:cstheme="minorBidi"/>
          <w:sz w:val="22"/>
          <w:szCs w:val="22"/>
          <w:rtl/>
        </w:rPr>
      </w:pPr>
      <w:r>
        <w:rPr>
          <w:rtl/>
        </w:rPr>
        <w:t>הוכחת הקצוה"ח דרבא מודה לר"נ בעיקר החזקה ונחלק רק בראיה מהא דמקשה הגמ' מבר סיסין</w:t>
      </w:r>
    </w:p>
    <w:p w:rsidR="0019070E" w:rsidRDefault="0019070E" w:rsidP="007E4E81">
      <w:pPr>
        <w:pStyle w:val="a"/>
        <w:rPr>
          <w:rFonts w:eastAsiaTheme="minorEastAsia" w:cstheme="minorBidi"/>
          <w:sz w:val="22"/>
          <w:szCs w:val="22"/>
          <w:rtl/>
        </w:rPr>
      </w:pPr>
      <w:r>
        <w:rPr>
          <w:rtl/>
        </w:rPr>
        <w:t>דברי הקצוה"ח דרבא ור"נ נחלקו בכל ספק בחזקה האם המערער צריך לברר או המחזיק</w:t>
      </w:r>
    </w:p>
    <w:p w:rsidR="0019070E" w:rsidRDefault="0019070E" w:rsidP="0007171D">
      <w:pPr>
        <w:pStyle w:val="aff4"/>
        <w:rPr>
          <w:rFonts w:eastAsiaTheme="minorEastAsia" w:cstheme="minorBidi"/>
          <w:i/>
          <w:iCs/>
          <w:noProof/>
          <w:sz w:val="22"/>
          <w:szCs w:val="22"/>
          <w:rtl/>
        </w:rPr>
      </w:pPr>
      <w:r>
        <w:rPr>
          <w:noProof/>
          <w:rtl/>
        </w:rPr>
        <w:t xml:space="preserve">ביאור החת"ס </w:t>
      </w:r>
      <w:r>
        <w:rPr>
          <w:rFonts w:hint="cs"/>
          <w:noProof/>
          <w:rtl/>
        </w:rPr>
        <w:t xml:space="preserve">בב"ח </w:t>
      </w:r>
      <w:r>
        <w:rPr>
          <w:noProof/>
          <w:rtl/>
        </w:rPr>
        <w:t>ב</w:t>
      </w:r>
      <w:r>
        <w:rPr>
          <w:rFonts w:hint="cs"/>
          <w:noProof/>
          <w:rtl/>
        </w:rPr>
        <w:t>תי' ה</w:t>
      </w:r>
      <w:r>
        <w:rPr>
          <w:noProof/>
          <w:rtl/>
        </w:rPr>
        <w:t xml:space="preserve">רשב"ם </w:t>
      </w:r>
      <w:r>
        <w:rPr>
          <w:rFonts w:hint="cs"/>
          <w:noProof/>
          <w:rtl/>
        </w:rPr>
        <w:t>על ב' הקושיות של הרמב"ן</w:t>
      </w:r>
    </w:p>
    <w:p w:rsidR="0019070E" w:rsidRDefault="0019070E" w:rsidP="007E4E81">
      <w:pPr>
        <w:pStyle w:val="a"/>
        <w:rPr>
          <w:rtl/>
        </w:rPr>
      </w:pPr>
      <w:r>
        <w:rPr>
          <w:rFonts w:hint="cs"/>
          <w:rtl/>
        </w:rPr>
        <w:t>ביאור החת"ס בב"ח דלצד ברמב"ן דאיירי בדרך בלא שימוש אינו ביטול חזקה אלא כמחאה</w:t>
      </w:r>
    </w:p>
    <w:p w:rsidR="0019070E" w:rsidRDefault="0019070E" w:rsidP="007E4E81">
      <w:pPr>
        <w:pStyle w:val="a"/>
        <w:rPr>
          <w:rtl/>
        </w:rPr>
      </w:pPr>
      <w:r>
        <w:rPr>
          <w:rFonts w:hint="cs"/>
          <w:rtl/>
        </w:rPr>
        <w:t>ביאור החת"ס בב"ח דבדרך בעלמא ל"ק הקו' הב' ברמב"ן דבספק מחאה על המערער להוכיח</w:t>
      </w:r>
    </w:p>
    <w:p w:rsidR="0019070E" w:rsidRDefault="0019070E" w:rsidP="007E4E81">
      <w:pPr>
        <w:pStyle w:val="a"/>
        <w:rPr>
          <w:rtl/>
        </w:rPr>
      </w:pPr>
      <w:r>
        <w:rPr>
          <w:rFonts w:hint="cs"/>
          <w:rtl/>
        </w:rPr>
        <w:t>בי' החת"ס בב"ח דהקו' הא' ברמב"ן היא רק להצד דלא השתמש ומוכח דלרשב"ם יש שימוש</w:t>
      </w:r>
    </w:p>
    <w:p w:rsidR="0019070E" w:rsidRPr="007C5168" w:rsidRDefault="0019070E" w:rsidP="007E4E81">
      <w:pPr>
        <w:pStyle w:val="a"/>
      </w:pPr>
      <w:r w:rsidRPr="007C5168">
        <w:rPr>
          <w:rtl/>
        </w:rPr>
        <w:t xml:space="preserve">ביאור החת"ס </w:t>
      </w:r>
      <w:r>
        <w:rPr>
          <w:rFonts w:hint="cs"/>
          <w:rtl/>
        </w:rPr>
        <w:t xml:space="preserve">דתי' </w:t>
      </w:r>
      <w:r w:rsidRPr="007C5168">
        <w:rPr>
          <w:rtl/>
        </w:rPr>
        <w:t xml:space="preserve">רשב"ם דלרבא אף בשימוש דהספק בחזקה </w:t>
      </w:r>
      <w:r>
        <w:rPr>
          <w:rFonts w:hint="cs"/>
          <w:rtl/>
        </w:rPr>
        <w:t>לא חישיינן</w:t>
      </w:r>
      <w:r w:rsidRPr="007C5168">
        <w:rPr>
          <w:rtl/>
        </w:rPr>
        <w:t xml:space="preserve"> לדבר שלא שמענו</w:t>
      </w:r>
    </w:p>
    <w:p w:rsidR="0019070E" w:rsidRDefault="0019070E" w:rsidP="007E4E81">
      <w:pPr>
        <w:pStyle w:val="a"/>
        <w:numPr>
          <w:ilvl w:val="0"/>
          <w:numId w:val="0"/>
        </w:numPr>
        <w:rPr>
          <w:rtl/>
        </w:rPr>
      </w:pPr>
    </w:p>
    <w:p w:rsidR="0019070E" w:rsidRDefault="0019070E" w:rsidP="0019070E">
      <w:pPr>
        <w:pStyle w:val="2"/>
        <w:rPr>
          <w:rFonts w:eastAsiaTheme="minorEastAsia" w:cstheme="minorBidi"/>
          <w:i/>
          <w:iCs/>
          <w:sz w:val="22"/>
          <w:szCs w:val="22"/>
          <w:rtl/>
        </w:rPr>
      </w:pPr>
      <w:r>
        <w:rPr>
          <w:rtl/>
        </w:rPr>
        <w:t>בדין חזקה בשותפות המר"ק והמחזיק</w:t>
      </w:r>
    </w:p>
    <w:p w:rsidR="0019070E" w:rsidRDefault="0019070E" w:rsidP="0007171D">
      <w:pPr>
        <w:pStyle w:val="aff4"/>
        <w:rPr>
          <w:rFonts w:eastAsiaTheme="minorEastAsia" w:cstheme="minorBidi"/>
          <w:i/>
          <w:iCs/>
          <w:noProof/>
          <w:sz w:val="22"/>
          <w:szCs w:val="22"/>
          <w:rtl/>
        </w:rPr>
      </w:pPr>
      <w:r>
        <w:rPr>
          <w:noProof/>
          <w:rtl/>
        </w:rPr>
        <w:t>דעת הב"ח והמהרח"ש דלרשב"ם לא מהני חזקה בשותפות בבית</w:t>
      </w:r>
    </w:p>
    <w:p w:rsidR="0019070E" w:rsidRDefault="0019070E" w:rsidP="007E4E81">
      <w:pPr>
        <w:pStyle w:val="a"/>
        <w:rPr>
          <w:rFonts w:eastAsiaTheme="minorEastAsia" w:cstheme="minorBidi"/>
          <w:sz w:val="22"/>
          <w:szCs w:val="22"/>
          <w:rtl/>
        </w:rPr>
      </w:pPr>
      <w:r>
        <w:rPr>
          <w:rtl/>
        </w:rPr>
        <w:t>דברי הב"ח והמהרח"ש דל"מ חזקה בשותפות כדמוכח ברשב"ם דהעברת דרך מבטלת חזקה</w:t>
      </w:r>
    </w:p>
    <w:p w:rsidR="0019070E" w:rsidRDefault="0019070E" w:rsidP="007E4E81">
      <w:pPr>
        <w:pStyle w:val="a"/>
        <w:rPr>
          <w:rFonts w:eastAsiaTheme="minorEastAsia" w:cstheme="minorBidi"/>
          <w:sz w:val="22"/>
          <w:szCs w:val="22"/>
          <w:rtl/>
        </w:rPr>
      </w:pPr>
      <w:r>
        <w:rPr>
          <w:rtl/>
        </w:rPr>
        <w:t>קושית הב"ח דמוכח לקמן דמהני חזקה אף בשותפות של המרא קמא והמחזיק ודלא כרשב"ם</w:t>
      </w:r>
    </w:p>
    <w:p w:rsidR="0019070E" w:rsidRDefault="0019070E" w:rsidP="007E4E81">
      <w:pPr>
        <w:pStyle w:val="a"/>
        <w:rPr>
          <w:rFonts w:eastAsiaTheme="minorEastAsia" w:cstheme="minorBidi"/>
          <w:sz w:val="22"/>
          <w:szCs w:val="22"/>
          <w:rtl/>
        </w:rPr>
      </w:pPr>
      <w:r>
        <w:rPr>
          <w:rtl/>
        </w:rPr>
        <w:t>תירוצי הב"ח דבבית דדרך להשכיר הו"ל למחות ועוד דהכא נראה כשמתמש בכל הבית</w:t>
      </w:r>
    </w:p>
    <w:p w:rsidR="0019070E" w:rsidRDefault="0019070E" w:rsidP="0007171D">
      <w:pPr>
        <w:pStyle w:val="aff4"/>
        <w:rPr>
          <w:rFonts w:eastAsiaTheme="minorEastAsia" w:cstheme="minorBidi"/>
          <w:i/>
          <w:iCs/>
          <w:noProof/>
          <w:sz w:val="22"/>
          <w:szCs w:val="22"/>
          <w:rtl/>
        </w:rPr>
      </w:pPr>
      <w:r>
        <w:rPr>
          <w:noProof/>
          <w:rtl/>
        </w:rPr>
        <w:t>דברי הקצוה"ח דשותפות מהני והכא טוען שקנה הכל ולכן ל"מ</w:t>
      </w:r>
    </w:p>
    <w:p w:rsidR="0019070E" w:rsidRDefault="0019070E" w:rsidP="007E4E81">
      <w:pPr>
        <w:pStyle w:val="a"/>
        <w:rPr>
          <w:rFonts w:eastAsiaTheme="minorEastAsia" w:cstheme="minorBidi"/>
          <w:sz w:val="22"/>
          <w:szCs w:val="22"/>
          <w:rtl/>
        </w:rPr>
      </w:pPr>
      <w:r>
        <w:rPr>
          <w:rtl/>
        </w:rPr>
        <w:t>ביאור הקצוה"ח דאף דמהני חזקה בשותפות דכ"א בשלו מדין ברירה אך הכא כ"א בשל חבירו</w:t>
      </w:r>
    </w:p>
    <w:p w:rsidR="0019070E" w:rsidRDefault="0019070E" w:rsidP="007E4E81">
      <w:pPr>
        <w:pStyle w:val="a"/>
        <w:rPr>
          <w:rFonts w:eastAsiaTheme="minorEastAsia" w:cstheme="minorBidi"/>
          <w:sz w:val="22"/>
          <w:szCs w:val="22"/>
          <w:rtl/>
        </w:rPr>
      </w:pPr>
      <w:r>
        <w:rPr>
          <w:rtl/>
        </w:rPr>
        <w:t>קושית הנתיה"מ דמוכח בנימוק"י דלרשב"ם אין חזקה בשותפות ואף שייר לו דרך ל"ה חזקה</w:t>
      </w:r>
    </w:p>
    <w:p w:rsidR="0019070E" w:rsidRDefault="0019070E" w:rsidP="0019070E">
      <w:pPr>
        <w:pStyle w:val="2"/>
        <w:rPr>
          <w:rFonts w:eastAsiaTheme="minorEastAsia" w:cstheme="minorBidi"/>
          <w:i/>
          <w:iCs/>
          <w:sz w:val="22"/>
          <w:szCs w:val="22"/>
          <w:rtl/>
        </w:rPr>
      </w:pPr>
      <w:r>
        <w:rPr>
          <w:rtl/>
        </w:rPr>
        <w:t>דעות הראשונים אי יש עדים למר"ק</w:t>
      </w:r>
    </w:p>
    <w:p w:rsidR="0019070E" w:rsidRDefault="0019070E" w:rsidP="0007171D">
      <w:pPr>
        <w:pStyle w:val="aff4"/>
        <w:rPr>
          <w:rFonts w:eastAsiaTheme="minorEastAsia" w:cstheme="minorBidi"/>
          <w:i/>
          <w:iCs/>
          <w:noProof/>
          <w:sz w:val="22"/>
          <w:szCs w:val="22"/>
          <w:rtl/>
        </w:rPr>
      </w:pPr>
      <w:r>
        <w:rPr>
          <w:noProof/>
          <w:rtl/>
        </w:rPr>
        <w:t>דברי הראשונים דודאי איירי שיש למערער עדים שהוא המר"ק</w:t>
      </w:r>
    </w:p>
    <w:p w:rsidR="0019070E" w:rsidRDefault="0019070E" w:rsidP="007E4E81">
      <w:pPr>
        <w:pStyle w:val="a"/>
        <w:rPr>
          <w:rFonts w:eastAsiaTheme="minorEastAsia" w:cstheme="minorBidi"/>
          <w:sz w:val="22"/>
          <w:szCs w:val="22"/>
          <w:rtl/>
        </w:rPr>
      </w:pPr>
      <w:r>
        <w:rPr>
          <w:rtl/>
        </w:rPr>
        <w:t>דברי הרשב"ם דיש למערער עדים שהוא המר"ק דאל"ה אף ר"נ מודה שיש למחזיק הפה שאסר</w:t>
      </w:r>
    </w:p>
    <w:p w:rsidR="0019070E" w:rsidRDefault="0019070E" w:rsidP="0007171D">
      <w:pPr>
        <w:pStyle w:val="aff4"/>
        <w:rPr>
          <w:rFonts w:eastAsiaTheme="minorEastAsia" w:cstheme="minorBidi"/>
          <w:i/>
          <w:iCs/>
          <w:noProof/>
          <w:sz w:val="22"/>
          <w:szCs w:val="22"/>
          <w:rtl/>
        </w:rPr>
      </w:pPr>
      <w:r>
        <w:rPr>
          <w:noProof/>
          <w:rtl/>
        </w:rPr>
        <w:t>ביאור הא' ברי"ף דאין עדים למערער והמחזיק נאמן בפה שאסר</w:t>
      </w:r>
    </w:p>
    <w:p w:rsidR="0019070E" w:rsidRDefault="0019070E" w:rsidP="007E4E81">
      <w:pPr>
        <w:pStyle w:val="a"/>
        <w:rPr>
          <w:rFonts w:eastAsiaTheme="minorEastAsia" w:cstheme="minorBidi"/>
          <w:sz w:val="22"/>
          <w:szCs w:val="22"/>
          <w:rtl/>
        </w:rPr>
      </w:pPr>
      <w:r>
        <w:rPr>
          <w:rtl/>
        </w:rPr>
        <w:t>ד' הי"מ בפי' הא' ברי"ף דאין למערער עדים ולכן ס"ל לרבא דהמחזיק נאמן מדין הפה שאסר</w:t>
      </w:r>
    </w:p>
    <w:p w:rsidR="0019070E" w:rsidRDefault="0019070E" w:rsidP="007E4E81">
      <w:pPr>
        <w:pStyle w:val="a"/>
        <w:rPr>
          <w:rFonts w:eastAsiaTheme="minorEastAsia" w:cstheme="minorBidi"/>
          <w:sz w:val="22"/>
          <w:szCs w:val="22"/>
          <w:rtl/>
        </w:rPr>
      </w:pPr>
      <w:r>
        <w:rPr>
          <w:rtl/>
        </w:rPr>
        <w:t>ד' הי"מ בפי' הא' ברי"ף דלר"נ אף שאין למר"ק עדים כל שמודה לו המחזיק עליו להביא ראיה</w:t>
      </w:r>
    </w:p>
    <w:p w:rsidR="0019070E" w:rsidRDefault="0019070E" w:rsidP="0007171D">
      <w:pPr>
        <w:pStyle w:val="aff4"/>
        <w:rPr>
          <w:rFonts w:eastAsiaTheme="minorEastAsia" w:cstheme="minorBidi"/>
          <w:i/>
          <w:iCs/>
          <w:noProof/>
          <w:sz w:val="22"/>
          <w:szCs w:val="22"/>
          <w:rtl/>
        </w:rPr>
      </w:pPr>
      <w:r>
        <w:rPr>
          <w:noProof/>
          <w:rtl/>
        </w:rPr>
        <w:t>הביאור הב' ברי"ף דאין עדים אף לר"נ המחזיק נאמן ול"פ בזה</w:t>
      </w:r>
    </w:p>
    <w:p w:rsidR="0019070E" w:rsidRDefault="0019070E" w:rsidP="007E4E81">
      <w:pPr>
        <w:pStyle w:val="a"/>
        <w:rPr>
          <w:rFonts w:eastAsiaTheme="minorEastAsia" w:cstheme="minorBidi"/>
          <w:sz w:val="22"/>
          <w:szCs w:val="22"/>
          <w:rtl/>
        </w:rPr>
      </w:pPr>
      <w:r>
        <w:rPr>
          <w:rtl/>
        </w:rPr>
        <w:t>ד' הי"מ בפי' הב' ברי"ף דיש למערער עדים והמחזיק טוען שקנה מהמערער</w:t>
      </w:r>
    </w:p>
    <w:p w:rsidR="0019070E" w:rsidRDefault="0019070E" w:rsidP="007E4E81">
      <w:pPr>
        <w:pStyle w:val="a"/>
        <w:rPr>
          <w:rFonts w:eastAsiaTheme="minorEastAsia" w:cstheme="minorBidi"/>
          <w:sz w:val="22"/>
          <w:szCs w:val="22"/>
          <w:rtl/>
        </w:rPr>
      </w:pPr>
      <w:r>
        <w:rPr>
          <w:rtl/>
        </w:rPr>
        <w:t>הוכחת הי"מ בפי' הא' ברי"ף דאי אין למערער עדים לכו"ע המחזיק נאמן מדין הפה שאסר</w:t>
      </w:r>
    </w:p>
    <w:p w:rsidR="0019070E" w:rsidRDefault="0019070E" w:rsidP="007E4E81">
      <w:pPr>
        <w:pStyle w:val="a"/>
        <w:rPr>
          <w:rFonts w:eastAsiaTheme="minorEastAsia" w:cstheme="minorBidi"/>
          <w:sz w:val="22"/>
          <w:szCs w:val="22"/>
          <w:rtl/>
        </w:rPr>
      </w:pPr>
      <w:r>
        <w:rPr>
          <w:rtl/>
        </w:rPr>
        <w:t>ביאור הב"ח דהפי' הא' ס"ל כרש"י דכשיש תובע ל"מ מיגו והפי' הב' כתוס' דאף בתובעו נאמן</w:t>
      </w:r>
    </w:p>
    <w:p w:rsidR="0019070E" w:rsidRDefault="0019070E" w:rsidP="0019070E">
      <w:pPr>
        <w:pStyle w:val="2"/>
        <w:rPr>
          <w:rFonts w:eastAsiaTheme="minorEastAsia" w:cstheme="minorBidi"/>
          <w:i/>
          <w:iCs/>
          <w:sz w:val="22"/>
          <w:szCs w:val="22"/>
          <w:rtl/>
        </w:rPr>
      </w:pPr>
      <w:r>
        <w:rPr>
          <w:rtl/>
        </w:rPr>
        <w:t>ביאור הרי"ף דלא היה כאן בזמן המכירה</w:t>
      </w:r>
    </w:p>
    <w:p w:rsidR="0019070E" w:rsidRDefault="0019070E" w:rsidP="0007171D">
      <w:pPr>
        <w:pStyle w:val="aff4"/>
        <w:rPr>
          <w:rFonts w:eastAsiaTheme="minorEastAsia" w:cstheme="minorBidi"/>
          <w:i/>
          <w:iCs/>
          <w:noProof/>
          <w:sz w:val="22"/>
          <w:szCs w:val="22"/>
          <w:rtl/>
        </w:rPr>
      </w:pPr>
      <w:r>
        <w:rPr>
          <w:noProof/>
          <w:rtl/>
        </w:rPr>
        <w:t>דברי הרי"ף דטוען המערער שבזמן שטוען שקנה לא היה כאן</w:t>
      </w:r>
    </w:p>
    <w:p w:rsidR="0019070E" w:rsidRDefault="0019070E" w:rsidP="007E4E81">
      <w:pPr>
        <w:pStyle w:val="a"/>
        <w:rPr>
          <w:rFonts w:eastAsiaTheme="minorEastAsia" w:cstheme="minorBidi"/>
          <w:sz w:val="22"/>
          <w:szCs w:val="22"/>
          <w:rtl/>
        </w:rPr>
      </w:pPr>
      <w:r>
        <w:rPr>
          <w:rtl/>
        </w:rPr>
        <w:t>ביאור הרי"ף והרמב"ם דהמערער טוען שלא היה בעיר בזמן שטוען שקנה ממנו והיאך קנה ממנו</w:t>
      </w:r>
    </w:p>
    <w:p w:rsidR="0019070E" w:rsidRDefault="0019070E" w:rsidP="007E4E81">
      <w:pPr>
        <w:pStyle w:val="a"/>
        <w:rPr>
          <w:rFonts w:eastAsiaTheme="minorEastAsia" w:cstheme="minorBidi"/>
          <w:sz w:val="22"/>
          <w:szCs w:val="22"/>
          <w:rtl/>
        </w:rPr>
      </w:pPr>
      <w:r>
        <w:rPr>
          <w:rtl/>
        </w:rPr>
        <w:t>דברי ר"ח דטוען המחזיק שקנה ממנו היום לפני יותר משני חזקה ואומר המערער שלא היה בעיר</w:t>
      </w:r>
    </w:p>
    <w:p w:rsidR="0019070E" w:rsidRDefault="0019070E" w:rsidP="0019070E">
      <w:pPr>
        <w:pStyle w:val="2"/>
        <w:rPr>
          <w:rFonts w:eastAsiaTheme="minorEastAsia" w:cstheme="minorBidi"/>
          <w:i/>
          <w:iCs/>
          <w:sz w:val="22"/>
          <w:szCs w:val="22"/>
          <w:rtl/>
        </w:rPr>
      </w:pPr>
      <w:r>
        <w:rPr>
          <w:rtl/>
        </w:rPr>
        <w:t>דעת הרמב"ן ושא"ר דהיה במקום רחוק</w:t>
      </w:r>
    </w:p>
    <w:p w:rsidR="0019070E" w:rsidRDefault="0019070E" w:rsidP="0007171D">
      <w:pPr>
        <w:pStyle w:val="aff4"/>
        <w:rPr>
          <w:rFonts w:eastAsiaTheme="minorEastAsia" w:cstheme="minorBidi"/>
          <w:i/>
          <w:iCs/>
          <w:noProof/>
          <w:sz w:val="22"/>
          <w:szCs w:val="22"/>
          <w:rtl/>
        </w:rPr>
      </w:pPr>
      <w:r>
        <w:rPr>
          <w:noProof/>
          <w:rtl/>
        </w:rPr>
        <w:t>ביאור הרמב"ן ורבינו יונה ושא"ר דטוען שהיה במקום חרום</w:t>
      </w:r>
    </w:p>
    <w:p w:rsidR="0019070E" w:rsidRDefault="0019070E" w:rsidP="007E4E81">
      <w:pPr>
        <w:pStyle w:val="a"/>
        <w:rPr>
          <w:rFonts w:eastAsiaTheme="minorEastAsia" w:cstheme="minorBidi"/>
          <w:sz w:val="22"/>
          <w:szCs w:val="22"/>
          <w:rtl/>
        </w:rPr>
      </w:pPr>
      <w:r>
        <w:rPr>
          <w:rtl/>
        </w:rPr>
        <w:t>ביאור הרמב"ן והרשב"א והריטב"א דהמערער היה במקום רחוק או חרום ולא שמע וא"י למחות</w:t>
      </w:r>
    </w:p>
    <w:p w:rsidR="0019070E" w:rsidRDefault="0019070E" w:rsidP="0007171D">
      <w:pPr>
        <w:pStyle w:val="aff4"/>
        <w:rPr>
          <w:rFonts w:eastAsiaTheme="minorEastAsia" w:cstheme="minorBidi"/>
          <w:i/>
          <w:iCs/>
          <w:noProof/>
          <w:sz w:val="22"/>
          <w:szCs w:val="22"/>
          <w:rtl/>
        </w:rPr>
      </w:pPr>
      <w:r>
        <w:rPr>
          <w:noProof/>
          <w:rtl/>
        </w:rPr>
        <w:t>קושיות הראשונים על ד' הר"ח והרי"ף דטוען שהיה במק"א</w:t>
      </w:r>
    </w:p>
    <w:p w:rsidR="0019070E" w:rsidRDefault="0019070E" w:rsidP="007E4E81">
      <w:pPr>
        <w:pStyle w:val="a"/>
        <w:rPr>
          <w:rFonts w:eastAsiaTheme="minorEastAsia" w:cstheme="minorBidi"/>
          <w:sz w:val="22"/>
          <w:szCs w:val="22"/>
          <w:rtl/>
        </w:rPr>
      </w:pPr>
      <w:r>
        <w:rPr>
          <w:rtl/>
        </w:rPr>
        <w:t>קושית הרמב"ן על הרי"ף דכל שאינו במקום חרום ולא מחה אמרינן דהלך למקומו וודאי דמכר לו</w:t>
      </w:r>
    </w:p>
    <w:p w:rsidR="0019070E" w:rsidRDefault="0019070E" w:rsidP="007E4E81">
      <w:pPr>
        <w:pStyle w:val="a"/>
        <w:rPr>
          <w:rFonts w:eastAsiaTheme="minorEastAsia" w:cstheme="minorBidi"/>
          <w:sz w:val="22"/>
          <w:szCs w:val="22"/>
          <w:rtl/>
        </w:rPr>
      </w:pPr>
      <w:r>
        <w:rPr>
          <w:rtl/>
        </w:rPr>
        <w:t>קושיות הרמב"ן והרא"ש על הרי"ף דאי הכא נאמן לטעון שלא היה בעיר א"כ כל חזקה ל"מ</w:t>
      </w:r>
    </w:p>
    <w:p w:rsidR="0019070E" w:rsidRDefault="0019070E" w:rsidP="007E4E81">
      <w:pPr>
        <w:pStyle w:val="a"/>
        <w:rPr>
          <w:rFonts w:eastAsiaTheme="minorEastAsia" w:cstheme="minorBidi"/>
          <w:sz w:val="22"/>
          <w:szCs w:val="22"/>
          <w:rtl/>
        </w:rPr>
      </w:pPr>
      <w:r>
        <w:rPr>
          <w:rtl/>
        </w:rPr>
        <w:t>קושית רבינו יונה על הר"ח והרי"ף דבחזקת ג"ש א"א להסתפק מחמת טענות המערער</w:t>
      </w:r>
    </w:p>
    <w:p w:rsidR="0019070E" w:rsidRDefault="0019070E" w:rsidP="007E4E81">
      <w:pPr>
        <w:pStyle w:val="a"/>
        <w:rPr>
          <w:rFonts w:eastAsiaTheme="minorEastAsia" w:cstheme="minorBidi"/>
          <w:sz w:val="22"/>
          <w:szCs w:val="22"/>
          <w:rtl/>
        </w:rPr>
      </w:pPr>
      <w:r>
        <w:rPr>
          <w:rtl/>
        </w:rPr>
        <w:t>קושיות רבינו יונה ושא"ר דמשמע דהיה בשכוני גוואי בזמן החזקה ולא בזמן המקח</w:t>
      </w:r>
    </w:p>
    <w:p w:rsidR="0019070E" w:rsidRDefault="0019070E" w:rsidP="007E4E81">
      <w:pPr>
        <w:pStyle w:val="a"/>
        <w:rPr>
          <w:rFonts w:eastAsiaTheme="minorEastAsia" w:cstheme="minorBidi"/>
          <w:sz w:val="22"/>
          <w:szCs w:val="22"/>
          <w:rtl/>
        </w:rPr>
      </w:pPr>
      <w:r>
        <w:rPr>
          <w:rtl/>
        </w:rPr>
        <w:t>קושית הראב"ד על הרי"ף דאף אם הוכחש המחזיק ביום המכירה א"א להוציא ממנו בזה</w:t>
      </w:r>
    </w:p>
    <w:p w:rsidR="0019070E" w:rsidRDefault="0019070E" w:rsidP="007E4E81">
      <w:pPr>
        <w:pStyle w:val="a"/>
        <w:rPr>
          <w:rFonts w:eastAsiaTheme="minorEastAsia" w:cstheme="minorBidi"/>
          <w:sz w:val="22"/>
          <w:szCs w:val="22"/>
          <w:rtl/>
        </w:rPr>
      </w:pPr>
      <w:r>
        <w:rPr>
          <w:rtl/>
        </w:rPr>
        <w:t>דברי הראב"ד דאפשר להעמיד את הרי"ף כשכל החודש היה במק"א והמחזיק נראה כמערים</w:t>
      </w:r>
    </w:p>
    <w:p w:rsidR="0019070E" w:rsidRDefault="0019070E" w:rsidP="007E4E81">
      <w:pPr>
        <w:pStyle w:val="a"/>
        <w:rPr>
          <w:rFonts w:eastAsiaTheme="minorEastAsia" w:cstheme="minorBidi"/>
          <w:sz w:val="22"/>
          <w:szCs w:val="22"/>
          <w:rtl/>
        </w:rPr>
      </w:pPr>
      <w:r>
        <w:rPr>
          <w:rtl/>
        </w:rPr>
        <w:t>קושית הרא"ש דמעשים בכל יום שאדם מוסר נכסיו לשליח ועוד דלשון הגמ' משמע כרשב"ם</w:t>
      </w:r>
    </w:p>
    <w:p w:rsidR="0019070E" w:rsidRDefault="0019070E" w:rsidP="007E4E81">
      <w:pPr>
        <w:pStyle w:val="a"/>
        <w:rPr>
          <w:rFonts w:eastAsiaTheme="minorEastAsia" w:cstheme="minorBidi"/>
          <w:sz w:val="22"/>
          <w:szCs w:val="22"/>
          <w:rtl/>
        </w:rPr>
      </w:pPr>
      <w:r>
        <w:rPr>
          <w:rtl/>
        </w:rPr>
        <w:t>ביאור רבינו יונה בר"ח וברי"ף דא"א לומר דמכר ע"י שליח דאין אדם מוכר כשאינו בעיר</w:t>
      </w:r>
    </w:p>
    <w:p w:rsidR="0019070E" w:rsidRDefault="0019070E" w:rsidP="007E4E81">
      <w:pPr>
        <w:pStyle w:val="a"/>
        <w:rPr>
          <w:rFonts w:eastAsiaTheme="minorEastAsia" w:cstheme="minorBidi"/>
          <w:sz w:val="22"/>
          <w:szCs w:val="22"/>
          <w:rtl/>
        </w:rPr>
      </w:pPr>
      <w:r>
        <w:rPr>
          <w:rtl/>
        </w:rPr>
        <w:t>קושית הרשב"א והריטב"א דלקמן משמע דא"צ שתהיה תחילת החזקה והמקח לפני הקנין</w:t>
      </w:r>
    </w:p>
    <w:p w:rsidR="0019070E" w:rsidRDefault="0019070E" w:rsidP="007E4E81">
      <w:pPr>
        <w:pStyle w:val="a"/>
        <w:rPr>
          <w:rFonts w:eastAsiaTheme="minorEastAsia" w:cstheme="minorBidi"/>
          <w:sz w:val="22"/>
          <w:szCs w:val="22"/>
          <w:rtl/>
        </w:rPr>
      </w:pPr>
      <w:r>
        <w:rPr>
          <w:rtl/>
        </w:rPr>
        <w:t>דברי הנימוק"י דלקמן איירי ביהודה וגליל דשיירות מצויות ואפשר להחזיק שלא בפני הבעלים</w:t>
      </w:r>
    </w:p>
    <w:p w:rsidR="0019070E" w:rsidRDefault="0019070E" w:rsidP="0007171D">
      <w:pPr>
        <w:pStyle w:val="aff4"/>
        <w:rPr>
          <w:rFonts w:eastAsiaTheme="minorEastAsia" w:cstheme="minorBidi"/>
          <w:i/>
          <w:iCs/>
          <w:noProof/>
          <w:sz w:val="22"/>
          <w:szCs w:val="22"/>
          <w:rtl/>
        </w:rPr>
      </w:pPr>
      <w:r>
        <w:rPr>
          <w:noProof/>
          <w:rtl/>
        </w:rPr>
        <w:t>ביאור התורי"ד ברי"ף דיש עדים שהיה חלק מהזמן באותו מקום</w:t>
      </w:r>
    </w:p>
    <w:p w:rsidR="0019070E" w:rsidRDefault="0019070E" w:rsidP="007E4E81">
      <w:pPr>
        <w:pStyle w:val="a"/>
        <w:rPr>
          <w:rFonts w:eastAsiaTheme="minorEastAsia" w:cstheme="minorBidi"/>
          <w:sz w:val="22"/>
          <w:szCs w:val="22"/>
          <w:rtl/>
        </w:rPr>
      </w:pPr>
      <w:r>
        <w:rPr>
          <w:rtl/>
        </w:rPr>
        <w:t>קושית התורי"ד על הרי"ף דכיון שיש עידי חזקה עם טענה על המערער להוכיח שלא היה בעיר</w:t>
      </w:r>
    </w:p>
    <w:p w:rsidR="0019070E" w:rsidRDefault="0019070E" w:rsidP="007E4E81">
      <w:pPr>
        <w:pStyle w:val="a"/>
        <w:rPr>
          <w:rFonts w:eastAsiaTheme="minorEastAsia" w:cstheme="minorBidi"/>
          <w:sz w:val="22"/>
          <w:szCs w:val="22"/>
          <w:rtl/>
        </w:rPr>
      </w:pPr>
      <w:r>
        <w:rPr>
          <w:rtl/>
        </w:rPr>
        <w:t>ביאור התורי"ד דיש למערער עדים שהיה באותו חודש בשכוני גוואי אך יתכן שבא לעיר ומכר לו</w:t>
      </w:r>
    </w:p>
    <w:p w:rsidR="0019070E" w:rsidRDefault="0019070E" w:rsidP="007E4E81">
      <w:pPr>
        <w:pStyle w:val="a"/>
        <w:rPr>
          <w:rFonts w:eastAsiaTheme="minorEastAsia" w:cstheme="minorBidi"/>
          <w:sz w:val="22"/>
          <w:szCs w:val="22"/>
          <w:rtl/>
        </w:rPr>
      </w:pPr>
      <w:r>
        <w:rPr>
          <w:rtl/>
        </w:rPr>
        <w:t>ביאור התורי"ד בר"נ דכיון שיש עדים שהיה בשכוני גוואי רק כשיברר המחזיק הוי חזקה בטענה</w:t>
      </w:r>
    </w:p>
    <w:p w:rsidR="0019070E" w:rsidRDefault="0019070E" w:rsidP="0019070E">
      <w:pPr>
        <w:pStyle w:val="2"/>
        <w:rPr>
          <w:rFonts w:eastAsiaTheme="minorEastAsia" w:cstheme="minorBidi"/>
          <w:i/>
          <w:iCs/>
          <w:sz w:val="22"/>
          <w:szCs w:val="22"/>
          <w:rtl/>
        </w:rPr>
      </w:pPr>
      <w:r>
        <w:rPr>
          <w:rtl/>
        </w:rPr>
        <w:t>ביאורי הראשונים בפלוגתת רבא ור"נ</w:t>
      </w:r>
    </w:p>
    <w:p w:rsidR="0019070E" w:rsidRDefault="0019070E" w:rsidP="0007171D">
      <w:pPr>
        <w:pStyle w:val="aff4"/>
        <w:rPr>
          <w:rFonts w:eastAsiaTheme="minorEastAsia" w:cstheme="minorBidi"/>
          <w:i/>
          <w:iCs/>
          <w:noProof/>
          <w:sz w:val="22"/>
          <w:szCs w:val="22"/>
          <w:rtl/>
        </w:rPr>
      </w:pPr>
      <w:r>
        <w:rPr>
          <w:noProof/>
          <w:rtl/>
        </w:rPr>
        <w:t>דברי הרשב"ם דלרבא א"צ המחזיק לברר דבר שלא נודע לנו</w:t>
      </w:r>
    </w:p>
    <w:p w:rsidR="0019070E" w:rsidRDefault="0019070E" w:rsidP="007E4E81">
      <w:pPr>
        <w:pStyle w:val="a"/>
        <w:rPr>
          <w:rFonts w:eastAsiaTheme="minorEastAsia" w:cstheme="minorBidi"/>
          <w:sz w:val="22"/>
          <w:szCs w:val="22"/>
          <w:rtl/>
        </w:rPr>
      </w:pPr>
      <w:r>
        <w:rPr>
          <w:rtl/>
        </w:rPr>
        <w:t>ביאור הרשב"ם בר"נ דהמחזיק צריך לברר שדר לבדו ככל חזקת ג"ש שצריך לברר חזקה גמורה</w:t>
      </w:r>
    </w:p>
    <w:p w:rsidR="0019070E" w:rsidRDefault="0019070E" w:rsidP="007E4E81">
      <w:pPr>
        <w:pStyle w:val="a"/>
        <w:rPr>
          <w:rFonts w:eastAsiaTheme="minorEastAsia" w:cstheme="minorBidi"/>
          <w:sz w:val="22"/>
          <w:szCs w:val="22"/>
          <w:rtl/>
        </w:rPr>
      </w:pPr>
      <w:r>
        <w:rPr>
          <w:rtl/>
        </w:rPr>
        <w:t>ביאור הרשב"ם ברבא דיש למחזיק חזקת ג"ש והוא מוחזק דלא שמענו עד היום מטענת המערער</w:t>
      </w:r>
    </w:p>
    <w:p w:rsidR="0019070E" w:rsidRDefault="0019070E" w:rsidP="007E4E81">
      <w:pPr>
        <w:pStyle w:val="a"/>
        <w:rPr>
          <w:rFonts w:eastAsiaTheme="minorEastAsia" w:cstheme="minorBidi"/>
          <w:sz w:val="22"/>
          <w:szCs w:val="22"/>
          <w:rtl/>
        </w:rPr>
      </w:pPr>
      <w:r>
        <w:rPr>
          <w:rtl/>
        </w:rPr>
        <w:t>דברי הרשב"ם הקצר דכשאין עידי חזקה לכו"ע היא בחזקת המר"ק אף שמודה שהחזיק בחיצון</w:t>
      </w:r>
    </w:p>
    <w:p w:rsidR="0019070E" w:rsidRDefault="0019070E" w:rsidP="0007171D">
      <w:pPr>
        <w:pStyle w:val="aff4"/>
        <w:rPr>
          <w:rFonts w:eastAsiaTheme="minorEastAsia" w:cstheme="minorBidi"/>
          <w:i/>
          <w:iCs/>
          <w:noProof/>
          <w:sz w:val="22"/>
          <w:szCs w:val="22"/>
          <w:rtl/>
        </w:rPr>
      </w:pPr>
      <w:r>
        <w:rPr>
          <w:noProof/>
          <w:rtl/>
        </w:rPr>
        <w:t>דברי הרי"ף דלר"נ צריך עדים שהיה יום א' בעיר ויתכן שמכר</w:t>
      </w:r>
    </w:p>
    <w:p w:rsidR="0019070E" w:rsidRDefault="0019070E" w:rsidP="007E4E81">
      <w:pPr>
        <w:pStyle w:val="a"/>
        <w:rPr>
          <w:rFonts w:eastAsiaTheme="minorEastAsia" w:cstheme="minorBidi"/>
          <w:sz w:val="22"/>
          <w:szCs w:val="22"/>
          <w:rtl/>
        </w:rPr>
      </w:pPr>
      <w:r>
        <w:rPr>
          <w:rtl/>
        </w:rPr>
        <w:t>ביאור הרי"ף והרמב"ם בר"נ דהמחזיק יוכיח שהמערער היה יום אחד בעיר דאכילתו תחשב חזקה</w:t>
      </w:r>
    </w:p>
    <w:p w:rsidR="0019070E" w:rsidRDefault="0019070E" w:rsidP="007E4E81">
      <w:pPr>
        <w:pStyle w:val="a"/>
        <w:rPr>
          <w:rFonts w:eastAsiaTheme="minorEastAsia" w:cstheme="minorBidi"/>
          <w:sz w:val="22"/>
          <w:szCs w:val="22"/>
          <w:rtl/>
        </w:rPr>
      </w:pPr>
      <w:r>
        <w:rPr>
          <w:rtl/>
        </w:rPr>
        <w:t>ביאור הר"ח בר"נ דא"צ להביא ראיה על עצם החזקה אלא שיש לו דין שראוי לאכילה שאכל</w:t>
      </w:r>
    </w:p>
    <w:p w:rsidR="0019070E" w:rsidRDefault="0019070E" w:rsidP="007E4E81">
      <w:pPr>
        <w:pStyle w:val="a"/>
        <w:rPr>
          <w:rFonts w:eastAsiaTheme="minorEastAsia" w:cstheme="minorBidi"/>
          <w:sz w:val="22"/>
          <w:szCs w:val="22"/>
          <w:rtl/>
        </w:rPr>
      </w:pPr>
      <w:r>
        <w:rPr>
          <w:rtl/>
        </w:rPr>
        <w:t>ביאור הרי"ף ברבא דעל המערער להביא עדים שלא היה בעיר ביום שטוען המחזיק שקנה ממו</w:t>
      </w:r>
    </w:p>
    <w:p w:rsidR="0019070E" w:rsidRDefault="0019070E" w:rsidP="0007171D">
      <w:pPr>
        <w:pStyle w:val="aff4"/>
        <w:rPr>
          <w:rFonts w:eastAsiaTheme="minorEastAsia" w:cstheme="minorBidi"/>
          <w:i/>
          <w:iCs/>
          <w:noProof/>
          <w:sz w:val="22"/>
          <w:szCs w:val="22"/>
          <w:rtl/>
        </w:rPr>
      </w:pPr>
      <w:r>
        <w:rPr>
          <w:noProof/>
          <w:rtl/>
        </w:rPr>
        <w:lastRenderedPageBreak/>
        <w:t>דברי הרמב"ן דנח' רבא ור"נ אי דמי לטענה בחזקה או למחאה</w:t>
      </w:r>
    </w:p>
    <w:p w:rsidR="0019070E" w:rsidRDefault="0019070E" w:rsidP="007E4E81">
      <w:pPr>
        <w:pStyle w:val="a"/>
        <w:rPr>
          <w:rFonts w:eastAsiaTheme="minorEastAsia" w:cstheme="minorBidi"/>
          <w:sz w:val="22"/>
          <w:szCs w:val="22"/>
          <w:rtl/>
        </w:rPr>
      </w:pPr>
      <w:r>
        <w:rPr>
          <w:rtl/>
        </w:rPr>
        <w:t>ביאור הרמב"ן בר"נ דהמערער נאמן כיון דטענתו על עצם החזקה של המחזיק ועליו לקיים חזקתו</w:t>
      </w:r>
    </w:p>
    <w:p w:rsidR="0019070E" w:rsidRDefault="0019070E" w:rsidP="007E4E81">
      <w:pPr>
        <w:pStyle w:val="a"/>
        <w:rPr>
          <w:rFonts w:eastAsiaTheme="minorEastAsia" w:cstheme="minorBidi"/>
          <w:sz w:val="22"/>
          <w:szCs w:val="22"/>
          <w:rtl/>
        </w:rPr>
      </w:pPr>
      <w:r>
        <w:rPr>
          <w:rtl/>
        </w:rPr>
        <w:t>דברי הרמב"ן דהמחזיק צריך להביא עדים שהמערער היה קרוב בחלק מהג"ש ולא בכל הג"ש</w:t>
      </w:r>
    </w:p>
    <w:p w:rsidR="0019070E" w:rsidRDefault="0019070E" w:rsidP="007E4E81">
      <w:pPr>
        <w:pStyle w:val="a"/>
        <w:rPr>
          <w:rFonts w:eastAsiaTheme="minorEastAsia" w:cstheme="minorBidi"/>
          <w:sz w:val="22"/>
          <w:szCs w:val="22"/>
          <w:rtl/>
        </w:rPr>
      </w:pPr>
      <w:r>
        <w:rPr>
          <w:rtl/>
        </w:rPr>
        <w:t>ביאור הרמב"ן ברבא דהקרקע ברשות המחזיק והמערער טוען שיש ריעותא בחזקה ודמי למחאה</w:t>
      </w:r>
    </w:p>
    <w:p w:rsidR="0019070E" w:rsidRDefault="0019070E" w:rsidP="007E4E81">
      <w:pPr>
        <w:pStyle w:val="a"/>
        <w:rPr>
          <w:rFonts w:eastAsiaTheme="minorEastAsia" w:cstheme="minorBidi"/>
          <w:sz w:val="22"/>
          <w:szCs w:val="22"/>
          <w:rtl/>
        </w:rPr>
      </w:pPr>
      <w:r>
        <w:rPr>
          <w:rtl/>
        </w:rPr>
        <w:t>דברי הרמב"ן דהחזקה מהני רק בהיה במדינה כל הג"ש ובפחות מזה אמדינן אי יכול לשמוע</w:t>
      </w:r>
    </w:p>
    <w:p w:rsidR="0019070E" w:rsidRDefault="0019070E" w:rsidP="0007171D">
      <w:pPr>
        <w:pStyle w:val="aff4"/>
        <w:rPr>
          <w:rFonts w:eastAsiaTheme="minorEastAsia" w:cstheme="minorBidi"/>
          <w:i/>
          <w:iCs/>
          <w:noProof/>
          <w:sz w:val="22"/>
          <w:szCs w:val="22"/>
          <w:rtl/>
        </w:rPr>
      </w:pPr>
      <w:r>
        <w:rPr>
          <w:noProof/>
          <w:rtl/>
        </w:rPr>
        <w:t>ביאורי רבינו יונה בר"נ אמאי ל"ד למחאה שהמערער מברר</w:t>
      </w:r>
    </w:p>
    <w:p w:rsidR="0019070E" w:rsidRDefault="0019070E" w:rsidP="007E4E81">
      <w:pPr>
        <w:pStyle w:val="a"/>
        <w:rPr>
          <w:rFonts w:eastAsiaTheme="minorEastAsia" w:cstheme="minorBidi"/>
          <w:sz w:val="22"/>
          <w:szCs w:val="22"/>
          <w:rtl/>
        </w:rPr>
      </w:pPr>
      <w:r>
        <w:rPr>
          <w:rtl/>
        </w:rPr>
        <w:t>ביאור רבינו יונה דלר"נ על המחזיק להוכיח שהיה עמו במקום שיכל לשמוע את החזקה ולמחות</w:t>
      </w:r>
    </w:p>
    <w:p w:rsidR="0019070E" w:rsidRDefault="0019070E" w:rsidP="007E4E81">
      <w:pPr>
        <w:pStyle w:val="a"/>
        <w:rPr>
          <w:rFonts w:eastAsiaTheme="minorEastAsia" w:cstheme="minorBidi"/>
          <w:sz w:val="22"/>
          <w:szCs w:val="22"/>
          <w:rtl/>
        </w:rPr>
      </w:pPr>
      <w:r>
        <w:rPr>
          <w:rtl/>
        </w:rPr>
        <w:t>ביאור רבינו יונה ברבא דהמחזיק נעשה מוחזק בקרקע ע"י שהחזיק ג"ש</w:t>
      </w:r>
    </w:p>
    <w:p w:rsidR="0019070E" w:rsidRDefault="0019070E" w:rsidP="007E4E81">
      <w:pPr>
        <w:pStyle w:val="a"/>
        <w:rPr>
          <w:rFonts w:eastAsiaTheme="minorEastAsia" w:cstheme="minorBidi"/>
          <w:sz w:val="22"/>
          <w:szCs w:val="22"/>
          <w:rtl/>
        </w:rPr>
      </w:pPr>
      <w:r>
        <w:rPr>
          <w:rtl/>
        </w:rPr>
        <w:t>דברי רבינו יונה דלר"נ כל שאין עדים שהיה עמו אינו חזקה ול"ד למחאה שהמערער צריך לברר</w:t>
      </w:r>
    </w:p>
    <w:p w:rsidR="0019070E" w:rsidRDefault="0019070E" w:rsidP="007E4E81">
      <w:pPr>
        <w:pStyle w:val="a"/>
        <w:rPr>
          <w:rFonts w:eastAsiaTheme="minorEastAsia" w:cstheme="minorBidi"/>
          <w:sz w:val="22"/>
          <w:szCs w:val="22"/>
          <w:rtl/>
        </w:rPr>
      </w:pPr>
      <w:r>
        <w:rPr>
          <w:rtl/>
        </w:rPr>
        <w:t>דברי רבינו יונה דכשטוען שלא היה במדינה הוא עוקר את החזקה מעיקרא ועל המחזיק לברר</w:t>
      </w:r>
    </w:p>
    <w:p w:rsidR="0019070E" w:rsidRDefault="0019070E" w:rsidP="007E4E81">
      <w:pPr>
        <w:pStyle w:val="a"/>
        <w:rPr>
          <w:rFonts w:eastAsiaTheme="minorEastAsia" w:cstheme="minorBidi"/>
          <w:sz w:val="22"/>
          <w:szCs w:val="22"/>
          <w:rtl/>
        </w:rPr>
      </w:pPr>
      <w:r>
        <w:rPr>
          <w:rtl/>
        </w:rPr>
        <w:t>דברי רבינו יונה והרשב"א דבהיה קצת זמן במקום שהיה יכול לשמוע מוכח לקמן דהוי חזקה</w:t>
      </w:r>
    </w:p>
    <w:p w:rsidR="0019070E" w:rsidRDefault="0019070E" w:rsidP="0019070E">
      <w:pPr>
        <w:pStyle w:val="2"/>
        <w:rPr>
          <w:rFonts w:eastAsiaTheme="minorEastAsia" w:cstheme="minorBidi"/>
          <w:i/>
          <w:iCs/>
          <w:sz w:val="22"/>
          <w:szCs w:val="22"/>
          <w:rtl/>
        </w:rPr>
      </w:pPr>
      <w:r>
        <w:rPr>
          <w:rtl/>
        </w:rPr>
        <w:t>בקושית הגמ' על רבא ור"נ מבר סיסין</w:t>
      </w:r>
    </w:p>
    <w:p w:rsidR="0019070E" w:rsidRDefault="0019070E" w:rsidP="0007171D">
      <w:pPr>
        <w:pStyle w:val="aff4"/>
        <w:rPr>
          <w:rFonts w:eastAsiaTheme="minorEastAsia" w:cstheme="minorBidi"/>
          <w:i/>
          <w:iCs/>
          <w:noProof/>
          <w:sz w:val="22"/>
          <w:szCs w:val="22"/>
          <w:rtl/>
        </w:rPr>
      </w:pPr>
      <w:r>
        <w:rPr>
          <w:noProof/>
          <w:rtl/>
        </w:rPr>
        <w:t>דברי רבינו</w:t>
      </w:r>
      <w:r w:rsidR="00A77F33">
        <w:rPr>
          <w:noProof/>
          <w:rtl/>
        </w:rPr>
        <w:t xml:space="preserve"> </w:t>
      </w:r>
      <w:r>
        <w:rPr>
          <w:noProof/>
          <w:rtl/>
        </w:rPr>
        <w:t>יונה בתירוץ הגמ' על הקושיה מבר סיסין</w:t>
      </w:r>
    </w:p>
    <w:p w:rsidR="0019070E" w:rsidRDefault="0019070E" w:rsidP="007E4E81">
      <w:pPr>
        <w:pStyle w:val="a"/>
        <w:rPr>
          <w:rFonts w:eastAsiaTheme="minorEastAsia" w:cstheme="minorBidi"/>
          <w:sz w:val="22"/>
          <w:szCs w:val="22"/>
          <w:rtl/>
        </w:rPr>
      </w:pPr>
      <w:r>
        <w:rPr>
          <w:rtl/>
        </w:rPr>
        <w:t>דברי רבינו יונה דלר"נ אזלינן כפשטות לשון המוכר אעפ"י דבאמת אינה של בר סיסין</w:t>
      </w:r>
    </w:p>
    <w:p w:rsidR="0019070E" w:rsidRDefault="0019070E" w:rsidP="007E4E81">
      <w:pPr>
        <w:pStyle w:val="a"/>
        <w:rPr>
          <w:rFonts w:eastAsiaTheme="minorEastAsia" w:cstheme="minorBidi"/>
          <w:sz w:val="22"/>
          <w:szCs w:val="22"/>
          <w:rtl/>
        </w:rPr>
      </w:pPr>
      <w:r>
        <w:rPr>
          <w:rtl/>
        </w:rPr>
        <w:t>דברי רבינו יונה דלר"נ אעפ"י דהוא כמוחזק מ"מ צריך לקיים את חזקתו דלא עדיפא משטר</w:t>
      </w:r>
    </w:p>
    <w:p w:rsidR="0019070E" w:rsidRDefault="0019070E" w:rsidP="007E4E81">
      <w:pPr>
        <w:pStyle w:val="a"/>
        <w:rPr>
          <w:rFonts w:eastAsiaTheme="minorEastAsia" w:cstheme="minorBidi"/>
          <w:sz w:val="22"/>
          <w:szCs w:val="22"/>
          <w:rtl/>
        </w:rPr>
      </w:pPr>
      <w:r>
        <w:rPr>
          <w:rtl/>
        </w:rPr>
        <w:t>הביאור הב' ברבינו יונה דלר"נ אף שלא פשע בחזקה מ"מ צריך להביא ראיה כקיום שטרות</w:t>
      </w:r>
    </w:p>
    <w:p w:rsidR="0019070E" w:rsidRDefault="0019070E" w:rsidP="0007171D">
      <w:pPr>
        <w:pStyle w:val="aff4"/>
        <w:rPr>
          <w:rFonts w:eastAsiaTheme="minorEastAsia" w:cstheme="minorBidi"/>
          <w:i/>
          <w:iCs/>
          <w:noProof/>
          <w:sz w:val="22"/>
          <w:szCs w:val="22"/>
          <w:rtl/>
        </w:rPr>
      </w:pPr>
      <w:r>
        <w:rPr>
          <w:noProof/>
          <w:rtl/>
        </w:rPr>
        <w:t>קו' הריטב"א דלר"נ בכל חזקה יביא המחזיק ראיה שלא מחו בו</w:t>
      </w:r>
    </w:p>
    <w:p w:rsidR="0019070E" w:rsidRDefault="0019070E" w:rsidP="007E4E81">
      <w:pPr>
        <w:pStyle w:val="a"/>
        <w:rPr>
          <w:rFonts w:eastAsiaTheme="minorEastAsia" w:cstheme="minorBidi"/>
          <w:sz w:val="22"/>
          <w:szCs w:val="22"/>
          <w:rtl/>
        </w:rPr>
      </w:pPr>
      <w:r>
        <w:rPr>
          <w:rtl/>
        </w:rPr>
        <w:t>קושית הריטב"א על ר"נ דבכל מאחה אמאי אין המחזיק צריך להוכיח שלא מחה בו המערער</w:t>
      </w:r>
    </w:p>
    <w:p w:rsidR="0019070E" w:rsidRDefault="0019070E" w:rsidP="007E4E81">
      <w:pPr>
        <w:pStyle w:val="a"/>
        <w:rPr>
          <w:rFonts w:eastAsiaTheme="minorEastAsia" w:cstheme="minorBidi"/>
          <w:sz w:val="22"/>
          <w:szCs w:val="22"/>
          <w:rtl/>
        </w:rPr>
      </w:pPr>
      <w:r>
        <w:rPr>
          <w:rtl/>
        </w:rPr>
        <w:t>תירוץ הריטב"א דחזקת ג"ש היא כשטר מקוים וטענת מחאה כטענת פרוע או אמנה</w:t>
      </w:r>
    </w:p>
    <w:p w:rsidR="0019070E" w:rsidRDefault="0019070E" w:rsidP="0007171D">
      <w:pPr>
        <w:pStyle w:val="aff4"/>
        <w:rPr>
          <w:rFonts w:eastAsiaTheme="minorEastAsia" w:cstheme="minorBidi"/>
          <w:i/>
          <w:iCs/>
          <w:noProof/>
          <w:sz w:val="22"/>
          <w:szCs w:val="22"/>
          <w:rtl/>
        </w:rPr>
      </w:pPr>
      <w:r>
        <w:rPr>
          <w:noProof/>
          <w:rtl/>
        </w:rPr>
        <w:t>בי' הר"ן על הרי"ף דרבא ור"נ נח' ברוב שמוציא ממוחזק בקרקע</w:t>
      </w:r>
    </w:p>
    <w:p w:rsidR="0019070E" w:rsidRDefault="0019070E" w:rsidP="007E4E81">
      <w:pPr>
        <w:pStyle w:val="a"/>
        <w:rPr>
          <w:rFonts w:eastAsiaTheme="minorEastAsia" w:cstheme="minorBidi"/>
          <w:sz w:val="22"/>
          <w:szCs w:val="22"/>
          <w:rtl/>
        </w:rPr>
      </w:pPr>
      <w:r>
        <w:rPr>
          <w:rtl/>
        </w:rPr>
        <w:t>ביאור הר"ן דהו"א דפליגי רבא ור"נ בשכוני גוואי ובבר סיסין אי רוב מהני להוציא קרקע ממוחזק</w:t>
      </w:r>
    </w:p>
    <w:p w:rsidR="0019070E" w:rsidRDefault="0019070E" w:rsidP="007E4E81">
      <w:pPr>
        <w:pStyle w:val="a"/>
        <w:rPr>
          <w:rFonts w:eastAsiaTheme="minorEastAsia" w:cstheme="minorBidi"/>
          <w:sz w:val="22"/>
          <w:szCs w:val="22"/>
          <w:rtl/>
        </w:rPr>
      </w:pPr>
      <w:r>
        <w:rPr>
          <w:rtl/>
        </w:rPr>
        <w:t>ביאור הר"ן ברבא דבשכוני גוואי הרוב כמחזיק וחשיב להעמיד בידו ולא חשיב הוצאת ממון</w:t>
      </w:r>
    </w:p>
    <w:p w:rsidR="0019070E" w:rsidRDefault="0019070E" w:rsidP="007E4E81">
      <w:pPr>
        <w:pStyle w:val="a"/>
        <w:rPr>
          <w:rtl/>
        </w:rPr>
      </w:pPr>
      <w:r>
        <w:rPr>
          <w:rFonts w:hint="cs"/>
          <w:rtl/>
        </w:rPr>
        <w:t>ביאור הר"ן דלהו"א בר"נ אף כשהקרקע ביד המחזיק מ"מ בחזקת בעליה עומדת אף כנגד רוב</w:t>
      </w:r>
    </w:p>
    <w:p w:rsidR="0019070E" w:rsidRDefault="0019070E" w:rsidP="007E4E81">
      <w:pPr>
        <w:pStyle w:val="a"/>
      </w:pPr>
      <w:r>
        <w:rPr>
          <w:rFonts w:hint="cs"/>
          <w:rtl/>
        </w:rPr>
        <w:t>ביאור הר"ן דמקשה הגמ' דבבר סיסין רבא לא הלך אחר רוב ור"נ הלך אחר הרוב כנגד מוחזק</w:t>
      </w:r>
    </w:p>
    <w:p w:rsidR="0019070E" w:rsidRDefault="0019070E" w:rsidP="007E4E81">
      <w:pPr>
        <w:pStyle w:val="a"/>
        <w:rPr>
          <w:rFonts w:eastAsiaTheme="minorEastAsia" w:cstheme="minorBidi"/>
          <w:sz w:val="22"/>
          <w:szCs w:val="22"/>
          <w:rtl/>
        </w:rPr>
      </w:pPr>
      <w:r>
        <w:rPr>
          <w:rtl/>
        </w:rPr>
        <w:t>דברי הר"ן דלר"נ ל"מ רוב בקרקע כנגד מוחזק ולרבא מהני ובבר סיסין איירי שהמוכר מוחזק</w:t>
      </w:r>
    </w:p>
    <w:p w:rsidR="0019070E" w:rsidRDefault="0019070E" w:rsidP="0019070E">
      <w:pPr>
        <w:pStyle w:val="2"/>
        <w:rPr>
          <w:rtl/>
        </w:rPr>
      </w:pPr>
      <w:r w:rsidRPr="0000370E">
        <w:rPr>
          <w:rtl/>
        </w:rPr>
        <w:t xml:space="preserve">ד' החזו"א דהמוחזקות היא כפשטות </w:t>
      </w:r>
    </w:p>
    <w:p w:rsidR="0019070E" w:rsidRDefault="0019070E" w:rsidP="0007171D">
      <w:pPr>
        <w:pStyle w:val="aff4"/>
        <w:rPr>
          <w:rFonts w:eastAsiaTheme="minorEastAsia" w:cstheme="minorBidi"/>
          <w:i/>
          <w:iCs/>
          <w:noProof/>
          <w:sz w:val="22"/>
          <w:szCs w:val="22"/>
          <w:rtl/>
        </w:rPr>
      </w:pPr>
      <w:r>
        <w:rPr>
          <w:noProof/>
          <w:rtl/>
        </w:rPr>
        <w:t>בי' החזו"א דבבר סיסין המחדש כנגד הפשטות חשיב כמוציא</w:t>
      </w:r>
    </w:p>
    <w:p w:rsidR="0019070E" w:rsidRDefault="0019070E" w:rsidP="007E4E81">
      <w:pPr>
        <w:pStyle w:val="a"/>
        <w:rPr>
          <w:rFonts w:eastAsiaTheme="minorEastAsia" w:cstheme="minorBidi"/>
          <w:sz w:val="22"/>
          <w:szCs w:val="22"/>
          <w:rtl/>
        </w:rPr>
      </w:pPr>
      <w:r>
        <w:rPr>
          <w:rtl/>
        </w:rPr>
        <w:t>דברי החזו"א דבבר סיסין המוחזק הוא כפשטות והמחדש טענה נחשב כמוציא ממוחזק</w:t>
      </w:r>
    </w:p>
    <w:p w:rsidR="0019070E" w:rsidRDefault="001B6519" w:rsidP="0019070E">
      <w:pPr>
        <w:pStyle w:val="2"/>
        <w:rPr>
          <w:rFonts w:eastAsiaTheme="minorEastAsia" w:cstheme="minorBidi"/>
          <w:i/>
          <w:iCs/>
          <w:sz w:val="22"/>
          <w:szCs w:val="22"/>
          <w:rtl/>
        </w:rPr>
      </w:pPr>
      <w:r>
        <w:rPr>
          <w:rtl/>
        </w:rPr>
        <w:t>~~~~~~~ ביאורי ראשי הישיבות ~~~~~~~</w:t>
      </w:r>
    </w:p>
    <w:p w:rsidR="0019070E" w:rsidRDefault="0019070E" w:rsidP="0019070E">
      <w:pPr>
        <w:pStyle w:val="2"/>
        <w:rPr>
          <w:rFonts w:eastAsiaTheme="minorEastAsia" w:cstheme="minorBidi"/>
          <w:i/>
          <w:iCs/>
          <w:sz w:val="22"/>
          <w:szCs w:val="22"/>
          <w:rtl/>
        </w:rPr>
      </w:pPr>
      <w:r>
        <w:rPr>
          <w:rtl/>
        </w:rPr>
        <w:t>בפלוג' רבא ור"נ במוחזקות דחזקת ג"ש</w:t>
      </w:r>
    </w:p>
    <w:p w:rsidR="0019070E" w:rsidRDefault="0019070E" w:rsidP="0007171D">
      <w:pPr>
        <w:pStyle w:val="aff4"/>
        <w:rPr>
          <w:rFonts w:eastAsiaTheme="minorEastAsia" w:cstheme="minorBidi"/>
          <w:i/>
          <w:iCs/>
          <w:noProof/>
          <w:sz w:val="22"/>
          <w:szCs w:val="22"/>
          <w:rtl/>
        </w:rPr>
      </w:pPr>
      <w:r>
        <w:rPr>
          <w:noProof/>
          <w:rtl/>
        </w:rPr>
        <w:t>ביאור הברכ"ש דלרבא בספק חזקה המחזיק חשיב מוחזק</w:t>
      </w:r>
    </w:p>
    <w:p w:rsidR="0019070E" w:rsidRDefault="0019070E" w:rsidP="007E4E81">
      <w:pPr>
        <w:pStyle w:val="a"/>
        <w:rPr>
          <w:rFonts w:eastAsiaTheme="minorEastAsia" w:cstheme="minorBidi"/>
          <w:sz w:val="22"/>
          <w:szCs w:val="22"/>
          <w:rtl/>
        </w:rPr>
      </w:pPr>
      <w:r>
        <w:rPr>
          <w:rtl/>
        </w:rPr>
        <w:t>ביאור הברכ"ש דלרבא בספק בחזקה המחזיק נעשה מוחזק ותפוס אעפ"י דל"מ תפיסה בקרקע</w:t>
      </w:r>
    </w:p>
    <w:p w:rsidR="0019070E" w:rsidRDefault="0019070E" w:rsidP="0007171D">
      <w:pPr>
        <w:pStyle w:val="aff4"/>
        <w:rPr>
          <w:rFonts w:eastAsiaTheme="minorEastAsia" w:cstheme="minorBidi"/>
          <w:i/>
          <w:iCs/>
          <w:noProof/>
          <w:sz w:val="22"/>
          <w:szCs w:val="22"/>
          <w:rtl/>
        </w:rPr>
      </w:pPr>
      <w:r>
        <w:rPr>
          <w:noProof/>
          <w:rtl/>
        </w:rPr>
        <w:t>ביאור המשנת ר"א דנח' רבא ור"נ ביסוד המוחזקות בקרקעות</w:t>
      </w:r>
    </w:p>
    <w:p w:rsidR="0019070E" w:rsidRDefault="0019070E" w:rsidP="007E4E81">
      <w:pPr>
        <w:pStyle w:val="a"/>
        <w:rPr>
          <w:rFonts w:eastAsiaTheme="minorEastAsia" w:cstheme="minorBidi"/>
          <w:sz w:val="22"/>
          <w:szCs w:val="22"/>
          <w:rtl/>
        </w:rPr>
      </w:pPr>
      <w:r>
        <w:rPr>
          <w:rtl/>
        </w:rPr>
        <w:t>ביאור המשנת ר"א בר"נ דהחזקה מוציאה מהבעלים בראיה כשטר מכר אעפ"י דהמר"ק מוחזק</w:t>
      </w:r>
    </w:p>
    <w:p w:rsidR="0019070E" w:rsidRDefault="0019070E" w:rsidP="007E4E81">
      <w:pPr>
        <w:pStyle w:val="a"/>
        <w:rPr>
          <w:rFonts w:eastAsiaTheme="minorEastAsia" w:cstheme="minorBidi"/>
          <w:sz w:val="22"/>
          <w:szCs w:val="22"/>
          <w:rtl/>
        </w:rPr>
      </w:pPr>
      <w:r>
        <w:rPr>
          <w:rtl/>
        </w:rPr>
        <w:t>ביאור המשנת ר"א דלר"נ ספק בחזקה הוא ספק בראיה שמוציאה ממוחזק ועל המחזיק להוכיח</w:t>
      </w:r>
    </w:p>
    <w:p w:rsidR="0019070E" w:rsidRDefault="0019070E" w:rsidP="007E4E81">
      <w:pPr>
        <w:pStyle w:val="a"/>
        <w:rPr>
          <w:rFonts w:eastAsiaTheme="minorEastAsia" w:cstheme="minorBidi"/>
          <w:sz w:val="22"/>
          <w:szCs w:val="22"/>
          <w:rtl/>
        </w:rPr>
      </w:pPr>
      <w:r>
        <w:rPr>
          <w:rtl/>
        </w:rPr>
        <w:t>ביאור המשנת ר"א ברבא דקרקע בחזקת בעליה כגודרות ואחר חזקת ג"ש היא בחזקת המחזיק</w:t>
      </w:r>
    </w:p>
    <w:p w:rsidR="0019070E" w:rsidRDefault="0019070E" w:rsidP="007E4E81">
      <w:pPr>
        <w:pStyle w:val="a"/>
        <w:rPr>
          <w:rFonts w:eastAsiaTheme="minorEastAsia" w:cstheme="minorBidi"/>
          <w:sz w:val="22"/>
          <w:szCs w:val="22"/>
          <w:rtl/>
        </w:rPr>
      </w:pPr>
      <w:r>
        <w:rPr>
          <w:rtl/>
        </w:rPr>
        <w:t>ביאור המשנת ר"א דלרבא כשיש עידי חזקת ג"ש המחזיק מוחזק ועל המערער להוכיח טענתו</w:t>
      </w:r>
    </w:p>
    <w:p w:rsidR="0019070E" w:rsidRDefault="0019070E" w:rsidP="0007171D">
      <w:pPr>
        <w:pStyle w:val="aff4"/>
        <w:rPr>
          <w:rFonts w:eastAsiaTheme="minorEastAsia" w:cstheme="minorBidi"/>
          <w:i/>
          <w:iCs/>
          <w:noProof/>
          <w:sz w:val="22"/>
          <w:szCs w:val="22"/>
          <w:rtl/>
        </w:rPr>
      </w:pPr>
      <w:r>
        <w:rPr>
          <w:noProof/>
          <w:rtl/>
        </w:rPr>
        <w:t>בי' הגר"ח מטעלז דרבא ור"נ נח' בגדר הטענה ול"פ בכל חזקה</w:t>
      </w:r>
    </w:p>
    <w:p w:rsidR="0019070E" w:rsidRDefault="0019070E" w:rsidP="007E4E81">
      <w:pPr>
        <w:pStyle w:val="a"/>
        <w:rPr>
          <w:rFonts w:eastAsiaTheme="minorEastAsia" w:cstheme="minorBidi"/>
          <w:sz w:val="22"/>
          <w:szCs w:val="22"/>
          <w:rtl/>
        </w:rPr>
      </w:pPr>
      <w:r>
        <w:rPr>
          <w:rtl/>
        </w:rPr>
        <w:t>קושית הגר"ח מטעלז על הקצוה"ח דא"א לומר דנח' בכל ספק בחזקה דהא לעיל מודה רבא</w:t>
      </w:r>
    </w:p>
    <w:p w:rsidR="0019070E" w:rsidRDefault="0019070E" w:rsidP="007E4E81">
      <w:pPr>
        <w:pStyle w:val="a"/>
        <w:rPr>
          <w:rFonts w:eastAsiaTheme="minorEastAsia" w:cstheme="minorBidi"/>
          <w:sz w:val="22"/>
          <w:szCs w:val="22"/>
          <w:rtl/>
        </w:rPr>
      </w:pPr>
      <w:r>
        <w:rPr>
          <w:rtl/>
        </w:rPr>
        <w:t>ביאור הגר"ח מטעלז בר"נ דכשהתשמש עם המחזיק יש חסרון בעיקר החזקה ועל המחזיק להוכיח</w:t>
      </w:r>
    </w:p>
    <w:p w:rsidR="0019070E" w:rsidRDefault="0019070E" w:rsidP="007E4E81">
      <w:pPr>
        <w:pStyle w:val="a"/>
        <w:rPr>
          <w:rFonts w:eastAsiaTheme="minorEastAsia" w:cstheme="minorBidi"/>
          <w:sz w:val="22"/>
          <w:szCs w:val="22"/>
          <w:rtl/>
        </w:rPr>
      </w:pPr>
      <w:r>
        <w:rPr>
          <w:rtl/>
        </w:rPr>
        <w:t>ביאור הגר"ח מטעלז ברבא דטענת המערער שעבר דרך עליו היא כמחאה ועל המערער להוכיח</w:t>
      </w:r>
    </w:p>
    <w:p w:rsidR="0019070E" w:rsidRDefault="0019070E" w:rsidP="0007171D">
      <w:pPr>
        <w:pStyle w:val="aff4"/>
        <w:rPr>
          <w:rFonts w:eastAsiaTheme="minorEastAsia" w:cstheme="minorBidi"/>
          <w:i/>
          <w:iCs/>
          <w:noProof/>
          <w:sz w:val="22"/>
          <w:szCs w:val="22"/>
          <w:rtl/>
        </w:rPr>
      </w:pPr>
      <w:r>
        <w:rPr>
          <w:noProof/>
          <w:rtl/>
        </w:rPr>
        <w:t>ביאור האבי עזרי דנח' בודאי חזקה וספק טענה שעוקרת חזקה</w:t>
      </w:r>
    </w:p>
    <w:p w:rsidR="0019070E" w:rsidRDefault="0019070E" w:rsidP="007E4E81">
      <w:pPr>
        <w:pStyle w:val="a"/>
        <w:rPr>
          <w:rFonts w:eastAsiaTheme="minorEastAsia" w:cstheme="minorBidi"/>
          <w:sz w:val="22"/>
          <w:szCs w:val="22"/>
          <w:rtl/>
        </w:rPr>
      </w:pPr>
      <w:r>
        <w:rPr>
          <w:rtl/>
        </w:rPr>
        <w:t>דברי האבי עזרי דבספק במכירה צריך ראיה למכירה ובספק אי התבטלה צריך ראיה לביטול</w:t>
      </w:r>
    </w:p>
    <w:p w:rsidR="0019070E" w:rsidRDefault="0019070E" w:rsidP="007E4E81">
      <w:pPr>
        <w:pStyle w:val="a"/>
        <w:rPr>
          <w:rFonts w:eastAsiaTheme="minorEastAsia" w:cstheme="minorBidi"/>
          <w:sz w:val="22"/>
          <w:szCs w:val="22"/>
          <w:rtl/>
        </w:rPr>
      </w:pPr>
      <w:r>
        <w:rPr>
          <w:rtl/>
        </w:rPr>
        <w:t>דברי האבי עזרי דבודאי חזקת ג"ש וספק אם היה ביטול על המערער להביא ראיה כמו במחאה</w:t>
      </w:r>
    </w:p>
    <w:p w:rsidR="0019070E" w:rsidRDefault="0019070E" w:rsidP="007E4E81">
      <w:pPr>
        <w:pStyle w:val="a"/>
        <w:rPr>
          <w:rFonts w:eastAsiaTheme="minorEastAsia" w:cstheme="minorBidi"/>
          <w:sz w:val="22"/>
          <w:szCs w:val="22"/>
          <w:rtl/>
        </w:rPr>
      </w:pPr>
      <w:r>
        <w:rPr>
          <w:rtl/>
        </w:rPr>
        <w:t>ביאור האבי עזרי דבסוגיין יש חזקה גמורה אך לטענת המערער אין חזקה ובזה נח' רבא ור"נ</w:t>
      </w:r>
    </w:p>
    <w:p w:rsidR="0019070E" w:rsidRDefault="0019070E" w:rsidP="0007171D">
      <w:pPr>
        <w:pStyle w:val="aff4"/>
        <w:rPr>
          <w:rFonts w:eastAsiaTheme="minorEastAsia" w:cstheme="minorBidi"/>
          <w:i/>
          <w:iCs/>
          <w:noProof/>
          <w:sz w:val="22"/>
          <w:szCs w:val="22"/>
          <w:rtl/>
        </w:rPr>
      </w:pPr>
      <w:r>
        <w:rPr>
          <w:noProof/>
          <w:rtl/>
        </w:rPr>
        <w:t>ביאור הקוב"ש בנימוק"י דנח' רבא ור"נ אי הוי ודאי חזקה או לא</w:t>
      </w:r>
    </w:p>
    <w:p w:rsidR="0019070E" w:rsidRDefault="0019070E" w:rsidP="007E4E81">
      <w:pPr>
        <w:pStyle w:val="a"/>
        <w:rPr>
          <w:rFonts w:eastAsiaTheme="minorEastAsia" w:cstheme="minorBidi"/>
          <w:sz w:val="22"/>
          <w:szCs w:val="22"/>
          <w:rtl/>
        </w:rPr>
      </w:pPr>
      <w:r>
        <w:rPr>
          <w:rtl/>
        </w:rPr>
        <w:t>ביאור הקוב"ש בנימוק"י דלר"נ הראיה מהחזקה היא רק בהיה יכול למחות ועל המחזיק להוכיח</w:t>
      </w:r>
    </w:p>
    <w:p w:rsidR="0019070E" w:rsidRDefault="0019070E" w:rsidP="007E4E81">
      <w:pPr>
        <w:pStyle w:val="a"/>
        <w:rPr>
          <w:rFonts w:eastAsiaTheme="minorEastAsia" w:cstheme="minorBidi"/>
          <w:sz w:val="22"/>
          <w:szCs w:val="22"/>
          <w:rtl/>
        </w:rPr>
      </w:pPr>
      <w:r>
        <w:rPr>
          <w:rtl/>
        </w:rPr>
        <w:t>ביאור הקוב"ש ברבא דספק אם היה במקום שיכול למחות כספק במחאה ועל המערער להוכיח</w:t>
      </w:r>
    </w:p>
    <w:p w:rsidR="0019070E" w:rsidRDefault="0019070E" w:rsidP="007E4E81">
      <w:pPr>
        <w:pStyle w:val="a"/>
        <w:rPr>
          <w:rFonts w:eastAsiaTheme="minorEastAsia" w:cstheme="minorBidi"/>
          <w:sz w:val="22"/>
          <w:szCs w:val="22"/>
          <w:rtl/>
        </w:rPr>
      </w:pPr>
      <w:r>
        <w:rPr>
          <w:rtl/>
        </w:rPr>
        <w:t>ביאור הקוב"ש דבספק אם לא היה יכול למחות הוא ספק בעיקר חזקה ואינו ספק אי התבטלה</w:t>
      </w:r>
    </w:p>
    <w:p w:rsidR="0019070E" w:rsidRDefault="0019070E" w:rsidP="0019070E">
      <w:pPr>
        <w:pStyle w:val="2"/>
        <w:rPr>
          <w:rFonts w:eastAsiaTheme="minorEastAsia" w:cstheme="minorBidi"/>
          <w:i/>
          <w:iCs/>
          <w:sz w:val="22"/>
          <w:szCs w:val="22"/>
          <w:rtl/>
        </w:rPr>
      </w:pPr>
      <w:r>
        <w:rPr>
          <w:rtl/>
        </w:rPr>
        <w:t>בדין המוחזקות כשיש סתמא לחזקת ג"ש</w:t>
      </w:r>
    </w:p>
    <w:p w:rsidR="0019070E" w:rsidRDefault="0019070E" w:rsidP="0007171D">
      <w:pPr>
        <w:pStyle w:val="aff4"/>
        <w:rPr>
          <w:rFonts w:eastAsiaTheme="minorEastAsia" w:cstheme="minorBidi"/>
          <w:i/>
          <w:iCs/>
          <w:noProof/>
          <w:sz w:val="22"/>
          <w:szCs w:val="22"/>
          <w:rtl/>
        </w:rPr>
      </w:pPr>
      <w:r>
        <w:rPr>
          <w:noProof/>
          <w:rtl/>
        </w:rPr>
        <w:t>ביאור הגרנ"פ ברשב"ם דבספק בדבר שמגרע חזקה הוי מוחזק</w:t>
      </w:r>
    </w:p>
    <w:p w:rsidR="0019070E" w:rsidRDefault="0019070E" w:rsidP="007E4E81">
      <w:pPr>
        <w:pStyle w:val="a"/>
        <w:rPr>
          <w:rFonts w:eastAsiaTheme="minorEastAsia" w:cstheme="minorBidi"/>
          <w:sz w:val="22"/>
          <w:szCs w:val="22"/>
          <w:rtl/>
        </w:rPr>
      </w:pPr>
      <w:r>
        <w:rPr>
          <w:rtl/>
        </w:rPr>
        <w:t>דברי הגרנ"פ דברמב"ן משמע דביאר ברשב"ם דהעברת דרך מחסרת בחזקה ואינה רק מחאה</w:t>
      </w:r>
    </w:p>
    <w:p w:rsidR="0019070E" w:rsidRDefault="0019070E" w:rsidP="007E4E81">
      <w:pPr>
        <w:pStyle w:val="a"/>
        <w:rPr>
          <w:rFonts w:eastAsiaTheme="minorEastAsia" w:cstheme="minorBidi"/>
          <w:sz w:val="22"/>
          <w:szCs w:val="22"/>
          <w:rtl/>
        </w:rPr>
      </w:pPr>
      <w:r>
        <w:rPr>
          <w:rtl/>
        </w:rPr>
        <w:t>דברי הגרנ"פ דברשב"ם ובריטב"א ובקצוה"ח מבואר דהעברת דרך היא מחאה ול"ק קו' הרמב"ן</w:t>
      </w:r>
    </w:p>
    <w:p w:rsidR="0019070E" w:rsidRDefault="0019070E" w:rsidP="007E4E81">
      <w:pPr>
        <w:pStyle w:val="a"/>
        <w:rPr>
          <w:rFonts w:eastAsiaTheme="minorEastAsia" w:cstheme="minorBidi"/>
          <w:sz w:val="22"/>
          <w:szCs w:val="22"/>
          <w:rtl/>
        </w:rPr>
      </w:pPr>
      <w:r>
        <w:rPr>
          <w:rtl/>
        </w:rPr>
        <w:t>תי' הגרנ"פ על קושית הרמב"ן דבהחזקה ידועה וספק בסיבה צדדית שמגרעת חזקה הוי מוחזק</w:t>
      </w:r>
    </w:p>
    <w:p w:rsidR="0019070E" w:rsidRDefault="0019070E" w:rsidP="0007171D">
      <w:pPr>
        <w:pStyle w:val="aff4"/>
        <w:rPr>
          <w:rFonts w:eastAsiaTheme="minorEastAsia" w:cstheme="minorBidi"/>
          <w:i/>
          <w:iCs/>
          <w:noProof/>
          <w:sz w:val="22"/>
          <w:szCs w:val="22"/>
          <w:rtl/>
        </w:rPr>
      </w:pPr>
      <w:r>
        <w:rPr>
          <w:noProof/>
          <w:rtl/>
        </w:rPr>
        <w:t>ביאור הגרנ"פ ברשב"ם דלרבא כל שיש סתמא הוי חזקה</w:t>
      </w:r>
    </w:p>
    <w:p w:rsidR="0019070E" w:rsidRDefault="0019070E" w:rsidP="007E4E81">
      <w:pPr>
        <w:pStyle w:val="a"/>
        <w:rPr>
          <w:rFonts w:eastAsiaTheme="minorEastAsia" w:cstheme="minorBidi"/>
          <w:sz w:val="22"/>
          <w:szCs w:val="22"/>
          <w:rtl/>
        </w:rPr>
      </w:pPr>
      <w:r>
        <w:rPr>
          <w:rtl/>
        </w:rPr>
        <w:t>ביאור הגרנ"פ ברשב"ם דבספק לפנינו שהיה המערער בפנימי לכו"ע ל"ה חזקה ודלא כתוס'</w:t>
      </w:r>
    </w:p>
    <w:p w:rsidR="0019070E" w:rsidRDefault="0019070E" w:rsidP="007E4E81">
      <w:pPr>
        <w:pStyle w:val="a"/>
        <w:rPr>
          <w:rFonts w:eastAsiaTheme="minorEastAsia" w:cstheme="minorBidi"/>
          <w:sz w:val="22"/>
          <w:szCs w:val="22"/>
          <w:rtl/>
        </w:rPr>
      </w:pPr>
      <w:r>
        <w:rPr>
          <w:rtl/>
        </w:rPr>
        <w:t>ביאור הגרנ"פ ברשב"ם דחזקה היא מדין מוחזק וסגי במה שלא ראינו ספק לפנינו להחזיקו</w:t>
      </w:r>
    </w:p>
    <w:p w:rsidR="0019070E" w:rsidRDefault="0019070E" w:rsidP="007E4E81">
      <w:pPr>
        <w:pStyle w:val="a"/>
        <w:rPr>
          <w:rFonts w:eastAsiaTheme="minorEastAsia" w:cstheme="minorBidi"/>
          <w:sz w:val="22"/>
          <w:szCs w:val="22"/>
          <w:rtl/>
        </w:rPr>
      </w:pPr>
      <w:r>
        <w:rPr>
          <w:rtl/>
        </w:rPr>
        <w:t>ביאור הגרנ"פ בקו' הרי"ף על הרשב"ם דאף שיש סתמא לחזקה מ"מ מהני טענת המערער</w:t>
      </w:r>
    </w:p>
    <w:p w:rsidR="0019070E" w:rsidRDefault="0019070E" w:rsidP="007E4E81">
      <w:pPr>
        <w:pStyle w:val="a"/>
        <w:rPr>
          <w:rFonts w:eastAsiaTheme="minorEastAsia" w:cstheme="minorBidi"/>
          <w:sz w:val="22"/>
          <w:szCs w:val="22"/>
          <w:rtl/>
        </w:rPr>
      </w:pPr>
      <w:r>
        <w:rPr>
          <w:rtl/>
        </w:rPr>
        <w:t>ביאור הגרנ"פ ברשב"ם דבסוגיין אין ספק בידיעת החזקה ולעיל יש ספק בחזקה עצמה</w:t>
      </w:r>
    </w:p>
    <w:p w:rsidR="0019070E" w:rsidRDefault="0019070E" w:rsidP="007E4E81">
      <w:pPr>
        <w:pStyle w:val="a"/>
        <w:rPr>
          <w:rFonts w:eastAsiaTheme="minorEastAsia" w:cstheme="minorBidi"/>
          <w:sz w:val="22"/>
          <w:szCs w:val="22"/>
          <w:rtl/>
        </w:rPr>
      </w:pPr>
      <w:r>
        <w:rPr>
          <w:rtl/>
        </w:rPr>
        <w:t>הוכחת הגרנ"פ מהרמב"ם דבסוגיין ודאי מודה דל"מ טענת שמא כדס"ל דמהני בגמ' לעיל</w:t>
      </w:r>
    </w:p>
    <w:p w:rsidR="0019070E" w:rsidRDefault="0019070E" w:rsidP="0007171D">
      <w:pPr>
        <w:pStyle w:val="aff4"/>
        <w:rPr>
          <w:rFonts w:eastAsiaTheme="minorEastAsia" w:cstheme="minorBidi"/>
          <w:i/>
          <w:iCs/>
          <w:noProof/>
          <w:sz w:val="22"/>
          <w:szCs w:val="22"/>
          <w:rtl/>
        </w:rPr>
      </w:pPr>
      <w:r>
        <w:rPr>
          <w:noProof/>
          <w:rtl/>
        </w:rPr>
        <w:t>ביאור הגרנ"פ בתוס' דהעברת דרך כמחאה כשיש סתמא לפנינו</w:t>
      </w:r>
    </w:p>
    <w:p w:rsidR="0019070E" w:rsidRDefault="0019070E" w:rsidP="007E4E81">
      <w:pPr>
        <w:pStyle w:val="a"/>
        <w:rPr>
          <w:rFonts w:eastAsiaTheme="minorEastAsia" w:cstheme="minorBidi"/>
          <w:sz w:val="22"/>
          <w:szCs w:val="22"/>
          <w:rtl/>
        </w:rPr>
      </w:pPr>
      <w:r>
        <w:rPr>
          <w:rtl/>
        </w:rPr>
        <w:t>ביאור הגרנ"פ בתוס' דפליג על הרשב"ם ובמקום שאין ידיעה מטענת המחזיק לכו"ע הוי חזקה</w:t>
      </w:r>
    </w:p>
    <w:p w:rsidR="0019070E" w:rsidRDefault="0019070E" w:rsidP="007E4E81">
      <w:pPr>
        <w:pStyle w:val="a"/>
        <w:rPr>
          <w:rFonts w:eastAsiaTheme="minorEastAsia" w:cstheme="minorBidi"/>
          <w:sz w:val="22"/>
          <w:szCs w:val="22"/>
          <w:rtl/>
        </w:rPr>
      </w:pPr>
      <w:r>
        <w:rPr>
          <w:rtl/>
        </w:rPr>
        <w:t>ביאור הגרנ"פ בתוס' דהעברת דרך אינה חסרון בחזקה אלא כמחאה וצריך ספק גמור לפנינו</w:t>
      </w:r>
    </w:p>
    <w:p w:rsidR="0019070E" w:rsidRDefault="0019070E" w:rsidP="007E4E81">
      <w:pPr>
        <w:pStyle w:val="a"/>
        <w:rPr>
          <w:rFonts w:eastAsiaTheme="minorEastAsia" w:cstheme="minorBidi"/>
          <w:sz w:val="22"/>
          <w:szCs w:val="22"/>
          <w:rtl/>
        </w:rPr>
      </w:pPr>
      <w:r>
        <w:rPr>
          <w:rtl/>
        </w:rPr>
        <w:t>ביאור הגרנ"פ דבין לרשב"ם ובין לתוס' אין נדון בעיקר החזקה ונחלקו אם צריך סיבה לפנינו</w:t>
      </w:r>
    </w:p>
    <w:p w:rsidR="0019070E" w:rsidRDefault="0019070E" w:rsidP="0007171D">
      <w:pPr>
        <w:pStyle w:val="aff4"/>
        <w:rPr>
          <w:rFonts w:eastAsiaTheme="minorEastAsia" w:cstheme="minorBidi"/>
          <w:i/>
          <w:iCs/>
          <w:noProof/>
          <w:sz w:val="22"/>
          <w:szCs w:val="22"/>
          <w:rtl/>
        </w:rPr>
      </w:pPr>
      <w:r>
        <w:rPr>
          <w:noProof/>
          <w:rtl/>
        </w:rPr>
        <w:t>ביאור הגרנ"פ דנח' רבא ור"נ בספק שנולד אחר שנחשב למוחזק</w:t>
      </w:r>
    </w:p>
    <w:p w:rsidR="0019070E" w:rsidRDefault="0019070E" w:rsidP="007E4E81">
      <w:pPr>
        <w:pStyle w:val="a"/>
        <w:rPr>
          <w:rFonts w:eastAsiaTheme="minorEastAsia" w:cstheme="minorBidi"/>
          <w:sz w:val="22"/>
          <w:szCs w:val="22"/>
          <w:rtl/>
        </w:rPr>
      </w:pPr>
      <w:r>
        <w:rPr>
          <w:rtl/>
        </w:rPr>
        <w:t>ביאור הגרנ"פ דאחר טענת המערער יש ספק ולרבא מהני המוחזקות דלפני הספק ולר"נ ל"מ</w:t>
      </w:r>
    </w:p>
    <w:p w:rsidR="0019070E" w:rsidRDefault="0019070E" w:rsidP="007E4E81">
      <w:pPr>
        <w:pStyle w:val="a"/>
        <w:rPr>
          <w:rFonts w:eastAsiaTheme="minorEastAsia" w:cstheme="minorBidi"/>
          <w:sz w:val="22"/>
          <w:szCs w:val="22"/>
          <w:rtl/>
        </w:rPr>
      </w:pPr>
      <w:r>
        <w:rPr>
          <w:rtl/>
        </w:rPr>
        <w:t>ביאור הגרנ"פ בקושית הגמ' מבר סיסין דהספק הוא רק מחמת טענת המערער ודמי לסוגיין</w:t>
      </w:r>
    </w:p>
    <w:p w:rsidR="0019070E" w:rsidRDefault="0019070E" w:rsidP="0007171D">
      <w:pPr>
        <w:pStyle w:val="aff4"/>
        <w:rPr>
          <w:rFonts w:eastAsiaTheme="minorEastAsia" w:cstheme="minorBidi"/>
          <w:i/>
          <w:iCs/>
          <w:noProof/>
          <w:sz w:val="22"/>
          <w:szCs w:val="22"/>
          <w:rtl/>
        </w:rPr>
      </w:pPr>
      <w:r>
        <w:rPr>
          <w:noProof/>
          <w:rtl/>
        </w:rPr>
        <w:t>ביאור הגרנ"פ בפלוגתת רבינו יונה והרשב"ם במסקנת הגמ'</w:t>
      </w:r>
    </w:p>
    <w:p w:rsidR="0019070E" w:rsidRDefault="0019070E" w:rsidP="007E4E81">
      <w:pPr>
        <w:pStyle w:val="a"/>
        <w:rPr>
          <w:rFonts w:eastAsiaTheme="minorEastAsia" w:cstheme="minorBidi"/>
          <w:sz w:val="22"/>
          <w:szCs w:val="22"/>
          <w:rtl/>
        </w:rPr>
      </w:pPr>
      <w:r>
        <w:rPr>
          <w:rtl/>
        </w:rPr>
        <w:t>ביאור הגרנ"פ בתי' הגמ' מבר סיסין דסתמא אינו כמוחזק אלא דדר בבית הסתמא שמוחזק</w:t>
      </w:r>
    </w:p>
    <w:p w:rsidR="0019070E" w:rsidRDefault="0019070E" w:rsidP="007E4E81">
      <w:pPr>
        <w:pStyle w:val="a"/>
        <w:rPr>
          <w:rFonts w:eastAsiaTheme="minorEastAsia" w:cstheme="minorBidi"/>
          <w:sz w:val="22"/>
          <w:szCs w:val="22"/>
          <w:rtl/>
        </w:rPr>
      </w:pPr>
      <w:r>
        <w:rPr>
          <w:rtl/>
        </w:rPr>
        <w:t>ביאור הגרנ"פ ברבינו יונה דאף למסקנא לר"נ לא מהני סתמא להחשיב מחזיק למוחזק</w:t>
      </w:r>
    </w:p>
    <w:p w:rsidR="0019070E" w:rsidRDefault="0019070E" w:rsidP="007E4E81">
      <w:pPr>
        <w:pStyle w:val="a"/>
        <w:rPr>
          <w:rFonts w:eastAsiaTheme="minorEastAsia" w:cstheme="minorBidi"/>
          <w:sz w:val="22"/>
          <w:szCs w:val="22"/>
          <w:rtl/>
        </w:rPr>
      </w:pPr>
      <w:r>
        <w:rPr>
          <w:rtl/>
        </w:rPr>
        <w:t>דברי הגרנ"פ דלרשב"ם לא דמי סתמא דמכירה לסתמא דחזקה דל"מ להחשיבו כמוחזק</w:t>
      </w:r>
    </w:p>
    <w:p w:rsidR="0019070E" w:rsidRDefault="0019070E" w:rsidP="007E4E81">
      <w:pPr>
        <w:pStyle w:val="a"/>
        <w:rPr>
          <w:rFonts w:eastAsiaTheme="minorEastAsia" w:cstheme="minorBidi"/>
          <w:sz w:val="22"/>
          <w:szCs w:val="22"/>
          <w:rtl/>
        </w:rPr>
      </w:pPr>
      <w:r>
        <w:rPr>
          <w:rtl/>
        </w:rPr>
        <w:t>ביאור הגרנ"פ ברשב"ם דלמסקנא מודה ר"נ דסתמא מחשיב כמוחזק ופליג רק בסתמא דחזקה</w:t>
      </w:r>
    </w:p>
    <w:p w:rsidR="0019070E" w:rsidRDefault="0019070E" w:rsidP="0007171D">
      <w:pPr>
        <w:pStyle w:val="aff4"/>
        <w:rPr>
          <w:rFonts w:eastAsiaTheme="minorEastAsia" w:cstheme="minorBidi"/>
          <w:i/>
          <w:iCs/>
          <w:noProof/>
          <w:sz w:val="22"/>
          <w:szCs w:val="22"/>
          <w:rtl/>
        </w:rPr>
      </w:pPr>
      <w:r>
        <w:rPr>
          <w:noProof/>
          <w:rtl/>
        </w:rPr>
        <w:t>ביאור הגרש"ר ברשב"ם ובתוס' בגדר מוחזקות בסתמא דחזקה</w:t>
      </w:r>
    </w:p>
    <w:p w:rsidR="0019070E" w:rsidRDefault="0019070E" w:rsidP="007E4E81">
      <w:pPr>
        <w:pStyle w:val="a"/>
        <w:rPr>
          <w:rFonts w:eastAsiaTheme="minorEastAsia" w:cstheme="minorBidi"/>
          <w:sz w:val="22"/>
          <w:szCs w:val="22"/>
          <w:rtl/>
        </w:rPr>
      </w:pPr>
      <w:r>
        <w:rPr>
          <w:rtl/>
        </w:rPr>
        <w:t>ביאור הגרש"ר בתוס' דבסתמא לחזקה לכו"ע נעשה המחזיק מוחזק ואין לחוש לטענת המערער</w:t>
      </w:r>
    </w:p>
    <w:p w:rsidR="0019070E" w:rsidRDefault="0019070E" w:rsidP="007E4E81">
      <w:pPr>
        <w:pStyle w:val="a"/>
        <w:rPr>
          <w:rFonts w:eastAsiaTheme="minorEastAsia" w:cstheme="minorBidi"/>
          <w:sz w:val="22"/>
          <w:szCs w:val="22"/>
          <w:rtl/>
        </w:rPr>
      </w:pPr>
      <w:r>
        <w:rPr>
          <w:rtl/>
        </w:rPr>
        <w:t>דברי הגרש"ר דלרשב"ם הפשטות שלא היה המערער בבית ונח' רבא ור"נ בטענה נגד חזקה</w:t>
      </w:r>
    </w:p>
    <w:p w:rsidR="0019070E" w:rsidRDefault="0019070E" w:rsidP="007E4E81">
      <w:pPr>
        <w:pStyle w:val="a"/>
        <w:rPr>
          <w:rFonts w:eastAsiaTheme="minorEastAsia" w:cstheme="minorBidi"/>
          <w:sz w:val="22"/>
          <w:szCs w:val="22"/>
          <w:rtl/>
        </w:rPr>
      </w:pPr>
      <w:r>
        <w:rPr>
          <w:rtl/>
        </w:rPr>
        <w:t>תירוץ הגרש"ר על קו' הרמב"ן</w:t>
      </w:r>
      <w:r w:rsidR="00A77F33">
        <w:rPr>
          <w:rtl/>
        </w:rPr>
        <w:t xml:space="preserve"> </w:t>
      </w:r>
      <w:r>
        <w:rPr>
          <w:rtl/>
        </w:rPr>
        <w:t>דלרשב"ם בסתמא נעשה מוחזק ולא חיישינן לטענת המערער</w:t>
      </w:r>
    </w:p>
    <w:p w:rsidR="0019070E" w:rsidRDefault="0019070E" w:rsidP="0007171D">
      <w:pPr>
        <w:pStyle w:val="aff4"/>
        <w:rPr>
          <w:rFonts w:eastAsiaTheme="minorEastAsia" w:cstheme="minorBidi"/>
          <w:i/>
          <w:iCs/>
          <w:noProof/>
          <w:sz w:val="22"/>
          <w:szCs w:val="22"/>
          <w:rtl/>
        </w:rPr>
      </w:pPr>
      <w:r>
        <w:rPr>
          <w:noProof/>
          <w:rtl/>
        </w:rPr>
        <w:t>ביאור הגרש"ר בנימוק"י דנח' רבא ור"נ בטענה וסתמא דחזקה</w:t>
      </w:r>
    </w:p>
    <w:p w:rsidR="0019070E" w:rsidRDefault="0019070E" w:rsidP="007E4E81">
      <w:pPr>
        <w:pStyle w:val="a"/>
        <w:rPr>
          <w:rFonts w:eastAsiaTheme="minorEastAsia" w:cstheme="minorBidi"/>
          <w:sz w:val="22"/>
          <w:szCs w:val="22"/>
          <w:rtl/>
        </w:rPr>
      </w:pPr>
      <w:r>
        <w:rPr>
          <w:rtl/>
        </w:rPr>
        <w:t>ביאור הגרש"ר בנימוק"י דפלוגתת רבא ור"נ אי מהני טענה כנגד סתמא של חזקת ג"ש</w:t>
      </w:r>
    </w:p>
    <w:p w:rsidR="0019070E" w:rsidRDefault="0019070E" w:rsidP="007E4E81">
      <w:pPr>
        <w:pStyle w:val="a"/>
        <w:rPr>
          <w:rFonts w:eastAsiaTheme="minorEastAsia" w:cstheme="minorBidi"/>
          <w:sz w:val="22"/>
          <w:szCs w:val="22"/>
          <w:rtl/>
        </w:rPr>
      </w:pPr>
      <w:r>
        <w:rPr>
          <w:rtl/>
        </w:rPr>
        <w:t>קושית הגרש"ר על הקצוה"ח דנח' אי טענת המערער כמחאה דא"כ לא דמי לנכסי דבר סיסין</w:t>
      </w:r>
    </w:p>
    <w:p w:rsidR="0019070E" w:rsidRDefault="0019070E" w:rsidP="0007171D">
      <w:pPr>
        <w:pStyle w:val="aff4"/>
        <w:rPr>
          <w:rFonts w:eastAsiaTheme="minorEastAsia" w:cstheme="minorBidi"/>
          <w:i/>
          <w:iCs/>
          <w:noProof/>
          <w:sz w:val="22"/>
          <w:szCs w:val="22"/>
          <w:rtl/>
        </w:rPr>
      </w:pPr>
      <w:r>
        <w:rPr>
          <w:noProof/>
          <w:rtl/>
        </w:rPr>
        <w:t>ביאור הדברי מרדכי ברשב"ם אי דרך כמחאה או חסרון בחזקה</w:t>
      </w:r>
    </w:p>
    <w:p w:rsidR="0019070E" w:rsidRDefault="0019070E" w:rsidP="007E4E81">
      <w:pPr>
        <w:pStyle w:val="a"/>
        <w:rPr>
          <w:rFonts w:eastAsiaTheme="minorEastAsia" w:cstheme="minorBidi"/>
          <w:sz w:val="22"/>
          <w:szCs w:val="22"/>
          <w:rtl/>
        </w:rPr>
      </w:pPr>
      <w:r>
        <w:rPr>
          <w:rtl/>
        </w:rPr>
        <w:t>קושית הדברי מרדכי בסתירת הרשב"ם אי העברת דרך כמחאה או דלא הוי חזקה גמורה</w:t>
      </w:r>
    </w:p>
    <w:p w:rsidR="0019070E" w:rsidRDefault="0019070E" w:rsidP="007E4E81">
      <w:pPr>
        <w:pStyle w:val="a"/>
        <w:rPr>
          <w:rFonts w:eastAsiaTheme="minorEastAsia" w:cstheme="minorBidi"/>
          <w:sz w:val="22"/>
          <w:szCs w:val="22"/>
          <w:rtl/>
        </w:rPr>
      </w:pPr>
      <w:r>
        <w:rPr>
          <w:rtl/>
        </w:rPr>
        <w:t>ביאור הדברי מרדכי דאחר שהמחאה עשתה ביטול בחזקה יש חסרון בחזקה עצמה דאין לו שטר</w:t>
      </w:r>
    </w:p>
    <w:p w:rsidR="0019070E" w:rsidRDefault="0019070E" w:rsidP="007E4E81">
      <w:pPr>
        <w:pStyle w:val="a"/>
        <w:rPr>
          <w:rFonts w:eastAsiaTheme="minorEastAsia" w:cstheme="minorBidi"/>
          <w:sz w:val="22"/>
          <w:szCs w:val="22"/>
          <w:rtl/>
        </w:rPr>
      </w:pPr>
      <w:r>
        <w:rPr>
          <w:rtl/>
        </w:rPr>
        <w:t>ביאור הדברי ברשב"ם דטענת המערער שהוי כמחאה אך ממילא חשיב ביטול בעצם החזקה</w:t>
      </w:r>
    </w:p>
    <w:p w:rsidR="0019070E" w:rsidRDefault="0019070E" w:rsidP="007E4E81">
      <w:pPr>
        <w:pStyle w:val="a"/>
        <w:rPr>
          <w:rFonts w:eastAsiaTheme="minorEastAsia" w:cstheme="minorBidi"/>
          <w:sz w:val="22"/>
          <w:szCs w:val="22"/>
          <w:rtl/>
        </w:rPr>
      </w:pPr>
      <w:r>
        <w:rPr>
          <w:rtl/>
        </w:rPr>
        <w:t>ביאור הדברי מרדכי ברבא דמחאה לא מבטלת את עצם החזקה ועל המערער לברר כדין מחאה</w:t>
      </w:r>
    </w:p>
    <w:p w:rsidR="0019070E" w:rsidRDefault="0019070E" w:rsidP="0019070E">
      <w:pPr>
        <w:pStyle w:val="2"/>
        <w:rPr>
          <w:rFonts w:eastAsiaTheme="minorEastAsia" w:cstheme="minorBidi"/>
          <w:i/>
          <w:iCs/>
          <w:sz w:val="22"/>
          <w:szCs w:val="22"/>
          <w:rtl/>
        </w:rPr>
      </w:pPr>
      <w:r>
        <w:rPr>
          <w:rtl/>
        </w:rPr>
        <w:t>בד' הסוברים דאין עדים למר"ק</w:t>
      </w:r>
    </w:p>
    <w:p w:rsidR="0019070E" w:rsidRDefault="0019070E" w:rsidP="0007171D">
      <w:pPr>
        <w:pStyle w:val="aff4"/>
        <w:rPr>
          <w:rFonts w:eastAsiaTheme="minorEastAsia" w:cstheme="minorBidi"/>
          <w:i/>
          <w:iCs/>
          <w:noProof/>
          <w:sz w:val="22"/>
          <w:szCs w:val="22"/>
          <w:rtl/>
        </w:rPr>
      </w:pPr>
      <w:r>
        <w:rPr>
          <w:noProof/>
          <w:rtl/>
        </w:rPr>
        <w:t>ביאור הגרנ"פ ברשב"ם דמיגו מהני רק כשיש לו חזקת ג"ש</w:t>
      </w:r>
    </w:p>
    <w:p w:rsidR="0019070E" w:rsidRDefault="0019070E" w:rsidP="007E4E81">
      <w:pPr>
        <w:pStyle w:val="a"/>
        <w:rPr>
          <w:rFonts w:eastAsiaTheme="minorEastAsia" w:cstheme="minorBidi"/>
          <w:sz w:val="22"/>
          <w:szCs w:val="22"/>
          <w:rtl/>
        </w:rPr>
      </w:pPr>
      <w:r>
        <w:rPr>
          <w:rtl/>
        </w:rPr>
        <w:t>קושיות הגרנ"פ על הרשב"ם דהול"ל דבלא עדים א"צ חזקה אף כשיש עדים שדר בבית הפנימי</w:t>
      </w:r>
    </w:p>
    <w:p w:rsidR="0019070E" w:rsidRDefault="0019070E" w:rsidP="007E4E81">
      <w:pPr>
        <w:pStyle w:val="a"/>
        <w:rPr>
          <w:rFonts w:eastAsiaTheme="minorEastAsia" w:cstheme="minorBidi"/>
          <w:sz w:val="22"/>
          <w:szCs w:val="22"/>
          <w:rtl/>
        </w:rPr>
      </w:pPr>
      <w:r>
        <w:rPr>
          <w:rtl/>
        </w:rPr>
        <w:t>ביאור הגרנ"פ ברשב"ם דהפה שאסר מהני רק כשיש לו חזקת ג"ש ובמודה דאין חזקה אינו נאמן</w:t>
      </w:r>
    </w:p>
    <w:p w:rsidR="0019070E" w:rsidRDefault="0019070E" w:rsidP="007E4E81">
      <w:pPr>
        <w:pStyle w:val="a"/>
        <w:rPr>
          <w:rFonts w:eastAsiaTheme="minorEastAsia" w:cstheme="minorBidi"/>
          <w:sz w:val="22"/>
          <w:szCs w:val="22"/>
          <w:rtl/>
        </w:rPr>
      </w:pPr>
      <w:r>
        <w:rPr>
          <w:rtl/>
        </w:rPr>
        <w:t>הוכחות הגרנ"פ מדברי הרשב"ם לקמן דהפה שאסר מהני רק כשיש לו חזקת ג"ש עם טענה</w:t>
      </w:r>
    </w:p>
    <w:p w:rsidR="0019070E" w:rsidRDefault="0019070E" w:rsidP="0007171D">
      <w:pPr>
        <w:pStyle w:val="aff4"/>
        <w:rPr>
          <w:rFonts w:eastAsiaTheme="minorEastAsia" w:cstheme="minorBidi"/>
          <w:i/>
          <w:iCs/>
          <w:noProof/>
          <w:sz w:val="22"/>
          <w:szCs w:val="22"/>
          <w:rtl/>
        </w:rPr>
      </w:pPr>
      <w:r>
        <w:rPr>
          <w:noProof/>
          <w:rtl/>
        </w:rPr>
        <w:t>ביאור הגרנ"פ בי"מ ברי"ף דרבא ור"נ נח' בהמע"ה ולא במיגו</w:t>
      </w:r>
    </w:p>
    <w:p w:rsidR="0019070E" w:rsidRDefault="0019070E" w:rsidP="007E4E81">
      <w:pPr>
        <w:pStyle w:val="a"/>
        <w:rPr>
          <w:rFonts w:eastAsiaTheme="minorEastAsia" w:cstheme="minorBidi"/>
          <w:sz w:val="22"/>
          <w:szCs w:val="22"/>
          <w:rtl/>
        </w:rPr>
      </w:pPr>
      <w:r>
        <w:rPr>
          <w:rtl/>
        </w:rPr>
        <w:t>קושית הגרנ"פ על הי"מ בפי' הא' ברי"ף דהנאמנות מהפה שאסר ול"מ כן בדברי רבא כלל</w:t>
      </w:r>
    </w:p>
    <w:p w:rsidR="0019070E" w:rsidRDefault="0019070E" w:rsidP="007E4E81">
      <w:pPr>
        <w:pStyle w:val="a"/>
        <w:rPr>
          <w:rFonts w:eastAsiaTheme="minorEastAsia" w:cstheme="minorBidi"/>
          <w:sz w:val="22"/>
          <w:szCs w:val="22"/>
          <w:rtl/>
        </w:rPr>
      </w:pPr>
      <w:r>
        <w:rPr>
          <w:rtl/>
        </w:rPr>
        <w:t>ביאור הגרנ"פ דלר"נ המערער מכחיש את עצם החזקה ואין המחזיק מוחזק והספק בעיקר חזקתו</w:t>
      </w:r>
    </w:p>
    <w:p w:rsidR="0019070E" w:rsidRDefault="0019070E" w:rsidP="007E4E81">
      <w:pPr>
        <w:pStyle w:val="a"/>
        <w:rPr>
          <w:rFonts w:eastAsiaTheme="minorEastAsia" w:cstheme="minorBidi"/>
          <w:sz w:val="22"/>
          <w:szCs w:val="22"/>
          <w:rtl/>
        </w:rPr>
      </w:pPr>
      <w:r>
        <w:rPr>
          <w:rtl/>
        </w:rPr>
        <w:t>ביאור הגרנ"פ דבדין הפה שאסר המערער אינו מכחיש את מוחזקות המחזיק וטענתו על המכירה</w:t>
      </w:r>
    </w:p>
    <w:p w:rsidR="0019070E" w:rsidRDefault="0019070E" w:rsidP="007E4E81">
      <w:pPr>
        <w:pStyle w:val="a"/>
        <w:rPr>
          <w:rFonts w:eastAsiaTheme="minorEastAsia" w:cstheme="minorBidi"/>
          <w:sz w:val="22"/>
          <w:szCs w:val="22"/>
          <w:rtl/>
        </w:rPr>
      </w:pPr>
      <w:r>
        <w:rPr>
          <w:rtl/>
        </w:rPr>
        <w:t>ביאור הגרנ"פ בי"מ ברי"ף בפי' הא' דלר"נ ע"י טענת המערער יש ספק בעיקר המוחזקות</w:t>
      </w:r>
    </w:p>
    <w:p w:rsidR="0019070E" w:rsidRDefault="0019070E" w:rsidP="007E4E81">
      <w:pPr>
        <w:pStyle w:val="a"/>
        <w:rPr>
          <w:rFonts w:eastAsiaTheme="minorEastAsia" w:cstheme="minorBidi"/>
          <w:sz w:val="22"/>
          <w:szCs w:val="22"/>
          <w:rtl/>
        </w:rPr>
      </w:pPr>
      <w:r>
        <w:rPr>
          <w:rtl/>
        </w:rPr>
        <w:t>ביאור הגרנ"פ בי"מ ברי"ף בפי' הא' דאף דנח' בהמע"ה מ"מ לרבא כשיש עדים המחזיק מוחזק</w:t>
      </w:r>
    </w:p>
    <w:p w:rsidR="0019070E" w:rsidRDefault="0019070E" w:rsidP="0007171D">
      <w:pPr>
        <w:pStyle w:val="aff4"/>
        <w:rPr>
          <w:rFonts w:eastAsiaTheme="minorEastAsia" w:cstheme="minorBidi"/>
          <w:i/>
          <w:iCs/>
          <w:noProof/>
          <w:sz w:val="22"/>
          <w:szCs w:val="22"/>
          <w:rtl/>
        </w:rPr>
      </w:pPr>
      <w:r>
        <w:rPr>
          <w:noProof/>
          <w:rtl/>
        </w:rPr>
        <w:t>ביאור האבי עזרי בפי' הא' ברי"ף דבשטוען חזקה ל"מ מיגו</w:t>
      </w:r>
    </w:p>
    <w:p w:rsidR="0019070E" w:rsidRDefault="0019070E" w:rsidP="007E4E81">
      <w:pPr>
        <w:pStyle w:val="a"/>
        <w:rPr>
          <w:rFonts w:eastAsiaTheme="minorEastAsia" w:cstheme="minorBidi"/>
          <w:sz w:val="22"/>
          <w:szCs w:val="22"/>
          <w:rtl/>
        </w:rPr>
      </w:pPr>
      <w:r>
        <w:rPr>
          <w:rtl/>
        </w:rPr>
        <w:t>דברי הנימוק"י לקמן דבמקום שאחר המיגו עדיין צריך נאמנות נוספת לא מהני מיגו</w:t>
      </w:r>
    </w:p>
    <w:p w:rsidR="0019070E" w:rsidRDefault="0019070E" w:rsidP="007E4E81">
      <w:pPr>
        <w:pStyle w:val="a"/>
        <w:rPr>
          <w:rFonts w:eastAsiaTheme="minorEastAsia" w:cstheme="minorBidi"/>
          <w:sz w:val="22"/>
          <w:szCs w:val="22"/>
          <w:rtl/>
        </w:rPr>
      </w:pPr>
      <w:r>
        <w:rPr>
          <w:rtl/>
        </w:rPr>
        <w:t>ביאור האבי עזרי בד' הי"מ בפי' הא' ברי"ף דהכא צריך נאמנות גם על החזקה והמיגו ל"מ לזה</w:t>
      </w:r>
    </w:p>
    <w:p w:rsidR="0019070E" w:rsidRDefault="0019070E" w:rsidP="007E4E81">
      <w:pPr>
        <w:pStyle w:val="a"/>
        <w:rPr>
          <w:rFonts w:eastAsiaTheme="minorEastAsia" w:cstheme="minorBidi"/>
          <w:sz w:val="22"/>
          <w:szCs w:val="22"/>
          <w:rtl/>
        </w:rPr>
      </w:pPr>
      <w:r>
        <w:rPr>
          <w:rtl/>
        </w:rPr>
        <w:t>ביאור האבי עזרי בי"מ בפי' הא' ברי"ף דס"ל כרשב"ם והנאמנות אינה ע"י מיגו אלא ע"י החזקה</w:t>
      </w:r>
    </w:p>
    <w:p w:rsidR="0019070E" w:rsidRDefault="0019070E" w:rsidP="007E4E81">
      <w:pPr>
        <w:pStyle w:val="a"/>
        <w:rPr>
          <w:rFonts w:eastAsiaTheme="minorEastAsia" w:cstheme="minorBidi"/>
          <w:sz w:val="22"/>
          <w:szCs w:val="22"/>
          <w:rtl/>
        </w:rPr>
      </w:pPr>
      <w:r>
        <w:rPr>
          <w:rtl/>
        </w:rPr>
        <w:t>ביאור האבי עזרי בי"מ בפי' הא' ברי"ף דביש למר"ק עדים לכו"ע הוא המוחזק ומוכח דאין עדים</w:t>
      </w:r>
    </w:p>
    <w:p w:rsidR="0019070E" w:rsidRDefault="0019070E" w:rsidP="0019070E">
      <w:pPr>
        <w:pStyle w:val="2"/>
        <w:rPr>
          <w:rFonts w:eastAsiaTheme="minorEastAsia" w:cstheme="minorBidi"/>
          <w:i/>
          <w:iCs/>
          <w:sz w:val="22"/>
          <w:szCs w:val="22"/>
          <w:rtl/>
        </w:rPr>
      </w:pPr>
      <w:r>
        <w:rPr>
          <w:rtl/>
        </w:rPr>
        <w:t>בדין חזקה בשותפות המר"ק והמחזיק</w:t>
      </w:r>
    </w:p>
    <w:p w:rsidR="0019070E" w:rsidRDefault="0019070E" w:rsidP="0007171D">
      <w:pPr>
        <w:pStyle w:val="aff4"/>
        <w:rPr>
          <w:rFonts w:eastAsiaTheme="minorEastAsia" w:cstheme="minorBidi"/>
          <w:i/>
          <w:iCs/>
          <w:noProof/>
          <w:sz w:val="22"/>
          <w:szCs w:val="22"/>
          <w:rtl/>
        </w:rPr>
      </w:pPr>
      <w:r>
        <w:rPr>
          <w:noProof/>
          <w:rtl/>
        </w:rPr>
        <w:t>דברי הגרש"ש דכשאין ניכר הבעלים ל"מ חזקה בשותפות</w:t>
      </w:r>
    </w:p>
    <w:p w:rsidR="0019070E" w:rsidRDefault="0019070E" w:rsidP="007E4E81">
      <w:pPr>
        <w:pStyle w:val="a"/>
        <w:rPr>
          <w:rFonts w:eastAsiaTheme="minorEastAsia" w:cstheme="minorBidi"/>
          <w:sz w:val="22"/>
          <w:szCs w:val="22"/>
          <w:rtl/>
        </w:rPr>
      </w:pPr>
      <w:r>
        <w:rPr>
          <w:rtl/>
        </w:rPr>
        <w:t>קושית הגרש"ש על הקצוה"ח דכל שמשתמשין בשותפות אין נ"מ למר"ק בדין ברירה כלל</w:t>
      </w:r>
    </w:p>
    <w:p w:rsidR="0019070E" w:rsidRDefault="0019070E" w:rsidP="007E4E81">
      <w:pPr>
        <w:pStyle w:val="a"/>
        <w:rPr>
          <w:rFonts w:eastAsiaTheme="minorEastAsia" w:cstheme="minorBidi"/>
          <w:sz w:val="22"/>
          <w:szCs w:val="22"/>
          <w:rtl/>
        </w:rPr>
      </w:pPr>
      <w:r>
        <w:rPr>
          <w:rtl/>
        </w:rPr>
        <w:t>ביאור הגרש"ש דרשב"ם ותוס' ל"מ חזקה בשותפות בין בטוען שותפות ובין בטוען שקנה הכל</w:t>
      </w:r>
    </w:p>
    <w:p w:rsidR="0019070E" w:rsidRDefault="0019070E" w:rsidP="007E4E81">
      <w:pPr>
        <w:pStyle w:val="a"/>
        <w:rPr>
          <w:rFonts w:eastAsiaTheme="minorEastAsia" w:cstheme="minorBidi"/>
          <w:sz w:val="22"/>
          <w:szCs w:val="22"/>
          <w:rtl/>
        </w:rPr>
        <w:sectPr w:rsidR="0019070E" w:rsidSect="00DC277F">
          <w:type w:val="continuous"/>
          <w:pgSz w:w="11906" w:h="16838"/>
          <w:pgMar w:top="720" w:right="720" w:bottom="720" w:left="720" w:header="283" w:footer="283" w:gutter="0"/>
          <w:cols w:num="2" w:space="113"/>
          <w:titlePg/>
          <w:bidi/>
          <w:rtlGutter/>
          <w:docGrid w:linePitch="299"/>
        </w:sectPr>
      </w:pPr>
      <w:r>
        <w:rPr>
          <w:rtl/>
        </w:rPr>
        <w:t>ביאור הגרש"ש דכל שלא ניכר מי הבעלים העיקרי א"צ מחאה ורק בב' שימושים הוי חזקה</w:t>
      </w:r>
    </w:p>
    <w:p w:rsidR="0019070E" w:rsidRDefault="0019070E" w:rsidP="007E4E81">
      <w:pPr>
        <w:pStyle w:val="a"/>
        <w:numPr>
          <w:ilvl w:val="0"/>
          <w:numId w:val="0"/>
        </w:numPr>
        <w:rPr>
          <w:rtl/>
        </w:rPr>
      </w:pPr>
    </w:p>
    <w:p w:rsidR="0019070E" w:rsidRDefault="0019070E" w:rsidP="0019070E">
      <w:pPr>
        <w:pStyle w:val="2"/>
        <w:rPr>
          <w:rtl/>
        </w:rPr>
        <w:sectPr w:rsidR="0019070E"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19070E" w:rsidRPr="0081356D" w:rsidRDefault="006C4F47" w:rsidP="0019070E">
      <w:pPr>
        <w:pStyle w:val="afe"/>
        <w:rPr>
          <w:rtl/>
        </w:rPr>
      </w:pPr>
      <w:r>
        <w:rPr>
          <w:rFonts w:hint="cs"/>
          <w:rtl/>
        </w:rPr>
        <w:lastRenderedPageBreak/>
        <w:t>~~~~~~~ מראי מקומות וביאורים ~~~~~~~</w:t>
      </w:r>
    </w:p>
    <w:p w:rsidR="0019070E" w:rsidRPr="00B21444" w:rsidRDefault="0019070E" w:rsidP="0019070E">
      <w:pPr>
        <w:pStyle w:val="2"/>
        <w:bidi w:val="0"/>
        <w:rPr>
          <w:rtl/>
        </w:rPr>
        <w:sectPr w:rsidR="0019070E" w:rsidRPr="00B21444" w:rsidSect="00962FD5">
          <w:footerReference w:type="default" r:id="rId64"/>
          <w:pgSz w:w="11906" w:h="16838"/>
          <w:pgMar w:top="720" w:right="720" w:bottom="720" w:left="720" w:header="283" w:footer="283" w:gutter="0"/>
          <w:cols w:space="720"/>
          <w:bidi/>
          <w:rtlGutter/>
          <w:docGrid w:linePitch="299"/>
        </w:sectPr>
      </w:pPr>
    </w:p>
    <w:p w:rsidR="0019070E" w:rsidRDefault="0019070E" w:rsidP="0019070E">
      <w:pPr>
        <w:pStyle w:val="afe"/>
        <w:rPr>
          <w:rtl/>
        </w:rPr>
      </w:pPr>
      <w:bookmarkStart w:id="6268" w:name="_Toc57234509"/>
      <w:bookmarkStart w:id="6269" w:name="_Toc57236094"/>
      <w:bookmarkStart w:id="6270" w:name="_Toc57310406"/>
      <w:bookmarkStart w:id="6271" w:name="_Toc57322958"/>
      <w:bookmarkStart w:id="6272" w:name="_Toc57323067"/>
      <w:bookmarkStart w:id="6273" w:name="_Toc57370292"/>
      <w:bookmarkStart w:id="6274" w:name="_Toc57491461"/>
      <w:bookmarkStart w:id="6275" w:name="_Toc57495272"/>
      <w:bookmarkStart w:id="6276" w:name="_Toc57544414"/>
      <w:bookmarkStart w:id="6277" w:name="_Toc58184920"/>
      <w:bookmarkStart w:id="6278" w:name="_Toc57067174"/>
      <w:r>
        <w:rPr>
          <w:rFonts w:hint="cs"/>
          <w:rtl/>
        </w:rPr>
        <w:t>דעת הרשב"ם</w:t>
      </w:r>
      <w:bookmarkEnd w:id="6268"/>
      <w:bookmarkEnd w:id="6269"/>
      <w:bookmarkEnd w:id="6270"/>
      <w:bookmarkEnd w:id="6271"/>
      <w:bookmarkEnd w:id="6272"/>
      <w:bookmarkEnd w:id="6273"/>
      <w:r>
        <w:rPr>
          <w:rFonts w:hint="cs"/>
          <w:rtl/>
        </w:rPr>
        <w:t xml:space="preserve"> דטוען שדר בבית הפנימי</w:t>
      </w:r>
      <w:bookmarkEnd w:id="6274"/>
      <w:bookmarkEnd w:id="6275"/>
      <w:bookmarkEnd w:id="6276"/>
      <w:bookmarkEnd w:id="6277"/>
    </w:p>
    <w:p w:rsidR="0019070E" w:rsidRDefault="0019070E" w:rsidP="0019070E">
      <w:pPr>
        <w:pStyle w:val="1"/>
        <w:rPr>
          <w:rtl/>
        </w:rPr>
      </w:pPr>
      <w:bookmarkStart w:id="6279" w:name="_Toc57234510"/>
      <w:bookmarkStart w:id="6280" w:name="_Toc57236095"/>
      <w:bookmarkStart w:id="6281" w:name="_Toc57310407"/>
      <w:bookmarkStart w:id="6282" w:name="_Toc57322959"/>
      <w:bookmarkStart w:id="6283" w:name="_Toc57323068"/>
      <w:bookmarkStart w:id="6284" w:name="_Toc57370293"/>
      <w:bookmarkStart w:id="6285" w:name="_Toc57491462"/>
      <w:bookmarkStart w:id="6286" w:name="_Toc57495273"/>
      <w:bookmarkStart w:id="6287" w:name="_Toc57544415"/>
      <w:bookmarkStart w:id="6288" w:name="_Toc58184921"/>
      <w:r>
        <w:rPr>
          <w:rFonts w:hint="cs"/>
          <w:rtl/>
        </w:rPr>
        <w:t>דברי הרשב"ם</w:t>
      </w:r>
      <w:bookmarkEnd w:id="6278"/>
      <w:bookmarkEnd w:id="6279"/>
      <w:bookmarkEnd w:id="6280"/>
      <w:bookmarkEnd w:id="6281"/>
      <w:bookmarkEnd w:id="6282"/>
      <w:bookmarkEnd w:id="6283"/>
      <w:bookmarkEnd w:id="6284"/>
      <w:r>
        <w:rPr>
          <w:rFonts w:hint="cs"/>
          <w:rtl/>
        </w:rPr>
        <w:t xml:space="preserve"> דטוען שדר בפנימי ויצא דרך החיצון וא"צ למחות</w:t>
      </w:r>
      <w:bookmarkEnd w:id="6285"/>
      <w:bookmarkEnd w:id="6286"/>
      <w:bookmarkEnd w:id="6287"/>
      <w:bookmarkEnd w:id="6288"/>
    </w:p>
    <w:p w:rsidR="0019070E" w:rsidRPr="001011E7" w:rsidRDefault="0019070E" w:rsidP="0019070E">
      <w:pPr>
        <w:pStyle w:val="a3"/>
        <w:rPr>
          <w:rtl/>
        </w:rPr>
      </w:pPr>
      <w:bookmarkStart w:id="6289" w:name="_Toc57234511"/>
      <w:bookmarkStart w:id="6290" w:name="_Toc57236096"/>
      <w:bookmarkStart w:id="6291" w:name="_Toc57310408"/>
      <w:bookmarkStart w:id="6292" w:name="_Toc57322960"/>
      <w:bookmarkStart w:id="6293" w:name="_Toc57323069"/>
      <w:bookmarkStart w:id="6294" w:name="_Toc57370294"/>
      <w:bookmarkStart w:id="6295" w:name="_Toc57491463"/>
      <w:bookmarkStart w:id="6296" w:name="_Toc57495274"/>
      <w:bookmarkStart w:id="6297" w:name="_Toc57544416"/>
      <w:bookmarkStart w:id="6298" w:name="_Toc58184922"/>
      <w:r>
        <w:rPr>
          <w:rFonts w:hint="cs"/>
          <w:rtl/>
        </w:rPr>
        <w:t>ביאור הרשב"ם דטוען המערער שהיה דר בבית הפנימי ויוצא דרך בית המחזיק ולכן לא מחה</w:t>
      </w:r>
      <w:bookmarkEnd w:id="6289"/>
      <w:bookmarkEnd w:id="6290"/>
      <w:bookmarkEnd w:id="6291"/>
      <w:bookmarkEnd w:id="6292"/>
      <w:bookmarkEnd w:id="6293"/>
      <w:bookmarkEnd w:id="6294"/>
      <w:bookmarkEnd w:id="6295"/>
      <w:bookmarkEnd w:id="6296"/>
      <w:bookmarkEnd w:id="6297"/>
      <w:bookmarkEnd w:id="6298"/>
    </w:p>
    <w:p w:rsidR="0019070E" w:rsidRDefault="0019070E" w:rsidP="00BA3263">
      <w:pPr>
        <w:pStyle w:val="a0"/>
        <w:numPr>
          <w:ilvl w:val="0"/>
          <w:numId w:val="16"/>
        </w:numPr>
        <w:rPr>
          <w:rtl/>
        </w:rPr>
      </w:pPr>
      <w:bookmarkStart w:id="6299" w:name="_Ref56936382"/>
      <w:r>
        <w:rPr>
          <w:rFonts w:hint="cs"/>
          <w:rtl/>
        </w:rPr>
        <w:t xml:space="preserve">בטענת המערער שהיה בשכוני גוואי, ביאר </w:t>
      </w:r>
      <w:r w:rsidRPr="00850EA0">
        <w:rPr>
          <w:rStyle w:val="af9"/>
          <w:rFonts w:hint="cs"/>
          <w:rtl/>
        </w:rPr>
        <w:t>הרשב"ם</w:t>
      </w:r>
      <w:r w:rsidRPr="007E4E81">
        <w:rPr>
          <w:rStyle w:val="af7"/>
          <w:rFonts w:eastAsia="Guttman Hodes" w:hint="cs"/>
          <w:rtl/>
        </w:rPr>
        <w:t xml:space="preserve"> (ד"ה אנא) </w:t>
      </w:r>
      <w:r>
        <w:rPr>
          <w:rFonts w:hint="cs"/>
          <w:rtl/>
        </w:rPr>
        <w:t xml:space="preserve">דטוען המערער שעיקר דירתו הייתה בחדרים הפנימים של הבית, והוא נתן רשות למחזיק למשתמש בבית החיצון, והמערער היה לו דרך בבית החיצון היה עובר מהחדרים הפנימים דרך הבית החיצון, והיה משתמש עם המחזיק בבית החיצון, ולכן לא מחה בו, וכתב </w:t>
      </w:r>
      <w:r w:rsidRPr="00275129">
        <w:rPr>
          <w:rStyle w:val="af9"/>
          <w:rFonts w:hint="cs"/>
          <w:rtl/>
        </w:rPr>
        <w:t>הרא"ש</w:t>
      </w:r>
      <w:r>
        <w:rPr>
          <w:rFonts w:hint="cs"/>
          <w:rtl/>
        </w:rPr>
        <w:t xml:space="preserve"> </w:t>
      </w:r>
      <w:r w:rsidRPr="007E4E81">
        <w:rPr>
          <w:rStyle w:val="af7"/>
          <w:rFonts w:eastAsia="Guttman Hodes" w:hint="cs"/>
          <w:rtl/>
        </w:rPr>
        <w:t>(סו"ס ד' ה')</w:t>
      </w:r>
      <w:r>
        <w:rPr>
          <w:rFonts w:hint="cs"/>
          <w:rtl/>
        </w:rPr>
        <w:t xml:space="preserve"> דהלשון שכוני גוואי משמע רק כביאור </w:t>
      </w:r>
      <w:r w:rsidRPr="00275129">
        <w:rPr>
          <w:rStyle w:val="af9"/>
          <w:rFonts w:hint="cs"/>
          <w:rtl/>
        </w:rPr>
        <w:t>הרשב"ם</w:t>
      </w:r>
      <w:r>
        <w:rPr>
          <w:rFonts w:hint="cs"/>
          <w:rtl/>
        </w:rPr>
        <w:t xml:space="preserve">, ולא משמע כשום פירוש אחר, ועי' במ"ש </w:t>
      </w:r>
      <w:r w:rsidRPr="00850EA0">
        <w:rPr>
          <w:rStyle w:val="af9"/>
          <w:rFonts w:hint="cs"/>
          <w:rtl/>
        </w:rPr>
        <w:t>הב"ח</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Ref57051146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כב)</w:t>
      </w:r>
      <w:r w:rsidRPr="007E4E81">
        <w:rPr>
          <w:rStyle w:val="af7"/>
          <w:rFonts w:eastAsia="Guttman Hodes"/>
          <w:rtl/>
        </w:rPr>
        <w:fldChar w:fldCharType="end"/>
      </w:r>
      <w:r>
        <w:rPr>
          <w:rFonts w:hint="cs"/>
          <w:rtl/>
        </w:rPr>
        <w:t xml:space="preserve"> במה שביאר </w:t>
      </w:r>
      <w:r w:rsidRPr="00850EA0">
        <w:rPr>
          <w:rStyle w:val="af9"/>
          <w:rFonts w:hint="cs"/>
          <w:rtl/>
        </w:rPr>
        <w:t>הרמב"ן</w:t>
      </w:r>
      <w:r>
        <w:rPr>
          <w:rFonts w:hint="cs"/>
          <w:rtl/>
        </w:rPr>
        <w:t xml:space="preserve"> בדברי </w:t>
      </w:r>
      <w:r w:rsidRPr="00850EA0">
        <w:rPr>
          <w:rStyle w:val="af9"/>
          <w:rFonts w:hint="cs"/>
          <w:rtl/>
        </w:rPr>
        <w:t>הרשב"ם</w:t>
      </w:r>
      <w:r>
        <w:rPr>
          <w:rFonts w:hint="cs"/>
          <w:rtl/>
        </w:rPr>
        <w:t xml:space="preserve">, ובמסקנת </w:t>
      </w:r>
      <w:r w:rsidRPr="00850EA0">
        <w:rPr>
          <w:rStyle w:val="af9"/>
          <w:rFonts w:hint="cs"/>
          <w:rtl/>
        </w:rPr>
        <w:t>הב"ח</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Ref57051696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7E4E81">
        <w:rPr>
          <w:rStyle w:val="af7"/>
          <w:rFonts w:eastAsia="Guttman Hodes"/>
          <w:rtl/>
        </w:rPr>
        <w:fldChar w:fldCharType="end"/>
      </w:r>
      <w:r>
        <w:rPr>
          <w:rFonts w:hint="cs"/>
          <w:rtl/>
        </w:rPr>
        <w:t xml:space="preserve"> בדברי </w:t>
      </w:r>
      <w:r w:rsidRPr="00850EA0">
        <w:rPr>
          <w:rStyle w:val="af9"/>
          <w:rFonts w:hint="cs"/>
          <w:rtl/>
        </w:rPr>
        <w:t>הרשב"ם</w:t>
      </w:r>
      <w:r>
        <w:rPr>
          <w:rFonts w:hint="cs"/>
          <w:rtl/>
        </w:rPr>
        <w:t xml:space="preserve">, ובמ"ש </w:t>
      </w:r>
      <w:r w:rsidRPr="009E1EDB">
        <w:rPr>
          <w:rStyle w:val="af9"/>
          <w:rFonts w:hint="cs"/>
          <w:rtl/>
        </w:rPr>
        <w:t>בחי' הגר"ח מטעלז</w:t>
      </w:r>
      <w:r w:rsidRPr="007E4E81">
        <w:rPr>
          <w:rStyle w:val="af7"/>
          <w:rFonts w:eastAsia="Guttman Hodes" w:hint="cs"/>
          <w:rtl/>
        </w:rPr>
        <w:t xml:space="preserve"> (עי'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Ref57288202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7E4E81">
        <w:rPr>
          <w:rStyle w:val="af7"/>
          <w:rFonts w:eastAsia="Guttman Hodes"/>
          <w:rtl/>
        </w:rPr>
        <w:fldChar w:fldCharType="end"/>
      </w:r>
      <w:r w:rsidRPr="007E4E81">
        <w:rPr>
          <w:rStyle w:val="af7"/>
          <w:rFonts w:eastAsia="Guttman Hodes" w:hint="cs"/>
          <w:rtl/>
        </w:rPr>
        <w:t xml:space="preserve"> </w:t>
      </w:r>
      <w:r>
        <w:rPr>
          <w:rStyle w:val="af9"/>
          <w:rFonts w:hint="cs"/>
          <w:rtl/>
        </w:rPr>
        <w:t>ו</w:t>
      </w:r>
      <w:r w:rsidRPr="00B65CA4">
        <w:rPr>
          <w:rStyle w:val="af9"/>
          <w:rFonts w:hint="cs"/>
          <w:rtl/>
        </w:rPr>
        <w:t>בחי' רבי נחום</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Ref57136778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sidRPr="007E4E81">
        <w:rPr>
          <w:rStyle w:val="af7"/>
          <w:rFonts w:eastAsia="Guttman Hodes"/>
          <w:rtl/>
        </w:rPr>
        <w:fldChar w:fldCharType="end"/>
      </w:r>
      <w:r w:rsidRPr="007E4E81">
        <w:rPr>
          <w:rStyle w:val="af7"/>
          <w:rFonts w:eastAsia="Guttman Hodes" w:hint="cs"/>
          <w:rtl/>
        </w:rPr>
        <w:t xml:space="preserve"> </w:t>
      </w:r>
      <w:r>
        <w:rPr>
          <w:rFonts w:hint="cs"/>
          <w:rtl/>
        </w:rPr>
        <w:t xml:space="preserve">בדברי </w:t>
      </w:r>
      <w:r w:rsidRPr="00B65CA4">
        <w:rPr>
          <w:rStyle w:val="af9"/>
          <w:rFonts w:hint="cs"/>
          <w:rtl/>
        </w:rPr>
        <w:t>הרשב"ם</w:t>
      </w:r>
      <w:r>
        <w:rPr>
          <w:rFonts w:hint="cs"/>
          <w:rtl/>
        </w:rPr>
        <w:t xml:space="preserve">, ועי' במה שהקשה </w:t>
      </w:r>
      <w:r w:rsidRPr="005E5ACF">
        <w:rPr>
          <w:rStyle w:val="af9"/>
          <w:rFonts w:hint="cs"/>
          <w:rtl/>
        </w:rPr>
        <w:t>הדברי מרדכי</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Ref57306457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קכה)</w:t>
      </w:r>
      <w:r w:rsidRPr="007E4E81">
        <w:rPr>
          <w:rStyle w:val="af7"/>
          <w:rFonts w:eastAsia="Guttman Hodes"/>
          <w:rtl/>
        </w:rPr>
        <w:fldChar w:fldCharType="end"/>
      </w:r>
      <w:r>
        <w:rPr>
          <w:rFonts w:hint="cs"/>
          <w:rtl/>
        </w:rPr>
        <w:t xml:space="preserve"> בסתירת דברי </w:t>
      </w:r>
      <w:r w:rsidRPr="00EC127D">
        <w:rPr>
          <w:rStyle w:val="af9"/>
          <w:rFonts w:hint="cs"/>
          <w:rtl/>
        </w:rPr>
        <w:t>הרשב"ם</w:t>
      </w:r>
      <w:bookmarkStart w:id="6300" w:name="_Ref58181518"/>
      <w:r>
        <w:rPr>
          <w:rStyle w:val="af1"/>
          <w:b/>
          <w:bCs/>
          <w:rtl/>
        </w:rPr>
        <w:footnoteReference w:id="33"/>
      </w:r>
      <w:bookmarkEnd w:id="6300"/>
      <w:r>
        <w:rPr>
          <w:rFonts w:hint="cs"/>
          <w:rtl/>
        </w:rPr>
        <w:t>.</w:t>
      </w:r>
      <w:bookmarkEnd w:id="6299"/>
    </w:p>
    <w:p w:rsidR="0019070E" w:rsidRDefault="0019070E" w:rsidP="0019070E">
      <w:pPr>
        <w:pStyle w:val="a3"/>
        <w:rPr>
          <w:rtl/>
        </w:rPr>
      </w:pPr>
      <w:bookmarkStart w:id="6301" w:name="_Toc57234512"/>
      <w:bookmarkStart w:id="6302" w:name="_Toc57236097"/>
      <w:bookmarkStart w:id="6303" w:name="_Toc57310409"/>
      <w:bookmarkStart w:id="6304" w:name="_Toc57322961"/>
      <w:bookmarkStart w:id="6305" w:name="_Toc57323070"/>
      <w:bookmarkStart w:id="6306" w:name="_Toc57370295"/>
      <w:bookmarkStart w:id="6307" w:name="_Toc57491464"/>
      <w:bookmarkStart w:id="6308" w:name="_Toc57495275"/>
      <w:bookmarkStart w:id="6309" w:name="_Toc57544417"/>
      <w:bookmarkStart w:id="6310" w:name="_Toc58184923"/>
      <w:r>
        <w:rPr>
          <w:rFonts w:hint="cs"/>
          <w:rtl/>
        </w:rPr>
        <w:t>דברי הרשב"ם דטענת המחזיק דקנה מהמר"ק ויש לו חזקה וכיון שלא מחה בו לא נזהר בשטר</w:t>
      </w:r>
      <w:bookmarkEnd w:id="6301"/>
      <w:bookmarkEnd w:id="6302"/>
      <w:bookmarkEnd w:id="6303"/>
      <w:bookmarkEnd w:id="6304"/>
      <w:bookmarkEnd w:id="6305"/>
      <w:bookmarkEnd w:id="6306"/>
      <w:bookmarkEnd w:id="6307"/>
      <w:bookmarkEnd w:id="6308"/>
      <w:bookmarkEnd w:id="6309"/>
      <w:bookmarkEnd w:id="6310"/>
    </w:p>
    <w:p w:rsidR="0019070E" w:rsidRDefault="0019070E" w:rsidP="007E4E81">
      <w:pPr>
        <w:pStyle w:val="a0"/>
        <w:rPr>
          <w:rtl/>
        </w:rPr>
      </w:pPr>
      <w:r>
        <w:rPr>
          <w:rFonts w:hint="cs"/>
          <w:rtl/>
        </w:rPr>
        <w:t xml:space="preserve">בטענת המחזיק דקנה מהמערער ואכל שני חזקה, ביאר </w:t>
      </w:r>
      <w:r w:rsidRPr="00850EA0">
        <w:rPr>
          <w:rStyle w:val="af9"/>
          <w:rFonts w:hint="cs"/>
          <w:rtl/>
        </w:rPr>
        <w:t>הרשב"ם</w:t>
      </w:r>
      <w:r>
        <w:rPr>
          <w:rFonts w:hint="cs"/>
          <w:rtl/>
        </w:rPr>
        <w:t xml:space="preserve"> </w:t>
      </w:r>
      <w:r w:rsidRPr="00850EA0">
        <w:rPr>
          <w:rStyle w:val="af7"/>
          <w:rFonts w:eastAsia="Guttman Hodes" w:hint="cs"/>
          <w:rtl/>
        </w:rPr>
        <w:t>(ד"ה ואכלתיה)</w:t>
      </w:r>
      <w:r>
        <w:rPr>
          <w:rFonts w:hint="cs"/>
          <w:rtl/>
        </w:rPr>
        <w:t xml:space="preserve"> דהוא איבד את שטרו, כיון שלא מחה בו המערער שיזהר בשטרו.</w:t>
      </w:r>
    </w:p>
    <w:p w:rsidR="0019070E" w:rsidRDefault="0019070E" w:rsidP="0019070E">
      <w:pPr>
        <w:pStyle w:val="a3"/>
      </w:pPr>
      <w:bookmarkStart w:id="6311" w:name="_Toc57234513"/>
      <w:bookmarkStart w:id="6312" w:name="_Toc57236098"/>
      <w:bookmarkStart w:id="6313" w:name="_Toc57310410"/>
      <w:bookmarkStart w:id="6314" w:name="_Toc57322962"/>
      <w:bookmarkStart w:id="6315" w:name="_Toc57323071"/>
      <w:bookmarkStart w:id="6316" w:name="_Toc57370296"/>
      <w:bookmarkStart w:id="6317" w:name="_Toc57491465"/>
      <w:bookmarkStart w:id="6318" w:name="_Toc57495276"/>
      <w:bookmarkStart w:id="6319" w:name="_Toc57544418"/>
      <w:bookmarkStart w:id="6320" w:name="_Toc58184924"/>
      <w:r>
        <w:rPr>
          <w:rFonts w:hint="cs"/>
          <w:rtl/>
        </w:rPr>
        <w:t>ביאור הרשב"ם הקצר דטענת המערער דאין לך מחאה גדולה מזו דאי מכר לו היה לו דרך בו</w:t>
      </w:r>
      <w:bookmarkEnd w:id="6311"/>
      <w:bookmarkEnd w:id="6312"/>
      <w:bookmarkEnd w:id="6313"/>
      <w:bookmarkEnd w:id="6314"/>
      <w:bookmarkEnd w:id="6315"/>
      <w:bookmarkEnd w:id="6316"/>
      <w:bookmarkEnd w:id="6317"/>
      <w:bookmarkEnd w:id="6318"/>
      <w:bookmarkEnd w:id="6319"/>
      <w:bookmarkEnd w:id="6320"/>
    </w:p>
    <w:p w:rsidR="0019070E" w:rsidRDefault="0019070E" w:rsidP="007E4E81">
      <w:pPr>
        <w:pStyle w:val="a0"/>
        <w:rPr>
          <w:rtl/>
        </w:rPr>
      </w:pPr>
      <w:r>
        <w:rPr>
          <w:rStyle w:val="af9"/>
          <w:rFonts w:hint="cs"/>
          <w:rtl/>
        </w:rPr>
        <w:t>ו</w:t>
      </w:r>
      <w:r w:rsidRPr="00361ECC">
        <w:rPr>
          <w:rStyle w:val="af9"/>
          <w:rFonts w:hint="cs"/>
          <w:rtl/>
        </w:rPr>
        <w:t>ברשב"ם הקצר</w:t>
      </w:r>
      <w:r>
        <w:rPr>
          <w:rFonts w:hint="cs"/>
          <w:rtl/>
        </w:rPr>
        <w:t xml:space="preserve"> </w:t>
      </w:r>
      <w:r w:rsidRPr="008F3C10">
        <w:rPr>
          <w:rStyle w:val="af7"/>
          <w:rFonts w:eastAsia="Guttman Hodes" w:hint="cs"/>
          <w:rtl/>
        </w:rPr>
        <w:t xml:space="preserve">(ד"ה אנא) </w:t>
      </w:r>
      <w:r>
        <w:rPr>
          <w:rFonts w:hint="cs"/>
          <w:rtl/>
        </w:rPr>
        <w:t>הוסיף לבאר דטוען המערער דכיון שהיה לו דרך עליו, אין לך מחאה גדולה מזו, דאי מכרתי לך את הבית החיצון לא היה לי דרך עליך.</w:t>
      </w:r>
    </w:p>
    <w:p w:rsidR="0019070E" w:rsidRPr="00B37537" w:rsidRDefault="0019070E" w:rsidP="0019070E">
      <w:pPr>
        <w:pStyle w:val="a3"/>
        <w:rPr>
          <w:rtl/>
        </w:rPr>
      </w:pPr>
      <w:bookmarkStart w:id="6321" w:name="_Toc57234514"/>
      <w:bookmarkStart w:id="6322" w:name="_Toc57236099"/>
      <w:bookmarkStart w:id="6323" w:name="_Toc57310411"/>
      <w:bookmarkStart w:id="6324" w:name="_Toc57322963"/>
      <w:bookmarkStart w:id="6325" w:name="_Toc57323072"/>
      <w:bookmarkStart w:id="6326" w:name="_Toc57370297"/>
      <w:bookmarkStart w:id="6327" w:name="_Toc57491466"/>
      <w:bookmarkStart w:id="6328" w:name="_Toc57495277"/>
      <w:bookmarkStart w:id="6329" w:name="_Toc57544419"/>
      <w:bookmarkStart w:id="6330" w:name="_Toc58184925"/>
      <w:r>
        <w:rPr>
          <w:rFonts w:hint="cs"/>
          <w:rtl/>
        </w:rPr>
        <w:t>ביאור הרשב"ם הקצר דדרך חשיבא כמחאה דקיי"ל כר"ע דאינו משייר דרך לעצמו ולא לרבנן</w:t>
      </w:r>
      <w:bookmarkEnd w:id="6321"/>
      <w:bookmarkEnd w:id="6322"/>
      <w:bookmarkEnd w:id="6323"/>
      <w:bookmarkEnd w:id="6324"/>
      <w:bookmarkEnd w:id="6325"/>
      <w:bookmarkEnd w:id="6326"/>
      <w:bookmarkEnd w:id="6327"/>
      <w:bookmarkEnd w:id="6328"/>
      <w:bookmarkEnd w:id="6329"/>
      <w:bookmarkEnd w:id="6330"/>
    </w:p>
    <w:p w:rsidR="0019070E" w:rsidRDefault="0019070E" w:rsidP="007E4E81">
      <w:pPr>
        <w:pStyle w:val="a0"/>
      </w:pPr>
      <w:r>
        <w:rPr>
          <w:rFonts w:hint="cs"/>
          <w:rtl/>
        </w:rPr>
        <w:t>וביאר</w:t>
      </w:r>
      <w:r w:rsidRPr="0043242B">
        <w:rPr>
          <w:rStyle w:val="af9"/>
          <w:rFonts w:hint="cs"/>
          <w:rtl/>
        </w:rPr>
        <w:t xml:space="preserve"> </w:t>
      </w:r>
      <w:r>
        <w:rPr>
          <w:rStyle w:val="af9"/>
          <w:rFonts w:hint="cs"/>
          <w:rtl/>
        </w:rPr>
        <w:t>ה</w:t>
      </w:r>
      <w:r w:rsidRPr="00361ECC">
        <w:rPr>
          <w:rStyle w:val="af9"/>
          <w:rFonts w:hint="cs"/>
          <w:rtl/>
        </w:rPr>
        <w:t>רשב"ם הקצר</w:t>
      </w:r>
      <w:r>
        <w:rPr>
          <w:rFonts w:hint="cs"/>
          <w:rtl/>
        </w:rPr>
        <w:t xml:space="preserve"> דהא דבהיה לו דרך עליו חשיב כמחאה, הוא כיון דקיי"ל כשמואל בגמ' לקמן </w:t>
      </w:r>
      <w:r w:rsidRPr="008F3C10">
        <w:rPr>
          <w:rStyle w:val="af7"/>
          <w:rFonts w:eastAsia="Guttman Hodes" w:hint="cs"/>
          <w:rtl/>
        </w:rPr>
        <w:t xml:space="preserve">(סה.) </w:t>
      </w:r>
      <w:r>
        <w:rPr>
          <w:rFonts w:hint="cs"/>
          <w:rtl/>
        </w:rPr>
        <w:t xml:space="preserve">דהלכה כר"ע דהמוכר בעין יפה מוכר ואינו משייר לעצמו דרך, אבל לדעת רבנן כתב </w:t>
      </w:r>
      <w:r>
        <w:rPr>
          <w:rStyle w:val="af9"/>
          <w:rFonts w:hint="cs"/>
          <w:rtl/>
        </w:rPr>
        <w:t>ה</w:t>
      </w:r>
      <w:r w:rsidRPr="00361ECC">
        <w:rPr>
          <w:rStyle w:val="af9"/>
          <w:rFonts w:hint="cs"/>
          <w:rtl/>
        </w:rPr>
        <w:t>רשב"ם הקצר</w:t>
      </w:r>
      <w:r>
        <w:rPr>
          <w:rFonts w:hint="cs"/>
          <w:rtl/>
        </w:rPr>
        <w:t xml:space="preserve"> דכיון שהמוכר משייר דרך לעצמו, א"כ אי"ז מחאה כלל, ויש למחזיק חזקה בבית החיצון חוץ מהדרך של המערער.</w:t>
      </w:r>
    </w:p>
    <w:p w:rsidR="0019070E" w:rsidRPr="003E353B" w:rsidRDefault="0019070E" w:rsidP="0019070E">
      <w:pPr>
        <w:pStyle w:val="1"/>
        <w:rPr>
          <w:rtl/>
        </w:rPr>
      </w:pPr>
      <w:bookmarkStart w:id="6331" w:name="_Toc57067175"/>
      <w:bookmarkStart w:id="6332" w:name="_Toc57234519"/>
      <w:bookmarkStart w:id="6333" w:name="_Toc57236104"/>
      <w:bookmarkStart w:id="6334" w:name="_Toc57310415"/>
      <w:bookmarkStart w:id="6335" w:name="_Toc57322967"/>
      <w:bookmarkStart w:id="6336" w:name="_Toc57323076"/>
      <w:bookmarkStart w:id="6337" w:name="_Toc57370301"/>
      <w:bookmarkStart w:id="6338" w:name="_Toc57491469"/>
      <w:bookmarkStart w:id="6339" w:name="_Toc57495280"/>
      <w:bookmarkStart w:id="6340" w:name="_Toc57544422"/>
      <w:bookmarkStart w:id="6341" w:name="_Toc58184926"/>
      <w:r>
        <w:rPr>
          <w:rFonts w:hint="cs"/>
          <w:rtl/>
        </w:rPr>
        <w:t>ביאור התוס'</w:t>
      </w:r>
      <w:bookmarkEnd w:id="6331"/>
      <w:bookmarkEnd w:id="6332"/>
      <w:bookmarkEnd w:id="6333"/>
      <w:bookmarkEnd w:id="6334"/>
      <w:bookmarkEnd w:id="6335"/>
      <w:bookmarkEnd w:id="6336"/>
      <w:bookmarkEnd w:id="6337"/>
      <w:r>
        <w:rPr>
          <w:rFonts w:hint="cs"/>
          <w:rtl/>
        </w:rPr>
        <w:t xml:space="preserve"> דיש עדים למערער אך אין יודעים מהיכן יצא</w:t>
      </w:r>
      <w:bookmarkEnd w:id="6338"/>
      <w:bookmarkEnd w:id="6339"/>
      <w:bookmarkEnd w:id="6340"/>
      <w:bookmarkEnd w:id="6341"/>
    </w:p>
    <w:p w:rsidR="0019070E" w:rsidRDefault="0019070E" w:rsidP="0019070E">
      <w:pPr>
        <w:pStyle w:val="a3"/>
        <w:rPr>
          <w:rtl/>
        </w:rPr>
      </w:pPr>
      <w:bookmarkStart w:id="6342" w:name="_Toc57234520"/>
      <w:bookmarkStart w:id="6343" w:name="_Toc57236105"/>
      <w:bookmarkStart w:id="6344" w:name="_Toc57310416"/>
      <w:bookmarkStart w:id="6345" w:name="_Toc57322968"/>
      <w:bookmarkStart w:id="6346" w:name="_Toc57323077"/>
      <w:bookmarkStart w:id="6347" w:name="_Toc57370302"/>
      <w:bookmarkStart w:id="6348" w:name="_Toc57491470"/>
      <w:bookmarkStart w:id="6349" w:name="_Toc57495281"/>
      <w:bookmarkStart w:id="6350" w:name="_Toc57544423"/>
      <w:bookmarkStart w:id="6351" w:name="_Toc58184927"/>
      <w:r>
        <w:rPr>
          <w:rFonts w:hint="cs"/>
          <w:rtl/>
        </w:rPr>
        <w:t>ביאור התוס' והרא"ש דיש עדים שדר בפנימי אך אינם יודעים אם עבר דבלא"ה ודאי דהוי חזקה</w:t>
      </w:r>
      <w:bookmarkEnd w:id="6342"/>
      <w:bookmarkEnd w:id="6343"/>
      <w:bookmarkEnd w:id="6344"/>
      <w:bookmarkEnd w:id="6345"/>
      <w:bookmarkEnd w:id="6346"/>
      <w:bookmarkEnd w:id="6347"/>
      <w:bookmarkEnd w:id="6348"/>
      <w:bookmarkEnd w:id="6349"/>
      <w:bookmarkEnd w:id="6350"/>
      <w:bookmarkEnd w:id="6351"/>
    </w:p>
    <w:p w:rsidR="0019070E" w:rsidRPr="005914CE" w:rsidRDefault="0019070E" w:rsidP="007E4E81">
      <w:pPr>
        <w:pStyle w:val="a0"/>
        <w:rPr>
          <w:rStyle w:val="afb"/>
          <w:rtl/>
        </w:rPr>
      </w:pPr>
      <w:bookmarkStart w:id="6352" w:name="_Ref57108495"/>
      <w:r>
        <w:rPr>
          <w:rFonts w:hint="cs"/>
          <w:rtl/>
        </w:rPr>
        <w:t xml:space="preserve">וכתבו </w:t>
      </w:r>
      <w:r w:rsidRPr="008F3C10">
        <w:rPr>
          <w:rStyle w:val="af9"/>
          <w:rFonts w:hint="cs"/>
          <w:rtl/>
        </w:rPr>
        <w:t>התוס'</w:t>
      </w:r>
      <w:r>
        <w:rPr>
          <w:rFonts w:hint="cs"/>
          <w:rtl/>
        </w:rPr>
        <w:t xml:space="preserve"> </w:t>
      </w:r>
      <w:r w:rsidRPr="008F3C10">
        <w:rPr>
          <w:rStyle w:val="af7"/>
          <w:rFonts w:eastAsia="Guttman Hodes" w:hint="cs"/>
          <w:rtl/>
        </w:rPr>
        <w:t>(ד"ה בשכוני)</w:t>
      </w:r>
      <w:r w:rsidRPr="008F3C10">
        <w:rPr>
          <w:rStyle w:val="af9"/>
          <w:rFonts w:hint="cs"/>
          <w:rtl/>
        </w:rPr>
        <w:t xml:space="preserve"> והרא"ש </w:t>
      </w:r>
      <w:r w:rsidRPr="008F3C10">
        <w:rPr>
          <w:rStyle w:val="af7"/>
          <w:rFonts w:eastAsia="Guttman Hodes" w:hint="cs"/>
          <w:rtl/>
        </w:rPr>
        <w:t xml:space="preserve">(סי' ד') </w:t>
      </w:r>
      <w:r>
        <w:rPr>
          <w:rFonts w:hint="cs"/>
          <w:rtl/>
        </w:rPr>
        <w:t xml:space="preserve">דאיירי שהיה למערער עדים שהיה מתגורר בחדרים הפנימים, אך לא היו העדים יודעים האם </w:t>
      </w:r>
      <w:r>
        <w:rPr>
          <w:rFonts w:hint="cs"/>
          <w:rtl/>
        </w:rPr>
        <w:t xml:space="preserve">המערער היה יוצא מהחדרים הפנימים דרך החדרים החיצונים, או מדרך אחרת, וכתבו </w:t>
      </w:r>
      <w:r w:rsidRPr="002E7DDD">
        <w:rPr>
          <w:rStyle w:val="af9"/>
          <w:rFonts w:hint="cs"/>
          <w:rtl/>
        </w:rPr>
        <w:t>התוס'</w:t>
      </w:r>
      <w:r>
        <w:rPr>
          <w:rFonts w:hint="cs"/>
          <w:rtl/>
        </w:rPr>
        <w:t xml:space="preserve"> דאם לא היה למערער עדים שהיה מתגורר בחדרים הפנימים, לא היה אומר ר"נ שהמחזיק צריך לברר את חזקתו, דהא העידי חזקה של המחזיק לא היו צריכים לדעת שהמערער אינו מתגורר יחד עם המחזיק באותו הבית, והוסיפו </w:t>
      </w:r>
      <w:r w:rsidRPr="002E7DDD">
        <w:rPr>
          <w:rStyle w:val="af9"/>
          <w:rFonts w:hint="cs"/>
          <w:rtl/>
        </w:rPr>
        <w:t>התוס'</w:t>
      </w:r>
      <w:r>
        <w:rPr>
          <w:rFonts w:hint="cs"/>
          <w:rtl/>
        </w:rPr>
        <w:t xml:space="preserve"> דודאי שאם יטען המערער שהיה ב' ימים מתוך הג"ש, וא"כ אין למחזיק חזקת ג"ש שלימות</w:t>
      </w:r>
      <w:bookmarkStart w:id="6353" w:name="_Ref57488421"/>
      <w:r>
        <w:rPr>
          <w:rStyle w:val="af1"/>
          <w:rtl/>
        </w:rPr>
        <w:footnoteReference w:id="34"/>
      </w:r>
      <w:bookmarkEnd w:id="6353"/>
      <w:r>
        <w:rPr>
          <w:rFonts w:hint="cs"/>
          <w:rtl/>
        </w:rPr>
        <w:t xml:space="preserve">, לא יתכן לומר דיפסיד עי"ז המחזיק את כל חזקתו, כיון שאין העדים יודעים אם טענת המערער נכונה, וכ"כ </w:t>
      </w:r>
      <w:r w:rsidRPr="00850EA0">
        <w:rPr>
          <w:rStyle w:val="af9"/>
          <w:rFonts w:hint="cs"/>
          <w:rtl/>
        </w:rPr>
        <w:t>המרדכי</w:t>
      </w:r>
      <w:r>
        <w:rPr>
          <w:rFonts w:hint="cs"/>
          <w:rtl/>
        </w:rPr>
        <w:t xml:space="preserve"> </w:t>
      </w:r>
      <w:r w:rsidRPr="00850EA0">
        <w:rPr>
          <w:rStyle w:val="af7"/>
          <w:rFonts w:eastAsia="Guttman Hodes" w:hint="cs"/>
          <w:rtl/>
        </w:rPr>
        <w:t>(רמז תקכ"ג)</w:t>
      </w:r>
      <w:r>
        <w:rPr>
          <w:rFonts w:hint="cs"/>
          <w:rtl/>
        </w:rPr>
        <w:t xml:space="preserve">, ועי' במה שביארו </w:t>
      </w:r>
      <w:r w:rsidRPr="005A5927">
        <w:rPr>
          <w:rStyle w:val="af9"/>
          <w:rFonts w:hint="cs"/>
          <w:rtl/>
        </w:rPr>
        <w:t xml:space="preserve">בחי' רבי נחום </w:t>
      </w:r>
      <w:r w:rsidRPr="005A5927">
        <w:rPr>
          <w:rStyle w:val="af7"/>
          <w:rFonts w:eastAsia="Guttman Hodes" w:hint="cs"/>
          <w:rtl/>
        </w:rPr>
        <w:t xml:space="preserve">(עי' אות </w:t>
      </w:r>
      <w:r w:rsidRPr="005A5927">
        <w:rPr>
          <w:rStyle w:val="af7"/>
          <w:rFonts w:eastAsia="Guttman Hodes"/>
          <w:rtl/>
        </w:rPr>
        <w:fldChar w:fldCharType="begin"/>
      </w:r>
      <w:r w:rsidRPr="005A5927">
        <w:rPr>
          <w:rStyle w:val="af7"/>
          <w:rFonts w:eastAsia="Guttman Hodes"/>
          <w:rtl/>
        </w:rPr>
        <w:instrText xml:space="preserve"> </w:instrText>
      </w:r>
      <w:r w:rsidRPr="005A5927">
        <w:rPr>
          <w:rStyle w:val="af7"/>
          <w:rFonts w:eastAsia="Guttman Hodes" w:hint="cs"/>
        </w:rPr>
        <w:instrText>REF</w:instrText>
      </w:r>
      <w:r w:rsidRPr="005A5927">
        <w:rPr>
          <w:rStyle w:val="af7"/>
          <w:rFonts w:eastAsia="Guttman Hodes" w:hint="cs"/>
          <w:rtl/>
        </w:rPr>
        <w:instrText xml:space="preserve"> _</w:instrText>
      </w:r>
      <w:r w:rsidRPr="005A5927">
        <w:rPr>
          <w:rStyle w:val="af7"/>
          <w:rFonts w:eastAsia="Guttman Hodes" w:hint="cs"/>
        </w:rPr>
        <w:instrText>Ref57136115 \r \h</w:instrText>
      </w:r>
      <w:r w:rsidRPr="005A5927">
        <w:rPr>
          <w:rStyle w:val="af7"/>
          <w:rFonts w:eastAsia="Guttman Hodes"/>
          <w:rtl/>
        </w:rPr>
        <w:instrText xml:space="preserve"> </w:instrText>
      </w:r>
      <w:r w:rsidRPr="005A5927">
        <w:rPr>
          <w:rStyle w:val="af7"/>
          <w:rFonts w:eastAsia="Guttman Hodes"/>
          <w:rtl/>
        </w:rPr>
      </w:r>
      <w:r w:rsidRPr="005A5927">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5A5927">
        <w:rPr>
          <w:rStyle w:val="af7"/>
          <w:rFonts w:eastAsia="Guttman Hodes"/>
          <w:rtl/>
        </w:rPr>
        <w:fldChar w:fldCharType="end"/>
      </w:r>
      <w:r>
        <w:rPr>
          <w:rFonts w:hint="cs"/>
          <w:rtl/>
        </w:rPr>
        <w:t xml:space="preserve"> </w:t>
      </w:r>
      <w:r w:rsidRPr="00C06A4C">
        <w:rPr>
          <w:rStyle w:val="af9"/>
          <w:rFonts w:hint="cs"/>
          <w:rtl/>
        </w:rPr>
        <w:t>ובשיעורי רבי שמואל</w:t>
      </w:r>
      <w:r>
        <w:rPr>
          <w:rFonts w:hint="cs"/>
          <w:rtl/>
        </w:rPr>
        <w:t xml:space="preserve"> </w:t>
      </w:r>
      <w:r w:rsidRPr="00C06A4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Ref57537459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Pr>
          <w:rStyle w:val="af7"/>
          <w:rFonts w:eastAsia="Guttman Hodes"/>
          <w:rtl/>
        </w:rPr>
        <w:fldChar w:fldCharType="end"/>
      </w:r>
      <w:r w:rsidRPr="00C06A4C">
        <w:rPr>
          <w:rStyle w:val="af7"/>
          <w:rFonts w:eastAsia="Guttman Hodes" w:hint="cs"/>
          <w:rtl/>
        </w:rPr>
        <w:t xml:space="preserve"> </w:t>
      </w:r>
      <w:r>
        <w:rPr>
          <w:rFonts w:hint="cs"/>
          <w:rtl/>
        </w:rPr>
        <w:t xml:space="preserve">בדברי </w:t>
      </w:r>
      <w:r w:rsidRPr="005914CE">
        <w:rPr>
          <w:rStyle w:val="af9"/>
          <w:rFonts w:hint="cs"/>
          <w:rtl/>
        </w:rPr>
        <w:t>התוס'</w:t>
      </w:r>
      <w:r>
        <w:rPr>
          <w:rStyle w:val="af1"/>
          <w:rtl/>
        </w:rPr>
        <w:footnoteReference w:id="35"/>
      </w:r>
      <w:r>
        <w:rPr>
          <w:rFonts w:hint="cs"/>
          <w:rtl/>
        </w:rPr>
        <w:t xml:space="preserve">. </w:t>
      </w:r>
      <w:r w:rsidRPr="005914CE">
        <w:rPr>
          <w:rStyle w:val="afb"/>
          <w:rFonts w:hint="cs"/>
          <w:rtl/>
        </w:rPr>
        <w:t xml:space="preserve">[ועי' במ"ש </w:t>
      </w:r>
      <w:r w:rsidRPr="005914CE">
        <w:rPr>
          <w:rStyle w:val="affa"/>
          <w:rFonts w:hint="cs"/>
          <w:rtl/>
        </w:rPr>
        <w:t>בחי' רבי נחום</w:t>
      </w:r>
      <w:r w:rsidRPr="005914CE">
        <w:rPr>
          <w:rStyle w:val="afb"/>
          <w:rFonts w:hint="cs"/>
          <w:rtl/>
        </w:rPr>
        <w:t xml:space="preserve"> </w:t>
      </w:r>
      <w:r w:rsidRPr="004F20F9">
        <w:rPr>
          <w:rStyle w:val="aff6"/>
          <w:rFonts w:hint="cs"/>
          <w:rtl/>
        </w:rPr>
        <w:t xml:space="preserve">(עי' אות </w:t>
      </w:r>
      <w:r w:rsidRPr="004F20F9">
        <w:rPr>
          <w:rStyle w:val="aff6"/>
          <w:rtl/>
        </w:rPr>
        <w:fldChar w:fldCharType="begin"/>
      </w:r>
      <w:r w:rsidRPr="004F20F9">
        <w:rPr>
          <w:rStyle w:val="aff6"/>
          <w:rtl/>
        </w:rPr>
        <w:instrText xml:space="preserve"> </w:instrText>
      </w:r>
      <w:r w:rsidRPr="004F20F9">
        <w:rPr>
          <w:rStyle w:val="aff6"/>
          <w:rFonts w:hint="cs"/>
        </w:rPr>
        <w:instrText>REF</w:instrText>
      </w:r>
      <w:r w:rsidRPr="004F20F9">
        <w:rPr>
          <w:rStyle w:val="aff6"/>
          <w:rFonts w:hint="cs"/>
          <w:rtl/>
        </w:rPr>
        <w:instrText xml:space="preserve"> _</w:instrText>
      </w:r>
      <w:r w:rsidRPr="004F20F9">
        <w:rPr>
          <w:rStyle w:val="aff6"/>
          <w:rFonts w:hint="cs"/>
        </w:rPr>
        <w:instrText>Ref57136011 \r \h</w:instrText>
      </w:r>
      <w:r w:rsidRPr="004F20F9">
        <w:rPr>
          <w:rStyle w:val="aff6"/>
          <w:rtl/>
        </w:rPr>
        <w:instrText xml:space="preserve"> </w:instrText>
      </w:r>
      <w:r w:rsidRPr="004F20F9">
        <w:rPr>
          <w:rStyle w:val="aff6"/>
          <w:rtl/>
        </w:rPr>
      </w:r>
      <w:r w:rsidRPr="004F20F9">
        <w:rPr>
          <w:rStyle w:val="aff6"/>
          <w:rtl/>
        </w:rPr>
        <w:fldChar w:fldCharType="separate"/>
      </w:r>
      <w:r w:rsidR="00265073">
        <w:rPr>
          <w:rStyle w:val="aff6"/>
          <w:cs/>
        </w:rPr>
        <w:t>‎</w:t>
      </w:r>
      <w:r w:rsidR="00265073">
        <w:rPr>
          <w:rStyle w:val="aff6"/>
          <w:rtl/>
        </w:rPr>
        <w:t>קו)</w:t>
      </w:r>
      <w:r w:rsidRPr="004F20F9">
        <w:rPr>
          <w:rStyle w:val="aff6"/>
          <w:rtl/>
        </w:rPr>
        <w:fldChar w:fldCharType="end"/>
      </w:r>
      <w:r>
        <w:rPr>
          <w:rFonts w:hint="cs"/>
          <w:rtl/>
        </w:rPr>
        <w:t xml:space="preserve"> </w:t>
      </w:r>
      <w:r w:rsidRPr="005914CE">
        <w:rPr>
          <w:rStyle w:val="affa"/>
          <w:rFonts w:hint="cs"/>
          <w:rtl/>
        </w:rPr>
        <w:t>ובשיעורי רבי שמואל</w:t>
      </w:r>
      <w:r w:rsidRPr="005914CE">
        <w:rPr>
          <w:rStyle w:val="afb"/>
          <w:rFonts w:hint="cs"/>
          <w:rtl/>
        </w:rPr>
        <w:t xml:space="preserve"> </w:t>
      </w:r>
      <w:r w:rsidRPr="00C06A4C">
        <w:rPr>
          <w:rStyle w:val="aff6"/>
          <w:rFonts w:hint="cs"/>
          <w:rtl/>
        </w:rPr>
        <w:t xml:space="preserve">(עי' אות </w:t>
      </w:r>
      <w:r w:rsidRPr="00C06A4C">
        <w:rPr>
          <w:rStyle w:val="aff6"/>
          <w:rtl/>
        </w:rPr>
        <w:fldChar w:fldCharType="begin"/>
      </w:r>
      <w:r w:rsidRPr="00C06A4C">
        <w:rPr>
          <w:rStyle w:val="aff6"/>
          <w:rtl/>
        </w:rPr>
        <w:instrText xml:space="preserve"> </w:instrText>
      </w:r>
      <w:r w:rsidRPr="00C06A4C">
        <w:rPr>
          <w:rStyle w:val="aff6"/>
          <w:rFonts w:hint="cs"/>
        </w:rPr>
        <w:instrText>REF</w:instrText>
      </w:r>
      <w:r w:rsidRPr="00C06A4C">
        <w:rPr>
          <w:rStyle w:val="aff6"/>
          <w:rFonts w:hint="cs"/>
          <w:rtl/>
        </w:rPr>
        <w:instrText xml:space="preserve"> _</w:instrText>
      </w:r>
      <w:r w:rsidRPr="00C06A4C">
        <w:rPr>
          <w:rStyle w:val="aff6"/>
          <w:rFonts w:hint="cs"/>
        </w:rPr>
        <w:instrText>Ref57535755 \r \h</w:instrText>
      </w:r>
      <w:r w:rsidRPr="00C06A4C">
        <w:rPr>
          <w:rStyle w:val="aff6"/>
          <w:rtl/>
        </w:rPr>
        <w:instrText xml:space="preserve"> </w:instrText>
      </w:r>
      <w:r w:rsidRPr="00C06A4C">
        <w:rPr>
          <w:rStyle w:val="aff6"/>
          <w:rtl/>
        </w:rPr>
      </w:r>
      <w:r w:rsidRPr="00C06A4C">
        <w:rPr>
          <w:rStyle w:val="aff6"/>
          <w:rtl/>
        </w:rPr>
        <w:fldChar w:fldCharType="separate"/>
      </w:r>
      <w:r w:rsidR="00265073">
        <w:rPr>
          <w:rStyle w:val="aff6"/>
          <w:cs/>
        </w:rPr>
        <w:t>‎</w:t>
      </w:r>
      <w:r w:rsidR="00265073">
        <w:rPr>
          <w:rStyle w:val="aff6"/>
          <w:rtl/>
        </w:rPr>
        <w:t>קכא)</w:t>
      </w:r>
      <w:r w:rsidRPr="00C06A4C">
        <w:rPr>
          <w:rStyle w:val="aff6"/>
          <w:rtl/>
        </w:rPr>
        <w:fldChar w:fldCharType="end"/>
      </w:r>
      <w:r>
        <w:rPr>
          <w:rStyle w:val="affa"/>
          <w:rFonts w:hint="cs"/>
          <w:rtl/>
        </w:rPr>
        <w:t xml:space="preserve"> </w:t>
      </w:r>
      <w:r w:rsidRPr="004F20F9">
        <w:rPr>
          <w:rStyle w:val="affa"/>
          <w:rFonts w:hint="cs"/>
          <w:rtl/>
        </w:rPr>
        <w:t>דהרשב"ם</w:t>
      </w:r>
      <w:r w:rsidRPr="005914CE">
        <w:rPr>
          <w:rStyle w:val="afb"/>
          <w:rFonts w:hint="cs"/>
          <w:rtl/>
        </w:rPr>
        <w:t xml:space="preserve"> פליג על </w:t>
      </w:r>
      <w:r w:rsidRPr="005914CE">
        <w:rPr>
          <w:rStyle w:val="affa"/>
          <w:rFonts w:hint="cs"/>
          <w:rtl/>
        </w:rPr>
        <w:t>התוס'</w:t>
      </w:r>
      <w:r w:rsidRPr="005914CE">
        <w:rPr>
          <w:rStyle w:val="afb"/>
          <w:rFonts w:hint="cs"/>
          <w:rtl/>
        </w:rPr>
        <w:t xml:space="preserve"> בזה].</w:t>
      </w:r>
      <w:bookmarkEnd w:id="6352"/>
    </w:p>
    <w:p w:rsidR="0019070E" w:rsidRDefault="0019070E" w:rsidP="0019070E">
      <w:pPr>
        <w:pStyle w:val="a3"/>
        <w:rPr>
          <w:rtl/>
        </w:rPr>
      </w:pPr>
      <w:bookmarkStart w:id="6354" w:name="_Toc57234521"/>
      <w:bookmarkStart w:id="6355" w:name="_Toc57236106"/>
      <w:bookmarkStart w:id="6356" w:name="_Toc57310417"/>
      <w:bookmarkStart w:id="6357" w:name="_Toc57322969"/>
      <w:bookmarkStart w:id="6358" w:name="_Toc57323078"/>
      <w:bookmarkStart w:id="6359" w:name="_Toc57370303"/>
      <w:bookmarkStart w:id="6360" w:name="_Toc57491471"/>
      <w:bookmarkStart w:id="6361" w:name="_Toc57495282"/>
      <w:bookmarkStart w:id="6362" w:name="_Toc57544424"/>
      <w:bookmarkStart w:id="6363" w:name="_Toc58184928"/>
      <w:bookmarkStart w:id="6364" w:name="_Toc57067176"/>
      <w:r>
        <w:rPr>
          <w:rFonts w:hint="cs"/>
          <w:rtl/>
        </w:rPr>
        <w:t>ביאור התוס' רי"ד דיש עדים שדר בפנימי דאל"ה בכל חזקה בעולם יטען המערער כן</w:t>
      </w:r>
      <w:bookmarkEnd w:id="6354"/>
      <w:bookmarkEnd w:id="6355"/>
      <w:bookmarkEnd w:id="6356"/>
      <w:bookmarkEnd w:id="6357"/>
      <w:bookmarkEnd w:id="6358"/>
      <w:bookmarkEnd w:id="6359"/>
      <w:bookmarkEnd w:id="6360"/>
      <w:bookmarkEnd w:id="6361"/>
      <w:bookmarkEnd w:id="6362"/>
      <w:bookmarkEnd w:id="6363"/>
    </w:p>
    <w:p w:rsidR="0019070E" w:rsidRDefault="0019070E" w:rsidP="007E4E81">
      <w:pPr>
        <w:pStyle w:val="a0"/>
        <w:rPr>
          <w:rtl/>
        </w:rPr>
      </w:pPr>
      <w:bookmarkStart w:id="6365" w:name="_Ref57198104"/>
      <w:r>
        <w:rPr>
          <w:rFonts w:hint="cs"/>
          <w:rtl/>
        </w:rPr>
        <w:t xml:space="preserve">וכ"כ </w:t>
      </w:r>
      <w:r w:rsidRPr="005914CE">
        <w:rPr>
          <w:rStyle w:val="af9"/>
          <w:rFonts w:hint="cs"/>
          <w:rtl/>
        </w:rPr>
        <w:t>התוס' רי"ד</w:t>
      </w:r>
      <w:r>
        <w:rPr>
          <w:rFonts w:hint="cs"/>
          <w:rtl/>
        </w:rPr>
        <w:t xml:space="preserve"> </w:t>
      </w:r>
      <w:r w:rsidRPr="005914CE">
        <w:rPr>
          <w:rStyle w:val="af7"/>
          <w:rFonts w:eastAsia="Guttman Hodes" w:hint="cs"/>
          <w:rtl/>
        </w:rPr>
        <w:t xml:space="preserve">(כט. או' ד' ד"ה אנא) </w:t>
      </w:r>
      <w:r>
        <w:rPr>
          <w:rFonts w:hint="cs"/>
          <w:rtl/>
        </w:rPr>
        <w:t>דאיירי שהיה למערער עדים שהיה מתגורר בחדרים הפנימים, דאל"ה בכל חזקה שבעולם יוכל המערער לטעון כן ולבטל את כל החזקות</w:t>
      </w:r>
      <w:bookmarkEnd w:id="6365"/>
      <w:r>
        <w:rPr>
          <w:rFonts w:hint="cs"/>
          <w:rtl/>
        </w:rPr>
        <w:t xml:space="preserve">, אלא כתב </w:t>
      </w:r>
      <w:r w:rsidRPr="005914CE">
        <w:rPr>
          <w:rStyle w:val="af9"/>
          <w:rFonts w:hint="cs"/>
          <w:rtl/>
        </w:rPr>
        <w:t>התוס' רי"ד</w:t>
      </w:r>
      <w:r>
        <w:rPr>
          <w:rFonts w:hint="cs"/>
          <w:rtl/>
        </w:rPr>
        <w:t xml:space="preserve"> דמוכח דכל שיש למחזיק עידי חזקת ג"ש, הוא זוכה בקרקע והמערער אינו יכול לטעון עליו כל טענה בלא שיביא עדים לטענתו</w:t>
      </w:r>
      <w:bookmarkStart w:id="6366" w:name="_Ref57229924"/>
      <w:r>
        <w:rPr>
          <w:rStyle w:val="af1"/>
          <w:rtl/>
        </w:rPr>
        <w:footnoteReference w:id="36"/>
      </w:r>
      <w:bookmarkEnd w:id="6366"/>
      <w:r>
        <w:rPr>
          <w:rFonts w:hint="cs"/>
          <w:rtl/>
        </w:rPr>
        <w:t>.</w:t>
      </w:r>
    </w:p>
    <w:p w:rsidR="0019070E" w:rsidRDefault="0019070E" w:rsidP="0019070E">
      <w:pPr>
        <w:pStyle w:val="1"/>
        <w:rPr>
          <w:rtl/>
        </w:rPr>
      </w:pPr>
      <w:bookmarkStart w:id="6367" w:name="_Toc57491472"/>
      <w:bookmarkStart w:id="6368" w:name="_Toc57495283"/>
      <w:bookmarkStart w:id="6369" w:name="_Toc57544425"/>
      <w:bookmarkStart w:id="6370" w:name="_Toc58184929"/>
      <w:bookmarkStart w:id="6371" w:name="_Toc57067178"/>
      <w:bookmarkStart w:id="6372" w:name="_Toc57234527"/>
      <w:bookmarkStart w:id="6373" w:name="_Toc57236112"/>
      <w:bookmarkStart w:id="6374" w:name="_Toc57310424"/>
      <w:bookmarkStart w:id="6375" w:name="_Toc57322976"/>
      <w:bookmarkStart w:id="6376" w:name="_Toc57323085"/>
      <w:bookmarkStart w:id="6377" w:name="_Toc57370310"/>
      <w:bookmarkEnd w:id="6364"/>
      <w:r>
        <w:rPr>
          <w:rFonts w:hint="cs"/>
          <w:rtl/>
        </w:rPr>
        <w:t>דברי המהרי"ט דהעברת דרך היא רק מחאה ולא ביטול חזקה</w:t>
      </w:r>
      <w:bookmarkEnd w:id="6367"/>
      <w:bookmarkEnd w:id="6368"/>
      <w:bookmarkEnd w:id="6369"/>
      <w:bookmarkEnd w:id="6370"/>
    </w:p>
    <w:p w:rsidR="0019070E" w:rsidRDefault="0019070E" w:rsidP="0019070E">
      <w:pPr>
        <w:pStyle w:val="a3"/>
        <w:rPr>
          <w:rtl/>
        </w:rPr>
      </w:pPr>
      <w:bookmarkStart w:id="6378" w:name="_Toc57310435"/>
      <w:bookmarkStart w:id="6379" w:name="_Toc57322987"/>
      <w:bookmarkStart w:id="6380" w:name="_Toc57323096"/>
      <w:bookmarkStart w:id="6381" w:name="_Toc57370321"/>
      <w:bookmarkStart w:id="6382" w:name="_Toc57491473"/>
      <w:bookmarkStart w:id="6383" w:name="_Toc57495284"/>
      <w:bookmarkStart w:id="6384" w:name="_Toc57544426"/>
      <w:bookmarkStart w:id="6385" w:name="_Toc58184930"/>
      <w:r>
        <w:rPr>
          <w:rFonts w:hint="cs"/>
          <w:rtl/>
        </w:rPr>
        <w:t>ביאור המהרי"ט ברשב"ם דדרך היא מחאה ובמקום שלא היה צריך למחות אינה מבטלת חזקה</w:t>
      </w:r>
      <w:bookmarkEnd w:id="6378"/>
      <w:bookmarkEnd w:id="6379"/>
      <w:bookmarkEnd w:id="6380"/>
      <w:bookmarkEnd w:id="6381"/>
      <w:bookmarkEnd w:id="6382"/>
      <w:bookmarkEnd w:id="6383"/>
      <w:bookmarkEnd w:id="6384"/>
      <w:bookmarkEnd w:id="6385"/>
    </w:p>
    <w:p w:rsidR="0019070E" w:rsidRPr="00CC399C" w:rsidRDefault="0019070E" w:rsidP="007E4E81">
      <w:pPr>
        <w:pStyle w:val="a0"/>
        <w:rPr>
          <w:rStyle w:val="afb"/>
          <w:rtl/>
        </w:rPr>
      </w:pPr>
      <w:bookmarkStart w:id="6386" w:name="_Ref57306482"/>
      <w:r>
        <w:rPr>
          <w:rFonts w:hint="cs"/>
          <w:rtl/>
        </w:rPr>
        <w:t xml:space="preserve">כתב </w:t>
      </w:r>
      <w:r w:rsidRPr="00CB641F">
        <w:rPr>
          <w:rStyle w:val="af9"/>
          <w:rFonts w:hint="cs"/>
          <w:rtl/>
        </w:rPr>
        <w:t>המהרי"ט</w:t>
      </w:r>
      <w:r>
        <w:rPr>
          <w:rFonts w:hint="cs"/>
          <w:rtl/>
        </w:rPr>
        <w:t xml:space="preserve"> </w:t>
      </w:r>
      <w:r w:rsidRPr="00CC399C">
        <w:rPr>
          <w:rStyle w:val="af7"/>
          <w:rFonts w:eastAsia="Guttman Hodes" w:hint="cs"/>
          <w:rtl/>
        </w:rPr>
        <w:t>(ח"ב חו"מ סי' ל"א ד"ה תשובה)</w:t>
      </w:r>
      <w:r>
        <w:rPr>
          <w:rFonts w:hint="cs"/>
          <w:rtl/>
        </w:rPr>
        <w:t xml:space="preserve"> </w:t>
      </w:r>
      <w:r w:rsidRPr="00CB641F">
        <w:rPr>
          <w:rStyle w:val="af9"/>
          <w:rFonts w:hint="cs"/>
          <w:rtl/>
        </w:rPr>
        <w:t>דלהרשב"ם</w:t>
      </w:r>
      <w:r>
        <w:rPr>
          <w:rFonts w:hint="cs"/>
          <w:rtl/>
        </w:rPr>
        <w:t xml:space="preserve"> </w:t>
      </w:r>
      <w:r w:rsidRPr="00CC399C">
        <w:rPr>
          <w:rStyle w:val="af7"/>
          <w:rFonts w:eastAsia="Guttman Hodes" w:hint="cs"/>
          <w:rtl/>
        </w:rPr>
        <w:t xml:space="preserve">(עי' אות </w:t>
      </w:r>
      <w:r w:rsidRPr="00CC399C">
        <w:rPr>
          <w:rStyle w:val="af7"/>
          <w:rFonts w:eastAsia="Guttman Hodes"/>
          <w:rtl/>
        </w:rPr>
        <w:fldChar w:fldCharType="begin"/>
      </w:r>
      <w:r w:rsidRPr="00CC399C">
        <w:rPr>
          <w:rStyle w:val="af7"/>
          <w:rFonts w:eastAsia="Guttman Hodes"/>
          <w:rtl/>
        </w:rPr>
        <w:instrText xml:space="preserve"> </w:instrText>
      </w:r>
      <w:r w:rsidRPr="00CC399C">
        <w:rPr>
          <w:rStyle w:val="af7"/>
          <w:rFonts w:eastAsia="Guttman Hodes" w:hint="cs"/>
        </w:rPr>
        <w:instrText>REF</w:instrText>
      </w:r>
      <w:r w:rsidRPr="00CC399C">
        <w:rPr>
          <w:rStyle w:val="af7"/>
          <w:rFonts w:eastAsia="Guttman Hodes" w:hint="cs"/>
          <w:rtl/>
        </w:rPr>
        <w:instrText xml:space="preserve"> _</w:instrText>
      </w:r>
      <w:r w:rsidRPr="00CC399C">
        <w:rPr>
          <w:rStyle w:val="af7"/>
          <w:rFonts w:eastAsia="Guttman Hodes" w:hint="cs"/>
        </w:rPr>
        <w:instrText>Ref56936382 \r \h</w:instrText>
      </w:r>
      <w:r w:rsidRPr="00CC399C">
        <w:rPr>
          <w:rStyle w:val="af7"/>
          <w:rFonts w:eastAsia="Guttman Hodes"/>
          <w:rtl/>
        </w:rPr>
        <w:instrText xml:space="preserve"> </w:instrText>
      </w:r>
      <w:r w:rsidRPr="00CC399C">
        <w:rPr>
          <w:rStyle w:val="af7"/>
          <w:rFonts w:eastAsia="Guttman Hodes"/>
          <w:rtl/>
        </w:rPr>
      </w:r>
      <w:r w:rsidRPr="00CC399C">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CC399C">
        <w:rPr>
          <w:rStyle w:val="af7"/>
          <w:rFonts w:eastAsia="Guttman Hodes"/>
          <w:rtl/>
        </w:rPr>
        <w:fldChar w:fldCharType="end"/>
      </w:r>
      <w:r>
        <w:rPr>
          <w:rFonts w:hint="cs"/>
          <w:rtl/>
        </w:rPr>
        <w:t xml:space="preserve"> דהעברת דרך מבטלת חזקה, אין הכוונה דעצם העברת הדרך היא מבטלת את חזקת המחזיק, אלא דהעברת הדרך חשיבא כמחאה, דלכן לא חשש המערער למחות, </w:t>
      </w:r>
      <w:r w:rsidRPr="00084AFD">
        <w:rPr>
          <w:rStyle w:val="afb"/>
          <w:rFonts w:hint="cs"/>
          <w:rtl/>
        </w:rPr>
        <w:t>[</w:t>
      </w:r>
      <w:r>
        <w:rPr>
          <w:rStyle w:val="afb"/>
          <w:rFonts w:hint="cs"/>
          <w:rtl/>
        </w:rPr>
        <w:t xml:space="preserve">אך </w:t>
      </w:r>
      <w:r w:rsidRPr="00084AFD">
        <w:rPr>
          <w:rStyle w:val="afb"/>
          <w:rFonts w:hint="cs"/>
          <w:rtl/>
        </w:rPr>
        <w:t>יעוי'</w:t>
      </w:r>
      <w:r>
        <w:rPr>
          <w:rStyle w:val="afb"/>
          <w:rFonts w:hint="cs"/>
          <w:rtl/>
        </w:rPr>
        <w:t xml:space="preserve"> בדברי</w:t>
      </w:r>
      <w:r>
        <w:rPr>
          <w:rFonts w:hint="cs"/>
          <w:rtl/>
        </w:rPr>
        <w:t xml:space="preserve"> </w:t>
      </w:r>
      <w:r>
        <w:rPr>
          <w:rStyle w:val="affa"/>
          <w:rFonts w:hint="cs"/>
          <w:rtl/>
        </w:rPr>
        <w:t>ה</w:t>
      </w:r>
      <w:r w:rsidRPr="00084AFD">
        <w:rPr>
          <w:rStyle w:val="affa"/>
          <w:rFonts w:hint="cs"/>
          <w:rtl/>
        </w:rPr>
        <w:t>תוס'</w:t>
      </w:r>
      <w:r w:rsidRPr="00084AFD">
        <w:rPr>
          <w:rStyle w:val="aff6"/>
          <w:rFonts w:hint="cs"/>
          <w:rtl/>
        </w:rPr>
        <w:t xml:space="preserve"> (עי' הערה</w:t>
      </w:r>
      <w:r w:rsidRPr="00084AFD">
        <w:rPr>
          <w:vertAlign w:val="superscript"/>
          <w:rtl/>
        </w:rPr>
        <w:fldChar w:fldCharType="begin"/>
      </w:r>
      <w:r w:rsidRPr="00084AFD">
        <w:rPr>
          <w:vertAlign w:val="superscript"/>
          <w:rtl/>
        </w:rPr>
        <w:instrText xml:space="preserve"> </w:instrText>
      </w:r>
      <w:r w:rsidRPr="00084AFD">
        <w:rPr>
          <w:rFonts w:hint="cs"/>
          <w:vertAlign w:val="superscript"/>
        </w:rPr>
        <w:instrText>NOTEREF</w:instrText>
      </w:r>
      <w:r w:rsidRPr="00084AFD">
        <w:rPr>
          <w:rFonts w:hint="cs"/>
          <w:vertAlign w:val="superscript"/>
          <w:rtl/>
        </w:rPr>
        <w:instrText xml:space="preserve"> _</w:instrText>
      </w:r>
      <w:r w:rsidRPr="00084AFD">
        <w:rPr>
          <w:rFonts w:hint="cs"/>
          <w:vertAlign w:val="superscript"/>
        </w:rPr>
        <w:instrText>Ref57488421 \h</w:instrText>
      </w:r>
      <w:r w:rsidRPr="00084AF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084AFD">
        <w:rPr>
          <w:vertAlign w:val="superscript"/>
          <w:rtl/>
        </w:rPr>
      </w:r>
      <w:r w:rsidRPr="00084AFD">
        <w:rPr>
          <w:vertAlign w:val="superscript"/>
          <w:rtl/>
        </w:rPr>
        <w:fldChar w:fldCharType="separate"/>
      </w:r>
      <w:r w:rsidR="00265073">
        <w:rPr>
          <w:vertAlign w:val="superscript"/>
          <w:rtl/>
        </w:rPr>
        <w:t>34</w:t>
      </w:r>
      <w:r w:rsidRPr="00084AFD">
        <w:rPr>
          <w:vertAlign w:val="superscript"/>
          <w:rtl/>
        </w:rPr>
        <w:fldChar w:fldCharType="end"/>
      </w:r>
      <w:r w:rsidRPr="00084AFD">
        <w:rPr>
          <w:rStyle w:val="aff6"/>
          <w:rFonts w:hint="cs"/>
          <w:rtl/>
        </w:rPr>
        <w:t xml:space="preserve">) </w:t>
      </w:r>
      <w:r w:rsidRPr="00084AFD">
        <w:rPr>
          <w:rStyle w:val="afb"/>
          <w:rFonts w:hint="cs"/>
          <w:rtl/>
        </w:rPr>
        <w:t>דמשמע ד</w:t>
      </w:r>
      <w:r>
        <w:rPr>
          <w:rStyle w:val="afb"/>
          <w:rFonts w:hint="cs"/>
          <w:rtl/>
        </w:rPr>
        <w:t xml:space="preserve">ס"ל דהעברת דרך </w:t>
      </w:r>
      <w:r w:rsidRPr="00084AFD">
        <w:rPr>
          <w:rStyle w:val="afb"/>
          <w:rFonts w:hint="cs"/>
          <w:rtl/>
        </w:rPr>
        <w:t>הוא חסרון בחזקה],</w:t>
      </w:r>
      <w:r w:rsidRPr="000B7F02">
        <w:rPr>
          <w:rFonts w:hint="cs"/>
          <w:rtl/>
        </w:rPr>
        <w:t xml:space="preserve"> וכתב</w:t>
      </w:r>
      <w:r>
        <w:rPr>
          <w:rFonts w:hint="cs"/>
          <w:rtl/>
        </w:rPr>
        <w:t xml:space="preserve"> </w:t>
      </w:r>
      <w:r w:rsidRPr="00CB641F">
        <w:rPr>
          <w:rStyle w:val="af9"/>
          <w:rFonts w:hint="cs"/>
          <w:rtl/>
        </w:rPr>
        <w:t>המהרי"ט</w:t>
      </w:r>
      <w:r w:rsidRPr="000B7F02">
        <w:rPr>
          <w:rFonts w:hint="cs"/>
          <w:rtl/>
        </w:rPr>
        <w:t xml:space="preserve"> </w:t>
      </w:r>
      <w:r>
        <w:rPr>
          <w:rFonts w:hint="cs"/>
          <w:rtl/>
        </w:rPr>
        <w:t xml:space="preserve">דבמקום שהיה המערער מוחזק בהעברת דרך על המחזיק, אך עברו כמה שנים שלא עבר דרכו, דבכה"ג אין המערער יכול לומר דכיון שבתחילה היה מוחזק עליו בהעברת דרך אין חזקתו חזקה, דהא בשנים שלא עבר דרכו היה לו למחות, וכיון שלא מחה ממילא חשיב שהחזיק המחזיק ג"ש בלא מחאה, וסמך המחזיק על מה שלא מחה בו המערער ולא עבר דרך עליו, ויש לו חזקה, </w:t>
      </w:r>
      <w:r w:rsidRPr="00CC399C">
        <w:rPr>
          <w:rStyle w:val="afb"/>
          <w:rFonts w:hint="cs"/>
          <w:rtl/>
        </w:rPr>
        <w:t>[אבל</w:t>
      </w:r>
      <w:r>
        <w:rPr>
          <w:rFonts w:hint="cs"/>
          <w:rtl/>
        </w:rPr>
        <w:t xml:space="preserve"> </w:t>
      </w:r>
      <w:r w:rsidRPr="00CC399C">
        <w:rPr>
          <w:rStyle w:val="affa"/>
          <w:rFonts w:hint="cs"/>
          <w:rtl/>
        </w:rPr>
        <w:t>הקצוה"ח</w:t>
      </w:r>
      <w:r w:rsidRPr="00CC399C">
        <w:rPr>
          <w:rStyle w:val="aff6"/>
          <w:rFonts w:hint="cs"/>
          <w:rtl/>
        </w:rPr>
        <w:t xml:space="preserve"> (סי' ק"מ סק"ח ד"ה ועוד) </w:t>
      </w:r>
      <w:r w:rsidRPr="00CC399C">
        <w:rPr>
          <w:rStyle w:val="afb"/>
          <w:rFonts w:hint="cs"/>
          <w:rtl/>
        </w:rPr>
        <w:t>דחה את דברי</w:t>
      </w:r>
      <w:r>
        <w:rPr>
          <w:rFonts w:hint="cs"/>
          <w:rtl/>
        </w:rPr>
        <w:t xml:space="preserve"> </w:t>
      </w:r>
      <w:r w:rsidRPr="00CC399C">
        <w:rPr>
          <w:rStyle w:val="affa"/>
          <w:rFonts w:hint="cs"/>
          <w:rtl/>
        </w:rPr>
        <w:t>המהרי"ט</w:t>
      </w:r>
      <w:r>
        <w:rPr>
          <w:rFonts w:hint="cs"/>
          <w:rtl/>
        </w:rPr>
        <w:t xml:space="preserve">, </w:t>
      </w:r>
      <w:r w:rsidRPr="00CC399C">
        <w:rPr>
          <w:rStyle w:val="afb"/>
          <w:rFonts w:hint="cs"/>
          <w:rtl/>
        </w:rPr>
        <w:t>וכתב דכיון שהיה המערער מוחזק בתחילה בהעברת דרך, א"כ חשיב כמחאה ע"י מעשה, והיה למחזיק להזהר בשטרו לעולם, דהחזקה הראשונה התבטלה ע"י שעבר דרך עליו, ואח"כ לא מהני לו חזקה, דאינו יכול לטעון שחזר וקנה מהמערער כיון שהוא ירד ברשות, וקיי"ל דהמערער אינו צריך למחות בכל ג"ש]</w:t>
      </w:r>
      <w:r>
        <w:rPr>
          <w:rStyle w:val="afb"/>
          <w:rFonts w:hint="cs"/>
          <w:rtl/>
        </w:rPr>
        <w:t xml:space="preserve">, </w:t>
      </w:r>
      <w:r>
        <w:rPr>
          <w:rFonts w:hint="cs"/>
          <w:rtl/>
        </w:rPr>
        <w:t xml:space="preserve">ועי' במה שביאר </w:t>
      </w:r>
      <w:r w:rsidRPr="005E5ACF">
        <w:rPr>
          <w:rStyle w:val="af9"/>
          <w:rFonts w:hint="cs"/>
          <w:rtl/>
        </w:rPr>
        <w:t>הדברי מרדכי</w:t>
      </w:r>
      <w:r>
        <w:rPr>
          <w:rFonts w:hint="cs"/>
          <w:rtl/>
        </w:rPr>
        <w:t xml:space="preserve"> </w:t>
      </w:r>
      <w:r w:rsidRPr="005E5ACF">
        <w:rPr>
          <w:rStyle w:val="af7"/>
          <w:rFonts w:eastAsia="Guttman Hodes" w:hint="cs"/>
          <w:rtl/>
        </w:rPr>
        <w:t xml:space="preserve">(עי' אות </w:t>
      </w:r>
      <w:r w:rsidRPr="005E5ACF">
        <w:rPr>
          <w:rStyle w:val="af7"/>
          <w:rFonts w:eastAsia="Guttman Hodes"/>
          <w:rtl/>
        </w:rPr>
        <w:fldChar w:fldCharType="begin"/>
      </w:r>
      <w:r w:rsidRPr="005E5ACF">
        <w:rPr>
          <w:rStyle w:val="af7"/>
          <w:rFonts w:eastAsia="Guttman Hodes"/>
          <w:rtl/>
        </w:rPr>
        <w:instrText xml:space="preserve"> </w:instrText>
      </w:r>
      <w:r w:rsidRPr="005E5ACF">
        <w:rPr>
          <w:rStyle w:val="af7"/>
          <w:rFonts w:eastAsia="Guttman Hodes" w:hint="cs"/>
        </w:rPr>
        <w:instrText>REF</w:instrText>
      </w:r>
      <w:r w:rsidRPr="005E5ACF">
        <w:rPr>
          <w:rStyle w:val="af7"/>
          <w:rFonts w:eastAsia="Guttman Hodes" w:hint="cs"/>
          <w:rtl/>
        </w:rPr>
        <w:instrText xml:space="preserve"> _</w:instrText>
      </w:r>
      <w:r w:rsidRPr="005E5ACF">
        <w:rPr>
          <w:rStyle w:val="af7"/>
          <w:rFonts w:eastAsia="Guttman Hodes" w:hint="cs"/>
        </w:rPr>
        <w:instrText>Ref57306457 \r \h</w:instrText>
      </w:r>
      <w:r w:rsidRPr="005E5ACF">
        <w:rPr>
          <w:rStyle w:val="af7"/>
          <w:rFonts w:eastAsia="Guttman Hodes"/>
          <w:rtl/>
        </w:rPr>
        <w:instrText xml:space="preserve"> </w:instrText>
      </w:r>
      <w:r w:rsidRPr="005E5ACF">
        <w:rPr>
          <w:rStyle w:val="af7"/>
          <w:rFonts w:eastAsia="Guttman Hodes"/>
          <w:rtl/>
        </w:rPr>
      </w:r>
      <w:r w:rsidRPr="005E5ACF">
        <w:rPr>
          <w:rStyle w:val="af7"/>
          <w:rFonts w:eastAsia="Guttman Hodes"/>
          <w:rtl/>
        </w:rPr>
        <w:fldChar w:fldCharType="separate"/>
      </w:r>
      <w:r w:rsidR="00265073">
        <w:rPr>
          <w:rStyle w:val="af7"/>
          <w:rFonts w:eastAsia="Guttman Hodes"/>
          <w:cs/>
        </w:rPr>
        <w:t>‎</w:t>
      </w:r>
      <w:r w:rsidR="00265073">
        <w:rPr>
          <w:rStyle w:val="af7"/>
          <w:rFonts w:eastAsia="Guttman Hodes"/>
          <w:rtl/>
        </w:rPr>
        <w:t>קכה)</w:t>
      </w:r>
      <w:r w:rsidRPr="005E5ACF">
        <w:rPr>
          <w:rStyle w:val="af7"/>
          <w:rFonts w:eastAsia="Guttman Hodes"/>
          <w:rtl/>
        </w:rPr>
        <w:fldChar w:fldCharType="end"/>
      </w:r>
      <w:r>
        <w:rPr>
          <w:rFonts w:hint="cs"/>
          <w:rtl/>
        </w:rPr>
        <w:t xml:space="preserve"> בדברי </w:t>
      </w:r>
      <w:r w:rsidRPr="005E5ACF">
        <w:rPr>
          <w:rStyle w:val="af9"/>
          <w:rFonts w:hint="cs"/>
          <w:rtl/>
        </w:rPr>
        <w:t>המהרי"ט</w:t>
      </w:r>
      <w:r>
        <w:rPr>
          <w:rFonts w:hint="cs"/>
          <w:rtl/>
        </w:rPr>
        <w:t>.</w:t>
      </w:r>
      <w:bookmarkEnd w:id="6386"/>
    </w:p>
    <w:p w:rsidR="0019070E" w:rsidRDefault="0019070E" w:rsidP="0019070E">
      <w:pPr>
        <w:pStyle w:val="1"/>
        <w:rPr>
          <w:rtl/>
        </w:rPr>
      </w:pPr>
      <w:bookmarkStart w:id="6387" w:name="_Toc57491474"/>
      <w:bookmarkStart w:id="6388" w:name="_Toc57495285"/>
      <w:bookmarkStart w:id="6389" w:name="_Toc57544427"/>
      <w:bookmarkStart w:id="6390" w:name="_Toc58184931"/>
      <w:r>
        <w:rPr>
          <w:rFonts w:hint="cs"/>
          <w:rtl/>
        </w:rPr>
        <w:lastRenderedPageBreak/>
        <w:t>קושיות הראשונים על הרשב"ם</w:t>
      </w:r>
      <w:bookmarkEnd w:id="6371"/>
      <w:r>
        <w:rPr>
          <w:rFonts w:hint="cs"/>
          <w:rtl/>
        </w:rPr>
        <w:t xml:space="preserve"> דדרך לא מבטלת חזקה</w:t>
      </w:r>
      <w:bookmarkEnd w:id="6372"/>
      <w:bookmarkEnd w:id="6373"/>
      <w:bookmarkEnd w:id="6374"/>
      <w:bookmarkEnd w:id="6375"/>
      <w:bookmarkEnd w:id="6376"/>
      <w:bookmarkEnd w:id="6377"/>
      <w:bookmarkEnd w:id="6387"/>
      <w:bookmarkEnd w:id="6388"/>
      <w:bookmarkEnd w:id="6389"/>
      <w:bookmarkEnd w:id="6390"/>
    </w:p>
    <w:p w:rsidR="0019070E" w:rsidRDefault="0019070E" w:rsidP="0019070E">
      <w:pPr>
        <w:pStyle w:val="a3"/>
        <w:rPr>
          <w:rtl/>
        </w:rPr>
      </w:pPr>
      <w:bookmarkStart w:id="6391" w:name="_Toc57234528"/>
      <w:bookmarkStart w:id="6392" w:name="_Toc57236113"/>
      <w:bookmarkStart w:id="6393" w:name="_Toc57310425"/>
      <w:bookmarkStart w:id="6394" w:name="_Toc57322977"/>
      <w:bookmarkStart w:id="6395" w:name="_Toc57323086"/>
      <w:bookmarkStart w:id="6396" w:name="_Toc57370311"/>
      <w:bookmarkStart w:id="6397" w:name="_Toc57491475"/>
      <w:bookmarkStart w:id="6398" w:name="_Toc57495286"/>
      <w:bookmarkStart w:id="6399" w:name="_Toc57544428"/>
      <w:bookmarkStart w:id="6400" w:name="_Toc58184932"/>
      <w:r>
        <w:rPr>
          <w:rFonts w:hint="cs"/>
          <w:rtl/>
        </w:rPr>
        <w:t>קושית הרמב"ן על הרשב"ם דהעברת דרך לא מבטלת חזקה דאדם עשוי לשייר דרך לעצמו</w:t>
      </w:r>
      <w:bookmarkEnd w:id="6391"/>
      <w:bookmarkEnd w:id="6392"/>
      <w:bookmarkEnd w:id="6393"/>
      <w:bookmarkEnd w:id="6394"/>
      <w:bookmarkEnd w:id="6395"/>
      <w:bookmarkEnd w:id="6396"/>
      <w:bookmarkEnd w:id="6397"/>
      <w:bookmarkEnd w:id="6398"/>
      <w:bookmarkEnd w:id="6399"/>
      <w:bookmarkEnd w:id="6400"/>
    </w:p>
    <w:p w:rsidR="0019070E" w:rsidRDefault="0019070E" w:rsidP="007E4E81">
      <w:pPr>
        <w:pStyle w:val="a0"/>
        <w:rPr>
          <w:rtl/>
        </w:rPr>
      </w:pPr>
      <w:bookmarkStart w:id="6401" w:name="_Ref57051203"/>
      <w:r>
        <w:rPr>
          <w:rFonts w:hint="cs"/>
          <w:rtl/>
        </w:rPr>
        <w:t xml:space="preserve">והקשה </w:t>
      </w:r>
      <w:r w:rsidRPr="008F3C10">
        <w:rPr>
          <w:rStyle w:val="af9"/>
          <w:rFonts w:hint="cs"/>
          <w:rtl/>
        </w:rPr>
        <w:t xml:space="preserve">הרמב"ן </w:t>
      </w:r>
      <w:r w:rsidRPr="008F3C10">
        <w:rPr>
          <w:rStyle w:val="af7"/>
          <w:rFonts w:eastAsia="Guttman Hodes" w:hint="cs"/>
          <w:rtl/>
        </w:rPr>
        <w:t xml:space="preserve">(ד"ה אנא) </w:t>
      </w:r>
      <w:r>
        <w:rPr>
          <w:rFonts w:hint="cs"/>
          <w:rtl/>
        </w:rPr>
        <w:t xml:space="preserve">על </w:t>
      </w:r>
      <w:r w:rsidRPr="005914CE">
        <w:rPr>
          <w:rStyle w:val="af9"/>
          <w:rFonts w:hint="cs"/>
          <w:rtl/>
        </w:rPr>
        <w:t>הרשב"ם</w:t>
      </w:r>
      <w:r>
        <w:rPr>
          <w:rFonts w:hint="cs"/>
          <w:rtl/>
        </w:rPr>
        <w:t xml:space="preserve"> </w:t>
      </w:r>
      <w:r w:rsidRPr="005914CE">
        <w:rPr>
          <w:rStyle w:val="af7"/>
          <w:rFonts w:eastAsia="Guttman Hodes" w:hint="cs"/>
          <w:rtl/>
        </w:rPr>
        <w:t xml:space="preserve">(עי' אות </w:t>
      </w:r>
      <w:r w:rsidRPr="005914CE">
        <w:rPr>
          <w:rStyle w:val="af7"/>
          <w:rFonts w:eastAsia="Guttman Hodes"/>
          <w:rtl/>
        </w:rPr>
        <w:fldChar w:fldCharType="begin"/>
      </w:r>
      <w:r w:rsidRPr="005914CE">
        <w:rPr>
          <w:rStyle w:val="af7"/>
          <w:rFonts w:eastAsia="Guttman Hodes"/>
          <w:rtl/>
        </w:rPr>
        <w:instrText xml:space="preserve"> </w:instrText>
      </w:r>
      <w:r w:rsidRPr="005914CE">
        <w:rPr>
          <w:rStyle w:val="af7"/>
          <w:rFonts w:eastAsia="Guttman Hodes" w:hint="cs"/>
        </w:rPr>
        <w:instrText>REF</w:instrText>
      </w:r>
      <w:r w:rsidRPr="005914CE">
        <w:rPr>
          <w:rStyle w:val="af7"/>
          <w:rFonts w:eastAsia="Guttman Hodes" w:hint="cs"/>
          <w:rtl/>
        </w:rPr>
        <w:instrText xml:space="preserve"> _</w:instrText>
      </w:r>
      <w:r w:rsidRPr="005914CE">
        <w:rPr>
          <w:rStyle w:val="af7"/>
          <w:rFonts w:eastAsia="Guttman Hodes" w:hint="cs"/>
        </w:rPr>
        <w:instrText>Ref56936382 \r \h</w:instrText>
      </w:r>
      <w:r w:rsidRPr="005914CE">
        <w:rPr>
          <w:rStyle w:val="af7"/>
          <w:rFonts w:eastAsia="Guttman Hodes"/>
          <w:rtl/>
        </w:rPr>
        <w:instrText xml:space="preserve"> </w:instrText>
      </w:r>
      <w:r w:rsidRPr="005914CE">
        <w:rPr>
          <w:rStyle w:val="af7"/>
          <w:rFonts w:eastAsia="Guttman Hodes"/>
          <w:rtl/>
        </w:rPr>
      </w:r>
      <w:r w:rsidRPr="005914CE">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5914CE">
        <w:rPr>
          <w:rStyle w:val="af7"/>
          <w:rFonts w:eastAsia="Guttman Hodes"/>
          <w:rtl/>
        </w:rPr>
        <w:fldChar w:fldCharType="end"/>
      </w:r>
      <w:r w:rsidRPr="005914CE">
        <w:rPr>
          <w:rStyle w:val="af7"/>
          <w:rFonts w:eastAsia="Guttman Hodes" w:hint="cs"/>
          <w:rtl/>
        </w:rPr>
        <w:t xml:space="preserve"> </w:t>
      </w:r>
      <w:r>
        <w:rPr>
          <w:rFonts w:hint="cs"/>
          <w:rtl/>
        </w:rPr>
        <w:t xml:space="preserve">דאף שלפנימי הייתה דרך על החיצון, אין החיצון מפסיד עי"ז את חזקתו, דהא אדם עשוי למכור את הבית החיצון, ולשייר לעצמו את הבית הפנימי עם דרך לצאת מהחיצון, וא"כ כל שהמחזיק דר לבדו בבית החיצון, הוי חזקה, ועי' במה שביאר </w:t>
      </w:r>
      <w:r w:rsidRPr="008F3C10">
        <w:rPr>
          <w:rStyle w:val="af9"/>
          <w:rFonts w:hint="cs"/>
          <w:rtl/>
        </w:rPr>
        <w:t>הב"ח</w:t>
      </w:r>
      <w:r w:rsidRPr="007054F3">
        <w:rPr>
          <w:rStyle w:val="af9"/>
          <w:rFonts w:hint="cs"/>
          <w:rtl/>
        </w:rPr>
        <w:t xml:space="preserve"> </w:t>
      </w:r>
      <w:r>
        <w:rPr>
          <w:rStyle w:val="af9"/>
          <w:rFonts w:hint="cs"/>
          <w:rtl/>
        </w:rPr>
        <w:t>בתשו'</w:t>
      </w:r>
      <w:r w:rsidRPr="008F3C10">
        <w:rPr>
          <w:rStyle w:val="af9"/>
          <w:rFonts w:hint="cs"/>
          <w:rtl/>
        </w:rPr>
        <w:t xml:space="preserve"> </w:t>
      </w:r>
      <w:r w:rsidRPr="008F3C10">
        <w:rPr>
          <w:rStyle w:val="af7"/>
          <w:rFonts w:eastAsia="Guttman Hodes" w:hint="cs"/>
          <w:rtl/>
        </w:rPr>
        <w:t xml:space="preserve">(עי' אות </w:t>
      </w:r>
      <w:r w:rsidRPr="008F3C10">
        <w:rPr>
          <w:rStyle w:val="af7"/>
          <w:rFonts w:eastAsia="Guttman Hodes"/>
          <w:rtl/>
        </w:rPr>
        <w:fldChar w:fldCharType="begin"/>
      </w:r>
      <w:r w:rsidRPr="008F3C10">
        <w:rPr>
          <w:rStyle w:val="af7"/>
          <w:rFonts w:eastAsia="Guttman Hodes"/>
          <w:rtl/>
        </w:rPr>
        <w:instrText xml:space="preserve"> </w:instrText>
      </w:r>
      <w:r w:rsidRPr="008F3C10">
        <w:rPr>
          <w:rStyle w:val="af7"/>
          <w:rFonts w:eastAsia="Guttman Hodes" w:hint="cs"/>
        </w:rPr>
        <w:instrText>REF</w:instrText>
      </w:r>
      <w:r w:rsidRPr="008F3C10">
        <w:rPr>
          <w:rStyle w:val="af7"/>
          <w:rFonts w:eastAsia="Guttman Hodes" w:hint="cs"/>
          <w:rtl/>
        </w:rPr>
        <w:instrText xml:space="preserve"> _</w:instrText>
      </w:r>
      <w:r w:rsidRPr="008F3C10">
        <w:rPr>
          <w:rStyle w:val="af7"/>
          <w:rFonts w:eastAsia="Guttman Hodes" w:hint="cs"/>
        </w:rPr>
        <w:instrText>Ref57051178 \r \h</w:instrText>
      </w:r>
      <w:r w:rsidRPr="008F3C10">
        <w:rPr>
          <w:rStyle w:val="af7"/>
          <w:rFonts w:eastAsia="Guttman Hodes"/>
          <w:rtl/>
        </w:rPr>
        <w:instrText xml:space="preserve"> </w:instrText>
      </w:r>
      <w:r w:rsidRPr="008F3C10">
        <w:rPr>
          <w:rStyle w:val="af7"/>
          <w:rFonts w:eastAsia="Guttman Hodes"/>
          <w:rtl/>
        </w:rPr>
      </w:r>
      <w:r w:rsidRPr="008F3C10">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8F3C10">
        <w:rPr>
          <w:rStyle w:val="af7"/>
          <w:rFonts w:eastAsia="Guttman Hodes"/>
          <w:rtl/>
        </w:rPr>
        <w:fldChar w:fldCharType="end"/>
      </w:r>
      <w:r>
        <w:rPr>
          <w:rFonts w:hint="cs"/>
          <w:rtl/>
        </w:rPr>
        <w:t xml:space="preserve"> בקושית </w:t>
      </w:r>
      <w:r w:rsidRPr="008F3C10">
        <w:rPr>
          <w:rStyle w:val="af9"/>
          <w:rFonts w:hint="cs"/>
          <w:rtl/>
        </w:rPr>
        <w:t>הרמב"ן</w:t>
      </w:r>
      <w:r>
        <w:rPr>
          <w:rFonts w:hint="cs"/>
          <w:rtl/>
        </w:rPr>
        <w:t xml:space="preserve">, ובמ"ש </w:t>
      </w:r>
      <w:r w:rsidRPr="00B65CA4">
        <w:rPr>
          <w:rStyle w:val="af9"/>
          <w:rFonts w:hint="cs"/>
          <w:rtl/>
        </w:rPr>
        <w:t xml:space="preserve">בחי' רבי נחום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Ref57495212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2E7DDD">
        <w:rPr>
          <w:rStyle w:val="af9"/>
          <w:rFonts w:hint="cs"/>
          <w:rtl/>
        </w:rPr>
        <w:t>הרמב"ן</w:t>
      </w:r>
      <w:r>
        <w:rPr>
          <w:rFonts w:hint="cs"/>
          <w:rtl/>
        </w:rPr>
        <w:t>.</w:t>
      </w:r>
      <w:bookmarkEnd w:id="6401"/>
    </w:p>
    <w:p w:rsidR="0019070E" w:rsidRDefault="0019070E" w:rsidP="0019070E">
      <w:pPr>
        <w:pStyle w:val="a3"/>
        <w:rPr>
          <w:rtl/>
        </w:rPr>
      </w:pPr>
      <w:bookmarkStart w:id="6402" w:name="_Toc57234529"/>
      <w:bookmarkStart w:id="6403" w:name="_Toc57236114"/>
      <w:bookmarkStart w:id="6404" w:name="_Toc57310426"/>
      <w:bookmarkStart w:id="6405" w:name="_Toc57322978"/>
      <w:bookmarkStart w:id="6406" w:name="_Toc57323087"/>
      <w:bookmarkStart w:id="6407" w:name="_Toc57370312"/>
      <w:bookmarkStart w:id="6408" w:name="_Toc57491476"/>
      <w:bookmarkStart w:id="6409" w:name="_Toc57495287"/>
      <w:bookmarkStart w:id="6410" w:name="_Toc57544429"/>
      <w:bookmarkStart w:id="6411" w:name="_Toc58184933"/>
      <w:r>
        <w:rPr>
          <w:rFonts w:hint="cs"/>
          <w:rtl/>
        </w:rPr>
        <w:t>קושית הרשב"א על הרשב"ם דלעולם לא שייך להחזיק בבית החיצון או בשייר דרך</w:t>
      </w:r>
      <w:bookmarkEnd w:id="6402"/>
      <w:bookmarkEnd w:id="6403"/>
      <w:bookmarkEnd w:id="6404"/>
      <w:bookmarkEnd w:id="6405"/>
      <w:bookmarkEnd w:id="6406"/>
      <w:bookmarkEnd w:id="6407"/>
      <w:bookmarkEnd w:id="6408"/>
      <w:bookmarkEnd w:id="6409"/>
      <w:bookmarkEnd w:id="6410"/>
      <w:bookmarkEnd w:id="6411"/>
    </w:p>
    <w:p w:rsidR="0019070E" w:rsidRDefault="0019070E" w:rsidP="007E4E81">
      <w:pPr>
        <w:pStyle w:val="a0"/>
        <w:rPr>
          <w:rtl/>
        </w:rPr>
      </w:pPr>
      <w:r w:rsidRPr="008F3C10">
        <w:rPr>
          <w:rStyle w:val="af9"/>
          <w:rFonts w:hint="cs"/>
          <w:rtl/>
        </w:rPr>
        <w:t>והרשב"א</w:t>
      </w:r>
      <w:r>
        <w:rPr>
          <w:rFonts w:hint="cs"/>
          <w:rtl/>
        </w:rPr>
        <w:t xml:space="preserve"> </w:t>
      </w:r>
      <w:r w:rsidRPr="008F3C10">
        <w:rPr>
          <w:rStyle w:val="af7"/>
          <w:rFonts w:eastAsia="Guttman Hodes" w:hint="cs"/>
          <w:rtl/>
        </w:rPr>
        <w:t xml:space="preserve">(ד"ה ההוא) </w:t>
      </w:r>
      <w:r>
        <w:rPr>
          <w:rFonts w:hint="cs"/>
          <w:rtl/>
        </w:rPr>
        <w:t xml:space="preserve">הקשה על </w:t>
      </w:r>
      <w:r w:rsidRPr="008F3C10">
        <w:rPr>
          <w:rStyle w:val="af9"/>
          <w:rFonts w:hint="cs"/>
          <w:rtl/>
        </w:rPr>
        <w:t xml:space="preserve">הרשב"ם </w:t>
      </w:r>
      <w:r w:rsidRPr="008F3C10">
        <w:rPr>
          <w:rStyle w:val="af7"/>
          <w:rFonts w:eastAsia="Guttman Hodes" w:hint="cs"/>
          <w:rtl/>
        </w:rPr>
        <w:t xml:space="preserve">(עי' אות </w:t>
      </w:r>
      <w:r w:rsidRPr="008F3C10">
        <w:rPr>
          <w:rStyle w:val="af7"/>
          <w:rFonts w:eastAsia="Guttman Hodes"/>
          <w:rtl/>
        </w:rPr>
        <w:fldChar w:fldCharType="begin"/>
      </w:r>
      <w:r w:rsidRPr="008F3C10">
        <w:rPr>
          <w:rStyle w:val="af7"/>
          <w:rFonts w:eastAsia="Guttman Hodes"/>
          <w:rtl/>
        </w:rPr>
        <w:instrText xml:space="preserve"> </w:instrText>
      </w:r>
      <w:r w:rsidRPr="008F3C10">
        <w:rPr>
          <w:rStyle w:val="af7"/>
          <w:rFonts w:eastAsia="Guttman Hodes" w:hint="cs"/>
        </w:rPr>
        <w:instrText>REF</w:instrText>
      </w:r>
      <w:r w:rsidRPr="008F3C10">
        <w:rPr>
          <w:rStyle w:val="af7"/>
          <w:rFonts w:eastAsia="Guttman Hodes" w:hint="cs"/>
          <w:rtl/>
        </w:rPr>
        <w:instrText xml:space="preserve"> _</w:instrText>
      </w:r>
      <w:r w:rsidRPr="008F3C10">
        <w:rPr>
          <w:rStyle w:val="af7"/>
          <w:rFonts w:eastAsia="Guttman Hodes" w:hint="cs"/>
        </w:rPr>
        <w:instrText>Ref56936382 \r \h</w:instrText>
      </w:r>
      <w:r w:rsidRPr="008F3C10">
        <w:rPr>
          <w:rStyle w:val="af7"/>
          <w:rFonts w:eastAsia="Guttman Hodes"/>
          <w:rtl/>
        </w:rPr>
        <w:instrText xml:space="preserve"> </w:instrText>
      </w:r>
      <w:r w:rsidRPr="008F3C10">
        <w:rPr>
          <w:rStyle w:val="af7"/>
          <w:rFonts w:eastAsia="Guttman Hodes"/>
          <w:rtl/>
        </w:rPr>
      </w:r>
      <w:r w:rsidRPr="008F3C10">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8F3C10">
        <w:rPr>
          <w:rStyle w:val="af7"/>
          <w:rFonts w:eastAsia="Guttman Hodes"/>
          <w:rtl/>
        </w:rPr>
        <w:fldChar w:fldCharType="end"/>
      </w:r>
      <w:r>
        <w:rPr>
          <w:rFonts w:hint="cs"/>
          <w:rtl/>
        </w:rPr>
        <w:t xml:space="preserve"> דאי העברת דרך מבטלת את החזקה, א"כ לעולם לא שייך להחזיק בבית החיצון, והמוכר לחבירו שדה ושייר בו בור או אילן עם דרך, לא תעלה חזקה ללוקח, כיון שיש למרא קמא דריסת רגל בשדה, וכתב </w:t>
      </w:r>
      <w:r w:rsidRPr="002E7DDD">
        <w:rPr>
          <w:rStyle w:val="af9"/>
          <w:rFonts w:hint="cs"/>
          <w:rtl/>
        </w:rPr>
        <w:t>הרשב"א</w:t>
      </w:r>
      <w:r>
        <w:rPr>
          <w:rFonts w:hint="cs"/>
          <w:rtl/>
        </w:rPr>
        <w:t xml:space="preserve"> דא"א לומר דשדה שהיא עשויה לפירות, מהני החזקה כיון שהמחזיק אוכל פירות, דהא אף בית עשוי לדירה, והמחזיק דר בו ומשתמש בו לעצמו.</w:t>
      </w:r>
    </w:p>
    <w:p w:rsidR="0019070E" w:rsidRDefault="0019070E" w:rsidP="0019070E">
      <w:pPr>
        <w:pStyle w:val="a3"/>
        <w:rPr>
          <w:rtl/>
        </w:rPr>
      </w:pPr>
      <w:bookmarkStart w:id="6412" w:name="_Toc57234530"/>
      <w:bookmarkStart w:id="6413" w:name="_Toc57236115"/>
      <w:bookmarkStart w:id="6414" w:name="_Toc57310427"/>
      <w:bookmarkStart w:id="6415" w:name="_Toc57322979"/>
      <w:bookmarkStart w:id="6416" w:name="_Toc57323088"/>
      <w:bookmarkStart w:id="6417" w:name="_Toc57370313"/>
      <w:bookmarkStart w:id="6418" w:name="_Toc57491477"/>
      <w:bookmarkStart w:id="6419" w:name="_Toc57495288"/>
      <w:bookmarkStart w:id="6420" w:name="_Toc57544430"/>
      <w:bookmarkStart w:id="6421" w:name="_Toc58184934"/>
      <w:r>
        <w:rPr>
          <w:rFonts w:hint="cs"/>
          <w:rtl/>
        </w:rPr>
        <w:t>קושית הנימוק"י דהחיצון דר בפנ"ע והדרך אינה מבטלת חזקה דאל"ה א"א לקנות בשייר דרך</w:t>
      </w:r>
      <w:bookmarkEnd w:id="6412"/>
      <w:bookmarkEnd w:id="6413"/>
      <w:bookmarkEnd w:id="6414"/>
      <w:bookmarkEnd w:id="6415"/>
      <w:bookmarkEnd w:id="6416"/>
      <w:bookmarkEnd w:id="6417"/>
      <w:bookmarkEnd w:id="6418"/>
      <w:bookmarkEnd w:id="6419"/>
      <w:bookmarkEnd w:id="6420"/>
      <w:bookmarkEnd w:id="6421"/>
    </w:p>
    <w:p w:rsidR="0019070E" w:rsidRPr="00137A81" w:rsidRDefault="0019070E" w:rsidP="007E4E81">
      <w:pPr>
        <w:pStyle w:val="a0"/>
        <w:rPr>
          <w:rtl/>
        </w:rPr>
      </w:pPr>
      <w:bookmarkStart w:id="6422" w:name="_Ref57061001"/>
      <w:r>
        <w:rPr>
          <w:rFonts w:hint="cs"/>
          <w:rtl/>
        </w:rPr>
        <w:t xml:space="preserve">וכן </w:t>
      </w:r>
      <w:r w:rsidRPr="00137A81">
        <w:rPr>
          <w:rFonts w:hint="cs"/>
          <w:rtl/>
        </w:rPr>
        <w:t xml:space="preserve">הביא </w:t>
      </w:r>
      <w:r w:rsidRPr="00642D5E">
        <w:rPr>
          <w:rStyle w:val="af9"/>
          <w:rFonts w:hint="cs"/>
          <w:rtl/>
        </w:rPr>
        <w:t>הנימוק"י</w:t>
      </w:r>
      <w:r w:rsidRPr="00137A81">
        <w:rPr>
          <w:rFonts w:hint="cs"/>
          <w:rtl/>
        </w:rPr>
        <w:t xml:space="preserve"> </w:t>
      </w:r>
      <w:r w:rsidRPr="00642D5E">
        <w:rPr>
          <w:rStyle w:val="af7"/>
          <w:rFonts w:eastAsia="Guttman Hodes" w:hint="cs"/>
          <w:rtl/>
        </w:rPr>
        <w:t>(טו. מדה"ר ד"ה ההוא)</w:t>
      </w:r>
      <w:r>
        <w:rPr>
          <w:rFonts w:hint="cs"/>
          <w:rtl/>
        </w:rPr>
        <w:t xml:space="preserve"> </w:t>
      </w:r>
      <w:r w:rsidRPr="00137A81">
        <w:rPr>
          <w:rFonts w:hint="cs"/>
          <w:rtl/>
        </w:rPr>
        <w:t xml:space="preserve">בשם </w:t>
      </w:r>
      <w:r w:rsidRPr="00B46F74">
        <w:rPr>
          <w:rStyle w:val="af9"/>
          <w:rFonts w:hint="cs"/>
          <w:rtl/>
        </w:rPr>
        <w:t>אחרונים</w:t>
      </w:r>
      <w:r w:rsidRPr="00137A81">
        <w:rPr>
          <w:rFonts w:hint="cs"/>
          <w:rtl/>
        </w:rPr>
        <w:t xml:space="preserve"> דדחו את דברי </w:t>
      </w:r>
      <w:r w:rsidRPr="00B46F74">
        <w:rPr>
          <w:rStyle w:val="af9"/>
          <w:rFonts w:hint="cs"/>
          <w:rtl/>
        </w:rPr>
        <w:t>הרשב"ם</w:t>
      </w:r>
      <w:r w:rsidR="00A77F33">
        <w:rPr>
          <w:rStyle w:val="af9"/>
          <w:rFonts w:hint="cs"/>
          <w:rtl/>
        </w:rPr>
        <w:t xml:space="preserve"> </w:t>
      </w:r>
      <w:r w:rsidRPr="00137A81">
        <w:rPr>
          <w:rFonts w:hint="cs"/>
          <w:rtl/>
        </w:rPr>
        <w:t>וכתבו דאף</w:t>
      </w:r>
      <w:r w:rsidR="00A77F33">
        <w:rPr>
          <w:rFonts w:hint="cs"/>
          <w:rtl/>
        </w:rPr>
        <w:t xml:space="preserve"> </w:t>
      </w:r>
      <w:r w:rsidRPr="00137A81">
        <w:rPr>
          <w:rFonts w:hint="cs"/>
          <w:rtl/>
        </w:rPr>
        <w:t>שיש לפנימי דרך עליו, מ"מ כיון שהמחזיק היה מתגורר בפנ"ע, ודאי דהוי חזקה, דהא אי נימא דלא הוי חזקה, א"כ כל המוכר קרקע לחבירו ושייר בו דרך לעצמו, אין הלוקח יכול לקנות</w:t>
      </w:r>
      <w:r>
        <w:rPr>
          <w:rFonts w:hint="cs"/>
          <w:rtl/>
        </w:rPr>
        <w:t xml:space="preserve">, ועי' במ"ש </w:t>
      </w:r>
      <w:r>
        <w:rPr>
          <w:rStyle w:val="af9"/>
          <w:rFonts w:hint="cs"/>
          <w:rtl/>
        </w:rPr>
        <w:t xml:space="preserve">הדרכ"מ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Ref57310299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Pr>
          <w:rStyle w:val="af7"/>
          <w:rFonts w:eastAsia="Guttman Hodes"/>
          <w:rtl/>
        </w:rPr>
        <w:fldChar w:fldCharType="end"/>
      </w:r>
      <w:r>
        <w:rPr>
          <w:rStyle w:val="af9"/>
          <w:rFonts w:hint="cs"/>
          <w:rtl/>
        </w:rPr>
        <w:t xml:space="preserve"> </w:t>
      </w:r>
      <w:r>
        <w:rPr>
          <w:rFonts w:hint="cs"/>
          <w:rtl/>
        </w:rPr>
        <w:t xml:space="preserve">במדברי </w:t>
      </w:r>
      <w:r w:rsidRPr="00B76A17">
        <w:rPr>
          <w:rStyle w:val="af9"/>
          <w:rFonts w:hint="cs"/>
          <w:rtl/>
        </w:rPr>
        <w:t>הנימוק"י</w:t>
      </w:r>
      <w:r w:rsidRPr="00137A81">
        <w:rPr>
          <w:rFonts w:hint="cs"/>
          <w:rtl/>
        </w:rPr>
        <w:t>.</w:t>
      </w:r>
      <w:bookmarkEnd w:id="6422"/>
    </w:p>
    <w:p w:rsidR="0019070E" w:rsidRPr="00AC7D02" w:rsidRDefault="0019070E" w:rsidP="0019070E">
      <w:pPr>
        <w:pStyle w:val="a3"/>
        <w:rPr>
          <w:rtl/>
        </w:rPr>
      </w:pPr>
      <w:bookmarkStart w:id="6423" w:name="_Toc57234531"/>
      <w:bookmarkStart w:id="6424" w:name="_Toc57236116"/>
      <w:bookmarkStart w:id="6425" w:name="_Toc57310428"/>
      <w:bookmarkStart w:id="6426" w:name="_Toc57322980"/>
      <w:bookmarkStart w:id="6427" w:name="_Toc57323089"/>
      <w:bookmarkStart w:id="6428" w:name="_Toc57370314"/>
      <w:bookmarkStart w:id="6429" w:name="_Toc57491478"/>
      <w:bookmarkStart w:id="6430" w:name="_Toc57495289"/>
      <w:bookmarkStart w:id="6431" w:name="_Toc57544431"/>
      <w:bookmarkStart w:id="6432" w:name="_Toc58184935"/>
      <w:r>
        <w:rPr>
          <w:rFonts w:hint="cs"/>
          <w:rtl/>
        </w:rPr>
        <w:t>תירוץ הריטב"א דהיה למערער דרך אחרת וכשיצא מהחיצון מחה ודחה הריטבא דיתכן ששייר</w:t>
      </w:r>
      <w:bookmarkEnd w:id="6423"/>
      <w:bookmarkEnd w:id="6424"/>
      <w:bookmarkEnd w:id="6425"/>
      <w:bookmarkEnd w:id="6426"/>
      <w:bookmarkEnd w:id="6427"/>
      <w:bookmarkEnd w:id="6428"/>
      <w:bookmarkEnd w:id="6429"/>
      <w:bookmarkEnd w:id="6430"/>
      <w:bookmarkEnd w:id="6431"/>
      <w:bookmarkEnd w:id="6432"/>
    </w:p>
    <w:p w:rsidR="0019070E" w:rsidRDefault="0019070E" w:rsidP="007E4E81">
      <w:pPr>
        <w:pStyle w:val="a0"/>
        <w:rPr>
          <w:rtl/>
        </w:rPr>
      </w:pPr>
      <w:bookmarkStart w:id="6433" w:name="_Ref57109909"/>
      <w:bookmarkStart w:id="6434" w:name="_Ref57231052"/>
      <w:r>
        <w:rPr>
          <w:rFonts w:hint="cs"/>
          <w:rtl/>
        </w:rPr>
        <w:t xml:space="preserve">ותירץ </w:t>
      </w:r>
      <w:r w:rsidRPr="002E7DDD">
        <w:rPr>
          <w:rStyle w:val="af9"/>
          <w:rFonts w:hint="cs"/>
          <w:rtl/>
        </w:rPr>
        <w:t xml:space="preserve">הריטב"א </w:t>
      </w:r>
      <w:r w:rsidRPr="008F3C10">
        <w:rPr>
          <w:rStyle w:val="af7"/>
          <w:rFonts w:eastAsia="Guttman Hodes" w:hint="cs"/>
          <w:rtl/>
        </w:rPr>
        <w:t>(ד"ה א"ל)</w:t>
      </w:r>
      <w:r>
        <w:rPr>
          <w:rFonts w:hint="cs"/>
          <w:rtl/>
        </w:rPr>
        <w:t xml:space="preserve"> דאיירי שהיה למערער דרך אחרת לצאת מהבית, ולכן מה שיצא דוקא דרך הבית החיצון חשיב כמחאה, ולא דמי לשייר לו דרך דעלתה לו חזקה, אך דחה </w:t>
      </w:r>
      <w:r w:rsidRPr="002E7DDD">
        <w:rPr>
          <w:rStyle w:val="af9"/>
          <w:rFonts w:hint="cs"/>
          <w:rtl/>
        </w:rPr>
        <w:t>הריטב"א</w:t>
      </w:r>
      <w:r>
        <w:rPr>
          <w:rFonts w:hint="cs"/>
          <w:rtl/>
        </w:rPr>
        <w:t xml:space="preserve"> דאפש"ל דאיירי שהמערער שייר לו דרך מהבית החיצון, ולכן הוא יצא דוקא בדרך הזו, כדי להחזיק בה שהיא משויירת לו, ועי' במ"ש </w:t>
      </w:r>
      <w:r w:rsidRPr="00B65CA4">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Ref57136778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B65CA4">
        <w:rPr>
          <w:rStyle w:val="af9"/>
          <w:rFonts w:hint="cs"/>
          <w:rtl/>
        </w:rPr>
        <w:t>הריטב"א</w:t>
      </w:r>
      <w:r>
        <w:rPr>
          <w:rFonts w:hint="cs"/>
          <w:rtl/>
        </w:rPr>
        <w:t>.</w:t>
      </w:r>
      <w:bookmarkEnd w:id="6433"/>
      <w:r>
        <w:rPr>
          <w:rFonts w:hint="cs"/>
          <w:rtl/>
        </w:rPr>
        <w:t xml:space="preserve"> </w:t>
      </w:r>
      <w:r w:rsidRPr="00DD1C30">
        <w:rPr>
          <w:rStyle w:val="afb"/>
          <w:rFonts w:hint="cs"/>
          <w:rtl/>
        </w:rPr>
        <w:t xml:space="preserve">[ועי' בדברי </w:t>
      </w:r>
      <w:r w:rsidRPr="00DD1C30">
        <w:rPr>
          <w:rStyle w:val="affa"/>
          <w:rFonts w:hint="cs"/>
          <w:rtl/>
        </w:rPr>
        <w:t>התוס' רי"ד</w:t>
      </w:r>
      <w:r w:rsidRPr="00DD1C30">
        <w:rPr>
          <w:rStyle w:val="afb"/>
          <w:rFonts w:hint="cs"/>
          <w:rtl/>
        </w:rPr>
        <w:t xml:space="preserve"> </w:t>
      </w:r>
      <w:r w:rsidRPr="00DD1C30">
        <w:rPr>
          <w:rStyle w:val="aff6"/>
          <w:rFonts w:hint="cs"/>
          <w:rtl/>
        </w:rPr>
        <w:t>(עי' הערה</w:t>
      </w:r>
      <w:r w:rsidRPr="000565D6">
        <w:rPr>
          <w:vertAlign w:val="superscript"/>
          <w:rtl/>
        </w:rPr>
        <w:fldChar w:fldCharType="begin"/>
      </w:r>
      <w:r w:rsidRPr="000565D6">
        <w:rPr>
          <w:vertAlign w:val="superscript"/>
          <w:rtl/>
        </w:rPr>
        <w:instrText xml:space="preserve"> </w:instrText>
      </w:r>
      <w:r w:rsidRPr="000565D6">
        <w:rPr>
          <w:rFonts w:hint="cs"/>
          <w:vertAlign w:val="superscript"/>
        </w:rPr>
        <w:instrText>NOTEREF</w:instrText>
      </w:r>
      <w:r w:rsidRPr="000565D6">
        <w:rPr>
          <w:rFonts w:hint="cs"/>
          <w:vertAlign w:val="superscript"/>
          <w:rtl/>
        </w:rPr>
        <w:instrText xml:space="preserve"> _</w:instrText>
      </w:r>
      <w:r w:rsidRPr="000565D6">
        <w:rPr>
          <w:rFonts w:hint="cs"/>
          <w:vertAlign w:val="superscript"/>
        </w:rPr>
        <w:instrText>Ref57229924 \h</w:instrText>
      </w:r>
      <w:r w:rsidRPr="000565D6">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0565D6">
        <w:rPr>
          <w:vertAlign w:val="superscript"/>
          <w:rtl/>
        </w:rPr>
      </w:r>
      <w:r w:rsidRPr="000565D6">
        <w:rPr>
          <w:vertAlign w:val="superscript"/>
          <w:rtl/>
        </w:rPr>
        <w:fldChar w:fldCharType="separate"/>
      </w:r>
      <w:r w:rsidR="00265073">
        <w:rPr>
          <w:vertAlign w:val="superscript"/>
          <w:rtl/>
        </w:rPr>
        <w:t>36</w:t>
      </w:r>
      <w:r w:rsidRPr="000565D6">
        <w:rPr>
          <w:vertAlign w:val="superscript"/>
          <w:rtl/>
        </w:rPr>
        <w:fldChar w:fldCharType="end"/>
      </w:r>
      <w:r w:rsidRPr="00DD1C30">
        <w:rPr>
          <w:rStyle w:val="aff6"/>
          <w:rFonts w:hint="cs"/>
          <w:rtl/>
        </w:rPr>
        <w:t>)</w:t>
      </w:r>
      <w:r w:rsidRPr="00DD1C30">
        <w:rPr>
          <w:rStyle w:val="afb"/>
          <w:rFonts w:hint="cs"/>
          <w:rtl/>
        </w:rPr>
        <w:t>].</w:t>
      </w:r>
      <w:bookmarkEnd w:id="6434"/>
    </w:p>
    <w:p w:rsidR="0019070E" w:rsidRDefault="0019070E" w:rsidP="0019070E">
      <w:pPr>
        <w:pStyle w:val="a3"/>
        <w:rPr>
          <w:rtl/>
        </w:rPr>
      </w:pPr>
      <w:bookmarkStart w:id="6435" w:name="_Toc57234532"/>
      <w:bookmarkStart w:id="6436" w:name="_Toc57236117"/>
      <w:bookmarkStart w:id="6437" w:name="_Toc57310429"/>
      <w:bookmarkStart w:id="6438" w:name="_Toc57322981"/>
      <w:bookmarkStart w:id="6439" w:name="_Toc57323090"/>
      <w:bookmarkStart w:id="6440" w:name="_Toc57370315"/>
      <w:bookmarkStart w:id="6441" w:name="_Toc57491479"/>
      <w:bookmarkStart w:id="6442" w:name="_Toc57495290"/>
      <w:bookmarkStart w:id="6443" w:name="_Toc57544432"/>
      <w:bookmarkStart w:id="6444" w:name="_Toc58184936"/>
      <w:r>
        <w:rPr>
          <w:rFonts w:hint="cs"/>
          <w:rtl/>
        </w:rPr>
        <w:t>ביאור הב"ח ברשב"ם דדרך מבטלת חזקה דכל ששייר דרך לעולם צריך לשמור את שטרו</w:t>
      </w:r>
      <w:bookmarkEnd w:id="6435"/>
      <w:bookmarkEnd w:id="6436"/>
      <w:bookmarkEnd w:id="6437"/>
      <w:bookmarkEnd w:id="6438"/>
      <w:bookmarkEnd w:id="6439"/>
      <w:bookmarkEnd w:id="6440"/>
      <w:bookmarkEnd w:id="6441"/>
      <w:bookmarkEnd w:id="6442"/>
      <w:bookmarkEnd w:id="6443"/>
      <w:bookmarkEnd w:id="6444"/>
    </w:p>
    <w:p w:rsidR="0019070E" w:rsidRDefault="0019070E" w:rsidP="007E4E81">
      <w:pPr>
        <w:pStyle w:val="a0"/>
        <w:rPr>
          <w:rtl/>
        </w:rPr>
      </w:pPr>
      <w:r>
        <w:rPr>
          <w:rFonts w:hint="cs"/>
          <w:rtl/>
        </w:rPr>
        <w:t xml:space="preserve">ותירץ </w:t>
      </w:r>
      <w:r w:rsidRPr="00387BA5">
        <w:rPr>
          <w:rStyle w:val="af9"/>
          <w:rFonts w:hint="cs"/>
          <w:rtl/>
        </w:rPr>
        <w:t>הב"ח</w:t>
      </w:r>
      <w:r>
        <w:rPr>
          <w:rFonts w:hint="cs"/>
          <w:rtl/>
        </w:rPr>
        <w:t xml:space="preserve"> </w:t>
      </w:r>
      <w:r w:rsidRPr="00387BA5">
        <w:rPr>
          <w:rStyle w:val="af7"/>
          <w:rFonts w:eastAsia="Guttman Hodes" w:hint="cs"/>
          <w:rtl/>
        </w:rPr>
        <w:t>(סי' ק"מ י"ז)</w:t>
      </w:r>
      <w:r>
        <w:rPr>
          <w:rFonts w:hint="cs"/>
          <w:rtl/>
        </w:rPr>
        <w:t xml:space="preserve"> </w:t>
      </w:r>
      <w:r>
        <w:rPr>
          <w:rStyle w:val="af9"/>
          <w:rFonts w:hint="cs"/>
          <w:rtl/>
        </w:rPr>
        <w:t>ד</w:t>
      </w:r>
      <w:r w:rsidRPr="00387BA5">
        <w:rPr>
          <w:rStyle w:val="af9"/>
          <w:rFonts w:hint="cs"/>
          <w:rtl/>
        </w:rPr>
        <w:t>הרשב"ם</w:t>
      </w:r>
      <w:r>
        <w:rPr>
          <w:rFonts w:hint="cs"/>
          <w:rtl/>
        </w:rPr>
        <w:t xml:space="preserve"> </w:t>
      </w:r>
      <w:r w:rsidRPr="00387BA5">
        <w:rPr>
          <w:rStyle w:val="af7"/>
          <w:rFonts w:eastAsia="Guttman Hodes" w:hint="cs"/>
          <w:rtl/>
        </w:rPr>
        <w:t xml:space="preserve">(עי' אות </w:t>
      </w:r>
      <w:r w:rsidRPr="00387BA5">
        <w:rPr>
          <w:rStyle w:val="af7"/>
          <w:rFonts w:eastAsia="Guttman Hodes"/>
          <w:rtl/>
        </w:rPr>
        <w:fldChar w:fldCharType="begin"/>
      </w:r>
      <w:r w:rsidRPr="00387BA5">
        <w:rPr>
          <w:rStyle w:val="af7"/>
          <w:rFonts w:eastAsia="Guttman Hodes"/>
          <w:rtl/>
        </w:rPr>
        <w:instrText xml:space="preserve"> </w:instrText>
      </w:r>
      <w:r w:rsidRPr="00387BA5">
        <w:rPr>
          <w:rStyle w:val="af7"/>
          <w:rFonts w:eastAsia="Guttman Hodes" w:hint="cs"/>
        </w:rPr>
        <w:instrText>REF</w:instrText>
      </w:r>
      <w:r w:rsidRPr="00387BA5">
        <w:rPr>
          <w:rStyle w:val="af7"/>
          <w:rFonts w:eastAsia="Guttman Hodes" w:hint="cs"/>
          <w:rtl/>
        </w:rPr>
        <w:instrText xml:space="preserve"> _</w:instrText>
      </w:r>
      <w:r w:rsidRPr="00387BA5">
        <w:rPr>
          <w:rStyle w:val="af7"/>
          <w:rFonts w:eastAsia="Guttman Hodes" w:hint="cs"/>
        </w:rPr>
        <w:instrText>Ref56936382 \r \h</w:instrText>
      </w:r>
      <w:r w:rsidRPr="00387BA5">
        <w:rPr>
          <w:rStyle w:val="af7"/>
          <w:rFonts w:eastAsia="Guttman Hodes"/>
          <w:rtl/>
        </w:rPr>
        <w:instrText xml:space="preserve"> </w:instrText>
      </w:r>
      <w:r w:rsidRPr="00387BA5">
        <w:rPr>
          <w:rStyle w:val="af7"/>
          <w:rFonts w:eastAsia="Guttman Hodes"/>
          <w:rtl/>
        </w:rPr>
      </w:r>
      <w:r w:rsidRPr="00387BA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387BA5">
        <w:rPr>
          <w:rStyle w:val="af7"/>
          <w:rFonts w:eastAsia="Guttman Hodes"/>
          <w:rtl/>
        </w:rPr>
        <w:fldChar w:fldCharType="end"/>
      </w:r>
      <w:r>
        <w:rPr>
          <w:rFonts w:hint="cs"/>
          <w:rtl/>
        </w:rPr>
        <w:t xml:space="preserve"> </w:t>
      </w:r>
      <w:r w:rsidRPr="00387BA5">
        <w:rPr>
          <w:rStyle w:val="af9"/>
          <w:rFonts w:hint="cs"/>
          <w:rtl/>
        </w:rPr>
        <w:t>והתוס' והרא"ש והמרדכי</w:t>
      </w:r>
      <w:r>
        <w:rPr>
          <w:rFonts w:hint="cs"/>
          <w:rtl/>
        </w:rPr>
        <w:t xml:space="preserve"> </w:t>
      </w:r>
      <w:r w:rsidRPr="00387BA5">
        <w:rPr>
          <w:rStyle w:val="af7"/>
          <w:rFonts w:eastAsia="Guttman Hodes" w:hint="cs"/>
          <w:rtl/>
        </w:rPr>
        <w:t xml:space="preserve">(עי' אות </w:t>
      </w:r>
      <w:r w:rsidRPr="00387BA5">
        <w:rPr>
          <w:rStyle w:val="af7"/>
          <w:rFonts w:eastAsia="Guttman Hodes"/>
          <w:rtl/>
        </w:rPr>
        <w:fldChar w:fldCharType="begin"/>
      </w:r>
      <w:r w:rsidRPr="00387BA5">
        <w:rPr>
          <w:rStyle w:val="af7"/>
          <w:rFonts w:eastAsia="Guttman Hodes"/>
          <w:rtl/>
        </w:rPr>
        <w:instrText xml:space="preserve"> </w:instrText>
      </w:r>
      <w:r w:rsidRPr="00387BA5">
        <w:rPr>
          <w:rStyle w:val="af7"/>
          <w:rFonts w:eastAsia="Guttman Hodes" w:hint="cs"/>
        </w:rPr>
        <w:instrText>REF</w:instrText>
      </w:r>
      <w:r w:rsidRPr="00387BA5">
        <w:rPr>
          <w:rStyle w:val="af7"/>
          <w:rFonts w:eastAsia="Guttman Hodes" w:hint="cs"/>
          <w:rtl/>
        </w:rPr>
        <w:instrText xml:space="preserve"> _</w:instrText>
      </w:r>
      <w:r w:rsidRPr="00387BA5">
        <w:rPr>
          <w:rStyle w:val="af7"/>
          <w:rFonts w:eastAsia="Guttman Hodes" w:hint="cs"/>
        </w:rPr>
        <w:instrText>Ref57108495 \r \h</w:instrText>
      </w:r>
      <w:r w:rsidRPr="00387BA5">
        <w:rPr>
          <w:rStyle w:val="af7"/>
          <w:rFonts w:eastAsia="Guttman Hodes"/>
          <w:rtl/>
        </w:rPr>
        <w:instrText xml:space="preserve"> </w:instrText>
      </w:r>
      <w:r w:rsidRPr="00387BA5">
        <w:rPr>
          <w:rStyle w:val="af7"/>
          <w:rFonts w:eastAsia="Guttman Hodes"/>
          <w:rtl/>
        </w:rPr>
      </w:r>
      <w:r w:rsidRPr="00387BA5">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387BA5">
        <w:rPr>
          <w:rStyle w:val="af7"/>
          <w:rFonts w:eastAsia="Guttman Hodes"/>
          <w:rtl/>
        </w:rPr>
        <w:fldChar w:fldCharType="end"/>
      </w:r>
      <w:r>
        <w:rPr>
          <w:rFonts w:hint="cs"/>
          <w:rtl/>
        </w:rPr>
        <w:t xml:space="preserve"> </w:t>
      </w:r>
      <w:r w:rsidRPr="00207695">
        <w:rPr>
          <w:rStyle w:val="af9"/>
          <w:rFonts w:hint="cs"/>
          <w:rtl/>
        </w:rPr>
        <w:t>והטור</w:t>
      </w:r>
      <w:r>
        <w:rPr>
          <w:rFonts w:hint="cs"/>
          <w:rtl/>
        </w:rPr>
        <w:t xml:space="preserve"> </w:t>
      </w:r>
      <w:r w:rsidRPr="003A1B22">
        <w:rPr>
          <w:rStyle w:val="af7"/>
          <w:rFonts w:eastAsia="Guttman Hodes" w:hint="cs"/>
          <w:rtl/>
        </w:rPr>
        <w:t>(סי' ק"מ י"ז)</w:t>
      </w:r>
      <w:r>
        <w:rPr>
          <w:rFonts w:hint="cs"/>
          <w:rtl/>
        </w:rPr>
        <w:t xml:space="preserve"> דכתבו דהעברת דרך מבטלת את החזקה, הוא כיון דס"ל דהמוכר קרקע לחבירו ושייר לעצמו דרך, אין לו חזקת ג"ש, ולעולם הוא צריך לשמור את שטרו, וכל שאין לו שטר לא מהני לו חזקה, כיון שהמרא קמא לא יצא מרשותו לגמרי, כשעבר דרך עליו, ויכול המרא קמא לומר שהמחזיק התגורר ברשותו בשכירות או שאילה, ויטען המרא קמא שהוא לא היה צריך למחות, כיון שלא יצא מהרשות לגמרי.</w:t>
      </w:r>
    </w:p>
    <w:p w:rsidR="0019070E" w:rsidRDefault="0019070E" w:rsidP="0019070E">
      <w:pPr>
        <w:pStyle w:val="a3"/>
        <w:rPr>
          <w:rtl/>
        </w:rPr>
      </w:pPr>
      <w:bookmarkStart w:id="6445" w:name="_Toc57234533"/>
      <w:bookmarkStart w:id="6446" w:name="_Toc57236118"/>
      <w:bookmarkStart w:id="6447" w:name="_Toc57310430"/>
      <w:bookmarkStart w:id="6448" w:name="_Toc57322982"/>
      <w:bookmarkStart w:id="6449" w:name="_Toc57323091"/>
      <w:bookmarkStart w:id="6450" w:name="_Toc57370316"/>
      <w:bookmarkStart w:id="6451" w:name="_Toc57491480"/>
      <w:bookmarkStart w:id="6452" w:name="_Toc57495291"/>
      <w:bookmarkStart w:id="6453" w:name="_Toc57544433"/>
      <w:bookmarkStart w:id="6454" w:name="_Toc58184937"/>
      <w:r>
        <w:rPr>
          <w:rFonts w:hint="cs"/>
          <w:rtl/>
        </w:rPr>
        <w:t>ביאור הט"ז ברשב"ם דעל המחזיק להוכיח שלא שייר דרך ובעבר בחלק מהבית הוי מחאה בכולו</w:t>
      </w:r>
      <w:bookmarkEnd w:id="6445"/>
      <w:bookmarkEnd w:id="6446"/>
      <w:bookmarkEnd w:id="6447"/>
      <w:bookmarkEnd w:id="6448"/>
      <w:bookmarkEnd w:id="6449"/>
      <w:bookmarkEnd w:id="6450"/>
      <w:bookmarkEnd w:id="6451"/>
      <w:bookmarkEnd w:id="6452"/>
      <w:bookmarkEnd w:id="6453"/>
      <w:bookmarkEnd w:id="6454"/>
    </w:p>
    <w:p w:rsidR="0019070E" w:rsidRDefault="0019070E" w:rsidP="007E4E81">
      <w:pPr>
        <w:pStyle w:val="a0"/>
        <w:rPr>
          <w:rtl/>
        </w:rPr>
      </w:pPr>
      <w:r w:rsidRPr="007379B4">
        <w:rPr>
          <w:rStyle w:val="af9"/>
          <w:rFonts w:hint="cs"/>
          <w:rtl/>
        </w:rPr>
        <w:t>והט"ז</w:t>
      </w:r>
      <w:r>
        <w:rPr>
          <w:rFonts w:hint="cs"/>
          <w:rtl/>
        </w:rPr>
        <w:t xml:space="preserve"> </w:t>
      </w:r>
      <w:r w:rsidRPr="007379B4">
        <w:rPr>
          <w:rStyle w:val="af7"/>
          <w:rFonts w:eastAsia="Guttman Hodes" w:hint="cs"/>
          <w:rtl/>
        </w:rPr>
        <w:t>(סי' ק"מ י"ג)</w:t>
      </w:r>
      <w:r>
        <w:rPr>
          <w:rFonts w:hint="cs"/>
          <w:rtl/>
        </w:rPr>
        <w:t xml:space="preserve"> ביאר בדעת </w:t>
      </w:r>
      <w:r w:rsidRPr="00387BA5">
        <w:rPr>
          <w:rStyle w:val="af9"/>
          <w:rFonts w:hint="cs"/>
          <w:rtl/>
        </w:rPr>
        <w:t>הרשב"ם</w:t>
      </w:r>
      <w:r>
        <w:rPr>
          <w:rFonts w:hint="cs"/>
          <w:rtl/>
        </w:rPr>
        <w:t xml:space="preserve"> </w:t>
      </w:r>
      <w:r w:rsidRPr="00387BA5">
        <w:rPr>
          <w:rStyle w:val="af7"/>
          <w:rFonts w:eastAsia="Guttman Hodes" w:hint="cs"/>
          <w:rtl/>
        </w:rPr>
        <w:t xml:space="preserve">(עי' אות </w:t>
      </w:r>
      <w:r w:rsidRPr="00387BA5">
        <w:rPr>
          <w:rStyle w:val="af7"/>
          <w:rFonts w:eastAsia="Guttman Hodes"/>
          <w:rtl/>
        </w:rPr>
        <w:fldChar w:fldCharType="begin"/>
      </w:r>
      <w:r w:rsidRPr="00387BA5">
        <w:rPr>
          <w:rStyle w:val="af7"/>
          <w:rFonts w:eastAsia="Guttman Hodes"/>
          <w:rtl/>
        </w:rPr>
        <w:instrText xml:space="preserve"> </w:instrText>
      </w:r>
      <w:r w:rsidRPr="00387BA5">
        <w:rPr>
          <w:rStyle w:val="af7"/>
          <w:rFonts w:eastAsia="Guttman Hodes" w:hint="cs"/>
        </w:rPr>
        <w:instrText>REF</w:instrText>
      </w:r>
      <w:r w:rsidRPr="00387BA5">
        <w:rPr>
          <w:rStyle w:val="af7"/>
          <w:rFonts w:eastAsia="Guttman Hodes" w:hint="cs"/>
          <w:rtl/>
        </w:rPr>
        <w:instrText xml:space="preserve"> _</w:instrText>
      </w:r>
      <w:r w:rsidRPr="00387BA5">
        <w:rPr>
          <w:rStyle w:val="af7"/>
          <w:rFonts w:eastAsia="Guttman Hodes" w:hint="cs"/>
        </w:rPr>
        <w:instrText>Ref56936382 \r \h</w:instrText>
      </w:r>
      <w:r w:rsidRPr="00387BA5">
        <w:rPr>
          <w:rStyle w:val="af7"/>
          <w:rFonts w:eastAsia="Guttman Hodes"/>
          <w:rtl/>
        </w:rPr>
        <w:instrText xml:space="preserve"> </w:instrText>
      </w:r>
      <w:r w:rsidRPr="00387BA5">
        <w:rPr>
          <w:rStyle w:val="af7"/>
          <w:rFonts w:eastAsia="Guttman Hodes"/>
          <w:rtl/>
        </w:rPr>
      </w:r>
      <w:r w:rsidRPr="00387BA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387BA5">
        <w:rPr>
          <w:rStyle w:val="af7"/>
          <w:rFonts w:eastAsia="Guttman Hodes"/>
          <w:rtl/>
        </w:rPr>
        <w:fldChar w:fldCharType="end"/>
      </w:r>
      <w:r>
        <w:rPr>
          <w:rFonts w:hint="cs"/>
          <w:rtl/>
        </w:rPr>
        <w:t xml:space="preserve"> דא"א לומר דהא דעבר דרך עליו אינו מבטל את החזקה, כיון שיתכן שבשעת המכירה שייר לו דרך, דמ"מ על המחזיק לברר את חזקתו, אף בדבר ששמא יכול להיות, והוסיף </w:t>
      </w:r>
      <w:r w:rsidRPr="007379B4">
        <w:rPr>
          <w:rStyle w:val="af9"/>
          <w:rFonts w:hint="cs"/>
          <w:rtl/>
        </w:rPr>
        <w:t xml:space="preserve">הט"ז </w:t>
      </w:r>
      <w:r>
        <w:rPr>
          <w:rFonts w:hint="cs"/>
          <w:rtl/>
        </w:rPr>
        <w:t>דא"א לומר דאין לו חזקה בכל הבית החיצון כיון שלא עבר בכולו, דהא איירי בבית שהיה בתחילה של המערער, והמחזיק רוצה לזכות בו ע"י חזקת ג"ש דהא לא מחה בו המערער, ובכה"ג אמרינן דכיון שיש למערער טעם למה לא מיחה, לא הוי חזקה.</w:t>
      </w:r>
    </w:p>
    <w:p w:rsidR="0019070E" w:rsidRPr="00BE28CC" w:rsidRDefault="0019070E" w:rsidP="0019070E">
      <w:pPr>
        <w:pStyle w:val="a3"/>
        <w:rPr>
          <w:rtl/>
        </w:rPr>
      </w:pPr>
    </w:p>
    <w:p w:rsidR="0019070E" w:rsidRPr="008B344C" w:rsidRDefault="0019070E" w:rsidP="0019070E">
      <w:pPr>
        <w:pStyle w:val="a3"/>
        <w:rPr>
          <w:rtl/>
        </w:rPr>
      </w:pPr>
      <w:bookmarkStart w:id="6455" w:name="_Toc57234534"/>
      <w:bookmarkStart w:id="6456" w:name="_Toc57236119"/>
      <w:bookmarkStart w:id="6457" w:name="_Toc57310431"/>
      <w:bookmarkStart w:id="6458" w:name="_Toc57322983"/>
      <w:bookmarkStart w:id="6459" w:name="_Toc57323092"/>
      <w:bookmarkStart w:id="6460" w:name="_Toc57370317"/>
      <w:bookmarkStart w:id="6461" w:name="_Toc57491481"/>
      <w:bookmarkStart w:id="6462" w:name="_Toc57495292"/>
      <w:bookmarkStart w:id="6463" w:name="_Toc57544434"/>
      <w:bookmarkStart w:id="6464" w:name="_Toc58184938"/>
      <w:r>
        <w:rPr>
          <w:rFonts w:hint="cs"/>
          <w:rtl/>
        </w:rPr>
        <w:t>קושית הרמב"ן על הרשב"ם דהאיך אמר רבא דהוא מוחזק הא כשהמערער דר עמו אי"ז חזקה</w:t>
      </w:r>
      <w:bookmarkEnd w:id="6455"/>
      <w:bookmarkEnd w:id="6456"/>
      <w:bookmarkEnd w:id="6457"/>
      <w:bookmarkEnd w:id="6458"/>
      <w:bookmarkEnd w:id="6459"/>
      <w:bookmarkEnd w:id="6460"/>
      <w:bookmarkEnd w:id="6461"/>
      <w:bookmarkEnd w:id="6462"/>
      <w:bookmarkEnd w:id="6463"/>
      <w:bookmarkEnd w:id="6464"/>
    </w:p>
    <w:p w:rsidR="0019070E" w:rsidRDefault="0019070E" w:rsidP="007E4E81">
      <w:pPr>
        <w:pStyle w:val="a0"/>
        <w:rPr>
          <w:rtl/>
        </w:rPr>
      </w:pPr>
      <w:bookmarkStart w:id="6465" w:name="_Ref57051211"/>
      <w:r>
        <w:rPr>
          <w:rFonts w:hint="cs"/>
          <w:rtl/>
        </w:rPr>
        <w:t xml:space="preserve">ועוד הקשה </w:t>
      </w:r>
      <w:r w:rsidRPr="002E7DDD">
        <w:rPr>
          <w:rStyle w:val="af9"/>
          <w:rFonts w:hint="cs"/>
          <w:rtl/>
        </w:rPr>
        <w:t>הרמב"ן</w:t>
      </w:r>
      <w:r>
        <w:rPr>
          <w:rFonts w:hint="cs"/>
          <w:rtl/>
        </w:rPr>
        <w:t xml:space="preserve"> </w:t>
      </w:r>
      <w:r w:rsidRPr="008F3C10">
        <w:rPr>
          <w:rStyle w:val="af7"/>
          <w:rFonts w:eastAsia="Guttman Hodes" w:hint="cs"/>
          <w:rtl/>
        </w:rPr>
        <w:t>(ד"ה אנא)</w:t>
      </w:r>
      <w:r>
        <w:rPr>
          <w:rFonts w:hint="cs"/>
          <w:rtl/>
        </w:rPr>
        <w:t xml:space="preserve"> על </w:t>
      </w:r>
      <w:r w:rsidRPr="002E7DDD">
        <w:rPr>
          <w:rStyle w:val="af9"/>
          <w:rFonts w:hint="cs"/>
          <w:rtl/>
        </w:rPr>
        <w:t>הרשב"ם</w:t>
      </w:r>
      <w:r>
        <w:rPr>
          <w:rFonts w:hint="cs"/>
          <w:rtl/>
        </w:rPr>
        <w:t xml:space="preserve"> דאמאי אמר רבא דעל המערער להביא ראיה, והרי כל שהמחזיק מתגורר בבית יחד עם הבעלים, לא הוי חזקה, ואי כל שיש לפנימי דרך על החיצון לא הוי חזקה, </w:t>
      </w:r>
      <w:r w:rsidRPr="002E7DDD">
        <w:rPr>
          <w:rStyle w:val="afb"/>
          <w:rFonts w:hint="cs"/>
          <w:rtl/>
        </w:rPr>
        <w:t>[דחשיב שמתגורר עמו],</w:t>
      </w:r>
      <w:r>
        <w:rPr>
          <w:rFonts w:hint="cs"/>
          <w:rtl/>
        </w:rPr>
        <w:t xml:space="preserve"> א"כ אמאי המערער צריך להביא ראיה, ועי' במה שביארו </w:t>
      </w:r>
      <w:r w:rsidRPr="002E7DDD">
        <w:rPr>
          <w:rStyle w:val="af9"/>
          <w:rFonts w:hint="cs"/>
          <w:rtl/>
        </w:rPr>
        <w:t>הב"ח</w:t>
      </w:r>
      <w:r>
        <w:rPr>
          <w:rStyle w:val="af9"/>
          <w:rFonts w:hint="cs"/>
          <w:rtl/>
        </w:rPr>
        <w:t xml:space="preserve"> בתשו'</w:t>
      </w:r>
      <w:r>
        <w:rPr>
          <w:rFonts w:hint="cs"/>
          <w:rtl/>
        </w:rPr>
        <w:t xml:space="preserve"> </w:t>
      </w:r>
      <w:r w:rsidRPr="008F3C10">
        <w:rPr>
          <w:rStyle w:val="af7"/>
          <w:rFonts w:eastAsia="Guttman Hodes" w:hint="cs"/>
          <w:rtl/>
        </w:rPr>
        <w:t xml:space="preserve">(עי' אות </w:t>
      </w:r>
      <w:r w:rsidRPr="008F3C10">
        <w:rPr>
          <w:rStyle w:val="af7"/>
          <w:rFonts w:eastAsia="Guttman Hodes"/>
          <w:rtl/>
        </w:rPr>
        <w:fldChar w:fldCharType="begin"/>
      </w:r>
      <w:r w:rsidRPr="008F3C10">
        <w:rPr>
          <w:rStyle w:val="af7"/>
          <w:rFonts w:eastAsia="Guttman Hodes"/>
          <w:rtl/>
        </w:rPr>
        <w:instrText xml:space="preserve"> </w:instrText>
      </w:r>
      <w:r w:rsidRPr="008F3C10">
        <w:rPr>
          <w:rStyle w:val="af7"/>
          <w:rFonts w:eastAsia="Guttman Hodes" w:hint="cs"/>
        </w:rPr>
        <w:instrText>REF</w:instrText>
      </w:r>
      <w:r w:rsidRPr="008F3C10">
        <w:rPr>
          <w:rStyle w:val="af7"/>
          <w:rFonts w:eastAsia="Guttman Hodes" w:hint="cs"/>
          <w:rtl/>
        </w:rPr>
        <w:instrText xml:space="preserve"> _</w:instrText>
      </w:r>
      <w:r w:rsidRPr="008F3C10">
        <w:rPr>
          <w:rStyle w:val="af7"/>
          <w:rFonts w:eastAsia="Guttman Hodes" w:hint="cs"/>
        </w:rPr>
        <w:instrText>Ref57051178 \r \h</w:instrText>
      </w:r>
      <w:r w:rsidRPr="008F3C10">
        <w:rPr>
          <w:rStyle w:val="af7"/>
          <w:rFonts w:eastAsia="Guttman Hodes"/>
          <w:rtl/>
        </w:rPr>
        <w:instrText xml:space="preserve"> </w:instrText>
      </w:r>
      <w:r w:rsidRPr="008F3C10">
        <w:rPr>
          <w:rStyle w:val="af7"/>
          <w:rFonts w:eastAsia="Guttman Hodes"/>
          <w:rtl/>
        </w:rPr>
      </w:r>
      <w:r w:rsidRPr="008F3C10">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8F3C10">
        <w:rPr>
          <w:rStyle w:val="af7"/>
          <w:rFonts w:eastAsia="Guttman Hodes"/>
          <w:rtl/>
        </w:rPr>
        <w:fldChar w:fldCharType="end"/>
      </w:r>
      <w:r>
        <w:rPr>
          <w:rFonts w:hint="cs"/>
          <w:rtl/>
        </w:rPr>
        <w:t xml:space="preserve"> </w:t>
      </w:r>
      <w:r w:rsidRPr="002E7DDD">
        <w:rPr>
          <w:rStyle w:val="af9"/>
          <w:rFonts w:hint="cs"/>
          <w:rtl/>
        </w:rPr>
        <w:t>והקצוה"ח</w:t>
      </w:r>
      <w:r>
        <w:rPr>
          <w:rFonts w:hint="cs"/>
          <w:rtl/>
        </w:rPr>
        <w:t xml:space="preserve"> </w:t>
      </w:r>
      <w:r w:rsidRPr="004416D8">
        <w:rPr>
          <w:rStyle w:val="af7"/>
          <w:rFonts w:eastAsia="Guttman Hodes" w:hint="cs"/>
          <w:rtl/>
        </w:rPr>
        <w:t xml:space="preserve">(עי' אות </w:t>
      </w:r>
      <w:r w:rsidRPr="004416D8">
        <w:rPr>
          <w:rStyle w:val="af7"/>
          <w:rFonts w:eastAsia="Guttman Hodes"/>
          <w:rtl/>
        </w:rPr>
        <w:fldChar w:fldCharType="begin"/>
      </w:r>
      <w:r w:rsidRPr="004416D8">
        <w:rPr>
          <w:rStyle w:val="af7"/>
          <w:rFonts w:eastAsia="Guttman Hodes"/>
          <w:rtl/>
        </w:rPr>
        <w:instrText xml:space="preserve"> </w:instrText>
      </w:r>
      <w:r w:rsidRPr="004416D8">
        <w:rPr>
          <w:rStyle w:val="af7"/>
          <w:rFonts w:eastAsia="Guttman Hodes" w:hint="cs"/>
        </w:rPr>
        <w:instrText>REF</w:instrText>
      </w:r>
      <w:r w:rsidRPr="004416D8">
        <w:rPr>
          <w:rStyle w:val="af7"/>
          <w:rFonts w:eastAsia="Guttman Hodes" w:hint="cs"/>
          <w:rtl/>
        </w:rPr>
        <w:instrText xml:space="preserve"> _</w:instrText>
      </w:r>
      <w:r w:rsidRPr="004416D8">
        <w:rPr>
          <w:rStyle w:val="af7"/>
          <w:rFonts w:eastAsia="Guttman Hodes" w:hint="cs"/>
        </w:rPr>
        <w:instrText>Ref57321305 \r \h</w:instrText>
      </w:r>
      <w:r w:rsidRPr="004416D8">
        <w:rPr>
          <w:rStyle w:val="af7"/>
          <w:rFonts w:eastAsia="Guttman Hodes"/>
          <w:rtl/>
        </w:rPr>
        <w:instrText xml:space="preserve"> </w:instrText>
      </w:r>
      <w:r w:rsidRPr="004416D8">
        <w:rPr>
          <w:rStyle w:val="af7"/>
          <w:rFonts w:eastAsia="Guttman Hodes"/>
          <w:rtl/>
        </w:rPr>
      </w:r>
      <w:r w:rsidRPr="004416D8">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4416D8">
        <w:rPr>
          <w:rStyle w:val="af7"/>
          <w:rFonts w:eastAsia="Guttman Hodes"/>
          <w:rtl/>
        </w:rPr>
        <w:fldChar w:fldCharType="end"/>
      </w:r>
      <w:r>
        <w:rPr>
          <w:rFonts w:hint="cs"/>
          <w:rtl/>
        </w:rPr>
        <w:t xml:space="preserve"> בקושית </w:t>
      </w:r>
      <w:r w:rsidRPr="002E7DDD">
        <w:rPr>
          <w:rStyle w:val="af9"/>
          <w:rFonts w:hint="cs"/>
          <w:rtl/>
        </w:rPr>
        <w:t>הרמב"ן</w:t>
      </w:r>
      <w:r>
        <w:rPr>
          <w:rFonts w:hint="cs"/>
          <w:rtl/>
        </w:rPr>
        <w:t xml:space="preserve">, ובמ"ש </w:t>
      </w:r>
      <w:r w:rsidRPr="00B65CA4">
        <w:rPr>
          <w:rStyle w:val="af9"/>
          <w:rFonts w:hint="cs"/>
          <w:rtl/>
        </w:rPr>
        <w:t xml:space="preserve">בחי' רבי נחום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Ref57495212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2E7DDD">
        <w:rPr>
          <w:rStyle w:val="af9"/>
          <w:rFonts w:hint="cs"/>
          <w:rtl/>
        </w:rPr>
        <w:t>הרמב"ן</w:t>
      </w:r>
      <w:r>
        <w:rPr>
          <w:rFonts w:hint="cs"/>
          <w:rtl/>
        </w:rPr>
        <w:t xml:space="preserve">, ובמה שתירץ </w:t>
      </w:r>
      <w:r w:rsidRPr="00214536">
        <w:rPr>
          <w:rStyle w:val="af9"/>
          <w:rFonts w:hint="cs"/>
          <w:rtl/>
        </w:rPr>
        <w:t>בשיעורי רבי שמואל</w:t>
      </w:r>
      <w:r>
        <w:rPr>
          <w:rFonts w:hint="cs"/>
          <w:rtl/>
        </w:rPr>
        <w:t xml:space="preserve"> </w:t>
      </w:r>
      <w:r w:rsidRPr="00214536">
        <w:rPr>
          <w:rStyle w:val="af7"/>
          <w:rFonts w:eastAsia="Guttman Hodes" w:hint="cs"/>
          <w:rtl/>
        </w:rPr>
        <w:t xml:space="preserve">(עי' אות </w:t>
      </w:r>
      <w:r w:rsidRPr="00214536">
        <w:rPr>
          <w:rStyle w:val="af7"/>
          <w:rFonts w:eastAsia="Guttman Hodes"/>
          <w:rtl/>
        </w:rPr>
        <w:fldChar w:fldCharType="begin"/>
      </w:r>
      <w:r w:rsidRPr="00214536">
        <w:rPr>
          <w:rStyle w:val="af7"/>
          <w:rFonts w:eastAsia="Guttman Hodes"/>
          <w:rtl/>
        </w:rPr>
        <w:instrText xml:space="preserve"> </w:instrText>
      </w:r>
      <w:r w:rsidRPr="00214536">
        <w:rPr>
          <w:rStyle w:val="af7"/>
          <w:rFonts w:eastAsia="Guttman Hodes" w:hint="cs"/>
        </w:rPr>
        <w:instrText>REF</w:instrText>
      </w:r>
      <w:r w:rsidRPr="00214536">
        <w:rPr>
          <w:rStyle w:val="af7"/>
          <w:rFonts w:eastAsia="Guttman Hodes" w:hint="cs"/>
          <w:rtl/>
        </w:rPr>
        <w:instrText xml:space="preserve"> _</w:instrText>
      </w:r>
      <w:r w:rsidRPr="00214536">
        <w:rPr>
          <w:rStyle w:val="af7"/>
          <w:rFonts w:eastAsia="Guttman Hodes" w:hint="cs"/>
        </w:rPr>
        <w:instrText>Ref57536379 \r \h</w:instrText>
      </w:r>
      <w:r w:rsidRPr="00214536">
        <w:rPr>
          <w:rStyle w:val="af7"/>
          <w:rFonts w:eastAsia="Guttman Hodes"/>
          <w:rtl/>
        </w:rPr>
        <w:instrText xml:space="preserve"> </w:instrText>
      </w:r>
      <w:r w:rsidRPr="00214536">
        <w:rPr>
          <w:rStyle w:val="af7"/>
          <w:rFonts w:eastAsia="Guttman Hodes"/>
          <w:rtl/>
        </w:rPr>
      </w:r>
      <w:r w:rsidRPr="00214536">
        <w:rPr>
          <w:rStyle w:val="af7"/>
          <w:rFonts w:eastAsia="Guttman Hodes"/>
          <w:rtl/>
        </w:rPr>
        <w:fldChar w:fldCharType="separate"/>
      </w:r>
      <w:r w:rsidR="00265073">
        <w:rPr>
          <w:rStyle w:val="af7"/>
          <w:rFonts w:eastAsia="Guttman Hodes"/>
          <w:cs/>
        </w:rPr>
        <w:t>‎</w:t>
      </w:r>
      <w:r w:rsidR="00265073">
        <w:rPr>
          <w:rStyle w:val="af7"/>
          <w:rFonts w:eastAsia="Guttman Hodes"/>
          <w:rtl/>
        </w:rPr>
        <w:t>קכב)</w:t>
      </w:r>
      <w:r w:rsidRPr="00214536">
        <w:rPr>
          <w:rStyle w:val="af7"/>
          <w:rFonts w:eastAsia="Guttman Hodes"/>
          <w:rtl/>
        </w:rPr>
        <w:fldChar w:fldCharType="end"/>
      </w:r>
      <w:r>
        <w:rPr>
          <w:rFonts w:hint="cs"/>
          <w:rtl/>
        </w:rPr>
        <w:t xml:space="preserve"> את דעת </w:t>
      </w:r>
      <w:r w:rsidRPr="00214536">
        <w:rPr>
          <w:rStyle w:val="af9"/>
          <w:rFonts w:hint="cs"/>
          <w:rtl/>
        </w:rPr>
        <w:t>הרשב"ם</w:t>
      </w:r>
      <w:r>
        <w:rPr>
          <w:rFonts w:hint="cs"/>
          <w:rtl/>
        </w:rPr>
        <w:t>.</w:t>
      </w:r>
      <w:bookmarkEnd w:id="6465"/>
    </w:p>
    <w:p w:rsidR="0019070E" w:rsidRDefault="0019070E" w:rsidP="0019070E">
      <w:pPr>
        <w:pStyle w:val="a3"/>
        <w:rPr>
          <w:rtl/>
        </w:rPr>
      </w:pPr>
      <w:bookmarkStart w:id="6466" w:name="_Toc57234535"/>
      <w:bookmarkStart w:id="6467" w:name="_Toc57236120"/>
      <w:bookmarkStart w:id="6468" w:name="_Toc57310432"/>
      <w:bookmarkStart w:id="6469" w:name="_Toc57322984"/>
      <w:bookmarkStart w:id="6470" w:name="_Toc57323093"/>
      <w:bookmarkStart w:id="6471" w:name="_Toc57370318"/>
      <w:bookmarkStart w:id="6472" w:name="_Toc57491482"/>
      <w:bookmarkStart w:id="6473" w:name="_Toc57495293"/>
      <w:bookmarkStart w:id="6474" w:name="_Toc57544435"/>
      <w:bookmarkStart w:id="6475" w:name="_Toc58184939"/>
      <w:r>
        <w:rPr>
          <w:rFonts w:hint="cs"/>
          <w:rtl/>
        </w:rPr>
        <w:t>קושיות הרמב"ן דלשון שיכוני גוואי משמע שהיה שם תמיד וגי' הגמ' אינה כהרשב"ם</w:t>
      </w:r>
      <w:bookmarkEnd w:id="6466"/>
      <w:bookmarkEnd w:id="6467"/>
      <w:bookmarkEnd w:id="6468"/>
      <w:bookmarkEnd w:id="6469"/>
      <w:bookmarkEnd w:id="6470"/>
      <w:bookmarkEnd w:id="6471"/>
      <w:bookmarkEnd w:id="6472"/>
      <w:bookmarkEnd w:id="6473"/>
      <w:bookmarkEnd w:id="6474"/>
      <w:bookmarkEnd w:id="6475"/>
    </w:p>
    <w:p w:rsidR="0019070E" w:rsidRDefault="0019070E" w:rsidP="007E4E81">
      <w:pPr>
        <w:pStyle w:val="a0"/>
        <w:rPr>
          <w:rtl/>
        </w:rPr>
      </w:pPr>
      <w:r>
        <w:rPr>
          <w:rFonts w:hint="cs"/>
          <w:rtl/>
        </w:rPr>
        <w:t xml:space="preserve">ועוד הקשה </w:t>
      </w:r>
      <w:r w:rsidRPr="002E7DDD">
        <w:rPr>
          <w:rStyle w:val="af9"/>
          <w:rFonts w:hint="cs"/>
          <w:rtl/>
        </w:rPr>
        <w:t>הרמב"ן</w:t>
      </w:r>
      <w:r>
        <w:rPr>
          <w:rFonts w:hint="cs"/>
          <w:rtl/>
        </w:rPr>
        <w:t xml:space="preserve"> על </w:t>
      </w:r>
      <w:r w:rsidRPr="002E7DDD">
        <w:rPr>
          <w:rStyle w:val="af9"/>
          <w:rFonts w:hint="cs"/>
          <w:rtl/>
        </w:rPr>
        <w:t>הרשב"ם</w:t>
      </w:r>
      <w:r>
        <w:rPr>
          <w:rFonts w:hint="cs"/>
          <w:rtl/>
        </w:rPr>
        <w:t xml:space="preserve"> דלשון הגמ' "בשכוני גוואי הואי", לא משמע כביאור </w:t>
      </w:r>
      <w:r w:rsidRPr="002E7DDD">
        <w:rPr>
          <w:rStyle w:val="af9"/>
          <w:rFonts w:hint="cs"/>
          <w:rtl/>
        </w:rPr>
        <w:t>הרשב"ם</w:t>
      </w:r>
      <w:r>
        <w:rPr>
          <w:rFonts w:hint="cs"/>
          <w:rtl/>
        </w:rPr>
        <w:t xml:space="preserve">, דלא משמע בזה כלל שהיה לפנימי דרך על החיצון, אלא משמע שהמערער היה כל הזמן בשכוני גוואי ולא יצא משם, ועוד הקשה </w:t>
      </w:r>
      <w:r w:rsidRPr="002E7DDD">
        <w:rPr>
          <w:rStyle w:val="af9"/>
          <w:rFonts w:hint="cs"/>
          <w:rtl/>
        </w:rPr>
        <w:t>הרמב"ן</w:t>
      </w:r>
      <w:r>
        <w:rPr>
          <w:rFonts w:hint="cs"/>
          <w:rtl/>
        </w:rPr>
        <w:t xml:space="preserve"> דבכל הגירסאות לא גרסינן כגירסת </w:t>
      </w:r>
      <w:r w:rsidRPr="002E7DDD">
        <w:rPr>
          <w:rStyle w:val="af9"/>
          <w:rFonts w:hint="cs"/>
          <w:rtl/>
        </w:rPr>
        <w:t>הרשב"ם</w:t>
      </w:r>
      <w:r>
        <w:rPr>
          <w:rFonts w:hint="cs"/>
          <w:rtl/>
        </w:rPr>
        <w:t xml:space="preserve"> </w:t>
      </w:r>
      <w:r>
        <w:rPr>
          <w:rStyle w:val="af7"/>
          <w:rFonts w:eastAsia="Guttman Hodes" w:hint="cs"/>
          <w:rtl/>
        </w:rPr>
        <w:t>(עי' הערה</w:t>
      </w:r>
      <w:r w:rsidRPr="009A5A18">
        <w:rPr>
          <w:vertAlign w:val="superscript"/>
          <w:rtl/>
        </w:rPr>
        <w:fldChar w:fldCharType="begin"/>
      </w:r>
      <w:r w:rsidRPr="009A5A18">
        <w:rPr>
          <w:vertAlign w:val="superscript"/>
          <w:rtl/>
        </w:rPr>
        <w:instrText xml:space="preserve"> </w:instrText>
      </w:r>
      <w:r w:rsidRPr="009A5A18">
        <w:rPr>
          <w:rFonts w:hint="cs"/>
          <w:vertAlign w:val="superscript"/>
        </w:rPr>
        <w:instrText>NOTEREF</w:instrText>
      </w:r>
      <w:r w:rsidRPr="009A5A18">
        <w:rPr>
          <w:rFonts w:hint="cs"/>
          <w:vertAlign w:val="superscript"/>
          <w:rtl/>
        </w:rPr>
        <w:instrText xml:space="preserve"> _</w:instrText>
      </w:r>
      <w:r w:rsidRPr="009A5A18">
        <w:rPr>
          <w:rFonts w:hint="cs"/>
          <w:vertAlign w:val="superscript"/>
        </w:rPr>
        <w:instrText>Ref58181518 \h</w:instrText>
      </w:r>
      <w:r w:rsidRPr="009A5A18">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A5A18">
        <w:rPr>
          <w:vertAlign w:val="superscript"/>
          <w:rtl/>
        </w:rPr>
      </w:r>
      <w:r w:rsidRPr="009A5A18">
        <w:rPr>
          <w:vertAlign w:val="superscript"/>
          <w:rtl/>
        </w:rPr>
        <w:fldChar w:fldCharType="separate"/>
      </w:r>
      <w:r w:rsidR="00265073">
        <w:rPr>
          <w:vertAlign w:val="superscript"/>
          <w:rtl/>
        </w:rPr>
        <w:t>33</w:t>
      </w:r>
      <w:r w:rsidRPr="009A5A18">
        <w:rPr>
          <w:vertAlign w:val="superscript"/>
          <w:rtl/>
        </w:rPr>
        <w:fldChar w:fldCharType="end"/>
      </w:r>
      <w:r>
        <w:rPr>
          <w:rStyle w:val="af7"/>
          <w:rFonts w:eastAsia="Guttman Hodes" w:hint="cs"/>
          <w:rtl/>
        </w:rPr>
        <w:t xml:space="preserve">) </w:t>
      </w:r>
      <w:r>
        <w:rPr>
          <w:rFonts w:hint="cs"/>
          <w:rtl/>
        </w:rPr>
        <w:t>דא"ל</w:t>
      </w:r>
      <w:r>
        <w:rPr>
          <w:rtl/>
        </w:rPr>
        <w:t xml:space="preserve"> מאי בעית בהאי </w:t>
      </w:r>
      <w:r>
        <w:rPr>
          <w:rFonts w:hint="cs"/>
          <w:rtl/>
        </w:rPr>
        <w:t>"</w:t>
      </w:r>
      <w:r>
        <w:rPr>
          <w:rtl/>
        </w:rPr>
        <w:t>ביתא</w:t>
      </w:r>
      <w:r>
        <w:rPr>
          <w:rFonts w:hint="cs"/>
          <w:rtl/>
        </w:rPr>
        <w:t xml:space="preserve">". </w:t>
      </w:r>
      <w:r w:rsidRPr="00D27678">
        <w:rPr>
          <w:rStyle w:val="afb"/>
          <w:rFonts w:hint="cs"/>
          <w:rtl/>
        </w:rPr>
        <w:t xml:space="preserve">[אמנם </w:t>
      </w:r>
      <w:r>
        <w:rPr>
          <w:rStyle w:val="afb"/>
          <w:rFonts w:hint="cs"/>
          <w:rtl/>
        </w:rPr>
        <w:t xml:space="preserve">יעוי' </w:t>
      </w:r>
      <w:r w:rsidRPr="00D27678">
        <w:rPr>
          <w:rStyle w:val="affa"/>
          <w:rFonts w:hint="cs"/>
          <w:rtl/>
        </w:rPr>
        <w:t>ביד רמ"ה</w:t>
      </w:r>
      <w:r w:rsidRPr="00D27678">
        <w:rPr>
          <w:rStyle w:val="afb"/>
          <w:rFonts w:hint="cs"/>
          <w:rtl/>
        </w:rPr>
        <w:t xml:space="preserve"> </w:t>
      </w:r>
      <w:r w:rsidRPr="00D27678">
        <w:rPr>
          <w:rStyle w:val="aff6"/>
          <w:rFonts w:hint="cs"/>
          <w:rtl/>
        </w:rPr>
        <w:t xml:space="preserve">(או' כ"ח ד"ה ההוא) </w:t>
      </w:r>
      <w:r>
        <w:rPr>
          <w:rStyle w:val="afb"/>
          <w:rFonts w:hint="cs"/>
          <w:rtl/>
        </w:rPr>
        <w:t>ד</w:t>
      </w:r>
      <w:r w:rsidRPr="00D27678">
        <w:rPr>
          <w:rStyle w:val="afb"/>
          <w:rFonts w:hint="cs"/>
          <w:rtl/>
        </w:rPr>
        <w:t xml:space="preserve">גרס כגירסת </w:t>
      </w:r>
      <w:r w:rsidRPr="00D27678">
        <w:rPr>
          <w:rStyle w:val="affa"/>
          <w:rFonts w:hint="cs"/>
          <w:rtl/>
        </w:rPr>
        <w:t>הרשב"ם</w:t>
      </w:r>
      <w:r w:rsidRPr="00D27678">
        <w:rPr>
          <w:rStyle w:val="afb"/>
          <w:rFonts w:hint="cs"/>
          <w:rtl/>
        </w:rPr>
        <w:t xml:space="preserve"> </w:t>
      </w:r>
      <w:r w:rsidRPr="00D27678">
        <w:rPr>
          <w:rStyle w:val="aff6"/>
          <w:rFonts w:hint="cs"/>
          <w:rtl/>
        </w:rPr>
        <w:t>(עי'</w:t>
      </w:r>
      <w:r>
        <w:rPr>
          <w:rStyle w:val="aff6"/>
          <w:rFonts w:hint="cs"/>
          <w:rtl/>
        </w:rPr>
        <w:t xml:space="preserve"> הערה</w:t>
      </w:r>
      <w:r w:rsidRPr="009A5A18">
        <w:rPr>
          <w:vertAlign w:val="superscript"/>
          <w:rtl/>
        </w:rPr>
        <w:fldChar w:fldCharType="begin"/>
      </w:r>
      <w:r w:rsidRPr="009A5A18">
        <w:rPr>
          <w:vertAlign w:val="superscript"/>
          <w:rtl/>
        </w:rPr>
        <w:instrText xml:space="preserve"> </w:instrText>
      </w:r>
      <w:r w:rsidRPr="009A5A18">
        <w:rPr>
          <w:rFonts w:hint="cs"/>
          <w:vertAlign w:val="superscript"/>
        </w:rPr>
        <w:instrText>NOTEREF</w:instrText>
      </w:r>
      <w:r w:rsidRPr="009A5A18">
        <w:rPr>
          <w:rFonts w:hint="cs"/>
          <w:vertAlign w:val="superscript"/>
          <w:rtl/>
        </w:rPr>
        <w:instrText xml:space="preserve"> _</w:instrText>
      </w:r>
      <w:r w:rsidRPr="009A5A18">
        <w:rPr>
          <w:rFonts w:hint="cs"/>
          <w:vertAlign w:val="superscript"/>
        </w:rPr>
        <w:instrText>Ref58181518 \h</w:instrText>
      </w:r>
      <w:r w:rsidRPr="009A5A18">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A5A18">
        <w:rPr>
          <w:vertAlign w:val="superscript"/>
          <w:rtl/>
        </w:rPr>
      </w:r>
      <w:r w:rsidRPr="009A5A18">
        <w:rPr>
          <w:vertAlign w:val="superscript"/>
          <w:rtl/>
        </w:rPr>
        <w:fldChar w:fldCharType="separate"/>
      </w:r>
      <w:r w:rsidR="00265073">
        <w:rPr>
          <w:vertAlign w:val="superscript"/>
          <w:rtl/>
        </w:rPr>
        <w:t>33</w:t>
      </w:r>
      <w:r w:rsidRPr="009A5A18">
        <w:rPr>
          <w:vertAlign w:val="superscript"/>
          <w:rtl/>
        </w:rPr>
        <w:fldChar w:fldCharType="end"/>
      </w:r>
      <w:r>
        <w:rPr>
          <w:rStyle w:val="aff6"/>
          <w:rFonts w:hint="cs"/>
          <w:rtl/>
        </w:rPr>
        <w:t>)</w:t>
      </w:r>
      <w:r w:rsidRPr="00D27678">
        <w:rPr>
          <w:rStyle w:val="aff6"/>
          <w:rFonts w:hint="cs"/>
          <w:rtl/>
        </w:rPr>
        <w:t xml:space="preserve"> </w:t>
      </w:r>
      <w:r w:rsidRPr="00D27678">
        <w:rPr>
          <w:rStyle w:val="afb"/>
          <w:rFonts w:hint="cs"/>
          <w:rtl/>
        </w:rPr>
        <w:t xml:space="preserve">דמאי בעית בהאי "ביתא", </w:t>
      </w:r>
      <w:r>
        <w:rPr>
          <w:rStyle w:val="afb"/>
          <w:rFonts w:hint="cs"/>
          <w:rtl/>
        </w:rPr>
        <w:t xml:space="preserve">אך </w:t>
      </w:r>
      <w:r w:rsidRPr="00D27678">
        <w:rPr>
          <w:rStyle w:val="afb"/>
          <w:rFonts w:hint="cs"/>
          <w:rtl/>
        </w:rPr>
        <w:t xml:space="preserve">ביאר </w:t>
      </w:r>
      <w:r w:rsidRPr="00D27678">
        <w:rPr>
          <w:rStyle w:val="affa"/>
          <w:rFonts w:hint="cs"/>
          <w:rtl/>
        </w:rPr>
        <w:t>כרמב"ן</w:t>
      </w:r>
      <w:r w:rsidRPr="00D27678">
        <w:rPr>
          <w:rStyle w:val="afb"/>
          <w:rFonts w:hint="cs"/>
          <w:rtl/>
        </w:rPr>
        <w:t xml:space="preserve"> </w:t>
      </w:r>
      <w:r w:rsidRPr="004416D8">
        <w:rPr>
          <w:rStyle w:val="aff6"/>
          <w:rFonts w:hint="cs"/>
          <w:rtl/>
        </w:rPr>
        <w:t xml:space="preserve">(עי' אות </w:t>
      </w:r>
      <w:r w:rsidRPr="004416D8">
        <w:rPr>
          <w:rStyle w:val="aff6"/>
          <w:rtl/>
        </w:rPr>
        <w:fldChar w:fldCharType="begin"/>
      </w:r>
      <w:r w:rsidRPr="004416D8">
        <w:rPr>
          <w:rStyle w:val="aff6"/>
          <w:rtl/>
        </w:rPr>
        <w:instrText xml:space="preserve"> </w:instrText>
      </w:r>
      <w:r w:rsidRPr="004416D8">
        <w:rPr>
          <w:rStyle w:val="aff6"/>
          <w:rFonts w:hint="cs"/>
        </w:rPr>
        <w:instrText>REF</w:instrText>
      </w:r>
      <w:r w:rsidRPr="004416D8">
        <w:rPr>
          <w:rStyle w:val="aff6"/>
          <w:rFonts w:hint="cs"/>
          <w:rtl/>
        </w:rPr>
        <w:instrText xml:space="preserve"> _</w:instrText>
      </w:r>
      <w:r w:rsidRPr="004416D8">
        <w:rPr>
          <w:rStyle w:val="aff6"/>
          <w:rFonts w:hint="cs"/>
        </w:rPr>
        <w:instrText>Ref57321016 \r \h</w:instrText>
      </w:r>
      <w:r w:rsidRPr="004416D8">
        <w:rPr>
          <w:rStyle w:val="aff6"/>
          <w:rtl/>
        </w:rPr>
        <w:instrText xml:space="preserve"> </w:instrText>
      </w:r>
      <w:r w:rsidRPr="004416D8">
        <w:rPr>
          <w:rStyle w:val="aff6"/>
          <w:rtl/>
        </w:rPr>
      </w:r>
      <w:r w:rsidRPr="004416D8">
        <w:rPr>
          <w:rStyle w:val="aff6"/>
          <w:rtl/>
        </w:rPr>
        <w:fldChar w:fldCharType="separate"/>
      </w:r>
      <w:r w:rsidR="00265073">
        <w:rPr>
          <w:rStyle w:val="aff6"/>
          <w:cs/>
        </w:rPr>
        <w:t>‎</w:t>
      </w:r>
      <w:r w:rsidR="00265073">
        <w:rPr>
          <w:rStyle w:val="aff6"/>
          <w:rtl/>
        </w:rPr>
        <w:t>מט)</w:t>
      </w:r>
      <w:r w:rsidRPr="004416D8">
        <w:rPr>
          <w:rStyle w:val="aff6"/>
          <w:rtl/>
        </w:rPr>
        <w:fldChar w:fldCharType="end"/>
      </w:r>
      <w:r w:rsidRPr="00D27678">
        <w:rPr>
          <w:rStyle w:val="afb"/>
          <w:rFonts w:hint="cs"/>
          <w:rtl/>
        </w:rPr>
        <w:t xml:space="preserve"> דטוען שהיה במקום </w:t>
      </w:r>
      <w:r>
        <w:rPr>
          <w:rStyle w:val="afb"/>
          <w:rFonts w:hint="cs"/>
          <w:rtl/>
        </w:rPr>
        <w:t>חרום</w:t>
      </w:r>
      <w:r w:rsidRPr="00D27678">
        <w:rPr>
          <w:rStyle w:val="afb"/>
          <w:rFonts w:hint="cs"/>
          <w:rtl/>
        </w:rPr>
        <w:t>].</w:t>
      </w:r>
    </w:p>
    <w:p w:rsidR="0019070E" w:rsidRPr="002A282C" w:rsidRDefault="0019070E" w:rsidP="0019070E">
      <w:pPr>
        <w:pStyle w:val="afe"/>
        <w:rPr>
          <w:rtl/>
        </w:rPr>
      </w:pPr>
      <w:bookmarkStart w:id="6476" w:name="_Toc57234536"/>
      <w:bookmarkStart w:id="6477" w:name="_Toc57236121"/>
      <w:bookmarkStart w:id="6478" w:name="_Toc57310433"/>
      <w:bookmarkStart w:id="6479" w:name="_Toc57322985"/>
      <w:bookmarkStart w:id="6480" w:name="_Toc57323094"/>
      <w:bookmarkStart w:id="6481" w:name="_Toc57370319"/>
      <w:bookmarkStart w:id="6482" w:name="_Toc57491483"/>
      <w:bookmarkStart w:id="6483" w:name="_Toc57495294"/>
      <w:bookmarkStart w:id="6484" w:name="_Toc57544436"/>
      <w:bookmarkStart w:id="6485" w:name="_Toc58184940"/>
      <w:r>
        <w:rPr>
          <w:rFonts w:hint="cs"/>
          <w:rtl/>
        </w:rPr>
        <w:t>דברי הראשונים אי עבר דרך או השתמש</w:t>
      </w:r>
      <w:bookmarkEnd w:id="6476"/>
      <w:bookmarkEnd w:id="6477"/>
      <w:bookmarkEnd w:id="6478"/>
      <w:bookmarkEnd w:id="6479"/>
      <w:bookmarkEnd w:id="6480"/>
      <w:bookmarkEnd w:id="6481"/>
      <w:bookmarkEnd w:id="6482"/>
      <w:bookmarkEnd w:id="6483"/>
      <w:bookmarkEnd w:id="6484"/>
      <w:bookmarkEnd w:id="6485"/>
    </w:p>
    <w:p w:rsidR="0019070E" w:rsidRDefault="0019070E" w:rsidP="0019070E">
      <w:pPr>
        <w:pStyle w:val="1"/>
        <w:rPr>
          <w:rtl/>
        </w:rPr>
      </w:pPr>
      <w:bookmarkStart w:id="6486" w:name="_Toc57234522"/>
      <w:bookmarkStart w:id="6487" w:name="_Toc57236107"/>
      <w:bookmarkStart w:id="6488" w:name="_Toc57310418"/>
      <w:bookmarkStart w:id="6489" w:name="_Toc57322970"/>
      <w:bookmarkStart w:id="6490" w:name="_Toc57323079"/>
      <w:bookmarkStart w:id="6491" w:name="_Toc57370304"/>
      <w:bookmarkStart w:id="6492" w:name="_Toc57491484"/>
      <w:bookmarkStart w:id="6493" w:name="_Toc57495295"/>
      <w:bookmarkStart w:id="6494" w:name="_Toc57544437"/>
      <w:bookmarkStart w:id="6495" w:name="_Toc58184941"/>
      <w:bookmarkStart w:id="6496" w:name="_Toc57310434"/>
      <w:bookmarkStart w:id="6497" w:name="_Toc57322986"/>
      <w:bookmarkStart w:id="6498" w:name="_Toc57323095"/>
      <w:bookmarkStart w:id="6499" w:name="_Toc57370320"/>
      <w:bookmarkStart w:id="6500" w:name="_Toc57234537"/>
      <w:bookmarkStart w:id="6501" w:name="_Toc57236122"/>
      <w:bookmarkStart w:id="6502" w:name="_Toc57067180"/>
      <w:r>
        <w:rPr>
          <w:rFonts w:hint="cs"/>
          <w:rtl/>
        </w:rPr>
        <w:t xml:space="preserve">דעת </w:t>
      </w:r>
      <w:r w:rsidRPr="002A6199">
        <w:rPr>
          <w:rtl/>
        </w:rPr>
        <w:t>המהר"ם מרוטנבורג</w:t>
      </w:r>
      <w:r w:rsidRPr="002A6199">
        <w:rPr>
          <w:rFonts w:hint="cs"/>
          <w:rtl/>
        </w:rPr>
        <w:t xml:space="preserve"> </w:t>
      </w:r>
      <w:bookmarkEnd w:id="6486"/>
      <w:bookmarkEnd w:id="6487"/>
      <w:bookmarkEnd w:id="6488"/>
      <w:bookmarkEnd w:id="6489"/>
      <w:bookmarkEnd w:id="6490"/>
      <w:bookmarkEnd w:id="6491"/>
      <w:r>
        <w:rPr>
          <w:rFonts w:hint="cs"/>
          <w:rtl/>
        </w:rPr>
        <w:t>דהשימוש של הפנימי דחה את החיצון</w:t>
      </w:r>
      <w:bookmarkEnd w:id="6492"/>
      <w:bookmarkEnd w:id="6493"/>
      <w:bookmarkEnd w:id="6494"/>
      <w:bookmarkEnd w:id="6495"/>
      <w:r>
        <w:rPr>
          <w:rFonts w:hint="cs"/>
          <w:rtl/>
        </w:rPr>
        <w:t xml:space="preserve"> </w:t>
      </w:r>
    </w:p>
    <w:p w:rsidR="0019070E" w:rsidRPr="0092041A" w:rsidRDefault="0019070E" w:rsidP="0019070E">
      <w:pPr>
        <w:pStyle w:val="a3"/>
        <w:rPr>
          <w:rFonts w:ascii="Cambria" w:hAnsi="Cambria"/>
          <w:rtl/>
        </w:rPr>
      </w:pPr>
      <w:bookmarkStart w:id="6503" w:name="_Toc57234523"/>
      <w:bookmarkStart w:id="6504" w:name="_Toc57236108"/>
      <w:bookmarkStart w:id="6505" w:name="_Toc57310419"/>
      <w:bookmarkStart w:id="6506" w:name="_Toc57322971"/>
      <w:bookmarkStart w:id="6507" w:name="_Toc57323080"/>
      <w:bookmarkStart w:id="6508" w:name="_Toc57370305"/>
      <w:bookmarkStart w:id="6509" w:name="_Toc57491485"/>
      <w:bookmarkStart w:id="6510" w:name="_Toc57495296"/>
      <w:bookmarkStart w:id="6511" w:name="_Toc57544438"/>
      <w:bookmarkStart w:id="6512" w:name="_Toc58184942"/>
      <w:r>
        <w:rPr>
          <w:rFonts w:hint="cs"/>
          <w:rtl/>
        </w:rPr>
        <w:t xml:space="preserve">ביאור המהר"ם </w:t>
      </w:r>
      <w:r>
        <w:rPr>
          <w:rFonts w:ascii="Cambria" w:hAnsi="Cambria" w:hint="cs"/>
          <w:rtl/>
        </w:rPr>
        <w:t>מרוטנבורג דהמערער היה משתמש בחיצון והמחזיק נדחה מפניו ולכן לא מחה</w:t>
      </w:r>
      <w:bookmarkEnd w:id="6503"/>
      <w:bookmarkEnd w:id="6504"/>
      <w:bookmarkEnd w:id="6505"/>
      <w:bookmarkEnd w:id="6506"/>
      <w:bookmarkEnd w:id="6507"/>
      <w:bookmarkEnd w:id="6508"/>
      <w:bookmarkEnd w:id="6509"/>
      <w:bookmarkEnd w:id="6510"/>
      <w:bookmarkEnd w:id="6511"/>
      <w:bookmarkEnd w:id="6512"/>
    </w:p>
    <w:p w:rsidR="0019070E" w:rsidRDefault="0019070E" w:rsidP="007E4E81">
      <w:pPr>
        <w:pStyle w:val="a0"/>
        <w:rPr>
          <w:rtl/>
        </w:rPr>
      </w:pPr>
      <w:bookmarkStart w:id="6513" w:name="_Ref57051950"/>
      <w:r>
        <w:rPr>
          <w:rFonts w:hint="cs"/>
          <w:rtl/>
        </w:rPr>
        <w:t xml:space="preserve">הביא </w:t>
      </w:r>
      <w:r w:rsidRPr="00850EA0">
        <w:rPr>
          <w:rStyle w:val="af9"/>
          <w:rFonts w:hint="cs"/>
          <w:rtl/>
        </w:rPr>
        <w:t>המרדכי</w:t>
      </w:r>
      <w:r>
        <w:rPr>
          <w:rFonts w:hint="cs"/>
          <w:rtl/>
        </w:rPr>
        <w:t xml:space="preserve"> </w:t>
      </w:r>
      <w:r w:rsidRPr="00850EA0">
        <w:rPr>
          <w:rStyle w:val="af7"/>
          <w:rFonts w:eastAsia="Guttman Hodes" w:hint="cs"/>
          <w:rtl/>
        </w:rPr>
        <w:t>(רמז תקכ"ג)</w:t>
      </w:r>
      <w:r>
        <w:rPr>
          <w:rFonts w:hint="cs"/>
          <w:rtl/>
        </w:rPr>
        <w:t xml:space="preserve"> בשם </w:t>
      </w:r>
      <w:r w:rsidRPr="00850EA0">
        <w:rPr>
          <w:rStyle w:val="af9"/>
          <w:rFonts w:hint="cs"/>
          <w:rtl/>
        </w:rPr>
        <w:t>המהר"ם מרוטנבורג בתשו'</w:t>
      </w:r>
      <w:r>
        <w:rPr>
          <w:rFonts w:hint="cs"/>
          <w:rtl/>
        </w:rPr>
        <w:t xml:space="preserve"> דטענת המערער היא שהוא היה משתמש בבית החיצון בכל מקום שהיה רוצה, והמחזיק היה יכול להשתמש רק כשהמערער לא היה רוצה להשתמש באותו מקום, אבל אם שניהם רצו להשתמש במקום אחד, היה המחזיק נדחה מפני המערער, וטוען המערער דלכן לא הוצרך למחות.</w:t>
      </w:r>
      <w:bookmarkEnd w:id="6513"/>
    </w:p>
    <w:p w:rsidR="0019070E" w:rsidRDefault="0019070E" w:rsidP="0019070E">
      <w:pPr>
        <w:pStyle w:val="a3"/>
        <w:rPr>
          <w:rtl/>
        </w:rPr>
      </w:pPr>
      <w:bookmarkStart w:id="6514" w:name="_Toc57234524"/>
      <w:bookmarkStart w:id="6515" w:name="_Toc57236109"/>
      <w:bookmarkStart w:id="6516" w:name="_Toc57310420"/>
      <w:bookmarkStart w:id="6517" w:name="_Toc57322972"/>
      <w:bookmarkStart w:id="6518" w:name="_Toc57323081"/>
      <w:bookmarkStart w:id="6519" w:name="_Toc57370306"/>
      <w:bookmarkStart w:id="6520" w:name="_Toc57491486"/>
      <w:bookmarkStart w:id="6521" w:name="_Toc57495297"/>
      <w:bookmarkStart w:id="6522" w:name="_Toc57544439"/>
      <w:bookmarkStart w:id="6523" w:name="_Toc58184943"/>
      <w:r>
        <w:rPr>
          <w:rFonts w:hint="cs"/>
          <w:rtl/>
        </w:rPr>
        <w:t>ביאור הסמ"ע והב"ח במהר"ם מרוטנבורג דדרך ושימוש לא מבטל חזקה ורק נדחה מפניו מבטל</w:t>
      </w:r>
      <w:bookmarkEnd w:id="6514"/>
      <w:bookmarkEnd w:id="6515"/>
      <w:bookmarkEnd w:id="6516"/>
      <w:bookmarkEnd w:id="6517"/>
      <w:bookmarkEnd w:id="6518"/>
      <w:bookmarkEnd w:id="6519"/>
      <w:bookmarkEnd w:id="6520"/>
      <w:bookmarkEnd w:id="6521"/>
      <w:bookmarkEnd w:id="6522"/>
      <w:bookmarkEnd w:id="6523"/>
    </w:p>
    <w:p w:rsidR="0019070E" w:rsidRDefault="0019070E" w:rsidP="007E4E81">
      <w:pPr>
        <w:pStyle w:val="a0"/>
        <w:rPr>
          <w:rtl/>
        </w:rPr>
      </w:pPr>
      <w:bookmarkStart w:id="6524" w:name="_Ref57051988"/>
      <w:r>
        <w:rPr>
          <w:rFonts w:hint="cs"/>
          <w:rtl/>
        </w:rPr>
        <w:t xml:space="preserve">וביארו </w:t>
      </w:r>
      <w:r>
        <w:rPr>
          <w:rStyle w:val="af9"/>
          <w:rFonts w:hint="cs"/>
          <w:rtl/>
        </w:rPr>
        <w:t xml:space="preserve">הדרכ"מ </w:t>
      </w:r>
      <w:r w:rsidRPr="007100B5">
        <w:rPr>
          <w:rStyle w:val="af7"/>
          <w:rFonts w:eastAsia="Guttman Hodes" w:hint="cs"/>
          <w:rtl/>
        </w:rPr>
        <w:t>(סי' ק"מ ט')</w:t>
      </w:r>
      <w:r>
        <w:rPr>
          <w:rStyle w:val="af9"/>
          <w:rFonts w:hint="cs"/>
          <w:rtl/>
        </w:rPr>
        <w:t xml:space="preserve"> ו</w:t>
      </w:r>
      <w:r w:rsidRPr="004F1B17">
        <w:rPr>
          <w:rStyle w:val="af9"/>
          <w:rFonts w:hint="cs"/>
          <w:rtl/>
        </w:rPr>
        <w:t>הסמ"ע</w:t>
      </w:r>
      <w:r>
        <w:rPr>
          <w:rFonts w:hint="cs"/>
          <w:rtl/>
        </w:rPr>
        <w:t xml:space="preserve"> </w:t>
      </w:r>
      <w:r w:rsidRPr="007044B5">
        <w:rPr>
          <w:rStyle w:val="af7"/>
          <w:rFonts w:eastAsia="Guttman Hodes" w:hint="cs"/>
          <w:rtl/>
        </w:rPr>
        <w:t>(סי' ק"מ סקי"ט)</w:t>
      </w:r>
      <w:r>
        <w:rPr>
          <w:rFonts w:hint="cs"/>
          <w:rtl/>
        </w:rPr>
        <w:t xml:space="preserve"> </w:t>
      </w:r>
      <w:r>
        <w:rPr>
          <w:rStyle w:val="af9"/>
          <w:rFonts w:hint="cs"/>
          <w:rtl/>
        </w:rPr>
        <w:t>ו</w:t>
      </w:r>
      <w:r w:rsidRPr="00694E99">
        <w:rPr>
          <w:rStyle w:val="af9"/>
          <w:rFonts w:hint="cs"/>
          <w:rtl/>
        </w:rPr>
        <w:t>הב"ח</w:t>
      </w:r>
      <w:r>
        <w:rPr>
          <w:rFonts w:hint="cs"/>
          <w:rtl/>
        </w:rPr>
        <w:t xml:space="preserve"> </w:t>
      </w:r>
      <w:r w:rsidRPr="007044B5">
        <w:rPr>
          <w:rStyle w:val="af7"/>
          <w:rFonts w:eastAsia="Guttman Hodes" w:hint="cs"/>
          <w:rtl/>
        </w:rPr>
        <w:t>(סי' ק"מ י"ז)</w:t>
      </w:r>
      <w:r>
        <w:rPr>
          <w:rFonts w:hint="cs"/>
          <w:rtl/>
        </w:rPr>
        <w:t xml:space="preserve"> </w:t>
      </w:r>
      <w:r>
        <w:rPr>
          <w:rStyle w:val="af9"/>
          <w:rFonts w:hint="cs"/>
          <w:rtl/>
        </w:rPr>
        <w:t>ו</w:t>
      </w:r>
      <w:r w:rsidRPr="00850EA0">
        <w:rPr>
          <w:rStyle w:val="af9"/>
          <w:rtl/>
        </w:rPr>
        <w:t>בתשו'</w:t>
      </w:r>
      <w:r>
        <w:rPr>
          <w:rStyle w:val="af9"/>
          <w:rFonts w:hint="cs"/>
          <w:rtl/>
        </w:rPr>
        <w:t xml:space="preserve"> </w:t>
      </w:r>
      <w:r w:rsidRPr="00850EA0">
        <w:rPr>
          <w:rStyle w:val="af9"/>
          <w:rtl/>
        </w:rPr>
        <w:t>הב"ח</w:t>
      </w:r>
      <w:r w:rsidR="00A77F33">
        <w:rPr>
          <w:rStyle w:val="af9"/>
          <w:rtl/>
        </w:rPr>
        <w:t xml:space="preserve"> </w:t>
      </w:r>
      <w:r w:rsidRPr="00850EA0">
        <w:rPr>
          <w:rStyle w:val="af7"/>
          <w:rFonts w:eastAsia="Guttman Hodes"/>
          <w:rtl/>
        </w:rPr>
        <w:t>(ישנות סי' ז' ד"ה</w:t>
      </w:r>
      <w:r w:rsidRPr="00850EA0">
        <w:rPr>
          <w:rStyle w:val="af7"/>
          <w:rFonts w:eastAsia="Guttman Hodes" w:hint="cs"/>
          <w:rtl/>
        </w:rPr>
        <w:t xml:space="preserve"> ומדברי התוס')</w:t>
      </w:r>
      <w:r>
        <w:rPr>
          <w:rFonts w:hint="cs"/>
          <w:rtl/>
        </w:rPr>
        <w:t xml:space="preserve"> דס"ל </w:t>
      </w:r>
      <w:r>
        <w:rPr>
          <w:rStyle w:val="af9"/>
          <w:rFonts w:hint="cs"/>
          <w:rtl/>
        </w:rPr>
        <w:t>ל</w:t>
      </w:r>
      <w:r w:rsidRPr="00E35C6D">
        <w:rPr>
          <w:rStyle w:val="af9"/>
          <w:rFonts w:hint="cs"/>
          <w:rtl/>
        </w:rPr>
        <w:t>מהר"ם מרוטנבורג</w:t>
      </w:r>
      <w:r>
        <w:rPr>
          <w:rStyle w:val="af9"/>
          <w:rFonts w:hint="cs"/>
          <w:rtl/>
        </w:rPr>
        <w:t xml:space="preserve"> במרדכי</w:t>
      </w:r>
      <w:r>
        <w:rPr>
          <w:rFonts w:hint="cs"/>
          <w:rtl/>
        </w:rPr>
        <w:t xml:space="preserve"> </w:t>
      </w:r>
      <w:r w:rsidRPr="00061CA4">
        <w:rPr>
          <w:rFonts w:hint="cs"/>
          <w:rtl/>
        </w:rPr>
        <w:t>כדעת</w:t>
      </w:r>
      <w:r>
        <w:rPr>
          <w:rStyle w:val="af9"/>
          <w:rFonts w:hint="cs"/>
          <w:rtl/>
        </w:rPr>
        <w:t xml:space="preserve"> ה</w:t>
      </w:r>
      <w:r w:rsidRPr="00C90283">
        <w:rPr>
          <w:rStyle w:val="af9"/>
          <w:rFonts w:hint="cs"/>
          <w:rtl/>
        </w:rPr>
        <w:t>רמב"ן</w:t>
      </w:r>
      <w:r>
        <w:rPr>
          <w:rFonts w:hint="cs"/>
          <w:rtl/>
        </w:rPr>
        <w:t xml:space="preserve"> </w:t>
      </w:r>
      <w:r w:rsidRPr="008F3C10">
        <w:rPr>
          <w:rStyle w:val="af7"/>
          <w:rFonts w:eastAsia="Guttman Hodes" w:hint="cs"/>
          <w:rtl/>
        </w:rPr>
        <w:t xml:space="preserve">(עי' אות </w:t>
      </w:r>
      <w:r w:rsidRPr="008F3C10">
        <w:rPr>
          <w:rStyle w:val="af7"/>
          <w:rFonts w:eastAsia="Guttman Hodes"/>
          <w:rtl/>
        </w:rPr>
        <w:fldChar w:fldCharType="begin"/>
      </w:r>
      <w:r w:rsidRPr="008F3C10">
        <w:rPr>
          <w:rStyle w:val="af7"/>
          <w:rFonts w:eastAsia="Guttman Hodes"/>
          <w:rtl/>
        </w:rPr>
        <w:instrText xml:space="preserve"> </w:instrText>
      </w:r>
      <w:r w:rsidRPr="008F3C10">
        <w:rPr>
          <w:rStyle w:val="af7"/>
          <w:rFonts w:eastAsia="Guttman Hodes" w:hint="cs"/>
        </w:rPr>
        <w:instrText>REF</w:instrText>
      </w:r>
      <w:r w:rsidRPr="008F3C10">
        <w:rPr>
          <w:rStyle w:val="af7"/>
          <w:rFonts w:eastAsia="Guttman Hodes" w:hint="cs"/>
          <w:rtl/>
        </w:rPr>
        <w:instrText xml:space="preserve"> _</w:instrText>
      </w:r>
      <w:r w:rsidRPr="008F3C10">
        <w:rPr>
          <w:rStyle w:val="af7"/>
          <w:rFonts w:eastAsia="Guttman Hodes" w:hint="cs"/>
        </w:rPr>
        <w:instrText>Ref57051203 \r \h</w:instrText>
      </w:r>
      <w:r w:rsidRPr="008F3C10">
        <w:rPr>
          <w:rStyle w:val="af7"/>
          <w:rFonts w:eastAsia="Guttman Hodes"/>
          <w:rtl/>
        </w:rPr>
        <w:instrText xml:space="preserve"> </w:instrText>
      </w:r>
      <w:r w:rsidRPr="008F3C10">
        <w:rPr>
          <w:rStyle w:val="af7"/>
          <w:rFonts w:eastAsia="Guttman Hodes"/>
          <w:rtl/>
        </w:rPr>
      </w:r>
      <w:r w:rsidRPr="008F3C10">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8F3C10">
        <w:rPr>
          <w:rStyle w:val="af7"/>
          <w:rFonts w:eastAsia="Guttman Hodes"/>
          <w:rtl/>
        </w:rPr>
        <w:fldChar w:fldCharType="end"/>
      </w:r>
      <w:r>
        <w:rPr>
          <w:rFonts w:hint="cs"/>
          <w:rtl/>
        </w:rPr>
        <w:t xml:space="preserve"> דהעברת דרך אינה מבטלת חזקה, וכן בטענה שהיה משתמש עמו בבית החיצון, לא סגי בכדי לבטל את חזקת המחזיק, ורק כיון שהמערער היה משתמש בכל שימושי הבית החיצון, ודוחה את המחזיק מפניו, חשיב שהמחזיק טפל למערער, שייך לומר דהוא מבטל את חזקת המחזיק, ודלא כדביאר </w:t>
      </w:r>
      <w:r w:rsidRPr="00850EA0">
        <w:rPr>
          <w:rStyle w:val="af9"/>
          <w:rFonts w:hint="cs"/>
          <w:rtl/>
        </w:rPr>
        <w:t>הב"ח</w:t>
      </w:r>
      <w:r>
        <w:rPr>
          <w:rFonts w:hint="cs"/>
          <w:rtl/>
        </w:rPr>
        <w:t xml:space="preserve"> </w:t>
      </w:r>
      <w:r w:rsidRPr="00850EA0">
        <w:rPr>
          <w:rStyle w:val="af7"/>
          <w:rFonts w:eastAsia="Guttman Hodes" w:hint="cs"/>
          <w:rtl/>
        </w:rPr>
        <w:t>(עי' אות</w:t>
      </w:r>
      <w:r>
        <w:rPr>
          <w:rFonts w:hint="cs"/>
          <w:rtl/>
        </w:rPr>
        <w:t xml:space="preserve"> </w:t>
      </w:r>
      <w:r w:rsidRPr="00850EA0">
        <w:rPr>
          <w:rStyle w:val="af7"/>
          <w:rFonts w:eastAsia="Guttman Hodes"/>
          <w:rtl/>
        </w:rPr>
        <w:fldChar w:fldCharType="begin"/>
      </w:r>
      <w:r w:rsidRPr="00850EA0">
        <w:rPr>
          <w:rStyle w:val="af7"/>
          <w:rFonts w:eastAsia="Guttman Hodes"/>
          <w:rtl/>
        </w:rPr>
        <w:instrText xml:space="preserve"> </w:instrText>
      </w:r>
      <w:r w:rsidRPr="00850EA0">
        <w:rPr>
          <w:rStyle w:val="af7"/>
          <w:rFonts w:eastAsia="Guttman Hodes" w:hint="cs"/>
        </w:rPr>
        <w:instrText>REF</w:instrText>
      </w:r>
      <w:r w:rsidRPr="00850EA0">
        <w:rPr>
          <w:rStyle w:val="af7"/>
          <w:rFonts w:eastAsia="Guttman Hodes" w:hint="cs"/>
          <w:rtl/>
        </w:rPr>
        <w:instrText xml:space="preserve"> _</w:instrText>
      </w:r>
      <w:r w:rsidRPr="00850EA0">
        <w:rPr>
          <w:rStyle w:val="af7"/>
          <w:rFonts w:eastAsia="Guttman Hodes" w:hint="cs"/>
        </w:rPr>
        <w:instrText>Ref57051696 \r \h</w:instrText>
      </w:r>
      <w:r w:rsidRPr="00850EA0">
        <w:rPr>
          <w:rStyle w:val="af7"/>
          <w:rFonts w:eastAsia="Guttman Hodes"/>
          <w:rtl/>
        </w:rPr>
        <w:instrText xml:space="preserve"> </w:instrText>
      </w:r>
      <w:r w:rsidRPr="00850EA0">
        <w:rPr>
          <w:rStyle w:val="af7"/>
          <w:rFonts w:eastAsia="Guttman Hodes"/>
          <w:rtl/>
        </w:rPr>
      </w:r>
      <w:r w:rsidRPr="00850EA0">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850EA0">
        <w:rPr>
          <w:rStyle w:val="af7"/>
          <w:rFonts w:eastAsia="Guttman Hodes"/>
          <w:rtl/>
        </w:rPr>
        <w:fldChar w:fldCharType="end"/>
      </w:r>
      <w:r>
        <w:rPr>
          <w:rFonts w:hint="cs"/>
          <w:rtl/>
        </w:rPr>
        <w:t xml:space="preserve"> </w:t>
      </w:r>
      <w:r w:rsidRPr="00850EA0">
        <w:rPr>
          <w:rStyle w:val="af9"/>
          <w:rFonts w:hint="cs"/>
          <w:rtl/>
        </w:rPr>
        <w:t>ברשב"ם</w:t>
      </w:r>
      <w:bookmarkEnd w:id="6524"/>
      <w:r>
        <w:rPr>
          <w:rFonts w:hint="cs"/>
          <w:rtl/>
        </w:rPr>
        <w:t>.</w:t>
      </w:r>
    </w:p>
    <w:p w:rsidR="0019070E" w:rsidRDefault="0019070E" w:rsidP="0019070E">
      <w:pPr>
        <w:pStyle w:val="a3"/>
        <w:rPr>
          <w:rtl/>
        </w:rPr>
      </w:pPr>
      <w:bookmarkStart w:id="6525" w:name="_Toc57310421"/>
      <w:bookmarkStart w:id="6526" w:name="_Toc57322973"/>
      <w:bookmarkStart w:id="6527" w:name="_Toc57323082"/>
      <w:bookmarkStart w:id="6528" w:name="_Toc57370307"/>
      <w:bookmarkStart w:id="6529" w:name="_Toc57491487"/>
      <w:bookmarkStart w:id="6530" w:name="_Toc57495298"/>
      <w:bookmarkStart w:id="6531" w:name="_Toc57544440"/>
      <w:bookmarkStart w:id="6532" w:name="_Toc58184944"/>
      <w:bookmarkStart w:id="6533" w:name="_Toc57067177"/>
      <w:bookmarkStart w:id="6534" w:name="_Toc57234525"/>
      <w:bookmarkStart w:id="6535" w:name="_Toc57236110"/>
      <w:r>
        <w:rPr>
          <w:rFonts w:hint="cs"/>
          <w:rtl/>
        </w:rPr>
        <w:t>דברי הדרכ"מ דהנימוק"י ס"ל כמהר"ם מרוטנבורג דדרך אינה מבטלת ורק נדחה מפניו מבטל</w:t>
      </w:r>
      <w:bookmarkEnd w:id="6525"/>
      <w:bookmarkEnd w:id="6526"/>
      <w:bookmarkEnd w:id="6527"/>
      <w:bookmarkEnd w:id="6528"/>
      <w:bookmarkEnd w:id="6529"/>
      <w:bookmarkEnd w:id="6530"/>
      <w:bookmarkEnd w:id="6531"/>
      <w:bookmarkEnd w:id="6532"/>
    </w:p>
    <w:p w:rsidR="0019070E" w:rsidRDefault="0019070E" w:rsidP="007E4E81">
      <w:pPr>
        <w:pStyle w:val="a0"/>
        <w:rPr>
          <w:rStyle w:val="afb"/>
          <w:rtl/>
        </w:rPr>
      </w:pPr>
      <w:bookmarkStart w:id="6536" w:name="_Ref57310299"/>
      <w:r>
        <w:rPr>
          <w:rFonts w:hint="cs"/>
          <w:rtl/>
        </w:rPr>
        <w:t xml:space="preserve">והוסיף </w:t>
      </w:r>
      <w:r>
        <w:rPr>
          <w:rStyle w:val="af9"/>
          <w:rFonts w:hint="cs"/>
          <w:rtl/>
        </w:rPr>
        <w:t xml:space="preserve">הדרכ"מ </w:t>
      </w:r>
      <w:r w:rsidRPr="007100B5">
        <w:rPr>
          <w:rStyle w:val="af7"/>
          <w:rFonts w:eastAsia="Guttman Hodes" w:hint="cs"/>
          <w:rtl/>
        </w:rPr>
        <w:t>(סי' ק"מ ט')</w:t>
      </w:r>
      <w:r>
        <w:rPr>
          <w:rStyle w:val="af9"/>
          <w:rFonts w:hint="cs"/>
          <w:rtl/>
        </w:rPr>
        <w:t xml:space="preserve"> </w:t>
      </w:r>
      <w:r>
        <w:rPr>
          <w:rFonts w:hint="cs"/>
          <w:rtl/>
        </w:rPr>
        <w:t xml:space="preserve">דמדברי </w:t>
      </w:r>
      <w:r w:rsidRPr="00B76A17">
        <w:rPr>
          <w:rStyle w:val="af9"/>
          <w:rFonts w:hint="cs"/>
          <w:rtl/>
        </w:rPr>
        <w:t>הנימוק"י</w:t>
      </w:r>
      <w:r>
        <w:rPr>
          <w:rFonts w:hint="cs"/>
          <w:rtl/>
        </w:rPr>
        <w:t xml:space="preserve"> </w:t>
      </w:r>
      <w:r w:rsidRPr="00B76A17">
        <w:rPr>
          <w:rStyle w:val="af7"/>
          <w:rFonts w:eastAsia="Guttman Hodes" w:hint="cs"/>
          <w:rtl/>
        </w:rPr>
        <w:t xml:space="preserve">(עי' אות </w:t>
      </w:r>
      <w:r w:rsidRPr="00B76A17">
        <w:rPr>
          <w:rStyle w:val="af7"/>
          <w:rFonts w:eastAsia="Guttman Hodes"/>
          <w:rtl/>
        </w:rPr>
        <w:fldChar w:fldCharType="begin"/>
      </w:r>
      <w:r w:rsidRPr="00B76A17">
        <w:rPr>
          <w:rStyle w:val="af7"/>
          <w:rFonts w:eastAsia="Guttman Hodes"/>
          <w:rtl/>
        </w:rPr>
        <w:instrText xml:space="preserve"> </w:instrText>
      </w:r>
      <w:r w:rsidRPr="00B76A17">
        <w:rPr>
          <w:rStyle w:val="af7"/>
          <w:rFonts w:eastAsia="Guttman Hodes" w:hint="cs"/>
        </w:rPr>
        <w:instrText>REF</w:instrText>
      </w:r>
      <w:r w:rsidRPr="00B76A17">
        <w:rPr>
          <w:rStyle w:val="af7"/>
          <w:rFonts w:eastAsia="Guttman Hodes" w:hint="cs"/>
          <w:rtl/>
        </w:rPr>
        <w:instrText xml:space="preserve"> _</w:instrText>
      </w:r>
      <w:r w:rsidRPr="00B76A17">
        <w:rPr>
          <w:rStyle w:val="af7"/>
          <w:rFonts w:eastAsia="Guttman Hodes" w:hint="cs"/>
        </w:rPr>
        <w:instrText>Ref57061001 \r \h</w:instrText>
      </w:r>
      <w:r w:rsidRPr="00B76A17">
        <w:rPr>
          <w:rStyle w:val="af7"/>
          <w:rFonts w:eastAsia="Guttman Hodes"/>
          <w:rtl/>
        </w:rPr>
        <w:instrText xml:space="preserve"> </w:instrText>
      </w:r>
      <w:r w:rsidRPr="00B76A17">
        <w:rPr>
          <w:rStyle w:val="af7"/>
          <w:rFonts w:eastAsia="Guttman Hodes"/>
          <w:rtl/>
        </w:rPr>
      </w:r>
      <w:r w:rsidRPr="00B76A17">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B76A17">
        <w:rPr>
          <w:rStyle w:val="af7"/>
          <w:rFonts w:eastAsia="Guttman Hodes"/>
          <w:rtl/>
        </w:rPr>
        <w:fldChar w:fldCharType="end"/>
      </w:r>
      <w:r>
        <w:rPr>
          <w:rFonts w:hint="cs"/>
          <w:rtl/>
        </w:rPr>
        <w:t xml:space="preserve"> משמע דס"ל </w:t>
      </w:r>
      <w:r w:rsidRPr="00061CA4">
        <w:rPr>
          <w:rFonts w:hint="cs"/>
          <w:rtl/>
        </w:rPr>
        <w:t>כדעת</w:t>
      </w:r>
      <w:r>
        <w:rPr>
          <w:rFonts w:hint="cs"/>
          <w:rtl/>
        </w:rPr>
        <w:t xml:space="preserve"> </w:t>
      </w:r>
      <w:r w:rsidRPr="00E35C6D">
        <w:rPr>
          <w:rStyle w:val="af9"/>
          <w:rFonts w:hint="cs"/>
          <w:rtl/>
        </w:rPr>
        <w:t>מהר"ם מרוטנבורג</w:t>
      </w:r>
      <w:r>
        <w:rPr>
          <w:rStyle w:val="af9"/>
          <w:rFonts w:hint="cs"/>
          <w:rtl/>
        </w:rPr>
        <w:t xml:space="preserve"> במרדכי</w:t>
      </w:r>
      <w:r>
        <w:rPr>
          <w:rFonts w:hint="cs"/>
          <w:rtl/>
        </w:rPr>
        <w:t xml:space="preserve"> </w:t>
      </w:r>
      <w:r w:rsidRPr="00B76A17">
        <w:rPr>
          <w:rStyle w:val="af7"/>
          <w:rFonts w:eastAsia="Guttman Hodes" w:hint="cs"/>
          <w:rtl/>
        </w:rPr>
        <w:t xml:space="preserve">(עי' אות </w:t>
      </w:r>
      <w:r w:rsidRPr="00B76A17">
        <w:rPr>
          <w:rStyle w:val="af7"/>
          <w:rFonts w:eastAsia="Guttman Hodes"/>
          <w:rtl/>
        </w:rPr>
        <w:fldChar w:fldCharType="begin"/>
      </w:r>
      <w:r w:rsidRPr="00B76A17">
        <w:rPr>
          <w:rStyle w:val="af7"/>
          <w:rFonts w:eastAsia="Guttman Hodes"/>
          <w:rtl/>
        </w:rPr>
        <w:instrText xml:space="preserve"> </w:instrText>
      </w:r>
      <w:r w:rsidRPr="00B76A17">
        <w:rPr>
          <w:rStyle w:val="af7"/>
          <w:rFonts w:eastAsia="Guttman Hodes" w:hint="cs"/>
        </w:rPr>
        <w:instrText>REF</w:instrText>
      </w:r>
      <w:r w:rsidRPr="00B76A17">
        <w:rPr>
          <w:rStyle w:val="af7"/>
          <w:rFonts w:eastAsia="Guttman Hodes" w:hint="cs"/>
          <w:rtl/>
        </w:rPr>
        <w:instrText xml:space="preserve"> _</w:instrText>
      </w:r>
      <w:r w:rsidRPr="00B76A17">
        <w:rPr>
          <w:rStyle w:val="af7"/>
          <w:rFonts w:eastAsia="Guttman Hodes" w:hint="cs"/>
        </w:rPr>
        <w:instrText>Ref57051950 \r \h</w:instrText>
      </w:r>
      <w:r w:rsidRPr="00B76A17">
        <w:rPr>
          <w:rStyle w:val="af7"/>
          <w:rFonts w:eastAsia="Guttman Hodes"/>
          <w:rtl/>
        </w:rPr>
        <w:instrText xml:space="preserve"> </w:instrText>
      </w:r>
      <w:r w:rsidRPr="00B76A17">
        <w:rPr>
          <w:rStyle w:val="af7"/>
          <w:rFonts w:eastAsia="Guttman Hodes"/>
          <w:rtl/>
        </w:rPr>
      </w:r>
      <w:r w:rsidRPr="00B76A17">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B76A17">
        <w:rPr>
          <w:rStyle w:val="af7"/>
          <w:rFonts w:eastAsia="Guttman Hodes"/>
          <w:rtl/>
        </w:rPr>
        <w:fldChar w:fldCharType="end"/>
      </w:r>
      <w:r>
        <w:rPr>
          <w:rFonts w:hint="cs"/>
          <w:rtl/>
        </w:rPr>
        <w:t xml:space="preserve"> דהעברת דרך אינה מבטלת חזקה, ורק כשהמערער משתמש בכל הבית החיצון, ונדחה המחזיק מפניו הוי חזקה. </w:t>
      </w:r>
      <w:r w:rsidRPr="00B76A17">
        <w:rPr>
          <w:rStyle w:val="afb"/>
          <w:rFonts w:hint="cs"/>
          <w:rtl/>
        </w:rPr>
        <w:t>[וקצת משמע מדברי</w:t>
      </w:r>
      <w:r>
        <w:rPr>
          <w:rStyle w:val="affa"/>
          <w:rFonts w:hint="cs"/>
          <w:rtl/>
        </w:rPr>
        <w:t xml:space="preserve"> הדרכ"מ</w:t>
      </w:r>
      <w:r w:rsidRPr="00B76A17">
        <w:rPr>
          <w:rStyle w:val="afb"/>
          <w:rFonts w:hint="cs"/>
          <w:rtl/>
        </w:rPr>
        <w:t xml:space="preserve"> דס"ל </w:t>
      </w:r>
      <w:r w:rsidRPr="009656C8">
        <w:rPr>
          <w:rStyle w:val="affa"/>
          <w:rFonts w:hint="cs"/>
          <w:rtl/>
        </w:rPr>
        <w:t xml:space="preserve">להנימוק"י </w:t>
      </w:r>
      <w:r w:rsidRPr="00B76A17">
        <w:rPr>
          <w:rStyle w:val="afb"/>
          <w:rFonts w:hint="cs"/>
          <w:rtl/>
        </w:rPr>
        <w:t>דשימוש לבדו אינו מבטל את החזקה, ורק כשנדחה מפניו אי"ז חזקה</w:t>
      </w:r>
      <w:r>
        <w:rPr>
          <w:rStyle w:val="afb"/>
          <w:rFonts w:hint="cs"/>
          <w:rtl/>
        </w:rPr>
        <w:t xml:space="preserve">, וכן משמע </w:t>
      </w:r>
      <w:r w:rsidRPr="009656C8">
        <w:rPr>
          <w:rStyle w:val="affa"/>
          <w:rFonts w:hint="cs"/>
          <w:rtl/>
        </w:rPr>
        <w:t xml:space="preserve">ברמ"א </w:t>
      </w:r>
      <w:r w:rsidRPr="009656C8">
        <w:rPr>
          <w:rStyle w:val="aff6"/>
          <w:rFonts w:hint="cs"/>
          <w:rtl/>
        </w:rPr>
        <w:t>(סי' ק"מ י"ג)</w:t>
      </w:r>
      <w:r w:rsidRPr="00B76A17">
        <w:rPr>
          <w:rStyle w:val="afb"/>
          <w:rFonts w:hint="cs"/>
          <w:rtl/>
        </w:rPr>
        <w:t>].</w:t>
      </w:r>
      <w:bookmarkEnd w:id="6536"/>
    </w:p>
    <w:p w:rsidR="0019070E" w:rsidRPr="00BE28CC" w:rsidRDefault="0019070E" w:rsidP="0019070E">
      <w:pPr>
        <w:pStyle w:val="a3"/>
        <w:rPr>
          <w:rtl/>
        </w:rPr>
      </w:pPr>
    </w:p>
    <w:p w:rsidR="0019070E" w:rsidRPr="00BE28CC" w:rsidRDefault="0019070E" w:rsidP="0019070E">
      <w:pPr>
        <w:pStyle w:val="a3"/>
        <w:rPr>
          <w:rtl/>
        </w:rPr>
      </w:pPr>
    </w:p>
    <w:p w:rsidR="0019070E" w:rsidRDefault="0019070E" w:rsidP="0019070E">
      <w:pPr>
        <w:pStyle w:val="1"/>
        <w:rPr>
          <w:rtl/>
        </w:rPr>
      </w:pPr>
      <w:bookmarkStart w:id="6537" w:name="_Toc57310422"/>
      <w:bookmarkStart w:id="6538" w:name="_Toc57322974"/>
      <w:bookmarkStart w:id="6539" w:name="_Toc57323083"/>
      <w:bookmarkStart w:id="6540" w:name="_Toc57370308"/>
      <w:bookmarkStart w:id="6541" w:name="_Toc57491488"/>
      <w:bookmarkStart w:id="6542" w:name="_Toc57495299"/>
      <w:bookmarkStart w:id="6543" w:name="_Toc57544441"/>
      <w:bookmarkStart w:id="6544" w:name="_Toc58184945"/>
      <w:r>
        <w:rPr>
          <w:rFonts w:hint="cs"/>
          <w:rtl/>
        </w:rPr>
        <w:lastRenderedPageBreak/>
        <w:t>דעת רבינו גרשום</w:t>
      </w:r>
      <w:bookmarkEnd w:id="6533"/>
      <w:bookmarkEnd w:id="6534"/>
      <w:bookmarkEnd w:id="6535"/>
      <w:bookmarkEnd w:id="6537"/>
      <w:bookmarkEnd w:id="6538"/>
      <w:bookmarkEnd w:id="6539"/>
      <w:bookmarkEnd w:id="6540"/>
      <w:r>
        <w:rPr>
          <w:rFonts w:hint="cs"/>
          <w:rtl/>
        </w:rPr>
        <w:t xml:space="preserve"> דהחיצון לא השתמש בבית יותר מהפנימי</w:t>
      </w:r>
      <w:bookmarkEnd w:id="6541"/>
      <w:bookmarkEnd w:id="6542"/>
      <w:bookmarkEnd w:id="6543"/>
      <w:bookmarkEnd w:id="6544"/>
    </w:p>
    <w:p w:rsidR="0019070E" w:rsidRPr="0092041A" w:rsidRDefault="0019070E" w:rsidP="0019070E">
      <w:pPr>
        <w:pStyle w:val="a3"/>
        <w:rPr>
          <w:rtl/>
        </w:rPr>
      </w:pPr>
      <w:bookmarkStart w:id="6545" w:name="_Toc57234526"/>
      <w:bookmarkStart w:id="6546" w:name="_Toc57236111"/>
      <w:bookmarkStart w:id="6547" w:name="_Toc57310423"/>
      <w:bookmarkStart w:id="6548" w:name="_Toc57322975"/>
      <w:bookmarkStart w:id="6549" w:name="_Toc57323084"/>
      <w:bookmarkStart w:id="6550" w:name="_Toc57370309"/>
      <w:bookmarkStart w:id="6551" w:name="_Toc57491489"/>
      <w:bookmarkStart w:id="6552" w:name="_Toc57495300"/>
      <w:bookmarkStart w:id="6553" w:name="_Toc57544442"/>
      <w:bookmarkStart w:id="6554" w:name="_Toc58184946"/>
      <w:r>
        <w:rPr>
          <w:rFonts w:hint="cs"/>
          <w:rtl/>
        </w:rPr>
        <w:t>ביאור רבינו גרשום דטענת המערער היה בבית הפנימי והמחזיק לא השתמש בבית יותר ממנו</w:t>
      </w:r>
      <w:bookmarkEnd w:id="6545"/>
      <w:bookmarkEnd w:id="6546"/>
      <w:bookmarkEnd w:id="6547"/>
      <w:bookmarkEnd w:id="6548"/>
      <w:bookmarkEnd w:id="6549"/>
      <w:bookmarkEnd w:id="6550"/>
      <w:bookmarkEnd w:id="6551"/>
      <w:bookmarkEnd w:id="6552"/>
      <w:bookmarkEnd w:id="6553"/>
      <w:bookmarkEnd w:id="6554"/>
    </w:p>
    <w:p w:rsidR="0019070E" w:rsidRDefault="0019070E" w:rsidP="007E4E81">
      <w:pPr>
        <w:pStyle w:val="a0"/>
        <w:rPr>
          <w:rtl/>
        </w:rPr>
      </w:pPr>
      <w:r w:rsidRPr="00850EA0">
        <w:rPr>
          <w:rStyle w:val="af9"/>
          <w:rFonts w:hint="cs"/>
          <w:rtl/>
        </w:rPr>
        <w:t>ורבינו גרשום</w:t>
      </w:r>
      <w:r>
        <w:rPr>
          <w:rFonts w:hint="cs"/>
          <w:rtl/>
        </w:rPr>
        <w:t xml:space="preserve"> </w:t>
      </w:r>
      <w:r w:rsidRPr="008F3C10">
        <w:rPr>
          <w:rStyle w:val="af7"/>
          <w:rFonts w:eastAsia="Guttman Hodes" w:hint="cs"/>
          <w:rtl/>
        </w:rPr>
        <w:t xml:space="preserve">(ד"ה אנא) </w:t>
      </w:r>
      <w:r>
        <w:rPr>
          <w:rFonts w:hint="cs"/>
          <w:rtl/>
        </w:rPr>
        <w:t xml:space="preserve">כתב דהמערער טוען שהיה בבתי גוואי, ולכן לא השתמש המחזיק בה יותר ממנו, ואמר ר"נ למחזיק שעליו להביא עדים שלא השתמש המערער בבתי גוואי, ורק עי"ז יש למחזיק חזקה, וכתב </w:t>
      </w:r>
      <w:r w:rsidRPr="00C856F9">
        <w:rPr>
          <w:rStyle w:val="af9"/>
          <w:rFonts w:hint="cs"/>
          <w:rtl/>
        </w:rPr>
        <w:t>רבינו גרשום</w:t>
      </w:r>
      <w:r>
        <w:rPr>
          <w:rFonts w:hint="cs"/>
          <w:rtl/>
        </w:rPr>
        <w:t xml:space="preserve"> דר"נ העמיד עכשיו ביד המוכר, ולכן טען לו רבא דהיה לו להעמיד ביד הלוקח, ועי"ז יהיה המוכר מוציא מחבירו ועליו להביא ראיה.</w:t>
      </w:r>
    </w:p>
    <w:p w:rsidR="0019070E" w:rsidRPr="002A282C" w:rsidRDefault="0019070E" w:rsidP="0019070E">
      <w:pPr>
        <w:pStyle w:val="afe"/>
        <w:rPr>
          <w:rtl/>
        </w:rPr>
      </w:pPr>
      <w:bookmarkStart w:id="6555" w:name="_Toc57491490"/>
      <w:bookmarkStart w:id="6556" w:name="_Toc57495301"/>
      <w:bookmarkStart w:id="6557" w:name="_Toc57544443"/>
      <w:bookmarkStart w:id="6558" w:name="_Toc58184947"/>
      <w:bookmarkStart w:id="6559" w:name="_Toc57310436"/>
      <w:bookmarkStart w:id="6560" w:name="_Toc57322988"/>
      <w:bookmarkStart w:id="6561" w:name="_Toc57323097"/>
      <w:bookmarkStart w:id="6562" w:name="_Toc57370322"/>
      <w:bookmarkEnd w:id="6496"/>
      <w:bookmarkEnd w:id="6497"/>
      <w:bookmarkEnd w:id="6498"/>
      <w:bookmarkEnd w:id="6499"/>
      <w:r>
        <w:rPr>
          <w:rFonts w:hint="cs"/>
          <w:rtl/>
        </w:rPr>
        <w:t>בד' הרשב"ם אי רק עבר דרך או השתמש</w:t>
      </w:r>
      <w:bookmarkEnd w:id="6555"/>
      <w:bookmarkEnd w:id="6556"/>
      <w:bookmarkEnd w:id="6557"/>
      <w:bookmarkEnd w:id="6558"/>
    </w:p>
    <w:p w:rsidR="0019070E" w:rsidRDefault="0019070E" w:rsidP="0019070E">
      <w:pPr>
        <w:pStyle w:val="1"/>
        <w:rPr>
          <w:rtl/>
        </w:rPr>
      </w:pPr>
      <w:bookmarkStart w:id="6563" w:name="_Toc57491491"/>
      <w:bookmarkStart w:id="6564" w:name="_Toc57495302"/>
      <w:bookmarkStart w:id="6565" w:name="_Toc57544444"/>
      <w:bookmarkStart w:id="6566" w:name="_Toc58184948"/>
      <w:r>
        <w:rPr>
          <w:rFonts w:hint="cs"/>
          <w:rtl/>
        </w:rPr>
        <w:t>ביאור הב"ח והסמ"ע ברשב"ם אי עבר עליו או גם השתמש עמו</w:t>
      </w:r>
      <w:bookmarkEnd w:id="6500"/>
      <w:bookmarkEnd w:id="6501"/>
      <w:bookmarkEnd w:id="6559"/>
      <w:bookmarkEnd w:id="6560"/>
      <w:bookmarkEnd w:id="6561"/>
      <w:bookmarkEnd w:id="6562"/>
      <w:bookmarkEnd w:id="6563"/>
      <w:bookmarkEnd w:id="6564"/>
      <w:bookmarkEnd w:id="6565"/>
      <w:bookmarkEnd w:id="6566"/>
    </w:p>
    <w:p w:rsidR="0019070E" w:rsidRPr="00D141A7" w:rsidRDefault="0019070E" w:rsidP="0019070E">
      <w:pPr>
        <w:pStyle w:val="a3"/>
        <w:rPr>
          <w:rtl/>
        </w:rPr>
      </w:pPr>
      <w:bookmarkStart w:id="6567" w:name="_Toc57234538"/>
      <w:bookmarkStart w:id="6568" w:name="_Toc57236123"/>
      <w:bookmarkStart w:id="6569" w:name="_Toc57310437"/>
      <w:bookmarkStart w:id="6570" w:name="_Toc57322989"/>
      <w:bookmarkStart w:id="6571" w:name="_Toc57323098"/>
      <w:bookmarkStart w:id="6572" w:name="_Toc57370323"/>
      <w:bookmarkStart w:id="6573" w:name="_Toc57491492"/>
      <w:bookmarkStart w:id="6574" w:name="_Toc57495303"/>
      <w:bookmarkStart w:id="6575" w:name="_Toc57544445"/>
      <w:bookmarkStart w:id="6576" w:name="_Toc58184949"/>
      <w:r>
        <w:rPr>
          <w:rFonts w:hint="cs"/>
          <w:rtl/>
        </w:rPr>
        <w:t>דברי הסמ"ע דברשב"ם משמע דמשתמש עם החיצון אך ברא"ש ובנימוק"י משמע שיש רק דרך</w:t>
      </w:r>
      <w:bookmarkEnd w:id="6567"/>
      <w:bookmarkEnd w:id="6568"/>
      <w:bookmarkEnd w:id="6569"/>
      <w:bookmarkEnd w:id="6570"/>
      <w:bookmarkEnd w:id="6571"/>
      <w:bookmarkEnd w:id="6572"/>
      <w:bookmarkEnd w:id="6573"/>
      <w:bookmarkEnd w:id="6574"/>
      <w:bookmarkEnd w:id="6575"/>
      <w:bookmarkEnd w:id="6576"/>
    </w:p>
    <w:p w:rsidR="0019070E" w:rsidRDefault="0019070E" w:rsidP="007E4E81">
      <w:pPr>
        <w:pStyle w:val="a0"/>
        <w:rPr>
          <w:rtl/>
        </w:rPr>
      </w:pPr>
      <w:r>
        <w:rPr>
          <w:rFonts w:hint="cs"/>
          <w:rtl/>
        </w:rPr>
        <w:t xml:space="preserve">כתבו </w:t>
      </w:r>
      <w:r w:rsidRPr="00694E99">
        <w:rPr>
          <w:rStyle w:val="af9"/>
          <w:rFonts w:hint="cs"/>
          <w:rtl/>
        </w:rPr>
        <w:t>הב"ח</w:t>
      </w:r>
      <w:r>
        <w:rPr>
          <w:rFonts w:hint="cs"/>
          <w:rtl/>
        </w:rPr>
        <w:t xml:space="preserve"> </w:t>
      </w:r>
      <w:r w:rsidRPr="007044B5">
        <w:rPr>
          <w:rStyle w:val="af7"/>
          <w:rFonts w:eastAsia="Guttman Hodes" w:hint="cs"/>
          <w:rtl/>
        </w:rPr>
        <w:t>(סי' ק"מ י"ז)</w:t>
      </w:r>
      <w:r>
        <w:rPr>
          <w:rFonts w:hint="cs"/>
          <w:rtl/>
        </w:rPr>
        <w:t xml:space="preserve"> </w:t>
      </w:r>
      <w:r>
        <w:rPr>
          <w:rStyle w:val="af9"/>
          <w:rFonts w:hint="cs"/>
          <w:rtl/>
        </w:rPr>
        <w:t>ו</w:t>
      </w:r>
      <w:r w:rsidRPr="004F1B17">
        <w:rPr>
          <w:rStyle w:val="af9"/>
          <w:rFonts w:hint="cs"/>
          <w:rtl/>
        </w:rPr>
        <w:t>הסמ"ע</w:t>
      </w:r>
      <w:r>
        <w:rPr>
          <w:rFonts w:hint="cs"/>
          <w:rtl/>
        </w:rPr>
        <w:t xml:space="preserve"> </w:t>
      </w:r>
      <w:r w:rsidRPr="007044B5">
        <w:rPr>
          <w:rStyle w:val="af7"/>
          <w:rFonts w:eastAsia="Guttman Hodes" w:hint="cs"/>
          <w:rtl/>
        </w:rPr>
        <w:t>(סי' ק"מ סקי"ט)</w:t>
      </w:r>
      <w:r>
        <w:rPr>
          <w:rFonts w:hint="cs"/>
          <w:rtl/>
        </w:rPr>
        <w:t xml:space="preserve"> דמדברי </w:t>
      </w:r>
      <w:r w:rsidRPr="00207695">
        <w:rPr>
          <w:rStyle w:val="af9"/>
          <w:rFonts w:hint="cs"/>
          <w:rtl/>
        </w:rPr>
        <w:t>הרשב"ם</w:t>
      </w:r>
      <w:r>
        <w:rPr>
          <w:rFonts w:hint="cs"/>
          <w:rtl/>
        </w:rPr>
        <w:t xml:space="preserve"> </w:t>
      </w:r>
      <w:r w:rsidRPr="007044B5">
        <w:rPr>
          <w:rStyle w:val="af7"/>
          <w:rFonts w:eastAsia="Guttman Hodes" w:hint="cs"/>
          <w:rtl/>
        </w:rPr>
        <w:t xml:space="preserve">(עי' אות </w:t>
      </w:r>
      <w:r w:rsidRPr="007044B5">
        <w:rPr>
          <w:rStyle w:val="af7"/>
          <w:rFonts w:eastAsia="Guttman Hodes"/>
          <w:rtl/>
        </w:rPr>
        <w:fldChar w:fldCharType="begin"/>
      </w:r>
      <w:r w:rsidRPr="007044B5">
        <w:rPr>
          <w:rStyle w:val="af7"/>
          <w:rFonts w:eastAsia="Guttman Hodes"/>
          <w:rtl/>
        </w:rPr>
        <w:instrText xml:space="preserve"> </w:instrText>
      </w:r>
      <w:r w:rsidRPr="007044B5">
        <w:rPr>
          <w:rStyle w:val="af7"/>
          <w:rFonts w:eastAsia="Guttman Hodes" w:hint="cs"/>
        </w:rPr>
        <w:instrText>REF</w:instrText>
      </w:r>
      <w:r w:rsidRPr="007044B5">
        <w:rPr>
          <w:rStyle w:val="af7"/>
          <w:rFonts w:eastAsia="Guttman Hodes" w:hint="cs"/>
          <w:rtl/>
        </w:rPr>
        <w:instrText xml:space="preserve"> _</w:instrText>
      </w:r>
      <w:r w:rsidRPr="007044B5">
        <w:rPr>
          <w:rStyle w:val="af7"/>
          <w:rFonts w:eastAsia="Guttman Hodes" w:hint="cs"/>
        </w:rPr>
        <w:instrText>Ref56936382 \r \h</w:instrText>
      </w:r>
      <w:r w:rsidRPr="007044B5">
        <w:rPr>
          <w:rStyle w:val="af7"/>
          <w:rFonts w:eastAsia="Guttman Hodes"/>
          <w:rtl/>
        </w:rPr>
        <w:instrText xml:space="preserve"> </w:instrText>
      </w:r>
      <w:r w:rsidRPr="007044B5">
        <w:rPr>
          <w:rStyle w:val="af7"/>
          <w:rFonts w:eastAsia="Guttman Hodes"/>
          <w:rtl/>
        </w:rPr>
      </w:r>
      <w:r w:rsidRPr="007044B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7044B5">
        <w:rPr>
          <w:rStyle w:val="af7"/>
          <w:rFonts w:eastAsia="Guttman Hodes"/>
          <w:rtl/>
        </w:rPr>
        <w:fldChar w:fldCharType="end"/>
      </w:r>
      <w:r>
        <w:rPr>
          <w:rFonts w:hint="cs"/>
          <w:rtl/>
        </w:rPr>
        <w:t xml:space="preserve"> משמע דהמערער טוען שהיה גם עובר דרך הבית החיצון, וגם היה משתמש בו, אך כתבו </w:t>
      </w:r>
      <w:r w:rsidRPr="00694E99">
        <w:rPr>
          <w:rStyle w:val="af9"/>
          <w:rFonts w:hint="cs"/>
          <w:rtl/>
        </w:rPr>
        <w:t>הב"ח</w:t>
      </w:r>
      <w:r>
        <w:rPr>
          <w:rFonts w:hint="cs"/>
          <w:rtl/>
        </w:rPr>
        <w:t xml:space="preserve"> </w:t>
      </w:r>
      <w:r>
        <w:rPr>
          <w:rStyle w:val="af9"/>
          <w:rFonts w:hint="cs"/>
          <w:rtl/>
        </w:rPr>
        <w:t>ו</w:t>
      </w:r>
      <w:r w:rsidRPr="004F1B17">
        <w:rPr>
          <w:rStyle w:val="af9"/>
          <w:rFonts w:hint="cs"/>
          <w:rtl/>
        </w:rPr>
        <w:t>הסמ"ע</w:t>
      </w:r>
      <w:r>
        <w:rPr>
          <w:rFonts w:hint="cs"/>
          <w:rtl/>
        </w:rPr>
        <w:t xml:space="preserve"> דמדברי </w:t>
      </w:r>
      <w:r w:rsidRPr="00275129">
        <w:rPr>
          <w:rStyle w:val="af9"/>
          <w:rFonts w:hint="cs"/>
          <w:rtl/>
        </w:rPr>
        <w:t>הרא"ש</w:t>
      </w:r>
      <w:r>
        <w:rPr>
          <w:rFonts w:hint="cs"/>
          <w:rtl/>
        </w:rPr>
        <w:t xml:space="preserve"> </w:t>
      </w:r>
      <w:r w:rsidRPr="00505B8C">
        <w:rPr>
          <w:rStyle w:val="af7"/>
          <w:rFonts w:eastAsia="Guttman Hodes" w:hint="cs"/>
          <w:rtl/>
        </w:rPr>
        <w:t>(</w:t>
      </w:r>
      <w:r>
        <w:rPr>
          <w:rStyle w:val="af7"/>
          <w:rFonts w:eastAsia="Guttman Hodes" w:hint="cs"/>
          <w:rtl/>
        </w:rPr>
        <w:t xml:space="preserve">ריש </w:t>
      </w:r>
      <w:r w:rsidRPr="00505B8C">
        <w:rPr>
          <w:rStyle w:val="af7"/>
          <w:rFonts w:eastAsia="Guttman Hodes" w:hint="cs"/>
          <w:rtl/>
        </w:rPr>
        <w:t>סי' ד' ה')</w:t>
      </w:r>
      <w:r w:rsidR="00A77F33">
        <w:rPr>
          <w:rFonts w:hint="cs"/>
          <w:rtl/>
        </w:rPr>
        <w:t xml:space="preserve"> </w:t>
      </w:r>
      <w:r w:rsidRPr="00207695">
        <w:rPr>
          <w:rStyle w:val="af9"/>
          <w:rFonts w:hint="cs"/>
          <w:rtl/>
        </w:rPr>
        <w:t>והנימוק"י</w:t>
      </w:r>
      <w:r>
        <w:rPr>
          <w:rFonts w:hint="cs"/>
          <w:rtl/>
        </w:rPr>
        <w:t xml:space="preserve"> </w:t>
      </w:r>
      <w:r w:rsidRPr="003A1B22">
        <w:rPr>
          <w:rStyle w:val="af7"/>
          <w:rFonts w:eastAsia="Guttman Hodes" w:hint="cs"/>
          <w:rtl/>
        </w:rPr>
        <w:t xml:space="preserve">(עי' אות </w:t>
      </w:r>
      <w:r w:rsidRPr="003A1B22">
        <w:rPr>
          <w:rStyle w:val="af7"/>
          <w:rFonts w:eastAsia="Guttman Hodes"/>
          <w:rtl/>
        </w:rPr>
        <w:fldChar w:fldCharType="begin"/>
      </w:r>
      <w:r w:rsidRPr="003A1B22">
        <w:rPr>
          <w:rStyle w:val="af7"/>
          <w:rFonts w:eastAsia="Guttman Hodes"/>
          <w:rtl/>
        </w:rPr>
        <w:instrText xml:space="preserve"> </w:instrText>
      </w:r>
      <w:r w:rsidRPr="003A1B22">
        <w:rPr>
          <w:rStyle w:val="af7"/>
          <w:rFonts w:eastAsia="Guttman Hodes" w:hint="cs"/>
        </w:rPr>
        <w:instrText>REF</w:instrText>
      </w:r>
      <w:r w:rsidRPr="003A1B22">
        <w:rPr>
          <w:rStyle w:val="af7"/>
          <w:rFonts w:eastAsia="Guttman Hodes" w:hint="cs"/>
          <w:rtl/>
        </w:rPr>
        <w:instrText xml:space="preserve"> _</w:instrText>
      </w:r>
      <w:r w:rsidRPr="003A1B22">
        <w:rPr>
          <w:rStyle w:val="af7"/>
          <w:rFonts w:eastAsia="Guttman Hodes" w:hint="cs"/>
        </w:rPr>
        <w:instrText>Ref57061001 \r \h</w:instrText>
      </w:r>
      <w:r w:rsidRPr="003A1B22">
        <w:rPr>
          <w:rStyle w:val="af7"/>
          <w:rFonts w:eastAsia="Guttman Hodes"/>
          <w:rtl/>
        </w:rPr>
        <w:instrText xml:space="preserve"> </w:instrText>
      </w:r>
      <w:r w:rsidRPr="003A1B22">
        <w:rPr>
          <w:rStyle w:val="af7"/>
          <w:rFonts w:eastAsia="Guttman Hodes"/>
          <w:rtl/>
        </w:rPr>
      </w:r>
      <w:r w:rsidRPr="003A1B22">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3A1B22">
        <w:rPr>
          <w:rStyle w:val="af7"/>
          <w:rFonts w:eastAsia="Guttman Hodes"/>
          <w:rtl/>
        </w:rPr>
        <w:fldChar w:fldCharType="end"/>
      </w:r>
      <w:r>
        <w:rPr>
          <w:rFonts w:hint="cs"/>
          <w:rtl/>
        </w:rPr>
        <w:t xml:space="preserve"> </w:t>
      </w:r>
      <w:r w:rsidRPr="00207695">
        <w:rPr>
          <w:rStyle w:val="af9"/>
          <w:rFonts w:hint="cs"/>
          <w:rtl/>
        </w:rPr>
        <w:t>והטור</w:t>
      </w:r>
      <w:r>
        <w:rPr>
          <w:rFonts w:hint="cs"/>
          <w:rtl/>
        </w:rPr>
        <w:t xml:space="preserve"> </w:t>
      </w:r>
      <w:r w:rsidRPr="003A1B22">
        <w:rPr>
          <w:rStyle w:val="af7"/>
          <w:rFonts w:eastAsia="Guttman Hodes" w:hint="cs"/>
          <w:rtl/>
        </w:rPr>
        <w:t>(סי' ק"מ י"ז)</w:t>
      </w:r>
      <w:r>
        <w:rPr>
          <w:rFonts w:hint="cs"/>
          <w:rtl/>
        </w:rPr>
        <w:t xml:space="preserve"> </w:t>
      </w:r>
      <w:r w:rsidRPr="00207695">
        <w:rPr>
          <w:rStyle w:val="af9"/>
          <w:rFonts w:hint="cs"/>
          <w:rtl/>
        </w:rPr>
        <w:t>והדרכ"מ</w:t>
      </w:r>
      <w:r>
        <w:rPr>
          <w:rFonts w:hint="cs"/>
          <w:rtl/>
        </w:rPr>
        <w:t xml:space="preserve"> </w:t>
      </w:r>
      <w:r w:rsidRPr="003A1B22">
        <w:rPr>
          <w:rStyle w:val="af7"/>
          <w:rFonts w:eastAsia="Guttman Hodes" w:hint="cs"/>
          <w:rtl/>
        </w:rPr>
        <w:t>(סי' ק"מ ט')</w:t>
      </w:r>
      <w:r>
        <w:rPr>
          <w:rFonts w:hint="cs"/>
          <w:rtl/>
        </w:rPr>
        <w:t xml:space="preserve"> משמע דביארו בדעת </w:t>
      </w:r>
      <w:r w:rsidRPr="00207695">
        <w:rPr>
          <w:rStyle w:val="af9"/>
          <w:rFonts w:hint="cs"/>
          <w:rtl/>
        </w:rPr>
        <w:t>הרשב"ם</w:t>
      </w:r>
      <w:r>
        <w:rPr>
          <w:rFonts w:hint="cs"/>
          <w:rtl/>
        </w:rPr>
        <w:t xml:space="preserve"> דמה שהמערער היה עובר דרך הבית החיצון נחשב כשימוש.</w:t>
      </w:r>
    </w:p>
    <w:p w:rsidR="0019070E" w:rsidRDefault="0019070E" w:rsidP="0019070E">
      <w:pPr>
        <w:pStyle w:val="1"/>
        <w:rPr>
          <w:rtl/>
        </w:rPr>
      </w:pPr>
      <w:bookmarkStart w:id="6577" w:name="_Toc57234539"/>
      <w:bookmarkStart w:id="6578" w:name="_Toc57236124"/>
      <w:bookmarkStart w:id="6579" w:name="_Toc57310438"/>
      <w:bookmarkStart w:id="6580" w:name="_Toc57322990"/>
      <w:bookmarkStart w:id="6581" w:name="_Toc57323099"/>
      <w:bookmarkStart w:id="6582" w:name="_Toc57370324"/>
      <w:bookmarkStart w:id="6583" w:name="_Toc57491493"/>
      <w:bookmarkStart w:id="6584" w:name="_Toc57495304"/>
      <w:bookmarkStart w:id="6585" w:name="_Toc57544446"/>
      <w:bookmarkStart w:id="6586" w:name="_Toc58184950"/>
      <w:r>
        <w:rPr>
          <w:rFonts w:hint="cs"/>
          <w:rtl/>
        </w:rPr>
        <w:t>ביאור הב"ח בתשו' ברשב"ם ובקושיות הרמב"ן על הרשב"ם</w:t>
      </w:r>
      <w:bookmarkEnd w:id="6502"/>
      <w:bookmarkEnd w:id="6577"/>
      <w:bookmarkEnd w:id="6578"/>
      <w:bookmarkEnd w:id="6579"/>
      <w:bookmarkEnd w:id="6580"/>
      <w:bookmarkEnd w:id="6581"/>
      <w:bookmarkEnd w:id="6582"/>
      <w:bookmarkEnd w:id="6583"/>
      <w:bookmarkEnd w:id="6584"/>
      <w:bookmarkEnd w:id="6585"/>
      <w:bookmarkEnd w:id="6586"/>
    </w:p>
    <w:p w:rsidR="0019070E" w:rsidRDefault="0019070E" w:rsidP="0019070E">
      <w:pPr>
        <w:pStyle w:val="a3"/>
        <w:rPr>
          <w:rtl/>
        </w:rPr>
      </w:pPr>
      <w:bookmarkStart w:id="6587" w:name="_Toc57234540"/>
      <w:bookmarkStart w:id="6588" w:name="_Toc57236125"/>
      <w:bookmarkStart w:id="6589" w:name="_Toc57310439"/>
      <w:bookmarkStart w:id="6590" w:name="_Toc57322991"/>
      <w:bookmarkStart w:id="6591" w:name="_Toc57323100"/>
      <w:bookmarkStart w:id="6592" w:name="_Toc57370325"/>
      <w:bookmarkStart w:id="6593" w:name="_Toc57491494"/>
      <w:bookmarkStart w:id="6594" w:name="_Toc57495305"/>
      <w:bookmarkStart w:id="6595" w:name="_Toc57544447"/>
      <w:bookmarkStart w:id="6596" w:name="_Toc58184951"/>
      <w:r>
        <w:rPr>
          <w:rFonts w:hint="cs"/>
          <w:rtl/>
        </w:rPr>
        <w:t>ביאור הב"ח בנימוק"י דפשיטא דהעברת דרך אינה מבטלת חזקה ודלא כקו' הב' ברמב"ן</w:t>
      </w:r>
      <w:bookmarkEnd w:id="6587"/>
      <w:bookmarkEnd w:id="6588"/>
      <w:bookmarkEnd w:id="6589"/>
      <w:bookmarkEnd w:id="6590"/>
      <w:bookmarkEnd w:id="6591"/>
      <w:bookmarkEnd w:id="6592"/>
      <w:bookmarkEnd w:id="6593"/>
      <w:bookmarkEnd w:id="6594"/>
      <w:bookmarkEnd w:id="6595"/>
      <w:bookmarkEnd w:id="6596"/>
    </w:p>
    <w:p w:rsidR="0019070E" w:rsidRPr="00202838" w:rsidRDefault="0019070E" w:rsidP="007E4E81">
      <w:pPr>
        <w:pStyle w:val="a0"/>
        <w:rPr>
          <w:rtl/>
        </w:rPr>
      </w:pPr>
      <w:bookmarkStart w:id="6597" w:name="_Ref57060976"/>
      <w:r w:rsidRPr="00202838">
        <w:rPr>
          <w:rFonts w:hint="cs"/>
          <w:rtl/>
        </w:rPr>
        <w:t xml:space="preserve">במה שהקשה </w:t>
      </w:r>
      <w:r w:rsidRPr="00202838">
        <w:rPr>
          <w:rStyle w:val="af9"/>
          <w:rFonts w:hint="cs"/>
          <w:rtl/>
        </w:rPr>
        <w:t>הנימוק"י</w:t>
      </w:r>
      <w:r w:rsidRPr="00202838">
        <w:rPr>
          <w:rFonts w:hint="cs"/>
          <w:rtl/>
        </w:rPr>
        <w:t xml:space="preserve"> </w:t>
      </w:r>
      <w:r w:rsidRPr="00202838">
        <w:rPr>
          <w:rStyle w:val="af7"/>
          <w:rFonts w:eastAsia="Guttman Hodes" w:hint="cs"/>
          <w:rtl/>
        </w:rPr>
        <w:t xml:space="preserve">(עי' אות </w:t>
      </w:r>
      <w:r w:rsidRPr="00202838">
        <w:rPr>
          <w:rStyle w:val="af7"/>
          <w:rFonts w:eastAsia="Guttman Hodes"/>
          <w:rtl/>
        </w:rPr>
        <w:fldChar w:fldCharType="begin"/>
      </w:r>
      <w:r w:rsidRPr="00202838">
        <w:rPr>
          <w:rStyle w:val="af7"/>
          <w:rFonts w:eastAsia="Guttman Hodes"/>
          <w:rtl/>
        </w:rPr>
        <w:instrText xml:space="preserve"> </w:instrText>
      </w:r>
      <w:r w:rsidRPr="00202838">
        <w:rPr>
          <w:rStyle w:val="af7"/>
          <w:rFonts w:eastAsia="Guttman Hodes" w:hint="cs"/>
        </w:rPr>
        <w:instrText>REF</w:instrText>
      </w:r>
      <w:r w:rsidRPr="00202838">
        <w:rPr>
          <w:rStyle w:val="af7"/>
          <w:rFonts w:eastAsia="Guttman Hodes" w:hint="cs"/>
          <w:rtl/>
        </w:rPr>
        <w:instrText xml:space="preserve"> _</w:instrText>
      </w:r>
      <w:r w:rsidRPr="00202838">
        <w:rPr>
          <w:rStyle w:val="af7"/>
          <w:rFonts w:eastAsia="Guttman Hodes" w:hint="cs"/>
        </w:rPr>
        <w:instrText>Ref57061001 \r \h</w:instrText>
      </w:r>
      <w:r w:rsidRPr="002028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02838">
        <w:rPr>
          <w:rStyle w:val="af7"/>
          <w:rFonts w:eastAsia="Guttman Hodes"/>
          <w:rtl/>
        </w:rPr>
      </w:r>
      <w:r w:rsidRPr="00202838">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202838">
        <w:rPr>
          <w:rStyle w:val="af7"/>
          <w:rFonts w:eastAsia="Guttman Hodes"/>
          <w:rtl/>
        </w:rPr>
        <w:fldChar w:fldCharType="end"/>
      </w:r>
      <w:r w:rsidRPr="00202838">
        <w:rPr>
          <w:rFonts w:hint="cs"/>
          <w:rtl/>
        </w:rPr>
        <w:t xml:space="preserve"> על </w:t>
      </w:r>
      <w:r w:rsidRPr="00202838">
        <w:rPr>
          <w:rStyle w:val="af9"/>
          <w:rFonts w:hint="cs"/>
          <w:rtl/>
        </w:rPr>
        <w:t>הרשב"ם</w:t>
      </w:r>
      <w:r w:rsidRPr="00202838">
        <w:rPr>
          <w:rFonts w:hint="cs"/>
          <w:rtl/>
        </w:rPr>
        <w:t xml:space="preserve"> דכיון שהמחזיק היה מתגורר בפנ"ע דהוי חזקה, אף ששייר דרך לעצמו, כתב</w:t>
      </w:r>
      <w:r w:rsidRPr="00202838">
        <w:rPr>
          <w:rStyle w:val="af9"/>
          <w:rFonts w:hint="cs"/>
          <w:rtl/>
        </w:rPr>
        <w:t xml:space="preserve"> הב"ח בתשו'</w:t>
      </w:r>
      <w:r w:rsidRPr="00202838">
        <w:rPr>
          <w:rStyle w:val="af7"/>
          <w:rFonts w:eastAsia="Guttman Hodes" w:hint="cs"/>
          <w:rtl/>
        </w:rPr>
        <w:t xml:space="preserve"> (ישנות סי' ז' ד"ה תשובה)</w:t>
      </w:r>
      <w:r w:rsidRPr="00202838">
        <w:rPr>
          <w:rFonts w:hint="cs"/>
          <w:rtl/>
        </w:rPr>
        <w:t xml:space="preserve"> דמשמע </w:t>
      </w:r>
      <w:r w:rsidRPr="00202838">
        <w:rPr>
          <w:rStyle w:val="af9"/>
          <w:rFonts w:hint="cs"/>
          <w:rtl/>
        </w:rPr>
        <w:t>בנימוק"י</w:t>
      </w:r>
      <w:r w:rsidRPr="00202838">
        <w:rPr>
          <w:rFonts w:hint="cs"/>
          <w:rtl/>
        </w:rPr>
        <w:t xml:space="preserve"> דהוקשה לו רק הקושיה הראשונה </w:t>
      </w:r>
      <w:r w:rsidRPr="00202838">
        <w:rPr>
          <w:rStyle w:val="af9"/>
          <w:rFonts w:hint="cs"/>
          <w:rtl/>
        </w:rPr>
        <w:t>ברמב"ן</w:t>
      </w:r>
      <w:r w:rsidRPr="00202838">
        <w:rPr>
          <w:rFonts w:hint="cs"/>
          <w:rtl/>
        </w:rPr>
        <w:t xml:space="preserve"> </w:t>
      </w:r>
      <w:r w:rsidRPr="00202838">
        <w:rPr>
          <w:rStyle w:val="af7"/>
          <w:rFonts w:eastAsia="Guttman Hodes" w:hint="cs"/>
          <w:rtl/>
        </w:rPr>
        <w:t xml:space="preserve">(עי' אות </w:t>
      </w:r>
      <w:r w:rsidRPr="00202838">
        <w:rPr>
          <w:rStyle w:val="af7"/>
          <w:rFonts w:eastAsia="Guttman Hodes"/>
          <w:rtl/>
        </w:rPr>
        <w:fldChar w:fldCharType="begin"/>
      </w:r>
      <w:r w:rsidRPr="00202838">
        <w:rPr>
          <w:rStyle w:val="af7"/>
          <w:rFonts w:eastAsia="Guttman Hodes"/>
          <w:rtl/>
        </w:rPr>
        <w:instrText xml:space="preserve"> </w:instrText>
      </w:r>
      <w:r w:rsidRPr="00202838">
        <w:rPr>
          <w:rStyle w:val="af7"/>
          <w:rFonts w:eastAsia="Guttman Hodes" w:hint="cs"/>
        </w:rPr>
        <w:instrText>REF</w:instrText>
      </w:r>
      <w:r w:rsidRPr="00202838">
        <w:rPr>
          <w:rStyle w:val="af7"/>
          <w:rFonts w:eastAsia="Guttman Hodes" w:hint="cs"/>
          <w:rtl/>
        </w:rPr>
        <w:instrText xml:space="preserve"> _</w:instrText>
      </w:r>
      <w:r w:rsidRPr="00202838">
        <w:rPr>
          <w:rStyle w:val="af7"/>
          <w:rFonts w:eastAsia="Guttman Hodes" w:hint="cs"/>
        </w:rPr>
        <w:instrText>Ref57051203 \r \h</w:instrText>
      </w:r>
      <w:r w:rsidRPr="002028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02838">
        <w:rPr>
          <w:rStyle w:val="af7"/>
          <w:rFonts w:eastAsia="Guttman Hodes"/>
          <w:rtl/>
        </w:rPr>
      </w:r>
      <w:r w:rsidRPr="00202838">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202838">
        <w:rPr>
          <w:rStyle w:val="af7"/>
          <w:rFonts w:eastAsia="Guttman Hodes"/>
          <w:rtl/>
        </w:rPr>
        <w:fldChar w:fldCharType="end"/>
      </w:r>
      <w:r w:rsidRPr="00202838">
        <w:rPr>
          <w:rFonts w:hint="cs"/>
          <w:rtl/>
        </w:rPr>
        <w:t xml:space="preserve"> אך לא הוקשה לו הקושיה השניה </w:t>
      </w:r>
      <w:r w:rsidRPr="00202838">
        <w:rPr>
          <w:rStyle w:val="af9"/>
          <w:rFonts w:hint="cs"/>
          <w:rtl/>
        </w:rPr>
        <w:t>ברמב"ן</w:t>
      </w:r>
      <w:r w:rsidRPr="00202838">
        <w:rPr>
          <w:rFonts w:hint="cs"/>
          <w:rtl/>
        </w:rPr>
        <w:t xml:space="preserve"> </w:t>
      </w:r>
      <w:r w:rsidRPr="00202838">
        <w:rPr>
          <w:rStyle w:val="af7"/>
          <w:rFonts w:eastAsia="Guttman Hodes" w:hint="cs"/>
          <w:rtl/>
        </w:rPr>
        <w:t xml:space="preserve">(עי' אות </w:t>
      </w:r>
      <w:r w:rsidRPr="00202838">
        <w:rPr>
          <w:rStyle w:val="af7"/>
          <w:rFonts w:eastAsia="Guttman Hodes"/>
          <w:rtl/>
        </w:rPr>
        <w:fldChar w:fldCharType="begin"/>
      </w:r>
      <w:r w:rsidRPr="00202838">
        <w:rPr>
          <w:rStyle w:val="af7"/>
          <w:rFonts w:eastAsia="Guttman Hodes"/>
          <w:rtl/>
        </w:rPr>
        <w:instrText xml:space="preserve"> </w:instrText>
      </w:r>
      <w:r w:rsidRPr="00202838">
        <w:rPr>
          <w:rStyle w:val="af7"/>
          <w:rFonts w:eastAsia="Guttman Hodes" w:hint="cs"/>
        </w:rPr>
        <w:instrText>REF</w:instrText>
      </w:r>
      <w:r w:rsidRPr="00202838">
        <w:rPr>
          <w:rStyle w:val="af7"/>
          <w:rFonts w:eastAsia="Guttman Hodes" w:hint="cs"/>
          <w:rtl/>
        </w:rPr>
        <w:instrText xml:space="preserve"> _</w:instrText>
      </w:r>
      <w:r w:rsidRPr="00202838">
        <w:rPr>
          <w:rStyle w:val="af7"/>
          <w:rFonts w:eastAsia="Guttman Hodes" w:hint="cs"/>
        </w:rPr>
        <w:instrText>Ref57051211 \r \h</w:instrText>
      </w:r>
      <w:r w:rsidRPr="002028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02838">
        <w:rPr>
          <w:rStyle w:val="af7"/>
          <w:rFonts w:eastAsia="Guttman Hodes"/>
          <w:rtl/>
        </w:rPr>
      </w:r>
      <w:r w:rsidRPr="00202838">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202838">
        <w:rPr>
          <w:rStyle w:val="af7"/>
          <w:rFonts w:eastAsia="Guttman Hodes"/>
          <w:rtl/>
        </w:rPr>
        <w:fldChar w:fldCharType="end"/>
      </w:r>
      <w:r w:rsidRPr="00202838">
        <w:rPr>
          <w:rFonts w:hint="cs"/>
          <w:rtl/>
        </w:rPr>
        <w:t xml:space="preserve"> דאמאי אמר רבא דעל המערער להביא ראיה, והרי כל שהמחזיק מתגורר בבית יחד עם הבעלים, לא הוי חזקה, וביאר </w:t>
      </w:r>
      <w:r w:rsidRPr="00202838">
        <w:rPr>
          <w:rStyle w:val="af9"/>
          <w:rFonts w:hint="cs"/>
          <w:rtl/>
        </w:rPr>
        <w:t>הב"ח</w:t>
      </w:r>
      <w:r w:rsidRPr="00202838">
        <w:rPr>
          <w:rFonts w:hint="cs"/>
          <w:rtl/>
        </w:rPr>
        <w:t xml:space="preserve"> </w:t>
      </w:r>
      <w:r>
        <w:rPr>
          <w:rFonts w:hint="cs"/>
          <w:rtl/>
        </w:rPr>
        <w:t xml:space="preserve">דהבין </w:t>
      </w:r>
      <w:r w:rsidRPr="00202838">
        <w:rPr>
          <w:rStyle w:val="af9"/>
          <w:rFonts w:hint="cs"/>
          <w:rtl/>
        </w:rPr>
        <w:t>הנימוק"י</w:t>
      </w:r>
      <w:r w:rsidRPr="00202838">
        <w:rPr>
          <w:rFonts w:hint="cs"/>
          <w:rtl/>
        </w:rPr>
        <w:t xml:space="preserve"> </w:t>
      </w:r>
      <w:r>
        <w:rPr>
          <w:rFonts w:hint="cs"/>
          <w:rtl/>
        </w:rPr>
        <w:t xml:space="preserve">דכוונת </w:t>
      </w:r>
      <w:r w:rsidRPr="00202838">
        <w:rPr>
          <w:rStyle w:val="af9"/>
          <w:rFonts w:hint="cs"/>
          <w:rtl/>
        </w:rPr>
        <w:t>הרשב"ם</w:t>
      </w:r>
      <w:r w:rsidRPr="00202838">
        <w:rPr>
          <w:rFonts w:hint="cs"/>
          <w:rtl/>
        </w:rPr>
        <w:t xml:space="preserve"> </w:t>
      </w:r>
      <w:r>
        <w:rPr>
          <w:rFonts w:hint="cs"/>
          <w:rtl/>
        </w:rPr>
        <w:t xml:space="preserve">לומר דרק עבר דרך עליו, ולא השתמש המערער בבית החיצון כלל, וא"כ א"א להקשות על רבא </w:t>
      </w:r>
      <w:r w:rsidRPr="00202838">
        <w:rPr>
          <w:rFonts w:hint="cs"/>
          <w:rtl/>
        </w:rPr>
        <w:t xml:space="preserve">אמאי ס"ל דחזקת המחזיק היא חזקה, דפשיטא ליה </w:t>
      </w:r>
      <w:r>
        <w:rPr>
          <w:rFonts w:hint="cs"/>
          <w:rtl/>
        </w:rPr>
        <w:t>דהעברת דרך</w:t>
      </w:r>
      <w:r w:rsidRPr="00202838">
        <w:rPr>
          <w:rFonts w:hint="cs"/>
          <w:rtl/>
        </w:rPr>
        <w:t xml:space="preserve"> לא נחשב שהוא מתגורר עמו, ועי' במ"ש </w:t>
      </w:r>
      <w:r w:rsidRPr="00202838">
        <w:rPr>
          <w:rStyle w:val="af9"/>
          <w:rFonts w:hint="cs"/>
          <w:rtl/>
        </w:rPr>
        <w:t>הקצוה"ח</w:t>
      </w:r>
      <w:r w:rsidRPr="00202838">
        <w:rPr>
          <w:rFonts w:hint="cs"/>
          <w:rtl/>
        </w:rPr>
        <w:t xml:space="preserve"> </w:t>
      </w:r>
      <w:r w:rsidRPr="00202838">
        <w:rPr>
          <w:rStyle w:val="af7"/>
          <w:rFonts w:eastAsia="Guttman Hodes" w:hint="cs"/>
          <w:rtl/>
        </w:rPr>
        <w:t xml:space="preserve">(עי' אות </w:t>
      </w:r>
      <w:r w:rsidRPr="00202838">
        <w:rPr>
          <w:rStyle w:val="af7"/>
          <w:rFonts w:eastAsia="Guttman Hodes"/>
          <w:rtl/>
        </w:rPr>
        <w:fldChar w:fldCharType="begin"/>
      </w:r>
      <w:r w:rsidRPr="00202838">
        <w:rPr>
          <w:rStyle w:val="af7"/>
          <w:rFonts w:eastAsia="Guttman Hodes"/>
          <w:rtl/>
        </w:rPr>
        <w:instrText xml:space="preserve"> </w:instrText>
      </w:r>
      <w:r w:rsidRPr="00202838">
        <w:rPr>
          <w:rStyle w:val="af7"/>
          <w:rFonts w:eastAsia="Guttman Hodes" w:hint="cs"/>
        </w:rPr>
        <w:instrText>REF</w:instrText>
      </w:r>
      <w:r w:rsidRPr="00202838">
        <w:rPr>
          <w:rStyle w:val="af7"/>
          <w:rFonts w:eastAsia="Guttman Hodes" w:hint="cs"/>
          <w:rtl/>
        </w:rPr>
        <w:instrText xml:space="preserve"> _</w:instrText>
      </w:r>
      <w:r w:rsidRPr="00202838">
        <w:rPr>
          <w:rStyle w:val="af7"/>
          <w:rFonts w:eastAsia="Guttman Hodes" w:hint="cs"/>
        </w:rPr>
        <w:instrText>Ref57223141 \r \h</w:instrText>
      </w:r>
      <w:r w:rsidRPr="002028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02838">
        <w:rPr>
          <w:rStyle w:val="af7"/>
          <w:rFonts w:eastAsia="Guttman Hodes"/>
          <w:rtl/>
        </w:rPr>
      </w:r>
      <w:r w:rsidRPr="00202838">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202838">
        <w:rPr>
          <w:rStyle w:val="af7"/>
          <w:rFonts w:eastAsia="Guttman Hodes"/>
          <w:rtl/>
        </w:rPr>
        <w:fldChar w:fldCharType="end"/>
      </w:r>
      <w:r w:rsidRPr="00202838">
        <w:rPr>
          <w:rFonts w:hint="cs"/>
          <w:rtl/>
        </w:rPr>
        <w:t>.</w:t>
      </w:r>
      <w:bookmarkEnd w:id="6597"/>
    </w:p>
    <w:p w:rsidR="0019070E" w:rsidRPr="0036219F" w:rsidRDefault="0019070E" w:rsidP="0019070E">
      <w:pPr>
        <w:pStyle w:val="a3"/>
        <w:rPr>
          <w:rtl/>
        </w:rPr>
      </w:pPr>
      <w:bookmarkStart w:id="6598" w:name="_Toc57234541"/>
      <w:bookmarkStart w:id="6599" w:name="_Toc57236126"/>
      <w:bookmarkStart w:id="6600" w:name="_Toc57310440"/>
      <w:bookmarkStart w:id="6601" w:name="_Toc57322992"/>
      <w:bookmarkStart w:id="6602" w:name="_Toc57323101"/>
      <w:bookmarkStart w:id="6603" w:name="_Toc57370326"/>
      <w:bookmarkStart w:id="6604" w:name="_Toc57491495"/>
      <w:bookmarkStart w:id="6605" w:name="_Toc57495306"/>
      <w:bookmarkStart w:id="6606" w:name="_Toc57544448"/>
      <w:bookmarkStart w:id="6607" w:name="_Toc58184952"/>
      <w:r>
        <w:rPr>
          <w:rFonts w:hint="cs"/>
          <w:rtl/>
        </w:rPr>
        <w:t>ביאור הב"ח דמספקא לרמב"ן אי כוונת הרשב"ם דעבר דרך או שגם השתמש בבית החיצון</w:t>
      </w:r>
      <w:bookmarkEnd w:id="6598"/>
      <w:bookmarkEnd w:id="6599"/>
      <w:bookmarkEnd w:id="6600"/>
      <w:bookmarkEnd w:id="6601"/>
      <w:bookmarkEnd w:id="6602"/>
      <w:bookmarkEnd w:id="6603"/>
      <w:bookmarkEnd w:id="6604"/>
      <w:bookmarkEnd w:id="6605"/>
      <w:bookmarkEnd w:id="6606"/>
      <w:bookmarkEnd w:id="6607"/>
    </w:p>
    <w:p w:rsidR="0019070E" w:rsidRDefault="0019070E" w:rsidP="007E4E81">
      <w:pPr>
        <w:pStyle w:val="a0"/>
        <w:rPr>
          <w:rtl/>
        </w:rPr>
      </w:pPr>
      <w:bookmarkStart w:id="6608" w:name="_Ref57051146"/>
      <w:r>
        <w:rPr>
          <w:rFonts w:hint="cs"/>
          <w:rtl/>
        </w:rPr>
        <w:t xml:space="preserve">ובדעת </w:t>
      </w:r>
      <w:r w:rsidRPr="002E7DDD">
        <w:rPr>
          <w:rStyle w:val="af9"/>
          <w:rFonts w:hint="cs"/>
          <w:rtl/>
        </w:rPr>
        <w:t>הרמב"ן</w:t>
      </w:r>
      <w:r>
        <w:rPr>
          <w:rFonts w:hint="cs"/>
          <w:rtl/>
        </w:rPr>
        <w:t xml:space="preserve"> ביאר </w:t>
      </w:r>
      <w:r w:rsidRPr="002E7DDD">
        <w:rPr>
          <w:rStyle w:val="af9"/>
          <w:rtl/>
        </w:rPr>
        <w:t>הב"ח בתשו'</w:t>
      </w:r>
      <w:r w:rsidRPr="00233B64">
        <w:rPr>
          <w:rtl/>
        </w:rPr>
        <w:t xml:space="preserve"> </w:t>
      </w:r>
      <w:r>
        <w:rPr>
          <w:rFonts w:hint="cs"/>
          <w:rtl/>
        </w:rPr>
        <w:t xml:space="preserve">דבדברי </w:t>
      </w:r>
      <w:r w:rsidRPr="002E7DDD">
        <w:rPr>
          <w:rStyle w:val="af9"/>
          <w:rFonts w:hint="cs"/>
          <w:rtl/>
        </w:rPr>
        <w:t>הרש</w:t>
      </w:r>
      <w:r w:rsidRPr="007044B5">
        <w:rPr>
          <w:rStyle w:val="af9"/>
          <w:rFonts w:hint="cs"/>
          <w:rtl/>
        </w:rPr>
        <w:t>ב"ם</w:t>
      </w:r>
      <w:r>
        <w:rPr>
          <w:rFonts w:hint="cs"/>
          <w:rtl/>
        </w:rPr>
        <w:t xml:space="preserve"> </w:t>
      </w:r>
      <w:r w:rsidRPr="008F3C10">
        <w:rPr>
          <w:rStyle w:val="af7"/>
          <w:rFonts w:eastAsia="Guttman Hodes" w:hint="cs"/>
          <w:rtl/>
        </w:rPr>
        <w:t xml:space="preserve">(עי' אות </w:t>
      </w:r>
      <w:r w:rsidRPr="008F3C10">
        <w:rPr>
          <w:rStyle w:val="af7"/>
          <w:rFonts w:eastAsia="Guttman Hodes"/>
          <w:rtl/>
        </w:rPr>
        <w:fldChar w:fldCharType="begin"/>
      </w:r>
      <w:r w:rsidRPr="008F3C10">
        <w:rPr>
          <w:rStyle w:val="af7"/>
          <w:rFonts w:eastAsia="Guttman Hodes"/>
          <w:rtl/>
        </w:rPr>
        <w:instrText xml:space="preserve"> </w:instrText>
      </w:r>
      <w:r w:rsidRPr="008F3C10">
        <w:rPr>
          <w:rStyle w:val="af7"/>
          <w:rFonts w:eastAsia="Guttman Hodes" w:hint="cs"/>
        </w:rPr>
        <w:instrText>REF</w:instrText>
      </w:r>
      <w:r w:rsidRPr="008F3C10">
        <w:rPr>
          <w:rStyle w:val="af7"/>
          <w:rFonts w:eastAsia="Guttman Hodes" w:hint="cs"/>
          <w:rtl/>
        </w:rPr>
        <w:instrText xml:space="preserve"> _</w:instrText>
      </w:r>
      <w:r w:rsidRPr="008F3C10">
        <w:rPr>
          <w:rStyle w:val="af7"/>
          <w:rFonts w:eastAsia="Guttman Hodes" w:hint="cs"/>
        </w:rPr>
        <w:instrText>Ref56936382 \r \h</w:instrText>
      </w:r>
      <w:r w:rsidRPr="008F3C10">
        <w:rPr>
          <w:rStyle w:val="af7"/>
          <w:rFonts w:eastAsia="Guttman Hodes"/>
          <w:rtl/>
        </w:rPr>
        <w:instrText xml:space="preserve"> </w:instrText>
      </w:r>
      <w:r w:rsidRPr="008F3C10">
        <w:rPr>
          <w:rStyle w:val="af7"/>
          <w:rFonts w:eastAsia="Guttman Hodes"/>
          <w:rtl/>
        </w:rPr>
      </w:r>
      <w:r w:rsidRPr="008F3C10">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8F3C10">
        <w:rPr>
          <w:rStyle w:val="af7"/>
          <w:rFonts w:eastAsia="Guttman Hodes"/>
          <w:rtl/>
        </w:rPr>
        <w:fldChar w:fldCharType="end"/>
      </w:r>
      <w:r>
        <w:rPr>
          <w:rFonts w:hint="cs"/>
          <w:rtl/>
        </w:rPr>
        <w:t xml:space="preserve"> דטענת המערער שהוא היה עובר דרך הבית החיצון ומשתמש עמו, הבין </w:t>
      </w:r>
      <w:r w:rsidRPr="002E7DDD">
        <w:rPr>
          <w:rStyle w:val="af9"/>
          <w:rFonts w:hint="cs"/>
          <w:rtl/>
        </w:rPr>
        <w:t>הרמב"ן</w:t>
      </w:r>
      <w:r>
        <w:rPr>
          <w:rFonts w:hint="cs"/>
          <w:rtl/>
        </w:rPr>
        <w:t xml:space="preserve"> דאפשר לבאר את דברי </w:t>
      </w:r>
      <w:r w:rsidRPr="002E7DDD">
        <w:rPr>
          <w:rStyle w:val="af9"/>
          <w:rFonts w:hint="cs"/>
          <w:rtl/>
        </w:rPr>
        <w:t>הרשב"ם</w:t>
      </w:r>
      <w:r>
        <w:rPr>
          <w:rFonts w:hint="cs"/>
          <w:rtl/>
        </w:rPr>
        <w:t xml:space="preserve"> בב' אופנים, </w:t>
      </w:r>
      <w:r w:rsidRPr="002E7DDD">
        <w:rPr>
          <w:rStyle w:val="af9"/>
          <w:rFonts w:hint="cs"/>
          <w:rtl/>
        </w:rPr>
        <w:t>והביאור הא' ברשב"ם</w:t>
      </w:r>
      <w:r>
        <w:rPr>
          <w:rFonts w:hint="cs"/>
          <w:rtl/>
        </w:rPr>
        <w:t xml:space="preserve"> דמה שהוא עובר דרכו חשיב שמשתמש בבית החיצון, </w:t>
      </w:r>
      <w:r w:rsidRPr="002E7DDD">
        <w:rPr>
          <w:rStyle w:val="af9"/>
          <w:rFonts w:hint="cs"/>
          <w:rtl/>
        </w:rPr>
        <w:t>והביאור הב' ברשב"ם</w:t>
      </w:r>
      <w:r>
        <w:rPr>
          <w:rFonts w:hint="cs"/>
          <w:rtl/>
        </w:rPr>
        <w:t xml:space="preserve"> דטוען המערער מלבד מה שהיה עובר דרכו, גם היה משתמש עמו בבית החיצון, דהיה מניח בו כלים ומשתמש בו בשאר תשמישים, ועי' במה שביאר </w:t>
      </w:r>
      <w:r w:rsidRPr="00771FC7">
        <w:rPr>
          <w:rStyle w:val="af9"/>
          <w:rFonts w:hint="cs"/>
          <w:rtl/>
        </w:rPr>
        <w:t>החת"ס</w:t>
      </w:r>
      <w:r>
        <w:rPr>
          <w:rFonts w:hint="cs"/>
          <w:rtl/>
        </w:rPr>
        <w:t xml:space="preserve"> </w:t>
      </w:r>
      <w:r w:rsidRPr="00C76523">
        <w:rPr>
          <w:rStyle w:val="af7"/>
          <w:rFonts w:eastAsia="Guttman Hodes" w:hint="cs"/>
          <w:rtl/>
        </w:rPr>
        <w:t xml:space="preserve">(עי' אות </w:t>
      </w:r>
      <w:r w:rsidRPr="00C76523">
        <w:rPr>
          <w:rStyle w:val="af7"/>
          <w:rFonts w:eastAsia="Guttman Hodes"/>
          <w:rtl/>
        </w:rPr>
        <w:fldChar w:fldCharType="begin"/>
      </w:r>
      <w:r w:rsidRPr="00C76523">
        <w:rPr>
          <w:rStyle w:val="af7"/>
          <w:rFonts w:eastAsia="Guttman Hodes"/>
          <w:rtl/>
        </w:rPr>
        <w:instrText xml:space="preserve"> </w:instrText>
      </w:r>
      <w:r w:rsidRPr="00C76523">
        <w:rPr>
          <w:rStyle w:val="af7"/>
          <w:rFonts w:eastAsia="Guttman Hodes" w:hint="cs"/>
        </w:rPr>
        <w:instrText>REF</w:instrText>
      </w:r>
      <w:r w:rsidRPr="00C76523">
        <w:rPr>
          <w:rStyle w:val="af7"/>
          <w:rFonts w:eastAsia="Guttman Hodes" w:hint="cs"/>
          <w:rtl/>
        </w:rPr>
        <w:instrText xml:space="preserve"> _</w:instrText>
      </w:r>
      <w:r w:rsidRPr="00C76523">
        <w:rPr>
          <w:rStyle w:val="af7"/>
          <w:rFonts w:eastAsia="Guttman Hodes" w:hint="cs"/>
        </w:rPr>
        <w:instrText>Ref59046262 \r \h</w:instrText>
      </w:r>
      <w:r w:rsidRPr="00C76523">
        <w:rPr>
          <w:rStyle w:val="af7"/>
          <w:rFonts w:eastAsia="Guttman Hodes"/>
          <w:rtl/>
        </w:rPr>
        <w:instrText xml:space="preserve"> </w:instrText>
      </w:r>
      <w:r w:rsidRPr="00C76523">
        <w:rPr>
          <w:rStyle w:val="af7"/>
          <w:rFonts w:eastAsia="Guttman Hodes"/>
          <w:rtl/>
        </w:rPr>
      </w:r>
      <w:r w:rsidRPr="00C76523">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C76523">
        <w:rPr>
          <w:rStyle w:val="af7"/>
          <w:rFonts w:eastAsia="Guttman Hodes"/>
          <w:rtl/>
        </w:rPr>
        <w:fldChar w:fldCharType="end"/>
      </w:r>
      <w:r>
        <w:rPr>
          <w:rFonts w:hint="cs"/>
          <w:rtl/>
        </w:rPr>
        <w:t xml:space="preserve"> את דברי </w:t>
      </w:r>
      <w:r w:rsidRPr="00C76523">
        <w:rPr>
          <w:rStyle w:val="af9"/>
          <w:rFonts w:hint="cs"/>
          <w:rtl/>
        </w:rPr>
        <w:t>הב"ח</w:t>
      </w:r>
      <w:r>
        <w:rPr>
          <w:rFonts w:hint="cs"/>
          <w:rtl/>
        </w:rPr>
        <w:t>.</w:t>
      </w:r>
      <w:bookmarkEnd w:id="6608"/>
    </w:p>
    <w:p w:rsidR="0019070E" w:rsidRDefault="0019070E" w:rsidP="0019070E">
      <w:pPr>
        <w:pStyle w:val="a3"/>
        <w:rPr>
          <w:rtl/>
        </w:rPr>
      </w:pPr>
      <w:bookmarkStart w:id="6609" w:name="_Toc57234542"/>
      <w:bookmarkStart w:id="6610" w:name="_Toc57236127"/>
      <w:bookmarkStart w:id="6611" w:name="_Toc57310441"/>
      <w:bookmarkStart w:id="6612" w:name="_Toc57322993"/>
      <w:bookmarkStart w:id="6613" w:name="_Toc57323102"/>
      <w:bookmarkStart w:id="6614" w:name="_Toc57370327"/>
      <w:bookmarkStart w:id="6615" w:name="_Toc57491496"/>
      <w:bookmarkStart w:id="6616" w:name="_Toc57495307"/>
      <w:bookmarkStart w:id="6617" w:name="_Toc57544449"/>
      <w:bookmarkStart w:id="6618" w:name="_Toc58184953"/>
      <w:r>
        <w:rPr>
          <w:rFonts w:hint="cs"/>
          <w:rtl/>
        </w:rPr>
        <w:t>ביאור הב"ח דהקו' הא' ברמב"ן להצד ברשב"ם דדרך מבטלת והקו' הב' להצד דשימוש מבטל</w:t>
      </w:r>
      <w:bookmarkEnd w:id="6609"/>
      <w:bookmarkEnd w:id="6610"/>
      <w:bookmarkEnd w:id="6611"/>
      <w:bookmarkEnd w:id="6612"/>
      <w:bookmarkEnd w:id="6613"/>
      <w:bookmarkEnd w:id="6614"/>
      <w:bookmarkEnd w:id="6615"/>
      <w:bookmarkEnd w:id="6616"/>
      <w:bookmarkEnd w:id="6617"/>
      <w:bookmarkEnd w:id="6618"/>
    </w:p>
    <w:p w:rsidR="0019070E" w:rsidRDefault="0019070E" w:rsidP="007E4E81">
      <w:pPr>
        <w:pStyle w:val="a0"/>
        <w:rPr>
          <w:rtl/>
        </w:rPr>
      </w:pPr>
      <w:bookmarkStart w:id="6619" w:name="_Ref57051178"/>
      <w:r>
        <w:rPr>
          <w:rFonts w:hint="cs"/>
          <w:rtl/>
        </w:rPr>
        <w:t xml:space="preserve">ובזה ביאר </w:t>
      </w:r>
      <w:r w:rsidRPr="002E7DDD">
        <w:rPr>
          <w:rStyle w:val="af9"/>
          <w:rFonts w:hint="cs"/>
          <w:rtl/>
        </w:rPr>
        <w:t>הב"ח בתשו'</w:t>
      </w:r>
      <w:r>
        <w:rPr>
          <w:rFonts w:hint="cs"/>
          <w:rtl/>
        </w:rPr>
        <w:t xml:space="preserve"> את ב' הקושיות דהקשה </w:t>
      </w:r>
      <w:r w:rsidRPr="002E7DDD">
        <w:rPr>
          <w:rStyle w:val="af9"/>
          <w:rFonts w:hint="cs"/>
          <w:rtl/>
        </w:rPr>
        <w:t>הרמב"ן</w:t>
      </w:r>
      <w:r w:rsidRPr="00B052D6">
        <w:rPr>
          <w:rFonts w:hint="cs"/>
          <w:rtl/>
        </w:rPr>
        <w:t xml:space="preserve"> </w:t>
      </w:r>
      <w:r>
        <w:rPr>
          <w:rFonts w:hint="cs"/>
          <w:rtl/>
        </w:rPr>
        <w:t xml:space="preserve">על </w:t>
      </w:r>
      <w:r w:rsidRPr="002E7DDD">
        <w:rPr>
          <w:rStyle w:val="af9"/>
          <w:rFonts w:hint="cs"/>
          <w:rtl/>
        </w:rPr>
        <w:t>הרשב"ם</w:t>
      </w:r>
      <w:r>
        <w:rPr>
          <w:rFonts w:hint="cs"/>
          <w:rtl/>
        </w:rPr>
        <w:t xml:space="preserve">, דהקושיה הראשונה שהקשה </w:t>
      </w:r>
      <w:r w:rsidRPr="002E7DDD">
        <w:rPr>
          <w:rStyle w:val="af9"/>
          <w:rFonts w:hint="cs"/>
          <w:rtl/>
        </w:rPr>
        <w:t>הרמב"ן</w:t>
      </w:r>
      <w:r w:rsidRPr="00A6075F">
        <w:rPr>
          <w:rStyle w:val="af7"/>
          <w:rFonts w:eastAsia="Guttman Hodes" w:hint="cs"/>
          <w:rtl/>
        </w:rPr>
        <w:t xml:space="preserve"> (עי' אות </w:t>
      </w:r>
      <w:r w:rsidRPr="00A6075F">
        <w:rPr>
          <w:rStyle w:val="af7"/>
          <w:rFonts w:eastAsia="Guttman Hodes"/>
          <w:rtl/>
        </w:rPr>
        <w:fldChar w:fldCharType="begin"/>
      </w:r>
      <w:r w:rsidRPr="00A6075F">
        <w:rPr>
          <w:rStyle w:val="af7"/>
          <w:rFonts w:eastAsia="Guttman Hodes"/>
          <w:rtl/>
        </w:rPr>
        <w:instrText xml:space="preserve"> </w:instrText>
      </w:r>
      <w:r w:rsidRPr="00A6075F">
        <w:rPr>
          <w:rStyle w:val="af7"/>
          <w:rFonts w:eastAsia="Guttman Hodes" w:hint="cs"/>
        </w:rPr>
        <w:instrText>REF</w:instrText>
      </w:r>
      <w:r w:rsidRPr="00A6075F">
        <w:rPr>
          <w:rStyle w:val="af7"/>
          <w:rFonts w:eastAsia="Guttman Hodes" w:hint="cs"/>
          <w:rtl/>
        </w:rPr>
        <w:instrText xml:space="preserve"> _</w:instrText>
      </w:r>
      <w:r w:rsidRPr="00A6075F">
        <w:rPr>
          <w:rStyle w:val="af7"/>
          <w:rFonts w:eastAsia="Guttman Hodes" w:hint="cs"/>
        </w:rPr>
        <w:instrText>Ref57051203 \r \h</w:instrText>
      </w:r>
      <w:r w:rsidRPr="00A6075F">
        <w:rPr>
          <w:rStyle w:val="af7"/>
          <w:rFonts w:eastAsia="Guttman Hodes"/>
          <w:rtl/>
        </w:rPr>
        <w:instrText xml:space="preserve"> </w:instrText>
      </w:r>
      <w:r w:rsidRPr="00A6075F">
        <w:rPr>
          <w:rStyle w:val="af7"/>
          <w:rFonts w:eastAsia="Guttman Hodes"/>
          <w:rtl/>
        </w:rPr>
      </w:r>
      <w:r w:rsidRPr="00A6075F">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A6075F">
        <w:rPr>
          <w:rStyle w:val="af7"/>
          <w:rFonts w:eastAsia="Guttman Hodes"/>
          <w:rtl/>
        </w:rPr>
        <w:fldChar w:fldCharType="end"/>
      </w:r>
      <w:r w:rsidRPr="00A6075F">
        <w:rPr>
          <w:rStyle w:val="af7"/>
          <w:rFonts w:eastAsia="Guttman Hodes" w:hint="cs"/>
          <w:rtl/>
        </w:rPr>
        <w:t xml:space="preserve"> </w:t>
      </w:r>
      <w:r w:rsidRPr="00B052D6">
        <w:rPr>
          <w:rFonts w:hint="cs"/>
          <w:rtl/>
        </w:rPr>
        <w:t>דאף שלפנימי הייתה דרך על החיצון</w:t>
      </w:r>
      <w:r>
        <w:rPr>
          <w:rFonts w:hint="cs"/>
          <w:rtl/>
        </w:rPr>
        <w:t xml:space="preserve"> </w:t>
      </w:r>
      <w:r w:rsidRPr="00B052D6">
        <w:rPr>
          <w:rFonts w:hint="cs"/>
          <w:rtl/>
        </w:rPr>
        <w:t>מ"מ הוי חזקה, הא אדם עשוי למכור ולשייר לעצמו דרך,</w:t>
      </w:r>
      <w:r>
        <w:rPr>
          <w:rFonts w:hint="cs"/>
          <w:rtl/>
        </w:rPr>
        <w:t xml:space="preserve"> כוונת </w:t>
      </w:r>
      <w:r w:rsidRPr="002E7DDD">
        <w:rPr>
          <w:rStyle w:val="af9"/>
          <w:rFonts w:hint="cs"/>
          <w:rtl/>
        </w:rPr>
        <w:t>הרמב"ן</w:t>
      </w:r>
      <w:r>
        <w:rPr>
          <w:rFonts w:hint="cs"/>
          <w:rtl/>
        </w:rPr>
        <w:t xml:space="preserve"> להקשות לפי </w:t>
      </w:r>
      <w:r w:rsidRPr="002E7DDD">
        <w:rPr>
          <w:rStyle w:val="af9"/>
          <w:rFonts w:hint="cs"/>
          <w:rtl/>
        </w:rPr>
        <w:t>הביאור הא' ברשב"ם</w:t>
      </w:r>
      <w:r>
        <w:rPr>
          <w:rFonts w:hint="cs"/>
          <w:rtl/>
        </w:rPr>
        <w:t xml:space="preserve"> דמה שהוא עובר דרכו חשיב שמשתמש בבית החיצון, וע"ז הקשה </w:t>
      </w:r>
      <w:r w:rsidRPr="002E7DDD">
        <w:rPr>
          <w:rStyle w:val="af9"/>
          <w:rFonts w:hint="cs"/>
          <w:rtl/>
        </w:rPr>
        <w:t>הרמב"ן</w:t>
      </w:r>
      <w:r>
        <w:rPr>
          <w:rFonts w:hint="cs"/>
          <w:rtl/>
        </w:rPr>
        <w:t xml:space="preserve"> דהעברת דרך אינה מונעת חזקה, והקושיה השניה </w:t>
      </w:r>
      <w:r>
        <w:rPr>
          <w:rFonts w:hint="cs"/>
          <w:rtl/>
        </w:rPr>
        <w:t xml:space="preserve">שהקשה </w:t>
      </w:r>
      <w:r w:rsidRPr="002E7DDD">
        <w:rPr>
          <w:rStyle w:val="af9"/>
          <w:rFonts w:hint="cs"/>
          <w:rtl/>
        </w:rPr>
        <w:t>הרמב"ן</w:t>
      </w:r>
      <w:r>
        <w:rPr>
          <w:rFonts w:hint="cs"/>
          <w:rtl/>
        </w:rPr>
        <w:t xml:space="preserve"> </w:t>
      </w:r>
      <w:r w:rsidRPr="002E7DDD">
        <w:rPr>
          <w:rStyle w:val="af7"/>
          <w:rFonts w:eastAsia="Guttman Hodes" w:hint="cs"/>
          <w:rtl/>
        </w:rPr>
        <w:t xml:space="preserve">(עי' אות </w:t>
      </w:r>
      <w:r w:rsidRPr="002E7DDD">
        <w:rPr>
          <w:rStyle w:val="af7"/>
          <w:rFonts w:eastAsia="Guttman Hodes"/>
          <w:rtl/>
        </w:rPr>
        <w:fldChar w:fldCharType="begin"/>
      </w:r>
      <w:r w:rsidRPr="002E7DDD">
        <w:rPr>
          <w:rStyle w:val="af7"/>
          <w:rFonts w:eastAsia="Guttman Hodes"/>
          <w:rtl/>
        </w:rPr>
        <w:instrText xml:space="preserve"> </w:instrText>
      </w:r>
      <w:r w:rsidRPr="002E7DDD">
        <w:rPr>
          <w:rStyle w:val="af7"/>
          <w:rFonts w:eastAsia="Guttman Hodes" w:hint="cs"/>
        </w:rPr>
        <w:instrText>REF</w:instrText>
      </w:r>
      <w:r w:rsidRPr="002E7DDD">
        <w:rPr>
          <w:rStyle w:val="af7"/>
          <w:rFonts w:eastAsia="Guttman Hodes" w:hint="cs"/>
          <w:rtl/>
        </w:rPr>
        <w:instrText xml:space="preserve"> _</w:instrText>
      </w:r>
      <w:r w:rsidRPr="002E7DDD">
        <w:rPr>
          <w:rStyle w:val="af7"/>
          <w:rFonts w:eastAsia="Guttman Hodes" w:hint="cs"/>
        </w:rPr>
        <w:instrText>Ref57051211 \r \h</w:instrText>
      </w:r>
      <w:r w:rsidRPr="002E7DDD">
        <w:rPr>
          <w:rStyle w:val="af7"/>
          <w:rFonts w:eastAsia="Guttman Hodes"/>
          <w:rtl/>
        </w:rPr>
        <w:instrText xml:space="preserve"> </w:instrText>
      </w:r>
      <w:r w:rsidRPr="002E7DDD">
        <w:rPr>
          <w:rStyle w:val="af7"/>
          <w:rFonts w:eastAsia="Guttman Hodes"/>
          <w:rtl/>
        </w:rPr>
      </w:r>
      <w:r w:rsidRPr="002E7DDD">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2E7DDD">
        <w:rPr>
          <w:rStyle w:val="af7"/>
          <w:rFonts w:eastAsia="Guttman Hodes"/>
          <w:rtl/>
        </w:rPr>
        <w:fldChar w:fldCharType="end"/>
      </w:r>
      <w:r>
        <w:rPr>
          <w:rFonts w:hint="cs"/>
          <w:rtl/>
        </w:rPr>
        <w:t xml:space="preserve"> דאמאי אמר רבא דעל המערער להביא ראיה, והרי כל שהמחזיק מתגורר בבית יחד עם הבעלים, לא הוי חזקה, כוונת </w:t>
      </w:r>
      <w:r w:rsidRPr="002E7DDD">
        <w:rPr>
          <w:rStyle w:val="af9"/>
          <w:rFonts w:hint="cs"/>
          <w:rtl/>
        </w:rPr>
        <w:t>הרמב"ן</w:t>
      </w:r>
      <w:r>
        <w:rPr>
          <w:rFonts w:hint="cs"/>
          <w:rtl/>
        </w:rPr>
        <w:t xml:space="preserve"> להקשות לפי </w:t>
      </w:r>
      <w:r w:rsidRPr="002E7DDD">
        <w:rPr>
          <w:rStyle w:val="af9"/>
          <w:rFonts w:hint="cs"/>
          <w:rtl/>
        </w:rPr>
        <w:t>הביאור הב'</w:t>
      </w:r>
      <w:r>
        <w:rPr>
          <w:rFonts w:hint="cs"/>
          <w:rtl/>
        </w:rPr>
        <w:t xml:space="preserve"> </w:t>
      </w:r>
      <w:r w:rsidRPr="002E7DDD">
        <w:rPr>
          <w:rStyle w:val="af9"/>
          <w:rFonts w:hint="cs"/>
          <w:rtl/>
        </w:rPr>
        <w:t>ברשב"ם</w:t>
      </w:r>
      <w:r>
        <w:rPr>
          <w:rFonts w:hint="cs"/>
          <w:rtl/>
        </w:rPr>
        <w:t xml:space="preserve"> דמלבד שעבר דרכו, גם היה משתמש עמו בבית החיצון, וא"כ אמאי ס"ל לרבא דהוי חזקה.</w:t>
      </w:r>
      <w:bookmarkEnd w:id="6619"/>
    </w:p>
    <w:p w:rsidR="0019070E" w:rsidRDefault="0019070E" w:rsidP="0019070E">
      <w:pPr>
        <w:pStyle w:val="a3"/>
        <w:rPr>
          <w:rtl/>
        </w:rPr>
      </w:pPr>
      <w:bookmarkStart w:id="6620" w:name="_Toc57234543"/>
      <w:bookmarkStart w:id="6621" w:name="_Toc57236128"/>
      <w:bookmarkStart w:id="6622" w:name="_Toc57310442"/>
      <w:bookmarkStart w:id="6623" w:name="_Toc57322994"/>
      <w:bookmarkStart w:id="6624" w:name="_Toc57323103"/>
      <w:bookmarkStart w:id="6625" w:name="_Toc57370328"/>
      <w:bookmarkStart w:id="6626" w:name="_Toc57491497"/>
      <w:bookmarkStart w:id="6627" w:name="_Toc57495308"/>
      <w:bookmarkStart w:id="6628" w:name="_Toc57544450"/>
      <w:bookmarkStart w:id="6629" w:name="_Toc58184954"/>
      <w:r w:rsidRPr="00E934F2">
        <w:rPr>
          <w:rtl/>
        </w:rPr>
        <w:t>ביאור הב"ח ברמב"ן דהקשה בממה נפשך לב' הצדדים ברשב"ם אי דרך מבטלת או שימוש</w:t>
      </w:r>
      <w:bookmarkEnd w:id="6620"/>
      <w:bookmarkEnd w:id="6621"/>
      <w:bookmarkEnd w:id="6622"/>
      <w:bookmarkEnd w:id="6623"/>
      <w:bookmarkEnd w:id="6624"/>
      <w:bookmarkEnd w:id="6625"/>
      <w:bookmarkEnd w:id="6626"/>
      <w:bookmarkEnd w:id="6627"/>
      <w:bookmarkEnd w:id="6628"/>
      <w:bookmarkEnd w:id="6629"/>
    </w:p>
    <w:p w:rsidR="0019070E" w:rsidRPr="00D94694" w:rsidRDefault="0019070E" w:rsidP="007E4E81">
      <w:pPr>
        <w:pStyle w:val="a0"/>
        <w:rPr>
          <w:rtl/>
        </w:rPr>
      </w:pPr>
      <w:bookmarkStart w:id="6630" w:name="_Ref57060936"/>
      <w:r>
        <w:rPr>
          <w:rFonts w:hint="cs"/>
          <w:rtl/>
        </w:rPr>
        <w:t xml:space="preserve">וכתב </w:t>
      </w:r>
      <w:r w:rsidRPr="002E7DDD">
        <w:rPr>
          <w:rStyle w:val="af9"/>
          <w:rtl/>
        </w:rPr>
        <w:t>הב"ח בתשו'</w:t>
      </w:r>
      <w:r w:rsidRPr="00233B64">
        <w:rPr>
          <w:rtl/>
        </w:rPr>
        <w:t xml:space="preserve"> </w:t>
      </w:r>
      <w:r>
        <w:rPr>
          <w:rFonts w:hint="cs"/>
          <w:rtl/>
        </w:rPr>
        <w:t xml:space="preserve">דא"כ ב' הקושיות של </w:t>
      </w:r>
      <w:r w:rsidRPr="00642D5E">
        <w:rPr>
          <w:rStyle w:val="af9"/>
          <w:rFonts w:hint="cs"/>
          <w:rtl/>
        </w:rPr>
        <w:t>הרמב"ן</w:t>
      </w:r>
      <w:r>
        <w:rPr>
          <w:rFonts w:hint="cs"/>
          <w:rtl/>
        </w:rPr>
        <w:t xml:space="preserve"> הם בדרך ממה נפשך, דאי כוונת </w:t>
      </w:r>
      <w:r w:rsidRPr="00642D5E">
        <w:rPr>
          <w:rStyle w:val="af9"/>
          <w:rFonts w:hint="cs"/>
          <w:rtl/>
        </w:rPr>
        <w:t>הרשב"ם</w:t>
      </w:r>
      <w:r>
        <w:rPr>
          <w:rFonts w:hint="cs"/>
          <w:rtl/>
        </w:rPr>
        <w:t xml:space="preserve"> דרק עובר דרך עליו, קשה רק הקושיה הראשונה, אבל הקושיה השניה לא קשה, דכיון שרק עובר דרך עליו, לכן ס"ל לרבא דהוי חזקה, ואי כוונת </w:t>
      </w:r>
      <w:r w:rsidRPr="00642D5E">
        <w:rPr>
          <w:rStyle w:val="af9"/>
          <w:rFonts w:hint="cs"/>
          <w:rtl/>
        </w:rPr>
        <w:t>הרשב"ם</w:t>
      </w:r>
      <w:r>
        <w:rPr>
          <w:rFonts w:hint="cs"/>
          <w:rtl/>
        </w:rPr>
        <w:t xml:space="preserve"> דגם היה משתמש עמו קשה רק הקושיה השניה, אבל הקושיה הראשונה לא קשה, דכיון שהוא משתמש עמו לא דמי לשייר לו דרך כלל, ועי' במ"ש </w:t>
      </w:r>
      <w:r w:rsidRPr="000644E0">
        <w:rPr>
          <w:rStyle w:val="af9"/>
          <w:rFonts w:hint="cs"/>
          <w:rtl/>
        </w:rPr>
        <w:t>הקצוה"ח</w:t>
      </w:r>
      <w:r>
        <w:rPr>
          <w:rFonts w:hint="cs"/>
          <w:rtl/>
        </w:rPr>
        <w:t xml:space="preserve"> </w:t>
      </w:r>
      <w:r w:rsidRPr="000644E0">
        <w:rPr>
          <w:rStyle w:val="af7"/>
          <w:rFonts w:eastAsia="Guttman Hodes" w:hint="cs"/>
          <w:rtl/>
        </w:rPr>
        <w:t xml:space="preserve">(עי' אות </w:t>
      </w:r>
      <w:r w:rsidRPr="000644E0">
        <w:rPr>
          <w:rStyle w:val="af7"/>
          <w:rFonts w:eastAsia="Guttman Hodes"/>
          <w:rtl/>
        </w:rPr>
        <w:fldChar w:fldCharType="begin"/>
      </w:r>
      <w:r w:rsidRPr="000644E0">
        <w:rPr>
          <w:rStyle w:val="af7"/>
          <w:rFonts w:eastAsia="Guttman Hodes"/>
          <w:rtl/>
        </w:rPr>
        <w:instrText xml:space="preserve"> </w:instrText>
      </w:r>
      <w:r w:rsidRPr="000644E0">
        <w:rPr>
          <w:rStyle w:val="af7"/>
          <w:rFonts w:eastAsia="Guttman Hodes" w:hint="cs"/>
        </w:rPr>
        <w:instrText>REF</w:instrText>
      </w:r>
      <w:r w:rsidRPr="000644E0">
        <w:rPr>
          <w:rStyle w:val="af7"/>
          <w:rFonts w:eastAsia="Guttman Hodes" w:hint="cs"/>
          <w:rtl/>
        </w:rPr>
        <w:instrText xml:space="preserve"> _</w:instrText>
      </w:r>
      <w:r w:rsidRPr="000644E0">
        <w:rPr>
          <w:rStyle w:val="af7"/>
          <w:rFonts w:eastAsia="Guttman Hodes" w:hint="cs"/>
        </w:rPr>
        <w:instrText>Ref57223141 \r \h</w:instrText>
      </w:r>
      <w:r w:rsidRPr="000644E0">
        <w:rPr>
          <w:rStyle w:val="af7"/>
          <w:rFonts w:eastAsia="Guttman Hodes"/>
          <w:rtl/>
        </w:rPr>
        <w:instrText xml:space="preserve"> </w:instrText>
      </w:r>
      <w:r w:rsidRPr="000644E0">
        <w:rPr>
          <w:rStyle w:val="af7"/>
          <w:rFonts w:eastAsia="Guttman Hodes"/>
          <w:rtl/>
        </w:rPr>
      </w:r>
      <w:r w:rsidRPr="000644E0">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0644E0">
        <w:rPr>
          <w:rStyle w:val="af7"/>
          <w:rFonts w:eastAsia="Guttman Hodes"/>
          <w:rtl/>
        </w:rPr>
        <w:fldChar w:fldCharType="end"/>
      </w:r>
      <w:r>
        <w:rPr>
          <w:rFonts w:hint="cs"/>
          <w:rtl/>
        </w:rPr>
        <w:t xml:space="preserve"> </w:t>
      </w:r>
      <w:r w:rsidRPr="000644E0">
        <w:rPr>
          <w:rStyle w:val="af9"/>
          <w:rFonts w:hint="cs"/>
          <w:rtl/>
        </w:rPr>
        <w:t>והחת"ס</w:t>
      </w:r>
      <w:r>
        <w:rPr>
          <w:rFonts w:hint="cs"/>
          <w:rtl/>
        </w:rPr>
        <w:t xml:space="preserve"> </w:t>
      </w:r>
      <w:r w:rsidRPr="000644E0">
        <w:rPr>
          <w:rStyle w:val="af7"/>
          <w:rFonts w:eastAsia="Guttman Hodes" w:hint="cs"/>
          <w:rtl/>
        </w:rPr>
        <w:t xml:space="preserve">(עי' אות </w:t>
      </w:r>
      <w:r w:rsidRPr="000644E0">
        <w:rPr>
          <w:rStyle w:val="af7"/>
          <w:rFonts w:eastAsia="Guttman Hodes"/>
          <w:rtl/>
        </w:rPr>
        <w:fldChar w:fldCharType="begin"/>
      </w:r>
      <w:r w:rsidRPr="000644E0">
        <w:rPr>
          <w:rStyle w:val="af7"/>
          <w:rFonts w:eastAsia="Guttman Hodes"/>
          <w:rtl/>
        </w:rPr>
        <w:instrText xml:space="preserve"> </w:instrText>
      </w:r>
      <w:r w:rsidRPr="000644E0">
        <w:rPr>
          <w:rStyle w:val="af7"/>
          <w:rFonts w:eastAsia="Guttman Hodes" w:hint="cs"/>
        </w:rPr>
        <w:instrText>REF</w:instrText>
      </w:r>
      <w:r w:rsidRPr="000644E0">
        <w:rPr>
          <w:rStyle w:val="af7"/>
          <w:rFonts w:eastAsia="Guttman Hodes" w:hint="cs"/>
          <w:rtl/>
        </w:rPr>
        <w:instrText xml:space="preserve"> _</w:instrText>
      </w:r>
      <w:r w:rsidRPr="000644E0">
        <w:rPr>
          <w:rStyle w:val="af7"/>
          <w:rFonts w:eastAsia="Guttman Hodes" w:hint="cs"/>
        </w:rPr>
        <w:instrText>Ref57281470 \r \h</w:instrText>
      </w:r>
      <w:r w:rsidRPr="000644E0">
        <w:rPr>
          <w:rStyle w:val="af7"/>
          <w:rFonts w:eastAsia="Guttman Hodes"/>
          <w:rtl/>
        </w:rPr>
        <w:instrText xml:space="preserve"> </w:instrText>
      </w:r>
      <w:r w:rsidRPr="000644E0">
        <w:rPr>
          <w:rStyle w:val="af7"/>
          <w:rFonts w:eastAsia="Guttman Hodes"/>
          <w:rtl/>
        </w:rPr>
      </w:r>
      <w:r w:rsidRPr="000644E0">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0644E0">
        <w:rPr>
          <w:rStyle w:val="af7"/>
          <w:rFonts w:eastAsia="Guttman Hodes"/>
          <w:rtl/>
        </w:rPr>
        <w:fldChar w:fldCharType="end"/>
      </w:r>
      <w:r>
        <w:rPr>
          <w:rFonts w:hint="cs"/>
          <w:rtl/>
        </w:rPr>
        <w:t>.</w:t>
      </w:r>
      <w:bookmarkEnd w:id="6630"/>
    </w:p>
    <w:p w:rsidR="0019070E" w:rsidRDefault="0019070E" w:rsidP="0019070E">
      <w:pPr>
        <w:pStyle w:val="a3"/>
        <w:rPr>
          <w:rtl/>
        </w:rPr>
      </w:pPr>
      <w:bookmarkStart w:id="6631" w:name="_Toc57234544"/>
      <w:bookmarkStart w:id="6632" w:name="_Toc57236129"/>
      <w:bookmarkStart w:id="6633" w:name="_Toc57310443"/>
      <w:bookmarkStart w:id="6634" w:name="_Toc57322995"/>
      <w:bookmarkStart w:id="6635" w:name="_Toc57323104"/>
      <w:bookmarkStart w:id="6636" w:name="_Toc57370329"/>
      <w:bookmarkStart w:id="6637" w:name="_Toc57491498"/>
      <w:bookmarkStart w:id="6638" w:name="_Toc57495309"/>
      <w:bookmarkStart w:id="6639" w:name="_Toc57544451"/>
      <w:bookmarkStart w:id="6640" w:name="_Toc58184955"/>
      <w:r>
        <w:rPr>
          <w:rFonts w:hint="cs"/>
          <w:rtl/>
        </w:rPr>
        <w:t>תירוץ הב"ח דבדרך היה מעביר משאות וחשיב שימוש אך ס"ל לרבא דאינו מבטל את החזקה</w:t>
      </w:r>
      <w:bookmarkEnd w:id="6631"/>
      <w:bookmarkEnd w:id="6632"/>
      <w:bookmarkEnd w:id="6633"/>
      <w:bookmarkEnd w:id="6634"/>
      <w:bookmarkEnd w:id="6635"/>
      <w:bookmarkEnd w:id="6636"/>
      <w:bookmarkEnd w:id="6637"/>
      <w:bookmarkEnd w:id="6638"/>
      <w:bookmarkEnd w:id="6639"/>
      <w:bookmarkEnd w:id="6640"/>
    </w:p>
    <w:p w:rsidR="0019070E" w:rsidRDefault="0019070E" w:rsidP="007E4E81">
      <w:pPr>
        <w:pStyle w:val="a0"/>
      </w:pPr>
      <w:bookmarkStart w:id="6641" w:name="_Ref57051696"/>
      <w:r>
        <w:rPr>
          <w:rFonts w:hint="cs"/>
          <w:rtl/>
        </w:rPr>
        <w:t xml:space="preserve">ותירץ </w:t>
      </w:r>
      <w:r w:rsidRPr="002E7DDD">
        <w:rPr>
          <w:rStyle w:val="af9"/>
          <w:rtl/>
        </w:rPr>
        <w:t>הב"ח בתשו'</w:t>
      </w:r>
      <w:r w:rsidRPr="00233B64">
        <w:rPr>
          <w:rtl/>
        </w:rPr>
        <w:t xml:space="preserve"> </w:t>
      </w:r>
      <w:r w:rsidRPr="00642D5E">
        <w:rPr>
          <w:rStyle w:val="af7"/>
          <w:rFonts w:eastAsia="Guttman Hodes"/>
          <w:rtl/>
        </w:rPr>
        <w:t>(ישנות סי' ז' ד"ה</w:t>
      </w:r>
      <w:r w:rsidRPr="00642D5E">
        <w:rPr>
          <w:rStyle w:val="af7"/>
          <w:rFonts w:eastAsia="Guttman Hodes" w:hint="cs"/>
          <w:rtl/>
        </w:rPr>
        <w:t xml:space="preserve"> ותו)</w:t>
      </w:r>
      <w:r>
        <w:rPr>
          <w:rFonts w:hint="cs"/>
          <w:rtl/>
        </w:rPr>
        <w:t xml:space="preserve"> את קושיות </w:t>
      </w:r>
      <w:r w:rsidRPr="00642D5E">
        <w:rPr>
          <w:rStyle w:val="af9"/>
          <w:rFonts w:hint="cs"/>
          <w:rtl/>
        </w:rPr>
        <w:t>הרמב"ן</w:t>
      </w:r>
      <w:r>
        <w:rPr>
          <w:rFonts w:hint="cs"/>
          <w:rtl/>
        </w:rPr>
        <w:t xml:space="preserve"> על </w:t>
      </w:r>
      <w:r w:rsidRPr="00642D5E">
        <w:rPr>
          <w:rStyle w:val="af9"/>
          <w:rFonts w:hint="cs"/>
          <w:rtl/>
        </w:rPr>
        <w:t>הרשב"ם</w:t>
      </w:r>
      <w:r>
        <w:rPr>
          <w:rFonts w:hint="cs"/>
          <w:rtl/>
        </w:rPr>
        <w:t xml:space="preserve">, דכוונת </w:t>
      </w:r>
      <w:r w:rsidRPr="00387BA5">
        <w:rPr>
          <w:rStyle w:val="af9"/>
          <w:rFonts w:hint="cs"/>
          <w:rtl/>
        </w:rPr>
        <w:t>הרשב"ם</w:t>
      </w:r>
      <w:r>
        <w:rPr>
          <w:rFonts w:hint="cs"/>
          <w:rtl/>
        </w:rPr>
        <w:t xml:space="preserve"> </w:t>
      </w:r>
      <w:r w:rsidRPr="00387BA5">
        <w:rPr>
          <w:rStyle w:val="af7"/>
          <w:rFonts w:eastAsia="Guttman Hodes" w:hint="cs"/>
          <w:rtl/>
        </w:rPr>
        <w:t xml:space="preserve">(עי' אות </w:t>
      </w:r>
      <w:r w:rsidRPr="00387BA5">
        <w:rPr>
          <w:rStyle w:val="af7"/>
          <w:rFonts w:eastAsia="Guttman Hodes"/>
          <w:rtl/>
        </w:rPr>
        <w:fldChar w:fldCharType="begin"/>
      </w:r>
      <w:r w:rsidRPr="00387BA5">
        <w:rPr>
          <w:rStyle w:val="af7"/>
          <w:rFonts w:eastAsia="Guttman Hodes"/>
          <w:rtl/>
        </w:rPr>
        <w:instrText xml:space="preserve"> </w:instrText>
      </w:r>
      <w:r w:rsidRPr="00387BA5">
        <w:rPr>
          <w:rStyle w:val="af7"/>
          <w:rFonts w:eastAsia="Guttman Hodes" w:hint="cs"/>
        </w:rPr>
        <w:instrText>REF</w:instrText>
      </w:r>
      <w:r w:rsidRPr="00387BA5">
        <w:rPr>
          <w:rStyle w:val="af7"/>
          <w:rFonts w:eastAsia="Guttman Hodes" w:hint="cs"/>
          <w:rtl/>
        </w:rPr>
        <w:instrText xml:space="preserve"> _</w:instrText>
      </w:r>
      <w:r w:rsidRPr="00387BA5">
        <w:rPr>
          <w:rStyle w:val="af7"/>
          <w:rFonts w:eastAsia="Guttman Hodes" w:hint="cs"/>
        </w:rPr>
        <w:instrText>Ref56936382 \r \h</w:instrText>
      </w:r>
      <w:r w:rsidRPr="00387BA5">
        <w:rPr>
          <w:rStyle w:val="af7"/>
          <w:rFonts w:eastAsia="Guttman Hodes"/>
          <w:rtl/>
        </w:rPr>
        <w:instrText xml:space="preserve"> </w:instrText>
      </w:r>
      <w:r w:rsidRPr="00387BA5">
        <w:rPr>
          <w:rStyle w:val="af7"/>
          <w:rFonts w:eastAsia="Guttman Hodes"/>
          <w:rtl/>
        </w:rPr>
      </w:r>
      <w:r w:rsidRPr="00387BA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387BA5">
        <w:rPr>
          <w:rStyle w:val="af7"/>
          <w:rFonts w:eastAsia="Guttman Hodes"/>
          <w:rtl/>
        </w:rPr>
        <w:fldChar w:fldCharType="end"/>
      </w:r>
      <w:r>
        <w:rPr>
          <w:rFonts w:hint="cs"/>
          <w:rtl/>
        </w:rPr>
        <w:t xml:space="preserve"> לומר דבמה שהיה עובר דרכו היה משתמש עמו, שהיה טוען משאות ומוליך אותם לתוך הבית הפנימי, וכן מוציא משאות דרכו, וא"כ אי"ז רק העברת דרך של דריסת הרגל, אלא חשיב שימוש, אבל ודאי דהמחזיק היה דר בבית החיצון לבדו, ולא היה המערער משתמש כלל בשימושי הבית החיצון, וכתב </w:t>
      </w:r>
      <w:r w:rsidRPr="00642D5E">
        <w:rPr>
          <w:rStyle w:val="af9"/>
          <w:rFonts w:hint="cs"/>
          <w:rtl/>
        </w:rPr>
        <w:t xml:space="preserve">הב"ח </w:t>
      </w:r>
      <w:r>
        <w:rPr>
          <w:rFonts w:hint="cs"/>
          <w:rtl/>
        </w:rPr>
        <w:t xml:space="preserve">דא"כ מתורצת הקושיה השניה של </w:t>
      </w:r>
      <w:r w:rsidRPr="00642D5E">
        <w:rPr>
          <w:rStyle w:val="af9"/>
          <w:rFonts w:hint="cs"/>
          <w:rtl/>
        </w:rPr>
        <w:t xml:space="preserve">הרמב"ן </w:t>
      </w:r>
      <w:r w:rsidRPr="002E7DDD">
        <w:rPr>
          <w:rStyle w:val="af7"/>
          <w:rFonts w:eastAsia="Guttman Hodes" w:hint="cs"/>
          <w:rtl/>
        </w:rPr>
        <w:t xml:space="preserve">(עי' אות </w:t>
      </w:r>
      <w:r w:rsidRPr="002E7DDD">
        <w:rPr>
          <w:rStyle w:val="af7"/>
          <w:rFonts w:eastAsia="Guttman Hodes"/>
          <w:rtl/>
        </w:rPr>
        <w:fldChar w:fldCharType="begin"/>
      </w:r>
      <w:r w:rsidRPr="002E7DDD">
        <w:rPr>
          <w:rStyle w:val="af7"/>
          <w:rFonts w:eastAsia="Guttman Hodes"/>
          <w:rtl/>
        </w:rPr>
        <w:instrText xml:space="preserve"> </w:instrText>
      </w:r>
      <w:r w:rsidRPr="002E7DDD">
        <w:rPr>
          <w:rStyle w:val="af7"/>
          <w:rFonts w:eastAsia="Guttman Hodes" w:hint="cs"/>
        </w:rPr>
        <w:instrText>REF</w:instrText>
      </w:r>
      <w:r w:rsidRPr="002E7DDD">
        <w:rPr>
          <w:rStyle w:val="af7"/>
          <w:rFonts w:eastAsia="Guttman Hodes" w:hint="cs"/>
          <w:rtl/>
        </w:rPr>
        <w:instrText xml:space="preserve"> _</w:instrText>
      </w:r>
      <w:r w:rsidRPr="002E7DDD">
        <w:rPr>
          <w:rStyle w:val="af7"/>
          <w:rFonts w:eastAsia="Guttman Hodes" w:hint="cs"/>
        </w:rPr>
        <w:instrText>Ref57051211 \r \h</w:instrText>
      </w:r>
      <w:r w:rsidRPr="002E7DDD">
        <w:rPr>
          <w:rStyle w:val="af7"/>
          <w:rFonts w:eastAsia="Guttman Hodes"/>
          <w:rtl/>
        </w:rPr>
        <w:instrText xml:space="preserve"> </w:instrText>
      </w:r>
      <w:r w:rsidRPr="002E7DDD">
        <w:rPr>
          <w:rStyle w:val="af7"/>
          <w:rFonts w:eastAsia="Guttman Hodes"/>
          <w:rtl/>
        </w:rPr>
      </w:r>
      <w:r w:rsidRPr="002E7DDD">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2E7DDD">
        <w:rPr>
          <w:rStyle w:val="af7"/>
          <w:rFonts w:eastAsia="Guttman Hodes"/>
          <w:rtl/>
        </w:rPr>
        <w:fldChar w:fldCharType="end"/>
      </w:r>
      <w:r>
        <w:rPr>
          <w:rFonts w:hint="cs"/>
          <w:rtl/>
        </w:rPr>
        <w:t xml:space="preserve"> דכיון שאינו מתגורר עם החיצון, לכן ס"ל לרבא דהוי חזקה גמורה, ודלא כדביאר </w:t>
      </w:r>
      <w:r w:rsidRPr="00642D5E">
        <w:rPr>
          <w:rStyle w:val="af9"/>
          <w:rFonts w:hint="cs"/>
          <w:rtl/>
        </w:rPr>
        <w:t xml:space="preserve">הב"ח </w:t>
      </w:r>
      <w:r w:rsidRPr="00642D5E">
        <w:rPr>
          <w:rStyle w:val="af7"/>
          <w:rFonts w:eastAsia="Guttman Hodes" w:hint="cs"/>
          <w:rtl/>
        </w:rPr>
        <w:t xml:space="preserve">(עי' אות </w:t>
      </w:r>
      <w:r w:rsidRPr="00642D5E">
        <w:rPr>
          <w:rStyle w:val="af7"/>
          <w:rFonts w:eastAsia="Guttman Hodes"/>
          <w:rtl/>
        </w:rPr>
        <w:fldChar w:fldCharType="begin"/>
      </w:r>
      <w:r w:rsidRPr="00642D5E">
        <w:rPr>
          <w:rStyle w:val="af7"/>
          <w:rFonts w:eastAsia="Guttman Hodes"/>
          <w:rtl/>
        </w:rPr>
        <w:instrText xml:space="preserve"> </w:instrText>
      </w:r>
      <w:r w:rsidRPr="00642D5E">
        <w:rPr>
          <w:rStyle w:val="af7"/>
          <w:rFonts w:eastAsia="Guttman Hodes" w:hint="cs"/>
        </w:rPr>
        <w:instrText>REF</w:instrText>
      </w:r>
      <w:r w:rsidRPr="00642D5E">
        <w:rPr>
          <w:rStyle w:val="af7"/>
          <w:rFonts w:eastAsia="Guttman Hodes" w:hint="cs"/>
          <w:rtl/>
        </w:rPr>
        <w:instrText xml:space="preserve"> _</w:instrText>
      </w:r>
      <w:r w:rsidRPr="00642D5E">
        <w:rPr>
          <w:rStyle w:val="af7"/>
          <w:rFonts w:eastAsia="Guttman Hodes" w:hint="cs"/>
        </w:rPr>
        <w:instrText>Ref57051988 \r \h</w:instrText>
      </w:r>
      <w:r w:rsidRPr="00642D5E">
        <w:rPr>
          <w:rStyle w:val="af7"/>
          <w:rFonts w:eastAsia="Guttman Hodes"/>
          <w:rtl/>
        </w:rPr>
        <w:instrText xml:space="preserve"> </w:instrText>
      </w:r>
      <w:r w:rsidRPr="00642D5E">
        <w:rPr>
          <w:rStyle w:val="af7"/>
          <w:rFonts w:eastAsia="Guttman Hodes"/>
          <w:rtl/>
        </w:rPr>
      </w:r>
      <w:r w:rsidRPr="00642D5E">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642D5E">
        <w:rPr>
          <w:rStyle w:val="af7"/>
          <w:rFonts w:eastAsia="Guttman Hodes"/>
          <w:rtl/>
        </w:rPr>
        <w:fldChar w:fldCharType="end"/>
      </w:r>
      <w:r>
        <w:rPr>
          <w:rFonts w:hint="cs"/>
          <w:rtl/>
        </w:rPr>
        <w:t xml:space="preserve"> </w:t>
      </w:r>
      <w:r w:rsidRPr="00642D5E">
        <w:rPr>
          <w:rStyle w:val="af9"/>
          <w:rFonts w:hint="cs"/>
          <w:rtl/>
        </w:rPr>
        <w:t>במרדכי</w:t>
      </w:r>
      <w:r>
        <w:rPr>
          <w:rFonts w:hint="cs"/>
          <w:rtl/>
        </w:rPr>
        <w:t>.</w:t>
      </w:r>
    </w:p>
    <w:p w:rsidR="0019070E" w:rsidRDefault="0019070E" w:rsidP="0019070E">
      <w:pPr>
        <w:pStyle w:val="a3"/>
        <w:rPr>
          <w:rtl/>
        </w:rPr>
      </w:pPr>
      <w:bookmarkStart w:id="6642" w:name="_Toc57234545"/>
      <w:bookmarkStart w:id="6643" w:name="_Toc57236130"/>
      <w:bookmarkStart w:id="6644" w:name="_Toc57310444"/>
      <w:bookmarkStart w:id="6645" w:name="_Toc57322996"/>
      <w:bookmarkStart w:id="6646" w:name="_Toc57323105"/>
      <w:bookmarkStart w:id="6647" w:name="_Toc57370330"/>
      <w:bookmarkStart w:id="6648" w:name="_Toc57491499"/>
      <w:bookmarkStart w:id="6649" w:name="_Toc57495310"/>
      <w:bookmarkStart w:id="6650" w:name="_Toc57544452"/>
      <w:bookmarkStart w:id="6651" w:name="_Toc58184956"/>
      <w:bookmarkEnd w:id="6641"/>
      <w:r>
        <w:rPr>
          <w:rFonts w:hint="cs"/>
          <w:rtl/>
        </w:rPr>
        <w:t>תירוץ הב"ח דאינו כשייר דרך דבבית אחד הדרך היא ראיה שלא מכר לו ולא חילק את הבית</w:t>
      </w:r>
      <w:bookmarkEnd w:id="6642"/>
      <w:bookmarkEnd w:id="6643"/>
      <w:bookmarkEnd w:id="6644"/>
      <w:bookmarkEnd w:id="6645"/>
      <w:bookmarkEnd w:id="6646"/>
      <w:bookmarkEnd w:id="6647"/>
      <w:bookmarkEnd w:id="6648"/>
      <w:bookmarkEnd w:id="6649"/>
      <w:bookmarkEnd w:id="6650"/>
      <w:bookmarkEnd w:id="6651"/>
    </w:p>
    <w:p w:rsidR="0019070E" w:rsidRPr="00A563CC" w:rsidRDefault="0019070E" w:rsidP="007E4E81">
      <w:pPr>
        <w:pStyle w:val="a0"/>
        <w:rPr>
          <w:rtl/>
        </w:rPr>
      </w:pPr>
      <w:r>
        <w:rPr>
          <w:rFonts w:hint="cs"/>
          <w:rtl/>
        </w:rPr>
        <w:t xml:space="preserve">וכתב </w:t>
      </w:r>
      <w:r w:rsidRPr="002E7DDD">
        <w:rPr>
          <w:rStyle w:val="af9"/>
          <w:rtl/>
        </w:rPr>
        <w:t>הב"ח בתשו'</w:t>
      </w:r>
      <w:r w:rsidRPr="00233B64">
        <w:rPr>
          <w:rtl/>
        </w:rPr>
        <w:t xml:space="preserve"> </w:t>
      </w:r>
      <w:r>
        <w:rPr>
          <w:rFonts w:hint="cs"/>
          <w:rtl/>
        </w:rPr>
        <w:t xml:space="preserve">דאפשר לתרץ גם את הקושיה הראשונה של </w:t>
      </w:r>
      <w:r w:rsidRPr="00EA4354">
        <w:rPr>
          <w:rStyle w:val="af9"/>
          <w:rFonts w:hint="cs"/>
          <w:rtl/>
        </w:rPr>
        <w:t>הרמב"ן</w:t>
      </w:r>
      <w:r>
        <w:rPr>
          <w:rFonts w:hint="cs"/>
          <w:rtl/>
        </w:rPr>
        <w:t xml:space="preserve"> </w:t>
      </w:r>
      <w:r w:rsidRPr="002E7DDD">
        <w:rPr>
          <w:rStyle w:val="af7"/>
          <w:rFonts w:eastAsia="Guttman Hodes" w:hint="cs"/>
          <w:rtl/>
        </w:rPr>
        <w:t xml:space="preserve">(עי' אות </w:t>
      </w:r>
      <w:r w:rsidRPr="002E7DDD">
        <w:rPr>
          <w:rStyle w:val="af7"/>
          <w:rFonts w:eastAsia="Guttman Hodes"/>
          <w:rtl/>
        </w:rPr>
        <w:fldChar w:fldCharType="begin"/>
      </w:r>
      <w:r w:rsidRPr="002E7DDD">
        <w:rPr>
          <w:rStyle w:val="af7"/>
          <w:rFonts w:eastAsia="Guttman Hodes"/>
          <w:rtl/>
        </w:rPr>
        <w:instrText xml:space="preserve"> </w:instrText>
      </w:r>
      <w:r w:rsidRPr="002E7DDD">
        <w:rPr>
          <w:rStyle w:val="af7"/>
          <w:rFonts w:eastAsia="Guttman Hodes" w:hint="cs"/>
        </w:rPr>
        <w:instrText>REF</w:instrText>
      </w:r>
      <w:r w:rsidRPr="002E7DDD">
        <w:rPr>
          <w:rStyle w:val="af7"/>
          <w:rFonts w:eastAsia="Guttman Hodes" w:hint="cs"/>
          <w:rtl/>
        </w:rPr>
        <w:instrText xml:space="preserve"> _</w:instrText>
      </w:r>
      <w:r w:rsidRPr="002E7DDD">
        <w:rPr>
          <w:rStyle w:val="af7"/>
          <w:rFonts w:eastAsia="Guttman Hodes" w:hint="cs"/>
        </w:rPr>
        <w:instrText>Ref57051211 \r \h</w:instrText>
      </w:r>
      <w:r w:rsidRPr="002E7DDD">
        <w:rPr>
          <w:rStyle w:val="af7"/>
          <w:rFonts w:eastAsia="Guttman Hodes"/>
          <w:rtl/>
        </w:rPr>
        <w:instrText xml:space="preserve"> </w:instrText>
      </w:r>
      <w:r w:rsidRPr="002E7DDD">
        <w:rPr>
          <w:rStyle w:val="af7"/>
          <w:rFonts w:eastAsia="Guttman Hodes"/>
          <w:rtl/>
        </w:rPr>
      </w:r>
      <w:r w:rsidRPr="002E7DDD">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2E7DDD">
        <w:rPr>
          <w:rStyle w:val="af7"/>
          <w:rFonts w:eastAsia="Guttman Hodes"/>
          <w:rtl/>
        </w:rPr>
        <w:fldChar w:fldCharType="end"/>
      </w:r>
      <w:r>
        <w:rPr>
          <w:rFonts w:hint="cs"/>
          <w:rtl/>
        </w:rPr>
        <w:t xml:space="preserve"> דלא דמי לשייר לו דרך, כיון שהבית הפנימי והבית החיצון הם בית אחד, והמערער דר בפנימי ועובר דרך החיצון, א"כ עצם העברת הדרך היא ראיה שלא מכר למחזיק את הבית החיצון, </w:t>
      </w:r>
      <w:r w:rsidRPr="00A563CC">
        <w:rPr>
          <w:rFonts w:hint="cs"/>
          <w:rtl/>
        </w:rPr>
        <w:t>וכל הבית תחת רשותו, ורק כשאינו עובר דרכו הוא מחלק את הבית לב' בתים, ובכה"ג חזקת המחזיק בחיצון היא חזקה גמורה.</w:t>
      </w:r>
    </w:p>
    <w:p w:rsidR="0019070E" w:rsidRPr="00A563CC" w:rsidRDefault="0019070E" w:rsidP="0019070E">
      <w:pPr>
        <w:pStyle w:val="1"/>
        <w:rPr>
          <w:rtl/>
        </w:rPr>
      </w:pPr>
      <w:bookmarkStart w:id="6652" w:name="_Toc57067182"/>
      <w:bookmarkStart w:id="6653" w:name="_Toc57234550"/>
      <w:bookmarkStart w:id="6654" w:name="_Toc57236131"/>
      <w:bookmarkStart w:id="6655" w:name="_Toc57310445"/>
      <w:bookmarkStart w:id="6656" w:name="_Toc57322997"/>
      <w:bookmarkStart w:id="6657" w:name="_Toc57323106"/>
      <w:bookmarkStart w:id="6658" w:name="_Toc57370331"/>
      <w:bookmarkStart w:id="6659" w:name="_Toc57491500"/>
      <w:bookmarkStart w:id="6660" w:name="_Toc57495311"/>
      <w:bookmarkStart w:id="6661" w:name="_Toc57544453"/>
      <w:bookmarkStart w:id="6662" w:name="_Toc58184957"/>
      <w:r w:rsidRPr="00A563CC">
        <w:rPr>
          <w:rFonts w:hint="cs"/>
          <w:rtl/>
        </w:rPr>
        <w:t>דברי הקצוה"ח</w:t>
      </w:r>
      <w:bookmarkEnd w:id="6652"/>
      <w:bookmarkEnd w:id="6653"/>
      <w:bookmarkEnd w:id="6654"/>
      <w:bookmarkEnd w:id="6655"/>
      <w:bookmarkEnd w:id="6656"/>
      <w:bookmarkEnd w:id="6657"/>
      <w:bookmarkEnd w:id="6658"/>
      <w:r>
        <w:rPr>
          <w:rFonts w:hint="cs"/>
          <w:rtl/>
        </w:rPr>
        <w:t xml:space="preserve"> דרבא ור"נ פליגי בכל ספק ולא בהעברת דרך</w:t>
      </w:r>
      <w:bookmarkEnd w:id="6659"/>
      <w:bookmarkEnd w:id="6660"/>
      <w:bookmarkEnd w:id="6661"/>
      <w:bookmarkEnd w:id="6662"/>
    </w:p>
    <w:p w:rsidR="0019070E" w:rsidRPr="00A563CC" w:rsidRDefault="0019070E" w:rsidP="0019070E">
      <w:pPr>
        <w:pStyle w:val="a3"/>
        <w:rPr>
          <w:rtl/>
        </w:rPr>
      </w:pPr>
      <w:bookmarkStart w:id="6663" w:name="_Toc57310446"/>
      <w:bookmarkStart w:id="6664" w:name="_Toc57322998"/>
      <w:bookmarkStart w:id="6665" w:name="_Toc57323107"/>
      <w:bookmarkStart w:id="6666" w:name="_Toc57370332"/>
      <w:bookmarkStart w:id="6667" w:name="_Toc57491501"/>
      <w:bookmarkStart w:id="6668" w:name="_Toc57495312"/>
      <w:bookmarkStart w:id="6669" w:name="_Toc57544454"/>
      <w:bookmarkStart w:id="6670" w:name="_Toc58184958"/>
      <w:r>
        <w:rPr>
          <w:rFonts w:hint="cs"/>
          <w:rtl/>
        </w:rPr>
        <w:t>דברי הקצוה"ח דרבא לא נחלק על ר"נ בדין חזקה בהעברת דרך אלא רק על מי להביא ראיה</w:t>
      </w:r>
      <w:bookmarkEnd w:id="6663"/>
      <w:bookmarkEnd w:id="6664"/>
      <w:bookmarkEnd w:id="6665"/>
      <w:bookmarkEnd w:id="6666"/>
      <w:bookmarkEnd w:id="6667"/>
      <w:bookmarkEnd w:id="6668"/>
      <w:bookmarkEnd w:id="6669"/>
      <w:bookmarkEnd w:id="6670"/>
    </w:p>
    <w:p w:rsidR="0019070E" w:rsidRPr="00A563CC" w:rsidRDefault="0019070E" w:rsidP="007E4E81">
      <w:pPr>
        <w:pStyle w:val="a0"/>
        <w:rPr>
          <w:rtl/>
        </w:rPr>
      </w:pPr>
      <w:bookmarkStart w:id="6671" w:name="_Ref57223141"/>
      <w:r w:rsidRPr="00A563CC">
        <w:rPr>
          <w:rFonts w:hint="cs"/>
          <w:rtl/>
        </w:rPr>
        <w:t xml:space="preserve">אבל </w:t>
      </w:r>
      <w:r w:rsidRPr="00A563CC">
        <w:rPr>
          <w:rStyle w:val="af9"/>
          <w:rFonts w:hint="cs"/>
          <w:rtl/>
        </w:rPr>
        <w:t>הקצוה"ח</w:t>
      </w:r>
      <w:r w:rsidRPr="00A563CC">
        <w:rPr>
          <w:rFonts w:hint="cs"/>
          <w:rtl/>
        </w:rPr>
        <w:t xml:space="preserve"> </w:t>
      </w:r>
      <w:r w:rsidRPr="00A563CC">
        <w:rPr>
          <w:rStyle w:val="af7"/>
          <w:rFonts w:eastAsia="Guttman Hodes" w:hint="cs"/>
          <w:rtl/>
        </w:rPr>
        <w:t xml:space="preserve">(סי' ק"מ סק"ז) </w:t>
      </w:r>
      <w:r w:rsidRPr="00A563CC">
        <w:rPr>
          <w:rFonts w:hint="cs"/>
          <w:rtl/>
        </w:rPr>
        <w:t xml:space="preserve">דחה את דברי </w:t>
      </w:r>
      <w:r w:rsidRPr="00A563CC">
        <w:rPr>
          <w:rStyle w:val="af9"/>
          <w:rFonts w:hint="cs"/>
          <w:rtl/>
        </w:rPr>
        <w:t>הב"ח בתשו'</w:t>
      </w:r>
      <w:r w:rsidRPr="00A563CC">
        <w:rPr>
          <w:rFonts w:hint="cs"/>
          <w:rtl/>
        </w:rPr>
        <w:t xml:space="preserve"> </w:t>
      </w:r>
      <w:r w:rsidRPr="00A563CC">
        <w:rPr>
          <w:rStyle w:val="af7"/>
          <w:rFonts w:eastAsia="Guttman Hodes" w:hint="cs"/>
          <w:rtl/>
        </w:rPr>
        <w:t xml:space="preserve">(עי' אות </w:t>
      </w:r>
      <w:r w:rsidRPr="00A563CC">
        <w:rPr>
          <w:rStyle w:val="af7"/>
          <w:rFonts w:eastAsia="Guttman Hodes"/>
          <w:rtl/>
        </w:rPr>
        <w:fldChar w:fldCharType="begin"/>
      </w:r>
      <w:r w:rsidRPr="00A563CC">
        <w:rPr>
          <w:rStyle w:val="af7"/>
          <w:rFonts w:eastAsia="Guttman Hodes"/>
          <w:rtl/>
        </w:rPr>
        <w:instrText xml:space="preserve"> </w:instrText>
      </w:r>
      <w:r w:rsidRPr="00A563CC">
        <w:rPr>
          <w:rStyle w:val="af7"/>
          <w:rFonts w:eastAsia="Guttman Hodes" w:hint="cs"/>
        </w:rPr>
        <w:instrText>REF</w:instrText>
      </w:r>
      <w:r w:rsidRPr="00A563CC">
        <w:rPr>
          <w:rStyle w:val="af7"/>
          <w:rFonts w:eastAsia="Guttman Hodes" w:hint="cs"/>
          <w:rtl/>
        </w:rPr>
        <w:instrText xml:space="preserve"> _</w:instrText>
      </w:r>
      <w:r w:rsidRPr="00A563CC">
        <w:rPr>
          <w:rStyle w:val="af7"/>
          <w:rFonts w:eastAsia="Guttman Hodes" w:hint="cs"/>
        </w:rPr>
        <w:instrText>Ref57060976 \r \h</w:instrText>
      </w:r>
      <w:r w:rsidRPr="00A563CC">
        <w:rPr>
          <w:rStyle w:val="af7"/>
          <w:rFonts w:eastAsia="Guttman Hodes"/>
          <w:rtl/>
        </w:rPr>
        <w:instrText xml:space="preserve">  \* </w:instrText>
      </w:r>
      <w:r w:rsidRPr="00A563CC">
        <w:rPr>
          <w:rStyle w:val="af7"/>
          <w:rFonts w:eastAsia="Guttman Hodes"/>
        </w:rPr>
        <w:instrText>MERGEFORMAT</w:instrText>
      </w:r>
      <w:r w:rsidRPr="00A563CC">
        <w:rPr>
          <w:rStyle w:val="af7"/>
          <w:rFonts w:eastAsia="Guttman Hodes"/>
          <w:rtl/>
        </w:rPr>
        <w:instrText xml:space="preserve"> </w:instrText>
      </w:r>
      <w:r w:rsidRPr="00A563CC">
        <w:rPr>
          <w:rStyle w:val="af7"/>
          <w:rFonts w:eastAsia="Guttman Hodes"/>
          <w:rtl/>
        </w:rPr>
      </w:r>
      <w:r w:rsidRPr="00A563CC">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A563CC">
        <w:rPr>
          <w:rStyle w:val="af7"/>
          <w:rFonts w:eastAsia="Guttman Hodes"/>
          <w:rtl/>
        </w:rPr>
        <w:fldChar w:fldCharType="end"/>
      </w:r>
      <w:r w:rsidRPr="00A563CC">
        <w:rPr>
          <w:rStyle w:val="af7"/>
          <w:rFonts w:eastAsia="Guttman Hodes" w:hint="cs"/>
          <w:rtl/>
        </w:rPr>
        <w:t xml:space="preserve"> </w:t>
      </w:r>
      <w:r w:rsidRPr="00A563CC">
        <w:rPr>
          <w:rFonts w:hint="cs"/>
          <w:rtl/>
        </w:rPr>
        <w:t xml:space="preserve">דא"א לומר דלא הוקשה </w:t>
      </w:r>
      <w:r w:rsidRPr="00A563CC">
        <w:rPr>
          <w:rStyle w:val="af9"/>
          <w:rFonts w:hint="cs"/>
          <w:rtl/>
        </w:rPr>
        <w:t>להנימוק"י</w:t>
      </w:r>
      <w:r w:rsidRPr="00A563CC">
        <w:rPr>
          <w:rFonts w:hint="cs"/>
          <w:rtl/>
        </w:rPr>
        <w:t xml:space="preserve"> </w:t>
      </w:r>
      <w:r w:rsidRPr="00A563CC">
        <w:rPr>
          <w:rStyle w:val="af7"/>
          <w:rFonts w:eastAsia="Guttman Hodes" w:hint="cs"/>
          <w:rtl/>
        </w:rPr>
        <w:t xml:space="preserve">(עי' אות </w:t>
      </w:r>
      <w:r w:rsidRPr="00A563CC">
        <w:rPr>
          <w:rStyle w:val="af7"/>
          <w:rFonts w:eastAsia="Guttman Hodes"/>
          <w:rtl/>
        </w:rPr>
        <w:fldChar w:fldCharType="begin"/>
      </w:r>
      <w:r w:rsidRPr="00A563CC">
        <w:rPr>
          <w:rStyle w:val="af7"/>
          <w:rFonts w:eastAsia="Guttman Hodes"/>
          <w:rtl/>
        </w:rPr>
        <w:instrText xml:space="preserve"> </w:instrText>
      </w:r>
      <w:r w:rsidRPr="00A563CC">
        <w:rPr>
          <w:rStyle w:val="af7"/>
          <w:rFonts w:eastAsia="Guttman Hodes" w:hint="cs"/>
        </w:rPr>
        <w:instrText>REF</w:instrText>
      </w:r>
      <w:r w:rsidRPr="00A563CC">
        <w:rPr>
          <w:rStyle w:val="af7"/>
          <w:rFonts w:eastAsia="Guttman Hodes" w:hint="cs"/>
          <w:rtl/>
        </w:rPr>
        <w:instrText xml:space="preserve"> _</w:instrText>
      </w:r>
      <w:r w:rsidRPr="00A563CC">
        <w:rPr>
          <w:rStyle w:val="af7"/>
          <w:rFonts w:eastAsia="Guttman Hodes" w:hint="cs"/>
        </w:rPr>
        <w:instrText>Ref57061001 \r \h</w:instrText>
      </w:r>
      <w:r w:rsidRPr="00A563CC">
        <w:rPr>
          <w:rStyle w:val="af7"/>
          <w:rFonts w:eastAsia="Guttman Hodes"/>
          <w:rtl/>
        </w:rPr>
        <w:instrText xml:space="preserve">  \* </w:instrText>
      </w:r>
      <w:r w:rsidRPr="00A563CC">
        <w:rPr>
          <w:rStyle w:val="af7"/>
          <w:rFonts w:eastAsia="Guttman Hodes"/>
        </w:rPr>
        <w:instrText>MERGEFORMAT</w:instrText>
      </w:r>
      <w:r w:rsidRPr="00A563CC">
        <w:rPr>
          <w:rStyle w:val="af7"/>
          <w:rFonts w:eastAsia="Guttman Hodes"/>
          <w:rtl/>
        </w:rPr>
        <w:instrText xml:space="preserve"> </w:instrText>
      </w:r>
      <w:r w:rsidRPr="00A563CC">
        <w:rPr>
          <w:rStyle w:val="af7"/>
          <w:rFonts w:eastAsia="Guttman Hodes"/>
          <w:rtl/>
        </w:rPr>
      </w:r>
      <w:r w:rsidRPr="00A563CC">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A563CC">
        <w:rPr>
          <w:rStyle w:val="af7"/>
          <w:rFonts w:eastAsia="Guttman Hodes"/>
          <w:rtl/>
        </w:rPr>
        <w:fldChar w:fldCharType="end"/>
      </w:r>
      <w:r w:rsidRPr="00A563CC">
        <w:rPr>
          <w:rFonts w:hint="cs"/>
          <w:rtl/>
        </w:rPr>
        <w:t xml:space="preserve"> הקושיה הב' של </w:t>
      </w:r>
      <w:r w:rsidRPr="00A563CC">
        <w:rPr>
          <w:rStyle w:val="af9"/>
          <w:rFonts w:hint="cs"/>
          <w:rtl/>
        </w:rPr>
        <w:t>הרמב"ן</w:t>
      </w:r>
      <w:r w:rsidRPr="00A563CC">
        <w:rPr>
          <w:rFonts w:hint="cs"/>
          <w:rtl/>
        </w:rPr>
        <w:t xml:space="preserve"> </w:t>
      </w:r>
      <w:r w:rsidRPr="00A563CC">
        <w:rPr>
          <w:rStyle w:val="af7"/>
          <w:rFonts w:eastAsia="Guttman Hodes" w:hint="cs"/>
          <w:rtl/>
        </w:rPr>
        <w:t xml:space="preserve">(עי' אות </w:t>
      </w:r>
      <w:r w:rsidRPr="00A563CC">
        <w:rPr>
          <w:rStyle w:val="af7"/>
          <w:rFonts w:eastAsia="Guttman Hodes"/>
          <w:rtl/>
        </w:rPr>
        <w:fldChar w:fldCharType="begin"/>
      </w:r>
      <w:r w:rsidRPr="00A563CC">
        <w:rPr>
          <w:rStyle w:val="af7"/>
          <w:rFonts w:eastAsia="Guttman Hodes"/>
          <w:rtl/>
        </w:rPr>
        <w:instrText xml:space="preserve"> </w:instrText>
      </w:r>
      <w:r w:rsidRPr="00A563CC">
        <w:rPr>
          <w:rStyle w:val="af7"/>
          <w:rFonts w:eastAsia="Guttman Hodes" w:hint="cs"/>
        </w:rPr>
        <w:instrText>REF</w:instrText>
      </w:r>
      <w:r w:rsidRPr="00A563CC">
        <w:rPr>
          <w:rStyle w:val="af7"/>
          <w:rFonts w:eastAsia="Guttman Hodes" w:hint="cs"/>
          <w:rtl/>
        </w:rPr>
        <w:instrText xml:space="preserve"> _</w:instrText>
      </w:r>
      <w:r w:rsidRPr="00A563CC">
        <w:rPr>
          <w:rStyle w:val="af7"/>
          <w:rFonts w:eastAsia="Guttman Hodes" w:hint="cs"/>
        </w:rPr>
        <w:instrText>Ref57051211 \r \h</w:instrText>
      </w:r>
      <w:r w:rsidRPr="00A563CC">
        <w:rPr>
          <w:rStyle w:val="af7"/>
          <w:rFonts w:eastAsia="Guttman Hodes"/>
          <w:rtl/>
        </w:rPr>
        <w:instrText xml:space="preserve">  \* </w:instrText>
      </w:r>
      <w:r w:rsidRPr="00A563CC">
        <w:rPr>
          <w:rStyle w:val="af7"/>
          <w:rFonts w:eastAsia="Guttman Hodes"/>
        </w:rPr>
        <w:instrText>MERGEFORMAT</w:instrText>
      </w:r>
      <w:r w:rsidRPr="00A563CC">
        <w:rPr>
          <w:rStyle w:val="af7"/>
          <w:rFonts w:eastAsia="Guttman Hodes"/>
          <w:rtl/>
        </w:rPr>
        <w:instrText xml:space="preserve"> </w:instrText>
      </w:r>
      <w:r w:rsidRPr="00A563CC">
        <w:rPr>
          <w:rStyle w:val="af7"/>
          <w:rFonts w:eastAsia="Guttman Hodes"/>
          <w:rtl/>
        </w:rPr>
      </w:r>
      <w:r w:rsidRPr="00A563CC">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A563CC">
        <w:rPr>
          <w:rStyle w:val="af7"/>
          <w:rFonts w:eastAsia="Guttman Hodes"/>
          <w:rtl/>
        </w:rPr>
        <w:fldChar w:fldCharType="end"/>
      </w:r>
      <w:r w:rsidRPr="00A563CC">
        <w:rPr>
          <w:rFonts w:hint="cs"/>
          <w:rtl/>
        </w:rPr>
        <w:t xml:space="preserve"> דהיאך אמר רבא דהוי חזקה, כיון דס"ל לרבא דהעברת דרך אינה מבטלת את החזקה, וכתב </w:t>
      </w:r>
      <w:r w:rsidRPr="00A563CC">
        <w:rPr>
          <w:rStyle w:val="af9"/>
          <w:rFonts w:hint="cs"/>
          <w:rtl/>
        </w:rPr>
        <w:t>הקצוה"ח</w:t>
      </w:r>
      <w:r w:rsidRPr="00A563CC">
        <w:rPr>
          <w:rFonts w:hint="cs"/>
          <w:rtl/>
        </w:rPr>
        <w:t xml:space="preserve"> דכיון דלדעת </w:t>
      </w:r>
      <w:r w:rsidRPr="00A563CC">
        <w:rPr>
          <w:rStyle w:val="af9"/>
          <w:rFonts w:hint="cs"/>
          <w:rtl/>
        </w:rPr>
        <w:t>הרשב"ם</w:t>
      </w:r>
      <w:r w:rsidRPr="00A563CC">
        <w:rPr>
          <w:rFonts w:hint="cs"/>
          <w:rtl/>
        </w:rPr>
        <w:t xml:space="preserve"> העברת דרך מבטלת את החזקה, א"כ ודאי דאף רבא מודה לזה, וכ"מ דרבא נחלק על ר"נ, הוא רק דלר"נ על המחזיק לברר את חזקתו, ולרבא על המערער להביא ראיה, מדין המוציא מחבירו עליו הראיה, וכתב </w:t>
      </w:r>
      <w:r w:rsidRPr="00A563CC">
        <w:rPr>
          <w:rStyle w:val="af9"/>
          <w:rFonts w:hint="cs"/>
          <w:rtl/>
        </w:rPr>
        <w:t>הקצוה"ח</w:t>
      </w:r>
      <w:r w:rsidRPr="00A563CC">
        <w:rPr>
          <w:rFonts w:hint="cs"/>
          <w:rtl/>
        </w:rPr>
        <w:t xml:space="preserve"> דודאי </w:t>
      </w:r>
      <w:r w:rsidRPr="00A563CC">
        <w:rPr>
          <w:rStyle w:val="af9"/>
          <w:rFonts w:hint="cs"/>
          <w:rtl/>
        </w:rPr>
        <w:t>דלהרשב"ם</w:t>
      </w:r>
      <w:r w:rsidRPr="00A563CC">
        <w:rPr>
          <w:rFonts w:hint="cs"/>
          <w:rtl/>
        </w:rPr>
        <w:t xml:space="preserve"> מודה רבא דאם הביא המערער ראיה שהיה לו דרך על המחזיק, הוא מוציא מהמחזיק,</w:t>
      </w:r>
      <w:r>
        <w:rPr>
          <w:rFonts w:hint="cs"/>
          <w:rtl/>
        </w:rPr>
        <w:t xml:space="preserve"> </w:t>
      </w:r>
      <w:r w:rsidRPr="00A563CC">
        <w:rPr>
          <w:rFonts w:hint="cs"/>
          <w:rtl/>
        </w:rPr>
        <w:t xml:space="preserve">ועי' במה שהקשה </w:t>
      </w:r>
      <w:r w:rsidRPr="00A563CC">
        <w:rPr>
          <w:rStyle w:val="af9"/>
          <w:rFonts w:hint="cs"/>
          <w:rtl/>
        </w:rPr>
        <w:t>בחי' רבי שמעון</w:t>
      </w:r>
      <w:r w:rsidRPr="00A563CC">
        <w:rPr>
          <w:rFonts w:hint="cs"/>
          <w:rtl/>
        </w:rPr>
        <w:t xml:space="preserve"> </w:t>
      </w:r>
      <w:r w:rsidRPr="00A563CC">
        <w:rPr>
          <w:rStyle w:val="af7"/>
          <w:rFonts w:eastAsia="Guttman Hodes" w:hint="cs"/>
          <w:rtl/>
        </w:rPr>
        <w:t xml:space="preserve">(עי' אות </w:t>
      </w:r>
      <w:r w:rsidRPr="00A563CC">
        <w:rPr>
          <w:rStyle w:val="af7"/>
          <w:rFonts w:eastAsia="Guttman Hodes"/>
          <w:rtl/>
        </w:rPr>
        <w:fldChar w:fldCharType="begin"/>
      </w:r>
      <w:r w:rsidRPr="00A563CC">
        <w:rPr>
          <w:rStyle w:val="af7"/>
          <w:rFonts w:eastAsia="Guttman Hodes"/>
          <w:rtl/>
        </w:rPr>
        <w:instrText xml:space="preserve"> </w:instrText>
      </w:r>
      <w:r w:rsidRPr="00A563CC">
        <w:rPr>
          <w:rStyle w:val="af7"/>
          <w:rFonts w:eastAsia="Guttman Hodes" w:hint="cs"/>
        </w:rPr>
        <w:instrText>REF</w:instrText>
      </w:r>
      <w:r w:rsidRPr="00A563CC">
        <w:rPr>
          <w:rStyle w:val="af7"/>
          <w:rFonts w:eastAsia="Guttman Hodes" w:hint="cs"/>
          <w:rtl/>
        </w:rPr>
        <w:instrText xml:space="preserve"> _</w:instrText>
      </w:r>
      <w:r w:rsidRPr="00A563CC">
        <w:rPr>
          <w:rStyle w:val="af7"/>
          <w:rFonts w:eastAsia="Guttman Hodes" w:hint="cs"/>
        </w:rPr>
        <w:instrText>Ref57223156 \r \h</w:instrText>
      </w:r>
      <w:r w:rsidRPr="00A563CC">
        <w:rPr>
          <w:rStyle w:val="af7"/>
          <w:rFonts w:eastAsia="Guttman Hodes"/>
          <w:rtl/>
        </w:rPr>
        <w:instrText xml:space="preserve">  \* </w:instrText>
      </w:r>
      <w:r w:rsidRPr="00A563CC">
        <w:rPr>
          <w:rStyle w:val="af7"/>
          <w:rFonts w:eastAsia="Guttman Hodes"/>
        </w:rPr>
        <w:instrText>MERGEFORMAT</w:instrText>
      </w:r>
      <w:r w:rsidRPr="00A563CC">
        <w:rPr>
          <w:rStyle w:val="af7"/>
          <w:rFonts w:eastAsia="Guttman Hodes"/>
          <w:rtl/>
        </w:rPr>
        <w:instrText xml:space="preserve"> </w:instrText>
      </w:r>
      <w:r w:rsidRPr="00A563CC">
        <w:rPr>
          <w:rStyle w:val="af7"/>
          <w:rFonts w:eastAsia="Guttman Hodes"/>
          <w:rtl/>
        </w:rPr>
      </w:r>
      <w:r w:rsidRPr="00A563CC">
        <w:rPr>
          <w:rStyle w:val="af7"/>
          <w:rFonts w:eastAsia="Guttman Hodes"/>
          <w:rtl/>
        </w:rPr>
        <w:fldChar w:fldCharType="separate"/>
      </w:r>
      <w:r w:rsidR="00265073">
        <w:rPr>
          <w:rStyle w:val="af7"/>
          <w:rFonts w:eastAsia="Guttman Hodes"/>
          <w:cs/>
        </w:rPr>
        <w:t>‎</w:t>
      </w:r>
      <w:r w:rsidR="00265073">
        <w:rPr>
          <w:rStyle w:val="af7"/>
          <w:rFonts w:eastAsia="Guttman Hodes"/>
          <w:rtl/>
        </w:rPr>
        <w:t>קמא)</w:t>
      </w:r>
      <w:r w:rsidRPr="00A563CC">
        <w:rPr>
          <w:rStyle w:val="af7"/>
          <w:rFonts w:eastAsia="Guttman Hodes"/>
          <w:rtl/>
        </w:rPr>
        <w:fldChar w:fldCharType="end"/>
      </w:r>
      <w:r w:rsidRPr="00A563CC">
        <w:rPr>
          <w:rFonts w:hint="cs"/>
          <w:rtl/>
        </w:rPr>
        <w:t xml:space="preserve"> על דברי </w:t>
      </w:r>
      <w:r w:rsidRPr="00A563CC">
        <w:rPr>
          <w:rStyle w:val="af9"/>
          <w:rFonts w:hint="cs"/>
          <w:rtl/>
        </w:rPr>
        <w:t>הקצוה"ח</w:t>
      </w:r>
      <w:r>
        <w:rPr>
          <w:rFonts w:hint="cs"/>
          <w:rtl/>
        </w:rPr>
        <w:t>.</w:t>
      </w:r>
      <w:bookmarkEnd w:id="6671"/>
    </w:p>
    <w:p w:rsidR="0019070E" w:rsidRDefault="0019070E" w:rsidP="0019070E">
      <w:pPr>
        <w:pStyle w:val="a3"/>
        <w:rPr>
          <w:rtl/>
        </w:rPr>
      </w:pPr>
      <w:bookmarkStart w:id="6672" w:name="_Toc57310447"/>
      <w:bookmarkStart w:id="6673" w:name="_Toc57322999"/>
      <w:bookmarkStart w:id="6674" w:name="_Toc57323108"/>
      <w:bookmarkStart w:id="6675" w:name="_Toc57370333"/>
      <w:bookmarkStart w:id="6676" w:name="_Toc57491502"/>
      <w:bookmarkStart w:id="6677" w:name="_Toc57495313"/>
      <w:bookmarkStart w:id="6678" w:name="_Toc57544455"/>
      <w:bookmarkStart w:id="6679" w:name="_Toc58184959"/>
      <w:r>
        <w:rPr>
          <w:rFonts w:hint="cs"/>
          <w:rtl/>
        </w:rPr>
        <w:t>דברי הקצוה"ח דהרמב"ן לא הקשה בדרך ממה נפשך אלא דכיון שיש לו דרך ל"ה אף לרבא</w:t>
      </w:r>
      <w:bookmarkEnd w:id="6672"/>
      <w:bookmarkEnd w:id="6673"/>
      <w:bookmarkEnd w:id="6674"/>
      <w:bookmarkEnd w:id="6675"/>
      <w:bookmarkEnd w:id="6676"/>
      <w:bookmarkEnd w:id="6677"/>
      <w:bookmarkEnd w:id="6678"/>
      <w:bookmarkEnd w:id="6679"/>
    </w:p>
    <w:p w:rsidR="0019070E" w:rsidRDefault="0019070E" w:rsidP="007E4E81">
      <w:pPr>
        <w:pStyle w:val="a0"/>
        <w:rPr>
          <w:rtl/>
        </w:rPr>
      </w:pPr>
      <w:bookmarkStart w:id="6680" w:name="_Ref57321305"/>
      <w:r>
        <w:rPr>
          <w:rFonts w:hint="cs"/>
          <w:rtl/>
        </w:rPr>
        <w:t xml:space="preserve">וכתב </w:t>
      </w:r>
      <w:r w:rsidRPr="0067162D">
        <w:rPr>
          <w:rStyle w:val="af9"/>
          <w:rFonts w:hint="cs"/>
          <w:rtl/>
        </w:rPr>
        <w:t>הקצוה"ח</w:t>
      </w:r>
      <w:r>
        <w:rPr>
          <w:rFonts w:hint="cs"/>
          <w:rtl/>
        </w:rPr>
        <w:t xml:space="preserve"> דלפי"ז הקושיה הב' </w:t>
      </w:r>
      <w:r w:rsidRPr="0067162D">
        <w:rPr>
          <w:rStyle w:val="af9"/>
          <w:rFonts w:hint="cs"/>
          <w:rtl/>
        </w:rPr>
        <w:t>ברמב"ן</w:t>
      </w:r>
      <w:r>
        <w:rPr>
          <w:rFonts w:hint="cs"/>
          <w:rtl/>
        </w:rPr>
        <w:t xml:space="preserve"> </w:t>
      </w:r>
      <w:r w:rsidRPr="00EC127D">
        <w:rPr>
          <w:rStyle w:val="af7"/>
          <w:rFonts w:eastAsia="Guttman Hodes" w:hint="cs"/>
          <w:rtl/>
        </w:rPr>
        <w:t xml:space="preserve">(עי' אות </w:t>
      </w:r>
      <w:r w:rsidRPr="00EC127D">
        <w:rPr>
          <w:rStyle w:val="af7"/>
          <w:rFonts w:eastAsia="Guttman Hodes"/>
          <w:rtl/>
        </w:rPr>
        <w:fldChar w:fldCharType="begin"/>
      </w:r>
      <w:r w:rsidRPr="00EC127D">
        <w:rPr>
          <w:rStyle w:val="af7"/>
          <w:rFonts w:eastAsia="Guttman Hodes"/>
          <w:rtl/>
        </w:rPr>
        <w:instrText xml:space="preserve"> </w:instrText>
      </w:r>
      <w:r w:rsidRPr="00EC127D">
        <w:rPr>
          <w:rStyle w:val="af7"/>
          <w:rFonts w:eastAsia="Guttman Hodes" w:hint="cs"/>
        </w:rPr>
        <w:instrText>REF</w:instrText>
      </w:r>
      <w:r w:rsidRPr="00EC127D">
        <w:rPr>
          <w:rStyle w:val="af7"/>
          <w:rFonts w:eastAsia="Guttman Hodes" w:hint="cs"/>
          <w:rtl/>
        </w:rPr>
        <w:instrText xml:space="preserve"> _</w:instrText>
      </w:r>
      <w:r w:rsidRPr="00EC127D">
        <w:rPr>
          <w:rStyle w:val="af7"/>
          <w:rFonts w:eastAsia="Guttman Hodes" w:hint="cs"/>
        </w:rPr>
        <w:instrText>Ref57051211 \r \h</w:instrText>
      </w:r>
      <w:r w:rsidRPr="00EC127D">
        <w:rPr>
          <w:rStyle w:val="af7"/>
          <w:rFonts w:eastAsia="Guttman Hodes"/>
          <w:rtl/>
        </w:rPr>
        <w:instrText xml:space="preserve"> </w:instrText>
      </w:r>
      <w:r w:rsidRPr="00EC127D">
        <w:rPr>
          <w:rStyle w:val="af7"/>
          <w:rFonts w:eastAsia="Guttman Hodes"/>
          <w:rtl/>
        </w:rPr>
      </w:r>
      <w:r w:rsidRPr="00EC127D">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EC127D">
        <w:rPr>
          <w:rStyle w:val="af7"/>
          <w:rFonts w:eastAsia="Guttman Hodes"/>
          <w:rtl/>
        </w:rPr>
        <w:fldChar w:fldCharType="end"/>
      </w:r>
      <w:r>
        <w:rPr>
          <w:rFonts w:hint="cs"/>
          <w:rtl/>
        </w:rPr>
        <w:t xml:space="preserve"> אינה בדרך ממה נפשך, כדביאר </w:t>
      </w:r>
      <w:r w:rsidRPr="0067162D">
        <w:rPr>
          <w:rStyle w:val="af9"/>
          <w:rFonts w:hint="cs"/>
          <w:rtl/>
        </w:rPr>
        <w:t>הב"ח בתשו'</w:t>
      </w:r>
      <w:r>
        <w:rPr>
          <w:rFonts w:hint="cs"/>
          <w:rtl/>
        </w:rPr>
        <w:t xml:space="preserve"> </w:t>
      </w:r>
      <w:r w:rsidRPr="00EC127D">
        <w:rPr>
          <w:rStyle w:val="af7"/>
          <w:rFonts w:eastAsia="Guttman Hodes" w:hint="cs"/>
          <w:rtl/>
        </w:rPr>
        <w:t xml:space="preserve">(עי' אות </w:t>
      </w:r>
      <w:r w:rsidRPr="00EC127D">
        <w:rPr>
          <w:rStyle w:val="af7"/>
          <w:rFonts w:eastAsia="Guttman Hodes"/>
          <w:rtl/>
        </w:rPr>
        <w:fldChar w:fldCharType="begin"/>
      </w:r>
      <w:r w:rsidRPr="00EC127D">
        <w:rPr>
          <w:rStyle w:val="af7"/>
          <w:rFonts w:eastAsia="Guttman Hodes"/>
          <w:rtl/>
        </w:rPr>
        <w:instrText xml:space="preserve"> </w:instrText>
      </w:r>
      <w:r w:rsidRPr="00EC127D">
        <w:rPr>
          <w:rStyle w:val="af7"/>
          <w:rFonts w:eastAsia="Guttman Hodes" w:hint="cs"/>
        </w:rPr>
        <w:instrText>REF</w:instrText>
      </w:r>
      <w:r w:rsidRPr="00EC127D">
        <w:rPr>
          <w:rStyle w:val="af7"/>
          <w:rFonts w:eastAsia="Guttman Hodes" w:hint="cs"/>
          <w:rtl/>
        </w:rPr>
        <w:instrText xml:space="preserve"> _</w:instrText>
      </w:r>
      <w:r w:rsidRPr="00EC127D">
        <w:rPr>
          <w:rStyle w:val="af7"/>
          <w:rFonts w:eastAsia="Guttman Hodes" w:hint="cs"/>
        </w:rPr>
        <w:instrText>Ref57060936 \r \h</w:instrText>
      </w:r>
      <w:r w:rsidRPr="00EC127D">
        <w:rPr>
          <w:rStyle w:val="af7"/>
          <w:rFonts w:eastAsia="Guttman Hodes"/>
          <w:rtl/>
        </w:rPr>
        <w:instrText xml:space="preserve"> </w:instrText>
      </w:r>
      <w:r w:rsidRPr="00EC127D">
        <w:rPr>
          <w:rStyle w:val="af7"/>
          <w:rFonts w:eastAsia="Guttman Hodes"/>
          <w:rtl/>
        </w:rPr>
      </w:r>
      <w:r w:rsidRPr="00EC127D">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EC127D">
        <w:rPr>
          <w:rStyle w:val="af7"/>
          <w:rFonts w:eastAsia="Guttman Hodes"/>
          <w:rtl/>
        </w:rPr>
        <w:fldChar w:fldCharType="end"/>
      </w:r>
      <w:r>
        <w:rPr>
          <w:rFonts w:hint="cs"/>
          <w:rtl/>
        </w:rPr>
        <w:t xml:space="preserve">, אלא היא קושיה בפנ"ע, דכיון דמודה רבא דהעברת דרך מבטלת רשות, הקשה </w:t>
      </w:r>
      <w:r w:rsidRPr="00926E57">
        <w:rPr>
          <w:rStyle w:val="af9"/>
          <w:rFonts w:hint="cs"/>
          <w:rtl/>
        </w:rPr>
        <w:t>הרמב"ן</w:t>
      </w:r>
      <w:r>
        <w:rPr>
          <w:rFonts w:hint="cs"/>
          <w:rtl/>
        </w:rPr>
        <w:t xml:space="preserve"> דאמאי אמר רבא דעל המערער להביא ראיה, והרי כל שהמחזיק מתגורר בבית יחד עם הבעלים, לא הוי חזקה.</w:t>
      </w:r>
      <w:bookmarkEnd w:id="6680"/>
    </w:p>
    <w:p w:rsidR="0019070E" w:rsidRPr="005F2A77" w:rsidRDefault="0019070E" w:rsidP="0019070E">
      <w:pPr>
        <w:pStyle w:val="a3"/>
        <w:rPr>
          <w:rtl/>
        </w:rPr>
      </w:pPr>
      <w:bookmarkStart w:id="6681" w:name="_Toc57310448"/>
      <w:bookmarkStart w:id="6682" w:name="_Toc57323000"/>
      <w:bookmarkStart w:id="6683" w:name="_Toc57323109"/>
      <w:bookmarkStart w:id="6684" w:name="_Toc57370334"/>
      <w:bookmarkStart w:id="6685" w:name="_Toc57491503"/>
      <w:bookmarkStart w:id="6686" w:name="_Toc57495314"/>
      <w:bookmarkStart w:id="6687" w:name="_Toc57544456"/>
      <w:bookmarkStart w:id="6688" w:name="_Toc58184960"/>
      <w:r>
        <w:rPr>
          <w:rFonts w:hint="cs"/>
          <w:rtl/>
        </w:rPr>
        <w:lastRenderedPageBreak/>
        <w:t>הוכחת הקצוה"ח דרבא מודה לר"נ בעיקר החזקה ונחלק רק בראיה מהא דמקשה הגמ' מבר סיסין</w:t>
      </w:r>
      <w:bookmarkEnd w:id="6681"/>
      <w:bookmarkEnd w:id="6682"/>
      <w:bookmarkEnd w:id="6683"/>
      <w:bookmarkEnd w:id="6684"/>
      <w:bookmarkEnd w:id="6685"/>
      <w:bookmarkEnd w:id="6686"/>
      <w:bookmarkEnd w:id="6687"/>
      <w:bookmarkEnd w:id="6688"/>
    </w:p>
    <w:p w:rsidR="0019070E" w:rsidRDefault="0019070E" w:rsidP="007E4E81">
      <w:pPr>
        <w:pStyle w:val="a0"/>
        <w:rPr>
          <w:rtl/>
        </w:rPr>
      </w:pPr>
      <w:r>
        <w:rPr>
          <w:rFonts w:hint="cs"/>
          <w:rtl/>
        </w:rPr>
        <w:t xml:space="preserve">וכתב </w:t>
      </w:r>
      <w:r w:rsidRPr="0067162D">
        <w:rPr>
          <w:rStyle w:val="af9"/>
          <w:rFonts w:hint="cs"/>
          <w:rtl/>
        </w:rPr>
        <w:t>הקצוה"ח</w:t>
      </w:r>
      <w:r>
        <w:rPr>
          <w:rFonts w:hint="cs"/>
          <w:rtl/>
        </w:rPr>
        <w:t xml:space="preserve"> דכן מוכח מהא דמקשה הגמ' </w:t>
      </w:r>
      <w:r w:rsidRPr="00EC127D">
        <w:rPr>
          <w:rStyle w:val="af7"/>
          <w:rFonts w:eastAsia="Guttman Hodes" w:hint="cs"/>
          <w:rtl/>
        </w:rPr>
        <w:t>(ל.)</w:t>
      </w:r>
      <w:r>
        <w:rPr>
          <w:rFonts w:hint="cs"/>
          <w:rtl/>
        </w:rPr>
        <w:t xml:space="preserve"> </w:t>
      </w:r>
      <w:r>
        <w:rPr>
          <w:rtl/>
        </w:rPr>
        <w:t>דרבא אדרבא ודר"נ אדר"נ</w:t>
      </w:r>
      <w:r>
        <w:rPr>
          <w:rFonts w:hint="cs"/>
          <w:rtl/>
        </w:rPr>
        <w:t>,</w:t>
      </w:r>
      <w:r>
        <w:rPr>
          <w:rtl/>
        </w:rPr>
        <w:t xml:space="preserve"> </w:t>
      </w:r>
      <w:r>
        <w:rPr>
          <w:rFonts w:hint="cs"/>
          <w:rtl/>
        </w:rPr>
        <w:t xml:space="preserve">מנכסי דבר סיסין, דר"נ העמיד שם ביד המוכר, ורבא העמיד ביד הלוקח, ולדברי </w:t>
      </w:r>
      <w:r w:rsidRPr="0067162D">
        <w:rPr>
          <w:rStyle w:val="af9"/>
          <w:rFonts w:hint="cs"/>
          <w:rtl/>
        </w:rPr>
        <w:t>הב"ח בתשו'</w:t>
      </w:r>
      <w:r>
        <w:rPr>
          <w:rFonts w:hint="cs"/>
          <w:rtl/>
        </w:rPr>
        <w:t xml:space="preserve"> </w:t>
      </w:r>
      <w:r w:rsidRPr="00EC127D">
        <w:rPr>
          <w:rStyle w:val="af7"/>
          <w:rFonts w:eastAsia="Guttman Hodes" w:hint="cs"/>
          <w:rtl/>
        </w:rPr>
        <w:t xml:space="preserve">(עי' אות </w:t>
      </w:r>
      <w:r w:rsidRPr="00EC127D">
        <w:rPr>
          <w:rStyle w:val="af7"/>
          <w:rFonts w:eastAsia="Guttman Hodes"/>
          <w:rtl/>
        </w:rPr>
        <w:fldChar w:fldCharType="begin"/>
      </w:r>
      <w:r w:rsidRPr="00EC127D">
        <w:rPr>
          <w:rStyle w:val="af7"/>
          <w:rFonts w:eastAsia="Guttman Hodes"/>
          <w:rtl/>
        </w:rPr>
        <w:instrText xml:space="preserve"> </w:instrText>
      </w:r>
      <w:r w:rsidRPr="00EC127D">
        <w:rPr>
          <w:rStyle w:val="af7"/>
          <w:rFonts w:eastAsia="Guttman Hodes" w:hint="cs"/>
        </w:rPr>
        <w:instrText>REF</w:instrText>
      </w:r>
      <w:r w:rsidRPr="00EC127D">
        <w:rPr>
          <w:rStyle w:val="af7"/>
          <w:rFonts w:eastAsia="Guttman Hodes" w:hint="cs"/>
          <w:rtl/>
        </w:rPr>
        <w:instrText xml:space="preserve"> _</w:instrText>
      </w:r>
      <w:r w:rsidRPr="00EC127D">
        <w:rPr>
          <w:rStyle w:val="af7"/>
          <w:rFonts w:eastAsia="Guttman Hodes" w:hint="cs"/>
        </w:rPr>
        <w:instrText>Ref57051178 \r \h</w:instrText>
      </w:r>
      <w:r w:rsidRPr="00EC127D">
        <w:rPr>
          <w:rStyle w:val="af7"/>
          <w:rFonts w:eastAsia="Guttman Hodes"/>
          <w:rtl/>
        </w:rPr>
        <w:instrText xml:space="preserve"> </w:instrText>
      </w:r>
      <w:r w:rsidRPr="00EC127D">
        <w:rPr>
          <w:rStyle w:val="af7"/>
          <w:rFonts w:eastAsia="Guttman Hodes"/>
          <w:rtl/>
        </w:rPr>
      </w:r>
      <w:r w:rsidRPr="00EC127D">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EC127D">
        <w:rPr>
          <w:rStyle w:val="af7"/>
          <w:rFonts w:eastAsia="Guttman Hodes"/>
          <w:rtl/>
        </w:rPr>
        <w:fldChar w:fldCharType="end"/>
      </w:r>
      <w:r>
        <w:rPr>
          <w:rFonts w:hint="cs"/>
          <w:rtl/>
        </w:rPr>
        <w:t xml:space="preserve"> דרבא נחלק על ר"נ בעיקר הדין וס"ל דהעברת דרך אינה מבטלת את החזקה, א"כ לא קשיא מרבא על רבא כלל, אלא כתב </w:t>
      </w:r>
      <w:r w:rsidRPr="0008207E">
        <w:rPr>
          <w:rStyle w:val="af9"/>
          <w:rFonts w:hint="cs"/>
          <w:rtl/>
        </w:rPr>
        <w:t>הקצוה"ח</w:t>
      </w:r>
      <w:r>
        <w:rPr>
          <w:rFonts w:hint="cs"/>
          <w:rtl/>
        </w:rPr>
        <w:t xml:space="preserve"> דמוכח דרבא מודה לר"נ בעיקר החזקה, אלא דס"ל לרבא דכיון שאין למערער ראיה שהיה לו דרך בבית החיצון, עליו להביא ראיה.</w:t>
      </w:r>
    </w:p>
    <w:p w:rsidR="0019070E" w:rsidRDefault="0019070E" w:rsidP="0019070E">
      <w:pPr>
        <w:pStyle w:val="a3"/>
        <w:rPr>
          <w:rtl/>
        </w:rPr>
      </w:pPr>
      <w:bookmarkStart w:id="6689" w:name="_Toc57310449"/>
      <w:bookmarkStart w:id="6690" w:name="_Toc57323001"/>
      <w:bookmarkStart w:id="6691" w:name="_Toc57323110"/>
      <w:bookmarkStart w:id="6692" w:name="_Toc57370335"/>
      <w:bookmarkStart w:id="6693" w:name="_Toc57491504"/>
      <w:bookmarkStart w:id="6694" w:name="_Toc57495315"/>
      <w:bookmarkStart w:id="6695" w:name="_Toc57544457"/>
      <w:bookmarkStart w:id="6696" w:name="_Toc58184961"/>
      <w:r>
        <w:rPr>
          <w:rFonts w:hint="cs"/>
          <w:rtl/>
        </w:rPr>
        <w:t>דברי הקצוה"ח דרבא ור"נ נחלקו בכל ספק בחזקה האם המערער צריך לברר או המחזיק</w:t>
      </w:r>
      <w:bookmarkEnd w:id="6689"/>
      <w:bookmarkEnd w:id="6690"/>
      <w:bookmarkEnd w:id="6691"/>
      <w:bookmarkEnd w:id="6692"/>
      <w:bookmarkEnd w:id="6693"/>
      <w:bookmarkEnd w:id="6694"/>
      <w:bookmarkEnd w:id="6695"/>
      <w:bookmarkEnd w:id="6696"/>
    </w:p>
    <w:p w:rsidR="0019070E" w:rsidRPr="00293A9D" w:rsidRDefault="0019070E" w:rsidP="007E4E81">
      <w:pPr>
        <w:pStyle w:val="a0"/>
        <w:rPr>
          <w:rtl/>
        </w:rPr>
      </w:pPr>
      <w:bookmarkStart w:id="6697" w:name="_Ref57288297"/>
      <w:r>
        <w:rPr>
          <w:rFonts w:hint="cs"/>
          <w:rtl/>
        </w:rPr>
        <w:t xml:space="preserve">וע"ע במה שביאר </w:t>
      </w:r>
      <w:r w:rsidRPr="00A070B7">
        <w:rPr>
          <w:rStyle w:val="af9"/>
          <w:rFonts w:hint="cs"/>
          <w:rtl/>
        </w:rPr>
        <w:t>הקצוה"ח</w:t>
      </w:r>
      <w:r>
        <w:rPr>
          <w:rFonts w:hint="cs"/>
          <w:rtl/>
        </w:rPr>
        <w:t xml:space="preserve"> </w:t>
      </w:r>
      <w:r w:rsidRPr="00247881">
        <w:rPr>
          <w:rStyle w:val="af7"/>
          <w:rFonts w:eastAsia="Guttman Hodes" w:hint="cs"/>
          <w:rtl/>
        </w:rPr>
        <w:t>(סי' קנ"ה סקט"ז)</w:t>
      </w:r>
      <w:r>
        <w:rPr>
          <w:rFonts w:hint="cs"/>
          <w:rtl/>
        </w:rPr>
        <w:t xml:space="preserve"> בעיקר פלוגתת רבא ור"נ, דנחלקו בכל ספק בחזקה, דלר"נ על המחזיק לברר את אכילתו, ולרבא על המערער לברר שלא הייתה חזקה, ועי' במה שהקשה </w:t>
      </w:r>
      <w:r w:rsidRPr="00247881">
        <w:rPr>
          <w:rStyle w:val="af9"/>
          <w:rFonts w:hint="cs"/>
          <w:rtl/>
        </w:rPr>
        <w:t>בחי' הגר"ח מטעלז</w:t>
      </w:r>
      <w:r w:rsidRPr="00293A9D">
        <w:rPr>
          <w:rStyle w:val="af7"/>
          <w:rFonts w:eastAsia="Guttman Hodes" w:hint="cs"/>
          <w:rtl/>
        </w:rPr>
        <w:t xml:space="preserve"> (עי' אות </w:t>
      </w:r>
      <w:r w:rsidRPr="00293A9D">
        <w:rPr>
          <w:rStyle w:val="af7"/>
          <w:rFonts w:eastAsia="Guttman Hodes"/>
          <w:rtl/>
        </w:rPr>
        <w:fldChar w:fldCharType="begin"/>
      </w:r>
      <w:r w:rsidRPr="00293A9D">
        <w:rPr>
          <w:rStyle w:val="af7"/>
          <w:rFonts w:eastAsia="Guttman Hodes"/>
          <w:rtl/>
        </w:rPr>
        <w:instrText xml:space="preserve"> </w:instrText>
      </w:r>
      <w:r w:rsidRPr="00293A9D">
        <w:rPr>
          <w:rStyle w:val="af7"/>
          <w:rFonts w:eastAsia="Guttman Hodes" w:hint="cs"/>
        </w:rPr>
        <w:instrText>REF</w:instrText>
      </w:r>
      <w:r w:rsidRPr="00293A9D">
        <w:rPr>
          <w:rStyle w:val="af7"/>
          <w:rFonts w:eastAsia="Guttman Hodes" w:hint="cs"/>
          <w:rtl/>
        </w:rPr>
        <w:instrText xml:space="preserve"> _</w:instrText>
      </w:r>
      <w:r w:rsidRPr="00293A9D">
        <w:rPr>
          <w:rStyle w:val="af7"/>
          <w:rFonts w:eastAsia="Guttman Hodes" w:hint="cs"/>
        </w:rPr>
        <w:instrText>Ref57288202 \r \h</w:instrText>
      </w:r>
      <w:r w:rsidRPr="00293A9D">
        <w:rPr>
          <w:rStyle w:val="af7"/>
          <w:rFonts w:eastAsia="Guttman Hodes"/>
          <w:rtl/>
        </w:rPr>
        <w:instrText xml:space="preserve"> </w:instrText>
      </w:r>
      <w:r w:rsidRPr="00293A9D">
        <w:rPr>
          <w:rStyle w:val="af7"/>
          <w:rFonts w:eastAsia="Guttman Hodes"/>
          <w:rtl/>
        </w:rPr>
      </w:r>
      <w:r w:rsidRPr="00293A9D">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293A9D">
        <w:rPr>
          <w:rStyle w:val="af7"/>
          <w:rFonts w:eastAsia="Guttman Hodes"/>
          <w:rtl/>
        </w:rPr>
        <w:fldChar w:fldCharType="end"/>
      </w:r>
      <w:bookmarkEnd w:id="6697"/>
      <w:r>
        <w:rPr>
          <w:rFonts w:hint="cs"/>
          <w:rtl/>
        </w:rPr>
        <w:t xml:space="preserve"> על</w:t>
      </w:r>
      <w:r w:rsidRPr="005B473D">
        <w:rPr>
          <w:rStyle w:val="af9"/>
          <w:rFonts w:hint="cs"/>
          <w:rtl/>
        </w:rPr>
        <w:t xml:space="preserve"> </w:t>
      </w:r>
      <w:r w:rsidRPr="00A070B7">
        <w:rPr>
          <w:rStyle w:val="af9"/>
          <w:rFonts w:hint="cs"/>
          <w:rtl/>
        </w:rPr>
        <w:t>הקצוה"ח</w:t>
      </w:r>
      <w:r>
        <w:rPr>
          <w:rFonts w:hint="cs"/>
          <w:rtl/>
        </w:rPr>
        <w:t>.</w:t>
      </w:r>
    </w:p>
    <w:p w:rsidR="0019070E" w:rsidRDefault="0019070E" w:rsidP="0019070E">
      <w:pPr>
        <w:pStyle w:val="1"/>
        <w:rPr>
          <w:rtl/>
        </w:rPr>
      </w:pPr>
      <w:r>
        <w:rPr>
          <w:noProof/>
          <w:rtl/>
        </w:rPr>
        <w:t xml:space="preserve">ביאור החת"ס </w:t>
      </w:r>
      <w:r>
        <w:rPr>
          <w:rFonts w:hint="cs"/>
          <w:noProof/>
          <w:rtl/>
        </w:rPr>
        <w:t xml:space="preserve">בב"ח </w:t>
      </w:r>
      <w:r>
        <w:rPr>
          <w:noProof/>
          <w:rtl/>
        </w:rPr>
        <w:t>ב</w:t>
      </w:r>
      <w:r>
        <w:rPr>
          <w:rFonts w:hint="cs"/>
          <w:noProof/>
          <w:rtl/>
        </w:rPr>
        <w:t>תי' ה</w:t>
      </w:r>
      <w:r>
        <w:rPr>
          <w:noProof/>
          <w:rtl/>
        </w:rPr>
        <w:t xml:space="preserve">רשב"ם </w:t>
      </w:r>
      <w:r>
        <w:rPr>
          <w:rFonts w:hint="cs"/>
          <w:noProof/>
          <w:rtl/>
        </w:rPr>
        <w:t>על ב' הקושיות של הרמב"ן</w:t>
      </w:r>
    </w:p>
    <w:p w:rsidR="0019070E" w:rsidRDefault="0019070E" w:rsidP="0019070E">
      <w:pPr>
        <w:pStyle w:val="a3"/>
        <w:rPr>
          <w:rtl/>
        </w:rPr>
      </w:pPr>
      <w:bookmarkStart w:id="6698" w:name="_Toc57310451"/>
      <w:bookmarkStart w:id="6699" w:name="_Toc57323003"/>
      <w:bookmarkStart w:id="6700" w:name="_Toc57323112"/>
      <w:bookmarkStart w:id="6701" w:name="_Toc57370337"/>
      <w:bookmarkStart w:id="6702" w:name="_Toc57491506"/>
      <w:bookmarkStart w:id="6703" w:name="_Toc57495317"/>
      <w:bookmarkStart w:id="6704" w:name="_Toc57544459"/>
      <w:bookmarkStart w:id="6705" w:name="_Toc58184963"/>
      <w:r>
        <w:rPr>
          <w:rFonts w:hint="cs"/>
          <w:rtl/>
        </w:rPr>
        <w:t>ביאור החת"ס בב"ח דלצד ברמב"ן דאיירי בדרך בלא שימוש אינו ביטול חזקה אלא כמחאה</w:t>
      </w:r>
    </w:p>
    <w:p w:rsidR="0019070E" w:rsidRDefault="0019070E" w:rsidP="007E4E81">
      <w:pPr>
        <w:pStyle w:val="a0"/>
        <w:rPr>
          <w:rtl/>
        </w:rPr>
      </w:pPr>
      <w:bookmarkStart w:id="6706" w:name="_Ref57281470"/>
      <w:bookmarkStart w:id="6707" w:name="_Ref59046262"/>
      <w:bookmarkEnd w:id="6698"/>
      <w:bookmarkEnd w:id="6699"/>
      <w:bookmarkEnd w:id="6700"/>
      <w:bookmarkEnd w:id="6701"/>
      <w:bookmarkEnd w:id="6702"/>
      <w:bookmarkEnd w:id="6703"/>
      <w:bookmarkEnd w:id="6704"/>
      <w:bookmarkEnd w:id="6705"/>
      <w:r>
        <w:rPr>
          <w:rFonts w:hint="cs"/>
          <w:rtl/>
        </w:rPr>
        <w:t xml:space="preserve">במ"ש </w:t>
      </w:r>
      <w:r w:rsidRPr="00771FC7">
        <w:rPr>
          <w:rStyle w:val="af9"/>
          <w:rFonts w:hint="cs"/>
          <w:rtl/>
        </w:rPr>
        <w:t>הב"ח</w:t>
      </w:r>
      <w:r>
        <w:rPr>
          <w:rStyle w:val="af9"/>
          <w:rFonts w:hint="cs"/>
          <w:rtl/>
        </w:rPr>
        <w:t xml:space="preserve"> בתשו'</w:t>
      </w:r>
      <w:r>
        <w:rPr>
          <w:rFonts w:hint="cs"/>
          <w:rtl/>
        </w:rPr>
        <w:t xml:space="preserve"> </w:t>
      </w:r>
      <w:r w:rsidRPr="00FD1E63">
        <w:rPr>
          <w:rStyle w:val="af7"/>
          <w:rFonts w:eastAsia="Guttman Hodes" w:hint="cs"/>
          <w:rtl/>
        </w:rPr>
        <w:t xml:space="preserve">(עי' אות </w:t>
      </w:r>
      <w:r w:rsidRPr="00FD1E63">
        <w:rPr>
          <w:rStyle w:val="af7"/>
          <w:rFonts w:eastAsia="Guttman Hodes"/>
          <w:rtl/>
        </w:rPr>
        <w:fldChar w:fldCharType="begin"/>
      </w:r>
      <w:r w:rsidRPr="00FD1E63">
        <w:rPr>
          <w:rStyle w:val="af7"/>
          <w:rFonts w:eastAsia="Guttman Hodes"/>
          <w:rtl/>
        </w:rPr>
        <w:instrText xml:space="preserve"> </w:instrText>
      </w:r>
      <w:r w:rsidRPr="00FD1E63">
        <w:rPr>
          <w:rStyle w:val="af7"/>
          <w:rFonts w:eastAsia="Guttman Hodes" w:hint="cs"/>
        </w:rPr>
        <w:instrText>REF</w:instrText>
      </w:r>
      <w:r w:rsidRPr="00FD1E63">
        <w:rPr>
          <w:rStyle w:val="af7"/>
          <w:rFonts w:eastAsia="Guttman Hodes" w:hint="cs"/>
          <w:rtl/>
        </w:rPr>
        <w:instrText xml:space="preserve"> _</w:instrText>
      </w:r>
      <w:r w:rsidRPr="00FD1E63">
        <w:rPr>
          <w:rStyle w:val="af7"/>
          <w:rFonts w:eastAsia="Guttman Hodes" w:hint="cs"/>
        </w:rPr>
        <w:instrText>Ref57060936 \r \h</w:instrText>
      </w:r>
      <w:r w:rsidRPr="00FD1E63">
        <w:rPr>
          <w:rStyle w:val="af7"/>
          <w:rFonts w:eastAsia="Guttman Hodes"/>
          <w:rtl/>
        </w:rPr>
        <w:instrText xml:space="preserve"> </w:instrText>
      </w:r>
      <w:r w:rsidRPr="00FD1E63">
        <w:rPr>
          <w:rStyle w:val="af7"/>
          <w:rFonts w:eastAsia="Guttman Hodes"/>
          <w:rtl/>
        </w:rPr>
      </w:r>
      <w:r w:rsidRPr="00FD1E63">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FD1E63">
        <w:rPr>
          <w:rStyle w:val="af7"/>
          <w:rFonts w:eastAsia="Guttman Hodes"/>
          <w:rtl/>
        </w:rPr>
        <w:fldChar w:fldCharType="end"/>
      </w:r>
      <w:r>
        <w:rPr>
          <w:rFonts w:hint="cs"/>
          <w:rtl/>
        </w:rPr>
        <w:t xml:space="preserve"> דב' הקושיות של </w:t>
      </w:r>
      <w:r w:rsidRPr="00771FC7">
        <w:rPr>
          <w:rStyle w:val="af9"/>
          <w:rFonts w:hint="cs"/>
          <w:rtl/>
        </w:rPr>
        <w:t>הרמב"ן</w:t>
      </w:r>
      <w:r>
        <w:rPr>
          <w:rFonts w:hint="cs"/>
          <w:rtl/>
        </w:rPr>
        <w:t xml:space="preserve"> הם בדרך ממה נפשך, ובמה שביאר </w:t>
      </w:r>
      <w:r w:rsidRPr="00771FC7">
        <w:rPr>
          <w:rStyle w:val="af9"/>
          <w:rFonts w:hint="cs"/>
          <w:rtl/>
        </w:rPr>
        <w:t>הב"ח</w:t>
      </w:r>
      <w:r>
        <w:rPr>
          <w:rFonts w:hint="cs"/>
          <w:rtl/>
        </w:rPr>
        <w:t xml:space="preserve"> </w:t>
      </w:r>
      <w:r w:rsidRPr="007B0DB7">
        <w:rPr>
          <w:rStyle w:val="af7"/>
          <w:rFonts w:eastAsia="Guttman Hodes" w:hint="cs"/>
          <w:rtl/>
        </w:rPr>
        <w:t xml:space="preserve">(עי' אות </w:t>
      </w:r>
      <w:r w:rsidRPr="007B0DB7">
        <w:rPr>
          <w:rStyle w:val="af7"/>
          <w:rFonts w:eastAsia="Guttman Hodes"/>
          <w:rtl/>
        </w:rPr>
        <w:fldChar w:fldCharType="begin"/>
      </w:r>
      <w:r w:rsidRPr="007B0DB7">
        <w:rPr>
          <w:rStyle w:val="af7"/>
          <w:rFonts w:eastAsia="Guttman Hodes"/>
          <w:rtl/>
        </w:rPr>
        <w:instrText xml:space="preserve"> </w:instrText>
      </w:r>
      <w:r w:rsidRPr="007B0DB7">
        <w:rPr>
          <w:rStyle w:val="af7"/>
          <w:rFonts w:eastAsia="Guttman Hodes" w:hint="cs"/>
        </w:rPr>
        <w:instrText>REF</w:instrText>
      </w:r>
      <w:r w:rsidRPr="007B0DB7">
        <w:rPr>
          <w:rStyle w:val="af7"/>
          <w:rFonts w:eastAsia="Guttman Hodes" w:hint="cs"/>
          <w:rtl/>
        </w:rPr>
        <w:instrText xml:space="preserve"> _</w:instrText>
      </w:r>
      <w:r w:rsidRPr="007B0DB7">
        <w:rPr>
          <w:rStyle w:val="af7"/>
          <w:rFonts w:eastAsia="Guttman Hodes" w:hint="cs"/>
        </w:rPr>
        <w:instrText>Ref57051146 \r \h</w:instrText>
      </w:r>
      <w:r w:rsidRPr="007B0DB7">
        <w:rPr>
          <w:rStyle w:val="af7"/>
          <w:rFonts w:eastAsia="Guttman Hodes"/>
          <w:rtl/>
        </w:rPr>
        <w:instrText xml:space="preserve"> </w:instrText>
      </w:r>
      <w:r w:rsidRPr="007B0DB7">
        <w:rPr>
          <w:rStyle w:val="af7"/>
          <w:rFonts w:eastAsia="Guttman Hodes"/>
          <w:rtl/>
        </w:rPr>
      </w:r>
      <w:r w:rsidRPr="007B0DB7">
        <w:rPr>
          <w:rStyle w:val="af7"/>
          <w:rFonts w:eastAsia="Guttman Hodes"/>
          <w:rtl/>
        </w:rPr>
        <w:fldChar w:fldCharType="separate"/>
      </w:r>
      <w:r w:rsidR="00265073">
        <w:rPr>
          <w:rStyle w:val="af7"/>
          <w:rFonts w:eastAsia="Guttman Hodes"/>
          <w:cs/>
        </w:rPr>
        <w:t>‎</w:t>
      </w:r>
      <w:r w:rsidR="00265073">
        <w:rPr>
          <w:rStyle w:val="af7"/>
          <w:rFonts w:eastAsia="Guttman Hodes"/>
          <w:rtl/>
        </w:rPr>
        <w:t>כב)</w:t>
      </w:r>
      <w:r w:rsidRPr="007B0DB7">
        <w:rPr>
          <w:rStyle w:val="af7"/>
          <w:rFonts w:eastAsia="Guttman Hodes"/>
          <w:rtl/>
        </w:rPr>
        <w:fldChar w:fldCharType="end"/>
      </w:r>
      <w:r>
        <w:rPr>
          <w:rFonts w:hint="cs"/>
          <w:rtl/>
        </w:rPr>
        <w:t xml:space="preserve"> דהבין </w:t>
      </w:r>
      <w:r w:rsidRPr="002E7DDD">
        <w:rPr>
          <w:rStyle w:val="af9"/>
          <w:rFonts w:hint="cs"/>
          <w:rtl/>
        </w:rPr>
        <w:t>הרמב"ן</w:t>
      </w:r>
      <w:r>
        <w:rPr>
          <w:rFonts w:hint="cs"/>
          <w:rtl/>
        </w:rPr>
        <w:t xml:space="preserve"> דאפשר לבאר את דברי </w:t>
      </w:r>
      <w:r w:rsidRPr="002E7DDD">
        <w:rPr>
          <w:rStyle w:val="af9"/>
          <w:rFonts w:hint="cs"/>
          <w:rtl/>
        </w:rPr>
        <w:t>הרשב"ם</w:t>
      </w:r>
      <w:r>
        <w:rPr>
          <w:rFonts w:hint="cs"/>
          <w:rtl/>
        </w:rPr>
        <w:t xml:space="preserve"> בב' אופנים, ביאר </w:t>
      </w:r>
      <w:r w:rsidRPr="00771FC7">
        <w:rPr>
          <w:rStyle w:val="af9"/>
          <w:rFonts w:hint="cs"/>
          <w:rtl/>
        </w:rPr>
        <w:t>החת"ס</w:t>
      </w:r>
      <w:r>
        <w:rPr>
          <w:rFonts w:hint="cs"/>
          <w:rtl/>
        </w:rPr>
        <w:t xml:space="preserve"> </w:t>
      </w:r>
      <w:r w:rsidRPr="00FD1E63">
        <w:rPr>
          <w:rStyle w:val="af7"/>
          <w:rFonts w:eastAsia="Guttman Hodes" w:hint="cs"/>
          <w:rtl/>
        </w:rPr>
        <w:t>(ד"ה בשכוני)</w:t>
      </w:r>
      <w:r>
        <w:rPr>
          <w:rFonts w:hint="cs"/>
          <w:rtl/>
        </w:rPr>
        <w:t xml:space="preserve"> דלפי</w:t>
      </w:r>
      <w:r>
        <w:rPr>
          <w:rStyle w:val="af9"/>
          <w:rFonts w:hint="cs"/>
          <w:rtl/>
        </w:rPr>
        <w:t xml:space="preserve"> </w:t>
      </w:r>
      <w:r w:rsidRPr="002E7DDD">
        <w:rPr>
          <w:rStyle w:val="af9"/>
          <w:rFonts w:hint="cs"/>
          <w:rtl/>
        </w:rPr>
        <w:t>הביאור הא' ברשב"ם</w:t>
      </w:r>
      <w:r>
        <w:rPr>
          <w:rFonts w:hint="cs"/>
          <w:rtl/>
        </w:rPr>
        <w:t xml:space="preserve"> שביאר </w:t>
      </w:r>
      <w:r w:rsidRPr="002E7DDD">
        <w:rPr>
          <w:rStyle w:val="af9"/>
          <w:rFonts w:hint="cs"/>
          <w:rtl/>
        </w:rPr>
        <w:t>הרמב"ן</w:t>
      </w:r>
      <w:r>
        <w:rPr>
          <w:rFonts w:hint="cs"/>
          <w:rtl/>
        </w:rPr>
        <w:t xml:space="preserve"> דהיה למערער רק דרך בבית החיצון, א"כ אי"ז כל ביטול בחזקה של המחזיק, דהוא מחזיק בבית החיצון כדמחזקי אינשי והפנימי רק עובר דרכו, אלא דס"ל לר"נ דהעברת הדרך היא כמחאה ולכן אף שהעברת הדרך אינה מבטלת את עצם החזקה שהחזיק המחזיק, מ"מ אין המערער צריך למחות בו דהדרך עצמה היא כמחאה</w:t>
      </w:r>
      <w:bookmarkEnd w:id="6706"/>
      <w:r>
        <w:rPr>
          <w:rFonts w:hint="cs"/>
          <w:rtl/>
        </w:rPr>
        <w:t xml:space="preserve">. </w:t>
      </w:r>
      <w:r w:rsidRPr="00084AFD">
        <w:rPr>
          <w:rStyle w:val="afb"/>
          <w:rFonts w:hint="cs"/>
          <w:rtl/>
        </w:rPr>
        <w:t>[</w:t>
      </w:r>
      <w:r>
        <w:rPr>
          <w:rStyle w:val="afb"/>
          <w:rFonts w:hint="cs"/>
          <w:rtl/>
        </w:rPr>
        <w:t xml:space="preserve">אך </w:t>
      </w:r>
      <w:r w:rsidRPr="00084AFD">
        <w:rPr>
          <w:rStyle w:val="afb"/>
          <w:rFonts w:hint="cs"/>
          <w:rtl/>
        </w:rPr>
        <w:t>יעוי'</w:t>
      </w:r>
      <w:r>
        <w:rPr>
          <w:rStyle w:val="afb"/>
          <w:rFonts w:hint="cs"/>
          <w:rtl/>
        </w:rPr>
        <w:t xml:space="preserve"> בדברי</w:t>
      </w:r>
      <w:r>
        <w:rPr>
          <w:rFonts w:hint="cs"/>
          <w:rtl/>
        </w:rPr>
        <w:t xml:space="preserve"> </w:t>
      </w:r>
      <w:r>
        <w:rPr>
          <w:rStyle w:val="affa"/>
          <w:rFonts w:hint="cs"/>
          <w:rtl/>
        </w:rPr>
        <w:t>ה</w:t>
      </w:r>
      <w:r w:rsidRPr="00084AFD">
        <w:rPr>
          <w:rStyle w:val="affa"/>
          <w:rFonts w:hint="cs"/>
          <w:rtl/>
        </w:rPr>
        <w:t>תוס'</w:t>
      </w:r>
      <w:r w:rsidRPr="00084AFD">
        <w:rPr>
          <w:rStyle w:val="aff6"/>
          <w:rFonts w:hint="cs"/>
          <w:rtl/>
        </w:rPr>
        <w:t xml:space="preserve"> (עי' הערה</w:t>
      </w:r>
      <w:r w:rsidRPr="00084AFD">
        <w:rPr>
          <w:vertAlign w:val="superscript"/>
          <w:rtl/>
        </w:rPr>
        <w:fldChar w:fldCharType="begin"/>
      </w:r>
      <w:r w:rsidRPr="00084AFD">
        <w:rPr>
          <w:vertAlign w:val="superscript"/>
          <w:rtl/>
        </w:rPr>
        <w:instrText xml:space="preserve"> </w:instrText>
      </w:r>
      <w:r w:rsidRPr="00084AFD">
        <w:rPr>
          <w:rFonts w:hint="cs"/>
          <w:vertAlign w:val="superscript"/>
        </w:rPr>
        <w:instrText>NOTEREF</w:instrText>
      </w:r>
      <w:r w:rsidRPr="00084AFD">
        <w:rPr>
          <w:rFonts w:hint="cs"/>
          <w:vertAlign w:val="superscript"/>
          <w:rtl/>
        </w:rPr>
        <w:instrText xml:space="preserve"> _</w:instrText>
      </w:r>
      <w:r w:rsidRPr="00084AFD">
        <w:rPr>
          <w:rFonts w:hint="cs"/>
          <w:vertAlign w:val="superscript"/>
        </w:rPr>
        <w:instrText>Ref57488421 \h</w:instrText>
      </w:r>
      <w:r w:rsidRPr="00084AF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084AFD">
        <w:rPr>
          <w:vertAlign w:val="superscript"/>
          <w:rtl/>
        </w:rPr>
      </w:r>
      <w:r w:rsidRPr="00084AFD">
        <w:rPr>
          <w:vertAlign w:val="superscript"/>
          <w:rtl/>
        </w:rPr>
        <w:fldChar w:fldCharType="separate"/>
      </w:r>
      <w:r w:rsidR="00265073">
        <w:rPr>
          <w:vertAlign w:val="superscript"/>
          <w:rtl/>
        </w:rPr>
        <w:t>34</w:t>
      </w:r>
      <w:r w:rsidRPr="00084AFD">
        <w:rPr>
          <w:vertAlign w:val="superscript"/>
          <w:rtl/>
        </w:rPr>
        <w:fldChar w:fldCharType="end"/>
      </w:r>
      <w:r w:rsidRPr="00084AFD">
        <w:rPr>
          <w:rStyle w:val="aff6"/>
          <w:rFonts w:hint="cs"/>
          <w:rtl/>
        </w:rPr>
        <w:t xml:space="preserve">) </w:t>
      </w:r>
      <w:r w:rsidRPr="00084AFD">
        <w:rPr>
          <w:rStyle w:val="afb"/>
          <w:rFonts w:hint="cs"/>
          <w:rtl/>
        </w:rPr>
        <w:t>דמשמע ד</w:t>
      </w:r>
      <w:r>
        <w:rPr>
          <w:rStyle w:val="afb"/>
          <w:rFonts w:hint="cs"/>
          <w:rtl/>
        </w:rPr>
        <w:t xml:space="preserve">ס"ל דהעברת דרך </w:t>
      </w:r>
      <w:r w:rsidRPr="00084AFD">
        <w:rPr>
          <w:rStyle w:val="afb"/>
          <w:rFonts w:hint="cs"/>
          <w:rtl/>
        </w:rPr>
        <w:t>הוא חסרון בחזקה]</w:t>
      </w:r>
      <w:r>
        <w:rPr>
          <w:rStyle w:val="afb"/>
          <w:rFonts w:hint="cs"/>
          <w:rtl/>
        </w:rPr>
        <w:t>.</w:t>
      </w:r>
    </w:p>
    <w:p w:rsidR="0019070E" w:rsidRPr="00290124" w:rsidRDefault="0019070E" w:rsidP="0019070E">
      <w:pPr>
        <w:pStyle w:val="a3"/>
      </w:pPr>
      <w:r>
        <w:rPr>
          <w:rFonts w:hint="cs"/>
          <w:rtl/>
        </w:rPr>
        <w:t>ביאור החת"ס בב"ח דבדרך בעלמא ל"ק הקו' הב' ברמב"ן דבספק מחאה על המערער להוכיח</w:t>
      </w:r>
    </w:p>
    <w:p w:rsidR="0019070E" w:rsidRDefault="0019070E" w:rsidP="007E4E81">
      <w:pPr>
        <w:pStyle w:val="a0"/>
        <w:rPr>
          <w:rtl/>
        </w:rPr>
      </w:pPr>
      <w:r>
        <w:rPr>
          <w:rFonts w:hint="cs"/>
          <w:rtl/>
        </w:rPr>
        <w:t xml:space="preserve">וכתב </w:t>
      </w:r>
      <w:r w:rsidRPr="00771FC7">
        <w:rPr>
          <w:rStyle w:val="af9"/>
          <w:rFonts w:hint="cs"/>
          <w:rtl/>
        </w:rPr>
        <w:t>החת"ס</w:t>
      </w:r>
      <w:r>
        <w:rPr>
          <w:rFonts w:hint="cs"/>
          <w:rtl/>
        </w:rPr>
        <w:t xml:space="preserve"> דא"כ לא קשה הקושיה השניה שהקשה </w:t>
      </w:r>
      <w:r w:rsidRPr="002E7DDD">
        <w:rPr>
          <w:rStyle w:val="af9"/>
          <w:rFonts w:hint="cs"/>
          <w:rtl/>
        </w:rPr>
        <w:t>הרמב"ן</w:t>
      </w:r>
      <w:r>
        <w:rPr>
          <w:rFonts w:hint="cs"/>
          <w:rtl/>
        </w:rPr>
        <w:t xml:space="preserve"> </w:t>
      </w:r>
      <w:r w:rsidRPr="002E7DDD">
        <w:rPr>
          <w:rStyle w:val="af7"/>
          <w:rFonts w:eastAsia="Guttman Hodes" w:hint="cs"/>
          <w:rtl/>
        </w:rPr>
        <w:t xml:space="preserve">(עי' אות </w:t>
      </w:r>
      <w:r w:rsidRPr="002E7DDD">
        <w:rPr>
          <w:rStyle w:val="af7"/>
          <w:rFonts w:eastAsia="Guttman Hodes"/>
          <w:rtl/>
        </w:rPr>
        <w:fldChar w:fldCharType="begin"/>
      </w:r>
      <w:r w:rsidRPr="002E7DDD">
        <w:rPr>
          <w:rStyle w:val="af7"/>
          <w:rFonts w:eastAsia="Guttman Hodes"/>
          <w:rtl/>
        </w:rPr>
        <w:instrText xml:space="preserve"> </w:instrText>
      </w:r>
      <w:r w:rsidRPr="002E7DDD">
        <w:rPr>
          <w:rStyle w:val="af7"/>
          <w:rFonts w:eastAsia="Guttman Hodes" w:hint="cs"/>
        </w:rPr>
        <w:instrText>REF</w:instrText>
      </w:r>
      <w:r w:rsidRPr="002E7DDD">
        <w:rPr>
          <w:rStyle w:val="af7"/>
          <w:rFonts w:eastAsia="Guttman Hodes" w:hint="cs"/>
          <w:rtl/>
        </w:rPr>
        <w:instrText xml:space="preserve"> _</w:instrText>
      </w:r>
      <w:r w:rsidRPr="002E7DDD">
        <w:rPr>
          <w:rStyle w:val="af7"/>
          <w:rFonts w:eastAsia="Guttman Hodes" w:hint="cs"/>
        </w:rPr>
        <w:instrText>Ref57051211 \r \h</w:instrText>
      </w:r>
      <w:r w:rsidRPr="002E7DDD">
        <w:rPr>
          <w:rStyle w:val="af7"/>
          <w:rFonts w:eastAsia="Guttman Hodes"/>
          <w:rtl/>
        </w:rPr>
        <w:instrText xml:space="preserve"> </w:instrText>
      </w:r>
      <w:r w:rsidRPr="002E7DDD">
        <w:rPr>
          <w:rStyle w:val="af7"/>
          <w:rFonts w:eastAsia="Guttman Hodes"/>
          <w:rtl/>
        </w:rPr>
      </w:r>
      <w:r w:rsidRPr="002E7DDD">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2E7DDD">
        <w:rPr>
          <w:rStyle w:val="af7"/>
          <w:rFonts w:eastAsia="Guttman Hodes"/>
          <w:rtl/>
        </w:rPr>
        <w:fldChar w:fldCharType="end"/>
      </w:r>
      <w:r>
        <w:rPr>
          <w:rFonts w:hint="cs"/>
          <w:rtl/>
        </w:rPr>
        <w:t xml:space="preserve"> על רבא, דלפי</w:t>
      </w:r>
      <w:r>
        <w:rPr>
          <w:rStyle w:val="af9"/>
          <w:rFonts w:hint="cs"/>
          <w:rtl/>
        </w:rPr>
        <w:t xml:space="preserve"> </w:t>
      </w:r>
      <w:r w:rsidRPr="002E7DDD">
        <w:rPr>
          <w:rStyle w:val="af9"/>
          <w:rFonts w:hint="cs"/>
          <w:rtl/>
        </w:rPr>
        <w:t>הביאור הא' ברשב"ם</w:t>
      </w:r>
      <w:r>
        <w:rPr>
          <w:rFonts w:hint="cs"/>
          <w:rtl/>
        </w:rPr>
        <w:t xml:space="preserve"> שביאר </w:t>
      </w:r>
      <w:r w:rsidRPr="002E7DDD">
        <w:rPr>
          <w:rStyle w:val="af9"/>
          <w:rFonts w:hint="cs"/>
          <w:rtl/>
        </w:rPr>
        <w:t>הרמב"ן</w:t>
      </w:r>
      <w:r>
        <w:rPr>
          <w:rFonts w:hint="cs"/>
          <w:rtl/>
        </w:rPr>
        <w:t xml:space="preserve"> דהיה למערער רק דרך בבית החיצון, מבוארים דברי רבא דאמר דעל המערער להביא ראיה, כיון שחזקת המחזיק היא חזקה גמורה, והספק הוא במחאה, האם היה לפנימי דרך על החיצון וחשיב כמחאה או לא, ובספק מחאה על המערער להביא ראיה, וזו כוונת </w:t>
      </w:r>
      <w:r w:rsidRPr="00290124">
        <w:rPr>
          <w:rStyle w:val="af9"/>
          <w:rFonts w:hint="cs"/>
          <w:rtl/>
        </w:rPr>
        <w:t>הב"ח</w:t>
      </w:r>
      <w:r>
        <w:rPr>
          <w:rFonts w:hint="cs"/>
          <w:rtl/>
        </w:rPr>
        <w:t xml:space="preserve"> </w:t>
      </w:r>
      <w:r w:rsidRPr="00FD1E63">
        <w:rPr>
          <w:rStyle w:val="af7"/>
          <w:rFonts w:eastAsia="Guttman Hodes" w:hint="cs"/>
          <w:rtl/>
        </w:rPr>
        <w:t xml:space="preserve">(עי' אות </w:t>
      </w:r>
      <w:r w:rsidRPr="00FD1E63">
        <w:rPr>
          <w:rStyle w:val="af7"/>
          <w:rFonts w:eastAsia="Guttman Hodes"/>
          <w:rtl/>
        </w:rPr>
        <w:fldChar w:fldCharType="begin"/>
      </w:r>
      <w:r w:rsidRPr="00FD1E63">
        <w:rPr>
          <w:rStyle w:val="af7"/>
          <w:rFonts w:eastAsia="Guttman Hodes"/>
          <w:rtl/>
        </w:rPr>
        <w:instrText xml:space="preserve"> </w:instrText>
      </w:r>
      <w:r w:rsidRPr="00FD1E63">
        <w:rPr>
          <w:rStyle w:val="af7"/>
          <w:rFonts w:eastAsia="Guttman Hodes" w:hint="cs"/>
        </w:rPr>
        <w:instrText>REF</w:instrText>
      </w:r>
      <w:r w:rsidRPr="00FD1E63">
        <w:rPr>
          <w:rStyle w:val="af7"/>
          <w:rFonts w:eastAsia="Guttman Hodes" w:hint="cs"/>
          <w:rtl/>
        </w:rPr>
        <w:instrText xml:space="preserve"> _</w:instrText>
      </w:r>
      <w:r w:rsidRPr="00FD1E63">
        <w:rPr>
          <w:rStyle w:val="af7"/>
          <w:rFonts w:eastAsia="Guttman Hodes" w:hint="cs"/>
        </w:rPr>
        <w:instrText>Ref57060936 \r \h</w:instrText>
      </w:r>
      <w:r w:rsidRPr="00FD1E63">
        <w:rPr>
          <w:rStyle w:val="af7"/>
          <w:rFonts w:eastAsia="Guttman Hodes"/>
          <w:rtl/>
        </w:rPr>
        <w:instrText xml:space="preserve"> </w:instrText>
      </w:r>
      <w:r w:rsidRPr="00FD1E63">
        <w:rPr>
          <w:rStyle w:val="af7"/>
          <w:rFonts w:eastAsia="Guttman Hodes"/>
          <w:rtl/>
        </w:rPr>
      </w:r>
      <w:r w:rsidRPr="00FD1E63">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FD1E63">
        <w:rPr>
          <w:rStyle w:val="af7"/>
          <w:rFonts w:eastAsia="Guttman Hodes"/>
          <w:rtl/>
        </w:rPr>
        <w:fldChar w:fldCharType="end"/>
      </w:r>
      <w:r>
        <w:rPr>
          <w:rFonts w:hint="cs"/>
          <w:rtl/>
        </w:rPr>
        <w:t xml:space="preserve"> דלפי</w:t>
      </w:r>
      <w:r>
        <w:rPr>
          <w:rStyle w:val="af9"/>
          <w:rFonts w:hint="cs"/>
          <w:rtl/>
        </w:rPr>
        <w:t xml:space="preserve"> </w:t>
      </w:r>
      <w:r w:rsidRPr="002E7DDD">
        <w:rPr>
          <w:rStyle w:val="af9"/>
          <w:rFonts w:hint="cs"/>
          <w:rtl/>
        </w:rPr>
        <w:t>הביאור הא' ברשב"ם</w:t>
      </w:r>
      <w:r>
        <w:rPr>
          <w:rFonts w:hint="cs"/>
          <w:rtl/>
        </w:rPr>
        <w:t xml:space="preserve"> שביאר </w:t>
      </w:r>
      <w:r w:rsidRPr="002E7DDD">
        <w:rPr>
          <w:rStyle w:val="af9"/>
          <w:rFonts w:hint="cs"/>
          <w:rtl/>
        </w:rPr>
        <w:t>הרמב"ן</w:t>
      </w:r>
      <w:r>
        <w:rPr>
          <w:rFonts w:hint="cs"/>
          <w:rtl/>
        </w:rPr>
        <w:t xml:space="preserve"> דהיה לו רק דרך, לא קשה הקושיה השניה של </w:t>
      </w:r>
      <w:r w:rsidRPr="00290124">
        <w:rPr>
          <w:rStyle w:val="af9"/>
          <w:rFonts w:hint="cs"/>
          <w:rtl/>
        </w:rPr>
        <w:t>הרמב"ן</w:t>
      </w:r>
      <w:r>
        <w:rPr>
          <w:rFonts w:hint="cs"/>
          <w:rtl/>
        </w:rPr>
        <w:t>.</w:t>
      </w:r>
      <w:bookmarkEnd w:id="6707"/>
    </w:p>
    <w:p w:rsidR="0019070E" w:rsidRDefault="0019070E" w:rsidP="0019070E">
      <w:pPr>
        <w:pStyle w:val="a3"/>
        <w:rPr>
          <w:rtl/>
        </w:rPr>
      </w:pPr>
      <w:bookmarkStart w:id="6708" w:name="_Toc57310452"/>
      <w:bookmarkStart w:id="6709" w:name="_Toc57323004"/>
      <w:bookmarkStart w:id="6710" w:name="_Toc57323113"/>
      <w:bookmarkStart w:id="6711" w:name="_Toc57370338"/>
      <w:bookmarkStart w:id="6712" w:name="_Toc57491507"/>
      <w:bookmarkStart w:id="6713" w:name="_Toc57495318"/>
      <w:bookmarkStart w:id="6714" w:name="_Toc57544460"/>
      <w:bookmarkStart w:id="6715" w:name="_Toc58184964"/>
      <w:r>
        <w:rPr>
          <w:rFonts w:hint="cs"/>
          <w:rtl/>
        </w:rPr>
        <w:t>בי' החת"ס בב"ח דהקו' הא' ברמב"ן היא רק להצד דלא השתמש ומוכח דלרשב"ם יש שימוש</w:t>
      </w:r>
    </w:p>
    <w:bookmarkEnd w:id="6708"/>
    <w:bookmarkEnd w:id="6709"/>
    <w:bookmarkEnd w:id="6710"/>
    <w:bookmarkEnd w:id="6711"/>
    <w:bookmarkEnd w:id="6712"/>
    <w:bookmarkEnd w:id="6713"/>
    <w:bookmarkEnd w:id="6714"/>
    <w:bookmarkEnd w:id="6715"/>
    <w:p w:rsidR="0019070E" w:rsidRDefault="0019070E" w:rsidP="007E4E81">
      <w:pPr>
        <w:pStyle w:val="a0"/>
        <w:rPr>
          <w:rtl/>
        </w:rPr>
      </w:pPr>
      <w:r>
        <w:rPr>
          <w:rFonts w:hint="cs"/>
          <w:rtl/>
        </w:rPr>
        <w:t xml:space="preserve">וכתב </w:t>
      </w:r>
      <w:r w:rsidRPr="00771FC7">
        <w:rPr>
          <w:rStyle w:val="af9"/>
          <w:rFonts w:hint="cs"/>
          <w:rtl/>
        </w:rPr>
        <w:t>החת"ס</w:t>
      </w:r>
      <w:r>
        <w:rPr>
          <w:rFonts w:hint="cs"/>
          <w:rtl/>
        </w:rPr>
        <w:t xml:space="preserve"> דמ"ש </w:t>
      </w:r>
      <w:r w:rsidRPr="00A940DA">
        <w:rPr>
          <w:rStyle w:val="af9"/>
          <w:rFonts w:hint="cs"/>
          <w:rtl/>
        </w:rPr>
        <w:t>הב"ח</w:t>
      </w:r>
      <w:r>
        <w:rPr>
          <w:rFonts w:hint="cs"/>
          <w:rtl/>
        </w:rPr>
        <w:t xml:space="preserve"> דהקושיה הראשונה שהקשה </w:t>
      </w:r>
      <w:r w:rsidRPr="002E7DDD">
        <w:rPr>
          <w:rStyle w:val="af9"/>
          <w:rFonts w:hint="cs"/>
          <w:rtl/>
        </w:rPr>
        <w:t>הרמב"ן</w:t>
      </w:r>
      <w:r w:rsidRPr="00A6075F">
        <w:rPr>
          <w:rStyle w:val="af7"/>
          <w:rFonts w:eastAsia="Guttman Hodes" w:hint="cs"/>
          <w:rtl/>
        </w:rPr>
        <w:t xml:space="preserve"> (עי' אות </w:t>
      </w:r>
      <w:r w:rsidRPr="00A6075F">
        <w:rPr>
          <w:rStyle w:val="af7"/>
          <w:rFonts w:eastAsia="Guttman Hodes"/>
          <w:rtl/>
        </w:rPr>
        <w:fldChar w:fldCharType="begin"/>
      </w:r>
      <w:r w:rsidRPr="00A6075F">
        <w:rPr>
          <w:rStyle w:val="af7"/>
          <w:rFonts w:eastAsia="Guttman Hodes"/>
          <w:rtl/>
        </w:rPr>
        <w:instrText xml:space="preserve"> </w:instrText>
      </w:r>
      <w:r w:rsidRPr="00A6075F">
        <w:rPr>
          <w:rStyle w:val="af7"/>
          <w:rFonts w:eastAsia="Guttman Hodes" w:hint="cs"/>
        </w:rPr>
        <w:instrText>REF</w:instrText>
      </w:r>
      <w:r w:rsidRPr="00A6075F">
        <w:rPr>
          <w:rStyle w:val="af7"/>
          <w:rFonts w:eastAsia="Guttman Hodes" w:hint="cs"/>
          <w:rtl/>
        </w:rPr>
        <w:instrText xml:space="preserve"> _</w:instrText>
      </w:r>
      <w:r w:rsidRPr="00A6075F">
        <w:rPr>
          <w:rStyle w:val="af7"/>
          <w:rFonts w:eastAsia="Guttman Hodes" w:hint="cs"/>
        </w:rPr>
        <w:instrText>Ref57051203 \r \h</w:instrText>
      </w:r>
      <w:r w:rsidRPr="00A6075F">
        <w:rPr>
          <w:rStyle w:val="af7"/>
          <w:rFonts w:eastAsia="Guttman Hodes"/>
          <w:rtl/>
        </w:rPr>
        <w:instrText xml:space="preserve"> </w:instrText>
      </w:r>
      <w:r w:rsidRPr="00A6075F">
        <w:rPr>
          <w:rStyle w:val="af7"/>
          <w:rFonts w:eastAsia="Guttman Hodes"/>
          <w:rtl/>
        </w:rPr>
      </w:r>
      <w:r w:rsidRPr="00A6075F">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A6075F">
        <w:rPr>
          <w:rStyle w:val="af7"/>
          <w:rFonts w:eastAsia="Guttman Hodes"/>
          <w:rtl/>
        </w:rPr>
        <w:fldChar w:fldCharType="end"/>
      </w:r>
      <w:r>
        <w:rPr>
          <w:rFonts w:hint="cs"/>
          <w:rtl/>
        </w:rPr>
        <w:t xml:space="preserve"> היא רק לפי </w:t>
      </w:r>
      <w:r w:rsidRPr="002E7DDD">
        <w:rPr>
          <w:rStyle w:val="af9"/>
          <w:rFonts w:hint="cs"/>
          <w:rtl/>
        </w:rPr>
        <w:t>הביאור הא' ברשב"ם</w:t>
      </w:r>
      <w:r>
        <w:rPr>
          <w:rFonts w:hint="cs"/>
          <w:rtl/>
        </w:rPr>
        <w:t xml:space="preserve"> שביאר </w:t>
      </w:r>
      <w:r w:rsidRPr="002E7DDD">
        <w:rPr>
          <w:rStyle w:val="af9"/>
          <w:rFonts w:hint="cs"/>
          <w:rtl/>
        </w:rPr>
        <w:t>הרמב"ן</w:t>
      </w:r>
      <w:r>
        <w:rPr>
          <w:rFonts w:hint="cs"/>
          <w:rtl/>
        </w:rPr>
        <w:t xml:space="preserve"> היינו דכוונת </w:t>
      </w:r>
      <w:r w:rsidRPr="002E7DDD">
        <w:rPr>
          <w:rStyle w:val="af9"/>
          <w:rFonts w:hint="cs"/>
          <w:rtl/>
        </w:rPr>
        <w:t>הרמב"ן</w:t>
      </w:r>
      <w:r w:rsidRPr="00A6075F">
        <w:rPr>
          <w:rStyle w:val="af7"/>
          <w:rFonts w:eastAsia="Guttman Hodes" w:hint="cs"/>
          <w:rtl/>
        </w:rPr>
        <w:t xml:space="preserve"> </w:t>
      </w:r>
      <w:r>
        <w:rPr>
          <w:rFonts w:hint="cs"/>
          <w:rtl/>
        </w:rPr>
        <w:t xml:space="preserve">להקשות על עיקר דברי ר"נ ורבא דס"ל דהעברת הדרך חשיבא כמחאה, דהא אפש"ל דשייר המרא קמא דרך לעצמו, ואינה מחאה כלל, אלא כתב </w:t>
      </w:r>
      <w:r w:rsidRPr="0067162D">
        <w:rPr>
          <w:rStyle w:val="af9"/>
          <w:rFonts w:hint="cs"/>
          <w:rtl/>
        </w:rPr>
        <w:t>החת"ס</w:t>
      </w:r>
      <w:r>
        <w:rPr>
          <w:rFonts w:hint="cs"/>
          <w:rtl/>
        </w:rPr>
        <w:t xml:space="preserve"> דא"כ מוכח דדעת </w:t>
      </w:r>
      <w:r w:rsidRPr="00A940DA">
        <w:rPr>
          <w:rStyle w:val="af9"/>
          <w:rFonts w:hint="cs"/>
          <w:rtl/>
        </w:rPr>
        <w:t>הרשב"ם</w:t>
      </w:r>
      <w:r>
        <w:rPr>
          <w:rFonts w:hint="cs"/>
          <w:rtl/>
        </w:rPr>
        <w:t xml:space="preserve"> אינה דהיה לפנימי רק העברת דרך בעלמא, אלא </w:t>
      </w:r>
      <w:r>
        <w:rPr>
          <w:rStyle w:val="af9"/>
          <w:rFonts w:hint="cs"/>
          <w:rtl/>
        </w:rPr>
        <w:t>כ</w:t>
      </w:r>
      <w:r w:rsidRPr="002E7DDD">
        <w:rPr>
          <w:rStyle w:val="af9"/>
          <w:rFonts w:hint="cs"/>
          <w:rtl/>
        </w:rPr>
        <w:t>ביאור ה</w:t>
      </w:r>
      <w:r>
        <w:rPr>
          <w:rStyle w:val="af9"/>
          <w:rFonts w:hint="cs"/>
          <w:rtl/>
        </w:rPr>
        <w:t>ב</w:t>
      </w:r>
      <w:r w:rsidRPr="002E7DDD">
        <w:rPr>
          <w:rStyle w:val="af9"/>
          <w:rFonts w:hint="cs"/>
          <w:rtl/>
        </w:rPr>
        <w:t>' ברשב"ם</w:t>
      </w:r>
      <w:r>
        <w:rPr>
          <w:rFonts w:hint="cs"/>
          <w:rtl/>
        </w:rPr>
        <w:t xml:space="preserve"> שביאר </w:t>
      </w:r>
      <w:r w:rsidRPr="002E7DDD">
        <w:rPr>
          <w:rStyle w:val="af9"/>
          <w:rFonts w:hint="cs"/>
          <w:rtl/>
        </w:rPr>
        <w:t>הרמב"ן</w:t>
      </w:r>
      <w:r w:rsidRPr="000371A4">
        <w:rPr>
          <w:rFonts w:hint="cs"/>
          <w:rtl/>
        </w:rPr>
        <w:t xml:space="preserve"> </w:t>
      </w:r>
      <w:r>
        <w:rPr>
          <w:rFonts w:hint="cs"/>
          <w:rtl/>
        </w:rPr>
        <w:t xml:space="preserve">דהיה משתמש עמו בבית החיצון, וכדברי </w:t>
      </w:r>
      <w:r w:rsidRPr="00E35C6D">
        <w:rPr>
          <w:rStyle w:val="af9"/>
          <w:rFonts w:hint="cs"/>
          <w:rtl/>
        </w:rPr>
        <w:t>המהר"ם מרוטנבורג</w:t>
      </w:r>
      <w:r>
        <w:rPr>
          <w:rStyle w:val="af9"/>
          <w:rFonts w:hint="cs"/>
          <w:rtl/>
        </w:rPr>
        <w:t xml:space="preserve"> במרדכי</w:t>
      </w:r>
      <w:r>
        <w:rPr>
          <w:rFonts w:hint="cs"/>
          <w:rtl/>
        </w:rPr>
        <w:t xml:space="preserve"> </w:t>
      </w:r>
      <w:r w:rsidRPr="00FD1E63">
        <w:rPr>
          <w:rStyle w:val="af7"/>
          <w:rFonts w:eastAsia="Guttman Hodes" w:hint="cs"/>
          <w:rtl/>
        </w:rPr>
        <w:t xml:space="preserve">(עי' אות </w:t>
      </w:r>
      <w:r w:rsidRPr="00FD1E63">
        <w:rPr>
          <w:rStyle w:val="af7"/>
          <w:rFonts w:eastAsia="Guttman Hodes"/>
          <w:rtl/>
        </w:rPr>
        <w:fldChar w:fldCharType="begin"/>
      </w:r>
      <w:r w:rsidRPr="00FD1E63">
        <w:rPr>
          <w:rStyle w:val="af7"/>
          <w:rFonts w:eastAsia="Guttman Hodes"/>
          <w:rtl/>
        </w:rPr>
        <w:instrText xml:space="preserve"> </w:instrText>
      </w:r>
      <w:r w:rsidRPr="00FD1E63">
        <w:rPr>
          <w:rStyle w:val="af7"/>
          <w:rFonts w:eastAsia="Guttman Hodes" w:hint="cs"/>
        </w:rPr>
        <w:instrText>REF</w:instrText>
      </w:r>
      <w:r w:rsidRPr="00FD1E63">
        <w:rPr>
          <w:rStyle w:val="af7"/>
          <w:rFonts w:eastAsia="Guttman Hodes" w:hint="cs"/>
          <w:rtl/>
        </w:rPr>
        <w:instrText xml:space="preserve"> _</w:instrText>
      </w:r>
      <w:r w:rsidRPr="00FD1E63">
        <w:rPr>
          <w:rStyle w:val="af7"/>
          <w:rFonts w:eastAsia="Guttman Hodes" w:hint="cs"/>
        </w:rPr>
        <w:instrText>Ref57051950 \r \h</w:instrText>
      </w:r>
      <w:r w:rsidRPr="00FD1E63">
        <w:rPr>
          <w:rStyle w:val="af7"/>
          <w:rFonts w:eastAsia="Guttman Hodes"/>
          <w:rtl/>
        </w:rPr>
        <w:instrText xml:space="preserve"> </w:instrText>
      </w:r>
      <w:r w:rsidRPr="00FD1E63">
        <w:rPr>
          <w:rStyle w:val="af7"/>
          <w:rFonts w:eastAsia="Guttman Hodes"/>
          <w:rtl/>
        </w:rPr>
      </w:r>
      <w:r w:rsidRPr="00FD1E63">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FD1E63">
        <w:rPr>
          <w:rStyle w:val="af7"/>
          <w:rFonts w:eastAsia="Guttman Hodes"/>
          <w:rtl/>
        </w:rPr>
        <w:fldChar w:fldCharType="end"/>
      </w:r>
      <w:r>
        <w:rPr>
          <w:rFonts w:hint="cs"/>
          <w:rtl/>
        </w:rPr>
        <w:t xml:space="preserve">, וכדמשמע </w:t>
      </w:r>
      <w:r w:rsidRPr="0067162D">
        <w:rPr>
          <w:rStyle w:val="af9"/>
          <w:rFonts w:hint="cs"/>
          <w:rtl/>
        </w:rPr>
        <w:t>ברשב"ם</w:t>
      </w:r>
      <w:r>
        <w:rPr>
          <w:rFonts w:hint="cs"/>
          <w:rtl/>
        </w:rPr>
        <w:t xml:space="preserve"> </w:t>
      </w:r>
      <w:r w:rsidRPr="00FD1E63">
        <w:rPr>
          <w:rStyle w:val="af7"/>
          <w:rFonts w:eastAsia="Guttman Hodes" w:hint="cs"/>
          <w:rtl/>
        </w:rPr>
        <w:t xml:space="preserve">(עי' אות </w:t>
      </w:r>
      <w:r w:rsidRPr="00FD1E63">
        <w:rPr>
          <w:rStyle w:val="af7"/>
          <w:rFonts w:eastAsia="Guttman Hodes"/>
          <w:rtl/>
        </w:rPr>
        <w:fldChar w:fldCharType="begin"/>
      </w:r>
      <w:r w:rsidRPr="00FD1E63">
        <w:rPr>
          <w:rStyle w:val="af7"/>
          <w:rFonts w:eastAsia="Guttman Hodes"/>
          <w:rtl/>
        </w:rPr>
        <w:instrText xml:space="preserve"> </w:instrText>
      </w:r>
      <w:r w:rsidRPr="00FD1E63">
        <w:rPr>
          <w:rStyle w:val="af7"/>
          <w:rFonts w:eastAsia="Guttman Hodes" w:hint="cs"/>
        </w:rPr>
        <w:instrText>REF</w:instrText>
      </w:r>
      <w:r w:rsidRPr="00FD1E63">
        <w:rPr>
          <w:rStyle w:val="af7"/>
          <w:rFonts w:eastAsia="Guttman Hodes" w:hint="cs"/>
          <w:rtl/>
        </w:rPr>
        <w:instrText xml:space="preserve"> _</w:instrText>
      </w:r>
      <w:r w:rsidRPr="00FD1E63">
        <w:rPr>
          <w:rStyle w:val="af7"/>
          <w:rFonts w:eastAsia="Guttman Hodes" w:hint="cs"/>
        </w:rPr>
        <w:instrText>Ref56936382 \r \h</w:instrText>
      </w:r>
      <w:r w:rsidRPr="00FD1E63">
        <w:rPr>
          <w:rStyle w:val="af7"/>
          <w:rFonts w:eastAsia="Guttman Hodes"/>
          <w:rtl/>
        </w:rPr>
        <w:instrText xml:space="preserve"> </w:instrText>
      </w:r>
      <w:r w:rsidRPr="00FD1E63">
        <w:rPr>
          <w:rStyle w:val="af7"/>
          <w:rFonts w:eastAsia="Guttman Hodes"/>
          <w:rtl/>
        </w:rPr>
      </w:r>
      <w:r w:rsidRPr="00FD1E63">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FD1E63">
        <w:rPr>
          <w:rStyle w:val="af7"/>
          <w:rFonts w:eastAsia="Guttman Hodes"/>
          <w:rtl/>
        </w:rPr>
        <w:fldChar w:fldCharType="end"/>
      </w:r>
      <w:r>
        <w:rPr>
          <w:rFonts w:hint="cs"/>
          <w:rtl/>
        </w:rPr>
        <w:t xml:space="preserve"> דכתב שהיה משתמש עם המחזיק בבית החיצון, וא"כ מבוארים דברי ר"נ דא"א לומר דאיירי ששייר המרא קמא דרך לעצמו.</w:t>
      </w:r>
    </w:p>
    <w:p w:rsidR="0019070E" w:rsidRPr="00E82A3E" w:rsidRDefault="0019070E" w:rsidP="0019070E">
      <w:pPr>
        <w:pStyle w:val="a3"/>
        <w:rPr>
          <w:rtl/>
        </w:rPr>
      </w:pPr>
      <w:r>
        <w:rPr>
          <w:rFonts w:hint="cs"/>
          <w:rtl/>
        </w:rPr>
        <w:t>דברי החת"ס דהקו' הב' ברמב"ן קשה רק להצד דמשתמש והוא ביטול חזקה ולא רק מחאה</w:t>
      </w:r>
    </w:p>
    <w:p w:rsidR="0019070E" w:rsidRDefault="0019070E" w:rsidP="007E4E81">
      <w:pPr>
        <w:pStyle w:val="a0"/>
        <w:rPr>
          <w:sz w:val="10"/>
          <w:szCs w:val="14"/>
          <w:rtl/>
        </w:rPr>
      </w:pPr>
      <w:r>
        <w:rPr>
          <w:rFonts w:hint="cs"/>
          <w:rtl/>
        </w:rPr>
        <w:t xml:space="preserve">ובמ"ש </w:t>
      </w:r>
      <w:r w:rsidRPr="00290124">
        <w:rPr>
          <w:rStyle w:val="af9"/>
          <w:rFonts w:hint="cs"/>
          <w:rtl/>
        </w:rPr>
        <w:t>הב"ח</w:t>
      </w:r>
      <w:r>
        <w:rPr>
          <w:rFonts w:hint="cs"/>
          <w:rtl/>
        </w:rPr>
        <w:t xml:space="preserve"> </w:t>
      </w:r>
      <w:r w:rsidRPr="00FD1E63">
        <w:rPr>
          <w:rStyle w:val="af7"/>
          <w:rFonts w:eastAsia="Guttman Hodes" w:hint="cs"/>
          <w:rtl/>
        </w:rPr>
        <w:t xml:space="preserve">(עי' אות </w:t>
      </w:r>
      <w:r w:rsidRPr="00FD1E63">
        <w:rPr>
          <w:rStyle w:val="af7"/>
          <w:rFonts w:eastAsia="Guttman Hodes"/>
          <w:rtl/>
        </w:rPr>
        <w:fldChar w:fldCharType="begin"/>
      </w:r>
      <w:r w:rsidRPr="00FD1E63">
        <w:rPr>
          <w:rStyle w:val="af7"/>
          <w:rFonts w:eastAsia="Guttman Hodes"/>
          <w:rtl/>
        </w:rPr>
        <w:instrText xml:space="preserve"> </w:instrText>
      </w:r>
      <w:r w:rsidRPr="00FD1E63">
        <w:rPr>
          <w:rStyle w:val="af7"/>
          <w:rFonts w:eastAsia="Guttman Hodes" w:hint="cs"/>
        </w:rPr>
        <w:instrText>REF</w:instrText>
      </w:r>
      <w:r w:rsidRPr="00FD1E63">
        <w:rPr>
          <w:rStyle w:val="af7"/>
          <w:rFonts w:eastAsia="Guttman Hodes" w:hint="cs"/>
          <w:rtl/>
        </w:rPr>
        <w:instrText xml:space="preserve"> _</w:instrText>
      </w:r>
      <w:r w:rsidRPr="00FD1E63">
        <w:rPr>
          <w:rStyle w:val="af7"/>
          <w:rFonts w:eastAsia="Guttman Hodes" w:hint="cs"/>
        </w:rPr>
        <w:instrText>Ref57060936 \r \h</w:instrText>
      </w:r>
      <w:r w:rsidRPr="00FD1E63">
        <w:rPr>
          <w:rStyle w:val="af7"/>
          <w:rFonts w:eastAsia="Guttman Hodes"/>
          <w:rtl/>
        </w:rPr>
        <w:instrText xml:space="preserve"> </w:instrText>
      </w:r>
      <w:r w:rsidRPr="00FD1E63">
        <w:rPr>
          <w:rStyle w:val="af7"/>
          <w:rFonts w:eastAsia="Guttman Hodes"/>
          <w:rtl/>
        </w:rPr>
      </w:r>
      <w:r w:rsidRPr="00FD1E63">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FD1E63">
        <w:rPr>
          <w:rStyle w:val="af7"/>
          <w:rFonts w:eastAsia="Guttman Hodes"/>
          <w:rtl/>
        </w:rPr>
        <w:fldChar w:fldCharType="end"/>
      </w:r>
      <w:r>
        <w:rPr>
          <w:rFonts w:hint="cs"/>
          <w:rtl/>
        </w:rPr>
        <w:t xml:space="preserve"> דלפי </w:t>
      </w:r>
      <w:r w:rsidRPr="002E7DDD">
        <w:rPr>
          <w:rStyle w:val="af9"/>
          <w:rFonts w:hint="cs"/>
          <w:rtl/>
        </w:rPr>
        <w:t>הביאור ה</w:t>
      </w:r>
      <w:r>
        <w:rPr>
          <w:rStyle w:val="af9"/>
          <w:rFonts w:hint="cs"/>
          <w:rtl/>
        </w:rPr>
        <w:t>ב</w:t>
      </w:r>
      <w:r w:rsidRPr="002E7DDD">
        <w:rPr>
          <w:rStyle w:val="af9"/>
          <w:rFonts w:hint="cs"/>
          <w:rtl/>
        </w:rPr>
        <w:t>' ברשב"ם</w:t>
      </w:r>
      <w:r>
        <w:rPr>
          <w:rFonts w:hint="cs"/>
          <w:rtl/>
        </w:rPr>
        <w:t xml:space="preserve"> שביאר </w:t>
      </w:r>
      <w:r w:rsidRPr="002E7DDD">
        <w:rPr>
          <w:rStyle w:val="af9"/>
          <w:rFonts w:hint="cs"/>
          <w:rtl/>
        </w:rPr>
        <w:t>הרמב"ן</w:t>
      </w:r>
      <w:r>
        <w:rPr>
          <w:rFonts w:hint="cs"/>
          <w:rtl/>
        </w:rPr>
        <w:t xml:space="preserve"> דמלבד מה שהיה עובר דרכו, גם היה משתמש עמו בבית </w:t>
      </w:r>
      <w:r>
        <w:rPr>
          <w:rFonts w:hint="cs"/>
          <w:rtl/>
        </w:rPr>
        <w:t xml:space="preserve">החיצון, הקשה </w:t>
      </w:r>
      <w:r w:rsidRPr="002E7DDD">
        <w:rPr>
          <w:rStyle w:val="af9"/>
          <w:rFonts w:hint="cs"/>
          <w:rtl/>
        </w:rPr>
        <w:t>הרמב"ן</w:t>
      </w:r>
      <w:r>
        <w:rPr>
          <w:rFonts w:hint="cs"/>
          <w:rtl/>
        </w:rPr>
        <w:t xml:space="preserve"> </w:t>
      </w:r>
      <w:r w:rsidRPr="002E7DDD">
        <w:rPr>
          <w:rStyle w:val="af7"/>
          <w:rFonts w:eastAsia="Guttman Hodes" w:hint="cs"/>
          <w:rtl/>
        </w:rPr>
        <w:t xml:space="preserve">(עי' אות </w:t>
      </w:r>
      <w:r w:rsidRPr="002E7DDD">
        <w:rPr>
          <w:rStyle w:val="af7"/>
          <w:rFonts w:eastAsia="Guttman Hodes"/>
          <w:rtl/>
        </w:rPr>
        <w:fldChar w:fldCharType="begin"/>
      </w:r>
      <w:r w:rsidRPr="002E7DDD">
        <w:rPr>
          <w:rStyle w:val="af7"/>
          <w:rFonts w:eastAsia="Guttman Hodes"/>
          <w:rtl/>
        </w:rPr>
        <w:instrText xml:space="preserve"> </w:instrText>
      </w:r>
      <w:r w:rsidRPr="002E7DDD">
        <w:rPr>
          <w:rStyle w:val="af7"/>
          <w:rFonts w:eastAsia="Guttman Hodes" w:hint="cs"/>
        </w:rPr>
        <w:instrText>REF</w:instrText>
      </w:r>
      <w:r w:rsidRPr="002E7DDD">
        <w:rPr>
          <w:rStyle w:val="af7"/>
          <w:rFonts w:eastAsia="Guttman Hodes" w:hint="cs"/>
          <w:rtl/>
        </w:rPr>
        <w:instrText xml:space="preserve"> _</w:instrText>
      </w:r>
      <w:r w:rsidRPr="002E7DDD">
        <w:rPr>
          <w:rStyle w:val="af7"/>
          <w:rFonts w:eastAsia="Guttman Hodes" w:hint="cs"/>
        </w:rPr>
        <w:instrText>Ref57051211 \r \h</w:instrText>
      </w:r>
      <w:r w:rsidRPr="002E7DDD">
        <w:rPr>
          <w:rStyle w:val="af7"/>
          <w:rFonts w:eastAsia="Guttman Hodes"/>
          <w:rtl/>
        </w:rPr>
        <w:instrText xml:space="preserve"> </w:instrText>
      </w:r>
      <w:r w:rsidRPr="002E7DDD">
        <w:rPr>
          <w:rStyle w:val="af7"/>
          <w:rFonts w:eastAsia="Guttman Hodes"/>
          <w:rtl/>
        </w:rPr>
      </w:r>
      <w:r w:rsidRPr="002E7DDD">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2E7DDD">
        <w:rPr>
          <w:rStyle w:val="af7"/>
          <w:rFonts w:eastAsia="Guttman Hodes"/>
          <w:rtl/>
        </w:rPr>
        <w:fldChar w:fldCharType="end"/>
      </w:r>
      <w:r>
        <w:rPr>
          <w:rFonts w:hint="cs"/>
          <w:rtl/>
        </w:rPr>
        <w:t xml:space="preserve"> את הקושיה השניה על רבא דאמאי על המערער להביא ראיה, ביאר </w:t>
      </w:r>
      <w:r w:rsidRPr="0067162D">
        <w:rPr>
          <w:rStyle w:val="af9"/>
          <w:rFonts w:hint="cs"/>
          <w:rtl/>
        </w:rPr>
        <w:t>החת"ס</w:t>
      </w:r>
      <w:r>
        <w:rPr>
          <w:rFonts w:hint="cs"/>
          <w:rtl/>
        </w:rPr>
        <w:t xml:space="preserve"> דכיון דטוען המרא קמא שהוא השתמש עם המחזיק, א"כ הספק הוא בחזקה עצמה, ולא במחאה, ולכן הקשה </w:t>
      </w:r>
      <w:r w:rsidRPr="00AA1466">
        <w:rPr>
          <w:rStyle w:val="af9"/>
          <w:rFonts w:hint="cs"/>
          <w:rtl/>
        </w:rPr>
        <w:t>הרמב"ן</w:t>
      </w:r>
      <w:r>
        <w:rPr>
          <w:rFonts w:hint="cs"/>
          <w:rtl/>
        </w:rPr>
        <w:t xml:space="preserve"> על רבא דלא שייך לומר בזה המוציא מחבירו עליו הראיה</w:t>
      </w:r>
      <w:bookmarkStart w:id="6716" w:name="_Ref57063411"/>
      <w:r>
        <w:rPr>
          <w:rFonts w:hint="cs"/>
          <w:rtl/>
        </w:rPr>
        <w:t>.</w:t>
      </w:r>
    </w:p>
    <w:p w:rsidR="0019070E" w:rsidRPr="007C5168" w:rsidRDefault="0019070E" w:rsidP="0019070E">
      <w:pPr>
        <w:pStyle w:val="a3"/>
      </w:pPr>
      <w:r w:rsidRPr="007C5168">
        <w:rPr>
          <w:rtl/>
        </w:rPr>
        <w:t xml:space="preserve">ביאור החת"ס </w:t>
      </w:r>
      <w:r>
        <w:rPr>
          <w:rFonts w:hint="cs"/>
          <w:rtl/>
        </w:rPr>
        <w:t xml:space="preserve">דתי' </w:t>
      </w:r>
      <w:r w:rsidRPr="007C5168">
        <w:rPr>
          <w:rtl/>
        </w:rPr>
        <w:t xml:space="preserve">רשב"ם דלרבא אף בשימוש דהספק בחזקה </w:t>
      </w:r>
      <w:r>
        <w:rPr>
          <w:rFonts w:hint="cs"/>
          <w:rtl/>
        </w:rPr>
        <w:t>לא חישיינן</w:t>
      </w:r>
      <w:r w:rsidRPr="007C5168">
        <w:rPr>
          <w:rtl/>
        </w:rPr>
        <w:t xml:space="preserve"> לדבר שלא שמענו</w:t>
      </w:r>
    </w:p>
    <w:p w:rsidR="0019070E" w:rsidRDefault="0019070E" w:rsidP="007E4E81">
      <w:pPr>
        <w:pStyle w:val="a0"/>
        <w:rPr>
          <w:rStyle w:val="afb"/>
          <w:rtl/>
        </w:rPr>
      </w:pPr>
      <w:r>
        <w:rPr>
          <w:rFonts w:hint="cs"/>
          <w:rtl/>
        </w:rPr>
        <w:t xml:space="preserve">וכתב </w:t>
      </w:r>
      <w:r w:rsidRPr="00EC127D">
        <w:rPr>
          <w:rStyle w:val="af9"/>
          <w:rFonts w:hint="cs"/>
          <w:rtl/>
        </w:rPr>
        <w:t>החת"ס</w:t>
      </w:r>
      <w:r>
        <w:rPr>
          <w:rFonts w:hint="cs"/>
          <w:rtl/>
        </w:rPr>
        <w:t xml:space="preserve"> דמחמת קושיה זו ביאר </w:t>
      </w:r>
      <w:r w:rsidRPr="00EC127D">
        <w:rPr>
          <w:rStyle w:val="af9"/>
          <w:rFonts w:hint="cs"/>
          <w:rtl/>
        </w:rPr>
        <w:t>הרשב"ם</w:t>
      </w:r>
      <w:r>
        <w:rPr>
          <w:rFonts w:hint="cs"/>
          <w:rtl/>
        </w:rPr>
        <w:t xml:space="preserve"> </w:t>
      </w:r>
      <w:r w:rsidRPr="000A7FFE">
        <w:rPr>
          <w:rStyle w:val="af7"/>
          <w:rFonts w:eastAsia="Guttman Hodes" w:hint="cs"/>
          <w:rtl/>
        </w:rPr>
        <w:t xml:space="preserve">(עי' אות </w:t>
      </w:r>
      <w:r w:rsidRPr="000A7FFE">
        <w:rPr>
          <w:rStyle w:val="af7"/>
          <w:rFonts w:eastAsia="Guttman Hodes"/>
          <w:rtl/>
        </w:rPr>
        <w:fldChar w:fldCharType="begin"/>
      </w:r>
      <w:r w:rsidRPr="000A7FFE">
        <w:rPr>
          <w:rStyle w:val="af7"/>
          <w:rFonts w:eastAsia="Guttman Hodes"/>
          <w:rtl/>
        </w:rPr>
        <w:instrText xml:space="preserve"> </w:instrText>
      </w:r>
      <w:r w:rsidRPr="000A7FFE">
        <w:rPr>
          <w:rStyle w:val="af7"/>
          <w:rFonts w:eastAsia="Guttman Hodes" w:hint="cs"/>
        </w:rPr>
        <w:instrText>REF</w:instrText>
      </w:r>
      <w:r w:rsidRPr="000A7FFE">
        <w:rPr>
          <w:rStyle w:val="af7"/>
          <w:rFonts w:eastAsia="Guttman Hodes" w:hint="cs"/>
          <w:rtl/>
        </w:rPr>
        <w:instrText xml:space="preserve"> _</w:instrText>
      </w:r>
      <w:r w:rsidRPr="000A7FFE">
        <w:rPr>
          <w:rStyle w:val="af7"/>
          <w:rFonts w:eastAsia="Guttman Hodes" w:hint="cs"/>
        </w:rPr>
        <w:instrText>Ref57063389 \r \h</w:instrText>
      </w:r>
      <w:r w:rsidRPr="000A7FFE">
        <w:rPr>
          <w:rStyle w:val="af7"/>
          <w:rFonts w:eastAsia="Guttman Hodes"/>
          <w:rtl/>
        </w:rPr>
        <w:instrText xml:space="preserve"> </w:instrText>
      </w:r>
      <w:r w:rsidRPr="000A7FFE">
        <w:rPr>
          <w:rStyle w:val="af7"/>
          <w:rFonts w:eastAsia="Guttman Hodes"/>
          <w:rtl/>
        </w:rPr>
      </w:r>
      <w:r w:rsidRPr="000A7FFE">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0A7FFE">
        <w:rPr>
          <w:rStyle w:val="af7"/>
          <w:rFonts w:eastAsia="Guttman Hodes"/>
          <w:rtl/>
        </w:rPr>
        <w:fldChar w:fldCharType="end"/>
      </w:r>
      <w:r>
        <w:rPr>
          <w:rFonts w:hint="cs"/>
          <w:rtl/>
        </w:rPr>
        <w:t xml:space="preserve"> בדברי רבא, דעל המערער להביא ראיה שההשתמש בבית החיצון דכיון שיש למחזיק עידי חזקת ג"ש, א"צ לחוש שמא המערער היה עמו בבית, כיון שלא שמענו מדבר זה לפני שטען כן המערער. </w:t>
      </w:r>
      <w:r w:rsidRPr="00EC127D">
        <w:rPr>
          <w:rStyle w:val="afb"/>
          <w:rFonts w:hint="cs"/>
          <w:rtl/>
        </w:rPr>
        <w:t>[והיינו דאף שהספק הוא בחזקה, מ"מ כיון שהחזיק לפנינו א"צ לחוש לספק כזה].</w:t>
      </w:r>
      <w:bookmarkEnd w:id="6716"/>
    </w:p>
    <w:p w:rsidR="0019070E" w:rsidRDefault="0019070E" w:rsidP="0019070E">
      <w:pPr>
        <w:pStyle w:val="afe"/>
        <w:rPr>
          <w:rtl/>
        </w:rPr>
      </w:pPr>
      <w:bookmarkStart w:id="6717" w:name="_Toc57234546"/>
      <w:bookmarkStart w:id="6718" w:name="_Toc57236134"/>
      <w:bookmarkStart w:id="6719" w:name="_Toc57310454"/>
      <w:bookmarkStart w:id="6720" w:name="_Toc57323006"/>
      <w:bookmarkStart w:id="6721" w:name="_Toc57323115"/>
      <w:bookmarkStart w:id="6722" w:name="_Toc57370340"/>
      <w:bookmarkStart w:id="6723" w:name="_Toc57491509"/>
      <w:bookmarkStart w:id="6724" w:name="_Toc57495320"/>
      <w:bookmarkStart w:id="6725" w:name="_Toc57544462"/>
      <w:bookmarkStart w:id="6726" w:name="_Toc58184966"/>
      <w:bookmarkStart w:id="6727" w:name="_Toc57067185"/>
      <w:bookmarkStart w:id="6728" w:name="_Toc57234553"/>
      <w:r>
        <w:rPr>
          <w:rFonts w:hint="cs"/>
          <w:rtl/>
        </w:rPr>
        <w:t>בדין חזקה בשותפות המר"ק והמחזיק</w:t>
      </w:r>
      <w:bookmarkEnd w:id="6717"/>
      <w:bookmarkEnd w:id="6718"/>
      <w:bookmarkEnd w:id="6719"/>
      <w:bookmarkEnd w:id="6720"/>
      <w:bookmarkEnd w:id="6721"/>
      <w:bookmarkEnd w:id="6722"/>
      <w:bookmarkEnd w:id="6723"/>
      <w:bookmarkEnd w:id="6724"/>
      <w:bookmarkEnd w:id="6725"/>
      <w:bookmarkEnd w:id="6726"/>
    </w:p>
    <w:p w:rsidR="0019070E" w:rsidRDefault="0019070E" w:rsidP="0019070E">
      <w:pPr>
        <w:pStyle w:val="1"/>
        <w:rPr>
          <w:rtl/>
        </w:rPr>
      </w:pPr>
      <w:bookmarkStart w:id="6729" w:name="_Toc57236135"/>
      <w:bookmarkStart w:id="6730" w:name="_Toc57310455"/>
      <w:bookmarkStart w:id="6731" w:name="_Toc57323007"/>
      <w:bookmarkStart w:id="6732" w:name="_Toc57323116"/>
      <w:bookmarkStart w:id="6733" w:name="_Toc57370341"/>
      <w:bookmarkStart w:id="6734" w:name="_Toc57491510"/>
      <w:bookmarkStart w:id="6735" w:name="_Toc57495321"/>
      <w:bookmarkStart w:id="6736" w:name="_Toc57544463"/>
      <w:bookmarkStart w:id="6737" w:name="_Toc58184967"/>
      <w:bookmarkStart w:id="6738" w:name="_Toc57234547"/>
      <w:r>
        <w:rPr>
          <w:rFonts w:hint="cs"/>
          <w:rtl/>
        </w:rPr>
        <w:t>דעת הב"ח והמהרח"ש דלרשב"ם לא מהני חזקה בשותפות בבית</w:t>
      </w:r>
      <w:bookmarkEnd w:id="6729"/>
      <w:bookmarkEnd w:id="6730"/>
      <w:bookmarkEnd w:id="6731"/>
      <w:bookmarkEnd w:id="6732"/>
      <w:bookmarkEnd w:id="6733"/>
      <w:bookmarkEnd w:id="6734"/>
      <w:bookmarkEnd w:id="6735"/>
      <w:bookmarkEnd w:id="6736"/>
      <w:bookmarkEnd w:id="6737"/>
    </w:p>
    <w:p w:rsidR="0019070E" w:rsidRPr="0098781A" w:rsidRDefault="0019070E" w:rsidP="0019070E">
      <w:pPr>
        <w:pStyle w:val="a3"/>
        <w:rPr>
          <w:rtl/>
        </w:rPr>
      </w:pPr>
      <w:bookmarkStart w:id="6739" w:name="_Toc57310456"/>
      <w:bookmarkStart w:id="6740" w:name="_Toc57323008"/>
      <w:bookmarkStart w:id="6741" w:name="_Toc57323117"/>
      <w:bookmarkStart w:id="6742" w:name="_Toc57370342"/>
      <w:bookmarkStart w:id="6743" w:name="_Toc57491511"/>
      <w:bookmarkStart w:id="6744" w:name="_Toc57495322"/>
      <w:bookmarkStart w:id="6745" w:name="_Toc57544464"/>
      <w:bookmarkStart w:id="6746" w:name="_Toc58184968"/>
      <w:r>
        <w:rPr>
          <w:rFonts w:hint="cs"/>
          <w:rtl/>
        </w:rPr>
        <w:t>דברי הב"ח והמהרח"ש דל"מ חזקה בשותפות כדמוכח ברשב"ם דהעברת דרך מבטלת חזקה</w:t>
      </w:r>
      <w:bookmarkEnd w:id="6739"/>
      <w:bookmarkEnd w:id="6740"/>
      <w:bookmarkEnd w:id="6741"/>
      <w:bookmarkEnd w:id="6742"/>
      <w:bookmarkEnd w:id="6743"/>
      <w:bookmarkEnd w:id="6744"/>
      <w:bookmarkEnd w:id="6745"/>
      <w:bookmarkEnd w:id="6746"/>
      <w:r>
        <w:rPr>
          <w:rFonts w:hint="cs"/>
          <w:rtl/>
        </w:rPr>
        <w:t xml:space="preserve"> </w:t>
      </w:r>
    </w:p>
    <w:p w:rsidR="0019070E" w:rsidRDefault="0019070E" w:rsidP="007E4E81">
      <w:pPr>
        <w:pStyle w:val="a0"/>
      </w:pPr>
      <w:bookmarkStart w:id="6747" w:name="_Ref57309718"/>
      <w:bookmarkStart w:id="6748" w:name="_Toc57236136"/>
      <w:r>
        <w:rPr>
          <w:rFonts w:hint="cs"/>
          <w:rtl/>
        </w:rPr>
        <w:t xml:space="preserve">במ"ש </w:t>
      </w:r>
      <w:r w:rsidRPr="00387BA5">
        <w:rPr>
          <w:rStyle w:val="af9"/>
          <w:rFonts w:hint="cs"/>
          <w:rtl/>
        </w:rPr>
        <w:t>הרשב"ם</w:t>
      </w:r>
      <w:r>
        <w:rPr>
          <w:rFonts w:hint="cs"/>
          <w:rtl/>
        </w:rPr>
        <w:t xml:space="preserve"> </w:t>
      </w:r>
      <w:r w:rsidRPr="00387BA5">
        <w:rPr>
          <w:rStyle w:val="af7"/>
          <w:rFonts w:eastAsia="Guttman Hodes" w:hint="cs"/>
          <w:rtl/>
        </w:rPr>
        <w:t xml:space="preserve">(עי' אות </w:t>
      </w:r>
      <w:r w:rsidRPr="00387BA5">
        <w:rPr>
          <w:rStyle w:val="af7"/>
          <w:rFonts w:eastAsia="Guttman Hodes"/>
          <w:rtl/>
        </w:rPr>
        <w:fldChar w:fldCharType="begin"/>
      </w:r>
      <w:r w:rsidRPr="00387BA5">
        <w:rPr>
          <w:rStyle w:val="af7"/>
          <w:rFonts w:eastAsia="Guttman Hodes"/>
          <w:rtl/>
        </w:rPr>
        <w:instrText xml:space="preserve"> </w:instrText>
      </w:r>
      <w:r w:rsidRPr="00387BA5">
        <w:rPr>
          <w:rStyle w:val="af7"/>
          <w:rFonts w:eastAsia="Guttman Hodes" w:hint="cs"/>
        </w:rPr>
        <w:instrText>REF</w:instrText>
      </w:r>
      <w:r w:rsidRPr="00387BA5">
        <w:rPr>
          <w:rStyle w:val="af7"/>
          <w:rFonts w:eastAsia="Guttman Hodes" w:hint="cs"/>
          <w:rtl/>
        </w:rPr>
        <w:instrText xml:space="preserve"> _</w:instrText>
      </w:r>
      <w:r w:rsidRPr="00387BA5">
        <w:rPr>
          <w:rStyle w:val="af7"/>
          <w:rFonts w:eastAsia="Guttman Hodes" w:hint="cs"/>
        </w:rPr>
        <w:instrText>Ref56936382 \r \h</w:instrText>
      </w:r>
      <w:r w:rsidRPr="00387BA5">
        <w:rPr>
          <w:rStyle w:val="af7"/>
          <w:rFonts w:eastAsia="Guttman Hodes"/>
          <w:rtl/>
        </w:rPr>
        <w:instrText xml:space="preserve"> </w:instrText>
      </w:r>
      <w:r w:rsidRPr="00387BA5">
        <w:rPr>
          <w:rStyle w:val="af7"/>
          <w:rFonts w:eastAsia="Guttman Hodes"/>
          <w:rtl/>
        </w:rPr>
      </w:r>
      <w:r w:rsidRPr="00387BA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387BA5">
        <w:rPr>
          <w:rStyle w:val="af7"/>
          <w:rFonts w:eastAsia="Guttman Hodes"/>
          <w:rtl/>
        </w:rPr>
        <w:fldChar w:fldCharType="end"/>
      </w:r>
      <w:r>
        <w:rPr>
          <w:rFonts w:hint="cs"/>
          <w:rtl/>
        </w:rPr>
        <w:t xml:space="preserve"> דהעברת דרך של הפנימי מבטלת את חזקת החיצון, כתב </w:t>
      </w:r>
      <w:r w:rsidRPr="003A1B22">
        <w:rPr>
          <w:rStyle w:val="af9"/>
          <w:rFonts w:hint="cs"/>
          <w:rtl/>
        </w:rPr>
        <w:t xml:space="preserve">הב"ח </w:t>
      </w:r>
      <w:r w:rsidRPr="00BA1A8F">
        <w:rPr>
          <w:rStyle w:val="af7"/>
          <w:rFonts w:eastAsia="Guttman Hodes" w:hint="cs"/>
          <w:rtl/>
        </w:rPr>
        <w:t>(סי' ק"מ י"ט)</w:t>
      </w:r>
      <w:r>
        <w:rPr>
          <w:rStyle w:val="af9"/>
          <w:rFonts w:hint="cs"/>
          <w:rtl/>
        </w:rPr>
        <w:t xml:space="preserve"> ו</w:t>
      </w:r>
      <w:r w:rsidRPr="003A1B22">
        <w:rPr>
          <w:rStyle w:val="af9"/>
          <w:rFonts w:hint="cs"/>
          <w:rtl/>
        </w:rPr>
        <w:t>בתשו'</w:t>
      </w:r>
      <w:r>
        <w:rPr>
          <w:rStyle w:val="af9"/>
          <w:rFonts w:hint="cs"/>
          <w:rtl/>
        </w:rPr>
        <w:t xml:space="preserve"> הב"ח</w:t>
      </w:r>
      <w:r>
        <w:rPr>
          <w:rFonts w:hint="cs"/>
          <w:rtl/>
        </w:rPr>
        <w:t xml:space="preserve"> </w:t>
      </w:r>
      <w:r w:rsidRPr="003A1B22">
        <w:rPr>
          <w:rStyle w:val="af7"/>
          <w:rFonts w:eastAsia="Guttman Hodes"/>
          <w:rtl/>
        </w:rPr>
        <w:t>(ישנות סי' ז' ד"ה</w:t>
      </w:r>
      <w:r w:rsidRPr="003A1B22">
        <w:rPr>
          <w:rStyle w:val="af7"/>
          <w:rFonts w:eastAsia="Guttman Hodes" w:hint="cs"/>
          <w:rtl/>
        </w:rPr>
        <w:t xml:space="preserve"> אכן)</w:t>
      </w:r>
      <w:r>
        <w:rPr>
          <w:rFonts w:hint="cs"/>
          <w:rtl/>
        </w:rPr>
        <w:t xml:space="preserve"> דמבואר דלא</w:t>
      </w:r>
      <w:r w:rsidRPr="00EB6B7C">
        <w:rPr>
          <w:rFonts w:hint="cs"/>
          <w:rtl/>
        </w:rPr>
        <w:t xml:space="preserve"> </w:t>
      </w:r>
      <w:r>
        <w:rPr>
          <w:rFonts w:hint="cs"/>
          <w:rtl/>
        </w:rPr>
        <w:t xml:space="preserve">מהני חזקה אף כשהמרא קמא והמחזיק משתמשים בשותפות, והביא </w:t>
      </w:r>
      <w:r w:rsidRPr="0098781A">
        <w:rPr>
          <w:rStyle w:val="af9"/>
          <w:rFonts w:hint="cs"/>
          <w:rtl/>
        </w:rPr>
        <w:t xml:space="preserve">הקצוה"ח </w:t>
      </w:r>
      <w:r w:rsidRPr="0098781A">
        <w:rPr>
          <w:rStyle w:val="af7"/>
          <w:rFonts w:eastAsia="Guttman Hodes" w:hint="cs"/>
          <w:rtl/>
        </w:rPr>
        <w:t>(סי' ק"מ סק"ג ד"ה וכ"כ)</w:t>
      </w:r>
      <w:r>
        <w:rPr>
          <w:rFonts w:hint="cs"/>
          <w:rtl/>
        </w:rPr>
        <w:t xml:space="preserve"> דכן דעת </w:t>
      </w:r>
      <w:r w:rsidRPr="0098781A">
        <w:rPr>
          <w:rStyle w:val="af9"/>
          <w:rFonts w:hint="cs"/>
          <w:rtl/>
        </w:rPr>
        <w:t xml:space="preserve">המהרשד"ם </w:t>
      </w:r>
      <w:r w:rsidRPr="0098781A">
        <w:rPr>
          <w:rStyle w:val="af7"/>
          <w:rFonts w:eastAsia="Guttman Hodes" w:hint="cs"/>
          <w:rtl/>
        </w:rPr>
        <w:t>(חו"מ סי' שנ"ג)</w:t>
      </w:r>
      <w:r>
        <w:rPr>
          <w:rFonts w:hint="cs"/>
          <w:rtl/>
        </w:rPr>
        <w:t xml:space="preserve"> </w:t>
      </w:r>
      <w:r w:rsidRPr="0098781A">
        <w:rPr>
          <w:rStyle w:val="af9"/>
          <w:rFonts w:hint="cs"/>
          <w:rtl/>
        </w:rPr>
        <w:t xml:space="preserve">והמהר"ם אלשיך </w:t>
      </w:r>
      <w:r w:rsidRPr="0098781A">
        <w:rPr>
          <w:rStyle w:val="af7"/>
          <w:rFonts w:eastAsia="Guttman Hodes" w:hint="cs"/>
          <w:rtl/>
        </w:rPr>
        <w:t>(סי' צ"ד ד"ה תשובה)</w:t>
      </w:r>
      <w:r w:rsidRPr="00CA6C58">
        <w:rPr>
          <w:rFonts w:hint="cs"/>
          <w:rtl/>
        </w:rPr>
        <w:t xml:space="preserve"> </w:t>
      </w:r>
      <w:r>
        <w:rPr>
          <w:rFonts w:hint="cs"/>
          <w:rtl/>
        </w:rPr>
        <w:t xml:space="preserve">ודהביא </w:t>
      </w:r>
      <w:r w:rsidRPr="0098781A">
        <w:rPr>
          <w:rStyle w:val="af9"/>
          <w:rFonts w:hint="cs"/>
          <w:rtl/>
        </w:rPr>
        <w:t xml:space="preserve">המהרח"ש </w:t>
      </w:r>
      <w:r w:rsidRPr="0098781A">
        <w:rPr>
          <w:rStyle w:val="af7"/>
          <w:rFonts w:eastAsia="Guttman Hodes" w:hint="cs"/>
          <w:rtl/>
        </w:rPr>
        <w:t>(שו"ת תורת חיים ח"א סי' מ"א ד"ה ונראה ראיה)</w:t>
      </w:r>
      <w:r>
        <w:rPr>
          <w:rFonts w:hint="cs"/>
          <w:rtl/>
        </w:rPr>
        <w:t xml:space="preserve"> ראיה לזה מדברי </w:t>
      </w:r>
      <w:r w:rsidRPr="0098781A">
        <w:rPr>
          <w:rStyle w:val="af9"/>
          <w:rFonts w:hint="cs"/>
          <w:rtl/>
        </w:rPr>
        <w:t xml:space="preserve">הרשב"ם </w:t>
      </w:r>
      <w:r w:rsidRPr="00387BA5">
        <w:rPr>
          <w:rStyle w:val="af7"/>
          <w:rFonts w:eastAsia="Guttman Hodes" w:hint="cs"/>
          <w:rtl/>
        </w:rPr>
        <w:t xml:space="preserve">(עי' אות </w:t>
      </w:r>
      <w:r w:rsidRPr="00387BA5">
        <w:rPr>
          <w:rStyle w:val="af7"/>
          <w:rFonts w:eastAsia="Guttman Hodes"/>
          <w:rtl/>
        </w:rPr>
        <w:fldChar w:fldCharType="begin"/>
      </w:r>
      <w:r w:rsidRPr="00387BA5">
        <w:rPr>
          <w:rStyle w:val="af7"/>
          <w:rFonts w:eastAsia="Guttman Hodes"/>
          <w:rtl/>
        </w:rPr>
        <w:instrText xml:space="preserve"> </w:instrText>
      </w:r>
      <w:r w:rsidRPr="00387BA5">
        <w:rPr>
          <w:rStyle w:val="af7"/>
          <w:rFonts w:eastAsia="Guttman Hodes" w:hint="cs"/>
        </w:rPr>
        <w:instrText>REF</w:instrText>
      </w:r>
      <w:r w:rsidRPr="00387BA5">
        <w:rPr>
          <w:rStyle w:val="af7"/>
          <w:rFonts w:eastAsia="Guttman Hodes" w:hint="cs"/>
          <w:rtl/>
        </w:rPr>
        <w:instrText xml:space="preserve"> _</w:instrText>
      </w:r>
      <w:r w:rsidRPr="00387BA5">
        <w:rPr>
          <w:rStyle w:val="af7"/>
          <w:rFonts w:eastAsia="Guttman Hodes" w:hint="cs"/>
        </w:rPr>
        <w:instrText>Ref56936382 \r \h</w:instrText>
      </w:r>
      <w:r w:rsidRPr="00387BA5">
        <w:rPr>
          <w:rStyle w:val="af7"/>
          <w:rFonts w:eastAsia="Guttman Hodes"/>
          <w:rtl/>
        </w:rPr>
        <w:instrText xml:space="preserve"> </w:instrText>
      </w:r>
      <w:r w:rsidRPr="00387BA5">
        <w:rPr>
          <w:rStyle w:val="af7"/>
          <w:rFonts w:eastAsia="Guttman Hodes"/>
          <w:rtl/>
        </w:rPr>
      </w:r>
      <w:r w:rsidRPr="00387BA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387BA5">
        <w:rPr>
          <w:rStyle w:val="af7"/>
          <w:rFonts w:eastAsia="Guttman Hodes"/>
          <w:rtl/>
        </w:rPr>
        <w:fldChar w:fldCharType="end"/>
      </w:r>
      <w:r>
        <w:rPr>
          <w:rStyle w:val="af9"/>
          <w:rFonts w:hint="cs"/>
          <w:rtl/>
        </w:rPr>
        <w:t xml:space="preserve"> </w:t>
      </w:r>
      <w:r w:rsidRPr="0098781A">
        <w:rPr>
          <w:rStyle w:val="af9"/>
          <w:rFonts w:hint="cs"/>
          <w:rtl/>
        </w:rPr>
        <w:t>והתוס'</w:t>
      </w:r>
      <w:r>
        <w:rPr>
          <w:rFonts w:hint="cs"/>
          <w:rtl/>
        </w:rPr>
        <w:t xml:space="preserve"> </w:t>
      </w:r>
      <w:r w:rsidRPr="0098781A">
        <w:rPr>
          <w:rStyle w:val="af7"/>
          <w:rFonts w:eastAsia="Guttman Hodes" w:hint="cs"/>
          <w:rtl/>
        </w:rPr>
        <w:t xml:space="preserve">(עי' אות </w:t>
      </w:r>
      <w:r w:rsidRPr="0098781A">
        <w:rPr>
          <w:rStyle w:val="af7"/>
          <w:rFonts w:eastAsia="Guttman Hodes"/>
          <w:rtl/>
        </w:rPr>
        <w:fldChar w:fldCharType="begin"/>
      </w:r>
      <w:r w:rsidRPr="0098781A">
        <w:rPr>
          <w:rStyle w:val="af7"/>
          <w:rFonts w:eastAsia="Guttman Hodes"/>
          <w:rtl/>
        </w:rPr>
        <w:instrText xml:space="preserve"> </w:instrText>
      </w:r>
      <w:r w:rsidRPr="0098781A">
        <w:rPr>
          <w:rStyle w:val="af7"/>
          <w:rFonts w:eastAsia="Guttman Hodes" w:hint="cs"/>
        </w:rPr>
        <w:instrText>REF</w:instrText>
      </w:r>
      <w:r w:rsidRPr="0098781A">
        <w:rPr>
          <w:rStyle w:val="af7"/>
          <w:rFonts w:eastAsia="Guttman Hodes" w:hint="cs"/>
          <w:rtl/>
        </w:rPr>
        <w:instrText xml:space="preserve"> _</w:instrText>
      </w:r>
      <w:r w:rsidRPr="0098781A">
        <w:rPr>
          <w:rStyle w:val="af7"/>
          <w:rFonts w:eastAsia="Guttman Hodes" w:hint="cs"/>
        </w:rPr>
        <w:instrText>Ref57108495 \r \h</w:instrText>
      </w:r>
      <w:r w:rsidRPr="0098781A">
        <w:rPr>
          <w:rStyle w:val="af7"/>
          <w:rFonts w:eastAsia="Guttman Hodes"/>
          <w:rtl/>
        </w:rPr>
        <w:instrText xml:space="preserve"> </w:instrText>
      </w:r>
      <w:r w:rsidRPr="0098781A">
        <w:rPr>
          <w:rStyle w:val="af7"/>
          <w:rFonts w:eastAsia="Guttman Hodes"/>
          <w:rtl/>
        </w:rPr>
      </w:r>
      <w:r w:rsidRPr="0098781A">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98781A">
        <w:rPr>
          <w:rStyle w:val="af7"/>
          <w:rFonts w:eastAsia="Guttman Hodes"/>
          <w:rtl/>
        </w:rPr>
        <w:fldChar w:fldCharType="end"/>
      </w:r>
      <w:r>
        <w:rPr>
          <w:rFonts w:hint="cs"/>
          <w:rtl/>
        </w:rPr>
        <w:t xml:space="preserve"> בסוגיין.</w:t>
      </w:r>
      <w:bookmarkEnd w:id="6747"/>
    </w:p>
    <w:p w:rsidR="0019070E" w:rsidRDefault="0019070E" w:rsidP="0019070E">
      <w:pPr>
        <w:pStyle w:val="a3"/>
        <w:rPr>
          <w:rtl/>
        </w:rPr>
      </w:pPr>
      <w:bookmarkStart w:id="6749" w:name="_Toc57310457"/>
      <w:bookmarkStart w:id="6750" w:name="_Toc57323009"/>
      <w:bookmarkStart w:id="6751" w:name="_Toc57323118"/>
      <w:bookmarkStart w:id="6752" w:name="_Toc57370343"/>
      <w:bookmarkStart w:id="6753" w:name="_Toc57491512"/>
      <w:bookmarkStart w:id="6754" w:name="_Toc57495323"/>
      <w:bookmarkStart w:id="6755" w:name="_Toc57544465"/>
      <w:bookmarkStart w:id="6756" w:name="_Toc58184969"/>
      <w:r>
        <w:rPr>
          <w:rFonts w:hint="cs"/>
          <w:rtl/>
        </w:rPr>
        <w:t>קושית הב"ח דמוכח לקמן דמהני חזקה אף בשותפות של המרא קמא והמחזיק</w:t>
      </w:r>
      <w:bookmarkEnd w:id="6738"/>
      <w:bookmarkEnd w:id="6748"/>
      <w:r>
        <w:rPr>
          <w:rFonts w:hint="cs"/>
          <w:rtl/>
        </w:rPr>
        <w:t xml:space="preserve"> ודלא כרשב"ם</w:t>
      </w:r>
      <w:bookmarkEnd w:id="6749"/>
      <w:bookmarkEnd w:id="6750"/>
      <w:bookmarkEnd w:id="6751"/>
      <w:bookmarkEnd w:id="6752"/>
      <w:bookmarkEnd w:id="6753"/>
      <w:bookmarkEnd w:id="6754"/>
      <w:bookmarkEnd w:id="6755"/>
      <w:bookmarkEnd w:id="6756"/>
    </w:p>
    <w:p w:rsidR="0019070E" w:rsidRDefault="0019070E" w:rsidP="007E4E81">
      <w:pPr>
        <w:pStyle w:val="a0"/>
        <w:rPr>
          <w:rtl/>
        </w:rPr>
      </w:pPr>
      <w:r>
        <w:rPr>
          <w:rFonts w:hint="cs"/>
          <w:rtl/>
        </w:rPr>
        <w:t xml:space="preserve">אך הקשה </w:t>
      </w:r>
      <w:r w:rsidRPr="003A1B22">
        <w:rPr>
          <w:rStyle w:val="af9"/>
          <w:rFonts w:hint="cs"/>
          <w:rtl/>
        </w:rPr>
        <w:t xml:space="preserve">הב"ח </w:t>
      </w:r>
      <w:r w:rsidRPr="00BA1A8F">
        <w:rPr>
          <w:rStyle w:val="af7"/>
          <w:rFonts w:eastAsia="Guttman Hodes" w:hint="cs"/>
          <w:rtl/>
        </w:rPr>
        <w:t>(סי' ק"מ י"ט)</w:t>
      </w:r>
      <w:r>
        <w:rPr>
          <w:rStyle w:val="af9"/>
          <w:rFonts w:hint="cs"/>
          <w:rtl/>
        </w:rPr>
        <w:t xml:space="preserve"> ו</w:t>
      </w:r>
      <w:r w:rsidRPr="003A1B22">
        <w:rPr>
          <w:rStyle w:val="af9"/>
          <w:rFonts w:hint="cs"/>
          <w:rtl/>
        </w:rPr>
        <w:t>בתשו'</w:t>
      </w:r>
      <w:r>
        <w:rPr>
          <w:rStyle w:val="af9"/>
          <w:rFonts w:hint="cs"/>
          <w:rtl/>
        </w:rPr>
        <w:t xml:space="preserve"> הב"ח</w:t>
      </w:r>
      <w:r>
        <w:rPr>
          <w:rFonts w:hint="cs"/>
          <w:rtl/>
        </w:rPr>
        <w:t xml:space="preserve"> </w:t>
      </w:r>
      <w:r w:rsidRPr="003A1B22">
        <w:rPr>
          <w:rStyle w:val="af7"/>
          <w:rFonts w:eastAsia="Guttman Hodes"/>
          <w:rtl/>
        </w:rPr>
        <w:t>(ישנות סי' ז' ד"ה</w:t>
      </w:r>
      <w:r w:rsidRPr="003A1B22">
        <w:rPr>
          <w:rStyle w:val="af7"/>
          <w:rFonts w:eastAsia="Guttman Hodes" w:hint="cs"/>
          <w:rtl/>
        </w:rPr>
        <w:t xml:space="preserve"> אכן)</w:t>
      </w:r>
      <w:r w:rsidR="00A77F33">
        <w:rPr>
          <w:rFonts w:hint="cs"/>
          <w:rtl/>
        </w:rPr>
        <w:t xml:space="preserve"> </w:t>
      </w:r>
      <w:r>
        <w:rPr>
          <w:rFonts w:hint="cs"/>
          <w:rtl/>
        </w:rPr>
        <w:t xml:space="preserve">דהא בגמ' לקמן </w:t>
      </w:r>
      <w:r w:rsidRPr="003A1B22">
        <w:rPr>
          <w:rStyle w:val="af7"/>
          <w:rFonts w:eastAsia="Guttman Hodes" w:hint="cs"/>
          <w:rtl/>
        </w:rPr>
        <w:t>(נז:)</w:t>
      </w:r>
      <w:r>
        <w:rPr>
          <w:rFonts w:hint="cs"/>
          <w:rtl/>
        </w:rPr>
        <w:t xml:space="preserve"> מוכח דמהני חזקה אף כשהמרא קמא משתמש יחד עם המחזיק, עיי"ש במה שהאריך </w:t>
      </w:r>
      <w:r w:rsidRPr="003A1B22">
        <w:rPr>
          <w:rStyle w:val="af9"/>
          <w:rFonts w:hint="cs"/>
          <w:rtl/>
        </w:rPr>
        <w:t>הב"ח</w:t>
      </w:r>
      <w:r>
        <w:rPr>
          <w:rStyle w:val="af9"/>
          <w:rFonts w:hint="cs"/>
          <w:rtl/>
        </w:rPr>
        <w:t xml:space="preserve"> בתשו'</w:t>
      </w:r>
      <w:r>
        <w:rPr>
          <w:rFonts w:hint="cs"/>
          <w:rtl/>
        </w:rPr>
        <w:t xml:space="preserve"> בזה.</w:t>
      </w:r>
    </w:p>
    <w:p w:rsidR="0019070E" w:rsidRDefault="0019070E" w:rsidP="0019070E">
      <w:pPr>
        <w:pStyle w:val="a3"/>
        <w:rPr>
          <w:rtl/>
        </w:rPr>
      </w:pPr>
      <w:bookmarkStart w:id="6757" w:name="_Toc57234548"/>
      <w:bookmarkStart w:id="6758" w:name="_Toc57236137"/>
      <w:bookmarkStart w:id="6759" w:name="_Toc57310458"/>
      <w:bookmarkStart w:id="6760" w:name="_Toc57323010"/>
      <w:bookmarkStart w:id="6761" w:name="_Toc57323119"/>
      <w:bookmarkStart w:id="6762" w:name="_Toc57370344"/>
      <w:bookmarkStart w:id="6763" w:name="_Toc57491513"/>
      <w:bookmarkStart w:id="6764" w:name="_Toc57495324"/>
      <w:bookmarkStart w:id="6765" w:name="_Toc57544466"/>
      <w:bookmarkStart w:id="6766" w:name="_Toc58184970"/>
      <w:r>
        <w:rPr>
          <w:rFonts w:hint="cs"/>
          <w:rtl/>
        </w:rPr>
        <w:t>תירוצי הב"ח דבבית דדרך להשכיר הו"ל למחות ועוד דהכא נראה כשמתמש בכל הבית</w:t>
      </w:r>
      <w:bookmarkEnd w:id="6757"/>
      <w:bookmarkEnd w:id="6758"/>
      <w:bookmarkEnd w:id="6759"/>
      <w:bookmarkEnd w:id="6760"/>
      <w:bookmarkEnd w:id="6761"/>
      <w:bookmarkEnd w:id="6762"/>
      <w:bookmarkEnd w:id="6763"/>
      <w:bookmarkEnd w:id="6764"/>
      <w:bookmarkEnd w:id="6765"/>
      <w:bookmarkEnd w:id="6766"/>
    </w:p>
    <w:p w:rsidR="0019070E" w:rsidRDefault="0019070E" w:rsidP="007E4E81">
      <w:pPr>
        <w:pStyle w:val="a0"/>
        <w:rPr>
          <w:rtl/>
        </w:rPr>
      </w:pPr>
      <w:r>
        <w:rPr>
          <w:rFonts w:hint="cs"/>
          <w:rtl/>
        </w:rPr>
        <w:t xml:space="preserve">ותירץ </w:t>
      </w:r>
      <w:r w:rsidRPr="003A1B22">
        <w:rPr>
          <w:rStyle w:val="af9"/>
          <w:rFonts w:hint="cs"/>
          <w:rtl/>
        </w:rPr>
        <w:t>הב"ח</w:t>
      </w:r>
      <w:r>
        <w:rPr>
          <w:rStyle w:val="af9"/>
          <w:rFonts w:hint="cs"/>
          <w:rtl/>
        </w:rPr>
        <w:t xml:space="preserve"> </w:t>
      </w:r>
      <w:r w:rsidRPr="0035746F">
        <w:rPr>
          <w:rStyle w:val="af7"/>
          <w:rFonts w:eastAsia="Guttman Hodes" w:hint="cs"/>
          <w:rtl/>
        </w:rPr>
        <w:t>(סי' ק"מ י"ט)</w:t>
      </w:r>
      <w:r>
        <w:rPr>
          <w:rStyle w:val="af9"/>
          <w:rFonts w:hint="cs"/>
          <w:rtl/>
        </w:rPr>
        <w:t xml:space="preserve"> ו</w:t>
      </w:r>
      <w:r w:rsidRPr="003A1B22">
        <w:rPr>
          <w:rStyle w:val="af9"/>
          <w:rFonts w:hint="cs"/>
          <w:rtl/>
        </w:rPr>
        <w:t>בתשו'</w:t>
      </w:r>
      <w:r>
        <w:rPr>
          <w:rStyle w:val="af9"/>
          <w:rFonts w:hint="cs"/>
          <w:rtl/>
        </w:rPr>
        <w:t xml:space="preserve"> הב"ח</w:t>
      </w:r>
      <w:r>
        <w:rPr>
          <w:rFonts w:hint="cs"/>
          <w:rtl/>
        </w:rPr>
        <w:t xml:space="preserve"> </w:t>
      </w:r>
      <w:r w:rsidRPr="0035746F">
        <w:rPr>
          <w:rStyle w:val="af7"/>
          <w:rFonts w:eastAsia="Guttman Hodes"/>
          <w:rtl/>
        </w:rPr>
        <w:t xml:space="preserve">(ישנות סי' ז' </w:t>
      </w:r>
      <w:r>
        <w:rPr>
          <w:rStyle w:val="af7"/>
          <w:rFonts w:eastAsia="Guttman Hodes" w:hint="cs"/>
          <w:rtl/>
        </w:rPr>
        <w:t>סו</w:t>
      </w:r>
      <w:r w:rsidRPr="0035746F">
        <w:rPr>
          <w:rStyle w:val="af7"/>
          <w:rFonts w:eastAsia="Guttman Hodes"/>
          <w:rtl/>
        </w:rPr>
        <w:t>ד"ה</w:t>
      </w:r>
      <w:r w:rsidRPr="0035746F">
        <w:rPr>
          <w:rStyle w:val="af7"/>
          <w:rFonts w:eastAsia="Guttman Hodes" w:hint="cs"/>
          <w:rtl/>
        </w:rPr>
        <w:t xml:space="preserve"> ונראה לפע"ד)</w:t>
      </w:r>
      <w:r>
        <w:rPr>
          <w:rFonts w:hint="cs"/>
          <w:rtl/>
        </w:rPr>
        <w:t xml:space="preserve"> דבסוגיין איירי בבית שיש רגילות להשכירו ולהשאילו לאחרים, ולכן סגי בהעברת דרך על המחזיק, בכדי שיוכל המרא קמא לטעון שהבית עדיין היה ברשותו, והוא לא היה צריך למחות, משא"כ בגמ' לקמן דאיירי בחצר שהבתים פתוחים לתוכה ומשתמשים בה, ואין רגילות להשאיל ולהשכיר, ולכן הוי חזקה, ועוד </w:t>
      </w:r>
      <w:bookmarkStart w:id="6767" w:name="_Ref57061029"/>
      <w:r>
        <w:rPr>
          <w:rFonts w:hint="cs"/>
          <w:rtl/>
        </w:rPr>
        <w:t xml:space="preserve">תירץ </w:t>
      </w:r>
      <w:r w:rsidRPr="003A1B22">
        <w:rPr>
          <w:rStyle w:val="af9"/>
          <w:rFonts w:hint="cs"/>
          <w:rtl/>
        </w:rPr>
        <w:t>הב"ח בתשו'</w:t>
      </w:r>
      <w:r>
        <w:rPr>
          <w:rFonts w:hint="cs"/>
          <w:rtl/>
        </w:rPr>
        <w:t xml:space="preserve"> </w:t>
      </w:r>
      <w:r w:rsidRPr="0035746F">
        <w:rPr>
          <w:rStyle w:val="af7"/>
          <w:rFonts w:eastAsia="Guttman Hodes"/>
          <w:rtl/>
        </w:rPr>
        <w:t>(ישנות סי' ז' ד"ה</w:t>
      </w:r>
      <w:r w:rsidRPr="0035746F">
        <w:rPr>
          <w:rStyle w:val="af7"/>
          <w:rFonts w:eastAsia="Guttman Hodes" w:hint="cs"/>
          <w:rtl/>
        </w:rPr>
        <w:t xml:space="preserve"> ונראה לפע"ד)</w:t>
      </w:r>
      <w:r>
        <w:rPr>
          <w:rFonts w:hint="cs"/>
          <w:rtl/>
        </w:rPr>
        <w:t xml:space="preserve"> דבסוגיין כיון שהמערער דר בבית הפנימי ויוצא דרך החיצון, א"כ הוא נראה כמשתמש בכל הבית, ולכן א"צ למחות, דהיה למחזיק להזהר בשטרו שמא יטען לו המרא קמא שכל הבית ברשותו, והמחזיק יושב בבית החיצון בשכירות או שאילה, אבל בגמ' לקמן איירי להיפך דלמחזיק יש חזקה של דריסת הרגל בתוך החצר של הבעלים, ואילו הבעלים אינם משתמשים בחצר זו כלל, עיי"ש בדבריו.</w:t>
      </w:r>
      <w:bookmarkEnd w:id="6767"/>
    </w:p>
    <w:p w:rsidR="0019070E" w:rsidRDefault="0019070E" w:rsidP="0019070E">
      <w:pPr>
        <w:pStyle w:val="1"/>
        <w:rPr>
          <w:rtl/>
        </w:rPr>
      </w:pPr>
      <w:bookmarkStart w:id="6768" w:name="_Toc57491514"/>
      <w:bookmarkStart w:id="6769" w:name="_Toc57495325"/>
      <w:bookmarkStart w:id="6770" w:name="_Toc57544467"/>
      <w:bookmarkStart w:id="6771" w:name="_Toc58184971"/>
      <w:r>
        <w:rPr>
          <w:rFonts w:hint="cs"/>
          <w:rtl/>
        </w:rPr>
        <w:t>דברי הקצוה"ח דשותפות מהני והכא טוען שקנה הכל ולכן ל"מ</w:t>
      </w:r>
      <w:bookmarkEnd w:id="6768"/>
      <w:bookmarkEnd w:id="6769"/>
      <w:bookmarkEnd w:id="6770"/>
      <w:bookmarkEnd w:id="6771"/>
    </w:p>
    <w:p w:rsidR="0019070E" w:rsidRPr="001012D9" w:rsidRDefault="0019070E" w:rsidP="0019070E">
      <w:pPr>
        <w:pStyle w:val="a3"/>
        <w:rPr>
          <w:rtl/>
        </w:rPr>
      </w:pPr>
      <w:bookmarkStart w:id="6772" w:name="_Toc57236139"/>
      <w:bookmarkStart w:id="6773" w:name="_Toc57310460"/>
      <w:bookmarkStart w:id="6774" w:name="_Toc57323012"/>
      <w:bookmarkStart w:id="6775" w:name="_Toc57323121"/>
      <w:bookmarkStart w:id="6776" w:name="_Toc57370346"/>
      <w:bookmarkStart w:id="6777" w:name="_Toc57491515"/>
      <w:bookmarkStart w:id="6778" w:name="_Toc57495326"/>
      <w:bookmarkStart w:id="6779" w:name="_Toc57544468"/>
      <w:bookmarkStart w:id="6780" w:name="_Toc58184972"/>
      <w:r>
        <w:rPr>
          <w:rFonts w:hint="cs"/>
          <w:rtl/>
        </w:rPr>
        <w:t>ביאור הקצוה"ח דאף דמהני חזקה בשותפות דכ"א בשלו מדין ברירה אך הכא כ"א בשל חבירו</w:t>
      </w:r>
      <w:bookmarkEnd w:id="6772"/>
      <w:bookmarkEnd w:id="6773"/>
      <w:bookmarkEnd w:id="6774"/>
      <w:bookmarkEnd w:id="6775"/>
      <w:bookmarkEnd w:id="6776"/>
      <w:bookmarkEnd w:id="6777"/>
      <w:bookmarkEnd w:id="6778"/>
      <w:bookmarkEnd w:id="6779"/>
      <w:bookmarkEnd w:id="6780"/>
    </w:p>
    <w:p w:rsidR="0019070E" w:rsidRDefault="0019070E" w:rsidP="007E4E81">
      <w:pPr>
        <w:pStyle w:val="a0"/>
        <w:rPr>
          <w:rtl/>
        </w:rPr>
      </w:pPr>
      <w:bookmarkStart w:id="6781" w:name="_Ref57109898"/>
      <w:r>
        <w:rPr>
          <w:rFonts w:hint="cs"/>
          <w:rtl/>
        </w:rPr>
        <w:t xml:space="preserve">אבל </w:t>
      </w:r>
      <w:r w:rsidRPr="00771FC7">
        <w:rPr>
          <w:rStyle w:val="af9"/>
          <w:rFonts w:hint="cs"/>
          <w:rtl/>
        </w:rPr>
        <w:t>הקצוה"ח</w:t>
      </w:r>
      <w:r>
        <w:rPr>
          <w:rFonts w:hint="cs"/>
          <w:rtl/>
        </w:rPr>
        <w:t xml:space="preserve"> </w:t>
      </w:r>
      <w:r w:rsidRPr="00771FC7">
        <w:rPr>
          <w:rStyle w:val="af7"/>
          <w:rFonts w:eastAsia="Guttman Hodes" w:hint="cs"/>
          <w:rtl/>
        </w:rPr>
        <w:t>(סי' ק"מ סק"ג ד"ה והנה ידעתי)</w:t>
      </w:r>
      <w:r>
        <w:rPr>
          <w:rFonts w:hint="cs"/>
          <w:rtl/>
        </w:rPr>
        <w:t xml:space="preserve"> פליג על </w:t>
      </w:r>
      <w:r w:rsidRPr="00771FC7">
        <w:rPr>
          <w:rStyle w:val="af9"/>
          <w:rFonts w:hint="cs"/>
          <w:rtl/>
        </w:rPr>
        <w:t>הב"ח</w:t>
      </w:r>
      <w:r>
        <w:rPr>
          <w:rFonts w:hint="cs"/>
          <w:rtl/>
        </w:rPr>
        <w:t xml:space="preserve"> </w:t>
      </w:r>
      <w:r>
        <w:rPr>
          <w:rStyle w:val="af9"/>
          <w:rFonts w:hint="cs"/>
          <w:rtl/>
        </w:rPr>
        <w:t>ו</w:t>
      </w:r>
      <w:r w:rsidRPr="0098781A">
        <w:rPr>
          <w:rStyle w:val="af9"/>
          <w:rFonts w:hint="cs"/>
          <w:rtl/>
        </w:rPr>
        <w:t>המהרשד"ם והמהר"ם אלשיך</w:t>
      </w:r>
      <w:r w:rsidRPr="00BB4D3D">
        <w:rPr>
          <w:rFonts w:hint="cs"/>
          <w:rtl/>
        </w:rPr>
        <w:t xml:space="preserve"> </w:t>
      </w:r>
      <w:r>
        <w:rPr>
          <w:rStyle w:val="af9"/>
          <w:rFonts w:hint="cs"/>
          <w:rtl/>
        </w:rPr>
        <w:t>ו</w:t>
      </w:r>
      <w:r w:rsidRPr="0098781A">
        <w:rPr>
          <w:rStyle w:val="af9"/>
          <w:rFonts w:hint="cs"/>
          <w:rtl/>
        </w:rPr>
        <w:t xml:space="preserve">המהרח"ש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Ref57309718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Pr>
          <w:rStyle w:val="af7"/>
          <w:rFonts w:eastAsia="Guttman Hodes"/>
          <w:rtl/>
        </w:rPr>
        <w:fldChar w:fldCharType="end"/>
      </w:r>
      <w:r>
        <w:rPr>
          <w:rFonts w:hint="cs"/>
          <w:rtl/>
        </w:rPr>
        <w:t xml:space="preserve">, וכתב דמהני חזקה אף כשהמרא קמא והמחזיק משתמשים בשותפות, ועיי"ש במה שהאריך </w:t>
      </w:r>
      <w:r w:rsidRPr="001012D9">
        <w:rPr>
          <w:rStyle w:val="af9"/>
          <w:rFonts w:hint="cs"/>
          <w:rtl/>
        </w:rPr>
        <w:lastRenderedPageBreak/>
        <w:t>הקצוה"ח</w:t>
      </w:r>
      <w:r>
        <w:rPr>
          <w:rFonts w:hint="cs"/>
          <w:rtl/>
        </w:rPr>
        <w:t xml:space="preserve"> להביא ראיות לדבריו, וביאר </w:t>
      </w:r>
      <w:r w:rsidRPr="00771FC7">
        <w:rPr>
          <w:rStyle w:val="af9"/>
          <w:rFonts w:hint="cs"/>
          <w:rtl/>
        </w:rPr>
        <w:t>הקצוה"ח</w:t>
      </w:r>
      <w:r>
        <w:rPr>
          <w:rFonts w:hint="cs"/>
          <w:rtl/>
        </w:rPr>
        <w:t xml:space="preserve"> </w:t>
      </w:r>
      <w:r w:rsidRPr="00771FC7">
        <w:rPr>
          <w:rStyle w:val="af7"/>
          <w:rFonts w:eastAsia="Guttman Hodes" w:hint="cs"/>
          <w:rtl/>
        </w:rPr>
        <w:t>(סי' ק"מ סק"ג ד"ה ולכן נראה)</w:t>
      </w:r>
      <w:r>
        <w:rPr>
          <w:rFonts w:hint="cs"/>
          <w:rtl/>
        </w:rPr>
        <w:t xml:space="preserve"> דהגמ' בסוגיין לא דמי לחזקה בשותפות, כיון שהמחזיק טוען שקנה את גוף הקרקע של הבית החיצון, ובזה דריסת הרגל של המרא קמא חשיבא כמחאה, אבל בשותפין שכ"א משתמש בשלו, ואין אחד מהם נכנס לחלק של חבירו כלל, כמבואר בדברי </w:t>
      </w:r>
      <w:r w:rsidRPr="00771FC7">
        <w:rPr>
          <w:rStyle w:val="af9"/>
          <w:rFonts w:hint="cs"/>
          <w:rtl/>
        </w:rPr>
        <w:t>הר"ן בנדרים</w:t>
      </w:r>
      <w:r>
        <w:rPr>
          <w:rFonts w:hint="cs"/>
          <w:rtl/>
        </w:rPr>
        <w:t xml:space="preserve"> </w:t>
      </w:r>
      <w:r w:rsidRPr="00771FC7">
        <w:rPr>
          <w:rStyle w:val="af7"/>
          <w:rFonts w:eastAsia="Guttman Hodes" w:hint="cs"/>
          <w:rtl/>
        </w:rPr>
        <w:t>(מה: ד"ה ר"א)</w:t>
      </w:r>
      <w:r>
        <w:rPr>
          <w:rFonts w:hint="cs"/>
          <w:rtl/>
        </w:rPr>
        <w:t xml:space="preserve"> דאמרינן ברירה, א"כ אין לבעלים כל תפיסה בחלק של השותף שעושה חזקה בחלק שלו, ולכן מהני חזקתו, ועי' במ"ש </w:t>
      </w:r>
      <w:r w:rsidRPr="005A5564">
        <w:rPr>
          <w:rStyle w:val="af9"/>
          <w:rFonts w:hint="cs"/>
          <w:rtl/>
        </w:rPr>
        <w:t>בחי' רבי נחום</w:t>
      </w:r>
      <w:r>
        <w:rPr>
          <w:rFonts w:hint="cs"/>
          <w:rtl/>
        </w:rPr>
        <w:t xml:space="preserve"> </w:t>
      </w:r>
      <w:r w:rsidRPr="00CF6AA0">
        <w:rPr>
          <w:rStyle w:val="af7"/>
          <w:rFonts w:eastAsia="Guttman Hodes" w:hint="cs"/>
          <w:rtl/>
        </w:rPr>
        <w:t xml:space="preserve">(עי' אות </w:t>
      </w:r>
      <w:r w:rsidRPr="00CF6AA0">
        <w:rPr>
          <w:rStyle w:val="af7"/>
          <w:rFonts w:eastAsia="Guttman Hodes"/>
          <w:rtl/>
        </w:rPr>
        <w:fldChar w:fldCharType="begin"/>
      </w:r>
      <w:r w:rsidRPr="00CF6AA0">
        <w:rPr>
          <w:rStyle w:val="af7"/>
          <w:rFonts w:eastAsia="Guttman Hodes"/>
          <w:rtl/>
        </w:rPr>
        <w:instrText xml:space="preserve"> </w:instrText>
      </w:r>
      <w:r w:rsidRPr="00CF6AA0">
        <w:rPr>
          <w:rStyle w:val="af7"/>
          <w:rFonts w:eastAsia="Guttman Hodes" w:hint="cs"/>
        </w:rPr>
        <w:instrText>REF</w:instrText>
      </w:r>
      <w:r w:rsidRPr="00CF6AA0">
        <w:rPr>
          <w:rStyle w:val="af7"/>
          <w:rFonts w:eastAsia="Guttman Hodes" w:hint="cs"/>
          <w:rtl/>
        </w:rPr>
        <w:instrText xml:space="preserve"> _</w:instrText>
      </w:r>
      <w:r w:rsidRPr="00CF6AA0">
        <w:rPr>
          <w:rStyle w:val="af7"/>
          <w:rFonts w:eastAsia="Guttman Hodes" w:hint="cs"/>
        </w:rPr>
        <w:instrText>Ref57136778 \r \h</w:instrText>
      </w:r>
      <w:r w:rsidRPr="00CF6AA0">
        <w:rPr>
          <w:rStyle w:val="af7"/>
          <w:rFonts w:eastAsia="Guttman Hodes"/>
          <w:rtl/>
        </w:rPr>
        <w:instrText xml:space="preserve"> </w:instrText>
      </w:r>
      <w:r w:rsidRPr="00CF6AA0">
        <w:rPr>
          <w:rStyle w:val="af7"/>
          <w:rFonts w:eastAsia="Guttman Hodes"/>
          <w:rtl/>
        </w:rPr>
      </w:r>
      <w:r w:rsidRPr="00CF6AA0">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sidRPr="00CF6AA0">
        <w:rPr>
          <w:rStyle w:val="af7"/>
          <w:rFonts w:eastAsia="Guttman Hodes"/>
          <w:rtl/>
        </w:rPr>
        <w:fldChar w:fldCharType="end"/>
      </w:r>
      <w:r>
        <w:rPr>
          <w:rFonts w:hint="cs"/>
          <w:rtl/>
        </w:rPr>
        <w:t xml:space="preserve"> </w:t>
      </w:r>
      <w:r w:rsidRPr="005A5564">
        <w:rPr>
          <w:rStyle w:val="af9"/>
          <w:rFonts w:hint="cs"/>
          <w:rtl/>
        </w:rPr>
        <w:t>ובשיעורי רבי שמואל</w:t>
      </w:r>
      <w:r>
        <w:rPr>
          <w:rFonts w:hint="cs"/>
          <w:rtl/>
        </w:rPr>
        <w:t xml:space="preserve"> </w:t>
      </w:r>
      <w:r w:rsidRPr="00CF6AA0">
        <w:rPr>
          <w:rStyle w:val="af7"/>
          <w:rFonts w:eastAsia="Guttman Hodes" w:hint="cs"/>
          <w:rtl/>
        </w:rPr>
        <w:t xml:space="preserve">(עי' אות </w:t>
      </w:r>
      <w:r w:rsidRPr="00CF6AA0">
        <w:rPr>
          <w:rStyle w:val="af7"/>
          <w:rFonts w:eastAsia="Guttman Hodes"/>
          <w:rtl/>
        </w:rPr>
        <w:fldChar w:fldCharType="begin"/>
      </w:r>
      <w:r w:rsidRPr="00CF6AA0">
        <w:rPr>
          <w:rStyle w:val="af7"/>
          <w:rFonts w:eastAsia="Guttman Hodes"/>
          <w:rtl/>
        </w:rPr>
        <w:instrText xml:space="preserve"> </w:instrText>
      </w:r>
      <w:r w:rsidRPr="00CF6AA0">
        <w:rPr>
          <w:rStyle w:val="af7"/>
          <w:rFonts w:eastAsia="Guttman Hodes" w:hint="cs"/>
        </w:rPr>
        <w:instrText>REF</w:instrText>
      </w:r>
      <w:r w:rsidRPr="00CF6AA0">
        <w:rPr>
          <w:rStyle w:val="af7"/>
          <w:rFonts w:eastAsia="Guttman Hodes" w:hint="cs"/>
          <w:rtl/>
        </w:rPr>
        <w:instrText xml:space="preserve"> _</w:instrText>
      </w:r>
      <w:r w:rsidRPr="00CF6AA0">
        <w:rPr>
          <w:rStyle w:val="af7"/>
          <w:rFonts w:eastAsia="Guttman Hodes" w:hint="cs"/>
        </w:rPr>
        <w:instrText>Ref57537785 \r \h</w:instrText>
      </w:r>
      <w:r w:rsidRPr="00CF6AA0">
        <w:rPr>
          <w:rStyle w:val="af7"/>
          <w:rFonts w:eastAsia="Guttman Hodes"/>
          <w:rtl/>
        </w:rPr>
        <w:instrText xml:space="preserve"> </w:instrText>
      </w:r>
      <w:r w:rsidRPr="00CF6AA0">
        <w:rPr>
          <w:rStyle w:val="af7"/>
          <w:rFonts w:eastAsia="Guttman Hodes"/>
          <w:rtl/>
        </w:rPr>
      </w:r>
      <w:r w:rsidRPr="00CF6AA0">
        <w:rPr>
          <w:rStyle w:val="af7"/>
          <w:rFonts w:eastAsia="Guttman Hodes"/>
          <w:rtl/>
        </w:rPr>
        <w:fldChar w:fldCharType="separate"/>
      </w:r>
      <w:r w:rsidR="00265073">
        <w:rPr>
          <w:rStyle w:val="af7"/>
          <w:rFonts w:eastAsia="Guttman Hodes"/>
          <w:cs/>
        </w:rPr>
        <w:t>‎</w:t>
      </w:r>
      <w:r w:rsidR="00265073">
        <w:rPr>
          <w:rStyle w:val="af7"/>
          <w:rFonts w:eastAsia="Guttman Hodes"/>
          <w:rtl/>
        </w:rPr>
        <w:t>קכד)</w:t>
      </w:r>
      <w:r w:rsidRPr="00CF6AA0">
        <w:rPr>
          <w:rStyle w:val="af7"/>
          <w:rFonts w:eastAsia="Guttman Hodes"/>
          <w:rtl/>
        </w:rPr>
        <w:fldChar w:fldCharType="end"/>
      </w:r>
      <w:r>
        <w:rPr>
          <w:rFonts w:hint="cs"/>
          <w:rtl/>
        </w:rPr>
        <w:t xml:space="preserve"> בדברי </w:t>
      </w:r>
      <w:r w:rsidRPr="005A5564">
        <w:rPr>
          <w:rStyle w:val="af9"/>
          <w:rFonts w:hint="cs"/>
          <w:rtl/>
        </w:rPr>
        <w:t>הקצוה"ח</w:t>
      </w:r>
      <w:r>
        <w:rPr>
          <w:rStyle w:val="af1"/>
          <w:rtl/>
        </w:rPr>
        <w:footnoteReference w:id="37"/>
      </w:r>
      <w:r>
        <w:rPr>
          <w:rFonts w:hint="cs"/>
          <w:rtl/>
        </w:rPr>
        <w:t>.</w:t>
      </w:r>
      <w:bookmarkEnd w:id="6781"/>
    </w:p>
    <w:p w:rsidR="0019070E" w:rsidRDefault="0019070E" w:rsidP="0019070E">
      <w:pPr>
        <w:pStyle w:val="a3"/>
        <w:rPr>
          <w:rtl/>
        </w:rPr>
      </w:pPr>
      <w:bookmarkStart w:id="6782" w:name="_Toc57236140"/>
      <w:bookmarkStart w:id="6783" w:name="_Toc57310461"/>
      <w:bookmarkStart w:id="6784" w:name="_Toc57323013"/>
      <w:bookmarkStart w:id="6785" w:name="_Toc57323122"/>
      <w:bookmarkStart w:id="6786" w:name="_Toc57370347"/>
      <w:bookmarkStart w:id="6787" w:name="_Toc57491516"/>
      <w:bookmarkStart w:id="6788" w:name="_Toc57495327"/>
      <w:bookmarkStart w:id="6789" w:name="_Toc57544469"/>
      <w:bookmarkStart w:id="6790" w:name="_Toc58184973"/>
      <w:r>
        <w:rPr>
          <w:rFonts w:hint="cs"/>
          <w:rtl/>
        </w:rPr>
        <w:t>קושית הנתיה"מ דמוכח בנימוק"י דלרשב"ם אין חזקה בשותפות ואף שייר לו דרך ל"ה חזקה</w:t>
      </w:r>
      <w:bookmarkEnd w:id="6782"/>
      <w:bookmarkEnd w:id="6783"/>
      <w:bookmarkEnd w:id="6784"/>
      <w:bookmarkEnd w:id="6785"/>
      <w:bookmarkEnd w:id="6786"/>
      <w:bookmarkEnd w:id="6787"/>
      <w:bookmarkEnd w:id="6788"/>
      <w:bookmarkEnd w:id="6789"/>
      <w:bookmarkEnd w:id="6790"/>
    </w:p>
    <w:p w:rsidR="0019070E" w:rsidRDefault="0019070E" w:rsidP="007E4E81">
      <w:pPr>
        <w:pStyle w:val="a0"/>
        <w:rPr>
          <w:rtl/>
        </w:rPr>
      </w:pPr>
      <w:r>
        <w:rPr>
          <w:rFonts w:hint="cs"/>
          <w:rtl/>
        </w:rPr>
        <w:t xml:space="preserve">אבל </w:t>
      </w:r>
      <w:r w:rsidRPr="00723229">
        <w:rPr>
          <w:rStyle w:val="af9"/>
          <w:rFonts w:hint="cs"/>
          <w:rtl/>
        </w:rPr>
        <w:t>הנתיה"מ</w:t>
      </w:r>
      <w:r>
        <w:rPr>
          <w:rFonts w:hint="cs"/>
          <w:rtl/>
        </w:rPr>
        <w:t xml:space="preserve"> </w:t>
      </w:r>
      <w:r w:rsidRPr="004E6BB6">
        <w:rPr>
          <w:rStyle w:val="af7"/>
          <w:rFonts w:eastAsia="Guttman Hodes" w:hint="cs"/>
          <w:rtl/>
        </w:rPr>
        <w:t xml:space="preserve">(סי' ק"מ סקי"ט ד"ה ולא ידעתי) </w:t>
      </w:r>
      <w:r>
        <w:rPr>
          <w:rFonts w:hint="cs"/>
          <w:rtl/>
        </w:rPr>
        <w:t xml:space="preserve">דחה את דברי </w:t>
      </w:r>
      <w:r w:rsidRPr="00723229">
        <w:rPr>
          <w:rStyle w:val="af9"/>
          <w:rFonts w:hint="cs"/>
          <w:rtl/>
        </w:rPr>
        <w:t>הקצוה"ח</w:t>
      </w:r>
      <w:r>
        <w:rPr>
          <w:rFonts w:hint="cs"/>
          <w:rtl/>
        </w:rPr>
        <w:t xml:space="preserve">, דיש חזקה בשותפות, ורק כשטוען המחזיק שקנה את כל הבית אפילו דרך מבטלת, וכתב </w:t>
      </w:r>
      <w:r w:rsidRPr="00723229">
        <w:rPr>
          <w:rStyle w:val="af9"/>
          <w:rFonts w:hint="cs"/>
          <w:rtl/>
        </w:rPr>
        <w:t>הנתיה"מ</w:t>
      </w:r>
      <w:r>
        <w:rPr>
          <w:rFonts w:hint="cs"/>
          <w:rtl/>
        </w:rPr>
        <w:t xml:space="preserve"> דודאי דלא מהני חזקה בשותפות, וכן </w:t>
      </w:r>
      <w:r w:rsidRPr="0013574A">
        <w:rPr>
          <w:rFonts w:hint="cs"/>
          <w:rtl/>
        </w:rPr>
        <w:t xml:space="preserve">מוכח </w:t>
      </w:r>
      <w:r w:rsidRPr="00723229">
        <w:rPr>
          <w:rStyle w:val="af9"/>
          <w:rFonts w:hint="cs"/>
          <w:rtl/>
        </w:rPr>
        <w:t>בנימוק"י</w:t>
      </w:r>
      <w:r w:rsidRPr="0013574A">
        <w:rPr>
          <w:rFonts w:hint="cs"/>
          <w:rtl/>
        </w:rPr>
        <w:t xml:space="preserve"> </w:t>
      </w:r>
      <w:r w:rsidRPr="004E6BB6">
        <w:rPr>
          <w:rStyle w:val="af7"/>
          <w:rFonts w:eastAsia="Guttman Hodes" w:hint="cs"/>
          <w:rtl/>
        </w:rPr>
        <w:t xml:space="preserve">(עי' אות </w:t>
      </w:r>
      <w:r w:rsidRPr="004E6BB6">
        <w:rPr>
          <w:rStyle w:val="af7"/>
          <w:rFonts w:eastAsia="Guttman Hodes"/>
          <w:rtl/>
        </w:rPr>
        <w:fldChar w:fldCharType="begin"/>
      </w:r>
      <w:r w:rsidRPr="004E6BB6">
        <w:rPr>
          <w:rStyle w:val="af7"/>
          <w:rFonts w:eastAsia="Guttman Hodes"/>
          <w:rtl/>
        </w:rPr>
        <w:instrText xml:space="preserve"> </w:instrText>
      </w:r>
      <w:r w:rsidRPr="004E6BB6">
        <w:rPr>
          <w:rStyle w:val="af7"/>
          <w:rFonts w:eastAsia="Guttman Hodes" w:hint="cs"/>
        </w:rPr>
        <w:instrText>REF</w:instrText>
      </w:r>
      <w:r w:rsidRPr="004E6BB6">
        <w:rPr>
          <w:rStyle w:val="af7"/>
          <w:rFonts w:eastAsia="Guttman Hodes" w:hint="cs"/>
          <w:rtl/>
        </w:rPr>
        <w:instrText xml:space="preserve"> _</w:instrText>
      </w:r>
      <w:r w:rsidRPr="004E6BB6">
        <w:rPr>
          <w:rStyle w:val="af7"/>
          <w:rFonts w:eastAsia="Guttman Hodes" w:hint="cs"/>
        </w:rPr>
        <w:instrText>Ref57061001 \r \h</w:instrText>
      </w:r>
      <w:r w:rsidRPr="004E6BB6">
        <w:rPr>
          <w:rStyle w:val="af7"/>
          <w:rFonts w:eastAsia="Guttman Hodes"/>
          <w:rtl/>
        </w:rPr>
        <w:instrText xml:space="preserve"> </w:instrText>
      </w:r>
      <w:r w:rsidRPr="004E6BB6">
        <w:rPr>
          <w:rStyle w:val="af7"/>
          <w:rFonts w:eastAsia="Guttman Hodes"/>
          <w:rtl/>
        </w:rPr>
      </w:r>
      <w:r w:rsidRPr="004E6BB6">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4E6BB6">
        <w:rPr>
          <w:rStyle w:val="af7"/>
          <w:rFonts w:eastAsia="Guttman Hodes"/>
          <w:rtl/>
        </w:rPr>
        <w:fldChar w:fldCharType="end"/>
      </w:r>
      <w:r w:rsidRPr="0013574A">
        <w:rPr>
          <w:rFonts w:hint="cs"/>
          <w:rtl/>
        </w:rPr>
        <w:t xml:space="preserve"> שהקשה על </w:t>
      </w:r>
      <w:r w:rsidRPr="00723229">
        <w:rPr>
          <w:rStyle w:val="af9"/>
          <w:rFonts w:hint="cs"/>
          <w:rtl/>
        </w:rPr>
        <w:t>הרשב"ם</w:t>
      </w:r>
      <w:r w:rsidRPr="0013574A">
        <w:rPr>
          <w:rFonts w:hint="cs"/>
          <w:rtl/>
        </w:rPr>
        <w:t xml:space="preserve"> </w:t>
      </w:r>
      <w:r>
        <w:rPr>
          <w:rFonts w:hint="cs"/>
          <w:rtl/>
        </w:rPr>
        <w:t xml:space="preserve">דאי כשיש לו דרך עליו </w:t>
      </w:r>
      <w:r w:rsidRPr="00137A81">
        <w:rPr>
          <w:rFonts w:hint="cs"/>
          <w:rtl/>
        </w:rPr>
        <w:t>לא הוי חזקה, א"כ כל המוכר קרקע לחבירו ושייר בו דרך לעצמו, אין הלוקח יכול לקנות</w:t>
      </w:r>
      <w:r>
        <w:rPr>
          <w:rFonts w:hint="cs"/>
          <w:rtl/>
        </w:rPr>
        <w:t xml:space="preserve">, וכתב </w:t>
      </w:r>
      <w:r w:rsidRPr="00723229">
        <w:rPr>
          <w:rStyle w:val="af9"/>
          <w:rFonts w:hint="cs"/>
          <w:rtl/>
        </w:rPr>
        <w:t>הנתיה"מ</w:t>
      </w:r>
      <w:r>
        <w:rPr>
          <w:rFonts w:hint="cs"/>
          <w:rtl/>
        </w:rPr>
        <w:t xml:space="preserve"> דלביאור </w:t>
      </w:r>
      <w:r w:rsidRPr="00DE5444">
        <w:rPr>
          <w:rStyle w:val="af9"/>
          <w:rFonts w:hint="cs"/>
          <w:rtl/>
        </w:rPr>
        <w:t>הקצוה"ח</w:t>
      </w:r>
      <w:r>
        <w:rPr>
          <w:rFonts w:hint="cs"/>
          <w:rtl/>
        </w:rPr>
        <w:t xml:space="preserve"> לא קשה כלל קושית </w:t>
      </w:r>
      <w:r w:rsidRPr="00723229">
        <w:rPr>
          <w:rStyle w:val="af9"/>
          <w:rFonts w:hint="cs"/>
          <w:rtl/>
        </w:rPr>
        <w:t>הנימוק"י</w:t>
      </w:r>
      <w:r>
        <w:rPr>
          <w:rFonts w:hint="cs"/>
          <w:rtl/>
        </w:rPr>
        <w:t xml:space="preserve"> דהא כיון שהמחזיק טוען דרק שייר דרך למוכר, א"כ יש לו חזקה, אלא כתב </w:t>
      </w:r>
      <w:r w:rsidRPr="00723229">
        <w:rPr>
          <w:rStyle w:val="af9"/>
          <w:rFonts w:hint="cs"/>
          <w:rtl/>
        </w:rPr>
        <w:t>הנתיה"מ</w:t>
      </w:r>
      <w:r>
        <w:rPr>
          <w:rFonts w:hint="cs"/>
          <w:rtl/>
        </w:rPr>
        <w:t xml:space="preserve"> דמוכח מקושית </w:t>
      </w:r>
      <w:r w:rsidRPr="00723229">
        <w:rPr>
          <w:rStyle w:val="af9"/>
          <w:rFonts w:hint="cs"/>
          <w:rtl/>
        </w:rPr>
        <w:t>הנימוק"י דלרשב"ם</w:t>
      </w:r>
      <w:r>
        <w:rPr>
          <w:rFonts w:hint="cs"/>
          <w:rtl/>
        </w:rPr>
        <w:t xml:space="preserve"> אף בשייר לו דרך לא הוי חזקה</w:t>
      </w:r>
      <w:r>
        <w:rPr>
          <w:rStyle w:val="af1"/>
          <w:rtl/>
        </w:rPr>
        <w:footnoteReference w:id="38"/>
      </w:r>
      <w:r>
        <w:rPr>
          <w:rFonts w:hint="cs"/>
          <w:rtl/>
        </w:rPr>
        <w:t>.</w:t>
      </w:r>
    </w:p>
    <w:p w:rsidR="0019070E" w:rsidRDefault="0019070E" w:rsidP="0019070E">
      <w:pPr>
        <w:pStyle w:val="afe"/>
        <w:rPr>
          <w:rtl/>
        </w:rPr>
      </w:pPr>
      <w:bookmarkStart w:id="6791" w:name="_Toc57323014"/>
      <w:bookmarkStart w:id="6792" w:name="_Toc57323123"/>
      <w:bookmarkStart w:id="6793" w:name="_Toc57370348"/>
      <w:bookmarkStart w:id="6794" w:name="_Toc57491517"/>
      <w:bookmarkStart w:id="6795" w:name="_Toc57495328"/>
      <w:bookmarkStart w:id="6796" w:name="_Toc57544470"/>
      <w:bookmarkStart w:id="6797" w:name="_Toc58184974"/>
      <w:bookmarkStart w:id="6798" w:name="_Toc57234505"/>
      <w:bookmarkStart w:id="6799" w:name="_Toc57236090"/>
      <w:bookmarkStart w:id="6800" w:name="_Toc57310462"/>
      <w:bookmarkStart w:id="6801" w:name="_Toc57067188"/>
      <w:bookmarkStart w:id="6802" w:name="_Toc57234555"/>
      <w:bookmarkStart w:id="6803" w:name="_Toc57236143"/>
      <w:bookmarkEnd w:id="6727"/>
      <w:bookmarkEnd w:id="6728"/>
      <w:r>
        <w:rPr>
          <w:rFonts w:hint="cs"/>
          <w:rtl/>
        </w:rPr>
        <w:t>דעות הראשונים אי יש עדים למר"ק</w:t>
      </w:r>
      <w:bookmarkEnd w:id="6791"/>
      <w:bookmarkEnd w:id="6792"/>
      <w:bookmarkEnd w:id="6793"/>
      <w:bookmarkEnd w:id="6794"/>
      <w:bookmarkEnd w:id="6795"/>
      <w:bookmarkEnd w:id="6796"/>
      <w:bookmarkEnd w:id="6797"/>
      <w:r>
        <w:rPr>
          <w:rFonts w:hint="cs"/>
          <w:rtl/>
        </w:rPr>
        <w:t xml:space="preserve"> </w:t>
      </w:r>
      <w:bookmarkEnd w:id="6798"/>
      <w:bookmarkEnd w:id="6799"/>
      <w:bookmarkEnd w:id="6800"/>
    </w:p>
    <w:p w:rsidR="0019070E" w:rsidRDefault="0019070E" w:rsidP="0019070E">
      <w:pPr>
        <w:pStyle w:val="1"/>
        <w:rPr>
          <w:rtl/>
        </w:rPr>
      </w:pPr>
      <w:bookmarkStart w:id="6804" w:name="_Toc57310463"/>
      <w:bookmarkStart w:id="6805" w:name="_Toc57323015"/>
      <w:bookmarkStart w:id="6806" w:name="_Toc57323124"/>
      <w:bookmarkStart w:id="6807" w:name="_Toc57370349"/>
      <w:bookmarkStart w:id="6808" w:name="_Toc57491518"/>
      <w:bookmarkStart w:id="6809" w:name="_Toc57495329"/>
      <w:bookmarkStart w:id="6810" w:name="_Toc57544471"/>
      <w:bookmarkStart w:id="6811" w:name="_Toc58184975"/>
      <w:r>
        <w:rPr>
          <w:rFonts w:hint="cs"/>
          <w:rtl/>
        </w:rPr>
        <w:t>דברי הראשונים דודאי איירי שיש למערער עדים שהוא המר"ק</w:t>
      </w:r>
      <w:bookmarkEnd w:id="6804"/>
      <w:bookmarkEnd w:id="6805"/>
      <w:bookmarkEnd w:id="6806"/>
      <w:bookmarkEnd w:id="6807"/>
      <w:bookmarkEnd w:id="6808"/>
      <w:bookmarkEnd w:id="6809"/>
      <w:bookmarkEnd w:id="6810"/>
      <w:bookmarkEnd w:id="6811"/>
    </w:p>
    <w:p w:rsidR="0019070E" w:rsidRPr="00661DD8" w:rsidRDefault="0019070E" w:rsidP="0019070E">
      <w:pPr>
        <w:pStyle w:val="a3"/>
        <w:rPr>
          <w:rtl/>
        </w:rPr>
      </w:pPr>
      <w:bookmarkStart w:id="6812" w:name="_Toc57310464"/>
      <w:bookmarkStart w:id="6813" w:name="_Toc57323016"/>
      <w:bookmarkStart w:id="6814" w:name="_Toc57323125"/>
      <w:bookmarkStart w:id="6815" w:name="_Toc57370350"/>
      <w:bookmarkStart w:id="6816" w:name="_Toc57491519"/>
      <w:bookmarkStart w:id="6817" w:name="_Toc57495330"/>
      <w:bookmarkStart w:id="6818" w:name="_Toc57544472"/>
      <w:bookmarkStart w:id="6819" w:name="_Toc58184976"/>
      <w:r>
        <w:rPr>
          <w:rFonts w:hint="cs"/>
          <w:rtl/>
        </w:rPr>
        <w:t>דברי הרשב"ם דיש למערער עדים שהוא המר"ק דאל"ה אף ר"נ מודה שיש למחזיק הפה שאסר</w:t>
      </w:r>
      <w:bookmarkEnd w:id="6812"/>
      <w:bookmarkEnd w:id="6813"/>
      <w:bookmarkEnd w:id="6814"/>
      <w:bookmarkEnd w:id="6815"/>
      <w:bookmarkEnd w:id="6816"/>
      <w:bookmarkEnd w:id="6817"/>
      <w:bookmarkEnd w:id="6818"/>
      <w:bookmarkEnd w:id="6819"/>
    </w:p>
    <w:p w:rsidR="0019070E" w:rsidRDefault="0019070E" w:rsidP="007E4E81">
      <w:pPr>
        <w:pStyle w:val="a0"/>
        <w:rPr>
          <w:rtl/>
        </w:rPr>
      </w:pPr>
      <w:bookmarkStart w:id="6820" w:name="_Ref57322691"/>
      <w:r>
        <w:rPr>
          <w:rFonts w:hint="cs"/>
          <w:rtl/>
        </w:rPr>
        <w:t xml:space="preserve">כתב </w:t>
      </w:r>
      <w:r w:rsidRPr="00EC127D">
        <w:rPr>
          <w:rStyle w:val="af9"/>
          <w:rFonts w:hint="cs"/>
          <w:rtl/>
        </w:rPr>
        <w:t>הרשב"ם</w:t>
      </w:r>
      <w:r>
        <w:rPr>
          <w:rFonts w:hint="cs"/>
          <w:rtl/>
        </w:rPr>
        <w:t xml:space="preserve"> </w:t>
      </w:r>
      <w:r w:rsidRPr="00F277E7">
        <w:rPr>
          <w:rStyle w:val="af7"/>
          <w:rFonts w:eastAsia="Guttman Hodes" w:hint="cs"/>
          <w:rtl/>
        </w:rPr>
        <w:t>(ד"ה עליו)</w:t>
      </w:r>
      <w:r>
        <w:rPr>
          <w:rFonts w:hint="cs"/>
          <w:rtl/>
        </w:rPr>
        <w:t xml:space="preserve"> דבמעשה דשכוני גוואי, ודאי איירי שהיה למערער עדים שהבית היה שלו, אבל אם לא היה לו עדים, אף ר"נ מודה דהמחזיק נאמן לומר שקנה מהמערער אף בלא ראיה שהחזיק בה לבדו, מדין הפה שאסר, דהיה </w:t>
      </w:r>
      <w:r w:rsidRPr="00F277E7">
        <w:rPr>
          <w:rFonts w:hint="cs"/>
          <w:rtl/>
        </w:rPr>
        <w:t xml:space="preserve">המחזיק יכול לומר שהבית היה שלו מעולם, ולכן נאמן גם כשטוען שקנה מהמערער, וכ"כ </w:t>
      </w:r>
      <w:r w:rsidRPr="00F277E7">
        <w:rPr>
          <w:rStyle w:val="af9"/>
          <w:rFonts w:hint="cs"/>
          <w:rtl/>
        </w:rPr>
        <w:t>הרשב"א</w:t>
      </w:r>
      <w:r w:rsidRPr="00F277E7">
        <w:rPr>
          <w:rStyle w:val="af7"/>
          <w:rFonts w:eastAsia="Guttman Hodes" w:hint="cs"/>
          <w:rtl/>
        </w:rPr>
        <w:t xml:space="preserve"> (ד"ה ההוא) </w:t>
      </w:r>
      <w:r>
        <w:rPr>
          <w:rFonts w:hint="cs"/>
          <w:rtl/>
        </w:rPr>
        <w:t>ד</w:t>
      </w:r>
      <w:r w:rsidRPr="00F277E7">
        <w:rPr>
          <w:rFonts w:hint="cs"/>
          <w:rtl/>
        </w:rPr>
        <w:t>אם לא היה לו עדים, אף ר"נ מודה דהמחזיק נאמן לומר מדין הפה שאסר, כדאמר רבי יהושע</w:t>
      </w:r>
      <w:r>
        <w:rPr>
          <w:rFonts w:hint="cs"/>
          <w:rtl/>
        </w:rPr>
        <w:t xml:space="preserve"> בגמ' בכתובות</w:t>
      </w:r>
      <w:r w:rsidRPr="00F277E7">
        <w:rPr>
          <w:rStyle w:val="af7"/>
          <w:rFonts w:eastAsia="Guttman Hodes" w:hint="cs"/>
          <w:rtl/>
        </w:rPr>
        <w:t xml:space="preserve"> (יז:) </w:t>
      </w:r>
      <w:r>
        <w:rPr>
          <w:rFonts w:hint="cs"/>
          <w:rtl/>
        </w:rPr>
        <w:t xml:space="preserve">דהאומר לחבירו שדה זו של אביך הייתה ולקחתיה ממנו נאמן מדין הפה שאסר, וכתב </w:t>
      </w:r>
      <w:r w:rsidRPr="001475AD">
        <w:rPr>
          <w:rStyle w:val="af9"/>
          <w:rFonts w:hint="cs"/>
          <w:rtl/>
        </w:rPr>
        <w:t>הרשב"א</w:t>
      </w:r>
      <w:r>
        <w:rPr>
          <w:rFonts w:hint="cs"/>
          <w:rtl/>
        </w:rPr>
        <w:t xml:space="preserve"> דיש למחזיק עידי חזקת ג"ש, כדאיתא בגמ' שטוען המחזיק שאכל שני חזקה, אלא דהמערער טוען לו טענה אחרת, שהיה בשכוני גוואי, וכ"כ </w:t>
      </w:r>
      <w:r w:rsidRPr="001475AD">
        <w:rPr>
          <w:rStyle w:val="af9"/>
          <w:rFonts w:hint="cs"/>
          <w:rtl/>
        </w:rPr>
        <w:t>הריטב"א</w:t>
      </w:r>
      <w:r w:rsidRPr="00F277E7">
        <w:rPr>
          <w:rStyle w:val="af7"/>
          <w:rFonts w:eastAsia="Guttman Hodes" w:hint="cs"/>
          <w:rtl/>
        </w:rPr>
        <w:t xml:space="preserve"> (ד"ה ההוא) </w:t>
      </w:r>
      <w:r>
        <w:rPr>
          <w:rFonts w:hint="cs"/>
          <w:rtl/>
        </w:rPr>
        <w:t>דבכל האופנים דאמרינן בגמ' דהמחזיק טוען שאכל שני חזקה או שיש לו שטר, איירי שיש למערער עדים שהוא המרא קמא, דאל"ה אין המחזיק צריך חזקה או שטר.</w:t>
      </w:r>
      <w:bookmarkEnd w:id="6820"/>
    </w:p>
    <w:p w:rsidR="0019070E" w:rsidRDefault="0019070E" w:rsidP="0019070E">
      <w:pPr>
        <w:pStyle w:val="1"/>
        <w:rPr>
          <w:rtl/>
        </w:rPr>
      </w:pPr>
      <w:bookmarkStart w:id="6821" w:name="_Toc57310465"/>
      <w:bookmarkStart w:id="6822" w:name="_Toc57323017"/>
      <w:bookmarkStart w:id="6823" w:name="_Toc57323126"/>
      <w:bookmarkStart w:id="6824" w:name="_Toc57370351"/>
      <w:bookmarkStart w:id="6825" w:name="_Toc57491520"/>
      <w:bookmarkStart w:id="6826" w:name="_Toc57495331"/>
      <w:bookmarkStart w:id="6827" w:name="_Toc57544473"/>
      <w:bookmarkStart w:id="6828" w:name="_Toc58184977"/>
      <w:r>
        <w:rPr>
          <w:rFonts w:hint="cs"/>
          <w:rtl/>
        </w:rPr>
        <w:t>ביאור הא' ברי"ף</w:t>
      </w:r>
      <w:bookmarkEnd w:id="6801"/>
      <w:bookmarkEnd w:id="6802"/>
      <w:bookmarkEnd w:id="6803"/>
      <w:bookmarkEnd w:id="6821"/>
      <w:bookmarkEnd w:id="6822"/>
      <w:bookmarkEnd w:id="6823"/>
      <w:bookmarkEnd w:id="6824"/>
      <w:r>
        <w:rPr>
          <w:rFonts w:hint="cs"/>
          <w:rtl/>
        </w:rPr>
        <w:t xml:space="preserve"> דאין עדים למערער והמחזיק נאמן בפה שאסר</w:t>
      </w:r>
      <w:bookmarkEnd w:id="6825"/>
      <w:bookmarkEnd w:id="6826"/>
      <w:bookmarkEnd w:id="6827"/>
      <w:bookmarkEnd w:id="6828"/>
    </w:p>
    <w:p w:rsidR="0019070E" w:rsidRDefault="0019070E" w:rsidP="0019070E">
      <w:pPr>
        <w:pStyle w:val="a3"/>
        <w:rPr>
          <w:rtl/>
        </w:rPr>
      </w:pPr>
      <w:bookmarkStart w:id="6829" w:name="_Toc57323018"/>
      <w:bookmarkStart w:id="6830" w:name="_Toc57323127"/>
      <w:bookmarkStart w:id="6831" w:name="_Toc57370352"/>
      <w:bookmarkStart w:id="6832" w:name="_Toc57491521"/>
      <w:bookmarkStart w:id="6833" w:name="_Toc57495332"/>
      <w:bookmarkStart w:id="6834" w:name="_Toc57544474"/>
      <w:bookmarkStart w:id="6835" w:name="_Toc58184978"/>
      <w:r>
        <w:rPr>
          <w:rFonts w:hint="cs"/>
          <w:rtl/>
        </w:rPr>
        <w:t>ד' הי"מ בפי' הא' ברי"ף דאין למערער עדים ולכן ס"ל לרבא דהמחזיק נאמן מדין הפה שאסר</w:t>
      </w:r>
      <w:bookmarkEnd w:id="6829"/>
      <w:bookmarkEnd w:id="6830"/>
      <w:bookmarkEnd w:id="6831"/>
      <w:bookmarkEnd w:id="6832"/>
      <w:bookmarkEnd w:id="6833"/>
      <w:bookmarkEnd w:id="6834"/>
      <w:bookmarkEnd w:id="6835"/>
    </w:p>
    <w:p w:rsidR="0019070E" w:rsidRDefault="0019070E" w:rsidP="007E4E81">
      <w:pPr>
        <w:pStyle w:val="a0"/>
        <w:rPr>
          <w:rtl/>
        </w:rPr>
      </w:pPr>
      <w:bookmarkStart w:id="6836" w:name="_Ref57319519"/>
      <w:r>
        <w:rPr>
          <w:rFonts w:hint="cs"/>
          <w:rtl/>
        </w:rPr>
        <w:t xml:space="preserve">אבל </w:t>
      </w:r>
      <w:r w:rsidRPr="00EC127D">
        <w:rPr>
          <w:rStyle w:val="af9"/>
          <w:rFonts w:hint="cs"/>
          <w:rtl/>
        </w:rPr>
        <w:t>הרי"ף בפי' הא'</w:t>
      </w:r>
      <w:r w:rsidRPr="009060B7">
        <w:rPr>
          <w:rStyle w:val="af7"/>
          <w:rFonts w:eastAsia="Guttman Hodes" w:hint="cs"/>
          <w:rtl/>
        </w:rPr>
        <w:t xml:space="preserve"> (טו. מדה"ר) </w:t>
      </w:r>
      <w:r>
        <w:rPr>
          <w:rFonts w:hint="cs"/>
          <w:rtl/>
        </w:rPr>
        <w:t xml:space="preserve">הביא בשם </w:t>
      </w:r>
      <w:r w:rsidRPr="00EC127D">
        <w:rPr>
          <w:rStyle w:val="af9"/>
          <w:rFonts w:hint="cs"/>
          <w:rtl/>
        </w:rPr>
        <w:t>י"מ</w:t>
      </w:r>
      <w:r>
        <w:rPr>
          <w:rFonts w:hint="cs"/>
          <w:rtl/>
        </w:rPr>
        <w:t xml:space="preserve"> דאיירי שאין למערער עדים שהקרקע הייתה שלו, דהא אם היה לו עדים שהוא </w:t>
      </w:r>
      <w:r>
        <w:rPr>
          <w:rFonts w:hint="cs"/>
          <w:rtl/>
        </w:rPr>
        <w:t xml:space="preserve">המרא קמא והמחזיק היה טוען שיש לו חזקת ג"ש, לא היה רבא יכול לומר דעל המרא קמא להביא ראיה להוציא מהמוחזק, דהא רבא גופיה ס"ל לעיל </w:t>
      </w:r>
      <w:r w:rsidRPr="00EC127D">
        <w:rPr>
          <w:rStyle w:val="af7"/>
          <w:rFonts w:eastAsia="Guttman Hodes" w:hint="cs"/>
          <w:rtl/>
        </w:rPr>
        <w:t>(כט.)</w:t>
      </w:r>
      <w:r>
        <w:rPr>
          <w:rFonts w:hint="cs"/>
          <w:rtl/>
        </w:rPr>
        <w:t xml:space="preserve"> דבחזקה בבית על המחזיק להביא עדים ששכרו ממנו ודרו בבית ג"ש בימים ובלילות, וא"כ א"א לומר דס"ל לרבא דהמחזיק נחשב למוחזק ועל המרא קמא להביא ראיה להוציא ממנו, וכתב </w:t>
      </w:r>
      <w:r w:rsidRPr="00EC127D">
        <w:rPr>
          <w:rStyle w:val="af9"/>
          <w:rFonts w:hint="cs"/>
          <w:rtl/>
        </w:rPr>
        <w:t>הרי"ף בפי' הא'</w:t>
      </w:r>
      <w:r>
        <w:rPr>
          <w:rFonts w:hint="cs"/>
          <w:rtl/>
        </w:rPr>
        <w:t xml:space="preserve"> דמוכח שאין למערער עדים שהקרקע הייתה שלו, והמחזיק מודה שקנה ממנו, ולכן הוא נאמן מדין הפה שאסר, ולכן ס"ל לרבא דהמערער הוא המוציא מהמוחזק, ועליו להביא ראיה, ועי' במה שביאר </w:t>
      </w:r>
      <w:r w:rsidRPr="001E2518">
        <w:rPr>
          <w:rStyle w:val="af9"/>
          <w:rFonts w:hint="cs"/>
          <w:rtl/>
        </w:rPr>
        <w:t>בחי' רבי נחום</w:t>
      </w:r>
      <w:r>
        <w:rPr>
          <w:rFonts w:hint="cs"/>
          <w:rtl/>
        </w:rPr>
        <w:t xml:space="preserve"> </w:t>
      </w:r>
      <w:r w:rsidRPr="001E2518">
        <w:rPr>
          <w:rStyle w:val="af7"/>
          <w:rFonts w:eastAsia="Guttman Hodes" w:hint="cs"/>
          <w:rtl/>
        </w:rPr>
        <w:t xml:space="preserve">(עי' אות </w:t>
      </w:r>
      <w:r w:rsidRPr="001E2518">
        <w:rPr>
          <w:rStyle w:val="af7"/>
          <w:rFonts w:eastAsia="Guttman Hodes"/>
          <w:rtl/>
        </w:rPr>
        <w:fldChar w:fldCharType="begin"/>
      </w:r>
      <w:r w:rsidRPr="001E2518">
        <w:rPr>
          <w:rStyle w:val="af7"/>
          <w:rFonts w:eastAsia="Guttman Hodes"/>
          <w:rtl/>
        </w:rPr>
        <w:instrText xml:space="preserve"> </w:instrText>
      </w:r>
      <w:r w:rsidRPr="001E2518">
        <w:rPr>
          <w:rStyle w:val="af7"/>
          <w:rFonts w:eastAsia="Guttman Hodes" w:hint="cs"/>
        </w:rPr>
        <w:instrText>REF</w:instrText>
      </w:r>
      <w:r w:rsidRPr="001E2518">
        <w:rPr>
          <w:rStyle w:val="af7"/>
          <w:rFonts w:eastAsia="Guttman Hodes" w:hint="cs"/>
          <w:rtl/>
        </w:rPr>
        <w:instrText xml:space="preserve"> _</w:instrText>
      </w:r>
      <w:r w:rsidRPr="001E2518">
        <w:rPr>
          <w:rStyle w:val="af7"/>
          <w:rFonts w:eastAsia="Guttman Hodes" w:hint="cs"/>
        </w:rPr>
        <w:instrText>Ref57534569 \r \h</w:instrText>
      </w:r>
      <w:r w:rsidRPr="001E2518">
        <w:rPr>
          <w:rStyle w:val="af7"/>
          <w:rFonts w:eastAsia="Guttman Hodes"/>
          <w:rtl/>
        </w:rPr>
        <w:instrText xml:space="preserve"> </w:instrText>
      </w:r>
      <w:r w:rsidRPr="001E2518">
        <w:rPr>
          <w:rStyle w:val="af7"/>
          <w:rFonts w:eastAsia="Guttman Hodes"/>
          <w:rtl/>
        </w:rPr>
      </w:r>
      <w:r w:rsidRPr="001E2518">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1E2518">
        <w:rPr>
          <w:rStyle w:val="af7"/>
          <w:rFonts w:eastAsia="Guttman Hodes"/>
          <w:rtl/>
        </w:rPr>
        <w:fldChar w:fldCharType="end"/>
      </w:r>
      <w:r>
        <w:rPr>
          <w:rFonts w:hint="cs"/>
          <w:rtl/>
        </w:rPr>
        <w:t xml:space="preserve"> בקושית </w:t>
      </w:r>
      <w:r>
        <w:rPr>
          <w:rStyle w:val="af9"/>
          <w:rFonts w:hint="cs"/>
          <w:rtl/>
        </w:rPr>
        <w:t>הי"מ ב</w:t>
      </w:r>
      <w:r w:rsidRPr="00EC127D">
        <w:rPr>
          <w:rStyle w:val="af9"/>
          <w:rFonts w:hint="cs"/>
          <w:rtl/>
        </w:rPr>
        <w:t>רי"ף בפי' הא'</w:t>
      </w:r>
      <w:r>
        <w:rPr>
          <w:rFonts w:hint="cs"/>
          <w:rtl/>
        </w:rPr>
        <w:t>.</w:t>
      </w:r>
      <w:bookmarkEnd w:id="6836"/>
    </w:p>
    <w:p w:rsidR="0019070E" w:rsidRPr="0044212B" w:rsidRDefault="0019070E" w:rsidP="0019070E">
      <w:pPr>
        <w:pStyle w:val="a3"/>
        <w:rPr>
          <w:rtl/>
        </w:rPr>
      </w:pPr>
      <w:bookmarkStart w:id="6837" w:name="_Toc57323019"/>
      <w:bookmarkStart w:id="6838" w:name="_Toc57323128"/>
      <w:bookmarkStart w:id="6839" w:name="_Toc57370353"/>
      <w:bookmarkStart w:id="6840" w:name="_Toc57491522"/>
      <w:bookmarkStart w:id="6841" w:name="_Toc57495333"/>
      <w:bookmarkStart w:id="6842" w:name="_Toc57544475"/>
      <w:bookmarkStart w:id="6843" w:name="_Toc58184979"/>
      <w:r w:rsidRPr="0044212B">
        <w:rPr>
          <w:rtl/>
        </w:rPr>
        <w:t>ד' הי"מ בפי' הא' ברי"ף</w:t>
      </w:r>
      <w:r>
        <w:rPr>
          <w:rFonts w:hint="cs"/>
          <w:rtl/>
        </w:rPr>
        <w:t xml:space="preserve"> דלר"נ אף שאין למר"ק עדים כל שמודה לו המחזיק עליו להביא ראיה</w:t>
      </w:r>
      <w:bookmarkEnd w:id="6837"/>
      <w:bookmarkEnd w:id="6838"/>
      <w:bookmarkEnd w:id="6839"/>
      <w:bookmarkEnd w:id="6840"/>
      <w:bookmarkEnd w:id="6841"/>
      <w:bookmarkEnd w:id="6842"/>
      <w:bookmarkEnd w:id="6843"/>
    </w:p>
    <w:p w:rsidR="0019070E" w:rsidRDefault="0019070E" w:rsidP="007E4E81">
      <w:pPr>
        <w:pStyle w:val="a0"/>
        <w:rPr>
          <w:rtl/>
        </w:rPr>
      </w:pPr>
      <w:r>
        <w:rPr>
          <w:rFonts w:hint="cs"/>
          <w:rtl/>
        </w:rPr>
        <w:t xml:space="preserve">ובדעת ר"נ ביאר </w:t>
      </w:r>
      <w:r w:rsidRPr="00EC127D">
        <w:rPr>
          <w:rStyle w:val="af9"/>
          <w:rFonts w:hint="cs"/>
          <w:rtl/>
        </w:rPr>
        <w:t>הרי"ף בפי' הא'</w:t>
      </w:r>
      <w:r>
        <w:rPr>
          <w:rFonts w:hint="cs"/>
          <w:rtl/>
        </w:rPr>
        <w:t xml:space="preserve"> בשם </w:t>
      </w:r>
      <w:r w:rsidRPr="00EC127D">
        <w:rPr>
          <w:rStyle w:val="af9"/>
          <w:rFonts w:hint="cs"/>
          <w:rtl/>
        </w:rPr>
        <w:t>י"מ</w:t>
      </w:r>
      <w:r>
        <w:rPr>
          <w:rFonts w:hint="cs"/>
          <w:rtl/>
        </w:rPr>
        <w:t xml:space="preserve"> דס"ל דאף שאין למערער עדים שהקרקע הייתה שלו, מ"מ כיון שהמחזיק מודה בזה, ואומר שיש לו חזקת ג"ש, עליו להביא ראיה שהחזיק ג"ש, והביא </w:t>
      </w:r>
      <w:r w:rsidRPr="0044212B">
        <w:rPr>
          <w:rStyle w:val="af9"/>
          <w:rFonts w:hint="cs"/>
          <w:rtl/>
        </w:rPr>
        <w:t>הרי"ף בפי' הא'</w:t>
      </w:r>
      <w:r>
        <w:rPr>
          <w:rFonts w:hint="cs"/>
          <w:rtl/>
        </w:rPr>
        <w:t xml:space="preserve"> בשם </w:t>
      </w:r>
      <w:r w:rsidRPr="0044212B">
        <w:rPr>
          <w:rStyle w:val="af9"/>
          <w:rFonts w:hint="cs"/>
          <w:rtl/>
        </w:rPr>
        <w:t>י"מ</w:t>
      </w:r>
      <w:r>
        <w:rPr>
          <w:rFonts w:hint="cs"/>
          <w:rtl/>
        </w:rPr>
        <w:t xml:space="preserve"> דקיי"ל כרבא.</w:t>
      </w:r>
    </w:p>
    <w:p w:rsidR="0019070E" w:rsidRDefault="0019070E" w:rsidP="0019070E">
      <w:pPr>
        <w:pStyle w:val="1"/>
        <w:rPr>
          <w:rtl/>
        </w:rPr>
      </w:pPr>
      <w:bookmarkStart w:id="6844" w:name="_Toc57067189"/>
      <w:bookmarkStart w:id="6845" w:name="_Toc57234556"/>
      <w:bookmarkStart w:id="6846" w:name="_Toc57236144"/>
      <w:bookmarkStart w:id="6847" w:name="_Toc57310466"/>
      <w:bookmarkStart w:id="6848" w:name="_Toc57323020"/>
      <w:bookmarkStart w:id="6849" w:name="_Toc57323129"/>
      <w:bookmarkStart w:id="6850" w:name="_Toc57370354"/>
      <w:bookmarkStart w:id="6851" w:name="_Toc57491523"/>
      <w:bookmarkStart w:id="6852" w:name="_Toc57495334"/>
      <w:bookmarkStart w:id="6853" w:name="_Toc57544476"/>
      <w:bookmarkStart w:id="6854" w:name="_Toc58184980"/>
      <w:r>
        <w:rPr>
          <w:rFonts w:hint="cs"/>
          <w:rtl/>
        </w:rPr>
        <w:t>הביאור הב' ברי"ף</w:t>
      </w:r>
      <w:bookmarkEnd w:id="6844"/>
      <w:bookmarkEnd w:id="6845"/>
      <w:bookmarkEnd w:id="6846"/>
      <w:bookmarkEnd w:id="6847"/>
      <w:bookmarkEnd w:id="6848"/>
      <w:bookmarkEnd w:id="6849"/>
      <w:bookmarkEnd w:id="6850"/>
      <w:r>
        <w:rPr>
          <w:rFonts w:hint="cs"/>
          <w:rtl/>
        </w:rPr>
        <w:t xml:space="preserve"> דאין עדים אף לר"נ המחזיק נאמן ול"פ בזה</w:t>
      </w:r>
      <w:bookmarkEnd w:id="6851"/>
      <w:bookmarkEnd w:id="6852"/>
      <w:bookmarkEnd w:id="6853"/>
      <w:bookmarkEnd w:id="6854"/>
    </w:p>
    <w:p w:rsidR="0019070E" w:rsidRPr="001B7A39" w:rsidRDefault="0019070E" w:rsidP="0019070E">
      <w:pPr>
        <w:pStyle w:val="a3"/>
        <w:rPr>
          <w:rtl/>
        </w:rPr>
      </w:pPr>
      <w:bookmarkStart w:id="6855" w:name="_Toc57323021"/>
      <w:bookmarkStart w:id="6856" w:name="_Toc57323130"/>
      <w:bookmarkStart w:id="6857" w:name="_Toc57370355"/>
      <w:bookmarkStart w:id="6858" w:name="_Toc57491524"/>
      <w:bookmarkStart w:id="6859" w:name="_Toc57495335"/>
      <w:bookmarkStart w:id="6860" w:name="_Toc57544477"/>
      <w:bookmarkStart w:id="6861" w:name="_Toc58184981"/>
      <w:r w:rsidRPr="001B7A39">
        <w:rPr>
          <w:rtl/>
        </w:rPr>
        <w:t>ד' הי"מ בפי' ה</w:t>
      </w:r>
      <w:r>
        <w:rPr>
          <w:rFonts w:hint="cs"/>
          <w:rtl/>
        </w:rPr>
        <w:t>ב</w:t>
      </w:r>
      <w:r w:rsidRPr="001B7A39">
        <w:rPr>
          <w:rtl/>
        </w:rPr>
        <w:t>' ברי"ף ד</w:t>
      </w:r>
      <w:r>
        <w:rPr>
          <w:rFonts w:hint="cs"/>
          <w:rtl/>
        </w:rPr>
        <w:t>יש</w:t>
      </w:r>
      <w:r w:rsidRPr="001B7A39">
        <w:rPr>
          <w:rtl/>
        </w:rPr>
        <w:t xml:space="preserve"> למערער עדים</w:t>
      </w:r>
      <w:r>
        <w:rPr>
          <w:rFonts w:hint="cs"/>
          <w:rtl/>
        </w:rPr>
        <w:t xml:space="preserve"> והמחזיק טוען שקנה מהמערער</w:t>
      </w:r>
      <w:bookmarkEnd w:id="6855"/>
      <w:bookmarkEnd w:id="6856"/>
      <w:bookmarkEnd w:id="6857"/>
      <w:bookmarkEnd w:id="6858"/>
      <w:bookmarkEnd w:id="6859"/>
      <w:bookmarkEnd w:id="6860"/>
      <w:bookmarkEnd w:id="6861"/>
    </w:p>
    <w:p w:rsidR="0019070E" w:rsidRDefault="0019070E" w:rsidP="007E4E81">
      <w:pPr>
        <w:pStyle w:val="a0"/>
        <w:rPr>
          <w:sz w:val="10"/>
          <w:szCs w:val="14"/>
          <w:rtl/>
        </w:rPr>
      </w:pPr>
      <w:r>
        <w:rPr>
          <w:rFonts w:hint="cs"/>
          <w:rtl/>
        </w:rPr>
        <w:t xml:space="preserve">אך הביא </w:t>
      </w:r>
      <w:r w:rsidRPr="00EC127D">
        <w:rPr>
          <w:rStyle w:val="af9"/>
          <w:rFonts w:hint="cs"/>
          <w:rtl/>
        </w:rPr>
        <w:t>הרי"ף בפי' הב'</w:t>
      </w:r>
      <w:r w:rsidRPr="009060B7">
        <w:rPr>
          <w:rStyle w:val="af7"/>
          <w:rFonts w:eastAsia="Guttman Hodes" w:hint="cs"/>
          <w:rtl/>
        </w:rPr>
        <w:t xml:space="preserve"> (טו. מדה"ר) </w:t>
      </w:r>
      <w:r>
        <w:rPr>
          <w:rFonts w:hint="cs"/>
          <w:rtl/>
        </w:rPr>
        <w:t xml:space="preserve">בשם </w:t>
      </w:r>
      <w:r w:rsidRPr="00EC127D">
        <w:rPr>
          <w:rStyle w:val="af9"/>
          <w:rFonts w:hint="cs"/>
          <w:rtl/>
        </w:rPr>
        <w:t>י"מ</w:t>
      </w:r>
      <w:r>
        <w:rPr>
          <w:rFonts w:hint="cs"/>
          <w:rtl/>
        </w:rPr>
        <w:t xml:space="preserve"> דאיירי שהקרקע ידועה וברורה שהייתה של המערער, וטוען </w:t>
      </w:r>
      <w:r w:rsidRPr="0061607E">
        <w:rPr>
          <w:rFonts w:hint="cs"/>
          <w:rtl/>
        </w:rPr>
        <w:t>המחזיק שקנה מהמערער</w:t>
      </w:r>
      <w:r>
        <w:rPr>
          <w:rFonts w:hint="cs"/>
          <w:rtl/>
        </w:rPr>
        <w:t xml:space="preserve">, </w:t>
      </w:r>
      <w:r w:rsidRPr="00412895">
        <w:rPr>
          <w:rFonts w:hint="cs"/>
          <w:rtl/>
        </w:rPr>
        <w:t>וכ"כ</w:t>
      </w:r>
      <w:r>
        <w:rPr>
          <w:rStyle w:val="af9"/>
          <w:rFonts w:hint="cs"/>
          <w:rtl/>
        </w:rPr>
        <w:t xml:space="preserve"> </w:t>
      </w:r>
      <w:r w:rsidRPr="001D0AD8">
        <w:rPr>
          <w:rStyle w:val="af9"/>
          <w:rFonts w:hint="cs"/>
          <w:rtl/>
        </w:rPr>
        <w:t>בפי' ר"ח</w:t>
      </w:r>
      <w:r w:rsidR="00A77F33">
        <w:rPr>
          <w:rFonts w:hint="cs"/>
          <w:rtl/>
        </w:rPr>
        <w:t xml:space="preserve"> </w:t>
      </w:r>
      <w:r w:rsidRPr="004946A5">
        <w:rPr>
          <w:rStyle w:val="af7"/>
          <w:rFonts w:eastAsia="Guttman Hodes" w:hint="cs"/>
          <w:rtl/>
        </w:rPr>
        <w:t xml:space="preserve">(עי' אות </w:t>
      </w:r>
      <w:r w:rsidRPr="004946A5">
        <w:rPr>
          <w:rStyle w:val="af7"/>
          <w:rFonts w:eastAsia="Guttman Hodes"/>
          <w:rtl/>
        </w:rPr>
        <w:fldChar w:fldCharType="begin"/>
      </w:r>
      <w:r w:rsidRPr="004946A5">
        <w:rPr>
          <w:rStyle w:val="af7"/>
          <w:rFonts w:eastAsia="Guttman Hodes"/>
          <w:rtl/>
        </w:rPr>
        <w:instrText xml:space="preserve"> </w:instrText>
      </w:r>
      <w:r w:rsidRPr="004946A5">
        <w:rPr>
          <w:rStyle w:val="af7"/>
          <w:rFonts w:eastAsia="Guttman Hodes" w:hint="cs"/>
        </w:rPr>
        <w:instrText>REF</w:instrText>
      </w:r>
      <w:r w:rsidRPr="004946A5">
        <w:rPr>
          <w:rStyle w:val="af7"/>
          <w:rFonts w:eastAsia="Guttman Hodes" w:hint="cs"/>
          <w:rtl/>
        </w:rPr>
        <w:instrText xml:space="preserve"> _</w:instrText>
      </w:r>
      <w:r w:rsidRPr="004946A5">
        <w:rPr>
          <w:rStyle w:val="af7"/>
          <w:rFonts w:eastAsia="Guttman Hodes" w:hint="cs"/>
        </w:rPr>
        <w:instrText>Ref57320344 \r \h</w:instrText>
      </w:r>
      <w:r w:rsidRPr="004946A5">
        <w:rPr>
          <w:rStyle w:val="af7"/>
          <w:rFonts w:eastAsia="Guttman Hodes"/>
          <w:rtl/>
        </w:rPr>
        <w:instrText xml:space="preserve"> </w:instrText>
      </w:r>
      <w:r w:rsidRPr="004946A5">
        <w:rPr>
          <w:rStyle w:val="af7"/>
          <w:rFonts w:eastAsia="Guttman Hodes"/>
          <w:rtl/>
        </w:rPr>
      </w:r>
      <w:r w:rsidRPr="004946A5">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4946A5">
        <w:rPr>
          <w:rStyle w:val="af7"/>
          <w:rFonts w:eastAsia="Guttman Hodes"/>
          <w:rtl/>
        </w:rPr>
        <w:fldChar w:fldCharType="end"/>
      </w:r>
      <w:r>
        <w:rPr>
          <w:rFonts w:hint="cs"/>
          <w:rtl/>
        </w:rPr>
        <w:t>.</w:t>
      </w:r>
    </w:p>
    <w:p w:rsidR="0019070E" w:rsidRPr="001B7A39" w:rsidRDefault="0019070E" w:rsidP="0019070E">
      <w:pPr>
        <w:pStyle w:val="a3"/>
      </w:pPr>
      <w:bookmarkStart w:id="6862" w:name="_Toc57323022"/>
      <w:bookmarkStart w:id="6863" w:name="_Toc57323131"/>
      <w:bookmarkStart w:id="6864" w:name="_Toc57370356"/>
      <w:bookmarkStart w:id="6865" w:name="_Toc57491525"/>
      <w:bookmarkStart w:id="6866" w:name="_Toc57495336"/>
      <w:bookmarkStart w:id="6867" w:name="_Toc57544478"/>
      <w:bookmarkStart w:id="6868" w:name="_Toc58184982"/>
      <w:r>
        <w:rPr>
          <w:rFonts w:hint="cs"/>
          <w:rtl/>
        </w:rPr>
        <w:t>הוכחת</w:t>
      </w:r>
      <w:r w:rsidRPr="001B7A39">
        <w:rPr>
          <w:rtl/>
        </w:rPr>
        <w:t xml:space="preserve"> הי"מ בפי' הא' ברי"ף ד</w:t>
      </w:r>
      <w:r>
        <w:rPr>
          <w:rFonts w:hint="cs"/>
          <w:rtl/>
        </w:rPr>
        <w:t xml:space="preserve">אי </w:t>
      </w:r>
      <w:r w:rsidRPr="001B7A39">
        <w:rPr>
          <w:rtl/>
        </w:rPr>
        <w:t>אין למערער עדים</w:t>
      </w:r>
      <w:r>
        <w:rPr>
          <w:rFonts w:hint="cs"/>
          <w:rtl/>
        </w:rPr>
        <w:t xml:space="preserve"> לכו"ע המחזיק נאמן מדין הפה שאסר</w:t>
      </w:r>
      <w:bookmarkEnd w:id="6862"/>
      <w:bookmarkEnd w:id="6863"/>
      <w:bookmarkEnd w:id="6864"/>
      <w:bookmarkEnd w:id="6865"/>
      <w:bookmarkEnd w:id="6866"/>
      <w:bookmarkEnd w:id="6867"/>
      <w:bookmarkEnd w:id="6868"/>
    </w:p>
    <w:p w:rsidR="0019070E" w:rsidRPr="00D7757A" w:rsidRDefault="0019070E" w:rsidP="007E4E81">
      <w:pPr>
        <w:pStyle w:val="a0"/>
        <w:rPr>
          <w:rStyle w:val="afb"/>
          <w:rtl/>
        </w:rPr>
      </w:pPr>
      <w:bookmarkStart w:id="6869" w:name="_Ref57322290"/>
      <w:r>
        <w:rPr>
          <w:rFonts w:hint="cs"/>
          <w:rtl/>
        </w:rPr>
        <w:t xml:space="preserve">וכתב </w:t>
      </w:r>
      <w:r w:rsidRPr="001475AD">
        <w:rPr>
          <w:rStyle w:val="af9"/>
          <w:rFonts w:hint="cs"/>
          <w:rtl/>
        </w:rPr>
        <w:t>הרי"ף בפי' הב'</w:t>
      </w:r>
      <w:r>
        <w:rPr>
          <w:rFonts w:hint="cs"/>
          <w:rtl/>
        </w:rPr>
        <w:t xml:space="preserve"> בשם </w:t>
      </w:r>
      <w:r w:rsidRPr="001475AD">
        <w:rPr>
          <w:rStyle w:val="af9"/>
          <w:rFonts w:hint="cs"/>
          <w:rtl/>
        </w:rPr>
        <w:t>י"מ</w:t>
      </w:r>
      <w:r>
        <w:rPr>
          <w:rFonts w:hint="cs"/>
          <w:rtl/>
        </w:rPr>
        <w:t xml:space="preserve"> דא"א להעמיד דאיירי באופן שאין למערער עדים שהקרקע הייתה שלו, דכל שאין לו עדים לכו"ע אין המחזיק צריך להביא ראיה שקנה מהמערער, ואף אם מודה המחזיק שאין לו חזקת ג"ש, ג"כ א"א להוציא ממנו, דהמחזיק נאמן שקנה מהמערער, דהא אין למערער עדים שהייתה שלו, כדמוכח מדברי רבי יהושע בגמ' בכתובות </w:t>
      </w:r>
      <w:r w:rsidRPr="00B5395D">
        <w:rPr>
          <w:rStyle w:val="af7"/>
          <w:rFonts w:eastAsia="Guttman Hodes" w:hint="cs"/>
          <w:rtl/>
        </w:rPr>
        <w:t>(יז:)</w:t>
      </w:r>
      <w:r>
        <w:rPr>
          <w:rFonts w:hint="cs"/>
          <w:rtl/>
        </w:rPr>
        <w:t xml:space="preserve"> דכל שאין למערער עדים, המחזיק נאמן שקנה מהמערער מדין הפה שאסר, אף כשלא החזיק ג"ש, </w:t>
      </w:r>
      <w:r w:rsidRPr="000164D0">
        <w:rPr>
          <w:rFonts w:hint="cs"/>
          <w:rtl/>
        </w:rPr>
        <w:t xml:space="preserve">וכתב </w:t>
      </w:r>
      <w:r w:rsidRPr="000164D0">
        <w:rPr>
          <w:rStyle w:val="af9"/>
          <w:rFonts w:hint="cs"/>
          <w:rtl/>
        </w:rPr>
        <w:t>הרי"ף בפי' הב'</w:t>
      </w:r>
      <w:r w:rsidRPr="000164D0">
        <w:rPr>
          <w:rFonts w:hint="cs"/>
          <w:rtl/>
        </w:rPr>
        <w:t xml:space="preserve"> בשם</w:t>
      </w:r>
      <w:r w:rsidRPr="000164D0">
        <w:rPr>
          <w:rStyle w:val="af9"/>
          <w:rFonts w:hint="cs"/>
          <w:rtl/>
        </w:rPr>
        <w:t xml:space="preserve"> י"מ</w:t>
      </w:r>
      <w:r w:rsidRPr="000164D0">
        <w:rPr>
          <w:rFonts w:hint="cs"/>
          <w:rtl/>
        </w:rPr>
        <w:t xml:space="preserve"> דכל התנאים מודו לרבי יהושע בזה, וא"א לומר דר"נ חולק בזה</w:t>
      </w:r>
      <w:r>
        <w:rPr>
          <w:rFonts w:hint="cs"/>
          <w:rtl/>
        </w:rPr>
        <w:t xml:space="preserve">, </w:t>
      </w:r>
      <w:r w:rsidRPr="0061607E">
        <w:rPr>
          <w:rFonts w:hint="cs"/>
          <w:rtl/>
        </w:rPr>
        <w:t xml:space="preserve">ועי' במה שביאר </w:t>
      </w:r>
      <w:r w:rsidRPr="00C22E02">
        <w:rPr>
          <w:rStyle w:val="af9"/>
          <w:rFonts w:hint="cs"/>
          <w:rtl/>
        </w:rPr>
        <w:t>בהג' הב"ח על הרי"ף</w:t>
      </w:r>
      <w:r w:rsidRPr="0061607E">
        <w:rPr>
          <w:rFonts w:hint="cs"/>
          <w:rtl/>
        </w:rPr>
        <w:t xml:space="preserve"> </w:t>
      </w:r>
      <w:r w:rsidRPr="00B5395D">
        <w:rPr>
          <w:rStyle w:val="af7"/>
          <w:rFonts w:eastAsia="Guttman Rashi" w:hint="cs"/>
          <w:rtl/>
        </w:rPr>
        <w:t xml:space="preserve">(ט. מדה"ר או' ו', מהדו' "עוז והדר" עמ' מ' או' א') </w:t>
      </w:r>
      <w:r w:rsidRPr="0061607E">
        <w:rPr>
          <w:rFonts w:hint="cs"/>
          <w:rtl/>
        </w:rPr>
        <w:t xml:space="preserve">את הוכחת </w:t>
      </w:r>
      <w:r w:rsidRPr="0096207D">
        <w:rPr>
          <w:rStyle w:val="af9"/>
          <w:rFonts w:hint="cs"/>
          <w:rtl/>
        </w:rPr>
        <w:t>הי"מ ברי"ף בפי' הב'</w:t>
      </w:r>
      <w:r w:rsidRPr="0061607E">
        <w:rPr>
          <w:rFonts w:hint="cs"/>
          <w:rtl/>
        </w:rPr>
        <w:t xml:space="preserve"> מהגמ' בכתובות</w:t>
      </w:r>
      <w:r>
        <w:rPr>
          <w:rFonts w:hint="cs"/>
          <w:rtl/>
        </w:rPr>
        <w:t>.</w:t>
      </w:r>
      <w:bookmarkEnd w:id="6869"/>
    </w:p>
    <w:p w:rsidR="0019070E" w:rsidRPr="00C22E02" w:rsidRDefault="0019070E" w:rsidP="0019070E">
      <w:pPr>
        <w:pStyle w:val="a3"/>
      </w:pPr>
      <w:bookmarkStart w:id="6870" w:name="_Toc57323023"/>
      <w:bookmarkStart w:id="6871" w:name="_Toc57323132"/>
      <w:bookmarkStart w:id="6872" w:name="_Toc57370357"/>
      <w:bookmarkStart w:id="6873" w:name="_Toc57491526"/>
      <w:bookmarkStart w:id="6874" w:name="_Toc57495337"/>
      <w:bookmarkStart w:id="6875" w:name="_Toc57544479"/>
      <w:bookmarkStart w:id="6876" w:name="_Toc58184983"/>
      <w:r>
        <w:rPr>
          <w:rFonts w:hint="cs"/>
          <w:rtl/>
        </w:rPr>
        <w:t>ביאור הב"ח דהפי' הא' ס"ל כרש"י דכשיש תובע ל"מ מיגו והפי' הב' כתוס' דאף בתובעו נאמן</w:t>
      </w:r>
      <w:bookmarkEnd w:id="6870"/>
      <w:bookmarkEnd w:id="6871"/>
      <w:bookmarkEnd w:id="6872"/>
      <w:bookmarkEnd w:id="6873"/>
      <w:bookmarkEnd w:id="6874"/>
      <w:bookmarkEnd w:id="6875"/>
      <w:bookmarkEnd w:id="6876"/>
    </w:p>
    <w:p w:rsidR="0019070E" w:rsidRDefault="0019070E" w:rsidP="007E4E81">
      <w:pPr>
        <w:pStyle w:val="a0"/>
        <w:rPr>
          <w:rtl/>
        </w:rPr>
      </w:pPr>
      <w:r>
        <w:rPr>
          <w:rFonts w:hint="cs"/>
          <w:rtl/>
        </w:rPr>
        <w:t>ו</w:t>
      </w:r>
      <w:r w:rsidRPr="0061607E">
        <w:rPr>
          <w:rFonts w:hint="cs"/>
          <w:rtl/>
        </w:rPr>
        <w:t>תירץ</w:t>
      </w:r>
      <w:r w:rsidRPr="00C22E02">
        <w:rPr>
          <w:rStyle w:val="af9"/>
          <w:rFonts w:hint="cs"/>
          <w:rtl/>
        </w:rPr>
        <w:t xml:space="preserve"> בהג' הב"ח על הרי"ף</w:t>
      </w:r>
      <w:r w:rsidRPr="0061607E">
        <w:rPr>
          <w:rFonts w:hint="cs"/>
          <w:rtl/>
        </w:rPr>
        <w:t xml:space="preserve"> </w:t>
      </w:r>
      <w:r w:rsidRPr="00A569CB">
        <w:rPr>
          <w:rStyle w:val="af7"/>
          <w:rFonts w:eastAsia="Guttman Rashi" w:hint="cs"/>
          <w:rtl/>
        </w:rPr>
        <w:t xml:space="preserve">(ט. מדה"ר או' ו', מהדו' "עוז והדר" עמ' מ' או' א') </w:t>
      </w:r>
      <w:r>
        <w:rPr>
          <w:rFonts w:hint="cs"/>
          <w:rtl/>
        </w:rPr>
        <w:t xml:space="preserve">את דעת </w:t>
      </w:r>
      <w:r w:rsidRPr="0096207D">
        <w:rPr>
          <w:rStyle w:val="af9"/>
          <w:rFonts w:hint="cs"/>
          <w:rtl/>
        </w:rPr>
        <w:t xml:space="preserve">הי"מ ברי"ף </w:t>
      </w:r>
      <w:r w:rsidRPr="00EC127D">
        <w:rPr>
          <w:rStyle w:val="af9"/>
          <w:rFonts w:hint="cs"/>
          <w:rtl/>
        </w:rPr>
        <w:t>בפי' הא'</w:t>
      </w:r>
      <w:r>
        <w:rPr>
          <w:rFonts w:hint="cs"/>
          <w:rtl/>
        </w:rPr>
        <w:t xml:space="preserve"> </w:t>
      </w:r>
      <w:r w:rsidRPr="00A569CB">
        <w:rPr>
          <w:rStyle w:val="af7"/>
          <w:rFonts w:eastAsia="Guttman Hodes" w:hint="cs"/>
          <w:rtl/>
        </w:rPr>
        <w:t xml:space="preserve">(עי' אות </w:t>
      </w:r>
      <w:r w:rsidRPr="00A569CB">
        <w:rPr>
          <w:rStyle w:val="af7"/>
          <w:rFonts w:eastAsia="Guttman Hodes"/>
          <w:rtl/>
        </w:rPr>
        <w:fldChar w:fldCharType="begin"/>
      </w:r>
      <w:r w:rsidRPr="00A569CB">
        <w:rPr>
          <w:rStyle w:val="af7"/>
          <w:rFonts w:eastAsia="Guttman Hodes"/>
          <w:rtl/>
        </w:rPr>
        <w:instrText xml:space="preserve"> </w:instrText>
      </w:r>
      <w:r w:rsidRPr="00A569CB">
        <w:rPr>
          <w:rStyle w:val="af7"/>
          <w:rFonts w:eastAsia="Guttman Hodes" w:hint="cs"/>
        </w:rPr>
        <w:instrText>REF</w:instrText>
      </w:r>
      <w:r w:rsidRPr="00A569CB">
        <w:rPr>
          <w:rStyle w:val="af7"/>
          <w:rFonts w:eastAsia="Guttman Hodes" w:hint="cs"/>
          <w:rtl/>
        </w:rPr>
        <w:instrText xml:space="preserve"> _</w:instrText>
      </w:r>
      <w:r w:rsidRPr="00A569CB">
        <w:rPr>
          <w:rStyle w:val="af7"/>
          <w:rFonts w:eastAsia="Guttman Hodes" w:hint="cs"/>
        </w:rPr>
        <w:instrText>Ref57319519 \r \h</w:instrText>
      </w:r>
      <w:r w:rsidRPr="00A569CB">
        <w:rPr>
          <w:rStyle w:val="af7"/>
          <w:rFonts w:eastAsia="Guttman Hodes"/>
          <w:rtl/>
        </w:rPr>
        <w:instrText xml:space="preserve"> </w:instrText>
      </w:r>
      <w:r w:rsidRPr="00A569CB">
        <w:rPr>
          <w:rStyle w:val="af7"/>
          <w:rFonts w:eastAsia="Guttman Hodes"/>
          <w:rtl/>
        </w:rPr>
      </w:r>
      <w:r w:rsidRPr="00A569CB">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A569CB">
        <w:rPr>
          <w:rStyle w:val="af7"/>
          <w:rFonts w:eastAsia="Guttman Hodes"/>
          <w:rtl/>
        </w:rPr>
        <w:fldChar w:fldCharType="end"/>
      </w:r>
      <w:r>
        <w:rPr>
          <w:rFonts w:hint="cs"/>
          <w:rtl/>
        </w:rPr>
        <w:t xml:space="preserve"> ד</w:t>
      </w:r>
      <w:r w:rsidRPr="0061607E">
        <w:rPr>
          <w:rFonts w:hint="cs"/>
          <w:rtl/>
        </w:rPr>
        <w:t>ס"ל כ</w:t>
      </w:r>
      <w:r>
        <w:rPr>
          <w:rFonts w:hint="cs"/>
          <w:rtl/>
        </w:rPr>
        <w:t xml:space="preserve">דעת </w:t>
      </w:r>
      <w:r w:rsidRPr="00C22E02">
        <w:rPr>
          <w:rStyle w:val="af9"/>
          <w:rFonts w:hint="cs"/>
          <w:rtl/>
        </w:rPr>
        <w:t xml:space="preserve">רש"י בכתובות </w:t>
      </w:r>
      <w:r w:rsidRPr="00452DE1">
        <w:rPr>
          <w:rStyle w:val="af7"/>
          <w:rFonts w:eastAsia="Guttman Hodes" w:hint="cs"/>
          <w:rtl/>
        </w:rPr>
        <w:t>(טז. ד"ה הכא)</w:t>
      </w:r>
      <w:r>
        <w:rPr>
          <w:rFonts w:hint="cs"/>
          <w:rtl/>
        </w:rPr>
        <w:t xml:space="preserve"> </w:t>
      </w:r>
      <w:r w:rsidRPr="0061607E">
        <w:rPr>
          <w:rFonts w:hint="cs"/>
          <w:rtl/>
        </w:rPr>
        <w:t xml:space="preserve">דהא דמהני מיגו הוא רק במקום שאין המרא קמא תובעו, אבל </w:t>
      </w:r>
      <w:r>
        <w:rPr>
          <w:rFonts w:hint="cs"/>
          <w:rtl/>
        </w:rPr>
        <w:t>בסוגיין דאיירי שי</w:t>
      </w:r>
      <w:r w:rsidRPr="0061607E">
        <w:rPr>
          <w:rFonts w:hint="cs"/>
          <w:rtl/>
        </w:rPr>
        <w:t xml:space="preserve">ש תובע ל"מ מיגו, </w:t>
      </w:r>
      <w:r>
        <w:rPr>
          <w:rFonts w:hint="cs"/>
          <w:rtl/>
        </w:rPr>
        <w:t xml:space="preserve">ואף כשאין עדים למרא קמא אין המחזיק נאמן, </w:t>
      </w:r>
      <w:r w:rsidRPr="0061607E">
        <w:rPr>
          <w:rFonts w:hint="cs"/>
          <w:rtl/>
        </w:rPr>
        <w:t>ו</w:t>
      </w:r>
      <w:r>
        <w:rPr>
          <w:rFonts w:hint="cs"/>
          <w:rtl/>
        </w:rPr>
        <w:t xml:space="preserve">כתב </w:t>
      </w:r>
      <w:r w:rsidRPr="00C22E02">
        <w:rPr>
          <w:rStyle w:val="af9"/>
          <w:rFonts w:hint="cs"/>
          <w:rtl/>
        </w:rPr>
        <w:t>בהג' הב"ח על הרי"ף</w:t>
      </w:r>
      <w:r w:rsidRPr="0061607E">
        <w:rPr>
          <w:rFonts w:hint="cs"/>
          <w:rtl/>
        </w:rPr>
        <w:t xml:space="preserve"> </w:t>
      </w:r>
      <w:r>
        <w:rPr>
          <w:rFonts w:hint="cs"/>
          <w:rtl/>
        </w:rPr>
        <w:t>ד</w:t>
      </w:r>
      <w:r w:rsidRPr="0061607E">
        <w:rPr>
          <w:rFonts w:hint="cs"/>
          <w:rtl/>
        </w:rPr>
        <w:t xml:space="preserve">דעת </w:t>
      </w:r>
      <w:r w:rsidRPr="0096207D">
        <w:rPr>
          <w:rStyle w:val="af9"/>
          <w:rFonts w:hint="cs"/>
          <w:rtl/>
        </w:rPr>
        <w:t>הי"מ ברי"ף בפי' הב'</w:t>
      </w:r>
      <w:r w:rsidRPr="0061607E">
        <w:rPr>
          <w:rFonts w:hint="cs"/>
          <w:rtl/>
        </w:rPr>
        <w:t xml:space="preserve"> כדעת </w:t>
      </w:r>
      <w:r w:rsidRPr="00E7524B">
        <w:rPr>
          <w:rStyle w:val="af9"/>
          <w:rFonts w:hint="cs"/>
          <w:rtl/>
        </w:rPr>
        <w:t xml:space="preserve">התוס' בכתובות </w:t>
      </w:r>
      <w:r w:rsidRPr="00E7524B">
        <w:rPr>
          <w:rStyle w:val="af7"/>
          <w:rFonts w:eastAsia="Guttman Hodes" w:hint="cs"/>
          <w:rtl/>
        </w:rPr>
        <w:t>(טו: ד"ה ומודה)</w:t>
      </w:r>
      <w:r w:rsidRPr="00E7524B">
        <w:rPr>
          <w:rFonts w:hint="cs"/>
          <w:rtl/>
        </w:rPr>
        <w:t xml:space="preserve"> דאף במקום שיש תובע נאמן במיגו, וע"ע</w:t>
      </w:r>
      <w:r>
        <w:rPr>
          <w:rFonts w:hint="cs"/>
          <w:rtl/>
        </w:rPr>
        <w:t xml:space="preserve"> במה שביאר בזה</w:t>
      </w:r>
      <w:r>
        <w:rPr>
          <w:rStyle w:val="af9"/>
          <w:rFonts w:hint="cs"/>
          <w:rtl/>
        </w:rPr>
        <w:t xml:space="preserve"> </w:t>
      </w:r>
      <w:r w:rsidRPr="00E7524B">
        <w:rPr>
          <w:rStyle w:val="af9"/>
          <w:rFonts w:hint="cs"/>
          <w:rtl/>
        </w:rPr>
        <w:t xml:space="preserve">בשיעורי רבי שמואל </w:t>
      </w:r>
      <w:r w:rsidRPr="00E7524B">
        <w:rPr>
          <w:rStyle w:val="af7"/>
          <w:rFonts w:eastAsia="Guttman Hodes" w:hint="cs"/>
          <w:rtl/>
        </w:rPr>
        <w:t>(או</w:t>
      </w:r>
      <w:r w:rsidRPr="00E7524B">
        <w:rPr>
          <w:rStyle w:val="af7"/>
          <w:rFonts w:eastAsia="Guttman Hodes"/>
          <w:rtl/>
        </w:rPr>
        <w:t>'</w:t>
      </w:r>
      <w:r w:rsidRPr="00E7524B">
        <w:rPr>
          <w:rStyle w:val="af7"/>
          <w:rFonts w:eastAsia="Guttman Hodes" w:hint="cs"/>
          <w:rtl/>
        </w:rPr>
        <w:t xml:space="preserve"> ח</w:t>
      </w:r>
      <w:r w:rsidRPr="00E7524B">
        <w:rPr>
          <w:rStyle w:val="af7"/>
          <w:rFonts w:eastAsia="Guttman Hodes"/>
          <w:rtl/>
        </w:rPr>
        <w:t>'</w:t>
      </w:r>
      <w:r w:rsidRPr="00E7524B">
        <w:rPr>
          <w:rStyle w:val="af7"/>
          <w:rFonts w:eastAsia="Guttman Hodes" w:hint="cs"/>
          <w:rtl/>
        </w:rPr>
        <w:t xml:space="preserve"> ד</w:t>
      </w:r>
      <w:r w:rsidRPr="00E7524B">
        <w:rPr>
          <w:rStyle w:val="af7"/>
          <w:rFonts w:eastAsia="Guttman Hodes"/>
          <w:rtl/>
        </w:rPr>
        <w:t>"</w:t>
      </w:r>
      <w:r w:rsidRPr="00E7524B">
        <w:rPr>
          <w:rStyle w:val="af7"/>
          <w:rFonts w:eastAsia="Guttman Hodes" w:hint="cs"/>
          <w:rtl/>
        </w:rPr>
        <w:t>ה והרי"ף)</w:t>
      </w:r>
      <w:r w:rsidRPr="00E7524B">
        <w:rPr>
          <w:rFonts w:hint="cs"/>
          <w:rtl/>
        </w:rPr>
        <w:t xml:space="preserve"> </w:t>
      </w:r>
      <w:r>
        <w:rPr>
          <w:rFonts w:hint="cs"/>
          <w:rtl/>
        </w:rPr>
        <w:t>ו</w:t>
      </w:r>
      <w:r w:rsidRPr="00E7524B">
        <w:rPr>
          <w:rtl/>
        </w:rPr>
        <w:t>במה שתיר</w:t>
      </w:r>
      <w:r>
        <w:rPr>
          <w:rFonts w:hint="cs"/>
          <w:rtl/>
        </w:rPr>
        <w:t>ץ</w:t>
      </w:r>
      <w:r w:rsidRPr="00E7524B">
        <w:rPr>
          <w:rtl/>
        </w:rPr>
        <w:t xml:space="preserve"> </w:t>
      </w:r>
      <w:r w:rsidRPr="00E7524B">
        <w:rPr>
          <w:rStyle w:val="af9"/>
          <w:rFonts w:hint="cs"/>
          <w:rtl/>
        </w:rPr>
        <w:t>ב</w:t>
      </w:r>
      <w:r w:rsidRPr="00E7524B">
        <w:rPr>
          <w:rStyle w:val="af9"/>
          <w:rtl/>
        </w:rPr>
        <w:t xml:space="preserve">חת"ס </w:t>
      </w:r>
      <w:r w:rsidRPr="00E7524B">
        <w:rPr>
          <w:rStyle w:val="af7"/>
          <w:rFonts w:eastAsia="Guttman Rashi"/>
          <w:rtl/>
        </w:rPr>
        <w:t>(ד"ה זיל ברור)</w:t>
      </w:r>
      <w:r w:rsidRPr="00E7524B">
        <w:rPr>
          <w:rtl/>
        </w:rPr>
        <w:t xml:space="preserve"> </w:t>
      </w:r>
      <w:r w:rsidRPr="00E7524B">
        <w:rPr>
          <w:rFonts w:hint="cs"/>
          <w:rtl/>
        </w:rPr>
        <w:t xml:space="preserve">את דעת </w:t>
      </w:r>
      <w:r w:rsidRPr="00E7524B">
        <w:rPr>
          <w:rStyle w:val="af9"/>
          <w:rFonts w:hint="cs"/>
          <w:rtl/>
        </w:rPr>
        <w:t>הי"מ</w:t>
      </w:r>
      <w:r w:rsidRPr="0096207D">
        <w:rPr>
          <w:rStyle w:val="af9"/>
          <w:rFonts w:hint="cs"/>
          <w:rtl/>
        </w:rPr>
        <w:t xml:space="preserve"> ברי"ף </w:t>
      </w:r>
      <w:r w:rsidRPr="00EC127D">
        <w:rPr>
          <w:rStyle w:val="af9"/>
          <w:rFonts w:hint="cs"/>
          <w:rtl/>
        </w:rPr>
        <w:t>בפי' הא'</w:t>
      </w:r>
      <w:r w:rsidRPr="0061607E">
        <w:rPr>
          <w:rFonts w:hint="cs"/>
          <w:rtl/>
        </w:rPr>
        <w:t>.</w:t>
      </w:r>
    </w:p>
    <w:p w:rsidR="0019070E" w:rsidRDefault="0019070E" w:rsidP="0019070E">
      <w:pPr>
        <w:pStyle w:val="afe"/>
        <w:rPr>
          <w:rtl/>
        </w:rPr>
      </w:pPr>
      <w:bookmarkStart w:id="6877" w:name="_Toc57310467"/>
      <w:bookmarkStart w:id="6878" w:name="_Toc57323024"/>
      <w:bookmarkStart w:id="6879" w:name="_Toc57323133"/>
      <w:bookmarkStart w:id="6880" w:name="_Toc57370358"/>
      <w:bookmarkStart w:id="6881" w:name="_Toc57491527"/>
      <w:bookmarkStart w:id="6882" w:name="_Toc57495338"/>
      <w:bookmarkStart w:id="6883" w:name="_Toc57544480"/>
      <w:bookmarkStart w:id="6884" w:name="_Toc58184984"/>
      <w:r>
        <w:rPr>
          <w:rFonts w:hint="cs"/>
          <w:rtl/>
        </w:rPr>
        <w:lastRenderedPageBreak/>
        <w:t>ביאור הרי"ף</w:t>
      </w:r>
      <w:bookmarkEnd w:id="6877"/>
      <w:r>
        <w:rPr>
          <w:rFonts w:hint="cs"/>
          <w:rtl/>
        </w:rPr>
        <w:t xml:space="preserve"> </w:t>
      </w:r>
      <w:bookmarkEnd w:id="6878"/>
      <w:bookmarkEnd w:id="6879"/>
      <w:bookmarkEnd w:id="6880"/>
      <w:r>
        <w:rPr>
          <w:rFonts w:hint="cs"/>
          <w:rtl/>
        </w:rPr>
        <w:t>דלא היה כאן בזמן המכירה</w:t>
      </w:r>
      <w:bookmarkEnd w:id="6881"/>
      <w:bookmarkEnd w:id="6882"/>
      <w:bookmarkEnd w:id="6883"/>
      <w:bookmarkEnd w:id="6884"/>
    </w:p>
    <w:p w:rsidR="0019070E" w:rsidRDefault="0019070E" w:rsidP="0019070E">
      <w:pPr>
        <w:pStyle w:val="1"/>
        <w:rPr>
          <w:rtl/>
        </w:rPr>
      </w:pPr>
      <w:bookmarkStart w:id="6885" w:name="_Toc57310468"/>
      <w:bookmarkStart w:id="6886" w:name="_Toc57323025"/>
      <w:bookmarkStart w:id="6887" w:name="_Toc57323134"/>
      <w:bookmarkStart w:id="6888" w:name="_Toc57370359"/>
      <w:bookmarkStart w:id="6889" w:name="_Toc57491528"/>
      <w:bookmarkStart w:id="6890" w:name="_Toc57495339"/>
      <w:bookmarkStart w:id="6891" w:name="_Toc57544481"/>
      <w:bookmarkStart w:id="6892" w:name="_Toc58184985"/>
      <w:r>
        <w:rPr>
          <w:rFonts w:hint="cs"/>
          <w:rtl/>
        </w:rPr>
        <w:t>דברי הרי"ף</w:t>
      </w:r>
      <w:bookmarkEnd w:id="6885"/>
      <w:bookmarkEnd w:id="6886"/>
      <w:bookmarkEnd w:id="6887"/>
      <w:bookmarkEnd w:id="6888"/>
      <w:r>
        <w:rPr>
          <w:rFonts w:hint="cs"/>
          <w:rtl/>
        </w:rPr>
        <w:t xml:space="preserve"> דטוען המערער שבזמן שטוען שקנה לא היה כאן</w:t>
      </w:r>
      <w:bookmarkEnd w:id="6889"/>
      <w:bookmarkEnd w:id="6890"/>
      <w:bookmarkEnd w:id="6891"/>
      <w:bookmarkEnd w:id="6892"/>
    </w:p>
    <w:p w:rsidR="0019070E" w:rsidRPr="003E6BB6" w:rsidRDefault="0019070E" w:rsidP="0019070E">
      <w:pPr>
        <w:pStyle w:val="a3"/>
      </w:pPr>
      <w:bookmarkStart w:id="6893" w:name="_Toc57370360"/>
      <w:bookmarkStart w:id="6894" w:name="_Toc57491529"/>
      <w:bookmarkStart w:id="6895" w:name="_Toc57495340"/>
      <w:bookmarkStart w:id="6896" w:name="_Toc57544482"/>
      <w:bookmarkStart w:id="6897" w:name="_Toc58184986"/>
      <w:r>
        <w:rPr>
          <w:rFonts w:hint="cs"/>
          <w:rtl/>
        </w:rPr>
        <w:t>ביאור הרי"ף והרמב"ם דהמערער טוען שלא היה בעיר בזמן שטוען שקנה ממנו והיאך קנה ממנו</w:t>
      </w:r>
      <w:bookmarkEnd w:id="6893"/>
      <w:bookmarkEnd w:id="6894"/>
      <w:bookmarkEnd w:id="6895"/>
      <w:bookmarkEnd w:id="6896"/>
      <w:bookmarkEnd w:id="6897"/>
    </w:p>
    <w:p w:rsidR="0019070E" w:rsidRPr="001475AD" w:rsidRDefault="0019070E" w:rsidP="007E4E81">
      <w:pPr>
        <w:pStyle w:val="a0"/>
        <w:rPr>
          <w:rStyle w:val="afb"/>
          <w:rtl/>
        </w:rPr>
      </w:pPr>
      <w:bookmarkStart w:id="6898" w:name="_Ref57320600"/>
      <w:bookmarkStart w:id="6899" w:name="_Ref57491361"/>
      <w:r>
        <w:rPr>
          <w:rFonts w:hint="cs"/>
          <w:rtl/>
        </w:rPr>
        <w:t xml:space="preserve">ובעיקר המעשה דשכוני גוואי, </w:t>
      </w:r>
      <w:r w:rsidRPr="00E941DB">
        <w:rPr>
          <w:rFonts w:hint="cs"/>
          <w:rtl/>
        </w:rPr>
        <w:t xml:space="preserve">ביאר </w:t>
      </w:r>
      <w:r w:rsidRPr="00E941DB">
        <w:rPr>
          <w:rStyle w:val="af9"/>
          <w:rFonts w:hint="cs"/>
          <w:rtl/>
        </w:rPr>
        <w:t xml:space="preserve">הרי"ף </w:t>
      </w:r>
      <w:r w:rsidRPr="00E941DB">
        <w:rPr>
          <w:rStyle w:val="af7"/>
          <w:rFonts w:eastAsia="Guttman Hodes" w:hint="cs"/>
          <w:rtl/>
        </w:rPr>
        <w:t>(טו. מדה"ר)</w:t>
      </w:r>
      <w:r w:rsidRPr="00E941DB">
        <w:rPr>
          <w:rFonts w:hint="cs"/>
          <w:rtl/>
        </w:rPr>
        <w:t xml:space="preserve"> דטוען המערער למחזיק דלא יתכן שקנית ממני, כיון שאותו הזמן שאתה טוען שקנית ממני, הייתי בשכוני</w:t>
      </w:r>
      <w:r>
        <w:rPr>
          <w:rFonts w:hint="cs"/>
          <w:rtl/>
        </w:rPr>
        <w:t xml:space="preserve"> גוואי ולא הייתי בעיר, והיאך יכולת לקנות ממני באותו הזמן</w:t>
      </w:r>
      <w:r>
        <w:rPr>
          <w:rStyle w:val="af1"/>
          <w:rtl/>
        </w:rPr>
        <w:footnoteReference w:id="39"/>
      </w:r>
      <w:r>
        <w:rPr>
          <w:rFonts w:hint="cs"/>
          <w:rtl/>
        </w:rPr>
        <w:t>,</w:t>
      </w:r>
      <w:bookmarkEnd w:id="6898"/>
      <w:r w:rsidRPr="001475AD">
        <w:rPr>
          <w:rStyle w:val="afb"/>
          <w:rFonts w:hint="cs"/>
          <w:rtl/>
        </w:rPr>
        <w:t xml:space="preserve"> </w:t>
      </w:r>
      <w:r>
        <w:rPr>
          <w:rFonts w:hint="cs"/>
          <w:rtl/>
        </w:rPr>
        <w:t xml:space="preserve">וכ"כ </w:t>
      </w:r>
      <w:r w:rsidRPr="007A5BAD">
        <w:rPr>
          <w:rStyle w:val="af9"/>
          <w:rFonts w:hint="cs"/>
          <w:rtl/>
        </w:rPr>
        <w:t>הרמב"ם</w:t>
      </w:r>
      <w:r>
        <w:rPr>
          <w:rFonts w:hint="cs"/>
          <w:rtl/>
        </w:rPr>
        <w:t xml:space="preserve"> </w:t>
      </w:r>
      <w:r w:rsidRPr="007A5BAD">
        <w:rPr>
          <w:rStyle w:val="af7"/>
          <w:rFonts w:eastAsia="Guttman Hodes" w:hint="cs"/>
          <w:rtl/>
        </w:rPr>
        <w:t>(טו"נ פט"ו ה"י)</w:t>
      </w:r>
      <w:r>
        <w:rPr>
          <w:rFonts w:hint="cs"/>
          <w:rtl/>
        </w:rPr>
        <w:t xml:space="preserve"> דכשהביא המערער עדים שהשדה שלו, וטוען המחזיק שקנה ואכלה שני חזקה, ממנו והביא עדים שאכל שני חזקה, וטוען המערער למחזיק דאינך יכול לטעון שקנית ממני היום לפני ג"ש, כיון שבזמן הזה לא הייתי במדינה זו.</w:t>
      </w:r>
      <w:bookmarkEnd w:id="6899"/>
    </w:p>
    <w:p w:rsidR="0019070E" w:rsidRDefault="0019070E" w:rsidP="0019070E">
      <w:pPr>
        <w:pStyle w:val="a3"/>
        <w:rPr>
          <w:rtl/>
        </w:rPr>
      </w:pPr>
      <w:bookmarkStart w:id="6900" w:name="_Toc57370361"/>
      <w:bookmarkStart w:id="6901" w:name="_Toc57491530"/>
      <w:bookmarkStart w:id="6902" w:name="_Toc57495341"/>
      <w:bookmarkStart w:id="6903" w:name="_Toc57544483"/>
      <w:bookmarkStart w:id="6904" w:name="_Toc58184987"/>
      <w:r>
        <w:rPr>
          <w:rFonts w:hint="cs"/>
          <w:rtl/>
        </w:rPr>
        <w:t>דברי ר"ח דטוען המחזיק שקנה ממנו היום לפני יותר משני חזקה ואומר המערער שלא היה בעיר</w:t>
      </w:r>
      <w:bookmarkEnd w:id="6900"/>
      <w:bookmarkEnd w:id="6901"/>
      <w:bookmarkEnd w:id="6902"/>
      <w:bookmarkEnd w:id="6903"/>
      <w:bookmarkEnd w:id="6904"/>
    </w:p>
    <w:p w:rsidR="0019070E" w:rsidRDefault="0019070E" w:rsidP="007E4E81">
      <w:pPr>
        <w:pStyle w:val="a0"/>
        <w:rPr>
          <w:rtl/>
        </w:rPr>
      </w:pPr>
      <w:bookmarkStart w:id="6905" w:name="_Ref57320344"/>
      <w:r w:rsidRPr="00193C21">
        <w:rPr>
          <w:rFonts w:hint="cs"/>
          <w:rtl/>
        </w:rPr>
        <w:t>וכ"כ</w:t>
      </w:r>
      <w:r w:rsidRPr="00193C21">
        <w:rPr>
          <w:rStyle w:val="af9"/>
          <w:rFonts w:hint="cs"/>
          <w:rtl/>
        </w:rPr>
        <w:t xml:space="preserve"> בפי' ר"ח</w:t>
      </w:r>
      <w:r w:rsidRPr="00193C21">
        <w:rPr>
          <w:rFonts w:hint="cs"/>
          <w:rtl/>
        </w:rPr>
        <w:t xml:space="preserve"> </w:t>
      </w:r>
      <w:r w:rsidRPr="00193C21">
        <w:rPr>
          <w:rStyle w:val="af7"/>
          <w:rFonts w:eastAsia="Guttman Hodes" w:hint="cs"/>
          <w:rtl/>
        </w:rPr>
        <w:t>(ד"ה מינך, נד' בשיטת הקדמונים, הועתק בקובץ שיטות קמאי ב"ב ח"א עמ'</w:t>
      </w:r>
      <w:r w:rsidRPr="00193C21">
        <w:rPr>
          <w:rStyle w:val="af7"/>
          <w:rFonts w:eastAsia="Guttman Hodes"/>
          <w:rtl/>
        </w:rPr>
        <w:t xml:space="preserve"> תרפב</w:t>
      </w:r>
      <w:r w:rsidRPr="00193C21">
        <w:rPr>
          <w:rStyle w:val="af7"/>
          <w:rFonts w:eastAsia="Guttman Hodes" w:hint="cs"/>
          <w:rtl/>
        </w:rPr>
        <w:t>)</w:t>
      </w:r>
      <w:r w:rsidRPr="00193C21">
        <w:rPr>
          <w:rFonts w:hint="cs"/>
          <w:rtl/>
        </w:rPr>
        <w:t xml:space="preserve"> דאיירי בקרקע שידועה שהייתה של המערער, וטוען המחזיק שהוא קנה ממנו היום לפני כמה שנים, </w:t>
      </w:r>
      <w:r w:rsidRPr="00193C21">
        <w:rPr>
          <w:rStyle w:val="afb"/>
          <w:rFonts w:hint="cs"/>
          <w:rtl/>
        </w:rPr>
        <w:t>[דהיינו שאומר המחזיק שביום זה לפני כמה שנים מכר לו המערער],</w:t>
      </w:r>
      <w:r w:rsidRPr="00193C21">
        <w:rPr>
          <w:rFonts w:hint="cs"/>
          <w:rtl/>
        </w:rPr>
        <w:t xml:space="preserve"> ועברו כבר </w:t>
      </w:r>
      <w:r>
        <w:rPr>
          <w:rFonts w:hint="cs"/>
          <w:rtl/>
        </w:rPr>
        <w:t xml:space="preserve">כמה </w:t>
      </w:r>
      <w:r w:rsidRPr="00193C21">
        <w:rPr>
          <w:rFonts w:hint="cs"/>
          <w:rtl/>
        </w:rPr>
        <w:t xml:space="preserve">שנים </w:t>
      </w:r>
      <w:r>
        <w:rPr>
          <w:rFonts w:hint="cs"/>
          <w:rtl/>
        </w:rPr>
        <w:t xml:space="preserve">שהם </w:t>
      </w:r>
      <w:r w:rsidRPr="00193C21">
        <w:rPr>
          <w:rFonts w:hint="cs"/>
          <w:rtl/>
        </w:rPr>
        <w:t xml:space="preserve">יותר משני חזקה, וכתב </w:t>
      </w:r>
      <w:r w:rsidRPr="00193C21">
        <w:rPr>
          <w:rStyle w:val="af9"/>
          <w:rFonts w:hint="cs"/>
          <w:rtl/>
        </w:rPr>
        <w:t>בפי' ר"ח</w:t>
      </w:r>
      <w:r w:rsidRPr="00193C21">
        <w:rPr>
          <w:rFonts w:hint="cs"/>
          <w:rtl/>
        </w:rPr>
        <w:t xml:space="preserve"> דטוען המערער שבאותו הזמן שטוען המחזיק שקנה ממנו, הוא היה בשכוני גוואי, [</w:t>
      </w:r>
      <w:r w:rsidRPr="00193C21">
        <w:rPr>
          <w:rStyle w:val="afb"/>
          <w:rFonts w:hint="cs"/>
          <w:rtl/>
        </w:rPr>
        <w:t>דהיינו במקום אחר</w:t>
      </w:r>
      <w:r w:rsidRPr="006C69EF">
        <w:rPr>
          <w:rStyle w:val="afb"/>
          <w:rFonts w:hint="cs"/>
          <w:rtl/>
        </w:rPr>
        <w:t xml:space="preserve"> ולא באותה העיר], </w:t>
      </w:r>
      <w:r w:rsidRPr="009B1CEA">
        <w:rPr>
          <w:rFonts w:hint="cs"/>
          <w:rtl/>
        </w:rPr>
        <w:t>וא"</w:t>
      </w:r>
      <w:r>
        <w:rPr>
          <w:rFonts w:hint="cs"/>
          <w:rtl/>
        </w:rPr>
        <w:t>כ טענת המחזיק שקנה באותו זמן אינה טענה דלא היה כאן ולא היה יכול למכור לו,</w:t>
      </w:r>
      <w:r w:rsidRPr="00193C21">
        <w:rPr>
          <w:rFonts w:hint="cs"/>
          <w:rtl/>
        </w:rPr>
        <w:t xml:space="preserve"> וכתב </w:t>
      </w:r>
      <w:r w:rsidRPr="00193C21">
        <w:rPr>
          <w:rStyle w:val="af9"/>
          <w:rFonts w:hint="cs"/>
          <w:rtl/>
        </w:rPr>
        <w:t>הרמב"ן</w:t>
      </w:r>
      <w:r w:rsidRPr="00193C21">
        <w:rPr>
          <w:rFonts w:hint="cs"/>
          <w:rtl/>
        </w:rPr>
        <w:t xml:space="preserve"> </w:t>
      </w:r>
      <w:r w:rsidRPr="00193C21">
        <w:rPr>
          <w:rStyle w:val="af7"/>
          <w:rFonts w:eastAsia="Guttman Hodes" w:hint="cs"/>
          <w:rtl/>
        </w:rPr>
        <w:t xml:space="preserve">(ד"ה ור"ח) </w:t>
      </w:r>
      <w:r w:rsidRPr="00193C21">
        <w:rPr>
          <w:rStyle w:val="af9"/>
          <w:rFonts w:hint="cs"/>
          <w:rtl/>
        </w:rPr>
        <w:t xml:space="preserve">דר"ח </w:t>
      </w:r>
      <w:r w:rsidRPr="00193C21">
        <w:rPr>
          <w:rFonts w:hint="cs"/>
          <w:rtl/>
        </w:rPr>
        <w:t xml:space="preserve">ביאר כדברי </w:t>
      </w:r>
      <w:r w:rsidRPr="00193C21">
        <w:rPr>
          <w:rStyle w:val="af9"/>
          <w:rFonts w:hint="cs"/>
          <w:rtl/>
        </w:rPr>
        <w:t>הרי"ף</w:t>
      </w:r>
      <w:r w:rsidRPr="00193C21">
        <w:rPr>
          <w:rFonts w:hint="cs"/>
          <w:rtl/>
        </w:rPr>
        <w:t xml:space="preserve"> </w:t>
      </w:r>
      <w:r w:rsidRPr="00D66BC6">
        <w:rPr>
          <w:rStyle w:val="af7"/>
          <w:rFonts w:eastAsia="Guttman Hodes" w:hint="cs"/>
          <w:rtl/>
        </w:rPr>
        <w:t xml:space="preserve">(עי' אות </w:t>
      </w:r>
      <w:r w:rsidRPr="00D66BC6">
        <w:rPr>
          <w:rStyle w:val="af7"/>
          <w:rFonts w:eastAsia="Guttman Hodes"/>
          <w:rtl/>
        </w:rPr>
        <w:fldChar w:fldCharType="begin"/>
      </w:r>
      <w:r w:rsidRPr="00D66BC6">
        <w:rPr>
          <w:rStyle w:val="af7"/>
          <w:rFonts w:eastAsia="Guttman Hodes"/>
          <w:rtl/>
        </w:rPr>
        <w:instrText xml:space="preserve"> </w:instrText>
      </w:r>
      <w:r w:rsidRPr="00D66BC6">
        <w:rPr>
          <w:rStyle w:val="af7"/>
          <w:rFonts w:eastAsia="Guttman Hodes" w:hint="cs"/>
        </w:rPr>
        <w:instrText>REF</w:instrText>
      </w:r>
      <w:r w:rsidRPr="00D66BC6">
        <w:rPr>
          <w:rStyle w:val="af7"/>
          <w:rFonts w:eastAsia="Guttman Hodes" w:hint="cs"/>
          <w:rtl/>
        </w:rPr>
        <w:instrText xml:space="preserve"> _</w:instrText>
      </w:r>
      <w:r w:rsidRPr="00D66BC6">
        <w:rPr>
          <w:rStyle w:val="af7"/>
          <w:rFonts w:eastAsia="Guttman Hodes" w:hint="cs"/>
        </w:rPr>
        <w:instrText>Ref57320600 \r \h</w:instrText>
      </w:r>
      <w:r w:rsidRPr="00D66BC6">
        <w:rPr>
          <w:rStyle w:val="af7"/>
          <w:rFonts w:eastAsia="Guttman Hodes"/>
          <w:rtl/>
        </w:rPr>
        <w:instrText xml:space="preserve"> </w:instrText>
      </w:r>
      <w:r w:rsidRPr="00D66BC6">
        <w:rPr>
          <w:rStyle w:val="af7"/>
          <w:rFonts w:eastAsia="Guttman Hodes"/>
          <w:rtl/>
        </w:rPr>
      </w:r>
      <w:r w:rsidRPr="00D66BC6">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D66BC6">
        <w:rPr>
          <w:rStyle w:val="af7"/>
          <w:rFonts w:eastAsia="Guttman Hodes"/>
          <w:rtl/>
        </w:rPr>
        <w:fldChar w:fldCharType="end"/>
      </w:r>
      <w:r w:rsidRPr="00193C21">
        <w:rPr>
          <w:rFonts w:hint="cs"/>
          <w:rtl/>
        </w:rPr>
        <w:t xml:space="preserve"> אלא שבכלל דברי </w:t>
      </w:r>
      <w:r w:rsidRPr="00193C21">
        <w:rPr>
          <w:rStyle w:val="af9"/>
          <w:rFonts w:hint="cs"/>
          <w:rtl/>
        </w:rPr>
        <w:t>הר"ח</w:t>
      </w:r>
      <w:r w:rsidRPr="00193C21">
        <w:rPr>
          <w:rFonts w:hint="cs"/>
          <w:rtl/>
        </w:rPr>
        <w:t xml:space="preserve"> מבואר ביאור אחר בסוגיין</w:t>
      </w:r>
      <w:r>
        <w:rPr>
          <w:rFonts w:hint="cs"/>
          <w:rtl/>
        </w:rPr>
        <w:t>.</w:t>
      </w:r>
      <w:bookmarkEnd w:id="6905"/>
    </w:p>
    <w:p w:rsidR="0019070E" w:rsidRDefault="0019070E" w:rsidP="0019070E">
      <w:pPr>
        <w:pStyle w:val="afe"/>
        <w:rPr>
          <w:rtl/>
        </w:rPr>
      </w:pPr>
      <w:bookmarkStart w:id="6906" w:name="_Toc57067193"/>
      <w:bookmarkStart w:id="6907" w:name="_Toc57234562"/>
      <w:bookmarkStart w:id="6908" w:name="_Toc57236150"/>
      <w:bookmarkStart w:id="6909" w:name="_Toc57310474"/>
      <w:bookmarkStart w:id="6910" w:name="_Toc57323031"/>
      <w:bookmarkStart w:id="6911" w:name="_Toc57323140"/>
      <w:bookmarkStart w:id="6912" w:name="_Toc57370379"/>
      <w:bookmarkStart w:id="6913" w:name="_Toc57491546"/>
      <w:bookmarkStart w:id="6914" w:name="_Toc57495342"/>
      <w:bookmarkStart w:id="6915" w:name="_Toc57544484"/>
      <w:bookmarkStart w:id="6916" w:name="_Toc58184988"/>
      <w:bookmarkStart w:id="6917" w:name="_Toc57370363"/>
      <w:bookmarkStart w:id="6918" w:name="_Toc57491531"/>
      <w:r>
        <w:rPr>
          <w:rFonts w:hint="cs"/>
          <w:rtl/>
        </w:rPr>
        <w:t>דעת הרמב"ן</w:t>
      </w:r>
      <w:bookmarkEnd w:id="6906"/>
      <w:bookmarkEnd w:id="6907"/>
      <w:bookmarkEnd w:id="6908"/>
      <w:bookmarkEnd w:id="6909"/>
      <w:bookmarkEnd w:id="6910"/>
      <w:bookmarkEnd w:id="6911"/>
      <w:bookmarkEnd w:id="6912"/>
      <w:bookmarkEnd w:id="6913"/>
      <w:r>
        <w:rPr>
          <w:rFonts w:hint="cs"/>
          <w:rtl/>
        </w:rPr>
        <w:t xml:space="preserve"> ושא"ר דהיה במקום רחוק</w:t>
      </w:r>
      <w:bookmarkEnd w:id="6914"/>
      <w:bookmarkEnd w:id="6915"/>
      <w:bookmarkEnd w:id="6916"/>
    </w:p>
    <w:p w:rsidR="0019070E" w:rsidRDefault="0019070E" w:rsidP="0019070E">
      <w:pPr>
        <w:pStyle w:val="1"/>
        <w:rPr>
          <w:rtl/>
        </w:rPr>
      </w:pPr>
      <w:bookmarkStart w:id="6919" w:name="_Toc57495343"/>
      <w:bookmarkStart w:id="6920" w:name="_Toc57544485"/>
      <w:bookmarkStart w:id="6921" w:name="_Toc58184989"/>
      <w:r>
        <w:rPr>
          <w:rFonts w:hint="cs"/>
          <w:rtl/>
        </w:rPr>
        <w:t>ביאור הרמב"ן ורבינו יונה ושא"ר דטוען שהיה במקום חרום</w:t>
      </w:r>
      <w:bookmarkEnd w:id="6919"/>
      <w:bookmarkEnd w:id="6920"/>
      <w:bookmarkEnd w:id="6921"/>
    </w:p>
    <w:p w:rsidR="0019070E" w:rsidRPr="009934D9" w:rsidRDefault="0019070E" w:rsidP="0019070E">
      <w:pPr>
        <w:pStyle w:val="a3"/>
        <w:rPr>
          <w:rtl/>
        </w:rPr>
      </w:pPr>
      <w:bookmarkStart w:id="6922" w:name="_Toc57495344"/>
      <w:bookmarkStart w:id="6923" w:name="_Toc57544486"/>
      <w:bookmarkStart w:id="6924" w:name="_Toc58184990"/>
      <w:r>
        <w:rPr>
          <w:rFonts w:hint="cs"/>
          <w:rtl/>
        </w:rPr>
        <w:t>ביאור הרמב"ן והרשב"א והריטב"א דהמערער היה במקום רחוק או חרום ולא שמע וא"י למחות</w:t>
      </w:r>
      <w:bookmarkEnd w:id="6922"/>
      <w:bookmarkEnd w:id="6923"/>
      <w:bookmarkEnd w:id="6924"/>
    </w:p>
    <w:p w:rsidR="0019070E" w:rsidRDefault="0019070E" w:rsidP="007E4E81">
      <w:pPr>
        <w:pStyle w:val="a0"/>
      </w:pPr>
      <w:bookmarkStart w:id="6925" w:name="_Ref57321016"/>
      <w:r w:rsidRPr="00D92179">
        <w:rPr>
          <w:rStyle w:val="af9"/>
          <w:rFonts w:hint="cs"/>
          <w:rtl/>
        </w:rPr>
        <w:t>והרמב"ן</w:t>
      </w:r>
      <w:r>
        <w:rPr>
          <w:rFonts w:hint="cs"/>
          <w:rtl/>
        </w:rPr>
        <w:t xml:space="preserve"> </w:t>
      </w:r>
      <w:r w:rsidRPr="002315D1">
        <w:rPr>
          <w:rStyle w:val="af7"/>
          <w:rFonts w:eastAsia="Guttman Hodes" w:hint="cs"/>
          <w:rtl/>
        </w:rPr>
        <w:t xml:space="preserve">(ד"ה ואני שמעתי) </w:t>
      </w:r>
      <w:r w:rsidRPr="001078E1">
        <w:rPr>
          <w:rStyle w:val="af9"/>
          <w:rFonts w:hint="cs"/>
          <w:rtl/>
        </w:rPr>
        <w:t>הרמב"ן ורבינו</w:t>
      </w:r>
      <w:r w:rsidRPr="00D92179">
        <w:rPr>
          <w:rStyle w:val="af9"/>
          <w:rFonts w:hint="cs"/>
          <w:rtl/>
        </w:rPr>
        <w:t xml:space="preserve"> יונה</w:t>
      </w:r>
      <w:r w:rsidRPr="002315D1">
        <w:rPr>
          <w:rStyle w:val="af7"/>
          <w:rFonts w:eastAsia="Guttman Hodes" w:hint="cs"/>
          <w:rtl/>
        </w:rPr>
        <w:t xml:space="preserve"> (ד"ה ההוא) </w:t>
      </w:r>
      <w:r>
        <w:rPr>
          <w:rStyle w:val="af9"/>
          <w:rFonts w:hint="cs"/>
          <w:rtl/>
        </w:rPr>
        <w:t>ו</w:t>
      </w:r>
      <w:r w:rsidRPr="00D92179">
        <w:rPr>
          <w:rStyle w:val="af9"/>
          <w:rFonts w:hint="cs"/>
          <w:rtl/>
        </w:rPr>
        <w:t>הרשב"א</w:t>
      </w:r>
      <w:r>
        <w:rPr>
          <w:rFonts w:hint="cs"/>
          <w:rtl/>
        </w:rPr>
        <w:t xml:space="preserve"> </w:t>
      </w:r>
      <w:r w:rsidRPr="00D92179">
        <w:rPr>
          <w:rStyle w:val="af7"/>
          <w:rFonts w:eastAsia="Guttman Hodes" w:hint="cs"/>
          <w:rtl/>
        </w:rPr>
        <w:t>(סוד"ה ההוא)</w:t>
      </w:r>
      <w:r>
        <w:rPr>
          <w:rFonts w:hint="cs"/>
          <w:rtl/>
        </w:rPr>
        <w:t xml:space="preserve"> </w:t>
      </w:r>
      <w:r w:rsidRPr="00D92179">
        <w:rPr>
          <w:rStyle w:val="af9"/>
          <w:rFonts w:hint="cs"/>
          <w:rtl/>
        </w:rPr>
        <w:t>ו</w:t>
      </w:r>
      <w:r w:rsidRPr="00D92179">
        <w:rPr>
          <w:rStyle w:val="af9"/>
          <w:rtl/>
        </w:rPr>
        <w:t>הריטב"א</w:t>
      </w:r>
      <w:r>
        <w:rPr>
          <w:rtl/>
        </w:rPr>
        <w:t xml:space="preserve"> </w:t>
      </w:r>
      <w:r w:rsidRPr="00D92179">
        <w:rPr>
          <w:rStyle w:val="af7"/>
          <w:rFonts w:eastAsia="Guttman Hodes"/>
          <w:rtl/>
        </w:rPr>
        <w:t>(</w:t>
      </w:r>
      <w:r w:rsidRPr="00D92179">
        <w:rPr>
          <w:rStyle w:val="af7"/>
          <w:rFonts w:eastAsia="Guttman Hodes" w:hint="cs"/>
          <w:rtl/>
        </w:rPr>
        <w:t>סו</w:t>
      </w:r>
      <w:r w:rsidRPr="00D92179">
        <w:rPr>
          <w:rStyle w:val="af7"/>
          <w:rFonts w:eastAsia="Guttman Hodes"/>
          <w:rtl/>
        </w:rPr>
        <w:t>ד"ה א"ל)</w:t>
      </w:r>
      <w:r>
        <w:rPr>
          <w:rtl/>
        </w:rPr>
        <w:t xml:space="preserve"> </w:t>
      </w:r>
      <w:r>
        <w:rPr>
          <w:rStyle w:val="af9"/>
          <w:rFonts w:hint="cs"/>
          <w:rtl/>
        </w:rPr>
        <w:t>ו</w:t>
      </w:r>
      <w:r w:rsidRPr="00C132E0">
        <w:rPr>
          <w:rStyle w:val="af9"/>
          <w:rFonts w:hint="cs"/>
          <w:rtl/>
        </w:rPr>
        <w:t>הנימוק"י</w:t>
      </w:r>
      <w:r w:rsidRPr="00C132E0">
        <w:rPr>
          <w:rFonts w:hint="cs"/>
          <w:rtl/>
        </w:rPr>
        <w:t xml:space="preserve"> </w:t>
      </w:r>
      <w:r w:rsidRPr="00C132E0">
        <w:rPr>
          <w:rStyle w:val="af7"/>
          <w:rFonts w:eastAsiaTheme="minorHAnsi" w:hint="cs"/>
          <w:rtl/>
        </w:rPr>
        <w:t>(טו. מדה"ר ד"ה ההוא)</w:t>
      </w:r>
      <w:r w:rsidRPr="00C132E0">
        <w:rPr>
          <w:rtl/>
        </w:rPr>
        <w:t xml:space="preserve"> </w:t>
      </w:r>
      <w:r>
        <w:rPr>
          <w:rFonts w:hint="cs"/>
          <w:rtl/>
        </w:rPr>
        <w:t>ביארו דשכוני גוואי הוא מקום רחוק</w:t>
      </w:r>
      <w:bookmarkStart w:id="6926" w:name="_Ref57492714"/>
      <w:r>
        <w:rPr>
          <w:rStyle w:val="af1"/>
          <w:rtl/>
        </w:rPr>
        <w:footnoteReference w:id="40"/>
      </w:r>
      <w:bookmarkEnd w:id="6926"/>
      <w:r>
        <w:rPr>
          <w:rFonts w:hint="cs"/>
          <w:rtl/>
        </w:rPr>
        <w:t xml:space="preserve">, וטוען המערער שהיה במקום שלא היה יכול לשמוע את החזקה, או שלא היה יכול למחות כיון שהוא מקום חרום, וטוען המערער שהיה באותו מקום בכל הג"ש, ועוד ביאר </w:t>
      </w:r>
      <w:r w:rsidRPr="00D92179">
        <w:rPr>
          <w:rStyle w:val="af9"/>
          <w:rFonts w:hint="cs"/>
          <w:rtl/>
        </w:rPr>
        <w:t>רבינו יונה</w:t>
      </w:r>
      <w:r>
        <w:rPr>
          <w:rFonts w:hint="cs"/>
          <w:rtl/>
        </w:rPr>
        <w:t xml:space="preserve"> דאיירי שהיה חרום בין המקום של המחזיק למקום שהיה בו המערער, ולכן לא הוי חזקה, דהחזקה לא מהני במקום שהמערער אינו יכול לשמוע מהחזקה ולמחות עליה, וכדתנן במתני' לקמן </w:t>
      </w:r>
      <w:r w:rsidRPr="00D92179">
        <w:rPr>
          <w:rStyle w:val="af7"/>
          <w:rFonts w:eastAsia="Guttman Hodes" w:hint="cs"/>
          <w:rtl/>
        </w:rPr>
        <w:t>(לח.)</w:t>
      </w:r>
      <w:r>
        <w:rPr>
          <w:rFonts w:hint="cs"/>
          <w:rtl/>
        </w:rPr>
        <w:t xml:space="preserve"> דהיה ביהודה והחזיק בגליל ולהיפך לא הוי חזקה, עד שיהיה עמו באותה מדינה</w:t>
      </w:r>
      <w:r>
        <w:rPr>
          <w:rStyle w:val="af1"/>
          <w:rtl/>
        </w:rPr>
        <w:footnoteReference w:id="41"/>
      </w:r>
      <w:r w:rsidRPr="00E31188">
        <w:rPr>
          <w:rFonts w:hint="cs"/>
          <w:rtl/>
        </w:rPr>
        <w:t>,</w:t>
      </w:r>
      <w:r>
        <w:rPr>
          <w:rFonts w:hint="cs"/>
          <w:rtl/>
        </w:rPr>
        <w:t>ועי' במה ש</w:t>
      </w:r>
      <w:r w:rsidRPr="00DE1094">
        <w:rPr>
          <w:rFonts w:hint="cs"/>
          <w:rtl/>
        </w:rPr>
        <w:t>ביאר</w:t>
      </w:r>
      <w:r>
        <w:rPr>
          <w:rFonts w:hint="cs"/>
          <w:rtl/>
        </w:rPr>
        <w:t>ו</w:t>
      </w:r>
      <w:r w:rsidRPr="00DE1094">
        <w:rPr>
          <w:rStyle w:val="af9"/>
          <w:rFonts w:hint="cs"/>
          <w:rtl/>
        </w:rPr>
        <w:t xml:space="preserve"> </w:t>
      </w:r>
      <w:r>
        <w:rPr>
          <w:rStyle w:val="af9"/>
          <w:rFonts w:hint="cs"/>
          <w:rtl/>
        </w:rPr>
        <w:t>ב</w:t>
      </w:r>
      <w:r w:rsidRPr="00C87E38">
        <w:rPr>
          <w:rStyle w:val="af9"/>
          <w:rFonts w:hint="cs"/>
          <w:rtl/>
        </w:rPr>
        <w:t>קוב"ש</w:t>
      </w:r>
      <w:r w:rsidRPr="00C87E38">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Ref56614352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Pr>
          <w:rStyle w:val="af7"/>
          <w:rFonts w:eastAsia="Guttman Hodes"/>
          <w:rtl/>
        </w:rPr>
        <w:fldChar w:fldCharType="end"/>
      </w:r>
      <w:r>
        <w:rPr>
          <w:rStyle w:val="af7"/>
          <w:rFonts w:eastAsia="Guttman Hodes" w:hint="cs"/>
          <w:rtl/>
        </w:rPr>
        <w:t xml:space="preserve"> </w:t>
      </w:r>
      <w:r>
        <w:rPr>
          <w:rStyle w:val="af9"/>
          <w:rFonts w:hint="cs"/>
          <w:rtl/>
        </w:rPr>
        <w:t>ו</w:t>
      </w:r>
      <w:r w:rsidRPr="00DE1094">
        <w:rPr>
          <w:rStyle w:val="af9"/>
          <w:rFonts w:hint="cs"/>
          <w:rtl/>
        </w:rPr>
        <w:t>בשיעורי רבי שמואל</w:t>
      </w:r>
      <w:r w:rsidRPr="00DE1094">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Ref57537945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קכג)</w:t>
      </w:r>
      <w:r>
        <w:rPr>
          <w:rStyle w:val="af7"/>
          <w:rFonts w:eastAsia="Guttman Hodes"/>
          <w:rtl/>
        </w:rPr>
        <w:fldChar w:fldCharType="end"/>
      </w:r>
      <w:r w:rsidR="00A77F33">
        <w:rPr>
          <w:rStyle w:val="af7"/>
          <w:rFonts w:eastAsia="Guttman Hodes" w:hint="cs"/>
          <w:rtl/>
        </w:rPr>
        <w:t xml:space="preserve"> </w:t>
      </w:r>
      <w:r>
        <w:rPr>
          <w:rFonts w:hint="cs"/>
          <w:rtl/>
        </w:rPr>
        <w:t>בדברי</w:t>
      </w:r>
      <w:r w:rsidRPr="00251201">
        <w:rPr>
          <w:rStyle w:val="af9"/>
          <w:rFonts w:hint="cs"/>
          <w:rtl/>
        </w:rPr>
        <w:t xml:space="preserve"> </w:t>
      </w:r>
      <w:r w:rsidRPr="00DE1094">
        <w:rPr>
          <w:rStyle w:val="af9"/>
          <w:rFonts w:hint="cs"/>
          <w:rtl/>
        </w:rPr>
        <w:t xml:space="preserve">הנימוק"י </w:t>
      </w:r>
      <w:r w:rsidRPr="00673A80">
        <w:rPr>
          <w:rStyle w:val="af9"/>
          <w:rFonts w:hint="cs"/>
          <w:rtl/>
        </w:rPr>
        <w:t>[והרמב"ן]</w:t>
      </w:r>
      <w:r w:rsidRPr="00C132E0">
        <w:rPr>
          <w:rFonts w:hint="cs"/>
          <w:rtl/>
        </w:rPr>
        <w:t>.</w:t>
      </w:r>
      <w:bookmarkStart w:id="6927" w:name="_Toc57495345"/>
      <w:bookmarkStart w:id="6928" w:name="_Toc57544487"/>
      <w:bookmarkEnd w:id="6925"/>
    </w:p>
    <w:p w:rsidR="0019070E" w:rsidRDefault="0019070E" w:rsidP="0019070E">
      <w:pPr>
        <w:pStyle w:val="1"/>
        <w:rPr>
          <w:rtl/>
        </w:rPr>
      </w:pPr>
      <w:r>
        <w:rPr>
          <w:rFonts w:hint="cs"/>
          <w:rtl/>
        </w:rPr>
        <w:t xml:space="preserve"> </w:t>
      </w:r>
      <w:bookmarkStart w:id="6929" w:name="_Toc58184991"/>
      <w:r>
        <w:rPr>
          <w:rFonts w:hint="cs"/>
          <w:rtl/>
        </w:rPr>
        <w:t>קושיות הראשונים על ד' הר"ח והרי"ף</w:t>
      </w:r>
      <w:bookmarkEnd w:id="6917"/>
      <w:r>
        <w:rPr>
          <w:rFonts w:hint="cs"/>
          <w:rtl/>
        </w:rPr>
        <w:t xml:space="preserve"> דטוען שהיה במק"א</w:t>
      </w:r>
      <w:bookmarkEnd w:id="6918"/>
      <w:bookmarkEnd w:id="6927"/>
      <w:bookmarkEnd w:id="6928"/>
      <w:bookmarkEnd w:id="6929"/>
    </w:p>
    <w:p w:rsidR="0019070E" w:rsidRDefault="0019070E" w:rsidP="0019070E">
      <w:pPr>
        <w:pStyle w:val="a3"/>
        <w:rPr>
          <w:rtl/>
        </w:rPr>
      </w:pPr>
      <w:bookmarkStart w:id="6930" w:name="_Toc57323027"/>
      <w:bookmarkStart w:id="6931" w:name="_Toc57323136"/>
      <w:bookmarkStart w:id="6932" w:name="_Toc57370364"/>
      <w:bookmarkStart w:id="6933" w:name="_Toc57491532"/>
      <w:bookmarkStart w:id="6934" w:name="_Toc57495346"/>
      <w:bookmarkStart w:id="6935" w:name="_Toc57544488"/>
      <w:bookmarkStart w:id="6936" w:name="_Toc58184992"/>
      <w:r>
        <w:rPr>
          <w:rFonts w:hint="cs"/>
          <w:rtl/>
        </w:rPr>
        <w:t>קושית הרמב"ן על הרי"ף דכל שאינו במקום חרום ולא מחה אמרינן דהלך למקומו וודאי דמכר לו</w:t>
      </w:r>
      <w:bookmarkEnd w:id="6930"/>
      <w:bookmarkEnd w:id="6931"/>
      <w:bookmarkEnd w:id="6932"/>
      <w:bookmarkEnd w:id="6933"/>
      <w:bookmarkEnd w:id="6934"/>
      <w:bookmarkEnd w:id="6935"/>
      <w:bookmarkEnd w:id="6936"/>
      <w:r>
        <w:rPr>
          <w:rFonts w:hint="cs"/>
          <w:rtl/>
        </w:rPr>
        <w:t xml:space="preserve"> </w:t>
      </w:r>
    </w:p>
    <w:p w:rsidR="0019070E" w:rsidRDefault="0019070E" w:rsidP="007E4E81">
      <w:pPr>
        <w:pStyle w:val="a0"/>
        <w:rPr>
          <w:rtl/>
        </w:rPr>
      </w:pPr>
      <w:bookmarkStart w:id="6937" w:name="_Ref57321435"/>
      <w:r>
        <w:rPr>
          <w:rFonts w:hint="cs"/>
          <w:rtl/>
        </w:rPr>
        <w:t xml:space="preserve">במה שביאר </w:t>
      </w:r>
      <w:r w:rsidRPr="00EF2C6E">
        <w:rPr>
          <w:rStyle w:val="af9"/>
          <w:rFonts w:hint="cs"/>
          <w:rtl/>
        </w:rPr>
        <w:t>הרי"ף</w:t>
      </w:r>
      <w:r w:rsidRPr="00EF2C6E">
        <w:rPr>
          <w:rFonts w:hint="cs"/>
          <w:rtl/>
        </w:rPr>
        <w:t xml:space="preserve"> </w:t>
      </w:r>
      <w:r w:rsidRPr="00EF2C6E">
        <w:rPr>
          <w:rStyle w:val="af7"/>
          <w:rFonts w:eastAsia="Guttman Hodes" w:hint="cs"/>
          <w:rtl/>
        </w:rPr>
        <w:t xml:space="preserve">(עי' אות </w:t>
      </w:r>
      <w:r w:rsidRPr="00EF2C6E">
        <w:rPr>
          <w:rStyle w:val="af7"/>
          <w:rFonts w:eastAsia="Guttman Hodes"/>
          <w:rtl/>
        </w:rPr>
        <w:fldChar w:fldCharType="begin"/>
      </w:r>
      <w:r w:rsidRPr="00EF2C6E">
        <w:rPr>
          <w:rStyle w:val="af7"/>
          <w:rFonts w:eastAsia="Guttman Hodes"/>
          <w:rtl/>
        </w:rPr>
        <w:instrText xml:space="preserve"> </w:instrText>
      </w:r>
      <w:r w:rsidRPr="00EF2C6E">
        <w:rPr>
          <w:rStyle w:val="af7"/>
          <w:rFonts w:eastAsia="Guttman Hodes" w:hint="cs"/>
        </w:rPr>
        <w:instrText>REF</w:instrText>
      </w:r>
      <w:r w:rsidRPr="00EF2C6E">
        <w:rPr>
          <w:rStyle w:val="af7"/>
          <w:rFonts w:eastAsia="Guttman Hodes" w:hint="cs"/>
          <w:rtl/>
        </w:rPr>
        <w:instrText xml:space="preserve"> _</w:instrText>
      </w:r>
      <w:r w:rsidRPr="00EF2C6E">
        <w:rPr>
          <w:rStyle w:val="af7"/>
          <w:rFonts w:eastAsia="Guttman Hodes" w:hint="cs"/>
        </w:rPr>
        <w:instrText>Ref57320600 \r \h</w:instrText>
      </w:r>
      <w:r w:rsidRPr="00EF2C6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EF2C6E">
        <w:rPr>
          <w:rStyle w:val="af7"/>
          <w:rFonts w:eastAsia="Guttman Hodes"/>
          <w:rtl/>
        </w:rPr>
      </w:r>
      <w:r w:rsidRPr="00EF2C6E">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EF2C6E">
        <w:rPr>
          <w:rStyle w:val="af7"/>
          <w:rFonts w:eastAsia="Guttman Hodes"/>
          <w:rtl/>
        </w:rPr>
        <w:fldChar w:fldCharType="end"/>
      </w:r>
      <w:r w:rsidRPr="00EF2C6E">
        <w:rPr>
          <w:rStyle w:val="af7"/>
          <w:rFonts w:eastAsia="Guttman Hodes" w:hint="cs"/>
          <w:rtl/>
        </w:rPr>
        <w:t xml:space="preserve"> </w:t>
      </w:r>
      <w:r w:rsidRPr="00EF2C6E">
        <w:rPr>
          <w:rtl/>
        </w:rPr>
        <w:t>דטוען המערער למחזיק דלא יתכן שקנית ממני, כיון שאותו הזמן שאתה טוען שקנית ממני, לא הייתי בעיר,</w:t>
      </w:r>
      <w:r>
        <w:rPr>
          <w:rFonts w:hint="cs"/>
          <w:rtl/>
        </w:rPr>
        <w:t xml:space="preserve"> הקשה </w:t>
      </w:r>
      <w:r w:rsidRPr="00275129">
        <w:rPr>
          <w:rStyle w:val="af9"/>
          <w:rFonts w:hint="cs"/>
          <w:rtl/>
        </w:rPr>
        <w:t>הרמב"ן</w:t>
      </w:r>
      <w:r w:rsidRPr="007A096F">
        <w:rPr>
          <w:rStyle w:val="af7"/>
          <w:rFonts w:eastAsia="Guttman Hodes" w:hint="cs"/>
          <w:rtl/>
        </w:rPr>
        <w:t xml:space="preserve"> (ד"ה והפירוש)</w:t>
      </w:r>
      <w:r>
        <w:rPr>
          <w:rFonts w:hint="cs"/>
          <w:rtl/>
        </w:rPr>
        <w:t xml:space="preserve"> דהא אף שהמערער אינו נמצא בעיר, מ"מ כיון שאינו נמצא במקום חרום, א"כ היה לו למחות, וכל שלא מחה, ודאי שמכר למחזיק באותו הזמן שטוען המחזיק, דאמרינן שהמחזיק הלך למקום המערער, או שהמערער הלך למקום המחזיק, או ששלח שליח למחזיק ומכר לו, דאם לא מכר למחזיק א"כ אמאי לא מחה בו דהרי הוא לא היה במקום חרום. </w:t>
      </w:r>
      <w:r w:rsidRPr="00275129">
        <w:rPr>
          <w:rStyle w:val="afb"/>
          <w:rFonts w:hint="cs"/>
          <w:rtl/>
        </w:rPr>
        <w:t>[ועי'</w:t>
      </w:r>
      <w:r>
        <w:rPr>
          <w:rStyle w:val="afb"/>
          <w:rFonts w:hint="cs"/>
          <w:rtl/>
        </w:rPr>
        <w:t xml:space="preserve"> במה שתירץ</w:t>
      </w:r>
      <w:r w:rsidRPr="00275129">
        <w:rPr>
          <w:rStyle w:val="afb"/>
          <w:rFonts w:hint="cs"/>
          <w:rtl/>
        </w:rPr>
        <w:t xml:space="preserve"> </w:t>
      </w:r>
      <w:r w:rsidRPr="00275129">
        <w:rPr>
          <w:rStyle w:val="affa"/>
          <w:rFonts w:hint="cs"/>
          <w:rtl/>
        </w:rPr>
        <w:t>רבינו יונה</w:t>
      </w:r>
      <w:r w:rsidRPr="00275129">
        <w:rPr>
          <w:rStyle w:val="afb"/>
          <w:rFonts w:hint="cs"/>
          <w:rtl/>
        </w:rPr>
        <w:t xml:space="preserve"> </w:t>
      </w:r>
      <w:r w:rsidRPr="004416D8">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Ref57364805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נז)</w:t>
      </w:r>
      <w:r>
        <w:rPr>
          <w:rStyle w:val="aff6"/>
          <w:rtl/>
        </w:rPr>
        <w:fldChar w:fldCharType="end"/>
      </w:r>
      <w:r w:rsidRPr="00275129">
        <w:rPr>
          <w:rStyle w:val="afb"/>
          <w:rFonts w:hint="cs"/>
          <w:rtl/>
        </w:rPr>
        <w:t>].</w:t>
      </w:r>
      <w:bookmarkEnd w:id="6937"/>
    </w:p>
    <w:p w:rsidR="0019070E" w:rsidRDefault="0019070E" w:rsidP="0019070E">
      <w:pPr>
        <w:pStyle w:val="a3"/>
        <w:rPr>
          <w:rtl/>
        </w:rPr>
      </w:pPr>
      <w:bookmarkStart w:id="6938" w:name="_Toc58184993"/>
      <w:r>
        <w:rPr>
          <w:rFonts w:hint="cs"/>
          <w:rtl/>
        </w:rPr>
        <w:t>קושיות הרמב"ן והרא"ש על הרי"ף דאי הכא נאמן לטעון שלא היה בעיר א"כ כל חזקה ל"מ</w:t>
      </w:r>
      <w:bookmarkEnd w:id="6938"/>
      <w:r>
        <w:rPr>
          <w:rFonts w:hint="cs"/>
          <w:rtl/>
        </w:rPr>
        <w:t xml:space="preserve"> </w:t>
      </w:r>
    </w:p>
    <w:p w:rsidR="0019070E" w:rsidRDefault="0019070E" w:rsidP="007E4E81">
      <w:pPr>
        <w:pStyle w:val="a0"/>
        <w:rPr>
          <w:rtl/>
        </w:rPr>
      </w:pPr>
      <w:bookmarkStart w:id="6939" w:name="_Ref57367131"/>
      <w:r>
        <w:rPr>
          <w:rFonts w:hint="cs"/>
          <w:rtl/>
        </w:rPr>
        <w:t xml:space="preserve">והוסיף </w:t>
      </w:r>
      <w:r w:rsidRPr="00275129">
        <w:rPr>
          <w:rStyle w:val="af9"/>
          <w:rFonts w:hint="cs"/>
          <w:rtl/>
        </w:rPr>
        <w:t>הרמב"ן</w:t>
      </w:r>
      <w:r w:rsidRPr="002944BA">
        <w:rPr>
          <w:rStyle w:val="af7"/>
          <w:rFonts w:eastAsia="Guttman Hodes" w:hint="cs"/>
          <w:rtl/>
        </w:rPr>
        <w:t xml:space="preserve"> </w:t>
      </w:r>
      <w:r>
        <w:rPr>
          <w:rFonts w:hint="cs"/>
          <w:rtl/>
        </w:rPr>
        <w:t xml:space="preserve">להקשות דהאופן שביאר </w:t>
      </w:r>
      <w:r w:rsidRPr="00275129">
        <w:rPr>
          <w:rStyle w:val="af9"/>
          <w:rFonts w:hint="cs"/>
          <w:rtl/>
        </w:rPr>
        <w:t>הרי"ף</w:t>
      </w:r>
      <w:r>
        <w:rPr>
          <w:rFonts w:hint="cs"/>
          <w:rtl/>
        </w:rPr>
        <w:t xml:space="preserve"> הוא דומה לכל דיני חזקה, דהמערער אומר שלא מכר, והמחזיק אומר שקנה, ואנו מאמינים למחזיק כיון שהמערער לא מחה בו, וה"ה בסוגיין דהמחזיק נאמן לטעון שקנה, בכל אופן שטוען שהיה מעשה המכירה</w:t>
      </w:r>
      <w:bookmarkEnd w:id="6939"/>
      <w:r>
        <w:rPr>
          <w:rFonts w:hint="cs"/>
          <w:rtl/>
        </w:rPr>
        <w:t xml:space="preserve">, </w:t>
      </w:r>
      <w:bookmarkStart w:id="6940" w:name="_Toc57067192"/>
      <w:bookmarkStart w:id="6941" w:name="_Toc57234560"/>
      <w:bookmarkStart w:id="6942" w:name="_Toc57236148"/>
      <w:bookmarkStart w:id="6943" w:name="_Toc57310472"/>
      <w:bookmarkStart w:id="6944" w:name="_Toc57323029"/>
      <w:bookmarkStart w:id="6945" w:name="_Toc57323138"/>
      <w:r w:rsidRPr="00505B8C">
        <w:rPr>
          <w:rStyle w:val="af9"/>
          <w:rFonts w:hint="cs"/>
          <w:rtl/>
        </w:rPr>
        <w:t>והרא"ש</w:t>
      </w:r>
      <w:r>
        <w:rPr>
          <w:rFonts w:hint="cs"/>
          <w:rtl/>
        </w:rPr>
        <w:t xml:space="preserve"> </w:t>
      </w:r>
      <w:r w:rsidRPr="002944BA">
        <w:rPr>
          <w:rStyle w:val="af7"/>
          <w:rFonts w:eastAsia="Guttman Hodes" w:hint="cs"/>
          <w:rtl/>
        </w:rPr>
        <w:t xml:space="preserve">(סי' ד' ה') </w:t>
      </w:r>
      <w:r>
        <w:rPr>
          <w:rFonts w:hint="cs"/>
          <w:rtl/>
        </w:rPr>
        <w:t xml:space="preserve">הקשה על </w:t>
      </w:r>
      <w:r w:rsidRPr="00505B8C">
        <w:rPr>
          <w:rStyle w:val="af9"/>
          <w:rFonts w:hint="cs"/>
          <w:rtl/>
        </w:rPr>
        <w:t>הרי"ף</w:t>
      </w:r>
      <w:r>
        <w:rPr>
          <w:rFonts w:hint="cs"/>
          <w:rtl/>
        </w:rPr>
        <w:t xml:space="preserve"> דכיון שהחזקה היא במקום השטר, א"כ אמאי נאמן המערער לומר שלא היה באותה העיר בזמן שטוען המחזיק שקנה ממנו, ולפי"ז לעולם לא מהני החזקה, דהיאך המחזיק יכול להביא עדים שראו אותו באותו היום.</w:t>
      </w:r>
    </w:p>
    <w:p w:rsidR="0019070E" w:rsidRPr="00C61BD5" w:rsidRDefault="0019070E" w:rsidP="0019070E">
      <w:pPr>
        <w:pStyle w:val="a3"/>
        <w:rPr>
          <w:rtl/>
        </w:rPr>
      </w:pPr>
      <w:bookmarkStart w:id="6946" w:name="_Toc57370367"/>
      <w:bookmarkStart w:id="6947" w:name="_Toc57491535"/>
      <w:bookmarkStart w:id="6948" w:name="_Toc57495349"/>
      <w:bookmarkStart w:id="6949" w:name="_Toc57544491"/>
      <w:bookmarkStart w:id="6950" w:name="_Toc58184994"/>
      <w:bookmarkEnd w:id="6940"/>
      <w:bookmarkEnd w:id="6941"/>
      <w:bookmarkEnd w:id="6942"/>
      <w:bookmarkEnd w:id="6943"/>
      <w:bookmarkEnd w:id="6944"/>
      <w:bookmarkEnd w:id="6945"/>
      <w:r>
        <w:rPr>
          <w:rFonts w:hint="cs"/>
          <w:rtl/>
        </w:rPr>
        <w:t>קושית רבינו יונה על הר"ח והרי"ף דבחזקת ג"ש א"א להסתפק מחמת טענות המערער</w:t>
      </w:r>
      <w:bookmarkEnd w:id="6946"/>
      <w:bookmarkEnd w:id="6947"/>
      <w:bookmarkEnd w:id="6948"/>
      <w:bookmarkEnd w:id="6949"/>
      <w:bookmarkEnd w:id="6950"/>
    </w:p>
    <w:p w:rsidR="0019070E" w:rsidRDefault="0019070E" w:rsidP="007E4E81">
      <w:pPr>
        <w:pStyle w:val="a0"/>
        <w:rPr>
          <w:rtl/>
        </w:rPr>
      </w:pPr>
      <w:bookmarkStart w:id="6951" w:name="_Ref57367137"/>
      <w:r>
        <w:rPr>
          <w:rStyle w:val="af9"/>
          <w:rFonts w:hint="cs"/>
          <w:rtl/>
        </w:rPr>
        <w:t>ו</w:t>
      </w:r>
      <w:r w:rsidRPr="00505B8C">
        <w:rPr>
          <w:rStyle w:val="af9"/>
          <w:rFonts w:hint="cs"/>
          <w:rtl/>
        </w:rPr>
        <w:t>רבינו יונה</w:t>
      </w:r>
      <w:r>
        <w:rPr>
          <w:rFonts w:hint="cs"/>
          <w:rtl/>
        </w:rPr>
        <w:t xml:space="preserve"> </w:t>
      </w:r>
      <w:r w:rsidRPr="00983836">
        <w:rPr>
          <w:rStyle w:val="af7"/>
          <w:rFonts w:eastAsia="Guttman Hodes" w:hint="cs"/>
          <w:rtl/>
        </w:rPr>
        <w:t>(ד"ה א"ל רבא)</w:t>
      </w:r>
      <w:r>
        <w:rPr>
          <w:rFonts w:hint="cs"/>
          <w:rtl/>
        </w:rPr>
        <w:t xml:space="preserve"> הקשה על </w:t>
      </w:r>
      <w:r w:rsidRPr="00505B8C">
        <w:rPr>
          <w:rStyle w:val="af9"/>
          <w:rFonts w:hint="cs"/>
          <w:rtl/>
        </w:rPr>
        <w:t>הר"ח והרי"ף</w:t>
      </w:r>
      <w:r>
        <w:rPr>
          <w:rFonts w:hint="cs"/>
          <w:rtl/>
        </w:rPr>
        <w:t xml:space="preserve"> דכיון שהראשון החזיק ג"ש א"כ יש לו חזקה שמוכיחה שקנה מהמערער, וממילא אין אנו יכולים להסתפק בטענתו ולומר שלא היה עם המחזיק באותה העיר לפני שהתחיל את החזקת ג"ש.</w:t>
      </w:r>
      <w:bookmarkEnd w:id="6951"/>
    </w:p>
    <w:p w:rsidR="0019070E" w:rsidRPr="00C54728" w:rsidRDefault="0019070E" w:rsidP="0019070E">
      <w:pPr>
        <w:pStyle w:val="a3"/>
      </w:pPr>
      <w:bookmarkStart w:id="6952" w:name="_Toc57370368"/>
      <w:bookmarkStart w:id="6953" w:name="_Toc57491536"/>
      <w:bookmarkStart w:id="6954" w:name="_Toc57495350"/>
      <w:bookmarkStart w:id="6955" w:name="_Toc57544492"/>
      <w:bookmarkStart w:id="6956" w:name="_Toc58184995"/>
      <w:r>
        <w:rPr>
          <w:rFonts w:hint="cs"/>
          <w:rtl/>
        </w:rPr>
        <w:t>קושיות רבינו יונה ושא"ר דמשמע דהיה בשכוני גוואי בזמן החזקה ולא בזמן המקח</w:t>
      </w:r>
      <w:bookmarkEnd w:id="6952"/>
      <w:bookmarkEnd w:id="6953"/>
      <w:bookmarkEnd w:id="6954"/>
      <w:bookmarkEnd w:id="6955"/>
      <w:bookmarkEnd w:id="6956"/>
    </w:p>
    <w:p w:rsidR="0019070E" w:rsidRDefault="0019070E" w:rsidP="007E4E81">
      <w:pPr>
        <w:pStyle w:val="a0"/>
        <w:rPr>
          <w:rtl/>
        </w:rPr>
      </w:pPr>
      <w:r>
        <w:rPr>
          <w:rFonts w:hint="cs"/>
          <w:rtl/>
        </w:rPr>
        <w:t xml:space="preserve">והוסיף </w:t>
      </w:r>
      <w:r w:rsidRPr="00275129">
        <w:rPr>
          <w:rStyle w:val="af9"/>
          <w:rFonts w:hint="cs"/>
          <w:rtl/>
        </w:rPr>
        <w:t>רבינו יונה</w:t>
      </w:r>
      <w:r>
        <w:rPr>
          <w:rFonts w:hint="cs"/>
          <w:rtl/>
        </w:rPr>
        <w:t xml:space="preserve"> להקשות דלדברי </w:t>
      </w:r>
      <w:r w:rsidRPr="00275129">
        <w:rPr>
          <w:rStyle w:val="af9"/>
          <w:rFonts w:hint="cs"/>
          <w:rtl/>
        </w:rPr>
        <w:t>הר"ח והרי"ף</w:t>
      </w:r>
      <w:r>
        <w:rPr>
          <w:rFonts w:hint="cs"/>
          <w:rtl/>
        </w:rPr>
        <w:t xml:space="preserve"> היה לגמ' לומר דטוען המחזיק מינך זבנתיה "ביום פלן" ואכלתיה שני חזקה, וכן הקשה </w:t>
      </w:r>
      <w:r w:rsidRPr="00B1429A">
        <w:rPr>
          <w:rStyle w:val="af9"/>
          <w:rFonts w:hint="cs"/>
          <w:rtl/>
        </w:rPr>
        <w:t>הראב"ד בשיטמ"ק</w:t>
      </w:r>
      <w:r>
        <w:rPr>
          <w:rFonts w:hint="cs"/>
          <w:rtl/>
        </w:rPr>
        <w:t xml:space="preserve"> </w:t>
      </w:r>
      <w:r w:rsidRPr="00B1429A">
        <w:rPr>
          <w:rStyle w:val="af7"/>
          <w:rFonts w:eastAsia="Guttman Hodes" w:hint="cs"/>
          <w:rtl/>
        </w:rPr>
        <w:t>(ד"ה ההוא</w:t>
      </w:r>
      <w:r>
        <w:rPr>
          <w:rStyle w:val="af7"/>
          <w:rFonts w:eastAsia="Guttman Hodes" w:hint="cs"/>
          <w:rtl/>
        </w:rPr>
        <w:t>)</w:t>
      </w:r>
      <w:r>
        <w:rPr>
          <w:rFonts w:hint="cs"/>
          <w:rtl/>
        </w:rPr>
        <w:t xml:space="preserve">, וכן הקשו </w:t>
      </w:r>
      <w:r w:rsidRPr="002315D1">
        <w:rPr>
          <w:rStyle w:val="af9"/>
          <w:rFonts w:hint="cs"/>
          <w:rtl/>
        </w:rPr>
        <w:t>הרשב"א</w:t>
      </w:r>
      <w:r>
        <w:rPr>
          <w:rFonts w:hint="cs"/>
          <w:rtl/>
        </w:rPr>
        <w:t xml:space="preserve"> </w:t>
      </w:r>
      <w:r w:rsidRPr="00B1429A">
        <w:rPr>
          <w:rStyle w:val="af7"/>
          <w:rFonts w:eastAsia="Guttman Hodes" w:hint="cs"/>
          <w:rtl/>
        </w:rPr>
        <w:t xml:space="preserve">(ד"ה ההוא) </w:t>
      </w:r>
      <w:r w:rsidRPr="002315D1">
        <w:rPr>
          <w:rStyle w:val="af9"/>
          <w:rFonts w:hint="cs"/>
          <w:rtl/>
        </w:rPr>
        <w:t>והריטב"א</w:t>
      </w:r>
      <w:r w:rsidRPr="00B1429A">
        <w:rPr>
          <w:rStyle w:val="af7"/>
          <w:rFonts w:eastAsia="Guttman Hodes" w:hint="cs"/>
          <w:rtl/>
        </w:rPr>
        <w:t xml:space="preserve"> (ד"ה א"ל)</w:t>
      </w:r>
      <w:r>
        <w:rPr>
          <w:rFonts w:hint="cs"/>
          <w:rtl/>
        </w:rPr>
        <w:t xml:space="preserve">, וכן הקשה </w:t>
      </w:r>
      <w:r w:rsidRPr="00275129">
        <w:rPr>
          <w:rStyle w:val="af9"/>
          <w:rFonts w:hint="cs"/>
          <w:rtl/>
        </w:rPr>
        <w:t>הרא"ש</w:t>
      </w:r>
      <w:r>
        <w:rPr>
          <w:rFonts w:hint="cs"/>
          <w:rtl/>
        </w:rPr>
        <w:t xml:space="preserve"> </w:t>
      </w:r>
      <w:r w:rsidRPr="00B1429A">
        <w:rPr>
          <w:rStyle w:val="af7"/>
          <w:rFonts w:eastAsia="Guttman Hodes" w:hint="cs"/>
          <w:rtl/>
        </w:rPr>
        <w:t>(סי' ד' ה')</w:t>
      </w:r>
      <w:r>
        <w:rPr>
          <w:rFonts w:hint="cs"/>
          <w:rtl/>
        </w:rPr>
        <w:t xml:space="preserve"> דעיקר הטענות של המחזיק והמערער חסרים מן הספר, דהיה למחזיק לומר שקנה ביום פלוני, כדי שתשובת המערער תהיה על טענת המחזיק שקנה באותו היום, והוסיף </w:t>
      </w:r>
      <w:r w:rsidRPr="00275129">
        <w:rPr>
          <w:rStyle w:val="af9"/>
          <w:rFonts w:hint="cs"/>
          <w:rtl/>
        </w:rPr>
        <w:t>רבינו יונה</w:t>
      </w:r>
      <w:r>
        <w:rPr>
          <w:rFonts w:hint="cs"/>
          <w:rtl/>
        </w:rPr>
        <w:t xml:space="preserve"> דרק בכה"ג אפש"ל דמה שאמר המערער שהיה בשכוני גוואי,</w:t>
      </w:r>
      <w:r w:rsidRPr="008F730F">
        <w:rPr>
          <w:rFonts w:hint="cs"/>
          <w:rtl/>
        </w:rPr>
        <w:t xml:space="preserve"> </w:t>
      </w:r>
      <w:r>
        <w:rPr>
          <w:rFonts w:hint="cs"/>
          <w:rtl/>
        </w:rPr>
        <w:t>כוונתו על תחילת שני החזקה, דבזמן שהמחזיק טוען שקנה ממנו, טוען היה המערער בשכוני גוואי, אבל כיון דטענת המחזיק היא רק שאכל שני חזקה, א"כ משמע דמה שאמר לו המערער שהיה בשכוני גוואי, כוונתו לזמן החזקה, ולא לזמן המקח שלפני החזקה, וכמו בשוקי בראי הואי דהיינו בזמן החזקה</w:t>
      </w:r>
      <w:r w:rsidR="003A2A3C">
        <w:rPr>
          <w:rStyle w:val="af1"/>
          <w:rtl/>
        </w:rPr>
        <w:footnoteReference w:id="42"/>
      </w:r>
      <w:r>
        <w:rPr>
          <w:rFonts w:hint="cs"/>
          <w:rtl/>
        </w:rPr>
        <w:t>.</w:t>
      </w:r>
    </w:p>
    <w:p w:rsidR="00DA08C5" w:rsidRPr="00DA08C5" w:rsidRDefault="00DA08C5" w:rsidP="00DA08C5">
      <w:pPr>
        <w:pStyle w:val="a3"/>
        <w:rPr>
          <w:rtl/>
        </w:rPr>
      </w:pPr>
    </w:p>
    <w:p w:rsidR="00DA08C5" w:rsidRPr="00DA08C5" w:rsidRDefault="00DA08C5" w:rsidP="00DA08C5">
      <w:pPr>
        <w:pStyle w:val="a3"/>
        <w:rPr>
          <w:rtl/>
        </w:rPr>
      </w:pPr>
    </w:p>
    <w:p w:rsidR="0019070E" w:rsidRPr="00390C82" w:rsidRDefault="0019070E" w:rsidP="0019070E">
      <w:pPr>
        <w:pStyle w:val="a3"/>
        <w:rPr>
          <w:rtl/>
        </w:rPr>
      </w:pPr>
      <w:bookmarkStart w:id="6957" w:name="_Toc58184996"/>
      <w:bookmarkStart w:id="6958" w:name="_Toc57370369"/>
      <w:bookmarkStart w:id="6959" w:name="_Toc57491537"/>
      <w:bookmarkStart w:id="6960" w:name="_Toc57495351"/>
      <w:bookmarkStart w:id="6961" w:name="_Toc57544493"/>
      <w:r>
        <w:rPr>
          <w:rFonts w:hint="cs"/>
          <w:rtl/>
        </w:rPr>
        <w:lastRenderedPageBreak/>
        <w:t>קושית הראב"ד על הרי"ף דאף אם הוכחש המחזיק ביום המכירה א"א להוציא ממנו בזה</w:t>
      </w:r>
      <w:bookmarkEnd w:id="6957"/>
    </w:p>
    <w:p w:rsidR="0019070E" w:rsidRDefault="0019070E" w:rsidP="007E4E81">
      <w:pPr>
        <w:pStyle w:val="a0"/>
        <w:rPr>
          <w:rtl/>
        </w:rPr>
      </w:pPr>
      <w:r w:rsidRPr="00390C82">
        <w:rPr>
          <w:rStyle w:val="af9"/>
          <w:rFonts w:hint="cs"/>
          <w:rtl/>
        </w:rPr>
        <w:t>והראב"ד בשיטמ"ק</w:t>
      </w:r>
      <w:r>
        <w:rPr>
          <w:rFonts w:hint="cs"/>
          <w:rtl/>
        </w:rPr>
        <w:t xml:space="preserve"> </w:t>
      </w:r>
      <w:r w:rsidRPr="00390C82">
        <w:rPr>
          <w:rStyle w:val="af7"/>
          <w:rFonts w:eastAsia="Guttman Hodes" w:hint="cs"/>
          <w:rtl/>
        </w:rPr>
        <w:t>(ד"ה ההוא)</w:t>
      </w:r>
      <w:r>
        <w:rPr>
          <w:rFonts w:hint="cs"/>
          <w:rtl/>
        </w:rPr>
        <w:t xml:space="preserve"> הקשה על </w:t>
      </w:r>
      <w:r w:rsidRPr="00390C82">
        <w:rPr>
          <w:rStyle w:val="af9"/>
          <w:rFonts w:hint="cs"/>
          <w:rtl/>
        </w:rPr>
        <w:t>הרי"ף</w:t>
      </w:r>
      <w:r>
        <w:rPr>
          <w:rFonts w:hint="cs"/>
          <w:rtl/>
        </w:rPr>
        <w:t xml:space="preserve"> </w:t>
      </w:r>
      <w:r w:rsidRPr="00EF2C6E">
        <w:rPr>
          <w:rStyle w:val="af7"/>
          <w:rFonts w:eastAsia="Guttman Hodes" w:hint="cs"/>
          <w:rtl/>
        </w:rPr>
        <w:t xml:space="preserve">(עי' אות </w:t>
      </w:r>
      <w:r w:rsidRPr="00EF2C6E">
        <w:rPr>
          <w:rStyle w:val="af7"/>
          <w:rFonts w:eastAsia="Guttman Hodes"/>
          <w:rtl/>
        </w:rPr>
        <w:fldChar w:fldCharType="begin"/>
      </w:r>
      <w:r w:rsidRPr="00EF2C6E">
        <w:rPr>
          <w:rStyle w:val="af7"/>
          <w:rFonts w:eastAsia="Guttman Hodes"/>
          <w:rtl/>
        </w:rPr>
        <w:instrText xml:space="preserve"> </w:instrText>
      </w:r>
      <w:r w:rsidRPr="00EF2C6E">
        <w:rPr>
          <w:rStyle w:val="af7"/>
          <w:rFonts w:eastAsia="Guttman Hodes" w:hint="cs"/>
        </w:rPr>
        <w:instrText>REF</w:instrText>
      </w:r>
      <w:r w:rsidRPr="00EF2C6E">
        <w:rPr>
          <w:rStyle w:val="af7"/>
          <w:rFonts w:eastAsia="Guttman Hodes" w:hint="cs"/>
          <w:rtl/>
        </w:rPr>
        <w:instrText xml:space="preserve"> _</w:instrText>
      </w:r>
      <w:r w:rsidRPr="00EF2C6E">
        <w:rPr>
          <w:rStyle w:val="af7"/>
          <w:rFonts w:eastAsia="Guttman Hodes" w:hint="cs"/>
        </w:rPr>
        <w:instrText>Ref57320600 \r \h</w:instrText>
      </w:r>
      <w:r w:rsidRPr="00EF2C6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EF2C6E">
        <w:rPr>
          <w:rStyle w:val="af7"/>
          <w:rFonts w:eastAsia="Guttman Hodes"/>
          <w:rtl/>
        </w:rPr>
      </w:r>
      <w:r w:rsidRPr="00EF2C6E">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EF2C6E">
        <w:rPr>
          <w:rStyle w:val="af7"/>
          <w:rFonts w:eastAsia="Guttman Hodes"/>
          <w:rtl/>
        </w:rPr>
        <w:fldChar w:fldCharType="end"/>
      </w:r>
      <w:r>
        <w:rPr>
          <w:rFonts w:hint="cs"/>
          <w:rtl/>
        </w:rPr>
        <w:t xml:space="preserve"> דאף אם אמר המחזיק שקנה ממנו ביום פלוני, האיך אפשר לתפוס אותו על דבריו, והא אף אם יש עדים שמכחישים את דבריו ג"כ נאמן</w:t>
      </w:r>
      <w:r w:rsidR="00A77F33">
        <w:rPr>
          <w:rFonts w:hint="cs"/>
          <w:rtl/>
        </w:rPr>
        <w:t xml:space="preserve"> </w:t>
      </w:r>
      <w:r>
        <w:rPr>
          <w:rFonts w:hint="cs"/>
          <w:rtl/>
        </w:rPr>
        <w:t>דאי"ז כחקירות של עדים שדוחים אותו מחזקתו אם יאמר שטעה ביום המכירה, והא כל מילתא דלא רמיא עליה דאיניש לאו אדעתיה, ועוד דאטו אם יאמר המוכר שבאותו היום היה חולה ולא דיבר עם שום אדם האם יהיה נאמן.</w:t>
      </w:r>
    </w:p>
    <w:p w:rsidR="0019070E" w:rsidRPr="00390C82" w:rsidRDefault="0019070E" w:rsidP="0019070E">
      <w:pPr>
        <w:pStyle w:val="a3"/>
      </w:pPr>
      <w:bookmarkStart w:id="6962" w:name="_Toc58184997"/>
      <w:r>
        <w:rPr>
          <w:rFonts w:hint="cs"/>
          <w:rtl/>
        </w:rPr>
        <w:t>דברי הראב"ד דאפשר להעמיד את הרי"ף כשכל החודש היה במק"א והמחזיק נראה כמערים</w:t>
      </w:r>
      <w:bookmarkEnd w:id="6962"/>
    </w:p>
    <w:p w:rsidR="0019070E" w:rsidRPr="00B70290" w:rsidRDefault="0019070E" w:rsidP="007E4E81">
      <w:pPr>
        <w:pStyle w:val="a0"/>
        <w:rPr>
          <w:rtl/>
        </w:rPr>
      </w:pPr>
      <w:r>
        <w:rPr>
          <w:rFonts w:hint="cs"/>
          <w:rtl/>
        </w:rPr>
        <w:t xml:space="preserve">וכתב </w:t>
      </w:r>
      <w:r w:rsidRPr="00390C82">
        <w:rPr>
          <w:rStyle w:val="af9"/>
          <w:rFonts w:hint="cs"/>
          <w:rtl/>
        </w:rPr>
        <w:t>הראב"ד בשיטמ"ק</w:t>
      </w:r>
      <w:r>
        <w:rPr>
          <w:rFonts w:hint="cs"/>
          <w:rtl/>
        </w:rPr>
        <w:t xml:space="preserve"> דאפשר להעמיד את ביאור </w:t>
      </w:r>
      <w:r w:rsidRPr="00390C82">
        <w:rPr>
          <w:rStyle w:val="af9"/>
          <w:rFonts w:hint="cs"/>
          <w:rtl/>
        </w:rPr>
        <w:t>הרי"ף</w:t>
      </w:r>
      <w:r>
        <w:rPr>
          <w:rFonts w:hint="cs"/>
          <w:rtl/>
        </w:rPr>
        <w:t xml:space="preserve"> כשטוען המערער שבכל אותו החודש יש לו עדים שהיה במרחק גדול מהמחזיק, וטען המחזיק שדיבר עמו המוכר לפני אותו הזמן, והם קבעו שבכל מקום שיהיה המוכר יכתוב לו שטר, ויקבל את המעות על המכירה, וקיבלת ממך שטר ואבד לי, וכתב </w:t>
      </w:r>
      <w:r w:rsidRPr="00390C82">
        <w:rPr>
          <w:rStyle w:val="af9"/>
          <w:rFonts w:hint="cs"/>
          <w:rtl/>
        </w:rPr>
        <w:t>הראב"ד בשיטמ"ק</w:t>
      </w:r>
      <w:r>
        <w:rPr>
          <w:rFonts w:hint="cs"/>
          <w:rtl/>
        </w:rPr>
        <w:t xml:space="preserve"> דאמר ר"נ דטענת המחזיק נראית כתחבולה, כיון שיש עדים שלא היה עמו בכל אותו החודש, ולכן על המחזיק להביא ראיה, אך כתב </w:t>
      </w:r>
      <w:r w:rsidRPr="00390C82">
        <w:rPr>
          <w:rStyle w:val="af9"/>
          <w:rFonts w:hint="cs"/>
          <w:rtl/>
        </w:rPr>
        <w:t>הראב"ד</w:t>
      </w:r>
      <w:r>
        <w:rPr>
          <w:rFonts w:hint="cs"/>
          <w:rtl/>
        </w:rPr>
        <w:t xml:space="preserve"> דעדיין ביאור </w:t>
      </w:r>
      <w:r w:rsidRPr="00390C82">
        <w:rPr>
          <w:rStyle w:val="af9"/>
          <w:rFonts w:hint="cs"/>
          <w:rtl/>
        </w:rPr>
        <w:t>הרי"ף</w:t>
      </w:r>
      <w:r>
        <w:rPr>
          <w:rFonts w:hint="cs"/>
          <w:rtl/>
        </w:rPr>
        <w:t xml:space="preserve"> הוא דוחק, ואפשר לפרש בפשטות דהיינו במקום רחוק.</w:t>
      </w:r>
    </w:p>
    <w:p w:rsidR="0019070E" w:rsidRPr="00C1288B" w:rsidRDefault="0019070E" w:rsidP="0019070E">
      <w:pPr>
        <w:pStyle w:val="a3"/>
        <w:rPr>
          <w:rtl/>
        </w:rPr>
      </w:pPr>
      <w:bookmarkStart w:id="6963" w:name="_Toc58184998"/>
      <w:r w:rsidRPr="00C4632C">
        <w:rPr>
          <w:rFonts w:hint="cs"/>
          <w:rtl/>
        </w:rPr>
        <w:t>קושית הרא"ש דמעשים בכל יום שאדם מוסר נכסיו לשליח ועוד דלשון הגמ' משמע כרשב"ם</w:t>
      </w:r>
      <w:bookmarkEnd w:id="6958"/>
      <w:bookmarkEnd w:id="6959"/>
      <w:bookmarkEnd w:id="6960"/>
      <w:bookmarkEnd w:id="6961"/>
      <w:bookmarkEnd w:id="6963"/>
    </w:p>
    <w:p w:rsidR="0019070E" w:rsidRDefault="0019070E" w:rsidP="007E4E81">
      <w:pPr>
        <w:pStyle w:val="a0"/>
        <w:rPr>
          <w:rtl/>
        </w:rPr>
      </w:pPr>
      <w:bookmarkStart w:id="6964" w:name="_Ref57364685"/>
      <w:r>
        <w:rPr>
          <w:rFonts w:hint="cs"/>
          <w:rtl/>
        </w:rPr>
        <w:t xml:space="preserve">וכתב </w:t>
      </w:r>
      <w:r w:rsidRPr="00275129">
        <w:rPr>
          <w:rStyle w:val="af9"/>
          <w:rFonts w:hint="cs"/>
          <w:rtl/>
        </w:rPr>
        <w:t>הרא"ש</w:t>
      </w:r>
      <w:r>
        <w:rPr>
          <w:rFonts w:hint="cs"/>
          <w:rtl/>
        </w:rPr>
        <w:t xml:space="preserve"> </w:t>
      </w:r>
      <w:r w:rsidRPr="00E16D7E">
        <w:rPr>
          <w:rStyle w:val="af7"/>
          <w:rFonts w:eastAsia="Guttman Hodes" w:hint="cs"/>
          <w:rtl/>
        </w:rPr>
        <w:t>(סי' ד' ה')</w:t>
      </w:r>
      <w:r>
        <w:rPr>
          <w:rFonts w:hint="cs"/>
          <w:rtl/>
        </w:rPr>
        <w:t xml:space="preserve"> דאפש"ל דאיירי באופן שהיה ידוע שמערער היה במקום רחוק זמן רב, ולכן אמר ר"נ למחזיק שיברר את אכילתו, אך דחה </w:t>
      </w:r>
      <w:r w:rsidRPr="00387BA5">
        <w:rPr>
          <w:rStyle w:val="af9"/>
          <w:rFonts w:hint="cs"/>
          <w:rtl/>
        </w:rPr>
        <w:t>הרא"ש</w:t>
      </w:r>
      <w:r>
        <w:rPr>
          <w:rFonts w:hint="cs"/>
          <w:rtl/>
        </w:rPr>
        <w:t xml:space="preserve"> דהא מעשים שבכל יום דאדם מוסר את נכסיו לשליח, וא"כ כל שהיה המערער במקום שהשיירות מצויות הוי חזקה, </w:t>
      </w:r>
      <w:r w:rsidRPr="00387BA5">
        <w:rPr>
          <w:rStyle w:val="afb"/>
          <w:rFonts w:hint="cs"/>
          <w:rtl/>
        </w:rPr>
        <w:t>[דהשליח יכול להודיע לו]</w:t>
      </w:r>
      <w:r>
        <w:rPr>
          <w:rStyle w:val="afb"/>
          <w:rFonts w:hint="cs"/>
          <w:rtl/>
        </w:rPr>
        <w:t xml:space="preserve">, </w:t>
      </w:r>
      <w:r>
        <w:rPr>
          <w:rFonts w:hint="cs"/>
          <w:rtl/>
        </w:rPr>
        <w:t xml:space="preserve">ועוד הקשה </w:t>
      </w:r>
      <w:r w:rsidRPr="00275129">
        <w:rPr>
          <w:rStyle w:val="af9"/>
          <w:rFonts w:hint="cs"/>
          <w:rtl/>
        </w:rPr>
        <w:t>הרא"ש</w:t>
      </w:r>
      <w:r>
        <w:rPr>
          <w:rFonts w:hint="cs"/>
          <w:rtl/>
        </w:rPr>
        <w:t xml:space="preserve"> על </w:t>
      </w:r>
      <w:r w:rsidRPr="00275129">
        <w:rPr>
          <w:rStyle w:val="af9"/>
          <w:rFonts w:hint="cs"/>
          <w:rtl/>
        </w:rPr>
        <w:t>הרי"ף</w:t>
      </w:r>
      <w:r>
        <w:rPr>
          <w:rFonts w:hint="cs"/>
          <w:rtl/>
        </w:rPr>
        <w:t xml:space="preserve"> דהלשון שכוני גוואי משמע רק כביאור </w:t>
      </w:r>
      <w:r w:rsidRPr="00275129">
        <w:rPr>
          <w:rStyle w:val="af9"/>
          <w:rFonts w:hint="cs"/>
          <w:rtl/>
        </w:rPr>
        <w:t>הרשב"ם</w:t>
      </w:r>
      <w:r w:rsidRPr="007A096F">
        <w:rPr>
          <w:rStyle w:val="af7"/>
          <w:rFonts w:eastAsia="Guttman Hodes" w:hint="cs"/>
          <w:rtl/>
        </w:rPr>
        <w:t xml:space="preserve"> (עי' אות </w:t>
      </w:r>
      <w:r w:rsidRPr="007A096F">
        <w:rPr>
          <w:rStyle w:val="af7"/>
          <w:rFonts w:eastAsia="Guttman Hodes"/>
          <w:rtl/>
        </w:rPr>
        <w:fldChar w:fldCharType="begin"/>
      </w:r>
      <w:r w:rsidRPr="007A096F">
        <w:rPr>
          <w:rStyle w:val="af7"/>
          <w:rFonts w:eastAsia="Guttman Hodes"/>
          <w:rtl/>
        </w:rPr>
        <w:instrText xml:space="preserve"> </w:instrText>
      </w:r>
      <w:r w:rsidRPr="007A096F">
        <w:rPr>
          <w:rStyle w:val="af7"/>
          <w:rFonts w:eastAsia="Guttman Hodes" w:hint="cs"/>
        </w:rPr>
        <w:instrText>REF</w:instrText>
      </w:r>
      <w:r w:rsidRPr="007A096F">
        <w:rPr>
          <w:rStyle w:val="af7"/>
          <w:rFonts w:eastAsia="Guttman Hodes" w:hint="cs"/>
          <w:rtl/>
        </w:rPr>
        <w:instrText xml:space="preserve"> _</w:instrText>
      </w:r>
      <w:r w:rsidRPr="007A096F">
        <w:rPr>
          <w:rStyle w:val="af7"/>
          <w:rFonts w:eastAsia="Guttman Hodes" w:hint="cs"/>
        </w:rPr>
        <w:instrText>Ref56936382 \r \h</w:instrText>
      </w:r>
      <w:r w:rsidRPr="007A096F">
        <w:rPr>
          <w:rStyle w:val="af7"/>
          <w:rFonts w:eastAsia="Guttman Hodes"/>
          <w:rtl/>
        </w:rPr>
        <w:instrText xml:space="preserve"> </w:instrText>
      </w:r>
      <w:r w:rsidRPr="007A096F">
        <w:rPr>
          <w:rStyle w:val="af7"/>
          <w:rFonts w:eastAsia="Guttman Hodes"/>
          <w:rtl/>
        </w:rPr>
      </w:r>
      <w:r w:rsidRPr="007A096F">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7A096F">
        <w:rPr>
          <w:rStyle w:val="af7"/>
          <w:rFonts w:eastAsia="Guttman Hodes"/>
          <w:rtl/>
        </w:rPr>
        <w:fldChar w:fldCharType="end"/>
      </w:r>
      <w:r>
        <w:rPr>
          <w:rFonts w:hint="cs"/>
          <w:rtl/>
        </w:rPr>
        <w:t>, ולא משמע כשום פירוש אחר.</w:t>
      </w:r>
      <w:bookmarkEnd w:id="6964"/>
    </w:p>
    <w:p w:rsidR="0019070E" w:rsidRDefault="0019070E" w:rsidP="0019070E">
      <w:pPr>
        <w:pStyle w:val="a3"/>
        <w:rPr>
          <w:rtl/>
        </w:rPr>
      </w:pPr>
      <w:bookmarkStart w:id="6965" w:name="_Toc57370362"/>
      <w:bookmarkStart w:id="6966" w:name="_Toc57491538"/>
      <w:bookmarkStart w:id="6967" w:name="_Toc57495352"/>
      <w:bookmarkStart w:id="6968" w:name="_Toc57544494"/>
      <w:bookmarkStart w:id="6969" w:name="_Toc58184999"/>
      <w:bookmarkStart w:id="6970" w:name="_Toc57370370"/>
      <w:r>
        <w:rPr>
          <w:rFonts w:hint="cs"/>
          <w:rtl/>
        </w:rPr>
        <w:t>ביאור רבינו יונה בר"ח וברי"ף דא"א לומר דמכר ע"י שליח דאין אדם מוכר כשאינו בעיר</w:t>
      </w:r>
      <w:bookmarkEnd w:id="6965"/>
      <w:bookmarkEnd w:id="6966"/>
      <w:bookmarkEnd w:id="6967"/>
      <w:bookmarkEnd w:id="6968"/>
      <w:bookmarkEnd w:id="6969"/>
    </w:p>
    <w:p w:rsidR="0019070E" w:rsidRPr="00505B8C" w:rsidRDefault="0019070E" w:rsidP="007E4E81">
      <w:pPr>
        <w:pStyle w:val="a0"/>
        <w:rPr>
          <w:rStyle w:val="afb"/>
          <w:rtl/>
        </w:rPr>
      </w:pPr>
      <w:bookmarkStart w:id="6971" w:name="_Ref57364805"/>
      <w:r>
        <w:rPr>
          <w:rFonts w:hint="cs"/>
          <w:rtl/>
        </w:rPr>
        <w:t xml:space="preserve">אך כתב </w:t>
      </w:r>
      <w:r w:rsidRPr="00983836">
        <w:rPr>
          <w:rStyle w:val="af9"/>
          <w:rFonts w:hint="cs"/>
          <w:rtl/>
        </w:rPr>
        <w:t>רבינו יונה</w:t>
      </w:r>
      <w:r w:rsidRPr="007A096F">
        <w:rPr>
          <w:rStyle w:val="af7"/>
          <w:rFonts w:eastAsia="Guttman Hodes" w:hint="cs"/>
          <w:rtl/>
        </w:rPr>
        <w:t xml:space="preserve"> (ד"ה א"ל רבא) </w:t>
      </w:r>
      <w:r>
        <w:rPr>
          <w:rFonts w:hint="cs"/>
          <w:rtl/>
        </w:rPr>
        <w:t xml:space="preserve">דאפש"ל דלדעת </w:t>
      </w:r>
      <w:r w:rsidRPr="00505B8C">
        <w:rPr>
          <w:rStyle w:val="af9"/>
          <w:rFonts w:hint="cs"/>
          <w:rtl/>
        </w:rPr>
        <w:t>הר"ח</w:t>
      </w:r>
      <w:r w:rsidRPr="007A096F">
        <w:rPr>
          <w:rStyle w:val="af7"/>
          <w:rFonts w:eastAsia="Guttman Hodes" w:hint="cs"/>
          <w:rtl/>
        </w:rPr>
        <w:t xml:space="preserve"> (עי' אות </w:t>
      </w:r>
      <w:r w:rsidRPr="007A096F">
        <w:rPr>
          <w:rStyle w:val="af7"/>
          <w:rFonts w:eastAsia="Guttman Hodes"/>
          <w:rtl/>
        </w:rPr>
        <w:fldChar w:fldCharType="begin"/>
      </w:r>
      <w:r w:rsidRPr="007A096F">
        <w:rPr>
          <w:rStyle w:val="af7"/>
          <w:rFonts w:eastAsia="Guttman Hodes"/>
          <w:rtl/>
        </w:rPr>
        <w:instrText xml:space="preserve"> </w:instrText>
      </w:r>
      <w:r w:rsidRPr="007A096F">
        <w:rPr>
          <w:rStyle w:val="af7"/>
          <w:rFonts w:eastAsia="Guttman Hodes" w:hint="cs"/>
        </w:rPr>
        <w:instrText>REF</w:instrText>
      </w:r>
      <w:r w:rsidRPr="007A096F">
        <w:rPr>
          <w:rStyle w:val="af7"/>
          <w:rFonts w:eastAsia="Guttman Hodes" w:hint="cs"/>
          <w:rtl/>
        </w:rPr>
        <w:instrText xml:space="preserve"> _</w:instrText>
      </w:r>
      <w:r w:rsidRPr="007A096F">
        <w:rPr>
          <w:rStyle w:val="af7"/>
          <w:rFonts w:eastAsia="Guttman Hodes" w:hint="cs"/>
        </w:rPr>
        <w:instrText>Ref57320344 \r \h</w:instrText>
      </w:r>
      <w:r w:rsidRPr="007A096F">
        <w:rPr>
          <w:rStyle w:val="af7"/>
          <w:rFonts w:eastAsia="Guttman Hodes"/>
          <w:rtl/>
        </w:rPr>
        <w:instrText xml:space="preserve"> </w:instrText>
      </w:r>
      <w:r w:rsidRPr="007A096F">
        <w:rPr>
          <w:rStyle w:val="af7"/>
          <w:rFonts w:eastAsia="Guttman Hodes"/>
          <w:rtl/>
        </w:rPr>
      </w:r>
      <w:r w:rsidRPr="007A096F">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7A096F">
        <w:rPr>
          <w:rStyle w:val="af7"/>
          <w:rFonts w:eastAsia="Guttman Hodes"/>
          <w:rtl/>
        </w:rPr>
        <w:fldChar w:fldCharType="end"/>
      </w:r>
      <w:r w:rsidRPr="007A096F">
        <w:rPr>
          <w:rStyle w:val="af7"/>
          <w:rFonts w:eastAsia="Guttman Hodes" w:hint="cs"/>
          <w:rtl/>
        </w:rPr>
        <w:t xml:space="preserve"> </w:t>
      </w:r>
      <w:r w:rsidRPr="00505B8C">
        <w:rPr>
          <w:rStyle w:val="af9"/>
          <w:rFonts w:hint="cs"/>
          <w:rtl/>
        </w:rPr>
        <w:t>והרי"ף</w:t>
      </w:r>
      <w:r w:rsidRPr="007A096F">
        <w:rPr>
          <w:rStyle w:val="af7"/>
          <w:rFonts w:eastAsia="Guttman Hodes" w:hint="cs"/>
          <w:rtl/>
        </w:rPr>
        <w:t xml:space="preserve"> (עי' אות </w:t>
      </w:r>
      <w:r w:rsidRPr="007A096F">
        <w:rPr>
          <w:rStyle w:val="af7"/>
          <w:rFonts w:eastAsia="Guttman Hodes"/>
          <w:rtl/>
        </w:rPr>
        <w:fldChar w:fldCharType="begin"/>
      </w:r>
      <w:r w:rsidRPr="007A096F">
        <w:rPr>
          <w:rStyle w:val="af7"/>
          <w:rFonts w:eastAsia="Guttman Hodes"/>
          <w:rtl/>
        </w:rPr>
        <w:instrText xml:space="preserve"> </w:instrText>
      </w:r>
      <w:r w:rsidRPr="007A096F">
        <w:rPr>
          <w:rStyle w:val="af7"/>
          <w:rFonts w:eastAsia="Guttman Hodes" w:hint="cs"/>
        </w:rPr>
        <w:instrText>REF</w:instrText>
      </w:r>
      <w:r w:rsidRPr="007A096F">
        <w:rPr>
          <w:rStyle w:val="af7"/>
          <w:rFonts w:eastAsia="Guttman Hodes" w:hint="cs"/>
          <w:rtl/>
        </w:rPr>
        <w:instrText xml:space="preserve"> _</w:instrText>
      </w:r>
      <w:r w:rsidRPr="007A096F">
        <w:rPr>
          <w:rStyle w:val="af7"/>
          <w:rFonts w:eastAsia="Guttman Hodes" w:hint="cs"/>
        </w:rPr>
        <w:instrText>Ref57320600 \r \h</w:instrText>
      </w:r>
      <w:r w:rsidRPr="007A096F">
        <w:rPr>
          <w:rStyle w:val="af7"/>
          <w:rFonts w:eastAsia="Guttman Hodes"/>
          <w:rtl/>
        </w:rPr>
        <w:instrText xml:space="preserve"> </w:instrText>
      </w:r>
      <w:r w:rsidRPr="007A096F">
        <w:rPr>
          <w:rStyle w:val="af7"/>
          <w:rFonts w:eastAsia="Guttman Hodes"/>
          <w:rtl/>
        </w:rPr>
      </w:r>
      <w:r w:rsidRPr="007A096F">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7A096F">
        <w:rPr>
          <w:rStyle w:val="af7"/>
          <w:rFonts w:eastAsia="Guttman Hodes"/>
          <w:rtl/>
        </w:rPr>
        <w:fldChar w:fldCharType="end"/>
      </w:r>
      <w:r w:rsidRPr="007A096F">
        <w:rPr>
          <w:rStyle w:val="af7"/>
          <w:rFonts w:eastAsia="Guttman Hodes" w:hint="cs"/>
          <w:rtl/>
        </w:rPr>
        <w:t xml:space="preserve"> </w:t>
      </w:r>
      <w:r>
        <w:rPr>
          <w:rFonts w:hint="cs"/>
          <w:rtl/>
        </w:rPr>
        <w:t xml:space="preserve">דטוען המערער דביום שטוען המחזיק שקנה ממנו, הוא היה בשכוני גוואי, ואעפ"י דהמערער היה יכול למכור עם שליח, </w:t>
      </w:r>
      <w:r w:rsidRPr="00505B8C">
        <w:rPr>
          <w:rStyle w:val="afb"/>
          <w:rFonts w:hint="cs"/>
          <w:rtl/>
        </w:rPr>
        <w:t>[ו</w:t>
      </w:r>
      <w:r>
        <w:rPr>
          <w:rStyle w:val="afb"/>
          <w:rFonts w:hint="cs"/>
          <w:rtl/>
        </w:rPr>
        <w:t>כד</w:t>
      </w:r>
      <w:r w:rsidRPr="00505B8C">
        <w:rPr>
          <w:rStyle w:val="afb"/>
          <w:rFonts w:hint="cs"/>
          <w:rtl/>
        </w:rPr>
        <w:t xml:space="preserve">הקשו </w:t>
      </w:r>
      <w:r w:rsidRPr="00505B8C">
        <w:rPr>
          <w:rStyle w:val="affa"/>
          <w:rFonts w:hint="cs"/>
          <w:rtl/>
        </w:rPr>
        <w:t>הרמב"ן</w:t>
      </w:r>
      <w:r w:rsidRPr="00505B8C">
        <w:rPr>
          <w:rStyle w:val="afb"/>
          <w:rFonts w:hint="cs"/>
          <w:rtl/>
        </w:rPr>
        <w:t xml:space="preserve"> </w:t>
      </w:r>
      <w:r w:rsidRPr="004416D8">
        <w:rPr>
          <w:rStyle w:val="aff6"/>
          <w:rFonts w:hint="cs"/>
          <w:rtl/>
        </w:rPr>
        <w:t xml:space="preserve">(עי' אות </w:t>
      </w:r>
      <w:r w:rsidRPr="004416D8">
        <w:rPr>
          <w:rStyle w:val="aff6"/>
          <w:rtl/>
        </w:rPr>
        <w:fldChar w:fldCharType="begin"/>
      </w:r>
      <w:r w:rsidRPr="004416D8">
        <w:rPr>
          <w:rStyle w:val="aff6"/>
          <w:rtl/>
        </w:rPr>
        <w:instrText xml:space="preserve"> </w:instrText>
      </w:r>
      <w:r w:rsidRPr="004416D8">
        <w:rPr>
          <w:rStyle w:val="aff6"/>
          <w:rFonts w:hint="cs"/>
        </w:rPr>
        <w:instrText>REF</w:instrText>
      </w:r>
      <w:r w:rsidRPr="004416D8">
        <w:rPr>
          <w:rStyle w:val="aff6"/>
          <w:rFonts w:hint="cs"/>
          <w:rtl/>
        </w:rPr>
        <w:instrText xml:space="preserve"> _</w:instrText>
      </w:r>
      <w:r w:rsidRPr="004416D8">
        <w:rPr>
          <w:rStyle w:val="aff6"/>
          <w:rFonts w:hint="cs"/>
        </w:rPr>
        <w:instrText>Ref57321435 \r \h</w:instrText>
      </w:r>
      <w:r w:rsidRPr="004416D8">
        <w:rPr>
          <w:rStyle w:val="aff6"/>
          <w:rtl/>
        </w:rPr>
        <w:instrText xml:space="preserve"> </w:instrText>
      </w:r>
      <w:r w:rsidRPr="004416D8">
        <w:rPr>
          <w:rStyle w:val="aff6"/>
          <w:rtl/>
        </w:rPr>
      </w:r>
      <w:r w:rsidRPr="004416D8">
        <w:rPr>
          <w:rStyle w:val="aff6"/>
          <w:rtl/>
        </w:rPr>
        <w:fldChar w:fldCharType="separate"/>
      </w:r>
      <w:r w:rsidR="00265073">
        <w:rPr>
          <w:rStyle w:val="aff6"/>
          <w:cs/>
        </w:rPr>
        <w:t>‎</w:t>
      </w:r>
      <w:r w:rsidR="00265073">
        <w:rPr>
          <w:rStyle w:val="aff6"/>
          <w:rtl/>
        </w:rPr>
        <w:t>נ)</w:t>
      </w:r>
      <w:r w:rsidRPr="004416D8">
        <w:rPr>
          <w:rStyle w:val="aff6"/>
          <w:rtl/>
        </w:rPr>
        <w:fldChar w:fldCharType="end"/>
      </w:r>
      <w:r w:rsidRPr="00505B8C">
        <w:rPr>
          <w:rStyle w:val="afb"/>
          <w:rFonts w:hint="cs"/>
          <w:rtl/>
        </w:rPr>
        <w:t xml:space="preserve"> </w:t>
      </w:r>
      <w:r w:rsidRPr="002D7E4C">
        <w:rPr>
          <w:rStyle w:val="affa"/>
          <w:rFonts w:hint="cs"/>
          <w:rtl/>
        </w:rPr>
        <w:t>והרא"ש</w:t>
      </w:r>
      <w:r>
        <w:rPr>
          <w:rStyle w:val="afb"/>
          <w:rFonts w:hint="cs"/>
          <w:rtl/>
        </w:rPr>
        <w:t xml:space="preserve"> </w:t>
      </w:r>
      <w:r w:rsidRPr="002D7E4C">
        <w:rPr>
          <w:rStyle w:val="aff6"/>
          <w:rFonts w:hint="cs"/>
          <w:rtl/>
        </w:rPr>
        <w:t xml:space="preserve">(עי' אות </w:t>
      </w:r>
      <w:r w:rsidRPr="002D7E4C">
        <w:rPr>
          <w:rStyle w:val="aff6"/>
          <w:rtl/>
        </w:rPr>
        <w:fldChar w:fldCharType="begin"/>
      </w:r>
      <w:r w:rsidRPr="002D7E4C">
        <w:rPr>
          <w:rStyle w:val="aff6"/>
          <w:rtl/>
        </w:rPr>
        <w:instrText xml:space="preserve"> </w:instrText>
      </w:r>
      <w:r w:rsidRPr="002D7E4C">
        <w:rPr>
          <w:rStyle w:val="aff6"/>
          <w:rFonts w:hint="cs"/>
        </w:rPr>
        <w:instrText>REF</w:instrText>
      </w:r>
      <w:r w:rsidRPr="002D7E4C">
        <w:rPr>
          <w:rStyle w:val="aff6"/>
          <w:rFonts w:hint="cs"/>
          <w:rtl/>
        </w:rPr>
        <w:instrText xml:space="preserve"> _</w:instrText>
      </w:r>
      <w:r w:rsidRPr="002D7E4C">
        <w:rPr>
          <w:rStyle w:val="aff6"/>
          <w:rFonts w:hint="cs"/>
        </w:rPr>
        <w:instrText>Ref57364685 \r \h</w:instrText>
      </w:r>
      <w:r w:rsidRPr="002D7E4C">
        <w:rPr>
          <w:rStyle w:val="aff6"/>
          <w:rtl/>
        </w:rPr>
        <w:instrText xml:space="preserve"> </w:instrText>
      </w:r>
      <w:r w:rsidRPr="002D7E4C">
        <w:rPr>
          <w:rStyle w:val="aff6"/>
          <w:rtl/>
        </w:rPr>
      </w:r>
      <w:r w:rsidRPr="002D7E4C">
        <w:rPr>
          <w:rStyle w:val="aff6"/>
          <w:rtl/>
        </w:rPr>
        <w:fldChar w:fldCharType="separate"/>
      </w:r>
      <w:r w:rsidR="00265073">
        <w:rPr>
          <w:rStyle w:val="aff6"/>
          <w:cs/>
        </w:rPr>
        <w:t>‎</w:t>
      </w:r>
      <w:r w:rsidR="00265073">
        <w:rPr>
          <w:rStyle w:val="aff6"/>
          <w:rtl/>
        </w:rPr>
        <w:t>נו)</w:t>
      </w:r>
      <w:r w:rsidRPr="002D7E4C">
        <w:rPr>
          <w:rStyle w:val="aff6"/>
          <w:rtl/>
        </w:rPr>
        <w:fldChar w:fldCharType="end"/>
      </w:r>
      <w:r w:rsidRPr="00505B8C">
        <w:rPr>
          <w:rStyle w:val="afb"/>
          <w:rFonts w:hint="cs"/>
          <w:rtl/>
        </w:rPr>
        <w:t>]</w:t>
      </w:r>
      <w:r w:rsidRPr="00D45198">
        <w:rPr>
          <w:rStyle w:val="afb"/>
          <w:rFonts w:hint="cs"/>
          <w:rtl/>
        </w:rPr>
        <w:t>,</w:t>
      </w:r>
      <w:r>
        <w:rPr>
          <w:rFonts w:hint="cs"/>
          <w:rtl/>
        </w:rPr>
        <w:t xml:space="preserve"> מ"מ אמרינן דאין אדם מוכר כשהלוקח אינו נמצא עמו באותה העיר. </w:t>
      </w:r>
      <w:bookmarkEnd w:id="6971"/>
    </w:p>
    <w:p w:rsidR="0019070E" w:rsidRPr="00403911" w:rsidRDefault="0019070E" w:rsidP="0019070E">
      <w:pPr>
        <w:pStyle w:val="a3"/>
        <w:rPr>
          <w:rtl/>
        </w:rPr>
      </w:pPr>
      <w:bookmarkStart w:id="6972" w:name="_Toc57370372"/>
      <w:bookmarkStart w:id="6973" w:name="_Toc57491539"/>
      <w:bookmarkStart w:id="6974" w:name="_Toc57495353"/>
      <w:bookmarkStart w:id="6975" w:name="_Toc57544495"/>
      <w:bookmarkStart w:id="6976" w:name="_Toc58185000"/>
      <w:bookmarkEnd w:id="6970"/>
      <w:r>
        <w:rPr>
          <w:rFonts w:hint="cs"/>
          <w:rtl/>
        </w:rPr>
        <w:t>קושית הרשב"א והריטב"א דלקמן משמע דא"צ שתהיה תחילת החזקה והמקח לפני הקנין</w:t>
      </w:r>
      <w:bookmarkEnd w:id="6972"/>
      <w:bookmarkEnd w:id="6973"/>
      <w:bookmarkEnd w:id="6974"/>
      <w:bookmarkEnd w:id="6975"/>
      <w:bookmarkEnd w:id="6976"/>
    </w:p>
    <w:p w:rsidR="0019070E" w:rsidRDefault="0019070E" w:rsidP="007E4E81">
      <w:pPr>
        <w:pStyle w:val="a0"/>
        <w:rPr>
          <w:rtl/>
        </w:rPr>
      </w:pPr>
      <w:bookmarkStart w:id="6977" w:name="_Ref57321452"/>
      <w:r>
        <w:rPr>
          <w:rFonts w:hint="cs"/>
          <w:rtl/>
        </w:rPr>
        <w:t xml:space="preserve">ועוד הקשו </w:t>
      </w:r>
      <w:r w:rsidRPr="002315D1">
        <w:rPr>
          <w:rStyle w:val="af9"/>
          <w:rFonts w:hint="cs"/>
          <w:rtl/>
        </w:rPr>
        <w:t>הרשב"א</w:t>
      </w:r>
      <w:r>
        <w:rPr>
          <w:rFonts w:hint="cs"/>
          <w:rtl/>
        </w:rPr>
        <w:t xml:space="preserve"> </w:t>
      </w:r>
      <w:r w:rsidRPr="002315D1">
        <w:rPr>
          <w:rStyle w:val="af7"/>
          <w:rFonts w:eastAsia="Guttman Hodes" w:hint="cs"/>
          <w:rtl/>
        </w:rPr>
        <w:t xml:space="preserve">(ד"ה ההוא) </w:t>
      </w:r>
      <w:r w:rsidRPr="002315D1">
        <w:rPr>
          <w:rStyle w:val="af9"/>
          <w:rFonts w:hint="cs"/>
          <w:rtl/>
        </w:rPr>
        <w:t>והריטב"א</w:t>
      </w:r>
      <w:r w:rsidRPr="002315D1">
        <w:rPr>
          <w:rStyle w:val="af7"/>
          <w:rFonts w:eastAsia="Guttman Hodes" w:hint="cs"/>
          <w:rtl/>
        </w:rPr>
        <w:t xml:space="preserve"> (ד"ה א"ל) </w:t>
      </w:r>
      <w:r>
        <w:rPr>
          <w:rFonts w:hint="cs"/>
          <w:rtl/>
        </w:rPr>
        <w:t xml:space="preserve">דהא תנן לקמן </w:t>
      </w:r>
      <w:r w:rsidRPr="002315D1">
        <w:rPr>
          <w:rStyle w:val="af7"/>
          <w:rFonts w:eastAsia="Guttman Hodes" w:hint="cs"/>
          <w:rtl/>
        </w:rPr>
        <w:t xml:space="preserve">(לח.) </w:t>
      </w:r>
      <w:r>
        <w:rPr>
          <w:rFonts w:hint="cs"/>
          <w:rtl/>
        </w:rPr>
        <w:t xml:space="preserve">דהיה ביהודה והחזיק בגליל ולהיפך לא הוי חזקה, כיון שהוא מקום חרום, ומשמע דביהודה ויהודה הוי חזקה, אף שתחילת החזקה אינה בפני הבעלים, דיכול המחזיק לטעון שבא למקום שהיה בו המערער וקנה ממנו, או ששלח לו שליח, או שהמערער שלח שליח, וכתב </w:t>
      </w:r>
      <w:r w:rsidRPr="002315D1">
        <w:rPr>
          <w:rStyle w:val="af9"/>
          <w:rFonts w:hint="cs"/>
          <w:rtl/>
        </w:rPr>
        <w:t>הרשב"א</w:t>
      </w:r>
      <w:r>
        <w:rPr>
          <w:rFonts w:hint="cs"/>
          <w:rtl/>
        </w:rPr>
        <w:t xml:space="preserve"> דאי אינו יכול לטעון כן, א"כ אף כשהמערער היה עם הלוקח באותה מדינה, יוכל המערער לטעון שהיה חולה ולא דיבר עמו אדם בכל אותו היום, האם אפש"ל דהמחזיק צריך להביא עדים להכחיש טענה כזו, והוא דבר רחוק מאוד לומר כן.</w:t>
      </w:r>
      <w:bookmarkEnd w:id="6977"/>
    </w:p>
    <w:p w:rsidR="0019070E" w:rsidRPr="00E7443B" w:rsidRDefault="0019070E" w:rsidP="0019070E">
      <w:pPr>
        <w:pStyle w:val="a3"/>
        <w:rPr>
          <w:rtl/>
        </w:rPr>
      </w:pPr>
      <w:bookmarkStart w:id="6978" w:name="_Toc57370373"/>
      <w:bookmarkStart w:id="6979" w:name="_Toc57491540"/>
      <w:bookmarkStart w:id="6980" w:name="_Toc57495354"/>
      <w:bookmarkStart w:id="6981" w:name="_Toc57544496"/>
      <w:bookmarkStart w:id="6982" w:name="_Toc58185001"/>
      <w:r>
        <w:rPr>
          <w:rFonts w:hint="cs"/>
          <w:rtl/>
        </w:rPr>
        <w:t>דברי הנימוק"י דלקמן איירי ביהודה וגליל דשיירות מצויות ואפשר להחזיק שלא בפני הבעלים</w:t>
      </w:r>
      <w:bookmarkEnd w:id="6978"/>
      <w:bookmarkEnd w:id="6979"/>
      <w:bookmarkEnd w:id="6980"/>
      <w:bookmarkEnd w:id="6981"/>
      <w:bookmarkEnd w:id="6982"/>
    </w:p>
    <w:p w:rsidR="0019070E" w:rsidRDefault="0019070E" w:rsidP="007E4E81">
      <w:pPr>
        <w:pStyle w:val="a0"/>
        <w:rPr>
          <w:rtl/>
        </w:rPr>
      </w:pPr>
      <w:r>
        <w:rPr>
          <w:rFonts w:hint="cs"/>
          <w:rtl/>
        </w:rPr>
        <w:t xml:space="preserve">וכתב </w:t>
      </w:r>
      <w:r w:rsidRPr="00D92179">
        <w:rPr>
          <w:rStyle w:val="af9"/>
          <w:rFonts w:hint="cs"/>
          <w:rtl/>
        </w:rPr>
        <w:t>הנימוק"י</w:t>
      </w:r>
      <w:r>
        <w:rPr>
          <w:rFonts w:hint="cs"/>
          <w:rtl/>
        </w:rPr>
        <w:t xml:space="preserve"> </w:t>
      </w:r>
      <w:r w:rsidRPr="002315D1">
        <w:rPr>
          <w:rStyle w:val="af7"/>
          <w:rFonts w:eastAsia="Guttman Hodes" w:hint="cs"/>
          <w:rtl/>
        </w:rPr>
        <w:t xml:space="preserve">(סוד"ה א"ל רב נחמן) </w:t>
      </w:r>
      <w:r>
        <w:rPr>
          <w:rFonts w:hint="cs"/>
          <w:rtl/>
        </w:rPr>
        <w:t xml:space="preserve">דאפשר לתרץ את דעת </w:t>
      </w:r>
      <w:r w:rsidRPr="00D92179">
        <w:rPr>
          <w:rStyle w:val="af9"/>
          <w:rFonts w:hint="cs"/>
          <w:rtl/>
        </w:rPr>
        <w:t>הר"ח</w:t>
      </w:r>
      <w:r>
        <w:rPr>
          <w:rFonts w:hint="cs"/>
          <w:rtl/>
        </w:rPr>
        <w:t xml:space="preserve"> </w:t>
      </w:r>
      <w:r w:rsidRPr="00D92179">
        <w:rPr>
          <w:rStyle w:val="af9"/>
          <w:rFonts w:hint="cs"/>
          <w:rtl/>
        </w:rPr>
        <w:t>והרי"ף</w:t>
      </w:r>
      <w:r>
        <w:rPr>
          <w:rFonts w:hint="cs"/>
          <w:rtl/>
        </w:rPr>
        <w:t xml:space="preserve"> דיהודה וגליל הוא מקום שמצויים בו עוברים ושבים, ולכן אף כשהתחיל להחזיק שלא בפני הבעלים, מ"מ הוי חזקה, דאמרינן </w:t>
      </w:r>
      <w:r>
        <w:rPr>
          <w:rFonts w:hint="cs"/>
          <w:rtl/>
        </w:rPr>
        <w:t>דהלוקח או שלוחו הלך למוכר או להיפך, אבל בארץ מרחקים לא אמרינן כן.</w:t>
      </w:r>
    </w:p>
    <w:p w:rsidR="0019070E" w:rsidRDefault="0019070E" w:rsidP="0019070E">
      <w:pPr>
        <w:pStyle w:val="1"/>
        <w:rPr>
          <w:rtl/>
        </w:rPr>
      </w:pPr>
      <w:bookmarkStart w:id="6983" w:name="_Toc57234561"/>
      <w:bookmarkStart w:id="6984" w:name="_Toc57236149"/>
      <w:bookmarkStart w:id="6985" w:name="_Toc57310473"/>
      <w:bookmarkStart w:id="6986" w:name="_Toc57323030"/>
      <w:bookmarkStart w:id="6987" w:name="_Toc57323139"/>
      <w:bookmarkStart w:id="6988" w:name="_Toc57370374"/>
      <w:bookmarkStart w:id="6989" w:name="_Toc57491541"/>
      <w:bookmarkStart w:id="6990" w:name="_Toc57495355"/>
      <w:bookmarkStart w:id="6991" w:name="_Toc57544497"/>
      <w:bookmarkStart w:id="6992" w:name="_Toc58185002"/>
      <w:bookmarkStart w:id="6993" w:name="_Toc57310476"/>
      <w:bookmarkStart w:id="6994" w:name="_Toc57323033"/>
      <w:bookmarkStart w:id="6995" w:name="_Toc57323142"/>
      <w:bookmarkStart w:id="6996" w:name="_Toc57370381"/>
      <w:bookmarkStart w:id="6997" w:name="_Toc57491548"/>
      <w:r>
        <w:rPr>
          <w:rFonts w:hint="cs"/>
          <w:rtl/>
        </w:rPr>
        <w:t>ביאור התורי"ד ברי"ף</w:t>
      </w:r>
      <w:bookmarkEnd w:id="6983"/>
      <w:bookmarkEnd w:id="6984"/>
      <w:bookmarkEnd w:id="6985"/>
      <w:bookmarkEnd w:id="6986"/>
      <w:bookmarkEnd w:id="6987"/>
      <w:bookmarkEnd w:id="6988"/>
      <w:bookmarkEnd w:id="6989"/>
      <w:r>
        <w:rPr>
          <w:rFonts w:hint="cs"/>
          <w:rtl/>
        </w:rPr>
        <w:t xml:space="preserve"> דיש עדים שהיה חלק מהזמן באותו מקום</w:t>
      </w:r>
      <w:bookmarkEnd w:id="6990"/>
      <w:bookmarkEnd w:id="6991"/>
      <w:bookmarkEnd w:id="6992"/>
    </w:p>
    <w:p w:rsidR="0019070E" w:rsidRDefault="0019070E" w:rsidP="0019070E">
      <w:pPr>
        <w:pStyle w:val="a3"/>
        <w:rPr>
          <w:rtl/>
        </w:rPr>
      </w:pPr>
      <w:bookmarkStart w:id="6998" w:name="_Toc57370375"/>
      <w:bookmarkStart w:id="6999" w:name="_Toc57491542"/>
      <w:bookmarkStart w:id="7000" w:name="_Toc57495356"/>
      <w:bookmarkStart w:id="7001" w:name="_Toc57544498"/>
      <w:bookmarkStart w:id="7002" w:name="_Toc58185003"/>
      <w:r>
        <w:rPr>
          <w:rFonts w:hint="cs"/>
          <w:rtl/>
        </w:rPr>
        <w:t>קושית התורי"ד על הרי"ף דכיון שיש עידי חזקה עם טענה על המערער להוכיח שלא היה בעיר</w:t>
      </w:r>
      <w:bookmarkEnd w:id="6998"/>
      <w:bookmarkEnd w:id="6999"/>
      <w:bookmarkEnd w:id="7000"/>
      <w:bookmarkEnd w:id="7001"/>
      <w:bookmarkEnd w:id="7002"/>
    </w:p>
    <w:p w:rsidR="0019070E" w:rsidRDefault="0019070E" w:rsidP="007E4E81">
      <w:pPr>
        <w:pStyle w:val="a0"/>
        <w:rPr>
          <w:rtl/>
        </w:rPr>
      </w:pPr>
      <w:r w:rsidRPr="00EF2C6E">
        <w:rPr>
          <w:rFonts w:hint="cs"/>
          <w:rtl/>
        </w:rPr>
        <w:t xml:space="preserve">הקשה </w:t>
      </w:r>
      <w:r w:rsidRPr="00EF2C6E">
        <w:rPr>
          <w:rStyle w:val="af9"/>
          <w:rFonts w:hint="cs"/>
          <w:rtl/>
        </w:rPr>
        <w:t>התוס' רי"ד</w:t>
      </w:r>
      <w:r w:rsidRPr="00EF2C6E">
        <w:rPr>
          <w:rFonts w:hint="cs"/>
          <w:rtl/>
        </w:rPr>
        <w:t xml:space="preserve"> </w:t>
      </w:r>
      <w:r w:rsidRPr="00EF2C6E">
        <w:rPr>
          <w:rStyle w:val="af7"/>
          <w:rFonts w:eastAsia="Guttman Hodes" w:hint="cs"/>
          <w:rtl/>
        </w:rPr>
        <w:t xml:space="preserve">(כט. או' ד' ד"ה אנא) </w:t>
      </w:r>
      <w:r w:rsidRPr="00EF2C6E">
        <w:rPr>
          <w:rFonts w:hint="cs"/>
          <w:rtl/>
        </w:rPr>
        <w:t xml:space="preserve">דלפי פירוש </w:t>
      </w:r>
      <w:r w:rsidRPr="00EF2C6E">
        <w:rPr>
          <w:rStyle w:val="af9"/>
          <w:rFonts w:hint="cs"/>
          <w:rtl/>
        </w:rPr>
        <w:t>הרי"ף</w:t>
      </w:r>
      <w:r w:rsidRPr="00EF2C6E">
        <w:rPr>
          <w:rFonts w:hint="cs"/>
          <w:rtl/>
        </w:rPr>
        <w:t xml:space="preserve"> </w:t>
      </w:r>
      <w:r w:rsidRPr="00EF2C6E">
        <w:rPr>
          <w:rStyle w:val="af7"/>
          <w:rFonts w:eastAsia="Guttman Hodes" w:hint="cs"/>
          <w:rtl/>
        </w:rPr>
        <w:t xml:space="preserve">(עי' אות </w:t>
      </w:r>
      <w:r w:rsidRPr="00EF2C6E">
        <w:rPr>
          <w:rStyle w:val="af7"/>
          <w:rFonts w:eastAsia="Guttman Hodes"/>
          <w:rtl/>
        </w:rPr>
        <w:fldChar w:fldCharType="begin"/>
      </w:r>
      <w:r w:rsidRPr="00EF2C6E">
        <w:rPr>
          <w:rStyle w:val="af7"/>
          <w:rFonts w:eastAsia="Guttman Hodes"/>
          <w:rtl/>
        </w:rPr>
        <w:instrText xml:space="preserve"> </w:instrText>
      </w:r>
      <w:r w:rsidRPr="00EF2C6E">
        <w:rPr>
          <w:rStyle w:val="af7"/>
          <w:rFonts w:eastAsia="Guttman Hodes" w:hint="cs"/>
        </w:rPr>
        <w:instrText>REF</w:instrText>
      </w:r>
      <w:r w:rsidRPr="00EF2C6E">
        <w:rPr>
          <w:rStyle w:val="af7"/>
          <w:rFonts w:eastAsia="Guttman Hodes" w:hint="cs"/>
          <w:rtl/>
        </w:rPr>
        <w:instrText xml:space="preserve"> _</w:instrText>
      </w:r>
      <w:r w:rsidRPr="00EF2C6E">
        <w:rPr>
          <w:rStyle w:val="af7"/>
          <w:rFonts w:eastAsia="Guttman Hodes" w:hint="cs"/>
        </w:rPr>
        <w:instrText>Ref57320600 \r \h</w:instrText>
      </w:r>
      <w:r w:rsidRPr="00EF2C6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EF2C6E">
        <w:rPr>
          <w:rStyle w:val="af7"/>
          <w:rFonts w:eastAsia="Guttman Hodes"/>
          <w:rtl/>
        </w:rPr>
      </w:r>
      <w:r w:rsidRPr="00EF2C6E">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EF2C6E">
        <w:rPr>
          <w:rStyle w:val="af7"/>
          <w:rFonts w:eastAsia="Guttman Hodes"/>
          <w:rtl/>
        </w:rPr>
        <w:fldChar w:fldCharType="end"/>
      </w:r>
      <w:r w:rsidRPr="00EF2C6E">
        <w:rPr>
          <w:rStyle w:val="af7"/>
          <w:rFonts w:eastAsia="Guttman Hodes" w:hint="cs"/>
          <w:rtl/>
        </w:rPr>
        <w:t xml:space="preserve"> </w:t>
      </w:r>
      <w:r w:rsidRPr="00EF2C6E">
        <w:rPr>
          <w:rtl/>
        </w:rPr>
        <w:t xml:space="preserve">דטוען המערער למחזיק דלא יתכן שקנית ממני, כיון שאותו הזמן שאתה טוען שקנית ממני, לא הייתי בעיר, </w:t>
      </w:r>
      <w:r>
        <w:rPr>
          <w:rFonts w:hint="cs"/>
          <w:rtl/>
        </w:rPr>
        <w:t>דא</w:t>
      </w:r>
      <w:r w:rsidRPr="00EF2C6E">
        <w:rPr>
          <w:rFonts w:hint="cs"/>
          <w:rtl/>
        </w:rPr>
        <w:t>"כ המערער צריך להביא עדים שהיה בשכוני גוואי, דכיון שיש למחזיק עידי חזקת ג"ש, וטוען שקנה מהמרא קמא ביום פלוני, א"כ יש לו</w:t>
      </w:r>
      <w:r>
        <w:rPr>
          <w:rFonts w:hint="cs"/>
          <w:rtl/>
        </w:rPr>
        <w:t xml:space="preserve"> חזקה עם טענה, ולא נאמן המערער לומר שבאותו היום היה במקום אחר, עד שיביא עדים ע"ז, דאל"ה יתבטלו כל החזקות, </w:t>
      </w:r>
      <w:r w:rsidRPr="00593075">
        <w:rPr>
          <w:rStyle w:val="afb"/>
          <w:rFonts w:hint="cs"/>
          <w:rtl/>
        </w:rPr>
        <w:t xml:space="preserve">[וכעי"ז הקשו </w:t>
      </w:r>
      <w:r w:rsidRPr="00593075">
        <w:rPr>
          <w:rStyle w:val="affa"/>
          <w:rFonts w:hint="cs"/>
          <w:rtl/>
        </w:rPr>
        <w:t>הרמב"ן</w:t>
      </w:r>
      <w:r w:rsidRPr="00593075">
        <w:rPr>
          <w:rStyle w:val="afb"/>
          <w:rFonts w:hint="cs"/>
          <w:rtl/>
        </w:rPr>
        <w:t xml:space="preserve"> </w:t>
      </w:r>
      <w:r w:rsidRPr="00593075">
        <w:rPr>
          <w:rStyle w:val="aff6"/>
          <w:rFonts w:hint="cs"/>
          <w:rtl/>
        </w:rPr>
        <w:t xml:space="preserve">(עי' אות </w:t>
      </w:r>
      <w:r w:rsidRPr="00593075">
        <w:rPr>
          <w:rStyle w:val="aff6"/>
          <w:rtl/>
        </w:rPr>
        <w:fldChar w:fldCharType="begin"/>
      </w:r>
      <w:r w:rsidRPr="00593075">
        <w:rPr>
          <w:rStyle w:val="aff6"/>
          <w:rtl/>
        </w:rPr>
        <w:instrText xml:space="preserve"> </w:instrText>
      </w:r>
      <w:r w:rsidRPr="00593075">
        <w:rPr>
          <w:rStyle w:val="aff6"/>
          <w:rFonts w:hint="cs"/>
        </w:rPr>
        <w:instrText>REF</w:instrText>
      </w:r>
      <w:r w:rsidRPr="00593075">
        <w:rPr>
          <w:rStyle w:val="aff6"/>
          <w:rFonts w:hint="cs"/>
          <w:rtl/>
        </w:rPr>
        <w:instrText xml:space="preserve"> _</w:instrText>
      </w:r>
      <w:r w:rsidRPr="00593075">
        <w:rPr>
          <w:rStyle w:val="aff6"/>
          <w:rFonts w:hint="cs"/>
        </w:rPr>
        <w:instrText>Ref57367131 \r \h</w:instrText>
      </w:r>
      <w:r w:rsidRPr="00593075">
        <w:rPr>
          <w:rStyle w:val="aff6"/>
          <w:rtl/>
        </w:rPr>
        <w:instrText xml:space="preserve"> </w:instrText>
      </w:r>
      <w:r w:rsidRPr="00593075">
        <w:rPr>
          <w:rStyle w:val="aff6"/>
          <w:rtl/>
        </w:rPr>
      </w:r>
      <w:r w:rsidRPr="00593075">
        <w:rPr>
          <w:rStyle w:val="aff6"/>
          <w:rtl/>
        </w:rPr>
        <w:fldChar w:fldCharType="separate"/>
      </w:r>
      <w:r w:rsidR="00265073">
        <w:rPr>
          <w:rStyle w:val="aff6"/>
          <w:cs/>
        </w:rPr>
        <w:t>‎</w:t>
      </w:r>
      <w:r w:rsidR="00265073">
        <w:rPr>
          <w:rStyle w:val="aff6"/>
          <w:rtl/>
        </w:rPr>
        <w:t>נא)</w:t>
      </w:r>
      <w:r w:rsidRPr="00593075">
        <w:rPr>
          <w:rStyle w:val="aff6"/>
          <w:rtl/>
        </w:rPr>
        <w:fldChar w:fldCharType="end"/>
      </w:r>
      <w:r w:rsidRPr="00593075">
        <w:rPr>
          <w:rStyle w:val="afb"/>
          <w:rFonts w:hint="cs"/>
          <w:rtl/>
        </w:rPr>
        <w:t xml:space="preserve"> </w:t>
      </w:r>
      <w:r w:rsidRPr="00593075">
        <w:rPr>
          <w:rStyle w:val="affa"/>
          <w:rFonts w:hint="cs"/>
          <w:rtl/>
        </w:rPr>
        <w:t>ורבינו יונה</w:t>
      </w:r>
      <w:r w:rsidRPr="00593075">
        <w:rPr>
          <w:rStyle w:val="afb"/>
          <w:rFonts w:hint="cs"/>
          <w:rtl/>
        </w:rPr>
        <w:t xml:space="preserve"> </w:t>
      </w:r>
      <w:r w:rsidRPr="00593075">
        <w:rPr>
          <w:rStyle w:val="aff6"/>
          <w:rFonts w:hint="cs"/>
          <w:rtl/>
        </w:rPr>
        <w:t xml:space="preserve">(עי' אות </w:t>
      </w:r>
      <w:r w:rsidRPr="00593075">
        <w:rPr>
          <w:rStyle w:val="aff6"/>
          <w:rtl/>
        </w:rPr>
        <w:fldChar w:fldCharType="begin"/>
      </w:r>
      <w:r w:rsidRPr="00593075">
        <w:rPr>
          <w:rStyle w:val="aff6"/>
          <w:rtl/>
        </w:rPr>
        <w:instrText xml:space="preserve"> </w:instrText>
      </w:r>
      <w:r w:rsidRPr="00593075">
        <w:rPr>
          <w:rStyle w:val="aff6"/>
          <w:rFonts w:hint="cs"/>
        </w:rPr>
        <w:instrText>REF</w:instrText>
      </w:r>
      <w:r w:rsidRPr="00593075">
        <w:rPr>
          <w:rStyle w:val="aff6"/>
          <w:rFonts w:hint="cs"/>
          <w:rtl/>
        </w:rPr>
        <w:instrText xml:space="preserve"> _</w:instrText>
      </w:r>
      <w:r w:rsidRPr="00593075">
        <w:rPr>
          <w:rStyle w:val="aff6"/>
          <w:rFonts w:hint="cs"/>
        </w:rPr>
        <w:instrText>Ref57367137 \r \h</w:instrText>
      </w:r>
      <w:r w:rsidRPr="00593075">
        <w:rPr>
          <w:rStyle w:val="aff6"/>
          <w:rtl/>
        </w:rPr>
        <w:instrText xml:space="preserve"> </w:instrText>
      </w:r>
      <w:r w:rsidRPr="00593075">
        <w:rPr>
          <w:rStyle w:val="aff6"/>
          <w:rtl/>
        </w:rPr>
      </w:r>
      <w:r w:rsidRPr="00593075">
        <w:rPr>
          <w:rStyle w:val="aff6"/>
          <w:rtl/>
        </w:rPr>
        <w:fldChar w:fldCharType="separate"/>
      </w:r>
      <w:r w:rsidR="00265073">
        <w:rPr>
          <w:rStyle w:val="aff6"/>
          <w:cs/>
        </w:rPr>
        <w:t>‎</w:t>
      </w:r>
      <w:r w:rsidR="00265073">
        <w:rPr>
          <w:rStyle w:val="aff6"/>
          <w:rtl/>
        </w:rPr>
        <w:t>נב)</w:t>
      </w:r>
      <w:r w:rsidRPr="00593075">
        <w:rPr>
          <w:rStyle w:val="aff6"/>
          <w:rtl/>
        </w:rPr>
        <w:fldChar w:fldCharType="end"/>
      </w:r>
      <w:r w:rsidRPr="00593075">
        <w:rPr>
          <w:rStyle w:val="afb"/>
          <w:rFonts w:hint="cs"/>
          <w:rtl/>
        </w:rPr>
        <w:t>],</w:t>
      </w:r>
      <w:r>
        <w:rPr>
          <w:rFonts w:hint="cs"/>
          <w:rtl/>
        </w:rPr>
        <w:t xml:space="preserve"> וכתב </w:t>
      </w:r>
      <w:r w:rsidRPr="00933443">
        <w:rPr>
          <w:rStyle w:val="af9"/>
          <w:rFonts w:hint="cs"/>
          <w:rtl/>
        </w:rPr>
        <w:t>התוס' רי"ד</w:t>
      </w:r>
      <w:r>
        <w:rPr>
          <w:rFonts w:hint="cs"/>
          <w:rtl/>
        </w:rPr>
        <w:t xml:space="preserve"> דא"א לומר שיש למערער עדים שהיה בשכוני גוואי, דא"כ אמאי אמר רבא דעל המערער להביא ראיה, הא כיון שיש עדים לטענתו אינו צריך כל ראיה נוספת.</w:t>
      </w:r>
    </w:p>
    <w:p w:rsidR="0019070E" w:rsidRDefault="0019070E" w:rsidP="0019070E">
      <w:pPr>
        <w:pStyle w:val="a3"/>
        <w:rPr>
          <w:rtl/>
        </w:rPr>
      </w:pPr>
      <w:bookmarkStart w:id="7003" w:name="_Toc57370376"/>
      <w:bookmarkStart w:id="7004" w:name="_Toc57491543"/>
      <w:bookmarkStart w:id="7005" w:name="_Toc57495357"/>
      <w:bookmarkStart w:id="7006" w:name="_Toc57544499"/>
      <w:bookmarkStart w:id="7007" w:name="_Toc58185004"/>
      <w:r>
        <w:rPr>
          <w:rFonts w:hint="cs"/>
          <w:rtl/>
        </w:rPr>
        <w:t>ביאור התורי"ד דיש למערער עדים שהיה באותו חודש בשכוני גוואי אך יתכן שבא לעיר ומכר לו</w:t>
      </w:r>
      <w:bookmarkEnd w:id="7003"/>
      <w:bookmarkEnd w:id="7004"/>
      <w:bookmarkEnd w:id="7005"/>
      <w:bookmarkEnd w:id="7006"/>
      <w:bookmarkEnd w:id="7007"/>
    </w:p>
    <w:p w:rsidR="0019070E" w:rsidRDefault="0019070E" w:rsidP="007E4E81">
      <w:pPr>
        <w:pStyle w:val="a0"/>
        <w:rPr>
          <w:rtl/>
        </w:rPr>
      </w:pPr>
      <w:r>
        <w:rPr>
          <w:rFonts w:hint="cs"/>
          <w:rtl/>
        </w:rPr>
        <w:t xml:space="preserve">ותירץ </w:t>
      </w:r>
      <w:r w:rsidRPr="00933443">
        <w:rPr>
          <w:rStyle w:val="af9"/>
          <w:rFonts w:hint="cs"/>
          <w:rtl/>
        </w:rPr>
        <w:t>התוס' רי"ד</w:t>
      </w:r>
      <w:r>
        <w:rPr>
          <w:rFonts w:hint="cs"/>
          <w:rtl/>
        </w:rPr>
        <w:t xml:space="preserve"> דאיירי שיש עדים שמעידים שבאותה השנה או באותו החודש, היה המערער בשכוני גוואי, אך אינם מעידים שהיה שם ביום שטוען המחזיק שקנה מהמערער, ויתכן שהגיע המערער לעיר של המחזיק באותו היום שטוען המחזיק שקנה ממנו, ואח"כ חזר לשכוני גוואי.</w:t>
      </w:r>
    </w:p>
    <w:p w:rsidR="0019070E" w:rsidRPr="00A9644C" w:rsidRDefault="0019070E" w:rsidP="0019070E">
      <w:pPr>
        <w:pStyle w:val="a3"/>
      </w:pPr>
      <w:bookmarkStart w:id="7008" w:name="_Toc57370377"/>
      <w:bookmarkStart w:id="7009" w:name="_Toc57491544"/>
      <w:bookmarkStart w:id="7010" w:name="_Toc57495358"/>
      <w:bookmarkStart w:id="7011" w:name="_Toc57544500"/>
      <w:bookmarkStart w:id="7012" w:name="_Toc58185005"/>
      <w:r>
        <w:rPr>
          <w:rFonts w:hint="cs"/>
          <w:rtl/>
        </w:rPr>
        <w:t>ביאור התורי"ד בר"נ דכיון שיש עדים שהיה בשכוני גוואי רק כשיברר המחזיק הוי חזקה בטענה</w:t>
      </w:r>
      <w:bookmarkEnd w:id="7008"/>
      <w:bookmarkEnd w:id="7009"/>
      <w:bookmarkEnd w:id="7010"/>
      <w:bookmarkEnd w:id="7011"/>
      <w:bookmarkEnd w:id="7012"/>
    </w:p>
    <w:p w:rsidR="0019070E" w:rsidRDefault="0019070E" w:rsidP="007E4E81">
      <w:pPr>
        <w:pStyle w:val="a0"/>
        <w:rPr>
          <w:rtl/>
        </w:rPr>
      </w:pPr>
      <w:r>
        <w:rPr>
          <w:rFonts w:hint="cs"/>
          <w:rtl/>
        </w:rPr>
        <w:t xml:space="preserve">וכתב </w:t>
      </w:r>
      <w:r w:rsidRPr="00933443">
        <w:rPr>
          <w:rStyle w:val="af9"/>
          <w:rFonts w:hint="cs"/>
          <w:rtl/>
        </w:rPr>
        <w:t>התוס' רי"ד</w:t>
      </w:r>
      <w:r>
        <w:rPr>
          <w:rFonts w:hint="cs"/>
          <w:rtl/>
        </w:rPr>
        <w:t xml:space="preserve"> דר"נ ס"ל דכיון שיש למערער עדים שהיה בשכוני גוואי, א"כ המחזיק צריך לברר את אכילתו ולהוכיח שביום שטוען שקנה ממנו, היה המערער בעיר של המחזיק, ועי"ז חשיבא טענתו כטענה, והוי חזקה שיש עמה טענה דמהני, אבל אם אין לו עדים, החזקה שלו היא כחזקה בלא טענה ולא מהני כלל, וכתב </w:t>
      </w:r>
      <w:r w:rsidRPr="00933443">
        <w:rPr>
          <w:rStyle w:val="af9"/>
          <w:rFonts w:hint="cs"/>
          <w:rtl/>
        </w:rPr>
        <w:t>התוס' רי"ד</w:t>
      </w:r>
      <w:r>
        <w:rPr>
          <w:rFonts w:hint="cs"/>
          <w:rtl/>
        </w:rPr>
        <w:t xml:space="preserve"> דרבא ס"ל דכיון שיש למחזיק עידי חזקת ג"ש, לכן אעפ"י שיש למערער עדים שהיה בשכוני גוואי, מ"מ כיון שיתכן שבא המערער לעיר של המחזיק, ביום שטוען שקנה ממנו, א"כ המערער חשיב כמוציא מהמחזיק ועליו להביא ראיה.</w:t>
      </w:r>
    </w:p>
    <w:p w:rsidR="0019070E" w:rsidRDefault="0019070E" w:rsidP="0019070E">
      <w:pPr>
        <w:pStyle w:val="afe"/>
        <w:rPr>
          <w:rtl/>
        </w:rPr>
      </w:pPr>
      <w:bookmarkStart w:id="7013" w:name="_Toc57495360"/>
      <w:bookmarkStart w:id="7014" w:name="_Toc57544502"/>
      <w:bookmarkStart w:id="7015" w:name="_Toc58185006"/>
      <w:r>
        <w:rPr>
          <w:rFonts w:hint="cs"/>
          <w:rtl/>
        </w:rPr>
        <w:t>ביאורי הראשונים בפלוגתת רבא ור"נ</w:t>
      </w:r>
      <w:bookmarkEnd w:id="6993"/>
      <w:bookmarkEnd w:id="6994"/>
      <w:bookmarkEnd w:id="6995"/>
      <w:bookmarkEnd w:id="6996"/>
      <w:bookmarkEnd w:id="6997"/>
      <w:bookmarkEnd w:id="7013"/>
      <w:bookmarkEnd w:id="7014"/>
      <w:bookmarkEnd w:id="7015"/>
    </w:p>
    <w:p w:rsidR="0019070E" w:rsidRPr="00661DD8" w:rsidRDefault="0019070E" w:rsidP="0019070E">
      <w:pPr>
        <w:pStyle w:val="1"/>
        <w:rPr>
          <w:rtl/>
        </w:rPr>
      </w:pPr>
      <w:bookmarkStart w:id="7016" w:name="_Toc57370382"/>
      <w:bookmarkStart w:id="7017" w:name="_Toc57491549"/>
      <w:bookmarkStart w:id="7018" w:name="_Toc57495361"/>
      <w:bookmarkStart w:id="7019" w:name="_Toc57544503"/>
      <w:bookmarkStart w:id="7020" w:name="_Toc58185007"/>
      <w:r>
        <w:rPr>
          <w:rFonts w:hint="cs"/>
          <w:rtl/>
        </w:rPr>
        <w:t>דברי הרשב"ם</w:t>
      </w:r>
      <w:bookmarkEnd w:id="7016"/>
      <w:bookmarkEnd w:id="7017"/>
      <w:r>
        <w:rPr>
          <w:rFonts w:hint="cs"/>
          <w:rtl/>
        </w:rPr>
        <w:t xml:space="preserve"> דלרבא א"צ המחזיק לברר דבר שלא נודע לנו</w:t>
      </w:r>
      <w:bookmarkEnd w:id="7018"/>
      <w:bookmarkEnd w:id="7019"/>
      <w:bookmarkEnd w:id="7020"/>
    </w:p>
    <w:p w:rsidR="0019070E" w:rsidRDefault="0019070E" w:rsidP="0019070E">
      <w:pPr>
        <w:pStyle w:val="a3"/>
        <w:rPr>
          <w:rtl/>
        </w:rPr>
      </w:pPr>
      <w:bookmarkStart w:id="7021" w:name="_Toc57370383"/>
      <w:bookmarkStart w:id="7022" w:name="_Toc57491550"/>
      <w:bookmarkStart w:id="7023" w:name="_Toc57495362"/>
      <w:bookmarkStart w:id="7024" w:name="_Toc57544504"/>
      <w:bookmarkStart w:id="7025" w:name="_Toc58185008"/>
      <w:r>
        <w:rPr>
          <w:rFonts w:hint="cs"/>
          <w:rtl/>
        </w:rPr>
        <w:t>ביאור הרשב"ם בר"נ דהמחזיק צריך לברר שדר לבדו ככל חזקת ג"ש שצריך לברר חזקה גמורה</w:t>
      </w:r>
      <w:bookmarkEnd w:id="7021"/>
      <w:bookmarkEnd w:id="7022"/>
      <w:bookmarkEnd w:id="7023"/>
      <w:bookmarkEnd w:id="7024"/>
      <w:bookmarkEnd w:id="7025"/>
    </w:p>
    <w:p w:rsidR="0019070E" w:rsidRDefault="0019070E" w:rsidP="007E4E81">
      <w:pPr>
        <w:pStyle w:val="a0"/>
        <w:rPr>
          <w:rtl/>
        </w:rPr>
      </w:pPr>
      <w:bookmarkStart w:id="7026" w:name="_Ref57306549"/>
      <w:r>
        <w:rPr>
          <w:rFonts w:hint="cs"/>
          <w:rtl/>
        </w:rPr>
        <w:t xml:space="preserve">עי' במה שביאר </w:t>
      </w:r>
      <w:r w:rsidRPr="000259B9">
        <w:rPr>
          <w:rStyle w:val="af9"/>
          <w:rFonts w:hint="cs"/>
          <w:rtl/>
        </w:rPr>
        <w:t>הרשב"ם</w:t>
      </w:r>
      <w:r>
        <w:rPr>
          <w:rFonts w:hint="cs"/>
          <w:rtl/>
        </w:rPr>
        <w:t xml:space="preserve"> </w:t>
      </w:r>
      <w:r w:rsidRPr="000259B9">
        <w:rPr>
          <w:rStyle w:val="af7"/>
          <w:rFonts w:eastAsia="Guttman Hodes" w:hint="cs"/>
          <w:rtl/>
        </w:rPr>
        <w:t xml:space="preserve">(עי' אות </w:t>
      </w:r>
      <w:r w:rsidRPr="000259B9">
        <w:rPr>
          <w:rStyle w:val="af7"/>
          <w:rFonts w:eastAsia="Guttman Hodes"/>
          <w:rtl/>
        </w:rPr>
        <w:fldChar w:fldCharType="begin"/>
      </w:r>
      <w:r w:rsidRPr="000259B9">
        <w:rPr>
          <w:rStyle w:val="af7"/>
          <w:rFonts w:eastAsia="Guttman Hodes"/>
          <w:rtl/>
        </w:rPr>
        <w:instrText xml:space="preserve"> </w:instrText>
      </w:r>
      <w:r w:rsidRPr="000259B9">
        <w:rPr>
          <w:rStyle w:val="af7"/>
          <w:rFonts w:eastAsia="Guttman Hodes" w:hint="cs"/>
        </w:rPr>
        <w:instrText>REF</w:instrText>
      </w:r>
      <w:r w:rsidRPr="000259B9">
        <w:rPr>
          <w:rStyle w:val="af7"/>
          <w:rFonts w:eastAsia="Guttman Hodes" w:hint="cs"/>
          <w:rtl/>
        </w:rPr>
        <w:instrText xml:space="preserve"> _</w:instrText>
      </w:r>
      <w:r w:rsidRPr="000259B9">
        <w:rPr>
          <w:rStyle w:val="af7"/>
          <w:rFonts w:eastAsia="Guttman Hodes" w:hint="cs"/>
        </w:rPr>
        <w:instrText>Ref56936382 \r \h</w:instrText>
      </w:r>
      <w:r w:rsidRPr="000259B9">
        <w:rPr>
          <w:rStyle w:val="af7"/>
          <w:rFonts w:eastAsia="Guttman Hodes"/>
          <w:rtl/>
        </w:rPr>
        <w:instrText xml:space="preserve"> </w:instrText>
      </w:r>
      <w:r w:rsidRPr="000259B9">
        <w:rPr>
          <w:rStyle w:val="af7"/>
          <w:rFonts w:eastAsia="Guttman Hodes"/>
          <w:rtl/>
        </w:rPr>
      </w:r>
      <w:r w:rsidRPr="000259B9">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0259B9">
        <w:rPr>
          <w:rStyle w:val="af7"/>
          <w:rFonts w:eastAsia="Guttman Hodes"/>
          <w:rtl/>
        </w:rPr>
        <w:fldChar w:fldCharType="end"/>
      </w:r>
      <w:r>
        <w:rPr>
          <w:rFonts w:hint="cs"/>
          <w:rtl/>
        </w:rPr>
        <w:t xml:space="preserve"> דטוען המערער שהיה דר בבית הפנימי, ועבר דרך המחזיק שנתן לו רשות לדור בבית החיצון,</w:t>
      </w:r>
      <w:r w:rsidR="00A77F33">
        <w:rPr>
          <w:rFonts w:hint="cs"/>
          <w:rtl/>
        </w:rPr>
        <w:t xml:space="preserve"> </w:t>
      </w:r>
      <w:r>
        <w:rPr>
          <w:rFonts w:hint="cs"/>
          <w:rtl/>
        </w:rPr>
        <w:t xml:space="preserve">ובדברי ר"נ דאמר למחזיק זיל ברור אכילתך, ביאר </w:t>
      </w:r>
      <w:r w:rsidRPr="00EC127D">
        <w:rPr>
          <w:rStyle w:val="af9"/>
          <w:rFonts w:hint="cs"/>
          <w:rtl/>
        </w:rPr>
        <w:t>הרשב"ם</w:t>
      </w:r>
      <w:r>
        <w:rPr>
          <w:rFonts w:hint="cs"/>
          <w:rtl/>
        </w:rPr>
        <w:t xml:space="preserve"> </w:t>
      </w:r>
      <w:r w:rsidRPr="00A22A08">
        <w:rPr>
          <w:rStyle w:val="af7"/>
          <w:rFonts w:eastAsia="Guttman Hodes" w:hint="cs"/>
          <w:rtl/>
        </w:rPr>
        <w:t>(ד</w:t>
      </w:r>
      <w:r w:rsidRPr="00EC127D">
        <w:rPr>
          <w:rStyle w:val="af7"/>
          <w:rFonts w:eastAsia="Guttman Hodes" w:hint="cs"/>
          <w:rtl/>
        </w:rPr>
        <w:t>"ה זיל)</w:t>
      </w:r>
      <w:r>
        <w:rPr>
          <w:rFonts w:hint="cs"/>
          <w:rtl/>
        </w:rPr>
        <w:t xml:space="preserve"> דעל המחזיק להביא עדים שדר ג"ש בבית לבדו בלא המערער, כמו בכל חזקת ג"ש שצריך המחזיק להביא עדים שהחזיק חזקה גמורה, ועי' במה שהקשה </w:t>
      </w:r>
      <w:r w:rsidRPr="005E5ACF">
        <w:rPr>
          <w:rStyle w:val="af9"/>
          <w:rFonts w:hint="cs"/>
          <w:rtl/>
        </w:rPr>
        <w:t>הדברי מרדכי</w:t>
      </w:r>
      <w:r>
        <w:rPr>
          <w:rFonts w:hint="cs"/>
          <w:rtl/>
        </w:rPr>
        <w:t xml:space="preserve"> </w:t>
      </w:r>
      <w:r w:rsidRPr="005E5ACF">
        <w:rPr>
          <w:rStyle w:val="af7"/>
          <w:rFonts w:eastAsia="Guttman Hodes" w:hint="cs"/>
          <w:rtl/>
        </w:rPr>
        <w:t xml:space="preserve">(עי' אות </w:t>
      </w:r>
      <w:r w:rsidRPr="005E5ACF">
        <w:rPr>
          <w:rStyle w:val="af7"/>
          <w:rFonts w:eastAsia="Guttman Hodes"/>
          <w:rtl/>
        </w:rPr>
        <w:fldChar w:fldCharType="begin"/>
      </w:r>
      <w:r w:rsidRPr="005E5ACF">
        <w:rPr>
          <w:rStyle w:val="af7"/>
          <w:rFonts w:eastAsia="Guttman Hodes"/>
          <w:rtl/>
        </w:rPr>
        <w:instrText xml:space="preserve"> </w:instrText>
      </w:r>
      <w:r w:rsidRPr="005E5ACF">
        <w:rPr>
          <w:rStyle w:val="af7"/>
          <w:rFonts w:eastAsia="Guttman Hodes" w:hint="cs"/>
        </w:rPr>
        <w:instrText>REF</w:instrText>
      </w:r>
      <w:r w:rsidRPr="005E5ACF">
        <w:rPr>
          <w:rStyle w:val="af7"/>
          <w:rFonts w:eastAsia="Guttman Hodes" w:hint="cs"/>
          <w:rtl/>
        </w:rPr>
        <w:instrText xml:space="preserve"> _</w:instrText>
      </w:r>
      <w:r w:rsidRPr="005E5ACF">
        <w:rPr>
          <w:rStyle w:val="af7"/>
          <w:rFonts w:eastAsia="Guttman Hodes" w:hint="cs"/>
        </w:rPr>
        <w:instrText>Ref57306457 \r \h</w:instrText>
      </w:r>
      <w:r w:rsidRPr="005E5ACF">
        <w:rPr>
          <w:rStyle w:val="af7"/>
          <w:rFonts w:eastAsia="Guttman Hodes"/>
          <w:rtl/>
        </w:rPr>
        <w:instrText xml:space="preserve"> </w:instrText>
      </w:r>
      <w:r w:rsidRPr="005E5ACF">
        <w:rPr>
          <w:rStyle w:val="af7"/>
          <w:rFonts w:eastAsia="Guttman Hodes"/>
          <w:rtl/>
        </w:rPr>
      </w:r>
      <w:r w:rsidRPr="005E5ACF">
        <w:rPr>
          <w:rStyle w:val="af7"/>
          <w:rFonts w:eastAsia="Guttman Hodes"/>
          <w:rtl/>
        </w:rPr>
        <w:fldChar w:fldCharType="separate"/>
      </w:r>
      <w:r w:rsidR="00265073">
        <w:rPr>
          <w:rStyle w:val="af7"/>
          <w:rFonts w:eastAsia="Guttman Hodes"/>
          <w:cs/>
        </w:rPr>
        <w:t>‎</w:t>
      </w:r>
      <w:r w:rsidR="00265073">
        <w:rPr>
          <w:rStyle w:val="af7"/>
          <w:rFonts w:eastAsia="Guttman Hodes"/>
          <w:rtl/>
        </w:rPr>
        <w:t>קכה)</w:t>
      </w:r>
      <w:r w:rsidRPr="005E5ACF">
        <w:rPr>
          <w:rStyle w:val="af7"/>
          <w:rFonts w:eastAsia="Guttman Hodes"/>
          <w:rtl/>
        </w:rPr>
        <w:fldChar w:fldCharType="end"/>
      </w:r>
      <w:r>
        <w:rPr>
          <w:rFonts w:hint="cs"/>
          <w:rtl/>
        </w:rPr>
        <w:t xml:space="preserve"> בסתירת דברי </w:t>
      </w:r>
      <w:r w:rsidRPr="00EC127D">
        <w:rPr>
          <w:rStyle w:val="af9"/>
          <w:rFonts w:hint="cs"/>
          <w:rtl/>
        </w:rPr>
        <w:t>הרשב"ם</w:t>
      </w:r>
      <w:r>
        <w:rPr>
          <w:rFonts w:hint="cs"/>
          <w:rtl/>
        </w:rPr>
        <w:t>.</w:t>
      </w:r>
      <w:bookmarkEnd w:id="7026"/>
      <w:r>
        <w:rPr>
          <w:rFonts w:hint="cs"/>
          <w:rtl/>
        </w:rPr>
        <w:t xml:space="preserve"> </w:t>
      </w:r>
    </w:p>
    <w:p w:rsidR="0001525E" w:rsidRPr="0001525E" w:rsidRDefault="0001525E" w:rsidP="0001525E">
      <w:pPr>
        <w:pStyle w:val="a3"/>
        <w:rPr>
          <w:rtl/>
        </w:rPr>
      </w:pPr>
    </w:p>
    <w:p w:rsidR="0019070E" w:rsidRDefault="0019070E" w:rsidP="0019070E">
      <w:pPr>
        <w:pStyle w:val="a3"/>
        <w:rPr>
          <w:rtl/>
        </w:rPr>
      </w:pPr>
      <w:bookmarkStart w:id="7027" w:name="_Toc57370384"/>
      <w:bookmarkStart w:id="7028" w:name="_Toc57491551"/>
      <w:bookmarkStart w:id="7029" w:name="_Toc57495363"/>
      <w:bookmarkStart w:id="7030" w:name="_Toc57544505"/>
      <w:bookmarkStart w:id="7031" w:name="_Toc58185009"/>
      <w:r>
        <w:rPr>
          <w:rFonts w:hint="cs"/>
          <w:rtl/>
        </w:rPr>
        <w:lastRenderedPageBreak/>
        <w:t>ביאור הרשב"ם ברבא דיש למחזיק חזקת ג"ש והוא מוחזק דלא שמענו עד היום מטענת המערער</w:t>
      </w:r>
      <w:bookmarkEnd w:id="7027"/>
      <w:bookmarkEnd w:id="7028"/>
      <w:bookmarkEnd w:id="7029"/>
      <w:bookmarkEnd w:id="7030"/>
      <w:bookmarkEnd w:id="7031"/>
    </w:p>
    <w:p w:rsidR="0019070E" w:rsidRDefault="0019070E" w:rsidP="007E4E81">
      <w:pPr>
        <w:pStyle w:val="a0"/>
        <w:rPr>
          <w:rtl/>
        </w:rPr>
      </w:pPr>
      <w:bookmarkStart w:id="7032" w:name="_Ref57063389"/>
      <w:bookmarkStart w:id="7033" w:name="_Ref57137155"/>
      <w:r>
        <w:rPr>
          <w:rFonts w:hint="cs"/>
          <w:rtl/>
        </w:rPr>
        <w:t xml:space="preserve">בדברי רבא דהקשה על ר"נ דהא המוציא מחבירו עליו הראיה, ביאר </w:t>
      </w:r>
      <w:r w:rsidRPr="00EC127D">
        <w:rPr>
          <w:rStyle w:val="af9"/>
          <w:rFonts w:hint="cs"/>
          <w:rtl/>
        </w:rPr>
        <w:t>הרשב"ם</w:t>
      </w:r>
      <w:r>
        <w:rPr>
          <w:rFonts w:hint="cs"/>
          <w:rtl/>
        </w:rPr>
        <w:t xml:space="preserve"> </w:t>
      </w:r>
      <w:r w:rsidRPr="00EC127D">
        <w:rPr>
          <w:rStyle w:val="af7"/>
          <w:rFonts w:eastAsia="Guttman Hodes" w:hint="cs"/>
          <w:rtl/>
        </w:rPr>
        <w:t>(ד"ה המוציא, ד"ה עליו)</w:t>
      </w:r>
      <w:r>
        <w:rPr>
          <w:rFonts w:hint="cs"/>
          <w:rtl/>
        </w:rPr>
        <w:t xml:space="preserve"> דהמוציא הוא המוכר, כיון שהלוקח מוחזק בבית, ועל המערער להביא ראיה שהוא השתמש בבית החיצון יחד עם המחזיק, וכתב </w:t>
      </w:r>
      <w:r w:rsidRPr="00EC127D">
        <w:rPr>
          <w:rStyle w:val="af9"/>
          <w:rFonts w:hint="cs"/>
          <w:rtl/>
        </w:rPr>
        <w:t>הרשב"ם</w:t>
      </w:r>
      <w:r>
        <w:rPr>
          <w:rFonts w:hint="cs"/>
          <w:rtl/>
        </w:rPr>
        <w:t xml:space="preserve"> דס"ל לרבא דכיון שיש עדים שהמוחזק השתמש בבית ג"ש, א"צ לחוש שמא המערער היה עמו בבית, כיון </w:t>
      </w:r>
      <w:r w:rsidRPr="003574EB">
        <w:rPr>
          <w:rFonts w:hint="cs"/>
          <w:rtl/>
        </w:rPr>
        <w:t xml:space="preserve">שלא שמענו מדבר זה לפני שטען כן המערער, ועי' במה שביארו </w:t>
      </w:r>
      <w:bookmarkEnd w:id="7032"/>
      <w:r w:rsidRPr="000644E0">
        <w:rPr>
          <w:rStyle w:val="af9"/>
          <w:rFonts w:hint="cs"/>
          <w:rtl/>
        </w:rPr>
        <w:t>הקצוה"ח</w:t>
      </w:r>
      <w:r>
        <w:rPr>
          <w:rFonts w:hint="cs"/>
          <w:rtl/>
        </w:rPr>
        <w:t xml:space="preserve"> </w:t>
      </w:r>
      <w:r w:rsidRPr="000644E0">
        <w:rPr>
          <w:rStyle w:val="af7"/>
          <w:rFonts w:eastAsia="Guttman Hodes" w:hint="cs"/>
          <w:rtl/>
        </w:rPr>
        <w:t xml:space="preserve">(עי' אות </w:t>
      </w:r>
      <w:r w:rsidRPr="000644E0">
        <w:rPr>
          <w:rStyle w:val="af7"/>
          <w:rFonts w:eastAsia="Guttman Hodes"/>
          <w:rtl/>
        </w:rPr>
        <w:fldChar w:fldCharType="begin"/>
      </w:r>
      <w:r w:rsidRPr="000644E0">
        <w:rPr>
          <w:rStyle w:val="af7"/>
          <w:rFonts w:eastAsia="Guttman Hodes"/>
          <w:rtl/>
        </w:rPr>
        <w:instrText xml:space="preserve"> </w:instrText>
      </w:r>
      <w:r w:rsidRPr="000644E0">
        <w:rPr>
          <w:rStyle w:val="af7"/>
          <w:rFonts w:eastAsia="Guttman Hodes" w:hint="cs"/>
        </w:rPr>
        <w:instrText>REF</w:instrText>
      </w:r>
      <w:r w:rsidRPr="000644E0">
        <w:rPr>
          <w:rStyle w:val="af7"/>
          <w:rFonts w:eastAsia="Guttman Hodes" w:hint="cs"/>
          <w:rtl/>
        </w:rPr>
        <w:instrText xml:space="preserve"> _</w:instrText>
      </w:r>
      <w:r w:rsidRPr="000644E0">
        <w:rPr>
          <w:rStyle w:val="af7"/>
          <w:rFonts w:eastAsia="Guttman Hodes" w:hint="cs"/>
        </w:rPr>
        <w:instrText>Ref57223141 \r \h</w:instrText>
      </w:r>
      <w:r w:rsidRPr="000644E0">
        <w:rPr>
          <w:rStyle w:val="af7"/>
          <w:rFonts w:eastAsia="Guttman Hodes"/>
          <w:rtl/>
        </w:rPr>
        <w:instrText xml:space="preserve"> </w:instrText>
      </w:r>
      <w:r w:rsidRPr="000644E0">
        <w:rPr>
          <w:rStyle w:val="af7"/>
          <w:rFonts w:eastAsia="Guttman Hodes"/>
          <w:rtl/>
        </w:rPr>
      </w:r>
      <w:r w:rsidRPr="000644E0">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0644E0">
        <w:rPr>
          <w:rStyle w:val="af7"/>
          <w:rFonts w:eastAsia="Guttman Hodes"/>
          <w:rtl/>
        </w:rPr>
        <w:fldChar w:fldCharType="end"/>
      </w:r>
      <w:r>
        <w:rPr>
          <w:rFonts w:hint="cs"/>
          <w:rtl/>
        </w:rPr>
        <w:t xml:space="preserve"> </w:t>
      </w:r>
      <w:r w:rsidRPr="000644E0">
        <w:rPr>
          <w:rStyle w:val="af9"/>
          <w:rFonts w:hint="cs"/>
          <w:rtl/>
        </w:rPr>
        <w:t>והחת"ס</w:t>
      </w:r>
      <w:r>
        <w:rPr>
          <w:rFonts w:hint="cs"/>
          <w:rtl/>
        </w:rPr>
        <w:t xml:space="preserve"> </w:t>
      </w:r>
      <w:r w:rsidRPr="000644E0">
        <w:rPr>
          <w:rStyle w:val="af7"/>
          <w:rFonts w:eastAsia="Guttman Hodes" w:hint="cs"/>
          <w:rtl/>
        </w:rPr>
        <w:t xml:space="preserve">(עי' אות </w:t>
      </w:r>
      <w:r w:rsidRPr="000644E0">
        <w:rPr>
          <w:rStyle w:val="af7"/>
          <w:rFonts w:eastAsia="Guttman Hodes"/>
          <w:rtl/>
        </w:rPr>
        <w:fldChar w:fldCharType="begin"/>
      </w:r>
      <w:r w:rsidRPr="000644E0">
        <w:rPr>
          <w:rStyle w:val="af7"/>
          <w:rFonts w:eastAsia="Guttman Hodes"/>
          <w:rtl/>
        </w:rPr>
        <w:instrText xml:space="preserve"> </w:instrText>
      </w:r>
      <w:r w:rsidRPr="000644E0">
        <w:rPr>
          <w:rStyle w:val="af7"/>
          <w:rFonts w:eastAsia="Guttman Hodes" w:hint="cs"/>
        </w:rPr>
        <w:instrText>REF</w:instrText>
      </w:r>
      <w:r w:rsidRPr="000644E0">
        <w:rPr>
          <w:rStyle w:val="af7"/>
          <w:rFonts w:eastAsia="Guttman Hodes" w:hint="cs"/>
          <w:rtl/>
        </w:rPr>
        <w:instrText xml:space="preserve"> _</w:instrText>
      </w:r>
      <w:r w:rsidRPr="000644E0">
        <w:rPr>
          <w:rStyle w:val="af7"/>
          <w:rFonts w:eastAsia="Guttman Hodes" w:hint="cs"/>
        </w:rPr>
        <w:instrText>Ref57281470 \r \h</w:instrText>
      </w:r>
      <w:r w:rsidRPr="000644E0">
        <w:rPr>
          <w:rStyle w:val="af7"/>
          <w:rFonts w:eastAsia="Guttman Hodes"/>
          <w:rtl/>
        </w:rPr>
        <w:instrText xml:space="preserve"> </w:instrText>
      </w:r>
      <w:r w:rsidRPr="000644E0">
        <w:rPr>
          <w:rStyle w:val="af7"/>
          <w:rFonts w:eastAsia="Guttman Hodes"/>
          <w:rtl/>
        </w:rPr>
      </w:r>
      <w:r w:rsidRPr="000644E0">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0644E0">
        <w:rPr>
          <w:rStyle w:val="af7"/>
          <w:rFonts w:eastAsia="Guttman Hodes"/>
          <w:rtl/>
        </w:rPr>
        <w:fldChar w:fldCharType="end"/>
      </w:r>
      <w:r>
        <w:rPr>
          <w:rFonts w:hint="cs"/>
          <w:rtl/>
        </w:rPr>
        <w:t xml:space="preserve"> </w:t>
      </w:r>
      <w:r w:rsidRPr="009E14B0">
        <w:rPr>
          <w:rtl/>
        </w:rPr>
        <w:t>בפלוגתת רבא ור"נ לדעת</w:t>
      </w:r>
      <w:r w:rsidRPr="00A2198B">
        <w:rPr>
          <w:rStyle w:val="af9"/>
          <w:rtl/>
        </w:rPr>
        <w:t xml:space="preserve"> הרשב"ם</w:t>
      </w:r>
      <w:r w:rsidRPr="009E14B0">
        <w:rPr>
          <w:rFonts w:hint="cs"/>
          <w:rtl/>
        </w:rPr>
        <w:t>, ובמ"ש</w:t>
      </w:r>
      <w:r>
        <w:rPr>
          <w:rStyle w:val="af9"/>
          <w:rFonts w:hint="cs"/>
          <w:rtl/>
        </w:rPr>
        <w:t xml:space="preserve"> </w:t>
      </w:r>
      <w:r w:rsidRPr="00A02ED7">
        <w:rPr>
          <w:rStyle w:val="af9"/>
          <w:rFonts w:hint="cs"/>
          <w:rtl/>
        </w:rPr>
        <w:t xml:space="preserve">בחי' רבי נחום </w:t>
      </w:r>
      <w:r w:rsidRPr="00CE0896">
        <w:rPr>
          <w:rStyle w:val="af7"/>
          <w:rFonts w:eastAsia="Guttman Hodes" w:hint="cs"/>
          <w:rtl/>
        </w:rPr>
        <w:t xml:space="preserve">(עי' אות </w:t>
      </w:r>
      <w:r w:rsidRPr="00CE0896">
        <w:rPr>
          <w:rStyle w:val="af7"/>
          <w:rFonts w:eastAsia="Guttman Hodes"/>
          <w:rtl/>
        </w:rPr>
        <w:fldChar w:fldCharType="begin"/>
      </w:r>
      <w:r w:rsidRPr="00CE0896">
        <w:rPr>
          <w:rStyle w:val="af7"/>
          <w:rFonts w:eastAsia="Guttman Hodes"/>
          <w:rtl/>
        </w:rPr>
        <w:instrText xml:space="preserve"> </w:instrText>
      </w:r>
      <w:r w:rsidRPr="00CE0896">
        <w:rPr>
          <w:rStyle w:val="af7"/>
          <w:rFonts w:eastAsia="Guttman Hodes" w:hint="cs"/>
        </w:rPr>
        <w:instrText>REF</w:instrText>
      </w:r>
      <w:r w:rsidRPr="00CE0896">
        <w:rPr>
          <w:rStyle w:val="af7"/>
          <w:rFonts w:eastAsia="Guttman Hodes" w:hint="cs"/>
          <w:rtl/>
        </w:rPr>
        <w:instrText xml:space="preserve"> _</w:instrText>
      </w:r>
      <w:r w:rsidRPr="00CE0896">
        <w:rPr>
          <w:rStyle w:val="af7"/>
          <w:rFonts w:eastAsia="Guttman Hodes" w:hint="cs"/>
        </w:rPr>
        <w:instrText>Ref57136011 \r \h</w:instrText>
      </w:r>
      <w:r w:rsidRPr="00CE0896">
        <w:rPr>
          <w:rStyle w:val="af7"/>
          <w:rFonts w:eastAsia="Guttman Hodes"/>
          <w:rtl/>
        </w:rPr>
        <w:instrText xml:space="preserve"> </w:instrText>
      </w:r>
      <w:r w:rsidRPr="00CE0896">
        <w:rPr>
          <w:rStyle w:val="af7"/>
          <w:rFonts w:eastAsia="Guttman Hodes"/>
          <w:rtl/>
        </w:rPr>
      </w:r>
      <w:r w:rsidRPr="00CE0896">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CE0896">
        <w:rPr>
          <w:rStyle w:val="af7"/>
          <w:rFonts w:eastAsia="Guttman Hodes"/>
          <w:rtl/>
        </w:rPr>
        <w:fldChar w:fldCharType="end"/>
      </w:r>
      <w:r w:rsidRPr="003574EB">
        <w:rPr>
          <w:rFonts w:hint="cs"/>
          <w:rtl/>
        </w:rPr>
        <w:t xml:space="preserve"> </w:t>
      </w:r>
      <w:r w:rsidRPr="00C06A4C">
        <w:rPr>
          <w:rStyle w:val="af9"/>
          <w:rFonts w:hint="cs"/>
          <w:rtl/>
        </w:rPr>
        <w:t>ובשיעורי רבי שמואל</w:t>
      </w:r>
      <w:r>
        <w:rPr>
          <w:rFonts w:hint="cs"/>
          <w:rtl/>
        </w:rPr>
        <w:t xml:space="preserve"> </w:t>
      </w:r>
      <w:r w:rsidRPr="00C06A4C">
        <w:rPr>
          <w:rStyle w:val="af7"/>
          <w:rFonts w:eastAsia="Guttman Hodes" w:hint="cs"/>
          <w:rtl/>
        </w:rPr>
        <w:t xml:space="preserve">(עי' אות </w:t>
      </w:r>
      <w:r w:rsidRPr="00C06A4C">
        <w:rPr>
          <w:rStyle w:val="af7"/>
          <w:rFonts w:eastAsia="Guttman Hodes"/>
          <w:rtl/>
        </w:rPr>
        <w:fldChar w:fldCharType="begin"/>
      </w:r>
      <w:r w:rsidRPr="00C06A4C">
        <w:rPr>
          <w:rStyle w:val="af7"/>
          <w:rFonts w:eastAsia="Guttman Hodes"/>
          <w:rtl/>
        </w:rPr>
        <w:instrText xml:space="preserve"> </w:instrText>
      </w:r>
      <w:r w:rsidRPr="00C06A4C">
        <w:rPr>
          <w:rStyle w:val="af7"/>
          <w:rFonts w:eastAsia="Guttman Hodes" w:hint="cs"/>
        </w:rPr>
        <w:instrText>REF</w:instrText>
      </w:r>
      <w:r w:rsidRPr="00C06A4C">
        <w:rPr>
          <w:rStyle w:val="af7"/>
          <w:rFonts w:eastAsia="Guttman Hodes" w:hint="cs"/>
          <w:rtl/>
        </w:rPr>
        <w:instrText xml:space="preserve"> _</w:instrText>
      </w:r>
      <w:r w:rsidRPr="00C06A4C">
        <w:rPr>
          <w:rStyle w:val="af7"/>
          <w:rFonts w:eastAsia="Guttman Hodes" w:hint="cs"/>
        </w:rPr>
        <w:instrText>Ref57535755 \r \h</w:instrText>
      </w:r>
      <w:r w:rsidRPr="00C06A4C">
        <w:rPr>
          <w:rStyle w:val="af7"/>
          <w:rFonts w:eastAsia="Guttman Hodes"/>
          <w:rtl/>
        </w:rPr>
        <w:instrText xml:space="preserve"> </w:instrText>
      </w:r>
      <w:r w:rsidRPr="00C06A4C">
        <w:rPr>
          <w:rStyle w:val="af7"/>
          <w:rFonts w:eastAsia="Guttman Hodes"/>
          <w:rtl/>
        </w:rPr>
      </w:r>
      <w:r w:rsidRPr="00C06A4C">
        <w:rPr>
          <w:rStyle w:val="af7"/>
          <w:rFonts w:eastAsia="Guttman Hodes"/>
          <w:rtl/>
        </w:rPr>
        <w:fldChar w:fldCharType="separate"/>
      </w:r>
      <w:r w:rsidR="00265073">
        <w:rPr>
          <w:rStyle w:val="af7"/>
          <w:rFonts w:eastAsia="Guttman Hodes"/>
          <w:cs/>
        </w:rPr>
        <w:t>‎</w:t>
      </w:r>
      <w:r w:rsidR="00265073">
        <w:rPr>
          <w:rStyle w:val="af7"/>
          <w:rFonts w:eastAsia="Guttman Hodes"/>
          <w:rtl/>
        </w:rPr>
        <w:t>קכא)</w:t>
      </w:r>
      <w:r w:rsidRPr="00C06A4C">
        <w:rPr>
          <w:rStyle w:val="af7"/>
          <w:rFonts w:eastAsia="Guttman Hodes"/>
          <w:rtl/>
        </w:rPr>
        <w:fldChar w:fldCharType="end"/>
      </w:r>
      <w:r w:rsidRPr="00C06A4C">
        <w:rPr>
          <w:rStyle w:val="af7"/>
          <w:rFonts w:eastAsia="Guttman Hodes" w:hint="cs"/>
          <w:rtl/>
        </w:rPr>
        <w:t xml:space="preserve"> </w:t>
      </w:r>
      <w:r w:rsidRPr="003574EB">
        <w:rPr>
          <w:rFonts w:hint="cs"/>
          <w:rtl/>
        </w:rPr>
        <w:t xml:space="preserve">בדברי </w:t>
      </w:r>
      <w:r w:rsidRPr="003574EB">
        <w:rPr>
          <w:rStyle w:val="af9"/>
          <w:rFonts w:hint="cs"/>
          <w:rtl/>
        </w:rPr>
        <w:t>הרשב"ם</w:t>
      </w:r>
      <w:r w:rsidRPr="003574EB">
        <w:rPr>
          <w:rFonts w:hint="cs"/>
          <w:rtl/>
        </w:rPr>
        <w:t>.</w:t>
      </w:r>
      <w:bookmarkEnd w:id="7033"/>
    </w:p>
    <w:p w:rsidR="0019070E" w:rsidRPr="003240AD" w:rsidRDefault="0019070E" w:rsidP="0019070E">
      <w:pPr>
        <w:pStyle w:val="a3"/>
        <w:rPr>
          <w:rtl/>
        </w:rPr>
      </w:pPr>
      <w:bookmarkStart w:id="7034" w:name="_Toc57370385"/>
      <w:bookmarkStart w:id="7035" w:name="_Toc57491552"/>
      <w:bookmarkStart w:id="7036" w:name="_Toc57495364"/>
      <w:bookmarkStart w:id="7037" w:name="_Toc57544506"/>
      <w:bookmarkStart w:id="7038" w:name="_Toc58185010"/>
      <w:r>
        <w:rPr>
          <w:rFonts w:hint="cs"/>
          <w:rtl/>
        </w:rPr>
        <w:t>דברי הרשב"ם הקצר דכשאין עידי חזקה לכו"ע היא בחזקת המר"ק אף שמודה שהחזיק בחיצון</w:t>
      </w:r>
      <w:bookmarkEnd w:id="7034"/>
      <w:bookmarkEnd w:id="7035"/>
      <w:bookmarkEnd w:id="7036"/>
      <w:bookmarkEnd w:id="7037"/>
      <w:bookmarkEnd w:id="7038"/>
    </w:p>
    <w:p w:rsidR="0019070E" w:rsidRDefault="0019070E" w:rsidP="007E4E81">
      <w:pPr>
        <w:pStyle w:val="a0"/>
        <w:rPr>
          <w:rtl/>
        </w:rPr>
      </w:pPr>
      <w:r w:rsidRPr="003574EB">
        <w:rPr>
          <w:rFonts w:hint="cs"/>
          <w:rtl/>
        </w:rPr>
        <w:t xml:space="preserve">והוסיף </w:t>
      </w:r>
      <w:r w:rsidRPr="003240AD">
        <w:rPr>
          <w:rStyle w:val="af9"/>
          <w:rFonts w:hint="cs"/>
          <w:rtl/>
        </w:rPr>
        <w:t>ברשב"ם הקצר</w:t>
      </w:r>
      <w:r w:rsidRPr="003574EB">
        <w:rPr>
          <w:rFonts w:hint="cs"/>
          <w:rtl/>
        </w:rPr>
        <w:t xml:space="preserve"> </w:t>
      </w:r>
      <w:r w:rsidRPr="003240AD">
        <w:rPr>
          <w:rStyle w:val="af7"/>
          <w:rFonts w:eastAsia="Guttman Hodes" w:hint="cs"/>
          <w:rtl/>
        </w:rPr>
        <w:t>(ד"ה המוציא)</w:t>
      </w:r>
      <w:r>
        <w:rPr>
          <w:rFonts w:hint="cs"/>
          <w:rtl/>
        </w:rPr>
        <w:t xml:space="preserve"> דהא ד</w:t>
      </w:r>
      <w:r w:rsidRPr="003574EB">
        <w:rPr>
          <w:rFonts w:hint="cs"/>
          <w:rtl/>
        </w:rPr>
        <w:t>אמר ר</w:t>
      </w:r>
      <w:r>
        <w:rPr>
          <w:rFonts w:hint="cs"/>
          <w:rtl/>
        </w:rPr>
        <w:t>בא</w:t>
      </w:r>
      <w:r w:rsidRPr="003574EB">
        <w:rPr>
          <w:rFonts w:hint="cs"/>
          <w:rtl/>
        </w:rPr>
        <w:t xml:space="preserve"> דעל המוכר להביא ראיה</w:t>
      </w:r>
      <w:r>
        <w:rPr>
          <w:rFonts w:hint="cs"/>
          <w:rtl/>
        </w:rPr>
        <w:t>, היינו דוקא באופן שיש למחזיק עידי חזקת ג"ש</w:t>
      </w:r>
      <w:r w:rsidRPr="003574EB">
        <w:rPr>
          <w:rFonts w:hint="cs"/>
          <w:rtl/>
        </w:rPr>
        <w:t>, דהא אי אין לו עידי חזקה, הקרקע ודאי עומדת בחזקת המרא קמא, ואעפ"י שהודה המערער שהמחזיק ישב בבית החיצון ג"ש, מ"מ כיון שהוא טוען שהיה בבית הפנימי ולא הועילה לו חזקת המחזיק, הוא נאמן לומר שלא מכר לו את החיצון, מדין הפה שאסר, ורק באופן שיש למחזיק עידי חזקה</w:t>
      </w:r>
      <w:r>
        <w:rPr>
          <w:rFonts w:hint="cs"/>
          <w:rtl/>
        </w:rPr>
        <w:t>, והמערער טוען שהיה בבית הפנימי, אמר רבא דעליו להביא ראיה</w:t>
      </w:r>
      <w:r w:rsidRPr="003574EB">
        <w:rPr>
          <w:rFonts w:hint="cs"/>
          <w:rtl/>
        </w:rPr>
        <w:t>.</w:t>
      </w:r>
    </w:p>
    <w:p w:rsidR="0019070E" w:rsidRDefault="0019070E" w:rsidP="0019070E">
      <w:pPr>
        <w:pStyle w:val="1"/>
        <w:rPr>
          <w:rtl/>
        </w:rPr>
      </w:pPr>
      <w:bookmarkStart w:id="7039" w:name="_Toc57310477"/>
      <w:bookmarkStart w:id="7040" w:name="_Toc57323034"/>
      <w:bookmarkStart w:id="7041" w:name="_Toc57323143"/>
      <w:bookmarkStart w:id="7042" w:name="_Toc57370386"/>
      <w:bookmarkStart w:id="7043" w:name="_Toc57491553"/>
      <w:bookmarkStart w:id="7044" w:name="_Toc57495365"/>
      <w:bookmarkStart w:id="7045" w:name="_Toc57544507"/>
      <w:bookmarkStart w:id="7046" w:name="_Toc58185011"/>
      <w:r>
        <w:rPr>
          <w:rFonts w:hint="cs"/>
          <w:rtl/>
        </w:rPr>
        <w:t>דברי הרי"ף</w:t>
      </w:r>
      <w:bookmarkEnd w:id="7039"/>
      <w:bookmarkEnd w:id="7040"/>
      <w:bookmarkEnd w:id="7041"/>
      <w:bookmarkEnd w:id="7042"/>
      <w:bookmarkEnd w:id="7043"/>
      <w:r>
        <w:rPr>
          <w:rFonts w:hint="cs"/>
          <w:rtl/>
        </w:rPr>
        <w:t xml:space="preserve"> דלר"נ צריך עדים שהיה יום א' בעיר ויתכן שמכר</w:t>
      </w:r>
      <w:bookmarkEnd w:id="7044"/>
      <w:bookmarkEnd w:id="7045"/>
      <w:bookmarkEnd w:id="7046"/>
    </w:p>
    <w:p w:rsidR="0019070E" w:rsidRPr="009B2508" w:rsidRDefault="0019070E" w:rsidP="0019070E">
      <w:pPr>
        <w:pStyle w:val="a3"/>
        <w:rPr>
          <w:rtl/>
        </w:rPr>
      </w:pPr>
      <w:bookmarkStart w:id="7047" w:name="_Toc57370387"/>
      <w:bookmarkStart w:id="7048" w:name="_Toc57491554"/>
      <w:bookmarkStart w:id="7049" w:name="_Toc57495366"/>
      <w:bookmarkStart w:id="7050" w:name="_Toc57544508"/>
      <w:bookmarkStart w:id="7051" w:name="_Toc58185012"/>
      <w:r>
        <w:rPr>
          <w:rFonts w:hint="cs"/>
          <w:rtl/>
        </w:rPr>
        <w:t>ביאור הרי"ף והרמב"ם בר"נ דהמחזיק יוכיח שהמערער היה יום אחד בעיר דאכילתו תחשב חזקה</w:t>
      </w:r>
      <w:bookmarkEnd w:id="7047"/>
      <w:bookmarkEnd w:id="7048"/>
      <w:bookmarkEnd w:id="7049"/>
      <w:bookmarkEnd w:id="7050"/>
      <w:bookmarkEnd w:id="7051"/>
    </w:p>
    <w:p w:rsidR="0019070E" w:rsidRDefault="0019070E" w:rsidP="007E4E81">
      <w:pPr>
        <w:pStyle w:val="a0"/>
        <w:rPr>
          <w:rtl/>
        </w:rPr>
      </w:pPr>
      <w:r>
        <w:rPr>
          <w:rFonts w:hint="cs"/>
          <w:rtl/>
        </w:rPr>
        <w:t xml:space="preserve">עי' במה שביארו </w:t>
      </w:r>
      <w:r w:rsidRPr="00EF2C6E">
        <w:rPr>
          <w:rStyle w:val="af9"/>
          <w:rFonts w:hint="cs"/>
          <w:rtl/>
        </w:rPr>
        <w:t>הרי"ף</w:t>
      </w:r>
      <w:r>
        <w:rPr>
          <w:rStyle w:val="af9"/>
          <w:rFonts w:hint="cs"/>
          <w:rtl/>
        </w:rPr>
        <w:t xml:space="preserve"> והרמב"ם</w:t>
      </w:r>
      <w:r w:rsidRPr="00EF2C6E">
        <w:rPr>
          <w:rFonts w:hint="cs"/>
          <w:rtl/>
        </w:rPr>
        <w:t xml:space="preserve"> </w:t>
      </w:r>
      <w:r w:rsidRPr="00EF2C6E">
        <w:rPr>
          <w:rStyle w:val="af7"/>
          <w:rFonts w:eastAsia="Guttman Hodes" w:hint="cs"/>
          <w:rtl/>
        </w:rPr>
        <w:t xml:space="preserve">(עי' אות </w:t>
      </w:r>
      <w:r w:rsidRPr="00EF2C6E">
        <w:rPr>
          <w:rStyle w:val="af7"/>
          <w:rFonts w:eastAsia="Guttman Hodes"/>
          <w:rtl/>
        </w:rPr>
        <w:fldChar w:fldCharType="begin"/>
      </w:r>
      <w:r w:rsidRPr="00EF2C6E">
        <w:rPr>
          <w:rStyle w:val="af7"/>
          <w:rFonts w:eastAsia="Guttman Hodes"/>
          <w:rtl/>
        </w:rPr>
        <w:instrText xml:space="preserve"> </w:instrText>
      </w:r>
      <w:r w:rsidRPr="00EF2C6E">
        <w:rPr>
          <w:rStyle w:val="af7"/>
          <w:rFonts w:eastAsia="Guttman Hodes" w:hint="cs"/>
        </w:rPr>
        <w:instrText>REF</w:instrText>
      </w:r>
      <w:r w:rsidRPr="00EF2C6E">
        <w:rPr>
          <w:rStyle w:val="af7"/>
          <w:rFonts w:eastAsia="Guttman Hodes" w:hint="cs"/>
          <w:rtl/>
        </w:rPr>
        <w:instrText xml:space="preserve"> _</w:instrText>
      </w:r>
      <w:r w:rsidRPr="00EF2C6E">
        <w:rPr>
          <w:rStyle w:val="af7"/>
          <w:rFonts w:eastAsia="Guttman Hodes" w:hint="cs"/>
        </w:rPr>
        <w:instrText>Ref57320600 \r \h</w:instrText>
      </w:r>
      <w:r w:rsidRPr="00EF2C6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EF2C6E">
        <w:rPr>
          <w:rStyle w:val="af7"/>
          <w:rFonts w:eastAsia="Guttman Hodes"/>
          <w:rtl/>
        </w:rPr>
      </w:r>
      <w:r w:rsidRPr="00EF2C6E">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EF2C6E">
        <w:rPr>
          <w:rStyle w:val="af7"/>
          <w:rFonts w:eastAsia="Guttman Hodes"/>
          <w:rtl/>
        </w:rPr>
        <w:fldChar w:fldCharType="end"/>
      </w:r>
      <w:r w:rsidRPr="00EF2C6E">
        <w:rPr>
          <w:rStyle w:val="af7"/>
          <w:rFonts w:eastAsia="Guttman Hodes" w:hint="cs"/>
          <w:rtl/>
        </w:rPr>
        <w:t xml:space="preserve"> </w:t>
      </w:r>
      <w:r w:rsidRPr="00EF2C6E">
        <w:rPr>
          <w:rtl/>
        </w:rPr>
        <w:t>דטוען המערער למחזיק דלא יתכן שקנית ממני, כיון שאותו הזמן שאתה טוען שקנית ממני, לא הייתי בעיר,</w:t>
      </w:r>
      <w:r>
        <w:rPr>
          <w:rFonts w:hint="cs"/>
          <w:rtl/>
        </w:rPr>
        <w:t xml:space="preserve"> ובדברי ר"נ דאמר למחזיק זיל ברור אכילתך, ביאר </w:t>
      </w:r>
      <w:r w:rsidRPr="001475AD">
        <w:rPr>
          <w:rStyle w:val="af9"/>
          <w:rFonts w:hint="cs"/>
          <w:rtl/>
        </w:rPr>
        <w:t xml:space="preserve">הרי"ף </w:t>
      </w:r>
      <w:r w:rsidRPr="00787BB5">
        <w:rPr>
          <w:rStyle w:val="af7"/>
          <w:rFonts w:eastAsia="Guttman Hodes" w:hint="cs"/>
          <w:rtl/>
        </w:rPr>
        <w:t>(טו. מדה"ר)</w:t>
      </w:r>
      <w:r>
        <w:rPr>
          <w:rFonts w:hint="cs"/>
          <w:rtl/>
        </w:rPr>
        <w:t xml:space="preserve"> דעל המחזיק להביא עדים שהוא היה עם המערער באותה העיר אפילו יום אחד, דיתכן שקנית מהמערער באותו היום, ואם תביא עדים ע"ז נעמיד את הקרקע בידך, דעי"ז אכילתך חשיבא כאכילה של שני חזקה,</w:t>
      </w:r>
      <w:r w:rsidRPr="008E0CFA">
        <w:rPr>
          <w:rFonts w:hint="cs"/>
          <w:rtl/>
        </w:rPr>
        <w:t xml:space="preserve"> </w:t>
      </w:r>
      <w:r>
        <w:rPr>
          <w:rFonts w:hint="cs"/>
          <w:rtl/>
        </w:rPr>
        <w:t xml:space="preserve">ואם אין לך עדים ע"ז, א"כ החזקה שלך היא חזקה בלא טענה, ולא הוי חזקה, וכתב </w:t>
      </w:r>
      <w:r w:rsidRPr="005722BD">
        <w:rPr>
          <w:rStyle w:val="af9"/>
          <w:rFonts w:hint="cs"/>
          <w:rtl/>
        </w:rPr>
        <w:t>הרי"ף</w:t>
      </w:r>
      <w:r>
        <w:rPr>
          <w:rFonts w:hint="cs"/>
          <w:rtl/>
        </w:rPr>
        <w:t xml:space="preserve"> דקיי"ל כר"נ, וכ"כ </w:t>
      </w:r>
      <w:r w:rsidRPr="007A5BAD">
        <w:rPr>
          <w:rStyle w:val="af9"/>
          <w:rFonts w:hint="cs"/>
          <w:rtl/>
        </w:rPr>
        <w:t>הרמב"ם</w:t>
      </w:r>
      <w:r>
        <w:rPr>
          <w:rFonts w:hint="cs"/>
          <w:rtl/>
        </w:rPr>
        <w:t xml:space="preserve"> </w:t>
      </w:r>
      <w:r w:rsidRPr="007A5BAD">
        <w:rPr>
          <w:rStyle w:val="af7"/>
          <w:rFonts w:eastAsia="Guttman Hodes" w:hint="cs"/>
          <w:rtl/>
        </w:rPr>
        <w:t>(טו"נ פט"ו ה"י)</w:t>
      </w:r>
      <w:r>
        <w:rPr>
          <w:rFonts w:hint="cs"/>
          <w:rtl/>
        </w:rPr>
        <w:t xml:space="preserve"> דהמחזיק צריך להביא ראיה שהיה המערער עמו במדינה בזמן שהוא טוען שמכר לו, ואף אם יביא ראיה שהיה יום אחד במדינה, דיתכן שמכר לו באותו היום, יש לו חזקה, ואם אין לו ראיה מוציאים אותו מהשדה.</w:t>
      </w:r>
    </w:p>
    <w:p w:rsidR="0019070E" w:rsidRDefault="0019070E" w:rsidP="0019070E">
      <w:pPr>
        <w:pStyle w:val="a3"/>
        <w:rPr>
          <w:rtl/>
        </w:rPr>
      </w:pPr>
      <w:bookmarkStart w:id="7052" w:name="_Toc57370390"/>
      <w:bookmarkStart w:id="7053" w:name="_Toc57491557"/>
      <w:bookmarkStart w:id="7054" w:name="_Toc57495367"/>
      <w:bookmarkStart w:id="7055" w:name="_Toc57544509"/>
      <w:bookmarkStart w:id="7056" w:name="_Toc58185013"/>
      <w:bookmarkStart w:id="7057" w:name="_Toc57370388"/>
      <w:bookmarkStart w:id="7058" w:name="_Toc57491555"/>
      <w:r>
        <w:rPr>
          <w:rFonts w:hint="cs"/>
          <w:rtl/>
        </w:rPr>
        <w:t>ביאור הר"ח בר"נ דא"צ להביא ראיה על עצם החזקה אלא שיש לו דין שראוי לאכילה שאכל</w:t>
      </w:r>
      <w:bookmarkEnd w:id="7052"/>
      <w:bookmarkEnd w:id="7053"/>
      <w:bookmarkEnd w:id="7054"/>
      <w:bookmarkEnd w:id="7055"/>
      <w:bookmarkEnd w:id="7056"/>
    </w:p>
    <w:p w:rsidR="0019070E" w:rsidRPr="006C69EF" w:rsidRDefault="0019070E" w:rsidP="007E4E81">
      <w:pPr>
        <w:pStyle w:val="a0"/>
        <w:rPr>
          <w:rStyle w:val="afb"/>
          <w:rtl/>
        </w:rPr>
      </w:pPr>
      <w:r>
        <w:rPr>
          <w:rStyle w:val="af9"/>
          <w:rFonts w:hint="cs"/>
          <w:rtl/>
        </w:rPr>
        <w:t>ו</w:t>
      </w:r>
      <w:r w:rsidRPr="001D0AD8">
        <w:rPr>
          <w:rStyle w:val="af9"/>
          <w:rFonts w:hint="cs"/>
          <w:rtl/>
        </w:rPr>
        <w:t>בפי' ר"ח</w:t>
      </w:r>
      <w:r>
        <w:rPr>
          <w:rFonts w:hint="cs"/>
          <w:rtl/>
        </w:rPr>
        <w:t xml:space="preserve"> </w:t>
      </w:r>
      <w:r w:rsidRPr="00C947D2">
        <w:rPr>
          <w:rStyle w:val="af7"/>
          <w:rFonts w:eastAsia="Guttman Hodes" w:hint="cs"/>
          <w:rtl/>
        </w:rPr>
        <w:t>(ד"ה</w:t>
      </w:r>
      <w:r>
        <w:rPr>
          <w:rStyle w:val="af7"/>
          <w:rFonts w:eastAsia="Guttman Hodes" w:hint="cs"/>
          <w:rtl/>
        </w:rPr>
        <w:t xml:space="preserve"> מינך</w:t>
      </w:r>
      <w:r w:rsidRPr="00C947D2">
        <w:rPr>
          <w:rStyle w:val="af7"/>
          <w:rFonts w:eastAsia="Guttman Hodes" w:hint="cs"/>
          <w:rtl/>
        </w:rPr>
        <w:t xml:space="preserve">, נד' בשיטת הקדמונים, </w:t>
      </w:r>
      <w:r w:rsidRPr="001D0AD8">
        <w:rPr>
          <w:rStyle w:val="af7"/>
          <w:rFonts w:eastAsia="Guttman Hodes" w:hint="cs"/>
          <w:rtl/>
        </w:rPr>
        <w:t>הועתק בקובץ שיטות קמאי ב"ב ח"א עמ'</w:t>
      </w:r>
      <w:r w:rsidRPr="001D0AD8">
        <w:rPr>
          <w:rStyle w:val="af7"/>
          <w:rFonts w:eastAsia="Guttman Hodes"/>
          <w:rtl/>
        </w:rPr>
        <w:t xml:space="preserve"> תרפב</w:t>
      </w:r>
      <w:r w:rsidRPr="001D0AD8">
        <w:rPr>
          <w:rStyle w:val="af7"/>
          <w:rFonts w:eastAsia="Guttman Hodes" w:hint="cs"/>
          <w:rtl/>
        </w:rPr>
        <w:t>)</w:t>
      </w:r>
      <w:r>
        <w:rPr>
          <w:rFonts w:hint="cs"/>
          <w:rtl/>
        </w:rPr>
        <w:t xml:space="preserve"> ביאר דאין כוונת ר"נ לומר שעל המחזיק להביא ראיה שאכל שני חזקה, אלא שהוא צריך לברר שיש דין שראוי לאכילה שאכל. </w:t>
      </w:r>
      <w:r w:rsidRPr="006C69EF">
        <w:rPr>
          <w:rStyle w:val="afb"/>
          <w:rFonts w:hint="cs"/>
          <w:rtl/>
        </w:rPr>
        <w:t>[דהיינו שיוכיח דטענתו שקנה מהמערער באותו זמן היא טענה, דלא היה המערער בזמן הזה בעיר אחרת, ועי"ז יש לו חזקה עם טענה].</w:t>
      </w:r>
    </w:p>
    <w:p w:rsidR="0019070E" w:rsidRPr="00787BB5" w:rsidRDefault="0019070E" w:rsidP="0019070E">
      <w:pPr>
        <w:pStyle w:val="a3"/>
        <w:rPr>
          <w:rtl/>
        </w:rPr>
      </w:pPr>
      <w:bookmarkStart w:id="7059" w:name="_Toc57495368"/>
      <w:bookmarkStart w:id="7060" w:name="_Toc57544510"/>
      <w:bookmarkStart w:id="7061" w:name="_Toc58185014"/>
      <w:r>
        <w:rPr>
          <w:rFonts w:hint="cs"/>
          <w:rtl/>
        </w:rPr>
        <w:t>ביאור הרי"ף ברבא דעל המערער להביא עדים שלא היה בעיר ביום שטוען המחזיק שקנה ממו</w:t>
      </w:r>
      <w:bookmarkEnd w:id="7057"/>
      <w:bookmarkEnd w:id="7058"/>
      <w:bookmarkEnd w:id="7059"/>
      <w:bookmarkEnd w:id="7060"/>
      <w:bookmarkEnd w:id="7061"/>
    </w:p>
    <w:p w:rsidR="0019070E" w:rsidRPr="00EF1A9A" w:rsidRDefault="0019070E" w:rsidP="007E4E81">
      <w:pPr>
        <w:pStyle w:val="a0"/>
        <w:rPr>
          <w:rtl/>
        </w:rPr>
      </w:pPr>
      <w:r>
        <w:rPr>
          <w:rFonts w:hint="cs"/>
          <w:rtl/>
        </w:rPr>
        <w:t xml:space="preserve">ובדברי רבא דאמר דהמוציא מחבירו עליו הראיה, ביאר </w:t>
      </w:r>
      <w:r w:rsidRPr="00505B8C">
        <w:rPr>
          <w:rStyle w:val="af9"/>
          <w:rFonts w:hint="cs"/>
          <w:rtl/>
        </w:rPr>
        <w:t xml:space="preserve">הרי"ף </w:t>
      </w:r>
      <w:r>
        <w:rPr>
          <w:rFonts w:hint="cs"/>
          <w:rtl/>
        </w:rPr>
        <w:t>דס"ל לרבא דהמערער צריך להביא עדים שלא היה בעיר באותו היום שטוען המחזיק שקנה ממנו, וכ"כ</w:t>
      </w:r>
      <w:r w:rsidRPr="00C947D2">
        <w:rPr>
          <w:rFonts w:hint="cs"/>
          <w:rtl/>
        </w:rPr>
        <w:t xml:space="preserve"> </w:t>
      </w:r>
      <w:r w:rsidRPr="001D0AD8">
        <w:rPr>
          <w:rStyle w:val="af9"/>
          <w:rFonts w:hint="cs"/>
          <w:rtl/>
        </w:rPr>
        <w:t>בפי' ר"ח</w:t>
      </w:r>
      <w:r>
        <w:rPr>
          <w:rFonts w:hint="cs"/>
          <w:rtl/>
        </w:rPr>
        <w:t xml:space="preserve"> דכיון שהמערער רוצה להוציא את הקרקע מיד מי שמוחזק בה, עליו להביא ראיה שבזמן שטוען המחזיק שקנה ממנו, הוא היה בשכוני גוואי. </w:t>
      </w:r>
      <w:r w:rsidRPr="006C69EF">
        <w:rPr>
          <w:rStyle w:val="afb"/>
          <w:rFonts w:hint="cs"/>
          <w:rtl/>
        </w:rPr>
        <w:t>[דהיינו בעיר אחרת].</w:t>
      </w:r>
      <w:r>
        <w:rPr>
          <w:rFonts w:hint="cs"/>
          <w:rtl/>
        </w:rPr>
        <w:t xml:space="preserve"> </w:t>
      </w:r>
    </w:p>
    <w:p w:rsidR="0019070E" w:rsidRDefault="0019070E" w:rsidP="0019070E">
      <w:pPr>
        <w:pStyle w:val="1"/>
        <w:rPr>
          <w:rtl/>
        </w:rPr>
      </w:pPr>
      <w:bookmarkStart w:id="7062" w:name="_Toc57310480"/>
      <w:bookmarkStart w:id="7063" w:name="_Toc57323037"/>
      <w:bookmarkStart w:id="7064" w:name="_Toc57323146"/>
      <w:bookmarkStart w:id="7065" w:name="_Toc57370392"/>
      <w:bookmarkStart w:id="7066" w:name="_Toc57491559"/>
      <w:bookmarkStart w:id="7067" w:name="_Toc57495369"/>
      <w:bookmarkStart w:id="7068" w:name="_Toc57544511"/>
      <w:bookmarkStart w:id="7069" w:name="_Toc58185015"/>
      <w:r>
        <w:rPr>
          <w:rFonts w:hint="cs"/>
          <w:rtl/>
        </w:rPr>
        <w:t>דברי הרמב"ן</w:t>
      </w:r>
      <w:bookmarkEnd w:id="7062"/>
      <w:bookmarkEnd w:id="7063"/>
      <w:bookmarkEnd w:id="7064"/>
      <w:bookmarkEnd w:id="7065"/>
      <w:bookmarkEnd w:id="7066"/>
      <w:r>
        <w:rPr>
          <w:rFonts w:hint="cs"/>
          <w:rtl/>
        </w:rPr>
        <w:t xml:space="preserve"> דנח' רבא ור"נ אי דמי לטענה בחזקה או למחאה</w:t>
      </w:r>
      <w:bookmarkEnd w:id="7067"/>
      <w:bookmarkEnd w:id="7068"/>
      <w:bookmarkEnd w:id="7069"/>
    </w:p>
    <w:p w:rsidR="0019070E" w:rsidRDefault="0019070E" w:rsidP="0019070E">
      <w:pPr>
        <w:pStyle w:val="a3"/>
        <w:rPr>
          <w:rtl/>
        </w:rPr>
      </w:pPr>
      <w:bookmarkStart w:id="7070" w:name="_Toc57370393"/>
      <w:bookmarkStart w:id="7071" w:name="_Toc57491560"/>
      <w:bookmarkStart w:id="7072" w:name="_Toc57495370"/>
      <w:bookmarkStart w:id="7073" w:name="_Toc57544512"/>
      <w:bookmarkStart w:id="7074" w:name="_Toc58185016"/>
      <w:r>
        <w:rPr>
          <w:rFonts w:hint="cs"/>
          <w:rtl/>
        </w:rPr>
        <w:t>ביאור הרמב"ן בר"נ דהמערער נאמן כיון דטענתו על עצם החזקה של המחזיק ועליו לקיים חזקתו</w:t>
      </w:r>
      <w:bookmarkEnd w:id="7070"/>
      <w:bookmarkEnd w:id="7071"/>
      <w:bookmarkEnd w:id="7072"/>
      <w:bookmarkEnd w:id="7073"/>
      <w:bookmarkEnd w:id="7074"/>
      <w:r>
        <w:rPr>
          <w:rFonts w:hint="cs"/>
          <w:rtl/>
        </w:rPr>
        <w:t xml:space="preserve"> </w:t>
      </w:r>
    </w:p>
    <w:p w:rsidR="0019070E" w:rsidRDefault="0019070E" w:rsidP="007E4E81">
      <w:pPr>
        <w:pStyle w:val="a0"/>
        <w:rPr>
          <w:rtl/>
        </w:rPr>
      </w:pPr>
      <w:bookmarkStart w:id="7075" w:name="_Ref57543338"/>
      <w:r w:rsidRPr="00801B45">
        <w:rPr>
          <w:rStyle w:val="af9"/>
          <w:rFonts w:hint="cs"/>
          <w:rtl/>
        </w:rPr>
        <w:t>וה</w:t>
      </w:r>
      <w:r w:rsidRPr="00275129">
        <w:rPr>
          <w:rStyle w:val="af9"/>
          <w:rFonts w:hint="cs"/>
          <w:rtl/>
        </w:rPr>
        <w:t>רמב"ן</w:t>
      </w:r>
      <w:r>
        <w:rPr>
          <w:rFonts w:hint="cs"/>
          <w:rtl/>
        </w:rPr>
        <w:t xml:space="preserve"> </w:t>
      </w:r>
      <w:r w:rsidRPr="00275129">
        <w:rPr>
          <w:rStyle w:val="af7"/>
          <w:rFonts w:eastAsia="Guttman Hodes" w:hint="cs"/>
          <w:rtl/>
        </w:rPr>
        <w:t>(ד"ה ואני שמעתי)</w:t>
      </w:r>
      <w:r>
        <w:rPr>
          <w:rFonts w:hint="cs"/>
          <w:rtl/>
        </w:rPr>
        <w:t xml:space="preserve"> ביאר בדעת ר"נ דהמערער נאמן בטענה הזו, ועל המחזיק לקיים את החזקה שלו, כמו במקום שטוען המערער שהוא לא החזיק כלל, דעליו להביא ראיה שהחזיק, וביאר </w:t>
      </w:r>
      <w:r w:rsidRPr="00275129">
        <w:rPr>
          <w:rStyle w:val="af9"/>
          <w:rFonts w:hint="cs"/>
          <w:rtl/>
        </w:rPr>
        <w:t>הרמב"ן</w:t>
      </w:r>
      <w:r>
        <w:rPr>
          <w:rFonts w:hint="cs"/>
          <w:rtl/>
        </w:rPr>
        <w:t xml:space="preserve"> דר"נ מדמה את טענת המערער לקיום החזקה עצמה, דעל המחזיק לקיים את חזקתו, וכ"כ </w:t>
      </w:r>
      <w:r w:rsidRPr="00C87E38">
        <w:rPr>
          <w:rStyle w:val="af9"/>
          <w:rFonts w:hint="cs"/>
          <w:rtl/>
        </w:rPr>
        <w:t xml:space="preserve">הנימוק"י </w:t>
      </w:r>
      <w:r w:rsidRPr="00C87E38">
        <w:rPr>
          <w:rStyle w:val="af7"/>
          <w:rFonts w:eastAsia="Guttman Hodes" w:hint="cs"/>
          <w:rtl/>
        </w:rPr>
        <w:t>(טו. מדה"ר ד"ה א"ל רב נחמן)</w:t>
      </w:r>
      <w:r>
        <w:rPr>
          <w:rFonts w:hint="cs"/>
          <w:rtl/>
        </w:rPr>
        <w:t xml:space="preserve">, והוסיף </w:t>
      </w:r>
      <w:r w:rsidRPr="00275129">
        <w:rPr>
          <w:rStyle w:val="af9"/>
          <w:rFonts w:hint="cs"/>
          <w:rtl/>
        </w:rPr>
        <w:t>הר"ן</w:t>
      </w:r>
      <w:r>
        <w:rPr>
          <w:rFonts w:hint="cs"/>
          <w:rtl/>
        </w:rPr>
        <w:t xml:space="preserve"> </w:t>
      </w:r>
      <w:r w:rsidRPr="00275129">
        <w:rPr>
          <w:rStyle w:val="af7"/>
          <w:rFonts w:eastAsia="Guttman Hodes" w:hint="cs"/>
          <w:rtl/>
        </w:rPr>
        <w:t>(ד"ה בשכוני)</w:t>
      </w:r>
      <w:r>
        <w:rPr>
          <w:rFonts w:hint="cs"/>
          <w:rtl/>
        </w:rPr>
        <w:t xml:space="preserve"> דכמו שהמחזיק צריך לברר שהחזיק ג"ש, כך הוא צריך לברר שהמערער היה במקום שהיה יכול למחות, דזהו גוף החזקה.</w:t>
      </w:r>
      <w:bookmarkEnd w:id="7075"/>
    </w:p>
    <w:p w:rsidR="0019070E" w:rsidRDefault="0019070E" w:rsidP="0019070E">
      <w:pPr>
        <w:pStyle w:val="a3"/>
        <w:rPr>
          <w:rtl/>
        </w:rPr>
      </w:pPr>
      <w:bookmarkStart w:id="7076" w:name="_Toc57370394"/>
      <w:bookmarkStart w:id="7077" w:name="_Toc57491561"/>
      <w:bookmarkStart w:id="7078" w:name="_Toc57495371"/>
      <w:bookmarkStart w:id="7079" w:name="_Toc57544513"/>
      <w:bookmarkStart w:id="7080" w:name="_Toc58185017"/>
      <w:r>
        <w:rPr>
          <w:rFonts w:hint="cs"/>
          <w:rtl/>
        </w:rPr>
        <w:t>דברי הרמב"ן דהמחזיק צריך להביא עדים שהמערער היה קרוב בחלק מהג"ש ולא בכל הג"ש</w:t>
      </w:r>
      <w:bookmarkEnd w:id="7076"/>
      <w:bookmarkEnd w:id="7077"/>
      <w:bookmarkEnd w:id="7078"/>
      <w:bookmarkEnd w:id="7079"/>
      <w:bookmarkEnd w:id="7080"/>
    </w:p>
    <w:p w:rsidR="0019070E" w:rsidRDefault="0019070E" w:rsidP="007E4E81">
      <w:pPr>
        <w:pStyle w:val="a0"/>
        <w:rPr>
          <w:rStyle w:val="afb"/>
          <w:rtl/>
        </w:rPr>
      </w:pPr>
      <w:bookmarkStart w:id="7081" w:name="_Ref57321663"/>
      <w:r>
        <w:rPr>
          <w:rFonts w:hint="cs"/>
          <w:rtl/>
        </w:rPr>
        <w:t xml:space="preserve">וכתב </w:t>
      </w:r>
      <w:r w:rsidRPr="002315D1">
        <w:rPr>
          <w:rStyle w:val="af9"/>
          <w:rFonts w:hint="cs"/>
          <w:rtl/>
        </w:rPr>
        <w:t>הרמב"ן</w:t>
      </w:r>
      <w:r>
        <w:rPr>
          <w:rFonts w:hint="cs"/>
          <w:rtl/>
        </w:rPr>
        <w:t xml:space="preserve"> דקיי"ל כר"נ, ולכן המחזיק צריך להביא עדים שהיה המערער בכל הג"ש במקום קרוב, אך אם אין לו עדים על כל הג"ש, לא הוי חזקה, כיון שאין חזקה בפחות מג"ש, וכל שהיה אפילו מקצת מהג"ש במקום חרום, לא הוי חזקה, וכתב </w:t>
      </w:r>
      <w:r w:rsidRPr="002315D1">
        <w:rPr>
          <w:rStyle w:val="af9"/>
          <w:rFonts w:hint="cs"/>
          <w:rtl/>
        </w:rPr>
        <w:t>הרמב"ן</w:t>
      </w:r>
      <w:r>
        <w:rPr>
          <w:rFonts w:hint="cs"/>
          <w:rtl/>
        </w:rPr>
        <w:t xml:space="preserve"> דכן משמע בגמ' בכתובות </w:t>
      </w:r>
      <w:r w:rsidRPr="002315D1">
        <w:rPr>
          <w:rStyle w:val="af7"/>
          <w:rFonts w:eastAsia="Guttman Hodes" w:hint="cs"/>
          <w:rtl/>
        </w:rPr>
        <w:t>(יז:)</w:t>
      </w:r>
      <w:r>
        <w:rPr>
          <w:rFonts w:hint="cs"/>
          <w:rtl/>
        </w:rPr>
        <w:t xml:space="preserve">. </w:t>
      </w:r>
      <w:r w:rsidRPr="002315D1">
        <w:rPr>
          <w:rStyle w:val="afb"/>
          <w:rFonts w:hint="cs"/>
          <w:rtl/>
        </w:rPr>
        <w:t xml:space="preserve">[עי' בדברי </w:t>
      </w:r>
      <w:r w:rsidRPr="002315D1">
        <w:rPr>
          <w:rStyle w:val="affa"/>
          <w:rFonts w:hint="cs"/>
          <w:rtl/>
        </w:rPr>
        <w:t>הרי"ף</w:t>
      </w:r>
      <w:r w:rsidRPr="002315D1">
        <w:rPr>
          <w:rStyle w:val="afb"/>
          <w:rFonts w:hint="cs"/>
          <w:rtl/>
        </w:rPr>
        <w:t xml:space="preserve"> </w:t>
      </w:r>
      <w:r w:rsidRPr="00A4051E">
        <w:rPr>
          <w:rStyle w:val="aff6"/>
          <w:rFonts w:hint="cs"/>
          <w:rtl/>
        </w:rPr>
        <w:t xml:space="preserve">(עי' אות </w:t>
      </w:r>
      <w:r w:rsidRPr="00A4051E">
        <w:rPr>
          <w:rStyle w:val="aff6"/>
          <w:rtl/>
        </w:rPr>
        <w:fldChar w:fldCharType="begin"/>
      </w:r>
      <w:r w:rsidRPr="00A4051E">
        <w:rPr>
          <w:rStyle w:val="aff6"/>
          <w:rtl/>
        </w:rPr>
        <w:instrText xml:space="preserve"> </w:instrText>
      </w:r>
      <w:r w:rsidRPr="00A4051E">
        <w:rPr>
          <w:rStyle w:val="aff6"/>
          <w:rFonts w:hint="cs"/>
        </w:rPr>
        <w:instrText>REF</w:instrText>
      </w:r>
      <w:r w:rsidRPr="00A4051E">
        <w:rPr>
          <w:rStyle w:val="aff6"/>
          <w:rFonts w:hint="cs"/>
          <w:rtl/>
        </w:rPr>
        <w:instrText xml:space="preserve"> _</w:instrText>
      </w:r>
      <w:r w:rsidRPr="00A4051E">
        <w:rPr>
          <w:rStyle w:val="aff6"/>
          <w:rFonts w:hint="cs"/>
        </w:rPr>
        <w:instrText>Ref57322290 \r \h</w:instrText>
      </w:r>
      <w:r w:rsidRPr="00A4051E">
        <w:rPr>
          <w:rStyle w:val="aff6"/>
          <w:rtl/>
        </w:rPr>
        <w:instrText xml:space="preserve"> </w:instrText>
      </w:r>
      <w:r w:rsidRPr="00A4051E">
        <w:rPr>
          <w:rStyle w:val="aff6"/>
          <w:rtl/>
        </w:rPr>
      </w:r>
      <w:r w:rsidRPr="00A4051E">
        <w:rPr>
          <w:rStyle w:val="aff6"/>
          <w:rtl/>
        </w:rPr>
        <w:fldChar w:fldCharType="separate"/>
      </w:r>
      <w:r w:rsidR="00265073">
        <w:rPr>
          <w:rStyle w:val="aff6"/>
          <w:cs/>
        </w:rPr>
        <w:t>‎</w:t>
      </w:r>
      <w:r w:rsidR="00265073">
        <w:rPr>
          <w:rStyle w:val="aff6"/>
          <w:rtl/>
        </w:rPr>
        <w:t>מה)</w:t>
      </w:r>
      <w:r w:rsidRPr="00A4051E">
        <w:rPr>
          <w:rStyle w:val="aff6"/>
          <w:rtl/>
        </w:rPr>
        <w:fldChar w:fldCharType="end"/>
      </w:r>
      <w:r w:rsidRPr="002315D1">
        <w:rPr>
          <w:rStyle w:val="afb"/>
          <w:rFonts w:hint="cs"/>
          <w:rtl/>
        </w:rPr>
        <w:t>].</w:t>
      </w:r>
      <w:bookmarkEnd w:id="7081"/>
    </w:p>
    <w:p w:rsidR="0019070E" w:rsidRPr="00F55F65" w:rsidRDefault="0019070E" w:rsidP="0019070E">
      <w:pPr>
        <w:pStyle w:val="a3"/>
        <w:rPr>
          <w:rtl/>
        </w:rPr>
      </w:pPr>
      <w:bookmarkStart w:id="7082" w:name="_Toc57370395"/>
      <w:bookmarkStart w:id="7083" w:name="_Toc57491562"/>
      <w:bookmarkStart w:id="7084" w:name="_Toc57495372"/>
      <w:bookmarkStart w:id="7085" w:name="_Toc57544514"/>
      <w:bookmarkStart w:id="7086" w:name="_Toc58185018"/>
      <w:r>
        <w:rPr>
          <w:rFonts w:hint="cs"/>
          <w:rtl/>
        </w:rPr>
        <w:t>ביאור הרמב"ן ברבא דהקרקע ברשות המחזיק והמערער טוען שיש ריעותא בחזקה ודמי למחאה</w:t>
      </w:r>
      <w:bookmarkEnd w:id="7082"/>
      <w:bookmarkEnd w:id="7083"/>
      <w:bookmarkEnd w:id="7084"/>
      <w:bookmarkEnd w:id="7085"/>
      <w:bookmarkEnd w:id="7086"/>
    </w:p>
    <w:p w:rsidR="0019070E" w:rsidRDefault="0019070E" w:rsidP="007E4E81">
      <w:pPr>
        <w:pStyle w:val="a0"/>
        <w:rPr>
          <w:rtl/>
        </w:rPr>
      </w:pPr>
      <w:r>
        <w:rPr>
          <w:rFonts w:hint="cs"/>
          <w:rtl/>
        </w:rPr>
        <w:t xml:space="preserve">ובדעת רבא ביאר </w:t>
      </w:r>
      <w:r w:rsidRPr="00275129">
        <w:rPr>
          <w:rStyle w:val="af9"/>
          <w:rFonts w:hint="cs"/>
          <w:rtl/>
        </w:rPr>
        <w:t>הרמב"ן</w:t>
      </w:r>
      <w:r>
        <w:rPr>
          <w:rFonts w:hint="cs"/>
          <w:rtl/>
        </w:rPr>
        <w:t xml:space="preserve"> דכיון שהמחזיק החזיק ג"ש, הקרקע היא ברשותו, ועל המערער לעשות ריעותא בחזקה של המחזיק, ע"י שיביא ראיה שהיה במקום חרום, כמו שהמערער צריך להביא ראיה שעשה מחאה, וביאר </w:t>
      </w:r>
      <w:r w:rsidRPr="005922A9">
        <w:rPr>
          <w:rStyle w:val="af9"/>
          <w:rFonts w:hint="cs"/>
          <w:rtl/>
        </w:rPr>
        <w:t>הרמב"ן</w:t>
      </w:r>
      <w:r>
        <w:rPr>
          <w:rFonts w:hint="cs"/>
          <w:rtl/>
        </w:rPr>
        <w:t xml:space="preserve"> דרבא מדמה את טענת המערער למחאה שעל המערער להוכיח שמחה, וכ"כ </w:t>
      </w:r>
      <w:r w:rsidRPr="00C87E38">
        <w:rPr>
          <w:rStyle w:val="af9"/>
          <w:rFonts w:hint="cs"/>
          <w:rtl/>
        </w:rPr>
        <w:t xml:space="preserve">הנימוק"י </w:t>
      </w:r>
      <w:r w:rsidRPr="00C87E38">
        <w:rPr>
          <w:rStyle w:val="af7"/>
          <w:rFonts w:eastAsia="Guttman Hodes" w:hint="cs"/>
          <w:rtl/>
        </w:rPr>
        <w:t>(טו. מדה"ר ד"ה א"ל רב נחמן)</w:t>
      </w:r>
      <w:r>
        <w:rPr>
          <w:rFonts w:hint="cs"/>
          <w:rtl/>
        </w:rPr>
        <w:t>.</w:t>
      </w:r>
    </w:p>
    <w:p w:rsidR="0019070E" w:rsidRDefault="0019070E" w:rsidP="0019070E">
      <w:pPr>
        <w:pStyle w:val="a3"/>
        <w:rPr>
          <w:rtl/>
        </w:rPr>
      </w:pPr>
      <w:bookmarkStart w:id="7087" w:name="_Toc57544515"/>
      <w:bookmarkStart w:id="7088" w:name="_Toc58185019"/>
      <w:r>
        <w:rPr>
          <w:rFonts w:hint="cs"/>
          <w:rtl/>
        </w:rPr>
        <w:t>דברי הרמב"ן דהחזקה מהני רק בהיה במדינה כל הג"ש ובפחות מזה אמדינן אי יכול לשמוע</w:t>
      </w:r>
      <w:bookmarkEnd w:id="7087"/>
      <w:bookmarkEnd w:id="7088"/>
    </w:p>
    <w:p w:rsidR="0019070E" w:rsidRDefault="0019070E" w:rsidP="007E4E81">
      <w:pPr>
        <w:pStyle w:val="a0"/>
        <w:rPr>
          <w:rStyle w:val="afb"/>
          <w:rtl/>
        </w:rPr>
      </w:pPr>
      <w:bookmarkStart w:id="7089" w:name="_Ref57533595"/>
      <w:r w:rsidRPr="000431FB">
        <w:rPr>
          <w:rFonts w:hint="cs"/>
          <w:rtl/>
        </w:rPr>
        <w:t xml:space="preserve">והוסיף </w:t>
      </w:r>
      <w:r w:rsidRPr="000431FB">
        <w:rPr>
          <w:rStyle w:val="af9"/>
          <w:rFonts w:hint="cs"/>
          <w:rtl/>
        </w:rPr>
        <w:t>הרמב"ן</w:t>
      </w:r>
      <w:r w:rsidRPr="000431FB">
        <w:rPr>
          <w:rFonts w:hint="cs"/>
          <w:rtl/>
        </w:rPr>
        <w:t xml:space="preserve"> דכן דעת </w:t>
      </w:r>
      <w:r w:rsidRPr="000431FB">
        <w:rPr>
          <w:rStyle w:val="af9"/>
          <w:rFonts w:hint="cs"/>
          <w:rtl/>
        </w:rPr>
        <w:t>ר"ח</w:t>
      </w:r>
      <w:r w:rsidRPr="000431FB">
        <w:rPr>
          <w:rFonts w:hint="cs"/>
          <w:rtl/>
        </w:rPr>
        <w:t xml:space="preserve"> </w:t>
      </w:r>
      <w:r>
        <w:rPr>
          <w:rFonts w:hint="cs"/>
          <w:rtl/>
        </w:rPr>
        <w:t>דקיי"ל כר"נ,</w:t>
      </w:r>
      <w:r w:rsidRPr="000431FB">
        <w:rPr>
          <w:rFonts w:hint="cs"/>
          <w:rtl/>
        </w:rPr>
        <w:t xml:space="preserve"> דכתב דהחזקה מהני רק כשהיה עמו באותה מדינה כל הג"ש, ואם בא המערער בסוף השנה השלישית ורואה את המחזיק יושב בקרקע שלו, הוא צריך למחות לפני שיצא מאותה העיר, דכיון שהוא יודע שהחזיק המחזיק ג"ש, ואם לא ימחה עכשיו לא יוכל למחות אח"כ, וכתב </w:t>
      </w:r>
      <w:r w:rsidRPr="00534E9F">
        <w:rPr>
          <w:rStyle w:val="af9"/>
          <w:rFonts w:hint="cs"/>
          <w:rtl/>
        </w:rPr>
        <w:t>הרמב"ן</w:t>
      </w:r>
      <w:r w:rsidRPr="000431FB">
        <w:rPr>
          <w:rFonts w:hint="cs"/>
          <w:rtl/>
        </w:rPr>
        <w:t xml:space="preserve"> דזהו הביאור במעשה דשוקי בראי, והוסיף </w:t>
      </w:r>
      <w:r w:rsidRPr="000431FB">
        <w:rPr>
          <w:rStyle w:val="af9"/>
          <w:rFonts w:hint="cs"/>
          <w:rtl/>
        </w:rPr>
        <w:t>הרמב"ן</w:t>
      </w:r>
      <w:r w:rsidRPr="000431FB">
        <w:rPr>
          <w:rFonts w:hint="cs"/>
          <w:rtl/>
        </w:rPr>
        <w:t xml:space="preserve"> דאם בסוף השנה השלישית בא ממקום חרום למקום קרוב, אמדינן האם יתכן שלא שמע המערער מהחזקה, כגון שלא הגיעו שיירות מהעיר שנמצא בא המחזיק, מהזמן שהגיע המערער למקום הקרוב, והוא טוען שלא שמע מיד מבני העיר, דטענתו טענה, כדאמר רבא דיתכן שאדם טרוד בשוק ל' יום.</w:t>
      </w:r>
      <w:r>
        <w:rPr>
          <w:rFonts w:hint="cs"/>
          <w:rtl/>
        </w:rPr>
        <w:t xml:space="preserve"> </w:t>
      </w:r>
      <w:r w:rsidRPr="00347C2A">
        <w:rPr>
          <w:rStyle w:val="afb"/>
          <w:rFonts w:hint="cs"/>
          <w:rtl/>
        </w:rPr>
        <w:t xml:space="preserve">[ועי' בדברי </w:t>
      </w:r>
      <w:r w:rsidRPr="00347C2A">
        <w:rPr>
          <w:rStyle w:val="affa"/>
          <w:rFonts w:hint="cs"/>
          <w:rtl/>
        </w:rPr>
        <w:t>רבינו יונה והרשב"א והריטב"א</w:t>
      </w:r>
      <w:r w:rsidRPr="00347C2A">
        <w:rPr>
          <w:rStyle w:val="afb"/>
          <w:rFonts w:hint="cs"/>
          <w:rtl/>
        </w:rPr>
        <w:t xml:space="preserve"> </w:t>
      </w:r>
      <w:r w:rsidRPr="00347C2A">
        <w:rPr>
          <w:rStyle w:val="aff6"/>
          <w:rFonts w:hint="cs"/>
          <w:rtl/>
        </w:rPr>
        <w:t xml:space="preserve">(עי' אות </w:t>
      </w:r>
      <w:r w:rsidRPr="00347C2A">
        <w:rPr>
          <w:rStyle w:val="aff6"/>
          <w:rtl/>
        </w:rPr>
        <w:fldChar w:fldCharType="begin"/>
      </w:r>
      <w:r w:rsidRPr="00347C2A">
        <w:rPr>
          <w:rStyle w:val="aff6"/>
          <w:rtl/>
        </w:rPr>
        <w:instrText xml:space="preserve"> </w:instrText>
      </w:r>
      <w:r w:rsidRPr="00347C2A">
        <w:rPr>
          <w:rStyle w:val="aff6"/>
          <w:rFonts w:hint="cs"/>
        </w:rPr>
        <w:instrText>REF</w:instrText>
      </w:r>
      <w:r w:rsidRPr="00347C2A">
        <w:rPr>
          <w:rStyle w:val="aff6"/>
          <w:rFonts w:hint="cs"/>
          <w:rtl/>
        </w:rPr>
        <w:instrText xml:space="preserve"> _</w:instrText>
      </w:r>
      <w:r w:rsidRPr="00347C2A">
        <w:rPr>
          <w:rStyle w:val="aff6"/>
          <w:rFonts w:hint="cs"/>
        </w:rPr>
        <w:instrText>Ref57533558 \r \h</w:instrText>
      </w:r>
      <w:r w:rsidRPr="00347C2A">
        <w:rPr>
          <w:rStyle w:val="aff6"/>
          <w:rtl/>
        </w:rPr>
        <w:instrText xml:space="preserve"> </w:instrText>
      </w:r>
      <w:r w:rsidRPr="00347C2A">
        <w:rPr>
          <w:rStyle w:val="aff6"/>
          <w:rtl/>
        </w:rPr>
      </w:r>
      <w:r w:rsidRPr="00347C2A">
        <w:rPr>
          <w:rStyle w:val="aff6"/>
          <w:rtl/>
        </w:rPr>
        <w:fldChar w:fldCharType="separate"/>
      </w:r>
      <w:r w:rsidR="00265073">
        <w:rPr>
          <w:rStyle w:val="aff6"/>
          <w:cs/>
        </w:rPr>
        <w:t>‎</w:t>
      </w:r>
      <w:r w:rsidR="00265073">
        <w:rPr>
          <w:rStyle w:val="aff6"/>
          <w:rtl/>
        </w:rPr>
        <w:t>עז)</w:t>
      </w:r>
      <w:r w:rsidRPr="00347C2A">
        <w:rPr>
          <w:rStyle w:val="aff6"/>
          <w:rtl/>
        </w:rPr>
        <w:fldChar w:fldCharType="end"/>
      </w:r>
      <w:r w:rsidRPr="00347C2A">
        <w:rPr>
          <w:rStyle w:val="afb"/>
          <w:rFonts w:hint="cs"/>
          <w:rtl/>
        </w:rPr>
        <w:t>].</w:t>
      </w:r>
      <w:bookmarkEnd w:id="7089"/>
    </w:p>
    <w:p w:rsidR="0019070E" w:rsidRDefault="0019070E" w:rsidP="0019070E">
      <w:pPr>
        <w:pStyle w:val="1"/>
        <w:rPr>
          <w:rtl/>
        </w:rPr>
      </w:pPr>
      <w:bookmarkStart w:id="7090" w:name="_Toc57544516"/>
      <w:bookmarkStart w:id="7091" w:name="_Toc58185020"/>
      <w:r>
        <w:rPr>
          <w:rFonts w:hint="cs"/>
          <w:rtl/>
        </w:rPr>
        <w:t>ביאורי רבינו יונה בר"נ אמאי ל"ד למחאה שהמערער מברר</w:t>
      </w:r>
      <w:bookmarkEnd w:id="7090"/>
      <w:bookmarkEnd w:id="7091"/>
    </w:p>
    <w:p w:rsidR="0019070E" w:rsidRPr="00603F73" w:rsidRDefault="0019070E" w:rsidP="0019070E">
      <w:pPr>
        <w:pStyle w:val="a3"/>
        <w:rPr>
          <w:rtl/>
        </w:rPr>
      </w:pPr>
      <w:bookmarkStart w:id="7092" w:name="_Toc57370397"/>
      <w:bookmarkStart w:id="7093" w:name="_Toc57491564"/>
      <w:bookmarkStart w:id="7094" w:name="_Toc57495374"/>
      <w:bookmarkStart w:id="7095" w:name="_Toc57544517"/>
      <w:bookmarkStart w:id="7096" w:name="_Toc58185021"/>
      <w:r>
        <w:rPr>
          <w:rFonts w:hint="cs"/>
          <w:rtl/>
        </w:rPr>
        <w:t>ביאור רבינו</w:t>
      </w:r>
      <w:bookmarkEnd w:id="7092"/>
      <w:bookmarkEnd w:id="7093"/>
      <w:r>
        <w:rPr>
          <w:rFonts w:hint="cs"/>
          <w:rtl/>
        </w:rPr>
        <w:t xml:space="preserve"> יונה דלר"נ על המחזיק להוכיח שהיה עמו במקום שיכל לשמוע את החזקה ולמחות</w:t>
      </w:r>
      <w:bookmarkEnd w:id="7094"/>
      <w:bookmarkEnd w:id="7095"/>
      <w:bookmarkEnd w:id="7096"/>
    </w:p>
    <w:p w:rsidR="0019070E" w:rsidRDefault="0019070E" w:rsidP="007E4E81">
      <w:pPr>
        <w:pStyle w:val="a0"/>
        <w:rPr>
          <w:rtl/>
        </w:rPr>
      </w:pPr>
      <w:bookmarkStart w:id="7097" w:name="_Ref58183736"/>
      <w:r>
        <w:rPr>
          <w:rStyle w:val="af9"/>
          <w:rFonts w:hint="cs"/>
          <w:rtl/>
        </w:rPr>
        <w:t>ו</w:t>
      </w:r>
      <w:r w:rsidRPr="00D92179">
        <w:rPr>
          <w:rStyle w:val="af9"/>
          <w:rFonts w:hint="cs"/>
          <w:rtl/>
        </w:rPr>
        <w:t>רבינו יונה</w:t>
      </w:r>
      <w:r>
        <w:rPr>
          <w:rFonts w:hint="cs"/>
          <w:rtl/>
        </w:rPr>
        <w:t xml:space="preserve"> </w:t>
      </w:r>
      <w:r w:rsidRPr="00D92179">
        <w:rPr>
          <w:rStyle w:val="af7"/>
          <w:rFonts w:eastAsia="Guttman Hodes" w:hint="cs"/>
          <w:rtl/>
        </w:rPr>
        <w:t>(ד"ה אתא)</w:t>
      </w:r>
      <w:r>
        <w:rPr>
          <w:rFonts w:hint="cs"/>
          <w:rtl/>
        </w:rPr>
        <w:t xml:space="preserve"> ביאר בדברי ר"נ דא"ל זיל ברור אכילתך, דעל המחזיק להביא ראיה שהיה המערער עמו באותה המדינה, במקום שהיה יכול לשמוע את החזקה ולמחות, והוסיף </w:t>
      </w:r>
      <w:r w:rsidRPr="00D92179">
        <w:rPr>
          <w:rStyle w:val="af9"/>
          <w:rFonts w:hint="cs"/>
          <w:rtl/>
        </w:rPr>
        <w:t>רבינו יונה</w:t>
      </w:r>
      <w:r>
        <w:rPr>
          <w:rFonts w:hint="cs"/>
          <w:rtl/>
        </w:rPr>
        <w:t xml:space="preserve"> דלמערער היה עדים שהוא מרא קמא, דאל"ה המחזיק נאמן</w:t>
      </w:r>
      <w:r w:rsidR="00A77F33">
        <w:rPr>
          <w:rFonts w:hint="cs"/>
          <w:rtl/>
        </w:rPr>
        <w:t xml:space="preserve"> </w:t>
      </w:r>
      <w:r>
        <w:rPr>
          <w:rFonts w:hint="cs"/>
          <w:rtl/>
        </w:rPr>
        <w:t>לומר שקנה ממנו מדין הפה שאסר.</w:t>
      </w:r>
      <w:bookmarkEnd w:id="7097"/>
    </w:p>
    <w:p w:rsidR="0019070E" w:rsidRDefault="0019070E" w:rsidP="0019070E">
      <w:pPr>
        <w:pStyle w:val="a3"/>
        <w:rPr>
          <w:rtl/>
        </w:rPr>
      </w:pPr>
      <w:bookmarkStart w:id="7098" w:name="_Toc57495375"/>
      <w:bookmarkStart w:id="7099" w:name="_Toc57544518"/>
      <w:bookmarkStart w:id="7100" w:name="_Toc58185022"/>
      <w:r>
        <w:rPr>
          <w:rFonts w:hint="cs"/>
          <w:rtl/>
        </w:rPr>
        <w:t>ביאור רבינו יונה ברבא דהמחזיק נעשה מוחזק בקרקע ע"י שהחזיק ג"ש</w:t>
      </w:r>
      <w:bookmarkEnd w:id="7098"/>
      <w:bookmarkEnd w:id="7099"/>
      <w:bookmarkEnd w:id="7100"/>
    </w:p>
    <w:p w:rsidR="0019070E" w:rsidRDefault="0019070E" w:rsidP="007E4E81">
      <w:pPr>
        <w:pStyle w:val="a0"/>
        <w:rPr>
          <w:sz w:val="10"/>
          <w:szCs w:val="14"/>
          <w:rtl/>
        </w:rPr>
      </w:pPr>
      <w:r>
        <w:rPr>
          <w:rFonts w:hint="cs"/>
          <w:rtl/>
        </w:rPr>
        <w:t xml:space="preserve">ובדברי רבא דאמר דהמוציא מחבירו עליו הראיה, ביאר </w:t>
      </w:r>
      <w:r w:rsidRPr="00983836">
        <w:rPr>
          <w:rStyle w:val="af9"/>
          <w:rFonts w:hint="cs"/>
          <w:rtl/>
        </w:rPr>
        <w:t>רבינו יונה</w:t>
      </w:r>
      <w:r>
        <w:rPr>
          <w:rFonts w:hint="cs"/>
          <w:rtl/>
        </w:rPr>
        <w:t xml:space="preserve"> </w:t>
      </w:r>
      <w:r w:rsidRPr="00983836">
        <w:rPr>
          <w:rStyle w:val="af7"/>
          <w:rFonts w:eastAsia="Guttman Hodes" w:hint="cs"/>
          <w:rtl/>
        </w:rPr>
        <w:t>(ד"ה א"ל רבא)</w:t>
      </w:r>
      <w:r>
        <w:rPr>
          <w:rFonts w:hint="cs"/>
          <w:rtl/>
        </w:rPr>
        <w:t xml:space="preserve"> דס"ל לרבא דהמחזיק בקרקע בג"ש נעשה מוחזק בקרקע בג"ש. </w:t>
      </w:r>
      <w:r w:rsidRPr="00946A79">
        <w:rPr>
          <w:rStyle w:val="afb"/>
          <w:rFonts w:hint="cs"/>
          <w:rtl/>
        </w:rPr>
        <w:t>[</w:t>
      </w:r>
      <w:r>
        <w:rPr>
          <w:rStyle w:val="afb"/>
          <w:rFonts w:hint="cs"/>
          <w:rtl/>
        </w:rPr>
        <w:t>ו</w:t>
      </w:r>
      <w:r w:rsidRPr="00946A79">
        <w:rPr>
          <w:rStyle w:val="afb"/>
          <w:rFonts w:hint="cs"/>
          <w:rtl/>
        </w:rPr>
        <w:t>משמע דכ</w:t>
      </w:r>
      <w:r w:rsidRPr="001874D7">
        <w:rPr>
          <w:rStyle w:val="afb"/>
          <w:rFonts w:hint="cs"/>
          <w:rtl/>
        </w:rPr>
        <w:t>וונתו דאחר שהחזיק ג"ש, התברר שהוא מוחזק מתחילת הג"ש].</w:t>
      </w:r>
    </w:p>
    <w:p w:rsidR="004A6630" w:rsidRPr="004A6630" w:rsidRDefault="004A6630" w:rsidP="004A6630">
      <w:pPr>
        <w:pStyle w:val="a3"/>
        <w:rPr>
          <w:rtl/>
        </w:rPr>
      </w:pPr>
    </w:p>
    <w:p w:rsidR="0019070E" w:rsidRPr="001874D7" w:rsidRDefault="0019070E" w:rsidP="0019070E">
      <w:pPr>
        <w:pStyle w:val="a3"/>
        <w:rPr>
          <w:rtl/>
        </w:rPr>
      </w:pPr>
      <w:bookmarkStart w:id="7101" w:name="_Toc57495376"/>
      <w:bookmarkStart w:id="7102" w:name="_Toc57544519"/>
      <w:bookmarkStart w:id="7103" w:name="_Toc58185023"/>
      <w:r>
        <w:rPr>
          <w:rFonts w:hint="cs"/>
          <w:rtl/>
        </w:rPr>
        <w:lastRenderedPageBreak/>
        <w:t>דברי רבינו יונה דלר"נ כל שאין עדים שהיה עמו אינו חזקה ול"ד למחאה שהמערער צריך לברר</w:t>
      </w:r>
      <w:bookmarkEnd w:id="7101"/>
      <w:bookmarkEnd w:id="7102"/>
      <w:bookmarkEnd w:id="7103"/>
    </w:p>
    <w:p w:rsidR="0019070E" w:rsidRDefault="0019070E" w:rsidP="007E4E81">
      <w:pPr>
        <w:pStyle w:val="a0"/>
        <w:rPr>
          <w:rtl/>
        </w:rPr>
      </w:pPr>
      <w:r w:rsidRPr="001874D7">
        <w:rPr>
          <w:rFonts w:hint="cs"/>
          <w:rtl/>
        </w:rPr>
        <w:t xml:space="preserve">וכתב </w:t>
      </w:r>
      <w:r w:rsidRPr="001874D7">
        <w:rPr>
          <w:rStyle w:val="af9"/>
          <w:rFonts w:hint="cs"/>
          <w:rtl/>
        </w:rPr>
        <w:t>רבינו יונה</w:t>
      </w:r>
      <w:r w:rsidRPr="001874D7">
        <w:rPr>
          <w:rFonts w:hint="cs"/>
          <w:rtl/>
        </w:rPr>
        <w:t xml:space="preserve"> דקיי"ל כר"נ, ולפי"ז הא דתנן לקמן </w:t>
      </w:r>
      <w:r w:rsidRPr="001874D7">
        <w:rPr>
          <w:rStyle w:val="af7"/>
          <w:rFonts w:eastAsia="Guttman Hodes" w:hint="cs"/>
          <w:rtl/>
        </w:rPr>
        <w:t>(לח.)</w:t>
      </w:r>
      <w:r w:rsidRPr="001874D7">
        <w:rPr>
          <w:rFonts w:hint="cs"/>
          <w:rtl/>
        </w:rPr>
        <w:t xml:space="preserve"> דהחזקה מהני רק כשהמערער נמצא עמו במדינה, היינו דהמחזיק צריך להביא ראיה שהיה עמו במדינה, בשני החזקה, בכל הזמן שהמערער טוען שלא היה עמו, והוסיף </w:t>
      </w:r>
      <w:r w:rsidRPr="001874D7">
        <w:rPr>
          <w:rStyle w:val="af9"/>
          <w:rFonts w:hint="cs"/>
          <w:rtl/>
        </w:rPr>
        <w:t>רבינו יונה</w:t>
      </w:r>
      <w:r w:rsidRPr="001874D7">
        <w:rPr>
          <w:rFonts w:hint="cs"/>
          <w:rtl/>
        </w:rPr>
        <w:t xml:space="preserve"> דכן מסתבר דהא כל שהמערער לא נמצא עם המחזיק במדינה אי"ז חזקה כלל, ולכן אם אין למחזיק עדים שהיה המערער עמו, חשיב שאין לו חזקה, ולא דמי למחאה שלא בפניו, דעל המערער להביא עדים</w:t>
      </w:r>
      <w:r>
        <w:rPr>
          <w:rFonts w:hint="cs"/>
          <w:rtl/>
        </w:rPr>
        <w:t xml:space="preserve"> שמחה, כיון שהמחזיק אינו יכול להביא עדים שלא מחה בו המערער, דהא לא ראינו אינה ראיה.</w:t>
      </w:r>
    </w:p>
    <w:p w:rsidR="0019070E" w:rsidRPr="000D7CE5" w:rsidRDefault="0019070E" w:rsidP="0019070E">
      <w:pPr>
        <w:pStyle w:val="a3"/>
        <w:rPr>
          <w:rtl/>
        </w:rPr>
      </w:pPr>
      <w:bookmarkStart w:id="7104" w:name="_Toc57495377"/>
      <w:bookmarkStart w:id="7105" w:name="_Toc57544520"/>
      <w:bookmarkStart w:id="7106" w:name="_Toc58185024"/>
      <w:r>
        <w:rPr>
          <w:rFonts w:hint="cs"/>
          <w:rtl/>
        </w:rPr>
        <w:t>דברי רבינו יונה דכשטוען שלא היה במדינה הוא עוקר את החזקה מעיקרא ועל המחזיק לברר</w:t>
      </w:r>
      <w:bookmarkEnd w:id="7104"/>
      <w:bookmarkEnd w:id="7105"/>
      <w:bookmarkEnd w:id="7106"/>
    </w:p>
    <w:p w:rsidR="0019070E" w:rsidRPr="00D26A1A" w:rsidRDefault="0019070E" w:rsidP="007E4E81">
      <w:pPr>
        <w:pStyle w:val="a0"/>
        <w:rPr>
          <w:rStyle w:val="afb"/>
          <w:rtl/>
        </w:rPr>
      </w:pPr>
      <w:r>
        <w:rPr>
          <w:rFonts w:hint="cs"/>
          <w:rtl/>
        </w:rPr>
        <w:t xml:space="preserve">ועוד ביאר </w:t>
      </w:r>
      <w:r w:rsidRPr="00D26A1A">
        <w:rPr>
          <w:rStyle w:val="af9"/>
          <w:rFonts w:hint="cs"/>
          <w:rtl/>
        </w:rPr>
        <w:t xml:space="preserve">רבינו יונה </w:t>
      </w:r>
      <w:r>
        <w:rPr>
          <w:rFonts w:hint="cs"/>
          <w:rtl/>
        </w:rPr>
        <w:t xml:space="preserve">דכל שהמחזיק החזיק חזקה גמורה, עד שהוצרך המערער למחות בו, א"כ ודאי שהוא צריך להוכיח שמחה בפני עדים, </w:t>
      </w:r>
      <w:r w:rsidRPr="00946A79">
        <w:rPr>
          <w:rStyle w:val="afb"/>
          <w:rFonts w:hint="cs"/>
          <w:rtl/>
        </w:rPr>
        <w:t>[דהא יש חזקה גמורה לפנינו, וספק אם הייתה מחאה שביטלה את החזקה],</w:t>
      </w:r>
      <w:r>
        <w:rPr>
          <w:rFonts w:hint="cs"/>
          <w:rtl/>
        </w:rPr>
        <w:t xml:space="preserve"> משא"כ במקום שטוען המערער שלא היה במדינה הוא עוקר בזה את החזקה מעיקרא, ועל המחזיק להביא ראיה ששמע המערער מחזקתו. </w:t>
      </w:r>
      <w:r w:rsidRPr="00D26A1A">
        <w:rPr>
          <w:rStyle w:val="afb"/>
          <w:rFonts w:hint="cs"/>
          <w:rtl/>
        </w:rPr>
        <w:t>[דהיינו שלטענת המערער אין ודאי חזקה לפנינו כלל, ועל המחזיק להוכיח שחזקתו היא חזקה].</w:t>
      </w:r>
    </w:p>
    <w:p w:rsidR="0019070E" w:rsidRPr="003018DF" w:rsidRDefault="0019070E" w:rsidP="0019070E">
      <w:pPr>
        <w:pStyle w:val="a3"/>
        <w:rPr>
          <w:rtl/>
        </w:rPr>
      </w:pPr>
      <w:bookmarkStart w:id="7107" w:name="_Toc57544521"/>
      <w:bookmarkStart w:id="7108" w:name="_Toc58185025"/>
      <w:r>
        <w:rPr>
          <w:rFonts w:hint="cs"/>
          <w:rtl/>
        </w:rPr>
        <w:t>דברי רבינו יונה והרשב"א דבהיה קצת זמן במקום שהיה יכול לשמוע מוכח לקמן דהוי חזקה</w:t>
      </w:r>
      <w:bookmarkEnd w:id="7107"/>
      <w:bookmarkEnd w:id="7108"/>
    </w:p>
    <w:p w:rsidR="0019070E" w:rsidRDefault="0019070E" w:rsidP="007E4E81">
      <w:pPr>
        <w:pStyle w:val="a0"/>
        <w:rPr>
          <w:rtl/>
        </w:rPr>
      </w:pPr>
      <w:bookmarkStart w:id="7109" w:name="_Ref57533558"/>
      <w:r w:rsidRPr="003018DF">
        <w:rPr>
          <w:rFonts w:hint="cs"/>
          <w:rtl/>
        </w:rPr>
        <w:t xml:space="preserve">אך כתב </w:t>
      </w:r>
      <w:r w:rsidRPr="003018DF">
        <w:rPr>
          <w:rStyle w:val="af9"/>
          <w:rFonts w:hint="cs"/>
          <w:rtl/>
        </w:rPr>
        <w:t>רבינו יונה</w:t>
      </w:r>
      <w:r w:rsidRPr="003018DF">
        <w:rPr>
          <w:rFonts w:hint="cs"/>
          <w:rtl/>
        </w:rPr>
        <w:t xml:space="preserve"> </w:t>
      </w:r>
      <w:r w:rsidRPr="008A6F80">
        <w:rPr>
          <w:rStyle w:val="af7"/>
          <w:rFonts w:eastAsia="Guttman Hodes" w:hint="cs"/>
          <w:rtl/>
        </w:rPr>
        <w:t>(ד"ה א"ל רבא)</w:t>
      </w:r>
      <w:r w:rsidRPr="003018DF">
        <w:rPr>
          <w:rFonts w:hint="cs"/>
          <w:rtl/>
        </w:rPr>
        <w:t xml:space="preserve"> דכל שהמחזיק הביא עדים שהמערער היה, בשנה השלישית של החזקה, או אפי' אם היה רק חודש אחד בסוף הג"ש, במקום שהיה יכול לשמוע מהחזקה ולמחות, דהוי חזקה, אעפ"י שבב' השנים הראשונות של החזקה היה המערער במקום חרום, דכיון שהגיע למקום שיכולה החזקה להשמע, אמרינן דהמערער חקר וידע שהמחזיק יושב בקרקעו ג"ש, והיה לו למחות, וכ"כ </w:t>
      </w:r>
      <w:r w:rsidRPr="003018DF">
        <w:rPr>
          <w:rStyle w:val="af9"/>
          <w:rFonts w:hint="cs"/>
          <w:rtl/>
        </w:rPr>
        <w:t>הרשב"א</w:t>
      </w:r>
      <w:r w:rsidRPr="003018DF">
        <w:rPr>
          <w:rFonts w:hint="cs"/>
          <w:rtl/>
        </w:rPr>
        <w:t xml:space="preserve"> </w:t>
      </w:r>
      <w:r w:rsidRPr="008A6F80">
        <w:rPr>
          <w:rStyle w:val="af7"/>
          <w:rFonts w:eastAsia="Guttman Hodes" w:hint="cs"/>
          <w:rtl/>
        </w:rPr>
        <w:t>(סוד"ה ההוא)</w:t>
      </w:r>
      <w:r w:rsidRPr="003018DF">
        <w:rPr>
          <w:rFonts w:hint="cs"/>
          <w:rtl/>
        </w:rPr>
        <w:t xml:space="preserve">, וכתב </w:t>
      </w:r>
      <w:r w:rsidRPr="003018DF">
        <w:rPr>
          <w:rStyle w:val="af9"/>
          <w:rFonts w:hint="cs"/>
          <w:rtl/>
        </w:rPr>
        <w:t>רבינו יונה</w:t>
      </w:r>
      <w:r w:rsidRPr="003018DF">
        <w:rPr>
          <w:rFonts w:hint="cs"/>
          <w:rtl/>
        </w:rPr>
        <w:t xml:space="preserve"> דכן מבואר בגמ' לקמן </w:t>
      </w:r>
      <w:r w:rsidRPr="008A6F80">
        <w:rPr>
          <w:rStyle w:val="af7"/>
          <w:rFonts w:eastAsia="Guttman Hodes" w:hint="cs"/>
          <w:rtl/>
        </w:rPr>
        <w:t>(ל.)</w:t>
      </w:r>
      <w:r w:rsidRPr="003018DF">
        <w:rPr>
          <w:rFonts w:hint="cs"/>
          <w:rtl/>
        </w:rPr>
        <w:t xml:space="preserve"> דבמקום שהביא המחזיק עדים שהיה המערער ל' יום בכל שנה באותו המקום, וטען המערער שהיה טרוד בשוק, אמר רבא דטענתו טענה, וכתב </w:t>
      </w:r>
      <w:r w:rsidRPr="003018DF">
        <w:rPr>
          <w:rStyle w:val="af9"/>
          <w:rFonts w:hint="cs"/>
          <w:rtl/>
        </w:rPr>
        <w:t>רבינו יונה</w:t>
      </w:r>
      <w:r w:rsidRPr="003018DF">
        <w:rPr>
          <w:rFonts w:hint="cs"/>
          <w:rtl/>
        </w:rPr>
        <w:t xml:space="preserve"> דמבואר דאם לא היה טרוד בשוק, סגי במה שהיה ל' יום באותו המקום, אעפ"י שבשאר השנה היה במקום חרום, כיון דבסוף השנה הוא הגיע למקום שיכול לשמוע מהחזקה, וכ"כ </w:t>
      </w:r>
      <w:r w:rsidRPr="003018DF">
        <w:rPr>
          <w:rStyle w:val="af9"/>
          <w:rFonts w:hint="cs"/>
          <w:rtl/>
        </w:rPr>
        <w:t>הריטב"א</w:t>
      </w:r>
      <w:r w:rsidRPr="003018DF">
        <w:rPr>
          <w:rFonts w:hint="cs"/>
          <w:rtl/>
        </w:rPr>
        <w:t xml:space="preserve"> </w:t>
      </w:r>
      <w:r w:rsidRPr="008A6F80">
        <w:rPr>
          <w:rStyle w:val="af7"/>
          <w:rFonts w:eastAsia="Guttman Hodes" w:hint="cs"/>
          <w:rtl/>
        </w:rPr>
        <w:t>(ד"ה וא"ל רב נחמן)</w:t>
      </w:r>
      <w:bookmarkEnd w:id="7109"/>
      <w:r w:rsidRPr="008A6F80">
        <w:rPr>
          <w:rFonts w:hint="cs"/>
          <w:rtl/>
        </w:rPr>
        <w:t>, ועי' ב</w:t>
      </w:r>
      <w:r>
        <w:rPr>
          <w:rFonts w:hint="cs"/>
          <w:rtl/>
        </w:rPr>
        <w:t>מ"ש</w:t>
      </w:r>
      <w:r w:rsidRPr="008A6F80">
        <w:rPr>
          <w:rFonts w:hint="cs"/>
          <w:rtl/>
        </w:rPr>
        <w:t xml:space="preserve"> </w:t>
      </w:r>
      <w:r w:rsidRPr="008A6F80">
        <w:rPr>
          <w:rStyle w:val="af9"/>
          <w:rFonts w:hint="cs"/>
          <w:rtl/>
        </w:rPr>
        <w:t>הרמב"ן</w:t>
      </w:r>
      <w:r w:rsidRPr="008A6F80">
        <w:rPr>
          <w:rFonts w:hint="cs"/>
          <w:rtl/>
        </w:rPr>
        <w:t xml:space="preserve"> </w:t>
      </w:r>
      <w:r w:rsidRPr="008A6F80">
        <w:rPr>
          <w:rStyle w:val="af7"/>
          <w:rFonts w:eastAsia="Guttman Hodes" w:hint="cs"/>
          <w:rtl/>
        </w:rPr>
        <w:t xml:space="preserve">(עי' אות </w:t>
      </w:r>
      <w:r w:rsidRPr="008A6F80">
        <w:rPr>
          <w:rStyle w:val="af7"/>
          <w:rFonts w:eastAsia="Guttman Hodes"/>
          <w:rtl/>
        </w:rPr>
        <w:fldChar w:fldCharType="begin"/>
      </w:r>
      <w:r w:rsidRPr="008A6F80">
        <w:rPr>
          <w:rStyle w:val="af7"/>
          <w:rFonts w:eastAsia="Guttman Hodes"/>
          <w:rtl/>
        </w:rPr>
        <w:instrText xml:space="preserve"> </w:instrText>
      </w:r>
      <w:r w:rsidRPr="008A6F80">
        <w:rPr>
          <w:rStyle w:val="af7"/>
          <w:rFonts w:eastAsia="Guttman Hodes" w:hint="cs"/>
        </w:rPr>
        <w:instrText>REF</w:instrText>
      </w:r>
      <w:r w:rsidRPr="008A6F80">
        <w:rPr>
          <w:rStyle w:val="af7"/>
          <w:rFonts w:eastAsia="Guttman Hodes" w:hint="cs"/>
          <w:rtl/>
        </w:rPr>
        <w:instrText xml:space="preserve"> _</w:instrText>
      </w:r>
      <w:r w:rsidRPr="008A6F80">
        <w:rPr>
          <w:rStyle w:val="af7"/>
          <w:rFonts w:eastAsia="Guttman Hodes" w:hint="cs"/>
        </w:rPr>
        <w:instrText>Ref57533595 \r \h</w:instrText>
      </w:r>
      <w:r w:rsidRPr="008A6F80">
        <w:rPr>
          <w:rStyle w:val="af7"/>
          <w:rFonts w:eastAsia="Guttman Hodes"/>
          <w:rtl/>
        </w:rPr>
        <w:instrText xml:space="preserve"> </w:instrText>
      </w:r>
      <w:r w:rsidRPr="008A6F80">
        <w:rPr>
          <w:rStyle w:val="af7"/>
          <w:rFonts w:eastAsia="Guttman Hodes"/>
          <w:rtl/>
        </w:rPr>
      </w:r>
      <w:r w:rsidRPr="008A6F80">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8A6F80">
        <w:rPr>
          <w:rStyle w:val="af7"/>
          <w:rFonts w:eastAsia="Guttman Hodes"/>
          <w:rtl/>
        </w:rPr>
        <w:fldChar w:fldCharType="end"/>
      </w:r>
      <w:r>
        <w:rPr>
          <w:rFonts w:hint="cs"/>
          <w:rtl/>
        </w:rPr>
        <w:t xml:space="preserve"> בזה. </w:t>
      </w:r>
      <w:r w:rsidRPr="000448B4">
        <w:rPr>
          <w:rStyle w:val="afb"/>
          <w:rFonts w:hint="cs"/>
          <w:rtl/>
        </w:rPr>
        <w:t xml:space="preserve">[אך כתב </w:t>
      </w:r>
      <w:r w:rsidRPr="000448B4">
        <w:rPr>
          <w:rStyle w:val="affa"/>
          <w:rFonts w:hint="cs"/>
          <w:rtl/>
        </w:rPr>
        <w:t xml:space="preserve">רבינו יונה </w:t>
      </w:r>
      <w:r w:rsidRPr="000448B4">
        <w:rPr>
          <w:rStyle w:val="afb"/>
          <w:rFonts w:hint="cs"/>
          <w:rtl/>
        </w:rPr>
        <w:t>דאם בב' השנים הראשונות, היה המערער עם המחזיק במדינה, ובשנה השלישית לא היה עמו במדינה, אינה חזקה, כיון שהמערער אינו צריך למחות לפני שיעברו הג"ש, ובסוף הג"ש היה במקום חרום ולא היה יכול למחות]</w:t>
      </w:r>
      <w:r>
        <w:rPr>
          <w:rStyle w:val="af1"/>
          <w:rtl/>
        </w:rPr>
        <w:footnoteReference w:id="43"/>
      </w:r>
      <w:r>
        <w:rPr>
          <w:rFonts w:hint="cs"/>
          <w:rtl/>
        </w:rPr>
        <w:t>.</w:t>
      </w:r>
    </w:p>
    <w:p w:rsidR="004A6630" w:rsidRPr="004A6630" w:rsidRDefault="004A6630" w:rsidP="004A6630">
      <w:pPr>
        <w:pStyle w:val="a3"/>
        <w:rPr>
          <w:rtl/>
        </w:rPr>
      </w:pPr>
    </w:p>
    <w:p w:rsidR="004A6630" w:rsidRPr="004A6630" w:rsidRDefault="004A6630" w:rsidP="004A6630">
      <w:pPr>
        <w:pStyle w:val="a3"/>
        <w:rPr>
          <w:rtl/>
        </w:rPr>
      </w:pPr>
    </w:p>
    <w:p w:rsidR="004A6630" w:rsidRPr="004A6630" w:rsidRDefault="004A6630" w:rsidP="004A6630">
      <w:pPr>
        <w:pStyle w:val="a3"/>
        <w:rPr>
          <w:rtl/>
        </w:rPr>
      </w:pPr>
    </w:p>
    <w:p w:rsidR="004A6630" w:rsidRPr="004A6630" w:rsidRDefault="004A6630" w:rsidP="004A6630">
      <w:pPr>
        <w:pStyle w:val="a3"/>
        <w:rPr>
          <w:rtl/>
        </w:rPr>
      </w:pPr>
    </w:p>
    <w:p w:rsidR="0019070E" w:rsidRDefault="0019070E" w:rsidP="0019070E">
      <w:pPr>
        <w:pStyle w:val="afe"/>
        <w:rPr>
          <w:rtl/>
        </w:rPr>
      </w:pPr>
      <w:bookmarkStart w:id="7110" w:name="_Toc58185026"/>
      <w:r>
        <w:rPr>
          <w:rFonts w:hint="cs"/>
          <w:rtl/>
        </w:rPr>
        <w:t>בקושית הגמ' על רבא ור"נ מבר סיסין</w:t>
      </w:r>
      <w:bookmarkEnd w:id="7110"/>
    </w:p>
    <w:p w:rsidR="0019070E" w:rsidRPr="00EF6FA6" w:rsidRDefault="0019070E" w:rsidP="0019070E">
      <w:pPr>
        <w:pStyle w:val="1"/>
        <w:rPr>
          <w:rtl/>
        </w:rPr>
      </w:pPr>
      <w:bookmarkStart w:id="7111" w:name="_Toc58185027"/>
      <w:r>
        <w:rPr>
          <w:rFonts w:hint="cs"/>
          <w:rtl/>
        </w:rPr>
        <w:t>דברי רבינו</w:t>
      </w:r>
      <w:r w:rsidR="00A77F33">
        <w:rPr>
          <w:rFonts w:hint="cs"/>
          <w:rtl/>
        </w:rPr>
        <w:t xml:space="preserve"> </w:t>
      </w:r>
      <w:r>
        <w:rPr>
          <w:rFonts w:hint="cs"/>
          <w:rtl/>
        </w:rPr>
        <w:t>יונה בתירוץ הגמ' על הקושיה מבר סיסין</w:t>
      </w:r>
      <w:bookmarkEnd w:id="7111"/>
    </w:p>
    <w:p w:rsidR="0019070E" w:rsidRPr="009148D5" w:rsidRDefault="0019070E" w:rsidP="0019070E">
      <w:pPr>
        <w:pStyle w:val="a3"/>
        <w:rPr>
          <w:rtl/>
        </w:rPr>
      </w:pPr>
      <w:bookmarkStart w:id="7112" w:name="_Toc58185028"/>
      <w:bookmarkStart w:id="7113" w:name="_Toc57323038"/>
      <w:bookmarkStart w:id="7114" w:name="_Toc57323147"/>
      <w:bookmarkStart w:id="7115" w:name="_Toc57370398"/>
      <w:bookmarkStart w:id="7116" w:name="_Toc57491565"/>
      <w:bookmarkStart w:id="7117" w:name="_Toc57495379"/>
      <w:bookmarkStart w:id="7118" w:name="_Toc57544523"/>
      <w:r>
        <w:rPr>
          <w:rFonts w:hint="cs"/>
          <w:rtl/>
        </w:rPr>
        <w:t>דברי רבינו יונה דלר"נ אזלינן כפשטות לשון המוכר אעפ"י דבאמת אינה של בר סיסין</w:t>
      </w:r>
      <w:bookmarkEnd w:id="7112"/>
    </w:p>
    <w:p w:rsidR="0019070E" w:rsidRPr="00641423" w:rsidRDefault="0019070E" w:rsidP="007E4E81">
      <w:pPr>
        <w:pStyle w:val="a0"/>
        <w:rPr>
          <w:rtl/>
        </w:rPr>
      </w:pPr>
      <w:bookmarkStart w:id="7119" w:name="_Ref57626199"/>
      <w:bookmarkStart w:id="7120" w:name="_Ref58184516"/>
      <w:r>
        <w:rPr>
          <w:rFonts w:hint="cs"/>
          <w:rtl/>
        </w:rPr>
        <w:t xml:space="preserve">וע"ע בדברי </w:t>
      </w:r>
      <w:r w:rsidRPr="0093600B">
        <w:rPr>
          <w:rStyle w:val="af9"/>
          <w:rFonts w:hint="cs"/>
          <w:rtl/>
        </w:rPr>
        <w:t>רבינו יונה לקמן</w:t>
      </w:r>
      <w:r>
        <w:rPr>
          <w:rFonts w:hint="cs"/>
          <w:rtl/>
        </w:rPr>
        <w:t xml:space="preserve"> </w:t>
      </w:r>
      <w:r w:rsidRPr="00555411">
        <w:rPr>
          <w:rStyle w:val="af7"/>
          <w:rFonts w:eastAsia="Guttman Hodes" w:hint="cs"/>
          <w:rtl/>
        </w:rPr>
        <w:t xml:space="preserve">(ל. ד"ה </w:t>
      </w:r>
      <w:r>
        <w:rPr>
          <w:rStyle w:val="af7"/>
          <w:rFonts w:eastAsia="Guttman Hodes" w:hint="cs"/>
          <w:rtl/>
        </w:rPr>
        <w:t>דר"נ</w:t>
      </w:r>
      <w:r w:rsidRPr="00555411">
        <w:rPr>
          <w:rStyle w:val="af7"/>
          <w:rFonts w:eastAsia="Guttman Hodes" w:hint="cs"/>
          <w:rtl/>
        </w:rPr>
        <w:t>)</w:t>
      </w:r>
      <w:r>
        <w:rPr>
          <w:rFonts w:hint="cs"/>
          <w:rtl/>
        </w:rPr>
        <w:t xml:space="preserve"> דביאר את תירוץ הגמ' בסתירת דברי ר"נ משכוני גוואי לבר סיסין, דהא דהוצרך ר"נ להאריך ולומר "כיון דא"ל </w:t>
      </w:r>
      <w:r>
        <w:rPr>
          <w:rtl/>
        </w:rPr>
        <w:t xml:space="preserve">דבי בר סיסין ומיקריא דבי בר סיסין </w:t>
      </w:r>
      <w:r>
        <w:rPr>
          <w:rFonts w:hint="cs"/>
          <w:rtl/>
        </w:rPr>
        <w:t xml:space="preserve">וכו'", ולא אמר ר"נ רק דכיון שהיא נקראת דבי בר סיסין עליו להביא ראיה, הוא כיון דכשאמר לו המוכר דבי בר סיסין, ולא אמר בפירוש שאין המכירה כוללת את השדה הזו, אעפ"י שידע המוכר שהיא נקראת דבי סיסין, א"כ יכול הלוקח לטעון ששדה זו בכלל המכר, כיון שכל מי ששמע את דברי המוכר הבין שזו כוונתו, ואם באמת לא קנה המוכר את השדה הזו מבר סיסין היה לו לפרש, וכל שלא פירש, א"כ היא בכלל השדות שמכר לו, </w:t>
      </w:r>
      <w:r w:rsidRPr="00C231B6">
        <w:rPr>
          <w:rtl/>
        </w:rPr>
        <w:t xml:space="preserve">והוסיף </w:t>
      </w:r>
      <w:r w:rsidRPr="004C6ABB">
        <w:rPr>
          <w:rStyle w:val="af9"/>
          <w:rtl/>
        </w:rPr>
        <w:t>רבינו יונה</w:t>
      </w:r>
      <w:r w:rsidRPr="00C231B6">
        <w:rPr>
          <w:rtl/>
        </w:rPr>
        <w:t xml:space="preserve"> </w:t>
      </w:r>
      <w:r w:rsidRPr="004C6ABB">
        <w:rPr>
          <w:rStyle w:val="af7"/>
          <w:rFonts w:eastAsia="Guttman Hodes"/>
          <w:rtl/>
        </w:rPr>
        <w:t>(ל. ד"ה עלה בידינו</w:t>
      </w:r>
      <w:r w:rsidRPr="00C231B6">
        <w:rPr>
          <w:rStyle w:val="af7"/>
          <w:rFonts w:eastAsia="Guttman Hodes"/>
          <w:rtl/>
        </w:rPr>
        <w:t xml:space="preserve">) </w:t>
      </w:r>
      <w:r w:rsidRPr="00C231B6">
        <w:rPr>
          <w:rtl/>
        </w:rPr>
        <w:t>דכיון שמכר לו בסתם ולא פירש ששדה זו אינה בכלל, א"כ חזקה שקנאה מבר סיסין</w:t>
      </w:r>
      <w:r>
        <w:rPr>
          <w:rStyle w:val="af1"/>
          <w:rtl/>
        </w:rPr>
        <w:footnoteReference w:id="44"/>
      </w:r>
      <w:r>
        <w:rPr>
          <w:rFonts w:hint="cs"/>
          <w:rtl/>
        </w:rPr>
        <w:t xml:space="preserve">, </w:t>
      </w:r>
      <w:r w:rsidRPr="002F4279">
        <w:rPr>
          <w:rStyle w:val="afb"/>
          <w:rFonts w:hint="cs"/>
          <w:rtl/>
        </w:rPr>
        <w:t xml:space="preserve">[וכתב </w:t>
      </w:r>
      <w:r w:rsidRPr="002F4279">
        <w:rPr>
          <w:rStyle w:val="affa"/>
          <w:rFonts w:hint="cs"/>
          <w:rtl/>
        </w:rPr>
        <w:t>בחי' רבי נחום</w:t>
      </w:r>
      <w:r w:rsidRPr="002F4279">
        <w:rPr>
          <w:rStyle w:val="afb"/>
          <w:rFonts w:hint="cs"/>
          <w:rtl/>
        </w:rPr>
        <w:t xml:space="preserve"> </w:t>
      </w:r>
      <w:r w:rsidRPr="002F4279">
        <w:rPr>
          <w:rStyle w:val="aff6"/>
          <w:rFonts w:hint="cs"/>
          <w:rtl/>
        </w:rPr>
        <w:t xml:space="preserve">(עי' אות </w:t>
      </w:r>
      <w:r w:rsidRPr="002F4279">
        <w:rPr>
          <w:rStyle w:val="aff6"/>
          <w:rtl/>
        </w:rPr>
        <w:fldChar w:fldCharType="begin"/>
      </w:r>
      <w:r w:rsidRPr="002F4279">
        <w:rPr>
          <w:rStyle w:val="aff6"/>
          <w:rtl/>
        </w:rPr>
        <w:instrText xml:space="preserve"> </w:instrText>
      </w:r>
      <w:r w:rsidRPr="002F4279">
        <w:rPr>
          <w:rStyle w:val="aff6"/>
          <w:rFonts w:hint="cs"/>
        </w:rPr>
        <w:instrText>REF</w:instrText>
      </w:r>
      <w:r w:rsidRPr="002F4279">
        <w:rPr>
          <w:rStyle w:val="aff6"/>
          <w:rFonts w:hint="cs"/>
          <w:rtl/>
        </w:rPr>
        <w:instrText xml:space="preserve"> _</w:instrText>
      </w:r>
      <w:r w:rsidRPr="002F4279">
        <w:rPr>
          <w:rStyle w:val="aff6"/>
          <w:rFonts w:hint="cs"/>
        </w:rPr>
        <w:instrText>Ref58183318 \r \h</w:instrText>
      </w:r>
      <w:r w:rsidRPr="002F4279">
        <w:rPr>
          <w:rStyle w:val="aff6"/>
          <w:rtl/>
        </w:rPr>
        <w:instrText xml:space="preserve"> </w:instrText>
      </w:r>
      <w:r w:rsidRPr="002F4279">
        <w:rPr>
          <w:rStyle w:val="aff6"/>
          <w:rtl/>
        </w:rPr>
      </w:r>
      <w:r w:rsidRPr="002F4279">
        <w:rPr>
          <w:rStyle w:val="aff6"/>
          <w:rtl/>
        </w:rPr>
        <w:fldChar w:fldCharType="separate"/>
      </w:r>
      <w:r w:rsidR="00265073">
        <w:rPr>
          <w:rStyle w:val="aff6"/>
          <w:cs/>
        </w:rPr>
        <w:t>‎</w:t>
      </w:r>
      <w:r w:rsidR="00265073">
        <w:rPr>
          <w:rStyle w:val="aff6"/>
          <w:rtl/>
        </w:rPr>
        <w:t>קיח)</w:t>
      </w:r>
      <w:r w:rsidRPr="002F4279">
        <w:rPr>
          <w:rStyle w:val="aff6"/>
          <w:rtl/>
        </w:rPr>
        <w:fldChar w:fldCharType="end"/>
      </w:r>
      <w:r w:rsidRPr="002F4279">
        <w:rPr>
          <w:rStyle w:val="afb"/>
          <w:rFonts w:hint="cs"/>
          <w:rtl/>
        </w:rPr>
        <w:t xml:space="preserve"> דביאור </w:t>
      </w:r>
      <w:r w:rsidRPr="002F4279">
        <w:rPr>
          <w:rStyle w:val="affa"/>
          <w:rFonts w:hint="cs"/>
          <w:rtl/>
        </w:rPr>
        <w:t>רבינו יונה</w:t>
      </w:r>
      <w:r w:rsidRPr="002F4279">
        <w:rPr>
          <w:rStyle w:val="afb"/>
          <w:rFonts w:hint="cs"/>
          <w:rtl/>
        </w:rPr>
        <w:t xml:space="preserve"> הוא דלא </w:t>
      </w:r>
      <w:r w:rsidRPr="002F4279">
        <w:rPr>
          <w:rStyle w:val="affa"/>
          <w:rFonts w:hint="cs"/>
          <w:rtl/>
        </w:rPr>
        <w:t>כרשב"ם</w:t>
      </w:r>
      <w:r w:rsidRPr="002F4279">
        <w:rPr>
          <w:rStyle w:val="afb"/>
          <w:rFonts w:hint="cs"/>
          <w:rtl/>
        </w:rPr>
        <w:t xml:space="preserve"> </w:t>
      </w:r>
      <w:r w:rsidRPr="002F4279">
        <w:rPr>
          <w:rStyle w:val="aff6"/>
          <w:rFonts w:hint="cs"/>
          <w:rtl/>
        </w:rPr>
        <w:t>(ל. ד"ה כיון)</w:t>
      </w:r>
      <w:r w:rsidRPr="002F4279">
        <w:rPr>
          <w:rStyle w:val="afb"/>
          <w:rFonts w:hint="cs"/>
          <w:rtl/>
        </w:rPr>
        <w:t xml:space="preserve"> דכתב להדיא דפשיטא דשדה שלא קנאה מבר סיסין אינה בכלל המכר]</w:t>
      </w:r>
      <w:bookmarkEnd w:id="7119"/>
      <w:r w:rsidRPr="002F4279">
        <w:rPr>
          <w:rStyle w:val="afb"/>
          <w:rFonts w:hint="cs"/>
          <w:rtl/>
        </w:rPr>
        <w:t>,</w:t>
      </w:r>
      <w:r>
        <w:rPr>
          <w:rFonts w:hint="cs"/>
          <w:rtl/>
        </w:rPr>
        <w:t xml:space="preserve"> ועי' במה שביאר </w:t>
      </w:r>
      <w:r w:rsidRPr="002F4279">
        <w:rPr>
          <w:rStyle w:val="af9"/>
          <w:rFonts w:hint="cs"/>
          <w:rtl/>
        </w:rPr>
        <w:t>בחי' רבי נחום</w:t>
      </w:r>
      <w:r>
        <w:rPr>
          <w:rFonts w:hint="cs"/>
          <w:rtl/>
        </w:rPr>
        <w:t xml:space="preserve"> </w:t>
      </w:r>
      <w:r w:rsidRPr="002F4279">
        <w:rPr>
          <w:rStyle w:val="af7"/>
          <w:rFonts w:eastAsia="Guttman Hodes" w:hint="cs"/>
          <w:rtl/>
        </w:rPr>
        <w:t xml:space="preserve">(עי' אות </w:t>
      </w:r>
      <w:r w:rsidRPr="002F4279">
        <w:rPr>
          <w:rStyle w:val="af7"/>
          <w:rFonts w:eastAsia="Guttman Hodes"/>
          <w:rtl/>
        </w:rPr>
        <w:fldChar w:fldCharType="begin"/>
      </w:r>
      <w:r w:rsidRPr="002F4279">
        <w:rPr>
          <w:rStyle w:val="af7"/>
          <w:rFonts w:eastAsia="Guttman Hodes"/>
          <w:rtl/>
        </w:rPr>
        <w:instrText xml:space="preserve"> </w:instrText>
      </w:r>
      <w:r w:rsidRPr="002F4279">
        <w:rPr>
          <w:rStyle w:val="af7"/>
          <w:rFonts w:eastAsia="Guttman Hodes" w:hint="cs"/>
        </w:rPr>
        <w:instrText>REF</w:instrText>
      </w:r>
      <w:r w:rsidRPr="002F4279">
        <w:rPr>
          <w:rStyle w:val="af7"/>
          <w:rFonts w:eastAsia="Guttman Hodes" w:hint="cs"/>
          <w:rtl/>
        </w:rPr>
        <w:instrText xml:space="preserve"> _</w:instrText>
      </w:r>
      <w:r w:rsidRPr="002F4279">
        <w:rPr>
          <w:rStyle w:val="af7"/>
          <w:rFonts w:eastAsia="Guttman Hodes" w:hint="cs"/>
        </w:rPr>
        <w:instrText>Ref58183305 \r \h</w:instrText>
      </w:r>
      <w:r w:rsidRPr="002F4279">
        <w:rPr>
          <w:rStyle w:val="af7"/>
          <w:rFonts w:eastAsia="Guttman Hodes"/>
          <w:rtl/>
        </w:rPr>
        <w:instrText xml:space="preserve"> </w:instrText>
      </w:r>
      <w:r w:rsidRPr="002F4279">
        <w:rPr>
          <w:rStyle w:val="af7"/>
          <w:rFonts w:eastAsia="Guttman Hodes"/>
          <w:rtl/>
        </w:rPr>
      </w:r>
      <w:r w:rsidRPr="002F4279">
        <w:rPr>
          <w:rStyle w:val="af7"/>
          <w:rFonts w:eastAsia="Guttman Hodes"/>
          <w:rtl/>
        </w:rPr>
        <w:fldChar w:fldCharType="separate"/>
      </w:r>
      <w:r w:rsidR="00265073">
        <w:rPr>
          <w:rStyle w:val="af7"/>
          <w:rFonts w:eastAsia="Guttman Hodes"/>
          <w:cs/>
        </w:rPr>
        <w:t>‎</w:t>
      </w:r>
      <w:r w:rsidR="00265073">
        <w:rPr>
          <w:rStyle w:val="af7"/>
          <w:rFonts w:eastAsia="Guttman Hodes"/>
          <w:rtl/>
        </w:rPr>
        <w:t>קטז)</w:t>
      </w:r>
      <w:r w:rsidRPr="002F4279">
        <w:rPr>
          <w:rStyle w:val="af7"/>
          <w:rFonts w:eastAsia="Guttman Hodes"/>
          <w:rtl/>
        </w:rPr>
        <w:fldChar w:fldCharType="end"/>
      </w:r>
      <w:r>
        <w:rPr>
          <w:rFonts w:hint="cs"/>
          <w:rtl/>
        </w:rPr>
        <w:t xml:space="preserve"> בדברי </w:t>
      </w:r>
      <w:r w:rsidRPr="002F4279">
        <w:rPr>
          <w:rStyle w:val="af9"/>
          <w:rFonts w:hint="cs"/>
          <w:rtl/>
        </w:rPr>
        <w:t>רבינו יונה</w:t>
      </w:r>
      <w:r>
        <w:rPr>
          <w:rFonts w:hint="cs"/>
          <w:rtl/>
        </w:rPr>
        <w:t>.</w:t>
      </w:r>
      <w:bookmarkEnd w:id="7120"/>
    </w:p>
    <w:p w:rsidR="0019070E" w:rsidRPr="00F5265F" w:rsidRDefault="0019070E" w:rsidP="0019070E">
      <w:pPr>
        <w:pStyle w:val="a3"/>
        <w:rPr>
          <w:rtl/>
        </w:rPr>
      </w:pPr>
      <w:bookmarkStart w:id="7121" w:name="_Toc57495378"/>
      <w:bookmarkStart w:id="7122" w:name="_Toc57544522"/>
      <w:bookmarkStart w:id="7123" w:name="_Toc58185029"/>
      <w:r>
        <w:rPr>
          <w:rFonts w:hint="cs"/>
          <w:rtl/>
        </w:rPr>
        <w:t>דברי רבינו יונה דלר"נ אעפ"י דהוא כמוחזק מ"מ צריך לקיים את חזקתו דלא עדיפא משטר</w:t>
      </w:r>
      <w:bookmarkEnd w:id="7121"/>
      <w:bookmarkEnd w:id="7122"/>
      <w:bookmarkEnd w:id="7123"/>
    </w:p>
    <w:p w:rsidR="0019070E" w:rsidRPr="001362EE" w:rsidRDefault="0019070E" w:rsidP="007E4E81">
      <w:pPr>
        <w:pStyle w:val="a0"/>
        <w:rPr>
          <w:rtl/>
        </w:rPr>
      </w:pPr>
      <w:bookmarkStart w:id="7124" w:name="_Ref57627825"/>
      <w:r w:rsidRPr="001362EE">
        <w:rPr>
          <w:rFonts w:hint="cs"/>
          <w:rtl/>
        </w:rPr>
        <w:t xml:space="preserve">ובהא דהשיב ר"נ לרבא דעל המחזיק להביא ראיה, כיון דלא גרע משטר שצריך לקיימו, ביאר </w:t>
      </w:r>
      <w:r w:rsidRPr="001362EE">
        <w:rPr>
          <w:rStyle w:val="af9"/>
          <w:rFonts w:hint="cs"/>
          <w:rtl/>
        </w:rPr>
        <w:t xml:space="preserve">רבינו יונה </w:t>
      </w:r>
      <w:r w:rsidRPr="0093600B">
        <w:rPr>
          <w:rStyle w:val="af9"/>
          <w:rFonts w:hint="cs"/>
          <w:rtl/>
        </w:rPr>
        <w:t>לקמן</w:t>
      </w:r>
      <w:r>
        <w:rPr>
          <w:rFonts w:hint="cs"/>
          <w:rtl/>
        </w:rPr>
        <w:t xml:space="preserve"> </w:t>
      </w:r>
      <w:r w:rsidRPr="001362EE">
        <w:rPr>
          <w:rStyle w:val="af9"/>
          <w:rFonts w:hint="cs"/>
          <w:rtl/>
        </w:rPr>
        <w:t>בביאורו הא'</w:t>
      </w:r>
      <w:r w:rsidRPr="001362EE">
        <w:rPr>
          <w:rFonts w:hint="cs"/>
          <w:rtl/>
        </w:rPr>
        <w:t xml:space="preserve"> </w:t>
      </w:r>
      <w:r w:rsidRPr="00555411">
        <w:rPr>
          <w:rStyle w:val="af7"/>
          <w:rFonts w:eastAsia="Guttman Hodes" w:hint="cs"/>
          <w:rtl/>
        </w:rPr>
        <w:t xml:space="preserve">(ל. ד"ה </w:t>
      </w:r>
      <w:r>
        <w:rPr>
          <w:rStyle w:val="af7"/>
          <w:rFonts w:eastAsia="Guttman Hodes" w:hint="cs"/>
          <w:rtl/>
        </w:rPr>
        <w:t>הכא</w:t>
      </w:r>
      <w:r w:rsidRPr="00555411">
        <w:rPr>
          <w:rStyle w:val="af7"/>
          <w:rFonts w:eastAsia="Guttman Hodes" w:hint="cs"/>
          <w:rtl/>
        </w:rPr>
        <w:t>)</w:t>
      </w:r>
      <w:r>
        <w:rPr>
          <w:rFonts w:hint="cs"/>
          <w:rtl/>
        </w:rPr>
        <w:t xml:space="preserve"> </w:t>
      </w:r>
      <w:r w:rsidRPr="001362EE">
        <w:rPr>
          <w:rFonts w:hint="cs"/>
          <w:rtl/>
        </w:rPr>
        <w:t xml:space="preserve">דס"ל לר"נ דאעפ"י דאמר רבא דע"י החזקה נחשב המחזיק למוחזק, מ"מ כשיש למחזיק שטר אף שאינו מקוים, מדאו' העדים החתומים בו הם כמי שנחקרה עדותם בב"ד, וחשיב יותר מוחזק בשדה מאשר בהחזיק בה בחזקת ג"ש, ומ"מ בשטר מדרבנן השטר צריך קיום, ואף שהוא ירד לקרקע מחמת השטר, לא אמרינן דהוא נחשב למוחזק, והמרא קמא צריך להביא ראיה לפסול את השטר, אלא אמרינן דקרקע בחזקת בעליה עומדת, וביאר </w:t>
      </w:r>
      <w:r w:rsidRPr="001362EE">
        <w:rPr>
          <w:rStyle w:val="af9"/>
          <w:rFonts w:hint="cs"/>
          <w:rtl/>
        </w:rPr>
        <w:t>רבינו יונה</w:t>
      </w:r>
      <w:r w:rsidRPr="001362EE">
        <w:rPr>
          <w:rFonts w:hint="cs"/>
          <w:rtl/>
        </w:rPr>
        <w:t xml:space="preserve"> דלכן אמר ר"נ דה"ה בשכוני גוואי דאמרינן למחזיק שיברר את אכילתו</w:t>
      </w:r>
      <w:r>
        <w:rPr>
          <w:rStyle w:val="af1"/>
          <w:rtl/>
        </w:rPr>
        <w:footnoteReference w:id="45"/>
      </w:r>
      <w:r w:rsidRPr="001362EE">
        <w:rPr>
          <w:rFonts w:hint="cs"/>
          <w:rtl/>
        </w:rPr>
        <w:t xml:space="preserve">, והוסיף </w:t>
      </w:r>
      <w:r w:rsidRPr="0012728F">
        <w:rPr>
          <w:rStyle w:val="af9"/>
          <w:rFonts w:hint="cs"/>
          <w:rtl/>
        </w:rPr>
        <w:t>הרשב"א</w:t>
      </w:r>
      <w:r w:rsidRPr="001362EE">
        <w:rPr>
          <w:rFonts w:hint="cs"/>
          <w:rtl/>
        </w:rPr>
        <w:t xml:space="preserve"> </w:t>
      </w:r>
      <w:r w:rsidRPr="0012728F">
        <w:rPr>
          <w:rStyle w:val="af7"/>
          <w:rFonts w:eastAsia="Guttman Hodes" w:hint="cs"/>
          <w:rtl/>
        </w:rPr>
        <w:t>(ל. ד"ה לא יהא)</w:t>
      </w:r>
      <w:r w:rsidRPr="001362EE">
        <w:rPr>
          <w:rFonts w:hint="cs"/>
          <w:rtl/>
        </w:rPr>
        <w:t xml:space="preserve"> דאם לא הביא ראיה שהיה המרא קמא עמו במדינה, חיישינן שהערים המחזיק, וירד לתוך השדה כיון שידע שהבעלים אינם נמצאים במדינה</w:t>
      </w:r>
      <w:r w:rsidRPr="001362EE">
        <w:rPr>
          <w:rStyle w:val="af1"/>
          <w:rtl/>
        </w:rPr>
        <w:footnoteReference w:id="46"/>
      </w:r>
      <w:r w:rsidRPr="001362EE">
        <w:rPr>
          <w:rFonts w:hint="cs"/>
          <w:rtl/>
        </w:rPr>
        <w:t>.</w:t>
      </w:r>
      <w:bookmarkEnd w:id="7124"/>
    </w:p>
    <w:p w:rsidR="0019070E" w:rsidRDefault="0019070E" w:rsidP="0019070E">
      <w:pPr>
        <w:pStyle w:val="a3"/>
        <w:rPr>
          <w:rtl/>
        </w:rPr>
      </w:pPr>
      <w:bookmarkStart w:id="7125" w:name="_Toc58185030"/>
      <w:r>
        <w:rPr>
          <w:rFonts w:hint="cs"/>
          <w:rtl/>
        </w:rPr>
        <w:t>הביאור הב' ברבינו יונה דלר"נ אף שלא פשע בחזקה מ"מ צריך להביא ראיה כקיום שטרות</w:t>
      </w:r>
      <w:bookmarkEnd w:id="7125"/>
    </w:p>
    <w:p w:rsidR="0019070E" w:rsidRPr="00C10949" w:rsidRDefault="0019070E" w:rsidP="007E4E81">
      <w:pPr>
        <w:pStyle w:val="a0"/>
        <w:rPr>
          <w:rStyle w:val="afb"/>
          <w:rtl/>
        </w:rPr>
      </w:pPr>
      <w:r>
        <w:rPr>
          <w:rFonts w:hint="cs"/>
          <w:rtl/>
        </w:rPr>
        <w:t xml:space="preserve">ועוד ביאר </w:t>
      </w:r>
      <w:r w:rsidRPr="002C4B18">
        <w:rPr>
          <w:rStyle w:val="af9"/>
          <w:rFonts w:hint="cs"/>
          <w:rtl/>
        </w:rPr>
        <w:t>רבינו יונה לקמן בביאורו הב'</w:t>
      </w:r>
      <w:r>
        <w:rPr>
          <w:rFonts w:hint="cs"/>
          <w:rtl/>
        </w:rPr>
        <w:t xml:space="preserve"> דכוונת ר"נ להשיב לרבא דלדבריך המחזיק אינו צריך לברר את אכילתו, כיון שאין עליו טענה שפשע בשטרו שאבד לו, כיון דיותר מג"ש אינו נזהר בשטרו, אך א"כ אינו יותר ממי שמחזיק שטר בידו, דאם היה לו שטר בידו ואין עליו כל טענת פשיעה, אעפ"י כן אמרינן ליה קיים שטרך, ולא אמרינן דכיון שלא פשע יזכה בשדה מכח השטר שבידו, אלא הוא צריך להביא ראיה ששדה זו שלו ע"י שיקיים את שטרו, אעפ"י שלא </w:t>
      </w:r>
      <w:r>
        <w:rPr>
          <w:rFonts w:hint="cs"/>
          <w:rtl/>
        </w:rPr>
        <w:lastRenderedPageBreak/>
        <w:t xml:space="preserve">פשע כלל, וא"כ אף בהחזיק ג"ש, שאין עליו כל טענה שפשע בשטרו, מ"מ עליו להביא ראיה שהשדה היא שלו, דהיינו שיביא ראיה שהמוכר היה באותה מדינה והיה יכול למחות ולא מחה, </w:t>
      </w:r>
      <w:r w:rsidRPr="00C10949">
        <w:rPr>
          <w:rStyle w:val="afb"/>
          <w:rFonts w:hint="cs"/>
          <w:rtl/>
        </w:rPr>
        <w:t xml:space="preserve">[כדביאר </w:t>
      </w:r>
      <w:r w:rsidRPr="00727F54">
        <w:rPr>
          <w:rStyle w:val="affa"/>
          <w:rFonts w:hint="cs"/>
          <w:rtl/>
        </w:rPr>
        <w:t>רבינו יונה</w:t>
      </w:r>
      <w:r w:rsidRPr="00C10949">
        <w:rPr>
          <w:rStyle w:val="afb"/>
          <w:rFonts w:hint="cs"/>
          <w:rtl/>
        </w:rPr>
        <w:t xml:space="preserve"> </w:t>
      </w:r>
      <w:r w:rsidRPr="00727F54">
        <w:rPr>
          <w:rStyle w:val="aff6"/>
          <w:rFonts w:hint="cs"/>
          <w:rtl/>
        </w:rPr>
        <w:t xml:space="preserve">(עי' אות </w:t>
      </w:r>
      <w:r w:rsidRPr="00727F54">
        <w:rPr>
          <w:rStyle w:val="aff6"/>
          <w:rtl/>
        </w:rPr>
        <w:fldChar w:fldCharType="begin"/>
      </w:r>
      <w:r w:rsidRPr="00727F54">
        <w:rPr>
          <w:rStyle w:val="aff6"/>
          <w:rtl/>
        </w:rPr>
        <w:instrText xml:space="preserve"> </w:instrText>
      </w:r>
      <w:r w:rsidRPr="00727F54">
        <w:rPr>
          <w:rStyle w:val="aff6"/>
          <w:rFonts w:hint="cs"/>
        </w:rPr>
        <w:instrText>REF</w:instrText>
      </w:r>
      <w:r w:rsidRPr="00727F54">
        <w:rPr>
          <w:rStyle w:val="aff6"/>
          <w:rFonts w:hint="cs"/>
          <w:rtl/>
        </w:rPr>
        <w:instrText xml:space="preserve"> _</w:instrText>
      </w:r>
      <w:r w:rsidRPr="00727F54">
        <w:rPr>
          <w:rStyle w:val="aff6"/>
          <w:rFonts w:hint="cs"/>
        </w:rPr>
        <w:instrText>Ref58183736 \r \h</w:instrText>
      </w:r>
      <w:r w:rsidRPr="00727F54">
        <w:rPr>
          <w:rStyle w:val="aff6"/>
          <w:rtl/>
        </w:rPr>
        <w:instrText xml:space="preserve"> </w:instrText>
      </w:r>
      <w:r w:rsidRPr="00727F54">
        <w:rPr>
          <w:rStyle w:val="aff6"/>
          <w:rtl/>
        </w:rPr>
      </w:r>
      <w:r w:rsidRPr="00727F54">
        <w:rPr>
          <w:rStyle w:val="aff6"/>
          <w:rtl/>
        </w:rPr>
        <w:fldChar w:fldCharType="separate"/>
      </w:r>
      <w:r w:rsidR="00265073">
        <w:rPr>
          <w:rStyle w:val="aff6"/>
          <w:cs/>
        </w:rPr>
        <w:t>‎</w:t>
      </w:r>
      <w:r w:rsidR="00265073">
        <w:rPr>
          <w:rStyle w:val="aff6"/>
          <w:rtl/>
        </w:rPr>
        <w:t>עג)</w:t>
      </w:r>
      <w:r w:rsidRPr="00727F54">
        <w:rPr>
          <w:rStyle w:val="aff6"/>
          <w:rtl/>
        </w:rPr>
        <w:fldChar w:fldCharType="end"/>
      </w:r>
      <w:r w:rsidRPr="00727F54">
        <w:rPr>
          <w:rStyle w:val="aff6"/>
          <w:rFonts w:hint="cs"/>
          <w:rtl/>
        </w:rPr>
        <w:t xml:space="preserve"> </w:t>
      </w:r>
      <w:r w:rsidRPr="00C10949">
        <w:rPr>
          <w:rStyle w:val="afb"/>
          <w:rFonts w:hint="cs"/>
          <w:rtl/>
        </w:rPr>
        <w:t>דזו טענת המערער בשכוני גוואי],</w:t>
      </w:r>
      <w:r>
        <w:rPr>
          <w:rFonts w:hint="cs"/>
          <w:rtl/>
        </w:rPr>
        <w:t xml:space="preserve"> כיון שגוף הראיה של החזקה היא ממה שהיה המוכר יכול למחות ולא מחה, </w:t>
      </w:r>
      <w:r w:rsidRPr="00C10949">
        <w:rPr>
          <w:rStyle w:val="afb"/>
          <w:rFonts w:hint="cs"/>
          <w:rtl/>
        </w:rPr>
        <w:t xml:space="preserve">[כדביאר </w:t>
      </w:r>
      <w:r w:rsidRPr="00727F54">
        <w:rPr>
          <w:rStyle w:val="affa"/>
          <w:rFonts w:hint="cs"/>
          <w:rtl/>
        </w:rPr>
        <w:t xml:space="preserve">רבינו יונה לעיל </w:t>
      </w:r>
      <w:r w:rsidRPr="00727F54">
        <w:rPr>
          <w:rStyle w:val="aff6"/>
          <w:rFonts w:hint="cs"/>
          <w:rtl/>
        </w:rPr>
        <w:t>(כט. ד"ה אלא, הובא בסימן ו' אות ג')</w:t>
      </w:r>
      <w:r w:rsidRPr="00C10949">
        <w:rPr>
          <w:rStyle w:val="afb"/>
          <w:rFonts w:hint="cs"/>
          <w:rtl/>
        </w:rPr>
        <w:t>].</w:t>
      </w:r>
    </w:p>
    <w:p w:rsidR="0019070E" w:rsidRDefault="0019070E" w:rsidP="0019070E">
      <w:pPr>
        <w:pStyle w:val="1"/>
        <w:rPr>
          <w:rtl/>
        </w:rPr>
      </w:pPr>
      <w:bookmarkStart w:id="7126" w:name="_Toc58185031"/>
      <w:r>
        <w:rPr>
          <w:rFonts w:hint="cs"/>
          <w:rtl/>
        </w:rPr>
        <w:t>קו' הריטב"א דלר"נ בכל חזקה יביא המחזיק ראיה שלא מחו בו</w:t>
      </w:r>
      <w:bookmarkEnd w:id="7113"/>
      <w:bookmarkEnd w:id="7114"/>
      <w:bookmarkEnd w:id="7115"/>
      <w:bookmarkEnd w:id="7116"/>
      <w:bookmarkEnd w:id="7117"/>
      <w:bookmarkEnd w:id="7118"/>
      <w:bookmarkEnd w:id="7126"/>
    </w:p>
    <w:p w:rsidR="0019070E" w:rsidRDefault="0019070E" w:rsidP="0019070E">
      <w:pPr>
        <w:pStyle w:val="a3"/>
        <w:rPr>
          <w:rtl/>
        </w:rPr>
      </w:pPr>
      <w:bookmarkStart w:id="7127" w:name="_Toc57323039"/>
      <w:bookmarkStart w:id="7128" w:name="_Toc57323148"/>
      <w:bookmarkStart w:id="7129" w:name="_Toc57370399"/>
      <w:bookmarkStart w:id="7130" w:name="_Toc57491566"/>
      <w:bookmarkStart w:id="7131" w:name="_Toc57495380"/>
      <w:bookmarkStart w:id="7132" w:name="_Toc57544524"/>
      <w:bookmarkStart w:id="7133" w:name="_Toc58185032"/>
      <w:r>
        <w:rPr>
          <w:rFonts w:hint="cs"/>
          <w:rtl/>
        </w:rPr>
        <w:t>קושית הריטב"א על ר"נ דבכל מאחה אמאי אין המחזיק צריך להוכיח שלא מחה בו המערער</w:t>
      </w:r>
      <w:bookmarkEnd w:id="7127"/>
      <w:bookmarkEnd w:id="7128"/>
      <w:bookmarkEnd w:id="7129"/>
      <w:bookmarkEnd w:id="7130"/>
      <w:bookmarkEnd w:id="7131"/>
      <w:bookmarkEnd w:id="7132"/>
      <w:bookmarkEnd w:id="7133"/>
    </w:p>
    <w:p w:rsidR="0019070E" w:rsidRPr="004E0E90" w:rsidRDefault="0019070E" w:rsidP="007E4E81">
      <w:pPr>
        <w:pStyle w:val="a0"/>
        <w:rPr>
          <w:rStyle w:val="afb"/>
        </w:rPr>
      </w:pPr>
      <w:r>
        <w:rPr>
          <w:rFonts w:hint="cs"/>
          <w:rtl/>
        </w:rPr>
        <w:t xml:space="preserve">כתב </w:t>
      </w:r>
      <w:r w:rsidRPr="00935D16">
        <w:rPr>
          <w:rStyle w:val="af9"/>
          <w:rFonts w:hint="cs"/>
          <w:rtl/>
        </w:rPr>
        <w:t>הריטב"א לקמן</w:t>
      </w:r>
      <w:r>
        <w:rPr>
          <w:rFonts w:hint="cs"/>
          <w:rtl/>
        </w:rPr>
        <w:t xml:space="preserve"> </w:t>
      </w:r>
      <w:r w:rsidRPr="00935D16">
        <w:rPr>
          <w:rStyle w:val="af7"/>
          <w:rFonts w:eastAsia="Guttman Hodes" w:hint="cs"/>
          <w:rtl/>
        </w:rPr>
        <w:t>(ל. ד"ה ובההוא)</w:t>
      </w:r>
      <w:r>
        <w:rPr>
          <w:rFonts w:hint="cs"/>
          <w:rtl/>
        </w:rPr>
        <w:t xml:space="preserve"> דקיי"ל כר"נ דהמחזיק צריך לברר, אך הקשה </w:t>
      </w:r>
      <w:r w:rsidRPr="00935D16">
        <w:rPr>
          <w:rStyle w:val="af9"/>
          <w:rFonts w:hint="cs"/>
          <w:rtl/>
        </w:rPr>
        <w:t xml:space="preserve">הריטב"א </w:t>
      </w:r>
      <w:r>
        <w:rPr>
          <w:rFonts w:hint="cs"/>
          <w:rtl/>
        </w:rPr>
        <w:t xml:space="preserve">דא"כ בכל חזקה כשיטען המערער שמחה, יצטרך המחזיק לברר שלא מחה בו. </w:t>
      </w:r>
      <w:r w:rsidRPr="004E0E90">
        <w:rPr>
          <w:rStyle w:val="afb"/>
          <w:rFonts w:hint="cs"/>
          <w:rtl/>
        </w:rPr>
        <w:t xml:space="preserve">[ועי' </w:t>
      </w:r>
      <w:r>
        <w:rPr>
          <w:rStyle w:val="afb"/>
          <w:rFonts w:hint="cs"/>
          <w:rtl/>
        </w:rPr>
        <w:t xml:space="preserve">בדברי </w:t>
      </w:r>
      <w:r w:rsidRPr="00C02F02">
        <w:rPr>
          <w:rStyle w:val="affa"/>
          <w:rFonts w:hint="cs"/>
          <w:rtl/>
        </w:rPr>
        <w:t>הקוב"ש</w:t>
      </w:r>
      <w:r>
        <w:rPr>
          <w:rStyle w:val="afb"/>
          <w:rFonts w:hint="cs"/>
          <w:rtl/>
        </w:rPr>
        <w:t xml:space="preserve"> </w:t>
      </w:r>
      <w:r w:rsidRPr="00970E20">
        <w:rPr>
          <w:rStyle w:val="aff6"/>
          <w:rFonts w:hint="cs"/>
          <w:rtl/>
        </w:rPr>
        <w:t xml:space="preserve">(עי' אות </w:t>
      </w:r>
      <w:r w:rsidRPr="00970E20">
        <w:rPr>
          <w:rStyle w:val="aff6"/>
          <w:rtl/>
        </w:rPr>
        <w:fldChar w:fldCharType="begin"/>
      </w:r>
      <w:r w:rsidRPr="00970E20">
        <w:rPr>
          <w:rStyle w:val="aff6"/>
          <w:rtl/>
        </w:rPr>
        <w:instrText xml:space="preserve"> </w:instrText>
      </w:r>
      <w:r w:rsidRPr="00970E20">
        <w:rPr>
          <w:rStyle w:val="aff6"/>
          <w:rFonts w:hint="cs"/>
        </w:rPr>
        <w:instrText>REF</w:instrText>
      </w:r>
      <w:r w:rsidRPr="00970E20">
        <w:rPr>
          <w:rStyle w:val="aff6"/>
          <w:rFonts w:hint="cs"/>
          <w:rtl/>
        </w:rPr>
        <w:instrText xml:space="preserve"> _</w:instrText>
      </w:r>
      <w:r w:rsidRPr="00970E20">
        <w:rPr>
          <w:rStyle w:val="aff6"/>
          <w:rFonts w:hint="cs"/>
        </w:rPr>
        <w:instrText>Ref57544391 \r \h</w:instrText>
      </w:r>
      <w:r w:rsidRPr="00970E20">
        <w:rPr>
          <w:rStyle w:val="aff6"/>
          <w:rtl/>
        </w:rPr>
        <w:instrText xml:space="preserve"> </w:instrText>
      </w:r>
      <w:r w:rsidRPr="00970E20">
        <w:rPr>
          <w:rStyle w:val="aff6"/>
          <w:rtl/>
        </w:rPr>
      </w:r>
      <w:r w:rsidRPr="00970E20">
        <w:rPr>
          <w:rStyle w:val="aff6"/>
          <w:rtl/>
        </w:rPr>
        <w:fldChar w:fldCharType="separate"/>
      </w:r>
      <w:r w:rsidR="00265073">
        <w:rPr>
          <w:rStyle w:val="aff6"/>
          <w:cs/>
        </w:rPr>
        <w:t>‎</w:t>
      </w:r>
      <w:r w:rsidR="00265073">
        <w:rPr>
          <w:rStyle w:val="aff6"/>
          <w:rtl/>
        </w:rPr>
        <w:t>קא)</w:t>
      </w:r>
      <w:r w:rsidRPr="00970E20">
        <w:rPr>
          <w:rStyle w:val="aff6"/>
          <w:rtl/>
        </w:rPr>
        <w:fldChar w:fldCharType="end"/>
      </w:r>
      <w:r>
        <w:rPr>
          <w:rStyle w:val="afb"/>
          <w:rFonts w:hint="cs"/>
          <w:rtl/>
        </w:rPr>
        <w:t xml:space="preserve"> ו</w:t>
      </w:r>
      <w:r w:rsidRPr="004E0E90">
        <w:rPr>
          <w:rStyle w:val="afb"/>
          <w:rFonts w:hint="cs"/>
          <w:rtl/>
        </w:rPr>
        <w:t xml:space="preserve">במ"ש בזה </w:t>
      </w:r>
      <w:r w:rsidRPr="004E0E90">
        <w:rPr>
          <w:rStyle w:val="affa"/>
          <w:rFonts w:hint="cs"/>
          <w:rtl/>
        </w:rPr>
        <w:t xml:space="preserve">בשיעורי רבי שמואל ובחי' </w:t>
      </w:r>
      <w:r w:rsidRPr="00EE5AA7">
        <w:rPr>
          <w:rStyle w:val="affa"/>
          <w:rFonts w:hint="cs"/>
          <w:rtl/>
        </w:rPr>
        <w:t>רבי נחום</w:t>
      </w:r>
      <w:r w:rsidRPr="00C02F02">
        <w:rPr>
          <w:rStyle w:val="aff6"/>
          <w:rFonts w:hint="cs"/>
          <w:rtl/>
        </w:rPr>
        <w:t xml:space="preserve"> (הובאו בסימן ה' אות ק"ב)</w:t>
      </w:r>
      <w:r w:rsidRPr="004E0E90">
        <w:rPr>
          <w:rStyle w:val="afb"/>
          <w:rFonts w:hint="cs"/>
          <w:rtl/>
        </w:rPr>
        <w:t>].</w:t>
      </w:r>
    </w:p>
    <w:p w:rsidR="0019070E" w:rsidRPr="003A1415" w:rsidRDefault="0019070E" w:rsidP="0019070E">
      <w:pPr>
        <w:pStyle w:val="a3"/>
        <w:rPr>
          <w:rtl/>
        </w:rPr>
      </w:pPr>
      <w:bookmarkStart w:id="7134" w:name="_Toc57323040"/>
      <w:bookmarkStart w:id="7135" w:name="_Toc57323149"/>
      <w:bookmarkStart w:id="7136" w:name="_Toc57370400"/>
      <w:bookmarkStart w:id="7137" w:name="_Toc57491567"/>
      <w:bookmarkStart w:id="7138" w:name="_Toc57495381"/>
      <w:bookmarkStart w:id="7139" w:name="_Toc57544525"/>
      <w:bookmarkStart w:id="7140" w:name="_Toc58185033"/>
      <w:r>
        <w:rPr>
          <w:rFonts w:hint="cs"/>
          <w:rtl/>
        </w:rPr>
        <w:t>תירוץ הריטב"א דחזקת ג"ש היא כשטר מקוים וטענת מחאה כטענת פרוע או אמנה</w:t>
      </w:r>
      <w:bookmarkEnd w:id="7134"/>
      <w:bookmarkEnd w:id="7135"/>
      <w:bookmarkEnd w:id="7136"/>
      <w:bookmarkEnd w:id="7137"/>
      <w:bookmarkEnd w:id="7138"/>
      <w:bookmarkEnd w:id="7139"/>
      <w:bookmarkEnd w:id="7140"/>
    </w:p>
    <w:p w:rsidR="0019070E" w:rsidRDefault="0019070E" w:rsidP="007E4E81">
      <w:pPr>
        <w:pStyle w:val="a0"/>
        <w:rPr>
          <w:rtl/>
        </w:rPr>
      </w:pPr>
      <w:r>
        <w:rPr>
          <w:rFonts w:hint="cs"/>
          <w:rtl/>
        </w:rPr>
        <w:t xml:space="preserve">ותירץ </w:t>
      </w:r>
      <w:r w:rsidRPr="00935D16">
        <w:rPr>
          <w:rStyle w:val="af9"/>
          <w:rFonts w:hint="cs"/>
          <w:rtl/>
        </w:rPr>
        <w:t>הרטב"א</w:t>
      </w:r>
      <w:r>
        <w:rPr>
          <w:rStyle w:val="af9"/>
          <w:rFonts w:hint="cs"/>
          <w:rtl/>
        </w:rPr>
        <w:t xml:space="preserve"> לקמן</w:t>
      </w:r>
      <w:r>
        <w:rPr>
          <w:rFonts w:hint="cs"/>
          <w:rtl/>
        </w:rPr>
        <w:t xml:space="preserve"> דאף במקום שטוען המערער שביום ידוע מחה בו, מ"מ אין המחזיק צריך להוכיח שלא הייתה מחאה באותו היום, דכיון שהמחזיק בירר שאכל ג"ש לפני המרא קמא, הוא כמו מקיים שטר שהוא ברור, וכשטוען המערער שהוא מחה, חשיב כטוען על השטר שהוא שטר אמנה, או פרוע, דאינו נאמן, וכתב </w:t>
      </w:r>
      <w:r w:rsidRPr="00935D16">
        <w:rPr>
          <w:rStyle w:val="af9"/>
          <w:rFonts w:hint="cs"/>
          <w:rtl/>
        </w:rPr>
        <w:t>הריטב"א</w:t>
      </w:r>
      <w:r>
        <w:rPr>
          <w:rFonts w:hint="cs"/>
          <w:rtl/>
        </w:rPr>
        <w:t xml:space="preserve"> דכ"ש במקום שהמערער אינו אומר שעה ידועה שמחה בה, דודאי שהמחזיק אינו יכול לברר שלא מחה בו המערער, והוסיף </w:t>
      </w:r>
      <w:r w:rsidRPr="00935D16">
        <w:rPr>
          <w:rStyle w:val="af9"/>
          <w:rFonts w:hint="cs"/>
          <w:rtl/>
        </w:rPr>
        <w:t>הריטב"א</w:t>
      </w:r>
      <w:r>
        <w:rPr>
          <w:rFonts w:hint="cs"/>
          <w:rtl/>
        </w:rPr>
        <w:t xml:space="preserve"> דעוד קיי"ל דמחאה שלא בפניו לא הוי מחאה.</w:t>
      </w:r>
    </w:p>
    <w:p w:rsidR="0019070E" w:rsidRDefault="0019070E" w:rsidP="0019070E">
      <w:pPr>
        <w:pStyle w:val="1"/>
        <w:rPr>
          <w:rtl/>
        </w:rPr>
      </w:pPr>
      <w:bookmarkStart w:id="7141" w:name="_Toc58185034"/>
      <w:r>
        <w:rPr>
          <w:rFonts w:hint="cs"/>
          <w:rtl/>
        </w:rPr>
        <w:t>בי' הר"ן על הרי"ף דרבא ור"נ נח' ברוב שמוציא ממוחזק בקרקע</w:t>
      </w:r>
      <w:bookmarkEnd w:id="7141"/>
    </w:p>
    <w:p w:rsidR="0019070E" w:rsidRDefault="0019070E" w:rsidP="0019070E">
      <w:pPr>
        <w:pStyle w:val="a3"/>
      </w:pPr>
      <w:bookmarkStart w:id="7142" w:name="_Toc58185035"/>
      <w:r>
        <w:rPr>
          <w:rFonts w:hint="cs"/>
          <w:rtl/>
        </w:rPr>
        <w:t>ביאור הר"ן דהו"א דפליגי רבא ור"נ בשכוני גוואי ובבר סיסין אי רוב מהני להוציא קרקע ממוחזק</w:t>
      </w:r>
      <w:bookmarkEnd w:id="7142"/>
    </w:p>
    <w:p w:rsidR="0019070E" w:rsidRPr="0093243A" w:rsidRDefault="0019070E" w:rsidP="007E4E81">
      <w:pPr>
        <w:pStyle w:val="a0"/>
        <w:rPr>
          <w:rStyle w:val="afb"/>
          <w:rtl/>
        </w:rPr>
      </w:pPr>
      <w:r>
        <w:rPr>
          <w:rFonts w:hint="cs"/>
          <w:rtl/>
        </w:rPr>
        <w:t xml:space="preserve">הקשה </w:t>
      </w:r>
      <w:r w:rsidRPr="00876C34">
        <w:rPr>
          <w:rStyle w:val="af9"/>
          <w:rFonts w:hint="cs"/>
          <w:rtl/>
        </w:rPr>
        <w:t xml:space="preserve">הר"ן </w:t>
      </w:r>
      <w:r w:rsidRPr="0036277B">
        <w:rPr>
          <w:rStyle w:val="af9"/>
          <w:rFonts w:hint="cs"/>
          <w:rtl/>
        </w:rPr>
        <w:t xml:space="preserve">על הרי"ף [הנדמ"ח] </w:t>
      </w:r>
      <w:r w:rsidRPr="0036277B">
        <w:rPr>
          <w:rStyle w:val="af7"/>
          <w:rFonts w:eastAsia="Guttman Hodes" w:hint="cs"/>
          <w:rtl/>
        </w:rPr>
        <w:t>(</w:t>
      </w:r>
      <w:r>
        <w:rPr>
          <w:rStyle w:val="af7"/>
          <w:rFonts w:eastAsia="Guttman Hodes" w:hint="cs"/>
          <w:rtl/>
        </w:rPr>
        <w:t xml:space="preserve">ל. </w:t>
      </w:r>
      <w:r w:rsidRPr="0036277B">
        <w:rPr>
          <w:rStyle w:val="af7"/>
          <w:rFonts w:eastAsia="Guttman Hodes" w:hint="cs"/>
          <w:rtl/>
        </w:rPr>
        <w:t>ד"ה נכסי, נד' בסוף חי' הר"ן מהדו' פרדס</w:t>
      </w:r>
      <w:r w:rsidR="005414DA">
        <w:rPr>
          <w:rStyle w:val="af1"/>
          <w:rtl/>
        </w:rPr>
        <w:footnoteReference w:id="47"/>
      </w:r>
      <w:r w:rsidRPr="0036277B">
        <w:rPr>
          <w:rStyle w:val="af7"/>
          <w:rFonts w:eastAsia="Guttman Hodes" w:hint="cs"/>
          <w:rtl/>
        </w:rPr>
        <w:t>, ובקובץ מפרשים עוז והדר)</w:t>
      </w:r>
      <w:r w:rsidRPr="0036277B">
        <w:rPr>
          <w:rFonts w:hint="cs"/>
          <w:rtl/>
        </w:rPr>
        <w:t xml:space="preserve"> דמה מדמה הגמ' את פלוגתת רבא ור"נ בשכוני גוואי, לפלוגתתם בדין מכר, וביאר </w:t>
      </w:r>
      <w:r w:rsidRPr="0036277B">
        <w:rPr>
          <w:rStyle w:val="af9"/>
          <w:rFonts w:hint="cs"/>
          <w:rtl/>
        </w:rPr>
        <w:t>הר"ן על הרי"ף [הנדמ"ח]</w:t>
      </w:r>
      <w:r w:rsidRPr="0036277B">
        <w:rPr>
          <w:rFonts w:hint="cs"/>
          <w:rtl/>
        </w:rPr>
        <w:t xml:space="preserve"> דההו"א בגמ' היא דבב' האופנים הללו נחלקו רבא ור"נ, האם הולכין בממון אחר הרוב, ולהוציא</w:t>
      </w:r>
      <w:r>
        <w:rPr>
          <w:rFonts w:hint="cs"/>
          <w:rtl/>
        </w:rPr>
        <w:t xml:space="preserve"> מכח הרוב את הקרקע מידי המוחזק בה. </w:t>
      </w:r>
    </w:p>
    <w:p w:rsidR="0019070E" w:rsidRPr="00C50F39" w:rsidRDefault="0019070E" w:rsidP="0019070E">
      <w:pPr>
        <w:pStyle w:val="a3"/>
        <w:rPr>
          <w:rtl/>
        </w:rPr>
      </w:pPr>
      <w:bookmarkStart w:id="7143" w:name="_Toc58185036"/>
      <w:r>
        <w:rPr>
          <w:rFonts w:hint="cs"/>
          <w:rtl/>
        </w:rPr>
        <w:t>ביאור הר"ן ברבא דבשכוני גוואי הרוב כמחזיק וחשיב להעמיד בידו ולא חשיב הוצאת ממון</w:t>
      </w:r>
      <w:bookmarkEnd w:id="7143"/>
    </w:p>
    <w:p w:rsidR="0019070E" w:rsidRDefault="0019070E" w:rsidP="007E4E81">
      <w:pPr>
        <w:pStyle w:val="a0"/>
        <w:rPr>
          <w:rtl/>
        </w:rPr>
      </w:pPr>
      <w:r>
        <w:rPr>
          <w:rFonts w:hint="cs"/>
          <w:rtl/>
        </w:rPr>
        <w:t xml:space="preserve">וכתב </w:t>
      </w:r>
      <w:r w:rsidRPr="00876C34">
        <w:rPr>
          <w:rStyle w:val="af9"/>
          <w:rFonts w:hint="cs"/>
          <w:rtl/>
        </w:rPr>
        <w:t>הר"ן על הרי"ף [הנדמ"ח]</w:t>
      </w:r>
      <w:r>
        <w:rPr>
          <w:rFonts w:hint="cs"/>
          <w:rtl/>
        </w:rPr>
        <w:t xml:space="preserve"> דבשכוני גוואי הרוב הוא שבעל הקרקע אינו רחוק כ"כ עד שהלך למקום שאינו יכול למחות, </w:t>
      </w:r>
      <w:r w:rsidRPr="0093243A">
        <w:rPr>
          <w:rStyle w:val="afb"/>
          <w:rFonts w:hint="cs"/>
          <w:rtl/>
        </w:rPr>
        <w:t xml:space="preserve">[כביאור </w:t>
      </w:r>
      <w:r w:rsidRPr="0093243A">
        <w:rPr>
          <w:rStyle w:val="affa"/>
          <w:rFonts w:hint="cs"/>
          <w:rtl/>
        </w:rPr>
        <w:t>הרמב"ן ושא"ר</w:t>
      </w:r>
      <w:r w:rsidRPr="0093243A">
        <w:rPr>
          <w:rStyle w:val="afb"/>
          <w:rFonts w:hint="cs"/>
          <w:rtl/>
        </w:rPr>
        <w:t xml:space="preserve"> </w:t>
      </w:r>
      <w:r w:rsidRPr="0093243A">
        <w:rPr>
          <w:rStyle w:val="aff6"/>
          <w:rFonts w:hint="cs"/>
          <w:rtl/>
        </w:rPr>
        <w:t xml:space="preserve">(עי' אות </w:t>
      </w:r>
      <w:r w:rsidRPr="0093243A">
        <w:rPr>
          <w:rStyle w:val="aff6"/>
          <w:rtl/>
        </w:rPr>
        <w:fldChar w:fldCharType="begin"/>
      </w:r>
      <w:r w:rsidRPr="0093243A">
        <w:rPr>
          <w:rStyle w:val="aff6"/>
          <w:rtl/>
        </w:rPr>
        <w:instrText xml:space="preserve"> </w:instrText>
      </w:r>
      <w:r w:rsidRPr="0093243A">
        <w:rPr>
          <w:rStyle w:val="aff6"/>
          <w:rFonts w:hint="cs"/>
        </w:rPr>
        <w:instrText>REF</w:instrText>
      </w:r>
      <w:r w:rsidRPr="0093243A">
        <w:rPr>
          <w:rStyle w:val="aff6"/>
          <w:rFonts w:hint="cs"/>
          <w:rtl/>
        </w:rPr>
        <w:instrText xml:space="preserve"> _</w:instrText>
      </w:r>
      <w:r w:rsidRPr="0093243A">
        <w:rPr>
          <w:rStyle w:val="aff6"/>
          <w:rFonts w:hint="cs"/>
        </w:rPr>
        <w:instrText>Ref57321016 \r \h</w:instrText>
      </w:r>
      <w:r w:rsidRPr="0093243A">
        <w:rPr>
          <w:rStyle w:val="aff6"/>
          <w:rtl/>
        </w:rPr>
        <w:instrText xml:space="preserve"> </w:instrText>
      </w:r>
      <w:r w:rsidRPr="0093243A">
        <w:rPr>
          <w:rStyle w:val="aff6"/>
          <w:rtl/>
        </w:rPr>
      </w:r>
      <w:r w:rsidRPr="0093243A">
        <w:rPr>
          <w:rStyle w:val="aff6"/>
          <w:rtl/>
        </w:rPr>
        <w:fldChar w:fldCharType="separate"/>
      </w:r>
      <w:r w:rsidR="00265073">
        <w:rPr>
          <w:rStyle w:val="aff6"/>
          <w:cs/>
        </w:rPr>
        <w:t>‎</w:t>
      </w:r>
      <w:r w:rsidR="00265073">
        <w:rPr>
          <w:rStyle w:val="aff6"/>
          <w:rtl/>
        </w:rPr>
        <w:t>מט)</w:t>
      </w:r>
      <w:r w:rsidRPr="0093243A">
        <w:rPr>
          <w:rStyle w:val="aff6"/>
          <w:rtl/>
        </w:rPr>
        <w:fldChar w:fldCharType="end"/>
      </w:r>
      <w:r w:rsidR="00A77F33">
        <w:rPr>
          <w:rStyle w:val="afb"/>
          <w:rFonts w:hint="cs"/>
          <w:rtl/>
        </w:rPr>
        <w:t xml:space="preserve"> </w:t>
      </w:r>
      <w:r w:rsidRPr="0093243A">
        <w:rPr>
          <w:rStyle w:val="afb"/>
          <w:rFonts w:hint="cs"/>
          <w:rtl/>
        </w:rPr>
        <w:t>בשכוני גוואי]</w:t>
      </w:r>
      <w:r>
        <w:rPr>
          <w:rStyle w:val="afb"/>
          <w:rFonts w:hint="cs"/>
          <w:rtl/>
        </w:rPr>
        <w:t xml:space="preserve">, </w:t>
      </w:r>
      <w:r>
        <w:rPr>
          <w:rFonts w:hint="cs"/>
          <w:rtl/>
        </w:rPr>
        <w:t xml:space="preserve">ולכן אמר רבא דהולכין אחר הרוב ומעמידים את הקרקע ביד המחזיק, ואעפ"י דבעלמא אין הולכין בממון אחר הרוב היינו דוקא באופן שהרוב מוציא ממוחזק, אבל בשכוני גוואי אף שקרקע בחזקת בעליה עומדת, מ"מ ס"ל לרבא דכל שמעמידים בידי המחזיק אי"ז נחשב להוצאת ממון, אלא נחשב </w:t>
      </w:r>
      <w:r>
        <w:rPr>
          <w:rFonts w:hint="cs"/>
          <w:rtl/>
        </w:rPr>
        <w:t xml:space="preserve">להעמיד בידו, כדאיתא בגמ' לקמן </w:t>
      </w:r>
      <w:r w:rsidRPr="0093243A">
        <w:rPr>
          <w:rStyle w:val="af7"/>
          <w:rFonts w:eastAsia="Guttman Hodes" w:hint="cs"/>
          <w:rtl/>
        </w:rPr>
        <w:t>(לב:)</w:t>
      </w:r>
      <w:r>
        <w:rPr>
          <w:rFonts w:hint="cs"/>
          <w:rtl/>
        </w:rPr>
        <w:t xml:space="preserve"> דבקרקע אמרינן היכא דקיימא תיקום.</w:t>
      </w:r>
    </w:p>
    <w:p w:rsidR="0019070E" w:rsidRPr="00507A33" w:rsidRDefault="0019070E" w:rsidP="0019070E">
      <w:pPr>
        <w:pStyle w:val="a3"/>
        <w:rPr>
          <w:rtl/>
        </w:rPr>
      </w:pPr>
      <w:bookmarkStart w:id="7144" w:name="_Toc58185037"/>
      <w:r>
        <w:rPr>
          <w:rFonts w:hint="cs"/>
          <w:rtl/>
        </w:rPr>
        <w:t xml:space="preserve">ביאור הר"ן דלהו"א בר"נ אף כשהקרקע ביד המחזיק מ"מ בחזקת בעליה עומדת אף כנגד רוב </w:t>
      </w:r>
      <w:bookmarkEnd w:id="7144"/>
    </w:p>
    <w:p w:rsidR="0019070E" w:rsidRDefault="0019070E" w:rsidP="007E4E81">
      <w:pPr>
        <w:pStyle w:val="a0"/>
        <w:rPr>
          <w:rtl/>
        </w:rPr>
      </w:pPr>
      <w:r>
        <w:rPr>
          <w:rFonts w:hint="cs"/>
          <w:rtl/>
        </w:rPr>
        <w:t xml:space="preserve">ובדעת ר"נ, ביאר </w:t>
      </w:r>
      <w:r w:rsidRPr="00876C34">
        <w:rPr>
          <w:rStyle w:val="af9"/>
          <w:rFonts w:hint="cs"/>
          <w:rtl/>
        </w:rPr>
        <w:t>הר"ן על הרי"ף [הנדמ"ח]</w:t>
      </w:r>
      <w:r>
        <w:rPr>
          <w:rFonts w:hint="cs"/>
          <w:rtl/>
        </w:rPr>
        <w:t xml:space="preserve"> דהבינה הגמ' בהו"א דס"ל דאף שהקרקע ביד המחזיק, מ"מ אין הולכין בממון אחר הרוב, כיון דקרקע בחזקת בעליה עומדת.</w:t>
      </w:r>
    </w:p>
    <w:p w:rsidR="0019070E" w:rsidRDefault="0019070E" w:rsidP="0019070E">
      <w:pPr>
        <w:pStyle w:val="a3"/>
      </w:pPr>
      <w:r>
        <w:rPr>
          <w:rFonts w:hint="cs"/>
          <w:rtl/>
        </w:rPr>
        <w:t>ביאור הר"ן דמקשה הגמ' דבבר סיסין רבא לא הלך אחר רוב ור"נ הלך אחר הרוב כנגד מוחזק</w:t>
      </w:r>
    </w:p>
    <w:p w:rsidR="0019070E" w:rsidRDefault="0019070E" w:rsidP="007E4E81">
      <w:pPr>
        <w:pStyle w:val="a0"/>
        <w:rPr>
          <w:rtl/>
        </w:rPr>
      </w:pPr>
      <w:r>
        <w:rPr>
          <w:rFonts w:hint="cs"/>
          <w:rtl/>
        </w:rPr>
        <w:t xml:space="preserve">וכתב </w:t>
      </w:r>
      <w:r w:rsidRPr="00876C34">
        <w:rPr>
          <w:rStyle w:val="af9"/>
          <w:rFonts w:hint="cs"/>
          <w:rtl/>
        </w:rPr>
        <w:t>הר"ן על הרי"ף [הנדמ"ח]</w:t>
      </w:r>
      <w:r>
        <w:rPr>
          <w:rFonts w:hint="cs"/>
          <w:rtl/>
        </w:rPr>
        <w:t xml:space="preserve"> דלכן מקשה הגמ' מבר סיסין דאעפ"י שרוב השדות שיש להם שם בר סיסין נקראות כך על שם הבעלים הראשונים שלהם, ואפ"ה העמיד רבא את הקרקע ביד המוכר, וההו"א בגמ' היא דאמר רבא כן אף באופן שכבר הייתה הקרקע בידי הלוקח, כיון דס"ל לרבא דאין הולכין בזה אחר הרוב, ואילו ר"נ העמיד ביד הלוקח כיון דס"ל דהולכין אחר הרוב בכה"ג, ולכן מקשה הגמ' דרבא אדרבא ודר"נ אדר"נ.</w:t>
      </w:r>
    </w:p>
    <w:p w:rsidR="0019070E" w:rsidRDefault="0019070E" w:rsidP="0019070E">
      <w:pPr>
        <w:pStyle w:val="a3"/>
        <w:rPr>
          <w:rtl/>
        </w:rPr>
      </w:pPr>
      <w:bookmarkStart w:id="7145" w:name="_Toc58185038"/>
      <w:r>
        <w:rPr>
          <w:rFonts w:hint="cs"/>
          <w:rtl/>
        </w:rPr>
        <w:t>דברי הר"ן דלר"נ ל"מ רוב בקרקע כנגד מוחזק ולרבא מהני ובבר סיסין איירי שהמוכר מוחזק</w:t>
      </w:r>
      <w:bookmarkEnd w:id="7145"/>
    </w:p>
    <w:p w:rsidR="0019070E" w:rsidRDefault="0019070E" w:rsidP="007E4E81">
      <w:pPr>
        <w:pStyle w:val="a0"/>
        <w:rPr>
          <w:rtl/>
        </w:rPr>
      </w:pPr>
      <w:r>
        <w:rPr>
          <w:rFonts w:hint="cs"/>
          <w:rtl/>
        </w:rPr>
        <w:t xml:space="preserve">ובתירוץ הגמ' ביאר </w:t>
      </w:r>
      <w:r w:rsidRPr="00876C34">
        <w:rPr>
          <w:rStyle w:val="af9"/>
          <w:rFonts w:hint="cs"/>
          <w:rtl/>
        </w:rPr>
        <w:t>הר"ן על הרי"ף [הנדמ"ח]</w:t>
      </w:r>
      <w:r w:rsidR="00A77F33">
        <w:rPr>
          <w:rFonts w:hint="cs"/>
          <w:rtl/>
        </w:rPr>
        <w:t xml:space="preserve"> </w:t>
      </w:r>
      <w:r>
        <w:rPr>
          <w:rFonts w:hint="cs"/>
          <w:rtl/>
        </w:rPr>
        <w:t>דלר"נ ודאי דאין הולכין בכה"ג אחר הרוב, ולכן בשכוני גוואי אמר ר"נ דעל המחזיק להביא ראיה לחזקתו</w:t>
      </w:r>
      <w:r w:rsidRPr="00EE1311">
        <w:rPr>
          <w:rStyle w:val="afb"/>
          <w:rFonts w:hint="cs"/>
          <w:rtl/>
        </w:rPr>
        <w:t>, [אף שהרוב הוא שבעל הקרקע אינו רחוק כ"כ עד שהלך למקום שאינו יכול למחות],</w:t>
      </w:r>
      <w:r>
        <w:rPr>
          <w:rFonts w:hint="cs"/>
          <w:rtl/>
        </w:rPr>
        <w:t xml:space="preserve"> ורבא ס"ל דהולכין אחר הרוב בכה"ג כדמוכח בשכוני גוואי, </w:t>
      </w:r>
      <w:r w:rsidRPr="00EE1311">
        <w:rPr>
          <w:rStyle w:val="afb"/>
          <w:rFonts w:hint="cs"/>
          <w:rtl/>
        </w:rPr>
        <w:t>[דכל שמעמידים בידי המחזיק אי"ז נחשב להוצאת ממון, אלא נחשב להעמיד בידו],</w:t>
      </w:r>
      <w:r>
        <w:rPr>
          <w:rFonts w:hint="cs"/>
          <w:rtl/>
        </w:rPr>
        <w:t xml:space="preserve"> ובבר סיסין ס"ל לרבא דאיירי באופן שהמוכר מחזיק בקרקע, ולכן אין הולכין אחר הרוב להוציא מהמוחזק, ור"נ ס"ל דעל המוכר להביא ראיה שהקרקע אינה נקראת בר סיסין.</w:t>
      </w:r>
    </w:p>
    <w:p w:rsidR="0019070E" w:rsidRPr="0000370E" w:rsidRDefault="0019070E" w:rsidP="0019070E">
      <w:pPr>
        <w:pStyle w:val="afe"/>
        <w:rPr>
          <w:rtl/>
        </w:rPr>
      </w:pPr>
      <w:r>
        <w:rPr>
          <w:rFonts w:hint="cs"/>
          <w:rtl/>
        </w:rPr>
        <w:t>ד' החזו"א דהמוחזקות היא כפשטות</w:t>
      </w:r>
    </w:p>
    <w:p w:rsidR="0019070E" w:rsidRDefault="0019070E" w:rsidP="0019070E">
      <w:pPr>
        <w:pStyle w:val="1"/>
        <w:rPr>
          <w:rtl/>
        </w:rPr>
      </w:pPr>
      <w:bookmarkStart w:id="7146" w:name="_Toc58185039"/>
      <w:r>
        <w:rPr>
          <w:rFonts w:hint="cs"/>
          <w:rtl/>
        </w:rPr>
        <w:t>בי' החזו"א דבבר סיסין המחדש כנגד הפשטות חשיב כמוציא</w:t>
      </w:r>
      <w:bookmarkEnd w:id="7146"/>
    </w:p>
    <w:p w:rsidR="0019070E" w:rsidRDefault="0019070E" w:rsidP="0019070E">
      <w:pPr>
        <w:pStyle w:val="a3"/>
        <w:rPr>
          <w:rtl/>
        </w:rPr>
      </w:pPr>
      <w:bookmarkStart w:id="7147" w:name="_Toc58185040"/>
      <w:r>
        <w:rPr>
          <w:rFonts w:hint="cs"/>
          <w:rtl/>
        </w:rPr>
        <w:t>דברי החזו"א דבבר סיסין המוחזק הוא כפשטות והמחדש טענה נחשב כמוציא ממוחזק</w:t>
      </w:r>
      <w:bookmarkEnd w:id="7147"/>
    </w:p>
    <w:p w:rsidR="0019070E" w:rsidRPr="003C59E7" w:rsidRDefault="0019070E" w:rsidP="007E4E81">
      <w:pPr>
        <w:pStyle w:val="a0"/>
        <w:rPr>
          <w:rStyle w:val="afb"/>
        </w:rPr>
      </w:pPr>
      <w:r w:rsidRPr="0099082F">
        <w:rPr>
          <w:rFonts w:hint="cs"/>
          <w:rtl/>
        </w:rPr>
        <w:t xml:space="preserve">כתב </w:t>
      </w:r>
      <w:r w:rsidRPr="0093243A">
        <w:rPr>
          <w:rStyle w:val="af9"/>
          <w:rFonts w:hint="cs"/>
          <w:rtl/>
        </w:rPr>
        <w:t>החזו"א</w:t>
      </w:r>
      <w:r w:rsidRPr="0099082F">
        <w:rPr>
          <w:rFonts w:hint="cs"/>
          <w:rtl/>
        </w:rPr>
        <w:t xml:space="preserve"> </w:t>
      </w:r>
      <w:r w:rsidRPr="0093243A">
        <w:rPr>
          <w:rStyle w:val="af7"/>
          <w:rFonts w:eastAsia="Guttman Hodes" w:hint="cs"/>
          <w:rtl/>
        </w:rPr>
        <w:t xml:space="preserve">(אבהע"ז סי' ס"ז סק"ז ד"ה בב"מ) </w:t>
      </w:r>
      <w:r>
        <w:rPr>
          <w:rFonts w:hint="cs"/>
          <w:rtl/>
        </w:rPr>
        <w:t xml:space="preserve">דהא דבבר סיסין קיי"ל כר"נ דהעמיד את הקרקע ביד הלוקח, הוא כיון דהדבר שמבורר לפנינו הוא דקנה את השדה מבר סיסין, והמחדש טענה לבטל את הפשטות עליו להביא ראיה, אעפ"י דקרקע בחזקת בעליה עומדת, עיי"ש בדברי </w:t>
      </w:r>
      <w:r w:rsidRPr="0093243A">
        <w:rPr>
          <w:rStyle w:val="af9"/>
          <w:rFonts w:hint="cs"/>
          <w:rtl/>
        </w:rPr>
        <w:t>החזו"א</w:t>
      </w:r>
      <w:r>
        <w:rPr>
          <w:rFonts w:hint="cs"/>
          <w:rtl/>
        </w:rPr>
        <w:t xml:space="preserve"> דכתב דדמי להמשנה ממנהג המדינה, דעליו להביא ראיה אעפ"י דקרקע בחזקת בעליה עומדת. </w:t>
      </w:r>
      <w:r w:rsidRPr="003C59E7">
        <w:rPr>
          <w:rStyle w:val="afb"/>
          <w:rFonts w:hint="cs"/>
          <w:rtl/>
        </w:rPr>
        <w:t xml:space="preserve">[וע"ע במ"ש </w:t>
      </w:r>
      <w:r w:rsidRPr="00753004">
        <w:rPr>
          <w:rStyle w:val="affa"/>
          <w:rFonts w:hint="cs"/>
          <w:rtl/>
        </w:rPr>
        <w:t>החזו"א</w:t>
      </w:r>
      <w:r w:rsidRPr="003C59E7">
        <w:rPr>
          <w:rStyle w:val="afb"/>
          <w:rFonts w:hint="cs"/>
          <w:rtl/>
        </w:rPr>
        <w:t xml:space="preserve"> </w:t>
      </w:r>
      <w:r w:rsidRPr="00753004">
        <w:rPr>
          <w:rStyle w:val="aff6"/>
          <w:rFonts w:hint="cs"/>
          <w:rtl/>
        </w:rPr>
        <w:t>(אבהע"ז סי' ע"ב סק"ז, חו"מ ליקוטים סי' סק"ז)</w:t>
      </w:r>
      <w:r w:rsidRPr="003C59E7">
        <w:rPr>
          <w:rStyle w:val="afb"/>
          <w:rFonts w:hint="cs"/>
          <w:rtl/>
        </w:rPr>
        <w:t xml:space="preserve"> דאזלינן בתר סתמא דמנהג המדינה אף כנגד התפוס, דכל המשנה ממנהג המדינה חשיב כמוציא, וכן במכירה עם תנאי, הטוען שעבר הלוקח על התנאי בקום ועשה, הוא המוציא כיון שהוא בא בטענה שמשנה ומחדשת את הענין, ואילו הטוען שלא היה שינוי נחשב כמוחזק, עיי"ש בדבריו</w:t>
      </w:r>
      <w:r>
        <w:rPr>
          <w:rStyle w:val="afb"/>
          <w:rFonts w:hint="cs"/>
          <w:rtl/>
        </w:rPr>
        <w:t xml:space="preserve">, וע"ע בדברי </w:t>
      </w:r>
      <w:r w:rsidRPr="00C23546">
        <w:rPr>
          <w:rStyle w:val="affa"/>
          <w:rFonts w:hint="cs"/>
          <w:rtl/>
        </w:rPr>
        <w:t>החזו"א</w:t>
      </w:r>
      <w:r>
        <w:rPr>
          <w:rStyle w:val="afb"/>
          <w:rFonts w:hint="cs"/>
          <w:rtl/>
        </w:rPr>
        <w:t xml:space="preserve"> </w:t>
      </w:r>
      <w:r w:rsidRPr="00C23546">
        <w:rPr>
          <w:rStyle w:val="aff6"/>
          <w:rFonts w:hint="cs"/>
          <w:rtl/>
        </w:rPr>
        <w:t>(ב"ב סי' ב' סק"ז)</w:t>
      </w:r>
      <w:r w:rsidRPr="003C59E7">
        <w:rPr>
          <w:rStyle w:val="afb"/>
          <w:rFonts w:hint="cs"/>
          <w:rtl/>
        </w:rPr>
        <w:t>].</w:t>
      </w:r>
    </w:p>
    <w:p w:rsidR="0019070E" w:rsidRPr="00AF0A19" w:rsidRDefault="0019070E" w:rsidP="007E4E81">
      <w:pPr>
        <w:pStyle w:val="a0"/>
        <w:numPr>
          <w:ilvl w:val="0"/>
          <w:numId w:val="0"/>
        </w:numPr>
        <w:rPr>
          <w:rtl/>
        </w:rPr>
        <w:sectPr w:rsidR="0019070E" w:rsidRPr="00AF0A19" w:rsidSect="005049E2">
          <w:type w:val="continuous"/>
          <w:pgSz w:w="11906" w:h="16838"/>
          <w:pgMar w:top="720" w:right="720" w:bottom="720" w:left="720" w:header="283" w:footer="283" w:gutter="0"/>
          <w:cols w:num="2" w:space="567"/>
          <w:titlePg/>
          <w:bidi/>
          <w:rtlGutter/>
          <w:docGrid w:linePitch="299"/>
        </w:sectPr>
      </w:pPr>
    </w:p>
    <w:p w:rsidR="0019070E" w:rsidRDefault="0019070E" w:rsidP="0019070E">
      <w:pPr>
        <w:tabs>
          <w:tab w:val="left" w:pos="1163"/>
        </w:tabs>
        <w:spacing w:after="120" w:line="240" w:lineRule="auto"/>
        <w:ind w:left="0"/>
        <w:rPr>
          <w:rFonts w:ascii="Guttman Hodes" w:eastAsia="Guttman Hodes" w:hAnsi="Guttman Hodes" w:cs="Guttman Hodes"/>
          <w:noProof/>
          <w:sz w:val="18"/>
          <w:szCs w:val="18"/>
        </w:rPr>
      </w:pPr>
    </w:p>
    <w:p w:rsidR="0019070E" w:rsidRPr="000F1F24" w:rsidRDefault="0019070E" w:rsidP="0019070E">
      <w:pPr>
        <w:rPr>
          <w:rFonts w:ascii="Guttman Hodes" w:eastAsia="Guttman Hodes" w:hAnsi="Guttman Hodes" w:cs="Guttman Hodes"/>
          <w:sz w:val="18"/>
          <w:szCs w:val="18"/>
        </w:rPr>
        <w:sectPr w:rsidR="0019070E" w:rsidRPr="000F1F24" w:rsidSect="00AE06CB">
          <w:type w:val="continuous"/>
          <w:pgSz w:w="11906" w:h="16838"/>
          <w:pgMar w:top="720" w:right="720" w:bottom="720" w:left="720" w:header="283" w:footer="283" w:gutter="0"/>
          <w:cols w:space="567"/>
          <w:bidi/>
          <w:rtlGutter/>
          <w:docGrid w:linePitch="299"/>
        </w:sectPr>
      </w:pPr>
    </w:p>
    <w:p w:rsidR="0019070E" w:rsidRPr="00D47CE7" w:rsidRDefault="00E949D5" w:rsidP="0019070E">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1" type="#_x0000_t75" style="width:404.55pt;height:6.8pt" o:hrpct="0" o:hralign="center" o:hr="t">
            <v:imagedata r:id="rId24" o:title="BD14845_"/>
          </v:shape>
        </w:pict>
      </w:r>
      <w:r w:rsidR="0019070E" w:rsidRPr="00D47CE7">
        <w:rPr>
          <w:rFonts w:ascii="Guttman Hodes" w:eastAsia="Guttman Hodes" w:hAnsi="Guttman Hodes" w:cs="Guttman Hodes" w:hint="cs"/>
          <w:noProof/>
          <w:sz w:val="18"/>
          <w:szCs w:val="18"/>
          <w:rtl/>
        </w:rPr>
        <w:t xml:space="preserve"> </w:t>
      </w:r>
    </w:p>
    <w:p w:rsidR="0019070E" w:rsidRPr="0081356D" w:rsidRDefault="001B6519" w:rsidP="0019070E">
      <w:pPr>
        <w:pStyle w:val="afe"/>
        <w:rPr>
          <w:rtl/>
        </w:rPr>
        <w:sectPr w:rsidR="0019070E" w:rsidRPr="0081356D" w:rsidSect="00361B2E">
          <w:pgSz w:w="11906" w:h="16838"/>
          <w:pgMar w:top="720" w:right="720" w:bottom="720" w:left="720" w:header="283" w:footer="283" w:gutter="0"/>
          <w:cols w:space="567"/>
          <w:bidi/>
          <w:rtlGutter/>
          <w:docGrid w:linePitch="299"/>
        </w:sectPr>
      </w:pPr>
      <w:r>
        <w:rPr>
          <w:rFonts w:hint="cs"/>
          <w:rtl/>
        </w:rPr>
        <w:t>~~~~~~~ ביאורי ראשי הישיבות ~~~~~~~</w:t>
      </w:r>
      <w:r w:rsidR="0019070E" w:rsidRPr="0081356D">
        <w:rPr>
          <w:rFonts w:hint="cs"/>
          <w:rtl/>
        </w:rPr>
        <w:t xml:space="preserve"> </w:t>
      </w:r>
    </w:p>
    <w:p w:rsidR="0019070E" w:rsidRDefault="0019070E" w:rsidP="0019070E">
      <w:pPr>
        <w:pStyle w:val="afe"/>
        <w:rPr>
          <w:rtl/>
        </w:rPr>
      </w:pPr>
      <w:bookmarkStart w:id="7148" w:name="_Toc57544527"/>
      <w:bookmarkStart w:id="7149" w:name="_Toc58185042"/>
      <w:bookmarkStart w:id="7150" w:name="_Toc57491575"/>
      <w:bookmarkStart w:id="7151" w:name="_Toc57495392"/>
      <w:bookmarkStart w:id="7152" w:name="_Toc57234571"/>
      <w:bookmarkStart w:id="7153" w:name="_Toc57236159"/>
      <w:bookmarkStart w:id="7154" w:name="_Toc57310488"/>
      <w:bookmarkStart w:id="7155" w:name="_Toc57323048"/>
      <w:bookmarkStart w:id="7156" w:name="_Toc57323157"/>
      <w:bookmarkStart w:id="7157" w:name="_Toc57370408"/>
      <w:bookmarkStart w:id="7158" w:name="_Toc57234575"/>
      <w:bookmarkStart w:id="7159" w:name="_Toc57236163"/>
      <w:bookmarkStart w:id="7160" w:name="_Toc57310492"/>
      <w:bookmarkStart w:id="7161" w:name="_Toc57323052"/>
      <w:bookmarkStart w:id="7162" w:name="_Toc57323161"/>
      <w:bookmarkStart w:id="7163" w:name="_Toc57370412"/>
      <w:bookmarkStart w:id="7164" w:name="_Toc57491580"/>
      <w:bookmarkStart w:id="7165" w:name="_Toc57495397"/>
      <w:bookmarkStart w:id="7166" w:name="_Toc57067196"/>
      <w:r>
        <w:rPr>
          <w:rFonts w:hint="cs"/>
          <w:rtl/>
        </w:rPr>
        <w:t>בפלוג' רבא ור"נ במוחזקות דחזקת ג"ש</w:t>
      </w:r>
      <w:bookmarkEnd w:id="7148"/>
      <w:bookmarkEnd w:id="7149"/>
    </w:p>
    <w:p w:rsidR="0019070E" w:rsidRDefault="0019070E" w:rsidP="0019070E">
      <w:pPr>
        <w:pStyle w:val="1"/>
        <w:rPr>
          <w:rtl/>
        </w:rPr>
      </w:pPr>
      <w:bookmarkStart w:id="7167" w:name="_Toc57544528"/>
      <w:bookmarkStart w:id="7168" w:name="_Toc58185043"/>
      <w:r>
        <w:rPr>
          <w:rFonts w:hint="cs"/>
          <w:rtl/>
        </w:rPr>
        <w:t xml:space="preserve">ביאור הברכ"ש </w:t>
      </w:r>
      <w:bookmarkEnd w:id="7150"/>
      <w:bookmarkEnd w:id="7151"/>
      <w:r>
        <w:rPr>
          <w:rFonts w:hint="cs"/>
          <w:rtl/>
        </w:rPr>
        <w:t>דלרבא בספק חזקה המחזיק חשיב מוחזק</w:t>
      </w:r>
      <w:bookmarkEnd w:id="7167"/>
      <w:bookmarkEnd w:id="7168"/>
    </w:p>
    <w:p w:rsidR="0019070E" w:rsidRDefault="0019070E" w:rsidP="0019070E">
      <w:pPr>
        <w:pStyle w:val="a3"/>
        <w:rPr>
          <w:rtl/>
        </w:rPr>
      </w:pPr>
      <w:bookmarkStart w:id="7169" w:name="_Toc57544529"/>
      <w:bookmarkStart w:id="7170" w:name="_Toc58185044"/>
      <w:r>
        <w:rPr>
          <w:rFonts w:hint="cs"/>
          <w:rtl/>
        </w:rPr>
        <w:t>ביאור הברכ"ש דלרבא בספק בחזקה המחזיק נעשה מוחזק ותפוס אעפ"י דל"מ תפיסה בקרקע</w:t>
      </w:r>
      <w:bookmarkEnd w:id="7169"/>
      <w:bookmarkEnd w:id="7170"/>
    </w:p>
    <w:p w:rsidR="0019070E" w:rsidRPr="0005402E" w:rsidRDefault="0019070E" w:rsidP="007E4E81">
      <w:pPr>
        <w:pStyle w:val="a0"/>
        <w:rPr>
          <w:rtl/>
        </w:rPr>
      </w:pPr>
      <w:r>
        <w:rPr>
          <w:rFonts w:hint="cs"/>
          <w:rtl/>
        </w:rPr>
        <w:t xml:space="preserve">כתב </w:t>
      </w:r>
      <w:r w:rsidRPr="00346EFC">
        <w:rPr>
          <w:rStyle w:val="af9"/>
          <w:rFonts w:hint="cs"/>
          <w:rtl/>
        </w:rPr>
        <w:t>הברכ"ש</w:t>
      </w:r>
      <w:r>
        <w:rPr>
          <w:rFonts w:hint="cs"/>
          <w:rtl/>
        </w:rPr>
        <w:t xml:space="preserve"> </w:t>
      </w:r>
      <w:r w:rsidRPr="00346EFC">
        <w:rPr>
          <w:rStyle w:val="af7"/>
          <w:rFonts w:eastAsia="Guttman Hodes" w:hint="cs"/>
          <w:rtl/>
        </w:rPr>
        <w:t>(סי' ל' או' א' ד"ה ההוא בתו"ד)</w:t>
      </w:r>
      <w:r>
        <w:rPr>
          <w:rFonts w:hint="cs"/>
          <w:rtl/>
        </w:rPr>
        <w:t xml:space="preserve"> דאעפ"י דלא מהני תפיסה בקרקע, מ"מ בסוגיין מוכח דבספק בחזקה שייך דין תפוס, דלדעת רבא המחזיק נעשה מוחזק ותפוס, והמערער שבא להוציא ממנו יש לו דין המע"ה.</w:t>
      </w:r>
    </w:p>
    <w:p w:rsidR="0019070E" w:rsidRDefault="0019070E" w:rsidP="0019070E">
      <w:pPr>
        <w:pStyle w:val="1"/>
        <w:rPr>
          <w:rtl/>
        </w:rPr>
      </w:pPr>
      <w:bookmarkStart w:id="7171" w:name="_Toc57544530"/>
      <w:bookmarkStart w:id="7172" w:name="_Toc58185045"/>
      <w:bookmarkEnd w:id="7152"/>
      <w:bookmarkEnd w:id="7153"/>
      <w:bookmarkEnd w:id="7154"/>
      <w:bookmarkEnd w:id="7155"/>
      <w:bookmarkEnd w:id="7156"/>
      <w:bookmarkEnd w:id="7157"/>
      <w:r>
        <w:rPr>
          <w:rFonts w:hint="cs"/>
          <w:rtl/>
        </w:rPr>
        <w:t xml:space="preserve">ביאור המשנת ר"א דנח' רבא ור"נ ביסוד המוחזקות </w:t>
      </w:r>
      <w:bookmarkEnd w:id="7158"/>
      <w:bookmarkEnd w:id="7159"/>
      <w:bookmarkEnd w:id="7160"/>
      <w:bookmarkEnd w:id="7161"/>
      <w:bookmarkEnd w:id="7162"/>
      <w:bookmarkEnd w:id="7163"/>
      <w:bookmarkEnd w:id="7164"/>
      <w:bookmarkEnd w:id="7165"/>
      <w:r>
        <w:rPr>
          <w:rFonts w:hint="cs"/>
          <w:rtl/>
        </w:rPr>
        <w:t>בקרקעות</w:t>
      </w:r>
      <w:bookmarkEnd w:id="7171"/>
      <w:bookmarkEnd w:id="7172"/>
    </w:p>
    <w:p w:rsidR="0019070E" w:rsidRDefault="0019070E" w:rsidP="0019070E">
      <w:pPr>
        <w:pStyle w:val="a3"/>
        <w:rPr>
          <w:rtl/>
        </w:rPr>
      </w:pPr>
      <w:bookmarkStart w:id="7173" w:name="_Toc57544531"/>
      <w:bookmarkStart w:id="7174" w:name="_Toc58185046"/>
      <w:r>
        <w:rPr>
          <w:rFonts w:hint="cs"/>
          <w:rtl/>
        </w:rPr>
        <w:t>ביאור המשנת ר"א בר"נ דהחזקה מוציאה מהבעלים בראיה כשטר מכר אעפ"י דהמר"ק מוחזק</w:t>
      </w:r>
      <w:bookmarkEnd w:id="7173"/>
      <w:bookmarkEnd w:id="7174"/>
    </w:p>
    <w:p w:rsidR="0019070E" w:rsidRDefault="0019070E" w:rsidP="007E4E81">
      <w:pPr>
        <w:pStyle w:val="a0"/>
        <w:rPr>
          <w:rtl/>
        </w:rPr>
      </w:pPr>
      <w:r>
        <w:rPr>
          <w:rFonts w:hint="cs"/>
          <w:rtl/>
        </w:rPr>
        <w:t xml:space="preserve">בביאור פלוגתת רבא ור"נ, כתב </w:t>
      </w:r>
      <w:r w:rsidRPr="000875E5">
        <w:rPr>
          <w:rStyle w:val="af9"/>
          <w:rFonts w:hint="cs"/>
          <w:rtl/>
        </w:rPr>
        <w:t>במשנת ר"א בב"מ</w:t>
      </w:r>
      <w:r>
        <w:rPr>
          <w:rFonts w:hint="cs"/>
          <w:rtl/>
        </w:rPr>
        <w:t xml:space="preserve"> </w:t>
      </w:r>
      <w:r w:rsidRPr="000875E5">
        <w:rPr>
          <w:rStyle w:val="af7"/>
          <w:rFonts w:eastAsia="Guttman Hodes" w:hint="cs"/>
          <w:rtl/>
        </w:rPr>
        <w:t xml:space="preserve">(מילואים לסי' ז' או' ד' ד"ה דשיטת הרמב"ן, ד"ה ונראה דהספק) </w:t>
      </w:r>
      <w:r>
        <w:rPr>
          <w:rFonts w:hint="cs"/>
          <w:rtl/>
        </w:rPr>
        <w:t xml:space="preserve">דר"נ ס"ל דגדר חזקת ג"ש, היא דהחזקה מוציאה מרשות המרא קמא, כמו ששטר מכר מוציא מהבעלים, דלעולם קרקע בחזקת בעליה עומדת, ואף שיש למחזיק חזקת ג"ש, מ"מ המרא קמא הוא המוחזק, אלא דהחזקה מוציאה מהמרא קמא מדין ראיה, דמדלא מיחה מוכח שמכר לו, </w:t>
      </w:r>
      <w:r w:rsidRPr="00D52E9A">
        <w:rPr>
          <w:rStyle w:val="afb"/>
          <w:rFonts w:hint="cs"/>
          <w:rtl/>
        </w:rPr>
        <w:t xml:space="preserve">[כדברי </w:t>
      </w:r>
      <w:r w:rsidRPr="004055E5">
        <w:rPr>
          <w:rStyle w:val="affa"/>
          <w:rFonts w:hint="cs"/>
          <w:rtl/>
        </w:rPr>
        <w:t>הרמב"ן לקמן</w:t>
      </w:r>
      <w:r>
        <w:rPr>
          <w:rFonts w:hint="cs"/>
          <w:rtl/>
        </w:rPr>
        <w:t xml:space="preserve"> </w:t>
      </w:r>
      <w:r w:rsidRPr="004055E5">
        <w:rPr>
          <w:rStyle w:val="aff6"/>
          <w:rFonts w:hint="cs"/>
          <w:rtl/>
        </w:rPr>
        <w:t>(מב. ד"ה הא, הובא בסימן ה' אות ז')</w:t>
      </w:r>
      <w:r w:rsidRPr="00D52E9A">
        <w:rPr>
          <w:rStyle w:val="afb"/>
          <w:rFonts w:hint="cs"/>
          <w:rtl/>
        </w:rPr>
        <w:t xml:space="preserve">], </w:t>
      </w:r>
      <w:r>
        <w:rPr>
          <w:rFonts w:hint="cs"/>
          <w:rtl/>
        </w:rPr>
        <w:t>ומהני להוציא מהמרא קמא כמו ששטר מכר מוציא מהבעלים, והחזקה היא במקום שטר.</w:t>
      </w:r>
    </w:p>
    <w:p w:rsidR="0019070E" w:rsidRDefault="0019070E" w:rsidP="0019070E">
      <w:pPr>
        <w:pStyle w:val="a3"/>
        <w:rPr>
          <w:rtl/>
        </w:rPr>
      </w:pPr>
      <w:bookmarkStart w:id="7175" w:name="_Toc57544532"/>
      <w:bookmarkStart w:id="7176" w:name="_Toc58185047"/>
      <w:r>
        <w:rPr>
          <w:rFonts w:hint="cs"/>
          <w:rtl/>
        </w:rPr>
        <w:t>ביאור המשנת ר"א דלר"נ ספק בחזקה הוא ספק בראיה שמוציאה ממוחזק ועל המחזיק להוכיח</w:t>
      </w:r>
      <w:bookmarkEnd w:id="7175"/>
      <w:bookmarkEnd w:id="7176"/>
    </w:p>
    <w:p w:rsidR="0019070E" w:rsidRDefault="0019070E" w:rsidP="007E4E81">
      <w:pPr>
        <w:pStyle w:val="a0"/>
        <w:rPr>
          <w:rtl/>
        </w:rPr>
      </w:pPr>
      <w:r>
        <w:rPr>
          <w:rFonts w:hint="cs"/>
          <w:rtl/>
        </w:rPr>
        <w:t xml:space="preserve">וכתב </w:t>
      </w:r>
      <w:r w:rsidRPr="000875E5">
        <w:rPr>
          <w:rStyle w:val="af9"/>
          <w:rFonts w:hint="cs"/>
          <w:rtl/>
        </w:rPr>
        <w:t>המשנת ר"א</w:t>
      </w:r>
      <w:r>
        <w:rPr>
          <w:rFonts w:hint="cs"/>
          <w:rtl/>
        </w:rPr>
        <w:t xml:space="preserve"> דכיון דלר"נ אף לאחר החזקה המרא קמא נחשב למוחזק, א"כ כל שיש ספק בחזקה דהמערער טוען שהיה דר בבית הפנימי, ולא היה צריך למחות ול"מ החזקה, א"כ כיון שיש ספק בראיה של המחזיק, והמרא קמא הוא המוחזק, ממילא על המחזיק להוכיח דראייתו היא ראיה ומהני להוציא מהמרא קמא כמו ששטר מהני להוציא, וטענת הבעלים היא כמו טענת קיים שטרך, וזו כוונת ר"נ דא"ל זיל ברור אכילתך.</w:t>
      </w:r>
    </w:p>
    <w:p w:rsidR="0019070E" w:rsidRDefault="0019070E" w:rsidP="0019070E">
      <w:pPr>
        <w:pStyle w:val="a3"/>
        <w:rPr>
          <w:rtl/>
        </w:rPr>
      </w:pPr>
      <w:bookmarkStart w:id="7177" w:name="_Toc57544533"/>
      <w:bookmarkStart w:id="7178" w:name="_Toc58185048"/>
      <w:r>
        <w:rPr>
          <w:rFonts w:hint="cs"/>
          <w:rtl/>
        </w:rPr>
        <w:t>ביאור המשנת ר"א ברבא דקרקע בחזקת בעליה כגודרות ואחר חזקת ג"ש היא בחזקת המחזיק</w:t>
      </w:r>
      <w:bookmarkEnd w:id="7177"/>
      <w:bookmarkEnd w:id="7178"/>
    </w:p>
    <w:p w:rsidR="0019070E" w:rsidRDefault="0019070E" w:rsidP="007E4E81">
      <w:pPr>
        <w:pStyle w:val="a0"/>
        <w:rPr>
          <w:rtl/>
        </w:rPr>
      </w:pPr>
      <w:r>
        <w:rPr>
          <w:rFonts w:hint="cs"/>
          <w:rtl/>
        </w:rPr>
        <w:t xml:space="preserve">ובדעת רבא ביאר </w:t>
      </w:r>
      <w:r w:rsidRPr="000875E5">
        <w:rPr>
          <w:rStyle w:val="af9"/>
          <w:rFonts w:hint="cs"/>
          <w:rtl/>
        </w:rPr>
        <w:t>המשנת ר"א</w:t>
      </w:r>
      <w:r>
        <w:rPr>
          <w:rFonts w:hint="cs"/>
          <w:rtl/>
        </w:rPr>
        <w:t xml:space="preserve"> דס"ל דע"י חזקת ג"ש המחזיק נעשה למוחזק, והקרקע יצאה מרשות הבעלים לרשות המחזיק, דכ"מ דאמרינן דקרקע בחזקת בעליה עומדת, היינו כיון דאפש"ל דהמחזיק נכנס מעצמו, </w:t>
      </w:r>
      <w:r w:rsidRPr="000875E5">
        <w:rPr>
          <w:rStyle w:val="afb"/>
          <w:rFonts w:hint="cs"/>
          <w:rtl/>
        </w:rPr>
        <w:t xml:space="preserve">[כמו בגודרות דאפש"ל שבאו מעצמם למי שתפוס בהם], </w:t>
      </w:r>
      <w:r>
        <w:rPr>
          <w:rFonts w:hint="cs"/>
          <w:rtl/>
        </w:rPr>
        <w:t>ואחר שעברו ג"ש ולא מיחה בו הבעלים, לא אמרינן דאפש"ל שנכנס מעצמו, והמחזיק נעשה למוחזק ויצאה הקרקע מחזקת הבעלים.</w:t>
      </w:r>
    </w:p>
    <w:p w:rsidR="0019070E" w:rsidRDefault="0019070E" w:rsidP="0019070E">
      <w:pPr>
        <w:pStyle w:val="a3"/>
        <w:rPr>
          <w:rtl/>
        </w:rPr>
      </w:pPr>
      <w:bookmarkStart w:id="7179" w:name="_Toc57544534"/>
      <w:bookmarkStart w:id="7180" w:name="_Toc58185049"/>
      <w:r>
        <w:rPr>
          <w:rFonts w:hint="cs"/>
          <w:rtl/>
        </w:rPr>
        <w:t>ביאור המשנת ר"א דלרבא כשיש עידי חזקת ג"ש המחזיק מוחזק ועל המערער להוכיח טענתו</w:t>
      </w:r>
      <w:bookmarkEnd w:id="7179"/>
      <w:bookmarkEnd w:id="7180"/>
    </w:p>
    <w:p w:rsidR="0019070E" w:rsidRPr="00247881" w:rsidRDefault="0019070E" w:rsidP="007E4E81">
      <w:pPr>
        <w:pStyle w:val="a0"/>
        <w:rPr>
          <w:rStyle w:val="afb"/>
        </w:rPr>
      </w:pPr>
      <w:r>
        <w:rPr>
          <w:rFonts w:hint="cs"/>
          <w:rtl/>
        </w:rPr>
        <w:t xml:space="preserve">וכתב </w:t>
      </w:r>
      <w:r w:rsidRPr="00247881">
        <w:rPr>
          <w:rStyle w:val="af9"/>
          <w:rFonts w:hint="cs"/>
          <w:rtl/>
        </w:rPr>
        <w:t>המשנת ר"א</w:t>
      </w:r>
      <w:r>
        <w:rPr>
          <w:rFonts w:hint="cs"/>
          <w:rtl/>
        </w:rPr>
        <w:t xml:space="preserve"> דלכן ס"ל לרבא דאחר שיש למחזיק עדים על חזקת ג"ש, המערער שטוען דחזקתו אינה חזקה דהוא היה דר בבית הפנימי, עליו להביא ראיה לטענתו, דהא המחזיק הוא המוחזק והמערער הוא המוציא.</w:t>
      </w:r>
      <w:r w:rsidRPr="00C713A5">
        <w:rPr>
          <w:rFonts w:hint="cs"/>
          <w:rtl/>
        </w:rPr>
        <w:t xml:space="preserve"> </w:t>
      </w:r>
      <w:r w:rsidRPr="00247881">
        <w:rPr>
          <w:rStyle w:val="afb"/>
          <w:rFonts w:hint="cs"/>
          <w:rtl/>
        </w:rPr>
        <w:t xml:space="preserve">[ועיי"ש במ"ש </w:t>
      </w:r>
      <w:r w:rsidRPr="00247881">
        <w:rPr>
          <w:rStyle w:val="affa"/>
          <w:rFonts w:hint="cs"/>
          <w:rtl/>
        </w:rPr>
        <w:t xml:space="preserve">המשנת ר"א בב"מ </w:t>
      </w:r>
      <w:r w:rsidRPr="00247881">
        <w:rPr>
          <w:rStyle w:val="aff6"/>
          <w:rFonts w:hint="cs"/>
          <w:rtl/>
        </w:rPr>
        <w:t xml:space="preserve">(מילואים לסי' ז' או' ד' ד"ה ובזה תלוי, ד"ה ונמצינו) </w:t>
      </w:r>
      <w:r w:rsidRPr="00247881">
        <w:rPr>
          <w:rStyle w:val="afb"/>
          <w:rFonts w:hint="cs"/>
          <w:rtl/>
        </w:rPr>
        <w:t>דלפי"ז הספק אי טענת אחוי שטרך מהני להוציא ממוחזק, תלוי בפלוגתת רבא ור"נ].</w:t>
      </w:r>
    </w:p>
    <w:p w:rsidR="0019070E" w:rsidRDefault="0019070E" w:rsidP="0019070E">
      <w:pPr>
        <w:pStyle w:val="1"/>
        <w:rPr>
          <w:rtl/>
        </w:rPr>
      </w:pPr>
      <w:bookmarkStart w:id="7181" w:name="_Toc57234576"/>
      <w:bookmarkStart w:id="7182" w:name="_Toc57236164"/>
      <w:bookmarkStart w:id="7183" w:name="_Toc57310493"/>
      <w:bookmarkStart w:id="7184" w:name="_Toc57323053"/>
      <w:bookmarkStart w:id="7185" w:name="_Toc57323162"/>
      <w:bookmarkStart w:id="7186" w:name="_Toc57370413"/>
      <w:bookmarkStart w:id="7187" w:name="_Toc57491581"/>
      <w:bookmarkStart w:id="7188" w:name="_Toc57495398"/>
      <w:bookmarkStart w:id="7189" w:name="_Toc57544535"/>
      <w:bookmarkStart w:id="7190" w:name="_Toc58185050"/>
      <w:r>
        <w:rPr>
          <w:rFonts w:hint="cs"/>
          <w:rtl/>
        </w:rPr>
        <w:t>בי' הגר"ח מטעלז דרבא ור"נ</w:t>
      </w:r>
      <w:bookmarkEnd w:id="7181"/>
      <w:bookmarkEnd w:id="7182"/>
      <w:bookmarkEnd w:id="7183"/>
      <w:bookmarkEnd w:id="7184"/>
      <w:bookmarkEnd w:id="7185"/>
      <w:bookmarkEnd w:id="7186"/>
      <w:bookmarkEnd w:id="7187"/>
      <w:bookmarkEnd w:id="7188"/>
      <w:r>
        <w:rPr>
          <w:rFonts w:hint="cs"/>
          <w:rtl/>
        </w:rPr>
        <w:t xml:space="preserve"> נח' בגדר הטענה ול"פ בכל חזקה</w:t>
      </w:r>
      <w:bookmarkEnd w:id="7189"/>
      <w:bookmarkEnd w:id="7190"/>
    </w:p>
    <w:p w:rsidR="0019070E" w:rsidRDefault="0019070E" w:rsidP="0019070E">
      <w:pPr>
        <w:pStyle w:val="a3"/>
      </w:pPr>
      <w:bookmarkStart w:id="7191" w:name="_Toc57544536"/>
      <w:bookmarkStart w:id="7192" w:name="_Toc58185051"/>
      <w:r>
        <w:rPr>
          <w:rFonts w:hint="cs"/>
          <w:rtl/>
        </w:rPr>
        <w:t>קושית הגר"ח מטעלז על הקצוה"ח דא"א לומר דנח' בכל ספק בחזקה דהא לעיל מודה רבא</w:t>
      </w:r>
      <w:bookmarkEnd w:id="7191"/>
      <w:bookmarkEnd w:id="7192"/>
      <w:r>
        <w:rPr>
          <w:rFonts w:hint="cs"/>
          <w:rtl/>
        </w:rPr>
        <w:t xml:space="preserve"> </w:t>
      </w:r>
    </w:p>
    <w:p w:rsidR="0019070E" w:rsidRDefault="0019070E" w:rsidP="007E4E81">
      <w:pPr>
        <w:pStyle w:val="a0"/>
        <w:rPr>
          <w:rtl/>
        </w:rPr>
      </w:pPr>
      <w:bookmarkStart w:id="7193" w:name="_Ref57288202"/>
      <w:r>
        <w:rPr>
          <w:rFonts w:hint="cs"/>
          <w:rtl/>
        </w:rPr>
        <w:t xml:space="preserve">במ"ש </w:t>
      </w:r>
      <w:r w:rsidRPr="00247881">
        <w:rPr>
          <w:rStyle w:val="af9"/>
          <w:rFonts w:hint="cs"/>
          <w:rtl/>
        </w:rPr>
        <w:t>הקצוה"ח</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Ref57288297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w:t>
      </w:r>
      <w:r>
        <w:rPr>
          <w:rStyle w:val="af7"/>
          <w:rFonts w:eastAsia="Guttman Hodes"/>
          <w:rtl/>
        </w:rPr>
        <w:fldChar w:fldCharType="end"/>
      </w:r>
      <w:r>
        <w:rPr>
          <w:rStyle w:val="af7"/>
          <w:rFonts w:eastAsia="Guttman Hodes" w:hint="cs"/>
          <w:rtl/>
        </w:rPr>
        <w:t xml:space="preserve"> </w:t>
      </w:r>
      <w:r>
        <w:rPr>
          <w:rFonts w:hint="cs"/>
          <w:rtl/>
        </w:rPr>
        <w:t xml:space="preserve">דרבא ור"נ נחלקו בכל ספק בחזקה, דלר"נ על המחזיק לברר את אכילתו, ולרבא על המערער לברר שלא הייתה חזקה, דחה </w:t>
      </w:r>
      <w:r w:rsidRPr="00247881">
        <w:rPr>
          <w:rStyle w:val="af9"/>
          <w:rFonts w:hint="cs"/>
          <w:rtl/>
        </w:rPr>
        <w:t>בחי' הגר"ח מטעלז</w:t>
      </w:r>
      <w:r>
        <w:rPr>
          <w:rFonts w:hint="cs"/>
          <w:rtl/>
        </w:rPr>
        <w:t xml:space="preserve"> </w:t>
      </w:r>
      <w:r w:rsidRPr="00247881">
        <w:rPr>
          <w:rStyle w:val="af7"/>
          <w:rFonts w:eastAsia="Guttman Hodes" w:hint="cs"/>
          <w:rtl/>
        </w:rPr>
        <w:t>(סי' י' ד"ה והנה במאי)</w:t>
      </w:r>
      <w:r>
        <w:rPr>
          <w:rFonts w:hint="cs"/>
          <w:rtl/>
        </w:rPr>
        <w:t xml:space="preserve"> דהא בגמ' לעיל </w:t>
      </w:r>
      <w:r w:rsidRPr="00247881">
        <w:rPr>
          <w:rStyle w:val="af7"/>
          <w:rFonts w:eastAsia="Guttman Hodes" w:hint="cs"/>
          <w:rtl/>
        </w:rPr>
        <w:t>(כט.)</w:t>
      </w:r>
      <w:r>
        <w:rPr>
          <w:rFonts w:hint="cs"/>
          <w:rtl/>
        </w:rPr>
        <w:t xml:space="preserve"> ס"ל לרבא דעל המחזיק להוכיח שדר בבית בלילות, ולברר את חזקתו.</w:t>
      </w:r>
      <w:bookmarkEnd w:id="7193"/>
    </w:p>
    <w:p w:rsidR="0019070E" w:rsidRDefault="0019070E" w:rsidP="0019070E">
      <w:pPr>
        <w:pStyle w:val="a3"/>
        <w:rPr>
          <w:rtl/>
        </w:rPr>
      </w:pPr>
      <w:bookmarkStart w:id="7194" w:name="_Toc57544537"/>
      <w:bookmarkStart w:id="7195" w:name="_Toc58185052"/>
      <w:r>
        <w:rPr>
          <w:rFonts w:hint="cs"/>
          <w:rtl/>
        </w:rPr>
        <w:t>ביאור הגר"ח מטעלז בר"נ דכשהתשמש עם המחזיק יש חסרון בעיקר החזקה ועל המחזיק להוכיח</w:t>
      </w:r>
      <w:bookmarkEnd w:id="7194"/>
      <w:bookmarkEnd w:id="7195"/>
    </w:p>
    <w:p w:rsidR="0019070E" w:rsidRDefault="0019070E" w:rsidP="007E4E81">
      <w:pPr>
        <w:pStyle w:val="a0"/>
        <w:rPr>
          <w:rtl/>
        </w:rPr>
      </w:pPr>
      <w:r>
        <w:rPr>
          <w:rFonts w:hint="cs"/>
          <w:rtl/>
        </w:rPr>
        <w:t xml:space="preserve">אלא ביאר </w:t>
      </w:r>
      <w:r w:rsidRPr="009E1EDB">
        <w:rPr>
          <w:rStyle w:val="af9"/>
          <w:rFonts w:hint="cs"/>
          <w:rtl/>
        </w:rPr>
        <w:t>בחי' הגר"ח מטעלז</w:t>
      </w:r>
      <w:r>
        <w:rPr>
          <w:rFonts w:hint="cs"/>
          <w:rtl/>
        </w:rPr>
        <w:t xml:space="preserve"> דלכו"ע בספק חזקה על המחזיק לברר את אכילתו, אלא דרבא ור"נ פליגי בעיקר הטענה דשכוני גוואי לביאור </w:t>
      </w:r>
      <w:r w:rsidRPr="009D1475">
        <w:rPr>
          <w:rStyle w:val="af9"/>
          <w:rFonts w:hint="cs"/>
          <w:rtl/>
        </w:rPr>
        <w:t>הרשב"ם</w:t>
      </w:r>
      <w:r>
        <w:rPr>
          <w:rFonts w:hint="cs"/>
          <w:rtl/>
        </w:rPr>
        <w:t xml:space="preserve"> </w:t>
      </w:r>
      <w:r w:rsidRPr="009D1475">
        <w:rPr>
          <w:rStyle w:val="af7"/>
          <w:rFonts w:eastAsia="Guttman Hodes" w:hint="cs"/>
          <w:rtl/>
        </w:rPr>
        <w:t xml:space="preserve">(עי' אות </w:t>
      </w:r>
      <w:r w:rsidRPr="009D1475">
        <w:rPr>
          <w:rStyle w:val="af7"/>
          <w:rFonts w:eastAsia="Guttman Hodes"/>
          <w:rtl/>
        </w:rPr>
        <w:fldChar w:fldCharType="begin"/>
      </w:r>
      <w:r w:rsidRPr="009D1475">
        <w:rPr>
          <w:rStyle w:val="af7"/>
          <w:rFonts w:eastAsia="Guttman Hodes"/>
          <w:rtl/>
        </w:rPr>
        <w:instrText xml:space="preserve"> </w:instrText>
      </w:r>
      <w:r w:rsidRPr="009D1475">
        <w:rPr>
          <w:rStyle w:val="af7"/>
          <w:rFonts w:eastAsia="Guttman Hodes" w:hint="cs"/>
        </w:rPr>
        <w:instrText>REF</w:instrText>
      </w:r>
      <w:r w:rsidRPr="009D1475">
        <w:rPr>
          <w:rStyle w:val="af7"/>
          <w:rFonts w:eastAsia="Guttman Hodes" w:hint="cs"/>
          <w:rtl/>
        </w:rPr>
        <w:instrText xml:space="preserve"> _</w:instrText>
      </w:r>
      <w:r w:rsidRPr="009D1475">
        <w:rPr>
          <w:rStyle w:val="af7"/>
          <w:rFonts w:eastAsia="Guttman Hodes" w:hint="cs"/>
        </w:rPr>
        <w:instrText>Ref56936382 \r \h</w:instrText>
      </w:r>
      <w:r w:rsidRPr="009D1475">
        <w:rPr>
          <w:rStyle w:val="af7"/>
          <w:rFonts w:eastAsia="Guttman Hodes"/>
          <w:rtl/>
        </w:rPr>
        <w:instrText xml:space="preserve"> </w:instrText>
      </w:r>
      <w:r w:rsidRPr="009D1475">
        <w:rPr>
          <w:rStyle w:val="af7"/>
          <w:rFonts w:eastAsia="Guttman Hodes"/>
          <w:rtl/>
        </w:rPr>
      </w:r>
      <w:r w:rsidRPr="009D147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9D1475">
        <w:rPr>
          <w:rStyle w:val="af7"/>
          <w:rFonts w:eastAsia="Guttman Hodes"/>
          <w:rtl/>
        </w:rPr>
        <w:fldChar w:fldCharType="end"/>
      </w:r>
      <w:r>
        <w:rPr>
          <w:rFonts w:hint="cs"/>
          <w:rtl/>
        </w:rPr>
        <w:t>,</w:t>
      </w:r>
      <w:r w:rsidRPr="008B0657">
        <w:rPr>
          <w:rFonts w:hint="cs"/>
          <w:rtl/>
        </w:rPr>
        <w:t xml:space="preserve"> </w:t>
      </w:r>
      <w:r>
        <w:rPr>
          <w:rFonts w:hint="cs"/>
          <w:rtl/>
        </w:rPr>
        <w:t>דטוען המערער שהיה דר בבית הפנימי, ועבר דרך המחזיק שנתן לו רשות לדור בבית החיצון,</w:t>
      </w:r>
      <w:r w:rsidR="00A77F33">
        <w:rPr>
          <w:rFonts w:hint="cs"/>
          <w:rtl/>
        </w:rPr>
        <w:t xml:space="preserve"> </w:t>
      </w:r>
      <w:r>
        <w:rPr>
          <w:rFonts w:hint="cs"/>
          <w:rtl/>
        </w:rPr>
        <w:t>דלר"נ הטענה היא מגרעת את חזקת המחזיק, דכל שהמערער השתמש יחד עם המחזיק בבית לא יצא הבית מרשות המרא קמא, דכמו שהמחזיק תופס בבית כך תופס בו המערער, דהוא מחזיק בשלו ע"י שהוא עובר דרך הבית החיצון.</w:t>
      </w:r>
    </w:p>
    <w:p w:rsidR="0019070E" w:rsidRDefault="0019070E" w:rsidP="0019070E">
      <w:pPr>
        <w:pStyle w:val="a3"/>
        <w:rPr>
          <w:rtl/>
        </w:rPr>
      </w:pPr>
      <w:bookmarkStart w:id="7196" w:name="_Toc57544538"/>
      <w:bookmarkStart w:id="7197" w:name="_Toc58185053"/>
      <w:r>
        <w:rPr>
          <w:rFonts w:hint="cs"/>
          <w:rtl/>
        </w:rPr>
        <w:t>ביאור הגר"ח מטעלז ברבא דטענת המערער שעבר דרך עליו היא כמחאה ועל המערער להוכיח</w:t>
      </w:r>
      <w:bookmarkEnd w:id="7196"/>
      <w:bookmarkEnd w:id="7197"/>
    </w:p>
    <w:p w:rsidR="0019070E" w:rsidRPr="00C87E38" w:rsidRDefault="0019070E" w:rsidP="007E4E81">
      <w:pPr>
        <w:pStyle w:val="a0"/>
        <w:rPr>
          <w:rtl/>
        </w:rPr>
      </w:pPr>
      <w:r>
        <w:rPr>
          <w:rFonts w:hint="cs"/>
          <w:rtl/>
        </w:rPr>
        <w:t xml:space="preserve">ובדעת רבא ביאר </w:t>
      </w:r>
      <w:r w:rsidRPr="009E1EDB">
        <w:rPr>
          <w:rStyle w:val="af9"/>
          <w:rFonts w:hint="cs"/>
          <w:rtl/>
        </w:rPr>
        <w:t>בחי' הגר"ח מטעלז</w:t>
      </w:r>
      <w:r>
        <w:rPr>
          <w:rFonts w:hint="cs"/>
          <w:rtl/>
        </w:rPr>
        <w:t xml:space="preserve"> דטענת המערער אינה מגרעת את עצם החזקה, דכיון דאף לטענת המערער, הבית החיצון מיוחד לשימוש של המחזיק, א"כ מה שהמערער היה לו דרך עליו, אינו מגרע את חזקתו, אלא דטוען המערער דכיון שעבר דרך עליו, לכן אינו צריך למחות, ובהזה בא המערער לומר דאין עליו טענה דאמאי לא מחה, א"כ הוא ספק במחאה ולא בחזקה, ולכן ס"ל לרבא דעל המערער להביא ראיה</w:t>
      </w:r>
      <w:r w:rsidRPr="00C87E38">
        <w:rPr>
          <w:rFonts w:hint="cs"/>
          <w:rtl/>
        </w:rPr>
        <w:t xml:space="preserve">, אך כתב </w:t>
      </w:r>
      <w:r w:rsidRPr="00C87E38">
        <w:rPr>
          <w:rStyle w:val="af9"/>
          <w:rFonts w:hint="cs"/>
          <w:rtl/>
        </w:rPr>
        <w:t>בחי' הגר"ח מטעלז</w:t>
      </w:r>
      <w:r w:rsidRPr="00C87E38">
        <w:rPr>
          <w:rFonts w:hint="cs"/>
          <w:rtl/>
        </w:rPr>
        <w:t xml:space="preserve"> דמ"מ כשיש ספק בחזקה עצמה ודאי דמודה רבא שעל המחזיק לברר את חזקתו, ודלא </w:t>
      </w:r>
      <w:r w:rsidRPr="00C87E38">
        <w:rPr>
          <w:rStyle w:val="af9"/>
          <w:rFonts w:hint="cs"/>
          <w:rtl/>
        </w:rPr>
        <w:t>כהקצוה"ח</w:t>
      </w:r>
      <w:r w:rsidRPr="00C87E38">
        <w:rPr>
          <w:rFonts w:hint="cs"/>
          <w:rtl/>
        </w:rPr>
        <w:t>.</w:t>
      </w:r>
    </w:p>
    <w:p w:rsidR="0019070E" w:rsidRDefault="0019070E" w:rsidP="0019070E">
      <w:pPr>
        <w:pStyle w:val="1"/>
        <w:rPr>
          <w:rtl/>
        </w:rPr>
      </w:pPr>
      <w:bookmarkStart w:id="7198" w:name="_Toc57234572"/>
      <w:bookmarkStart w:id="7199" w:name="_Toc57236160"/>
      <w:bookmarkStart w:id="7200" w:name="_Toc57310489"/>
      <w:bookmarkStart w:id="7201" w:name="_Toc57323049"/>
      <w:bookmarkStart w:id="7202" w:name="_Toc57323158"/>
      <w:bookmarkStart w:id="7203" w:name="_Toc57370409"/>
      <w:bookmarkStart w:id="7204" w:name="_Toc57491577"/>
      <w:bookmarkStart w:id="7205" w:name="_Toc57495394"/>
      <w:bookmarkStart w:id="7206" w:name="_Toc57544539"/>
      <w:bookmarkStart w:id="7207" w:name="_Toc58185054"/>
      <w:bookmarkStart w:id="7208" w:name="_Toc57067200"/>
      <w:bookmarkStart w:id="7209" w:name="_Toc57234581"/>
      <w:bookmarkStart w:id="7210" w:name="_Toc57236169"/>
      <w:bookmarkStart w:id="7211" w:name="_Toc57310498"/>
      <w:bookmarkStart w:id="7212" w:name="_Toc57323058"/>
      <w:bookmarkStart w:id="7213" w:name="_Toc57323167"/>
      <w:bookmarkStart w:id="7214" w:name="_Toc57370418"/>
      <w:bookmarkStart w:id="7215" w:name="_Toc57491586"/>
      <w:bookmarkStart w:id="7216" w:name="_Toc57495403"/>
      <w:r>
        <w:rPr>
          <w:rFonts w:hint="cs"/>
          <w:rtl/>
        </w:rPr>
        <w:t xml:space="preserve">ביאור האבי עזרי </w:t>
      </w:r>
      <w:bookmarkEnd w:id="7198"/>
      <w:bookmarkEnd w:id="7199"/>
      <w:bookmarkEnd w:id="7200"/>
      <w:bookmarkEnd w:id="7201"/>
      <w:bookmarkEnd w:id="7202"/>
      <w:bookmarkEnd w:id="7203"/>
      <w:bookmarkEnd w:id="7204"/>
      <w:bookmarkEnd w:id="7205"/>
      <w:r>
        <w:rPr>
          <w:rFonts w:hint="cs"/>
          <w:rtl/>
        </w:rPr>
        <w:t>דנח' בודאי חזקה וספק טענה שעוקרת חזקה</w:t>
      </w:r>
      <w:bookmarkEnd w:id="7206"/>
      <w:bookmarkEnd w:id="7207"/>
    </w:p>
    <w:p w:rsidR="0019070E" w:rsidRDefault="0019070E" w:rsidP="0019070E">
      <w:pPr>
        <w:pStyle w:val="a3"/>
        <w:rPr>
          <w:rtl/>
        </w:rPr>
      </w:pPr>
      <w:bookmarkStart w:id="7217" w:name="_Toc57544540"/>
      <w:bookmarkStart w:id="7218" w:name="_Toc58185055"/>
      <w:r>
        <w:rPr>
          <w:rFonts w:hint="cs"/>
          <w:rtl/>
        </w:rPr>
        <w:t>דברי האבי עזרי דבספק במכירה צריך ראיה למכירה ובספק אי התבטלה צריך ראיה לביטול</w:t>
      </w:r>
      <w:bookmarkEnd w:id="7217"/>
      <w:bookmarkEnd w:id="7218"/>
    </w:p>
    <w:p w:rsidR="0019070E" w:rsidRDefault="0019070E" w:rsidP="007E4E81">
      <w:pPr>
        <w:pStyle w:val="a0"/>
      </w:pPr>
      <w:r>
        <w:rPr>
          <w:rFonts w:hint="cs"/>
          <w:rtl/>
        </w:rPr>
        <w:t xml:space="preserve">כתב </w:t>
      </w:r>
      <w:r w:rsidRPr="009E1EDB">
        <w:rPr>
          <w:rStyle w:val="af9"/>
          <w:rFonts w:hint="cs"/>
          <w:rtl/>
        </w:rPr>
        <w:t>האבי עזרי</w:t>
      </w:r>
      <w:r>
        <w:rPr>
          <w:rFonts w:hint="cs"/>
          <w:rtl/>
        </w:rPr>
        <w:t xml:space="preserve"> </w:t>
      </w:r>
      <w:r w:rsidRPr="009E1EDB">
        <w:rPr>
          <w:rStyle w:val="af7"/>
          <w:rFonts w:eastAsia="Guttman Hodes" w:hint="cs"/>
          <w:rtl/>
        </w:rPr>
        <w:t xml:space="preserve">(טו"נ פט"ו ה"י) </w:t>
      </w:r>
      <w:r>
        <w:rPr>
          <w:rFonts w:hint="cs"/>
          <w:rtl/>
        </w:rPr>
        <w:t xml:space="preserve">דבכל מעשה מכירה כשיש ספק אם היה מעשה מכירה או לא, וכן בחזקת ג"ש כשיש ספק אם אכל המחזיק בשדה הזו או לא, אף באופן שיש עדים על חצי השדה שמכר לו או שאכל המחזיק פירות, והספק הוא על החצי השני, ודאי דעל המחזיק להביא ראיה על מעשה המכירה, או על אכילת הפירות, גם בחצי השני של השדה, וכתב </w:t>
      </w:r>
      <w:r w:rsidRPr="009E64C5">
        <w:rPr>
          <w:rStyle w:val="af9"/>
          <w:rFonts w:hint="cs"/>
          <w:rtl/>
        </w:rPr>
        <w:t>האבי עזרי</w:t>
      </w:r>
      <w:r>
        <w:rPr>
          <w:rFonts w:hint="cs"/>
          <w:rtl/>
        </w:rPr>
        <w:t xml:space="preserve"> דבאופן שודאי היה מעשה מכירה, אך יש ספק אם התבטלה המכירה, כגון שטוען שהיה מום שמבטל את המכירה, או שהיה תנאי במכירה, דבכה"ג על הטוען שהמכירה התבטלה, עליו להוכיח את הביטול.</w:t>
      </w:r>
    </w:p>
    <w:p w:rsidR="0019070E" w:rsidRDefault="0019070E" w:rsidP="0019070E">
      <w:pPr>
        <w:pStyle w:val="a3"/>
      </w:pPr>
      <w:bookmarkStart w:id="7219" w:name="_Toc57544541"/>
      <w:bookmarkStart w:id="7220" w:name="_Toc58185056"/>
      <w:r>
        <w:rPr>
          <w:rFonts w:hint="cs"/>
          <w:rtl/>
        </w:rPr>
        <w:t>דברי האבי עזרי דבודאי חזקת ג"ש וספק אם היה ביטול על המערער להביא ראיה כמו במחאה</w:t>
      </w:r>
      <w:bookmarkEnd w:id="7219"/>
      <w:bookmarkEnd w:id="7220"/>
    </w:p>
    <w:p w:rsidR="0019070E" w:rsidRDefault="0019070E" w:rsidP="007E4E81">
      <w:pPr>
        <w:pStyle w:val="a0"/>
        <w:rPr>
          <w:rtl/>
        </w:rPr>
      </w:pPr>
      <w:r>
        <w:rPr>
          <w:rFonts w:hint="cs"/>
          <w:rtl/>
        </w:rPr>
        <w:t xml:space="preserve">וכתב </w:t>
      </w:r>
      <w:r w:rsidRPr="009E1EDB">
        <w:rPr>
          <w:rStyle w:val="af9"/>
          <w:rFonts w:hint="cs"/>
          <w:rtl/>
        </w:rPr>
        <w:t>האבי עזרי</w:t>
      </w:r>
      <w:r>
        <w:rPr>
          <w:rFonts w:hint="cs"/>
          <w:rtl/>
        </w:rPr>
        <w:t xml:space="preserve"> דה"ה בחזקת ג"ש, דכל שיש ודאי חזקה, מי שבא לטעון שהתבטלה החזקה, עליו להביא ראיה שהחזקה התבטלה, כגון כשטוען המערער שמחה הוא צריך להביא עדים על </w:t>
      </w:r>
      <w:r>
        <w:rPr>
          <w:rFonts w:hint="cs"/>
          <w:rtl/>
        </w:rPr>
        <w:lastRenderedPageBreak/>
        <w:t>המחאה, כיון שבחזקה עצמה אין כל חסרון, ובכדי לבטל את החזקה, צריך המערער לעשות מעשה של מחאה, ולכן עליו להביא ראיה.</w:t>
      </w:r>
    </w:p>
    <w:p w:rsidR="0019070E" w:rsidRDefault="0019070E" w:rsidP="0019070E">
      <w:pPr>
        <w:pStyle w:val="a3"/>
        <w:rPr>
          <w:rtl/>
        </w:rPr>
      </w:pPr>
      <w:bookmarkStart w:id="7221" w:name="_Toc57544542"/>
      <w:bookmarkStart w:id="7222" w:name="_Toc58185057"/>
      <w:r>
        <w:rPr>
          <w:rFonts w:hint="cs"/>
          <w:rtl/>
        </w:rPr>
        <w:t>ביאור האבי עזרי דבסוגיין יש חזקה גמורה אך לטענת המערער אין חזקה ובזה נח' רבא ור"נ</w:t>
      </w:r>
      <w:bookmarkEnd w:id="7221"/>
      <w:bookmarkEnd w:id="7222"/>
    </w:p>
    <w:p w:rsidR="0019070E" w:rsidRDefault="0019070E" w:rsidP="007E4E81">
      <w:pPr>
        <w:pStyle w:val="a0"/>
        <w:rPr>
          <w:rtl/>
        </w:rPr>
      </w:pPr>
      <w:r>
        <w:rPr>
          <w:rFonts w:hint="cs"/>
          <w:rtl/>
        </w:rPr>
        <w:t xml:space="preserve">וכתב </w:t>
      </w:r>
      <w:r w:rsidRPr="009E1EDB">
        <w:rPr>
          <w:rStyle w:val="af9"/>
          <w:rFonts w:hint="cs"/>
          <w:rtl/>
        </w:rPr>
        <w:t>האבי עזרי</w:t>
      </w:r>
      <w:r>
        <w:rPr>
          <w:rFonts w:hint="cs"/>
          <w:rtl/>
        </w:rPr>
        <w:t xml:space="preserve"> דהא דנחלקו רבא ור"נ בשכוני גוואי לביאור </w:t>
      </w:r>
      <w:r w:rsidRPr="009D1475">
        <w:rPr>
          <w:rStyle w:val="af9"/>
          <w:rFonts w:hint="cs"/>
          <w:rtl/>
        </w:rPr>
        <w:t>הרשב"ם</w:t>
      </w:r>
      <w:r>
        <w:rPr>
          <w:rFonts w:hint="cs"/>
          <w:rtl/>
        </w:rPr>
        <w:t xml:space="preserve"> </w:t>
      </w:r>
      <w:r w:rsidRPr="009D1475">
        <w:rPr>
          <w:rStyle w:val="af7"/>
          <w:rFonts w:eastAsia="Guttman Hodes" w:hint="cs"/>
          <w:rtl/>
        </w:rPr>
        <w:t xml:space="preserve">(עי' אות </w:t>
      </w:r>
      <w:r w:rsidRPr="009D1475">
        <w:rPr>
          <w:rStyle w:val="af7"/>
          <w:rFonts w:eastAsia="Guttman Hodes"/>
          <w:rtl/>
        </w:rPr>
        <w:fldChar w:fldCharType="begin"/>
      </w:r>
      <w:r w:rsidRPr="009D1475">
        <w:rPr>
          <w:rStyle w:val="af7"/>
          <w:rFonts w:eastAsia="Guttman Hodes"/>
          <w:rtl/>
        </w:rPr>
        <w:instrText xml:space="preserve"> </w:instrText>
      </w:r>
      <w:r w:rsidRPr="009D1475">
        <w:rPr>
          <w:rStyle w:val="af7"/>
          <w:rFonts w:eastAsia="Guttman Hodes" w:hint="cs"/>
        </w:rPr>
        <w:instrText>REF</w:instrText>
      </w:r>
      <w:r w:rsidRPr="009D1475">
        <w:rPr>
          <w:rStyle w:val="af7"/>
          <w:rFonts w:eastAsia="Guttman Hodes" w:hint="cs"/>
          <w:rtl/>
        </w:rPr>
        <w:instrText xml:space="preserve"> _</w:instrText>
      </w:r>
      <w:r w:rsidRPr="009D1475">
        <w:rPr>
          <w:rStyle w:val="af7"/>
          <w:rFonts w:eastAsia="Guttman Hodes" w:hint="cs"/>
        </w:rPr>
        <w:instrText>Ref56936382 \r \h</w:instrText>
      </w:r>
      <w:r w:rsidRPr="009D1475">
        <w:rPr>
          <w:rStyle w:val="af7"/>
          <w:rFonts w:eastAsia="Guttman Hodes"/>
          <w:rtl/>
        </w:rPr>
        <w:instrText xml:space="preserve"> </w:instrText>
      </w:r>
      <w:r w:rsidRPr="009D1475">
        <w:rPr>
          <w:rStyle w:val="af7"/>
          <w:rFonts w:eastAsia="Guttman Hodes"/>
          <w:rtl/>
        </w:rPr>
      </w:r>
      <w:r w:rsidRPr="009D147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9D1475">
        <w:rPr>
          <w:rStyle w:val="af7"/>
          <w:rFonts w:eastAsia="Guttman Hodes"/>
          <w:rtl/>
        </w:rPr>
        <w:fldChar w:fldCharType="end"/>
      </w:r>
      <w:r>
        <w:rPr>
          <w:rFonts w:hint="cs"/>
          <w:rtl/>
        </w:rPr>
        <w:t>,</w:t>
      </w:r>
      <w:r w:rsidRPr="008B0657">
        <w:rPr>
          <w:rFonts w:hint="cs"/>
          <w:rtl/>
        </w:rPr>
        <w:t xml:space="preserve"> </w:t>
      </w:r>
      <w:r>
        <w:rPr>
          <w:rFonts w:hint="cs"/>
          <w:rtl/>
        </w:rPr>
        <w:t>דטוען המערער שהיה דר בבית הפנימי, ועבר דרך המחזיק שנתן לו רשות לדור בבית החיצון,</w:t>
      </w:r>
      <w:r w:rsidR="00A77F33">
        <w:rPr>
          <w:rFonts w:hint="cs"/>
          <w:rtl/>
        </w:rPr>
        <w:t xml:space="preserve"> </w:t>
      </w:r>
      <w:r>
        <w:rPr>
          <w:rFonts w:hint="cs"/>
          <w:rtl/>
        </w:rPr>
        <w:t>הוא כיון שאם המערער לא היה בבית יחד עם המחזיק, החזקה שלו היא חזקה גמורה, ואינו צריך להוסיף דבר בחזקה עצמה, אך אם היה המערער יחד אם המחזיק, אי"ז רק מעשה שמבטל את החזקה, אלא אינה חזקה כלל, ולכן נחלקו רבא ור"נ מי צריך לברר.</w:t>
      </w:r>
    </w:p>
    <w:p w:rsidR="0019070E" w:rsidRPr="00C87E38" w:rsidRDefault="0019070E" w:rsidP="0019070E">
      <w:pPr>
        <w:pStyle w:val="1"/>
        <w:rPr>
          <w:rtl/>
        </w:rPr>
      </w:pPr>
      <w:bookmarkStart w:id="7223" w:name="_Toc57544543"/>
      <w:bookmarkStart w:id="7224" w:name="_Toc58185058"/>
      <w:r w:rsidRPr="00C87E38">
        <w:rPr>
          <w:rFonts w:hint="cs"/>
          <w:rtl/>
        </w:rPr>
        <w:t xml:space="preserve">ביאור הקוב"ש בנימוק"י </w:t>
      </w:r>
      <w:bookmarkEnd w:id="7208"/>
      <w:bookmarkEnd w:id="7209"/>
      <w:bookmarkEnd w:id="7210"/>
      <w:bookmarkEnd w:id="7211"/>
      <w:bookmarkEnd w:id="7212"/>
      <w:bookmarkEnd w:id="7213"/>
      <w:bookmarkEnd w:id="7214"/>
      <w:bookmarkEnd w:id="7215"/>
      <w:bookmarkEnd w:id="7216"/>
      <w:r>
        <w:rPr>
          <w:rFonts w:hint="cs"/>
          <w:rtl/>
        </w:rPr>
        <w:t>דנח' רבא ור"נ אי הוי ודאי חזקה או לא</w:t>
      </w:r>
      <w:bookmarkEnd w:id="7223"/>
      <w:bookmarkEnd w:id="7224"/>
    </w:p>
    <w:p w:rsidR="0019070E" w:rsidRPr="00C87E38" w:rsidRDefault="0019070E" w:rsidP="0019070E">
      <w:pPr>
        <w:pStyle w:val="a3"/>
        <w:rPr>
          <w:rtl/>
        </w:rPr>
      </w:pPr>
      <w:bookmarkStart w:id="7225" w:name="_Toc57067201"/>
      <w:bookmarkStart w:id="7226" w:name="_Toc57234582"/>
      <w:bookmarkStart w:id="7227" w:name="_Toc57236170"/>
      <w:bookmarkStart w:id="7228" w:name="_Toc57310499"/>
      <w:bookmarkStart w:id="7229" w:name="_Toc57323059"/>
      <w:bookmarkStart w:id="7230" w:name="_Toc57323168"/>
      <w:bookmarkStart w:id="7231" w:name="_Toc57370419"/>
      <w:bookmarkStart w:id="7232" w:name="_Toc57491587"/>
      <w:bookmarkStart w:id="7233" w:name="_Toc57495404"/>
      <w:bookmarkStart w:id="7234" w:name="_Toc57544544"/>
      <w:bookmarkStart w:id="7235" w:name="_Toc58185059"/>
      <w:r w:rsidRPr="00C87E38">
        <w:rPr>
          <w:rFonts w:hint="cs"/>
          <w:rtl/>
        </w:rPr>
        <w:t>ביאור הקוב"ש בנימוק"י ד</w:t>
      </w:r>
      <w:r>
        <w:rPr>
          <w:rFonts w:hint="cs"/>
          <w:rtl/>
        </w:rPr>
        <w:t xml:space="preserve">לר"נ </w:t>
      </w:r>
      <w:r w:rsidRPr="00C87E38">
        <w:rPr>
          <w:rFonts w:hint="cs"/>
          <w:rtl/>
        </w:rPr>
        <w:t>הראיה מהחזקה היא רק בהיה יכול למחות ועל המחזיק להוכיח</w:t>
      </w:r>
      <w:bookmarkEnd w:id="7225"/>
      <w:bookmarkEnd w:id="7226"/>
      <w:bookmarkEnd w:id="7227"/>
      <w:bookmarkEnd w:id="7228"/>
      <w:bookmarkEnd w:id="7229"/>
      <w:bookmarkEnd w:id="7230"/>
      <w:bookmarkEnd w:id="7231"/>
      <w:bookmarkEnd w:id="7232"/>
      <w:bookmarkEnd w:id="7233"/>
      <w:bookmarkEnd w:id="7234"/>
      <w:bookmarkEnd w:id="7235"/>
    </w:p>
    <w:p w:rsidR="0019070E" w:rsidRPr="00C87E38" w:rsidRDefault="0019070E" w:rsidP="007E4E81">
      <w:pPr>
        <w:pStyle w:val="a0"/>
        <w:rPr>
          <w:rtl/>
        </w:rPr>
      </w:pPr>
      <w:r>
        <w:rPr>
          <w:rFonts w:hint="cs"/>
          <w:rtl/>
        </w:rPr>
        <w:t>עי' בדברי</w:t>
      </w:r>
      <w:r w:rsidRPr="00C87E38">
        <w:rPr>
          <w:rFonts w:hint="cs"/>
          <w:rtl/>
        </w:rPr>
        <w:t xml:space="preserve"> </w:t>
      </w:r>
      <w:r w:rsidRPr="00C87E38">
        <w:rPr>
          <w:rStyle w:val="af9"/>
          <w:rFonts w:hint="cs"/>
          <w:rtl/>
        </w:rPr>
        <w:t>הקוב"ש</w:t>
      </w:r>
      <w:r w:rsidRPr="00C87E38">
        <w:rPr>
          <w:rFonts w:hint="cs"/>
          <w:rtl/>
        </w:rPr>
        <w:t xml:space="preserve"> </w:t>
      </w:r>
      <w:r w:rsidRPr="00C87E38">
        <w:rPr>
          <w:rStyle w:val="af7"/>
          <w:rFonts w:eastAsia="Guttman Hodes" w:hint="cs"/>
          <w:rtl/>
        </w:rPr>
        <w:t>(או' ק"ד</w:t>
      </w:r>
      <w:r>
        <w:rPr>
          <w:rStyle w:val="af7"/>
          <w:rFonts w:eastAsia="Guttman Hodes" w:hint="cs"/>
          <w:rtl/>
        </w:rPr>
        <w:t>, הובא בסימן ו' אות פ"ג)</w:t>
      </w:r>
      <w:r w:rsidRPr="00C87E38">
        <w:rPr>
          <w:rFonts w:hint="cs"/>
          <w:rtl/>
        </w:rPr>
        <w:t xml:space="preserve"> ד</w:t>
      </w:r>
      <w:r>
        <w:rPr>
          <w:rFonts w:hint="cs"/>
          <w:rtl/>
        </w:rPr>
        <w:t>הוכיח</w:t>
      </w:r>
      <w:r w:rsidRPr="00C87E38">
        <w:rPr>
          <w:rFonts w:hint="cs"/>
          <w:rtl/>
        </w:rPr>
        <w:t xml:space="preserve"> מדברי </w:t>
      </w:r>
      <w:r w:rsidRPr="00C87E38">
        <w:rPr>
          <w:rStyle w:val="af9"/>
          <w:rFonts w:hint="cs"/>
          <w:rtl/>
        </w:rPr>
        <w:t>הנימוק"י</w:t>
      </w:r>
      <w:r w:rsidRPr="00C87E38">
        <w:rPr>
          <w:rFonts w:hint="cs"/>
          <w:rtl/>
        </w:rPr>
        <w:t xml:space="preserve"> </w:t>
      </w:r>
      <w:r w:rsidRPr="00093657">
        <w:rPr>
          <w:rStyle w:val="af7"/>
          <w:rFonts w:eastAsia="Guttman Hodes" w:hint="cs"/>
          <w:rtl/>
        </w:rPr>
        <w:t>(יד. מדה"ר ד"</w:t>
      </w:r>
      <w:r w:rsidRPr="00A514AE">
        <w:rPr>
          <w:rStyle w:val="af7"/>
          <w:rFonts w:eastAsia="Guttman Hodes" w:hint="cs"/>
          <w:rtl/>
        </w:rPr>
        <w:t>ה דא"ל, הובא בסימן ו' אות י')</w:t>
      </w:r>
      <w:r w:rsidRPr="00C87E38">
        <w:rPr>
          <w:rFonts w:hint="cs"/>
          <w:rtl/>
        </w:rPr>
        <w:t xml:space="preserve"> דס"ל דחזקת ג"ש אינה תקנת חכמים, אלא היא ראיה משתיקת המערער</w:t>
      </w:r>
      <w:r>
        <w:rPr>
          <w:rFonts w:hint="cs"/>
          <w:rtl/>
        </w:rPr>
        <w:t>,</w:t>
      </w:r>
      <w:r w:rsidRPr="00165490">
        <w:rPr>
          <w:rStyle w:val="afb"/>
          <w:rFonts w:hint="cs"/>
          <w:rtl/>
        </w:rPr>
        <w:t xml:space="preserve"> </w:t>
      </w:r>
      <w:r w:rsidRPr="00D52E9A">
        <w:rPr>
          <w:rStyle w:val="afb"/>
          <w:rFonts w:hint="cs"/>
          <w:rtl/>
        </w:rPr>
        <w:t>[</w:t>
      </w:r>
      <w:r>
        <w:rPr>
          <w:rStyle w:val="afb"/>
          <w:rFonts w:hint="cs"/>
          <w:rtl/>
        </w:rPr>
        <w:t>וכדעת</w:t>
      </w:r>
      <w:r w:rsidRPr="00D52E9A">
        <w:rPr>
          <w:rStyle w:val="afb"/>
          <w:rFonts w:hint="cs"/>
          <w:rtl/>
        </w:rPr>
        <w:t xml:space="preserve"> </w:t>
      </w:r>
      <w:r w:rsidRPr="004055E5">
        <w:rPr>
          <w:rStyle w:val="affa"/>
          <w:rFonts w:hint="cs"/>
          <w:rtl/>
        </w:rPr>
        <w:t>הרמב"ן לקמן</w:t>
      </w:r>
      <w:r>
        <w:rPr>
          <w:rFonts w:hint="cs"/>
          <w:rtl/>
        </w:rPr>
        <w:t xml:space="preserve"> </w:t>
      </w:r>
      <w:r w:rsidRPr="004055E5">
        <w:rPr>
          <w:rStyle w:val="aff6"/>
          <w:rFonts w:hint="cs"/>
          <w:rtl/>
        </w:rPr>
        <w:t>(מב. ד"ה הא, הובא בסימן ה' אות ז')</w:t>
      </w:r>
      <w:r w:rsidRPr="00D52E9A">
        <w:rPr>
          <w:rStyle w:val="afb"/>
          <w:rFonts w:hint="cs"/>
          <w:rtl/>
        </w:rPr>
        <w:t xml:space="preserve">], </w:t>
      </w:r>
      <w:r>
        <w:rPr>
          <w:rFonts w:hint="cs"/>
          <w:rtl/>
        </w:rPr>
        <w:t>ובמ"ש</w:t>
      </w:r>
      <w:r w:rsidRPr="00C87E38">
        <w:rPr>
          <w:rFonts w:hint="cs"/>
          <w:rtl/>
        </w:rPr>
        <w:t xml:space="preserve"> </w:t>
      </w:r>
      <w:r w:rsidRPr="00C87E38">
        <w:rPr>
          <w:rStyle w:val="af9"/>
          <w:rFonts w:hint="cs"/>
          <w:rtl/>
        </w:rPr>
        <w:t>הנימוק"י</w:t>
      </w:r>
      <w:r>
        <w:rPr>
          <w:rStyle w:val="af9"/>
          <w:rFonts w:hint="cs"/>
          <w:rtl/>
        </w:rPr>
        <w:t xml:space="preserve"> [והרמב"ן]</w:t>
      </w:r>
      <w:r w:rsidRPr="009A350B">
        <w:rPr>
          <w:rStyle w:val="af7"/>
          <w:rFonts w:eastAsia="Guttman Hodes" w:hint="cs"/>
          <w:rtl/>
        </w:rPr>
        <w:t xml:space="preserve"> </w:t>
      </w:r>
      <w:r w:rsidRPr="00C43AD0">
        <w:rPr>
          <w:rStyle w:val="af7"/>
          <w:rFonts w:eastAsia="Guttman Hodes" w:hint="cs"/>
          <w:rtl/>
        </w:rPr>
        <w:t xml:space="preserve">(עי' אות </w:t>
      </w:r>
      <w:r w:rsidRPr="00C43AD0">
        <w:rPr>
          <w:rStyle w:val="af7"/>
          <w:rFonts w:eastAsia="Guttman Hodes"/>
          <w:rtl/>
        </w:rPr>
        <w:fldChar w:fldCharType="begin"/>
      </w:r>
      <w:r w:rsidRPr="00C43AD0">
        <w:rPr>
          <w:rStyle w:val="af7"/>
          <w:rFonts w:eastAsia="Guttman Hodes"/>
          <w:rtl/>
        </w:rPr>
        <w:instrText xml:space="preserve"> </w:instrText>
      </w:r>
      <w:r w:rsidRPr="00C43AD0">
        <w:rPr>
          <w:rStyle w:val="af7"/>
          <w:rFonts w:eastAsia="Guttman Hodes" w:hint="cs"/>
        </w:rPr>
        <w:instrText>REF</w:instrText>
      </w:r>
      <w:r w:rsidRPr="00C43AD0">
        <w:rPr>
          <w:rStyle w:val="af7"/>
          <w:rFonts w:eastAsia="Guttman Hodes" w:hint="cs"/>
          <w:rtl/>
        </w:rPr>
        <w:instrText xml:space="preserve"> _</w:instrText>
      </w:r>
      <w:r w:rsidRPr="00C43AD0">
        <w:rPr>
          <w:rStyle w:val="af7"/>
          <w:rFonts w:eastAsia="Guttman Hodes" w:hint="cs"/>
        </w:rPr>
        <w:instrText>Ref57321016 \r \h</w:instrText>
      </w:r>
      <w:r w:rsidRPr="00C43AD0">
        <w:rPr>
          <w:rStyle w:val="af7"/>
          <w:rFonts w:eastAsia="Guttman Hodes"/>
          <w:rtl/>
        </w:rPr>
        <w:instrText xml:space="preserve"> </w:instrText>
      </w:r>
      <w:r w:rsidRPr="00C43AD0">
        <w:rPr>
          <w:rStyle w:val="af7"/>
          <w:rFonts w:eastAsia="Guttman Hodes"/>
          <w:rtl/>
        </w:rPr>
      </w:r>
      <w:r w:rsidRPr="00C43AD0">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C43AD0">
        <w:rPr>
          <w:rStyle w:val="af7"/>
          <w:rFonts w:eastAsia="Guttman Hodes"/>
          <w:rtl/>
        </w:rPr>
        <w:fldChar w:fldCharType="end"/>
      </w:r>
      <w:r w:rsidRPr="00DE1094">
        <w:rPr>
          <w:rFonts w:hint="cs"/>
          <w:rtl/>
        </w:rPr>
        <w:t xml:space="preserve"> </w:t>
      </w:r>
      <w:r>
        <w:rPr>
          <w:rFonts w:hint="cs"/>
          <w:rtl/>
        </w:rPr>
        <w:t>ד</w:t>
      </w:r>
      <w:r w:rsidRPr="00C87E38">
        <w:rPr>
          <w:rFonts w:hint="cs"/>
          <w:rtl/>
        </w:rPr>
        <w:t xml:space="preserve">פלוגתת ר"נ ורבא </w:t>
      </w:r>
      <w:r>
        <w:rPr>
          <w:rFonts w:hint="cs"/>
          <w:rtl/>
        </w:rPr>
        <w:t>היא כ</w:t>
      </w:r>
      <w:r w:rsidRPr="00C87E38">
        <w:rPr>
          <w:rFonts w:hint="cs"/>
          <w:rtl/>
        </w:rPr>
        <w:t xml:space="preserve">שיש ספק אם היה המערער במקום שהיה יכול למחות, וקיי"ל כר"נ דאמרינן למחזיק זיל ברור אכילתך, ביאר </w:t>
      </w:r>
      <w:r w:rsidRPr="00C87E38">
        <w:rPr>
          <w:rStyle w:val="af9"/>
          <w:rFonts w:hint="cs"/>
          <w:rtl/>
        </w:rPr>
        <w:t>הקוב"ש</w:t>
      </w:r>
      <w:r w:rsidRPr="00C87E38">
        <w:rPr>
          <w:rFonts w:hint="cs"/>
          <w:rtl/>
        </w:rPr>
        <w:t xml:space="preserve"> </w:t>
      </w:r>
      <w:r w:rsidRPr="00C87E38">
        <w:rPr>
          <w:rStyle w:val="af7"/>
          <w:rFonts w:eastAsia="Guttman Hodes" w:hint="cs"/>
          <w:rtl/>
        </w:rPr>
        <w:t>(או' ק"ד)</w:t>
      </w:r>
      <w:r w:rsidRPr="00C87E38">
        <w:rPr>
          <w:rFonts w:hint="cs"/>
          <w:rtl/>
        </w:rPr>
        <w:t xml:space="preserve"> </w:t>
      </w:r>
      <w:r>
        <w:rPr>
          <w:rFonts w:hint="cs"/>
          <w:rtl/>
        </w:rPr>
        <w:t>דס"ל</w:t>
      </w:r>
      <w:r w:rsidRPr="00C87E38">
        <w:rPr>
          <w:rFonts w:hint="cs"/>
          <w:rtl/>
        </w:rPr>
        <w:t xml:space="preserve"> </w:t>
      </w:r>
      <w:r>
        <w:rPr>
          <w:rStyle w:val="af9"/>
          <w:rFonts w:hint="cs"/>
          <w:rtl/>
        </w:rPr>
        <w:t>ל</w:t>
      </w:r>
      <w:r w:rsidRPr="00C87E38">
        <w:rPr>
          <w:rStyle w:val="af9"/>
          <w:rFonts w:hint="cs"/>
          <w:rtl/>
        </w:rPr>
        <w:t>הנימוק"י</w:t>
      </w:r>
      <w:r w:rsidRPr="00C87E38">
        <w:rPr>
          <w:rFonts w:hint="cs"/>
          <w:rtl/>
        </w:rPr>
        <w:t xml:space="preserve"> דכיון דהראיה מהחזקה, היא במה שהחזיק ג"ש בצירוף שתיקת המערער, א"כ כל שלא היה המערער יכול למחות, אין כל ראיה מהחזקה, ולכן צריך המחזיק להוכיח שחזקתו חזקה.</w:t>
      </w:r>
    </w:p>
    <w:p w:rsidR="0019070E" w:rsidRPr="00C87E38" w:rsidRDefault="0019070E" w:rsidP="0019070E">
      <w:pPr>
        <w:pStyle w:val="a3"/>
        <w:rPr>
          <w:rtl/>
        </w:rPr>
      </w:pPr>
      <w:bookmarkStart w:id="7236" w:name="_Toc57544545"/>
      <w:bookmarkStart w:id="7237" w:name="_Toc58185060"/>
      <w:r>
        <w:rPr>
          <w:rFonts w:hint="cs"/>
          <w:rtl/>
        </w:rPr>
        <w:t>ביאור הקוב"ש ברבא דספק אם היה במקום שיכול למחות כספק במחאה ועל המערער להוכיח</w:t>
      </w:r>
      <w:bookmarkEnd w:id="7236"/>
      <w:bookmarkEnd w:id="7237"/>
    </w:p>
    <w:p w:rsidR="0019070E" w:rsidRPr="00C87E38" w:rsidRDefault="0019070E" w:rsidP="007E4E81">
      <w:pPr>
        <w:pStyle w:val="a0"/>
        <w:rPr>
          <w:rtl/>
        </w:rPr>
      </w:pPr>
      <w:bookmarkStart w:id="7238" w:name="_Ref57544391"/>
      <w:r w:rsidRPr="00C87E38">
        <w:rPr>
          <w:rFonts w:hint="cs"/>
          <w:rtl/>
        </w:rPr>
        <w:t xml:space="preserve">אך הקשה </w:t>
      </w:r>
      <w:r w:rsidRPr="00C87E38">
        <w:rPr>
          <w:rStyle w:val="af9"/>
          <w:rFonts w:hint="cs"/>
          <w:rtl/>
        </w:rPr>
        <w:t>הקוב"ש</w:t>
      </w:r>
      <w:r w:rsidRPr="00C87E38">
        <w:rPr>
          <w:rFonts w:hint="cs"/>
          <w:rtl/>
        </w:rPr>
        <w:t xml:space="preserve"> דא"כ מה החילוק בין אם טוען המערער שהיה במקום שלא היה יכול למחות, דעל המחזיק להוכיח שהחזיק כדין, לבין אם טוען המערער שמחה ואין לו עדים על מחאתו, דעל המערער להוכיח שמחה, וכתב </w:t>
      </w:r>
      <w:r w:rsidRPr="00C87E38">
        <w:rPr>
          <w:rStyle w:val="af9"/>
          <w:rFonts w:hint="cs"/>
          <w:rtl/>
        </w:rPr>
        <w:t>הקוב"ש</w:t>
      </w:r>
      <w:r w:rsidRPr="00C87E38">
        <w:rPr>
          <w:rFonts w:hint="cs"/>
          <w:rtl/>
        </w:rPr>
        <w:t xml:space="preserve"> דאפש"ל דלכן ס"ל לרבא דאף במקום שיש ספק אם היה המערער במקום שהיה יכול למחות, צריך המערער להוכיח שלא יכל למחות</w:t>
      </w:r>
      <w:r>
        <w:rPr>
          <w:rFonts w:hint="cs"/>
          <w:rtl/>
        </w:rPr>
        <w:t>,</w:t>
      </w:r>
      <w:r w:rsidRPr="00436EDB">
        <w:rPr>
          <w:rFonts w:hint="cs"/>
          <w:rtl/>
        </w:rPr>
        <w:t xml:space="preserve"> </w:t>
      </w:r>
      <w:r>
        <w:rPr>
          <w:rFonts w:hint="cs"/>
          <w:rtl/>
        </w:rPr>
        <w:t>דבמקום שיש ודאי חזקה, ויש ספק אי הייתה מחאה שביטלה את החזקה, אמרינן דאין ספק מוציא מידי ודאי</w:t>
      </w:r>
      <w:r w:rsidRPr="00C87E38">
        <w:rPr>
          <w:rFonts w:hint="cs"/>
          <w:rtl/>
        </w:rPr>
        <w:t>.</w:t>
      </w:r>
      <w:bookmarkEnd w:id="7238"/>
    </w:p>
    <w:p w:rsidR="0019070E" w:rsidRPr="00C87E38" w:rsidRDefault="0019070E" w:rsidP="0019070E">
      <w:pPr>
        <w:pStyle w:val="a3"/>
        <w:rPr>
          <w:rtl/>
        </w:rPr>
      </w:pPr>
      <w:bookmarkStart w:id="7239" w:name="_Toc57067203"/>
      <w:bookmarkStart w:id="7240" w:name="_Toc57234584"/>
      <w:bookmarkStart w:id="7241" w:name="_Toc57236172"/>
      <w:bookmarkStart w:id="7242" w:name="_Toc57310501"/>
      <w:bookmarkStart w:id="7243" w:name="_Toc57323061"/>
      <w:bookmarkStart w:id="7244" w:name="_Toc57323170"/>
      <w:bookmarkStart w:id="7245" w:name="_Toc57370421"/>
      <w:bookmarkStart w:id="7246" w:name="_Toc57491589"/>
      <w:bookmarkStart w:id="7247" w:name="_Toc57495406"/>
      <w:bookmarkStart w:id="7248" w:name="_Toc57544546"/>
      <w:bookmarkStart w:id="7249" w:name="_Toc58185061"/>
      <w:r>
        <w:rPr>
          <w:rFonts w:hint="cs"/>
          <w:rtl/>
        </w:rPr>
        <w:t xml:space="preserve">ביאור </w:t>
      </w:r>
      <w:r w:rsidRPr="00C87E38">
        <w:rPr>
          <w:rFonts w:hint="cs"/>
          <w:rtl/>
        </w:rPr>
        <w:t>הקוב"ש דבספק אם לא היה יכול למחות הוא ספק בעיקר חזקה ואינו ספק אי התבטלה</w:t>
      </w:r>
      <w:bookmarkEnd w:id="7239"/>
      <w:bookmarkEnd w:id="7240"/>
      <w:bookmarkEnd w:id="7241"/>
      <w:bookmarkEnd w:id="7242"/>
      <w:bookmarkEnd w:id="7243"/>
      <w:bookmarkEnd w:id="7244"/>
      <w:bookmarkEnd w:id="7245"/>
      <w:bookmarkEnd w:id="7246"/>
      <w:bookmarkEnd w:id="7247"/>
      <w:bookmarkEnd w:id="7248"/>
      <w:bookmarkEnd w:id="7249"/>
      <w:r w:rsidRPr="00C87E38">
        <w:rPr>
          <w:rFonts w:hint="cs"/>
          <w:rtl/>
        </w:rPr>
        <w:t xml:space="preserve"> </w:t>
      </w:r>
    </w:p>
    <w:p w:rsidR="0019070E" w:rsidRPr="00C87E38" w:rsidRDefault="0019070E" w:rsidP="007E4E81">
      <w:pPr>
        <w:pStyle w:val="a0"/>
        <w:rPr>
          <w:rtl/>
        </w:rPr>
      </w:pPr>
      <w:r w:rsidRPr="00C87E38">
        <w:rPr>
          <w:rFonts w:hint="cs"/>
          <w:rtl/>
        </w:rPr>
        <w:t xml:space="preserve">ובדעת ר"נ דעל המחזיק להביא ראיה שהמערער היה יכול למחות, ביאר </w:t>
      </w:r>
      <w:r w:rsidRPr="00C87E38">
        <w:rPr>
          <w:rStyle w:val="af9"/>
          <w:rFonts w:hint="cs"/>
          <w:rtl/>
        </w:rPr>
        <w:t>הקוב"ש</w:t>
      </w:r>
      <w:r w:rsidRPr="00C87E38">
        <w:rPr>
          <w:rFonts w:hint="cs"/>
          <w:rtl/>
        </w:rPr>
        <w:t xml:space="preserve"> דאם המערער היה במקום שאינו יכול למחות, לא חשיב שיש ודאי חזקה, ויש ספק אי הייתה מחאה שביטלה את החזקה, אלא דאם המערער לא היה יכול למחות, אי"ז חזקה כלל, וא"כ הספק הוא אינו בביטול החזקה, אלא הוא בעיקר החזקה, אם החזיק כדין, ולכן ס"ל לר"נ דעל המחזיק להוכיח שהחזיק כדין.</w:t>
      </w:r>
    </w:p>
    <w:p w:rsidR="0019070E" w:rsidRPr="00C87E38" w:rsidRDefault="0019070E" w:rsidP="0019070E">
      <w:pPr>
        <w:pStyle w:val="afe"/>
        <w:rPr>
          <w:rtl/>
        </w:rPr>
      </w:pPr>
      <w:bookmarkStart w:id="7250" w:name="_Toc57544547"/>
      <w:bookmarkStart w:id="7251" w:name="_Toc58185062"/>
      <w:r w:rsidRPr="00C87E38">
        <w:rPr>
          <w:rFonts w:hint="cs"/>
          <w:rtl/>
        </w:rPr>
        <w:t>בדין המוחזקות כשיש סתמא לחזקת ג"ש</w:t>
      </w:r>
      <w:bookmarkEnd w:id="7250"/>
      <w:bookmarkEnd w:id="7251"/>
    </w:p>
    <w:p w:rsidR="0019070E" w:rsidRPr="00C87E38" w:rsidRDefault="0019070E" w:rsidP="0019070E">
      <w:pPr>
        <w:pStyle w:val="1"/>
        <w:rPr>
          <w:rtl/>
        </w:rPr>
      </w:pPr>
      <w:bookmarkStart w:id="7252" w:name="_Toc57495384"/>
      <w:bookmarkStart w:id="7253" w:name="_Toc57544548"/>
      <w:bookmarkStart w:id="7254" w:name="_Toc58185063"/>
      <w:r w:rsidRPr="00C87E38">
        <w:rPr>
          <w:rFonts w:hint="cs"/>
          <w:rtl/>
        </w:rPr>
        <w:t>ביאור הגרנ"פ ברשב"ם</w:t>
      </w:r>
      <w:bookmarkEnd w:id="7252"/>
      <w:r w:rsidRPr="00C87E38">
        <w:rPr>
          <w:rFonts w:hint="cs"/>
          <w:rtl/>
        </w:rPr>
        <w:t xml:space="preserve"> דבספק בדבר שמגרע חזקה הוי מוחזק</w:t>
      </w:r>
      <w:bookmarkEnd w:id="7253"/>
      <w:bookmarkEnd w:id="7254"/>
    </w:p>
    <w:p w:rsidR="0019070E" w:rsidRPr="00C87E38" w:rsidRDefault="0019070E" w:rsidP="0019070E">
      <w:pPr>
        <w:pStyle w:val="a3"/>
        <w:rPr>
          <w:rtl/>
        </w:rPr>
      </w:pPr>
      <w:bookmarkStart w:id="7255" w:name="_Toc57495385"/>
      <w:bookmarkStart w:id="7256" w:name="_Toc57544549"/>
      <w:bookmarkStart w:id="7257" w:name="_Toc58185064"/>
      <w:r w:rsidRPr="00C87E38">
        <w:rPr>
          <w:rFonts w:hint="cs"/>
          <w:rtl/>
        </w:rPr>
        <w:t>דברי הגרנ"פ דברמב"ן משמע דביאר ברשב"ם דהעברת דרך מחסרת בחזקה ואינה רק מחאה</w:t>
      </w:r>
      <w:bookmarkEnd w:id="7255"/>
      <w:bookmarkEnd w:id="7256"/>
      <w:bookmarkEnd w:id="7257"/>
    </w:p>
    <w:p w:rsidR="0019070E" w:rsidRPr="00C87E38" w:rsidRDefault="0019070E" w:rsidP="007E4E81">
      <w:pPr>
        <w:pStyle w:val="a0"/>
        <w:rPr>
          <w:rtl/>
        </w:rPr>
      </w:pPr>
      <w:bookmarkStart w:id="7258" w:name="_Ref57110236"/>
      <w:bookmarkStart w:id="7259" w:name="_Ref57495212"/>
      <w:r w:rsidRPr="00C87E38">
        <w:rPr>
          <w:rFonts w:hint="cs"/>
          <w:rtl/>
        </w:rPr>
        <w:t xml:space="preserve">במה שהקשה </w:t>
      </w:r>
      <w:r w:rsidRPr="00C87E38">
        <w:rPr>
          <w:rStyle w:val="af9"/>
          <w:rFonts w:hint="cs"/>
          <w:rtl/>
        </w:rPr>
        <w:t>הרמב"ן</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Ref57051203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C87E38">
        <w:rPr>
          <w:rStyle w:val="af7"/>
          <w:rFonts w:eastAsia="Guttman Hodes"/>
          <w:rtl/>
        </w:rPr>
        <w:fldChar w:fldCharType="end"/>
      </w:r>
      <w:r w:rsidRPr="00C87E38">
        <w:rPr>
          <w:rFonts w:hint="cs"/>
          <w:rtl/>
        </w:rPr>
        <w:t xml:space="preserve"> </w:t>
      </w:r>
      <w:r w:rsidRPr="00C87E38">
        <w:rPr>
          <w:rStyle w:val="af9"/>
          <w:rFonts w:hint="cs"/>
          <w:rtl/>
        </w:rPr>
        <w:t>על הרשב"ם</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Ref56936382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C87E38">
        <w:rPr>
          <w:rStyle w:val="af7"/>
          <w:rFonts w:eastAsia="Guttman Hodes"/>
          <w:rtl/>
        </w:rPr>
        <w:fldChar w:fldCharType="end"/>
      </w:r>
      <w:r w:rsidRPr="00C87E38">
        <w:rPr>
          <w:rStyle w:val="af7"/>
          <w:rFonts w:eastAsia="Guttman Hodes" w:hint="cs"/>
          <w:rtl/>
        </w:rPr>
        <w:t xml:space="preserve"> </w:t>
      </w:r>
      <w:r w:rsidRPr="00C87E38">
        <w:rPr>
          <w:rFonts w:hint="cs"/>
          <w:rtl/>
        </w:rPr>
        <w:t xml:space="preserve">דאדם עשוי למכור ולשייר לעצמו דרך, והוסיף </w:t>
      </w:r>
      <w:r w:rsidRPr="00C87E38">
        <w:rPr>
          <w:rStyle w:val="af9"/>
          <w:rFonts w:hint="cs"/>
          <w:rtl/>
        </w:rPr>
        <w:t>הרמב"ן</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Ref57051211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C87E38">
        <w:rPr>
          <w:rStyle w:val="af7"/>
          <w:rFonts w:eastAsia="Guttman Hodes"/>
          <w:rtl/>
        </w:rPr>
        <w:fldChar w:fldCharType="end"/>
      </w:r>
      <w:r w:rsidRPr="00C87E38">
        <w:rPr>
          <w:rFonts w:hint="cs"/>
          <w:rtl/>
        </w:rPr>
        <w:t xml:space="preserve"> להקשות דאמאי אמר רבא דעל המערער להביא ראיה, והרי כל שהמחזיק מתגורר </w:t>
      </w:r>
      <w:r w:rsidRPr="00C87E38">
        <w:rPr>
          <w:rFonts w:hint="cs"/>
          <w:rtl/>
        </w:rPr>
        <w:t>בבית יחד עם הבעלים, לא הוי חזקה, כתב</w:t>
      </w:r>
      <w:r w:rsidRPr="00C87E38">
        <w:rPr>
          <w:rStyle w:val="af9"/>
          <w:rFonts w:hint="cs"/>
          <w:rtl/>
        </w:rPr>
        <w:t xml:space="preserve"> בחי' רבי נחום </w:t>
      </w:r>
      <w:r w:rsidRPr="00C87E38">
        <w:rPr>
          <w:rStyle w:val="af7"/>
          <w:rFonts w:eastAsia="Guttman Hodes" w:hint="cs"/>
          <w:rtl/>
        </w:rPr>
        <w:t xml:space="preserve">(או' מ"ז ד"ה ונראה עוד) </w:t>
      </w:r>
      <w:r w:rsidRPr="00C87E38">
        <w:rPr>
          <w:rFonts w:hint="cs"/>
          <w:rtl/>
        </w:rPr>
        <w:t xml:space="preserve">דמשמע מדברי </w:t>
      </w:r>
      <w:r w:rsidRPr="00C87E38">
        <w:rPr>
          <w:rStyle w:val="af9"/>
          <w:rFonts w:hint="cs"/>
          <w:rtl/>
        </w:rPr>
        <w:t>הרמב"ן</w:t>
      </w:r>
      <w:r w:rsidRPr="00C87E38">
        <w:rPr>
          <w:rFonts w:hint="cs"/>
          <w:rtl/>
        </w:rPr>
        <w:t xml:space="preserve"> דהבין בדעת לפי </w:t>
      </w:r>
      <w:r w:rsidRPr="00C87E38">
        <w:rPr>
          <w:rStyle w:val="af9"/>
          <w:rFonts w:hint="cs"/>
          <w:rtl/>
        </w:rPr>
        <w:t>הרשב"ם</w:t>
      </w:r>
      <w:r w:rsidRPr="00C87E38">
        <w:rPr>
          <w:rFonts w:hint="cs"/>
          <w:rtl/>
        </w:rPr>
        <w:t xml:space="preserve"> דכיון שהוא עובר דרכו לא הוי חזקה, ואינו רק מחאה.</w:t>
      </w:r>
      <w:bookmarkEnd w:id="7258"/>
      <w:r w:rsidRPr="00C87E38">
        <w:rPr>
          <w:rFonts w:hint="cs"/>
          <w:rtl/>
        </w:rPr>
        <w:t xml:space="preserve"> </w:t>
      </w:r>
      <w:r w:rsidRPr="00C87E38">
        <w:rPr>
          <w:rStyle w:val="afb"/>
          <w:rFonts w:hint="cs"/>
          <w:rtl/>
        </w:rPr>
        <w:t xml:space="preserve">[ועי' במ"ש </w:t>
      </w:r>
      <w:r w:rsidRPr="00C87E38">
        <w:rPr>
          <w:rStyle w:val="affa"/>
          <w:rFonts w:hint="cs"/>
          <w:rtl/>
        </w:rPr>
        <w:t>בחי' רבי נחום</w:t>
      </w:r>
      <w:r w:rsidRPr="00C87E38">
        <w:rPr>
          <w:rStyle w:val="afb"/>
          <w:rFonts w:hint="cs"/>
          <w:rtl/>
        </w:rPr>
        <w:t xml:space="preserve"> </w:t>
      </w:r>
      <w:r w:rsidRPr="00C87E38">
        <w:rPr>
          <w:rStyle w:val="aff6"/>
          <w:rFonts w:hint="cs"/>
          <w:rtl/>
        </w:rPr>
        <w:t xml:space="preserve">(עי' אות </w:t>
      </w:r>
      <w:r w:rsidRPr="00C87E38">
        <w:rPr>
          <w:rStyle w:val="aff6"/>
          <w:rtl/>
        </w:rPr>
        <w:fldChar w:fldCharType="begin"/>
      </w:r>
      <w:r w:rsidRPr="00C87E38">
        <w:rPr>
          <w:rStyle w:val="aff6"/>
          <w:rtl/>
        </w:rPr>
        <w:instrText xml:space="preserve"> </w:instrText>
      </w:r>
      <w:r w:rsidRPr="00C87E38">
        <w:rPr>
          <w:rStyle w:val="aff6"/>
          <w:rFonts w:hint="cs"/>
        </w:rPr>
        <w:instrText>REF</w:instrText>
      </w:r>
      <w:r w:rsidRPr="00C87E38">
        <w:rPr>
          <w:rStyle w:val="aff6"/>
          <w:rFonts w:hint="cs"/>
          <w:rtl/>
        </w:rPr>
        <w:instrText xml:space="preserve"> _</w:instrText>
      </w:r>
      <w:r w:rsidRPr="00C87E38">
        <w:rPr>
          <w:rStyle w:val="aff6"/>
          <w:rFonts w:hint="cs"/>
        </w:rPr>
        <w:instrText>Ref57136824 \r \h</w:instrText>
      </w:r>
      <w:r w:rsidRPr="00C87E38">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C87E38">
        <w:rPr>
          <w:rStyle w:val="aff6"/>
          <w:rtl/>
        </w:rPr>
      </w:r>
      <w:r w:rsidRPr="00C87E38">
        <w:rPr>
          <w:rStyle w:val="aff6"/>
          <w:rtl/>
        </w:rPr>
        <w:fldChar w:fldCharType="separate"/>
      </w:r>
      <w:r w:rsidR="00265073">
        <w:rPr>
          <w:rStyle w:val="aff6"/>
          <w:cs/>
        </w:rPr>
        <w:t>‎</w:t>
      </w:r>
      <w:r w:rsidR="00265073">
        <w:rPr>
          <w:rStyle w:val="aff6"/>
          <w:rtl/>
        </w:rPr>
        <w:t>קיב)</w:t>
      </w:r>
      <w:r w:rsidRPr="00C87E38">
        <w:rPr>
          <w:rStyle w:val="aff6"/>
          <w:rtl/>
        </w:rPr>
        <w:fldChar w:fldCharType="end"/>
      </w:r>
      <w:r w:rsidRPr="00C87E38">
        <w:rPr>
          <w:rStyle w:val="afb"/>
          <w:rFonts w:hint="cs"/>
          <w:rtl/>
        </w:rPr>
        <w:t xml:space="preserve"> דלדעת </w:t>
      </w:r>
      <w:r w:rsidRPr="00C87E38">
        <w:rPr>
          <w:rStyle w:val="affa"/>
          <w:rFonts w:hint="cs"/>
          <w:rtl/>
        </w:rPr>
        <w:t xml:space="preserve">התוס' </w:t>
      </w:r>
      <w:r w:rsidRPr="00C87E38">
        <w:rPr>
          <w:rStyle w:val="afb"/>
          <w:rFonts w:hint="cs"/>
          <w:rtl/>
        </w:rPr>
        <w:t xml:space="preserve">אינו חסרון בחזקה אלא חשיב כמחאה, אמנם יעוי' במה שמשמע מדברי </w:t>
      </w:r>
      <w:r w:rsidRPr="00C87E38">
        <w:rPr>
          <w:rStyle w:val="affa"/>
          <w:rFonts w:hint="cs"/>
          <w:rtl/>
        </w:rPr>
        <w:t>התוס'</w:t>
      </w:r>
      <w:r w:rsidRPr="00C87E38">
        <w:rPr>
          <w:rFonts w:hint="cs"/>
          <w:rtl/>
        </w:rPr>
        <w:t xml:space="preserve"> </w:t>
      </w:r>
      <w:r w:rsidRPr="00C87E38">
        <w:rPr>
          <w:rStyle w:val="aff6"/>
          <w:rFonts w:hint="cs"/>
          <w:rtl/>
        </w:rPr>
        <w:t>(עי'</w:t>
      </w:r>
      <w:r w:rsidRPr="00C87E38">
        <w:rPr>
          <w:rFonts w:hint="cs"/>
          <w:rtl/>
        </w:rPr>
        <w:t xml:space="preserve"> </w:t>
      </w:r>
      <w:r w:rsidRPr="00C87E38">
        <w:rPr>
          <w:rStyle w:val="aff6"/>
          <w:rFonts w:hint="cs"/>
          <w:rtl/>
        </w:rPr>
        <w:t>הערה</w:t>
      </w:r>
      <w:r w:rsidRPr="00C87E38">
        <w:rPr>
          <w:vertAlign w:val="superscript"/>
          <w:rtl/>
        </w:rPr>
        <w:fldChar w:fldCharType="begin"/>
      </w:r>
      <w:r w:rsidRPr="00C87E38">
        <w:rPr>
          <w:vertAlign w:val="superscript"/>
          <w:rtl/>
        </w:rPr>
        <w:instrText xml:space="preserve"> </w:instrText>
      </w:r>
      <w:r w:rsidRPr="00C87E38">
        <w:rPr>
          <w:rFonts w:hint="cs"/>
          <w:vertAlign w:val="superscript"/>
        </w:rPr>
        <w:instrText>NOTEREF</w:instrText>
      </w:r>
      <w:r w:rsidRPr="00C87E38">
        <w:rPr>
          <w:rFonts w:hint="cs"/>
          <w:vertAlign w:val="superscript"/>
          <w:rtl/>
        </w:rPr>
        <w:instrText xml:space="preserve"> _</w:instrText>
      </w:r>
      <w:r w:rsidRPr="00C87E38">
        <w:rPr>
          <w:rFonts w:hint="cs"/>
          <w:vertAlign w:val="superscript"/>
        </w:rPr>
        <w:instrText>Ref57488421 \h</w:instrText>
      </w:r>
      <w:r w:rsidRPr="00C87E38">
        <w:rPr>
          <w:vertAlign w:val="superscript"/>
          <w:rtl/>
        </w:rPr>
        <w:instrText xml:space="preserve">  \* </w:instrText>
      </w:r>
      <w:r w:rsidRPr="00C87E38">
        <w:rPr>
          <w:vertAlign w:val="superscript"/>
        </w:rPr>
        <w:instrText>MERGEFORMAT</w:instrText>
      </w:r>
      <w:r w:rsidRPr="00C87E38">
        <w:rPr>
          <w:vertAlign w:val="superscript"/>
          <w:rtl/>
        </w:rPr>
        <w:instrText xml:space="preserve"> </w:instrText>
      </w:r>
      <w:r w:rsidRPr="00C87E38">
        <w:rPr>
          <w:vertAlign w:val="superscript"/>
          <w:rtl/>
        </w:rPr>
      </w:r>
      <w:r w:rsidRPr="00C87E38">
        <w:rPr>
          <w:vertAlign w:val="superscript"/>
          <w:rtl/>
        </w:rPr>
        <w:fldChar w:fldCharType="separate"/>
      </w:r>
      <w:r w:rsidR="00265073">
        <w:rPr>
          <w:vertAlign w:val="superscript"/>
          <w:rtl/>
        </w:rPr>
        <w:t>34</w:t>
      </w:r>
      <w:r w:rsidRPr="00C87E38">
        <w:rPr>
          <w:vertAlign w:val="superscript"/>
          <w:rtl/>
        </w:rPr>
        <w:fldChar w:fldCharType="end"/>
      </w:r>
      <w:r w:rsidRPr="00C87E38">
        <w:rPr>
          <w:rStyle w:val="aff6"/>
          <w:rFonts w:hint="cs"/>
          <w:rtl/>
        </w:rPr>
        <w:t>)</w:t>
      </w:r>
      <w:r w:rsidRPr="00C87E38">
        <w:rPr>
          <w:rFonts w:hint="cs"/>
          <w:rtl/>
        </w:rPr>
        <w:t xml:space="preserve"> </w:t>
      </w:r>
      <w:r w:rsidRPr="00C87E38">
        <w:rPr>
          <w:rStyle w:val="afb"/>
          <w:rFonts w:hint="cs"/>
          <w:rtl/>
        </w:rPr>
        <w:t>דהוא חסרון בעצם החזקה].</w:t>
      </w:r>
      <w:bookmarkEnd w:id="7259"/>
    </w:p>
    <w:p w:rsidR="0019070E" w:rsidRPr="00C87E38" w:rsidRDefault="0019070E" w:rsidP="0019070E">
      <w:pPr>
        <w:pStyle w:val="a3"/>
        <w:rPr>
          <w:rtl/>
        </w:rPr>
      </w:pPr>
      <w:bookmarkStart w:id="7260" w:name="_Toc57495386"/>
      <w:bookmarkStart w:id="7261" w:name="_Toc57544550"/>
      <w:bookmarkStart w:id="7262" w:name="_Toc58185065"/>
      <w:r w:rsidRPr="00C87E38">
        <w:rPr>
          <w:rFonts w:hint="cs"/>
          <w:rtl/>
        </w:rPr>
        <w:t>דברי הגרנ"פ דברשב"ם ובריטב"א ובקצוה"ח מבואר דהעברת דרך היא מחאה ול"ק קו' הרמב"ן</w:t>
      </w:r>
      <w:bookmarkEnd w:id="7260"/>
      <w:bookmarkEnd w:id="7261"/>
      <w:bookmarkEnd w:id="7262"/>
    </w:p>
    <w:p w:rsidR="0019070E" w:rsidRPr="00C87E38" w:rsidRDefault="0019070E" w:rsidP="007E4E81">
      <w:pPr>
        <w:pStyle w:val="a0"/>
        <w:rPr>
          <w:rtl/>
        </w:rPr>
      </w:pPr>
      <w:bookmarkStart w:id="7263" w:name="_Ref57136778"/>
      <w:r w:rsidRPr="00C87E38">
        <w:rPr>
          <w:rFonts w:hint="cs"/>
          <w:rtl/>
        </w:rPr>
        <w:t xml:space="preserve">אך כתב </w:t>
      </w:r>
      <w:r w:rsidRPr="00C87E38">
        <w:rPr>
          <w:rStyle w:val="af9"/>
          <w:rFonts w:hint="cs"/>
          <w:rtl/>
        </w:rPr>
        <w:t>בחי' רבי נחום</w:t>
      </w:r>
      <w:r w:rsidRPr="00C87E38">
        <w:rPr>
          <w:rFonts w:hint="cs"/>
          <w:rtl/>
        </w:rPr>
        <w:t xml:space="preserve"> </w:t>
      </w:r>
      <w:r w:rsidRPr="00C87E38">
        <w:rPr>
          <w:rStyle w:val="af7"/>
          <w:rFonts w:eastAsia="Guttman Hodes" w:hint="cs"/>
          <w:rtl/>
        </w:rPr>
        <w:t xml:space="preserve">(או' מ"ז ד"ה ההוא) </w:t>
      </w:r>
      <w:r w:rsidRPr="00C87E38">
        <w:rPr>
          <w:rFonts w:hint="cs"/>
          <w:rtl/>
        </w:rPr>
        <w:t xml:space="preserve">דמדברי </w:t>
      </w:r>
      <w:r w:rsidRPr="00C87E38">
        <w:rPr>
          <w:rStyle w:val="af9"/>
          <w:rFonts w:hint="cs"/>
          <w:rtl/>
        </w:rPr>
        <w:t>הרשב"ם</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Ref56936382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C87E38">
        <w:rPr>
          <w:rStyle w:val="af7"/>
          <w:rFonts w:eastAsia="Guttman Hodes"/>
          <w:rtl/>
        </w:rPr>
        <w:fldChar w:fldCharType="end"/>
      </w:r>
      <w:r w:rsidRPr="00C87E38">
        <w:rPr>
          <w:rStyle w:val="af7"/>
          <w:rFonts w:eastAsia="Guttman Hodes" w:hint="cs"/>
          <w:rtl/>
        </w:rPr>
        <w:t xml:space="preserve"> </w:t>
      </w:r>
      <w:r w:rsidRPr="00C87E38">
        <w:rPr>
          <w:rStyle w:val="af9"/>
          <w:rFonts w:hint="cs"/>
          <w:rtl/>
        </w:rPr>
        <w:t>והריטב"א</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Ref57109909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C87E38">
        <w:rPr>
          <w:rStyle w:val="af7"/>
          <w:rFonts w:eastAsia="Guttman Hodes"/>
          <w:rtl/>
        </w:rPr>
        <w:fldChar w:fldCharType="end"/>
      </w:r>
      <w:r w:rsidRPr="00C87E38">
        <w:rPr>
          <w:rStyle w:val="af7"/>
          <w:rFonts w:eastAsia="Guttman Hodes" w:hint="cs"/>
          <w:rtl/>
        </w:rPr>
        <w:t xml:space="preserve"> </w:t>
      </w:r>
      <w:r w:rsidRPr="00C87E38">
        <w:rPr>
          <w:rStyle w:val="af9"/>
          <w:rFonts w:hint="cs"/>
          <w:rtl/>
        </w:rPr>
        <w:t>והקצוה"ח</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Ref57109898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C87E38">
        <w:rPr>
          <w:rStyle w:val="af7"/>
          <w:rFonts w:eastAsia="Guttman Hodes"/>
          <w:rtl/>
        </w:rPr>
        <w:fldChar w:fldCharType="end"/>
      </w:r>
      <w:r w:rsidRPr="00C87E38">
        <w:rPr>
          <w:rFonts w:hint="cs"/>
          <w:rtl/>
        </w:rPr>
        <w:t xml:space="preserve"> מבואר דהעברת דרך אינה חסרון בעצם החזקה, אלא היא חשיבא כמחאה, ולכן טוען המערער שלא היה צריך למחות, </w:t>
      </w:r>
      <w:r w:rsidRPr="00C87E38">
        <w:rPr>
          <w:rStyle w:val="afb"/>
          <w:rFonts w:hint="cs"/>
          <w:rtl/>
        </w:rPr>
        <w:t xml:space="preserve">[וכ"כ </w:t>
      </w:r>
      <w:r w:rsidRPr="00C87E38">
        <w:rPr>
          <w:rStyle w:val="affa"/>
          <w:rFonts w:hint="cs"/>
          <w:rtl/>
        </w:rPr>
        <w:t>בשיעורי רבי אלחנן לב"ב</w:t>
      </w:r>
      <w:r w:rsidRPr="00C87E38">
        <w:rPr>
          <w:rStyle w:val="afb"/>
          <w:rFonts w:hint="cs"/>
          <w:rtl/>
        </w:rPr>
        <w:t xml:space="preserve"> </w:t>
      </w:r>
      <w:r w:rsidRPr="00C87E38">
        <w:rPr>
          <w:rStyle w:val="aff6"/>
          <w:rFonts w:hint="cs"/>
          <w:rtl/>
        </w:rPr>
        <w:t>(סי' ח' ד"ה ולכאורה גם)</w:t>
      </w:r>
      <w:r w:rsidRPr="00C87E38">
        <w:rPr>
          <w:rStyle w:val="afb"/>
          <w:rFonts w:hint="cs"/>
          <w:rtl/>
        </w:rPr>
        <w:t xml:space="preserve">], </w:t>
      </w:r>
      <w:r w:rsidRPr="00C87E38">
        <w:rPr>
          <w:rFonts w:hint="cs"/>
          <w:rtl/>
        </w:rPr>
        <w:t xml:space="preserve">וכתב </w:t>
      </w:r>
      <w:r w:rsidRPr="00C87E38">
        <w:rPr>
          <w:rStyle w:val="af9"/>
          <w:rFonts w:hint="cs"/>
          <w:rtl/>
        </w:rPr>
        <w:t>בחי' רבי נחום</w:t>
      </w:r>
      <w:r w:rsidRPr="00C87E38">
        <w:rPr>
          <w:rFonts w:hint="cs"/>
          <w:rtl/>
        </w:rPr>
        <w:t xml:space="preserve"> דא"כ מתורצת קושית </w:t>
      </w:r>
      <w:r w:rsidRPr="00C87E38">
        <w:rPr>
          <w:rStyle w:val="af9"/>
          <w:rFonts w:hint="cs"/>
          <w:rtl/>
        </w:rPr>
        <w:t>הרמב"ן</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Ref57051211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C87E38">
        <w:rPr>
          <w:rStyle w:val="af7"/>
          <w:rFonts w:eastAsia="Guttman Hodes"/>
          <w:rtl/>
        </w:rPr>
        <w:fldChar w:fldCharType="end"/>
      </w:r>
      <w:r w:rsidRPr="00C87E38">
        <w:rPr>
          <w:rFonts w:hint="cs"/>
          <w:rtl/>
        </w:rPr>
        <w:t xml:space="preserve"> דבאמת אין הדרך חסרון בחזקה כלל, ולכן ס"ל לרבא דעל המערער להביא ראיה, דחזקת המחזיק היא חזקה גמורה.</w:t>
      </w:r>
      <w:bookmarkEnd w:id="7263"/>
    </w:p>
    <w:p w:rsidR="0019070E" w:rsidRPr="00C87E38" w:rsidRDefault="0019070E" w:rsidP="0019070E">
      <w:pPr>
        <w:pStyle w:val="a3"/>
        <w:rPr>
          <w:rtl/>
        </w:rPr>
      </w:pPr>
      <w:bookmarkStart w:id="7264" w:name="_Toc57544551"/>
      <w:bookmarkStart w:id="7265" w:name="_Toc58185066"/>
      <w:r w:rsidRPr="00C87E38">
        <w:rPr>
          <w:rFonts w:hint="cs"/>
          <w:rtl/>
        </w:rPr>
        <w:t>תי' הגרנ"פ על קושית הרמב"ן דבהחזקה ידועה וספק בסיבה צדדית שמגרעת חזקה הוי מוחזק</w:t>
      </w:r>
      <w:bookmarkEnd w:id="7264"/>
      <w:bookmarkEnd w:id="7265"/>
    </w:p>
    <w:p w:rsidR="0019070E" w:rsidRPr="00C87E38" w:rsidRDefault="0019070E" w:rsidP="007E4E81">
      <w:pPr>
        <w:pStyle w:val="a0"/>
        <w:rPr>
          <w:rtl/>
        </w:rPr>
      </w:pPr>
      <w:r w:rsidRPr="00C87E38">
        <w:rPr>
          <w:rFonts w:hint="cs"/>
          <w:rtl/>
        </w:rPr>
        <w:t>והוסיף</w:t>
      </w:r>
      <w:r w:rsidRPr="00C87E38">
        <w:rPr>
          <w:rStyle w:val="af9"/>
          <w:rFonts w:hint="cs"/>
          <w:rtl/>
        </w:rPr>
        <w:t xml:space="preserve"> בחי' רבי נחום </w:t>
      </w:r>
      <w:r w:rsidRPr="00C87E38">
        <w:rPr>
          <w:rStyle w:val="af7"/>
          <w:rFonts w:eastAsia="Guttman Hodes" w:hint="cs"/>
          <w:rtl/>
        </w:rPr>
        <w:t>(או' מ"ז ד"ה ונראה עוד)</w:t>
      </w:r>
      <w:r w:rsidRPr="00C87E38">
        <w:rPr>
          <w:rFonts w:hint="cs"/>
          <w:rtl/>
        </w:rPr>
        <w:t xml:space="preserve"> דאף לביאור </w:t>
      </w:r>
      <w:r w:rsidRPr="00C87E38">
        <w:rPr>
          <w:rStyle w:val="af9"/>
          <w:rFonts w:hint="cs"/>
          <w:rtl/>
        </w:rPr>
        <w:t>הרמב"ן ברשב"ם</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Ref57110236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sidRPr="00C87E38">
        <w:rPr>
          <w:rStyle w:val="af7"/>
          <w:rFonts w:eastAsia="Guttman Hodes"/>
          <w:rtl/>
        </w:rPr>
        <w:fldChar w:fldCharType="end"/>
      </w:r>
      <w:r w:rsidRPr="00C87E38">
        <w:rPr>
          <w:rFonts w:hint="cs"/>
          <w:rtl/>
        </w:rPr>
        <w:t xml:space="preserve"> דהעברת הדרך היא חסרון בחזקה עצמה, ג"כ אפשר לתרץ את קושית </w:t>
      </w:r>
      <w:r w:rsidRPr="00C87E38">
        <w:rPr>
          <w:rStyle w:val="af9"/>
          <w:rFonts w:hint="cs"/>
          <w:rtl/>
        </w:rPr>
        <w:t>הרמב"ן</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Ref57051211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C87E38">
        <w:rPr>
          <w:rStyle w:val="af7"/>
          <w:rFonts w:eastAsia="Guttman Hodes"/>
          <w:rtl/>
        </w:rPr>
        <w:fldChar w:fldCharType="end"/>
      </w:r>
      <w:r w:rsidRPr="00C87E38">
        <w:rPr>
          <w:rFonts w:hint="cs"/>
          <w:rtl/>
        </w:rPr>
        <w:t>, דס"ל לרבא דכל מה שהמחזיק צריך להוכיח שיש לו חזקת ג"ש, הוא רק במקום שיש ספק בעיקר ישיבת המחזיק בקרקע, דעצם החזקה אינה ידועה, ועל המחזיק להוכיח שהחזיק כדין, אבל בסוגיין דודאי ידוע שהמחזיק ישב בבית החיצון, והספק הוא האם היה דבר מהצד שמגרע את החזקה, א"כ כיון שאנו רואים חזקה לפנינו, ואין לנו סיבה להסתפק בחזקה, והמערער טוען שיש סיבה חדשה שמגרעת את החזקה, בזה ס"ל לרבא דהמחזיק נחשב למוחזק, והמערער הוא המוציא ועליו להביא ראיה.</w:t>
      </w:r>
    </w:p>
    <w:p w:rsidR="0019070E" w:rsidRPr="00C87E38" w:rsidRDefault="0019070E" w:rsidP="0019070E">
      <w:pPr>
        <w:pStyle w:val="1"/>
        <w:rPr>
          <w:rtl/>
        </w:rPr>
      </w:pPr>
      <w:bookmarkStart w:id="7266" w:name="_Toc57544552"/>
      <w:bookmarkStart w:id="7267" w:name="_Toc58185067"/>
      <w:r w:rsidRPr="00C87E38">
        <w:rPr>
          <w:rFonts w:hint="cs"/>
          <w:rtl/>
        </w:rPr>
        <w:t>ביאור הגרנ"פ ברשב"ם דלרבא כל שיש סתמא הוי חזקה</w:t>
      </w:r>
      <w:bookmarkEnd w:id="7266"/>
      <w:bookmarkEnd w:id="7267"/>
    </w:p>
    <w:p w:rsidR="0019070E" w:rsidRPr="00C87E38" w:rsidRDefault="0019070E" w:rsidP="0019070E">
      <w:pPr>
        <w:pStyle w:val="a3"/>
        <w:rPr>
          <w:rtl/>
        </w:rPr>
      </w:pPr>
      <w:bookmarkStart w:id="7268" w:name="_Toc57544553"/>
      <w:bookmarkStart w:id="7269" w:name="_Toc58185068"/>
      <w:r w:rsidRPr="00C87E38">
        <w:rPr>
          <w:rFonts w:hint="cs"/>
          <w:rtl/>
        </w:rPr>
        <w:t>ביאור הגרנ"פ ברשב"ם דבספק לפנינו שהיה המערער בפנימי לכו"ע ל"ה חזקה ודלא כתוס'</w:t>
      </w:r>
      <w:bookmarkEnd w:id="7268"/>
      <w:bookmarkEnd w:id="7269"/>
    </w:p>
    <w:p w:rsidR="0019070E" w:rsidRPr="00C87E38" w:rsidRDefault="0019070E" w:rsidP="007E4E81">
      <w:pPr>
        <w:pStyle w:val="a0"/>
        <w:rPr>
          <w:rtl/>
        </w:rPr>
      </w:pPr>
      <w:bookmarkStart w:id="7270" w:name="_Ref57136011"/>
      <w:r w:rsidRPr="00C87E38">
        <w:rPr>
          <w:rFonts w:hint="cs"/>
          <w:rtl/>
        </w:rPr>
        <w:t>במ"ש</w:t>
      </w:r>
      <w:r w:rsidRPr="00C87E38">
        <w:rPr>
          <w:rStyle w:val="af9"/>
          <w:rFonts w:hint="cs"/>
          <w:rtl/>
        </w:rPr>
        <w:t xml:space="preserve"> הרשב"ם</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Ref57137155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C87E38">
        <w:rPr>
          <w:rStyle w:val="af7"/>
          <w:rFonts w:eastAsia="Guttman Hodes"/>
          <w:rtl/>
        </w:rPr>
        <w:fldChar w:fldCharType="end"/>
      </w:r>
      <w:r w:rsidRPr="00C87E38">
        <w:rPr>
          <w:rFonts w:hint="cs"/>
          <w:rtl/>
        </w:rPr>
        <w:t xml:space="preserve"> דס"ל לרבא דכיון שיש עדים שהמוחזק השתמש בבית ג"ש, א"צ לחוש שמא המערער היה עמו בבית, כיון שלא שמענו מדבר זה לפני שטען כן המערער, כתב </w:t>
      </w:r>
      <w:r w:rsidRPr="00C87E38">
        <w:rPr>
          <w:rStyle w:val="af9"/>
          <w:rFonts w:hint="cs"/>
          <w:rtl/>
        </w:rPr>
        <w:t>בחי' רבי נחום</w:t>
      </w:r>
      <w:r w:rsidRPr="00C87E38">
        <w:rPr>
          <w:rFonts w:hint="cs"/>
          <w:rtl/>
        </w:rPr>
        <w:t xml:space="preserve"> </w:t>
      </w:r>
      <w:r w:rsidRPr="00C87E38">
        <w:rPr>
          <w:rStyle w:val="af7"/>
          <w:rFonts w:eastAsia="Guttman Hodes" w:hint="cs"/>
          <w:rtl/>
        </w:rPr>
        <w:t>(או מ"ז ד"ה ובעיקר)</w:t>
      </w:r>
      <w:r w:rsidRPr="00C87E38">
        <w:rPr>
          <w:rFonts w:hint="cs"/>
          <w:rtl/>
        </w:rPr>
        <w:t xml:space="preserve"> דמשמע מדברי </w:t>
      </w:r>
      <w:r w:rsidRPr="00C87E38">
        <w:rPr>
          <w:rStyle w:val="af9"/>
          <w:rFonts w:hint="cs"/>
          <w:rtl/>
        </w:rPr>
        <w:t>הרשב"ם</w:t>
      </w:r>
      <w:r w:rsidRPr="00C87E38">
        <w:rPr>
          <w:rFonts w:hint="cs"/>
          <w:rtl/>
        </w:rPr>
        <w:t xml:space="preserve"> שאם הייתה לנו סיבה להסתפק שמא המערער היה דר בבית הפנימי יחד עם המחזיק שבבית החיצון, היה מודה רבא שהמחזיק צריך לברר את טענת המערער, וכ"מ דאמר רבא דעל המערער להביא ראיה, הוא כיון שאין כל סיבה שנחשוש שכך היה, דהא לא שמענו מדבר זה לפני שטען כן המערער, ועי' במ"ש </w:t>
      </w:r>
      <w:r w:rsidRPr="00C87E38">
        <w:rPr>
          <w:rStyle w:val="af9"/>
          <w:rFonts w:hint="cs"/>
          <w:rtl/>
        </w:rPr>
        <w:t xml:space="preserve">בחי' רבי נחום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Ref57136115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C87E38">
        <w:rPr>
          <w:rStyle w:val="af7"/>
          <w:rFonts w:eastAsia="Guttman Hodes"/>
          <w:rtl/>
        </w:rPr>
        <w:fldChar w:fldCharType="end"/>
      </w:r>
      <w:r w:rsidRPr="00C87E38">
        <w:rPr>
          <w:rFonts w:hint="cs"/>
          <w:rtl/>
        </w:rPr>
        <w:t xml:space="preserve"> </w:t>
      </w:r>
      <w:r w:rsidRPr="00C87E38">
        <w:rPr>
          <w:rStyle w:val="af9"/>
          <w:rFonts w:hint="cs"/>
          <w:rtl/>
        </w:rPr>
        <w:t>ובשיעורי רבי שמואל</w:t>
      </w:r>
      <w:r w:rsidRPr="00C87E38">
        <w:rPr>
          <w:rFonts w:hint="cs"/>
          <w:rtl/>
        </w:rPr>
        <w:t xml:space="preserve"> </w:t>
      </w:r>
      <w:r w:rsidRPr="00C87E38">
        <w:rPr>
          <w:rStyle w:val="af7"/>
          <w:rFonts w:eastAsia="Guttman Hodes" w:hint="cs"/>
          <w:rtl/>
        </w:rPr>
        <w:t xml:space="preserve">(עי' אות </w:t>
      </w:r>
      <w:r w:rsidRPr="00C87E38">
        <w:rPr>
          <w:rStyle w:val="af7"/>
          <w:rFonts w:eastAsia="Guttman Hodes"/>
          <w:rtl/>
        </w:rPr>
        <w:fldChar w:fldCharType="begin"/>
      </w:r>
      <w:r w:rsidRPr="00C87E38">
        <w:rPr>
          <w:rStyle w:val="af7"/>
          <w:rFonts w:eastAsia="Guttman Hodes"/>
          <w:rtl/>
        </w:rPr>
        <w:instrText xml:space="preserve"> </w:instrText>
      </w:r>
      <w:r w:rsidRPr="00C87E38">
        <w:rPr>
          <w:rStyle w:val="af7"/>
          <w:rFonts w:eastAsia="Guttman Hodes" w:hint="cs"/>
        </w:rPr>
        <w:instrText>REF</w:instrText>
      </w:r>
      <w:r w:rsidRPr="00C87E38">
        <w:rPr>
          <w:rStyle w:val="af7"/>
          <w:rFonts w:eastAsia="Guttman Hodes" w:hint="cs"/>
          <w:rtl/>
        </w:rPr>
        <w:instrText xml:space="preserve"> _</w:instrText>
      </w:r>
      <w:r w:rsidRPr="00C87E38">
        <w:rPr>
          <w:rStyle w:val="af7"/>
          <w:rFonts w:eastAsia="Guttman Hodes" w:hint="cs"/>
        </w:rPr>
        <w:instrText>Ref57535755 \r \h</w:instrText>
      </w:r>
      <w:r w:rsidRPr="00C87E3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87E38">
        <w:rPr>
          <w:rStyle w:val="af7"/>
          <w:rFonts w:eastAsia="Guttman Hodes"/>
          <w:rtl/>
        </w:rPr>
      </w:r>
      <w:r w:rsidRPr="00C87E38">
        <w:rPr>
          <w:rStyle w:val="af7"/>
          <w:rFonts w:eastAsia="Guttman Hodes"/>
          <w:rtl/>
        </w:rPr>
        <w:fldChar w:fldCharType="separate"/>
      </w:r>
      <w:r w:rsidR="00265073">
        <w:rPr>
          <w:rStyle w:val="af7"/>
          <w:rFonts w:eastAsia="Guttman Hodes"/>
          <w:cs/>
        </w:rPr>
        <w:t>‎</w:t>
      </w:r>
      <w:r w:rsidR="00265073">
        <w:rPr>
          <w:rStyle w:val="af7"/>
          <w:rFonts w:eastAsia="Guttman Hodes"/>
          <w:rtl/>
        </w:rPr>
        <w:t>קכא)</w:t>
      </w:r>
      <w:r w:rsidRPr="00C87E38">
        <w:rPr>
          <w:rStyle w:val="af7"/>
          <w:rFonts w:eastAsia="Guttman Hodes"/>
          <w:rtl/>
        </w:rPr>
        <w:fldChar w:fldCharType="end"/>
      </w:r>
      <w:r w:rsidRPr="00C87E38">
        <w:rPr>
          <w:rFonts w:hint="cs"/>
          <w:rtl/>
        </w:rPr>
        <w:t xml:space="preserve"> </w:t>
      </w:r>
      <w:r w:rsidRPr="00C87E38">
        <w:rPr>
          <w:rStyle w:val="af9"/>
          <w:rFonts w:hint="cs"/>
          <w:rtl/>
        </w:rPr>
        <w:t>דהתוס'</w:t>
      </w:r>
      <w:r w:rsidRPr="00C87E38">
        <w:rPr>
          <w:rFonts w:hint="cs"/>
          <w:rtl/>
        </w:rPr>
        <w:t xml:space="preserve"> פליגי על </w:t>
      </w:r>
      <w:r w:rsidRPr="00C87E38">
        <w:rPr>
          <w:rStyle w:val="af9"/>
          <w:rFonts w:hint="cs"/>
          <w:rtl/>
        </w:rPr>
        <w:t>הרשב"ם</w:t>
      </w:r>
      <w:r w:rsidRPr="00C87E38">
        <w:rPr>
          <w:rFonts w:hint="cs"/>
          <w:rtl/>
        </w:rPr>
        <w:t xml:space="preserve"> בזה.</w:t>
      </w:r>
      <w:bookmarkEnd w:id="7270"/>
    </w:p>
    <w:p w:rsidR="0019070E" w:rsidRPr="00901317" w:rsidRDefault="0019070E" w:rsidP="0019070E">
      <w:pPr>
        <w:pStyle w:val="a3"/>
        <w:rPr>
          <w:rtl/>
        </w:rPr>
      </w:pPr>
      <w:bookmarkStart w:id="7271" w:name="_Toc57544554"/>
      <w:bookmarkStart w:id="7272" w:name="_Toc58185069"/>
      <w:r w:rsidRPr="00C87E38">
        <w:rPr>
          <w:rFonts w:hint="cs"/>
          <w:rtl/>
        </w:rPr>
        <w:t>ביאור הגרנ"פ ברשב"ם דחזקה</w:t>
      </w:r>
      <w:r>
        <w:rPr>
          <w:rFonts w:hint="cs"/>
          <w:rtl/>
        </w:rPr>
        <w:t xml:space="preserve"> היא מדין מוחזק וסגי במה שלא ראינו ספק לפנינו להחזיקו</w:t>
      </w:r>
      <w:bookmarkEnd w:id="7271"/>
      <w:bookmarkEnd w:id="7272"/>
    </w:p>
    <w:p w:rsidR="0019070E" w:rsidRDefault="0019070E" w:rsidP="007E4E81">
      <w:pPr>
        <w:pStyle w:val="a0"/>
        <w:rPr>
          <w:rtl/>
        </w:rPr>
      </w:pPr>
      <w:r>
        <w:rPr>
          <w:rFonts w:hint="cs"/>
          <w:rtl/>
        </w:rPr>
        <w:t xml:space="preserve">וביאר </w:t>
      </w:r>
      <w:r w:rsidRPr="00820F5E">
        <w:rPr>
          <w:rStyle w:val="af9"/>
          <w:rFonts w:hint="cs"/>
          <w:rtl/>
        </w:rPr>
        <w:t>בחי' רבי נחום</w:t>
      </w:r>
      <w:r>
        <w:rPr>
          <w:rFonts w:hint="cs"/>
          <w:rtl/>
        </w:rPr>
        <w:t xml:space="preserve"> דס"ל </w:t>
      </w:r>
      <w:r w:rsidRPr="00820F5E">
        <w:rPr>
          <w:rStyle w:val="af9"/>
          <w:rFonts w:hint="cs"/>
          <w:rtl/>
        </w:rPr>
        <w:t>להרשב"ם</w:t>
      </w:r>
      <w:r>
        <w:rPr>
          <w:rFonts w:hint="cs"/>
          <w:rtl/>
        </w:rPr>
        <w:t xml:space="preserve"> דחזקת ג"ש אינה מדין אנן סהדי</w:t>
      </w:r>
      <w:r>
        <w:rPr>
          <w:rStyle w:val="af9"/>
          <w:rFonts w:hint="cs"/>
          <w:rtl/>
        </w:rPr>
        <w:t xml:space="preserve">, </w:t>
      </w:r>
      <w:r>
        <w:rPr>
          <w:rFonts w:hint="cs"/>
          <w:rtl/>
        </w:rPr>
        <w:t>אלא דע"י החזקה המחזיק נעשה למוחזק,</w:t>
      </w:r>
      <w:r w:rsidRPr="00B4216A">
        <w:rPr>
          <w:rStyle w:val="afb"/>
          <w:rFonts w:hint="cs"/>
          <w:rtl/>
        </w:rPr>
        <w:t xml:space="preserve"> </w:t>
      </w:r>
      <w:r w:rsidRPr="00B210D3">
        <w:rPr>
          <w:rStyle w:val="afb"/>
          <w:rFonts w:hint="cs"/>
          <w:rtl/>
        </w:rPr>
        <w:t>[</w:t>
      </w:r>
      <w:r>
        <w:rPr>
          <w:rStyle w:val="afb"/>
          <w:rFonts w:hint="cs"/>
          <w:rtl/>
        </w:rPr>
        <w:t>ו</w:t>
      </w:r>
      <w:r w:rsidRPr="00B210D3">
        <w:rPr>
          <w:rStyle w:val="afb"/>
          <w:rFonts w:hint="cs"/>
          <w:rtl/>
        </w:rPr>
        <w:t xml:space="preserve">כדביאר </w:t>
      </w:r>
      <w:r w:rsidRPr="00B210D3">
        <w:rPr>
          <w:rStyle w:val="affa"/>
          <w:rFonts w:hint="cs"/>
          <w:rtl/>
        </w:rPr>
        <w:t>בחי' רבי נחום</w:t>
      </w:r>
      <w:r w:rsidRPr="00E97AAE">
        <w:rPr>
          <w:rFonts w:hint="cs"/>
          <w:rtl/>
        </w:rPr>
        <w:t xml:space="preserve"> </w:t>
      </w:r>
      <w:r w:rsidRPr="00B210D3">
        <w:rPr>
          <w:rStyle w:val="aff6"/>
          <w:rFonts w:hint="cs"/>
          <w:rtl/>
        </w:rPr>
        <w:t>(או' א' ד"ה אמנם, הובא בסימן א' אות פ"ג, או' כ"ה ד"ה ויש, או' כ"ח, הובא בסימן ה' אות פ"ז)</w:t>
      </w:r>
      <w:r w:rsidRPr="00B210D3">
        <w:rPr>
          <w:rStyle w:val="afb"/>
          <w:rFonts w:hint="cs"/>
          <w:rtl/>
        </w:rPr>
        <w:t>],</w:t>
      </w:r>
      <w:r>
        <w:rPr>
          <w:rFonts w:hint="cs"/>
          <w:rtl/>
        </w:rPr>
        <w:t xml:space="preserve"> בכדי להחשיב את המחזיק למוחזק בבית החיצון, סגי במה שלא שמענו שהמערער היה דר בבית הפנימי יחד עם המחזיק שבבית החיצון, אעפ"י דמה שלא שמענו לא חשיב כראיה שלא דר עמו, ואין אנו יודעים בודאי שלא היה כן, מ"מ סגי בסתמא כזו בכדי להחשיבו כמוחזק, כיון שחזקתו נראית כחזקה גמורה, וממילא הקרקע היא בחזקת המחזיק, ועל המערער להביא ראיה.</w:t>
      </w:r>
    </w:p>
    <w:p w:rsidR="0019070E" w:rsidRPr="006355C9" w:rsidRDefault="0019070E" w:rsidP="0019070E">
      <w:pPr>
        <w:pStyle w:val="a3"/>
        <w:rPr>
          <w:rtl/>
        </w:rPr>
      </w:pPr>
    </w:p>
    <w:p w:rsidR="0019070E" w:rsidRDefault="0019070E" w:rsidP="0019070E">
      <w:pPr>
        <w:pStyle w:val="a3"/>
        <w:rPr>
          <w:rtl/>
        </w:rPr>
      </w:pPr>
      <w:bookmarkStart w:id="7273" w:name="_Toc57544555"/>
      <w:bookmarkStart w:id="7274" w:name="_Toc58185070"/>
      <w:r>
        <w:rPr>
          <w:rFonts w:hint="cs"/>
          <w:rtl/>
        </w:rPr>
        <w:lastRenderedPageBreak/>
        <w:t>ביאור הגרנ"פ בקו' הרי"ף על הרשב"ם דאף שיש סתמא לחזקה מ"מ מהני טענת המערער</w:t>
      </w:r>
      <w:bookmarkEnd w:id="7273"/>
      <w:bookmarkEnd w:id="7274"/>
    </w:p>
    <w:p w:rsidR="0019070E" w:rsidRDefault="0019070E" w:rsidP="007E4E81">
      <w:pPr>
        <w:pStyle w:val="a0"/>
        <w:rPr>
          <w:rtl/>
        </w:rPr>
      </w:pPr>
      <w:bookmarkStart w:id="7275" w:name="_Ref57534569"/>
      <w:r>
        <w:rPr>
          <w:rFonts w:hint="cs"/>
          <w:rtl/>
        </w:rPr>
        <w:t xml:space="preserve">והביא </w:t>
      </w:r>
      <w:r w:rsidRPr="00820F5E">
        <w:rPr>
          <w:rStyle w:val="af9"/>
          <w:rFonts w:hint="cs"/>
          <w:rtl/>
        </w:rPr>
        <w:t>בחי' רבי נחום</w:t>
      </w:r>
      <w:r>
        <w:rPr>
          <w:rFonts w:hint="cs"/>
          <w:rtl/>
        </w:rPr>
        <w:t xml:space="preserve"> </w:t>
      </w:r>
      <w:r w:rsidRPr="0020608D">
        <w:rPr>
          <w:rStyle w:val="af7"/>
          <w:rFonts w:eastAsia="Guttman Hodes" w:hint="cs"/>
          <w:rtl/>
        </w:rPr>
        <w:t>(או' מ"ז ד"ה והנה ברי"ף)</w:t>
      </w:r>
      <w:r>
        <w:rPr>
          <w:rFonts w:hint="cs"/>
          <w:rtl/>
        </w:rPr>
        <w:t xml:space="preserve"> את דברי</w:t>
      </w:r>
      <w:r w:rsidRPr="00943B3A">
        <w:rPr>
          <w:rFonts w:hint="cs"/>
          <w:rtl/>
        </w:rPr>
        <w:t xml:space="preserve"> </w:t>
      </w:r>
      <w:r>
        <w:rPr>
          <w:rStyle w:val="af9"/>
          <w:rFonts w:hint="cs"/>
          <w:rtl/>
        </w:rPr>
        <w:t>הי"מ ב</w:t>
      </w:r>
      <w:r w:rsidRPr="00EC127D">
        <w:rPr>
          <w:rStyle w:val="af9"/>
          <w:rFonts w:hint="cs"/>
          <w:rtl/>
        </w:rPr>
        <w:t>רי"ף בפי' הא'</w:t>
      </w:r>
      <w:r>
        <w:rPr>
          <w:rFonts w:hint="cs"/>
          <w:rtl/>
        </w:rPr>
        <w:t xml:space="preserve"> </w:t>
      </w:r>
      <w:r w:rsidRPr="0020608D">
        <w:rPr>
          <w:rStyle w:val="af7"/>
          <w:rFonts w:eastAsia="Guttman Hodes" w:hint="cs"/>
          <w:rtl/>
        </w:rPr>
        <w:t xml:space="preserve">(עי' אות </w:t>
      </w:r>
      <w:r w:rsidRPr="0020608D">
        <w:rPr>
          <w:rStyle w:val="af7"/>
          <w:rFonts w:eastAsia="Guttman Hodes"/>
          <w:rtl/>
        </w:rPr>
        <w:fldChar w:fldCharType="begin"/>
      </w:r>
      <w:r w:rsidRPr="0020608D">
        <w:rPr>
          <w:rStyle w:val="af7"/>
          <w:rFonts w:eastAsia="Guttman Hodes"/>
          <w:rtl/>
        </w:rPr>
        <w:instrText xml:space="preserve"> </w:instrText>
      </w:r>
      <w:r w:rsidRPr="0020608D">
        <w:rPr>
          <w:rStyle w:val="af7"/>
          <w:rFonts w:eastAsia="Guttman Hodes" w:hint="cs"/>
        </w:rPr>
        <w:instrText>REF</w:instrText>
      </w:r>
      <w:r w:rsidRPr="0020608D">
        <w:rPr>
          <w:rStyle w:val="af7"/>
          <w:rFonts w:eastAsia="Guttman Hodes" w:hint="cs"/>
          <w:rtl/>
        </w:rPr>
        <w:instrText xml:space="preserve"> _</w:instrText>
      </w:r>
      <w:r w:rsidRPr="0020608D">
        <w:rPr>
          <w:rStyle w:val="af7"/>
          <w:rFonts w:eastAsia="Guttman Hodes" w:hint="cs"/>
        </w:rPr>
        <w:instrText>Ref57319519 \r \h</w:instrText>
      </w:r>
      <w:r w:rsidRPr="0020608D">
        <w:rPr>
          <w:rStyle w:val="af7"/>
          <w:rFonts w:eastAsia="Guttman Hodes"/>
          <w:rtl/>
        </w:rPr>
        <w:instrText xml:space="preserve"> </w:instrText>
      </w:r>
      <w:r w:rsidRPr="0020608D">
        <w:rPr>
          <w:rStyle w:val="af7"/>
          <w:rFonts w:eastAsia="Guttman Hodes"/>
          <w:rtl/>
        </w:rPr>
      </w:r>
      <w:r w:rsidRPr="0020608D">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20608D">
        <w:rPr>
          <w:rStyle w:val="af7"/>
          <w:rFonts w:eastAsia="Guttman Hodes"/>
          <w:rtl/>
        </w:rPr>
        <w:fldChar w:fldCharType="end"/>
      </w:r>
      <w:r w:rsidRPr="0020608D">
        <w:rPr>
          <w:rStyle w:val="af7"/>
          <w:rFonts w:eastAsia="Guttman Hodes" w:hint="cs"/>
          <w:rtl/>
        </w:rPr>
        <w:t xml:space="preserve"> </w:t>
      </w:r>
      <w:r>
        <w:rPr>
          <w:rFonts w:hint="cs"/>
          <w:rtl/>
        </w:rPr>
        <w:t xml:space="preserve">דכתבו דמוכח שאין עדים למרא קמא דאם היה עדים היה מודה רבא, כדאמר רבא לעיל </w:t>
      </w:r>
      <w:r w:rsidRPr="0020608D">
        <w:rPr>
          <w:rStyle w:val="af7"/>
          <w:rFonts w:eastAsia="Guttman Hodes" w:hint="cs"/>
          <w:rtl/>
        </w:rPr>
        <w:t>(כט.)</w:t>
      </w:r>
      <w:r>
        <w:rPr>
          <w:rFonts w:hint="cs"/>
          <w:rtl/>
        </w:rPr>
        <w:t xml:space="preserve"> דעל המחזיק להביא עדים שדרו בבית ג"ש בימים ובלילות, וביאר </w:t>
      </w:r>
      <w:r w:rsidRPr="006F515D">
        <w:rPr>
          <w:rStyle w:val="af9"/>
          <w:rFonts w:hint="cs"/>
          <w:rtl/>
        </w:rPr>
        <w:t>בחי' רבי נחום</w:t>
      </w:r>
      <w:r>
        <w:rPr>
          <w:rFonts w:hint="cs"/>
          <w:rtl/>
        </w:rPr>
        <w:t xml:space="preserve"> דכוונת </w:t>
      </w:r>
      <w:r>
        <w:rPr>
          <w:rStyle w:val="af9"/>
          <w:rFonts w:hint="cs"/>
          <w:rtl/>
        </w:rPr>
        <w:t>הי"מ ב</w:t>
      </w:r>
      <w:r w:rsidRPr="00EC127D">
        <w:rPr>
          <w:rStyle w:val="af9"/>
          <w:rFonts w:hint="cs"/>
          <w:rtl/>
        </w:rPr>
        <w:t>רי"ף בפי' הא'</w:t>
      </w:r>
      <w:r>
        <w:rPr>
          <w:rFonts w:hint="cs"/>
          <w:rtl/>
        </w:rPr>
        <w:t xml:space="preserve"> להקשות דהא אף בגמ' לעיל </w:t>
      </w:r>
      <w:r w:rsidRPr="0020608D">
        <w:rPr>
          <w:rStyle w:val="af7"/>
          <w:rFonts w:eastAsia="Guttman Hodes" w:hint="cs"/>
          <w:rtl/>
        </w:rPr>
        <w:t>(כט.)</w:t>
      </w:r>
      <w:r>
        <w:rPr>
          <w:rFonts w:hint="cs"/>
          <w:rtl/>
        </w:rPr>
        <w:t xml:space="preserve"> יש סתמא שהמחזיק דר בבית בלילות, ואפ"ה ס"ל לרבא דמהני טענת המערער, וא"כ אף בשכוני גוואי כשטוען המערער שיש ספק בחזקה </w:t>
      </w:r>
      <w:r w:rsidRPr="004E323A">
        <w:rPr>
          <w:rFonts w:hint="cs"/>
          <w:rtl/>
        </w:rPr>
        <w:t>אמאי אינו נאמן</w:t>
      </w:r>
      <w:bookmarkEnd w:id="7275"/>
      <w:r>
        <w:rPr>
          <w:rFonts w:hint="cs"/>
          <w:rtl/>
        </w:rPr>
        <w:t xml:space="preserve">, וכתב </w:t>
      </w:r>
      <w:r w:rsidRPr="00766CA1">
        <w:rPr>
          <w:rStyle w:val="af9"/>
          <w:rFonts w:hint="cs"/>
          <w:rtl/>
        </w:rPr>
        <w:t>בחי' רבי נחום</w:t>
      </w:r>
      <w:r w:rsidRPr="004E323A">
        <w:rPr>
          <w:rFonts w:hint="cs"/>
          <w:rtl/>
        </w:rPr>
        <w:t xml:space="preserve"> </w:t>
      </w:r>
      <w:r>
        <w:rPr>
          <w:rFonts w:hint="cs"/>
          <w:rtl/>
        </w:rPr>
        <w:t>ד</w:t>
      </w:r>
      <w:r w:rsidRPr="004E323A">
        <w:rPr>
          <w:rFonts w:hint="cs"/>
          <w:rtl/>
        </w:rPr>
        <w:t xml:space="preserve">א"כ קשה על </w:t>
      </w:r>
      <w:r w:rsidRPr="00766CA1">
        <w:rPr>
          <w:rStyle w:val="af9"/>
          <w:rFonts w:hint="cs"/>
          <w:rtl/>
        </w:rPr>
        <w:t xml:space="preserve">הרשב"ם </w:t>
      </w:r>
      <w:r w:rsidRPr="0020608D">
        <w:rPr>
          <w:rStyle w:val="af7"/>
          <w:rFonts w:eastAsia="Guttman Hodes" w:hint="cs"/>
          <w:rtl/>
        </w:rPr>
        <w:t xml:space="preserve">(עי' אות </w:t>
      </w:r>
      <w:r w:rsidRPr="0020608D">
        <w:rPr>
          <w:rStyle w:val="af7"/>
          <w:rFonts w:eastAsia="Guttman Hodes"/>
          <w:rtl/>
        </w:rPr>
        <w:fldChar w:fldCharType="begin"/>
      </w:r>
      <w:r w:rsidRPr="0020608D">
        <w:rPr>
          <w:rStyle w:val="af7"/>
          <w:rFonts w:eastAsia="Guttman Hodes"/>
          <w:rtl/>
        </w:rPr>
        <w:instrText xml:space="preserve"> </w:instrText>
      </w:r>
      <w:r w:rsidRPr="0020608D">
        <w:rPr>
          <w:rStyle w:val="af7"/>
          <w:rFonts w:eastAsia="Guttman Hodes" w:hint="cs"/>
        </w:rPr>
        <w:instrText>REF</w:instrText>
      </w:r>
      <w:r w:rsidRPr="0020608D">
        <w:rPr>
          <w:rStyle w:val="af7"/>
          <w:rFonts w:eastAsia="Guttman Hodes" w:hint="cs"/>
          <w:rtl/>
        </w:rPr>
        <w:instrText xml:space="preserve"> _</w:instrText>
      </w:r>
      <w:r w:rsidRPr="0020608D">
        <w:rPr>
          <w:rStyle w:val="af7"/>
          <w:rFonts w:eastAsia="Guttman Hodes" w:hint="cs"/>
        </w:rPr>
        <w:instrText>Ref57136011 \r \h</w:instrText>
      </w:r>
      <w:r w:rsidRPr="0020608D">
        <w:rPr>
          <w:rStyle w:val="af7"/>
          <w:rFonts w:eastAsia="Guttman Hodes"/>
          <w:rtl/>
        </w:rPr>
        <w:instrText xml:space="preserve"> </w:instrText>
      </w:r>
      <w:r w:rsidRPr="0020608D">
        <w:rPr>
          <w:rStyle w:val="af7"/>
          <w:rFonts w:eastAsia="Guttman Hodes"/>
          <w:rtl/>
        </w:rPr>
      </w:r>
      <w:r w:rsidRPr="0020608D">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20608D">
        <w:rPr>
          <w:rStyle w:val="af7"/>
          <w:rFonts w:eastAsia="Guttman Hodes"/>
          <w:rtl/>
        </w:rPr>
        <w:fldChar w:fldCharType="end"/>
      </w:r>
      <w:r w:rsidRPr="004E323A">
        <w:rPr>
          <w:rFonts w:hint="cs"/>
          <w:rtl/>
        </w:rPr>
        <w:t xml:space="preserve"> דס"ל שאם הייתה לנו סיבה להסתפק שמא המערער היה דר בבית</w:t>
      </w:r>
      <w:r>
        <w:rPr>
          <w:rFonts w:hint="cs"/>
          <w:rtl/>
        </w:rPr>
        <w:t xml:space="preserve"> הפנימי יחד עם המחזיק שבבית החיצון, היה מודה רבא שהמחזיק צריך לברר את טענת המערער, דהא אף לעיל יש סתמא לחזקה, ואפ"ה ס"ל לרבא דעל המחזיק להביא ראיה.</w:t>
      </w:r>
    </w:p>
    <w:p w:rsidR="0019070E" w:rsidRDefault="0019070E" w:rsidP="0019070E">
      <w:pPr>
        <w:pStyle w:val="a3"/>
        <w:rPr>
          <w:rtl/>
        </w:rPr>
      </w:pPr>
      <w:bookmarkStart w:id="7276" w:name="_Toc57544556"/>
      <w:bookmarkStart w:id="7277" w:name="_Toc58185071"/>
      <w:r>
        <w:rPr>
          <w:rFonts w:hint="cs"/>
          <w:rtl/>
        </w:rPr>
        <w:t>ביאור הגרנ"פ ברשב"ם דבסוגיין אין ספק בידיעת החזקה ולעיל יש ספק בחזקה עצמה</w:t>
      </w:r>
      <w:bookmarkEnd w:id="7276"/>
      <w:bookmarkEnd w:id="7277"/>
    </w:p>
    <w:p w:rsidR="0019070E" w:rsidRDefault="0019070E" w:rsidP="007E4E81">
      <w:pPr>
        <w:pStyle w:val="a0"/>
        <w:rPr>
          <w:rtl/>
        </w:rPr>
      </w:pPr>
      <w:r>
        <w:rPr>
          <w:rFonts w:hint="cs"/>
          <w:rtl/>
        </w:rPr>
        <w:t xml:space="preserve">וכתב </w:t>
      </w:r>
      <w:r w:rsidRPr="00766CA1">
        <w:rPr>
          <w:rStyle w:val="af9"/>
          <w:rFonts w:hint="cs"/>
          <w:rtl/>
        </w:rPr>
        <w:t>בחי' רבי נחום</w:t>
      </w:r>
      <w:r>
        <w:rPr>
          <w:rFonts w:hint="cs"/>
          <w:rtl/>
        </w:rPr>
        <w:t xml:space="preserve"> דס"ל </w:t>
      </w:r>
      <w:r w:rsidRPr="00766CA1">
        <w:rPr>
          <w:rStyle w:val="af9"/>
          <w:rFonts w:hint="cs"/>
          <w:rtl/>
        </w:rPr>
        <w:t>להרשב"ם</w:t>
      </w:r>
      <w:r>
        <w:rPr>
          <w:rFonts w:hint="cs"/>
          <w:rtl/>
        </w:rPr>
        <w:t xml:space="preserve"> דדוקא בשיכוני גוואי שאין לנו כל חסרון</w:t>
      </w:r>
      <w:r w:rsidRPr="00856654">
        <w:rPr>
          <w:rFonts w:hint="cs"/>
          <w:rtl/>
        </w:rPr>
        <w:t xml:space="preserve"> </w:t>
      </w:r>
      <w:r>
        <w:rPr>
          <w:rFonts w:hint="cs"/>
          <w:rtl/>
        </w:rPr>
        <w:t xml:space="preserve">בעצם הידיעה של החזקה, וכל טענת המערער היא שמא היה דבר חיצוני שמגרע את החזקה, </w:t>
      </w:r>
      <w:r w:rsidRPr="00766CA1">
        <w:rPr>
          <w:rStyle w:val="afb"/>
          <w:rFonts w:hint="cs"/>
          <w:rtl/>
        </w:rPr>
        <w:t xml:space="preserve">[וכדביאר </w:t>
      </w:r>
      <w:r w:rsidRPr="00766CA1">
        <w:rPr>
          <w:rStyle w:val="affa"/>
          <w:rFonts w:hint="cs"/>
          <w:rtl/>
        </w:rPr>
        <w:t>בחי' רבי נחום</w:t>
      </w:r>
      <w:r w:rsidRPr="00766CA1">
        <w:rPr>
          <w:rStyle w:val="afb"/>
          <w:rFonts w:hint="cs"/>
          <w:rtl/>
        </w:rPr>
        <w:t xml:space="preserve"> </w:t>
      </w:r>
      <w:r w:rsidRPr="00251201">
        <w:rPr>
          <w:rStyle w:val="aff6"/>
          <w:rFonts w:hint="cs"/>
          <w:rtl/>
        </w:rPr>
        <w:t xml:space="preserve">(עי' אות </w:t>
      </w:r>
      <w:r w:rsidRPr="00251201">
        <w:rPr>
          <w:rStyle w:val="aff6"/>
          <w:rtl/>
        </w:rPr>
        <w:fldChar w:fldCharType="begin"/>
      </w:r>
      <w:r w:rsidRPr="00251201">
        <w:rPr>
          <w:rStyle w:val="aff6"/>
          <w:rtl/>
        </w:rPr>
        <w:instrText xml:space="preserve"> </w:instrText>
      </w:r>
      <w:r w:rsidRPr="00251201">
        <w:rPr>
          <w:rStyle w:val="aff6"/>
          <w:rFonts w:hint="cs"/>
        </w:rPr>
        <w:instrText>REF</w:instrText>
      </w:r>
      <w:r w:rsidRPr="00251201">
        <w:rPr>
          <w:rStyle w:val="aff6"/>
          <w:rFonts w:hint="cs"/>
          <w:rtl/>
        </w:rPr>
        <w:instrText xml:space="preserve"> _</w:instrText>
      </w:r>
      <w:r w:rsidRPr="00251201">
        <w:rPr>
          <w:rStyle w:val="aff6"/>
          <w:rFonts w:hint="cs"/>
        </w:rPr>
        <w:instrText>Ref57136778 \r \h</w:instrText>
      </w:r>
      <w:r w:rsidRPr="00251201">
        <w:rPr>
          <w:rStyle w:val="aff6"/>
          <w:rtl/>
        </w:rPr>
        <w:instrText xml:space="preserve"> </w:instrText>
      </w:r>
      <w:r w:rsidRPr="00251201">
        <w:rPr>
          <w:rStyle w:val="aff6"/>
          <w:rtl/>
        </w:rPr>
      </w:r>
      <w:r w:rsidRPr="00251201">
        <w:rPr>
          <w:rStyle w:val="aff6"/>
          <w:rtl/>
        </w:rPr>
        <w:fldChar w:fldCharType="separate"/>
      </w:r>
      <w:r w:rsidR="00265073">
        <w:rPr>
          <w:rStyle w:val="aff6"/>
          <w:cs/>
        </w:rPr>
        <w:t>‎</w:t>
      </w:r>
      <w:r w:rsidR="00265073">
        <w:rPr>
          <w:rStyle w:val="aff6"/>
          <w:rtl/>
        </w:rPr>
        <w:t>קד)</w:t>
      </w:r>
      <w:r w:rsidRPr="00251201">
        <w:rPr>
          <w:rStyle w:val="aff6"/>
          <w:rtl/>
        </w:rPr>
        <w:fldChar w:fldCharType="end"/>
      </w:r>
      <w:r w:rsidRPr="00766CA1">
        <w:rPr>
          <w:rStyle w:val="afb"/>
          <w:rFonts w:hint="cs"/>
          <w:rtl/>
        </w:rPr>
        <w:t xml:space="preserve">], </w:t>
      </w:r>
      <w:r>
        <w:rPr>
          <w:rFonts w:hint="cs"/>
          <w:rtl/>
        </w:rPr>
        <w:t>לכן ס"ל לרבא דהמחזיק הוא כמוחזק, ועל המערער להביא ראיה, אבל בגמ' לעיל שטענת המערער שלא היה המחזיק דר בבית בלילות, הטענה היא שהמחזיק לא השלים את עצם החזקה, וא"כ יש לנו חסרון בידיעה של עצם החזקה, ובכה"ג מודה רבא דמהני טענת המערער לעשות ריעותא בחזקה, ועל המחזיק להוכיח שחזקתו היא חזקה.</w:t>
      </w:r>
    </w:p>
    <w:p w:rsidR="0019070E" w:rsidRDefault="0019070E" w:rsidP="0019070E">
      <w:pPr>
        <w:pStyle w:val="a3"/>
        <w:rPr>
          <w:rtl/>
        </w:rPr>
      </w:pPr>
      <w:bookmarkStart w:id="7278" w:name="_Toc57544557"/>
      <w:bookmarkStart w:id="7279" w:name="_Toc58185072"/>
      <w:r>
        <w:rPr>
          <w:rFonts w:hint="cs"/>
          <w:rtl/>
        </w:rPr>
        <w:t>הוכחת הגרנ"פ מהרמב"ם דבסוגיין ודאי מודה דל"מ טענת שמא כדס"ל דמהני בגמ' לעיל</w:t>
      </w:r>
      <w:bookmarkEnd w:id="7278"/>
      <w:bookmarkEnd w:id="7279"/>
    </w:p>
    <w:p w:rsidR="0019070E" w:rsidRPr="002A327C" w:rsidRDefault="0019070E" w:rsidP="007E4E81">
      <w:pPr>
        <w:pStyle w:val="a0"/>
        <w:rPr>
          <w:rtl/>
        </w:rPr>
      </w:pPr>
      <w:r>
        <w:rPr>
          <w:rFonts w:hint="cs"/>
          <w:rtl/>
        </w:rPr>
        <w:t xml:space="preserve">וכתב </w:t>
      </w:r>
      <w:r w:rsidRPr="00766CA1">
        <w:rPr>
          <w:rStyle w:val="af9"/>
          <w:rFonts w:hint="cs"/>
          <w:rtl/>
        </w:rPr>
        <w:t>בחי' רבי נחום</w:t>
      </w:r>
      <w:r>
        <w:rPr>
          <w:rFonts w:hint="cs"/>
          <w:rtl/>
        </w:rPr>
        <w:t xml:space="preserve"> </w:t>
      </w:r>
      <w:r w:rsidRPr="00766CA1">
        <w:rPr>
          <w:rStyle w:val="af7"/>
          <w:rFonts w:eastAsia="Guttman Hodes" w:hint="cs"/>
          <w:rtl/>
        </w:rPr>
        <w:t xml:space="preserve">(או' מ"ז ד"ה ולכ' הדברים) </w:t>
      </w:r>
      <w:r>
        <w:rPr>
          <w:rFonts w:hint="cs"/>
          <w:rtl/>
        </w:rPr>
        <w:t xml:space="preserve">דכן מוכח מדברי </w:t>
      </w:r>
      <w:r w:rsidRPr="00766CA1">
        <w:rPr>
          <w:rStyle w:val="af9"/>
          <w:rFonts w:hint="cs"/>
          <w:rtl/>
        </w:rPr>
        <w:t>הרמב"ם</w:t>
      </w:r>
      <w:r w:rsidRPr="00766CA1">
        <w:rPr>
          <w:rStyle w:val="af7"/>
          <w:rFonts w:eastAsia="Guttman Hodes" w:hint="cs"/>
          <w:rtl/>
        </w:rPr>
        <w:t xml:space="preserve"> (טו"נ פי"ב ה"ב) </w:t>
      </w:r>
      <w:r>
        <w:rPr>
          <w:rFonts w:hint="cs"/>
          <w:rtl/>
        </w:rPr>
        <w:t>דכתב דאף כשטוען המערער טענת שמא, דיתכן שהמחזיק לא היה דר בבית בלילות, ה"ז טענה, ואילו הכא בשיכוני גוואי פשיטא דאף ר"נ מודה דל"מ</w:t>
      </w:r>
      <w:r w:rsidR="00A77F33">
        <w:rPr>
          <w:rFonts w:hint="cs"/>
          <w:rtl/>
        </w:rPr>
        <w:t xml:space="preserve"> </w:t>
      </w:r>
      <w:r>
        <w:rPr>
          <w:rFonts w:hint="cs"/>
          <w:rtl/>
        </w:rPr>
        <w:t xml:space="preserve">טענת שמא, דלו יצוייר שהייתה שייכת טענת שמא שהיה המערער בשכוני גוואי, ודאי דאי"ז טענה על החזקה, ומוכח דבסוגיין הטענה אינה על עצם החזקה, ולכן לא מהני טענת שמא, משא"כ בגמ' לעיל דהטענה שלא דר בה בלילות, היא טענה על עצם החזקה, ולכן ס"ל </w:t>
      </w:r>
      <w:r w:rsidRPr="00766CA1">
        <w:rPr>
          <w:rStyle w:val="af9"/>
          <w:rFonts w:hint="cs"/>
          <w:rtl/>
        </w:rPr>
        <w:t>להרמב"ם</w:t>
      </w:r>
      <w:r>
        <w:rPr>
          <w:rFonts w:hint="cs"/>
          <w:rtl/>
        </w:rPr>
        <w:t xml:space="preserve"> דמהני טענת שמא.</w:t>
      </w:r>
    </w:p>
    <w:p w:rsidR="0019070E" w:rsidRDefault="0019070E" w:rsidP="0019070E">
      <w:pPr>
        <w:pStyle w:val="1"/>
        <w:rPr>
          <w:rtl/>
        </w:rPr>
      </w:pPr>
      <w:bookmarkStart w:id="7280" w:name="_Toc57234567"/>
      <w:bookmarkStart w:id="7281" w:name="_Toc57236155"/>
      <w:bookmarkStart w:id="7282" w:name="_Toc57310484"/>
      <w:bookmarkStart w:id="7283" w:name="_Toc57323044"/>
      <w:bookmarkStart w:id="7284" w:name="_Toc57323153"/>
      <w:bookmarkStart w:id="7285" w:name="_Toc57370404"/>
      <w:bookmarkStart w:id="7286" w:name="_Toc57491571"/>
      <w:bookmarkStart w:id="7287" w:name="_Toc57495388"/>
      <w:bookmarkStart w:id="7288" w:name="_Toc57544558"/>
      <w:bookmarkStart w:id="7289" w:name="_Toc58185073"/>
      <w:r>
        <w:rPr>
          <w:rFonts w:hint="cs"/>
          <w:rtl/>
        </w:rPr>
        <w:t>ביאור הגרנ"פ בתוס'</w:t>
      </w:r>
      <w:bookmarkEnd w:id="7280"/>
      <w:bookmarkEnd w:id="7281"/>
      <w:bookmarkEnd w:id="7282"/>
      <w:bookmarkEnd w:id="7283"/>
      <w:bookmarkEnd w:id="7284"/>
      <w:bookmarkEnd w:id="7285"/>
      <w:bookmarkEnd w:id="7286"/>
      <w:bookmarkEnd w:id="7287"/>
      <w:r>
        <w:rPr>
          <w:rFonts w:hint="cs"/>
          <w:rtl/>
        </w:rPr>
        <w:t xml:space="preserve"> דהעברת דרך כמחאה כשיש סתמא לפנינו</w:t>
      </w:r>
      <w:bookmarkEnd w:id="7288"/>
      <w:bookmarkEnd w:id="7289"/>
    </w:p>
    <w:p w:rsidR="0019070E" w:rsidRPr="00B32067" w:rsidRDefault="0019070E" w:rsidP="0019070E">
      <w:pPr>
        <w:pStyle w:val="a3"/>
        <w:rPr>
          <w:rtl/>
        </w:rPr>
      </w:pPr>
      <w:bookmarkStart w:id="7290" w:name="_Toc57544559"/>
      <w:bookmarkStart w:id="7291" w:name="_Toc58185074"/>
      <w:r>
        <w:rPr>
          <w:rFonts w:hint="cs"/>
          <w:rtl/>
        </w:rPr>
        <w:t>ביאור הגרנ"פ בתוס' דפליג על הרשב"ם ובמקום שאין ידיעה מטענת המחזיק לכו"ע הוי חזקה</w:t>
      </w:r>
      <w:bookmarkEnd w:id="7290"/>
      <w:bookmarkEnd w:id="7291"/>
    </w:p>
    <w:p w:rsidR="0019070E" w:rsidRPr="00A47084" w:rsidRDefault="0019070E" w:rsidP="007E4E81">
      <w:pPr>
        <w:pStyle w:val="a0"/>
        <w:rPr>
          <w:rtl/>
        </w:rPr>
      </w:pPr>
      <w:bookmarkStart w:id="7292" w:name="_Ref57136115"/>
      <w:r>
        <w:rPr>
          <w:rFonts w:hint="cs"/>
          <w:rtl/>
        </w:rPr>
        <w:t xml:space="preserve">במ"ש </w:t>
      </w:r>
      <w:r w:rsidRPr="002E7DDD">
        <w:rPr>
          <w:rStyle w:val="af9"/>
          <w:rFonts w:hint="cs"/>
          <w:rtl/>
        </w:rPr>
        <w:t>התוס'</w:t>
      </w:r>
      <w:r>
        <w:rPr>
          <w:rFonts w:hint="cs"/>
          <w:rtl/>
        </w:rPr>
        <w:t xml:space="preserve"> </w:t>
      </w:r>
      <w:r w:rsidRPr="005A5927">
        <w:rPr>
          <w:rStyle w:val="af7"/>
          <w:rFonts w:eastAsia="Guttman Hodes" w:hint="cs"/>
          <w:rtl/>
        </w:rPr>
        <w:t xml:space="preserve">(עי' אות </w:t>
      </w:r>
      <w:r w:rsidRPr="005A5927">
        <w:rPr>
          <w:rStyle w:val="af7"/>
          <w:rFonts w:eastAsia="Guttman Hodes"/>
          <w:rtl/>
        </w:rPr>
        <w:fldChar w:fldCharType="begin"/>
      </w:r>
      <w:r w:rsidRPr="005A5927">
        <w:rPr>
          <w:rStyle w:val="af7"/>
          <w:rFonts w:eastAsia="Guttman Hodes"/>
          <w:rtl/>
        </w:rPr>
        <w:instrText xml:space="preserve"> </w:instrText>
      </w:r>
      <w:r w:rsidRPr="005A5927">
        <w:rPr>
          <w:rStyle w:val="af7"/>
          <w:rFonts w:eastAsia="Guttman Hodes" w:hint="cs"/>
        </w:rPr>
        <w:instrText>REF</w:instrText>
      </w:r>
      <w:r w:rsidRPr="005A5927">
        <w:rPr>
          <w:rStyle w:val="af7"/>
          <w:rFonts w:eastAsia="Guttman Hodes" w:hint="cs"/>
          <w:rtl/>
        </w:rPr>
        <w:instrText xml:space="preserve"> _</w:instrText>
      </w:r>
      <w:r w:rsidRPr="005A5927">
        <w:rPr>
          <w:rStyle w:val="af7"/>
          <w:rFonts w:eastAsia="Guttman Hodes" w:hint="cs"/>
        </w:rPr>
        <w:instrText>Ref57108495 \r \h</w:instrText>
      </w:r>
      <w:r w:rsidRPr="005A5927">
        <w:rPr>
          <w:rStyle w:val="af7"/>
          <w:rFonts w:eastAsia="Guttman Hodes"/>
          <w:rtl/>
        </w:rPr>
        <w:instrText xml:space="preserve"> </w:instrText>
      </w:r>
      <w:r w:rsidRPr="005A5927">
        <w:rPr>
          <w:rStyle w:val="af7"/>
          <w:rFonts w:eastAsia="Guttman Hodes"/>
          <w:rtl/>
        </w:rPr>
      </w:r>
      <w:r w:rsidRPr="005A5927">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5A5927">
        <w:rPr>
          <w:rStyle w:val="af7"/>
          <w:rFonts w:eastAsia="Guttman Hodes"/>
          <w:rtl/>
        </w:rPr>
        <w:fldChar w:fldCharType="end"/>
      </w:r>
      <w:r>
        <w:rPr>
          <w:rFonts w:hint="cs"/>
          <w:rtl/>
        </w:rPr>
        <w:t xml:space="preserve"> דאם לא היה למערער עדים שהיה מתגורר בחדרים הפנימים, לא היה אומר ר"נ שהמחזיק צריך לברר את חזקתו, כתב בחי' </w:t>
      </w:r>
      <w:r w:rsidRPr="005A5927">
        <w:rPr>
          <w:rStyle w:val="af9"/>
          <w:rFonts w:hint="cs"/>
          <w:rtl/>
        </w:rPr>
        <w:t>רבי נחום</w:t>
      </w:r>
      <w:r>
        <w:rPr>
          <w:rFonts w:hint="cs"/>
          <w:rtl/>
        </w:rPr>
        <w:t xml:space="preserve"> </w:t>
      </w:r>
      <w:r w:rsidRPr="005A5927">
        <w:rPr>
          <w:rStyle w:val="af7"/>
          <w:rFonts w:eastAsia="Guttman Hodes" w:hint="cs"/>
          <w:rtl/>
        </w:rPr>
        <w:t>(או' מ"ח ד"ה תד"ה)</w:t>
      </w:r>
      <w:r>
        <w:rPr>
          <w:rFonts w:hint="cs"/>
          <w:rtl/>
        </w:rPr>
        <w:t xml:space="preserve"> דמבואר דס"ל </w:t>
      </w:r>
      <w:r w:rsidRPr="005A5927">
        <w:rPr>
          <w:rStyle w:val="af9"/>
          <w:rFonts w:hint="cs"/>
          <w:rtl/>
        </w:rPr>
        <w:t>להתוס'</w:t>
      </w:r>
      <w:r>
        <w:rPr>
          <w:rFonts w:hint="cs"/>
          <w:rtl/>
        </w:rPr>
        <w:t xml:space="preserve"> דבאופן שאין אנו יודעים כלל שהמערער היה דר בבית הפנימי לכו"ע אין לנו כל סיבה להסתפק בחזקת המחזיק, ועל המערער להביא </w:t>
      </w:r>
      <w:r w:rsidRPr="00A47084">
        <w:rPr>
          <w:rFonts w:hint="cs"/>
          <w:rtl/>
        </w:rPr>
        <w:t>ראיה</w:t>
      </w:r>
      <w:r>
        <w:rPr>
          <w:rFonts w:hint="cs"/>
          <w:rtl/>
        </w:rPr>
        <w:t xml:space="preserve">, וכתב </w:t>
      </w:r>
      <w:r w:rsidRPr="005A5927">
        <w:rPr>
          <w:rStyle w:val="af9"/>
          <w:rFonts w:hint="cs"/>
          <w:rtl/>
        </w:rPr>
        <w:t>בחי' רבי נחום</w:t>
      </w:r>
      <w:r>
        <w:rPr>
          <w:rFonts w:hint="cs"/>
          <w:rtl/>
        </w:rPr>
        <w:t xml:space="preserve"> דהוא ד</w:t>
      </w:r>
      <w:r w:rsidRPr="00A47084">
        <w:rPr>
          <w:rFonts w:hint="cs"/>
          <w:rtl/>
        </w:rPr>
        <w:t xml:space="preserve">לא </w:t>
      </w:r>
      <w:r w:rsidRPr="005A5927">
        <w:rPr>
          <w:rStyle w:val="af9"/>
          <w:rFonts w:hint="cs"/>
          <w:rtl/>
        </w:rPr>
        <w:t>כהרשב"ם</w:t>
      </w:r>
      <w:r w:rsidRPr="00A47084">
        <w:rPr>
          <w:rFonts w:hint="cs"/>
          <w:rtl/>
        </w:rPr>
        <w:t xml:space="preserve"> </w:t>
      </w:r>
      <w:r w:rsidRPr="006C4066">
        <w:rPr>
          <w:rStyle w:val="af7"/>
          <w:rFonts w:eastAsia="Guttman Hodes" w:hint="cs"/>
          <w:rtl/>
        </w:rPr>
        <w:t xml:space="preserve">(עי' אות </w:t>
      </w:r>
      <w:r w:rsidRPr="006C4066">
        <w:rPr>
          <w:rStyle w:val="af7"/>
          <w:rFonts w:eastAsia="Guttman Hodes"/>
          <w:rtl/>
        </w:rPr>
        <w:fldChar w:fldCharType="begin"/>
      </w:r>
      <w:r w:rsidRPr="006C4066">
        <w:rPr>
          <w:rStyle w:val="af7"/>
          <w:rFonts w:eastAsia="Guttman Hodes"/>
          <w:rtl/>
        </w:rPr>
        <w:instrText xml:space="preserve"> </w:instrText>
      </w:r>
      <w:r w:rsidRPr="006C4066">
        <w:rPr>
          <w:rStyle w:val="af7"/>
          <w:rFonts w:eastAsia="Guttman Hodes" w:hint="cs"/>
        </w:rPr>
        <w:instrText>REF</w:instrText>
      </w:r>
      <w:r w:rsidRPr="006C4066">
        <w:rPr>
          <w:rStyle w:val="af7"/>
          <w:rFonts w:eastAsia="Guttman Hodes" w:hint="cs"/>
          <w:rtl/>
        </w:rPr>
        <w:instrText xml:space="preserve"> _</w:instrText>
      </w:r>
      <w:r w:rsidRPr="006C4066">
        <w:rPr>
          <w:rStyle w:val="af7"/>
          <w:rFonts w:eastAsia="Guttman Hodes" w:hint="cs"/>
        </w:rPr>
        <w:instrText>Ref57136011 \r \h</w:instrText>
      </w:r>
      <w:r w:rsidRPr="006C4066">
        <w:rPr>
          <w:rStyle w:val="af7"/>
          <w:rFonts w:eastAsia="Guttman Hodes"/>
          <w:rtl/>
        </w:rPr>
        <w:instrText xml:space="preserve"> </w:instrText>
      </w:r>
      <w:r w:rsidRPr="006C4066">
        <w:rPr>
          <w:rStyle w:val="af7"/>
          <w:rFonts w:eastAsia="Guttman Hodes"/>
          <w:rtl/>
        </w:rPr>
      </w:r>
      <w:r w:rsidRPr="006C4066">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6C4066">
        <w:rPr>
          <w:rStyle w:val="af7"/>
          <w:rFonts w:eastAsia="Guttman Hodes"/>
          <w:rtl/>
        </w:rPr>
        <w:fldChar w:fldCharType="end"/>
      </w:r>
      <w:r w:rsidRPr="006C4066">
        <w:rPr>
          <w:rStyle w:val="af7"/>
          <w:rFonts w:eastAsia="Guttman Hodes" w:hint="cs"/>
          <w:rtl/>
        </w:rPr>
        <w:t xml:space="preserve"> </w:t>
      </w:r>
      <w:r>
        <w:rPr>
          <w:rFonts w:hint="cs"/>
          <w:rtl/>
        </w:rPr>
        <w:t xml:space="preserve">דס"ל שאם הייתה לנו סיבה להסתפק בזה, היה מודה רבא שהמחזיק צריך לברר, וכ"כ </w:t>
      </w:r>
      <w:r w:rsidRPr="005A5927">
        <w:rPr>
          <w:rStyle w:val="af9"/>
          <w:rFonts w:hint="cs"/>
          <w:rtl/>
        </w:rPr>
        <w:t>בשיעורי רבי שמואל</w:t>
      </w:r>
      <w:r>
        <w:rPr>
          <w:rFonts w:hint="cs"/>
          <w:rtl/>
        </w:rPr>
        <w:t xml:space="preserve"> </w:t>
      </w:r>
      <w:r>
        <w:rPr>
          <w:rStyle w:val="af7"/>
          <w:rFonts w:eastAsia="Guttman Hodes" w:hint="cs"/>
          <w:rtl/>
        </w:rPr>
        <w:t xml:space="preserve">(עי' </w:t>
      </w:r>
      <w:r w:rsidRPr="00346EFC">
        <w:rPr>
          <w:rStyle w:val="af7"/>
          <w:rFonts w:eastAsia="Guttman Hodes" w:hint="cs"/>
          <w:rtl/>
        </w:rPr>
        <w:t xml:space="preserve">אות </w:t>
      </w:r>
      <w:r w:rsidRPr="00346EFC">
        <w:rPr>
          <w:rStyle w:val="af7"/>
          <w:rFonts w:eastAsia="Guttman Hodes"/>
          <w:rtl/>
        </w:rPr>
        <w:fldChar w:fldCharType="begin"/>
      </w:r>
      <w:r w:rsidRPr="00346EFC">
        <w:rPr>
          <w:rStyle w:val="af7"/>
          <w:rFonts w:eastAsia="Guttman Hodes"/>
          <w:rtl/>
        </w:rPr>
        <w:instrText xml:space="preserve"> </w:instrText>
      </w:r>
      <w:r w:rsidRPr="00346EFC">
        <w:rPr>
          <w:rStyle w:val="af7"/>
          <w:rFonts w:eastAsia="Guttman Hodes" w:hint="cs"/>
        </w:rPr>
        <w:instrText>REF</w:instrText>
      </w:r>
      <w:r w:rsidRPr="00346EFC">
        <w:rPr>
          <w:rStyle w:val="af7"/>
          <w:rFonts w:eastAsia="Guttman Hodes" w:hint="cs"/>
          <w:rtl/>
        </w:rPr>
        <w:instrText xml:space="preserve"> _</w:instrText>
      </w:r>
      <w:r w:rsidRPr="00346EFC">
        <w:rPr>
          <w:rStyle w:val="af7"/>
          <w:rFonts w:eastAsia="Guttman Hodes" w:hint="cs"/>
        </w:rPr>
        <w:instrText>Ref57535755 \r \h</w:instrText>
      </w:r>
      <w:r w:rsidRPr="00346EFC">
        <w:rPr>
          <w:rStyle w:val="af7"/>
          <w:rFonts w:eastAsia="Guttman Hodes"/>
          <w:rtl/>
        </w:rPr>
        <w:instrText xml:space="preserve"> </w:instrText>
      </w:r>
      <w:r w:rsidRPr="00346EFC">
        <w:rPr>
          <w:rStyle w:val="af7"/>
          <w:rFonts w:eastAsia="Guttman Hodes"/>
          <w:rtl/>
        </w:rPr>
      </w:r>
      <w:r w:rsidRPr="00346EFC">
        <w:rPr>
          <w:rStyle w:val="af7"/>
          <w:rFonts w:eastAsia="Guttman Hodes"/>
          <w:rtl/>
        </w:rPr>
        <w:fldChar w:fldCharType="separate"/>
      </w:r>
      <w:r w:rsidR="00265073">
        <w:rPr>
          <w:rStyle w:val="af7"/>
          <w:rFonts w:eastAsia="Guttman Hodes"/>
          <w:cs/>
        </w:rPr>
        <w:t>‎</w:t>
      </w:r>
      <w:r w:rsidR="00265073">
        <w:rPr>
          <w:rStyle w:val="af7"/>
          <w:rFonts w:eastAsia="Guttman Hodes"/>
          <w:rtl/>
        </w:rPr>
        <w:t>קכא)</w:t>
      </w:r>
      <w:r w:rsidRPr="00346EFC">
        <w:rPr>
          <w:rStyle w:val="af7"/>
          <w:rFonts w:eastAsia="Guttman Hodes"/>
          <w:rtl/>
        </w:rPr>
        <w:fldChar w:fldCharType="end"/>
      </w:r>
      <w:r w:rsidRPr="00A47084">
        <w:rPr>
          <w:rFonts w:hint="cs"/>
          <w:rtl/>
        </w:rPr>
        <w:t>.</w:t>
      </w:r>
      <w:bookmarkEnd w:id="7292"/>
    </w:p>
    <w:p w:rsidR="0019070E" w:rsidRDefault="0019070E" w:rsidP="0019070E">
      <w:pPr>
        <w:pStyle w:val="a3"/>
        <w:rPr>
          <w:rtl/>
        </w:rPr>
      </w:pPr>
      <w:bookmarkStart w:id="7293" w:name="_Toc57544560"/>
      <w:bookmarkStart w:id="7294" w:name="_Toc58185075"/>
      <w:r>
        <w:rPr>
          <w:rFonts w:hint="cs"/>
          <w:rtl/>
        </w:rPr>
        <w:t>ביאור הגרנ"פ בתוס' דהעברת דרך אינה חסרון בחזקה אלא כמחאה וצריך ספק גמור לפנינו</w:t>
      </w:r>
      <w:bookmarkEnd w:id="7293"/>
      <w:bookmarkEnd w:id="7294"/>
    </w:p>
    <w:p w:rsidR="0019070E" w:rsidRDefault="0019070E" w:rsidP="007E4E81">
      <w:pPr>
        <w:pStyle w:val="a0"/>
        <w:rPr>
          <w:rtl/>
        </w:rPr>
      </w:pPr>
      <w:bookmarkStart w:id="7295" w:name="_Ref57136824"/>
      <w:r>
        <w:rPr>
          <w:rFonts w:hint="cs"/>
          <w:rtl/>
        </w:rPr>
        <w:t xml:space="preserve">וביאר </w:t>
      </w:r>
      <w:r w:rsidRPr="005305C4">
        <w:rPr>
          <w:rStyle w:val="af9"/>
          <w:rFonts w:hint="cs"/>
          <w:rtl/>
        </w:rPr>
        <w:t>בחי' רבי נחום</w:t>
      </w:r>
      <w:r>
        <w:rPr>
          <w:rFonts w:hint="cs"/>
          <w:rtl/>
        </w:rPr>
        <w:t xml:space="preserve"> דס"ל ל</w:t>
      </w:r>
      <w:r w:rsidRPr="005305C4">
        <w:rPr>
          <w:rStyle w:val="af9"/>
          <w:rFonts w:hint="cs"/>
          <w:rtl/>
        </w:rPr>
        <w:t>התוס'</w:t>
      </w:r>
      <w:r w:rsidRPr="001E02C1">
        <w:rPr>
          <w:rStyle w:val="af9"/>
          <w:rFonts w:hint="cs"/>
          <w:rtl/>
        </w:rPr>
        <w:t xml:space="preserve"> </w:t>
      </w:r>
      <w:r>
        <w:rPr>
          <w:rFonts w:hint="cs"/>
          <w:rtl/>
        </w:rPr>
        <w:t xml:space="preserve">דהעברת דרך אינה חסרון בעצם החזקה, אלא היא חשיבא כמחאה, </w:t>
      </w:r>
      <w:r w:rsidRPr="005305C4">
        <w:rPr>
          <w:rStyle w:val="afb"/>
          <w:rFonts w:hint="cs"/>
          <w:rtl/>
        </w:rPr>
        <w:t>[וכדכתב</w:t>
      </w:r>
      <w:r w:rsidRPr="001E02C1">
        <w:rPr>
          <w:rFonts w:hint="cs"/>
          <w:rtl/>
        </w:rPr>
        <w:t xml:space="preserve"> </w:t>
      </w:r>
      <w:r w:rsidRPr="001E02C1">
        <w:rPr>
          <w:rStyle w:val="affa"/>
          <w:rFonts w:hint="cs"/>
          <w:rtl/>
        </w:rPr>
        <w:t>בחי' רבי נחום</w:t>
      </w:r>
      <w:r w:rsidRPr="001E02C1">
        <w:rPr>
          <w:rFonts w:hint="cs"/>
          <w:rtl/>
        </w:rPr>
        <w:t xml:space="preserve"> </w:t>
      </w:r>
      <w:r w:rsidRPr="005305C4">
        <w:rPr>
          <w:rStyle w:val="aff6"/>
          <w:rFonts w:hint="cs"/>
          <w:rtl/>
        </w:rPr>
        <w:t xml:space="preserve">(עי' אות </w:t>
      </w:r>
      <w:r w:rsidRPr="005305C4">
        <w:rPr>
          <w:rStyle w:val="aff6"/>
          <w:rtl/>
        </w:rPr>
        <w:fldChar w:fldCharType="begin"/>
      </w:r>
      <w:r w:rsidRPr="005305C4">
        <w:rPr>
          <w:rStyle w:val="aff6"/>
          <w:rtl/>
        </w:rPr>
        <w:instrText xml:space="preserve"> </w:instrText>
      </w:r>
      <w:r w:rsidRPr="005305C4">
        <w:rPr>
          <w:rStyle w:val="aff6"/>
          <w:rFonts w:hint="cs"/>
        </w:rPr>
        <w:instrText>REF</w:instrText>
      </w:r>
      <w:r w:rsidRPr="005305C4">
        <w:rPr>
          <w:rStyle w:val="aff6"/>
          <w:rFonts w:hint="cs"/>
          <w:rtl/>
        </w:rPr>
        <w:instrText xml:space="preserve"> _</w:instrText>
      </w:r>
      <w:r w:rsidRPr="005305C4">
        <w:rPr>
          <w:rStyle w:val="aff6"/>
          <w:rFonts w:hint="cs"/>
        </w:rPr>
        <w:instrText>Ref57136778 \r \h</w:instrText>
      </w:r>
      <w:r w:rsidRPr="005305C4">
        <w:rPr>
          <w:rStyle w:val="aff6"/>
          <w:rtl/>
        </w:rPr>
        <w:instrText xml:space="preserve"> </w:instrText>
      </w:r>
      <w:r w:rsidRPr="005305C4">
        <w:rPr>
          <w:rStyle w:val="aff6"/>
          <w:rtl/>
        </w:rPr>
      </w:r>
      <w:r w:rsidRPr="005305C4">
        <w:rPr>
          <w:rStyle w:val="aff6"/>
          <w:rtl/>
        </w:rPr>
        <w:fldChar w:fldCharType="separate"/>
      </w:r>
      <w:r w:rsidR="00265073">
        <w:rPr>
          <w:rStyle w:val="aff6"/>
          <w:cs/>
        </w:rPr>
        <w:t>‎</w:t>
      </w:r>
      <w:r w:rsidR="00265073">
        <w:rPr>
          <w:rStyle w:val="aff6"/>
          <w:rtl/>
        </w:rPr>
        <w:t>קד)</w:t>
      </w:r>
      <w:r w:rsidRPr="005305C4">
        <w:rPr>
          <w:rStyle w:val="aff6"/>
          <w:rtl/>
        </w:rPr>
        <w:fldChar w:fldCharType="end"/>
      </w:r>
      <w:r w:rsidRPr="005305C4">
        <w:rPr>
          <w:rStyle w:val="aff6"/>
          <w:rFonts w:hint="cs"/>
          <w:rtl/>
        </w:rPr>
        <w:t xml:space="preserve"> </w:t>
      </w:r>
      <w:r w:rsidRPr="005305C4">
        <w:rPr>
          <w:rStyle w:val="afb"/>
          <w:rFonts w:hint="cs"/>
          <w:rtl/>
        </w:rPr>
        <w:t>דכן משמע מדברי</w:t>
      </w:r>
      <w:r w:rsidRPr="001E02C1">
        <w:rPr>
          <w:rFonts w:hint="cs"/>
          <w:rtl/>
        </w:rPr>
        <w:t xml:space="preserve"> </w:t>
      </w:r>
      <w:r w:rsidRPr="001E02C1">
        <w:rPr>
          <w:rStyle w:val="affa"/>
          <w:rFonts w:hint="cs"/>
          <w:rtl/>
        </w:rPr>
        <w:t>הרשב"ם</w:t>
      </w:r>
      <w:r w:rsidRPr="001E02C1">
        <w:rPr>
          <w:rFonts w:hint="cs"/>
          <w:rtl/>
        </w:rPr>
        <w:t xml:space="preserve"> </w:t>
      </w:r>
      <w:r w:rsidRPr="001E02C1">
        <w:rPr>
          <w:rStyle w:val="aff6"/>
          <w:rFonts w:hint="cs"/>
          <w:rtl/>
        </w:rPr>
        <w:t xml:space="preserve">(עי' אות </w:t>
      </w:r>
      <w:r w:rsidRPr="001E02C1">
        <w:rPr>
          <w:rStyle w:val="aff6"/>
          <w:rtl/>
        </w:rPr>
        <w:fldChar w:fldCharType="begin"/>
      </w:r>
      <w:r w:rsidRPr="001E02C1">
        <w:rPr>
          <w:rStyle w:val="aff6"/>
          <w:rtl/>
        </w:rPr>
        <w:instrText xml:space="preserve"> </w:instrText>
      </w:r>
      <w:r w:rsidRPr="001E02C1">
        <w:rPr>
          <w:rStyle w:val="aff6"/>
          <w:rFonts w:hint="cs"/>
        </w:rPr>
        <w:instrText>REF</w:instrText>
      </w:r>
      <w:r w:rsidRPr="001E02C1">
        <w:rPr>
          <w:rStyle w:val="aff6"/>
          <w:rFonts w:hint="cs"/>
          <w:rtl/>
        </w:rPr>
        <w:instrText xml:space="preserve"> _</w:instrText>
      </w:r>
      <w:r w:rsidRPr="001E02C1">
        <w:rPr>
          <w:rStyle w:val="aff6"/>
          <w:rFonts w:hint="cs"/>
        </w:rPr>
        <w:instrText>Ref56936382 \r \h</w:instrText>
      </w:r>
      <w:r w:rsidRPr="001E02C1">
        <w:rPr>
          <w:rStyle w:val="aff6"/>
          <w:rtl/>
        </w:rPr>
        <w:instrText xml:space="preserve"> </w:instrText>
      </w:r>
      <w:r w:rsidRPr="001E02C1">
        <w:rPr>
          <w:rStyle w:val="aff6"/>
          <w:rtl/>
        </w:rPr>
      </w:r>
      <w:r w:rsidRPr="001E02C1">
        <w:rPr>
          <w:rStyle w:val="aff6"/>
          <w:rtl/>
        </w:rPr>
        <w:fldChar w:fldCharType="separate"/>
      </w:r>
      <w:r w:rsidR="00265073">
        <w:rPr>
          <w:rStyle w:val="aff6"/>
          <w:cs/>
        </w:rPr>
        <w:t>‎</w:t>
      </w:r>
      <w:r w:rsidR="00265073">
        <w:rPr>
          <w:rStyle w:val="aff6"/>
          <w:rtl/>
        </w:rPr>
        <w:t>א)</w:t>
      </w:r>
      <w:r w:rsidRPr="001E02C1">
        <w:rPr>
          <w:rStyle w:val="aff6"/>
          <w:rtl/>
        </w:rPr>
        <w:fldChar w:fldCharType="end"/>
      </w:r>
      <w:r w:rsidRPr="001E02C1">
        <w:rPr>
          <w:rFonts w:hint="cs"/>
          <w:rtl/>
        </w:rPr>
        <w:t xml:space="preserve"> </w:t>
      </w:r>
      <w:r w:rsidRPr="001E02C1">
        <w:rPr>
          <w:rStyle w:val="affa"/>
          <w:rFonts w:hint="cs"/>
          <w:rtl/>
        </w:rPr>
        <w:t>והריטב"א</w:t>
      </w:r>
      <w:r w:rsidRPr="001E02C1">
        <w:rPr>
          <w:rFonts w:hint="cs"/>
          <w:rtl/>
        </w:rPr>
        <w:t xml:space="preserve"> </w:t>
      </w:r>
      <w:r w:rsidRPr="001E02C1">
        <w:rPr>
          <w:rStyle w:val="aff6"/>
          <w:rFonts w:hint="cs"/>
          <w:rtl/>
        </w:rPr>
        <w:t xml:space="preserve">(עי' אות </w:t>
      </w:r>
      <w:r w:rsidRPr="001E02C1">
        <w:rPr>
          <w:rStyle w:val="aff6"/>
          <w:rtl/>
        </w:rPr>
        <w:fldChar w:fldCharType="begin"/>
      </w:r>
      <w:r w:rsidRPr="001E02C1">
        <w:rPr>
          <w:rStyle w:val="aff6"/>
          <w:rtl/>
        </w:rPr>
        <w:instrText xml:space="preserve"> </w:instrText>
      </w:r>
      <w:r w:rsidRPr="001E02C1">
        <w:rPr>
          <w:rStyle w:val="aff6"/>
          <w:rFonts w:hint="cs"/>
        </w:rPr>
        <w:instrText>REF</w:instrText>
      </w:r>
      <w:r w:rsidRPr="001E02C1">
        <w:rPr>
          <w:rStyle w:val="aff6"/>
          <w:rFonts w:hint="cs"/>
          <w:rtl/>
        </w:rPr>
        <w:instrText xml:space="preserve"> _</w:instrText>
      </w:r>
      <w:r w:rsidRPr="001E02C1">
        <w:rPr>
          <w:rStyle w:val="aff6"/>
          <w:rFonts w:hint="cs"/>
        </w:rPr>
        <w:instrText>Ref57109909 \r \h</w:instrText>
      </w:r>
      <w:r w:rsidRPr="001E02C1">
        <w:rPr>
          <w:rStyle w:val="aff6"/>
          <w:rtl/>
        </w:rPr>
        <w:instrText xml:space="preserve"> </w:instrText>
      </w:r>
      <w:r w:rsidRPr="001E02C1">
        <w:rPr>
          <w:rStyle w:val="aff6"/>
          <w:rtl/>
        </w:rPr>
      </w:r>
      <w:r w:rsidRPr="001E02C1">
        <w:rPr>
          <w:rStyle w:val="aff6"/>
          <w:rtl/>
        </w:rPr>
        <w:fldChar w:fldCharType="separate"/>
      </w:r>
      <w:r w:rsidR="00265073">
        <w:rPr>
          <w:rStyle w:val="aff6"/>
          <w:cs/>
        </w:rPr>
        <w:t>‎</w:t>
      </w:r>
      <w:r w:rsidR="00265073">
        <w:rPr>
          <w:rStyle w:val="aff6"/>
          <w:rtl/>
        </w:rPr>
        <w:t>יא)</w:t>
      </w:r>
      <w:r w:rsidRPr="001E02C1">
        <w:rPr>
          <w:rStyle w:val="aff6"/>
          <w:rtl/>
        </w:rPr>
        <w:fldChar w:fldCharType="end"/>
      </w:r>
      <w:r w:rsidRPr="001E02C1">
        <w:rPr>
          <w:rStyle w:val="aff6"/>
          <w:rFonts w:hint="cs"/>
          <w:rtl/>
        </w:rPr>
        <w:t xml:space="preserve"> </w:t>
      </w:r>
      <w:r w:rsidRPr="001E02C1">
        <w:rPr>
          <w:rStyle w:val="affa"/>
          <w:rFonts w:hint="cs"/>
          <w:rtl/>
        </w:rPr>
        <w:t>והקצוה"ח</w:t>
      </w:r>
      <w:r w:rsidRPr="001E02C1">
        <w:rPr>
          <w:rFonts w:hint="cs"/>
          <w:rtl/>
        </w:rPr>
        <w:t xml:space="preserve"> </w:t>
      </w:r>
      <w:r w:rsidRPr="001E02C1">
        <w:rPr>
          <w:rStyle w:val="aff6"/>
          <w:rFonts w:hint="cs"/>
          <w:rtl/>
        </w:rPr>
        <w:t xml:space="preserve">(עי' </w:t>
      </w:r>
      <w:r w:rsidRPr="00835D2F">
        <w:rPr>
          <w:rStyle w:val="aff6"/>
          <w:rFonts w:hint="cs"/>
          <w:rtl/>
        </w:rPr>
        <w:t xml:space="preserve">אות </w:t>
      </w:r>
      <w:r w:rsidRPr="00835D2F">
        <w:rPr>
          <w:rStyle w:val="aff6"/>
          <w:rtl/>
        </w:rPr>
        <w:fldChar w:fldCharType="begin"/>
      </w:r>
      <w:r w:rsidRPr="00835D2F">
        <w:rPr>
          <w:rStyle w:val="aff6"/>
          <w:rtl/>
        </w:rPr>
        <w:instrText xml:space="preserve"> </w:instrText>
      </w:r>
      <w:r w:rsidRPr="00835D2F">
        <w:rPr>
          <w:rStyle w:val="aff6"/>
          <w:rFonts w:hint="cs"/>
        </w:rPr>
        <w:instrText>REF</w:instrText>
      </w:r>
      <w:r w:rsidRPr="00835D2F">
        <w:rPr>
          <w:rStyle w:val="aff6"/>
          <w:rFonts w:hint="cs"/>
          <w:rtl/>
        </w:rPr>
        <w:instrText xml:space="preserve"> _</w:instrText>
      </w:r>
      <w:r w:rsidRPr="00835D2F">
        <w:rPr>
          <w:rStyle w:val="aff6"/>
          <w:rFonts w:hint="cs"/>
        </w:rPr>
        <w:instrText>Ref57109898 \r \h</w:instrText>
      </w:r>
      <w:r w:rsidRPr="00835D2F">
        <w:rPr>
          <w:rStyle w:val="aff6"/>
          <w:rtl/>
        </w:rPr>
        <w:instrText xml:space="preserve"> </w:instrText>
      </w:r>
      <w:r w:rsidRPr="00835D2F">
        <w:rPr>
          <w:rStyle w:val="aff6"/>
          <w:rtl/>
        </w:rPr>
      </w:r>
      <w:r w:rsidRPr="00835D2F">
        <w:rPr>
          <w:rStyle w:val="aff6"/>
          <w:rtl/>
        </w:rPr>
        <w:fldChar w:fldCharType="separate"/>
      </w:r>
      <w:r w:rsidR="00265073">
        <w:rPr>
          <w:rStyle w:val="aff6"/>
          <w:cs/>
        </w:rPr>
        <w:t>‎</w:t>
      </w:r>
      <w:r w:rsidR="00265073">
        <w:rPr>
          <w:rStyle w:val="aff6"/>
          <w:rtl/>
        </w:rPr>
        <w:t>לט)</w:t>
      </w:r>
      <w:r w:rsidRPr="00835D2F">
        <w:rPr>
          <w:rStyle w:val="aff6"/>
          <w:rtl/>
        </w:rPr>
        <w:fldChar w:fldCharType="end"/>
      </w:r>
      <w:r w:rsidRPr="00835D2F">
        <w:rPr>
          <w:rStyle w:val="afb"/>
          <w:rFonts w:hint="cs"/>
          <w:rtl/>
        </w:rPr>
        <w:t xml:space="preserve">, ודלא כדביאר </w:t>
      </w:r>
      <w:r w:rsidRPr="00835D2F">
        <w:rPr>
          <w:rStyle w:val="affa"/>
          <w:rFonts w:hint="cs"/>
          <w:rtl/>
        </w:rPr>
        <w:t>בחי' רבי נחום</w:t>
      </w:r>
      <w:r w:rsidRPr="00835D2F">
        <w:rPr>
          <w:rStyle w:val="afb"/>
          <w:rFonts w:hint="cs"/>
          <w:rtl/>
        </w:rPr>
        <w:t xml:space="preserve"> </w:t>
      </w:r>
      <w:r w:rsidRPr="00A44F6B">
        <w:rPr>
          <w:rStyle w:val="aff6"/>
          <w:rFonts w:hint="cs"/>
          <w:rtl/>
        </w:rPr>
        <w:t xml:space="preserve">(עי' אות </w:t>
      </w:r>
      <w:r w:rsidRPr="00A44F6B">
        <w:rPr>
          <w:rStyle w:val="aff6"/>
          <w:rtl/>
        </w:rPr>
        <w:fldChar w:fldCharType="begin"/>
      </w:r>
      <w:r w:rsidRPr="00A44F6B">
        <w:rPr>
          <w:rStyle w:val="aff6"/>
          <w:rtl/>
        </w:rPr>
        <w:instrText xml:space="preserve"> </w:instrText>
      </w:r>
      <w:r w:rsidRPr="00A44F6B">
        <w:rPr>
          <w:rStyle w:val="aff6"/>
          <w:rFonts w:hint="cs"/>
        </w:rPr>
        <w:instrText>REF</w:instrText>
      </w:r>
      <w:r w:rsidRPr="00A44F6B">
        <w:rPr>
          <w:rStyle w:val="aff6"/>
          <w:rFonts w:hint="cs"/>
          <w:rtl/>
        </w:rPr>
        <w:instrText xml:space="preserve"> _</w:instrText>
      </w:r>
      <w:r w:rsidRPr="00A44F6B">
        <w:rPr>
          <w:rStyle w:val="aff6"/>
          <w:rFonts w:hint="cs"/>
        </w:rPr>
        <w:instrText>Ref57110236 \r \h</w:instrText>
      </w:r>
      <w:r w:rsidRPr="00A44F6B">
        <w:rPr>
          <w:rStyle w:val="aff6"/>
          <w:rtl/>
        </w:rPr>
        <w:instrText xml:space="preserve"> </w:instrText>
      </w:r>
      <w:r w:rsidRPr="00A44F6B">
        <w:rPr>
          <w:rStyle w:val="aff6"/>
          <w:rtl/>
        </w:rPr>
      </w:r>
      <w:r w:rsidRPr="00A44F6B">
        <w:rPr>
          <w:rStyle w:val="aff6"/>
          <w:rtl/>
        </w:rPr>
        <w:fldChar w:fldCharType="separate"/>
      </w:r>
      <w:r w:rsidR="00265073">
        <w:rPr>
          <w:rStyle w:val="aff6"/>
          <w:cs/>
        </w:rPr>
        <w:t>‎</w:t>
      </w:r>
      <w:r w:rsidR="00265073">
        <w:rPr>
          <w:rStyle w:val="aff6"/>
          <w:rtl/>
        </w:rPr>
        <w:t>קג)</w:t>
      </w:r>
      <w:r w:rsidRPr="00A44F6B">
        <w:rPr>
          <w:rStyle w:val="aff6"/>
          <w:rtl/>
        </w:rPr>
        <w:fldChar w:fldCharType="end"/>
      </w:r>
      <w:r>
        <w:rPr>
          <w:rStyle w:val="afb"/>
          <w:rFonts w:hint="cs"/>
          <w:rtl/>
        </w:rPr>
        <w:t xml:space="preserve"> </w:t>
      </w:r>
      <w:r w:rsidRPr="00835D2F">
        <w:rPr>
          <w:rStyle w:val="afb"/>
          <w:rFonts w:hint="cs"/>
          <w:rtl/>
        </w:rPr>
        <w:t xml:space="preserve">בדעת </w:t>
      </w:r>
      <w:r w:rsidRPr="00835D2F">
        <w:rPr>
          <w:rStyle w:val="affa"/>
          <w:rFonts w:hint="cs"/>
          <w:rtl/>
        </w:rPr>
        <w:t>הרמב"ן</w:t>
      </w:r>
      <w:r w:rsidRPr="00835D2F">
        <w:rPr>
          <w:rStyle w:val="afb"/>
          <w:rFonts w:hint="cs"/>
          <w:rtl/>
        </w:rPr>
        <w:t xml:space="preserve"> </w:t>
      </w:r>
      <w:r w:rsidRPr="00835D2F">
        <w:rPr>
          <w:rStyle w:val="aff6"/>
          <w:rFonts w:hint="cs"/>
          <w:rtl/>
        </w:rPr>
        <w:t xml:space="preserve">(עי' אות </w:t>
      </w:r>
      <w:r w:rsidRPr="00835D2F">
        <w:rPr>
          <w:rStyle w:val="aff6"/>
          <w:rtl/>
        </w:rPr>
        <w:fldChar w:fldCharType="begin"/>
      </w:r>
      <w:r w:rsidRPr="00835D2F">
        <w:rPr>
          <w:rStyle w:val="aff6"/>
          <w:rtl/>
        </w:rPr>
        <w:instrText xml:space="preserve"> </w:instrText>
      </w:r>
      <w:r w:rsidRPr="00835D2F">
        <w:rPr>
          <w:rStyle w:val="aff6"/>
          <w:rFonts w:hint="cs"/>
        </w:rPr>
        <w:instrText>REF</w:instrText>
      </w:r>
      <w:r w:rsidRPr="00835D2F">
        <w:rPr>
          <w:rStyle w:val="aff6"/>
          <w:rFonts w:hint="cs"/>
          <w:rtl/>
        </w:rPr>
        <w:instrText xml:space="preserve"> _</w:instrText>
      </w:r>
      <w:r w:rsidRPr="00835D2F">
        <w:rPr>
          <w:rStyle w:val="aff6"/>
          <w:rFonts w:hint="cs"/>
        </w:rPr>
        <w:instrText>Ref57051211 \r \h</w:instrText>
      </w:r>
      <w:r w:rsidRPr="00835D2F">
        <w:rPr>
          <w:rStyle w:val="aff6"/>
          <w:rtl/>
        </w:rPr>
        <w:instrText xml:space="preserve"> </w:instrText>
      </w:r>
      <w:r w:rsidRPr="00835D2F">
        <w:rPr>
          <w:rStyle w:val="aff6"/>
          <w:rtl/>
        </w:rPr>
      </w:r>
      <w:r w:rsidRPr="00835D2F">
        <w:rPr>
          <w:rStyle w:val="aff6"/>
          <w:rtl/>
        </w:rPr>
        <w:fldChar w:fldCharType="separate"/>
      </w:r>
      <w:r w:rsidR="00265073">
        <w:rPr>
          <w:rStyle w:val="aff6"/>
          <w:cs/>
        </w:rPr>
        <w:t>‎</w:t>
      </w:r>
      <w:r w:rsidR="00265073">
        <w:rPr>
          <w:rStyle w:val="aff6"/>
          <w:rtl/>
        </w:rPr>
        <w:t>יד)</w:t>
      </w:r>
      <w:r w:rsidRPr="00835D2F">
        <w:rPr>
          <w:rStyle w:val="aff6"/>
          <w:rtl/>
        </w:rPr>
        <w:fldChar w:fldCharType="end"/>
      </w:r>
      <w:r w:rsidRPr="00835D2F">
        <w:rPr>
          <w:rStyle w:val="afb"/>
          <w:rFonts w:hint="cs"/>
          <w:rtl/>
        </w:rPr>
        <w:t xml:space="preserve">], </w:t>
      </w:r>
      <w:r>
        <w:rPr>
          <w:rFonts w:hint="cs"/>
          <w:rtl/>
        </w:rPr>
        <w:t xml:space="preserve">ולכן כתבו </w:t>
      </w:r>
      <w:r w:rsidRPr="005305C4">
        <w:rPr>
          <w:rStyle w:val="af9"/>
          <w:rFonts w:hint="cs"/>
          <w:rtl/>
        </w:rPr>
        <w:t>התוס'</w:t>
      </w:r>
      <w:r>
        <w:rPr>
          <w:rFonts w:hint="cs"/>
          <w:rtl/>
        </w:rPr>
        <w:t xml:space="preserve"> דאף שיש לפנינו ספק גמור במציאות, דאנו יודעים שהמערער היה דר בבית הפנימי, ויש לנו ספק אם עבר דרך הבית החיצון או לא, מ"מ </w:t>
      </w:r>
      <w:r>
        <w:rPr>
          <w:rFonts w:hint="cs"/>
          <w:rtl/>
        </w:rPr>
        <w:t xml:space="preserve">כיון שאי"ז גריעותא בחזקה </w:t>
      </w:r>
      <w:r w:rsidRPr="002926FC">
        <w:rPr>
          <w:rFonts w:hint="cs"/>
          <w:rtl/>
        </w:rPr>
        <w:t xml:space="preserve">עצמה, </w:t>
      </w:r>
      <w:r>
        <w:rPr>
          <w:rFonts w:hint="cs"/>
          <w:rtl/>
        </w:rPr>
        <w:t>א"כ יש לפנינו חזקה גמורה, והספק הוא האם היה דבר שמבטל את החזקה, ובכה"ג אמרינן דאין ספק מוציא מידי ודאי, וחשיב דהמחזיק הוא מוחזק.</w:t>
      </w:r>
      <w:bookmarkEnd w:id="7295"/>
      <w:r w:rsidRPr="00760011">
        <w:rPr>
          <w:rStyle w:val="afb"/>
          <w:rFonts w:hint="cs"/>
          <w:rtl/>
        </w:rPr>
        <w:t xml:space="preserve"> </w:t>
      </w:r>
      <w:r>
        <w:rPr>
          <w:rStyle w:val="afb"/>
          <w:rFonts w:hint="cs"/>
          <w:rtl/>
        </w:rPr>
        <w:t>[אמנם יעוי' במה שמשמע מדברי</w:t>
      </w:r>
      <w:r w:rsidRPr="00B96E9A">
        <w:rPr>
          <w:rStyle w:val="afb"/>
          <w:rFonts w:hint="cs"/>
          <w:rtl/>
        </w:rPr>
        <w:t xml:space="preserve"> </w:t>
      </w:r>
      <w:r>
        <w:rPr>
          <w:rStyle w:val="affa"/>
          <w:rFonts w:hint="cs"/>
          <w:rtl/>
        </w:rPr>
        <w:t>ה</w:t>
      </w:r>
      <w:r w:rsidRPr="00B96E9A">
        <w:rPr>
          <w:rStyle w:val="affa"/>
          <w:rFonts w:hint="cs"/>
          <w:rtl/>
        </w:rPr>
        <w:t>תוס'</w:t>
      </w:r>
      <w:r>
        <w:rPr>
          <w:rFonts w:hint="cs"/>
          <w:rtl/>
        </w:rPr>
        <w:t xml:space="preserve"> </w:t>
      </w:r>
      <w:r w:rsidRPr="00B96E9A">
        <w:rPr>
          <w:rStyle w:val="aff6"/>
          <w:rFonts w:hint="cs"/>
          <w:rtl/>
        </w:rPr>
        <w:t>(עי'</w:t>
      </w:r>
      <w:r>
        <w:rPr>
          <w:rFonts w:hint="cs"/>
          <w:rtl/>
        </w:rPr>
        <w:t xml:space="preserve"> </w:t>
      </w:r>
      <w:r w:rsidRPr="00B96E9A">
        <w:rPr>
          <w:rStyle w:val="aff6"/>
          <w:rFonts w:hint="cs"/>
          <w:rtl/>
        </w:rPr>
        <w:t>הערה</w:t>
      </w:r>
      <w:r w:rsidRPr="00B96E9A">
        <w:rPr>
          <w:vertAlign w:val="superscript"/>
          <w:rtl/>
        </w:rPr>
        <w:fldChar w:fldCharType="begin"/>
      </w:r>
      <w:r w:rsidRPr="00B96E9A">
        <w:rPr>
          <w:vertAlign w:val="superscript"/>
          <w:rtl/>
        </w:rPr>
        <w:instrText xml:space="preserve"> </w:instrText>
      </w:r>
      <w:r w:rsidRPr="00B96E9A">
        <w:rPr>
          <w:rFonts w:hint="cs"/>
          <w:vertAlign w:val="superscript"/>
        </w:rPr>
        <w:instrText>NOTEREF</w:instrText>
      </w:r>
      <w:r w:rsidRPr="00B96E9A">
        <w:rPr>
          <w:rFonts w:hint="cs"/>
          <w:vertAlign w:val="superscript"/>
          <w:rtl/>
        </w:rPr>
        <w:instrText xml:space="preserve"> _</w:instrText>
      </w:r>
      <w:r w:rsidRPr="00B96E9A">
        <w:rPr>
          <w:rFonts w:hint="cs"/>
          <w:vertAlign w:val="superscript"/>
        </w:rPr>
        <w:instrText>Ref57488421 \h</w:instrText>
      </w:r>
      <w:r w:rsidRPr="00B96E9A">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96E9A">
        <w:rPr>
          <w:vertAlign w:val="superscript"/>
          <w:rtl/>
        </w:rPr>
      </w:r>
      <w:r w:rsidRPr="00B96E9A">
        <w:rPr>
          <w:vertAlign w:val="superscript"/>
          <w:rtl/>
        </w:rPr>
        <w:fldChar w:fldCharType="separate"/>
      </w:r>
      <w:r w:rsidR="00265073">
        <w:rPr>
          <w:vertAlign w:val="superscript"/>
          <w:rtl/>
        </w:rPr>
        <w:t>34</w:t>
      </w:r>
      <w:r w:rsidRPr="00B96E9A">
        <w:rPr>
          <w:vertAlign w:val="superscript"/>
          <w:rtl/>
        </w:rPr>
        <w:fldChar w:fldCharType="end"/>
      </w:r>
      <w:r w:rsidRPr="00B96E9A">
        <w:rPr>
          <w:rStyle w:val="aff6"/>
          <w:rFonts w:hint="cs"/>
          <w:rtl/>
        </w:rPr>
        <w:t>)</w:t>
      </w:r>
      <w:r>
        <w:rPr>
          <w:rFonts w:hint="cs"/>
          <w:rtl/>
        </w:rPr>
        <w:t xml:space="preserve"> </w:t>
      </w:r>
      <w:r>
        <w:rPr>
          <w:rStyle w:val="afb"/>
          <w:rFonts w:hint="cs"/>
          <w:rtl/>
        </w:rPr>
        <w:t>דהוא חסרון בעצם החזקה].</w:t>
      </w:r>
      <w:r>
        <w:rPr>
          <w:rFonts w:hint="cs"/>
          <w:rtl/>
        </w:rPr>
        <w:t xml:space="preserve"> </w:t>
      </w:r>
    </w:p>
    <w:p w:rsidR="0019070E" w:rsidRDefault="0019070E" w:rsidP="0019070E">
      <w:pPr>
        <w:pStyle w:val="a3"/>
        <w:rPr>
          <w:rtl/>
        </w:rPr>
      </w:pPr>
      <w:bookmarkStart w:id="7296" w:name="_Toc57544561"/>
      <w:bookmarkStart w:id="7297" w:name="_Toc58185076"/>
      <w:r>
        <w:rPr>
          <w:rFonts w:hint="cs"/>
          <w:rtl/>
        </w:rPr>
        <w:t>ביאור הגרנ"פ דבין לרשב"ם ובין לתוס' אין נדון בעיקר החזקה ונחלקו אם צריך סיבה לפנינו</w:t>
      </w:r>
      <w:bookmarkEnd w:id="7296"/>
      <w:bookmarkEnd w:id="7297"/>
    </w:p>
    <w:p w:rsidR="0019070E" w:rsidRDefault="0019070E" w:rsidP="007E4E81">
      <w:pPr>
        <w:pStyle w:val="a0"/>
        <w:rPr>
          <w:rtl/>
        </w:rPr>
      </w:pPr>
      <w:r>
        <w:rPr>
          <w:rFonts w:hint="cs"/>
          <w:rtl/>
        </w:rPr>
        <w:t xml:space="preserve">וכתב </w:t>
      </w:r>
      <w:r w:rsidRPr="005305C4">
        <w:rPr>
          <w:rStyle w:val="af9"/>
          <w:rFonts w:hint="cs"/>
          <w:rtl/>
        </w:rPr>
        <w:t>בחי' רבי נחום</w:t>
      </w:r>
      <w:r>
        <w:rPr>
          <w:rFonts w:hint="cs"/>
          <w:rtl/>
        </w:rPr>
        <w:t xml:space="preserve"> דא"כ בין </w:t>
      </w:r>
      <w:r w:rsidRPr="005305C4">
        <w:rPr>
          <w:rStyle w:val="af9"/>
          <w:rFonts w:hint="cs"/>
          <w:rtl/>
        </w:rPr>
        <w:t>להרשב"ם</w:t>
      </w:r>
      <w:r w:rsidRPr="005305C4">
        <w:rPr>
          <w:rStyle w:val="af7"/>
          <w:rFonts w:eastAsia="Guttman Hodes" w:hint="cs"/>
          <w:rtl/>
        </w:rPr>
        <w:t xml:space="preserve"> (עי' אות </w:t>
      </w:r>
      <w:r w:rsidRPr="005305C4">
        <w:rPr>
          <w:rStyle w:val="af7"/>
          <w:rFonts w:eastAsia="Guttman Hodes"/>
          <w:rtl/>
        </w:rPr>
        <w:fldChar w:fldCharType="begin"/>
      </w:r>
      <w:r w:rsidRPr="005305C4">
        <w:rPr>
          <w:rStyle w:val="af7"/>
          <w:rFonts w:eastAsia="Guttman Hodes"/>
          <w:rtl/>
        </w:rPr>
        <w:instrText xml:space="preserve"> </w:instrText>
      </w:r>
      <w:r w:rsidRPr="005305C4">
        <w:rPr>
          <w:rStyle w:val="af7"/>
          <w:rFonts w:eastAsia="Guttman Hodes" w:hint="cs"/>
        </w:rPr>
        <w:instrText>REF</w:instrText>
      </w:r>
      <w:r w:rsidRPr="005305C4">
        <w:rPr>
          <w:rStyle w:val="af7"/>
          <w:rFonts w:eastAsia="Guttman Hodes" w:hint="cs"/>
          <w:rtl/>
        </w:rPr>
        <w:instrText xml:space="preserve"> _</w:instrText>
      </w:r>
      <w:r w:rsidRPr="005305C4">
        <w:rPr>
          <w:rStyle w:val="af7"/>
          <w:rFonts w:eastAsia="Guttman Hodes" w:hint="cs"/>
        </w:rPr>
        <w:instrText>Ref57136778 \r \h</w:instrText>
      </w:r>
      <w:r w:rsidRPr="005305C4">
        <w:rPr>
          <w:rStyle w:val="af7"/>
          <w:rFonts w:eastAsia="Guttman Hodes"/>
          <w:rtl/>
        </w:rPr>
        <w:instrText xml:space="preserve"> </w:instrText>
      </w:r>
      <w:r w:rsidRPr="005305C4">
        <w:rPr>
          <w:rStyle w:val="af7"/>
          <w:rFonts w:eastAsia="Guttman Hodes"/>
          <w:rtl/>
        </w:rPr>
      </w:r>
      <w:r w:rsidRPr="005305C4">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sidRPr="005305C4">
        <w:rPr>
          <w:rStyle w:val="af7"/>
          <w:rFonts w:eastAsia="Guttman Hodes"/>
          <w:rtl/>
        </w:rPr>
        <w:fldChar w:fldCharType="end"/>
      </w:r>
      <w:r w:rsidRPr="005305C4">
        <w:rPr>
          <w:rStyle w:val="af7"/>
          <w:rFonts w:eastAsia="Guttman Hodes" w:hint="cs"/>
          <w:rtl/>
        </w:rPr>
        <w:t xml:space="preserve"> </w:t>
      </w:r>
      <w:r>
        <w:rPr>
          <w:rFonts w:hint="cs"/>
          <w:rtl/>
        </w:rPr>
        <w:t xml:space="preserve">ובין </w:t>
      </w:r>
      <w:r w:rsidRPr="005305C4">
        <w:rPr>
          <w:rStyle w:val="af9"/>
          <w:rFonts w:hint="cs"/>
          <w:rtl/>
        </w:rPr>
        <w:t>להתוס'</w:t>
      </w:r>
      <w:r w:rsidRPr="005305C4">
        <w:rPr>
          <w:rStyle w:val="af7"/>
          <w:rFonts w:eastAsia="Guttman Hodes" w:hint="cs"/>
          <w:rtl/>
        </w:rPr>
        <w:t xml:space="preserve"> (עי' אות </w:t>
      </w:r>
      <w:r w:rsidRPr="005305C4">
        <w:rPr>
          <w:rStyle w:val="af7"/>
          <w:rFonts w:eastAsia="Guttman Hodes"/>
          <w:rtl/>
        </w:rPr>
        <w:fldChar w:fldCharType="begin"/>
      </w:r>
      <w:r w:rsidRPr="005305C4">
        <w:rPr>
          <w:rStyle w:val="af7"/>
          <w:rFonts w:eastAsia="Guttman Hodes"/>
          <w:rtl/>
        </w:rPr>
        <w:instrText xml:space="preserve"> </w:instrText>
      </w:r>
      <w:r w:rsidRPr="005305C4">
        <w:rPr>
          <w:rStyle w:val="af7"/>
          <w:rFonts w:eastAsia="Guttman Hodes" w:hint="cs"/>
        </w:rPr>
        <w:instrText>REF</w:instrText>
      </w:r>
      <w:r w:rsidRPr="005305C4">
        <w:rPr>
          <w:rStyle w:val="af7"/>
          <w:rFonts w:eastAsia="Guttman Hodes" w:hint="cs"/>
          <w:rtl/>
        </w:rPr>
        <w:instrText xml:space="preserve"> _</w:instrText>
      </w:r>
      <w:r w:rsidRPr="005305C4">
        <w:rPr>
          <w:rStyle w:val="af7"/>
          <w:rFonts w:eastAsia="Guttman Hodes" w:hint="cs"/>
        </w:rPr>
        <w:instrText>Ref57136824 \r \h</w:instrText>
      </w:r>
      <w:r w:rsidRPr="005305C4">
        <w:rPr>
          <w:rStyle w:val="af7"/>
          <w:rFonts w:eastAsia="Guttman Hodes"/>
          <w:rtl/>
        </w:rPr>
        <w:instrText xml:space="preserve"> </w:instrText>
      </w:r>
      <w:r w:rsidRPr="005305C4">
        <w:rPr>
          <w:rStyle w:val="af7"/>
          <w:rFonts w:eastAsia="Guttman Hodes"/>
          <w:rtl/>
        </w:rPr>
      </w:r>
      <w:r w:rsidRPr="005305C4">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5305C4">
        <w:rPr>
          <w:rStyle w:val="af7"/>
          <w:rFonts w:eastAsia="Guttman Hodes"/>
          <w:rtl/>
        </w:rPr>
        <w:fldChar w:fldCharType="end"/>
      </w:r>
      <w:r w:rsidRPr="005305C4">
        <w:rPr>
          <w:rStyle w:val="af7"/>
          <w:rFonts w:eastAsia="Guttman Hodes" w:hint="cs"/>
          <w:rtl/>
        </w:rPr>
        <w:t xml:space="preserve"> </w:t>
      </w:r>
      <w:r>
        <w:rPr>
          <w:rFonts w:hint="cs"/>
          <w:rtl/>
        </w:rPr>
        <w:t xml:space="preserve">הנדון בסוגיין אינו בעיקר החזקה, אלא </w:t>
      </w:r>
      <w:r w:rsidRPr="005305C4">
        <w:rPr>
          <w:rStyle w:val="af9"/>
          <w:rFonts w:hint="cs"/>
          <w:rtl/>
        </w:rPr>
        <w:t>דלהרשב"ם</w:t>
      </w:r>
      <w:r>
        <w:rPr>
          <w:rFonts w:hint="cs"/>
          <w:rtl/>
        </w:rPr>
        <w:t xml:space="preserve"> </w:t>
      </w:r>
      <w:r w:rsidRPr="005305C4">
        <w:rPr>
          <w:rStyle w:val="af7"/>
          <w:rFonts w:eastAsia="Guttman Hodes" w:hint="cs"/>
          <w:rtl/>
        </w:rPr>
        <w:t xml:space="preserve">(עי' אות </w:t>
      </w:r>
      <w:r w:rsidRPr="005305C4">
        <w:rPr>
          <w:rStyle w:val="af7"/>
          <w:rFonts w:eastAsia="Guttman Hodes"/>
          <w:rtl/>
        </w:rPr>
        <w:fldChar w:fldCharType="begin"/>
      </w:r>
      <w:r w:rsidRPr="005305C4">
        <w:rPr>
          <w:rStyle w:val="af7"/>
          <w:rFonts w:eastAsia="Guttman Hodes"/>
          <w:rtl/>
        </w:rPr>
        <w:instrText xml:space="preserve"> </w:instrText>
      </w:r>
      <w:r w:rsidRPr="005305C4">
        <w:rPr>
          <w:rStyle w:val="af7"/>
          <w:rFonts w:eastAsia="Guttman Hodes" w:hint="cs"/>
        </w:rPr>
        <w:instrText>REF</w:instrText>
      </w:r>
      <w:r w:rsidRPr="005305C4">
        <w:rPr>
          <w:rStyle w:val="af7"/>
          <w:rFonts w:eastAsia="Guttman Hodes" w:hint="cs"/>
          <w:rtl/>
        </w:rPr>
        <w:instrText xml:space="preserve"> _</w:instrText>
      </w:r>
      <w:r w:rsidRPr="005305C4">
        <w:rPr>
          <w:rStyle w:val="af7"/>
          <w:rFonts w:eastAsia="Guttman Hodes" w:hint="cs"/>
        </w:rPr>
        <w:instrText>Ref57136011 \r \h</w:instrText>
      </w:r>
      <w:r w:rsidRPr="005305C4">
        <w:rPr>
          <w:rStyle w:val="af7"/>
          <w:rFonts w:eastAsia="Guttman Hodes"/>
          <w:rtl/>
        </w:rPr>
        <w:instrText xml:space="preserve"> </w:instrText>
      </w:r>
      <w:r w:rsidRPr="005305C4">
        <w:rPr>
          <w:rStyle w:val="af7"/>
          <w:rFonts w:eastAsia="Guttman Hodes"/>
          <w:rtl/>
        </w:rPr>
      </w:r>
      <w:r w:rsidRPr="005305C4">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5305C4">
        <w:rPr>
          <w:rStyle w:val="af7"/>
          <w:rFonts w:eastAsia="Guttman Hodes"/>
          <w:rtl/>
        </w:rPr>
        <w:fldChar w:fldCharType="end"/>
      </w:r>
      <w:r>
        <w:rPr>
          <w:rFonts w:hint="cs"/>
          <w:rtl/>
        </w:rPr>
        <w:t xml:space="preserve"> אף הנדון אם יש ביטול בחזקה, הוא דוקא באופן שאין סיבה לפנינו להסתפק שמא היה דר עמו, אבל </w:t>
      </w:r>
      <w:r w:rsidRPr="00A74C15">
        <w:rPr>
          <w:rStyle w:val="af9"/>
          <w:rFonts w:hint="cs"/>
          <w:rtl/>
        </w:rPr>
        <w:t xml:space="preserve">להתוס' </w:t>
      </w:r>
      <w:r>
        <w:rPr>
          <w:rFonts w:hint="cs"/>
          <w:rtl/>
        </w:rPr>
        <w:t>אף באופן שידוע שדר בבית הפנימי, עדיין חשיב ספק בביטול החזקה.</w:t>
      </w:r>
    </w:p>
    <w:p w:rsidR="0019070E" w:rsidRDefault="0019070E" w:rsidP="0019070E">
      <w:pPr>
        <w:pStyle w:val="1"/>
        <w:rPr>
          <w:rtl/>
        </w:rPr>
      </w:pPr>
      <w:bookmarkStart w:id="7298" w:name="_Toc57491576"/>
      <w:bookmarkStart w:id="7299" w:name="_Toc57495393"/>
      <w:bookmarkStart w:id="7300" w:name="_Toc57544562"/>
      <w:bookmarkStart w:id="7301" w:name="_Toc58185077"/>
      <w:bookmarkStart w:id="7302" w:name="_Toc57234568"/>
      <w:bookmarkStart w:id="7303" w:name="_Toc57236156"/>
      <w:bookmarkStart w:id="7304" w:name="_Toc57310485"/>
      <w:bookmarkStart w:id="7305" w:name="_Toc57323045"/>
      <w:bookmarkStart w:id="7306" w:name="_Toc57323154"/>
      <w:bookmarkStart w:id="7307" w:name="_Toc57370405"/>
      <w:bookmarkStart w:id="7308" w:name="_Toc57491572"/>
      <w:bookmarkStart w:id="7309" w:name="_Toc57495389"/>
      <w:r>
        <w:rPr>
          <w:rFonts w:hint="cs"/>
          <w:rtl/>
        </w:rPr>
        <w:t>ביאור הגרנ"פ דנח' רבא ור"נ</w:t>
      </w:r>
      <w:bookmarkEnd w:id="7298"/>
      <w:bookmarkEnd w:id="7299"/>
      <w:r>
        <w:rPr>
          <w:rFonts w:hint="cs"/>
          <w:rtl/>
        </w:rPr>
        <w:t xml:space="preserve"> בספק שנולד אחר שנחשב למוחזק</w:t>
      </w:r>
      <w:bookmarkEnd w:id="7300"/>
      <w:bookmarkEnd w:id="7301"/>
    </w:p>
    <w:p w:rsidR="0019070E" w:rsidRDefault="0019070E" w:rsidP="0019070E">
      <w:pPr>
        <w:pStyle w:val="a3"/>
        <w:rPr>
          <w:rtl/>
        </w:rPr>
      </w:pPr>
      <w:bookmarkStart w:id="7310" w:name="_Toc57544563"/>
      <w:bookmarkStart w:id="7311" w:name="_Toc58185078"/>
      <w:r>
        <w:rPr>
          <w:rFonts w:hint="cs"/>
          <w:rtl/>
        </w:rPr>
        <w:t>ביאור הגרנ"פ דאחר טענת המערער יש ספק ולרבא מהני המוחזקות דלפני הספק ולר"נ ל"מ</w:t>
      </w:r>
      <w:bookmarkEnd w:id="7310"/>
      <w:bookmarkEnd w:id="7311"/>
    </w:p>
    <w:p w:rsidR="0019070E" w:rsidRDefault="0019070E" w:rsidP="007E4E81">
      <w:pPr>
        <w:pStyle w:val="a0"/>
        <w:rPr>
          <w:rtl/>
        </w:rPr>
      </w:pPr>
      <w:r>
        <w:rPr>
          <w:rFonts w:hint="cs"/>
          <w:rtl/>
        </w:rPr>
        <w:t xml:space="preserve">בעיקר פלוגתת רבא ור"נ, ביאר </w:t>
      </w:r>
      <w:r w:rsidRPr="009D2152">
        <w:rPr>
          <w:rStyle w:val="af9"/>
          <w:rFonts w:hint="cs"/>
          <w:rtl/>
        </w:rPr>
        <w:t xml:space="preserve">בחי' רבי נחום </w:t>
      </w:r>
      <w:r w:rsidRPr="009D2152">
        <w:rPr>
          <w:rStyle w:val="af7"/>
          <w:rFonts w:eastAsia="Guttman Hodes" w:hint="cs"/>
          <w:rtl/>
        </w:rPr>
        <w:t xml:space="preserve">(או' נ' ד"ה ורמי) </w:t>
      </w:r>
      <w:r>
        <w:rPr>
          <w:rFonts w:hint="cs"/>
          <w:rtl/>
        </w:rPr>
        <w:t xml:space="preserve">דהא דלדעת </w:t>
      </w:r>
      <w:r w:rsidRPr="009D2152">
        <w:rPr>
          <w:rStyle w:val="af9"/>
          <w:rFonts w:hint="cs"/>
          <w:rtl/>
        </w:rPr>
        <w:t xml:space="preserve">הרשב"ם </w:t>
      </w:r>
      <w:r>
        <w:rPr>
          <w:rFonts w:hint="cs"/>
          <w:rtl/>
        </w:rPr>
        <w:t xml:space="preserve">אמרינן דבסתמא אין לחוש שהמערער היה דר עם המחזיק, </w:t>
      </w:r>
      <w:r w:rsidRPr="009D2152">
        <w:rPr>
          <w:rStyle w:val="afb"/>
          <w:rFonts w:hint="cs"/>
          <w:rtl/>
        </w:rPr>
        <w:t xml:space="preserve">[כדביאר </w:t>
      </w:r>
      <w:r w:rsidRPr="009D2152">
        <w:rPr>
          <w:rStyle w:val="affa"/>
          <w:rFonts w:hint="cs"/>
          <w:rtl/>
        </w:rPr>
        <w:t>בחי' רבי נחום</w:t>
      </w:r>
      <w:r w:rsidRPr="009D2152">
        <w:rPr>
          <w:rStyle w:val="afb"/>
          <w:rFonts w:hint="cs"/>
          <w:rtl/>
        </w:rPr>
        <w:t xml:space="preserve"> </w:t>
      </w:r>
      <w:r w:rsidRPr="00D11BB3">
        <w:rPr>
          <w:rStyle w:val="aff6"/>
          <w:rFonts w:hint="cs"/>
          <w:rtl/>
        </w:rPr>
        <w:t xml:space="preserve">(עי' אות </w:t>
      </w:r>
      <w:r w:rsidRPr="00D11BB3">
        <w:rPr>
          <w:rStyle w:val="aff6"/>
          <w:rtl/>
        </w:rPr>
        <w:fldChar w:fldCharType="begin"/>
      </w:r>
      <w:r w:rsidRPr="00D11BB3">
        <w:rPr>
          <w:rStyle w:val="aff6"/>
          <w:rtl/>
        </w:rPr>
        <w:instrText xml:space="preserve"> </w:instrText>
      </w:r>
      <w:r w:rsidRPr="00D11BB3">
        <w:rPr>
          <w:rStyle w:val="aff6"/>
          <w:rFonts w:hint="cs"/>
        </w:rPr>
        <w:instrText>REF</w:instrText>
      </w:r>
      <w:r w:rsidRPr="00D11BB3">
        <w:rPr>
          <w:rStyle w:val="aff6"/>
          <w:rFonts w:hint="cs"/>
          <w:rtl/>
        </w:rPr>
        <w:instrText xml:space="preserve"> _</w:instrText>
      </w:r>
      <w:r w:rsidRPr="00D11BB3">
        <w:rPr>
          <w:rStyle w:val="aff6"/>
          <w:rFonts w:hint="cs"/>
        </w:rPr>
        <w:instrText>Ref57136011 \r \h</w:instrText>
      </w:r>
      <w:r w:rsidRPr="00D11BB3">
        <w:rPr>
          <w:rStyle w:val="aff6"/>
          <w:rtl/>
        </w:rPr>
        <w:instrText xml:space="preserve"> </w:instrText>
      </w:r>
      <w:r w:rsidRPr="00D11BB3">
        <w:rPr>
          <w:rStyle w:val="aff6"/>
          <w:rtl/>
        </w:rPr>
      </w:r>
      <w:r w:rsidRPr="00D11BB3">
        <w:rPr>
          <w:rStyle w:val="aff6"/>
          <w:rtl/>
        </w:rPr>
        <w:fldChar w:fldCharType="separate"/>
      </w:r>
      <w:r w:rsidR="00265073">
        <w:rPr>
          <w:rStyle w:val="aff6"/>
          <w:cs/>
        </w:rPr>
        <w:t>‎</w:t>
      </w:r>
      <w:r w:rsidR="00265073">
        <w:rPr>
          <w:rStyle w:val="aff6"/>
          <w:rtl/>
        </w:rPr>
        <w:t>קו)</w:t>
      </w:r>
      <w:r w:rsidRPr="00D11BB3">
        <w:rPr>
          <w:rStyle w:val="aff6"/>
          <w:rtl/>
        </w:rPr>
        <w:fldChar w:fldCharType="end"/>
      </w:r>
      <w:r>
        <w:rPr>
          <w:rStyle w:val="afb"/>
          <w:rFonts w:hint="cs"/>
          <w:rtl/>
        </w:rPr>
        <w:t xml:space="preserve"> </w:t>
      </w:r>
      <w:r w:rsidRPr="009D2152">
        <w:rPr>
          <w:rStyle w:val="afb"/>
          <w:rFonts w:hint="cs"/>
          <w:rtl/>
        </w:rPr>
        <w:t xml:space="preserve">בדעת </w:t>
      </w:r>
      <w:r w:rsidRPr="009D2152">
        <w:rPr>
          <w:rStyle w:val="affa"/>
          <w:rFonts w:hint="cs"/>
          <w:rtl/>
        </w:rPr>
        <w:t>הרשב"ם</w:t>
      </w:r>
      <w:r w:rsidRPr="009D2152">
        <w:rPr>
          <w:rStyle w:val="afb"/>
          <w:rFonts w:hint="cs"/>
          <w:rtl/>
        </w:rPr>
        <w:t xml:space="preserve">], </w:t>
      </w:r>
      <w:r>
        <w:rPr>
          <w:rFonts w:hint="cs"/>
          <w:rtl/>
        </w:rPr>
        <w:t>כיון שאנו רואים לפנינו חזקה גמורה, ולא חיישינן שמא היה דבר שביטל את החזקה, היינו דוקא לפני שטען כן המערער, אבל לאחר שטוען המערער טענת ברי שדר עם המחזיק בבית, ועבר דרך עליו, א"כ יש לנו ספק גמור בזה, ורבא ס"ל דכיון דלפני טענת המערער היה המחזיק מוחזק בקרקע, הוא חשיב כמחוזק גמור, ועל המערער להביא ראיה, ור"נ סבר דאף שלפני טענת המערער היה המחזיק נחשב למוחזק, מ"מ כיון שעכשיו יש ספק גמור לפנינו בעיקר המוחזקות, ולטענת המרא קמא לא יצאה הקרקע מחזקתו כלל, א"כ א"א לומר דהמחזיק נחשב כמוחזק.</w:t>
      </w:r>
    </w:p>
    <w:p w:rsidR="0019070E" w:rsidRDefault="0019070E" w:rsidP="0019070E">
      <w:pPr>
        <w:pStyle w:val="a3"/>
        <w:rPr>
          <w:rtl/>
        </w:rPr>
      </w:pPr>
      <w:bookmarkStart w:id="7312" w:name="_Toc57544564"/>
      <w:bookmarkStart w:id="7313" w:name="_Toc58185079"/>
      <w:r>
        <w:rPr>
          <w:rFonts w:hint="cs"/>
          <w:rtl/>
        </w:rPr>
        <w:t>ביאור הגרנ"פ בקושית הגמ' מבר סיסין דהספק הוא רק מחמת טענת המערער ודמי לסוגיין</w:t>
      </w:r>
      <w:bookmarkEnd w:id="7312"/>
      <w:bookmarkEnd w:id="7313"/>
    </w:p>
    <w:p w:rsidR="0019070E" w:rsidRPr="00622C2C" w:rsidRDefault="0019070E" w:rsidP="007E4E81">
      <w:pPr>
        <w:pStyle w:val="a0"/>
        <w:rPr>
          <w:rtl/>
        </w:rPr>
      </w:pPr>
      <w:r>
        <w:rPr>
          <w:rFonts w:hint="cs"/>
          <w:rtl/>
        </w:rPr>
        <w:t xml:space="preserve">ובזה ביאר </w:t>
      </w:r>
      <w:r w:rsidRPr="009D2152">
        <w:rPr>
          <w:rStyle w:val="af9"/>
          <w:rFonts w:hint="cs"/>
          <w:rtl/>
        </w:rPr>
        <w:t xml:space="preserve">בחי' רבי נחום </w:t>
      </w:r>
      <w:r>
        <w:rPr>
          <w:rFonts w:hint="cs"/>
          <w:rtl/>
        </w:rPr>
        <w:t>את קושית הגמ' מבר סיסין, דאף התם בלא טענת המערער לא הייתה כל סיבה להסתפק שהקרקע אינה בחזקת הלוקח, ורק לאחר טענתו יש ספק, ולכן סברה הגמ' דלדברי רבא בשכוני גוואי אף בבר סיסין המחזיק הוא המוחזק, ולר"נ המרא קמא הוא המוחזק, ולכן מקשה הגמ' דרבא ארבא ודר"נ אדר"נ.</w:t>
      </w:r>
    </w:p>
    <w:p w:rsidR="0019070E" w:rsidRDefault="0019070E" w:rsidP="0019070E">
      <w:pPr>
        <w:pStyle w:val="1"/>
      </w:pPr>
      <w:bookmarkStart w:id="7314" w:name="_Toc58185080"/>
      <w:bookmarkStart w:id="7315" w:name="_Toc57544565"/>
      <w:r>
        <w:rPr>
          <w:rFonts w:hint="cs"/>
          <w:rtl/>
        </w:rPr>
        <w:t>ביאור הגרנ"פ בפלוגתת רבינו יונה והרשב"ם במסקנת הגמ'</w:t>
      </w:r>
      <w:bookmarkEnd w:id="7314"/>
    </w:p>
    <w:p w:rsidR="0019070E" w:rsidRDefault="0019070E" w:rsidP="0019070E">
      <w:pPr>
        <w:pStyle w:val="a3"/>
        <w:rPr>
          <w:rtl/>
        </w:rPr>
      </w:pPr>
      <w:bookmarkStart w:id="7316" w:name="_Toc58185081"/>
      <w:r>
        <w:rPr>
          <w:rFonts w:hint="cs"/>
          <w:rtl/>
        </w:rPr>
        <w:t>ביאור הגרנ"פ בתי' הגמ' מבר סיסין דסתמא אינו כמוחזק אלא דדר בבית הסתמא שמוחזק</w:t>
      </w:r>
      <w:bookmarkEnd w:id="7316"/>
    </w:p>
    <w:p w:rsidR="0019070E" w:rsidRDefault="0019070E" w:rsidP="007E4E81">
      <w:pPr>
        <w:pStyle w:val="a0"/>
        <w:rPr>
          <w:rtl/>
        </w:rPr>
      </w:pPr>
      <w:bookmarkStart w:id="7317" w:name="_Ref58183305"/>
      <w:r>
        <w:rPr>
          <w:rFonts w:hint="cs"/>
          <w:rtl/>
        </w:rPr>
        <w:t xml:space="preserve">ובתירוץ הגמ' על הקושיה מבר סיסין, ביאר </w:t>
      </w:r>
      <w:r w:rsidRPr="00367835">
        <w:rPr>
          <w:rStyle w:val="af9"/>
          <w:rFonts w:hint="cs"/>
          <w:rtl/>
        </w:rPr>
        <w:t>בחי' רבי נחום</w:t>
      </w:r>
      <w:r w:rsidRPr="00CF20D4">
        <w:rPr>
          <w:rStyle w:val="af7"/>
          <w:rFonts w:eastAsia="Guttman Hodes" w:hint="cs"/>
          <w:rtl/>
        </w:rPr>
        <w:t xml:space="preserve"> (או' נ"א ד"ה דרבא)</w:t>
      </w:r>
      <w:r>
        <w:rPr>
          <w:rFonts w:hint="cs"/>
          <w:rtl/>
        </w:rPr>
        <w:t xml:space="preserve"> דאין כוונת רבא</w:t>
      </w:r>
      <w:r w:rsidR="00A77F33">
        <w:rPr>
          <w:rFonts w:hint="cs"/>
          <w:rtl/>
        </w:rPr>
        <w:t xml:space="preserve"> </w:t>
      </w:r>
      <w:r>
        <w:rPr>
          <w:rFonts w:hint="cs"/>
          <w:rtl/>
        </w:rPr>
        <w:t>לומר דכל שהסתמא היא כדבריו הוא נחשב למוחזק, דהא כל שיש טענה למערער שעושה ספק בעיקר המוחזקות אינו מוחזק, אלא דבשכוני גוואי המחזיק נחשב למוחזק גם כיון שכך הסתמא, וגם כיון שהוא נמצא בבית, אבל בבר סיסין שהקרקע בחזקת המוכר, א"א להחשיב את הלוקח למוחזק רק מכח הסתמא.</w:t>
      </w:r>
      <w:bookmarkEnd w:id="7317"/>
    </w:p>
    <w:p w:rsidR="0019070E" w:rsidRDefault="0019070E" w:rsidP="0019070E">
      <w:pPr>
        <w:pStyle w:val="a3"/>
        <w:rPr>
          <w:rtl/>
        </w:rPr>
      </w:pPr>
      <w:bookmarkStart w:id="7318" w:name="_Toc58185082"/>
      <w:r>
        <w:rPr>
          <w:rFonts w:hint="cs"/>
          <w:rtl/>
        </w:rPr>
        <w:t>ביאור הגרנ"פ ברבינו יונה דאף למסקנא לר"נ לא מהני סתמא להחשיב מחזיק למוחזק</w:t>
      </w:r>
      <w:bookmarkEnd w:id="7318"/>
    </w:p>
    <w:p w:rsidR="0019070E" w:rsidRDefault="0019070E" w:rsidP="007E4E81">
      <w:pPr>
        <w:pStyle w:val="a0"/>
        <w:rPr>
          <w:rtl/>
        </w:rPr>
      </w:pPr>
      <w:r>
        <w:rPr>
          <w:rFonts w:hint="cs"/>
          <w:rtl/>
        </w:rPr>
        <w:t xml:space="preserve">במ"ש </w:t>
      </w:r>
      <w:r w:rsidRPr="00367835">
        <w:rPr>
          <w:rStyle w:val="af9"/>
          <w:rFonts w:hint="cs"/>
          <w:rtl/>
        </w:rPr>
        <w:t>רבינו יונה</w:t>
      </w:r>
      <w:r>
        <w:rPr>
          <w:rFonts w:hint="cs"/>
          <w:rtl/>
        </w:rPr>
        <w:t xml:space="preserve"> </w:t>
      </w:r>
      <w:r w:rsidRPr="00CF20D4">
        <w:rPr>
          <w:rStyle w:val="af7"/>
          <w:rFonts w:eastAsia="Guttman Hodes" w:hint="cs"/>
          <w:rtl/>
        </w:rPr>
        <w:t xml:space="preserve">(עי' אות </w:t>
      </w:r>
      <w:r w:rsidRPr="00CF20D4">
        <w:rPr>
          <w:rStyle w:val="af7"/>
          <w:rFonts w:eastAsia="Guttman Hodes"/>
          <w:rtl/>
        </w:rPr>
        <w:fldChar w:fldCharType="begin"/>
      </w:r>
      <w:r w:rsidRPr="00CF20D4">
        <w:rPr>
          <w:rStyle w:val="af7"/>
          <w:rFonts w:eastAsia="Guttman Hodes"/>
          <w:rtl/>
        </w:rPr>
        <w:instrText xml:space="preserve"> </w:instrText>
      </w:r>
      <w:r w:rsidRPr="00CF20D4">
        <w:rPr>
          <w:rStyle w:val="af7"/>
          <w:rFonts w:eastAsia="Guttman Hodes" w:hint="cs"/>
        </w:rPr>
        <w:instrText>REF</w:instrText>
      </w:r>
      <w:r w:rsidRPr="00CF20D4">
        <w:rPr>
          <w:rStyle w:val="af7"/>
          <w:rFonts w:eastAsia="Guttman Hodes" w:hint="cs"/>
          <w:rtl/>
        </w:rPr>
        <w:instrText xml:space="preserve"> _</w:instrText>
      </w:r>
      <w:r w:rsidRPr="00CF20D4">
        <w:rPr>
          <w:rStyle w:val="af7"/>
          <w:rFonts w:eastAsia="Guttman Hodes" w:hint="cs"/>
        </w:rPr>
        <w:instrText>Ref58184516 \r \h</w:instrText>
      </w:r>
      <w:r w:rsidRPr="00CF20D4">
        <w:rPr>
          <w:rStyle w:val="af7"/>
          <w:rFonts w:eastAsia="Guttman Hodes"/>
          <w:rtl/>
        </w:rPr>
        <w:instrText xml:space="preserve"> </w:instrText>
      </w:r>
      <w:r w:rsidRPr="00CF20D4">
        <w:rPr>
          <w:rStyle w:val="af7"/>
          <w:rFonts w:eastAsia="Guttman Hodes"/>
          <w:rtl/>
        </w:rPr>
      </w:r>
      <w:r w:rsidRPr="00CF20D4">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sidRPr="00CF20D4">
        <w:rPr>
          <w:rStyle w:val="af7"/>
          <w:rFonts w:eastAsia="Guttman Hodes"/>
          <w:rtl/>
        </w:rPr>
        <w:fldChar w:fldCharType="end"/>
      </w:r>
      <w:r>
        <w:rPr>
          <w:rFonts w:hint="cs"/>
          <w:rtl/>
        </w:rPr>
        <w:t xml:space="preserve"> בתירוץ הגמ' לר"נ דכיון דכשאמר דבי בר סיסין, ולא אמר בפירוש שאין המכירה כוללת את השדה הזו, יכול הלוקח לטעון ששדה זו בכלל המכר, ביאר </w:t>
      </w:r>
      <w:r w:rsidRPr="00367835">
        <w:rPr>
          <w:rStyle w:val="af9"/>
          <w:rFonts w:hint="cs"/>
          <w:rtl/>
        </w:rPr>
        <w:t>בחי' רבי נחום</w:t>
      </w:r>
      <w:r>
        <w:rPr>
          <w:rFonts w:hint="cs"/>
          <w:rtl/>
        </w:rPr>
        <w:t xml:space="preserve"> </w:t>
      </w:r>
      <w:r w:rsidRPr="00CF20D4">
        <w:rPr>
          <w:rStyle w:val="af7"/>
          <w:rFonts w:eastAsia="Guttman Hodes" w:hint="cs"/>
          <w:rtl/>
        </w:rPr>
        <w:t>(או נ"א ד"ה ובשיטת)</w:t>
      </w:r>
      <w:r>
        <w:rPr>
          <w:rFonts w:hint="cs"/>
          <w:rtl/>
        </w:rPr>
        <w:t xml:space="preserve"> דכוונת </w:t>
      </w:r>
      <w:r w:rsidRPr="00367835">
        <w:rPr>
          <w:rStyle w:val="af9"/>
          <w:rFonts w:hint="cs"/>
          <w:rtl/>
        </w:rPr>
        <w:t>רבינו יונה</w:t>
      </w:r>
      <w:r>
        <w:rPr>
          <w:rFonts w:hint="cs"/>
          <w:rtl/>
        </w:rPr>
        <w:t xml:space="preserve"> לבאר דרק להו"א אמרינן דהסתמא מהני לר"נ להעמיד את הקרקע שנראית כבר סיסין ביד הלוקח, אבל </w:t>
      </w:r>
      <w:r>
        <w:rPr>
          <w:rFonts w:hint="cs"/>
          <w:rtl/>
        </w:rPr>
        <w:lastRenderedPageBreak/>
        <w:t xml:space="preserve">למסקנא אמרינן דלא העמיד ר"נ את הקרקע ביד הלוקח, מחמת הסתמא, אלא דאף אם הקרקע הזו באמת לא הייתה של בר סיסין, מ"מ כל שלא פירש כן המוכר להדיא, היא כלולה במכירה דכוונתו לכל השדות שנקראות בר סיסין, וכתב </w:t>
      </w:r>
      <w:r w:rsidRPr="00600B0B">
        <w:rPr>
          <w:rStyle w:val="af9"/>
          <w:rFonts w:hint="cs"/>
          <w:rtl/>
        </w:rPr>
        <w:t>בחי' רבי נחום</w:t>
      </w:r>
      <w:r>
        <w:rPr>
          <w:rFonts w:hint="cs"/>
          <w:rtl/>
        </w:rPr>
        <w:t xml:space="preserve"> דא"כ למסקנא אין כל שייכות בין דברי ר"נ בשכוני גוואי לדבריו בבר סיסין, דבבר סיסין דברי ר"נ הם סברא בדעת המוכר דכוונתו לכל השדות הקרויות כן, אבל בשכוני גוואי לא חזרה בה הגמ' מהביאור בדברי ר"נ כלל, דס"ל דלא מהני סתמא להחשיב את המחזיק למוחזק.</w:t>
      </w:r>
    </w:p>
    <w:p w:rsidR="0019070E" w:rsidRDefault="0019070E" w:rsidP="0019070E">
      <w:pPr>
        <w:pStyle w:val="a3"/>
        <w:rPr>
          <w:rtl/>
        </w:rPr>
      </w:pPr>
      <w:bookmarkStart w:id="7319" w:name="_Toc58185083"/>
      <w:r>
        <w:rPr>
          <w:rFonts w:hint="cs"/>
          <w:rtl/>
        </w:rPr>
        <w:t>דברי הגרנ"פ דלרשב"ם לא דמי סתמא דמכירה לסתמא דחזקה דל"מ להחשיבו כמוחזק</w:t>
      </w:r>
      <w:bookmarkEnd w:id="7319"/>
    </w:p>
    <w:p w:rsidR="0019070E" w:rsidRDefault="0019070E" w:rsidP="007E4E81">
      <w:pPr>
        <w:pStyle w:val="a0"/>
        <w:rPr>
          <w:rtl/>
        </w:rPr>
      </w:pPr>
      <w:bookmarkStart w:id="7320" w:name="_Ref58183318"/>
      <w:r>
        <w:rPr>
          <w:rFonts w:hint="cs"/>
          <w:rtl/>
        </w:rPr>
        <w:t xml:space="preserve">אך הביא </w:t>
      </w:r>
      <w:r w:rsidRPr="00367835">
        <w:rPr>
          <w:rStyle w:val="af9"/>
          <w:rFonts w:hint="cs"/>
          <w:rtl/>
        </w:rPr>
        <w:t>בחי' רבי נחום</w:t>
      </w:r>
      <w:r>
        <w:rPr>
          <w:rFonts w:hint="cs"/>
          <w:rtl/>
        </w:rPr>
        <w:t xml:space="preserve"> </w:t>
      </w:r>
      <w:r w:rsidRPr="00CF20D4">
        <w:rPr>
          <w:rStyle w:val="af7"/>
          <w:rFonts w:eastAsia="Guttman Hodes" w:hint="cs"/>
          <w:rtl/>
        </w:rPr>
        <w:t>(או' נ"א ד"ה אמנם)</w:t>
      </w:r>
      <w:r>
        <w:rPr>
          <w:rFonts w:hint="cs"/>
          <w:rtl/>
        </w:rPr>
        <w:t xml:space="preserve"> את דברי </w:t>
      </w:r>
      <w:r w:rsidRPr="00367835">
        <w:rPr>
          <w:rStyle w:val="af9"/>
          <w:rFonts w:hint="cs"/>
          <w:rtl/>
        </w:rPr>
        <w:t>הרשב"ם</w:t>
      </w:r>
      <w:r>
        <w:rPr>
          <w:rStyle w:val="af9"/>
          <w:rFonts w:hint="cs"/>
          <w:rtl/>
        </w:rPr>
        <w:t xml:space="preserve"> לקמן</w:t>
      </w:r>
      <w:r>
        <w:rPr>
          <w:rFonts w:hint="cs"/>
          <w:rtl/>
        </w:rPr>
        <w:t xml:space="preserve"> </w:t>
      </w:r>
      <w:r w:rsidRPr="00CF20D4">
        <w:rPr>
          <w:rStyle w:val="af7"/>
          <w:rFonts w:eastAsia="Guttman Hodes" w:hint="cs"/>
          <w:rtl/>
        </w:rPr>
        <w:t>(</w:t>
      </w:r>
      <w:r>
        <w:rPr>
          <w:rStyle w:val="af7"/>
          <w:rFonts w:eastAsia="Guttman Hodes" w:hint="cs"/>
          <w:rtl/>
        </w:rPr>
        <w:t xml:space="preserve">ל. </w:t>
      </w:r>
      <w:r w:rsidRPr="00CF20D4">
        <w:rPr>
          <w:rStyle w:val="af7"/>
          <w:rFonts w:eastAsia="Guttman Hodes" w:hint="cs"/>
          <w:rtl/>
        </w:rPr>
        <w:t>ד"ה כיון)</w:t>
      </w:r>
      <w:r>
        <w:rPr>
          <w:rFonts w:hint="cs"/>
          <w:rtl/>
        </w:rPr>
        <w:t xml:space="preserve"> דביאר בתירוץ הגמ' בר"נ, דפשיטא דהא דמכר לו את נכסי דבי בר סיסין, היינו רק שדות שקנה ממנו, ולא שדה שלא קנאה ממנו, אלא דעל המוכר להביא ראיה שאינה בכלל השדות שקנה מבר סיסין, </w:t>
      </w:r>
      <w:r w:rsidRPr="000B2314">
        <w:rPr>
          <w:rStyle w:val="afb"/>
          <w:rFonts w:hint="cs"/>
          <w:rtl/>
        </w:rPr>
        <w:t>[וכ</w:t>
      </w:r>
      <w:r>
        <w:rPr>
          <w:rStyle w:val="afb"/>
          <w:rFonts w:hint="cs"/>
          <w:rtl/>
        </w:rPr>
        <w:t>עי"ז כתב</w:t>
      </w:r>
      <w:r w:rsidRPr="000B2314">
        <w:rPr>
          <w:rStyle w:val="afb"/>
          <w:rFonts w:hint="cs"/>
          <w:rtl/>
        </w:rPr>
        <w:t xml:space="preserve"> </w:t>
      </w:r>
      <w:r w:rsidRPr="000B2314">
        <w:rPr>
          <w:rStyle w:val="affa"/>
          <w:rFonts w:hint="cs"/>
          <w:rtl/>
        </w:rPr>
        <w:t>היד רמ"ה לקמן</w:t>
      </w:r>
      <w:r w:rsidRPr="000B2314">
        <w:rPr>
          <w:rStyle w:val="afb"/>
          <w:rFonts w:hint="cs"/>
          <w:rtl/>
        </w:rPr>
        <w:t xml:space="preserve"> </w:t>
      </w:r>
      <w:r w:rsidRPr="000B2314">
        <w:rPr>
          <w:rStyle w:val="aff6"/>
          <w:rFonts w:hint="cs"/>
          <w:rtl/>
        </w:rPr>
        <w:t>(לא. או' ל"ח ד"ה אנפא)</w:t>
      </w:r>
      <w:r w:rsidRPr="000B2314">
        <w:rPr>
          <w:rStyle w:val="afb"/>
          <w:rFonts w:hint="cs"/>
          <w:rtl/>
        </w:rPr>
        <w:t>].</w:t>
      </w:r>
      <w:r>
        <w:rPr>
          <w:rFonts w:hint="cs"/>
          <w:rtl/>
        </w:rPr>
        <w:t xml:space="preserve"> וכתב </w:t>
      </w:r>
      <w:r w:rsidRPr="00367835">
        <w:rPr>
          <w:rStyle w:val="af9"/>
          <w:rFonts w:hint="cs"/>
          <w:rtl/>
        </w:rPr>
        <w:t>בחי' רבי נחום</w:t>
      </w:r>
      <w:r>
        <w:rPr>
          <w:rFonts w:hint="cs"/>
          <w:rtl/>
        </w:rPr>
        <w:t xml:space="preserve"> דמבואר מדברי </w:t>
      </w:r>
      <w:r w:rsidRPr="00367835">
        <w:rPr>
          <w:rStyle w:val="af9"/>
          <w:rFonts w:hint="cs"/>
          <w:rtl/>
        </w:rPr>
        <w:t>הרשב"ם</w:t>
      </w:r>
      <w:r>
        <w:rPr>
          <w:rFonts w:hint="cs"/>
          <w:rtl/>
        </w:rPr>
        <w:t xml:space="preserve"> דפליג על </w:t>
      </w:r>
      <w:r w:rsidRPr="00367835">
        <w:rPr>
          <w:rStyle w:val="af9"/>
          <w:rFonts w:hint="cs"/>
          <w:rtl/>
        </w:rPr>
        <w:t>רבינו יונה</w:t>
      </w:r>
      <w:r>
        <w:rPr>
          <w:rFonts w:hint="cs"/>
          <w:rtl/>
        </w:rPr>
        <w:t xml:space="preserve"> </w:t>
      </w:r>
      <w:r w:rsidRPr="00367835">
        <w:rPr>
          <w:rStyle w:val="af7"/>
          <w:rFonts w:eastAsia="Guttman Hodes" w:hint="cs"/>
          <w:rtl/>
        </w:rPr>
        <w:t xml:space="preserve">(עי' אות </w:t>
      </w:r>
      <w:r w:rsidRPr="00367835">
        <w:rPr>
          <w:rStyle w:val="af7"/>
          <w:rFonts w:eastAsia="Guttman Hodes"/>
          <w:rtl/>
        </w:rPr>
        <w:fldChar w:fldCharType="begin"/>
      </w:r>
      <w:r w:rsidRPr="00367835">
        <w:rPr>
          <w:rStyle w:val="af7"/>
          <w:rFonts w:eastAsia="Guttman Hodes"/>
          <w:rtl/>
        </w:rPr>
        <w:instrText xml:space="preserve"> </w:instrText>
      </w:r>
      <w:r w:rsidRPr="00367835">
        <w:rPr>
          <w:rStyle w:val="af7"/>
          <w:rFonts w:eastAsia="Guttman Hodes" w:hint="cs"/>
        </w:rPr>
        <w:instrText>REF</w:instrText>
      </w:r>
      <w:r w:rsidRPr="00367835">
        <w:rPr>
          <w:rStyle w:val="af7"/>
          <w:rFonts w:eastAsia="Guttman Hodes" w:hint="cs"/>
          <w:rtl/>
        </w:rPr>
        <w:instrText xml:space="preserve"> _</w:instrText>
      </w:r>
      <w:r w:rsidRPr="00367835">
        <w:rPr>
          <w:rStyle w:val="af7"/>
          <w:rFonts w:eastAsia="Guttman Hodes" w:hint="cs"/>
        </w:rPr>
        <w:instrText>Ref58184516 \r \h</w:instrText>
      </w:r>
      <w:r w:rsidRPr="00367835">
        <w:rPr>
          <w:rStyle w:val="af7"/>
          <w:rFonts w:eastAsia="Guttman Hodes"/>
          <w:rtl/>
        </w:rPr>
        <w:instrText xml:space="preserve"> </w:instrText>
      </w:r>
      <w:r w:rsidRPr="00367835">
        <w:rPr>
          <w:rStyle w:val="af7"/>
          <w:rFonts w:eastAsia="Guttman Hodes"/>
          <w:rtl/>
        </w:rPr>
      </w:r>
      <w:r w:rsidRPr="00367835">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sidRPr="00367835">
        <w:rPr>
          <w:rStyle w:val="af7"/>
          <w:rFonts w:eastAsia="Guttman Hodes"/>
          <w:rtl/>
        </w:rPr>
        <w:fldChar w:fldCharType="end"/>
      </w:r>
      <w:r>
        <w:rPr>
          <w:rFonts w:hint="cs"/>
          <w:rtl/>
        </w:rPr>
        <w:t xml:space="preserve"> וס"ל דתירוץ הגמ' הוא שיש חילוק בין סתמא במכירה לבין סתמא בחזקה, דבבר סיסין יש סתמא על עצם המכירה, ולכן נחשב הלוקח למוחזק, אבל בשכוני גוואי הסתמא אינה שהמחזיק הוא הבעלים, אלא הסתמא היא שיש למחזיק חזקת ג"ש, ולכן ס"ל לר"נ דסתמא על חזקה לא מהני להחשיבו למוחזק, וכתב </w:t>
      </w:r>
      <w:r w:rsidRPr="00600B0B">
        <w:rPr>
          <w:rStyle w:val="af9"/>
          <w:rFonts w:hint="cs"/>
          <w:rtl/>
        </w:rPr>
        <w:t>בחי' רבי נחום</w:t>
      </w:r>
      <w:r>
        <w:rPr>
          <w:rFonts w:hint="cs"/>
          <w:rtl/>
        </w:rPr>
        <w:t xml:space="preserve"> דזו כוונת הגמ' דאף שטר צריך קיום, דמדין השטר מוכח שא"א לסמוך על הסתמא, בלא ראיה.</w:t>
      </w:r>
    </w:p>
    <w:p w:rsidR="0019070E" w:rsidRPr="00367835" w:rsidRDefault="0019070E" w:rsidP="0019070E">
      <w:pPr>
        <w:pStyle w:val="a3"/>
      </w:pPr>
      <w:bookmarkStart w:id="7321" w:name="_Toc58185084"/>
      <w:r>
        <w:rPr>
          <w:rFonts w:hint="cs"/>
          <w:rtl/>
        </w:rPr>
        <w:t>ביאור הגרנ"פ ברשב"ם דלמסקנא מודה ר"נ דסתמא מחשיב כמוחזק ופליג רק בסתמא דחזקה</w:t>
      </w:r>
      <w:bookmarkEnd w:id="7321"/>
    </w:p>
    <w:p w:rsidR="0019070E" w:rsidRDefault="0019070E" w:rsidP="007E4E81">
      <w:pPr>
        <w:pStyle w:val="a0"/>
        <w:rPr>
          <w:rtl/>
        </w:rPr>
      </w:pPr>
      <w:r>
        <w:rPr>
          <w:rFonts w:hint="cs"/>
          <w:rtl/>
        </w:rPr>
        <w:t xml:space="preserve">וכתב </w:t>
      </w:r>
      <w:r w:rsidRPr="00367835">
        <w:rPr>
          <w:rStyle w:val="af9"/>
          <w:rFonts w:hint="cs"/>
          <w:rtl/>
        </w:rPr>
        <w:t>בחי' רבי נחום</w:t>
      </w:r>
      <w:r>
        <w:rPr>
          <w:rFonts w:hint="cs"/>
          <w:rtl/>
        </w:rPr>
        <w:t xml:space="preserve"> דא"כ </w:t>
      </w:r>
      <w:r w:rsidRPr="00367835">
        <w:rPr>
          <w:rStyle w:val="af9"/>
          <w:rFonts w:hint="cs"/>
          <w:rtl/>
        </w:rPr>
        <w:t>לרשב"ם</w:t>
      </w:r>
      <w:r>
        <w:rPr>
          <w:rFonts w:hint="cs"/>
          <w:rtl/>
        </w:rPr>
        <w:t xml:space="preserve"> הגמ' חוזרת בה למסקנא, דלר"נ בשכוני גוואי הא דאמרינן דסתמא ל"מ להחשיבו כמוחזק, אינו מחמת דפליג על רבא בכל דין סתמא כמוחזק, אלא רק בסתמא דחזקה, דעדיין עליו להביא ראיה, כיון שאינו סתמא על עצם הבעלות, ועיי"ש במ"ש בחי' רבי נחום דכן משמע בלשון הגמ'.</w:t>
      </w:r>
      <w:bookmarkEnd w:id="7320"/>
    </w:p>
    <w:p w:rsidR="0019070E" w:rsidRDefault="0019070E" w:rsidP="0019070E">
      <w:pPr>
        <w:pStyle w:val="1"/>
        <w:rPr>
          <w:rtl/>
        </w:rPr>
      </w:pPr>
      <w:bookmarkStart w:id="7322" w:name="_Toc58185085"/>
      <w:r>
        <w:rPr>
          <w:rFonts w:hint="cs"/>
          <w:rtl/>
        </w:rPr>
        <w:t>ביאור הגרש"ר ברשב"ם ובתוס'</w:t>
      </w:r>
      <w:bookmarkEnd w:id="7302"/>
      <w:bookmarkEnd w:id="7303"/>
      <w:bookmarkEnd w:id="7304"/>
      <w:bookmarkEnd w:id="7305"/>
      <w:bookmarkEnd w:id="7306"/>
      <w:bookmarkEnd w:id="7307"/>
      <w:bookmarkEnd w:id="7308"/>
      <w:bookmarkEnd w:id="7309"/>
      <w:r>
        <w:rPr>
          <w:rFonts w:hint="cs"/>
          <w:rtl/>
        </w:rPr>
        <w:t xml:space="preserve"> בגדר מוחזקות בסתמא דחזקה</w:t>
      </w:r>
      <w:bookmarkEnd w:id="7315"/>
      <w:bookmarkEnd w:id="7322"/>
    </w:p>
    <w:p w:rsidR="0019070E" w:rsidRDefault="0019070E" w:rsidP="0019070E">
      <w:pPr>
        <w:pStyle w:val="a3"/>
        <w:rPr>
          <w:rtl/>
        </w:rPr>
      </w:pPr>
      <w:bookmarkStart w:id="7323" w:name="_Toc57544566"/>
      <w:bookmarkStart w:id="7324" w:name="_Toc58185086"/>
      <w:r>
        <w:rPr>
          <w:rFonts w:hint="cs"/>
          <w:rtl/>
        </w:rPr>
        <w:t>ביאור הגרש"ר בתוס' דבסתמא לחזקה לכו"ע נעשה המחזיק מוחזק ואין לחוש לטענת המערער</w:t>
      </w:r>
      <w:bookmarkEnd w:id="7323"/>
      <w:bookmarkEnd w:id="7324"/>
    </w:p>
    <w:p w:rsidR="0019070E" w:rsidRDefault="0019070E" w:rsidP="007E4E81">
      <w:pPr>
        <w:pStyle w:val="a0"/>
        <w:rPr>
          <w:rtl/>
        </w:rPr>
      </w:pPr>
      <w:bookmarkStart w:id="7325" w:name="_Ref57537459"/>
      <w:r>
        <w:rPr>
          <w:rFonts w:hint="cs"/>
          <w:rtl/>
        </w:rPr>
        <w:t xml:space="preserve">במ"ש </w:t>
      </w:r>
      <w:r w:rsidRPr="002E7DDD">
        <w:rPr>
          <w:rStyle w:val="af9"/>
          <w:rFonts w:hint="cs"/>
          <w:rtl/>
        </w:rPr>
        <w:t>התוס'</w:t>
      </w:r>
      <w:r>
        <w:rPr>
          <w:rFonts w:hint="cs"/>
          <w:rtl/>
        </w:rPr>
        <w:t xml:space="preserve"> </w:t>
      </w:r>
      <w:r w:rsidRPr="005A5927">
        <w:rPr>
          <w:rStyle w:val="af7"/>
          <w:rFonts w:eastAsia="Guttman Hodes" w:hint="cs"/>
          <w:rtl/>
        </w:rPr>
        <w:t xml:space="preserve">(עי' אות </w:t>
      </w:r>
      <w:r w:rsidRPr="005A5927">
        <w:rPr>
          <w:rStyle w:val="af7"/>
          <w:rFonts w:eastAsia="Guttman Hodes"/>
          <w:rtl/>
        </w:rPr>
        <w:fldChar w:fldCharType="begin"/>
      </w:r>
      <w:r w:rsidRPr="005A5927">
        <w:rPr>
          <w:rStyle w:val="af7"/>
          <w:rFonts w:eastAsia="Guttman Hodes"/>
          <w:rtl/>
        </w:rPr>
        <w:instrText xml:space="preserve"> </w:instrText>
      </w:r>
      <w:r w:rsidRPr="005A5927">
        <w:rPr>
          <w:rStyle w:val="af7"/>
          <w:rFonts w:eastAsia="Guttman Hodes" w:hint="cs"/>
        </w:rPr>
        <w:instrText>REF</w:instrText>
      </w:r>
      <w:r w:rsidRPr="005A5927">
        <w:rPr>
          <w:rStyle w:val="af7"/>
          <w:rFonts w:eastAsia="Guttman Hodes" w:hint="cs"/>
          <w:rtl/>
        </w:rPr>
        <w:instrText xml:space="preserve"> _</w:instrText>
      </w:r>
      <w:r w:rsidRPr="005A5927">
        <w:rPr>
          <w:rStyle w:val="af7"/>
          <w:rFonts w:eastAsia="Guttman Hodes" w:hint="cs"/>
        </w:rPr>
        <w:instrText>Ref57108495 \r \h</w:instrText>
      </w:r>
      <w:r w:rsidRPr="005A5927">
        <w:rPr>
          <w:rStyle w:val="af7"/>
          <w:rFonts w:eastAsia="Guttman Hodes"/>
          <w:rtl/>
        </w:rPr>
        <w:instrText xml:space="preserve"> </w:instrText>
      </w:r>
      <w:r w:rsidRPr="005A5927">
        <w:rPr>
          <w:rStyle w:val="af7"/>
          <w:rFonts w:eastAsia="Guttman Hodes"/>
          <w:rtl/>
        </w:rPr>
      </w:r>
      <w:r w:rsidRPr="005A5927">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5A5927">
        <w:rPr>
          <w:rStyle w:val="af7"/>
          <w:rFonts w:eastAsia="Guttman Hodes"/>
          <w:rtl/>
        </w:rPr>
        <w:fldChar w:fldCharType="end"/>
      </w:r>
      <w:r>
        <w:rPr>
          <w:rFonts w:hint="cs"/>
          <w:rtl/>
        </w:rPr>
        <w:t xml:space="preserve"> דאם לא היה למערער עדים שהיה מתגורר בחדרים הפנימים, לא היה אומר ר"נ שהמחזיק צריך לברר את חזקתו, ביאר </w:t>
      </w:r>
      <w:r w:rsidRPr="009D2152">
        <w:rPr>
          <w:rStyle w:val="af9"/>
          <w:rFonts w:hint="cs"/>
          <w:rtl/>
        </w:rPr>
        <w:t xml:space="preserve">בשיעורי רבי שמואל </w:t>
      </w:r>
      <w:r w:rsidRPr="005305C4">
        <w:rPr>
          <w:rStyle w:val="af7"/>
          <w:rFonts w:eastAsia="Guttman Hodes" w:hint="cs"/>
          <w:rtl/>
        </w:rPr>
        <w:t>(או</w:t>
      </w:r>
      <w:r w:rsidRPr="005305C4">
        <w:rPr>
          <w:rStyle w:val="af7"/>
          <w:rFonts w:eastAsia="Guttman Hodes"/>
          <w:rtl/>
        </w:rPr>
        <w:t>'</w:t>
      </w:r>
      <w:r w:rsidRPr="005305C4">
        <w:rPr>
          <w:rStyle w:val="af7"/>
          <w:rFonts w:eastAsia="Guttman Hodes" w:hint="cs"/>
          <w:rtl/>
        </w:rPr>
        <w:t xml:space="preserve"> ח</w:t>
      </w:r>
      <w:r w:rsidRPr="005305C4">
        <w:rPr>
          <w:rStyle w:val="af7"/>
          <w:rFonts w:eastAsia="Guttman Hodes"/>
          <w:rtl/>
        </w:rPr>
        <w:t>'</w:t>
      </w:r>
      <w:r w:rsidRPr="005305C4">
        <w:rPr>
          <w:rStyle w:val="af7"/>
          <w:rFonts w:eastAsia="Guttman Hodes" w:hint="cs"/>
          <w:rtl/>
        </w:rPr>
        <w:t xml:space="preserve"> ד</w:t>
      </w:r>
      <w:r w:rsidRPr="005305C4">
        <w:rPr>
          <w:rStyle w:val="af7"/>
          <w:rFonts w:eastAsia="Guttman Hodes"/>
          <w:rtl/>
        </w:rPr>
        <w:t>"</w:t>
      </w:r>
      <w:r w:rsidRPr="005305C4">
        <w:rPr>
          <w:rStyle w:val="af7"/>
          <w:rFonts w:eastAsia="Guttman Hodes" w:hint="cs"/>
          <w:rtl/>
        </w:rPr>
        <w:t>ה גמ' א"ל)</w:t>
      </w:r>
      <w:r>
        <w:rPr>
          <w:rFonts w:hint="cs"/>
          <w:rtl/>
        </w:rPr>
        <w:t xml:space="preserve"> דס"ל </w:t>
      </w:r>
      <w:r w:rsidRPr="00EF2024">
        <w:rPr>
          <w:rStyle w:val="af9"/>
          <w:rFonts w:hint="cs"/>
          <w:rtl/>
        </w:rPr>
        <w:t xml:space="preserve">להתוס' </w:t>
      </w:r>
      <w:r>
        <w:rPr>
          <w:rFonts w:hint="cs"/>
          <w:rtl/>
        </w:rPr>
        <w:t>דכיון דהסתמא היא שחזקת המחזיק היא חזקה, א"כ אף לדעת ר"נ המחזיק נעשה המוחזק, ולכן אין לנו לחשוש שמא המערער היה יוצא דרך הבית החיצון.</w:t>
      </w:r>
      <w:bookmarkEnd w:id="7325"/>
    </w:p>
    <w:p w:rsidR="0019070E" w:rsidRDefault="0019070E" w:rsidP="0019070E">
      <w:pPr>
        <w:pStyle w:val="a3"/>
        <w:rPr>
          <w:rtl/>
        </w:rPr>
      </w:pPr>
      <w:bookmarkStart w:id="7326" w:name="_Toc57544567"/>
      <w:bookmarkStart w:id="7327" w:name="_Toc58185087"/>
      <w:r>
        <w:rPr>
          <w:rFonts w:hint="cs"/>
          <w:rtl/>
        </w:rPr>
        <w:t>דברי הגרש"ר דלרשב"ם הפשטות שלא היה המערער בבית ונח' רבא ור"נ בטענה נגד חזקה</w:t>
      </w:r>
      <w:bookmarkEnd w:id="7326"/>
      <w:bookmarkEnd w:id="7327"/>
    </w:p>
    <w:p w:rsidR="0019070E" w:rsidRDefault="0019070E" w:rsidP="007E4E81">
      <w:pPr>
        <w:pStyle w:val="a0"/>
        <w:rPr>
          <w:rtl/>
        </w:rPr>
      </w:pPr>
      <w:bookmarkStart w:id="7328" w:name="_Ref57535755"/>
      <w:r>
        <w:rPr>
          <w:rFonts w:hint="cs"/>
          <w:rtl/>
        </w:rPr>
        <w:t xml:space="preserve">אך כתב </w:t>
      </w:r>
      <w:r w:rsidRPr="005305C4">
        <w:rPr>
          <w:rStyle w:val="af9"/>
          <w:rFonts w:hint="cs"/>
          <w:rtl/>
        </w:rPr>
        <w:t>בשיעורי רבי שמואל</w:t>
      </w:r>
      <w:r>
        <w:rPr>
          <w:rFonts w:hint="cs"/>
          <w:rtl/>
        </w:rPr>
        <w:t xml:space="preserve"> </w:t>
      </w:r>
      <w:r w:rsidRPr="005305C4">
        <w:rPr>
          <w:rStyle w:val="af7"/>
          <w:rFonts w:eastAsia="Guttman Hodes" w:hint="cs"/>
          <w:rtl/>
        </w:rPr>
        <w:t>(או</w:t>
      </w:r>
      <w:r w:rsidRPr="005305C4">
        <w:rPr>
          <w:rStyle w:val="af7"/>
          <w:rFonts w:eastAsia="Guttman Hodes"/>
          <w:rtl/>
        </w:rPr>
        <w:t>'</w:t>
      </w:r>
      <w:r w:rsidRPr="005305C4">
        <w:rPr>
          <w:rStyle w:val="af7"/>
          <w:rFonts w:eastAsia="Guttman Hodes" w:hint="cs"/>
          <w:rtl/>
        </w:rPr>
        <w:t xml:space="preserve"> ח</w:t>
      </w:r>
      <w:r w:rsidRPr="005305C4">
        <w:rPr>
          <w:rStyle w:val="af7"/>
          <w:rFonts w:eastAsia="Guttman Hodes"/>
          <w:rtl/>
        </w:rPr>
        <w:t>'</w:t>
      </w:r>
      <w:r w:rsidRPr="005305C4">
        <w:rPr>
          <w:rStyle w:val="af7"/>
          <w:rFonts w:eastAsia="Guttman Hodes" w:hint="cs"/>
          <w:rtl/>
        </w:rPr>
        <w:t xml:space="preserve"> ד</w:t>
      </w:r>
      <w:r w:rsidRPr="005305C4">
        <w:rPr>
          <w:rStyle w:val="af7"/>
          <w:rFonts w:eastAsia="Guttman Hodes"/>
          <w:rtl/>
        </w:rPr>
        <w:t>"</w:t>
      </w:r>
      <w:r w:rsidRPr="005305C4">
        <w:rPr>
          <w:rStyle w:val="af7"/>
          <w:rFonts w:eastAsia="Guttman Hodes" w:hint="cs"/>
          <w:rtl/>
        </w:rPr>
        <w:t>ה גמ' א"ל)</w:t>
      </w:r>
      <w:r>
        <w:rPr>
          <w:rFonts w:hint="cs"/>
          <w:rtl/>
        </w:rPr>
        <w:t xml:space="preserve"> דהפשטות בגמ' </w:t>
      </w:r>
      <w:r>
        <w:rPr>
          <w:rStyle w:val="af9"/>
          <w:rFonts w:hint="cs"/>
          <w:rtl/>
        </w:rPr>
        <w:t>וב</w:t>
      </w:r>
      <w:r w:rsidRPr="00EC127D">
        <w:rPr>
          <w:rStyle w:val="af9"/>
          <w:rFonts w:hint="cs"/>
          <w:rtl/>
        </w:rPr>
        <w:t>רשב"ם</w:t>
      </w:r>
      <w:r>
        <w:rPr>
          <w:rFonts w:hint="cs"/>
          <w:rtl/>
        </w:rPr>
        <w:t xml:space="preserve"> </w:t>
      </w:r>
      <w:r w:rsidRPr="005305C4">
        <w:rPr>
          <w:rStyle w:val="af7"/>
          <w:rFonts w:eastAsia="Guttman Hodes" w:hint="cs"/>
          <w:rtl/>
        </w:rPr>
        <w:t xml:space="preserve">(עי' אות </w:t>
      </w:r>
      <w:r w:rsidRPr="005305C4">
        <w:rPr>
          <w:rStyle w:val="af7"/>
          <w:rFonts w:eastAsia="Guttman Hodes"/>
          <w:rtl/>
        </w:rPr>
        <w:fldChar w:fldCharType="begin"/>
      </w:r>
      <w:r w:rsidRPr="005305C4">
        <w:rPr>
          <w:rStyle w:val="af7"/>
          <w:rFonts w:eastAsia="Guttman Hodes"/>
          <w:rtl/>
        </w:rPr>
        <w:instrText xml:space="preserve"> </w:instrText>
      </w:r>
      <w:r w:rsidRPr="005305C4">
        <w:rPr>
          <w:rStyle w:val="af7"/>
          <w:rFonts w:eastAsia="Guttman Hodes" w:hint="cs"/>
        </w:rPr>
        <w:instrText>REF</w:instrText>
      </w:r>
      <w:r w:rsidRPr="005305C4">
        <w:rPr>
          <w:rStyle w:val="af7"/>
          <w:rFonts w:eastAsia="Guttman Hodes" w:hint="cs"/>
          <w:rtl/>
        </w:rPr>
        <w:instrText xml:space="preserve"> _</w:instrText>
      </w:r>
      <w:r w:rsidRPr="005305C4">
        <w:rPr>
          <w:rStyle w:val="af7"/>
          <w:rFonts w:eastAsia="Guttman Hodes" w:hint="cs"/>
        </w:rPr>
        <w:instrText>Ref57137155 \r \h</w:instrText>
      </w:r>
      <w:r w:rsidRPr="005305C4">
        <w:rPr>
          <w:rStyle w:val="af7"/>
          <w:rFonts w:eastAsia="Guttman Hodes"/>
          <w:rtl/>
        </w:rPr>
        <w:instrText xml:space="preserve"> </w:instrText>
      </w:r>
      <w:r w:rsidRPr="005305C4">
        <w:rPr>
          <w:rStyle w:val="af7"/>
          <w:rFonts w:eastAsia="Guttman Hodes"/>
          <w:rtl/>
        </w:rPr>
      </w:r>
      <w:r w:rsidRPr="005305C4">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5305C4">
        <w:rPr>
          <w:rStyle w:val="af7"/>
          <w:rFonts w:eastAsia="Guttman Hodes"/>
          <w:rtl/>
        </w:rPr>
        <w:fldChar w:fldCharType="end"/>
      </w:r>
      <w:r>
        <w:rPr>
          <w:rFonts w:hint="cs"/>
          <w:rtl/>
        </w:rPr>
        <w:t xml:space="preserve"> דלא היה ידוע כלל שהיה המערער דר בבית הפנימי, וכל הספק הוא מחמת טענת המערער, ודלא </w:t>
      </w:r>
      <w:r>
        <w:rPr>
          <w:rStyle w:val="af9"/>
          <w:rFonts w:hint="cs"/>
          <w:rtl/>
        </w:rPr>
        <w:t>כ</w:t>
      </w:r>
      <w:r w:rsidRPr="002E7DDD">
        <w:rPr>
          <w:rStyle w:val="af9"/>
          <w:rFonts w:hint="cs"/>
          <w:rtl/>
        </w:rPr>
        <w:t>התוס'</w:t>
      </w:r>
      <w:r>
        <w:rPr>
          <w:rFonts w:hint="cs"/>
          <w:rtl/>
        </w:rPr>
        <w:t xml:space="preserve"> </w:t>
      </w:r>
      <w:r w:rsidRPr="005A5927">
        <w:rPr>
          <w:rStyle w:val="af7"/>
          <w:rFonts w:eastAsia="Guttman Hodes" w:hint="cs"/>
          <w:rtl/>
        </w:rPr>
        <w:t xml:space="preserve">(עי' אות </w:t>
      </w:r>
      <w:r w:rsidRPr="005A5927">
        <w:rPr>
          <w:rStyle w:val="af7"/>
          <w:rFonts w:eastAsia="Guttman Hodes"/>
          <w:rtl/>
        </w:rPr>
        <w:fldChar w:fldCharType="begin"/>
      </w:r>
      <w:r w:rsidRPr="005A5927">
        <w:rPr>
          <w:rStyle w:val="af7"/>
          <w:rFonts w:eastAsia="Guttman Hodes"/>
          <w:rtl/>
        </w:rPr>
        <w:instrText xml:space="preserve"> </w:instrText>
      </w:r>
      <w:r w:rsidRPr="005A5927">
        <w:rPr>
          <w:rStyle w:val="af7"/>
          <w:rFonts w:eastAsia="Guttman Hodes" w:hint="cs"/>
        </w:rPr>
        <w:instrText>REF</w:instrText>
      </w:r>
      <w:r w:rsidRPr="005A5927">
        <w:rPr>
          <w:rStyle w:val="af7"/>
          <w:rFonts w:eastAsia="Guttman Hodes" w:hint="cs"/>
          <w:rtl/>
        </w:rPr>
        <w:instrText xml:space="preserve"> _</w:instrText>
      </w:r>
      <w:r w:rsidRPr="005A5927">
        <w:rPr>
          <w:rStyle w:val="af7"/>
          <w:rFonts w:eastAsia="Guttman Hodes" w:hint="cs"/>
        </w:rPr>
        <w:instrText>Ref57108495 \r \h</w:instrText>
      </w:r>
      <w:r w:rsidRPr="005A5927">
        <w:rPr>
          <w:rStyle w:val="af7"/>
          <w:rFonts w:eastAsia="Guttman Hodes"/>
          <w:rtl/>
        </w:rPr>
        <w:instrText xml:space="preserve"> </w:instrText>
      </w:r>
      <w:r w:rsidRPr="005A5927">
        <w:rPr>
          <w:rStyle w:val="af7"/>
          <w:rFonts w:eastAsia="Guttman Hodes"/>
          <w:rtl/>
        </w:rPr>
      </w:r>
      <w:r w:rsidRPr="005A5927">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5A5927">
        <w:rPr>
          <w:rStyle w:val="af7"/>
          <w:rFonts w:eastAsia="Guttman Hodes"/>
          <w:rtl/>
        </w:rPr>
        <w:fldChar w:fldCharType="end"/>
      </w:r>
      <w:r>
        <w:rPr>
          <w:rFonts w:hint="cs"/>
          <w:rtl/>
        </w:rPr>
        <w:t xml:space="preserve">, וביאר </w:t>
      </w:r>
      <w:r w:rsidRPr="00C06A4C">
        <w:rPr>
          <w:rStyle w:val="af9"/>
          <w:rFonts w:hint="cs"/>
          <w:rtl/>
        </w:rPr>
        <w:t>בשיעורי רבי שמואל</w:t>
      </w:r>
      <w:r>
        <w:rPr>
          <w:rFonts w:hint="cs"/>
          <w:rtl/>
        </w:rPr>
        <w:t xml:space="preserve"> דלדעת </w:t>
      </w:r>
      <w:r w:rsidRPr="002810C7">
        <w:rPr>
          <w:rStyle w:val="af9"/>
          <w:rFonts w:hint="cs"/>
          <w:rtl/>
        </w:rPr>
        <w:t>הרשב"ם</w:t>
      </w:r>
      <w:r>
        <w:rPr>
          <w:rFonts w:hint="cs"/>
          <w:rtl/>
        </w:rPr>
        <w:t xml:space="preserve"> זה גופא המח' של רבא ור"נ, דלר"נ מהני טענה כנגד החזקה, ולרבא לא מהני טענה, ולכן מקשה הגמ' מנכסי דבר סיסין, כיון שבלא הטענה של המוכר אין כל ספק לפנינו, והסתמא היא דהקרקע נקראת בר סיסין, ורק ע"י טענתו יש לנו ספק, וכ"כ </w:t>
      </w:r>
      <w:r w:rsidRPr="005A5927">
        <w:rPr>
          <w:rStyle w:val="af9"/>
          <w:rFonts w:hint="cs"/>
          <w:rtl/>
        </w:rPr>
        <w:t xml:space="preserve">בחי' רבי נחום </w:t>
      </w:r>
      <w:r w:rsidRPr="005A5927">
        <w:rPr>
          <w:rStyle w:val="af7"/>
          <w:rFonts w:eastAsia="Guttman Hodes" w:hint="cs"/>
          <w:rtl/>
        </w:rPr>
        <w:t xml:space="preserve">(עי' אות </w:t>
      </w:r>
      <w:r w:rsidRPr="005A5927">
        <w:rPr>
          <w:rStyle w:val="af7"/>
          <w:rFonts w:eastAsia="Guttman Hodes"/>
          <w:rtl/>
        </w:rPr>
        <w:fldChar w:fldCharType="begin"/>
      </w:r>
      <w:r w:rsidRPr="005A5927">
        <w:rPr>
          <w:rStyle w:val="af7"/>
          <w:rFonts w:eastAsia="Guttman Hodes"/>
          <w:rtl/>
        </w:rPr>
        <w:instrText xml:space="preserve"> </w:instrText>
      </w:r>
      <w:r w:rsidRPr="005A5927">
        <w:rPr>
          <w:rStyle w:val="af7"/>
          <w:rFonts w:eastAsia="Guttman Hodes" w:hint="cs"/>
        </w:rPr>
        <w:instrText>REF</w:instrText>
      </w:r>
      <w:r w:rsidRPr="005A5927">
        <w:rPr>
          <w:rStyle w:val="af7"/>
          <w:rFonts w:eastAsia="Guttman Hodes" w:hint="cs"/>
          <w:rtl/>
        </w:rPr>
        <w:instrText xml:space="preserve"> _</w:instrText>
      </w:r>
      <w:r w:rsidRPr="005A5927">
        <w:rPr>
          <w:rStyle w:val="af7"/>
          <w:rFonts w:eastAsia="Guttman Hodes" w:hint="cs"/>
        </w:rPr>
        <w:instrText>Ref57136115 \r \h</w:instrText>
      </w:r>
      <w:r w:rsidRPr="005A5927">
        <w:rPr>
          <w:rStyle w:val="af7"/>
          <w:rFonts w:eastAsia="Guttman Hodes"/>
          <w:rtl/>
        </w:rPr>
        <w:instrText xml:space="preserve"> </w:instrText>
      </w:r>
      <w:r w:rsidRPr="005A5927">
        <w:rPr>
          <w:rStyle w:val="af7"/>
          <w:rFonts w:eastAsia="Guttman Hodes"/>
          <w:rtl/>
        </w:rPr>
      </w:r>
      <w:r w:rsidRPr="005A5927">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5A5927">
        <w:rPr>
          <w:rStyle w:val="af7"/>
          <w:rFonts w:eastAsia="Guttman Hodes"/>
          <w:rtl/>
        </w:rPr>
        <w:fldChar w:fldCharType="end"/>
      </w:r>
      <w:r>
        <w:rPr>
          <w:rFonts w:hint="cs"/>
          <w:rtl/>
        </w:rPr>
        <w:t>.</w:t>
      </w:r>
      <w:bookmarkEnd w:id="7328"/>
    </w:p>
    <w:p w:rsidR="0019070E" w:rsidRPr="009E72FF" w:rsidRDefault="0019070E" w:rsidP="0019070E">
      <w:pPr>
        <w:pStyle w:val="a3"/>
        <w:rPr>
          <w:rtl/>
        </w:rPr>
      </w:pPr>
      <w:bookmarkStart w:id="7329" w:name="_Toc57544568"/>
      <w:bookmarkStart w:id="7330" w:name="_Toc58185088"/>
      <w:r>
        <w:rPr>
          <w:rFonts w:hint="cs"/>
          <w:rtl/>
        </w:rPr>
        <w:t>תירוץ הגרש"ר על קו' הרמב"ן</w:t>
      </w:r>
      <w:r w:rsidR="00A77F33">
        <w:rPr>
          <w:rFonts w:hint="cs"/>
          <w:rtl/>
        </w:rPr>
        <w:t xml:space="preserve"> </w:t>
      </w:r>
      <w:r>
        <w:rPr>
          <w:rFonts w:hint="cs"/>
          <w:rtl/>
        </w:rPr>
        <w:t>דלרשב"ם בסתמא נעשה מוחזק ולא חיישינן לטענת המערער</w:t>
      </w:r>
      <w:bookmarkEnd w:id="7329"/>
      <w:bookmarkEnd w:id="7330"/>
    </w:p>
    <w:p w:rsidR="0019070E" w:rsidRDefault="0019070E" w:rsidP="007E4E81">
      <w:pPr>
        <w:pStyle w:val="a0"/>
        <w:rPr>
          <w:rtl/>
        </w:rPr>
      </w:pPr>
      <w:bookmarkStart w:id="7331" w:name="_Ref57536379"/>
      <w:bookmarkStart w:id="7332" w:name="_Toc57234569"/>
      <w:bookmarkStart w:id="7333" w:name="_Toc57236157"/>
      <w:bookmarkStart w:id="7334" w:name="_Toc57310486"/>
      <w:bookmarkStart w:id="7335" w:name="_Toc57323046"/>
      <w:bookmarkStart w:id="7336" w:name="_Toc57323155"/>
      <w:bookmarkStart w:id="7337" w:name="_Toc57370406"/>
      <w:bookmarkStart w:id="7338" w:name="_Toc57491573"/>
      <w:bookmarkStart w:id="7339" w:name="_Toc57495390"/>
      <w:r>
        <w:rPr>
          <w:rFonts w:hint="cs"/>
          <w:rtl/>
        </w:rPr>
        <w:t xml:space="preserve">ולפי"ז תירץ </w:t>
      </w:r>
      <w:r w:rsidRPr="005305C4">
        <w:rPr>
          <w:rStyle w:val="af9"/>
          <w:rFonts w:hint="cs"/>
          <w:rtl/>
        </w:rPr>
        <w:t>בשיעורי רבי שמואל</w:t>
      </w:r>
      <w:r>
        <w:rPr>
          <w:rFonts w:hint="cs"/>
          <w:rtl/>
        </w:rPr>
        <w:t xml:space="preserve"> </w:t>
      </w:r>
      <w:r w:rsidRPr="005305C4">
        <w:rPr>
          <w:rStyle w:val="af7"/>
          <w:rFonts w:eastAsia="Guttman Hodes" w:hint="cs"/>
          <w:rtl/>
        </w:rPr>
        <w:t>(או</w:t>
      </w:r>
      <w:r w:rsidRPr="005305C4">
        <w:rPr>
          <w:rStyle w:val="af7"/>
          <w:rFonts w:eastAsia="Guttman Hodes"/>
          <w:rtl/>
        </w:rPr>
        <w:t>'</w:t>
      </w:r>
      <w:r w:rsidRPr="005305C4">
        <w:rPr>
          <w:rStyle w:val="af7"/>
          <w:rFonts w:eastAsia="Guttman Hodes" w:hint="cs"/>
          <w:rtl/>
        </w:rPr>
        <w:t xml:space="preserve"> ח</w:t>
      </w:r>
      <w:r w:rsidRPr="005305C4">
        <w:rPr>
          <w:rStyle w:val="af7"/>
          <w:rFonts w:eastAsia="Guttman Hodes"/>
          <w:rtl/>
        </w:rPr>
        <w:t>'</w:t>
      </w:r>
      <w:r w:rsidRPr="005305C4">
        <w:rPr>
          <w:rStyle w:val="af7"/>
          <w:rFonts w:eastAsia="Guttman Hodes" w:hint="cs"/>
          <w:rtl/>
        </w:rPr>
        <w:t xml:space="preserve"> ד</w:t>
      </w:r>
      <w:r w:rsidRPr="005305C4">
        <w:rPr>
          <w:rStyle w:val="af7"/>
          <w:rFonts w:eastAsia="Guttman Hodes"/>
          <w:rtl/>
        </w:rPr>
        <w:t>"</w:t>
      </w:r>
      <w:r w:rsidRPr="005305C4">
        <w:rPr>
          <w:rStyle w:val="af7"/>
          <w:rFonts w:eastAsia="Guttman Hodes" w:hint="cs"/>
          <w:rtl/>
        </w:rPr>
        <w:t>ה גמ' א"ל)</w:t>
      </w:r>
      <w:r>
        <w:rPr>
          <w:rFonts w:hint="cs"/>
          <w:rtl/>
        </w:rPr>
        <w:t xml:space="preserve"> את קושית </w:t>
      </w:r>
      <w:r w:rsidRPr="002E7DDD">
        <w:rPr>
          <w:rStyle w:val="af9"/>
          <w:rFonts w:hint="cs"/>
          <w:rtl/>
        </w:rPr>
        <w:t>הרמב"ן</w:t>
      </w:r>
      <w:r>
        <w:rPr>
          <w:rFonts w:hint="cs"/>
          <w:rtl/>
        </w:rPr>
        <w:t xml:space="preserve"> </w:t>
      </w:r>
      <w:r w:rsidRPr="002E7DDD">
        <w:rPr>
          <w:rStyle w:val="af7"/>
          <w:rFonts w:eastAsia="Guttman Hodes" w:hint="cs"/>
          <w:rtl/>
        </w:rPr>
        <w:t xml:space="preserve">(עי' אות </w:t>
      </w:r>
      <w:r w:rsidRPr="002E7DDD">
        <w:rPr>
          <w:rStyle w:val="af7"/>
          <w:rFonts w:eastAsia="Guttman Hodes"/>
          <w:rtl/>
        </w:rPr>
        <w:fldChar w:fldCharType="begin"/>
      </w:r>
      <w:r w:rsidRPr="002E7DDD">
        <w:rPr>
          <w:rStyle w:val="af7"/>
          <w:rFonts w:eastAsia="Guttman Hodes"/>
          <w:rtl/>
        </w:rPr>
        <w:instrText xml:space="preserve"> </w:instrText>
      </w:r>
      <w:r w:rsidRPr="002E7DDD">
        <w:rPr>
          <w:rStyle w:val="af7"/>
          <w:rFonts w:eastAsia="Guttman Hodes" w:hint="cs"/>
        </w:rPr>
        <w:instrText>REF</w:instrText>
      </w:r>
      <w:r w:rsidRPr="002E7DDD">
        <w:rPr>
          <w:rStyle w:val="af7"/>
          <w:rFonts w:eastAsia="Guttman Hodes" w:hint="cs"/>
          <w:rtl/>
        </w:rPr>
        <w:instrText xml:space="preserve"> _</w:instrText>
      </w:r>
      <w:r w:rsidRPr="002E7DDD">
        <w:rPr>
          <w:rStyle w:val="af7"/>
          <w:rFonts w:eastAsia="Guttman Hodes" w:hint="cs"/>
        </w:rPr>
        <w:instrText>Ref57051211 \r \h</w:instrText>
      </w:r>
      <w:r w:rsidRPr="002E7DDD">
        <w:rPr>
          <w:rStyle w:val="af7"/>
          <w:rFonts w:eastAsia="Guttman Hodes"/>
          <w:rtl/>
        </w:rPr>
        <w:instrText xml:space="preserve"> </w:instrText>
      </w:r>
      <w:r w:rsidRPr="002E7DDD">
        <w:rPr>
          <w:rStyle w:val="af7"/>
          <w:rFonts w:eastAsia="Guttman Hodes"/>
          <w:rtl/>
        </w:rPr>
      </w:r>
      <w:r w:rsidRPr="002E7DDD">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2E7DDD">
        <w:rPr>
          <w:rStyle w:val="af7"/>
          <w:rFonts w:eastAsia="Guttman Hodes"/>
          <w:rtl/>
        </w:rPr>
        <w:fldChar w:fldCharType="end"/>
      </w:r>
      <w:r>
        <w:rPr>
          <w:rFonts w:hint="cs"/>
          <w:rtl/>
        </w:rPr>
        <w:t xml:space="preserve"> </w:t>
      </w:r>
      <w:r>
        <w:rPr>
          <w:rStyle w:val="af9"/>
          <w:rFonts w:hint="cs"/>
          <w:rtl/>
        </w:rPr>
        <w:t>על ה</w:t>
      </w:r>
      <w:r w:rsidRPr="002E7DDD">
        <w:rPr>
          <w:rStyle w:val="af9"/>
          <w:rFonts w:hint="cs"/>
          <w:rtl/>
        </w:rPr>
        <w:t>רשב"ם</w:t>
      </w:r>
      <w:r w:rsidRPr="00B052D6">
        <w:rPr>
          <w:rFonts w:hint="cs"/>
          <w:rtl/>
        </w:rPr>
        <w:t xml:space="preserve"> </w:t>
      </w:r>
      <w:r w:rsidRPr="00317C57">
        <w:rPr>
          <w:rStyle w:val="af7"/>
          <w:rFonts w:eastAsia="Guttman Hodes" w:hint="cs"/>
          <w:rtl/>
        </w:rPr>
        <w:t xml:space="preserve">(עי' אות </w:t>
      </w:r>
      <w:r w:rsidRPr="00317C57">
        <w:rPr>
          <w:rStyle w:val="af7"/>
          <w:rFonts w:eastAsia="Guttman Hodes"/>
          <w:rtl/>
        </w:rPr>
        <w:fldChar w:fldCharType="begin"/>
      </w:r>
      <w:r w:rsidRPr="00317C57">
        <w:rPr>
          <w:rStyle w:val="af7"/>
          <w:rFonts w:eastAsia="Guttman Hodes"/>
          <w:rtl/>
        </w:rPr>
        <w:instrText xml:space="preserve"> </w:instrText>
      </w:r>
      <w:r w:rsidRPr="00317C57">
        <w:rPr>
          <w:rStyle w:val="af7"/>
          <w:rFonts w:eastAsia="Guttman Hodes" w:hint="cs"/>
        </w:rPr>
        <w:instrText>REF</w:instrText>
      </w:r>
      <w:r w:rsidRPr="00317C57">
        <w:rPr>
          <w:rStyle w:val="af7"/>
          <w:rFonts w:eastAsia="Guttman Hodes" w:hint="cs"/>
          <w:rtl/>
        </w:rPr>
        <w:instrText xml:space="preserve"> _</w:instrText>
      </w:r>
      <w:r w:rsidRPr="00317C57">
        <w:rPr>
          <w:rStyle w:val="af7"/>
          <w:rFonts w:eastAsia="Guttman Hodes" w:hint="cs"/>
        </w:rPr>
        <w:instrText>Ref56936382 \r \h</w:instrText>
      </w:r>
      <w:r w:rsidRPr="00317C57">
        <w:rPr>
          <w:rStyle w:val="af7"/>
          <w:rFonts w:eastAsia="Guttman Hodes"/>
          <w:rtl/>
        </w:rPr>
        <w:instrText xml:space="preserve"> </w:instrText>
      </w:r>
      <w:r w:rsidRPr="00317C57">
        <w:rPr>
          <w:rStyle w:val="af7"/>
          <w:rFonts w:eastAsia="Guttman Hodes"/>
          <w:rtl/>
        </w:rPr>
      </w:r>
      <w:r w:rsidRPr="00317C57">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317C57">
        <w:rPr>
          <w:rStyle w:val="af7"/>
          <w:rFonts w:eastAsia="Guttman Hodes"/>
          <w:rtl/>
        </w:rPr>
        <w:fldChar w:fldCharType="end"/>
      </w:r>
      <w:r w:rsidRPr="00317C57">
        <w:rPr>
          <w:rStyle w:val="af7"/>
          <w:rFonts w:eastAsia="Guttman Hodes" w:hint="cs"/>
          <w:rtl/>
        </w:rPr>
        <w:t xml:space="preserve"> </w:t>
      </w:r>
      <w:r>
        <w:rPr>
          <w:rFonts w:hint="cs"/>
          <w:rtl/>
        </w:rPr>
        <w:t xml:space="preserve">דאמאי אמר רבא דעל המערער </w:t>
      </w:r>
      <w:r>
        <w:rPr>
          <w:rFonts w:hint="cs"/>
          <w:rtl/>
        </w:rPr>
        <w:t xml:space="preserve">להביא ראיה, והרי כל שהמחזיק מתגורר בבית יחד עם הבעלים, לא הוי חזקה, דס"ל </w:t>
      </w:r>
      <w:r w:rsidRPr="005305C4">
        <w:rPr>
          <w:rStyle w:val="af9"/>
          <w:rFonts w:hint="cs"/>
          <w:rtl/>
        </w:rPr>
        <w:t>להרשב"ם</w:t>
      </w:r>
      <w:r>
        <w:rPr>
          <w:rFonts w:hint="cs"/>
          <w:rtl/>
        </w:rPr>
        <w:t xml:space="preserve"> דכיון שהסתמא היא דהמערער לא היה עובר דרך הבית החיצוןא"כ חזקת המחזיק היא חזקה, והוא נעשה המוחזק לכן לא חיישינן שמא עבר עליו, והמערער חשיב שמוציא ממוחזק, וכדכתב </w:t>
      </w:r>
      <w:r w:rsidRPr="00C43AD0">
        <w:rPr>
          <w:rStyle w:val="af9"/>
          <w:rFonts w:hint="cs"/>
          <w:rtl/>
        </w:rPr>
        <w:t>הרשב"ם</w:t>
      </w:r>
      <w:r>
        <w:rPr>
          <w:rFonts w:hint="cs"/>
          <w:rtl/>
        </w:rPr>
        <w:t xml:space="preserve"> </w:t>
      </w:r>
      <w:r w:rsidRPr="005305C4">
        <w:rPr>
          <w:rStyle w:val="af7"/>
          <w:rFonts w:eastAsia="Guttman Hodes" w:hint="cs"/>
          <w:rtl/>
        </w:rPr>
        <w:t xml:space="preserve">(עי' אות </w:t>
      </w:r>
      <w:r w:rsidRPr="005305C4">
        <w:rPr>
          <w:rStyle w:val="af7"/>
          <w:rFonts w:eastAsia="Guttman Hodes"/>
          <w:rtl/>
        </w:rPr>
        <w:fldChar w:fldCharType="begin"/>
      </w:r>
      <w:r w:rsidRPr="005305C4">
        <w:rPr>
          <w:rStyle w:val="af7"/>
          <w:rFonts w:eastAsia="Guttman Hodes"/>
          <w:rtl/>
        </w:rPr>
        <w:instrText xml:space="preserve"> </w:instrText>
      </w:r>
      <w:r w:rsidRPr="005305C4">
        <w:rPr>
          <w:rStyle w:val="af7"/>
          <w:rFonts w:eastAsia="Guttman Hodes" w:hint="cs"/>
        </w:rPr>
        <w:instrText>REF</w:instrText>
      </w:r>
      <w:r w:rsidRPr="005305C4">
        <w:rPr>
          <w:rStyle w:val="af7"/>
          <w:rFonts w:eastAsia="Guttman Hodes" w:hint="cs"/>
          <w:rtl/>
        </w:rPr>
        <w:instrText xml:space="preserve"> _</w:instrText>
      </w:r>
      <w:r w:rsidRPr="005305C4">
        <w:rPr>
          <w:rStyle w:val="af7"/>
          <w:rFonts w:eastAsia="Guttman Hodes" w:hint="cs"/>
        </w:rPr>
        <w:instrText>Ref57137155 \r \h</w:instrText>
      </w:r>
      <w:r w:rsidRPr="005305C4">
        <w:rPr>
          <w:rStyle w:val="af7"/>
          <w:rFonts w:eastAsia="Guttman Hodes"/>
          <w:rtl/>
        </w:rPr>
        <w:instrText xml:space="preserve"> </w:instrText>
      </w:r>
      <w:r w:rsidRPr="005305C4">
        <w:rPr>
          <w:rStyle w:val="af7"/>
          <w:rFonts w:eastAsia="Guttman Hodes"/>
          <w:rtl/>
        </w:rPr>
      </w:r>
      <w:r w:rsidRPr="005305C4">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5305C4">
        <w:rPr>
          <w:rStyle w:val="af7"/>
          <w:rFonts w:eastAsia="Guttman Hodes"/>
          <w:rtl/>
        </w:rPr>
        <w:fldChar w:fldCharType="end"/>
      </w:r>
      <w:r>
        <w:rPr>
          <w:rFonts w:hint="cs"/>
          <w:rtl/>
        </w:rPr>
        <w:t xml:space="preserve"> דאין לנו לחוש לזה.</w:t>
      </w:r>
    </w:p>
    <w:p w:rsidR="0019070E" w:rsidRDefault="0019070E" w:rsidP="0019070E">
      <w:pPr>
        <w:pStyle w:val="1"/>
        <w:rPr>
          <w:rtl/>
        </w:rPr>
      </w:pPr>
      <w:bookmarkStart w:id="7340" w:name="_Toc57544569"/>
      <w:bookmarkStart w:id="7341" w:name="_Toc58185089"/>
      <w:r>
        <w:rPr>
          <w:rFonts w:hint="cs"/>
          <w:rtl/>
        </w:rPr>
        <w:t>ביאור הגרש"ר בנימוק"י דנח' רבא ור"נ בטענה וסתמא דחזקה</w:t>
      </w:r>
      <w:bookmarkEnd w:id="7340"/>
      <w:bookmarkEnd w:id="7341"/>
    </w:p>
    <w:p w:rsidR="0019070E" w:rsidRPr="000915D3" w:rsidRDefault="0019070E" w:rsidP="0019070E">
      <w:pPr>
        <w:pStyle w:val="a3"/>
        <w:rPr>
          <w:rtl/>
        </w:rPr>
      </w:pPr>
      <w:bookmarkStart w:id="7342" w:name="_Toc57544570"/>
      <w:bookmarkStart w:id="7343" w:name="_Toc58185090"/>
      <w:r>
        <w:rPr>
          <w:rFonts w:hint="cs"/>
          <w:rtl/>
        </w:rPr>
        <w:t>ביאור הגרש"ר בנימוק"י דפלוגתת רבא ור"נ אי מהני טענה כנגד סתמא של חזקת ג"ש</w:t>
      </w:r>
      <w:bookmarkEnd w:id="7342"/>
      <w:bookmarkEnd w:id="7343"/>
    </w:p>
    <w:p w:rsidR="0019070E" w:rsidRDefault="0019070E" w:rsidP="007E4E81">
      <w:pPr>
        <w:pStyle w:val="a0"/>
        <w:rPr>
          <w:rtl/>
        </w:rPr>
      </w:pPr>
      <w:bookmarkStart w:id="7344" w:name="_Ref57537945"/>
      <w:bookmarkEnd w:id="7331"/>
      <w:r>
        <w:rPr>
          <w:rFonts w:hint="cs"/>
          <w:rtl/>
        </w:rPr>
        <w:t>וכן במ"ש</w:t>
      </w:r>
      <w:r w:rsidRPr="00251201">
        <w:rPr>
          <w:rStyle w:val="af9"/>
          <w:rFonts w:hint="cs"/>
          <w:rtl/>
        </w:rPr>
        <w:t xml:space="preserve"> </w:t>
      </w:r>
      <w:r w:rsidRPr="00DE1094">
        <w:rPr>
          <w:rStyle w:val="af9"/>
          <w:rFonts w:hint="cs"/>
          <w:rtl/>
        </w:rPr>
        <w:t xml:space="preserve">הנימוק"י </w:t>
      </w:r>
      <w:r w:rsidRPr="00673A80">
        <w:rPr>
          <w:rStyle w:val="af9"/>
          <w:rFonts w:hint="cs"/>
          <w:rtl/>
        </w:rPr>
        <w:t>[והרמב"ן]</w:t>
      </w:r>
      <w:r>
        <w:rPr>
          <w:rFonts w:hint="cs"/>
          <w:rtl/>
        </w:rPr>
        <w:t xml:space="preserve"> </w:t>
      </w:r>
      <w:r w:rsidRPr="00C43AD0">
        <w:rPr>
          <w:rStyle w:val="af7"/>
          <w:rFonts w:eastAsia="Guttman Hodes" w:hint="cs"/>
          <w:rtl/>
        </w:rPr>
        <w:t xml:space="preserve">(עי' אות </w:t>
      </w:r>
      <w:r w:rsidRPr="00C43AD0">
        <w:rPr>
          <w:rStyle w:val="af7"/>
          <w:rFonts w:eastAsia="Guttman Hodes"/>
          <w:rtl/>
        </w:rPr>
        <w:fldChar w:fldCharType="begin"/>
      </w:r>
      <w:r w:rsidRPr="00C43AD0">
        <w:rPr>
          <w:rStyle w:val="af7"/>
          <w:rFonts w:eastAsia="Guttman Hodes"/>
          <w:rtl/>
        </w:rPr>
        <w:instrText xml:space="preserve"> </w:instrText>
      </w:r>
      <w:r w:rsidRPr="00C43AD0">
        <w:rPr>
          <w:rStyle w:val="af7"/>
          <w:rFonts w:eastAsia="Guttman Hodes" w:hint="cs"/>
        </w:rPr>
        <w:instrText>REF</w:instrText>
      </w:r>
      <w:r w:rsidRPr="00C43AD0">
        <w:rPr>
          <w:rStyle w:val="af7"/>
          <w:rFonts w:eastAsia="Guttman Hodes" w:hint="cs"/>
          <w:rtl/>
        </w:rPr>
        <w:instrText xml:space="preserve"> _</w:instrText>
      </w:r>
      <w:r w:rsidRPr="00C43AD0">
        <w:rPr>
          <w:rStyle w:val="af7"/>
          <w:rFonts w:eastAsia="Guttman Hodes" w:hint="cs"/>
        </w:rPr>
        <w:instrText>Ref57321016 \r \h</w:instrText>
      </w:r>
      <w:r w:rsidRPr="00C43AD0">
        <w:rPr>
          <w:rStyle w:val="af7"/>
          <w:rFonts w:eastAsia="Guttman Hodes"/>
          <w:rtl/>
        </w:rPr>
        <w:instrText xml:space="preserve"> </w:instrText>
      </w:r>
      <w:r w:rsidRPr="00C43AD0">
        <w:rPr>
          <w:rStyle w:val="af7"/>
          <w:rFonts w:eastAsia="Guttman Hodes"/>
          <w:rtl/>
        </w:rPr>
      </w:r>
      <w:r w:rsidRPr="00C43AD0">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C43AD0">
        <w:rPr>
          <w:rStyle w:val="af7"/>
          <w:rFonts w:eastAsia="Guttman Hodes"/>
          <w:rtl/>
        </w:rPr>
        <w:fldChar w:fldCharType="end"/>
      </w:r>
      <w:r w:rsidRPr="00DE1094">
        <w:rPr>
          <w:rFonts w:hint="cs"/>
          <w:rtl/>
        </w:rPr>
        <w:t xml:space="preserve"> דשיכוני גוואי </w:t>
      </w:r>
      <w:r>
        <w:rPr>
          <w:rFonts w:hint="cs"/>
          <w:rtl/>
        </w:rPr>
        <w:t xml:space="preserve">היינו שהיה המערער בארץ רחוקה, ולא היה יכול למחות, </w:t>
      </w:r>
      <w:r w:rsidRPr="00DE1094">
        <w:rPr>
          <w:rFonts w:hint="cs"/>
          <w:rtl/>
        </w:rPr>
        <w:t>ביאר</w:t>
      </w:r>
      <w:r w:rsidRPr="00DE1094">
        <w:rPr>
          <w:rStyle w:val="af9"/>
          <w:rFonts w:hint="cs"/>
          <w:rtl/>
        </w:rPr>
        <w:t xml:space="preserve"> בשיעורי רבי שמואל</w:t>
      </w:r>
      <w:r w:rsidRPr="00DE1094">
        <w:rPr>
          <w:rFonts w:hint="cs"/>
          <w:rtl/>
        </w:rPr>
        <w:t xml:space="preserve"> </w:t>
      </w:r>
      <w:r w:rsidRPr="00DE1094">
        <w:rPr>
          <w:rStyle w:val="af7"/>
          <w:rFonts w:eastAsia="Guttman Hodes" w:hint="cs"/>
          <w:rtl/>
        </w:rPr>
        <w:t>(או' סוד"ה גמ' א"ל)</w:t>
      </w:r>
      <w:r w:rsidRPr="00DE1094">
        <w:rPr>
          <w:rFonts w:hint="cs"/>
          <w:rtl/>
        </w:rPr>
        <w:t xml:space="preserve"> דכיון </w:t>
      </w:r>
      <w:r>
        <w:rPr>
          <w:rFonts w:hint="cs"/>
          <w:rtl/>
        </w:rPr>
        <w:t>שיש סתמא דחזקה לפנינו, ו</w:t>
      </w:r>
      <w:r w:rsidRPr="00DE1094">
        <w:rPr>
          <w:rFonts w:hint="cs"/>
          <w:rtl/>
        </w:rPr>
        <w:t>הספק הוא מחמת טענת ה</w:t>
      </w:r>
      <w:r>
        <w:rPr>
          <w:rFonts w:hint="cs"/>
          <w:rtl/>
        </w:rPr>
        <w:t xml:space="preserve">מערער, בזה גופא נח' רבא ור"נ, דלר"נ מהני טענה כנגד החזקה, ולרבא לא מהני טענה, </w:t>
      </w:r>
      <w:r w:rsidRPr="00D02015">
        <w:rPr>
          <w:rStyle w:val="afb"/>
          <w:rFonts w:hint="cs"/>
          <w:rtl/>
        </w:rPr>
        <w:t xml:space="preserve">[וכדביאר </w:t>
      </w:r>
      <w:r w:rsidRPr="00673A80">
        <w:rPr>
          <w:rStyle w:val="affa"/>
          <w:rFonts w:hint="cs"/>
          <w:rtl/>
        </w:rPr>
        <w:t>בשיעורי רבי שמואל</w:t>
      </w:r>
      <w:r w:rsidRPr="00D02015">
        <w:rPr>
          <w:rStyle w:val="afb"/>
          <w:rFonts w:hint="cs"/>
          <w:rtl/>
        </w:rPr>
        <w:t xml:space="preserve"> </w:t>
      </w:r>
      <w:r w:rsidRPr="00673A80">
        <w:rPr>
          <w:rStyle w:val="aff6"/>
          <w:rFonts w:hint="cs"/>
          <w:rtl/>
        </w:rPr>
        <w:t xml:space="preserve">(עי' אות </w:t>
      </w:r>
      <w:r w:rsidRPr="00673A80">
        <w:rPr>
          <w:rStyle w:val="aff6"/>
          <w:rtl/>
        </w:rPr>
        <w:fldChar w:fldCharType="begin"/>
      </w:r>
      <w:r w:rsidRPr="00673A80">
        <w:rPr>
          <w:rStyle w:val="aff6"/>
          <w:rtl/>
        </w:rPr>
        <w:instrText xml:space="preserve"> </w:instrText>
      </w:r>
      <w:r w:rsidRPr="00673A80">
        <w:rPr>
          <w:rStyle w:val="aff6"/>
          <w:rFonts w:hint="cs"/>
        </w:rPr>
        <w:instrText>REF</w:instrText>
      </w:r>
      <w:r w:rsidRPr="00673A80">
        <w:rPr>
          <w:rStyle w:val="aff6"/>
          <w:rFonts w:hint="cs"/>
          <w:rtl/>
        </w:rPr>
        <w:instrText xml:space="preserve"> _</w:instrText>
      </w:r>
      <w:r w:rsidRPr="00673A80">
        <w:rPr>
          <w:rStyle w:val="aff6"/>
          <w:rFonts w:hint="cs"/>
        </w:rPr>
        <w:instrText>Ref57535755 \r \h</w:instrText>
      </w:r>
      <w:r w:rsidRPr="00673A80">
        <w:rPr>
          <w:rStyle w:val="aff6"/>
          <w:rtl/>
        </w:rPr>
        <w:instrText xml:space="preserve"> </w:instrText>
      </w:r>
      <w:r w:rsidRPr="00673A80">
        <w:rPr>
          <w:rStyle w:val="aff6"/>
          <w:rtl/>
        </w:rPr>
      </w:r>
      <w:r w:rsidRPr="00673A80">
        <w:rPr>
          <w:rStyle w:val="aff6"/>
          <w:rtl/>
        </w:rPr>
        <w:fldChar w:fldCharType="separate"/>
      </w:r>
      <w:r w:rsidR="00265073">
        <w:rPr>
          <w:rStyle w:val="aff6"/>
          <w:cs/>
        </w:rPr>
        <w:t>‎</w:t>
      </w:r>
      <w:r w:rsidR="00265073">
        <w:rPr>
          <w:rStyle w:val="aff6"/>
          <w:rtl/>
        </w:rPr>
        <w:t>קכא)</w:t>
      </w:r>
      <w:r w:rsidRPr="00673A80">
        <w:rPr>
          <w:rStyle w:val="aff6"/>
          <w:rtl/>
        </w:rPr>
        <w:fldChar w:fldCharType="end"/>
      </w:r>
      <w:r w:rsidRPr="00D02015">
        <w:rPr>
          <w:rStyle w:val="afb"/>
          <w:rFonts w:hint="cs"/>
          <w:rtl/>
        </w:rPr>
        <w:t xml:space="preserve"> בדעת </w:t>
      </w:r>
      <w:r w:rsidRPr="00673A80">
        <w:rPr>
          <w:rStyle w:val="affa"/>
          <w:rFonts w:hint="cs"/>
          <w:rtl/>
        </w:rPr>
        <w:t>הרשב"ם</w:t>
      </w:r>
      <w:r w:rsidRPr="00D02015">
        <w:rPr>
          <w:rStyle w:val="afb"/>
          <w:rFonts w:hint="cs"/>
          <w:rtl/>
        </w:rPr>
        <w:t xml:space="preserve">], </w:t>
      </w:r>
      <w:r>
        <w:rPr>
          <w:rFonts w:hint="cs"/>
          <w:rtl/>
        </w:rPr>
        <w:t>ולכן מקשה הגמ' מנכסי דבר סיסין, כיון שבלא הטענה של המוכר אין כל ספק לפנינו, והסתמא היא דהקרקע נקראת בר סיסין, ורק ע"י טענתו יש לנו ספק.</w:t>
      </w:r>
      <w:bookmarkEnd w:id="7344"/>
    </w:p>
    <w:p w:rsidR="0019070E" w:rsidRPr="00673A80" w:rsidRDefault="0019070E" w:rsidP="0019070E">
      <w:pPr>
        <w:pStyle w:val="a3"/>
      </w:pPr>
      <w:bookmarkStart w:id="7345" w:name="_Toc57544571"/>
      <w:bookmarkStart w:id="7346" w:name="_Toc58185091"/>
      <w:r>
        <w:rPr>
          <w:rFonts w:hint="cs"/>
          <w:rtl/>
        </w:rPr>
        <w:t>קושית הגרש"ר על הקצוה"ח דנח' אי טענת המערער כמחאה דא"כ לא דמי לנכסי דבר סיסין</w:t>
      </w:r>
      <w:bookmarkEnd w:id="7345"/>
      <w:bookmarkEnd w:id="7346"/>
    </w:p>
    <w:p w:rsidR="0019070E" w:rsidRDefault="0019070E" w:rsidP="007E4E81">
      <w:pPr>
        <w:pStyle w:val="a0"/>
        <w:rPr>
          <w:rtl/>
        </w:rPr>
      </w:pPr>
      <w:bookmarkStart w:id="7347" w:name="_Ref57537785"/>
      <w:r>
        <w:rPr>
          <w:rFonts w:hint="cs"/>
          <w:rtl/>
        </w:rPr>
        <w:t xml:space="preserve">אך כתב </w:t>
      </w:r>
      <w:r w:rsidRPr="00673A80">
        <w:rPr>
          <w:rStyle w:val="af9"/>
          <w:rFonts w:hint="cs"/>
          <w:rtl/>
        </w:rPr>
        <w:t>בשיעורי רבי שמואל דבקצוה"ח</w:t>
      </w:r>
      <w:r>
        <w:rPr>
          <w:rFonts w:hint="cs"/>
          <w:rtl/>
        </w:rPr>
        <w:t xml:space="preserve"> </w:t>
      </w:r>
      <w:r w:rsidRPr="00CF6AA0">
        <w:rPr>
          <w:rStyle w:val="af7"/>
          <w:rFonts w:eastAsia="Guttman Rashi" w:hint="cs"/>
          <w:rtl/>
        </w:rPr>
        <w:t xml:space="preserve">(עי' אות </w:t>
      </w:r>
      <w:r w:rsidRPr="00CF6AA0">
        <w:rPr>
          <w:rStyle w:val="af7"/>
          <w:rFonts w:eastAsia="Guttman Rashi"/>
          <w:rtl/>
        </w:rPr>
        <w:fldChar w:fldCharType="begin"/>
      </w:r>
      <w:r w:rsidRPr="00CF6AA0">
        <w:rPr>
          <w:rStyle w:val="af7"/>
          <w:rFonts w:eastAsia="Guttman Rashi"/>
          <w:rtl/>
        </w:rPr>
        <w:instrText xml:space="preserve"> </w:instrText>
      </w:r>
      <w:r w:rsidRPr="00CF6AA0">
        <w:rPr>
          <w:rStyle w:val="af7"/>
          <w:rFonts w:eastAsia="Guttman Rashi" w:hint="cs"/>
        </w:rPr>
        <w:instrText>REF</w:instrText>
      </w:r>
      <w:r w:rsidRPr="00CF6AA0">
        <w:rPr>
          <w:rStyle w:val="af7"/>
          <w:rFonts w:eastAsia="Guttman Rashi" w:hint="cs"/>
          <w:rtl/>
        </w:rPr>
        <w:instrText xml:space="preserve"> _</w:instrText>
      </w:r>
      <w:r w:rsidRPr="00CF6AA0">
        <w:rPr>
          <w:rStyle w:val="af7"/>
          <w:rFonts w:eastAsia="Guttman Rashi" w:hint="cs"/>
        </w:rPr>
        <w:instrText>Ref57109898 \r \h</w:instrText>
      </w:r>
      <w:r w:rsidRPr="00CF6AA0">
        <w:rPr>
          <w:rStyle w:val="af7"/>
          <w:rFonts w:eastAsia="Guttman Rashi"/>
          <w:rtl/>
        </w:rPr>
        <w:instrText xml:space="preserve"> </w:instrText>
      </w:r>
      <w:r w:rsidRPr="00CF6AA0">
        <w:rPr>
          <w:rStyle w:val="af7"/>
          <w:rFonts w:eastAsia="Guttman Rashi"/>
          <w:rtl/>
        </w:rPr>
      </w:r>
      <w:r w:rsidRPr="00CF6AA0">
        <w:rPr>
          <w:rStyle w:val="af7"/>
          <w:rFonts w:eastAsia="Guttman Rashi"/>
          <w:rtl/>
        </w:rPr>
        <w:fldChar w:fldCharType="separate"/>
      </w:r>
      <w:r w:rsidR="00265073">
        <w:rPr>
          <w:rStyle w:val="af7"/>
          <w:rFonts w:eastAsia="Guttman Rashi"/>
          <w:cs/>
        </w:rPr>
        <w:t>‎</w:t>
      </w:r>
      <w:r w:rsidR="00265073">
        <w:rPr>
          <w:rStyle w:val="af7"/>
          <w:rFonts w:eastAsia="Guttman Rashi"/>
          <w:rtl/>
        </w:rPr>
        <w:t>לט)</w:t>
      </w:r>
      <w:r w:rsidRPr="00CF6AA0">
        <w:rPr>
          <w:rStyle w:val="af7"/>
          <w:rFonts w:eastAsia="Guttman Rashi"/>
          <w:rtl/>
        </w:rPr>
        <w:fldChar w:fldCharType="end"/>
      </w:r>
      <w:r>
        <w:rPr>
          <w:rStyle w:val="aff6"/>
          <w:rFonts w:hint="cs"/>
          <w:rtl/>
        </w:rPr>
        <w:t xml:space="preserve"> </w:t>
      </w:r>
      <w:r>
        <w:rPr>
          <w:rFonts w:hint="cs"/>
          <w:rtl/>
        </w:rPr>
        <w:t xml:space="preserve">משמע דנחלקו רבא ור"נ אי טענת המערער שהיה בשכוני גוואי חשיב כמאה, אך הקשה </w:t>
      </w:r>
      <w:r w:rsidRPr="00673A80">
        <w:rPr>
          <w:rStyle w:val="af9"/>
          <w:rFonts w:hint="cs"/>
          <w:rtl/>
        </w:rPr>
        <w:t>בשיעורי רבי שמואל</w:t>
      </w:r>
      <w:r>
        <w:rPr>
          <w:rFonts w:hint="cs"/>
          <w:rtl/>
        </w:rPr>
        <w:t xml:space="preserve"> על </w:t>
      </w:r>
      <w:r w:rsidRPr="00673A80">
        <w:rPr>
          <w:rStyle w:val="af9"/>
          <w:rFonts w:hint="cs"/>
          <w:rtl/>
        </w:rPr>
        <w:t>הקצוה"ח</w:t>
      </w:r>
      <w:r>
        <w:rPr>
          <w:rFonts w:hint="cs"/>
          <w:rtl/>
        </w:rPr>
        <w:t xml:space="preserve"> דא"כ מה מקשה הגמ' מנכסי דבר סיסין, הרי שם לא שייך הנדון במחאה.</w:t>
      </w:r>
      <w:bookmarkEnd w:id="7347"/>
    </w:p>
    <w:p w:rsidR="0019070E" w:rsidRDefault="0019070E" w:rsidP="0019070E">
      <w:pPr>
        <w:pStyle w:val="1"/>
        <w:rPr>
          <w:rtl/>
        </w:rPr>
      </w:pPr>
      <w:bookmarkStart w:id="7348" w:name="_Toc57544572"/>
      <w:bookmarkStart w:id="7349" w:name="_Toc58185092"/>
      <w:bookmarkStart w:id="7350" w:name="_Toc57234570"/>
      <w:bookmarkStart w:id="7351" w:name="_Toc57236158"/>
      <w:bookmarkStart w:id="7352" w:name="_Toc57310487"/>
      <w:bookmarkStart w:id="7353" w:name="_Toc57323047"/>
      <w:bookmarkStart w:id="7354" w:name="_Toc57323156"/>
      <w:bookmarkStart w:id="7355" w:name="_Toc57370407"/>
      <w:bookmarkStart w:id="7356" w:name="_Toc57491574"/>
      <w:bookmarkStart w:id="7357" w:name="_Toc57495391"/>
      <w:bookmarkStart w:id="7358" w:name="_Toc57234573"/>
      <w:bookmarkStart w:id="7359" w:name="_Toc57236161"/>
      <w:bookmarkStart w:id="7360" w:name="_Toc57310490"/>
      <w:bookmarkStart w:id="7361" w:name="_Toc57323050"/>
      <w:bookmarkStart w:id="7362" w:name="_Toc57323159"/>
      <w:bookmarkStart w:id="7363" w:name="_Toc57370410"/>
      <w:bookmarkStart w:id="7364" w:name="_Toc57491578"/>
      <w:bookmarkStart w:id="7365" w:name="_Toc57495395"/>
      <w:bookmarkEnd w:id="7332"/>
      <w:bookmarkEnd w:id="7333"/>
      <w:bookmarkEnd w:id="7334"/>
      <w:bookmarkEnd w:id="7335"/>
      <w:bookmarkEnd w:id="7336"/>
      <w:bookmarkEnd w:id="7337"/>
      <w:bookmarkEnd w:id="7338"/>
      <w:bookmarkEnd w:id="7339"/>
      <w:r>
        <w:rPr>
          <w:rFonts w:hint="cs"/>
          <w:rtl/>
        </w:rPr>
        <w:t>ביאור הדברי מרדכי ברשב"ם אי דרך כמחאה או חסרון בחזקה</w:t>
      </w:r>
      <w:bookmarkEnd w:id="7348"/>
      <w:bookmarkEnd w:id="7349"/>
    </w:p>
    <w:p w:rsidR="0019070E" w:rsidRDefault="0019070E" w:rsidP="0019070E">
      <w:pPr>
        <w:pStyle w:val="a3"/>
      </w:pPr>
      <w:bookmarkStart w:id="7366" w:name="_Toc57544573"/>
      <w:bookmarkStart w:id="7367" w:name="_Toc58185093"/>
      <w:r>
        <w:rPr>
          <w:rFonts w:hint="cs"/>
          <w:rtl/>
        </w:rPr>
        <w:t>קושית הדברי מרדכי בסתירת הרשב"ם אי העברת דרך כמחאה או דלא הוי חזקה גמורה</w:t>
      </w:r>
      <w:bookmarkEnd w:id="7366"/>
      <w:bookmarkEnd w:id="7367"/>
    </w:p>
    <w:p w:rsidR="0019070E" w:rsidRDefault="0019070E" w:rsidP="007E4E81">
      <w:pPr>
        <w:pStyle w:val="a0"/>
      </w:pPr>
      <w:bookmarkStart w:id="7368" w:name="_Ref57306457"/>
      <w:r>
        <w:rPr>
          <w:rFonts w:hint="cs"/>
          <w:rtl/>
        </w:rPr>
        <w:t xml:space="preserve">במה שביאר </w:t>
      </w:r>
      <w:r w:rsidRPr="00CB641F">
        <w:rPr>
          <w:rStyle w:val="af9"/>
          <w:rFonts w:hint="cs"/>
          <w:rtl/>
        </w:rPr>
        <w:t>המהרי"ט</w:t>
      </w:r>
      <w:r>
        <w:rPr>
          <w:rFonts w:hint="cs"/>
          <w:rtl/>
        </w:rPr>
        <w:t xml:space="preserve"> </w:t>
      </w:r>
      <w:r w:rsidRPr="005E5ACF">
        <w:rPr>
          <w:rStyle w:val="af7"/>
          <w:rFonts w:eastAsia="Guttman Hodes" w:hint="cs"/>
          <w:rtl/>
        </w:rPr>
        <w:t xml:space="preserve">(עי' אות </w:t>
      </w:r>
      <w:r w:rsidRPr="005E5ACF">
        <w:rPr>
          <w:rStyle w:val="af7"/>
          <w:rFonts w:eastAsia="Guttman Hodes"/>
          <w:rtl/>
        </w:rPr>
        <w:fldChar w:fldCharType="begin"/>
      </w:r>
      <w:r w:rsidRPr="005E5ACF">
        <w:rPr>
          <w:rStyle w:val="af7"/>
          <w:rFonts w:eastAsia="Guttman Hodes"/>
          <w:rtl/>
        </w:rPr>
        <w:instrText xml:space="preserve"> </w:instrText>
      </w:r>
      <w:r w:rsidRPr="005E5ACF">
        <w:rPr>
          <w:rStyle w:val="af7"/>
          <w:rFonts w:eastAsia="Guttman Hodes" w:hint="cs"/>
        </w:rPr>
        <w:instrText>REF</w:instrText>
      </w:r>
      <w:r w:rsidRPr="005E5ACF">
        <w:rPr>
          <w:rStyle w:val="af7"/>
          <w:rFonts w:eastAsia="Guttman Hodes" w:hint="cs"/>
          <w:rtl/>
        </w:rPr>
        <w:instrText xml:space="preserve"> _</w:instrText>
      </w:r>
      <w:r w:rsidRPr="005E5ACF">
        <w:rPr>
          <w:rStyle w:val="af7"/>
          <w:rFonts w:eastAsia="Guttman Hodes" w:hint="cs"/>
        </w:rPr>
        <w:instrText>Ref57306482 \r \h</w:instrText>
      </w:r>
      <w:r w:rsidRPr="005E5ACF">
        <w:rPr>
          <w:rStyle w:val="af7"/>
          <w:rFonts w:eastAsia="Guttman Hodes"/>
          <w:rtl/>
        </w:rPr>
        <w:instrText xml:space="preserve"> </w:instrText>
      </w:r>
      <w:r w:rsidRPr="005E5ACF">
        <w:rPr>
          <w:rStyle w:val="af7"/>
          <w:rFonts w:eastAsia="Guttman Hodes"/>
          <w:rtl/>
        </w:rPr>
      </w:r>
      <w:r w:rsidRPr="005E5ACF">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5E5ACF">
        <w:rPr>
          <w:rStyle w:val="af7"/>
          <w:rFonts w:eastAsia="Guttman Hodes"/>
          <w:rtl/>
        </w:rPr>
        <w:fldChar w:fldCharType="end"/>
      </w:r>
      <w:r>
        <w:rPr>
          <w:rFonts w:hint="cs"/>
          <w:rtl/>
        </w:rPr>
        <w:t xml:space="preserve"> בדברי </w:t>
      </w:r>
      <w:r w:rsidRPr="00CB641F">
        <w:rPr>
          <w:rStyle w:val="af9"/>
          <w:rFonts w:hint="cs"/>
          <w:rtl/>
        </w:rPr>
        <w:t>הרשב"ם</w:t>
      </w:r>
      <w:r>
        <w:rPr>
          <w:rFonts w:hint="cs"/>
          <w:rtl/>
        </w:rPr>
        <w:t xml:space="preserve"> </w:t>
      </w:r>
      <w:r w:rsidRPr="00387BA5">
        <w:rPr>
          <w:rStyle w:val="af7"/>
          <w:rFonts w:eastAsia="Guttman Hodes" w:hint="cs"/>
          <w:rtl/>
        </w:rPr>
        <w:t xml:space="preserve">(עי' אות </w:t>
      </w:r>
      <w:r w:rsidRPr="00387BA5">
        <w:rPr>
          <w:rStyle w:val="af7"/>
          <w:rFonts w:eastAsia="Guttman Hodes"/>
          <w:rtl/>
        </w:rPr>
        <w:fldChar w:fldCharType="begin"/>
      </w:r>
      <w:r w:rsidRPr="00387BA5">
        <w:rPr>
          <w:rStyle w:val="af7"/>
          <w:rFonts w:eastAsia="Guttman Hodes"/>
          <w:rtl/>
        </w:rPr>
        <w:instrText xml:space="preserve"> </w:instrText>
      </w:r>
      <w:r w:rsidRPr="00387BA5">
        <w:rPr>
          <w:rStyle w:val="af7"/>
          <w:rFonts w:eastAsia="Guttman Hodes" w:hint="cs"/>
        </w:rPr>
        <w:instrText>REF</w:instrText>
      </w:r>
      <w:r w:rsidRPr="00387BA5">
        <w:rPr>
          <w:rStyle w:val="af7"/>
          <w:rFonts w:eastAsia="Guttman Hodes" w:hint="cs"/>
          <w:rtl/>
        </w:rPr>
        <w:instrText xml:space="preserve"> _</w:instrText>
      </w:r>
      <w:r w:rsidRPr="00387BA5">
        <w:rPr>
          <w:rStyle w:val="af7"/>
          <w:rFonts w:eastAsia="Guttman Hodes" w:hint="cs"/>
        </w:rPr>
        <w:instrText>Ref56936382 \r \h</w:instrText>
      </w:r>
      <w:r w:rsidRPr="00387BA5">
        <w:rPr>
          <w:rStyle w:val="af7"/>
          <w:rFonts w:eastAsia="Guttman Hodes"/>
          <w:rtl/>
        </w:rPr>
        <w:instrText xml:space="preserve"> </w:instrText>
      </w:r>
      <w:r w:rsidRPr="00387BA5">
        <w:rPr>
          <w:rStyle w:val="af7"/>
          <w:rFonts w:eastAsia="Guttman Hodes"/>
          <w:rtl/>
        </w:rPr>
      </w:r>
      <w:r w:rsidRPr="00387BA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387BA5">
        <w:rPr>
          <w:rStyle w:val="af7"/>
          <w:rFonts w:eastAsia="Guttman Hodes"/>
          <w:rtl/>
        </w:rPr>
        <w:fldChar w:fldCharType="end"/>
      </w:r>
      <w:r>
        <w:rPr>
          <w:rFonts w:hint="cs"/>
          <w:rtl/>
        </w:rPr>
        <w:t xml:space="preserve"> דהעברת דרך אינה מבטלת את החזקה, אלא דחשיבא כמחאה, ביאר </w:t>
      </w:r>
      <w:r w:rsidR="00B6247C">
        <w:rPr>
          <w:rStyle w:val="af9"/>
          <w:rFonts w:hint="cs"/>
          <w:rtl/>
        </w:rPr>
        <w:t xml:space="preserve">הגר"מ מן </w:t>
      </w:r>
      <w:r w:rsidR="00B6247C" w:rsidRPr="00834955">
        <w:rPr>
          <w:rStyle w:val="af9"/>
          <w:rFonts w:hint="cs"/>
          <w:rtl/>
        </w:rPr>
        <w:t>בדברי מרדכי</w:t>
      </w:r>
      <w:r w:rsidR="00B6247C">
        <w:rPr>
          <w:rStyle w:val="af9"/>
          <w:rFonts w:hint="cs"/>
          <w:rtl/>
        </w:rPr>
        <w:t xml:space="preserve"> </w:t>
      </w:r>
      <w:r w:rsidRPr="005E5ACF">
        <w:rPr>
          <w:rStyle w:val="af7"/>
          <w:rFonts w:eastAsia="Guttman Hodes" w:hint="cs"/>
          <w:rtl/>
        </w:rPr>
        <w:t xml:space="preserve">(סי' י"ח ד"ה וזה טעמא) </w:t>
      </w:r>
      <w:r>
        <w:rPr>
          <w:rFonts w:hint="cs"/>
          <w:rtl/>
        </w:rPr>
        <w:t xml:space="preserve">דדייק </w:t>
      </w:r>
      <w:r w:rsidRPr="005E5ACF">
        <w:rPr>
          <w:rStyle w:val="af9"/>
          <w:rFonts w:hint="cs"/>
          <w:rtl/>
        </w:rPr>
        <w:t>המהרי"ט</w:t>
      </w:r>
      <w:r>
        <w:rPr>
          <w:rFonts w:hint="cs"/>
          <w:rtl/>
        </w:rPr>
        <w:t xml:space="preserve"> כן ממ"ש </w:t>
      </w:r>
      <w:r w:rsidRPr="005E5ACF">
        <w:rPr>
          <w:rStyle w:val="af9"/>
          <w:rFonts w:hint="cs"/>
          <w:rtl/>
        </w:rPr>
        <w:t>הרשב"ם</w:t>
      </w:r>
      <w:r>
        <w:rPr>
          <w:rFonts w:hint="cs"/>
          <w:rtl/>
        </w:rPr>
        <w:t xml:space="preserve"> </w:t>
      </w:r>
      <w:r w:rsidRPr="000B0C13">
        <w:rPr>
          <w:rStyle w:val="af7"/>
          <w:rFonts w:eastAsia="Guttman Hodes" w:hint="cs"/>
          <w:rtl/>
        </w:rPr>
        <w:t xml:space="preserve">(עי' אות </w:t>
      </w:r>
      <w:r w:rsidRPr="000B0C13">
        <w:rPr>
          <w:rStyle w:val="af7"/>
          <w:rFonts w:eastAsia="Guttman Hodes"/>
          <w:rtl/>
        </w:rPr>
        <w:fldChar w:fldCharType="begin"/>
      </w:r>
      <w:r w:rsidRPr="000B0C13">
        <w:rPr>
          <w:rStyle w:val="af7"/>
          <w:rFonts w:eastAsia="Guttman Hodes"/>
          <w:rtl/>
        </w:rPr>
        <w:instrText xml:space="preserve"> </w:instrText>
      </w:r>
      <w:r w:rsidRPr="000B0C13">
        <w:rPr>
          <w:rStyle w:val="af7"/>
          <w:rFonts w:eastAsia="Guttman Hodes" w:hint="cs"/>
        </w:rPr>
        <w:instrText>REF</w:instrText>
      </w:r>
      <w:r w:rsidRPr="000B0C13">
        <w:rPr>
          <w:rStyle w:val="af7"/>
          <w:rFonts w:eastAsia="Guttman Hodes" w:hint="cs"/>
          <w:rtl/>
        </w:rPr>
        <w:instrText xml:space="preserve"> _</w:instrText>
      </w:r>
      <w:r w:rsidRPr="000B0C13">
        <w:rPr>
          <w:rStyle w:val="af7"/>
          <w:rFonts w:eastAsia="Guttman Hodes" w:hint="cs"/>
        </w:rPr>
        <w:instrText>Ref56936382 \r \h</w:instrText>
      </w:r>
      <w:r w:rsidRPr="000B0C13">
        <w:rPr>
          <w:rStyle w:val="af7"/>
          <w:rFonts w:eastAsia="Guttman Hodes"/>
          <w:rtl/>
        </w:rPr>
        <w:instrText xml:space="preserve"> </w:instrText>
      </w:r>
      <w:r w:rsidRPr="000B0C13">
        <w:rPr>
          <w:rStyle w:val="af7"/>
          <w:rFonts w:eastAsia="Guttman Hodes"/>
          <w:rtl/>
        </w:rPr>
      </w:r>
      <w:r w:rsidRPr="000B0C13">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0B0C13">
        <w:rPr>
          <w:rStyle w:val="af7"/>
          <w:rFonts w:eastAsia="Guttman Hodes"/>
          <w:rtl/>
        </w:rPr>
        <w:fldChar w:fldCharType="end"/>
      </w:r>
      <w:r>
        <w:rPr>
          <w:rFonts w:hint="cs"/>
          <w:rtl/>
        </w:rPr>
        <w:t xml:space="preserve"> דטוען המערער דכיון שעבר דרך עלי לכן לא מחה, אך הקשה </w:t>
      </w:r>
      <w:r w:rsidRPr="005E5ACF">
        <w:rPr>
          <w:rStyle w:val="af9"/>
          <w:rFonts w:hint="cs"/>
          <w:rtl/>
        </w:rPr>
        <w:t>הדברי מרדכי</w:t>
      </w:r>
      <w:r>
        <w:rPr>
          <w:rFonts w:hint="cs"/>
          <w:rtl/>
        </w:rPr>
        <w:t xml:space="preserve"> דהא ממה שביאר</w:t>
      </w:r>
      <w:r w:rsidRPr="00EC127D">
        <w:rPr>
          <w:rStyle w:val="af9"/>
          <w:rFonts w:hint="cs"/>
          <w:rtl/>
        </w:rPr>
        <w:t xml:space="preserve"> הרשב"ם</w:t>
      </w:r>
      <w:r>
        <w:rPr>
          <w:rFonts w:hint="cs"/>
          <w:rtl/>
        </w:rPr>
        <w:t xml:space="preserve"> </w:t>
      </w:r>
      <w:r w:rsidRPr="005E5ACF">
        <w:rPr>
          <w:rStyle w:val="af7"/>
          <w:rFonts w:eastAsia="Guttman Hodes" w:hint="cs"/>
          <w:rtl/>
        </w:rPr>
        <w:t xml:space="preserve">(עי' אות </w:t>
      </w:r>
      <w:r w:rsidRPr="005E5ACF">
        <w:rPr>
          <w:rStyle w:val="af7"/>
          <w:rFonts w:eastAsia="Guttman Hodes"/>
          <w:rtl/>
        </w:rPr>
        <w:fldChar w:fldCharType="begin"/>
      </w:r>
      <w:r w:rsidRPr="005E5ACF">
        <w:rPr>
          <w:rStyle w:val="af7"/>
          <w:rFonts w:eastAsia="Guttman Hodes"/>
          <w:rtl/>
        </w:rPr>
        <w:instrText xml:space="preserve"> </w:instrText>
      </w:r>
      <w:r w:rsidRPr="005E5ACF">
        <w:rPr>
          <w:rStyle w:val="af7"/>
          <w:rFonts w:eastAsia="Guttman Hodes" w:hint="cs"/>
        </w:rPr>
        <w:instrText>REF</w:instrText>
      </w:r>
      <w:r w:rsidRPr="005E5ACF">
        <w:rPr>
          <w:rStyle w:val="af7"/>
          <w:rFonts w:eastAsia="Guttman Hodes" w:hint="cs"/>
          <w:rtl/>
        </w:rPr>
        <w:instrText xml:space="preserve"> _</w:instrText>
      </w:r>
      <w:r w:rsidRPr="005E5ACF">
        <w:rPr>
          <w:rStyle w:val="af7"/>
          <w:rFonts w:eastAsia="Guttman Hodes" w:hint="cs"/>
        </w:rPr>
        <w:instrText>Ref57306549 \r \h</w:instrText>
      </w:r>
      <w:r w:rsidRPr="005E5ACF">
        <w:rPr>
          <w:rStyle w:val="af7"/>
          <w:rFonts w:eastAsia="Guttman Hodes"/>
          <w:rtl/>
        </w:rPr>
        <w:instrText xml:space="preserve"> </w:instrText>
      </w:r>
      <w:r w:rsidRPr="005E5ACF">
        <w:rPr>
          <w:rStyle w:val="af7"/>
          <w:rFonts w:eastAsia="Guttman Hodes"/>
          <w:rtl/>
        </w:rPr>
      </w:r>
      <w:r w:rsidRPr="005E5ACF">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5E5ACF">
        <w:rPr>
          <w:rStyle w:val="af7"/>
          <w:rFonts w:eastAsia="Guttman Hodes"/>
          <w:rtl/>
        </w:rPr>
        <w:fldChar w:fldCharType="end"/>
      </w:r>
      <w:r>
        <w:rPr>
          <w:rFonts w:hint="cs"/>
          <w:rtl/>
        </w:rPr>
        <w:t xml:space="preserve"> בדברי ר"נ, דעל המחזיק להביא עדים שדר ג"ש בבית לבדו בלא המערער, כמו בכל חזקת ג"ש שצריך המחזיק להביא עדים שהחזיק חזקה גמורה, משמע דהעברת דרך אינה חזקה גמורה, וא"כ </w:t>
      </w:r>
      <w:r w:rsidRPr="000B0C13">
        <w:rPr>
          <w:rStyle w:val="af9"/>
          <w:rFonts w:hint="cs"/>
          <w:rtl/>
        </w:rPr>
        <w:t>הרשב"ם</w:t>
      </w:r>
      <w:r>
        <w:rPr>
          <w:rFonts w:hint="cs"/>
          <w:rtl/>
        </w:rPr>
        <w:t xml:space="preserve"> סותר את מ"ש בתחילה דהעברת דרך היא רק טענה למה לא מחה, ואינה ביטול החזקה.</w:t>
      </w:r>
      <w:bookmarkEnd w:id="7368"/>
    </w:p>
    <w:p w:rsidR="0019070E" w:rsidRDefault="0019070E" w:rsidP="0019070E">
      <w:pPr>
        <w:pStyle w:val="a3"/>
      </w:pPr>
      <w:bookmarkStart w:id="7369" w:name="_Toc57544574"/>
      <w:bookmarkStart w:id="7370" w:name="_Toc58185094"/>
      <w:r>
        <w:rPr>
          <w:rFonts w:hint="cs"/>
          <w:rtl/>
        </w:rPr>
        <w:t>ביאור הדברי מרדכי דאחר שהמחאה עשתה ביטול בחזקה יש חסרון בחזקה עצמה דאין לו שטר</w:t>
      </w:r>
      <w:bookmarkEnd w:id="7369"/>
      <w:bookmarkEnd w:id="7370"/>
    </w:p>
    <w:p w:rsidR="0019070E" w:rsidRPr="00F94B20" w:rsidRDefault="0019070E" w:rsidP="007E4E81">
      <w:pPr>
        <w:pStyle w:val="a0"/>
        <w:rPr>
          <w:rStyle w:val="afb"/>
          <w:rtl/>
        </w:rPr>
      </w:pPr>
      <w:r>
        <w:rPr>
          <w:rFonts w:hint="cs"/>
          <w:rtl/>
        </w:rPr>
        <w:t xml:space="preserve">וביאר </w:t>
      </w:r>
      <w:r w:rsidR="00B6247C">
        <w:rPr>
          <w:rStyle w:val="af9"/>
          <w:rFonts w:hint="cs"/>
          <w:rtl/>
        </w:rPr>
        <w:t xml:space="preserve">הגר"מ מן </w:t>
      </w:r>
      <w:r w:rsidR="00B6247C" w:rsidRPr="00834955">
        <w:rPr>
          <w:rStyle w:val="af9"/>
          <w:rFonts w:hint="cs"/>
          <w:rtl/>
        </w:rPr>
        <w:t>בדברי מרדכי</w:t>
      </w:r>
      <w:r w:rsidR="00B6247C">
        <w:rPr>
          <w:rStyle w:val="af9"/>
          <w:rFonts w:hint="cs"/>
          <w:rtl/>
        </w:rPr>
        <w:t xml:space="preserve"> </w:t>
      </w:r>
      <w:r w:rsidRPr="005E5ACF">
        <w:rPr>
          <w:rStyle w:val="af7"/>
          <w:rFonts w:eastAsia="Guttman Hodes" w:hint="cs"/>
          <w:rtl/>
        </w:rPr>
        <w:t>(סי' י"ח ד"ה ונראה)</w:t>
      </w:r>
      <w:r>
        <w:rPr>
          <w:rFonts w:hint="cs"/>
          <w:rtl/>
        </w:rPr>
        <w:t xml:space="preserve"> דכל מחאה מועילה בתחילה לבטל את החזקה, מחמת טענת אחוי שטרך, דכל שמחה בו היה לו להזהר בשטרו, אבל לאחר המחאה דצריך המחזיק להזהר בשטרו, ממילא בטלה אף החזקה עצמה, דכ"מ דמהני החזקה היא כיון שהיה למערער למחות, אבל במקום שיודע המערער שיש לו טענת אחוי שטרך כנגד המחזיק, אינו חייב למחות דסומך ע"ז שהמחזיק לא יוכל לטעון שקנה ממנו, כיון שאין לו שטר, וממילא מתבטלת החזקה עצמה. </w:t>
      </w:r>
      <w:r w:rsidRPr="00F94B20">
        <w:rPr>
          <w:rStyle w:val="afb"/>
          <w:rFonts w:hint="cs"/>
          <w:rtl/>
        </w:rPr>
        <w:t>[עיי"ש במה שהוכיח כן</w:t>
      </w:r>
      <w:r w:rsidR="00A77F33">
        <w:rPr>
          <w:rStyle w:val="afb"/>
          <w:rFonts w:hint="cs"/>
          <w:rtl/>
        </w:rPr>
        <w:t xml:space="preserve"> </w:t>
      </w:r>
      <w:r w:rsidRPr="00F94B20">
        <w:rPr>
          <w:rStyle w:val="affa"/>
          <w:rFonts w:hint="cs"/>
          <w:rtl/>
        </w:rPr>
        <w:t>הדברי מרדכי</w:t>
      </w:r>
      <w:r w:rsidRPr="00F94B20">
        <w:rPr>
          <w:rStyle w:val="afb"/>
          <w:rFonts w:hint="cs"/>
          <w:rtl/>
        </w:rPr>
        <w:t>].</w:t>
      </w:r>
    </w:p>
    <w:p w:rsidR="0019070E" w:rsidRDefault="0019070E" w:rsidP="0019070E">
      <w:pPr>
        <w:pStyle w:val="a3"/>
        <w:rPr>
          <w:rtl/>
        </w:rPr>
      </w:pPr>
      <w:bookmarkStart w:id="7371" w:name="_Toc57544575"/>
      <w:bookmarkStart w:id="7372" w:name="_Toc58185095"/>
      <w:r>
        <w:rPr>
          <w:rFonts w:hint="cs"/>
          <w:rtl/>
        </w:rPr>
        <w:t>ביאור הדברי ברשב"ם דטענת המערער שהוי כמחאה אך ממילא חשיב ביטול בעצם החזקה</w:t>
      </w:r>
      <w:bookmarkEnd w:id="7371"/>
      <w:bookmarkEnd w:id="7372"/>
    </w:p>
    <w:p w:rsidR="0019070E" w:rsidRDefault="0019070E" w:rsidP="007E4E81">
      <w:pPr>
        <w:pStyle w:val="a0"/>
        <w:rPr>
          <w:rtl/>
        </w:rPr>
      </w:pPr>
      <w:r>
        <w:rPr>
          <w:rFonts w:hint="cs"/>
          <w:rtl/>
        </w:rPr>
        <w:t xml:space="preserve">ולפי"ז תירץ </w:t>
      </w:r>
      <w:r w:rsidR="00B6247C">
        <w:rPr>
          <w:rStyle w:val="af9"/>
          <w:rFonts w:hint="cs"/>
          <w:rtl/>
        </w:rPr>
        <w:t xml:space="preserve">הגר"מ מן </w:t>
      </w:r>
      <w:r w:rsidR="00B6247C" w:rsidRPr="00834955">
        <w:rPr>
          <w:rStyle w:val="af9"/>
          <w:rFonts w:hint="cs"/>
          <w:rtl/>
        </w:rPr>
        <w:t>בדברי מרדכי</w:t>
      </w:r>
      <w:r w:rsidR="00B6247C">
        <w:rPr>
          <w:rStyle w:val="af9"/>
          <w:rFonts w:hint="cs"/>
          <w:rtl/>
        </w:rPr>
        <w:t xml:space="preserve"> </w:t>
      </w:r>
      <w:r w:rsidRPr="005E5ACF">
        <w:rPr>
          <w:rStyle w:val="af7"/>
          <w:rFonts w:eastAsia="Guttman Hodes" w:hint="cs"/>
          <w:rtl/>
        </w:rPr>
        <w:t>(סי' י"ח ד"ה וזה טעמא)</w:t>
      </w:r>
      <w:r>
        <w:rPr>
          <w:rFonts w:hint="cs"/>
          <w:rtl/>
        </w:rPr>
        <w:t xml:space="preserve"> את דברי </w:t>
      </w:r>
      <w:r w:rsidRPr="005E5ACF">
        <w:rPr>
          <w:rStyle w:val="af9"/>
          <w:rFonts w:hint="cs"/>
          <w:rtl/>
        </w:rPr>
        <w:t>הרשב"ם</w:t>
      </w:r>
      <w:r>
        <w:rPr>
          <w:rFonts w:hint="cs"/>
          <w:rtl/>
        </w:rPr>
        <w:t xml:space="preserve"> דאעפ"י דבתחילה העברת דרך היא רק מחאה, ומחמת טוען המערער שלא היה לו למחות, מ"מ אחר שכבר עבר דרך עליו מתבטלת החזקה, ולכן ביאר </w:t>
      </w:r>
      <w:r w:rsidRPr="005E5ACF">
        <w:rPr>
          <w:rStyle w:val="af9"/>
          <w:rFonts w:hint="cs"/>
          <w:rtl/>
        </w:rPr>
        <w:t>הרשב"ם</w:t>
      </w:r>
      <w:r w:rsidRPr="005E5ACF">
        <w:rPr>
          <w:rStyle w:val="af7"/>
          <w:rFonts w:eastAsia="Guttman Hodes" w:hint="cs"/>
          <w:rtl/>
        </w:rPr>
        <w:t xml:space="preserve"> (עי' אות </w:t>
      </w:r>
      <w:r w:rsidRPr="005E5ACF">
        <w:rPr>
          <w:rStyle w:val="af7"/>
          <w:rFonts w:eastAsia="Guttman Hodes"/>
          <w:rtl/>
        </w:rPr>
        <w:fldChar w:fldCharType="begin"/>
      </w:r>
      <w:r w:rsidRPr="005E5ACF">
        <w:rPr>
          <w:rStyle w:val="af7"/>
          <w:rFonts w:eastAsia="Guttman Hodes"/>
          <w:rtl/>
        </w:rPr>
        <w:instrText xml:space="preserve"> </w:instrText>
      </w:r>
      <w:r w:rsidRPr="005E5ACF">
        <w:rPr>
          <w:rStyle w:val="af7"/>
          <w:rFonts w:eastAsia="Guttman Hodes" w:hint="cs"/>
        </w:rPr>
        <w:instrText>REF</w:instrText>
      </w:r>
      <w:r w:rsidRPr="005E5ACF">
        <w:rPr>
          <w:rStyle w:val="af7"/>
          <w:rFonts w:eastAsia="Guttman Hodes" w:hint="cs"/>
          <w:rtl/>
        </w:rPr>
        <w:instrText xml:space="preserve"> _</w:instrText>
      </w:r>
      <w:r w:rsidRPr="005E5ACF">
        <w:rPr>
          <w:rStyle w:val="af7"/>
          <w:rFonts w:eastAsia="Guttman Hodes" w:hint="cs"/>
        </w:rPr>
        <w:instrText>Ref57306549 \r \h</w:instrText>
      </w:r>
      <w:r w:rsidRPr="005E5ACF">
        <w:rPr>
          <w:rStyle w:val="af7"/>
          <w:rFonts w:eastAsia="Guttman Hodes"/>
          <w:rtl/>
        </w:rPr>
        <w:instrText xml:space="preserve"> </w:instrText>
      </w:r>
      <w:r w:rsidRPr="005E5ACF">
        <w:rPr>
          <w:rStyle w:val="af7"/>
          <w:rFonts w:eastAsia="Guttman Hodes"/>
          <w:rtl/>
        </w:rPr>
      </w:r>
      <w:r w:rsidRPr="005E5ACF">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5E5ACF">
        <w:rPr>
          <w:rStyle w:val="af7"/>
          <w:rFonts w:eastAsia="Guttman Hodes"/>
          <w:rtl/>
        </w:rPr>
        <w:fldChar w:fldCharType="end"/>
      </w:r>
      <w:r>
        <w:rPr>
          <w:rFonts w:hint="cs"/>
          <w:rtl/>
        </w:rPr>
        <w:t xml:space="preserve"> בדברי ר"נ דאמר </w:t>
      </w:r>
      <w:r>
        <w:rPr>
          <w:rFonts w:hint="cs"/>
          <w:rtl/>
        </w:rPr>
        <w:lastRenderedPageBreak/>
        <w:t>למחזיק שיברר את אכילתו, דעכשיו התבטלה החזקה עצמה וצריך המחזיק להוכיח שהחזיק כדין.</w:t>
      </w:r>
    </w:p>
    <w:p w:rsidR="0019070E" w:rsidRDefault="0019070E" w:rsidP="0019070E">
      <w:pPr>
        <w:pStyle w:val="a3"/>
        <w:rPr>
          <w:rtl/>
        </w:rPr>
      </w:pPr>
      <w:bookmarkStart w:id="7373" w:name="_Toc57544576"/>
      <w:bookmarkStart w:id="7374" w:name="_Toc58185096"/>
      <w:r>
        <w:rPr>
          <w:rFonts w:hint="cs"/>
          <w:rtl/>
        </w:rPr>
        <w:t>ביאור הדברי מרדכי ברבא דמחאה לא מבטלת את עצם החזקה ועל המערער לברר כדין מחאה</w:t>
      </w:r>
      <w:bookmarkEnd w:id="7373"/>
      <w:bookmarkEnd w:id="7374"/>
    </w:p>
    <w:p w:rsidR="0019070E" w:rsidRPr="006979A6" w:rsidRDefault="0019070E" w:rsidP="007E4E81">
      <w:pPr>
        <w:pStyle w:val="a0"/>
        <w:rPr>
          <w:rtl/>
        </w:rPr>
      </w:pPr>
      <w:r>
        <w:rPr>
          <w:rFonts w:hint="cs"/>
          <w:rtl/>
        </w:rPr>
        <w:t xml:space="preserve">ובדעת רבא ביאר </w:t>
      </w:r>
      <w:r w:rsidR="00B6247C">
        <w:rPr>
          <w:rStyle w:val="af9"/>
          <w:rFonts w:hint="cs"/>
          <w:rtl/>
        </w:rPr>
        <w:t xml:space="preserve">הגר"מ מן </w:t>
      </w:r>
      <w:r w:rsidR="00B6247C" w:rsidRPr="00834955">
        <w:rPr>
          <w:rStyle w:val="af9"/>
          <w:rFonts w:hint="cs"/>
          <w:rtl/>
        </w:rPr>
        <w:t>בדברי מרדכי</w:t>
      </w:r>
      <w:r w:rsidR="00B6247C">
        <w:rPr>
          <w:rStyle w:val="af9"/>
          <w:rFonts w:hint="cs"/>
          <w:rtl/>
        </w:rPr>
        <w:t xml:space="preserve"> </w:t>
      </w:r>
      <w:r>
        <w:rPr>
          <w:rFonts w:hint="cs"/>
          <w:rtl/>
        </w:rPr>
        <w:t xml:space="preserve">דס"ל דהמחאה מהני רק מחמת טענת אחוי שטרך, והחזקה אינה מתבטלת ע"י המחאה, וא"כ ממילא יש לפנינו חזקת ג"ש שהחזיק כדין, וטענה של המערער שעבר דרך עליו וחשיב שמחה בו, והוא ספק במחאה, ולכן ביאר </w:t>
      </w:r>
      <w:r w:rsidRPr="00EC127D">
        <w:rPr>
          <w:rStyle w:val="af9"/>
          <w:rFonts w:hint="cs"/>
          <w:rtl/>
        </w:rPr>
        <w:t>הרשב"ם</w:t>
      </w:r>
      <w:r>
        <w:rPr>
          <w:rFonts w:hint="cs"/>
          <w:rtl/>
        </w:rPr>
        <w:t xml:space="preserve"> </w:t>
      </w:r>
      <w:r w:rsidRPr="005E5ACF">
        <w:rPr>
          <w:rStyle w:val="af7"/>
          <w:rFonts w:eastAsia="Guttman Hodes" w:hint="cs"/>
          <w:rtl/>
        </w:rPr>
        <w:t xml:space="preserve">(עי' אות </w:t>
      </w:r>
      <w:r w:rsidRPr="005E5ACF">
        <w:rPr>
          <w:rStyle w:val="af7"/>
          <w:rFonts w:eastAsia="Guttman Hodes"/>
          <w:rtl/>
        </w:rPr>
        <w:fldChar w:fldCharType="begin"/>
      </w:r>
      <w:r w:rsidRPr="005E5ACF">
        <w:rPr>
          <w:rStyle w:val="af7"/>
          <w:rFonts w:eastAsia="Guttman Hodes"/>
          <w:rtl/>
        </w:rPr>
        <w:instrText xml:space="preserve"> </w:instrText>
      </w:r>
      <w:r w:rsidRPr="005E5ACF">
        <w:rPr>
          <w:rStyle w:val="af7"/>
          <w:rFonts w:eastAsia="Guttman Hodes" w:hint="cs"/>
        </w:rPr>
        <w:instrText>REF</w:instrText>
      </w:r>
      <w:r w:rsidRPr="005E5ACF">
        <w:rPr>
          <w:rStyle w:val="af7"/>
          <w:rFonts w:eastAsia="Guttman Hodes" w:hint="cs"/>
          <w:rtl/>
        </w:rPr>
        <w:instrText xml:space="preserve"> _</w:instrText>
      </w:r>
      <w:r w:rsidRPr="005E5ACF">
        <w:rPr>
          <w:rStyle w:val="af7"/>
          <w:rFonts w:eastAsia="Guttman Hodes" w:hint="cs"/>
        </w:rPr>
        <w:instrText>Ref57137155 \r \h</w:instrText>
      </w:r>
      <w:r w:rsidRPr="005E5ACF">
        <w:rPr>
          <w:rStyle w:val="af7"/>
          <w:rFonts w:eastAsia="Guttman Hodes"/>
          <w:rtl/>
        </w:rPr>
        <w:instrText xml:space="preserve"> </w:instrText>
      </w:r>
      <w:r w:rsidRPr="005E5ACF">
        <w:rPr>
          <w:rStyle w:val="af7"/>
          <w:rFonts w:eastAsia="Guttman Hodes"/>
          <w:rtl/>
        </w:rPr>
      </w:r>
      <w:r w:rsidRPr="005E5ACF">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5E5ACF">
        <w:rPr>
          <w:rStyle w:val="af7"/>
          <w:rFonts w:eastAsia="Guttman Hodes"/>
          <w:rtl/>
        </w:rPr>
        <w:fldChar w:fldCharType="end"/>
      </w:r>
      <w:r w:rsidRPr="005E5ACF">
        <w:rPr>
          <w:rStyle w:val="af7"/>
          <w:rFonts w:eastAsia="Guttman Hodes" w:hint="cs"/>
          <w:rtl/>
        </w:rPr>
        <w:t xml:space="preserve"> </w:t>
      </w:r>
      <w:r>
        <w:rPr>
          <w:rFonts w:hint="cs"/>
          <w:rtl/>
        </w:rPr>
        <w:t>בדברי רבא דהמוציא הוא המוכר ועליו להביא ראיה, כיון שהלוקח מוחזק בבית</w:t>
      </w:r>
      <w:r w:rsidRPr="003574EB">
        <w:rPr>
          <w:rFonts w:hint="cs"/>
          <w:rtl/>
        </w:rPr>
        <w:t>.</w:t>
      </w:r>
    </w:p>
    <w:p w:rsidR="0019070E" w:rsidRDefault="0019070E" w:rsidP="0019070E">
      <w:pPr>
        <w:pStyle w:val="afe"/>
        <w:rPr>
          <w:rtl/>
        </w:rPr>
      </w:pPr>
      <w:bookmarkStart w:id="7375" w:name="_Toc57544577"/>
      <w:bookmarkStart w:id="7376" w:name="_Toc58185097"/>
      <w:r w:rsidRPr="002511A7">
        <w:rPr>
          <w:rFonts w:hint="cs"/>
          <w:rtl/>
        </w:rPr>
        <w:t>ב</w:t>
      </w:r>
      <w:r>
        <w:rPr>
          <w:rFonts w:hint="cs"/>
          <w:rtl/>
        </w:rPr>
        <w:t>ד' הסוברים</w:t>
      </w:r>
      <w:r w:rsidRPr="002511A7">
        <w:rPr>
          <w:rFonts w:hint="cs"/>
          <w:rtl/>
        </w:rPr>
        <w:t xml:space="preserve"> דאין עדים </w:t>
      </w:r>
      <w:r>
        <w:rPr>
          <w:rFonts w:hint="cs"/>
          <w:rtl/>
        </w:rPr>
        <w:t>ל</w:t>
      </w:r>
      <w:r w:rsidRPr="002511A7">
        <w:rPr>
          <w:rFonts w:hint="cs"/>
          <w:rtl/>
        </w:rPr>
        <w:t>מר"ק</w:t>
      </w:r>
      <w:bookmarkEnd w:id="7350"/>
      <w:bookmarkEnd w:id="7351"/>
      <w:bookmarkEnd w:id="7352"/>
      <w:bookmarkEnd w:id="7353"/>
      <w:bookmarkEnd w:id="7354"/>
      <w:bookmarkEnd w:id="7355"/>
      <w:bookmarkEnd w:id="7356"/>
      <w:bookmarkEnd w:id="7357"/>
      <w:bookmarkEnd w:id="7375"/>
      <w:bookmarkEnd w:id="7376"/>
    </w:p>
    <w:p w:rsidR="0019070E" w:rsidRDefault="0019070E" w:rsidP="0019070E">
      <w:pPr>
        <w:pStyle w:val="1"/>
        <w:rPr>
          <w:rtl/>
        </w:rPr>
      </w:pPr>
      <w:bookmarkStart w:id="7377" w:name="_Toc57544578"/>
      <w:bookmarkStart w:id="7378" w:name="_Toc58185098"/>
      <w:bookmarkStart w:id="7379" w:name="_Toc57234574"/>
      <w:bookmarkStart w:id="7380" w:name="_Toc57236162"/>
      <w:bookmarkStart w:id="7381" w:name="_Toc57310491"/>
      <w:bookmarkStart w:id="7382" w:name="_Toc57323051"/>
      <w:bookmarkStart w:id="7383" w:name="_Toc57323160"/>
      <w:bookmarkStart w:id="7384" w:name="_Toc57370411"/>
      <w:bookmarkStart w:id="7385" w:name="_Toc57491579"/>
      <w:bookmarkStart w:id="7386" w:name="_Toc57495396"/>
      <w:r>
        <w:rPr>
          <w:rFonts w:hint="cs"/>
          <w:rtl/>
        </w:rPr>
        <w:t>ביאור הגרנ"פ ברשב"ם דמיגו מהני רק כשיש לו חזקת ג"ש</w:t>
      </w:r>
      <w:bookmarkEnd w:id="7377"/>
      <w:bookmarkEnd w:id="7378"/>
    </w:p>
    <w:p w:rsidR="0019070E" w:rsidRPr="0070428D" w:rsidRDefault="0019070E" w:rsidP="0019070E">
      <w:pPr>
        <w:pStyle w:val="a3"/>
        <w:rPr>
          <w:rtl/>
        </w:rPr>
      </w:pPr>
      <w:bookmarkStart w:id="7387" w:name="_Toc57544579"/>
      <w:bookmarkStart w:id="7388" w:name="_Toc58185099"/>
      <w:r>
        <w:rPr>
          <w:rFonts w:hint="cs"/>
          <w:rtl/>
        </w:rPr>
        <w:t>קושיות הגרנ"פ על הרשב"ם דהול"ל דבלא עדים א"צ חזקה אף כשיש עדים שדר בבית הפנימי</w:t>
      </w:r>
      <w:bookmarkEnd w:id="7387"/>
      <w:bookmarkEnd w:id="7388"/>
    </w:p>
    <w:p w:rsidR="0019070E" w:rsidRDefault="0019070E" w:rsidP="007E4E81">
      <w:pPr>
        <w:pStyle w:val="a0"/>
        <w:rPr>
          <w:rtl/>
        </w:rPr>
      </w:pPr>
      <w:r>
        <w:rPr>
          <w:rFonts w:hint="cs"/>
          <w:rtl/>
        </w:rPr>
        <w:t xml:space="preserve">במ"ש </w:t>
      </w:r>
      <w:r w:rsidRPr="00EC127D">
        <w:rPr>
          <w:rStyle w:val="af9"/>
          <w:rFonts w:hint="cs"/>
          <w:rtl/>
        </w:rPr>
        <w:t>הרשב"ם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Ref57322691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Pr>
          <w:rStyle w:val="af7"/>
          <w:rFonts w:eastAsia="Guttman Hodes"/>
          <w:rtl/>
        </w:rPr>
        <w:fldChar w:fldCharType="end"/>
      </w:r>
      <w:r>
        <w:rPr>
          <w:rStyle w:val="af7"/>
          <w:rFonts w:eastAsia="Guttman Hodes" w:hint="cs"/>
          <w:rtl/>
        </w:rPr>
        <w:t xml:space="preserve"> </w:t>
      </w:r>
      <w:r>
        <w:rPr>
          <w:rFonts w:hint="cs"/>
          <w:rtl/>
        </w:rPr>
        <w:t>דבמעשה דשכוני גוואי, ודאי איירי שהיה למערער עדים שהבית היה שלו, אבל אם לא היה לו עדים, אף ר"נ מודה דהמחזיק נאמן לומר מדין הפה שאסר, הקשה</w:t>
      </w:r>
      <w:r w:rsidRPr="00A44F6B">
        <w:rPr>
          <w:rStyle w:val="af9"/>
          <w:rFonts w:hint="cs"/>
          <w:rtl/>
        </w:rPr>
        <w:t xml:space="preserve"> בחי' רבי נחום</w:t>
      </w:r>
      <w:r>
        <w:rPr>
          <w:rFonts w:hint="cs"/>
          <w:rtl/>
        </w:rPr>
        <w:t xml:space="preserve"> </w:t>
      </w:r>
      <w:r w:rsidRPr="00A44F6B">
        <w:rPr>
          <w:rStyle w:val="af7"/>
          <w:rFonts w:eastAsia="Guttman Hodes" w:hint="cs"/>
          <w:rtl/>
        </w:rPr>
        <w:t>(או' מ"ט ד"ה רשב"ם)</w:t>
      </w:r>
      <w:r>
        <w:rPr>
          <w:rFonts w:hint="cs"/>
          <w:rtl/>
        </w:rPr>
        <w:t xml:space="preserve"> דהיה </w:t>
      </w:r>
      <w:r w:rsidRPr="00A44F6B">
        <w:rPr>
          <w:rStyle w:val="af9"/>
          <w:rFonts w:hint="cs"/>
          <w:rtl/>
        </w:rPr>
        <w:t>לרשב"ם</w:t>
      </w:r>
      <w:r>
        <w:rPr>
          <w:rFonts w:hint="cs"/>
          <w:rtl/>
        </w:rPr>
        <w:t xml:space="preserve"> לומר יותר מזה, דאי אין למערער עדים שהוא המרא קמא, א"כ המחזיק א"צ חזקת ג"ש כלל, ואף כשהודה המחזיק דלא ישב בה ג"ש, מ"מ הוא נאמן במדין הפה שאסר, והוסיף </w:t>
      </w:r>
      <w:r w:rsidRPr="00A44F6B">
        <w:rPr>
          <w:rStyle w:val="af9"/>
          <w:rFonts w:hint="cs"/>
          <w:rtl/>
        </w:rPr>
        <w:t>בחי' רבי נחום</w:t>
      </w:r>
      <w:r>
        <w:rPr>
          <w:rFonts w:hint="cs"/>
          <w:rtl/>
        </w:rPr>
        <w:t xml:space="preserve"> דכן קשה על מ"ש </w:t>
      </w:r>
      <w:r w:rsidRPr="00A44F6B">
        <w:rPr>
          <w:rStyle w:val="af9"/>
          <w:rFonts w:hint="cs"/>
          <w:rtl/>
        </w:rPr>
        <w:t>הרשב"ם</w:t>
      </w:r>
      <w:r>
        <w:rPr>
          <w:rFonts w:hint="cs"/>
          <w:rtl/>
        </w:rPr>
        <w:t xml:space="preserve"> דבלא עידי מרא קמא אף ר"נ מודה דנאמן אף כשאין לו ראיה שהחזיק בה לבדו, דמשמע מדברי </w:t>
      </w:r>
      <w:r w:rsidRPr="00A44F6B">
        <w:rPr>
          <w:rStyle w:val="af9"/>
          <w:rFonts w:hint="cs"/>
          <w:rtl/>
        </w:rPr>
        <w:t>הרשב"ם</w:t>
      </w:r>
      <w:r>
        <w:rPr>
          <w:rFonts w:hint="cs"/>
          <w:rtl/>
        </w:rPr>
        <w:t xml:space="preserve"> דאם המערער יביא עדים שהוא דר יחד עם המחזיק, לא יהיה למחזיק חזקה, כיון שאין לו חזקת ג"ש, אעפ"י שאין לו עדים שהוא המרא קמא, והא המחזיק נאמן מדין הפה שאסר, כשטוען שקנה מהמרא קמא אף כשחזקתו אינה חזקה.</w:t>
      </w:r>
    </w:p>
    <w:p w:rsidR="0019070E" w:rsidRDefault="0019070E" w:rsidP="0019070E">
      <w:pPr>
        <w:pStyle w:val="a3"/>
        <w:rPr>
          <w:rtl/>
        </w:rPr>
      </w:pPr>
      <w:bookmarkStart w:id="7389" w:name="_Toc57544580"/>
      <w:bookmarkStart w:id="7390" w:name="_Toc58185100"/>
      <w:r>
        <w:rPr>
          <w:rFonts w:hint="cs"/>
          <w:rtl/>
        </w:rPr>
        <w:t>ביאור הגרנ"פ ברשב"ם דהפה שאסר מהני רק כשיש לו חזקת ג"ש ובמודה דאין חזקה אינו נאמן</w:t>
      </w:r>
      <w:bookmarkEnd w:id="7389"/>
      <w:bookmarkEnd w:id="7390"/>
    </w:p>
    <w:p w:rsidR="0019070E" w:rsidRDefault="0019070E" w:rsidP="007E4E81">
      <w:pPr>
        <w:pStyle w:val="a0"/>
        <w:rPr>
          <w:rtl/>
        </w:rPr>
      </w:pPr>
      <w:r>
        <w:rPr>
          <w:rFonts w:hint="cs"/>
          <w:rtl/>
        </w:rPr>
        <w:t xml:space="preserve">אלא כתב </w:t>
      </w:r>
      <w:r w:rsidRPr="00A44F6B">
        <w:rPr>
          <w:rStyle w:val="af9"/>
          <w:rFonts w:hint="cs"/>
          <w:rtl/>
        </w:rPr>
        <w:t>בחי' רבי נחום</w:t>
      </w:r>
      <w:r>
        <w:rPr>
          <w:rFonts w:hint="cs"/>
          <w:rtl/>
        </w:rPr>
        <w:t xml:space="preserve"> </w:t>
      </w:r>
      <w:r w:rsidRPr="00A44F6B">
        <w:rPr>
          <w:rStyle w:val="af7"/>
          <w:rFonts w:eastAsia="Guttman Hodes" w:hint="cs"/>
          <w:rtl/>
        </w:rPr>
        <w:t>(או' מ"ט ד"ה ומשמע)</w:t>
      </w:r>
      <w:r>
        <w:rPr>
          <w:rFonts w:hint="cs"/>
          <w:rtl/>
        </w:rPr>
        <w:t xml:space="preserve"> דמבואר מדברי </w:t>
      </w:r>
      <w:r w:rsidRPr="00186AAE">
        <w:rPr>
          <w:rStyle w:val="af9"/>
          <w:rFonts w:hint="cs"/>
          <w:rtl/>
        </w:rPr>
        <w:t>הרשב"ם</w:t>
      </w:r>
      <w:r>
        <w:rPr>
          <w:rFonts w:hint="cs"/>
          <w:rtl/>
        </w:rPr>
        <w:t xml:space="preserve"> דכל מה דמהני דין הפה שאסר, הוא רק כשהמחזיק טוען שהחזיק ג"ש, אבל כשמודה המחזיק שאין לו חזקה, לא מהני ליה דין הפה שאסר.</w:t>
      </w:r>
    </w:p>
    <w:p w:rsidR="0019070E" w:rsidRDefault="0019070E" w:rsidP="0019070E">
      <w:pPr>
        <w:pStyle w:val="a3"/>
        <w:rPr>
          <w:rtl/>
        </w:rPr>
      </w:pPr>
      <w:bookmarkStart w:id="7391" w:name="_Toc57544581"/>
      <w:bookmarkStart w:id="7392" w:name="_Toc58185101"/>
      <w:r>
        <w:rPr>
          <w:rFonts w:hint="cs"/>
          <w:rtl/>
        </w:rPr>
        <w:t>הוכחות הגרנ"פ מדברי הרשב"ם לקמן דהפה שאסר מהני רק כשיש לו חזקת ג"ש עם טענה</w:t>
      </w:r>
      <w:bookmarkEnd w:id="7391"/>
      <w:bookmarkEnd w:id="7392"/>
    </w:p>
    <w:p w:rsidR="0019070E" w:rsidRDefault="0019070E" w:rsidP="007E4E81">
      <w:pPr>
        <w:pStyle w:val="a0"/>
        <w:rPr>
          <w:rtl/>
        </w:rPr>
      </w:pPr>
      <w:r>
        <w:rPr>
          <w:rFonts w:hint="cs"/>
          <w:rtl/>
        </w:rPr>
        <w:t xml:space="preserve">וכתב </w:t>
      </w:r>
      <w:r w:rsidRPr="00A44F6B">
        <w:rPr>
          <w:rStyle w:val="af9"/>
          <w:rFonts w:hint="cs"/>
          <w:rtl/>
        </w:rPr>
        <w:t>בחי' רבי נחום</w:t>
      </w:r>
      <w:r>
        <w:rPr>
          <w:rFonts w:hint="cs"/>
          <w:rtl/>
        </w:rPr>
        <w:t xml:space="preserve"> דכן מוכח מדברי </w:t>
      </w:r>
      <w:r w:rsidRPr="00A44F6B">
        <w:rPr>
          <w:rStyle w:val="af9"/>
          <w:rFonts w:hint="cs"/>
          <w:rtl/>
        </w:rPr>
        <w:t>הרשב"ם לקמן</w:t>
      </w:r>
      <w:r>
        <w:rPr>
          <w:rFonts w:hint="cs"/>
          <w:rtl/>
        </w:rPr>
        <w:t xml:space="preserve"> </w:t>
      </w:r>
      <w:r w:rsidRPr="00A44F6B">
        <w:rPr>
          <w:rStyle w:val="af7"/>
          <w:rFonts w:eastAsia="Guttman Hodes" w:hint="cs"/>
          <w:rtl/>
        </w:rPr>
        <w:t xml:space="preserve">(ל: ד"ה אמר ליה) </w:t>
      </w:r>
      <w:r>
        <w:rPr>
          <w:rFonts w:hint="cs"/>
          <w:rtl/>
        </w:rPr>
        <w:t xml:space="preserve">דכתב דהאומר שקנה מפלוני שאמר לו שהוא קנה מהמרא קמא, דאף שאין למרא קמא עדים, מ"מ כיון שהוא מודה דהמערער הוא המרא קמא, לא מהני ליה חזקת ג"ש, דהא היא חזקה בלא טענה, ומשמע המחזיק אינו נאמן מדין הפה שאסר כשאין לו חזקת ג"ש, וכן ממ"ש </w:t>
      </w:r>
      <w:r w:rsidRPr="009D2152">
        <w:rPr>
          <w:rStyle w:val="af9"/>
          <w:rFonts w:hint="cs"/>
          <w:rtl/>
        </w:rPr>
        <w:t xml:space="preserve">הרשב"ם לקמן </w:t>
      </w:r>
      <w:r w:rsidRPr="00A44F6B">
        <w:rPr>
          <w:rStyle w:val="af7"/>
          <w:rFonts w:eastAsia="Guttman Hodes" w:hint="cs"/>
          <w:rtl/>
        </w:rPr>
        <w:t>(ל: ד"ה ואת)</w:t>
      </w:r>
      <w:r>
        <w:rPr>
          <w:rFonts w:hint="cs"/>
          <w:rtl/>
        </w:rPr>
        <w:t xml:space="preserve"> דאומר לו המערער דאם אם היה טוען שקנית ממני, לאו בע"ד דידי את, כיון שאין לך לא שטר ולא חזקה, וכתב </w:t>
      </w:r>
      <w:r w:rsidRPr="00ED2F43">
        <w:rPr>
          <w:rStyle w:val="af9"/>
          <w:rFonts w:hint="cs"/>
          <w:rtl/>
        </w:rPr>
        <w:t>בחי' רבי נחום</w:t>
      </w:r>
      <w:r>
        <w:rPr>
          <w:rFonts w:hint="cs"/>
          <w:rtl/>
        </w:rPr>
        <w:t xml:space="preserve"> דמבואר דכל שאין לו חזקת ג"ש, לא מהני ליה הפה שאסר, אעפ"י שאין למרא קמא עדים שהקרקע שלו, ועי' במה שביאר בזה בחי' </w:t>
      </w:r>
      <w:r w:rsidRPr="009D2152">
        <w:rPr>
          <w:rStyle w:val="af9"/>
          <w:rFonts w:hint="cs"/>
          <w:rtl/>
        </w:rPr>
        <w:t xml:space="preserve">רבי נחום לקמן </w:t>
      </w:r>
      <w:r w:rsidRPr="00A44F6B">
        <w:rPr>
          <w:rStyle w:val="af7"/>
          <w:rFonts w:eastAsia="Guttman Hodes" w:hint="cs"/>
          <w:rtl/>
        </w:rPr>
        <w:t>(או' נ"ד, נ"ט)</w:t>
      </w:r>
      <w:r>
        <w:rPr>
          <w:rFonts w:hint="cs"/>
          <w:rtl/>
        </w:rPr>
        <w:t xml:space="preserve">. </w:t>
      </w:r>
    </w:p>
    <w:p w:rsidR="0019070E" w:rsidRDefault="0019070E" w:rsidP="0019070E">
      <w:pPr>
        <w:pStyle w:val="1"/>
        <w:rPr>
          <w:rtl/>
        </w:rPr>
      </w:pPr>
      <w:bookmarkStart w:id="7393" w:name="_Toc57544582"/>
      <w:bookmarkStart w:id="7394" w:name="_Toc58185102"/>
      <w:r>
        <w:rPr>
          <w:rFonts w:hint="cs"/>
          <w:rtl/>
        </w:rPr>
        <w:t>ביאור הגרנ"פ בי"מ ברי"ף</w:t>
      </w:r>
      <w:bookmarkEnd w:id="7379"/>
      <w:bookmarkEnd w:id="7380"/>
      <w:bookmarkEnd w:id="7381"/>
      <w:bookmarkEnd w:id="7382"/>
      <w:bookmarkEnd w:id="7383"/>
      <w:bookmarkEnd w:id="7384"/>
      <w:bookmarkEnd w:id="7385"/>
      <w:bookmarkEnd w:id="7386"/>
      <w:r>
        <w:rPr>
          <w:rFonts w:hint="cs"/>
          <w:rtl/>
        </w:rPr>
        <w:t xml:space="preserve"> דרבא ור"נ נח' בהמע"ה ולא במיגו</w:t>
      </w:r>
      <w:bookmarkEnd w:id="7393"/>
      <w:bookmarkEnd w:id="7394"/>
    </w:p>
    <w:p w:rsidR="0019070E" w:rsidRDefault="0019070E" w:rsidP="0019070E">
      <w:pPr>
        <w:pStyle w:val="a3"/>
        <w:rPr>
          <w:rtl/>
        </w:rPr>
      </w:pPr>
      <w:bookmarkStart w:id="7395" w:name="_Toc57544583"/>
      <w:bookmarkStart w:id="7396" w:name="_Toc58185103"/>
      <w:r>
        <w:rPr>
          <w:rFonts w:hint="cs"/>
          <w:rtl/>
        </w:rPr>
        <w:t>קושית הגרנ"פ על הי"מ בפי' הא' ברי"ף דהנאמנות מהפה שאסר ול"מ כן בדברי רבא כלל</w:t>
      </w:r>
      <w:bookmarkEnd w:id="7395"/>
      <w:bookmarkEnd w:id="7396"/>
    </w:p>
    <w:p w:rsidR="0019070E" w:rsidRDefault="0019070E" w:rsidP="007E4E81">
      <w:pPr>
        <w:pStyle w:val="a0"/>
        <w:rPr>
          <w:rtl/>
        </w:rPr>
      </w:pPr>
      <w:r>
        <w:rPr>
          <w:rFonts w:hint="cs"/>
          <w:rtl/>
        </w:rPr>
        <w:t xml:space="preserve">במ"ש </w:t>
      </w:r>
      <w:r w:rsidRPr="0096207D">
        <w:rPr>
          <w:rStyle w:val="af9"/>
          <w:rFonts w:hint="cs"/>
          <w:rtl/>
        </w:rPr>
        <w:t xml:space="preserve">הי"מ ברי"ף </w:t>
      </w:r>
      <w:r w:rsidRPr="00EC127D">
        <w:rPr>
          <w:rStyle w:val="af9"/>
          <w:rFonts w:hint="cs"/>
          <w:rtl/>
        </w:rPr>
        <w:t>בפי' הא'</w:t>
      </w:r>
      <w:r>
        <w:rPr>
          <w:rFonts w:hint="cs"/>
          <w:rtl/>
        </w:rPr>
        <w:t xml:space="preserve"> </w:t>
      </w:r>
      <w:r w:rsidRPr="00A37180">
        <w:rPr>
          <w:rStyle w:val="af7"/>
          <w:rFonts w:eastAsia="Guttman Hodes" w:hint="cs"/>
          <w:rtl/>
        </w:rPr>
        <w:t xml:space="preserve">(עי' אות </w:t>
      </w:r>
      <w:r w:rsidRPr="00A37180">
        <w:rPr>
          <w:rStyle w:val="af7"/>
          <w:rFonts w:eastAsia="Guttman Hodes"/>
          <w:rtl/>
        </w:rPr>
        <w:fldChar w:fldCharType="begin"/>
      </w:r>
      <w:r w:rsidRPr="00A37180">
        <w:rPr>
          <w:rStyle w:val="af7"/>
          <w:rFonts w:eastAsia="Guttman Hodes"/>
          <w:rtl/>
        </w:rPr>
        <w:instrText xml:space="preserve"> </w:instrText>
      </w:r>
      <w:r w:rsidRPr="00A37180">
        <w:rPr>
          <w:rStyle w:val="af7"/>
          <w:rFonts w:eastAsia="Guttman Hodes" w:hint="cs"/>
        </w:rPr>
        <w:instrText>REF</w:instrText>
      </w:r>
      <w:r w:rsidRPr="00A37180">
        <w:rPr>
          <w:rStyle w:val="af7"/>
          <w:rFonts w:eastAsia="Guttman Hodes" w:hint="cs"/>
          <w:rtl/>
        </w:rPr>
        <w:instrText xml:space="preserve"> _</w:instrText>
      </w:r>
      <w:r w:rsidRPr="00A37180">
        <w:rPr>
          <w:rStyle w:val="af7"/>
          <w:rFonts w:eastAsia="Guttman Hodes" w:hint="cs"/>
        </w:rPr>
        <w:instrText>Ref57319519 \r \h</w:instrText>
      </w:r>
      <w:r w:rsidRPr="00A37180">
        <w:rPr>
          <w:rStyle w:val="af7"/>
          <w:rFonts w:eastAsia="Guttman Hodes"/>
          <w:rtl/>
        </w:rPr>
        <w:instrText xml:space="preserve"> </w:instrText>
      </w:r>
      <w:r w:rsidRPr="00A37180">
        <w:rPr>
          <w:rStyle w:val="af7"/>
          <w:rFonts w:eastAsia="Guttman Hodes"/>
          <w:rtl/>
        </w:rPr>
      </w:r>
      <w:r w:rsidRPr="00A37180">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A37180">
        <w:rPr>
          <w:rStyle w:val="af7"/>
          <w:rFonts w:eastAsia="Guttman Hodes"/>
          <w:rtl/>
        </w:rPr>
        <w:fldChar w:fldCharType="end"/>
      </w:r>
      <w:r w:rsidRPr="00A37180">
        <w:rPr>
          <w:rStyle w:val="af7"/>
          <w:rFonts w:eastAsia="Guttman Hodes" w:hint="cs"/>
          <w:rtl/>
        </w:rPr>
        <w:t xml:space="preserve"> </w:t>
      </w:r>
      <w:r>
        <w:rPr>
          <w:rFonts w:hint="cs"/>
          <w:rtl/>
        </w:rPr>
        <w:t>דאיירי שאין למערער עדים שהקרקע הייתה שלו,</w:t>
      </w:r>
      <w:r w:rsidRPr="002875AD">
        <w:rPr>
          <w:rFonts w:hint="cs"/>
          <w:rtl/>
        </w:rPr>
        <w:t xml:space="preserve"> </w:t>
      </w:r>
      <w:r>
        <w:rPr>
          <w:rFonts w:hint="cs"/>
          <w:rtl/>
        </w:rPr>
        <w:t xml:space="preserve">ביאר </w:t>
      </w:r>
      <w:r>
        <w:rPr>
          <w:rStyle w:val="af9"/>
          <w:rFonts w:hint="cs"/>
          <w:rtl/>
        </w:rPr>
        <w:t xml:space="preserve">בחי' </w:t>
      </w:r>
      <w:r w:rsidRPr="000875E5">
        <w:rPr>
          <w:rStyle w:val="af9"/>
          <w:rFonts w:hint="cs"/>
          <w:rtl/>
        </w:rPr>
        <w:t>רבי נחום</w:t>
      </w:r>
      <w:r>
        <w:rPr>
          <w:rFonts w:hint="cs"/>
          <w:rtl/>
        </w:rPr>
        <w:t xml:space="preserve"> </w:t>
      </w:r>
      <w:r w:rsidRPr="00A37180">
        <w:rPr>
          <w:rStyle w:val="af7"/>
          <w:rFonts w:eastAsia="Guttman Hodes" w:hint="cs"/>
          <w:rtl/>
        </w:rPr>
        <w:t>(</w:t>
      </w:r>
      <w:r>
        <w:rPr>
          <w:rStyle w:val="af7"/>
          <w:rFonts w:eastAsia="Guttman Hodes" w:hint="cs"/>
          <w:rtl/>
        </w:rPr>
        <w:t xml:space="preserve">או' נ"ד ד"ה והנה, </w:t>
      </w:r>
      <w:r w:rsidRPr="00A37180">
        <w:rPr>
          <w:rStyle w:val="af7"/>
          <w:rFonts w:eastAsia="Guttman Hodes" w:hint="cs"/>
          <w:rtl/>
        </w:rPr>
        <w:t xml:space="preserve">ספר זכרון </w:t>
      </w:r>
      <w:r w:rsidRPr="00A37180">
        <w:rPr>
          <w:rStyle w:val="af7"/>
          <w:rFonts w:eastAsia="Guttman Hodes" w:hint="cs"/>
          <w:rtl/>
        </w:rPr>
        <w:t xml:space="preserve">יצחק [ניימן] עמ' רמ"ג, תורת ראשי הישיבות ב"ב ח"א עמ' תע"ה) </w:t>
      </w:r>
      <w:r>
        <w:rPr>
          <w:rFonts w:hint="cs"/>
          <w:rtl/>
        </w:rPr>
        <w:t xml:space="preserve">דס"ל דאי יש למרא קמא עדים שהקרקע הייתה שלו, א"כ לכו"ע המחזיק צריך להוכיח שחזקתו היא חזקה, ורק כשאין למרא קמא עדים, ס"ל לרבא דהמחזיק נאמן מדין הפה שאסר, אך הקשה </w:t>
      </w:r>
      <w:r>
        <w:rPr>
          <w:rStyle w:val="af9"/>
          <w:rFonts w:hint="cs"/>
          <w:rtl/>
        </w:rPr>
        <w:t xml:space="preserve">בחי' </w:t>
      </w:r>
      <w:r w:rsidRPr="000875E5">
        <w:rPr>
          <w:rStyle w:val="af9"/>
          <w:rFonts w:hint="cs"/>
          <w:rtl/>
        </w:rPr>
        <w:t>רבי נחום</w:t>
      </w:r>
      <w:r>
        <w:rPr>
          <w:rFonts w:hint="cs"/>
          <w:rtl/>
        </w:rPr>
        <w:t xml:space="preserve"> על דעת </w:t>
      </w:r>
      <w:r>
        <w:rPr>
          <w:rStyle w:val="af9"/>
          <w:rFonts w:hint="cs"/>
          <w:rtl/>
        </w:rPr>
        <w:t>ה</w:t>
      </w:r>
      <w:r w:rsidRPr="00EC127D">
        <w:rPr>
          <w:rStyle w:val="af9"/>
          <w:rFonts w:hint="cs"/>
          <w:rtl/>
        </w:rPr>
        <w:t>י"מ</w:t>
      </w:r>
      <w:r>
        <w:rPr>
          <w:rFonts w:hint="cs"/>
          <w:rtl/>
        </w:rPr>
        <w:t xml:space="preserve"> </w:t>
      </w:r>
      <w:r w:rsidRPr="00EC127D">
        <w:rPr>
          <w:rStyle w:val="af9"/>
          <w:rFonts w:hint="cs"/>
          <w:rtl/>
        </w:rPr>
        <w:t>בפי' הא'</w:t>
      </w:r>
      <w:r>
        <w:rPr>
          <w:rFonts w:hint="cs"/>
          <w:rtl/>
        </w:rPr>
        <w:t xml:space="preserve"> </w:t>
      </w:r>
      <w:r>
        <w:rPr>
          <w:rStyle w:val="af9"/>
          <w:rFonts w:hint="cs"/>
          <w:rtl/>
        </w:rPr>
        <w:t>ב</w:t>
      </w:r>
      <w:r w:rsidRPr="00EC127D">
        <w:rPr>
          <w:rStyle w:val="af9"/>
          <w:rFonts w:hint="cs"/>
          <w:rtl/>
        </w:rPr>
        <w:t>רי"ף</w:t>
      </w:r>
      <w:r>
        <w:rPr>
          <w:rFonts w:hint="cs"/>
          <w:rtl/>
        </w:rPr>
        <w:t xml:space="preserve"> דלדבריהם עיקר הטעם של רבא הוא דהמחזיק נאמן מדין הפה שאסר, ולא היה לרבא לומר דעל המערער להביא ראיה מדין המע"ה, ועוד הקשה </w:t>
      </w:r>
      <w:r>
        <w:rPr>
          <w:rStyle w:val="af9"/>
          <w:rFonts w:hint="cs"/>
          <w:rtl/>
        </w:rPr>
        <w:t xml:space="preserve">בחי' </w:t>
      </w:r>
      <w:r w:rsidRPr="000875E5">
        <w:rPr>
          <w:rStyle w:val="af9"/>
          <w:rFonts w:hint="cs"/>
          <w:rtl/>
        </w:rPr>
        <w:t>רבי נחום</w:t>
      </w:r>
      <w:r>
        <w:rPr>
          <w:rFonts w:hint="cs"/>
          <w:rtl/>
        </w:rPr>
        <w:t xml:space="preserve"> דא"כ מה מקשה הגמ' על רבא מבר סיסין, הא בבר סיסין לא שייך הפה שאסר כלל, ועיי"ש במה שהוסיף </w:t>
      </w:r>
      <w:r>
        <w:rPr>
          <w:rStyle w:val="af9"/>
          <w:rFonts w:hint="cs"/>
          <w:rtl/>
        </w:rPr>
        <w:t xml:space="preserve">בחי' </w:t>
      </w:r>
      <w:r w:rsidRPr="000875E5">
        <w:rPr>
          <w:rStyle w:val="af9"/>
          <w:rFonts w:hint="cs"/>
          <w:rtl/>
        </w:rPr>
        <w:t>רבי נחום</w:t>
      </w:r>
      <w:r>
        <w:rPr>
          <w:rFonts w:hint="cs"/>
          <w:rtl/>
        </w:rPr>
        <w:t xml:space="preserve"> להקשות טובא על</w:t>
      </w:r>
      <w:r w:rsidRPr="00A133DC">
        <w:rPr>
          <w:rFonts w:hint="cs"/>
          <w:rtl/>
        </w:rPr>
        <w:t xml:space="preserve"> </w:t>
      </w:r>
      <w:r>
        <w:rPr>
          <w:rFonts w:hint="cs"/>
          <w:rtl/>
        </w:rPr>
        <w:t>דעת</w:t>
      </w:r>
      <w:r w:rsidRPr="002875AD">
        <w:rPr>
          <w:rFonts w:hint="cs"/>
          <w:rtl/>
        </w:rPr>
        <w:t xml:space="preserve"> </w:t>
      </w:r>
      <w:r>
        <w:rPr>
          <w:rStyle w:val="af9"/>
          <w:rFonts w:hint="cs"/>
          <w:rtl/>
        </w:rPr>
        <w:t>ה</w:t>
      </w:r>
      <w:r w:rsidRPr="00EC127D">
        <w:rPr>
          <w:rStyle w:val="af9"/>
          <w:rFonts w:hint="cs"/>
          <w:rtl/>
        </w:rPr>
        <w:t>י"מ</w:t>
      </w:r>
      <w:r>
        <w:rPr>
          <w:rFonts w:hint="cs"/>
          <w:rtl/>
        </w:rPr>
        <w:t xml:space="preserve"> </w:t>
      </w:r>
      <w:r w:rsidRPr="00EC127D">
        <w:rPr>
          <w:rStyle w:val="af9"/>
          <w:rFonts w:hint="cs"/>
          <w:rtl/>
        </w:rPr>
        <w:t>בפי' הא'</w:t>
      </w:r>
      <w:r>
        <w:rPr>
          <w:rFonts w:hint="cs"/>
          <w:rtl/>
        </w:rPr>
        <w:t xml:space="preserve"> </w:t>
      </w:r>
      <w:r>
        <w:rPr>
          <w:rStyle w:val="af9"/>
          <w:rFonts w:hint="cs"/>
          <w:rtl/>
        </w:rPr>
        <w:t>ב</w:t>
      </w:r>
      <w:r w:rsidRPr="00EC127D">
        <w:rPr>
          <w:rStyle w:val="af9"/>
          <w:rFonts w:hint="cs"/>
          <w:rtl/>
        </w:rPr>
        <w:t>רי"ף</w:t>
      </w:r>
      <w:r>
        <w:rPr>
          <w:rFonts w:hint="cs"/>
          <w:rtl/>
        </w:rPr>
        <w:t>.</w:t>
      </w:r>
    </w:p>
    <w:p w:rsidR="0019070E" w:rsidRPr="00E90687" w:rsidRDefault="0019070E" w:rsidP="0019070E">
      <w:pPr>
        <w:pStyle w:val="a3"/>
      </w:pPr>
      <w:bookmarkStart w:id="7397" w:name="_Toc57544584"/>
      <w:bookmarkStart w:id="7398" w:name="_Toc58185104"/>
      <w:r>
        <w:rPr>
          <w:rFonts w:hint="cs"/>
          <w:rtl/>
        </w:rPr>
        <w:t>ביאור הגרנ"פ דלר"נ המערער מכחיש את עצם החזקה ואין המחזיק מוחזק והספק בעיקר חזקתו</w:t>
      </w:r>
      <w:bookmarkEnd w:id="7397"/>
      <w:bookmarkEnd w:id="7398"/>
    </w:p>
    <w:p w:rsidR="0019070E" w:rsidRDefault="0019070E" w:rsidP="007E4E81">
      <w:pPr>
        <w:pStyle w:val="a0"/>
        <w:rPr>
          <w:rtl/>
        </w:rPr>
      </w:pPr>
      <w:r>
        <w:rPr>
          <w:rFonts w:hint="cs"/>
          <w:rtl/>
        </w:rPr>
        <w:t>ועיי"ש במה שהאריך</w:t>
      </w:r>
      <w:r>
        <w:rPr>
          <w:rtl/>
        </w:rPr>
        <w:t xml:space="preserve"> </w:t>
      </w:r>
      <w:r>
        <w:rPr>
          <w:rStyle w:val="af9"/>
          <w:rFonts w:hint="cs"/>
          <w:rtl/>
        </w:rPr>
        <w:t xml:space="preserve">בחי' </w:t>
      </w:r>
      <w:r w:rsidRPr="00D14425">
        <w:rPr>
          <w:rStyle w:val="af9"/>
          <w:rtl/>
        </w:rPr>
        <w:t>רבי נחום</w:t>
      </w:r>
      <w:r>
        <w:rPr>
          <w:rtl/>
        </w:rPr>
        <w:t xml:space="preserve"> </w:t>
      </w:r>
      <w:r w:rsidRPr="00247881">
        <w:rPr>
          <w:rStyle w:val="af7"/>
          <w:rFonts w:eastAsia="Guttman Hodes"/>
          <w:rtl/>
        </w:rPr>
        <w:t>(</w:t>
      </w:r>
      <w:r>
        <w:rPr>
          <w:rStyle w:val="af7"/>
          <w:rFonts w:eastAsia="Guttman Hodes" w:hint="cs"/>
          <w:rtl/>
        </w:rPr>
        <w:t xml:space="preserve">או' נ"ד ד"ה ולפני שנבא, </w:t>
      </w:r>
      <w:r w:rsidRPr="00247881">
        <w:rPr>
          <w:rStyle w:val="af7"/>
          <w:rFonts w:eastAsia="Guttman Hodes"/>
          <w:rtl/>
        </w:rPr>
        <w:t>ספר זכרון יצחק [ניימן] עמ' רמ"</w:t>
      </w:r>
      <w:r w:rsidRPr="00247881">
        <w:rPr>
          <w:rStyle w:val="af7"/>
          <w:rFonts w:eastAsia="Guttman Hodes" w:hint="cs"/>
          <w:rtl/>
        </w:rPr>
        <w:t>ח</w:t>
      </w:r>
      <w:r w:rsidRPr="00247881">
        <w:rPr>
          <w:rStyle w:val="af7"/>
          <w:rFonts w:eastAsia="Guttman Hodes"/>
          <w:rtl/>
        </w:rPr>
        <w:t>, תורת ראשי הישיבות ב"ב ח"א עמ' תע"</w:t>
      </w:r>
      <w:r w:rsidRPr="00247881">
        <w:rPr>
          <w:rStyle w:val="af7"/>
          <w:rFonts w:eastAsia="Guttman Hodes" w:hint="cs"/>
          <w:rtl/>
        </w:rPr>
        <w:t>ט)</w:t>
      </w:r>
      <w:r>
        <w:rPr>
          <w:rFonts w:hint="cs"/>
          <w:rtl/>
        </w:rPr>
        <w:t xml:space="preserve"> לבאר בגדר דין הפה שאסר, וכתב </w:t>
      </w:r>
      <w:r>
        <w:rPr>
          <w:rStyle w:val="af9"/>
          <w:rFonts w:hint="cs"/>
          <w:rtl/>
        </w:rPr>
        <w:t xml:space="preserve">בחי' </w:t>
      </w:r>
      <w:r w:rsidRPr="00D14425">
        <w:rPr>
          <w:rStyle w:val="af9"/>
          <w:rFonts w:hint="cs"/>
          <w:rtl/>
        </w:rPr>
        <w:t>רבי נחום</w:t>
      </w:r>
      <w:r>
        <w:rPr>
          <w:rFonts w:hint="cs"/>
          <w:rtl/>
        </w:rPr>
        <w:t xml:space="preserve"> </w:t>
      </w:r>
      <w:r w:rsidRPr="00247881">
        <w:rPr>
          <w:rStyle w:val="af7"/>
          <w:rFonts w:eastAsia="Guttman Hodes"/>
          <w:rtl/>
        </w:rPr>
        <w:t>(</w:t>
      </w:r>
      <w:r w:rsidRPr="0042290F">
        <w:rPr>
          <w:rStyle w:val="af7"/>
          <w:rFonts w:eastAsia="Guttman Hodes" w:hint="cs"/>
          <w:rtl/>
        </w:rPr>
        <w:t>או' נ"ד ד"ה וע"כ נראה)</w:t>
      </w:r>
      <w:r>
        <w:rPr>
          <w:rFonts w:hint="cs"/>
          <w:rtl/>
        </w:rPr>
        <w:t xml:space="preserve"> דס"ל לר"נ דכיון שהמערער מכחיש את עצם החזקה של המחזיק, במה שטוען שהיה דר בבית הפנימי, </w:t>
      </w:r>
      <w:r w:rsidRPr="0029079B">
        <w:rPr>
          <w:rStyle w:val="afb"/>
          <w:rFonts w:hint="cs"/>
          <w:rtl/>
        </w:rPr>
        <w:t xml:space="preserve">[לביאור </w:t>
      </w:r>
      <w:r w:rsidRPr="0029079B">
        <w:rPr>
          <w:rStyle w:val="affa"/>
          <w:rFonts w:hint="cs"/>
          <w:rtl/>
        </w:rPr>
        <w:t>הרשב"ם</w:t>
      </w:r>
      <w:r w:rsidRPr="0029079B">
        <w:rPr>
          <w:rStyle w:val="afb"/>
          <w:rFonts w:hint="cs"/>
          <w:rtl/>
        </w:rPr>
        <w:t xml:space="preserve"> </w:t>
      </w:r>
      <w:r w:rsidRPr="0029079B">
        <w:rPr>
          <w:rStyle w:val="aff6"/>
          <w:rFonts w:hint="cs"/>
          <w:rtl/>
        </w:rPr>
        <w:t xml:space="preserve">(עי' אות </w:t>
      </w:r>
      <w:r w:rsidRPr="0029079B">
        <w:rPr>
          <w:rStyle w:val="aff6"/>
          <w:rtl/>
        </w:rPr>
        <w:fldChar w:fldCharType="begin"/>
      </w:r>
      <w:r w:rsidRPr="0029079B">
        <w:rPr>
          <w:rStyle w:val="aff6"/>
          <w:rtl/>
        </w:rPr>
        <w:instrText xml:space="preserve"> </w:instrText>
      </w:r>
      <w:r w:rsidRPr="0029079B">
        <w:rPr>
          <w:rStyle w:val="aff6"/>
          <w:rFonts w:hint="cs"/>
        </w:rPr>
        <w:instrText>REF</w:instrText>
      </w:r>
      <w:r w:rsidRPr="0029079B">
        <w:rPr>
          <w:rStyle w:val="aff6"/>
          <w:rFonts w:hint="cs"/>
          <w:rtl/>
        </w:rPr>
        <w:instrText xml:space="preserve"> _</w:instrText>
      </w:r>
      <w:r w:rsidRPr="0029079B">
        <w:rPr>
          <w:rStyle w:val="aff6"/>
          <w:rFonts w:hint="cs"/>
        </w:rPr>
        <w:instrText>Ref56936382 \r \h</w:instrText>
      </w:r>
      <w:r w:rsidRPr="0029079B">
        <w:rPr>
          <w:rStyle w:val="aff6"/>
          <w:rtl/>
        </w:rPr>
        <w:instrText xml:space="preserve"> </w:instrText>
      </w:r>
      <w:r w:rsidRPr="0029079B">
        <w:rPr>
          <w:rStyle w:val="aff6"/>
          <w:rtl/>
        </w:rPr>
      </w:r>
      <w:r w:rsidRPr="0029079B">
        <w:rPr>
          <w:rStyle w:val="aff6"/>
          <w:rtl/>
        </w:rPr>
        <w:fldChar w:fldCharType="separate"/>
      </w:r>
      <w:r w:rsidR="00265073">
        <w:rPr>
          <w:rStyle w:val="aff6"/>
          <w:cs/>
        </w:rPr>
        <w:t>‎</w:t>
      </w:r>
      <w:r w:rsidR="00265073">
        <w:rPr>
          <w:rStyle w:val="aff6"/>
          <w:rtl/>
        </w:rPr>
        <w:t>א)</w:t>
      </w:r>
      <w:r w:rsidRPr="0029079B">
        <w:rPr>
          <w:rStyle w:val="aff6"/>
          <w:rtl/>
        </w:rPr>
        <w:fldChar w:fldCharType="end"/>
      </w:r>
      <w:r w:rsidRPr="0029079B">
        <w:rPr>
          <w:rStyle w:val="afb"/>
          <w:rFonts w:hint="cs"/>
          <w:rtl/>
        </w:rPr>
        <w:t xml:space="preserve"> בשכוני גוואי],</w:t>
      </w:r>
      <w:r>
        <w:rPr>
          <w:rFonts w:hint="cs"/>
          <w:rtl/>
        </w:rPr>
        <w:t xml:space="preserve"> ולפי טענתו המרא קמא הוא המוחזק ולא המחזיק, א"כ אין המחזיק יכול לזכות בקרקע מדין המע"ה, דהא לטענת המרא קמא אין המחזיק מוחזק כלל, דע"י טענת המערער יש ספק בעיקר החזקה של המחזיק.</w:t>
      </w:r>
    </w:p>
    <w:p w:rsidR="0019070E" w:rsidRDefault="0019070E" w:rsidP="0019070E">
      <w:pPr>
        <w:pStyle w:val="a3"/>
        <w:rPr>
          <w:rtl/>
        </w:rPr>
      </w:pPr>
      <w:bookmarkStart w:id="7399" w:name="_Toc57544585"/>
      <w:bookmarkStart w:id="7400" w:name="_Toc58185105"/>
      <w:r>
        <w:rPr>
          <w:rFonts w:hint="cs"/>
          <w:rtl/>
        </w:rPr>
        <w:t>ביאור הגרנ"פ דבדין הפה שאסר המערער אינו מכחיש את מוחזקות המחזיק וטענתו על המכירה</w:t>
      </w:r>
      <w:bookmarkEnd w:id="7399"/>
      <w:bookmarkEnd w:id="7400"/>
    </w:p>
    <w:p w:rsidR="0019070E" w:rsidRDefault="0019070E" w:rsidP="007E4E81">
      <w:pPr>
        <w:pStyle w:val="a0"/>
        <w:rPr>
          <w:rtl/>
        </w:rPr>
      </w:pPr>
      <w:r>
        <w:rPr>
          <w:rFonts w:hint="cs"/>
          <w:rtl/>
        </w:rPr>
        <w:t xml:space="preserve">משא"כ בדין הפה שאסר בגמ' בכתובות, כתב </w:t>
      </w:r>
      <w:r>
        <w:rPr>
          <w:rStyle w:val="af9"/>
          <w:rFonts w:hint="cs"/>
          <w:rtl/>
        </w:rPr>
        <w:t xml:space="preserve">בחי' </w:t>
      </w:r>
      <w:r w:rsidRPr="00D14425">
        <w:rPr>
          <w:rStyle w:val="af9"/>
          <w:rFonts w:hint="cs"/>
          <w:rtl/>
        </w:rPr>
        <w:t>רבי נחום</w:t>
      </w:r>
      <w:r>
        <w:rPr>
          <w:rFonts w:hint="cs"/>
          <w:rtl/>
        </w:rPr>
        <w:t xml:space="preserve"> </w:t>
      </w:r>
      <w:r w:rsidRPr="00247881">
        <w:rPr>
          <w:rStyle w:val="af7"/>
          <w:rFonts w:eastAsia="Guttman Hodes"/>
          <w:rtl/>
        </w:rPr>
        <w:t>(</w:t>
      </w:r>
      <w:r w:rsidRPr="0042290F">
        <w:rPr>
          <w:rStyle w:val="af7"/>
          <w:rFonts w:eastAsia="Guttman Hodes" w:hint="cs"/>
          <w:rtl/>
        </w:rPr>
        <w:t>או' נ"ד ד"ה</w:t>
      </w:r>
      <w:r>
        <w:rPr>
          <w:rStyle w:val="af7"/>
          <w:rFonts w:eastAsia="Guttman Hodes" w:hint="cs"/>
          <w:rtl/>
        </w:rPr>
        <w:t xml:space="preserve"> ובישוב)</w:t>
      </w:r>
      <w:r w:rsidRPr="0042290F">
        <w:rPr>
          <w:rStyle w:val="af7"/>
          <w:rFonts w:eastAsia="Guttman Hodes" w:hint="cs"/>
          <w:rtl/>
        </w:rPr>
        <w:t xml:space="preserve"> </w:t>
      </w:r>
      <w:r>
        <w:rPr>
          <w:rFonts w:hint="cs"/>
          <w:rtl/>
        </w:rPr>
        <w:t>דהמערער אינו מכחיש את החזקה, אלא טוען שלא מכר לו את הקרקע, ובזה הפה שאסר מהני להעמיד שהקרקע היא בחזקת המחזיק.</w:t>
      </w:r>
    </w:p>
    <w:p w:rsidR="0019070E" w:rsidRDefault="0019070E" w:rsidP="0019070E">
      <w:pPr>
        <w:pStyle w:val="a3"/>
        <w:rPr>
          <w:rtl/>
        </w:rPr>
      </w:pPr>
      <w:bookmarkStart w:id="7401" w:name="_Toc57544586"/>
      <w:bookmarkStart w:id="7402" w:name="_Toc58185106"/>
      <w:r>
        <w:rPr>
          <w:rFonts w:hint="cs"/>
          <w:rtl/>
        </w:rPr>
        <w:t>ביאור הגרנ"פ בי"מ ברי"ף בפי' הא' דלר"נ ע"י טענת המערער יש ספק בעיקר המוחזקות</w:t>
      </w:r>
      <w:bookmarkEnd w:id="7401"/>
      <w:bookmarkEnd w:id="7402"/>
    </w:p>
    <w:p w:rsidR="0019070E" w:rsidRDefault="0019070E" w:rsidP="007E4E81">
      <w:pPr>
        <w:pStyle w:val="a0"/>
      </w:pPr>
      <w:r>
        <w:rPr>
          <w:rFonts w:hint="cs"/>
          <w:rtl/>
        </w:rPr>
        <w:t xml:space="preserve">ולפי"ז ביאר </w:t>
      </w:r>
      <w:r>
        <w:rPr>
          <w:rStyle w:val="af9"/>
          <w:rFonts w:hint="cs"/>
          <w:rtl/>
        </w:rPr>
        <w:t xml:space="preserve">בחי' </w:t>
      </w:r>
      <w:r w:rsidRPr="00247881">
        <w:rPr>
          <w:rStyle w:val="af9"/>
          <w:rFonts w:hint="cs"/>
          <w:rtl/>
        </w:rPr>
        <w:t>רבי נחום</w:t>
      </w:r>
      <w:r>
        <w:rPr>
          <w:rFonts w:hint="cs"/>
          <w:rtl/>
        </w:rPr>
        <w:t xml:space="preserve"> דלדעת</w:t>
      </w:r>
      <w:r w:rsidRPr="002875AD">
        <w:rPr>
          <w:rFonts w:hint="cs"/>
          <w:rtl/>
        </w:rPr>
        <w:t xml:space="preserve"> </w:t>
      </w:r>
      <w:r w:rsidRPr="0096207D">
        <w:rPr>
          <w:rStyle w:val="af9"/>
          <w:rFonts w:hint="cs"/>
          <w:rtl/>
        </w:rPr>
        <w:t xml:space="preserve">הי"מ ברי"ף </w:t>
      </w:r>
      <w:r w:rsidRPr="00EC127D">
        <w:rPr>
          <w:rStyle w:val="af9"/>
          <w:rFonts w:hint="cs"/>
          <w:rtl/>
        </w:rPr>
        <w:t>בפי' הא'</w:t>
      </w:r>
      <w:r>
        <w:rPr>
          <w:rFonts w:hint="cs"/>
          <w:rtl/>
        </w:rPr>
        <w:t xml:space="preserve"> </w:t>
      </w:r>
      <w:r w:rsidRPr="00A37180">
        <w:rPr>
          <w:rStyle w:val="af7"/>
          <w:rFonts w:eastAsia="Guttman Hodes" w:hint="cs"/>
          <w:rtl/>
        </w:rPr>
        <w:t xml:space="preserve">(עי' אות </w:t>
      </w:r>
      <w:r w:rsidRPr="00A37180">
        <w:rPr>
          <w:rStyle w:val="af7"/>
          <w:rFonts w:eastAsia="Guttman Hodes"/>
          <w:rtl/>
        </w:rPr>
        <w:fldChar w:fldCharType="begin"/>
      </w:r>
      <w:r w:rsidRPr="00A37180">
        <w:rPr>
          <w:rStyle w:val="af7"/>
          <w:rFonts w:eastAsia="Guttman Hodes"/>
          <w:rtl/>
        </w:rPr>
        <w:instrText xml:space="preserve"> </w:instrText>
      </w:r>
      <w:r w:rsidRPr="00A37180">
        <w:rPr>
          <w:rStyle w:val="af7"/>
          <w:rFonts w:eastAsia="Guttman Hodes" w:hint="cs"/>
        </w:rPr>
        <w:instrText>REF</w:instrText>
      </w:r>
      <w:r w:rsidRPr="00A37180">
        <w:rPr>
          <w:rStyle w:val="af7"/>
          <w:rFonts w:eastAsia="Guttman Hodes" w:hint="cs"/>
          <w:rtl/>
        </w:rPr>
        <w:instrText xml:space="preserve"> _</w:instrText>
      </w:r>
      <w:r w:rsidRPr="00A37180">
        <w:rPr>
          <w:rStyle w:val="af7"/>
          <w:rFonts w:eastAsia="Guttman Hodes" w:hint="cs"/>
        </w:rPr>
        <w:instrText>Ref57319519 \r \h</w:instrText>
      </w:r>
      <w:r w:rsidRPr="00A37180">
        <w:rPr>
          <w:rStyle w:val="af7"/>
          <w:rFonts w:eastAsia="Guttman Hodes"/>
          <w:rtl/>
        </w:rPr>
        <w:instrText xml:space="preserve"> </w:instrText>
      </w:r>
      <w:r w:rsidRPr="00A37180">
        <w:rPr>
          <w:rStyle w:val="af7"/>
          <w:rFonts w:eastAsia="Guttman Hodes"/>
          <w:rtl/>
        </w:rPr>
      </w:r>
      <w:r w:rsidRPr="00A37180">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A37180">
        <w:rPr>
          <w:rStyle w:val="af7"/>
          <w:rFonts w:eastAsia="Guttman Hodes"/>
          <w:rtl/>
        </w:rPr>
        <w:fldChar w:fldCharType="end"/>
      </w:r>
      <w:r w:rsidRPr="00A37180">
        <w:rPr>
          <w:rStyle w:val="af7"/>
          <w:rFonts w:eastAsia="Guttman Hodes" w:hint="cs"/>
          <w:rtl/>
        </w:rPr>
        <w:t xml:space="preserve"> </w:t>
      </w:r>
      <w:r>
        <w:rPr>
          <w:rFonts w:hint="cs"/>
          <w:rtl/>
        </w:rPr>
        <w:t xml:space="preserve">דפלוגתת רבא ור"נ היא כעין דברי </w:t>
      </w:r>
      <w:r w:rsidRPr="0031296B">
        <w:rPr>
          <w:rStyle w:val="af9"/>
          <w:rFonts w:hint="cs"/>
          <w:rtl/>
        </w:rPr>
        <w:t>שאר הראשונים</w:t>
      </w:r>
      <w:r w:rsidRPr="0031296B">
        <w:rPr>
          <w:rStyle w:val="af7"/>
          <w:rFonts w:eastAsia="Guttman Hodes" w:hint="cs"/>
          <w:rtl/>
        </w:rPr>
        <w:t xml:space="preserve"> (עי' אות </w:t>
      </w:r>
      <w:r w:rsidRPr="0031296B">
        <w:rPr>
          <w:rStyle w:val="af7"/>
          <w:rFonts w:eastAsia="Guttman Hodes"/>
          <w:rtl/>
        </w:rPr>
        <w:fldChar w:fldCharType="begin"/>
      </w:r>
      <w:r w:rsidRPr="0031296B">
        <w:rPr>
          <w:rStyle w:val="af7"/>
          <w:rFonts w:eastAsia="Guttman Hodes"/>
          <w:rtl/>
        </w:rPr>
        <w:instrText xml:space="preserve"> </w:instrText>
      </w:r>
      <w:r w:rsidRPr="0031296B">
        <w:rPr>
          <w:rStyle w:val="af7"/>
          <w:rFonts w:eastAsia="Guttman Hodes" w:hint="cs"/>
        </w:rPr>
        <w:instrText>REF</w:instrText>
      </w:r>
      <w:r w:rsidRPr="0031296B">
        <w:rPr>
          <w:rStyle w:val="af7"/>
          <w:rFonts w:eastAsia="Guttman Hodes" w:hint="cs"/>
          <w:rtl/>
        </w:rPr>
        <w:instrText xml:space="preserve"> _</w:instrText>
      </w:r>
      <w:r w:rsidRPr="0031296B">
        <w:rPr>
          <w:rStyle w:val="af7"/>
          <w:rFonts w:eastAsia="Guttman Hodes" w:hint="cs"/>
        </w:rPr>
        <w:instrText>Ref57543338 \r \h</w:instrText>
      </w:r>
      <w:r w:rsidRPr="0031296B">
        <w:rPr>
          <w:rStyle w:val="af7"/>
          <w:rFonts w:eastAsia="Guttman Hodes"/>
          <w:rtl/>
        </w:rPr>
        <w:instrText xml:space="preserve"> </w:instrText>
      </w:r>
      <w:r w:rsidRPr="0031296B">
        <w:rPr>
          <w:rStyle w:val="af7"/>
          <w:rFonts w:eastAsia="Guttman Hodes"/>
          <w:rtl/>
        </w:rPr>
      </w:r>
      <w:r w:rsidRPr="0031296B">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31296B">
        <w:rPr>
          <w:rStyle w:val="af7"/>
          <w:rFonts w:eastAsia="Guttman Hodes"/>
          <w:rtl/>
        </w:rPr>
        <w:fldChar w:fldCharType="end"/>
      </w:r>
      <w:r w:rsidRPr="0031296B">
        <w:rPr>
          <w:rStyle w:val="af7"/>
          <w:rFonts w:eastAsia="Guttman Hodes" w:hint="cs"/>
          <w:rtl/>
        </w:rPr>
        <w:t xml:space="preserve"> </w:t>
      </w:r>
      <w:r>
        <w:rPr>
          <w:rFonts w:hint="cs"/>
          <w:rtl/>
        </w:rPr>
        <w:t>בסוגיין, דלרבא כיון שבלא טענת המרא קמא אין לנו כל סיבה להסתפק בחזקת המחזיק, ולחשוב שהמערער היה דר עמו בבית הפנימי, א"כ המחזיק נחשב למוחזק, ור"נ ס"ל דכיון שע"י טענת המערער יש ספק בעיקר החזקה, ממילא הספק הוא מיהו המוחזק, ולכן על המחזיק לברר את חזקתו.</w:t>
      </w:r>
    </w:p>
    <w:p w:rsidR="0019070E" w:rsidRDefault="0019070E" w:rsidP="0019070E">
      <w:pPr>
        <w:pStyle w:val="a3"/>
        <w:rPr>
          <w:rtl/>
        </w:rPr>
      </w:pPr>
      <w:bookmarkStart w:id="7403" w:name="_Toc57544587"/>
      <w:bookmarkStart w:id="7404" w:name="_Toc58185107"/>
      <w:r>
        <w:rPr>
          <w:rFonts w:hint="cs"/>
          <w:rtl/>
        </w:rPr>
        <w:t>ביאור הגרנ"פ בי"מ ברי"ף בפי' הא' דאף דנח' בהמע"ה מ"מ לרבא כשיש עדים המחזיק מוחזק</w:t>
      </w:r>
      <w:bookmarkEnd w:id="7403"/>
      <w:bookmarkEnd w:id="7404"/>
    </w:p>
    <w:p w:rsidR="0019070E" w:rsidRDefault="0019070E" w:rsidP="007E4E81">
      <w:pPr>
        <w:pStyle w:val="a0"/>
        <w:rPr>
          <w:rtl/>
        </w:rPr>
      </w:pPr>
      <w:r>
        <w:rPr>
          <w:rFonts w:hint="cs"/>
          <w:rtl/>
        </w:rPr>
        <w:t xml:space="preserve">וכתב </w:t>
      </w:r>
      <w:r>
        <w:rPr>
          <w:rStyle w:val="af9"/>
          <w:rFonts w:hint="cs"/>
          <w:rtl/>
        </w:rPr>
        <w:t xml:space="preserve">בחי' </w:t>
      </w:r>
      <w:r w:rsidRPr="00247881">
        <w:rPr>
          <w:rStyle w:val="af9"/>
          <w:rFonts w:hint="cs"/>
          <w:rtl/>
        </w:rPr>
        <w:t>רבי נחום</w:t>
      </w:r>
      <w:r>
        <w:rPr>
          <w:rFonts w:hint="cs"/>
          <w:rtl/>
        </w:rPr>
        <w:t xml:space="preserve"> דא"כ אף </w:t>
      </w:r>
      <w:r>
        <w:rPr>
          <w:rStyle w:val="af9"/>
          <w:rFonts w:hint="cs"/>
          <w:rtl/>
        </w:rPr>
        <w:t>ה</w:t>
      </w:r>
      <w:r w:rsidRPr="00EC127D">
        <w:rPr>
          <w:rStyle w:val="af9"/>
          <w:rFonts w:hint="cs"/>
          <w:rtl/>
        </w:rPr>
        <w:t>י"מ</w:t>
      </w:r>
      <w:r>
        <w:rPr>
          <w:rFonts w:hint="cs"/>
          <w:rtl/>
        </w:rPr>
        <w:t xml:space="preserve"> </w:t>
      </w:r>
      <w:r w:rsidRPr="00EC127D">
        <w:rPr>
          <w:rStyle w:val="af9"/>
          <w:rFonts w:hint="cs"/>
          <w:rtl/>
        </w:rPr>
        <w:t>בפי' הא'</w:t>
      </w:r>
      <w:r>
        <w:rPr>
          <w:rFonts w:hint="cs"/>
          <w:rtl/>
        </w:rPr>
        <w:t xml:space="preserve"> </w:t>
      </w:r>
      <w:r>
        <w:rPr>
          <w:rStyle w:val="af9"/>
          <w:rFonts w:hint="cs"/>
          <w:rtl/>
        </w:rPr>
        <w:t>ב</w:t>
      </w:r>
      <w:r w:rsidRPr="00EC127D">
        <w:rPr>
          <w:rStyle w:val="af9"/>
          <w:rFonts w:hint="cs"/>
          <w:rtl/>
        </w:rPr>
        <w:t>רי"ף</w:t>
      </w:r>
      <w:r>
        <w:rPr>
          <w:rFonts w:hint="cs"/>
          <w:rtl/>
        </w:rPr>
        <w:t xml:space="preserve"> מודו דרבא ור"נ</w:t>
      </w:r>
      <w:r w:rsidR="00A77F33">
        <w:rPr>
          <w:rFonts w:hint="cs"/>
          <w:rtl/>
        </w:rPr>
        <w:t xml:space="preserve"> </w:t>
      </w:r>
      <w:r>
        <w:rPr>
          <w:rFonts w:hint="cs"/>
          <w:rtl/>
        </w:rPr>
        <w:t xml:space="preserve">נחלקו בדין המע"ה ולא בדין הפה שאסר, אלא דס"ל דמ"מ אם יש למערער עדים שהוא המרא קמא, א"א להוציא מהמרא קמא, ולא היה רבא יכול לומר דעל המרא קמא להביא ראיה להוציא מהמוחזק, </w:t>
      </w:r>
      <w:r w:rsidRPr="00247881">
        <w:rPr>
          <w:rStyle w:val="afb"/>
          <w:rFonts w:hint="cs"/>
          <w:rtl/>
        </w:rPr>
        <w:t xml:space="preserve">[דהא רבא גופיה ס"ל לעיל </w:t>
      </w:r>
      <w:r w:rsidRPr="00247881">
        <w:rPr>
          <w:rStyle w:val="aff6"/>
          <w:rFonts w:hint="cs"/>
          <w:rtl/>
        </w:rPr>
        <w:t>(כט.)</w:t>
      </w:r>
      <w:r w:rsidRPr="00247881">
        <w:rPr>
          <w:rStyle w:val="afb"/>
          <w:rFonts w:hint="cs"/>
          <w:rtl/>
        </w:rPr>
        <w:t xml:space="preserve"> דבחזקה בבית על המחזיק להביא עדים ששכרו ממנו ודרו בבית ג"ש בימים ובלילות, וא"א לומר דס"ל לרבא דהמחזיק נחשב למוחזק, ועל המרא קמא להביא ראיה להוציא ממנו],</w:t>
      </w:r>
      <w:r>
        <w:rPr>
          <w:rFonts w:hint="cs"/>
          <w:rtl/>
        </w:rPr>
        <w:t xml:space="preserve"> ולכן ביארו </w:t>
      </w:r>
      <w:r w:rsidRPr="00247881">
        <w:rPr>
          <w:rStyle w:val="af9"/>
          <w:rFonts w:hint="cs"/>
          <w:rtl/>
        </w:rPr>
        <w:t>הי"מ</w:t>
      </w:r>
      <w:r>
        <w:rPr>
          <w:rFonts w:hint="cs"/>
          <w:rtl/>
        </w:rPr>
        <w:t xml:space="preserve"> דאין למרא קמא עדים וממילא יכול המחזיק להחשב כמוחזק, ועיי"ש במה שתירץ לפי"ז </w:t>
      </w:r>
      <w:r>
        <w:rPr>
          <w:rStyle w:val="af9"/>
          <w:rFonts w:hint="cs"/>
          <w:rtl/>
        </w:rPr>
        <w:t xml:space="preserve">בחי' </w:t>
      </w:r>
      <w:r w:rsidRPr="00247881">
        <w:rPr>
          <w:rStyle w:val="af9"/>
          <w:rFonts w:hint="cs"/>
          <w:rtl/>
        </w:rPr>
        <w:t>רבי נחום</w:t>
      </w:r>
      <w:r>
        <w:rPr>
          <w:rFonts w:hint="cs"/>
          <w:rtl/>
        </w:rPr>
        <w:t xml:space="preserve"> את הקושיות על דעת</w:t>
      </w:r>
      <w:r w:rsidRPr="00A32821">
        <w:rPr>
          <w:rStyle w:val="af9"/>
          <w:rFonts w:hint="cs"/>
          <w:rtl/>
        </w:rPr>
        <w:t xml:space="preserve"> </w:t>
      </w:r>
      <w:r>
        <w:rPr>
          <w:rStyle w:val="af9"/>
          <w:rFonts w:hint="cs"/>
          <w:rtl/>
        </w:rPr>
        <w:t>ה</w:t>
      </w:r>
      <w:r w:rsidRPr="00EC127D">
        <w:rPr>
          <w:rStyle w:val="af9"/>
          <w:rFonts w:hint="cs"/>
          <w:rtl/>
        </w:rPr>
        <w:t>י"מ</w:t>
      </w:r>
      <w:r>
        <w:rPr>
          <w:rFonts w:hint="cs"/>
          <w:rtl/>
        </w:rPr>
        <w:t xml:space="preserve"> </w:t>
      </w:r>
      <w:r w:rsidRPr="00EC127D">
        <w:rPr>
          <w:rStyle w:val="af9"/>
          <w:rFonts w:hint="cs"/>
          <w:rtl/>
        </w:rPr>
        <w:t>בפי' הא'</w:t>
      </w:r>
      <w:r>
        <w:rPr>
          <w:rFonts w:hint="cs"/>
          <w:rtl/>
        </w:rPr>
        <w:t xml:space="preserve"> </w:t>
      </w:r>
      <w:r>
        <w:rPr>
          <w:rStyle w:val="af9"/>
          <w:rFonts w:hint="cs"/>
          <w:rtl/>
        </w:rPr>
        <w:t>ב</w:t>
      </w:r>
      <w:r w:rsidRPr="00EC127D">
        <w:rPr>
          <w:rStyle w:val="af9"/>
          <w:rFonts w:hint="cs"/>
          <w:rtl/>
        </w:rPr>
        <w:t>רי"ף</w:t>
      </w:r>
      <w:r>
        <w:rPr>
          <w:rFonts w:hint="cs"/>
          <w:rtl/>
        </w:rPr>
        <w:t>.</w:t>
      </w:r>
    </w:p>
    <w:p w:rsidR="0019070E" w:rsidRPr="00FD5B80" w:rsidRDefault="0019070E" w:rsidP="0019070E">
      <w:pPr>
        <w:pStyle w:val="1"/>
        <w:rPr>
          <w:rtl/>
        </w:rPr>
      </w:pPr>
      <w:bookmarkStart w:id="7405" w:name="_Toc57544588"/>
      <w:bookmarkStart w:id="7406" w:name="_Toc58185108"/>
      <w:r>
        <w:rPr>
          <w:rFonts w:hint="cs"/>
          <w:rtl/>
        </w:rPr>
        <w:t xml:space="preserve">ביאור האבי עזרי בפי' הא' ברי"ף </w:t>
      </w:r>
      <w:bookmarkEnd w:id="7358"/>
      <w:bookmarkEnd w:id="7359"/>
      <w:bookmarkEnd w:id="7360"/>
      <w:bookmarkEnd w:id="7361"/>
      <w:bookmarkEnd w:id="7362"/>
      <w:bookmarkEnd w:id="7363"/>
      <w:bookmarkEnd w:id="7364"/>
      <w:bookmarkEnd w:id="7365"/>
      <w:r>
        <w:rPr>
          <w:rFonts w:hint="cs"/>
          <w:rtl/>
        </w:rPr>
        <w:t>דבשטוען חזקה ל"מ מיגו</w:t>
      </w:r>
      <w:bookmarkEnd w:id="7405"/>
      <w:bookmarkEnd w:id="7406"/>
    </w:p>
    <w:p w:rsidR="0019070E" w:rsidRDefault="0019070E" w:rsidP="0019070E">
      <w:pPr>
        <w:pStyle w:val="a3"/>
        <w:rPr>
          <w:rtl/>
        </w:rPr>
      </w:pPr>
      <w:bookmarkStart w:id="7407" w:name="_Toc57544589"/>
      <w:bookmarkStart w:id="7408" w:name="_Toc58185109"/>
      <w:r>
        <w:rPr>
          <w:rFonts w:hint="cs"/>
          <w:rtl/>
        </w:rPr>
        <w:t>דברי הנימוק"י לקמן דבמקום שאחר המיגו עדיין צריך נאמנות נוספת לא מהני מיגו</w:t>
      </w:r>
      <w:bookmarkEnd w:id="7407"/>
      <w:bookmarkEnd w:id="7408"/>
    </w:p>
    <w:p w:rsidR="0019070E" w:rsidRDefault="0019070E" w:rsidP="007E4E81">
      <w:pPr>
        <w:pStyle w:val="a0"/>
        <w:rPr>
          <w:rtl/>
        </w:rPr>
      </w:pPr>
      <w:bookmarkStart w:id="7409" w:name="_Ref57542839"/>
      <w:r>
        <w:rPr>
          <w:rFonts w:hint="cs"/>
          <w:rtl/>
        </w:rPr>
        <w:t xml:space="preserve">במה שהקשה </w:t>
      </w:r>
      <w:r w:rsidRPr="00EC127D">
        <w:rPr>
          <w:rStyle w:val="af9"/>
          <w:rFonts w:hint="cs"/>
          <w:rtl/>
        </w:rPr>
        <w:t>הרי"ף בפי' הב'</w:t>
      </w:r>
      <w:r>
        <w:rPr>
          <w:rFonts w:hint="cs"/>
          <w:rtl/>
        </w:rPr>
        <w:t xml:space="preserve"> </w:t>
      </w:r>
      <w:r w:rsidRPr="00D53F8B">
        <w:rPr>
          <w:rStyle w:val="af7"/>
          <w:rFonts w:eastAsia="Guttman Hodes" w:hint="cs"/>
          <w:rtl/>
        </w:rPr>
        <w:t xml:space="preserve">(עי' אות </w:t>
      </w:r>
      <w:r w:rsidRPr="00D53F8B">
        <w:rPr>
          <w:rStyle w:val="af7"/>
          <w:rFonts w:eastAsia="Guttman Hodes"/>
          <w:rtl/>
        </w:rPr>
        <w:fldChar w:fldCharType="begin"/>
      </w:r>
      <w:r w:rsidRPr="00D53F8B">
        <w:rPr>
          <w:rStyle w:val="af7"/>
          <w:rFonts w:eastAsia="Guttman Hodes"/>
          <w:rtl/>
        </w:rPr>
        <w:instrText xml:space="preserve"> </w:instrText>
      </w:r>
      <w:r w:rsidRPr="00D53F8B">
        <w:rPr>
          <w:rStyle w:val="af7"/>
          <w:rFonts w:eastAsia="Guttman Hodes" w:hint="cs"/>
        </w:rPr>
        <w:instrText>REF</w:instrText>
      </w:r>
      <w:r w:rsidRPr="00D53F8B">
        <w:rPr>
          <w:rStyle w:val="af7"/>
          <w:rFonts w:eastAsia="Guttman Hodes" w:hint="cs"/>
          <w:rtl/>
        </w:rPr>
        <w:instrText xml:space="preserve"> _</w:instrText>
      </w:r>
      <w:r w:rsidRPr="00D53F8B">
        <w:rPr>
          <w:rStyle w:val="af7"/>
          <w:rFonts w:eastAsia="Guttman Hodes" w:hint="cs"/>
        </w:rPr>
        <w:instrText>Ref57322290 \r \h</w:instrText>
      </w:r>
      <w:r w:rsidRPr="00D53F8B">
        <w:rPr>
          <w:rStyle w:val="af7"/>
          <w:rFonts w:eastAsia="Guttman Hodes"/>
          <w:rtl/>
        </w:rPr>
        <w:instrText xml:space="preserve"> </w:instrText>
      </w:r>
      <w:r w:rsidRPr="00D53F8B">
        <w:rPr>
          <w:rStyle w:val="af7"/>
          <w:rFonts w:eastAsia="Guttman Hodes"/>
          <w:rtl/>
        </w:rPr>
      </w:r>
      <w:r w:rsidRPr="00D53F8B">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sidRPr="00D53F8B">
        <w:rPr>
          <w:rStyle w:val="af7"/>
          <w:rFonts w:eastAsia="Guttman Hodes"/>
          <w:rtl/>
        </w:rPr>
        <w:fldChar w:fldCharType="end"/>
      </w:r>
      <w:r>
        <w:rPr>
          <w:rFonts w:hint="cs"/>
          <w:rtl/>
        </w:rPr>
        <w:t xml:space="preserve"> על דעת</w:t>
      </w:r>
      <w:r w:rsidRPr="002875AD">
        <w:rPr>
          <w:rFonts w:hint="cs"/>
          <w:rtl/>
        </w:rPr>
        <w:t xml:space="preserve"> </w:t>
      </w:r>
      <w:r w:rsidRPr="0096207D">
        <w:rPr>
          <w:rStyle w:val="af9"/>
          <w:rFonts w:hint="cs"/>
          <w:rtl/>
        </w:rPr>
        <w:t xml:space="preserve">הי"מ ברי"ף </w:t>
      </w:r>
      <w:r w:rsidRPr="00EC127D">
        <w:rPr>
          <w:rStyle w:val="af9"/>
          <w:rFonts w:hint="cs"/>
          <w:rtl/>
        </w:rPr>
        <w:t>בפי' הא'</w:t>
      </w:r>
      <w:r>
        <w:rPr>
          <w:rFonts w:hint="cs"/>
          <w:rtl/>
        </w:rPr>
        <w:t xml:space="preserve"> </w:t>
      </w:r>
      <w:r w:rsidRPr="00A569CB">
        <w:rPr>
          <w:rStyle w:val="af7"/>
          <w:rFonts w:eastAsia="Guttman Hodes" w:hint="cs"/>
          <w:rtl/>
        </w:rPr>
        <w:t xml:space="preserve">(עי' אות </w:t>
      </w:r>
      <w:r w:rsidRPr="00A569CB">
        <w:rPr>
          <w:rStyle w:val="af7"/>
          <w:rFonts w:eastAsia="Guttman Hodes"/>
          <w:rtl/>
        </w:rPr>
        <w:fldChar w:fldCharType="begin"/>
      </w:r>
      <w:r w:rsidRPr="00A569CB">
        <w:rPr>
          <w:rStyle w:val="af7"/>
          <w:rFonts w:eastAsia="Guttman Hodes"/>
          <w:rtl/>
        </w:rPr>
        <w:instrText xml:space="preserve"> </w:instrText>
      </w:r>
      <w:r w:rsidRPr="00A569CB">
        <w:rPr>
          <w:rStyle w:val="af7"/>
          <w:rFonts w:eastAsia="Guttman Hodes" w:hint="cs"/>
        </w:rPr>
        <w:instrText>REF</w:instrText>
      </w:r>
      <w:r w:rsidRPr="00A569CB">
        <w:rPr>
          <w:rStyle w:val="af7"/>
          <w:rFonts w:eastAsia="Guttman Hodes" w:hint="cs"/>
          <w:rtl/>
        </w:rPr>
        <w:instrText xml:space="preserve"> _</w:instrText>
      </w:r>
      <w:r w:rsidRPr="00A569CB">
        <w:rPr>
          <w:rStyle w:val="af7"/>
          <w:rFonts w:eastAsia="Guttman Hodes" w:hint="cs"/>
        </w:rPr>
        <w:instrText>Ref57319519 \r \h</w:instrText>
      </w:r>
      <w:r w:rsidRPr="00A569CB">
        <w:rPr>
          <w:rStyle w:val="af7"/>
          <w:rFonts w:eastAsia="Guttman Hodes"/>
          <w:rtl/>
        </w:rPr>
        <w:instrText xml:space="preserve"> </w:instrText>
      </w:r>
      <w:r w:rsidRPr="00A569CB">
        <w:rPr>
          <w:rStyle w:val="af7"/>
          <w:rFonts w:eastAsia="Guttman Hodes"/>
          <w:rtl/>
        </w:rPr>
      </w:r>
      <w:r w:rsidRPr="00A569CB">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A569CB">
        <w:rPr>
          <w:rStyle w:val="af7"/>
          <w:rFonts w:eastAsia="Guttman Hodes"/>
          <w:rtl/>
        </w:rPr>
        <w:fldChar w:fldCharType="end"/>
      </w:r>
      <w:r>
        <w:rPr>
          <w:rFonts w:hint="cs"/>
          <w:rtl/>
        </w:rPr>
        <w:t xml:space="preserve"> דא"א לומר דאיירי שאין למערער עדים שהקרקע הייתה שלו,</w:t>
      </w:r>
      <w:r w:rsidRPr="002875AD">
        <w:rPr>
          <w:rFonts w:hint="cs"/>
          <w:rtl/>
        </w:rPr>
        <w:t xml:space="preserve"> </w:t>
      </w:r>
      <w:r>
        <w:rPr>
          <w:rFonts w:hint="cs"/>
          <w:rtl/>
        </w:rPr>
        <w:t xml:space="preserve">דהא בגמ' בכתובות מוכח דבכה"ג המחזיק נאמן במיגו </w:t>
      </w:r>
      <w:r>
        <w:rPr>
          <w:rFonts w:hint="cs"/>
          <w:rtl/>
        </w:rPr>
        <w:lastRenderedPageBreak/>
        <w:t xml:space="preserve">דהיה אומר שלא הייתה של המרא קמא כלל, הביא </w:t>
      </w:r>
      <w:r w:rsidRPr="009D2152">
        <w:rPr>
          <w:rStyle w:val="af9"/>
          <w:rFonts w:hint="cs"/>
          <w:rtl/>
        </w:rPr>
        <w:t xml:space="preserve">האבי עזרי </w:t>
      </w:r>
      <w:r w:rsidRPr="009D2152">
        <w:rPr>
          <w:rStyle w:val="af7"/>
          <w:rFonts w:eastAsia="Guttman Hodes" w:hint="cs"/>
          <w:rtl/>
        </w:rPr>
        <w:t xml:space="preserve">(טו"נ פט"ו ה"י ד"ה ונראה שזהו) </w:t>
      </w:r>
      <w:r>
        <w:rPr>
          <w:rFonts w:hint="cs"/>
          <w:rtl/>
        </w:rPr>
        <w:t xml:space="preserve">את דברי </w:t>
      </w:r>
      <w:r w:rsidRPr="009D2152">
        <w:rPr>
          <w:rStyle w:val="af9"/>
          <w:rFonts w:hint="cs"/>
          <w:rtl/>
        </w:rPr>
        <w:t xml:space="preserve">הנימוק"י לקמן </w:t>
      </w:r>
      <w:r w:rsidRPr="009D2152">
        <w:rPr>
          <w:rStyle w:val="af7"/>
          <w:rFonts w:eastAsia="Guttman Hodes" w:hint="cs"/>
          <w:rtl/>
        </w:rPr>
        <w:t xml:space="preserve">(כב. מדה"ר ד"ה אי אית) </w:t>
      </w:r>
      <w:r>
        <w:rPr>
          <w:rFonts w:hint="cs"/>
          <w:rtl/>
        </w:rPr>
        <w:t>דכתב דבמקום שאחר המיגו עדיין צריך נאמנות נוספת שקנה את הקרקע מהמרא קמא, לא אמרינן מיגו, דלאו מפיו אנו חיים שנאמין לו לגמרי ע"י המיגו, שעי"ז נצטרך לברר ספק נוסף שאין עליו את המיגו.</w:t>
      </w:r>
      <w:bookmarkEnd w:id="7409"/>
    </w:p>
    <w:p w:rsidR="0019070E" w:rsidRPr="00070FC9" w:rsidRDefault="0019070E" w:rsidP="0019070E">
      <w:pPr>
        <w:pStyle w:val="a3"/>
        <w:rPr>
          <w:rtl/>
        </w:rPr>
      </w:pPr>
      <w:bookmarkStart w:id="7410" w:name="_Toc57544590"/>
      <w:bookmarkStart w:id="7411" w:name="_Toc58185110"/>
      <w:r>
        <w:rPr>
          <w:rFonts w:hint="cs"/>
          <w:rtl/>
        </w:rPr>
        <w:t>ביאור האבי עזרי בד' הי"מ בפי' הא' ברי"ף דהכא צריך נאמנות גם על החזקה והמיגו ל"מ לזה</w:t>
      </w:r>
      <w:bookmarkEnd w:id="7410"/>
      <w:bookmarkEnd w:id="7411"/>
    </w:p>
    <w:p w:rsidR="0019070E" w:rsidRDefault="0019070E" w:rsidP="007E4E81">
      <w:pPr>
        <w:pStyle w:val="a0"/>
      </w:pPr>
      <w:r>
        <w:rPr>
          <w:rFonts w:hint="cs"/>
          <w:rtl/>
        </w:rPr>
        <w:t xml:space="preserve">ולפי"ז </w:t>
      </w:r>
      <w:r w:rsidRPr="002875AD">
        <w:rPr>
          <w:rFonts w:hint="cs"/>
          <w:rtl/>
        </w:rPr>
        <w:t xml:space="preserve">ביאר </w:t>
      </w:r>
      <w:r w:rsidRPr="009D2152">
        <w:rPr>
          <w:rStyle w:val="af9"/>
          <w:rFonts w:hint="cs"/>
          <w:rtl/>
        </w:rPr>
        <w:t xml:space="preserve">האבי עזרי </w:t>
      </w:r>
      <w:r w:rsidRPr="009D2152">
        <w:rPr>
          <w:rStyle w:val="af7"/>
          <w:rFonts w:eastAsia="Guttman Hodes" w:hint="cs"/>
          <w:rtl/>
        </w:rPr>
        <w:t xml:space="preserve">(טו"נ פט"ו ה"י ד"ה ולהמתבאר) </w:t>
      </w:r>
      <w:r>
        <w:rPr>
          <w:rFonts w:hint="cs"/>
          <w:rtl/>
        </w:rPr>
        <w:t>את דעת</w:t>
      </w:r>
      <w:r w:rsidRPr="002875AD">
        <w:rPr>
          <w:rFonts w:hint="cs"/>
          <w:rtl/>
        </w:rPr>
        <w:t xml:space="preserve"> </w:t>
      </w:r>
      <w:r w:rsidRPr="0096207D">
        <w:rPr>
          <w:rStyle w:val="af9"/>
          <w:rFonts w:hint="cs"/>
          <w:rtl/>
        </w:rPr>
        <w:t xml:space="preserve">הי"מ ברי"ף </w:t>
      </w:r>
      <w:r w:rsidRPr="00EC127D">
        <w:rPr>
          <w:rStyle w:val="af9"/>
          <w:rFonts w:hint="cs"/>
          <w:rtl/>
        </w:rPr>
        <w:t>בפי' הא'</w:t>
      </w:r>
      <w:r>
        <w:rPr>
          <w:rFonts w:hint="cs"/>
          <w:rtl/>
        </w:rPr>
        <w:t xml:space="preserve"> </w:t>
      </w:r>
      <w:r w:rsidRPr="00A569CB">
        <w:rPr>
          <w:rStyle w:val="af7"/>
          <w:rFonts w:eastAsia="Guttman Hodes" w:hint="cs"/>
          <w:rtl/>
        </w:rPr>
        <w:t xml:space="preserve">(עי' אות </w:t>
      </w:r>
      <w:r w:rsidRPr="00A569CB">
        <w:rPr>
          <w:rStyle w:val="af7"/>
          <w:rFonts w:eastAsia="Guttman Hodes"/>
          <w:rtl/>
        </w:rPr>
        <w:fldChar w:fldCharType="begin"/>
      </w:r>
      <w:r w:rsidRPr="00A569CB">
        <w:rPr>
          <w:rStyle w:val="af7"/>
          <w:rFonts w:eastAsia="Guttman Hodes"/>
          <w:rtl/>
        </w:rPr>
        <w:instrText xml:space="preserve"> </w:instrText>
      </w:r>
      <w:r w:rsidRPr="00A569CB">
        <w:rPr>
          <w:rStyle w:val="af7"/>
          <w:rFonts w:eastAsia="Guttman Hodes" w:hint="cs"/>
        </w:rPr>
        <w:instrText>REF</w:instrText>
      </w:r>
      <w:r w:rsidRPr="00A569CB">
        <w:rPr>
          <w:rStyle w:val="af7"/>
          <w:rFonts w:eastAsia="Guttman Hodes" w:hint="cs"/>
          <w:rtl/>
        </w:rPr>
        <w:instrText xml:space="preserve"> _</w:instrText>
      </w:r>
      <w:r w:rsidRPr="00A569CB">
        <w:rPr>
          <w:rStyle w:val="af7"/>
          <w:rFonts w:eastAsia="Guttman Hodes" w:hint="cs"/>
        </w:rPr>
        <w:instrText>Ref57319519 \r \h</w:instrText>
      </w:r>
      <w:r w:rsidRPr="00A569CB">
        <w:rPr>
          <w:rStyle w:val="af7"/>
          <w:rFonts w:eastAsia="Guttman Hodes"/>
          <w:rtl/>
        </w:rPr>
        <w:instrText xml:space="preserve"> </w:instrText>
      </w:r>
      <w:r w:rsidRPr="00A569CB">
        <w:rPr>
          <w:rStyle w:val="af7"/>
          <w:rFonts w:eastAsia="Guttman Hodes"/>
          <w:rtl/>
        </w:rPr>
      </w:r>
      <w:r w:rsidRPr="00A569CB">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A569CB">
        <w:rPr>
          <w:rStyle w:val="af7"/>
          <w:rFonts w:eastAsia="Guttman Hodes"/>
          <w:rtl/>
        </w:rPr>
        <w:fldChar w:fldCharType="end"/>
      </w:r>
      <w:r>
        <w:rPr>
          <w:rFonts w:hint="cs"/>
          <w:rtl/>
        </w:rPr>
        <w:t xml:space="preserve"> דהא איתא בגמ' לקמן </w:t>
      </w:r>
      <w:r w:rsidRPr="009D2152">
        <w:rPr>
          <w:rStyle w:val="af7"/>
          <w:rFonts w:eastAsia="Guttman Hodes" w:hint="cs"/>
          <w:rtl/>
        </w:rPr>
        <w:t xml:space="preserve">(קע.) </w:t>
      </w:r>
      <w:r>
        <w:rPr>
          <w:rFonts w:hint="cs"/>
          <w:rtl/>
        </w:rPr>
        <w:t xml:space="preserve">דאם בא בב' טענות צריך לברר את שניהם, וא"כ הכא שהוא בא בטענת חזקת ג"ש, א"כ אף שיש לו נאמנות על עצם השדה שהיא שלו, מ"מ הוא צריך נאמנות גם על טענת החזקה, וכתב </w:t>
      </w:r>
      <w:r w:rsidRPr="009E1EDB">
        <w:rPr>
          <w:rStyle w:val="af9"/>
          <w:rFonts w:hint="cs"/>
          <w:rtl/>
        </w:rPr>
        <w:t>האבי עזרי</w:t>
      </w:r>
      <w:r>
        <w:rPr>
          <w:rFonts w:hint="cs"/>
          <w:rtl/>
        </w:rPr>
        <w:t xml:space="preserve"> דכ"מ דהמיגו מהני הוא רק לטענה שקנה מהמרא קמא, אך לא מהני המיגו לומר שחזקתו היא חזקה ולא היה המערער בשכוני גוואי, וכיון שהמיגו לא מהני לו לנאמנות על החזקה, ולכן בכה"ג לא אמירנן מיגו כלל, ואין לו נאמנות אף על הטענה שקנה מהמרא קמא, אבל בגמ' בכתובות שאינו בא בטענת חזקה, מהני לו המיגו לומר שהשדה שלו אף שאין לו חזקת ג"ש כלל. </w:t>
      </w:r>
    </w:p>
    <w:p w:rsidR="0019070E" w:rsidRDefault="0019070E" w:rsidP="0019070E">
      <w:pPr>
        <w:pStyle w:val="a3"/>
      </w:pPr>
      <w:bookmarkStart w:id="7412" w:name="_Toc57544591"/>
      <w:bookmarkStart w:id="7413" w:name="_Toc58185111"/>
      <w:r>
        <w:rPr>
          <w:rFonts w:hint="cs"/>
          <w:rtl/>
        </w:rPr>
        <w:t>ביאור האבי עזרי בי"מ בפי' הא' ברי"ף דס"ל כרשב"ם והנאמנות אינה ע"י מיגו אלא ע"י החזקה</w:t>
      </w:r>
      <w:bookmarkEnd w:id="7412"/>
      <w:bookmarkEnd w:id="7413"/>
    </w:p>
    <w:p w:rsidR="0019070E" w:rsidRDefault="0019070E" w:rsidP="007E4E81">
      <w:pPr>
        <w:pStyle w:val="a0"/>
        <w:rPr>
          <w:rtl/>
        </w:rPr>
      </w:pPr>
      <w:r>
        <w:rPr>
          <w:rFonts w:hint="cs"/>
          <w:rtl/>
        </w:rPr>
        <w:t xml:space="preserve">וכתב </w:t>
      </w:r>
      <w:r w:rsidRPr="009E1EDB">
        <w:rPr>
          <w:rStyle w:val="af9"/>
          <w:rFonts w:hint="cs"/>
          <w:rtl/>
        </w:rPr>
        <w:t>האבי עזרי</w:t>
      </w:r>
      <w:r>
        <w:rPr>
          <w:rFonts w:hint="cs"/>
          <w:rtl/>
        </w:rPr>
        <w:t xml:space="preserve"> דלדעת</w:t>
      </w:r>
      <w:r w:rsidRPr="002875AD">
        <w:rPr>
          <w:rFonts w:hint="cs"/>
          <w:rtl/>
        </w:rPr>
        <w:t xml:space="preserve"> </w:t>
      </w:r>
      <w:r>
        <w:rPr>
          <w:rStyle w:val="af9"/>
          <w:rFonts w:hint="cs"/>
          <w:rtl/>
        </w:rPr>
        <w:t>ה</w:t>
      </w:r>
      <w:r w:rsidRPr="00EC127D">
        <w:rPr>
          <w:rStyle w:val="af9"/>
          <w:rFonts w:hint="cs"/>
          <w:rtl/>
        </w:rPr>
        <w:t>י"מ</w:t>
      </w:r>
      <w:r>
        <w:rPr>
          <w:rFonts w:hint="cs"/>
          <w:rtl/>
        </w:rPr>
        <w:t xml:space="preserve"> </w:t>
      </w:r>
      <w:r w:rsidRPr="00EC127D">
        <w:rPr>
          <w:rStyle w:val="af9"/>
          <w:rFonts w:hint="cs"/>
          <w:rtl/>
        </w:rPr>
        <w:t>בפי' הא'</w:t>
      </w:r>
      <w:r>
        <w:rPr>
          <w:rFonts w:hint="cs"/>
          <w:rtl/>
        </w:rPr>
        <w:t xml:space="preserve"> </w:t>
      </w:r>
      <w:r>
        <w:rPr>
          <w:rStyle w:val="af9"/>
          <w:rFonts w:hint="cs"/>
          <w:rtl/>
        </w:rPr>
        <w:t>ב</w:t>
      </w:r>
      <w:r w:rsidRPr="00EC127D">
        <w:rPr>
          <w:rStyle w:val="af9"/>
          <w:rFonts w:hint="cs"/>
          <w:rtl/>
        </w:rPr>
        <w:t>רי"ף</w:t>
      </w:r>
      <w:r>
        <w:rPr>
          <w:rFonts w:hint="cs"/>
          <w:rtl/>
        </w:rPr>
        <w:t xml:space="preserve"> בין לרבא ובין לר"נ אין המחזיק זוכה בקרקע מדין מיגו, כיון שהוא טען שיש לו חזקה, וע"ז אין לו נאמנות, אלא דנחלקו באופן שהביא עדים על החזקה, והמערער טוען שהיה בבית הפנימי, וכמו שביאר </w:t>
      </w:r>
      <w:r w:rsidRPr="009E1EDB">
        <w:rPr>
          <w:rStyle w:val="af9"/>
          <w:rFonts w:hint="cs"/>
          <w:rtl/>
        </w:rPr>
        <w:t>הרשב"ם</w:t>
      </w:r>
      <w:r>
        <w:rPr>
          <w:rFonts w:hint="cs"/>
          <w:rtl/>
        </w:rPr>
        <w:t xml:space="preserve"> </w:t>
      </w:r>
      <w:r w:rsidRPr="002664AD">
        <w:rPr>
          <w:rStyle w:val="af7"/>
          <w:rFonts w:eastAsia="Guttman Hodes" w:hint="cs"/>
          <w:rtl/>
        </w:rPr>
        <w:t xml:space="preserve">(עי' אות </w:t>
      </w:r>
      <w:r w:rsidRPr="002664AD">
        <w:rPr>
          <w:rStyle w:val="af7"/>
          <w:rFonts w:eastAsia="Guttman Hodes"/>
          <w:rtl/>
        </w:rPr>
        <w:fldChar w:fldCharType="begin"/>
      </w:r>
      <w:r w:rsidRPr="002664AD">
        <w:rPr>
          <w:rStyle w:val="af7"/>
          <w:rFonts w:eastAsia="Guttman Hodes"/>
          <w:rtl/>
        </w:rPr>
        <w:instrText xml:space="preserve"> </w:instrText>
      </w:r>
      <w:r w:rsidRPr="002664AD">
        <w:rPr>
          <w:rStyle w:val="af7"/>
          <w:rFonts w:eastAsia="Guttman Hodes" w:hint="cs"/>
        </w:rPr>
        <w:instrText>REF</w:instrText>
      </w:r>
      <w:r w:rsidRPr="002664AD">
        <w:rPr>
          <w:rStyle w:val="af7"/>
          <w:rFonts w:eastAsia="Guttman Hodes" w:hint="cs"/>
          <w:rtl/>
        </w:rPr>
        <w:instrText xml:space="preserve"> _</w:instrText>
      </w:r>
      <w:r w:rsidRPr="002664AD">
        <w:rPr>
          <w:rStyle w:val="af7"/>
          <w:rFonts w:eastAsia="Guttman Hodes" w:hint="cs"/>
        </w:rPr>
        <w:instrText>Ref56936382 \r \h</w:instrText>
      </w:r>
      <w:r w:rsidRPr="002664AD">
        <w:rPr>
          <w:rStyle w:val="af7"/>
          <w:rFonts w:eastAsia="Guttman Hodes"/>
          <w:rtl/>
        </w:rPr>
        <w:instrText xml:space="preserve"> </w:instrText>
      </w:r>
      <w:r w:rsidRPr="002664AD">
        <w:rPr>
          <w:rStyle w:val="af7"/>
          <w:rFonts w:eastAsia="Guttman Hodes"/>
          <w:rtl/>
        </w:rPr>
      </w:r>
      <w:r w:rsidRPr="002664AD">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2664AD">
        <w:rPr>
          <w:rStyle w:val="af7"/>
          <w:rFonts w:eastAsia="Guttman Hodes"/>
          <w:rtl/>
        </w:rPr>
        <w:fldChar w:fldCharType="end"/>
      </w:r>
      <w:r>
        <w:rPr>
          <w:rFonts w:hint="cs"/>
          <w:rtl/>
        </w:rPr>
        <w:t xml:space="preserve"> בשכוני גוואי, ולר"נ על המחזיק לברר את אכילתו, ואף כשיש לו מיגו ס"ל לר"נ דהוא צריך לברר את אכילתו, אבל רבא ס"ל דהמחזיק הוא המוחזק, ועל המערער להביא ראיה שהיה דר בבית הפנימי, א"כ כיון שיש למחזיק עדים על חזקתו ועל המערער להוכיח שאינה חזקה, חשיב שיש לנו בירור מכח העדים שהחזיק ג"ש.</w:t>
      </w:r>
    </w:p>
    <w:p w:rsidR="0019070E" w:rsidRDefault="0019070E" w:rsidP="0019070E">
      <w:pPr>
        <w:pStyle w:val="a3"/>
      </w:pPr>
      <w:bookmarkStart w:id="7414" w:name="_Toc57544592"/>
      <w:bookmarkStart w:id="7415" w:name="_Toc58185112"/>
      <w:r>
        <w:rPr>
          <w:rFonts w:hint="cs"/>
          <w:rtl/>
        </w:rPr>
        <w:t>ביאור האבי עזרי בי"מ בפי' הא' ברי"ף דביש למר"ק עדים לכו"ע הוא המוחזק ומוכח דאין עדים</w:t>
      </w:r>
      <w:bookmarkEnd w:id="7414"/>
      <w:bookmarkEnd w:id="7415"/>
    </w:p>
    <w:p w:rsidR="0019070E" w:rsidRDefault="0019070E" w:rsidP="007E4E81">
      <w:pPr>
        <w:pStyle w:val="a0"/>
        <w:rPr>
          <w:rtl/>
        </w:rPr>
      </w:pPr>
      <w:r>
        <w:rPr>
          <w:rFonts w:hint="cs"/>
          <w:rtl/>
        </w:rPr>
        <w:t xml:space="preserve">וכתב </w:t>
      </w:r>
      <w:r w:rsidRPr="009E1EDB">
        <w:rPr>
          <w:rStyle w:val="af9"/>
          <w:rFonts w:hint="cs"/>
          <w:rtl/>
        </w:rPr>
        <w:t>האבי עזרי</w:t>
      </w:r>
      <w:r>
        <w:rPr>
          <w:rFonts w:hint="cs"/>
          <w:rtl/>
        </w:rPr>
        <w:t xml:space="preserve"> דכ"מ דדעת </w:t>
      </w:r>
      <w:r>
        <w:rPr>
          <w:rStyle w:val="af9"/>
          <w:rFonts w:hint="cs"/>
          <w:rtl/>
        </w:rPr>
        <w:t>ה</w:t>
      </w:r>
      <w:r w:rsidRPr="00EC127D">
        <w:rPr>
          <w:rStyle w:val="af9"/>
          <w:rFonts w:hint="cs"/>
          <w:rtl/>
        </w:rPr>
        <w:t>י"מ</w:t>
      </w:r>
      <w:r>
        <w:rPr>
          <w:rFonts w:hint="cs"/>
          <w:rtl/>
        </w:rPr>
        <w:t xml:space="preserve"> </w:t>
      </w:r>
      <w:r w:rsidRPr="00EC127D">
        <w:rPr>
          <w:rStyle w:val="af9"/>
          <w:rFonts w:hint="cs"/>
          <w:rtl/>
        </w:rPr>
        <w:t>בפי' הא'</w:t>
      </w:r>
      <w:r>
        <w:rPr>
          <w:rFonts w:hint="cs"/>
          <w:rtl/>
        </w:rPr>
        <w:t xml:space="preserve"> </w:t>
      </w:r>
      <w:r>
        <w:rPr>
          <w:rStyle w:val="af9"/>
          <w:rFonts w:hint="cs"/>
          <w:rtl/>
        </w:rPr>
        <w:t>ב</w:t>
      </w:r>
      <w:r w:rsidRPr="00EC127D">
        <w:rPr>
          <w:rStyle w:val="af9"/>
          <w:rFonts w:hint="cs"/>
          <w:rtl/>
        </w:rPr>
        <w:t>רי"ף</w:t>
      </w:r>
      <w:r>
        <w:rPr>
          <w:rFonts w:hint="cs"/>
          <w:rtl/>
        </w:rPr>
        <w:t xml:space="preserve"> דאיירי שלא היה למערער עדים שהקרקע הייתה שלו, הוא כיון דס"ל שאם יש לו עדים ודאי שהוא המרא קמא והמוחזק, ולא היה יכול רבא לומר שהמחזיק הוא המוחזק ועל המערער להביא ראיה, אלא מוכח דאיירי שאין עדים למערער, ולכן אף שהמחזיק מודה שהייתה שלו, עדיין נחשב המחזיק למוחזק, ועל המערער להביא ראיה, אך כתב </w:t>
      </w:r>
      <w:r>
        <w:rPr>
          <w:rStyle w:val="af9"/>
          <w:rFonts w:hint="cs"/>
          <w:rtl/>
        </w:rPr>
        <w:t>פ</w:t>
      </w:r>
      <w:r>
        <w:rPr>
          <w:rFonts w:hint="cs"/>
          <w:rtl/>
        </w:rPr>
        <w:t xml:space="preserve">המיגו דכיון שטען טענת חזקה, עליו להביא ראיה לחזקתו, ואין לו </w:t>
      </w:r>
      <w:r>
        <w:rPr>
          <w:rFonts w:hint="cs"/>
          <w:rtl/>
        </w:rPr>
        <w:t xml:space="preserve">מיגו כלל כמבואר </w:t>
      </w:r>
      <w:r w:rsidRPr="009E1EDB">
        <w:rPr>
          <w:rStyle w:val="af9"/>
          <w:rFonts w:hint="cs"/>
          <w:rtl/>
        </w:rPr>
        <w:t>בנימוק"י</w:t>
      </w:r>
      <w:r>
        <w:rPr>
          <w:rFonts w:hint="cs"/>
          <w:rtl/>
        </w:rPr>
        <w:t xml:space="preserve"> </w:t>
      </w:r>
      <w:r w:rsidRPr="009E1EDB">
        <w:rPr>
          <w:rStyle w:val="af9"/>
          <w:rFonts w:hint="cs"/>
          <w:rtl/>
        </w:rPr>
        <w:t>לקמן</w:t>
      </w:r>
      <w:r>
        <w:rPr>
          <w:rStyle w:val="af9"/>
          <w:rFonts w:hint="cs"/>
          <w:rtl/>
        </w:rPr>
        <w:t xml:space="preserve"> </w:t>
      </w:r>
      <w:r w:rsidRPr="002511A7">
        <w:rPr>
          <w:rStyle w:val="af7"/>
          <w:rFonts w:eastAsia="Guttman Hodes" w:hint="cs"/>
          <w:rtl/>
        </w:rPr>
        <w:t xml:space="preserve">(עי' אות </w:t>
      </w:r>
      <w:r w:rsidRPr="002511A7">
        <w:rPr>
          <w:rStyle w:val="af7"/>
          <w:rFonts w:eastAsia="Guttman Hodes"/>
          <w:rtl/>
        </w:rPr>
        <w:fldChar w:fldCharType="begin"/>
      </w:r>
      <w:r w:rsidRPr="002511A7">
        <w:rPr>
          <w:rStyle w:val="af7"/>
          <w:rFonts w:eastAsia="Guttman Hodes"/>
          <w:rtl/>
        </w:rPr>
        <w:instrText xml:space="preserve"> </w:instrText>
      </w:r>
      <w:r w:rsidRPr="002511A7">
        <w:rPr>
          <w:rStyle w:val="af7"/>
          <w:rFonts w:eastAsia="Guttman Hodes" w:hint="cs"/>
        </w:rPr>
        <w:instrText>REF</w:instrText>
      </w:r>
      <w:r w:rsidRPr="002511A7">
        <w:rPr>
          <w:rStyle w:val="af7"/>
          <w:rFonts w:eastAsia="Guttman Hodes" w:hint="cs"/>
          <w:rtl/>
        </w:rPr>
        <w:instrText xml:space="preserve"> _</w:instrText>
      </w:r>
      <w:r w:rsidRPr="002511A7">
        <w:rPr>
          <w:rStyle w:val="af7"/>
          <w:rFonts w:eastAsia="Guttman Hodes" w:hint="cs"/>
        </w:rPr>
        <w:instrText>Ref57542839 \r \h</w:instrText>
      </w:r>
      <w:r w:rsidRPr="002511A7">
        <w:rPr>
          <w:rStyle w:val="af7"/>
          <w:rFonts w:eastAsia="Guttman Hodes"/>
          <w:rtl/>
        </w:rPr>
        <w:instrText xml:space="preserve"> </w:instrText>
      </w:r>
      <w:r w:rsidRPr="002511A7">
        <w:rPr>
          <w:rStyle w:val="af7"/>
          <w:rFonts w:eastAsia="Guttman Hodes"/>
          <w:rtl/>
        </w:rPr>
      </w:r>
      <w:r w:rsidRPr="002511A7">
        <w:rPr>
          <w:rStyle w:val="af7"/>
          <w:rFonts w:eastAsia="Guttman Hodes"/>
          <w:rtl/>
        </w:rPr>
        <w:fldChar w:fldCharType="separate"/>
      </w:r>
      <w:r w:rsidR="00265073">
        <w:rPr>
          <w:rStyle w:val="af7"/>
          <w:rFonts w:eastAsia="Guttman Hodes"/>
          <w:cs/>
        </w:rPr>
        <w:t>‎</w:t>
      </w:r>
      <w:r w:rsidR="00265073">
        <w:rPr>
          <w:rStyle w:val="af7"/>
          <w:rFonts w:eastAsia="Guttman Hodes"/>
          <w:rtl/>
        </w:rPr>
        <w:t>קלז)</w:t>
      </w:r>
      <w:r w:rsidRPr="002511A7">
        <w:rPr>
          <w:rStyle w:val="af7"/>
          <w:rFonts w:eastAsia="Guttman Hodes"/>
          <w:rtl/>
        </w:rPr>
        <w:fldChar w:fldCharType="end"/>
      </w:r>
      <w:r w:rsidRPr="009E1EDB">
        <w:rPr>
          <w:rStyle w:val="af9"/>
          <w:rFonts w:hint="cs"/>
          <w:rtl/>
        </w:rPr>
        <w:t>,</w:t>
      </w:r>
      <w:r>
        <w:rPr>
          <w:rFonts w:hint="cs"/>
          <w:rtl/>
        </w:rPr>
        <w:t xml:space="preserve"> ועיי"ש במה שביאר לפי"ז </w:t>
      </w:r>
      <w:r w:rsidRPr="009E1EDB">
        <w:rPr>
          <w:rStyle w:val="af9"/>
          <w:rFonts w:hint="cs"/>
          <w:rtl/>
        </w:rPr>
        <w:t>האבי עזרי</w:t>
      </w:r>
      <w:r>
        <w:rPr>
          <w:rFonts w:hint="cs"/>
          <w:rtl/>
        </w:rPr>
        <w:t xml:space="preserve"> </w:t>
      </w:r>
      <w:r w:rsidRPr="009E1EDB">
        <w:rPr>
          <w:rStyle w:val="af7"/>
          <w:rFonts w:eastAsia="Guttman Hodes" w:hint="cs"/>
          <w:rtl/>
        </w:rPr>
        <w:t>(טו"נ פט"ו ה"י ד"ה והנה הרי"ף)</w:t>
      </w:r>
      <w:r>
        <w:rPr>
          <w:rFonts w:hint="cs"/>
          <w:rtl/>
        </w:rPr>
        <w:t xml:space="preserve"> את פלוגתת </w:t>
      </w:r>
      <w:r>
        <w:rPr>
          <w:rStyle w:val="af9"/>
          <w:rFonts w:hint="cs"/>
          <w:rtl/>
        </w:rPr>
        <w:t>ה</w:t>
      </w:r>
      <w:r w:rsidRPr="00EC127D">
        <w:rPr>
          <w:rStyle w:val="af9"/>
          <w:rFonts w:hint="cs"/>
          <w:rtl/>
        </w:rPr>
        <w:t>י"מ</w:t>
      </w:r>
      <w:r>
        <w:rPr>
          <w:rFonts w:hint="cs"/>
          <w:rtl/>
        </w:rPr>
        <w:t xml:space="preserve"> </w:t>
      </w:r>
      <w:r w:rsidRPr="00EC127D">
        <w:rPr>
          <w:rStyle w:val="af9"/>
          <w:rFonts w:hint="cs"/>
          <w:rtl/>
        </w:rPr>
        <w:t>בפי' הא'</w:t>
      </w:r>
      <w:r>
        <w:rPr>
          <w:rFonts w:hint="cs"/>
          <w:rtl/>
        </w:rPr>
        <w:t xml:space="preserve"> </w:t>
      </w:r>
      <w:r>
        <w:rPr>
          <w:rStyle w:val="af9"/>
          <w:rFonts w:hint="cs"/>
          <w:rtl/>
        </w:rPr>
        <w:t>ב</w:t>
      </w:r>
      <w:r w:rsidRPr="00EC127D">
        <w:rPr>
          <w:rStyle w:val="af9"/>
          <w:rFonts w:hint="cs"/>
          <w:rtl/>
        </w:rPr>
        <w:t>רי"ף</w:t>
      </w:r>
      <w:r>
        <w:rPr>
          <w:rFonts w:hint="cs"/>
          <w:rtl/>
        </w:rPr>
        <w:t xml:space="preserve"> עם </w:t>
      </w:r>
      <w:r>
        <w:rPr>
          <w:rStyle w:val="af9"/>
          <w:rFonts w:hint="cs"/>
          <w:rtl/>
        </w:rPr>
        <w:t>ה</w:t>
      </w:r>
      <w:r w:rsidRPr="00EC127D">
        <w:rPr>
          <w:rStyle w:val="af9"/>
          <w:rFonts w:hint="cs"/>
          <w:rtl/>
        </w:rPr>
        <w:t>י"מ</w:t>
      </w:r>
      <w:r>
        <w:rPr>
          <w:rFonts w:hint="cs"/>
          <w:rtl/>
        </w:rPr>
        <w:t xml:space="preserve"> </w:t>
      </w:r>
      <w:r w:rsidRPr="00EC127D">
        <w:rPr>
          <w:rStyle w:val="af9"/>
          <w:rFonts w:hint="cs"/>
          <w:rtl/>
        </w:rPr>
        <w:t>בפי' ה</w:t>
      </w:r>
      <w:r>
        <w:rPr>
          <w:rStyle w:val="af9"/>
          <w:rFonts w:hint="cs"/>
          <w:rtl/>
        </w:rPr>
        <w:t>ב</w:t>
      </w:r>
      <w:r w:rsidRPr="00EC127D">
        <w:rPr>
          <w:rStyle w:val="af9"/>
          <w:rFonts w:hint="cs"/>
          <w:rtl/>
        </w:rPr>
        <w:t>'</w:t>
      </w:r>
      <w:r>
        <w:rPr>
          <w:rFonts w:hint="cs"/>
          <w:rtl/>
        </w:rPr>
        <w:t xml:space="preserve"> </w:t>
      </w:r>
      <w:r>
        <w:rPr>
          <w:rStyle w:val="af9"/>
          <w:rFonts w:hint="cs"/>
          <w:rtl/>
        </w:rPr>
        <w:t>ב</w:t>
      </w:r>
      <w:r w:rsidRPr="00EC127D">
        <w:rPr>
          <w:rStyle w:val="af9"/>
          <w:rFonts w:hint="cs"/>
          <w:rtl/>
        </w:rPr>
        <w:t>רי"ף</w:t>
      </w:r>
      <w:r>
        <w:rPr>
          <w:rFonts w:hint="cs"/>
          <w:rtl/>
        </w:rPr>
        <w:t xml:space="preserve"> האם קיי"ל להלכה כרבא או כר"נ.</w:t>
      </w:r>
    </w:p>
    <w:p w:rsidR="0019070E" w:rsidRPr="00251A1A" w:rsidRDefault="0019070E" w:rsidP="0019070E">
      <w:pPr>
        <w:pStyle w:val="afe"/>
        <w:rPr>
          <w:rtl/>
        </w:rPr>
      </w:pPr>
      <w:bookmarkStart w:id="7416" w:name="_Toc57544593"/>
      <w:bookmarkStart w:id="7417" w:name="_Toc58185113"/>
      <w:bookmarkEnd w:id="7166"/>
      <w:r w:rsidRPr="00251A1A">
        <w:rPr>
          <w:rFonts w:hint="cs"/>
          <w:rtl/>
        </w:rPr>
        <w:t>בדין חזקה בשותפות</w:t>
      </w:r>
      <w:bookmarkEnd w:id="7416"/>
      <w:r w:rsidRPr="009762E2">
        <w:rPr>
          <w:rtl/>
        </w:rPr>
        <w:t xml:space="preserve"> המר"ק והמחזיק</w:t>
      </w:r>
      <w:bookmarkEnd w:id="7417"/>
    </w:p>
    <w:p w:rsidR="0019070E" w:rsidRDefault="0019070E" w:rsidP="0019070E">
      <w:pPr>
        <w:pStyle w:val="1"/>
        <w:rPr>
          <w:rtl/>
        </w:rPr>
      </w:pPr>
      <w:bookmarkStart w:id="7418" w:name="_Toc57544594"/>
      <w:bookmarkStart w:id="7419" w:name="_Toc58185114"/>
      <w:r w:rsidRPr="00251A1A">
        <w:rPr>
          <w:rFonts w:hint="cs"/>
          <w:rtl/>
        </w:rPr>
        <w:t>דברי הגרש"ש</w:t>
      </w:r>
      <w:bookmarkEnd w:id="7418"/>
      <w:r>
        <w:rPr>
          <w:rFonts w:hint="cs"/>
          <w:rtl/>
        </w:rPr>
        <w:t xml:space="preserve"> דכשאין ניכר הבעלים ל"מ חזקה בשותפות</w:t>
      </w:r>
      <w:bookmarkEnd w:id="7419"/>
    </w:p>
    <w:p w:rsidR="0019070E" w:rsidRPr="00251A1A" w:rsidRDefault="0019070E" w:rsidP="0019070E">
      <w:pPr>
        <w:pStyle w:val="a3"/>
        <w:rPr>
          <w:rtl/>
        </w:rPr>
      </w:pPr>
      <w:bookmarkStart w:id="7420" w:name="_Toc57544595"/>
      <w:bookmarkStart w:id="7421" w:name="_Toc58185115"/>
      <w:r>
        <w:rPr>
          <w:rFonts w:hint="cs"/>
          <w:rtl/>
        </w:rPr>
        <w:t>קושית הגרש"ש על הקצוה"ח דכל שמשתמשין בשותפות אין נ"מ למר"ק בדין ברירה כלל</w:t>
      </w:r>
      <w:bookmarkEnd w:id="7420"/>
      <w:bookmarkEnd w:id="7421"/>
    </w:p>
    <w:p w:rsidR="0019070E" w:rsidRDefault="0019070E" w:rsidP="007E4E81">
      <w:pPr>
        <w:pStyle w:val="a0"/>
        <w:rPr>
          <w:rtl/>
        </w:rPr>
      </w:pPr>
      <w:bookmarkStart w:id="7422" w:name="_Ref57223156"/>
      <w:r w:rsidRPr="00251A1A">
        <w:rPr>
          <w:rFonts w:hint="cs"/>
          <w:rtl/>
        </w:rPr>
        <w:t xml:space="preserve">במ"ש </w:t>
      </w:r>
      <w:r w:rsidRPr="00251A1A">
        <w:rPr>
          <w:rStyle w:val="af9"/>
          <w:rFonts w:hint="cs"/>
          <w:rtl/>
        </w:rPr>
        <w:t>הקצוה"ח</w:t>
      </w:r>
      <w:r w:rsidRPr="00251A1A">
        <w:rPr>
          <w:rFonts w:hint="cs"/>
          <w:rtl/>
        </w:rPr>
        <w:t xml:space="preserve"> </w:t>
      </w:r>
      <w:r w:rsidRPr="00251A1A">
        <w:rPr>
          <w:rStyle w:val="af7"/>
          <w:rFonts w:eastAsia="Guttman Hodes" w:hint="eastAsia"/>
          <w:rtl/>
        </w:rPr>
        <w:t xml:space="preserve">(עי' אות </w:t>
      </w:r>
      <w:r w:rsidRPr="00251A1A">
        <w:rPr>
          <w:rStyle w:val="af7"/>
          <w:rFonts w:eastAsia="Guttman Hodes"/>
          <w:rtl/>
        </w:rPr>
        <w:fldChar w:fldCharType="begin"/>
      </w:r>
      <w:r w:rsidRPr="00251A1A">
        <w:rPr>
          <w:rStyle w:val="af7"/>
          <w:rFonts w:eastAsia="Guttman Hodes"/>
          <w:rtl/>
        </w:rPr>
        <w:instrText xml:space="preserve"> </w:instrText>
      </w:r>
      <w:r w:rsidRPr="00251A1A">
        <w:rPr>
          <w:rStyle w:val="af7"/>
          <w:rFonts w:eastAsia="Guttman Hodes" w:hint="cs"/>
        </w:rPr>
        <w:instrText>REF</w:instrText>
      </w:r>
      <w:r w:rsidRPr="00251A1A">
        <w:rPr>
          <w:rStyle w:val="af7"/>
          <w:rFonts w:eastAsia="Guttman Hodes" w:hint="cs"/>
          <w:rtl/>
        </w:rPr>
        <w:instrText xml:space="preserve"> _</w:instrText>
      </w:r>
      <w:r w:rsidRPr="00251A1A">
        <w:rPr>
          <w:rStyle w:val="af7"/>
          <w:rFonts w:eastAsia="Guttman Hodes" w:hint="cs"/>
        </w:rPr>
        <w:instrText>Ref57223141 \r \h</w:instrText>
      </w:r>
      <w:r w:rsidRPr="00251A1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51A1A">
        <w:rPr>
          <w:rStyle w:val="af7"/>
          <w:rFonts w:eastAsia="Guttman Hodes"/>
          <w:rtl/>
        </w:rPr>
      </w:r>
      <w:r w:rsidRPr="00251A1A">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251A1A">
        <w:rPr>
          <w:rStyle w:val="af7"/>
          <w:rFonts w:eastAsia="Guttman Hodes"/>
          <w:rtl/>
        </w:rPr>
        <w:fldChar w:fldCharType="end"/>
      </w:r>
      <w:r w:rsidRPr="00251A1A">
        <w:rPr>
          <w:rStyle w:val="af7"/>
          <w:rFonts w:eastAsia="Guttman Hodes" w:hint="cs"/>
          <w:rtl/>
        </w:rPr>
        <w:t xml:space="preserve"> </w:t>
      </w:r>
      <w:r w:rsidRPr="00251A1A">
        <w:rPr>
          <w:rFonts w:hint="cs"/>
          <w:rtl/>
        </w:rPr>
        <w:t>דהגמ' בסוגיין לא דמי לחזקה בשותפות, כיון שהמחזיק טוען שקנה את גוף הקרקע</w:t>
      </w:r>
      <w:r>
        <w:rPr>
          <w:rFonts w:hint="cs"/>
          <w:rtl/>
        </w:rPr>
        <w:t xml:space="preserve"> של הבית החיצון, ובזה דריסת הרגל של המרא קמא חשיבא כמחאה, אבל בשותפין שכ"א משתמש בשלו, ואין אחד מהם נכנס לחלק של חבירו כלל, דאמרינן ברירה, הקשה </w:t>
      </w:r>
      <w:r w:rsidRPr="009E1EDB">
        <w:rPr>
          <w:rStyle w:val="af9"/>
          <w:rFonts w:hint="cs"/>
          <w:rtl/>
        </w:rPr>
        <w:t>בחי'</w:t>
      </w:r>
      <w:r>
        <w:rPr>
          <w:rFonts w:hint="cs"/>
          <w:rtl/>
        </w:rPr>
        <w:t xml:space="preserve"> </w:t>
      </w:r>
      <w:r w:rsidRPr="009E1EDB">
        <w:rPr>
          <w:rStyle w:val="af9"/>
          <w:rFonts w:hint="cs"/>
          <w:rtl/>
        </w:rPr>
        <w:t xml:space="preserve">רבי שמעון </w:t>
      </w:r>
      <w:r w:rsidRPr="009E1EDB">
        <w:rPr>
          <w:rStyle w:val="af7"/>
          <w:rFonts w:eastAsia="Guttman Hodes" w:hint="cs"/>
          <w:rtl/>
        </w:rPr>
        <w:t xml:space="preserve">(סי' ט"ו [מהדו' חד' י"ח] ד"ה ולענ"ד) </w:t>
      </w:r>
      <w:r>
        <w:rPr>
          <w:rFonts w:hint="cs"/>
          <w:rtl/>
        </w:rPr>
        <w:t>דכל שבפועל הם משתמשים יחד, אין כל נ"מ אי אמרינן ברירה או לא אמרינן, ומה איכפת למערער אי אמרינן ברירה.</w:t>
      </w:r>
      <w:bookmarkEnd w:id="7422"/>
    </w:p>
    <w:p w:rsidR="0019070E" w:rsidRDefault="0019070E" w:rsidP="0019070E">
      <w:pPr>
        <w:pStyle w:val="a3"/>
        <w:rPr>
          <w:rtl/>
        </w:rPr>
      </w:pPr>
      <w:bookmarkStart w:id="7423" w:name="_Toc57544596"/>
      <w:bookmarkStart w:id="7424" w:name="_Toc58185116"/>
      <w:r>
        <w:rPr>
          <w:rFonts w:hint="cs"/>
          <w:rtl/>
        </w:rPr>
        <w:t>ביאור הגרש"ש דרשב"ם ותוס' ל"מ חזקה בשותפות בין בטוען שותפות ובין בטוען שקנה הכל</w:t>
      </w:r>
      <w:bookmarkEnd w:id="7423"/>
      <w:bookmarkEnd w:id="7424"/>
    </w:p>
    <w:p w:rsidR="0019070E" w:rsidRPr="00E425CA" w:rsidRDefault="0019070E" w:rsidP="007E4E81">
      <w:pPr>
        <w:pStyle w:val="a0"/>
        <w:rPr>
          <w:rtl/>
        </w:rPr>
      </w:pPr>
      <w:r>
        <w:rPr>
          <w:rFonts w:hint="cs"/>
          <w:rtl/>
        </w:rPr>
        <w:t xml:space="preserve">וכתב </w:t>
      </w:r>
      <w:r w:rsidRPr="009E1EDB">
        <w:rPr>
          <w:rStyle w:val="af9"/>
          <w:rFonts w:hint="cs"/>
          <w:rtl/>
        </w:rPr>
        <w:t xml:space="preserve">בחי' רבי שמעון </w:t>
      </w:r>
      <w:r>
        <w:rPr>
          <w:rFonts w:hint="cs"/>
          <w:rtl/>
        </w:rPr>
        <w:t>דא"א לומר דאם המחזיק היה טוען שקנה מהמערער בשותפות שיהיה לו דרך עליו הוא היה נאמן, דא"כ היאך טוען המערער שלא היה לו למחות, והא כיון שהמחזיק יכול לטעון שקנה את הבית החיצון ושייר דרך למערער מהבית הפנימי, א"כ היה לו למחות כדי שלא יטען כן, וא"א לומר דכיון שהמערער טען שקנה את כל הבית א"כ העברת הדרך היא ריעותא בטענתו, [כדביאר</w:t>
      </w:r>
      <w:r w:rsidRPr="00201EC1">
        <w:rPr>
          <w:rStyle w:val="af9"/>
          <w:rFonts w:hint="cs"/>
          <w:rtl/>
        </w:rPr>
        <w:t xml:space="preserve"> </w:t>
      </w:r>
      <w:r w:rsidRPr="00251A1A">
        <w:rPr>
          <w:rStyle w:val="af9"/>
          <w:rFonts w:hint="cs"/>
          <w:rtl/>
        </w:rPr>
        <w:t>הקצוה"ח</w:t>
      </w:r>
      <w:r w:rsidRPr="00251A1A">
        <w:rPr>
          <w:rFonts w:hint="cs"/>
          <w:rtl/>
        </w:rPr>
        <w:t xml:space="preserve"> </w:t>
      </w:r>
      <w:r w:rsidRPr="00251A1A">
        <w:rPr>
          <w:rStyle w:val="af7"/>
          <w:rFonts w:eastAsia="Guttman Hodes" w:hint="eastAsia"/>
          <w:rtl/>
        </w:rPr>
        <w:t xml:space="preserve">(עי' אות </w:t>
      </w:r>
      <w:r w:rsidRPr="00251A1A">
        <w:rPr>
          <w:rStyle w:val="af7"/>
          <w:rFonts w:eastAsia="Guttman Hodes"/>
          <w:rtl/>
        </w:rPr>
        <w:fldChar w:fldCharType="begin"/>
      </w:r>
      <w:r w:rsidRPr="00251A1A">
        <w:rPr>
          <w:rStyle w:val="af7"/>
          <w:rFonts w:eastAsia="Guttman Hodes"/>
          <w:rtl/>
        </w:rPr>
        <w:instrText xml:space="preserve"> </w:instrText>
      </w:r>
      <w:r w:rsidRPr="00251A1A">
        <w:rPr>
          <w:rStyle w:val="af7"/>
          <w:rFonts w:eastAsia="Guttman Hodes" w:hint="cs"/>
        </w:rPr>
        <w:instrText>REF</w:instrText>
      </w:r>
      <w:r w:rsidRPr="00251A1A">
        <w:rPr>
          <w:rStyle w:val="af7"/>
          <w:rFonts w:eastAsia="Guttman Hodes" w:hint="cs"/>
          <w:rtl/>
        </w:rPr>
        <w:instrText xml:space="preserve"> _</w:instrText>
      </w:r>
      <w:r w:rsidRPr="00251A1A">
        <w:rPr>
          <w:rStyle w:val="af7"/>
          <w:rFonts w:eastAsia="Guttman Hodes" w:hint="cs"/>
        </w:rPr>
        <w:instrText>Ref57223141 \r \h</w:instrText>
      </w:r>
      <w:r w:rsidRPr="00251A1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51A1A">
        <w:rPr>
          <w:rStyle w:val="af7"/>
          <w:rFonts w:eastAsia="Guttman Hodes"/>
          <w:rtl/>
        </w:rPr>
      </w:r>
      <w:r w:rsidRPr="00251A1A">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251A1A">
        <w:rPr>
          <w:rStyle w:val="af7"/>
          <w:rFonts w:eastAsia="Guttman Hodes"/>
          <w:rtl/>
        </w:rPr>
        <w:fldChar w:fldCharType="end"/>
      </w:r>
      <w:r>
        <w:rPr>
          <w:rFonts w:hint="cs"/>
          <w:rtl/>
        </w:rPr>
        <w:t>]</w:t>
      </w:r>
      <w:r w:rsidR="00A77F33">
        <w:rPr>
          <w:rFonts w:hint="cs"/>
          <w:rtl/>
        </w:rPr>
        <w:t xml:space="preserve"> </w:t>
      </w:r>
      <w:r>
        <w:rPr>
          <w:rFonts w:hint="cs"/>
          <w:rtl/>
        </w:rPr>
        <w:t xml:space="preserve">דהא סברא זו לא הוזכרה </w:t>
      </w:r>
      <w:r w:rsidRPr="009017FB">
        <w:rPr>
          <w:rStyle w:val="af9"/>
          <w:rFonts w:hint="cs"/>
          <w:rtl/>
        </w:rPr>
        <w:t>ברשב"ם ובתוס'</w:t>
      </w:r>
      <w:r>
        <w:rPr>
          <w:rFonts w:hint="cs"/>
          <w:rtl/>
        </w:rPr>
        <w:t xml:space="preserve"> כלל.</w:t>
      </w:r>
    </w:p>
    <w:p w:rsidR="0019070E" w:rsidRPr="00C718E6" w:rsidRDefault="0019070E" w:rsidP="0019070E">
      <w:pPr>
        <w:pStyle w:val="a3"/>
        <w:rPr>
          <w:rtl/>
        </w:rPr>
      </w:pPr>
      <w:bookmarkStart w:id="7425" w:name="_Toc57544597"/>
      <w:bookmarkStart w:id="7426" w:name="_Toc58185117"/>
      <w:r w:rsidRPr="00C718E6">
        <w:rPr>
          <w:rFonts w:hint="cs"/>
          <w:rtl/>
        </w:rPr>
        <w:t>ביאור</w:t>
      </w:r>
      <w:r>
        <w:rPr>
          <w:rFonts w:hint="cs"/>
          <w:rtl/>
        </w:rPr>
        <w:t xml:space="preserve"> הגרש"ש דכל שלא ניכר מי הבעלים העיקרי א"צ מחאה ורק בב' שימושים הוי חזקה</w:t>
      </w:r>
      <w:bookmarkEnd w:id="7425"/>
      <w:bookmarkEnd w:id="7426"/>
    </w:p>
    <w:p w:rsidR="0019070E" w:rsidRDefault="0019070E" w:rsidP="007E4E81">
      <w:pPr>
        <w:pStyle w:val="a0"/>
        <w:rPr>
          <w:rtl/>
        </w:rPr>
      </w:pPr>
      <w:r>
        <w:rPr>
          <w:rFonts w:hint="cs"/>
          <w:rtl/>
        </w:rPr>
        <w:t xml:space="preserve">אלא ביאר </w:t>
      </w:r>
      <w:r w:rsidRPr="009E1EDB">
        <w:rPr>
          <w:rStyle w:val="af9"/>
          <w:rFonts w:hint="cs"/>
          <w:rtl/>
        </w:rPr>
        <w:t>בחי' רבי שמעון</w:t>
      </w:r>
      <w:r>
        <w:rPr>
          <w:rFonts w:hint="cs"/>
          <w:rtl/>
        </w:rPr>
        <w:t xml:space="preserve"> דלדעת </w:t>
      </w:r>
      <w:r w:rsidRPr="009E1EDB">
        <w:rPr>
          <w:rStyle w:val="af9"/>
          <w:rFonts w:hint="cs"/>
          <w:rtl/>
        </w:rPr>
        <w:t xml:space="preserve">הרשב"ם </w:t>
      </w:r>
      <w:r w:rsidRPr="00C718E6">
        <w:rPr>
          <w:rStyle w:val="af7"/>
          <w:rFonts w:eastAsia="Guttman Hodes" w:hint="cs"/>
          <w:rtl/>
        </w:rPr>
        <w:t xml:space="preserve">(עי' אות </w:t>
      </w:r>
      <w:r w:rsidRPr="00C718E6">
        <w:rPr>
          <w:rStyle w:val="af7"/>
          <w:rFonts w:eastAsia="Guttman Hodes"/>
          <w:rtl/>
        </w:rPr>
        <w:fldChar w:fldCharType="begin"/>
      </w:r>
      <w:r w:rsidRPr="00C718E6">
        <w:rPr>
          <w:rStyle w:val="af7"/>
          <w:rFonts w:eastAsia="Guttman Hodes"/>
          <w:rtl/>
        </w:rPr>
        <w:instrText xml:space="preserve"> </w:instrText>
      </w:r>
      <w:r w:rsidRPr="00C718E6">
        <w:rPr>
          <w:rStyle w:val="af7"/>
          <w:rFonts w:eastAsia="Guttman Hodes" w:hint="cs"/>
        </w:rPr>
        <w:instrText>REF</w:instrText>
      </w:r>
      <w:r w:rsidRPr="00C718E6">
        <w:rPr>
          <w:rStyle w:val="af7"/>
          <w:rFonts w:eastAsia="Guttman Hodes" w:hint="cs"/>
          <w:rtl/>
        </w:rPr>
        <w:instrText xml:space="preserve"> _</w:instrText>
      </w:r>
      <w:r w:rsidRPr="00C718E6">
        <w:rPr>
          <w:rStyle w:val="af7"/>
          <w:rFonts w:eastAsia="Guttman Hodes" w:hint="cs"/>
        </w:rPr>
        <w:instrText>Ref56936382 \r \h</w:instrText>
      </w:r>
      <w:r w:rsidRPr="00C718E6">
        <w:rPr>
          <w:rStyle w:val="af7"/>
          <w:rFonts w:eastAsia="Guttman Hodes"/>
          <w:rtl/>
        </w:rPr>
        <w:instrText xml:space="preserve"> </w:instrText>
      </w:r>
      <w:r w:rsidRPr="00C718E6">
        <w:rPr>
          <w:rStyle w:val="af7"/>
          <w:rFonts w:eastAsia="Guttman Hodes"/>
          <w:rtl/>
        </w:rPr>
      </w:r>
      <w:r w:rsidRPr="00C718E6">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C718E6">
        <w:rPr>
          <w:rStyle w:val="af7"/>
          <w:rFonts w:eastAsia="Guttman Hodes"/>
          <w:rtl/>
        </w:rPr>
        <w:fldChar w:fldCharType="end"/>
      </w:r>
      <w:r>
        <w:rPr>
          <w:rStyle w:val="af9"/>
          <w:rFonts w:hint="cs"/>
          <w:rtl/>
        </w:rPr>
        <w:t xml:space="preserve"> </w:t>
      </w:r>
      <w:r w:rsidRPr="009E1EDB">
        <w:rPr>
          <w:rStyle w:val="af9"/>
          <w:rFonts w:hint="cs"/>
          <w:rtl/>
        </w:rPr>
        <w:t>והתוס'</w:t>
      </w:r>
      <w:r>
        <w:rPr>
          <w:rFonts w:hint="cs"/>
          <w:rtl/>
        </w:rPr>
        <w:t xml:space="preserve"> </w:t>
      </w:r>
      <w:r w:rsidRPr="00C718E6">
        <w:rPr>
          <w:rStyle w:val="af7"/>
          <w:rFonts w:eastAsia="Guttman Hodes" w:hint="cs"/>
          <w:rtl/>
        </w:rPr>
        <w:t xml:space="preserve">(עי' אות </w:t>
      </w:r>
      <w:r w:rsidRPr="00C718E6">
        <w:rPr>
          <w:rStyle w:val="af7"/>
          <w:rFonts w:eastAsia="Guttman Hodes"/>
          <w:rtl/>
        </w:rPr>
        <w:fldChar w:fldCharType="begin"/>
      </w:r>
      <w:r w:rsidRPr="00C718E6">
        <w:rPr>
          <w:rStyle w:val="af7"/>
          <w:rFonts w:eastAsia="Guttman Hodes"/>
          <w:rtl/>
        </w:rPr>
        <w:instrText xml:space="preserve"> </w:instrText>
      </w:r>
      <w:r w:rsidRPr="00C718E6">
        <w:rPr>
          <w:rStyle w:val="af7"/>
          <w:rFonts w:eastAsia="Guttman Hodes" w:hint="cs"/>
        </w:rPr>
        <w:instrText>REF</w:instrText>
      </w:r>
      <w:r w:rsidRPr="00C718E6">
        <w:rPr>
          <w:rStyle w:val="af7"/>
          <w:rFonts w:eastAsia="Guttman Hodes" w:hint="cs"/>
          <w:rtl/>
        </w:rPr>
        <w:instrText xml:space="preserve"> _</w:instrText>
      </w:r>
      <w:r w:rsidRPr="00C718E6">
        <w:rPr>
          <w:rStyle w:val="af7"/>
          <w:rFonts w:eastAsia="Guttman Hodes" w:hint="cs"/>
        </w:rPr>
        <w:instrText>Ref57108495 \r \h</w:instrText>
      </w:r>
      <w:r w:rsidRPr="00C718E6">
        <w:rPr>
          <w:rStyle w:val="af7"/>
          <w:rFonts w:eastAsia="Guttman Hodes"/>
          <w:rtl/>
        </w:rPr>
        <w:instrText xml:space="preserve"> </w:instrText>
      </w:r>
      <w:r w:rsidRPr="00C718E6">
        <w:rPr>
          <w:rStyle w:val="af7"/>
          <w:rFonts w:eastAsia="Guttman Hodes"/>
          <w:rtl/>
        </w:rPr>
      </w:r>
      <w:r w:rsidRPr="00C718E6">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C718E6">
        <w:rPr>
          <w:rStyle w:val="af7"/>
          <w:rFonts w:eastAsia="Guttman Hodes"/>
          <w:rtl/>
        </w:rPr>
        <w:fldChar w:fldCharType="end"/>
      </w:r>
      <w:r>
        <w:rPr>
          <w:rFonts w:hint="cs"/>
          <w:rtl/>
        </w:rPr>
        <w:t xml:space="preserve"> באמת לא מהני חזקה בשותפות, דכל שהמערער משתמש בדבר שהמחזיק טוען שיש לו חזקת ג"ש, אין המערער צריך למחות, דלא ניכר מיהו הבעלים, וכל שלא ניכר בפועל שהמחזיק הוא הבעלים העיקרי לא היה המערער צריך למחות כלל, וכל מה שמצינו חזקה בשותפות, היינו דוקא במקום שיש לכ"א מהם שימוש בפנ"ע, דבשימוש של המחזיק ניכר שהוא הבעלים, ולכן היה למערער למחות.</w:t>
      </w:r>
    </w:p>
    <w:p w:rsidR="0019070E" w:rsidRPr="00910452" w:rsidRDefault="0019070E" w:rsidP="007E4E81">
      <w:pPr>
        <w:pStyle w:val="a0"/>
        <w:rPr>
          <w:highlight w:val="yellow"/>
          <w:rtl/>
        </w:rPr>
        <w:sectPr w:rsidR="0019070E" w:rsidRPr="00910452" w:rsidSect="005049E2">
          <w:footerReference w:type="default" r:id="rId65"/>
          <w:type w:val="continuous"/>
          <w:pgSz w:w="11906" w:h="16838"/>
          <w:pgMar w:top="720" w:right="720" w:bottom="720" w:left="720" w:header="283" w:footer="283" w:gutter="0"/>
          <w:cols w:num="2" w:space="567"/>
          <w:titlePg/>
          <w:bidi/>
          <w:rtlGutter/>
          <w:docGrid w:linePitch="299"/>
        </w:sectPr>
      </w:pPr>
    </w:p>
    <w:p w:rsidR="0007171D" w:rsidRDefault="0007171D" w:rsidP="007E4E81">
      <w:pPr>
        <w:pStyle w:val="a0"/>
        <w:numPr>
          <w:ilvl w:val="0"/>
          <w:numId w:val="0"/>
        </w:numPr>
        <w:rPr>
          <w:highlight w:val="yellow"/>
          <w:rtl/>
        </w:rPr>
        <w:sectPr w:rsidR="0007171D" w:rsidSect="005049E2">
          <w:type w:val="continuous"/>
          <w:pgSz w:w="11906" w:h="16838"/>
          <w:pgMar w:top="720" w:right="720" w:bottom="720" w:left="720" w:header="283" w:footer="283" w:gutter="0"/>
          <w:cols w:num="2" w:space="567"/>
          <w:titlePg/>
          <w:bidi/>
          <w:rtlGutter/>
          <w:docGrid w:linePitch="299"/>
        </w:sectPr>
      </w:pPr>
    </w:p>
    <w:p w:rsidR="0007171D" w:rsidRDefault="0007171D" w:rsidP="00E6248B">
      <w:pPr>
        <w:pStyle w:val="afd"/>
        <w:rPr>
          <w:rtl/>
        </w:rPr>
      </w:pPr>
      <w:bookmarkStart w:id="7427" w:name="_Toc57925927"/>
      <w:bookmarkStart w:id="7428" w:name="_Toc58091619"/>
      <w:bookmarkStart w:id="7429" w:name="_Toc58144874"/>
      <w:bookmarkStart w:id="7430" w:name="_Toc58272559"/>
      <w:bookmarkStart w:id="7431" w:name="_Toc58324980"/>
      <w:bookmarkStart w:id="7432" w:name="_Toc58359123"/>
      <w:bookmarkStart w:id="7433" w:name="_Toc58409383"/>
      <w:bookmarkStart w:id="7434" w:name="_Toc58432777"/>
      <w:bookmarkStart w:id="7435" w:name="_Toc58579979"/>
      <w:bookmarkStart w:id="7436" w:name="_Toc58842982"/>
      <w:bookmarkStart w:id="7437" w:name="_Toc58876163"/>
      <w:bookmarkStart w:id="7438" w:name="_Toc58877571"/>
      <w:bookmarkStart w:id="7439" w:name="_Toc58914630"/>
      <w:bookmarkStart w:id="7440" w:name="_Toc58925924"/>
      <w:bookmarkStart w:id="7441" w:name="_Toc58929997"/>
      <w:bookmarkStart w:id="7442" w:name="_Toc58938150"/>
      <w:bookmarkStart w:id="7443" w:name="_Toc59006938"/>
      <w:bookmarkStart w:id="7444" w:name="_Toc59013414"/>
      <w:bookmarkStart w:id="7445" w:name="_Toc59013662"/>
      <w:bookmarkStart w:id="7446" w:name="_Toc59025728"/>
      <w:bookmarkStart w:id="7447" w:name="_Toc66209207"/>
      <w:r w:rsidRPr="00C03D92">
        <w:rPr>
          <w:rFonts w:hint="cs"/>
          <w:rtl/>
        </w:rPr>
        <w:lastRenderedPageBreak/>
        <w:t>סימן</w:t>
      </w:r>
      <w:bookmarkEnd w:id="7427"/>
      <w:bookmarkEnd w:id="7428"/>
      <w:r w:rsidRPr="00C03D92">
        <w:rPr>
          <w:rFonts w:hint="cs"/>
          <w:rtl/>
        </w:rPr>
        <w:t xml:space="preserve"> </w:t>
      </w:r>
      <w:r>
        <w:rPr>
          <w:rFonts w:hint="cs"/>
          <w:rtl/>
        </w:rPr>
        <w:t>ח'</w:t>
      </w:r>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p>
    <w:p w:rsidR="0007171D" w:rsidRDefault="0007171D" w:rsidP="00E6248B">
      <w:pPr>
        <w:pStyle w:val="afd"/>
        <w:rPr>
          <w:rFonts w:ascii="FrankRuehl" w:hAnsi="FrankRuehl"/>
          <w:b/>
          <w:noProof/>
          <w:rtl/>
        </w:rPr>
      </w:pPr>
      <w:bookmarkStart w:id="7448" w:name="_Toc58144875"/>
      <w:bookmarkStart w:id="7449" w:name="_Toc58272560"/>
      <w:bookmarkStart w:id="7450" w:name="_Toc58324981"/>
      <w:bookmarkStart w:id="7451" w:name="_Toc58359124"/>
      <w:bookmarkStart w:id="7452" w:name="_Toc58409384"/>
      <w:bookmarkStart w:id="7453" w:name="_Toc58432778"/>
      <w:bookmarkStart w:id="7454" w:name="_Toc58579980"/>
      <w:bookmarkStart w:id="7455" w:name="_Toc58842983"/>
      <w:bookmarkStart w:id="7456" w:name="_Toc58876164"/>
      <w:bookmarkStart w:id="7457" w:name="_Toc58877572"/>
      <w:bookmarkStart w:id="7458" w:name="_Toc58914631"/>
      <w:bookmarkStart w:id="7459" w:name="_Toc58925925"/>
      <w:bookmarkStart w:id="7460" w:name="_Toc58929998"/>
      <w:bookmarkStart w:id="7461" w:name="_Toc58938151"/>
      <w:bookmarkStart w:id="7462" w:name="_Toc59006939"/>
      <w:bookmarkStart w:id="7463" w:name="_Toc59013415"/>
      <w:bookmarkStart w:id="7464" w:name="_Toc59013663"/>
      <w:bookmarkStart w:id="7465" w:name="_Toc59025729"/>
      <w:bookmarkStart w:id="7466" w:name="_Toc66209208"/>
      <w:r>
        <w:rPr>
          <w:rFonts w:ascii="FrankRuehl" w:hAnsi="FrankRuehl" w:hint="cs"/>
          <w:b/>
          <w:noProof/>
          <w:rtl/>
        </w:rPr>
        <w:t>בסוגיא דלאו קא מודית</w:t>
      </w:r>
      <w:bookmarkEnd w:id="7448"/>
      <w:bookmarkEnd w:id="7449"/>
      <w:bookmarkEnd w:id="7450"/>
      <w:bookmarkEnd w:id="7451"/>
      <w:bookmarkEnd w:id="7452"/>
      <w:bookmarkEnd w:id="7453"/>
      <w:bookmarkEnd w:id="7454"/>
      <w:bookmarkEnd w:id="7455"/>
      <w:r>
        <w:rPr>
          <w:rFonts w:ascii="FrankRuehl" w:hAnsi="FrankRuehl" w:hint="cs"/>
          <w:b/>
          <w:noProof/>
          <w:rtl/>
        </w:rPr>
        <w:t xml:space="preserve"> (א')</w:t>
      </w:r>
      <w:bookmarkEnd w:id="7456"/>
      <w:bookmarkEnd w:id="7457"/>
      <w:bookmarkEnd w:id="7458"/>
      <w:bookmarkEnd w:id="7459"/>
      <w:bookmarkEnd w:id="7460"/>
      <w:bookmarkEnd w:id="7461"/>
      <w:bookmarkEnd w:id="7462"/>
      <w:bookmarkEnd w:id="7463"/>
      <w:bookmarkEnd w:id="7464"/>
      <w:bookmarkEnd w:id="7465"/>
      <w:bookmarkEnd w:id="7466"/>
    </w:p>
    <w:p w:rsidR="0007171D" w:rsidRPr="008A6270" w:rsidRDefault="0007171D" w:rsidP="00E6248B">
      <w:pPr>
        <w:pStyle w:val="afd"/>
        <w:rPr>
          <w:rtl/>
        </w:rPr>
      </w:pPr>
      <w:bookmarkStart w:id="7467" w:name="_Toc58876165"/>
      <w:bookmarkStart w:id="7468" w:name="_Toc58877573"/>
      <w:bookmarkStart w:id="7469" w:name="_Toc58914632"/>
      <w:bookmarkStart w:id="7470" w:name="_Toc58925926"/>
      <w:bookmarkStart w:id="7471" w:name="_Toc58929999"/>
      <w:bookmarkStart w:id="7472" w:name="_Toc58938152"/>
      <w:bookmarkStart w:id="7473" w:name="_Toc59006940"/>
      <w:bookmarkStart w:id="7474" w:name="_Toc59013416"/>
      <w:bookmarkStart w:id="7475" w:name="_Toc59013664"/>
      <w:bookmarkStart w:id="7476" w:name="_Toc59025730"/>
      <w:bookmarkStart w:id="7477" w:name="_Toc66209209"/>
      <w:r>
        <w:rPr>
          <w:rFonts w:hint="cs"/>
          <w:rtl/>
        </w:rPr>
        <w:t>בביאור הודאת המחזיק למערער ואמאי ל"מ לו מיגו דמינך זבינתה</w:t>
      </w:r>
      <w:bookmarkEnd w:id="7467"/>
      <w:bookmarkEnd w:id="7468"/>
      <w:bookmarkEnd w:id="7469"/>
      <w:bookmarkEnd w:id="7470"/>
      <w:bookmarkEnd w:id="7471"/>
      <w:bookmarkEnd w:id="7472"/>
      <w:bookmarkEnd w:id="7473"/>
      <w:bookmarkEnd w:id="7474"/>
      <w:bookmarkEnd w:id="7475"/>
      <w:bookmarkEnd w:id="7476"/>
      <w:r>
        <w:rPr>
          <w:rFonts w:hint="cs"/>
          <w:rtl/>
        </w:rPr>
        <w:t xml:space="preserve"> ולהד"ם</w:t>
      </w:r>
      <w:bookmarkEnd w:id="7477"/>
    </w:p>
    <w:p w:rsidR="0007171D" w:rsidRDefault="000B328B" w:rsidP="0007171D">
      <w:pPr>
        <w:pStyle w:val="aff4"/>
        <w:rPr>
          <w:rtl/>
        </w:rPr>
        <w:sectPr w:rsidR="0007171D" w:rsidSect="0007171D">
          <w:headerReference w:type="default" r:id="rId66"/>
          <w:headerReference w:type="first" r:id="rId67"/>
          <w:footerReference w:type="first" r:id="rId68"/>
          <w:pgSz w:w="11906" w:h="16838"/>
          <w:pgMar w:top="720" w:right="720" w:bottom="720" w:left="720" w:header="283" w:footer="283" w:gutter="0"/>
          <w:cols w:space="113"/>
          <w:bidi/>
          <w:rtlGutter/>
          <w:docGrid w:linePitch="299"/>
        </w:sectPr>
      </w:pPr>
      <w:r>
        <w:rPr>
          <w:rFonts w:hint="cs"/>
          <w:rtl/>
        </w:rPr>
        <w:t xml:space="preserve">~~~~~~~ תוכן הענינים ~~~~~~~ </w:t>
      </w:r>
    </w:p>
    <w:p w:rsidR="0007171D" w:rsidRDefault="0007171D" w:rsidP="0007171D">
      <w:pPr>
        <w:pStyle w:val="2"/>
        <w:rPr>
          <w:rFonts w:eastAsiaTheme="minorEastAsia" w:cstheme="minorBidi"/>
          <w:i/>
          <w:iCs/>
          <w:sz w:val="22"/>
          <w:szCs w:val="22"/>
          <w:rtl/>
        </w:rPr>
      </w:pPr>
      <w:r>
        <w:rPr>
          <w:i/>
          <w:i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i/>
          <w:iCs/>
          <w:rtl/>
        </w:rPr>
        <w:fldChar w:fldCharType="separate"/>
      </w:r>
      <w:r>
        <w:rPr>
          <w:rtl/>
        </w:rPr>
        <w:t>פלוג' הרשב"ם והרא"ש בהודאת המחזיק</w:t>
      </w:r>
    </w:p>
    <w:p w:rsidR="0007171D" w:rsidRDefault="0007171D" w:rsidP="0007171D">
      <w:pPr>
        <w:pStyle w:val="aff4"/>
        <w:rPr>
          <w:rFonts w:eastAsiaTheme="minorEastAsia" w:cstheme="minorBidi"/>
          <w:i/>
          <w:iCs/>
          <w:noProof/>
          <w:sz w:val="22"/>
          <w:szCs w:val="22"/>
          <w:rtl/>
        </w:rPr>
      </w:pPr>
      <w:r>
        <w:rPr>
          <w:noProof/>
          <w:rtl/>
        </w:rPr>
        <w:t>דברי הרשב"ם דיש למחזיק שטר אך חזקתו היא בלי טענה</w:t>
      </w:r>
    </w:p>
    <w:p w:rsidR="0007171D" w:rsidRPr="007E4E81" w:rsidRDefault="0007171D" w:rsidP="00BA3263">
      <w:pPr>
        <w:pStyle w:val="a"/>
        <w:numPr>
          <w:ilvl w:val="0"/>
          <w:numId w:val="17"/>
        </w:numPr>
        <w:rPr>
          <w:rFonts w:eastAsiaTheme="minorEastAsia" w:cstheme="minorBidi"/>
          <w:sz w:val="22"/>
          <w:szCs w:val="22"/>
          <w:rtl/>
        </w:rPr>
      </w:pPr>
      <w:r>
        <w:rPr>
          <w:rtl/>
        </w:rPr>
        <w:t>דברי הרשב"ם דבשעת המכירה אמר המוכר שקנה מהמערער והוי הודאה ול"מ שיש לו שטר</w:t>
      </w:r>
    </w:p>
    <w:p w:rsidR="0007171D" w:rsidRDefault="0007171D" w:rsidP="007E4E81">
      <w:pPr>
        <w:pStyle w:val="a"/>
        <w:rPr>
          <w:rFonts w:eastAsiaTheme="minorEastAsia" w:cstheme="minorBidi"/>
          <w:sz w:val="22"/>
          <w:szCs w:val="22"/>
          <w:rtl/>
        </w:rPr>
      </w:pPr>
      <w:r>
        <w:rPr>
          <w:rtl/>
        </w:rPr>
        <w:t>דברי הרשב"ם דבהחזיק ג"ש היא כחזקה בלא טענה דאינו יודע אם קנה מהמערער</w:t>
      </w:r>
    </w:p>
    <w:p w:rsidR="0007171D" w:rsidRDefault="0007171D" w:rsidP="007E4E81">
      <w:pPr>
        <w:pStyle w:val="a"/>
        <w:rPr>
          <w:rFonts w:eastAsiaTheme="minorEastAsia" w:cstheme="minorBidi"/>
          <w:sz w:val="22"/>
          <w:szCs w:val="22"/>
          <w:rtl/>
        </w:rPr>
      </w:pPr>
      <w:r>
        <w:rPr>
          <w:rtl/>
        </w:rPr>
        <w:t>דברי הרשב"ם דהמחזיק חשיב שמכיר שהקרקע אינה של המוכר ומחזיר אף שאין למערער עדים</w:t>
      </w:r>
    </w:p>
    <w:p w:rsidR="0007171D" w:rsidRDefault="0007171D" w:rsidP="0007171D">
      <w:pPr>
        <w:pStyle w:val="aff4"/>
        <w:rPr>
          <w:rFonts w:eastAsiaTheme="minorEastAsia" w:cstheme="minorBidi"/>
          <w:i/>
          <w:iCs/>
          <w:noProof/>
          <w:sz w:val="22"/>
          <w:szCs w:val="22"/>
          <w:rtl/>
        </w:rPr>
      </w:pPr>
      <w:r>
        <w:rPr>
          <w:noProof/>
          <w:rtl/>
        </w:rPr>
        <w:t>דברי הרשב"ם דיש הודאת בע"ד למר"ק וספק אם קנה המוכר</w:t>
      </w:r>
    </w:p>
    <w:p w:rsidR="0007171D" w:rsidRDefault="0007171D" w:rsidP="007E4E81">
      <w:pPr>
        <w:pStyle w:val="a"/>
        <w:rPr>
          <w:rFonts w:eastAsiaTheme="minorEastAsia" w:cstheme="minorBidi"/>
          <w:sz w:val="22"/>
          <w:szCs w:val="22"/>
          <w:rtl/>
        </w:rPr>
      </w:pPr>
      <w:r>
        <w:rPr>
          <w:rtl/>
        </w:rPr>
        <w:t>דברי הרשב"ם דהודה המחזיק למערער ואינו יודע אם המוכר קנה מהמערער ומפסיד את הקרקע</w:t>
      </w:r>
    </w:p>
    <w:p w:rsidR="0007171D" w:rsidRDefault="0007171D" w:rsidP="0007171D">
      <w:pPr>
        <w:pStyle w:val="aff4"/>
        <w:rPr>
          <w:rFonts w:eastAsiaTheme="minorEastAsia" w:cstheme="minorBidi"/>
          <w:i/>
          <w:iCs/>
          <w:noProof/>
          <w:sz w:val="22"/>
          <w:szCs w:val="22"/>
          <w:rtl/>
        </w:rPr>
      </w:pPr>
      <w:r>
        <w:rPr>
          <w:noProof/>
          <w:rtl/>
        </w:rPr>
        <w:t>דברי הרשב"ם דאי היה טוען מינך זבינתה ל"מ בלי שטר וחזקה</w:t>
      </w:r>
    </w:p>
    <w:p w:rsidR="0007171D" w:rsidRDefault="0007171D" w:rsidP="007E4E81">
      <w:pPr>
        <w:pStyle w:val="a"/>
        <w:rPr>
          <w:rFonts w:eastAsiaTheme="minorEastAsia" w:cstheme="minorBidi"/>
          <w:sz w:val="22"/>
          <w:szCs w:val="22"/>
          <w:rtl/>
        </w:rPr>
      </w:pPr>
      <w:r>
        <w:rPr>
          <w:rtl/>
        </w:rPr>
        <w:t>דברי הרשב"ם דאף בטוען המחזיק מינך זבינתה אין לו שטר או חזקה והמערער יותר מוחזק ממנו</w:t>
      </w:r>
    </w:p>
    <w:p w:rsidR="0007171D" w:rsidRDefault="0007171D" w:rsidP="007E4E81">
      <w:pPr>
        <w:pStyle w:val="a"/>
        <w:rPr>
          <w:rFonts w:eastAsiaTheme="minorEastAsia" w:cstheme="minorBidi"/>
          <w:sz w:val="22"/>
          <w:szCs w:val="22"/>
          <w:rtl/>
        </w:rPr>
      </w:pPr>
      <w:r>
        <w:rPr>
          <w:rtl/>
        </w:rPr>
        <w:t>דברי הרשב"ם דקיי"ל כרבא דמוציאין את המחזיק מהקרקע אף כשיש לו חזקת ג"ש</w:t>
      </w:r>
    </w:p>
    <w:p w:rsidR="0007171D" w:rsidRPr="00DA66E4" w:rsidRDefault="0007171D" w:rsidP="0007171D">
      <w:pPr>
        <w:pStyle w:val="aff4"/>
        <w:rPr>
          <w:rtl/>
        </w:rPr>
      </w:pPr>
      <w:r>
        <w:rPr>
          <w:rFonts w:hint="cs"/>
          <w:rtl/>
        </w:rPr>
        <w:t>משמעות הרשב"א והתורי"ד בד' הרשב"ם דלא הודה בפירוש</w:t>
      </w:r>
    </w:p>
    <w:p w:rsidR="0007171D" w:rsidRPr="0099433C" w:rsidRDefault="0007171D" w:rsidP="007E4E81">
      <w:pPr>
        <w:pStyle w:val="a"/>
        <w:rPr>
          <w:rtl/>
        </w:rPr>
      </w:pPr>
      <w:r>
        <w:rPr>
          <w:rFonts w:hint="cs"/>
          <w:rtl/>
        </w:rPr>
        <w:t>בי' התורי"ד ברשב"ם דמדברי המערער מוכח דהמחזיק לא הודה בפירוש וטוען דלטענתך הודית</w:t>
      </w:r>
    </w:p>
    <w:p w:rsidR="0007171D" w:rsidRDefault="0007171D" w:rsidP="0007171D">
      <w:pPr>
        <w:pStyle w:val="aff4"/>
        <w:rPr>
          <w:rFonts w:eastAsiaTheme="minorEastAsia" w:cstheme="minorBidi"/>
          <w:i/>
          <w:iCs/>
          <w:noProof/>
          <w:sz w:val="22"/>
          <w:szCs w:val="22"/>
          <w:rtl/>
        </w:rPr>
      </w:pPr>
      <w:r>
        <w:rPr>
          <w:noProof/>
          <w:rtl/>
        </w:rPr>
        <w:t>ביאור הרא"ש ברשב"ם דהודה המחזיק ואין ספק מוציא מודאי</w:t>
      </w:r>
    </w:p>
    <w:p w:rsidR="0007171D" w:rsidRDefault="0007171D" w:rsidP="007E4E81">
      <w:pPr>
        <w:pStyle w:val="a"/>
        <w:rPr>
          <w:rFonts w:eastAsiaTheme="minorEastAsia" w:cstheme="minorBidi"/>
          <w:sz w:val="22"/>
          <w:szCs w:val="22"/>
          <w:rtl/>
        </w:rPr>
      </w:pPr>
      <w:r>
        <w:rPr>
          <w:rtl/>
        </w:rPr>
        <w:t>ביאור הרא"ש דמוכח שאין עדים למערער ומ"מ כיון שהודה ואינו יודע שקנאה ממנו מוציאין</w:t>
      </w:r>
    </w:p>
    <w:p w:rsidR="0007171D" w:rsidRDefault="0007171D" w:rsidP="007E4E81">
      <w:pPr>
        <w:pStyle w:val="a"/>
        <w:rPr>
          <w:rFonts w:eastAsiaTheme="minorEastAsia" w:cstheme="minorBidi"/>
          <w:sz w:val="22"/>
          <w:szCs w:val="22"/>
          <w:rtl/>
        </w:rPr>
      </w:pPr>
      <w:r>
        <w:rPr>
          <w:rtl/>
        </w:rPr>
        <w:t>ביאור הרא"ש ברשב"ם דהמחזיק אינו יודע אם קנאה המוכר ואין ספק מוציא מידי ודאי</w:t>
      </w:r>
    </w:p>
    <w:p w:rsidR="0007171D" w:rsidRDefault="0007171D" w:rsidP="0007171D">
      <w:pPr>
        <w:pStyle w:val="aff4"/>
        <w:rPr>
          <w:rFonts w:eastAsiaTheme="minorEastAsia" w:cstheme="minorBidi"/>
          <w:i/>
          <w:iCs/>
          <w:noProof/>
          <w:sz w:val="22"/>
          <w:szCs w:val="22"/>
          <w:rtl/>
        </w:rPr>
      </w:pPr>
      <w:r>
        <w:rPr>
          <w:noProof/>
          <w:rtl/>
        </w:rPr>
        <w:t>דעת הרא"ש דהמחזיק רק שמע כן מהמוכר ולא הודה מעצמו</w:t>
      </w:r>
    </w:p>
    <w:p w:rsidR="0007171D" w:rsidRDefault="0007171D" w:rsidP="007E4E81">
      <w:pPr>
        <w:pStyle w:val="a"/>
        <w:rPr>
          <w:rFonts w:eastAsiaTheme="minorEastAsia" w:cstheme="minorBidi"/>
          <w:sz w:val="22"/>
          <w:szCs w:val="22"/>
          <w:rtl/>
        </w:rPr>
      </w:pPr>
      <w:r>
        <w:rPr>
          <w:rtl/>
        </w:rPr>
        <w:t>קושית הרא"ש על הרשב"ם דלא מוכח בגמ' דהמחזיק הודה בפירוש ורק שמע כן מפי המוכר</w:t>
      </w:r>
    </w:p>
    <w:p w:rsidR="0007171D" w:rsidRDefault="0007171D" w:rsidP="0007171D">
      <w:pPr>
        <w:pStyle w:val="aff4"/>
        <w:rPr>
          <w:rFonts w:eastAsiaTheme="minorEastAsia" w:cstheme="minorBidi"/>
          <w:i/>
          <w:iCs/>
          <w:noProof/>
          <w:sz w:val="22"/>
          <w:szCs w:val="22"/>
          <w:rtl/>
        </w:rPr>
      </w:pPr>
      <w:r>
        <w:rPr>
          <w:noProof/>
          <w:rtl/>
        </w:rPr>
        <w:t>דברי הטור דרבינו יונה ביאר ברשב"ם דהמחזיק הודה מעצמו</w:t>
      </w:r>
    </w:p>
    <w:p w:rsidR="0007171D" w:rsidRDefault="0007171D" w:rsidP="007E4E81">
      <w:pPr>
        <w:pStyle w:val="a"/>
        <w:rPr>
          <w:rFonts w:eastAsiaTheme="minorEastAsia" w:cstheme="minorBidi"/>
          <w:sz w:val="22"/>
          <w:szCs w:val="22"/>
          <w:rtl/>
        </w:rPr>
      </w:pPr>
      <w:r>
        <w:rPr>
          <w:rtl/>
        </w:rPr>
        <w:t>דברי הטור דרבינו יונה ביאר ברשב"ם דהמחזיק הודה מעצמו ולא רק שמע כן מהמוכר</w:t>
      </w:r>
    </w:p>
    <w:p w:rsidR="0007171D" w:rsidRDefault="0007171D" w:rsidP="007E4E81">
      <w:pPr>
        <w:pStyle w:val="a"/>
        <w:rPr>
          <w:rFonts w:eastAsiaTheme="minorEastAsia" w:cstheme="minorBidi"/>
          <w:sz w:val="22"/>
          <w:szCs w:val="22"/>
          <w:rtl/>
        </w:rPr>
      </w:pPr>
      <w:r>
        <w:rPr>
          <w:rtl/>
        </w:rPr>
        <w:t>דברי הטור דרבינו יונה ביאר ברשב"ם דבלא הודה המחזיק ורק שמע כן מהמוכר אין מוציאין</w:t>
      </w:r>
    </w:p>
    <w:p w:rsidR="0007171D" w:rsidRDefault="0007171D" w:rsidP="0007171D">
      <w:pPr>
        <w:pStyle w:val="aff4"/>
        <w:rPr>
          <w:rFonts w:eastAsiaTheme="minorEastAsia" w:cstheme="minorBidi"/>
          <w:i/>
          <w:iCs/>
          <w:noProof/>
          <w:sz w:val="22"/>
          <w:szCs w:val="22"/>
          <w:rtl/>
        </w:rPr>
      </w:pPr>
      <w:r>
        <w:rPr>
          <w:noProof/>
          <w:rtl/>
        </w:rPr>
        <w:t>ביאור הב"ח והנתיה"מ ברא"ש דטענת המחזיק אינה טענה</w:t>
      </w:r>
    </w:p>
    <w:p w:rsidR="0007171D" w:rsidRDefault="0007171D" w:rsidP="007E4E81">
      <w:pPr>
        <w:pStyle w:val="a"/>
        <w:rPr>
          <w:rFonts w:eastAsiaTheme="minorEastAsia" w:cstheme="minorBidi"/>
          <w:sz w:val="22"/>
          <w:szCs w:val="22"/>
          <w:rtl/>
        </w:rPr>
      </w:pPr>
      <w:r>
        <w:rPr>
          <w:rtl/>
        </w:rPr>
        <w:t>ביאור הב"ח ברא"ש דכיון שמודה המחזיק דיתכן שאין למוכר זכות בקרקע אין לו טענה</w:t>
      </w:r>
    </w:p>
    <w:p w:rsidR="0007171D" w:rsidRDefault="0007171D" w:rsidP="007E4E81">
      <w:pPr>
        <w:pStyle w:val="a"/>
        <w:rPr>
          <w:rFonts w:eastAsiaTheme="minorEastAsia" w:cstheme="minorBidi"/>
          <w:sz w:val="22"/>
          <w:szCs w:val="22"/>
          <w:rtl/>
        </w:rPr>
      </w:pPr>
      <w:r>
        <w:rPr>
          <w:rtl/>
        </w:rPr>
        <w:t>קושית הנתיה"מ על הרא"ש היאך אפשר להוציא ממנו אף שאין לו טענה כשאין עדים למערער</w:t>
      </w:r>
    </w:p>
    <w:p w:rsidR="0007171D" w:rsidRDefault="0007171D" w:rsidP="0007171D">
      <w:pPr>
        <w:pStyle w:val="aff4"/>
        <w:rPr>
          <w:rFonts w:eastAsiaTheme="minorEastAsia" w:cstheme="minorBidi"/>
          <w:i/>
          <w:iCs/>
          <w:noProof/>
          <w:sz w:val="22"/>
          <w:szCs w:val="22"/>
          <w:rtl/>
        </w:rPr>
      </w:pPr>
      <w:r>
        <w:rPr>
          <w:noProof/>
          <w:rtl/>
        </w:rPr>
        <w:t>דחיית הש"ך לדברי הרא"ש דבגמ' כן מוכח דהודה המחזיק</w:t>
      </w:r>
    </w:p>
    <w:p w:rsidR="0007171D" w:rsidRDefault="0007171D" w:rsidP="007E4E81">
      <w:pPr>
        <w:pStyle w:val="a"/>
        <w:rPr>
          <w:rFonts w:eastAsiaTheme="minorEastAsia" w:cstheme="minorBidi"/>
          <w:sz w:val="22"/>
          <w:szCs w:val="22"/>
          <w:rtl/>
        </w:rPr>
      </w:pPr>
      <w:r>
        <w:rPr>
          <w:rtl/>
        </w:rPr>
        <w:t>דברי הש"ך דלשון המערער לאו קא מודית משמע שהודה בפירוש ולא רק שמע כן מהמוכר</w:t>
      </w:r>
    </w:p>
    <w:p w:rsidR="0007171D" w:rsidRDefault="0007171D" w:rsidP="0007171D">
      <w:pPr>
        <w:pStyle w:val="2"/>
        <w:rPr>
          <w:rtl/>
        </w:rPr>
      </w:pPr>
      <w:r>
        <w:rPr>
          <w:rtl/>
        </w:rPr>
        <w:t>הסוברים דהודה ואין ספק מוציא מודאי</w:t>
      </w:r>
    </w:p>
    <w:p w:rsidR="0007171D" w:rsidRDefault="0007171D" w:rsidP="0007171D">
      <w:pPr>
        <w:pStyle w:val="aff4"/>
        <w:rPr>
          <w:rFonts w:eastAsiaTheme="minorEastAsia" w:cstheme="minorBidi"/>
          <w:i/>
          <w:iCs/>
          <w:noProof/>
          <w:sz w:val="22"/>
          <w:szCs w:val="22"/>
          <w:rtl/>
        </w:rPr>
      </w:pPr>
      <w:r>
        <w:rPr>
          <w:noProof/>
          <w:rtl/>
        </w:rPr>
        <w:t>משמעות הרי"ף והרמב"ם דהמחזיק הודה מעצמו למערער</w:t>
      </w:r>
    </w:p>
    <w:p w:rsidR="0007171D" w:rsidRDefault="0007171D" w:rsidP="007E4E81">
      <w:pPr>
        <w:pStyle w:val="a"/>
        <w:rPr>
          <w:rFonts w:eastAsiaTheme="minorEastAsia" w:cstheme="minorBidi"/>
          <w:sz w:val="22"/>
          <w:szCs w:val="22"/>
          <w:rtl/>
        </w:rPr>
      </w:pPr>
      <w:r>
        <w:rPr>
          <w:rtl/>
        </w:rPr>
        <w:t>קושית הרי"ף דכיון שאין למערער עדים יהיה המחזיק נאמן מדין הפה שאסר אף שהודה</w:t>
      </w:r>
    </w:p>
    <w:p w:rsidR="0007171D" w:rsidRDefault="0007171D" w:rsidP="007E4E81">
      <w:pPr>
        <w:pStyle w:val="a"/>
        <w:rPr>
          <w:rFonts w:eastAsiaTheme="minorEastAsia" w:cstheme="minorBidi"/>
          <w:sz w:val="22"/>
          <w:szCs w:val="22"/>
          <w:rtl/>
        </w:rPr>
      </w:pPr>
      <w:r>
        <w:rPr>
          <w:rtl/>
        </w:rPr>
        <w:t>דברי הרי"ף דכיון שהודה המחזיק דודאי של המערער וספק שקנה המוכר אין ספק מוציא מודאי</w:t>
      </w:r>
    </w:p>
    <w:p w:rsidR="0007171D" w:rsidRDefault="0007171D" w:rsidP="007E4E81">
      <w:pPr>
        <w:pStyle w:val="a"/>
        <w:rPr>
          <w:rFonts w:eastAsiaTheme="minorEastAsia" w:cstheme="minorBidi"/>
          <w:sz w:val="22"/>
          <w:szCs w:val="22"/>
          <w:rtl/>
        </w:rPr>
      </w:pPr>
      <w:r>
        <w:rPr>
          <w:rtl/>
        </w:rPr>
        <w:t>דברי הר"ן על הרי"ף דמבואר ברי"ף דכשלא הודה בפירוש מהני למחזיק הפה שאסר של המוכר</w:t>
      </w:r>
    </w:p>
    <w:p w:rsidR="0007171D" w:rsidRDefault="0007171D" w:rsidP="007E4E81">
      <w:pPr>
        <w:pStyle w:val="a"/>
        <w:rPr>
          <w:rtl/>
        </w:rPr>
      </w:pPr>
      <w:r>
        <w:rPr>
          <w:rtl/>
        </w:rPr>
        <w:t>דברי הרמב"ם דהמחזיק ישב הרבה שנים בקרקע וכיון שהודה למערער מוצאין ממנו</w:t>
      </w:r>
    </w:p>
    <w:p w:rsidR="0007171D" w:rsidRDefault="0007171D" w:rsidP="007E4E81">
      <w:pPr>
        <w:pStyle w:val="a"/>
        <w:rPr>
          <w:rtl/>
        </w:rPr>
      </w:pPr>
      <w:r w:rsidRPr="00AD2A4E">
        <w:rPr>
          <w:rtl/>
        </w:rPr>
        <w:t xml:space="preserve">דברי הש"ך דס"ל להרמב"ם דהודה מעצמו ולא רק מפי המוכר ופלו' הש"ך והסמ"ע בד' השו"ע </w:t>
      </w:r>
    </w:p>
    <w:p w:rsidR="0007171D" w:rsidRDefault="0007171D" w:rsidP="0007171D">
      <w:pPr>
        <w:pStyle w:val="aff4"/>
        <w:rPr>
          <w:rFonts w:eastAsiaTheme="minorEastAsia" w:cstheme="minorBidi"/>
          <w:i/>
          <w:iCs/>
          <w:noProof/>
          <w:sz w:val="22"/>
          <w:szCs w:val="22"/>
          <w:rtl/>
        </w:rPr>
      </w:pPr>
      <w:r>
        <w:rPr>
          <w:noProof/>
          <w:rtl/>
        </w:rPr>
        <w:t>בביאור הגירסא בגמ' אי גרסינן דאמר לי דזבנה מינך</w:t>
      </w:r>
    </w:p>
    <w:p w:rsidR="0007171D" w:rsidRDefault="0007171D" w:rsidP="007E4E81">
      <w:pPr>
        <w:pStyle w:val="a"/>
        <w:rPr>
          <w:rFonts w:eastAsiaTheme="minorEastAsia" w:cstheme="minorBidi"/>
          <w:sz w:val="22"/>
          <w:szCs w:val="22"/>
          <w:rtl/>
        </w:rPr>
      </w:pPr>
      <w:r w:rsidRPr="00B30CE1">
        <w:rPr>
          <w:rtl/>
        </w:rPr>
        <w:t>בביאור הגריסא בגמ' לדעות הראשונים אי גרסינן דזבנה מינך או "דאמר לי" דזבנה מינך</w:t>
      </w:r>
    </w:p>
    <w:p w:rsidR="0007171D" w:rsidRDefault="0007171D" w:rsidP="0007171D">
      <w:pPr>
        <w:pStyle w:val="aff4"/>
        <w:rPr>
          <w:rFonts w:eastAsiaTheme="minorEastAsia" w:cstheme="minorBidi"/>
          <w:i/>
          <w:iCs/>
          <w:noProof/>
          <w:sz w:val="22"/>
          <w:szCs w:val="22"/>
          <w:rtl/>
        </w:rPr>
      </w:pPr>
      <w:r>
        <w:rPr>
          <w:noProof/>
          <w:rtl/>
        </w:rPr>
        <w:t>דברי רבינו יונה דבברי נאמן בפשא"ס אך ספק אין מוציא מודאי</w:t>
      </w:r>
    </w:p>
    <w:p w:rsidR="0007171D" w:rsidRDefault="0007171D" w:rsidP="007E4E81">
      <w:pPr>
        <w:pStyle w:val="a"/>
        <w:rPr>
          <w:rFonts w:eastAsiaTheme="minorEastAsia" w:cstheme="minorBidi"/>
          <w:sz w:val="22"/>
          <w:szCs w:val="22"/>
          <w:rtl/>
        </w:rPr>
      </w:pPr>
      <w:r>
        <w:rPr>
          <w:rtl/>
        </w:rPr>
        <w:t>דברי רבינו יודע דאף שאין עדים למערער אחר שהודה אין הספק שקנה המוכר מוציא מהודאי</w:t>
      </w:r>
    </w:p>
    <w:p w:rsidR="0007171D" w:rsidRDefault="0007171D" w:rsidP="007E4E81">
      <w:pPr>
        <w:pStyle w:val="a"/>
        <w:rPr>
          <w:rFonts w:eastAsiaTheme="minorEastAsia" w:cstheme="minorBidi"/>
          <w:sz w:val="22"/>
          <w:szCs w:val="22"/>
          <w:rtl/>
        </w:rPr>
      </w:pPr>
      <w:r>
        <w:rPr>
          <w:rtl/>
        </w:rPr>
        <w:t>ביאור רבינו יונה דאחר ההודאה חשיב שיש עידי מר"ק דאינו נאמן בלא עדים או חזקה</w:t>
      </w:r>
    </w:p>
    <w:p w:rsidR="0007171D" w:rsidRDefault="0007171D" w:rsidP="007E4E81">
      <w:pPr>
        <w:pStyle w:val="a"/>
        <w:rPr>
          <w:rFonts w:eastAsiaTheme="minorEastAsia" w:cstheme="minorBidi"/>
          <w:sz w:val="22"/>
          <w:szCs w:val="22"/>
          <w:rtl/>
        </w:rPr>
      </w:pPr>
      <w:r>
        <w:rPr>
          <w:rtl/>
        </w:rPr>
        <w:t>דברי הרשב"א דמוכח מדברי המחזיק והמערער שאין עדים למערער ובעדים אף מינך זביתה ל"מ</w:t>
      </w:r>
    </w:p>
    <w:p w:rsidR="0007171D" w:rsidRDefault="0007171D" w:rsidP="0007171D">
      <w:pPr>
        <w:pStyle w:val="aff4"/>
        <w:rPr>
          <w:rFonts w:eastAsiaTheme="minorEastAsia" w:cstheme="minorBidi"/>
          <w:i/>
          <w:iCs/>
          <w:noProof/>
          <w:sz w:val="22"/>
          <w:szCs w:val="22"/>
          <w:rtl/>
        </w:rPr>
      </w:pPr>
      <w:r>
        <w:rPr>
          <w:noProof/>
          <w:rtl/>
        </w:rPr>
        <w:t>דעת רבותיו של רבינו יונה דלא הודה המחזיק בפירוש למערער</w:t>
      </w:r>
    </w:p>
    <w:p w:rsidR="0007171D" w:rsidRDefault="0007171D" w:rsidP="007E4E81">
      <w:pPr>
        <w:pStyle w:val="a"/>
        <w:rPr>
          <w:rFonts w:eastAsiaTheme="minorEastAsia" w:cstheme="minorBidi"/>
          <w:sz w:val="22"/>
          <w:szCs w:val="22"/>
          <w:rtl/>
        </w:rPr>
      </w:pPr>
      <w:r>
        <w:rPr>
          <w:rtl/>
        </w:rPr>
        <w:t>דברי רבינו יונה בשם רבותיו דהודאת המחזיק היא דמשמע שכן היה ידוע לשניהם בזמן המכר</w:t>
      </w:r>
    </w:p>
    <w:p w:rsidR="0007171D" w:rsidRDefault="0007171D" w:rsidP="0007171D">
      <w:pPr>
        <w:pStyle w:val="aff4"/>
        <w:rPr>
          <w:rFonts w:eastAsiaTheme="minorEastAsia" w:cstheme="minorBidi"/>
          <w:i/>
          <w:iCs/>
          <w:noProof/>
          <w:sz w:val="22"/>
          <w:szCs w:val="22"/>
          <w:rtl/>
        </w:rPr>
      </w:pPr>
      <w:r>
        <w:rPr>
          <w:noProof/>
          <w:rtl/>
        </w:rPr>
        <w:t>דברי הרמב"ן ורבינו יונה דמפי המוכר ל"ה הודאה ונאמן כמוהו</w:t>
      </w:r>
    </w:p>
    <w:p w:rsidR="0007171D" w:rsidRDefault="0007171D" w:rsidP="007E4E81">
      <w:pPr>
        <w:pStyle w:val="a"/>
        <w:rPr>
          <w:rFonts w:eastAsiaTheme="minorEastAsia" w:cstheme="minorBidi"/>
          <w:sz w:val="22"/>
          <w:szCs w:val="22"/>
          <w:rtl/>
        </w:rPr>
      </w:pPr>
      <w:r>
        <w:rPr>
          <w:rtl/>
        </w:rPr>
        <w:t>דברי הרמב"ן ורבינו יונה דהודאה מפי המוכר ל"ה הודאה דהפה של המוכר שאסר הוא גם התיר</w:t>
      </w:r>
    </w:p>
    <w:p w:rsidR="0007171D" w:rsidRDefault="0007171D" w:rsidP="007E4E81">
      <w:pPr>
        <w:pStyle w:val="a"/>
        <w:rPr>
          <w:rFonts w:eastAsiaTheme="minorEastAsia" w:cstheme="minorBidi"/>
          <w:sz w:val="22"/>
          <w:szCs w:val="22"/>
        </w:rPr>
      </w:pPr>
      <w:r>
        <w:rPr>
          <w:rtl/>
        </w:rPr>
        <w:t>דברי רבינו יונה דכמו שהיה המוכר נאמן מדין הפה שאסר המחזיק שבא מכחו נאמן במה שא"ל</w:t>
      </w:r>
    </w:p>
    <w:p w:rsidR="0007171D" w:rsidRDefault="0007171D" w:rsidP="0007171D">
      <w:pPr>
        <w:pStyle w:val="aff4"/>
        <w:rPr>
          <w:rFonts w:eastAsiaTheme="minorEastAsia" w:cstheme="minorBidi"/>
          <w:i/>
          <w:iCs/>
          <w:noProof/>
          <w:sz w:val="22"/>
          <w:szCs w:val="22"/>
          <w:rtl/>
        </w:rPr>
      </w:pPr>
      <w:r>
        <w:rPr>
          <w:noProof/>
          <w:rtl/>
        </w:rPr>
        <w:t>ביאור הרמב"ן ורבינו יונה והרשב"א דהמחזיק הודה בעצמו</w:t>
      </w:r>
    </w:p>
    <w:p w:rsidR="0007171D" w:rsidRDefault="0007171D" w:rsidP="007E4E81">
      <w:pPr>
        <w:pStyle w:val="a"/>
        <w:rPr>
          <w:rFonts w:eastAsiaTheme="minorEastAsia" w:cstheme="minorBidi"/>
          <w:sz w:val="22"/>
          <w:szCs w:val="22"/>
          <w:rtl/>
        </w:rPr>
      </w:pPr>
      <w:r>
        <w:rPr>
          <w:rtl/>
        </w:rPr>
        <w:t>דברי הרמב"ן ורבינו יונה דהמחזיק הודה בעצמו ואין הספק שקנה המוכר מוציא מהמערער</w:t>
      </w:r>
    </w:p>
    <w:p w:rsidR="0007171D" w:rsidRDefault="0007171D" w:rsidP="0007171D">
      <w:pPr>
        <w:pStyle w:val="2"/>
        <w:rPr>
          <w:rFonts w:eastAsiaTheme="minorEastAsia" w:cstheme="minorBidi"/>
          <w:i/>
          <w:iCs/>
          <w:sz w:val="22"/>
          <w:szCs w:val="22"/>
          <w:rtl/>
        </w:rPr>
      </w:pPr>
      <w:r>
        <w:rPr>
          <w:rtl/>
        </w:rPr>
        <w:t>בי' הראשונים במה הודה המחזיק בדבריו</w:t>
      </w:r>
    </w:p>
    <w:p w:rsidR="0007171D" w:rsidRDefault="0007171D" w:rsidP="0007171D">
      <w:pPr>
        <w:pStyle w:val="aff4"/>
        <w:rPr>
          <w:rFonts w:eastAsiaTheme="minorEastAsia" w:cstheme="minorBidi"/>
          <w:i/>
          <w:iCs/>
          <w:noProof/>
          <w:sz w:val="22"/>
          <w:szCs w:val="22"/>
          <w:rtl/>
        </w:rPr>
      </w:pPr>
      <w:r>
        <w:rPr>
          <w:noProof/>
          <w:rtl/>
        </w:rPr>
        <w:t>ביאור רבינו יונה היאך כלולה ההודאה בדברי המחזיק</w:t>
      </w:r>
    </w:p>
    <w:p w:rsidR="0007171D" w:rsidRDefault="0007171D" w:rsidP="007E4E81">
      <w:pPr>
        <w:pStyle w:val="a"/>
        <w:rPr>
          <w:rFonts w:eastAsiaTheme="minorEastAsia" w:cstheme="minorBidi"/>
          <w:sz w:val="22"/>
          <w:szCs w:val="22"/>
          <w:rtl/>
        </w:rPr>
      </w:pPr>
      <w:r>
        <w:rPr>
          <w:rtl/>
        </w:rPr>
        <w:t>ביאור רבינו יונה דכשטען המערער למחזיק וכי אינך מודה לי ושתק המחזיק חשיב כהודאה</w:t>
      </w:r>
    </w:p>
    <w:p w:rsidR="0007171D" w:rsidRDefault="0007171D" w:rsidP="007E4E81">
      <w:pPr>
        <w:pStyle w:val="a"/>
        <w:rPr>
          <w:rFonts w:eastAsiaTheme="minorEastAsia" w:cstheme="minorBidi"/>
          <w:sz w:val="22"/>
          <w:szCs w:val="22"/>
          <w:rtl/>
        </w:rPr>
      </w:pPr>
      <w:r>
        <w:rPr>
          <w:rtl/>
        </w:rPr>
        <w:t>דברי רבינו יונה דיש גירסאות דגרסי ב' פעמים אמר ליה ומוכח דשתיקת המחזיק חשיבא הודאה</w:t>
      </w:r>
    </w:p>
    <w:p w:rsidR="0007171D" w:rsidRDefault="0007171D" w:rsidP="007E4E81">
      <w:pPr>
        <w:pStyle w:val="a"/>
        <w:rPr>
          <w:rFonts w:eastAsiaTheme="minorEastAsia" w:cstheme="minorBidi"/>
          <w:sz w:val="22"/>
          <w:szCs w:val="22"/>
          <w:rtl/>
        </w:rPr>
      </w:pPr>
      <w:r>
        <w:rPr>
          <w:rtl/>
        </w:rPr>
        <w:t>גירסת הרמ"ה דהמחזיק א"ל אין והודה בפירוש למחזיק ואין הספק שקנה המוכר מוציא מהודאי</w:t>
      </w:r>
    </w:p>
    <w:p w:rsidR="0007171D" w:rsidRDefault="0007171D" w:rsidP="0007171D">
      <w:pPr>
        <w:pStyle w:val="2"/>
        <w:rPr>
          <w:rFonts w:eastAsiaTheme="minorEastAsia" w:cstheme="minorBidi"/>
          <w:i/>
          <w:iCs/>
          <w:sz w:val="22"/>
          <w:szCs w:val="22"/>
          <w:rtl/>
        </w:rPr>
      </w:pPr>
      <w:r>
        <w:rPr>
          <w:rtl/>
        </w:rPr>
        <w:t>ד' הראב"ד דל"מ למחזיק הפה שאסר</w:t>
      </w:r>
    </w:p>
    <w:p w:rsidR="0007171D" w:rsidRDefault="0007171D" w:rsidP="0007171D">
      <w:pPr>
        <w:pStyle w:val="aff4"/>
        <w:rPr>
          <w:rFonts w:eastAsiaTheme="minorEastAsia" w:cstheme="minorBidi"/>
          <w:i/>
          <w:iCs/>
          <w:noProof/>
          <w:sz w:val="22"/>
          <w:szCs w:val="22"/>
          <w:rtl/>
        </w:rPr>
      </w:pPr>
      <w:r>
        <w:rPr>
          <w:noProof/>
          <w:rtl/>
        </w:rPr>
        <w:t>ביאור הראב"ד דבדברי המחזיק כלולה הודאה למערער</w:t>
      </w:r>
    </w:p>
    <w:p w:rsidR="0007171D" w:rsidRDefault="0007171D" w:rsidP="007E4E81">
      <w:pPr>
        <w:pStyle w:val="a"/>
        <w:rPr>
          <w:rFonts w:eastAsiaTheme="minorEastAsia" w:cstheme="minorBidi"/>
          <w:sz w:val="22"/>
          <w:szCs w:val="22"/>
          <w:rtl/>
        </w:rPr>
      </w:pPr>
      <w:r>
        <w:rPr>
          <w:rtl/>
        </w:rPr>
        <w:t>דברי הראב"ד דאין עדים למערער ואין חזקת ג"ש למחזיק אך צריך לברר מהי הודאת המחזיק</w:t>
      </w:r>
    </w:p>
    <w:p w:rsidR="0007171D" w:rsidRDefault="0007171D" w:rsidP="007E4E81">
      <w:pPr>
        <w:pStyle w:val="a"/>
        <w:rPr>
          <w:rFonts w:eastAsiaTheme="minorEastAsia" w:cstheme="minorBidi"/>
          <w:sz w:val="22"/>
          <w:szCs w:val="22"/>
          <w:rtl/>
        </w:rPr>
      </w:pPr>
      <w:r>
        <w:rPr>
          <w:rtl/>
        </w:rPr>
        <w:t>דברי הראב"ד דבדברי המערער משמע שההודאה כלולה בדברי המחזיק שהמוכר קנה מהמערער</w:t>
      </w:r>
    </w:p>
    <w:p w:rsidR="0007171D" w:rsidRDefault="0007171D" w:rsidP="0007171D">
      <w:pPr>
        <w:pStyle w:val="aff4"/>
        <w:rPr>
          <w:rFonts w:eastAsiaTheme="minorEastAsia" w:cstheme="minorBidi"/>
          <w:i/>
          <w:iCs/>
          <w:noProof/>
          <w:sz w:val="22"/>
          <w:szCs w:val="22"/>
          <w:rtl/>
        </w:rPr>
      </w:pPr>
      <w:r>
        <w:rPr>
          <w:noProof/>
          <w:rtl/>
        </w:rPr>
        <w:t>דברי הראב"ד דהמחזיק אינו נאמן מדין הפה שאסר</w:t>
      </w:r>
    </w:p>
    <w:p w:rsidR="0007171D" w:rsidRDefault="0007171D" w:rsidP="007E4E81">
      <w:pPr>
        <w:pStyle w:val="a"/>
        <w:rPr>
          <w:rFonts w:eastAsiaTheme="minorEastAsia" w:cstheme="minorBidi"/>
          <w:sz w:val="22"/>
          <w:szCs w:val="22"/>
          <w:rtl/>
        </w:rPr>
      </w:pPr>
      <w:r>
        <w:rPr>
          <w:rtl/>
        </w:rPr>
        <w:t>דברי הראב"ד דאין למחזיק הפה שאסר דעליו להאמין שהייתה של המערער ולא שקנה המוכר</w:t>
      </w:r>
    </w:p>
    <w:p w:rsidR="0007171D" w:rsidRDefault="0007171D" w:rsidP="007E4E81">
      <w:pPr>
        <w:pStyle w:val="a"/>
        <w:rPr>
          <w:rFonts w:eastAsiaTheme="minorEastAsia" w:cstheme="minorBidi"/>
          <w:sz w:val="22"/>
          <w:szCs w:val="22"/>
          <w:rtl/>
        </w:rPr>
      </w:pPr>
      <w:r>
        <w:rPr>
          <w:rtl/>
        </w:rPr>
        <w:t>דברי הראב"ד דהמערער טען למחזיק דעליך להאמין להודאת המוכר ולא לטענתו שקנה ממני</w:t>
      </w:r>
    </w:p>
    <w:p w:rsidR="0007171D" w:rsidRDefault="0007171D" w:rsidP="007E4E81">
      <w:pPr>
        <w:pStyle w:val="a"/>
        <w:rPr>
          <w:rFonts w:eastAsiaTheme="minorEastAsia" w:cstheme="minorBidi"/>
          <w:sz w:val="22"/>
          <w:szCs w:val="22"/>
          <w:rtl/>
        </w:rPr>
      </w:pPr>
      <w:r>
        <w:rPr>
          <w:rtl/>
        </w:rPr>
        <w:t>ביאור הרמב"ן בראב"ד דל"מ הפה שאסר כשאינו אוסר ומתיר מחמת ידיעתו ורק שמע כן</w:t>
      </w:r>
    </w:p>
    <w:p w:rsidR="0007171D" w:rsidRDefault="0007171D" w:rsidP="0007171D">
      <w:pPr>
        <w:pStyle w:val="aff4"/>
        <w:rPr>
          <w:rFonts w:eastAsiaTheme="minorEastAsia" w:cstheme="minorBidi"/>
          <w:i/>
          <w:iCs/>
          <w:noProof/>
          <w:sz w:val="22"/>
          <w:szCs w:val="22"/>
          <w:rtl/>
        </w:rPr>
      </w:pPr>
      <w:r>
        <w:rPr>
          <w:noProof/>
          <w:rtl/>
        </w:rPr>
        <w:t xml:space="preserve">דחיית הרמב"ן לראב"ד דבלא הודה </w:t>
      </w:r>
      <w:r>
        <w:rPr>
          <w:rFonts w:hint="cs"/>
          <w:noProof/>
          <w:rtl/>
        </w:rPr>
        <w:t>מעצמו</w:t>
      </w:r>
      <w:r>
        <w:rPr>
          <w:noProof/>
          <w:rtl/>
        </w:rPr>
        <w:t xml:space="preserve"> נ</w:t>
      </w:r>
      <w:r w:rsidRPr="005B32BA">
        <w:rPr>
          <w:rtl/>
        </w:rPr>
        <w:t>אמן במיגו</w:t>
      </w:r>
      <w:r w:rsidRPr="005B32BA">
        <w:rPr>
          <w:rFonts w:hint="cs"/>
          <w:rtl/>
        </w:rPr>
        <w:t xml:space="preserve"> דלהד"ם</w:t>
      </w:r>
    </w:p>
    <w:p w:rsidR="0007171D" w:rsidRDefault="0007171D" w:rsidP="007E4E81">
      <w:pPr>
        <w:pStyle w:val="a"/>
        <w:rPr>
          <w:rFonts w:eastAsiaTheme="minorEastAsia" w:cstheme="minorBidi"/>
          <w:sz w:val="22"/>
          <w:szCs w:val="22"/>
          <w:rtl/>
        </w:rPr>
      </w:pPr>
      <w:r>
        <w:rPr>
          <w:rtl/>
        </w:rPr>
        <w:t>דחיית הרמב"ן לדברי הראב"ד דכשמודה המחזיק מפי המוכר נאמן במיגו דלהד"ם כמו המוכר</w:t>
      </w:r>
    </w:p>
    <w:p w:rsidR="0007171D" w:rsidRDefault="0007171D" w:rsidP="007E4E81">
      <w:pPr>
        <w:pStyle w:val="a"/>
        <w:rPr>
          <w:rFonts w:eastAsiaTheme="minorEastAsia" w:cstheme="minorBidi"/>
          <w:sz w:val="22"/>
          <w:szCs w:val="22"/>
          <w:rtl/>
        </w:rPr>
      </w:pPr>
      <w:r>
        <w:rPr>
          <w:rtl/>
        </w:rPr>
        <w:t>דברי הרשב"א דאף שאינו אוסרו מידיעתו מ"מ נאמן מדין הפה שאסר דלא עדיף מטוען כן בב"ד</w:t>
      </w:r>
    </w:p>
    <w:p w:rsidR="0007171D" w:rsidRDefault="0007171D" w:rsidP="0007171D">
      <w:pPr>
        <w:pStyle w:val="2"/>
        <w:rPr>
          <w:rFonts w:eastAsiaTheme="minorEastAsia" w:cstheme="minorBidi"/>
          <w:i/>
          <w:iCs/>
          <w:sz w:val="22"/>
          <w:szCs w:val="22"/>
          <w:rtl/>
        </w:rPr>
      </w:pPr>
      <w:r>
        <w:rPr>
          <w:rtl/>
        </w:rPr>
        <w:t>בדין מיגו חוץ לב"ד</w:t>
      </w:r>
    </w:p>
    <w:p w:rsidR="0007171D" w:rsidRDefault="0007171D" w:rsidP="0007171D">
      <w:pPr>
        <w:pStyle w:val="aff4"/>
        <w:rPr>
          <w:rFonts w:eastAsiaTheme="minorEastAsia" w:cstheme="minorBidi"/>
          <w:i/>
          <w:iCs/>
          <w:noProof/>
          <w:sz w:val="22"/>
          <w:szCs w:val="22"/>
          <w:rtl/>
        </w:rPr>
      </w:pPr>
      <w:r>
        <w:rPr>
          <w:noProof/>
          <w:rtl/>
        </w:rPr>
        <w:t>פלוגתת האחרונים אי בסוגיין נאמן במיגו מחוץ לב"ד</w:t>
      </w:r>
    </w:p>
    <w:p w:rsidR="0007171D" w:rsidRDefault="0007171D" w:rsidP="007E4E81">
      <w:pPr>
        <w:pStyle w:val="a"/>
        <w:rPr>
          <w:rFonts w:eastAsiaTheme="minorEastAsia" w:cstheme="minorBidi"/>
          <w:sz w:val="22"/>
          <w:szCs w:val="22"/>
          <w:rtl/>
        </w:rPr>
      </w:pPr>
      <w:r>
        <w:rPr>
          <w:rtl/>
        </w:rPr>
        <w:t>דברי הסמ"ע דמחוץ לב"ד מקבלים רק את הודאתו לחובתו ולא מקבלים מיגו דטוען לזכותו</w:t>
      </w:r>
    </w:p>
    <w:p w:rsidR="0007171D" w:rsidRDefault="0007171D" w:rsidP="007E4E81">
      <w:pPr>
        <w:pStyle w:val="a"/>
        <w:rPr>
          <w:rFonts w:eastAsiaTheme="minorEastAsia" w:cstheme="minorBidi"/>
          <w:sz w:val="22"/>
          <w:szCs w:val="22"/>
          <w:rtl/>
        </w:rPr>
      </w:pPr>
      <w:r>
        <w:rPr>
          <w:rtl/>
        </w:rPr>
        <w:t>דברי התומים דבהודה מפי המוכר בפני עדים אין לו מיגו דלהד"ם דל"מ מיגו חוץ לב"ד</w:t>
      </w:r>
    </w:p>
    <w:p w:rsidR="0007171D" w:rsidRDefault="0007171D" w:rsidP="007E4E81">
      <w:pPr>
        <w:pStyle w:val="a"/>
        <w:rPr>
          <w:rFonts w:eastAsiaTheme="minorEastAsia" w:cstheme="minorBidi"/>
          <w:sz w:val="22"/>
          <w:szCs w:val="22"/>
          <w:rtl/>
        </w:rPr>
      </w:pPr>
      <w:r>
        <w:rPr>
          <w:rtl/>
        </w:rPr>
        <w:t>דברי הנתיה"מ דאף בהודה חוץ לב"ד מהני מיגו כדמוכח בכתובות ורק מיגו גרוע ל"מ חוץ לב"ד</w:t>
      </w:r>
    </w:p>
    <w:p w:rsidR="0007171D" w:rsidRDefault="0007171D" w:rsidP="007E4E81">
      <w:pPr>
        <w:pStyle w:val="a"/>
        <w:rPr>
          <w:rFonts w:eastAsiaTheme="minorEastAsia" w:cstheme="minorBidi"/>
          <w:sz w:val="22"/>
          <w:szCs w:val="22"/>
          <w:rtl/>
        </w:rPr>
      </w:pPr>
      <w:r>
        <w:rPr>
          <w:rtl/>
        </w:rPr>
        <w:t>דברי הגרעק"א דמיגו ל"מ מחוץ לב"ד אבל הפה שאסר מהני אף מחוץ לב"ד ולא חשיב שהודה</w:t>
      </w:r>
    </w:p>
    <w:p w:rsidR="0007171D" w:rsidRDefault="0007171D" w:rsidP="0007171D">
      <w:pPr>
        <w:pStyle w:val="2"/>
        <w:rPr>
          <w:rFonts w:eastAsiaTheme="minorEastAsia" w:cstheme="minorBidi"/>
          <w:i/>
          <w:iCs/>
          <w:sz w:val="22"/>
          <w:szCs w:val="22"/>
          <w:rtl/>
        </w:rPr>
      </w:pPr>
      <w:r>
        <w:rPr>
          <w:rtl/>
        </w:rPr>
        <w:t>במיגו דמינך זבינתה ומיגו דלהד"ם</w:t>
      </w:r>
    </w:p>
    <w:p w:rsidR="0007171D" w:rsidRDefault="0007171D" w:rsidP="0007171D">
      <w:pPr>
        <w:pStyle w:val="aff4"/>
        <w:rPr>
          <w:rFonts w:eastAsiaTheme="minorEastAsia" w:cstheme="minorBidi"/>
          <w:i/>
          <w:iCs/>
          <w:noProof/>
          <w:sz w:val="22"/>
          <w:szCs w:val="22"/>
          <w:rtl/>
        </w:rPr>
      </w:pPr>
      <w:r>
        <w:rPr>
          <w:noProof/>
          <w:rtl/>
        </w:rPr>
        <w:t>קושית הרשב"ם דהמחזיק יהיה נאמן במיגו דמינך זבינתה</w:t>
      </w:r>
    </w:p>
    <w:p w:rsidR="0007171D" w:rsidRDefault="0007171D" w:rsidP="007E4E81">
      <w:pPr>
        <w:pStyle w:val="a"/>
        <w:rPr>
          <w:rFonts w:eastAsiaTheme="minorEastAsia" w:cstheme="minorBidi"/>
          <w:sz w:val="22"/>
          <w:szCs w:val="22"/>
          <w:rtl/>
        </w:rPr>
      </w:pPr>
      <w:r>
        <w:rPr>
          <w:rtl/>
        </w:rPr>
        <w:t>קושית הרשב"ם דהמחזיק יהיה נאמן דכך א"ל המוכר במיגו דמינך זבינתה דהא אין עידי מר"ק</w:t>
      </w:r>
    </w:p>
    <w:p w:rsidR="0007171D" w:rsidRDefault="0007171D" w:rsidP="0007171D">
      <w:pPr>
        <w:pStyle w:val="aff4"/>
        <w:rPr>
          <w:rFonts w:eastAsiaTheme="minorEastAsia" w:cstheme="minorBidi"/>
          <w:i/>
          <w:iCs/>
          <w:noProof/>
          <w:sz w:val="22"/>
          <w:szCs w:val="22"/>
          <w:rtl/>
        </w:rPr>
      </w:pPr>
      <w:r>
        <w:rPr>
          <w:noProof/>
          <w:rtl/>
        </w:rPr>
        <w:t>דברי הרשב"ם דכיון שהוא מסופק ל"מ לו מיגו שקנה מהמר"ק</w:t>
      </w:r>
    </w:p>
    <w:p w:rsidR="0007171D" w:rsidRDefault="0007171D" w:rsidP="007E4E81">
      <w:pPr>
        <w:pStyle w:val="a"/>
        <w:rPr>
          <w:rFonts w:eastAsiaTheme="minorEastAsia" w:cstheme="minorBidi"/>
          <w:sz w:val="22"/>
          <w:szCs w:val="22"/>
          <w:rtl/>
        </w:rPr>
      </w:pPr>
      <w:r>
        <w:rPr>
          <w:rtl/>
        </w:rPr>
        <w:t>תירוץ הרשב"ם דל"מ מיגו למחזיק כיון שהוא עצמו אינו יודע אי המוכר קנה מהמערער</w:t>
      </w:r>
    </w:p>
    <w:p w:rsidR="0007171D" w:rsidRDefault="0007171D" w:rsidP="007E4E81">
      <w:pPr>
        <w:pStyle w:val="a"/>
        <w:rPr>
          <w:rFonts w:eastAsiaTheme="minorEastAsia" w:cstheme="minorBidi"/>
          <w:sz w:val="22"/>
          <w:szCs w:val="22"/>
          <w:rtl/>
        </w:rPr>
      </w:pPr>
      <w:r>
        <w:rPr>
          <w:rtl/>
        </w:rPr>
        <w:t>ביאור הרא"ש ברשב"ם דמיגו מהני רק בב' טענות שאחת טובה יותר והכא נשאר המחזיק בספק</w:t>
      </w:r>
    </w:p>
    <w:p w:rsidR="0007171D" w:rsidRDefault="0007171D" w:rsidP="007E4E81">
      <w:pPr>
        <w:pStyle w:val="a"/>
        <w:rPr>
          <w:rFonts w:eastAsiaTheme="minorEastAsia" w:cstheme="minorBidi"/>
          <w:sz w:val="22"/>
          <w:szCs w:val="22"/>
          <w:rtl/>
        </w:rPr>
      </w:pPr>
      <w:r>
        <w:rPr>
          <w:rtl/>
        </w:rPr>
        <w:t>קושית הרא"ש על הרשב"ם דלא משמע דהודה בפירוש ואמאי אינו נאמן במיגו דלהד"ם</w:t>
      </w:r>
    </w:p>
    <w:p w:rsidR="0007171D" w:rsidRDefault="0007171D" w:rsidP="0007171D">
      <w:pPr>
        <w:pStyle w:val="aff4"/>
        <w:rPr>
          <w:rFonts w:eastAsiaTheme="minorEastAsia" w:cstheme="minorBidi"/>
          <w:i/>
          <w:iCs/>
          <w:noProof/>
          <w:sz w:val="22"/>
          <w:szCs w:val="22"/>
          <w:rtl/>
        </w:rPr>
      </w:pPr>
      <w:r>
        <w:rPr>
          <w:noProof/>
          <w:rtl/>
        </w:rPr>
        <w:t>קושית הרא"ש על הרשב"ם דהמחזיק יהיה נאמן במיגו דלהד"ם</w:t>
      </w:r>
    </w:p>
    <w:p w:rsidR="0007171D" w:rsidRDefault="0007171D" w:rsidP="007E4E81">
      <w:pPr>
        <w:pStyle w:val="a"/>
        <w:rPr>
          <w:rFonts w:eastAsiaTheme="minorEastAsia" w:cstheme="minorBidi"/>
          <w:sz w:val="22"/>
          <w:szCs w:val="22"/>
          <w:rtl/>
        </w:rPr>
      </w:pPr>
      <w:r>
        <w:rPr>
          <w:rtl/>
        </w:rPr>
        <w:t>קושית הרא"ש על הרשב"ם דכיון שהמוכר היה נאמן במיגו דלהד"ם המחזיק שמכחו ג"כ נאמן</w:t>
      </w:r>
    </w:p>
    <w:p w:rsidR="0007171D" w:rsidRDefault="0007171D" w:rsidP="007E4E81">
      <w:pPr>
        <w:pStyle w:val="a"/>
        <w:rPr>
          <w:rFonts w:eastAsiaTheme="minorEastAsia" w:cstheme="minorBidi"/>
          <w:sz w:val="22"/>
          <w:szCs w:val="22"/>
          <w:rtl/>
        </w:rPr>
      </w:pPr>
      <w:r>
        <w:rPr>
          <w:rtl/>
        </w:rPr>
        <w:t>דברי הרא"ש בשם רבינו יונה דאיירי שהמחזיק הודה מעצמו ולכן אין ספק מוציא מידי ודאי</w:t>
      </w:r>
    </w:p>
    <w:p w:rsidR="0007171D" w:rsidRDefault="0007171D" w:rsidP="0007171D">
      <w:pPr>
        <w:pStyle w:val="aff4"/>
        <w:rPr>
          <w:rFonts w:eastAsiaTheme="minorEastAsia" w:cstheme="minorBidi"/>
          <w:i/>
          <w:iCs/>
          <w:noProof/>
          <w:sz w:val="22"/>
          <w:szCs w:val="22"/>
          <w:rtl/>
        </w:rPr>
      </w:pPr>
      <w:r>
        <w:rPr>
          <w:noProof/>
          <w:rtl/>
        </w:rPr>
        <w:t>ביאור הרא"ש דהמחזיק ירא לטעון טענת להד"ם ואין לו מיגו</w:t>
      </w:r>
    </w:p>
    <w:p w:rsidR="0007171D" w:rsidRDefault="0007171D" w:rsidP="007E4E81">
      <w:pPr>
        <w:pStyle w:val="a"/>
        <w:rPr>
          <w:rFonts w:eastAsiaTheme="minorEastAsia" w:cstheme="minorBidi"/>
          <w:sz w:val="22"/>
          <w:szCs w:val="22"/>
          <w:rtl/>
        </w:rPr>
      </w:pPr>
      <w:r>
        <w:rPr>
          <w:rtl/>
        </w:rPr>
        <w:t>דברי הרא"ש דהמחזיק ירא לטעון להד"ם שמא יש לו עדים ואף שהמוכר נאמן אין המחזיק נאמן</w:t>
      </w:r>
    </w:p>
    <w:p w:rsidR="0007171D" w:rsidRDefault="0007171D" w:rsidP="0007171D">
      <w:pPr>
        <w:pStyle w:val="aff4"/>
        <w:rPr>
          <w:rFonts w:eastAsiaTheme="minorEastAsia" w:cstheme="minorBidi"/>
          <w:i/>
          <w:iCs/>
          <w:noProof/>
          <w:sz w:val="22"/>
          <w:szCs w:val="22"/>
          <w:rtl/>
        </w:rPr>
      </w:pPr>
      <w:r>
        <w:rPr>
          <w:noProof/>
          <w:rtl/>
        </w:rPr>
        <w:t>קו' המהרי"ט על הרא"ש דהמיגו מהני מחמת המוכר שהיה נאמן</w:t>
      </w:r>
    </w:p>
    <w:p w:rsidR="0007171D" w:rsidRDefault="0007171D" w:rsidP="007E4E81">
      <w:pPr>
        <w:pStyle w:val="a"/>
        <w:rPr>
          <w:rFonts w:eastAsiaTheme="minorEastAsia" w:cstheme="minorBidi"/>
          <w:sz w:val="22"/>
          <w:szCs w:val="22"/>
          <w:rtl/>
        </w:rPr>
      </w:pPr>
      <w:r>
        <w:rPr>
          <w:rtl/>
        </w:rPr>
        <w:t>קושית המהרי"ט דהלוקח שאינו טוען ודאי דל"מ לו מיגו דלהד"ם והקו' דאמאי לא טענינן ליה</w:t>
      </w:r>
    </w:p>
    <w:p w:rsidR="0007171D" w:rsidRDefault="0007171D" w:rsidP="007E4E81">
      <w:pPr>
        <w:pStyle w:val="a"/>
        <w:rPr>
          <w:rFonts w:eastAsiaTheme="minorEastAsia" w:cstheme="minorBidi"/>
          <w:sz w:val="22"/>
          <w:szCs w:val="22"/>
          <w:rtl/>
        </w:rPr>
      </w:pPr>
      <w:r>
        <w:rPr>
          <w:rtl/>
        </w:rPr>
        <w:t>דברי המהרי"ט דברא"ש מוכח דלא מהני מיגו למחזיק ולא חשדינן דמשקר שכך אמר המוכר</w:t>
      </w:r>
    </w:p>
    <w:p w:rsidR="0007171D" w:rsidRDefault="0007171D" w:rsidP="007E4E81">
      <w:pPr>
        <w:pStyle w:val="a"/>
        <w:rPr>
          <w:rFonts w:eastAsiaTheme="minorEastAsia" w:cstheme="minorBidi"/>
          <w:sz w:val="22"/>
          <w:szCs w:val="22"/>
          <w:rtl/>
        </w:rPr>
      </w:pPr>
      <w:r>
        <w:rPr>
          <w:rtl/>
        </w:rPr>
        <w:t>דברי המהרי"ט דהיה אפש"ל דכוונת הרא"ש להקשות ע"ד הרשב"ם בדין עידי חד יומא</w:t>
      </w:r>
    </w:p>
    <w:p w:rsidR="0007171D" w:rsidRDefault="0007171D" w:rsidP="0007171D">
      <w:pPr>
        <w:pStyle w:val="aff4"/>
        <w:rPr>
          <w:rFonts w:eastAsiaTheme="minorEastAsia" w:cstheme="minorBidi"/>
          <w:i/>
          <w:iCs/>
          <w:noProof/>
          <w:sz w:val="22"/>
          <w:szCs w:val="22"/>
          <w:rtl/>
        </w:rPr>
      </w:pPr>
      <w:r>
        <w:rPr>
          <w:noProof/>
          <w:rtl/>
        </w:rPr>
        <w:t>ביאור הפלפולא חריפתא דכוונת הרא"ש דא"א לומר טענינן</w:t>
      </w:r>
    </w:p>
    <w:p w:rsidR="0007171D" w:rsidRDefault="0007171D" w:rsidP="007E4E81">
      <w:pPr>
        <w:pStyle w:val="a"/>
        <w:rPr>
          <w:rFonts w:eastAsiaTheme="minorEastAsia" w:cstheme="minorBidi"/>
          <w:sz w:val="22"/>
          <w:szCs w:val="22"/>
          <w:rtl/>
        </w:rPr>
      </w:pPr>
      <w:r>
        <w:rPr>
          <w:rtl/>
        </w:rPr>
        <w:t>ביאור הפלפולא חריפתא ברא"ש דלמוכר אין עדיפות בא' מהטענות והמחזיק ירא לטעון להד"ם</w:t>
      </w:r>
    </w:p>
    <w:p w:rsidR="0007171D" w:rsidRDefault="0007171D" w:rsidP="007E4E81">
      <w:pPr>
        <w:pStyle w:val="a"/>
        <w:rPr>
          <w:rFonts w:eastAsiaTheme="minorEastAsia" w:cstheme="minorBidi"/>
          <w:sz w:val="22"/>
          <w:szCs w:val="22"/>
        </w:rPr>
      </w:pPr>
      <w:r>
        <w:rPr>
          <w:rtl/>
        </w:rPr>
        <w:t>דברי הפלפולא חריפתא דטענינן הוא רק כשהלוקח ג"כ יכול לטעון ורק אינו יודע מה לטעון</w:t>
      </w:r>
    </w:p>
    <w:p w:rsidR="0007171D" w:rsidRDefault="0007171D" w:rsidP="0007171D">
      <w:pPr>
        <w:pStyle w:val="aff4"/>
        <w:rPr>
          <w:rFonts w:eastAsiaTheme="minorEastAsia" w:cstheme="minorBidi"/>
          <w:i/>
          <w:iCs/>
          <w:noProof/>
          <w:sz w:val="22"/>
          <w:szCs w:val="22"/>
          <w:rtl/>
        </w:rPr>
      </w:pPr>
      <w:r>
        <w:rPr>
          <w:noProof/>
          <w:rtl/>
        </w:rPr>
        <w:t>ביאור המשל"מ ברא"ש דבלא הודה בפירוש נאמן כמוכר</w:t>
      </w:r>
    </w:p>
    <w:p w:rsidR="0007171D" w:rsidRDefault="0007171D" w:rsidP="007E4E81">
      <w:pPr>
        <w:pStyle w:val="a"/>
        <w:rPr>
          <w:rFonts w:eastAsiaTheme="minorEastAsia" w:cstheme="minorBidi"/>
          <w:sz w:val="22"/>
          <w:szCs w:val="22"/>
          <w:rtl/>
        </w:rPr>
      </w:pPr>
      <w:r>
        <w:rPr>
          <w:rtl/>
        </w:rPr>
        <w:t>הביאור הא' במשל"מ דקושית הרא"ש דבעידי חד יומא יהיה המחזיק נאמן מדין טענינן</w:t>
      </w:r>
    </w:p>
    <w:p w:rsidR="0007171D" w:rsidRDefault="0007171D" w:rsidP="007E4E81">
      <w:pPr>
        <w:pStyle w:val="a"/>
        <w:rPr>
          <w:rFonts w:eastAsiaTheme="minorEastAsia" w:cstheme="minorBidi"/>
          <w:sz w:val="22"/>
          <w:szCs w:val="22"/>
          <w:rtl/>
        </w:rPr>
      </w:pPr>
      <w:r>
        <w:rPr>
          <w:rtl/>
        </w:rPr>
        <w:t>ביאור המשל"מ בקו' הרא"ש על הרשב"ם דהודה המחזיק מפי המוכר והרי המוכר נאמן במיגו</w:t>
      </w:r>
    </w:p>
    <w:p w:rsidR="0007171D" w:rsidRDefault="0007171D" w:rsidP="007E4E81">
      <w:pPr>
        <w:pStyle w:val="a"/>
        <w:rPr>
          <w:rFonts w:eastAsiaTheme="minorEastAsia" w:cstheme="minorBidi"/>
          <w:sz w:val="22"/>
          <w:szCs w:val="22"/>
          <w:rtl/>
        </w:rPr>
      </w:pPr>
      <w:r>
        <w:rPr>
          <w:rtl/>
        </w:rPr>
        <w:t>דברי המשל"מ דהרא"ש הקשה על הרשב"ם כקו' הרמב"ן על הראב"ד דהמחזיק נאמן כמוכר</w:t>
      </w:r>
    </w:p>
    <w:p w:rsidR="0007171D" w:rsidRDefault="0007171D" w:rsidP="007E4E81">
      <w:pPr>
        <w:pStyle w:val="a"/>
        <w:rPr>
          <w:rFonts w:eastAsiaTheme="minorEastAsia" w:cstheme="minorBidi"/>
          <w:sz w:val="22"/>
          <w:szCs w:val="22"/>
          <w:rtl/>
        </w:rPr>
      </w:pPr>
      <w:r>
        <w:rPr>
          <w:rtl/>
        </w:rPr>
        <w:t>ביאור המשל"מ ברא"ש דלדברי רבינו יונה מיושב דהודה המחזיק ול"מ מיגו דהוא ספק וודאי</w:t>
      </w:r>
    </w:p>
    <w:p w:rsidR="0007171D" w:rsidRDefault="0007171D" w:rsidP="007E4E81">
      <w:pPr>
        <w:pStyle w:val="a"/>
        <w:rPr>
          <w:rFonts w:eastAsiaTheme="minorEastAsia" w:cstheme="minorBidi"/>
          <w:sz w:val="22"/>
          <w:szCs w:val="22"/>
          <w:rtl/>
        </w:rPr>
      </w:pPr>
      <w:r>
        <w:rPr>
          <w:rtl/>
        </w:rPr>
        <w:lastRenderedPageBreak/>
        <w:t>ביאור המשל"מ ברא"ש דאין למחזיק מיגו וא"כ אין הוכחה לדברי רבינו יונה דהודה המחזיק</w:t>
      </w:r>
    </w:p>
    <w:p w:rsidR="0007171D" w:rsidRDefault="0007171D" w:rsidP="0007171D">
      <w:pPr>
        <w:pStyle w:val="aff4"/>
        <w:rPr>
          <w:rFonts w:eastAsiaTheme="minorEastAsia" w:cstheme="minorBidi"/>
          <w:i/>
          <w:iCs/>
          <w:noProof/>
          <w:sz w:val="22"/>
          <w:szCs w:val="22"/>
          <w:rtl/>
        </w:rPr>
      </w:pPr>
      <w:r>
        <w:rPr>
          <w:noProof/>
          <w:rtl/>
        </w:rPr>
        <w:t>ביאור המשל"מ בפלוגתת הרא"ש והרמב"ן במיגו דלהד"ם</w:t>
      </w:r>
    </w:p>
    <w:p w:rsidR="0007171D" w:rsidRDefault="0007171D" w:rsidP="007E4E81">
      <w:pPr>
        <w:pStyle w:val="a"/>
        <w:rPr>
          <w:rFonts w:eastAsiaTheme="minorEastAsia" w:cstheme="minorBidi"/>
          <w:sz w:val="22"/>
          <w:szCs w:val="22"/>
          <w:rtl/>
        </w:rPr>
      </w:pPr>
      <w:r>
        <w:rPr>
          <w:rtl/>
        </w:rPr>
        <w:t>ביאור המשל"מ דהא דהמחזיק אינו נאמן במה שא"ל המוכר ולא במה שאומר שקנה מהמוכר</w:t>
      </w:r>
    </w:p>
    <w:p w:rsidR="0007171D" w:rsidRDefault="0007171D" w:rsidP="007E4E81">
      <w:pPr>
        <w:pStyle w:val="a"/>
        <w:rPr>
          <w:rFonts w:eastAsiaTheme="minorEastAsia" w:cstheme="minorBidi"/>
          <w:sz w:val="22"/>
          <w:szCs w:val="22"/>
          <w:rtl/>
        </w:rPr>
      </w:pPr>
      <w:r>
        <w:rPr>
          <w:rtl/>
        </w:rPr>
        <w:t>דברי המשל"מ דנח' הרמב"ן והרא"ש אי המחזיק נאמן שכך אמר לו המוכר במיגו דלהד"ם</w:t>
      </w:r>
    </w:p>
    <w:p w:rsidR="0007171D" w:rsidRDefault="0007171D" w:rsidP="007E4E81">
      <w:pPr>
        <w:pStyle w:val="a"/>
        <w:rPr>
          <w:rFonts w:eastAsiaTheme="minorEastAsia" w:cstheme="minorBidi"/>
          <w:sz w:val="22"/>
          <w:szCs w:val="22"/>
          <w:rtl/>
        </w:rPr>
      </w:pPr>
      <w:r>
        <w:rPr>
          <w:rtl/>
        </w:rPr>
        <w:t>דברי המשל"מ דכל המח' היא רק באופן שאמר שקנה מהמוכר שא"ל שקנה מהמערער</w:t>
      </w:r>
    </w:p>
    <w:p w:rsidR="0007171D" w:rsidRDefault="0007171D" w:rsidP="007E4E81">
      <w:pPr>
        <w:pStyle w:val="a"/>
        <w:rPr>
          <w:rFonts w:eastAsiaTheme="minorEastAsia" w:cstheme="minorBidi"/>
          <w:sz w:val="22"/>
          <w:szCs w:val="22"/>
          <w:rtl/>
        </w:rPr>
      </w:pPr>
      <w:r>
        <w:rPr>
          <w:rtl/>
        </w:rPr>
        <w:t>קושית המשל"מ על הרא"ש דאמאי אינו נאמן במיגו דהיה אומר רק שקנה מהמוכר ולא מוסיף</w:t>
      </w:r>
    </w:p>
    <w:p w:rsidR="0007171D" w:rsidRDefault="0007171D" w:rsidP="0007171D">
      <w:pPr>
        <w:pStyle w:val="aff4"/>
        <w:rPr>
          <w:rFonts w:eastAsiaTheme="minorEastAsia" w:cstheme="minorBidi"/>
          <w:i/>
          <w:iCs/>
          <w:noProof/>
          <w:sz w:val="22"/>
          <w:szCs w:val="22"/>
          <w:rtl/>
        </w:rPr>
      </w:pPr>
      <w:r>
        <w:rPr>
          <w:noProof/>
          <w:rtl/>
        </w:rPr>
        <w:t>ביאור הב"ח ברא"ש דאף שלא הודה בפירוש ל"מ לו שום מיגו</w:t>
      </w:r>
    </w:p>
    <w:p w:rsidR="0007171D" w:rsidRDefault="0007171D" w:rsidP="007E4E81">
      <w:pPr>
        <w:pStyle w:val="a"/>
        <w:rPr>
          <w:rFonts w:eastAsiaTheme="minorEastAsia" w:cstheme="minorBidi"/>
          <w:sz w:val="22"/>
          <w:szCs w:val="22"/>
          <w:rtl/>
        </w:rPr>
      </w:pPr>
      <w:r>
        <w:rPr>
          <w:rtl/>
        </w:rPr>
        <w:t>קושית הב"ח על הרא"ש דבלא הודה יש לו מיגו דמינך זבינתה ומיגו דקמי דידי זבנה מינך</w:t>
      </w:r>
    </w:p>
    <w:p w:rsidR="0007171D" w:rsidRDefault="0007171D" w:rsidP="007E4E81">
      <w:pPr>
        <w:pStyle w:val="a"/>
        <w:rPr>
          <w:rFonts w:eastAsiaTheme="minorEastAsia" w:cstheme="minorBidi"/>
          <w:sz w:val="22"/>
          <w:szCs w:val="22"/>
          <w:rtl/>
        </w:rPr>
      </w:pPr>
      <w:r>
        <w:rPr>
          <w:rtl/>
        </w:rPr>
        <w:t>תי' הב"ח ברא"ש דבלי עידי חד יומא וקמי דידי טענתו דהמוכר קנאה אינה טענה אף בחזקה</w:t>
      </w:r>
    </w:p>
    <w:p w:rsidR="0007171D" w:rsidRDefault="0007171D" w:rsidP="007E4E81">
      <w:pPr>
        <w:pStyle w:val="a"/>
        <w:rPr>
          <w:rFonts w:eastAsiaTheme="minorEastAsia" w:cstheme="minorBidi"/>
          <w:sz w:val="22"/>
          <w:szCs w:val="22"/>
          <w:rtl/>
        </w:rPr>
      </w:pPr>
      <w:r>
        <w:rPr>
          <w:rtl/>
        </w:rPr>
        <w:t>עוד תי' הב"ח דכח המחזיק הוא מהמיגו דמוכר וכיון דלמחזיק ל"מ המיגו ל"מ אף מיגו אחר</w:t>
      </w:r>
    </w:p>
    <w:p w:rsidR="0007171D" w:rsidRDefault="0007171D" w:rsidP="007E4E81">
      <w:pPr>
        <w:pStyle w:val="a"/>
        <w:rPr>
          <w:rFonts w:eastAsiaTheme="minorEastAsia" w:cstheme="minorBidi"/>
          <w:sz w:val="22"/>
          <w:szCs w:val="22"/>
          <w:rtl/>
        </w:rPr>
      </w:pPr>
      <w:r>
        <w:rPr>
          <w:rtl/>
        </w:rPr>
        <w:t>עוד תי' הב"ח דבאומר שקנה מהמוכר לא מעיז ול"מ מיגו דקמי דידי ומינך זבינתה דמעיז</w:t>
      </w:r>
    </w:p>
    <w:p w:rsidR="0007171D" w:rsidRDefault="0007171D" w:rsidP="007E4E81">
      <w:pPr>
        <w:pStyle w:val="a"/>
        <w:rPr>
          <w:rFonts w:eastAsiaTheme="minorEastAsia" w:cstheme="minorBidi"/>
          <w:sz w:val="22"/>
          <w:szCs w:val="22"/>
          <w:rtl/>
        </w:rPr>
      </w:pPr>
      <w:r>
        <w:rPr>
          <w:rtl/>
        </w:rPr>
        <w:t>דחיית הב"ח דברא"ש וברשב"ם משמע דאין חסרון דבמיגו דמעיז דהחזקה מסייעת לו להעיז</w:t>
      </w:r>
    </w:p>
    <w:p w:rsidR="0007171D" w:rsidRDefault="0007171D" w:rsidP="0007171D">
      <w:pPr>
        <w:pStyle w:val="2"/>
        <w:rPr>
          <w:rFonts w:eastAsiaTheme="minorEastAsia" w:cstheme="minorBidi"/>
          <w:i/>
          <w:iCs/>
          <w:sz w:val="22"/>
          <w:szCs w:val="22"/>
          <w:rtl/>
        </w:rPr>
      </w:pPr>
      <w:r>
        <w:rPr>
          <w:rtl/>
        </w:rPr>
        <w:t>אי המחזיק גובה מעותיו מהמוכר</w:t>
      </w:r>
    </w:p>
    <w:p w:rsidR="0007171D" w:rsidRDefault="0007171D" w:rsidP="0007171D">
      <w:pPr>
        <w:pStyle w:val="aff4"/>
        <w:rPr>
          <w:rFonts w:eastAsiaTheme="minorEastAsia" w:cstheme="minorBidi"/>
          <w:i/>
          <w:iCs/>
          <w:noProof/>
          <w:sz w:val="22"/>
          <w:szCs w:val="22"/>
          <w:rtl/>
        </w:rPr>
      </w:pPr>
      <w:r>
        <w:rPr>
          <w:noProof/>
          <w:rtl/>
        </w:rPr>
        <w:t>דברי הרשב"ם דהמחזיק גובה את מעותיו מהמוכר</w:t>
      </w:r>
    </w:p>
    <w:p w:rsidR="0007171D" w:rsidRDefault="0007171D" w:rsidP="007E4E81">
      <w:pPr>
        <w:pStyle w:val="a"/>
        <w:rPr>
          <w:rFonts w:eastAsiaTheme="minorEastAsia" w:cstheme="minorBidi"/>
          <w:sz w:val="22"/>
          <w:szCs w:val="22"/>
          <w:rtl/>
        </w:rPr>
      </w:pPr>
      <w:r>
        <w:rPr>
          <w:rtl/>
        </w:rPr>
        <w:t>דברי הרשב"ם דהמחזיק גובה מעותיו מהמערער דחשיב שהכיר בזמן הקנין שאינה של המוכר</w:t>
      </w:r>
    </w:p>
    <w:p w:rsidR="0007171D" w:rsidRDefault="0007171D" w:rsidP="0007171D">
      <w:pPr>
        <w:pStyle w:val="aff4"/>
        <w:rPr>
          <w:rFonts w:eastAsiaTheme="minorEastAsia" w:cstheme="minorBidi"/>
          <w:i/>
          <w:iCs/>
          <w:noProof/>
          <w:sz w:val="22"/>
          <w:szCs w:val="22"/>
          <w:rtl/>
        </w:rPr>
      </w:pPr>
      <w:r>
        <w:rPr>
          <w:noProof/>
          <w:rtl/>
        </w:rPr>
        <w:t>דעת רבינו יונה דאין המחזיק גובה מעותיו מהמוכר</w:t>
      </w:r>
    </w:p>
    <w:p w:rsidR="0007171D" w:rsidRDefault="0007171D" w:rsidP="007E4E81">
      <w:pPr>
        <w:pStyle w:val="a"/>
        <w:rPr>
          <w:rFonts w:eastAsiaTheme="minorEastAsia" w:cstheme="minorBidi"/>
          <w:sz w:val="22"/>
          <w:szCs w:val="22"/>
          <w:rtl/>
        </w:rPr>
      </w:pPr>
      <w:r>
        <w:rPr>
          <w:rtl/>
        </w:rPr>
        <w:t>דברי רבינו יונה דאף באחריות א"צ המוכר לשלם למחזיק דלמוכר יש מיגו ולא היה לו להודות</w:t>
      </w:r>
    </w:p>
    <w:p w:rsidR="0007171D" w:rsidRDefault="0007171D" w:rsidP="007E4E81">
      <w:pPr>
        <w:pStyle w:val="a"/>
        <w:rPr>
          <w:rFonts w:eastAsiaTheme="minorEastAsia" w:cstheme="minorBidi"/>
          <w:sz w:val="22"/>
          <w:szCs w:val="22"/>
          <w:rtl/>
        </w:rPr>
      </w:pPr>
      <w:r>
        <w:rPr>
          <w:rtl/>
        </w:rPr>
        <w:t>ביאור הטור ברבינו יונה דפשע המחזיק שהודה דא"ל המוכר ובלא"ה היה המוכר נפטר מהמערער</w:t>
      </w:r>
    </w:p>
    <w:p w:rsidR="0007171D" w:rsidRDefault="0007171D" w:rsidP="007E4E81">
      <w:pPr>
        <w:pStyle w:val="a"/>
        <w:rPr>
          <w:rFonts w:eastAsiaTheme="minorEastAsia" w:cstheme="minorBidi"/>
          <w:sz w:val="22"/>
          <w:szCs w:val="22"/>
          <w:rtl/>
        </w:rPr>
      </w:pPr>
      <w:r>
        <w:rPr>
          <w:rtl/>
        </w:rPr>
        <w:t>דברי התומים דלרבינו יונה דהודה בפירוש א"צ לשלם לו אך להרא"ש צריך המוכר לשלם לו</w:t>
      </w:r>
    </w:p>
    <w:p w:rsidR="0007171D" w:rsidRDefault="0007171D" w:rsidP="007E4E81">
      <w:pPr>
        <w:pStyle w:val="a"/>
        <w:rPr>
          <w:rFonts w:eastAsiaTheme="minorEastAsia" w:cstheme="minorBidi"/>
          <w:sz w:val="22"/>
          <w:szCs w:val="22"/>
          <w:rtl/>
        </w:rPr>
      </w:pPr>
      <w:r>
        <w:rPr>
          <w:rtl/>
        </w:rPr>
        <w:t>דברי הנתיה"מ דאף להרא"ש דהודה מפי המוכר אומר לו המוכר דלא היה צריך לומר שכך א"ל</w:t>
      </w:r>
    </w:p>
    <w:p w:rsidR="0007171D" w:rsidRDefault="0007171D" w:rsidP="0007171D">
      <w:pPr>
        <w:pStyle w:val="aff4"/>
        <w:rPr>
          <w:rFonts w:eastAsiaTheme="minorEastAsia" w:cstheme="minorBidi"/>
          <w:i/>
          <w:iCs/>
          <w:noProof/>
          <w:sz w:val="22"/>
          <w:szCs w:val="22"/>
          <w:rtl/>
        </w:rPr>
      </w:pPr>
      <w:r>
        <w:rPr>
          <w:noProof/>
          <w:rtl/>
        </w:rPr>
        <w:t>דברי התורי"ד דהמחזיק הפסיד לעצמו שלא ביקש שטר</w:t>
      </w:r>
    </w:p>
    <w:p w:rsidR="0007171D" w:rsidRDefault="0007171D" w:rsidP="007E4E81">
      <w:pPr>
        <w:pStyle w:val="a"/>
        <w:rPr>
          <w:rFonts w:eastAsiaTheme="minorEastAsia" w:cstheme="minorBidi"/>
          <w:sz w:val="22"/>
          <w:szCs w:val="22"/>
          <w:rtl/>
        </w:rPr>
      </w:pPr>
      <w:r>
        <w:rPr>
          <w:rtl/>
        </w:rPr>
        <w:t>קושית התורי"ד על הרשב"ם דמה שהמחזיק אינו יודע לטעון אי"ז מחייב את המוכר דבאמת קנה</w:t>
      </w:r>
    </w:p>
    <w:p w:rsidR="0007171D" w:rsidRDefault="0007171D" w:rsidP="007E4E81">
      <w:pPr>
        <w:pStyle w:val="a"/>
        <w:rPr>
          <w:rFonts w:eastAsiaTheme="minorEastAsia" w:cstheme="minorBidi"/>
          <w:sz w:val="22"/>
          <w:szCs w:val="22"/>
          <w:rtl/>
        </w:rPr>
      </w:pPr>
      <w:r>
        <w:rPr>
          <w:rtl/>
        </w:rPr>
        <w:t>דברי התורי"ד דאף באחריות פטור המוכר דאומר ללוקח דאין לו עדים ולא היה לך להשיב לו</w:t>
      </w:r>
    </w:p>
    <w:p w:rsidR="0007171D" w:rsidRDefault="0007171D" w:rsidP="0007171D">
      <w:pPr>
        <w:pStyle w:val="aff4"/>
        <w:rPr>
          <w:rFonts w:eastAsiaTheme="minorEastAsia" w:cstheme="minorBidi"/>
          <w:i/>
          <w:iCs/>
          <w:noProof/>
          <w:sz w:val="22"/>
          <w:szCs w:val="22"/>
          <w:rtl/>
        </w:rPr>
      </w:pPr>
      <w:r>
        <w:rPr>
          <w:noProof/>
          <w:rtl/>
        </w:rPr>
        <w:t>פלוגתת המ"מ והלח"מ בדעת הרי"ף אי גובה מעותיו מהמוכר</w:t>
      </w:r>
    </w:p>
    <w:p w:rsidR="0007171D" w:rsidRDefault="0007171D" w:rsidP="007E4E81">
      <w:pPr>
        <w:pStyle w:val="a"/>
        <w:rPr>
          <w:rFonts w:eastAsiaTheme="minorEastAsia" w:cstheme="minorBidi"/>
          <w:sz w:val="22"/>
          <w:szCs w:val="22"/>
          <w:rtl/>
        </w:rPr>
      </w:pPr>
      <w:r>
        <w:rPr>
          <w:rtl/>
        </w:rPr>
        <w:t>דברי הרי"ף דאם יש לו פסידא המחזיק הפסיד לעצמו ולא היה לו לקנות כך את הקרקע</w:t>
      </w:r>
    </w:p>
    <w:p w:rsidR="0007171D" w:rsidRDefault="0007171D" w:rsidP="007E4E81">
      <w:pPr>
        <w:pStyle w:val="a"/>
        <w:rPr>
          <w:rFonts w:eastAsiaTheme="minorEastAsia" w:cstheme="minorBidi"/>
          <w:sz w:val="22"/>
          <w:szCs w:val="22"/>
          <w:rtl/>
        </w:rPr>
      </w:pPr>
      <w:r>
        <w:rPr>
          <w:rtl/>
        </w:rPr>
        <w:t>ביאור הרשב"א והמ"מ ברי"ף דהמחזיק הפסיד בגלל שהודה ואינו יכול לתבוע את המוכר</w:t>
      </w:r>
    </w:p>
    <w:p w:rsidR="0007171D" w:rsidRDefault="0007171D" w:rsidP="007E4E81">
      <w:pPr>
        <w:pStyle w:val="a"/>
        <w:rPr>
          <w:rFonts w:eastAsiaTheme="minorEastAsia" w:cstheme="minorBidi"/>
          <w:sz w:val="22"/>
          <w:szCs w:val="22"/>
          <w:rtl/>
        </w:rPr>
      </w:pPr>
      <w:r>
        <w:rPr>
          <w:rtl/>
        </w:rPr>
        <w:t>קו' הלח"מ דממ"ש הרי"ף דלא היה למחזיק לקנות משמע דאין כווונתו לומר דהפסיד בהודאתו</w:t>
      </w:r>
    </w:p>
    <w:p w:rsidR="0007171D" w:rsidRDefault="0007171D" w:rsidP="007E4E81">
      <w:pPr>
        <w:pStyle w:val="a"/>
        <w:rPr>
          <w:rFonts w:eastAsiaTheme="minorEastAsia" w:cstheme="minorBidi"/>
          <w:sz w:val="22"/>
          <w:szCs w:val="22"/>
          <w:rtl/>
        </w:rPr>
      </w:pPr>
      <w:r>
        <w:rPr>
          <w:rtl/>
        </w:rPr>
        <w:t>ביאור הלח"מ ברי"ף דא"א לתבוע את המוכר וכוונת הרי"ף דבהוקרה הקרקע הפסיד המחזיק</w:t>
      </w:r>
    </w:p>
    <w:p w:rsidR="0007171D" w:rsidRDefault="0007171D" w:rsidP="0007171D">
      <w:pPr>
        <w:pStyle w:val="2"/>
        <w:rPr>
          <w:rFonts w:eastAsiaTheme="minorEastAsia" w:cstheme="minorBidi"/>
          <w:i/>
          <w:iCs/>
          <w:sz w:val="22"/>
          <w:szCs w:val="22"/>
          <w:rtl/>
        </w:rPr>
      </w:pPr>
      <w:r>
        <w:rPr>
          <w:rtl/>
        </w:rPr>
        <w:t>בי' התורי"ד ברשב"ם דיש למחזיק שטר</w:t>
      </w:r>
    </w:p>
    <w:p w:rsidR="0007171D" w:rsidRDefault="0007171D" w:rsidP="0007171D">
      <w:pPr>
        <w:pStyle w:val="aff4"/>
        <w:rPr>
          <w:rFonts w:eastAsiaTheme="minorEastAsia" w:cstheme="minorBidi"/>
          <w:i/>
          <w:iCs/>
          <w:noProof/>
          <w:sz w:val="22"/>
          <w:szCs w:val="22"/>
          <w:rtl/>
        </w:rPr>
      </w:pPr>
      <w:r>
        <w:rPr>
          <w:noProof/>
          <w:rtl/>
        </w:rPr>
        <w:t>ביאור התורי"ד בדברי הרשב"ם דהיה למחזיק שטר מהמוכר</w:t>
      </w:r>
    </w:p>
    <w:p w:rsidR="0007171D" w:rsidRDefault="0007171D" w:rsidP="007E4E81">
      <w:pPr>
        <w:pStyle w:val="a"/>
        <w:rPr>
          <w:rFonts w:eastAsiaTheme="minorEastAsia" w:cstheme="minorBidi"/>
          <w:sz w:val="22"/>
          <w:szCs w:val="22"/>
          <w:rtl/>
        </w:rPr>
      </w:pPr>
      <w:r>
        <w:rPr>
          <w:rtl/>
        </w:rPr>
        <w:t>קושיות התורי"ד על הרשב"ם דאי יש למחזיק שטר א"א להפסידו דמוכח דלא הודה בפירוש</w:t>
      </w:r>
    </w:p>
    <w:p w:rsidR="0007171D" w:rsidRDefault="0007171D" w:rsidP="007E4E81">
      <w:pPr>
        <w:pStyle w:val="a"/>
        <w:rPr>
          <w:rFonts w:eastAsiaTheme="minorEastAsia" w:cstheme="minorBidi"/>
          <w:sz w:val="22"/>
          <w:szCs w:val="22"/>
          <w:rtl/>
        </w:rPr>
      </w:pPr>
      <w:r>
        <w:rPr>
          <w:rtl/>
        </w:rPr>
        <w:t>קושיות התורי"ד על הרשב"ם דנחשוש לקנוניא שהמוכר יודה שגזל מהמערער ויפסידו את הלוקח</w:t>
      </w:r>
    </w:p>
    <w:p w:rsidR="0007171D" w:rsidRDefault="0007171D" w:rsidP="007E4E81">
      <w:pPr>
        <w:pStyle w:val="a"/>
        <w:rPr>
          <w:rFonts w:eastAsiaTheme="minorEastAsia" w:cstheme="minorBidi"/>
          <w:sz w:val="22"/>
          <w:szCs w:val="22"/>
          <w:rtl/>
        </w:rPr>
      </w:pPr>
      <w:r>
        <w:rPr>
          <w:rtl/>
        </w:rPr>
        <w:t>דברי התורי"ד דהיה נראה לומר דאם יש לו שטר זוכה בקרקע ובלא שטר חשיב חזקה בלא טענה</w:t>
      </w:r>
    </w:p>
    <w:p w:rsidR="0007171D" w:rsidRDefault="0007171D" w:rsidP="007E4E81">
      <w:pPr>
        <w:pStyle w:val="a"/>
        <w:rPr>
          <w:rFonts w:eastAsiaTheme="minorEastAsia" w:cstheme="minorBidi"/>
          <w:sz w:val="22"/>
          <w:szCs w:val="22"/>
          <w:rtl/>
        </w:rPr>
      </w:pPr>
      <w:r>
        <w:rPr>
          <w:rtl/>
        </w:rPr>
        <w:t>דחיית התורי"ד דבלא שטר נאמן שקנה מהמוכר במיגו כמו שיש לו שטר ומוכח כדברי הרשב"ם</w:t>
      </w:r>
    </w:p>
    <w:p w:rsidR="0007171D" w:rsidRDefault="0007171D" w:rsidP="007E4E81">
      <w:pPr>
        <w:pStyle w:val="a"/>
        <w:rPr>
          <w:rFonts w:eastAsiaTheme="minorEastAsia" w:cstheme="minorBidi"/>
          <w:sz w:val="22"/>
          <w:szCs w:val="22"/>
          <w:rtl/>
        </w:rPr>
      </w:pPr>
      <w:r>
        <w:rPr>
          <w:rtl/>
        </w:rPr>
        <w:t>תירוץ התורי"ד דלא חיישינן לקנוניא דבשעת המכירה היה ללוקח לבקש שטר מהמערער</w:t>
      </w:r>
    </w:p>
    <w:p w:rsidR="0007171D" w:rsidRDefault="001B6519" w:rsidP="0007171D">
      <w:pPr>
        <w:pStyle w:val="2"/>
        <w:rPr>
          <w:rFonts w:eastAsiaTheme="minorEastAsia" w:cstheme="minorBidi"/>
          <w:i/>
          <w:iCs/>
          <w:sz w:val="22"/>
          <w:szCs w:val="22"/>
          <w:rtl/>
        </w:rPr>
      </w:pPr>
      <w:r>
        <w:rPr>
          <w:rtl/>
        </w:rPr>
        <w:t>~~~~~~~ ביאורי ראשי הישיבות ~~~~~~~</w:t>
      </w:r>
    </w:p>
    <w:p w:rsidR="0007171D" w:rsidRDefault="0007171D" w:rsidP="0007171D">
      <w:pPr>
        <w:pStyle w:val="2"/>
        <w:rPr>
          <w:rFonts w:eastAsiaTheme="minorEastAsia" w:cstheme="minorBidi"/>
          <w:i/>
          <w:iCs/>
          <w:sz w:val="22"/>
          <w:szCs w:val="22"/>
          <w:rtl/>
        </w:rPr>
      </w:pPr>
      <w:r>
        <w:rPr>
          <w:rtl/>
        </w:rPr>
        <w:t>בדברי הרשב"ם דהכיר שאינה שלו</w:t>
      </w:r>
    </w:p>
    <w:p w:rsidR="0007171D" w:rsidRDefault="0007171D" w:rsidP="0007171D">
      <w:pPr>
        <w:pStyle w:val="aff4"/>
        <w:rPr>
          <w:rFonts w:eastAsiaTheme="minorEastAsia" w:cstheme="minorBidi"/>
          <w:i/>
          <w:iCs/>
          <w:noProof/>
          <w:sz w:val="22"/>
          <w:szCs w:val="22"/>
          <w:rtl/>
        </w:rPr>
      </w:pPr>
      <w:r>
        <w:rPr>
          <w:noProof/>
          <w:rtl/>
        </w:rPr>
        <w:t>ביאור הגרנ"פ ברשב"ם דחשיב שידע המחזיק שלא קנה המוכר</w:t>
      </w:r>
    </w:p>
    <w:p w:rsidR="0007171D" w:rsidRDefault="0007171D" w:rsidP="007E4E81">
      <w:pPr>
        <w:pStyle w:val="a"/>
        <w:rPr>
          <w:rFonts w:eastAsiaTheme="minorEastAsia" w:cstheme="minorBidi"/>
          <w:sz w:val="22"/>
          <w:szCs w:val="22"/>
          <w:rtl/>
        </w:rPr>
      </w:pPr>
      <w:r>
        <w:rPr>
          <w:rtl/>
        </w:rPr>
        <w:t>קושיות הגרנ"פ על הרשב"ם דמה מהני השטר ועוד דהמחזיק אינו יודע שלא קנאה המוכר</w:t>
      </w:r>
    </w:p>
    <w:p w:rsidR="0007171D" w:rsidRDefault="0007171D" w:rsidP="007E4E81">
      <w:pPr>
        <w:pStyle w:val="a"/>
        <w:rPr>
          <w:rFonts w:eastAsiaTheme="minorEastAsia" w:cstheme="minorBidi"/>
          <w:sz w:val="22"/>
          <w:szCs w:val="22"/>
          <w:rtl/>
        </w:rPr>
      </w:pPr>
      <w:r>
        <w:rPr>
          <w:rtl/>
        </w:rPr>
        <w:t>ביאור הגרנ"פ ברשב"ם דכיון שאינו יודע אם קנה המוכר חשיב שידע דעדיין היא של המערער</w:t>
      </w:r>
    </w:p>
    <w:p w:rsidR="0007171D" w:rsidRDefault="0007171D" w:rsidP="007E4E81">
      <w:pPr>
        <w:pStyle w:val="a"/>
        <w:rPr>
          <w:rFonts w:eastAsiaTheme="minorEastAsia" w:cstheme="minorBidi"/>
          <w:sz w:val="22"/>
          <w:szCs w:val="22"/>
        </w:rPr>
      </w:pPr>
      <w:r>
        <w:rPr>
          <w:rtl/>
        </w:rPr>
        <w:t>דברי הגרנ"פ דלרשב"ם ל"ק קו' רבינו יונה דהפסיד לעצמו דבהכיר שאינה שלו המעות כפקדון</w:t>
      </w:r>
    </w:p>
    <w:p w:rsidR="0007171D" w:rsidRDefault="0007171D" w:rsidP="0007171D">
      <w:pPr>
        <w:pStyle w:val="2"/>
        <w:rPr>
          <w:rtl/>
        </w:rPr>
      </w:pPr>
      <w:r>
        <w:rPr>
          <w:rtl/>
        </w:rPr>
        <w:t>בדברי הרא"ש</w:t>
      </w:r>
      <w:r>
        <w:rPr>
          <w:rFonts w:hint="cs"/>
          <w:rtl/>
        </w:rPr>
        <w:t xml:space="preserve"> בדין מיגו דלהד"ם</w:t>
      </w:r>
    </w:p>
    <w:p w:rsidR="0007171D" w:rsidRDefault="0007171D" w:rsidP="0007171D">
      <w:pPr>
        <w:pStyle w:val="aff4"/>
        <w:rPr>
          <w:rFonts w:eastAsiaTheme="minorEastAsia" w:cstheme="minorBidi"/>
          <w:i/>
          <w:iCs/>
          <w:noProof/>
          <w:sz w:val="22"/>
          <w:szCs w:val="22"/>
          <w:rtl/>
        </w:rPr>
      </w:pPr>
      <w:r>
        <w:rPr>
          <w:rFonts w:hint="cs"/>
          <w:noProof/>
          <w:rtl/>
        </w:rPr>
        <w:t>ביאור הגרנ"ט בהודאת ונאמנות המחזיק להרא"ש</w:t>
      </w:r>
    </w:p>
    <w:p w:rsidR="0007171D" w:rsidRDefault="0007171D" w:rsidP="007E4E81">
      <w:pPr>
        <w:pStyle w:val="a"/>
        <w:rPr>
          <w:rFonts w:eastAsiaTheme="minorEastAsia" w:cstheme="minorBidi"/>
          <w:sz w:val="22"/>
          <w:szCs w:val="22"/>
          <w:rtl/>
        </w:rPr>
      </w:pPr>
      <w:r>
        <w:rPr>
          <w:rtl/>
        </w:rPr>
        <w:t>ביאור הגרנ"ט בקו' הרא"ש דכיון שלא הודה מעצמו נאמן המחזיק מכח המוכר בלא דין טענינן</w:t>
      </w:r>
    </w:p>
    <w:p w:rsidR="0007171D" w:rsidRDefault="0007171D" w:rsidP="007E4E81">
      <w:pPr>
        <w:pStyle w:val="a"/>
        <w:rPr>
          <w:rFonts w:eastAsiaTheme="minorEastAsia" w:cstheme="minorBidi"/>
          <w:sz w:val="22"/>
          <w:szCs w:val="22"/>
          <w:rtl/>
        </w:rPr>
      </w:pPr>
      <w:r>
        <w:rPr>
          <w:rtl/>
        </w:rPr>
        <w:t>ביאור הגרנ"ט במשל"מ דהמחזיק לא נאמן שכך א"ל המוכר וממילא ל"מ לו המיגו של המוכר</w:t>
      </w:r>
    </w:p>
    <w:p w:rsidR="0007171D" w:rsidRDefault="0007171D" w:rsidP="0007171D">
      <w:pPr>
        <w:pStyle w:val="aff4"/>
        <w:rPr>
          <w:rFonts w:eastAsiaTheme="minorEastAsia" w:cstheme="minorBidi"/>
          <w:i/>
          <w:iCs/>
          <w:noProof/>
          <w:sz w:val="22"/>
          <w:szCs w:val="22"/>
          <w:rtl/>
        </w:rPr>
      </w:pPr>
      <w:r>
        <w:rPr>
          <w:noProof/>
          <w:rtl/>
        </w:rPr>
        <w:t>תי' הגרנ"ט והגרנ"פ על קו' המשל"מ ממיגו דרק קנה מהמוכר</w:t>
      </w:r>
    </w:p>
    <w:p w:rsidR="0007171D" w:rsidRDefault="0007171D" w:rsidP="007E4E81">
      <w:pPr>
        <w:pStyle w:val="a"/>
        <w:rPr>
          <w:rFonts w:eastAsiaTheme="minorEastAsia" w:cstheme="minorBidi"/>
          <w:sz w:val="22"/>
          <w:szCs w:val="22"/>
          <w:rtl/>
        </w:rPr>
      </w:pPr>
      <w:r>
        <w:rPr>
          <w:rtl/>
        </w:rPr>
        <w:t>דברי הגרנ"ט דמיגו מהני רק כשנאמן בטענת המיגו מאותו הדין שנאמן עכשיו ולא מדין אחר</w:t>
      </w:r>
    </w:p>
    <w:p w:rsidR="0007171D" w:rsidRDefault="0007171D" w:rsidP="007E4E81">
      <w:pPr>
        <w:pStyle w:val="a"/>
        <w:rPr>
          <w:rFonts w:eastAsiaTheme="minorEastAsia" w:cstheme="minorBidi"/>
          <w:sz w:val="22"/>
          <w:szCs w:val="22"/>
          <w:rtl/>
        </w:rPr>
      </w:pPr>
      <w:r>
        <w:rPr>
          <w:rtl/>
        </w:rPr>
        <w:t>תירוץ הגרנ"ט על קו' המשל"מ דבאומר רק שקנה מהמוכר נאמן מחמת ספק ועכשיו טוען ודאי</w:t>
      </w:r>
    </w:p>
    <w:p w:rsidR="0007171D" w:rsidRDefault="0007171D" w:rsidP="007E4E81">
      <w:pPr>
        <w:pStyle w:val="a"/>
        <w:rPr>
          <w:rFonts w:eastAsiaTheme="minorEastAsia" w:cstheme="minorBidi"/>
          <w:sz w:val="22"/>
          <w:szCs w:val="22"/>
          <w:rtl/>
        </w:rPr>
      </w:pPr>
      <w:r>
        <w:rPr>
          <w:rtl/>
        </w:rPr>
        <w:t>דברי הגרנ"פ דמיגו מהני רק כשכח הטענה של המיגו מהני לו גם עכשיו היא טענה טובה יותר</w:t>
      </w:r>
    </w:p>
    <w:p w:rsidR="0007171D" w:rsidRDefault="0007171D" w:rsidP="007E4E81">
      <w:pPr>
        <w:pStyle w:val="a"/>
        <w:rPr>
          <w:rFonts w:eastAsiaTheme="minorEastAsia" w:cstheme="minorBidi"/>
          <w:sz w:val="22"/>
          <w:szCs w:val="22"/>
          <w:rtl/>
        </w:rPr>
      </w:pPr>
      <w:r>
        <w:rPr>
          <w:rtl/>
        </w:rPr>
        <w:t>תי' הגרנ"פ על קו' המשל"מ דבאומר שקנה מהמוכר הוא חזקה בלא טענה והרי הודה שיש מר"ק</w:t>
      </w:r>
    </w:p>
    <w:p w:rsidR="0007171D" w:rsidRDefault="0007171D" w:rsidP="0007171D">
      <w:pPr>
        <w:pStyle w:val="aff4"/>
        <w:rPr>
          <w:rFonts w:eastAsiaTheme="minorEastAsia" w:cstheme="minorBidi"/>
          <w:i/>
          <w:iCs/>
          <w:noProof/>
          <w:sz w:val="22"/>
          <w:szCs w:val="22"/>
          <w:rtl/>
        </w:rPr>
      </w:pPr>
      <w:r>
        <w:rPr>
          <w:noProof/>
          <w:rtl/>
        </w:rPr>
        <w:t>ביאור הגרנ"פ בקו' הרא"ש דכח הטענה דמוכר יועיל למחזיק</w:t>
      </w:r>
    </w:p>
    <w:p w:rsidR="0007171D" w:rsidRDefault="0007171D" w:rsidP="007E4E81">
      <w:pPr>
        <w:pStyle w:val="a"/>
        <w:rPr>
          <w:rFonts w:eastAsiaTheme="minorEastAsia" w:cstheme="minorBidi"/>
          <w:sz w:val="22"/>
          <w:szCs w:val="22"/>
          <w:rtl/>
        </w:rPr>
      </w:pPr>
      <w:r>
        <w:rPr>
          <w:rtl/>
        </w:rPr>
        <w:t>ביאור הגרנ"פ בקו' הרא"ש על הרשב"ם דהמחזיק יהיה נאמן שכך א"ל המוכר דלמוכר יש מיגו</w:t>
      </w:r>
    </w:p>
    <w:p w:rsidR="0007171D" w:rsidRDefault="0007171D" w:rsidP="007E4E81">
      <w:pPr>
        <w:pStyle w:val="a"/>
        <w:rPr>
          <w:rFonts w:eastAsiaTheme="minorEastAsia" w:cstheme="minorBidi"/>
          <w:sz w:val="22"/>
          <w:szCs w:val="22"/>
          <w:rtl/>
        </w:rPr>
      </w:pPr>
      <w:r>
        <w:rPr>
          <w:rtl/>
        </w:rPr>
        <w:t>ביאור הגרנ"פ ברא"ש דאין למחזיק מיגו דלהד"ם ולכן אינו נאמן שכך א"ל המוכר</w:t>
      </w:r>
    </w:p>
    <w:p w:rsidR="0007171D" w:rsidRDefault="0007171D" w:rsidP="007E4E81">
      <w:pPr>
        <w:pStyle w:val="a"/>
        <w:rPr>
          <w:rFonts w:eastAsiaTheme="minorEastAsia" w:cstheme="minorBidi"/>
          <w:sz w:val="22"/>
          <w:szCs w:val="22"/>
          <w:rtl/>
        </w:rPr>
      </w:pPr>
      <w:r>
        <w:rPr>
          <w:rtl/>
        </w:rPr>
        <w:t>קושיות הגרנ"פ דברא"ש משמע דהמחזיק עצמו נאמן במיגו ועוד דלמשל"מ ק' דסגי שישתוק</w:t>
      </w:r>
    </w:p>
    <w:p w:rsidR="0007171D" w:rsidRDefault="0007171D" w:rsidP="007E4E81">
      <w:pPr>
        <w:pStyle w:val="a"/>
        <w:rPr>
          <w:rFonts w:eastAsiaTheme="minorEastAsia" w:cstheme="minorBidi"/>
          <w:sz w:val="22"/>
          <w:szCs w:val="22"/>
          <w:rtl/>
        </w:rPr>
      </w:pPr>
      <w:r>
        <w:rPr>
          <w:rtl/>
        </w:rPr>
        <w:t>ביאור הגרנ"פ ברא"ש דל"מ המיגו למחזיק מחוץ לב"ד והק' הרא"ש דנאמן בכח המיגו דמוכר</w:t>
      </w:r>
    </w:p>
    <w:p w:rsidR="0007171D" w:rsidRPr="00D036AB" w:rsidRDefault="0007171D" w:rsidP="0007171D">
      <w:pPr>
        <w:pStyle w:val="aff4"/>
        <w:rPr>
          <w:noProof/>
          <w:rtl/>
        </w:rPr>
      </w:pPr>
      <w:r w:rsidRPr="00D036AB">
        <w:rPr>
          <w:noProof/>
          <w:rtl/>
        </w:rPr>
        <w:t>דברי האבהא"ז דאף להרא"ש הודה המחזיק בפירוש בסוף דבריו</w:t>
      </w:r>
    </w:p>
    <w:p w:rsidR="0007171D" w:rsidRDefault="0007171D" w:rsidP="007E4E81">
      <w:pPr>
        <w:pStyle w:val="a"/>
        <w:rPr>
          <w:rFonts w:eastAsiaTheme="minorEastAsia" w:cstheme="minorBidi"/>
          <w:sz w:val="22"/>
          <w:szCs w:val="22"/>
          <w:rtl/>
        </w:rPr>
      </w:pPr>
      <w:r>
        <w:rPr>
          <w:rtl/>
        </w:rPr>
        <w:t>ביאור האבהא"ז דלתי' הרא"ש דאין למחזיק מיגו אפש"ל בדעת הרשב"ם דלא הודה בפירוש</w:t>
      </w:r>
    </w:p>
    <w:p w:rsidR="0007171D" w:rsidRDefault="0007171D" w:rsidP="007E4E81">
      <w:pPr>
        <w:pStyle w:val="a"/>
        <w:rPr>
          <w:rFonts w:eastAsiaTheme="minorEastAsia" w:cstheme="minorBidi"/>
          <w:sz w:val="22"/>
          <w:szCs w:val="22"/>
          <w:rtl/>
        </w:rPr>
      </w:pPr>
      <w:r>
        <w:rPr>
          <w:rtl/>
        </w:rPr>
        <w:t>ביאור האבהא"ז ברא"ש דאין כוונתו לומר דלרבינו יונה המחזיק הודה בתחילת דבריו</w:t>
      </w:r>
    </w:p>
    <w:p w:rsidR="0007171D" w:rsidRDefault="0007171D" w:rsidP="007E4E81">
      <w:pPr>
        <w:pStyle w:val="a"/>
        <w:rPr>
          <w:rFonts w:eastAsiaTheme="minorEastAsia" w:cstheme="minorBidi"/>
          <w:sz w:val="22"/>
          <w:szCs w:val="22"/>
          <w:rtl/>
        </w:rPr>
      </w:pPr>
      <w:r>
        <w:rPr>
          <w:rtl/>
        </w:rPr>
        <w:t>ביאור האבהא"ז ברא"ש דמוכח ברבינו יונה דבסוף דבריו הודה המחזיק לטענה הב' של המערער</w:t>
      </w:r>
    </w:p>
    <w:p w:rsidR="0007171D" w:rsidRDefault="0007171D" w:rsidP="007E4E81">
      <w:pPr>
        <w:pStyle w:val="a"/>
        <w:rPr>
          <w:rFonts w:eastAsiaTheme="minorEastAsia" w:cstheme="minorBidi"/>
          <w:sz w:val="22"/>
          <w:szCs w:val="22"/>
          <w:rtl/>
        </w:rPr>
      </w:pPr>
      <w:r>
        <w:rPr>
          <w:rtl/>
        </w:rPr>
        <w:t>ביאור האבאה"ז ברא"ש דלרבינו יונה אי הודה בתחילת דבריו ל"מ מיגו דהוא מיגו למפרע</w:t>
      </w:r>
    </w:p>
    <w:p w:rsidR="0007171D" w:rsidRDefault="0007171D" w:rsidP="007E4E81">
      <w:pPr>
        <w:pStyle w:val="a"/>
        <w:rPr>
          <w:rFonts w:eastAsiaTheme="minorEastAsia" w:cstheme="minorBidi"/>
          <w:sz w:val="22"/>
          <w:szCs w:val="22"/>
          <w:rtl/>
        </w:rPr>
      </w:pPr>
      <w:r>
        <w:rPr>
          <w:rtl/>
        </w:rPr>
        <w:t>ביאור האבהא"ז ברבינו יונה דכשהודה בעצמו לא מהני המיגו דכבר הודה בתחילה</w:t>
      </w:r>
    </w:p>
    <w:p w:rsidR="0007171D" w:rsidRDefault="0007171D" w:rsidP="007E4E81">
      <w:pPr>
        <w:pStyle w:val="a"/>
        <w:rPr>
          <w:rFonts w:eastAsiaTheme="minorEastAsia" w:cstheme="minorBidi"/>
          <w:sz w:val="22"/>
          <w:szCs w:val="22"/>
          <w:rtl/>
        </w:rPr>
      </w:pPr>
      <w:r>
        <w:rPr>
          <w:rtl/>
        </w:rPr>
        <w:t>ביאור האהבהא"ז ברא"ש דאף בלא הודה מעצמו אין לו הפה שאסר אלא מיגו ואינו מיגו טוב</w:t>
      </w:r>
    </w:p>
    <w:p w:rsidR="0007171D" w:rsidRDefault="0007171D" w:rsidP="007E4E81">
      <w:pPr>
        <w:pStyle w:val="a"/>
        <w:rPr>
          <w:rFonts w:eastAsiaTheme="minorEastAsia" w:cstheme="minorBidi"/>
          <w:sz w:val="22"/>
          <w:szCs w:val="22"/>
          <w:rtl/>
        </w:rPr>
      </w:pPr>
      <w:r>
        <w:rPr>
          <w:rtl/>
        </w:rPr>
        <w:t>תי' האבהא"ז על קו' המשל"מ דאף להרא"ש הודה המחזיק בסוף דבריו ול"מ מיגו כנגד הודאה</w:t>
      </w:r>
    </w:p>
    <w:p w:rsidR="0007171D" w:rsidRDefault="0007171D" w:rsidP="0007171D">
      <w:pPr>
        <w:pStyle w:val="2"/>
        <w:rPr>
          <w:rFonts w:eastAsiaTheme="minorEastAsia" w:cstheme="minorBidi"/>
          <w:i/>
          <w:iCs/>
          <w:sz w:val="22"/>
          <w:szCs w:val="22"/>
          <w:rtl/>
        </w:rPr>
      </w:pPr>
      <w:r>
        <w:rPr>
          <w:rtl/>
        </w:rPr>
        <w:t>בפלוג' הראב"ד והרמב"ן במיגו דלהד"ם</w:t>
      </w:r>
    </w:p>
    <w:p w:rsidR="0007171D" w:rsidRDefault="0007171D" w:rsidP="0007171D">
      <w:pPr>
        <w:pStyle w:val="aff4"/>
        <w:rPr>
          <w:rFonts w:eastAsiaTheme="minorEastAsia" w:cstheme="minorBidi"/>
          <w:i/>
          <w:iCs/>
          <w:noProof/>
          <w:sz w:val="22"/>
          <w:szCs w:val="22"/>
          <w:rtl/>
        </w:rPr>
      </w:pPr>
      <w:r>
        <w:rPr>
          <w:noProof/>
          <w:rtl/>
        </w:rPr>
        <w:t>ביאור הגרנ"ט בראב"ד דמיגו דלהד"ם ל"מ דהוא חוץ לב"ד</w:t>
      </w:r>
    </w:p>
    <w:p w:rsidR="0007171D" w:rsidRDefault="0007171D" w:rsidP="007E4E81">
      <w:pPr>
        <w:pStyle w:val="a"/>
        <w:rPr>
          <w:rFonts w:eastAsiaTheme="minorEastAsia" w:cstheme="minorBidi"/>
          <w:sz w:val="22"/>
          <w:szCs w:val="22"/>
          <w:rtl/>
        </w:rPr>
      </w:pPr>
      <w:r>
        <w:rPr>
          <w:rtl/>
        </w:rPr>
        <w:t>תי' הגרנ"ט על קו' הרמב"ן על הראב"ד דל"מ למחזיק מיגו דלהד"ם כיון דהוא מיגו דחוץ לב"ד</w:t>
      </w:r>
    </w:p>
    <w:p w:rsidR="0007171D" w:rsidRDefault="0007171D" w:rsidP="007E4E81">
      <w:pPr>
        <w:pStyle w:val="a"/>
        <w:rPr>
          <w:rFonts w:eastAsiaTheme="minorEastAsia" w:cstheme="minorBidi"/>
          <w:sz w:val="22"/>
          <w:szCs w:val="22"/>
          <w:rtl/>
        </w:rPr>
      </w:pPr>
      <w:r>
        <w:rPr>
          <w:rtl/>
        </w:rPr>
        <w:t>ביאור הגרנ"ט בראב"ד דבסוגיין המוכר לא היה מוחזק בקרקע ולא היה נאמן במיגו דהיה שותק</w:t>
      </w:r>
    </w:p>
    <w:p w:rsidR="0007171D" w:rsidRDefault="0007171D" w:rsidP="007E4E81">
      <w:pPr>
        <w:pStyle w:val="a"/>
        <w:rPr>
          <w:rFonts w:eastAsiaTheme="minorEastAsia" w:cstheme="minorBidi"/>
          <w:sz w:val="22"/>
          <w:szCs w:val="22"/>
          <w:rtl/>
        </w:rPr>
      </w:pPr>
      <w:r>
        <w:rPr>
          <w:rtl/>
        </w:rPr>
        <w:t>תי' הגרנ"ט על קו' הנתיה"מ דמיגו חוץ לב"ד מהני רק כשהוא מוחזק בקרקע והכא אינו מוחזק</w:t>
      </w:r>
    </w:p>
    <w:p w:rsidR="0007171D" w:rsidRDefault="0007171D" w:rsidP="007E4E81">
      <w:pPr>
        <w:pStyle w:val="a"/>
        <w:rPr>
          <w:rFonts w:eastAsiaTheme="minorEastAsia" w:cstheme="minorBidi"/>
          <w:sz w:val="22"/>
          <w:szCs w:val="22"/>
          <w:rtl/>
        </w:rPr>
      </w:pPr>
      <w:r>
        <w:rPr>
          <w:rtl/>
        </w:rPr>
        <w:t>התי' הב' בגרנ"ט על קו' הנתיה"מ דמיגו ל"מ מחוץ לב"ד ובכתובות נאמן מדין הפה שאסר</w:t>
      </w:r>
    </w:p>
    <w:p w:rsidR="0007171D" w:rsidRDefault="0007171D" w:rsidP="0007171D">
      <w:pPr>
        <w:pStyle w:val="aff4"/>
        <w:rPr>
          <w:rFonts w:eastAsiaTheme="minorEastAsia" w:cstheme="minorBidi"/>
          <w:i/>
          <w:iCs/>
          <w:noProof/>
          <w:sz w:val="22"/>
          <w:szCs w:val="22"/>
          <w:rtl/>
        </w:rPr>
      </w:pPr>
      <w:r>
        <w:rPr>
          <w:noProof/>
          <w:rtl/>
        </w:rPr>
        <w:t>ביאור הגרש"ר בראב"ד וברמב"ן בגדר מיגו חוץ לב"ד</w:t>
      </w:r>
    </w:p>
    <w:p w:rsidR="0007171D" w:rsidRDefault="0007171D" w:rsidP="007E4E81">
      <w:pPr>
        <w:pStyle w:val="a"/>
        <w:rPr>
          <w:rFonts w:eastAsiaTheme="minorEastAsia" w:cstheme="minorBidi"/>
          <w:sz w:val="22"/>
          <w:szCs w:val="22"/>
          <w:rtl/>
        </w:rPr>
      </w:pPr>
      <w:r>
        <w:rPr>
          <w:rtl/>
        </w:rPr>
        <w:t>ביאור הגרש"ר בראב"ד דלא מהני הפה שאסר כיון דל"מ מיגו חוץ לב"ד ונאמן רק בהודאתו</w:t>
      </w:r>
    </w:p>
    <w:p w:rsidR="0007171D" w:rsidRDefault="0007171D" w:rsidP="007E4E81">
      <w:pPr>
        <w:pStyle w:val="a"/>
        <w:rPr>
          <w:rFonts w:eastAsiaTheme="minorEastAsia" w:cstheme="minorBidi"/>
          <w:sz w:val="22"/>
          <w:szCs w:val="22"/>
          <w:rtl/>
        </w:rPr>
      </w:pPr>
      <w:r>
        <w:rPr>
          <w:rtl/>
        </w:rPr>
        <w:t>קושית הגרש"ר על הרמב"ן דאף דמהני מיגו חוץ לב"ד מ"מ למוכר היה מיגו ומכחו זוכה המחזיק</w:t>
      </w:r>
    </w:p>
    <w:p w:rsidR="0007171D" w:rsidRDefault="0007171D" w:rsidP="007E4E81">
      <w:pPr>
        <w:pStyle w:val="a"/>
        <w:rPr>
          <w:rFonts w:eastAsiaTheme="minorEastAsia" w:cstheme="minorBidi"/>
          <w:sz w:val="22"/>
          <w:szCs w:val="22"/>
          <w:rtl/>
        </w:rPr>
      </w:pPr>
      <w:r>
        <w:rPr>
          <w:rtl/>
        </w:rPr>
        <w:t>ביאור הגרש"ר ברמב"ן דכל שלא זכה המוכר בפסק ב"ד אינו מועיל ללוקח כדכתב רבינו יונה</w:t>
      </w:r>
    </w:p>
    <w:p w:rsidR="0007171D" w:rsidRDefault="0007171D" w:rsidP="007E4E81">
      <w:pPr>
        <w:pStyle w:val="a"/>
        <w:rPr>
          <w:rFonts w:eastAsiaTheme="minorEastAsia" w:cstheme="minorBidi"/>
          <w:sz w:val="22"/>
          <w:szCs w:val="22"/>
          <w:rtl/>
        </w:rPr>
      </w:pPr>
      <w:r>
        <w:rPr>
          <w:rtl/>
        </w:rPr>
        <w:t>ביאור הגרש"ר ברמב"ן דרק הפה שאסר מהני חוץ לב"ד ובהודה בעצמו ל"מ לו המיגו דמוכר</w:t>
      </w:r>
    </w:p>
    <w:p w:rsidR="0007171D" w:rsidRDefault="0007171D" w:rsidP="007E4E81">
      <w:pPr>
        <w:pStyle w:val="a"/>
        <w:rPr>
          <w:rFonts w:eastAsiaTheme="minorEastAsia" w:cstheme="minorBidi"/>
          <w:sz w:val="22"/>
          <w:szCs w:val="22"/>
          <w:rtl/>
        </w:rPr>
      </w:pPr>
      <w:r>
        <w:rPr>
          <w:rtl/>
        </w:rPr>
        <w:t>דחיית הגרש"ר דל"מ ברמב"ן דפליג על הראב"ד רק בדין הפה שאסר ועוד ל"מ כן ברמב"ן לקמן</w:t>
      </w:r>
    </w:p>
    <w:p w:rsidR="0007171D" w:rsidRDefault="0007171D" w:rsidP="007E4E81">
      <w:pPr>
        <w:pStyle w:val="a"/>
        <w:rPr>
          <w:rFonts w:eastAsiaTheme="minorEastAsia" w:cstheme="minorBidi"/>
          <w:sz w:val="22"/>
          <w:szCs w:val="22"/>
          <w:rtl/>
        </w:rPr>
      </w:pPr>
      <w:r>
        <w:rPr>
          <w:rtl/>
        </w:rPr>
        <w:t>ביאור הגרש"ר ברמב"ן דמהני מיגו חוץ לב"ד רק בנאמנות אך אין לו את כח הטענה של המיגו</w:t>
      </w:r>
    </w:p>
    <w:p w:rsidR="0007171D" w:rsidRDefault="0007171D" w:rsidP="007E4E81">
      <w:pPr>
        <w:pStyle w:val="a"/>
        <w:rPr>
          <w:rFonts w:eastAsiaTheme="minorEastAsia" w:cstheme="minorBidi"/>
          <w:sz w:val="22"/>
          <w:szCs w:val="22"/>
          <w:rtl/>
        </w:rPr>
      </w:pPr>
      <w:r>
        <w:rPr>
          <w:rtl/>
        </w:rPr>
        <w:t>ביאור הגרש"ר ברמב"ן דהמחזיק צריך את כח טענת המוכר וכשהודה אין לו את כח הטענה</w:t>
      </w:r>
    </w:p>
    <w:p w:rsidR="0007171D" w:rsidRDefault="0007171D" w:rsidP="007E4E81">
      <w:pPr>
        <w:pStyle w:val="a"/>
        <w:rPr>
          <w:rFonts w:eastAsiaTheme="minorEastAsia" w:cstheme="minorBidi"/>
          <w:sz w:val="22"/>
          <w:szCs w:val="22"/>
          <w:rtl/>
        </w:rPr>
      </w:pPr>
      <w:r>
        <w:rPr>
          <w:rtl/>
        </w:rPr>
        <w:t>ביאור הגרש"ר ברמב"ן דכשאומר שכך א"ל המוכר הוא מביא את דבריו לב"ד וזוכה מכח טענתו</w:t>
      </w:r>
    </w:p>
    <w:p w:rsidR="0007171D" w:rsidRDefault="0007171D" w:rsidP="007E4E81">
      <w:pPr>
        <w:pStyle w:val="a"/>
        <w:rPr>
          <w:rFonts w:eastAsiaTheme="minorEastAsia" w:cstheme="minorBidi"/>
          <w:sz w:val="22"/>
          <w:szCs w:val="22"/>
          <w:rtl/>
        </w:rPr>
      </w:pPr>
      <w:r>
        <w:rPr>
          <w:rtl/>
        </w:rPr>
        <w:t>ביאור הגרש"ר בראב"ד דמיגו מחוץ לב"ד ל"מ דאינו מדייק ול"מ אף מיגו דמה לי לשקר</w:t>
      </w:r>
    </w:p>
    <w:p w:rsidR="0007171D" w:rsidRDefault="0007171D" w:rsidP="0007171D">
      <w:pPr>
        <w:pStyle w:val="aff4"/>
        <w:rPr>
          <w:rtl/>
        </w:rPr>
      </w:pPr>
      <w:r>
        <w:rPr>
          <w:rFonts w:hint="cs"/>
          <w:rtl/>
        </w:rPr>
        <w:t>ביאור האבאה"ז בראב"ד וברמב"ן</w:t>
      </w:r>
      <w:r w:rsidRPr="000A5867">
        <w:rPr>
          <w:rFonts w:hint="cs"/>
          <w:rtl/>
        </w:rPr>
        <w:t xml:space="preserve"> </w:t>
      </w:r>
      <w:r>
        <w:rPr>
          <w:rFonts w:hint="cs"/>
          <w:rtl/>
        </w:rPr>
        <w:t>בדין מיגו חוץ לב"ד</w:t>
      </w:r>
    </w:p>
    <w:p w:rsidR="0007171D" w:rsidRDefault="0007171D" w:rsidP="007E4E81">
      <w:pPr>
        <w:pStyle w:val="a"/>
        <w:rPr>
          <w:rFonts w:eastAsiaTheme="minorEastAsia" w:cstheme="minorBidi"/>
          <w:sz w:val="22"/>
          <w:szCs w:val="22"/>
          <w:rtl/>
        </w:rPr>
      </w:pPr>
      <w:r>
        <w:rPr>
          <w:rtl/>
        </w:rPr>
        <w:t>ביאור האבהא"ז בראב"ד דחוץ לב"ד ל"מ מיגו דיתכן שהיו חוקרים אותו והיה מודה</w:t>
      </w:r>
    </w:p>
    <w:p w:rsidR="0007171D" w:rsidRDefault="0007171D" w:rsidP="007E4E81">
      <w:pPr>
        <w:pStyle w:val="a"/>
        <w:rPr>
          <w:rFonts w:eastAsiaTheme="minorEastAsia" w:cstheme="minorBidi"/>
          <w:sz w:val="22"/>
          <w:szCs w:val="22"/>
          <w:rtl/>
        </w:rPr>
      </w:pPr>
      <w:r>
        <w:rPr>
          <w:rtl/>
        </w:rPr>
        <w:t>ביאור האבהא"ז ברמב"ן דאף אי ל"מ הפה שאסר חוץ לב"ד מ"מ יכול להאמין למוכר מדין מיגו</w:t>
      </w:r>
    </w:p>
    <w:p w:rsidR="0007171D" w:rsidRDefault="0007171D" w:rsidP="0007171D">
      <w:pPr>
        <w:pStyle w:val="2"/>
        <w:rPr>
          <w:rFonts w:eastAsiaTheme="minorEastAsia" w:cstheme="minorBidi"/>
          <w:i/>
          <w:iCs/>
          <w:sz w:val="22"/>
          <w:szCs w:val="22"/>
          <w:rtl/>
        </w:rPr>
      </w:pPr>
      <w:r>
        <w:rPr>
          <w:rtl/>
        </w:rPr>
        <w:t>אי המחזיק גובה מעותיו מהמוכר</w:t>
      </w:r>
    </w:p>
    <w:p w:rsidR="0007171D" w:rsidRDefault="0007171D" w:rsidP="0007171D">
      <w:pPr>
        <w:pStyle w:val="aff4"/>
        <w:rPr>
          <w:rFonts w:eastAsiaTheme="minorEastAsia" w:cstheme="minorBidi"/>
          <w:i/>
          <w:iCs/>
          <w:noProof/>
          <w:sz w:val="22"/>
          <w:szCs w:val="22"/>
          <w:rtl/>
        </w:rPr>
      </w:pPr>
      <w:r>
        <w:rPr>
          <w:noProof/>
          <w:rtl/>
        </w:rPr>
        <w:t>ביאור הגרש"ר ברשב"ם ורבינו יונה אי גובה מעות מהמוכר</w:t>
      </w:r>
    </w:p>
    <w:p w:rsidR="0007171D" w:rsidRDefault="0007171D" w:rsidP="007E4E81">
      <w:pPr>
        <w:pStyle w:val="a"/>
        <w:rPr>
          <w:rFonts w:eastAsiaTheme="minorEastAsia" w:cstheme="minorBidi"/>
          <w:sz w:val="22"/>
          <w:szCs w:val="22"/>
          <w:rtl/>
        </w:rPr>
      </w:pPr>
      <w:r>
        <w:rPr>
          <w:rtl/>
        </w:rPr>
        <w:t>ביאור הגרש"ר ברבינו יונה דכל שאין בירור שהקרקע של המערער אין המוכר צריך לשלשם</w:t>
      </w:r>
    </w:p>
    <w:p w:rsidR="0007171D" w:rsidRDefault="0007171D" w:rsidP="007E4E81">
      <w:pPr>
        <w:pStyle w:val="a"/>
        <w:rPr>
          <w:rFonts w:eastAsiaTheme="minorEastAsia" w:cstheme="minorBidi"/>
          <w:sz w:val="22"/>
          <w:szCs w:val="22"/>
          <w:rtl/>
        </w:rPr>
        <w:sectPr w:rsidR="0007171D" w:rsidSect="00DC277F">
          <w:type w:val="continuous"/>
          <w:pgSz w:w="11906" w:h="16838"/>
          <w:pgMar w:top="720" w:right="720" w:bottom="720" w:left="720" w:header="283" w:footer="283" w:gutter="0"/>
          <w:cols w:num="2" w:space="113"/>
          <w:titlePg/>
          <w:bidi/>
          <w:rtlGutter/>
          <w:docGrid w:linePitch="299"/>
        </w:sectPr>
      </w:pPr>
      <w:r>
        <w:rPr>
          <w:rtl/>
        </w:rPr>
        <w:t>ביאור הגרש"ר ברשב"ם דהמוכר אינו יכול לומר למחזיק שהפסיד לעצמו דמאי הו"ל למעבד</w:t>
      </w:r>
    </w:p>
    <w:p w:rsidR="0007171D" w:rsidRDefault="0007171D" w:rsidP="007E4E81">
      <w:pPr>
        <w:pStyle w:val="a"/>
        <w:numPr>
          <w:ilvl w:val="0"/>
          <w:numId w:val="0"/>
        </w:numPr>
        <w:rPr>
          <w:rtl/>
        </w:rPr>
      </w:pPr>
    </w:p>
    <w:p w:rsidR="0007171D" w:rsidRDefault="0007171D" w:rsidP="0007171D">
      <w:pPr>
        <w:pStyle w:val="2"/>
        <w:rPr>
          <w:rtl/>
        </w:rPr>
        <w:sectPr w:rsidR="0007171D"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07171D" w:rsidRPr="0081356D" w:rsidRDefault="006C4F47" w:rsidP="0007171D">
      <w:pPr>
        <w:pStyle w:val="afe"/>
        <w:rPr>
          <w:rtl/>
        </w:rPr>
      </w:pPr>
      <w:r>
        <w:rPr>
          <w:rFonts w:hint="cs"/>
          <w:rtl/>
        </w:rPr>
        <w:lastRenderedPageBreak/>
        <w:t>~~~~~~~ מראי מקומות וביאורים ~~~~~~~</w:t>
      </w:r>
    </w:p>
    <w:p w:rsidR="0007171D" w:rsidRPr="00B21444" w:rsidRDefault="0007171D" w:rsidP="0007171D">
      <w:pPr>
        <w:pStyle w:val="2"/>
        <w:bidi w:val="0"/>
        <w:rPr>
          <w:rtl/>
        </w:rPr>
        <w:sectPr w:rsidR="0007171D" w:rsidRPr="00B21444" w:rsidSect="00962FD5">
          <w:footerReference w:type="default" r:id="rId69"/>
          <w:pgSz w:w="11906" w:h="16838"/>
          <w:pgMar w:top="720" w:right="720" w:bottom="720" w:left="720" w:header="283" w:footer="283" w:gutter="0"/>
          <w:cols w:space="720"/>
          <w:bidi/>
          <w:rtlGutter/>
          <w:docGrid w:linePitch="299"/>
        </w:sectPr>
      </w:pPr>
    </w:p>
    <w:p w:rsidR="0007171D" w:rsidRDefault="0007171D" w:rsidP="0007171D">
      <w:pPr>
        <w:pStyle w:val="afe"/>
        <w:rPr>
          <w:rtl/>
        </w:rPr>
      </w:pPr>
      <w:bookmarkStart w:id="7478" w:name="_Toc58144878"/>
      <w:bookmarkStart w:id="7479" w:name="_Toc58272563"/>
      <w:bookmarkStart w:id="7480" w:name="_Toc58324984"/>
      <w:bookmarkStart w:id="7481" w:name="_Toc58359127"/>
      <w:bookmarkStart w:id="7482" w:name="_Toc58409387"/>
      <w:bookmarkStart w:id="7483" w:name="_Toc58432781"/>
      <w:bookmarkStart w:id="7484" w:name="_Toc58579983"/>
      <w:bookmarkStart w:id="7485" w:name="_Toc58842986"/>
      <w:bookmarkStart w:id="7486" w:name="_Toc58876168"/>
      <w:bookmarkStart w:id="7487" w:name="_Toc58877576"/>
      <w:bookmarkStart w:id="7488" w:name="_Toc58914635"/>
      <w:bookmarkStart w:id="7489" w:name="_Toc58925929"/>
      <w:bookmarkStart w:id="7490" w:name="_Toc58930002"/>
      <w:bookmarkStart w:id="7491" w:name="_Toc58938155"/>
      <w:bookmarkStart w:id="7492" w:name="_Toc59006943"/>
      <w:bookmarkStart w:id="7493" w:name="_Toc59013419"/>
      <w:bookmarkStart w:id="7494" w:name="_Toc59013667"/>
      <w:bookmarkStart w:id="7495" w:name="_Toc59025733"/>
      <w:r>
        <w:rPr>
          <w:rFonts w:hint="cs"/>
          <w:rtl/>
        </w:rPr>
        <w:t>פלוג' הרשב"ם והרא"ש בהודאת המחזיק</w:t>
      </w:r>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p>
    <w:p w:rsidR="0007171D" w:rsidRDefault="0007171D" w:rsidP="0007171D">
      <w:pPr>
        <w:pStyle w:val="1"/>
        <w:rPr>
          <w:rtl/>
        </w:rPr>
      </w:pPr>
      <w:bookmarkStart w:id="7496" w:name="_Toc57925931"/>
      <w:bookmarkStart w:id="7497" w:name="_Toc58091623"/>
      <w:bookmarkStart w:id="7498" w:name="_Toc58144879"/>
      <w:bookmarkStart w:id="7499" w:name="_Toc58272564"/>
      <w:bookmarkStart w:id="7500" w:name="_Toc58324985"/>
      <w:bookmarkStart w:id="7501" w:name="_Toc58359128"/>
      <w:bookmarkStart w:id="7502" w:name="_Toc58409388"/>
      <w:bookmarkStart w:id="7503" w:name="_Toc58432782"/>
      <w:bookmarkStart w:id="7504" w:name="_Toc58579984"/>
      <w:bookmarkStart w:id="7505" w:name="_Toc58842987"/>
      <w:bookmarkStart w:id="7506" w:name="_Toc58876169"/>
      <w:bookmarkStart w:id="7507" w:name="_Toc58877577"/>
      <w:bookmarkStart w:id="7508" w:name="_Toc58914636"/>
      <w:bookmarkStart w:id="7509" w:name="_Toc58925930"/>
      <w:bookmarkStart w:id="7510" w:name="_Toc58930003"/>
      <w:bookmarkStart w:id="7511" w:name="_Toc58938156"/>
      <w:bookmarkStart w:id="7512" w:name="_Toc59006944"/>
      <w:bookmarkStart w:id="7513" w:name="_Toc59013420"/>
      <w:bookmarkStart w:id="7514" w:name="_Toc59013668"/>
      <w:bookmarkStart w:id="7515" w:name="_Toc59025734"/>
      <w:r>
        <w:rPr>
          <w:rFonts w:hint="cs"/>
          <w:rtl/>
        </w:rPr>
        <w:t>דברי הרשב"ם דיש למחזיק שטר אך חזקתו היא בלי טענה</w:t>
      </w:r>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p>
    <w:p w:rsidR="0007171D" w:rsidRDefault="0007171D" w:rsidP="0007171D">
      <w:pPr>
        <w:pStyle w:val="a3"/>
        <w:rPr>
          <w:rtl/>
        </w:rPr>
      </w:pPr>
      <w:bookmarkStart w:id="7516" w:name="_Toc58876170"/>
      <w:bookmarkStart w:id="7517" w:name="_Toc58877578"/>
      <w:bookmarkStart w:id="7518" w:name="_Toc58914637"/>
      <w:bookmarkStart w:id="7519" w:name="_Toc58925931"/>
      <w:bookmarkStart w:id="7520" w:name="_Toc58930004"/>
      <w:bookmarkStart w:id="7521" w:name="_Toc58938157"/>
      <w:bookmarkStart w:id="7522" w:name="_Toc59006945"/>
      <w:bookmarkStart w:id="7523" w:name="_Toc59013421"/>
      <w:bookmarkStart w:id="7524" w:name="_Toc59013669"/>
      <w:bookmarkStart w:id="7525" w:name="_Toc59025735"/>
      <w:r>
        <w:rPr>
          <w:rFonts w:hint="cs"/>
          <w:rtl/>
        </w:rPr>
        <w:t>דברי הרשב"ם דבשעת המכירה אמר המוכר שקנה מהמערער והוי הודאה ול"מ שיש לו שטר</w:t>
      </w:r>
      <w:bookmarkEnd w:id="7516"/>
      <w:bookmarkEnd w:id="7517"/>
      <w:bookmarkEnd w:id="7518"/>
      <w:bookmarkEnd w:id="7519"/>
      <w:bookmarkEnd w:id="7520"/>
      <w:bookmarkEnd w:id="7521"/>
      <w:bookmarkEnd w:id="7522"/>
      <w:bookmarkEnd w:id="7523"/>
      <w:bookmarkEnd w:id="7524"/>
      <w:bookmarkEnd w:id="7525"/>
    </w:p>
    <w:p w:rsidR="0007171D" w:rsidRPr="00287028" w:rsidRDefault="0007171D" w:rsidP="00BA3263">
      <w:pPr>
        <w:pStyle w:val="a0"/>
        <w:numPr>
          <w:ilvl w:val="0"/>
          <w:numId w:val="18"/>
        </w:numPr>
        <w:rPr>
          <w:rStyle w:val="afb"/>
          <w:rtl/>
        </w:rPr>
      </w:pPr>
      <w:bookmarkStart w:id="7526" w:name="_Ref58319390"/>
      <w:bookmarkStart w:id="7527" w:name="_Ref58747277"/>
      <w:bookmarkStart w:id="7528" w:name="_Ref57824398"/>
      <w:r>
        <w:rPr>
          <w:rFonts w:hint="cs"/>
          <w:rtl/>
        </w:rPr>
        <w:t xml:space="preserve">בטענת המחזיק למערער דקניתי מפלוני שאמר לי שקנה ממך, כתב </w:t>
      </w:r>
      <w:r w:rsidRPr="006A50AA">
        <w:rPr>
          <w:rStyle w:val="af9"/>
          <w:rFonts w:hint="cs"/>
          <w:rtl/>
        </w:rPr>
        <w:t>הרשב"ם</w:t>
      </w:r>
      <w:r>
        <w:rPr>
          <w:rFonts w:hint="cs"/>
          <w:rtl/>
        </w:rPr>
        <w:t xml:space="preserve"> </w:t>
      </w:r>
      <w:r w:rsidRPr="007E4E81">
        <w:rPr>
          <w:rStyle w:val="af7"/>
          <w:rFonts w:eastAsia="Guttman Hodes" w:hint="cs"/>
          <w:rtl/>
        </w:rPr>
        <w:t>(ד"ה אמר ליה)</w:t>
      </w:r>
      <w:r>
        <w:rPr>
          <w:rFonts w:hint="cs"/>
          <w:rtl/>
        </w:rPr>
        <w:t xml:space="preserve"> שבשעת המכירה אמר לו המוכר שהוא קנה ממך, וכתב </w:t>
      </w:r>
      <w:r w:rsidRPr="00CA0E79">
        <w:rPr>
          <w:rStyle w:val="af9"/>
          <w:rFonts w:hint="cs"/>
          <w:rtl/>
        </w:rPr>
        <w:t>הרשב"ם</w:t>
      </w:r>
      <w:r>
        <w:rPr>
          <w:rFonts w:hint="cs"/>
          <w:rtl/>
        </w:rPr>
        <w:t xml:space="preserve"> דכיון דלא טען המחזיק שהחזיק שני חזקה, א"כ השטר שלו </w:t>
      </w:r>
      <w:r w:rsidRPr="003A1D12">
        <w:rPr>
          <w:rStyle w:val="afb"/>
          <w:rFonts w:hint="cs"/>
          <w:rtl/>
        </w:rPr>
        <w:t xml:space="preserve">[שקנה מהמוכר] </w:t>
      </w:r>
      <w:r>
        <w:rPr>
          <w:rFonts w:hint="cs"/>
          <w:rtl/>
        </w:rPr>
        <w:t>עדיין בידו, ומ"מ מעמידים ביד המערער, כיון שהוא מודה דבתחילה הקרקע הייתה של המערער,</w:t>
      </w:r>
      <w:r w:rsidRPr="006C71C9">
        <w:rPr>
          <w:rFonts w:hint="cs"/>
          <w:rtl/>
        </w:rPr>
        <w:t xml:space="preserve"> </w:t>
      </w:r>
      <w:r>
        <w:rPr>
          <w:rFonts w:hint="cs"/>
          <w:rtl/>
        </w:rPr>
        <w:t xml:space="preserve">ועי' במה שהקשה </w:t>
      </w:r>
      <w:r w:rsidRPr="00775FC8">
        <w:rPr>
          <w:rStyle w:val="af9"/>
          <w:rFonts w:hint="cs"/>
          <w:rtl/>
        </w:rPr>
        <w:t>התוס' רי"ד</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Ref58925188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7E4E81">
        <w:rPr>
          <w:rStyle w:val="af7"/>
          <w:rFonts w:eastAsia="Guttman Hodes"/>
          <w:rtl/>
        </w:rPr>
        <w:fldChar w:fldCharType="end"/>
      </w:r>
      <w:r w:rsidRPr="007E4E81">
        <w:rPr>
          <w:rStyle w:val="af7"/>
          <w:rFonts w:eastAsia="Guttman Hodes" w:hint="cs"/>
          <w:rtl/>
        </w:rPr>
        <w:t xml:space="preserve"> </w:t>
      </w:r>
      <w:r>
        <w:rPr>
          <w:rFonts w:hint="cs"/>
          <w:rtl/>
        </w:rPr>
        <w:t xml:space="preserve">על </w:t>
      </w:r>
      <w:r w:rsidRPr="00775FC8">
        <w:rPr>
          <w:rStyle w:val="af9"/>
          <w:rFonts w:hint="cs"/>
          <w:rtl/>
        </w:rPr>
        <w:t>הרשב"ם</w:t>
      </w:r>
      <w:r>
        <w:rPr>
          <w:rFonts w:hint="cs"/>
          <w:rtl/>
        </w:rPr>
        <w:t>,</w:t>
      </w:r>
      <w:r w:rsidRPr="00F6090B">
        <w:rPr>
          <w:rFonts w:hint="cs"/>
          <w:rtl/>
        </w:rPr>
        <w:t xml:space="preserve"> </w:t>
      </w:r>
      <w:r>
        <w:rPr>
          <w:rFonts w:hint="cs"/>
          <w:rtl/>
        </w:rPr>
        <w:t xml:space="preserve">ובמ"ש </w:t>
      </w:r>
      <w:r w:rsidRPr="00775FC8">
        <w:rPr>
          <w:rStyle w:val="af9"/>
          <w:rFonts w:hint="cs"/>
          <w:rtl/>
        </w:rPr>
        <w:t>בחי' רבי נחום</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Ref57824434 \r \h</w:instrText>
      </w:r>
      <w:r w:rsidRPr="007E4E81">
        <w:rPr>
          <w:rStyle w:val="af7"/>
          <w:rFonts w:eastAsia="Guttman Hodes"/>
          <w:rtl/>
        </w:rPr>
        <w:instrText xml:space="preserve">  \* </w:instrText>
      </w:r>
      <w:r w:rsidRPr="007E4E81">
        <w:rPr>
          <w:rStyle w:val="af7"/>
          <w:rFonts w:eastAsia="Guttman Hodes"/>
        </w:rPr>
        <w:instrText>MERGEFORMAT</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Pr="007E4E81">
        <w:rPr>
          <w:rStyle w:val="af7"/>
          <w:rFonts w:eastAsia="Guttman Hodes"/>
          <w:rtl/>
        </w:rPr>
        <w:fldChar w:fldCharType="end"/>
      </w:r>
      <w:r w:rsidRPr="00761511">
        <w:rPr>
          <w:rFonts w:hint="cs"/>
          <w:rtl/>
        </w:rPr>
        <w:t xml:space="preserve"> בדברי </w:t>
      </w:r>
      <w:r w:rsidRPr="00761511">
        <w:rPr>
          <w:rStyle w:val="af9"/>
          <w:rFonts w:hint="cs"/>
          <w:rtl/>
        </w:rPr>
        <w:t>הרשב"ם</w:t>
      </w:r>
      <w:r w:rsidRPr="00761511">
        <w:rPr>
          <w:rFonts w:hint="cs"/>
          <w:rtl/>
        </w:rPr>
        <w:t>.</w:t>
      </w:r>
      <w:bookmarkEnd w:id="7526"/>
      <w:r>
        <w:rPr>
          <w:rFonts w:hint="cs"/>
          <w:rtl/>
        </w:rPr>
        <w:t xml:space="preserve"> </w:t>
      </w:r>
      <w:r w:rsidRPr="00287028">
        <w:rPr>
          <w:rStyle w:val="afb"/>
          <w:rFonts w:hint="cs"/>
          <w:rtl/>
        </w:rPr>
        <w:t xml:space="preserve">[במ"ש </w:t>
      </w:r>
      <w:r w:rsidRPr="00287028">
        <w:rPr>
          <w:rStyle w:val="affa"/>
          <w:rFonts w:hint="cs"/>
          <w:rtl/>
        </w:rPr>
        <w:t>הרשב"ם</w:t>
      </w:r>
      <w:r w:rsidRPr="00287028">
        <w:rPr>
          <w:rStyle w:val="afb"/>
          <w:rFonts w:hint="cs"/>
          <w:rtl/>
        </w:rPr>
        <w:t xml:space="preserve"> דיש למחזיק שטר, ע</w:t>
      </w:r>
      <w:r>
        <w:rPr>
          <w:rStyle w:val="afb"/>
          <w:rFonts w:hint="cs"/>
          <w:rtl/>
        </w:rPr>
        <w:t>י'</w:t>
      </w:r>
      <w:r w:rsidRPr="00287028">
        <w:rPr>
          <w:rStyle w:val="afb"/>
          <w:rFonts w:hint="cs"/>
          <w:rtl/>
        </w:rPr>
        <w:t xml:space="preserve"> במ"ש </w:t>
      </w:r>
      <w:r w:rsidRPr="00287028">
        <w:rPr>
          <w:rStyle w:val="affa"/>
          <w:rFonts w:hint="cs"/>
          <w:rtl/>
        </w:rPr>
        <w:t>המהרי"ט</w:t>
      </w:r>
      <w:r w:rsidRPr="00287028">
        <w:rPr>
          <w:rStyle w:val="afb"/>
          <w:rFonts w:hint="cs"/>
          <w:rtl/>
        </w:rPr>
        <w:t xml:space="preserve"> </w:t>
      </w:r>
      <w:r w:rsidRPr="007E4E81">
        <w:rPr>
          <w:rStyle w:val="af7"/>
          <w:rFonts w:eastAsia="Guttman Hodes" w:hint="cs"/>
          <w:rtl/>
        </w:rPr>
        <w:t>(ח"ב חו"מ סי' כ"ז ד"ה ובר</w:t>
      </w:r>
      <w:r w:rsidR="00712D6C" w:rsidRPr="007E4E81">
        <w:rPr>
          <w:rStyle w:val="af7"/>
          <w:rFonts w:eastAsia="Guttman Hodes" w:hint="cs"/>
          <w:rtl/>
        </w:rPr>
        <w:t>, הובא בסימן ט' אות י"ב)</w:t>
      </w:r>
      <w:r>
        <w:rPr>
          <w:rFonts w:hint="cs"/>
          <w:rtl/>
        </w:rPr>
        <w:t xml:space="preserve"> </w:t>
      </w:r>
      <w:r w:rsidRPr="00287028">
        <w:rPr>
          <w:rStyle w:val="affa"/>
          <w:rFonts w:hint="cs"/>
          <w:rtl/>
        </w:rPr>
        <w:t>והקצוה"ח</w:t>
      </w:r>
      <w:r w:rsidRPr="00287028">
        <w:rPr>
          <w:rStyle w:val="afb"/>
          <w:rFonts w:hint="cs"/>
          <w:rtl/>
        </w:rPr>
        <w:t xml:space="preserve"> </w:t>
      </w:r>
      <w:r w:rsidRPr="007E4E81">
        <w:rPr>
          <w:rStyle w:val="af7"/>
          <w:rFonts w:eastAsia="Guttman Hodes" w:hint="cs"/>
          <w:rtl/>
        </w:rPr>
        <w:t>(סי' קמ"ו סק"ט</w:t>
      </w:r>
      <w:r w:rsidR="00712D6C" w:rsidRPr="007E4E81">
        <w:rPr>
          <w:rStyle w:val="af7"/>
          <w:rFonts w:eastAsia="Guttman Hodes" w:hint="cs"/>
          <w:rtl/>
        </w:rPr>
        <w:t>, הובא בסימן ט' אות ט"ז)</w:t>
      </w:r>
      <w:r w:rsidRPr="00287028">
        <w:rPr>
          <w:rStyle w:val="afb"/>
          <w:rFonts w:hint="cs"/>
          <w:rtl/>
        </w:rPr>
        <w:t>].</w:t>
      </w:r>
      <w:bookmarkEnd w:id="7527"/>
    </w:p>
    <w:p w:rsidR="0007171D" w:rsidRPr="00761511" w:rsidRDefault="0007171D" w:rsidP="0007171D">
      <w:pPr>
        <w:pStyle w:val="a3"/>
      </w:pPr>
      <w:bookmarkStart w:id="7529" w:name="_Toc58876171"/>
      <w:bookmarkStart w:id="7530" w:name="_Toc58877579"/>
      <w:bookmarkStart w:id="7531" w:name="_Toc58914638"/>
      <w:bookmarkStart w:id="7532" w:name="_Toc58925932"/>
      <w:bookmarkStart w:id="7533" w:name="_Toc58930005"/>
      <w:bookmarkStart w:id="7534" w:name="_Toc58938158"/>
      <w:bookmarkStart w:id="7535" w:name="_Toc59006946"/>
      <w:bookmarkStart w:id="7536" w:name="_Toc59013422"/>
      <w:bookmarkStart w:id="7537" w:name="_Toc59013670"/>
      <w:bookmarkStart w:id="7538" w:name="_Toc59025736"/>
      <w:r>
        <w:rPr>
          <w:rFonts w:hint="cs"/>
          <w:rtl/>
        </w:rPr>
        <w:t>דברי הרשב"ם דבהחזיק ג"ש היא כחזקה בלא טענה דאינו יודע אם קנה מהמערער</w:t>
      </w:r>
      <w:bookmarkEnd w:id="7529"/>
      <w:bookmarkEnd w:id="7530"/>
      <w:bookmarkEnd w:id="7531"/>
      <w:bookmarkEnd w:id="7532"/>
      <w:bookmarkEnd w:id="7533"/>
      <w:bookmarkEnd w:id="7534"/>
      <w:bookmarkEnd w:id="7535"/>
      <w:bookmarkEnd w:id="7536"/>
      <w:bookmarkEnd w:id="7537"/>
      <w:bookmarkEnd w:id="7538"/>
    </w:p>
    <w:p w:rsidR="0007171D" w:rsidRPr="00181C54" w:rsidRDefault="0007171D" w:rsidP="007E4E81">
      <w:pPr>
        <w:pStyle w:val="a0"/>
        <w:rPr>
          <w:sz w:val="10"/>
          <w:szCs w:val="14"/>
        </w:rPr>
      </w:pPr>
      <w:bookmarkStart w:id="7539" w:name="_Ref58342126"/>
      <w:bookmarkStart w:id="7540" w:name="_Ref58317917"/>
      <w:r w:rsidRPr="00761511">
        <w:rPr>
          <w:rFonts w:hint="cs"/>
          <w:rtl/>
        </w:rPr>
        <w:t xml:space="preserve">והוסיף </w:t>
      </w:r>
      <w:r w:rsidRPr="00761511">
        <w:rPr>
          <w:rStyle w:val="af9"/>
          <w:rFonts w:hint="cs"/>
          <w:rtl/>
        </w:rPr>
        <w:t>הרשב"ם</w:t>
      </w:r>
      <w:r w:rsidRPr="00761511">
        <w:rPr>
          <w:rFonts w:hint="cs"/>
          <w:rtl/>
        </w:rPr>
        <w:t xml:space="preserve"> דאף אם יש למחזיק חזקת ג"ש, אינה חזקה ומוציאים ממנו, כיון שהיא חזקה שאין עמה טענה, דהא המחזיק אינו יודע אם המוכר קנה מהמערער</w:t>
      </w:r>
      <w:r>
        <w:rPr>
          <w:rFonts w:hint="cs"/>
          <w:rtl/>
        </w:rPr>
        <w:t>.</w:t>
      </w:r>
      <w:bookmarkEnd w:id="7539"/>
    </w:p>
    <w:p w:rsidR="0007171D" w:rsidRPr="00761511" w:rsidRDefault="0007171D" w:rsidP="0007171D">
      <w:pPr>
        <w:pStyle w:val="a3"/>
        <w:rPr>
          <w:rtl/>
        </w:rPr>
      </w:pPr>
      <w:bookmarkStart w:id="7541" w:name="_Toc58324986"/>
      <w:bookmarkStart w:id="7542" w:name="_Toc58359129"/>
      <w:bookmarkStart w:id="7543" w:name="_Toc58409389"/>
      <w:bookmarkStart w:id="7544" w:name="_Toc58432783"/>
      <w:bookmarkStart w:id="7545" w:name="_Toc58579985"/>
      <w:bookmarkStart w:id="7546" w:name="_Toc58842988"/>
      <w:bookmarkStart w:id="7547" w:name="_Toc58876172"/>
      <w:bookmarkStart w:id="7548" w:name="_Toc58877580"/>
      <w:bookmarkStart w:id="7549" w:name="_Toc58914639"/>
      <w:bookmarkStart w:id="7550" w:name="_Toc58925933"/>
      <w:bookmarkStart w:id="7551" w:name="_Toc58930006"/>
      <w:bookmarkStart w:id="7552" w:name="_Toc58938159"/>
      <w:bookmarkStart w:id="7553" w:name="_Toc59006947"/>
      <w:bookmarkStart w:id="7554" w:name="_Toc59013423"/>
      <w:bookmarkStart w:id="7555" w:name="_Toc59013671"/>
      <w:bookmarkStart w:id="7556" w:name="_Toc59025737"/>
      <w:r w:rsidRPr="00761511">
        <w:rPr>
          <w:rFonts w:hint="cs"/>
          <w:rtl/>
        </w:rPr>
        <w:t>דברי הרשב"ם דהמחזיק חשיב שמכיר ש</w:t>
      </w:r>
      <w:r>
        <w:rPr>
          <w:rFonts w:hint="cs"/>
          <w:rtl/>
        </w:rPr>
        <w:t>הקרקע</w:t>
      </w:r>
      <w:r w:rsidRPr="00761511">
        <w:rPr>
          <w:rFonts w:hint="cs"/>
          <w:rtl/>
        </w:rPr>
        <w:t xml:space="preserve"> אינה של המוכר ומחזיר אף שאין למערער עדים</w:t>
      </w:r>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p>
    <w:p w:rsidR="0007171D" w:rsidRDefault="0007171D" w:rsidP="007E4E81">
      <w:pPr>
        <w:pStyle w:val="a0"/>
        <w:rPr>
          <w:rStyle w:val="afb"/>
          <w:rtl/>
        </w:rPr>
      </w:pPr>
      <w:bookmarkStart w:id="7557" w:name="_Ref58747348"/>
      <w:r>
        <w:rPr>
          <w:rFonts w:hint="cs"/>
          <w:rtl/>
        </w:rPr>
        <w:t xml:space="preserve">וכתב </w:t>
      </w:r>
      <w:bookmarkStart w:id="7558" w:name="_Toc58272565"/>
      <w:bookmarkEnd w:id="7528"/>
      <w:bookmarkEnd w:id="7540"/>
      <w:r w:rsidRPr="006A50AA">
        <w:rPr>
          <w:rStyle w:val="af9"/>
          <w:rFonts w:hint="cs"/>
          <w:rtl/>
        </w:rPr>
        <w:t>הרשב"ם</w:t>
      </w:r>
      <w:r>
        <w:rPr>
          <w:rFonts w:hint="cs"/>
          <w:rtl/>
        </w:rPr>
        <w:t xml:space="preserve"> ד</w:t>
      </w:r>
      <w:r w:rsidRPr="009B6555">
        <w:rPr>
          <w:rFonts w:hint="cs"/>
          <w:rtl/>
        </w:rPr>
        <w:t>ה</w:t>
      </w:r>
      <w:r>
        <w:rPr>
          <w:rFonts w:hint="cs"/>
          <w:rtl/>
        </w:rPr>
        <w:t>מחזיק</w:t>
      </w:r>
      <w:r w:rsidRPr="009B6555">
        <w:rPr>
          <w:rFonts w:hint="cs"/>
          <w:rtl/>
        </w:rPr>
        <w:t xml:space="preserve"> צריך להחזיר </w:t>
      </w:r>
      <w:r>
        <w:rPr>
          <w:rFonts w:hint="cs"/>
          <w:rtl/>
        </w:rPr>
        <w:t xml:space="preserve">את הקרקע </w:t>
      </w:r>
      <w:r w:rsidRPr="009B6555">
        <w:rPr>
          <w:rFonts w:hint="cs"/>
          <w:rtl/>
        </w:rPr>
        <w:t xml:space="preserve">למערער, </w:t>
      </w:r>
      <w:r>
        <w:rPr>
          <w:rFonts w:hint="cs"/>
          <w:rtl/>
        </w:rPr>
        <w:t xml:space="preserve">כיון דחשיב שידע המחזיק בשעת המכירה דהקרקע אינה של המוכר, </w:t>
      </w:r>
      <w:r w:rsidRPr="009B6555">
        <w:rPr>
          <w:rFonts w:hint="cs"/>
          <w:rtl/>
        </w:rPr>
        <w:t xml:space="preserve">ויגבה </w:t>
      </w:r>
      <w:r>
        <w:rPr>
          <w:rFonts w:hint="cs"/>
          <w:rtl/>
        </w:rPr>
        <w:t xml:space="preserve">המחזיק </w:t>
      </w:r>
      <w:r w:rsidRPr="009B6555">
        <w:rPr>
          <w:rFonts w:hint="cs"/>
          <w:rtl/>
        </w:rPr>
        <w:t>את מעותיו מהמוכר</w:t>
      </w:r>
      <w:r>
        <w:rPr>
          <w:rFonts w:hint="cs"/>
          <w:rtl/>
        </w:rPr>
        <w:t xml:space="preserve">, כדאיתא בגמ' בב"מ </w:t>
      </w:r>
      <w:r w:rsidRPr="00CF6067">
        <w:rPr>
          <w:rStyle w:val="af7"/>
          <w:rFonts w:eastAsia="Guttman Hodes" w:hint="cs"/>
          <w:rtl/>
        </w:rPr>
        <w:t>(טו:)</w:t>
      </w:r>
      <w:r>
        <w:rPr>
          <w:rFonts w:hint="cs"/>
          <w:rtl/>
        </w:rPr>
        <w:t xml:space="preserve"> דאם הלוקח </w:t>
      </w:r>
      <w:r w:rsidRPr="009B6555">
        <w:rPr>
          <w:rFonts w:hint="cs"/>
          <w:rtl/>
        </w:rPr>
        <w:t xml:space="preserve">מכיר </w:t>
      </w:r>
      <w:r>
        <w:rPr>
          <w:rFonts w:hint="cs"/>
          <w:rtl/>
        </w:rPr>
        <w:t>בקרקע</w:t>
      </w:r>
      <w:r w:rsidRPr="009B6555">
        <w:rPr>
          <w:rFonts w:hint="cs"/>
          <w:rtl/>
        </w:rPr>
        <w:t xml:space="preserve"> שאינה של</w:t>
      </w:r>
      <w:r>
        <w:rPr>
          <w:rFonts w:hint="cs"/>
          <w:rtl/>
        </w:rPr>
        <w:t xml:space="preserve"> המוכר ואפ"ה קנה ממנו, דאחר שמוציאין ממנו הוא יכול לגבות את המעות מהמוכר, </w:t>
      </w:r>
      <w:r w:rsidRPr="00FD1C5E">
        <w:rPr>
          <w:rFonts w:hint="cs"/>
          <w:rtl/>
        </w:rPr>
        <w:t xml:space="preserve">והוסיף </w:t>
      </w:r>
      <w:r w:rsidRPr="00FD1C5E">
        <w:rPr>
          <w:rStyle w:val="af9"/>
          <w:rFonts w:hint="cs"/>
          <w:rtl/>
        </w:rPr>
        <w:t>הרשב"ם</w:t>
      </w:r>
      <w:r w:rsidRPr="00FD1C5E">
        <w:rPr>
          <w:rFonts w:hint="cs"/>
          <w:rtl/>
        </w:rPr>
        <w:t xml:space="preserve"> ד</w:t>
      </w:r>
      <w:r>
        <w:rPr>
          <w:rFonts w:hint="cs"/>
          <w:rtl/>
        </w:rPr>
        <w:t>הוא צריך להחזיק למערער אעפ"י ש</w:t>
      </w:r>
      <w:r w:rsidRPr="00FD1C5E">
        <w:rPr>
          <w:rFonts w:hint="cs"/>
          <w:rtl/>
        </w:rPr>
        <w:t>אין לו עדים שהוא המרא קמא</w:t>
      </w:r>
      <w:r>
        <w:rPr>
          <w:rFonts w:hint="cs"/>
          <w:rtl/>
        </w:rPr>
        <w:t>,</w:t>
      </w:r>
      <w:r w:rsidRPr="00FD1C5E">
        <w:rPr>
          <w:rFonts w:hint="cs"/>
          <w:rtl/>
        </w:rPr>
        <w:t xml:space="preserve"> </w:t>
      </w:r>
      <w:r>
        <w:rPr>
          <w:rFonts w:hint="cs"/>
          <w:rtl/>
        </w:rPr>
        <w:t>כד</w:t>
      </w:r>
      <w:r w:rsidRPr="00FD1C5E">
        <w:rPr>
          <w:rFonts w:hint="cs"/>
          <w:rtl/>
        </w:rPr>
        <w:t>מוכח מהא דאמר המערער למחזיק לאו קא מודית</w:t>
      </w:r>
      <w:r>
        <w:rPr>
          <w:rFonts w:hint="cs"/>
          <w:rtl/>
        </w:rPr>
        <w:t xml:space="preserve">, ועי' במ"ש </w:t>
      </w:r>
      <w:r w:rsidRPr="00775FC8">
        <w:rPr>
          <w:rStyle w:val="af9"/>
          <w:rFonts w:hint="cs"/>
          <w:rtl/>
        </w:rPr>
        <w:t>בחי' רבי נחום</w:t>
      </w:r>
      <w:r>
        <w:rPr>
          <w:rFonts w:hint="cs"/>
          <w:rtl/>
        </w:rPr>
        <w:t xml:space="preserve"> </w:t>
      </w:r>
      <w:r w:rsidRPr="00761511">
        <w:rPr>
          <w:rStyle w:val="af7"/>
          <w:rFonts w:eastAsia="Guttman Hodes" w:hint="cs"/>
          <w:rtl/>
        </w:rPr>
        <w:t xml:space="preserve">(עי' אות </w:t>
      </w:r>
      <w:r w:rsidRPr="00761511">
        <w:rPr>
          <w:rStyle w:val="af7"/>
          <w:rFonts w:eastAsia="Guttman Hodes"/>
          <w:rtl/>
        </w:rPr>
        <w:fldChar w:fldCharType="begin"/>
      </w:r>
      <w:r w:rsidRPr="00761511">
        <w:rPr>
          <w:rStyle w:val="af7"/>
          <w:rFonts w:eastAsia="Guttman Hodes"/>
          <w:rtl/>
        </w:rPr>
        <w:instrText xml:space="preserve"> </w:instrText>
      </w:r>
      <w:r w:rsidRPr="00761511">
        <w:rPr>
          <w:rStyle w:val="af7"/>
          <w:rFonts w:eastAsia="Guttman Hodes" w:hint="cs"/>
        </w:rPr>
        <w:instrText>REF</w:instrText>
      </w:r>
      <w:r w:rsidRPr="00761511">
        <w:rPr>
          <w:rStyle w:val="af7"/>
          <w:rFonts w:eastAsia="Guttman Hodes" w:hint="cs"/>
          <w:rtl/>
        </w:rPr>
        <w:instrText xml:space="preserve"> _</w:instrText>
      </w:r>
      <w:r w:rsidRPr="00761511">
        <w:rPr>
          <w:rStyle w:val="af7"/>
          <w:rFonts w:eastAsia="Guttman Hodes" w:hint="cs"/>
        </w:rPr>
        <w:instrText>Ref57824434 \r \h</w:instrText>
      </w:r>
      <w:r w:rsidRPr="0076151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61511">
        <w:rPr>
          <w:rStyle w:val="af7"/>
          <w:rFonts w:eastAsia="Guttman Hodes"/>
          <w:rtl/>
        </w:rPr>
      </w:r>
      <w:r w:rsidRPr="00761511">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Pr="00761511">
        <w:rPr>
          <w:rStyle w:val="af7"/>
          <w:rFonts w:eastAsia="Guttman Hodes"/>
          <w:rtl/>
        </w:rPr>
        <w:fldChar w:fldCharType="end"/>
      </w:r>
      <w:r w:rsidRPr="00761511">
        <w:rPr>
          <w:rFonts w:hint="cs"/>
          <w:rtl/>
        </w:rPr>
        <w:t xml:space="preserve"> בדברי </w:t>
      </w:r>
      <w:r w:rsidRPr="00761511">
        <w:rPr>
          <w:rStyle w:val="af9"/>
          <w:rFonts w:hint="cs"/>
          <w:rtl/>
        </w:rPr>
        <w:t>הרשב"ם</w:t>
      </w:r>
      <w:r>
        <w:rPr>
          <w:rFonts w:hint="cs"/>
          <w:rtl/>
        </w:rPr>
        <w:t xml:space="preserve">. </w:t>
      </w:r>
      <w:r w:rsidRPr="00FD1C5E">
        <w:rPr>
          <w:rStyle w:val="afb"/>
          <w:rFonts w:hint="cs"/>
          <w:rtl/>
        </w:rPr>
        <w:t>[</w:t>
      </w:r>
      <w:r>
        <w:rPr>
          <w:rStyle w:val="afb"/>
          <w:rFonts w:hint="cs"/>
          <w:rtl/>
        </w:rPr>
        <w:t xml:space="preserve">ועי' במ"ש </w:t>
      </w:r>
      <w:r w:rsidRPr="00AB2399">
        <w:rPr>
          <w:rStyle w:val="affa"/>
          <w:rFonts w:hint="cs"/>
          <w:rtl/>
        </w:rPr>
        <w:t>הדרישה</w:t>
      </w:r>
      <w:r>
        <w:rPr>
          <w:rStyle w:val="affa"/>
          <w:rFonts w:hint="cs"/>
          <w:rtl/>
        </w:rPr>
        <w:t xml:space="preserve"> </w:t>
      </w:r>
      <w:r w:rsidRPr="007731D7">
        <w:rPr>
          <w:rStyle w:val="aff6"/>
          <w:rFonts w:hint="cs"/>
          <w:rtl/>
        </w:rPr>
        <w:t>(עי' הערה</w:t>
      </w:r>
      <w:r w:rsidRPr="00B16C3F">
        <w:rPr>
          <w:vertAlign w:val="superscript"/>
          <w:rtl/>
        </w:rPr>
        <w:fldChar w:fldCharType="begin"/>
      </w:r>
      <w:r w:rsidRPr="00B16C3F">
        <w:rPr>
          <w:vertAlign w:val="superscript"/>
          <w:rtl/>
        </w:rPr>
        <w:instrText xml:space="preserve"> </w:instrText>
      </w:r>
      <w:r w:rsidRPr="00B16C3F">
        <w:rPr>
          <w:rFonts w:hint="cs"/>
          <w:vertAlign w:val="superscript"/>
        </w:rPr>
        <w:instrText>NOTEREF</w:instrText>
      </w:r>
      <w:r w:rsidRPr="00B16C3F">
        <w:rPr>
          <w:rFonts w:hint="cs"/>
          <w:vertAlign w:val="superscript"/>
          <w:rtl/>
        </w:rPr>
        <w:instrText xml:space="preserve"> _</w:instrText>
      </w:r>
      <w:r w:rsidRPr="00B16C3F">
        <w:rPr>
          <w:rFonts w:hint="cs"/>
          <w:vertAlign w:val="superscript"/>
        </w:rPr>
        <w:instrText>Ref59536220 \h</w:instrText>
      </w:r>
      <w:r w:rsidRPr="00B16C3F">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16C3F">
        <w:rPr>
          <w:vertAlign w:val="superscript"/>
          <w:rtl/>
        </w:rPr>
      </w:r>
      <w:r w:rsidRPr="00B16C3F">
        <w:rPr>
          <w:vertAlign w:val="superscript"/>
          <w:rtl/>
        </w:rPr>
        <w:fldChar w:fldCharType="separate"/>
      </w:r>
      <w:r w:rsidR="00265073">
        <w:rPr>
          <w:vertAlign w:val="superscript"/>
          <w:rtl/>
        </w:rPr>
        <w:t>56</w:t>
      </w:r>
      <w:r w:rsidRPr="00B16C3F">
        <w:rPr>
          <w:vertAlign w:val="superscript"/>
          <w:rtl/>
        </w:rPr>
        <w:fldChar w:fldCharType="end"/>
      </w:r>
      <w:r w:rsidRPr="007731D7">
        <w:rPr>
          <w:rStyle w:val="aff6"/>
          <w:rFonts w:hint="cs"/>
          <w:rtl/>
        </w:rPr>
        <w:t>)</w:t>
      </w:r>
      <w:r>
        <w:rPr>
          <w:rFonts w:hint="cs"/>
          <w:vertAlign w:val="superscript"/>
          <w:rtl/>
        </w:rPr>
        <w:t xml:space="preserve"> </w:t>
      </w:r>
      <w:r w:rsidRPr="00B16C3F">
        <w:rPr>
          <w:rStyle w:val="afb"/>
          <w:rFonts w:hint="cs"/>
          <w:rtl/>
        </w:rPr>
        <w:t>ב</w:t>
      </w:r>
      <w:r>
        <w:rPr>
          <w:rStyle w:val="afb"/>
          <w:rFonts w:hint="cs"/>
          <w:rtl/>
        </w:rPr>
        <w:t xml:space="preserve">מ"ש </w:t>
      </w:r>
      <w:r w:rsidRPr="00B16C3F">
        <w:rPr>
          <w:rStyle w:val="affa"/>
          <w:rFonts w:hint="cs"/>
          <w:rtl/>
        </w:rPr>
        <w:t xml:space="preserve">הרשב"ם </w:t>
      </w:r>
      <w:r w:rsidRPr="00B16C3F">
        <w:rPr>
          <w:rStyle w:val="afb"/>
          <w:rFonts w:hint="cs"/>
          <w:rtl/>
        </w:rPr>
        <w:t>דאין עדים למערער</w:t>
      </w:r>
      <w:r>
        <w:rPr>
          <w:rStyle w:val="afb"/>
          <w:rFonts w:hint="cs"/>
          <w:rtl/>
        </w:rPr>
        <w:t xml:space="preserve">, ובעיקר דברי </w:t>
      </w:r>
      <w:r w:rsidRPr="00EE7483">
        <w:rPr>
          <w:rStyle w:val="affa"/>
          <w:rFonts w:hint="cs"/>
          <w:rtl/>
        </w:rPr>
        <w:t>הרשב"ם</w:t>
      </w:r>
      <w:r>
        <w:rPr>
          <w:rStyle w:val="afb"/>
          <w:rFonts w:hint="cs"/>
          <w:rtl/>
        </w:rPr>
        <w:t xml:space="preserve"> דגובה מהמוכר, </w:t>
      </w:r>
      <w:r w:rsidRPr="00FD1C5E">
        <w:rPr>
          <w:rStyle w:val="afb"/>
          <w:rFonts w:hint="cs"/>
          <w:rtl/>
        </w:rPr>
        <w:t>עי' בד</w:t>
      </w:r>
      <w:r>
        <w:rPr>
          <w:rStyle w:val="afb"/>
          <w:rFonts w:hint="cs"/>
          <w:rtl/>
        </w:rPr>
        <w:t>ברי</w:t>
      </w:r>
      <w:r w:rsidRPr="00FD1C5E">
        <w:rPr>
          <w:rStyle w:val="afb"/>
          <w:rFonts w:hint="cs"/>
          <w:rtl/>
        </w:rPr>
        <w:t xml:space="preserve"> </w:t>
      </w:r>
      <w:r w:rsidRPr="00FD1C5E">
        <w:rPr>
          <w:rStyle w:val="affa"/>
          <w:rFonts w:hint="cs"/>
          <w:rtl/>
        </w:rPr>
        <w:t>רבינו יונה</w:t>
      </w:r>
      <w:r>
        <w:rPr>
          <w:rStyle w:val="afb"/>
          <w:rFonts w:hint="cs"/>
          <w:rtl/>
        </w:rPr>
        <w:t xml:space="preserve"> </w:t>
      </w:r>
      <w:r w:rsidRPr="00FD1C5E">
        <w:rPr>
          <w:rStyle w:val="aff6"/>
          <w:rFonts w:hint="cs"/>
          <w:rtl/>
        </w:rPr>
        <w:t>(עי'</w:t>
      </w:r>
      <w:r w:rsidRPr="00FD1C5E">
        <w:rPr>
          <w:rStyle w:val="afb"/>
          <w:rFonts w:hint="cs"/>
          <w:rtl/>
        </w:rPr>
        <w:t xml:space="preserve"> </w:t>
      </w:r>
      <w:r w:rsidRPr="00FD1C5E">
        <w:rPr>
          <w:rStyle w:val="aff6"/>
          <w:rFonts w:hint="cs"/>
          <w:rtl/>
        </w:rPr>
        <w:t xml:space="preserve">אות </w:t>
      </w:r>
      <w:r w:rsidRPr="00FD1C5E">
        <w:rPr>
          <w:rStyle w:val="aff6"/>
          <w:rtl/>
        </w:rPr>
        <w:fldChar w:fldCharType="begin"/>
      </w:r>
      <w:r w:rsidRPr="00FD1C5E">
        <w:rPr>
          <w:rStyle w:val="aff6"/>
          <w:rtl/>
        </w:rPr>
        <w:instrText xml:space="preserve"> </w:instrText>
      </w:r>
      <w:r w:rsidRPr="00FD1C5E">
        <w:rPr>
          <w:rStyle w:val="aff6"/>
          <w:rFonts w:hint="cs"/>
        </w:rPr>
        <w:instrText>REF</w:instrText>
      </w:r>
      <w:r w:rsidRPr="00FD1C5E">
        <w:rPr>
          <w:rStyle w:val="aff6"/>
          <w:rFonts w:hint="cs"/>
          <w:rtl/>
        </w:rPr>
        <w:instrText xml:space="preserve"> _</w:instrText>
      </w:r>
      <w:r w:rsidRPr="00FD1C5E">
        <w:rPr>
          <w:rStyle w:val="aff6"/>
          <w:rFonts w:hint="cs"/>
        </w:rPr>
        <w:instrText>Ref57823117 \r \h</w:instrText>
      </w:r>
      <w:r w:rsidRPr="00FD1C5E">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FD1C5E">
        <w:rPr>
          <w:rStyle w:val="aff6"/>
          <w:rtl/>
        </w:rPr>
      </w:r>
      <w:r w:rsidRPr="00FD1C5E">
        <w:rPr>
          <w:rStyle w:val="aff6"/>
          <w:rtl/>
        </w:rPr>
        <w:fldChar w:fldCharType="separate"/>
      </w:r>
      <w:r w:rsidR="00265073">
        <w:rPr>
          <w:rStyle w:val="aff6"/>
          <w:cs/>
        </w:rPr>
        <w:t>‎</w:t>
      </w:r>
      <w:r w:rsidR="00265073">
        <w:rPr>
          <w:rStyle w:val="aff6"/>
          <w:rtl/>
        </w:rPr>
        <w:t>ע)</w:t>
      </w:r>
      <w:r w:rsidRPr="00FD1C5E">
        <w:rPr>
          <w:rStyle w:val="aff6"/>
          <w:rtl/>
        </w:rPr>
        <w:fldChar w:fldCharType="end"/>
      </w:r>
      <w:r w:rsidRPr="00FD1C5E">
        <w:rPr>
          <w:rStyle w:val="afb"/>
          <w:rFonts w:hint="cs"/>
          <w:rtl/>
        </w:rPr>
        <w:t xml:space="preserve"> </w:t>
      </w:r>
      <w:r>
        <w:rPr>
          <w:rStyle w:val="afb"/>
          <w:rFonts w:hint="cs"/>
          <w:rtl/>
        </w:rPr>
        <w:t xml:space="preserve">דפליג על </w:t>
      </w:r>
      <w:r w:rsidRPr="005840A4">
        <w:rPr>
          <w:rStyle w:val="affa"/>
          <w:rFonts w:hint="cs"/>
          <w:rtl/>
        </w:rPr>
        <w:t>הרשב"ם</w:t>
      </w:r>
      <w:r>
        <w:rPr>
          <w:rStyle w:val="afb"/>
          <w:rFonts w:hint="cs"/>
          <w:rtl/>
        </w:rPr>
        <w:t>, ו</w:t>
      </w:r>
      <w:r w:rsidRPr="00FD1C5E">
        <w:rPr>
          <w:rStyle w:val="afb"/>
          <w:rFonts w:hint="cs"/>
          <w:rtl/>
        </w:rPr>
        <w:t>כתב דאין המוכר צריך להחזיר מעותיו</w:t>
      </w:r>
      <w:r w:rsidRPr="00FD1C5E">
        <w:rPr>
          <w:rStyle w:val="affa"/>
          <w:rFonts w:hint="cs"/>
          <w:rtl/>
        </w:rPr>
        <w:t>,</w:t>
      </w:r>
      <w:r>
        <w:rPr>
          <w:rStyle w:val="afb"/>
          <w:rFonts w:hint="cs"/>
          <w:rtl/>
        </w:rPr>
        <w:t xml:space="preserve"> </w:t>
      </w:r>
      <w:r w:rsidRPr="00FD1C5E">
        <w:rPr>
          <w:rStyle w:val="afb"/>
          <w:rFonts w:hint="cs"/>
          <w:rtl/>
        </w:rPr>
        <w:t xml:space="preserve">ובמה שהקשה </w:t>
      </w:r>
      <w:r w:rsidRPr="00FD1C5E">
        <w:rPr>
          <w:rStyle w:val="affa"/>
          <w:rFonts w:hint="cs"/>
          <w:rtl/>
        </w:rPr>
        <w:t>התוס' רי"ד</w:t>
      </w:r>
      <w:r w:rsidRPr="00FD1C5E">
        <w:rPr>
          <w:rStyle w:val="afb"/>
          <w:rFonts w:hint="cs"/>
          <w:rtl/>
        </w:rPr>
        <w:t xml:space="preserve"> </w:t>
      </w:r>
      <w:r w:rsidRPr="00FD1C5E">
        <w:rPr>
          <w:rStyle w:val="aff6"/>
          <w:rFonts w:hint="cs"/>
          <w:rtl/>
        </w:rPr>
        <w:t xml:space="preserve">(עי' אות </w:t>
      </w:r>
      <w:r w:rsidRPr="00FD1C5E">
        <w:rPr>
          <w:rStyle w:val="aff6"/>
          <w:rtl/>
        </w:rPr>
        <w:fldChar w:fldCharType="begin"/>
      </w:r>
      <w:r w:rsidRPr="00FD1C5E">
        <w:rPr>
          <w:rStyle w:val="aff6"/>
          <w:rtl/>
        </w:rPr>
        <w:instrText xml:space="preserve"> </w:instrText>
      </w:r>
      <w:r w:rsidRPr="00FD1C5E">
        <w:rPr>
          <w:rStyle w:val="aff6"/>
          <w:rFonts w:hint="cs"/>
        </w:rPr>
        <w:instrText>REF</w:instrText>
      </w:r>
      <w:r w:rsidRPr="00FD1C5E">
        <w:rPr>
          <w:rStyle w:val="aff6"/>
          <w:rFonts w:hint="cs"/>
          <w:rtl/>
        </w:rPr>
        <w:instrText xml:space="preserve"> _</w:instrText>
      </w:r>
      <w:r w:rsidRPr="00FD1C5E">
        <w:rPr>
          <w:rStyle w:val="aff6"/>
          <w:rFonts w:hint="cs"/>
        </w:rPr>
        <w:instrText>Ref57909944 \r \h</w:instrText>
      </w:r>
      <w:r w:rsidRPr="00FD1C5E">
        <w:rPr>
          <w:rStyle w:val="aff6"/>
          <w:rtl/>
        </w:rPr>
        <w:instrText xml:space="preserve"> </w:instrText>
      </w:r>
      <w:r w:rsidRPr="00FD1C5E">
        <w:rPr>
          <w:rStyle w:val="aff6"/>
          <w:rtl/>
        </w:rPr>
      </w:r>
      <w:r w:rsidRPr="00FD1C5E">
        <w:rPr>
          <w:rStyle w:val="aff6"/>
          <w:rtl/>
        </w:rPr>
        <w:fldChar w:fldCharType="separate"/>
      </w:r>
      <w:r w:rsidR="00265073">
        <w:rPr>
          <w:rStyle w:val="aff6"/>
          <w:cs/>
        </w:rPr>
        <w:t>‎</w:t>
      </w:r>
      <w:r w:rsidR="00265073">
        <w:rPr>
          <w:rStyle w:val="aff6"/>
          <w:rtl/>
        </w:rPr>
        <w:t>עד)</w:t>
      </w:r>
      <w:r w:rsidRPr="00FD1C5E">
        <w:rPr>
          <w:rStyle w:val="aff6"/>
          <w:rtl/>
        </w:rPr>
        <w:fldChar w:fldCharType="end"/>
      </w:r>
      <w:r w:rsidRPr="00FD1C5E">
        <w:rPr>
          <w:rStyle w:val="afb"/>
          <w:rFonts w:hint="cs"/>
          <w:rtl/>
        </w:rPr>
        <w:t xml:space="preserve"> על </w:t>
      </w:r>
      <w:r w:rsidRPr="00FD1C5E">
        <w:rPr>
          <w:rStyle w:val="affa"/>
          <w:rFonts w:hint="cs"/>
          <w:rtl/>
        </w:rPr>
        <w:t>הרשב"ם</w:t>
      </w:r>
      <w:r w:rsidRPr="00FD1C5E">
        <w:rPr>
          <w:rStyle w:val="afb"/>
          <w:rFonts w:hint="cs"/>
          <w:rtl/>
        </w:rPr>
        <w:t>, ובמ</w:t>
      </w:r>
      <w:r>
        <w:rPr>
          <w:rStyle w:val="afb"/>
          <w:rFonts w:hint="cs"/>
          <w:rtl/>
        </w:rPr>
        <w:t>ה שביאר</w:t>
      </w:r>
      <w:r w:rsidRPr="00FD1C5E">
        <w:rPr>
          <w:rStyle w:val="afb"/>
          <w:rFonts w:hint="cs"/>
          <w:rtl/>
        </w:rPr>
        <w:t xml:space="preserve"> </w:t>
      </w:r>
      <w:r w:rsidRPr="00FD1C5E">
        <w:rPr>
          <w:rStyle w:val="affa"/>
          <w:rFonts w:hint="cs"/>
          <w:rtl/>
        </w:rPr>
        <w:t>בחי' רבי נחום</w:t>
      </w:r>
      <w:r w:rsidRPr="00FD1C5E">
        <w:rPr>
          <w:rStyle w:val="afb"/>
          <w:rFonts w:hint="cs"/>
          <w:rtl/>
        </w:rPr>
        <w:t xml:space="preserve"> </w:t>
      </w:r>
      <w:r w:rsidRPr="00FD1C5E">
        <w:rPr>
          <w:rStyle w:val="aff6"/>
          <w:rFonts w:hint="cs"/>
          <w:rtl/>
        </w:rPr>
        <w:t xml:space="preserve">(עי' אות </w:t>
      </w:r>
      <w:r w:rsidRPr="00FD1C5E">
        <w:rPr>
          <w:rStyle w:val="aff6"/>
          <w:rtl/>
        </w:rPr>
        <w:fldChar w:fldCharType="begin"/>
      </w:r>
      <w:r w:rsidRPr="00FD1C5E">
        <w:rPr>
          <w:rStyle w:val="aff6"/>
          <w:rtl/>
        </w:rPr>
        <w:instrText xml:space="preserve"> </w:instrText>
      </w:r>
      <w:r w:rsidRPr="00FD1C5E">
        <w:rPr>
          <w:rStyle w:val="aff6"/>
          <w:rFonts w:hint="cs"/>
        </w:rPr>
        <w:instrText>REF</w:instrText>
      </w:r>
      <w:r w:rsidRPr="00FD1C5E">
        <w:rPr>
          <w:rStyle w:val="aff6"/>
          <w:rFonts w:hint="cs"/>
          <w:rtl/>
        </w:rPr>
        <w:instrText xml:space="preserve"> _</w:instrText>
      </w:r>
      <w:r w:rsidRPr="00FD1C5E">
        <w:rPr>
          <w:rStyle w:val="aff6"/>
          <w:rFonts w:hint="cs"/>
        </w:rPr>
        <w:instrText>Ref57824456 \r \h</w:instrText>
      </w:r>
      <w:r w:rsidRPr="00FD1C5E">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FD1C5E">
        <w:rPr>
          <w:rStyle w:val="aff6"/>
          <w:rtl/>
        </w:rPr>
      </w:r>
      <w:r w:rsidRPr="00FD1C5E">
        <w:rPr>
          <w:rStyle w:val="aff6"/>
          <w:rtl/>
        </w:rPr>
        <w:fldChar w:fldCharType="separate"/>
      </w:r>
      <w:r w:rsidR="00265073">
        <w:rPr>
          <w:rStyle w:val="aff6"/>
          <w:cs/>
        </w:rPr>
        <w:t>‎</w:t>
      </w:r>
      <w:r w:rsidR="00265073">
        <w:rPr>
          <w:rStyle w:val="aff6"/>
          <w:rtl/>
        </w:rPr>
        <w:t>פז)</w:t>
      </w:r>
      <w:r w:rsidRPr="00FD1C5E">
        <w:rPr>
          <w:rStyle w:val="aff6"/>
          <w:rtl/>
        </w:rPr>
        <w:fldChar w:fldCharType="end"/>
      </w:r>
      <w:r w:rsidRPr="00FD1C5E">
        <w:rPr>
          <w:rStyle w:val="afb"/>
          <w:rFonts w:hint="cs"/>
          <w:rtl/>
        </w:rPr>
        <w:t xml:space="preserve"> בדברי </w:t>
      </w:r>
      <w:r w:rsidRPr="00FD1C5E">
        <w:rPr>
          <w:rStyle w:val="affa"/>
          <w:rFonts w:hint="cs"/>
          <w:rtl/>
        </w:rPr>
        <w:t>הרשב"ם</w:t>
      </w:r>
      <w:r w:rsidRPr="00FD1C5E">
        <w:rPr>
          <w:rStyle w:val="afb"/>
          <w:rFonts w:hint="cs"/>
          <w:rtl/>
        </w:rPr>
        <w:t>]</w:t>
      </w:r>
      <w:r>
        <w:rPr>
          <w:rStyle w:val="afb"/>
          <w:rFonts w:hint="cs"/>
          <w:rtl/>
        </w:rPr>
        <w:t>.</w:t>
      </w:r>
      <w:bookmarkEnd w:id="7557"/>
    </w:p>
    <w:p w:rsidR="0007171D" w:rsidRDefault="0007171D" w:rsidP="0007171D">
      <w:pPr>
        <w:pStyle w:val="1"/>
        <w:rPr>
          <w:rtl/>
        </w:rPr>
      </w:pPr>
      <w:bookmarkStart w:id="7559" w:name="_Toc58325018"/>
      <w:bookmarkStart w:id="7560" w:name="_Toc58272587"/>
      <w:bookmarkStart w:id="7561" w:name="_Toc58144902"/>
      <w:bookmarkStart w:id="7562" w:name="_Toc58091626"/>
      <w:bookmarkStart w:id="7563" w:name="_Toc57925934"/>
      <w:bookmarkStart w:id="7564" w:name="_Toc58359130"/>
      <w:bookmarkStart w:id="7565" w:name="_Toc58409390"/>
      <w:bookmarkStart w:id="7566" w:name="_Toc58432784"/>
      <w:bookmarkStart w:id="7567" w:name="_Toc58579986"/>
      <w:bookmarkStart w:id="7568" w:name="_Toc58842989"/>
      <w:bookmarkStart w:id="7569" w:name="_Toc58876173"/>
      <w:bookmarkStart w:id="7570" w:name="_Toc58877581"/>
      <w:bookmarkStart w:id="7571" w:name="_Toc58914640"/>
      <w:bookmarkStart w:id="7572" w:name="_Toc58925934"/>
      <w:bookmarkStart w:id="7573" w:name="_Toc58930007"/>
      <w:bookmarkStart w:id="7574" w:name="_Toc58938160"/>
      <w:bookmarkStart w:id="7575" w:name="_Toc59006948"/>
      <w:bookmarkStart w:id="7576" w:name="_Toc59013424"/>
      <w:bookmarkStart w:id="7577" w:name="_Toc59013672"/>
      <w:bookmarkStart w:id="7578" w:name="_Toc59025738"/>
      <w:bookmarkStart w:id="7579" w:name="_Toc58324987"/>
      <w:r>
        <w:rPr>
          <w:rFonts w:hint="cs"/>
          <w:rtl/>
        </w:rPr>
        <w:t>דברי הרשב"ם דיש הודאת בע"ד למר"ק וספק אם קנה המוכר</w:t>
      </w:r>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p>
    <w:p w:rsidR="0007171D" w:rsidRDefault="0007171D" w:rsidP="0007171D">
      <w:pPr>
        <w:pStyle w:val="a3"/>
        <w:rPr>
          <w:rtl/>
        </w:rPr>
      </w:pPr>
      <w:bookmarkStart w:id="7580" w:name="_Toc58876174"/>
      <w:bookmarkStart w:id="7581" w:name="_Toc58877582"/>
      <w:bookmarkStart w:id="7582" w:name="_Toc58914641"/>
      <w:bookmarkStart w:id="7583" w:name="_Toc58925935"/>
      <w:bookmarkStart w:id="7584" w:name="_Toc58930008"/>
      <w:bookmarkStart w:id="7585" w:name="_Toc58938161"/>
      <w:bookmarkStart w:id="7586" w:name="_Toc59006949"/>
      <w:bookmarkStart w:id="7587" w:name="_Toc59013425"/>
      <w:bookmarkStart w:id="7588" w:name="_Toc59013673"/>
      <w:bookmarkStart w:id="7589" w:name="_Toc59025739"/>
      <w:r>
        <w:rPr>
          <w:rFonts w:hint="cs"/>
          <w:rtl/>
        </w:rPr>
        <w:t>דברי הרשב"ם דהודה המחזיק למערער ואינו יודע אם המוכר קנה מהמערער ומפסיד את הקרקע</w:t>
      </w:r>
      <w:bookmarkEnd w:id="7580"/>
      <w:bookmarkEnd w:id="7581"/>
      <w:bookmarkEnd w:id="7582"/>
      <w:bookmarkEnd w:id="7583"/>
      <w:bookmarkEnd w:id="7584"/>
      <w:bookmarkEnd w:id="7585"/>
      <w:bookmarkEnd w:id="7586"/>
      <w:bookmarkEnd w:id="7587"/>
      <w:bookmarkEnd w:id="7588"/>
      <w:bookmarkEnd w:id="7589"/>
    </w:p>
    <w:p w:rsidR="0007171D" w:rsidRPr="0069362D" w:rsidRDefault="0007171D" w:rsidP="007E4E81">
      <w:pPr>
        <w:pStyle w:val="a0"/>
        <w:rPr>
          <w:rStyle w:val="afb"/>
          <w:rtl/>
        </w:rPr>
      </w:pPr>
      <w:r>
        <w:rPr>
          <w:rFonts w:hint="cs"/>
          <w:rtl/>
        </w:rPr>
        <w:t xml:space="preserve">וביאר </w:t>
      </w:r>
      <w:r>
        <w:rPr>
          <w:rStyle w:val="af9"/>
          <w:rtl/>
        </w:rPr>
        <w:t>הרשב"ם</w:t>
      </w:r>
      <w:r>
        <w:rPr>
          <w:rFonts w:hint="cs"/>
          <w:rtl/>
        </w:rPr>
        <w:t xml:space="preserve"> </w:t>
      </w:r>
      <w:r>
        <w:rPr>
          <w:rStyle w:val="af7"/>
          <w:rFonts w:eastAsia="Guttman Hodes" w:hint="cs"/>
          <w:rtl/>
        </w:rPr>
        <w:t>(ד"ה אמר ליה)</w:t>
      </w:r>
      <w:r>
        <w:rPr>
          <w:rFonts w:hint="cs"/>
          <w:rtl/>
        </w:rPr>
        <w:t xml:space="preserve"> דכיון שהמחזיק מודה דהקרקע הייתה של המערער, א"כ הודאת בע"ד כמאה עדים, </w:t>
      </w:r>
      <w:r>
        <w:rPr>
          <w:rStyle w:val="afb"/>
          <w:rtl/>
        </w:rPr>
        <w:t xml:space="preserve">[וחשיב שיש עדים שהמערער הוא המרא קמא], </w:t>
      </w:r>
      <w:r>
        <w:rPr>
          <w:rFonts w:hint="cs"/>
          <w:rtl/>
        </w:rPr>
        <w:t xml:space="preserve">וכן הוא מודה שאינו יודע אם המוכר קנה </w:t>
      </w:r>
      <w:r>
        <w:rPr>
          <w:rFonts w:hint="cs"/>
          <w:rtl/>
        </w:rPr>
        <w:t xml:space="preserve">מהמערער או לא, דהרי אינו טוען קמי דידי זבנה מינך, ואין לו עדים שהמוכר היה דר בה חד יומא, לכן הוא מפסיד את הקרקע, ומעמידים ביד המערער. </w:t>
      </w:r>
      <w:r w:rsidRPr="0069362D">
        <w:rPr>
          <w:rStyle w:val="afb"/>
          <w:rFonts w:hint="cs"/>
          <w:rtl/>
        </w:rPr>
        <w:t>[</w:t>
      </w:r>
      <w:r>
        <w:rPr>
          <w:rStyle w:val="afb"/>
          <w:rFonts w:hint="cs"/>
          <w:rtl/>
        </w:rPr>
        <w:t xml:space="preserve">ועי' במה שביאר </w:t>
      </w:r>
      <w:r w:rsidRPr="005D38BE">
        <w:rPr>
          <w:rStyle w:val="affa"/>
          <w:rFonts w:hint="cs"/>
          <w:rtl/>
        </w:rPr>
        <w:t>הרשב"ם</w:t>
      </w:r>
      <w:r>
        <w:rPr>
          <w:rStyle w:val="afb"/>
          <w:rFonts w:hint="cs"/>
          <w:rtl/>
        </w:rPr>
        <w:t xml:space="preserve"> </w:t>
      </w:r>
      <w:r w:rsidRPr="005D38BE">
        <w:rPr>
          <w:rStyle w:val="aff6"/>
          <w:rFonts w:hint="cs"/>
          <w:rtl/>
        </w:rPr>
        <w:t xml:space="preserve">(עי' אות </w:t>
      </w:r>
      <w:r w:rsidRPr="005D38BE">
        <w:rPr>
          <w:rStyle w:val="aff6"/>
          <w:rtl/>
        </w:rPr>
        <w:fldChar w:fldCharType="begin"/>
      </w:r>
      <w:r w:rsidRPr="005D38BE">
        <w:rPr>
          <w:rStyle w:val="aff6"/>
          <w:rtl/>
        </w:rPr>
        <w:instrText xml:space="preserve"> </w:instrText>
      </w:r>
      <w:r w:rsidRPr="005D38BE">
        <w:rPr>
          <w:rStyle w:val="aff6"/>
          <w:rFonts w:hint="cs"/>
        </w:rPr>
        <w:instrText>REF</w:instrText>
      </w:r>
      <w:r w:rsidRPr="005D38BE">
        <w:rPr>
          <w:rStyle w:val="aff6"/>
          <w:rFonts w:hint="cs"/>
          <w:rtl/>
        </w:rPr>
        <w:instrText xml:space="preserve"> _</w:instrText>
      </w:r>
      <w:r w:rsidRPr="005D38BE">
        <w:rPr>
          <w:rStyle w:val="aff6"/>
          <w:rFonts w:hint="cs"/>
        </w:rPr>
        <w:instrText>Ref58318705 \r \h</w:instrText>
      </w:r>
      <w:r w:rsidRPr="005D38BE">
        <w:rPr>
          <w:rStyle w:val="aff6"/>
          <w:rtl/>
        </w:rPr>
        <w:instrText xml:space="preserve"> </w:instrText>
      </w:r>
      <w:r w:rsidRPr="005D38BE">
        <w:rPr>
          <w:rStyle w:val="aff6"/>
          <w:rtl/>
        </w:rPr>
      </w:r>
      <w:r w:rsidRPr="005D38BE">
        <w:rPr>
          <w:rStyle w:val="aff6"/>
          <w:rtl/>
        </w:rPr>
        <w:fldChar w:fldCharType="separate"/>
      </w:r>
      <w:r w:rsidR="00265073">
        <w:rPr>
          <w:rStyle w:val="aff6"/>
          <w:cs/>
        </w:rPr>
        <w:t>‎</w:t>
      </w:r>
      <w:r w:rsidR="00265073">
        <w:rPr>
          <w:rStyle w:val="aff6"/>
          <w:rtl/>
        </w:rPr>
        <w:t>מג)</w:t>
      </w:r>
      <w:r w:rsidRPr="005D38BE">
        <w:rPr>
          <w:rStyle w:val="aff6"/>
          <w:rtl/>
        </w:rPr>
        <w:fldChar w:fldCharType="end"/>
      </w:r>
      <w:r>
        <w:rPr>
          <w:rStyle w:val="afb"/>
          <w:rFonts w:hint="cs"/>
          <w:rtl/>
        </w:rPr>
        <w:t xml:space="preserve"> דהמחזיק אינו נאמן במיגו דמינך זבינתה, </w:t>
      </w:r>
      <w:r w:rsidRPr="0069362D">
        <w:rPr>
          <w:rStyle w:val="afb"/>
          <w:rFonts w:hint="cs"/>
          <w:rtl/>
        </w:rPr>
        <w:t xml:space="preserve">דברי </w:t>
      </w:r>
      <w:r w:rsidRPr="0069362D">
        <w:rPr>
          <w:rStyle w:val="affa"/>
          <w:rFonts w:hint="cs"/>
          <w:rtl/>
        </w:rPr>
        <w:t>הרשב"ם</w:t>
      </w:r>
      <w:r w:rsidRPr="0069362D">
        <w:rPr>
          <w:rStyle w:val="afb"/>
          <w:rFonts w:hint="cs"/>
          <w:rtl/>
        </w:rPr>
        <w:t xml:space="preserve"> בענין טענת קמי דידי זבנה, ועידי חד יומא, כשיש למחזיק חזקת ג"ש, וכשאין למחזיק חזקת ג"ש, </w:t>
      </w:r>
      <w:r w:rsidR="002F2EE1">
        <w:rPr>
          <w:rStyle w:val="afb"/>
          <w:rFonts w:hint="cs"/>
          <w:rtl/>
        </w:rPr>
        <w:t>הו</w:t>
      </w:r>
      <w:r w:rsidRPr="0069362D">
        <w:rPr>
          <w:rStyle w:val="afb"/>
          <w:rFonts w:hint="cs"/>
          <w:rtl/>
        </w:rPr>
        <w:t xml:space="preserve">באו </w:t>
      </w:r>
      <w:r w:rsidR="00712D6C">
        <w:rPr>
          <w:rStyle w:val="afb"/>
          <w:rFonts w:hint="cs"/>
          <w:rtl/>
        </w:rPr>
        <w:t>באריכות</w:t>
      </w:r>
      <w:r w:rsidRPr="0069362D">
        <w:rPr>
          <w:rStyle w:val="afb"/>
          <w:rFonts w:hint="cs"/>
          <w:rtl/>
        </w:rPr>
        <w:t xml:space="preserve"> בסימן ט'].</w:t>
      </w:r>
    </w:p>
    <w:p w:rsidR="0007171D" w:rsidRDefault="0007171D" w:rsidP="0007171D">
      <w:pPr>
        <w:pStyle w:val="1"/>
        <w:rPr>
          <w:rtl/>
        </w:rPr>
      </w:pPr>
      <w:bookmarkStart w:id="7590" w:name="_Toc58409391"/>
      <w:bookmarkStart w:id="7591" w:name="_Toc58432785"/>
      <w:bookmarkStart w:id="7592" w:name="_Toc58579987"/>
      <w:bookmarkStart w:id="7593" w:name="_Toc58842990"/>
      <w:bookmarkStart w:id="7594" w:name="_Toc58876175"/>
      <w:bookmarkStart w:id="7595" w:name="_Toc58877583"/>
      <w:bookmarkStart w:id="7596" w:name="_Toc58914642"/>
      <w:bookmarkStart w:id="7597" w:name="_Toc58925936"/>
      <w:bookmarkStart w:id="7598" w:name="_Toc58930009"/>
      <w:bookmarkStart w:id="7599" w:name="_Toc58938162"/>
      <w:bookmarkStart w:id="7600" w:name="_Toc59006950"/>
      <w:bookmarkStart w:id="7601" w:name="_Toc59013426"/>
      <w:bookmarkStart w:id="7602" w:name="_Toc59013674"/>
      <w:bookmarkStart w:id="7603" w:name="_Toc59025740"/>
      <w:r>
        <w:rPr>
          <w:rFonts w:hint="cs"/>
          <w:rtl/>
        </w:rPr>
        <w:t>דברי הרשב"ם דאי היה טוען מינך זבינתה ל"מ בלי שטר וחזקה</w:t>
      </w:r>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p>
    <w:p w:rsidR="0007171D" w:rsidRDefault="0007171D" w:rsidP="0007171D">
      <w:pPr>
        <w:pStyle w:val="a3"/>
        <w:rPr>
          <w:rtl/>
        </w:rPr>
      </w:pPr>
      <w:bookmarkStart w:id="7604" w:name="_Toc58876176"/>
      <w:bookmarkStart w:id="7605" w:name="_Toc58877584"/>
      <w:bookmarkStart w:id="7606" w:name="_Toc58914643"/>
      <w:bookmarkStart w:id="7607" w:name="_Toc58925937"/>
      <w:bookmarkStart w:id="7608" w:name="_Toc58930010"/>
      <w:bookmarkStart w:id="7609" w:name="_Toc58938163"/>
      <w:bookmarkStart w:id="7610" w:name="_Toc59006951"/>
      <w:bookmarkStart w:id="7611" w:name="_Toc59013427"/>
      <w:bookmarkStart w:id="7612" w:name="_Toc59013675"/>
      <w:bookmarkStart w:id="7613" w:name="_Toc59025741"/>
      <w:r>
        <w:rPr>
          <w:rFonts w:hint="cs"/>
          <w:rtl/>
        </w:rPr>
        <w:t>דברי הרשב"ם דאף בטוען המחזיק מינך זבינתה אין לו שטר או חזקה והמערער יותר מוחזק ממנו</w:t>
      </w:r>
      <w:bookmarkEnd w:id="7604"/>
      <w:bookmarkEnd w:id="7605"/>
      <w:bookmarkEnd w:id="7606"/>
      <w:bookmarkEnd w:id="7607"/>
      <w:bookmarkEnd w:id="7608"/>
      <w:bookmarkEnd w:id="7609"/>
      <w:bookmarkEnd w:id="7610"/>
      <w:bookmarkEnd w:id="7611"/>
      <w:bookmarkEnd w:id="7612"/>
      <w:bookmarkEnd w:id="7613"/>
      <w:r>
        <w:rPr>
          <w:rFonts w:hint="cs"/>
          <w:rtl/>
        </w:rPr>
        <w:t xml:space="preserve"> </w:t>
      </w:r>
    </w:p>
    <w:p w:rsidR="0007171D" w:rsidRDefault="0007171D" w:rsidP="007E4E81">
      <w:pPr>
        <w:pStyle w:val="a0"/>
        <w:rPr>
          <w:rtl/>
        </w:rPr>
      </w:pPr>
      <w:bookmarkStart w:id="7614" w:name="_Ref57836017"/>
      <w:bookmarkStart w:id="7615" w:name="_Ref58764075"/>
      <w:r>
        <w:rPr>
          <w:rFonts w:hint="cs"/>
          <w:rtl/>
        </w:rPr>
        <w:t xml:space="preserve">ובטענת המערער שא"ל "ואת מינאי לא זבינתה", ביאר </w:t>
      </w:r>
      <w:r>
        <w:rPr>
          <w:rStyle w:val="af9"/>
          <w:rtl/>
        </w:rPr>
        <w:t>הרשב"ם</w:t>
      </w:r>
      <w:r>
        <w:rPr>
          <w:rFonts w:hint="cs"/>
          <w:rtl/>
        </w:rPr>
        <w:t xml:space="preserve"> </w:t>
      </w:r>
      <w:r w:rsidRPr="00A03D1F">
        <w:rPr>
          <w:rStyle w:val="af7"/>
          <w:rFonts w:eastAsia="Guttman Hodes" w:hint="cs"/>
          <w:rtl/>
        </w:rPr>
        <w:t>(ד"ה ואת, ד"ה זיל)</w:t>
      </w:r>
      <w:r>
        <w:rPr>
          <w:rFonts w:hint="cs"/>
          <w:rtl/>
        </w:rPr>
        <w:t xml:space="preserve"> דטוען לו המערער שאף אם היית טוען מינך זבינתה, מ"מ אין לך לא שטר ולא חזקה, ואומר המערער למחזיק שיצא מהקרקע דלאו בע"ד דידי את, דהמערער מוחזק בקרקע יותר מהמחזיק, כיון שלמחזיק אין חזקת ג"ש</w:t>
      </w:r>
      <w:bookmarkEnd w:id="7614"/>
      <w:r>
        <w:rPr>
          <w:rFonts w:hint="cs"/>
          <w:rtl/>
        </w:rPr>
        <w:t>.</w:t>
      </w:r>
      <w:r w:rsidRPr="00EB05E2">
        <w:rPr>
          <w:rStyle w:val="afb"/>
          <w:rFonts w:hint="cs"/>
          <w:rtl/>
        </w:rPr>
        <w:t xml:space="preserve"> </w:t>
      </w:r>
      <w:r w:rsidRPr="0069362D">
        <w:rPr>
          <w:rStyle w:val="afb"/>
          <w:rFonts w:hint="cs"/>
          <w:rtl/>
        </w:rPr>
        <w:t>[</w:t>
      </w:r>
      <w:r w:rsidR="00A135E2">
        <w:rPr>
          <w:rStyle w:val="afb"/>
          <w:rFonts w:hint="cs"/>
          <w:rtl/>
        </w:rPr>
        <w:t>ועי' במה שביארו</w:t>
      </w:r>
      <w:r>
        <w:rPr>
          <w:rStyle w:val="afb"/>
          <w:rFonts w:hint="cs"/>
          <w:rtl/>
        </w:rPr>
        <w:t xml:space="preserve"> </w:t>
      </w:r>
      <w:r w:rsidR="00A135E2" w:rsidRPr="00A135E2">
        <w:rPr>
          <w:rStyle w:val="affa"/>
          <w:rtl/>
        </w:rPr>
        <w:t xml:space="preserve">הדרישה </w:t>
      </w:r>
      <w:r w:rsidR="00A135E2" w:rsidRPr="00A135E2">
        <w:rPr>
          <w:rStyle w:val="aff6"/>
          <w:rtl/>
        </w:rPr>
        <w:t>(סי' קמ"ו סקכ"ד ד"ה לכן נראה</w:t>
      </w:r>
      <w:r w:rsidR="00A135E2" w:rsidRPr="00A135E2">
        <w:rPr>
          <w:rStyle w:val="aff6"/>
          <w:rFonts w:hint="cs"/>
          <w:rtl/>
        </w:rPr>
        <w:t xml:space="preserve">, הובא בסימן י"א אות ע"ב) </w:t>
      </w:r>
      <w:r w:rsidR="00A135E2">
        <w:rPr>
          <w:rStyle w:val="affa"/>
          <w:rFonts w:hint="cs"/>
          <w:rtl/>
        </w:rPr>
        <w:t>ו</w:t>
      </w:r>
      <w:r w:rsidR="00A135E2" w:rsidRPr="00A135E2">
        <w:rPr>
          <w:rStyle w:val="affa"/>
          <w:rtl/>
        </w:rPr>
        <w:t xml:space="preserve">הבית הלוי </w:t>
      </w:r>
      <w:r w:rsidR="00A135E2" w:rsidRPr="00A135E2">
        <w:rPr>
          <w:rStyle w:val="aff6"/>
          <w:rtl/>
        </w:rPr>
        <w:t>(ח"ג סי' ל"ו או' א' ד"ה אמנם</w:t>
      </w:r>
      <w:r w:rsidR="00A135E2" w:rsidRPr="00A135E2">
        <w:rPr>
          <w:rStyle w:val="aff6"/>
          <w:rFonts w:hint="cs"/>
          <w:rtl/>
        </w:rPr>
        <w:t>, הובא בסימן י"א אות ע"ד)</w:t>
      </w:r>
      <w:r w:rsidR="00A135E2" w:rsidRPr="00A135E2">
        <w:rPr>
          <w:rStyle w:val="aff6"/>
          <w:rtl/>
        </w:rPr>
        <w:t xml:space="preserve"> </w:t>
      </w:r>
      <w:r>
        <w:rPr>
          <w:rStyle w:val="afb"/>
          <w:rFonts w:hint="cs"/>
          <w:rtl/>
        </w:rPr>
        <w:t>ב</w:t>
      </w:r>
      <w:r w:rsidRPr="0069362D">
        <w:rPr>
          <w:rStyle w:val="afb"/>
          <w:rFonts w:hint="cs"/>
          <w:rtl/>
        </w:rPr>
        <w:t xml:space="preserve">דברי </w:t>
      </w:r>
      <w:r w:rsidRPr="0069362D">
        <w:rPr>
          <w:rStyle w:val="affa"/>
          <w:rFonts w:hint="cs"/>
          <w:rtl/>
        </w:rPr>
        <w:t>הרשב"ם</w:t>
      </w:r>
      <w:r w:rsidRPr="0069362D">
        <w:rPr>
          <w:rStyle w:val="afb"/>
          <w:rFonts w:hint="cs"/>
          <w:rtl/>
        </w:rPr>
        <w:t>].</w:t>
      </w:r>
    </w:p>
    <w:p w:rsidR="0007171D" w:rsidRPr="00430D2A" w:rsidRDefault="0007171D" w:rsidP="0007171D">
      <w:pPr>
        <w:pStyle w:val="a3"/>
      </w:pPr>
      <w:bookmarkStart w:id="7616" w:name="_Toc58876177"/>
      <w:bookmarkStart w:id="7617" w:name="_Toc58877585"/>
      <w:bookmarkStart w:id="7618" w:name="_Toc58914644"/>
      <w:bookmarkStart w:id="7619" w:name="_Toc58925938"/>
      <w:bookmarkStart w:id="7620" w:name="_Toc58930011"/>
      <w:bookmarkStart w:id="7621" w:name="_Toc58938164"/>
      <w:bookmarkStart w:id="7622" w:name="_Toc59006952"/>
      <w:bookmarkStart w:id="7623" w:name="_Toc59013428"/>
      <w:bookmarkStart w:id="7624" w:name="_Toc59013676"/>
      <w:bookmarkStart w:id="7625" w:name="_Toc59025742"/>
      <w:r>
        <w:rPr>
          <w:rFonts w:hint="cs"/>
          <w:rtl/>
        </w:rPr>
        <w:t>דברי הרשב"ם דקיי"ל כרבא דמוציאין את המחזיק מהקרקע אף כשיש לו חזקת ג"ש</w:t>
      </w:r>
      <w:bookmarkEnd w:id="7616"/>
      <w:bookmarkEnd w:id="7617"/>
      <w:bookmarkEnd w:id="7618"/>
      <w:bookmarkEnd w:id="7619"/>
      <w:bookmarkEnd w:id="7620"/>
      <w:bookmarkEnd w:id="7621"/>
      <w:bookmarkEnd w:id="7622"/>
      <w:bookmarkEnd w:id="7623"/>
      <w:bookmarkEnd w:id="7624"/>
      <w:bookmarkEnd w:id="7625"/>
    </w:p>
    <w:p w:rsidR="0007171D" w:rsidRDefault="0007171D" w:rsidP="007E4E81">
      <w:pPr>
        <w:pStyle w:val="a0"/>
        <w:rPr>
          <w:rtl/>
        </w:rPr>
      </w:pPr>
      <w:r>
        <w:rPr>
          <w:rFonts w:hint="cs"/>
          <w:rtl/>
        </w:rPr>
        <w:t xml:space="preserve">ובדברי רבא דאמר דדינא קא"ל, ביאר </w:t>
      </w:r>
      <w:r>
        <w:rPr>
          <w:rStyle w:val="af9"/>
          <w:rtl/>
        </w:rPr>
        <w:t>הרשב"ם</w:t>
      </w:r>
      <w:r>
        <w:rPr>
          <w:rFonts w:hint="cs"/>
          <w:rtl/>
        </w:rPr>
        <w:t xml:space="preserve"> </w:t>
      </w:r>
      <w:r w:rsidRPr="00A03D1F">
        <w:rPr>
          <w:rStyle w:val="af7"/>
          <w:rFonts w:eastAsia="Guttman Hodes" w:hint="cs"/>
          <w:rtl/>
        </w:rPr>
        <w:t>(ד"ה אמר רבא)</w:t>
      </w:r>
      <w:r>
        <w:rPr>
          <w:rFonts w:hint="cs"/>
          <w:rtl/>
        </w:rPr>
        <w:t xml:space="preserve"> דמעמידים את הקרקע ביד המערער, אף אם החזיק בה ג"ש, כדביאר </w:t>
      </w:r>
      <w:r>
        <w:rPr>
          <w:rStyle w:val="af9"/>
          <w:rtl/>
        </w:rPr>
        <w:t>הרשב"ם</w:t>
      </w:r>
      <w:r>
        <w:rPr>
          <w:rFonts w:hint="cs"/>
          <w:rtl/>
        </w:rPr>
        <w:t xml:space="preserve"> </w:t>
      </w:r>
      <w:r w:rsidRPr="00A03D1F">
        <w:rPr>
          <w:rStyle w:val="af7"/>
          <w:rFonts w:eastAsia="Guttman Hodes" w:hint="cs"/>
          <w:rtl/>
        </w:rPr>
        <w:t xml:space="preserve">(עי' אות </w:t>
      </w:r>
      <w:r w:rsidRPr="00A03D1F">
        <w:rPr>
          <w:rStyle w:val="af7"/>
          <w:rFonts w:eastAsia="Guttman Hodes"/>
          <w:rtl/>
        </w:rPr>
        <w:fldChar w:fldCharType="begin"/>
      </w:r>
      <w:r w:rsidRPr="00A03D1F">
        <w:rPr>
          <w:rStyle w:val="af7"/>
          <w:rFonts w:eastAsia="Guttman Hodes"/>
          <w:rtl/>
        </w:rPr>
        <w:instrText xml:space="preserve"> </w:instrText>
      </w:r>
      <w:r w:rsidRPr="00A03D1F">
        <w:rPr>
          <w:rStyle w:val="af7"/>
          <w:rFonts w:eastAsia="Guttman Hodes" w:hint="cs"/>
        </w:rPr>
        <w:instrText>REF</w:instrText>
      </w:r>
      <w:r w:rsidRPr="00A03D1F">
        <w:rPr>
          <w:rStyle w:val="af7"/>
          <w:rFonts w:eastAsia="Guttman Hodes" w:hint="cs"/>
          <w:rtl/>
        </w:rPr>
        <w:instrText xml:space="preserve"> _</w:instrText>
      </w:r>
      <w:r w:rsidRPr="00A03D1F">
        <w:rPr>
          <w:rStyle w:val="af7"/>
          <w:rFonts w:eastAsia="Guttman Hodes" w:hint="cs"/>
        </w:rPr>
        <w:instrText>Ref58342126 \r \h</w:instrText>
      </w:r>
      <w:r w:rsidRPr="00A03D1F">
        <w:rPr>
          <w:rStyle w:val="af7"/>
          <w:rFonts w:eastAsia="Guttman Hodes"/>
          <w:rtl/>
        </w:rPr>
        <w:instrText xml:space="preserve"> </w:instrText>
      </w:r>
      <w:r w:rsidRPr="00A03D1F">
        <w:rPr>
          <w:rStyle w:val="af7"/>
          <w:rFonts w:eastAsia="Guttman Hodes"/>
          <w:rtl/>
        </w:rPr>
      </w:r>
      <w:r w:rsidRPr="00A03D1F">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03D1F">
        <w:rPr>
          <w:rStyle w:val="af7"/>
          <w:rFonts w:eastAsia="Guttman Hodes"/>
          <w:rtl/>
        </w:rPr>
        <w:fldChar w:fldCharType="end"/>
      </w:r>
      <w:r>
        <w:rPr>
          <w:rFonts w:hint="cs"/>
          <w:rtl/>
        </w:rPr>
        <w:t xml:space="preserve">, וכתב </w:t>
      </w:r>
      <w:r>
        <w:rPr>
          <w:rStyle w:val="af9"/>
          <w:rtl/>
        </w:rPr>
        <w:t>הרשב"ם</w:t>
      </w:r>
      <w:r>
        <w:rPr>
          <w:rFonts w:hint="cs"/>
          <w:rtl/>
        </w:rPr>
        <w:t xml:space="preserve"> דכן קיי"ל.</w:t>
      </w:r>
      <w:bookmarkEnd w:id="7615"/>
    </w:p>
    <w:p w:rsidR="0007171D" w:rsidRPr="00DA66E4" w:rsidRDefault="0007171D" w:rsidP="0007171D">
      <w:pPr>
        <w:pStyle w:val="1"/>
        <w:rPr>
          <w:rtl/>
        </w:rPr>
      </w:pPr>
      <w:bookmarkStart w:id="7626" w:name="_Toc58925993"/>
      <w:bookmarkStart w:id="7627" w:name="_Toc58930017"/>
      <w:bookmarkStart w:id="7628" w:name="_Toc58938170"/>
      <w:bookmarkStart w:id="7629" w:name="_Toc59006958"/>
      <w:bookmarkStart w:id="7630" w:name="_Toc59013434"/>
      <w:bookmarkStart w:id="7631" w:name="_Toc59013682"/>
      <w:bookmarkStart w:id="7632" w:name="_Toc59025748"/>
      <w:bookmarkStart w:id="7633" w:name="_Toc58876183"/>
      <w:bookmarkStart w:id="7634" w:name="_Toc58877591"/>
      <w:bookmarkStart w:id="7635" w:name="_Toc58914650"/>
      <w:bookmarkStart w:id="7636" w:name="_Toc58925944"/>
      <w:r>
        <w:rPr>
          <w:rFonts w:hint="cs"/>
          <w:rtl/>
        </w:rPr>
        <w:t>משמעות הרשב"א והתורי"ד בד' הרשב"ם דלא הודה בפירוש</w:t>
      </w:r>
    </w:p>
    <w:p w:rsidR="0007171D" w:rsidRPr="0099433C" w:rsidRDefault="0007171D" w:rsidP="0007171D">
      <w:pPr>
        <w:pStyle w:val="a3"/>
        <w:rPr>
          <w:rtl/>
        </w:rPr>
      </w:pPr>
      <w:r>
        <w:rPr>
          <w:rFonts w:hint="cs"/>
          <w:rtl/>
        </w:rPr>
        <w:t>בי' התורי"ד ברשב"ם דמדברי המערער מוכח דהמחזיק לא הודה בפירוש וטוען דלטענתך הודית</w:t>
      </w:r>
      <w:bookmarkEnd w:id="7626"/>
      <w:bookmarkEnd w:id="7627"/>
      <w:bookmarkEnd w:id="7628"/>
      <w:bookmarkEnd w:id="7629"/>
      <w:bookmarkEnd w:id="7630"/>
      <w:bookmarkEnd w:id="7631"/>
      <w:bookmarkEnd w:id="7632"/>
    </w:p>
    <w:p w:rsidR="0007171D" w:rsidRDefault="0007171D" w:rsidP="007E4E81">
      <w:pPr>
        <w:pStyle w:val="a0"/>
        <w:rPr>
          <w:rStyle w:val="afb"/>
          <w:rtl/>
        </w:rPr>
      </w:pPr>
      <w:bookmarkStart w:id="7637" w:name="_Ref60219109"/>
      <w:bookmarkEnd w:id="7633"/>
      <w:bookmarkEnd w:id="7634"/>
      <w:bookmarkEnd w:id="7635"/>
      <w:bookmarkEnd w:id="7636"/>
      <w:r>
        <w:rPr>
          <w:rFonts w:hint="cs"/>
          <w:rtl/>
        </w:rPr>
        <w:t>הביא</w:t>
      </w:r>
      <w:r w:rsidRPr="00FA7942">
        <w:rPr>
          <w:rFonts w:hint="cs"/>
          <w:rtl/>
        </w:rPr>
        <w:t xml:space="preserve"> </w:t>
      </w:r>
      <w:r w:rsidRPr="00FA7942">
        <w:rPr>
          <w:rStyle w:val="af9"/>
          <w:rFonts w:hint="cs"/>
          <w:rtl/>
        </w:rPr>
        <w:t>התוס' רי"ד</w:t>
      </w:r>
      <w:r w:rsidRPr="00FA7942">
        <w:rPr>
          <w:rFonts w:hint="cs"/>
          <w:rtl/>
        </w:rPr>
        <w:t xml:space="preserve"> </w:t>
      </w:r>
      <w:r w:rsidRPr="00CD3FDB">
        <w:rPr>
          <w:rStyle w:val="af7"/>
          <w:rFonts w:eastAsia="Guttman Hodes" w:hint="cs"/>
          <w:rtl/>
        </w:rPr>
        <w:t>(או' ה' ד"ה א"ל)</w:t>
      </w:r>
      <w:r>
        <w:rPr>
          <w:rFonts w:hint="cs"/>
          <w:rtl/>
        </w:rPr>
        <w:t xml:space="preserve"> את דברי </w:t>
      </w:r>
      <w:r w:rsidRPr="00A21272">
        <w:rPr>
          <w:rStyle w:val="af9"/>
          <w:rFonts w:hint="cs"/>
          <w:rtl/>
        </w:rPr>
        <w:t>הרשב"ם</w:t>
      </w:r>
      <w:r>
        <w:rPr>
          <w:rFonts w:hint="cs"/>
          <w:rtl/>
        </w:rPr>
        <w:t xml:space="preserve"> </w:t>
      </w:r>
      <w:r w:rsidRPr="00A21272">
        <w:rPr>
          <w:rStyle w:val="af7"/>
          <w:rFonts w:eastAsia="Guttman Hodes" w:hint="cs"/>
          <w:rtl/>
        </w:rPr>
        <w:t xml:space="preserve">(עי' אות </w:t>
      </w:r>
      <w:r w:rsidRPr="00A21272">
        <w:rPr>
          <w:rStyle w:val="af7"/>
          <w:rFonts w:eastAsia="Guttman Hodes"/>
          <w:rtl/>
        </w:rPr>
        <w:fldChar w:fldCharType="begin"/>
      </w:r>
      <w:r w:rsidRPr="00A21272">
        <w:rPr>
          <w:rStyle w:val="af7"/>
          <w:rFonts w:eastAsia="Guttman Hodes"/>
          <w:rtl/>
        </w:rPr>
        <w:instrText xml:space="preserve"> </w:instrText>
      </w:r>
      <w:r w:rsidRPr="00A21272">
        <w:rPr>
          <w:rStyle w:val="af7"/>
          <w:rFonts w:eastAsia="Guttman Hodes" w:hint="cs"/>
        </w:rPr>
        <w:instrText>REF</w:instrText>
      </w:r>
      <w:r w:rsidRPr="00A21272">
        <w:rPr>
          <w:rStyle w:val="af7"/>
          <w:rFonts w:eastAsia="Guttman Hodes" w:hint="cs"/>
          <w:rtl/>
        </w:rPr>
        <w:instrText xml:space="preserve"> _</w:instrText>
      </w:r>
      <w:r w:rsidRPr="00A21272">
        <w:rPr>
          <w:rStyle w:val="af7"/>
          <w:rFonts w:eastAsia="Guttman Hodes" w:hint="cs"/>
        </w:rPr>
        <w:instrText>Ref57824398 \r \h</w:instrText>
      </w:r>
      <w:r w:rsidRPr="00A21272">
        <w:rPr>
          <w:rStyle w:val="af7"/>
          <w:rFonts w:eastAsia="Guttman Hodes"/>
          <w:rtl/>
        </w:rPr>
        <w:instrText xml:space="preserve"> </w:instrText>
      </w:r>
      <w:r w:rsidRPr="00A21272">
        <w:rPr>
          <w:rStyle w:val="af7"/>
          <w:rFonts w:eastAsia="Guttman Hodes"/>
          <w:rtl/>
        </w:rPr>
      </w:r>
      <w:r w:rsidRPr="00A21272">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A21272">
        <w:rPr>
          <w:rStyle w:val="af7"/>
          <w:rFonts w:eastAsia="Guttman Hodes"/>
          <w:rtl/>
        </w:rPr>
        <w:fldChar w:fldCharType="end"/>
      </w:r>
      <w:r>
        <w:rPr>
          <w:rFonts w:hint="cs"/>
          <w:rtl/>
        </w:rPr>
        <w:t xml:space="preserve"> דכתב דהשטר של המחזיק </w:t>
      </w:r>
      <w:r w:rsidRPr="00BB4C9B">
        <w:rPr>
          <w:rStyle w:val="afb"/>
          <w:rFonts w:hint="cs"/>
          <w:rtl/>
        </w:rPr>
        <w:t>[שקנה מהמוכר]</w:t>
      </w:r>
      <w:r>
        <w:rPr>
          <w:rFonts w:hint="cs"/>
          <w:rtl/>
        </w:rPr>
        <w:t xml:space="preserve"> עדיין בידו,</w:t>
      </w:r>
      <w:r w:rsidRPr="00552C0A">
        <w:rPr>
          <w:rFonts w:hint="cs"/>
          <w:rtl/>
        </w:rPr>
        <w:t xml:space="preserve"> </w:t>
      </w:r>
      <w:r>
        <w:rPr>
          <w:rFonts w:hint="cs"/>
          <w:rtl/>
        </w:rPr>
        <w:t>וה</w:t>
      </w:r>
      <w:r w:rsidRPr="00FA7942">
        <w:rPr>
          <w:rFonts w:hint="cs"/>
          <w:rtl/>
        </w:rPr>
        <w:t xml:space="preserve">קשה </w:t>
      </w:r>
      <w:r w:rsidRPr="00FA7942">
        <w:rPr>
          <w:rStyle w:val="af9"/>
          <w:rFonts w:hint="cs"/>
          <w:rtl/>
        </w:rPr>
        <w:t>התוס' רי"ד</w:t>
      </w:r>
      <w:r w:rsidRPr="00FA7942">
        <w:rPr>
          <w:rFonts w:hint="cs"/>
          <w:rtl/>
        </w:rPr>
        <w:t xml:space="preserve"> </w:t>
      </w:r>
      <w:r>
        <w:rPr>
          <w:rFonts w:hint="cs"/>
          <w:rtl/>
        </w:rPr>
        <w:t xml:space="preserve">על </w:t>
      </w:r>
      <w:r w:rsidRPr="00A21272">
        <w:rPr>
          <w:rStyle w:val="af9"/>
          <w:rFonts w:hint="cs"/>
          <w:rtl/>
        </w:rPr>
        <w:t>הרשב"ם</w:t>
      </w:r>
      <w:r>
        <w:rPr>
          <w:rFonts w:hint="cs"/>
          <w:rtl/>
        </w:rPr>
        <w:t xml:space="preserve"> דמהא דאמר המערער "ולאו קא מודית</w:t>
      </w:r>
      <w:r>
        <w:rPr>
          <w:rtl/>
        </w:rPr>
        <w:t>"</w:t>
      </w:r>
      <w:r>
        <w:rPr>
          <w:rFonts w:hint="cs"/>
          <w:rtl/>
        </w:rPr>
        <w:t>, ולא אמר "ולאו את ידעת", משמע דהמחזיק אינו יודע שהקרקע הייתה של המערער, אלא דכך אמר לו המוכר,</w:t>
      </w:r>
      <w:r w:rsidRPr="006259C6">
        <w:rPr>
          <w:rFonts w:hint="cs"/>
          <w:rtl/>
        </w:rPr>
        <w:t xml:space="preserve"> </w:t>
      </w:r>
      <w:r>
        <w:rPr>
          <w:rFonts w:hint="cs"/>
          <w:rtl/>
        </w:rPr>
        <w:t xml:space="preserve">אלא דכיון שאמר המחזיק דהמוכר א"ל שקנה מהמערער, ממילא טוען לו המערער דאף </w:t>
      </w:r>
      <w:r w:rsidRPr="00FA7942">
        <w:rPr>
          <w:rFonts w:hint="cs"/>
          <w:rtl/>
        </w:rPr>
        <w:t>לטענתך אתה מודה שהקרקע שלי</w:t>
      </w:r>
      <w:r>
        <w:rPr>
          <w:rStyle w:val="af9"/>
          <w:rFonts w:hint="cs"/>
          <w:rtl/>
        </w:rPr>
        <w:t>,</w:t>
      </w:r>
      <w:r>
        <w:rPr>
          <w:rStyle w:val="afb"/>
          <w:rFonts w:hint="cs"/>
          <w:rtl/>
        </w:rPr>
        <w:t xml:space="preserve"> </w:t>
      </w:r>
      <w:r>
        <w:rPr>
          <w:rFonts w:hint="cs"/>
          <w:rtl/>
        </w:rPr>
        <w:t>וכיון ד</w:t>
      </w:r>
      <w:r w:rsidRPr="00FA7942">
        <w:rPr>
          <w:rFonts w:hint="cs"/>
          <w:rtl/>
        </w:rPr>
        <w:t>המחזיק עצמו אינו יודע שהיא של המערער, ולמערער אין עדים</w:t>
      </w:r>
      <w:r>
        <w:rPr>
          <w:rFonts w:hint="cs"/>
          <w:rtl/>
        </w:rPr>
        <w:t xml:space="preserve"> שהיא שלו, א"כ אי יש למחזיק שטר מהמוכר, היאך אפשר להפסידו מחמת שהמוכר הודה </w:t>
      </w:r>
      <w:r w:rsidRPr="004668C3">
        <w:rPr>
          <w:rFonts w:hint="cs"/>
          <w:rtl/>
        </w:rPr>
        <w:t>שקנה מההמערער</w:t>
      </w:r>
      <w:r>
        <w:rPr>
          <w:rFonts w:hint="cs"/>
          <w:rtl/>
        </w:rPr>
        <w:t xml:space="preserve">, ועי' במה שהאריך </w:t>
      </w:r>
      <w:r w:rsidRPr="00FA7942">
        <w:rPr>
          <w:rStyle w:val="af9"/>
          <w:rFonts w:hint="cs"/>
          <w:rtl/>
        </w:rPr>
        <w:t>התוס' רי"ד</w:t>
      </w:r>
      <w:r w:rsidRPr="00FA7942">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Ref59015145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w:t>
      </w:r>
      <w:r>
        <w:rPr>
          <w:rStyle w:val="af7"/>
          <w:rFonts w:eastAsia="Guttman Hodes"/>
          <w:rtl/>
        </w:rPr>
        <w:fldChar w:fldCharType="end"/>
      </w:r>
      <w:r>
        <w:rPr>
          <w:rStyle w:val="af7"/>
          <w:rFonts w:eastAsia="Guttman Hodes" w:hint="cs"/>
          <w:rtl/>
        </w:rPr>
        <w:t xml:space="preserve"> </w:t>
      </w:r>
      <w:r>
        <w:rPr>
          <w:rFonts w:hint="cs"/>
          <w:rtl/>
        </w:rPr>
        <w:t xml:space="preserve">לבאר בזה. </w:t>
      </w:r>
      <w:r w:rsidRPr="00FA0404">
        <w:rPr>
          <w:rStyle w:val="afb"/>
          <w:rFonts w:hint="cs"/>
          <w:rtl/>
        </w:rPr>
        <w:t xml:space="preserve">[ומשמע מדברי </w:t>
      </w:r>
      <w:r w:rsidRPr="00FA0404">
        <w:rPr>
          <w:rStyle w:val="affa"/>
          <w:rFonts w:hint="cs"/>
          <w:rtl/>
        </w:rPr>
        <w:t>התוס' רי"ד</w:t>
      </w:r>
      <w:r w:rsidRPr="00FA0404">
        <w:rPr>
          <w:rStyle w:val="afb"/>
          <w:rFonts w:hint="cs"/>
          <w:rtl/>
        </w:rPr>
        <w:t xml:space="preserve"> דביאר בדעת </w:t>
      </w:r>
      <w:r w:rsidRPr="00FA0404">
        <w:rPr>
          <w:rStyle w:val="affa"/>
          <w:rFonts w:hint="cs"/>
          <w:rtl/>
        </w:rPr>
        <w:t>הרשב"ם</w:t>
      </w:r>
      <w:r w:rsidRPr="00FA0404">
        <w:rPr>
          <w:rStyle w:val="afb"/>
          <w:rFonts w:hint="cs"/>
          <w:rtl/>
        </w:rPr>
        <w:t xml:space="preserve"> </w:t>
      </w:r>
      <w:r w:rsidRPr="00FA0404">
        <w:rPr>
          <w:rStyle w:val="aff6"/>
          <w:rFonts w:hint="cs"/>
          <w:rtl/>
        </w:rPr>
        <w:t xml:space="preserve">(עי' אות </w:t>
      </w:r>
      <w:r w:rsidRPr="00FA0404">
        <w:rPr>
          <w:rStyle w:val="aff6"/>
          <w:rtl/>
        </w:rPr>
        <w:fldChar w:fldCharType="begin"/>
      </w:r>
      <w:r w:rsidRPr="00FA0404">
        <w:rPr>
          <w:rStyle w:val="aff6"/>
          <w:rtl/>
        </w:rPr>
        <w:instrText xml:space="preserve"> </w:instrText>
      </w:r>
      <w:r w:rsidRPr="00FA0404">
        <w:rPr>
          <w:rStyle w:val="aff6"/>
          <w:rFonts w:hint="cs"/>
        </w:rPr>
        <w:instrText>REF</w:instrText>
      </w:r>
      <w:r w:rsidRPr="00FA0404">
        <w:rPr>
          <w:rStyle w:val="aff6"/>
          <w:rFonts w:hint="cs"/>
          <w:rtl/>
        </w:rPr>
        <w:instrText xml:space="preserve"> _</w:instrText>
      </w:r>
      <w:r w:rsidRPr="00FA0404">
        <w:rPr>
          <w:rStyle w:val="aff6"/>
          <w:rFonts w:hint="cs"/>
        </w:rPr>
        <w:instrText>Ref57824398 \r \h</w:instrText>
      </w:r>
      <w:r w:rsidRPr="00FA0404">
        <w:rPr>
          <w:rStyle w:val="aff6"/>
          <w:rtl/>
        </w:rPr>
        <w:instrText xml:space="preserve"> </w:instrText>
      </w:r>
      <w:r w:rsidRPr="00FA0404">
        <w:rPr>
          <w:rStyle w:val="aff6"/>
          <w:rtl/>
        </w:rPr>
      </w:r>
      <w:r w:rsidRPr="00FA0404">
        <w:rPr>
          <w:rStyle w:val="aff6"/>
          <w:rtl/>
        </w:rPr>
        <w:fldChar w:fldCharType="separate"/>
      </w:r>
      <w:r w:rsidR="00265073">
        <w:rPr>
          <w:rStyle w:val="aff6"/>
          <w:cs/>
        </w:rPr>
        <w:t>‎</w:t>
      </w:r>
      <w:r w:rsidR="00265073">
        <w:rPr>
          <w:rStyle w:val="aff6"/>
          <w:rtl/>
        </w:rPr>
        <w:t>א)</w:t>
      </w:r>
      <w:r w:rsidRPr="00FA0404">
        <w:rPr>
          <w:rStyle w:val="aff6"/>
          <w:rtl/>
        </w:rPr>
        <w:fldChar w:fldCharType="end"/>
      </w:r>
      <w:r w:rsidRPr="00FA0404">
        <w:rPr>
          <w:rStyle w:val="afb"/>
          <w:rFonts w:hint="cs"/>
          <w:rtl/>
        </w:rPr>
        <w:t xml:space="preserve"> דהמחזיק לא הודה בפירוש, שיודע שהקרקע הייתה של המערער, אלא הוא שמע כן מפי המוכר,</w:t>
      </w:r>
      <w:r>
        <w:rPr>
          <w:rStyle w:val="afb"/>
          <w:rFonts w:hint="cs"/>
          <w:rtl/>
        </w:rPr>
        <w:t xml:space="preserve"> וכן משמע דביאר </w:t>
      </w:r>
      <w:r w:rsidRPr="00424BA2">
        <w:rPr>
          <w:rStyle w:val="affa"/>
          <w:rFonts w:hint="cs"/>
          <w:rtl/>
        </w:rPr>
        <w:t>הרשב"א</w:t>
      </w:r>
      <w:r>
        <w:rPr>
          <w:rStyle w:val="afb"/>
          <w:rFonts w:hint="cs"/>
          <w:rtl/>
        </w:rPr>
        <w:t xml:space="preserve"> </w:t>
      </w:r>
      <w:r w:rsidRPr="0000135A">
        <w:rPr>
          <w:rStyle w:val="aff6"/>
          <w:rFonts w:hint="cs"/>
          <w:rtl/>
        </w:rPr>
        <w:t>(עי' הערה</w:t>
      </w:r>
      <w:r>
        <w:rPr>
          <w:rStyle w:val="af1"/>
          <w:rtl/>
        </w:rPr>
        <w:footnoteReference w:id="48"/>
      </w:r>
      <w:r w:rsidRPr="0000135A">
        <w:rPr>
          <w:rStyle w:val="aff6"/>
          <w:rFonts w:hint="cs"/>
          <w:rtl/>
        </w:rPr>
        <w:t>)</w:t>
      </w:r>
      <w:r>
        <w:rPr>
          <w:rStyle w:val="afb"/>
          <w:rFonts w:hint="cs"/>
          <w:rtl/>
        </w:rPr>
        <w:t xml:space="preserve"> בדעת </w:t>
      </w:r>
      <w:r w:rsidRPr="00424BA2">
        <w:rPr>
          <w:rStyle w:val="affa"/>
          <w:rFonts w:hint="cs"/>
          <w:rtl/>
        </w:rPr>
        <w:t>הרשב"ם</w:t>
      </w:r>
      <w:r>
        <w:rPr>
          <w:rStyle w:val="afb"/>
          <w:rFonts w:hint="cs"/>
          <w:rtl/>
        </w:rPr>
        <w:t>,</w:t>
      </w:r>
      <w:r w:rsidRPr="00FA0404">
        <w:rPr>
          <w:rStyle w:val="afb"/>
          <w:rFonts w:hint="cs"/>
          <w:rtl/>
        </w:rPr>
        <w:t xml:space="preserve"> ודלא כדביאר </w:t>
      </w:r>
      <w:r w:rsidRPr="00FA0404">
        <w:rPr>
          <w:rStyle w:val="affa"/>
          <w:rFonts w:hint="cs"/>
          <w:rtl/>
        </w:rPr>
        <w:t>הרא"ש</w:t>
      </w:r>
      <w:r w:rsidRPr="00FA0404">
        <w:rPr>
          <w:rStyle w:val="afb"/>
          <w:rFonts w:hint="cs"/>
          <w:rtl/>
        </w:rPr>
        <w:t xml:space="preserve"> </w:t>
      </w:r>
      <w:r w:rsidRPr="00FA0404">
        <w:rPr>
          <w:rStyle w:val="aff6"/>
          <w:rFonts w:hint="cs"/>
          <w:rtl/>
        </w:rPr>
        <w:t xml:space="preserve">(עי' אות </w:t>
      </w:r>
      <w:r w:rsidRPr="00FA0404">
        <w:rPr>
          <w:rStyle w:val="aff6"/>
          <w:rtl/>
        </w:rPr>
        <w:fldChar w:fldCharType="begin"/>
      </w:r>
      <w:r w:rsidRPr="00FA0404">
        <w:rPr>
          <w:rStyle w:val="aff6"/>
          <w:rtl/>
        </w:rPr>
        <w:instrText xml:space="preserve"> </w:instrText>
      </w:r>
      <w:r w:rsidRPr="00FA0404">
        <w:rPr>
          <w:rStyle w:val="aff6"/>
          <w:rFonts w:hint="cs"/>
        </w:rPr>
        <w:instrText>REF</w:instrText>
      </w:r>
      <w:r w:rsidRPr="00FA0404">
        <w:rPr>
          <w:rStyle w:val="aff6"/>
          <w:rFonts w:hint="cs"/>
          <w:rtl/>
        </w:rPr>
        <w:instrText xml:space="preserve"> _</w:instrText>
      </w:r>
      <w:r w:rsidRPr="00FA0404">
        <w:rPr>
          <w:rStyle w:val="aff6"/>
          <w:rFonts w:hint="cs"/>
        </w:rPr>
        <w:instrText>Ref58750522 \r \h</w:instrText>
      </w:r>
      <w:r w:rsidRPr="00FA0404">
        <w:rPr>
          <w:rStyle w:val="aff6"/>
          <w:rtl/>
        </w:rPr>
        <w:instrText xml:space="preserve"> </w:instrText>
      </w:r>
      <w:r w:rsidRPr="00FA0404">
        <w:rPr>
          <w:rStyle w:val="aff6"/>
          <w:rtl/>
        </w:rPr>
      </w:r>
      <w:r w:rsidRPr="00FA0404">
        <w:rPr>
          <w:rStyle w:val="aff6"/>
          <w:rtl/>
        </w:rPr>
        <w:fldChar w:fldCharType="separate"/>
      </w:r>
      <w:r w:rsidR="00265073">
        <w:rPr>
          <w:rStyle w:val="aff6"/>
          <w:cs/>
        </w:rPr>
        <w:t>‎</w:t>
      </w:r>
      <w:r w:rsidR="00265073">
        <w:rPr>
          <w:rStyle w:val="aff6"/>
          <w:rtl/>
        </w:rPr>
        <w:t>ט)</w:t>
      </w:r>
      <w:r w:rsidRPr="00FA0404">
        <w:rPr>
          <w:rStyle w:val="aff6"/>
          <w:rtl/>
        </w:rPr>
        <w:fldChar w:fldCharType="end"/>
      </w:r>
      <w:r w:rsidRPr="00FA0404">
        <w:rPr>
          <w:rStyle w:val="afb"/>
          <w:rFonts w:hint="cs"/>
          <w:rtl/>
        </w:rPr>
        <w:t xml:space="preserve"> </w:t>
      </w:r>
      <w:r w:rsidRPr="00FA0404">
        <w:rPr>
          <w:rStyle w:val="affa"/>
          <w:rFonts w:hint="cs"/>
          <w:rtl/>
        </w:rPr>
        <w:t>ברשב"ם</w:t>
      </w:r>
      <w:r>
        <w:rPr>
          <w:rStyle w:val="afb"/>
          <w:rFonts w:hint="cs"/>
          <w:rtl/>
        </w:rPr>
        <w:t xml:space="preserve"> דהודה בפירוש</w:t>
      </w:r>
      <w:r w:rsidRPr="00FA0404">
        <w:rPr>
          <w:rStyle w:val="afb"/>
          <w:rFonts w:hint="cs"/>
          <w:rtl/>
        </w:rPr>
        <w:t>].</w:t>
      </w:r>
      <w:bookmarkEnd w:id="7637"/>
    </w:p>
    <w:p w:rsidR="0007171D" w:rsidRPr="00377C1C" w:rsidRDefault="0007171D" w:rsidP="0007171D">
      <w:pPr>
        <w:pStyle w:val="a3"/>
        <w:rPr>
          <w:rtl/>
        </w:rPr>
      </w:pPr>
    </w:p>
    <w:p w:rsidR="0007171D" w:rsidRDefault="0007171D" w:rsidP="0007171D">
      <w:pPr>
        <w:pStyle w:val="1"/>
        <w:rPr>
          <w:rtl/>
        </w:rPr>
      </w:pPr>
      <w:bookmarkStart w:id="7638" w:name="_Toc58359133"/>
      <w:bookmarkStart w:id="7639" w:name="_Toc58409393"/>
      <w:bookmarkStart w:id="7640" w:name="_Toc58432787"/>
      <w:bookmarkStart w:id="7641" w:name="_Toc58579989"/>
      <w:bookmarkStart w:id="7642" w:name="_Toc58842991"/>
      <w:bookmarkStart w:id="7643" w:name="_Toc58876178"/>
      <w:bookmarkStart w:id="7644" w:name="_Toc58877586"/>
      <w:bookmarkStart w:id="7645" w:name="_Toc58914645"/>
      <w:bookmarkStart w:id="7646" w:name="_Toc58925939"/>
      <w:bookmarkStart w:id="7647" w:name="_Toc58930012"/>
      <w:bookmarkStart w:id="7648" w:name="_Toc58938165"/>
      <w:bookmarkStart w:id="7649" w:name="_Toc59006953"/>
      <w:bookmarkStart w:id="7650" w:name="_Toc59013429"/>
      <w:bookmarkStart w:id="7651" w:name="_Toc59013677"/>
      <w:bookmarkStart w:id="7652" w:name="_Toc59025743"/>
      <w:bookmarkStart w:id="7653" w:name="_Toc58359132"/>
      <w:bookmarkStart w:id="7654" w:name="_Toc58409392"/>
      <w:bookmarkStart w:id="7655" w:name="_Toc58432786"/>
      <w:bookmarkStart w:id="7656" w:name="_Toc58579988"/>
      <w:r>
        <w:rPr>
          <w:rFonts w:hint="cs"/>
          <w:rtl/>
        </w:rPr>
        <w:lastRenderedPageBreak/>
        <w:t>ביאור הרא"ש</w:t>
      </w:r>
      <w:bookmarkEnd w:id="7638"/>
      <w:bookmarkEnd w:id="7639"/>
      <w:bookmarkEnd w:id="7640"/>
      <w:bookmarkEnd w:id="7641"/>
      <w:bookmarkEnd w:id="7642"/>
      <w:r>
        <w:rPr>
          <w:rFonts w:hint="cs"/>
          <w:rtl/>
        </w:rPr>
        <w:t xml:space="preserve"> ברשב"ם דהודה המחזיק ואין ספק מוציא מודאי</w:t>
      </w:r>
      <w:bookmarkEnd w:id="7643"/>
      <w:bookmarkEnd w:id="7644"/>
      <w:bookmarkEnd w:id="7645"/>
      <w:bookmarkEnd w:id="7646"/>
      <w:bookmarkEnd w:id="7647"/>
      <w:bookmarkEnd w:id="7648"/>
      <w:bookmarkEnd w:id="7649"/>
      <w:bookmarkEnd w:id="7650"/>
      <w:bookmarkEnd w:id="7651"/>
      <w:bookmarkEnd w:id="7652"/>
    </w:p>
    <w:p w:rsidR="0007171D" w:rsidRDefault="0007171D" w:rsidP="0007171D">
      <w:pPr>
        <w:pStyle w:val="a3"/>
        <w:rPr>
          <w:rtl/>
        </w:rPr>
      </w:pPr>
      <w:bookmarkStart w:id="7657" w:name="_Toc58876179"/>
      <w:bookmarkStart w:id="7658" w:name="_Toc58877587"/>
      <w:bookmarkStart w:id="7659" w:name="_Toc58914646"/>
      <w:bookmarkStart w:id="7660" w:name="_Toc58925940"/>
      <w:bookmarkStart w:id="7661" w:name="_Toc58930013"/>
      <w:bookmarkStart w:id="7662" w:name="_Toc58938166"/>
      <w:bookmarkStart w:id="7663" w:name="_Toc59006954"/>
      <w:bookmarkStart w:id="7664" w:name="_Toc59013430"/>
      <w:bookmarkStart w:id="7665" w:name="_Toc59013678"/>
      <w:bookmarkStart w:id="7666" w:name="_Toc59025744"/>
      <w:r>
        <w:rPr>
          <w:rFonts w:hint="cs"/>
          <w:rtl/>
        </w:rPr>
        <w:t>ביאור הרא"ש דמוכח שאין עדים למערער ומ"מ כיון שהודה ואינו יודע שקנאה ממנו מוציאין</w:t>
      </w:r>
      <w:bookmarkEnd w:id="7657"/>
      <w:bookmarkEnd w:id="7658"/>
      <w:bookmarkEnd w:id="7659"/>
      <w:bookmarkEnd w:id="7660"/>
      <w:bookmarkEnd w:id="7661"/>
      <w:bookmarkEnd w:id="7662"/>
      <w:bookmarkEnd w:id="7663"/>
      <w:bookmarkEnd w:id="7664"/>
      <w:bookmarkEnd w:id="7665"/>
      <w:bookmarkEnd w:id="7666"/>
      <w:r w:rsidRPr="00F26F9A">
        <w:rPr>
          <w:rFonts w:hint="cs"/>
          <w:rtl/>
        </w:rPr>
        <w:t xml:space="preserve"> </w:t>
      </w:r>
    </w:p>
    <w:p w:rsidR="0007171D" w:rsidRDefault="0007171D" w:rsidP="007E4E81">
      <w:pPr>
        <w:pStyle w:val="a0"/>
        <w:rPr>
          <w:rtl/>
        </w:rPr>
      </w:pPr>
      <w:bookmarkStart w:id="7667" w:name="_Ref58750532"/>
      <w:r>
        <w:rPr>
          <w:rFonts w:hint="cs"/>
          <w:rtl/>
        </w:rPr>
        <w:t xml:space="preserve">וביאר </w:t>
      </w:r>
      <w:r>
        <w:rPr>
          <w:rStyle w:val="af9"/>
          <w:rtl/>
        </w:rPr>
        <w:t xml:space="preserve">הרא"ש </w:t>
      </w:r>
      <w:r w:rsidRPr="007452B9">
        <w:rPr>
          <w:rStyle w:val="af7"/>
          <w:rFonts w:eastAsia="Guttman Hodes" w:hint="cs"/>
          <w:rtl/>
        </w:rPr>
        <w:t>(סי' ז')</w:t>
      </w:r>
      <w:r>
        <w:rPr>
          <w:rFonts w:hint="cs"/>
          <w:rtl/>
        </w:rPr>
        <w:t xml:space="preserve"> </w:t>
      </w:r>
      <w:r w:rsidRPr="00C17A49">
        <w:rPr>
          <w:rStyle w:val="afb"/>
          <w:rFonts w:hint="cs"/>
          <w:rtl/>
        </w:rPr>
        <w:t xml:space="preserve">[את דברי </w:t>
      </w:r>
      <w:r w:rsidRPr="00C17A49">
        <w:rPr>
          <w:rStyle w:val="affa"/>
          <w:rFonts w:hint="cs"/>
          <w:rtl/>
        </w:rPr>
        <w:t>הרשב"ם</w:t>
      </w:r>
      <w:r>
        <w:rPr>
          <w:rStyle w:val="af1"/>
          <w:rtl/>
        </w:rPr>
        <w:footnoteReference w:id="49"/>
      </w:r>
      <w:r w:rsidRPr="00C17A49">
        <w:rPr>
          <w:rStyle w:val="aff6"/>
          <w:rFonts w:hint="cs"/>
          <w:rtl/>
        </w:rPr>
        <w:t xml:space="preserve"> (עי'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Ref58747348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ג)</w:t>
      </w:r>
      <w:r>
        <w:rPr>
          <w:rStyle w:val="aff6"/>
          <w:rtl/>
        </w:rPr>
        <w:fldChar w:fldCharType="end"/>
      </w:r>
      <w:r w:rsidRPr="00C17A49">
        <w:rPr>
          <w:rStyle w:val="afb"/>
          <w:rFonts w:hint="cs"/>
          <w:rtl/>
        </w:rPr>
        <w:t xml:space="preserve">] </w:t>
      </w:r>
      <w:r>
        <w:rPr>
          <w:rFonts w:hint="cs"/>
          <w:rtl/>
        </w:rPr>
        <w:t xml:space="preserve">דמדאמר המערער "לאו קא מודית", מבואר דהוא היה צריך שיודה לו המחזיק, כיון שלא היה למערער עדים שהייתה שלו, וכתב </w:t>
      </w:r>
      <w:r>
        <w:rPr>
          <w:rStyle w:val="af9"/>
          <w:rtl/>
        </w:rPr>
        <w:t xml:space="preserve">הרא"ש </w:t>
      </w:r>
      <w:r>
        <w:rPr>
          <w:rFonts w:hint="cs"/>
          <w:rtl/>
        </w:rPr>
        <w:t>דכיון שטען המחזיק דהמוכר אמר לו שהוא קנה מהמערער, ואמר לו המערער "לאו קא מודית", דהקרקע היא שלי ואתה לא קנית ממני, לכן אמר רבא דהדין עם המערער, דהרי המחזיק אינו יודע אם הקרקע הייתה של המוכר או לא, ו</w:t>
      </w:r>
      <w:r w:rsidRPr="00CD19F5">
        <w:rPr>
          <w:rFonts w:hint="cs"/>
          <w:rtl/>
        </w:rPr>
        <w:t xml:space="preserve">כתב </w:t>
      </w:r>
      <w:r w:rsidRPr="00B438CF">
        <w:rPr>
          <w:rStyle w:val="af9"/>
          <w:rFonts w:hint="cs"/>
          <w:rtl/>
        </w:rPr>
        <w:t xml:space="preserve">הרא"ש </w:t>
      </w:r>
      <w:r w:rsidRPr="00C17A49">
        <w:rPr>
          <w:rStyle w:val="afb"/>
          <w:rFonts w:hint="cs"/>
          <w:rtl/>
        </w:rPr>
        <w:t>[</w:t>
      </w:r>
      <w:r>
        <w:rPr>
          <w:rStyle w:val="afb"/>
          <w:rFonts w:hint="cs"/>
          <w:rtl/>
        </w:rPr>
        <w:t>בשם</w:t>
      </w:r>
      <w:r w:rsidRPr="00C17A49">
        <w:rPr>
          <w:rStyle w:val="afb"/>
          <w:rFonts w:hint="cs"/>
          <w:rtl/>
        </w:rPr>
        <w:t xml:space="preserve"> </w:t>
      </w:r>
      <w:r w:rsidRPr="00C17A49">
        <w:rPr>
          <w:rStyle w:val="affa"/>
          <w:rFonts w:hint="cs"/>
          <w:rtl/>
        </w:rPr>
        <w:t>הרשב"ם</w:t>
      </w:r>
      <w:r>
        <w:rPr>
          <w:rStyle w:val="aff6"/>
          <w:rFonts w:hint="cs"/>
          <w:rtl/>
        </w:rPr>
        <w:t xml:space="preserve"> </w:t>
      </w:r>
      <w:r w:rsidRPr="00C17A49">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Ref58747348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ג)</w:t>
      </w:r>
      <w:r>
        <w:rPr>
          <w:rStyle w:val="aff6"/>
          <w:rtl/>
        </w:rPr>
        <w:fldChar w:fldCharType="end"/>
      </w:r>
      <w:r w:rsidRPr="00C17A49">
        <w:rPr>
          <w:rStyle w:val="afb"/>
          <w:rFonts w:hint="cs"/>
          <w:rtl/>
        </w:rPr>
        <w:t xml:space="preserve">] </w:t>
      </w:r>
      <w:r>
        <w:rPr>
          <w:rFonts w:hint="cs"/>
          <w:rtl/>
        </w:rPr>
        <w:t xml:space="preserve">דחשיב כמי שמכיר בקרקע שאינה של המוכר ואפ"ה קנה ממנו, דאיתא בגמ' בב"מ </w:t>
      </w:r>
      <w:r w:rsidRPr="007452B9">
        <w:rPr>
          <w:rStyle w:val="af7"/>
          <w:rFonts w:eastAsia="Guttman Hodes" w:hint="cs"/>
          <w:rtl/>
        </w:rPr>
        <w:t>(טו:)</w:t>
      </w:r>
      <w:r>
        <w:rPr>
          <w:rFonts w:hint="cs"/>
          <w:rtl/>
        </w:rPr>
        <w:t xml:space="preserve"> דאחר שמוציאין מהלוקח הוא יכול לגבות את המעות מהמוכר.</w:t>
      </w:r>
      <w:bookmarkEnd w:id="7653"/>
      <w:bookmarkEnd w:id="7654"/>
      <w:bookmarkEnd w:id="7655"/>
      <w:bookmarkEnd w:id="7656"/>
      <w:bookmarkEnd w:id="7667"/>
    </w:p>
    <w:p w:rsidR="0007171D" w:rsidRPr="008C1BB1" w:rsidRDefault="0007171D" w:rsidP="0007171D">
      <w:pPr>
        <w:pStyle w:val="a3"/>
        <w:rPr>
          <w:rtl/>
        </w:rPr>
      </w:pPr>
      <w:bookmarkStart w:id="7668" w:name="_Toc58876180"/>
      <w:bookmarkStart w:id="7669" w:name="_Toc58877588"/>
      <w:bookmarkStart w:id="7670" w:name="_Toc58914647"/>
      <w:bookmarkStart w:id="7671" w:name="_Toc58925941"/>
      <w:bookmarkStart w:id="7672" w:name="_Toc58930014"/>
      <w:bookmarkStart w:id="7673" w:name="_Toc58938167"/>
      <w:bookmarkStart w:id="7674" w:name="_Toc59006955"/>
      <w:bookmarkStart w:id="7675" w:name="_Toc59013431"/>
      <w:bookmarkStart w:id="7676" w:name="_Toc59013679"/>
      <w:bookmarkStart w:id="7677" w:name="_Toc59025745"/>
      <w:r>
        <w:rPr>
          <w:rFonts w:hint="cs"/>
          <w:rtl/>
        </w:rPr>
        <w:t>ביאור הרא"ש ברשב"ם דהמחזיק אינו יודע אם קנאה המוכר ואין ספק מוציא מידי ודאי</w:t>
      </w:r>
      <w:bookmarkEnd w:id="7668"/>
      <w:bookmarkEnd w:id="7669"/>
      <w:bookmarkEnd w:id="7670"/>
      <w:bookmarkEnd w:id="7671"/>
      <w:bookmarkEnd w:id="7672"/>
      <w:bookmarkEnd w:id="7673"/>
      <w:bookmarkEnd w:id="7674"/>
      <w:bookmarkEnd w:id="7675"/>
      <w:bookmarkEnd w:id="7676"/>
      <w:bookmarkEnd w:id="7677"/>
    </w:p>
    <w:p w:rsidR="0007171D" w:rsidRDefault="0007171D" w:rsidP="007E4E81">
      <w:pPr>
        <w:pStyle w:val="a0"/>
        <w:rPr>
          <w:rtl/>
        </w:rPr>
      </w:pPr>
      <w:bookmarkStart w:id="7678" w:name="_Ref58750522"/>
      <w:r>
        <w:rPr>
          <w:rFonts w:hint="cs"/>
          <w:rtl/>
        </w:rPr>
        <w:t xml:space="preserve">וכתב </w:t>
      </w:r>
      <w:r w:rsidRPr="00775FC8">
        <w:rPr>
          <w:rStyle w:val="af9"/>
          <w:rFonts w:hint="cs"/>
          <w:rtl/>
        </w:rPr>
        <w:t>הרא"ש</w:t>
      </w:r>
      <w:r>
        <w:rPr>
          <w:rFonts w:hint="cs"/>
          <w:rtl/>
        </w:rPr>
        <w:t xml:space="preserve"> </w:t>
      </w:r>
      <w:r>
        <w:rPr>
          <w:rStyle w:val="af7"/>
          <w:rFonts w:eastAsia="Guttman Hodes" w:hint="cs"/>
          <w:rtl/>
        </w:rPr>
        <w:t>(סי' ז')</w:t>
      </w:r>
      <w:r>
        <w:rPr>
          <w:rFonts w:hint="cs"/>
          <w:rtl/>
        </w:rPr>
        <w:t xml:space="preserve"> בשם </w:t>
      </w:r>
      <w:r w:rsidRPr="00775FC8">
        <w:rPr>
          <w:rStyle w:val="af9"/>
          <w:rFonts w:hint="cs"/>
          <w:rtl/>
        </w:rPr>
        <w:t>הרשב"ם</w:t>
      </w:r>
      <w:r>
        <w:rPr>
          <w:rFonts w:hint="cs"/>
          <w:rtl/>
        </w:rPr>
        <w:t xml:space="preserve"> </w:t>
      </w:r>
      <w:r w:rsidRPr="00A03D1F">
        <w:rPr>
          <w:rStyle w:val="af7"/>
          <w:rFonts w:eastAsia="Guttman Hodes" w:hint="cs"/>
          <w:rtl/>
        </w:rPr>
        <w:t xml:space="preserve">(עי' אות </w:t>
      </w:r>
      <w:r w:rsidRPr="00A03D1F">
        <w:rPr>
          <w:rStyle w:val="af7"/>
          <w:rFonts w:eastAsia="Guttman Hodes"/>
          <w:rtl/>
        </w:rPr>
        <w:fldChar w:fldCharType="begin"/>
      </w:r>
      <w:r w:rsidRPr="00A03D1F">
        <w:rPr>
          <w:rStyle w:val="af7"/>
          <w:rFonts w:eastAsia="Guttman Hodes"/>
          <w:rtl/>
        </w:rPr>
        <w:instrText xml:space="preserve"> </w:instrText>
      </w:r>
      <w:r w:rsidRPr="00A03D1F">
        <w:rPr>
          <w:rStyle w:val="af7"/>
          <w:rFonts w:eastAsia="Guttman Hodes" w:hint="cs"/>
        </w:rPr>
        <w:instrText>REF</w:instrText>
      </w:r>
      <w:r w:rsidRPr="00A03D1F">
        <w:rPr>
          <w:rStyle w:val="af7"/>
          <w:rFonts w:eastAsia="Guttman Hodes" w:hint="cs"/>
          <w:rtl/>
        </w:rPr>
        <w:instrText xml:space="preserve"> _</w:instrText>
      </w:r>
      <w:r w:rsidRPr="00A03D1F">
        <w:rPr>
          <w:rStyle w:val="af7"/>
          <w:rFonts w:eastAsia="Guttman Hodes" w:hint="cs"/>
        </w:rPr>
        <w:instrText>Ref58342126 \r \h</w:instrText>
      </w:r>
      <w:r w:rsidRPr="00A03D1F">
        <w:rPr>
          <w:rStyle w:val="af7"/>
          <w:rFonts w:eastAsia="Guttman Hodes"/>
          <w:rtl/>
        </w:rPr>
        <w:instrText xml:space="preserve"> </w:instrText>
      </w:r>
      <w:r w:rsidRPr="00A03D1F">
        <w:rPr>
          <w:rStyle w:val="af7"/>
          <w:rFonts w:eastAsia="Guttman Hodes"/>
          <w:rtl/>
        </w:rPr>
      </w:r>
      <w:r w:rsidRPr="00A03D1F">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03D1F">
        <w:rPr>
          <w:rStyle w:val="af7"/>
          <w:rFonts w:eastAsia="Guttman Hodes"/>
          <w:rtl/>
        </w:rPr>
        <w:fldChar w:fldCharType="end"/>
      </w:r>
      <w:r>
        <w:rPr>
          <w:rFonts w:hint="cs"/>
          <w:rtl/>
        </w:rPr>
        <w:t xml:space="preserve"> דאיירי שהמחזיק הודה שהייתה של המערער, וגם הודה שאינו יודע אם המוכר קנה מהמערער, דהא לא טען המחזיק קמי דידי זבנה מינך, וכתב </w:t>
      </w:r>
      <w:r w:rsidRPr="007028BB">
        <w:rPr>
          <w:rStyle w:val="af9"/>
          <w:rFonts w:hint="cs"/>
          <w:rtl/>
        </w:rPr>
        <w:t>הרא"ש</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Ref57910111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Pr>
          <w:rStyle w:val="af7"/>
          <w:rFonts w:eastAsia="Guttman Hodes"/>
          <w:rtl/>
        </w:rPr>
        <w:fldChar w:fldCharType="end"/>
      </w:r>
      <w:r>
        <w:rPr>
          <w:rStyle w:val="af7"/>
          <w:rFonts w:eastAsia="Guttman Hodes" w:hint="cs"/>
          <w:rtl/>
        </w:rPr>
        <w:t xml:space="preserve"> </w:t>
      </w:r>
      <w:r>
        <w:rPr>
          <w:rFonts w:hint="cs"/>
          <w:rtl/>
        </w:rPr>
        <w:t xml:space="preserve">דלפי"ז ביאר </w:t>
      </w:r>
      <w:r w:rsidRPr="00B438CF">
        <w:rPr>
          <w:rStyle w:val="af9"/>
          <w:rFonts w:hint="cs"/>
          <w:rtl/>
        </w:rPr>
        <w:t>הרשב"ם</w:t>
      </w:r>
      <w:r>
        <w:rPr>
          <w:rFonts w:hint="cs"/>
          <w:rtl/>
        </w:rPr>
        <w:t xml:space="preserve"> </w:t>
      </w:r>
      <w:r w:rsidRPr="00B438CF">
        <w:rPr>
          <w:rStyle w:val="af7"/>
          <w:rFonts w:eastAsia="Guttman Hodes" w:hint="cs"/>
          <w:rtl/>
        </w:rPr>
        <w:t>(עי' או</w:t>
      </w:r>
      <w:r>
        <w:rPr>
          <w:rStyle w:val="af7"/>
          <w:rFonts w:eastAsia="Guttman Hodes" w:hint="cs"/>
          <w:rtl/>
        </w:rPr>
        <w:t xml:space="preserve">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Ref58318209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Pr>
          <w:rStyle w:val="af7"/>
          <w:rFonts w:eastAsia="Guttman Hodes"/>
          <w:rtl/>
        </w:rPr>
        <w:fldChar w:fldCharType="end"/>
      </w:r>
      <w:r>
        <w:rPr>
          <w:rStyle w:val="af7"/>
          <w:rFonts w:eastAsia="Guttman Hodes" w:hint="cs"/>
          <w:rtl/>
        </w:rPr>
        <w:t xml:space="preserve"> </w:t>
      </w:r>
      <w:r>
        <w:rPr>
          <w:rFonts w:hint="cs"/>
          <w:rtl/>
        </w:rPr>
        <w:t>דהמחזיק אינו נאמן במיגו דמינך זבינתה, דכיון שהודה שהייתה של המערער ושאינו יודע אם המוכר קנה מהמערער</w:t>
      </w:r>
      <w:r w:rsidRPr="00D952F6">
        <w:rPr>
          <w:rFonts w:hint="cs"/>
          <w:rtl/>
        </w:rPr>
        <w:t xml:space="preserve"> </w:t>
      </w:r>
      <w:r>
        <w:rPr>
          <w:rFonts w:hint="cs"/>
          <w:rtl/>
        </w:rPr>
        <w:t>לא מהני לו מיגו, ולכן המחזיק צריך להחזיר את הקרקע למערער, כיון דאין ספק מוציא מידי ודאי.</w:t>
      </w:r>
      <w:r w:rsidRPr="005755F6">
        <w:rPr>
          <w:rStyle w:val="afb"/>
          <w:rFonts w:hint="cs"/>
          <w:rtl/>
        </w:rPr>
        <w:t xml:space="preserve"> [</w:t>
      </w:r>
      <w:r>
        <w:rPr>
          <w:rStyle w:val="afb"/>
          <w:rFonts w:hint="cs"/>
          <w:rtl/>
        </w:rPr>
        <w:t>וע"ע</w:t>
      </w:r>
      <w:r w:rsidRPr="005755F6">
        <w:rPr>
          <w:rStyle w:val="afb"/>
          <w:rFonts w:hint="cs"/>
          <w:rtl/>
        </w:rPr>
        <w:t xml:space="preserve"> במה שהקשה </w:t>
      </w:r>
      <w:r w:rsidRPr="00807C4D">
        <w:rPr>
          <w:rStyle w:val="affa"/>
          <w:rFonts w:hint="cs"/>
          <w:rtl/>
        </w:rPr>
        <w:t>הרשב"ם</w:t>
      </w:r>
      <w:r w:rsidRPr="005755F6">
        <w:rPr>
          <w:rStyle w:val="afb"/>
          <w:rFonts w:hint="cs"/>
          <w:rtl/>
        </w:rPr>
        <w:t xml:space="preserve"> </w:t>
      </w:r>
      <w:r w:rsidRPr="00807C4D">
        <w:rPr>
          <w:rStyle w:val="aff6"/>
          <w:rFonts w:hint="cs"/>
          <w:rtl/>
        </w:rPr>
        <w:t>(עי'</w:t>
      </w:r>
      <w:r w:rsidRPr="005755F6">
        <w:rPr>
          <w:rStyle w:val="afb"/>
          <w:rFonts w:hint="cs"/>
          <w:rtl/>
        </w:rPr>
        <w:t xml:space="preserve"> </w:t>
      </w:r>
      <w:r w:rsidRPr="00807C4D">
        <w:rPr>
          <w:rStyle w:val="aff6"/>
          <w:rFonts w:hint="cs"/>
          <w:rtl/>
        </w:rPr>
        <w:t xml:space="preserve">אות </w:t>
      </w:r>
      <w:r w:rsidRPr="00807C4D">
        <w:rPr>
          <w:rStyle w:val="aff6"/>
          <w:rtl/>
        </w:rPr>
        <w:fldChar w:fldCharType="begin"/>
      </w:r>
      <w:r w:rsidRPr="00807C4D">
        <w:rPr>
          <w:rStyle w:val="aff6"/>
          <w:rtl/>
        </w:rPr>
        <w:instrText xml:space="preserve"> </w:instrText>
      </w:r>
      <w:r w:rsidRPr="00807C4D">
        <w:rPr>
          <w:rStyle w:val="aff6"/>
          <w:rFonts w:hint="cs"/>
        </w:rPr>
        <w:instrText>REF</w:instrText>
      </w:r>
      <w:r w:rsidRPr="00807C4D">
        <w:rPr>
          <w:rStyle w:val="aff6"/>
          <w:rFonts w:hint="cs"/>
          <w:rtl/>
        </w:rPr>
        <w:instrText xml:space="preserve"> _</w:instrText>
      </w:r>
      <w:r w:rsidRPr="00807C4D">
        <w:rPr>
          <w:rStyle w:val="aff6"/>
          <w:rFonts w:hint="cs"/>
        </w:rPr>
        <w:instrText>Ref58318705 \r \h</w:instrText>
      </w:r>
      <w:r w:rsidRPr="00807C4D">
        <w:rPr>
          <w:rStyle w:val="aff6"/>
          <w:rtl/>
        </w:rPr>
        <w:instrText xml:space="preserve"> </w:instrText>
      </w:r>
      <w:r w:rsidRPr="00807C4D">
        <w:rPr>
          <w:rStyle w:val="aff6"/>
          <w:rtl/>
        </w:rPr>
      </w:r>
      <w:r w:rsidRPr="00807C4D">
        <w:rPr>
          <w:rStyle w:val="aff6"/>
          <w:rtl/>
        </w:rPr>
        <w:fldChar w:fldCharType="separate"/>
      </w:r>
      <w:r w:rsidR="00265073">
        <w:rPr>
          <w:rStyle w:val="aff6"/>
          <w:cs/>
        </w:rPr>
        <w:t>‎</w:t>
      </w:r>
      <w:r w:rsidR="00265073">
        <w:rPr>
          <w:rStyle w:val="aff6"/>
          <w:rtl/>
        </w:rPr>
        <w:t>מג)</w:t>
      </w:r>
      <w:r w:rsidRPr="00807C4D">
        <w:rPr>
          <w:rStyle w:val="aff6"/>
          <w:rtl/>
        </w:rPr>
        <w:fldChar w:fldCharType="end"/>
      </w:r>
      <w:r w:rsidRPr="005755F6">
        <w:rPr>
          <w:rStyle w:val="afb"/>
          <w:rFonts w:hint="cs"/>
          <w:rtl/>
        </w:rPr>
        <w:t xml:space="preserve"> דאמאי אין המחזיק נאמן במיגו </w:t>
      </w:r>
      <w:r>
        <w:rPr>
          <w:rStyle w:val="afb"/>
          <w:rFonts w:hint="cs"/>
          <w:rtl/>
        </w:rPr>
        <w:t>ד</w:t>
      </w:r>
      <w:r w:rsidRPr="00807C4D">
        <w:rPr>
          <w:rStyle w:val="afb"/>
          <w:rtl/>
        </w:rPr>
        <w:t>מינך זבינתה</w:t>
      </w:r>
      <w:r w:rsidRPr="005755F6">
        <w:rPr>
          <w:rStyle w:val="afb"/>
          <w:rFonts w:hint="cs"/>
          <w:rtl/>
        </w:rPr>
        <w:t>,</w:t>
      </w:r>
      <w:r w:rsidRPr="00807C4D">
        <w:rPr>
          <w:rStyle w:val="afb"/>
          <w:rFonts w:hint="cs"/>
          <w:rtl/>
        </w:rPr>
        <w:t xml:space="preserve"> </w:t>
      </w:r>
      <w:r w:rsidRPr="005755F6">
        <w:rPr>
          <w:rStyle w:val="afb"/>
          <w:rFonts w:hint="cs"/>
          <w:rtl/>
        </w:rPr>
        <w:t xml:space="preserve">ובמה שתירץ </w:t>
      </w:r>
      <w:r w:rsidRPr="00807C4D">
        <w:rPr>
          <w:rStyle w:val="affa"/>
          <w:rFonts w:hint="cs"/>
          <w:rtl/>
        </w:rPr>
        <w:t>הרשב"ם</w:t>
      </w:r>
      <w:r w:rsidRPr="005755F6">
        <w:rPr>
          <w:rStyle w:val="afb"/>
          <w:rFonts w:hint="cs"/>
          <w:rtl/>
        </w:rPr>
        <w:t xml:space="preserve"> </w:t>
      </w:r>
      <w:r w:rsidRPr="00807C4D">
        <w:rPr>
          <w:rStyle w:val="aff6"/>
          <w:rFonts w:hint="cs"/>
          <w:rtl/>
        </w:rPr>
        <w:t xml:space="preserve">(עי' אות </w:t>
      </w:r>
      <w:r w:rsidRPr="00807C4D">
        <w:rPr>
          <w:rStyle w:val="aff6"/>
          <w:rtl/>
        </w:rPr>
        <w:fldChar w:fldCharType="begin"/>
      </w:r>
      <w:r w:rsidRPr="00807C4D">
        <w:rPr>
          <w:rStyle w:val="aff6"/>
          <w:rtl/>
        </w:rPr>
        <w:instrText xml:space="preserve"> </w:instrText>
      </w:r>
      <w:r w:rsidRPr="00807C4D">
        <w:rPr>
          <w:rStyle w:val="aff6"/>
          <w:rFonts w:hint="cs"/>
        </w:rPr>
        <w:instrText>REF</w:instrText>
      </w:r>
      <w:r w:rsidRPr="00807C4D">
        <w:rPr>
          <w:rStyle w:val="aff6"/>
          <w:rFonts w:hint="cs"/>
          <w:rtl/>
        </w:rPr>
        <w:instrText xml:space="preserve"> _</w:instrText>
      </w:r>
      <w:r w:rsidRPr="00807C4D">
        <w:rPr>
          <w:rStyle w:val="aff6"/>
          <w:rFonts w:hint="cs"/>
        </w:rPr>
        <w:instrText>Ref58318209 \r \h</w:instrText>
      </w:r>
      <w:r w:rsidRPr="00807C4D">
        <w:rPr>
          <w:rStyle w:val="aff6"/>
          <w:rtl/>
        </w:rPr>
        <w:instrText xml:space="preserve"> </w:instrText>
      </w:r>
      <w:r w:rsidRPr="00807C4D">
        <w:rPr>
          <w:rStyle w:val="aff6"/>
          <w:rtl/>
        </w:rPr>
      </w:r>
      <w:r w:rsidRPr="00807C4D">
        <w:rPr>
          <w:rStyle w:val="aff6"/>
          <w:rtl/>
        </w:rPr>
        <w:fldChar w:fldCharType="separate"/>
      </w:r>
      <w:r w:rsidR="00265073">
        <w:rPr>
          <w:rStyle w:val="aff6"/>
          <w:cs/>
        </w:rPr>
        <w:t>‎</w:t>
      </w:r>
      <w:r w:rsidR="00265073">
        <w:rPr>
          <w:rStyle w:val="aff6"/>
          <w:rtl/>
        </w:rPr>
        <w:t>מד)</w:t>
      </w:r>
      <w:r w:rsidRPr="00807C4D">
        <w:rPr>
          <w:rStyle w:val="aff6"/>
          <w:rtl/>
        </w:rPr>
        <w:fldChar w:fldCharType="end"/>
      </w:r>
      <w:r>
        <w:rPr>
          <w:rStyle w:val="afb"/>
          <w:rFonts w:hint="cs"/>
          <w:rtl/>
        </w:rPr>
        <w:t xml:space="preserve"> דלא מהני </w:t>
      </w:r>
      <w:r w:rsidRPr="005755F6">
        <w:rPr>
          <w:rStyle w:val="afb"/>
          <w:rFonts w:hint="cs"/>
          <w:rtl/>
        </w:rPr>
        <w:t xml:space="preserve">לו </w:t>
      </w:r>
      <w:r>
        <w:rPr>
          <w:rStyle w:val="afb"/>
          <w:rFonts w:hint="cs"/>
          <w:rtl/>
        </w:rPr>
        <w:t>ה</w:t>
      </w:r>
      <w:r w:rsidRPr="005755F6">
        <w:rPr>
          <w:rStyle w:val="afb"/>
          <w:rFonts w:hint="cs"/>
          <w:rtl/>
        </w:rPr>
        <w:t>מיג</w:t>
      </w:r>
      <w:r>
        <w:rPr>
          <w:rStyle w:val="afb"/>
          <w:rFonts w:hint="cs"/>
          <w:rtl/>
        </w:rPr>
        <w:t>ו, ו</w:t>
      </w:r>
      <w:r w:rsidRPr="003504B2">
        <w:rPr>
          <w:rStyle w:val="afb"/>
          <w:rFonts w:hint="cs"/>
          <w:rtl/>
        </w:rPr>
        <w:t xml:space="preserve">במה שביאר </w:t>
      </w:r>
      <w:r w:rsidRPr="003504B2">
        <w:rPr>
          <w:rStyle w:val="affa"/>
          <w:rFonts w:hint="cs"/>
          <w:rtl/>
        </w:rPr>
        <w:t>הרא"ש</w:t>
      </w:r>
      <w:r w:rsidRPr="003504B2">
        <w:rPr>
          <w:rStyle w:val="afb"/>
          <w:rFonts w:hint="cs"/>
          <w:rtl/>
        </w:rPr>
        <w:t xml:space="preserve"> </w:t>
      </w:r>
      <w:r w:rsidRPr="003504B2">
        <w:rPr>
          <w:rStyle w:val="aff6"/>
          <w:rFonts w:hint="cs"/>
          <w:rtl/>
        </w:rPr>
        <w:t xml:space="preserve">(עי' אות </w:t>
      </w:r>
      <w:r w:rsidRPr="003504B2">
        <w:rPr>
          <w:rStyle w:val="aff6"/>
          <w:rtl/>
        </w:rPr>
        <w:fldChar w:fldCharType="begin"/>
      </w:r>
      <w:r w:rsidRPr="003504B2">
        <w:rPr>
          <w:rStyle w:val="aff6"/>
          <w:rtl/>
        </w:rPr>
        <w:instrText xml:space="preserve"> </w:instrText>
      </w:r>
      <w:r w:rsidRPr="003504B2">
        <w:rPr>
          <w:rStyle w:val="aff6"/>
          <w:rFonts w:hint="cs"/>
        </w:rPr>
        <w:instrText>REF</w:instrText>
      </w:r>
      <w:r w:rsidRPr="003504B2">
        <w:rPr>
          <w:rStyle w:val="aff6"/>
          <w:rFonts w:hint="cs"/>
          <w:rtl/>
        </w:rPr>
        <w:instrText xml:space="preserve"> _</w:instrText>
      </w:r>
      <w:r w:rsidRPr="003504B2">
        <w:rPr>
          <w:rStyle w:val="aff6"/>
          <w:rFonts w:hint="cs"/>
        </w:rPr>
        <w:instrText>Ref57910111 \r \h</w:instrText>
      </w:r>
      <w:r w:rsidRPr="003504B2">
        <w:rPr>
          <w:rStyle w:val="aff6"/>
          <w:rtl/>
        </w:rPr>
        <w:instrText xml:space="preserve"> </w:instrText>
      </w:r>
      <w:r w:rsidRPr="003504B2">
        <w:rPr>
          <w:rStyle w:val="aff6"/>
          <w:rtl/>
        </w:rPr>
      </w:r>
      <w:r w:rsidRPr="003504B2">
        <w:rPr>
          <w:rStyle w:val="aff6"/>
          <w:rtl/>
        </w:rPr>
        <w:fldChar w:fldCharType="separate"/>
      </w:r>
      <w:r w:rsidR="00265073">
        <w:rPr>
          <w:rStyle w:val="aff6"/>
          <w:cs/>
        </w:rPr>
        <w:t>‎</w:t>
      </w:r>
      <w:r w:rsidR="00265073">
        <w:rPr>
          <w:rStyle w:val="aff6"/>
          <w:rtl/>
        </w:rPr>
        <w:t>מה)</w:t>
      </w:r>
      <w:r w:rsidRPr="003504B2">
        <w:rPr>
          <w:rStyle w:val="aff6"/>
          <w:rtl/>
        </w:rPr>
        <w:fldChar w:fldCharType="end"/>
      </w:r>
      <w:r w:rsidRPr="003504B2">
        <w:rPr>
          <w:rStyle w:val="afb"/>
          <w:rFonts w:hint="cs"/>
          <w:rtl/>
        </w:rPr>
        <w:t xml:space="preserve"> </w:t>
      </w:r>
      <w:r>
        <w:rPr>
          <w:rStyle w:val="afb"/>
          <w:rFonts w:hint="cs"/>
          <w:rtl/>
        </w:rPr>
        <w:t xml:space="preserve">את דברי </w:t>
      </w:r>
      <w:r w:rsidRPr="005755F6">
        <w:rPr>
          <w:rStyle w:val="affa"/>
          <w:rFonts w:hint="cs"/>
          <w:rtl/>
        </w:rPr>
        <w:t>הרשב"ם</w:t>
      </w:r>
      <w:r>
        <w:rPr>
          <w:rStyle w:val="afb"/>
          <w:rFonts w:hint="cs"/>
          <w:rtl/>
        </w:rPr>
        <w:t xml:space="preserve">, ובמה שהקשה </w:t>
      </w:r>
      <w:r w:rsidRPr="00293791">
        <w:rPr>
          <w:rStyle w:val="affa"/>
          <w:rFonts w:hint="cs"/>
          <w:rtl/>
        </w:rPr>
        <w:t>הרא"ש</w:t>
      </w:r>
      <w:r>
        <w:rPr>
          <w:rStyle w:val="afb"/>
          <w:rFonts w:hint="cs"/>
          <w:rtl/>
        </w:rPr>
        <w:t xml:space="preserve"> </w:t>
      </w:r>
      <w:r w:rsidRPr="00D036AB">
        <w:rPr>
          <w:rStyle w:val="aff6"/>
          <w:rFonts w:hint="cs"/>
          <w:rtl/>
        </w:rPr>
        <w:t xml:space="preserve">(עי' אות </w:t>
      </w:r>
      <w:r w:rsidRPr="00D036AB">
        <w:rPr>
          <w:rStyle w:val="aff6"/>
          <w:rtl/>
        </w:rPr>
        <w:fldChar w:fldCharType="begin"/>
      </w:r>
      <w:r w:rsidRPr="00D036AB">
        <w:rPr>
          <w:rStyle w:val="aff6"/>
          <w:rtl/>
        </w:rPr>
        <w:instrText xml:space="preserve"> </w:instrText>
      </w:r>
      <w:r w:rsidRPr="00D036AB">
        <w:rPr>
          <w:rStyle w:val="aff6"/>
          <w:rFonts w:hint="cs"/>
        </w:rPr>
        <w:instrText>REF</w:instrText>
      </w:r>
      <w:r w:rsidRPr="00D036AB">
        <w:rPr>
          <w:rStyle w:val="aff6"/>
          <w:rFonts w:hint="cs"/>
          <w:rtl/>
        </w:rPr>
        <w:instrText xml:space="preserve"> _</w:instrText>
      </w:r>
      <w:r w:rsidRPr="00D036AB">
        <w:rPr>
          <w:rStyle w:val="aff6"/>
          <w:rFonts w:hint="cs"/>
        </w:rPr>
        <w:instrText>Ref58834676 \r \h</w:instrText>
      </w:r>
      <w:r w:rsidRPr="00D036AB">
        <w:rPr>
          <w:rStyle w:val="aff6"/>
          <w:rtl/>
        </w:rPr>
        <w:instrText xml:space="preserve"> </w:instrText>
      </w:r>
      <w:r w:rsidRPr="00D036AB">
        <w:rPr>
          <w:rStyle w:val="aff6"/>
          <w:rtl/>
        </w:rPr>
      </w:r>
      <w:r w:rsidRPr="00D036AB">
        <w:rPr>
          <w:rStyle w:val="aff6"/>
          <w:rtl/>
        </w:rPr>
        <w:fldChar w:fldCharType="separate"/>
      </w:r>
      <w:r w:rsidR="00265073">
        <w:rPr>
          <w:rStyle w:val="aff6"/>
          <w:cs/>
        </w:rPr>
        <w:t>‎</w:t>
      </w:r>
      <w:r w:rsidR="00265073">
        <w:rPr>
          <w:rStyle w:val="aff6"/>
          <w:rtl/>
        </w:rPr>
        <w:t>מז)</w:t>
      </w:r>
      <w:r w:rsidRPr="00D036AB">
        <w:rPr>
          <w:rStyle w:val="aff6"/>
          <w:rtl/>
        </w:rPr>
        <w:fldChar w:fldCharType="end"/>
      </w:r>
      <w:r>
        <w:rPr>
          <w:rStyle w:val="afb"/>
          <w:rFonts w:hint="cs"/>
          <w:rtl/>
        </w:rPr>
        <w:t xml:space="preserve"> על </w:t>
      </w:r>
      <w:r w:rsidRPr="00293791">
        <w:rPr>
          <w:rStyle w:val="affa"/>
          <w:rFonts w:hint="cs"/>
          <w:rtl/>
        </w:rPr>
        <w:t>הרשב"ם</w:t>
      </w:r>
      <w:r>
        <w:rPr>
          <w:rStyle w:val="afb"/>
          <w:rFonts w:hint="cs"/>
          <w:rtl/>
        </w:rPr>
        <w:t xml:space="preserve"> דהמחזיק יהיה נאמן במיגו דלהד"ם, ובמה שתירץ </w:t>
      </w:r>
      <w:r w:rsidRPr="00293791">
        <w:rPr>
          <w:rStyle w:val="affa"/>
          <w:rFonts w:hint="cs"/>
          <w:rtl/>
        </w:rPr>
        <w:t>הרא"ש</w:t>
      </w:r>
      <w:r>
        <w:rPr>
          <w:rStyle w:val="afb"/>
          <w:rFonts w:hint="cs"/>
          <w:rtl/>
        </w:rPr>
        <w:t xml:space="preserve"> דהמחזיק ירא לטעון להד"ם</w:t>
      </w:r>
      <w:r w:rsidRPr="003504B2">
        <w:rPr>
          <w:rStyle w:val="afb"/>
          <w:rFonts w:hint="cs"/>
          <w:rtl/>
        </w:rPr>
        <w:t>]</w:t>
      </w:r>
      <w:r>
        <w:rPr>
          <w:rStyle w:val="afb"/>
          <w:rFonts w:hint="cs"/>
          <w:rtl/>
        </w:rPr>
        <w:t>.</w:t>
      </w:r>
      <w:bookmarkEnd w:id="7678"/>
    </w:p>
    <w:p w:rsidR="0007171D" w:rsidRPr="00494CC0" w:rsidRDefault="0007171D" w:rsidP="0007171D">
      <w:pPr>
        <w:pStyle w:val="1"/>
        <w:rPr>
          <w:rtl/>
        </w:rPr>
      </w:pPr>
      <w:bookmarkStart w:id="7679" w:name="_Toc58876181"/>
      <w:bookmarkStart w:id="7680" w:name="_Toc58877589"/>
      <w:bookmarkStart w:id="7681" w:name="_Toc58914648"/>
      <w:bookmarkStart w:id="7682" w:name="_Toc58925942"/>
      <w:bookmarkStart w:id="7683" w:name="_Toc58930015"/>
      <w:bookmarkStart w:id="7684" w:name="_Toc58938168"/>
      <w:bookmarkStart w:id="7685" w:name="_Toc59006956"/>
      <w:bookmarkStart w:id="7686" w:name="_Toc59013432"/>
      <w:bookmarkStart w:id="7687" w:name="_Toc59013680"/>
      <w:bookmarkStart w:id="7688" w:name="_Toc59025746"/>
      <w:r>
        <w:rPr>
          <w:rFonts w:hint="cs"/>
          <w:rtl/>
        </w:rPr>
        <w:t>דעת הרא"ש דהמחזיק רק שמע כן מהמוכר ולא הודה מעצמו</w:t>
      </w:r>
      <w:bookmarkEnd w:id="7679"/>
      <w:bookmarkEnd w:id="7680"/>
      <w:bookmarkEnd w:id="7681"/>
      <w:bookmarkEnd w:id="7682"/>
      <w:bookmarkEnd w:id="7683"/>
      <w:bookmarkEnd w:id="7684"/>
      <w:bookmarkEnd w:id="7685"/>
      <w:bookmarkEnd w:id="7686"/>
      <w:bookmarkEnd w:id="7687"/>
      <w:bookmarkEnd w:id="7688"/>
    </w:p>
    <w:p w:rsidR="0007171D" w:rsidRPr="007C2BFE" w:rsidRDefault="0007171D" w:rsidP="0007171D">
      <w:pPr>
        <w:pStyle w:val="a3"/>
        <w:rPr>
          <w:rtl/>
        </w:rPr>
      </w:pPr>
      <w:bookmarkStart w:id="7689" w:name="_Toc58876182"/>
      <w:bookmarkStart w:id="7690" w:name="_Toc58877590"/>
      <w:bookmarkStart w:id="7691" w:name="_Toc58914649"/>
      <w:bookmarkStart w:id="7692" w:name="_Toc58925943"/>
      <w:bookmarkStart w:id="7693" w:name="_Toc58930016"/>
      <w:bookmarkStart w:id="7694" w:name="_Toc58938169"/>
      <w:bookmarkStart w:id="7695" w:name="_Toc59006957"/>
      <w:bookmarkStart w:id="7696" w:name="_Toc59013433"/>
      <w:bookmarkStart w:id="7697" w:name="_Toc59013681"/>
      <w:bookmarkStart w:id="7698" w:name="_Toc59025747"/>
      <w:r>
        <w:rPr>
          <w:rFonts w:hint="cs"/>
          <w:rtl/>
        </w:rPr>
        <w:t>קושית הרא"ש על הרשב"ם דלא מוכח בגמ' דהמחזיק הודה בפירוש ורק שמע כן מפי המוכר</w:t>
      </w:r>
      <w:bookmarkEnd w:id="7689"/>
      <w:bookmarkEnd w:id="7690"/>
      <w:bookmarkEnd w:id="7691"/>
      <w:bookmarkEnd w:id="7692"/>
      <w:bookmarkEnd w:id="7693"/>
      <w:bookmarkEnd w:id="7694"/>
      <w:bookmarkEnd w:id="7695"/>
      <w:bookmarkEnd w:id="7696"/>
      <w:bookmarkEnd w:id="7697"/>
      <w:bookmarkEnd w:id="7698"/>
    </w:p>
    <w:p w:rsidR="0007171D" w:rsidRDefault="0007171D" w:rsidP="007E4E81">
      <w:pPr>
        <w:pStyle w:val="a0"/>
        <w:rPr>
          <w:rtl/>
        </w:rPr>
      </w:pPr>
      <w:bookmarkStart w:id="7699" w:name="_Ref58750729"/>
      <w:bookmarkStart w:id="7700" w:name="_Toc58324988"/>
      <w:r>
        <w:rPr>
          <w:rFonts w:hint="cs"/>
          <w:rtl/>
        </w:rPr>
        <w:t xml:space="preserve">אך דחה </w:t>
      </w:r>
      <w:r w:rsidRPr="007028BB">
        <w:rPr>
          <w:rStyle w:val="af9"/>
          <w:rFonts w:hint="cs"/>
          <w:rtl/>
        </w:rPr>
        <w:t>הרא"ש</w:t>
      </w:r>
      <w:r>
        <w:rPr>
          <w:rFonts w:hint="cs"/>
          <w:rtl/>
        </w:rPr>
        <w:t xml:space="preserve"> </w:t>
      </w:r>
      <w:r w:rsidRPr="005E2307">
        <w:rPr>
          <w:rStyle w:val="af7"/>
          <w:rFonts w:eastAsia="Guttman Hodes" w:hint="cs"/>
          <w:rtl/>
        </w:rPr>
        <w:t>(סי' ז')</w:t>
      </w:r>
      <w:r>
        <w:rPr>
          <w:rFonts w:hint="cs"/>
          <w:rtl/>
        </w:rPr>
        <w:t xml:space="preserve"> את דברי </w:t>
      </w:r>
      <w:r w:rsidRPr="00A21272">
        <w:rPr>
          <w:rStyle w:val="af9"/>
          <w:rFonts w:hint="cs"/>
          <w:rtl/>
        </w:rPr>
        <w:t xml:space="preserve">הרשב"ם </w:t>
      </w:r>
      <w:r>
        <w:rPr>
          <w:rFonts w:hint="cs"/>
          <w:rtl/>
        </w:rPr>
        <w:t xml:space="preserve">דלא מוכח מדברי המחזיק, דהודה שהקרקע הייתה של המערער, </w:t>
      </w:r>
      <w:r w:rsidRPr="0040304F">
        <w:rPr>
          <w:rStyle w:val="afb"/>
          <w:rFonts w:hint="cs"/>
          <w:rtl/>
        </w:rPr>
        <w:t>[ועי' במה ש</w:t>
      </w:r>
      <w:r>
        <w:rPr>
          <w:rStyle w:val="afb"/>
          <w:rFonts w:hint="cs"/>
          <w:rtl/>
        </w:rPr>
        <w:t>תירצו</w:t>
      </w:r>
      <w:r w:rsidRPr="0040304F">
        <w:rPr>
          <w:rStyle w:val="afb"/>
          <w:rFonts w:hint="cs"/>
          <w:rtl/>
        </w:rPr>
        <w:t xml:space="preserve"> </w:t>
      </w:r>
      <w:r w:rsidRPr="0040304F">
        <w:rPr>
          <w:rStyle w:val="affa"/>
          <w:rFonts w:hint="cs"/>
          <w:rtl/>
        </w:rPr>
        <w:t>רבינו יונה</w:t>
      </w:r>
      <w:r w:rsidRPr="0040304F">
        <w:rPr>
          <w:rStyle w:val="afb"/>
          <w:rFonts w:hint="cs"/>
          <w:rtl/>
        </w:rPr>
        <w:t xml:space="preserve"> </w:t>
      </w:r>
      <w:r w:rsidRPr="0040304F">
        <w:rPr>
          <w:rStyle w:val="aff6"/>
          <w:rFonts w:hint="cs"/>
          <w:rtl/>
        </w:rPr>
        <w:t xml:space="preserve">(עי' אות </w:t>
      </w:r>
      <w:r w:rsidRPr="0040304F">
        <w:rPr>
          <w:rStyle w:val="aff6"/>
          <w:rtl/>
        </w:rPr>
        <w:fldChar w:fldCharType="begin"/>
      </w:r>
      <w:r w:rsidRPr="0040304F">
        <w:rPr>
          <w:rStyle w:val="aff6"/>
          <w:rtl/>
        </w:rPr>
        <w:instrText xml:space="preserve"> </w:instrText>
      </w:r>
      <w:r w:rsidRPr="0040304F">
        <w:rPr>
          <w:rStyle w:val="aff6"/>
          <w:rFonts w:hint="cs"/>
        </w:rPr>
        <w:instrText>REF</w:instrText>
      </w:r>
      <w:r w:rsidRPr="0040304F">
        <w:rPr>
          <w:rStyle w:val="aff6"/>
          <w:rFonts w:hint="cs"/>
          <w:rtl/>
        </w:rPr>
        <w:instrText xml:space="preserve"> _</w:instrText>
      </w:r>
      <w:r w:rsidRPr="0040304F">
        <w:rPr>
          <w:rStyle w:val="aff6"/>
          <w:rFonts w:hint="cs"/>
        </w:rPr>
        <w:instrText>Ref57910944 \r \h</w:instrText>
      </w:r>
      <w:r w:rsidRPr="0040304F">
        <w:rPr>
          <w:rStyle w:val="aff6"/>
          <w:rtl/>
        </w:rPr>
        <w:instrText xml:space="preserve">  \* </w:instrText>
      </w:r>
      <w:r w:rsidRPr="0040304F">
        <w:rPr>
          <w:rStyle w:val="aff6"/>
        </w:rPr>
        <w:instrText>MERGEFORMAT</w:instrText>
      </w:r>
      <w:r w:rsidRPr="0040304F">
        <w:rPr>
          <w:rStyle w:val="aff6"/>
          <w:rtl/>
        </w:rPr>
        <w:instrText xml:space="preserve"> </w:instrText>
      </w:r>
      <w:r w:rsidRPr="0040304F">
        <w:rPr>
          <w:rStyle w:val="aff6"/>
          <w:rtl/>
        </w:rPr>
      </w:r>
      <w:r w:rsidRPr="0040304F">
        <w:rPr>
          <w:rStyle w:val="aff6"/>
          <w:rtl/>
        </w:rPr>
        <w:fldChar w:fldCharType="separate"/>
      </w:r>
      <w:r w:rsidR="00265073">
        <w:rPr>
          <w:rStyle w:val="aff6"/>
          <w:cs/>
        </w:rPr>
        <w:t>‎</w:t>
      </w:r>
      <w:r w:rsidR="00265073">
        <w:rPr>
          <w:rStyle w:val="aff6"/>
          <w:rtl/>
        </w:rPr>
        <w:t>כט)</w:t>
      </w:r>
      <w:r w:rsidRPr="0040304F">
        <w:rPr>
          <w:rStyle w:val="aff6"/>
          <w:rtl/>
        </w:rPr>
        <w:fldChar w:fldCharType="end"/>
      </w:r>
      <w:r w:rsidRPr="0040304F">
        <w:rPr>
          <w:rStyle w:val="afb"/>
          <w:rFonts w:hint="cs"/>
          <w:rtl/>
        </w:rPr>
        <w:t xml:space="preserve"> </w:t>
      </w:r>
      <w:r w:rsidRPr="0040304F">
        <w:rPr>
          <w:rStyle w:val="affa"/>
          <w:rFonts w:hint="cs"/>
          <w:rtl/>
        </w:rPr>
        <w:t>והיד רמ"ה</w:t>
      </w:r>
      <w:r w:rsidRPr="0040304F">
        <w:rPr>
          <w:rStyle w:val="afb"/>
          <w:rFonts w:hint="cs"/>
          <w:rtl/>
        </w:rPr>
        <w:t xml:space="preserve"> </w:t>
      </w:r>
      <w:r w:rsidRPr="0040304F">
        <w:rPr>
          <w:rStyle w:val="aff6"/>
          <w:rFonts w:hint="cs"/>
          <w:rtl/>
        </w:rPr>
        <w:t xml:space="preserve">(עי' אות </w:t>
      </w:r>
      <w:r w:rsidRPr="0040304F">
        <w:rPr>
          <w:rStyle w:val="aff6"/>
          <w:rtl/>
        </w:rPr>
        <w:fldChar w:fldCharType="begin"/>
      </w:r>
      <w:r w:rsidRPr="0040304F">
        <w:rPr>
          <w:rStyle w:val="aff6"/>
          <w:rtl/>
        </w:rPr>
        <w:instrText xml:space="preserve"> </w:instrText>
      </w:r>
      <w:r w:rsidRPr="0040304F">
        <w:rPr>
          <w:rStyle w:val="aff6"/>
          <w:rFonts w:hint="cs"/>
        </w:rPr>
        <w:instrText>REF</w:instrText>
      </w:r>
      <w:r w:rsidRPr="0040304F">
        <w:rPr>
          <w:rStyle w:val="aff6"/>
          <w:rFonts w:hint="cs"/>
          <w:rtl/>
        </w:rPr>
        <w:instrText xml:space="preserve"> _</w:instrText>
      </w:r>
      <w:r w:rsidRPr="0040304F">
        <w:rPr>
          <w:rStyle w:val="aff6"/>
          <w:rFonts w:hint="cs"/>
        </w:rPr>
        <w:instrText>Ref58877208 \r \h</w:instrText>
      </w:r>
      <w:r w:rsidRPr="0040304F">
        <w:rPr>
          <w:rStyle w:val="aff6"/>
          <w:rtl/>
        </w:rPr>
        <w:instrText xml:space="preserve">  \* </w:instrText>
      </w:r>
      <w:r w:rsidRPr="0040304F">
        <w:rPr>
          <w:rStyle w:val="aff6"/>
        </w:rPr>
        <w:instrText>MERGEFORMAT</w:instrText>
      </w:r>
      <w:r w:rsidRPr="0040304F">
        <w:rPr>
          <w:rStyle w:val="aff6"/>
          <w:rtl/>
        </w:rPr>
        <w:instrText xml:space="preserve"> </w:instrText>
      </w:r>
      <w:r w:rsidRPr="0040304F">
        <w:rPr>
          <w:rStyle w:val="aff6"/>
          <w:rtl/>
        </w:rPr>
      </w:r>
      <w:r w:rsidRPr="0040304F">
        <w:rPr>
          <w:rStyle w:val="aff6"/>
          <w:rtl/>
        </w:rPr>
        <w:fldChar w:fldCharType="separate"/>
      </w:r>
      <w:r w:rsidR="00265073">
        <w:rPr>
          <w:rStyle w:val="aff6"/>
          <w:cs/>
        </w:rPr>
        <w:t>‎</w:t>
      </w:r>
      <w:r w:rsidR="00265073">
        <w:rPr>
          <w:rStyle w:val="aff6"/>
          <w:rtl/>
        </w:rPr>
        <w:t>לא)</w:t>
      </w:r>
      <w:r w:rsidRPr="0040304F">
        <w:rPr>
          <w:rStyle w:val="aff6"/>
          <w:rtl/>
        </w:rPr>
        <w:fldChar w:fldCharType="end"/>
      </w:r>
      <w:r w:rsidRPr="0040304F">
        <w:rPr>
          <w:rStyle w:val="afb"/>
          <w:rFonts w:hint="cs"/>
          <w:rtl/>
        </w:rPr>
        <w:t>],</w:t>
      </w:r>
      <w:r>
        <w:rPr>
          <w:rFonts w:hint="cs"/>
          <w:rtl/>
        </w:rPr>
        <w:t xml:space="preserve"> אלא כתב </w:t>
      </w:r>
      <w:r w:rsidRPr="0040304F">
        <w:rPr>
          <w:rStyle w:val="af9"/>
          <w:rFonts w:hint="cs"/>
          <w:rtl/>
        </w:rPr>
        <w:t>הרא"ש</w:t>
      </w:r>
      <w:r>
        <w:rPr>
          <w:rFonts w:hint="cs"/>
          <w:rtl/>
        </w:rPr>
        <w:t xml:space="preserve"> דמבואר מדברי המחזיק שרק שמע כן מפי המוכר, דאמר לו שקנה את הקרקע מהמערער, [ואפ"ה אמר רבא שמוציאין את המחזיק מהקרקע]</w:t>
      </w:r>
      <w:r w:rsidRPr="00C73CC9">
        <w:rPr>
          <w:rFonts w:hint="cs"/>
          <w:rtl/>
        </w:rPr>
        <w:t>, וכ</w:t>
      </w:r>
      <w:r>
        <w:rPr>
          <w:rFonts w:hint="cs"/>
          <w:rtl/>
        </w:rPr>
        <w:t>ן דעת</w:t>
      </w:r>
      <w:r w:rsidRPr="00AB349C">
        <w:rPr>
          <w:rStyle w:val="affa"/>
          <w:rFonts w:hint="cs"/>
          <w:rtl/>
        </w:rPr>
        <w:t xml:space="preserve"> </w:t>
      </w:r>
      <w:r w:rsidRPr="00AB349C">
        <w:rPr>
          <w:rStyle w:val="af9"/>
          <w:rFonts w:hint="cs"/>
          <w:rtl/>
        </w:rPr>
        <w:t xml:space="preserve">הראב"ד </w:t>
      </w:r>
      <w:r w:rsidRPr="00AB349C">
        <w:rPr>
          <w:rStyle w:val="af7"/>
          <w:rFonts w:eastAsia="Guttman Rashi" w:hint="cs"/>
          <w:rtl/>
        </w:rPr>
        <w:t>(</w:t>
      </w:r>
      <w:r w:rsidRPr="001B7A81">
        <w:rPr>
          <w:rStyle w:val="af7"/>
          <w:rFonts w:eastAsia="Guttman Rashi" w:hint="cs"/>
          <w:rtl/>
        </w:rPr>
        <w:t>עי'</w:t>
      </w:r>
      <w:r w:rsidRPr="001B7A81">
        <w:rPr>
          <w:rStyle w:val="af7"/>
          <w:rFonts w:eastAsia="Guttman Hodes" w:hint="cs"/>
          <w:rtl/>
        </w:rPr>
        <w:t xml:space="preserve"> אות </w:t>
      </w:r>
      <w:r w:rsidRPr="001B7A81">
        <w:rPr>
          <w:rStyle w:val="af7"/>
          <w:rFonts w:eastAsia="Guttman Hodes"/>
          <w:rtl/>
        </w:rPr>
        <w:fldChar w:fldCharType="begin"/>
      </w:r>
      <w:r w:rsidRPr="001B7A81">
        <w:rPr>
          <w:rStyle w:val="af7"/>
          <w:rFonts w:eastAsia="Guttman Hodes"/>
          <w:rtl/>
        </w:rPr>
        <w:instrText xml:space="preserve"> </w:instrText>
      </w:r>
      <w:r w:rsidRPr="001B7A81">
        <w:rPr>
          <w:rStyle w:val="af7"/>
          <w:rFonts w:eastAsia="Guttman Hodes" w:hint="cs"/>
        </w:rPr>
        <w:instrText>REF</w:instrText>
      </w:r>
      <w:r w:rsidRPr="001B7A81">
        <w:rPr>
          <w:rStyle w:val="af7"/>
          <w:rFonts w:eastAsia="Guttman Hodes" w:hint="cs"/>
          <w:rtl/>
        </w:rPr>
        <w:instrText xml:space="preserve"> _</w:instrText>
      </w:r>
      <w:r w:rsidRPr="001B7A81">
        <w:rPr>
          <w:rStyle w:val="af7"/>
          <w:rFonts w:eastAsia="Guttman Hodes" w:hint="cs"/>
        </w:rPr>
        <w:instrText>Ref58407487 \r \h</w:instrText>
      </w:r>
      <w:r w:rsidRPr="001B7A81">
        <w:rPr>
          <w:rStyle w:val="af7"/>
          <w:rFonts w:eastAsia="Guttman Hodes"/>
          <w:rtl/>
        </w:rPr>
        <w:instrText xml:space="preserve"> </w:instrText>
      </w:r>
      <w:r w:rsidRPr="001B7A81">
        <w:rPr>
          <w:rStyle w:val="af7"/>
          <w:rFonts w:eastAsia="Guttman Hodes"/>
          <w:rtl/>
        </w:rPr>
      </w:r>
      <w:r w:rsidRPr="001B7A81">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1B7A81">
        <w:rPr>
          <w:rStyle w:val="af7"/>
          <w:rFonts w:eastAsia="Guttman Hodes"/>
          <w:rtl/>
        </w:rPr>
        <w:fldChar w:fldCharType="end"/>
      </w:r>
      <w:r>
        <w:rPr>
          <w:rStyle w:val="af9"/>
          <w:rFonts w:hint="cs"/>
          <w:rtl/>
        </w:rPr>
        <w:t xml:space="preserve">, </w:t>
      </w:r>
      <w:r>
        <w:rPr>
          <w:rFonts w:hint="cs"/>
          <w:rtl/>
        </w:rPr>
        <w:t>וע"ע במ"ש</w:t>
      </w:r>
      <w:r w:rsidRPr="00AB349C">
        <w:rPr>
          <w:rFonts w:hint="cs"/>
          <w:rtl/>
        </w:rPr>
        <w:t xml:space="preserve"> </w:t>
      </w:r>
      <w:r w:rsidRPr="00AB349C">
        <w:rPr>
          <w:rStyle w:val="af9"/>
          <w:rFonts w:hint="cs"/>
          <w:rtl/>
        </w:rPr>
        <w:t>רבינו יונה</w:t>
      </w:r>
      <w:r w:rsidRPr="00AB349C">
        <w:rPr>
          <w:rStyle w:val="af7"/>
          <w:rFonts w:eastAsia="Guttman Hodes" w:hint="cs"/>
          <w:rtl/>
        </w:rPr>
        <w:t xml:space="preserve"> </w:t>
      </w:r>
      <w:r w:rsidRPr="00AB349C">
        <w:rPr>
          <w:rStyle w:val="af7"/>
          <w:rFonts w:eastAsia="Guttman Rashi" w:hint="cs"/>
          <w:rtl/>
        </w:rPr>
        <w:t>(עי' אות</w:t>
      </w:r>
      <w:r w:rsidRPr="00AB349C">
        <w:rPr>
          <w:rStyle w:val="af7"/>
          <w:rFonts w:eastAsia="Guttman Hodes" w:hint="cs"/>
          <w:rtl/>
        </w:rPr>
        <w:t xml:space="preserve"> </w:t>
      </w:r>
      <w:r w:rsidRPr="00AB349C">
        <w:rPr>
          <w:rStyle w:val="af7"/>
          <w:rFonts w:eastAsia="Guttman Rashi"/>
          <w:rtl/>
        </w:rPr>
        <w:fldChar w:fldCharType="begin"/>
      </w:r>
      <w:r w:rsidRPr="00AB349C">
        <w:rPr>
          <w:rStyle w:val="af7"/>
          <w:rFonts w:eastAsia="Guttman Rashi"/>
          <w:rtl/>
        </w:rPr>
        <w:instrText xml:space="preserve"> </w:instrText>
      </w:r>
      <w:r w:rsidRPr="00AB349C">
        <w:rPr>
          <w:rStyle w:val="af7"/>
          <w:rFonts w:eastAsia="Guttman Rashi" w:hint="cs"/>
        </w:rPr>
        <w:instrText>REF</w:instrText>
      </w:r>
      <w:r w:rsidRPr="00AB349C">
        <w:rPr>
          <w:rStyle w:val="af7"/>
          <w:rFonts w:eastAsia="Guttman Rashi" w:hint="cs"/>
          <w:rtl/>
        </w:rPr>
        <w:instrText xml:space="preserve"> _</w:instrText>
      </w:r>
      <w:r w:rsidRPr="00AB349C">
        <w:rPr>
          <w:rStyle w:val="af7"/>
          <w:rFonts w:eastAsia="Guttman Rashi" w:hint="cs"/>
        </w:rPr>
        <w:instrText>Ref58406136 \r \h</w:instrText>
      </w:r>
      <w:r w:rsidRPr="00AB349C">
        <w:rPr>
          <w:rStyle w:val="af7"/>
          <w:rFonts w:eastAsia="Guttman Rashi"/>
          <w:rtl/>
        </w:rPr>
        <w:instrText xml:space="preserve"> </w:instrText>
      </w:r>
      <w:r w:rsidRPr="00AB349C">
        <w:rPr>
          <w:rStyle w:val="af7"/>
          <w:rFonts w:eastAsia="Guttman Rashi"/>
          <w:rtl/>
        </w:rPr>
      </w:r>
      <w:r w:rsidRPr="00AB349C">
        <w:rPr>
          <w:rStyle w:val="af7"/>
          <w:rFonts w:eastAsia="Guttman Rashi"/>
          <w:rtl/>
        </w:rPr>
        <w:fldChar w:fldCharType="separate"/>
      </w:r>
      <w:r w:rsidR="00265073">
        <w:rPr>
          <w:rStyle w:val="af7"/>
          <w:rFonts w:eastAsia="Guttman Rashi"/>
          <w:cs/>
        </w:rPr>
        <w:t>‎</w:t>
      </w:r>
      <w:r w:rsidR="00265073">
        <w:rPr>
          <w:rStyle w:val="af7"/>
          <w:rFonts w:eastAsia="Guttman Rashi"/>
          <w:rtl/>
        </w:rPr>
        <w:t>כה)</w:t>
      </w:r>
      <w:r w:rsidRPr="00AB349C">
        <w:rPr>
          <w:rStyle w:val="af7"/>
          <w:rFonts w:eastAsia="Guttman Rashi"/>
          <w:rtl/>
        </w:rPr>
        <w:fldChar w:fldCharType="end"/>
      </w:r>
      <w:r w:rsidRPr="00015123">
        <w:rPr>
          <w:rStyle w:val="afb"/>
          <w:rFonts w:hint="cs"/>
          <w:rtl/>
        </w:rPr>
        <w:t xml:space="preserve"> </w:t>
      </w:r>
      <w:r w:rsidRPr="00AB349C">
        <w:rPr>
          <w:rFonts w:hint="cs"/>
          <w:rtl/>
        </w:rPr>
        <w:t xml:space="preserve">בשם </w:t>
      </w:r>
      <w:r w:rsidRPr="00AB349C">
        <w:rPr>
          <w:rStyle w:val="af9"/>
          <w:rFonts w:hint="cs"/>
          <w:rtl/>
        </w:rPr>
        <w:t>רבותיו</w:t>
      </w:r>
      <w:r w:rsidRPr="00AB349C">
        <w:rPr>
          <w:rFonts w:hint="cs"/>
          <w:rtl/>
        </w:rPr>
        <w:t xml:space="preserve">. </w:t>
      </w:r>
      <w:r>
        <w:rPr>
          <w:rStyle w:val="afb"/>
          <w:rFonts w:hint="cs"/>
          <w:rtl/>
        </w:rPr>
        <w:t>[</w:t>
      </w:r>
      <w:r w:rsidRPr="00015123">
        <w:rPr>
          <w:rStyle w:val="afb"/>
          <w:rFonts w:hint="cs"/>
          <w:rtl/>
        </w:rPr>
        <w:t xml:space="preserve">ועי' במ"ש </w:t>
      </w:r>
      <w:r w:rsidRPr="00021228">
        <w:rPr>
          <w:rStyle w:val="affa"/>
          <w:rFonts w:hint="cs"/>
          <w:rtl/>
        </w:rPr>
        <w:t>האבהא"ז</w:t>
      </w:r>
      <w:r>
        <w:rPr>
          <w:rStyle w:val="afb"/>
          <w:rFonts w:hint="cs"/>
          <w:rtl/>
        </w:rPr>
        <w:t xml:space="preserve"> </w:t>
      </w:r>
      <w:r w:rsidRPr="0020405B">
        <w:rPr>
          <w:rStyle w:val="aff6"/>
          <w:rFonts w:hint="cs"/>
          <w:rtl/>
        </w:rPr>
        <w:t xml:space="preserve">(עי' אות </w:t>
      </w:r>
      <w:r w:rsidRPr="0020405B">
        <w:rPr>
          <w:rStyle w:val="aff6"/>
          <w:rtl/>
        </w:rPr>
        <w:fldChar w:fldCharType="begin"/>
      </w:r>
      <w:r w:rsidRPr="0020405B">
        <w:rPr>
          <w:rStyle w:val="aff6"/>
          <w:rtl/>
        </w:rPr>
        <w:instrText xml:space="preserve"> </w:instrText>
      </w:r>
      <w:r w:rsidRPr="0020405B">
        <w:rPr>
          <w:rStyle w:val="aff6"/>
          <w:rFonts w:hint="cs"/>
        </w:rPr>
        <w:instrText>REF</w:instrText>
      </w:r>
      <w:r w:rsidRPr="0020405B">
        <w:rPr>
          <w:rStyle w:val="aff6"/>
          <w:rFonts w:hint="cs"/>
          <w:rtl/>
        </w:rPr>
        <w:instrText xml:space="preserve"> _</w:instrText>
      </w:r>
      <w:r w:rsidRPr="0020405B">
        <w:rPr>
          <w:rStyle w:val="aff6"/>
          <w:rFonts w:hint="cs"/>
        </w:rPr>
        <w:instrText>Ref58751788 \r \h</w:instrText>
      </w:r>
      <w:r w:rsidRPr="0020405B">
        <w:rPr>
          <w:rStyle w:val="aff6"/>
          <w:rtl/>
        </w:rPr>
        <w:instrText xml:space="preserve"> </w:instrText>
      </w:r>
      <w:r w:rsidRPr="0020405B">
        <w:rPr>
          <w:rStyle w:val="aff6"/>
          <w:rtl/>
        </w:rPr>
      </w:r>
      <w:r w:rsidRPr="0020405B">
        <w:rPr>
          <w:rStyle w:val="aff6"/>
          <w:rtl/>
        </w:rPr>
        <w:fldChar w:fldCharType="separate"/>
      </w:r>
      <w:r w:rsidR="00265073">
        <w:rPr>
          <w:rStyle w:val="aff6"/>
          <w:cs/>
        </w:rPr>
        <w:t>‎</w:t>
      </w:r>
      <w:r w:rsidR="00265073">
        <w:rPr>
          <w:rStyle w:val="aff6"/>
          <w:rtl/>
        </w:rPr>
        <w:t>צח)</w:t>
      </w:r>
      <w:r w:rsidRPr="0020405B">
        <w:rPr>
          <w:rStyle w:val="aff6"/>
          <w:rtl/>
        </w:rPr>
        <w:fldChar w:fldCharType="end"/>
      </w:r>
      <w:r w:rsidRPr="0020405B">
        <w:rPr>
          <w:rStyle w:val="aff6"/>
          <w:rFonts w:hint="cs"/>
          <w:rtl/>
        </w:rPr>
        <w:t xml:space="preserve"> </w:t>
      </w:r>
      <w:r>
        <w:rPr>
          <w:rStyle w:val="afb"/>
          <w:rFonts w:hint="cs"/>
          <w:rtl/>
        </w:rPr>
        <w:t xml:space="preserve">דבמסקנת דבריו חזר בו </w:t>
      </w:r>
      <w:r w:rsidRPr="00021228">
        <w:rPr>
          <w:rStyle w:val="affa"/>
          <w:rFonts w:hint="cs"/>
          <w:rtl/>
        </w:rPr>
        <w:t>הרא"ש</w:t>
      </w:r>
      <w:r>
        <w:rPr>
          <w:rStyle w:val="afb"/>
          <w:rFonts w:hint="cs"/>
          <w:rtl/>
        </w:rPr>
        <w:t xml:space="preserve"> ממה שביאר </w:t>
      </w:r>
      <w:r w:rsidRPr="00021228">
        <w:rPr>
          <w:rStyle w:val="affa"/>
          <w:rFonts w:hint="cs"/>
          <w:rtl/>
        </w:rPr>
        <w:t>ברשב"ם</w:t>
      </w:r>
      <w:r>
        <w:rPr>
          <w:rStyle w:val="afb"/>
          <w:rFonts w:hint="cs"/>
          <w:rtl/>
        </w:rPr>
        <w:t xml:space="preserve">, דאיירי שהמחזיק הודה בפירוש, וס"ל דאף </w:t>
      </w:r>
      <w:r w:rsidRPr="00021228">
        <w:rPr>
          <w:rStyle w:val="affa"/>
          <w:rFonts w:hint="cs"/>
          <w:rtl/>
        </w:rPr>
        <w:t>לרשב"ם</w:t>
      </w:r>
      <w:r>
        <w:rPr>
          <w:rStyle w:val="afb"/>
          <w:rFonts w:hint="cs"/>
          <w:rtl/>
        </w:rPr>
        <w:t xml:space="preserve"> אפש"ל דהמחזיק לא הודה בפירוש</w:t>
      </w:r>
      <w:r w:rsidRPr="00015123">
        <w:rPr>
          <w:rStyle w:val="afb"/>
          <w:rFonts w:hint="cs"/>
          <w:rtl/>
        </w:rPr>
        <w:t>]</w:t>
      </w:r>
      <w:r>
        <w:rPr>
          <w:rStyle w:val="afb"/>
          <w:rFonts w:hint="cs"/>
          <w:rtl/>
        </w:rPr>
        <w:t>.</w:t>
      </w:r>
      <w:bookmarkEnd w:id="7699"/>
    </w:p>
    <w:p w:rsidR="0007171D" w:rsidRDefault="0007171D" w:rsidP="0007171D">
      <w:pPr>
        <w:pStyle w:val="1"/>
        <w:rPr>
          <w:rtl/>
        </w:rPr>
      </w:pPr>
      <w:bookmarkStart w:id="7701" w:name="_Toc58876185"/>
      <w:bookmarkStart w:id="7702" w:name="_Toc58877593"/>
      <w:bookmarkStart w:id="7703" w:name="_Toc58914652"/>
      <w:bookmarkStart w:id="7704" w:name="_Toc58925946"/>
      <w:bookmarkStart w:id="7705" w:name="_Toc58930020"/>
      <w:bookmarkStart w:id="7706" w:name="_Toc58938171"/>
      <w:bookmarkStart w:id="7707" w:name="_Toc59006959"/>
      <w:bookmarkStart w:id="7708" w:name="_Toc59013435"/>
      <w:bookmarkStart w:id="7709" w:name="_Toc59013683"/>
      <w:bookmarkStart w:id="7710" w:name="_Toc59025749"/>
      <w:bookmarkStart w:id="7711" w:name="_Ref58342800"/>
      <w:r>
        <w:rPr>
          <w:rFonts w:hint="cs"/>
          <w:rtl/>
        </w:rPr>
        <w:t>דברי הטור דרבינו יונה ביאר ברשב"ם דהמחזיק הודה מעצמו</w:t>
      </w:r>
      <w:bookmarkEnd w:id="7701"/>
      <w:bookmarkEnd w:id="7702"/>
      <w:bookmarkEnd w:id="7703"/>
      <w:bookmarkEnd w:id="7704"/>
      <w:bookmarkEnd w:id="7705"/>
      <w:bookmarkEnd w:id="7706"/>
      <w:bookmarkEnd w:id="7707"/>
      <w:bookmarkEnd w:id="7708"/>
      <w:bookmarkEnd w:id="7709"/>
      <w:bookmarkEnd w:id="7710"/>
    </w:p>
    <w:p w:rsidR="0007171D" w:rsidRPr="00D06798" w:rsidRDefault="0007171D" w:rsidP="0007171D">
      <w:pPr>
        <w:pStyle w:val="a3"/>
      </w:pPr>
      <w:r>
        <w:rPr>
          <w:rFonts w:hint="cs"/>
          <w:rtl/>
        </w:rPr>
        <w:t xml:space="preserve"> </w:t>
      </w:r>
      <w:bookmarkStart w:id="7712" w:name="_Toc58876186"/>
      <w:bookmarkStart w:id="7713" w:name="_Toc58877594"/>
      <w:bookmarkStart w:id="7714" w:name="_Toc58914653"/>
      <w:bookmarkStart w:id="7715" w:name="_Toc58925947"/>
      <w:bookmarkStart w:id="7716" w:name="_Toc58930021"/>
      <w:bookmarkStart w:id="7717" w:name="_Toc58938172"/>
      <w:bookmarkStart w:id="7718" w:name="_Toc59006960"/>
      <w:bookmarkStart w:id="7719" w:name="_Toc59013436"/>
      <w:bookmarkStart w:id="7720" w:name="_Toc59013684"/>
      <w:bookmarkStart w:id="7721" w:name="_Toc59025750"/>
      <w:r>
        <w:rPr>
          <w:rFonts w:hint="cs"/>
          <w:rtl/>
        </w:rPr>
        <w:t>דברי הטור דרבינו יונה ביאר ברשב"ם דהמחזיק הודה מעצמו ולא רק שמע כן מהמוכר</w:t>
      </w:r>
      <w:bookmarkEnd w:id="7712"/>
      <w:bookmarkEnd w:id="7713"/>
      <w:bookmarkEnd w:id="7714"/>
      <w:bookmarkEnd w:id="7715"/>
      <w:bookmarkEnd w:id="7716"/>
      <w:bookmarkEnd w:id="7717"/>
      <w:bookmarkEnd w:id="7718"/>
      <w:bookmarkEnd w:id="7719"/>
      <w:bookmarkEnd w:id="7720"/>
      <w:bookmarkEnd w:id="7721"/>
    </w:p>
    <w:p w:rsidR="0007171D" w:rsidRDefault="0007171D" w:rsidP="007E4E81">
      <w:pPr>
        <w:pStyle w:val="a0"/>
        <w:rPr>
          <w:sz w:val="10"/>
          <w:szCs w:val="14"/>
          <w:rtl/>
        </w:rPr>
      </w:pPr>
      <w:bookmarkStart w:id="7722" w:name="_Ref58938260"/>
      <w:r>
        <w:rPr>
          <w:rFonts w:hint="cs"/>
          <w:rtl/>
        </w:rPr>
        <w:t xml:space="preserve">כתב </w:t>
      </w:r>
      <w:r>
        <w:rPr>
          <w:rStyle w:val="af9"/>
          <w:rtl/>
        </w:rPr>
        <w:t>הטור</w:t>
      </w:r>
      <w:r>
        <w:rPr>
          <w:rFonts w:hint="cs"/>
          <w:rtl/>
        </w:rPr>
        <w:t xml:space="preserve"> </w:t>
      </w:r>
      <w:r w:rsidRPr="00011391">
        <w:rPr>
          <w:rStyle w:val="af7"/>
          <w:rFonts w:eastAsia="Guttman Hodes" w:hint="cs"/>
          <w:rtl/>
        </w:rPr>
        <w:t>(סי' קמ"ו י"ג)</w:t>
      </w:r>
      <w:r w:rsidRPr="004B5FF2">
        <w:rPr>
          <w:rFonts w:hint="cs"/>
          <w:rtl/>
        </w:rPr>
        <w:t xml:space="preserve"> </w:t>
      </w:r>
      <w:r w:rsidRPr="004B5FF2">
        <w:rPr>
          <w:rStyle w:val="af9"/>
          <w:rtl/>
        </w:rPr>
        <w:t>דרבינו יונה</w:t>
      </w:r>
      <w:r w:rsidRPr="00124825">
        <w:rPr>
          <w:rStyle w:val="af7"/>
          <w:rFonts w:eastAsia="Guttman Hodes" w:hint="cs"/>
          <w:rtl/>
        </w:rPr>
        <w:t xml:space="preserve"> (עי' אות </w:t>
      </w:r>
      <w:r w:rsidRPr="00124825">
        <w:rPr>
          <w:rStyle w:val="af7"/>
          <w:rFonts w:eastAsia="Guttman Hodes"/>
          <w:rtl/>
        </w:rPr>
        <w:fldChar w:fldCharType="begin"/>
      </w:r>
      <w:r w:rsidRPr="00124825">
        <w:rPr>
          <w:rStyle w:val="af7"/>
          <w:rFonts w:eastAsia="Guttman Hodes"/>
          <w:rtl/>
        </w:rPr>
        <w:instrText xml:space="preserve"> </w:instrText>
      </w:r>
      <w:r w:rsidRPr="00124825">
        <w:rPr>
          <w:rStyle w:val="af7"/>
          <w:rFonts w:eastAsia="Guttman Hodes" w:hint="cs"/>
        </w:rPr>
        <w:instrText>REF</w:instrText>
      </w:r>
      <w:r w:rsidRPr="00124825">
        <w:rPr>
          <w:rStyle w:val="af7"/>
          <w:rFonts w:eastAsia="Guttman Hodes" w:hint="cs"/>
          <w:rtl/>
        </w:rPr>
        <w:instrText xml:space="preserve"> _</w:instrText>
      </w:r>
      <w:r w:rsidRPr="00124825">
        <w:rPr>
          <w:rStyle w:val="af7"/>
          <w:rFonts w:eastAsia="Guttman Hodes" w:hint="cs"/>
        </w:rPr>
        <w:instrText>Ref57910792 \r \h</w:instrText>
      </w:r>
      <w:r w:rsidRPr="00124825">
        <w:rPr>
          <w:rStyle w:val="af7"/>
          <w:rFonts w:eastAsia="Guttman Hodes"/>
          <w:rtl/>
        </w:rPr>
        <w:instrText xml:space="preserve"> </w:instrText>
      </w:r>
      <w:r w:rsidRPr="00124825">
        <w:rPr>
          <w:rStyle w:val="af7"/>
          <w:rFonts w:eastAsia="Guttman Hodes"/>
          <w:rtl/>
        </w:rPr>
      </w:r>
      <w:r w:rsidRPr="00124825">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124825">
        <w:rPr>
          <w:rStyle w:val="af7"/>
          <w:rFonts w:eastAsia="Guttman Hodes"/>
          <w:rtl/>
        </w:rPr>
        <w:fldChar w:fldCharType="end"/>
      </w:r>
      <w:r w:rsidRPr="00124825">
        <w:rPr>
          <w:rStyle w:val="af7"/>
          <w:rFonts w:eastAsia="Guttman Hodes" w:hint="cs"/>
          <w:rtl/>
        </w:rPr>
        <w:t xml:space="preserve"> </w:t>
      </w:r>
      <w:r w:rsidRPr="004B5FF2">
        <w:rPr>
          <w:rFonts w:hint="cs"/>
          <w:rtl/>
        </w:rPr>
        <w:t xml:space="preserve">ביאר את דברי </w:t>
      </w:r>
      <w:r w:rsidRPr="004B5FF2">
        <w:rPr>
          <w:rStyle w:val="af9"/>
          <w:rtl/>
        </w:rPr>
        <w:t>הרשב"ם</w:t>
      </w:r>
      <w:r w:rsidRPr="004B5FF2">
        <w:rPr>
          <w:rFonts w:hint="cs"/>
          <w:rtl/>
        </w:rPr>
        <w:t xml:space="preserve"> דהא דמוציאין מהמחזיק אעפ"י שאין למערער עדים, הוא דוקא באופן שהמחזיק</w:t>
      </w:r>
      <w:r>
        <w:rPr>
          <w:rFonts w:hint="cs"/>
          <w:rtl/>
        </w:rPr>
        <w:t xml:space="preserve"> מודה שידע שהייתה הקרקע של המערער, ולא </w:t>
      </w:r>
      <w:r>
        <w:rPr>
          <w:rFonts w:hint="cs"/>
          <w:rtl/>
        </w:rPr>
        <w:t>שמע כן רק מהמוכר.</w:t>
      </w:r>
      <w:r w:rsidRPr="009709B8">
        <w:rPr>
          <w:rStyle w:val="afb"/>
          <w:rFonts w:hint="cs"/>
          <w:rtl/>
        </w:rPr>
        <w:t xml:space="preserve"> </w:t>
      </w:r>
      <w:r w:rsidRPr="00CA42DD">
        <w:rPr>
          <w:rStyle w:val="afb"/>
          <w:rFonts w:hint="cs"/>
          <w:rtl/>
        </w:rPr>
        <w:t xml:space="preserve">[וכתב </w:t>
      </w:r>
      <w:r w:rsidRPr="00D06798">
        <w:rPr>
          <w:rStyle w:val="affa"/>
          <w:rFonts w:hint="cs"/>
          <w:rtl/>
        </w:rPr>
        <w:t>הפרישה</w:t>
      </w:r>
      <w:r w:rsidRPr="00CA42DD">
        <w:rPr>
          <w:rStyle w:val="afb"/>
          <w:rFonts w:hint="cs"/>
          <w:rtl/>
        </w:rPr>
        <w:t xml:space="preserve"> </w:t>
      </w:r>
      <w:r w:rsidRPr="00D06798">
        <w:rPr>
          <w:rStyle w:val="aff6"/>
          <w:rFonts w:hint="cs"/>
          <w:rtl/>
        </w:rPr>
        <w:t>(סי' קמ"ו סקכ"ד ד"ה וחזקת)</w:t>
      </w:r>
      <w:r w:rsidRPr="00CA42DD">
        <w:rPr>
          <w:rStyle w:val="afb"/>
          <w:rFonts w:hint="cs"/>
          <w:rtl/>
        </w:rPr>
        <w:t xml:space="preserve"> דמדברי </w:t>
      </w:r>
      <w:r w:rsidRPr="00D06798">
        <w:rPr>
          <w:rStyle w:val="affa"/>
          <w:rFonts w:hint="cs"/>
          <w:rtl/>
        </w:rPr>
        <w:t>הרא"ש</w:t>
      </w:r>
      <w:r w:rsidRPr="00CA42DD">
        <w:rPr>
          <w:rStyle w:val="afb"/>
          <w:rFonts w:hint="cs"/>
          <w:rtl/>
        </w:rPr>
        <w:t xml:space="preserve"> </w:t>
      </w:r>
      <w:r w:rsidRPr="00D06798">
        <w:rPr>
          <w:rStyle w:val="aff6"/>
          <w:rFonts w:hint="cs"/>
          <w:rtl/>
        </w:rPr>
        <w:t xml:space="preserve">(עי' אות </w:t>
      </w:r>
      <w:r w:rsidRPr="00D06798">
        <w:rPr>
          <w:rStyle w:val="aff6"/>
          <w:rtl/>
        </w:rPr>
        <w:fldChar w:fldCharType="begin"/>
      </w:r>
      <w:r w:rsidRPr="00D06798">
        <w:rPr>
          <w:rStyle w:val="aff6"/>
          <w:rtl/>
        </w:rPr>
        <w:instrText xml:space="preserve"> </w:instrText>
      </w:r>
      <w:r w:rsidRPr="00D06798">
        <w:rPr>
          <w:rStyle w:val="aff6"/>
          <w:rFonts w:hint="cs"/>
        </w:rPr>
        <w:instrText>REF</w:instrText>
      </w:r>
      <w:r w:rsidRPr="00D06798">
        <w:rPr>
          <w:rStyle w:val="aff6"/>
          <w:rFonts w:hint="cs"/>
          <w:rtl/>
        </w:rPr>
        <w:instrText xml:space="preserve"> _</w:instrText>
      </w:r>
      <w:r w:rsidRPr="00D06798">
        <w:rPr>
          <w:rStyle w:val="aff6"/>
          <w:rFonts w:hint="cs"/>
        </w:rPr>
        <w:instrText>Ref58750015 \r \h</w:instrText>
      </w:r>
      <w:r w:rsidRPr="00D06798">
        <w:rPr>
          <w:rStyle w:val="aff6"/>
          <w:rtl/>
        </w:rPr>
        <w:instrText xml:space="preserve"> </w:instrText>
      </w:r>
      <w:r w:rsidRPr="00D06798">
        <w:rPr>
          <w:rStyle w:val="aff6"/>
          <w:rtl/>
        </w:rPr>
      </w:r>
      <w:r w:rsidRPr="00D06798">
        <w:rPr>
          <w:rStyle w:val="aff6"/>
          <w:rtl/>
        </w:rPr>
        <w:fldChar w:fldCharType="separate"/>
      </w:r>
      <w:r w:rsidR="00265073">
        <w:rPr>
          <w:rStyle w:val="aff6"/>
          <w:cs/>
        </w:rPr>
        <w:t>‎</w:t>
      </w:r>
      <w:r w:rsidR="00265073">
        <w:rPr>
          <w:rStyle w:val="aff6"/>
          <w:rtl/>
        </w:rPr>
        <w:t>מח)</w:t>
      </w:r>
      <w:r w:rsidRPr="00D06798">
        <w:rPr>
          <w:rStyle w:val="aff6"/>
          <w:rtl/>
        </w:rPr>
        <w:fldChar w:fldCharType="end"/>
      </w:r>
      <w:r w:rsidRPr="00CA42DD">
        <w:rPr>
          <w:rStyle w:val="afb"/>
          <w:rFonts w:hint="cs"/>
          <w:rtl/>
        </w:rPr>
        <w:t xml:space="preserve"> לא משמע </w:t>
      </w:r>
      <w:r>
        <w:rPr>
          <w:rStyle w:val="affa"/>
          <w:rFonts w:hint="cs"/>
          <w:rtl/>
        </w:rPr>
        <w:t>ד</w:t>
      </w:r>
      <w:r w:rsidRPr="00D06798">
        <w:rPr>
          <w:rStyle w:val="affa"/>
          <w:rFonts w:hint="cs"/>
          <w:rtl/>
        </w:rPr>
        <w:t xml:space="preserve">רבינו יונה </w:t>
      </w:r>
      <w:r w:rsidRPr="00CA42DD">
        <w:rPr>
          <w:rStyle w:val="afb"/>
          <w:rFonts w:hint="cs"/>
          <w:rtl/>
        </w:rPr>
        <w:t xml:space="preserve">ביאר את דברי </w:t>
      </w:r>
      <w:r>
        <w:rPr>
          <w:rStyle w:val="affa"/>
          <w:rFonts w:hint="cs"/>
          <w:rtl/>
        </w:rPr>
        <w:t>ה</w:t>
      </w:r>
      <w:r w:rsidRPr="00D06798">
        <w:rPr>
          <w:rStyle w:val="affa"/>
          <w:rFonts w:hint="cs"/>
          <w:rtl/>
        </w:rPr>
        <w:t>רשב"ם</w:t>
      </w:r>
      <w:r w:rsidRPr="00CA42DD">
        <w:rPr>
          <w:rStyle w:val="afb"/>
          <w:rFonts w:hint="cs"/>
          <w:rtl/>
        </w:rPr>
        <w:t xml:space="preserve">, אלא </w:t>
      </w:r>
      <w:r w:rsidRPr="00D06798">
        <w:rPr>
          <w:rStyle w:val="affa"/>
          <w:rFonts w:hint="cs"/>
          <w:rtl/>
        </w:rPr>
        <w:t xml:space="preserve">רבינו יונה </w:t>
      </w:r>
      <w:r w:rsidRPr="00CA42DD">
        <w:rPr>
          <w:rStyle w:val="afb"/>
          <w:rFonts w:hint="cs"/>
          <w:rtl/>
        </w:rPr>
        <w:t xml:space="preserve">בא לפרש את דברי הגמ', </w:t>
      </w:r>
      <w:r>
        <w:rPr>
          <w:rStyle w:val="afb"/>
          <w:rFonts w:hint="cs"/>
          <w:rtl/>
        </w:rPr>
        <w:t xml:space="preserve">מ"מ </w:t>
      </w:r>
      <w:r w:rsidRPr="00CA42DD">
        <w:rPr>
          <w:rStyle w:val="afb"/>
          <w:rFonts w:hint="cs"/>
          <w:rtl/>
        </w:rPr>
        <w:t xml:space="preserve">כתב </w:t>
      </w:r>
      <w:r w:rsidRPr="00D06798">
        <w:rPr>
          <w:rStyle w:val="affa"/>
          <w:rFonts w:hint="cs"/>
          <w:rtl/>
        </w:rPr>
        <w:t>הפרישה</w:t>
      </w:r>
      <w:r w:rsidRPr="00CA42DD">
        <w:rPr>
          <w:rStyle w:val="afb"/>
          <w:rFonts w:hint="cs"/>
          <w:rtl/>
        </w:rPr>
        <w:t xml:space="preserve"> דכיון דלפי דברי </w:t>
      </w:r>
      <w:r w:rsidRPr="00D06798">
        <w:rPr>
          <w:rStyle w:val="affa"/>
          <w:rFonts w:hint="cs"/>
          <w:rtl/>
        </w:rPr>
        <w:t>רבינו יונה</w:t>
      </w:r>
      <w:r w:rsidRPr="00CA42DD">
        <w:rPr>
          <w:rStyle w:val="afb"/>
          <w:rFonts w:hint="cs"/>
          <w:rtl/>
        </w:rPr>
        <w:t xml:space="preserve"> מבוארים דברי </w:t>
      </w:r>
      <w:r w:rsidRPr="00D06798">
        <w:rPr>
          <w:rStyle w:val="affa"/>
          <w:rFonts w:hint="cs"/>
          <w:rtl/>
        </w:rPr>
        <w:t>הרשב"ם</w:t>
      </w:r>
      <w:r>
        <w:rPr>
          <w:rStyle w:val="afb"/>
          <w:rFonts w:hint="cs"/>
          <w:rtl/>
        </w:rPr>
        <w:t xml:space="preserve">, </w:t>
      </w:r>
      <w:r w:rsidRPr="00CA42DD">
        <w:rPr>
          <w:rStyle w:val="afb"/>
          <w:rFonts w:hint="cs"/>
          <w:rtl/>
        </w:rPr>
        <w:t xml:space="preserve">לכן כתב </w:t>
      </w:r>
      <w:r w:rsidRPr="00D06798">
        <w:rPr>
          <w:rStyle w:val="affa"/>
          <w:rFonts w:hint="cs"/>
          <w:rtl/>
        </w:rPr>
        <w:t>הטור דרבינו יונה</w:t>
      </w:r>
      <w:r w:rsidRPr="00CA42DD">
        <w:rPr>
          <w:rStyle w:val="afb"/>
          <w:rFonts w:hint="cs"/>
          <w:rtl/>
        </w:rPr>
        <w:t xml:space="preserve"> ביאר את דברי </w:t>
      </w:r>
      <w:r w:rsidRPr="00D06798">
        <w:rPr>
          <w:rStyle w:val="affa"/>
          <w:rFonts w:hint="cs"/>
          <w:rtl/>
        </w:rPr>
        <w:t>הרשב"ם</w:t>
      </w:r>
      <w:r w:rsidRPr="00CA42DD">
        <w:rPr>
          <w:rStyle w:val="afb"/>
          <w:rFonts w:hint="cs"/>
          <w:rtl/>
        </w:rPr>
        <w:t>].</w:t>
      </w:r>
      <w:bookmarkEnd w:id="7722"/>
    </w:p>
    <w:p w:rsidR="0007171D" w:rsidRPr="006F27D1" w:rsidRDefault="0007171D" w:rsidP="0007171D">
      <w:pPr>
        <w:pStyle w:val="a3"/>
      </w:pPr>
      <w:bookmarkStart w:id="7723" w:name="_Toc58876187"/>
      <w:bookmarkStart w:id="7724" w:name="_Toc58877595"/>
      <w:bookmarkStart w:id="7725" w:name="_Toc58914654"/>
      <w:bookmarkStart w:id="7726" w:name="_Toc58925948"/>
      <w:bookmarkStart w:id="7727" w:name="_Toc58930022"/>
      <w:bookmarkStart w:id="7728" w:name="_Toc58938173"/>
      <w:bookmarkStart w:id="7729" w:name="_Toc59006961"/>
      <w:bookmarkStart w:id="7730" w:name="_Toc59013437"/>
      <w:bookmarkStart w:id="7731" w:name="_Toc59013685"/>
      <w:bookmarkStart w:id="7732" w:name="_Toc59025751"/>
      <w:r w:rsidRPr="006F27D1">
        <w:rPr>
          <w:rtl/>
        </w:rPr>
        <w:t>דברי הטור דרבינו יונה ביאר ברשב"ם</w:t>
      </w:r>
      <w:r>
        <w:rPr>
          <w:rFonts w:hint="cs"/>
          <w:rtl/>
        </w:rPr>
        <w:t xml:space="preserve"> דבלא הודה המחזיק ורק שמע כן מהמוכר אין מוציאין</w:t>
      </w:r>
      <w:bookmarkEnd w:id="7723"/>
      <w:bookmarkEnd w:id="7724"/>
      <w:bookmarkEnd w:id="7725"/>
      <w:bookmarkEnd w:id="7726"/>
      <w:bookmarkEnd w:id="7727"/>
      <w:bookmarkEnd w:id="7728"/>
      <w:bookmarkEnd w:id="7729"/>
      <w:bookmarkEnd w:id="7730"/>
      <w:bookmarkEnd w:id="7731"/>
      <w:bookmarkEnd w:id="7732"/>
      <w:r>
        <w:rPr>
          <w:rFonts w:hint="cs"/>
          <w:rtl/>
        </w:rPr>
        <w:t xml:space="preserve"> </w:t>
      </w:r>
    </w:p>
    <w:p w:rsidR="0007171D" w:rsidRPr="00CA42DD" w:rsidRDefault="0007171D" w:rsidP="007E4E81">
      <w:pPr>
        <w:pStyle w:val="a0"/>
        <w:rPr>
          <w:rStyle w:val="afb"/>
        </w:rPr>
      </w:pPr>
      <w:bookmarkStart w:id="7733" w:name="_Ref58938670"/>
      <w:r>
        <w:rPr>
          <w:rFonts w:hint="cs"/>
          <w:rtl/>
        </w:rPr>
        <w:t>אך הביא</w:t>
      </w:r>
      <w:r>
        <w:rPr>
          <w:rStyle w:val="af9"/>
          <w:rFonts w:hint="cs"/>
          <w:rtl/>
        </w:rPr>
        <w:t xml:space="preserve"> </w:t>
      </w:r>
      <w:r>
        <w:rPr>
          <w:rStyle w:val="af9"/>
          <w:rtl/>
        </w:rPr>
        <w:t>הטור</w:t>
      </w:r>
      <w:r>
        <w:rPr>
          <w:rFonts w:hint="cs"/>
          <w:rtl/>
        </w:rPr>
        <w:t xml:space="preserve"> את דברי</w:t>
      </w:r>
      <w:r w:rsidRPr="006F27D1">
        <w:rPr>
          <w:rFonts w:hint="cs"/>
          <w:rtl/>
        </w:rPr>
        <w:t xml:space="preserve"> </w:t>
      </w:r>
      <w:r w:rsidRPr="004B5FF2">
        <w:rPr>
          <w:rStyle w:val="af9"/>
          <w:rtl/>
        </w:rPr>
        <w:t>רבינו יונה</w:t>
      </w:r>
      <w:r>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Ref58875214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Pr>
          <w:rStyle w:val="af7"/>
          <w:rFonts w:eastAsia="Guttman Hodes"/>
          <w:rtl/>
        </w:rPr>
        <w:fldChar w:fldCharType="end"/>
      </w:r>
      <w:r>
        <w:rPr>
          <w:rStyle w:val="af7"/>
          <w:rFonts w:eastAsia="Guttman Hodes" w:hint="cs"/>
          <w:rtl/>
        </w:rPr>
        <w:t xml:space="preserve"> </w:t>
      </w:r>
      <w:r>
        <w:rPr>
          <w:rFonts w:hint="cs"/>
          <w:rtl/>
        </w:rPr>
        <w:t>ד</w:t>
      </w:r>
      <w:r w:rsidRPr="004B5FF2">
        <w:rPr>
          <w:rFonts w:hint="cs"/>
          <w:rtl/>
        </w:rPr>
        <w:t xml:space="preserve">ביאר </w:t>
      </w:r>
      <w:r>
        <w:rPr>
          <w:rFonts w:hint="cs"/>
          <w:rtl/>
        </w:rPr>
        <w:t>בדעת</w:t>
      </w:r>
      <w:r w:rsidRPr="004B5FF2">
        <w:rPr>
          <w:rFonts w:hint="cs"/>
          <w:rtl/>
        </w:rPr>
        <w:t xml:space="preserve"> </w:t>
      </w:r>
      <w:r w:rsidRPr="004B5FF2">
        <w:rPr>
          <w:rStyle w:val="af9"/>
          <w:rtl/>
        </w:rPr>
        <w:t>הרשב"ם</w:t>
      </w:r>
      <w:r>
        <w:rPr>
          <w:rFonts w:hint="cs"/>
          <w:rtl/>
        </w:rPr>
        <w:t xml:space="preserve"> דאם לא הודה המחזיק שידע</w:t>
      </w:r>
      <w:r w:rsidRPr="00DD266A">
        <w:rPr>
          <w:rFonts w:hint="cs"/>
          <w:rtl/>
        </w:rPr>
        <w:t xml:space="preserve"> </w:t>
      </w:r>
      <w:r>
        <w:rPr>
          <w:rFonts w:hint="cs"/>
          <w:rtl/>
        </w:rPr>
        <w:t>מעצמו שהייתה של המערער, וכל ידיעתו היא ממה שאמר לו המוכר, א"א להוציא ממנו, דהא המוכר נאמן מדין הפה שאסר</w:t>
      </w:r>
      <w:r>
        <w:rPr>
          <w:rStyle w:val="af1"/>
          <w:rtl/>
        </w:rPr>
        <w:footnoteReference w:id="50"/>
      </w:r>
      <w:bookmarkEnd w:id="7711"/>
      <w:r>
        <w:rPr>
          <w:rFonts w:hint="cs"/>
          <w:rtl/>
        </w:rPr>
        <w:t xml:space="preserve">, והביא </w:t>
      </w:r>
      <w:r w:rsidRPr="00DD266A">
        <w:rPr>
          <w:rStyle w:val="af9"/>
          <w:rFonts w:hint="cs"/>
          <w:rtl/>
        </w:rPr>
        <w:t>הטור</w:t>
      </w:r>
      <w:r>
        <w:rPr>
          <w:rFonts w:hint="cs"/>
          <w:rtl/>
        </w:rPr>
        <w:t xml:space="preserve"> את דברי </w:t>
      </w:r>
      <w:r w:rsidRPr="00DD266A">
        <w:rPr>
          <w:rStyle w:val="af9"/>
          <w:rFonts w:hint="cs"/>
          <w:rtl/>
        </w:rPr>
        <w:t>הרא"ש</w:t>
      </w:r>
      <w:r>
        <w:rPr>
          <w:rFonts w:hint="cs"/>
          <w:rtl/>
        </w:rPr>
        <w:t xml:space="preserve"> </w:t>
      </w:r>
      <w:r w:rsidRPr="00D512EC">
        <w:rPr>
          <w:rStyle w:val="af7"/>
          <w:rFonts w:eastAsia="Guttman Hodes" w:hint="cs"/>
          <w:rtl/>
        </w:rPr>
        <w:t xml:space="preserve">(עי' אות </w:t>
      </w:r>
      <w:r w:rsidRPr="00D512EC">
        <w:rPr>
          <w:rStyle w:val="af7"/>
          <w:rFonts w:eastAsia="Guttman Hodes"/>
          <w:rtl/>
        </w:rPr>
        <w:fldChar w:fldCharType="begin"/>
      </w:r>
      <w:r w:rsidRPr="00D512EC">
        <w:rPr>
          <w:rStyle w:val="af7"/>
          <w:rFonts w:eastAsia="Guttman Hodes"/>
          <w:rtl/>
        </w:rPr>
        <w:instrText xml:space="preserve"> </w:instrText>
      </w:r>
      <w:r w:rsidRPr="00D512EC">
        <w:rPr>
          <w:rStyle w:val="af7"/>
          <w:rFonts w:eastAsia="Guttman Hodes" w:hint="cs"/>
        </w:rPr>
        <w:instrText>REF</w:instrText>
      </w:r>
      <w:r w:rsidRPr="00D512EC">
        <w:rPr>
          <w:rStyle w:val="af7"/>
          <w:rFonts w:eastAsia="Guttman Hodes" w:hint="cs"/>
          <w:rtl/>
        </w:rPr>
        <w:instrText xml:space="preserve"> _</w:instrText>
      </w:r>
      <w:r w:rsidRPr="00D512EC">
        <w:rPr>
          <w:rStyle w:val="af7"/>
          <w:rFonts w:eastAsia="Guttman Hodes" w:hint="cs"/>
        </w:rPr>
        <w:instrText>Ref58750729 \r \h</w:instrText>
      </w:r>
      <w:r w:rsidRPr="00D512EC">
        <w:rPr>
          <w:rStyle w:val="af7"/>
          <w:rFonts w:eastAsia="Guttman Hodes"/>
          <w:rtl/>
        </w:rPr>
        <w:instrText xml:space="preserve"> </w:instrText>
      </w:r>
      <w:r w:rsidRPr="00D512EC">
        <w:rPr>
          <w:rStyle w:val="af7"/>
          <w:rFonts w:eastAsia="Guttman Hodes"/>
          <w:rtl/>
        </w:rPr>
      </w:r>
      <w:r w:rsidRPr="00D512EC">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D512EC">
        <w:rPr>
          <w:rStyle w:val="af7"/>
          <w:rFonts w:eastAsia="Guttman Hodes"/>
          <w:rtl/>
        </w:rPr>
        <w:fldChar w:fldCharType="end"/>
      </w:r>
      <w:r>
        <w:rPr>
          <w:rFonts w:hint="cs"/>
          <w:rtl/>
        </w:rPr>
        <w:t xml:space="preserve"> דפליג וס"ל דאף כשהמחזיק אינו יודע מעצמו שהייתה של המערער, ורק שמע כן מהמוכר, מ"מ הוא צריך להחזירה למערער.</w:t>
      </w:r>
      <w:bookmarkEnd w:id="7733"/>
      <w:r>
        <w:rPr>
          <w:rFonts w:hint="cs"/>
          <w:rtl/>
        </w:rPr>
        <w:t xml:space="preserve"> </w:t>
      </w:r>
    </w:p>
    <w:p w:rsidR="0007171D" w:rsidRPr="00AC117E" w:rsidRDefault="0007171D" w:rsidP="0007171D">
      <w:pPr>
        <w:pStyle w:val="1"/>
        <w:rPr>
          <w:rtl/>
        </w:rPr>
      </w:pPr>
      <w:bookmarkStart w:id="7735" w:name="_Toc58842992"/>
      <w:bookmarkStart w:id="7736" w:name="_Toc58876188"/>
      <w:bookmarkStart w:id="7737" w:name="_Toc58877596"/>
      <w:bookmarkStart w:id="7738" w:name="_Toc58914655"/>
      <w:bookmarkStart w:id="7739" w:name="_Toc58925949"/>
      <w:bookmarkStart w:id="7740" w:name="_Toc58930023"/>
      <w:bookmarkStart w:id="7741" w:name="_Toc58938174"/>
      <w:bookmarkStart w:id="7742" w:name="_Toc59006962"/>
      <w:bookmarkStart w:id="7743" w:name="_Toc59013438"/>
      <w:bookmarkStart w:id="7744" w:name="_Toc59013686"/>
      <w:bookmarkStart w:id="7745" w:name="_Toc59025752"/>
      <w:r>
        <w:rPr>
          <w:rFonts w:hint="cs"/>
          <w:rtl/>
        </w:rPr>
        <w:t>ביאור הב"ח והנתיה"מ ברא"ש דטענת המחזיק אינה טענה</w:t>
      </w:r>
      <w:bookmarkEnd w:id="7735"/>
      <w:bookmarkEnd w:id="7736"/>
      <w:bookmarkEnd w:id="7737"/>
      <w:bookmarkEnd w:id="7738"/>
      <w:bookmarkEnd w:id="7739"/>
      <w:bookmarkEnd w:id="7740"/>
      <w:bookmarkEnd w:id="7741"/>
      <w:bookmarkEnd w:id="7742"/>
      <w:bookmarkEnd w:id="7743"/>
      <w:bookmarkEnd w:id="7744"/>
      <w:bookmarkEnd w:id="7745"/>
    </w:p>
    <w:p w:rsidR="0007171D" w:rsidRPr="00AF7336" w:rsidRDefault="0007171D" w:rsidP="0007171D">
      <w:pPr>
        <w:pStyle w:val="a3"/>
      </w:pPr>
      <w:bookmarkStart w:id="7746" w:name="_Toc58876189"/>
      <w:bookmarkStart w:id="7747" w:name="_Toc58877597"/>
      <w:bookmarkStart w:id="7748" w:name="_Toc58914656"/>
      <w:bookmarkStart w:id="7749" w:name="_Toc58925950"/>
      <w:bookmarkStart w:id="7750" w:name="_Toc58930024"/>
      <w:bookmarkStart w:id="7751" w:name="_Toc58938175"/>
      <w:bookmarkStart w:id="7752" w:name="_Toc59006963"/>
      <w:bookmarkStart w:id="7753" w:name="_Toc59013439"/>
      <w:bookmarkStart w:id="7754" w:name="_Toc59013687"/>
      <w:bookmarkStart w:id="7755" w:name="_Toc59025753"/>
      <w:r>
        <w:rPr>
          <w:rFonts w:hint="cs"/>
          <w:rtl/>
        </w:rPr>
        <w:t>ביאור הב"ח ברא"ש דכיון שמודה המחזיק דיתכן שאין למוכר זכות בקרקע אין לו טענה</w:t>
      </w:r>
      <w:bookmarkEnd w:id="7746"/>
      <w:bookmarkEnd w:id="7747"/>
      <w:bookmarkEnd w:id="7748"/>
      <w:bookmarkEnd w:id="7749"/>
      <w:bookmarkEnd w:id="7750"/>
      <w:bookmarkEnd w:id="7751"/>
      <w:bookmarkEnd w:id="7752"/>
      <w:bookmarkEnd w:id="7753"/>
      <w:bookmarkEnd w:id="7754"/>
      <w:bookmarkEnd w:id="7755"/>
    </w:p>
    <w:p w:rsidR="0007171D" w:rsidRDefault="0007171D" w:rsidP="007E4E81">
      <w:pPr>
        <w:pStyle w:val="a0"/>
      </w:pPr>
      <w:r>
        <w:rPr>
          <w:rFonts w:hint="cs"/>
          <w:rtl/>
        </w:rPr>
        <w:t xml:space="preserve">ועי' במה שביאר </w:t>
      </w:r>
      <w:r w:rsidRPr="00BD0F66">
        <w:rPr>
          <w:rStyle w:val="af9"/>
          <w:rFonts w:hint="cs"/>
          <w:rtl/>
        </w:rPr>
        <w:t>הב"ח</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Ref60218582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Pr>
          <w:rStyle w:val="af7"/>
          <w:rFonts w:eastAsia="Guttman Hodes"/>
          <w:rtl/>
        </w:rPr>
        <w:fldChar w:fldCharType="end"/>
      </w:r>
      <w:r>
        <w:rPr>
          <w:rFonts w:hint="cs"/>
          <w:rtl/>
        </w:rPr>
        <w:t xml:space="preserve"> את דברי </w:t>
      </w:r>
      <w:r w:rsidRPr="00BD0F66">
        <w:rPr>
          <w:rStyle w:val="af9"/>
          <w:rFonts w:hint="cs"/>
          <w:rtl/>
        </w:rPr>
        <w:t>הרא"ש</w:t>
      </w:r>
      <w:r>
        <w:rPr>
          <w:rFonts w:hint="cs"/>
          <w:rtl/>
        </w:rPr>
        <w:t xml:space="preserve"> </w:t>
      </w:r>
      <w:r w:rsidRPr="00E930D4">
        <w:rPr>
          <w:rStyle w:val="af7"/>
          <w:rFonts w:eastAsia="Guttman Hodes" w:hint="cs"/>
          <w:rtl/>
        </w:rPr>
        <w:t xml:space="preserve">(עי' אות </w:t>
      </w:r>
      <w:r w:rsidRPr="00E930D4">
        <w:rPr>
          <w:rStyle w:val="af7"/>
          <w:rFonts w:eastAsia="Guttman Hodes"/>
          <w:rtl/>
        </w:rPr>
        <w:fldChar w:fldCharType="begin"/>
      </w:r>
      <w:r w:rsidRPr="00E930D4">
        <w:rPr>
          <w:rStyle w:val="af7"/>
          <w:rFonts w:eastAsia="Guttman Hodes"/>
          <w:rtl/>
        </w:rPr>
        <w:instrText xml:space="preserve"> </w:instrText>
      </w:r>
      <w:r w:rsidRPr="00E930D4">
        <w:rPr>
          <w:rStyle w:val="af7"/>
          <w:rFonts w:eastAsia="Guttman Hodes" w:hint="cs"/>
        </w:rPr>
        <w:instrText>REF</w:instrText>
      </w:r>
      <w:r w:rsidRPr="00E930D4">
        <w:rPr>
          <w:rStyle w:val="af7"/>
          <w:rFonts w:eastAsia="Guttman Hodes" w:hint="cs"/>
          <w:rtl/>
        </w:rPr>
        <w:instrText xml:space="preserve"> _</w:instrText>
      </w:r>
      <w:r w:rsidRPr="00E930D4">
        <w:rPr>
          <w:rStyle w:val="af7"/>
          <w:rFonts w:eastAsia="Guttman Hodes" w:hint="cs"/>
        </w:rPr>
        <w:instrText>Ref58750729 \r \h</w:instrText>
      </w:r>
      <w:r w:rsidRPr="00E930D4">
        <w:rPr>
          <w:rStyle w:val="af7"/>
          <w:rFonts w:eastAsia="Guttman Hodes"/>
          <w:rtl/>
        </w:rPr>
        <w:instrText xml:space="preserve"> </w:instrText>
      </w:r>
      <w:r w:rsidRPr="00E930D4">
        <w:rPr>
          <w:rStyle w:val="af7"/>
          <w:rFonts w:eastAsia="Guttman Hodes"/>
          <w:rtl/>
        </w:rPr>
      </w:r>
      <w:r w:rsidRPr="00E930D4">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E930D4">
        <w:rPr>
          <w:rStyle w:val="af7"/>
          <w:rFonts w:eastAsia="Guttman Hodes"/>
          <w:rtl/>
        </w:rPr>
        <w:fldChar w:fldCharType="end"/>
      </w:r>
      <w:r>
        <w:rPr>
          <w:rFonts w:hint="cs"/>
          <w:rtl/>
        </w:rPr>
        <w:t xml:space="preserve"> דאף שהמחזיק רק שמע כן מהמוכר, מ"מ מוציאין את הקרקע ממנו, דכיון שיתכן שהמוכר לא היה לו כל זכות </w:t>
      </w:r>
      <w:r w:rsidRPr="00D81E53">
        <w:rPr>
          <w:rFonts w:hint="cs"/>
          <w:rtl/>
        </w:rPr>
        <w:t xml:space="preserve">בקרקע, א"כ טענתו שאמר לו המוכר שהוא קנה מהמערער אינה טענה, וכתב </w:t>
      </w:r>
      <w:r w:rsidRPr="00D81E53">
        <w:rPr>
          <w:rStyle w:val="af9"/>
          <w:rFonts w:hint="cs"/>
          <w:rtl/>
        </w:rPr>
        <w:t>הב"ח</w:t>
      </w:r>
      <w:r w:rsidRPr="00D81E53">
        <w:rPr>
          <w:rFonts w:hint="cs"/>
          <w:rtl/>
        </w:rPr>
        <w:t xml:space="preserve"> דאף אם יש למחזיק חזקת ג"ש, חזקתו היא כחזקה שאין עמה טענה</w:t>
      </w:r>
      <w:r>
        <w:rPr>
          <w:rFonts w:hint="cs"/>
          <w:rtl/>
        </w:rPr>
        <w:t>.</w:t>
      </w:r>
    </w:p>
    <w:p w:rsidR="0007171D" w:rsidRDefault="0007171D" w:rsidP="0007171D">
      <w:pPr>
        <w:pStyle w:val="a3"/>
      </w:pPr>
      <w:bookmarkStart w:id="7756" w:name="_Toc58876190"/>
      <w:bookmarkStart w:id="7757" w:name="_Toc58877598"/>
      <w:bookmarkStart w:id="7758" w:name="_Toc58914657"/>
      <w:bookmarkStart w:id="7759" w:name="_Toc58925951"/>
      <w:bookmarkStart w:id="7760" w:name="_Toc58930025"/>
      <w:bookmarkStart w:id="7761" w:name="_Toc58938176"/>
      <w:bookmarkStart w:id="7762" w:name="_Toc59006964"/>
      <w:bookmarkStart w:id="7763" w:name="_Toc59013440"/>
      <w:bookmarkStart w:id="7764" w:name="_Toc59013688"/>
      <w:bookmarkStart w:id="7765" w:name="_Toc59025754"/>
      <w:r>
        <w:rPr>
          <w:rFonts w:hint="cs"/>
          <w:rtl/>
        </w:rPr>
        <w:t>קושית הנתיה"מ על הרא"ש היאך אפשר להוציא ממנו אף שאין לו טענה כשאין עדים למערער</w:t>
      </w:r>
      <w:bookmarkEnd w:id="7756"/>
      <w:bookmarkEnd w:id="7757"/>
      <w:bookmarkEnd w:id="7758"/>
      <w:bookmarkEnd w:id="7759"/>
      <w:bookmarkEnd w:id="7760"/>
      <w:bookmarkEnd w:id="7761"/>
      <w:bookmarkEnd w:id="7762"/>
      <w:bookmarkEnd w:id="7763"/>
      <w:bookmarkEnd w:id="7764"/>
      <w:bookmarkEnd w:id="7765"/>
    </w:p>
    <w:p w:rsidR="0007171D" w:rsidRDefault="0007171D" w:rsidP="007E4E81">
      <w:pPr>
        <w:pStyle w:val="a0"/>
        <w:rPr>
          <w:rtl/>
        </w:rPr>
      </w:pPr>
      <w:r>
        <w:rPr>
          <w:rFonts w:hint="cs"/>
          <w:rtl/>
        </w:rPr>
        <w:t xml:space="preserve">ועי' </w:t>
      </w:r>
      <w:r w:rsidRPr="00CF4A24">
        <w:rPr>
          <w:rStyle w:val="af9"/>
          <w:rFonts w:hint="cs"/>
          <w:rtl/>
        </w:rPr>
        <w:t xml:space="preserve">בנתיה"מ </w:t>
      </w:r>
      <w:r w:rsidRPr="00CF4A24">
        <w:rPr>
          <w:rStyle w:val="af7"/>
          <w:rFonts w:eastAsia="Guttman Hodes" w:hint="cs"/>
          <w:rtl/>
        </w:rPr>
        <w:t>(סי' קמ"ו סקט"ז)</w:t>
      </w:r>
      <w:r>
        <w:rPr>
          <w:rFonts w:hint="cs"/>
          <w:rtl/>
        </w:rPr>
        <w:t xml:space="preserve"> דהקשה על </w:t>
      </w:r>
      <w:r w:rsidRPr="00CF4A24">
        <w:rPr>
          <w:rStyle w:val="af9"/>
          <w:rFonts w:hint="cs"/>
          <w:rtl/>
        </w:rPr>
        <w:t>הרא"ש</w:t>
      </w:r>
      <w:r>
        <w:rPr>
          <w:rStyle w:val="af1"/>
          <w:rtl/>
        </w:rPr>
        <w:footnoteReference w:id="51"/>
      </w:r>
      <w:r>
        <w:rPr>
          <w:rFonts w:hint="cs"/>
          <w:rtl/>
        </w:rPr>
        <w:t xml:space="preserve"> </w:t>
      </w:r>
      <w:r w:rsidRPr="00E930D4">
        <w:rPr>
          <w:rStyle w:val="af7"/>
          <w:rFonts w:eastAsia="Guttman Hodes" w:hint="cs"/>
          <w:rtl/>
        </w:rPr>
        <w:t xml:space="preserve">(עי' אות </w:t>
      </w:r>
      <w:r w:rsidRPr="00E930D4">
        <w:rPr>
          <w:rStyle w:val="af7"/>
          <w:rFonts w:eastAsia="Guttman Hodes"/>
          <w:rtl/>
        </w:rPr>
        <w:fldChar w:fldCharType="begin"/>
      </w:r>
      <w:r w:rsidRPr="00E930D4">
        <w:rPr>
          <w:rStyle w:val="af7"/>
          <w:rFonts w:eastAsia="Guttman Hodes"/>
          <w:rtl/>
        </w:rPr>
        <w:instrText xml:space="preserve"> </w:instrText>
      </w:r>
      <w:r w:rsidRPr="00E930D4">
        <w:rPr>
          <w:rStyle w:val="af7"/>
          <w:rFonts w:eastAsia="Guttman Hodes" w:hint="cs"/>
        </w:rPr>
        <w:instrText>REF</w:instrText>
      </w:r>
      <w:r w:rsidRPr="00E930D4">
        <w:rPr>
          <w:rStyle w:val="af7"/>
          <w:rFonts w:eastAsia="Guttman Hodes" w:hint="cs"/>
          <w:rtl/>
        </w:rPr>
        <w:instrText xml:space="preserve"> _</w:instrText>
      </w:r>
      <w:r w:rsidRPr="00E930D4">
        <w:rPr>
          <w:rStyle w:val="af7"/>
          <w:rFonts w:eastAsia="Guttman Hodes" w:hint="cs"/>
        </w:rPr>
        <w:instrText>Ref58750729 \r \h</w:instrText>
      </w:r>
      <w:r w:rsidRPr="00E930D4">
        <w:rPr>
          <w:rStyle w:val="af7"/>
          <w:rFonts w:eastAsia="Guttman Hodes"/>
          <w:rtl/>
        </w:rPr>
        <w:instrText xml:space="preserve"> </w:instrText>
      </w:r>
      <w:r w:rsidRPr="00E930D4">
        <w:rPr>
          <w:rStyle w:val="af7"/>
          <w:rFonts w:eastAsia="Guttman Hodes"/>
          <w:rtl/>
        </w:rPr>
      </w:r>
      <w:r w:rsidRPr="00E930D4">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E930D4">
        <w:rPr>
          <w:rStyle w:val="af7"/>
          <w:rFonts w:eastAsia="Guttman Hodes"/>
          <w:rtl/>
        </w:rPr>
        <w:fldChar w:fldCharType="end"/>
      </w:r>
      <w:r>
        <w:rPr>
          <w:rFonts w:hint="cs"/>
          <w:rtl/>
        </w:rPr>
        <w:t xml:space="preserve"> דאי המחזיק לא הודה בפירוש, היאך מוציאין ממנו, הא לא גרע מכל חזקה שאין עמה טענה, דאין מוציאין מיד המחזיק כשאין עדים למערער, </w:t>
      </w:r>
      <w:r w:rsidRPr="00CF4A24">
        <w:rPr>
          <w:rStyle w:val="afb"/>
          <w:rFonts w:hint="cs"/>
          <w:rtl/>
        </w:rPr>
        <w:t xml:space="preserve">[כדכתב </w:t>
      </w:r>
      <w:r w:rsidRPr="00CF4A24">
        <w:rPr>
          <w:rStyle w:val="affa"/>
          <w:rFonts w:hint="cs"/>
          <w:rtl/>
        </w:rPr>
        <w:t>השו"ע</w:t>
      </w:r>
      <w:r w:rsidRPr="00CF4A24">
        <w:rPr>
          <w:rStyle w:val="afb"/>
          <w:rFonts w:hint="cs"/>
          <w:rtl/>
        </w:rPr>
        <w:t xml:space="preserve"> </w:t>
      </w:r>
      <w:r w:rsidRPr="00CF4A24">
        <w:rPr>
          <w:rStyle w:val="aff6"/>
          <w:rFonts w:hint="cs"/>
          <w:rtl/>
        </w:rPr>
        <w:t>(סי' קמ"ו ט')</w:t>
      </w:r>
      <w:r w:rsidRPr="00CF4A24">
        <w:rPr>
          <w:rStyle w:val="afb"/>
          <w:rFonts w:hint="cs"/>
          <w:rtl/>
        </w:rPr>
        <w:t>],</w:t>
      </w:r>
      <w:r>
        <w:rPr>
          <w:rFonts w:hint="cs"/>
          <w:rtl/>
        </w:rPr>
        <w:t xml:space="preserve"> וא"כ הכא אף שאין המוכר נאמן בטענתו שקנה מהמערער, מ"מ א"א להוציא מיד המחזיק, דאפש"ל דאף במה שאמר המוכר שהקרקע הייתה של המערער ג"כ אינו נאמן, דהוא רק ע"א בזה, וכל הנאמנות של המוכר לומר שהייתה של המערער, היא רק בזמן שהוא מחזיק בקרקע, אבל לאחר שמכרה למחזיק אין לו כל נאמנות יותר מע"א, וכתב </w:t>
      </w:r>
      <w:r w:rsidRPr="00AC117E">
        <w:rPr>
          <w:rStyle w:val="af9"/>
          <w:rFonts w:hint="cs"/>
          <w:rtl/>
        </w:rPr>
        <w:t>הנתיה"מ</w:t>
      </w:r>
      <w:r>
        <w:rPr>
          <w:rFonts w:hint="cs"/>
          <w:rtl/>
        </w:rPr>
        <w:t xml:space="preserve"> דצ"ל דכיון שלפני שהגיעה הקרקע ליד המחזיק, אמר המוכר שהיא הייתה של המערער, ובכה"ג אף ע"א נאמן.</w:t>
      </w:r>
    </w:p>
    <w:p w:rsidR="0007171D" w:rsidRPr="00AC117E" w:rsidRDefault="0007171D" w:rsidP="0007171D">
      <w:pPr>
        <w:pStyle w:val="1"/>
        <w:rPr>
          <w:rtl/>
        </w:rPr>
      </w:pPr>
      <w:bookmarkStart w:id="7766" w:name="_Toc58842993"/>
      <w:bookmarkStart w:id="7767" w:name="_Toc58876191"/>
      <w:bookmarkStart w:id="7768" w:name="_Toc58877599"/>
      <w:bookmarkStart w:id="7769" w:name="_Toc58914658"/>
      <w:bookmarkStart w:id="7770" w:name="_Toc58925952"/>
      <w:bookmarkStart w:id="7771" w:name="_Toc58930026"/>
      <w:bookmarkStart w:id="7772" w:name="_Toc58938177"/>
      <w:bookmarkStart w:id="7773" w:name="_Toc59006965"/>
      <w:bookmarkStart w:id="7774" w:name="_Toc59013441"/>
      <w:bookmarkStart w:id="7775" w:name="_Toc59013689"/>
      <w:bookmarkStart w:id="7776" w:name="_Toc59025755"/>
      <w:r>
        <w:rPr>
          <w:rFonts w:hint="cs"/>
          <w:rtl/>
        </w:rPr>
        <w:t>דחיית הש"ך לדברי הרא"ש דבגמ' כן מוכח דהודה המחזיק</w:t>
      </w:r>
      <w:bookmarkEnd w:id="7766"/>
      <w:bookmarkEnd w:id="7767"/>
      <w:bookmarkEnd w:id="7768"/>
      <w:bookmarkEnd w:id="7769"/>
      <w:bookmarkEnd w:id="7770"/>
      <w:bookmarkEnd w:id="7771"/>
      <w:bookmarkEnd w:id="7772"/>
      <w:bookmarkEnd w:id="7773"/>
      <w:bookmarkEnd w:id="7774"/>
      <w:bookmarkEnd w:id="7775"/>
      <w:bookmarkEnd w:id="7776"/>
    </w:p>
    <w:p w:rsidR="0007171D" w:rsidRPr="00070B04" w:rsidRDefault="0007171D" w:rsidP="0007171D">
      <w:pPr>
        <w:pStyle w:val="a3"/>
        <w:rPr>
          <w:rtl/>
        </w:rPr>
      </w:pPr>
      <w:bookmarkStart w:id="7777" w:name="_Toc58876192"/>
      <w:bookmarkStart w:id="7778" w:name="_Toc58877600"/>
      <w:bookmarkStart w:id="7779" w:name="_Toc58914659"/>
      <w:bookmarkStart w:id="7780" w:name="_Toc58925953"/>
      <w:bookmarkStart w:id="7781" w:name="_Toc58930027"/>
      <w:bookmarkStart w:id="7782" w:name="_Toc58938178"/>
      <w:bookmarkStart w:id="7783" w:name="_Toc59006966"/>
      <w:bookmarkStart w:id="7784" w:name="_Toc59013442"/>
      <w:bookmarkStart w:id="7785" w:name="_Toc59013690"/>
      <w:bookmarkStart w:id="7786" w:name="_Toc59025756"/>
      <w:bookmarkStart w:id="7787" w:name="_Toc58324989"/>
      <w:bookmarkStart w:id="7788" w:name="_Toc58359134"/>
      <w:bookmarkStart w:id="7789" w:name="_Toc58409394"/>
      <w:bookmarkStart w:id="7790" w:name="_Toc58432788"/>
      <w:bookmarkStart w:id="7791" w:name="_Toc58579990"/>
      <w:bookmarkStart w:id="7792" w:name="_Toc58272574"/>
      <w:bookmarkStart w:id="7793" w:name="_Toc57925940"/>
      <w:bookmarkStart w:id="7794" w:name="_Toc58091632"/>
      <w:bookmarkStart w:id="7795" w:name="_Toc58144882"/>
      <w:bookmarkStart w:id="7796" w:name="_Toc58272568"/>
      <w:bookmarkEnd w:id="7558"/>
      <w:bookmarkEnd w:id="7579"/>
      <w:bookmarkEnd w:id="7700"/>
      <w:r>
        <w:rPr>
          <w:rFonts w:hint="cs"/>
          <w:rtl/>
        </w:rPr>
        <w:t>דברי הש"ך דלשון המערער לאו קא מודית משמע שהודה בפירוש ולא רק שמע כן מהמוכר</w:t>
      </w:r>
      <w:bookmarkEnd w:id="7777"/>
      <w:bookmarkEnd w:id="7778"/>
      <w:bookmarkEnd w:id="7779"/>
      <w:bookmarkEnd w:id="7780"/>
      <w:bookmarkEnd w:id="7781"/>
      <w:bookmarkEnd w:id="7782"/>
      <w:bookmarkEnd w:id="7783"/>
      <w:bookmarkEnd w:id="7784"/>
      <w:bookmarkEnd w:id="7785"/>
      <w:bookmarkEnd w:id="7786"/>
    </w:p>
    <w:p w:rsidR="0007171D" w:rsidRDefault="0007171D" w:rsidP="007E4E81">
      <w:pPr>
        <w:pStyle w:val="a0"/>
        <w:rPr>
          <w:rtl/>
        </w:rPr>
      </w:pPr>
      <w:r>
        <w:rPr>
          <w:rFonts w:hint="cs"/>
          <w:rtl/>
        </w:rPr>
        <w:t xml:space="preserve">ובעיקר דברי </w:t>
      </w:r>
      <w:r w:rsidRPr="00A21272">
        <w:rPr>
          <w:rStyle w:val="af9"/>
          <w:rFonts w:hint="cs"/>
          <w:rtl/>
        </w:rPr>
        <w:t>הרא"ש</w:t>
      </w:r>
      <w:r>
        <w:rPr>
          <w:rFonts w:hint="cs"/>
          <w:rtl/>
        </w:rPr>
        <w:t xml:space="preserve"> </w:t>
      </w:r>
      <w:r w:rsidRPr="00B3763C">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Ref58319438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Pr>
          <w:rStyle w:val="af7"/>
          <w:rFonts w:eastAsia="Guttman Hodes"/>
          <w:rtl/>
        </w:rPr>
        <w:fldChar w:fldCharType="end"/>
      </w:r>
      <w:r>
        <w:rPr>
          <w:rStyle w:val="af7"/>
          <w:rFonts w:eastAsia="Guttman Hodes" w:hint="cs"/>
          <w:rtl/>
        </w:rPr>
        <w:t xml:space="preserve"> </w:t>
      </w:r>
      <w:r>
        <w:rPr>
          <w:rFonts w:hint="cs"/>
          <w:rtl/>
        </w:rPr>
        <w:t xml:space="preserve">דלשון המחזיק והמערער לא משמע שהמחזיק הודה לו בפירוש, דחה </w:t>
      </w:r>
      <w:r w:rsidRPr="00070B04">
        <w:rPr>
          <w:rStyle w:val="af9"/>
          <w:rFonts w:hint="cs"/>
          <w:rtl/>
        </w:rPr>
        <w:t>הש"ך</w:t>
      </w:r>
      <w:r>
        <w:rPr>
          <w:rFonts w:hint="cs"/>
          <w:rtl/>
        </w:rPr>
        <w:t xml:space="preserve"> </w:t>
      </w:r>
      <w:r w:rsidRPr="00070B04">
        <w:rPr>
          <w:rStyle w:val="af7"/>
          <w:rFonts w:eastAsia="Guttman Hodes" w:hint="cs"/>
          <w:rtl/>
        </w:rPr>
        <w:t>(סי' קמ"ו סק"ט)</w:t>
      </w:r>
      <w:r>
        <w:rPr>
          <w:rFonts w:hint="cs"/>
          <w:rtl/>
        </w:rPr>
        <w:t xml:space="preserve"> דאדרבה לשון המערער "לאו קא מודית</w:t>
      </w:r>
      <w:r w:rsidRPr="00944510">
        <w:rPr>
          <w:rtl/>
        </w:rPr>
        <w:t xml:space="preserve"> </w:t>
      </w:r>
      <w:r>
        <w:rPr>
          <w:rFonts w:hint="cs"/>
          <w:rtl/>
        </w:rPr>
        <w:t xml:space="preserve">לי </w:t>
      </w:r>
      <w:r>
        <w:rPr>
          <w:rtl/>
        </w:rPr>
        <w:t>דהאי ארעא דידי היא</w:t>
      </w:r>
      <w:r>
        <w:rPr>
          <w:rFonts w:hint="cs"/>
          <w:rtl/>
        </w:rPr>
        <w:t xml:space="preserve">", משמע שהמחזיק הודה לו בפירוש, דאי כדברי </w:t>
      </w:r>
      <w:r w:rsidRPr="006202B4">
        <w:rPr>
          <w:rStyle w:val="af9"/>
          <w:rFonts w:hint="cs"/>
          <w:rtl/>
        </w:rPr>
        <w:t>הרא"ש</w:t>
      </w:r>
      <w:r>
        <w:rPr>
          <w:rFonts w:hint="cs"/>
          <w:rtl/>
        </w:rPr>
        <w:t xml:space="preserve"> דרק שמע כן מהמוכר, א"כ היה לו לומר לאו קא מודית, שאמר לך אותו פלוני </w:t>
      </w:r>
      <w:r>
        <w:rPr>
          <w:rtl/>
        </w:rPr>
        <w:t>דהאי ארעא דידי היא</w:t>
      </w:r>
      <w:r>
        <w:rPr>
          <w:rFonts w:hint="cs"/>
          <w:rtl/>
        </w:rPr>
        <w:t xml:space="preserve">, ועי' בדברי </w:t>
      </w:r>
      <w:r w:rsidRPr="0044428D">
        <w:rPr>
          <w:rStyle w:val="af9"/>
          <w:rFonts w:hint="cs"/>
          <w:rtl/>
        </w:rPr>
        <w:t>רבינו יונה</w:t>
      </w:r>
      <w:r>
        <w:rPr>
          <w:rFonts w:hint="cs"/>
          <w:rtl/>
        </w:rPr>
        <w:t xml:space="preserve"> </w:t>
      </w:r>
      <w:r w:rsidRPr="0044428D">
        <w:rPr>
          <w:rStyle w:val="af7"/>
          <w:rFonts w:eastAsia="Guttman Hodes" w:hint="cs"/>
          <w:rtl/>
        </w:rPr>
        <w:t xml:space="preserve">(עי' אות </w:t>
      </w:r>
      <w:r w:rsidRPr="0044428D">
        <w:rPr>
          <w:rStyle w:val="af7"/>
          <w:rFonts w:eastAsia="Guttman Hodes"/>
          <w:rtl/>
        </w:rPr>
        <w:fldChar w:fldCharType="begin"/>
      </w:r>
      <w:r w:rsidRPr="0044428D">
        <w:rPr>
          <w:rStyle w:val="af7"/>
          <w:rFonts w:eastAsia="Guttman Hodes"/>
          <w:rtl/>
        </w:rPr>
        <w:instrText xml:space="preserve"> </w:instrText>
      </w:r>
      <w:r w:rsidRPr="0044428D">
        <w:rPr>
          <w:rStyle w:val="af7"/>
          <w:rFonts w:eastAsia="Guttman Hodes" w:hint="cs"/>
        </w:rPr>
        <w:instrText>REF</w:instrText>
      </w:r>
      <w:r w:rsidRPr="0044428D">
        <w:rPr>
          <w:rStyle w:val="af7"/>
          <w:rFonts w:eastAsia="Guttman Hodes" w:hint="cs"/>
          <w:rtl/>
        </w:rPr>
        <w:instrText xml:space="preserve"> _</w:instrText>
      </w:r>
      <w:r w:rsidRPr="0044428D">
        <w:rPr>
          <w:rStyle w:val="af7"/>
          <w:rFonts w:eastAsia="Guttman Hodes" w:hint="cs"/>
        </w:rPr>
        <w:instrText>Ref58407520 \r \h</w:instrText>
      </w:r>
      <w:r w:rsidRPr="0044428D">
        <w:rPr>
          <w:rStyle w:val="af7"/>
          <w:rFonts w:eastAsia="Guttman Hodes"/>
          <w:rtl/>
        </w:rPr>
        <w:instrText xml:space="preserve"> </w:instrText>
      </w:r>
      <w:r w:rsidRPr="0044428D">
        <w:rPr>
          <w:rStyle w:val="af7"/>
          <w:rFonts w:eastAsia="Guttman Hodes"/>
          <w:rtl/>
        </w:rPr>
      </w:r>
      <w:r w:rsidRPr="0044428D">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44428D">
        <w:rPr>
          <w:rStyle w:val="af7"/>
          <w:rFonts w:eastAsia="Guttman Hodes"/>
          <w:rtl/>
        </w:rPr>
        <w:fldChar w:fldCharType="end"/>
      </w:r>
      <w:r>
        <w:rPr>
          <w:rFonts w:hint="cs"/>
          <w:rtl/>
        </w:rPr>
        <w:t>.</w:t>
      </w:r>
    </w:p>
    <w:p w:rsidR="0007171D" w:rsidRPr="00CE6A75" w:rsidRDefault="0007171D" w:rsidP="0007171D">
      <w:pPr>
        <w:pStyle w:val="a3"/>
        <w:rPr>
          <w:rtl/>
        </w:rPr>
      </w:pPr>
    </w:p>
    <w:p w:rsidR="0007171D" w:rsidRDefault="0007171D" w:rsidP="0007171D">
      <w:pPr>
        <w:pStyle w:val="afe"/>
        <w:rPr>
          <w:rtl/>
        </w:rPr>
      </w:pPr>
      <w:bookmarkStart w:id="7797" w:name="_Toc59013450"/>
      <w:bookmarkStart w:id="7798" w:name="_Toc59013698"/>
      <w:bookmarkStart w:id="7799" w:name="_Toc59025764"/>
      <w:bookmarkStart w:id="7800" w:name="_Toc58842994"/>
      <w:bookmarkStart w:id="7801" w:name="_Toc58876193"/>
      <w:bookmarkStart w:id="7802" w:name="_Toc58877601"/>
      <w:bookmarkStart w:id="7803" w:name="_Toc58914660"/>
      <w:bookmarkStart w:id="7804" w:name="_Toc58925954"/>
      <w:bookmarkStart w:id="7805" w:name="_Toc58930028"/>
      <w:bookmarkStart w:id="7806" w:name="_Toc58938179"/>
      <w:bookmarkStart w:id="7807" w:name="_Toc59006967"/>
      <w:bookmarkStart w:id="7808" w:name="_Toc59013443"/>
      <w:bookmarkStart w:id="7809" w:name="_Toc59013691"/>
      <w:bookmarkStart w:id="7810" w:name="_Toc59025757"/>
      <w:r>
        <w:rPr>
          <w:rFonts w:hint="cs"/>
          <w:rtl/>
        </w:rPr>
        <w:lastRenderedPageBreak/>
        <w:t>הסוברים דהודה ואין ספק מוציא מודאי</w:t>
      </w:r>
      <w:bookmarkEnd w:id="7797"/>
      <w:bookmarkEnd w:id="7798"/>
      <w:bookmarkEnd w:id="7799"/>
      <w:r>
        <w:rPr>
          <w:rFonts w:hint="cs"/>
          <w:rtl/>
        </w:rPr>
        <w:t xml:space="preserve"> </w:t>
      </w:r>
    </w:p>
    <w:p w:rsidR="0007171D" w:rsidRDefault="0007171D" w:rsidP="0007171D">
      <w:pPr>
        <w:pStyle w:val="1"/>
        <w:rPr>
          <w:rtl/>
        </w:rPr>
      </w:pPr>
      <w:r>
        <w:rPr>
          <w:rFonts w:hint="cs"/>
          <w:rtl/>
        </w:rPr>
        <w:t>משמעות הרי"ף והרמב"ם</w:t>
      </w:r>
      <w:bookmarkEnd w:id="7800"/>
      <w:r>
        <w:rPr>
          <w:rFonts w:hint="cs"/>
          <w:rtl/>
        </w:rPr>
        <w:t xml:space="preserve"> דהמחזיק הודה מעצמו למערער</w:t>
      </w:r>
      <w:bookmarkEnd w:id="7801"/>
      <w:bookmarkEnd w:id="7802"/>
      <w:bookmarkEnd w:id="7803"/>
      <w:bookmarkEnd w:id="7804"/>
      <w:bookmarkEnd w:id="7805"/>
      <w:bookmarkEnd w:id="7806"/>
      <w:bookmarkEnd w:id="7807"/>
      <w:bookmarkEnd w:id="7808"/>
      <w:bookmarkEnd w:id="7809"/>
      <w:bookmarkEnd w:id="7810"/>
      <w:r>
        <w:rPr>
          <w:rFonts w:hint="cs"/>
          <w:rtl/>
        </w:rPr>
        <w:t xml:space="preserve"> </w:t>
      </w:r>
    </w:p>
    <w:p w:rsidR="0007171D" w:rsidRDefault="0007171D" w:rsidP="0007171D">
      <w:pPr>
        <w:pStyle w:val="a3"/>
        <w:rPr>
          <w:rtl/>
        </w:rPr>
      </w:pPr>
      <w:bookmarkStart w:id="7811" w:name="_Toc59006968"/>
      <w:bookmarkStart w:id="7812" w:name="_Toc59013444"/>
      <w:bookmarkStart w:id="7813" w:name="_Toc59013692"/>
      <w:bookmarkStart w:id="7814" w:name="_Toc59025758"/>
      <w:r>
        <w:rPr>
          <w:rFonts w:hint="cs"/>
          <w:rtl/>
        </w:rPr>
        <w:t>קושית הרי"ף דכיון שאין למערער עדים יהיה המחזיק נאמן מדין הפה שאסר אף שהודה</w:t>
      </w:r>
      <w:bookmarkEnd w:id="7811"/>
      <w:bookmarkEnd w:id="7812"/>
      <w:bookmarkEnd w:id="7813"/>
      <w:bookmarkEnd w:id="7814"/>
    </w:p>
    <w:p w:rsidR="0007171D" w:rsidRPr="00E02F25" w:rsidRDefault="0007171D" w:rsidP="007E4E81">
      <w:pPr>
        <w:pStyle w:val="a0"/>
        <w:rPr>
          <w:rtl/>
        </w:rPr>
      </w:pPr>
      <w:bookmarkStart w:id="7815" w:name="_Ref59006919"/>
      <w:r>
        <w:rPr>
          <w:rFonts w:hint="cs"/>
          <w:rtl/>
        </w:rPr>
        <w:t xml:space="preserve">הקשה </w:t>
      </w:r>
      <w:r w:rsidRPr="00893FAC">
        <w:rPr>
          <w:rStyle w:val="af9"/>
          <w:rFonts w:hint="cs"/>
          <w:rtl/>
        </w:rPr>
        <w:t>הרי"ף</w:t>
      </w:r>
      <w:r w:rsidRPr="00C23A10">
        <w:rPr>
          <w:rStyle w:val="af7"/>
          <w:rFonts w:eastAsia="Guttman Hodes" w:hint="cs"/>
          <w:rtl/>
        </w:rPr>
        <w:t xml:space="preserve"> (ט"ו: מדה"ר) </w:t>
      </w:r>
      <w:r>
        <w:rPr>
          <w:rFonts w:hint="cs"/>
          <w:rtl/>
        </w:rPr>
        <w:t xml:space="preserve">דכיון שאין למערער עדים, ורק המחזיק הודה לו שהייתה הקרקע שלו, א"כ אמאי אינו נאמן מדין הפה שאסר, ועי' בדברי </w:t>
      </w:r>
      <w:r w:rsidRPr="00F37B7C">
        <w:rPr>
          <w:rStyle w:val="af9"/>
          <w:rFonts w:hint="cs"/>
          <w:rtl/>
        </w:rPr>
        <w:t>הראב"ד</w:t>
      </w:r>
      <w:r>
        <w:rPr>
          <w:rFonts w:hint="cs"/>
          <w:rtl/>
        </w:rPr>
        <w:t xml:space="preserve"> </w:t>
      </w:r>
      <w:r w:rsidRPr="00F37B7C">
        <w:rPr>
          <w:rStyle w:val="af7"/>
          <w:rFonts w:eastAsia="Guttman Hodes" w:hint="cs"/>
          <w:rtl/>
        </w:rPr>
        <w:t xml:space="preserve">(עי' אות </w:t>
      </w:r>
      <w:r w:rsidRPr="00F37B7C">
        <w:rPr>
          <w:rStyle w:val="af7"/>
          <w:rFonts w:eastAsia="Guttman Hodes"/>
          <w:rtl/>
        </w:rPr>
        <w:fldChar w:fldCharType="begin"/>
      </w:r>
      <w:r w:rsidRPr="00F37B7C">
        <w:rPr>
          <w:rStyle w:val="af7"/>
          <w:rFonts w:eastAsia="Guttman Hodes"/>
          <w:rtl/>
        </w:rPr>
        <w:instrText xml:space="preserve"> </w:instrText>
      </w:r>
      <w:r w:rsidRPr="00F37B7C">
        <w:rPr>
          <w:rStyle w:val="af7"/>
          <w:rFonts w:eastAsia="Guttman Hodes" w:hint="cs"/>
        </w:rPr>
        <w:instrText>REF</w:instrText>
      </w:r>
      <w:r w:rsidRPr="00F37B7C">
        <w:rPr>
          <w:rStyle w:val="af7"/>
          <w:rFonts w:eastAsia="Guttman Hodes" w:hint="cs"/>
          <w:rtl/>
        </w:rPr>
        <w:instrText xml:space="preserve"> _</w:instrText>
      </w:r>
      <w:r w:rsidRPr="00F37B7C">
        <w:rPr>
          <w:rStyle w:val="af7"/>
          <w:rFonts w:eastAsia="Guttman Hodes" w:hint="cs"/>
        </w:rPr>
        <w:instrText>Ref58702050 \r \h</w:instrText>
      </w:r>
      <w:r w:rsidRPr="00F37B7C">
        <w:rPr>
          <w:rStyle w:val="af7"/>
          <w:rFonts w:eastAsia="Guttman Hodes"/>
          <w:rtl/>
        </w:rPr>
        <w:instrText xml:space="preserve"> </w:instrText>
      </w:r>
      <w:r w:rsidRPr="00F37B7C">
        <w:rPr>
          <w:rStyle w:val="af7"/>
          <w:rFonts w:eastAsia="Guttman Hodes"/>
          <w:rtl/>
        </w:rPr>
      </w:r>
      <w:r w:rsidRPr="00F37B7C">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F37B7C">
        <w:rPr>
          <w:rStyle w:val="af7"/>
          <w:rFonts w:eastAsia="Guttman Hodes"/>
          <w:rtl/>
        </w:rPr>
        <w:fldChar w:fldCharType="end"/>
      </w:r>
      <w:r>
        <w:rPr>
          <w:rFonts w:hint="cs"/>
          <w:rtl/>
        </w:rPr>
        <w:t xml:space="preserve">, ובמה שדחאו </w:t>
      </w:r>
      <w:r w:rsidRPr="00F37B7C">
        <w:rPr>
          <w:rStyle w:val="af9"/>
          <w:rFonts w:hint="cs"/>
          <w:rtl/>
        </w:rPr>
        <w:t>הרמב"ן</w:t>
      </w:r>
      <w:r>
        <w:rPr>
          <w:rFonts w:hint="cs"/>
          <w:rtl/>
        </w:rPr>
        <w:t xml:space="preserve"> </w:t>
      </w:r>
      <w:r w:rsidRPr="00F37B7C">
        <w:rPr>
          <w:rStyle w:val="af7"/>
          <w:rFonts w:eastAsia="Guttman Hodes" w:hint="cs"/>
          <w:rtl/>
        </w:rPr>
        <w:t>(עי' אות</w:t>
      </w:r>
      <w:r>
        <w:rPr>
          <w:rStyle w:val="af7"/>
          <w:rFonts w:eastAsia="Guttman Hodes" w:hint="cs"/>
          <w:rtl/>
        </w:rPr>
        <w:t xml:space="preserve"> </w:t>
      </w:r>
      <w:r w:rsidRPr="00F37B7C">
        <w:rPr>
          <w:rStyle w:val="af7"/>
          <w:rFonts w:eastAsia="Guttman Hodes"/>
          <w:rtl/>
        </w:rPr>
        <w:fldChar w:fldCharType="begin"/>
      </w:r>
      <w:r w:rsidRPr="00F37B7C">
        <w:rPr>
          <w:rStyle w:val="af7"/>
          <w:rFonts w:eastAsia="Guttman Hodes"/>
          <w:rtl/>
        </w:rPr>
        <w:instrText xml:space="preserve"> </w:instrText>
      </w:r>
      <w:r w:rsidRPr="00F37B7C">
        <w:rPr>
          <w:rStyle w:val="af7"/>
          <w:rFonts w:eastAsia="Guttman Hodes" w:hint="cs"/>
        </w:rPr>
        <w:instrText>REF</w:instrText>
      </w:r>
      <w:r w:rsidRPr="00F37B7C">
        <w:rPr>
          <w:rStyle w:val="af7"/>
          <w:rFonts w:eastAsia="Guttman Hodes" w:hint="cs"/>
          <w:rtl/>
        </w:rPr>
        <w:instrText xml:space="preserve"> _</w:instrText>
      </w:r>
      <w:r w:rsidRPr="00F37B7C">
        <w:rPr>
          <w:rStyle w:val="af7"/>
          <w:rFonts w:eastAsia="Guttman Hodes" w:hint="cs"/>
        </w:rPr>
        <w:instrText>Ref58922898 \r \h</w:instrText>
      </w:r>
      <w:r w:rsidRPr="00F37B7C">
        <w:rPr>
          <w:rStyle w:val="af7"/>
          <w:rFonts w:eastAsia="Guttman Hodes"/>
          <w:rtl/>
        </w:rPr>
        <w:instrText xml:space="preserve"> </w:instrText>
      </w:r>
      <w:r w:rsidRPr="00F37B7C">
        <w:rPr>
          <w:rStyle w:val="af7"/>
          <w:rFonts w:eastAsia="Guttman Hodes"/>
          <w:rtl/>
        </w:rPr>
      </w:r>
      <w:r w:rsidRPr="00F37B7C">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F37B7C">
        <w:rPr>
          <w:rStyle w:val="af7"/>
          <w:rFonts w:eastAsia="Guttman Hodes"/>
          <w:rtl/>
        </w:rPr>
        <w:fldChar w:fldCharType="end"/>
      </w:r>
      <w:r>
        <w:rPr>
          <w:rFonts w:hint="cs"/>
          <w:rtl/>
        </w:rPr>
        <w:t>.</w:t>
      </w:r>
      <w:bookmarkEnd w:id="7815"/>
    </w:p>
    <w:p w:rsidR="0007171D" w:rsidRPr="00C5790E" w:rsidRDefault="0007171D" w:rsidP="0007171D">
      <w:pPr>
        <w:pStyle w:val="a3"/>
      </w:pPr>
      <w:bookmarkStart w:id="7816" w:name="_Toc58876194"/>
      <w:bookmarkStart w:id="7817" w:name="_Toc58877602"/>
      <w:bookmarkStart w:id="7818" w:name="_Toc58914661"/>
      <w:bookmarkStart w:id="7819" w:name="_Toc58925955"/>
      <w:bookmarkStart w:id="7820" w:name="_Toc58930029"/>
      <w:bookmarkStart w:id="7821" w:name="_Toc58938180"/>
      <w:bookmarkStart w:id="7822" w:name="_Toc59006969"/>
      <w:bookmarkStart w:id="7823" w:name="_Toc59013445"/>
      <w:bookmarkStart w:id="7824" w:name="_Toc59013693"/>
      <w:bookmarkStart w:id="7825" w:name="_Toc59025759"/>
      <w:bookmarkEnd w:id="7787"/>
      <w:bookmarkEnd w:id="7788"/>
      <w:bookmarkEnd w:id="7789"/>
      <w:bookmarkEnd w:id="7790"/>
      <w:bookmarkEnd w:id="7791"/>
      <w:r>
        <w:rPr>
          <w:rFonts w:hint="cs"/>
          <w:rtl/>
        </w:rPr>
        <w:t>דברי הרי"ף דכיון שהודה המחזיק דודאי של המערער וספק שקנה המוכר אין ספק מוציא מודאי</w:t>
      </w:r>
      <w:bookmarkEnd w:id="7816"/>
      <w:bookmarkEnd w:id="7817"/>
      <w:bookmarkEnd w:id="7818"/>
      <w:bookmarkEnd w:id="7819"/>
      <w:bookmarkEnd w:id="7820"/>
      <w:bookmarkEnd w:id="7821"/>
      <w:bookmarkEnd w:id="7822"/>
      <w:bookmarkEnd w:id="7823"/>
      <w:bookmarkEnd w:id="7824"/>
      <w:bookmarkEnd w:id="7825"/>
    </w:p>
    <w:p w:rsidR="0007171D" w:rsidRDefault="0007171D" w:rsidP="007E4E81">
      <w:pPr>
        <w:pStyle w:val="a0"/>
        <w:rPr>
          <w:rtl/>
        </w:rPr>
      </w:pPr>
      <w:bookmarkStart w:id="7826" w:name="_Ref58324662"/>
      <w:r>
        <w:rPr>
          <w:rFonts w:hint="cs"/>
          <w:rtl/>
        </w:rPr>
        <w:t xml:space="preserve">ותירץ </w:t>
      </w:r>
      <w:r w:rsidRPr="00893FAC">
        <w:rPr>
          <w:rStyle w:val="af9"/>
          <w:rFonts w:hint="cs"/>
          <w:rtl/>
        </w:rPr>
        <w:t>הרי"ף</w:t>
      </w:r>
      <w:r>
        <w:rPr>
          <w:rFonts w:hint="cs"/>
          <w:rtl/>
        </w:rPr>
        <w:t xml:space="preserve"> דכיון שהודה בודאי שהייתה הקרקע של המערער, ומה שאמר שהמוכר אמר לו שקנה מהמערער, הוא ספק, ואין ספק מוציא מידי ודאי, הוא צריך להחזיר את הקרקע למערער, והמחזיק יתבע את המוכר, ולכן לא מהני לו הפה שאסר, </w:t>
      </w:r>
      <w:r w:rsidRPr="00343133">
        <w:rPr>
          <w:rFonts w:hint="cs"/>
          <w:rtl/>
        </w:rPr>
        <w:t>ועי' במ</w:t>
      </w:r>
      <w:r>
        <w:rPr>
          <w:rFonts w:hint="cs"/>
          <w:rtl/>
        </w:rPr>
        <w:t>ה שביאר</w:t>
      </w:r>
      <w:r w:rsidRPr="00343133">
        <w:rPr>
          <w:rFonts w:hint="cs"/>
          <w:rtl/>
        </w:rPr>
        <w:t xml:space="preserve"> </w:t>
      </w:r>
      <w:r w:rsidRPr="006D1C99">
        <w:rPr>
          <w:rStyle w:val="af9"/>
          <w:rFonts w:hint="cs"/>
          <w:rtl/>
        </w:rPr>
        <w:t>רבינו יונה</w:t>
      </w:r>
      <w:r>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Ref58406456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Pr>
          <w:rStyle w:val="af7"/>
          <w:rFonts w:eastAsia="Guttman Hodes"/>
          <w:rtl/>
        </w:rPr>
        <w:fldChar w:fldCharType="end"/>
      </w:r>
      <w:r>
        <w:rPr>
          <w:rFonts w:hint="cs"/>
          <w:rtl/>
        </w:rPr>
        <w:t xml:space="preserve"> </w:t>
      </w:r>
      <w:r w:rsidRPr="00343133">
        <w:rPr>
          <w:rFonts w:hint="cs"/>
          <w:rtl/>
        </w:rPr>
        <w:t xml:space="preserve">בדברי </w:t>
      </w:r>
      <w:r>
        <w:rPr>
          <w:rStyle w:val="af9"/>
          <w:rFonts w:hint="cs"/>
          <w:rtl/>
        </w:rPr>
        <w:t>הרי"ף</w:t>
      </w:r>
      <w:r>
        <w:rPr>
          <w:rFonts w:hint="cs"/>
          <w:rtl/>
        </w:rPr>
        <w:t>.</w:t>
      </w:r>
      <w:bookmarkEnd w:id="7826"/>
    </w:p>
    <w:p w:rsidR="0007171D" w:rsidRPr="002D6723" w:rsidRDefault="0007171D" w:rsidP="0007171D">
      <w:pPr>
        <w:pStyle w:val="a3"/>
        <w:rPr>
          <w:rtl/>
        </w:rPr>
      </w:pPr>
      <w:bookmarkStart w:id="7827" w:name="_Toc59013446"/>
      <w:bookmarkStart w:id="7828" w:name="_Toc59013694"/>
      <w:bookmarkStart w:id="7829" w:name="_Toc59025760"/>
      <w:r>
        <w:rPr>
          <w:rFonts w:hint="cs"/>
          <w:rtl/>
        </w:rPr>
        <w:t>דברי הר"ן על הרי"ף דמבואר ברי"ף דכשלא הודה בפירוש מהני למחזיק הפה שאסר של המוכר</w:t>
      </w:r>
      <w:bookmarkEnd w:id="7827"/>
      <w:bookmarkEnd w:id="7828"/>
      <w:bookmarkEnd w:id="7829"/>
    </w:p>
    <w:p w:rsidR="0007171D" w:rsidRDefault="0007171D" w:rsidP="007E4E81">
      <w:pPr>
        <w:pStyle w:val="a0"/>
      </w:pPr>
      <w:bookmarkStart w:id="7830" w:name="_Ref59010739"/>
      <w:r>
        <w:rPr>
          <w:rFonts w:hint="cs"/>
          <w:rtl/>
        </w:rPr>
        <w:t xml:space="preserve">וכתב </w:t>
      </w:r>
      <w:r w:rsidRPr="006D1C99">
        <w:rPr>
          <w:rStyle w:val="af9"/>
          <w:rFonts w:hint="cs"/>
          <w:rtl/>
        </w:rPr>
        <w:t>הרמב"ן</w:t>
      </w:r>
      <w:r>
        <w:rPr>
          <w:rFonts w:hint="cs"/>
          <w:rtl/>
        </w:rPr>
        <w:t xml:space="preserve"> </w:t>
      </w:r>
      <w:r>
        <w:rPr>
          <w:rStyle w:val="af7"/>
          <w:rFonts w:eastAsia="Guttman Hodes" w:hint="cs"/>
          <w:rtl/>
        </w:rPr>
        <w:t>(</w:t>
      </w:r>
      <w:r w:rsidRPr="002D6723">
        <w:rPr>
          <w:rStyle w:val="af7"/>
          <w:rFonts w:eastAsia="Guttman Hodes" w:hint="cs"/>
          <w:rtl/>
        </w:rPr>
        <w:t xml:space="preserve">עי' אות </w:t>
      </w:r>
      <w:r w:rsidRPr="002D6723">
        <w:rPr>
          <w:rStyle w:val="af7"/>
          <w:rFonts w:eastAsia="Guttman Hodes"/>
          <w:rtl/>
        </w:rPr>
        <w:fldChar w:fldCharType="begin"/>
      </w:r>
      <w:r w:rsidRPr="002D6723">
        <w:rPr>
          <w:rStyle w:val="af7"/>
          <w:rFonts w:eastAsia="Guttman Hodes"/>
          <w:rtl/>
        </w:rPr>
        <w:instrText xml:space="preserve"> </w:instrText>
      </w:r>
      <w:r w:rsidRPr="002D6723">
        <w:rPr>
          <w:rStyle w:val="af7"/>
          <w:rFonts w:eastAsia="Guttman Hodes" w:hint="cs"/>
        </w:rPr>
        <w:instrText>REF</w:instrText>
      </w:r>
      <w:r w:rsidRPr="002D6723">
        <w:rPr>
          <w:rStyle w:val="af7"/>
          <w:rFonts w:eastAsia="Guttman Hodes" w:hint="cs"/>
          <w:rtl/>
        </w:rPr>
        <w:instrText xml:space="preserve"> _</w:instrText>
      </w:r>
      <w:r w:rsidRPr="002D6723">
        <w:rPr>
          <w:rStyle w:val="af7"/>
          <w:rFonts w:eastAsia="Guttman Hodes" w:hint="cs"/>
        </w:rPr>
        <w:instrText>Ref58875214 \r \h</w:instrText>
      </w:r>
      <w:r w:rsidRPr="002D6723">
        <w:rPr>
          <w:rStyle w:val="af7"/>
          <w:rFonts w:eastAsia="Guttman Hodes"/>
          <w:rtl/>
        </w:rPr>
        <w:instrText xml:space="preserve"> </w:instrText>
      </w:r>
      <w:r w:rsidRPr="002D6723">
        <w:rPr>
          <w:rStyle w:val="af7"/>
          <w:rFonts w:eastAsia="Guttman Hodes"/>
          <w:rtl/>
        </w:rPr>
      </w:r>
      <w:r w:rsidRPr="002D6723">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2D6723">
        <w:rPr>
          <w:rStyle w:val="af7"/>
          <w:rFonts w:eastAsia="Guttman Hodes"/>
          <w:rtl/>
        </w:rPr>
        <w:fldChar w:fldCharType="end"/>
      </w:r>
      <w:r>
        <w:rPr>
          <w:rFonts w:hint="cs"/>
          <w:rtl/>
        </w:rPr>
        <w:t xml:space="preserve"> דמבואר בדברי </w:t>
      </w:r>
      <w:r w:rsidRPr="006D1C99">
        <w:rPr>
          <w:rStyle w:val="af9"/>
          <w:rFonts w:hint="cs"/>
          <w:rtl/>
        </w:rPr>
        <w:t>הרי"ף</w:t>
      </w:r>
      <w:r>
        <w:rPr>
          <w:rFonts w:hint="cs"/>
          <w:rtl/>
        </w:rPr>
        <w:t xml:space="preserve"> דהמחזיק הודה מעצמו שהייתה של </w:t>
      </w:r>
      <w:r w:rsidRPr="00343133">
        <w:rPr>
          <w:rFonts w:hint="cs"/>
          <w:rtl/>
        </w:rPr>
        <w:t>המערער,</w:t>
      </w:r>
      <w:r>
        <w:rPr>
          <w:rFonts w:hint="cs"/>
          <w:rtl/>
        </w:rPr>
        <w:t xml:space="preserve"> והוסיף </w:t>
      </w:r>
      <w:r w:rsidRPr="001478A5">
        <w:rPr>
          <w:rStyle w:val="af9"/>
          <w:rFonts w:hint="cs"/>
          <w:rtl/>
        </w:rPr>
        <w:t xml:space="preserve">הר"ן </w:t>
      </w:r>
      <w:r w:rsidRPr="001478A5">
        <w:rPr>
          <w:rStyle w:val="af9"/>
          <w:rtl/>
        </w:rPr>
        <w:t>על</w:t>
      </w:r>
      <w:r>
        <w:rPr>
          <w:rStyle w:val="af9"/>
          <w:rtl/>
        </w:rPr>
        <w:t xml:space="preserve"> הרי"ף [הנדמ"ח] </w:t>
      </w:r>
      <w:r>
        <w:rPr>
          <w:rStyle w:val="af7"/>
          <w:rFonts w:eastAsia="Guttman Hodes" w:hint="cs"/>
          <w:rtl/>
        </w:rPr>
        <w:t>(ד"ה ההוא, נד' בסוף חי' הר"ן מהדו' פרדס</w:t>
      </w:r>
      <w:r>
        <w:rPr>
          <w:rStyle w:val="af1"/>
          <w:rtl/>
        </w:rPr>
        <w:footnoteReference w:id="52"/>
      </w:r>
      <w:r>
        <w:rPr>
          <w:rStyle w:val="af7"/>
          <w:rFonts w:eastAsia="Guttman Hodes" w:hint="cs"/>
          <w:rtl/>
        </w:rPr>
        <w:t>)</w:t>
      </w:r>
      <w:r>
        <w:rPr>
          <w:rFonts w:hint="cs"/>
          <w:rtl/>
        </w:rPr>
        <w:t xml:space="preserve"> דמדברי </w:t>
      </w:r>
      <w:r w:rsidRPr="0017284E">
        <w:rPr>
          <w:rStyle w:val="af9"/>
          <w:rFonts w:hint="cs"/>
          <w:rtl/>
        </w:rPr>
        <w:t>הרי"ף</w:t>
      </w:r>
      <w:r>
        <w:rPr>
          <w:rFonts w:hint="cs"/>
          <w:rtl/>
        </w:rPr>
        <w:t xml:space="preserve"> </w:t>
      </w:r>
      <w:r w:rsidRPr="0017284E">
        <w:rPr>
          <w:rStyle w:val="af7"/>
          <w:rFonts w:eastAsia="Guttman Hodes" w:hint="cs"/>
          <w:rtl/>
        </w:rPr>
        <w:t xml:space="preserve">(עי' אות </w:t>
      </w:r>
      <w:r w:rsidRPr="0017284E">
        <w:rPr>
          <w:rStyle w:val="af7"/>
          <w:rFonts w:eastAsia="Guttman Hodes"/>
          <w:rtl/>
        </w:rPr>
        <w:fldChar w:fldCharType="begin"/>
      </w:r>
      <w:r w:rsidRPr="0017284E">
        <w:rPr>
          <w:rStyle w:val="af7"/>
          <w:rFonts w:eastAsia="Guttman Hodes"/>
          <w:rtl/>
        </w:rPr>
        <w:instrText xml:space="preserve"> </w:instrText>
      </w:r>
      <w:r w:rsidRPr="0017284E">
        <w:rPr>
          <w:rStyle w:val="af7"/>
          <w:rFonts w:eastAsia="Guttman Hodes" w:hint="cs"/>
        </w:rPr>
        <w:instrText>REF</w:instrText>
      </w:r>
      <w:r w:rsidRPr="0017284E">
        <w:rPr>
          <w:rStyle w:val="af7"/>
          <w:rFonts w:eastAsia="Guttman Hodes" w:hint="cs"/>
          <w:rtl/>
        </w:rPr>
        <w:instrText xml:space="preserve"> _</w:instrText>
      </w:r>
      <w:r w:rsidRPr="0017284E">
        <w:rPr>
          <w:rStyle w:val="af7"/>
          <w:rFonts w:eastAsia="Guttman Hodes" w:hint="cs"/>
        </w:rPr>
        <w:instrText>Ref58324662 \r \h</w:instrText>
      </w:r>
      <w:r w:rsidRPr="0017284E">
        <w:rPr>
          <w:rStyle w:val="af7"/>
          <w:rFonts w:eastAsia="Guttman Hodes"/>
          <w:rtl/>
        </w:rPr>
        <w:instrText xml:space="preserve"> </w:instrText>
      </w:r>
      <w:r w:rsidRPr="0017284E">
        <w:rPr>
          <w:rStyle w:val="af7"/>
          <w:rFonts w:eastAsia="Guttman Hodes"/>
          <w:rtl/>
        </w:rPr>
      </w:r>
      <w:r w:rsidRPr="0017284E">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17284E">
        <w:rPr>
          <w:rStyle w:val="af7"/>
          <w:rFonts w:eastAsia="Guttman Hodes"/>
          <w:rtl/>
        </w:rPr>
        <w:fldChar w:fldCharType="end"/>
      </w:r>
      <w:r>
        <w:rPr>
          <w:rFonts w:hint="cs"/>
          <w:rtl/>
        </w:rPr>
        <w:t xml:space="preserve"> מבואר דדוקא כשהודה המחזיק בהודאה גמורה שהיה יודע שהקרקע הייתה של המערער, אמרינן דאין ספק מוציא מידי ודאי, אבל במקום שהמחזיק אינו יודע כלל אם הייתה הקרקע של המערער, ורק שמע כן מפי המוכר, ודאי דאין מוציאין אותה מידו, כיון שהמוכר היה נאמן מדין הפה שאסר, וה"ה המחזיק שבא מכחו דנאמן כשאמר שכך אמר לו המוכר, וכ"כ </w:t>
      </w:r>
      <w:r w:rsidRPr="00543365">
        <w:rPr>
          <w:rStyle w:val="af9"/>
          <w:rFonts w:hint="cs"/>
          <w:rtl/>
        </w:rPr>
        <w:t>הרמב"ן</w:t>
      </w:r>
      <w:r>
        <w:rPr>
          <w:rFonts w:hint="cs"/>
          <w:rtl/>
        </w:rPr>
        <w:t xml:space="preserve"> </w:t>
      </w:r>
      <w:r w:rsidRPr="00543365">
        <w:rPr>
          <w:rStyle w:val="af9"/>
          <w:rFonts w:hint="cs"/>
          <w:rtl/>
        </w:rPr>
        <w:t>ורבינו יונה</w:t>
      </w:r>
      <w:r>
        <w:rPr>
          <w:rFonts w:hint="cs"/>
          <w:rtl/>
        </w:rPr>
        <w:t xml:space="preserve"> </w:t>
      </w:r>
      <w:r w:rsidRPr="00543365">
        <w:rPr>
          <w:rStyle w:val="af9"/>
          <w:rFonts w:hint="cs"/>
          <w:rtl/>
        </w:rPr>
        <w:t>והר"ן בחי'</w:t>
      </w:r>
      <w:r>
        <w:rPr>
          <w:rFonts w:hint="cs"/>
          <w:rtl/>
        </w:rPr>
        <w:t xml:space="preserve"> </w:t>
      </w:r>
      <w:r>
        <w:rPr>
          <w:rStyle w:val="af7"/>
          <w:rFonts w:eastAsia="Guttman Hodes" w:hint="cs"/>
          <w:rtl/>
        </w:rPr>
        <w:t xml:space="preserve">(עי' </w:t>
      </w:r>
      <w:r w:rsidRPr="002D6723">
        <w:rPr>
          <w:rStyle w:val="af7"/>
          <w:rFonts w:eastAsia="Guttman Hodes" w:hint="cs"/>
          <w:rtl/>
        </w:rPr>
        <w:t xml:space="preserve">אות </w:t>
      </w:r>
      <w:r w:rsidRPr="002D6723">
        <w:rPr>
          <w:rStyle w:val="af7"/>
          <w:rFonts w:eastAsia="Guttman Hodes"/>
          <w:rtl/>
        </w:rPr>
        <w:fldChar w:fldCharType="begin"/>
      </w:r>
      <w:r w:rsidRPr="002D6723">
        <w:rPr>
          <w:rStyle w:val="af7"/>
          <w:rFonts w:eastAsia="Guttman Hodes"/>
          <w:rtl/>
        </w:rPr>
        <w:instrText xml:space="preserve"> </w:instrText>
      </w:r>
      <w:r w:rsidRPr="002D6723">
        <w:rPr>
          <w:rStyle w:val="af7"/>
          <w:rFonts w:eastAsia="Guttman Hodes" w:hint="cs"/>
        </w:rPr>
        <w:instrText>REF</w:instrText>
      </w:r>
      <w:r w:rsidRPr="002D6723">
        <w:rPr>
          <w:rStyle w:val="af7"/>
          <w:rFonts w:eastAsia="Guttman Hodes" w:hint="cs"/>
          <w:rtl/>
        </w:rPr>
        <w:instrText xml:space="preserve"> _</w:instrText>
      </w:r>
      <w:r w:rsidRPr="002D6723">
        <w:rPr>
          <w:rStyle w:val="af7"/>
          <w:rFonts w:eastAsia="Guttman Hodes" w:hint="cs"/>
        </w:rPr>
        <w:instrText>Ref58875516 \r \h</w:instrText>
      </w:r>
      <w:r w:rsidRPr="002D6723">
        <w:rPr>
          <w:rStyle w:val="af7"/>
          <w:rFonts w:eastAsia="Guttman Hodes"/>
          <w:rtl/>
        </w:rPr>
        <w:instrText xml:space="preserve"> </w:instrText>
      </w:r>
      <w:r w:rsidRPr="002D6723">
        <w:rPr>
          <w:rStyle w:val="af7"/>
          <w:rFonts w:eastAsia="Guttman Hodes"/>
          <w:rtl/>
        </w:rPr>
      </w:r>
      <w:r w:rsidRPr="002D6723">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2D6723">
        <w:rPr>
          <w:rStyle w:val="af7"/>
          <w:rFonts w:eastAsia="Guttman Hodes"/>
          <w:rtl/>
        </w:rPr>
        <w:fldChar w:fldCharType="end"/>
      </w:r>
      <w:r>
        <w:rPr>
          <w:rFonts w:hint="cs"/>
          <w:rtl/>
        </w:rPr>
        <w:t xml:space="preserve">, והביא </w:t>
      </w:r>
      <w:r w:rsidRPr="00543365">
        <w:rPr>
          <w:rStyle w:val="af9"/>
          <w:rFonts w:hint="cs"/>
          <w:rtl/>
        </w:rPr>
        <w:t>הר"ן</w:t>
      </w:r>
      <w:r>
        <w:rPr>
          <w:rFonts w:hint="cs"/>
          <w:rtl/>
        </w:rPr>
        <w:t xml:space="preserve"> </w:t>
      </w:r>
      <w:r w:rsidRPr="00543365">
        <w:rPr>
          <w:rStyle w:val="af9"/>
          <w:rFonts w:hint="cs"/>
          <w:rtl/>
        </w:rPr>
        <w:t>בחי'</w:t>
      </w:r>
      <w:r>
        <w:rPr>
          <w:rFonts w:hint="cs"/>
          <w:rtl/>
        </w:rPr>
        <w:t xml:space="preserve"> </w:t>
      </w:r>
      <w:r w:rsidRPr="00543365">
        <w:rPr>
          <w:rStyle w:val="af9"/>
          <w:rFonts w:hint="cs"/>
          <w:rtl/>
        </w:rPr>
        <w:t>ו</w:t>
      </w:r>
      <w:r w:rsidRPr="00543365">
        <w:rPr>
          <w:rStyle w:val="af9"/>
          <w:rtl/>
        </w:rPr>
        <w:t>ע</w:t>
      </w:r>
      <w:r w:rsidRPr="001478A5">
        <w:rPr>
          <w:rStyle w:val="af9"/>
          <w:rtl/>
        </w:rPr>
        <w:t>ל</w:t>
      </w:r>
      <w:r>
        <w:rPr>
          <w:rStyle w:val="af9"/>
          <w:rtl/>
        </w:rPr>
        <w:t xml:space="preserve"> הרי"ף </w:t>
      </w:r>
      <w:r>
        <w:rPr>
          <w:rFonts w:hint="cs"/>
          <w:rtl/>
        </w:rPr>
        <w:t xml:space="preserve">את דברי </w:t>
      </w:r>
      <w:r w:rsidRPr="00543365">
        <w:rPr>
          <w:rStyle w:val="af9"/>
          <w:rFonts w:hint="cs"/>
          <w:rtl/>
        </w:rPr>
        <w:t>הראב"ד</w:t>
      </w:r>
      <w:r>
        <w:rPr>
          <w:rFonts w:hint="cs"/>
          <w:rtl/>
        </w:rPr>
        <w:t xml:space="preserve"> </w:t>
      </w:r>
      <w:r w:rsidRPr="00386E0B">
        <w:rPr>
          <w:rStyle w:val="af7"/>
          <w:rFonts w:eastAsia="Guttman Hodes" w:hint="cs"/>
          <w:rtl/>
        </w:rPr>
        <w:t>(עי'</w:t>
      </w:r>
      <w:r>
        <w:rPr>
          <w:rFonts w:hint="cs"/>
          <w:rtl/>
        </w:rPr>
        <w:t xml:space="preserve"> </w:t>
      </w:r>
      <w:r w:rsidRPr="00386E0B">
        <w:rPr>
          <w:rStyle w:val="af7"/>
          <w:rFonts w:eastAsia="Guttman Hodes" w:hint="cs"/>
          <w:rtl/>
        </w:rPr>
        <w:t xml:space="preserve">אות </w:t>
      </w:r>
      <w:r w:rsidRPr="00386E0B">
        <w:rPr>
          <w:rStyle w:val="af7"/>
          <w:rFonts w:eastAsia="Guttman Hodes"/>
          <w:rtl/>
        </w:rPr>
        <w:fldChar w:fldCharType="begin"/>
      </w:r>
      <w:r w:rsidRPr="00386E0B">
        <w:rPr>
          <w:rStyle w:val="af7"/>
          <w:rFonts w:eastAsia="Guttman Hodes"/>
          <w:rtl/>
        </w:rPr>
        <w:instrText xml:space="preserve"> </w:instrText>
      </w:r>
      <w:r w:rsidRPr="00386E0B">
        <w:rPr>
          <w:rStyle w:val="af7"/>
          <w:rFonts w:eastAsia="Guttman Hodes" w:hint="cs"/>
        </w:rPr>
        <w:instrText>REF</w:instrText>
      </w:r>
      <w:r w:rsidRPr="00386E0B">
        <w:rPr>
          <w:rStyle w:val="af7"/>
          <w:rFonts w:eastAsia="Guttman Hodes" w:hint="cs"/>
          <w:rtl/>
        </w:rPr>
        <w:instrText xml:space="preserve"> _</w:instrText>
      </w:r>
      <w:r w:rsidRPr="00386E0B">
        <w:rPr>
          <w:rStyle w:val="af7"/>
          <w:rFonts w:eastAsia="Guttman Hodes" w:hint="cs"/>
        </w:rPr>
        <w:instrText>Ref58702050 \r \h</w:instrText>
      </w:r>
      <w:r w:rsidRPr="00386E0B">
        <w:rPr>
          <w:rStyle w:val="af7"/>
          <w:rFonts w:eastAsia="Guttman Hodes"/>
          <w:rtl/>
        </w:rPr>
        <w:instrText xml:space="preserve"> </w:instrText>
      </w:r>
      <w:r w:rsidRPr="00386E0B">
        <w:rPr>
          <w:rStyle w:val="af7"/>
          <w:rFonts w:eastAsia="Guttman Hodes"/>
          <w:rtl/>
        </w:rPr>
      </w:r>
      <w:r w:rsidRPr="00386E0B">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386E0B">
        <w:rPr>
          <w:rStyle w:val="af7"/>
          <w:rFonts w:eastAsia="Guttman Hodes"/>
          <w:rtl/>
        </w:rPr>
        <w:fldChar w:fldCharType="end"/>
      </w:r>
      <w:r>
        <w:rPr>
          <w:rFonts w:hint="cs"/>
          <w:rtl/>
        </w:rPr>
        <w:t xml:space="preserve"> פליג </w:t>
      </w:r>
      <w:r w:rsidRPr="00386E0B">
        <w:rPr>
          <w:rStyle w:val="af9"/>
          <w:rFonts w:hint="cs"/>
          <w:rtl/>
        </w:rPr>
        <w:t>על הרי"ף</w:t>
      </w:r>
      <w:r>
        <w:rPr>
          <w:rFonts w:hint="cs"/>
          <w:rtl/>
        </w:rPr>
        <w:t xml:space="preserve"> וס"ל דלא מהני הפה שאסר למחזיק, כיון שאינו אוסר מידיעתו, ואינו מתיר מידיעתו, וכתב </w:t>
      </w:r>
      <w:r w:rsidRPr="00543365">
        <w:rPr>
          <w:rStyle w:val="af9"/>
          <w:rFonts w:hint="cs"/>
          <w:rtl/>
        </w:rPr>
        <w:t xml:space="preserve">הר"ן </w:t>
      </w:r>
      <w:r>
        <w:rPr>
          <w:rFonts w:hint="cs"/>
          <w:rtl/>
        </w:rPr>
        <w:t xml:space="preserve">דלא נראו דברי </w:t>
      </w:r>
      <w:r w:rsidRPr="00543365">
        <w:rPr>
          <w:rStyle w:val="af9"/>
          <w:rFonts w:hint="cs"/>
          <w:rtl/>
        </w:rPr>
        <w:t>הראב"ד</w:t>
      </w:r>
      <w:r>
        <w:rPr>
          <w:rFonts w:hint="cs"/>
          <w:rtl/>
        </w:rPr>
        <w:t>.</w:t>
      </w:r>
      <w:bookmarkEnd w:id="7830"/>
    </w:p>
    <w:p w:rsidR="0007171D" w:rsidRDefault="0007171D" w:rsidP="0007171D">
      <w:pPr>
        <w:pStyle w:val="a3"/>
        <w:rPr>
          <w:rtl/>
        </w:rPr>
      </w:pPr>
      <w:bookmarkStart w:id="7831" w:name="_Toc58324990"/>
      <w:bookmarkStart w:id="7832" w:name="_Toc58359135"/>
      <w:bookmarkStart w:id="7833" w:name="_Toc58409395"/>
      <w:bookmarkStart w:id="7834" w:name="_Toc58432789"/>
      <w:bookmarkStart w:id="7835" w:name="_Toc58579991"/>
      <w:bookmarkStart w:id="7836" w:name="_Toc58842995"/>
      <w:bookmarkStart w:id="7837" w:name="_Toc58876195"/>
      <w:bookmarkStart w:id="7838" w:name="_Toc58877603"/>
      <w:bookmarkStart w:id="7839" w:name="_Toc58914662"/>
      <w:bookmarkStart w:id="7840" w:name="_Toc58925956"/>
      <w:bookmarkStart w:id="7841" w:name="_Toc58930030"/>
      <w:bookmarkStart w:id="7842" w:name="_Toc58938181"/>
      <w:bookmarkStart w:id="7843" w:name="_Toc59006970"/>
      <w:bookmarkStart w:id="7844" w:name="_Toc59013447"/>
      <w:bookmarkStart w:id="7845" w:name="_Toc59013695"/>
      <w:bookmarkStart w:id="7846" w:name="_Toc59025761"/>
      <w:r>
        <w:rPr>
          <w:rFonts w:hint="cs"/>
          <w:rtl/>
        </w:rPr>
        <w:t>דברי הרמב"ם</w:t>
      </w:r>
      <w:bookmarkEnd w:id="7831"/>
      <w:bookmarkEnd w:id="7832"/>
      <w:bookmarkEnd w:id="7833"/>
      <w:bookmarkEnd w:id="7834"/>
      <w:bookmarkEnd w:id="7835"/>
      <w:bookmarkEnd w:id="7836"/>
      <w:r>
        <w:rPr>
          <w:rFonts w:hint="cs"/>
          <w:rtl/>
        </w:rPr>
        <w:t xml:space="preserve"> דהמחזיק ישב הרבה שנים בקרקע וכיון שהודה למערער </w:t>
      </w:r>
      <w:bookmarkEnd w:id="7837"/>
      <w:bookmarkEnd w:id="7838"/>
      <w:bookmarkEnd w:id="7839"/>
      <w:bookmarkEnd w:id="7840"/>
      <w:bookmarkEnd w:id="7841"/>
      <w:bookmarkEnd w:id="7842"/>
      <w:bookmarkEnd w:id="7843"/>
      <w:bookmarkEnd w:id="7844"/>
      <w:bookmarkEnd w:id="7845"/>
      <w:bookmarkEnd w:id="7846"/>
      <w:r>
        <w:rPr>
          <w:rFonts w:hint="cs"/>
          <w:rtl/>
        </w:rPr>
        <w:t>מוצאין ממנו</w:t>
      </w:r>
    </w:p>
    <w:p w:rsidR="0007171D" w:rsidRDefault="0007171D" w:rsidP="007E4E81">
      <w:pPr>
        <w:pStyle w:val="a0"/>
        <w:rPr>
          <w:rtl/>
        </w:rPr>
      </w:pPr>
      <w:bookmarkStart w:id="7847" w:name="_Ref58699948"/>
      <w:bookmarkStart w:id="7848" w:name="_Ref59303598"/>
      <w:bookmarkStart w:id="7849" w:name="_Ref58409377"/>
      <w:r>
        <w:rPr>
          <w:rFonts w:hint="cs"/>
          <w:rtl/>
        </w:rPr>
        <w:t xml:space="preserve">כתב </w:t>
      </w:r>
      <w:r w:rsidRPr="00C23A10">
        <w:rPr>
          <w:rStyle w:val="af9"/>
          <w:rFonts w:hint="cs"/>
          <w:rtl/>
        </w:rPr>
        <w:t>הרמב"ם</w:t>
      </w:r>
      <w:r>
        <w:rPr>
          <w:rFonts w:hint="cs"/>
          <w:rtl/>
        </w:rPr>
        <w:t xml:space="preserve"> </w:t>
      </w:r>
      <w:r w:rsidRPr="00A60EBC">
        <w:rPr>
          <w:rStyle w:val="af7"/>
          <w:rFonts w:eastAsia="Guttman Hodes" w:hint="cs"/>
          <w:rtl/>
        </w:rPr>
        <w:t xml:space="preserve">(טו"נ פי"ד הי"ד) </w:t>
      </w:r>
      <w:r>
        <w:rPr>
          <w:rFonts w:hint="cs"/>
          <w:rtl/>
        </w:rPr>
        <w:t>דהמחזיק ישב בקרקע שנים רבות, והודה למערער שהייתה שלו, ואמר שקנה מפלוני שהוא קנה מהמערער, וטוען המערער שהמוכר הוא גזלן, דכיון שהודה המחזיק שהקרקע של המערער, והוא לא קנה ממנו, חוזרת הקרקע וכל הפירות למערער, אף שאין לו עדים שהוא המרא קמא</w:t>
      </w:r>
      <w:bookmarkEnd w:id="7847"/>
      <w:r>
        <w:rPr>
          <w:rFonts w:hint="cs"/>
          <w:rtl/>
        </w:rPr>
        <w:t>.</w:t>
      </w:r>
      <w:bookmarkEnd w:id="7848"/>
    </w:p>
    <w:p w:rsidR="0007171D" w:rsidRPr="003B3E84" w:rsidRDefault="0007171D" w:rsidP="0007171D">
      <w:pPr>
        <w:pStyle w:val="a3"/>
      </w:pPr>
      <w:r>
        <w:rPr>
          <w:rFonts w:hint="cs"/>
          <w:rtl/>
        </w:rPr>
        <w:t>דברי הש"ך דס"ל להרמב"ם דהודה מעצמו ולא רק מפי המוכר ופלו' הש"ך והסמ"ע בד' השו"ע</w:t>
      </w:r>
    </w:p>
    <w:p w:rsidR="0007171D" w:rsidRDefault="0007171D" w:rsidP="007E4E81">
      <w:pPr>
        <w:pStyle w:val="a0"/>
        <w:rPr>
          <w:rtl/>
        </w:rPr>
      </w:pPr>
      <w:r>
        <w:rPr>
          <w:rFonts w:hint="cs"/>
          <w:rtl/>
        </w:rPr>
        <w:t xml:space="preserve">וכתב </w:t>
      </w:r>
      <w:r w:rsidRPr="002A34B3">
        <w:rPr>
          <w:rStyle w:val="af9"/>
          <w:rFonts w:hint="cs"/>
          <w:rtl/>
        </w:rPr>
        <w:t>הש"ך</w:t>
      </w:r>
      <w:r>
        <w:rPr>
          <w:rFonts w:hint="cs"/>
          <w:rtl/>
        </w:rPr>
        <w:t xml:space="preserve"> </w:t>
      </w:r>
      <w:r w:rsidRPr="003B3E84">
        <w:rPr>
          <w:rStyle w:val="af7"/>
          <w:rFonts w:eastAsia="Guttman Hodes" w:hint="cs"/>
          <w:rtl/>
        </w:rPr>
        <w:t>(סי' קמ"ו סק"ט)</w:t>
      </w:r>
      <w:r>
        <w:rPr>
          <w:rFonts w:hint="cs"/>
          <w:rtl/>
        </w:rPr>
        <w:t xml:space="preserve"> דמשמע דס"ל </w:t>
      </w:r>
      <w:r>
        <w:rPr>
          <w:rStyle w:val="af9"/>
          <w:rFonts w:hint="cs"/>
          <w:rtl/>
        </w:rPr>
        <w:t>ל</w:t>
      </w:r>
      <w:r w:rsidRPr="002A34B3">
        <w:rPr>
          <w:rStyle w:val="af9"/>
          <w:rFonts w:hint="cs"/>
          <w:rtl/>
        </w:rPr>
        <w:t>הרמב"ם</w:t>
      </w:r>
      <w:r>
        <w:rPr>
          <w:rFonts w:hint="cs"/>
          <w:rtl/>
        </w:rPr>
        <w:t xml:space="preserve"> </w:t>
      </w:r>
      <w:r w:rsidRPr="003B3E84">
        <w:rPr>
          <w:rStyle w:val="af7"/>
          <w:rFonts w:eastAsia="Guttman Hodes" w:hint="cs"/>
          <w:rtl/>
        </w:rPr>
        <w:t xml:space="preserve">(עי' אות </w:t>
      </w:r>
      <w:r w:rsidRPr="003B3E84">
        <w:rPr>
          <w:rStyle w:val="af7"/>
          <w:rFonts w:eastAsia="Guttman Hodes"/>
          <w:rtl/>
        </w:rPr>
        <w:fldChar w:fldCharType="begin"/>
      </w:r>
      <w:r w:rsidRPr="003B3E84">
        <w:rPr>
          <w:rStyle w:val="af7"/>
          <w:rFonts w:eastAsia="Guttman Hodes"/>
          <w:rtl/>
        </w:rPr>
        <w:instrText xml:space="preserve"> </w:instrText>
      </w:r>
      <w:r w:rsidRPr="003B3E84">
        <w:rPr>
          <w:rStyle w:val="af7"/>
          <w:rFonts w:eastAsia="Guttman Hodes" w:hint="cs"/>
        </w:rPr>
        <w:instrText>REF</w:instrText>
      </w:r>
      <w:r w:rsidRPr="003B3E84">
        <w:rPr>
          <w:rStyle w:val="af7"/>
          <w:rFonts w:eastAsia="Guttman Hodes" w:hint="cs"/>
          <w:rtl/>
        </w:rPr>
        <w:instrText xml:space="preserve"> _</w:instrText>
      </w:r>
      <w:r w:rsidRPr="003B3E84">
        <w:rPr>
          <w:rStyle w:val="af7"/>
          <w:rFonts w:eastAsia="Guttman Hodes" w:hint="cs"/>
        </w:rPr>
        <w:instrText>Ref59303598 \r \h</w:instrText>
      </w:r>
      <w:r w:rsidRPr="003B3E84">
        <w:rPr>
          <w:rStyle w:val="af7"/>
          <w:rFonts w:eastAsia="Guttman Hodes"/>
          <w:rtl/>
        </w:rPr>
        <w:instrText xml:space="preserve"> </w:instrText>
      </w:r>
      <w:r w:rsidRPr="003B3E84">
        <w:rPr>
          <w:rStyle w:val="af7"/>
          <w:rFonts w:eastAsia="Guttman Hodes"/>
          <w:rtl/>
        </w:rPr>
      </w:r>
      <w:r w:rsidRPr="003B3E84">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3B3E84">
        <w:rPr>
          <w:rStyle w:val="af7"/>
          <w:rFonts w:eastAsia="Guttman Hodes"/>
          <w:rtl/>
        </w:rPr>
        <w:fldChar w:fldCharType="end"/>
      </w:r>
      <w:r>
        <w:rPr>
          <w:rFonts w:hint="cs"/>
          <w:rtl/>
        </w:rPr>
        <w:t xml:space="preserve"> שידוע למחזיק בבירור שהייתה של המערער, אף אם לא היה אומר לו כן המוכר, ולכן יש ודאי דהייתה של המערער, וספק אם המוכר קנה מהמערער, ואין ספק מוציא מידי ודאי וצריך להחזיר למערער,</w:t>
      </w:r>
      <w:r w:rsidRPr="00AD2A4E">
        <w:rPr>
          <w:rStyle w:val="afb"/>
          <w:rFonts w:hint="cs"/>
          <w:rtl/>
        </w:rPr>
        <w:t xml:space="preserve"> [וכ"כ </w:t>
      </w:r>
      <w:r w:rsidRPr="00AD2A4E">
        <w:rPr>
          <w:rStyle w:val="affa"/>
          <w:rFonts w:hint="cs"/>
          <w:rtl/>
        </w:rPr>
        <w:t>התורת חיים</w:t>
      </w:r>
      <w:r w:rsidRPr="00AD2A4E">
        <w:rPr>
          <w:rStyle w:val="afb"/>
          <w:rFonts w:hint="cs"/>
          <w:rtl/>
        </w:rPr>
        <w:t xml:space="preserve"> </w:t>
      </w:r>
      <w:r w:rsidRPr="00AD2A4E">
        <w:rPr>
          <w:rStyle w:val="aff6"/>
          <w:rFonts w:hint="cs"/>
          <w:rtl/>
        </w:rPr>
        <w:t>(ד"ה לכך)</w:t>
      </w:r>
      <w:r w:rsidRPr="00AD2A4E">
        <w:rPr>
          <w:rStyle w:val="afb"/>
          <w:rFonts w:hint="cs"/>
          <w:rtl/>
        </w:rPr>
        <w:t xml:space="preserve"> דמבואר מדברי </w:t>
      </w:r>
      <w:r w:rsidRPr="00AD2A4E">
        <w:rPr>
          <w:rStyle w:val="affa"/>
          <w:rFonts w:hint="cs"/>
          <w:rtl/>
        </w:rPr>
        <w:t>הרמב"ם</w:t>
      </w:r>
      <w:r w:rsidRPr="00AD2A4E">
        <w:rPr>
          <w:rStyle w:val="afb"/>
          <w:rFonts w:hint="cs"/>
          <w:rtl/>
        </w:rPr>
        <w:t xml:space="preserve"> דס"ל </w:t>
      </w:r>
      <w:r w:rsidRPr="00AD2A4E">
        <w:rPr>
          <w:rStyle w:val="affa"/>
          <w:rFonts w:hint="cs"/>
          <w:rtl/>
        </w:rPr>
        <w:t>כרבינו יונה</w:t>
      </w:r>
      <w:r w:rsidRPr="00AD2A4E">
        <w:rPr>
          <w:rStyle w:val="afb"/>
          <w:rFonts w:hint="cs"/>
          <w:rtl/>
        </w:rPr>
        <w:t xml:space="preserve"> </w:t>
      </w:r>
      <w:r w:rsidRPr="00AD2A4E">
        <w:rPr>
          <w:rStyle w:val="aff6"/>
          <w:rFonts w:hint="cs"/>
          <w:rtl/>
        </w:rPr>
        <w:t xml:space="preserve">(עי' אות </w:t>
      </w:r>
      <w:r w:rsidRPr="00AD2A4E">
        <w:rPr>
          <w:rStyle w:val="aff6"/>
          <w:rtl/>
        </w:rPr>
        <w:fldChar w:fldCharType="begin"/>
      </w:r>
      <w:r w:rsidRPr="00AD2A4E">
        <w:rPr>
          <w:rStyle w:val="aff6"/>
          <w:rtl/>
        </w:rPr>
        <w:instrText xml:space="preserve"> </w:instrText>
      </w:r>
      <w:r w:rsidRPr="00AD2A4E">
        <w:rPr>
          <w:rStyle w:val="aff6"/>
          <w:rFonts w:hint="cs"/>
        </w:rPr>
        <w:instrText>REF</w:instrText>
      </w:r>
      <w:r w:rsidRPr="00AD2A4E">
        <w:rPr>
          <w:rStyle w:val="aff6"/>
          <w:rFonts w:hint="cs"/>
          <w:rtl/>
        </w:rPr>
        <w:instrText xml:space="preserve"> _</w:instrText>
      </w:r>
      <w:r w:rsidRPr="00AD2A4E">
        <w:rPr>
          <w:rStyle w:val="aff6"/>
          <w:rFonts w:hint="cs"/>
        </w:rPr>
        <w:instrText>Ref58875214 \r \h</w:instrText>
      </w:r>
      <w:r w:rsidRPr="00AD2A4E">
        <w:rPr>
          <w:rStyle w:val="aff6"/>
          <w:rtl/>
        </w:rPr>
        <w:instrText xml:space="preserve"> </w:instrText>
      </w:r>
      <w:r w:rsidRPr="00AD2A4E">
        <w:rPr>
          <w:rStyle w:val="aff6"/>
          <w:rtl/>
        </w:rPr>
      </w:r>
      <w:r w:rsidRPr="00AD2A4E">
        <w:rPr>
          <w:rStyle w:val="aff6"/>
          <w:rtl/>
        </w:rPr>
        <w:fldChar w:fldCharType="separate"/>
      </w:r>
      <w:r w:rsidR="00265073">
        <w:rPr>
          <w:rStyle w:val="aff6"/>
          <w:cs/>
        </w:rPr>
        <w:t>‎</w:t>
      </w:r>
      <w:r w:rsidR="00265073">
        <w:rPr>
          <w:rStyle w:val="aff6"/>
          <w:rtl/>
        </w:rPr>
        <w:t>כח)</w:t>
      </w:r>
      <w:r w:rsidRPr="00AD2A4E">
        <w:rPr>
          <w:rStyle w:val="aff6"/>
          <w:rtl/>
        </w:rPr>
        <w:fldChar w:fldCharType="end"/>
      </w:r>
      <w:r w:rsidRPr="00AD2A4E">
        <w:rPr>
          <w:rStyle w:val="afb"/>
          <w:rFonts w:hint="cs"/>
          <w:rtl/>
        </w:rPr>
        <w:t xml:space="preserve"> דהמחזיק הודה שיודע מעצמו שהקרקע הייתה של המערער, ולא רק שמע כן מפי המוכר],</w:t>
      </w:r>
      <w:r>
        <w:rPr>
          <w:rFonts w:hint="cs"/>
          <w:rtl/>
        </w:rPr>
        <w:t xml:space="preserve"> וכתב </w:t>
      </w:r>
      <w:r w:rsidRPr="002A34B3">
        <w:rPr>
          <w:rStyle w:val="af9"/>
          <w:rFonts w:hint="cs"/>
          <w:rtl/>
        </w:rPr>
        <w:t>הש"ך</w:t>
      </w:r>
      <w:r>
        <w:rPr>
          <w:rFonts w:hint="cs"/>
          <w:rtl/>
        </w:rPr>
        <w:t xml:space="preserve"> דכן משמע</w:t>
      </w:r>
      <w:r w:rsidRPr="002A34B3">
        <w:rPr>
          <w:rStyle w:val="af9"/>
          <w:rFonts w:hint="cs"/>
          <w:rtl/>
        </w:rPr>
        <w:t xml:space="preserve"> בלבוש</w:t>
      </w:r>
      <w:r>
        <w:rPr>
          <w:rFonts w:hint="cs"/>
          <w:rtl/>
        </w:rPr>
        <w:t xml:space="preserve"> </w:t>
      </w:r>
      <w:r w:rsidRPr="003B3E84">
        <w:rPr>
          <w:rStyle w:val="af7"/>
          <w:rFonts w:eastAsia="Guttman Hodes" w:hint="cs"/>
          <w:rtl/>
        </w:rPr>
        <w:t>(סי' קמ"ו י"ג)</w:t>
      </w:r>
      <w:r>
        <w:rPr>
          <w:rFonts w:hint="cs"/>
          <w:rtl/>
        </w:rPr>
        <w:t xml:space="preserve"> ודזהו הביאור בדברי </w:t>
      </w:r>
      <w:r w:rsidRPr="002A34B3">
        <w:rPr>
          <w:rStyle w:val="af9"/>
          <w:rFonts w:hint="cs"/>
          <w:rtl/>
        </w:rPr>
        <w:t>השו"ע</w:t>
      </w:r>
      <w:r>
        <w:rPr>
          <w:rFonts w:hint="cs"/>
          <w:rtl/>
        </w:rPr>
        <w:t xml:space="preserve"> </w:t>
      </w:r>
      <w:r w:rsidRPr="00E4557B">
        <w:rPr>
          <w:rStyle w:val="af7"/>
          <w:rFonts w:eastAsia="Guttman Hodes" w:hint="cs"/>
          <w:rtl/>
        </w:rPr>
        <w:t>(סי' קמ"ו י"ג)</w:t>
      </w:r>
      <w:r>
        <w:rPr>
          <w:rFonts w:hint="cs"/>
          <w:rtl/>
        </w:rPr>
        <w:t xml:space="preserve"> דכתב המחזיק אמר למערער "יודע אני שהייתה שלך", ודלא </w:t>
      </w:r>
      <w:r w:rsidRPr="002A34B3">
        <w:rPr>
          <w:rStyle w:val="af9"/>
          <w:rFonts w:hint="cs"/>
          <w:rtl/>
        </w:rPr>
        <w:t>כסמ"ע</w:t>
      </w:r>
      <w:r>
        <w:rPr>
          <w:rFonts w:hint="cs"/>
          <w:rtl/>
        </w:rPr>
        <w:t xml:space="preserve"> </w:t>
      </w:r>
      <w:r w:rsidRPr="003B3E84">
        <w:rPr>
          <w:rStyle w:val="af7"/>
          <w:rFonts w:eastAsia="Guttman Hodes" w:hint="cs"/>
          <w:rtl/>
        </w:rPr>
        <w:t>(סי' קמ"ו סקכ"ט)</w:t>
      </w:r>
      <w:r w:rsidRPr="00CF4A24">
        <w:rPr>
          <w:rStyle w:val="afb"/>
          <w:rFonts w:hint="cs"/>
          <w:rtl/>
        </w:rPr>
        <w:t xml:space="preserve"> </w:t>
      </w:r>
      <w:r>
        <w:rPr>
          <w:rFonts w:hint="cs"/>
          <w:rtl/>
        </w:rPr>
        <w:t xml:space="preserve">דביאר </w:t>
      </w:r>
      <w:r w:rsidRPr="00C87DF3">
        <w:rPr>
          <w:rStyle w:val="af9"/>
          <w:rFonts w:hint="cs"/>
          <w:rtl/>
        </w:rPr>
        <w:t>דהשו"ע</w:t>
      </w:r>
      <w:r>
        <w:rPr>
          <w:rFonts w:hint="cs"/>
          <w:rtl/>
        </w:rPr>
        <w:t xml:space="preserve"> פסק </w:t>
      </w:r>
      <w:r w:rsidRPr="002A34B3">
        <w:rPr>
          <w:rStyle w:val="af9"/>
          <w:rFonts w:hint="cs"/>
          <w:rtl/>
        </w:rPr>
        <w:t>כהרא"ש</w:t>
      </w:r>
      <w:r>
        <w:rPr>
          <w:rStyle w:val="af9"/>
          <w:rFonts w:hint="cs"/>
          <w:rtl/>
        </w:rPr>
        <w:t xml:space="preserve"> </w:t>
      </w:r>
      <w:r w:rsidRPr="00B551D4">
        <w:rPr>
          <w:rStyle w:val="af7"/>
          <w:rFonts w:eastAsia="Guttman Hodes" w:hint="cs"/>
          <w:rtl/>
        </w:rPr>
        <w:t xml:space="preserve">(עי' אות </w:t>
      </w:r>
      <w:r w:rsidRPr="00B551D4">
        <w:rPr>
          <w:rStyle w:val="af7"/>
          <w:rFonts w:eastAsia="Guttman Hodes"/>
          <w:rtl/>
        </w:rPr>
        <w:fldChar w:fldCharType="begin"/>
      </w:r>
      <w:r w:rsidRPr="00B551D4">
        <w:rPr>
          <w:rStyle w:val="af7"/>
          <w:rFonts w:eastAsia="Guttman Hodes"/>
          <w:rtl/>
        </w:rPr>
        <w:instrText xml:space="preserve"> </w:instrText>
      </w:r>
      <w:r w:rsidRPr="00B551D4">
        <w:rPr>
          <w:rStyle w:val="af7"/>
          <w:rFonts w:eastAsia="Guttman Hodes" w:hint="cs"/>
        </w:rPr>
        <w:instrText>REF</w:instrText>
      </w:r>
      <w:r w:rsidRPr="00B551D4">
        <w:rPr>
          <w:rStyle w:val="af7"/>
          <w:rFonts w:eastAsia="Guttman Hodes" w:hint="cs"/>
          <w:rtl/>
        </w:rPr>
        <w:instrText xml:space="preserve"> _</w:instrText>
      </w:r>
      <w:r w:rsidRPr="00B551D4">
        <w:rPr>
          <w:rStyle w:val="af7"/>
          <w:rFonts w:eastAsia="Guttman Hodes" w:hint="cs"/>
        </w:rPr>
        <w:instrText>Ref58750729 \r \h</w:instrText>
      </w:r>
      <w:r w:rsidRPr="00B551D4">
        <w:rPr>
          <w:rStyle w:val="af7"/>
          <w:rFonts w:eastAsia="Guttman Hodes"/>
          <w:rtl/>
        </w:rPr>
        <w:instrText xml:space="preserve"> </w:instrText>
      </w:r>
      <w:r w:rsidRPr="00B551D4">
        <w:rPr>
          <w:rStyle w:val="af7"/>
          <w:rFonts w:eastAsia="Guttman Hodes"/>
          <w:rtl/>
        </w:rPr>
      </w:r>
      <w:r w:rsidRPr="00B551D4">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B551D4">
        <w:rPr>
          <w:rStyle w:val="af7"/>
          <w:rFonts w:eastAsia="Guttman Hodes"/>
          <w:rtl/>
        </w:rPr>
        <w:fldChar w:fldCharType="end"/>
      </w:r>
      <w:r>
        <w:rPr>
          <w:rStyle w:val="af9"/>
          <w:rFonts w:hint="cs"/>
          <w:rtl/>
        </w:rPr>
        <w:t xml:space="preserve"> </w:t>
      </w:r>
      <w:r w:rsidRPr="00B551D4">
        <w:rPr>
          <w:rFonts w:hint="cs"/>
          <w:rtl/>
        </w:rPr>
        <w:t>דרק שמע המחזיק מפי המוכר,</w:t>
      </w:r>
      <w:r>
        <w:rPr>
          <w:rFonts w:hint="cs"/>
          <w:rtl/>
        </w:rPr>
        <w:t xml:space="preserve"> </w:t>
      </w:r>
      <w:bookmarkEnd w:id="7849"/>
    </w:p>
    <w:p w:rsidR="0007171D" w:rsidRPr="006A7D53" w:rsidRDefault="0007171D" w:rsidP="0007171D">
      <w:pPr>
        <w:pStyle w:val="1"/>
        <w:rPr>
          <w:rtl/>
        </w:rPr>
      </w:pPr>
      <w:bookmarkStart w:id="7850" w:name="_Toc58842999"/>
      <w:bookmarkStart w:id="7851" w:name="_Toc58876196"/>
      <w:bookmarkStart w:id="7852" w:name="_Toc58877604"/>
      <w:bookmarkStart w:id="7853" w:name="_Toc58914663"/>
      <w:bookmarkStart w:id="7854" w:name="_Toc58925957"/>
      <w:bookmarkStart w:id="7855" w:name="_Toc58930031"/>
      <w:bookmarkStart w:id="7856" w:name="_Toc58938182"/>
      <w:bookmarkStart w:id="7857" w:name="_Toc59006971"/>
      <w:bookmarkStart w:id="7858" w:name="_Toc59013448"/>
      <w:bookmarkStart w:id="7859" w:name="_Toc59013696"/>
      <w:bookmarkStart w:id="7860" w:name="_Toc59025762"/>
      <w:bookmarkStart w:id="7861" w:name="_Toc58091635"/>
      <w:bookmarkStart w:id="7862" w:name="_Toc58144888"/>
      <w:bookmarkStart w:id="7863" w:name="_Toc58272575"/>
      <w:bookmarkStart w:id="7864" w:name="_Toc58324992"/>
      <w:bookmarkStart w:id="7865" w:name="_Toc58359137"/>
      <w:bookmarkStart w:id="7866" w:name="_Toc58409396"/>
      <w:bookmarkStart w:id="7867" w:name="_Toc58432790"/>
      <w:bookmarkStart w:id="7868" w:name="_Toc58579992"/>
      <w:bookmarkStart w:id="7869" w:name="_Toc58091658"/>
      <w:bookmarkStart w:id="7870" w:name="_Toc58144898"/>
      <w:bookmarkStart w:id="7871" w:name="_Toc58272583"/>
      <w:bookmarkStart w:id="7872" w:name="_Toc58325001"/>
      <w:bookmarkStart w:id="7873" w:name="_Toc58359146"/>
      <w:bookmarkStart w:id="7874" w:name="_Toc58409406"/>
      <w:bookmarkStart w:id="7875" w:name="_Toc58432800"/>
      <w:bookmarkStart w:id="7876" w:name="_Toc58580002"/>
      <w:bookmarkStart w:id="7877" w:name="_Toc58842996"/>
      <w:bookmarkEnd w:id="7792"/>
      <w:r>
        <w:rPr>
          <w:rFonts w:hint="cs"/>
          <w:rtl/>
        </w:rPr>
        <w:t>בביאור הגירסא בגמ'</w:t>
      </w:r>
      <w:bookmarkEnd w:id="7850"/>
      <w:r>
        <w:rPr>
          <w:rFonts w:hint="cs"/>
          <w:rtl/>
        </w:rPr>
        <w:t xml:space="preserve"> אי גרסינן דאמר לי דזבנה מינך</w:t>
      </w:r>
      <w:bookmarkEnd w:id="7851"/>
      <w:bookmarkEnd w:id="7852"/>
      <w:bookmarkEnd w:id="7853"/>
      <w:bookmarkEnd w:id="7854"/>
      <w:bookmarkEnd w:id="7855"/>
      <w:bookmarkEnd w:id="7856"/>
      <w:bookmarkEnd w:id="7857"/>
      <w:bookmarkEnd w:id="7858"/>
      <w:bookmarkEnd w:id="7859"/>
      <w:bookmarkEnd w:id="7860"/>
    </w:p>
    <w:p w:rsidR="0007171D" w:rsidRPr="00984730" w:rsidRDefault="0007171D" w:rsidP="0007171D">
      <w:pPr>
        <w:pStyle w:val="a3"/>
        <w:rPr>
          <w:rtl/>
        </w:rPr>
      </w:pPr>
      <w:r>
        <w:rPr>
          <w:rFonts w:hint="cs"/>
          <w:rtl/>
        </w:rPr>
        <w:t>בביאור הגריסא בגמ' לדעות הראשונים אי גרסינן דזבנה מינך או "דאמר לי" דזבנה מינך</w:t>
      </w:r>
    </w:p>
    <w:p w:rsidR="0007171D" w:rsidRPr="00B25A15" w:rsidRDefault="0007171D" w:rsidP="007E4E81">
      <w:pPr>
        <w:pStyle w:val="a0"/>
        <w:rPr>
          <w:rStyle w:val="afb"/>
          <w:sz w:val="18"/>
          <w:szCs w:val="18"/>
        </w:rPr>
      </w:pPr>
      <w:bookmarkStart w:id="7878" w:name="_Ref58875250"/>
      <w:bookmarkStart w:id="7879" w:name="_Toc57925955"/>
      <w:bookmarkStart w:id="7880" w:name="_Toc58091646"/>
      <w:bookmarkStart w:id="7881" w:name="_Toc58144894"/>
      <w:r w:rsidRPr="00B25A15">
        <w:rPr>
          <w:rFonts w:hint="cs"/>
          <w:rtl/>
        </w:rPr>
        <w:t xml:space="preserve">ועי' </w:t>
      </w:r>
      <w:r w:rsidRPr="00B25A15">
        <w:rPr>
          <w:rStyle w:val="af9"/>
          <w:rFonts w:hint="cs"/>
          <w:rtl/>
        </w:rPr>
        <w:t>בהג' הב"ח</w:t>
      </w:r>
      <w:r w:rsidRPr="00B25A15">
        <w:rPr>
          <w:rFonts w:hint="cs"/>
          <w:rtl/>
        </w:rPr>
        <w:t xml:space="preserve"> </w:t>
      </w:r>
      <w:r w:rsidRPr="00B25A15">
        <w:rPr>
          <w:rStyle w:val="af7"/>
          <w:rFonts w:eastAsia="Guttman Hodes" w:hint="cs"/>
          <w:rtl/>
        </w:rPr>
        <w:t>(או' ד')</w:t>
      </w:r>
      <w:r w:rsidRPr="00B25A15">
        <w:rPr>
          <w:rFonts w:hint="cs"/>
          <w:rtl/>
        </w:rPr>
        <w:t xml:space="preserve"> דגרס </w:t>
      </w:r>
      <w:r w:rsidRPr="00B25A15">
        <w:rPr>
          <w:rtl/>
        </w:rPr>
        <w:t>אמר ליה מפלניא זבינת</w:t>
      </w:r>
      <w:r w:rsidRPr="00B25A15">
        <w:rPr>
          <w:rFonts w:hint="cs"/>
          <w:rtl/>
        </w:rPr>
        <w:t>ה</w:t>
      </w:r>
      <w:r w:rsidRPr="00B25A15">
        <w:rPr>
          <w:rtl/>
        </w:rPr>
        <w:t xml:space="preserve"> דזבנה מינך</w:t>
      </w:r>
      <w:r w:rsidRPr="00B25A15">
        <w:rPr>
          <w:rFonts w:hint="cs"/>
          <w:rtl/>
        </w:rPr>
        <w:t xml:space="preserve">, אבל </w:t>
      </w:r>
      <w:r w:rsidRPr="00B25A15">
        <w:rPr>
          <w:rStyle w:val="af9"/>
          <w:rFonts w:hint="cs"/>
          <w:rtl/>
        </w:rPr>
        <w:t xml:space="preserve">הרמב"ן </w:t>
      </w:r>
      <w:r w:rsidRPr="00B25A15">
        <w:rPr>
          <w:rStyle w:val="af7"/>
          <w:rFonts w:eastAsia="Guttman Hodes" w:hint="cs"/>
          <w:rtl/>
        </w:rPr>
        <w:t xml:space="preserve">(ד"ה הכי גרסינן) </w:t>
      </w:r>
      <w:r w:rsidRPr="00B25A15">
        <w:rPr>
          <w:rFonts w:hint="cs"/>
          <w:rtl/>
        </w:rPr>
        <w:t xml:space="preserve">כתב דגירסת </w:t>
      </w:r>
      <w:r w:rsidRPr="00B25A15">
        <w:rPr>
          <w:rStyle w:val="af9"/>
          <w:rFonts w:hint="cs"/>
          <w:rtl/>
        </w:rPr>
        <w:t xml:space="preserve">הרי"ף </w:t>
      </w:r>
      <w:r w:rsidRPr="00B25A15">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Ref58324662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Pr>
          <w:rStyle w:val="af7"/>
          <w:rFonts w:eastAsia="Guttman Hodes"/>
          <w:rtl/>
        </w:rPr>
        <w:fldChar w:fldCharType="end"/>
      </w:r>
      <w:r>
        <w:rPr>
          <w:rStyle w:val="af7"/>
          <w:rFonts w:eastAsia="Guttman Hodes" w:hint="cs"/>
          <w:rtl/>
        </w:rPr>
        <w:t xml:space="preserve"> </w:t>
      </w:r>
      <w:r w:rsidRPr="00B25A15">
        <w:rPr>
          <w:rFonts w:hint="cs"/>
          <w:rtl/>
        </w:rPr>
        <w:t>היא כגי' דלפנינו, ד</w:t>
      </w:r>
      <w:r w:rsidRPr="00B25A15">
        <w:rPr>
          <w:rtl/>
        </w:rPr>
        <w:t>אמר ליה מפלניא זבינת</w:t>
      </w:r>
      <w:r w:rsidRPr="00B25A15">
        <w:rPr>
          <w:rFonts w:hint="cs"/>
          <w:rtl/>
        </w:rPr>
        <w:t>ה</w:t>
      </w:r>
      <w:r w:rsidRPr="00B25A15">
        <w:rPr>
          <w:rtl/>
        </w:rPr>
        <w:t xml:space="preserve"> </w:t>
      </w:r>
      <w:r w:rsidRPr="00B25A15">
        <w:rPr>
          <w:rFonts w:hint="cs"/>
          <w:rtl/>
        </w:rPr>
        <w:t>"</w:t>
      </w:r>
      <w:r w:rsidRPr="00B25A15">
        <w:rPr>
          <w:rtl/>
        </w:rPr>
        <w:t>דאמר לי</w:t>
      </w:r>
      <w:r w:rsidRPr="00B25A15">
        <w:rPr>
          <w:rFonts w:hint="cs"/>
          <w:rtl/>
        </w:rPr>
        <w:t>"</w:t>
      </w:r>
      <w:r w:rsidRPr="00B25A15">
        <w:rPr>
          <w:rtl/>
        </w:rPr>
        <w:t xml:space="preserve"> דזבנה מינך</w:t>
      </w:r>
      <w:r>
        <w:rPr>
          <w:rFonts w:hint="cs"/>
          <w:rtl/>
        </w:rPr>
        <w:t xml:space="preserve">, </w:t>
      </w:r>
      <w:r w:rsidRPr="00652EDF">
        <w:rPr>
          <w:rStyle w:val="af9"/>
          <w:rFonts w:hint="cs"/>
          <w:rtl/>
        </w:rPr>
        <w:t>והגרעק"א לקמן</w:t>
      </w:r>
      <w:r>
        <w:rPr>
          <w:rFonts w:hint="cs"/>
          <w:rtl/>
        </w:rPr>
        <w:t xml:space="preserve"> </w:t>
      </w:r>
      <w:r w:rsidRPr="00652EDF">
        <w:rPr>
          <w:rStyle w:val="af7"/>
          <w:rFonts w:eastAsia="Guttman Hodes" w:hint="cs"/>
          <w:rtl/>
        </w:rPr>
        <w:t>(מא. ד"ה ובזה, תוס' למשניות או' כ"ב)</w:t>
      </w:r>
      <w:r>
        <w:rPr>
          <w:rFonts w:hint="cs"/>
          <w:rtl/>
        </w:rPr>
        <w:t xml:space="preserve"> כתב </w:t>
      </w:r>
      <w:r w:rsidRPr="00652EDF">
        <w:rPr>
          <w:rStyle w:val="af9"/>
          <w:rFonts w:hint="cs"/>
          <w:rtl/>
        </w:rPr>
        <w:t>דהרא"ש</w:t>
      </w:r>
      <w:r>
        <w:rPr>
          <w:rFonts w:hint="cs"/>
          <w:rtl/>
        </w:rPr>
        <w:t xml:space="preserve"> </w:t>
      </w:r>
      <w:r w:rsidRPr="00652EDF">
        <w:rPr>
          <w:rStyle w:val="af7"/>
          <w:rFonts w:eastAsia="Guttman Hodes" w:hint="cs"/>
          <w:rtl/>
        </w:rPr>
        <w:t xml:space="preserve">(עי' אות </w:t>
      </w:r>
      <w:r w:rsidRPr="00652EDF">
        <w:rPr>
          <w:rStyle w:val="af7"/>
          <w:rFonts w:eastAsia="Guttman Hodes"/>
          <w:rtl/>
        </w:rPr>
        <w:fldChar w:fldCharType="begin"/>
      </w:r>
      <w:r w:rsidRPr="00652EDF">
        <w:rPr>
          <w:rStyle w:val="af7"/>
          <w:rFonts w:eastAsia="Guttman Hodes"/>
          <w:rtl/>
        </w:rPr>
        <w:instrText xml:space="preserve"> </w:instrText>
      </w:r>
      <w:r w:rsidRPr="00652EDF">
        <w:rPr>
          <w:rStyle w:val="af7"/>
          <w:rFonts w:eastAsia="Guttman Hodes" w:hint="cs"/>
        </w:rPr>
        <w:instrText>REF</w:instrText>
      </w:r>
      <w:r w:rsidRPr="00652EDF">
        <w:rPr>
          <w:rStyle w:val="af7"/>
          <w:rFonts w:eastAsia="Guttman Hodes" w:hint="cs"/>
          <w:rtl/>
        </w:rPr>
        <w:instrText xml:space="preserve"> _</w:instrText>
      </w:r>
      <w:r w:rsidRPr="00652EDF">
        <w:rPr>
          <w:rStyle w:val="af7"/>
          <w:rFonts w:eastAsia="Guttman Hodes" w:hint="cs"/>
        </w:rPr>
        <w:instrText>Ref58750522 \r \h</w:instrText>
      </w:r>
      <w:r w:rsidRPr="00652EDF">
        <w:rPr>
          <w:rStyle w:val="af7"/>
          <w:rFonts w:eastAsia="Guttman Hodes"/>
          <w:rtl/>
        </w:rPr>
        <w:instrText xml:space="preserve"> </w:instrText>
      </w:r>
      <w:r w:rsidRPr="00652EDF">
        <w:rPr>
          <w:rStyle w:val="af7"/>
          <w:rFonts w:eastAsia="Guttman Hodes"/>
          <w:rtl/>
        </w:rPr>
      </w:r>
      <w:r w:rsidRPr="00652EDF">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652EDF">
        <w:rPr>
          <w:rStyle w:val="af7"/>
          <w:rFonts w:eastAsia="Guttman Hodes"/>
          <w:rtl/>
        </w:rPr>
        <w:fldChar w:fldCharType="end"/>
      </w:r>
      <w:r>
        <w:rPr>
          <w:rFonts w:hint="cs"/>
          <w:rtl/>
        </w:rPr>
        <w:t xml:space="preserve"> דהמחזיק לא הודה בפירוש, גרס בגמ' </w:t>
      </w:r>
      <w:r w:rsidRPr="00B25A15">
        <w:rPr>
          <w:rFonts w:hint="cs"/>
          <w:rtl/>
        </w:rPr>
        <w:t>ד</w:t>
      </w:r>
      <w:r w:rsidRPr="00B25A15">
        <w:rPr>
          <w:rtl/>
        </w:rPr>
        <w:t>אמר ליה מפלניא זבינת</w:t>
      </w:r>
      <w:r w:rsidRPr="00B25A15">
        <w:rPr>
          <w:rFonts w:hint="cs"/>
          <w:rtl/>
        </w:rPr>
        <w:t>ה</w:t>
      </w:r>
      <w:r w:rsidRPr="00B25A15">
        <w:rPr>
          <w:rtl/>
        </w:rPr>
        <w:t xml:space="preserve"> </w:t>
      </w:r>
      <w:r w:rsidRPr="00B25A15">
        <w:rPr>
          <w:rFonts w:hint="cs"/>
          <w:rtl/>
        </w:rPr>
        <w:t>"</w:t>
      </w:r>
      <w:r w:rsidRPr="00B25A15">
        <w:rPr>
          <w:rtl/>
        </w:rPr>
        <w:t>דאמר לי</w:t>
      </w:r>
      <w:r w:rsidRPr="00B25A15">
        <w:rPr>
          <w:rFonts w:hint="cs"/>
          <w:rtl/>
        </w:rPr>
        <w:t>"</w:t>
      </w:r>
      <w:r w:rsidRPr="00B25A15">
        <w:rPr>
          <w:rtl/>
        </w:rPr>
        <w:t xml:space="preserve"> דזבנה מינך</w:t>
      </w:r>
      <w:r>
        <w:rPr>
          <w:rFonts w:hint="cs"/>
          <w:rtl/>
        </w:rPr>
        <w:t xml:space="preserve">, אך כתב </w:t>
      </w:r>
      <w:r w:rsidRPr="00B30CE1">
        <w:rPr>
          <w:rStyle w:val="af9"/>
          <w:rFonts w:hint="cs"/>
          <w:rtl/>
        </w:rPr>
        <w:t xml:space="preserve">הגרעק"א </w:t>
      </w:r>
      <w:r>
        <w:rPr>
          <w:rFonts w:hint="cs"/>
          <w:rtl/>
        </w:rPr>
        <w:t xml:space="preserve">דלדעת </w:t>
      </w:r>
      <w:r w:rsidRPr="00B30CE1">
        <w:rPr>
          <w:rStyle w:val="af9"/>
          <w:rFonts w:hint="cs"/>
          <w:rtl/>
        </w:rPr>
        <w:t>התוס'</w:t>
      </w:r>
      <w:r>
        <w:rPr>
          <w:rFonts w:hint="cs"/>
          <w:rtl/>
        </w:rPr>
        <w:t xml:space="preserve"> </w:t>
      </w:r>
      <w:r w:rsidRPr="00B30CE1">
        <w:rPr>
          <w:rStyle w:val="af7"/>
          <w:rFonts w:eastAsia="Guttman Hodes" w:hint="cs"/>
          <w:rtl/>
        </w:rPr>
        <w:t xml:space="preserve">(ד"ה לאו קמודית) </w:t>
      </w:r>
      <w:r>
        <w:rPr>
          <w:rFonts w:hint="cs"/>
          <w:rtl/>
        </w:rPr>
        <w:t xml:space="preserve">דס"ל דאם אמר בפירוש בתחילת דבריו שהמוכר א"ל שקנה מהמוכר, אינו נאמן במיגו דהוא מיגו למפרע, א"כ מבואר דס"ל דגרסינן </w:t>
      </w:r>
      <w:r w:rsidRPr="00B25A15">
        <w:rPr>
          <w:rtl/>
        </w:rPr>
        <w:t>מפלניא זבינת</w:t>
      </w:r>
      <w:r w:rsidRPr="00B25A15">
        <w:rPr>
          <w:rFonts w:hint="cs"/>
          <w:rtl/>
        </w:rPr>
        <w:t>ה</w:t>
      </w:r>
      <w:r w:rsidRPr="00B25A15">
        <w:rPr>
          <w:rtl/>
        </w:rPr>
        <w:t xml:space="preserve"> דזבנה מינך</w:t>
      </w:r>
      <w:r>
        <w:rPr>
          <w:rStyle w:val="af1"/>
          <w:rtl/>
        </w:rPr>
        <w:footnoteReference w:id="53"/>
      </w:r>
      <w:r w:rsidRPr="00B25A15">
        <w:rPr>
          <w:rFonts w:hint="cs"/>
          <w:rtl/>
        </w:rPr>
        <w:t>.</w:t>
      </w:r>
      <w:bookmarkEnd w:id="7878"/>
      <w:r w:rsidRPr="00B25A15">
        <w:rPr>
          <w:rFonts w:hint="cs"/>
          <w:rtl/>
        </w:rPr>
        <w:t xml:space="preserve"> </w:t>
      </w:r>
      <w:bookmarkStart w:id="7882" w:name="_Toc58409405"/>
      <w:bookmarkEnd w:id="7879"/>
      <w:bookmarkEnd w:id="7880"/>
      <w:bookmarkEnd w:id="7881"/>
    </w:p>
    <w:p w:rsidR="0007171D" w:rsidRPr="00B9253F" w:rsidRDefault="0007171D" w:rsidP="0007171D">
      <w:pPr>
        <w:pStyle w:val="1"/>
        <w:rPr>
          <w:rtl/>
        </w:rPr>
      </w:pPr>
      <w:bookmarkStart w:id="7883" w:name="_Toc58324994"/>
      <w:bookmarkStart w:id="7884" w:name="_Toc58359139"/>
      <w:bookmarkStart w:id="7885" w:name="_Toc58409398"/>
      <w:bookmarkStart w:id="7886" w:name="_Toc58432792"/>
      <w:bookmarkStart w:id="7887" w:name="_Toc58579994"/>
      <w:bookmarkStart w:id="7888" w:name="_Toc58843002"/>
      <w:bookmarkStart w:id="7889" w:name="_Toc58876199"/>
      <w:bookmarkStart w:id="7890" w:name="_Toc58877607"/>
      <w:bookmarkStart w:id="7891" w:name="_Toc58914666"/>
      <w:bookmarkStart w:id="7892" w:name="_Toc58925960"/>
      <w:bookmarkStart w:id="7893" w:name="_Toc58930034"/>
      <w:bookmarkStart w:id="7894" w:name="_Toc58938185"/>
      <w:bookmarkStart w:id="7895" w:name="_Toc59006974"/>
      <w:bookmarkStart w:id="7896" w:name="_Toc59013451"/>
      <w:bookmarkStart w:id="7897" w:name="_Toc59013699"/>
      <w:bookmarkStart w:id="7898" w:name="_Toc59025765"/>
      <w:bookmarkStart w:id="7899" w:name="_Toc57925948"/>
      <w:bookmarkStart w:id="7900" w:name="_Toc58091639"/>
      <w:bookmarkStart w:id="7901" w:name="_Toc58144890"/>
      <w:bookmarkStart w:id="7902" w:name="_Toc58272577"/>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82"/>
      <w:r>
        <w:rPr>
          <w:rFonts w:hint="cs"/>
          <w:rtl/>
        </w:rPr>
        <w:t>דברי רבינו יונה דבברי נאמן בפשא"ס אך ספק אין מוציא מודאי</w:t>
      </w:r>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p>
    <w:p w:rsidR="0007171D" w:rsidRDefault="0007171D" w:rsidP="0007171D">
      <w:pPr>
        <w:pStyle w:val="a3"/>
        <w:rPr>
          <w:rtl/>
        </w:rPr>
      </w:pPr>
      <w:bookmarkStart w:id="7903" w:name="_Toc58876200"/>
      <w:bookmarkStart w:id="7904" w:name="_Toc58877608"/>
      <w:bookmarkStart w:id="7905" w:name="_Toc58914667"/>
      <w:bookmarkStart w:id="7906" w:name="_Toc58925961"/>
      <w:bookmarkStart w:id="7907" w:name="_Toc58930035"/>
      <w:bookmarkStart w:id="7908" w:name="_Toc58938186"/>
      <w:bookmarkStart w:id="7909" w:name="_Toc59006975"/>
      <w:bookmarkStart w:id="7910" w:name="_Toc59013452"/>
      <w:bookmarkStart w:id="7911" w:name="_Toc59013700"/>
      <w:bookmarkStart w:id="7912" w:name="_Toc59025766"/>
      <w:r>
        <w:rPr>
          <w:rFonts w:hint="cs"/>
          <w:rtl/>
        </w:rPr>
        <w:t>דברי רבינו יודע דאף שאין עדים למערער אחר שהודה אין הספק שקנה המוכר מוציא מהודאי</w:t>
      </w:r>
      <w:bookmarkEnd w:id="7903"/>
      <w:bookmarkEnd w:id="7904"/>
      <w:bookmarkEnd w:id="7905"/>
      <w:bookmarkEnd w:id="7906"/>
      <w:bookmarkEnd w:id="7907"/>
      <w:bookmarkEnd w:id="7908"/>
      <w:bookmarkEnd w:id="7909"/>
      <w:bookmarkEnd w:id="7910"/>
      <w:bookmarkEnd w:id="7911"/>
      <w:bookmarkEnd w:id="7912"/>
    </w:p>
    <w:p w:rsidR="0007171D" w:rsidRPr="002D3EAE" w:rsidRDefault="0007171D" w:rsidP="007E4E81">
      <w:pPr>
        <w:pStyle w:val="a0"/>
        <w:rPr>
          <w:rtl/>
        </w:rPr>
      </w:pPr>
      <w:r>
        <w:rPr>
          <w:rFonts w:hint="cs"/>
          <w:rtl/>
        </w:rPr>
        <w:t xml:space="preserve">כתב </w:t>
      </w:r>
      <w:r w:rsidRPr="00CE2165">
        <w:rPr>
          <w:rStyle w:val="af9"/>
          <w:rFonts w:hint="cs"/>
          <w:rtl/>
        </w:rPr>
        <w:t>רבינו יונה</w:t>
      </w:r>
      <w:r>
        <w:rPr>
          <w:rFonts w:hint="cs"/>
          <w:rtl/>
        </w:rPr>
        <w:t xml:space="preserve"> </w:t>
      </w:r>
      <w:r w:rsidRPr="00423055">
        <w:rPr>
          <w:rStyle w:val="af7"/>
          <w:rFonts w:eastAsia="Guttman Hodes" w:hint="cs"/>
          <w:rtl/>
        </w:rPr>
        <w:t>(ד"ה ההוא)</w:t>
      </w:r>
      <w:r>
        <w:rPr>
          <w:rFonts w:hint="cs"/>
          <w:rtl/>
        </w:rPr>
        <w:t xml:space="preserve"> דלא היו למערער עדים שהקרקע הייתה של אבותיו, והמחזיק מודה שהייתה של המערער, וכיון שכל מה שהמחזיק יודע שהמוכר קנה מהמערער הוא ממה שאמר לו המוכר, אמרינן ליה דכיון שאתה עצמך יודע שהקרקע הייתה של המערער, ואינך יודע אם המוכר קנה ממנו, א"כ אין ספק מוציא מידי ודאי, ותחזיר את הקרקע </w:t>
      </w:r>
      <w:r w:rsidRPr="002D3EAE">
        <w:rPr>
          <w:rFonts w:hint="cs"/>
          <w:rtl/>
        </w:rPr>
        <w:t>למערער.</w:t>
      </w:r>
    </w:p>
    <w:p w:rsidR="0007171D" w:rsidRPr="002D3EAE" w:rsidRDefault="0007171D" w:rsidP="0007171D">
      <w:pPr>
        <w:pStyle w:val="a3"/>
        <w:rPr>
          <w:rtl/>
        </w:rPr>
      </w:pPr>
      <w:bookmarkStart w:id="7913" w:name="_Toc58876201"/>
      <w:bookmarkStart w:id="7914" w:name="_Toc58877609"/>
      <w:bookmarkStart w:id="7915" w:name="_Toc58914668"/>
      <w:bookmarkStart w:id="7916" w:name="_Toc58925962"/>
      <w:bookmarkStart w:id="7917" w:name="_Toc58930036"/>
      <w:bookmarkStart w:id="7918" w:name="_Toc58938187"/>
      <w:bookmarkStart w:id="7919" w:name="_Toc59006976"/>
      <w:bookmarkStart w:id="7920" w:name="_Toc59013453"/>
      <w:bookmarkStart w:id="7921" w:name="_Toc59013701"/>
      <w:bookmarkStart w:id="7922" w:name="_Toc59025767"/>
      <w:r w:rsidRPr="002D3EAE">
        <w:rPr>
          <w:rFonts w:hint="cs"/>
          <w:rtl/>
        </w:rPr>
        <w:t>ביאור רבינו יונה דאחר ההודאה חשיב שיש עידי מר"ק דאינו נאמן בלא עדים או חזקה</w:t>
      </w:r>
      <w:bookmarkEnd w:id="7913"/>
      <w:bookmarkEnd w:id="7914"/>
      <w:bookmarkEnd w:id="7915"/>
      <w:bookmarkEnd w:id="7916"/>
      <w:bookmarkEnd w:id="7917"/>
      <w:bookmarkEnd w:id="7918"/>
      <w:bookmarkEnd w:id="7919"/>
      <w:bookmarkEnd w:id="7920"/>
      <w:bookmarkEnd w:id="7921"/>
      <w:bookmarkEnd w:id="7922"/>
    </w:p>
    <w:p w:rsidR="0007171D" w:rsidRDefault="0007171D" w:rsidP="007E4E81">
      <w:pPr>
        <w:pStyle w:val="a0"/>
        <w:rPr>
          <w:rtl/>
        </w:rPr>
      </w:pPr>
      <w:bookmarkStart w:id="7923" w:name="_Ref58875973"/>
      <w:bookmarkStart w:id="7924" w:name="_Ref58406456"/>
      <w:r w:rsidRPr="002D3EAE">
        <w:rPr>
          <w:rFonts w:hint="cs"/>
          <w:rtl/>
        </w:rPr>
        <w:t xml:space="preserve">וביאר </w:t>
      </w:r>
      <w:r w:rsidRPr="002D3EAE">
        <w:rPr>
          <w:rStyle w:val="af9"/>
          <w:rFonts w:hint="cs"/>
          <w:rtl/>
        </w:rPr>
        <w:t>רבינו יונה</w:t>
      </w:r>
      <w:r w:rsidRPr="002D3EAE">
        <w:rPr>
          <w:rFonts w:hint="cs"/>
          <w:rtl/>
        </w:rPr>
        <w:t xml:space="preserve"> דהרי אם היו למערער עדים שהייתה שלו, ודאי שלא היו ב"ד מאמינים למחזיק שקנה ממנו, כשאין לו עדים </w:t>
      </w:r>
      <w:r>
        <w:rPr>
          <w:rFonts w:hint="cs"/>
          <w:rtl/>
        </w:rPr>
        <w:t xml:space="preserve">או שטר </w:t>
      </w:r>
      <w:r w:rsidRPr="002D3EAE">
        <w:rPr>
          <w:rFonts w:hint="cs"/>
          <w:rtl/>
        </w:rPr>
        <w:t>על המכירה</w:t>
      </w:r>
      <w:r>
        <w:rPr>
          <w:rFonts w:hint="cs"/>
          <w:rtl/>
        </w:rPr>
        <w:t>,</w:t>
      </w:r>
      <w:r w:rsidRPr="002D3EAE">
        <w:rPr>
          <w:rFonts w:hint="cs"/>
          <w:rtl/>
        </w:rPr>
        <w:t xml:space="preserve"> או עידי חזקה, ולכן אף עכשיו שהוא מודה דהייתה של המערער, א"כ הודאת בע"ד כמאה עדים, ולכן א"א להאמין לו שהמוכר קנה מהמערער, אם אין למוכר עדים על המכירה או עידי חזקה, וכתב </w:t>
      </w:r>
      <w:r w:rsidRPr="002D3EAE">
        <w:rPr>
          <w:rStyle w:val="af9"/>
          <w:rFonts w:hint="cs"/>
          <w:rtl/>
        </w:rPr>
        <w:t>רבינו יונה</w:t>
      </w:r>
      <w:r w:rsidRPr="002D3EAE">
        <w:rPr>
          <w:rFonts w:hint="cs"/>
          <w:rtl/>
        </w:rPr>
        <w:t xml:space="preserve"> דכן ביאר </w:t>
      </w:r>
      <w:r w:rsidRPr="002D3EAE">
        <w:rPr>
          <w:rStyle w:val="af9"/>
          <w:rFonts w:hint="cs"/>
          <w:rtl/>
        </w:rPr>
        <w:t>הרי"ף</w:t>
      </w:r>
      <w:r w:rsidRPr="002D3EAE">
        <w:rPr>
          <w:rFonts w:hint="cs"/>
          <w:rtl/>
        </w:rPr>
        <w:t xml:space="preserve"> </w:t>
      </w:r>
      <w:r w:rsidRPr="002D3EAE">
        <w:rPr>
          <w:rStyle w:val="af7"/>
          <w:rFonts w:eastAsia="Guttman Hodes" w:hint="cs"/>
          <w:rtl/>
        </w:rPr>
        <w:t xml:space="preserve">(עי' אות </w:t>
      </w:r>
      <w:r w:rsidRPr="002D3EAE">
        <w:rPr>
          <w:rStyle w:val="af7"/>
          <w:rFonts w:eastAsia="Guttman Hodes"/>
          <w:rtl/>
        </w:rPr>
        <w:fldChar w:fldCharType="begin"/>
      </w:r>
      <w:r w:rsidRPr="002D3EAE">
        <w:rPr>
          <w:rStyle w:val="af7"/>
          <w:rFonts w:eastAsia="Guttman Hodes"/>
          <w:rtl/>
        </w:rPr>
        <w:instrText xml:space="preserve"> </w:instrText>
      </w:r>
      <w:r w:rsidRPr="002D3EAE">
        <w:rPr>
          <w:rStyle w:val="af7"/>
          <w:rFonts w:eastAsia="Guttman Hodes" w:hint="cs"/>
        </w:rPr>
        <w:instrText>REF</w:instrText>
      </w:r>
      <w:r w:rsidRPr="002D3EAE">
        <w:rPr>
          <w:rStyle w:val="af7"/>
          <w:rFonts w:eastAsia="Guttman Hodes" w:hint="cs"/>
          <w:rtl/>
        </w:rPr>
        <w:instrText xml:space="preserve"> _</w:instrText>
      </w:r>
      <w:r w:rsidRPr="002D3EAE">
        <w:rPr>
          <w:rStyle w:val="af7"/>
          <w:rFonts w:eastAsia="Guttman Hodes" w:hint="cs"/>
        </w:rPr>
        <w:instrText>Ref58324662 \r \h</w:instrText>
      </w:r>
      <w:r w:rsidRPr="002D3EA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D3EAE">
        <w:rPr>
          <w:rStyle w:val="af7"/>
          <w:rFonts w:eastAsia="Guttman Hodes"/>
          <w:rtl/>
        </w:rPr>
      </w:r>
      <w:r w:rsidRPr="002D3EAE">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2D3EAE">
        <w:rPr>
          <w:rStyle w:val="af7"/>
          <w:rFonts w:eastAsia="Guttman Hodes"/>
          <w:rtl/>
        </w:rPr>
        <w:fldChar w:fldCharType="end"/>
      </w:r>
      <w:r>
        <w:rPr>
          <w:rFonts w:hint="cs"/>
          <w:rtl/>
        </w:rPr>
        <w:t xml:space="preserve">, וכ"כ </w:t>
      </w:r>
      <w:r w:rsidRPr="00B31086">
        <w:rPr>
          <w:rStyle w:val="af9"/>
          <w:rFonts w:hint="cs"/>
          <w:rtl/>
        </w:rPr>
        <w:t>הרשב"א</w:t>
      </w:r>
      <w:r w:rsidRPr="002D3EAE">
        <w:rPr>
          <w:rStyle w:val="af7"/>
          <w:rFonts w:eastAsia="Guttman Hodes" w:hint="cs"/>
          <w:rtl/>
        </w:rPr>
        <w:t xml:space="preserve"> (ד"ה מעשה)</w:t>
      </w:r>
      <w:bookmarkStart w:id="7925" w:name="_Ref58838448"/>
      <w:r>
        <w:rPr>
          <w:rFonts w:hint="cs"/>
          <w:rtl/>
        </w:rPr>
        <w:t>,</w:t>
      </w:r>
      <w:r w:rsidRPr="005207FA">
        <w:rPr>
          <w:rFonts w:hint="cs"/>
          <w:rtl/>
        </w:rPr>
        <w:t xml:space="preserve"> </w:t>
      </w:r>
      <w:r>
        <w:rPr>
          <w:rFonts w:hint="cs"/>
          <w:rtl/>
        </w:rPr>
        <w:t xml:space="preserve">ועי' במה שביאר </w:t>
      </w:r>
      <w:r w:rsidRPr="003E27D4">
        <w:rPr>
          <w:rStyle w:val="af9"/>
          <w:rFonts w:hint="cs"/>
          <w:rtl/>
        </w:rPr>
        <w:t>האבהא"ז</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Ref58838547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660DFB">
        <w:rPr>
          <w:rStyle w:val="af9"/>
          <w:rFonts w:hint="cs"/>
          <w:rtl/>
        </w:rPr>
        <w:t>רבינו יונה</w:t>
      </w:r>
      <w:r>
        <w:rPr>
          <w:rFonts w:hint="cs"/>
          <w:rtl/>
        </w:rPr>
        <w:t>.</w:t>
      </w:r>
      <w:bookmarkEnd w:id="7923"/>
      <w:bookmarkEnd w:id="7925"/>
    </w:p>
    <w:p w:rsidR="0007171D" w:rsidRPr="00AE2CF4" w:rsidRDefault="0007171D" w:rsidP="0007171D">
      <w:pPr>
        <w:pStyle w:val="a3"/>
      </w:pPr>
      <w:bookmarkStart w:id="7926" w:name="_Toc58876202"/>
      <w:bookmarkStart w:id="7927" w:name="_Toc58877610"/>
      <w:bookmarkStart w:id="7928" w:name="_Toc58914669"/>
      <w:bookmarkStart w:id="7929" w:name="_Toc58925963"/>
      <w:bookmarkStart w:id="7930" w:name="_Toc58930037"/>
      <w:bookmarkStart w:id="7931" w:name="_Toc58938188"/>
      <w:bookmarkStart w:id="7932" w:name="_Toc59006977"/>
      <w:bookmarkStart w:id="7933" w:name="_Toc59013454"/>
      <w:bookmarkStart w:id="7934" w:name="_Toc59013702"/>
      <w:bookmarkStart w:id="7935" w:name="_Toc59025768"/>
      <w:r w:rsidRPr="00AE2CF4">
        <w:rPr>
          <w:rFonts w:hint="cs"/>
          <w:rtl/>
        </w:rPr>
        <w:t>דברי הרשב"א דמוכח מדברי המחזיק והמערער שאין עדים למערער ובעדים</w:t>
      </w:r>
      <w:r>
        <w:rPr>
          <w:rFonts w:hint="cs"/>
          <w:rtl/>
        </w:rPr>
        <w:t xml:space="preserve"> אף מינך זביתה ל"מ</w:t>
      </w:r>
      <w:bookmarkEnd w:id="7926"/>
      <w:bookmarkEnd w:id="7927"/>
      <w:bookmarkEnd w:id="7928"/>
      <w:bookmarkEnd w:id="7929"/>
      <w:bookmarkEnd w:id="7930"/>
      <w:bookmarkEnd w:id="7931"/>
      <w:bookmarkEnd w:id="7932"/>
      <w:bookmarkEnd w:id="7933"/>
      <w:bookmarkEnd w:id="7934"/>
      <w:bookmarkEnd w:id="7935"/>
    </w:p>
    <w:bookmarkEnd w:id="7924"/>
    <w:p w:rsidR="0007171D" w:rsidRDefault="0007171D" w:rsidP="007E4E81">
      <w:pPr>
        <w:pStyle w:val="a0"/>
      </w:pPr>
      <w:r>
        <w:rPr>
          <w:rFonts w:hint="cs"/>
          <w:rtl/>
        </w:rPr>
        <w:t xml:space="preserve">וכתבו </w:t>
      </w:r>
      <w:r w:rsidRPr="00B31086">
        <w:rPr>
          <w:rStyle w:val="af9"/>
          <w:rFonts w:hint="cs"/>
          <w:rtl/>
        </w:rPr>
        <w:t>הרשב"א</w:t>
      </w:r>
      <w:r w:rsidRPr="00A96B1E">
        <w:rPr>
          <w:rStyle w:val="af7"/>
          <w:rFonts w:eastAsia="Guttman Hodes" w:hint="cs"/>
          <w:rtl/>
        </w:rPr>
        <w:t xml:space="preserve"> (ד"ה מעשה) </w:t>
      </w:r>
      <w:r>
        <w:rPr>
          <w:rStyle w:val="af9"/>
          <w:rFonts w:hint="cs"/>
          <w:rtl/>
        </w:rPr>
        <w:t>ו</w:t>
      </w:r>
      <w:r w:rsidRPr="00B31086">
        <w:rPr>
          <w:rStyle w:val="af9"/>
          <w:rFonts w:hint="cs"/>
          <w:rtl/>
        </w:rPr>
        <w:t>הריטב"א</w:t>
      </w:r>
      <w:r>
        <w:rPr>
          <w:rFonts w:hint="cs"/>
          <w:rtl/>
        </w:rPr>
        <w:t xml:space="preserve"> </w:t>
      </w:r>
      <w:r w:rsidRPr="00764DDE">
        <w:rPr>
          <w:rStyle w:val="af7"/>
          <w:rFonts w:eastAsia="Guttman Hodes" w:hint="cs"/>
          <w:rtl/>
        </w:rPr>
        <w:t>(ד"ה ההוא)</w:t>
      </w:r>
      <w:r>
        <w:rPr>
          <w:rFonts w:hint="cs"/>
          <w:rtl/>
        </w:rPr>
        <w:t xml:space="preserve"> דאין למערער עדים שהייתה שלו, כדמוכח מהא דהוצרך המערער לומר "לאו קא מודית</w:t>
      </w:r>
      <w:r>
        <w:rPr>
          <w:rtl/>
        </w:rPr>
        <w:t>"</w:t>
      </w:r>
      <w:r>
        <w:rPr>
          <w:rFonts w:hint="cs"/>
          <w:rtl/>
        </w:rPr>
        <w:t xml:space="preserve">, ועוד דהמחזיק לא טען לו שיש לו חזקת ג"ש, ומוכח דכיון שלא היו למערער עדים לא הוצרך המחזיק לומר שיש לו חזקה, וכתב </w:t>
      </w:r>
      <w:r w:rsidRPr="0014157F">
        <w:rPr>
          <w:rStyle w:val="af9"/>
          <w:rFonts w:hint="cs"/>
          <w:rtl/>
        </w:rPr>
        <w:t>הריטב"א</w:t>
      </w:r>
      <w:r>
        <w:rPr>
          <w:rFonts w:hint="cs"/>
          <w:rtl/>
        </w:rPr>
        <w:t xml:space="preserve"> דאף שאין למחזיק חזקה, מ"מ אם לא היה המחזיק מודה שהקרקע הייתה של המערער, לא היה מפסיד את הקרקע, כיון שאין למערער עדים.</w:t>
      </w:r>
    </w:p>
    <w:p w:rsidR="0007171D" w:rsidRPr="0043385C" w:rsidRDefault="0007171D" w:rsidP="0007171D">
      <w:pPr>
        <w:pStyle w:val="1"/>
        <w:rPr>
          <w:rtl/>
        </w:rPr>
      </w:pPr>
      <w:bookmarkStart w:id="7936" w:name="_Toc58409399"/>
      <w:bookmarkStart w:id="7937" w:name="_Toc58432793"/>
      <w:bookmarkStart w:id="7938" w:name="_Toc58579995"/>
      <w:bookmarkStart w:id="7939" w:name="_Toc58843003"/>
      <w:bookmarkStart w:id="7940" w:name="_Toc58876203"/>
      <w:bookmarkStart w:id="7941" w:name="_Toc58877611"/>
      <w:bookmarkStart w:id="7942" w:name="_Toc58914670"/>
      <w:bookmarkStart w:id="7943" w:name="_Toc58925964"/>
      <w:bookmarkStart w:id="7944" w:name="_Toc58930038"/>
      <w:bookmarkStart w:id="7945" w:name="_Toc58938189"/>
      <w:bookmarkStart w:id="7946" w:name="_Toc59006978"/>
      <w:bookmarkStart w:id="7947" w:name="_Toc59013455"/>
      <w:bookmarkStart w:id="7948" w:name="_Toc59013703"/>
      <w:bookmarkStart w:id="7949" w:name="_Toc59025769"/>
      <w:r>
        <w:rPr>
          <w:rFonts w:hint="cs"/>
          <w:rtl/>
        </w:rPr>
        <w:t>דעת רבותיו של רבינו יונה דלא הודה המחזיק בפירוש למערער</w:t>
      </w:r>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p>
    <w:p w:rsidR="0007171D" w:rsidRDefault="0007171D" w:rsidP="0007171D">
      <w:pPr>
        <w:pStyle w:val="a3"/>
        <w:rPr>
          <w:rtl/>
        </w:rPr>
      </w:pPr>
      <w:bookmarkStart w:id="7950" w:name="_Toc58876204"/>
      <w:bookmarkStart w:id="7951" w:name="_Toc58877612"/>
      <w:bookmarkStart w:id="7952" w:name="_Toc58914671"/>
      <w:bookmarkStart w:id="7953" w:name="_Toc58925965"/>
      <w:bookmarkStart w:id="7954" w:name="_Toc58930039"/>
      <w:bookmarkStart w:id="7955" w:name="_Toc58938190"/>
      <w:bookmarkStart w:id="7956" w:name="_Toc59006979"/>
      <w:bookmarkStart w:id="7957" w:name="_Toc59013456"/>
      <w:bookmarkStart w:id="7958" w:name="_Toc59013704"/>
      <w:bookmarkStart w:id="7959" w:name="_Toc59025770"/>
      <w:bookmarkEnd w:id="7899"/>
      <w:bookmarkEnd w:id="7900"/>
      <w:bookmarkEnd w:id="7901"/>
      <w:bookmarkEnd w:id="7902"/>
      <w:r>
        <w:rPr>
          <w:rFonts w:hint="cs"/>
          <w:rtl/>
        </w:rPr>
        <w:t xml:space="preserve">דברי רבינו יונה בשם רבותיו דהודאת המחזיק היא </w:t>
      </w:r>
      <w:bookmarkEnd w:id="7950"/>
      <w:bookmarkEnd w:id="7951"/>
      <w:bookmarkEnd w:id="7952"/>
      <w:bookmarkEnd w:id="7953"/>
      <w:bookmarkEnd w:id="7954"/>
      <w:r>
        <w:rPr>
          <w:rFonts w:hint="cs"/>
          <w:rtl/>
        </w:rPr>
        <w:t>דמשמע שכן היה ידוע לשניהם בזמן המכר</w:t>
      </w:r>
      <w:bookmarkEnd w:id="7955"/>
      <w:bookmarkEnd w:id="7956"/>
      <w:bookmarkEnd w:id="7957"/>
      <w:bookmarkEnd w:id="7958"/>
      <w:bookmarkEnd w:id="7959"/>
    </w:p>
    <w:p w:rsidR="0007171D" w:rsidRPr="009A3A85" w:rsidRDefault="0007171D" w:rsidP="007E4E81">
      <w:pPr>
        <w:pStyle w:val="a0"/>
        <w:rPr>
          <w:rStyle w:val="afb"/>
          <w:rtl/>
        </w:rPr>
      </w:pPr>
      <w:bookmarkStart w:id="7960" w:name="_Ref58406136"/>
      <w:r>
        <w:rPr>
          <w:rFonts w:hint="cs"/>
          <w:rtl/>
        </w:rPr>
        <w:t>ו</w:t>
      </w:r>
      <w:r w:rsidRPr="0043385C">
        <w:rPr>
          <w:rFonts w:hint="cs"/>
          <w:rtl/>
        </w:rPr>
        <w:t xml:space="preserve">הביא </w:t>
      </w:r>
      <w:r w:rsidRPr="0043385C">
        <w:rPr>
          <w:rStyle w:val="af9"/>
          <w:rFonts w:hint="cs"/>
          <w:rtl/>
        </w:rPr>
        <w:t>רבינו</w:t>
      </w:r>
      <w:r w:rsidRPr="00CE2165">
        <w:rPr>
          <w:rStyle w:val="af9"/>
          <w:rFonts w:hint="cs"/>
          <w:rtl/>
        </w:rPr>
        <w:t xml:space="preserve"> יונה</w:t>
      </w:r>
      <w:r w:rsidRPr="00ED1866">
        <w:rPr>
          <w:rFonts w:hint="cs"/>
          <w:rtl/>
        </w:rPr>
        <w:t xml:space="preserve"> </w:t>
      </w:r>
      <w:r w:rsidRPr="00CE2165">
        <w:rPr>
          <w:rStyle w:val="af7"/>
          <w:rFonts w:eastAsia="Guttman Hodes" w:hint="cs"/>
          <w:rtl/>
        </w:rPr>
        <w:t>(ד"ה ההוא)</w:t>
      </w:r>
      <w:r w:rsidRPr="00ED1866">
        <w:rPr>
          <w:rFonts w:hint="cs"/>
          <w:rtl/>
        </w:rPr>
        <w:t xml:space="preserve"> בשם </w:t>
      </w:r>
      <w:r>
        <w:rPr>
          <w:rStyle w:val="af9"/>
          <w:rFonts w:hint="cs"/>
          <w:rtl/>
        </w:rPr>
        <w:t>מקצת מ</w:t>
      </w:r>
      <w:r w:rsidRPr="00CE2165">
        <w:rPr>
          <w:rStyle w:val="af9"/>
          <w:rFonts w:hint="cs"/>
          <w:rtl/>
        </w:rPr>
        <w:t>רבותיו</w:t>
      </w:r>
      <w:r w:rsidRPr="00ED1866">
        <w:rPr>
          <w:rFonts w:hint="cs"/>
          <w:rtl/>
        </w:rPr>
        <w:t xml:space="preserve"> </w:t>
      </w:r>
      <w:r>
        <w:rPr>
          <w:rFonts w:hint="cs"/>
          <w:rtl/>
        </w:rPr>
        <w:t xml:space="preserve">דכתבו </w:t>
      </w:r>
      <w:r w:rsidRPr="00ED1866">
        <w:rPr>
          <w:rFonts w:hint="cs"/>
          <w:rtl/>
        </w:rPr>
        <w:t>דמה שהודה המחזיק ש</w:t>
      </w:r>
      <w:r>
        <w:rPr>
          <w:rFonts w:hint="cs"/>
          <w:rtl/>
        </w:rPr>
        <w:t>הקרקע</w:t>
      </w:r>
      <w:r w:rsidRPr="00ED1866">
        <w:rPr>
          <w:rFonts w:hint="cs"/>
          <w:rtl/>
        </w:rPr>
        <w:t xml:space="preserve"> של המערער, היינו בדבריו שאמר שקנה מהמוכר שאמר לו שקנה מהמערער, דהיינו שהיה דבר ידוע למוכר </w:t>
      </w:r>
      <w:r w:rsidRPr="00ED1866">
        <w:rPr>
          <w:rFonts w:hint="cs"/>
          <w:rtl/>
        </w:rPr>
        <w:lastRenderedPageBreak/>
        <w:t>והלוקח ש</w:t>
      </w:r>
      <w:r>
        <w:rPr>
          <w:rFonts w:hint="cs"/>
          <w:rtl/>
        </w:rPr>
        <w:t>הקרקע</w:t>
      </w:r>
      <w:r w:rsidRPr="00ED1866">
        <w:rPr>
          <w:rFonts w:hint="cs"/>
          <w:rtl/>
        </w:rPr>
        <w:t xml:space="preserve"> הייתה של המערער</w:t>
      </w:r>
      <w:r>
        <w:rPr>
          <w:rFonts w:hint="cs"/>
          <w:rtl/>
        </w:rPr>
        <w:t xml:space="preserve">, אך לא הודה בזה המחזיק בפירוש. </w:t>
      </w:r>
      <w:r w:rsidRPr="009A3A85">
        <w:rPr>
          <w:rStyle w:val="afb"/>
          <w:rFonts w:hint="cs"/>
          <w:rtl/>
        </w:rPr>
        <w:t xml:space="preserve">[ועי' בדברי </w:t>
      </w:r>
      <w:r w:rsidRPr="009A3A85">
        <w:rPr>
          <w:rStyle w:val="affa"/>
          <w:rFonts w:hint="cs"/>
          <w:rtl/>
        </w:rPr>
        <w:t>הרא"ש</w:t>
      </w:r>
      <w:r w:rsidRPr="009A3A85">
        <w:rPr>
          <w:rStyle w:val="afb"/>
          <w:rFonts w:hint="cs"/>
          <w:rtl/>
        </w:rPr>
        <w:t xml:space="preserve"> </w:t>
      </w:r>
      <w:r w:rsidRPr="009A3A85">
        <w:rPr>
          <w:rStyle w:val="aff6"/>
          <w:rFonts w:hint="cs"/>
          <w:rtl/>
        </w:rPr>
        <w:t xml:space="preserve">(עי' אות </w:t>
      </w:r>
      <w:r w:rsidRPr="009A3A85">
        <w:rPr>
          <w:rStyle w:val="aff6"/>
          <w:rtl/>
        </w:rPr>
        <w:fldChar w:fldCharType="begin"/>
      </w:r>
      <w:r w:rsidRPr="009A3A85">
        <w:rPr>
          <w:rStyle w:val="aff6"/>
          <w:rtl/>
        </w:rPr>
        <w:instrText xml:space="preserve"> </w:instrText>
      </w:r>
      <w:r w:rsidRPr="009A3A85">
        <w:rPr>
          <w:rStyle w:val="aff6"/>
          <w:rFonts w:hint="cs"/>
        </w:rPr>
        <w:instrText>REF</w:instrText>
      </w:r>
      <w:r w:rsidRPr="009A3A85">
        <w:rPr>
          <w:rStyle w:val="aff6"/>
          <w:rFonts w:hint="cs"/>
          <w:rtl/>
        </w:rPr>
        <w:instrText xml:space="preserve"> _</w:instrText>
      </w:r>
      <w:r w:rsidRPr="009A3A85">
        <w:rPr>
          <w:rStyle w:val="aff6"/>
          <w:rFonts w:hint="cs"/>
        </w:rPr>
        <w:instrText>Ref58750729 \r \h</w:instrText>
      </w:r>
      <w:r w:rsidRPr="009A3A85">
        <w:rPr>
          <w:rStyle w:val="aff6"/>
          <w:rtl/>
        </w:rPr>
        <w:instrText xml:space="preserve"> </w:instrText>
      </w:r>
      <w:r w:rsidRPr="009A3A85">
        <w:rPr>
          <w:rStyle w:val="aff6"/>
          <w:rtl/>
        </w:rPr>
      </w:r>
      <w:r w:rsidRPr="009A3A85">
        <w:rPr>
          <w:rStyle w:val="aff6"/>
          <w:rtl/>
        </w:rPr>
        <w:fldChar w:fldCharType="separate"/>
      </w:r>
      <w:r w:rsidR="00265073">
        <w:rPr>
          <w:rStyle w:val="aff6"/>
          <w:cs/>
        </w:rPr>
        <w:t>‎</w:t>
      </w:r>
      <w:r w:rsidR="00265073">
        <w:rPr>
          <w:rStyle w:val="aff6"/>
          <w:rtl/>
        </w:rPr>
        <w:t>י)</w:t>
      </w:r>
      <w:r w:rsidRPr="009A3A85">
        <w:rPr>
          <w:rStyle w:val="aff6"/>
          <w:rtl/>
        </w:rPr>
        <w:fldChar w:fldCharType="end"/>
      </w:r>
      <w:r w:rsidRPr="009A3A85">
        <w:rPr>
          <w:rStyle w:val="afb"/>
          <w:rFonts w:hint="cs"/>
          <w:rtl/>
        </w:rPr>
        <w:t xml:space="preserve"> </w:t>
      </w:r>
      <w:r w:rsidRPr="009A3A85">
        <w:rPr>
          <w:rStyle w:val="affa"/>
          <w:rFonts w:hint="cs"/>
          <w:rtl/>
        </w:rPr>
        <w:t>והראב"ד</w:t>
      </w:r>
      <w:r w:rsidRPr="009A3A85">
        <w:rPr>
          <w:rStyle w:val="afb"/>
          <w:rFonts w:hint="cs"/>
          <w:rtl/>
        </w:rPr>
        <w:t xml:space="preserve"> </w:t>
      </w:r>
      <w:r w:rsidRPr="009A3A85">
        <w:rPr>
          <w:rStyle w:val="aff6"/>
          <w:rFonts w:hint="cs"/>
          <w:rtl/>
        </w:rPr>
        <w:t xml:space="preserve">(עי' אות </w:t>
      </w:r>
      <w:r w:rsidRPr="009A3A85">
        <w:rPr>
          <w:rStyle w:val="aff6"/>
          <w:rtl/>
        </w:rPr>
        <w:fldChar w:fldCharType="begin"/>
      </w:r>
      <w:r w:rsidRPr="009A3A85">
        <w:rPr>
          <w:rStyle w:val="aff6"/>
          <w:rtl/>
        </w:rPr>
        <w:instrText xml:space="preserve"> </w:instrText>
      </w:r>
      <w:r w:rsidRPr="009A3A85">
        <w:rPr>
          <w:rStyle w:val="aff6"/>
          <w:rFonts w:hint="cs"/>
        </w:rPr>
        <w:instrText>REF</w:instrText>
      </w:r>
      <w:r w:rsidRPr="009A3A85">
        <w:rPr>
          <w:rStyle w:val="aff6"/>
          <w:rFonts w:hint="cs"/>
          <w:rtl/>
        </w:rPr>
        <w:instrText xml:space="preserve"> _</w:instrText>
      </w:r>
      <w:r w:rsidRPr="009A3A85">
        <w:rPr>
          <w:rStyle w:val="aff6"/>
          <w:rFonts w:hint="cs"/>
        </w:rPr>
        <w:instrText>Ref58407487 \r \h</w:instrText>
      </w:r>
      <w:r w:rsidRPr="009A3A85">
        <w:rPr>
          <w:rStyle w:val="aff6"/>
          <w:rtl/>
        </w:rPr>
        <w:instrText xml:space="preserve"> </w:instrText>
      </w:r>
      <w:r w:rsidRPr="009A3A85">
        <w:rPr>
          <w:rStyle w:val="aff6"/>
          <w:rtl/>
        </w:rPr>
      </w:r>
      <w:r w:rsidRPr="009A3A85">
        <w:rPr>
          <w:rStyle w:val="aff6"/>
          <w:rtl/>
        </w:rPr>
        <w:fldChar w:fldCharType="separate"/>
      </w:r>
      <w:r w:rsidR="00265073">
        <w:rPr>
          <w:rStyle w:val="aff6"/>
          <w:cs/>
        </w:rPr>
        <w:t>‎</w:t>
      </w:r>
      <w:r w:rsidR="00265073">
        <w:rPr>
          <w:rStyle w:val="aff6"/>
          <w:rtl/>
        </w:rPr>
        <w:t>לג)</w:t>
      </w:r>
      <w:r w:rsidRPr="009A3A85">
        <w:rPr>
          <w:rStyle w:val="aff6"/>
          <w:rtl/>
        </w:rPr>
        <w:fldChar w:fldCharType="end"/>
      </w:r>
      <w:r w:rsidRPr="009A3A85">
        <w:rPr>
          <w:rStyle w:val="afb"/>
          <w:rFonts w:hint="cs"/>
          <w:rtl/>
        </w:rPr>
        <w:t xml:space="preserve"> </w:t>
      </w:r>
      <w:r w:rsidRPr="009A3A85">
        <w:rPr>
          <w:rStyle w:val="affa"/>
          <w:rFonts w:hint="cs"/>
          <w:rtl/>
        </w:rPr>
        <w:t>והתוס' רי"ד</w:t>
      </w:r>
      <w:r w:rsidRPr="009A3A85">
        <w:rPr>
          <w:rStyle w:val="afb"/>
          <w:rFonts w:hint="cs"/>
          <w:rtl/>
        </w:rPr>
        <w:t xml:space="preserve"> </w:t>
      </w:r>
      <w:r w:rsidRPr="009A3A85">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Ref60219109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ז)</w:t>
      </w:r>
      <w:r>
        <w:rPr>
          <w:rStyle w:val="aff6"/>
          <w:rtl/>
        </w:rPr>
        <w:fldChar w:fldCharType="end"/>
      </w:r>
      <w:r w:rsidRPr="009A3A85">
        <w:rPr>
          <w:rStyle w:val="aff6"/>
          <w:rFonts w:hint="cs"/>
          <w:rtl/>
        </w:rPr>
        <w:t xml:space="preserve"> </w:t>
      </w:r>
      <w:r w:rsidRPr="009A3A85">
        <w:rPr>
          <w:rStyle w:val="afb"/>
          <w:rFonts w:hint="cs"/>
          <w:rtl/>
        </w:rPr>
        <w:t>דכתבו דהודאת המחזיק היא רק מפי המוכר].</w:t>
      </w:r>
      <w:bookmarkEnd w:id="7960"/>
    </w:p>
    <w:p w:rsidR="0007171D" w:rsidRDefault="0007171D" w:rsidP="0007171D">
      <w:pPr>
        <w:pStyle w:val="1"/>
        <w:rPr>
          <w:rtl/>
        </w:rPr>
      </w:pPr>
      <w:bookmarkStart w:id="7961" w:name="_Toc58324995"/>
      <w:bookmarkStart w:id="7962" w:name="_Toc58359140"/>
      <w:bookmarkStart w:id="7963" w:name="_Toc58409400"/>
      <w:bookmarkStart w:id="7964" w:name="_Toc58432794"/>
      <w:bookmarkStart w:id="7965" w:name="_Toc58579996"/>
      <w:bookmarkStart w:id="7966" w:name="_Toc58843004"/>
      <w:bookmarkStart w:id="7967" w:name="_Toc58876205"/>
      <w:bookmarkStart w:id="7968" w:name="_Toc58877613"/>
      <w:bookmarkStart w:id="7969" w:name="_Toc58914672"/>
      <w:bookmarkStart w:id="7970" w:name="_Toc58925966"/>
      <w:bookmarkStart w:id="7971" w:name="_Toc58930040"/>
      <w:bookmarkStart w:id="7972" w:name="_Toc58938191"/>
      <w:bookmarkStart w:id="7973" w:name="_Toc59006980"/>
      <w:bookmarkStart w:id="7974" w:name="_Toc59013457"/>
      <w:bookmarkStart w:id="7975" w:name="_Toc59013705"/>
      <w:bookmarkStart w:id="7976" w:name="_Toc59025771"/>
      <w:r>
        <w:rPr>
          <w:rFonts w:hint="cs"/>
          <w:rtl/>
        </w:rPr>
        <w:t>דברי הרמב"ן ורבינו יונה דמפי המוכר ל"ה הודאה ונאמן כמוהו</w:t>
      </w:r>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p>
    <w:p w:rsidR="0007171D" w:rsidRDefault="0007171D" w:rsidP="0007171D">
      <w:pPr>
        <w:pStyle w:val="a3"/>
        <w:rPr>
          <w:rtl/>
        </w:rPr>
      </w:pPr>
      <w:bookmarkStart w:id="7977" w:name="_Toc58876206"/>
      <w:bookmarkStart w:id="7978" w:name="_Toc58877614"/>
      <w:bookmarkStart w:id="7979" w:name="_Toc58914673"/>
      <w:bookmarkStart w:id="7980" w:name="_Toc58925967"/>
      <w:bookmarkStart w:id="7981" w:name="_Toc58930041"/>
      <w:bookmarkStart w:id="7982" w:name="_Toc58938192"/>
      <w:bookmarkStart w:id="7983" w:name="_Toc59006981"/>
      <w:bookmarkStart w:id="7984" w:name="_Toc59013458"/>
      <w:bookmarkStart w:id="7985" w:name="_Toc59013706"/>
      <w:bookmarkStart w:id="7986" w:name="_Toc59025772"/>
      <w:r>
        <w:rPr>
          <w:rFonts w:hint="cs"/>
          <w:rtl/>
        </w:rPr>
        <w:t>דברי הרמב"ן ורבינו יונה דהודאה מפי המוכר ל"ה הודאה דהפה של המוכר שאסר הוא גם התיר</w:t>
      </w:r>
      <w:bookmarkEnd w:id="7977"/>
      <w:bookmarkEnd w:id="7978"/>
      <w:bookmarkEnd w:id="7979"/>
      <w:bookmarkEnd w:id="7980"/>
      <w:bookmarkEnd w:id="7981"/>
      <w:bookmarkEnd w:id="7982"/>
      <w:bookmarkEnd w:id="7983"/>
      <w:bookmarkEnd w:id="7984"/>
      <w:bookmarkEnd w:id="7985"/>
      <w:bookmarkEnd w:id="7986"/>
    </w:p>
    <w:p w:rsidR="0007171D" w:rsidRDefault="0007171D" w:rsidP="007E4E81">
      <w:pPr>
        <w:pStyle w:val="a0"/>
        <w:rPr>
          <w:rtl/>
        </w:rPr>
      </w:pPr>
      <w:bookmarkStart w:id="7987" w:name="_Ref57923244"/>
      <w:bookmarkStart w:id="7988" w:name="_Ref58875516"/>
      <w:r>
        <w:rPr>
          <w:rFonts w:hint="cs"/>
          <w:rtl/>
        </w:rPr>
        <w:t xml:space="preserve">אבל </w:t>
      </w:r>
      <w:r w:rsidRPr="00A0551D">
        <w:rPr>
          <w:rStyle w:val="af9"/>
          <w:rFonts w:hint="cs"/>
          <w:rtl/>
        </w:rPr>
        <w:t xml:space="preserve">הרמב"ן </w:t>
      </w:r>
      <w:r w:rsidRPr="001E53F6">
        <w:rPr>
          <w:rStyle w:val="af7"/>
          <w:rFonts w:eastAsia="Guttman Hodes" w:hint="cs"/>
          <w:rtl/>
        </w:rPr>
        <w:t xml:space="preserve">(ד"ה הכי גרסינן) </w:t>
      </w:r>
      <w:r w:rsidRPr="00262C9C">
        <w:rPr>
          <w:rStyle w:val="af9"/>
          <w:rFonts w:hint="cs"/>
          <w:rtl/>
        </w:rPr>
        <w:t>וה</w:t>
      </w:r>
      <w:r w:rsidRPr="003B09E7">
        <w:rPr>
          <w:rStyle w:val="af9"/>
          <w:rFonts w:hint="cs"/>
          <w:rtl/>
        </w:rPr>
        <w:t>יד רמ"ה</w:t>
      </w:r>
      <w:r>
        <w:rPr>
          <w:rFonts w:hint="cs"/>
          <w:rtl/>
        </w:rPr>
        <w:t xml:space="preserve"> </w:t>
      </w:r>
      <w:r w:rsidRPr="003B09E7">
        <w:rPr>
          <w:rStyle w:val="af7"/>
          <w:rFonts w:eastAsia="Guttman Hodes" w:hint="cs"/>
          <w:rtl/>
        </w:rPr>
        <w:t>(או' ל"ג ד"ה אבל)</w:t>
      </w:r>
      <w:r>
        <w:rPr>
          <w:rFonts w:hint="cs"/>
          <w:rtl/>
        </w:rPr>
        <w:t xml:space="preserve"> </w:t>
      </w:r>
      <w:r>
        <w:rPr>
          <w:rStyle w:val="af9"/>
          <w:rFonts w:hint="cs"/>
          <w:rtl/>
        </w:rPr>
        <w:t>ו</w:t>
      </w:r>
      <w:r w:rsidRPr="00CE2165">
        <w:rPr>
          <w:rStyle w:val="af9"/>
          <w:rFonts w:hint="cs"/>
          <w:rtl/>
        </w:rPr>
        <w:t>רבינו יונה</w:t>
      </w:r>
      <w:r w:rsidRPr="00ED1866">
        <w:rPr>
          <w:rFonts w:hint="cs"/>
          <w:rtl/>
        </w:rPr>
        <w:t xml:space="preserve"> </w:t>
      </w:r>
      <w:r w:rsidRPr="00423055">
        <w:rPr>
          <w:rStyle w:val="af7"/>
          <w:rFonts w:eastAsia="Guttman Hodes" w:hint="cs"/>
          <w:rtl/>
        </w:rPr>
        <w:t>(ד"ה ההוא)</w:t>
      </w:r>
      <w:r>
        <w:rPr>
          <w:rFonts w:hint="cs"/>
          <w:rtl/>
        </w:rPr>
        <w:t xml:space="preserve"> </w:t>
      </w:r>
      <w:r>
        <w:rPr>
          <w:rStyle w:val="af9"/>
          <w:rFonts w:hint="cs"/>
          <w:rtl/>
        </w:rPr>
        <w:t>ו</w:t>
      </w:r>
      <w:r w:rsidRPr="00B31086">
        <w:rPr>
          <w:rStyle w:val="af9"/>
          <w:rFonts w:hint="cs"/>
          <w:rtl/>
        </w:rPr>
        <w:t>הרשב"א</w:t>
      </w:r>
      <w:r w:rsidRPr="002D3EAE">
        <w:rPr>
          <w:rStyle w:val="af7"/>
          <w:rFonts w:eastAsia="Guttman Hodes" w:hint="cs"/>
          <w:rtl/>
        </w:rPr>
        <w:t xml:space="preserve"> (ד"ה מעשה)</w:t>
      </w:r>
      <w:r w:rsidRPr="00695D0E">
        <w:rPr>
          <w:rFonts w:hint="cs"/>
          <w:rtl/>
        </w:rPr>
        <w:t xml:space="preserve"> </w:t>
      </w:r>
      <w:r w:rsidRPr="00543365">
        <w:rPr>
          <w:rStyle w:val="af9"/>
          <w:rFonts w:hint="cs"/>
          <w:rtl/>
        </w:rPr>
        <w:t>והר"ן בחי'</w:t>
      </w:r>
      <w:r>
        <w:rPr>
          <w:rFonts w:hint="cs"/>
          <w:rtl/>
        </w:rPr>
        <w:t xml:space="preserve"> </w:t>
      </w:r>
      <w:r>
        <w:rPr>
          <w:rStyle w:val="af7"/>
          <w:rFonts w:eastAsia="Guttman Hodes" w:hint="cs"/>
          <w:rtl/>
        </w:rPr>
        <w:t xml:space="preserve">(ד"ה מאי) </w:t>
      </w:r>
      <w:r>
        <w:rPr>
          <w:rFonts w:hint="cs"/>
          <w:rtl/>
        </w:rPr>
        <w:t>כתבו דאף שאמר המחזיק שכך אמר לו המוכר, מ"מ כל שלא הודה</w:t>
      </w:r>
      <w:r w:rsidRPr="00ED1866">
        <w:rPr>
          <w:rFonts w:hint="cs"/>
          <w:rtl/>
        </w:rPr>
        <w:t xml:space="preserve"> המחזיק שהוא יודע ש</w:t>
      </w:r>
      <w:r>
        <w:rPr>
          <w:rFonts w:hint="cs"/>
          <w:rtl/>
        </w:rPr>
        <w:t>הקרקע</w:t>
      </w:r>
      <w:r w:rsidRPr="00ED1866">
        <w:rPr>
          <w:rFonts w:hint="cs"/>
          <w:rtl/>
        </w:rPr>
        <w:t xml:space="preserve"> הייתה של המערער, </w:t>
      </w:r>
      <w:r>
        <w:rPr>
          <w:rFonts w:hint="cs"/>
          <w:rtl/>
        </w:rPr>
        <w:t xml:space="preserve">אינה הודאה, ואעפ"י דהודאת בע"ד כמאה עדים, מ"מ הכא המוכר נאמן בטענתו שקנה מהמערער, מדין הפה שאסר, דהמוכר הוא אמר שהייתה של המחזיק, והוא אמר שקנה </w:t>
      </w:r>
      <w:r w:rsidRPr="00E26D1C">
        <w:rPr>
          <w:rFonts w:hint="cs"/>
          <w:rtl/>
        </w:rPr>
        <w:t>ממנו</w:t>
      </w:r>
      <w:r>
        <w:rPr>
          <w:rFonts w:hint="cs"/>
          <w:rtl/>
        </w:rPr>
        <w:t>.</w:t>
      </w:r>
    </w:p>
    <w:p w:rsidR="0007171D" w:rsidRPr="009251FE" w:rsidRDefault="0007171D" w:rsidP="0007171D">
      <w:pPr>
        <w:pStyle w:val="a3"/>
      </w:pPr>
      <w:bookmarkStart w:id="7989" w:name="_Toc59013459"/>
      <w:bookmarkStart w:id="7990" w:name="_Toc59013707"/>
      <w:bookmarkStart w:id="7991" w:name="_Toc59025773"/>
      <w:r>
        <w:rPr>
          <w:rFonts w:hint="cs"/>
          <w:rtl/>
        </w:rPr>
        <w:t>דברי רבינו יונה דכמו שהיה המוכר נאמן מדין הפה שאסר המחזיק שבא מכחו נאמן במה שא"ל</w:t>
      </w:r>
      <w:bookmarkEnd w:id="7989"/>
      <w:bookmarkEnd w:id="7990"/>
      <w:bookmarkEnd w:id="7991"/>
    </w:p>
    <w:p w:rsidR="0007171D" w:rsidRDefault="0007171D" w:rsidP="007E4E81">
      <w:pPr>
        <w:pStyle w:val="a0"/>
        <w:rPr>
          <w:rtl/>
        </w:rPr>
      </w:pPr>
      <w:bookmarkStart w:id="7992" w:name="_Ref59013054"/>
      <w:r w:rsidRPr="00ED1866">
        <w:rPr>
          <w:rFonts w:hint="cs"/>
          <w:rtl/>
        </w:rPr>
        <w:t>ו</w:t>
      </w:r>
      <w:r>
        <w:rPr>
          <w:rFonts w:hint="cs"/>
          <w:rtl/>
        </w:rPr>
        <w:t xml:space="preserve">כתב </w:t>
      </w:r>
      <w:r w:rsidRPr="0099636B">
        <w:rPr>
          <w:rStyle w:val="af9"/>
          <w:rFonts w:hint="cs"/>
          <w:rtl/>
        </w:rPr>
        <w:t>רבינו יונה</w:t>
      </w:r>
      <w:r>
        <w:rPr>
          <w:rFonts w:hint="cs"/>
          <w:rtl/>
        </w:rPr>
        <w:t xml:space="preserve"> ד</w:t>
      </w:r>
      <w:r w:rsidRPr="00ED1866">
        <w:rPr>
          <w:rFonts w:hint="cs"/>
          <w:rtl/>
        </w:rPr>
        <w:t>כמו</w:t>
      </w:r>
      <w:r>
        <w:rPr>
          <w:rFonts w:hint="cs"/>
          <w:rtl/>
        </w:rPr>
        <w:t xml:space="preserve"> שאם הקרקע הייתה ביד המוכר דהוא היה נאמן לומר שהייתה של המערער וקנה ממנו,</w:t>
      </w:r>
      <w:r w:rsidRPr="00894C81">
        <w:rPr>
          <w:rStyle w:val="afb"/>
          <w:rFonts w:hint="cs"/>
          <w:rtl/>
        </w:rPr>
        <w:t xml:space="preserve"> [כיון שאין למערער עדים שהייתה שלו],</w:t>
      </w:r>
      <w:r>
        <w:rPr>
          <w:rFonts w:hint="cs"/>
          <w:rtl/>
        </w:rPr>
        <w:t xml:space="preserve"> א"כ אף המחזיק שבא מכח המוכר בטענה ששמע ממנו, הוא זוכה בקרקע בטענה זו</w:t>
      </w:r>
      <w:bookmarkStart w:id="7993" w:name="_Toc57925949"/>
      <w:bookmarkStart w:id="7994" w:name="_Toc58091640"/>
      <w:bookmarkStart w:id="7995" w:name="_Toc58144891"/>
      <w:bookmarkStart w:id="7996" w:name="_Toc58272578"/>
      <w:bookmarkStart w:id="7997" w:name="_Toc58324996"/>
      <w:bookmarkStart w:id="7998" w:name="_Toc58359141"/>
      <w:bookmarkStart w:id="7999" w:name="_Toc58409401"/>
      <w:bookmarkStart w:id="8000" w:name="_Toc58432795"/>
      <w:bookmarkStart w:id="8001" w:name="_Toc58579997"/>
      <w:bookmarkStart w:id="8002" w:name="_Toc58843005"/>
      <w:bookmarkEnd w:id="7987"/>
      <w:r>
        <w:rPr>
          <w:rFonts w:hint="cs"/>
          <w:rtl/>
        </w:rPr>
        <w:t xml:space="preserve">, וכתב </w:t>
      </w:r>
      <w:r w:rsidRPr="002D6723">
        <w:rPr>
          <w:rStyle w:val="af9"/>
          <w:rFonts w:hint="cs"/>
          <w:rtl/>
        </w:rPr>
        <w:t>הר"ן על הרי"ף</w:t>
      </w:r>
      <w:r>
        <w:rPr>
          <w:rFonts w:hint="cs"/>
          <w:rtl/>
        </w:rPr>
        <w:t xml:space="preserve"> </w:t>
      </w:r>
      <w:r w:rsidRPr="00C94883">
        <w:rPr>
          <w:rStyle w:val="af7"/>
          <w:rFonts w:eastAsia="Guttman Hodes" w:hint="cs"/>
          <w:rtl/>
        </w:rPr>
        <w:t xml:space="preserve">(עי' אות </w:t>
      </w:r>
      <w:r w:rsidRPr="00C94883">
        <w:rPr>
          <w:rStyle w:val="af7"/>
          <w:rFonts w:eastAsia="Guttman Hodes"/>
          <w:rtl/>
        </w:rPr>
        <w:fldChar w:fldCharType="begin"/>
      </w:r>
      <w:r w:rsidRPr="00C94883">
        <w:rPr>
          <w:rStyle w:val="af7"/>
          <w:rFonts w:eastAsia="Guttman Hodes"/>
          <w:rtl/>
        </w:rPr>
        <w:instrText xml:space="preserve"> </w:instrText>
      </w:r>
      <w:r w:rsidRPr="00C94883">
        <w:rPr>
          <w:rStyle w:val="af7"/>
          <w:rFonts w:eastAsia="Guttman Hodes" w:hint="cs"/>
        </w:rPr>
        <w:instrText>REF</w:instrText>
      </w:r>
      <w:r w:rsidRPr="00C94883">
        <w:rPr>
          <w:rStyle w:val="af7"/>
          <w:rFonts w:eastAsia="Guttman Hodes" w:hint="cs"/>
          <w:rtl/>
        </w:rPr>
        <w:instrText xml:space="preserve"> _</w:instrText>
      </w:r>
      <w:r w:rsidRPr="00C94883">
        <w:rPr>
          <w:rStyle w:val="af7"/>
          <w:rFonts w:eastAsia="Guttman Hodes" w:hint="cs"/>
        </w:rPr>
        <w:instrText>Ref59010739 \r \h</w:instrText>
      </w:r>
      <w:r w:rsidRPr="00C94883">
        <w:rPr>
          <w:rStyle w:val="af7"/>
          <w:rFonts w:eastAsia="Guttman Hodes"/>
          <w:rtl/>
        </w:rPr>
        <w:instrText xml:space="preserve"> </w:instrText>
      </w:r>
      <w:r w:rsidRPr="00C94883">
        <w:rPr>
          <w:rStyle w:val="af7"/>
          <w:rFonts w:eastAsia="Guttman Hodes"/>
          <w:rtl/>
        </w:rPr>
      </w:r>
      <w:r w:rsidRPr="00C94883">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C94883">
        <w:rPr>
          <w:rStyle w:val="af7"/>
          <w:rFonts w:eastAsia="Guttman Hodes"/>
          <w:rtl/>
        </w:rPr>
        <w:fldChar w:fldCharType="end"/>
      </w:r>
      <w:r>
        <w:rPr>
          <w:rFonts w:hint="cs"/>
          <w:rtl/>
        </w:rPr>
        <w:t xml:space="preserve"> דכן מבואר מדברי </w:t>
      </w:r>
      <w:r w:rsidRPr="002D6723">
        <w:rPr>
          <w:rStyle w:val="af9"/>
          <w:rFonts w:hint="cs"/>
          <w:rtl/>
        </w:rPr>
        <w:t>הרי"ף</w:t>
      </w:r>
      <w:r>
        <w:rPr>
          <w:rFonts w:hint="cs"/>
          <w:rtl/>
        </w:rPr>
        <w:t>.</w:t>
      </w:r>
      <w:bookmarkEnd w:id="7988"/>
      <w:bookmarkEnd w:id="7992"/>
    </w:p>
    <w:p w:rsidR="0007171D" w:rsidRDefault="0007171D" w:rsidP="0007171D">
      <w:pPr>
        <w:pStyle w:val="1"/>
        <w:rPr>
          <w:rtl/>
        </w:rPr>
      </w:pPr>
      <w:bookmarkStart w:id="8003" w:name="_Toc58876207"/>
      <w:bookmarkStart w:id="8004" w:name="_Toc58877615"/>
      <w:bookmarkStart w:id="8005" w:name="_Toc58914674"/>
      <w:bookmarkStart w:id="8006" w:name="_Toc58925968"/>
      <w:bookmarkStart w:id="8007" w:name="_Toc58930042"/>
      <w:bookmarkStart w:id="8008" w:name="_Toc58938193"/>
      <w:bookmarkStart w:id="8009" w:name="_Toc59006982"/>
      <w:bookmarkStart w:id="8010" w:name="_Toc59013460"/>
      <w:bookmarkStart w:id="8011" w:name="_Toc59013708"/>
      <w:bookmarkStart w:id="8012" w:name="_Toc59025774"/>
      <w:r>
        <w:rPr>
          <w:rFonts w:hint="cs"/>
          <w:rtl/>
        </w:rPr>
        <w:t>ביאור הרמב"ן ורבינו יונה והרשב"א דהמחזיק הודה בעצמו</w:t>
      </w:r>
      <w:bookmarkEnd w:id="8003"/>
      <w:bookmarkEnd w:id="8004"/>
      <w:bookmarkEnd w:id="8005"/>
      <w:bookmarkEnd w:id="8006"/>
      <w:bookmarkEnd w:id="8007"/>
      <w:bookmarkEnd w:id="8008"/>
      <w:bookmarkEnd w:id="8009"/>
      <w:bookmarkEnd w:id="8010"/>
      <w:bookmarkEnd w:id="8011"/>
      <w:bookmarkEnd w:id="8012"/>
    </w:p>
    <w:p w:rsidR="0007171D" w:rsidRDefault="0007171D" w:rsidP="0007171D">
      <w:pPr>
        <w:pStyle w:val="a3"/>
        <w:rPr>
          <w:rtl/>
        </w:rPr>
      </w:pPr>
      <w:bookmarkStart w:id="8013" w:name="_Toc58876208"/>
      <w:bookmarkStart w:id="8014" w:name="_Toc58877616"/>
      <w:bookmarkStart w:id="8015" w:name="_Toc58914675"/>
      <w:bookmarkStart w:id="8016" w:name="_Toc58925969"/>
      <w:bookmarkStart w:id="8017" w:name="_Toc58930043"/>
      <w:bookmarkStart w:id="8018" w:name="_Toc58938194"/>
      <w:bookmarkStart w:id="8019" w:name="_Toc59006983"/>
      <w:bookmarkStart w:id="8020" w:name="_Toc59013461"/>
      <w:bookmarkStart w:id="8021" w:name="_Toc59013709"/>
      <w:bookmarkStart w:id="8022" w:name="_Toc59025775"/>
      <w:r>
        <w:rPr>
          <w:rFonts w:hint="cs"/>
          <w:rtl/>
        </w:rPr>
        <w:t>דברי הרמב"ן ורבינו יונה דהמחזיק הודה בעצמו ואין הספק שקנה המוכר מוציא מהמערער</w:t>
      </w:r>
      <w:bookmarkEnd w:id="8013"/>
      <w:bookmarkEnd w:id="8014"/>
      <w:bookmarkEnd w:id="8015"/>
      <w:bookmarkEnd w:id="8016"/>
      <w:bookmarkEnd w:id="8017"/>
      <w:bookmarkEnd w:id="8018"/>
      <w:bookmarkEnd w:id="8019"/>
      <w:bookmarkEnd w:id="8020"/>
      <w:bookmarkEnd w:id="8021"/>
      <w:bookmarkEnd w:id="8022"/>
    </w:p>
    <w:p w:rsidR="0007171D" w:rsidRDefault="0007171D" w:rsidP="007E4E81">
      <w:pPr>
        <w:pStyle w:val="a0"/>
        <w:rPr>
          <w:rtl/>
        </w:rPr>
      </w:pPr>
      <w:bookmarkStart w:id="8023" w:name="_Ref57911927"/>
      <w:bookmarkStart w:id="8024" w:name="_Ref57910472"/>
      <w:bookmarkStart w:id="8025" w:name="_Ref58875214"/>
      <w:r>
        <w:rPr>
          <w:rFonts w:hint="cs"/>
          <w:rtl/>
        </w:rPr>
        <w:t xml:space="preserve">אלא ביארו </w:t>
      </w:r>
      <w:r w:rsidRPr="00A0551D">
        <w:rPr>
          <w:rStyle w:val="af9"/>
          <w:rFonts w:hint="cs"/>
          <w:rtl/>
        </w:rPr>
        <w:t xml:space="preserve">הרמב"ן </w:t>
      </w:r>
      <w:r w:rsidRPr="001E53F6">
        <w:rPr>
          <w:rStyle w:val="af7"/>
          <w:rFonts w:eastAsia="Guttman Hodes" w:hint="cs"/>
          <w:rtl/>
        </w:rPr>
        <w:t xml:space="preserve">(ד"ה הכי גרסינן) </w:t>
      </w:r>
      <w:r w:rsidRPr="003B09E7">
        <w:rPr>
          <w:rStyle w:val="af9"/>
          <w:rFonts w:hint="cs"/>
          <w:rtl/>
        </w:rPr>
        <w:t>והיד רמ"ה</w:t>
      </w:r>
      <w:r>
        <w:rPr>
          <w:rFonts w:hint="cs"/>
          <w:rtl/>
        </w:rPr>
        <w:t xml:space="preserve"> </w:t>
      </w:r>
      <w:r w:rsidRPr="003B09E7">
        <w:rPr>
          <w:rStyle w:val="af7"/>
          <w:rFonts w:eastAsia="Guttman Hodes" w:hint="cs"/>
          <w:rtl/>
        </w:rPr>
        <w:t>(או' ל"ג ד"ה ההוא)</w:t>
      </w:r>
      <w:r>
        <w:rPr>
          <w:rFonts w:hint="cs"/>
          <w:rtl/>
        </w:rPr>
        <w:t xml:space="preserve"> </w:t>
      </w:r>
      <w:r>
        <w:rPr>
          <w:rStyle w:val="af9"/>
          <w:rFonts w:hint="cs"/>
          <w:rtl/>
        </w:rPr>
        <w:t>ו</w:t>
      </w:r>
      <w:r w:rsidRPr="00CE2165">
        <w:rPr>
          <w:rStyle w:val="af9"/>
          <w:rFonts w:hint="cs"/>
          <w:rtl/>
        </w:rPr>
        <w:t>רבינו יונה</w:t>
      </w:r>
      <w:r w:rsidRPr="00ED1866">
        <w:rPr>
          <w:rFonts w:hint="cs"/>
          <w:rtl/>
        </w:rPr>
        <w:t xml:space="preserve"> </w:t>
      </w:r>
      <w:r w:rsidRPr="00423055">
        <w:rPr>
          <w:rStyle w:val="af7"/>
          <w:rFonts w:eastAsia="Guttman Hodes" w:hint="cs"/>
          <w:rtl/>
        </w:rPr>
        <w:t>(ד"ה ההוא)</w:t>
      </w:r>
      <w:r>
        <w:rPr>
          <w:rFonts w:hint="cs"/>
          <w:rtl/>
        </w:rPr>
        <w:t xml:space="preserve"> </w:t>
      </w:r>
      <w:r>
        <w:rPr>
          <w:rStyle w:val="af9"/>
          <w:rFonts w:hint="cs"/>
          <w:rtl/>
        </w:rPr>
        <w:t>ו</w:t>
      </w:r>
      <w:r w:rsidRPr="00B31086">
        <w:rPr>
          <w:rStyle w:val="af9"/>
          <w:rFonts w:hint="cs"/>
          <w:rtl/>
        </w:rPr>
        <w:t>הרשב"א</w:t>
      </w:r>
      <w:r w:rsidRPr="002D3EAE">
        <w:rPr>
          <w:rStyle w:val="af7"/>
          <w:rFonts w:eastAsia="Guttman Hodes" w:hint="cs"/>
          <w:rtl/>
        </w:rPr>
        <w:t xml:space="preserve"> (ד"ה מעשה)</w:t>
      </w:r>
      <w:r>
        <w:rPr>
          <w:rFonts w:hint="cs"/>
          <w:rtl/>
        </w:rPr>
        <w:t xml:space="preserve"> דהמחזיק מודה למערער שהוא עצמו יודע שהקרקע הייתה של המערער, </w:t>
      </w:r>
      <w:bookmarkStart w:id="8026" w:name="_Ref57911882"/>
      <w:bookmarkEnd w:id="8023"/>
      <w:r>
        <w:rPr>
          <w:rFonts w:hint="cs"/>
          <w:rtl/>
        </w:rPr>
        <w:t xml:space="preserve">ולא שמע כן רק מהמוכר, וכיון שהודה שהייתה של המערער, ומודה שהוא עצמו לא קנה ממנו, וא"כ יש ודאי שהייתה של המערער, וספק אם המוכר קנה מהמערער, ואין ספק מוציא מידי ודאי, וכתב </w:t>
      </w:r>
      <w:r w:rsidRPr="00A0551D">
        <w:rPr>
          <w:rStyle w:val="af9"/>
          <w:rFonts w:hint="cs"/>
          <w:rtl/>
        </w:rPr>
        <w:t>הרמב"ן</w:t>
      </w:r>
      <w:r>
        <w:rPr>
          <w:rFonts w:hint="cs"/>
          <w:rtl/>
        </w:rPr>
        <w:t xml:space="preserve"> דכן מבואר </w:t>
      </w:r>
      <w:r w:rsidRPr="00A0551D">
        <w:rPr>
          <w:rStyle w:val="af9"/>
          <w:rFonts w:hint="cs"/>
          <w:rtl/>
        </w:rPr>
        <w:t>ברי"ף</w:t>
      </w:r>
      <w:r>
        <w:rPr>
          <w:rFonts w:hint="cs"/>
          <w:rtl/>
        </w:rPr>
        <w:t xml:space="preserve"> </w:t>
      </w:r>
      <w:r w:rsidRPr="001E53F6">
        <w:rPr>
          <w:rStyle w:val="af7"/>
          <w:rFonts w:eastAsia="Guttman Hodes" w:hint="cs"/>
          <w:rtl/>
        </w:rPr>
        <w:t xml:space="preserve">(עי' אות </w:t>
      </w:r>
      <w:r w:rsidRPr="001E53F6">
        <w:rPr>
          <w:rStyle w:val="af7"/>
          <w:rFonts w:eastAsia="Guttman Hodes"/>
          <w:rtl/>
        </w:rPr>
        <w:fldChar w:fldCharType="begin"/>
      </w:r>
      <w:r w:rsidRPr="001E53F6">
        <w:rPr>
          <w:rStyle w:val="af7"/>
          <w:rFonts w:eastAsia="Guttman Hodes"/>
          <w:rtl/>
        </w:rPr>
        <w:instrText xml:space="preserve"> </w:instrText>
      </w:r>
      <w:r w:rsidRPr="001E53F6">
        <w:rPr>
          <w:rStyle w:val="af7"/>
          <w:rFonts w:eastAsia="Guttman Hodes" w:hint="cs"/>
        </w:rPr>
        <w:instrText>REF</w:instrText>
      </w:r>
      <w:r w:rsidRPr="001E53F6">
        <w:rPr>
          <w:rStyle w:val="af7"/>
          <w:rFonts w:eastAsia="Guttman Hodes" w:hint="cs"/>
          <w:rtl/>
        </w:rPr>
        <w:instrText xml:space="preserve"> _</w:instrText>
      </w:r>
      <w:r w:rsidRPr="001E53F6">
        <w:rPr>
          <w:rStyle w:val="af7"/>
          <w:rFonts w:eastAsia="Guttman Hodes" w:hint="cs"/>
        </w:rPr>
        <w:instrText>Ref58324662 \r \h</w:instrText>
      </w:r>
      <w:r w:rsidRPr="001E53F6">
        <w:rPr>
          <w:rStyle w:val="af7"/>
          <w:rFonts w:eastAsia="Guttman Hodes"/>
          <w:rtl/>
        </w:rPr>
        <w:instrText xml:space="preserve"> </w:instrText>
      </w:r>
      <w:r w:rsidRPr="001E53F6">
        <w:rPr>
          <w:rStyle w:val="af7"/>
          <w:rFonts w:eastAsia="Guttman Hodes"/>
          <w:rtl/>
        </w:rPr>
      </w:r>
      <w:r w:rsidRPr="001E53F6">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1E53F6">
        <w:rPr>
          <w:rStyle w:val="af7"/>
          <w:rFonts w:eastAsia="Guttman Hodes"/>
          <w:rtl/>
        </w:rPr>
        <w:fldChar w:fldCharType="end"/>
      </w:r>
      <w:r>
        <w:rPr>
          <w:rFonts w:hint="cs"/>
          <w:rtl/>
        </w:rPr>
        <w:t xml:space="preserve">, </w:t>
      </w:r>
      <w:bookmarkStart w:id="8027" w:name="_Ref57910792"/>
      <w:bookmarkEnd w:id="8024"/>
      <w:bookmarkEnd w:id="8026"/>
      <w:r>
        <w:rPr>
          <w:rFonts w:hint="cs"/>
          <w:rtl/>
        </w:rPr>
        <w:t xml:space="preserve">וכתב </w:t>
      </w:r>
      <w:r w:rsidRPr="00CE2165">
        <w:rPr>
          <w:rStyle w:val="af9"/>
          <w:rFonts w:hint="cs"/>
          <w:rtl/>
        </w:rPr>
        <w:t>רבינו יונה</w:t>
      </w:r>
      <w:r>
        <w:rPr>
          <w:rFonts w:hint="cs"/>
          <w:rtl/>
        </w:rPr>
        <w:t xml:space="preserve"> דלכן א"א להאמין למוכר בטענתו שקנה מהמערער כל שאין לו עדים על המכירה, או עידי חזקת ג"ש, כיון שהמחזיק עצמו יודע שהייתה של המערער, </w:t>
      </w:r>
      <w:r w:rsidRPr="004B5FF2">
        <w:rPr>
          <w:rStyle w:val="afb"/>
          <w:rFonts w:hint="cs"/>
          <w:rtl/>
        </w:rPr>
        <w:t xml:space="preserve">[וכתב </w:t>
      </w:r>
      <w:r w:rsidRPr="004B5FF2">
        <w:rPr>
          <w:rStyle w:val="affa"/>
          <w:rFonts w:hint="cs"/>
          <w:rtl/>
        </w:rPr>
        <w:t>הטור</w:t>
      </w:r>
      <w:r w:rsidRPr="004B5FF2">
        <w:rPr>
          <w:rStyle w:val="afb"/>
          <w:rFonts w:hint="cs"/>
          <w:rtl/>
        </w:rPr>
        <w:t xml:space="preserve"> </w:t>
      </w:r>
      <w:r w:rsidRPr="004B5FF2">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Ref58938260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יא)</w:t>
      </w:r>
      <w:r>
        <w:rPr>
          <w:rStyle w:val="aff6"/>
          <w:rtl/>
        </w:rPr>
        <w:fldChar w:fldCharType="end"/>
      </w:r>
      <w:r w:rsidRPr="004B5FF2">
        <w:rPr>
          <w:rStyle w:val="aff6"/>
          <w:rFonts w:hint="cs"/>
          <w:rtl/>
        </w:rPr>
        <w:t xml:space="preserve"> </w:t>
      </w:r>
      <w:r w:rsidRPr="004B5FF2">
        <w:rPr>
          <w:rStyle w:val="affa"/>
          <w:rFonts w:hint="cs"/>
          <w:rtl/>
        </w:rPr>
        <w:t>דרבינו יונה</w:t>
      </w:r>
      <w:r w:rsidRPr="004B5FF2">
        <w:rPr>
          <w:rStyle w:val="afb"/>
          <w:rFonts w:hint="cs"/>
          <w:rtl/>
        </w:rPr>
        <w:t xml:space="preserve"> ביאר כן בדעת </w:t>
      </w:r>
      <w:r w:rsidRPr="004B5FF2">
        <w:rPr>
          <w:rStyle w:val="affa"/>
          <w:rFonts w:hint="cs"/>
          <w:rtl/>
        </w:rPr>
        <w:t>הרשב"ם</w:t>
      </w:r>
      <w:r w:rsidRPr="004B5FF2">
        <w:rPr>
          <w:rStyle w:val="afb"/>
          <w:rFonts w:hint="cs"/>
          <w:rtl/>
        </w:rPr>
        <w:t xml:space="preserve"> </w:t>
      </w:r>
      <w:r w:rsidRPr="004B5FF2">
        <w:rPr>
          <w:rStyle w:val="aff6"/>
          <w:rFonts w:hint="cs"/>
          <w:rtl/>
        </w:rPr>
        <w:t xml:space="preserve">(עי' אות </w:t>
      </w:r>
      <w:r w:rsidRPr="004B5FF2">
        <w:rPr>
          <w:rStyle w:val="aff6"/>
          <w:rtl/>
        </w:rPr>
        <w:fldChar w:fldCharType="begin"/>
      </w:r>
      <w:r w:rsidRPr="004B5FF2">
        <w:rPr>
          <w:rStyle w:val="aff6"/>
          <w:rtl/>
        </w:rPr>
        <w:instrText xml:space="preserve"> </w:instrText>
      </w:r>
      <w:r w:rsidRPr="004B5FF2">
        <w:rPr>
          <w:rStyle w:val="aff6"/>
          <w:rFonts w:hint="cs"/>
        </w:rPr>
        <w:instrText>REF</w:instrText>
      </w:r>
      <w:r w:rsidRPr="004B5FF2">
        <w:rPr>
          <w:rStyle w:val="aff6"/>
          <w:rFonts w:hint="cs"/>
          <w:rtl/>
        </w:rPr>
        <w:instrText xml:space="preserve"> _</w:instrText>
      </w:r>
      <w:r w:rsidRPr="004B5FF2">
        <w:rPr>
          <w:rStyle w:val="aff6"/>
          <w:rFonts w:hint="cs"/>
        </w:rPr>
        <w:instrText>Ref58342126 \r \h</w:instrText>
      </w:r>
      <w:r w:rsidRPr="004B5FF2">
        <w:rPr>
          <w:rStyle w:val="aff6"/>
          <w:rtl/>
        </w:rPr>
        <w:instrText xml:space="preserve"> </w:instrText>
      </w:r>
      <w:r w:rsidRPr="004B5FF2">
        <w:rPr>
          <w:rStyle w:val="aff6"/>
          <w:rtl/>
        </w:rPr>
      </w:r>
      <w:r w:rsidRPr="004B5FF2">
        <w:rPr>
          <w:rStyle w:val="aff6"/>
          <w:rtl/>
        </w:rPr>
        <w:fldChar w:fldCharType="separate"/>
      </w:r>
      <w:r w:rsidR="00265073">
        <w:rPr>
          <w:rStyle w:val="aff6"/>
          <w:cs/>
        </w:rPr>
        <w:t>‎</w:t>
      </w:r>
      <w:r w:rsidR="00265073">
        <w:rPr>
          <w:rStyle w:val="aff6"/>
          <w:rtl/>
        </w:rPr>
        <w:t>ב)</w:t>
      </w:r>
      <w:r w:rsidRPr="004B5FF2">
        <w:rPr>
          <w:rStyle w:val="aff6"/>
          <w:rtl/>
        </w:rPr>
        <w:fldChar w:fldCharType="end"/>
      </w:r>
      <w:r w:rsidRPr="004B5FF2">
        <w:rPr>
          <w:rStyle w:val="afb"/>
          <w:rFonts w:hint="cs"/>
          <w:rtl/>
        </w:rPr>
        <w:t>],</w:t>
      </w:r>
      <w:r>
        <w:rPr>
          <w:rFonts w:hint="cs"/>
          <w:rtl/>
        </w:rPr>
        <w:t xml:space="preserve"> </w:t>
      </w:r>
      <w:bookmarkEnd w:id="8027"/>
      <w:r>
        <w:rPr>
          <w:rFonts w:hint="cs"/>
          <w:rtl/>
        </w:rPr>
        <w:t xml:space="preserve">ועי' במה שהקשה </w:t>
      </w:r>
      <w:r w:rsidRPr="00CE2165">
        <w:rPr>
          <w:rStyle w:val="af9"/>
          <w:rFonts w:hint="cs"/>
          <w:rtl/>
        </w:rPr>
        <w:t>התוס' רי"ד</w:t>
      </w:r>
      <w:r>
        <w:rPr>
          <w:rFonts w:hint="cs"/>
          <w:rtl/>
        </w:rPr>
        <w:t xml:space="preserve"> </w:t>
      </w:r>
      <w:r w:rsidRPr="00FC6DBA">
        <w:rPr>
          <w:rStyle w:val="af7"/>
          <w:rFonts w:eastAsia="Guttman Rashi" w:hint="cs"/>
          <w:rtl/>
        </w:rPr>
        <w:t xml:space="preserve">(עי' אות </w:t>
      </w:r>
      <w:r w:rsidRPr="00FC6DBA">
        <w:rPr>
          <w:rStyle w:val="af7"/>
          <w:rFonts w:eastAsia="Guttman Rashi"/>
          <w:rtl/>
        </w:rPr>
        <w:fldChar w:fldCharType="begin"/>
      </w:r>
      <w:r w:rsidRPr="00FC6DBA">
        <w:rPr>
          <w:rStyle w:val="af7"/>
          <w:rFonts w:eastAsia="Guttman Rashi"/>
          <w:rtl/>
        </w:rPr>
        <w:instrText xml:space="preserve"> </w:instrText>
      </w:r>
      <w:r w:rsidRPr="00FC6DBA">
        <w:rPr>
          <w:rStyle w:val="af7"/>
          <w:rFonts w:eastAsia="Guttman Rashi" w:hint="cs"/>
        </w:rPr>
        <w:instrText>REF</w:instrText>
      </w:r>
      <w:r w:rsidRPr="00FC6DBA">
        <w:rPr>
          <w:rStyle w:val="af7"/>
          <w:rFonts w:eastAsia="Guttman Rashi" w:hint="cs"/>
          <w:rtl/>
        </w:rPr>
        <w:instrText xml:space="preserve"> _</w:instrText>
      </w:r>
      <w:r w:rsidRPr="00FC6DBA">
        <w:rPr>
          <w:rStyle w:val="af7"/>
          <w:rFonts w:eastAsia="Guttman Rashi" w:hint="cs"/>
        </w:rPr>
        <w:instrText>Ref60219109 \r \h</w:instrText>
      </w:r>
      <w:r w:rsidRPr="00FC6DBA">
        <w:rPr>
          <w:rStyle w:val="af7"/>
          <w:rFonts w:eastAsia="Guttman Rashi"/>
          <w:rtl/>
        </w:rPr>
        <w:instrText xml:space="preserve"> </w:instrText>
      </w:r>
      <w:r w:rsidRPr="00FC6DBA">
        <w:rPr>
          <w:rStyle w:val="af7"/>
          <w:rFonts w:eastAsia="Guttman Rashi"/>
          <w:rtl/>
        </w:rPr>
      </w:r>
      <w:r w:rsidRPr="00FC6DBA">
        <w:rPr>
          <w:rStyle w:val="af7"/>
          <w:rFonts w:eastAsia="Guttman Rashi"/>
          <w:rtl/>
        </w:rPr>
        <w:fldChar w:fldCharType="separate"/>
      </w:r>
      <w:r w:rsidR="00265073">
        <w:rPr>
          <w:rStyle w:val="af7"/>
          <w:rFonts w:eastAsia="Guttman Rashi"/>
          <w:cs/>
        </w:rPr>
        <w:t>‎</w:t>
      </w:r>
      <w:r w:rsidR="00265073">
        <w:rPr>
          <w:rStyle w:val="af7"/>
          <w:rFonts w:eastAsia="Guttman Rashi"/>
          <w:rtl/>
        </w:rPr>
        <w:t>ז)</w:t>
      </w:r>
      <w:r w:rsidRPr="00FC6DBA">
        <w:rPr>
          <w:rStyle w:val="af7"/>
          <w:rFonts w:eastAsia="Guttman Rashi"/>
          <w:rtl/>
        </w:rPr>
        <w:fldChar w:fldCharType="end"/>
      </w:r>
      <w:r>
        <w:rPr>
          <w:rFonts w:hint="cs"/>
          <w:rtl/>
        </w:rPr>
        <w:t>.</w:t>
      </w:r>
      <w:bookmarkEnd w:id="8025"/>
    </w:p>
    <w:p w:rsidR="0007171D" w:rsidRPr="00397E51" w:rsidRDefault="0007171D" w:rsidP="0007171D">
      <w:pPr>
        <w:pStyle w:val="afe"/>
        <w:rPr>
          <w:rtl/>
        </w:rPr>
      </w:pPr>
      <w:bookmarkStart w:id="8028" w:name="_Toc58843007"/>
      <w:bookmarkStart w:id="8029" w:name="_Toc58876209"/>
      <w:bookmarkStart w:id="8030" w:name="_Toc58877617"/>
      <w:bookmarkStart w:id="8031" w:name="_Toc58914676"/>
      <w:bookmarkStart w:id="8032" w:name="_Toc58925970"/>
      <w:bookmarkStart w:id="8033" w:name="_Toc58930044"/>
      <w:bookmarkStart w:id="8034" w:name="_Toc58938195"/>
      <w:bookmarkStart w:id="8035" w:name="_Toc59006984"/>
      <w:bookmarkStart w:id="8036" w:name="_Toc59013462"/>
      <w:bookmarkStart w:id="8037" w:name="_Toc59013710"/>
      <w:bookmarkStart w:id="8038" w:name="_Toc59025776"/>
      <w:bookmarkEnd w:id="7993"/>
      <w:bookmarkEnd w:id="7994"/>
      <w:bookmarkEnd w:id="7995"/>
      <w:bookmarkEnd w:id="7996"/>
      <w:bookmarkEnd w:id="7997"/>
      <w:bookmarkEnd w:id="7998"/>
      <w:bookmarkEnd w:id="7999"/>
      <w:bookmarkEnd w:id="8000"/>
      <w:bookmarkEnd w:id="8001"/>
      <w:bookmarkEnd w:id="8002"/>
      <w:r>
        <w:rPr>
          <w:rFonts w:hint="cs"/>
          <w:rtl/>
        </w:rPr>
        <w:t>בי' הראשונים במה הודה המחזיק בדבריו</w:t>
      </w:r>
      <w:bookmarkEnd w:id="8028"/>
      <w:bookmarkEnd w:id="8029"/>
      <w:bookmarkEnd w:id="8030"/>
      <w:bookmarkEnd w:id="8031"/>
      <w:bookmarkEnd w:id="8032"/>
      <w:bookmarkEnd w:id="8033"/>
      <w:bookmarkEnd w:id="8034"/>
      <w:bookmarkEnd w:id="8035"/>
      <w:bookmarkEnd w:id="8036"/>
      <w:bookmarkEnd w:id="8037"/>
      <w:bookmarkEnd w:id="8038"/>
    </w:p>
    <w:p w:rsidR="0007171D" w:rsidRPr="00984730" w:rsidRDefault="0007171D" w:rsidP="0007171D">
      <w:pPr>
        <w:pStyle w:val="1"/>
        <w:rPr>
          <w:rtl/>
        </w:rPr>
      </w:pPr>
      <w:bookmarkStart w:id="8039" w:name="_Toc58409402"/>
      <w:bookmarkStart w:id="8040" w:name="_Toc58432796"/>
      <w:bookmarkStart w:id="8041" w:name="_Toc58579998"/>
      <w:bookmarkStart w:id="8042" w:name="_Toc58843008"/>
      <w:bookmarkStart w:id="8043" w:name="_Toc58876210"/>
      <w:bookmarkStart w:id="8044" w:name="_Toc58877618"/>
      <w:bookmarkStart w:id="8045" w:name="_Toc58914677"/>
      <w:bookmarkStart w:id="8046" w:name="_Toc58925971"/>
      <w:bookmarkStart w:id="8047" w:name="_Toc58930045"/>
      <w:bookmarkStart w:id="8048" w:name="_Toc58938196"/>
      <w:bookmarkStart w:id="8049" w:name="_Toc59006985"/>
      <w:bookmarkStart w:id="8050" w:name="_Toc59013463"/>
      <w:bookmarkStart w:id="8051" w:name="_Toc59013711"/>
      <w:bookmarkStart w:id="8052" w:name="_Toc59025777"/>
      <w:r>
        <w:rPr>
          <w:rFonts w:hint="cs"/>
          <w:rtl/>
        </w:rPr>
        <w:t>ביאור רבינו יונה היאך כלולה ההודאה בדברי המחזיק</w:t>
      </w:r>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p>
    <w:p w:rsidR="0007171D" w:rsidRPr="00E165DE" w:rsidRDefault="0007171D" w:rsidP="0007171D">
      <w:pPr>
        <w:pStyle w:val="a3"/>
        <w:rPr>
          <w:rtl/>
        </w:rPr>
      </w:pPr>
      <w:bookmarkStart w:id="8053" w:name="_Toc58877619"/>
      <w:bookmarkStart w:id="8054" w:name="_Toc58914678"/>
      <w:bookmarkStart w:id="8055" w:name="_Toc58925972"/>
      <w:bookmarkStart w:id="8056" w:name="_Toc58930046"/>
      <w:bookmarkStart w:id="8057" w:name="_Toc58938197"/>
      <w:bookmarkStart w:id="8058" w:name="_Toc59006986"/>
      <w:bookmarkStart w:id="8059" w:name="_Toc59013464"/>
      <w:bookmarkStart w:id="8060" w:name="_Toc59013712"/>
      <w:bookmarkStart w:id="8061" w:name="_Toc59025778"/>
      <w:r>
        <w:rPr>
          <w:rFonts w:hint="cs"/>
          <w:rtl/>
        </w:rPr>
        <w:t>ביאור רבינו יונה דכשטען המערער למחזיק וכי אינך מודה לי ושתק המחזיק חשיב כהודאה</w:t>
      </w:r>
      <w:bookmarkEnd w:id="8053"/>
      <w:bookmarkEnd w:id="8054"/>
      <w:bookmarkEnd w:id="8055"/>
      <w:bookmarkEnd w:id="8056"/>
      <w:bookmarkEnd w:id="8057"/>
      <w:bookmarkEnd w:id="8058"/>
      <w:bookmarkEnd w:id="8059"/>
      <w:bookmarkEnd w:id="8060"/>
      <w:bookmarkEnd w:id="8061"/>
    </w:p>
    <w:p w:rsidR="0007171D" w:rsidRDefault="0007171D" w:rsidP="007E4E81">
      <w:pPr>
        <w:pStyle w:val="a0"/>
        <w:rPr>
          <w:rStyle w:val="afb"/>
          <w:rtl/>
        </w:rPr>
      </w:pPr>
      <w:bookmarkStart w:id="8062" w:name="_Ref58876326"/>
      <w:bookmarkStart w:id="8063" w:name="_Ref57910944"/>
      <w:r>
        <w:rPr>
          <w:rFonts w:hint="cs"/>
          <w:rtl/>
        </w:rPr>
        <w:t xml:space="preserve">וביאר </w:t>
      </w:r>
      <w:r w:rsidRPr="00660DFB">
        <w:rPr>
          <w:rStyle w:val="af9"/>
          <w:rFonts w:hint="cs"/>
          <w:rtl/>
        </w:rPr>
        <w:t>רבינו יונה</w:t>
      </w:r>
      <w:r>
        <w:rPr>
          <w:rFonts w:hint="cs"/>
          <w:rtl/>
        </w:rPr>
        <w:t xml:space="preserve"> </w:t>
      </w:r>
      <w:r w:rsidRPr="00CE2165">
        <w:rPr>
          <w:rStyle w:val="af7"/>
          <w:rFonts w:eastAsia="Guttman Hodes" w:hint="cs"/>
          <w:rtl/>
        </w:rPr>
        <w:t>(ד"ה ההוא)</w:t>
      </w:r>
      <w:r w:rsidRPr="00ED1866">
        <w:rPr>
          <w:rFonts w:hint="cs"/>
          <w:rtl/>
        </w:rPr>
        <w:t xml:space="preserve"> </w:t>
      </w:r>
      <w:r>
        <w:rPr>
          <w:rFonts w:hint="cs"/>
          <w:rtl/>
        </w:rPr>
        <w:t>דההודאה של המחזיק הייתה במה שחקרו המערער, ואמר לו "לאו קא מודית</w:t>
      </w:r>
      <w:r>
        <w:rPr>
          <w:rtl/>
        </w:rPr>
        <w:t>"</w:t>
      </w:r>
      <w:r>
        <w:rPr>
          <w:rFonts w:hint="cs"/>
          <w:rtl/>
        </w:rPr>
        <w:t xml:space="preserve">, דהיינו דטען לו המערער האם אינך מודה שידוע לך שהקרקע היא שלי ואתה לא קנית ממני, וכל מה שידוע לך שהמוכר קנה ממני, היינו לפי מה ששמעת מהמוכר, והרי לא היה לך להאמין למוכר בלא עדים, ולא היית צריך להניח את הודאי דהייתה הקרקע שלי, מפני הספק דאומר המוכר שקנה ממני, וכתב </w:t>
      </w:r>
      <w:r w:rsidRPr="00660DFB">
        <w:rPr>
          <w:rStyle w:val="af9"/>
          <w:rFonts w:hint="cs"/>
          <w:rtl/>
        </w:rPr>
        <w:t>רבינו יונה</w:t>
      </w:r>
      <w:r>
        <w:rPr>
          <w:rFonts w:hint="cs"/>
          <w:rtl/>
        </w:rPr>
        <w:t xml:space="preserve"> דהמחזיק שתק על טענה זו, ושתיקתו היא כהודאה, וכ"כ </w:t>
      </w:r>
      <w:r w:rsidRPr="0075541D">
        <w:rPr>
          <w:rStyle w:val="af9"/>
          <w:rFonts w:hint="cs"/>
          <w:rtl/>
        </w:rPr>
        <w:t>הריטב"א</w:t>
      </w:r>
      <w:r>
        <w:rPr>
          <w:rFonts w:hint="cs"/>
          <w:rtl/>
        </w:rPr>
        <w:t xml:space="preserve"> </w:t>
      </w:r>
      <w:r w:rsidRPr="0075541D">
        <w:rPr>
          <w:rStyle w:val="af7"/>
          <w:rFonts w:eastAsia="Guttman Hodes" w:hint="cs"/>
          <w:rtl/>
        </w:rPr>
        <w:t>(ד"ה והא)</w:t>
      </w:r>
      <w:r>
        <w:rPr>
          <w:rFonts w:hint="cs"/>
          <w:rtl/>
        </w:rPr>
        <w:t xml:space="preserve"> בשם </w:t>
      </w:r>
      <w:r w:rsidRPr="0075541D">
        <w:rPr>
          <w:rStyle w:val="af9"/>
          <w:rFonts w:hint="cs"/>
          <w:rtl/>
        </w:rPr>
        <w:t>הרא"ה</w:t>
      </w:r>
      <w:r>
        <w:rPr>
          <w:rFonts w:hint="cs"/>
          <w:rtl/>
        </w:rPr>
        <w:t xml:space="preserve">, וכ"כ </w:t>
      </w:r>
      <w:r w:rsidRPr="003B09E7">
        <w:rPr>
          <w:rStyle w:val="af9"/>
          <w:rFonts w:hint="cs"/>
          <w:rtl/>
        </w:rPr>
        <w:t>היד רמ"ה</w:t>
      </w:r>
      <w:r>
        <w:rPr>
          <w:rFonts w:hint="cs"/>
          <w:rtl/>
        </w:rPr>
        <w:t xml:space="preserve"> </w:t>
      </w:r>
      <w:r w:rsidRPr="00DB712E">
        <w:rPr>
          <w:rStyle w:val="af7"/>
          <w:rFonts w:eastAsia="Guttman Hodes" w:hint="cs"/>
          <w:rtl/>
        </w:rPr>
        <w:t>(או' ל"ג ד"ה ההוא)</w:t>
      </w:r>
      <w:r>
        <w:rPr>
          <w:rFonts w:hint="cs"/>
          <w:rtl/>
        </w:rPr>
        <w:t xml:space="preserve"> דלפי הגירסאות דלא גרסי בגמ' "אמר ליה </w:t>
      </w:r>
      <w:r>
        <w:rPr>
          <w:rFonts w:hint="cs"/>
          <w:rtl/>
        </w:rPr>
        <w:t xml:space="preserve">אין", </w:t>
      </w:r>
      <w:r w:rsidRPr="00791AEA">
        <w:rPr>
          <w:rStyle w:val="afb"/>
          <w:rFonts w:hint="cs"/>
          <w:rtl/>
        </w:rPr>
        <w:t xml:space="preserve">[כדגרס </w:t>
      </w:r>
      <w:r w:rsidRPr="00791AEA">
        <w:rPr>
          <w:rStyle w:val="affa"/>
          <w:rFonts w:hint="cs"/>
          <w:rtl/>
        </w:rPr>
        <w:t>היד רמ"ה</w:t>
      </w:r>
      <w:r w:rsidRPr="00791AEA">
        <w:rPr>
          <w:rStyle w:val="afb"/>
          <w:rFonts w:hint="cs"/>
          <w:rtl/>
        </w:rPr>
        <w:t xml:space="preserve"> </w:t>
      </w:r>
      <w:r w:rsidRPr="00791AEA">
        <w:rPr>
          <w:rStyle w:val="aff6"/>
          <w:rFonts w:hint="cs"/>
          <w:rtl/>
        </w:rPr>
        <w:t xml:space="preserve">(עי' אות </w:t>
      </w:r>
      <w:r w:rsidRPr="00791AEA">
        <w:rPr>
          <w:rStyle w:val="aff6"/>
          <w:rtl/>
        </w:rPr>
        <w:fldChar w:fldCharType="begin"/>
      </w:r>
      <w:r w:rsidRPr="00791AEA">
        <w:rPr>
          <w:rStyle w:val="aff6"/>
          <w:rtl/>
        </w:rPr>
        <w:instrText xml:space="preserve"> </w:instrText>
      </w:r>
      <w:r w:rsidRPr="00791AEA">
        <w:rPr>
          <w:rStyle w:val="aff6"/>
          <w:rFonts w:hint="cs"/>
        </w:rPr>
        <w:instrText>REF</w:instrText>
      </w:r>
      <w:r w:rsidRPr="00791AEA">
        <w:rPr>
          <w:rStyle w:val="aff6"/>
          <w:rFonts w:hint="cs"/>
          <w:rtl/>
        </w:rPr>
        <w:instrText xml:space="preserve"> _</w:instrText>
      </w:r>
      <w:r w:rsidRPr="00791AEA">
        <w:rPr>
          <w:rStyle w:val="aff6"/>
          <w:rFonts w:hint="cs"/>
        </w:rPr>
        <w:instrText>Ref58877208 \r \h</w:instrText>
      </w:r>
      <w:r w:rsidRPr="00791AEA">
        <w:rPr>
          <w:rStyle w:val="aff6"/>
          <w:rtl/>
        </w:rPr>
        <w:instrText xml:space="preserve"> </w:instrText>
      </w:r>
      <w:r w:rsidRPr="00791AEA">
        <w:rPr>
          <w:rStyle w:val="aff6"/>
          <w:rtl/>
        </w:rPr>
      </w:r>
      <w:r w:rsidRPr="00791AEA">
        <w:rPr>
          <w:rStyle w:val="aff6"/>
          <w:rtl/>
        </w:rPr>
        <w:fldChar w:fldCharType="separate"/>
      </w:r>
      <w:r w:rsidR="00265073">
        <w:rPr>
          <w:rStyle w:val="aff6"/>
          <w:cs/>
        </w:rPr>
        <w:t>‎</w:t>
      </w:r>
      <w:r w:rsidR="00265073">
        <w:rPr>
          <w:rStyle w:val="aff6"/>
          <w:rtl/>
        </w:rPr>
        <w:t>לא)</w:t>
      </w:r>
      <w:r w:rsidRPr="00791AEA">
        <w:rPr>
          <w:rStyle w:val="aff6"/>
          <w:rtl/>
        </w:rPr>
        <w:fldChar w:fldCharType="end"/>
      </w:r>
      <w:r w:rsidRPr="00791AEA">
        <w:rPr>
          <w:rStyle w:val="afb"/>
          <w:rFonts w:hint="cs"/>
          <w:rtl/>
        </w:rPr>
        <w:t>],</w:t>
      </w:r>
      <w:r>
        <w:rPr>
          <w:rFonts w:hint="cs"/>
          <w:rtl/>
        </w:rPr>
        <w:t xml:space="preserve"> כיון שאמר לו כן בב"ד לכן שתיקתו כהודאה, ועי' במה שביאר </w:t>
      </w:r>
      <w:r w:rsidRPr="003E27D4">
        <w:rPr>
          <w:rStyle w:val="af9"/>
          <w:rFonts w:hint="cs"/>
          <w:rtl/>
        </w:rPr>
        <w:t>האבהא"ז</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Ref58838279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660DFB">
        <w:rPr>
          <w:rStyle w:val="af9"/>
          <w:rFonts w:hint="cs"/>
          <w:rtl/>
        </w:rPr>
        <w:t>רבינו יונה</w:t>
      </w:r>
      <w:r>
        <w:rPr>
          <w:rFonts w:hint="cs"/>
          <w:rtl/>
        </w:rPr>
        <w:t>.</w:t>
      </w:r>
      <w:bookmarkEnd w:id="8062"/>
      <w:r w:rsidRPr="00486256">
        <w:rPr>
          <w:rFonts w:hint="cs"/>
          <w:rtl/>
        </w:rPr>
        <w:t xml:space="preserve"> </w:t>
      </w:r>
      <w:bookmarkEnd w:id="8063"/>
    </w:p>
    <w:p w:rsidR="0007171D" w:rsidRPr="00C61DF5" w:rsidRDefault="0007171D" w:rsidP="0007171D">
      <w:pPr>
        <w:pStyle w:val="a3"/>
      </w:pPr>
      <w:bookmarkStart w:id="8064" w:name="_Toc58877620"/>
      <w:bookmarkStart w:id="8065" w:name="_Toc58914679"/>
      <w:bookmarkStart w:id="8066" w:name="_Toc58925973"/>
      <w:bookmarkStart w:id="8067" w:name="_Toc58930047"/>
      <w:bookmarkStart w:id="8068" w:name="_Toc58938198"/>
      <w:bookmarkStart w:id="8069" w:name="_Toc59006987"/>
      <w:bookmarkStart w:id="8070" w:name="_Toc59013465"/>
      <w:bookmarkStart w:id="8071" w:name="_Toc59013713"/>
      <w:bookmarkStart w:id="8072" w:name="_Toc59025779"/>
      <w:r>
        <w:rPr>
          <w:rFonts w:hint="cs"/>
          <w:rtl/>
        </w:rPr>
        <w:t>דברי רבינו יונה דיש גירסאות דגרסי ב' פעמים אמר ליה ומוכח דשתיקת המחזיק חשיבא הודאה</w:t>
      </w:r>
      <w:bookmarkEnd w:id="8064"/>
      <w:bookmarkEnd w:id="8065"/>
      <w:bookmarkEnd w:id="8066"/>
      <w:bookmarkEnd w:id="8067"/>
      <w:bookmarkEnd w:id="8068"/>
      <w:bookmarkEnd w:id="8069"/>
      <w:bookmarkEnd w:id="8070"/>
      <w:bookmarkEnd w:id="8071"/>
      <w:bookmarkEnd w:id="8072"/>
    </w:p>
    <w:p w:rsidR="0007171D" w:rsidRDefault="0007171D" w:rsidP="007E4E81">
      <w:pPr>
        <w:pStyle w:val="a0"/>
      </w:pPr>
      <w:bookmarkStart w:id="8073" w:name="_Ref58407520"/>
      <w:r>
        <w:rPr>
          <w:rFonts w:hint="cs"/>
          <w:rtl/>
        </w:rPr>
        <w:t xml:space="preserve">ועוד ביאר </w:t>
      </w:r>
      <w:r w:rsidRPr="00CE2165">
        <w:rPr>
          <w:rStyle w:val="af9"/>
          <w:rFonts w:hint="cs"/>
          <w:rtl/>
        </w:rPr>
        <w:t>רבינו יונה</w:t>
      </w:r>
      <w:r>
        <w:rPr>
          <w:rFonts w:hint="cs"/>
          <w:rtl/>
        </w:rPr>
        <w:t xml:space="preserve"> דאיירי שהודה לו בפירוש, דהוא יודע מתחילה שהקרקע הייתה של המערער, ולכן אמר רבא דהדין עם המערער, וכתב </w:t>
      </w:r>
      <w:r w:rsidRPr="0022012C">
        <w:rPr>
          <w:rStyle w:val="af9"/>
          <w:rFonts w:hint="cs"/>
          <w:rtl/>
        </w:rPr>
        <w:t>רבינו יונה</w:t>
      </w:r>
      <w:r>
        <w:rPr>
          <w:rFonts w:hint="cs"/>
          <w:rtl/>
        </w:rPr>
        <w:t xml:space="preserve"> דיש להביא ראיה לזה מהא דיש גירסאות דגרסי דאחר שטען המערער למחזיק "לאו קא מודית</w:t>
      </w:r>
      <w:r>
        <w:rPr>
          <w:rtl/>
        </w:rPr>
        <w:t>"</w:t>
      </w:r>
      <w:r>
        <w:rPr>
          <w:rFonts w:hint="cs"/>
          <w:rtl/>
        </w:rPr>
        <w:t xml:space="preserve">, הוסיף ואמר ליה א"כ לאו בע"ד דידי את, וכתב </w:t>
      </w:r>
      <w:r w:rsidRPr="00CE2165">
        <w:rPr>
          <w:rStyle w:val="af9"/>
          <w:rFonts w:hint="cs"/>
          <w:rtl/>
        </w:rPr>
        <w:t>רבינו יונה</w:t>
      </w:r>
      <w:r>
        <w:rPr>
          <w:rFonts w:hint="cs"/>
          <w:rtl/>
        </w:rPr>
        <w:t xml:space="preserve"> דכיון דגרסינן ב' פעמים "אמר ליה", א"כ משמע שבתחילה שאל המערער את המחזיק ואמר ליה "לאו קא מודית</w:t>
      </w:r>
      <w:r>
        <w:rPr>
          <w:rtl/>
        </w:rPr>
        <w:t>"</w:t>
      </w:r>
      <w:r>
        <w:rPr>
          <w:rFonts w:hint="cs"/>
          <w:rtl/>
        </w:rPr>
        <w:t xml:space="preserve">, ואח"כ ששתק המחזיק או הודה לו שהייתה שלו, חזר ואמר ליה המערער לאו בע"ד דידי את. </w:t>
      </w:r>
      <w:r w:rsidRPr="00984730">
        <w:rPr>
          <w:rStyle w:val="afb"/>
          <w:rFonts w:hint="cs"/>
          <w:rtl/>
        </w:rPr>
        <w:t xml:space="preserve">[ומיושבת לפי"ז קושית </w:t>
      </w:r>
      <w:r w:rsidRPr="00984730">
        <w:rPr>
          <w:rStyle w:val="affa"/>
          <w:rFonts w:hint="cs"/>
          <w:rtl/>
        </w:rPr>
        <w:t>הראב"ד</w:t>
      </w:r>
      <w:r w:rsidRPr="00984730">
        <w:rPr>
          <w:rStyle w:val="afb"/>
          <w:rFonts w:hint="cs"/>
          <w:rtl/>
        </w:rPr>
        <w:t xml:space="preserve"> </w:t>
      </w:r>
      <w:bookmarkStart w:id="8074" w:name="_Toc58144895"/>
      <w:bookmarkStart w:id="8075" w:name="_Toc58272582"/>
      <w:bookmarkStart w:id="8076" w:name="_Toc58325000"/>
      <w:bookmarkStart w:id="8077" w:name="_Toc58359145"/>
      <w:bookmarkStart w:id="8078" w:name="_Toc57925951"/>
      <w:bookmarkStart w:id="8079" w:name="_Toc58091642"/>
      <w:bookmarkStart w:id="8080" w:name="_Toc58144893"/>
      <w:bookmarkStart w:id="8081" w:name="_Toc58272580"/>
      <w:bookmarkStart w:id="8082" w:name="_Toc58324998"/>
      <w:bookmarkStart w:id="8083" w:name="_Toc58359143"/>
      <w:r w:rsidRPr="00984730">
        <w:rPr>
          <w:rStyle w:val="aff6"/>
          <w:rFonts w:hint="cs"/>
          <w:rtl/>
        </w:rPr>
        <w:t>(עי' א</w:t>
      </w:r>
      <w:r>
        <w:rPr>
          <w:rStyle w:val="aff6"/>
          <w:rFonts w:hint="cs"/>
          <w:rtl/>
        </w:rPr>
        <w:t xml:space="preserve">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Ref58407487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לג)</w:t>
      </w:r>
      <w:r>
        <w:rPr>
          <w:rStyle w:val="aff6"/>
          <w:rtl/>
        </w:rPr>
        <w:fldChar w:fldCharType="end"/>
      </w:r>
      <w:r w:rsidRPr="00984730">
        <w:rPr>
          <w:rStyle w:val="afb"/>
          <w:rFonts w:hint="cs"/>
          <w:rtl/>
        </w:rPr>
        <w:t>].</w:t>
      </w:r>
      <w:bookmarkEnd w:id="8073"/>
      <w:r>
        <w:rPr>
          <w:rFonts w:hint="cs"/>
          <w:rtl/>
        </w:rPr>
        <w:t xml:space="preserve"> </w:t>
      </w:r>
    </w:p>
    <w:p w:rsidR="0007171D" w:rsidRPr="001501FD" w:rsidRDefault="0007171D" w:rsidP="0007171D">
      <w:pPr>
        <w:pStyle w:val="a3"/>
        <w:rPr>
          <w:rtl/>
        </w:rPr>
      </w:pPr>
      <w:bookmarkStart w:id="8084" w:name="_Toc58877621"/>
      <w:bookmarkStart w:id="8085" w:name="_Toc58914680"/>
      <w:bookmarkStart w:id="8086" w:name="_Toc58925974"/>
      <w:bookmarkStart w:id="8087" w:name="_Toc58930048"/>
      <w:bookmarkStart w:id="8088" w:name="_Toc58938199"/>
      <w:bookmarkStart w:id="8089" w:name="_Toc59006988"/>
      <w:bookmarkStart w:id="8090" w:name="_Toc59013466"/>
      <w:bookmarkStart w:id="8091" w:name="_Toc59013714"/>
      <w:bookmarkStart w:id="8092" w:name="_Toc59025780"/>
      <w:bookmarkStart w:id="8093" w:name="_Ref58406802"/>
      <w:bookmarkEnd w:id="8074"/>
      <w:bookmarkEnd w:id="8075"/>
      <w:bookmarkEnd w:id="8076"/>
      <w:bookmarkEnd w:id="8077"/>
      <w:r>
        <w:rPr>
          <w:rFonts w:hint="cs"/>
          <w:rtl/>
        </w:rPr>
        <w:t>גירסת הרמ"ה דהמחזיק א"ל אין והודה בפירוש למחזיק ואין הספק שקנה המוכר מוציא מהודאי</w:t>
      </w:r>
      <w:bookmarkEnd w:id="8084"/>
      <w:bookmarkEnd w:id="8085"/>
      <w:bookmarkEnd w:id="8086"/>
      <w:bookmarkEnd w:id="8087"/>
      <w:bookmarkEnd w:id="8088"/>
      <w:bookmarkEnd w:id="8089"/>
      <w:bookmarkEnd w:id="8090"/>
      <w:bookmarkEnd w:id="8091"/>
      <w:bookmarkEnd w:id="8092"/>
    </w:p>
    <w:p w:rsidR="0007171D" w:rsidRDefault="0007171D" w:rsidP="007E4E81">
      <w:pPr>
        <w:pStyle w:val="a0"/>
        <w:rPr>
          <w:sz w:val="10"/>
          <w:szCs w:val="14"/>
          <w:rtl/>
        </w:rPr>
      </w:pPr>
      <w:bookmarkStart w:id="8094" w:name="_Ref58852029"/>
      <w:bookmarkStart w:id="8095" w:name="_Ref58877208"/>
      <w:r w:rsidRPr="003B09E7">
        <w:rPr>
          <w:rStyle w:val="af9"/>
          <w:rFonts w:hint="cs"/>
          <w:rtl/>
        </w:rPr>
        <w:t>והיד רמ"ה</w:t>
      </w:r>
      <w:r>
        <w:rPr>
          <w:rFonts w:hint="cs"/>
          <w:rtl/>
        </w:rPr>
        <w:t xml:space="preserve"> </w:t>
      </w:r>
      <w:r w:rsidRPr="00DB712E">
        <w:rPr>
          <w:rStyle w:val="af7"/>
          <w:rFonts w:eastAsia="Guttman Hodes" w:hint="cs"/>
          <w:rtl/>
        </w:rPr>
        <w:t>(או' ל"ג ד"ה ההוא)</w:t>
      </w:r>
      <w:r>
        <w:rPr>
          <w:rFonts w:hint="cs"/>
          <w:rtl/>
        </w:rPr>
        <w:t xml:space="preserve"> גרס דאחר שאמר המערער למחזיק "לאו קא מודית", גרסינן "</w:t>
      </w:r>
      <w:r w:rsidRPr="001501FD">
        <w:rPr>
          <w:rFonts w:hint="cs"/>
          <w:rtl/>
        </w:rPr>
        <w:t>אמר ליה</w:t>
      </w:r>
      <w:r>
        <w:rPr>
          <w:rFonts w:hint="cs"/>
          <w:rtl/>
        </w:rPr>
        <w:t xml:space="preserve"> אין", וכיון שהודה המחזיק בפירוש לדבריו, לכן אמר לו המערער לאו בע"ד דידי את, </w:t>
      </w:r>
      <w:bookmarkStart w:id="8096" w:name="_Ref58407526"/>
      <w:bookmarkEnd w:id="8094"/>
      <w:r>
        <w:rPr>
          <w:rFonts w:hint="cs"/>
          <w:rtl/>
        </w:rPr>
        <w:t xml:space="preserve">וכתב </w:t>
      </w:r>
      <w:r w:rsidRPr="0075541D">
        <w:rPr>
          <w:rStyle w:val="af9"/>
          <w:rFonts w:hint="cs"/>
          <w:rtl/>
        </w:rPr>
        <w:t>הריטב"א</w:t>
      </w:r>
      <w:r w:rsidRPr="00DB712E">
        <w:rPr>
          <w:rStyle w:val="af7"/>
          <w:rFonts w:eastAsia="Guttman Hodes" w:hint="cs"/>
          <w:rtl/>
        </w:rPr>
        <w:t xml:space="preserve"> (ד"ה והא)</w:t>
      </w:r>
      <w:r>
        <w:rPr>
          <w:rFonts w:hint="cs"/>
          <w:rtl/>
        </w:rPr>
        <w:t xml:space="preserve"> דזו הגירסא הנכונה, דמוכח בלשון הגמ' דעדיין לא הודה המחזיק למערער, דא"כ היה לו לומר "ואת לא אודית לי", והוסיף </w:t>
      </w:r>
      <w:r w:rsidRPr="0075541D">
        <w:rPr>
          <w:rStyle w:val="af9"/>
          <w:rFonts w:hint="cs"/>
          <w:rtl/>
        </w:rPr>
        <w:t>הריטב"א</w:t>
      </w:r>
      <w:r>
        <w:rPr>
          <w:rFonts w:hint="cs"/>
          <w:rtl/>
        </w:rPr>
        <w:t xml:space="preserve"> דנראה דהמערער אינו יכול להכריח את המחזיק להודות לו, כיון שאמר כן בלשון ומי לא תודה לי.</w:t>
      </w:r>
      <w:r w:rsidRPr="008E185A">
        <w:rPr>
          <w:rStyle w:val="afb"/>
          <w:rFonts w:hint="cs"/>
          <w:rtl/>
        </w:rPr>
        <w:t xml:space="preserve"> </w:t>
      </w:r>
      <w:r w:rsidRPr="00984730">
        <w:rPr>
          <w:rStyle w:val="afb"/>
          <w:rFonts w:hint="cs"/>
          <w:rtl/>
        </w:rPr>
        <w:t xml:space="preserve">[ומיושבת לפי"ז קושית </w:t>
      </w:r>
      <w:r w:rsidRPr="00984730">
        <w:rPr>
          <w:rStyle w:val="affa"/>
          <w:rFonts w:hint="cs"/>
          <w:rtl/>
        </w:rPr>
        <w:t>הראב"ד</w:t>
      </w:r>
      <w:r w:rsidRPr="00984730">
        <w:rPr>
          <w:rStyle w:val="afb"/>
          <w:rFonts w:hint="cs"/>
          <w:rtl/>
        </w:rPr>
        <w:t xml:space="preserve"> </w:t>
      </w:r>
      <w:r w:rsidRPr="00984730">
        <w:rPr>
          <w:rStyle w:val="aff6"/>
          <w:rFonts w:hint="cs"/>
          <w:rtl/>
        </w:rPr>
        <w:t>(עי' א</w:t>
      </w:r>
      <w:r>
        <w:rPr>
          <w:rStyle w:val="aff6"/>
          <w:rFonts w:hint="cs"/>
          <w:rtl/>
        </w:rPr>
        <w:t xml:space="preserve">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Ref58407487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לג)</w:t>
      </w:r>
      <w:r>
        <w:rPr>
          <w:rStyle w:val="aff6"/>
          <w:rtl/>
        </w:rPr>
        <w:fldChar w:fldCharType="end"/>
      </w:r>
      <w:r w:rsidRPr="00984730">
        <w:rPr>
          <w:rStyle w:val="afb"/>
          <w:rFonts w:hint="cs"/>
          <w:rtl/>
        </w:rPr>
        <w:t>].</w:t>
      </w:r>
      <w:bookmarkEnd w:id="8095"/>
      <w:bookmarkEnd w:id="8096"/>
    </w:p>
    <w:p w:rsidR="0007171D" w:rsidRPr="004C24F5" w:rsidRDefault="0007171D" w:rsidP="0007171D">
      <w:pPr>
        <w:pStyle w:val="afe"/>
        <w:rPr>
          <w:rtl/>
        </w:rPr>
      </w:pPr>
      <w:bookmarkStart w:id="8097" w:name="_Toc58876212"/>
      <w:bookmarkStart w:id="8098" w:name="_Toc58877622"/>
      <w:bookmarkStart w:id="8099" w:name="_Toc58914681"/>
      <w:bookmarkStart w:id="8100" w:name="_Toc58925975"/>
      <w:bookmarkStart w:id="8101" w:name="_Toc58930049"/>
      <w:bookmarkStart w:id="8102" w:name="_Toc58938200"/>
      <w:bookmarkStart w:id="8103" w:name="_Toc59006989"/>
      <w:bookmarkStart w:id="8104" w:name="_Toc59013467"/>
      <w:bookmarkStart w:id="8105" w:name="_Toc59013715"/>
      <w:bookmarkStart w:id="8106" w:name="_Toc59025781"/>
      <w:bookmarkStart w:id="8107" w:name="_Toc58325003"/>
      <w:bookmarkStart w:id="8108" w:name="_Toc58359148"/>
      <w:bookmarkStart w:id="8109" w:name="_Toc58409409"/>
      <w:bookmarkStart w:id="8110" w:name="_Toc58432803"/>
      <w:bookmarkStart w:id="8111" w:name="_Toc58580005"/>
      <w:bookmarkStart w:id="8112" w:name="_Toc58843011"/>
      <w:bookmarkEnd w:id="8078"/>
      <w:bookmarkEnd w:id="8079"/>
      <w:bookmarkEnd w:id="8080"/>
      <w:bookmarkEnd w:id="8081"/>
      <w:bookmarkEnd w:id="8082"/>
      <w:bookmarkEnd w:id="8083"/>
      <w:bookmarkEnd w:id="8093"/>
      <w:r>
        <w:rPr>
          <w:rFonts w:hint="cs"/>
          <w:rtl/>
        </w:rPr>
        <w:t>ד' הראב"ד דל"מ למחזיק הפה שאסר</w:t>
      </w:r>
      <w:bookmarkEnd w:id="8097"/>
      <w:bookmarkEnd w:id="8098"/>
      <w:bookmarkEnd w:id="8099"/>
      <w:bookmarkEnd w:id="8100"/>
      <w:bookmarkEnd w:id="8101"/>
      <w:bookmarkEnd w:id="8102"/>
      <w:bookmarkEnd w:id="8103"/>
      <w:bookmarkEnd w:id="8104"/>
      <w:bookmarkEnd w:id="8105"/>
      <w:bookmarkEnd w:id="8106"/>
    </w:p>
    <w:p w:rsidR="0007171D" w:rsidRDefault="0007171D" w:rsidP="0007171D">
      <w:pPr>
        <w:pStyle w:val="1"/>
        <w:rPr>
          <w:rtl/>
        </w:rPr>
      </w:pPr>
      <w:bookmarkStart w:id="8113" w:name="_Toc57925943"/>
      <w:bookmarkStart w:id="8114" w:name="_Toc58091659"/>
      <w:bookmarkStart w:id="8115" w:name="_Toc58144899"/>
      <w:bookmarkStart w:id="8116" w:name="_Toc58272584"/>
      <w:bookmarkStart w:id="8117" w:name="_Toc58325002"/>
      <w:bookmarkStart w:id="8118" w:name="_Toc58359147"/>
      <w:bookmarkStart w:id="8119" w:name="_Toc58409407"/>
      <w:bookmarkStart w:id="8120" w:name="_Toc58432801"/>
      <w:bookmarkStart w:id="8121" w:name="_Toc58580003"/>
      <w:bookmarkStart w:id="8122" w:name="_Toc58842997"/>
      <w:bookmarkStart w:id="8123" w:name="_Toc58876213"/>
      <w:bookmarkStart w:id="8124" w:name="_Toc58877623"/>
      <w:bookmarkStart w:id="8125" w:name="_Toc58914682"/>
      <w:bookmarkStart w:id="8126" w:name="_Toc58925976"/>
      <w:bookmarkStart w:id="8127" w:name="_Toc58930050"/>
      <w:bookmarkStart w:id="8128" w:name="_Toc58938201"/>
      <w:bookmarkStart w:id="8129" w:name="_Toc59006990"/>
      <w:bookmarkStart w:id="8130" w:name="_Toc59013468"/>
      <w:bookmarkStart w:id="8131" w:name="_Toc59013716"/>
      <w:bookmarkStart w:id="8132" w:name="_Toc59025782"/>
      <w:r>
        <w:rPr>
          <w:rFonts w:hint="cs"/>
          <w:rtl/>
        </w:rPr>
        <w:t>ביאור הראב"ד</w:t>
      </w:r>
      <w:bookmarkEnd w:id="8113"/>
      <w:bookmarkEnd w:id="8114"/>
      <w:bookmarkEnd w:id="8115"/>
      <w:bookmarkEnd w:id="8116"/>
      <w:bookmarkEnd w:id="8117"/>
      <w:bookmarkEnd w:id="8118"/>
      <w:bookmarkEnd w:id="8119"/>
      <w:bookmarkEnd w:id="8120"/>
      <w:bookmarkEnd w:id="8121"/>
      <w:bookmarkEnd w:id="8122"/>
      <w:r>
        <w:rPr>
          <w:rFonts w:hint="cs"/>
          <w:rtl/>
        </w:rPr>
        <w:t xml:space="preserve"> דבדברי המחזיק כלולה הודאה למערער</w:t>
      </w:r>
      <w:bookmarkEnd w:id="8123"/>
      <w:bookmarkEnd w:id="8124"/>
      <w:bookmarkEnd w:id="8125"/>
      <w:bookmarkEnd w:id="8126"/>
      <w:bookmarkEnd w:id="8127"/>
      <w:bookmarkEnd w:id="8128"/>
      <w:bookmarkEnd w:id="8129"/>
      <w:bookmarkEnd w:id="8130"/>
      <w:bookmarkEnd w:id="8131"/>
      <w:bookmarkEnd w:id="8132"/>
    </w:p>
    <w:p w:rsidR="0007171D" w:rsidRDefault="0007171D" w:rsidP="0007171D">
      <w:pPr>
        <w:pStyle w:val="a3"/>
        <w:rPr>
          <w:rtl/>
        </w:rPr>
      </w:pPr>
      <w:bookmarkStart w:id="8133" w:name="_Toc58876214"/>
      <w:bookmarkStart w:id="8134" w:name="_Toc58877624"/>
      <w:bookmarkStart w:id="8135" w:name="_Toc58914683"/>
      <w:bookmarkStart w:id="8136" w:name="_Toc58925977"/>
      <w:bookmarkStart w:id="8137" w:name="_Toc58930051"/>
      <w:bookmarkStart w:id="8138" w:name="_Toc58938202"/>
      <w:bookmarkStart w:id="8139" w:name="_Toc59006991"/>
      <w:bookmarkStart w:id="8140" w:name="_Toc59013469"/>
      <w:bookmarkStart w:id="8141" w:name="_Toc59013717"/>
      <w:bookmarkStart w:id="8142" w:name="_Toc59025783"/>
      <w:r>
        <w:rPr>
          <w:rFonts w:hint="cs"/>
          <w:rtl/>
        </w:rPr>
        <w:t>דברי הראב"ד דאין עדים למערער ואין חזקת ג"ש למחזיק אך צריך לברר מהי הודאת המחזיק</w:t>
      </w:r>
      <w:bookmarkEnd w:id="8133"/>
      <w:bookmarkEnd w:id="8134"/>
      <w:bookmarkEnd w:id="8135"/>
      <w:bookmarkEnd w:id="8136"/>
      <w:bookmarkEnd w:id="8137"/>
      <w:bookmarkEnd w:id="8138"/>
      <w:bookmarkEnd w:id="8139"/>
      <w:bookmarkEnd w:id="8140"/>
      <w:bookmarkEnd w:id="8141"/>
      <w:bookmarkEnd w:id="8142"/>
    </w:p>
    <w:p w:rsidR="0007171D" w:rsidRDefault="0007171D" w:rsidP="007E4E81">
      <w:pPr>
        <w:pStyle w:val="a0"/>
        <w:rPr>
          <w:rtl/>
        </w:rPr>
      </w:pPr>
      <w:bookmarkStart w:id="8143" w:name="_Ref58406183"/>
      <w:bookmarkStart w:id="8144" w:name="_Ref58406940"/>
      <w:r>
        <w:rPr>
          <w:rFonts w:hint="cs"/>
          <w:rtl/>
        </w:rPr>
        <w:t xml:space="preserve">כתב </w:t>
      </w:r>
      <w:r w:rsidRPr="009A63AE">
        <w:rPr>
          <w:rStyle w:val="af9"/>
          <w:rFonts w:hint="cs"/>
          <w:rtl/>
        </w:rPr>
        <w:t>הראב"ד בשיטמ"ק</w:t>
      </w:r>
      <w:r>
        <w:rPr>
          <w:rFonts w:hint="cs"/>
          <w:rtl/>
        </w:rPr>
        <w:t xml:space="preserve"> </w:t>
      </w:r>
      <w:r w:rsidRPr="00015123">
        <w:rPr>
          <w:rStyle w:val="af7"/>
          <w:rFonts w:eastAsia="Guttman Hodes" w:hint="cs"/>
          <w:rtl/>
        </w:rPr>
        <w:t>(ד"ה האי מעשה)</w:t>
      </w:r>
      <w:r>
        <w:rPr>
          <w:rFonts w:hint="cs"/>
          <w:rtl/>
        </w:rPr>
        <w:t xml:space="preserve"> דבסוגיין איירי שאין למחזיק חזקת ג"ש, כמבואר מהא דלא טען כן המחזיק, וכן אין למערער עדים שהייתה שלו, כמבואר מהא דאמר "לאו קא מודית</w:t>
      </w:r>
      <w:r>
        <w:rPr>
          <w:rtl/>
        </w:rPr>
        <w:t>"</w:t>
      </w:r>
      <w:r>
        <w:rPr>
          <w:rFonts w:hint="cs"/>
          <w:rtl/>
        </w:rPr>
        <w:t xml:space="preserve">, דמוכח שהמערער צריך את הודאת המחזיק בכדי לומר שהייתה שלו, וכתב </w:t>
      </w:r>
      <w:r w:rsidRPr="009A63AE">
        <w:rPr>
          <w:rStyle w:val="af9"/>
          <w:rFonts w:hint="cs"/>
          <w:rtl/>
        </w:rPr>
        <w:t>הראב"ד</w:t>
      </w:r>
      <w:r>
        <w:rPr>
          <w:rFonts w:hint="cs"/>
          <w:rtl/>
        </w:rPr>
        <w:t xml:space="preserve"> דצריך לברר מה ההודאה שכלולה בדברי המחזיק</w:t>
      </w:r>
      <w:bookmarkEnd w:id="8143"/>
      <w:r>
        <w:rPr>
          <w:rFonts w:hint="cs"/>
          <w:rtl/>
        </w:rPr>
        <w:t>.</w:t>
      </w:r>
      <w:bookmarkEnd w:id="8144"/>
    </w:p>
    <w:p w:rsidR="0007171D" w:rsidRPr="00015123" w:rsidRDefault="0007171D" w:rsidP="0007171D">
      <w:pPr>
        <w:pStyle w:val="a3"/>
        <w:rPr>
          <w:rtl/>
        </w:rPr>
      </w:pPr>
      <w:bookmarkStart w:id="8145" w:name="_Toc58876215"/>
      <w:bookmarkStart w:id="8146" w:name="_Toc58877625"/>
      <w:bookmarkStart w:id="8147" w:name="_Toc58914684"/>
      <w:bookmarkStart w:id="8148" w:name="_Toc58925978"/>
      <w:bookmarkStart w:id="8149" w:name="_Toc58930052"/>
      <w:bookmarkStart w:id="8150" w:name="_Toc58938203"/>
      <w:bookmarkStart w:id="8151" w:name="_Toc59006992"/>
      <w:bookmarkStart w:id="8152" w:name="_Toc59013470"/>
      <w:bookmarkStart w:id="8153" w:name="_Toc59013718"/>
      <w:bookmarkStart w:id="8154" w:name="_Toc59025784"/>
      <w:r>
        <w:rPr>
          <w:rFonts w:hint="cs"/>
          <w:rtl/>
        </w:rPr>
        <w:t>דברי הראב"ד דבדברי המערער משמע שההודאה כלולה בדברי המחזיק שהמוכר קנה מהמערער</w:t>
      </w:r>
      <w:bookmarkEnd w:id="8145"/>
      <w:bookmarkEnd w:id="8146"/>
      <w:bookmarkEnd w:id="8147"/>
      <w:bookmarkEnd w:id="8148"/>
      <w:bookmarkEnd w:id="8149"/>
      <w:bookmarkEnd w:id="8150"/>
      <w:bookmarkEnd w:id="8151"/>
      <w:bookmarkEnd w:id="8152"/>
      <w:bookmarkEnd w:id="8153"/>
      <w:bookmarkEnd w:id="8154"/>
    </w:p>
    <w:p w:rsidR="0007171D" w:rsidRDefault="0007171D" w:rsidP="007E4E81">
      <w:pPr>
        <w:pStyle w:val="a0"/>
        <w:rPr>
          <w:rtl/>
        </w:rPr>
      </w:pPr>
      <w:bookmarkStart w:id="8155" w:name="_Ref58407487"/>
      <w:r w:rsidRPr="00015123">
        <w:rPr>
          <w:rFonts w:hint="cs"/>
          <w:rtl/>
        </w:rPr>
        <w:t xml:space="preserve">וכתב </w:t>
      </w:r>
      <w:r w:rsidRPr="00015123">
        <w:rPr>
          <w:rStyle w:val="af9"/>
          <w:rFonts w:hint="cs"/>
          <w:rtl/>
        </w:rPr>
        <w:t>הראב"ד</w:t>
      </w:r>
      <w:r w:rsidRPr="00015123">
        <w:rPr>
          <w:rFonts w:hint="cs"/>
          <w:rtl/>
        </w:rPr>
        <w:t xml:space="preserve"> </w:t>
      </w:r>
      <w:r w:rsidRPr="009A63AE">
        <w:rPr>
          <w:rStyle w:val="af9"/>
          <w:rFonts w:hint="cs"/>
          <w:rtl/>
        </w:rPr>
        <w:t>בשיטמ"ק</w:t>
      </w:r>
      <w:r>
        <w:rPr>
          <w:rFonts w:hint="cs"/>
          <w:rtl/>
        </w:rPr>
        <w:t xml:space="preserve"> </w:t>
      </w:r>
      <w:r w:rsidRPr="00015123">
        <w:rPr>
          <w:rFonts w:hint="cs"/>
          <w:rtl/>
        </w:rPr>
        <w:t>דמשמע שהמחזיק כבר הודה לו בטענתו הראשונה, מדאמר המערער "לאו קא מודית</w:t>
      </w:r>
      <w:r w:rsidRPr="00015123">
        <w:rPr>
          <w:rtl/>
        </w:rPr>
        <w:t>"</w:t>
      </w:r>
      <w:r w:rsidRPr="00015123">
        <w:rPr>
          <w:rFonts w:hint="cs"/>
          <w:rtl/>
        </w:rPr>
        <w:t>, ולא אמר ומי לא מודית לי,</w:t>
      </w:r>
      <w:r w:rsidRPr="00916917">
        <w:rPr>
          <w:rStyle w:val="afb"/>
          <w:rFonts w:hint="cs"/>
          <w:rtl/>
        </w:rPr>
        <w:t xml:space="preserve"> </w:t>
      </w:r>
      <w:r w:rsidRPr="00015123">
        <w:rPr>
          <w:rFonts w:hint="cs"/>
          <w:rtl/>
        </w:rPr>
        <w:t xml:space="preserve">ועוד </w:t>
      </w:r>
      <w:r>
        <w:rPr>
          <w:rFonts w:hint="cs"/>
          <w:rtl/>
        </w:rPr>
        <w:t xml:space="preserve">הוסיף </w:t>
      </w:r>
      <w:r w:rsidRPr="00916917">
        <w:rPr>
          <w:rStyle w:val="af9"/>
          <w:rFonts w:hint="cs"/>
          <w:rtl/>
        </w:rPr>
        <w:t>הראב"ד</w:t>
      </w:r>
      <w:r>
        <w:rPr>
          <w:rFonts w:hint="cs"/>
          <w:rtl/>
        </w:rPr>
        <w:t xml:space="preserve"> </w:t>
      </w:r>
      <w:r w:rsidRPr="00015123">
        <w:rPr>
          <w:rFonts w:hint="cs"/>
          <w:rtl/>
        </w:rPr>
        <w:t xml:space="preserve">דלא מצינו </w:t>
      </w:r>
      <w:r w:rsidRPr="00075894">
        <w:rPr>
          <w:rFonts w:hint="cs"/>
          <w:rtl/>
        </w:rPr>
        <w:t xml:space="preserve">שהמחזיק השיב על טענת המערער, ואי עדיין לא הודה לו היה לו להשיב, </w:t>
      </w:r>
      <w:r w:rsidRPr="00436A8E">
        <w:rPr>
          <w:rStyle w:val="afb"/>
          <w:rFonts w:hint="cs"/>
          <w:rtl/>
        </w:rPr>
        <w:t>[ועי'</w:t>
      </w:r>
      <w:r w:rsidRPr="00075894">
        <w:rPr>
          <w:rStyle w:val="afb"/>
          <w:rFonts w:hint="cs"/>
          <w:rtl/>
        </w:rPr>
        <w:t xml:space="preserve"> במה שגרסו </w:t>
      </w:r>
      <w:r w:rsidRPr="006E1791">
        <w:rPr>
          <w:rStyle w:val="affa"/>
          <w:rFonts w:hint="cs"/>
          <w:rtl/>
        </w:rPr>
        <w:t>רבינו יונה</w:t>
      </w:r>
      <w:r w:rsidRPr="00075894">
        <w:rPr>
          <w:rStyle w:val="afb"/>
          <w:rFonts w:hint="cs"/>
          <w:rtl/>
        </w:rPr>
        <w:t xml:space="preserve"> </w:t>
      </w:r>
      <w:r w:rsidRPr="006E1791">
        <w:rPr>
          <w:rStyle w:val="aff6"/>
          <w:rFonts w:hint="cs"/>
          <w:rtl/>
        </w:rPr>
        <w:t xml:space="preserve">(עי' אות </w:t>
      </w:r>
      <w:r w:rsidRPr="006E1791">
        <w:rPr>
          <w:rStyle w:val="aff6"/>
          <w:rtl/>
        </w:rPr>
        <w:fldChar w:fldCharType="begin"/>
      </w:r>
      <w:r w:rsidRPr="006E1791">
        <w:rPr>
          <w:rStyle w:val="aff6"/>
          <w:rtl/>
        </w:rPr>
        <w:instrText xml:space="preserve"> </w:instrText>
      </w:r>
      <w:r w:rsidRPr="006E1791">
        <w:rPr>
          <w:rStyle w:val="aff6"/>
          <w:rFonts w:hint="cs"/>
        </w:rPr>
        <w:instrText>REF</w:instrText>
      </w:r>
      <w:r w:rsidRPr="006E1791">
        <w:rPr>
          <w:rStyle w:val="aff6"/>
          <w:rFonts w:hint="cs"/>
          <w:rtl/>
        </w:rPr>
        <w:instrText xml:space="preserve"> _</w:instrText>
      </w:r>
      <w:r w:rsidRPr="006E1791">
        <w:rPr>
          <w:rStyle w:val="aff6"/>
          <w:rFonts w:hint="cs"/>
        </w:rPr>
        <w:instrText>Ref58407520 \r \h</w:instrText>
      </w:r>
      <w:r w:rsidRPr="006E1791">
        <w:rPr>
          <w:rStyle w:val="aff6"/>
          <w:rtl/>
        </w:rPr>
        <w:instrText xml:space="preserve">  \* </w:instrText>
      </w:r>
      <w:r w:rsidRPr="006E1791">
        <w:rPr>
          <w:rStyle w:val="aff6"/>
        </w:rPr>
        <w:instrText>MERGEFORMAT</w:instrText>
      </w:r>
      <w:r w:rsidRPr="006E1791">
        <w:rPr>
          <w:rStyle w:val="aff6"/>
          <w:rtl/>
        </w:rPr>
        <w:instrText xml:space="preserve"> </w:instrText>
      </w:r>
      <w:r w:rsidRPr="006E1791">
        <w:rPr>
          <w:rStyle w:val="aff6"/>
          <w:rtl/>
        </w:rPr>
      </w:r>
      <w:r w:rsidRPr="006E1791">
        <w:rPr>
          <w:rStyle w:val="aff6"/>
          <w:rtl/>
        </w:rPr>
        <w:fldChar w:fldCharType="separate"/>
      </w:r>
      <w:r w:rsidR="00265073">
        <w:rPr>
          <w:rStyle w:val="aff6"/>
          <w:cs/>
        </w:rPr>
        <w:t>‎</w:t>
      </w:r>
      <w:r w:rsidR="00265073">
        <w:rPr>
          <w:rStyle w:val="aff6"/>
          <w:rtl/>
        </w:rPr>
        <w:t>ל)</w:t>
      </w:r>
      <w:r w:rsidRPr="006E1791">
        <w:rPr>
          <w:rStyle w:val="aff6"/>
          <w:rtl/>
        </w:rPr>
        <w:fldChar w:fldCharType="end"/>
      </w:r>
      <w:r w:rsidRPr="00075894">
        <w:rPr>
          <w:rStyle w:val="afb"/>
          <w:rFonts w:hint="cs"/>
          <w:rtl/>
        </w:rPr>
        <w:t xml:space="preserve"> </w:t>
      </w:r>
      <w:r w:rsidRPr="006E1791">
        <w:rPr>
          <w:rStyle w:val="affa"/>
          <w:rFonts w:hint="cs"/>
          <w:rtl/>
        </w:rPr>
        <w:t>והיד רמ"ה</w:t>
      </w:r>
      <w:r w:rsidRPr="00075894">
        <w:rPr>
          <w:rStyle w:val="afb"/>
          <w:rFonts w:hint="cs"/>
          <w:rtl/>
        </w:rPr>
        <w:t xml:space="preserve"> </w:t>
      </w:r>
      <w:r w:rsidRPr="006E1791">
        <w:rPr>
          <w:rStyle w:val="aff6"/>
          <w:rFonts w:hint="cs"/>
          <w:rtl/>
        </w:rPr>
        <w:t xml:space="preserve">(עי' אות </w:t>
      </w:r>
      <w:r w:rsidRPr="006E1791">
        <w:rPr>
          <w:rStyle w:val="aff6"/>
          <w:rtl/>
        </w:rPr>
        <w:fldChar w:fldCharType="begin"/>
      </w:r>
      <w:r w:rsidRPr="006E1791">
        <w:rPr>
          <w:rStyle w:val="aff6"/>
          <w:rtl/>
        </w:rPr>
        <w:instrText xml:space="preserve"> </w:instrText>
      </w:r>
      <w:r w:rsidRPr="006E1791">
        <w:rPr>
          <w:rStyle w:val="aff6"/>
          <w:rFonts w:hint="cs"/>
        </w:rPr>
        <w:instrText>REF</w:instrText>
      </w:r>
      <w:r w:rsidRPr="006E1791">
        <w:rPr>
          <w:rStyle w:val="aff6"/>
          <w:rFonts w:hint="cs"/>
          <w:rtl/>
        </w:rPr>
        <w:instrText xml:space="preserve"> _</w:instrText>
      </w:r>
      <w:r w:rsidRPr="006E1791">
        <w:rPr>
          <w:rStyle w:val="aff6"/>
          <w:rFonts w:hint="cs"/>
        </w:rPr>
        <w:instrText>Ref58852029 \r \h</w:instrText>
      </w:r>
      <w:r w:rsidRPr="006E1791">
        <w:rPr>
          <w:rStyle w:val="aff6"/>
          <w:rtl/>
        </w:rPr>
        <w:instrText xml:space="preserve"> </w:instrText>
      </w:r>
      <w:r w:rsidRPr="006E1791">
        <w:rPr>
          <w:rStyle w:val="aff6"/>
          <w:rtl/>
        </w:rPr>
      </w:r>
      <w:r w:rsidRPr="006E1791">
        <w:rPr>
          <w:rStyle w:val="aff6"/>
          <w:rtl/>
        </w:rPr>
        <w:fldChar w:fldCharType="separate"/>
      </w:r>
      <w:r w:rsidR="00265073">
        <w:rPr>
          <w:rStyle w:val="aff6"/>
          <w:cs/>
        </w:rPr>
        <w:t>‎</w:t>
      </w:r>
      <w:r w:rsidR="00265073">
        <w:rPr>
          <w:rStyle w:val="aff6"/>
          <w:rtl/>
        </w:rPr>
        <w:t>לא)</w:t>
      </w:r>
      <w:r w:rsidRPr="006E1791">
        <w:rPr>
          <w:rStyle w:val="aff6"/>
          <w:rtl/>
        </w:rPr>
        <w:fldChar w:fldCharType="end"/>
      </w:r>
      <w:r>
        <w:rPr>
          <w:rStyle w:val="afb"/>
          <w:rFonts w:hint="cs"/>
          <w:rtl/>
        </w:rPr>
        <w:t xml:space="preserve"> </w:t>
      </w:r>
      <w:r w:rsidRPr="006E1791">
        <w:rPr>
          <w:rStyle w:val="affa"/>
          <w:rFonts w:hint="cs"/>
          <w:rtl/>
        </w:rPr>
        <w:t>והריטב"א</w:t>
      </w:r>
      <w:r w:rsidRPr="00075894">
        <w:rPr>
          <w:rStyle w:val="afb"/>
          <w:rFonts w:hint="cs"/>
          <w:rtl/>
        </w:rPr>
        <w:t xml:space="preserve"> </w:t>
      </w:r>
      <w:r w:rsidRPr="006E1791">
        <w:rPr>
          <w:rStyle w:val="aff6"/>
          <w:rFonts w:hint="cs"/>
          <w:rtl/>
        </w:rPr>
        <w:t xml:space="preserve">(עי' אות </w:t>
      </w:r>
      <w:r w:rsidRPr="006E1791">
        <w:rPr>
          <w:rStyle w:val="aff6"/>
          <w:rtl/>
        </w:rPr>
        <w:fldChar w:fldCharType="begin"/>
      </w:r>
      <w:r w:rsidRPr="006E1791">
        <w:rPr>
          <w:rStyle w:val="aff6"/>
          <w:rtl/>
        </w:rPr>
        <w:instrText xml:space="preserve"> </w:instrText>
      </w:r>
      <w:r w:rsidRPr="006E1791">
        <w:rPr>
          <w:rStyle w:val="aff6"/>
          <w:rFonts w:hint="cs"/>
        </w:rPr>
        <w:instrText>REF</w:instrText>
      </w:r>
      <w:r w:rsidRPr="006E1791">
        <w:rPr>
          <w:rStyle w:val="aff6"/>
          <w:rFonts w:hint="cs"/>
          <w:rtl/>
        </w:rPr>
        <w:instrText xml:space="preserve"> _</w:instrText>
      </w:r>
      <w:r w:rsidRPr="006E1791">
        <w:rPr>
          <w:rStyle w:val="aff6"/>
          <w:rFonts w:hint="cs"/>
        </w:rPr>
        <w:instrText>Ref58407526 \r \h</w:instrText>
      </w:r>
      <w:r w:rsidRPr="006E1791">
        <w:rPr>
          <w:rStyle w:val="aff6"/>
          <w:rtl/>
        </w:rPr>
        <w:instrText xml:space="preserve">  \* </w:instrText>
      </w:r>
      <w:r w:rsidRPr="006E1791">
        <w:rPr>
          <w:rStyle w:val="aff6"/>
        </w:rPr>
        <w:instrText>MERGEFORMAT</w:instrText>
      </w:r>
      <w:r w:rsidRPr="006E1791">
        <w:rPr>
          <w:rStyle w:val="aff6"/>
          <w:rtl/>
        </w:rPr>
        <w:instrText xml:space="preserve"> </w:instrText>
      </w:r>
      <w:r w:rsidRPr="006E1791">
        <w:rPr>
          <w:rStyle w:val="aff6"/>
          <w:rtl/>
        </w:rPr>
      </w:r>
      <w:r w:rsidRPr="006E1791">
        <w:rPr>
          <w:rStyle w:val="aff6"/>
          <w:rtl/>
        </w:rPr>
        <w:fldChar w:fldCharType="separate"/>
      </w:r>
      <w:r w:rsidR="00265073">
        <w:rPr>
          <w:rStyle w:val="aff6"/>
          <w:cs/>
        </w:rPr>
        <w:t>‎</w:t>
      </w:r>
      <w:r w:rsidR="00265073">
        <w:rPr>
          <w:rStyle w:val="aff6"/>
          <w:rtl/>
        </w:rPr>
        <w:t>לא)</w:t>
      </w:r>
      <w:r w:rsidRPr="006E1791">
        <w:rPr>
          <w:rStyle w:val="aff6"/>
          <w:rtl/>
        </w:rPr>
        <w:fldChar w:fldCharType="end"/>
      </w:r>
      <w:r>
        <w:rPr>
          <w:rStyle w:val="afb"/>
          <w:rFonts w:hint="cs"/>
          <w:rtl/>
        </w:rPr>
        <w:t xml:space="preserve"> דהמחזיק השיב למערער</w:t>
      </w:r>
      <w:r w:rsidRPr="00075894">
        <w:rPr>
          <w:rStyle w:val="afb"/>
          <w:rFonts w:hint="cs"/>
          <w:rtl/>
        </w:rPr>
        <w:t>]</w:t>
      </w:r>
      <w:r>
        <w:rPr>
          <w:rStyle w:val="afb"/>
          <w:rFonts w:hint="cs"/>
          <w:rtl/>
        </w:rPr>
        <w:t xml:space="preserve">, </w:t>
      </w:r>
      <w:r w:rsidRPr="00075894">
        <w:rPr>
          <w:rFonts w:hint="cs"/>
          <w:rtl/>
        </w:rPr>
        <w:t xml:space="preserve">וביאר </w:t>
      </w:r>
      <w:r w:rsidRPr="00075894">
        <w:rPr>
          <w:rStyle w:val="af9"/>
          <w:rFonts w:hint="cs"/>
          <w:rtl/>
        </w:rPr>
        <w:t xml:space="preserve">הראב"ד </w:t>
      </w:r>
      <w:r w:rsidRPr="00075894">
        <w:rPr>
          <w:rFonts w:hint="cs"/>
          <w:rtl/>
        </w:rPr>
        <w:t xml:space="preserve">דכיון שאמר המחזיק שקנה מהמוכר, שאמר לו שקנה מהמערער, </w:t>
      </w:r>
      <w:r>
        <w:rPr>
          <w:rFonts w:hint="cs"/>
          <w:rtl/>
        </w:rPr>
        <w:t xml:space="preserve">א"כ </w:t>
      </w:r>
      <w:r w:rsidRPr="00075894">
        <w:rPr>
          <w:rFonts w:hint="cs"/>
          <w:rtl/>
        </w:rPr>
        <w:t>כלול בדבריו שהקרקע הייתה של המערער, אך אין המוכר נאמן במה שטוען שקנה מהמערער, ולכן אומר המערער למחזיק לאו בע"ד דידי את</w:t>
      </w:r>
      <w:r>
        <w:rPr>
          <w:rFonts w:hint="cs"/>
          <w:rtl/>
        </w:rPr>
        <w:t>,</w:t>
      </w:r>
      <w:r w:rsidRPr="00A6768D">
        <w:rPr>
          <w:rFonts w:hint="cs"/>
          <w:rtl/>
        </w:rPr>
        <w:t xml:space="preserve"> </w:t>
      </w:r>
      <w:r>
        <w:rPr>
          <w:rFonts w:hint="cs"/>
          <w:rtl/>
        </w:rPr>
        <w:t xml:space="preserve">וביאר </w:t>
      </w:r>
      <w:r w:rsidRPr="009A63AE">
        <w:rPr>
          <w:rStyle w:val="af9"/>
          <w:rFonts w:hint="cs"/>
          <w:rtl/>
        </w:rPr>
        <w:t>הרמב"ן</w:t>
      </w:r>
      <w:r>
        <w:rPr>
          <w:rFonts w:hint="cs"/>
          <w:rtl/>
        </w:rPr>
        <w:t xml:space="preserve"> </w:t>
      </w:r>
      <w:r w:rsidRPr="0002152B">
        <w:rPr>
          <w:rStyle w:val="af7"/>
          <w:rFonts w:eastAsia="Guttman Hodes" w:hint="cs"/>
          <w:rtl/>
        </w:rPr>
        <w:t>(ד"ה ואעפ"י)</w:t>
      </w:r>
      <w:r>
        <w:rPr>
          <w:rFonts w:hint="cs"/>
          <w:rtl/>
        </w:rPr>
        <w:t xml:space="preserve"> את דברי </w:t>
      </w:r>
      <w:r w:rsidRPr="009A63AE">
        <w:rPr>
          <w:rStyle w:val="af9"/>
          <w:rFonts w:hint="cs"/>
          <w:rtl/>
        </w:rPr>
        <w:t>הראב"ד</w:t>
      </w:r>
      <w:r>
        <w:rPr>
          <w:rFonts w:hint="cs"/>
          <w:rtl/>
        </w:rPr>
        <w:t xml:space="preserve"> דהמחזיק אינו יודע מעצמו כלל שהקרקע הייתה של המערער, אלא רק שמע כן מפי המוכר</w:t>
      </w:r>
      <w:r w:rsidRPr="00C73CC9">
        <w:rPr>
          <w:rFonts w:hint="cs"/>
          <w:rtl/>
        </w:rPr>
        <w:t>, וכ</w:t>
      </w:r>
      <w:r>
        <w:rPr>
          <w:rFonts w:hint="cs"/>
          <w:rtl/>
        </w:rPr>
        <w:t>ן דעת</w:t>
      </w:r>
      <w:r>
        <w:rPr>
          <w:rStyle w:val="affa"/>
          <w:rFonts w:hint="cs"/>
          <w:rtl/>
        </w:rPr>
        <w:t xml:space="preserve"> </w:t>
      </w:r>
      <w:r w:rsidRPr="00C73CC9">
        <w:rPr>
          <w:rStyle w:val="af9"/>
          <w:rFonts w:hint="cs"/>
          <w:rtl/>
        </w:rPr>
        <w:t>הרא"ש</w:t>
      </w:r>
      <w:r w:rsidRPr="00075894">
        <w:rPr>
          <w:rStyle w:val="afb"/>
          <w:rFonts w:hint="cs"/>
          <w:rtl/>
        </w:rPr>
        <w:t xml:space="preserve"> </w:t>
      </w:r>
      <w:r w:rsidRPr="00C73CC9">
        <w:rPr>
          <w:rStyle w:val="af7"/>
          <w:rFonts w:eastAsia="Guttman Hodes" w:hint="cs"/>
          <w:rtl/>
        </w:rPr>
        <w:t xml:space="preserve">(עי' אות </w:t>
      </w:r>
      <w:r w:rsidRPr="00C73CC9">
        <w:rPr>
          <w:rStyle w:val="af7"/>
          <w:rFonts w:eastAsia="Guttman Hodes"/>
          <w:rtl/>
        </w:rPr>
        <w:fldChar w:fldCharType="begin"/>
      </w:r>
      <w:r w:rsidRPr="00C73CC9">
        <w:rPr>
          <w:rStyle w:val="af7"/>
          <w:rFonts w:eastAsia="Guttman Hodes"/>
          <w:rtl/>
        </w:rPr>
        <w:instrText xml:space="preserve"> </w:instrText>
      </w:r>
      <w:r w:rsidRPr="00C73CC9">
        <w:rPr>
          <w:rStyle w:val="af7"/>
          <w:rFonts w:eastAsia="Guttman Hodes" w:hint="cs"/>
        </w:rPr>
        <w:instrText>REF</w:instrText>
      </w:r>
      <w:r w:rsidRPr="00C73CC9">
        <w:rPr>
          <w:rStyle w:val="af7"/>
          <w:rFonts w:eastAsia="Guttman Hodes" w:hint="cs"/>
          <w:rtl/>
        </w:rPr>
        <w:instrText xml:space="preserve"> _</w:instrText>
      </w:r>
      <w:r w:rsidRPr="00C73CC9">
        <w:rPr>
          <w:rStyle w:val="af7"/>
          <w:rFonts w:eastAsia="Guttman Hodes" w:hint="cs"/>
        </w:rPr>
        <w:instrText>Ref58750729 \r \h</w:instrText>
      </w:r>
      <w:r w:rsidRPr="00C73CC9">
        <w:rPr>
          <w:rStyle w:val="af7"/>
          <w:rFonts w:eastAsia="Guttman Hodes"/>
          <w:rtl/>
        </w:rPr>
        <w:instrText xml:space="preserve">  \* </w:instrText>
      </w:r>
      <w:r w:rsidRPr="00C73CC9">
        <w:rPr>
          <w:rStyle w:val="af7"/>
          <w:rFonts w:eastAsia="Guttman Hodes"/>
        </w:rPr>
        <w:instrText>MERGEFORMAT</w:instrText>
      </w:r>
      <w:r w:rsidRPr="00C73CC9">
        <w:rPr>
          <w:rStyle w:val="af7"/>
          <w:rFonts w:eastAsia="Guttman Hodes"/>
          <w:rtl/>
        </w:rPr>
        <w:instrText xml:space="preserve"> </w:instrText>
      </w:r>
      <w:r w:rsidRPr="00C73CC9">
        <w:rPr>
          <w:rStyle w:val="af7"/>
          <w:rFonts w:eastAsia="Guttman Hodes"/>
          <w:rtl/>
        </w:rPr>
      </w:r>
      <w:r w:rsidRPr="00C73CC9">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C73CC9">
        <w:rPr>
          <w:rStyle w:val="af7"/>
          <w:rFonts w:eastAsia="Guttman Hodes"/>
          <w:rtl/>
        </w:rPr>
        <w:fldChar w:fldCharType="end"/>
      </w:r>
      <w:r w:rsidRPr="00A92482">
        <w:rPr>
          <w:rStyle w:val="af9"/>
          <w:rFonts w:hint="cs"/>
          <w:rtl/>
        </w:rPr>
        <w:t xml:space="preserve"> </w:t>
      </w:r>
      <w:r>
        <w:rPr>
          <w:rStyle w:val="af9"/>
          <w:rFonts w:hint="cs"/>
          <w:rtl/>
        </w:rPr>
        <w:t>ו</w:t>
      </w:r>
      <w:r w:rsidRPr="00CE2165">
        <w:rPr>
          <w:rStyle w:val="af9"/>
          <w:rFonts w:hint="cs"/>
          <w:rtl/>
        </w:rPr>
        <w:t>התוס' רי"ד</w:t>
      </w:r>
      <w:r>
        <w:rPr>
          <w:rFonts w:hint="cs"/>
          <w:rtl/>
        </w:rPr>
        <w:t xml:space="preserve"> </w:t>
      </w:r>
      <w:r w:rsidRPr="00FC6DBA">
        <w:rPr>
          <w:rStyle w:val="af7"/>
          <w:rFonts w:eastAsia="Guttman Rashi" w:hint="cs"/>
          <w:rtl/>
        </w:rPr>
        <w:t xml:space="preserve">(עי' אות </w:t>
      </w:r>
      <w:r w:rsidRPr="00FC6DBA">
        <w:rPr>
          <w:rStyle w:val="af7"/>
          <w:rFonts w:eastAsia="Guttman Rashi"/>
          <w:rtl/>
        </w:rPr>
        <w:fldChar w:fldCharType="begin"/>
      </w:r>
      <w:r w:rsidRPr="00FC6DBA">
        <w:rPr>
          <w:rStyle w:val="af7"/>
          <w:rFonts w:eastAsia="Guttman Rashi"/>
          <w:rtl/>
        </w:rPr>
        <w:instrText xml:space="preserve"> </w:instrText>
      </w:r>
      <w:r w:rsidRPr="00FC6DBA">
        <w:rPr>
          <w:rStyle w:val="af7"/>
          <w:rFonts w:eastAsia="Guttman Rashi" w:hint="cs"/>
        </w:rPr>
        <w:instrText>REF</w:instrText>
      </w:r>
      <w:r w:rsidRPr="00FC6DBA">
        <w:rPr>
          <w:rStyle w:val="af7"/>
          <w:rFonts w:eastAsia="Guttman Rashi" w:hint="cs"/>
          <w:rtl/>
        </w:rPr>
        <w:instrText xml:space="preserve"> _</w:instrText>
      </w:r>
      <w:r w:rsidRPr="00FC6DBA">
        <w:rPr>
          <w:rStyle w:val="af7"/>
          <w:rFonts w:eastAsia="Guttman Rashi" w:hint="cs"/>
        </w:rPr>
        <w:instrText>Ref60219109 \r \h</w:instrText>
      </w:r>
      <w:r w:rsidRPr="00FC6DBA">
        <w:rPr>
          <w:rStyle w:val="af7"/>
          <w:rFonts w:eastAsia="Guttman Rashi"/>
          <w:rtl/>
        </w:rPr>
        <w:instrText xml:space="preserve"> </w:instrText>
      </w:r>
      <w:r w:rsidRPr="00FC6DBA">
        <w:rPr>
          <w:rStyle w:val="af7"/>
          <w:rFonts w:eastAsia="Guttman Rashi"/>
          <w:rtl/>
        </w:rPr>
      </w:r>
      <w:r w:rsidRPr="00FC6DBA">
        <w:rPr>
          <w:rStyle w:val="af7"/>
          <w:rFonts w:eastAsia="Guttman Rashi"/>
          <w:rtl/>
        </w:rPr>
        <w:fldChar w:fldCharType="separate"/>
      </w:r>
      <w:r w:rsidR="00265073">
        <w:rPr>
          <w:rStyle w:val="af7"/>
          <w:rFonts w:eastAsia="Guttman Rashi"/>
          <w:cs/>
        </w:rPr>
        <w:t>‎</w:t>
      </w:r>
      <w:r w:rsidR="00265073">
        <w:rPr>
          <w:rStyle w:val="af7"/>
          <w:rFonts w:eastAsia="Guttman Rashi"/>
          <w:rtl/>
        </w:rPr>
        <w:t>ז)</w:t>
      </w:r>
      <w:r w:rsidRPr="00FC6DBA">
        <w:rPr>
          <w:rStyle w:val="af7"/>
          <w:rFonts w:eastAsia="Guttman Rashi"/>
          <w:rtl/>
        </w:rPr>
        <w:fldChar w:fldCharType="end"/>
      </w:r>
      <w:r>
        <w:rPr>
          <w:rFonts w:hint="cs"/>
          <w:rtl/>
        </w:rPr>
        <w:t>, וע"ע במ"ש</w:t>
      </w:r>
      <w:r w:rsidRPr="00AB349C">
        <w:rPr>
          <w:rFonts w:hint="cs"/>
          <w:rtl/>
        </w:rPr>
        <w:t xml:space="preserve"> </w:t>
      </w:r>
      <w:r w:rsidRPr="00AB349C">
        <w:rPr>
          <w:rStyle w:val="af9"/>
          <w:rFonts w:hint="cs"/>
          <w:rtl/>
        </w:rPr>
        <w:t>רבינו יונה</w:t>
      </w:r>
      <w:r w:rsidRPr="00AB349C">
        <w:rPr>
          <w:rStyle w:val="af7"/>
          <w:rFonts w:eastAsia="Guttman Hodes" w:hint="cs"/>
          <w:rtl/>
        </w:rPr>
        <w:t xml:space="preserve"> </w:t>
      </w:r>
      <w:r w:rsidRPr="00AB349C">
        <w:rPr>
          <w:rStyle w:val="af7"/>
          <w:rFonts w:eastAsia="Guttman Rashi" w:hint="cs"/>
          <w:rtl/>
        </w:rPr>
        <w:t>(עי' אות</w:t>
      </w:r>
      <w:r w:rsidRPr="00AB349C">
        <w:rPr>
          <w:rStyle w:val="af7"/>
          <w:rFonts w:eastAsia="Guttman Hodes" w:hint="cs"/>
          <w:rtl/>
        </w:rPr>
        <w:t xml:space="preserve"> </w:t>
      </w:r>
      <w:r w:rsidRPr="00AB349C">
        <w:rPr>
          <w:rStyle w:val="af7"/>
          <w:rFonts w:eastAsia="Guttman Rashi"/>
          <w:rtl/>
        </w:rPr>
        <w:fldChar w:fldCharType="begin"/>
      </w:r>
      <w:r w:rsidRPr="00AB349C">
        <w:rPr>
          <w:rStyle w:val="af7"/>
          <w:rFonts w:eastAsia="Guttman Rashi"/>
          <w:rtl/>
        </w:rPr>
        <w:instrText xml:space="preserve"> </w:instrText>
      </w:r>
      <w:r w:rsidRPr="00AB349C">
        <w:rPr>
          <w:rStyle w:val="af7"/>
          <w:rFonts w:eastAsia="Guttman Rashi" w:hint="cs"/>
        </w:rPr>
        <w:instrText>REF</w:instrText>
      </w:r>
      <w:r w:rsidRPr="00AB349C">
        <w:rPr>
          <w:rStyle w:val="af7"/>
          <w:rFonts w:eastAsia="Guttman Rashi" w:hint="cs"/>
          <w:rtl/>
        </w:rPr>
        <w:instrText xml:space="preserve"> _</w:instrText>
      </w:r>
      <w:r w:rsidRPr="00AB349C">
        <w:rPr>
          <w:rStyle w:val="af7"/>
          <w:rFonts w:eastAsia="Guttman Rashi" w:hint="cs"/>
        </w:rPr>
        <w:instrText>Ref58406136 \r \h</w:instrText>
      </w:r>
      <w:r w:rsidRPr="00AB349C">
        <w:rPr>
          <w:rStyle w:val="af7"/>
          <w:rFonts w:eastAsia="Guttman Rashi"/>
          <w:rtl/>
        </w:rPr>
        <w:instrText xml:space="preserve"> </w:instrText>
      </w:r>
      <w:r w:rsidRPr="00AB349C">
        <w:rPr>
          <w:rStyle w:val="af7"/>
          <w:rFonts w:eastAsia="Guttman Rashi"/>
          <w:rtl/>
        </w:rPr>
      </w:r>
      <w:r w:rsidRPr="00AB349C">
        <w:rPr>
          <w:rStyle w:val="af7"/>
          <w:rFonts w:eastAsia="Guttman Rashi"/>
          <w:rtl/>
        </w:rPr>
        <w:fldChar w:fldCharType="separate"/>
      </w:r>
      <w:r w:rsidR="00265073">
        <w:rPr>
          <w:rStyle w:val="af7"/>
          <w:rFonts w:eastAsia="Guttman Rashi"/>
          <w:cs/>
        </w:rPr>
        <w:t>‎</w:t>
      </w:r>
      <w:r w:rsidR="00265073">
        <w:rPr>
          <w:rStyle w:val="af7"/>
          <w:rFonts w:eastAsia="Guttman Rashi"/>
          <w:rtl/>
        </w:rPr>
        <w:t>כה)</w:t>
      </w:r>
      <w:r w:rsidRPr="00AB349C">
        <w:rPr>
          <w:rStyle w:val="af7"/>
          <w:rFonts w:eastAsia="Guttman Rashi"/>
          <w:rtl/>
        </w:rPr>
        <w:fldChar w:fldCharType="end"/>
      </w:r>
      <w:r w:rsidRPr="00015123">
        <w:rPr>
          <w:rStyle w:val="afb"/>
          <w:rFonts w:hint="cs"/>
          <w:rtl/>
        </w:rPr>
        <w:t xml:space="preserve"> </w:t>
      </w:r>
      <w:r w:rsidRPr="00AB349C">
        <w:rPr>
          <w:rFonts w:hint="cs"/>
          <w:rtl/>
        </w:rPr>
        <w:t xml:space="preserve">בשם </w:t>
      </w:r>
      <w:r w:rsidRPr="00AB349C">
        <w:rPr>
          <w:rStyle w:val="af9"/>
          <w:rFonts w:hint="cs"/>
          <w:rtl/>
        </w:rPr>
        <w:t>רבותיו</w:t>
      </w:r>
      <w:r w:rsidRPr="00075894">
        <w:rPr>
          <w:rFonts w:hint="cs"/>
          <w:rtl/>
        </w:rPr>
        <w:t>.</w:t>
      </w:r>
      <w:bookmarkEnd w:id="8155"/>
      <w:r>
        <w:rPr>
          <w:rFonts w:hint="cs"/>
          <w:rtl/>
        </w:rPr>
        <w:t xml:space="preserve"> </w:t>
      </w:r>
    </w:p>
    <w:p w:rsidR="0007171D" w:rsidRPr="00B30CE1" w:rsidRDefault="0007171D" w:rsidP="0007171D">
      <w:pPr>
        <w:pStyle w:val="a3"/>
        <w:rPr>
          <w:rtl/>
        </w:rPr>
      </w:pPr>
    </w:p>
    <w:p w:rsidR="0007171D" w:rsidRPr="00436A8E" w:rsidRDefault="0007171D" w:rsidP="0007171D">
      <w:pPr>
        <w:pStyle w:val="1"/>
        <w:rPr>
          <w:rtl/>
        </w:rPr>
      </w:pPr>
      <w:bookmarkStart w:id="8156" w:name="_Toc58876216"/>
      <w:bookmarkStart w:id="8157" w:name="_Toc58877626"/>
      <w:bookmarkStart w:id="8158" w:name="_Toc58914685"/>
      <w:bookmarkStart w:id="8159" w:name="_Toc58925979"/>
      <w:bookmarkStart w:id="8160" w:name="_Toc58930053"/>
      <w:bookmarkStart w:id="8161" w:name="_Toc58938204"/>
      <w:bookmarkStart w:id="8162" w:name="_Toc59006993"/>
      <w:bookmarkStart w:id="8163" w:name="_Toc59013471"/>
      <w:bookmarkStart w:id="8164" w:name="_Toc59013719"/>
      <w:bookmarkStart w:id="8165" w:name="_Toc59025785"/>
      <w:r>
        <w:rPr>
          <w:rFonts w:hint="cs"/>
          <w:rtl/>
        </w:rPr>
        <w:lastRenderedPageBreak/>
        <w:t>דברי הראב"ד דהמחזיק אינו נאמן מדין הפה שאסר</w:t>
      </w:r>
      <w:bookmarkEnd w:id="8156"/>
      <w:bookmarkEnd w:id="8157"/>
      <w:bookmarkEnd w:id="8158"/>
      <w:bookmarkEnd w:id="8159"/>
      <w:bookmarkEnd w:id="8160"/>
      <w:bookmarkEnd w:id="8161"/>
      <w:bookmarkEnd w:id="8162"/>
      <w:bookmarkEnd w:id="8163"/>
      <w:bookmarkEnd w:id="8164"/>
      <w:bookmarkEnd w:id="8165"/>
    </w:p>
    <w:p w:rsidR="0007171D" w:rsidRPr="006B2E55" w:rsidRDefault="0007171D" w:rsidP="0007171D">
      <w:pPr>
        <w:pStyle w:val="a3"/>
      </w:pPr>
      <w:bookmarkStart w:id="8166" w:name="_Toc58876217"/>
      <w:bookmarkStart w:id="8167" w:name="_Toc58877627"/>
      <w:bookmarkStart w:id="8168" w:name="_Toc58914686"/>
      <w:bookmarkStart w:id="8169" w:name="_Toc58925980"/>
      <w:bookmarkStart w:id="8170" w:name="_Toc58930054"/>
      <w:bookmarkStart w:id="8171" w:name="_Toc58938205"/>
      <w:bookmarkStart w:id="8172" w:name="_Toc59006994"/>
      <w:bookmarkStart w:id="8173" w:name="_Toc59013472"/>
      <w:bookmarkStart w:id="8174" w:name="_Toc59013720"/>
      <w:bookmarkStart w:id="8175" w:name="_Toc59025786"/>
      <w:r>
        <w:rPr>
          <w:rFonts w:hint="cs"/>
          <w:rtl/>
        </w:rPr>
        <w:t>דברי הראב"ד דאין למחזיק הפה שאסר דעליו להאמין שהייתה של המערער ולא שקנה המוכר</w:t>
      </w:r>
      <w:bookmarkEnd w:id="8166"/>
      <w:bookmarkEnd w:id="8167"/>
      <w:bookmarkEnd w:id="8168"/>
      <w:bookmarkEnd w:id="8169"/>
      <w:bookmarkEnd w:id="8170"/>
      <w:bookmarkEnd w:id="8171"/>
      <w:bookmarkEnd w:id="8172"/>
      <w:bookmarkEnd w:id="8173"/>
      <w:bookmarkEnd w:id="8174"/>
      <w:bookmarkEnd w:id="8175"/>
    </w:p>
    <w:p w:rsidR="0007171D" w:rsidRDefault="0007171D" w:rsidP="007E4E81">
      <w:pPr>
        <w:pStyle w:val="a0"/>
        <w:rPr>
          <w:rtl/>
        </w:rPr>
      </w:pPr>
      <w:bookmarkStart w:id="8176" w:name="_Ref58702050"/>
      <w:r>
        <w:rPr>
          <w:rFonts w:hint="cs"/>
          <w:rtl/>
        </w:rPr>
        <w:t xml:space="preserve">כתב </w:t>
      </w:r>
      <w:r w:rsidRPr="009A63AE">
        <w:rPr>
          <w:rStyle w:val="af9"/>
          <w:rFonts w:hint="cs"/>
          <w:rtl/>
        </w:rPr>
        <w:t>הראב"ד בשיטמ"ק</w:t>
      </w:r>
      <w:r>
        <w:rPr>
          <w:rFonts w:hint="cs"/>
          <w:rtl/>
        </w:rPr>
        <w:t xml:space="preserve"> </w:t>
      </w:r>
      <w:r w:rsidRPr="00015123">
        <w:rPr>
          <w:rStyle w:val="af7"/>
          <w:rFonts w:eastAsia="Guttman Hodes" w:hint="cs"/>
          <w:rtl/>
        </w:rPr>
        <w:t>(ד"ה האי מעשה)</w:t>
      </w:r>
      <w:r>
        <w:rPr>
          <w:rFonts w:hint="cs"/>
          <w:rtl/>
        </w:rPr>
        <w:t xml:space="preserve"> </w:t>
      </w:r>
      <w:r w:rsidRPr="00075894">
        <w:rPr>
          <w:rFonts w:hint="cs"/>
          <w:rtl/>
        </w:rPr>
        <w:t>דאין להקשות ד</w:t>
      </w:r>
      <w:r>
        <w:rPr>
          <w:rFonts w:hint="cs"/>
          <w:rtl/>
        </w:rPr>
        <w:t xml:space="preserve">המחזיק </w:t>
      </w:r>
      <w:r w:rsidRPr="00075894">
        <w:rPr>
          <w:rFonts w:hint="cs"/>
          <w:rtl/>
        </w:rPr>
        <w:t>יהיה</w:t>
      </w:r>
      <w:r>
        <w:rPr>
          <w:rFonts w:hint="cs"/>
          <w:rtl/>
        </w:rPr>
        <w:t xml:space="preserve"> נאמן מדין הפה שאסר, דהוא אמר שהייתה של המערער, והוא אומר שאמר לו המוכר שקנה מהמערער, </w:t>
      </w:r>
      <w:r w:rsidRPr="00003CE5">
        <w:rPr>
          <w:rStyle w:val="afb"/>
          <w:rFonts w:hint="cs"/>
          <w:rtl/>
        </w:rPr>
        <w:t xml:space="preserve">[כדהקשה </w:t>
      </w:r>
      <w:r w:rsidRPr="00003CE5">
        <w:rPr>
          <w:rStyle w:val="affa"/>
          <w:rFonts w:hint="cs"/>
          <w:rtl/>
        </w:rPr>
        <w:t>הרי"ף</w:t>
      </w:r>
      <w:r w:rsidRPr="00003CE5">
        <w:rPr>
          <w:rStyle w:val="afb"/>
          <w:rFonts w:hint="cs"/>
          <w:rtl/>
        </w:rPr>
        <w:t xml:space="preserve"> </w:t>
      </w:r>
      <w:r w:rsidRPr="00003CE5">
        <w:rPr>
          <w:rStyle w:val="aff6"/>
          <w:rFonts w:hint="cs"/>
          <w:rtl/>
        </w:rPr>
        <w:t xml:space="preserve">(עי' אות </w:t>
      </w:r>
      <w:r w:rsidRPr="00003CE5">
        <w:rPr>
          <w:rStyle w:val="aff6"/>
          <w:rtl/>
        </w:rPr>
        <w:fldChar w:fldCharType="begin"/>
      </w:r>
      <w:r w:rsidRPr="00003CE5">
        <w:rPr>
          <w:rStyle w:val="aff6"/>
          <w:rtl/>
        </w:rPr>
        <w:instrText xml:space="preserve"> </w:instrText>
      </w:r>
      <w:r w:rsidRPr="00003CE5">
        <w:rPr>
          <w:rStyle w:val="aff6"/>
          <w:rFonts w:hint="cs"/>
        </w:rPr>
        <w:instrText>REF</w:instrText>
      </w:r>
      <w:r w:rsidRPr="00003CE5">
        <w:rPr>
          <w:rStyle w:val="aff6"/>
          <w:rFonts w:hint="cs"/>
          <w:rtl/>
        </w:rPr>
        <w:instrText xml:space="preserve"> _</w:instrText>
      </w:r>
      <w:r w:rsidRPr="00003CE5">
        <w:rPr>
          <w:rStyle w:val="aff6"/>
          <w:rFonts w:hint="cs"/>
        </w:rPr>
        <w:instrText>Ref59006919 \r \h</w:instrText>
      </w:r>
      <w:r w:rsidRPr="00003CE5">
        <w:rPr>
          <w:rStyle w:val="aff6"/>
          <w:rtl/>
        </w:rPr>
        <w:instrText xml:space="preserve"> </w:instrText>
      </w:r>
      <w:r w:rsidRPr="00003CE5">
        <w:rPr>
          <w:rStyle w:val="aff6"/>
          <w:rtl/>
        </w:rPr>
      </w:r>
      <w:r w:rsidRPr="00003CE5">
        <w:rPr>
          <w:rStyle w:val="aff6"/>
          <w:rtl/>
        </w:rPr>
        <w:fldChar w:fldCharType="separate"/>
      </w:r>
      <w:r w:rsidR="00265073">
        <w:rPr>
          <w:rStyle w:val="aff6"/>
          <w:cs/>
        </w:rPr>
        <w:t>‎</w:t>
      </w:r>
      <w:r w:rsidR="00265073">
        <w:rPr>
          <w:rStyle w:val="aff6"/>
          <w:rtl/>
        </w:rPr>
        <w:t>טז)</w:t>
      </w:r>
      <w:r w:rsidRPr="00003CE5">
        <w:rPr>
          <w:rStyle w:val="aff6"/>
          <w:rtl/>
        </w:rPr>
        <w:fldChar w:fldCharType="end"/>
      </w:r>
      <w:r w:rsidRPr="00003CE5">
        <w:rPr>
          <w:rStyle w:val="afb"/>
          <w:rFonts w:hint="cs"/>
          <w:rtl/>
        </w:rPr>
        <w:t>],</w:t>
      </w:r>
      <w:r>
        <w:rPr>
          <w:rFonts w:hint="cs"/>
          <w:rtl/>
        </w:rPr>
        <w:t xml:space="preserve"> וביאר </w:t>
      </w:r>
      <w:r w:rsidRPr="00003CE5">
        <w:rPr>
          <w:rStyle w:val="af9"/>
          <w:rFonts w:hint="cs"/>
          <w:rtl/>
        </w:rPr>
        <w:t>הראב"ד</w:t>
      </w:r>
      <w:r>
        <w:rPr>
          <w:rFonts w:hint="cs"/>
          <w:rtl/>
        </w:rPr>
        <w:t xml:space="preserve"> דכ"מ דמהני הפה שאסר, הוא בדבר שטוען כן מחמת שהוא עצמו יודע, </w:t>
      </w:r>
      <w:r w:rsidRPr="009A63AE">
        <w:rPr>
          <w:rStyle w:val="afb"/>
          <w:rFonts w:hint="cs"/>
          <w:rtl/>
        </w:rPr>
        <w:t>[כהאומר של</w:t>
      </w:r>
      <w:r>
        <w:rPr>
          <w:rStyle w:val="afb"/>
          <w:rFonts w:hint="cs"/>
          <w:rtl/>
        </w:rPr>
        <w:t xml:space="preserve"> אביך</w:t>
      </w:r>
      <w:r w:rsidRPr="009A63AE">
        <w:rPr>
          <w:rStyle w:val="afb"/>
          <w:rFonts w:hint="cs"/>
          <w:rtl/>
        </w:rPr>
        <w:t xml:space="preserve"> הייתה ולקחתיה ממ</w:t>
      </w:r>
      <w:r>
        <w:rPr>
          <w:rStyle w:val="afb"/>
          <w:rFonts w:hint="cs"/>
          <w:rtl/>
        </w:rPr>
        <w:t>נו</w:t>
      </w:r>
      <w:r w:rsidRPr="009A63AE">
        <w:rPr>
          <w:rStyle w:val="afb"/>
          <w:rFonts w:hint="cs"/>
          <w:rtl/>
        </w:rPr>
        <w:t>],</w:t>
      </w:r>
      <w:r>
        <w:rPr>
          <w:rFonts w:hint="cs"/>
          <w:rtl/>
        </w:rPr>
        <w:t xml:space="preserve"> דאמרינן דטענתו היא אמת, כיון שהיה יכול לשתוק והייתה הקרקע בחזקתו, אבל בסוגיין המחזיק שמע מפי המוכר שהקרקע הייתה בתחילה של המערער, ובזה באמת המחזיק צריך להאמין למוכר דטענתו היא הודאת בע"ד, כיון שהיא לחובתו, אך על מה שאמר המוכר שהוא קנה מהמערער, עדיין צריך להשאר ספק למחזיק, כיון דלא היה למחזיק להאמין למוכר במה שטוען לזכותו, </w:t>
      </w:r>
      <w:r w:rsidRPr="00386E0B">
        <w:rPr>
          <w:rStyle w:val="afb"/>
          <w:rFonts w:hint="cs"/>
          <w:rtl/>
        </w:rPr>
        <w:t xml:space="preserve">[וכתב </w:t>
      </w:r>
      <w:r w:rsidRPr="00386E0B">
        <w:rPr>
          <w:rStyle w:val="affa"/>
          <w:rFonts w:hint="cs"/>
          <w:rtl/>
        </w:rPr>
        <w:t>הר"ן על הרי"ף</w:t>
      </w:r>
      <w:r w:rsidRPr="00386E0B">
        <w:rPr>
          <w:rStyle w:val="afb"/>
          <w:rFonts w:hint="cs"/>
          <w:rtl/>
        </w:rPr>
        <w:t xml:space="preserve"> </w:t>
      </w:r>
      <w:r w:rsidRPr="00386E0B">
        <w:rPr>
          <w:rStyle w:val="aff6"/>
          <w:rFonts w:hint="cs"/>
          <w:rtl/>
        </w:rPr>
        <w:t xml:space="preserve">(עי' אות </w:t>
      </w:r>
      <w:r w:rsidRPr="00386E0B">
        <w:rPr>
          <w:rStyle w:val="aff6"/>
          <w:rtl/>
        </w:rPr>
        <w:fldChar w:fldCharType="begin"/>
      </w:r>
      <w:r w:rsidRPr="00386E0B">
        <w:rPr>
          <w:rStyle w:val="aff6"/>
          <w:rtl/>
        </w:rPr>
        <w:instrText xml:space="preserve"> </w:instrText>
      </w:r>
      <w:r w:rsidRPr="00386E0B">
        <w:rPr>
          <w:rStyle w:val="aff6"/>
          <w:rFonts w:hint="cs"/>
        </w:rPr>
        <w:instrText>REF</w:instrText>
      </w:r>
      <w:r w:rsidRPr="00386E0B">
        <w:rPr>
          <w:rStyle w:val="aff6"/>
          <w:rFonts w:hint="cs"/>
          <w:rtl/>
        </w:rPr>
        <w:instrText xml:space="preserve"> _</w:instrText>
      </w:r>
      <w:r w:rsidRPr="00386E0B">
        <w:rPr>
          <w:rStyle w:val="aff6"/>
          <w:rFonts w:hint="cs"/>
        </w:rPr>
        <w:instrText>Ref59010739 \r \h</w:instrText>
      </w:r>
      <w:r w:rsidRPr="00386E0B">
        <w:rPr>
          <w:rStyle w:val="aff6"/>
          <w:rtl/>
        </w:rPr>
        <w:instrText xml:space="preserve"> </w:instrText>
      </w:r>
      <w:r w:rsidRPr="00386E0B">
        <w:rPr>
          <w:rStyle w:val="aff6"/>
          <w:rtl/>
        </w:rPr>
      </w:r>
      <w:r w:rsidRPr="00386E0B">
        <w:rPr>
          <w:rStyle w:val="aff6"/>
          <w:rtl/>
        </w:rPr>
        <w:fldChar w:fldCharType="separate"/>
      </w:r>
      <w:r w:rsidR="00265073">
        <w:rPr>
          <w:rStyle w:val="aff6"/>
          <w:cs/>
        </w:rPr>
        <w:t>‎</w:t>
      </w:r>
      <w:r w:rsidR="00265073">
        <w:rPr>
          <w:rStyle w:val="aff6"/>
          <w:rtl/>
        </w:rPr>
        <w:t>יח)</w:t>
      </w:r>
      <w:r w:rsidRPr="00386E0B">
        <w:rPr>
          <w:rStyle w:val="aff6"/>
          <w:rtl/>
        </w:rPr>
        <w:fldChar w:fldCharType="end"/>
      </w:r>
      <w:r w:rsidRPr="00386E0B">
        <w:rPr>
          <w:rStyle w:val="afb"/>
          <w:rFonts w:hint="cs"/>
          <w:rtl/>
        </w:rPr>
        <w:t xml:space="preserve"> </w:t>
      </w:r>
      <w:r>
        <w:rPr>
          <w:rStyle w:val="afb"/>
          <w:rFonts w:hint="cs"/>
          <w:rtl/>
        </w:rPr>
        <w:t xml:space="preserve">דמבואר מדברי </w:t>
      </w:r>
      <w:r w:rsidRPr="00386E0B">
        <w:rPr>
          <w:rStyle w:val="affa"/>
          <w:rFonts w:hint="cs"/>
          <w:rtl/>
        </w:rPr>
        <w:t>הרי"ף</w:t>
      </w:r>
      <w:r w:rsidRPr="00386E0B">
        <w:rPr>
          <w:rStyle w:val="afb"/>
          <w:rFonts w:hint="cs"/>
          <w:rtl/>
        </w:rPr>
        <w:t xml:space="preserve"> </w:t>
      </w:r>
      <w:r>
        <w:rPr>
          <w:rStyle w:val="afb"/>
          <w:rFonts w:hint="cs"/>
          <w:rtl/>
        </w:rPr>
        <w:t>ד</w:t>
      </w:r>
      <w:r w:rsidRPr="00386E0B">
        <w:rPr>
          <w:rStyle w:val="afb"/>
          <w:rFonts w:hint="cs"/>
          <w:rtl/>
        </w:rPr>
        <w:t xml:space="preserve">פליג על </w:t>
      </w:r>
      <w:r w:rsidRPr="00386E0B">
        <w:rPr>
          <w:rStyle w:val="affa"/>
          <w:rFonts w:hint="cs"/>
          <w:rtl/>
        </w:rPr>
        <w:t>הראב"ד</w:t>
      </w:r>
      <w:r>
        <w:rPr>
          <w:rStyle w:val="afb"/>
          <w:rFonts w:hint="cs"/>
          <w:rtl/>
        </w:rPr>
        <w:t>, וס"ל דכל שלא הודה המחזיק בפירוש, מהני לו הפה שאסר כמו שהיה המוכר נאמן</w:t>
      </w:r>
      <w:r w:rsidRPr="00386E0B">
        <w:rPr>
          <w:rStyle w:val="afb"/>
          <w:rFonts w:hint="cs"/>
          <w:rtl/>
        </w:rPr>
        <w:t>],</w:t>
      </w:r>
      <w:r>
        <w:rPr>
          <w:rFonts w:hint="cs"/>
          <w:rtl/>
        </w:rPr>
        <w:t xml:space="preserve"> ועי' במ"ש </w:t>
      </w:r>
      <w:r>
        <w:rPr>
          <w:rStyle w:val="af9"/>
          <w:rFonts w:hint="cs"/>
          <w:rtl/>
        </w:rPr>
        <w:t>ה</w:t>
      </w:r>
      <w:r w:rsidRPr="001A6F14">
        <w:rPr>
          <w:rStyle w:val="af9"/>
          <w:rFonts w:hint="cs"/>
          <w:rtl/>
        </w:rPr>
        <w:t xml:space="preserve">גרנ"ט </w:t>
      </w:r>
      <w:r w:rsidRPr="00421CB1">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Ref59023236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Pr>
          <w:rStyle w:val="af7"/>
          <w:rFonts w:eastAsia="Guttman Hodes"/>
          <w:rtl/>
        </w:rPr>
        <w:fldChar w:fldCharType="end"/>
      </w:r>
      <w:r w:rsidRPr="00421CB1">
        <w:rPr>
          <w:rStyle w:val="af7"/>
          <w:rFonts w:eastAsia="Guttman Hodes" w:hint="cs"/>
          <w:rtl/>
        </w:rPr>
        <w:t xml:space="preserve"> </w:t>
      </w:r>
      <w:r w:rsidRPr="001B6138">
        <w:rPr>
          <w:rStyle w:val="af9"/>
          <w:rFonts w:hint="cs"/>
          <w:rtl/>
        </w:rPr>
        <w:t>ו</w:t>
      </w:r>
      <w:r>
        <w:rPr>
          <w:rStyle w:val="af9"/>
          <w:rFonts w:hint="cs"/>
          <w:rtl/>
        </w:rPr>
        <w:t xml:space="preserve">האבהא"ז </w:t>
      </w:r>
      <w:r w:rsidRPr="00E40536">
        <w:rPr>
          <w:rStyle w:val="af7"/>
          <w:rFonts w:eastAsia="Guttman Hodes" w:hint="cs"/>
          <w:rtl/>
        </w:rPr>
        <w:t xml:space="preserve">(עי' </w:t>
      </w:r>
      <w:r w:rsidRPr="00421CB1">
        <w:rPr>
          <w:rStyle w:val="af7"/>
          <w:rFonts w:eastAsia="Guttman Hodes" w:hint="cs"/>
          <w:rtl/>
        </w:rPr>
        <w:t xml:space="preserve">אות </w:t>
      </w:r>
      <w:r w:rsidRPr="00421CB1">
        <w:rPr>
          <w:rStyle w:val="af7"/>
          <w:rFonts w:eastAsia="Guttman Hodes"/>
          <w:rtl/>
        </w:rPr>
        <w:fldChar w:fldCharType="begin"/>
      </w:r>
      <w:r w:rsidRPr="00421CB1">
        <w:rPr>
          <w:rStyle w:val="af7"/>
          <w:rFonts w:eastAsia="Guttman Hodes"/>
          <w:rtl/>
        </w:rPr>
        <w:instrText xml:space="preserve"> </w:instrText>
      </w:r>
      <w:r w:rsidRPr="00421CB1">
        <w:rPr>
          <w:rStyle w:val="af7"/>
          <w:rFonts w:eastAsia="Guttman Hodes" w:hint="cs"/>
        </w:rPr>
        <w:instrText>REF</w:instrText>
      </w:r>
      <w:r w:rsidRPr="00421CB1">
        <w:rPr>
          <w:rStyle w:val="af7"/>
          <w:rFonts w:eastAsia="Guttman Hodes" w:hint="cs"/>
          <w:rtl/>
        </w:rPr>
        <w:instrText xml:space="preserve"> _</w:instrText>
      </w:r>
      <w:r w:rsidRPr="00421CB1">
        <w:rPr>
          <w:rStyle w:val="af7"/>
          <w:rFonts w:eastAsia="Guttman Hodes" w:hint="cs"/>
        </w:rPr>
        <w:instrText>Ref58923199 \r \h</w:instrText>
      </w:r>
      <w:r w:rsidRPr="00421CB1">
        <w:rPr>
          <w:rStyle w:val="af7"/>
          <w:rFonts w:eastAsia="Guttman Hodes"/>
          <w:rtl/>
        </w:rPr>
        <w:instrText xml:space="preserve"> </w:instrText>
      </w:r>
      <w:r w:rsidRPr="00421CB1">
        <w:rPr>
          <w:rStyle w:val="af7"/>
          <w:rFonts w:eastAsia="Guttman Hodes"/>
          <w:rtl/>
        </w:rPr>
      </w:r>
      <w:r w:rsidRPr="00421CB1">
        <w:rPr>
          <w:rStyle w:val="af7"/>
          <w:rFonts w:eastAsia="Guttman Hodes"/>
          <w:rtl/>
        </w:rPr>
        <w:fldChar w:fldCharType="separate"/>
      </w:r>
      <w:r w:rsidR="00265073">
        <w:rPr>
          <w:rStyle w:val="af7"/>
          <w:rFonts w:eastAsia="Guttman Hodes"/>
          <w:cs/>
        </w:rPr>
        <w:t>‎</w:t>
      </w:r>
      <w:r w:rsidR="00265073">
        <w:rPr>
          <w:rStyle w:val="af7"/>
          <w:rFonts w:eastAsia="Guttman Hodes"/>
          <w:rtl/>
        </w:rPr>
        <w:t>קיח)</w:t>
      </w:r>
      <w:r w:rsidRPr="00421CB1">
        <w:rPr>
          <w:rStyle w:val="af7"/>
          <w:rFonts w:eastAsia="Guttman Hodes"/>
          <w:rtl/>
        </w:rPr>
        <w:fldChar w:fldCharType="end"/>
      </w:r>
      <w:r>
        <w:rPr>
          <w:rStyle w:val="af9"/>
          <w:rFonts w:hint="cs"/>
          <w:rtl/>
        </w:rPr>
        <w:t xml:space="preserve"> </w:t>
      </w:r>
      <w:r w:rsidRPr="001A6F14">
        <w:rPr>
          <w:rStyle w:val="af9"/>
          <w:rFonts w:hint="cs"/>
          <w:rtl/>
        </w:rPr>
        <w:t>ובחי' רבי שמואל</w:t>
      </w:r>
      <w:r w:rsidRPr="00421CB1">
        <w:rPr>
          <w:rStyle w:val="af7"/>
          <w:rFonts w:eastAsia="Guttman Hodes" w:hint="cs"/>
          <w:rtl/>
        </w:rPr>
        <w:t xml:space="preserve"> (עי' אות </w:t>
      </w:r>
      <w:r w:rsidRPr="00421CB1">
        <w:rPr>
          <w:rStyle w:val="af7"/>
          <w:rFonts w:eastAsia="Guttman Hodes"/>
          <w:rtl/>
        </w:rPr>
        <w:fldChar w:fldCharType="begin"/>
      </w:r>
      <w:r w:rsidRPr="00421CB1">
        <w:rPr>
          <w:rStyle w:val="af7"/>
          <w:rFonts w:eastAsia="Guttman Hodes"/>
          <w:rtl/>
        </w:rPr>
        <w:instrText xml:space="preserve"> </w:instrText>
      </w:r>
      <w:r w:rsidRPr="00421CB1">
        <w:rPr>
          <w:rStyle w:val="af7"/>
          <w:rFonts w:eastAsia="Guttman Hodes" w:hint="cs"/>
        </w:rPr>
        <w:instrText>REF</w:instrText>
      </w:r>
      <w:r w:rsidRPr="00421CB1">
        <w:rPr>
          <w:rStyle w:val="af7"/>
          <w:rFonts w:eastAsia="Guttman Hodes" w:hint="cs"/>
          <w:rtl/>
        </w:rPr>
        <w:instrText xml:space="preserve"> _</w:instrText>
      </w:r>
      <w:r w:rsidRPr="00421CB1">
        <w:rPr>
          <w:rStyle w:val="af7"/>
          <w:rFonts w:eastAsia="Guttman Hodes" w:hint="cs"/>
        </w:rPr>
        <w:instrText>Ref58922989 \r \h</w:instrText>
      </w:r>
      <w:r w:rsidRPr="00421CB1">
        <w:rPr>
          <w:rStyle w:val="af7"/>
          <w:rFonts w:eastAsia="Guttman Hodes"/>
          <w:rtl/>
        </w:rPr>
        <w:instrText xml:space="preserve"> </w:instrText>
      </w:r>
      <w:r w:rsidRPr="00421CB1">
        <w:rPr>
          <w:rStyle w:val="af7"/>
          <w:rFonts w:eastAsia="Guttman Hodes"/>
          <w:rtl/>
        </w:rPr>
      </w:r>
      <w:r w:rsidRPr="00421CB1">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421CB1">
        <w:rPr>
          <w:rStyle w:val="af7"/>
          <w:rFonts w:eastAsia="Guttman Hodes"/>
          <w:rtl/>
        </w:rPr>
        <w:fldChar w:fldCharType="end"/>
      </w:r>
      <w:r>
        <w:rPr>
          <w:rStyle w:val="af9"/>
          <w:rFonts w:hint="cs"/>
          <w:rtl/>
        </w:rPr>
        <w:t xml:space="preserve"> </w:t>
      </w:r>
      <w:r>
        <w:rPr>
          <w:rFonts w:hint="cs"/>
          <w:rtl/>
        </w:rPr>
        <w:t xml:space="preserve">דביארו את דברי </w:t>
      </w:r>
      <w:r w:rsidRPr="001B6138">
        <w:rPr>
          <w:rStyle w:val="af9"/>
          <w:rFonts w:hint="cs"/>
          <w:rtl/>
        </w:rPr>
        <w:t>הראב"ד</w:t>
      </w:r>
      <w:r w:rsidRPr="00291706">
        <w:rPr>
          <w:rStyle w:val="af9"/>
          <w:rFonts w:hint="cs"/>
          <w:rtl/>
        </w:rPr>
        <w:t xml:space="preserve"> </w:t>
      </w:r>
      <w:r>
        <w:rPr>
          <w:rFonts w:hint="cs"/>
          <w:rtl/>
        </w:rPr>
        <w:t>עפי"ד</w:t>
      </w:r>
      <w:r>
        <w:rPr>
          <w:rStyle w:val="af9"/>
          <w:rFonts w:hint="cs"/>
          <w:rtl/>
        </w:rPr>
        <w:t xml:space="preserve"> </w:t>
      </w:r>
      <w:r w:rsidRPr="00266814">
        <w:rPr>
          <w:rStyle w:val="af9"/>
          <w:rFonts w:hint="cs"/>
          <w:rtl/>
        </w:rPr>
        <w:t>התומים</w:t>
      </w:r>
      <w:r>
        <w:rPr>
          <w:rFonts w:hint="cs"/>
          <w:rtl/>
        </w:rPr>
        <w:t xml:space="preserve"> </w:t>
      </w:r>
      <w:r w:rsidRPr="00B20CE0">
        <w:rPr>
          <w:rStyle w:val="af7"/>
          <w:rFonts w:eastAsia="Guttman Hodes" w:hint="cs"/>
          <w:rtl/>
        </w:rPr>
        <w:t xml:space="preserve">(עי' אות </w:t>
      </w:r>
      <w:r w:rsidRPr="00B20CE0">
        <w:rPr>
          <w:rStyle w:val="af7"/>
          <w:rFonts w:eastAsia="Guttman Hodes"/>
          <w:rtl/>
        </w:rPr>
        <w:fldChar w:fldCharType="begin"/>
      </w:r>
      <w:r w:rsidRPr="00B20CE0">
        <w:rPr>
          <w:rStyle w:val="af7"/>
          <w:rFonts w:eastAsia="Guttman Hodes"/>
          <w:rtl/>
        </w:rPr>
        <w:instrText xml:space="preserve"> </w:instrText>
      </w:r>
      <w:r w:rsidRPr="00B20CE0">
        <w:rPr>
          <w:rStyle w:val="af7"/>
          <w:rFonts w:eastAsia="Guttman Hodes" w:hint="cs"/>
        </w:rPr>
        <w:instrText>REF</w:instrText>
      </w:r>
      <w:r w:rsidRPr="00B20CE0">
        <w:rPr>
          <w:rStyle w:val="af7"/>
          <w:rFonts w:eastAsia="Guttman Hodes" w:hint="cs"/>
          <w:rtl/>
        </w:rPr>
        <w:instrText xml:space="preserve"> _</w:instrText>
      </w:r>
      <w:r w:rsidRPr="00B20CE0">
        <w:rPr>
          <w:rStyle w:val="af7"/>
          <w:rFonts w:eastAsia="Guttman Hodes" w:hint="cs"/>
        </w:rPr>
        <w:instrText>Ref59007852 \r \h</w:instrText>
      </w:r>
      <w:r w:rsidRPr="00B20CE0">
        <w:rPr>
          <w:rStyle w:val="af7"/>
          <w:rFonts w:eastAsia="Guttman Hodes"/>
          <w:rtl/>
        </w:rPr>
        <w:instrText xml:space="preserve"> </w:instrText>
      </w:r>
      <w:r w:rsidRPr="00B20CE0">
        <w:rPr>
          <w:rStyle w:val="af7"/>
          <w:rFonts w:eastAsia="Guttman Hodes"/>
          <w:rtl/>
        </w:rPr>
      </w:r>
      <w:r w:rsidRPr="00B20CE0">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B20CE0">
        <w:rPr>
          <w:rStyle w:val="af7"/>
          <w:rFonts w:eastAsia="Guttman Hodes"/>
          <w:rtl/>
        </w:rPr>
        <w:fldChar w:fldCharType="end"/>
      </w:r>
      <w:r>
        <w:rPr>
          <w:rFonts w:hint="cs"/>
          <w:rtl/>
        </w:rPr>
        <w:t xml:space="preserve"> בדין מיגו חוץ לב"ד.</w:t>
      </w:r>
      <w:bookmarkEnd w:id="8176"/>
    </w:p>
    <w:p w:rsidR="0007171D" w:rsidRPr="000743CE" w:rsidRDefault="0007171D" w:rsidP="0007171D">
      <w:pPr>
        <w:pStyle w:val="a3"/>
        <w:rPr>
          <w:rtl/>
        </w:rPr>
      </w:pPr>
      <w:bookmarkStart w:id="8177" w:name="_Toc58877628"/>
      <w:bookmarkStart w:id="8178" w:name="_Toc58914687"/>
      <w:bookmarkStart w:id="8179" w:name="_Toc58925981"/>
      <w:bookmarkStart w:id="8180" w:name="_Toc58930055"/>
      <w:bookmarkStart w:id="8181" w:name="_Toc58938206"/>
      <w:bookmarkStart w:id="8182" w:name="_Toc59006995"/>
      <w:bookmarkStart w:id="8183" w:name="_Toc59013473"/>
      <w:bookmarkStart w:id="8184" w:name="_Toc59013721"/>
      <w:bookmarkStart w:id="8185" w:name="_Toc59025787"/>
      <w:r>
        <w:rPr>
          <w:rFonts w:hint="cs"/>
          <w:rtl/>
        </w:rPr>
        <w:t>דברי הראב"ד דהמערער טען למחזיק דעליך להאמין להודאת המוכר ולא לטענתו שקנה ממני</w:t>
      </w:r>
      <w:bookmarkEnd w:id="8177"/>
      <w:bookmarkEnd w:id="8178"/>
      <w:bookmarkEnd w:id="8179"/>
      <w:bookmarkEnd w:id="8180"/>
      <w:bookmarkEnd w:id="8181"/>
      <w:bookmarkEnd w:id="8182"/>
      <w:bookmarkEnd w:id="8183"/>
      <w:bookmarkEnd w:id="8184"/>
      <w:bookmarkEnd w:id="8185"/>
    </w:p>
    <w:p w:rsidR="0007171D" w:rsidRDefault="0007171D" w:rsidP="007E4E81">
      <w:pPr>
        <w:pStyle w:val="a0"/>
        <w:rPr>
          <w:rtl/>
        </w:rPr>
      </w:pPr>
      <w:r>
        <w:rPr>
          <w:rFonts w:hint="cs"/>
          <w:rtl/>
        </w:rPr>
        <w:t>ובביאור טענת המערער למחזיק, "לאו קא מודית</w:t>
      </w:r>
      <w:r>
        <w:rPr>
          <w:rtl/>
        </w:rPr>
        <w:t>"</w:t>
      </w:r>
      <w:r>
        <w:rPr>
          <w:rFonts w:hint="cs"/>
          <w:rtl/>
        </w:rPr>
        <w:t xml:space="preserve">, ביאר </w:t>
      </w:r>
      <w:r w:rsidRPr="009A63AE">
        <w:rPr>
          <w:rStyle w:val="af9"/>
          <w:rFonts w:hint="cs"/>
          <w:rtl/>
        </w:rPr>
        <w:t>הראב"ד בשיטמ"ק</w:t>
      </w:r>
      <w:r>
        <w:rPr>
          <w:rFonts w:hint="cs"/>
          <w:rtl/>
        </w:rPr>
        <w:t xml:space="preserve"> </w:t>
      </w:r>
      <w:r w:rsidRPr="00015123">
        <w:rPr>
          <w:rStyle w:val="af7"/>
          <w:rFonts w:eastAsia="Guttman Hodes" w:hint="cs"/>
          <w:rtl/>
        </w:rPr>
        <w:t>(ד"ה האי מעשה)</w:t>
      </w:r>
      <w:r>
        <w:rPr>
          <w:rFonts w:hint="cs"/>
          <w:rtl/>
        </w:rPr>
        <w:t xml:space="preserve"> דאומר המערער למחזיק, דעל מה שאמר לך המוכר שהקרקע הייתה שלי היה לך להאמינו, אך על מה שאמר לך המוכר שהוא קנה ממני, לא היה לך להאמינו, ואתה אינך טוען מדעתך שאני מכרתי את הקרקע, ורק שמעת כך מהמוכר, וכיון שאתה בעצמך מסופק בזה, כיון שאתה יכול להאמין למוכר רק על מה שטוען לחובתו, ולא על מה שטוען לזכותו, א"כ כלפיך טענת המוכר שהוא קנה ממני היא ספק, ואין ספק מוציא מידי ודאי שהייתה שלי, כיון שבטענה הזו אתה צריך להאמין למוכר שהיא לחובתו, ועי' במה שביאר </w:t>
      </w:r>
      <w:r w:rsidRPr="00BD6557">
        <w:rPr>
          <w:rStyle w:val="af9"/>
          <w:rFonts w:hint="cs"/>
          <w:rtl/>
        </w:rPr>
        <w:t>באילת השחר</w:t>
      </w:r>
      <w:r>
        <w:rPr>
          <w:rFonts w:hint="cs"/>
          <w:rtl/>
        </w:rPr>
        <w:t xml:space="preserve"> </w:t>
      </w:r>
      <w:r w:rsidRPr="00BD6557">
        <w:rPr>
          <w:rStyle w:val="aff6"/>
          <w:rFonts w:hint="cs"/>
          <w:rtl/>
        </w:rPr>
        <w:t>(ד"ה ואפשר לבאר)</w:t>
      </w:r>
      <w:r>
        <w:rPr>
          <w:rFonts w:hint="cs"/>
          <w:rtl/>
        </w:rPr>
        <w:t xml:space="preserve"> את דברי </w:t>
      </w:r>
      <w:r w:rsidRPr="00BD6557">
        <w:rPr>
          <w:rStyle w:val="af9"/>
          <w:rFonts w:hint="cs"/>
          <w:rtl/>
        </w:rPr>
        <w:t>הראב"ד</w:t>
      </w:r>
      <w:r>
        <w:rPr>
          <w:rFonts w:hint="cs"/>
          <w:rtl/>
        </w:rPr>
        <w:t>.</w:t>
      </w:r>
    </w:p>
    <w:p w:rsidR="0007171D" w:rsidRDefault="0007171D" w:rsidP="0007171D">
      <w:pPr>
        <w:pStyle w:val="a3"/>
        <w:rPr>
          <w:rtl/>
        </w:rPr>
      </w:pPr>
      <w:bookmarkStart w:id="8186" w:name="_Toc58877629"/>
      <w:bookmarkStart w:id="8187" w:name="_Toc58914688"/>
      <w:bookmarkStart w:id="8188" w:name="_Toc58925982"/>
      <w:bookmarkStart w:id="8189" w:name="_Toc58930056"/>
      <w:bookmarkStart w:id="8190" w:name="_Toc58938207"/>
      <w:bookmarkStart w:id="8191" w:name="_Toc59006996"/>
      <w:bookmarkStart w:id="8192" w:name="_Toc59013474"/>
      <w:bookmarkStart w:id="8193" w:name="_Toc59013722"/>
      <w:bookmarkStart w:id="8194" w:name="_Toc59025788"/>
      <w:r>
        <w:rPr>
          <w:rFonts w:hint="cs"/>
          <w:rtl/>
        </w:rPr>
        <w:t>ביאור הרמב"ן בראב"ד דל"מ הפה שאסר כשאינו אוסר ומתיר מחמת ידיעתו ורק שמע כן</w:t>
      </w:r>
      <w:bookmarkEnd w:id="8186"/>
      <w:bookmarkEnd w:id="8187"/>
      <w:bookmarkEnd w:id="8188"/>
      <w:bookmarkEnd w:id="8189"/>
      <w:bookmarkEnd w:id="8190"/>
      <w:bookmarkEnd w:id="8191"/>
      <w:bookmarkEnd w:id="8192"/>
      <w:bookmarkEnd w:id="8193"/>
      <w:bookmarkEnd w:id="8194"/>
    </w:p>
    <w:p w:rsidR="0007171D" w:rsidRDefault="0007171D" w:rsidP="007E4E81">
      <w:pPr>
        <w:pStyle w:val="a0"/>
        <w:rPr>
          <w:rtl/>
        </w:rPr>
      </w:pPr>
      <w:bookmarkStart w:id="8195" w:name="_Ref59025453"/>
      <w:r>
        <w:rPr>
          <w:rFonts w:hint="cs"/>
          <w:rtl/>
        </w:rPr>
        <w:t xml:space="preserve">וביאר </w:t>
      </w:r>
      <w:r w:rsidRPr="009A63AE">
        <w:rPr>
          <w:rStyle w:val="af9"/>
          <w:rFonts w:hint="cs"/>
          <w:rtl/>
        </w:rPr>
        <w:t>הרמב"ן</w:t>
      </w:r>
      <w:r>
        <w:rPr>
          <w:rFonts w:hint="cs"/>
          <w:rtl/>
        </w:rPr>
        <w:t xml:space="preserve"> </w:t>
      </w:r>
      <w:r w:rsidRPr="0002152B">
        <w:rPr>
          <w:rStyle w:val="af7"/>
          <w:rFonts w:eastAsia="Guttman Hodes" w:hint="cs"/>
          <w:rtl/>
        </w:rPr>
        <w:t>(ד"ה ואעפ"י)</w:t>
      </w:r>
      <w:r>
        <w:rPr>
          <w:rFonts w:hint="cs"/>
          <w:rtl/>
        </w:rPr>
        <w:t xml:space="preserve"> את דברי </w:t>
      </w:r>
      <w:r w:rsidRPr="009A63AE">
        <w:rPr>
          <w:rStyle w:val="af9"/>
          <w:rFonts w:hint="cs"/>
          <w:rtl/>
        </w:rPr>
        <w:t>הראב"ד</w:t>
      </w:r>
      <w:r>
        <w:rPr>
          <w:rFonts w:hint="cs"/>
          <w:rtl/>
        </w:rPr>
        <w:t xml:space="preserve"> דהכא לא מהני הפה שאסר, כיון דבכל הפה שאסר הנאמנות היא כשהוא אוסר מחמת ידיעתו, וגם הוא מתיר מחמת ידיעתו, אבל בסוגיין המחזיק שמע מהמוכר שהייתה של המערער בתחילה והיה צריך להאמינו בזה, דהא הודאת בע"ד כמאה עדים, וכשחזר המוכר ואמר לו שקנה מהמערער, נשאר ספק אצל המחזיק אם באמת המוכר קנה מהמערער, דאין המחזיק צריך להאמין למוכר על מה שטוען לזכותו, וא"כ כלפי המחזיק יש ודאי וספק ואין ספק מוציא מידי ודאי, וכ"כ</w:t>
      </w:r>
      <w:r w:rsidRPr="00AA6833">
        <w:rPr>
          <w:rStyle w:val="af9"/>
          <w:rFonts w:hint="cs"/>
          <w:rtl/>
        </w:rPr>
        <w:t xml:space="preserve"> המאירי</w:t>
      </w:r>
      <w:r>
        <w:rPr>
          <w:rFonts w:hint="cs"/>
          <w:rtl/>
        </w:rPr>
        <w:t xml:space="preserve"> </w:t>
      </w:r>
      <w:r w:rsidRPr="00AA6833">
        <w:rPr>
          <w:rStyle w:val="af7"/>
          <w:rFonts w:eastAsia="Guttman Hodes" w:hint="cs"/>
          <w:rtl/>
        </w:rPr>
        <w:t>(ד"ה מחזיק)</w:t>
      </w:r>
      <w:r>
        <w:rPr>
          <w:rFonts w:hint="cs"/>
          <w:rtl/>
        </w:rPr>
        <w:t xml:space="preserve">. </w:t>
      </w:r>
      <w:r w:rsidRPr="00436748">
        <w:rPr>
          <w:rStyle w:val="afb"/>
          <w:rFonts w:hint="cs"/>
          <w:rtl/>
        </w:rPr>
        <w:t xml:space="preserve">[עי' בדברי </w:t>
      </w:r>
      <w:r w:rsidRPr="00436748">
        <w:rPr>
          <w:rStyle w:val="affa"/>
          <w:rFonts w:hint="cs"/>
          <w:rtl/>
        </w:rPr>
        <w:t>המאירי</w:t>
      </w:r>
      <w:r w:rsidRPr="00436748">
        <w:rPr>
          <w:rStyle w:val="afb"/>
          <w:rFonts w:hint="cs"/>
          <w:rtl/>
        </w:rPr>
        <w:t xml:space="preserve"> דנקט לשון מיגו, ולא נקט לשון הפה שאסר </w:t>
      </w:r>
      <w:r w:rsidRPr="00436748">
        <w:rPr>
          <w:rStyle w:val="affa"/>
          <w:rFonts w:hint="cs"/>
          <w:rtl/>
        </w:rPr>
        <w:t>כראב"ד והרמב"ן</w:t>
      </w:r>
      <w:r>
        <w:rPr>
          <w:rStyle w:val="afb"/>
          <w:rFonts w:hint="cs"/>
          <w:rtl/>
        </w:rPr>
        <w:t xml:space="preserve">, ועי' בדברי </w:t>
      </w:r>
      <w:r w:rsidRPr="0020182D">
        <w:rPr>
          <w:rStyle w:val="affa"/>
          <w:rFonts w:hint="cs"/>
          <w:rtl/>
        </w:rPr>
        <w:t>האבאה"ז</w:t>
      </w:r>
      <w:r>
        <w:rPr>
          <w:rStyle w:val="afb"/>
          <w:rFonts w:hint="cs"/>
          <w:rtl/>
        </w:rPr>
        <w:t xml:space="preserve"> </w:t>
      </w:r>
      <w:r w:rsidRPr="0020182D">
        <w:rPr>
          <w:rStyle w:val="aff6"/>
          <w:rFonts w:hint="cs"/>
          <w:rtl/>
        </w:rPr>
        <w:t xml:space="preserve">(עי' אות </w:t>
      </w:r>
      <w:r w:rsidRPr="0020182D">
        <w:rPr>
          <w:rStyle w:val="aff6"/>
          <w:rtl/>
        </w:rPr>
        <w:fldChar w:fldCharType="begin"/>
      </w:r>
      <w:r w:rsidRPr="0020182D">
        <w:rPr>
          <w:rStyle w:val="aff6"/>
          <w:rtl/>
        </w:rPr>
        <w:instrText xml:space="preserve"> </w:instrText>
      </w:r>
      <w:r w:rsidRPr="0020182D">
        <w:rPr>
          <w:rStyle w:val="aff6"/>
          <w:rFonts w:hint="cs"/>
        </w:rPr>
        <w:instrText>REF</w:instrText>
      </w:r>
      <w:r w:rsidRPr="0020182D">
        <w:rPr>
          <w:rStyle w:val="aff6"/>
          <w:rFonts w:hint="cs"/>
          <w:rtl/>
        </w:rPr>
        <w:instrText xml:space="preserve"> _</w:instrText>
      </w:r>
      <w:r w:rsidRPr="0020182D">
        <w:rPr>
          <w:rStyle w:val="aff6"/>
          <w:rFonts w:hint="cs"/>
        </w:rPr>
        <w:instrText>Ref58923135 \r \h</w:instrText>
      </w:r>
      <w:r w:rsidRPr="0020182D">
        <w:rPr>
          <w:rStyle w:val="aff6"/>
          <w:rtl/>
        </w:rPr>
        <w:instrText xml:space="preserve"> </w:instrText>
      </w:r>
      <w:r w:rsidRPr="0020182D">
        <w:rPr>
          <w:rStyle w:val="aff6"/>
          <w:rtl/>
        </w:rPr>
      </w:r>
      <w:r w:rsidRPr="0020182D">
        <w:rPr>
          <w:rStyle w:val="aff6"/>
          <w:rtl/>
        </w:rPr>
        <w:fldChar w:fldCharType="separate"/>
      </w:r>
      <w:r w:rsidR="00265073">
        <w:rPr>
          <w:rStyle w:val="aff6"/>
          <w:cs/>
        </w:rPr>
        <w:t>‎</w:t>
      </w:r>
      <w:r w:rsidR="00265073">
        <w:rPr>
          <w:rStyle w:val="aff6"/>
          <w:rtl/>
        </w:rPr>
        <w:t>קיט)</w:t>
      </w:r>
      <w:r w:rsidRPr="0020182D">
        <w:rPr>
          <w:rStyle w:val="aff6"/>
          <w:rtl/>
        </w:rPr>
        <w:fldChar w:fldCharType="end"/>
      </w:r>
      <w:r w:rsidRPr="00436748">
        <w:rPr>
          <w:rStyle w:val="afb"/>
          <w:rFonts w:hint="cs"/>
          <w:rtl/>
        </w:rPr>
        <w:t>].</w:t>
      </w:r>
      <w:bookmarkEnd w:id="8195"/>
    </w:p>
    <w:p w:rsidR="00DA08C5" w:rsidRPr="00DA08C5" w:rsidRDefault="00DA08C5" w:rsidP="00DA08C5">
      <w:pPr>
        <w:pStyle w:val="a3"/>
        <w:rPr>
          <w:rtl/>
        </w:rPr>
      </w:pPr>
    </w:p>
    <w:p w:rsidR="0007171D" w:rsidRDefault="0007171D" w:rsidP="0007171D">
      <w:pPr>
        <w:pStyle w:val="1"/>
        <w:rPr>
          <w:rtl/>
        </w:rPr>
      </w:pPr>
      <w:r w:rsidRPr="005B32BA">
        <w:rPr>
          <w:rtl/>
        </w:rPr>
        <w:t xml:space="preserve">דחיית הרמב"ן לראב"ד דבלא הודה </w:t>
      </w:r>
      <w:r>
        <w:rPr>
          <w:rFonts w:hint="cs"/>
          <w:rtl/>
        </w:rPr>
        <w:t>מעצמו</w:t>
      </w:r>
      <w:r w:rsidRPr="005B32BA">
        <w:rPr>
          <w:rtl/>
        </w:rPr>
        <w:t xml:space="preserve"> נאמן במיגו דלהד"ם</w:t>
      </w:r>
    </w:p>
    <w:p w:rsidR="0007171D" w:rsidRPr="00636E50" w:rsidRDefault="0007171D" w:rsidP="0007171D">
      <w:pPr>
        <w:pStyle w:val="a3"/>
        <w:rPr>
          <w:rtl/>
        </w:rPr>
      </w:pPr>
      <w:bookmarkStart w:id="8196" w:name="_Toc58877631"/>
      <w:bookmarkStart w:id="8197" w:name="_Toc58914690"/>
      <w:bookmarkStart w:id="8198" w:name="_Toc58925984"/>
      <w:bookmarkStart w:id="8199" w:name="_Toc58930058"/>
      <w:bookmarkStart w:id="8200" w:name="_Toc58938209"/>
      <w:bookmarkStart w:id="8201" w:name="_Toc59006998"/>
      <w:bookmarkStart w:id="8202" w:name="_Toc59013476"/>
      <w:bookmarkStart w:id="8203" w:name="_Toc59013724"/>
      <w:bookmarkStart w:id="8204" w:name="_Toc59025790"/>
      <w:r>
        <w:rPr>
          <w:rFonts w:hint="cs"/>
          <w:rtl/>
        </w:rPr>
        <w:t>דחיית הרמב"ן לדברי הראב"ד דכשמודה המחזיק מפי המוכר נאמן במיגו דלהד"ם כמו המוכר</w:t>
      </w:r>
      <w:bookmarkEnd w:id="8196"/>
      <w:bookmarkEnd w:id="8197"/>
      <w:bookmarkEnd w:id="8198"/>
      <w:bookmarkEnd w:id="8199"/>
      <w:bookmarkEnd w:id="8200"/>
      <w:bookmarkEnd w:id="8201"/>
      <w:bookmarkEnd w:id="8202"/>
      <w:bookmarkEnd w:id="8203"/>
      <w:bookmarkEnd w:id="8204"/>
    </w:p>
    <w:p w:rsidR="0007171D" w:rsidRDefault="0007171D" w:rsidP="007E4E81">
      <w:pPr>
        <w:pStyle w:val="a0"/>
        <w:rPr>
          <w:rtl/>
        </w:rPr>
      </w:pPr>
      <w:bookmarkStart w:id="8205" w:name="_Ref58702147"/>
      <w:bookmarkStart w:id="8206" w:name="_Ref58922898"/>
      <w:r>
        <w:rPr>
          <w:rFonts w:hint="cs"/>
          <w:rtl/>
        </w:rPr>
        <w:t xml:space="preserve">אבל </w:t>
      </w:r>
      <w:r w:rsidRPr="009A63AE">
        <w:rPr>
          <w:rStyle w:val="af9"/>
          <w:rFonts w:hint="cs"/>
          <w:rtl/>
        </w:rPr>
        <w:t>הרמב"ן</w:t>
      </w:r>
      <w:r>
        <w:rPr>
          <w:rFonts w:hint="cs"/>
          <w:rtl/>
        </w:rPr>
        <w:t xml:space="preserve"> </w:t>
      </w:r>
      <w:r w:rsidRPr="0002152B">
        <w:rPr>
          <w:rStyle w:val="af7"/>
          <w:rFonts w:eastAsia="Guttman Hodes" w:hint="cs"/>
          <w:rtl/>
        </w:rPr>
        <w:t>(ד"ה ואעפ"י)</w:t>
      </w:r>
      <w:r>
        <w:rPr>
          <w:rFonts w:hint="cs"/>
          <w:rtl/>
        </w:rPr>
        <w:t xml:space="preserve"> דחה את דברי </w:t>
      </w:r>
      <w:r w:rsidRPr="009A63AE">
        <w:rPr>
          <w:rStyle w:val="af9"/>
          <w:rFonts w:hint="cs"/>
          <w:rtl/>
        </w:rPr>
        <w:t>הראב"ד</w:t>
      </w:r>
      <w:r>
        <w:rPr>
          <w:rFonts w:hint="cs"/>
          <w:rtl/>
        </w:rPr>
        <w:t xml:space="preserve"> </w:t>
      </w:r>
      <w:r w:rsidRPr="00636E50">
        <w:rPr>
          <w:rStyle w:val="af7"/>
          <w:rFonts w:eastAsia="Guttman Hodes" w:hint="cs"/>
          <w:rtl/>
        </w:rPr>
        <w:t xml:space="preserve">(עי' אות </w:t>
      </w:r>
      <w:r w:rsidRPr="00636E50">
        <w:rPr>
          <w:rStyle w:val="af7"/>
          <w:rFonts w:eastAsia="Guttman Hodes"/>
          <w:rtl/>
        </w:rPr>
        <w:fldChar w:fldCharType="begin"/>
      </w:r>
      <w:r w:rsidRPr="00636E50">
        <w:rPr>
          <w:rStyle w:val="af7"/>
          <w:rFonts w:eastAsia="Guttman Hodes"/>
          <w:rtl/>
        </w:rPr>
        <w:instrText xml:space="preserve"> </w:instrText>
      </w:r>
      <w:r w:rsidRPr="00636E50">
        <w:rPr>
          <w:rStyle w:val="af7"/>
          <w:rFonts w:eastAsia="Guttman Hodes" w:hint="cs"/>
        </w:rPr>
        <w:instrText>REF</w:instrText>
      </w:r>
      <w:r w:rsidRPr="00636E50">
        <w:rPr>
          <w:rStyle w:val="af7"/>
          <w:rFonts w:eastAsia="Guttman Hodes" w:hint="cs"/>
          <w:rtl/>
        </w:rPr>
        <w:instrText xml:space="preserve"> _</w:instrText>
      </w:r>
      <w:r w:rsidRPr="00636E50">
        <w:rPr>
          <w:rStyle w:val="af7"/>
          <w:rFonts w:eastAsia="Guttman Hodes" w:hint="cs"/>
        </w:rPr>
        <w:instrText>Ref58407487 \r \h</w:instrText>
      </w:r>
      <w:r w:rsidRPr="00636E50">
        <w:rPr>
          <w:rStyle w:val="af7"/>
          <w:rFonts w:eastAsia="Guttman Hodes"/>
          <w:rtl/>
        </w:rPr>
        <w:instrText xml:space="preserve"> </w:instrText>
      </w:r>
      <w:r w:rsidRPr="00636E50">
        <w:rPr>
          <w:rStyle w:val="af7"/>
          <w:rFonts w:eastAsia="Guttman Hodes"/>
          <w:rtl/>
        </w:rPr>
      </w:r>
      <w:r w:rsidRPr="00636E50">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636E50">
        <w:rPr>
          <w:rStyle w:val="af7"/>
          <w:rFonts w:eastAsia="Guttman Hodes"/>
          <w:rtl/>
        </w:rPr>
        <w:fldChar w:fldCharType="end"/>
      </w:r>
      <w:r>
        <w:rPr>
          <w:rFonts w:hint="cs"/>
          <w:rtl/>
        </w:rPr>
        <w:t xml:space="preserve"> דא"א לומר שהמחזיק אינו יודע שהקרקע הייתה של המערער, ורק שמע כן מהמוכר, דא"כ היה המחזיק נאמן לומר שכך אמר לו המוכר, במיגו שהיה טוען שאינה של המערער כלל, והמוכר נאמן לומר שקנה מהמערער, דהרי אם היה המוכר טוען בב"ד שהייתה של המערער וקנה ממנו היה נאמן, במיגו דהיה טוען שלא הייתה של המערער מעולם, א"כ אמאי לא יהיה נאמן במה שאמר כן כשמכר למחזיק</w:t>
      </w:r>
      <w:bookmarkStart w:id="8207" w:name="_Ref59007910"/>
      <w:bookmarkEnd w:id="8205"/>
      <w:r>
        <w:rPr>
          <w:rStyle w:val="af1"/>
          <w:rtl/>
        </w:rPr>
        <w:footnoteReference w:id="54"/>
      </w:r>
      <w:bookmarkEnd w:id="8207"/>
      <w:r>
        <w:rPr>
          <w:rFonts w:hint="cs"/>
          <w:rtl/>
        </w:rPr>
        <w:t xml:space="preserve">, ועי' במה שביארו </w:t>
      </w:r>
      <w:r w:rsidRPr="004D1257">
        <w:rPr>
          <w:rStyle w:val="af9"/>
          <w:rFonts w:hint="cs"/>
          <w:rtl/>
        </w:rPr>
        <w:t xml:space="preserve">המשל"מ </w:t>
      </w:r>
      <w:r w:rsidRPr="00201540">
        <w:rPr>
          <w:rStyle w:val="af7"/>
          <w:rFonts w:eastAsia="Guttman Hodes" w:hint="cs"/>
          <w:rtl/>
        </w:rPr>
        <w:t xml:space="preserve">(עי' אות </w:t>
      </w:r>
      <w:r w:rsidRPr="00201540">
        <w:rPr>
          <w:rStyle w:val="af7"/>
          <w:rFonts w:eastAsia="Guttman Hodes"/>
          <w:rtl/>
        </w:rPr>
        <w:fldChar w:fldCharType="begin"/>
      </w:r>
      <w:r w:rsidRPr="00201540">
        <w:rPr>
          <w:rStyle w:val="af7"/>
          <w:rFonts w:eastAsia="Guttman Hodes"/>
          <w:rtl/>
        </w:rPr>
        <w:instrText xml:space="preserve"> </w:instrText>
      </w:r>
      <w:r w:rsidRPr="00201540">
        <w:rPr>
          <w:rStyle w:val="af7"/>
          <w:rFonts w:eastAsia="Guttman Hodes" w:hint="cs"/>
        </w:rPr>
        <w:instrText>REF</w:instrText>
      </w:r>
      <w:r w:rsidRPr="00201540">
        <w:rPr>
          <w:rStyle w:val="af7"/>
          <w:rFonts w:eastAsia="Guttman Hodes" w:hint="cs"/>
          <w:rtl/>
        </w:rPr>
        <w:instrText xml:space="preserve"> _</w:instrText>
      </w:r>
      <w:r w:rsidRPr="00201540">
        <w:rPr>
          <w:rStyle w:val="af7"/>
          <w:rFonts w:eastAsia="Guttman Hodes" w:hint="cs"/>
        </w:rPr>
        <w:instrText>Ref58836319 \r \h</w:instrText>
      </w:r>
      <w:r w:rsidRPr="00201540">
        <w:rPr>
          <w:rStyle w:val="af7"/>
          <w:rFonts w:eastAsia="Guttman Hodes"/>
          <w:rtl/>
        </w:rPr>
        <w:instrText xml:space="preserve"> </w:instrText>
      </w:r>
      <w:r w:rsidRPr="00201540">
        <w:rPr>
          <w:rStyle w:val="af7"/>
          <w:rFonts w:eastAsia="Guttman Hodes"/>
          <w:rtl/>
        </w:rPr>
      </w:r>
      <w:r w:rsidRPr="00201540">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201540">
        <w:rPr>
          <w:rStyle w:val="af7"/>
          <w:rFonts w:eastAsia="Guttman Hodes"/>
          <w:rtl/>
        </w:rPr>
        <w:fldChar w:fldCharType="end"/>
      </w:r>
      <w:r>
        <w:rPr>
          <w:rStyle w:val="af9"/>
          <w:rFonts w:hint="cs"/>
          <w:rtl/>
        </w:rPr>
        <w:t xml:space="preserve"> </w:t>
      </w:r>
      <w:r w:rsidRPr="004D1257">
        <w:rPr>
          <w:rStyle w:val="af9"/>
          <w:rFonts w:hint="cs"/>
          <w:rtl/>
        </w:rPr>
        <w:t>והאבהא</w:t>
      </w:r>
      <w:r w:rsidRPr="001B6138">
        <w:rPr>
          <w:rStyle w:val="af9"/>
          <w:rFonts w:hint="cs"/>
          <w:rtl/>
        </w:rPr>
        <w:t>"ז</w:t>
      </w:r>
      <w:r>
        <w:rPr>
          <w:rFonts w:hint="cs"/>
          <w:rtl/>
        </w:rPr>
        <w:t xml:space="preserve"> </w:t>
      </w:r>
      <w:r w:rsidRPr="00421CB1">
        <w:rPr>
          <w:rStyle w:val="af7"/>
          <w:rFonts w:eastAsia="Guttman Hodes" w:hint="cs"/>
          <w:rtl/>
        </w:rPr>
        <w:t xml:space="preserve">(עי' אות </w:t>
      </w:r>
      <w:r w:rsidRPr="00421CB1">
        <w:rPr>
          <w:rStyle w:val="af7"/>
          <w:rFonts w:eastAsia="Guttman Hodes"/>
          <w:rtl/>
        </w:rPr>
        <w:fldChar w:fldCharType="begin"/>
      </w:r>
      <w:r w:rsidRPr="00421CB1">
        <w:rPr>
          <w:rStyle w:val="af7"/>
          <w:rFonts w:eastAsia="Guttman Hodes"/>
          <w:rtl/>
        </w:rPr>
        <w:instrText xml:space="preserve"> </w:instrText>
      </w:r>
      <w:r w:rsidRPr="00421CB1">
        <w:rPr>
          <w:rStyle w:val="af7"/>
          <w:rFonts w:eastAsia="Guttman Hodes" w:hint="cs"/>
        </w:rPr>
        <w:instrText>REF</w:instrText>
      </w:r>
      <w:r w:rsidRPr="00421CB1">
        <w:rPr>
          <w:rStyle w:val="af7"/>
          <w:rFonts w:eastAsia="Guttman Hodes" w:hint="cs"/>
          <w:rtl/>
        </w:rPr>
        <w:instrText xml:space="preserve"> _</w:instrText>
      </w:r>
      <w:r w:rsidRPr="00421CB1">
        <w:rPr>
          <w:rStyle w:val="af7"/>
          <w:rFonts w:eastAsia="Guttman Hodes" w:hint="cs"/>
        </w:rPr>
        <w:instrText>Ref58923135 \r \h</w:instrText>
      </w:r>
      <w:r w:rsidRPr="00421CB1">
        <w:rPr>
          <w:rStyle w:val="af7"/>
          <w:rFonts w:eastAsia="Guttman Hodes"/>
          <w:rtl/>
        </w:rPr>
        <w:instrText xml:space="preserve"> </w:instrText>
      </w:r>
      <w:r w:rsidRPr="00421CB1">
        <w:rPr>
          <w:rStyle w:val="af7"/>
          <w:rFonts w:eastAsia="Guttman Hodes"/>
          <w:rtl/>
        </w:rPr>
      </w:r>
      <w:r w:rsidRPr="00421CB1">
        <w:rPr>
          <w:rStyle w:val="af7"/>
          <w:rFonts w:eastAsia="Guttman Hodes"/>
          <w:rtl/>
        </w:rPr>
        <w:fldChar w:fldCharType="separate"/>
      </w:r>
      <w:r w:rsidR="00265073">
        <w:rPr>
          <w:rStyle w:val="af7"/>
          <w:rFonts w:eastAsia="Guttman Hodes"/>
          <w:cs/>
        </w:rPr>
        <w:t>‎</w:t>
      </w:r>
      <w:r w:rsidR="00265073">
        <w:rPr>
          <w:rStyle w:val="af7"/>
          <w:rFonts w:eastAsia="Guttman Hodes"/>
          <w:rtl/>
        </w:rPr>
        <w:t>קיט)</w:t>
      </w:r>
      <w:r w:rsidRPr="00421CB1">
        <w:rPr>
          <w:rStyle w:val="af7"/>
          <w:rFonts w:eastAsia="Guttman Hodes"/>
          <w:rtl/>
        </w:rPr>
        <w:fldChar w:fldCharType="end"/>
      </w:r>
      <w:r>
        <w:rPr>
          <w:rFonts w:hint="cs"/>
          <w:rtl/>
        </w:rPr>
        <w:t xml:space="preserve"> </w:t>
      </w:r>
      <w:r w:rsidRPr="001B6138">
        <w:rPr>
          <w:rStyle w:val="af9"/>
          <w:rFonts w:hint="cs"/>
          <w:rtl/>
        </w:rPr>
        <w:t>ובחי'</w:t>
      </w:r>
      <w:r>
        <w:rPr>
          <w:rFonts w:hint="cs"/>
          <w:rtl/>
        </w:rPr>
        <w:t xml:space="preserve"> </w:t>
      </w:r>
      <w:r w:rsidRPr="001B6138">
        <w:rPr>
          <w:rStyle w:val="af9"/>
          <w:rFonts w:hint="cs"/>
          <w:rtl/>
        </w:rPr>
        <w:t>רבי שמואל</w:t>
      </w:r>
      <w:r w:rsidRPr="00421CB1">
        <w:rPr>
          <w:rStyle w:val="af7"/>
          <w:rFonts w:eastAsia="Guttman Hodes" w:hint="cs"/>
          <w:rtl/>
        </w:rPr>
        <w:t xml:space="preserve"> (עי'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Ref58923015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1B6138">
        <w:rPr>
          <w:rStyle w:val="af9"/>
          <w:rFonts w:hint="cs"/>
          <w:rtl/>
        </w:rPr>
        <w:t>הרמב"ן</w:t>
      </w:r>
      <w:r>
        <w:rPr>
          <w:rFonts w:hint="cs"/>
          <w:rtl/>
        </w:rPr>
        <w:t>.</w:t>
      </w:r>
      <w:bookmarkEnd w:id="8206"/>
    </w:p>
    <w:p w:rsidR="0007171D" w:rsidRDefault="0007171D" w:rsidP="0007171D">
      <w:pPr>
        <w:pStyle w:val="a3"/>
        <w:rPr>
          <w:rtl/>
        </w:rPr>
      </w:pPr>
      <w:bookmarkStart w:id="8208" w:name="_Toc59006999"/>
      <w:bookmarkStart w:id="8209" w:name="_Toc59013477"/>
      <w:bookmarkStart w:id="8210" w:name="_Toc59013725"/>
      <w:bookmarkStart w:id="8211" w:name="_Toc59025791"/>
      <w:r>
        <w:rPr>
          <w:rFonts w:hint="cs"/>
          <w:rtl/>
        </w:rPr>
        <w:t>דברי הרשב"א דאף שאינו אוסרו מידיעתו מ"מ נאמן מדין הפה שאסר דלא עדיף מטוען כן בב"ד</w:t>
      </w:r>
      <w:bookmarkEnd w:id="8208"/>
      <w:bookmarkEnd w:id="8209"/>
      <w:bookmarkEnd w:id="8210"/>
      <w:bookmarkEnd w:id="8211"/>
    </w:p>
    <w:p w:rsidR="0007171D" w:rsidRPr="00115B42" w:rsidRDefault="0007171D" w:rsidP="007E4E81">
      <w:pPr>
        <w:pStyle w:val="a0"/>
        <w:rPr>
          <w:rtl/>
        </w:rPr>
      </w:pPr>
      <w:r w:rsidRPr="00115B42">
        <w:rPr>
          <w:rStyle w:val="af9"/>
          <w:rFonts w:hint="cs"/>
          <w:rtl/>
        </w:rPr>
        <w:t xml:space="preserve">והרשב"א </w:t>
      </w:r>
      <w:r w:rsidRPr="00115B42">
        <w:rPr>
          <w:rStyle w:val="af7"/>
          <w:rFonts w:eastAsia="Guttman Hodes" w:hint="cs"/>
          <w:rtl/>
        </w:rPr>
        <w:t>(ד"ה והרב בעל העיטור)</w:t>
      </w:r>
      <w:r>
        <w:rPr>
          <w:rFonts w:hint="cs"/>
          <w:rtl/>
        </w:rPr>
        <w:t xml:space="preserve"> דחה את דברי </w:t>
      </w:r>
      <w:r w:rsidRPr="009A63AE">
        <w:rPr>
          <w:rStyle w:val="af9"/>
          <w:rFonts w:hint="cs"/>
          <w:rtl/>
        </w:rPr>
        <w:t>הראב"ד</w:t>
      </w:r>
      <w:r>
        <w:rPr>
          <w:rFonts w:hint="cs"/>
          <w:rtl/>
        </w:rPr>
        <w:t xml:space="preserve"> </w:t>
      </w:r>
      <w:r w:rsidRPr="00636E50">
        <w:rPr>
          <w:rStyle w:val="af7"/>
          <w:rFonts w:eastAsia="Guttman Hodes" w:hint="cs"/>
          <w:rtl/>
        </w:rPr>
        <w:t xml:space="preserve">(עי' אות </w:t>
      </w:r>
      <w:r w:rsidRPr="00636E50">
        <w:rPr>
          <w:rStyle w:val="af7"/>
          <w:rFonts w:eastAsia="Guttman Hodes"/>
          <w:rtl/>
        </w:rPr>
        <w:fldChar w:fldCharType="begin"/>
      </w:r>
      <w:r w:rsidRPr="00636E50">
        <w:rPr>
          <w:rStyle w:val="af7"/>
          <w:rFonts w:eastAsia="Guttman Hodes"/>
          <w:rtl/>
        </w:rPr>
        <w:instrText xml:space="preserve"> </w:instrText>
      </w:r>
      <w:r w:rsidRPr="00636E50">
        <w:rPr>
          <w:rStyle w:val="af7"/>
          <w:rFonts w:eastAsia="Guttman Hodes" w:hint="cs"/>
        </w:rPr>
        <w:instrText>REF</w:instrText>
      </w:r>
      <w:r w:rsidRPr="00636E50">
        <w:rPr>
          <w:rStyle w:val="af7"/>
          <w:rFonts w:eastAsia="Guttman Hodes" w:hint="cs"/>
          <w:rtl/>
        </w:rPr>
        <w:instrText xml:space="preserve"> _</w:instrText>
      </w:r>
      <w:r w:rsidRPr="00636E50">
        <w:rPr>
          <w:rStyle w:val="af7"/>
          <w:rFonts w:eastAsia="Guttman Hodes" w:hint="cs"/>
        </w:rPr>
        <w:instrText>Ref58407487 \r \h</w:instrText>
      </w:r>
      <w:r w:rsidRPr="00636E50">
        <w:rPr>
          <w:rStyle w:val="af7"/>
          <w:rFonts w:eastAsia="Guttman Hodes"/>
          <w:rtl/>
        </w:rPr>
        <w:instrText xml:space="preserve"> </w:instrText>
      </w:r>
      <w:r w:rsidRPr="00636E50">
        <w:rPr>
          <w:rStyle w:val="af7"/>
          <w:rFonts w:eastAsia="Guttman Hodes"/>
          <w:rtl/>
        </w:rPr>
      </w:r>
      <w:r w:rsidRPr="00636E50">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636E50">
        <w:rPr>
          <w:rStyle w:val="af7"/>
          <w:rFonts w:eastAsia="Guttman Hodes"/>
          <w:rtl/>
        </w:rPr>
        <w:fldChar w:fldCharType="end"/>
      </w:r>
      <w:r>
        <w:rPr>
          <w:rFonts w:hint="cs"/>
          <w:rtl/>
        </w:rPr>
        <w:t xml:space="preserve"> דאף שהמחזיק אינו אוסרו מידיעתו, מ"מ הוא נאמן מדין הפה שאסר, דלא עדיף מטוען כן בב"ד, דהוא נאמן בזה.</w:t>
      </w:r>
    </w:p>
    <w:p w:rsidR="0007171D" w:rsidRDefault="0007171D" w:rsidP="0007171D">
      <w:pPr>
        <w:pStyle w:val="afe"/>
        <w:rPr>
          <w:rtl/>
        </w:rPr>
      </w:pPr>
      <w:bookmarkStart w:id="8212" w:name="_Toc58843026"/>
      <w:bookmarkStart w:id="8213" w:name="_Toc58876219"/>
      <w:bookmarkStart w:id="8214" w:name="_Toc58877632"/>
      <w:bookmarkStart w:id="8215" w:name="_Toc58914691"/>
      <w:bookmarkStart w:id="8216" w:name="_Toc58925985"/>
      <w:bookmarkStart w:id="8217" w:name="_Toc58930059"/>
      <w:bookmarkStart w:id="8218" w:name="_Toc58938210"/>
      <w:bookmarkStart w:id="8219" w:name="_Toc59007000"/>
      <w:bookmarkStart w:id="8220" w:name="_Toc59013478"/>
      <w:bookmarkStart w:id="8221" w:name="_Toc59013726"/>
      <w:bookmarkStart w:id="8222" w:name="_Toc59025792"/>
      <w:r>
        <w:rPr>
          <w:rFonts w:hint="cs"/>
          <w:rtl/>
        </w:rPr>
        <w:t>בדין מיגו חוץ לב"ד</w:t>
      </w:r>
      <w:bookmarkEnd w:id="8212"/>
      <w:bookmarkEnd w:id="8213"/>
      <w:bookmarkEnd w:id="8214"/>
      <w:bookmarkEnd w:id="8215"/>
      <w:bookmarkEnd w:id="8216"/>
      <w:bookmarkEnd w:id="8217"/>
      <w:bookmarkEnd w:id="8218"/>
      <w:bookmarkEnd w:id="8219"/>
      <w:bookmarkEnd w:id="8220"/>
      <w:bookmarkEnd w:id="8221"/>
      <w:bookmarkEnd w:id="8222"/>
    </w:p>
    <w:p w:rsidR="0007171D" w:rsidRPr="0086111D" w:rsidRDefault="0007171D" w:rsidP="0007171D">
      <w:pPr>
        <w:pStyle w:val="1"/>
        <w:rPr>
          <w:rtl/>
        </w:rPr>
      </w:pPr>
      <w:bookmarkStart w:id="8223" w:name="_Toc58925986"/>
      <w:bookmarkStart w:id="8224" w:name="_Toc58930060"/>
      <w:bookmarkStart w:id="8225" w:name="_Toc58938211"/>
      <w:bookmarkStart w:id="8226" w:name="_Toc59007001"/>
      <w:bookmarkStart w:id="8227" w:name="_Toc59013479"/>
      <w:bookmarkStart w:id="8228" w:name="_Toc59013727"/>
      <w:bookmarkStart w:id="8229" w:name="_Toc59025793"/>
      <w:r>
        <w:rPr>
          <w:rFonts w:hint="cs"/>
          <w:rtl/>
        </w:rPr>
        <w:t>פלוגתת האחרונים אי בסוגיין נאמן במיגו מחוץ לב"ד</w:t>
      </w:r>
      <w:bookmarkEnd w:id="8223"/>
      <w:bookmarkEnd w:id="8224"/>
      <w:bookmarkEnd w:id="8225"/>
      <w:bookmarkEnd w:id="8226"/>
      <w:bookmarkEnd w:id="8227"/>
      <w:bookmarkEnd w:id="8228"/>
      <w:bookmarkEnd w:id="8229"/>
    </w:p>
    <w:p w:rsidR="0007171D" w:rsidRPr="00593FAB" w:rsidRDefault="0007171D" w:rsidP="0007171D">
      <w:pPr>
        <w:pStyle w:val="a3"/>
        <w:rPr>
          <w:rtl/>
        </w:rPr>
      </w:pPr>
      <w:bookmarkStart w:id="8230" w:name="_Toc58925987"/>
      <w:bookmarkStart w:id="8231" w:name="_Toc58930061"/>
      <w:bookmarkStart w:id="8232" w:name="_Toc58938212"/>
      <w:bookmarkStart w:id="8233" w:name="_Toc59007002"/>
      <w:bookmarkStart w:id="8234" w:name="_Toc59013480"/>
      <w:bookmarkStart w:id="8235" w:name="_Toc59013728"/>
      <w:bookmarkStart w:id="8236" w:name="_Toc59025794"/>
      <w:r>
        <w:rPr>
          <w:rFonts w:hint="cs"/>
          <w:rtl/>
        </w:rPr>
        <w:t>דברי הסמ"ע דמחוץ לב"ד מקבלים רק את הודאתו לחובתו ולא מקבלים מיגו דטוען לזכותו</w:t>
      </w:r>
      <w:bookmarkEnd w:id="8230"/>
      <w:bookmarkEnd w:id="8231"/>
      <w:bookmarkEnd w:id="8232"/>
      <w:bookmarkEnd w:id="8233"/>
      <w:bookmarkEnd w:id="8234"/>
      <w:bookmarkEnd w:id="8235"/>
      <w:bookmarkEnd w:id="8236"/>
    </w:p>
    <w:p w:rsidR="0007171D" w:rsidRDefault="0007171D" w:rsidP="007E4E81">
      <w:pPr>
        <w:pStyle w:val="a0"/>
        <w:rPr>
          <w:rtl/>
        </w:rPr>
      </w:pPr>
      <w:bookmarkStart w:id="8237" w:name="_Ref58532220"/>
      <w:r>
        <w:rPr>
          <w:rFonts w:hint="cs"/>
          <w:rtl/>
        </w:rPr>
        <w:t xml:space="preserve">הביא </w:t>
      </w:r>
      <w:r w:rsidRPr="00F149D2">
        <w:rPr>
          <w:rStyle w:val="af9"/>
          <w:rFonts w:hint="cs"/>
          <w:rtl/>
        </w:rPr>
        <w:t xml:space="preserve">התומים </w:t>
      </w:r>
      <w:r w:rsidRPr="00F149D2">
        <w:rPr>
          <w:rStyle w:val="af7"/>
          <w:rFonts w:eastAsia="Guttman Hodes" w:hint="cs"/>
          <w:rtl/>
        </w:rPr>
        <w:t xml:space="preserve">(סי' קמ"ו ס"ק י"ד ד"ה והנה </w:t>
      </w:r>
      <w:r w:rsidRPr="00232C52">
        <w:rPr>
          <w:rStyle w:val="af7"/>
          <w:rFonts w:eastAsia="Guttman Hodes" w:hint="cs"/>
          <w:rtl/>
        </w:rPr>
        <w:t>אם)</w:t>
      </w:r>
      <w:r w:rsidRPr="00F149D2">
        <w:rPr>
          <w:rStyle w:val="af9"/>
          <w:rFonts w:hint="cs"/>
          <w:rtl/>
        </w:rPr>
        <w:t xml:space="preserve"> </w:t>
      </w:r>
      <w:r>
        <w:rPr>
          <w:rFonts w:hint="cs"/>
          <w:rtl/>
        </w:rPr>
        <w:t xml:space="preserve">את דברי </w:t>
      </w:r>
      <w:r w:rsidRPr="00F149D2">
        <w:rPr>
          <w:rStyle w:val="af9"/>
          <w:rFonts w:hint="cs"/>
          <w:rtl/>
        </w:rPr>
        <w:t xml:space="preserve">הטור והשו"ע </w:t>
      </w:r>
      <w:r w:rsidRPr="001A6F14">
        <w:rPr>
          <w:rStyle w:val="af7"/>
          <w:rFonts w:eastAsia="Guttman Hodes" w:hint="cs"/>
          <w:rtl/>
        </w:rPr>
        <w:t>(סי' קל"ג ג')</w:t>
      </w:r>
      <w:r>
        <w:rPr>
          <w:rFonts w:hint="cs"/>
          <w:rtl/>
        </w:rPr>
        <w:t xml:space="preserve"> דהודאה בפני עדים חשיבא הודאה, ואינו נאמן אח"כ במיגו שלא היה מודה, כיון שכבר הודה בפני העדים, דדבר שהוא לחובתו מקבלים אף שלא בפני ב"ד, ולא מקבלים דבר שהוא לטובתו, </w:t>
      </w:r>
      <w:bookmarkStart w:id="8238" w:name="_Ref58765168"/>
      <w:r>
        <w:rPr>
          <w:rFonts w:hint="cs"/>
          <w:rtl/>
        </w:rPr>
        <w:t xml:space="preserve">וכן ביאר </w:t>
      </w:r>
      <w:r w:rsidRPr="00500E28">
        <w:rPr>
          <w:rStyle w:val="af9"/>
          <w:rFonts w:hint="cs"/>
          <w:rtl/>
        </w:rPr>
        <w:t>הסמ"ע</w:t>
      </w:r>
      <w:r>
        <w:rPr>
          <w:rFonts w:hint="cs"/>
          <w:rtl/>
        </w:rPr>
        <w:t xml:space="preserve"> </w:t>
      </w:r>
      <w:r w:rsidRPr="001A6F14">
        <w:rPr>
          <w:rStyle w:val="af7"/>
          <w:rFonts w:eastAsia="Guttman Hodes" w:hint="cs"/>
          <w:rtl/>
        </w:rPr>
        <w:t xml:space="preserve">(סי' קל"ג סק"ח) </w:t>
      </w:r>
      <w:r>
        <w:rPr>
          <w:rFonts w:hint="cs"/>
          <w:rtl/>
        </w:rPr>
        <w:t>דאדם שהודה מחוץ לב"ד, לא אמרינן שיש לו נאמנות מדין הפה שאסר, דמחוץ לב"ד מקבלים רק את מה שהודה לחובתו, ולא את טענתו דטען לטובתו, דהיינו דמה שהיה לו מיגו כשהודה בפני העדים, לא מהני לו דהמיגו הוא לטובתו, ורק בהודאה שהודה הוא נאמן דהיא לחובתו.</w:t>
      </w:r>
      <w:bookmarkEnd w:id="8237"/>
      <w:bookmarkEnd w:id="8238"/>
    </w:p>
    <w:p w:rsidR="0007171D" w:rsidRPr="0025103A" w:rsidRDefault="0007171D" w:rsidP="0007171D">
      <w:pPr>
        <w:pStyle w:val="a3"/>
        <w:rPr>
          <w:rtl/>
        </w:rPr>
      </w:pPr>
      <w:bookmarkStart w:id="8239" w:name="_Toc58925988"/>
      <w:bookmarkStart w:id="8240" w:name="_Toc58930062"/>
      <w:bookmarkStart w:id="8241" w:name="_Toc58938213"/>
      <w:bookmarkStart w:id="8242" w:name="_Toc59007003"/>
      <w:bookmarkStart w:id="8243" w:name="_Toc59013481"/>
      <w:bookmarkStart w:id="8244" w:name="_Toc59013729"/>
      <w:bookmarkStart w:id="8245" w:name="_Toc59025795"/>
      <w:r>
        <w:rPr>
          <w:rFonts w:hint="cs"/>
          <w:rtl/>
        </w:rPr>
        <w:t>דברי התומים דבהודה מפי המוכר בפני עדים אין לו מיגו דלהד"ם דל"מ מיגו חוץ לב"ד</w:t>
      </w:r>
      <w:bookmarkEnd w:id="8239"/>
      <w:bookmarkEnd w:id="8240"/>
      <w:bookmarkEnd w:id="8241"/>
      <w:bookmarkEnd w:id="8242"/>
      <w:bookmarkEnd w:id="8243"/>
      <w:bookmarkEnd w:id="8244"/>
      <w:bookmarkEnd w:id="8245"/>
    </w:p>
    <w:p w:rsidR="0007171D" w:rsidRDefault="0007171D" w:rsidP="007E4E81">
      <w:pPr>
        <w:pStyle w:val="a0"/>
        <w:rPr>
          <w:rStyle w:val="afb"/>
          <w:rtl/>
        </w:rPr>
      </w:pPr>
      <w:bookmarkStart w:id="8246" w:name="_Ref58922793"/>
      <w:bookmarkStart w:id="8247" w:name="_Ref59007852"/>
      <w:r>
        <w:rPr>
          <w:rFonts w:hint="cs"/>
          <w:rtl/>
        </w:rPr>
        <w:t xml:space="preserve">וכתב </w:t>
      </w:r>
      <w:r w:rsidRPr="00F149D2">
        <w:rPr>
          <w:rStyle w:val="af9"/>
          <w:rFonts w:hint="cs"/>
          <w:rtl/>
        </w:rPr>
        <w:t>התומים</w:t>
      </w:r>
      <w:r>
        <w:rPr>
          <w:rFonts w:hint="cs"/>
          <w:rtl/>
        </w:rPr>
        <w:t xml:space="preserve"> דא"כ אם אמר המחזיק בפני עדים ששמע מפי המוכר, שאמר לו שקנה את הקרקע מהמערער, אף אם אח"כ אומר המחזיק דאין כוונתו להודות ולא ידע שהקרקע הייתה של המערער, ואומר שרק שמע כן מהמוכר, מ"מ זוכה המערער בקרקע, כיון שאין למחזיק מיגו דהיה יכול לומר שלא הייתה של המערער מעולם, כיון שכבר הודה בזה בפני עדים</w:t>
      </w:r>
      <w:bookmarkEnd w:id="8246"/>
      <w:r>
        <w:rPr>
          <w:rFonts w:hint="cs"/>
          <w:rtl/>
        </w:rPr>
        <w:t xml:space="preserve">, שהקרקע הייתה של המערער והוא קנה ממנו, ונאמן רק במה שהודה שהייתה של המערער, ואינו נאמן שהוא קנה, כיון שאמר כן חוץ לב"ד, </w:t>
      </w:r>
      <w:r w:rsidRPr="00975BE1">
        <w:rPr>
          <w:rStyle w:val="afb"/>
          <w:rFonts w:hint="cs"/>
          <w:rtl/>
        </w:rPr>
        <w:t xml:space="preserve">[וע"ע </w:t>
      </w:r>
      <w:r>
        <w:rPr>
          <w:rStyle w:val="afb"/>
          <w:rFonts w:hint="cs"/>
          <w:rtl/>
        </w:rPr>
        <w:t>בדברי</w:t>
      </w:r>
      <w:r w:rsidRPr="00006D7D">
        <w:rPr>
          <w:rStyle w:val="afb"/>
          <w:rFonts w:hint="cs"/>
          <w:rtl/>
        </w:rPr>
        <w:t xml:space="preserve"> </w:t>
      </w:r>
      <w:r w:rsidRPr="00006D7D">
        <w:rPr>
          <w:rStyle w:val="affa"/>
          <w:rFonts w:hint="cs"/>
          <w:rtl/>
        </w:rPr>
        <w:t>התומים</w:t>
      </w:r>
      <w:r w:rsidRPr="00043DD8">
        <w:rPr>
          <w:rStyle w:val="aff6"/>
          <w:rFonts w:hint="cs"/>
          <w:rtl/>
        </w:rPr>
        <w:t xml:space="preserve"> </w:t>
      </w:r>
      <w:r w:rsidRPr="00006D7D">
        <w:rPr>
          <w:rStyle w:val="aff6"/>
          <w:rFonts w:hint="cs"/>
          <w:rtl/>
        </w:rPr>
        <w:t>(סי' ע"ב סקל"ה)</w:t>
      </w:r>
      <w:r w:rsidRPr="00006D7D">
        <w:rPr>
          <w:rStyle w:val="afb"/>
          <w:rFonts w:hint="cs"/>
          <w:rtl/>
        </w:rPr>
        <w:t xml:space="preserve"> </w:t>
      </w:r>
      <w:r>
        <w:rPr>
          <w:rStyle w:val="afb"/>
          <w:rFonts w:hint="cs"/>
          <w:rtl/>
        </w:rPr>
        <w:t>דהוכיח כן מדברי</w:t>
      </w:r>
      <w:r w:rsidRPr="00006D7D">
        <w:rPr>
          <w:rStyle w:val="afb"/>
          <w:rFonts w:hint="cs"/>
          <w:rtl/>
        </w:rPr>
        <w:t xml:space="preserve"> </w:t>
      </w:r>
      <w:r w:rsidRPr="00006D7D">
        <w:rPr>
          <w:rStyle w:val="affa"/>
          <w:rFonts w:hint="cs"/>
          <w:rtl/>
        </w:rPr>
        <w:t>הרא"</w:t>
      </w:r>
      <w:r w:rsidRPr="00043DD8">
        <w:rPr>
          <w:rStyle w:val="affa"/>
          <w:rFonts w:hint="cs"/>
          <w:rtl/>
        </w:rPr>
        <w:t>ש בתשו'</w:t>
      </w:r>
      <w:r>
        <w:rPr>
          <w:rStyle w:val="afb"/>
          <w:rFonts w:hint="cs"/>
          <w:rtl/>
        </w:rPr>
        <w:t xml:space="preserve"> </w:t>
      </w:r>
      <w:r w:rsidRPr="00BD576F">
        <w:rPr>
          <w:rStyle w:val="aff6"/>
          <w:rFonts w:hint="cs"/>
          <w:rtl/>
        </w:rPr>
        <w:t>(כלל ק"ו ב')</w:t>
      </w:r>
      <w:r w:rsidRPr="00006D7D">
        <w:rPr>
          <w:rStyle w:val="afb"/>
          <w:rFonts w:hint="cs"/>
          <w:rtl/>
        </w:rPr>
        <w:t>],</w:t>
      </w:r>
      <w:r>
        <w:rPr>
          <w:rStyle w:val="afb"/>
          <w:rFonts w:hint="cs"/>
          <w:rtl/>
        </w:rPr>
        <w:t xml:space="preserve"> </w:t>
      </w:r>
      <w:r>
        <w:rPr>
          <w:rFonts w:hint="cs"/>
          <w:rtl/>
        </w:rPr>
        <w:t xml:space="preserve">וכתבו </w:t>
      </w:r>
      <w:r w:rsidRPr="001A6F14">
        <w:rPr>
          <w:rStyle w:val="af9"/>
          <w:rFonts w:hint="cs"/>
          <w:rtl/>
        </w:rPr>
        <w:t xml:space="preserve">בגרנ"ט </w:t>
      </w:r>
      <w:r w:rsidRPr="00421CB1">
        <w:rPr>
          <w:rStyle w:val="af7"/>
          <w:rFonts w:eastAsia="Guttman Hodes" w:hint="cs"/>
          <w:rtl/>
        </w:rPr>
        <w:t xml:space="preserve">(עי' אות </w:t>
      </w:r>
      <w:r w:rsidRPr="00421CB1">
        <w:rPr>
          <w:rStyle w:val="af7"/>
          <w:rFonts w:eastAsia="Guttman Hodes"/>
          <w:rtl/>
        </w:rPr>
        <w:fldChar w:fldCharType="begin"/>
      </w:r>
      <w:r w:rsidRPr="00421CB1">
        <w:rPr>
          <w:rStyle w:val="af7"/>
          <w:rFonts w:eastAsia="Guttman Hodes"/>
          <w:rtl/>
        </w:rPr>
        <w:instrText xml:space="preserve"> </w:instrText>
      </w:r>
      <w:r w:rsidRPr="00421CB1">
        <w:rPr>
          <w:rStyle w:val="af7"/>
          <w:rFonts w:eastAsia="Guttman Hodes" w:hint="cs"/>
        </w:rPr>
        <w:instrText>REF</w:instrText>
      </w:r>
      <w:r w:rsidRPr="00421CB1">
        <w:rPr>
          <w:rStyle w:val="af7"/>
          <w:rFonts w:eastAsia="Guttman Hodes" w:hint="cs"/>
          <w:rtl/>
        </w:rPr>
        <w:instrText xml:space="preserve"> _</w:instrText>
      </w:r>
      <w:r w:rsidRPr="00421CB1">
        <w:rPr>
          <w:rStyle w:val="af7"/>
          <w:rFonts w:eastAsia="Guttman Hodes" w:hint="cs"/>
        </w:rPr>
        <w:instrText>Ref58922979 \r \h</w:instrText>
      </w:r>
      <w:r w:rsidRPr="00421CB1">
        <w:rPr>
          <w:rStyle w:val="af7"/>
          <w:rFonts w:eastAsia="Guttman Hodes"/>
          <w:rtl/>
        </w:rPr>
        <w:instrText xml:space="preserve"> </w:instrText>
      </w:r>
      <w:r w:rsidRPr="00421CB1">
        <w:rPr>
          <w:rStyle w:val="af7"/>
          <w:rFonts w:eastAsia="Guttman Hodes"/>
          <w:rtl/>
        </w:rPr>
      </w:r>
      <w:r w:rsidRPr="00421CB1">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sidRPr="00421CB1">
        <w:rPr>
          <w:rStyle w:val="af7"/>
          <w:rFonts w:eastAsia="Guttman Hodes"/>
          <w:rtl/>
        </w:rPr>
        <w:fldChar w:fldCharType="end"/>
      </w:r>
      <w:r>
        <w:rPr>
          <w:rFonts w:hint="cs"/>
          <w:rtl/>
        </w:rPr>
        <w:t xml:space="preserve"> </w:t>
      </w:r>
      <w:r w:rsidRPr="001A6F14">
        <w:rPr>
          <w:rStyle w:val="af9"/>
          <w:rFonts w:hint="cs"/>
          <w:rtl/>
        </w:rPr>
        <w:t>ובחי' רבי שמואל</w:t>
      </w:r>
      <w:r w:rsidRPr="00421CB1">
        <w:rPr>
          <w:rStyle w:val="af7"/>
          <w:rFonts w:eastAsia="Guttman Hodes" w:hint="cs"/>
          <w:rtl/>
        </w:rPr>
        <w:t xml:space="preserve"> (עי' אות </w:t>
      </w:r>
      <w:r w:rsidRPr="00421CB1">
        <w:rPr>
          <w:rStyle w:val="af7"/>
          <w:rFonts w:eastAsia="Guttman Hodes"/>
          <w:rtl/>
        </w:rPr>
        <w:fldChar w:fldCharType="begin"/>
      </w:r>
      <w:r w:rsidRPr="00421CB1">
        <w:rPr>
          <w:rStyle w:val="af7"/>
          <w:rFonts w:eastAsia="Guttman Hodes"/>
          <w:rtl/>
        </w:rPr>
        <w:instrText xml:space="preserve"> </w:instrText>
      </w:r>
      <w:r w:rsidRPr="00421CB1">
        <w:rPr>
          <w:rStyle w:val="af7"/>
          <w:rFonts w:eastAsia="Guttman Hodes" w:hint="cs"/>
        </w:rPr>
        <w:instrText>REF</w:instrText>
      </w:r>
      <w:r w:rsidRPr="00421CB1">
        <w:rPr>
          <w:rStyle w:val="af7"/>
          <w:rFonts w:eastAsia="Guttman Hodes" w:hint="cs"/>
          <w:rtl/>
        </w:rPr>
        <w:instrText xml:space="preserve"> _</w:instrText>
      </w:r>
      <w:r w:rsidRPr="00421CB1">
        <w:rPr>
          <w:rStyle w:val="af7"/>
          <w:rFonts w:eastAsia="Guttman Hodes" w:hint="cs"/>
        </w:rPr>
        <w:instrText>Ref58922989 \r \h</w:instrText>
      </w:r>
      <w:r w:rsidRPr="00421CB1">
        <w:rPr>
          <w:rStyle w:val="af7"/>
          <w:rFonts w:eastAsia="Guttman Hodes"/>
          <w:rtl/>
        </w:rPr>
        <w:instrText xml:space="preserve"> </w:instrText>
      </w:r>
      <w:r w:rsidRPr="00421CB1">
        <w:rPr>
          <w:rStyle w:val="af7"/>
          <w:rFonts w:eastAsia="Guttman Hodes"/>
          <w:rtl/>
        </w:rPr>
      </w:r>
      <w:r w:rsidRPr="00421CB1">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421CB1">
        <w:rPr>
          <w:rStyle w:val="af7"/>
          <w:rFonts w:eastAsia="Guttman Hodes"/>
          <w:rtl/>
        </w:rPr>
        <w:fldChar w:fldCharType="end"/>
      </w:r>
      <w:r>
        <w:rPr>
          <w:rFonts w:hint="cs"/>
          <w:rtl/>
        </w:rPr>
        <w:t xml:space="preserve"> דזה הביאור בדברי </w:t>
      </w:r>
      <w:r w:rsidRPr="001A6F14">
        <w:rPr>
          <w:rStyle w:val="af9"/>
          <w:rFonts w:hint="cs"/>
          <w:rtl/>
        </w:rPr>
        <w:t xml:space="preserve">הראב"ד </w:t>
      </w:r>
      <w:r w:rsidRPr="001A6F14">
        <w:rPr>
          <w:rStyle w:val="af7"/>
          <w:rFonts w:eastAsia="Guttman Hodes" w:hint="cs"/>
          <w:rtl/>
        </w:rPr>
        <w:t xml:space="preserve">(עי' אות </w:t>
      </w:r>
      <w:r w:rsidRPr="001A6F14">
        <w:rPr>
          <w:rStyle w:val="af7"/>
          <w:rFonts w:eastAsia="Guttman Hodes"/>
          <w:rtl/>
        </w:rPr>
        <w:fldChar w:fldCharType="begin"/>
      </w:r>
      <w:r w:rsidRPr="001A6F14">
        <w:rPr>
          <w:rStyle w:val="af7"/>
          <w:rFonts w:eastAsia="Guttman Hodes"/>
          <w:rtl/>
        </w:rPr>
        <w:instrText xml:space="preserve"> </w:instrText>
      </w:r>
      <w:r w:rsidRPr="001A6F14">
        <w:rPr>
          <w:rStyle w:val="af7"/>
          <w:rFonts w:eastAsia="Guttman Hodes" w:hint="cs"/>
        </w:rPr>
        <w:instrText>REF</w:instrText>
      </w:r>
      <w:r w:rsidRPr="001A6F14">
        <w:rPr>
          <w:rStyle w:val="af7"/>
          <w:rFonts w:eastAsia="Guttman Hodes" w:hint="cs"/>
          <w:rtl/>
        </w:rPr>
        <w:instrText xml:space="preserve"> _</w:instrText>
      </w:r>
      <w:r w:rsidRPr="001A6F14">
        <w:rPr>
          <w:rStyle w:val="af7"/>
          <w:rFonts w:eastAsia="Guttman Hodes" w:hint="cs"/>
        </w:rPr>
        <w:instrText>Ref58702050 \r \h</w:instrText>
      </w:r>
      <w:r w:rsidRPr="001A6F14">
        <w:rPr>
          <w:rStyle w:val="af7"/>
          <w:rFonts w:eastAsia="Guttman Hodes"/>
          <w:rtl/>
        </w:rPr>
        <w:instrText xml:space="preserve"> </w:instrText>
      </w:r>
      <w:r w:rsidRPr="001A6F14">
        <w:rPr>
          <w:rStyle w:val="af7"/>
          <w:rFonts w:eastAsia="Guttman Hodes"/>
          <w:rtl/>
        </w:rPr>
      </w:r>
      <w:r w:rsidRPr="001A6F14">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1A6F14">
        <w:rPr>
          <w:rStyle w:val="af7"/>
          <w:rFonts w:eastAsia="Guttman Hodes"/>
          <w:rtl/>
        </w:rPr>
        <w:fldChar w:fldCharType="end"/>
      </w:r>
      <w:r>
        <w:rPr>
          <w:rFonts w:hint="cs"/>
          <w:rtl/>
        </w:rPr>
        <w:t xml:space="preserve">, </w:t>
      </w:r>
      <w:r w:rsidRPr="00042E9B">
        <w:rPr>
          <w:rStyle w:val="afb"/>
          <w:rFonts w:hint="cs"/>
          <w:rtl/>
        </w:rPr>
        <w:t xml:space="preserve">[ומתורצת קושית </w:t>
      </w:r>
      <w:r w:rsidRPr="00042E9B">
        <w:rPr>
          <w:rStyle w:val="affa"/>
          <w:rFonts w:hint="cs"/>
          <w:rtl/>
        </w:rPr>
        <w:t>הרמב"ן</w:t>
      </w:r>
      <w:r w:rsidRPr="00042E9B">
        <w:rPr>
          <w:rStyle w:val="afb"/>
          <w:rFonts w:hint="cs"/>
          <w:rtl/>
        </w:rPr>
        <w:t xml:space="preserve"> </w:t>
      </w:r>
      <w:r w:rsidRPr="00042E9B">
        <w:rPr>
          <w:rStyle w:val="aff6"/>
          <w:rFonts w:hint="cs"/>
          <w:rtl/>
        </w:rPr>
        <w:t xml:space="preserve">(עי' אות </w:t>
      </w:r>
      <w:r w:rsidRPr="00042E9B">
        <w:rPr>
          <w:rStyle w:val="aff6"/>
          <w:rtl/>
        </w:rPr>
        <w:fldChar w:fldCharType="begin"/>
      </w:r>
      <w:r w:rsidRPr="00042E9B">
        <w:rPr>
          <w:rStyle w:val="aff6"/>
          <w:rtl/>
        </w:rPr>
        <w:instrText xml:space="preserve"> </w:instrText>
      </w:r>
      <w:r w:rsidRPr="00042E9B">
        <w:rPr>
          <w:rStyle w:val="aff6"/>
          <w:rFonts w:hint="cs"/>
        </w:rPr>
        <w:instrText>REF</w:instrText>
      </w:r>
      <w:r w:rsidRPr="00042E9B">
        <w:rPr>
          <w:rStyle w:val="aff6"/>
          <w:rFonts w:hint="cs"/>
          <w:rtl/>
        </w:rPr>
        <w:instrText xml:space="preserve"> _</w:instrText>
      </w:r>
      <w:r w:rsidRPr="00042E9B">
        <w:rPr>
          <w:rStyle w:val="aff6"/>
          <w:rFonts w:hint="cs"/>
        </w:rPr>
        <w:instrText>Ref58922898 \r \h</w:instrText>
      </w:r>
      <w:r w:rsidRPr="00042E9B">
        <w:rPr>
          <w:rStyle w:val="aff6"/>
          <w:rtl/>
        </w:rPr>
        <w:instrText xml:space="preserve"> </w:instrText>
      </w:r>
      <w:r w:rsidRPr="00042E9B">
        <w:rPr>
          <w:rStyle w:val="aff6"/>
          <w:rtl/>
        </w:rPr>
      </w:r>
      <w:r w:rsidRPr="00042E9B">
        <w:rPr>
          <w:rStyle w:val="aff6"/>
          <w:rtl/>
        </w:rPr>
        <w:fldChar w:fldCharType="separate"/>
      </w:r>
      <w:r w:rsidR="00265073">
        <w:rPr>
          <w:rStyle w:val="aff6"/>
          <w:cs/>
        </w:rPr>
        <w:t>‎</w:t>
      </w:r>
      <w:r w:rsidR="00265073">
        <w:rPr>
          <w:rStyle w:val="aff6"/>
          <w:rtl/>
        </w:rPr>
        <w:t>לז)</w:t>
      </w:r>
      <w:r w:rsidRPr="00042E9B">
        <w:rPr>
          <w:rStyle w:val="aff6"/>
          <w:rtl/>
        </w:rPr>
        <w:fldChar w:fldCharType="end"/>
      </w:r>
      <w:r w:rsidRPr="00042E9B">
        <w:rPr>
          <w:rStyle w:val="afb"/>
          <w:rFonts w:hint="cs"/>
          <w:rtl/>
        </w:rPr>
        <w:t xml:space="preserve"> על </w:t>
      </w:r>
      <w:r w:rsidRPr="00042E9B">
        <w:rPr>
          <w:rStyle w:val="affa"/>
          <w:rFonts w:hint="cs"/>
          <w:rtl/>
        </w:rPr>
        <w:t>הראב"ד</w:t>
      </w:r>
      <w:r w:rsidRPr="00042E9B">
        <w:rPr>
          <w:rStyle w:val="afb"/>
          <w:rFonts w:hint="cs"/>
          <w:rtl/>
        </w:rPr>
        <w:t>]</w:t>
      </w:r>
      <w:r>
        <w:rPr>
          <w:rStyle w:val="afb"/>
          <w:rFonts w:hint="cs"/>
          <w:rtl/>
        </w:rPr>
        <w:t>,</w:t>
      </w:r>
      <w:r w:rsidRPr="00AE527A">
        <w:rPr>
          <w:rFonts w:hint="cs"/>
          <w:rtl/>
        </w:rPr>
        <w:t xml:space="preserve"> </w:t>
      </w:r>
      <w:r>
        <w:rPr>
          <w:rFonts w:hint="cs"/>
          <w:rtl/>
        </w:rPr>
        <w:t xml:space="preserve">וע"ע במ"ש </w:t>
      </w:r>
      <w:r w:rsidRPr="00AE527A">
        <w:rPr>
          <w:rStyle w:val="af9"/>
          <w:rFonts w:hint="cs"/>
          <w:rtl/>
        </w:rPr>
        <w:t>בחי' רבי נחום</w:t>
      </w:r>
      <w:r>
        <w:rPr>
          <w:rFonts w:hint="cs"/>
          <w:rtl/>
        </w:rPr>
        <w:t xml:space="preserve"> </w:t>
      </w:r>
      <w:r w:rsidRPr="00043DD8">
        <w:rPr>
          <w:rStyle w:val="af7"/>
          <w:rFonts w:eastAsia="Guttman Hodes" w:hint="cs"/>
          <w:rtl/>
        </w:rPr>
        <w:t xml:space="preserve">(עי' אות </w:t>
      </w:r>
      <w:r w:rsidRPr="00043DD8">
        <w:rPr>
          <w:rStyle w:val="af7"/>
          <w:rFonts w:eastAsia="Guttman Hodes"/>
          <w:rtl/>
        </w:rPr>
        <w:fldChar w:fldCharType="begin"/>
      </w:r>
      <w:r w:rsidRPr="00043DD8">
        <w:rPr>
          <w:rStyle w:val="af7"/>
          <w:rFonts w:eastAsia="Guttman Hodes"/>
          <w:rtl/>
        </w:rPr>
        <w:instrText xml:space="preserve"> </w:instrText>
      </w:r>
      <w:r w:rsidRPr="00043DD8">
        <w:rPr>
          <w:rStyle w:val="af7"/>
          <w:rFonts w:eastAsia="Guttman Hodes" w:hint="cs"/>
        </w:rPr>
        <w:instrText>REF</w:instrText>
      </w:r>
      <w:r w:rsidRPr="00043DD8">
        <w:rPr>
          <w:rStyle w:val="af7"/>
          <w:rFonts w:eastAsia="Guttman Hodes" w:hint="cs"/>
          <w:rtl/>
        </w:rPr>
        <w:instrText xml:space="preserve"> _</w:instrText>
      </w:r>
      <w:r w:rsidRPr="00043DD8">
        <w:rPr>
          <w:rStyle w:val="af7"/>
          <w:rFonts w:eastAsia="Guttman Hodes" w:hint="cs"/>
        </w:rPr>
        <w:instrText>Ref58922953 \r \h</w:instrText>
      </w:r>
      <w:r w:rsidRPr="00043DD8">
        <w:rPr>
          <w:rStyle w:val="af7"/>
          <w:rFonts w:eastAsia="Guttman Hodes"/>
          <w:rtl/>
        </w:rPr>
        <w:instrText xml:space="preserve"> </w:instrText>
      </w:r>
      <w:r w:rsidRPr="00043DD8">
        <w:rPr>
          <w:rStyle w:val="af7"/>
          <w:rFonts w:eastAsia="Guttman Hodes"/>
          <w:rtl/>
        </w:rPr>
      </w:r>
      <w:r w:rsidRPr="00043DD8">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043DD8">
        <w:rPr>
          <w:rStyle w:val="af7"/>
          <w:rFonts w:eastAsia="Guttman Hodes"/>
          <w:rtl/>
        </w:rPr>
        <w:fldChar w:fldCharType="end"/>
      </w:r>
      <w:r>
        <w:rPr>
          <w:rFonts w:hint="cs"/>
          <w:rtl/>
        </w:rPr>
        <w:t xml:space="preserve"> דכן ס"ל </w:t>
      </w:r>
      <w:r w:rsidRPr="00AE527A">
        <w:rPr>
          <w:rStyle w:val="af9"/>
          <w:rFonts w:hint="cs"/>
          <w:rtl/>
        </w:rPr>
        <w:t>להרא"ש</w:t>
      </w:r>
      <w:r>
        <w:rPr>
          <w:rFonts w:hint="cs"/>
          <w:rtl/>
        </w:rPr>
        <w:t>.</w:t>
      </w:r>
      <w:bookmarkEnd w:id="8247"/>
    </w:p>
    <w:p w:rsidR="00DA08C5" w:rsidRPr="00DA08C5" w:rsidRDefault="00DA08C5" w:rsidP="00DA08C5">
      <w:pPr>
        <w:pStyle w:val="a3"/>
        <w:rPr>
          <w:rtl/>
        </w:rPr>
      </w:pPr>
    </w:p>
    <w:p w:rsidR="0007171D" w:rsidRPr="009377ED" w:rsidRDefault="0007171D" w:rsidP="0007171D">
      <w:pPr>
        <w:pStyle w:val="a3"/>
        <w:rPr>
          <w:rtl/>
        </w:rPr>
      </w:pPr>
      <w:bookmarkStart w:id="8248" w:name="_Toc58925989"/>
      <w:bookmarkStart w:id="8249" w:name="_Toc58930063"/>
      <w:bookmarkStart w:id="8250" w:name="_Toc58938214"/>
      <w:bookmarkStart w:id="8251" w:name="_Toc59007004"/>
      <w:bookmarkStart w:id="8252" w:name="_Toc59013482"/>
      <w:bookmarkStart w:id="8253" w:name="_Toc59013730"/>
      <w:bookmarkStart w:id="8254" w:name="_Toc59025796"/>
      <w:r>
        <w:rPr>
          <w:rFonts w:hint="cs"/>
          <w:rtl/>
        </w:rPr>
        <w:lastRenderedPageBreak/>
        <w:t>דברי הנתיה"מ דאף בהודה חוץ לב"ד מהני מיגו כדמוכח בכתובות ורק מיגו גרוע ל"מ חוץ לב"ד</w:t>
      </w:r>
      <w:bookmarkEnd w:id="8248"/>
      <w:bookmarkEnd w:id="8249"/>
      <w:bookmarkEnd w:id="8250"/>
      <w:bookmarkEnd w:id="8251"/>
      <w:bookmarkEnd w:id="8252"/>
      <w:bookmarkEnd w:id="8253"/>
      <w:bookmarkEnd w:id="8254"/>
    </w:p>
    <w:p w:rsidR="0007171D" w:rsidRDefault="0007171D" w:rsidP="007E4E81">
      <w:pPr>
        <w:pStyle w:val="a0"/>
        <w:rPr>
          <w:rtl/>
        </w:rPr>
      </w:pPr>
      <w:bookmarkStart w:id="8255" w:name="_Ref59007970"/>
      <w:r>
        <w:rPr>
          <w:rFonts w:hint="cs"/>
          <w:rtl/>
        </w:rPr>
        <w:t xml:space="preserve">אבל </w:t>
      </w:r>
      <w:r w:rsidRPr="00500E28">
        <w:rPr>
          <w:rStyle w:val="af9"/>
          <w:rFonts w:hint="cs"/>
          <w:rtl/>
        </w:rPr>
        <w:t>הנתיה"מ</w:t>
      </w:r>
      <w:r>
        <w:rPr>
          <w:rFonts w:hint="cs"/>
          <w:rtl/>
        </w:rPr>
        <w:t xml:space="preserve"> </w:t>
      </w:r>
      <w:r w:rsidRPr="00DF672C">
        <w:rPr>
          <w:rStyle w:val="af7"/>
          <w:rFonts w:eastAsia="Guttman Hodes" w:hint="cs"/>
          <w:rtl/>
        </w:rPr>
        <w:t>(סי' קמ"ו סקי"ז)</w:t>
      </w:r>
      <w:r>
        <w:rPr>
          <w:rFonts w:hint="cs"/>
          <w:rtl/>
        </w:rPr>
        <w:t xml:space="preserve"> דחה את דברי </w:t>
      </w:r>
      <w:r w:rsidRPr="00500E28">
        <w:rPr>
          <w:rStyle w:val="af9"/>
          <w:rFonts w:hint="cs"/>
          <w:rtl/>
        </w:rPr>
        <w:t>התומים</w:t>
      </w:r>
      <w:r>
        <w:rPr>
          <w:rFonts w:hint="cs"/>
          <w:rtl/>
        </w:rPr>
        <w:t xml:space="preserve">, וכתב דאף שהודה המחזיק בפני עדים חוץ לב"ד דהייתה של המערער, מ"מ כשטוען בפני ב"ד דקנה ממנו, נאמן במיגו דלא הייתה של המערער מעולם, והקשה </w:t>
      </w:r>
      <w:r w:rsidRPr="00500E28">
        <w:rPr>
          <w:rStyle w:val="af9"/>
          <w:rFonts w:hint="cs"/>
          <w:rtl/>
        </w:rPr>
        <w:t>הנתיה"מ</w:t>
      </w:r>
      <w:r>
        <w:rPr>
          <w:rFonts w:hint="cs"/>
          <w:rtl/>
        </w:rPr>
        <w:t xml:space="preserve"> על </w:t>
      </w:r>
      <w:r w:rsidRPr="00A92110">
        <w:rPr>
          <w:rStyle w:val="af9"/>
          <w:rFonts w:hint="cs"/>
          <w:rtl/>
        </w:rPr>
        <w:t xml:space="preserve">התומים </w:t>
      </w:r>
      <w:r w:rsidRPr="00531334">
        <w:rPr>
          <w:rFonts w:hint="cs"/>
          <w:rtl/>
        </w:rPr>
        <w:t>דאי לא מהני מיגו חוץ לב"ד</w:t>
      </w:r>
      <w:r>
        <w:rPr>
          <w:rFonts w:hint="cs"/>
          <w:rtl/>
        </w:rPr>
        <w:t>,</w:t>
      </w:r>
      <w:r w:rsidRPr="00531334">
        <w:rPr>
          <w:rFonts w:hint="cs"/>
          <w:rtl/>
        </w:rPr>
        <w:t xml:space="preserve"> א"כ הא דאיתא בכתוב</w:t>
      </w:r>
      <w:r>
        <w:rPr>
          <w:rFonts w:hint="cs"/>
          <w:rtl/>
        </w:rPr>
        <w:t xml:space="preserve">ות </w:t>
      </w:r>
      <w:r w:rsidRPr="00DF672C">
        <w:rPr>
          <w:rStyle w:val="af7"/>
          <w:rFonts w:eastAsia="Guttman Hodes" w:hint="cs"/>
          <w:rtl/>
        </w:rPr>
        <w:t>(טו:)</w:t>
      </w:r>
      <w:r>
        <w:rPr>
          <w:rFonts w:hint="cs"/>
          <w:rtl/>
        </w:rPr>
        <w:t xml:space="preserve"> דהאומר שדה זו </w:t>
      </w:r>
      <w:r>
        <w:rPr>
          <w:rtl/>
        </w:rPr>
        <w:t>של אביך היתה ולקחתיה ממנו</w:t>
      </w:r>
      <w:r>
        <w:rPr>
          <w:rFonts w:hint="cs"/>
          <w:rtl/>
        </w:rPr>
        <w:t xml:space="preserve">, דנאמן במיגו דלא הייתה של אביך, היינו דוקא כשלא אמר כן בפני עדים לפני שבא לב"ד, וכתב </w:t>
      </w:r>
      <w:r w:rsidRPr="00A92110">
        <w:rPr>
          <w:rStyle w:val="af9"/>
          <w:rFonts w:hint="cs"/>
          <w:rtl/>
        </w:rPr>
        <w:t>הנתיה"מ</w:t>
      </w:r>
      <w:r>
        <w:rPr>
          <w:rFonts w:hint="cs"/>
          <w:rtl/>
        </w:rPr>
        <w:t xml:space="preserve"> דלא מצינו בשום פוסק שכתב כן, אלא כתב </w:t>
      </w:r>
      <w:r w:rsidRPr="00500E28">
        <w:rPr>
          <w:rStyle w:val="af9"/>
          <w:rFonts w:hint="cs"/>
          <w:rtl/>
        </w:rPr>
        <w:t>הנתיה"מ</w:t>
      </w:r>
      <w:r>
        <w:rPr>
          <w:rFonts w:hint="cs"/>
          <w:rtl/>
        </w:rPr>
        <w:t xml:space="preserve"> דכל דברי </w:t>
      </w:r>
      <w:r w:rsidRPr="00500E28">
        <w:rPr>
          <w:rStyle w:val="af9"/>
          <w:rFonts w:hint="cs"/>
          <w:rtl/>
        </w:rPr>
        <w:t>הסמ"ע</w:t>
      </w:r>
      <w:r>
        <w:rPr>
          <w:rFonts w:hint="cs"/>
          <w:rtl/>
        </w:rPr>
        <w:t xml:space="preserve"> </w:t>
      </w:r>
      <w:r w:rsidRPr="00DF672C">
        <w:rPr>
          <w:rStyle w:val="af7"/>
          <w:rFonts w:eastAsia="Guttman Hodes" w:hint="cs"/>
          <w:rtl/>
        </w:rPr>
        <w:t xml:space="preserve">(עי' אות </w:t>
      </w:r>
      <w:r w:rsidRPr="00DF672C">
        <w:rPr>
          <w:rStyle w:val="af7"/>
          <w:rFonts w:eastAsia="Guttman Hodes"/>
          <w:rtl/>
        </w:rPr>
        <w:fldChar w:fldCharType="begin"/>
      </w:r>
      <w:r w:rsidRPr="00DF672C">
        <w:rPr>
          <w:rStyle w:val="af7"/>
          <w:rFonts w:eastAsia="Guttman Hodes"/>
          <w:rtl/>
        </w:rPr>
        <w:instrText xml:space="preserve"> </w:instrText>
      </w:r>
      <w:r w:rsidRPr="00DF672C">
        <w:rPr>
          <w:rStyle w:val="af7"/>
          <w:rFonts w:eastAsia="Guttman Hodes" w:hint="cs"/>
        </w:rPr>
        <w:instrText>REF</w:instrText>
      </w:r>
      <w:r w:rsidRPr="00DF672C">
        <w:rPr>
          <w:rStyle w:val="af7"/>
          <w:rFonts w:eastAsia="Guttman Hodes" w:hint="cs"/>
          <w:rtl/>
        </w:rPr>
        <w:instrText xml:space="preserve"> _</w:instrText>
      </w:r>
      <w:r w:rsidRPr="00DF672C">
        <w:rPr>
          <w:rStyle w:val="af7"/>
          <w:rFonts w:eastAsia="Guttman Hodes" w:hint="cs"/>
        </w:rPr>
        <w:instrText>Ref58532220 \r \h</w:instrText>
      </w:r>
      <w:r w:rsidRPr="00DF672C">
        <w:rPr>
          <w:rStyle w:val="af7"/>
          <w:rFonts w:eastAsia="Guttman Hodes"/>
          <w:rtl/>
        </w:rPr>
        <w:instrText xml:space="preserve"> </w:instrText>
      </w:r>
      <w:r w:rsidRPr="00DF672C">
        <w:rPr>
          <w:rStyle w:val="af7"/>
          <w:rFonts w:eastAsia="Guttman Hodes"/>
          <w:rtl/>
        </w:rPr>
      </w:r>
      <w:r w:rsidRPr="00DF672C">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DF672C">
        <w:rPr>
          <w:rStyle w:val="af7"/>
          <w:rFonts w:eastAsia="Guttman Hodes"/>
          <w:rtl/>
        </w:rPr>
        <w:fldChar w:fldCharType="end"/>
      </w:r>
      <w:r w:rsidRPr="00DF672C">
        <w:rPr>
          <w:rStyle w:val="af7"/>
          <w:rFonts w:eastAsia="Guttman Hodes" w:hint="cs"/>
          <w:rtl/>
        </w:rPr>
        <w:t xml:space="preserve"> </w:t>
      </w:r>
      <w:r>
        <w:rPr>
          <w:rFonts w:hint="cs"/>
          <w:rtl/>
        </w:rPr>
        <w:t xml:space="preserve">דלא מהני מיגו חוץ לב"ד, הם רק במיגו גרוע, אבל הכא דאיתא בכתובות דהמחזיק נאמן מדין הפה שאסר, א"כ ודאי דמהני המיגו אף חוץ לב"ד, ועי' במה שתירץ </w:t>
      </w:r>
      <w:r w:rsidRPr="00531334">
        <w:rPr>
          <w:rStyle w:val="af9"/>
          <w:rFonts w:hint="cs"/>
          <w:rtl/>
        </w:rPr>
        <w:t>הגרנ"ט</w:t>
      </w:r>
      <w:r>
        <w:rPr>
          <w:rFonts w:hint="cs"/>
          <w:rtl/>
        </w:rPr>
        <w:t xml:space="preserve"> </w:t>
      </w:r>
      <w:r w:rsidRPr="00DF672C">
        <w:rPr>
          <w:rStyle w:val="af7"/>
          <w:rFonts w:eastAsia="Guttman Hodes" w:hint="cs"/>
          <w:rtl/>
        </w:rPr>
        <w:t xml:space="preserve">(עי' אות </w:t>
      </w:r>
      <w:r w:rsidRPr="00DF672C">
        <w:rPr>
          <w:rStyle w:val="af7"/>
          <w:rFonts w:eastAsia="Guttman Hodes"/>
          <w:rtl/>
        </w:rPr>
        <w:fldChar w:fldCharType="begin"/>
      </w:r>
      <w:r w:rsidRPr="00DF672C">
        <w:rPr>
          <w:rStyle w:val="af7"/>
          <w:rFonts w:eastAsia="Guttman Hodes"/>
          <w:rtl/>
        </w:rPr>
        <w:instrText xml:space="preserve"> </w:instrText>
      </w:r>
      <w:r w:rsidRPr="00DF672C">
        <w:rPr>
          <w:rStyle w:val="af7"/>
          <w:rFonts w:eastAsia="Guttman Hodes" w:hint="cs"/>
        </w:rPr>
        <w:instrText>REF</w:instrText>
      </w:r>
      <w:r w:rsidRPr="00DF672C">
        <w:rPr>
          <w:rStyle w:val="af7"/>
          <w:rFonts w:eastAsia="Guttman Hodes" w:hint="cs"/>
          <w:rtl/>
        </w:rPr>
        <w:instrText xml:space="preserve"> _</w:instrText>
      </w:r>
      <w:r w:rsidRPr="00DF672C">
        <w:rPr>
          <w:rStyle w:val="af7"/>
          <w:rFonts w:eastAsia="Guttman Hodes" w:hint="cs"/>
        </w:rPr>
        <w:instrText>Ref58841470 \r \h</w:instrText>
      </w:r>
      <w:r w:rsidRPr="00DF672C">
        <w:rPr>
          <w:rStyle w:val="af7"/>
          <w:rFonts w:eastAsia="Guttman Hodes"/>
          <w:rtl/>
        </w:rPr>
        <w:instrText xml:space="preserve"> </w:instrText>
      </w:r>
      <w:r w:rsidRPr="00DF672C">
        <w:rPr>
          <w:rStyle w:val="af7"/>
          <w:rFonts w:eastAsia="Guttman Hodes"/>
          <w:rtl/>
        </w:rPr>
      </w:r>
      <w:r w:rsidRPr="00DF672C">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DF672C">
        <w:rPr>
          <w:rStyle w:val="af7"/>
          <w:rFonts w:eastAsia="Guttman Hodes"/>
          <w:rtl/>
        </w:rPr>
        <w:fldChar w:fldCharType="end"/>
      </w:r>
      <w:r>
        <w:rPr>
          <w:rFonts w:hint="cs"/>
          <w:rtl/>
        </w:rPr>
        <w:t xml:space="preserve"> את דברי </w:t>
      </w:r>
      <w:r w:rsidRPr="00A92110">
        <w:rPr>
          <w:rStyle w:val="af9"/>
          <w:rFonts w:hint="cs"/>
          <w:rtl/>
        </w:rPr>
        <w:t>התומים</w:t>
      </w:r>
      <w:r>
        <w:rPr>
          <w:rStyle w:val="af9"/>
          <w:rFonts w:hint="cs"/>
          <w:rtl/>
        </w:rPr>
        <w:t xml:space="preserve"> והסמ"ע</w:t>
      </w:r>
      <w:r>
        <w:rPr>
          <w:rFonts w:hint="cs"/>
          <w:rtl/>
        </w:rPr>
        <w:t xml:space="preserve">, ובמה שתירץ </w:t>
      </w:r>
      <w:r w:rsidRPr="003E27D4">
        <w:rPr>
          <w:rStyle w:val="af9"/>
          <w:rFonts w:hint="cs"/>
          <w:rtl/>
        </w:rPr>
        <w:t>האבהא"</w:t>
      </w:r>
      <w:r>
        <w:rPr>
          <w:rStyle w:val="af9"/>
          <w:rFonts w:hint="cs"/>
          <w:rtl/>
        </w:rPr>
        <w:t>ז</w:t>
      </w:r>
      <w:r w:rsidRPr="0064594B">
        <w:rPr>
          <w:rStyle w:val="af7"/>
          <w:rFonts w:eastAsia="Guttman Hodes" w:hint="cs"/>
          <w:rtl/>
        </w:rPr>
        <w:t xml:space="preserve"> (עי'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Ref58923199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קיח)</w:t>
      </w:r>
      <w:r>
        <w:rPr>
          <w:rStyle w:val="af7"/>
          <w:rFonts w:eastAsia="Guttman Hodes"/>
          <w:rtl/>
        </w:rPr>
        <w:fldChar w:fldCharType="end"/>
      </w:r>
      <w:r w:rsidRPr="00FE13BC">
        <w:rPr>
          <w:rFonts w:hint="cs"/>
          <w:rtl/>
        </w:rPr>
        <w:t xml:space="preserve"> </w:t>
      </w:r>
      <w:r>
        <w:rPr>
          <w:rFonts w:hint="cs"/>
          <w:rtl/>
        </w:rPr>
        <w:t xml:space="preserve">את דעת </w:t>
      </w:r>
      <w:r w:rsidRPr="0064594B">
        <w:rPr>
          <w:rStyle w:val="af9"/>
          <w:rFonts w:hint="cs"/>
          <w:rtl/>
        </w:rPr>
        <w:t>הראב"ד</w:t>
      </w:r>
      <w:r>
        <w:rPr>
          <w:rFonts w:hint="cs"/>
          <w:rtl/>
        </w:rPr>
        <w:t>.</w:t>
      </w:r>
      <w:bookmarkEnd w:id="8255"/>
    </w:p>
    <w:p w:rsidR="0007171D" w:rsidRDefault="0007171D" w:rsidP="0007171D">
      <w:pPr>
        <w:pStyle w:val="a3"/>
        <w:rPr>
          <w:rtl/>
        </w:rPr>
      </w:pPr>
      <w:bookmarkStart w:id="8256" w:name="_Toc58925990"/>
      <w:bookmarkStart w:id="8257" w:name="_Toc58930064"/>
      <w:bookmarkStart w:id="8258" w:name="_Toc58938215"/>
      <w:bookmarkStart w:id="8259" w:name="_Toc59007005"/>
      <w:bookmarkStart w:id="8260" w:name="_Toc59013483"/>
      <w:bookmarkStart w:id="8261" w:name="_Toc59013731"/>
      <w:bookmarkStart w:id="8262" w:name="_Toc59025797"/>
      <w:r>
        <w:rPr>
          <w:rFonts w:hint="cs"/>
          <w:rtl/>
        </w:rPr>
        <w:t>דברי הגרעק"א דמיגו ל"מ מחוץ לב"ד אבל הפה שאסר מהני אף מחוץ לב"ד ולא חשיב שהודה</w:t>
      </w:r>
      <w:bookmarkEnd w:id="8256"/>
      <w:bookmarkEnd w:id="8257"/>
      <w:bookmarkEnd w:id="8258"/>
      <w:bookmarkEnd w:id="8259"/>
      <w:bookmarkEnd w:id="8260"/>
      <w:bookmarkEnd w:id="8261"/>
      <w:bookmarkEnd w:id="8262"/>
    </w:p>
    <w:p w:rsidR="0007171D" w:rsidRDefault="0007171D" w:rsidP="007E4E81">
      <w:pPr>
        <w:pStyle w:val="a0"/>
        <w:rPr>
          <w:rStyle w:val="afb"/>
          <w:rtl/>
        </w:rPr>
      </w:pPr>
      <w:bookmarkStart w:id="8263" w:name="_Ref58531857"/>
      <w:r>
        <w:rPr>
          <w:rStyle w:val="af9"/>
          <w:rFonts w:hint="cs"/>
          <w:rtl/>
        </w:rPr>
        <w:t>ו</w:t>
      </w:r>
      <w:r w:rsidRPr="00D1453F">
        <w:rPr>
          <w:rStyle w:val="af9"/>
          <w:rFonts w:hint="cs"/>
          <w:rtl/>
        </w:rPr>
        <w:t xml:space="preserve">הגרעק"א </w:t>
      </w:r>
      <w:r w:rsidRPr="00D1453F">
        <w:rPr>
          <w:rStyle w:val="af7"/>
          <w:rFonts w:eastAsia="Guttman Hodes" w:hint="cs"/>
          <w:rtl/>
        </w:rPr>
        <w:t>(שו"ת מהדו"ק סי' קל"ה ד"ה ולענ"ד)</w:t>
      </w:r>
      <w:r>
        <w:rPr>
          <w:rFonts w:hint="cs"/>
          <w:rtl/>
        </w:rPr>
        <w:t xml:space="preserve"> כתב על דברי </w:t>
      </w:r>
      <w:r w:rsidRPr="00D1453F">
        <w:rPr>
          <w:rStyle w:val="af9"/>
          <w:rFonts w:hint="cs"/>
          <w:rtl/>
        </w:rPr>
        <w:t>התומים</w:t>
      </w:r>
      <w:r>
        <w:rPr>
          <w:rFonts w:hint="cs"/>
          <w:rtl/>
        </w:rPr>
        <w:t xml:space="preserve"> </w:t>
      </w:r>
      <w:r w:rsidRPr="00E604E6">
        <w:rPr>
          <w:rStyle w:val="af7"/>
          <w:rFonts w:eastAsia="Guttman Hodes" w:hint="cs"/>
          <w:rtl/>
        </w:rPr>
        <w:t xml:space="preserve">(עי' אות </w:t>
      </w:r>
      <w:r w:rsidRPr="00E604E6">
        <w:rPr>
          <w:rStyle w:val="af7"/>
          <w:rFonts w:eastAsia="Guttman Hodes"/>
          <w:rtl/>
        </w:rPr>
        <w:fldChar w:fldCharType="begin"/>
      </w:r>
      <w:r w:rsidRPr="00E604E6">
        <w:rPr>
          <w:rStyle w:val="af7"/>
          <w:rFonts w:eastAsia="Guttman Hodes"/>
          <w:rtl/>
        </w:rPr>
        <w:instrText xml:space="preserve"> </w:instrText>
      </w:r>
      <w:r w:rsidRPr="00E604E6">
        <w:rPr>
          <w:rStyle w:val="af7"/>
          <w:rFonts w:eastAsia="Guttman Hodes" w:hint="cs"/>
        </w:rPr>
        <w:instrText>REF</w:instrText>
      </w:r>
      <w:r w:rsidRPr="00E604E6">
        <w:rPr>
          <w:rStyle w:val="af7"/>
          <w:rFonts w:eastAsia="Guttman Hodes" w:hint="cs"/>
          <w:rtl/>
        </w:rPr>
        <w:instrText xml:space="preserve"> _</w:instrText>
      </w:r>
      <w:r w:rsidRPr="00E604E6">
        <w:rPr>
          <w:rStyle w:val="af7"/>
          <w:rFonts w:eastAsia="Guttman Hodes" w:hint="cs"/>
        </w:rPr>
        <w:instrText>Ref58532220 \r \h</w:instrText>
      </w:r>
      <w:r w:rsidRPr="00E604E6">
        <w:rPr>
          <w:rStyle w:val="af7"/>
          <w:rFonts w:eastAsia="Guttman Hodes"/>
          <w:rtl/>
        </w:rPr>
        <w:instrText xml:space="preserve"> </w:instrText>
      </w:r>
      <w:r w:rsidRPr="00E604E6">
        <w:rPr>
          <w:rStyle w:val="af7"/>
          <w:rFonts w:eastAsia="Guttman Hodes"/>
          <w:rtl/>
        </w:rPr>
      </w:r>
      <w:r w:rsidRPr="00E604E6">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E604E6">
        <w:rPr>
          <w:rStyle w:val="af7"/>
          <w:rFonts w:eastAsia="Guttman Hodes"/>
          <w:rtl/>
        </w:rPr>
        <w:fldChar w:fldCharType="end"/>
      </w:r>
      <w:r>
        <w:rPr>
          <w:rFonts w:hint="cs"/>
          <w:rtl/>
        </w:rPr>
        <w:t xml:space="preserve"> דכ"מ דלא מהני מיגו מחוץ לב"ד היינו רק במיגו, דהדבר היה ידוע לנו, רק שיש לו טענה של מיגו, בכה"ג אמרינן דטענתו שמחוץ לב"ד אינה טענה כלל, אבל במקום שהדבר לא היה ידוע לנו כלל, ויש לו נאמנות של הפה שאסר, בכה"ג ההודאה שהודה מחוץ לב"ד,</w:t>
      </w:r>
      <w:r w:rsidRPr="00116F2A">
        <w:rPr>
          <w:rFonts w:hint="cs"/>
          <w:rtl/>
        </w:rPr>
        <w:t xml:space="preserve"> </w:t>
      </w:r>
      <w:r>
        <w:rPr>
          <w:rFonts w:hint="cs"/>
          <w:rtl/>
        </w:rPr>
        <w:t>לא חשיבא כהודאה כלל.</w:t>
      </w:r>
      <w:bookmarkEnd w:id="8263"/>
      <w:r>
        <w:rPr>
          <w:rFonts w:hint="cs"/>
          <w:rtl/>
        </w:rPr>
        <w:t xml:space="preserve"> </w:t>
      </w:r>
      <w:r w:rsidRPr="00D1453F">
        <w:rPr>
          <w:rStyle w:val="afb"/>
          <w:rFonts w:hint="cs"/>
          <w:rtl/>
        </w:rPr>
        <w:t xml:space="preserve">[וביאר </w:t>
      </w:r>
      <w:r w:rsidRPr="00D1453F">
        <w:rPr>
          <w:rStyle w:val="affa"/>
          <w:rFonts w:hint="cs"/>
          <w:rtl/>
        </w:rPr>
        <w:t>בחי' רבי שמואל</w:t>
      </w:r>
      <w:r w:rsidRPr="00D1453F">
        <w:rPr>
          <w:rStyle w:val="afb"/>
          <w:rFonts w:hint="cs"/>
          <w:rtl/>
        </w:rPr>
        <w:t xml:space="preserve"> </w:t>
      </w:r>
      <w:r w:rsidRPr="00D1453F">
        <w:rPr>
          <w:rStyle w:val="aff6"/>
          <w:rFonts w:hint="cs"/>
          <w:rtl/>
        </w:rPr>
        <w:t xml:space="preserve">(עי' אות </w:t>
      </w:r>
      <w:r w:rsidRPr="00D1453F">
        <w:rPr>
          <w:rStyle w:val="aff6"/>
          <w:rtl/>
        </w:rPr>
        <w:fldChar w:fldCharType="begin"/>
      </w:r>
      <w:r w:rsidRPr="00D1453F">
        <w:rPr>
          <w:rStyle w:val="aff6"/>
          <w:rtl/>
        </w:rPr>
        <w:instrText xml:space="preserve"> </w:instrText>
      </w:r>
      <w:r w:rsidRPr="00D1453F">
        <w:rPr>
          <w:rStyle w:val="aff6"/>
          <w:rFonts w:hint="cs"/>
        </w:rPr>
        <w:instrText>REF</w:instrText>
      </w:r>
      <w:r w:rsidRPr="00D1453F">
        <w:rPr>
          <w:rStyle w:val="aff6"/>
          <w:rFonts w:hint="cs"/>
          <w:rtl/>
        </w:rPr>
        <w:instrText xml:space="preserve"> _</w:instrText>
      </w:r>
      <w:r w:rsidRPr="00D1453F">
        <w:rPr>
          <w:rStyle w:val="aff6"/>
          <w:rFonts w:hint="cs"/>
        </w:rPr>
        <w:instrText>Ref58531939 \r \h</w:instrText>
      </w:r>
      <w:r w:rsidRPr="00D1453F">
        <w:rPr>
          <w:rStyle w:val="aff6"/>
          <w:rtl/>
        </w:rPr>
        <w:instrText xml:space="preserve"> </w:instrText>
      </w:r>
      <w:r w:rsidRPr="00D1453F">
        <w:rPr>
          <w:rStyle w:val="aff6"/>
          <w:rtl/>
        </w:rPr>
      </w:r>
      <w:r w:rsidRPr="00D1453F">
        <w:rPr>
          <w:rStyle w:val="aff6"/>
          <w:rtl/>
        </w:rPr>
        <w:fldChar w:fldCharType="separate"/>
      </w:r>
      <w:r w:rsidR="00265073">
        <w:rPr>
          <w:rStyle w:val="aff6"/>
          <w:cs/>
        </w:rPr>
        <w:t>‎</w:t>
      </w:r>
      <w:r w:rsidR="00265073">
        <w:rPr>
          <w:rStyle w:val="aff6"/>
          <w:rtl/>
        </w:rPr>
        <w:t>קיב)</w:t>
      </w:r>
      <w:r w:rsidRPr="00D1453F">
        <w:rPr>
          <w:rStyle w:val="aff6"/>
          <w:rtl/>
        </w:rPr>
        <w:fldChar w:fldCharType="end"/>
      </w:r>
      <w:r w:rsidRPr="00D1453F">
        <w:rPr>
          <w:rStyle w:val="afb"/>
          <w:rFonts w:hint="cs"/>
          <w:rtl/>
        </w:rPr>
        <w:t xml:space="preserve"> </w:t>
      </w:r>
      <w:r>
        <w:rPr>
          <w:rStyle w:val="afb"/>
          <w:rFonts w:hint="cs"/>
          <w:rtl/>
        </w:rPr>
        <w:t xml:space="preserve">את דברי </w:t>
      </w:r>
      <w:r w:rsidRPr="00A92110">
        <w:rPr>
          <w:rStyle w:val="affa"/>
          <w:rFonts w:hint="cs"/>
          <w:rtl/>
        </w:rPr>
        <w:t>הגרעק"א</w:t>
      </w:r>
      <w:r>
        <w:rPr>
          <w:rStyle w:val="afb"/>
          <w:rFonts w:hint="cs"/>
          <w:rtl/>
        </w:rPr>
        <w:t xml:space="preserve"> </w:t>
      </w:r>
      <w:r w:rsidRPr="00D1453F">
        <w:rPr>
          <w:rStyle w:val="afb"/>
          <w:rFonts w:hint="cs"/>
          <w:rtl/>
        </w:rPr>
        <w:t>דהפה שאסר מהני</w:t>
      </w:r>
      <w:r>
        <w:rPr>
          <w:rStyle w:val="afb"/>
          <w:rFonts w:hint="cs"/>
          <w:rtl/>
        </w:rPr>
        <w:t xml:space="preserve"> אף מחוץ לב"ד</w:t>
      </w:r>
      <w:r w:rsidRPr="00D1453F">
        <w:rPr>
          <w:rStyle w:val="afb"/>
          <w:rFonts w:hint="cs"/>
          <w:rtl/>
        </w:rPr>
        <w:t>, דכיון שמקבלים את מקצת דבריו, מקבלים את כל דבריו].</w:t>
      </w:r>
    </w:p>
    <w:p w:rsidR="0007171D" w:rsidRDefault="0007171D" w:rsidP="0007171D">
      <w:pPr>
        <w:pStyle w:val="afe"/>
        <w:rPr>
          <w:rtl/>
        </w:rPr>
      </w:pPr>
      <w:bookmarkStart w:id="8264" w:name="_Toc58325009"/>
      <w:bookmarkStart w:id="8265" w:name="_Toc58359154"/>
      <w:bookmarkStart w:id="8266" w:name="_Toc58409415"/>
      <w:bookmarkStart w:id="8267" w:name="_Toc58432809"/>
      <w:bookmarkStart w:id="8268" w:name="_Toc58580011"/>
      <w:bookmarkStart w:id="8269" w:name="_Toc58843017"/>
      <w:bookmarkStart w:id="8270" w:name="_Toc58876226"/>
      <w:bookmarkStart w:id="8271" w:name="_Toc58877639"/>
      <w:bookmarkStart w:id="8272" w:name="_Toc58914698"/>
      <w:bookmarkStart w:id="8273" w:name="_Toc58925999"/>
      <w:bookmarkStart w:id="8274" w:name="_Toc58930065"/>
      <w:bookmarkStart w:id="8275" w:name="_Toc58938216"/>
      <w:bookmarkStart w:id="8276" w:name="_Toc59007006"/>
      <w:bookmarkStart w:id="8277" w:name="_Toc59013484"/>
      <w:bookmarkStart w:id="8278" w:name="_Toc59013732"/>
      <w:bookmarkStart w:id="8279" w:name="_Toc59025798"/>
      <w:bookmarkEnd w:id="7793"/>
      <w:bookmarkEnd w:id="7794"/>
      <w:bookmarkEnd w:id="7795"/>
      <w:bookmarkEnd w:id="7796"/>
      <w:bookmarkEnd w:id="8107"/>
      <w:bookmarkEnd w:id="8108"/>
      <w:bookmarkEnd w:id="8109"/>
      <w:bookmarkEnd w:id="8110"/>
      <w:bookmarkEnd w:id="8111"/>
      <w:bookmarkEnd w:id="8112"/>
      <w:r>
        <w:rPr>
          <w:rFonts w:hint="cs"/>
          <w:rtl/>
        </w:rPr>
        <w:t xml:space="preserve">במיגו </w:t>
      </w:r>
      <w:bookmarkEnd w:id="8264"/>
      <w:bookmarkEnd w:id="8265"/>
      <w:bookmarkEnd w:id="8266"/>
      <w:bookmarkEnd w:id="8267"/>
      <w:bookmarkEnd w:id="8268"/>
      <w:bookmarkEnd w:id="8269"/>
      <w:bookmarkEnd w:id="8270"/>
      <w:bookmarkEnd w:id="8271"/>
      <w:bookmarkEnd w:id="8272"/>
      <w:bookmarkEnd w:id="8273"/>
      <w:bookmarkEnd w:id="8274"/>
      <w:r>
        <w:rPr>
          <w:rFonts w:hint="cs"/>
          <w:rtl/>
        </w:rPr>
        <w:t>דמינך זבינתה ומיגו דלהד"ם</w:t>
      </w:r>
      <w:bookmarkEnd w:id="8275"/>
      <w:bookmarkEnd w:id="8276"/>
      <w:bookmarkEnd w:id="8277"/>
      <w:bookmarkEnd w:id="8278"/>
      <w:bookmarkEnd w:id="8279"/>
    </w:p>
    <w:p w:rsidR="0007171D" w:rsidRDefault="0007171D" w:rsidP="0007171D">
      <w:pPr>
        <w:pStyle w:val="1"/>
        <w:rPr>
          <w:rtl/>
        </w:rPr>
      </w:pPr>
      <w:bookmarkStart w:id="8280" w:name="_Toc58409416"/>
      <w:bookmarkStart w:id="8281" w:name="_Toc58432810"/>
      <w:bookmarkStart w:id="8282" w:name="_Toc58580012"/>
      <w:bookmarkStart w:id="8283" w:name="_Toc58843018"/>
      <w:bookmarkStart w:id="8284" w:name="_Toc58876227"/>
      <w:bookmarkStart w:id="8285" w:name="_Toc58877640"/>
      <w:bookmarkStart w:id="8286" w:name="_Toc58914699"/>
      <w:bookmarkStart w:id="8287" w:name="_Toc58926000"/>
      <w:bookmarkStart w:id="8288" w:name="_Toc58930066"/>
      <w:bookmarkStart w:id="8289" w:name="_Toc58938217"/>
      <w:bookmarkStart w:id="8290" w:name="_Toc59007007"/>
      <w:bookmarkStart w:id="8291" w:name="_Toc59013485"/>
      <w:bookmarkStart w:id="8292" w:name="_Toc59013733"/>
      <w:bookmarkStart w:id="8293" w:name="_Toc59025799"/>
      <w:bookmarkStart w:id="8294" w:name="_Toc58325010"/>
      <w:bookmarkStart w:id="8295" w:name="_Toc58359155"/>
      <w:r>
        <w:rPr>
          <w:rFonts w:hint="cs"/>
          <w:rtl/>
        </w:rPr>
        <w:t>קושית הרשב"ם דהמחזיק יהיה נאמן במיגו דמינך זבינתה</w:t>
      </w:r>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p>
    <w:p w:rsidR="0007171D" w:rsidRPr="00E55E61" w:rsidRDefault="0007171D" w:rsidP="0007171D">
      <w:pPr>
        <w:pStyle w:val="a3"/>
        <w:rPr>
          <w:rtl/>
        </w:rPr>
      </w:pPr>
      <w:bookmarkStart w:id="8296" w:name="_Toc58930067"/>
      <w:bookmarkStart w:id="8297" w:name="_Toc58938218"/>
      <w:bookmarkStart w:id="8298" w:name="_Toc59007008"/>
      <w:bookmarkStart w:id="8299" w:name="_Toc59013486"/>
      <w:bookmarkStart w:id="8300" w:name="_Toc59013734"/>
      <w:bookmarkStart w:id="8301" w:name="_Toc59025800"/>
      <w:r>
        <w:rPr>
          <w:rFonts w:hint="cs"/>
          <w:rtl/>
        </w:rPr>
        <w:t>קושית הרשב"ם דהמחזיק יהיה נאמן דכך א"ל המוכר במיגו דמינך זבינתה דהא אין עידי מר"ק</w:t>
      </w:r>
      <w:bookmarkEnd w:id="8296"/>
      <w:bookmarkEnd w:id="8297"/>
      <w:bookmarkEnd w:id="8298"/>
      <w:bookmarkEnd w:id="8299"/>
      <w:bookmarkEnd w:id="8300"/>
      <w:bookmarkEnd w:id="8301"/>
    </w:p>
    <w:p w:rsidR="0007171D" w:rsidRDefault="0007171D" w:rsidP="007E4E81">
      <w:pPr>
        <w:pStyle w:val="a0"/>
        <w:rPr>
          <w:sz w:val="10"/>
          <w:szCs w:val="14"/>
          <w:rtl/>
        </w:rPr>
      </w:pPr>
      <w:bookmarkStart w:id="8302" w:name="_Ref58318705"/>
      <w:r>
        <w:rPr>
          <w:rFonts w:hint="cs"/>
          <w:rtl/>
        </w:rPr>
        <w:t xml:space="preserve">הקשה </w:t>
      </w:r>
      <w:r w:rsidRPr="00AB4580">
        <w:rPr>
          <w:rStyle w:val="af9"/>
          <w:rFonts w:hint="cs"/>
          <w:rtl/>
        </w:rPr>
        <w:t>הרשב"ם</w:t>
      </w:r>
      <w:r>
        <w:rPr>
          <w:rFonts w:hint="cs"/>
          <w:rtl/>
        </w:rPr>
        <w:t xml:space="preserve"> </w:t>
      </w:r>
      <w:r w:rsidRPr="006A50AA">
        <w:rPr>
          <w:rStyle w:val="af7"/>
          <w:rFonts w:eastAsia="Guttman Hodes" w:hint="cs"/>
          <w:rtl/>
        </w:rPr>
        <w:t>(ד"ה אמר ליה)</w:t>
      </w:r>
      <w:r>
        <w:rPr>
          <w:rFonts w:hint="cs"/>
          <w:rtl/>
        </w:rPr>
        <w:t xml:space="preserve"> דאמאי אין המחזיק נאמן בטענתו, שקנה מהמוכר שאמר לו שקנה מהמערער, במיגו דהיה המחזיק טוען למערער מינך זבינתה, ויש לי חזקת ג"ש</w:t>
      </w:r>
      <w:bookmarkStart w:id="8303" w:name="_Ref58937138"/>
      <w:r>
        <w:rPr>
          <w:rStyle w:val="af1"/>
          <w:rtl/>
        </w:rPr>
        <w:footnoteReference w:id="55"/>
      </w:r>
      <w:bookmarkEnd w:id="8303"/>
      <w:r>
        <w:rPr>
          <w:rFonts w:hint="cs"/>
          <w:rtl/>
        </w:rPr>
        <w:t>, והוסיף</w:t>
      </w:r>
      <w:r w:rsidRPr="007028BB">
        <w:rPr>
          <w:rStyle w:val="af9"/>
          <w:rFonts w:hint="cs"/>
          <w:rtl/>
        </w:rPr>
        <w:t xml:space="preserve"> הרא"ש</w:t>
      </w:r>
      <w:r>
        <w:rPr>
          <w:rFonts w:hint="cs"/>
          <w:rtl/>
        </w:rPr>
        <w:t xml:space="preserve"> </w:t>
      </w:r>
      <w:r w:rsidRPr="007028BB">
        <w:rPr>
          <w:rStyle w:val="af7"/>
          <w:rFonts w:eastAsia="Guttman Hodes" w:hint="cs"/>
          <w:rtl/>
        </w:rPr>
        <w:t>(סי' ז')</w:t>
      </w:r>
      <w:r>
        <w:rPr>
          <w:rFonts w:hint="cs"/>
          <w:rtl/>
        </w:rPr>
        <w:t xml:space="preserve"> בשם </w:t>
      </w:r>
      <w:r w:rsidRPr="00B438CF">
        <w:rPr>
          <w:rStyle w:val="af9"/>
          <w:rFonts w:hint="cs"/>
          <w:rtl/>
        </w:rPr>
        <w:t>הרשב"ם</w:t>
      </w:r>
      <w:r>
        <w:rPr>
          <w:rFonts w:hint="cs"/>
          <w:rtl/>
        </w:rPr>
        <w:t xml:space="preserve"> דכיון שאין עדים שהייתה של המערער, א"כ צריך להאמין למחזיק במיגו</w:t>
      </w:r>
      <w:bookmarkStart w:id="8304" w:name="_Ref59536220"/>
      <w:r>
        <w:rPr>
          <w:rStyle w:val="af1"/>
          <w:rtl/>
        </w:rPr>
        <w:footnoteReference w:id="56"/>
      </w:r>
      <w:bookmarkEnd w:id="8304"/>
      <w:r>
        <w:rPr>
          <w:rFonts w:hint="cs"/>
          <w:rtl/>
        </w:rPr>
        <w:t>.</w:t>
      </w:r>
      <w:bookmarkEnd w:id="8302"/>
    </w:p>
    <w:p w:rsidR="0007171D" w:rsidRPr="005B121F" w:rsidRDefault="0007171D" w:rsidP="0007171D">
      <w:pPr>
        <w:pStyle w:val="1"/>
        <w:rPr>
          <w:rtl/>
        </w:rPr>
      </w:pPr>
      <w:bookmarkStart w:id="8305" w:name="_Toc58409417"/>
      <w:bookmarkStart w:id="8306" w:name="_Toc58432811"/>
      <w:bookmarkStart w:id="8307" w:name="_Toc58580013"/>
      <w:bookmarkStart w:id="8308" w:name="_Toc58843019"/>
      <w:bookmarkStart w:id="8309" w:name="_Toc58876228"/>
      <w:bookmarkStart w:id="8310" w:name="_Toc58877641"/>
      <w:bookmarkStart w:id="8311" w:name="_Toc58914700"/>
      <w:bookmarkStart w:id="8312" w:name="_Toc58926001"/>
      <w:bookmarkStart w:id="8313" w:name="_Toc58930068"/>
      <w:bookmarkStart w:id="8314" w:name="_Toc58938219"/>
      <w:bookmarkStart w:id="8315" w:name="_Toc59007009"/>
      <w:bookmarkStart w:id="8316" w:name="_Toc59013487"/>
      <w:bookmarkStart w:id="8317" w:name="_Toc59013735"/>
      <w:bookmarkStart w:id="8318" w:name="_Toc59025801"/>
      <w:r>
        <w:rPr>
          <w:rFonts w:hint="cs"/>
          <w:rtl/>
        </w:rPr>
        <w:t>דברי הרשב"ם דכיון שהוא מסופק ל"מ לו מיגו שקנה מהמר"ק</w:t>
      </w:r>
      <w:bookmarkEnd w:id="8294"/>
      <w:bookmarkEnd w:id="8295"/>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p>
    <w:p w:rsidR="0007171D" w:rsidRPr="00787CA3" w:rsidRDefault="0007171D" w:rsidP="0007171D">
      <w:pPr>
        <w:pStyle w:val="a3"/>
      </w:pPr>
      <w:bookmarkStart w:id="8319" w:name="_Toc58938220"/>
      <w:bookmarkStart w:id="8320" w:name="_Toc59007010"/>
      <w:bookmarkStart w:id="8321" w:name="_Toc59013488"/>
      <w:bookmarkStart w:id="8322" w:name="_Toc59013736"/>
      <w:bookmarkStart w:id="8323" w:name="_Toc59025802"/>
      <w:bookmarkStart w:id="8324" w:name="_Ref57924039"/>
      <w:bookmarkStart w:id="8325" w:name="_Ref57750144"/>
      <w:bookmarkStart w:id="8326" w:name="_Toc57925938"/>
      <w:bookmarkStart w:id="8327" w:name="_Toc58091630"/>
      <w:bookmarkStart w:id="8328" w:name="_Toc58144880"/>
      <w:r>
        <w:rPr>
          <w:rFonts w:hint="cs"/>
          <w:rtl/>
        </w:rPr>
        <w:t>תירוץ הרשב"ם דל"מ מיגו למחזיק כיון שהוא עצמו אינו יודע אי המוכר קנה מהמערער</w:t>
      </w:r>
      <w:bookmarkEnd w:id="8319"/>
      <w:bookmarkEnd w:id="8320"/>
      <w:bookmarkEnd w:id="8321"/>
      <w:bookmarkEnd w:id="8322"/>
      <w:bookmarkEnd w:id="8323"/>
    </w:p>
    <w:p w:rsidR="0007171D" w:rsidRDefault="0007171D" w:rsidP="007E4E81">
      <w:pPr>
        <w:pStyle w:val="a0"/>
        <w:rPr>
          <w:rStyle w:val="afb"/>
          <w:rtl/>
        </w:rPr>
      </w:pPr>
      <w:bookmarkStart w:id="8329" w:name="_Ref58318209"/>
      <w:r>
        <w:rPr>
          <w:rFonts w:hint="cs"/>
          <w:rtl/>
        </w:rPr>
        <w:t xml:space="preserve">ותירץ </w:t>
      </w:r>
      <w:r w:rsidRPr="00AB4580">
        <w:rPr>
          <w:rStyle w:val="af9"/>
          <w:rFonts w:hint="cs"/>
          <w:rtl/>
        </w:rPr>
        <w:t>הרשב"ם</w:t>
      </w:r>
      <w:r>
        <w:rPr>
          <w:rFonts w:hint="cs"/>
          <w:rtl/>
        </w:rPr>
        <w:t xml:space="preserve"> דכיון שהוא טוען שהמוכר אמר לו שקנה מהמערער, א"כ א"א להאמינו במיגו, דהא המחזיק עצמו אינו יודע אם המוכר קנה מהמערער. </w:t>
      </w:r>
      <w:r w:rsidRPr="00DA38B4">
        <w:rPr>
          <w:rStyle w:val="afb"/>
          <w:rFonts w:hint="cs"/>
          <w:rtl/>
        </w:rPr>
        <w:t>[ולא מהני מה שהוא נאמן, דמ"מ אין טענתו טענה].</w:t>
      </w:r>
      <w:bookmarkEnd w:id="8324"/>
      <w:bookmarkEnd w:id="8325"/>
      <w:bookmarkEnd w:id="8329"/>
    </w:p>
    <w:p w:rsidR="0007171D" w:rsidRPr="007028BB" w:rsidRDefault="0007171D" w:rsidP="0007171D">
      <w:pPr>
        <w:pStyle w:val="a3"/>
        <w:rPr>
          <w:rtl/>
        </w:rPr>
      </w:pPr>
      <w:bookmarkStart w:id="8330" w:name="_Toc58325011"/>
      <w:bookmarkStart w:id="8331" w:name="_Toc58359156"/>
      <w:bookmarkStart w:id="8332" w:name="_Toc58409418"/>
      <w:bookmarkStart w:id="8333" w:name="_Toc58432812"/>
      <w:bookmarkStart w:id="8334" w:name="_Toc58580014"/>
      <w:bookmarkStart w:id="8335" w:name="_Toc58843020"/>
      <w:bookmarkStart w:id="8336" w:name="_Toc58876229"/>
      <w:bookmarkStart w:id="8337" w:name="_Toc58877642"/>
      <w:bookmarkStart w:id="8338" w:name="_Toc58914701"/>
      <w:bookmarkStart w:id="8339" w:name="_Toc58926002"/>
      <w:bookmarkStart w:id="8340" w:name="_Toc58930069"/>
      <w:bookmarkStart w:id="8341" w:name="_Toc58938221"/>
      <w:bookmarkStart w:id="8342" w:name="_Toc59007011"/>
      <w:bookmarkStart w:id="8343" w:name="_Toc59013489"/>
      <w:bookmarkStart w:id="8344" w:name="_Toc59013737"/>
      <w:bookmarkStart w:id="8345" w:name="_Toc59025803"/>
      <w:r>
        <w:rPr>
          <w:rFonts w:hint="cs"/>
          <w:rtl/>
        </w:rPr>
        <w:t>ביאור הרא"ש ברשב"ם</w:t>
      </w:r>
      <w:bookmarkEnd w:id="8330"/>
      <w:bookmarkEnd w:id="8331"/>
      <w:bookmarkEnd w:id="8332"/>
      <w:bookmarkEnd w:id="8333"/>
      <w:bookmarkEnd w:id="8334"/>
      <w:bookmarkEnd w:id="8335"/>
      <w:bookmarkEnd w:id="8336"/>
      <w:bookmarkEnd w:id="8337"/>
      <w:bookmarkEnd w:id="8338"/>
      <w:bookmarkEnd w:id="8339"/>
      <w:bookmarkEnd w:id="8340"/>
      <w:r>
        <w:rPr>
          <w:rFonts w:hint="cs"/>
          <w:rtl/>
        </w:rPr>
        <w:t xml:space="preserve"> דמיגו מהני רק בב' טענות שאחת טובה יותר והכא נשאר המחזיק בספק</w:t>
      </w:r>
      <w:bookmarkEnd w:id="8341"/>
      <w:bookmarkEnd w:id="8342"/>
      <w:bookmarkEnd w:id="8343"/>
      <w:bookmarkEnd w:id="8344"/>
      <w:bookmarkEnd w:id="8345"/>
    </w:p>
    <w:p w:rsidR="0007171D" w:rsidRDefault="0007171D" w:rsidP="007E4E81">
      <w:pPr>
        <w:pStyle w:val="a0"/>
        <w:rPr>
          <w:rtl/>
        </w:rPr>
      </w:pPr>
      <w:bookmarkStart w:id="8346" w:name="_Ref58838713"/>
      <w:bookmarkStart w:id="8347" w:name="_Ref57910111"/>
      <w:r>
        <w:rPr>
          <w:rFonts w:hint="cs"/>
          <w:rtl/>
        </w:rPr>
        <w:t xml:space="preserve">וביאר </w:t>
      </w:r>
      <w:r w:rsidRPr="007028BB">
        <w:rPr>
          <w:rStyle w:val="af9"/>
          <w:rFonts w:hint="cs"/>
          <w:rtl/>
        </w:rPr>
        <w:t>הרא"ש</w:t>
      </w:r>
      <w:r>
        <w:rPr>
          <w:rFonts w:hint="cs"/>
          <w:rtl/>
        </w:rPr>
        <w:t xml:space="preserve"> </w:t>
      </w:r>
      <w:r w:rsidRPr="00870773">
        <w:rPr>
          <w:rStyle w:val="af7"/>
          <w:rFonts w:eastAsia="Guttman Hodes" w:hint="cs"/>
          <w:rtl/>
        </w:rPr>
        <w:t>(סי' ז')</w:t>
      </w:r>
      <w:r>
        <w:rPr>
          <w:rFonts w:hint="cs"/>
          <w:rtl/>
        </w:rPr>
        <w:t xml:space="preserve"> את דברי </w:t>
      </w:r>
      <w:r w:rsidRPr="00B438CF">
        <w:rPr>
          <w:rStyle w:val="af9"/>
          <w:rFonts w:hint="cs"/>
          <w:rtl/>
        </w:rPr>
        <w:t>הרשב"ם</w:t>
      </w:r>
      <w:r>
        <w:rPr>
          <w:rFonts w:hint="cs"/>
          <w:rtl/>
        </w:rPr>
        <w:t xml:space="preserve"> </w:t>
      </w:r>
      <w:r w:rsidRPr="00870773">
        <w:rPr>
          <w:rStyle w:val="af7"/>
          <w:rFonts w:eastAsia="Guttman Hodes" w:hint="cs"/>
          <w:rtl/>
        </w:rPr>
        <w:t xml:space="preserve">(עי' אות </w:t>
      </w:r>
      <w:r w:rsidRPr="00870773">
        <w:rPr>
          <w:rStyle w:val="af7"/>
          <w:rFonts w:eastAsia="Guttman Hodes"/>
          <w:rtl/>
        </w:rPr>
        <w:fldChar w:fldCharType="begin"/>
      </w:r>
      <w:r w:rsidRPr="00870773">
        <w:rPr>
          <w:rStyle w:val="af7"/>
          <w:rFonts w:eastAsia="Guttman Hodes"/>
          <w:rtl/>
        </w:rPr>
        <w:instrText xml:space="preserve"> </w:instrText>
      </w:r>
      <w:r w:rsidRPr="00870773">
        <w:rPr>
          <w:rStyle w:val="af7"/>
          <w:rFonts w:eastAsia="Guttman Hodes" w:hint="cs"/>
        </w:rPr>
        <w:instrText>REF</w:instrText>
      </w:r>
      <w:r w:rsidRPr="00870773">
        <w:rPr>
          <w:rStyle w:val="af7"/>
          <w:rFonts w:eastAsia="Guttman Hodes" w:hint="cs"/>
          <w:rtl/>
        </w:rPr>
        <w:instrText xml:space="preserve"> _</w:instrText>
      </w:r>
      <w:r w:rsidRPr="00870773">
        <w:rPr>
          <w:rStyle w:val="af7"/>
          <w:rFonts w:eastAsia="Guttman Hodes" w:hint="cs"/>
        </w:rPr>
        <w:instrText>Ref58318209 \r \h</w:instrText>
      </w:r>
      <w:r w:rsidRPr="00870773">
        <w:rPr>
          <w:rStyle w:val="af7"/>
          <w:rFonts w:eastAsia="Guttman Hodes"/>
          <w:rtl/>
        </w:rPr>
        <w:instrText xml:space="preserve"> </w:instrText>
      </w:r>
      <w:r w:rsidRPr="00870773">
        <w:rPr>
          <w:rStyle w:val="af7"/>
          <w:rFonts w:eastAsia="Guttman Hodes"/>
          <w:rtl/>
        </w:rPr>
      </w:r>
      <w:r w:rsidRPr="00870773">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870773">
        <w:rPr>
          <w:rStyle w:val="af7"/>
          <w:rFonts w:eastAsia="Guttman Hodes"/>
          <w:rtl/>
        </w:rPr>
        <w:fldChar w:fldCharType="end"/>
      </w:r>
      <w:r w:rsidRPr="00870773">
        <w:rPr>
          <w:rStyle w:val="af7"/>
          <w:rFonts w:eastAsia="Guttman Hodes" w:hint="cs"/>
          <w:rtl/>
        </w:rPr>
        <w:t xml:space="preserve"> </w:t>
      </w:r>
      <w:r>
        <w:rPr>
          <w:rFonts w:hint="cs"/>
          <w:rtl/>
        </w:rPr>
        <w:t xml:space="preserve">דאף שאין למערער עדים, מ"מ המחזיק אינו נאמן במיגו דהיה טוען למערער דמינך זבינתה, ויש לי חזקת ג"ש, דהא דאמרינן מיגו היינו דוקא בב' טענות, שהיה יכול לזכות בכל אחת מהם, אלא דהטענה שהיה יכול לטעון, היא טענה טובה יותר מהטענה שטען, אבל הכא דאף אי נאמין למחזיק, לטענתו שקנה מהמוכר ואמר לו שהוא קנה מהמערער, עדיין אין למחזיק כלום בקרקע, כיון שהודה שהייתה של המערער, וגם הודה שאינו יודע אם המוכר קנה מהמערער, דהא לא טען המחזיק קמי דידי זבנה מינך, וביאר </w:t>
      </w:r>
      <w:r w:rsidRPr="00775FC8">
        <w:rPr>
          <w:rStyle w:val="af9"/>
          <w:rFonts w:hint="cs"/>
          <w:rtl/>
        </w:rPr>
        <w:t>הרא"ש</w:t>
      </w:r>
      <w:r>
        <w:rPr>
          <w:rFonts w:hint="cs"/>
          <w:rtl/>
        </w:rPr>
        <w:t xml:space="preserve"> בשם </w:t>
      </w:r>
      <w:r w:rsidRPr="00775FC8">
        <w:rPr>
          <w:rStyle w:val="af9"/>
          <w:rFonts w:hint="cs"/>
          <w:rtl/>
        </w:rPr>
        <w:t>הרשב"ם</w:t>
      </w:r>
      <w:r>
        <w:rPr>
          <w:rFonts w:hint="cs"/>
          <w:rtl/>
        </w:rPr>
        <w:t xml:space="preserve"> דלכן המחזיק צריך להחזיר את הקרקע למערער, כיון דאין ספק מוציא מידי ודאי.</w:t>
      </w:r>
      <w:bookmarkEnd w:id="8346"/>
    </w:p>
    <w:p w:rsidR="0007171D" w:rsidRPr="007C2BFE" w:rsidRDefault="0007171D" w:rsidP="0007171D">
      <w:pPr>
        <w:pStyle w:val="a3"/>
        <w:rPr>
          <w:rtl/>
        </w:rPr>
      </w:pPr>
      <w:bookmarkStart w:id="8348" w:name="_Toc58938222"/>
      <w:bookmarkStart w:id="8349" w:name="_Toc59007012"/>
      <w:bookmarkStart w:id="8350" w:name="_Toc59013490"/>
      <w:bookmarkStart w:id="8351" w:name="_Toc59013738"/>
      <w:bookmarkStart w:id="8352" w:name="_Toc59025804"/>
      <w:r>
        <w:rPr>
          <w:rFonts w:hint="cs"/>
          <w:rtl/>
        </w:rPr>
        <w:t>קושית הרא"ש על הרשב"ם דלא משמע דהודה בפירוש ואמאי אינו נאמן במיגו דלהד"ם</w:t>
      </w:r>
      <w:bookmarkEnd w:id="8348"/>
      <w:bookmarkEnd w:id="8349"/>
      <w:bookmarkEnd w:id="8350"/>
      <w:bookmarkEnd w:id="8351"/>
      <w:bookmarkEnd w:id="8352"/>
    </w:p>
    <w:p w:rsidR="0007171D" w:rsidRPr="00783DB6" w:rsidRDefault="0007171D" w:rsidP="007E4E81">
      <w:pPr>
        <w:pStyle w:val="a0"/>
      </w:pPr>
      <w:bookmarkStart w:id="8353" w:name="_Ref58764069"/>
      <w:r>
        <w:rPr>
          <w:rFonts w:hint="cs"/>
          <w:rtl/>
        </w:rPr>
        <w:t xml:space="preserve">אך דחה </w:t>
      </w:r>
      <w:r w:rsidRPr="007028BB">
        <w:rPr>
          <w:rStyle w:val="af9"/>
          <w:rFonts w:hint="cs"/>
          <w:rtl/>
        </w:rPr>
        <w:t>הרא"ש</w:t>
      </w:r>
      <w:r w:rsidRPr="00DE5480">
        <w:rPr>
          <w:rStyle w:val="af7"/>
          <w:rFonts w:eastAsia="Guttman Hodes" w:hint="cs"/>
          <w:rtl/>
        </w:rPr>
        <w:t xml:space="preserve"> (סי' ז') </w:t>
      </w:r>
      <w:r>
        <w:rPr>
          <w:rFonts w:hint="cs"/>
          <w:rtl/>
        </w:rPr>
        <w:t xml:space="preserve">את דברי </w:t>
      </w:r>
      <w:r w:rsidRPr="00A21272">
        <w:rPr>
          <w:rStyle w:val="af9"/>
          <w:rFonts w:hint="cs"/>
          <w:rtl/>
        </w:rPr>
        <w:t xml:space="preserve">הרשב"ם </w:t>
      </w:r>
      <w:r>
        <w:rPr>
          <w:rFonts w:hint="cs"/>
          <w:rtl/>
        </w:rPr>
        <w:t>דלא מוכח מדברי המחזיק, דהודה שהקרקע הייתה של המערער, אלא מבואר מדברי המחזיק שרק שמע כן מפי המוכר, דאמר לו שקנה את הקרקע מהמערער</w:t>
      </w:r>
      <w:r w:rsidRPr="00783DB6">
        <w:rPr>
          <w:rFonts w:hint="cs"/>
          <w:rtl/>
        </w:rPr>
        <w:t>.</w:t>
      </w:r>
      <w:bookmarkEnd w:id="8353"/>
      <w:r w:rsidRPr="00783DB6">
        <w:rPr>
          <w:rFonts w:hint="cs"/>
          <w:rtl/>
        </w:rPr>
        <w:t xml:space="preserve"> </w:t>
      </w:r>
    </w:p>
    <w:p w:rsidR="0007171D" w:rsidRPr="001E75E3" w:rsidRDefault="0007171D" w:rsidP="0007171D">
      <w:pPr>
        <w:pStyle w:val="1"/>
        <w:rPr>
          <w:rtl/>
        </w:rPr>
      </w:pPr>
      <w:bookmarkStart w:id="8354" w:name="_Toc58938223"/>
      <w:bookmarkStart w:id="8355" w:name="_Toc59007013"/>
      <w:bookmarkStart w:id="8356" w:name="_Toc59013491"/>
      <w:bookmarkStart w:id="8357" w:name="_Toc59013739"/>
      <w:bookmarkStart w:id="8358" w:name="_Toc59025805"/>
      <w:r>
        <w:rPr>
          <w:rFonts w:hint="cs"/>
          <w:rtl/>
        </w:rPr>
        <w:t>קושית הרא"ש על הרשב"ם דהמחזיק יהיה נאמן במיגו דלהד"ם</w:t>
      </w:r>
      <w:bookmarkEnd w:id="8354"/>
      <w:bookmarkEnd w:id="8355"/>
      <w:bookmarkEnd w:id="8356"/>
      <w:bookmarkEnd w:id="8357"/>
      <w:bookmarkEnd w:id="8358"/>
    </w:p>
    <w:p w:rsidR="0007171D" w:rsidRPr="005347B3" w:rsidRDefault="0007171D" w:rsidP="0007171D">
      <w:pPr>
        <w:pStyle w:val="a3"/>
      </w:pPr>
      <w:bookmarkStart w:id="8359" w:name="_Toc58930018"/>
      <w:bookmarkStart w:id="8360" w:name="_Toc58938224"/>
      <w:bookmarkStart w:id="8361" w:name="_Toc59007014"/>
      <w:bookmarkStart w:id="8362" w:name="_Toc59013492"/>
      <w:bookmarkStart w:id="8363" w:name="_Toc59013740"/>
      <w:bookmarkStart w:id="8364" w:name="_Toc59025806"/>
      <w:r>
        <w:rPr>
          <w:rFonts w:hint="cs"/>
          <w:rtl/>
        </w:rPr>
        <w:t>קושית הרא"ש על הרשב"ם דכיון שהמוכר היה נאמן במיגו דלהד"ם המחזיק שמכחו ג"כ נאמן</w:t>
      </w:r>
      <w:bookmarkEnd w:id="8359"/>
      <w:bookmarkEnd w:id="8360"/>
      <w:bookmarkEnd w:id="8361"/>
      <w:bookmarkEnd w:id="8362"/>
      <w:bookmarkEnd w:id="8363"/>
      <w:bookmarkEnd w:id="8364"/>
    </w:p>
    <w:p w:rsidR="0007171D" w:rsidRPr="00BD09EB" w:rsidRDefault="0007171D" w:rsidP="007E4E81">
      <w:pPr>
        <w:pStyle w:val="a0"/>
      </w:pPr>
      <w:bookmarkStart w:id="8365" w:name="_Ref58834676"/>
      <w:r>
        <w:rPr>
          <w:rFonts w:hint="cs"/>
          <w:rtl/>
        </w:rPr>
        <w:t xml:space="preserve">ועוד הקשה </w:t>
      </w:r>
      <w:r w:rsidRPr="008635DD">
        <w:rPr>
          <w:rStyle w:val="af9"/>
          <w:rFonts w:hint="cs"/>
          <w:rtl/>
        </w:rPr>
        <w:t>הרא"ש</w:t>
      </w:r>
      <w:r>
        <w:rPr>
          <w:rFonts w:hint="cs"/>
          <w:rtl/>
        </w:rPr>
        <w:t xml:space="preserve"> </w:t>
      </w:r>
      <w:r w:rsidRPr="005E2307">
        <w:rPr>
          <w:rStyle w:val="af7"/>
          <w:rFonts w:eastAsia="Guttman Hodes" w:hint="cs"/>
          <w:rtl/>
        </w:rPr>
        <w:t>(סי' ז')</w:t>
      </w:r>
      <w:r>
        <w:rPr>
          <w:rFonts w:hint="cs"/>
          <w:rtl/>
        </w:rPr>
        <w:t xml:space="preserve"> על </w:t>
      </w:r>
      <w:r w:rsidRPr="00775FC8">
        <w:rPr>
          <w:rStyle w:val="af9"/>
          <w:rFonts w:hint="cs"/>
          <w:rtl/>
        </w:rPr>
        <w:t>הרשב"ם</w:t>
      </w:r>
      <w:r>
        <w:rPr>
          <w:rFonts w:hint="cs"/>
          <w:rtl/>
        </w:rPr>
        <w:t xml:space="preserve"> </w:t>
      </w:r>
      <w:r w:rsidRPr="00A03D1F">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Ref58318209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Pr>
          <w:rStyle w:val="af7"/>
          <w:rFonts w:eastAsia="Guttman Hodes"/>
          <w:rtl/>
        </w:rPr>
        <w:fldChar w:fldCharType="end"/>
      </w:r>
      <w:r>
        <w:rPr>
          <w:rFonts w:hint="cs"/>
          <w:rtl/>
        </w:rPr>
        <w:t xml:space="preserve"> דהא כיון שאם היה המוכר לפנינו והיה טוען שלך הייתה </w:t>
      </w:r>
      <w:r w:rsidRPr="00BD09EB">
        <w:rPr>
          <w:rFonts w:hint="cs"/>
          <w:rtl/>
        </w:rPr>
        <w:t>ולקחתיה ממך, הוא היה נאמן במיגו דלא הייתה שלך מעולם, א"כ אף המחזיק שבא מכחו, ג"כ צריך להיות נאמן בטענה זו</w:t>
      </w:r>
      <w:r w:rsidRPr="00662EDA">
        <w:rPr>
          <w:vertAlign w:val="superscript"/>
          <w:rtl/>
        </w:rPr>
        <w:fldChar w:fldCharType="begin"/>
      </w:r>
      <w:r w:rsidRPr="00662EDA">
        <w:rPr>
          <w:vertAlign w:val="superscript"/>
          <w:rtl/>
        </w:rPr>
        <w:instrText xml:space="preserve"> </w:instrText>
      </w:r>
      <w:r w:rsidRPr="00662EDA">
        <w:rPr>
          <w:rFonts w:hint="cs"/>
          <w:vertAlign w:val="superscript"/>
        </w:rPr>
        <w:instrText>NOTEREF</w:instrText>
      </w:r>
      <w:r w:rsidRPr="00662EDA">
        <w:rPr>
          <w:rFonts w:hint="cs"/>
          <w:vertAlign w:val="superscript"/>
          <w:rtl/>
        </w:rPr>
        <w:instrText xml:space="preserve"> _</w:instrText>
      </w:r>
      <w:r w:rsidRPr="00662EDA">
        <w:rPr>
          <w:rFonts w:hint="cs"/>
          <w:vertAlign w:val="superscript"/>
        </w:rPr>
        <w:instrText>Ref58937138 \h</w:instrText>
      </w:r>
      <w:r w:rsidRPr="00662EDA">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662EDA">
        <w:rPr>
          <w:vertAlign w:val="superscript"/>
          <w:rtl/>
        </w:rPr>
      </w:r>
      <w:r w:rsidRPr="00662EDA">
        <w:rPr>
          <w:vertAlign w:val="superscript"/>
          <w:rtl/>
        </w:rPr>
        <w:fldChar w:fldCharType="separate"/>
      </w:r>
      <w:r w:rsidR="00265073">
        <w:rPr>
          <w:vertAlign w:val="superscript"/>
          <w:rtl/>
        </w:rPr>
        <w:t>55</w:t>
      </w:r>
      <w:r w:rsidRPr="00662EDA">
        <w:rPr>
          <w:vertAlign w:val="superscript"/>
          <w:rtl/>
        </w:rPr>
        <w:fldChar w:fldCharType="end"/>
      </w:r>
      <w:r>
        <w:rPr>
          <w:rFonts w:hint="cs"/>
          <w:rtl/>
        </w:rPr>
        <w:t xml:space="preserve">, </w:t>
      </w:r>
      <w:r w:rsidRPr="00BD09EB">
        <w:rPr>
          <w:rFonts w:hint="cs"/>
          <w:rtl/>
        </w:rPr>
        <w:t xml:space="preserve">ועי' במה </w:t>
      </w:r>
      <w:r>
        <w:rPr>
          <w:rFonts w:hint="cs"/>
          <w:rtl/>
        </w:rPr>
        <w:t>שביארו</w:t>
      </w:r>
      <w:r w:rsidRPr="00BD09EB">
        <w:rPr>
          <w:rFonts w:hint="cs"/>
          <w:rtl/>
        </w:rPr>
        <w:t xml:space="preserve"> </w:t>
      </w:r>
      <w:r w:rsidRPr="00BD09EB">
        <w:rPr>
          <w:rStyle w:val="af9"/>
          <w:rFonts w:hint="cs"/>
          <w:rtl/>
        </w:rPr>
        <w:t>המשל"מ</w:t>
      </w:r>
      <w:r w:rsidRPr="00BD09EB">
        <w:rPr>
          <w:rFonts w:hint="cs"/>
          <w:rtl/>
        </w:rPr>
        <w:t xml:space="preserve"> </w:t>
      </w:r>
      <w:r w:rsidRPr="00BD09EB">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Ref58939554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Pr>
          <w:rStyle w:val="af7"/>
          <w:rFonts w:eastAsia="Guttman Hodes"/>
          <w:rtl/>
        </w:rPr>
        <w:fldChar w:fldCharType="end"/>
      </w:r>
      <w:r w:rsidRPr="00BD09EB">
        <w:rPr>
          <w:rFonts w:hint="cs"/>
          <w:rtl/>
        </w:rPr>
        <w:t xml:space="preserve">, ובמ"ש בזה </w:t>
      </w:r>
      <w:r w:rsidRPr="00BD09EB">
        <w:rPr>
          <w:rStyle w:val="af9"/>
          <w:rFonts w:hint="cs"/>
          <w:rtl/>
        </w:rPr>
        <w:t>הגרנ"ט</w:t>
      </w:r>
      <w:r w:rsidRPr="00BD09EB">
        <w:rPr>
          <w:rFonts w:hint="cs"/>
          <w:rtl/>
        </w:rPr>
        <w:t xml:space="preserve"> </w:t>
      </w:r>
      <w:r w:rsidRPr="00BD09EB">
        <w:rPr>
          <w:rStyle w:val="af7"/>
          <w:rFonts w:eastAsia="Guttman Hodes" w:hint="cs"/>
          <w:rtl/>
        </w:rPr>
        <w:t>(</w:t>
      </w:r>
      <w:r w:rsidRPr="00C80878">
        <w:rPr>
          <w:rStyle w:val="af7"/>
          <w:rFonts w:eastAsia="Guttman Hodes" w:hint="cs"/>
          <w:rtl/>
        </w:rPr>
        <w:t xml:space="preserve">עי' אות </w:t>
      </w:r>
      <w:r w:rsidRPr="00C80878">
        <w:rPr>
          <w:rStyle w:val="af7"/>
          <w:rFonts w:eastAsia="Guttman Hodes"/>
          <w:rtl/>
        </w:rPr>
        <w:fldChar w:fldCharType="begin"/>
      </w:r>
      <w:r w:rsidRPr="00C80878">
        <w:rPr>
          <w:rStyle w:val="af7"/>
          <w:rFonts w:eastAsia="Guttman Hodes"/>
          <w:rtl/>
        </w:rPr>
        <w:instrText xml:space="preserve"> </w:instrText>
      </w:r>
      <w:r w:rsidRPr="00C80878">
        <w:rPr>
          <w:rStyle w:val="af7"/>
          <w:rFonts w:eastAsia="Guttman Hodes" w:hint="cs"/>
        </w:rPr>
        <w:instrText>REF</w:instrText>
      </w:r>
      <w:r w:rsidRPr="00C80878">
        <w:rPr>
          <w:rStyle w:val="af7"/>
          <w:rFonts w:eastAsia="Guttman Hodes" w:hint="cs"/>
          <w:rtl/>
        </w:rPr>
        <w:instrText xml:space="preserve"> _</w:instrText>
      </w:r>
      <w:r w:rsidRPr="00C80878">
        <w:rPr>
          <w:rStyle w:val="af7"/>
          <w:rFonts w:eastAsia="Guttman Hodes" w:hint="cs"/>
        </w:rPr>
        <w:instrText>Ref58836409 \r \h</w:instrText>
      </w:r>
      <w:r w:rsidRPr="00C80878">
        <w:rPr>
          <w:rStyle w:val="af7"/>
          <w:rFonts w:eastAsia="Guttman Hodes"/>
          <w:rtl/>
        </w:rPr>
        <w:instrText xml:space="preserve"> </w:instrText>
      </w:r>
      <w:r w:rsidRPr="00C80878">
        <w:rPr>
          <w:rStyle w:val="af7"/>
          <w:rFonts w:eastAsia="Guttman Hodes"/>
          <w:rtl/>
        </w:rPr>
      </w:r>
      <w:r w:rsidRPr="00C80878">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C80878">
        <w:rPr>
          <w:rStyle w:val="af7"/>
          <w:rFonts w:eastAsia="Guttman Hodes"/>
          <w:rtl/>
        </w:rPr>
        <w:fldChar w:fldCharType="end"/>
      </w:r>
      <w:r w:rsidRPr="00C80878">
        <w:rPr>
          <w:rFonts w:hint="cs"/>
          <w:rtl/>
        </w:rPr>
        <w:t xml:space="preserve"> </w:t>
      </w:r>
      <w:r>
        <w:rPr>
          <w:rStyle w:val="af9"/>
          <w:rFonts w:hint="cs"/>
          <w:rtl/>
        </w:rPr>
        <w:t>ו</w:t>
      </w:r>
      <w:r>
        <w:rPr>
          <w:rStyle w:val="af9"/>
          <w:rtl/>
        </w:rPr>
        <w:t>בחי' רבי נחום</w:t>
      </w:r>
      <w:r>
        <w:rPr>
          <w:rStyle w:val="af7"/>
          <w:rFonts w:eastAsiaTheme="minorHAnsi" w:hint="cs"/>
          <w:rtl/>
        </w:rPr>
        <w:t xml:space="preserve"> (עי' אות </w:t>
      </w:r>
      <w:r>
        <w:rPr>
          <w:rStyle w:val="af7"/>
          <w:rFonts w:eastAsiaTheme="minorHAnsi"/>
          <w:rtl/>
        </w:rPr>
        <w:fldChar w:fldCharType="begin"/>
      </w:r>
      <w:r>
        <w:rPr>
          <w:rStyle w:val="af7"/>
          <w:rFonts w:eastAsiaTheme="minorHAnsi"/>
          <w:rtl/>
        </w:rPr>
        <w:instrText xml:space="preserve"> </w:instrText>
      </w:r>
      <w:r>
        <w:rPr>
          <w:rStyle w:val="af7"/>
          <w:rFonts w:eastAsiaTheme="minorHAnsi" w:hint="cs"/>
        </w:rPr>
        <w:instrText>REF</w:instrText>
      </w:r>
      <w:r>
        <w:rPr>
          <w:rStyle w:val="af7"/>
          <w:rFonts w:eastAsiaTheme="minorHAnsi" w:hint="cs"/>
          <w:rtl/>
        </w:rPr>
        <w:instrText xml:space="preserve"> _</w:instrText>
      </w:r>
      <w:r>
        <w:rPr>
          <w:rStyle w:val="af7"/>
          <w:rFonts w:eastAsiaTheme="minorHAnsi" w:hint="cs"/>
        </w:rPr>
        <w:instrText>Ref59021834 \r \h</w:instrText>
      </w:r>
      <w:r>
        <w:rPr>
          <w:rStyle w:val="af7"/>
          <w:rFonts w:eastAsiaTheme="minorHAnsi"/>
          <w:rtl/>
        </w:rPr>
        <w:instrText xml:space="preserve"> </w:instrText>
      </w:r>
      <w:r>
        <w:rPr>
          <w:rStyle w:val="af7"/>
          <w:rFonts w:eastAsiaTheme="minorHAnsi"/>
          <w:rtl/>
        </w:rPr>
      </w:r>
      <w:r>
        <w:rPr>
          <w:rStyle w:val="af7"/>
          <w:rFonts w:eastAsiaTheme="minorHAnsi"/>
          <w:rtl/>
        </w:rPr>
        <w:fldChar w:fldCharType="separate"/>
      </w:r>
      <w:r w:rsidR="00265073">
        <w:rPr>
          <w:rStyle w:val="af7"/>
          <w:rFonts w:eastAsiaTheme="minorHAnsi"/>
          <w:cs/>
        </w:rPr>
        <w:t>‎</w:t>
      </w:r>
      <w:r w:rsidR="00265073">
        <w:rPr>
          <w:rStyle w:val="af7"/>
          <w:rFonts w:eastAsiaTheme="minorHAnsi"/>
          <w:rtl/>
        </w:rPr>
        <w:t>צד)</w:t>
      </w:r>
      <w:r>
        <w:rPr>
          <w:rStyle w:val="af7"/>
          <w:rFonts w:eastAsiaTheme="minorHAnsi"/>
          <w:rtl/>
        </w:rPr>
        <w:fldChar w:fldCharType="end"/>
      </w:r>
      <w:r>
        <w:rPr>
          <w:rFonts w:hint="cs"/>
          <w:rtl/>
        </w:rPr>
        <w:t xml:space="preserve">, ובמה שביאר </w:t>
      </w:r>
      <w:r w:rsidRPr="00266814">
        <w:rPr>
          <w:rStyle w:val="af9"/>
          <w:rFonts w:hint="cs"/>
          <w:rtl/>
        </w:rPr>
        <w:t xml:space="preserve">בחי' רבי נחום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Ref58922953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Pr>
          <w:rStyle w:val="af7"/>
          <w:rFonts w:eastAsia="Guttman Hodes"/>
          <w:rtl/>
        </w:rPr>
        <w:fldChar w:fldCharType="end"/>
      </w:r>
      <w:r>
        <w:rPr>
          <w:rStyle w:val="af7"/>
          <w:rFonts w:eastAsia="Guttman Hodes" w:hint="cs"/>
          <w:rtl/>
        </w:rPr>
        <w:t xml:space="preserve"> </w:t>
      </w:r>
      <w:r>
        <w:rPr>
          <w:rFonts w:hint="cs"/>
          <w:rtl/>
        </w:rPr>
        <w:t xml:space="preserve">במסקנת דבריו דכוונת </w:t>
      </w:r>
      <w:r w:rsidRPr="00F84862">
        <w:rPr>
          <w:rStyle w:val="af9"/>
          <w:rFonts w:hint="cs"/>
          <w:rtl/>
        </w:rPr>
        <w:t>הרא"ש</w:t>
      </w:r>
      <w:r>
        <w:rPr>
          <w:rFonts w:hint="cs"/>
          <w:rtl/>
        </w:rPr>
        <w:t xml:space="preserve"> להקשות דכח הטענה של המיגו של המוכר, יועיל למחזיק</w:t>
      </w:r>
      <w:r w:rsidRPr="00BD09EB">
        <w:rPr>
          <w:rFonts w:hint="cs"/>
          <w:rtl/>
        </w:rPr>
        <w:t>.</w:t>
      </w:r>
      <w:bookmarkEnd w:id="8365"/>
    </w:p>
    <w:p w:rsidR="0007171D" w:rsidRPr="00BD09EB" w:rsidRDefault="0007171D" w:rsidP="0007171D">
      <w:pPr>
        <w:pStyle w:val="a3"/>
        <w:rPr>
          <w:rtl/>
        </w:rPr>
      </w:pPr>
      <w:bookmarkStart w:id="8366" w:name="_Toc58876184"/>
      <w:bookmarkStart w:id="8367" w:name="_Toc58877592"/>
      <w:bookmarkStart w:id="8368" w:name="_Toc58914651"/>
      <w:bookmarkStart w:id="8369" w:name="_Toc58925945"/>
      <w:bookmarkStart w:id="8370" w:name="_Toc58930019"/>
      <w:bookmarkStart w:id="8371" w:name="_Toc58938225"/>
      <w:bookmarkStart w:id="8372" w:name="_Toc59007015"/>
      <w:bookmarkStart w:id="8373" w:name="_Toc59013493"/>
      <w:bookmarkStart w:id="8374" w:name="_Toc59013741"/>
      <w:bookmarkStart w:id="8375" w:name="_Toc59025807"/>
      <w:r>
        <w:rPr>
          <w:rFonts w:hint="cs"/>
          <w:rtl/>
        </w:rPr>
        <w:t>דברי הרא"ש בשם רבינו יונה דאיירי שהמחזיק הודה מעצמו ולכן אין ספק מוציא מידי ודאי</w:t>
      </w:r>
      <w:bookmarkEnd w:id="8366"/>
      <w:bookmarkEnd w:id="8367"/>
      <w:bookmarkEnd w:id="8368"/>
      <w:bookmarkEnd w:id="8369"/>
      <w:bookmarkEnd w:id="8370"/>
      <w:bookmarkEnd w:id="8371"/>
      <w:bookmarkEnd w:id="8372"/>
      <w:bookmarkEnd w:id="8373"/>
      <w:bookmarkEnd w:id="8374"/>
      <w:bookmarkEnd w:id="8375"/>
    </w:p>
    <w:p w:rsidR="0007171D" w:rsidRDefault="0007171D" w:rsidP="007E4E81">
      <w:pPr>
        <w:pStyle w:val="a0"/>
        <w:rPr>
          <w:rtl/>
        </w:rPr>
      </w:pPr>
      <w:bookmarkStart w:id="8376" w:name="_Ref58319438"/>
      <w:bookmarkStart w:id="8377" w:name="_Ref58750015"/>
      <w:bookmarkStart w:id="8378" w:name="_Ref59024352"/>
      <w:r w:rsidRPr="00FA0033">
        <w:rPr>
          <w:rStyle w:val="a8"/>
          <w:rFonts w:hint="cs"/>
          <w:rtl/>
        </w:rPr>
        <w:t xml:space="preserve">והביא </w:t>
      </w:r>
      <w:r w:rsidRPr="00BD09EB">
        <w:rPr>
          <w:rStyle w:val="af9"/>
          <w:rFonts w:hint="cs"/>
          <w:rtl/>
        </w:rPr>
        <w:t>הרא"ש</w:t>
      </w:r>
      <w:r w:rsidRPr="00BD09EB">
        <w:rPr>
          <w:rFonts w:hint="cs"/>
          <w:rtl/>
        </w:rPr>
        <w:t xml:space="preserve"> </w:t>
      </w:r>
      <w:r w:rsidRPr="00FA0033">
        <w:rPr>
          <w:rStyle w:val="a8"/>
          <w:rFonts w:hint="cs"/>
          <w:rtl/>
        </w:rPr>
        <w:t xml:space="preserve">את דברי </w:t>
      </w:r>
      <w:r w:rsidRPr="00BD09EB">
        <w:rPr>
          <w:rStyle w:val="af9"/>
          <w:rtl/>
        </w:rPr>
        <w:t>רבינו יונה</w:t>
      </w:r>
      <w:r w:rsidRPr="00BD09EB">
        <w:rPr>
          <w:rStyle w:val="af7"/>
          <w:rFonts w:eastAsia="Guttman Hodes" w:hint="cs"/>
          <w:rtl/>
        </w:rPr>
        <w:t xml:space="preserve"> (עי' אות </w:t>
      </w:r>
      <w:r w:rsidRPr="00BD09EB">
        <w:rPr>
          <w:rStyle w:val="af7"/>
          <w:rFonts w:eastAsia="Guttman Hodes"/>
          <w:rtl/>
        </w:rPr>
        <w:fldChar w:fldCharType="begin"/>
      </w:r>
      <w:r w:rsidRPr="00BD09EB">
        <w:rPr>
          <w:rStyle w:val="af7"/>
          <w:rFonts w:eastAsia="Guttman Hodes"/>
          <w:rtl/>
        </w:rPr>
        <w:instrText xml:space="preserve"> </w:instrText>
      </w:r>
      <w:r w:rsidRPr="00BD09EB">
        <w:rPr>
          <w:rStyle w:val="af7"/>
          <w:rFonts w:eastAsia="Guttman Hodes" w:hint="cs"/>
        </w:rPr>
        <w:instrText>REF</w:instrText>
      </w:r>
      <w:r w:rsidRPr="00BD09EB">
        <w:rPr>
          <w:rStyle w:val="af7"/>
          <w:rFonts w:eastAsia="Guttman Hodes" w:hint="cs"/>
          <w:rtl/>
        </w:rPr>
        <w:instrText xml:space="preserve"> _</w:instrText>
      </w:r>
      <w:r w:rsidRPr="00BD09EB">
        <w:rPr>
          <w:rStyle w:val="af7"/>
          <w:rFonts w:eastAsia="Guttman Hodes" w:hint="cs"/>
        </w:rPr>
        <w:instrText>Ref57910792 \r \h</w:instrText>
      </w:r>
      <w:r w:rsidRPr="00BD09E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D09EB">
        <w:rPr>
          <w:rStyle w:val="af7"/>
          <w:rFonts w:eastAsia="Guttman Hodes"/>
          <w:rtl/>
        </w:rPr>
      </w:r>
      <w:r w:rsidRPr="00BD09EB">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BD09EB">
        <w:rPr>
          <w:rStyle w:val="af7"/>
          <w:rFonts w:eastAsia="Guttman Hodes"/>
          <w:rtl/>
        </w:rPr>
        <w:fldChar w:fldCharType="end"/>
      </w:r>
      <w:r w:rsidRPr="00BD09EB">
        <w:rPr>
          <w:rStyle w:val="af7"/>
          <w:rFonts w:eastAsia="Guttman Hodes" w:hint="cs"/>
          <w:rtl/>
        </w:rPr>
        <w:t xml:space="preserve"> </w:t>
      </w:r>
      <w:r w:rsidRPr="00FA0033">
        <w:rPr>
          <w:rStyle w:val="a8"/>
          <w:rFonts w:hint="cs"/>
          <w:rtl/>
        </w:rPr>
        <w:t>דכתב דאיירי שהמחזיק הודה שהוא ידע שהקרקע הייתה של המערער, גם לפני ששמע כן מהמוכר, ולכן אמר לו המערער דכיון שאתה יודע בודאות שהקרקע הייתה שלי, ואינך יודע שהייתה של המוכר, ורק שמעת כן ממנו, א"כ אין לך לסמוך על דבריו, ולהניח את הודאי מפני הספק</w:t>
      </w:r>
      <w:bookmarkEnd w:id="8376"/>
      <w:r w:rsidRPr="00FA0033">
        <w:rPr>
          <w:rStyle w:val="a8"/>
          <w:rFonts w:hint="cs"/>
          <w:rtl/>
        </w:rPr>
        <w:t>,</w:t>
      </w:r>
      <w:bookmarkEnd w:id="8377"/>
      <w:r w:rsidRPr="00FA0033">
        <w:rPr>
          <w:rFonts w:hint="cs"/>
          <w:rtl/>
        </w:rPr>
        <w:t xml:space="preserve"> </w:t>
      </w:r>
      <w:bookmarkStart w:id="8379" w:name="_Ref58764353"/>
      <w:r w:rsidRPr="00783DB6">
        <w:rPr>
          <w:rFonts w:hint="cs"/>
          <w:rtl/>
        </w:rPr>
        <w:t xml:space="preserve">ועי' במה </w:t>
      </w:r>
      <w:r>
        <w:rPr>
          <w:rFonts w:hint="cs"/>
          <w:rtl/>
        </w:rPr>
        <w:t xml:space="preserve">שביארו </w:t>
      </w:r>
      <w:r w:rsidRPr="00783DB6">
        <w:rPr>
          <w:rStyle w:val="af9"/>
          <w:rFonts w:hint="cs"/>
          <w:rtl/>
        </w:rPr>
        <w:t>המשל"מ</w:t>
      </w:r>
      <w:r w:rsidRPr="00783DB6">
        <w:rPr>
          <w:rFonts w:hint="cs"/>
          <w:rtl/>
        </w:rPr>
        <w:t xml:space="preserve"> </w:t>
      </w:r>
      <w:r w:rsidRPr="00783DB6">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Ref58939572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Pr>
          <w:rStyle w:val="af7"/>
          <w:rFonts w:eastAsia="Guttman Hodes"/>
          <w:rtl/>
        </w:rPr>
        <w:fldChar w:fldCharType="end"/>
      </w:r>
      <w:r w:rsidRPr="00783DB6">
        <w:rPr>
          <w:rStyle w:val="af7"/>
          <w:rFonts w:eastAsia="Guttman Hodes" w:hint="cs"/>
          <w:rtl/>
        </w:rPr>
        <w:t xml:space="preserve"> </w:t>
      </w:r>
      <w:r w:rsidRPr="00445521">
        <w:rPr>
          <w:rStyle w:val="af9"/>
          <w:rFonts w:hint="cs"/>
          <w:rtl/>
        </w:rPr>
        <w:t>והאבהא"ז</w:t>
      </w:r>
      <w:r>
        <w:rPr>
          <w:rFonts w:hint="cs"/>
          <w:rtl/>
        </w:rPr>
        <w:t xml:space="preserve"> </w:t>
      </w:r>
      <w:r w:rsidRPr="00445521">
        <w:rPr>
          <w:rStyle w:val="af7"/>
          <w:rFonts w:eastAsia="Guttman Hodes" w:hint="cs"/>
          <w:rtl/>
        </w:rPr>
        <w:t xml:space="preserve">(עי' אות </w:t>
      </w:r>
      <w:r w:rsidRPr="00445521">
        <w:rPr>
          <w:rStyle w:val="af7"/>
          <w:rFonts w:eastAsia="Guttman Hodes"/>
          <w:rtl/>
        </w:rPr>
        <w:fldChar w:fldCharType="begin"/>
      </w:r>
      <w:r w:rsidRPr="00445521">
        <w:rPr>
          <w:rStyle w:val="af7"/>
          <w:rFonts w:eastAsia="Guttman Hodes"/>
          <w:rtl/>
        </w:rPr>
        <w:instrText xml:space="preserve"> </w:instrText>
      </w:r>
      <w:r w:rsidRPr="00445521">
        <w:rPr>
          <w:rStyle w:val="af7"/>
          <w:rFonts w:eastAsia="Guttman Hodes" w:hint="cs"/>
        </w:rPr>
        <w:instrText>REF</w:instrText>
      </w:r>
      <w:r w:rsidRPr="00445521">
        <w:rPr>
          <w:rStyle w:val="af7"/>
          <w:rFonts w:eastAsia="Guttman Hodes" w:hint="cs"/>
          <w:rtl/>
        </w:rPr>
        <w:instrText xml:space="preserve"> _</w:instrText>
      </w:r>
      <w:r w:rsidRPr="00445521">
        <w:rPr>
          <w:rStyle w:val="af7"/>
          <w:rFonts w:eastAsia="Guttman Hodes" w:hint="cs"/>
        </w:rPr>
        <w:instrText>Ref59024427 \r \h</w:instrText>
      </w:r>
      <w:r w:rsidRPr="00445521">
        <w:rPr>
          <w:rStyle w:val="af7"/>
          <w:rFonts w:eastAsia="Guttman Hodes"/>
          <w:rtl/>
        </w:rPr>
        <w:instrText xml:space="preserve"> </w:instrText>
      </w:r>
      <w:r w:rsidRPr="00445521">
        <w:rPr>
          <w:rStyle w:val="af7"/>
          <w:rFonts w:eastAsia="Guttman Hodes"/>
          <w:rtl/>
        </w:rPr>
      </w:r>
      <w:r w:rsidRPr="00445521">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445521">
        <w:rPr>
          <w:rStyle w:val="af7"/>
          <w:rFonts w:eastAsia="Guttman Hodes"/>
          <w:rtl/>
        </w:rPr>
        <w:fldChar w:fldCharType="end"/>
      </w:r>
      <w:r>
        <w:rPr>
          <w:rFonts w:hint="cs"/>
          <w:rtl/>
        </w:rPr>
        <w:t xml:space="preserve"> בדברי </w:t>
      </w:r>
      <w:r w:rsidRPr="002856CB">
        <w:rPr>
          <w:rStyle w:val="af9"/>
          <w:rFonts w:hint="cs"/>
          <w:rtl/>
        </w:rPr>
        <w:t>הרא"ש</w:t>
      </w:r>
      <w:r>
        <w:rPr>
          <w:rFonts w:hint="cs"/>
          <w:rtl/>
        </w:rPr>
        <w:t>,</w:t>
      </w:r>
      <w:r w:rsidRPr="00783DB6">
        <w:rPr>
          <w:rFonts w:hint="cs"/>
          <w:rtl/>
        </w:rPr>
        <w:t xml:space="preserve"> </w:t>
      </w:r>
      <w:r>
        <w:rPr>
          <w:rFonts w:hint="cs"/>
          <w:rtl/>
        </w:rPr>
        <w:t xml:space="preserve">ובמ"ש </w:t>
      </w:r>
      <w:r w:rsidRPr="00C77E6A">
        <w:rPr>
          <w:rStyle w:val="af9"/>
          <w:rFonts w:hint="cs"/>
          <w:rtl/>
        </w:rPr>
        <w:t xml:space="preserve">הגרנ"ט </w:t>
      </w:r>
      <w:r w:rsidRPr="00BD09EB">
        <w:rPr>
          <w:rStyle w:val="af7"/>
          <w:rFonts w:eastAsia="Guttman Hodes" w:hint="cs"/>
          <w:rtl/>
        </w:rPr>
        <w:t>(</w:t>
      </w:r>
      <w:r w:rsidRPr="00C80878">
        <w:rPr>
          <w:rStyle w:val="af7"/>
          <w:rFonts w:eastAsia="Guttman Hodes" w:hint="cs"/>
          <w:rtl/>
        </w:rPr>
        <w:t xml:space="preserve">עי' אות </w:t>
      </w:r>
      <w:r w:rsidRPr="00C80878">
        <w:rPr>
          <w:rStyle w:val="af7"/>
          <w:rFonts w:eastAsia="Guttman Hodes"/>
          <w:rtl/>
        </w:rPr>
        <w:fldChar w:fldCharType="begin"/>
      </w:r>
      <w:r w:rsidRPr="00C80878">
        <w:rPr>
          <w:rStyle w:val="af7"/>
          <w:rFonts w:eastAsia="Guttman Hodes"/>
          <w:rtl/>
        </w:rPr>
        <w:instrText xml:space="preserve"> </w:instrText>
      </w:r>
      <w:r w:rsidRPr="00C80878">
        <w:rPr>
          <w:rStyle w:val="af7"/>
          <w:rFonts w:eastAsia="Guttman Hodes" w:hint="cs"/>
        </w:rPr>
        <w:instrText>REF</w:instrText>
      </w:r>
      <w:r w:rsidRPr="00C80878">
        <w:rPr>
          <w:rStyle w:val="af7"/>
          <w:rFonts w:eastAsia="Guttman Hodes" w:hint="cs"/>
          <w:rtl/>
        </w:rPr>
        <w:instrText xml:space="preserve"> _</w:instrText>
      </w:r>
      <w:r w:rsidRPr="00C80878">
        <w:rPr>
          <w:rStyle w:val="af7"/>
          <w:rFonts w:eastAsia="Guttman Hodes" w:hint="cs"/>
        </w:rPr>
        <w:instrText>Ref58836409 \r \h</w:instrText>
      </w:r>
      <w:r w:rsidRPr="00C80878">
        <w:rPr>
          <w:rStyle w:val="af7"/>
          <w:rFonts w:eastAsia="Guttman Hodes"/>
          <w:rtl/>
        </w:rPr>
        <w:instrText xml:space="preserve"> </w:instrText>
      </w:r>
      <w:r w:rsidRPr="00C80878">
        <w:rPr>
          <w:rStyle w:val="af7"/>
          <w:rFonts w:eastAsia="Guttman Hodes"/>
          <w:rtl/>
        </w:rPr>
      </w:r>
      <w:r w:rsidRPr="00C80878">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C80878">
        <w:rPr>
          <w:rStyle w:val="af7"/>
          <w:rFonts w:eastAsia="Guttman Hodes"/>
          <w:rtl/>
        </w:rPr>
        <w:fldChar w:fldCharType="end"/>
      </w:r>
      <w:r>
        <w:rPr>
          <w:rFonts w:hint="cs"/>
          <w:rtl/>
        </w:rPr>
        <w:t>.</w:t>
      </w:r>
      <w:bookmarkEnd w:id="8378"/>
      <w:bookmarkEnd w:id="8379"/>
    </w:p>
    <w:p w:rsidR="0007171D" w:rsidRDefault="0007171D" w:rsidP="0007171D">
      <w:pPr>
        <w:pStyle w:val="1"/>
        <w:rPr>
          <w:rtl/>
        </w:rPr>
      </w:pPr>
      <w:bookmarkStart w:id="8380" w:name="_Toc58272566"/>
      <w:bookmarkStart w:id="8381" w:name="_Toc58325012"/>
      <w:bookmarkStart w:id="8382" w:name="_Toc58359157"/>
      <w:bookmarkStart w:id="8383" w:name="_Toc58409419"/>
      <w:bookmarkStart w:id="8384" w:name="_Toc58432813"/>
      <w:bookmarkStart w:id="8385" w:name="_Toc58580015"/>
      <w:bookmarkStart w:id="8386" w:name="_Toc58843021"/>
      <w:bookmarkStart w:id="8387" w:name="_Toc58876230"/>
      <w:bookmarkStart w:id="8388" w:name="_Toc58877643"/>
      <w:bookmarkStart w:id="8389" w:name="_Toc58914702"/>
      <w:bookmarkStart w:id="8390" w:name="_Toc58926003"/>
      <w:bookmarkStart w:id="8391" w:name="_Toc58930070"/>
      <w:bookmarkStart w:id="8392" w:name="_Toc58938226"/>
      <w:bookmarkStart w:id="8393" w:name="_Toc59007016"/>
      <w:bookmarkStart w:id="8394" w:name="_Toc59013494"/>
      <w:bookmarkStart w:id="8395" w:name="_Toc59013742"/>
      <w:bookmarkStart w:id="8396" w:name="_Toc59025808"/>
      <w:bookmarkEnd w:id="8326"/>
      <w:bookmarkEnd w:id="8327"/>
      <w:bookmarkEnd w:id="8328"/>
      <w:bookmarkEnd w:id="8347"/>
      <w:r>
        <w:rPr>
          <w:rFonts w:hint="cs"/>
          <w:rtl/>
        </w:rPr>
        <w:t>ביאור הרא"ש</w:t>
      </w:r>
      <w:bookmarkEnd w:id="8380"/>
      <w:bookmarkEnd w:id="8381"/>
      <w:bookmarkEnd w:id="8382"/>
      <w:bookmarkEnd w:id="8383"/>
      <w:bookmarkEnd w:id="8384"/>
      <w:bookmarkEnd w:id="8385"/>
      <w:bookmarkEnd w:id="8386"/>
      <w:bookmarkEnd w:id="8387"/>
      <w:bookmarkEnd w:id="8388"/>
      <w:bookmarkEnd w:id="8389"/>
      <w:bookmarkEnd w:id="8390"/>
      <w:bookmarkEnd w:id="8391"/>
      <w:r>
        <w:rPr>
          <w:rFonts w:hint="cs"/>
          <w:rtl/>
        </w:rPr>
        <w:t xml:space="preserve"> דהמחזיק ירא לטעון טענת להד"ם ואין לו מיגו</w:t>
      </w:r>
      <w:bookmarkEnd w:id="8392"/>
      <w:bookmarkEnd w:id="8393"/>
      <w:bookmarkEnd w:id="8394"/>
      <w:bookmarkEnd w:id="8395"/>
      <w:bookmarkEnd w:id="8396"/>
    </w:p>
    <w:p w:rsidR="0007171D" w:rsidRPr="0008365E" w:rsidRDefault="0007171D" w:rsidP="0007171D">
      <w:pPr>
        <w:pStyle w:val="a3"/>
        <w:rPr>
          <w:rtl/>
        </w:rPr>
      </w:pPr>
      <w:bookmarkStart w:id="8397" w:name="_Toc58938227"/>
      <w:bookmarkStart w:id="8398" w:name="_Toc59007017"/>
      <w:bookmarkStart w:id="8399" w:name="_Toc59013495"/>
      <w:bookmarkStart w:id="8400" w:name="_Toc59013743"/>
      <w:bookmarkStart w:id="8401" w:name="_Toc59025809"/>
      <w:r>
        <w:rPr>
          <w:rFonts w:hint="cs"/>
          <w:rtl/>
        </w:rPr>
        <w:t>דברי הרא"ש דהמחזיק ירא לטעון להד"ם שמא יש לו עדים ואף שהמוכר נאמן אין המחזיק נאמן</w:t>
      </w:r>
      <w:bookmarkEnd w:id="8397"/>
      <w:bookmarkEnd w:id="8398"/>
      <w:bookmarkEnd w:id="8399"/>
      <w:bookmarkEnd w:id="8400"/>
      <w:bookmarkEnd w:id="8401"/>
    </w:p>
    <w:p w:rsidR="0007171D" w:rsidRDefault="0007171D" w:rsidP="007E4E81">
      <w:pPr>
        <w:pStyle w:val="a0"/>
        <w:rPr>
          <w:rtl/>
        </w:rPr>
      </w:pPr>
      <w:bookmarkStart w:id="8402" w:name="_Ref57911051"/>
      <w:r>
        <w:rPr>
          <w:rFonts w:hint="cs"/>
          <w:rtl/>
        </w:rPr>
        <w:t xml:space="preserve">וכתב </w:t>
      </w:r>
      <w:r w:rsidRPr="00AD2CFE">
        <w:rPr>
          <w:rStyle w:val="af9"/>
          <w:rFonts w:hint="cs"/>
          <w:rtl/>
        </w:rPr>
        <w:t>הרא"ש</w:t>
      </w:r>
      <w:r>
        <w:rPr>
          <w:rFonts w:hint="cs"/>
          <w:rtl/>
        </w:rPr>
        <w:t xml:space="preserve"> </w:t>
      </w:r>
      <w:r w:rsidRPr="00AD2CFE">
        <w:rPr>
          <w:rStyle w:val="af7"/>
          <w:rFonts w:eastAsia="Guttman Hodes" w:hint="cs"/>
          <w:rtl/>
        </w:rPr>
        <w:t>(סי' ז')</w:t>
      </w:r>
      <w:r>
        <w:rPr>
          <w:rFonts w:hint="cs"/>
          <w:rtl/>
        </w:rPr>
        <w:t xml:space="preserve"> דנראה לבאר דאף שהמוכר היה נאמן במיגו דהיה טוען דלא הייתה של המערער מעולם, מ"מ למחזיק אינו מיגו טוב, דיותר ניחא למחזיק לומר שהוא קנה מהמוכר שמכרה לו, כיון שהוא סובר שימצא עדים שהמערער מכרה למוכר, והוא ירא לטעון </w:t>
      </w:r>
      <w:r>
        <w:rPr>
          <w:rFonts w:hint="cs"/>
          <w:rtl/>
        </w:rPr>
        <w:lastRenderedPageBreak/>
        <w:t>שלא הייתה של המערער מעולם, שמא ימצא המערער עדים שהייתה שלו</w:t>
      </w:r>
      <w:r>
        <w:rPr>
          <w:rStyle w:val="af1"/>
          <w:rtl/>
        </w:rPr>
        <w:footnoteReference w:id="57"/>
      </w:r>
      <w:r>
        <w:rPr>
          <w:rFonts w:hint="cs"/>
          <w:rtl/>
        </w:rPr>
        <w:t xml:space="preserve">, </w:t>
      </w:r>
      <w:r w:rsidRPr="009307A2">
        <w:rPr>
          <w:rFonts w:hint="cs"/>
          <w:rtl/>
        </w:rPr>
        <w:t xml:space="preserve">ועי' במה </w:t>
      </w:r>
      <w:r>
        <w:rPr>
          <w:rFonts w:hint="cs"/>
          <w:rtl/>
        </w:rPr>
        <w:t xml:space="preserve">שביאר </w:t>
      </w:r>
      <w:r>
        <w:rPr>
          <w:rStyle w:val="af9"/>
          <w:rFonts w:hint="cs"/>
          <w:rtl/>
        </w:rPr>
        <w:t>ה</w:t>
      </w:r>
      <w:r w:rsidRPr="009307A2">
        <w:rPr>
          <w:rStyle w:val="af9"/>
          <w:rFonts w:hint="cs"/>
          <w:rtl/>
        </w:rPr>
        <w:t>משל"מ</w:t>
      </w:r>
      <w:r w:rsidRPr="009307A2">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Ref58939582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נט)</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B034E4">
        <w:rPr>
          <w:rStyle w:val="af9"/>
          <w:rFonts w:hint="cs"/>
          <w:rtl/>
        </w:rPr>
        <w:t>הרא"ש</w:t>
      </w:r>
      <w:r>
        <w:rPr>
          <w:rFonts w:hint="cs"/>
          <w:rtl/>
        </w:rPr>
        <w:t>, ובמ"ש</w:t>
      </w:r>
      <w:r>
        <w:rPr>
          <w:rStyle w:val="af9"/>
          <w:rFonts w:hint="cs"/>
          <w:rtl/>
        </w:rPr>
        <w:t xml:space="preserve"> </w:t>
      </w:r>
      <w:r w:rsidRPr="000251E9">
        <w:rPr>
          <w:rStyle w:val="af9"/>
          <w:rFonts w:hint="cs"/>
          <w:rtl/>
        </w:rPr>
        <w:t>המהרי"ט</w:t>
      </w:r>
      <w:r>
        <w:rPr>
          <w:rFonts w:hint="cs"/>
          <w:rtl/>
        </w:rPr>
        <w:t xml:space="preserve"> </w:t>
      </w:r>
      <w:r w:rsidRPr="000251E9">
        <w:rPr>
          <w:rStyle w:val="af7"/>
          <w:rFonts w:eastAsia="Guttman Hodes" w:hint="cs"/>
          <w:rtl/>
        </w:rPr>
        <w:t xml:space="preserve">(עי' אות </w:t>
      </w:r>
      <w:r w:rsidRPr="000251E9">
        <w:rPr>
          <w:rStyle w:val="af7"/>
          <w:rFonts w:eastAsia="Guttman Hodes"/>
          <w:rtl/>
        </w:rPr>
        <w:fldChar w:fldCharType="begin"/>
      </w:r>
      <w:r w:rsidRPr="000251E9">
        <w:rPr>
          <w:rStyle w:val="af7"/>
          <w:rFonts w:eastAsia="Guttman Hodes"/>
          <w:rtl/>
        </w:rPr>
        <w:instrText xml:space="preserve"> </w:instrText>
      </w:r>
      <w:r w:rsidRPr="000251E9">
        <w:rPr>
          <w:rStyle w:val="af7"/>
          <w:rFonts w:eastAsia="Guttman Hodes" w:hint="cs"/>
        </w:rPr>
        <w:instrText>REF</w:instrText>
      </w:r>
      <w:r w:rsidRPr="000251E9">
        <w:rPr>
          <w:rStyle w:val="af7"/>
          <w:rFonts w:eastAsia="Guttman Hodes" w:hint="cs"/>
          <w:rtl/>
        </w:rPr>
        <w:instrText xml:space="preserve"> _</w:instrText>
      </w:r>
      <w:r w:rsidRPr="000251E9">
        <w:rPr>
          <w:rStyle w:val="af7"/>
          <w:rFonts w:eastAsia="Guttman Hodes" w:hint="cs"/>
        </w:rPr>
        <w:instrText>Ref58255840 \r \h</w:instrText>
      </w:r>
      <w:r w:rsidRPr="000251E9">
        <w:rPr>
          <w:rStyle w:val="af7"/>
          <w:rFonts w:eastAsia="Guttman Hodes"/>
          <w:rtl/>
        </w:rPr>
        <w:instrText xml:space="preserve"> </w:instrText>
      </w:r>
      <w:r w:rsidRPr="000251E9">
        <w:rPr>
          <w:rStyle w:val="af7"/>
          <w:rFonts w:eastAsia="Guttman Hodes"/>
          <w:rtl/>
        </w:rPr>
      </w:r>
      <w:r w:rsidRPr="000251E9">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0251E9">
        <w:rPr>
          <w:rStyle w:val="af7"/>
          <w:rFonts w:eastAsia="Guttman Hodes"/>
          <w:rtl/>
        </w:rPr>
        <w:fldChar w:fldCharType="end"/>
      </w:r>
      <w:r>
        <w:rPr>
          <w:rFonts w:hint="cs"/>
          <w:rtl/>
        </w:rPr>
        <w:t xml:space="preserve"> </w:t>
      </w:r>
      <w:r w:rsidRPr="000251E9">
        <w:rPr>
          <w:rStyle w:val="af9"/>
          <w:rFonts w:hint="cs"/>
          <w:rtl/>
        </w:rPr>
        <w:t>והפלפולא חריפתא</w:t>
      </w:r>
      <w:r>
        <w:rPr>
          <w:rFonts w:hint="cs"/>
          <w:rtl/>
        </w:rPr>
        <w:t xml:space="preserve"> </w:t>
      </w:r>
      <w:r w:rsidRPr="000251E9">
        <w:rPr>
          <w:rStyle w:val="af7"/>
          <w:rFonts w:eastAsia="Guttman Hodes" w:hint="cs"/>
          <w:rtl/>
        </w:rPr>
        <w:t xml:space="preserve">(עי' אות </w:t>
      </w:r>
      <w:r w:rsidRPr="000251E9">
        <w:rPr>
          <w:rStyle w:val="af7"/>
          <w:rFonts w:eastAsia="Guttman Hodes"/>
          <w:rtl/>
        </w:rPr>
        <w:fldChar w:fldCharType="begin"/>
      </w:r>
      <w:r w:rsidRPr="000251E9">
        <w:rPr>
          <w:rStyle w:val="af7"/>
          <w:rFonts w:eastAsia="Guttman Hodes"/>
          <w:rtl/>
        </w:rPr>
        <w:instrText xml:space="preserve"> </w:instrText>
      </w:r>
      <w:r w:rsidRPr="000251E9">
        <w:rPr>
          <w:rStyle w:val="af7"/>
          <w:rFonts w:eastAsia="Guttman Hodes" w:hint="cs"/>
        </w:rPr>
        <w:instrText>REF</w:instrText>
      </w:r>
      <w:r w:rsidRPr="000251E9">
        <w:rPr>
          <w:rStyle w:val="af7"/>
          <w:rFonts w:eastAsia="Guttman Hodes" w:hint="cs"/>
          <w:rtl/>
        </w:rPr>
        <w:instrText xml:space="preserve"> _</w:instrText>
      </w:r>
      <w:r w:rsidRPr="000251E9">
        <w:rPr>
          <w:rStyle w:val="af7"/>
          <w:rFonts w:eastAsia="Guttman Hodes" w:hint="cs"/>
        </w:rPr>
        <w:instrText>Ref58255891 \r \h</w:instrText>
      </w:r>
      <w:r w:rsidRPr="000251E9">
        <w:rPr>
          <w:rStyle w:val="af7"/>
          <w:rFonts w:eastAsia="Guttman Hodes"/>
          <w:rtl/>
        </w:rPr>
        <w:instrText xml:space="preserve"> </w:instrText>
      </w:r>
      <w:r w:rsidRPr="000251E9">
        <w:rPr>
          <w:rStyle w:val="af7"/>
          <w:rFonts w:eastAsia="Guttman Hodes"/>
          <w:rtl/>
        </w:rPr>
      </w:r>
      <w:r w:rsidRPr="000251E9">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0251E9">
        <w:rPr>
          <w:rStyle w:val="af7"/>
          <w:rFonts w:eastAsia="Guttman Hodes"/>
          <w:rtl/>
        </w:rPr>
        <w:fldChar w:fldCharType="end"/>
      </w:r>
      <w:r>
        <w:rPr>
          <w:rFonts w:hint="cs"/>
          <w:rtl/>
        </w:rPr>
        <w:t xml:space="preserve"> </w:t>
      </w:r>
      <w:r>
        <w:rPr>
          <w:rStyle w:val="af9"/>
          <w:rFonts w:hint="cs"/>
          <w:rtl/>
        </w:rPr>
        <w:t>ו</w:t>
      </w:r>
      <w:r w:rsidRPr="00266814">
        <w:rPr>
          <w:rStyle w:val="af9"/>
          <w:rFonts w:hint="cs"/>
          <w:rtl/>
        </w:rPr>
        <w:t>בחי' רבי נחום</w:t>
      </w:r>
      <w:r w:rsidRPr="00F84862">
        <w:rPr>
          <w:rStyle w:val="af7"/>
          <w:rFonts w:eastAsia="Guttman Hodes" w:hint="cs"/>
          <w:rtl/>
        </w:rPr>
        <w:t xml:space="preserve"> (עי' אות </w:t>
      </w:r>
      <w:r w:rsidRPr="00F84862">
        <w:rPr>
          <w:rStyle w:val="af7"/>
          <w:rFonts w:eastAsia="Guttman Hodes"/>
          <w:rtl/>
        </w:rPr>
        <w:fldChar w:fldCharType="begin"/>
      </w:r>
      <w:r w:rsidRPr="00F84862">
        <w:rPr>
          <w:rStyle w:val="af7"/>
          <w:rFonts w:eastAsia="Guttman Hodes"/>
          <w:rtl/>
        </w:rPr>
        <w:instrText xml:space="preserve"> </w:instrText>
      </w:r>
      <w:r w:rsidRPr="00F84862">
        <w:rPr>
          <w:rStyle w:val="af7"/>
          <w:rFonts w:eastAsia="Guttman Hodes" w:hint="cs"/>
        </w:rPr>
        <w:instrText>REF</w:instrText>
      </w:r>
      <w:r w:rsidRPr="00F84862">
        <w:rPr>
          <w:rStyle w:val="af7"/>
          <w:rFonts w:eastAsia="Guttman Hodes" w:hint="cs"/>
          <w:rtl/>
        </w:rPr>
        <w:instrText xml:space="preserve"> _</w:instrText>
      </w:r>
      <w:r w:rsidRPr="00F84862">
        <w:rPr>
          <w:rStyle w:val="af7"/>
          <w:rFonts w:eastAsia="Guttman Hodes" w:hint="cs"/>
        </w:rPr>
        <w:instrText>Ref59021674 \r \h</w:instrText>
      </w:r>
      <w:r w:rsidRPr="00F84862">
        <w:rPr>
          <w:rStyle w:val="af7"/>
          <w:rFonts w:eastAsia="Guttman Hodes"/>
          <w:rtl/>
        </w:rPr>
        <w:instrText xml:space="preserve"> </w:instrText>
      </w:r>
      <w:r w:rsidRPr="00F84862">
        <w:rPr>
          <w:rStyle w:val="af7"/>
          <w:rFonts w:eastAsia="Guttman Hodes"/>
          <w:rtl/>
        </w:rPr>
      </w:r>
      <w:r w:rsidRPr="00F84862">
        <w:rPr>
          <w:rStyle w:val="af7"/>
          <w:rFonts w:eastAsia="Guttman Hodes"/>
          <w:rtl/>
        </w:rPr>
        <w:fldChar w:fldCharType="separate"/>
      </w:r>
      <w:r w:rsidR="00265073">
        <w:rPr>
          <w:rStyle w:val="af7"/>
          <w:rFonts w:eastAsia="Guttman Hodes"/>
          <w:cs/>
        </w:rPr>
        <w:t>‎</w:t>
      </w:r>
      <w:r w:rsidR="00265073">
        <w:rPr>
          <w:rStyle w:val="af7"/>
          <w:rFonts w:eastAsia="Guttman Hodes"/>
          <w:rtl/>
        </w:rPr>
        <w:t>צה)</w:t>
      </w:r>
      <w:r w:rsidRPr="00F84862">
        <w:rPr>
          <w:rStyle w:val="af7"/>
          <w:rFonts w:eastAsia="Guttman Hodes"/>
          <w:rtl/>
        </w:rPr>
        <w:fldChar w:fldCharType="end"/>
      </w:r>
      <w:r>
        <w:rPr>
          <w:rStyle w:val="af7"/>
          <w:rFonts w:eastAsia="Guttman Hodes" w:hint="cs"/>
          <w:rtl/>
        </w:rPr>
        <w:t xml:space="preserve"> </w:t>
      </w:r>
      <w:r>
        <w:rPr>
          <w:rFonts w:hint="cs"/>
          <w:rtl/>
        </w:rPr>
        <w:t xml:space="preserve">בדברי </w:t>
      </w:r>
      <w:r w:rsidRPr="00B034E4">
        <w:rPr>
          <w:rStyle w:val="af9"/>
          <w:rFonts w:hint="cs"/>
          <w:rtl/>
        </w:rPr>
        <w:t>הרא"ש</w:t>
      </w:r>
      <w:r>
        <w:rPr>
          <w:rFonts w:hint="cs"/>
          <w:rtl/>
        </w:rPr>
        <w:t>.</w:t>
      </w:r>
      <w:bookmarkEnd w:id="8402"/>
      <w:r>
        <w:rPr>
          <w:rFonts w:hint="cs"/>
          <w:rtl/>
        </w:rPr>
        <w:t xml:space="preserve"> </w:t>
      </w:r>
    </w:p>
    <w:p w:rsidR="0007171D" w:rsidRDefault="0007171D" w:rsidP="0007171D">
      <w:pPr>
        <w:pStyle w:val="1"/>
        <w:rPr>
          <w:rtl/>
        </w:rPr>
      </w:pPr>
      <w:bookmarkStart w:id="8403" w:name="_Toc58843023"/>
      <w:bookmarkStart w:id="8404" w:name="_Toc58876232"/>
      <w:bookmarkStart w:id="8405" w:name="_Toc58877645"/>
      <w:bookmarkStart w:id="8406" w:name="_Toc58914704"/>
      <w:bookmarkStart w:id="8407" w:name="_Toc58926005"/>
      <w:bookmarkStart w:id="8408" w:name="_Toc58930072"/>
      <w:bookmarkStart w:id="8409" w:name="_Toc58938228"/>
      <w:bookmarkStart w:id="8410" w:name="_Toc59007018"/>
      <w:bookmarkStart w:id="8411" w:name="_Toc59013496"/>
      <w:bookmarkStart w:id="8412" w:name="_Toc59013744"/>
      <w:bookmarkStart w:id="8413" w:name="_Toc59025810"/>
      <w:r>
        <w:rPr>
          <w:rFonts w:hint="cs"/>
          <w:rtl/>
        </w:rPr>
        <w:t>קו' המהרי"ט על הרא"ש</w:t>
      </w:r>
      <w:bookmarkEnd w:id="8403"/>
      <w:bookmarkEnd w:id="8404"/>
      <w:bookmarkEnd w:id="8405"/>
      <w:bookmarkEnd w:id="8406"/>
      <w:bookmarkEnd w:id="8407"/>
      <w:bookmarkEnd w:id="8408"/>
      <w:bookmarkEnd w:id="8409"/>
      <w:bookmarkEnd w:id="8410"/>
      <w:bookmarkEnd w:id="8411"/>
      <w:bookmarkEnd w:id="8412"/>
      <w:r>
        <w:rPr>
          <w:rFonts w:hint="cs"/>
          <w:rtl/>
        </w:rPr>
        <w:t xml:space="preserve"> דהמיגו מהני מחמת המוכר שהיה נאמן</w:t>
      </w:r>
      <w:bookmarkEnd w:id="8413"/>
    </w:p>
    <w:p w:rsidR="0007171D" w:rsidRPr="00275751" w:rsidRDefault="0007171D" w:rsidP="0007171D">
      <w:pPr>
        <w:pStyle w:val="a3"/>
        <w:rPr>
          <w:rtl/>
        </w:rPr>
      </w:pPr>
      <w:bookmarkStart w:id="8414" w:name="_Toc59007019"/>
      <w:bookmarkStart w:id="8415" w:name="_Toc59013497"/>
      <w:bookmarkStart w:id="8416" w:name="_Toc59013745"/>
      <w:bookmarkStart w:id="8417" w:name="_Toc59025811"/>
      <w:r>
        <w:rPr>
          <w:rFonts w:hint="cs"/>
          <w:rtl/>
        </w:rPr>
        <w:t>קושית המהרי"ט דהלוקח שאינו טוען ודאי דל"מ לו מיגו דלהד"ם והקו' דאמאי לא טענינן ליה</w:t>
      </w:r>
      <w:bookmarkEnd w:id="8414"/>
      <w:bookmarkEnd w:id="8415"/>
      <w:bookmarkEnd w:id="8416"/>
      <w:bookmarkEnd w:id="8417"/>
    </w:p>
    <w:p w:rsidR="0007171D" w:rsidRDefault="0007171D" w:rsidP="007E4E81">
      <w:pPr>
        <w:pStyle w:val="a0"/>
        <w:rPr>
          <w:rtl/>
        </w:rPr>
      </w:pPr>
      <w:bookmarkStart w:id="8418" w:name="_Ref58358296"/>
      <w:r>
        <w:rPr>
          <w:rFonts w:hint="cs"/>
          <w:rtl/>
        </w:rPr>
        <w:t xml:space="preserve">והקשה </w:t>
      </w:r>
      <w:r w:rsidRPr="00AD65D5">
        <w:rPr>
          <w:rStyle w:val="af9"/>
          <w:rFonts w:hint="cs"/>
          <w:rtl/>
        </w:rPr>
        <w:t>המהרי"ט</w:t>
      </w:r>
      <w:r w:rsidRPr="00AD65D5">
        <w:rPr>
          <w:rStyle w:val="af7"/>
          <w:rFonts w:eastAsia="Guttman Hodes" w:hint="cs"/>
          <w:rtl/>
        </w:rPr>
        <w:t xml:space="preserve"> (ח"א סי' קי"ב ד"ה איברא) </w:t>
      </w:r>
      <w:r>
        <w:rPr>
          <w:rFonts w:hint="cs"/>
          <w:rtl/>
        </w:rPr>
        <w:t xml:space="preserve">על ביאור </w:t>
      </w:r>
      <w:r w:rsidRPr="00AD65D5">
        <w:rPr>
          <w:rStyle w:val="af9"/>
          <w:rFonts w:hint="cs"/>
          <w:rtl/>
        </w:rPr>
        <w:t>הרא"ש</w:t>
      </w:r>
      <w:r>
        <w:rPr>
          <w:rFonts w:hint="cs"/>
          <w:rtl/>
        </w:rPr>
        <w:t>,</w:t>
      </w:r>
      <w:r w:rsidRPr="007F3220">
        <w:rPr>
          <w:rFonts w:hint="cs"/>
          <w:rtl/>
        </w:rPr>
        <w:t xml:space="preserve"> </w:t>
      </w:r>
      <w:r>
        <w:rPr>
          <w:rFonts w:hint="cs"/>
          <w:rtl/>
        </w:rPr>
        <w:t xml:space="preserve">דהרי לא קשה על </w:t>
      </w:r>
      <w:r w:rsidRPr="007F3220">
        <w:rPr>
          <w:rStyle w:val="af9"/>
          <w:rFonts w:hint="cs"/>
          <w:rtl/>
        </w:rPr>
        <w:t>הרשב"ם</w:t>
      </w:r>
      <w:r>
        <w:rPr>
          <w:rFonts w:hint="cs"/>
          <w:rtl/>
        </w:rPr>
        <w:t xml:space="preserve"> דיועיל ללוקח המיגו שהיה למוכר, דהא לגבי הלוקח ודאי דלא שייך המיגו, כיון שאינו טוען טענה מצד עצמו, אלא אומר שכך אמר לו המוכר, אלא דכיון דטענינן ללוקח כל מה שהיה המוכר יכול לטעון, לכן קשה דכמו שהמוכר היה נאמן במיגו, ה"ה דהלוקח יחזיק מספק מכח אותה הטענה שהמוכר היה יכול לטעון, וא"כ מה תירץ </w:t>
      </w:r>
      <w:r w:rsidRPr="00AD65D5">
        <w:rPr>
          <w:rStyle w:val="af9"/>
          <w:rFonts w:hint="cs"/>
          <w:rtl/>
        </w:rPr>
        <w:t>הרא"ש</w:t>
      </w:r>
      <w:r>
        <w:rPr>
          <w:rFonts w:hint="cs"/>
          <w:rtl/>
        </w:rPr>
        <w:t xml:space="preserve"> דללוקח אינו מיגו טוב, כיון שהוא ירא שמא ימצא המערער עדים, הרי לא שייך כל הו"א דהמיגו עצמו יועיל ללוקח, דהא אינו טוען טענת ברי, ורק אומר שכך אמר לו המוכר, ולא שייך להאמינו במיגו,</w:t>
      </w:r>
      <w:r w:rsidRPr="00A15E2D">
        <w:rPr>
          <w:rFonts w:hint="cs"/>
          <w:rtl/>
        </w:rPr>
        <w:t xml:space="preserve"> </w:t>
      </w:r>
      <w:r>
        <w:rPr>
          <w:rFonts w:hint="cs"/>
          <w:rtl/>
        </w:rPr>
        <w:t xml:space="preserve">ועי' במה שביאר </w:t>
      </w:r>
      <w:r w:rsidRPr="00AD65D5">
        <w:rPr>
          <w:rStyle w:val="af9"/>
          <w:rFonts w:hint="cs"/>
          <w:rtl/>
        </w:rPr>
        <w:t>הפלפולא חריפתא</w:t>
      </w:r>
      <w:r>
        <w:rPr>
          <w:rFonts w:hint="cs"/>
          <w:rtl/>
        </w:rPr>
        <w:t xml:space="preserve"> </w:t>
      </w:r>
      <w:r w:rsidRPr="00AD65D5">
        <w:rPr>
          <w:rStyle w:val="af7"/>
          <w:rFonts w:eastAsia="Guttman Hodes" w:hint="cs"/>
          <w:rtl/>
        </w:rPr>
        <w:t xml:space="preserve">(עי' אות </w:t>
      </w:r>
      <w:r w:rsidRPr="00AD65D5">
        <w:rPr>
          <w:rStyle w:val="af7"/>
          <w:rFonts w:eastAsia="Guttman Hodes"/>
          <w:rtl/>
        </w:rPr>
        <w:fldChar w:fldCharType="begin"/>
      </w:r>
      <w:r w:rsidRPr="00AD65D5">
        <w:rPr>
          <w:rStyle w:val="af7"/>
          <w:rFonts w:eastAsia="Guttman Hodes"/>
          <w:rtl/>
        </w:rPr>
        <w:instrText xml:space="preserve"> </w:instrText>
      </w:r>
      <w:r w:rsidRPr="00AD65D5">
        <w:rPr>
          <w:rStyle w:val="af7"/>
          <w:rFonts w:eastAsia="Guttman Hodes" w:hint="cs"/>
        </w:rPr>
        <w:instrText>REF</w:instrText>
      </w:r>
      <w:r w:rsidRPr="00AD65D5">
        <w:rPr>
          <w:rStyle w:val="af7"/>
          <w:rFonts w:eastAsia="Guttman Hodes" w:hint="cs"/>
          <w:rtl/>
        </w:rPr>
        <w:instrText xml:space="preserve"> _</w:instrText>
      </w:r>
      <w:r w:rsidRPr="00AD65D5">
        <w:rPr>
          <w:rStyle w:val="af7"/>
          <w:rFonts w:eastAsia="Guttman Hodes" w:hint="cs"/>
        </w:rPr>
        <w:instrText>Ref58255891 \r \h</w:instrText>
      </w:r>
      <w:r w:rsidRPr="00AD65D5">
        <w:rPr>
          <w:rStyle w:val="af7"/>
          <w:rFonts w:eastAsia="Guttman Hodes"/>
          <w:rtl/>
        </w:rPr>
        <w:instrText xml:space="preserve"> </w:instrText>
      </w:r>
      <w:r w:rsidRPr="00AD65D5">
        <w:rPr>
          <w:rStyle w:val="af7"/>
          <w:rFonts w:eastAsia="Guttman Hodes"/>
          <w:rtl/>
        </w:rPr>
      </w:r>
      <w:r w:rsidRPr="00AD65D5">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AD65D5">
        <w:rPr>
          <w:rStyle w:val="af7"/>
          <w:rFonts w:eastAsia="Guttman Hodes"/>
          <w:rtl/>
        </w:rPr>
        <w:fldChar w:fldCharType="end"/>
      </w:r>
      <w:r>
        <w:rPr>
          <w:rFonts w:hint="cs"/>
          <w:rtl/>
        </w:rPr>
        <w:t xml:space="preserve"> </w:t>
      </w:r>
      <w:r w:rsidRPr="00AD65D5">
        <w:rPr>
          <w:rStyle w:val="af9"/>
          <w:rFonts w:hint="cs"/>
          <w:rtl/>
        </w:rPr>
        <w:t>ברא"ש</w:t>
      </w:r>
      <w:r>
        <w:rPr>
          <w:rStyle w:val="af1"/>
          <w:rtl/>
        </w:rPr>
        <w:footnoteReference w:id="58"/>
      </w:r>
      <w:r>
        <w:rPr>
          <w:rFonts w:hint="cs"/>
          <w:rtl/>
        </w:rPr>
        <w:t>.</w:t>
      </w:r>
      <w:bookmarkEnd w:id="8418"/>
    </w:p>
    <w:p w:rsidR="0007171D" w:rsidRPr="00613709" w:rsidRDefault="0007171D" w:rsidP="0007171D">
      <w:pPr>
        <w:pStyle w:val="a3"/>
        <w:rPr>
          <w:rtl/>
        </w:rPr>
      </w:pPr>
      <w:bookmarkStart w:id="8419" w:name="_Toc59007020"/>
      <w:bookmarkStart w:id="8420" w:name="_Toc59013498"/>
      <w:bookmarkStart w:id="8421" w:name="_Toc59013746"/>
      <w:bookmarkStart w:id="8422" w:name="_Toc59025812"/>
      <w:r>
        <w:rPr>
          <w:rFonts w:hint="cs"/>
          <w:rtl/>
        </w:rPr>
        <w:t>דברי המהרי"ט דברא"ש מוכח דלא מהני מיגו למחזיק ולא חשדינן דמשקר שכך אמר המוכר</w:t>
      </w:r>
      <w:bookmarkEnd w:id="8419"/>
      <w:bookmarkEnd w:id="8420"/>
      <w:bookmarkEnd w:id="8421"/>
      <w:bookmarkEnd w:id="8422"/>
    </w:p>
    <w:p w:rsidR="0007171D" w:rsidRDefault="0007171D" w:rsidP="007E4E81">
      <w:pPr>
        <w:pStyle w:val="a0"/>
        <w:rPr>
          <w:rtl/>
        </w:rPr>
      </w:pPr>
      <w:bookmarkStart w:id="8423" w:name="_Ref58938423"/>
      <w:r>
        <w:rPr>
          <w:rFonts w:hint="cs"/>
          <w:rtl/>
        </w:rPr>
        <w:t xml:space="preserve">והוסיף </w:t>
      </w:r>
      <w:r w:rsidRPr="00AD65D5">
        <w:rPr>
          <w:rStyle w:val="af9"/>
          <w:rFonts w:hint="cs"/>
          <w:rtl/>
        </w:rPr>
        <w:t xml:space="preserve">המהרי"ט </w:t>
      </w:r>
      <w:r>
        <w:rPr>
          <w:rFonts w:hint="cs"/>
          <w:rtl/>
        </w:rPr>
        <w:t xml:space="preserve">דהרי </w:t>
      </w:r>
      <w:r w:rsidRPr="00AD65D5">
        <w:rPr>
          <w:rStyle w:val="af9"/>
          <w:rFonts w:hint="cs"/>
          <w:rtl/>
        </w:rPr>
        <w:t xml:space="preserve">הרא"ש </w:t>
      </w:r>
      <w:r w:rsidRPr="00AD65D5">
        <w:rPr>
          <w:rStyle w:val="af7"/>
          <w:rFonts w:eastAsia="Guttman Hodes" w:hint="cs"/>
          <w:rtl/>
        </w:rPr>
        <w:t xml:space="preserve">(עי' אות </w:t>
      </w:r>
      <w:r w:rsidRPr="00AD65D5">
        <w:rPr>
          <w:rStyle w:val="af7"/>
          <w:rFonts w:eastAsia="Guttman Hodes"/>
          <w:rtl/>
        </w:rPr>
        <w:fldChar w:fldCharType="begin"/>
      </w:r>
      <w:r w:rsidRPr="00AD65D5">
        <w:rPr>
          <w:rStyle w:val="af7"/>
          <w:rFonts w:eastAsia="Guttman Hodes"/>
          <w:rtl/>
        </w:rPr>
        <w:instrText xml:space="preserve"> </w:instrText>
      </w:r>
      <w:r w:rsidRPr="00AD65D5">
        <w:rPr>
          <w:rStyle w:val="af7"/>
          <w:rFonts w:eastAsia="Guttman Hodes" w:hint="cs"/>
        </w:rPr>
        <w:instrText>REF</w:instrText>
      </w:r>
      <w:r w:rsidRPr="00AD65D5">
        <w:rPr>
          <w:rStyle w:val="af7"/>
          <w:rFonts w:eastAsia="Guttman Hodes" w:hint="cs"/>
          <w:rtl/>
        </w:rPr>
        <w:instrText xml:space="preserve"> _</w:instrText>
      </w:r>
      <w:r w:rsidRPr="00AD65D5">
        <w:rPr>
          <w:rStyle w:val="af7"/>
          <w:rFonts w:eastAsia="Guttman Hodes" w:hint="cs"/>
        </w:rPr>
        <w:instrText>Ref57910111 \r \h</w:instrText>
      </w:r>
      <w:r w:rsidRPr="00AD65D5">
        <w:rPr>
          <w:rStyle w:val="af7"/>
          <w:rFonts w:eastAsia="Guttman Hodes"/>
          <w:rtl/>
        </w:rPr>
        <w:instrText xml:space="preserve"> </w:instrText>
      </w:r>
      <w:r w:rsidRPr="00AD65D5">
        <w:rPr>
          <w:rStyle w:val="af7"/>
          <w:rFonts w:eastAsia="Guttman Hodes"/>
          <w:rtl/>
        </w:rPr>
      </w:r>
      <w:r w:rsidRPr="00AD65D5">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sidRPr="00AD65D5">
        <w:rPr>
          <w:rStyle w:val="af7"/>
          <w:rFonts w:eastAsia="Guttman Hodes"/>
          <w:rtl/>
        </w:rPr>
        <w:fldChar w:fldCharType="end"/>
      </w:r>
      <w:r>
        <w:rPr>
          <w:rFonts w:hint="cs"/>
          <w:rtl/>
        </w:rPr>
        <w:t xml:space="preserve"> גופיה כתב בשם </w:t>
      </w:r>
      <w:r w:rsidRPr="00AD65D5">
        <w:rPr>
          <w:rStyle w:val="af9"/>
          <w:rFonts w:hint="cs"/>
          <w:rtl/>
        </w:rPr>
        <w:t xml:space="preserve">הרשב"ם </w:t>
      </w:r>
      <w:r>
        <w:rPr>
          <w:rFonts w:hint="cs"/>
          <w:rtl/>
        </w:rPr>
        <w:t xml:space="preserve">דמיגו הוא בב' טענות, שהיה יכול לזכות בכל אחת מהם, אבל הכא שאינו יודע אם המוכר קנה מהמערער לא שייך מיגו, דהא ודאי דכ"מ דמהני מיגו הוא להוכיח שאמר את האמת, אבל הכא כשאומר בשם המוכר שקנה מהמערער, לא חשדינן שמשקר שכך אמר לו המוכר. </w:t>
      </w:r>
      <w:r w:rsidRPr="00A15E2D">
        <w:rPr>
          <w:rStyle w:val="afb"/>
          <w:rFonts w:hint="cs"/>
          <w:rtl/>
        </w:rPr>
        <w:t xml:space="preserve">[והביא </w:t>
      </w:r>
      <w:r w:rsidRPr="00203D23">
        <w:rPr>
          <w:rStyle w:val="affa"/>
          <w:rFonts w:hint="cs"/>
          <w:rtl/>
        </w:rPr>
        <w:t>המהרי"ט</w:t>
      </w:r>
      <w:r w:rsidRPr="00A15E2D">
        <w:rPr>
          <w:rStyle w:val="afb"/>
          <w:rFonts w:hint="cs"/>
          <w:rtl/>
        </w:rPr>
        <w:t xml:space="preserve"> דכן מבואר בדברי </w:t>
      </w:r>
      <w:r w:rsidRPr="00203D23">
        <w:rPr>
          <w:rStyle w:val="affa"/>
          <w:rFonts w:hint="cs"/>
          <w:rtl/>
        </w:rPr>
        <w:t>ה</w:t>
      </w:r>
      <w:r w:rsidRPr="00203D23">
        <w:rPr>
          <w:rStyle w:val="affa"/>
          <w:rtl/>
        </w:rPr>
        <w:t>תוס</w:t>
      </w:r>
      <w:r w:rsidRPr="00203D23">
        <w:rPr>
          <w:rStyle w:val="affa"/>
          <w:rFonts w:hint="cs"/>
          <w:rtl/>
        </w:rPr>
        <w:t>'</w:t>
      </w:r>
      <w:r w:rsidRPr="00203D23">
        <w:rPr>
          <w:rStyle w:val="affa"/>
          <w:rtl/>
        </w:rPr>
        <w:t xml:space="preserve"> </w:t>
      </w:r>
      <w:r w:rsidRPr="00203D23">
        <w:rPr>
          <w:rStyle w:val="affa"/>
          <w:rFonts w:hint="cs"/>
          <w:rtl/>
        </w:rPr>
        <w:t>ב</w:t>
      </w:r>
      <w:r w:rsidRPr="00203D23">
        <w:rPr>
          <w:rStyle w:val="affa"/>
          <w:rtl/>
        </w:rPr>
        <w:t>יבמות</w:t>
      </w:r>
      <w:r w:rsidRPr="00A15E2D">
        <w:rPr>
          <w:rStyle w:val="afb"/>
          <w:rtl/>
        </w:rPr>
        <w:t xml:space="preserve"> </w:t>
      </w:r>
      <w:r w:rsidRPr="00A15E2D">
        <w:rPr>
          <w:rStyle w:val="aff6"/>
          <w:rFonts w:hint="cs"/>
          <w:rtl/>
        </w:rPr>
        <w:t>(</w:t>
      </w:r>
      <w:r w:rsidRPr="00A15E2D">
        <w:rPr>
          <w:rStyle w:val="aff6"/>
          <w:rtl/>
        </w:rPr>
        <w:t>קיד</w:t>
      </w:r>
      <w:r w:rsidRPr="00A15E2D">
        <w:rPr>
          <w:rStyle w:val="aff6"/>
          <w:rFonts w:hint="cs"/>
          <w:rtl/>
        </w:rPr>
        <w:t xml:space="preserve">: ד"ה </w:t>
      </w:r>
      <w:r w:rsidRPr="00A15E2D">
        <w:rPr>
          <w:rStyle w:val="aff6"/>
          <w:rtl/>
        </w:rPr>
        <w:t>מי</w:t>
      </w:r>
      <w:r w:rsidRPr="00A15E2D">
        <w:rPr>
          <w:rStyle w:val="afb"/>
          <w:rtl/>
        </w:rPr>
        <w:t xml:space="preserve"> </w:t>
      </w:r>
      <w:r w:rsidRPr="00A15E2D">
        <w:rPr>
          <w:rStyle w:val="aff6"/>
          <w:rtl/>
        </w:rPr>
        <w:t>אמרי'</w:t>
      </w:r>
      <w:r w:rsidRPr="00A15E2D">
        <w:rPr>
          <w:rStyle w:val="aff6"/>
          <w:rFonts w:hint="cs"/>
          <w:rtl/>
        </w:rPr>
        <w:t>)</w:t>
      </w:r>
      <w:r w:rsidRPr="00A15E2D">
        <w:rPr>
          <w:rStyle w:val="afb"/>
          <w:rFonts w:hint="cs"/>
          <w:rtl/>
        </w:rPr>
        <w:t>]</w:t>
      </w:r>
      <w:r>
        <w:rPr>
          <w:rStyle w:val="afb"/>
          <w:rFonts w:hint="cs"/>
          <w:rtl/>
        </w:rPr>
        <w:t xml:space="preserve">, </w:t>
      </w:r>
      <w:r>
        <w:rPr>
          <w:rFonts w:hint="cs"/>
          <w:rtl/>
        </w:rPr>
        <w:t xml:space="preserve">אמנם יעוי' בדברי </w:t>
      </w:r>
      <w:r w:rsidRPr="00044F28">
        <w:rPr>
          <w:rStyle w:val="af9"/>
          <w:rFonts w:hint="cs"/>
          <w:rtl/>
        </w:rPr>
        <w:t>המשל"מ</w:t>
      </w:r>
      <w:r>
        <w:rPr>
          <w:rFonts w:hint="cs"/>
          <w:rtl/>
        </w:rPr>
        <w:t xml:space="preserve"> </w:t>
      </w:r>
      <w:r w:rsidRPr="00044F28">
        <w:rPr>
          <w:rStyle w:val="af7"/>
          <w:rFonts w:eastAsia="Guttman Hodes" w:hint="cs"/>
          <w:rtl/>
        </w:rPr>
        <w:t xml:space="preserve">(עי' אות </w:t>
      </w:r>
      <w:r w:rsidRPr="00044F28">
        <w:rPr>
          <w:rStyle w:val="af7"/>
          <w:rFonts w:eastAsia="Guttman Hodes"/>
          <w:rtl/>
        </w:rPr>
        <w:fldChar w:fldCharType="begin"/>
      </w:r>
      <w:r w:rsidRPr="00044F28">
        <w:rPr>
          <w:rStyle w:val="af7"/>
          <w:rFonts w:eastAsia="Guttman Hodes"/>
          <w:rtl/>
        </w:rPr>
        <w:instrText xml:space="preserve"> </w:instrText>
      </w:r>
      <w:r w:rsidRPr="00044F28">
        <w:rPr>
          <w:rStyle w:val="af7"/>
          <w:rFonts w:eastAsia="Guttman Hodes" w:hint="cs"/>
        </w:rPr>
        <w:instrText>REF</w:instrText>
      </w:r>
      <w:r w:rsidRPr="00044F28">
        <w:rPr>
          <w:rStyle w:val="af7"/>
          <w:rFonts w:eastAsia="Guttman Hodes" w:hint="cs"/>
          <w:rtl/>
        </w:rPr>
        <w:instrText xml:space="preserve"> _</w:instrText>
      </w:r>
      <w:r w:rsidRPr="00044F28">
        <w:rPr>
          <w:rStyle w:val="af7"/>
          <w:rFonts w:eastAsia="Guttman Hodes" w:hint="cs"/>
        </w:rPr>
        <w:instrText>Ref58836319 \r \h</w:instrText>
      </w:r>
      <w:r w:rsidRPr="00044F28">
        <w:rPr>
          <w:rStyle w:val="af7"/>
          <w:rFonts w:eastAsia="Guttman Hodes"/>
          <w:rtl/>
        </w:rPr>
        <w:instrText xml:space="preserve"> </w:instrText>
      </w:r>
      <w:r w:rsidRPr="00044F28">
        <w:rPr>
          <w:rStyle w:val="af7"/>
          <w:rFonts w:eastAsia="Guttman Hodes"/>
          <w:rtl/>
        </w:rPr>
      </w:r>
      <w:r w:rsidRPr="00044F28">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044F28">
        <w:rPr>
          <w:rStyle w:val="af7"/>
          <w:rFonts w:eastAsia="Guttman Hodes"/>
          <w:rtl/>
        </w:rPr>
        <w:fldChar w:fldCharType="end"/>
      </w:r>
      <w:r>
        <w:rPr>
          <w:rFonts w:hint="cs"/>
          <w:rtl/>
        </w:rPr>
        <w:t xml:space="preserve"> דביאר </w:t>
      </w:r>
      <w:r w:rsidRPr="00044F28">
        <w:rPr>
          <w:rStyle w:val="af9"/>
          <w:rFonts w:hint="cs"/>
          <w:rtl/>
        </w:rPr>
        <w:t>דלהרא"ש</w:t>
      </w:r>
      <w:r>
        <w:rPr>
          <w:rFonts w:hint="cs"/>
          <w:rtl/>
        </w:rPr>
        <w:t xml:space="preserve"> חשדינן דמשקר ולא אמר לו המוכר כן.</w:t>
      </w:r>
      <w:bookmarkEnd w:id="8423"/>
    </w:p>
    <w:p w:rsidR="0007171D" w:rsidRPr="00044F28" w:rsidRDefault="0007171D" w:rsidP="0007171D">
      <w:pPr>
        <w:pStyle w:val="a3"/>
        <w:rPr>
          <w:rtl/>
        </w:rPr>
      </w:pPr>
      <w:bookmarkStart w:id="8424" w:name="_Toc59007021"/>
      <w:bookmarkStart w:id="8425" w:name="_Toc59013499"/>
      <w:bookmarkStart w:id="8426" w:name="_Toc59013747"/>
      <w:bookmarkStart w:id="8427" w:name="_Toc59025813"/>
      <w:r>
        <w:rPr>
          <w:rFonts w:hint="cs"/>
          <w:rtl/>
        </w:rPr>
        <w:t>דברי המהרי"ט דהיה אפש"ל דכוונת הרא"ש להקשות ע"ד הרשב"ם בדין עידי חד יומא</w:t>
      </w:r>
      <w:bookmarkEnd w:id="8424"/>
      <w:bookmarkEnd w:id="8425"/>
      <w:bookmarkEnd w:id="8426"/>
      <w:bookmarkEnd w:id="8427"/>
    </w:p>
    <w:p w:rsidR="0007171D" w:rsidRDefault="0007171D" w:rsidP="007E4E81">
      <w:pPr>
        <w:pStyle w:val="a0"/>
        <w:rPr>
          <w:rtl/>
        </w:rPr>
      </w:pPr>
      <w:bookmarkStart w:id="8428" w:name="_Ref58255840"/>
      <w:r>
        <w:rPr>
          <w:rFonts w:hint="cs"/>
          <w:rtl/>
        </w:rPr>
        <w:t xml:space="preserve">וכתב </w:t>
      </w:r>
      <w:r w:rsidRPr="00F3060A">
        <w:rPr>
          <w:rStyle w:val="af9"/>
          <w:rFonts w:hint="cs"/>
          <w:rtl/>
        </w:rPr>
        <w:t>המהרי"ט</w:t>
      </w:r>
      <w:r>
        <w:rPr>
          <w:rFonts w:hint="cs"/>
          <w:rtl/>
        </w:rPr>
        <w:t xml:space="preserve"> דהיה אפש"ל דכוונת </w:t>
      </w:r>
      <w:r w:rsidRPr="00F3060A">
        <w:rPr>
          <w:rStyle w:val="af9"/>
          <w:rFonts w:hint="cs"/>
          <w:rtl/>
        </w:rPr>
        <w:t>הרא"ש</w:t>
      </w:r>
      <w:r>
        <w:rPr>
          <w:rFonts w:hint="cs"/>
          <w:rtl/>
        </w:rPr>
        <w:t xml:space="preserve"> לבאר את דברי </w:t>
      </w:r>
      <w:r w:rsidRPr="00F3060A">
        <w:rPr>
          <w:rStyle w:val="af9"/>
          <w:rFonts w:hint="cs"/>
          <w:rtl/>
        </w:rPr>
        <w:t>הרשב"ם</w:t>
      </w:r>
      <w:r>
        <w:rPr>
          <w:rFonts w:hint="cs"/>
          <w:rtl/>
        </w:rPr>
        <w:t xml:space="preserve"> </w:t>
      </w:r>
      <w:r w:rsidRPr="00E95D49">
        <w:rPr>
          <w:rStyle w:val="af7"/>
          <w:rFonts w:eastAsia="Guttman Hodes" w:hint="cs"/>
          <w:rtl/>
        </w:rPr>
        <w:t>(סוד"ה אמר ליה</w:t>
      </w:r>
      <w:r w:rsidR="00720598">
        <w:rPr>
          <w:rStyle w:val="af7"/>
          <w:rFonts w:eastAsia="Guttman Hodes" w:hint="cs"/>
          <w:rtl/>
        </w:rPr>
        <w:t xml:space="preserve">, הובא בסימן </w:t>
      </w:r>
      <w:r w:rsidR="00310162">
        <w:rPr>
          <w:rStyle w:val="af7"/>
          <w:rFonts w:eastAsia="Guttman Hodes" w:hint="cs"/>
          <w:rtl/>
        </w:rPr>
        <w:t>ט' אות א'</w:t>
      </w:r>
      <w:r w:rsidRPr="00E95D49">
        <w:rPr>
          <w:rStyle w:val="af7"/>
          <w:rFonts w:eastAsia="Guttman Hodes" w:hint="cs"/>
          <w:rtl/>
        </w:rPr>
        <w:t>)</w:t>
      </w:r>
      <w:r w:rsidRPr="00E95D49">
        <w:rPr>
          <w:rFonts w:hint="cs"/>
          <w:rtl/>
        </w:rPr>
        <w:t xml:space="preserve"> דכתב דאף</w:t>
      </w:r>
      <w:r>
        <w:rPr>
          <w:rFonts w:hint="cs"/>
          <w:rtl/>
        </w:rPr>
        <w:t xml:space="preserve"> כשיש לו חזקת ג"ש, מ"מ אינו נאמן בטענה דדר בה המוכר חד יומא, וצריך עדים ע"ז, וביאר </w:t>
      </w:r>
      <w:r w:rsidRPr="009D4F3A">
        <w:rPr>
          <w:rStyle w:val="af9"/>
          <w:rFonts w:hint="cs"/>
          <w:rtl/>
        </w:rPr>
        <w:t>הרא"ש</w:t>
      </w:r>
      <w:r>
        <w:rPr>
          <w:rFonts w:hint="cs"/>
          <w:rtl/>
        </w:rPr>
        <w:t xml:space="preserve"> דלא מהני לו מיגו דהיה טוען שלא הייתה שלך מעולם, כדהקשו </w:t>
      </w:r>
      <w:r w:rsidRPr="00F3060A">
        <w:rPr>
          <w:rStyle w:val="af9"/>
          <w:rFonts w:hint="cs"/>
          <w:rtl/>
        </w:rPr>
        <w:t>התוס'</w:t>
      </w:r>
      <w:r>
        <w:rPr>
          <w:rFonts w:hint="cs"/>
          <w:rtl/>
        </w:rPr>
        <w:t xml:space="preserve"> </w:t>
      </w:r>
      <w:r w:rsidRPr="0062699C">
        <w:rPr>
          <w:rStyle w:val="af7"/>
          <w:rFonts w:eastAsia="Guttman Hodes" w:hint="cs"/>
          <w:rtl/>
        </w:rPr>
        <w:t>(ריש ד"ה לאו קמודית</w:t>
      </w:r>
      <w:r w:rsidR="00310162">
        <w:rPr>
          <w:rStyle w:val="af7"/>
          <w:rFonts w:eastAsia="Guttman Hodes" w:hint="cs"/>
          <w:rtl/>
        </w:rPr>
        <w:t>, הובא בסימן ט' אות ט')</w:t>
      </w:r>
      <w:r>
        <w:rPr>
          <w:rFonts w:hint="cs"/>
          <w:rtl/>
        </w:rPr>
        <w:t xml:space="preserve"> על </w:t>
      </w:r>
      <w:r w:rsidRPr="00F3060A">
        <w:rPr>
          <w:rStyle w:val="af9"/>
          <w:rFonts w:hint="cs"/>
          <w:rtl/>
        </w:rPr>
        <w:t>הרשב"ם</w:t>
      </w:r>
      <w:r>
        <w:rPr>
          <w:rFonts w:hint="cs"/>
          <w:rtl/>
        </w:rPr>
        <w:t xml:space="preserve">, כיון דהלוקח ירא לטעון כן, וטוען שקנה מהמוכר, דסומך שימצא עדים שהייתה של המוכר, </w:t>
      </w:r>
      <w:r w:rsidRPr="00F3060A">
        <w:rPr>
          <w:rStyle w:val="afb"/>
          <w:rFonts w:hint="cs"/>
          <w:rtl/>
        </w:rPr>
        <w:t xml:space="preserve">[ועיי"ש במה שביאר </w:t>
      </w:r>
      <w:r w:rsidRPr="00F3060A">
        <w:rPr>
          <w:rStyle w:val="affa"/>
          <w:rFonts w:hint="cs"/>
          <w:rtl/>
        </w:rPr>
        <w:t>המהרי"ט</w:t>
      </w:r>
      <w:r w:rsidRPr="00F3060A">
        <w:rPr>
          <w:rStyle w:val="afb"/>
          <w:rFonts w:hint="cs"/>
          <w:rtl/>
        </w:rPr>
        <w:t xml:space="preserve"> דאף </w:t>
      </w:r>
      <w:r w:rsidRPr="00F3060A">
        <w:rPr>
          <w:rStyle w:val="affa"/>
          <w:rFonts w:hint="cs"/>
          <w:rtl/>
        </w:rPr>
        <w:t>דהרא"ש</w:t>
      </w:r>
      <w:r w:rsidRPr="00F3060A">
        <w:rPr>
          <w:rStyle w:val="afb"/>
          <w:rFonts w:hint="cs"/>
          <w:rtl/>
        </w:rPr>
        <w:t xml:space="preserve"> לא הביא את דברי </w:t>
      </w:r>
      <w:r w:rsidRPr="00F3060A">
        <w:rPr>
          <w:rStyle w:val="affa"/>
          <w:rFonts w:hint="cs"/>
          <w:rtl/>
        </w:rPr>
        <w:t>הרשב"ם</w:t>
      </w:r>
      <w:r w:rsidRPr="00F3060A">
        <w:rPr>
          <w:rStyle w:val="afb"/>
          <w:rFonts w:hint="cs"/>
          <w:rtl/>
        </w:rPr>
        <w:t xml:space="preserve"> הללו, מ"מ אפש"ל דזו כוונתו], </w:t>
      </w:r>
      <w:r>
        <w:rPr>
          <w:rFonts w:hint="cs"/>
          <w:rtl/>
        </w:rPr>
        <w:t xml:space="preserve">אך דחה </w:t>
      </w:r>
      <w:r w:rsidRPr="0062699C">
        <w:rPr>
          <w:rStyle w:val="af9"/>
          <w:rFonts w:hint="cs"/>
          <w:rtl/>
        </w:rPr>
        <w:t>המהרי"ט</w:t>
      </w:r>
      <w:r w:rsidRPr="0062699C">
        <w:rPr>
          <w:rFonts w:hint="cs"/>
          <w:rtl/>
        </w:rPr>
        <w:t xml:space="preserve"> דהא </w:t>
      </w:r>
      <w:r w:rsidRPr="0062699C">
        <w:rPr>
          <w:rStyle w:val="af9"/>
          <w:rFonts w:hint="cs"/>
          <w:rtl/>
        </w:rPr>
        <w:t>הטור</w:t>
      </w:r>
      <w:r w:rsidRPr="0062699C">
        <w:rPr>
          <w:rFonts w:hint="cs"/>
          <w:rtl/>
        </w:rPr>
        <w:t xml:space="preserve"> </w:t>
      </w:r>
      <w:r w:rsidRPr="0062699C">
        <w:rPr>
          <w:rStyle w:val="af7"/>
          <w:rFonts w:eastAsia="Guttman Hodes" w:hint="cs"/>
          <w:rtl/>
        </w:rPr>
        <w:t xml:space="preserve">(עי' אות </w:t>
      </w:r>
      <w:r w:rsidRPr="0062699C">
        <w:rPr>
          <w:rStyle w:val="af7"/>
          <w:rFonts w:eastAsia="Guttman Hodes"/>
          <w:rtl/>
        </w:rPr>
        <w:fldChar w:fldCharType="begin"/>
      </w:r>
      <w:r w:rsidRPr="0062699C">
        <w:rPr>
          <w:rStyle w:val="af7"/>
          <w:rFonts w:eastAsia="Guttman Hodes"/>
          <w:rtl/>
        </w:rPr>
        <w:instrText xml:space="preserve"> </w:instrText>
      </w:r>
      <w:r w:rsidRPr="0062699C">
        <w:rPr>
          <w:rStyle w:val="af7"/>
          <w:rFonts w:eastAsia="Guttman Hodes" w:hint="cs"/>
        </w:rPr>
        <w:instrText>REF</w:instrText>
      </w:r>
      <w:r w:rsidRPr="0062699C">
        <w:rPr>
          <w:rStyle w:val="af7"/>
          <w:rFonts w:eastAsia="Guttman Hodes" w:hint="cs"/>
          <w:rtl/>
        </w:rPr>
        <w:instrText xml:space="preserve"> _</w:instrText>
      </w:r>
      <w:r w:rsidRPr="0062699C">
        <w:rPr>
          <w:rStyle w:val="af7"/>
          <w:rFonts w:eastAsia="Guttman Hodes" w:hint="cs"/>
        </w:rPr>
        <w:instrText>Ref58938670 \r \h</w:instrText>
      </w:r>
      <w:r w:rsidRPr="0062699C">
        <w:rPr>
          <w:rStyle w:val="af7"/>
          <w:rFonts w:eastAsia="Guttman Hodes"/>
          <w:rtl/>
        </w:rPr>
        <w:instrText xml:space="preserve"> </w:instrText>
      </w:r>
      <w:r w:rsidRPr="0062699C">
        <w:rPr>
          <w:rStyle w:val="af7"/>
          <w:rFonts w:eastAsia="Guttman Hodes"/>
          <w:rtl/>
        </w:rPr>
      </w:r>
      <w:r w:rsidRPr="0062699C">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62699C">
        <w:rPr>
          <w:rStyle w:val="af7"/>
          <w:rFonts w:eastAsia="Guttman Hodes"/>
          <w:rtl/>
        </w:rPr>
        <w:fldChar w:fldCharType="end"/>
      </w:r>
      <w:r w:rsidRPr="0062699C">
        <w:rPr>
          <w:rFonts w:hint="cs"/>
          <w:rtl/>
        </w:rPr>
        <w:t xml:space="preserve"> לא ביאר כן את דברי </w:t>
      </w:r>
      <w:r w:rsidRPr="0062699C">
        <w:rPr>
          <w:rStyle w:val="af9"/>
          <w:rFonts w:hint="cs"/>
          <w:rtl/>
        </w:rPr>
        <w:t>הרא"ש</w:t>
      </w:r>
      <w:r w:rsidRPr="0062699C">
        <w:rPr>
          <w:rFonts w:hint="cs"/>
          <w:rtl/>
        </w:rPr>
        <w:t>, וא"כ א"א</w:t>
      </w:r>
      <w:r>
        <w:rPr>
          <w:rFonts w:hint="cs"/>
          <w:rtl/>
        </w:rPr>
        <w:t xml:space="preserve"> לומר דזו כוונתו.</w:t>
      </w:r>
      <w:bookmarkEnd w:id="8428"/>
    </w:p>
    <w:p w:rsidR="0007171D" w:rsidRDefault="0007171D" w:rsidP="0007171D">
      <w:pPr>
        <w:pStyle w:val="1"/>
        <w:rPr>
          <w:rtl/>
        </w:rPr>
      </w:pPr>
      <w:bookmarkStart w:id="8429" w:name="_Toc57925939"/>
      <w:bookmarkStart w:id="8430" w:name="_Toc58091631"/>
      <w:bookmarkStart w:id="8431" w:name="_Toc58144881"/>
      <w:bookmarkStart w:id="8432" w:name="_Toc58272567"/>
      <w:bookmarkStart w:id="8433" w:name="_Toc58325013"/>
      <w:bookmarkStart w:id="8434" w:name="_Toc58359158"/>
      <w:bookmarkStart w:id="8435" w:name="_Toc58409420"/>
      <w:bookmarkStart w:id="8436" w:name="_Toc58432814"/>
      <w:bookmarkStart w:id="8437" w:name="_Toc58580016"/>
      <w:bookmarkStart w:id="8438" w:name="_Toc58843022"/>
      <w:bookmarkStart w:id="8439" w:name="_Toc58876231"/>
      <w:bookmarkStart w:id="8440" w:name="_Toc58877644"/>
      <w:bookmarkStart w:id="8441" w:name="_Toc58914703"/>
      <w:bookmarkStart w:id="8442" w:name="_Toc58926004"/>
      <w:bookmarkStart w:id="8443" w:name="_Toc58930071"/>
      <w:bookmarkStart w:id="8444" w:name="_Toc58938229"/>
      <w:bookmarkStart w:id="8445" w:name="_Toc59007022"/>
      <w:bookmarkStart w:id="8446" w:name="_Toc59013500"/>
      <w:bookmarkStart w:id="8447" w:name="_Toc59013748"/>
      <w:bookmarkStart w:id="8448" w:name="_Toc59025814"/>
      <w:r>
        <w:rPr>
          <w:rFonts w:hint="cs"/>
          <w:rtl/>
        </w:rPr>
        <w:t>ביאור הפלפולא חריפתא דכוונת הרא"ש</w:t>
      </w:r>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r>
        <w:rPr>
          <w:rFonts w:hint="cs"/>
          <w:rtl/>
        </w:rPr>
        <w:t xml:space="preserve"> דא"א לומר טענינן</w:t>
      </w:r>
      <w:bookmarkEnd w:id="8446"/>
      <w:bookmarkEnd w:id="8447"/>
      <w:bookmarkEnd w:id="8448"/>
    </w:p>
    <w:p w:rsidR="0007171D" w:rsidRDefault="0007171D" w:rsidP="0007171D">
      <w:pPr>
        <w:pStyle w:val="a3"/>
        <w:rPr>
          <w:rtl/>
        </w:rPr>
      </w:pPr>
      <w:bookmarkStart w:id="8449" w:name="_Toc58938230"/>
      <w:bookmarkStart w:id="8450" w:name="_Toc59007023"/>
      <w:bookmarkStart w:id="8451" w:name="_Toc59013501"/>
      <w:bookmarkStart w:id="8452" w:name="_Toc59013749"/>
      <w:bookmarkStart w:id="8453" w:name="_Toc59025815"/>
      <w:r>
        <w:rPr>
          <w:rFonts w:hint="cs"/>
          <w:rtl/>
        </w:rPr>
        <w:t>ביאור הפלפולא חריפתא ברא"ש דלמוכר אין עדיפות בא' מהטענות והמחזיק ירא לטעון להד"ם</w:t>
      </w:r>
      <w:bookmarkEnd w:id="8449"/>
      <w:bookmarkEnd w:id="8450"/>
      <w:bookmarkEnd w:id="8451"/>
      <w:bookmarkEnd w:id="8452"/>
      <w:bookmarkEnd w:id="8453"/>
    </w:p>
    <w:p w:rsidR="0007171D" w:rsidRDefault="0007171D" w:rsidP="007E4E81">
      <w:pPr>
        <w:pStyle w:val="a0"/>
        <w:rPr>
          <w:rtl/>
        </w:rPr>
      </w:pPr>
      <w:bookmarkStart w:id="8454" w:name="_Ref58255891"/>
      <w:r w:rsidRPr="00E95D49">
        <w:rPr>
          <w:rStyle w:val="af9"/>
          <w:rFonts w:hint="cs"/>
          <w:rtl/>
        </w:rPr>
        <w:t>והפלפ</w:t>
      </w:r>
      <w:r w:rsidRPr="00AD2CFE">
        <w:rPr>
          <w:rStyle w:val="af9"/>
          <w:rFonts w:hint="cs"/>
          <w:rtl/>
        </w:rPr>
        <w:t>ולא חריפתא</w:t>
      </w:r>
      <w:r>
        <w:rPr>
          <w:rFonts w:hint="cs"/>
          <w:rtl/>
        </w:rPr>
        <w:t xml:space="preserve"> </w:t>
      </w:r>
      <w:r w:rsidRPr="00AD2CFE">
        <w:rPr>
          <w:rStyle w:val="af7"/>
          <w:rFonts w:eastAsia="Guttman Hodes" w:hint="cs"/>
          <w:rtl/>
        </w:rPr>
        <w:t>(על הרא"ש סי' ז' או' י')</w:t>
      </w:r>
      <w:r>
        <w:rPr>
          <w:rFonts w:hint="cs"/>
          <w:rtl/>
        </w:rPr>
        <w:t xml:space="preserve"> ביאר את דברי </w:t>
      </w:r>
      <w:r w:rsidRPr="00AD2CFE">
        <w:rPr>
          <w:rStyle w:val="af9"/>
          <w:rFonts w:hint="cs"/>
          <w:rtl/>
        </w:rPr>
        <w:t>הרא"ש</w:t>
      </w:r>
      <w:r>
        <w:rPr>
          <w:rFonts w:hint="cs"/>
          <w:rtl/>
        </w:rPr>
        <w:t xml:space="preserve"> </w:t>
      </w:r>
      <w:r w:rsidRPr="00AD2CFE">
        <w:rPr>
          <w:rStyle w:val="af7"/>
          <w:rFonts w:eastAsia="Guttman Hodes" w:hint="cs"/>
          <w:rtl/>
        </w:rPr>
        <w:t xml:space="preserve">(עי' אות </w:t>
      </w:r>
      <w:r w:rsidRPr="00AD2CFE">
        <w:rPr>
          <w:rStyle w:val="af7"/>
          <w:rFonts w:eastAsia="Guttman Hodes"/>
          <w:rtl/>
        </w:rPr>
        <w:fldChar w:fldCharType="begin"/>
      </w:r>
      <w:r w:rsidRPr="00AD2CFE">
        <w:rPr>
          <w:rStyle w:val="af7"/>
          <w:rFonts w:eastAsia="Guttman Hodes"/>
          <w:rtl/>
        </w:rPr>
        <w:instrText xml:space="preserve"> </w:instrText>
      </w:r>
      <w:r w:rsidRPr="00AD2CFE">
        <w:rPr>
          <w:rStyle w:val="af7"/>
          <w:rFonts w:eastAsia="Guttman Hodes" w:hint="cs"/>
        </w:rPr>
        <w:instrText>REF</w:instrText>
      </w:r>
      <w:r w:rsidRPr="00AD2CFE">
        <w:rPr>
          <w:rStyle w:val="af7"/>
          <w:rFonts w:eastAsia="Guttman Hodes" w:hint="cs"/>
          <w:rtl/>
        </w:rPr>
        <w:instrText xml:space="preserve"> _</w:instrText>
      </w:r>
      <w:r w:rsidRPr="00AD2CFE">
        <w:rPr>
          <w:rStyle w:val="af7"/>
          <w:rFonts w:eastAsia="Guttman Hodes" w:hint="cs"/>
        </w:rPr>
        <w:instrText>Ref57911051 \r \h</w:instrText>
      </w:r>
      <w:r w:rsidRPr="00AD2CFE">
        <w:rPr>
          <w:rStyle w:val="af7"/>
          <w:rFonts w:eastAsia="Guttman Hodes"/>
          <w:rtl/>
        </w:rPr>
        <w:instrText xml:space="preserve"> </w:instrText>
      </w:r>
      <w:r w:rsidRPr="00AD2CFE">
        <w:rPr>
          <w:rStyle w:val="af7"/>
          <w:rFonts w:eastAsia="Guttman Hodes"/>
          <w:rtl/>
        </w:rPr>
      </w:r>
      <w:r w:rsidRPr="00AD2CFE">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AD2CFE">
        <w:rPr>
          <w:rStyle w:val="af7"/>
          <w:rFonts w:eastAsia="Guttman Hodes"/>
          <w:rtl/>
        </w:rPr>
        <w:fldChar w:fldCharType="end"/>
      </w:r>
      <w:r>
        <w:rPr>
          <w:rFonts w:hint="cs"/>
          <w:rtl/>
        </w:rPr>
        <w:t xml:space="preserve"> דרק המחזיק ירא לטעון שלא הייתה שלך מעולם שמא ימצא המערער עדים שהייתה שלו, אבל כלפי המוכר אם המערער ימצא עדים שהייתה שלו, א"כ הוא לא נאמן כלל, בין אם יטען שלא הייתה של המערער מעולם, ובין אם יטען אתה מכרת לי, דהא אין לו חזקת ג"ש, ולכן יש למוכר מיגו, דאינו ירא לטעון את טענת המיגו יותר מהטענה שטען, אבל כלפי המחזיק אין הטענות שוות, דהטענה שטוען עכשיו שקנה מהמוכר היא טענה טובה, דסובר המחזיק שימצא עדים שהייתה של המוכר, אבל הוא ירא לטעון שלא הייתה של המערער מעולם, שמא ימצא עדים שהייתה שלו</w:t>
      </w:r>
      <w:r>
        <w:rPr>
          <w:rStyle w:val="af1"/>
          <w:rtl/>
        </w:rPr>
        <w:footnoteReference w:id="59"/>
      </w:r>
      <w:r>
        <w:rPr>
          <w:rFonts w:hint="cs"/>
          <w:rtl/>
        </w:rPr>
        <w:t>.</w:t>
      </w:r>
      <w:bookmarkEnd w:id="8454"/>
    </w:p>
    <w:p w:rsidR="0007171D" w:rsidRPr="00A97B9B" w:rsidRDefault="0007171D" w:rsidP="0007171D">
      <w:pPr>
        <w:pStyle w:val="a3"/>
        <w:rPr>
          <w:rtl/>
        </w:rPr>
      </w:pPr>
      <w:bookmarkStart w:id="8455" w:name="_Toc58938231"/>
      <w:bookmarkStart w:id="8456" w:name="_Toc59007024"/>
      <w:bookmarkStart w:id="8457" w:name="_Toc59013502"/>
      <w:bookmarkStart w:id="8458" w:name="_Toc59013750"/>
      <w:bookmarkStart w:id="8459" w:name="_Toc59025816"/>
      <w:r>
        <w:rPr>
          <w:rFonts w:hint="cs"/>
          <w:rtl/>
        </w:rPr>
        <w:t>דברי הפלפולא חריפתא דטענינן הוא רק כשהלוקח ג"כ יכול לטעון ורק אינו יודע מה לטעון</w:t>
      </w:r>
      <w:bookmarkEnd w:id="8455"/>
      <w:bookmarkEnd w:id="8456"/>
      <w:bookmarkEnd w:id="8457"/>
      <w:bookmarkEnd w:id="8458"/>
      <w:bookmarkEnd w:id="8459"/>
    </w:p>
    <w:p w:rsidR="0007171D" w:rsidRDefault="0007171D" w:rsidP="007E4E81">
      <w:pPr>
        <w:pStyle w:val="a0"/>
        <w:rPr>
          <w:rtl/>
        </w:rPr>
      </w:pPr>
      <w:bookmarkStart w:id="8460" w:name="_Ref59439806"/>
      <w:r>
        <w:rPr>
          <w:rFonts w:hint="cs"/>
          <w:rtl/>
        </w:rPr>
        <w:t xml:space="preserve">וכתב </w:t>
      </w:r>
      <w:r w:rsidRPr="00A21272">
        <w:rPr>
          <w:rStyle w:val="af9"/>
          <w:rFonts w:hint="cs"/>
          <w:rtl/>
        </w:rPr>
        <w:t>הפלפולא חריפתא</w:t>
      </w:r>
      <w:r>
        <w:rPr>
          <w:rFonts w:hint="cs"/>
          <w:rtl/>
        </w:rPr>
        <w:t xml:space="preserve"> דא"כ מבואר אמאי לא טענינן למחזיק את המיגו דהיה המוכר יכול לטעון, דכ"מ טענינן ללוקח את הטענה שהיה המוכר יכול לטעון, היינו דוקא באופן שהיא טענה גם כלפי הלוקח, והיה יכול לטעון כן, וכל מה שלא טען כיון שלא ידע שכך היה, ולכן אנן טענינן ליה שמא כך היה, אבל הכא שהוא ירא לטעון כן, לא טענינן ליה, דכל שיש לו סיבה למה אינו טוען, היאך נטען לו.</w:t>
      </w:r>
      <w:bookmarkEnd w:id="8460"/>
    </w:p>
    <w:p w:rsidR="0007171D" w:rsidRDefault="0007171D" w:rsidP="0007171D">
      <w:pPr>
        <w:pStyle w:val="1"/>
        <w:rPr>
          <w:rtl/>
        </w:rPr>
      </w:pPr>
      <w:bookmarkStart w:id="8461" w:name="_Toc58843024"/>
      <w:bookmarkStart w:id="8462" w:name="_Toc58876233"/>
      <w:bookmarkStart w:id="8463" w:name="_Toc58877646"/>
      <w:bookmarkStart w:id="8464" w:name="_Toc58914705"/>
      <w:bookmarkStart w:id="8465" w:name="_Toc58926006"/>
      <w:bookmarkStart w:id="8466" w:name="_Toc58930073"/>
      <w:bookmarkStart w:id="8467" w:name="_Toc58938232"/>
      <w:bookmarkStart w:id="8468" w:name="_Toc59007025"/>
      <w:bookmarkStart w:id="8469" w:name="_Toc59013503"/>
      <w:bookmarkStart w:id="8470" w:name="_Toc59013751"/>
      <w:bookmarkStart w:id="8471" w:name="_Toc59025817"/>
      <w:bookmarkStart w:id="8472" w:name="_Toc58580017"/>
      <w:bookmarkStart w:id="8473" w:name="_Toc58144918"/>
      <w:bookmarkStart w:id="8474" w:name="_Toc58272607"/>
      <w:bookmarkStart w:id="8475" w:name="_Toc58325042"/>
      <w:bookmarkStart w:id="8476" w:name="_Toc58359188"/>
      <w:bookmarkStart w:id="8477" w:name="_Toc58409449"/>
      <w:bookmarkStart w:id="8478" w:name="_Toc58432815"/>
      <w:bookmarkStart w:id="8479" w:name="_Toc57925932"/>
      <w:bookmarkStart w:id="8480" w:name="_Toc58091624"/>
      <w:bookmarkStart w:id="8481" w:name="_Toc57925958"/>
      <w:bookmarkStart w:id="8482" w:name="_Toc58091648"/>
      <w:r>
        <w:rPr>
          <w:rFonts w:hint="cs"/>
          <w:rtl/>
        </w:rPr>
        <w:t>ביאור המשל"מ ברא"ש</w:t>
      </w:r>
      <w:bookmarkEnd w:id="8461"/>
      <w:bookmarkEnd w:id="8462"/>
      <w:bookmarkEnd w:id="8463"/>
      <w:bookmarkEnd w:id="8464"/>
      <w:bookmarkEnd w:id="8465"/>
      <w:bookmarkEnd w:id="8466"/>
      <w:bookmarkEnd w:id="8467"/>
      <w:bookmarkEnd w:id="8468"/>
      <w:bookmarkEnd w:id="8469"/>
      <w:bookmarkEnd w:id="8470"/>
      <w:r w:rsidRPr="006F4A22">
        <w:rPr>
          <w:rtl/>
        </w:rPr>
        <w:t xml:space="preserve"> דבלא הודה בפירוש נאמן כמוכר</w:t>
      </w:r>
      <w:bookmarkEnd w:id="8471"/>
    </w:p>
    <w:p w:rsidR="0007171D" w:rsidRPr="003304D2" w:rsidRDefault="0007171D" w:rsidP="0007171D">
      <w:pPr>
        <w:pStyle w:val="a3"/>
        <w:rPr>
          <w:rtl/>
        </w:rPr>
      </w:pPr>
      <w:bookmarkStart w:id="8483" w:name="_Toc59007026"/>
      <w:bookmarkStart w:id="8484" w:name="_Toc59013504"/>
      <w:bookmarkStart w:id="8485" w:name="_Toc59013752"/>
      <w:bookmarkStart w:id="8486" w:name="_Toc59025818"/>
      <w:r>
        <w:rPr>
          <w:rFonts w:hint="cs"/>
          <w:rtl/>
        </w:rPr>
        <w:t>הביאור הא' במשל"מ דקושית הרא"ש דבעידי חד יומא יהיה המחזיק נאמן מדין טענינן</w:t>
      </w:r>
      <w:bookmarkEnd w:id="8483"/>
      <w:bookmarkEnd w:id="8484"/>
      <w:bookmarkEnd w:id="8485"/>
      <w:bookmarkEnd w:id="8486"/>
    </w:p>
    <w:p w:rsidR="00DA08C5" w:rsidRDefault="0007171D" w:rsidP="007E4E81">
      <w:pPr>
        <w:pStyle w:val="a0"/>
        <w:rPr>
          <w:rtl/>
        </w:rPr>
      </w:pPr>
      <w:r>
        <w:rPr>
          <w:rFonts w:hint="cs"/>
          <w:rtl/>
        </w:rPr>
        <w:t xml:space="preserve">ועי' בדברי </w:t>
      </w:r>
      <w:r w:rsidRPr="00717997">
        <w:rPr>
          <w:rStyle w:val="af9"/>
          <w:rFonts w:hint="cs"/>
          <w:rtl/>
        </w:rPr>
        <w:t>המשל"מ בביאורו הא'</w:t>
      </w:r>
      <w:r w:rsidRPr="00124BB7">
        <w:rPr>
          <w:rFonts w:hint="cs"/>
          <w:rtl/>
        </w:rPr>
        <w:t xml:space="preserve"> </w:t>
      </w:r>
      <w:r w:rsidRPr="00BC791D">
        <w:rPr>
          <w:rStyle w:val="af7"/>
          <w:rFonts w:eastAsia="Guttman Hodes" w:hint="cs"/>
          <w:rtl/>
        </w:rPr>
        <w:t>(טו"נ פי"ד הי"ד ד"ה ועיין בפירוש</w:t>
      </w:r>
      <w:r w:rsidR="00BC791D" w:rsidRPr="00BC791D">
        <w:rPr>
          <w:rStyle w:val="af7"/>
          <w:rFonts w:eastAsia="Guttman Rashi" w:hint="cs"/>
          <w:rtl/>
        </w:rPr>
        <w:t>, הובא בסימן ט' אות נ"א)</w:t>
      </w:r>
      <w:r w:rsidR="00BC791D" w:rsidRPr="00BC791D">
        <w:rPr>
          <w:rStyle w:val="af7"/>
          <w:rFonts w:eastAsia="Guttman Hodes" w:hint="cs"/>
          <w:rtl/>
        </w:rPr>
        <w:t xml:space="preserve"> </w:t>
      </w:r>
      <w:r>
        <w:rPr>
          <w:rFonts w:hint="cs"/>
          <w:rtl/>
        </w:rPr>
        <w:t xml:space="preserve">דביאר את קושית </w:t>
      </w:r>
      <w:r w:rsidRPr="00684601">
        <w:rPr>
          <w:rStyle w:val="af9"/>
          <w:rFonts w:hint="cs"/>
          <w:rtl/>
        </w:rPr>
        <w:t>הרא"ש</w:t>
      </w:r>
      <w:r>
        <w:rPr>
          <w:rFonts w:hint="cs"/>
          <w:rtl/>
        </w:rPr>
        <w:t xml:space="preserve"> </w:t>
      </w:r>
      <w:r w:rsidRPr="00BC791D">
        <w:rPr>
          <w:rStyle w:val="af7"/>
          <w:rFonts w:eastAsia="Guttman Hodes" w:hint="cs"/>
          <w:rtl/>
        </w:rPr>
        <w:t xml:space="preserve">(עי' אות </w:t>
      </w:r>
      <w:r w:rsidRPr="00BC791D">
        <w:rPr>
          <w:rStyle w:val="af7"/>
          <w:rFonts w:eastAsia="Guttman Hodes"/>
          <w:rtl/>
        </w:rPr>
        <w:fldChar w:fldCharType="begin"/>
      </w:r>
      <w:r w:rsidRPr="00BC791D">
        <w:rPr>
          <w:rStyle w:val="af7"/>
          <w:rFonts w:eastAsia="Guttman Hodes"/>
          <w:rtl/>
        </w:rPr>
        <w:instrText xml:space="preserve"> </w:instrText>
      </w:r>
      <w:r w:rsidRPr="00BC791D">
        <w:rPr>
          <w:rStyle w:val="af7"/>
          <w:rFonts w:eastAsia="Guttman Hodes" w:hint="cs"/>
        </w:rPr>
        <w:instrText>REF</w:instrText>
      </w:r>
      <w:r w:rsidRPr="00BC791D">
        <w:rPr>
          <w:rStyle w:val="af7"/>
          <w:rFonts w:eastAsia="Guttman Hodes" w:hint="cs"/>
          <w:rtl/>
        </w:rPr>
        <w:instrText xml:space="preserve"> _</w:instrText>
      </w:r>
      <w:r w:rsidRPr="00BC791D">
        <w:rPr>
          <w:rStyle w:val="af7"/>
          <w:rFonts w:eastAsia="Guttman Hodes" w:hint="cs"/>
        </w:rPr>
        <w:instrText>Ref58834676 \r \h</w:instrText>
      </w:r>
      <w:r w:rsidRPr="00BC791D">
        <w:rPr>
          <w:rStyle w:val="af7"/>
          <w:rFonts w:eastAsia="Guttman Hodes"/>
          <w:rtl/>
        </w:rPr>
        <w:instrText xml:space="preserve"> </w:instrText>
      </w:r>
      <w:r w:rsidRPr="00BC791D">
        <w:rPr>
          <w:rStyle w:val="af7"/>
          <w:rFonts w:eastAsia="Guttman Hodes"/>
          <w:rtl/>
        </w:rPr>
      </w:r>
      <w:r w:rsidRPr="00BC791D">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BC791D">
        <w:rPr>
          <w:rStyle w:val="af7"/>
          <w:rFonts w:eastAsia="Guttman Hodes"/>
          <w:rtl/>
        </w:rPr>
        <w:fldChar w:fldCharType="end"/>
      </w:r>
      <w:r>
        <w:rPr>
          <w:rFonts w:hint="cs"/>
          <w:rtl/>
        </w:rPr>
        <w:t xml:space="preserve"> כעין ביאור </w:t>
      </w:r>
      <w:r w:rsidRPr="00684601">
        <w:rPr>
          <w:rStyle w:val="af9"/>
          <w:rFonts w:hint="cs"/>
          <w:rtl/>
        </w:rPr>
        <w:t>המהרי"ט</w:t>
      </w:r>
      <w:r>
        <w:rPr>
          <w:rFonts w:hint="cs"/>
          <w:rtl/>
        </w:rPr>
        <w:t xml:space="preserve"> </w:t>
      </w:r>
      <w:r w:rsidRPr="00BC791D">
        <w:rPr>
          <w:rStyle w:val="af7"/>
          <w:rFonts w:eastAsia="Guttman Hodes" w:hint="cs"/>
          <w:rtl/>
        </w:rPr>
        <w:t xml:space="preserve">(עי' אות </w:t>
      </w:r>
      <w:r w:rsidRPr="00BC791D">
        <w:rPr>
          <w:rStyle w:val="af7"/>
          <w:rFonts w:eastAsia="Guttman Hodes"/>
          <w:rtl/>
        </w:rPr>
        <w:fldChar w:fldCharType="begin"/>
      </w:r>
      <w:r w:rsidRPr="00BC791D">
        <w:rPr>
          <w:rStyle w:val="af7"/>
          <w:rFonts w:eastAsia="Guttman Hodes"/>
          <w:rtl/>
        </w:rPr>
        <w:instrText xml:space="preserve"> </w:instrText>
      </w:r>
      <w:r w:rsidRPr="00BC791D">
        <w:rPr>
          <w:rStyle w:val="af7"/>
          <w:rFonts w:eastAsia="Guttman Hodes" w:hint="cs"/>
        </w:rPr>
        <w:instrText>REF</w:instrText>
      </w:r>
      <w:r w:rsidRPr="00BC791D">
        <w:rPr>
          <w:rStyle w:val="af7"/>
          <w:rFonts w:eastAsia="Guttman Hodes" w:hint="cs"/>
          <w:rtl/>
        </w:rPr>
        <w:instrText xml:space="preserve"> _</w:instrText>
      </w:r>
      <w:r w:rsidRPr="00BC791D">
        <w:rPr>
          <w:rStyle w:val="af7"/>
          <w:rFonts w:eastAsia="Guttman Hodes" w:hint="cs"/>
        </w:rPr>
        <w:instrText>Ref58255840 \r \h</w:instrText>
      </w:r>
      <w:r w:rsidRPr="00BC791D">
        <w:rPr>
          <w:rStyle w:val="af7"/>
          <w:rFonts w:eastAsia="Guttman Hodes"/>
          <w:rtl/>
        </w:rPr>
        <w:instrText xml:space="preserve"> </w:instrText>
      </w:r>
      <w:r w:rsidRPr="00BC791D">
        <w:rPr>
          <w:rStyle w:val="af7"/>
          <w:rFonts w:eastAsia="Guttman Hodes"/>
          <w:rtl/>
        </w:rPr>
      </w:r>
      <w:r w:rsidRPr="00BC791D">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BC791D">
        <w:rPr>
          <w:rStyle w:val="af7"/>
          <w:rFonts w:eastAsia="Guttman Hodes"/>
          <w:rtl/>
        </w:rPr>
        <w:fldChar w:fldCharType="end"/>
      </w:r>
      <w:r>
        <w:rPr>
          <w:rFonts w:hint="cs"/>
          <w:rtl/>
        </w:rPr>
        <w:t xml:space="preserve">, דבמקום שיש עדים דהמוכר דר בה חד יומא, אמאי לא טענינן למחזיק את הטענה שהיה המוכר יכול לטעון אם היה לפנינו, דהיה נאמן בטענת שלך הייתה ולקחתיה ממך, במיגו דלא הייתה שלך מעולם, ועיי"ש במה שהאריך </w:t>
      </w:r>
      <w:r w:rsidRPr="00684601">
        <w:rPr>
          <w:rStyle w:val="af9"/>
          <w:rFonts w:hint="cs"/>
          <w:rtl/>
        </w:rPr>
        <w:t>המשל"מ</w:t>
      </w:r>
      <w:r>
        <w:rPr>
          <w:rFonts w:hint="cs"/>
          <w:rtl/>
        </w:rPr>
        <w:t xml:space="preserve"> טובא בביאור דברי </w:t>
      </w:r>
      <w:r w:rsidRPr="00684601">
        <w:rPr>
          <w:rStyle w:val="af9"/>
          <w:rFonts w:hint="cs"/>
          <w:rtl/>
        </w:rPr>
        <w:t>הרא"ש</w:t>
      </w:r>
      <w:r>
        <w:rPr>
          <w:rFonts w:hint="cs"/>
          <w:rtl/>
        </w:rPr>
        <w:t xml:space="preserve"> לפי"ז, אך עיי"ש במה שדחה </w:t>
      </w:r>
      <w:r w:rsidRPr="007C387B">
        <w:rPr>
          <w:rStyle w:val="af9"/>
          <w:rFonts w:hint="cs"/>
          <w:rtl/>
        </w:rPr>
        <w:t>המשל"מ</w:t>
      </w:r>
      <w:r>
        <w:rPr>
          <w:rFonts w:hint="cs"/>
          <w:rtl/>
        </w:rPr>
        <w:t xml:space="preserve"> </w:t>
      </w:r>
      <w:r w:rsidRPr="00BC791D">
        <w:rPr>
          <w:rStyle w:val="af7"/>
          <w:rFonts w:eastAsia="Guttman Hodes" w:hint="cs"/>
          <w:rtl/>
        </w:rPr>
        <w:t>(טו"נ פי"ד הי"ד ד"ה ומ"מ אעיקרא</w:t>
      </w:r>
      <w:r w:rsidR="009B209D" w:rsidRPr="009B209D">
        <w:rPr>
          <w:rStyle w:val="af7"/>
          <w:rFonts w:eastAsia="Guttman Hodes"/>
          <w:rtl/>
        </w:rPr>
        <w:t>, הובא בסימן ט' אות נ"</w:t>
      </w:r>
      <w:r w:rsidR="009B209D">
        <w:rPr>
          <w:rStyle w:val="af7"/>
          <w:rFonts w:eastAsia="Guttman Hodes" w:hint="cs"/>
          <w:rtl/>
        </w:rPr>
        <w:t>ו</w:t>
      </w:r>
      <w:r w:rsidR="009B209D" w:rsidRPr="009B209D">
        <w:rPr>
          <w:rStyle w:val="af7"/>
          <w:rFonts w:eastAsia="Guttman Hodes"/>
          <w:rtl/>
        </w:rPr>
        <w:t xml:space="preserve">) </w:t>
      </w:r>
      <w:r>
        <w:rPr>
          <w:rFonts w:hint="cs"/>
          <w:rtl/>
        </w:rPr>
        <w:t xml:space="preserve">דלא משמע שזו כוונת </w:t>
      </w:r>
      <w:r w:rsidRPr="00684601">
        <w:rPr>
          <w:rStyle w:val="af9"/>
          <w:rFonts w:hint="cs"/>
          <w:rtl/>
        </w:rPr>
        <w:t>הרא"ש</w:t>
      </w:r>
      <w:r>
        <w:rPr>
          <w:rFonts w:hint="cs"/>
          <w:rtl/>
        </w:rPr>
        <w:t>.</w:t>
      </w:r>
    </w:p>
    <w:p w:rsidR="00BC791D" w:rsidRPr="00BC791D" w:rsidRDefault="00BC791D" w:rsidP="00BC791D">
      <w:pPr>
        <w:pStyle w:val="a3"/>
        <w:rPr>
          <w:rtl/>
        </w:rPr>
      </w:pPr>
    </w:p>
    <w:p w:rsidR="0007171D" w:rsidRPr="00E53144" w:rsidRDefault="0007171D" w:rsidP="0007171D">
      <w:pPr>
        <w:pStyle w:val="a3"/>
      </w:pPr>
      <w:r>
        <w:rPr>
          <w:rFonts w:hint="cs"/>
          <w:rtl/>
        </w:rPr>
        <w:lastRenderedPageBreak/>
        <w:t>ביאור המשל"מ בקו' הרא"ש על הרשב"ם דהודה המחזיק מפי המוכר והרי המוכר נאמן במיגו</w:t>
      </w:r>
    </w:p>
    <w:p w:rsidR="0007171D" w:rsidRDefault="0007171D" w:rsidP="007E4E81">
      <w:pPr>
        <w:pStyle w:val="a0"/>
        <w:rPr>
          <w:rtl/>
        </w:rPr>
      </w:pPr>
      <w:r>
        <w:rPr>
          <w:rFonts w:hint="cs"/>
          <w:rtl/>
        </w:rPr>
        <w:t xml:space="preserve">אלא ביאר </w:t>
      </w:r>
      <w:r w:rsidRPr="007C387B">
        <w:rPr>
          <w:rStyle w:val="af9"/>
          <w:rFonts w:hint="cs"/>
          <w:rtl/>
        </w:rPr>
        <w:t>המשל"מ</w:t>
      </w:r>
      <w:r>
        <w:rPr>
          <w:rStyle w:val="af9"/>
          <w:rFonts w:hint="cs"/>
          <w:rtl/>
        </w:rPr>
        <w:t xml:space="preserve"> בביאורו הב'</w:t>
      </w:r>
      <w:r>
        <w:rPr>
          <w:rFonts w:hint="cs"/>
          <w:rtl/>
        </w:rPr>
        <w:t xml:space="preserve"> </w:t>
      </w:r>
      <w:r w:rsidRPr="00B84287">
        <w:rPr>
          <w:rStyle w:val="af7"/>
          <w:rFonts w:eastAsia="Guttman Hodes" w:hint="cs"/>
          <w:rtl/>
        </w:rPr>
        <w:t xml:space="preserve">(טו"נ פי"ד הי"ד ד"ה ומ"מ אעיקרא) </w:t>
      </w:r>
      <w:r>
        <w:rPr>
          <w:rFonts w:hint="cs"/>
          <w:rtl/>
        </w:rPr>
        <w:t xml:space="preserve">דכוונת </w:t>
      </w:r>
      <w:r w:rsidRPr="00684601">
        <w:rPr>
          <w:rStyle w:val="af9"/>
          <w:rFonts w:hint="cs"/>
          <w:rtl/>
        </w:rPr>
        <w:t>הרא"ש</w:t>
      </w:r>
      <w:r>
        <w:rPr>
          <w:rFonts w:hint="cs"/>
          <w:rtl/>
        </w:rPr>
        <w:t xml:space="preserve"> </w:t>
      </w:r>
      <w:r w:rsidRPr="00B84287">
        <w:rPr>
          <w:rStyle w:val="af7"/>
          <w:rFonts w:eastAsia="Guttman Hodes" w:hint="cs"/>
          <w:rtl/>
        </w:rPr>
        <w:t xml:space="preserve">(עי' אות </w:t>
      </w:r>
      <w:r w:rsidRPr="00B84287">
        <w:rPr>
          <w:rStyle w:val="af7"/>
          <w:rFonts w:eastAsia="Guttman Hodes"/>
          <w:rtl/>
        </w:rPr>
        <w:fldChar w:fldCharType="begin"/>
      </w:r>
      <w:r w:rsidRPr="00B84287">
        <w:rPr>
          <w:rStyle w:val="af7"/>
          <w:rFonts w:eastAsia="Guttman Hodes"/>
          <w:rtl/>
        </w:rPr>
        <w:instrText xml:space="preserve"> </w:instrText>
      </w:r>
      <w:r w:rsidRPr="00B84287">
        <w:rPr>
          <w:rStyle w:val="af7"/>
          <w:rFonts w:eastAsia="Guttman Hodes" w:hint="cs"/>
        </w:rPr>
        <w:instrText>REF</w:instrText>
      </w:r>
      <w:r w:rsidRPr="00B84287">
        <w:rPr>
          <w:rStyle w:val="af7"/>
          <w:rFonts w:eastAsia="Guttman Hodes" w:hint="cs"/>
          <w:rtl/>
        </w:rPr>
        <w:instrText xml:space="preserve"> _</w:instrText>
      </w:r>
      <w:r w:rsidRPr="00B84287">
        <w:rPr>
          <w:rStyle w:val="af7"/>
          <w:rFonts w:eastAsia="Guttman Hodes" w:hint="cs"/>
        </w:rPr>
        <w:instrText>Ref58764069 \r \h</w:instrText>
      </w:r>
      <w:r w:rsidRPr="00B84287">
        <w:rPr>
          <w:rStyle w:val="af7"/>
          <w:rFonts w:eastAsia="Guttman Hodes"/>
          <w:rtl/>
        </w:rPr>
        <w:instrText xml:space="preserve"> </w:instrText>
      </w:r>
      <w:r w:rsidRPr="00B84287">
        <w:rPr>
          <w:rStyle w:val="af7"/>
          <w:rFonts w:eastAsia="Guttman Hodes"/>
          <w:rtl/>
        </w:rPr>
      </w:r>
      <w:r w:rsidRPr="00B84287">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B84287">
        <w:rPr>
          <w:rStyle w:val="af7"/>
          <w:rFonts w:eastAsia="Guttman Hodes"/>
          <w:rtl/>
        </w:rPr>
        <w:fldChar w:fldCharType="end"/>
      </w:r>
      <w:r>
        <w:rPr>
          <w:rFonts w:hint="cs"/>
          <w:rtl/>
        </w:rPr>
        <w:t xml:space="preserve"> להקשות על דברי </w:t>
      </w:r>
      <w:r w:rsidRPr="00775FC8">
        <w:rPr>
          <w:rStyle w:val="af9"/>
          <w:rFonts w:hint="cs"/>
          <w:rtl/>
        </w:rPr>
        <w:t>הרשב"ם</w:t>
      </w:r>
      <w:r>
        <w:rPr>
          <w:rFonts w:hint="cs"/>
          <w:rtl/>
        </w:rPr>
        <w:t xml:space="preserve"> </w:t>
      </w:r>
      <w:r w:rsidRPr="00B84287">
        <w:rPr>
          <w:rStyle w:val="af7"/>
          <w:rFonts w:eastAsia="Guttman Hodes" w:hint="cs"/>
          <w:rtl/>
        </w:rPr>
        <w:t xml:space="preserve">(עי' אות </w:t>
      </w:r>
      <w:r w:rsidRPr="00B84287">
        <w:rPr>
          <w:rStyle w:val="af7"/>
          <w:rFonts w:eastAsia="Guttman Hodes"/>
          <w:rtl/>
        </w:rPr>
        <w:fldChar w:fldCharType="begin"/>
      </w:r>
      <w:r w:rsidRPr="00B84287">
        <w:rPr>
          <w:rStyle w:val="af7"/>
          <w:rFonts w:eastAsia="Guttman Hodes"/>
          <w:rtl/>
        </w:rPr>
        <w:instrText xml:space="preserve"> </w:instrText>
      </w:r>
      <w:r w:rsidRPr="00B84287">
        <w:rPr>
          <w:rStyle w:val="af7"/>
          <w:rFonts w:eastAsia="Guttman Hodes" w:hint="cs"/>
        </w:rPr>
        <w:instrText>REF</w:instrText>
      </w:r>
      <w:r w:rsidRPr="00B84287">
        <w:rPr>
          <w:rStyle w:val="af7"/>
          <w:rFonts w:eastAsia="Guttman Hodes" w:hint="cs"/>
          <w:rtl/>
        </w:rPr>
        <w:instrText xml:space="preserve"> _</w:instrText>
      </w:r>
      <w:r w:rsidRPr="00B84287">
        <w:rPr>
          <w:rStyle w:val="af7"/>
          <w:rFonts w:eastAsia="Guttman Hodes" w:hint="cs"/>
        </w:rPr>
        <w:instrText>Ref58342126 \r \h</w:instrText>
      </w:r>
      <w:r w:rsidRPr="00B84287">
        <w:rPr>
          <w:rStyle w:val="af7"/>
          <w:rFonts w:eastAsia="Guttman Hodes"/>
          <w:rtl/>
        </w:rPr>
        <w:instrText xml:space="preserve"> </w:instrText>
      </w:r>
      <w:r w:rsidRPr="00B84287">
        <w:rPr>
          <w:rStyle w:val="af7"/>
          <w:rFonts w:eastAsia="Guttman Hodes"/>
          <w:rtl/>
        </w:rPr>
      </w:r>
      <w:r w:rsidRPr="00B84287">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B84287">
        <w:rPr>
          <w:rStyle w:val="af7"/>
          <w:rFonts w:eastAsia="Guttman Hodes"/>
          <w:rtl/>
        </w:rPr>
        <w:fldChar w:fldCharType="end"/>
      </w:r>
      <w:r>
        <w:rPr>
          <w:rFonts w:hint="cs"/>
          <w:rtl/>
        </w:rPr>
        <w:t xml:space="preserve"> דכתב דהמחזיק צריך להחזיר למערער כיון שהודה למערער, וביאר </w:t>
      </w:r>
      <w:r w:rsidRPr="005B0A45">
        <w:rPr>
          <w:rStyle w:val="af9"/>
          <w:rFonts w:hint="cs"/>
          <w:rtl/>
        </w:rPr>
        <w:t>הרא"ש</w:t>
      </w:r>
      <w:r>
        <w:rPr>
          <w:rFonts w:hint="cs"/>
          <w:rtl/>
        </w:rPr>
        <w:t xml:space="preserve"> </w:t>
      </w:r>
      <w:r w:rsidRPr="00B84287">
        <w:rPr>
          <w:rStyle w:val="af7"/>
          <w:rFonts w:eastAsia="Guttman Hodes" w:hint="cs"/>
          <w:rtl/>
        </w:rPr>
        <w:t xml:space="preserve">(עי' אות </w:t>
      </w:r>
      <w:r w:rsidRPr="00B84287">
        <w:rPr>
          <w:rStyle w:val="af7"/>
          <w:rFonts w:eastAsia="Guttman Hodes"/>
          <w:rtl/>
        </w:rPr>
        <w:fldChar w:fldCharType="begin"/>
      </w:r>
      <w:r w:rsidRPr="00B84287">
        <w:rPr>
          <w:rStyle w:val="af7"/>
          <w:rFonts w:eastAsia="Guttman Hodes"/>
          <w:rtl/>
        </w:rPr>
        <w:instrText xml:space="preserve"> </w:instrText>
      </w:r>
      <w:r w:rsidRPr="00B84287">
        <w:rPr>
          <w:rStyle w:val="af7"/>
          <w:rFonts w:eastAsia="Guttman Hodes" w:hint="cs"/>
        </w:rPr>
        <w:instrText>REF</w:instrText>
      </w:r>
      <w:r w:rsidRPr="00B84287">
        <w:rPr>
          <w:rStyle w:val="af7"/>
          <w:rFonts w:eastAsia="Guttman Hodes" w:hint="cs"/>
          <w:rtl/>
        </w:rPr>
        <w:instrText xml:space="preserve"> _</w:instrText>
      </w:r>
      <w:r w:rsidRPr="00B84287">
        <w:rPr>
          <w:rStyle w:val="af7"/>
          <w:rFonts w:eastAsia="Guttman Hodes" w:hint="cs"/>
        </w:rPr>
        <w:instrText>Ref58750522 \r \h</w:instrText>
      </w:r>
      <w:r w:rsidRPr="00B84287">
        <w:rPr>
          <w:rStyle w:val="af7"/>
          <w:rFonts w:eastAsia="Guttman Hodes"/>
          <w:rtl/>
        </w:rPr>
        <w:instrText xml:space="preserve"> </w:instrText>
      </w:r>
      <w:r w:rsidRPr="00B84287">
        <w:rPr>
          <w:rStyle w:val="af7"/>
          <w:rFonts w:eastAsia="Guttman Hodes"/>
          <w:rtl/>
        </w:rPr>
      </w:r>
      <w:r w:rsidRPr="00B84287">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B84287">
        <w:rPr>
          <w:rStyle w:val="af7"/>
          <w:rFonts w:eastAsia="Guttman Hodes"/>
          <w:rtl/>
        </w:rPr>
        <w:fldChar w:fldCharType="end"/>
      </w:r>
      <w:r>
        <w:rPr>
          <w:rFonts w:hint="cs"/>
          <w:rtl/>
        </w:rPr>
        <w:t xml:space="preserve"> דכוונת </w:t>
      </w:r>
      <w:r w:rsidRPr="005B0A45">
        <w:rPr>
          <w:rStyle w:val="af9"/>
          <w:rFonts w:hint="cs"/>
          <w:rtl/>
        </w:rPr>
        <w:t>הרשב"ם</w:t>
      </w:r>
      <w:r>
        <w:rPr>
          <w:rFonts w:hint="cs"/>
          <w:rtl/>
        </w:rPr>
        <w:t xml:space="preserve"> לומר דלכן הוא צריך להחזיר למערער, דהא הודה בודאי שהייתה של המערער, ואינו יודע אם המוכר קנה מהמערער, א"כ אין ספק מוציא מידי ודאי, </w:t>
      </w:r>
      <w:bookmarkStart w:id="8487" w:name="_Ref58939554"/>
      <w:r>
        <w:rPr>
          <w:rFonts w:hint="cs"/>
          <w:rtl/>
        </w:rPr>
        <w:t xml:space="preserve">וכתב </w:t>
      </w:r>
      <w:r w:rsidRPr="005B0A45">
        <w:rPr>
          <w:rStyle w:val="af9"/>
          <w:rFonts w:hint="cs"/>
          <w:rtl/>
        </w:rPr>
        <w:t>המשל"מ</w:t>
      </w:r>
      <w:r>
        <w:rPr>
          <w:rFonts w:hint="cs"/>
          <w:rtl/>
        </w:rPr>
        <w:t xml:space="preserve"> דע"ז הקשה </w:t>
      </w:r>
      <w:r w:rsidRPr="00684601">
        <w:rPr>
          <w:rStyle w:val="af9"/>
          <w:rFonts w:hint="cs"/>
          <w:rtl/>
        </w:rPr>
        <w:t>הרא"ש</w:t>
      </w:r>
      <w:r>
        <w:rPr>
          <w:rFonts w:hint="cs"/>
          <w:rtl/>
        </w:rPr>
        <w:t xml:space="preserve"> דלא מוכח כלל דהמחזיק הודה בפירוש למערער, ורק שמע כן מפי המוכר, ואם המוכר עצמו היה טוען לפנינו היה נאמן במיגו דלא הייתה של המערער מעולם, א"כ אף המחזיק שבא מכח המערער צריך להיות נאמן בטענה זו.</w:t>
      </w:r>
      <w:bookmarkEnd w:id="8487"/>
    </w:p>
    <w:p w:rsidR="0007171D" w:rsidRDefault="0007171D" w:rsidP="0007171D">
      <w:pPr>
        <w:pStyle w:val="a3"/>
        <w:rPr>
          <w:rtl/>
        </w:rPr>
      </w:pPr>
      <w:bookmarkStart w:id="8488" w:name="_Toc59007029"/>
      <w:bookmarkStart w:id="8489" w:name="_Toc59013507"/>
      <w:bookmarkStart w:id="8490" w:name="_Toc59013755"/>
      <w:bookmarkStart w:id="8491" w:name="_Toc59025821"/>
      <w:r>
        <w:rPr>
          <w:rFonts w:hint="cs"/>
          <w:rtl/>
        </w:rPr>
        <w:t>דברי המשל"מ דהרא"ש הקשה על הרשב"ם כקו' הרמב"ן על הראב"ד דהמחזיק נאמן כמוכר</w:t>
      </w:r>
      <w:bookmarkEnd w:id="8488"/>
      <w:bookmarkEnd w:id="8489"/>
      <w:bookmarkEnd w:id="8490"/>
      <w:bookmarkEnd w:id="8491"/>
    </w:p>
    <w:p w:rsidR="0007171D" w:rsidRDefault="0007171D" w:rsidP="007E4E81">
      <w:pPr>
        <w:pStyle w:val="a0"/>
        <w:rPr>
          <w:rFonts w:asciiTheme="minorHAnsi" w:hAnsiTheme="minorHAnsi"/>
          <w:rtl/>
        </w:rPr>
      </w:pPr>
      <w:r>
        <w:rPr>
          <w:rFonts w:hint="cs"/>
          <w:rtl/>
        </w:rPr>
        <w:t xml:space="preserve">וכתב </w:t>
      </w:r>
      <w:r w:rsidRPr="001172A8">
        <w:rPr>
          <w:rStyle w:val="af9"/>
          <w:rFonts w:hint="cs"/>
          <w:rtl/>
        </w:rPr>
        <w:t>המשל"מ</w:t>
      </w:r>
      <w:r>
        <w:rPr>
          <w:rFonts w:hint="cs"/>
          <w:rtl/>
        </w:rPr>
        <w:t xml:space="preserve"> </w:t>
      </w:r>
      <w:r w:rsidRPr="002F6636">
        <w:rPr>
          <w:rStyle w:val="af7"/>
          <w:rFonts w:eastAsia="Guttman Hodes" w:hint="cs"/>
          <w:rtl/>
        </w:rPr>
        <w:t xml:space="preserve">(טו"נ פי"ד הי"ד ד"ה והן) </w:t>
      </w:r>
      <w:r>
        <w:rPr>
          <w:rFonts w:hint="cs"/>
          <w:rtl/>
        </w:rPr>
        <w:t xml:space="preserve">דלפי"ז קושית </w:t>
      </w:r>
      <w:r w:rsidRPr="001172A8">
        <w:rPr>
          <w:rStyle w:val="af9"/>
          <w:rFonts w:hint="cs"/>
          <w:rtl/>
        </w:rPr>
        <w:t>הרא"ש</w:t>
      </w:r>
      <w:r>
        <w:rPr>
          <w:rFonts w:hint="cs"/>
          <w:rtl/>
        </w:rPr>
        <w:t xml:space="preserve"> היא כקושית </w:t>
      </w:r>
      <w:r w:rsidRPr="001172A8">
        <w:rPr>
          <w:rStyle w:val="af9"/>
          <w:rFonts w:hint="cs"/>
          <w:rtl/>
        </w:rPr>
        <w:t>הרמב"ן</w:t>
      </w:r>
      <w:r>
        <w:rPr>
          <w:rFonts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Ref58702147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2F6636">
        <w:rPr>
          <w:rStyle w:val="af7"/>
          <w:rFonts w:eastAsia="Guttman Hodes"/>
          <w:rtl/>
        </w:rPr>
        <w:fldChar w:fldCharType="end"/>
      </w:r>
      <w:r>
        <w:rPr>
          <w:rFonts w:hint="cs"/>
          <w:rtl/>
        </w:rPr>
        <w:t xml:space="preserve"> על </w:t>
      </w:r>
      <w:r w:rsidRPr="001172A8">
        <w:rPr>
          <w:rStyle w:val="af9"/>
          <w:rFonts w:hint="cs"/>
          <w:rtl/>
        </w:rPr>
        <w:t>הראב"ד</w:t>
      </w:r>
      <w:r>
        <w:rPr>
          <w:rStyle w:val="af9"/>
          <w:rFonts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Ref58702050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2F6636">
        <w:rPr>
          <w:rStyle w:val="af7"/>
          <w:rFonts w:eastAsia="Guttman Hodes"/>
          <w:rtl/>
        </w:rPr>
        <w:fldChar w:fldCharType="end"/>
      </w:r>
      <w:r>
        <w:rPr>
          <w:rFonts w:hint="cs"/>
          <w:rtl/>
        </w:rPr>
        <w:t>, דהמחזיק יהיה נאמן לומר שכך אמר לו המוכר, במיגו דהיה טוען למערער שלא הייתה שלו מעולם, וכיון שהוא נאמן לומר שכך אמר לו המוכר, א"כ המוכר עצמו נאמן בטענה שקנה מהמערער, דיש לו מיגו דהיה טוען שלא הייתה של המערער מעולם.</w:t>
      </w:r>
    </w:p>
    <w:p w:rsidR="0007171D" w:rsidRPr="001172A8" w:rsidRDefault="0007171D" w:rsidP="0007171D">
      <w:pPr>
        <w:pStyle w:val="a3"/>
      </w:pPr>
      <w:bookmarkStart w:id="8492" w:name="_Toc59007030"/>
      <w:bookmarkStart w:id="8493" w:name="_Toc59013508"/>
      <w:bookmarkStart w:id="8494" w:name="_Toc59013756"/>
      <w:bookmarkStart w:id="8495" w:name="_Toc59025822"/>
      <w:r>
        <w:rPr>
          <w:rFonts w:hint="cs"/>
          <w:rtl/>
        </w:rPr>
        <w:t>ביאור המשל"מ ברא"ש דלדברי רבינו יונה מיושב דהודה המחזיק ול"מ מיגו דהוא ספק וודאי</w:t>
      </w:r>
      <w:bookmarkEnd w:id="8492"/>
      <w:bookmarkEnd w:id="8493"/>
      <w:bookmarkEnd w:id="8494"/>
      <w:bookmarkEnd w:id="8495"/>
    </w:p>
    <w:p w:rsidR="0007171D" w:rsidRDefault="0007171D" w:rsidP="007E4E81">
      <w:pPr>
        <w:pStyle w:val="a0"/>
        <w:rPr>
          <w:rFonts w:asciiTheme="minorHAnsi" w:hAnsiTheme="minorHAnsi"/>
          <w:rtl/>
        </w:rPr>
      </w:pPr>
      <w:bookmarkStart w:id="8496" w:name="_Ref58939572"/>
      <w:r>
        <w:rPr>
          <w:rFonts w:hint="cs"/>
          <w:rtl/>
        </w:rPr>
        <w:t xml:space="preserve">וכתב </w:t>
      </w:r>
      <w:r w:rsidRPr="001172A8">
        <w:rPr>
          <w:rStyle w:val="af9"/>
          <w:rFonts w:hint="cs"/>
          <w:rtl/>
        </w:rPr>
        <w:t>המשל"מ</w:t>
      </w:r>
      <w:r>
        <w:rPr>
          <w:rFonts w:hint="cs"/>
          <w:rtl/>
        </w:rPr>
        <w:t xml:space="preserve"> דע"ז הביא </w:t>
      </w:r>
      <w:r w:rsidRPr="001172A8">
        <w:rPr>
          <w:rStyle w:val="af9"/>
          <w:rFonts w:hint="cs"/>
          <w:rtl/>
        </w:rPr>
        <w:t>הרא"ש</w:t>
      </w:r>
      <w:r>
        <w:rPr>
          <w:rFonts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Ref58764353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2F6636">
        <w:rPr>
          <w:rStyle w:val="af7"/>
          <w:rFonts w:eastAsia="Guttman Hodes"/>
          <w:rtl/>
        </w:rPr>
        <w:fldChar w:fldCharType="end"/>
      </w:r>
      <w:r>
        <w:rPr>
          <w:rFonts w:hint="cs"/>
          <w:rtl/>
        </w:rPr>
        <w:t xml:space="preserve"> את דברי </w:t>
      </w:r>
      <w:r w:rsidRPr="001172A8">
        <w:rPr>
          <w:rStyle w:val="af9"/>
          <w:rFonts w:hint="cs"/>
          <w:rtl/>
        </w:rPr>
        <w:t>רבינו</w:t>
      </w:r>
      <w:r>
        <w:rPr>
          <w:rFonts w:hint="cs"/>
          <w:rtl/>
        </w:rPr>
        <w:t xml:space="preserve"> </w:t>
      </w:r>
      <w:r w:rsidRPr="001172A8">
        <w:rPr>
          <w:rStyle w:val="af9"/>
          <w:rFonts w:hint="cs"/>
          <w:rtl/>
        </w:rPr>
        <w:t>יונה</w:t>
      </w:r>
      <w:r>
        <w:rPr>
          <w:rFonts w:hint="cs"/>
          <w:rtl/>
        </w:rPr>
        <w:t xml:space="preserve"> דהמחזיק הודה בפירוש, וא"כ לא מהני למחזיק המיגו, דאף אם נאמין לו שכך אמר לו המוכר, מ"מ מוציאין מידו, דהוא מודה בודאי שהייתה של המערער, והוא מסופק אם המוכר קנה מהמערער, ואין ספק מוציא מידי ודאי, </w:t>
      </w:r>
      <w:r>
        <w:rPr>
          <w:rFonts w:asciiTheme="minorHAnsi" w:hAnsiTheme="minorHAnsi" w:hint="cs"/>
          <w:rtl/>
        </w:rPr>
        <w:t xml:space="preserve">וכדברי </w:t>
      </w:r>
      <w:r w:rsidRPr="001172A8">
        <w:rPr>
          <w:rStyle w:val="af9"/>
          <w:rFonts w:hint="cs"/>
          <w:rtl/>
        </w:rPr>
        <w:t>הרמב"ן</w:t>
      </w:r>
      <w:r>
        <w:rPr>
          <w:rFonts w:asciiTheme="minorHAnsi" w:hAnsiTheme="minorHAnsi"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Ref57911882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2F6636">
        <w:rPr>
          <w:rStyle w:val="af7"/>
          <w:rFonts w:eastAsia="Guttman Hodes"/>
          <w:rtl/>
        </w:rPr>
        <w:fldChar w:fldCharType="end"/>
      </w:r>
      <w:r>
        <w:rPr>
          <w:rFonts w:asciiTheme="minorHAnsi" w:hAnsiTheme="minorHAnsi" w:hint="cs"/>
          <w:rtl/>
        </w:rPr>
        <w:t>.</w:t>
      </w:r>
      <w:bookmarkEnd w:id="8496"/>
    </w:p>
    <w:p w:rsidR="0007171D" w:rsidRPr="00DC2195" w:rsidRDefault="0007171D" w:rsidP="0007171D">
      <w:pPr>
        <w:pStyle w:val="a3"/>
      </w:pPr>
      <w:bookmarkStart w:id="8497" w:name="_Toc59007031"/>
      <w:bookmarkStart w:id="8498" w:name="_Toc59013509"/>
      <w:bookmarkStart w:id="8499" w:name="_Toc59013757"/>
      <w:bookmarkStart w:id="8500" w:name="_Toc59025823"/>
      <w:r>
        <w:rPr>
          <w:rFonts w:hint="cs"/>
          <w:rtl/>
        </w:rPr>
        <w:t>ביאור המשל"מ ברא"ש דאין למחזיק מיגו וא"כ אין הוכחה לדברי רבינו יונה דהודה המחזיק</w:t>
      </w:r>
      <w:bookmarkEnd w:id="8497"/>
      <w:bookmarkEnd w:id="8498"/>
      <w:bookmarkEnd w:id="8499"/>
      <w:bookmarkEnd w:id="8500"/>
    </w:p>
    <w:p w:rsidR="0007171D" w:rsidRPr="005471D1" w:rsidRDefault="0007171D" w:rsidP="007E4E81">
      <w:pPr>
        <w:pStyle w:val="a0"/>
        <w:rPr>
          <w:rtl/>
        </w:rPr>
      </w:pPr>
      <w:bookmarkStart w:id="8501" w:name="_Ref58939582"/>
      <w:r>
        <w:rPr>
          <w:rFonts w:asciiTheme="minorHAnsi" w:hAnsiTheme="minorHAnsi" w:hint="cs"/>
          <w:rtl/>
        </w:rPr>
        <w:t xml:space="preserve">וביאר </w:t>
      </w:r>
      <w:r w:rsidRPr="005471D1">
        <w:rPr>
          <w:rStyle w:val="af9"/>
          <w:rFonts w:hint="cs"/>
          <w:rtl/>
        </w:rPr>
        <w:t>המשל"מ</w:t>
      </w:r>
      <w:r>
        <w:rPr>
          <w:rFonts w:asciiTheme="minorHAnsi" w:hAnsiTheme="minorHAnsi" w:hint="cs"/>
          <w:rtl/>
        </w:rPr>
        <w:t xml:space="preserve"> דמ"ש </w:t>
      </w:r>
      <w:r w:rsidRPr="001172A8">
        <w:rPr>
          <w:rStyle w:val="af9"/>
          <w:rFonts w:hint="cs"/>
          <w:rtl/>
        </w:rPr>
        <w:t>הרא"ש</w:t>
      </w:r>
      <w:r>
        <w:rPr>
          <w:rFonts w:asciiTheme="minorHAnsi" w:hAnsiTheme="minorHAnsi"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Ref57911051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2F6636">
        <w:rPr>
          <w:rStyle w:val="af7"/>
          <w:rFonts w:eastAsia="Guttman Hodes"/>
          <w:rtl/>
        </w:rPr>
        <w:fldChar w:fldCharType="end"/>
      </w:r>
      <w:r>
        <w:rPr>
          <w:rFonts w:asciiTheme="minorHAnsi" w:hAnsiTheme="minorHAnsi" w:hint="cs"/>
          <w:rtl/>
        </w:rPr>
        <w:t xml:space="preserve"> דהמחזיק אינו נאמן במיגו, כוונתו לדחות את דברי </w:t>
      </w:r>
      <w:r w:rsidRPr="005471D1">
        <w:rPr>
          <w:rStyle w:val="af9"/>
          <w:rFonts w:hint="cs"/>
          <w:rtl/>
        </w:rPr>
        <w:t>רבינו יונה</w:t>
      </w:r>
      <w:r>
        <w:rPr>
          <w:rFonts w:asciiTheme="minorHAnsi" w:hAnsiTheme="minorHAnsi"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Ref58764353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2F6636">
        <w:rPr>
          <w:rStyle w:val="af7"/>
          <w:rFonts w:eastAsia="Guttman Hodes"/>
          <w:rtl/>
        </w:rPr>
        <w:fldChar w:fldCharType="end"/>
      </w:r>
      <w:r>
        <w:rPr>
          <w:rFonts w:hint="cs"/>
          <w:rtl/>
        </w:rPr>
        <w:t xml:space="preserve"> </w:t>
      </w:r>
      <w:r>
        <w:rPr>
          <w:rFonts w:asciiTheme="minorHAnsi" w:hAnsiTheme="minorHAnsi" w:hint="cs"/>
          <w:rtl/>
        </w:rPr>
        <w:t xml:space="preserve">דאין כל </w:t>
      </w:r>
      <w:r w:rsidRPr="005471D1">
        <w:rPr>
          <w:rFonts w:hint="cs"/>
          <w:rtl/>
        </w:rPr>
        <w:t>הוכחה דהמחזיק הודה למערער, ואעפ"י דהמוכר היה נאמן בטענתו שקנה מהמהערער במיגו דלא הייתה של המערער מעולם, מ"מ המחזיק אינו נאמן בזה, כיון שלמחזיק אינו מיגו טוב דהוא ירא לטעון שלא הייתה של המערער מעולם.</w:t>
      </w:r>
      <w:bookmarkEnd w:id="8501"/>
    </w:p>
    <w:p w:rsidR="0007171D" w:rsidRPr="002F6636" w:rsidRDefault="0007171D" w:rsidP="0007171D">
      <w:pPr>
        <w:pStyle w:val="1"/>
        <w:rPr>
          <w:rtl/>
        </w:rPr>
      </w:pPr>
      <w:bookmarkStart w:id="8502" w:name="_Toc58843025"/>
      <w:bookmarkStart w:id="8503" w:name="_Toc58876234"/>
      <w:bookmarkStart w:id="8504" w:name="_Toc58877647"/>
      <w:bookmarkStart w:id="8505" w:name="_Toc58914706"/>
      <w:bookmarkStart w:id="8506" w:name="_Toc58926007"/>
      <w:bookmarkStart w:id="8507" w:name="_Toc58930074"/>
      <w:bookmarkStart w:id="8508" w:name="_Toc58938233"/>
      <w:bookmarkStart w:id="8509" w:name="_Toc59007032"/>
      <w:bookmarkStart w:id="8510" w:name="_Toc59013510"/>
      <w:bookmarkStart w:id="8511" w:name="_Toc59013758"/>
      <w:bookmarkStart w:id="8512" w:name="_Toc59025824"/>
      <w:r>
        <w:rPr>
          <w:rFonts w:hint="cs"/>
          <w:rtl/>
        </w:rPr>
        <w:t>ביאור המשל"מ בפלוגתת הרא"ש והרמב"ן</w:t>
      </w:r>
      <w:bookmarkEnd w:id="8502"/>
      <w:bookmarkEnd w:id="8503"/>
      <w:bookmarkEnd w:id="8504"/>
      <w:bookmarkEnd w:id="8505"/>
      <w:bookmarkEnd w:id="8506"/>
      <w:bookmarkEnd w:id="8507"/>
      <w:bookmarkEnd w:id="8508"/>
      <w:r>
        <w:rPr>
          <w:rFonts w:hint="cs"/>
          <w:rtl/>
        </w:rPr>
        <w:t xml:space="preserve"> במיגו דלהד"ם</w:t>
      </w:r>
      <w:bookmarkEnd w:id="8509"/>
      <w:bookmarkEnd w:id="8510"/>
      <w:bookmarkEnd w:id="8511"/>
      <w:bookmarkEnd w:id="8512"/>
    </w:p>
    <w:p w:rsidR="0007171D" w:rsidRPr="009322E6" w:rsidRDefault="0007171D" w:rsidP="0007171D">
      <w:pPr>
        <w:pStyle w:val="a3"/>
      </w:pPr>
      <w:bookmarkStart w:id="8513" w:name="_Toc59007033"/>
      <w:bookmarkStart w:id="8514" w:name="_Toc59013511"/>
      <w:bookmarkStart w:id="8515" w:name="_Toc59013759"/>
      <w:bookmarkStart w:id="8516" w:name="_Toc59025825"/>
      <w:r>
        <w:rPr>
          <w:rFonts w:hint="cs"/>
          <w:rtl/>
        </w:rPr>
        <w:t>ביאור המשל"מ דהא דהמחזיק אינו נאמן במה שא"ל המוכר ולא במה שאומר שקנה מהמוכר</w:t>
      </w:r>
      <w:bookmarkEnd w:id="8513"/>
      <w:bookmarkEnd w:id="8514"/>
      <w:bookmarkEnd w:id="8515"/>
      <w:bookmarkEnd w:id="8516"/>
      <w:r>
        <w:rPr>
          <w:rFonts w:hint="cs"/>
          <w:rtl/>
        </w:rPr>
        <w:t xml:space="preserve"> </w:t>
      </w:r>
    </w:p>
    <w:p w:rsidR="0007171D" w:rsidRDefault="0007171D" w:rsidP="007E4E81">
      <w:pPr>
        <w:pStyle w:val="a0"/>
        <w:rPr>
          <w:sz w:val="10"/>
          <w:szCs w:val="14"/>
          <w:rtl/>
        </w:rPr>
      </w:pPr>
      <w:r>
        <w:rPr>
          <w:rFonts w:hint="cs"/>
          <w:rtl/>
        </w:rPr>
        <w:t xml:space="preserve">וכתב </w:t>
      </w:r>
      <w:r w:rsidRPr="002F6636">
        <w:rPr>
          <w:rStyle w:val="af9"/>
          <w:rFonts w:hint="cs"/>
          <w:rtl/>
        </w:rPr>
        <w:t>המשל"מ</w:t>
      </w:r>
      <w:r>
        <w:rPr>
          <w:rFonts w:hint="cs"/>
          <w:rtl/>
        </w:rPr>
        <w:t xml:space="preserve"> </w:t>
      </w:r>
      <w:r w:rsidRPr="002F6636">
        <w:rPr>
          <w:rStyle w:val="af7"/>
          <w:rFonts w:eastAsia="Guttman Hodes" w:hint="cs"/>
          <w:rtl/>
        </w:rPr>
        <w:t>(טו"נ פי"ד הי"ד ד"ה וקודם)</w:t>
      </w:r>
      <w:r>
        <w:rPr>
          <w:rFonts w:hint="cs"/>
          <w:rtl/>
        </w:rPr>
        <w:t xml:space="preserve"> דנראה דהא דחשדינן למחזיק שהוא משקר, וצריך להאמינו מדין מיגו, אינו במה שאומר שהוא קנה מהמוכר, דהרי כתב </w:t>
      </w:r>
      <w:r w:rsidRPr="00D80E0D">
        <w:rPr>
          <w:rStyle w:val="af9"/>
          <w:rFonts w:hint="cs"/>
          <w:rtl/>
        </w:rPr>
        <w:t>הרמב"ן</w:t>
      </w:r>
      <w:r>
        <w:rPr>
          <w:rFonts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Ref58702147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2F6636">
        <w:rPr>
          <w:rStyle w:val="af7"/>
          <w:rFonts w:eastAsia="Guttman Hodes"/>
          <w:rtl/>
        </w:rPr>
        <w:fldChar w:fldCharType="end"/>
      </w:r>
      <w:r>
        <w:rPr>
          <w:rFonts w:hint="cs"/>
          <w:rtl/>
        </w:rPr>
        <w:t xml:space="preserve"> דהא דצריך המחזיק להיות נאמן במיגו, הוא במה שאומר שהמוכר אמר לו שקנה מהמערער, ומשמע דבמה שאומר שקנה מהמוכר הוא נאמן אף בלא המיגו.</w:t>
      </w:r>
      <w:r>
        <w:rPr>
          <w:rFonts w:hint="cs"/>
          <w:sz w:val="10"/>
          <w:szCs w:val="14"/>
          <w:rtl/>
        </w:rPr>
        <w:t xml:space="preserve"> [ועי' </w:t>
      </w:r>
      <w:r w:rsidRPr="000A5AE9">
        <w:rPr>
          <w:rStyle w:val="affa"/>
          <w:rFonts w:hint="cs"/>
          <w:rtl/>
        </w:rPr>
        <w:t>ברשב"ם</w:t>
      </w:r>
      <w:r w:rsidRPr="000A5AE9">
        <w:rPr>
          <w:rStyle w:val="aff6"/>
          <w:rFonts w:hint="cs"/>
          <w:rtl/>
        </w:rPr>
        <w:t xml:space="preserve"> (עי' אות </w:t>
      </w:r>
      <w:r w:rsidRPr="000A5AE9">
        <w:rPr>
          <w:rStyle w:val="aff6"/>
          <w:rtl/>
        </w:rPr>
        <w:fldChar w:fldCharType="begin"/>
      </w:r>
      <w:r w:rsidRPr="000A5AE9">
        <w:rPr>
          <w:rStyle w:val="aff6"/>
          <w:rtl/>
        </w:rPr>
        <w:instrText xml:space="preserve"> </w:instrText>
      </w:r>
      <w:r w:rsidRPr="000A5AE9">
        <w:rPr>
          <w:rStyle w:val="aff6"/>
          <w:rFonts w:hint="cs"/>
        </w:rPr>
        <w:instrText>REF</w:instrText>
      </w:r>
      <w:r w:rsidRPr="000A5AE9">
        <w:rPr>
          <w:rStyle w:val="aff6"/>
          <w:rFonts w:hint="cs"/>
          <w:rtl/>
        </w:rPr>
        <w:instrText xml:space="preserve"> _</w:instrText>
      </w:r>
      <w:r w:rsidRPr="000A5AE9">
        <w:rPr>
          <w:rStyle w:val="aff6"/>
          <w:rFonts w:hint="cs"/>
        </w:rPr>
        <w:instrText>Ref58747277 \r \h</w:instrText>
      </w:r>
      <w:r w:rsidRPr="000A5AE9">
        <w:rPr>
          <w:rStyle w:val="aff6"/>
          <w:rtl/>
        </w:rPr>
        <w:instrText xml:space="preserve"> </w:instrText>
      </w:r>
      <w:r w:rsidRPr="000A5AE9">
        <w:rPr>
          <w:rStyle w:val="aff6"/>
          <w:rtl/>
        </w:rPr>
      </w:r>
      <w:r w:rsidRPr="000A5AE9">
        <w:rPr>
          <w:rStyle w:val="aff6"/>
          <w:rtl/>
        </w:rPr>
        <w:fldChar w:fldCharType="separate"/>
      </w:r>
      <w:r w:rsidR="00265073">
        <w:rPr>
          <w:rStyle w:val="aff6"/>
          <w:cs/>
        </w:rPr>
        <w:t>‎</w:t>
      </w:r>
      <w:r w:rsidR="00265073">
        <w:rPr>
          <w:rStyle w:val="aff6"/>
          <w:rtl/>
        </w:rPr>
        <w:t>א)</w:t>
      </w:r>
      <w:r w:rsidRPr="000A5AE9">
        <w:rPr>
          <w:rStyle w:val="aff6"/>
          <w:rtl/>
        </w:rPr>
        <w:fldChar w:fldCharType="end"/>
      </w:r>
      <w:r>
        <w:rPr>
          <w:rFonts w:hint="cs"/>
          <w:sz w:val="10"/>
          <w:szCs w:val="14"/>
          <w:rtl/>
        </w:rPr>
        <w:t xml:space="preserve"> דכתב להדיא דיש שטר למחזיק שקנה מהמוכר].</w:t>
      </w:r>
    </w:p>
    <w:p w:rsidR="0007171D" w:rsidRPr="005471D1" w:rsidRDefault="0007171D" w:rsidP="0007171D">
      <w:pPr>
        <w:pStyle w:val="a3"/>
      </w:pPr>
      <w:bookmarkStart w:id="8517" w:name="_Toc59007034"/>
      <w:bookmarkStart w:id="8518" w:name="_Toc59013512"/>
      <w:bookmarkStart w:id="8519" w:name="_Toc59013760"/>
      <w:bookmarkStart w:id="8520" w:name="_Toc59025826"/>
      <w:r>
        <w:rPr>
          <w:rFonts w:hint="cs"/>
          <w:rtl/>
        </w:rPr>
        <w:t>דברי המשל"מ דנח' הרמב"ן והרא"ש אי המחזיק נאמן שכך אמר לו המוכר</w:t>
      </w:r>
      <w:r w:rsidRPr="000A5AE9">
        <w:rPr>
          <w:rFonts w:hint="cs"/>
          <w:rtl/>
        </w:rPr>
        <w:t xml:space="preserve"> </w:t>
      </w:r>
      <w:r>
        <w:rPr>
          <w:rFonts w:hint="cs"/>
          <w:rtl/>
        </w:rPr>
        <w:t>במיגו דלהד"ם</w:t>
      </w:r>
      <w:bookmarkEnd w:id="8517"/>
      <w:bookmarkEnd w:id="8518"/>
      <w:bookmarkEnd w:id="8519"/>
      <w:bookmarkEnd w:id="8520"/>
    </w:p>
    <w:p w:rsidR="0007171D" w:rsidRDefault="0007171D" w:rsidP="007E4E81">
      <w:pPr>
        <w:pStyle w:val="a0"/>
        <w:rPr>
          <w:rStyle w:val="afb"/>
          <w:rtl/>
        </w:rPr>
      </w:pPr>
      <w:bookmarkStart w:id="8521" w:name="_Ref58836319"/>
      <w:r>
        <w:rPr>
          <w:rFonts w:hint="cs"/>
          <w:rtl/>
        </w:rPr>
        <w:t xml:space="preserve">וכתב </w:t>
      </w:r>
      <w:r w:rsidRPr="002F6636">
        <w:rPr>
          <w:rStyle w:val="af9"/>
          <w:rFonts w:hint="cs"/>
          <w:rtl/>
        </w:rPr>
        <w:t>המשל"מ</w:t>
      </w:r>
      <w:r>
        <w:rPr>
          <w:rFonts w:hint="cs"/>
          <w:rtl/>
        </w:rPr>
        <w:t xml:space="preserve"> דבנאמנות של המחזיק שכך אמר לו המוכר, נחלקו </w:t>
      </w:r>
      <w:r w:rsidRPr="002F6636">
        <w:rPr>
          <w:rStyle w:val="af9"/>
          <w:rFonts w:hint="cs"/>
          <w:rtl/>
        </w:rPr>
        <w:t>הרמב"ן והרא"ש</w:t>
      </w:r>
      <w:r>
        <w:rPr>
          <w:rFonts w:hint="cs"/>
          <w:rtl/>
        </w:rPr>
        <w:t xml:space="preserve">, </w:t>
      </w:r>
      <w:r w:rsidRPr="002F6636">
        <w:rPr>
          <w:rStyle w:val="af9"/>
          <w:rFonts w:hint="cs"/>
          <w:rtl/>
        </w:rPr>
        <w:t>דלרמב"ן</w:t>
      </w:r>
      <w:r>
        <w:rPr>
          <w:rFonts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Ref58702147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2F6636">
        <w:rPr>
          <w:rStyle w:val="af7"/>
          <w:rFonts w:eastAsia="Guttman Hodes"/>
          <w:rtl/>
        </w:rPr>
        <w:fldChar w:fldCharType="end"/>
      </w:r>
      <w:r>
        <w:rPr>
          <w:rFonts w:hint="cs"/>
          <w:rtl/>
        </w:rPr>
        <w:t xml:space="preserve"> הוא נאמן מדין מיגו, ולכן הוצרך </w:t>
      </w:r>
      <w:r w:rsidRPr="001172A8">
        <w:rPr>
          <w:rStyle w:val="af9"/>
          <w:rFonts w:hint="cs"/>
          <w:rtl/>
        </w:rPr>
        <w:t>הרמב"ן</w:t>
      </w:r>
      <w:r>
        <w:rPr>
          <w:rFonts w:asciiTheme="minorHAnsi" w:hAnsiTheme="minorHAnsi"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Ref57911882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2F6636">
        <w:rPr>
          <w:rStyle w:val="af7"/>
          <w:rFonts w:eastAsia="Guttman Hodes"/>
          <w:rtl/>
        </w:rPr>
        <w:fldChar w:fldCharType="end"/>
      </w:r>
      <w:r>
        <w:rPr>
          <w:rStyle w:val="af7"/>
          <w:rFonts w:eastAsia="Guttman Hodes" w:hint="cs"/>
          <w:rtl/>
        </w:rPr>
        <w:t xml:space="preserve"> </w:t>
      </w:r>
      <w:r>
        <w:rPr>
          <w:rFonts w:hint="cs"/>
          <w:rtl/>
        </w:rPr>
        <w:t xml:space="preserve">לבאר דאיירי שהמחזיק הודה בפירוש, ולכן מוציאין את הקרקע מידו, אבל </w:t>
      </w:r>
      <w:r w:rsidRPr="00FD7987">
        <w:rPr>
          <w:rStyle w:val="af9"/>
          <w:rFonts w:hint="cs"/>
          <w:rtl/>
        </w:rPr>
        <w:t>הרא"ש</w:t>
      </w:r>
      <w:r w:rsidRPr="00FD7987">
        <w:rPr>
          <w:rFonts w:hint="cs"/>
          <w:rtl/>
        </w:rPr>
        <w:t xml:space="preserve"> ס"ל דאינו נאמן במה שאומר שכך אמר לו המוכר, דהא אין לו מיגו, כדביאר </w:t>
      </w:r>
      <w:r w:rsidRPr="00FD7987">
        <w:rPr>
          <w:rStyle w:val="af9"/>
          <w:rFonts w:hint="cs"/>
          <w:rtl/>
        </w:rPr>
        <w:t>הרא"ש</w:t>
      </w:r>
      <w:r w:rsidRPr="00FD7987">
        <w:rPr>
          <w:rFonts w:asciiTheme="minorHAnsi" w:hAnsiTheme="minorHAnsi" w:hint="cs"/>
          <w:rtl/>
        </w:rPr>
        <w:t xml:space="preserve"> </w:t>
      </w:r>
      <w:r w:rsidRPr="00FD7987">
        <w:rPr>
          <w:rStyle w:val="af7"/>
          <w:rFonts w:eastAsia="Guttman Hodes" w:hint="cs"/>
          <w:rtl/>
        </w:rPr>
        <w:t xml:space="preserve">(עי' אות </w:t>
      </w:r>
      <w:r w:rsidRPr="00FD7987">
        <w:rPr>
          <w:rStyle w:val="af7"/>
          <w:rFonts w:eastAsia="Guttman Hodes"/>
          <w:rtl/>
        </w:rPr>
        <w:fldChar w:fldCharType="begin"/>
      </w:r>
      <w:r w:rsidRPr="00FD7987">
        <w:rPr>
          <w:rStyle w:val="af7"/>
          <w:rFonts w:eastAsia="Guttman Hodes"/>
          <w:rtl/>
        </w:rPr>
        <w:instrText xml:space="preserve"> </w:instrText>
      </w:r>
      <w:r w:rsidRPr="00FD7987">
        <w:rPr>
          <w:rStyle w:val="af7"/>
          <w:rFonts w:eastAsia="Guttman Hodes" w:hint="cs"/>
        </w:rPr>
        <w:instrText>REF</w:instrText>
      </w:r>
      <w:r w:rsidRPr="00FD7987">
        <w:rPr>
          <w:rStyle w:val="af7"/>
          <w:rFonts w:eastAsia="Guttman Hodes" w:hint="cs"/>
          <w:rtl/>
        </w:rPr>
        <w:instrText xml:space="preserve"> _</w:instrText>
      </w:r>
      <w:r w:rsidRPr="00FD7987">
        <w:rPr>
          <w:rStyle w:val="af7"/>
          <w:rFonts w:eastAsia="Guttman Hodes" w:hint="cs"/>
        </w:rPr>
        <w:instrText>Ref57911051 \r \h</w:instrText>
      </w:r>
      <w:r w:rsidRPr="00FD798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D7987">
        <w:rPr>
          <w:rStyle w:val="af7"/>
          <w:rFonts w:eastAsia="Guttman Hodes"/>
          <w:rtl/>
        </w:rPr>
      </w:r>
      <w:r w:rsidRPr="00FD7987">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FD7987">
        <w:rPr>
          <w:rStyle w:val="af7"/>
          <w:rFonts w:eastAsia="Guttman Hodes"/>
          <w:rtl/>
        </w:rPr>
        <w:fldChar w:fldCharType="end"/>
      </w:r>
      <w:r w:rsidRPr="00FD7987">
        <w:rPr>
          <w:rFonts w:asciiTheme="minorHAnsi" w:hAnsiTheme="minorHAnsi" w:hint="cs"/>
          <w:rtl/>
        </w:rPr>
        <w:t xml:space="preserve"> </w:t>
      </w:r>
      <w:r w:rsidRPr="00FD7987">
        <w:rPr>
          <w:rFonts w:hint="cs"/>
          <w:rtl/>
        </w:rPr>
        <w:t>דהוא ירא לטעון את טענת המיגו, שלא הייתה של המערער מעולם</w:t>
      </w:r>
      <w:r>
        <w:rPr>
          <w:rStyle w:val="af9"/>
          <w:rFonts w:hint="cs"/>
          <w:rtl/>
        </w:rPr>
        <w:t xml:space="preserve">, </w:t>
      </w:r>
      <w:r>
        <w:rPr>
          <w:rFonts w:hint="cs"/>
          <w:rtl/>
        </w:rPr>
        <w:t>ועי' במה ש</w:t>
      </w:r>
      <w:r w:rsidRPr="00FD7987">
        <w:rPr>
          <w:rFonts w:hint="cs"/>
          <w:rtl/>
        </w:rPr>
        <w:t xml:space="preserve">ביאר </w:t>
      </w:r>
      <w:r w:rsidRPr="007D25E4">
        <w:rPr>
          <w:rStyle w:val="af9"/>
          <w:rFonts w:hint="cs"/>
          <w:rtl/>
        </w:rPr>
        <w:t>הגרנ"ט</w:t>
      </w:r>
      <w:r w:rsidRPr="00FD7987">
        <w:rPr>
          <w:rFonts w:hint="cs"/>
          <w:rtl/>
        </w:rPr>
        <w:t xml:space="preserve"> </w:t>
      </w:r>
      <w:r w:rsidRPr="007D25E4">
        <w:rPr>
          <w:rStyle w:val="af7"/>
          <w:rFonts w:eastAsia="Guttman Hodes" w:hint="cs"/>
          <w:rtl/>
        </w:rPr>
        <w:t xml:space="preserve">(עי' אות </w:t>
      </w:r>
      <w:r w:rsidRPr="007D25E4">
        <w:rPr>
          <w:rStyle w:val="af7"/>
          <w:rFonts w:eastAsia="Guttman Hodes"/>
          <w:rtl/>
        </w:rPr>
        <w:fldChar w:fldCharType="begin"/>
      </w:r>
      <w:r w:rsidRPr="007D25E4">
        <w:rPr>
          <w:rStyle w:val="af7"/>
          <w:rFonts w:eastAsia="Guttman Hodes"/>
          <w:rtl/>
        </w:rPr>
        <w:instrText xml:space="preserve"> </w:instrText>
      </w:r>
      <w:r w:rsidRPr="007D25E4">
        <w:rPr>
          <w:rStyle w:val="af7"/>
          <w:rFonts w:eastAsia="Guttman Hodes" w:hint="cs"/>
        </w:rPr>
        <w:instrText>REF</w:instrText>
      </w:r>
      <w:r w:rsidRPr="007D25E4">
        <w:rPr>
          <w:rStyle w:val="af7"/>
          <w:rFonts w:eastAsia="Guttman Hodes" w:hint="cs"/>
          <w:rtl/>
        </w:rPr>
        <w:instrText xml:space="preserve"> _</w:instrText>
      </w:r>
      <w:r w:rsidRPr="007D25E4">
        <w:rPr>
          <w:rStyle w:val="af7"/>
          <w:rFonts w:eastAsia="Guttman Hodes" w:hint="cs"/>
        </w:rPr>
        <w:instrText>Ref58836296 \r \h</w:instrText>
      </w:r>
      <w:r w:rsidRPr="007D25E4">
        <w:rPr>
          <w:rStyle w:val="af7"/>
          <w:rFonts w:eastAsia="Guttman Hodes"/>
          <w:rtl/>
        </w:rPr>
        <w:instrText xml:space="preserve"> </w:instrText>
      </w:r>
      <w:r w:rsidRPr="007D25E4">
        <w:rPr>
          <w:rStyle w:val="af7"/>
          <w:rFonts w:eastAsia="Guttman Hodes"/>
          <w:rtl/>
        </w:rPr>
      </w:r>
      <w:r w:rsidRPr="007D25E4">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sidRPr="007D25E4">
        <w:rPr>
          <w:rStyle w:val="af7"/>
          <w:rFonts w:eastAsia="Guttman Hodes"/>
          <w:rtl/>
        </w:rPr>
        <w:fldChar w:fldCharType="end"/>
      </w:r>
      <w:r w:rsidRPr="00FD7987">
        <w:rPr>
          <w:rFonts w:hint="cs"/>
          <w:rtl/>
        </w:rPr>
        <w:t xml:space="preserve"> </w:t>
      </w:r>
      <w:r>
        <w:rPr>
          <w:rFonts w:hint="cs"/>
          <w:rtl/>
        </w:rPr>
        <w:t>בדברי</w:t>
      </w:r>
      <w:r w:rsidRPr="00FD7987">
        <w:rPr>
          <w:rFonts w:hint="cs"/>
          <w:rtl/>
        </w:rPr>
        <w:t xml:space="preserve"> </w:t>
      </w:r>
      <w:r w:rsidRPr="007D25E4">
        <w:rPr>
          <w:rStyle w:val="af9"/>
          <w:rFonts w:hint="cs"/>
          <w:rtl/>
        </w:rPr>
        <w:t>המשל"מ</w:t>
      </w:r>
      <w:r>
        <w:rPr>
          <w:rFonts w:hint="cs"/>
          <w:rtl/>
        </w:rPr>
        <w:t xml:space="preserve">, ובמה שהקשה </w:t>
      </w:r>
      <w:r w:rsidRPr="00266814">
        <w:rPr>
          <w:rStyle w:val="af9"/>
          <w:rFonts w:hint="cs"/>
          <w:rtl/>
        </w:rPr>
        <w:t>בחי' רבי נחום</w:t>
      </w:r>
      <w:r w:rsidRPr="00F84862">
        <w:rPr>
          <w:rStyle w:val="af7"/>
          <w:rFonts w:eastAsia="Guttman Hodes" w:hint="cs"/>
          <w:rtl/>
        </w:rPr>
        <w:t xml:space="preserve"> (עי'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Ref59022161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Pr>
          <w:rStyle w:val="af7"/>
          <w:rFonts w:eastAsia="Guttman Hodes"/>
          <w:rtl/>
        </w:rPr>
        <w:fldChar w:fldCharType="end"/>
      </w:r>
      <w:r w:rsidRPr="00F84862">
        <w:rPr>
          <w:rStyle w:val="af7"/>
          <w:rFonts w:eastAsia="Guttman Hodes" w:hint="cs"/>
          <w:rtl/>
        </w:rPr>
        <w:t xml:space="preserve"> </w:t>
      </w:r>
      <w:r>
        <w:rPr>
          <w:rFonts w:hint="cs"/>
          <w:rtl/>
        </w:rPr>
        <w:t xml:space="preserve">על דברי </w:t>
      </w:r>
      <w:r w:rsidRPr="007D25E4">
        <w:rPr>
          <w:rStyle w:val="af9"/>
          <w:rFonts w:hint="cs"/>
          <w:rtl/>
        </w:rPr>
        <w:t>המשל"מ</w:t>
      </w:r>
      <w:r>
        <w:rPr>
          <w:rFonts w:hint="cs"/>
          <w:rtl/>
        </w:rPr>
        <w:t xml:space="preserve">. </w:t>
      </w:r>
      <w:r w:rsidRPr="00FE51EF">
        <w:rPr>
          <w:rStyle w:val="afb"/>
          <w:rFonts w:hint="cs"/>
          <w:rtl/>
        </w:rPr>
        <w:t xml:space="preserve">[אבל </w:t>
      </w:r>
      <w:r w:rsidRPr="00044F28">
        <w:rPr>
          <w:rStyle w:val="affa"/>
          <w:rFonts w:hint="cs"/>
          <w:rtl/>
        </w:rPr>
        <w:t>המהרי"ט</w:t>
      </w:r>
      <w:r w:rsidRPr="00FE51EF">
        <w:rPr>
          <w:rStyle w:val="afb"/>
          <w:rFonts w:hint="cs"/>
          <w:rtl/>
        </w:rPr>
        <w:t xml:space="preserve"> </w:t>
      </w:r>
      <w:r w:rsidRPr="00044F28">
        <w:rPr>
          <w:rStyle w:val="aff6"/>
          <w:rFonts w:hint="cs"/>
          <w:rtl/>
        </w:rPr>
        <w:t xml:space="preserve">(עי' אות </w:t>
      </w:r>
      <w:r w:rsidRPr="00044F28">
        <w:rPr>
          <w:rStyle w:val="aff6"/>
          <w:rtl/>
        </w:rPr>
        <w:fldChar w:fldCharType="begin"/>
      </w:r>
      <w:r w:rsidRPr="00044F28">
        <w:rPr>
          <w:rStyle w:val="aff6"/>
          <w:rtl/>
        </w:rPr>
        <w:instrText xml:space="preserve"> </w:instrText>
      </w:r>
      <w:r w:rsidRPr="00044F28">
        <w:rPr>
          <w:rStyle w:val="aff6"/>
          <w:rFonts w:hint="cs"/>
        </w:rPr>
        <w:instrText>REF</w:instrText>
      </w:r>
      <w:r w:rsidRPr="00044F28">
        <w:rPr>
          <w:rStyle w:val="aff6"/>
          <w:rFonts w:hint="cs"/>
          <w:rtl/>
        </w:rPr>
        <w:instrText xml:space="preserve"> _</w:instrText>
      </w:r>
      <w:r w:rsidRPr="00044F28">
        <w:rPr>
          <w:rStyle w:val="aff6"/>
          <w:rFonts w:hint="cs"/>
        </w:rPr>
        <w:instrText>Ref58938423 \r \h</w:instrText>
      </w:r>
      <w:r w:rsidRPr="00044F28">
        <w:rPr>
          <w:rStyle w:val="aff6"/>
          <w:rtl/>
        </w:rPr>
        <w:instrText xml:space="preserve"> </w:instrText>
      </w:r>
      <w:r w:rsidRPr="00044F28">
        <w:rPr>
          <w:rStyle w:val="aff6"/>
          <w:rtl/>
        </w:rPr>
      </w:r>
      <w:r w:rsidRPr="00044F28">
        <w:rPr>
          <w:rStyle w:val="aff6"/>
          <w:rtl/>
        </w:rPr>
        <w:fldChar w:fldCharType="separate"/>
      </w:r>
      <w:r w:rsidR="00265073">
        <w:rPr>
          <w:rStyle w:val="aff6"/>
          <w:cs/>
        </w:rPr>
        <w:t>‎</w:t>
      </w:r>
      <w:r w:rsidR="00265073">
        <w:rPr>
          <w:rStyle w:val="aff6"/>
          <w:rtl/>
        </w:rPr>
        <w:t>נא)</w:t>
      </w:r>
      <w:r w:rsidRPr="00044F28">
        <w:rPr>
          <w:rStyle w:val="aff6"/>
          <w:rtl/>
        </w:rPr>
        <w:fldChar w:fldCharType="end"/>
      </w:r>
      <w:r w:rsidRPr="00FE51EF">
        <w:rPr>
          <w:rStyle w:val="afb"/>
          <w:rFonts w:hint="cs"/>
          <w:rtl/>
        </w:rPr>
        <w:t xml:space="preserve"> כתב דמוכח </w:t>
      </w:r>
      <w:r w:rsidRPr="00044F28">
        <w:rPr>
          <w:rStyle w:val="affa"/>
          <w:rFonts w:hint="cs"/>
          <w:rtl/>
        </w:rPr>
        <w:t>ברא"ש</w:t>
      </w:r>
      <w:r w:rsidRPr="00FE51EF">
        <w:rPr>
          <w:rStyle w:val="afb"/>
          <w:rFonts w:hint="cs"/>
          <w:rtl/>
        </w:rPr>
        <w:t xml:space="preserve"> דלא חשדינן שהמחזיק משקר במה שאמר דכך אמר לו המוכר].</w:t>
      </w:r>
      <w:bookmarkEnd w:id="8521"/>
    </w:p>
    <w:p w:rsidR="0007171D" w:rsidRDefault="0007171D" w:rsidP="0007171D">
      <w:pPr>
        <w:pStyle w:val="a3"/>
        <w:rPr>
          <w:rtl/>
        </w:rPr>
      </w:pPr>
      <w:bookmarkStart w:id="8522" w:name="_Toc59007035"/>
      <w:bookmarkStart w:id="8523" w:name="_Toc59013513"/>
      <w:bookmarkStart w:id="8524" w:name="_Toc59013761"/>
      <w:bookmarkStart w:id="8525" w:name="_Toc59025827"/>
      <w:r>
        <w:rPr>
          <w:rFonts w:hint="cs"/>
          <w:rtl/>
        </w:rPr>
        <w:t>דברי המשל"מ דכל המח' היא רק באופן שאמר שקנה מהמוכר שא"ל שקנה מהמערער</w:t>
      </w:r>
      <w:bookmarkEnd w:id="8522"/>
      <w:bookmarkEnd w:id="8523"/>
      <w:bookmarkEnd w:id="8524"/>
      <w:bookmarkEnd w:id="8525"/>
    </w:p>
    <w:p w:rsidR="0007171D" w:rsidRDefault="0007171D" w:rsidP="007E4E81">
      <w:pPr>
        <w:pStyle w:val="a0"/>
        <w:rPr>
          <w:rtl/>
        </w:rPr>
      </w:pPr>
      <w:r>
        <w:rPr>
          <w:rFonts w:hint="cs"/>
          <w:rtl/>
        </w:rPr>
        <w:t xml:space="preserve">וכתב </w:t>
      </w:r>
      <w:r w:rsidRPr="0015308E">
        <w:rPr>
          <w:rStyle w:val="af9"/>
          <w:rFonts w:hint="cs"/>
          <w:rtl/>
        </w:rPr>
        <w:t>המשל"מ</w:t>
      </w:r>
      <w:r>
        <w:rPr>
          <w:rFonts w:hint="cs"/>
          <w:rtl/>
        </w:rPr>
        <w:t xml:space="preserve"> </w:t>
      </w:r>
      <w:r w:rsidRPr="0015308E">
        <w:rPr>
          <w:rStyle w:val="af7"/>
          <w:rFonts w:eastAsia="Guttman Hodes" w:hint="cs"/>
          <w:rtl/>
        </w:rPr>
        <w:t>(טו"נ פי"ד הי"ד ד"ה ואיכא)</w:t>
      </w:r>
      <w:r>
        <w:rPr>
          <w:rFonts w:hint="cs"/>
          <w:rtl/>
        </w:rPr>
        <w:t xml:space="preserve"> דאם המחזיק היה אומר רק שקנה מהמוכר, ואינו יודע אם הייתה של המערער, דפשיטא דלכו"ע אין מוציאין ממנו, אף שאין לו חזקת ג"ש, כיון שאין למערער עדים, וכתב </w:t>
      </w:r>
      <w:r w:rsidRPr="0015308E">
        <w:rPr>
          <w:rStyle w:val="af9"/>
          <w:rFonts w:hint="cs"/>
          <w:rtl/>
        </w:rPr>
        <w:t>המשל"מ</w:t>
      </w:r>
      <w:r>
        <w:rPr>
          <w:rFonts w:hint="cs"/>
          <w:rtl/>
        </w:rPr>
        <w:t xml:space="preserve"> דאם אמר המחזיק דהמוכר אמר לו שהייתה של המערער, ולא אמר לו המוכר שהוא קנה מהמערער, דודאי מוציאין מידו, כיון שאינו טוען כל טענה היאך הקרקע שלו, ולא מהני לו מיגו כיון שאין לו טענה, וכן אין לו עדים שדר בה המוכר חד יומא, בכדי שיהיה לו דין טענינן, אלא ביאר </w:t>
      </w:r>
      <w:r w:rsidRPr="0015308E">
        <w:rPr>
          <w:rStyle w:val="af9"/>
          <w:rFonts w:hint="cs"/>
          <w:rtl/>
        </w:rPr>
        <w:t>המשל"מ</w:t>
      </w:r>
      <w:r>
        <w:rPr>
          <w:rFonts w:hint="cs"/>
          <w:rtl/>
        </w:rPr>
        <w:t xml:space="preserve"> דפלוגתת </w:t>
      </w:r>
      <w:r w:rsidRPr="0015308E">
        <w:rPr>
          <w:rStyle w:val="af9"/>
          <w:rFonts w:hint="cs"/>
          <w:rtl/>
        </w:rPr>
        <w:t>הרמב"ן והרא"ש</w:t>
      </w:r>
      <w:r>
        <w:rPr>
          <w:rFonts w:hint="cs"/>
          <w:rtl/>
        </w:rPr>
        <w:t xml:space="preserve"> היא רק באופן שאומר שקנה מהמוכר והוא אמר לו שקנה מהמערער, </w:t>
      </w:r>
      <w:r w:rsidRPr="001576C9">
        <w:rPr>
          <w:rStyle w:val="af9"/>
          <w:rFonts w:hint="cs"/>
          <w:rtl/>
        </w:rPr>
        <w:t>דלהרמב"ן</w:t>
      </w:r>
      <w:r>
        <w:rPr>
          <w:rFonts w:hint="cs"/>
          <w:rtl/>
        </w:rPr>
        <w:t xml:space="preserve"> הוא נאמן במיגו, </w:t>
      </w:r>
      <w:r w:rsidRPr="001576C9">
        <w:rPr>
          <w:rStyle w:val="af9"/>
          <w:rFonts w:hint="cs"/>
          <w:rtl/>
        </w:rPr>
        <w:t>ולרא"ש</w:t>
      </w:r>
      <w:r>
        <w:rPr>
          <w:rFonts w:hint="cs"/>
          <w:rtl/>
        </w:rPr>
        <w:t xml:space="preserve"> אינו נאמן דאינו מיגו טוב.</w:t>
      </w:r>
    </w:p>
    <w:p w:rsidR="0007171D" w:rsidRPr="00B6204C" w:rsidRDefault="0007171D" w:rsidP="0007171D">
      <w:pPr>
        <w:pStyle w:val="a3"/>
        <w:rPr>
          <w:rtl/>
        </w:rPr>
      </w:pPr>
    </w:p>
    <w:p w:rsidR="0007171D" w:rsidRPr="005549FD" w:rsidRDefault="0007171D" w:rsidP="0007171D">
      <w:pPr>
        <w:pStyle w:val="a3"/>
        <w:rPr>
          <w:rtl/>
        </w:rPr>
      </w:pPr>
      <w:bookmarkStart w:id="8526" w:name="_Toc59007036"/>
      <w:bookmarkStart w:id="8527" w:name="_Toc59013514"/>
      <w:bookmarkStart w:id="8528" w:name="_Toc59013762"/>
      <w:bookmarkStart w:id="8529" w:name="_Toc59025828"/>
      <w:r>
        <w:rPr>
          <w:rFonts w:hint="cs"/>
          <w:rtl/>
        </w:rPr>
        <w:t>קושית המשל"מ על הרא"ש דאמאי אינו נאמן במיגו דהיה אומר רק שקנה מהמוכר ולא מוסיף</w:t>
      </w:r>
      <w:bookmarkEnd w:id="8526"/>
      <w:bookmarkEnd w:id="8527"/>
      <w:bookmarkEnd w:id="8528"/>
      <w:bookmarkEnd w:id="8529"/>
    </w:p>
    <w:p w:rsidR="0007171D" w:rsidRDefault="0007171D" w:rsidP="007E4E81">
      <w:pPr>
        <w:pStyle w:val="a0"/>
        <w:rPr>
          <w:rtl/>
        </w:rPr>
      </w:pPr>
      <w:bookmarkStart w:id="8530" w:name="_Ref58837473"/>
      <w:r>
        <w:rPr>
          <w:rFonts w:hint="cs"/>
          <w:rtl/>
        </w:rPr>
        <w:t xml:space="preserve">אך הקשה </w:t>
      </w:r>
      <w:r w:rsidRPr="0015308E">
        <w:rPr>
          <w:rStyle w:val="af9"/>
          <w:rFonts w:hint="cs"/>
          <w:rtl/>
        </w:rPr>
        <w:t>המשל"מ</w:t>
      </w:r>
      <w:r>
        <w:rPr>
          <w:rFonts w:hint="cs"/>
          <w:rtl/>
        </w:rPr>
        <w:t xml:space="preserve"> על </w:t>
      </w:r>
      <w:r w:rsidRPr="001172A8">
        <w:rPr>
          <w:rStyle w:val="af9"/>
          <w:rFonts w:hint="cs"/>
          <w:rtl/>
        </w:rPr>
        <w:t>הרא"ש</w:t>
      </w:r>
      <w:r>
        <w:rPr>
          <w:rFonts w:asciiTheme="minorHAnsi" w:hAnsiTheme="minorHAnsi"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Ref57911051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2F6636">
        <w:rPr>
          <w:rStyle w:val="af7"/>
          <w:rFonts w:eastAsia="Guttman Hodes"/>
          <w:rtl/>
        </w:rPr>
        <w:fldChar w:fldCharType="end"/>
      </w:r>
      <w:r>
        <w:rPr>
          <w:rStyle w:val="af7"/>
          <w:rFonts w:eastAsia="Guttman Hodes" w:hint="cs"/>
          <w:rtl/>
        </w:rPr>
        <w:t xml:space="preserve"> </w:t>
      </w:r>
      <w:r>
        <w:rPr>
          <w:rFonts w:hint="cs"/>
          <w:rtl/>
        </w:rPr>
        <w:t xml:space="preserve">דאעפ"י דלא מהני המיגו דלא הייתה שלך מעולם, מ"מ אמאי אינו נאמן במיגו דהיה יכול לשתוק, ולומר רק שקנה מהמוכר ולא להוסיף שאמר לו המוכר שהוא קנה מהמערער, ובזה א"א לומר דהוא ירא לטעון את טענת המיגו, דהא אם יהיה עדים שהמערער מכר למוכר יזכה המחזיק בקרקע, אף אם יהיה למערער עדים שהייתה שלו, ובטענה שהוא טוען שקנה מפלוני ואינו מוסיף שהוא קנה מהמערער, אין מוציאין מידו, ועי' במה שתירצו </w:t>
      </w:r>
      <w:r w:rsidRPr="001576C9">
        <w:rPr>
          <w:rStyle w:val="af9"/>
          <w:rFonts w:hint="cs"/>
          <w:rtl/>
        </w:rPr>
        <w:t>הגרנ"ט</w:t>
      </w:r>
      <w:r>
        <w:rPr>
          <w:rStyle w:val="af9"/>
          <w:rFonts w:hint="cs"/>
          <w:rtl/>
        </w:rPr>
        <w:t xml:space="preserve"> </w:t>
      </w:r>
      <w:r w:rsidRPr="007A4335">
        <w:rPr>
          <w:rStyle w:val="af7"/>
          <w:rFonts w:eastAsia="Guttman Hodes" w:hint="cs"/>
          <w:rtl/>
        </w:rPr>
        <w:t xml:space="preserve">(עי' אות </w:t>
      </w:r>
      <w:r w:rsidRPr="007A4335">
        <w:rPr>
          <w:rStyle w:val="af7"/>
          <w:rFonts w:eastAsia="Guttman Hodes"/>
          <w:rtl/>
        </w:rPr>
        <w:fldChar w:fldCharType="begin"/>
      </w:r>
      <w:r w:rsidRPr="007A4335">
        <w:rPr>
          <w:rStyle w:val="af7"/>
          <w:rFonts w:eastAsia="Guttman Hodes"/>
          <w:rtl/>
        </w:rPr>
        <w:instrText xml:space="preserve"> </w:instrText>
      </w:r>
      <w:r w:rsidRPr="007A4335">
        <w:rPr>
          <w:rStyle w:val="af7"/>
          <w:rFonts w:eastAsia="Guttman Hodes" w:hint="cs"/>
        </w:rPr>
        <w:instrText>REF</w:instrText>
      </w:r>
      <w:r w:rsidRPr="007A4335">
        <w:rPr>
          <w:rStyle w:val="af7"/>
          <w:rFonts w:eastAsia="Guttman Hodes" w:hint="cs"/>
          <w:rtl/>
        </w:rPr>
        <w:instrText xml:space="preserve"> _</w:instrText>
      </w:r>
      <w:r w:rsidRPr="007A4335">
        <w:rPr>
          <w:rStyle w:val="af7"/>
          <w:rFonts w:eastAsia="Guttman Hodes" w:hint="cs"/>
        </w:rPr>
        <w:instrText>Ref58837528 \r \h</w:instrText>
      </w:r>
      <w:r w:rsidRPr="007A4335">
        <w:rPr>
          <w:rStyle w:val="af7"/>
          <w:rFonts w:eastAsia="Guttman Hodes"/>
          <w:rtl/>
        </w:rPr>
        <w:instrText xml:space="preserve"> </w:instrText>
      </w:r>
      <w:r w:rsidRPr="007A4335">
        <w:rPr>
          <w:rStyle w:val="af7"/>
          <w:rFonts w:eastAsia="Guttman Hodes"/>
          <w:rtl/>
        </w:rPr>
      </w:r>
      <w:r w:rsidRPr="007A4335">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7A4335">
        <w:rPr>
          <w:rStyle w:val="af7"/>
          <w:rFonts w:eastAsia="Guttman Hodes"/>
          <w:rtl/>
        </w:rPr>
        <w:fldChar w:fldCharType="end"/>
      </w:r>
      <w:r w:rsidRPr="007A4335">
        <w:rPr>
          <w:rStyle w:val="af7"/>
          <w:rFonts w:eastAsia="Guttman Hodes" w:hint="cs"/>
          <w:rtl/>
        </w:rPr>
        <w:t xml:space="preserve"> </w:t>
      </w:r>
      <w:r>
        <w:rPr>
          <w:rStyle w:val="af9"/>
          <w:rFonts w:hint="cs"/>
          <w:rtl/>
        </w:rPr>
        <w:t xml:space="preserve">ובחי' רבי נחום </w:t>
      </w:r>
      <w:r w:rsidRPr="007A4335">
        <w:rPr>
          <w:rStyle w:val="af7"/>
          <w:rFonts w:eastAsia="Guttman Hodes" w:hint="cs"/>
          <w:rtl/>
        </w:rPr>
        <w:t xml:space="preserve">(עי' אות </w:t>
      </w:r>
      <w:r w:rsidRPr="007A4335">
        <w:rPr>
          <w:rStyle w:val="af7"/>
          <w:rFonts w:eastAsia="Guttman Hodes"/>
          <w:rtl/>
        </w:rPr>
        <w:fldChar w:fldCharType="begin"/>
      </w:r>
      <w:r w:rsidRPr="007A4335">
        <w:rPr>
          <w:rStyle w:val="af7"/>
          <w:rFonts w:eastAsia="Guttman Hodes"/>
          <w:rtl/>
        </w:rPr>
        <w:instrText xml:space="preserve"> </w:instrText>
      </w:r>
      <w:r w:rsidRPr="007A4335">
        <w:rPr>
          <w:rStyle w:val="af7"/>
          <w:rFonts w:eastAsia="Guttman Hodes" w:hint="cs"/>
        </w:rPr>
        <w:instrText>REF</w:instrText>
      </w:r>
      <w:r w:rsidRPr="007A4335">
        <w:rPr>
          <w:rStyle w:val="af7"/>
          <w:rFonts w:eastAsia="Guttman Hodes" w:hint="cs"/>
          <w:rtl/>
        </w:rPr>
        <w:instrText xml:space="preserve"> _</w:instrText>
      </w:r>
      <w:r w:rsidRPr="007A4335">
        <w:rPr>
          <w:rStyle w:val="af7"/>
          <w:rFonts w:eastAsia="Guttman Hodes" w:hint="cs"/>
        </w:rPr>
        <w:instrText>Ref58837522 \r \h</w:instrText>
      </w:r>
      <w:r w:rsidRPr="007A4335">
        <w:rPr>
          <w:rStyle w:val="af7"/>
          <w:rFonts w:eastAsia="Guttman Hodes"/>
          <w:rtl/>
        </w:rPr>
        <w:instrText xml:space="preserve"> </w:instrText>
      </w:r>
      <w:r w:rsidRPr="007A4335">
        <w:rPr>
          <w:rStyle w:val="af7"/>
          <w:rFonts w:eastAsia="Guttman Hodes"/>
          <w:rtl/>
        </w:rPr>
      </w:r>
      <w:r w:rsidRPr="007A4335">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7A4335">
        <w:rPr>
          <w:rStyle w:val="af7"/>
          <w:rFonts w:eastAsia="Guttman Hodes"/>
          <w:rtl/>
        </w:rPr>
        <w:fldChar w:fldCharType="end"/>
      </w:r>
      <w:r>
        <w:rPr>
          <w:rStyle w:val="af7"/>
          <w:rFonts w:eastAsia="Guttman Hodes" w:hint="cs"/>
          <w:rtl/>
        </w:rPr>
        <w:t xml:space="preserve"> </w:t>
      </w:r>
      <w:r>
        <w:rPr>
          <w:rFonts w:hint="cs"/>
          <w:rtl/>
        </w:rPr>
        <w:t xml:space="preserve">דמיגו בטענה כזו לא אמרינן, </w:t>
      </w:r>
      <w:r w:rsidRPr="004B788B">
        <w:rPr>
          <w:rStyle w:val="afb"/>
          <w:rFonts w:hint="cs"/>
          <w:rtl/>
        </w:rPr>
        <w:t>[דאין לו את כח הטענה],</w:t>
      </w:r>
      <w:r>
        <w:rPr>
          <w:rFonts w:hint="cs"/>
          <w:rtl/>
        </w:rPr>
        <w:t xml:space="preserve"> וע"ע במה שתירץ</w:t>
      </w:r>
      <w:r>
        <w:rPr>
          <w:rStyle w:val="af9"/>
          <w:rFonts w:hint="cs"/>
          <w:rtl/>
        </w:rPr>
        <w:t xml:space="preserve"> </w:t>
      </w:r>
      <w:r w:rsidRPr="002C5111">
        <w:rPr>
          <w:rStyle w:val="af9"/>
          <w:rFonts w:hint="cs"/>
          <w:rtl/>
        </w:rPr>
        <w:t xml:space="preserve">האבהא"ז </w:t>
      </w:r>
      <w:r w:rsidRPr="002C5111">
        <w:rPr>
          <w:rStyle w:val="af7"/>
          <w:rFonts w:eastAsia="Guttman Hodes" w:hint="cs"/>
          <w:rtl/>
        </w:rPr>
        <w:t xml:space="preserve">(עי' אות </w:t>
      </w:r>
      <w:r w:rsidRPr="002C5111">
        <w:rPr>
          <w:rStyle w:val="af7"/>
          <w:rFonts w:eastAsia="Guttman Hodes"/>
          <w:rtl/>
        </w:rPr>
        <w:fldChar w:fldCharType="begin"/>
      </w:r>
      <w:r w:rsidRPr="002C5111">
        <w:rPr>
          <w:rStyle w:val="af7"/>
          <w:rFonts w:eastAsia="Guttman Hodes"/>
          <w:rtl/>
        </w:rPr>
        <w:instrText xml:space="preserve"> </w:instrText>
      </w:r>
      <w:r w:rsidRPr="002C5111">
        <w:rPr>
          <w:rStyle w:val="af7"/>
          <w:rFonts w:eastAsia="Guttman Hodes" w:hint="cs"/>
        </w:rPr>
        <w:instrText>REF</w:instrText>
      </w:r>
      <w:r w:rsidRPr="002C5111">
        <w:rPr>
          <w:rStyle w:val="af7"/>
          <w:rFonts w:eastAsia="Guttman Hodes" w:hint="cs"/>
          <w:rtl/>
        </w:rPr>
        <w:instrText xml:space="preserve"> _</w:instrText>
      </w:r>
      <w:r w:rsidRPr="002C5111">
        <w:rPr>
          <w:rStyle w:val="af7"/>
          <w:rFonts w:eastAsia="Guttman Hodes" w:hint="cs"/>
        </w:rPr>
        <w:instrText>Ref58704883 \r \h</w:instrText>
      </w:r>
      <w:r w:rsidRPr="002C5111">
        <w:rPr>
          <w:rStyle w:val="af7"/>
          <w:rFonts w:eastAsia="Guttman Hodes"/>
          <w:rtl/>
        </w:rPr>
        <w:instrText xml:space="preserve">  \* </w:instrText>
      </w:r>
      <w:r w:rsidRPr="002C5111">
        <w:rPr>
          <w:rStyle w:val="af7"/>
          <w:rFonts w:eastAsia="Guttman Hodes"/>
        </w:rPr>
        <w:instrText>MERGEFORMAT</w:instrText>
      </w:r>
      <w:r w:rsidRPr="002C5111">
        <w:rPr>
          <w:rStyle w:val="af7"/>
          <w:rFonts w:eastAsia="Guttman Hodes"/>
          <w:rtl/>
        </w:rPr>
        <w:instrText xml:space="preserve"> </w:instrText>
      </w:r>
      <w:r w:rsidRPr="002C5111">
        <w:rPr>
          <w:rStyle w:val="af7"/>
          <w:rFonts w:eastAsia="Guttman Hodes"/>
          <w:rtl/>
        </w:rPr>
      </w:r>
      <w:r w:rsidRPr="002C5111">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sidRPr="002C5111">
        <w:rPr>
          <w:rStyle w:val="af7"/>
          <w:rFonts w:eastAsia="Guttman Hodes"/>
          <w:rtl/>
        </w:rPr>
        <w:fldChar w:fldCharType="end"/>
      </w:r>
      <w:r w:rsidRPr="002C5111">
        <w:rPr>
          <w:rStyle w:val="af7"/>
          <w:rFonts w:eastAsia="Guttman Hodes" w:hint="cs"/>
          <w:rtl/>
        </w:rPr>
        <w:t xml:space="preserve"> </w:t>
      </w:r>
      <w:r>
        <w:rPr>
          <w:rFonts w:hint="cs"/>
          <w:rtl/>
        </w:rPr>
        <w:t xml:space="preserve">את קושית </w:t>
      </w:r>
      <w:r w:rsidRPr="001576C9">
        <w:rPr>
          <w:rStyle w:val="af9"/>
          <w:rFonts w:hint="cs"/>
          <w:rtl/>
        </w:rPr>
        <w:t>המשל"מ</w:t>
      </w:r>
      <w:r>
        <w:rPr>
          <w:rFonts w:hint="cs"/>
          <w:rtl/>
        </w:rPr>
        <w:t>.</w:t>
      </w:r>
      <w:bookmarkEnd w:id="8530"/>
    </w:p>
    <w:p w:rsidR="0007171D" w:rsidRDefault="0007171D" w:rsidP="0007171D">
      <w:pPr>
        <w:pStyle w:val="1"/>
        <w:rPr>
          <w:rtl/>
        </w:rPr>
      </w:pPr>
      <w:bookmarkStart w:id="8531" w:name="_Toc58580018"/>
      <w:bookmarkStart w:id="8532" w:name="_Toc58843027"/>
      <w:bookmarkStart w:id="8533" w:name="_Toc58876235"/>
      <w:bookmarkStart w:id="8534" w:name="_Toc58877648"/>
      <w:bookmarkStart w:id="8535" w:name="_Toc58914707"/>
      <w:bookmarkStart w:id="8536" w:name="_Toc58926008"/>
      <w:bookmarkStart w:id="8537" w:name="_Toc58930075"/>
      <w:bookmarkStart w:id="8538" w:name="_Toc58938234"/>
      <w:bookmarkStart w:id="8539" w:name="_Toc59007037"/>
      <w:bookmarkStart w:id="8540" w:name="_Toc59013515"/>
      <w:bookmarkStart w:id="8541" w:name="_Toc59013763"/>
      <w:bookmarkStart w:id="8542" w:name="_Toc59025829"/>
      <w:bookmarkEnd w:id="8472"/>
      <w:r>
        <w:rPr>
          <w:rFonts w:hint="cs"/>
          <w:rtl/>
        </w:rPr>
        <w:t>ביאור הב"ח ברא"ש דאף שלא הודה בפירוש ל"מ לו שום מיגו</w:t>
      </w:r>
    </w:p>
    <w:p w:rsidR="0007171D" w:rsidRPr="00C42E8A" w:rsidRDefault="0007171D" w:rsidP="0007171D">
      <w:pPr>
        <w:pStyle w:val="a3"/>
        <w:rPr>
          <w:rtl/>
        </w:rPr>
      </w:pPr>
      <w:r>
        <w:rPr>
          <w:rFonts w:hint="cs"/>
          <w:rtl/>
        </w:rPr>
        <w:t>קושית הב"ח על הרא"ש דבלא הודה יש לו מיגו דמינך זבינתה ומיגו דקמי דידי זבנה מינך</w:t>
      </w:r>
    </w:p>
    <w:p w:rsidR="0007171D" w:rsidRDefault="0007171D" w:rsidP="007E4E81">
      <w:pPr>
        <w:pStyle w:val="a0"/>
        <w:rPr>
          <w:rtl/>
        </w:rPr>
      </w:pPr>
      <w:bookmarkStart w:id="8543" w:name="_Ref60218582"/>
      <w:bookmarkStart w:id="8544" w:name="_Ref59395904"/>
      <w:r>
        <w:rPr>
          <w:rFonts w:hint="cs"/>
          <w:rtl/>
        </w:rPr>
        <w:t xml:space="preserve">הקשה </w:t>
      </w:r>
      <w:r w:rsidRPr="00D15CDC">
        <w:rPr>
          <w:rStyle w:val="af9"/>
          <w:rFonts w:hint="cs"/>
          <w:rtl/>
        </w:rPr>
        <w:t>הב"ח</w:t>
      </w:r>
      <w:r>
        <w:rPr>
          <w:rFonts w:hint="cs"/>
          <w:rtl/>
        </w:rPr>
        <w:t xml:space="preserve"> </w:t>
      </w:r>
      <w:r w:rsidRPr="00D15CDC">
        <w:rPr>
          <w:rStyle w:val="af7"/>
          <w:rFonts w:eastAsia="Guttman Hodes" w:hint="cs"/>
          <w:rtl/>
        </w:rPr>
        <w:t>(סי' קמ"ו סוס"ק כ"ד</w:t>
      </w:r>
      <w:r>
        <w:rPr>
          <w:rStyle w:val="af7"/>
          <w:rFonts w:eastAsia="Guttman Hodes" w:hint="cs"/>
          <w:rtl/>
        </w:rPr>
        <w:t xml:space="preserve"> ד"ה </w:t>
      </w:r>
      <w:r w:rsidRPr="00D81E53">
        <w:rPr>
          <w:rStyle w:val="af7"/>
          <w:rFonts w:eastAsia="Guttman Hodes"/>
          <w:rtl/>
        </w:rPr>
        <w:t>ומ"ש ואדוני</w:t>
      </w:r>
      <w:r w:rsidRPr="00D81E53">
        <w:rPr>
          <w:rStyle w:val="af7"/>
          <w:rFonts w:eastAsia="Guttman Hodes" w:hint="cs"/>
          <w:rtl/>
        </w:rPr>
        <w:t>)</w:t>
      </w:r>
      <w:r>
        <w:rPr>
          <w:rFonts w:hint="cs"/>
          <w:rtl/>
        </w:rPr>
        <w:t xml:space="preserve"> על </w:t>
      </w:r>
      <w:r w:rsidRPr="00D15CDC">
        <w:rPr>
          <w:rStyle w:val="af9"/>
          <w:rFonts w:hint="cs"/>
          <w:rtl/>
        </w:rPr>
        <w:t>הרא"ש</w:t>
      </w:r>
      <w:r>
        <w:rPr>
          <w:rFonts w:hint="cs"/>
          <w:rtl/>
        </w:rPr>
        <w:t xml:space="preserve"> </w:t>
      </w:r>
      <w:r w:rsidRPr="00A13E50">
        <w:rPr>
          <w:rStyle w:val="af7"/>
          <w:rFonts w:eastAsia="Guttman Hodes" w:hint="cs"/>
          <w:rtl/>
        </w:rPr>
        <w:t xml:space="preserve">(עי' אות </w:t>
      </w:r>
      <w:r w:rsidRPr="00A13E50">
        <w:rPr>
          <w:rStyle w:val="af7"/>
          <w:rFonts w:eastAsia="Guttman Hodes"/>
          <w:rtl/>
        </w:rPr>
        <w:fldChar w:fldCharType="begin"/>
      </w:r>
      <w:r w:rsidRPr="00A13E50">
        <w:rPr>
          <w:rStyle w:val="af7"/>
          <w:rFonts w:eastAsia="Guttman Hodes"/>
          <w:rtl/>
        </w:rPr>
        <w:instrText xml:space="preserve"> </w:instrText>
      </w:r>
      <w:r w:rsidRPr="00A13E50">
        <w:rPr>
          <w:rStyle w:val="af7"/>
          <w:rFonts w:eastAsia="Guttman Hodes" w:hint="cs"/>
        </w:rPr>
        <w:instrText>REF</w:instrText>
      </w:r>
      <w:r w:rsidRPr="00A13E50">
        <w:rPr>
          <w:rStyle w:val="af7"/>
          <w:rFonts w:eastAsia="Guttman Hodes" w:hint="cs"/>
          <w:rtl/>
        </w:rPr>
        <w:instrText xml:space="preserve"> _</w:instrText>
      </w:r>
      <w:r w:rsidRPr="00A13E50">
        <w:rPr>
          <w:rStyle w:val="af7"/>
          <w:rFonts w:eastAsia="Guttman Hodes" w:hint="cs"/>
        </w:rPr>
        <w:instrText>Ref58750532 \r \h</w:instrText>
      </w:r>
      <w:r w:rsidRPr="00A13E50">
        <w:rPr>
          <w:rStyle w:val="af7"/>
          <w:rFonts w:eastAsia="Guttman Hodes"/>
          <w:rtl/>
        </w:rPr>
        <w:instrText xml:space="preserve"> </w:instrText>
      </w:r>
      <w:r w:rsidRPr="00A13E50">
        <w:rPr>
          <w:rStyle w:val="af7"/>
          <w:rFonts w:eastAsia="Guttman Hodes"/>
          <w:rtl/>
        </w:rPr>
      </w:r>
      <w:r w:rsidRPr="00A13E50">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A13E50">
        <w:rPr>
          <w:rStyle w:val="af7"/>
          <w:rFonts w:eastAsia="Guttman Hodes"/>
          <w:rtl/>
        </w:rPr>
        <w:fldChar w:fldCharType="end"/>
      </w:r>
      <w:r>
        <w:rPr>
          <w:rFonts w:hint="cs"/>
          <w:rtl/>
        </w:rPr>
        <w:t xml:space="preserve"> דאמאי כשאינו טוען קמי דידי זבנה מינך, ואין לו עדים דדר בה המוכר חד יומא, מוציאין את הקרקע ממנו, אף כשיש לו חזקת ג"ש, והא כיון לדעת </w:t>
      </w:r>
      <w:r w:rsidRPr="00D15CDC">
        <w:rPr>
          <w:rStyle w:val="af9"/>
          <w:rFonts w:hint="cs"/>
          <w:rtl/>
        </w:rPr>
        <w:t>הרא"ש</w:t>
      </w:r>
      <w:r>
        <w:rPr>
          <w:rFonts w:hint="cs"/>
          <w:rtl/>
        </w:rPr>
        <w:t xml:space="preserve"> </w:t>
      </w:r>
      <w:r w:rsidRPr="002517B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Ref58750729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w:t>
      </w:r>
      <w:r>
        <w:rPr>
          <w:rStyle w:val="af7"/>
          <w:rFonts w:eastAsia="Guttman Hodes"/>
          <w:rtl/>
        </w:rPr>
        <w:fldChar w:fldCharType="end"/>
      </w:r>
      <w:r w:rsidRPr="002517B9">
        <w:rPr>
          <w:rStyle w:val="af7"/>
          <w:rFonts w:eastAsia="Guttman Hodes" w:hint="cs"/>
          <w:rtl/>
        </w:rPr>
        <w:t xml:space="preserve"> </w:t>
      </w:r>
      <w:r>
        <w:rPr>
          <w:rFonts w:hint="cs"/>
          <w:rtl/>
        </w:rPr>
        <w:t>המחזיק לא הודה מעצמו, ורק הודה ששמע כן מפי המוכר, א"כ כל שיש לו חזקה אמאי אינו נאמן במיגו דלא הייתה של המערער מעולם, וכן מיגו דמינך זבינתה, וכן מיגו דקמי דידי זבנה מינך.</w:t>
      </w:r>
      <w:bookmarkEnd w:id="8543"/>
    </w:p>
    <w:p w:rsidR="0007171D" w:rsidRPr="00892167" w:rsidRDefault="0007171D" w:rsidP="0007171D">
      <w:pPr>
        <w:pStyle w:val="a3"/>
      </w:pPr>
      <w:r>
        <w:rPr>
          <w:rFonts w:hint="cs"/>
          <w:rtl/>
        </w:rPr>
        <w:t>תי' הב"ח ברא"ש דבלי עידי חד יומא וקמי דידי טענתו דהמוכר קנאה אינה טענה אף בחזקה</w:t>
      </w:r>
    </w:p>
    <w:p w:rsidR="0007171D" w:rsidRDefault="0007171D" w:rsidP="007E4E81">
      <w:pPr>
        <w:pStyle w:val="a0"/>
        <w:rPr>
          <w:rtl/>
        </w:rPr>
      </w:pPr>
      <w:r>
        <w:rPr>
          <w:rFonts w:hint="cs"/>
          <w:rtl/>
        </w:rPr>
        <w:t xml:space="preserve">ותירץ </w:t>
      </w:r>
      <w:r w:rsidRPr="00D15CDC">
        <w:rPr>
          <w:rStyle w:val="af9"/>
          <w:rFonts w:hint="cs"/>
          <w:rtl/>
        </w:rPr>
        <w:t>הב"ח</w:t>
      </w:r>
      <w:r>
        <w:rPr>
          <w:rFonts w:hint="cs"/>
          <w:rtl/>
        </w:rPr>
        <w:t xml:space="preserve"> דמ"מ כיון שיתכן שהמוכר לא היה לו כל זכות בקרקע, א"כ טענתו שאמר לו המוכר שהוא קנה מהמערער היא כחזקה שאין עמה טענה.</w:t>
      </w:r>
      <w:bookmarkEnd w:id="8544"/>
    </w:p>
    <w:p w:rsidR="0007171D" w:rsidRPr="00C42E8A" w:rsidRDefault="0007171D" w:rsidP="0007171D">
      <w:pPr>
        <w:pStyle w:val="a3"/>
        <w:rPr>
          <w:rtl/>
        </w:rPr>
      </w:pPr>
      <w:r>
        <w:rPr>
          <w:rFonts w:hint="cs"/>
          <w:rtl/>
        </w:rPr>
        <w:t>עוד תי' הב"ח דכח המחזיק הוא מהמיגו דמוכר וכיון דלמחזיק ל"מ המיגו ל"מ אף מיגו אחר</w:t>
      </w:r>
    </w:p>
    <w:p w:rsidR="0007171D" w:rsidRDefault="0007171D" w:rsidP="007E4E81">
      <w:pPr>
        <w:pStyle w:val="a0"/>
        <w:rPr>
          <w:rtl/>
        </w:rPr>
      </w:pPr>
      <w:bookmarkStart w:id="8545" w:name="_Ref62501299"/>
      <w:r>
        <w:rPr>
          <w:rFonts w:hint="cs"/>
          <w:rtl/>
        </w:rPr>
        <w:t xml:space="preserve">ועוד תירץ </w:t>
      </w:r>
      <w:r w:rsidRPr="00D15CDC">
        <w:rPr>
          <w:rStyle w:val="af9"/>
          <w:rFonts w:hint="cs"/>
          <w:rtl/>
        </w:rPr>
        <w:t>הב"ח</w:t>
      </w:r>
      <w:r>
        <w:rPr>
          <w:rFonts w:hint="cs"/>
          <w:rtl/>
        </w:rPr>
        <w:t xml:space="preserve"> דהמחזיק לא נאמן במיגו דמינך זבינתה, וכן במיגו דקמי דידי זבנה מינך, כיון דכל הזכות שיש למחזיק בקרקע היא רק מחמת שהוא בא מכח המוכר, והרי המוכר היה נאמן רק במיגו שלא הייתה של המערער מעולם, וכיון שלמחזיק אין את המיגו דלא הייתה של המערער מעולם, כדביאר </w:t>
      </w:r>
      <w:r>
        <w:rPr>
          <w:rStyle w:val="af9"/>
          <w:rtl/>
        </w:rPr>
        <w:t>הרא"ש</w:t>
      </w:r>
      <w:r>
        <w:rPr>
          <w:rFonts w:hint="cs"/>
          <w:rtl/>
        </w:rPr>
        <w:t xml:space="preserve"> </w:t>
      </w:r>
      <w:r w:rsidRPr="00FD7987">
        <w:rPr>
          <w:rStyle w:val="af7"/>
          <w:rFonts w:eastAsia="Guttman Hodes" w:hint="cs"/>
          <w:rtl/>
        </w:rPr>
        <w:t xml:space="preserve">(עי' אות </w:t>
      </w:r>
      <w:r w:rsidRPr="00FD7987">
        <w:rPr>
          <w:rStyle w:val="af7"/>
          <w:rFonts w:eastAsia="Guttman Hodes"/>
          <w:rtl/>
        </w:rPr>
        <w:fldChar w:fldCharType="begin"/>
      </w:r>
      <w:r w:rsidRPr="00FD7987">
        <w:rPr>
          <w:rStyle w:val="af7"/>
          <w:rFonts w:eastAsia="Guttman Hodes"/>
          <w:rtl/>
        </w:rPr>
        <w:instrText xml:space="preserve"> </w:instrText>
      </w:r>
      <w:r w:rsidRPr="00FD7987">
        <w:rPr>
          <w:rStyle w:val="af7"/>
          <w:rFonts w:eastAsia="Guttman Hodes" w:hint="cs"/>
        </w:rPr>
        <w:instrText>REF</w:instrText>
      </w:r>
      <w:r w:rsidRPr="00FD7987">
        <w:rPr>
          <w:rStyle w:val="af7"/>
          <w:rFonts w:eastAsia="Guttman Hodes" w:hint="cs"/>
          <w:rtl/>
        </w:rPr>
        <w:instrText xml:space="preserve"> _</w:instrText>
      </w:r>
      <w:r w:rsidRPr="00FD7987">
        <w:rPr>
          <w:rStyle w:val="af7"/>
          <w:rFonts w:eastAsia="Guttman Hodes" w:hint="cs"/>
        </w:rPr>
        <w:instrText>Ref57911051 \r \h</w:instrText>
      </w:r>
      <w:r w:rsidRPr="00FD798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D7987">
        <w:rPr>
          <w:rStyle w:val="af7"/>
          <w:rFonts w:eastAsia="Guttman Hodes"/>
          <w:rtl/>
        </w:rPr>
      </w:r>
      <w:r w:rsidRPr="00FD7987">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FD7987">
        <w:rPr>
          <w:rStyle w:val="af7"/>
          <w:rFonts w:eastAsia="Guttman Hodes"/>
          <w:rtl/>
        </w:rPr>
        <w:fldChar w:fldCharType="end"/>
      </w:r>
      <w:r>
        <w:rPr>
          <w:rStyle w:val="af7"/>
          <w:rFonts w:eastAsia="Guttman Hodes" w:hint="cs"/>
          <w:rtl/>
        </w:rPr>
        <w:t xml:space="preserve"> </w:t>
      </w:r>
      <w:r>
        <w:rPr>
          <w:rFonts w:hint="cs"/>
          <w:rtl/>
        </w:rPr>
        <w:t>א"כ לא מהני לו מיגו אחר שלא היה מועיל למוכר, דכל זכותו היא רק מכח המוכר.</w:t>
      </w:r>
      <w:bookmarkEnd w:id="8545"/>
    </w:p>
    <w:p w:rsidR="0007171D" w:rsidRDefault="0007171D" w:rsidP="0007171D">
      <w:pPr>
        <w:pStyle w:val="a3"/>
        <w:rPr>
          <w:rtl/>
        </w:rPr>
      </w:pPr>
      <w:r>
        <w:rPr>
          <w:rFonts w:hint="cs"/>
          <w:rtl/>
        </w:rPr>
        <w:lastRenderedPageBreak/>
        <w:t>עוד תי' הב"ח דבאומר שקנה מהמוכר לא מעיז ול"מ מיגו דקמי דידי ומינך זבינתה דמעיז</w:t>
      </w:r>
    </w:p>
    <w:p w:rsidR="0007171D" w:rsidRDefault="0007171D" w:rsidP="007E4E81">
      <w:pPr>
        <w:pStyle w:val="a0"/>
        <w:rPr>
          <w:rtl/>
        </w:rPr>
      </w:pPr>
      <w:r>
        <w:rPr>
          <w:rFonts w:hint="cs"/>
          <w:rtl/>
        </w:rPr>
        <w:t xml:space="preserve">ועוד תירץ </w:t>
      </w:r>
      <w:r w:rsidRPr="00D15CDC">
        <w:rPr>
          <w:rStyle w:val="af9"/>
          <w:rFonts w:hint="cs"/>
          <w:rtl/>
        </w:rPr>
        <w:t>הב"ח</w:t>
      </w:r>
      <w:r>
        <w:rPr>
          <w:rFonts w:hint="cs"/>
          <w:rtl/>
        </w:rPr>
        <w:t xml:space="preserve"> דהא דהמחזיק נאמן במיגו, הוא רק כשטוען קמי דידי זבנה מינך, דבזה מהני לו מיגו דמינך זבינתה, כיון דגם הטענה שטוען עכשיו, וגם טענת המיגו, יש בהם העזה, אבל כשטוען שקנה מהמוכר שא"ל שקנה מהמערער, אין בטענתו העזה, ולכן אינו נאמן במיגו דקמי דידי זבנה מינך, או במיגו דמינך זבינתה, כיון שיש בטענות המיגו העזה. </w:t>
      </w:r>
      <w:r w:rsidRPr="00852142">
        <w:rPr>
          <w:rStyle w:val="afb"/>
          <w:rFonts w:hint="cs"/>
          <w:rtl/>
        </w:rPr>
        <w:t xml:space="preserve">[ועי' בדברי </w:t>
      </w:r>
      <w:r w:rsidRPr="00852142">
        <w:rPr>
          <w:rStyle w:val="affa"/>
          <w:rFonts w:hint="cs"/>
          <w:rtl/>
        </w:rPr>
        <w:t xml:space="preserve">הרשב"א בתשו' </w:t>
      </w:r>
      <w:r w:rsidRPr="00852142">
        <w:rPr>
          <w:rStyle w:val="aff6"/>
          <w:rFonts w:hint="cs"/>
          <w:rtl/>
        </w:rPr>
        <w:t>(ח"ה סו"ס קל"ח)</w:t>
      </w:r>
      <w:r w:rsidRPr="00852142">
        <w:rPr>
          <w:rStyle w:val="afb"/>
          <w:rFonts w:hint="cs"/>
          <w:rtl/>
        </w:rPr>
        <w:t xml:space="preserve"> דכתב דאף בטענה של העזה דמינך זבינתה אמרינן מיגו].</w:t>
      </w:r>
    </w:p>
    <w:p w:rsidR="0007171D" w:rsidRDefault="0007171D" w:rsidP="0007171D">
      <w:pPr>
        <w:pStyle w:val="a3"/>
        <w:rPr>
          <w:rtl/>
        </w:rPr>
      </w:pPr>
      <w:r>
        <w:rPr>
          <w:rFonts w:hint="cs"/>
          <w:rtl/>
        </w:rPr>
        <w:t>דחיית הב"ח דברא"ש וברשב"ם משמע דאין חסרון דבמיגו דמעיז דהחזקה מסייעת לו להעיז</w:t>
      </w:r>
    </w:p>
    <w:p w:rsidR="0007171D" w:rsidRDefault="0007171D" w:rsidP="007E4E81">
      <w:pPr>
        <w:pStyle w:val="a0"/>
        <w:rPr>
          <w:rtl/>
        </w:rPr>
      </w:pPr>
      <w:r>
        <w:rPr>
          <w:rFonts w:hint="cs"/>
          <w:rtl/>
        </w:rPr>
        <w:t xml:space="preserve">אך כתב </w:t>
      </w:r>
      <w:r w:rsidRPr="00A20811">
        <w:rPr>
          <w:rStyle w:val="af9"/>
          <w:rFonts w:hint="cs"/>
          <w:rtl/>
        </w:rPr>
        <w:t>הב"ח</w:t>
      </w:r>
      <w:r>
        <w:rPr>
          <w:rFonts w:hint="cs"/>
          <w:rtl/>
        </w:rPr>
        <w:t xml:space="preserve"> דמדברי </w:t>
      </w:r>
      <w:r>
        <w:rPr>
          <w:rStyle w:val="af9"/>
          <w:rtl/>
        </w:rPr>
        <w:t>הרא"ש</w:t>
      </w:r>
      <w:r>
        <w:rPr>
          <w:rFonts w:hint="cs"/>
          <w:rtl/>
        </w:rPr>
        <w:t xml:space="preserve"> </w:t>
      </w:r>
      <w:r w:rsidRPr="00FD7987">
        <w:rPr>
          <w:rStyle w:val="af7"/>
          <w:rFonts w:eastAsia="Guttman Hodes" w:hint="cs"/>
          <w:rtl/>
        </w:rPr>
        <w:t xml:space="preserve">(עי' אות </w:t>
      </w:r>
      <w:r w:rsidRPr="00FD7987">
        <w:rPr>
          <w:rStyle w:val="af7"/>
          <w:rFonts w:eastAsia="Guttman Hodes"/>
          <w:rtl/>
        </w:rPr>
        <w:fldChar w:fldCharType="begin"/>
      </w:r>
      <w:r w:rsidRPr="00FD7987">
        <w:rPr>
          <w:rStyle w:val="af7"/>
          <w:rFonts w:eastAsia="Guttman Hodes"/>
          <w:rtl/>
        </w:rPr>
        <w:instrText xml:space="preserve"> </w:instrText>
      </w:r>
      <w:r w:rsidRPr="00FD7987">
        <w:rPr>
          <w:rStyle w:val="af7"/>
          <w:rFonts w:eastAsia="Guttman Hodes" w:hint="cs"/>
        </w:rPr>
        <w:instrText>REF</w:instrText>
      </w:r>
      <w:r w:rsidRPr="00FD7987">
        <w:rPr>
          <w:rStyle w:val="af7"/>
          <w:rFonts w:eastAsia="Guttman Hodes" w:hint="cs"/>
          <w:rtl/>
        </w:rPr>
        <w:instrText xml:space="preserve"> _</w:instrText>
      </w:r>
      <w:r w:rsidRPr="00FD7987">
        <w:rPr>
          <w:rStyle w:val="af7"/>
          <w:rFonts w:eastAsia="Guttman Hodes" w:hint="cs"/>
        </w:rPr>
        <w:instrText>Ref57911051 \r \h</w:instrText>
      </w:r>
      <w:r w:rsidRPr="00FD798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D7987">
        <w:rPr>
          <w:rStyle w:val="af7"/>
          <w:rFonts w:eastAsia="Guttman Hodes"/>
          <w:rtl/>
        </w:rPr>
      </w:r>
      <w:r w:rsidRPr="00FD7987">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FD7987">
        <w:rPr>
          <w:rStyle w:val="af7"/>
          <w:rFonts w:eastAsia="Guttman Hodes"/>
          <w:rtl/>
        </w:rPr>
        <w:fldChar w:fldCharType="end"/>
      </w:r>
      <w:r w:rsidRPr="00FD7987">
        <w:rPr>
          <w:rFonts w:asciiTheme="minorHAnsi" w:hAnsiTheme="minorHAnsi" w:hint="cs"/>
          <w:rtl/>
        </w:rPr>
        <w:t xml:space="preserve"> </w:t>
      </w:r>
      <w:r>
        <w:rPr>
          <w:rFonts w:hint="cs"/>
          <w:rtl/>
        </w:rPr>
        <w:t xml:space="preserve">משמע דכ"מ דהמחזיק אינו נאמן במיגו דלא הייתה של המערער מעולם, הוא רק כיון שהוא ירא לטעון את טענת המיגו, אבל לולי סברא זו היה נאמן במיגו אעפ"י שיש העזה רק בטענת המיגו, ואין העזה בטענה שטוען עכשיו, והוסיף </w:t>
      </w:r>
      <w:r w:rsidRPr="00A20811">
        <w:rPr>
          <w:rStyle w:val="af9"/>
          <w:rFonts w:hint="cs"/>
          <w:rtl/>
        </w:rPr>
        <w:t>הב"ח</w:t>
      </w:r>
      <w:r>
        <w:rPr>
          <w:rFonts w:hint="cs"/>
          <w:rtl/>
        </w:rPr>
        <w:t xml:space="preserve"> דכן מבואר </w:t>
      </w:r>
      <w:r w:rsidRPr="00A20811">
        <w:rPr>
          <w:rStyle w:val="af9"/>
          <w:rFonts w:hint="cs"/>
          <w:rtl/>
        </w:rPr>
        <w:t>ברשב"ם</w:t>
      </w:r>
      <w:r>
        <w:rPr>
          <w:rFonts w:hint="cs"/>
          <w:rtl/>
        </w:rPr>
        <w:t xml:space="preserve"> דמיגו דלא הייתה שלך מעולם הוא מיגו טוב, וכתב </w:t>
      </w:r>
      <w:r w:rsidRPr="00A20811">
        <w:rPr>
          <w:rStyle w:val="af9"/>
          <w:rFonts w:hint="cs"/>
          <w:rtl/>
        </w:rPr>
        <w:t>הב"ח</w:t>
      </w:r>
      <w:r>
        <w:rPr>
          <w:rFonts w:hint="cs"/>
          <w:rtl/>
        </w:rPr>
        <w:t xml:space="preserve"> דצ"ל דכיון שיש לו חזקת ג"ש, והחזקה מסייעת לו, הוא מעיז לטעון אף טענה שיש בה העזה, וכתב </w:t>
      </w:r>
      <w:r w:rsidRPr="00A20811">
        <w:rPr>
          <w:rStyle w:val="af9"/>
          <w:rFonts w:hint="cs"/>
          <w:rtl/>
        </w:rPr>
        <w:t>הב"ח</w:t>
      </w:r>
      <w:r>
        <w:rPr>
          <w:rFonts w:hint="cs"/>
          <w:rtl/>
        </w:rPr>
        <w:t xml:space="preserve"> דא"כ צריך לבאר </w:t>
      </w:r>
      <w:r w:rsidRPr="00394915">
        <w:rPr>
          <w:rStyle w:val="af9"/>
          <w:rFonts w:hint="cs"/>
          <w:rtl/>
        </w:rPr>
        <w:t>כביאורו הא'</w:t>
      </w:r>
      <w:r w:rsidRPr="00394915">
        <w:rPr>
          <w:rStyle w:val="af7"/>
          <w:rFonts w:eastAsia="Guttman Hodes" w:hint="cs"/>
          <w:rtl/>
        </w:rPr>
        <w:t xml:space="preserve"> (עי'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Ref62501299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Pr>
          <w:rStyle w:val="af7"/>
          <w:rFonts w:eastAsia="Guttman Hodes"/>
          <w:rtl/>
        </w:rPr>
        <w:fldChar w:fldCharType="end"/>
      </w:r>
      <w:r>
        <w:rPr>
          <w:rFonts w:hint="cs"/>
          <w:rtl/>
        </w:rPr>
        <w:t>.</w:t>
      </w:r>
    </w:p>
    <w:p w:rsidR="0007171D" w:rsidRDefault="0007171D" w:rsidP="0007171D">
      <w:pPr>
        <w:pStyle w:val="afe"/>
        <w:rPr>
          <w:rtl/>
        </w:rPr>
      </w:pPr>
      <w:r>
        <w:rPr>
          <w:rFonts w:hint="cs"/>
          <w:rtl/>
        </w:rPr>
        <w:t>אי המחזיק גובה מעותיו מהמוכר</w:t>
      </w:r>
      <w:bookmarkEnd w:id="8473"/>
      <w:bookmarkEnd w:id="8474"/>
      <w:bookmarkEnd w:id="8475"/>
      <w:bookmarkEnd w:id="8476"/>
      <w:bookmarkEnd w:id="8477"/>
      <w:bookmarkEnd w:id="8478"/>
      <w:bookmarkEnd w:id="8531"/>
      <w:bookmarkEnd w:id="8532"/>
      <w:bookmarkEnd w:id="8533"/>
      <w:bookmarkEnd w:id="8534"/>
      <w:bookmarkEnd w:id="8535"/>
      <w:bookmarkEnd w:id="8536"/>
      <w:bookmarkEnd w:id="8537"/>
      <w:bookmarkEnd w:id="8538"/>
      <w:bookmarkEnd w:id="8539"/>
      <w:bookmarkEnd w:id="8540"/>
      <w:bookmarkEnd w:id="8541"/>
      <w:bookmarkEnd w:id="8542"/>
    </w:p>
    <w:p w:rsidR="0007171D" w:rsidRPr="00C40704" w:rsidRDefault="0007171D" w:rsidP="0007171D">
      <w:pPr>
        <w:pStyle w:val="1"/>
        <w:rPr>
          <w:rtl/>
        </w:rPr>
      </w:pPr>
      <w:bookmarkStart w:id="8546" w:name="_Toc58144919"/>
      <w:bookmarkStart w:id="8547" w:name="_Toc58272608"/>
      <w:bookmarkStart w:id="8548" w:name="_Toc58325043"/>
      <w:bookmarkStart w:id="8549" w:name="_Toc58359189"/>
      <w:bookmarkStart w:id="8550" w:name="_Toc58409450"/>
      <w:bookmarkStart w:id="8551" w:name="_Toc58432816"/>
      <w:bookmarkStart w:id="8552" w:name="_Toc58580019"/>
      <w:bookmarkStart w:id="8553" w:name="_Toc58843028"/>
      <w:bookmarkStart w:id="8554" w:name="_Toc58876236"/>
      <w:bookmarkStart w:id="8555" w:name="_Toc58877649"/>
      <w:bookmarkStart w:id="8556" w:name="_Toc58914708"/>
      <w:bookmarkStart w:id="8557" w:name="_Toc58926009"/>
      <w:bookmarkStart w:id="8558" w:name="_Toc58930076"/>
      <w:bookmarkStart w:id="8559" w:name="_Toc58938235"/>
      <w:bookmarkStart w:id="8560" w:name="_Toc59007038"/>
      <w:bookmarkStart w:id="8561" w:name="_Toc59013516"/>
      <w:bookmarkStart w:id="8562" w:name="_Toc59013764"/>
      <w:bookmarkStart w:id="8563" w:name="_Toc59025830"/>
      <w:r>
        <w:rPr>
          <w:rFonts w:hint="cs"/>
          <w:rtl/>
        </w:rPr>
        <w:t>דברי הרשב"ם דהמחזיק גובה את מעותיו מהמוכר</w:t>
      </w:r>
      <w:bookmarkEnd w:id="8479"/>
      <w:bookmarkEnd w:id="8480"/>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p>
    <w:p w:rsidR="0007171D" w:rsidRPr="000F54D3" w:rsidRDefault="0007171D" w:rsidP="0007171D">
      <w:pPr>
        <w:pStyle w:val="a3"/>
      </w:pPr>
      <w:bookmarkStart w:id="8564" w:name="_Toc59007039"/>
      <w:bookmarkStart w:id="8565" w:name="_Toc59013517"/>
      <w:bookmarkStart w:id="8566" w:name="_Toc59013765"/>
      <w:bookmarkStart w:id="8567" w:name="_Toc59025831"/>
      <w:r>
        <w:rPr>
          <w:rFonts w:hint="cs"/>
          <w:rtl/>
        </w:rPr>
        <w:t>דברי הרשב"ם דהמחזיק גובה מעותיו מהמערער דחשיב שהכיר בזמן הקנין שאינה של המוכר</w:t>
      </w:r>
      <w:bookmarkEnd w:id="8564"/>
      <w:bookmarkEnd w:id="8565"/>
      <w:bookmarkEnd w:id="8566"/>
      <w:bookmarkEnd w:id="8567"/>
    </w:p>
    <w:p w:rsidR="0007171D" w:rsidRPr="008D6193" w:rsidRDefault="0007171D" w:rsidP="007E4E81">
      <w:pPr>
        <w:pStyle w:val="a0"/>
        <w:rPr>
          <w:rStyle w:val="afb"/>
          <w:sz w:val="18"/>
          <w:szCs w:val="18"/>
        </w:rPr>
      </w:pPr>
      <w:bookmarkStart w:id="8568" w:name="_Ref59025685"/>
      <w:bookmarkStart w:id="8569" w:name="_Ref57909980"/>
      <w:r>
        <w:rPr>
          <w:rFonts w:hint="cs"/>
          <w:rtl/>
        </w:rPr>
        <w:t xml:space="preserve">כתב </w:t>
      </w:r>
      <w:r w:rsidRPr="006A50AA">
        <w:rPr>
          <w:rStyle w:val="af9"/>
          <w:rFonts w:hint="cs"/>
          <w:rtl/>
        </w:rPr>
        <w:t>הרשב"ם</w:t>
      </w:r>
      <w:r>
        <w:rPr>
          <w:rFonts w:hint="cs"/>
          <w:rtl/>
        </w:rPr>
        <w:t xml:space="preserve"> </w:t>
      </w:r>
      <w:r w:rsidRPr="008D6193">
        <w:rPr>
          <w:rStyle w:val="af7"/>
          <w:rFonts w:eastAsia="Guttman Hodes" w:hint="cs"/>
          <w:rtl/>
        </w:rPr>
        <w:t>(ד"ה אמר ליה)</w:t>
      </w:r>
      <w:r>
        <w:rPr>
          <w:rFonts w:hint="cs"/>
          <w:rtl/>
        </w:rPr>
        <w:t xml:space="preserve"> ד</w:t>
      </w:r>
      <w:r w:rsidRPr="009B6555">
        <w:rPr>
          <w:rFonts w:hint="cs"/>
          <w:rtl/>
        </w:rPr>
        <w:t>ה</w:t>
      </w:r>
      <w:r>
        <w:rPr>
          <w:rFonts w:hint="cs"/>
          <w:rtl/>
        </w:rPr>
        <w:t>מחזיק</w:t>
      </w:r>
      <w:r w:rsidRPr="009B6555">
        <w:rPr>
          <w:rFonts w:hint="cs"/>
          <w:rtl/>
        </w:rPr>
        <w:t xml:space="preserve"> צריך להחזיר </w:t>
      </w:r>
      <w:r>
        <w:rPr>
          <w:rFonts w:hint="cs"/>
          <w:rtl/>
        </w:rPr>
        <w:t xml:space="preserve">את הקרקע </w:t>
      </w:r>
      <w:r w:rsidRPr="009B6555">
        <w:rPr>
          <w:rFonts w:hint="cs"/>
          <w:rtl/>
        </w:rPr>
        <w:t>למערער, ויגבה את מעותיו מהמוכר</w:t>
      </w:r>
      <w:r>
        <w:rPr>
          <w:rFonts w:hint="cs"/>
          <w:rtl/>
        </w:rPr>
        <w:t xml:space="preserve">, כדאיתא בגמ' בב"מ </w:t>
      </w:r>
      <w:r w:rsidRPr="008D6193">
        <w:rPr>
          <w:rStyle w:val="af7"/>
          <w:rFonts w:eastAsia="Guttman Hodes" w:hint="cs"/>
          <w:rtl/>
        </w:rPr>
        <w:t>(טו:)</w:t>
      </w:r>
      <w:r>
        <w:rPr>
          <w:rFonts w:hint="cs"/>
          <w:rtl/>
        </w:rPr>
        <w:t xml:space="preserve"> דאם הלוקח </w:t>
      </w:r>
      <w:r w:rsidRPr="009B6555">
        <w:rPr>
          <w:rFonts w:hint="cs"/>
          <w:rtl/>
        </w:rPr>
        <w:t xml:space="preserve">מכיר </w:t>
      </w:r>
      <w:r>
        <w:rPr>
          <w:rFonts w:hint="cs"/>
          <w:rtl/>
        </w:rPr>
        <w:t>בקרקע</w:t>
      </w:r>
      <w:r w:rsidRPr="009B6555">
        <w:rPr>
          <w:rFonts w:hint="cs"/>
          <w:rtl/>
        </w:rPr>
        <w:t xml:space="preserve"> שאינה של</w:t>
      </w:r>
      <w:r>
        <w:rPr>
          <w:rFonts w:hint="cs"/>
          <w:rtl/>
        </w:rPr>
        <w:t xml:space="preserve"> המוכר ואפ"ה קנה ממנו, דאחר שמוציאין ממנו הוא יכול לגבות את המעות מהמוכר, </w:t>
      </w:r>
      <w:r w:rsidRPr="000410DA">
        <w:rPr>
          <w:rStyle w:val="afb"/>
          <w:rFonts w:hint="cs"/>
          <w:rtl/>
        </w:rPr>
        <w:t xml:space="preserve">[ונח' בזה רב ושמואל אי </w:t>
      </w:r>
      <w:r>
        <w:rPr>
          <w:rStyle w:val="afb"/>
          <w:rFonts w:hint="cs"/>
          <w:rtl/>
        </w:rPr>
        <w:t>ה</w:t>
      </w:r>
      <w:r w:rsidRPr="000410DA">
        <w:rPr>
          <w:rStyle w:val="afb"/>
          <w:rFonts w:hint="cs"/>
          <w:rtl/>
        </w:rPr>
        <w:t>מעות מתנה או פקדון</w:t>
      </w:r>
      <w:r>
        <w:rPr>
          <w:rStyle w:val="afb"/>
          <w:rFonts w:hint="cs"/>
          <w:rtl/>
        </w:rPr>
        <w:t xml:space="preserve"> וצריך המוכר להחזיר ללוקח</w:t>
      </w:r>
      <w:r w:rsidRPr="000410DA">
        <w:rPr>
          <w:rStyle w:val="afb"/>
          <w:rFonts w:hint="cs"/>
          <w:rtl/>
        </w:rPr>
        <w:t xml:space="preserve">], </w:t>
      </w:r>
      <w:r>
        <w:rPr>
          <w:rFonts w:hint="cs"/>
          <w:rtl/>
        </w:rPr>
        <w:t xml:space="preserve">וה"ה הכא דחשיב כמי שמכיר בקרקע שאינה של המוכר, ועי' במה שהקשה </w:t>
      </w:r>
      <w:r w:rsidRPr="00775FC8">
        <w:rPr>
          <w:rStyle w:val="af9"/>
          <w:rFonts w:hint="cs"/>
          <w:rtl/>
        </w:rPr>
        <w:t>התוס' רי"ד</w:t>
      </w:r>
      <w:r w:rsidRPr="008D6193">
        <w:rPr>
          <w:rStyle w:val="af7"/>
          <w:rFonts w:eastAsia="Guttman Hodes" w:hint="cs"/>
          <w:rtl/>
        </w:rPr>
        <w:t xml:space="preserve"> (עי' אות </w:t>
      </w:r>
      <w:r w:rsidRPr="008D6193">
        <w:rPr>
          <w:rStyle w:val="af7"/>
          <w:rFonts w:eastAsia="Guttman Hodes"/>
          <w:rtl/>
        </w:rPr>
        <w:fldChar w:fldCharType="begin"/>
      </w:r>
      <w:r w:rsidRPr="008D6193">
        <w:rPr>
          <w:rStyle w:val="af7"/>
          <w:rFonts w:eastAsia="Guttman Hodes"/>
          <w:rtl/>
        </w:rPr>
        <w:instrText xml:space="preserve"> </w:instrText>
      </w:r>
      <w:r w:rsidRPr="008D6193">
        <w:rPr>
          <w:rStyle w:val="af7"/>
          <w:rFonts w:eastAsia="Guttman Hodes" w:hint="cs"/>
        </w:rPr>
        <w:instrText>REF</w:instrText>
      </w:r>
      <w:r w:rsidRPr="008D6193">
        <w:rPr>
          <w:rStyle w:val="af7"/>
          <w:rFonts w:eastAsia="Guttman Hodes" w:hint="cs"/>
          <w:rtl/>
        </w:rPr>
        <w:instrText xml:space="preserve"> _</w:instrText>
      </w:r>
      <w:r w:rsidRPr="008D6193">
        <w:rPr>
          <w:rStyle w:val="af7"/>
          <w:rFonts w:eastAsia="Guttman Hodes" w:hint="cs"/>
        </w:rPr>
        <w:instrText>Ref57909944 \r \h</w:instrText>
      </w:r>
      <w:r w:rsidRPr="008D6193">
        <w:rPr>
          <w:rStyle w:val="af7"/>
          <w:rFonts w:eastAsia="Guttman Hodes"/>
          <w:rtl/>
        </w:rPr>
        <w:instrText xml:space="preserve"> </w:instrText>
      </w:r>
      <w:r w:rsidRPr="008D6193">
        <w:rPr>
          <w:rStyle w:val="af7"/>
          <w:rFonts w:eastAsia="Guttman Hodes"/>
          <w:rtl/>
        </w:rPr>
      </w:r>
      <w:r w:rsidRPr="008D6193">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8D6193">
        <w:rPr>
          <w:rStyle w:val="af7"/>
          <w:rFonts w:eastAsia="Guttman Hodes"/>
          <w:rtl/>
        </w:rPr>
        <w:fldChar w:fldCharType="end"/>
      </w:r>
      <w:r>
        <w:rPr>
          <w:rFonts w:hint="cs"/>
          <w:rtl/>
        </w:rPr>
        <w:t xml:space="preserve"> על </w:t>
      </w:r>
      <w:r w:rsidRPr="00210C4B">
        <w:rPr>
          <w:rStyle w:val="af9"/>
          <w:rFonts w:hint="cs"/>
          <w:rtl/>
        </w:rPr>
        <w:t>הרשב"ם,</w:t>
      </w:r>
      <w:r>
        <w:rPr>
          <w:rFonts w:hint="cs"/>
          <w:rtl/>
        </w:rPr>
        <w:t xml:space="preserve"> ובמ"ש </w:t>
      </w:r>
      <w:r w:rsidRPr="00775FC8">
        <w:rPr>
          <w:rStyle w:val="af9"/>
          <w:rFonts w:hint="cs"/>
          <w:rtl/>
        </w:rPr>
        <w:t>בחי' רבי נחום</w:t>
      </w:r>
      <w:r>
        <w:rPr>
          <w:rFonts w:hint="cs"/>
          <w:rtl/>
        </w:rPr>
        <w:t xml:space="preserve"> </w:t>
      </w:r>
      <w:r w:rsidRPr="00761511">
        <w:rPr>
          <w:rStyle w:val="af7"/>
          <w:rFonts w:eastAsia="Guttman Hodes" w:hint="cs"/>
          <w:rtl/>
        </w:rPr>
        <w:t xml:space="preserve">(עי' אות </w:t>
      </w:r>
      <w:r w:rsidRPr="00761511">
        <w:rPr>
          <w:rStyle w:val="af7"/>
          <w:rFonts w:eastAsia="Guttman Hodes"/>
          <w:rtl/>
        </w:rPr>
        <w:fldChar w:fldCharType="begin"/>
      </w:r>
      <w:r w:rsidRPr="00761511">
        <w:rPr>
          <w:rStyle w:val="af7"/>
          <w:rFonts w:eastAsia="Guttman Hodes"/>
          <w:rtl/>
        </w:rPr>
        <w:instrText xml:space="preserve"> </w:instrText>
      </w:r>
      <w:r w:rsidRPr="00761511">
        <w:rPr>
          <w:rStyle w:val="af7"/>
          <w:rFonts w:eastAsia="Guttman Hodes" w:hint="cs"/>
        </w:rPr>
        <w:instrText>REF</w:instrText>
      </w:r>
      <w:r w:rsidRPr="00761511">
        <w:rPr>
          <w:rStyle w:val="af7"/>
          <w:rFonts w:eastAsia="Guttman Hodes" w:hint="cs"/>
          <w:rtl/>
        </w:rPr>
        <w:instrText xml:space="preserve"> _</w:instrText>
      </w:r>
      <w:r w:rsidRPr="00761511">
        <w:rPr>
          <w:rStyle w:val="af7"/>
          <w:rFonts w:eastAsia="Guttman Hodes" w:hint="cs"/>
        </w:rPr>
        <w:instrText>Ref57824434 \r \h</w:instrText>
      </w:r>
      <w:r w:rsidRPr="0076151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61511">
        <w:rPr>
          <w:rStyle w:val="af7"/>
          <w:rFonts w:eastAsia="Guttman Hodes"/>
          <w:rtl/>
        </w:rPr>
      </w:r>
      <w:r w:rsidRPr="00761511">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Pr="00761511">
        <w:rPr>
          <w:rStyle w:val="af7"/>
          <w:rFonts w:eastAsia="Guttman Hodes"/>
          <w:rtl/>
        </w:rPr>
        <w:fldChar w:fldCharType="end"/>
      </w:r>
      <w:r w:rsidRPr="00761511">
        <w:rPr>
          <w:rFonts w:hint="cs"/>
          <w:rtl/>
        </w:rPr>
        <w:t xml:space="preserve"> </w:t>
      </w:r>
      <w:r>
        <w:rPr>
          <w:rStyle w:val="af9"/>
          <w:rFonts w:hint="cs"/>
          <w:rtl/>
        </w:rPr>
        <w:t>ו</w:t>
      </w:r>
      <w:r w:rsidRPr="004F6E26">
        <w:rPr>
          <w:rStyle w:val="af9"/>
          <w:rFonts w:hint="cs"/>
          <w:rtl/>
        </w:rPr>
        <w:t>בשיעורי רבי שמואל</w:t>
      </w:r>
      <w:r>
        <w:rPr>
          <w:rFonts w:hint="cs"/>
          <w:rtl/>
        </w:rPr>
        <w:t xml:space="preserve"> </w:t>
      </w:r>
      <w:r w:rsidRPr="008D6193">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Ref59025711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קכא)</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775FC8">
        <w:rPr>
          <w:rStyle w:val="af9"/>
          <w:rFonts w:hint="cs"/>
          <w:rtl/>
        </w:rPr>
        <w:t>הרשב"ם</w:t>
      </w:r>
      <w:r w:rsidRPr="009B6555">
        <w:rPr>
          <w:rFonts w:hint="cs"/>
          <w:rtl/>
        </w:rPr>
        <w:t>.</w:t>
      </w:r>
      <w:bookmarkEnd w:id="8568"/>
      <w:r w:rsidRPr="00C40704">
        <w:rPr>
          <w:rFonts w:hint="cs"/>
          <w:rtl/>
        </w:rPr>
        <w:t xml:space="preserve"> </w:t>
      </w:r>
      <w:bookmarkStart w:id="8570" w:name="_Toc58930077"/>
      <w:bookmarkStart w:id="8571" w:name="_Toc58938236"/>
      <w:bookmarkStart w:id="8572" w:name="_Toc57925953"/>
      <w:bookmarkStart w:id="8573" w:name="_Toc58091644"/>
      <w:bookmarkStart w:id="8574" w:name="_Toc58144920"/>
      <w:bookmarkStart w:id="8575" w:name="_Toc58272609"/>
      <w:bookmarkStart w:id="8576" w:name="_Toc58325044"/>
      <w:bookmarkStart w:id="8577" w:name="_Toc58359190"/>
      <w:bookmarkStart w:id="8578" w:name="_Toc58409451"/>
      <w:bookmarkStart w:id="8579" w:name="_Toc58432817"/>
      <w:bookmarkStart w:id="8580" w:name="_Toc58580020"/>
      <w:bookmarkStart w:id="8581" w:name="_Toc58843029"/>
      <w:bookmarkStart w:id="8582" w:name="_Toc58876237"/>
      <w:bookmarkStart w:id="8583" w:name="_Toc58877650"/>
      <w:bookmarkStart w:id="8584" w:name="_Toc58914709"/>
      <w:bookmarkStart w:id="8585" w:name="_Toc58926010"/>
      <w:bookmarkEnd w:id="8569"/>
    </w:p>
    <w:p w:rsidR="0007171D" w:rsidRPr="00432267" w:rsidRDefault="0007171D" w:rsidP="0007171D">
      <w:pPr>
        <w:pStyle w:val="1"/>
        <w:rPr>
          <w:rtl/>
        </w:rPr>
      </w:pPr>
      <w:bookmarkStart w:id="8586" w:name="_Toc59007040"/>
      <w:bookmarkStart w:id="8587" w:name="_Toc59013518"/>
      <w:bookmarkStart w:id="8588" w:name="_Toc59013766"/>
      <w:bookmarkStart w:id="8589" w:name="_Toc59025832"/>
      <w:r>
        <w:rPr>
          <w:rFonts w:hint="cs"/>
          <w:rtl/>
        </w:rPr>
        <w:t>דעת רבינו יונה דאין המחזיק גובה מעותיו מהמוכר</w:t>
      </w:r>
      <w:bookmarkEnd w:id="8570"/>
      <w:bookmarkEnd w:id="8571"/>
      <w:bookmarkEnd w:id="8586"/>
      <w:bookmarkEnd w:id="8587"/>
      <w:bookmarkEnd w:id="8588"/>
      <w:bookmarkEnd w:id="8589"/>
      <w:r>
        <w:rPr>
          <w:rFonts w:hint="cs"/>
          <w:rtl/>
        </w:rPr>
        <w:t xml:space="preserve"> </w:t>
      </w:r>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p>
    <w:p w:rsidR="0007171D" w:rsidRDefault="0007171D" w:rsidP="0007171D">
      <w:pPr>
        <w:pStyle w:val="a3"/>
        <w:rPr>
          <w:rtl/>
        </w:rPr>
      </w:pPr>
      <w:bookmarkStart w:id="8590" w:name="_Toc59007041"/>
      <w:bookmarkStart w:id="8591" w:name="_Toc59013519"/>
      <w:bookmarkStart w:id="8592" w:name="_Toc59013767"/>
      <w:bookmarkStart w:id="8593" w:name="_Toc59025833"/>
      <w:r>
        <w:rPr>
          <w:rFonts w:hint="cs"/>
          <w:rtl/>
        </w:rPr>
        <w:t>דברי רבינו יונה דאף באחריות א"צ המוכר לשלם למחזיק דלמוכר יש מיגו ולא היה לו להודות</w:t>
      </w:r>
      <w:bookmarkEnd w:id="8590"/>
      <w:bookmarkEnd w:id="8591"/>
      <w:bookmarkEnd w:id="8592"/>
      <w:bookmarkEnd w:id="8593"/>
    </w:p>
    <w:p w:rsidR="0007171D" w:rsidRPr="001D3FA5" w:rsidRDefault="0007171D" w:rsidP="007E4E81">
      <w:pPr>
        <w:pStyle w:val="a0"/>
        <w:rPr>
          <w:rStyle w:val="afb"/>
          <w:sz w:val="18"/>
          <w:szCs w:val="18"/>
          <w:rtl/>
        </w:rPr>
      </w:pPr>
      <w:bookmarkStart w:id="8594" w:name="_Ref57823117"/>
      <w:r>
        <w:rPr>
          <w:rFonts w:hint="cs"/>
          <w:rtl/>
        </w:rPr>
        <w:t xml:space="preserve">כתב </w:t>
      </w:r>
      <w:r w:rsidRPr="002F529D">
        <w:rPr>
          <w:rStyle w:val="af9"/>
          <w:rFonts w:hint="cs"/>
          <w:rtl/>
        </w:rPr>
        <w:t>רבינו יונה</w:t>
      </w:r>
      <w:r>
        <w:rPr>
          <w:rFonts w:hint="cs"/>
          <w:rtl/>
        </w:rPr>
        <w:t xml:space="preserve"> </w:t>
      </w:r>
      <w:r w:rsidRPr="002F529D">
        <w:rPr>
          <w:rStyle w:val="af7"/>
          <w:rFonts w:eastAsia="Guttman Hodes" w:hint="cs"/>
          <w:rtl/>
        </w:rPr>
        <w:t>(ד"ה עלה בידינו)</w:t>
      </w:r>
      <w:r>
        <w:rPr>
          <w:rFonts w:hint="cs"/>
          <w:rtl/>
        </w:rPr>
        <w:t xml:space="preserve"> דאם המוכר קיבל אחריות על הקרקע הזו, והוציא המערער את הקרקע מהמחזיק כיון שהודה לו שהייתה שלו, יכול המוכר לטעון דהוא נאמן לומר שקנה מהמערער, כיון שיש לו מיגו, שהיה יכול לומר שלא הייתה של המערער מעולם, ומה שהמערער מוציא ממך הוא רק מחמת שאתה מודה שידעת שהקרקע הייתה של המערער, ואתה לא יודע בעצמך שקניתי ממנו, </w:t>
      </w:r>
      <w:r>
        <w:rPr>
          <w:rStyle w:val="afb"/>
          <w:rFonts w:hint="cs"/>
          <w:rtl/>
        </w:rPr>
        <w:t>[וא"כ א"צ המוכר</w:t>
      </w:r>
      <w:r w:rsidRPr="008D1906">
        <w:rPr>
          <w:rStyle w:val="afb"/>
          <w:rFonts w:hint="cs"/>
          <w:rtl/>
        </w:rPr>
        <w:t xml:space="preserve"> לשלם לו על מה שהוציא המערער את הקרקע ממנו]</w:t>
      </w:r>
      <w:r>
        <w:rPr>
          <w:rStyle w:val="afb"/>
          <w:rFonts w:hint="cs"/>
          <w:rtl/>
        </w:rPr>
        <w:t>,</w:t>
      </w:r>
      <w:r w:rsidRPr="008D1906">
        <w:rPr>
          <w:rStyle w:val="afb"/>
          <w:rFonts w:hint="cs"/>
          <w:rtl/>
        </w:rPr>
        <w:t xml:space="preserve"> </w:t>
      </w:r>
      <w:r>
        <w:rPr>
          <w:rFonts w:hint="cs"/>
          <w:rtl/>
        </w:rPr>
        <w:t xml:space="preserve">והוסיפו </w:t>
      </w:r>
      <w:r w:rsidRPr="00660DFB">
        <w:rPr>
          <w:rStyle w:val="af9"/>
          <w:rFonts w:hint="cs"/>
          <w:rtl/>
        </w:rPr>
        <w:t>הרשב"א</w:t>
      </w:r>
      <w:r>
        <w:rPr>
          <w:rFonts w:hint="cs"/>
          <w:rtl/>
        </w:rPr>
        <w:t xml:space="preserve"> </w:t>
      </w:r>
      <w:r w:rsidRPr="00513180">
        <w:rPr>
          <w:rStyle w:val="af7"/>
          <w:rFonts w:eastAsia="Guttman Hodes" w:hint="cs"/>
          <w:rtl/>
        </w:rPr>
        <w:t>(ד"ה ולענין)</w:t>
      </w:r>
      <w:r>
        <w:rPr>
          <w:rFonts w:hint="cs"/>
          <w:rtl/>
        </w:rPr>
        <w:t xml:space="preserve"> </w:t>
      </w:r>
      <w:r>
        <w:rPr>
          <w:rStyle w:val="af9"/>
          <w:rFonts w:hint="cs"/>
          <w:rtl/>
        </w:rPr>
        <w:t>ו</w:t>
      </w:r>
      <w:r w:rsidRPr="00660DFB">
        <w:rPr>
          <w:rStyle w:val="af9"/>
          <w:rFonts w:hint="cs"/>
          <w:rtl/>
        </w:rPr>
        <w:t>הריטב"א</w:t>
      </w:r>
      <w:r>
        <w:rPr>
          <w:rFonts w:hint="cs"/>
          <w:rtl/>
        </w:rPr>
        <w:t xml:space="preserve"> </w:t>
      </w:r>
      <w:r w:rsidRPr="00CE2165">
        <w:rPr>
          <w:rStyle w:val="af7"/>
          <w:rFonts w:eastAsia="Guttman Hodes" w:hint="cs"/>
          <w:rtl/>
        </w:rPr>
        <w:t>(ד"ה ואומר)</w:t>
      </w:r>
      <w:r>
        <w:rPr>
          <w:rFonts w:hint="cs"/>
          <w:rtl/>
        </w:rPr>
        <w:t xml:space="preserve"> דהמחזיק הפסיד לעצמו במה שהודה</w:t>
      </w:r>
      <w:r>
        <w:rPr>
          <w:rStyle w:val="af1"/>
          <w:rtl/>
        </w:rPr>
        <w:footnoteReference w:id="60"/>
      </w:r>
      <w:r>
        <w:rPr>
          <w:rFonts w:hint="cs"/>
          <w:rtl/>
        </w:rPr>
        <w:t xml:space="preserve">, וכתב </w:t>
      </w:r>
      <w:r w:rsidRPr="00660DFB">
        <w:rPr>
          <w:rStyle w:val="af9"/>
          <w:rFonts w:hint="cs"/>
          <w:rtl/>
        </w:rPr>
        <w:t>הרשב"א</w:t>
      </w:r>
      <w:r>
        <w:rPr>
          <w:rFonts w:hint="cs"/>
          <w:rtl/>
        </w:rPr>
        <w:t xml:space="preserve"> דכן משמע מדברי</w:t>
      </w:r>
      <w:r w:rsidRPr="00660DFB">
        <w:rPr>
          <w:rStyle w:val="af9"/>
          <w:rFonts w:hint="cs"/>
          <w:rtl/>
        </w:rPr>
        <w:t xml:space="preserve"> הרי"ף</w:t>
      </w:r>
      <w:r w:rsidRPr="00CE2165">
        <w:rPr>
          <w:rStyle w:val="af7"/>
          <w:rFonts w:eastAsia="Guttman Hodes" w:hint="cs"/>
          <w:rtl/>
        </w:rPr>
        <w:t xml:space="preserve"> (עי' אות </w:t>
      </w:r>
      <w:r w:rsidRPr="00CE2165">
        <w:rPr>
          <w:rStyle w:val="af7"/>
          <w:rFonts w:eastAsia="Guttman Hodes"/>
          <w:rtl/>
        </w:rPr>
        <w:fldChar w:fldCharType="begin"/>
      </w:r>
      <w:r w:rsidRPr="00CE2165">
        <w:rPr>
          <w:rStyle w:val="af7"/>
          <w:rFonts w:eastAsia="Guttman Hodes"/>
          <w:rtl/>
        </w:rPr>
        <w:instrText xml:space="preserve"> </w:instrText>
      </w:r>
      <w:r w:rsidRPr="00CE2165">
        <w:rPr>
          <w:rStyle w:val="af7"/>
          <w:rFonts w:eastAsia="Guttman Hodes" w:hint="cs"/>
        </w:rPr>
        <w:instrText>REF</w:instrText>
      </w:r>
      <w:r w:rsidRPr="00CE2165">
        <w:rPr>
          <w:rStyle w:val="af7"/>
          <w:rFonts w:eastAsia="Guttman Hodes" w:hint="cs"/>
          <w:rtl/>
        </w:rPr>
        <w:instrText xml:space="preserve"> _</w:instrText>
      </w:r>
      <w:r w:rsidRPr="00CE2165">
        <w:rPr>
          <w:rStyle w:val="af7"/>
          <w:rFonts w:eastAsia="Guttman Hodes" w:hint="cs"/>
        </w:rPr>
        <w:instrText>Ref57971333 \r \h</w:instrText>
      </w:r>
      <w:r w:rsidRPr="00CE2165">
        <w:rPr>
          <w:rStyle w:val="af7"/>
          <w:rFonts w:eastAsia="Guttman Hodes"/>
          <w:rtl/>
        </w:rPr>
        <w:instrText xml:space="preserve"> </w:instrText>
      </w:r>
      <w:r w:rsidRPr="00CE2165">
        <w:rPr>
          <w:rStyle w:val="af7"/>
          <w:rFonts w:eastAsia="Guttman Hodes"/>
          <w:rtl/>
        </w:rPr>
      </w:r>
      <w:r w:rsidRPr="00CE2165">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CE2165">
        <w:rPr>
          <w:rStyle w:val="af7"/>
          <w:rFonts w:eastAsia="Guttman Hodes"/>
          <w:rtl/>
        </w:rPr>
        <w:fldChar w:fldCharType="end"/>
      </w:r>
      <w:r>
        <w:rPr>
          <w:rFonts w:hint="cs"/>
          <w:rtl/>
        </w:rPr>
        <w:t xml:space="preserve">, ועי' במה שביאר </w:t>
      </w:r>
      <w:r w:rsidRPr="004F6E26">
        <w:rPr>
          <w:rStyle w:val="af9"/>
          <w:rFonts w:hint="cs"/>
          <w:rtl/>
        </w:rPr>
        <w:t>בשיעורי רבי שמואל</w:t>
      </w:r>
      <w:r>
        <w:rPr>
          <w:rFonts w:hint="cs"/>
          <w:rtl/>
        </w:rPr>
        <w:t xml:space="preserve"> </w:t>
      </w:r>
      <w:r w:rsidRPr="00025169">
        <w:rPr>
          <w:rStyle w:val="af7"/>
          <w:rFonts w:eastAsia="Guttman Hodes" w:hint="cs"/>
          <w:rtl/>
        </w:rPr>
        <w:t xml:space="preserve">(עי' אות </w:t>
      </w:r>
      <w:r w:rsidRPr="00025169">
        <w:rPr>
          <w:rStyle w:val="af7"/>
          <w:rFonts w:eastAsia="Guttman Hodes"/>
          <w:rtl/>
        </w:rPr>
        <w:fldChar w:fldCharType="begin"/>
      </w:r>
      <w:r w:rsidRPr="00025169">
        <w:rPr>
          <w:rStyle w:val="af7"/>
          <w:rFonts w:eastAsia="Guttman Hodes"/>
          <w:rtl/>
        </w:rPr>
        <w:instrText xml:space="preserve"> </w:instrText>
      </w:r>
      <w:r w:rsidRPr="00025169">
        <w:rPr>
          <w:rStyle w:val="af7"/>
          <w:rFonts w:eastAsia="Guttman Hodes" w:hint="cs"/>
        </w:rPr>
        <w:instrText>REF</w:instrText>
      </w:r>
      <w:r w:rsidRPr="00025169">
        <w:rPr>
          <w:rStyle w:val="af7"/>
          <w:rFonts w:eastAsia="Guttman Hodes" w:hint="cs"/>
          <w:rtl/>
        </w:rPr>
        <w:instrText xml:space="preserve"> _</w:instrText>
      </w:r>
      <w:r w:rsidRPr="00025169">
        <w:rPr>
          <w:rStyle w:val="af7"/>
          <w:rFonts w:eastAsia="Guttman Hodes" w:hint="cs"/>
        </w:rPr>
        <w:instrText>Ref58538061 \r \h</w:instrText>
      </w:r>
      <w:r w:rsidRPr="00025169">
        <w:rPr>
          <w:rStyle w:val="af7"/>
          <w:rFonts w:eastAsia="Guttman Hodes"/>
          <w:rtl/>
        </w:rPr>
        <w:instrText xml:space="preserve"> </w:instrText>
      </w:r>
      <w:r w:rsidRPr="00025169">
        <w:rPr>
          <w:rStyle w:val="af7"/>
          <w:rFonts w:eastAsia="Guttman Hodes"/>
          <w:rtl/>
        </w:rPr>
      </w:r>
      <w:r w:rsidRPr="00025169">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sidRPr="00025169">
        <w:rPr>
          <w:rStyle w:val="af7"/>
          <w:rFonts w:eastAsia="Guttman Hodes"/>
          <w:rtl/>
        </w:rPr>
        <w:fldChar w:fldCharType="end"/>
      </w:r>
      <w:r>
        <w:rPr>
          <w:rFonts w:hint="cs"/>
          <w:rtl/>
        </w:rPr>
        <w:t xml:space="preserve"> בדברי </w:t>
      </w:r>
      <w:r>
        <w:rPr>
          <w:rStyle w:val="af9"/>
          <w:rFonts w:hint="cs"/>
          <w:rtl/>
        </w:rPr>
        <w:t>רבינו יונה</w:t>
      </w:r>
      <w:r>
        <w:rPr>
          <w:rFonts w:hint="cs"/>
          <w:rtl/>
        </w:rPr>
        <w:t>.</w:t>
      </w:r>
      <w:bookmarkEnd w:id="8594"/>
    </w:p>
    <w:p w:rsidR="0007171D" w:rsidRDefault="0007171D" w:rsidP="0007171D">
      <w:pPr>
        <w:pStyle w:val="a3"/>
        <w:rPr>
          <w:rtl/>
        </w:rPr>
      </w:pPr>
      <w:bookmarkStart w:id="8595" w:name="_Toc59007042"/>
      <w:bookmarkStart w:id="8596" w:name="_Toc59013520"/>
      <w:bookmarkStart w:id="8597" w:name="_Toc59013768"/>
      <w:bookmarkStart w:id="8598" w:name="_Toc59025834"/>
      <w:r>
        <w:rPr>
          <w:rFonts w:hint="cs"/>
          <w:rtl/>
        </w:rPr>
        <w:t>ביאור הטור ברבינו יונה דפשע המחזיק שהודה דא"ל המוכר ובלא"ה היה המוכר נפטר מהמערער</w:t>
      </w:r>
      <w:bookmarkEnd w:id="8595"/>
      <w:bookmarkEnd w:id="8596"/>
      <w:bookmarkEnd w:id="8597"/>
      <w:bookmarkEnd w:id="8598"/>
    </w:p>
    <w:p w:rsidR="0007171D" w:rsidRDefault="0007171D" w:rsidP="007E4E81">
      <w:pPr>
        <w:pStyle w:val="a0"/>
        <w:rPr>
          <w:rtl/>
        </w:rPr>
      </w:pPr>
      <w:r>
        <w:rPr>
          <w:rFonts w:hint="cs"/>
          <w:rtl/>
        </w:rPr>
        <w:t xml:space="preserve">וביאר </w:t>
      </w:r>
      <w:r w:rsidRPr="00660DFB">
        <w:rPr>
          <w:rStyle w:val="af9"/>
          <w:rFonts w:hint="cs"/>
          <w:rtl/>
        </w:rPr>
        <w:t>הטור</w:t>
      </w:r>
      <w:r>
        <w:rPr>
          <w:rFonts w:hint="cs"/>
          <w:rtl/>
        </w:rPr>
        <w:t xml:space="preserve"> </w:t>
      </w:r>
      <w:r w:rsidRPr="00CE2165">
        <w:rPr>
          <w:rStyle w:val="af7"/>
          <w:rFonts w:eastAsia="Guttman Hodes" w:hint="cs"/>
          <w:rtl/>
        </w:rPr>
        <w:t>(סי' קמ"ו י"ג)</w:t>
      </w:r>
      <w:r>
        <w:rPr>
          <w:rFonts w:hint="cs"/>
          <w:rtl/>
        </w:rPr>
        <w:t xml:space="preserve"> את דברי </w:t>
      </w:r>
      <w:r w:rsidRPr="00660DFB">
        <w:rPr>
          <w:rStyle w:val="af9"/>
          <w:rFonts w:hint="cs"/>
          <w:rtl/>
        </w:rPr>
        <w:t>רבינו יונה</w:t>
      </w:r>
      <w:r>
        <w:rPr>
          <w:rFonts w:hint="cs"/>
          <w:rtl/>
        </w:rPr>
        <w:t xml:space="preserve"> </w:t>
      </w:r>
      <w:r w:rsidRPr="00CE2165">
        <w:rPr>
          <w:rStyle w:val="af7"/>
          <w:rFonts w:eastAsia="Guttman Hodes" w:hint="cs"/>
          <w:rtl/>
        </w:rPr>
        <w:t xml:space="preserve">(עי' אות </w:t>
      </w:r>
      <w:r w:rsidRPr="00CE2165">
        <w:rPr>
          <w:rStyle w:val="af7"/>
          <w:rFonts w:eastAsia="Guttman Hodes"/>
          <w:rtl/>
        </w:rPr>
        <w:fldChar w:fldCharType="begin"/>
      </w:r>
      <w:r w:rsidRPr="00CE2165">
        <w:rPr>
          <w:rStyle w:val="af7"/>
          <w:rFonts w:eastAsia="Guttman Hodes"/>
          <w:rtl/>
        </w:rPr>
        <w:instrText xml:space="preserve"> </w:instrText>
      </w:r>
      <w:r w:rsidRPr="00CE2165">
        <w:rPr>
          <w:rStyle w:val="af7"/>
          <w:rFonts w:eastAsia="Guttman Hodes" w:hint="cs"/>
        </w:rPr>
        <w:instrText>REF</w:instrText>
      </w:r>
      <w:r w:rsidRPr="00CE2165">
        <w:rPr>
          <w:rStyle w:val="af7"/>
          <w:rFonts w:eastAsia="Guttman Hodes" w:hint="cs"/>
          <w:rtl/>
        </w:rPr>
        <w:instrText xml:space="preserve"> _</w:instrText>
      </w:r>
      <w:r w:rsidRPr="00CE2165">
        <w:rPr>
          <w:rStyle w:val="af7"/>
          <w:rFonts w:eastAsia="Guttman Hodes" w:hint="cs"/>
        </w:rPr>
        <w:instrText>Ref57823117 \r \h</w:instrText>
      </w:r>
      <w:r w:rsidRPr="00CE2165">
        <w:rPr>
          <w:rStyle w:val="af7"/>
          <w:rFonts w:eastAsia="Guttman Hodes"/>
          <w:rtl/>
        </w:rPr>
        <w:instrText xml:space="preserve"> </w:instrText>
      </w:r>
      <w:r w:rsidRPr="00CE2165">
        <w:rPr>
          <w:rStyle w:val="af7"/>
          <w:rFonts w:eastAsia="Guttman Hodes"/>
          <w:rtl/>
        </w:rPr>
      </w:r>
      <w:r w:rsidRPr="00CE2165">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CE2165">
        <w:rPr>
          <w:rStyle w:val="af7"/>
          <w:rFonts w:eastAsia="Guttman Hodes"/>
          <w:rtl/>
        </w:rPr>
        <w:fldChar w:fldCharType="end"/>
      </w:r>
      <w:r>
        <w:rPr>
          <w:rFonts w:hint="cs"/>
          <w:rtl/>
        </w:rPr>
        <w:t>, דמהחזיק הפסיד את הקרקע בפשיעה, דהא אם היה המחזיק טוען רק שקנה מהמוכר, ולא היה מוסיף שהמוכר א"ל שקנה מהמערער, לא היה המערער יכול להוציא מידו, אף אם אין לו חזקת ג"ש, דהא אין למערער עדים שהייתה שלו, ולכן אומר המוכר למחזיק דאעפ"י שהוציאו ממך את הקרקע, מ"מ אינך יכול לחזור עלי, דאם היה המערער בא לדון עמי, הייתי נפטר בטענה שקניתי מהמערער במיגו שלא הייתה שלו מעולם, ואף שהמחזיק אינו נפטר בטענה שטען למערער, מ"מ כיון שהיה לו טענה שהיה יכול להפטר בה, והוא הוסיף על זה דהמוכר קנה מהמערער, אין המוכר צריך להפסיד מחמת זה.</w:t>
      </w:r>
    </w:p>
    <w:p w:rsidR="0007171D" w:rsidRDefault="0007171D" w:rsidP="0007171D">
      <w:pPr>
        <w:pStyle w:val="a3"/>
        <w:rPr>
          <w:rtl/>
        </w:rPr>
      </w:pPr>
      <w:bookmarkStart w:id="8599" w:name="_Toc59007043"/>
      <w:bookmarkStart w:id="8600" w:name="_Toc59013521"/>
      <w:bookmarkStart w:id="8601" w:name="_Toc59013769"/>
      <w:bookmarkStart w:id="8602" w:name="_Toc59025835"/>
      <w:r>
        <w:rPr>
          <w:rFonts w:hint="cs"/>
          <w:rtl/>
        </w:rPr>
        <w:t>דברי התומים דלרבינו יונה דהודה בפירוש א"צ לשלם לו אך להרא"ש צריך המוכר לשלם לו</w:t>
      </w:r>
      <w:bookmarkEnd w:id="8599"/>
      <w:bookmarkEnd w:id="8600"/>
      <w:bookmarkEnd w:id="8601"/>
      <w:bookmarkEnd w:id="8602"/>
    </w:p>
    <w:p w:rsidR="0007171D" w:rsidRDefault="0007171D" w:rsidP="007E4E81">
      <w:pPr>
        <w:pStyle w:val="a0"/>
        <w:rPr>
          <w:rtl/>
        </w:rPr>
      </w:pPr>
      <w:r>
        <w:rPr>
          <w:rFonts w:hint="cs"/>
          <w:rtl/>
        </w:rPr>
        <w:t xml:space="preserve">וכתב </w:t>
      </w:r>
      <w:r w:rsidRPr="00AC0510">
        <w:rPr>
          <w:rStyle w:val="af9"/>
          <w:rFonts w:hint="cs"/>
          <w:rtl/>
        </w:rPr>
        <w:t xml:space="preserve">התומים </w:t>
      </w:r>
      <w:r w:rsidRPr="00AC0510">
        <w:rPr>
          <w:rStyle w:val="af7"/>
          <w:rFonts w:eastAsia="Guttman Hodes" w:hint="cs"/>
          <w:rtl/>
        </w:rPr>
        <w:t>(סי' קמ"ו סקי"ד)</w:t>
      </w:r>
      <w:r>
        <w:rPr>
          <w:rFonts w:hint="cs"/>
          <w:rtl/>
        </w:rPr>
        <w:t xml:space="preserve"> דכל דברי </w:t>
      </w:r>
      <w:r w:rsidRPr="00AC0510">
        <w:rPr>
          <w:rStyle w:val="af9"/>
          <w:rFonts w:hint="cs"/>
          <w:rtl/>
        </w:rPr>
        <w:t xml:space="preserve">רבינו יונה </w:t>
      </w:r>
      <w:r w:rsidRPr="00173BD0">
        <w:rPr>
          <w:rStyle w:val="af7"/>
          <w:rFonts w:eastAsia="Guttman Hodes" w:hint="cs"/>
          <w:rtl/>
        </w:rPr>
        <w:t xml:space="preserve">(עי' אות </w:t>
      </w:r>
      <w:r w:rsidRPr="00173BD0">
        <w:rPr>
          <w:rStyle w:val="af7"/>
          <w:rFonts w:eastAsia="Guttman Hodes"/>
          <w:rtl/>
        </w:rPr>
        <w:fldChar w:fldCharType="begin"/>
      </w:r>
      <w:r w:rsidRPr="00173BD0">
        <w:rPr>
          <w:rStyle w:val="af7"/>
          <w:rFonts w:eastAsia="Guttman Hodes"/>
          <w:rtl/>
        </w:rPr>
        <w:instrText xml:space="preserve"> </w:instrText>
      </w:r>
      <w:r w:rsidRPr="00173BD0">
        <w:rPr>
          <w:rStyle w:val="af7"/>
          <w:rFonts w:eastAsia="Guttman Hodes" w:hint="cs"/>
        </w:rPr>
        <w:instrText>REF</w:instrText>
      </w:r>
      <w:r w:rsidRPr="00173BD0">
        <w:rPr>
          <w:rStyle w:val="af7"/>
          <w:rFonts w:eastAsia="Guttman Hodes" w:hint="cs"/>
          <w:rtl/>
        </w:rPr>
        <w:instrText xml:space="preserve"> _</w:instrText>
      </w:r>
      <w:r w:rsidRPr="00173BD0">
        <w:rPr>
          <w:rStyle w:val="af7"/>
          <w:rFonts w:eastAsia="Guttman Hodes" w:hint="cs"/>
        </w:rPr>
        <w:instrText>Ref57823117 \r \h</w:instrText>
      </w:r>
      <w:r w:rsidRPr="00173BD0">
        <w:rPr>
          <w:rStyle w:val="af7"/>
          <w:rFonts w:eastAsia="Guttman Hodes"/>
          <w:rtl/>
        </w:rPr>
        <w:instrText xml:space="preserve"> </w:instrText>
      </w:r>
      <w:r w:rsidRPr="00173BD0">
        <w:rPr>
          <w:rStyle w:val="af7"/>
          <w:rFonts w:eastAsia="Guttman Hodes"/>
          <w:rtl/>
        </w:rPr>
      </w:r>
      <w:r w:rsidRPr="00173BD0">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173BD0">
        <w:rPr>
          <w:rStyle w:val="af7"/>
          <w:rFonts w:eastAsia="Guttman Hodes"/>
          <w:rtl/>
        </w:rPr>
        <w:fldChar w:fldCharType="end"/>
      </w:r>
      <w:r>
        <w:rPr>
          <w:rFonts w:hint="cs"/>
          <w:rtl/>
        </w:rPr>
        <w:t xml:space="preserve"> דהמחזיק הפסיד לעצמו, היינו כיון דביאר </w:t>
      </w:r>
      <w:r w:rsidRPr="00AC0510">
        <w:rPr>
          <w:rStyle w:val="af9"/>
          <w:rFonts w:hint="cs"/>
          <w:rtl/>
        </w:rPr>
        <w:t xml:space="preserve">רבינו יונה </w:t>
      </w:r>
      <w:r w:rsidRPr="00173BD0">
        <w:rPr>
          <w:rStyle w:val="af7"/>
          <w:rFonts w:eastAsia="Guttman Hodes" w:hint="cs"/>
          <w:rtl/>
        </w:rPr>
        <w:t xml:space="preserve">(עי' אות </w:t>
      </w:r>
      <w:r w:rsidRPr="00173BD0">
        <w:rPr>
          <w:rStyle w:val="af7"/>
          <w:rFonts w:eastAsia="Guttman Hodes"/>
          <w:rtl/>
        </w:rPr>
        <w:fldChar w:fldCharType="begin"/>
      </w:r>
      <w:r w:rsidRPr="00173BD0">
        <w:rPr>
          <w:rStyle w:val="af7"/>
          <w:rFonts w:eastAsia="Guttman Hodes"/>
          <w:rtl/>
        </w:rPr>
        <w:instrText xml:space="preserve"> </w:instrText>
      </w:r>
      <w:r w:rsidRPr="00173BD0">
        <w:rPr>
          <w:rStyle w:val="af7"/>
          <w:rFonts w:eastAsia="Guttman Hodes" w:hint="cs"/>
        </w:rPr>
        <w:instrText>REF</w:instrText>
      </w:r>
      <w:r w:rsidRPr="00173BD0">
        <w:rPr>
          <w:rStyle w:val="af7"/>
          <w:rFonts w:eastAsia="Guttman Hodes" w:hint="cs"/>
          <w:rtl/>
        </w:rPr>
        <w:instrText xml:space="preserve"> _</w:instrText>
      </w:r>
      <w:r w:rsidRPr="00173BD0">
        <w:rPr>
          <w:rStyle w:val="af7"/>
          <w:rFonts w:eastAsia="Guttman Hodes" w:hint="cs"/>
        </w:rPr>
        <w:instrText>Ref58875214 \r \h</w:instrText>
      </w:r>
      <w:r w:rsidRPr="00173BD0">
        <w:rPr>
          <w:rStyle w:val="af7"/>
          <w:rFonts w:eastAsia="Guttman Hodes"/>
          <w:rtl/>
        </w:rPr>
        <w:instrText xml:space="preserve"> </w:instrText>
      </w:r>
      <w:r w:rsidRPr="00173BD0">
        <w:rPr>
          <w:rStyle w:val="af7"/>
          <w:rFonts w:eastAsia="Guttman Hodes"/>
          <w:rtl/>
        </w:rPr>
      </w:r>
      <w:r w:rsidRPr="00173BD0">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173BD0">
        <w:rPr>
          <w:rStyle w:val="af7"/>
          <w:rFonts w:eastAsia="Guttman Hodes"/>
          <w:rtl/>
        </w:rPr>
        <w:fldChar w:fldCharType="end"/>
      </w:r>
      <w:r>
        <w:rPr>
          <w:rFonts w:hint="cs"/>
          <w:rtl/>
        </w:rPr>
        <w:t xml:space="preserve"> דהמחזיק הודה בפירוש למערער, אבל לביאור </w:t>
      </w:r>
      <w:r w:rsidRPr="00AC0510">
        <w:rPr>
          <w:rStyle w:val="af9"/>
          <w:rFonts w:hint="cs"/>
          <w:rtl/>
        </w:rPr>
        <w:t xml:space="preserve">הרא"ש </w:t>
      </w:r>
      <w:r w:rsidRPr="00173BD0">
        <w:rPr>
          <w:rStyle w:val="af7"/>
          <w:rFonts w:eastAsia="Guttman Hodes" w:hint="cs"/>
          <w:rtl/>
        </w:rPr>
        <w:t xml:space="preserve">(עי' אות </w:t>
      </w:r>
      <w:r w:rsidRPr="00173BD0">
        <w:rPr>
          <w:rStyle w:val="af7"/>
          <w:rFonts w:eastAsia="Guttman Hodes"/>
          <w:rtl/>
        </w:rPr>
        <w:fldChar w:fldCharType="begin"/>
      </w:r>
      <w:r w:rsidRPr="00173BD0">
        <w:rPr>
          <w:rStyle w:val="af7"/>
          <w:rFonts w:eastAsia="Guttman Hodes"/>
          <w:rtl/>
        </w:rPr>
        <w:instrText xml:space="preserve"> </w:instrText>
      </w:r>
      <w:r w:rsidRPr="00173BD0">
        <w:rPr>
          <w:rStyle w:val="af7"/>
          <w:rFonts w:eastAsia="Guttman Hodes" w:hint="cs"/>
        </w:rPr>
        <w:instrText>REF</w:instrText>
      </w:r>
      <w:r w:rsidRPr="00173BD0">
        <w:rPr>
          <w:rStyle w:val="af7"/>
          <w:rFonts w:eastAsia="Guttman Hodes" w:hint="cs"/>
          <w:rtl/>
        </w:rPr>
        <w:instrText xml:space="preserve"> _</w:instrText>
      </w:r>
      <w:r w:rsidRPr="00173BD0">
        <w:rPr>
          <w:rStyle w:val="af7"/>
          <w:rFonts w:eastAsia="Guttman Hodes" w:hint="cs"/>
        </w:rPr>
        <w:instrText>Ref58750729 \r \h</w:instrText>
      </w:r>
      <w:r w:rsidRPr="00173BD0">
        <w:rPr>
          <w:rStyle w:val="af7"/>
          <w:rFonts w:eastAsia="Guttman Hodes"/>
          <w:rtl/>
        </w:rPr>
        <w:instrText xml:space="preserve"> </w:instrText>
      </w:r>
      <w:r w:rsidRPr="00173BD0">
        <w:rPr>
          <w:rStyle w:val="af7"/>
          <w:rFonts w:eastAsia="Guttman Hodes"/>
          <w:rtl/>
        </w:rPr>
      </w:r>
      <w:r w:rsidRPr="00173BD0">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173BD0">
        <w:rPr>
          <w:rStyle w:val="af7"/>
          <w:rFonts w:eastAsia="Guttman Hodes"/>
          <w:rtl/>
        </w:rPr>
        <w:fldChar w:fldCharType="end"/>
      </w:r>
      <w:r w:rsidRPr="00173BD0">
        <w:rPr>
          <w:rStyle w:val="af7"/>
          <w:rFonts w:eastAsia="Guttman Hodes" w:hint="cs"/>
          <w:rtl/>
        </w:rPr>
        <w:t xml:space="preserve"> </w:t>
      </w:r>
      <w:r>
        <w:rPr>
          <w:rFonts w:hint="cs"/>
          <w:rtl/>
        </w:rPr>
        <w:t>דהמחזיק רק אמר למערער שכך אמר לו המוכר, א"כ ודאי דאין המוכר יכול לומר לו שהפסיד בעצמו, כיון שטען את האמת כפי מה שהמוכר עצמו אמר לו.</w:t>
      </w:r>
    </w:p>
    <w:p w:rsidR="0007171D" w:rsidRDefault="0007171D" w:rsidP="0007171D">
      <w:pPr>
        <w:pStyle w:val="a3"/>
        <w:rPr>
          <w:rtl/>
        </w:rPr>
      </w:pPr>
      <w:bookmarkStart w:id="8603" w:name="_Toc59007044"/>
      <w:bookmarkStart w:id="8604" w:name="_Toc59013522"/>
      <w:bookmarkStart w:id="8605" w:name="_Toc59013770"/>
      <w:bookmarkStart w:id="8606" w:name="_Toc59025836"/>
      <w:r>
        <w:rPr>
          <w:rFonts w:hint="cs"/>
          <w:rtl/>
        </w:rPr>
        <w:t>דברי הנתיה"מ דאף להרא"ש דהודה מפי המוכר אומר לו המוכר דלא היה צריך לומר שכך א"ל</w:t>
      </w:r>
      <w:bookmarkEnd w:id="8603"/>
      <w:bookmarkEnd w:id="8604"/>
      <w:bookmarkEnd w:id="8605"/>
      <w:bookmarkEnd w:id="8606"/>
    </w:p>
    <w:p w:rsidR="0007171D" w:rsidRDefault="0007171D" w:rsidP="007E4E81">
      <w:pPr>
        <w:pStyle w:val="a0"/>
        <w:rPr>
          <w:rtl/>
        </w:rPr>
      </w:pPr>
      <w:r>
        <w:rPr>
          <w:rFonts w:hint="cs"/>
          <w:rtl/>
        </w:rPr>
        <w:t xml:space="preserve">אבל </w:t>
      </w:r>
      <w:r w:rsidRPr="00AC0510">
        <w:rPr>
          <w:rStyle w:val="af9"/>
          <w:rFonts w:hint="cs"/>
          <w:rtl/>
        </w:rPr>
        <w:t xml:space="preserve">הנתיה"מ </w:t>
      </w:r>
      <w:r w:rsidRPr="00AC0510">
        <w:rPr>
          <w:rStyle w:val="af7"/>
          <w:rFonts w:eastAsia="Guttman Hodes" w:hint="cs"/>
          <w:rtl/>
        </w:rPr>
        <w:t>(סי' קמ"ו סקי"ט)</w:t>
      </w:r>
      <w:r>
        <w:rPr>
          <w:rFonts w:hint="cs"/>
          <w:rtl/>
        </w:rPr>
        <w:t xml:space="preserve"> דחה את דברי </w:t>
      </w:r>
      <w:r w:rsidRPr="00AC0510">
        <w:rPr>
          <w:rStyle w:val="af9"/>
          <w:rFonts w:hint="cs"/>
          <w:rtl/>
        </w:rPr>
        <w:t>התומים</w:t>
      </w:r>
      <w:r>
        <w:rPr>
          <w:rFonts w:hint="cs"/>
          <w:rtl/>
        </w:rPr>
        <w:t xml:space="preserve">, וכתב דאף לדעת </w:t>
      </w:r>
      <w:r w:rsidRPr="00AC0510">
        <w:rPr>
          <w:rStyle w:val="af9"/>
          <w:rFonts w:hint="cs"/>
          <w:rtl/>
        </w:rPr>
        <w:t xml:space="preserve">הרא"ש </w:t>
      </w:r>
      <w:r w:rsidRPr="00173BD0">
        <w:rPr>
          <w:rStyle w:val="af7"/>
          <w:rFonts w:eastAsia="Guttman Hodes" w:hint="cs"/>
          <w:rtl/>
        </w:rPr>
        <w:t xml:space="preserve">(עי' אות </w:t>
      </w:r>
      <w:r w:rsidRPr="00173BD0">
        <w:rPr>
          <w:rStyle w:val="af7"/>
          <w:rFonts w:eastAsia="Guttman Hodes"/>
          <w:rtl/>
        </w:rPr>
        <w:fldChar w:fldCharType="begin"/>
      </w:r>
      <w:r w:rsidRPr="00173BD0">
        <w:rPr>
          <w:rStyle w:val="af7"/>
          <w:rFonts w:eastAsia="Guttman Hodes"/>
          <w:rtl/>
        </w:rPr>
        <w:instrText xml:space="preserve"> </w:instrText>
      </w:r>
      <w:r w:rsidRPr="00173BD0">
        <w:rPr>
          <w:rStyle w:val="af7"/>
          <w:rFonts w:eastAsia="Guttman Hodes" w:hint="cs"/>
        </w:rPr>
        <w:instrText>REF</w:instrText>
      </w:r>
      <w:r w:rsidRPr="00173BD0">
        <w:rPr>
          <w:rStyle w:val="af7"/>
          <w:rFonts w:eastAsia="Guttman Hodes" w:hint="cs"/>
          <w:rtl/>
        </w:rPr>
        <w:instrText xml:space="preserve"> _</w:instrText>
      </w:r>
      <w:r w:rsidRPr="00173BD0">
        <w:rPr>
          <w:rStyle w:val="af7"/>
          <w:rFonts w:eastAsia="Guttman Hodes" w:hint="cs"/>
        </w:rPr>
        <w:instrText>Ref58750729 \r \h</w:instrText>
      </w:r>
      <w:r w:rsidRPr="00173BD0">
        <w:rPr>
          <w:rStyle w:val="af7"/>
          <w:rFonts w:eastAsia="Guttman Hodes"/>
          <w:rtl/>
        </w:rPr>
        <w:instrText xml:space="preserve"> </w:instrText>
      </w:r>
      <w:r w:rsidRPr="00173BD0">
        <w:rPr>
          <w:rStyle w:val="af7"/>
          <w:rFonts w:eastAsia="Guttman Hodes"/>
          <w:rtl/>
        </w:rPr>
      </w:r>
      <w:r w:rsidRPr="00173BD0">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173BD0">
        <w:rPr>
          <w:rStyle w:val="af7"/>
          <w:rFonts w:eastAsia="Guttman Hodes"/>
          <w:rtl/>
        </w:rPr>
        <w:fldChar w:fldCharType="end"/>
      </w:r>
      <w:r w:rsidRPr="00173BD0">
        <w:rPr>
          <w:rStyle w:val="af7"/>
          <w:rFonts w:eastAsia="Guttman Hodes" w:hint="cs"/>
          <w:rtl/>
        </w:rPr>
        <w:t xml:space="preserve"> </w:t>
      </w:r>
      <w:r>
        <w:rPr>
          <w:rFonts w:hint="cs"/>
          <w:rtl/>
        </w:rPr>
        <w:t>דהמחזיק לא הודה בפירוש, מ"מ יכול המוכר לומר ללוקח דהוא קנה מהמוכר, ולא היה לו להוסיף כלל דהמוכר קנה מהמערער, דהא המוכר עצמו נאמן במיגו, ולכן מה שהלוקח הוסיף והודה דהמוכר קנה מהמערער הוא גרם לעצמו.</w:t>
      </w:r>
    </w:p>
    <w:p w:rsidR="0007171D" w:rsidRPr="006A1E9B" w:rsidRDefault="0007171D" w:rsidP="0007171D">
      <w:pPr>
        <w:pStyle w:val="1"/>
        <w:rPr>
          <w:rtl/>
        </w:rPr>
      </w:pPr>
      <w:bookmarkStart w:id="8607" w:name="_Toc59007045"/>
      <w:bookmarkStart w:id="8608" w:name="_Toc59013523"/>
      <w:bookmarkStart w:id="8609" w:name="_Toc59013771"/>
      <w:bookmarkStart w:id="8610" w:name="_Toc59025837"/>
      <w:r>
        <w:rPr>
          <w:rFonts w:hint="cs"/>
          <w:rtl/>
        </w:rPr>
        <w:t>דברי התורי"ד</w:t>
      </w:r>
      <w:bookmarkEnd w:id="8607"/>
      <w:bookmarkEnd w:id="8608"/>
      <w:r>
        <w:rPr>
          <w:rFonts w:hint="cs"/>
          <w:rtl/>
        </w:rPr>
        <w:t xml:space="preserve"> דהמחזיק הפסיד לעצמו שלא ביקש שטר</w:t>
      </w:r>
      <w:bookmarkEnd w:id="8609"/>
      <w:bookmarkEnd w:id="8610"/>
      <w:r>
        <w:rPr>
          <w:rFonts w:hint="cs"/>
          <w:rtl/>
        </w:rPr>
        <w:t xml:space="preserve"> </w:t>
      </w:r>
    </w:p>
    <w:p w:rsidR="0007171D" w:rsidRPr="00AC0510" w:rsidRDefault="0007171D" w:rsidP="0007171D">
      <w:pPr>
        <w:pStyle w:val="a3"/>
        <w:rPr>
          <w:rtl/>
        </w:rPr>
      </w:pPr>
      <w:bookmarkStart w:id="8611" w:name="_Toc59007046"/>
      <w:bookmarkStart w:id="8612" w:name="_Toc59013524"/>
      <w:bookmarkStart w:id="8613" w:name="_Toc59013772"/>
      <w:bookmarkStart w:id="8614" w:name="_Toc59025838"/>
      <w:r>
        <w:rPr>
          <w:rFonts w:hint="cs"/>
          <w:rtl/>
        </w:rPr>
        <w:t>קושית התורי"ד על הרשב"ם דמה שהמחזיק אינו יודע לטעון אי"ז מחייב את המוכר דבאמת</w:t>
      </w:r>
      <w:r w:rsidRPr="005533F6">
        <w:rPr>
          <w:rFonts w:hint="cs"/>
          <w:rtl/>
        </w:rPr>
        <w:t xml:space="preserve"> </w:t>
      </w:r>
      <w:r>
        <w:rPr>
          <w:rFonts w:hint="cs"/>
          <w:rtl/>
        </w:rPr>
        <w:t>קנה</w:t>
      </w:r>
      <w:bookmarkEnd w:id="8611"/>
      <w:bookmarkEnd w:id="8612"/>
      <w:bookmarkEnd w:id="8613"/>
      <w:bookmarkEnd w:id="8614"/>
    </w:p>
    <w:p w:rsidR="0007171D" w:rsidRDefault="0007171D" w:rsidP="007E4E81">
      <w:pPr>
        <w:pStyle w:val="a0"/>
        <w:rPr>
          <w:rtl/>
        </w:rPr>
      </w:pPr>
      <w:bookmarkStart w:id="8615" w:name="_Ref57909944"/>
      <w:bookmarkStart w:id="8616" w:name="_Toc57925954"/>
      <w:bookmarkStart w:id="8617" w:name="_Toc58091645"/>
      <w:bookmarkStart w:id="8618" w:name="_Toc58144921"/>
      <w:bookmarkStart w:id="8619" w:name="_Toc58272610"/>
      <w:r w:rsidRPr="006A1E9B">
        <w:rPr>
          <w:rStyle w:val="af9"/>
          <w:rFonts w:hint="cs"/>
          <w:rtl/>
        </w:rPr>
        <w:t>וה</w:t>
      </w:r>
      <w:r w:rsidRPr="00F912BC">
        <w:rPr>
          <w:rStyle w:val="af9"/>
          <w:rFonts w:hint="cs"/>
          <w:rtl/>
        </w:rPr>
        <w:t>תוס' רי"ד</w:t>
      </w:r>
      <w:r>
        <w:rPr>
          <w:rFonts w:hint="cs"/>
          <w:rtl/>
        </w:rPr>
        <w:t xml:space="preserve"> </w:t>
      </w:r>
      <w:r w:rsidRPr="00CD3FDB">
        <w:rPr>
          <w:rStyle w:val="af7"/>
          <w:rFonts w:eastAsia="Guttman Hodes" w:hint="cs"/>
          <w:rtl/>
        </w:rPr>
        <w:t xml:space="preserve">(או' ה' ד"ה </w:t>
      </w:r>
      <w:r>
        <w:rPr>
          <w:rStyle w:val="af7"/>
          <w:rFonts w:eastAsia="Guttman Hodes" w:hint="cs"/>
          <w:rtl/>
        </w:rPr>
        <w:t>וזה הפתרון</w:t>
      </w:r>
      <w:r w:rsidRPr="00CD3FDB">
        <w:rPr>
          <w:rStyle w:val="af7"/>
          <w:rFonts w:eastAsia="Guttman Hodes" w:hint="cs"/>
          <w:rtl/>
        </w:rPr>
        <w:t>)</w:t>
      </w:r>
      <w:r>
        <w:rPr>
          <w:rFonts w:hint="cs"/>
          <w:rtl/>
        </w:rPr>
        <w:t xml:space="preserve"> הקשה על </w:t>
      </w:r>
      <w:r w:rsidRPr="00F912BC">
        <w:rPr>
          <w:rStyle w:val="af9"/>
          <w:rFonts w:hint="cs"/>
          <w:rtl/>
        </w:rPr>
        <w:t>הרשב"ם</w:t>
      </w:r>
      <w:r>
        <w:rPr>
          <w:rFonts w:hint="cs"/>
          <w:rtl/>
        </w:rPr>
        <w:t xml:space="preserve"> </w:t>
      </w:r>
      <w:r w:rsidRPr="00F912BC">
        <w:rPr>
          <w:rStyle w:val="af7"/>
          <w:rFonts w:eastAsia="Guttman Hodes" w:hint="cs"/>
          <w:rtl/>
        </w:rPr>
        <w:t xml:space="preserve">(עי' אות </w:t>
      </w:r>
      <w:r w:rsidRPr="00F912BC">
        <w:rPr>
          <w:rStyle w:val="af7"/>
          <w:rFonts w:eastAsia="Guttman Hodes"/>
          <w:rtl/>
        </w:rPr>
        <w:fldChar w:fldCharType="begin"/>
      </w:r>
      <w:r w:rsidRPr="00F912BC">
        <w:rPr>
          <w:rStyle w:val="af7"/>
          <w:rFonts w:eastAsia="Guttman Hodes"/>
          <w:rtl/>
        </w:rPr>
        <w:instrText xml:space="preserve"> </w:instrText>
      </w:r>
      <w:r w:rsidRPr="00F912BC">
        <w:rPr>
          <w:rStyle w:val="af7"/>
          <w:rFonts w:eastAsia="Guttman Hodes" w:hint="cs"/>
        </w:rPr>
        <w:instrText>REF</w:instrText>
      </w:r>
      <w:r w:rsidRPr="00F912BC">
        <w:rPr>
          <w:rStyle w:val="af7"/>
          <w:rFonts w:eastAsia="Guttman Hodes" w:hint="cs"/>
          <w:rtl/>
        </w:rPr>
        <w:instrText xml:space="preserve"> _</w:instrText>
      </w:r>
      <w:r w:rsidRPr="00F912BC">
        <w:rPr>
          <w:rStyle w:val="af7"/>
          <w:rFonts w:eastAsia="Guttman Hodes" w:hint="cs"/>
        </w:rPr>
        <w:instrText>Ref57909980 \r \h</w:instrText>
      </w:r>
      <w:r w:rsidRPr="00F912BC">
        <w:rPr>
          <w:rStyle w:val="af7"/>
          <w:rFonts w:eastAsia="Guttman Hodes"/>
          <w:rtl/>
        </w:rPr>
        <w:instrText xml:space="preserve"> </w:instrText>
      </w:r>
      <w:r w:rsidRPr="00F912BC">
        <w:rPr>
          <w:rStyle w:val="af7"/>
          <w:rFonts w:eastAsia="Guttman Hodes"/>
          <w:rtl/>
        </w:rPr>
      </w:r>
      <w:r w:rsidRPr="00F912BC">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F912BC">
        <w:rPr>
          <w:rStyle w:val="af7"/>
          <w:rFonts w:eastAsia="Guttman Hodes"/>
          <w:rtl/>
        </w:rPr>
        <w:fldChar w:fldCharType="end"/>
      </w:r>
      <w:r>
        <w:rPr>
          <w:rFonts w:hint="cs"/>
          <w:rtl/>
        </w:rPr>
        <w:t xml:space="preserve"> דכתב דהלוקח יכול לתבוע את מעותיו מהמוכר, דהא דהלוקח אינו יודע לטעון למערער, אי"ז מחייב את המוכר להחזיר לו את מעותיו, דיאמר המוכר דהוא באמת קנה מהמערער, אך אין לו עדים ע"ז, וכשמכרתי לך לא ביקשת ממני עדים, ואף המערער אינו מביא עדים שהקרקע הייתה שלו, ולכן אף אני לא צריך להביא עדים שקניתי ממנו, וממילא מפסיד הלוקח, ואינו יכול לתבוע את המוכר.</w:t>
      </w:r>
      <w:bookmarkEnd w:id="8615"/>
    </w:p>
    <w:p w:rsidR="0007171D" w:rsidRPr="00F14AF1" w:rsidRDefault="0007171D" w:rsidP="0007171D">
      <w:pPr>
        <w:pStyle w:val="a3"/>
        <w:rPr>
          <w:rtl/>
        </w:rPr>
      </w:pPr>
      <w:bookmarkStart w:id="8620" w:name="_Toc59007047"/>
      <w:bookmarkStart w:id="8621" w:name="_Toc59013525"/>
      <w:bookmarkStart w:id="8622" w:name="_Toc59013773"/>
      <w:bookmarkStart w:id="8623" w:name="_Toc59025839"/>
      <w:r>
        <w:rPr>
          <w:rFonts w:hint="cs"/>
          <w:rtl/>
        </w:rPr>
        <w:t>דברי התורי"ד דאף באחריות פטור המוכר דאומר ללוקח דאין לו עדים ולא היה לך להשיב לו</w:t>
      </w:r>
      <w:bookmarkEnd w:id="8620"/>
      <w:bookmarkEnd w:id="8621"/>
      <w:bookmarkEnd w:id="8622"/>
      <w:bookmarkEnd w:id="8623"/>
    </w:p>
    <w:p w:rsidR="0007171D" w:rsidRDefault="0007171D" w:rsidP="007E4E81">
      <w:pPr>
        <w:pStyle w:val="a0"/>
        <w:rPr>
          <w:rtl/>
        </w:rPr>
      </w:pPr>
      <w:bookmarkStart w:id="8624" w:name="_Ref58322673"/>
      <w:r>
        <w:rPr>
          <w:rFonts w:hint="cs"/>
          <w:rtl/>
        </w:rPr>
        <w:t xml:space="preserve">אלא כתב </w:t>
      </w:r>
      <w:r w:rsidRPr="00F912BC">
        <w:rPr>
          <w:rStyle w:val="af9"/>
          <w:rFonts w:hint="cs"/>
          <w:rtl/>
        </w:rPr>
        <w:t>התוס' רי"ד</w:t>
      </w:r>
      <w:r>
        <w:rPr>
          <w:rFonts w:hint="cs"/>
          <w:rtl/>
        </w:rPr>
        <w:t xml:space="preserve"> דאף אם הלוקח קנה את הקרקע באחריות, מ"מ הוא לא יכול לחזור למוכר ולתובעו, דיאמר לו המוכר אני קניתי ממנו ומכרתי לך, והוא הוציא ממך רק כיון שאינך יודע לטעון לו, דהרי כיון שאין עדים שהייתה שלו המערער, לא היית צריך להשיב לו כלל, או דהיה לך לטעון למערער שקנית ממני, אך לא היה לך להוסיף שאני קניתי ממנו.</w:t>
      </w:r>
      <w:bookmarkEnd w:id="8624"/>
    </w:p>
    <w:p w:rsidR="0007171D" w:rsidRDefault="0007171D" w:rsidP="0007171D">
      <w:pPr>
        <w:pStyle w:val="1"/>
        <w:rPr>
          <w:rtl/>
        </w:rPr>
      </w:pPr>
      <w:bookmarkStart w:id="8625" w:name="_Toc58144922"/>
      <w:bookmarkStart w:id="8626" w:name="_Toc58272611"/>
      <w:bookmarkStart w:id="8627" w:name="_Toc58325046"/>
      <w:bookmarkStart w:id="8628" w:name="_Toc58359192"/>
      <w:bookmarkStart w:id="8629" w:name="_Toc58409453"/>
      <w:bookmarkStart w:id="8630" w:name="_Toc58432819"/>
      <w:bookmarkStart w:id="8631" w:name="_Toc58580022"/>
      <w:bookmarkStart w:id="8632" w:name="_Toc58843030"/>
      <w:bookmarkStart w:id="8633" w:name="_Toc58876238"/>
      <w:bookmarkStart w:id="8634" w:name="_Toc58877651"/>
      <w:bookmarkStart w:id="8635" w:name="_Toc58914710"/>
      <w:bookmarkStart w:id="8636" w:name="_Toc58926011"/>
      <w:bookmarkStart w:id="8637" w:name="_Toc58930078"/>
      <w:bookmarkStart w:id="8638" w:name="_Toc58938237"/>
      <w:bookmarkStart w:id="8639" w:name="_Toc59007048"/>
      <w:bookmarkStart w:id="8640" w:name="_Toc59013526"/>
      <w:bookmarkStart w:id="8641" w:name="_Toc59013774"/>
      <w:bookmarkStart w:id="8642" w:name="_Toc59025840"/>
      <w:bookmarkEnd w:id="8616"/>
      <w:bookmarkEnd w:id="8617"/>
      <w:bookmarkEnd w:id="8618"/>
      <w:bookmarkEnd w:id="8619"/>
      <w:r>
        <w:rPr>
          <w:rFonts w:hint="cs"/>
          <w:rtl/>
        </w:rPr>
        <w:lastRenderedPageBreak/>
        <w:t>פלוגתת המ"מ והלח"מ בדעת הרי"ף</w:t>
      </w:r>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r>
        <w:rPr>
          <w:rFonts w:hint="cs"/>
          <w:rtl/>
        </w:rPr>
        <w:t xml:space="preserve"> אי גובה מעותיו מהמוכר</w:t>
      </w:r>
      <w:bookmarkEnd w:id="8639"/>
      <w:bookmarkEnd w:id="8640"/>
      <w:bookmarkEnd w:id="8641"/>
      <w:bookmarkEnd w:id="8642"/>
    </w:p>
    <w:p w:rsidR="0007171D" w:rsidRPr="00C5790E" w:rsidRDefault="0007171D" w:rsidP="0007171D">
      <w:pPr>
        <w:pStyle w:val="a3"/>
      </w:pPr>
      <w:bookmarkStart w:id="8643" w:name="_Toc59007049"/>
      <w:bookmarkStart w:id="8644" w:name="_Toc59013527"/>
      <w:bookmarkStart w:id="8645" w:name="_Toc59013775"/>
      <w:bookmarkStart w:id="8646" w:name="_Toc59025841"/>
      <w:bookmarkStart w:id="8647" w:name="_Ref57973370"/>
      <w:r>
        <w:rPr>
          <w:rFonts w:hint="cs"/>
          <w:rtl/>
        </w:rPr>
        <w:t>דברי הרי"ף דאם יש לו פסידא המחזיק הפסיד לעצמו ולא היה לו לקנות כך את הקרקע</w:t>
      </w:r>
      <w:bookmarkEnd w:id="8643"/>
      <w:bookmarkEnd w:id="8644"/>
      <w:bookmarkEnd w:id="8645"/>
      <w:bookmarkEnd w:id="8646"/>
    </w:p>
    <w:p w:rsidR="0007171D" w:rsidRDefault="0007171D" w:rsidP="007E4E81">
      <w:pPr>
        <w:pStyle w:val="a0"/>
        <w:rPr>
          <w:rtl/>
        </w:rPr>
      </w:pPr>
      <w:bookmarkStart w:id="8648" w:name="_Ref57971333"/>
      <w:r>
        <w:rPr>
          <w:rFonts w:hint="cs"/>
          <w:rtl/>
        </w:rPr>
        <w:t xml:space="preserve">כתב </w:t>
      </w:r>
      <w:r w:rsidRPr="00893FAC">
        <w:rPr>
          <w:rStyle w:val="af9"/>
          <w:rFonts w:hint="cs"/>
          <w:rtl/>
        </w:rPr>
        <w:t>הרי"ף</w:t>
      </w:r>
      <w:r w:rsidRPr="00C23A10">
        <w:rPr>
          <w:rStyle w:val="af7"/>
          <w:rFonts w:eastAsia="Guttman Hodes" w:hint="cs"/>
          <w:rtl/>
        </w:rPr>
        <w:t xml:space="preserve"> (ט"ו: מדה"ר) </w:t>
      </w:r>
      <w:r>
        <w:rPr>
          <w:rFonts w:hint="cs"/>
          <w:rtl/>
        </w:rPr>
        <w:t xml:space="preserve">דאם יש למחזיק פסידא במה שהודה למערער, איהו דאפסיד אנפשיה, דלא היה לו לקנות את הקרקע כך, והביא </w:t>
      </w:r>
      <w:r w:rsidRPr="00C23A10">
        <w:rPr>
          <w:rStyle w:val="af9"/>
          <w:rFonts w:hint="cs"/>
          <w:rtl/>
        </w:rPr>
        <w:t>הרי"ף</w:t>
      </w:r>
      <w:r>
        <w:rPr>
          <w:rFonts w:hint="cs"/>
          <w:rtl/>
        </w:rPr>
        <w:t xml:space="preserve"> דיש מקשים על הגמ' הזו, וכתבו דדברי רבא הם דלא כהלכתא, אך לפי דבריו מבוארת הגמ' וקיי"ל כרבא,</w:t>
      </w:r>
      <w:r w:rsidRPr="00275BDF">
        <w:rPr>
          <w:rFonts w:hint="cs"/>
          <w:rtl/>
        </w:rPr>
        <w:t xml:space="preserve"> </w:t>
      </w:r>
      <w:r>
        <w:rPr>
          <w:rFonts w:hint="cs"/>
          <w:rtl/>
        </w:rPr>
        <w:t xml:space="preserve">וכתב </w:t>
      </w:r>
      <w:r w:rsidRPr="00C23A10">
        <w:rPr>
          <w:rStyle w:val="af9"/>
          <w:rFonts w:hint="cs"/>
          <w:rtl/>
        </w:rPr>
        <w:t>הב"י</w:t>
      </w:r>
      <w:r>
        <w:rPr>
          <w:rFonts w:hint="cs"/>
          <w:rtl/>
        </w:rPr>
        <w:t xml:space="preserve"> </w:t>
      </w:r>
      <w:r w:rsidRPr="00C23A10">
        <w:rPr>
          <w:rStyle w:val="af7"/>
          <w:rFonts w:eastAsia="Guttman Hodes" w:hint="cs"/>
          <w:rtl/>
        </w:rPr>
        <w:t xml:space="preserve">(סי' קמ"ו כ"ה ד"ה ולענין) </w:t>
      </w:r>
      <w:r>
        <w:rPr>
          <w:rFonts w:hint="cs"/>
          <w:rtl/>
        </w:rPr>
        <w:t xml:space="preserve">דדברי </w:t>
      </w:r>
      <w:r w:rsidRPr="00C23A10">
        <w:rPr>
          <w:rStyle w:val="af9"/>
          <w:rFonts w:hint="cs"/>
          <w:rtl/>
        </w:rPr>
        <w:t>הרי"ף</w:t>
      </w:r>
      <w:r>
        <w:rPr>
          <w:rFonts w:hint="cs"/>
          <w:rtl/>
        </w:rPr>
        <w:t xml:space="preserve"> אינם מובנים.</w:t>
      </w:r>
      <w:bookmarkEnd w:id="8648"/>
    </w:p>
    <w:p w:rsidR="0007171D" w:rsidRPr="00E93A77" w:rsidRDefault="0007171D" w:rsidP="0007171D">
      <w:pPr>
        <w:pStyle w:val="a3"/>
        <w:rPr>
          <w:rtl/>
        </w:rPr>
      </w:pPr>
      <w:bookmarkStart w:id="8649" w:name="_Toc59007050"/>
      <w:bookmarkStart w:id="8650" w:name="_Toc59013528"/>
      <w:bookmarkStart w:id="8651" w:name="_Toc59013776"/>
      <w:bookmarkStart w:id="8652" w:name="_Toc59025842"/>
      <w:r>
        <w:rPr>
          <w:rFonts w:hint="cs"/>
          <w:rtl/>
        </w:rPr>
        <w:t>ביאור הרשב"א והמ"מ ברי"ף דהמחזיק הפסיד בגלל שהודה ואינו יכול לתבוע את המוכר</w:t>
      </w:r>
      <w:bookmarkEnd w:id="8649"/>
      <w:bookmarkEnd w:id="8650"/>
      <w:bookmarkEnd w:id="8651"/>
      <w:bookmarkEnd w:id="8652"/>
      <w:r>
        <w:rPr>
          <w:rFonts w:hint="cs"/>
          <w:rtl/>
        </w:rPr>
        <w:t xml:space="preserve"> </w:t>
      </w:r>
    </w:p>
    <w:p w:rsidR="0007171D" w:rsidRDefault="0007171D" w:rsidP="007E4E81">
      <w:pPr>
        <w:pStyle w:val="a0"/>
        <w:rPr>
          <w:rtl/>
        </w:rPr>
      </w:pPr>
      <w:bookmarkStart w:id="8653" w:name="_Ref58148601"/>
      <w:r>
        <w:rPr>
          <w:rFonts w:hint="cs"/>
          <w:rtl/>
        </w:rPr>
        <w:t xml:space="preserve">והביא </w:t>
      </w:r>
      <w:r w:rsidRPr="00C23A10">
        <w:rPr>
          <w:rStyle w:val="af9"/>
          <w:rFonts w:hint="cs"/>
          <w:rtl/>
        </w:rPr>
        <w:t>הב"י דהמ"מ</w:t>
      </w:r>
      <w:r>
        <w:rPr>
          <w:rFonts w:hint="cs"/>
          <w:rtl/>
        </w:rPr>
        <w:t xml:space="preserve"> </w:t>
      </w:r>
      <w:r w:rsidRPr="00C23A10">
        <w:rPr>
          <w:rStyle w:val="af7"/>
          <w:rFonts w:eastAsia="Guttman Hodes" w:hint="cs"/>
          <w:rtl/>
        </w:rPr>
        <w:t xml:space="preserve">(טו"נ פי"ד הי"ד) </w:t>
      </w:r>
      <w:r>
        <w:rPr>
          <w:rFonts w:hint="cs"/>
          <w:rtl/>
        </w:rPr>
        <w:t xml:space="preserve">ביאר דס"ל </w:t>
      </w:r>
      <w:r w:rsidRPr="00C23A10">
        <w:rPr>
          <w:rStyle w:val="af9"/>
          <w:rFonts w:hint="cs"/>
          <w:rtl/>
        </w:rPr>
        <w:t>להרי"ף</w:t>
      </w:r>
      <w:r>
        <w:rPr>
          <w:rFonts w:hint="cs"/>
          <w:rtl/>
        </w:rPr>
        <w:t xml:space="preserve"> </w:t>
      </w:r>
      <w:r w:rsidRPr="00E93A77">
        <w:rPr>
          <w:rStyle w:val="af7"/>
          <w:rFonts w:eastAsia="Guttman Hodes" w:hint="cs"/>
          <w:rtl/>
        </w:rPr>
        <w:t xml:space="preserve">(עי' אות </w:t>
      </w:r>
      <w:r w:rsidRPr="00E93A77">
        <w:rPr>
          <w:rStyle w:val="af7"/>
          <w:rFonts w:eastAsia="Guttman Hodes"/>
          <w:rtl/>
        </w:rPr>
        <w:fldChar w:fldCharType="begin"/>
      </w:r>
      <w:r w:rsidRPr="00E93A77">
        <w:rPr>
          <w:rStyle w:val="af7"/>
          <w:rFonts w:eastAsia="Guttman Hodes"/>
          <w:rtl/>
        </w:rPr>
        <w:instrText xml:space="preserve"> </w:instrText>
      </w:r>
      <w:r w:rsidRPr="00E93A77">
        <w:rPr>
          <w:rStyle w:val="af7"/>
          <w:rFonts w:eastAsia="Guttman Hodes" w:hint="cs"/>
        </w:rPr>
        <w:instrText>REF</w:instrText>
      </w:r>
      <w:r w:rsidRPr="00E93A77">
        <w:rPr>
          <w:rStyle w:val="af7"/>
          <w:rFonts w:eastAsia="Guttman Hodes" w:hint="cs"/>
          <w:rtl/>
        </w:rPr>
        <w:instrText xml:space="preserve"> _</w:instrText>
      </w:r>
      <w:r w:rsidRPr="00E93A77">
        <w:rPr>
          <w:rStyle w:val="af7"/>
          <w:rFonts w:eastAsia="Guttman Hodes" w:hint="cs"/>
        </w:rPr>
        <w:instrText>Ref57971333 \r \h</w:instrText>
      </w:r>
      <w:r w:rsidRPr="00E93A77">
        <w:rPr>
          <w:rStyle w:val="af7"/>
          <w:rFonts w:eastAsia="Guttman Hodes"/>
          <w:rtl/>
        </w:rPr>
        <w:instrText xml:space="preserve"> </w:instrText>
      </w:r>
      <w:r w:rsidRPr="00E93A77">
        <w:rPr>
          <w:rStyle w:val="af7"/>
          <w:rFonts w:eastAsia="Guttman Hodes"/>
          <w:rtl/>
        </w:rPr>
      </w:r>
      <w:r w:rsidRPr="00E93A77">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93A77">
        <w:rPr>
          <w:rStyle w:val="af7"/>
          <w:rFonts w:eastAsia="Guttman Hodes"/>
          <w:rtl/>
        </w:rPr>
        <w:fldChar w:fldCharType="end"/>
      </w:r>
      <w:r>
        <w:rPr>
          <w:rFonts w:hint="cs"/>
          <w:rtl/>
        </w:rPr>
        <w:t xml:space="preserve"> כדעת </w:t>
      </w:r>
      <w:r w:rsidRPr="00C23A10">
        <w:rPr>
          <w:rStyle w:val="af9"/>
          <w:rFonts w:hint="cs"/>
          <w:rtl/>
        </w:rPr>
        <w:t>הסוברים</w:t>
      </w:r>
      <w:r>
        <w:rPr>
          <w:rFonts w:hint="cs"/>
          <w:rtl/>
        </w:rPr>
        <w:t xml:space="preserve"> [</w:t>
      </w:r>
      <w:r w:rsidRPr="00C23A10">
        <w:rPr>
          <w:rStyle w:val="af9"/>
          <w:rFonts w:hint="cs"/>
          <w:rtl/>
        </w:rPr>
        <w:t>רבינו יונה והרשב"א</w:t>
      </w:r>
      <w:r>
        <w:rPr>
          <w:rFonts w:hint="cs"/>
          <w:rtl/>
        </w:rPr>
        <w:t xml:space="preserve"> </w:t>
      </w:r>
      <w:r w:rsidRPr="00C23A10">
        <w:rPr>
          <w:rStyle w:val="af7"/>
          <w:rFonts w:eastAsia="Guttman Hodes" w:hint="cs"/>
          <w:rtl/>
        </w:rPr>
        <w:t xml:space="preserve">(עי' אות </w:t>
      </w:r>
      <w:r w:rsidRPr="00C23A10">
        <w:rPr>
          <w:rStyle w:val="af7"/>
          <w:rFonts w:eastAsia="Guttman Hodes"/>
          <w:rtl/>
        </w:rPr>
        <w:fldChar w:fldCharType="begin"/>
      </w:r>
      <w:r w:rsidRPr="00C23A10">
        <w:rPr>
          <w:rStyle w:val="af7"/>
          <w:rFonts w:eastAsia="Guttman Hodes"/>
          <w:rtl/>
        </w:rPr>
        <w:instrText xml:space="preserve"> </w:instrText>
      </w:r>
      <w:r w:rsidRPr="00C23A10">
        <w:rPr>
          <w:rStyle w:val="af7"/>
          <w:rFonts w:eastAsia="Guttman Hodes" w:hint="cs"/>
        </w:rPr>
        <w:instrText>REF</w:instrText>
      </w:r>
      <w:r w:rsidRPr="00C23A10">
        <w:rPr>
          <w:rStyle w:val="af7"/>
          <w:rFonts w:eastAsia="Guttman Hodes" w:hint="cs"/>
          <w:rtl/>
        </w:rPr>
        <w:instrText xml:space="preserve"> _</w:instrText>
      </w:r>
      <w:r w:rsidRPr="00C23A10">
        <w:rPr>
          <w:rStyle w:val="af7"/>
          <w:rFonts w:eastAsia="Guttman Hodes" w:hint="cs"/>
        </w:rPr>
        <w:instrText>Ref57823117 \r \h</w:instrText>
      </w:r>
      <w:r w:rsidRPr="00C23A10">
        <w:rPr>
          <w:rStyle w:val="af7"/>
          <w:rFonts w:eastAsia="Guttman Hodes"/>
          <w:rtl/>
        </w:rPr>
        <w:instrText xml:space="preserve"> </w:instrText>
      </w:r>
      <w:r w:rsidRPr="00C23A10">
        <w:rPr>
          <w:rStyle w:val="af7"/>
          <w:rFonts w:eastAsia="Guttman Hodes"/>
          <w:rtl/>
        </w:rPr>
      </w:r>
      <w:r w:rsidRPr="00C23A10">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C23A10">
        <w:rPr>
          <w:rStyle w:val="af7"/>
          <w:rFonts w:eastAsia="Guttman Hodes"/>
          <w:rtl/>
        </w:rPr>
        <w:fldChar w:fldCharType="end"/>
      </w:r>
      <w:r>
        <w:rPr>
          <w:rFonts w:hint="cs"/>
          <w:rtl/>
        </w:rPr>
        <w:t xml:space="preserve">] דאין המחזיק יכול לתבוע את מעותיו מהמוכר, דיכול המוכר לטעון דמה שהמערער מוציא ממך הוא רק מחמת הודאתך שהקרקע הייתה של המערער, ובלא הודאתך לא היה מוציא ממך כיון שאין לו עדים ואתה הפסדת לעצמך, וכן ביאר </w:t>
      </w:r>
      <w:r w:rsidRPr="00C23A10">
        <w:rPr>
          <w:rStyle w:val="af9"/>
          <w:rFonts w:hint="cs"/>
          <w:rtl/>
        </w:rPr>
        <w:t>הרשב"א</w:t>
      </w:r>
      <w:r>
        <w:rPr>
          <w:rFonts w:hint="cs"/>
          <w:rtl/>
        </w:rPr>
        <w:t xml:space="preserve"> </w:t>
      </w:r>
      <w:r w:rsidRPr="00C23A10">
        <w:rPr>
          <w:rStyle w:val="af7"/>
          <w:rFonts w:eastAsia="Guttman Hodes" w:hint="cs"/>
          <w:rtl/>
        </w:rPr>
        <w:t xml:space="preserve">(עי' אות </w:t>
      </w:r>
      <w:r w:rsidRPr="00C23A10">
        <w:rPr>
          <w:rStyle w:val="af7"/>
          <w:rFonts w:eastAsia="Guttman Hodes"/>
          <w:rtl/>
        </w:rPr>
        <w:fldChar w:fldCharType="begin"/>
      </w:r>
      <w:r w:rsidRPr="00C23A10">
        <w:rPr>
          <w:rStyle w:val="af7"/>
          <w:rFonts w:eastAsia="Guttman Hodes"/>
          <w:rtl/>
        </w:rPr>
        <w:instrText xml:space="preserve"> </w:instrText>
      </w:r>
      <w:r w:rsidRPr="00C23A10">
        <w:rPr>
          <w:rStyle w:val="af7"/>
          <w:rFonts w:eastAsia="Guttman Hodes" w:hint="cs"/>
        </w:rPr>
        <w:instrText>REF</w:instrText>
      </w:r>
      <w:r w:rsidRPr="00C23A10">
        <w:rPr>
          <w:rStyle w:val="af7"/>
          <w:rFonts w:eastAsia="Guttman Hodes" w:hint="cs"/>
          <w:rtl/>
        </w:rPr>
        <w:instrText xml:space="preserve"> _</w:instrText>
      </w:r>
      <w:r w:rsidRPr="00C23A10">
        <w:rPr>
          <w:rStyle w:val="af7"/>
          <w:rFonts w:eastAsia="Guttman Hodes" w:hint="cs"/>
        </w:rPr>
        <w:instrText>Ref57823117 \r \h</w:instrText>
      </w:r>
      <w:r w:rsidRPr="00C23A10">
        <w:rPr>
          <w:rStyle w:val="af7"/>
          <w:rFonts w:eastAsia="Guttman Hodes"/>
          <w:rtl/>
        </w:rPr>
        <w:instrText xml:space="preserve"> </w:instrText>
      </w:r>
      <w:r w:rsidRPr="00C23A10">
        <w:rPr>
          <w:rStyle w:val="af7"/>
          <w:rFonts w:eastAsia="Guttman Hodes"/>
          <w:rtl/>
        </w:rPr>
      </w:r>
      <w:r w:rsidRPr="00C23A10">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C23A10">
        <w:rPr>
          <w:rStyle w:val="af7"/>
          <w:rFonts w:eastAsia="Guttman Hodes"/>
          <w:rtl/>
        </w:rPr>
        <w:fldChar w:fldCharType="end"/>
      </w:r>
      <w:r>
        <w:rPr>
          <w:rFonts w:hint="cs"/>
          <w:rtl/>
        </w:rPr>
        <w:t xml:space="preserve"> בדעת </w:t>
      </w:r>
      <w:r w:rsidRPr="00F836A5">
        <w:rPr>
          <w:rStyle w:val="af9"/>
          <w:rFonts w:hint="cs"/>
          <w:rtl/>
        </w:rPr>
        <w:t>הרי"ף</w:t>
      </w:r>
      <w:r>
        <w:rPr>
          <w:rFonts w:hint="cs"/>
          <w:rtl/>
        </w:rPr>
        <w:t>.</w:t>
      </w:r>
      <w:bookmarkEnd w:id="8647"/>
      <w:bookmarkEnd w:id="8653"/>
    </w:p>
    <w:p w:rsidR="0007171D" w:rsidRPr="002D06FC" w:rsidRDefault="0007171D" w:rsidP="0007171D">
      <w:pPr>
        <w:pStyle w:val="a3"/>
        <w:rPr>
          <w:rtl/>
        </w:rPr>
      </w:pPr>
      <w:bookmarkStart w:id="8654" w:name="_Toc59007051"/>
      <w:bookmarkStart w:id="8655" w:name="_Toc59013529"/>
      <w:bookmarkStart w:id="8656" w:name="_Toc59013777"/>
      <w:bookmarkStart w:id="8657" w:name="_Toc59025843"/>
      <w:r>
        <w:rPr>
          <w:rFonts w:hint="cs"/>
          <w:rtl/>
        </w:rPr>
        <w:t>קו' הלח"מ דממ"ש הרי"ף דלא היה למחזיק לקנות משמע דאין כווונתו לומר דהפסיד בהודאתו</w:t>
      </w:r>
      <w:bookmarkEnd w:id="8654"/>
      <w:bookmarkEnd w:id="8655"/>
      <w:bookmarkEnd w:id="8656"/>
      <w:bookmarkEnd w:id="8657"/>
    </w:p>
    <w:p w:rsidR="0007171D" w:rsidRDefault="0007171D" w:rsidP="007E4E81">
      <w:pPr>
        <w:pStyle w:val="a0"/>
        <w:rPr>
          <w:rtl/>
        </w:rPr>
      </w:pPr>
      <w:bookmarkStart w:id="8658" w:name="_Ref58765860"/>
      <w:r>
        <w:rPr>
          <w:rFonts w:hint="cs"/>
          <w:rtl/>
        </w:rPr>
        <w:t xml:space="preserve">אבל </w:t>
      </w:r>
      <w:r w:rsidRPr="00C23A10">
        <w:rPr>
          <w:rStyle w:val="af9"/>
          <w:rFonts w:hint="cs"/>
          <w:rtl/>
        </w:rPr>
        <w:t>הלח"מ</w:t>
      </w:r>
      <w:r>
        <w:rPr>
          <w:rFonts w:hint="cs"/>
          <w:rtl/>
        </w:rPr>
        <w:t xml:space="preserve"> </w:t>
      </w:r>
      <w:r w:rsidRPr="00C23A10">
        <w:rPr>
          <w:rStyle w:val="af7"/>
          <w:rFonts w:eastAsia="Guttman Hodes" w:hint="cs"/>
          <w:rtl/>
        </w:rPr>
        <w:t xml:space="preserve">(טו"נ פי"ד הי"ד) </w:t>
      </w:r>
      <w:r>
        <w:rPr>
          <w:rFonts w:hint="cs"/>
          <w:rtl/>
        </w:rPr>
        <w:t xml:space="preserve">כתב דאף דמתחילת דברי </w:t>
      </w:r>
      <w:r w:rsidRPr="00C23A10">
        <w:rPr>
          <w:rStyle w:val="af9"/>
          <w:rFonts w:hint="cs"/>
          <w:rtl/>
        </w:rPr>
        <w:t>הרי"ף</w:t>
      </w:r>
      <w:r>
        <w:rPr>
          <w:rFonts w:hint="cs"/>
          <w:rtl/>
        </w:rPr>
        <w:t xml:space="preserve"> </w:t>
      </w:r>
      <w:r w:rsidRPr="00E93A77">
        <w:rPr>
          <w:rStyle w:val="af7"/>
          <w:rFonts w:eastAsia="Guttman Hodes" w:hint="cs"/>
          <w:rtl/>
        </w:rPr>
        <w:t xml:space="preserve">(עי' אות </w:t>
      </w:r>
      <w:r w:rsidRPr="00E93A77">
        <w:rPr>
          <w:rStyle w:val="af7"/>
          <w:rFonts w:eastAsia="Guttman Hodes"/>
          <w:rtl/>
        </w:rPr>
        <w:fldChar w:fldCharType="begin"/>
      </w:r>
      <w:r w:rsidRPr="00E93A77">
        <w:rPr>
          <w:rStyle w:val="af7"/>
          <w:rFonts w:eastAsia="Guttman Hodes"/>
          <w:rtl/>
        </w:rPr>
        <w:instrText xml:space="preserve"> </w:instrText>
      </w:r>
      <w:r w:rsidRPr="00E93A77">
        <w:rPr>
          <w:rStyle w:val="af7"/>
          <w:rFonts w:eastAsia="Guttman Hodes" w:hint="cs"/>
        </w:rPr>
        <w:instrText>REF</w:instrText>
      </w:r>
      <w:r w:rsidRPr="00E93A77">
        <w:rPr>
          <w:rStyle w:val="af7"/>
          <w:rFonts w:eastAsia="Guttman Hodes" w:hint="cs"/>
          <w:rtl/>
        </w:rPr>
        <w:instrText xml:space="preserve"> _</w:instrText>
      </w:r>
      <w:r w:rsidRPr="00E93A77">
        <w:rPr>
          <w:rStyle w:val="af7"/>
          <w:rFonts w:eastAsia="Guttman Hodes" w:hint="cs"/>
        </w:rPr>
        <w:instrText>Ref57971333 \r \h</w:instrText>
      </w:r>
      <w:r w:rsidRPr="00E93A77">
        <w:rPr>
          <w:rStyle w:val="af7"/>
          <w:rFonts w:eastAsia="Guttman Hodes"/>
          <w:rtl/>
        </w:rPr>
        <w:instrText xml:space="preserve"> </w:instrText>
      </w:r>
      <w:r w:rsidRPr="00E93A77">
        <w:rPr>
          <w:rStyle w:val="af7"/>
          <w:rFonts w:eastAsia="Guttman Hodes"/>
          <w:rtl/>
        </w:rPr>
      </w:r>
      <w:r w:rsidRPr="00E93A77">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93A77">
        <w:rPr>
          <w:rStyle w:val="af7"/>
          <w:rFonts w:eastAsia="Guttman Hodes"/>
          <w:rtl/>
        </w:rPr>
        <w:fldChar w:fldCharType="end"/>
      </w:r>
      <w:r>
        <w:rPr>
          <w:rStyle w:val="af7"/>
          <w:rFonts w:eastAsia="Guttman Hodes" w:hint="cs"/>
          <w:rtl/>
        </w:rPr>
        <w:t xml:space="preserve"> </w:t>
      </w:r>
      <w:r>
        <w:rPr>
          <w:rFonts w:hint="cs"/>
          <w:rtl/>
        </w:rPr>
        <w:t xml:space="preserve">דכתב דהמחזיק אפסיד אנפשיה, משמע כדביאר </w:t>
      </w:r>
      <w:r w:rsidRPr="00C23A10">
        <w:rPr>
          <w:rStyle w:val="af9"/>
          <w:rFonts w:hint="cs"/>
          <w:rtl/>
        </w:rPr>
        <w:t>המ"מ</w:t>
      </w:r>
      <w:r>
        <w:rPr>
          <w:rFonts w:hint="cs"/>
          <w:rtl/>
        </w:rPr>
        <w:t xml:space="preserve"> </w:t>
      </w:r>
      <w:r w:rsidRPr="00E93A77">
        <w:rPr>
          <w:rStyle w:val="af7"/>
          <w:rFonts w:eastAsia="Guttman Hodes" w:hint="cs"/>
          <w:rtl/>
        </w:rPr>
        <w:t xml:space="preserve">(עי' אות </w:t>
      </w:r>
      <w:r w:rsidRPr="00E93A77">
        <w:rPr>
          <w:rStyle w:val="af7"/>
          <w:rFonts w:eastAsia="Guttman Hodes"/>
          <w:rtl/>
        </w:rPr>
        <w:fldChar w:fldCharType="begin"/>
      </w:r>
      <w:r w:rsidRPr="00E93A77">
        <w:rPr>
          <w:rStyle w:val="af7"/>
          <w:rFonts w:eastAsia="Guttman Hodes"/>
          <w:rtl/>
        </w:rPr>
        <w:instrText xml:space="preserve"> </w:instrText>
      </w:r>
      <w:r w:rsidRPr="00E93A77">
        <w:rPr>
          <w:rStyle w:val="af7"/>
          <w:rFonts w:eastAsia="Guttman Hodes" w:hint="cs"/>
        </w:rPr>
        <w:instrText>REF</w:instrText>
      </w:r>
      <w:r w:rsidRPr="00E93A77">
        <w:rPr>
          <w:rStyle w:val="af7"/>
          <w:rFonts w:eastAsia="Guttman Hodes" w:hint="cs"/>
          <w:rtl/>
        </w:rPr>
        <w:instrText xml:space="preserve"> _</w:instrText>
      </w:r>
      <w:r w:rsidRPr="00E93A77">
        <w:rPr>
          <w:rStyle w:val="af7"/>
          <w:rFonts w:eastAsia="Guttman Hodes" w:hint="cs"/>
        </w:rPr>
        <w:instrText>Ref58148601 \r \h</w:instrText>
      </w:r>
      <w:r w:rsidRPr="00E93A77">
        <w:rPr>
          <w:rStyle w:val="af7"/>
          <w:rFonts w:eastAsia="Guttman Hodes"/>
          <w:rtl/>
        </w:rPr>
        <w:instrText xml:space="preserve"> </w:instrText>
      </w:r>
      <w:r w:rsidRPr="00E93A77">
        <w:rPr>
          <w:rStyle w:val="af7"/>
          <w:rFonts w:eastAsia="Guttman Hodes"/>
          <w:rtl/>
        </w:rPr>
      </w:r>
      <w:r w:rsidRPr="00E93A77">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E93A77">
        <w:rPr>
          <w:rStyle w:val="af7"/>
          <w:rFonts w:eastAsia="Guttman Hodes"/>
          <w:rtl/>
        </w:rPr>
        <w:fldChar w:fldCharType="end"/>
      </w:r>
      <w:r>
        <w:rPr>
          <w:rFonts w:hint="cs"/>
          <w:rtl/>
        </w:rPr>
        <w:t xml:space="preserve"> </w:t>
      </w:r>
      <w:r w:rsidRPr="00C23A10">
        <w:rPr>
          <w:rStyle w:val="af9"/>
          <w:rFonts w:hint="cs"/>
          <w:rtl/>
        </w:rPr>
        <w:t>ברי"ף</w:t>
      </w:r>
      <w:r>
        <w:rPr>
          <w:rFonts w:hint="cs"/>
          <w:rtl/>
        </w:rPr>
        <w:t xml:space="preserve">, מ"מ ממה שכתב </w:t>
      </w:r>
      <w:r w:rsidRPr="00C23A10">
        <w:rPr>
          <w:rStyle w:val="af9"/>
          <w:rFonts w:hint="cs"/>
          <w:rtl/>
        </w:rPr>
        <w:t>הרי"ף</w:t>
      </w:r>
      <w:r>
        <w:rPr>
          <w:rFonts w:hint="cs"/>
          <w:rtl/>
        </w:rPr>
        <w:t xml:space="preserve"> בסו"ד דלא היה למחזיק לקנות את הקרקע הזו, לא משמע דכוונתו לומר דהפסיד לעצמו בהודאתו, דא"כ היה </w:t>
      </w:r>
      <w:r w:rsidRPr="00C23A10">
        <w:rPr>
          <w:rStyle w:val="af9"/>
          <w:rFonts w:hint="cs"/>
          <w:rtl/>
        </w:rPr>
        <w:t>להרי"ף</w:t>
      </w:r>
      <w:r>
        <w:rPr>
          <w:rFonts w:hint="cs"/>
          <w:rtl/>
        </w:rPr>
        <w:t xml:space="preserve"> לומר דלא היה לו להודות, וכתב </w:t>
      </w:r>
      <w:r w:rsidRPr="00695A2F">
        <w:rPr>
          <w:rStyle w:val="af9"/>
          <w:rFonts w:hint="cs"/>
          <w:rtl/>
        </w:rPr>
        <w:t>הלח"מ</w:t>
      </w:r>
      <w:r>
        <w:rPr>
          <w:rFonts w:hint="cs"/>
          <w:rtl/>
        </w:rPr>
        <w:t xml:space="preserve"> דזו כוונת </w:t>
      </w:r>
      <w:r w:rsidRPr="00C23A10">
        <w:rPr>
          <w:rStyle w:val="af9"/>
          <w:rFonts w:hint="cs"/>
          <w:rtl/>
        </w:rPr>
        <w:t>הב"י</w:t>
      </w:r>
      <w:r>
        <w:rPr>
          <w:rFonts w:hint="cs"/>
          <w:rtl/>
        </w:rPr>
        <w:t xml:space="preserve"> </w:t>
      </w:r>
      <w:r w:rsidRPr="00E93A77">
        <w:rPr>
          <w:rStyle w:val="af7"/>
          <w:rFonts w:eastAsia="Guttman Hodes" w:hint="cs"/>
          <w:rtl/>
        </w:rPr>
        <w:t xml:space="preserve">(עי' אות </w:t>
      </w:r>
      <w:r w:rsidRPr="00E93A77">
        <w:rPr>
          <w:rStyle w:val="af7"/>
          <w:rFonts w:eastAsia="Guttman Hodes"/>
          <w:rtl/>
        </w:rPr>
        <w:fldChar w:fldCharType="begin"/>
      </w:r>
      <w:r w:rsidRPr="00E93A77">
        <w:rPr>
          <w:rStyle w:val="af7"/>
          <w:rFonts w:eastAsia="Guttman Hodes"/>
          <w:rtl/>
        </w:rPr>
        <w:instrText xml:space="preserve"> </w:instrText>
      </w:r>
      <w:r w:rsidRPr="00E93A77">
        <w:rPr>
          <w:rStyle w:val="af7"/>
          <w:rFonts w:eastAsia="Guttman Hodes" w:hint="cs"/>
        </w:rPr>
        <w:instrText>REF</w:instrText>
      </w:r>
      <w:r w:rsidRPr="00E93A77">
        <w:rPr>
          <w:rStyle w:val="af7"/>
          <w:rFonts w:eastAsia="Guttman Hodes" w:hint="cs"/>
          <w:rtl/>
        </w:rPr>
        <w:instrText xml:space="preserve"> _</w:instrText>
      </w:r>
      <w:r w:rsidRPr="00E93A77">
        <w:rPr>
          <w:rStyle w:val="af7"/>
          <w:rFonts w:eastAsia="Guttman Hodes" w:hint="cs"/>
        </w:rPr>
        <w:instrText>Ref57971333 \r \h</w:instrText>
      </w:r>
      <w:r w:rsidRPr="00E93A77">
        <w:rPr>
          <w:rStyle w:val="af7"/>
          <w:rFonts w:eastAsia="Guttman Hodes"/>
          <w:rtl/>
        </w:rPr>
        <w:instrText xml:space="preserve"> </w:instrText>
      </w:r>
      <w:r w:rsidRPr="00E93A77">
        <w:rPr>
          <w:rStyle w:val="af7"/>
          <w:rFonts w:eastAsia="Guttman Hodes"/>
          <w:rtl/>
        </w:rPr>
      </w:r>
      <w:r w:rsidRPr="00E93A77">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93A77">
        <w:rPr>
          <w:rStyle w:val="af7"/>
          <w:rFonts w:eastAsia="Guttman Hodes"/>
          <w:rtl/>
        </w:rPr>
        <w:fldChar w:fldCharType="end"/>
      </w:r>
      <w:r>
        <w:rPr>
          <w:rFonts w:hint="cs"/>
          <w:rtl/>
        </w:rPr>
        <w:t xml:space="preserve"> דכתב דדברי </w:t>
      </w:r>
      <w:r w:rsidRPr="00C23A10">
        <w:rPr>
          <w:rStyle w:val="af9"/>
          <w:rFonts w:hint="cs"/>
          <w:rtl/>
        </w:rPr>
        <w:t>הרי"ף</w:t>
      </w:r>
      <w:r>
        <w:rPr>
          <w:rFonts w:hint="cs"/>
          <w:rtl/>
        </w:rPr>
        <w:t xml:space="preserve"> אינם מובנים.</w:t>
      </w:r>
      <w:bookmarkEnd w:id="8658"/>
    </w:p>
    <w:p w:rsidR="0007171D" w:rsidRPr="0031420F" w:rsidRDefault="0007171D" w:rsidP="0007171D">
      <w:pPr>
        <w:pStyle w:val="a3"/>
        <w:rPr>
          <w:rtl/>
        </w:rPr>
      </w:pPr>
      <w:bookmarkStart w:id="8659" w:name="_Toc59007052"/>
      <w:bookmarkStart w:id="8660" w:name="_Toc59013530"/>
      <w:bookmarkStart w:id="8661" w:name="_Toc59013778"/>
      <w:bookmarkStart w:id="8662" w:name="_Toc59025844"/>
      <w:r>
        <w:rPr>
          <w:rFonts w:hint="cs"/>
          <w:rtl/>
        </w:rPr>
        <w:t>ביאור הלח"מ ברי"ף</w:t>
      </w:r>
      <w:bookmarkEnd w:id="8659"/>
      <w:r>
        <w:rPr>
          <w:rFonts w:hint="cs"/>
          <w:rtl/>
        </w:rPr>
        <w:t xml:space="preserve"> דא"א לתבוע את המוכר וכוונת הרי"ף דבהוקרה הקרקע הפסיד המחזיק</w:t>
      </w:r>
      <w:bookmarkEnd w:id="8660"/>
      <w:bookmarkEnd w:id="8661"/>
      <w:bookmarkEnd w:id="8662"/>
    </w:p>
    <w:p w:rsidR="0007171D" w:rsidRDefault="0007171D" w:rsidP="007E4E81">
      <w:pPr>
        <w:pStyle w:val="a0"/>
        <w:rPr>
          <w:rtl/>
        </w:rPr>
      </w:pPr>
      <w:bookmarkStart w:id="8663" w:name="_Ref57973409"/>
      <w:r>
        <w:rPr>
          <w:rFonts w:hint="cs"/>
          <w:rtl/>
        </w:rPr>
        <w:t xml:space="preserve">אלא ביאר </w:t>
      </w:r>
      <w:r w:rsidRPr="00C23A10">
        <w:rPr>
          <w:rStyle w:val="af9"/>
          <w:rFonts w:hint="cs"/>
          <w:rtl/>
        </w:rPr>
        <w:t>הלח"מ</w:t>
      </w:r>
      <w:r>
        <w:rPr>
          <w:rFonts w:hint="cs"/>
          <w:rtl/>
        </w:rPr>
        <w:t xml:space="preserve"> דכוונת </w:t>
      </w:r>
      <w:r w:rsidRPr="00C23A10">
        <w:rPr>
          <w:rStyle w:val="af9"/>
          <w:rFonts w:hint="cs"/>
          <w:rtl/>
        </w:rPr>
        <w:t>הרי"ף</w:t>
      </w:r>
      <w:r>
        <w:rPr>
          <w:rFonts w:hint="cs"/>
          <w:rtl/>
        </w:rPr>
        <w:t xml:space="preserve"> לומר דהמחזיק יכול לתבוע את מעותיו מהמוכר, וכדכתב </w:t>
      </w:r>
      <w:r w:rsidRPr="00C23A10">
        <w:rPr>
          <w:rStyle w:val="af9"/>
          <w:rFonts w:hint="cs"/>
          <w:rtl/>
        </w:rPr>
        <w:t>הרי"ף</w:t>
      </w:r>
      <w:r>
        <w:rPr>
          <w:rFonts w:hint="cs"/>
          <w:rtl/>
        </w:rPr>
        <w:t xml:space="preserve"> </w:t>
      </w:r>
      <w:r w:rsidRPr="00E93A77">
        <w:rPr>
          <w:rStyle w:val="af7"/>
          <w:rFonts w:eastAsia="Guttman Hodes" w:hint="cs"/>
          <w:rtl/>
        </w:rPr>
        <w:t xml:space="preserve">(עי' אות </w:t>
      </w:r>
      <w:r w:rsidRPr="00E93A77">
        <w:rPr>
          <w:rStyle w:val="af7"/>
          <w:rFonts w:eastAsia="Guttman Hodes"/>
          <w:rtl/>
        </w:rPr>
        <w:fldChar w:fldCharType="begin"/>
      </w:r>
      <w:r w:rsidRPr="00E93A77">
        <w:rPr>
          <w:rStyle w:val="af7"/>
          <w:rFonts w:eastAsia="Guttman Hodes"/>
          <w:rtl/>
        </w:rPr>
        <w:instrText xml:space="preserve"> </w:instrText>
      </w:r>
      <w:r w:rsidRPr="00E93A77">
        <w:rPr>
          <w:rStyle w:val="af7"/>
          <w:rFonts w:eastAsia="Guttman Hodes" w:hint="cs"/>
        </w:rPr>
        <w:instrText>REF</w:instrText>
      </w:r>
      <w:r w:rsidRPr="00E93A77">
        <w:rPr>
          <w:rStyle w:val="af7"/>
          <w:rFonts w:eastAsia="Guttman Hodes" w:hint="cs"/>
          <w:rtl/>
        </w:rPr>
        <w:instrText xml:space="preserve"> _</w:instrText>
      </w:r>
      <w:r w:rsidRPr="00E93A77">
        <w:rPr>
          <w:rStyle w:val="af7"/>
          <w:rFonts w:eastAsia="Guttman Hodes" w:hint="cs"/>
        </w:rPr>
        <w:instrText>Ref57971333 \r \h</w:instrText>
      </w:r>
      <w:r w:rsidRPr="00E93A77">
        <w:rPr>
          <w:rStyle w:val="af7"/>
          <w:rFonts w:eastAsia="Guttman Hodes"/>
          <w:rtl/>
        </w:rPr>
        <w:instrText xml:space="preserve"> </w:instrText>
      </w:r>
      <w:r w:rsidRPr="00E93A77">
        <w:rPr>
          <w:rStyle w:val="af7"/>
          <w:rFonts w:eastAsia="Guttman Hodes"/>
          <w:rtl/>
        </w:rPr>
      </w:r>
      <w:r w:rsidRPr="00E93A77">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93A77">
        <w:rPr>
          <w:rStyle w:val="af7"/>
          <w:rFonts w:eastAsia="Guttman Hodes"/>
          <w:rtl/>
        </w:rPr>
        <w:fldChar w:fldCharType="end"/>
      </w:r>
      <w:r>
        <w:rPr>
          <w:rFonts w:hint="cs"/>
          <w:rtl/>
        </w:rPr>
        <w:t xml:space="preserve"> בתחילת דבריו והמחזיק יתבע את המוכר, ומ"ש </w:t>
      </w:r>
      <w:r w:rsidRPr="00C23A10">
        <w:rPr>
          <w:rStyle w:val="af9"/>
          <w:rFonts w:hint="cs"/>
          <w:rtl/>
        </w:rPr>
        <w:t>הרי"ף</w:t>
      </w:r>
      <w:r>
        <w:rPr>
          <w:rFonts w:hint="cs"/>
          <w:rtl/>
        </w:rPr>
        <w:t xml:space="preserve"> דאם יש למחזיק פסידא במה שהודה למערער, איהו דאפסיד אנפשיה, ביאר </w:t>
      </w:r>
      <w:r w:rsidRPr="00C23A10">
        <w:rPr>
          <w:rStyle w:val="af9"/>
          <w:rFonts w:hint="cs"/>
          <w:rtl/>
        </w:rPr>
        <w:t>הלח"מ</w:t>
      </w:r>
      <w:r>
        <w:rPr>
          <w:rFonts w:hint="cs"/>
          <w:rtl/>
        </w:rPr>
        <w:t xml:space="preserve"> דכוונתו דאם המוכר יתבע את המערער ויוציא ממנו את הקרקע, והוקרה הקרקע, אין המוכר חייב לתתה למחזיק ויכול להחזיר לו את מעותיו ששילם בתחילה, דכיון שבשעת הקנין לא ביקש המחזיק מהמוכר ראיה ברורה שקנה מהמערער הוא הפסיד לעצמו בזה, אך לא הפסיד לעצמו במה שהודה למערער על האמת שכך אמר לו המוכר, ועי' במה שהקשה </w:t>
      </w:r>
      <w:r w:rsidRPr="003E27D4">
        <w:rPr>
          <w:rStyle w:val="af9"/>
          <w:rFonts w:hint="cs"/>
          <w:rtl/>
        </w:rPr>
        <w:t>האבהא"ז</w:t>
      </w:r>
      <w:r>
        <w:rPr>
          <w:rFonts w:hint="cs"/>
          <w:rtl/>
        </w:rPr>
        <w:t xml:space="preserve"> </w:t>
      </w:r>
      <w:r w:rsidRPr="003E27D4">
        <w:rPr>
          <w:rStyle w:val="af7"/>
          <w:rFonts w:eastAsia="Guttman Hodes" w:hint="cs"/>
          <w:rtl/>
        </w:rPr>
        <w:t>(טו"נ פי"ד הי"ד ד"ה</w:t>
      </w:r>
      <w:r>
        <w:rPr>
          <w:rStyle w:val="af7"/>
          <w:rFonts w:eastAsia="Guttman Hodes" w:hint="cs"/>
          <w:rtl/>
        </w:rPr>
        <w:t xml:space="preserve"> והנה דברי הלח"מ) </w:t>
      </w:r>
      <w:r>
        <w:rPr>
          <w:rFonts w:hint="cs"/>
          <w:rtl/>
        </w:rPr>
        <w:t xml:space="preserve">על ביאור </w:t>
      </w:r>
      <w:r w:rsidRPr="00CA0FFC">
        <w:rPr>
          <w:rStyle w:val="af9"/>
          <w:rFonts w:hint="cs"/>
          <w:rtl/>
        </w:rPr>
        <w:t>הלח"מ</w:t>
      </w:r>
      <w:r>
        <w:rPr>
          <w:rFonts w:hint="cs"/>
          <w:rtl/>
        </w:rPr>
        <w:t xml:space="preserve">, ובמה שישב </w:t>
      </w:r>
      <w:r w:rsidRPr="00CA0FFC">
        <w:rPr>
          <w:rStyle w:val="af9"/>
          <w:rFonts w:hint="cs"/>
          <w:rtl/>
        </w:rPr>
        <w:t>האבהא"ז</w:t>
      </w:r>
      <w:r>
        <w:rPr>
          <w:rFonts w:hint="cs"/>
          <w:rtl/>
        </w:rPr>
        <w:t xml:space="preserve"> </w:t>
      </w:r>
      <w:r w:rsidRPr="003E27D4">
        <w:rPr>
          <w:rStyle w:val="af7"/>
          <w:rFonts w:eastAsia="Guttman Hodes" w:hint="cs"/>
          <w:rtl/>
        </w:rPr>
        <w:t>(טו"נ פי"ד הי"ד ד"ה</w:t>
      </w:r>
      <w:r>
        <w:rPr>
          <w:rStyle w:val="af7"/>
          <w:rFonts w:eastAsia="Guttman Hodes" w:hint="cs"/>
          <w:rtl/>
        </w:rPr>
        <w:t xml:space="preserve"> אכן עלינו) </w:t>
      </w:r>
      <w:r>
        <w:rPr>
          <w:rFonts w:hint="cs"/>
          <w:rtl/>
        </w:rPr>
        <w:t xml:space="preserve">את קושית </w:t>
      </w:r>
      <w:r w:rsidRPr="00CA0FFC">
        <w:rPr>
          <w:rStyle w:val="af9"/>
          <w:rFonts w:hint="cs"/>
          <w:rtl/>
        </w:rPr>
        <w:t>הלח"מ</w:t>
      </w:r>
      <w:r w:rsidRPr="00BD7816">
        <w:rPr>
          <w:rStyle w:val="af7"/>
          <w:rFonts w:eastAsia="Guttman Hodes" w:hint="cs"/>
          <w:rtl/>
        </w:rPr>
        <w:t xml:space="preserve"> (עי' אות </w:t>
      </w:r>
      <w:r w:rsidRPr="00BD7816">
        <w:rPr>
          <w:rStyle w:val="af7"/>
          <w:rFonts w:eastAsia="Guttman Hodes"/>
          <w:rtl/>
        </w:rPr>
        <w:fldChar w:fldCharType="begin"/>
      </w:r>
      <w:r w:rsidRPr="00BD7816">
        <w:rPr>
          <w:rStyle w:val="af7"/>
          <w:rFonts w:eastAsia="Guttman Hodes"/>
          <w:rtl/>
        </w:rPr>
        <w:instrText xml:space="preserve"> </w:instrText>
      </w:r>
      <w:r w:rsidRPr="00BD7816">
        <w:rPr>
          <w:rStyle w:val="af7"/>
          <w:rFonts w:eastAsia="Guttman Hodes" w:hint="cs"/>
        </w:rPr>
        <w:instrText>REF</w:instrText>
      </w:r>
      <w:r w:rsidRPr="00BD7816">
        <w:rPr>
          <w:rStyle w:val="af7"/>
          <w:rFonts w:eastAsia="Guttman Hodes" w:hint="cs"/>
          <w:rtl/>
        </w:rPr>
        <w:instrText xml:space="preserve"> _</w:instrText>
      </w:r>
      <w:r w:rsidRPr="00BD7816">
        <w:rPr>
          <w:rStyle w:val="af7"/>
          <w:rFonts w:eastAsia="Guttman Hodes" w:hint="cs"/>
        </w:rPr>
        <w:instrText>Ref58765860 \r \h</w:instrText>
      </w:r>
      <w:r w:rsidRPr="00BD7816">
        <w:rPr>
          <w:rStyle w:val="af7"/>
          <w:rFonts w:eastAsia="Guttman Hodes"/>
          <w:rtl/>
        </w:rPr>
        <w:instrText xml:space="preserve"> </w:instrText>
      </w:r>
      <w:r w:rsidRPr="00BD7816">
        <w:rPr>
          <w:rStyle w:val="af7"/>
          <w:rFonts w:eastAsia="Guttman Hodes"/>
          <w:rtl/>
        </w:rPr>
      </w:r>
      <w:r w:rsidRPr="00BD7816">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sidRPr="00BD7816">
        <w:rPr>
          <w:rStyle w:val="af7"/>
          <w:rFonts w:eastAsia="Guttman Hodes"/>
          <w:rtl/>
        </w:rPr>
        <w:fldChar w:fldCharType="end"/>
      </w:r>
      <w:r w:rsidRPr="00BD7816">
        <w:rPr>
          <w:rStyle w:val="af7"/>
          <w:rFonts w:eastAsia="Guttman Hodes" w:hint="cs"/>
          <w:rtl/>
        </w:rPr>
        <w:t xml:space="preserve"> </w:t>
      </w:r>
      <w:r>
        <w:rPr>
          <w:rFonts w:hint="cs"/>
          <w:rtl/>
        </w:rPr>
        <w:t xml:space="preserve">דכן משמע מדברי </w:t>
      </w:r>
      <w:r w:rsidRPr="00CA0FFC">
        <w:rPr>
          <w:rStyle w:val="af9"/>
          <w:rFonts w:hint="cs"/>
          <w:rtl/>
        </w:rPr>
        <w:t>הרי"ף</w:t>
      </w:r>
      <w:r>
        <w:rPr>
          <w:rFonts w:hint="cs"/>
          <w:rtl/>
        </w:rPr>
        <w:t>.</w:t>
      </w:r>
      <w:bookmarkStart w:id="8664" w:name="_Toc57925960"/>
      <w:bookmarkStart w:id="8665" w:name="_Toc58091650"/>
      <w:bookmarkEnd w:id="8481"/>
      <w:bookmarkEnd w:id="8482"/>
      <w:bookmarkEnd w:id="8663"/>
    </w:p>
    <w:p w:rsidR="0007171D" w:rsidRDefault="0007171D" w:rsidP="0007171D">
      <w:pPr>
        <w:pStyle w:val="afe"/>
        <w:rPr>
          <w:rtl/>
        </w:rPr>
      </w:pPr>
      <w:bookmarkStart w:id="8666" w:name="_Toc58876220"/>
      <w:bookmarkStart w:id="8667" w:name="_Toc58877633"/>
      <w:bookmarkStart w:id="8668" w:name="_Toc58914692"/>
      <w:bookmarkStart w:id="8669" w:name="_Toc58925991"/>
      <w:bookmarkStart w:id="8670" w:name="_Toc58930080"/>
      <w:bookmarkStart w:id="8671" w:name="_Toc58938239"/>
      <w:bookmarkStart w:id="8672" w:name="_Toc59007054"/>
      <w:bookmarkStart w:id="8673" w:name="_Toc59013531"/>
      <w:bookmarkStart w:id="8674" w:name="_Toc59013779"/>
      <w:bookmarkStart w:id="8675" w:name="_Toc59025845"/>
      <w:bookmarkEnd w:id="8664"/>
      <w:bookmarkEnd w:id="8665"/>
      <w:r>
        <w:rPr>
          <w:rFonts w:hint="cs"/>
          <w:rtl/>
        </w:rPr>
        <w:t>בי' התורי"ד</w:t>
      </w:r>
      <w:bookmarkEnd w:id="8666"/>
      <w:bookmarkEnd w:id="8667"/>
      <w:bookmarkEnd w:id="8668"/>
      <w:bookmarkEnd w:id="8669"/>
      <w:r>
        <w:rPr>
          <w:rFonts w:hint="cs"/>
          <w:rtl/>
        </w:rPr>
        <w:t xml:space="preserve"> ברשב"ם דיש למחזיק שטר</w:t>
      </w:r>
      <w:bookmarkEnd w:id="8670"/>
      <w:bookmarkEnd w:id="8671"/>
      <w:bookmarkEnd w:id="8672"/>
      <w:bookmarkEnd w:id="8673"/>
      <w:bookmarkEnd w:id="8674"/>
      <w:bookmarkEnd w:id="8675"/>
    </w:p>
    <w:p w:rsidR="0007171D" w:rsidRDefault="0007171D" w:rsidP="0007171D">
      <w:pPr>
        <w:pStyle w:val="1"/>
        <w:rPr>
          <w:rtl/>
        </w:rPr>
      </w:pPr>
      <w:bookmarkStart w:id="8676" w:name="_Toc58930081"/>
      <w:bookmarkStart w:id="8677" w:name="_Toc58938240"/>
      <w:bookmarkStart w:id="8678" w:name="_Toc59007055"/>
      <w:bookmarkStart w:id="8679" w:name="_Toc59013532"/>
      <w:bookmarkStart w:id="8680" w:name="_Toc59013780"/>
      <w:bookmarkStart w:id="8681" w:name="_Toc59025846"/>
      <w:bookmarkStart w:id="8682" w:name="_Toc58925994"/>
      <w:bookmarkStart w:id="8683" w:name="_Ref57911358"/>
      <w:bookmarkStart w:id="8684" w:name="_Ref57909783"/>
      <w:bookmarkStart w:id="8685" w:name="_Toc57925941"/>
      <w:bookmarkStart w:id="8686" w:name="_Toc58091633"/>
      <w:bookmarkStart w:id="8687" w:name="_Toc58144883"/>
      <w:bookmarkStart w:id="8688" w:name="_Toc58272569"/>
      <w:bookmarkStart w:id="8689" w:name="_Toc58325005"/>
      <w:bookmarkStart w:id="8690" w:name="_Toc58359150"/>
      <w:bookmarkStart w:id="8691" w:name="_Toc58409411"/>
      <w:bookmarkStart w:id="8692" w:name="_Toc58432805"/>
      <w:bookmarkStart w:id="8693" w:name="_Toc58580007"/>
      <w:bookmarkStart w:id="8694" w:name="_Toc58843013"/>
      <w:bookmarkStart w:id="8695" w:name="_Toc58876222"/>
      <w:bookmarkStart w:id="8696" w:name="_Toc58877635"/>
      <w:bookmarkStart w:id="8697" w:name="_Toc58914694"/>
      <w:bookmarkStart w:id="8698" w:name="_Ref57926840"/>
      <w:r>
        <w:rPr>
          <w:rFonts w:hint="cs"/>
          <w:rtl/>
        </w:rPr>
        <w:t>ביאור התורי"ד בדברי הרשב"ם דהיה למחזיק שטר מהמוכר</w:t>
      </w:r>
      <w:bookmarkEnd w:id="8676"/>
      <w:bookmarkEnd w:id="8677"/>
      <w:bookmarkEnd w:id="8678"/>
      <w:bookmarkEnd w:id="8679"/>
      <w:bookmarkEnd w:id="8680"/>
      <w:bookmarkEnd w:id="8681"/>
    </w:p>
    <w:p w:rsidR="0007171D" w:rsidRPr="009C1821" w:rsidRDefault="0007171D" w:rsidP="0007171D">
      <w:pPr>
        <w:pStyle w:val="a3"/>
        <w:rPr>
          <w:rtl/>
        </w:rPr>
      </w:pPr>
      <w:bookmarkStart w:id="8699" w:name="_Toc58930082"/>
      <w:bookmarkStart w:id="8700" w:name="_Toc58938241"/>
      <w:bookmarkStart w:id="8701" w:name="_Toc59007056"/>
      <w:bookmarkStart w:id="8702" w:name="_Toc59013533"/>
      <w:bookmarkStart w:id="8703" w:name="_Toc59013781"/>
      <w:bookmarkStart w:id="8704" w:name="_Toc59025847"/>
      <w:r>
        <w:rPr>
          <w:rFonts w:hint="cs"/>
          <w:rtl/>
        </w:rPr>
        <w:t xml:space="preserve">קושיות התורי"ד על הרשב"ם דאי יש למחזיק שטר א"א להפסידו </w:t>
      </w:r>
      <w:bookmarkEnd w:id="8682"/>
      <w:bookmarkEnd w:id="8699"/>
      <w:bookmarkEnd w:id="8700"/>
      <w:bookmarkEnd w:id="8701"/>
      <w:r>
        <w:rPr>
          <w:rFonts w:hint="cs"/>
          <w:rtl/>
        </w:rPr>
        <w:t>דמוכח דלא הודה בפירוש</w:t>
      </w:r>
      <w:bookmarkEnd w:id="8702"/>
      <w:bookmarkEnd w:id="8703"/>
      <w:bookmarkEnd w:id="8704"/>
    </w:p>
    <w:p w:rsidR="0007171D" w:rsidRDefault="0007171D" w:rsidP="007E4E81">
      <w:pPr>
        <w:pStyle w:val="a0"/>
        <w:rPr>
          <w:rtl/>
        </w:rPr>
      </w:pPr>
      <w:bookmarkStart w:id="8705" w:name="_Ref59015145"/>
      <w:bookmarkStart w:id="8706" w:name="_Ref58925188"/>
      <w:r>
        <w:rPr>
          <w:rFonts w:hint="cs"/>
          <w:rtl/>
        </w:rPr>
        <w:t xml:space="preserve">עי' בדברי </w:t>
      </w:r>
      <w:r w:rsidRPr="00FA7942">
        <w:rPr>
          <w:rStyle w:val="af9"/>
          <w:rFonts w:hint="cs"/>
          <w:rtl/>
        </w:rPr>
        <w:t>התוס' רי"ד</w:t>
      </w:r>
      <w:r w:rsidRPr="00FA7942">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Ref60219109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Pr>
          <w:rStyle w:val="af7"/>
          <w:rFonts w:eastAsia="Guttman Hodes" w:hint="cs"/>
          <w:rtl/>
        </w:rPr>
        <w:t xml:space="preserve"> </w:t>
      </w:r>
      <w:r>
        <w:rPr>
          <w:rFonts w:hint="cs"/>
          <w:rtl/>
        </w:rPr>
        <w:t>דכתב דמוכח דהמחזיק לא הודה בפירוש, ורק שמע מפי המוכר, שאמר לו שהקרקע הייתה של המערער, והביא</w:t>
      </w:r>
      <w:r w:rsidRPr="00FA7942">
        <w:rPr>
          <w:rFonts w:hint="cs"/>
          <w:rtl/>
        </w:rPr>
        <w:t xml:space="preserve"> </w:t>
      </w:r>
      <w:r w:rsidRPr="00FA7942">
        <w:rPr>
          <w:rStyle w:val="af9"/>
          <w:rFonts w:hint="cs"/>
          <w:rtl/>
        </w:rPr>
        <w:t>התוס' רי"ד</w:t>
      </w:r>
      <w:r w:rsidRPr="00FA7942">
        <w:rPr>
          <w:rFonts w:hint="cs"/>
          <w:rtl/>
        </w:rPr>
        <w:t xml:space="preserve"> </w:t>
      </w:r>
      <w:r w:rsidRPr="00CD3FDB">
        <w:rPr>
          <w:rStyle w:val="af7"/>
          <w:rFonts w:eastAsia="Guttman Hodes" w:hint="cs"/>
          <w:rtl/>
        </w:rPr>
        <w:t>(או' ה' ד"ה א"ל)</w:t>
      </w:r>
      <w:r>
        <w:rPr>
          <w:rFonts w:hint="cs"/>
          <w:rtl/>
        </w:rPr>
        <w:t xml:space="preserve"> את דברי </w:t>
      </w:r>
      <w:r w:rsidRPr="00A21272">
        <w:rPr>
          <w:rStyle w:val="af9"/>
          <w:rFonts w:hint="cs"/>
          <w:rtl/>
        </w:rPr>
        <w:t>הרשב"ם</w:t>
      </w:r>
      <w:r>
        <w:rPr>
          <w:rFonts w:hint="cs"/>
          <w:rtl/>
        </w:rPr>
        <w:t xml:space="preserve"> </w:t>
      </w:r>
      <w:r w:rsidRPr="00A21272">
        <w:rPr>
          <w:rStyle w:val="af7"/>
          <w:rFonts w:eastAsia="Guttman Hodes" w:hint="cs"/>
          <w:rtl/>
        </w:rPr>
        <w:t xml:space="preserve">(עי' אות </w:t>
      </w:r>
      <w:r w:rsidRPr="00A21272">
        <w:rPr>
          <w:rStyle w:val="af7"/>
          <w:rFonts w:eastAsia="Guttman Hodes"/>
          <w:rtl/>
        </w:rPr>
        <w:fldChar w:fldCharType="begin"/>
      </w:r>
      <w:r w:rsidRPr="00A21272">
        <w:rPr>
          <w:rStyle w:val="af7"/>
          <w:rFonts w:eastAsia="Guttman Hodes"/>
          <w:rtl/>
        </w:rPr>
        <w:instrText xml:space="preserve"> </w:instrText>
      </w:r>
      <w:r w:rsidRPr="00A21272">
        <w:rPr>
          <w:rStyle w:val="af7"/>
          <w:rFonts w:eastAsia="Guttman Hodes" w:hint="cs"/>
        </w:rPr>
        <w:instrText>REF</w:instrText>
      </w:r>
      <w:r w:rsidRPr="00A21272">
        <w:rPr>
          <w:rStyle w:val="af7"/>
          <w:rFonts w:eastAsia="Guttman Hodes" w:hint="cs"/>
          <w:rtl/>
        </w:rPr>
        <w:instrText xml:space="preserve"> _</w:instrText>
      </w:r>
      <w:r w:rsidRPr="00A21272">
        <w:rPr>
          <w:rStyle w:val="af7"/>
          <w:rFonts w:eastAsia="Guttman Hodes" w:hint="cs"/>
        </w:rPr>
        <w:instrText>Ref57824398 \r \h</w:instrText>
      </w:r>
      <w:r w:rsidRPr="00A21272">
        <w:rPr>
          <w:rStyle w:val="af7"/>
          <w:rFonts w:eastAsia="Guttman Hodes"/>
          <w:rtl/>
        </w:rPr>
        <w:instrText xml:space="preserve"> </w:instrText>
      </w:r>
      <w:r w:rsidRPr="00A21272">
        <w:rPr>
          <w:rStyle w:val="af7"/>
          <w:rFonts w:eastAsia="Guttman Hodes"/>
          <w:rtl/>
        </w:rPr>
      </w:r>
      <w:r w:rsidRPr="00A21272">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A21272">
        <w:rPr>
          <w:rStyle w:val="af7"/>
          <w:rFonts w:eastAsia="Guttman Hodes"/>
          <w:rtl/>
        </w:rPr>
        <w:fldChar w:fldCharType="end"/>
      </w:r>
      <w:r>
        <w:rPr>
          <w:rFonts w:hint="cs"/>
          <w:rtl/>
        </w:rPr>
        <w:t xml:space="preserve"> דכתב דהשטר של המחזיק </w:t>
      </w:r>
      <w:r w:rsidRPr="00BB4C9B">
        <w:rPr>
          <w:rStyle w:val="afb"/>
          <w:rFonts w:hint="cs"/>
          <w:rtl/>
        </w:rPr>
        <w:t>[שקנה מהמוכר]</w:t>
      </w:r>
      <w:r>
        <w:rPr>
          <w:rFonts w:hint="cs"/>
          <w:rtl/>
        </w:rPr>
        <w:t xml:space="preserve"> עדיין בידו,</w:t>
      </w:r>
      <w:r w:rsidRPr="00552C0A">
        <w:rPr>
          <w:rFonts w:hint="cs"/>
          <w:rtl/>
        </w:rPr>
        <w:t xml:space="preserve"> </w:t>
      </w:r>
      <w:r>
        <w:rPr>
          <w:rFonts w:hint="cs"/>
          <w:rtl/>
        </w:rPr>
        <w:t>וה</w:t>
      </w:r>
      <w:r w:rsidRPr="00FA7942">
        <w:rPr>
          <w:rFonts w:hint="cs"/>
          <w:rtl/>
        </w:rPr>
        <w:t xml:space="preserve">קשה </w:t>
      </w:r>
      <w:r w:rsidRPr="00FA7942">
        <w:rPr>
          <w:rStyle w:val="af9"/>
          <w:rFonts w:hint="cs"/>
          <w:rtl/>
        </w:rPr>
        <w:t xml:space="preserve">התוס' </w:t>
      </w:r>
      <w:r w:rsidRPr="00FA7942">
        <w:rPr>
          <w:rStyle w:val="af9"/>
          <w:rFonts w:hint="cs"/>
          <w:rtl/>
        </w:rPr>
        <w:t>רי"ד</w:t>
      </w:r>
      <w:r w:rsidRPr="00FA7942">
        <w:rPr>
          <w:rFonts w:hint="cs"/>
          <w:rtl/>
        </w:rPr>
        <w:t xml:space="preserve"> </w:t>
      </w:r>
      <w:r>
        <w:rPr>
          <w:rFonts w:hint="cs"/>
          <w:rtl/>
        </w:rPr>
        <w:t xml:space="preserve">על </w:t>
      </w:r>
      <w:r w:rsidRPr="00A21272">
        <w:rPr>
          <w:rStyle w:val="af9"/>
          <w:rFonts w:hint="cs"/>
          <w:rtl/>
        </w:rPr>
        <w:t>הרשב"ם</w:t>
      </w:r>
      <w:bookmarkEnd w:id="8683"/>
      <w:r>
        <w:rPr>
          <w:rFonts w:hint="cs"/>
          <w:rtl/>
        </w:rPr>
        <w:t xml:space="preserve"> דכיון ד</w:t>
      </w:r>
      <w:r w:rsidRPr="00FA7942">
        <w:rPr>
          <w:rFonts w:hint="cs"/>
          <w:rtl/>
        </w:rPr>
        <w:t>המחזיק עצמו אינו יודע שהיא של המערער, ולמערער אין עדים</w:t>
      </w:r>
      <w:r>
        <w:rPr>
          <w:rFonts w:hint="cs"/>
          <w:rtl/>
        </w:rPr>
        <w:t xml:space="preserve"> שהיא שלו, א"כ אי יש למחזיק שטר מהמוכר, היאך אפשר להפסידו מחמת שהמוכר הודה </w:t>
      </w:r>
      <w:r w:rsidRPr="004668C3">
        <w:rPr>
          <w:rFonts w:hint="cs"/>
          <w:rtl/>
        </w:rPr>
        <w:t>שקנה מההמערער</w:t>
      </w:r>
      <w:bookmarkEnd w:id="8684"/>
      <w:r>
        <w:rPr>
          <w:rFonts w:hint="cs"/>
          <w:rtl/>
        </w:rPr>
        <w:t>.</w:t>
      </w:r>
      <w:bookmarkEnd w:id="8705"/>
    </w:p>
    <w:p w:rsidR="0007171D" w:rsidRPr="009C1821" w:rsidRDefault="0007171D" w:rsidP="0007171D">
      <w:pPr>
        <w:pStyle w:val="a3"/>
        <w:rPr>
          <w:rtl/>
        </w:rPr>
      </w:pPr>
      <w:bookmarkStart w:id="8707" w:name="_Toc59013534"/>
      <w:bookmarkStart w:id="8708" w:name="_Toc59013782"/>
      <w:bookmarkStart w:id="8709" w:name="_Toc59025848"/>
      <w:r>
        <w:rPr>
          <w:rFonts w:hint="cs"/>
          <w:rtl/>
        </w:rPr>
        <w:t>קושיות התורי"ד על הרשב"ם דנחשוש לקנוניא שהמוכר יודה שגזל מהמערער ויפסידו את הלוקח</w:t>
      </w:r>
      <w:bookmarkEnd w:id="8707"/>
      <w:bookmarkEnd w:id="8708"/>
      <w:bookmarkEnd w:id="8709"/>
    </w:p>
    <w:p w:rsidR="0007171D" w:rsidRDefault="0007171D" w:rsidP="007E4E81">
      <w:pPr>
        <w:pStyle w:val="a0"/>
      </w:pPr>
      <w:r w:rsidRPr="004668C3">
        <w:rPr>
          <w:rFonts w:hint="cs"/>
          <w:rtl/>
        </w:rPr>
        <w:t xml:space="preserve">והוסיף </w:t>
      </w:r>
      <w:r w:rsidRPr="00F912BC">
        <w:rPr>
          <w:rStyle w:val="af9"/>
          <w:rFonts w:hint="cs"/>
          <w:rtl/>
        </w:rPr>
        <w:t>התוס' רי"ד</w:t>
      </w:r>
      <w:r w:rsidRPr="004668C3">
        <w:rPr>
          <w:rFonts w:hint="cs"/>
          <w:rtl/>
        </w:rPr>
        <w:t xml:space="preserve"> להקשות דאי המוכר </w:t>
      </w:r>
      <w:r>
        <w:rPr>
          <w:rFonts w:hint="cs"/>
          <w:rtl/>
        </w:rPr>
        <w:t xml:space="preserve">בהודאתו יכול להפסיד את המחזיק, א"כ אין לדבר סוף, דכל מוכר יכול לעשות קנוניא עם אחר, שיאמר דהקרקע שמכרתי לך לא הייתה שלי, וקניתי אותה מאותו אחר, או אפילו הוא יכול לטעון שגזלתיה מאותו אחר, ותצא הקרקע מהמחזיק, אעפ"י שיש לו שטר מכירה, ויחלקו בה המוכר ואותו אחד, ועי' במה שתירץ </w:t>
      </w:r>
      <w:r w:rsidRPr="00F912BC">
        <w:rPr>
          <w:rStyle w:val="af9"/>
          <w:rFonts w:hint="cs"/>
          <w:rtl/>
        </w:rPr>
        <w:t>התוס' רי"ד</w:t>
      </w:r>
      <w:r>
        <w:rPr>
          <w:rFonts w:hint="cs"/>
          <w:rtl/>
        </w:rPr>
        <w:t xml:space="preserve"> </w:t>
      </w:r>
      <w:r w:rsidRPr="00993D63">
        <w:rPr>
          <w:rStyle w:val="af7"/>
          <w:rFonts w:eastAsia="Guttman Hodes" w:hint="cs"/>
          <w:rtl/>
        </w:rPr>
        <w:t xml:space="preserve">(עי' </w:t>
      </w:r>
      <w:r w:rsidRPr="00457CD1">
        <w:rPr>
          <w:rStyle w:val="af7"/>
          <w:rFonts w:eastAsia="Guttman Hodes" w:hint="cs"/>
          <w:rtl/>
        </w:rPr>
        <w:t xml:space="preserve">אות </w:t>
      </w:r>
      <w:r w:rsidRPr="00457CD1">
        <w:rPr>
          <w:rStyle w:val="af7"/>
          <w:rFonts w:eastAsia="Guttman Hodes"/>
          <w:rtl/>
        </w:rPr>
        <w:fldChar w:fldCharType="begin"/>
      </w:r>
      <w:r w:rsidRPr="00457CD1">
        <w:rPr>
          <w:rStyle w:val="af7"/>
          <w:rFonts w:eastAsia="Guttman Hodes"/>
          <w:rtl/>
        </w:rPr>
        <w:instrText xml:space="preserve"> </w:instrText>
      </w:r>
      <w:r w:rsidRPr="00457CD1">
        <w:rPr>
          <w:rStyle w:val="af7"/>
          <w:rFonts w:eastAsia="Guttman Hodes" w:hint="cs"/>
        </w:rPr>
        <w:instrText>REF</w:instrText>
      </w:r>
      <w:r w:rsidRPr="00457CD1">
        <w:rPr>
          <w:rStyle w:val="af7"/>
          <w:rFonts w:eastAsia="Guttman Hodes" w:hint="cs"/>
          <w:rtl/>
        </w:rPr>
        <w:instrText xml:space="preserve"> _</w:instrText>
      </w:r>
      <w:r w:rsidRPr="00457CD1">
        <w:rPr>
          <w:rStyle w:val="af7"/>
          <w:rFonts w:eastAsia="Guttman Hodes" w:hint="cs"/>
        </w:rPr>
        <w:instrText>Ref58320315 \r \h</w:instrText>
      </w:r>
      <w:r w:rsidRPr="00457CD1">
        <w:rPr>
          <w:rStyle w:val="af7"/>
          <w:rFonts w:eastAsia="Guttman Hodes"/>
          <w:rtl/>
        </w:rPr>
        <w:instrText xml:space="preserve"> </w:instrText>
      </w:r>
      <w:r w:rsidRPr="00457CD1">
        <w:rPr>
          <w:rStyle w:val="af7"/>
          <w:rFonts w:eastAsia="Guttman Hodes"/>
          <w:rtl/>
        </w:rPr>
      </w:r>
      <w:r w:rsidRPr="00457CD1">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sidRPr="00457CD1">
        <w:rPr>
          <w:rStyle w:val="af7"/>
          <w:rFonts w:eastAsia="Guttman Hodes"/>
          <w:rtl/>
        </w:rPr>
        <w:fldChar w:fldCharType="end"/>
      </w:r>
      <w:r>
        <w:rPr>
          <w:rFonts w:hint="cs"/>
          <w:rtl/>
        </w:rPr>
        <w:t>.</w:t>
      </w:r>
      <w:bookmarkEnd w:id="8706"/>
    </w:p>
    <w:p w:rsidR="0007171D" w:rsidRPr="0051605A" w:rsidRDefault="0007171D" w:rsidP="0007171D">
      <w:pPr>
        <w:pStyle w:val="a3"/>
        <w:rPr>
          <w:rtl/>
        </w:rPr>
      </w:pPr>
      <w:bookmarkStart w:id="8710" w:name="_Toc58930083"/>
      <w:bookmarkStart w:id="8711" w:name="_Toc58938242"/>
      <w:bookmarkStart w:id="8712" w:name="_Toc59007057"/>
      <w:bookmarkStart w:id="8713" w:name="_Toc59013535"/>
      <w:bookmarkStart w:id="8714" w:name="_Toc59013783"/>
      <w:bookmarkStart w:id="8715" w:name="_Toc59025849"/>
      <w:bookmarkEnd w:id="8685"/>
      <w:bookmarkEnd w:id="8686"/>
      <w:bookmarkEnd w:id="8687"/>
      <w:bookmarkEnd w:id="8688"/>
      <w:bookmarkEnd w:id="8689"/>
      <w:bookmarkEnd w:id="8690"/>
      <w:bookmarkEnd w:id="8691"/>
      <w:bookmarkEnd w:id="8692"/>
      <w:bookmarkEnd w:id="8693"/>
      <w:bookmarkEnd w:id="8694"/>
      <w:bookmarkEnd w:id="8695"/>
      <w:bookmarkEnd w:id="8696"/>
      <w:bookmarkEnd w:id="8697"/>
      <w:r>
        <w:rPr>
          <w:rFonts w:hint="cs"/>
          <w:rtl/>
        </w:rPr>
        <w:t>דברי התורי"ד דהיה נראה לומר דאם יש לו שטר זוכה בקרקע ובלא שטר חשיב חזקה בלא טענה</w:t>
      </w:r>
      <w:bookmarkEnd w:id="8710"/>
      <w:bookmarkEnd w:id="8711"/>
      <w:bookmarkEnd w:id="8712"/>
      <w:bookmarkEnd w:id="8713"/>
      <w:bookmarkEnd w:id="8714"/>
      <w:bookmarkEnd w:id="8715"/>
    </w:p>
    <w:p w:rsidR="0007171D" w:rsidRDefault="0007171D" w:rsidP="007E4E81">
      <w:pPr>
        <w:pStyle w:val="a0"/>
        <w:rPr>
          <w:rStyle w:val="afb"/>
          <w:rtl/>
        </w:rPr>
      </w:pPr>
      <w:bookmarkStart w:id="8716" w:name="_Ref58320226"/>
      <w:bookmarkStart w:id="8717" w:name="_Toc58325006"/>
      <w:bookmarkStart w:id="8718" w:name="_Toc58359151"/>
      <w:bookmarkStart w:id="8719" w:name="_Toc58409412"/>
      <w:bookmarkStart w:id="8720" w:name="_Toc58432806"/>
      <w:bookmarkStart w:id="8721" w:name="_Toc58580008"/>
      <w:bookmarkStart w:id="8722" w:name="_Toc58843014"/>
      <w:bookmarkStart w:id="8723" w:name="_Toc58876223"/>
      <w:bookmarkStart w:id="8724" w:name="_Toc58877636"/>
      <w:bookmarkStart w:id="8725" w:name="_Toc58914695"/>
      <w:bookmarkStart w:id="8726" w:name="_Toc58925996"/>
      <w:bookmarkEnd w:id="8698"/>
      <w:r>
        <w:rPr>
          <w:rFonts w:hint="cs"/>
          <w:rtl/>
        </w:rPr>
        <w:t xml:space="preserve">וכתב </w:t>
      </w:r>
      <w:r w:rsidRPr="00CD3FDB">
        <w:rPr>
          <w:rStyle w:val="af9"/>
          <w:rFonts w:hint="cs"/>
          <w:rtl/>
        </w:rPr>
        <w:t>התוס' רי"ד</w:t>
      </w:r>
      <w:r>
        <w:rPr>
          <w:rFonts w:hint="cs"/>
          <w:rtl/>
        </w:rPr>
        <w:t xml:space="preserve"> </w:t>
      </w:r>
      <w:r w:rsidRPr="00037B65">
        <w:rPr>
          <w:rStyle w:val="af7"/>
          <w:rFonts w:eastAsia="Guttman Hodes" w:hint="cs"/>
          <w:rtl/>
        </w:rPr>
        <w:t>(או' ה' ד"ה ומפני קושיא)</w:t>
      </w:r>
      <w:r>
        <w:rPr>
          <w:rFonts w:hint="cs"/>
          <w:rtl/>
        </w:rPr>
        <w:t xml:space="preserve"> דלפי"ז היה נראה לומר דכל שיש למחזיק שטר או עדים שקנה מהמוכר, אף שאח"כ יאמר המוכר שהוא קנאה מהמערער, אין המערער יכול להוציאה מיד המחזיק, עד שיביא המערער עדים שהייתה שלו, </w:t>
      </w:r>
      <w:bookmarkEnd w:id="8716"/>
      <w:r>
        <w:rPr>
          <w:rFonts w:hint="cs"/>
          <w:rtl/>
        </w:rPr>
        <w:t>והכא איירי דאין למחזיק שטר או עדים שקנה מהמוכר,</w:t>
      </w:r>
      <w:r w:rsidRPr="00A35411">
        <w:rPr>
          <w:rFonts w:hint="cs"/>
          <w:rtl/>
        </w:rPr>
        <w:t xml:space="preserve"> </w:t>
      </w:r>
      <w:r w:rsidRPr="00A35411">
        <w:rPr>
          <w:rStyle w:val="afb"/>
          <w:rFonts w:hint="cs"/>
          <w:rtl/>
        </w:rPr>
        <w:t xml:space="preserve">[ודלא </w:t>
      </w:r>
      <w:r w:rsidRPr="00A35411">
        <w:rPr>
          <w:rStyle w:val="affa"/>
          <w:rFonts w:hint="cs"/>
          <w:rtl/>
        </w:rPr>
        <w:t xml:space="preserve">כרשב"ם </w:t>
      </w:r>
      <w:r w:rsidRPr="00A35411">
        <w:rPr>
          <w:rStyle w:val="aff6"/>
          <w:rFonts w:hint="cs"/>
          <w:rtl/>
        </w:rPr>
        <w:t xml:space="preserve">(עי' אות </w:t>
      </w:r>
      <w:r w:rsidRPr="00A35411">
        <w:rPr>
          <w:rStyle w:val="aff6"/>
          <w:rtl/>
        </w:rPr>
        <w:fldChar w:fldCharType="begin"/>
      </w:r>
      <w:r w:rsidRPr="00A35411">
        <w:rPr>
          <w:rStyle w:val="aff6"/>
          <w:rtl/>
        </w:rPr>
        <w:instrText xml:space="preserve"> </w:instrText>
      </w:r>
      <w:r w:rsidRPr="00A35411">
        <w:rPr>
          <w:rStyle w:val="aff6"/>
          <w:rFonts w:hint="cs"/>
        </w:rPr>
        <w:instrText>REF</w:instrText>
      </w:r>
      <w:r w:rsidRPr="00A35411">
        <w:rPr>
          <w:rStyle w:val="aff6"/>
          <w:rFonts w:hint="cs"/>
          <w:rtl/>
        </w:rPr>
        <w:instrText xml:space="preserve"> _</w:instrText>
      </w:r>
      <w:r w:rsidRPr="00A35411">
        <w:rPr>
          <w:rStyle w:val="aff6"/>
          <w:rFonts w:hint="cs"/>
        </w:rPr>
        <w:instrText>Ref57824398 \r \h</w:instrText>
      </w:r>
      <w:r w:rsidRPr="00A35411">
        <w:rPr>
          <w:rStyle w:val="aff6"/>
          <w:rtl/>
        </w:rPr>
        <w:instrText xml:space="preserve"> </w:instrText>
      </w:r>
      <w:r w:rsidRPr="00A35411">
        <w:rPr>
          <w:rStyle w:val="aff6"/>
          <w:rtl/>
        </w:rPr>
      </w:r>
      <w:r w:rsidRPr="00A35411">
        <w:rPr>
          <w:rStyle w:val="aff6"/>
          <w:rtl/>
        </w:rPr>
        <w:fldChar w:fldCharType="separate"/>
      </w:r>
      <w:r w:rsidR="00265073">
        <w:rPr>
          <w:rStyle w:val="aff6"/>
          <w:cs/>
        </w:rPr>
        <w:t>‎</w:t>
      </w:r>
      <w:r w:rsidR="00265073">
        <w:rPr>
          <w:rStyle w:val="aff6"/>
          <w:rtl/>
        </w:rPr>
        <w:t>א)</w:t>
      </w:r>
      <w:r w:rsidRPr="00A35411">
        <w:rPr>
          <w:rStyle w:val="aff6"/>
          <w:rtl/>
        </w:rPr>
        <w:fldChar w:fldCharType="end"/>
      </w:r>
      <w:r w:rsidRPr="00A35411">
        <w:rPr>
          <w:rStyle w:val="afb"/>
          <w:rFonts w:hint="cs"/>
          <w:rtl/>
        </w:rPr>
        <w:t>],</w:t>
      </w:r>
      <w:r w:rsidRPr="006B60DB">
        <w:rPr>
          <w:rStyle w:val="afb"/>
          <w:rFonts w:hint="cs"/>
          <w:rtl/>
        </w:rPr>
        <w:t xml:space="preserve"> </w:t>
      </w:r>
      <w:r>
        <w:rPr>
          <w:rFonts w:hint="cs"/>
          <w:rtl/>
        </w:rPr>
        <w:t xml:space="preserve">ולכן אף אם יש לו חזקת ג"ש מוציאין מידו, דהיא חזקה בלא טענה, </w:t>
      </w:r>
      <w:r w:rsidRPr="006207B9">
        <w:rPr>
          <w:rStyle w:val="afb"/>
          <w:rFonts w:hint="cs"/>
          <w:rtl/>
        </w:rPr>
        <w:t>[דהא אין לו עדים שישב בה המוכר חד יומא, ולא טענינן ליה],</w:t>
      </w:r>
      <w:r>
        <w:rPr>
          <w:rFonts w:hint="cs"/>
          <w:rtl/>
        </w:rPr>
        <w:t xml:space="preserve"> ולכן אף שאין למערער עדים שהייתה שלו, מ"מ הוא מוציא מהמחזיק במה שהודה שהיא של המערער. </w:t>
      </w:r>
      <w:r w:rsidRPr="00F912BC">
        <w:rPr>
          <w:rStyle w:val="afb"/>
          <w:rFonts w:hint="cs"/>
          <w:rtl/>
        </w:rPr>
        <w:t>[במה שאמר ששמע כן מהמוכר].</w:t>
      </w:r>
    </w:p>
    <w:p w:rsidR="0007171D" w:rsidRDefault="0007171D" w:rsidP="0007171D">
      <w:pPr>
        <w:pStyle w:val="a3"/>
        <w:rPr>
          <w:rtl/>
        </w:rPr>
      </w:pPr>
      <w:bookmarkStart w:id="8727" w:name="_Toc58930084"/>
      <w:bookmarkStart w:id="8728" w:name="_Toc58938243"/>
      <w:bookmarkStart w:id="8729" w:name="_Toc59007058"/>
      <w:bookmarkStart w:id="8730" w:name="_Toc59013536"/>
      <w:bookmarkStart w:id="8731" w:name="_Toc59013784"/>
      <w:bookmarkStart w:id="8732" w:name="_Toc59025850"/>
      <w:bookmarkEnd w:id="8717"/>
      <w:bookmarkEnd w:id="8718"/>
      <w:bookmarkEnd w:id="8719"/>
      <w:bookmarkEnd w:id="8720"/>
      <w:bookmarkEnd w:id="8721"/>
      <w:bookmarkEnd w:id="8722"/>
      <w:bookmarkEnd w:id="8723"/>
      <w:bookmarkEnd w:id="8724"/>
      <w:bookmarkEnd w:id="8725"/>
      <w:bookmarkEnd w:id="8726"/>
      <w:r>
        <w:rPr>
          <w:rFonts w:hint="cs"/>
          <w:rtl/>
        </w:rPr>
        <w:t>דחיית התורי"ד דבלא שטר נאמן שקנה מהמוכר במיגו כמו שיש לו שטר ומוכח כדברי הרשב"ם</w:t>
      </w:r>
      <w:bookmarkEnd w:id="8727"/>
      <w:bookmarkEnd w:id="8728"/>
      <w:bookmarkEnd w:id="8729"/>
      <w:bookmarkEnd w:id="8730"/>
      <w:bookmarkEnd w:id="8731"/>
      <w:bookmarkEnd w:id="8732"/>
    </w:p>
    <w:p w:rsidR="0007171D" w:rsidRDefault="0007171D" w:rsidP="007E4E81">
      <w:pPr>
        <w:pStyle w:val="a0"/>
        <w:rPr>
          <w:rtl/>
        </w:rPr>
      </w:pPr>
      <w:r w:rsidRPr="00CD3773">
        <w:rPr>
          <w:rFonts w:hint="cs"/>
          <w:rtl/>
        </w:rPr>
        <w:t xml:space="preserve">אך דחה </w:t>
      </w:r>
      <w:r w:rsidRPr="00CD3773">
        <w:rPr>
          <w:rStyle w:val="af9"/>
          <w:rFonts w:hint="cs"/>
          <w:rtl/>
        </w:rPr>
        <w:t>התוס' רי"ד</w:t>
      </w:r>
      <w:r w:rsidRPr="00CD3773">
        <w:rPr>
          <w:rFonts w:hint="cs"/>
          <w:rtl/>
        </w:rPr>
        <w:t xml:space="preserve"> </w:t>
      </w:r>
      <w:r w:rsidRPr="00CD3773">
        <w:rPr>
          <w:rStyle w:val="af7"/>
          <w:rFonts w:eastAsia="Guttman Hodes" w:hint="cs"/>
          <w:rtl/>
        </w:rPr>
        <w:t>(או' ה' ד"ה אבל אין)</w:t>
      </w:r>
      <w:r w:rsidRPr="00CD3773">
        <w:rPr>
          <w:rFonts w:hint="cs"/>
          <w:rtl/>
        </w:rPr>
        <w:t xml:space="preserve"> דהא אי נימא דכשיש למחזיק עדים שהוא קנה מהמוכר אינו מפסיד את הקרקע, אעפ"י שהודה שהיא של המערער,</w:t>
      </w:r>
      <w:r>
        <w:rPr>
          <w:rFonts w:hint="cs"/>
          <w:rtl/>
        </w:rPr>
        <w:t xml:space="preserve"> </w:t>
      </w:r>
      <w:r w:rsidRPr="00CD3773">
        <w:rPr>
          <w:rFonts w:hint="cs"/>
          <w:rtl/>
        </w:rPr>
        <w:t xml:space="preserve">א"כ אף כשאין לו עדים </w:t>
      </w:r>
      <w:r>
        <w:rPr>
          <w:rFonts w:hint="cs"/>
          <w:rtl/>
        </w:rPr>
        <w:t xml:space="preserve">שקנה מהמוכר, </w:t>
      </w:r>
      <w:r w:rsidRPr="00CD3773">
        <w:rPr>
          <w:rFonts w:hint="cs"/>
          <w:rtl/>
        </w:rPr>
        <w:t>ו</w:t>
      </w:r>
      <w:r>
        <w:rPr>
          <w:rFonts w:hint="cs"/>
          <w:rtl/>
        </w:rPr>
        <w:t xml:space="preserve">הוא </w:t>
      </w:r>
      <w:r w:rsidRPr="00CD3773">
        <w:rPr>
          <w:rFonts w:hint="cs"/>
          <w:rtl/>
        </w:rPr>
        <w:t xml:space="preserve">רק טוען כן, הוא צריך להיות נאמן </w:t>
      </w:r>
      <w:r>
        <w:rPr>
          <w:rFonts w:hint="cs"/>
          <w:rtl/>
        </w:rPr>
        <w:t xml:space="preserve">דקנה מהמוכר, </w:t>
      </w:r>
      <w:r w:rsidRPr="00CD3773">
        <w:rPr>
          <w:rFonts w:hint="cs"/>
          <w:rtl/>
        </w:rPr>
        <w:t xml:space="preserve">במיגו דהיה יכול לטעון </w:t>
      </w:r>
      <w:r>
        <w:rPr>
          <w:rFonts w:hint="cs"/>
          <w:rtl/>
        </w:rPr>
        <w:t xml:space="preserve">שלא הייתה של המערער מעולם, </w:t>
      </w:r>
      <w:r w:rsidRPr="001B4CA0">
        <w:rPr>
          <w:rStyle w:val="afb"/>
          <w:rFonts w:hint="cs"/>
          <w:rtl/>
        </w:rPr>
        <w:t>[דהא אין למערער עדים, והיינו דאי במקום שיש למחזיק ראיה שקנה מהמוכר הוא נאמן, ה"ה כשאין לו ראיה</w:t>
      </w:r>
      <w:r>
        <w:rPr>
          <w:rStyle w:val="afb"/>
          <w:rFonts w:hint="cs"/>
          <w:rtl/>
        </w:rPr>
        <w:t>, כיון</w:t>
      </w:r>
      <w:r w:rsidRPr="001B4CA0">
        <w:rPr>
          <w:rStyle w:val="afb"/>
          <w:rFonts w:hint="cs"/>
          <w:rtl/>
        </w:rPr>
        <w:t xml:space="preserve"> דעל עצם הטענה שקנה מהמוכר יש לו מיגו</w:t>
      </w:r>
      <w:r>
        <w:rPr>
          <w:rStyle w:val="afb"/>
          <w:rFonts w:hint="cs"/>
          <w:rtl/>
        </w:rPr>
        <w:t>,</w:t>
      </w:r>
      <w:r w:rsidRPr="001B4CA0">
        <w:rPr>
          <w:rStyle w:val="afb"/>
          <w:rFonts w:hint="cs"/>
          <w:rtl/>
        </w:rPr>
        <w:t xml:space="preserve"> דלא הייתה של המערער מעולם],</w:t>
      </w:r>
      <w:r w:rsidRPr="00CD3773">
        <w:rPr>
          <w:rFonts w:hint="cs"/>
          <w:rtl/>
        </w:rPr>
        <w:t xml:space="preserve"> אלא כתב </w:t>
      </w:r>
      <w:r w:rsidRPr="00CD3773">
        <w:rPr>
          <w:rStyle w:val="af9"/>
          <w:rFonts w:hint="cs"/>
          <w:rtl/>
        </w:rPr>
        <w:t>התוס' רי"ד</w:t>
      </w:r>
      <w:r w:rsidRPr="00CD3773">
        <w:rPr>
          <w:rFonts w:hint="cs"/>
          <w:rtl/>
        </w:rPr>
        <w:t xml:space="preserve"> דמוכח כדברי </w:t>
      </w:r>
      <w:r w:rsidRPr="00CD3773">
        <w:rPr>
          <w:rStyle w:val="af9"/>
          <w:rFonts w:hint="cs"/>
          <w:rtl/>
        </w:rPr>
        <w:t>הרשב"ם</w:t>
      </w:r>
      <w:r w:rsidRPr="00CD3773">
        <w:rPr>
          <w:rFonts w:hint="cs"/>
          <w:rtl/>
        </w:rPr>
        <w:t xml:space="preserve"> </w:t>
      </w:r>
      <w:r w:rsidRPr="00CD3773">
        <w:rPr>
          <w:rStyle w:val="af7"/>
          <w:rFonts w:eastAsia="Guttman Hodes" w:hint="cs"/>
          <w:rtl/>
        </w:rPr>
        <w:t xml:space="preserve">(עי' אות </w:t>
      </w:r>
      <w:r w:rsidRPr="00CD3773">
        <w:rPr>
          <w:rStyle w:val="af7"/>
          <w:rFonts w:eastAsia="Guttman Hodes"/>
          <w:rtl/>
        </w:rPr>
        <w:fldChar w:fldCharType="begin"/>
      </w:r>
      <w:r w:rsidRPr="00CD3773">
        <w:rPr>
          <w:rStyle w:val="af7"/>
          <w:rFonts w:eastAsia="Guttman Hodes"/>
          <w:rtl/>
        </w:rPr>
        <w:instrText xml:space="preserve"> </w:instrText>
      </w:r>
      <w:r w:rsidRPr="00CD3773">
        <w:rPr>
          <w:rStyle w:val="af7"/>
          <w:rFonts w:eastAsia="Guttman Hodes" w:hint="cs"/>
        </w:rPr>
        <w:instrText>REF</w:instrText>
      </w:r>
      <w:r w:rsidRPr="00CD3773">
        <w:rPr>
          <w:rStyle w:val="af7"/>
          <w:rFonts w:eastAsia="Guttman Hodes" w:hint="cs"/>
          <w:rtl/>
        </w:rPr>
        <w:instrText xml:space="preserve"> _</w:instrText>
      </w:r>
      <w:r w:rsidRPr="00CD3773">
        <w:rPr>
          <w:rStyle w:val="af7"/>
          <w:rFonts w:eastAsia="Guttman Hodes" w:hint="cs"/>
        </w:rPr>
        <w:instrText>Ref58319390 \r \h</w:instrText>
      </w:r>
      <w:r w:rsidRPr="00CD377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D3773">
        <w:rPr>
          <w:rStyle w:val="af7"/>
          <w:rFonts w:eastAsia="Guttman Hodes"/>
          <w:rtl/>
        </w:rPr>
      </w:r>
      <w:r w:rsidRPr="00CD3773">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CD3773">
        <w:rPr>
          <w:rStyle w:val="af7"/>
          <w:rFonts w:eastAsia="Guttman Hodes"/>
          <w:rtl/>
        </w:rPr>
        <w:fldChar w:fldCharType="end"/>
      </w:r>
      <w:r w:rsidRPr="00CD3773">
        <w:rPr>
          <w:rFonts w:hint="cs"/>
          <w:rtl/>
        </w:rPr>
        <w:t xml:space="preserve"> דאף אם הביא עדים שהמוכר</w:t>
      </w:r>
      <w:r>
        <w:rPr>
          <w:rFonts w:hint="cs"/>
          <w:rtl/>
        </w:rPr>
        <w:t xml:space="preserve"> מכרה לו, או שיש לו שטר, כל שהוא מודה שהמוכר קנאה מהמערער, הוא מפסיד.</w:t>
      </w:r>
    </w:p>
    <w:p w:rsidR="0007171D" w:rsidRPr="00387054" w:rsidRDefault="0007171D" w:rsidP="0007171D">
      <w:pPr>
        <w:pStyle w:val="a3"/>
        <w:rPr>
          <w:rtl/>
        </w:rPr>
      </w:pPr>
      <w:bookmarkStart w:id="8733" w:name="_Toc58930085"/>
      <w:bookmarkStart w:id="8734" w:name="_Toc58938244"/>
      <w:bookmarkStart w:id="8735" w:name="_Toc59007059"/>
      <w:bookmarkStart w:id="8736" w:name="_Toc59013537"/>
      <w:bookmarkStart w:id="8737" w:name="_Toc59013785"/>
      <w:bookmarkStart w:id="8738" w:name="_Toc59025851"/>
      <w:r>
        <w:rPr>
          <w:rFonts w:hint="cs"/>
          <w:rtl/>
        </w:rPr>
        <w:t>תירוץ התורי"ד דלא חיישינן לקנוניא דבשעת המכירה היה ללוקח לבקש שטר מהמערער</w:t>
      </w:r>
      <w:bookmarkEnd w:id="8733"/>
      <w:bookmarkEnd w:id="8734"/>
      <w:bookmarkEnd w:id="8735"/>
      <w:bookmarkEnd w:id="8736"/>
      <w:bookmarkEnd w:id="8737"/>
      <w:bookmarkEnd w:id="8738"/>
    </w:p>
    <w:p w:rsidR="0007171D" w:rsidRPr="004526D2" w:rsidRDefault="0007171D" w:rsidP="007E4E81">
      <w:pPr>
        <w:pStyle w:val="a0"/>
        <w:rPr>
          <w:rtl/>
        </w:rPr>
      </w:pPr>
      <w:bookmarkStart w:id="8739" w:name="_Ref58320315"/>
      <w:r>
        <w:rPr>
          <w:rFonts w:hint="cs"/>
          <w:rtl/>
        </w:rPr>
        <w:t xml:space="preserve">ועל קושיתו שהקשה </w:t>
      </w:r>
      <w:r w:rsidRPr="00F912BC">
        <w:rPr>
          <w:rStyle w:val="af9"/>
          <w:rFonts w:hint="cs"/>
          <w:rtl/>
        </w:rPr>
        <w:t>התוס' רי"ד</w:t>
      </w:r>
      <w:r>
        <w:rPr>
          <w:rFonts w:hint="cs"/>
          <w:rtl/>
        </w:rPr>
        <w:t xml:space="preserve"> </w:t>
      </w:r>
      <w:r w:rsidRPr="00993D6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Ref58925188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w:t>
      </w:r>
      <w:r>
        <w:rPr>
          <w:rStyle w:val="af7"/>
          <w:rFonts w:eastAsia="Guttman Hodes"/>
          <w:rtl/>
        </w:rPr>
        <w:fldChar w:fldCharType="end"/>
      </w:r>
      <w:r w:rsidRPr="00993D63">
        <w:rPr>
          <w:rStyle w:val="af7"/>
          <w:rFonts w:eastAsia="Guttman Hodes" w:hint="cs"/>
          <w:rtl/>
        </w:rPr>
        <w:t xml:space="preserve"> </w:t>
      </w:r>
      <w:r>
        <w:rPr>
          <w:rFonts w:hint="cs"/>
          <w:rtl/>
        </w:rPr>
        <w:t xml:space="preserve">דהמוכר יכול לעשות קנוניא עם המערער, תירץ </w:t>
      </w:r>
      <w:r w:rsidRPr="00CD3FDB">
        <w:rPr>
          <w:rStyle w:val="af9"/>
          <w:rFonts w:hint="cs"/>
          <w:rtl/>
        </w:rPr>
        <w:t>התוס' רי"ד</w:t>
      </w:r>
      <w:r>
        <w:rPr>
          <w:rFonts w:hint="cs"/>
          <w:rtl/>
        </w:rPr>
        <w:t xml:space="preserve"> </w:t>
      </w:r>
      <w:r w:rsidRPr="00CD3FDB">
        <w:rPr>
          <w:rStyle w:val="af7"/>
          <w:rFonts w:eastAsia="Guttman Hodes" w:hint="cs"/>
          <w:rtl/>
        </w:rPr>
        <w:t xml:space="preserve">(או' ה' ד"ה </w:t>
      </w:r>
      <w:r>
        <w:rPr>
          <w:rStyle w:val="af7"/>
          <w:rFonts w:eastAsia="Guttman Hodes" w:hint="cs"/>
          <w:rtl/>
        </w:rPr>
        <w:t>ומאי דקשיא</w:t>
      </w:r>
      <w:r w:rsidRPr="00CD3FDB">
        <w:rPr>
          <w:rStyle w:val="af7"/>
          <w:rFonts w:eastAsia="Guttman Hodes" w:hint="cs"/>
          <w:rtl/>
        </w:rPr>
        <w:t>)</w:t>
      </w:r>
      <w:r>
        <w:rPr>
          <w:rFonts w:hint="cs"/>
          <w:rtl/>
        </w:rPr>
        <w:t xml:space="preserve"> דצ"ל אם לאחר המכירה אמר המוכר שהוא קנה מהמערער, ודאי דאינו נאמן, כיון שבשעת המכירה סבר הלוקח שהמוכר ירשה מאבותיו, וכ"מ דהמוכר נאמן לומר שקנה מהמערער, הוא כשאמר כן בשעת המכירה, </w:t>
      </w:r>
      <w:r w:rsidRPr="00A35411">
        <w:rPr>
          <w:rStyle w:val="afb"/>
          <w:rFonts w:hint="cs"/>
          <w:rtl/>
        </w:rPr>
        <w:t>[</w:t>
      </w:r>
      <w:r>
        <w:rPr>
          <w:rStyle w:val="afb"/>
          <w:rFonts w:hint="cs"/>
          <w:rtl/>
        </w:rPr>
        <w:t>כדכתב</w:t>
      </w:r>
      <w:r w:rsidRPr="00A35411">
        <w:rPr>
          <w:rStyle w:val="afb"/>
          <w:rFonts w:hint="cs"/>
          <w:rtl/>
        </w:rPr>
        <w:t xml:space="preserve"> </w:t>
      </w:r>
      <w:r>
        <w:rPr>
          <w:rStyle w:val="affa"/>
          <w:rFonts w:hint="cs"/>
          <w:rtl/>
        </w:rPr>
        <w:t>ה</w:t>
      </w:r>
      <w:r w:rsidRPr="00A35411">
        <w:rPr>
          <w:rStyle w:val="affa"/>
          <w:rFonts w:hint="cs"/>
          <w:rtl/>
        </w:rPr>
        <w:t xml:space="preserve">רשב"ם </w:t>
      </w:r>
      <w:r w:rsidRPr="00A35411">
        <w:rPr>
          <w:rStyle w:val="aff6"/>
          <w:rFonts w:hint="cs"/>
          <w:rtl/>
        </w:rPr>
        <w:t xml:space="preserve">(עי' אות </w:t>
      </w:r>
      <w:r w:rsidRPr="00A35411">
        <w:rPr>
          <w:rStyle w:val="aff6"/>
          <w:rtl/>
        </w:rPr>
        <w:fldChar w:fldCharType="begin"/>
      </w:r>
      <w:r w:rsidRPr="00A35411">
        <w:rPr>
          <w:rStyle w:val="aff6"/>
          <w:rtl/>
        </w:rPr>
        <w:instrText xml:space="preserve"> </w:instrText>
      </w:r>
      <w:r w:rsidRPr="00A35411">
        <w:rPr>
          <w:rStyle w:val="aff6"/>
          <w:rFonts w:hint="cs"/>
        </w:rPr>
        <w:instrText>REF</w:instrText>
      </w:r>
      <w:r w:rsidRPr="00A35411">
        <w:rPr>
          <w:rStyle w:val="aff6"/>
          <w:rFonts w:hint="cs"/>
          <w:rtl/>
        </w:rPr>
        <w:instrText xml:space="preserve"> _</w:instrText>
      </w:r>
      <w:r w:rsidRPr="00A35411">
        <w:rPr>
          <w:rStyle w:val="aff6"/>
          <w:rFonts w:hint="cs"/>
        </w:rPr>
        <w:instrText>Ref57824398 \r \h</w:instrText>
      </w:r>
      <w:r w:rsidRPr="00A35411">
        <w:rPr>
          <w:rStyle w:val="aff6"/>
          <w:rtl/>
        </w:rPr>
        <w:instrText xml:space="preserve"> </w:instrText>
      </w:r>
      <w:r w:rsidRPr="00A35411">
        <w:rPr>
          <w:rStyle w:val="aff6"/>
          <w:rtl/>
        </w:rPr>
      </w:r>
      <w:r w:rsidRPr="00A35411">
        <w:rPr>
          <w:rStyle w:val="aff6"/>
          <w:rtl/>
        </w:rPr>
        <w:fldChar w:fldCharType="separate"/>
      </w:r>
      <w:r w:rsidR="00265073">
        <w:rPr>
          <w:rStyle w:val="aff6"/>
          <w:cs/>
        </w:rPr>
        <w:t>‎</w:t>
      </w:r>
      <w:r w:rsidR="00265073">
        <w:rPr>
          <w:rStyle w:val="aff6"/>
          <w:rtl/>
        </w:rPr>
        <w:t>א)</w:t>
      </w:r>
      <w:r w:rsidRPr="00A35411">
        <w:rPr>
          <w:rStyle w:val="aff6"/>
          <w:rtl/>
        </w:rPr>
        <w:fldChar w:fldCharType="end"/>
      </w:r>
      <w:r w:rsidRPr="00A35411">
        <w:rPr>
          <w:rStyle w:val="afb"/>
          <w:rFonts w:hint="cs"/>
          <w:rtl/>
        </w:rPr>
        <w:t>],</w:t>
      </w:r>
      <w:r>
        <w:rPr>
          <w:rFonts w:hint="cs"/>
          <w:rtl/>
        </w:rPr>
        <w:t xml:space="preserve"> דבכה"ג היה ללוקח לבקש ממנו את השטר שקנה מהמערער, או עדים על חזקת ג"ש, וכל שלא ביקש כן הלוקח הוא פשע בעצמו, ולכן יכול המערער להוציא ממנו אף שאין לו עדים, דאם היה עדים דבשעת המכירה אמר המוכר שקנה ממנו, ודאי דמוציא, א"כ ה"ה כשמודה המחזיק שכך אמר לו המוכר בשעת המכירה, דיכול המערער להוציאו.</w:t>
      </w:r>
      <w:bookmarkEnd w:id="8739"/>
    </w:p>
    <w:p w:rsidR="0007171D" w:rsidRDefault="0007171D" w:rsidP="007E4E81">
      <w:pPr>
        <w:pStyle w:val="a0"/>
        <w:numPr>
          <w:ilvl w:val="0"/>
          <w:numId w:val="0"/>
        </w:numPr>
        <w:rPr>
          <w:rtl/>
        </w:rPr>
        <w:sectPr w:rsidR="0007171D" w:rsidSect="005049E2">
          <w:type w:val="continuous"/>
          <w:pgSz w:w="11906" w:h="16838"/>
          <w:pgMar w:top="720" w:right="720" w:bottom="720" w:left="720" w:header="283" w:footer="283" w:gutter="0"/>
          <w:cols w:num="2" w:space="567"/>
          <w:titlePg/>
          <w:bidi/>
          <w:rtlGutter/>
          <w:docGrid w:linePitch="299"/>
        </w:sectPr>
      </w:pPr>
    </w:p>
    <w:p w:rsidR="0007171D" w:rsidRDefault="0007171D" w:rsidP="0007171D">
      <w:pPr>
        <w:tabs>
          <w:tab w:val="left" w:pos="1163"/>
        </w:tabs>
        <w:spacing w:after="120" w:line="240" w:lineRule="auto"/>
        <w:ind w:left="0"/>
        <w:rPr>
          <w:rFonts w:ascii="Guttman Hodes" w:eastAsia="Guttman Hodes" w:hAnsi="Guttman Hodes" w:cs="Guttman Hodes"/>
          <w:noProof/>
          <w:sz w:val="18"/>
          <w:szCs w:val="18"/>
        </w:rPr>
        <w:sectPr w:rsidR="0007171D" w:rsidSect="0007171D">
          <w:type w:val="continuous"/>
          <w:pgSz w:w="11906" w:h="16838"/>
          <w:pgMar w:top="720" w:right="720" w:bottom="720" w:left="720" w:header="283" w:footer="283" w:gutter="0"/>
          <w:cols w:space="567"/>
          <w:bidi/>
          <w:rtlGutter/>
          <w:docGrid w:linePitch="299"/>
        </w:sectPr>
      </w:pPr>
    </w:p>
    <w:p w:rsidR="0007171D" w:rsidRPr="00D47CE7" w:rsidRDefault="00E949D5" w:rsidP="0007171D">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2" type="#_x0000_t75" style="width:404.55pt;height:6.8pt" o:hrpct="0" o:hralign="center" o:hr="t">
            <v:imagedata r:id="rId24" o:title="BD14845_"/>
          </v:shape>
        </w:pict>
      </w:r>
      <w:r w:rsidR="0007171D" w:rsidRPr="00D47CE7">
        <w:rPr>
          <w:rFonts w:ascii="Guttman Hodes" w:eastAsia="Guttman Hodes" w:hAnsi="Guttman Hodes" w:cs="Guttman Hodes" w:hint="cs"/>
          <w:noProof/>
          <w:sz w:val="18"/>
          <w:szCs w:val="18"/>
          <w:rtl/>
        </w:rPr>
        <w:t xml:space="preserve"> </w:t>
      </w:r>
    </w:p>
    <w:p w:rsidR="0007171D" w:rsidRPr="0081356D" w:rsidRDefault="001B6519" w:rsidP="0007171D">
      <w:pPr>
        <w:pStyle w:val="afe"/>
        <w:rPr>
          <w:rtl/>
        </w:rPr>
        <w:sectPr w:rsidR="0007171D" w:rsidRPr="0081356D" w:rsidSect="0007171D">
          <w:pgSz w:w="11906" w:h="16838"/>
          <w:pgMar w:top="720" w:right="720" w:bottom="720" w:left="720" w:header="283" w:footer="283" w:gutter="0"/>
          <w:cols w:space="567"/>
          <w:bidi/>
          <w:rtlGutter/>
          <w:docGrid w:linePitch="299"/>
        </w:sectPr>
      </w:pPr>
      <w:r>
        <w:rPr>
          <w:rFonts w:hint="cs"/>
          <w:rtl/>
        </w:rPr>
        <w:t>~~~~~~~ ביאורי ראשי הישיבות ~~~~~~~</w:t>
      </w:r>
      <w:r w:rsidR="0007171D" w:rsidRPr="0081356D">
        <w:rPr>
          <w:rFonts w:hint="cs"/>
          <w:rtl/>
        </w:rPr>
        <w:t xml:space="preserve"> </w:t>
      </w:r>
    </w:p>
    <w:p w:rsidR="0007171D" w:rsidRDefault="0007171D" w:rsidP="0007171D">
      <w:pPr>
        <w:pStyle w:val="afe"/>
        <w:rPr>
          <w:rtl/>
        </w:rPr>
      </w:pPr>
      <w:bookmarkStart w:id="8740" w:name="_Toc57925968"/>
      <w:bookmarkStart w:id="8741" w:name="_Toc58091661"/>
      <w:bookmarkStart w:id="8742" w:name="_Toc58144928"/>
      <w:bookmarkStart w:id="8743" w:name="_Toc58272616"/>
      <w:bookmarkStart w:id="8744" w:name="_Toc58325052"/>
      <w:bookmarkStart w:id="8745" w:name="_Toc58359198"/>
      <w:bookmarkStart w:id="8746" w:name="_Toc58409459"/>
      <w:bookmarkStart w:id="8747" w:name="_Toc58432821"/>
      <w:bookmarkStart w:id="8748" w:name="_Toc58580024"/>
      <w:bookmarkStart w:id="8749" w:name="_Toc58843033"/>
      <w:bookmarkStart w:id="8750" w:name="_Toc58876241"/>
      <w:bookmarkStart w:id="8751" w:name="_Toc58877654"/>
      <w:bookmarkStart w:id="8752" w:name="_Toc58914713"/>
      <w:bookmarkStart w:id="8753" w:name="_Toc58926014"/>
      <w:bookmarkStart w:id="8754" w:name="_Toc58930090"/>
      <w:bookmarkStart w:id="8755" w:name="_Toc58938249"/>
      <w:bookmarkStart w:id="8756" w:name="_Toc59007064"/>
      <w:bookmarkStart w:id="8757" w:name="_Toc59013539"/>
      <w:bookmarkStart w:id="8758" w:name="_Toc59013787"/>
      <w:bookmarkStart w:id="8759" w:name="_Toc59025853"/>
      <w:r>
        <w:rPr>
          <w:rFonts w:hint="cs"/>
          <w:rtl/>
        </w:rPr>
        <w:t>בדברי הרשב"ם</w:t>
      </w:r>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r>
        <w:rPr>
          <w:rFonts w:hint="cs"/>
          <w:rtl/>
        </w:rPr>
        <w:t xml:space="preserve"> דהכיר שאינה שלו</w:t>
      </w:r>
      <w:bookmarkEnd w:id="8759"/>
    </w:p>
    <w:p w:rsidR="0007171D" w:rsidRDefault="0007171D" w:rsidP="0007171D">
      <w:pPr>
        <w:pStyle w:val="1"/>
        <w:rPr>
          <w:rtl/>
        </w:rPr>
      </w:pPr>
      <w:bookmarkStart w:id="8760" w:name="_Toc57925969"/>
      <w:bookmarkStart w:id="8761" w:name="_Toc58091662"/>
      <w:bookmarkStart w:id="8762" w:name="_Toc58144929"/>
      <w:bookmarkStart w:id="8763" w:name="_Toc58272617"/>
      <w:bookmarkStart w:id="8764" w:name="_Toc58325053"/>
      <w:bookmarkStart w:id="8765" w:name="_Toc58359199"/>
      <w:bookmarkStart w:id="8766" w:name="_Toc58409460"/>
      <w:bookmarkStart w:id="8767" w:name="_Toc58432822"/>
      <w:bookmarkStart w:id="8768" w:name="_Toc58580025"/>
      <w:bookmarkStart w:id="8769" w:name="_Toc58843034"/>
      <w:bookmarkStart w:id="8770" w:name="_Toc58876242"/>
      <w:bookmarkStart w:id="8771" w:name="_Toc58877655"/>
      <w:bookmarkStart w:id="8772" w:name="_Toc58914714"/>
      <w:bookmarkStart w:id="8773" w:name="_Toc58926015"/>
      <w:bookmarkStart w:id="8774" w:name="_Toc58930091"/>
      <w:bookmarkStart w:id="8775" w:name="_Toc58938250"/>
      <w:bookmarkStart w:id="8776" w:name="_Toc59007065"/>
      <w:bookmarkStart w:id="8777" w:name="_Toc59013540"/>
      <w:bookmarkStart w:id="8778" w:name="_Toc59013788"/>
      <w:bookmarkStart w:id="8779" w:name="_Toc59025854"/>
      <w:r>
        <w:rPr>
          <w:rFonts w:hint="cs"/>
          <w:rtl/>
        </w:rPr>
        <w:t>ביאור הגרנ"פ ברשב"ם</w:t>
      </w:r>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r>
        <w:rPr>
          <w:rFonts w:hint="cs"/>
          <w:rtl/>
        </w:rPr>
        <w:t xml:space="preserve"> דחשיב שידע המחזיק שלא קנה המוכר</w:t>
      </w:r>
      <w:bookmarkEnd w:id="8779"/>
    </w:p>
    <w:p w:rsidR="0007171D" w:rsidRDefault="0007171D" w:rsidP="0007171D">
      <w:pPr>
        <w:pStyle w:val="a3"/>
        <w:rPr>
          <w:rtl/>
        </w:rPr>
      </w:pPr>
      <w:bookmarkStart w:id="8780" w:name="_Toc59025855"/>
      <w:r>
        <w:rPr>
          <w:rFonts w:hint="cs"/>
          <w:rtl/>
        </w:rPr>
        <w:t>קושיות הגרנ"פ על הרשב"ם דמה מהני השטר ועוד דהמחזיק אינו יודע שלא קנאה המוכר</w:t>
      </w:r>
      <w:bookmarkEnd w:id="8780"/>
    </w:p>
    <w:p w:rsidR="0007171D" w:rsidRDefault="0007171D" w:rsidP="007E4E81">
      <w:pPr>
        <w:pStyle w:val="a0"/>
        <w:rPr>
          <w:rtl/>
        </w:rPr>
      </w:pPr>
      <w:bookmarkStart w:id="8781" w:name="_Ref57824434"/>
      <w:r>
        <w:rPr>
          <w:rFonts w:hint="cs"/>
          <w:rtl/>
        </w:rPr>
        <w:t xml:space="preserve">במ"ש </w:t>
      </w:r>
      <w:r w:rsidRPr="00252137">
        <w:rPr>
          <w:rStyle w:val="af9"/>
          <w:rFonts w:hint="cs"/>
          <w:rtl/>
        </w:rPr>
        <w:t xml:space="preserve">הרשב"ם </w:t>
      </w:r>
      <w:r w:rsidRPr="00252137">
        <w:rPr>
          <w:rStyle w:val="af7"/>
          <w:rFonts w:eastAsia="Guttman Hodes" w:hint="cs"/>
          <w:rtl/>
        </w:rPr>
        <w:t xml:space="preserve">(עי' אות </w:t>
      </w:r>
      <w:r w:rsidRPr="00252137">
        <w:rPr>
          <w:rStyle w:val="af7"/>
          <w:rFonts w:eastAsia="Guttman Hodes"/>
          <w:rtl/>
        </w:rPr>
        <w:fldChar w:fldCharType="begin"/>
      </w:r>
      <w:r w:rsidRPr="00252137">
        <w:rPr>
          <w:rStyle w:val="af7"/>
          <w:rFonts w:eastAsia="Guttman Hodes"/>
          <w:rtl/>
        </w:rPr>
        <w:instrText xml:space="preserve"> </w:instrText>
      </w:r>
      <w:r w:rsidRPr="00252137">
        <w:rPr>
          <w:rStyle w:val="af7"/>
          <w:rFonts w:eastAsia="Guttman Hodes" w:hint="cs"/>
        </w:rPr>
        <w:instrText>REF</w:instrText>
      </w:r>
      <w:r w:rsidRPr="00252137">
        <w:rPr>
          <w:rStyle w:val="af7"/>
          <w:rFonts w:eastAsia="Guttman Hodes" w:hint="cs"/>
          <w:rtl/>
        </w:rPr>
        <w:instrText xml:space="preserve"> _</w:instrText>
      </w:r>
      <w:r w:rsidRPr="00252137">
        <w:rPr>
          <w:rStyle w:val="af7"/>
          <w:rFonts w:eastAsia="Guttman Hodes" w:hint="cs"/>
        </w:rPr>
        <w:instrText>Ref57824398 \r \h</w:instrText>
      </w:r>
      <w:r w:rsidRPr="00252137">
        <w:rPr>
          <w:rStyle w:val="af7"/>
          <w:rFonts w:eastAsia="Guttman Hodes"/>
          <w:rtl/>
        </w:rPr>
        <w:instrText xml:space="preserve"> </w:instrText>
      </w:r>
      <w:r w:rsidRPr="00252137">
        <w:rPr>
          <w:rStyle w:val="af7"/>
          <w:rFonts w:eastAsia="Guttman Hodes"/>
          <w:rtl/>
        </w:rPr>
      </w:r>
      <w:r w:rsidRPr="00252137">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252137">
        <w:rPr>
          <w:rStyle w:val="af7"/>
          <w:rFonts w:eastAsia="Guttman Hodes"/>
          <w:rtl/>
        </w:rPr>
        <w:fldChar w:fldCharType="end"/>
      </w:r>
      <w:r>
        <w:rPr>
          <w:rFonts w:hint="cs"/>
          <w:rtl/>
        </w:rPr>
        <w:t xml:space="preserve"> דכיון דלא טען המחזיק שהחזיק שני חזקה, א"כ השטר שלו </w:t>
      </w:r>
      <w:r w:rsidRPr="003A1D12">
        <w:rPr>
          <w:rStyle w:val="afb"/>
          <w:rFonts w:hint="cs"/>
          <w:rtl/>
        </w:rPr>
        <w:t xml:space="preserve">[שקנה מהמוכר] </w:t>
      </w:r>
      <w:r>
        <w:rPr>
          <w:rFonts w:hint="cs"/>
          <w:rtl/>
        </w:rPr>
        <w:t xml:space="preserve">עדיין בידו, הקשה </w:t>
      </w:r>
      <w:r w:rsidRPr="00252137">
        <w:rPr>
          <w:rStyle w:val="af9"/>
          <w:rFonts w:hint="cs"/>
          <w:rtl/>
        </w:rPr>
        <w:t>בחי' רבי נחום</w:t>
      </w:r>
      <w:r>
        <w:rPr>
          <w:rFonts w:hint="cs"/>
          <w:rtl/>
        </w:rPr>
        <w:t xml:space="preserve"> </w:t>
      </w:r>
      <w:r w:rsidRPr="00252137">
        <w:rPr>
          <w:rStyle w:val="af7"/>
          <w:rFonts w:eastAsia="Guttman Hodes" w:hint="cs"/>
          <w:rtl/>
        </w:rPr>
        <w:t>(או' נ"ח ד"ה בביאור)</w:t>
      </w:r>
      <w:r>
        <w:rPr>
          <w:rFonts w:hint="cs"/>
          <w:rtl/>
        </w:rPr>
        <w:t xml:space="preserve"> דלא מובן מה רצה </w:t>
      </w:r>
      <w:r w:rsidRPr="00252137">
        <w:rPr>
          <w:rStyle w:val="af9"/>
          <w:rFonts w:hint="cs"/>
          <w:rtl/>
        </w:rPr>
        <w:t>הרשב"ם</w:t>
      </w:r>
      <w:r>
        <w:rPr>
          <w:rFonts w:hint="cs"/>
          <w:rtl/>
        </w:rPr>
        <w:t xml:space="preserve"> לבאר בזה, </w:t>
      </w:r>
      <w:r w:rsidRPr="00A15ACC">
        <w:rPr>
          <w:rStyle w:val="afb"/>
          <w:rFonts w:hint="cs"/>
          <w:rtl/>
        </w:rPr>
        <w:t xml:space="preserve">[ועי' בדברי </w:t>
      </w:r>
      <w:r w:rsidRPr="00A15ACC">
        <w:rPr>
          <w:rStyle w:val="affa"/>
          <w:rFonts w:hint="cs"/>
          <w:rtl/>
        </w:rPr>
        <w:t>התוס' רי"ד</w:t>
      </w:r>
      <w:r w:rsidRPr="00A15ACC">
        <w:rPr>
          <w:rStyle w:val="afb"/>
          <w:rFonts w:hint="cs"/>
          <w:rtl/>
        </w:rPr>
        <w:t xml:space="preserve"> </w:t>
      </w:r>
      <w:r w:rsidRPr="00A15ACC">
        <w:rPr>
          <w:rStyle w:val="aff6"/>
          <w:rFonts w:hint="cs"/>
          <w:rtl/>
        </w:rPr>
        <w:t xml:space="preserve">(עי' אות </w:t>
      </w:r>
      <w:r w:rsidRPr="00A15ACC">
        <w:rPr>
          <w:rStyle w:val="aff6"/>
          <w:rtl/>
        </w:rPr>
        <w:fldChar w:fldCharType="begin"/>
      </w:r>
      <w:r w:rsidRPr="00A15ACC">
        <w:rPr>
          <w:rStyle w:val="aff6"/>
          <w:rtl/>
        </w:rPr>
        <w:instrText xml:space="preserve"> </w:instrText>
      </w:r>
      <w:r w:rsidRPr="00A15ACC">
        <w:rPr>
          <w:rStyle w:val="aff6"/>
          <w:rFonts w:hint="cs"/>
        </w:rPr>
        <w:instrText>REF</w:instrText>
      </w:r>
      <w:r w:rsidRPr="00A15ACC">
        <w:rPr>
          <w:rStyle w:val="aff6"/>
          <w:rFonts w:hint="cs"/>
          <w:rtl/>
        </w:rPr>
        <w:instrText xml:space="preserve"> _</w:instrText>
      </w:r>
      <w:r w:rsidRPr="00A15ACC">
        <w:rPr>
          <w:rStyle w:val="aff6"/>
          <w:rFonts w:hint="cs"/>
        </w:rPr>
        <w:instrText>Ref59015145 \r \h</w:instrText>
      </w:r>
      <w:r w:rsidRPr="00A15ACC">
        <w:rPr>
          <w:rStyle w:val="aff6"/>
          <w:rtl/>
        </w:rPr>
        <w:instrText xml:space="preserve"> </w:instrText>
      </w:r>
      <w:r w:rsidRPr="00A15ACC">
        <w:rPr>
          <w:rStyle w:val="aff6"/>
          <w:rtl/>
        </w:rPr>
      </w:r>
      <w:r w:rsidRPr="00A15ACC">
        <w:rPr>
          <w:rStyle w:val="aff6"/>
          <w:rtl/>
        </w:rPr>
        <w:fldChar w:fldCharType="separate"/>
      </w:r>
      <w:r w:rsidR="00265073">
        <w:rPr>
          <w:rStyle w:val="aff6"/>
          <w:cs/>
        </w:rPr>
        <w:t>‎</w:t>
      </w:r>
      <w:r w:rsidR="00265073">
        <w:rPr>
          <w:rStyle w:val="aff6"/>
          <w:rtl/>
        </w:rPr>
        <w:t>פ)</w:t>
      </w:r>
      <w:r w:rsidRPr="00A15ACC">
        <w:rPr>
          <w:rStyle w:val="aff6"/>
          <w:rtl/>
        </w:rPr>
        <w:fldChar w:fldCharType="end"/>
      </w:r>
      <w:r w:rsidRPr="00A15ACC">
        <w:rPr>
          <w:rStyle w:val="afb"/>
          <w:rFonts w:hint="cs"/>
          <w:rtl/>
        </w:rPr>
        <w:t>],</w:t>
      </w:r>
      <w:r>
        <w:rPr>
          <w:rFonts w:hint="cs"/>
          <w:rtl/>
        </w:rPr>
        <w:t xml:space="preserve"> וכן במ"ש </w:t>
      </w:r>
      <w:r w:rsidRPr="00252137">
        <w:rPr>
          <w:rStyle w:val="af9"/>
          <w:rFonts w:hint="cs"/>
          <w:rtl/>
        </w:rPr>
        <w:t>הרשב"ם</w:t>
      </w:r>
      <w:r>
        <w:rPr>
          <w:rFonts w:hint="cs"/>
          <w:rtl/>
        </w:rPr>
        <w:t xml:space="preserve"> </w:t>
      </w:r>
      <w:r w:rsidRPr="00A15ACC">
        <w:rPr>
          <w:rStyle w:val="af7"/>
          <w:rFonts w:eastAsia="Guttman Hodes" w:hint="cs"/>
          <w:rtl/>
        </w:rPr>
        <w:t xml:space="preserve">(עי' אות </w:t>
      </w:r>
      <w:r w:rsidRPr="00A15ACC">
        <w:rPr>
          <w:rStyle w:val="af7"/>
          <w:rFonts w:eastAsia="Guttman Hodes"/>
          <w:rtl/>
        </w:rPr>
        <w:fldChar w:fldCharType="begin"/>
      </w:r>
      <w:r w:rsidRPr="00A15ACC">
        <w:rPr>
          <w:rStyle w:val="af7"/>
          <w:rFonts w:eastAsia="Guttman Hodes"/>
          <w:rtl/>
        </w:rPr>
        <w:instrText xml:space="preserve"> </w:instrText>
      </w:r>
      <w:r w:rsidRPr="00A15ACC">
        <w:rPr>
          <w:rStyle w:val="af7"/>
          <w:rFonts w:eastAsia="Guttman Hodes" w:hint="cs"/>
        </w:rPr>
        <w:instrText>REF</w:instrText>
      </w:r>
      <w:r w:rsidRPr="00A15ACC">
        <w:rPr>
          <w:rStyle w:val="af7"/>
          <w:rFonts w:eastAsia="Guttman Hodes" w:hint="cs"/>
          <w:rtl/>
        </w:rPr>
        <w:instrText xml:space="preserve"> _</w:instrText>
      </w:r>
      <w:r w:rsidRPr="00A15ACC">
        <w:rPr>
          <w:rStyle w:val="af7"/>
          <w:rFonts w:eastAsia="Guttman Hodes" w:hint="cs"/>
        </w:rPr>
        <w:instrText>Ref58747348 \r \h</w:instrText>
      </w:r>
      <w:r w:rsidRPr="00A15ACC">
        <w:rPr>
          <w:rStyle w:val="af7"/>
          <w:rFonts w:eastAsia="Guttman Hodes"/>
          <w:rtl/>
        </w:rPr>
        <w:instrText xml:space="preserve"> </w:instrText>
      </w:r>
      <w:r w:rsidRPr="00A15ACC">
        <w:rPr>
          <w:rStyle w:val="af7"/>
          <w:rFonts w:eastAsia="Guttman Hodes"/>
          <w:rtl/>
        </w:rPr>
      </w:r>
      <w:r w:rsidRPr="00A15ACC">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A15ACC">
        <w:rPr>
          <w:rStyle w:val="af7"/>
          <w:rFonts w:eastAsia="Guttman Hodes"/>
          <w:rtl/>
        </w:rPr>
        <w:fldChar w:fldCharType="end"/>
      </w:r>
      <w:r>
        <w:rPr>
          <w:rFonts w:hint="cs"/>
          <w:rtl/>
        </w:rPr>
        <w:t xml:space="preserve"> דכיון שהמחזיק אינו יודע אם המוכר קנה מהמערער, חשיב כמי שמכיר בקרקע שאינה של המוכר ד</w:t>
      </w:r>
      <w:r w:rsidRPr="009B6555">
        <w:rPr>
          <w:rFonts w:hint="cs"/>
          <w:rtl/>
        </w:rPr>
        <w:t>ג</w:t>
      </w:r>
      <w:r>
        <w:rPr>
          <w:rFonts w:hint="cs"/>
          <w:rtl/>
        </w:rPr>
        <w:t>ו</w:t>
      </w:r>
      <w:r w:rsidRPr="009B6555">
        <w:rPr>
          <w:rFonts w:hint="cs"/>
          <w:rtl/>
        </w:rPr>
        <w:t>בה</w:t>
      </w:r>
      <w:r>
        <w:rPr>
          <w:rFonts w:hint="cs"/>
          <w:rtl/>
        </w:rPr>
        <w:t xml:space="preserve"> המחזיק</w:t>
      </w:r>
      <w:r w:rsidRPr="009B6555">
        <w:rPr>
          <w:rFonts w:hint="cs"/>
          <w:rtl/>
        </w:rPr>
        <w:t xml:space="preserve"> את מעות</w:t>
      </w:r>
      <w:r>
        <w:rPr>
          <w:rFonts w:hint="cs"/>
          <w:rtl/>
        </w:rPr>
        <w:t xml:space="preserve"> המכירה</w:t>
      </w:r>
      <w:r w:rsidRPr="009B6555">
        <w:rPr>
          <w:rFonts w:hint="cs"/>
          <w:rtl/>
        </w:rPr>
        <w:t xml:space="preserve"> מהמוכר</w:t>
      </w:r>
      <w:r>
        <w:rPr>
          <w:rFonts w:hint="cs"/>
          <w:rtl/>
        </w:rPr>
        <w:t xml:space="preserve">, הקשה </w:t>
      </w:r>
      <w:r w:rsidRPr="00252137">
        <w:rPr>
          <w:rStyle w:val="af9"/>
          <w:rFonts w:hint="cs"/>
          <w:rtl/>
        </w:rPr>
        <w:t>בחי' רבי נחום</w:t>
      </w:r>
      <w:r>
        <w:rPr>
          <w:rFonts w:hint="cs"/>
          <w:rtl/>
        </w:rPr>
        <w:t xml:space="preserve"> דכ"מ דקיי"ל בגמ' בב"מ</w:t>
      </w:r>
      <w:r w:rsidRPr="000423F6">
        <w:rPr>
          <w:rStyle w:val="af7"/>
          <w:rFonts w:eastAsia="Guttman Hodes" w:hint="cs"/>
          <w:rtl/>
        </w:rPr>
        <w:t xml:space="preserve"> (טו:) </w:t>
      </w:r>
      <w:r>
        <w:rPr>
          <w:rFonts w:hint="cs"/>
          <w:rtl/>
        </w:rPr>
        <w:t>דבהכיר הלוקח בשעת המכירה דהקרקע אינה של המוכר והיא גזולה בידו, דהמעות</w:t>
      </w:r>
      <w:r w:rsidRPr="00C66EDE">
        <w:rPr>
          <w:rFonts w:hint="cs"/>
          <w:rtl/>
        </w:rPr>
        <w:t xml:space="preserve"> היו פקדון</w:t>
      </w:r>
      <w:r>
        <w:rPr>
          <w:rFonts w:hint="cs"/>
          <w:rtl/>
        </w:rPr>
        <w:t>, וצריך להחזיר את המעות שהפקיד</w:t>
      </w:r>
      <w:r w:rsidRPr="00C66EDE">
        <w:rPr>
          <w:rFonts w:hint="cs"/>
          <w:rtl/>
        </w:rPr>
        <w:t>, זה</w:t>
      </w:r>
      <w:r>
        <w:rPr>
          <w:rFonts w:hint="cs"/>
          <w:rtl/>
        </w:rPr>
        <w:t>ו</w:t>
      </w:r>
      <w:r w:rsidRPr="00C66EDE">
        <w:rPr>
          <w:rFonts w:hint="cs"/>
          <w:rtl/>
        </w:rPr>
        <w:t xml:space="preserve"> דוקא </w:t>
      </w:r>
      <w:r>
        <w:rPr>
          <w:rFonts w:hint="cs"/>
          <w:rtl/>
        </w:rPr>
        <w:t>כיון</w:t>
      </w:r>
      <w:r w:rsidRPr="00C66EDE">
        <w:rPr>
          <w:rFonts w:hint="cs"/>
          <w:rtl/>
        </w:rPr>
        <w:t xml:space="preserve"> שידע הלוקח שהקרקע אינה של המוכר, אבל הכא שהמו</w:t>
      </w:r>
      <w:r>
        <w:rPr>
          <w:rFonts w:hint="cs"/>
          <w:rtl/>
        </w:rPr>
        <w:t>כר א"ל שקנה מהמרא קמא, והוא אינו יודע אם קנה או לא, ודאי דכוונתו לקנין גמור, ולא דמי למכיר שאינה של המוכר.</w:t>
      </w:r>
      <w:bookmarkEnd w:id="8781"/>
    </w:p>
    <w:p w:rsidR="0007171D" w:rsidRDefault="0007171D" w:rsidP="0007171D">
      <w:pPr>
        <w:pStyle w:val="a3"/>
        <w:rPr>
          <w:rtl/>
        </w:rPr>
      </w:pPr>
      <w:bookmarkStart w:id="8782" w:name="_Toc59025856"/>
      <w:r>
        <w:rPr>
          <w:rFonts w:hint="cs"/>
          <w:rtl/>
        </w:rPr>
        <w:t>ביאור הגרנ"פ ברשב"ם דכיון שאינו יודע אם קנה המוכר חשיב שידע דעדיין היא</w:t>
      </w:r>
      <w:r w:rsidRPr="004964E1">
        <w:rPr>
          <w:rFonts w:hint="cs"/>
          <w:rtl/>
        </w:rPr>
        <w:t xml:space="preserve"> </w:t>
      </w:r>
      <w:r>
        <w:rPr>
          <w:rFonts w:hint="cs"/>
          <w:rtl/>
        </w:rPr>
        <w:t>של המערער</w:t>
      </w:r>
      <w:bookmarkEnd w:id="8782"/>
    </w:p>
    <w:p w:rsidR="0007171D" w:rsidRDefault="0007171D" w:rsidP="007E4E81">
      <w:pPr>
        <w:pStyle w:val="a0"/>
        <w:rPr>
          <w:rStyle w:val="afb"/>
          <w:rtl/>
        </w:rPr>
      </w:pPr>
      <w:r>
        <w:rPr>
          <w:rFonts w:hint="cs"/>
          <w:rtl/>
        </w:rPr>
        <w:t xml:space="preserve">וכתב </w:t>
      </w:r>
      <w:r w:rsidRPr="000410DA">
        <w:rPr>
          <w:rStyle w:val="af9"/>
          <w:rFonts w:hint="cs"/>
          <w:rtl/>
        </w:rPr>
        <w:t>בחי' רבי נחום</w:t>
      </w:r>
      <w:r>
        <w:rPr>
          <w:rFonts w:hint="cs"/>
          <w:rtl/>
        </w:rPr>
        <w:t xml:space="preserve"> </w:t>
      </w:r>
      <w:r w:rsidRPr="000410DA">
        <w:rPr>
          <w:rStyle w:val="af7"/>
          <w:rFonts w:eastAsia="Guttman Hodes" w:hint="cs"/>
          <w:rtl/>
        </w:rPr>
        <w:t>(או נ"ח ד"ה ולכ' מבואר)</w:t>
      </w:r>
      <w:r>
        <w:rPr>
          <w:rFonts w:hint="cs"/>
          <w:rtl/>
        </w:rPr>
        <w:t xml:space="preserve"> דלכאורה משמע חידוש מדברי </w:t>
      </w:r>
      <w:r w:rsidRPr="000410DA">
        <w:rPr>
          <w:rStyle w:val="af9"/>
          <w:rFonts w:hint="cs"/>
          <w:rtl/>
        </w:rPr>
        <w:t>הרשב"ם</w:t>
      </w:r>
      <w:r>
        <w:rPr>
          <w:rFonts w:hint="cs"/>
          <w:rtl/>
        </w:rPr>
        <w:t xml:space="preserve"> דס"ל דכל שהמחזיק אינו יודע אם המוכר קנה מהמרא קמא או שלא קנה ממנו, כל שהוא יודע דבתחילה הייתה הקרקע ברשות המרא קמא ולא החזיק בה המוכר ג"ש, היה לו להבין שהקרקע היא </w:t>
      </w:r>
      <w:r w:rsidRPr="000423F6">
        <w:rPr>
          <w:rFonts w:hint="cs"/>
          <w:rtl/>
        </w:rPr>
        <w:t>שייכת למרא קמא, ולכן חשיב שקנה קרקע שהכיר בה שאינה שלו, ו</w:t>
      </w:r>
      <w:r>
        <w:rPr>
          <w:rFonts w:hint="cs"/>
          <w:rtl/>
        </w:rPr>
        <w:t xml:space="preserve">ממילא </w:t>
      </w:r>
      <w:r w:rsidRPr="000423F6">
        <w:rPr>
          <w:rFonts w:hint="cs"/>
          <w:rtl/>
        </w:rPr>
        <w:t xml:space="preserve">המעות </w:t>
      </w:r>
      <w:r>
        <w:rPr>
          <w:rFonts w:hint="cs"/>
          <w:rtl/>
        </w:rPr>
        <w:t>הם כ</w:t>
      </w:r>
      <w:r w:rsidRPr="000423F6">
        <w:rPr>
          <w:rFonts w:hint="cs"/>
          <w:rtl/>
        </w:rPr>
        <w:t>פקדון,</w:t>
      </w:r>
      <w:r w:rsidRPr="000410DA">
        <w:rPr>
          <w:rStyle w:val="afb"/>
          <w:rFonts w:hint="cs"/>
          <w:rtl/>
        </w:rPr>
        <w:t xml:space="preserve"> </w:t>
      </w:r>
      <w:r>
        <w:rPr>
          <w:rFonts w:hint="cs"/>
          <w:rtl/>
        </w:rPr>
        <w:t xml:space="preserve">וכתב </w:t>
      </w:r>
      <w:r w:rsidRPr="000410DA">
        <w:rPr>
          <w:rStyle w:val="af9"/>
          <w:rFonts w:hint="cs"/>
          <w:rtl/>
        </w:rPr>
        <w:t>בחי' רבי נחום</w:t>
      </w:r>
      <w:r>
        <w:rPr>
          <w:rFonts w:hint="cs"/>
          <w:rtl/>
        </w:rPr>
        <w:t xml:space="preserve"> דלפי"ז כוונת </w:t>
      </w:r>
      <w:r w:rsidRPr="000410DA">
        <w:rPr>
          <w:rStyle w:val="af9"/>
          <w:rFonts w:hint="cs"/>
          <w:rtl/>
        </w:rPr>
        <w:t>הרשב"ם</w:t>
      </w:r>
      <w:r>
        <w:rPr>
          <w:rFonts w:hint="cs"/>
          <w:rtl/>
        </w:rPr>
        <w:t xml:space="preserve"> לומר דמלבד מה שהב"ד אינם מקבלים את טענת המחזיק דהמוכר קנה מהמערער, ה"ה דהלוקח עצמו לא היה צריך להאמין למוכר בזה, והיה לו להבין שהקרקע שייכת למרא קמא, ולכן חשיב כהכיר בה שאינה שלו</w:t>
      </w:r>
      <w:r>
        <w:rPr>
          <w:rStyle w:val="af1"/>
          <w:rtl/>
        </w:rPr>
        <w:footnoteReference w:id="61"/>
      </w:r>
      <w:r>
        <w:rPr>
          <w:rFonts w:hint="cs"/>
          <w:rtl/>
        </w:rPr>
        <w:t xml:space="preserve">. </w:t>
      </w:r>
      <w:r w:rsidRPr="00F8470C">
        <w:rPr>
          <w:rStyle w:val="afb"/>
          <w:rFonts w:hint="cs"/>
          <w:rtl/>
        </w:rPr>
        <w:t xml:space="preserve">[ועי' בדברי </w:t>
      </w:r>
      <w:r w:rsidRPr="00F8470C">
        <w:rPr>
          <w:rStyle w:val="affa"/>
          <w:rFonts w:hint="cs"/>
          <w:rtl/>
        </w:rPr>
        <w:t>התוס' רי"ד</w:t>
      </w:r>
      <w:r w:rsidRPr="00F8470C">
        <w:rPr>
          <w:rStyle w:val="afb"/>
          <w:rFonts w:hint="cs"/>
          <w:rtl/>
        </w:rPr>
        <w:t xml:space="preserve"> </w:t>
      </w:r>
      <w:r w:rsidRPr="00F8470C">
        <w:rPr>
          <w:rStyle w:val="aff6"/>
          <w:rFonts w:hint="cs"/>
          <w:rtl/>
        </w:rPr>
        <w:t xml:space="preserve">(עי' אות </w:t>
      </w:r>
      <w:r w:rsidRPr="00F8470C">
        <w:rPr>
          <w:rStyle w:val="aff6"/>
          <w:rtl/>
        </w:rPr>
        <w:fldChar w:fldCharType="begin"/>
      </w:r>
      <w:r w:rsidRPr="00F8470C">
        <w:rPr>
          <w:rStyle w:val="aff6"/>
          <w:rtl/>
        </w:rPr>
        <w:instrText xml:space="preserve"> </w:instrText>
      </w:r>
      <w:r w:rsidRPr="00F8470C">
        <w:rPr>
          <w:rStyle w:val="aff6"/>
          <w:rFonts w:hint="cs"/>
        </w:rPr>
        <w:instrText>REF</w:instrText>
      </w:r>
      <w:r w:rsidRPr="00F8470C">
        <w:rPr>
          <w:rStyle w:val="aff6"/>
          <w:rFonts w:hint="cs"/>
          <w:rtl/>
        </w:rPr>
        <w:instrText xml:space="preserve"> _</w:instrText>
      </w:r>
      <w:r w:rsidRPr="00F8470C">
        <w:rPr>
          <w:rStyle w:val="aff6"/>
          <w:rFonts w:hint="cs"/>
        </w:rPr>
        <w:instrText>Ref58320315 \r \h</w:instrText>
      </w:r>
      <w:r w:rsidRPr="00F8470C">
        <w:rPr>
          <w:rStyle w:val="aff6"/>
          <w:rtl/>
        </w:rPr>
        <w:instrText xml:space="preserve"> </w:instrText>
      </w:r>
      <w:r w:rsidRPr="00F8470C">
        <w:rPr>
          <w:rStyle w:val="aff6"/>
          <w:rtl/>
        </w:rPr>
      </w:r>
      <w:r w:rsidRPr="00F8470C">
        <w:rPr>
          <w:rStyle w:val="aff6"/>
          <w:rtl/>
        </w:rPr>
        <w:fldChar w:fldCharType="separate"/>
      </w:r>
      <w:r w:rsidR="00265073">
        <w:rPr>
          <w:rStyle w:val="aff6"/>
          <w:cs/>
        </w:rPr>
        <w:t>‎</w:t>
      </w:r>
      <w:r w:rsidR="00265073">
        <w:rPr>
          <w:rStyle w:val="aff6"/>
          <w:rtl/>
        </w:rPr>
        <w:t>פד)</w:t>
      </w:r>
      <w:r w:rsidRPr="00F8470C">
        <w:rPr>
          <w:rStyle w:val="aff6"/>
          <w:rtl/>
        </w:rPr>
        <w:fldChar w:fldCharType="end"/>
      </w:r>
      <w:r w:rsidRPr="00F8470C">
        <w:rPr>
          <w:rStyle w:val="afb"/>
          <w:rFonts w:hint="cs"/>
          <w:rtl/>
        </w:rPr>
        <w:t xml:space="preserve"> דכתב דכל שלא ביקש</w:t>
      </w:r>
      <w:r>
        <w:rPr>
          <w:rStyle w:val="afb"/>
          <w:rFonts w:hint="cs"/>
          <w:rtl/>
        </w:rPr>
        <w:t xml:space="preserve"> </w:t>
      </w:r>
      <w:r w:rsidRPr="00F8470C">
        <w:rPr>
          <w:rStyle w:val="afb"/>
          <w:rFonts w:hint="cs"/>
          <w:rtl/>
        </w:rPr>
        <w:t>הלוקח מהמוכר שטר שקנאה מהמערער, הוא פשע בעצמו].</w:t>
      </w:r>
    </w:p>
    <w:p w:rsidR="0007171D" w:rsidRDefault="0007171D" w:rsidP="0007171D">
      <w:pPr>
        <w:pStyle w:val="a3"/>
        <w:rPr>
          <w:rtl/>
        </w:rPr>
      </w:pPr>
      <w:bookmarkStart w:id="8783" w:name="_Toc59025857"/>
      <w:r>
        <w:rPr>
          <w:rFonts w:hint="cs"/>
          <w:rtl/>
        </w:rPr>
        <w:t>דברי הגרנ"פ דלרשב"ם ל"ק קו' רבינו יונה דהפסיד לעצמו דבהכיר שאינה שלו המעות כפקדון</w:t>
      </w:r>
      <w:bookmarkEnd w:id="8783"/>
    </w:p>
    <w:p w:rsidR="0007171D" w:rsidRDefault="0007171D" w:rsidP="007E4E81">
      <w:pPr>
        <w:pStyle w:val="a0"/>
        <w:rPr>
          <w:rtl/>
        </w:rPr>
      </w:pPr>
      <w:bookmarkStart w:id="8784" w:name="_Ref57824456"/>
      <w:r>
        <w:rPr>
          <w:rFonts w:hint="cs"/>
          <w:rtl/>
        </w:rPr>
        <w:t xml:space="preserve">והביא </w:t>
      </w:r>
      <w:r w:rsidRPr="000410DA">
        <w:rPr>
          <w:rStyle w:val="af9"/>
          <w:rFonts w:hint="cs"/>
          <w:rtl/>
        </w:rPr>
        <w:t>בחי' רבי נחום</w:t>
      </w:r>
      <w:r>
        <w:rPr>
          <w:rFonts w:hint="cs"/>
          <w:rtl/>
        </w:rPr>
        <w:t xml:space="preserve"> </w:t>
      </w:r>
      <w:r w:rsidRPr="000410DA">
        <w:rPr>
          <w:rStyle w:val="af7"/>
          <w:rFonts w:eastAsia="Guttman Hodes" w:hint="cs"/>
          <w:rtl/>
        </w:rPr>
        <w:t>(או נ"ח ד"ה והנה ברבינו)</w:t>
      </w:r>
      <w:r>
        <w:rPr>
          <w:rFonts w:hint="cs"/>
          <w:rtl/>
        </w:rPr>
        <w:t xml:space="preserve"> את דברי </w:t>
      </w:r>
      <w:r w:rsidRPr="000410DA">
        <w:rPr>
          <w:rStyle w:val="af9"/>
          <w:rFonts w:hint="cs"/>
          <w:rtl/>
        </w:rPr>
        <w:t>רבינו יונה</w:t>
      </w:r>
      <w:r>
        <w:rPr>
          <w:rFonts w:hint="cs"/>
          <w:rtl/>
        </w:rPr>
        <w:t xml:space="preserve"> </w:t>
      </w:r>
      <w:r w:rsidRPr="00E960D5">
        <w:rPr>
          <w:rStyle w:val="af7"/>
          <w:rFonts w:eastAsia="Guttman Hodes" w:hint="cs"/>
          <w:rtl/>
        </w:rPr>
        <w:t xml:space="preserve">(עי' אות </w:t>
      </w:r>
      <w:r w:rsidRPr="00E960D5">
        <w:rPr>
          <w:rStyle w:val="af7"/>
          <w:rFonts w:eastAsia="Guttman Hodes"/>
          <w:rtl/>
        </w:rPr>
        <w:fldChar w:fldCharType="begin"/>
      </w:r>
      <w:r w:rsidRPr="00E960D5">
        <w:rPr>
          <w:rStyle w:val="af7"/>
          <w:rFonts w:eastAsia="Guttman Hodes"/>
          <w:rtl/>
        </w:rPr>
        <w:instrText xml:space="preserve"> </w:instrText>
      </w:r>
      <w:r w:rsidRPr="00E960D5">
        <w:rPr>
          <w:rStyle w:val="af7"/>
          <w:rFonts w:eastAsia="Guttman Hodes" w:hint="cs"/>
        </w:rPr>
        <w:instrText>REF</w:instrText>
      </w:r>
      <w:r w:rsidRPr="00E960D5">
        <w:rPr>
          <w:rStyle w:val="af7"/>
          <w:rFonts w:eastAsia="Guttman Hodes" w:hint="cs"/>
          <w:rtl/>
        </w:rPr>
        <w:instrText xml:space="preserve"> _</w:instrText>
      </w:r>
      <w:r w:rsidRPr="00E960D5">
        <w:rPr>
          <w:rStyle w:val="af7"/>
          <w:rFonts w:eastAsia="Guttman Hodes" w:hint="cs"/>
        </w:rPr>
        <w:instrText>Ref57823117 \r \h</w:instrText>
      </w:r>
      <w:r w:rsidRPr="00E960D5">
        <w:rPr>
          <w:rStyle w:val="af7"/>
          <w:rFonts w:eastAsia="Guttman Hodes"/>
          <w:rtl/>
        </w:rPr>
        <w:instrText xml:space="preserve"> </w:instrText>
      </w:r>
      <w:r w:rsidRPr="00E960D5">
        <w:rPr>
          <w:rStyle w:val="af7"/>
          <w:rFonts w:eastAsia="Guttman Hodes"/>
          <w:rtl/>
        </w:rPr>
      </w:r>
      <w:r w:rsidRPr="00E960D5">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E960D5">
        <w:rPr>
          <w:rStyle w:val="af7"/>
          <w:rFonts w:eastAsia="Guttman Hodes"/>
          <w:rtl/>
        </w:rPr>
        <w:fldChar w:fldCharType="end"/>
      </w:r>
      <w:r>
        <w:rPr>
          <w:rFonts w:hint="cs"/>
          <w:rtl/>
        </w:rPr>
        <w:t xml:space="preserve"> דכתב דהמוכר א"צ לשלם למחזיק, דטוען לו שרק מחמת שהודה הוציאו ממנו ואיהו דאפסיד אנפשיה, וכתב </w:t>
      </w:r>
      <w:r w:rsidRPr="00E960D5">
        <w:rPr>
          <w:rStyle w:val="af9"/>
          <w:rFonts w:hint="cs"/>
          <w:rtl/>
        </w:rPr>
        <w:t>בחי' רבי נחום</w:t>
      </w:r>
      <w:r>
        <w:rPr>
          <w:rFonts w:hint="cs"/>
          <w:rtl/>
        </w:rPr>
        <w:t xml:space="preserve"> דלפי דברי </w:t>
      </w:r>
      <w:r w:rsidRPr="000410DA">
        <w:rPr>
          <w:rStyle w:val="af9"/>
          <w:rFonts w:hint="cs"/>
          <w:rtl/>
        </w:rPr>
        <w:t>הרשב"ם</w:t>
      </w:r>
      <w:r>
        <w:rPr>
          <w:rFonts w:hint="cs"/>
          <w:rtl/>
        </w:rPr>
        <w:t xml:space="preserve"> דחשיב כהכיר המחזיק שאין הקרקע של המוכר, א"כ לא קשה על </w:t>
      </w:r>
      <w:r w:rsidRPr="000410DA">
        <w:rPr>
          <w:rStyle w:val="af9"/>
          <w:rFonts w:hint="cs"/>
          <w:rtl/>
        </w:rPr>
        <w:t>הרשב"ם</w:t>
      </w:r>
      <w:r>
        <w:rPr>
          <w:rFonts w:hint="cs"/>
          <w:rtl/>
        </w:rPr>
        <w:t xml:space="preserve"> מדברי </w:t>
      </w:r>
      <w:r w:rsidRPr="000410DA">
        <w:rPr>
          <w:rStyle w:val="af9"/>
          <w:rFonts w:hint="cs"/>
          <w:rtl/>
        </w:rPr>
        <w:t>רבינו יונה</w:t>
      </w:r>
      <w:r>
        <w:rPr>
          <w:rFonts w:hint="cs"/>
          <w:rtl/>
        </w:rPr>
        <w:t xml:space="preserve"> דמחזיק הפסיד לעצמו, דסברא זו שייכא באופן שהמחזיק תובע את המוכר מדין אחריות, אבל הכא קיי"ל בגמ' בב"מ </w:t>
      </w:r>
      <w:r w:rsidRPr="000423F6">
        <w:rPr>
          <w:rStyle w:val="af7"/>
          <w:rFonts w:eastAsia="Guttman Hodes" w:hint="cs"/>
          <w:rtl/>
        </w:rPr>
        <w:t>(טו:)</w:t>
      </w:r>
      <w:r>
        <w:rPr>
          <w:rFonts w:hint="cs"/>
          <w:rtl/>
        </w:rPr>
        <w:t xml:space="preserve"> דכל שהכיר בה שאינה של המוכר, </w:t>
      </w:r>
      <w:r>
        <w:rPr>
          <w:rFonts w:hint="cs"/>
          <w:rtl/>
        </w:rPr>
        <w:t>א"כ אמרינן דנתן לו את המעות כפקדון, ולא היה מקח מעיקרא, דמתחילה ידע שאינה שלו.</w:t>
      </w:r>
      <w:bookmarkEnd w:id="8784"/>
    </w:p>
    <w:p w:rsidR="0007171D" w:rsidRDefault="0007171D" w:rsidP="0007171D">
      <w:pPr>
        <w:pStyle w:val="afe"/>
        <w:rPr>
          <w:noProof/>
          <w:rtl/>
        </w:rPr>
      </w:pPr>
      <w:bookmarkStart w:id="8785" w:name="_Toc59025860"/>
      <w:r>
        <w:rPr>
          <w:noProof/>
          <w:rtl/>
        </w:rPr>
        <w:t>בדברי הרא"ש</w:t>
      </w:r>
      <w:r>
        <w:rPr>
          <w:rFonts w:hint="cs"/>
          <w:noProof/>
          <w:rtl/>
        </w:rPr>
        <w:t xml:space="preserve"> בדין מיגו דלהד"ם</w:t>
      </w:r>
    </w:p>
    <w:p w:rsidR="0007171D" w:rsidRDefault="0007171D" w:rsidP="0007171D">
      <w:pPr>
        <w:pStyle w:val="1"/>
        <w:rPr>
          <w:rtl/>
        </w:rPr>
      </w:pPr>
      <w:r>
        <w:rPr>
          <w:rFonts w:hint="cs"/>
          <w:noProof/>
          <w:rtl/>
        </w:rPr>
        <w:t>ביאור הגרנ"ט בהודאת ונאמנות המחזיק להרא"ש</w:t>
      </w:r>
    </w:p>
    <w:p w:rsidR="0007171D" w:rsidRDefault="0007171D" w:rsidP="0007171D">
      <w:pPr>
        <w:pStyle w:val="a3"/>
        <w:rPr>
          <w:rtl/>
        </w:rPr>
      </w:pPr>
      <w:r>
        <w:rPr>
          <w:rFonts w:hint="cs"/>
          <w:rtl/>
        </w:rPr>
        <w:t>ביאור הגרנ"ט בקו' הרא"ש דכיון שלא הודה מעצמו נאמן המחזיק מכח המוכר בלא דין טענינן</w:t>
      </w:r>
      <w:bookmarkEnd w:id="8785"/>
    </w:p>
    <w:p w:rsidR="0007171D" w:rsidRDefault="0007171D" w:rsidP="007E4E81">
      <w:pPr>
        <w:pStyle w:val="a0"/>
        <w:rPr>
          <w:rStyle w:val="afb"/>
          <w:rtl/>
        </w:rPr>
      </w:pPr>
      <w:bookmarkStart w:id="8786" w:name="_Ref58836409"/>
      <w:r>
        <w:rPr>
          <w:rFonts w:hint="cs"/>
          <w:rtl/>
        </w:rPr>
        <w:t xml:space="preserve">במה שהקשה </w:t>
      </w:r>
      <w:r w:rsidRPr="007028BB">
        <w:rPr>
          <w:rStyle w:val="af9"/>
          <w:rFonts w:hint="cs"/>
          <w:rtl/>
        </w:rPr>
        <w:t>הרא"ש</w:t>
      </w:r>
      <w:r>
        <w:rPr>
          <w:rFonts w:hint="cs"/>
          <w:rtl/>
        </w:rPr>
        <w:t xml:space="preserve"> </w:t>
      </w:r>
      <w:r w:rsidRPr="00E80FFF">
        <w:rPr>
          <w:rStyle w:val="af7"/>
          <w:rFonts w:eastAsia="Guttman Hodes" w:hint="cs"/>
          <w:rtl/>
        </w:rPr>
        <w:t xml:space="preserve">(עי' אות </w:t>
      </w:r>
      <w:r w:rsidRPr="00E80FFF">
        <w:rPr>
          <w:rStyle w:val="af7"/>
          <w:rFonts w:eastAsia="Guttman Hodes"/>
          <w:rtl/>
        </w:rPr>
        <w:fldChar w:fldCharType="begin"/>
      </w:r>
      <w:r w:rsidRPr="00E80FFF">
        <w:rPr>
          <w:rStyle w:val="af7"/>
          <w:rFonts w:eastAsia="Guttman Hodes"/>
          <w:rtl/>
        </w:rPr>
        <w:instrText xml:space="preserve"> </w:instrText>
      </w:r>
      <w:r w:rsidRPr="00E80FFF">
        <w:rPr>
          <w:rStyle w:val="af7"/>
          <w:rFonts w:eastAsia="Guttman Hodes" w:hint="cs"/>
        </w:rPr>
        <w:instrText>REF</w:instrText>
      </w:r>
      <w:r w:rsidRPr="00E80FFF">
        <w:rPr>
          <w:rStyle w:val="af7"/>
          <w:rFonts w:eastAsia="Guttman Hodes" w:hint="cs"/>
          <w:rtl/>
        </w:rPr>
        <w:instrText xml:space="preserve"> _</w:instrText>
      </w:r>
      <w:r w:rsidRPr="00E80FFF">
        <w:rPr>
          <w:rStyle w:val="af7"/>
          <w:rFonts w:eastAsia="Guttman Hodes" w:hint="cs"/>
        </w:rPr>
        <w:instrText>Ref58834676 \r \h</w:instrText>
      </w:r>
      <w:r w:rsidRPr="00E80FFF">
        <w:rPr>
          <w:rStyle w:val="af7"/>
          <w:rFonts w:eastAsia="Guttman Hodes"/>
          <w:rtl/>
        </w:rPr>
        <w:instrText xml:space="preserve"> </w:instrText>
      </w:r>
      <w:r w:rsidRPr="00E80FFF">
        <w:rPr>
          <w:rStyle w:val="af7"/>
          <w:rFonts w:eastAsia="Guttman Hodes"/>
          <w:rtl/>
        </w:rPr>
      </w:r>
      <w:r w:rsidRPr="00E80FFF">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E80FFF">
        <w:rPr>
          <w:rStyle w:val="af7"/>
          <w:rFonts w:eastAsia="Guttman Hodes"/>
          <w:rtl/>
        </w:rPr>
        <w:fldChar w:fldCharType="end"/>
      </w:r>
      <w:r w:rsidRPr="00E80FFF">
        <w:rPr>
          <w:rStyle w:val="af7"/>
          <w:rFonts w:eastAsia="Guttman Hodes" w:hint="cs"/>
          <w:rtl/>
        </w:rPr>
        <w:t xml:space="preserve"> </w:t>
      </w:r>
      <w:r>
        <w:rPr>
          <w:rFonts w:hint="cs"/>
          <w:rtl/>
        </w:rPr>
        <w:t xml:space="preserve">דאם היה המוכר לפנינו, היה נאמן במיגו דלא הייתה שלך מעולם, א"כ אף המחזיק שבא מכחו, ג"כ צריך להיות נאמן </w:t>
      </w:r>
      <w:r w:rsidRPr="009307A2">
        <w:rPr>
          <w:rFonts w:hint="cs"/>
          <w:rtl/>
        </w:rPr>
        <w:t>בטענה זו,</w:t>
      </w:r>
      <w:r>
        <w:rPr>
          <w:rFonts w:hint="cs"/>
          <w:rtl/>
        </w:rPr>
        <w:t xml:space="preserve"> ביאר </w:t>
      </w:r>
      <w:r w:rsidRPr="003962E2">
        <w:rPr>
          <w:rStyle w:val="af9"/>
          <w:rFonts w:hint="cs"/>
          <w:rtl/>
        </w:rPr>
        <w:t>הגרנ"ט</w:t>
      </w:r>
      <w:r>
        <w:rPr>
          <w:rFonts w:hint="cs"/>
          <w:rtl/>
        </w:rPr>
        <w:t xml:space="preserve"> </w:t>
      </w:r>
      <w:r w:rsidRPr="003962E2">
        <w:rPr>
          <w:rStyle w:val="af7"/>
          <w:rFonts w:eastAsia="Guttman Hodes" w:hint="cs"/>
          <w:rtl/>
        </w:rPr>
        <w:t xml:space="preserve">(סי' קע"ו ד"ה והקשה) </w:t>
      </w:r>
      <w:r>
        <w:rPr>
          <w:rFonts w:hint="cs"/>
          <w:rtl/>
        </w:rPr>
        <w:t xml:space="preserve">דקושייתו היא לפי מה שביאר </w:t>
      </w:r>
      <w:r w:rsidRPr="003962E2">
        <w:rPr>
          <w:rStyle w:val="af9"/>
          <w:rFonts w:hint="cs"/>
          <w:rtl/>
        </w:rPr>
        <w:t>הרא"ש</w:t>
      </w:r>
      <w:r>
        <w:rPr>
          <w:rFonts w:hint="cs"/>
          <w:rtl/>
        </w:rPr>
        <w:t xml:space="preserve"> </w:t>
      </w:r>
      <w:r w:rsidRPr="003962E2">
        <w:rPr>
          <w:rStyle w:val="af7"/>
          <w:rFonts w:eastAsia="Guttman Hodes" w:hint="cs"/>
          <w:rtl/>
        </w:rPr>
        <w:t xml:space="preserve">(עי' אות </w:t>
      </w:r>
      <w:r w:rsidRPr="003962E2">
        <w:rPr>
          <w:rStyle w:val="af7"/>
          <w:rFonts w:eastAsia="Guttman Hodes"/>
          <w:rtl/>
        </w:rPr>
        <w:fldChar w:fldCharType="begin"/>
      </w:r>
      <w:r w:rsidRPr="003962E2">
        <w:rPr>
          <w:rStyle w:val="af7"/>
          <w:rFonts w:eastAsia="Guttman Hodes"/>
          <w:rtl/>
        </w:rPr>
        <w:instrText xml:space="preserve"> </w:instrText>
      </w:r>
      <w:r w:rsidRPr="003962E2">
        <w:rPr>
          <w:rStyle w:val="af7"/>
          <w:rFonts w:eastAsia="Guttman Hodes" w:hint="cs"/>
        </w:rPr>
        <w:instrText>REF</w:instrText>
      </w:r>
      <w:r w:rsidRPr="003962E2">
        <w:rPr>
          <w:rStyle w:val="af7"/>
          <w:rFonts w:eastAsia="Guttman Hodes" w:hint="cs"/>
          <w:rtl/>
        </w:rPr>
        <w:instrText xml:space="preserve"> _</w:instrText>
      </w:r>
      <w:r w:rsidRPr="003962E2">
        <w:rPr>
          <w:rStyle w:val="af7"/>
          <w:rFonts w:eastAsia="Guttman Hodes" w:hint="cs"/>
        </w:rPr>
        <w:instrText>Ref58750729 \r \h</w:instrText>
      </w:r>
      <w:r w:rsidRPr="003962E2">
        <w:rPr>
          <w:rStyle w:val="af7"/>
          <w:rFonts w:eastAsia="Guttman Hodes"/>
          <w:rtl/>
        </w:rPr>
        <w:instrText xml:space="preserve"> </w:instrText>
      </w:r>
      <w:r w:rsidRPr="003962E2">
        <w:rPr>
          <w:rStyle w:val="af7"/>
          <w:rFonts w:eastAsia="Guttman Hodes"/>
          <w:rtl/>
        </w:rPr>
      </w:r>
      <w:r w:rsidRPr="003962E2">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3962E2">
        <w:rPr>
          <w:rStyle w:val="af7"/>
          <w:rFonts w:eastAsia="Guttman Hodes"/>
          <w:rtl/>
        </w:rPr>
        <w:fldChar w:fldCharType="end"/>
      </w:r>
      <w:r>
        <w:rPr>
          <w:rFonts w:hint="cs"/>
          <w:rtl/>
        </w:rPr>
        <w:t xml:space="preserve"> דהמחזיק לא הודה מעצמו שהקרקע הייתה של המערער, אלא שאמר המחזיק שכך אמר לו המוכר,</w:t>
      </w:r>
      <w:r w:rsidRPr="00E80FFF">
        <w:rPr>
          <w:rStyle w:val="af7"/>
          <w:rFonts w:eastAsia="Guttman Hodes" w:hint="cs"/>
          <w:rtl/>
        </w:rPr>
        <w:t xml:space="preserve"> </w:t>
      </w:r>
      <w:r>
        <w:rPr>
          <w:rFonts w:hint="cs"/>
          <w:rtl/>
        </w:rPr>
        <w:t xml:space="preserve">וא"כ קשה דכיון שהמחזיק בא מכח המוכר הוא צריך להיות נאמן בטענת המוכר, וכתב </w:t>
      </w:r>
      <w:r w:rsidRPr="003962E2">
        <w:rPr>
          <w:rStyle w:val="af9"/>
          <w:rFonts w:hint="cs"/>
          <w:rtl/>
        </w:rPr>
        <w:t>הגרנ"ט</w:t>
      </w:r>
      <w:r>
        <w:rPr>
          <w:rFonts w:hint="cs"/>
          <w:rtl/>
        </w:rPr>
        <w:t xml:space="preserve"> דכוונת </w:t>
      </w:r>
      <w:r w:rsidRPr="003962E2">
        <w:rPr>
          <w:rStyle w:val="af9"/>
          <w:rFonts w:hint="cs"/>
          <w:rtl/>
        </w:rPr>
        <w:t>הרא"ש</w:t>
      </w:r>
      <w:r>
        <w:rPr>
          <w:rFonts w:hint="cs"/>
          <w:rtl/>
        </w:rPr>
        <w:t xml:space="preserve"> להקשות דהמחזיק יהיה נאמן אף בלא דין טענינן, דחשיב כאילו המוכר נמצא לפנינו וטוען, דהא המחזיק רק מביא את דברי המוכר, ולכן צריך להאמינו במיגו שנאמן בו המוכר. </w:t>
      </w:r>
      <w:r w:rsidRPr="00E80FFF">
        <w:rPr>
          <w:rStyle w:val="afb"/>
          <w:rFonts w:hint="cs"/>
          <w:rtl/>
        </w:rPr>
        <w:t xml:space="preserve">[וכתב </w:t>
      </w:r>
      <w:r w:rsidRPr="003962E2">
        <w:rPr>
          <w:rStyle w:val="affa"/>
          <w:rFonts w:hint="cs"/>
          <w:rtl/>
        </w:rPr>
        <w:t>הגרנ"ט</w:t>
      </w:r>
      <w:r w:rsidRPr="00E80FFF">
        <w:rPr>
          <w:rStyle w:val="afb"/>
          <w:rFonts w:hint="cs"/>
          <w:rtl/>
        </w:rPr>
        <w:t xml:space="preserve"> דעל זה הביא </w:t>
      </w:r>
      <w:r w:rsidRPr="003962E2">
        <w:rPr>
          <w:rStyle w:val="affa"/>
          <w:rFonts w:hint="cs"/>
          <w:rtl/>
        </w:rPr>
        <w:t>הרא"ש</w:t>
      </w:r>
      <w:r w:rsidRPr="00E80FFF">
        <w:rPr>
          <w:rStyle w:val="afb"/>
          <w:rFonts w:hint="cs"/>
          <w:rtl/>
        </w:rPr>
        <w:t xml:space="preserve"> </w:t>
      </w:r>
      <w:r w:rsidRPr="003962E2">
        <w:rPr>
          <w:rStyle w:val="aff6"/>
          <w:rFonts w:hint="cs"/>
          <w:rtl/>
        </w:rPr>
        <w:t xml:space="preserve">(עי' אות </w:t>
      </w:r>
      <w:r w:rsidRPr="003962E2">
        <w:rPr>
          <w:rStyle w:val="aff6"/>
          <w:rtl/>
        </w:rPr>
        <w:fldChar w:fldCharType="begin"/>
      </w:r>
      <w:r w:rsidRPr="003962E2">
        <w:rPr>
          <w:rStyle w:val="aff6"/>
          <w:rtl/>
        </w:rPr>
        <w:instrText xml:space="preserve"> </w:instrText>
      </w:r>
      <w:r w:rsidRPr="003962E2">
        <w:rPr>
          <w:rStyle w:val="aff6"/>
          <w:rFonts w:hint="cs"/>
        </w:rPr>
        <w:instrText>REF</w:instrText>
      </w:r>
      <w:r w:rsidRPr="003962E2">
        <w:rPr>
          <w:rStyle w:val="aff6"/>
          <w:rFonts w:hint="cs"/>
          <w:rtl/>
        </w:rPr>
        <w:instrText xml:space="preserve"> _</w:instrText>
      </w:r>
      <w:r w:rsidRPr="003962E2">
        <w:rPr>
          <w:rStyle w:val="aff6"/>
          <w:rFonts w:hint="cs"/>
        </w:rPr>
        <w:instrText>Ref58750015 \r \h</w:instrText>
      </w:r>
      <w:r w:rsidRPr="003962E2">
        <w:rPr>
          <w:rStyle w:val="aff6"/>
          <w:rtl/>
        </w:rPr>
        <w:instrText xml:space="preserve"> </w:instrText>
      </w:r>
      <w:r w:rsidRPr="003962E2">
        <w:rPr>
          <w:rStyle w:val="aff6"/>
          <w:rtl/>
        </w:rPr>
      </w:r>
      <w:r w:rsidRPr="003962E2">
        <w:rPr>
          <w:rStyle w:val="aff6"/>
          <w:rtl/>
        </w:rPr>
        <w:fldChar w:fldCharType="separate"/>
      </w:r>
      <w:r w:rsidR="00265073">
        <w:rPr>
          <w:rStyle w:val="aff6"/>
          <w:cs/>
        </w:rPr>
        <w:t>‎</w:t>
      </w:r>
      <w:r w:rsidR="00265073">
        <w:rPr>
          <w:rStyle w:val="aff6"/>
          <w:rtl/>
        </w:rPr>
        <w:t>מח)</w:t>
      </w:r>
      <w:r w:rsidRPr="003962E2">
        <w:rPr>
          <w:rStyle w:val="aff6"/>
          <w:rtl/>
        </w:rPr>
        <w:fldChar w:fldCharType="end"/>
      </w:r>
      <w:r w:rsidRPr="003962E2">
        <w:rPr>
          <w:rStyle w:val="aff6"/>
          <w:rFonts w:hint="cs"/>
          <w:rtl/>
        </w:rPr>
        <w:t xml:space="preserve"> </w:t>
      </w:r>
      <w:r w:rsidRPr="00E80FFF">
        <w:rPr>
          <w:rStyle w:val="afb"/>
          <w:rFonts w:hint="cs"/>
          <w:rtl/>
        </w:rPr>
        <w:t xml:space="preserve">את דברי </w:t>
      </w:r>
      <w:r w:rsidRPr="003962E2">
        <w:rPr>
          <w:rStyle w:val="affa"/>
          <w:rFonts w:hint="cs"/>
          <w:rtl/>
        </w:rPr>
        <w:t>רבינו יונה</w:t>
      </w:r>
      <w:r w:rsidRPr="00E80FFF">
        <w:rPr>
          <w:rStyle w:val="afb"/>
          <w:rFonts w:hint="cs"/>
          <w:rtl/>
        </w:rPr>
        <w:t xml:space="preserve">, דהמחזיק הודה בפירוש שהוא עצמו יודע שהקרקע הייתה של המערער, ומשמע דכוונת </w:t>
      </w:r>
      <w:r w:rsidRPr="003962E2">
        <w:rPr>
          <w:rStyle w:val="affa"/>
          <w:rFonts w:hint="cs"/>
          <w:rtl/>
        </w:rPr>
        <w:t>הגרנ"ט</w:t>
      </w:r>
      <w:r w:rsidRPr="00E80FFF">
        <w:rPr>
          <w:rStyle w:val="afb"/>
          <w:rFonts w:hint="cs"/>
          <w:rtl/>
        </w:rPr>
        <w:t xml:space="preserve"> ל</w:t>
      </w:r>
      <w:r>
        <w:rPr>
          <w:rStyle w:val="afb"/>
          <w:rFonts w:hint="cs"/>
          <w:rtl/>
        </w:rPr>
        <w:t>באר</w:t>
      </w:r>
      <w:r w:rsidRPr="00E80FFF">
        <w:rPr>
          <w:rStyle w:val="afb"/>
          <w:rFonts w:hint="cs"/>
          <w:rtl/>
        </w:rPr>
        <w:t xml:space="preserve"> דלביאור </w:t>
      </w:r>
      <w:r w:rsidRPr="003962E2">
        <w:rPr>
          <w:rStyle w:val="affa"/>
          <w:rFonts w:hint="cs"/>
          <w:rtl/>
        </w:rPr>
        <w:t>רבינו יונה</w:t>
      </w:r>
      <w:r w:rsidRPr="00E80FFF">
        <w:rPr>
          <w:rStyle w:val="afb"/>
          <w:rFonts w:hint="cs"/>
          <w:rtl/>
        </w:rPr>
        <w:t xml:space="preserve"> אין המחזיק מביא רק את דברי המוכר לב"ד, אלא הוא טוען מצד עצמו,</w:t>
      </w:r>
      <w:r>
        <w:rPr>
          <w:rStyle w:val="afb"/>
          <w:rFonts w:hint="cs"/>
          <w:rtl/>
        </w:rPr>
        <w:t xml:space="preserve"> וא"כ כוונת</w:t>
      </w:r>
      <w:r w:rsidRPr="00E80FFF">
        <w:rPr>
          <w:rStyle w:val="afb"/>
          <w:rFonts w:hint="cs"/>
          <w:rtl/>
        </w:rPr>
        <w:t xml:space="preserve"> </w:t>
      </w:r>
      <w:r w:rsidRPr="003962E2">
        <w:rPr>
          <w:rStyle w:val="affa"/>
          <w:rFonts w:hint="cs"/>
          <w:rtl/>
        </w:rPr>
        <w:t>הרא"ש</w:t>
      </w:r>
      <w:r w:rsidRPr="00E80FFF">
        <w:rPr>
          <w:rStyle w:val="afb"/>
          <w:rFonts w:hint="cs"/>
          <w:rtl/>
        </w:rPr>
        <w:t xml:space="preserve"> </w:t>
      </w:r>
      <w:r>
        <w:rPr>
          <w:rStyle w:val="afb"/>
          <w:rFonts w:hint="cs"/>
          <w:rtl/>
        </w:rPr>
        <w:t xml:space="preserve">לומר דלפי דברי </w:t>
      </w:r>
      <w:r w:rsidRPr="003962E2">
        <w:rPr>
          <w:rStyle w:val="affa"/>
          <w:rFonts w:hint="cs"/>
          <w:rtl/>
        </w:rPr>
        <w:t>רבינו יונה</w:t>
      </w:r>
      <w:r w:rsidRPr="00E80FFF">
        <w:rPr>
          <w:rStyle w:val="afb"/>
          <w:rFonts w:hint="cs"/>
          <w:rtl/>
        </w:rPr>
        <w:t xml:space="preserve"> מיושבת קושית</w:t>
      </w:r>
      <w:r>
        <w:rPr>
          <w:rStyle w:val="afb"/>
          <w:rFonts w:hint="cs"/>
          <w:rtl/>
        </w:rPr>
        <w:t>ו</w:t>
      </w:r>
      <w:r w:rsidRPr="00E80FFF">
        <w:rPr>
          <w:rStyle w:val="afb"/>
          <w:rFonts w:hint="cs"/>
          <w:rtl/>
        </w:rPr>
        <w:t xml:space="preserve"> דאינו נאמן בטענת המוכר].</w:t>
      </w:r>
      <w:bookmarkEnd w:id="8786"/>
    </w:p>
    <w:p w:rsidR="0007171D" w:rsidRDefault="0007171D" w:rsidP="0007171D">
      <w:pPr>
        <w:pStyle w:val="a3"/>
        <w:rPr>
          <w:rtl/>
        </w:rPr>
      </w:pPr>
      <w:bookmarkStart w:id="8787" w:name="_Toc59025861"/>
      <w:r>
        <w:rPr>
          <w:rFonts w:hint="cs"/>
          <w:rtl/>
        </w:rPr>
        <w:t>ביאור הגרנ"ט במשל"מ דהמחזיק לא נאמן שכך א"ל המוכר וממילא ל"מ לו המיגו של המוכר</w:t>
      </w:r>
      <w:bookmarkEnd w:id="8787"/>
    </w:p>
    <w:p w:rsidR="0007171D" w:rsidRDefault="0007171D" w:rsidP="007E4E81">
      <w:pPr>
        <w:pStyle w:val="a0"/>
        <w:rPr>
          <w:rtl/>
        </w:rPr>
      </w:pPr>
      <w:bookmarkStart w:id="8788" w:name="_Ref58836296"/>
      <w:bookmarkStart w:id="8789" w:name="_Toc58580027"/>
      <w:r>
        <w:rPr>
          <w:rFonts w:hint="cs"/>
          <w:rtl/>
        </w:rPr>
        <w:t xml:space="preserve">ובמה שביאר </w:t>
      </w:r>
      <w:r w:rsidRPr="007D25E4">
        <w:rPr>
          <w:rStyle w:val="af9"/>
          <w:rFonts w:hint="cs"/>
          <w:rtl/>
        </w:rPr>
        <w:t>המשל"מ</w:t>
      </w:r>
      <w:r w:rsidRPr="00726A26">
        <w:rPr>
          <w:rStyle w:val="af7"/>
          <w:rFonts w:eastAsia="Guttman Hodes" w:hint="cs"/>
          <w:rtl/>
        </w:rPr>
        <w:t xml:space="preserve"> (עי' אות </w:t>
      </w:r>
      <w:r w:rsidRPr="00726A26">
        <w:rPr>
          <w:rStyle w:val="af7"/>
          <w:rFonts w:eastAsia="Guttman Hodes"/>
          <w:rtl/>
        </w:rPr>
        <w:fldChar w:fldCharType="begin"/>
      </w:r>
      <w:r w:rsidRPr="00726A26">
        <w:rPr>
          <w:rStyle w:val="af7"/>
          <w:rFonts w:eastAsia="Guttman Hodes"/>
          <w:rtl/>
        </w:rPr>
        <w:instrText xml:space="preserve"> </w:instrText>
      </w:r>
      <w:r w:rsidRPr="00726A26">
        <w:rPr>
          <w:rStyle w:val="af7"/>
          <w:rFonts w:eastAsia="Guttman Hodes" w:hint="cs"/>
        </w:rPr>
        <w:instrText>REF</w:instrText>
      </w:r>
      <w:r w:rsidRPr="00726A26">
        <w:rPr>
          <w:rStyle w:val="af7"/>
          <w:rFonts w:eastAsia="Guttman Hodes" w:hint="cs"/>
          <w:rtl/>
        </w:rPr>
        <w:instrText xml:space="preserve"> _</w:instrText>
      </w:r>
      <w:r w:rsidRPr="00726A26">
        <w:rPr>
          <w:rStyle w:val="af7"/>
          <w:rFonts w:eastAsia="Guttman Hodes" w:hint="cs"/>
        </w:rPr>
        <w:instrText>Ref58836319 \r \h</w:instrText>
      </w:r>
      <w:r w:rsidRPr="00726A26">
        <w:rPr>
          <w:rStyle w:val="af7"/>
          <w:rFonts w:eastAsia="Guttman Hodes"/>
          <w:rtl/>
        </w:rPr>
        <w:instrText xml:space="preserve"> </w:instrText>
      </w:r>
      <w:r w:rsidRPr="00726A26">
        <w:rPr>
          <w:rStyle w:val="af7"/>
          <w:rFonts w:eastAsia="Guttman Hodes"/>
          <w:rtl/>
        </w:rPr>
      </w:r>
      <w:r w:rsidRPr="00726A26">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726A26">
        <w:rPr>
          <w:rStyle w:val="af7"/>
          <w:rFonts w:eastAsia="Guttman Hodes"/>
          <w:rtl/>
        </w:rPr>
        <w:fldChar w:fldCharType="end"/>
      </w:r>
      <w:r w:rsidRPr="00726A26">
        <w:rPr>
          <w:rStyle w:val="af7"/>
          <w:rFonts w:eastAsia="Guttman Hodes" w:hint="cs"/>
          <w:rtl/>
        </w:rPr>
        <w:t xml:space="preserve"> </w:t>
      </w:r>
      <w:r>
        <w:rPr>
          <w:rFonts w:hint="cs"/>
          <w:rtl/>
        </w:rPr>
        <w:t xml:space="preserve">בדברי </w:t>
      </w:r>
      <w:r w:rsidRPr="007D25E4">
        <w:rPr>
          <w:rStyle w:val="af9"/>
          <w:rFonts w:hint="cs"/>
          <w:rtl/>
        </w:rPr>
        <w:t>הרא"ש</w:t>
      </w:r>
      <w:r w:rsidRPr="00673706">
        <w:rPr>
          <w:rFonts w:hint="cs"/>
          <w:rtl/>
        </w:rPr>
        <w:t xml:space="preserve"> </w:t>
      </w:r>
      <w:r>
        <w:rPr>
          <w:rFonts w:hint="cs"/>
          <w:rtl/>
        </w:rPr>
        <w:t xml:space="preserve">דכשהמחזיק אינו יודע שהקרקע הייתה של המערער, ורק שמע כן מפי המוכר, אינו נאמן במה שאומר שכך אמר לו המוכר, דהא אין לו מיגו, כדביאר </w:t>
      </w:r>
      <w:r w:rsidRPr="001172A8">
        <w:rPr>
          <w:rStyle w:val="af9"/>
          <w:rFonts w:hint="cs"/>
          <w:rtl/>
        </w:rPr>
        <w:t>הרא"ש</w:t>
      </w:r>
      <w:r>
        <w:rPr>
          <w:rFonts w:asciiTheme="minorHAnsi" w:hAnsiTheme="minorHAnsi" w:hint="cs"/>
          <w:rtl/>
        </w:rPr>
        <w:t xml:space="preserve"> </w:t>
      </w:r>
      <w:r w:rsidRPr="002F6636">
        <w:rPr>
          <w:rStyle w:val="af7"/>
          <w:rFonts w:eastAsia="Guttman Hodes" w:hint="cs"/>
          <w:rtl/>
        </w:rPr>
        <w:t xml:space="preserve">(עי' אות </w:t>
      </w:r>
      <w:r w:rsidRPr="002F6636">
        <w:rPr>
          <w:rStyle w:val="af7"/>
          <w:rFonts w:eastAsia="Guttman Hodes"/>
          <w:rtl/>
        </w:rPr>
        <w:fldChar w:fldCharType="begin"/>
      </w:r>
      <w:r w:rsidRPr="002F6636">
        <w:rPr>
          <w:rStyle w:val="af7"/>
          <w:rFonts w:eastAsia="Guttman Hodes"/>
          <w:rtl/>
        </w:rPr>
        <w:instrText xml:space="preserve"> </w:instrText>
      </w:r>
      <w:r w:rsidRPr="002F6636">
        <w:rPr>
          <w:rStyle w:val="af7"/>
          <w:rFonts w:eastAsia="Guttman Hodes" w:hint="cs"/>
        </w:rPr>
        <w:instrText>REF</w:instrText>
      </w:r>
      <w:r w:rsidRPr="002F6636">
        <w:rPr>
          <w:rStyle w:val="af7"/>
          <w:rFonts w:eastAsia="Guttman Hodes" w:hint="cs"/>
          <w:rtl/>
        </w:rPr>
        <w:instrText xml:space="preserve"> _</w:instrText>
      </w:r>
      <w:r w:rsidRPr="002F6636">
        <w:rPr>
          <w:rStyle w:val="af7"/>
          <w:rFonts w:eastAsia="Guttman Hodes" w:hint="cs"/>
        </w:rPr>
        <w:instrText>Ref57911051 \r \h</w:instrText>
      </w:r>
      <w:r w:rsidRPr="002F6636">
        <w:rPr>
          <w:rStyle w:val="af7"/>
          <w:rFonts w:eastAsia="Guttman Hodes"/>
          <w:rtl/>
        </w:rPr>
        <w:instrText xml:space="preserve"> </w:instrText>
      </w:r>
      <w:r w:rsidRPr="002F6636">
        <w:rPr>
          <w:rStyle w:val="af7"/>
          <w:rFonts w:eastAsia="Guttman Hodes"/>
          <w:rtl/>
        </w:rPr>
      </w:r>
      <w:r w:rsidRPr="002F6636">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2F6636">
        <w:rPr>
          <w:rStyle w:val="af7"/>
          <w:rFonts w:eastAsia="Guttman Hodes"/>
          <w:rtl/>
        </w:rPr>
        <w:fldChar w:fldCharType="end"/>
      </w:r>
      <w:r>
        <w:rPr>
          <w:rFonts w:asciiTheme="minorHAnsi" w:hAnsiTheme="minorHAnsi" w:hint="cs"/>
          <w:rtl/>
        </w:rPr>
        <w:t xml:space="preserve"> </w:t>
      </w:r>
      <w:r>
        <w:rPr>
          <w:rFonts w:hint="cs"/>
          <w:rtl/>
        </w:rPr>
        <w:t xml:space="preserve">דהוא ירא לטעון את טענת המיגו, שלא הייתה של המערער מעולם, </w:t>
      </w:r>
      <w:r w:rsidRPr="007C336C">
        <w:rPr>
          <w:rtl/>
        </w:rPr>
        <w:t xml:space="preserve">ביאר </w:t>
      </w:r>
      <w:r w:rsidRPr="007D25E4">
        <w:rPr>
          <w:rStyle w:val="af9"/>
          <w:rtl/>
        </w:rPr>
        <w:t>הגרנ"ט</w:t>
      </w:r>
      <w:r w:rsidRPr="007C336C">
        <w:rPr>
          <w:rtl/>
        </w:rPr>
        <w:t xml:space="preserve"> </w:t>
      </w:r>
      <w:r w:rsidRPr="007D25E4">
        <w:rPr>
          <w:rStyle w:val="af7"/>
          <w:rFonts w:eastAsia="Guttman Hodes"/>
          <w:rtl/>
        </w:rPr>
        <w:t xml:space="preserve">(סי' קע"ו ד"ה ובמל"מ) </w:t>
      </w:r>
      <w:r w:rsidRPr="007C336C">
        <w:rPr>
          <w:rtl/>
        </w:rPr>
        <w:t xml:space="preserve">דכוונת </w:t>
      </w:r>
      <w:r w:rsidRPr="007D25E4">
        <w:rPr>
          <w:rStyle w:val="af9"/>
          <w:rtl/>
        </w:rPr>
        <w:t>המשל"מ</w:t>
      </w:r>
      <w:r w:rsidRPr="007C336C">
        <w:rPr>
          <w:rtl/>
        </w:rPr>
        <w:t xml:space="preserve"> לומר דאם היה המחזיק נאמן לומר שכך אמר לו המוכר, לא היו מוציאין מידו, דהוא היה נאמן כמו שהמוכר שלו היה נאמן, </w:t>
      </w:r>
      <w:r w:rsidRPr="00726A26">
        <w:rPr>
          <w:rStyle w:val="afb"/>
          <w:rFonts w:hint="cs"/>
          <w:rtl/>
        </w:rPr>
        <w:t xml:space="preserve">[וכדביאר </w:t>
      </w:r>
      <w:r w:rsidRPr="00726A26">
        <w:rPr>
          <w:rStyle w:val="affa"/>
          <w:rFonts w:hint="cs"/>
          <w:rtl/>
        </w:rPr>
        <w:t>הגרנ"ט</w:t>
      </w:r>
      <w:r w:rsidRPr="00726A26">
        <w:rPr>
          <w:rStyle w:val="afb"/>
          <w:rFonts w:hint="cs"/>
          <w:rtl/>
        </w:rPr>
        <w:t xml:space="preserve"> </w:t>
      </w:r>
      <w:r w:rsidRPr="00726A26">
        <w:rPr>
          <w:rStyle w:val="aff6"/>
          <w:rFonts w:hint="cs"/>
          <w:rtl/>
        </w:rPr>
        <w:t xml:space="preserve">(עי' אות </w:t>
      </w:r>
      <w:r w:rsidRPr="00726A26">
        <w:rPr>
          <w:rStyle w:val="aff6"/>
          <w:rtl/>
        </w:rPr>
        <w:fldChar w:fldCharType="begin"/>
      </w:r>
      <w:r w:rsidRPr="00726A26">
        <w:rPr>
          <w:rStyle w:val="aff6"/>
          <w:rtl/>
        </w:rPr>
        <w:instrText xml:space="preserve"> </w:instrText>
      </w:r>
      <w:r w:rsidRPr="00726A26">
        <w:rPr>
          <w:rStyle w:val="aff6"/>
          <w:rFonts w:hint="cs"/>
        </w:rPr>
        <w:instrText>REF</w:instrText>
      </w:r>
      <w:r w:rsidRPr="00726A26">
        <w:rPr>
          <w:rStyle w:val="aff6"/>
          <w:rFonts w:hint="cs"/>
          <w:rtl/>
        </w:rPr>
        <w:instrText xml:space="preserve"> _</w:instrText>
      </w:r>
      <w:r w:rsidRPr="00726A26">
        <w:rPr>
          <w:rStyle w:val="aff6"/>
          <w:rFonts w:hint="cs"/>
        </w:rPr>
        <w:instrText>Ref58836409 \r \h</w:instrText>
      </w:r>
      <w:r w:rsidRPr="00726A26">
        <w:rPr>
          <w:rStyle w:val="aff6"/>
          <w:rtl/>
        </w:rPr>
        <w:instrText xml:space="preserve"> </w:instrText>
      </w:r>
      <w:r w:rsidRPr="00726A26">
        <w:rPr>
          <w:rStyle w:val="aff6"/>
          <w:rtl/>
        </w:rPr>
      </w:r>
      <w:r w:rsidRPr="00726A26">
        <w:rPr>
          <w:rStyle w:val="aff6"/>
          <w:rtl/>
        </w:rPr>
        <w:fldChar w:fldCharType="separate"/>
      </w:r>
      <w:r w:rsidR="00265073">
        <w:rPr>
          <w:rStyle w:val="aff6"/>
          <w:cs/>
        </w:rPr>
        <w:t>‎</w:t>
      </w:r>
      <w:r w:rsidR="00265073">
        <w:rPr>
          <w:rStyle w:val="aff6"/>
          <w:rtl/>
        </w:rPr>
        <w:t>פח)</w:t>
      </w:r>
      <w:r w:rsidRPr="00726A26">
        <w:rPr>
          <w:rStyle w:val="aff6"/>
          <w:rtl/>
        </w:rPr>
        <w:fldChar w:fldCharType="end"/>
      </w:r>
      <w:r w:rsidRPr="00726A26">
        <w:rPr>
          <w:rStyle w:val="afb"/>
          <w:rFonts w:hint="cs"/>
          <w:rtl/>
        </w:rPr>
        <w:t xml:space="preserve"> דהוא רק מביא את דברי המוכר לב"ד],</w:t>
      </w:r>
      <w:r>
        <w:rPr>
          <w:rFonts w:hint="cs"/>
          <w:rtl/>
        </w:rPr>
        <w:t xml:space="preserve"> </w:t>
      </w:r>
      <w:r w:rsidRPr="007C336C">
        <w:rPr>
          <w:rtl/>
        </w:rPr>
        <w:t>אלא דכיון שהמחזיק אינו נאמן שכך אמר לו המוכר דהוא ירא לטעון את המיגו, ממילא לא מהני לו המיגו של המוכר</w:t>
      </w:r>
      <w:r>
        <w:rPr>
          <w:rFonts w:hint="cs"/>
          <w:rtl/>
        </w:rPr>
        <w:t>.</w:t>
      </w:r>
      <w:bookmarkEnd w:id="8788"/>
    </w:p>
    <w:p w:rsidR="0007171D" w:rsidRDefault="0007171D" w:rsidP="0007171D">
      <w:pPr>
        <w:pStyle w:val="1"/>
        <w:rPr>
          <w:rtl/>
        </w:rPr>
      </w:pPr>
      <w:bookmarkStart w:id="8790" w:name="_Toc58843036"/>
      <w:bookmarkStart w:id="8791" w:name="_Toc58876244"/>
      <w:bookmarkStart w:id="8792" w:name="_Toc58877657"/>
      <w:bookmarkStart w:id="8793" w:name="_Toc58914716"/>
      <w:bookmarkStart w:id="8794" w:name="_Toc58926017"/>
      <w:bookmarkStart w:id="8795" w:name="_Toc58930093"/>
      <w:bookmarkStart w:id="8796" w:name="_Toc58938252"/>
      <w:bookmarkStart w:id="8797" w:name="_Toc59007067"/>
      <w:bookmarkStart w:id="8798" w:name="_Toc59013542"/>
      <w:bookmarkStart w:id="8799" w:name="_Toc59013790"/>
      <w:bookmarkStart w:id="8800" w:name="_Toc59025862"/>
      <w:r>
        <w:rPr>
          <w:rFonts w:hint="cs"/>
          <w:rtl/>
        </w:rPr>
        <w:t>תי' הגרנ"ט והגרנ"פ על קו' המשל"מ ממיגו דרק קנה מהמוכר</w:t>
      </w:r>
      <w:bookmarkEnd w:id="8790"/>
      <w:bookmarkEnd w:id="8791"/>
      <w:bookmarkEnd w:id="8792"/>
      <w:bookmarkEnd w:id="8793"/>
      <w:bookmarkEnd w:id="8794"/>
      <w:bookmarkEnd w:id="8795"/>
      <w:bookmarkEnd w:id="8796"/>
      <w:bookmarkEnd w:id="8797"/>
      <w:bookmarkEnd w:id="8798"/>
      <w:bookmarkEnd w:id="8799"/>
      <w:bookmarkEnd w:id="8800"/>
    </w:p>
    <w:p w:rsidR="0007171D" w:rsidRDefault="0007171D" w:rsidP="0007171D">
      <w:pPr>
        <w:pStyle w:val="a3"/>
        <w:rPr>
          <w:rtl/>
        </w:rPr>
      </w:pPr>
      <w:bookmarkStart w:id="8801" w:name="_Toc59025863"/>
      <w:r>
        <w:rPr>
          <w:rFonts w:hint="cs"/>
          <w:rtl/>
        </w:rPr>
        <w:t>דברי הגרנ"ט דמיגו מהני רק כשנאמן בטענת המיגו מאותו הדין שנאמן עכשיו ולא מדין אחר</w:t>
      </w:r>
      <w:bookmarkEnd w:id="8801"/>
    </w:p>
    <w:p w:rsidR="0007171D" w:rsidRDefault="0007171D" w:rsidP="007E4E81">
      <w:pPr>
        <w:pStyle w:val="a0"/>
        <w:rPr>
          <w:rStyle w:val="afb"/>
          <w:rtl/>
        </w:rPr>
      </w:pPr>
      <w:bookmarkStart w:id="8802" w:name="_Ref58837528"/>
      <w:r>
        <w:rPr>
          <w:rFonts w:hint="cs"/>
          <w:rtl/>
        </w:rPr>
        <w:t xml:space="preserve">ובמה שהקשה </w:t>
      </w:r>
      <w:r w:rsidRPr="0015308E">
        <w:rPr>
          <w:rStyle w:val="af9"/>
          <w:rFonts w:hint="cs"/>
          <w:rtl/>
        </w:rPr>
        <w:t>המשל"מ</w:t>
      </w:r>
      <w:r>
        <w:rPr>
          <w:rFonts w:hint="cs"/>
          <w:rtl/>
        </w:rPr>
        <w:t xml:space="preserve"> </w:t>
      </w:r>
      <w:r w:rsidRPr="007A4335">
        <w:rPr>
          <w:rStyle w:val="af7"/>
          <w:rFonts w:eastAsia="Guttman Hodes" w:hint="cs"/>
          <w:rtl/>
        </w:rPr>
        <w:t xml:space="preserve">(עי' אות </w:t>
      </w:r>
      <w:r w:rsidRPr="007A4335">
        <w:rPr>
          <w:rStyle w:val="af7"/>
          <w:rFonts w:eastAsia="Guttman Hodes"/>
          <w:rtl/>
        </w:rPr>
        <w:fldChar w:fldCharType="begin"/>
      </w:r>
      <w:r w:rsidRPr="007A4335">
        <w:rPr>
          <w:rStyle w:val="af7"/>
          <w:rFonts w:eastAsia="Guttman Hodes"/>
          <w:rtl/>
        </w:rPr>
        <w:instrText xml:space="preserve"> </w:instrText>
      </w:r>
      <w:r w:rsidRPr="007A4335">
        <w:rPr>
          <w:rStyle w:val="af7"/>
          <w:rFonts w:eastAsia="Guttman Hodes" w:hint="cs"/>
        </w:rPr>
        <w:instrText>REF</w:instrText>
      </w:r>
      <w:r w:rsidRPr="007A4335">
        <w:rPr>
          <w:rStyle w:val="af7"/>
          <w:rFonts w:eastAsia="Guttman Hodes" w:hint="cs"/>
          <w:rtl/>
        </w:rPr>
        <w:instrText xml:space="preserve"> _</w:instrText>
      </w:r>
      <w:r w:rsidRPr="007A4335">
        <w:rPr>
          <w:rStyle w:val="af7"/>
          <w:rFonts w:eastAsia="Guttman Hodes" w:hint="cs"/>
        </w:rPr>
        <w:instrText>Ref58837473 \r \h</w:instrText>
      </w:r>
      <w:r w:rsidRPr="007A4335">
        <w:rPr>
          <w:rStyle w:val="af7"/>
          <w:rFonts w:eastAsia="Guttman Hodes"/>
          <w:rtl/>
        </w:rPr>
        <w:instrText xml:space="preserve"> </w:instrText>
      </w:r>
      <w:r w:rsidRPr="007A4335">
        <w:rPr>
          <w:rStyle w:val="af7"/>
          <w:rFonts w:eastAsia="Guttman Hodes"/>
          <w:rtl/>
        </w:rPr>
      </w:r>
      <w:r w:rsidRPr="007A4335">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7A4335">
        <w:rPr>
          <w:rStyle w:val="af7"/>
          <w:rFonts w:eastAsia="Guttman Hodes"/>
          <w:rtl/>
        </w:rPr>
        <w:fldChar w:fldCharType="end"/>
      </w:r>
      <w:r>
        <w:rPr>
          <w:rStyle w:val="af7"/>
          <w:rFonts w:eastAsia="Guttman Hodes" w:hint="cs"/>
          <w:rtl/>
        </w:rPr>
        <w:t xml:space="preserve"> </w:t>
      </w:r>
      <w:r>
        <w:rPr>
          <w:rFonts w:hint="cs"/>
          <w:rtl/>
        </w:rPr>
        <w:t xml:space="preserve">על </w:t>
      </w:r>
      <w:r w:rsidRPr="001172A8">
        <w:rPr>
          <w:rStyle w:val="af9"/>
          <w:rFonts w:hint="cs"/>
          <w:rtl/>
        </w:rPr>
        <w:t>הרא"ש</w:t>
      </w:r>
      <w:r>
        <w:rPr>
          <w:rFonts w:hint="cs"/>
          <w:rtl/>
        </w:rPr>
        <w:t xml:space="preserve"> דאמאי אינו נאמן במיגו דהיה יכול לשתוק, ולומר רק שקנה מהמוכר ולא להוסיף שאמר לו המוכר שהוא קנה מהמערער, כתב </w:t>
      </w:r>
      <w:r w:rsidRPr="001576C9">
        <w:rPr>
          <w:rStyle w:val="af9"/>
          <w:rFonts w:hint="cs"/>
          <w:rtl/>
        </w:rPr>
        <w:t>הגרנ"ט</w:t>
      </w:r>
      <w:r>
        <w:rPr>
          <w:rStyle w:val="af9"/>
          <w:rFonts w:hint="cs"/>
          <w:rtl/>
        </w:rPr>
        <w:t xml:space="preserve"> </w:t>
      </w:r>
      <w:r w:rsidRPr="00181960">
        <w:rPr>
          <w:rStyle w:val="af7"/>
          <w:rFonts w:eastAsia="Guttman Hodes" w:hint="cs"/>
          <w:rtl/>
        </w:rPr>
        <w:t xml:space="preserve">(סי' קע"ו ד"ה ונראה </w:t>
      </w:r>
      <w:r w:rsidRPr="00181960">
        <w:rPr>
          <w:rStyle w:val="af7"/>
          <w:rFonts w:eastAsia="Guttman Hodes" w:hint="cs"/>
          <w:rtl/>
        </w:rPr>
        <w:lastRenderedPageBreak/>
        <w:t xml:space="preserve">דבאמת) </w:t>
      </w:r>
      <w:r>
        <w:rPr>
          <w:rFonts w:hint="cs"/>
          <w:rtl/>
        </w:rPr>
        <w:t xml:space="preserve">דמבואר דס"ל </w:t>
      </w:r>
      <w:r w:rsidRPr="00BE1B42">
        <w:rPr>
          <w:rStyle w:val="af9"/>
          <w:rFonts w:hint="cs"/>
          <w:rtl/>
        </w:rPr>
        <w:t>להרא"ש</w:t>
      </w:r>
      <w:r>
        <w:rPr>
          <w:rFonts w:hint="cs"/>
          <w:rtl/>
        </w:rPr>
        <w:t xml:space="preserve"> דהא דמהני מיגו היינו דוקא במקום שאם היה טוען את טענת המיגו, היא הייתה מועילה יותר, ולכן מקבלים את הטענה שטוען עכשיו, במיגו שהיה יכול לטעון טענה אחרת, אבל במקום שהטענה של המיגו מועילה לו מטעם אחר, לא שייך להאמינו בטענה שטוען עכשיו שיהיה הדין כפי טענה זו, במיגו דהיה יכול לטעון טענה עם דין אחר שהיה מועיל לו. </w:t>
      </w:r>
      <w:r w:rsidRPr="00730F44">
        <w:rPr>
          <w:rStyle w:val="afb"/>
          <w:rFonts w:hint="cs"/>
          <w:rtl/>
        </w:rPr>
        <w:t xml:space="preserve">[אך הביא </w:t>
      </w:r>
      <w:r w:rsidRPr="00730F44">
        <w:rPr>
          <w:rStyle w:val="affa"/>
          <w:rFonts w:hint="cs"/>
          <w:rtl/>
        </w:rPr>
        <w:t>הגרנ"ט</w:t>
      </w:r>
      <w:r w:rsidRPr="00730F44">
        <w:rPr>
          <w:rStyle w:val="afb"/>
          <w:rFonts w:hint="cs"/>
          <w:rtl/>
        </w:rPr>
        <w:t xml:space="preserve"> </w:t>
      </w:r>
      <w:r>
        <w:rPr>
          <w:rStyle w:val="afb"/>
          <w:rFonts w:hint="cs"/>
          <w:rtl/>
        </w:rPr>
        <w:t xml:space="preserve">את דברי </w:t>
      </w:r>
      <w:r w:rsidRPr="00730F44">
        <w:rPr>
          <w:rStyle w:val="affa"/>
          <w:rFonts w:hint="cs"/>
          <w:rtl/>
        </w:rPr>
        <w:t>הרשב"א לקמן</w:t>
      </w:r>
      <w:r w:rsidRPr="00730F44">
        <w:rPr>
          <w:rStyle w:val="afb"/>
          <w:rFonts w:hint="cs"/>
          <w:rtl/>
        </w:rPr>
        <w:t xml:space="preserve"> </w:t>
      </w:r>
      <w:r w:rsidRPr="00BE1B42">
        <w:rPr>
          <w:rStyle w:val="aff6"/>
          <w:rFonts w:hint="cs"/>
          <w:rtl/>
        </w:rPr>
        <w:t xml:space="preserve">(לג. ד"ה ור"ש) </w:t>
      </w:r>
      <w:r>
        <w:rPr>
          <w:rStyle w:val="afb"/>
          <w:rFonts w:hint="cs"/>
          <w:rtl/>
        </w:rPr>
        <w:t>ד</w:t>
      </w:r>
      <w:r w:rsidRPr="00730F44">
        <w:rPr>
          <w:rStyle w:val="afb"/>
          <w:rFonts w:hint="cs"/>
          <w:rtl/>
        </w:rPr>
        <w:t xml:space="preserve">מבואר </w:t>
      </w:r>
      <w:r>
        <w:rPr>
          <w:rStyle w:val="afb"/>
          <w:rFonts w:hint="cs"/>
          <w:rtl/>
        </w:rPr>
        <w:t xml:space="preserve">מדבריו </w:t>
      </w:r>
      <w:r w:rsidRPr="00730F44">
        <w:rPr>
          <w:rStyle w:val="afb"/>
          <w:rFonts w:hint="cs"/>
          <w:rtl/>
        </w:rPr>
        <w:t>דס"ל דאף בכה"ג אמרינן מיגו, ודלא כהרא"ש בסוגיין]</w:t>
      </w:r>
      <w:r>
        <w:rPr>
          <w:rStyle w:val="afb"/>
          <w:rFonts w:hint="cs"/>
          <w:rtl/>
        </w:rPr>
        <w:t>.</w:t>
      </w:r>
      <w:bookmarkEnd w:id="8802"/>
    </w:p>
    <w:p w:rsidR="0007171D" w:rsidRPr="00730F44" w:rsidRDefault="0007171D" w:rsidP="0007171D">
      <w:pPr>
        <w:pStyle w:val="a3"/>
        <w:rPr>
          <w:rtl/>
        </w:rPr>
      </w:pPr>
      <w:bookmarkStart w:id="8803" w:name="_Toc59025864"/>
      <w:r>
        <w:rPr>
          <w:rFonts w:hint="cs"/>
          <w:rtl/>
        </w:rPr>
        <w:t>תירוץ הגרנ"ט על קו' המשל"מ דבאומר רק שקנה מהמוכר נאמן מחמת ספק ועכשיו טוען ודאי</w:t>
      </w:r>
      <w:bookmarkEnd w:id="8803"/>
    </w:p>
    <w:p w:rsidR="0007171D" w:rsidRDefault="0007171D" w:rsidP="007E4E81">
      <w:pPr>
        <w:pStyle w:val="a0"/>
        <w:rPr>
          <w:rtl/>
        </w:rPr>
      </w:pPr>
      <w:r>
        <w:rPr>
          <w:rFonts w:hint="cs"/>
          <w:rtl/>
        </w:rPr>
        <w:t xml:space="preserve">וכתב </w:t>
      </w:r>
      <w:r w:rsidRPr="001576C9">
        <w:rPr>
          <w:rStyle w:val="af9"/>
          <w:rFonts w:hint="cs"/>
          <w:rtl/>
        </w:rPr>
        <w:t>הגרנ"ט</w:t>
      </w:r>
      <w:r>
        <w:rPr>
          <w:rStyle w:val="af9"/>
          <w:rFonts w:hint="cs"/>
          <w:rtl/>
        </w:rPr>
        <w:t xml:space="preserve"> </w:t>
      </w:r>
      <w:r w:rsidRPr="007D57D0">
        <w:rPr>
          <w:rStyle w:val="af7"/>
          <w:rFonts w:eastAsia="Guttman Hodes" w:hint="cs"/>
          <w:rtl/>
        </w:rPr>
        <w:t>(סי' קע"ו ד"ה ולפי"ז)</w:t>
      </w:r>
      <w:r>
        <w:rPr>
          <w:rFonts w:hint="cs"/>
          <w:rtl/>
        </w:rPr>
        <w:t xml:space="preserve"> דלפי"ז מתורצת קושית </w:t>
      </w:r>
      <w:r w:rsidRPr="005933FF">
        <w:rPr>
          <w:rStyle w:val="af9"/>
          <w:rFonts w:hint="cs"/>
          <w:rtl/>
        </w:rPr>
        <w:t>המשל"מ</w:t>
      </w:r>
      <w:r>
        <w:rPr>
          <w:rFonts w:hint="cs"/>
          <w:rtl/>
        </w:rPr>
        <w:t xml:space="preserve"> דאם היה אומר רק שקנה מפלוני, ולא היה אומר שאמר לו שקנה מהמערער, לא הייתה לו יותר נאמנות, וטענת המיגו אינה טענה טובה יותר מהטענה שטוען שכך אמר לו המוכר, אלא דאם היה טוען את טענת המיגו, היה הדין שקול ואמרינן כל דאלים גבר, ואף אם היו מעמידים את הקרקע בידו, היינו מחמת הספק ולא מדין ודאי, ולכן לא שייך להאמינו בדין ודאי שכך אמר לו המוכר, במיגו דהיו מעמידים בידו מדין ספק.</w:t>
      </w:r>
    </w:p>
    <w:p w:rsidR="0007171D" w:rsidRPr="00B232AE" w:rsidRDefault="0007171D" w:rsidP="0007171D">
      <w:pPr>
        <w:pStyle w:val="a3"/>
        <w:rPr>
          <w:rtl/>
        </w:rPr>
      </w:pPr>
      <w:bookmarkStart w:id="8804" w:name="_Toc59025865"/>
      <w:r>
        <w:rPr>
          <w:rFonts w:hint="cs"/>
          <w:rtl/>
        </w:rPr>
        <w:t>דברי הגרנ"פ דמיגו מהני רק כשכח הטענה של המיגו מהני לו גם עכשיו היא טענה טובה יותר</w:t>
      </w:r>
      <w:bookmarkEnd w:id="8804"/>
    </w:p>
    <w:p w:rsidR="0007171D" w:rsidRDefault="0007171D" w:rsidP="007E4E81">
      <w:pPr>
        <w:pStyle w:val="a0"/>
        <w:rPr>
          <w:rtl/>
        </w:rPr>
      </w:pPr>
      <w:bookmarkStart w:id="8805" w:name="_Ref58837522"/>
      <w:r>
        <w:rPr>
          <w:rFonts w:hint="cs"/>
          <w:rtl/>
        </w:rPr>
        <w:t xml:space="preserve">וכעי"ז תירץ </w:t>
      </w:r>
      <w:r w:rsidRPr="004252D5">
        <w:rPr>
          <w:rStyle w:val="af9"/>
          <w:rFonts w:hint="cs"/>
          <w:rtl/>
        </w:rPr>
        <w:t>בחי' רבי נחום</w:t>
      </w:r>
      <w:r>
        <w:rPr>
          <w:rFonts w:hint="cs"/>
          <w:rtl/>
        </w:rPr>
        <w:t xml:space="preserve"> </w:t>
      </w:r>
      <w:r w:rsidRPr="004252D5">
        <w:rPr>
          <w:rStyle w:val="af7"/>
          <w:rFonts w:eastAsia="Guttman Hodes" w:hint="cs"/>
          <w:rtl/>
        </w:rPr>
        <w:t xml:space="preserve">(או' ע"ג ד"ה וצ"ל) </w:t>
      </w:r>
      <w:r>
        <w:rPr>
          <w:rFonts w:hint="cs"/>
          <w:rtl/>
        </w:rPr>
        <w:t xml:space="preserve">את קושית </w:t>
      </w:r>
      <w:r w:rsidRPr="0015308E">
        <w:rPr>
          <w:rStyle w:val="af9"/>
          <w:rFonts w:hint="cs"/>
          <w:rtl/>
        </w:rPr>
        <w:t>המשל"מ</w:t>
      </w:r>
      <w:r>
        <w:rPr>
          <w:rFonts w:hint="cs"/>
          <w:rtl/>
        </w:rPr>
        <w:t xml:space="preserve"> </w:t>
      </w:r>
      <w:r w:rsidRPr="007A4335">
        <w:rPr>
          <w:rStyle w:val="af7"/>
          <w:rFonts w:eastAsia="Guttman Hodes" w:hint="cs"/>
          <w:rtl/>
        </w:rPr>
        <w:t xml:space="preserve">(עי' אות </w:t>
      </w:r>
      <w:r w:rsidRPr="007A4335">
        <w:rPr>
          <w:rStyle w:val="af7"/>
          <w:rFonts w:eastAsia="Guttman Hodes"/>
          <w:rtl/>
        </w:rPr>
        <w:fldChar w:fldCharType="begin"/>
      </w:r>
      <w:r w:rsidRPr="007A4335">
        <w:rPr>
          <w:rStyle w:val="af7"/>
          <w:rFonts w:eastAsia="Guttman Hodes"/>
          <w:rtl/>
        </w:rPr>
        <w:instrText xml:space="preserve"> </w:instrText>
      </w:r>
      <w:r w:rsidRPr="007A4335">
        <w:rPr>
          <w:rStyle w:val="af7"/>
          <w:rFonts w:eastAsia="Guttman Hodes" w:hint="cs"/>
        </w:rPr>
        <w:instrText>REF</w:instrText>
      </w:r>
      <w:r w:rsidRPr="007A4335">
        <w:rPr>
          <w:rStyle w:val="af7"/>
          <w:rFonts w:eastAsia="Guttman Hodes" w:hint="cs"/>
          <w:rtl/>
        </w:rPr>
        <w:instrText xml:space="preserve"> _</w:instrText>
      </w:r>
      <w:r w:rsidRPr="007A4335">
        <w:rPr>
          <w:rStyle w:val="af7"/>
          <w:rFonts w:eastAsia="Guttman Hodes" w:hint="cs"/>
        </w:rPr>
        <w:instrText>Ref58837473 \r \h</w:instrText>
      </w:r>
      <w:r w:rsidRPr="007A4335">
        <w:rPr>
          <w:rStyle w:val="af7"/>
          <w:rFonts w:eastAsia="Guttman Hodes"/>
          <w:rtl/>
        </w:rPr>
        <w:instrText xml:space="preserve"> </w:instrText>
      </w:r>
      <w:r w:rsidRPr="007A4335">
        <w:rPr>
          <w:rStyle w:val="af7"/>
          <w:rFonts w:eastAsia="Guttman Hodes"/>
          <w:rtl/>
        </w:rPr>
      </w:r>
      <w:r w:rsidRPr="007A4335">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7A4335">
        <w:rPr>
          <w:rStyle w:val="af7"/>
          <w:rFonts w:eastAsia="Guttman Hodes"/>
          <w:rtl/>
        </w:rPr>
        <w:fldChar w:fldCharType="end"/>
      </w:r>
      <w:r>
        <w:rPr>
          <w:rStyle w:val="af7"/>
          <w:rFonts w:eastAsia="Guttman Hodes" w:hint="cs"/>
          <w:rtl/>
        </w:rPr>
        <w:t xml:space="preserve"> </w:t>
      </w:r>
      <w:r>
        <w:rPr>
          <w:rFonts w:hint="cs"/>
          <w:rtl/>
        </w:rPr>
        <w:t>דהא דמהני הכח טענה של המיגו, הוא רק באופן שאף בטענה של המיגו הוא היה נאמן, כגון במיגו דלא הייתה של המערער מעולם, דהטענה היא טענה טובה, שטוען שהקרקע היא שלו, ולכן מהני לו הכח של אותה הטענה שהיה יכול לטעון, למה שהוא טוען עכשיו.</w:t>
      </w:r>
      <w:bookmarkEnd w:id="8805"/>
    </w:p>
    <w:p w:rsidR="0007171D" w:rsidRPr="00D23CD2" w:rsidRDefault="0007171D" w:rsidP="0007171D">
      <w:pPr>
        <w:pStyle w:val="a3"/>
      </w:pPr>
      <w:bookmarkStart w:id="8806" w:name="_Toc59025866"/>
      <w:r>
        <w:rPr>
          <w:rFonts w:hint="cs"/>
          <w:rtl/>
        </w:rPr>
        <w:t xml:space="preserve">תי' הגרנ"פ על קו' המשל"מ </w:t>
      </w:r>
      <w:r w:rsidRPr="00310E13">
        <w:rPr>
          <w:rtl/>
        </w:rPr>
        <w:t xml:space="preserve">דבאומר שקנה מהמוכר </w:t>
      </w:r>
      <w:r>
        <w:rPr>
          <w:rFonts w:hint="cs"/>
          <w:rtl/>
        </w:rPr>
        <w:t>הוא חזקה בלא טענה והרי הודה שיש מר"ק</w:t>
      </w:r>
      <w:bookmarkEnd w:id="8806"/>
    </w:p>
    <w:p w:rsidR="0007171D" w:rsidRPr="008C6075" w:rsidRDefault="0007171D" w:rsidP="007E4E81">
      <w:pPr>
        <w:pStyle w:val="a0"/>
        <w:rPr>
          <w:rtl/>
        </w:rPr>
      </w:pPr>
      <w:r>
        <w:rPr>
          <w:rFonts w:hint="cs"/>
          <w:rtl/>
        </w:rPr>
        <w:t xml:space="preserve">וכתב </w:t>
      </w:r>
      <w:r w:rsidRPr="004252D5">
        <w:rPr>
          <w:rStyle w:val="af9"/>
          <w:rFonts w:hint="cs"/>
          <w:rtl/>
        </w:rPr>
        <w:t>בחי' רבי נחום</w:t>
      </w:r>
      <w:r>
        <w:rPr>
          <w:rFonts w:hint="cs"/>
          <w:rtl/>
        </w:rPr>
        <w:t xml:space="preserve"> דלפי"ז מתורצת קושית </w:t>
      </w:r>
      <w:r w:rsidRPr="005933FF">
        <w:rPr>
          <w:rStyle w:val="af9"/>
          <w:rFonts w:hint="cs"/>
          <w:rtl/>
        </w:rPr>
        <w:t>המשל"מ</w:t>
      </w:r>
      <w:r>
        <w:rPr>
          <w:rFonts w:hint="cs"/>
          <w:rtl/>
        </w:rPr>
        <w:t xml:space="preserve">, דהמיגו דהיה טוען שקנה מהמערער, לא מהני לו, דהטענה שקנה מהמערער אינה טענה מצד עצמה, דכ"מ שלא היו מוציאין אותו מהקרקע בטענה זו, הוא כיון שאין למערער, עדים, וחזקה שאין עמה טענה מהני כשאין מרא קמא, אבל עכשיו שהוא מודה שיש מרא קמא, הוא צריך טענה גמורה לזכות בקרקע, ולא מהני לו הכח שהיה יכול לזכות בלא טענה, וכתב </w:t>
      </w:r>
      <w:r w:rsidRPr="004252D5">
        <w:rPr>
          <w:rStyle w:val="af9"/>
          <w:rFonts w:hint="cs"/>
          <w:rtl/>
        </w:rPr>
        <w:t>בחי' רבי נחום</w:t>
      </w:r>
      <w:r>
        <w:rPr>
          <w:rFonts w:hint="cs"/>
          <w:rtl/>
        </w:rPr>
        <w:t xml:space="preserve"> דלכן הקשה </w:t>
      </w:r>
      <w:r w:rsidRPr="004252D5">
        <w:rPr>
          <w:rStyle w:val="af9"/>
          <w:rFonts w:hint="cs"/>
          <w:rtl/>
        </w:rPr>
        <w:t>הרא"ש</w:t>
      </w:r>
      <w:r>
        <w:rPr>
          <w:rFonts w:hint="cs"/>
          <w:rtl/>
        </w:rPr>
        <w:t xml:space="preserve"> רק ממיגו דלא הייתה הקרקע של המערער מעולם, דהיא טענה מצד עצמה, וע"ז תירץ </w:t>
      </w:r>
      <w:r w:rsidRPr="004252D5">
        <w:rPr>
          <w:rStyle w:val="af9"/>
          <w:rFonts w:hint="cs"/>
          <w:rtl/>
        </w:rPr>
        <w:t>הרא"ש</w:t>
      </w:r>
      <w:r>
        <w:rPr>
          <w:rFonts w:hint="cs"/>
          <w:rtl/>
        </w:rPr>
        <w:t xml:space="preserve"> דהוא ירא לטעון את טענת המיגו.</w:t>
      </w:r>
    </w:p>
    <w:p w:rsidR="0007171D" w:rsidRDefault="0007171D" w:rsidP="0007171D">
      <w:pPr>
        <w:pStyle w:val="1"/>
        <w:rPr>
          <w:rtl/>
        </w:rPr>
      </w:pPr>
      <w:bookmarkStart w:id="8807" w:name="_Toc58843037"/>
      <w:bookmarkStart w:id="8808" w:name="_Toc58876245"/>
      <w:bookmarkStart w:id="8809" w:name="_Toc58877658"/>
      <w:bookmarkStart w:id="8810" w:name="_Toc58914717"/>
      <w:bookmarkStart w:id="8811" w:name="_Toc58926018"/>
      <w:bookmarkStart w:id="8812" w:name="_Toc58930094"/>
      <w:bookmarkStart w:id="8813" w:name="_Toc58938253"/>
      <w:bookmarkStart w:id="8814" w:name="_Toc59007068"/>
      <w:bookmarkStart w:id="8815" w:name="_Toc59013543"/>
      <w:bookmarkStart w:id="8816" w:name="_Toc59013791"/>
      <w:bookmarkStart w:id="8817" w:name="_Toc59025867"/>
      <w:r>
        <w:rPr>
          <w:rFonts w:hint="cs"/>
          <w:rtl/>
        </w:rPr>
        <w:t>ביאור הגרנ"פ בקו' הרא"ש</w:t>
      </w:r>
      <w:bookmarkEnd w:id="8789"/>
      <w:bookmarkEnd w:id="8807"/>
      <w:bookmarkEnd w:id="8808"/>
      <w:bookmarkEnd w:id="8809"/>
      <w:bookmarkEnd w:id="8810"/>
      <w:bookmarkEnd w:id="8811"/>
      <w:bookmarkEnd w:id="8812"/>
      <w:bookmarkEnd w:id="8813"/>
      <w:bookmarkEnd w:id="8814"/>
      <w:bookmarkEnd w:id="8815"/>
      <w:bookmarkEnd w:id="8816"/>
      <w:r>
        <w:rPr>
          <w:rFonts w:hint="cs"/>
          <w:rtl/>
        </w:rPr>
        <w:t xml:space="preserve"> דכח הטענה דמוכר יועיל למחזיק</w:t>
      </w:r>
      <w:bookmarkEnd w:id="8817"/>
    </w:p>
    <w:p w:rsidR="0007171D" w:rsidRDefault="0007171D" w:rsidP="0007171D">
      <w:pPr>
        <w:pStyle w:val="a3"/>
        <w:rPr>
          <w:rtl/>
        </w:rPr>
      </w:pPr>
      <w:bookmarkStart w:id="8818" w:name="_Toc59025868"/>
      <w:r>
        <w:rPr>
          <w:rFonts w:hint="cs"/>
          <w:rtl/>
        </w:rPr>
        <w:t>ביאור הגרנ"פ בקו' הרא"ש על הרשב"ם דהמחזיק יהיה נאמן שכך א"ל המוכר דלמוכר יש מיגו</w:t>
      </w:r>
      <w:bookmarkEnd w:id="8818"/>
    </w:p>
    <w:p w:rsidR="0007171D" w:rsidRDefault="0007171D" w:rsidP="007E4E81">
      <w:pPr>
        <w:pStyle w:val="a0"/>
        <w:rPr>
          <w:rtl/>
        </w:rPr>
      </w:pPr>
      <w:bookmarkStart w:id="8819" w:name="_Ref59021834"/>
      <w:r>
        <w:rPr>
          <w:rFonts w:hint="cs"/>
          <w:rtl/>
        </w:rPr>
        <w:t xml:space="preserve">במה שהקשה </w:t>
      </w:r>
      <w:r w:rsidRPr="007028BB">
        <w:rPr>
          <w:rStyle w:val="af9"/>
          <w:rFonts w:hint="cs"/>
          <w:rtl/>
        </w:rPr>
        <w:t>הרא"ש</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Ref58764069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Pr>
          <w:rStyle w:val="af7"/>
          <w:rFonts w:eastAsia="Guttman Hodes"/>
          <w:rtl/>
        </w:rPr>
        <w:fldChar w:fldCharType="end"/>
      </w:r>
      <w:r>
        <w:rPr>
          <w:rStyle w:val="af7"/>
          <w:rFonts w:eastAsia="Guttman Hodes" w:hint="cs"/>
          <w:rtl/>
        </w:rPr>
        <w:t xml:space="preserve"> </w:t>
      </w:r>
      <w:r>
        <w:rPr>
          <w:rFonts w:hint="cs"/>
          <w:rtl/>
        </w:rPr>
        <w:t xml:space="preserve">על </w:t>
      </w:r>
      <w:r w:rsidRPr="00266814">
        <w:rPr>
          <w:rStyle w:val="af9"/>
          <w:rFonts w:hint="cs"/>
          <w:rtl/>
        </w:rPr>
        <w:t xml:space="preserve">הרשב"ם </w:t>
      </w:r>
      <w:r>
        <w:rPr>
          <w:rFonts w:hint="cs"/>
          <w:rtl/>
        </w:rPr>
        <w:t xml:space="preserve">דלא מוכח מדברי המחזיק והמערער, דהמחזיק הודה שהקרקע הייתה של המערער, אלא שאמר המחזיק שכך אמר לו המוכר, והוסיף </w:t>
      </w:r>
      <w:r w:rsidRPr="00F84862">
        <w:rPr>
          <w:rStyle w:val="af9"/>
          <w:rFonts w:hint="cs"/>
          <w:rtl/>
        </w:rPr>
        <w:t>הרא"ש</w:t>
      </w:r>
      <w:r>
        <w:rPr>
          <w:rFonts w:hint="cs"/>
          <w:rtl/>
        </w:rPr>
        <w:t xml:space="preserve"> </w:t>
      </w:r>
      <w:r w:rsidRPr="00F84862">
        <w:rPr>
          <w:rStyle w:val="af7"/>
          <w:rFonts w:eastAsia="Guttman Hodes" w:hint="cs"/>
          <w:rtl/>
        </w:rPr>
        <w:t xml:space="preserve">(עי' אות </w:t>
      </w:r>
      <w:r w:rsidRPr="00F84862">
        <w:rPr>
          <w:rStyle w:val="af7"/>
          <w:rFonts w:eastAsia="Guttman Hodes"/>
          <w:rtl/>
        </w:rPr>
        <w:fldChar w:fldCharType="begin"/>
      </w:r>
      <w:r w:rsidRPr="00F84862">
        <w:rPr>
          <w:rStyle w:val="af7"/>
          <w:rFonts w:eastAsia="Guttman Hodes"/>
          <w:rtl/>
        </w:rPr>
        <w:instrText xml:space="preserve"> </w:instrText>
      </w:r>
      <w:r w:rsidRPr="00F84862">
        <w:rPr>
          <w:rStyle w:val="af7"/>
          <w:rFonts w:eastAsia="Guttman Hodes" w:hint="cs"/>
        </w:rPr>
        <w:instrText>REF</w:instrText>
      </w:r>
      <w:r w:rsidRPr="00F84862">
        <w:rPr>
          <w:rStyle w:val="af7"/>
          <w:rFonts w:eastAsia="Guttman Hodes" w:hint="cs"/>
          <w:rtl/>
        </w:rPr>
        <w:instrText xml:space="preserve"> _</w:instrText>
      </w:r>
      <w:r w:rsidRPr="00F84862">
        <w:rPr>
          <w:rStyle w:val="af7"/>
          <w:rFonts w:eastAsia="Guttman Hodes" w:hint="cs"/>
        </w:rPr>
        <w:instrText>Ref58834676 \r \h</w:instrText>
      </w:r>
      <w:r w:rsidRPr="00F84862">
        <w:rPr>
          <w:rStyle w:val="af7"/>
          <w:rFonts w:eastAsia="Guttman Hodes"/>
          <w:rtl/>
        </w:rPr>
        <w:instrText xml:space="preserve"> </w:instrText>
      </w:r>
      <w:r w:rsidRPr="00F84862">
        <w:rPr>
          <w:rStyle w:val="af7"/>
          <w:rFonts w:eastAsia="Guttman Hodes"/>
          <w:rtl/>
        </w:rPr>
      </w:r>
      <w:r w:rsidRPr="00F84862">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F84862">
        <w:rPr>
          <w:rStyle w:val="af7"/>
          <w:rFonts w:eastAsia="Guttman Hodes"/>
          <w:rtl/>
        </w:rPr>
        <w:fldChar w:fldCharType="end"/>
      </w:r>
      <w:r>
        <w:rPr>
          <w:rFonts w:hint="cs"/>
          <w:rtl/>
        </w:rPr>
        <w:t xml:space="preserve"> להקשות דאם היה המוכר לפנינו והיה טוען שלך הייתה ולקחתיה ממך, הוא היה נאמן במיגו דלא הייתה שלך מעולם, וא"כ אף המחזיק שבא מכחו, ג"כ צריך להיות נאמן </w:t>
      </w:r>
      <w:r w:rsidRPr="009307A2">
        <w:rPr>
          <w:rFonts w:hint="cs"/>
          <w:rtl/>
        </w:rPr>
        <w:t>בטענה זו,</w:t>
      </w:r>
      <w:r>
        <w:rPr>
          <w:rFonts w:hint="cs"/>
          <w:rtl/>
        </w:rPr>
        <w:t xml:space="preserve"> כתב </w:t>
      </w:r>
      <w:r w:rsidRPr="00266814">
        <w:rPr>
          <w:rStyle w:val="af9"/>
          <w:rFonts w:hint="cs"/>
          <w:rtl/>
        </w:rPr>
        <w:t xml:space="preserve">בחי' רבי נחום </w:t>
      </w:r>
      <w:r w:rsidRPr="00187BAA">
        <w:rPr>
          <w:rStyle w:val="af7"/>
          <w:rFonts w:eastAsia="Guttman Hodes" w:hint="cs"/>
          <w:rtl/>
        </w:rPr>
        <w:t>(או' ע"ג)</w:t>
      </w:r>
      <w:r>
        <w:rPr>
          <w:rFonts w:hint="cs"/>
          <w:rtl/>
        </w:rPr>
        <w:t xml:space="preserve"> דבפשטות משמע דכוונת </w:t>
      </w:r>
      <w:r w:rsidRPr="00266814">
        <w:rPr>
          <w:rStyle w:val="af9"/>
          <w:rFonts w:hint="cs"/>
          <w:rtl/>
        </w:rPr>
        <w:t xml:space="preserve">הרא"ש </w:t>
      </w:r>
      <w:r>
        <w:rPr>
          <w:rFonts w:hint="cs"/>
          <w:rtl/>
        </w:rPr>
        <w:t>להקשות דהמחזיק יהיה נאמן שכך אמר לו המוכר, במיגו דהיה אומר שלא הייתה של המערער מעולם, דהרי המוכר היה נאמן שקנה מהמערער מדין הפה שאסר.</w:t>
      </w:r>
      <w:bookmarkEnd w:id="8819"/>
    </w:p>
    <w:p w:rsidR="004C6794" w:rsidRPr="004C6794" w:rsidRDefault="004C6794" w:rsidP="004C6794">
      <w:pPr>
        <w:pStyle w:val="a3"/>
        <w:rPr>
          <w:rtl/>
        </w:rPr>
      </w:pPr>
    </w:p>
    <w:p w:rsidR="004C6794" w:rsidRPr="004C6794" w:rsidRDefault="004C6794" w:rsidP="004C6794">
      <w:pPr>
        <w:pStyle w:val="a3"/>
        <w:rPr>
          <w:rtl/>
        </w:rPr>
      </w:pPr>
    </w:p>
    <w:p w:rsidR="0007171D" w:rsidRPr="00F84862" w:rsidRDefault="0007171D" w:rsidP="0007171D">
      <w:pPr>
        <w:pStyle w:val="a3"/>
      </w:pPr>
      <w:bookmarkStart w:id="8820" w:name="_Toc59025869"/>
      <w:r>
        <w:rPr>
          <w:rFonts w:hint="cs"/>
          <w:rtl/>
        </w:rPr>
        <w:t>ביאור הגרנ"פ ברא"ש דאין למחזיק מיגו דלהד"ם ולכן אינו נאמן שכך א"ל המוכר</w:t>
      </w:r>
      <w:bookmarkEnd w:id="8820"/>
    </w:p>
    <w:p w:rsidR="0007171D" w:rsidRDefault="0007171D" w:rsidP="007E4E81">
      <w:pPr>
        <w:pStyle w:val="a0"/>
        <w:rPr>
          <w:rtl/>
        </w:rPr>
      </w:pPr>
      <w:bookmarkStart w:id="8821" w:name="_Ref59021674"/>
      <w:r>
        <w:rPr>
          <w:rFonts w:hint="cs"/>
          <w:rtl/>
        </w:rPr>
        <w:t xml:space="preserve">וכתב </w:t>
      </w:r>
      <w:r w:rsidRPr="00266814">
        <w:rPr>
          <w:rStyle w:val="af9"/>
          <w:rFonts w:hint="cs"/>
          <w:rtl/>
        </w:rPr>
        <w:t xml:space="preserve">בחי' רבי נחום </w:t>
      </w:r>
      <w:r>
        <w:rPr>
          <w:rFonts w:hint="cs"/>
          <w:rtl/>
        </w:rPr>
        <w:t xml:space="preserve">דלפי"ז מ"ש </w:t>
      </w:r>
      <w:r w:rsidRPr="00266814">
        <w:rPr>
          <w:rStyle w:val="af9"/>
          <w:rFonts w:hint="cs"/>
          <w:rtl/>
        </w:rPr>
        <w:t xml:space="preserve">הרא"ש </w:t>
      </w:r>
      <w:r w:rsidRPr="00871763">
        <w:rPr>
          <w:rStyle w:val="af7"/>
          <w:rFonts w:eastAsia="Guttman Hodes" w:hint="cs"/>
          <w:rtl/>
        </w:rPr>
        <w:t xml:space="preserve">(עי' אות </w:t>
      </w:r>
      <w:r w:rsidRPr="00871763">
        <w:rPr>
          <w:rStyle w:val="af7"/>
          <w:rFonts w:eastAsia="Guttman Hodes"/>
          <w:rtl/>
        </w:rPr>
        <w:fldChar w:fldCharType="begin"/>
      </w:r>
      <w:r w:rsidRPr="00871763">
        <w:rPr>
          <w:rStyle w:val="af7"/>
          <w:rFonts w:eastAsia="Guttman Hodes"/>
          <w:rtl/>
        </w:rPr>
        <w:instrText xml:space="preserve"> </w:instrText>
      </w:r>
      <w:r w:rsidRPr="00871763">
        <w:rPr>
          <w:rStyle w:val="af7"/>
          <w:rFonts w:eastAsia="Guttman Hodes" w:hint="cs"/>
        </w:rPr>
        <w:instrText>REF</w:instrText>
      </w:r>
      <w:r w:rsidRPr="00871763">
        <w:rPr>
          <w:rStyle w:val="af7"/>
          <w:rFonts w:eastAsia="Guttman Hodes" w:hint="cs"/>
          <w:rtl/>
        </w:rPr>
        <w:instrText xml:space="preserve"> _</w:instrText>
      </w:r>
      <w:r w:rsidRPr="00871763">
        <w:rPr>
          <w:rStyle w:val="af7"/>
          <w:rFonts w:eastAsia="Guttman Hodes" w:hint="cs"/>
        </w:rPr>
        <w:instrText>Ref57911051 \r \h</w:instrText>
      </w:r>
      <w:r w:rsidRPr="00871763">
        <w:rPr>
          <w:rStyle w:val="af7"/>
          <w:rFonts w:eastAsia="Guttman Hodes"/>
          <w:rtl/>
        </w:rPr>
        <w:instrText xml:space="preserve"> </w:instrText>
      </w:r>
      <w:r w:rsidRPr="00871763">
        <w:rPr>
          <w:rStyle w:val="af7"/>
          <w:rFonts w:eastAsia="Guttman Hodes"/>
          <w:rtl/>
        </w:rPr>
      </w:r>
      <w:r w:rsidRPr="00871763">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871763">
        <w:rPr>
          <w:rStyle w:val="af7"/>
          <w:rFonts w:eastAsia="Guttman Hodes"/>
          <w:rtl/>
        </w:rPr>
        <w:fldChar w:fldCharType="end"/>
      </w:r>
      <w:r>
        <w:rPr>
          <w:rFonts w:hint="cs"/>
          <w:rtl/>
        </w:rPr>
        <w:t xml:space="preserve"> דאינו מיגו טוב, היינו דס"ל </w:t>
      </w:r>
      <w:r w:rsidRPr="00F84862">
        <w:rPr>
          <w:rStyle w:val="af9"/>
          <w:rFonts w:hint="cs"/>
          <w:rtl/>
        </w:rPr>
        <w:t>להרא"ש</w:t>
      </w:r>
      <w:r>
        <w:rPr>
          <w:rFonts w:hint="cs"/>
          <w:rtl/>
        </w:rPr>
        <w:t xml:space="preserve"> דהמחזיק אינו נאמן שכך אמר לו המוכר. [וכן ביאר </w:t>
      </w:r>
      <w:r w:rsidRPr="00F84862">
        <w:rPr>
          <w:rStyle w:val="af9"/>
          <w:rFonts w:hint="cs"/>
          <w:rtl/>
        </w:rPr>
        <w:t>המשל"מ</w:t>
      </w:r>
      <w:r>
        <w:rPr>
          <w:rFonts w:hint="cs"/>
          <w:rtl/>
        </w:rPr>
        <w:t xml:space="preserve"> </w:t>
      </w:r>
      <w:r w:rsidRPr="00F84862">
        <w:rPr>
          <w:rStyle w:val="af7"/>
          <w:rFonts w:eastAsia="Guttman Hodes" w:hint="cs"/>
          <w:rtl/>
        </w:rPr>
        <w:t xml:space="preserve">(עי' אות </w:t>
      </w:r>
      <w:r w:rsidRPr="00F84862">
        <w:rPr>
          <w:rStyle w:val="af7"/>
          <w:rFonts w:eastAsia="Guttman Hodes"/>
          <w:rtl/>
        </w:rPr>
        <w:fldChar w:fldCharType="begin"/>
      </w:r>
      <w:r w:rsidRPr="00F84862">
        <w:rPr>
          <w:rStyle w:val="af7"/>
          <w:rFonts w:eastAsia="Guttman Hodes"/>
          <w:rtl/>
        </w:rPr>
        <w:instrText xml:space="preserve"> </w:instrText>
      </w:r>
      <w:r w:rsidRPr="00F84862">
        <w:rPr>
          <w:rStyle w:val="af7"/>
          <w:rFonts w:eastAsia="Guttman Hodes" w:hint="cs"/>
        </w:rPr>
        <w:instrText>REF</w:instrText>
      </w:r>
      <w:r w:rsidRPr="00F84862">
        <w:rPr>
          <w:rStyle w:val="af7"/>
          <w:rFonts w:eastAsia="Guttman Hodes" w:hint="cs"/>
          <w:rtl/>
        </w:rPr>
        <w:instrText xml:space="preserve"> _</w:instrText>
      </w:r>
      <w:r w:rsidRPr="00F84862">
        <w:rPr>
          <w:rStyle w:val="af7"/>
          <w:rFonts w:eastAsia="Guttman Hodes" w:hint="cs"/>
        </w:rPr>
        <w:instrText>Ref58836319 \r \h</w:instrText>
      </w:r>
      <w:r w:rsidRPr="00F84862">
        <w:rPr>
          <w:rStyle w:val="af7"/>
          <w:rFonts w:eastAsia="Guttman Hodes"/>
          <w:rtl/>
        </w:rPr>
        <w:instrText xml:space="preserve"> </w:instrText>
      </w:r>
      <w:r w:rsidRPr="00F84862">
        <w:rPr>
          <w:rStyle w:val="af7"/>
          <w:rFonts w:eastAsia="Guttman Hodes"/>
          <w:rtl/>
        </w:rPr>
      </w:r>
      <w:r w:rsidRPr="00F84862">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F84862">
        <w:rPr>
          <w:rStyle w:val="af7"/>
          <w:rFonts w:eastAsia="Guttman Hodes"/>
          <w:rtl/>
        </w:rPr>
        <w:fldChar w:fldCharType="end"/>
      </w:r>
      <w:r>
        <w:rPr>
          <w:rFonts w:hint="cs"/>
          <w:rtl/>
        </w:rPr>
        <w:t xml:space="preserve"> בדברי </w:t>
      </w:r>
      <w:r w:rsidRPr="00F84862">
        <w:rPr>
          <w:rStyle w:val="af9"/>
          <w:rFonts w:hint="cs"/>
          <w:rtl/>
        </w:rPr>
        <w:t>הרא"ש</w:t>
      </w:r>
      <w:r>
        <w:rPr>
          <w:rFonts w:hint="cs"/>
          <w:rtl/>
        </w:rPr>
        <w:t>].</w:t>
      </w:r>
      <w:bookmarkEnd w:id="8821"/>
    </w:p>
    <w:p w:rsidR="0007171D" w:rsidRPr="00C80878" w:rsidRDefault="0007171D" w:rsidP="0007171D">
      <w:pPr>
        <w:pStyle w:val="a3"/>
        <w:rPr>
          <w:rtl/>
        </w:rPr>
      </w:pPr>
      <w:bookmarkStart w:id="8822" w:name="_Toc59025870"/>
      <w:r>
        <w:rPr>
          <w:rFonts w:hint="cs"/>
          <w:rtl/>
        </w:rPr>
        <w:t>קושיות הגרנ"פ דברא"ש משמע דהמחזיק עצמו נאמן במיגו ועוד דלמשל"מ ק' דסגי שישתוק</w:t>
      </w:r>
      <w:bookmarkEnd w:id="8822"/>
    </w:p>
    <w:p w:rsidR="0007171D" w:rsidRDefault="0007171D" w:rsidP="007E4E81">
      <w:pPr>
        <w:pStyle w:val="a0"/>
        <w:rPr>
          <w:rtl/>
        </w:rPr>
      </w:pPr>
      <w:bookmarkStart w:id="8823" w:name="_Ref59022161"/>
      <w:r>
        <w:rPr>
          <w:rFonts w:hint="cs"/>
          <w:rtl/>
        </w:rPr>
        <w:t xml:space="preserve">אך הקשה </w:t>
      </w:r>
      <w:r w:rsidRPr="00266814">
        <w:rPr>
          <w:rStyle w:val="af9"/>
          <w:rFonts w:hint="cs"/>
          <w:rtl/>
        </w:rPr>
        <w:t xml:space="preserve">בחי' רבי נחום </w:t>
      </w:r>
      <w:r>
        <w:rPr>
          <w:rFonts w:hint="cs"/>
          <w:rtl/>
        </w:rPr>
        <w:t xml:space="preserve">דמדברי </w:t>
      </w:r>
      <w:r w:rsidRPr="00266814">
        <w:rPr>
          <w:rStyle w:val="af9"/>
          <w:rFonts w:hint="cs"/>
          <w:rtl/>
        </w:rPr>
        <w:t xml:space="preserve">הרא"ש </w:t>
      </w:r>
      <w:r>
        <w:rPr>
          <w:rFonts w:hint="cs"/>
          <w:rtl/>
        </w:rPr>
        <w:t xml:space="preserve">משמע דהנדון הוא שהמחזיק עצמו יהיה נאמן במיגו, ולא שהמוכר יהיה נאמן, וכל הנאמנות של המחזיק היא שכך אמר לו המוכר, </w:t>
      </w:r>
      <w:r w:rsidRPr="00C80878">
        <w:rPr>
          <w:rStyle w:val="afb"/>
          <w:rFonts w:hint="cs"/>
          <w:rtl/>
        </w:rPr>
        <w:t>[</w:t>
      </w:r>
      <w:r>
        <w:rPr>
          <w:rStyle w:val="afb"/>
          <w:rFonts w:hint="cs"/>
          <w:rtl/>
        </w:rPr>
        <w:t>ועי' בדברי</w:t>
      </w:r>
      <w:r w:rsidRPr="00C80878">
        <w:rPr>
          <w:rStyle w:val="afb"/>
          <w:rFonts w:hint="cs"/>
          <w:rtl/>
        </w:rPr>
        <w:t xml:space="preserve"> </w:t>
      </w:r>
      <w:r w:rsidRPr="00112D88">
        <w:rPr>
          <w:rStyle w:val="affa"/>
          <w:rFonts w:hint="cs"/>
          <w:rtl/>
        </w:rPr>
        <w:t>המהרי"ט</w:t>
      </w:r>
      <w:r w:rsidRPr="00C80878">
        <w:rPr>
          <w:rStyle w:val="afb"/>
          <w:rFonts w:hint="cs"/>
          <w:rtl/>
        </w:rPr>
        <w:t xml:space="preserve"> </w:t>
      </w:r>
      <w:r w:rsidRPr="00112D88">
        <w:rPr>
          <w:rStyle w:val="aff6"/>
          <w:rFonts w:hint="cs"/>
          <w:rtl/>
        </w:rPr>
        <w:t xml:space="preserve">(עי' אות </w:t>
      </w:r>
      <w:r w:rsidRPr="00112D88">
        <w:rPr>
          <w:rStyle w:val="aff6"/>
          <w:rtl/>
        </w:rPr>
        <w:fldChar w:fldCharType="begin"/>
      </w:r>
      <w:r w:rsidRPr="00112D88">
        <w:rPr>
          <w:rStyle w:val="aff6"/>
          <w:rtl/>
        </w:rPr>
        <w:instrText xml:space="preserve"> </w:instrText>
      </w:r>
      <w:r w:rsidRPr="00112D88">
        <w:rPr>
          <w:rStyle w:val="aff6"/>
          <w:rFonts w:hint="cs"/>
        </w:rPr>
        <w:instrText>REF</w:instrText>
      </w:r>
      <w:r w:rsidRPr="00112D88">
        <w:rPr>
          <w:rStyle w:val="aff6"/>
          <w:rFonts w:hint="cs"/>
          <w:rtl/>
        </w:rPr>
        <w:instrText xml:space="preserve"> _</w:instrText>
      </w:r>
      <w:r w:rsidRPr="00112D88">
        <w:rPr>
          <w:rStyle w:val="aff6"/>
          <w:rFonts w:hint="cs"/>
        </w:rPr>
        <w:instrText>Ref58358296 \r \h</w:instrText>
      </w:r>
      <w:r w:rsidRPr="00112D88">
        <w:rPr>
          <w:rStyle w:val="aff6"/>
          <w:rtl/>
        </w:rPr>
        <w:instrText xml:space="preserve"> </w:instrText>
      </w:r>
      <w:r w:rsidRPr="00112D88">
        <w:rPr>
          <w:rStyle w:val="aff6"/>
          <w:rtl/>
        </w:rPr>
      </w:r>
      <w:r w:rsidRPr="00112D88">
        <w:rPr>
          <w:rStyle w:val="aff6"/>
          <w:rtl/>
        </w:rPr>
        <w:fldChar w:fldCharType="separate"/>
      </w:r>
      <w:r w:rsidR="00265073">
        <w:rPr>
          <w:rStyle w:val="aff6"/>
          <w:cs/>
        </w:rPr>
        <w:t>‎</w:t>
      </w:r>
      <w:r w:rsidR="00265073">
        <w:rPr>
          <w:rStyle w:val="aff6"/>
          <w:rtl/>
        </w:rPr>
        <w:t>נ)</w:t>
      </w:r>
      <w:r w:rsidRPr="00112D88">
        <w:rPr>
          <w:rStyle w:val="aff6"/>
          <w:rtl/>
        </w:rPr>
        <w:fldChar w:fldCharType="end"/>
      </w:r>
      <w:r w:rsidRPr="00C80878">
        <w:rPr>
          <w:rStyle w:val="afb"/>
          <w:rFonts w:hint="cs"/>
          <w:rtl/>
        </w:rPr>
        <w:t>],</w:t>
      </w:r>
      <w:r>
        <w:rPr>
          <w:rFonts w:hint="cs"/>
          <w:rtl/>
        </w:rPr>
        <w:t xml:space="preserve"> ועוד הקשה </w:t>
      </w:r>
      <w:r w:rsidRPr="00C80878">
        <w:rPr>
          <w:rStyle w:val="af9"/>
          <w:rFonts w:hint="cs"/>
          <w:rtl/>
        </w:rPr>
        <w:t xml:space="preserve">בחי' רבי נחום </w:t>
      </w:r>
      <w:r>
        <w:rPr>
          <w:rFonts w:hint="cs"/>
          <w:rtl/>
        </w:rPr>
        <w:t xml:space="preserve">דאי הנדון הוא אי נאמן שכך אמר לו המוכר, [כדביאר </w:t>
      </w:r>
      <w:r w:rsidRPr="00F84862">
        <w:rPr>
          <w:rStyle w:val="af9"/>
          <w:rFonts w:hint="cs"/>
          <w:rtl/>
        </w:rPr>
        <w:t>המשל"מ</w:t>
      </w:r>
      <w:r>
        <w:rPr>
          <w:rFonts w:hint="cs"/>
          <w:rtl/>
        </w:rPr>
        <w:t xml:space="preserve"> </w:t>
      </w:r>
      <w:r w:rsidRPr="00F84862">
        <w:rPr>
          <w:rStyle w:val="af7"/>
          <w:rFonts w:eastAsia="Guttman Hodes" w:hint="cs"/>
          <w:rtl/>
        </w:rPr>
        <w:t xml:space="preserve">(עי' אות </w:t>
      </w:r>
      <w:r w:rsidRPr="00F84862">
        <w:rPr>
          <w:rStyle w:val="af7"/>
          <w:rFonts w:eastAsia="Guttman Hodes"/>
          <w:rtl/>
        </w:rPr>
        <w:fldChar w:fldCharType="begin"/>
      </w:r>
      <w:r w:rsidRPr="00F84862">
        <w:rPr>
          <w:rStyle w:val="af7"/>
          <w:rFonts w:eastAsia="Guttman Hodes"/>
          <w:rtl/>
        </w:rPr>
        <w:instrText xml:space="preserve"> </w:instrText>
      </w:r>
      <w:r w:rsidRPr="00F84862">
        <w:rPr>
          <w:rStyle w:val="af7"/>
          <w:rFonts w:eastAsia="Guttman Hodes" w:hint="cs"/>
        </w:rPr>
        <w:instrText>REF</w:instrText>
      </w:r>
      <w:r w:rsidRPr="00F84862">
        <w:rPr>
          <w:rStyle w:val="af7"/>
          <w:rFonts w:eastAsia="Guttman Hodes" w:hint="cs"/>
          <w:rtl/>
        </w:rPr>
        <w:instrText xml:space="preserve"> _</w:instrText>
      </w:r>
      <w:r w:rsidRPr="00F84862">
        <w:rPr>
          <w:rStyle w:val="af7"/>
          <w:rFonts w:eastAsia="Guttman Hodes" w:hint="cs"/>
        </w:rPr>
        <w:instrText>Ref58836319 \r \h</w:instrText>
      </w:r>
      <w:r w:rsidRPr="00F84862">
        <w:rPr>
          <w:rStyle w:val="af7"/>
          <w:rFonts w:eastAsia="Guttman Hodes"/>
          <w:rtl/>
        </w:rPr>
        <w:instrText xml:space="preserve"> </w:instrText>
      </w:r>
      <w:r w:rsidRPr="00F84862">
        <w:rPr>
          <w:rStyle w:val="af7"/>
          <w:rFonts w:eastAsia="Guttman Hodes"/>
          <w:rtl/>
        </w:rPr>
      </w:r>
      <w:r w:rsidRPr="00F84862">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F84862">
        <w:rPr>
          <w:rStyle w:val="af7"/>
          <w:rFonts w:eastAsia="Guttman Hodes"/>
          <w:rtl/>
        </w:rPr>
        <w:fldChar w:fldCharType="end"/>
      </w:r>
      <w:r>
        <w:rPr>
          <w:rFonts w:hint="cs"/>
          <w:rtl/>
        </w:rPr>
        <w:t xml:space="preserve">], א"כ א"צ להאמינו במיגו דלא הייתה של המערער מעולם, וסגי במיגו דהיה יכול לטעון שקנה מהמוכר, ולא היה מוסיף שאמר לו שקנה מהמערער, וכדהקשה </w:t>
      </w:r>
      <w:r w:rsidRPr="00266814">
        <w:rPr>
          <w:rStyle w:val="af9"/>
          <w:rFonts w:hint="cs"/>
          <w:rtl/>
        </w:rPr>
        <w:t xml:space="preserve">המשל"מ </w:t>
      </w:r>
      <w:r w:rsidRPr="00266814">
        <w:rPr>
          <w:rStyle w:val="af7"/>
          <w:rFonts w:eastAsia="Guttman Hodes" w:hint="cs"/>
          <w:rtl/>
        </w:rPr>
        <w:t xml:space="preserve">(עי' אות </w:t>
      </w:r>
      <w:r w:rsidRPr="00266814">
        <w:rPr>
          <w:rStyle w:val="af7"/>
          <w:rFonts w:eastAsia="Guttman Hodes"/>
          <w:rtl/>
        </w:rPr>
        <w:fldChar w:fldCharType="begin"/>
      </w:r>
      <w:r w:rsidRPr="00266814">
        <w:rPr>
          <w:rStyle w:val="af7"/>
          <w:rFonts w:eastAsia="Guttman Hodes"/>
          <w:rtl/>
        </w:rPr>
        <w:instrText xml:space="preserve"> </w:instrText>
      </w:r>
      <w:r w:rsidRPr="00266814">
        <w:rPr>
          <w:rStyle w:val="af7"/>
          <w:rFonts w:eastAsia="Guttman Hodes" w:hint="cs"/>
        </w:rPr>
        <w:instrText>REF</w:instrText>
      </w:r>
      <w:r w:rsidRPr="00266814">
        <w:rPr>
          <w:rStyle w:val="af7"/>
          <w:rFonts w:eastAsia="Guttman Hodes" w:hint="cs"/>
          <w:rtl/>
        </w:rPr>
        <w:instrText xml:space="preserve"> _</w:instrText>
      </w:r>
      <w:r w:rsidRPr="00266814">
        <w:rPr>
          <w:rStyle w:val="af7"/>
          <w:rFonts w:eastAsia="Guttman Hodes" w:hint="cs"/>
        </w:rPr>
        <w:instrText>Ref58837473 \r \h</w:instrText>
      </w:r>
      <w:r w:rsidRPr="00266814">
        <w:rPr>
          <w:rStyle w:val="af7"/>
          <w:rFonts w:eastAsia="Guttman Hodes"/>
          <w:rtl/>
        </w:rPr>
        <w:instrText xml:space="preserve"> </w:instrText>
      </w:r>
      <w:r w:rsidRPr="00266814">
        <w:rPr>
          <w:rStyle w:val="af7"/>
          <w:rFonts w:eastAsia="Guttman Hodes"/>
          <w:rtl/>
        </w:rPr>
      </w:r>
      <w:r w:rsidRPr="00266814">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266814">
        <w:rPr>
          <w:rStyle w:val="af7"/>
          <w:rFonts w:eastAsia="Guttman Hodes"/>
          <w:rtl/>
        </w:rPr>
        <w:fldChar w:fldCharType="end"/>
      </w:r>
      <w:r>
        <w:rPr>
          <w:rFonts w:hint="cs"/>
          <w:rtl/>
        </w:rPr>
        <w:t xml:space="preserve">, ועל מיגו זה לא מהני התירוץ של </w:t>
      </w:r>
      <w:r w:rsidRPr="00266814">
        <w:rPr>
          <w:rStyle w:val="af9"/>
          <w:rFonts w:hint="cs"/>
          <w:rtl/>
        </w:rPr>
        <w:t xml:space="preserve">הרא"ש </w:t>
      </w:r>
      <w:r w:rsidRPr="00871763">
        <w:rPr>
          <w:rStyle w:val="af7"/>
          <w:rFonts w:eastAsia="Guttman Hodes" w:hint="cs"/>
          <w:rtl/>
        </w:rPr>
        <w:t xml:space="preserve">(עי' אות </w:t>
      </w:r>
      <w:r w:rsidRPr="00871763">
        <w:rPr>
          <w:rStyle w:val="af7"/>
          <w:rFonts w:eastAsia="Guttman Hodes"/>
          <w:rtl/>
        </w:rPr>
        <w:fldChar w:fldCharType="begin"/>
      </w:r>
      <w:r w:rsidRPr="00871763">
        <w:rPr>
          <w:rStyle w:val="af7"/>
          <w:rFonts w:eastAsia="Guttman Hodes"/>
          <w:rtl/>
        </w:rPr>
        <w:instrText xml:space="preserve"> </w:instrText>
      </w:r>
      <w:r w:rsidRPr="00871763">
        <w:rPr>
          <w:rStyle w:val="af7"/>
          <w:rFonts w:eastAsia="Guttman Hodes" w:hint="cs"/>
        </w:rPr>
        <w:instrText>REF</w:instrText>
      </w:r>
      <w:r w:rsidRPr="00871763">
        <w:rPr>
          <w:rStyle w:val="af7"/>
          <w:rFonts w:eastAsia="Guttman Hodes" w:hint="cs"/>
          <w:rtl/>
        </w:rPr>
        <w:instrText xml:space="preserve"> _</w:instrText>
      </w:r>
      <w:r w:rsidRPr="00871763">
        <w:rPr>
          <w:rStyle w:val="af7"/>
          <w:rFonts w:eastAsia="Guttman Hodes" w:hint="cs"/>
        </w:rPr>
        <w:instrText>Ref57911051 \r \h</w:instrText>
      </w:r>
      <w:r w:rsidRPr="00871763">
        <w:rPr>
          <w:rStyle w:val="af7"/>
          <w:rFonts w:eastAsia="Guttman Hodes"/>
          <w:rtl/>
        </w:rPr>
        <w:instrText xml:space="preserve"> </w:instrText>
      </w:r>
      <w:r w:rsidRPr="00871763">
        <w:rPr>
          <w:rStyle w:val="af7"/>
          <w:rFonts w:eastAsia="Guttman Hodes"/>
          <w:rtl/>
        </w:rPr>
      </w:r>
      <w:r w:rsidRPr="00871763">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871763">
        <w:rPr>
          <w:rStyle w:val="af7"/>
          <w:rFonts w:eastAsia="Guttman Hodes"/>
          <w:rtl/>
        </w:rPr>
        <w:fldChar w:fldCharType="end"/>
      </w:r>
      <w:r>
        <w:rPr>
          <w:rFonts w:hint="cs"/>
          <w:rtl/>
        </w:rPr>
        <w:t>.</w:t>
      </w:r>
      <w:bookmarkEnd w:id="8823"/>
    </w:p>
    <w:p w:rsidR="0007171D" w:rsidRPr="00F57922" w:rsidRDefault="0007171D" w:rsidP="0007171D">
      <w:pPr>
        <w:pStyle w:val="a3"/>
        <w:rPr>
          <w:rtl/>
        </w:rPr>
      </w:pPr>
      <w:bookmarkStart w:id="8824" w:name="_Toc59025871"/>
      <w:r>
        <w:rPr>
          <w:rFonts w:hint="cs"/>
          <w:rtl/>
        </w:rPr>
        <w:t>ביאור הגרנ"פ ברא"ש דל"מ המיגו למחזיק מחוץ לב"ד והק' הרא"ש דנאמן בכח המיגו דמוכר</w:t>
      </w:r>
      <w:bookmarkEnd w:id="8824"/>
    </w:p>
    <w:p w:rsidR="0007171D" w:rsidRDefault="0007171D" w:rsidP="007E4E81">
      <w:pPr>
        <w:pStyle w:val="a0"/>
        <w:rPr>
          <w:rtl/>
        </w:rPr>
      </w:pPr>
      <w:bookmarkStart w:id="8825" w:name="_Ref58922953"/>
      <w:r>
        <w:rPr>
          <w:rFonts w:hint="cs"/>
          <w:rtl/>
        </w:rPr>
        <w:t xml:space="preserve">אלא ביאר </w:t>
      </w:r>
      <w:r w:rsidRPr="00266814">
        <w:rPr>
          <w:rStyle w:val="af9"/>
          <w:rFonts w:hint="cs"/>
          <w:rtl/>
        </w:rPr>
        <w:t xml:space="preserve">בחי' רבי נחום </w:t>
      </w:r>
      <w:r>
        <w:rPr>
          <w:rFonts w:hint="cs"/>
          <w:rtl/>
        </w:rPr>
        <w:t xml:space="preserve">דאין הנדון אם מאמינים למחזיק במה שאמר שכך אמר לו המוכר, כיון דס"ל </w:t>
      </w:r>
      <w:r w:rsidRPr="00043DD8">
        <w:rPr>
          <w:rStyle w:val="af9"/>
          <w:rFonts w:hint="cs"/>
          <w:rtl/>
        </w:rPr>
        <w:t>להרא"ש</w:t>
      </w:r>
      <w:r>
        <w:rPr>
          <w:rFonts w:hint="cs"/>
          <w:rtl/>
        </w:rPr>
        <w:t xml:space="preserve"> דלא מהני מיגו חוץ לב"ד, </w:t>
      </w:r>
      <w:r w:rsidRPr="00975BE1">
        <w:rPr>
          <w:rStyle w:val="afb"/>
          <w:rFonts w:hint="cs"/>
          <w:rtl/>
        </w:rPr>
        <w:t>[</w:t>
      </w:r>
      <w:r>
        <w:rPr>
          <w:rStyle w:val="afb"/>
          <w:rFonts w:hint="cs"/>
          <w:rtl/>
        </w:rPr>
        <w:t>כדעת</w:t>
      </w:r>
      <w:r w:rsidRPr="00975BE1">
        <w:rPr>
          <w:rStyle w:val="afb"/>
          <w:rFonts w:hint="cs"/>
          <w:rtl/>
        </w:rPr>
        <w:t xml:space="preserve"> </w:t>
      </w:r>
      <w:r w:rsidRPr="00975BE1">
        <w:rPr>
          <w:rStyle w:val="affa"/>
          <w:rFonts w:hint="cs"/>
          <w:rtl/>
        </w:rPr>
        <w:t>התומים</w:t>
      </w:r>
      <w:r w:rsidRPr="00975BE1">
        <w:rPr>
          <w:rStyle w:val="afb"/>
          <w:rFonts w:hint="cs"/>
          <w:rtl/>
        </w:rPr>
        <w:t xml:space="preserve"> </w:t>
      </w:r>
      <w:r w:rsidRPr="00975BE1">
        <w:rPr>
          <w:rStyle w:val="aff6"/>
          <w:rFonts w:hint="cs"/>
          <w:rtl/>
        </w:rPr>
        <w:t xml:space="preserve">(עי' אות </w:t>
      </w:r>
      <w:r w:rsidRPr="00975BE1">
        <w:rPr>
          <w:rStyle w:val="aff6"/>
          <w:rtl/>
        </w:rPr>
        <w:fldChar w:fldCharType="begin"/>
      </w:r>
      <w:r w:rsidRPr="00975BE1">
        <w:rPr>
          <w:rStyle w:val="aff6"/>
          <w:rtl/>
        </w:rPr>
        <w:instrText xml:space="preserve"> </w:instrText>
      </w:r>
      <w:r w:rsidRPr="00975BE1">
        <w:rPr>
          <w:rStyle w:val="aff6"/>
          <w:rFonts w:hint="cs"/>
        </w:rPr>
        <w:instrText>REF</w:instrText>
      </w:r>
      <w:r w:rsidRPr="00975BE1">
        <w:rPr>
          <w:rStyle w:val="aff6"/>
          <w:rFonts w:hint="cs"/>
          <w:rtl/>
        </w:rPr>
        <w:instrText xml:space="preserve"> _</w:instrText>
      </w:r>
      <w:r w:rsidRPr="00975BE1">
        <w:rPr>
          <w:rStyle w:val="aff6"/>
          <w:rFonts w:hint="cs"/>
        </w:rPr>
        <w:instrText>Ref58922793 \r \h</w:instrText>
      </w:r>
      <w:r w:rsidRPr="00975BE1">
        <w:rPr>
          <w:rStyle w:val="aff6"/>
          <w:rtl/>
        </w:rPr>
        <w:instrText xml:space="preserve"> </w:instrText>
      </w:r>
      <w:r w:rsidRPr="00975BE1">
        <w:rPr>
          <w:rStyle w:val="aff6"/>
          <w:rtl/>
        </w:rPr>
      </w:r>
      <w:r w:rsidRPr="00975BE1">
        <w:rPr>
          <w:rStyle w:val="aff6"/>
          <w:rtl/>
        </w:rPr>
        <w:fldChar w:fldCharType="separate"/>
      </w:r>
      <w:r w:rsidR="00265073">
        <w:rPr>
          <w:rStyle w:val="aff6"/>
          <w:cs/>
        </w:rPr>
        <w:t>‎</w:t>
      </w:r>
      <w:r w:rsidR="00265073">
        <w:rPr>
          <w:rStyle w:val="aff6"/>
          <w:rtl/>
        </w:rPr>
        <w:t>מ)</w:t>
      </w:r>
      <w:r w:rsidRPr="00975BE1">
        <w:rPr>
          <w:rStyle w:val="aff6"/>
          <w:rtl/>
        </w:rPr>
        <w:fldChar w:fldCharType="end"/>
      </w:r>
      <w:r>
        <w:rPr>
          <w:rStyle w:val="afb"/>
          <w:rFonts w:hint="cs"/>
          <w:rtl/>
        </w:rPr>
        <w:t xml:space="preserve">, </w:t>
      </w:r>
      <w:r w:rsidRPr="00975BE1">
        <w:rPr>
          <w:rStyle w:val="afb"/>
          <w:rFonts w:hint="cs"/>
          <w:rtl/>
        </w:rPr>
        <w:t xml:space="preserve">וע"ע </w:t>
      </w:r>
      <w:r>
        <w:rPr>
          <w:rStyle w:val="afb"/>
          <w:rFonts w:hint="cs"/>
          <w:rtl/>
        </w:rPr>
        <w:t>בדברי</w:t>
      </w:r>
      <w:r w:rsidRPr="00006D7D">
        <w:rPr>
          <w:rStyle w:val="afb"/>
          <w:rFonts w:hint="cs"/>
          <w:rtl/>
        </w:rPr>
        <w:t xml:space="preserve"> </w:t>
      </w:r>
      <w:r w:rsidRPr="00006D7D">
        <w:rPr>
          <w:rStyle w:val="affa"/>
          <w:rFonts w:hint="cs"/>
          <w:rtl/>
        </w:rPr>
        <w:t>התומים</w:t>
      </w:r>
      <w:r w:rsidRPr="00043DD8">
        <w:rPr>
          <w:rStyle w:val="aff6"/>
          <w:rFonts w:hint="cs"/>
          <w:rtl/>
        </w:rPr>
        <w:t xml:space="preserve"> </w:t>
      </w:r>
      <w:r w:rsidRPr="00006D7D">
        <w:rPr>
          <w:rStyle w:val="aff6"/>
          <w:rFonts w:hint="cs"/>
          <w:rtl/>
        </w:rPr>
        <w:t>(סי' ע"ב סקל"ה)</w:t>
      </w:r>
      <w:r w:rsidRPr="00006D7D">
        <w:rPr>
          <w:rStyle w:val="afb"/>
          <w:rFonts w:hint="cs"/>
          <w:rtl/>
        </w:rPr>
        <w:t xml:space="preserve"> </w:t>
      </w:r>
      <w:r>
        <w:rPr>
          <w:rStyle w:val="afb"/>
          <w:rFonts w:hint="cs"/>
          <w:rtl/>
        </w:rPr>
        <w:t>דהוכיח כן מדברי</w:t>
      </w:r>
      <w:r w:rsidRPr="00006D7D">
        <w:rPr>
          <w:rStyle w:val="afb"/>
          <w:rFonts w:hint="cs"/>
          <w:rtl/>
        </w:rPr>
        <w:t xml:space="preserve"> </w:t>
      </w:r>
      <w:r w:rsidRPr="00006D7D">
        <w:rPr>
          <w:rStyle w:val="affa"/>
          <w:rFonts w:hint="cs"/>
          <w:rtl/>
        </w:rPr>
        <w:t>הרא"</w:t>
      </w:r>
      <w:r w:rsidRPr="00043DD8">
        <w:rPr>
          <w:rStyle w:val="affa"/>
          <w:rFonts w:hint="cs"/>
          <w:rtl/>
        </w:rPr>
        <w:t>ש בתשו'</w:t>
      </w:r>
      <w:r>
        <w:rPr>
          <w:rStyle w:val="afb"/>
          <w:rFonts w:hint="cs"/>
          <w:rtl/>
        </w:rPr>
        <w:t xml:space="preserve"> </w:t>
      </w:r>
      <w:r w:rsidRPr="00BD576F">
        <w:rPr>
          <w:rStyle w:val="aff6"/>
          <w:rFonts w:hint="cs"/>
          <w:rtl/>
        </w:rPr>
        <w:t>(כלל ק"ו ב')</w:t>
      </w:r>
      <w:r w:rsidRPr="00006D7D">
        <w:rPr>
          <w:rStyle w:val="afb"/>
          <w:rFonts w:hint="cs"/>
          <w:rtl/>
        </w:rPr>
        <w:t>],</w:t>
      </w:r>
      <w:r>
        <w:rPr>
          <w:rStyle w:val="afb"/>
          <w:rFonts w:hint="cs"/>
          <w:rtl/>
        </w:rPr>
        <w:t xml:space="preserve"> </w:t>
      </w:r>
      <w:r>
        <w:rPr>
          <w:rFonts w:hint="cs"/>
          <w:rtl/>
        </w:rPr>
        <w:t xml:space="preserve">וא"כ מה שאמר המחזיק למערער מחוץ לב"ד שכך אמר לו המוכר לא שייך בזה מיגו, אלא ביאר </w:t>
      </w:r>
      <w:r w:rsidRPr="00266814">
        <w:rPr>
          <w:rStyle w:val="af9"/>
          <w:rFonts w:hint="cs"/>
          <w:rtl/>
        </w:rPr>
        <w:t xml:space="preserve">בחי' רבי נחום </w:t>
      </w:r>
      <w:r>
        <w:rPr>
          <w:rFonts w:hint="cs"/>
          <w:rtl/>
        </w:rPr>
        <w:t xml:space="preserve">דכוונת </w:t>
      </w:r>
      <w:r w:rsidRPr="00F84862">
        <w:rPr>
          <w:rStyle w:val="af9"/>
          <w:rFonts w:hint="cs"/>
          <w:rtl/>
        </w:rPr>
        <w:t>הרא"ש</w:t>
      </w:r>
      <w:r>
        <w:rPr>
          <w:rFonts w:hint="cs"/>
          <w:rtl/>
        </w:rPr>
        <w:t xml:space="preserve"> </w:t>
      </w:r>
      <w:r w:rsidRPr="00F84862">
        <w:rPr>
          <w:rStyle w:val="af7"/>
          <w:rFonts w:eastAsia="Guttman Hodes" w:hint="cs"/>
          <w:rtl/>
        </w:rPr>
        <w:t xml:space="preserve">(עי' אות </w:t>
      </w:r>
      <w:r w:rsidRPr="00F84862">
        <w:rPr>
          <w:rStyle w:val="af7"/>
          <w:rFonts w:eastAsia="Guttman Hodes"/>
          <w:rtl/>
        </w:rPr>
        <w:fldChar w:fldCharType="begin"/>
      </w:r>
      <w:r w:rsidRPr="00F84862">
        <w:rPr>
          <w:rStyle w:val="af7"/>
          <w:rFonts w:eastAsia="Guttman Hodes"/>
          <w:rtl/>
        </w:rPr>
        <w:instrText xml:space="preserve"> </w:instrText>
      </w:r>
      <w:r w:rsidRPr="00F84862">
        <w:rPr>
          <w:rStyle w:val="af7"/>
          <w:rFonts w:eastAsia="Guttman Hodes" w:hint="cs"/>
        </w:rPr>
        <w:instrText>REF</w:instrText>
      </w:r>
      <w:r w:rsidRPr="00F84862">
        <w:rPr>
          <w:rStyle w:val="af7"/>
          <w:rFonts w:eastAsia="Guttman Hodes" w:hint="cs"/>
          <w:rtl/>
        </w:rPr>
        <w:instrText xml:space="preserve"> _</w:instrText>
      </w:r>
      <w:r w:rsidRPr="00F84862">
        <w:rPr>
          <w:rStyle w:val="af7"/>
          <w:rFonts w:eastAsia="Guttman Hodes" w:hint="cs"/>
        </w:rPr>
        <w:instrText>Ref58834676 \r \h</w:instrText>
      </w:r>
      <w:r w:rsidRPr="00F84862">
        <w:rPr>
          <w:rStyle w:val="af7"/>
          <w:rFonts w:eastAsia="Guttman Hodes"/>
          <w:rtl/>
        </w:rPr>
        <w:instrText xml:space="preserve"> </w:instrText>
      </w:r>
      <w:r w:rsidRPr="00F84862">
        <w:rPr>
          <w:rStyle w:val="af7"/>
          <w:rFonts w:eastAsia="Guttman Hodes"/>
          <w:rtl/>
        </w:rPr>
      </w:r>
      <w:r w:rsidRPr="00F84862">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F84862">
        <w:rPr>
          <w:rStyle w:val="af7"/>
          <w:rFonts w:eastAsia="Guttman Hodes"/>
          <w:rtl/>
        </w:rPr>
        <w:fldChar w:fldCharType="end"/>
      </w:r>
      <w:r>
        <w:rPr>
          <w:rFonts w:hint="cs"/>
          <w:rtl/>
        </w:rPr>
        <w:t xml:space="preserve"> להקשות דכיון שהמוכר היה נאמן במיגו דלא הייתה של המערער מעולם, א"כ יש למחזיק את אותו המיגו, מדין "מיגו כח הטענה", דאף שהמחזיק אינו יודע אם המוכר קנה מהמערער, מ"מ אנחנו נטען לו כן, וא"כ יש למחזיק עצמו דין מיגו, וע"ז תירץ </w:t>
      </w:r>
      <w:r w:rsidRPr="00266814">
        <w:rPr>
          <w:rStyle w:val="af9"/>
          <w:rFonts w:hint="cs"/>
          <w:rtl/>
        </w:rPr>
        <w:t xml:space="preserve">הרא"ש </w:t>
      </w:r>
      <w:r>
        <w:rPr>
          <w:rFonts w:hint="cs"/>
          <w:rtl/>
        </w:rPr>
        <w:t>דכיון שהמחזיק ירא לטעון את המיגו, לכן לא מהני לו המיגו שהיה למוכר.</w:t>
      </w:r>
      <w:bookmarkEnd w:id="8825"/>
    </w:p>
    <w:p w:rsidR="0007171D" w:rsidRDefault="0007171D" w:rsidP="0007171D">
      <w:pPr>
        <w:pStyle w:val="1"/>
        <w:rPr>
          <w:rtl/>
        </w:rPr>
      </w:pPr>
      <w:bookmarkStart w:id="8826" w:name="_Toc58843042"/>
      <w:bookmarkStart w:id="8827" w:name="_Toc58876250"/>
      <w:bookmarkStart w:id="8828" w:name="_Toc58877663"/>
      <w:bookmarkStart w:id="8829" w:name="_Toc58914722"/>
      <w:bookmarkStart w:id="8830" w:name="_Toc58926024"/>
      <w:bookmarkStart w:id="8831" w:name="_Toc58930100"/>
      <w:bookmarkStart w:id="8832" w:name="_Toc58938259"/>
      <w:bookmarkStart w:id="8833" w:name="_Toc59007074"/>
      <w:bookmarkStart w:id="8834" w:name="_Toc59013549"/>
      <w:bookmarkStart w:id="8835" w:name="_Toc59013797"/>
      <w:bookmarkStart w:id="8836" w:name="_Toc59025872"/>
      <w:bookmarkStart w:id="8837" w:name="_Toc58926019"/>
      <w:bookmarkStart w:id="8838" w:name="_Toc58930095"/>
      <w:bookmarkStart w:id="8839" w:name="_Toc58938254"/>
      <w:bookmarkStart w:id="8840" w:name="_Toc59007069"/>
      <w:bookmarkStart w:id="8841" w:name="_Toc59013544"/>
      <w:bookmarkStart w:id="8842" w:name="_Toc59013792"/>
      <w:bookmarkStart w:id="8843" w:name="_Toc58580028"/>
      <w:bookmarkStart w:id="8844" w:name="_Toc58843038"/>
      <w:bookmarkStart w:id="8845" w:name="_Toc58876246"/>
      <w:bookmarkStart w:id="8846" w:name="_Toc58877659"/>
      <w:bookmarkStart w:id="8847" w:name="_Toc58914718"/>
      <w:r>
        <w:rPr>
          <w:rFonts w:hint="cs"/>
          <w:rtl/>
        </w:rPr>
        <w:t>דברי האבהא"ז</w:t>
      </w:r>
      <w:bookmarkEnd w:id="8826"/>
      <w:bookmarkEnd w:id="8827"/>
      <w:bookmarkEnd w:id="8828"/>
      <w:bookmarkEnd w:id="8829"/>
      <w:bookmarkEnd w:id="8830"/>
      <w:bookmarkEnd w:id="8831"/>
      <w:bookmarkEnd w:id="8832"/>
      <w:bookmarkEnd w:id="8833"/>
      <w:bookmarkEnd w:id="8834"/>
      <w:bookmarkEnd w:id="8835"/>
      <w:bookmarkEnd w:id="8836"/>
      <w:r>
        <w:rPr>
          <w:rFonts w:hint="cs"/>
          <w:rtl/>
        </w:rPr>
        <w:t xml:space="preserve"> דאף להרא"ש הודה המחזיק בפירוש בסוף דבריו </w:t>
      </w:r>
    </w:p>
    <w:p w:rsidR="0007171D" w:rsidRDefault="0007171D" w:rsidP="0007171D">
      <w:pPr>
        <w:pStyle w:val="a3"/>
        <w:rPr>
          <w:rtl/>
        </w:rPr>
      </w:pPr>
      <w:bookmarkStart w:id="8848" w:name="_Toc59025873"/>
      <w:r>
        <w:rPr>
          <w:rFonts w:hint="cs"/>
          <w:rtl/>
        </w:rPr>
        <w:t>ביאור האבהא"ז דלתי' הרא"ש דאין למחזיק מיגו אפש"ל בדעת הרשב"ם דלא הודה בפירוש</w:t>
      </w:r>
      <w:bookmarkEnd w:id="8848"/>
    </w:p>
    <w:p w:rsidR="0007171D" w:rsidRDefault="0007171D" w:rsidP="007E4E81">
      <w:pPr>
        <w:pStyle w:val="a0"/>
        <w:rPr>
          <w:rtl/>
        </w:rPr>
      </w:pPr>
      <w:bookmarkStart w:id="8849" w:name="_Ref58751788"/>
      <w:r>
        <w:rPr>
          <w:rFonts w:hint="cs"/>
          <w:rtl/>
        </w:rPr>
        <w:t xml:space="preserve">במ"ש </w:t>
      </w:r>
      <w:r w:rsidRPr="000B30EF">
        <w:rPr>
          <w:rStyle w:val="af9"/>
          <w:rFonts w:hint="cs"/>
          <w:rtl/>
        </w:rPr>
        <w:t>הרא"ש</w:t>
      </w:r>
      <w:r>
        <w:rPr>
          <w:rFonts w:hint="cs"/>
          <w:rtl/>
        </w:rPr>
        <w:t xml:space="preserve"> </w:t>
      </w:r>
      <w:r w:rsidRPr="00711FBD">
        <w:rPr>
          <w:rStyle w:val="af7"/>
          <w:rFonts w:eastAsia="Guttman Hodes" w:hint="cs"/>
          <w:rtl/>
        </w:rPr>
        <w:t xml:space="preserve">(עי' אות </w:t>
      </w:r>
      <w:r w:rsidRPr="00711FBD">
        <w:rPr>
          <w:rStyle w:val="af7"/>
          <w:rFonts w:eastAsia="Guttman Hodes"/>
          <w:rtl/>
        </w:rPr>
        <w:fldChar w:fldCharType="begin"/>
      </w:r>
      <w:r w:rsidRPr="00711FBD">
        <w:rPr>
          <w:rStyle w:val="af7"/>
          <w:rFonts w:eastAsia="Guttman Hodes"/>
          <w:rtl/>
        </w:rPr>
        <w:instrText xml:space="preserve"> </w:instrText>
      </w:r>
      <w:r w:rsidRPr="00711FBD">
        <w:rPr>
          <w:rStyle w:val="af7"/>
          <w:rFonts w:eastAsia="Guttman Hodes" w:hint="cs"/>
        </w:rPr>
        <w:instrText>REF</w:instrText>
      </w:r>
      <w:r w:rsidRPr="00711FBD">
        <w:rPr>
          <w:rStyle w:val="af7"/>
          <w:rFonts w:eastAsia="Guttman Hodes" w:hint="cs"/>
          <w:rtl/>
        </w:rPr>
        <w:instrText xml:space="preserve"> _</w:instrText>
      </w:r>
      <w:r w:rsidRPr="00711FBD">
        <w:rPr>
          <w:rStyle w:val="af7"/>
          <w:rFonts w:eastAsia="Guttman Hodes" w:hint="cs"/>
        </w:rPr>
        <w:instrText>Ref57911051 \r \h</w:instrText>
      </w:r>
      <w:r w:rsidRPr="00711FBD">
        <w:rPr>
          <w:rStyle w:val="af7"/>
          <w:rFonts w:eastAsia="Guttman Hodes"/>
          <w:rtl/>
        </w:rPr>
        <w:instrText xml:space="preserve"> </w:instrText>
      </w:r>
      <w:r w:rsidRPr="00711FBD">
        <w:rPr>
          <w:rStyle w:val="af7"/>
          <w:rFonts w:eastAsia="Guttman Hodes"/>
          <w:rtl/>
        </w:rPr>
      </w:r>
      <w:r w:rsidRPr="00711FBD">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711FBD">
        <w:rPr>
          <w:rStyle w:val="af7"/>
          <w:rFonts w:eastAsia="Guttman Hodes"/>
          <w:rtl/>
        </w:rPr>
        <w:fldChar w:fldCharType="end"/>
      </w:r>
      <w:r>
        <w:rPr>
          <w:rFonts w:hint="cs"/>
          <w:rtl/>
        </w:rPr>
        <w:t xml:space="preserve"> דהמחזיק ירא לטעון שלא הייתה של המערער מעולם, ואין לו מיגו, כתב </w:t>
      </w:r>
      <w:r w:rsidRPr="000B30EF">
        <w:rPr>
          <w:rStyle w:val="af9"/>
          <w:rFonts w:hint="cs"/>
          <w:rtl/>
        </w:rPr>
        <w:t>האבהא"ז</w:t>
      </w:r>
      <w:r>
        <w:rPr>
          <w:rFonts w:hint="cs"/>
          <w:rtl/>
        </w:rPr>
        <w:t xml:space="preserve"> </w:t>
      </w:r>
      <w:r w:rsidRPr="00711FBD">
        <w:rPr>
          <w:rStyle w:val="af7"/>
          <w:rFonts w:eastAsia="Guttman Hodes" w:hint="cs"/>
          <w:rtl/>
        </w:rPr>
        <w:t>(טו"נ פי"ד הי"ד)</w:t>
      </w:r>
      <w:r>
        <w:rPr>
          <w:rFonts w:hint="cs"/>
          <w:rtl/>
        </w:rPr>
        <w:t xml:space="preserve"> דלפי"ז מבואר דלדעת </w:t>
      </w:r>
      <w:r w:rsidRPr="00775FC8">
        <w:rPr>
          <w:rStyle w:val="af9"/>
          <w:rFonts w:hint="cs"/>
          <w:rtl/>
        </w:rPr>
        <w:t>הרשב"ם</w:t>
      </w:r>
      <w:r>
        <w:rPr>
          <w:rFonts w:hint="cs"/>
          <w:rtl/>
        </w:rPr>
        <w:t xml:space="preserve"> </w:t>
      </w:r>
      <w:r w:rsidRPr="00A03D1F">
        <w:rPr>
          <w:rStyle w:val="af7"/>
          <w:rFonts w:eastAsia="Guttman Hodes" w:hint="cs"/>
          <w:rtl/>
        </w:rPr>
        <w:t xml:space="preserve">(עי' אות </w:t>
      </w:r>
      <w:r w:rsidRPr="00A03D1F">
        <w:rPr>
          <w:rStyle w:val="af7"/>
          <w:rFonts w:eastAsia="Guttman Hodes"/>
          <w:rtl/>
        </w:rPr>
        <w:fldChar w:fldCharType="begin"/>
      </w:r>
      <w:r w:rsidRPr="00A03D1F">
        <w:rPr>
          <w:rStyle w:val="af7"/>
          <w:rFonts w:eastAsia="Guttman Hodes"/>
          <w:rtl/>
        </w:rPr>
        <w:instrText xml:space="preserve"> </w:instrText>
      </w:r>
      <w:r w:rsidRPr="00A03D1F">
        <w:rPr>
          <w:rStyle w:val="af7"/>
          <w:rFonts w:eastAsia="Guttman Hodes" w:hint="cs"/>
        </w:rPr>
        <w:instrText>REF</w:instrText>
      </w:r>
      <w:r w:rsidRPr="00A03D1F">
        <w:rPr>
          <w:rStyle w:val="af7"/>
          <w:rFonts w:eastAsia="Guttman Hodes" w:hint="cs"/>
          <w:rtl/>
        </w:rPr>
        <w:instrText xml:space="preserve"> _</w:instrText>
      </w:r>
      <w:r w:rsidRPr="00A03D1F">
        <w:rPr>
          <w:rStyle w:val="af7"/>
          <w:rFonts w:eastAsia="Guttman Hodes" w:hint="cs"/>
        </w:rPr>
        <w:instrText>Ref58342126 \r \h</w:instrText>
      </w:r>
      <w:r w:rsidRPr="00A03D1F">
        <w:rPr>
          <w:rStyle w:val="af7"/>
          <w:rFonts w:eastAsia="Guttman Hodes"/>
          <w:rtl/>
        </w:rPr>
        <w:instrText xml:space="preserve"> </w:instrText>
      </w:r>
      <w:r w:rsidRPr="00A03D1F">
        <w:rPr>
          <w:rStyle w:val="af7"/>
          <w:rFonts w:eastAsia="Guttman Hodes"/>
          <w:rtl/>
        </w:rPr>
      </w:r>
      <w:r w:rsidRPr="00A03D1F">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03D1F">
        <w:rPr>
          <w:rStyle w:val="af7"/>
          <w:rFonts w:eastAsia="Guttman Hodes"/>
          <w:rtl/>
        </w:rPr>
        <w:fldChar w:fldCharType="end"/>
      </w:r>
      <w:r>
        <w:rPr>
          <w:rFonts w:hint="cs"/>
          <w:rtl/>
        </w:rPr>
        <w:t xml:space="preserve"> א"צ לומר דאיירי שהודה המחזיק בפירוש שהקרקע הייתה של המערער, כדכתב </w:t>
      </w:r>
      <w:r w:rsidRPr="000B30EF">
        <w:rPr>
          <w:rStyle w:val="af9"/>
          <w:rFonts w:hint="cs"/>
          <w:rtl/>
        </w:rPr>
        <w:t>הרא"ש</w:t>
      </w:r>
      <w:r>
        <w:rPr>
          <w:rFonts w:hint="cs"/>
          <w:rtl/>
        </w:rPr>
        <w:t xml:space="preserve"> </w:t>
      </w:r>
      <w:r w:rsidRPr="00711FBD">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Ref58750522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ט)</w:t>
      </w:r>
      <w:r>
        <w:rPr>
          <w:rStyle w:val="af7"/>
          <w:rFonts w:eastAsia="Guttman Hodes"/>
          <w:rtl/>
        </w:rPr>
        <w:fldChar w:fldCharType="end"/>
      </w:r>
      <w:r w:rsidRPr="00711FBD">
        <w:rPr>
          <w:rStyle w:val="af7"/>
          <w:rFonts w:eastAsia="Guttman Hodes" w:hint="cs"/>
          <w:rtl/>
        </w:rPr>
        <w:t xml:space="preserve"> </w:t>
      </w:r>
      <w:r>
        <w:rPr>
          <w:rFonts w:hint="cs"/>
          <w:rtl/>
        </w:rPr>
        <w:t xml:space="preserve">בתחילת דבריו בדעת </w:t>
      </w:r>
      <w:r w:rsidRPr="000B30EF">
        <w:rPr>
          <w:rStyle w:val="af9"/>
          <w:rFonts w:hint="cs"/>
          <w:rtl/>
        </w:rPr>
        <w:t>הרשב"ם</w:t>
      </w:r>
      <w:r>
        <w:rPr>
          <w:rFonts w:hint="cs"/>
          <w:rtl/>
        </w:rPr>
        <w:t xml:space="preserve">, אלא אפש"ל דאף </w:t>
      </w:r>
      <w:r w:rsidRPr="000B30EF">
        <w:rPr>
          <w:rStyle w:val="af9"/>
          <w:rFonts w:hint="cs"/>
          <w:rtl/>
        </w:rPr>
        <w:t>לרשב"ם</w:t>
      </w:r>
      <w:r>
        <w:rPr>
          <w:rFonts w:hint="cs"/>
          <w:rtl/>
        </w:rPr>
        <w:t xml:space="preserve"> המחזיק רק אמר ששמע כן מהמוכר, ואפ"ה אין המחזיק נאמן, כיון שרק למוכר היה הפה שאסר, אבל המחזיק שירא לטעון כן אינו נאמן.</w:t>
      </w:r>
      <w:bookmarkEnd w:id="8849"/>
    </w:p>
    <w:p w:rsidR="0007171D" w:rsidRDefault="0007171D" w:rsidP="0007171D">
      <w:pPr>
        <w:pStyle w:val="a3"/>
        <w:rPr>
          <w:rtl/>
        </w:rPr>
      </w:pPr>
      <w:bookmarkStart w:id="8850" w:name="_Toc59025874"/>
      <w:r>
        <w:rPr>
          <w:rFonts w:hint="cs"/>
          <w:rtl/>
        </w:rPr>
        <w:t>ביאור האבהא"ז ברא"ש דאין כוונתו לומר דלרבינו יונה המחזיק הודה בתחילת דבריו</w:t>
      </w:r>
      <w:bookmarkEnd w:id="8850"/>
    </w:p>
    <w:p w:rsidR="0007171D" w:rsidRPr="00E26ABB" w:rsidRDefault="0007171D" w:rsidP="007E4E81">
      <w:pPr>
        <w:pStyle w:val="a0"/>
        <w:rPr>
          <w:rtl/>
        </w:rPr>
      </w:pPr>
      <w:bookmarkStart w:id="8851" w:name="_Ref59024427"/>
      <w:r>
        <w:rPr>
          <w:rFonts w:hint="cs"/>
          <w:rtl/>
        </w:rPr>
        <w:t xml:space="preserve">וכתב </w:t>
      </w:r>
      <w:r w:rsidRPr="000B30EF">
        <w:rPr>
          <w:rStyle w:val="af9"/>
          <w:rFonts w:hint="cs"/>
          <w:rtl/>
        </w:rPr>
        <w:t>האבהא"ז</w:t>
      </w:r>
      <w:r>
        <w:rPr>
          <w:rFonts w:hint="cs"/>
          <w:rtl/>
        </w:rPr>
        <w:t xml:space="preserve"> דמה שהביא </w:t>
      </w:r>
      <w:r w:rsidRPr="000B30EF">
        <w:rPr>
          <w:rStyle w:val="af9"/>
          <w:rFonts w:hint="cs"/>
          <w:rtl/>
        </w:rPr>
        <w:t>הרא"ש</w:t>
      </w:r>
      <w:r>
        <w:rPr>
          <w:rFonts w:hint="cs"/>
          <w:rtl/>
        </w:rPr>
        <w:t xml:space="preserve"> </w:t>
      </w:r>
      <w:r w:rsidRPr="00711FBD">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Ref59024352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Pr>
          <w:rStyle w:val="af7"/>
          <w:rFonts w:eastAsia="Guttman Hodes"/>
          <w:rtl/>
        </w:rPr>
        <w:fldChar w:fldCharType="end"/>
      </w:r>
      <w:r>
        <w:rPr>
          <w:rStyle w:val="af7"/>
          <w:rFonts w:eastAsia="Guttman Hodes" w:hint="cs"/>
          <w:rtl/>
        </w:rPr>
        <w:t xml:space="preserve"> </w:t>
      </w:r>
      <w:r>
        <w:rPr>
          <w:rFonts w:hint="cs"/>
          <w:rtl/>
        </w:rPr>
        <w:t xml:space="preserve">את דברי </w:t>
      </w:r>
      <w:r w:rsidRPr="000B30EF">
        <w:rPr>
          <w:rStyle w:val="af9"/>
          <w:rFonts w:hint="cs"/>
          <w:rtl/>
        </w:rPr>
        <w:t>רבינו יונה</w:t>
      </w:r>
      <w:r>
        <w:rPr>
          <w:rFonts w:hint="cs"/>
          <w:rtl/>
        </w:rPr>
        <w:t xml:space="preserve">, אין כוונתו לומר דהמחזיק הודה בתחילת דבריו שהקרקע הייתה של המערער, דהרי כתב </w:t>
      </w:r>
      <w:r w:rsidRPr="000B30EF">
        <w:rPr>
          <w:rStyle w:val="af9"/>
          <w:rFonts w:hint="cs"/>
          <w:rtl/>
        </w:rPr>
        <w:t>הרא"ש</w:t>
      </w:r>
      <w:r>
        <w:rPr>
          <w:rFonts w:hint="cs"/>
          <w:rtl/>
        </w:rPr>
        <w:t xml:space="preserve"> </w:t>
      </w:r>
      <w:r w:rsidRPr="00B72FCE">
        <w:rPr>
          <w:rStyle w:val="af7"/>
          <w:rFonts w:eastAsia="Guttman Hodes" w:hint="cs"/>
          <w:rtl/>
        </w:rPr>
        <w:t xml:space="preserve">(עי' אות </w:t>
      </w:r>
      <w:r w:rsidRPr="00B72FCE">
        <w:rPr>
          <w:rStyle w:val="af7"/>
          <w:rFonts w:eastAsia="Guttman Hodes"/>
          <w:rtl/>
        </w:rPr>
        <w:fldChar w:fldCharType="begin"/>
      </w:r>
      <w:r w:rsidRPr="00B72FCE">
        <w:rPr>
          <w:rStyle w:val="af7"/>
          <w:rFonts w:eastAsia="Guttman Hodes"/>
          <w:rtl/>
        </w:rPr>
        <w:instrText xml:space="preserve"> </w:instrText>
      </w:r>
      <w:r w:rsidRPr="00B72FCE">
        <w:rPr>
          <w:rStyle w:val="af7"/>
          <w:rFonts w:eastAsia="Guttman Hodes" w:hint="cs"/>
        </w:rPr>
        <w:instrText>REF</w:instrText>
      </w:r>
      <w:r w:rsidRPr="00B72FCE">
        <w:rPr>
          <w:rStyle w:val="af7"/>
          <w:rFonts w:eastAsia="Guttman Hodes" w:hint="cs"/>
          <w:rtl/>
        </w:rPr>
        <w:instrText xml:space="preserve"> _</w:instrText>
      </w:r>
      <w:r w:rsidRPr="00B72FCE">
        <w:rPr>
          <w:rStyle w:val="af7"/>
          <w:rFonts w:eastAsia="Guttman Hodes" w:hint="cs"/>
        </w:rPr>
        <w:instrText>Ref58764069 \r \h</w:instrText>
      </w:r>
      <w:r w:rsidRPr="00B72FCE">
        <w:rPr>
          <w:rStyle w:val="af7"/>
          <w:rFonts w:eastAsia="Guttman Hodes"/>
          <w:rtl/>
        </w:rPr>
        <w:instrText xml:space="preserve"> </w:instrText>
      </w:r>
      <w:r w:rsidRPr="00B72FCE">
        <w:rPr>
          <w:rStyle w:val="af7"/>
          <w:rFonts w:eastAsia="Guttman Hodes"/>
          <w:rtl/>
        </w:rPr>
      </w:r>
      <w:r w:rsidRPr="00B72FCE">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B72FCE">
        <w:rPr>
          <w:rStyle w:val="af7"/>
          <w:rFonts w:eastAsia="Guttman Hodes"/>
          <w:rtl/>
        </w:rPr>
        <w:fldChar w:fldCharType="end"/>
      </w:r>
      <w:r>
        <w:rPr>
          <w:rFonts w:hint="cs"/>
          <w:rtl/>
        </w:rPr>
        <w:t xml:space="preserve"> דלא מוכח מלשון המחזיק והמערער שהודה המחזיק בפירוש, וא"כ מה הוסיף </w:t>
      </w:r>
      <w:r w:rsidRPr="000B30EF">
        <w:rPr>
          <w:rStyle w:val="af9"/>
          <w:rFonts w:hint="cs"/>
          <w:rtl/>
        </w:rPr>
        <w:t>הרא"ש</w:t>
      </w:r>
      <w:r>
        <w:rPr>
          <w:rFonts w:hint="cs"/>
          <w:rtl/>
        </w:rPr>
        <w:t xml:space="preserve"> במה שהביא את דברי </w:t>
      </w:r>
      <w:r w:rsidRPr="000B30EF">
        <w:rPr>
          <w:rStyle w:val="af9"/>
          <w:rFonts w:hint="cs"/>
          <w:rtl/>
        </w:rPr>
        <w:t>רבינו יונה</w:t>
      </w:r>
      <w:r>
        <w:rPr>
          <w:rFonts w:hint="cs"/>
          <w:rtl/>
        </w:rPr>
        <w:t>, דהמחזיק ידע שהקרקע גם לפני שאמר לו כן המוכר.</w:t>
      </w:r>
      <w:bookmarkEnd w:id="8851"/>
    </w:p>
    <w:p w:rsidR="0007171D" w:rsidRPr="00C86040" w:rsidRDefault="0007171D" w:rsidP="0007171D">
      <w:pPr>
        <w:pStyle w:val="a3"/>
        <w:rPr>
          <w:rtl/>
        </w:rPr>
      </w:pPr>
      <w:bookmarkStart w:id="8852" w:name="_Toc59025875"/>
      <w:r>
        <w:rPr>
          <w:rFonts w:hint="cs"/>
          <w:rtl/>
        </w:rPr>
        <w:t>ביאור האבהא"ז ברא"ש דמוכח ברבינו יונה דבסוף דבריו הודה המחזיק לטענה הב' של המערער</w:t>
      </w:r>
      <w:bookmarkEnd w:id="8852"/>
    </w:p>
    <w:p w:rsidR="0007171D" w:rsidRDefault="0007171D" w:rsidP="007E4E81">
      <w:pPr>
        <w:pStyle w:val="a0"/>
        <w:rPr>
          <w:rtl/>
        </w:rPr>
      </w:pPr>
      <w:bookmarkStart w:id="8853" w:name="_Ref58838279"/>
      <w:r>
        <w:rPr>
          <w:rFonts w:hint="cs"/>
          <w:rtl/>
        </w:rPr>
        <w:t xml:space="preserve">אלא ביאר </w:t>
      </w:r>
      <w:r w:rsidRPr="002C5111">
        <w:rPr>
          <w:rStyle w:val="af9"/>
          <w:rFonts w:hint="cs"/>
          <w:rtl/>
        </w:rPr>
        <w:t>האבהא"ז</w:t>
      </w:r>
      <w:r>
        <w:rPr>
          <w:rFonts w:hint="cs"/>
          <w:rtl/>
        </w:rPr>
        <w:t xml:space="preserve"> </w:t>
      </w:r>
      <w:r w:rsidRPr="002C5111">
        <w:rPr>
          <w:rStyle w:val="af7"/>
          <w:rFonts w:eastAsia="Guttman Hodes" w:hint="cs"/>
          <w:rtl/>
        </w:rPr>
        <w:t>(טו"נ פי"ד הי"ד ד"ה אכן)</w:t>
      </w:r>
      <w:r>
        <w:rPr>
          <w:rFonts w:hint="cs"/>
          <w:rtl/>
        </w:rPr>
        <w:t xml:space="preserve"> דכוונת </w:t>
      </w:r>
      <w:r w:rsidRPr="0037010B">
        <w:rPr>
          <w:rStyle w:val="af9"/>
          <w:rFonts w:hint="cs"/>
          <w:rtl/>
        </w:rPr>
        <w:t>הרא"ש</w:t>
      </w:r>
      <w:r>
        <w:rPr>
          <w:rFonts w:hint="cs"/>
          <w:rtl/>
        </w:rPr>
        <w:t xml:space="preserve"> </w:t>
      </w:r>
      <w:r w:rsidRPr="00711FBD">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Ref59024352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Pr>
          <w:rStyle w:val="af7"/>
          <w:rFonts w:eastAsia="Guttman Hodes"/>
          <w:rtl/>
        </w:rPr>
        <w:fldChar w:fldCharType="end"/>
      </w:r>
      <w:r w:rsidRPr="006E1909">
        <w:rPr>
          <w:rFonts w:hint="cs"/>
          <w:rtl/>
        </w:rPr>
        <w:t xml:space="preserve"> </w:t>
      </w:r>
      <w:r>
        <w:rPr>
          <w:rFonts w:hint="cs"/>
          <w:rtl/>
        </w:rPr>
        <w:t xml:space="preserve">לחזור בו ממ"ש בתחילת דבריו, דכל שלא הודה המחזיק בפירוש שהייתה של המערער אין מוציאין ממנו, וכוונת </w:t>
      </w:r>
      <w:r w:rsidRPr="0037010B">
        <w:rPr>
          <w:rStyle w:val="af9"/>
          <w:rFonts w:hint="cs"/>
          <w:rtl/>
        </w:rPr>
        <w:t>הרא"ש</w:t>
      </w:r>
      <w:r>
        <w:rPr>
          <w:rFonts w:hint="cs"/>
          <w:rtl/>
        </w:rPr>
        <w:t xml:space="preserve"> לומר דמדברי </w:t>
      </w:r>
      <w:r w:rsidRPr="0037010B">
        <w:rPr>
          <w:rStyle w:val="af9"/>
          <w:rFonts w:hint="cs"/>
          <w:rtl/>
        </w:rPr>
        <w:t>רבינו יונה</w:t>
      </w:r>
      <w:r>
        <w:rPr>
          <w:rFonts w:hint="cs"/>
          <w:rtl/>
        </w:rPr>
        <w:t xml:space="preserve"> מבואר דאחר שאמר המחזיק למערער שאמר לו המוכר כן, אמר לו המערער "לאו קא מודית", והיא טענה חדשה </w:t>
      </w:r>
      <w:r>
        <w:rPr>
          <w:rFonts w:hint="cs"/>
          <w:rtl/>
        </w:rPr>
        <w:lastRenderedPageBreak/>
        <w:t xml:space="preserve">ואינה תשובה על טענת המחזיק, אלא טוען לו המערער דהרי גם אתה מודה שהקרקע הייתה שלי, וכמפורש בדברי </w:t>
      </w:r>
      <w:r w:rsidRPr="0037010B">
        <w:rPr>
          <w:rStyle w:val="af9"/>
          <w:rFonts w:hint="cs"/>
          <w:rtl/>
        </w:rPr>
        <w:t>רבינו יונה</w:t>
      </w:r>
      <w:r>
        <w:rPr>
          <w:rFonts w:hint="cs"/>
          <w:rtl/>
        </w:rPr>
        <w:t xml:space="preserve"> </w:t>
      </w:r>
      <w:r w:rsidRPr="0037010B">
        <w:rPr>
          <w:rStyle w:val="af7"/>
          <w:rFonts w:eastAsia="Guttman Hodes" w:hint="cs"/>
          <w:rtl/>
        </w:rPr>
        <w:t xml:space="preserve">(עי' אות </w:t>
      </w:r>
      <w:r w:rsidRPr="0037010B">
        <w:rPr>
          <w:rStyle w:val="af7"/>
          <w:rFonts w:eastAsia="Guttman Hodes"/>
          <w:rtl/>
        </w:rPr>
        <w:fldChar w:fldCharType="begin"/>
      </w:r>
      <w:r w:rsidRPr="0037010B">
        <w:rPr>
          <w:rStyle w:val="af7"/>
          <w:rFonts w:eastAsia="Guttman Hodes"/>
          <w:rtl/>
        </w:rPr>
        <w:instrText xml:space="preserve"> </w:instrText>
      </w:r>
      <w:r w:rsidRPr="0037010B">
        <w:rPr>
          <w:rStyle w:val="af7"/>
          <w:rFonts w:eastAsia="Guttman Hodes" w:hint="cs"/>
        </w:rPr>
        <w:instrText>REF</w:instrText>
      </w:r>
      <w:r w:rsidRPr="0037010B">
        <w:rPr>
          <w:rStyle w:val="af7"/>
          <w:rFonts w:eastAsia="Guttman Hodes" w:hint="cs"/>
          <w:rtl/>
        </w:rPr>
        <w:instrText xml:space="preserve"> _</w:instrText>
      </w:r>
      <w:r w:rsidRPr="0037010B">
        <w:rPr>
          <w:rStyle w:val="af7"/>
          <w:rFonts w:eastAsia="Guttman Hodes" w:hint="cs"/>
        </w:rPr>
        <w:instrText>Ref57910944 \r \h</w:instrText>
      </w:r>
      <w:r w:rsidRPr="0037010B">
        <w:rPr>
          <w:rStyle w:val="af7"/>
          <w:rFonts w:eastAsia="Guttman Hodes"/>
          <w:rtl/>
        </w:rPr>
        <w:instrText xml:space="preserve"> </w:instrText>
      </w:r>
      <w:r w:rsidRPr="0037010B">
        <w:rPr>
          <w:rStyle w:val="af7"/>
          <w:rFonts w:eastAsia="Guttman Hodes"/>
          <w:rtl/>
        </w:rPr>
      </w:r>
      <w:r w:rsidRPr="0037010B">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37010B">
        <w:rPr>
          <w:rStyle w:val="af7"/>
          <w:rFonts w:eastAsia="Guttman Hodes"/>
          <w:rtl/>
        </w:rPr>
        <w:fldChar w:fldCharType="end"/>
      </w:r>
      <w:r>
        <w:rPr>
          <w:rFonts w:hint="cs"/>
          <w:rtl/>
        </w:rPr>
        <w:t xml:space="preserve"> כתב דהמחזיק הודה לטענת המערער דאמר לו "לאו קא מודית", או ששתק, והיינו דאף דבתחילת דבריו לא משמע מדברי המחזיק דהודה, מ"מ בסוף דבריו הודה.</w:t>
      </w:r>
      <w:bookmarkEnd w:id="8853"/>
    </w:p>
    <w:p w:rsidR="0007171D" w:rsidRPr="003F3A29" w:rsidRDefault="0007171D" w:rsidP="0007171D">
      <w:pPr>
        <w:pStyle w:val="a3"/>
        <w:rPr>
          <w:rtl/>
        </w:rPr>
      </w:pPr>
      <w:bookmarkStart w:id="8854" w:name="_Toc59025876"/>
      <w:r>
        <w:rPr>
          <w:rFonts w:hint="cs"/>
          <w:rtl/>
        </w:rPr>
        <w:t>ביאור האבאה"ז ברא"ש דלרבינו יונה אי הודה בתחילת דבריו ל"מ מיגו דהוא מיגו למפרע</w:t>
      </w:r>
      <w:bookmarkEnd w:id="8854"/>
    </w:p>
    <w:p w:rsidR="0007171D" w:rsidRDefault="0007171D" w:rsidP="007E4E81">
      <w:pPr>
        <w:pStyle w:val="a0"/>
        <w:rPr>
          <w:rtl/>
        </w:rPr>
      </w:pPr>
      <w:bookmarkStart w:id="8855" w:name="_Ref58704906"/>
      <w:r>
        <w:rPr>
          <w:rFonts w:hint="cs"/>
          <w:rtl/>
        </w:rPr>
        <w:t>וכתב</w:t>
      </w:r>
      <w:r w:rsidRPr="00286C65">
        <w:rPr>
          <w:rStyle w:val="af9"/>
          <w:rFonts w:hint="cs"/>
          <w:rtl/>
        </w:rPr>
        <w:t xml:space="preserve"> </w:t>
      </w:r>
      <w:r w:rsidRPr="003E27D4">
        <w:rPr>
          <w:rStyle w:val="af9"/>
          <w:rFonts w:hint="cs"/>
          <w:rtl/>
        </w:rPr>
        <w:t>האבהא"ז</w:t>
      </w:r>
      <w:r>
        <w:rPr>
          <w:rFonts w:hint="cs"/>
          <w:rtl/>
        </w:rPr>
        <w:t xml:space="preserve"> </w:t>
      </w:r>
      <w:r w:rsidRPr="003E27D4">
        <w:rPr>
          <w:rStyle w:val="af7"/>
          <w:rFonts w:eastAsia="Guttman Hodes" w:hint="cs"/>
          <w:rtl/>
        </w:rPr>
        <w:t>(טו"נ פי"ד הי"ד ד"ה</w:t>
      </w:r>
      <w:r>
        <w:rPr>
          <w:rStyle w:val="af7"/>
          <w:rFonts w:eastAsia="Guttman Hodes" w:hint="cs"/>
          <w:rtl/>
        </w:rPr>
        <w:t xml:space="preserve"> ובזה חידש)</w:t>
      </w:r>
      <w:r>
        <w:rPr>
          <w:rFonts w:hint="cs"/>
          <w:rtl/>
        </w:rPr>
        <w:t xml:space="preserve"> דלכן כתב </w:t>
      </w:r>
      <w:r w:rsidRPr="0037010B">
        <w:rPr>
          <w:rStyle w:val="af9"/>
          <w:rFonts w:hint="cs"/>
          <w:rtl/>
        </w:rPr>
        <w:t xml:space="preserve">הרא"ש </w:t>
      </w:r>
      <w:r w:rsidRPr="00711FBD">
        <w:rPr>
          <w:rStyle w:val="af7"/>
          <w:rFonts w:eastAsia="Guttman Hodes" w:hint="cs"/>
          <w:rtl/>
        </w:rPr>
        <w:t xml:space="preserve">(עי' אות </w:t>
      </w:r>
      <w:r w:rsidRPr="00711FBD">
        <w:rPr>
          <w:rStyle w:val="af7"/>
          <w:rFonts w:eastAsia="Guttman Hodes"/>
          <w:rtl/>
        </w:rPr>
        <w:fldChar w:fldCharType="begin"/>
      </w:r>
      <w:r w:rsidRPr="00711FBD">
        <w:rPr>
          <w:rStyle w:val="af7"/>
          <w:rFonts w:eastAsia="Guttman Hodes"/>
          <w:rtl/>
        </w:rPr>
        <w:instrText xml:space="preserve"> </w:instrText>
      </w:r>
      <w:r w:rsidRPr="00711FBD">
        <w:rPr>
          <w:rStyle w:val="af7"/>
          <w:rFonts w:eastAsia="Guttman Hodes" w:hint="cs"/>
        </w:rPr>
        <w:instrText>REF</w:instrText>
      </w:r>
      <w:r w:rsidRPr="00711FBD">
        <w:rPr>
          <w:rStyle w:val="af7"/>
          <w:rFonts w:eastAsia="Guttman Hodes" w:hint="cs"/>
          <w:rtl/>
        </w:rPr>
        <w:instrText xml:space="preserve"> _</w:instrText>
      </w:r>
      <w:r w:rsidRPr="00711FBD">
        <w:rPr>
          <w:rStyle w:val="af7"/>
          <w:rFonts w:eastAsia="Guttman Hodes" w:hint="cs"/>
        </w:rPr>
        <w:instrText>Ref58764353 \r \h</w:instrText>
      </w:r>
      <w:r w:rsidRPr="00711FBD">
        <w:rPr>
          <w:rStyle w:val="af7"/>
          <w:rFonts w:eastAsia="Guttman Hodes"/>
          <w:rtl/>
        </w:rPr>
        <w:instrText xml:space="preserve"> </w:instrText>
      </w:r>
      <w:r w:rsidRPr="00711FBD">
        <w:rPr>
          <w:rStyle w:val="af7"/>
          <w:rFonts w:eastAsia="Guttman Hodes"/>
          <w:rtl/>
        </w:rPr>
      </w:r>
      <w:r w:rsidRPr="00711FBD">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711FBD">
        <w:rPr>
          <w:rStyle w:val="af7"/>
          <w:rFonts w:eastAsia="Guttman Hodes"/>
          <w:rtl/>
        </w:rPr>
        <w:fldChar w:fldCharType="end"/>
      </w:r>
      <w:r w:rsidRPr="0037010B">
        <w:rPr>
          <w:rStyle w:val="af7"/>
          <w:rFonts w:eastAsia="Guttman Hodes" w:hint="cs"/>
          <w:rtl/>
        </w:rPr>
        <w:t xml:space="preserve"> </w:t>
      </w:r>
      <w:r w:rsidRPr="0037010B">
        <w:rPr>
          <w:rStyle w:val="af9"/>
          <w:rFonts w:hint="cs"/>
          <w:rtl/>
        </w:rPr>
        <w:t>דרבינו יונה</w:t>
      </w:r>
      <w:r>
        <w:rPr>
          <w:rFonts w:hint="cs"/>
          <w:rtl/>
        </w:rPr>
        <w:t xml:space="preserve"> בא לבאר שאם המחזיק הודה מתחילה שהקרקע הייתה של המערער, לפני שאמר "מפלניא זבינתה דאמר לי דזבנה מינך", א"כ ודאי דאינו נאמן במה שאמר אח"כ דהקרקע הייתה של המערער, דהוא מיגו למפרע, ולכן ביאר </w:t>
      </w:r>
      <w:r w:rsidRPr="005207FA">
        <w:rPr>
          <w:rStyle w:val="af9"/>
          <w:rFonts w:hint="cs"/>
          <w:rtl/>
        </w:rPr>
        <w:t>רבינו יונה</w:t>
      </w:r>
      <w:r>
        <w:rPr>
          <w:rFonts w:hint="cs"/>
          <w:rtl/>
        </w:rPr>
        <w:t xml:space="preserve"> שבתחילה רק אמר ששמע כן מפי המוכר, ואח"כ הודה לו בפירוש, א"כ צריך להאמין לו במיגו, אעפ"י שאח"כ הודה שהוא יודע בעצמו שהקרקע הייתה של המערער, מ"מ יש לו את הראיה של המיגו.</w:t>
      </w:r>
    </w:p>
    <w:p w:rsidR="0007171D" w:rsidRPr="00711FBD" w:rsidRDefault="0007171D" w:rsidP="0007171D">
      <w:pPr>
        <w:pStyle w:val="a3"/>
      </w:pPr>
      <w:bookmarkStart w:id="8856" w:name="_Toc59025877"/>
      <w:r>
        <w:rPr>
          <w:rFonts w:hint="cs"/>
          <w:rtl/>
        </w:rPr>
        <w:t>ביאור האבהא"ז ברבינו יונה דכשהודה בעצמו לא מהני המיגו דכבר הודה בתחילה</w:t>
      </w:r>
      <w:bookmarkEnd w:id="8856"/>
    </w:p>
    <w:p w:rsidR="0007171D" w:rsidRDefault="0007171D" w:rsidP="007E4E81">
      <w:pPr>
        <w:pStyle w:val="a0"/>
        <w:rPr>
          <w:rtl/>
        </w:rPr>
      </w:pPr>
      <w:bookmarkStart w:id="8857" w:name="_Ref58838547"/>
      <w:r>
        <w:rPr>
          <w:rFonts w:hint="cs"/>
          <w:rtl/>
        </w:rPr>
        <w:t xml:space="preserve">וביאר </w:t>
      </w:r>
      <w:r w:rsidRPr="005207FA">
        <w:rPr>
          <w:rStyle w:val="af9"/>
          <w:rFonts w:hint="cs"/>
          <w:rtl/>
        </w:rPr>
        <w:t>האבהא"ז</w:t>
      </w:r>
      <w:r>
        <w:rPr>
          <w:rFonts w:hint="cs"/>
          <w:rtl/>
        </w:rPr>
        <w:t xml:space="preserve"> דלכן כתב </w:t>
      </w:r>
      <w:r w:rsidRPr="005207FA">
        <w:rPr>
          <w:rStyle w:val="af9"/>
          <w:rFonts w:hint="cs"/>
          <w:rtl/>
        </w:rPr>
        <w:t>רבינו יונה</w:t>
      </w:r>
      <w:r>
        <w:rPr>
          <w:rFonts w:hint="cs"/>
          <w:rtl/>
        </w:rPr>
        <w:t xml:space="preserve"> </w:t>
      </w:r>
      <w:r w:rsidRPr="005207FA">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Ref58875973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Pr>
          <w:rStyle w:val="af7"/>
          <w:rFonts w:eastAsia="Guttman Hodes"/>
          <w:rtl/>
        </w:rPr>
        <w:fldChar w:fldCharType="end"/>
      </w:r>
      <w:r>
        <w:rPr>
          <w:rFonts w:hint="cs"/>
          <w:rtl/>
        </w:rPr>
        <w:t xml:space="preserve"> דכמו שאם היו עדים למערער שהקרקע הייתה שלו, כל שאין למחזיק שטר או חזקת ג"ש מוציאין אותו מהקרקע, ה"ה כשהודה בעצמו שיודע כן דמוציאין אותו, ואעפ"י שיש לו מיגו, מ"מ ביאר </w:t>
      </w:r>
      <w:r w:rsidRPr="005207FA">
        <w:rPr>
          <w:rStyle w:val="af9"/>
          <w:rFonts w:hint="cs"/>
          <w:rtl/>
        </w:rPr>
        <w:t>האבהא"ז</w:t>
      </w:r>
      <w:r>
        <w:rPr>
          <w:rFonts w:hint="cs"/>
          <w:rtl/>
        </w:rPr>
        <w:t xml:space="preserve"> דס"ל </w:t>
      </w:r>
      <w:r w:rsidRPr="005207FA">
        <w:rPr>
          <w:rStyle w:val="af9"/>
          <w:rFonts w:hint="cs"/>
          <w:rtl/>
        </w:rPr>
        <w:t>לרבינו יונה</w:t>
      </w:r>
      <w:r>
        <w:rPr>
          <w:rFonts w:hint="cs"/>
          <w:rtl/>
        </w:rPr>
        <w:t xml:space="preserve"> דכשיש הודאת בע"ד שהיא כעדים, אינו נאמן במיגו.</w:t>
      </w:r>
      <w:bookmarkEnd w:id="8855"/>
      <w:bookmarkEnd w:id="8857"/>
      <w:r>
        <w:rPr>
          <w:rFonts w:hint="cs"/>
          <w:rtl/>
        </w:rPr>
        <w:t xml:space="preserve"> </w:t>
      </w:r>
      <w:r w:rsidRPr="00445521">
        <w:rPr>
          <w:rStyle w:val="afb"/>
          <w:rFonts w:hint="cs"/>
          <w:rtl/>
        </w:rPr>
        <w:t>[דהוא מיגו למפרע].</w:t>
      </w:r>
    </w:p>
    <w:p w:rsidR="0007171D" w:rsidRPr="00210143" w:rsidRDefault="0007171D" w:rsidP="0007171D">
      <w:pPr>
        <w:pStyle w:val="a3"/>
        <w:rPr>
          <w:rtl/>
        </w:rPr>
      </w:pPr>
      <w:bookmarkStart w:id="8858" w:name="_Toc59025878"/>
      <w:r>
        <w:rPr>
          <w:rFonts w:hint="cs"/>
          <w:rtl/>
        </w:rPr>
        <w:t>ביאור האהבהא"ז ברא"ש דאף בלא הודה מעצמו אין לו הפה שאסר אלא מיגו ואינו מיגו טוב</w:t>
      </w:r>
      <w:bookmarkEnd w:id="8858"/>
    </w:p>
    <w:p w:rsidR="0007171D" w:rsidRDefault="0007171D" w:rsidP="007E4E81">
      <w:pPr>
        <w:pStyle w:val="a0"/>
        <w:rPr>
          <w:rtl/>
        </w:rPr>
      </w:pPr>
      <w:r>
        <w:rPr>
          <w:rFonts w:hint="cs"/>
          <w:rtl/>
        </w:rPr>
        <w:t>וכתב</w:t>
      </w:r>
      <w:r w:rsidRPr="00286C65">
        <w:rPr>
          <w:rStyle w:val="af9"/>
          <w:rFonts w:hint="cs"/>
          <w:rtl/>
        </w:rPr>
        <w:t xml:space="preserve"> </w:t>
      </w:r>
      <w:r w:rsidRPr="003E27D4">
        <w:rPr>
          <w:rStyle w:val="af9"/>
          <w:rFonts w:hint="cs"/>
          <w:rtl/>
        </w:rPr>
        <w:t>האבהא"ז</w:t>
      </w:r>
      <w:r>
        <w:rPr>
          <w:rFonts w:hint="cs"/>
          <w:rtl/>
        </w:rPr>
        <w:t xml:space="preserve"> </w:t>
      </w:r>
      <w:r w:rsidRPr="003E27D4">
        <w:rPr>
          <w:rStyle w:val="af7"/>
          <w:rFonts w:eastAsia="Guttman Hodes" w:hint="cs"/>
          <w:rtl/>
        </w:rPr>
        <w:t>(טו"נ פי"ד הי"ד ד"ה</w:t>
      </w:r>
      <w:r>
        <w:rPr>
          <w:rStyle w:val="af7"/>
          <w:rFonts w:eastAsia="Guttman Hodes" w:hint="cs"/>
          <w:rtl/>
        </w:rPr>
        <w:t xml:space="preserve"> וע"ז בא)</w:t>
      </w:r>
      <w:r>
        <w:rPr>
          <w:rFonts w:hint="cs"/>
          <w:rtl/>
        </w:rPr>
        <w:t xml:space="preserve"> </w:t>
      </w:r>
      <w:r w:rsidRPr="00711FBD">
        <w:rPr>
          <w:rStyle w:val="af9"/>
          <w:rFonts w:hint="cs"/>
          <w:rtl/>
        </w:rPr>
        <w:t>דהרא"ש</w:t>
      </w:r>
      <w:r>
        <w:rPr>
          <w:rFonts w:hint="cs"/>
          <w:rtl/>
        </w:rPr>
        <w:t xml:space="preserve"> </w:t>
      </w:r>
      <w:r w:rsidRPr="00711FBD">
        <w:rPr>
          <w:rStyle w:val="af7"/>
          <w:rFonts w:eastAsia="Guttman Hodes" w:hint="cs"/>
          <w:rtl/>
        </w:rPr>
        <w:t xml:space="preserve">(עי' אות </w:t>
      </w:r>
      <w:r w:rsidRPr="00711FBD">
        <w:rPr>
          <w:rStyle w:val="af7"/>
          <w:rFonts w:eastAsia="Guttman Hodes"/>
          <w:rtl/>
        </w:rPr>
        <w:fldChar w:fldCharType="begin"/>
      </w:r>
      <w:r w:rsidRPr="00711FBD">
        <w:rPr>
          <w:rStyle w:val="af7"/>
          <w:rFonts w:eastAsia="Guttman Hodes"/>
          <w:rtl/>
        </w:rPr>
        <w:instrText xml:space="preserve"> </w:instrText>
      </w:r>
      <w:r w:rsidRPr="00711FBD">
        <w:rPr>
          <w:rStyle w:val="af7"/>
          <w:rFonts w:eastAsia="Guttman Hodes" w:hint="cs"/>
        </w:rPr>
        <w:instrText>REF</w:instrText>
      </w:r>
      <w:r w:rsidRPr="00711FBD">
        <w:rPr>
          <w:rStyle w:val="af7"/>
          <w:rFonts w:eastAsia="Guttman Hodes" w:hint="cs"/>
          <w:rtl/>
        </w:rPr>
        <w:instrText xml:space="preserve"> _</w:instrText>
      </w:r>
      <w:r w:rsidRPr="00711FBD">
        <w:rPr>
          <w:rStyle w:val="af7"/>
          <w:rFonts w:eastAsia="Guttman Hodes" w:hint="cs"/>
        </w:rPr>
        <w:instrText>Ref57911051 \r \h</w:instrText>
      </w:r>
      <w:r w:rsidRPr="00711FBD">
        <w:rPr>
          <w:rStyle w:val="af7"/>
          <w:rFonts w:eastAsia="Guttman Hodes"/>
          <w:rtl/>
        </w:rPr>
        <w:instrText xml:space="preserve"> </w:instrText>
      </w:r>
      <w:r w:rsidRPr="00711FBD">
        <w:rPr>
          <w:rStyle w:val="af7"/>
          <w:rFonts w:eastAsia="Guttman Hodes"/>
          <w:rtl/>
        </w:rPr>
      </w:r>
      <w:r w:rsidRPr="00711FBD">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711FBD">
        <w:rPr>
          <w:rStyle w:val="af7"/>
          <w:rFonts w:eastAsia="Guttman Hodes"/>
          <w:rtl/>
        </w:rPr>
        <w:fldChar w:fldCharType="end"/>
      </w:r>
      <w:r>
        <w:rPr>
          <w:rFonts w:hint="cs"/>
          <w:rtl/>
        </w:rPr>
        <w:t xml:space="preserve"> בא להוסיף ביאור אחר, על דברי </w:t>
      </w:r>
      <w:r w:rsidRPr="00B72FCE">
        <w:rPr>
          <w:rStyle w:val="af9"/>
          <w:rFonts w:hint="cs"/>
          <w:rtl/>
        </w:rPr>
        <w:t>רבינו יונה</w:t>
      </w:r>
      <w:r>
        <w:rPr>
          <w:rFonts w:hint="cs"/>
          <w:rtl/>
        </w:rPr>
        <w:t>, וכתב דלא מהני לו המיגו שיהיה נאמן על מה שאמר בתחילת דבריו דכך אמר לו המוכר, דכיון דכל הנאמנות שלו היא מדין מיגו, ולא מדין הפה שאסר, כיון שאינו בב"ד, א"כ אי"ז מיגו טוב למחזיק כיון שהוא ירא לטעון שלא הייתה של המערער מעולם.</w:t>
      </w:r>
      <w:r w:rsidRPr="0009259C">
        <w:rPr>
          <w:rStyle w:val="afb"/>
          <w:rFonts w:hint="cs"/>
          <w:rtl/>
        </w:rPr>
        <w:t xml:space="preserve"> </w:t>
      </w:r>
      <w:r w:rsidRPr="000B30EF">
        <w:rPr>
          <w:rStyle w:val="afb"/>
          <w:rFonts w:hint="cs"/>
          <w:rtl/>
        </w:rPr>
        <w:t xml:space="preserve">[וכדביאר </w:t>
      </w:r>
      <w:r w:rsidRPr="000B30EF">
        <w:rPr>
          <w:rStyle w:val="affa"/>
          <w:rFonts w:hint="cs"/>
          <w:rtl/>
        </w:rPr>
        <w:t>האבהא"ז</w:t>
      </w:r>
      <w:r w:rsidRPr="000B30EF">
        <w:rPr>
          <w:rStyle w:val="afb"/>
          <w:rFonts w:hint="cs"/>
          <w:rtl/>
        </w:rPr>
        <w:t xml:space="preserve"> </w:t>
      </w:r>
      <w:r w:rsidRPr="0009259C">
        <w:rPr>
          <w:rStyle w:val="aff6"/>
          <w:rFonts w:hint="cs"/>
          <w:rtl/>
        </w:rPr>
        <w:t xml:space="preserve">(עי' אות </w:t>
      </w:r>
      <w:r w:rsidRPr="0009259C">
        <w:rPr>
          <w:rStyle w:val="aff6"/>
          <w:rtl/>
        </w:rPr>
        <w:fldChar w:fldCharType="begin"/>
      </w:r>
      <w:r w:rsidRPr="0009259C">
        <w:rPr>
          <w:rStyle w:val="aff6"/>
          <w:rtl/>
        </w:rPr>
        <w:instrText xml:space="preserve"> </w:instrText>
      </w:r>
      <w:r w:rsidRPr="0009259C">
        <w:rPr>
          <w:rStyle w:val="aff6"/>
          <w:rFonts w:hint="cs"/>
        </w:rPr>
        <w:instrText>REF</w:instrText>
      </w:r>
      <w:r w:rsidRPr="0009259C">
        <w:rPr>
          <w:rStyle w:val="aff6"/>
          <w:rFonts w:hint="cs"/>
          <w:rtl/>
        </w:rPr>
        <w:instrText xml:space="preserve"> _</w:instrText>
      </w:r>
      <w:r w:rsidRPr="0009259C">
        <w:rPr>
          <w:rStyle w:val="aff6"/>
          <w:rFonts w:hint="cs"/>
        </w:rPr>
        <w:instrText>Ref58923135 \r \h</w:instrText>
      </w:r>
      <w:r w:rsidRPr="0009259C">
        <w:rPr>
          <w:rStyle w:val="aff6"/>
          <w:rtl/>
        </w:rPr>
        <w:instrText xml:space="preserve"> </w:instrText>
      </w:r>
      <w:r w:rsidRPr="0009259C">
        <w:rPr>
          <w:rStyle w:val="aff6"/>
          <w:rtl/>
        </w:rPr>
      </w:r>
      <w:r w:rsidRPr="0009259C">
        <w:rPr>
          <w:rStyle w:val="aff6"/>
          <w:rtl/>
        </w:rPr>
        <w:fldChar w:fldCharType="separate"/>
      </w:r>
      <w:r w:rsidR="00265073">
        <w:rPr>
          <w:rStyle w:val="aff6"/>
          <w:cs/>
        </w:rPr>
        <w:t>‎</w:t>
      </w:r>
      <w:r w:rsidR="00265073">
        <w:rPr>
          <w:rStyle w:val="aff6"/>
          <w:rtl/>
        </w:rPr>
        <w:t>קיט)</w:t>
      </w:r>
      <w:r w:rsidRPr="0009259C">
        <w:rPr>
          <w:rStyle w:val="aff6"/>
          <w:rtl/>
        </w:rPr>
        <w:fldChar w:fldCharType="end"/>
      </w:r>
      <w:r w:rsidRPr="000B30EF">
        <w:rPr>
          <w:rStyle w:val="afb"/>
          <w:rFonts w:hint="cs"/>
          <w:rtl/>
        </w:rPr>
        <w:t xml:space="preserve"> </w:t>
      </w:r>
      <w:r w:rsidRPr="0009259C">
        <w:rPr>
          <w:rStyle w:val="afb"/>
          <w:rtl/>
        </w:rPr>
        <w:t>דא"א לומר כאן הפה שאסר, כיון שאין המחזיק יודע מעצמו, מ"מ אפש"ל דין מיגו, דאעפ"י שהמחזיק היה צריך לקבל רק את מה שהודה לו המוכר שהייתה של המערער, אך לא היה צריך להאמין לו על מה שאמר לו המוכר שהוא קנה מהמערער, מ"מ ע"י דין מיגו יכול המחזיק להאמין למוכר אף על מה שאמר שקנה מהמערער</w:t>
      </w:r>
      <w:r w:rsidRPr="000B30EF">
        <w:rPr>
          <w:rStyle w:val="afb"/>
          <w:rFonts w:hint="cs"/>
          <w:rtl/>
        </w:rPr>
        <w:t>]</w:t>
      </w:r>
      <w:r>
        <w:rPr>
          <w:rStyle w:val="afb"/>
          <w:rFonts w:hint="cs"/>
          <w:rtl/>
        </w:rPr>
        <w:t>.</w:t>
      </w:r>
    </w:p>
    <w:p w:rsidR="0007171D" w:rsidRDefault="0007171D" w:rsidP="0007171D">
      <w:pPr>
        <w:pStyle w:val="a3"/>
        <w:rPr>
          <w:rtl/>
        </w:rPr>
      </w:pPr>
      <w:bookmarkStart w:id="8859" w:name="_Toc59025879"/>
      <w:r>
        <w:rPr>
          <w:rFonts w:hint="cs"/>
          <w:rtl/>
        </w:rPr>
        <w:t>תי' האבהא"ז על קו' המשל"מ דאף להרא"ש הודה המחזיק בסוף דבריו ול"מ מיגו כנגד הודאה</w:t>
      </w:r>
      <w:bookmarkEnd w:id="8859"/>
    </w:p>
    <w:p w:rsidR="0007171D" w:rsidRDefault="0007171D" w:rsidP="007E4E81">
      <w:pPr>
        <w:pStyle w:val="a0"/>
        <w:rPr>
          <w:rtl/>
        </w:rPr>
      </w:pPr>
      <w:bookmarkStart w:id="8860" w:name="_Ref58704883"/>
      <w:r>
        <w:rPr>
          <w:rFonts w:hint="cs"/>
          <w:rtl/>
        </w:rPr>
        <w:t xml:space="preserve">והביא </w:t>
      </w:r>
      <w:r w:rsidRPr="002C5111">
        <w:rPr>
          <w:rStyle w:val="af9"/>
          <w:rFonts w:hint="cs"/>
          <w:rtl/>
        </w:rPr>
        <w:t>האבהא"ז</w:t>
      </w:r>
      <w:r>
        <w:rPr>
          <w:rFonts w:hint="cs"/>
          <w:rtl/>
        </w:rPr>
        <w:t xml:space="preserve"> </w:t>
      </w:r>
      <w:r w:rsidRPr="0083343B">
        <w:rPr>
          <w:rStyle w:val="af7"/>
          <w:rFonts w:eastAsia="Guttman Hodes" w:hint="cs"/>
          <w:rtl/>
        </w:rPr>
        <w:t>(טו"נ פי"ד הי"ד ד"ה אכן)</w:t>
      </w:r>
      <w:r>
        <w:rPr>
          <w:rFonts w:hint="cs"/>
          <w:rtl/>
        </w:rPr>
        <w:t xml:space="preserve"> את קושית </w:t>
      </w:r>
      <w:r w:rsidRPr="000B30EF">
        <w:rPr>
          <w:rStyle w:val="af9"/>
          <w:rFonts w:hint="cs"/>
          <w:rtl/>
        </w:rPr>
        <w:t>המשל"מ</w:t>
      </w:r>
      <w:r>
        <w:rPr>
          <w:rFonts w:hint="cs"/>
          <w:rtl/>
        </w:rPr>
        <w:t xml:space="preserve"> </w:t>
      </w:r>
      <w:r w:rsidRPr="0083343B">
        <w:rPr>
          <w:rStyle w:val="af7"/>
          <w:rFonts w:eastAsia="Guttman Hodes" w:hint="cs"/>
          <w:rtl/>
        </w:rPr>
        <w:t xml:space="preserve">(עי' אות </w:t>
      </w:r>
      <w:r w:rsidRPr="0083343B">
        <w:rPr>
          <w:rStyle w:val="af7"/>
          <w:rFonts w:eastAsia="Guttman Hodes"/>
          <w:rtl/>
        </w:rPr>
        <w:fldChar w:fldCharType="begin"/>
      </w:r>
      <w:r w:rsidRPr="0083343B">
        <w:rPr>
          <w:rStyle w:val="af7"/>
          <w:rFonts w:eastAsia="Guttman Hodes"/>
          <w:rtl/>
        </w:rPr>
        <w:instrText xml:space="preserve"> </w:instrText>
      </w:r>
      <w:r w:rsidRPr="0083343B">
        <w:rPr>
          <w:rStyle w:val="af7"/>
          <w:rFonts w:eastAsia="Guttman Hodes" w:hint="cs"/>
        </w:rPr>
        <w:instrText>REF</w:instrText>
      </w:r>
      <w:r w:rsidRPr="0083343B">
        <w:rPr>
          <w:rStyle w:val="af7"/>
          <w:rFonts w:eastAsia="Guttman Hodes" w:hint="cs"/>
          <w:rtl/>
        </w:rPr>
        <w:instrText xml:space="preserve"> _</w:instrText>
      </w:r>
      <w:r w:rsidRPr="0083343B">
        <w:rPr>
          <w:rStyle w:val="af7"/>
          <w:rFonts w:eastAsia="Guttman Hodes" w:hint="cs"/>
        </w:rPr>
        <w:instrText>Ref58837473 \r \h</w:instrText>
      </w:r>
      <w:r w:rsidRPr="0083343B">
        <w:rPr>
          <w:rStyle w:val="af7"/>
          <w:rFonts w:eastAsia="Guttman Hodes"/>
          <w:rtl/>
        </w:rPr>
        <w:instrText xml:space="preserve"> </w:instrText>
      </w:r>
      <w:r w:rsidRPr="0083343B">
        <w:rPr>
          <w:rStyle w:val="af7"/>
          <w:rFonts w:eastAsia="Guttman Hodes"/>
          <w:rtl/>
        </w:rPr>
      </w:r>
      <w:r w:rsidRPr="0083343B">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83343B">
        <w:rPr>
          <w:rStyle w:val="af7"/>
          <w:rFonts w:eastAsia="Guttman Hodes"/>
          <w:rtl/>
        </w:rPr>
        <w:fldChar w:fldCharType="end"/>
      </w:r>
      <w:r w:rsidRPr="0083343B">
        <w:rPr>
          <w:rStyle w:val="af7"/>
          <w:rFonts w:eastAsia="Guttman Hodes" w:hint="cs"/>
          <w:rtl/>
        </w:rPr>
        <w:t xml:space="preserve"> </w:t>
      </w:r>
      <w:r>
        <w:rPr>
          <w:rFonts w:hint="cs"/>
          <w:rtl/>
        </w:rPr>
        <w:t xml:space="preserve">על </w:t>
      </w:r>
      <w:r w:rsidRPr="000B30EF">
        <w:rPr>
          <w:rStyle w:val="af9"/>
          <w:rFonts w:hint="cs"/>
          <w:rtl/>
        </w:rPr>
        <w:t>הרא"ש</w:t>
      </w:r>
      <w:r>
        <w:rPr>
          <w:rFonts w:hint="cs"/>
          <w:rtl/>
        </w:rPr>
        <w:t xml:space="preserve"> דהאיך אפש"ל דלא נאמין לדברי המחזיק, דהא ממה נפשך אם אין אנו מאמינים למה שטוען שקנה מהמוכר, שהוא אמר לו המוכר שקנה מהמערער, א"כ לא ידוע לנו כלל שהקרקע הייתה של המערער, והאיך אפשר להוציא ממנו את הקרקע, אף שאין לו נאמנות של מיגו כיון שהוא ירא לטעון את טענת המיגו</w:t>
      </w:r>
      <w:bookmarkEnd w:id="8860"/>
      <w:r>
        <w:rPr>
          <w:rFonts w:hint="cs"/>
          <w:rtl/>
        </w:rPr>
        <w:t xml:space="preserve">, וכתב </w:t>
      </w:r>
      <w:r w:rsidRPr="003E27D4">
        <w:rPr>
          <w:rStyle w:val="af9"/>
          <w:rFonts w:hint="cs"/>
          <w:rtl/>
        </w:rPr>
        <w:t>האבהא"ז</w:t>
      </w:r>
      <w:r>
        <w:rPr>
          <w:rFonts w:hint="cs"/>
          <w:rtl/>
        </w:rPr>
        <w:t xml:space="preserve"> </w:t>
      </w:r>
      <w:r w:rsidRPr="0083343B">
        <w:rPr>
          <w:rStyle w:val="af7"/>
          <w:rFonts w:eastAsia="Guttman Hodes" w:hint="cs"/>
          <w:rtl/>
        </w:rPr>
        <w:t>(טו"נ פי"ד הי"ד ד"ה וע"ז בא)</w:t>
      </w:r>
      <w:r>
        <w:rPr>
          <w:rFonts w:hint="cs"/>
          <w:rtl/>
        </w:rPr>
        <w:t xml:space="preserve"> דלפי ביאורו מיושבת קושית </w:t>
      </w:r>
      <w:r w:rsidRPr="005207FA">
        <w:rPr>
          <w:rStyle w:val="af9"/>
          <w:rFonts w:hint="cs"/>
          <w:rtl/>
        </w:rPr>
        <w:t>המשל"מ</w:t>
      </w:r>
      <w:r>
        <w:rPr>
          <w:rFonts w:hint="cs"/>
          <w:rtl/>
        </w:rPr>
        <w:t xml:space="preserve"> על </w:t>
      </w:r>
      <w:r w:rsidRPr="005207FA">
        <w:rPr>
          <w:rStyle w:val="af9"/>
          <w:rFonts w:hint="cs"/>
          <w:rtl/>
        </w:rPr>
        <w:t>הרא"ש</w:t>
      </w:r>
      <w:r>
        <w:rPr>
          <w:rFonts w:hint="cs"/>
          <w:rtl/>
        </w:rPr>
        <w:t xml:space="preserve">, כיון </w:t>
      </w:r>
      <w:r w:rsidRPr="005207FA">
        <w:rPr>
          <w:rStyle w:val="af9"/>
          <w:rFonts w:hint="cs"/>
          <w:rtl/>
        </w:rPr>
        <w:t>דהמשל"מ</w:t>
      </w:r>
      <w:r>
        <w:rPr>
          <w:rFonts w:hint="cs"/>
          <w:rtl/>
        </w:rPr>
        <w:t xml:space="preserve"> הבין </w:t>
      </w:r>
      <w:r w:rsidRPr="005207FA">
        <w:rPr>
          <w:rStyle w:val="af9"/>
          <w:rFonts w:hint="cs"/>
          <w:rtl/>
        </w:rPr>
        <w:t>ברא"ש</w:t>
      </w:r>
      <w:r>
        <w:rPr>
          <w:rFonts w:hint="cs"/>
          <w:rtl/>
        </w:rPr>
        <w:t xml:space="preserve"> דהמחזיק יודע בעצמו, אך לא הודה בפירוש, אך לפי המבואר בדברי </w:t>
      </w:r>
      <w:r w:rsidRPr="005207FA">
        <w:rPr>
          <w:rStyle w:val="af9"/>
          <w:rFonts w:hint="cs"/>
          <w:rtl/>
        </w:rPr>
        <w:t>רבינו יונה</w:t>
      </w:r>
      <w:r>
        <w:rPr>
          <w:rFonts w:hint="cs"/>
          <w:rtl/>
        </w:rPr>
        <w:t xml:space="preserve"> </w:t>
      </w:r>
      <w:r w:rsidRPr="0083343B">
        <w:rPr>
          <w:rStyle w:val="af7"/>
          <w:rFonts w:eastAsia="Guttman Hodes" w:hint="cs"/>
          <w:rtl/>
        </w:rPr>
        <w:t xml:space="preserve">(עי' אות </w:t>
      </w:r>
      <w:r w:rsidRPr="0083343B">
        <w:rPr>
          <w:rStyle w:val="af7"/>
          <w:rFonts w:eastAsia="Guttman Hodes"/>
          <w:rtl/>
        </w:rPr>
        <w:fldChar w:fldCharType="begin"/>
      </w:r>
      <w:r w:rsidRPr="0083343B">
        <w:rPr>
          <w:rStyle w:val="af7"/>
          <w:rFonts w:eastAsia="Guttman Hodes"/>
          <w:rtl/>
        </w:rPr>
        <w:instrText xml:space="preserve"> </w:instrText>
      </w:r>
      <w:r w:rsidRPr="0083343B">
        <w:rPr>
          <w:rStyle w:val="af7"/>
          <w:rFonts w:eastAsia="Guttman Hodes" w:hint="cs"/>
        </w:rPr>
        <w:instrText>REF</w:instrText>
      </w:r>
      <w:r w:rsidRPr="0083343B">
        <w:rPr>
          <w:rStyle w:val="af7"/>
          <w:rFonts w:eastAsia="Guttman Hodes" w:hint="cs"/>
          <w:rtl/>
        </w:rPr>
        <w:instrText xml:space="preserve"> _</w:instrText>
      </w:r>
      <w:r w:rsidRPr="0083343B">
        <w:rPr>
          <w:rStyle w:val="af7"/>
          <w:rFonts w:eastAsia="Guttman Hodes" w:hint="cs"/>
        </w:rPr>
        <w:instrText>Ref58704906 \r \h</w:instrText>
      </w:r>
      <w:r w:rsidRPr="0083343B">
        <w:rPr>
          <w:rStyle w:val="af7"/>
          <w:rFonts w:eastAsia="Guttman Hodes"/>
          <w:rtl/>
        </w:rPr>
        <w:instrText xml:space="preserve"> </w:instrText>
      </w:r>
      <w:r w:rsidRPr="0083343B">
        <w:rPr>
          <w:rStyle w:val="af7"/>
          <w:rFonts w:eastAsia="Guttman Hodes"/>
          <w:rtl/>
        </w:rPr>
      </w:r>
      <w:r w:rsidRPr="0083343B">
        <w:rPr>
          <w:rStyle w:val="af7"/>
          <w:rFonts w:eastAsia="Guttman Hodes"/>
          <w:rtl/>
        </w:rPr>
        <w:fldChar w:fldCharType="separate"/>
      </w:r>
      <w:r w:rsidR="00265073">
        <w:rPr>
          <w:rStyle w:val="af7"/>
          <w:rFonts w:eastAsia="Guttman Hodes"/>
          <w:cs/>
        </w:rPr>
        <w:t>‎</w:t>
      </w:r>
      <w:r w:rsidR="00265073">
        <w:rPr>
          <w:rStyle w:val="af7"/>
          <w:rFonts w:eastAsia="Guttman Hodes"/>
          <w:rtl/>
        </w:rPr>
        <w:t>קא)</w:t>
      </w:r>
      <w:r w:rsidRPr="0083343B">
        <w:rPr>
          <w:rStyle w:val="af7"/>
          <w:rFonts w:eastAsia="Guttman Hodes"/>
          <w:rtl/>
        </w:rPr>
        <w:fldChar w:fldCharType="end"/>
      </w:r>
      <w:r>
        <w:rPr>
          <w:rFonts w:hint="cs"/>
          <w:rtl/>
        </w:rPr>
        <w:t xml:space="preserve"> דבסוף דבריו המחזיק הודה בפירוש, א"כ אין לו מיגו דהודאתו היא כמאה עדים.</w:t>
      </w:r>
    </w:p>
    <w:p w:rsidR="009B209D" w:rsidRPr="009B209D" w:rsidRDefault="009B209D" w:rsidP="009B209D">
      <w:pPr>
        <w:pStyle w:val="a3"/>
        <w:rPr>
          <w:rtl/>
        </w:rPr>
      </w:pPr>
    </w:p>
    <w:p w:rsidR="009B209D" w:rsidRPr="009B209D" w:rsidRDefault="009B209D" w:rsidP="009B209D">
      <w:pPr>
        <w:pStyle w:val="a3"/>
        <w:rPr>
          <w:rtl/>
        </w:rPr>
      </w:pPr>
    </w:p>
    <w:p w:rsidR="004C6794" w:rsidRPr="004C6794" w:rsidRDefault="004C6794" w:rsidP="004C6794">
      <w:pPr>
        <w:pStyle w:val="a3"/>
        <w:rPr>
          <w:rtl/>
        </w:rPr>
      </w:pPr>
    </w:p>
    <w:p w:rsidR="004C6794" w:rsidRPr="004C6794" w:rsidRDefault="004C6794" w:rsidP="004C6794">
      <w:pPr>
        <w:pStyle w:val="a3"/>
        <w:rPr>
          <w:rtl/>
        </w:rPr>
      </w:pPr>
    </w:p>
    <w:p w:rsidR="0007171D" w:rsidRDefault="0007171D" w:rsidP="0007171D">
      <w:pPr>
        <w:pStyle w:val="afe"/>
        <w:rPr>
          <w:rtl/>
        </w:rPr>
      </w:pPr>
      <w:bookmarkStart w:id="8861" w:name="_Toc59025880"/>
      <w:r>
        <w:rPr>
          <w:rFonts w:hint="cs"/>
          <w:rtl/>
        </w:rPr>
        <w:t>בפלוג' הראב"ד</w:t>
      </w:r>
      <w:bookmarkEnd w:id="8837"/>
      <w:bookmarkEnd w:id="8838"/>
      <w:bookmarkEnd w:id="8839"/>
      <w:bookmarkEnd w:id="8840"/>
      <w:bookmarkEnd w:id="8841"/>
      <w:bookmarkEnd w:id="8842"/>
      <w:r>
        <w:rPr>
          <w:rFonts w:hint="cs"/>
          <w:rtl/>
        </w:rPr>
        <w:t xml:space="preserve"> והרמב"ן במיגו דלהד"ם</w:t>
      </w:r>
      <w:bookmarkEnd w:id="8861"/>
    </w:p>
    <w:p w:rsidR="0007171D" w:rsidRDefault="0007171D" w:rsidP="0007171D">
      <w:pPr>
        <w:pStyle w:val="1"/>
        <w:rPr>
          <w:rtl/>
        </w:rPr>
      </w:pPr>
      <w:bookmarkStart w:id="8862" w:name="_Toc58926020"/>
      <w:bookmarkStart w:id="8863" w:name="_Toc58930096"/>
      <w:bookmarkStart w:id="8864" w:name="_Toc58938255"/>
      <w:bookmarkStart w:id="8865" w:name="_Toc59007070"/>
      <w:bookmarkStart w:id="8866" w:name="_Toc59013545"/>
      <w:bookmarkStart w:id="8867" w:name="_Toc59013793"/>
      <w:bookmarkStart w:id="8868" w:name="_Toc59025881"/>
      <w:r>
        <w:rPr>
          <w:rFonts w:hint="cs"/>
          <w:rtl/>
        </w:rPr>
        <w:t>ביאור הגרנ"ט בראב"ד</w:t>
      </w:r>
      <w:bookmarkEnd w:id="8843"/>
      <w:bookmarkEnd w:id="8844"/>
      <w:bookmarkEnd w:id="8845"/>
      <w:bookmarkEnd w:id="8846"/>
      <w:bookmarkEnd w:id="8847"/>
      <w:bookmarkEnd w:id="8862"/>
      <w:bookmarkEnd w:id="8863"/>
      <w:bookmarkEnd w:id="8864"/>
      <w:bookmarkEnd w:id="8865"/>
      <w:bookmarkEnd w:id="8866"/>
      <w:bookmarkEnd w:id="8867"/>
      <w:r>
        <w:rPr>
          <w:rFonts w:hint="cs"/>
          <w:rtl/>
        </w:rPr>
        <w:t xml:space="preserve"> דמיגו דלהד"ם ל"מ דהוא חוץ לב"ד</w:t>
      </w:r>
      <w:bookmarkEnd w:id="8868"/>
    </w:p>
    <w:p w:rsidR="0007171D" w:rsidRPr="006F1B00" w:rsidRDefault="0007171D" w:rsidP="0007171D">
      <w:pPr>
        <w:pStyle w:val="a3"/>
        <w:rPr>
          <w:rtl/>
        </w:rPr>
      </w:pPr>
      <w:bookmarkStart w:id="8869" w:name="_Toc59025882"/>
      <w:r>
        <w:rPr>
          <w:rFonts w:hint="cs"/>
          <w:rtl/>
        </w:rPr>
        <w:t>תי' הגרנ"ט על קו' הרמב"ן על הראב"ד דל"מ למחזיק מיגו דלהד"ם כיון דהוא מיגו דחוץ לב"ד</w:t>
      </w:r>
      <w:bookmarkEnd w:id="8869"/>
    </w:p>
    <w:p w:rsidR="0007171D" w:rsidRDefault="0007171D" w:rsidP="007E4E81">
      <w:pPr>
        <w:pStyle w:val="a0"/>
        <w:rPr>
          <w:rtl/>
        </w:rPr>
      </w:pPr>
      <w:bookmarkStart w:id="8870" w:name="_Ref59023236"/>
      <w:r>
        <w:rPr>
          <w:rFonts w:hint="cs"/>
          <w:rtl/>
        </w:rPr>
        <w:t>במה</w:t>
      </w:r>
      <w:r w:rsidRPr="00FE13BC">
        <w:rPr>
          <w:rFonts w:hint="cs"/>
          <w:rtl/>
        </w:rPr>
        <w:t xml:space="preserve"> </w:t>
      </w:r>
      <w:r>
        <w:rPr>
          <w:rFonts w:hint="cs"/>
          <w:rtl/>
        </w:rPr>
        <w:t>שהקשה</w:t>
      </w:r>
      <w:r w:rsidRPr="009A63AE">
        <w:rPr>
          <w:rStyle w:val="af9"/>
          <w:rFonts w:hint="cs"/>
          <w:rtl/>
        </w:rPr>
        <w:t xml:space="preserve"> הרמב"ן</w:t>
      </w:r>
      <w:r>
        <w:rPr>
          <w:rFonts w:hint="cs"/>
          <w:rtl/>
        </w:rPr>
        <w:t xml:space="preserve"> </w:t>
      </w:r>
      <w:r w:rsidRPr="005C1C87">
        <w:rPr>
          <w:rStyle w:val="af7"/>
          <w:rFonts w:eastAsia="Guttman Hodes" w:hint="cs"/>
          <w:rtl/>
        </w:rPr>
        <w:t xml:space="preserve">(עי' אות </w:t>
      </w:r>
      <w:r w:rsidRPr="005C1C87">
        <w:rPr>
          <w:rStyle w:val="af7"/>
          <w:rFonts w:eastAsia="Guttman Hodes"/>
          <w:rtl/>
        </w:rPr>
        <w:fldChar w:fldCharType="begin"/>
      </w:r>
      <w:r w:rsidRPr="005C1C87">
        <w:rPr>
          <w:rStyle w:val="af7"/>
          <w:rFonts w:eastAsia="Guttman Hodes"/>
          <w:rtl/>
        </w:rPr>
        <w:instrText xml:space="preserve"> </w:instrText>
      </w:r>
      <w:r w:rsidRPr="005C1C87">
        <w:rPr>
          <w:rStyle w:val="af7"/>
          <w:rFonts w:eastAsia="Guttman Hodes" w:hint="cs"/>
        </w:rPr>
        <w:instrText>REF</w:instrText>
      </w:r>
      <w:r w:rsidRPr="005C1C87">
        <w:rPr>
          <w:rStyle w:val="af7"/>
          <w:rFonts w:eastAsia="Guttman Hodes" w:hint="cs"/>
          <w:rtl/>
        </w:rPr>
        <w:instrText xml:space="preserve"> _</w:instrText>
      </w:r>
      <w:r w:rsidRPr="005C1C87">
        <w:rPr>
          <w:rStyle w:val="af7"/>
          <w:rFonts w:eastAsia="Guttman Hodes" w:hint="cs"/>
        </w:rPr>
        <w:instrText>Ref58702147 \r \h</w:instrText>
      </w:r>
      <w:r w:rsidRPr="005C1C87">
        <w:rPr>
          <w:rStyle w:val="af7"/>
          <w:rFonts w:eastAsia="Guttman Hodes"/>
          <w:rtl/>
        </w:rPr>
        <w:instrText xml:space="preserve"> </w:instrText>
      </w:r>
      <w:r w:rsidRPr="005C1C87">
        <w:rPr>
          <w:rStyle w:val="af7"/>
          <w:rFonts w:eastAsia="Guttman Hodes"/>
          <w:rtl/>
        </w:rPr>
      </w:r>
      <w:r w:rsidRPr="005C1C87">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5C1C87">
        <w:rPr>
          <w:rStyle w:val="af7"/>
          <w:rFonts w:eastAsia="Guttman Hodes"/>
          <w:rtl/>
        </w:rPr>
        <w:fldChar w:fldCharType="end"/>
      </w:r>
      <w:r>
        <w:rPr>
          <w:rStyle w:val="af9"/>
          <w:rFonts w:hint="cs"/>
          <w:rtl/>
        </w:rPr>
        <w:t xml:space="preserve"> </w:t>
      </w:r>
      <w:r w:rsidRPr="0064594B">
        <w:rPr>
          <w:rStyle w:val="af9"/>
          <w:rFonts w:hint="cs"/>
          <w:rtl/>
        </w:rPr>
        <w:t>הראב"ד</w:t>
      </w:r>
      <w:r w:rsidRPr="00B20CE0">
        <w:rPr>
          <w:rStyle w:val="af7"/>
          <w:rFonts w:eastAsia="Guttman Hodes" w:hint="cs"/>
          <w:rtl/>
        </w:rPr>
        <w:t xml:space="preserve"> (עי' אות </w:t>
      </w:r>
      <w:r w:rsidRPr="00B20CE0">
        <w:rPr>
          <w:rStyle w:val="af7"/>
          <w:rFonts w:eastAsia="Guttman Hodes"/>
          <w:rtl/>
        </w:rPr>
        <w:fldChar w:fldCharType="begin"/>
      </w:r>
      <w:r w:rsidRPr="00B20CE0">
        <w:rPr>
          <w:rStyle w:val="af7"/>
          <w:rFonts w:eastAsia="Guttman Hodes"/>
          <w:rtl/>
        </w:rPr>
        <w:instrText xml:space="preserve"> </w:instrText>
      </w:r>
      <w:r w:rsidRPr="00B20CE0">
        <w:rPr>
          <w:rStyle w:val="af7"/>
          <w:rFonts w:eastAsia="Guttman Hodes" w:hint="cs"/>
        </w:rPr>
        <w:instrText>REF</w:instrText>
      </w:r>
      <w:r w:rsidRPr="00B20CE0">
        <w:rPr>
          <w:rStyle w:val="af7"/>
          <w:rFonts w:eastAsia="Guttman Hodes" w:hint="cs"/>
          <w:rtl/>
        </w:rPr>
        <w:instrText xml:space="preserve"> _</w:instrText>
      </w:r>
      <w:r w:rsidRPr="00B20CE0">
        <w:rPr>
          <w:rStyle w:val="af7"/>
          <w:rFonts w:eastAsia="Guttman Hodes" w:hint="cs"/>
        </w:rPr>
        <w:instrText>Ref58702050 \r \h</w:instrText>
      </w:r>
      <w:r w:rsidRPr="00B20CE0">
        <w:rPr>
          <w:rStyle w:val="af7"/>
          <w:rFonts w:eastAsia="Guttman Hodes"/>
          <w:rtl/>
        </w:rPr>
        <w:instrText xml:space="preserve"> </w:instrText>
      </w:r>
      <w:r w:rsidRPr="00B20CE0">
        <w:rPr>
          <w:rStyle w:val="af7"/>
          <w:rFonts w:eastAsia="Guttman Hodes"/>
          <w:rtl/>
        </w:rPr>
      </w:r>
      <w:r w:rsidRPr="00B20CE0">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B20CE0">
        <w:rPr>
          <w:rStyle w:val="af7"/>
          <w:rFonts w:eastAsia="Guttman Hodes"/>
          <w:rtl/>
        </w:rPr>
        <w:fldChar w:fldCharType="end"/>
      </w:r>
      <w:r w:rsidRPr="00B20CE0">
        <w:rPr>
          <w:rStyle w:val="af7"/>
          <w:rFonts w:eastAsia="Guttman Hodes" w:hint="cs"/>
          <w:rtl/>
        </w:rPr>
        <w:t xml:space="preserve"> </w:t>
      </w:r>
      <w:r>
        <w:rPr>
          <w:rFonts w:hint="cs"/>
          <w:rtl/>
        </w:rPr>
        <w:t xml:space="preserve">דכתב </w:t>
      </w:r>
      <w:r w:rsidRPr="00FE13BC">
        <w:rPr>
          <w:rFonts w:hint="cs"/>
          <w:rtl/>
        </w:rPr>
        <w:t>ד</w:t>
      </w:r>
      <w:r>
        <w:rPr>
          <w:rFonts w:hint="cs"/>
          <w:rtl/>
        </w:rPr>
        <w:t xml:space="preserve">המחזיק </w:t>
      </w:r>
      <w:r w:rsidRPr="00FE13BC">
        <w:rPr>
          <w:rFonts w:hint="cs"/>
          <w:rtl/>
        </w:rPr>
        <w:t xml:space="preserve">אינו נאמן מדין הפה שאסר, </w:t>
      </w:r>
      <w:r>
        <w:rPr>
          <w:rFonts w:hint="cs"/>
          <w:rtl/>
        </w:rPr>
        <w:t xml:space="preserve">דהוא טוען רק מכח מה ששמע מהמוכר, דאי רק שמע כן מהמוכר, א"כ אמאי אינו נאמן במיגו דלא הייתה של המערער מעולם כתב </w:t>
      </w:r>
      <w:r w:rsidRPr="00266814">
        <w:rPr>
          <w:rStyle w:val="af9"/>
          <w:rFonts w:hint="cs"/>
          <w:rtl/>
        </w:rPr>
        <w:t xml:space="preserve">הגרנ"ט </w:t>
      </w:r>
      <w:r w:rsidRPr="00B20CE0">
        <w:rPr>
          <w:rStyle w:val="af7"/>
          <w:rFonts w:eastAsia="Guttman Hodes" w:hint="cs"/>
          <w:rtl/>
        </w:rPr>
        <w:t>(סי' קע"ה)</w:t>
      </w:r>
      <w:bookmarkStart w:id="8871" w:name="_Ref58922979"/>
      <w:r>
        <w:rPr>
          <w:rFonts w:hint="cs"/>
          <w:rtl/>
        </w:rPr>
        <w:t xml:space="preserve"> דאפשר לבאר את דברי </w:t>
      </w:r>
      <w:r w:rsidRPr="00C80878">
        <w:rPr>
          <w:rStyle w:val="af9"/>
          <w:rFonts w:hint="cs"/>
          <w:rtl/>
        </w:rPr>
        <w:t xml:space="preserve">הראב"ד </w:t>
      </w:r>
      <w:r>
        <w:rPr>
          <w:rFonts w:hint="cs"/>
          <w:rtl/>
        </w:rPr>
        <w:t xml:space="preserve">עפ"י דברי </w:t>
      </w:r>
      <w:r w:rsidRPr="00266814">
        <w:rPr>
          <w:rStyle w:val="af9"/>
          <w:rFonts w:hint="cs"/>
          <w:rtl/>
        </w:rPr>
        <w:t>התומים</w:t>
      </w:r>
      <w:r>
        <w:rPr>
          <w:rFonts w:hint="cs"/>
          <w:rtl/>
        </w:rPr>
        <w:t xml:space="preserve"> </w:t>
      </w:r>
      <w:r w:rsidRPr="00B20CE0">
        <w:rPr>
          <w:rStyle w:val="af7"/>
          <w:rFonts w:eastAsia="Guttman Hodes" w:hint="cs"/>
          <w:rtl/>
        </w:rPr>
        <w:t xml:space="preserve">(עי' אות </w:t>
      </w:r>
      <w:r w:rsidRPr="00B20CE0">
        <w:rPr>
          <w:rStyle w:val="af7"/>
          <w:rFonts w:eastAsia="Guttman Hodes"/>
          <w:rtl/>
        </w:rPr>
        <w:fldChar w:fldCharType="begin"/>
      </w:r>
      <w:r w:rsidRPr="00B20CE0">
        <w:rPr>
          <w:rStyle w:val="af7"/>
          <w:rFonts w:eastAsia="Guttman Hodes"/>
          <w:rtl/>
        </w:rPr>
        <w:instrText xml:space="preserve"> </w:instrText>
      </w:r>
      <w:r w:rsidRPr="00B20CE0">
        <w:rPr>
          <w:rStyle w:val="af7"/>
          <w:rFonts w:eastAsia="Guttman Hodes" w:hint="cs"/>
        </w:rPr>
        <w:instrText>REF</w:instrText>
      </w:r>
      <w:r w:rsidRPr="00B20CE0">
        <w:rPr>
          <w:rStyle w:val="af7"/>
          <w:rFonts w:eastAsia="Guttman Hodes" w:hint="cs"/>
          <w:rtl/>
        </w:rPr>
        <w:instrText xml:space="preserve"> _</w:instrText>
      </w:r>
      <w:r w:rsidRPr="00B20CE0">
        <w:rPr>
          <w:rStyle w:val="af7"/>
          <w:rFonts w:eastAsia="Guttman Hodes" w:hint="cs"/>
        </w:rPr>
        <w:instrText>Ref59007852 \r \h</w:instrText>
      </w:r>
      <w:r w:rsidRPr="00B20CE0">
        <w:rPr>
          <w:rStyle w:val="af7"/>
          <w:rFonts w:eastAsia="Guttman Hodes"/>
          <w:rtl/>
        </w:rPr>
        <w:instrText xml:space="preserve"> </w:instrText>
      </w:r>
      <w:r w:rsidRPr="00B20CE0">
        <w:rPr>
          <w:rStyle w:val="af7"/>
          <w:rFonts w:eastAsia="Guttman Hodes"/>
          <w:rtl/>
        </w:rPr>
      </w:r>
      <w:r w:rsidRPr="00B20CE0">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B20CE0">
        <w:rPr>
          <w:rStyle w:val="af7"/>
          <w:rFonts w:eastAsia="Guttman Hodes"/>
          <w:rtl/>
        </w:rPr>
        <w:fldChar w:fldCharType="end"/>
      </w:r>
      <w:r>
        <w:rPr>
          <w:rFonts w:hint="cs"/>
          <w:rtl/>
        </w:rPr>
        <w:t xml:space="preserve"> דכתב דכיון דביאר </w:t>
      </w:r>
      <w:r w:rsidRPr="00C80878">
        <w:rPr>
          <w:rStyle w:val="af9"/>
          <w:rFonts w:hint="cs"/>
          <w:rtl/>
        </w:rPr>
        <w:t xml:space="preserve">הסמ"ע </w:t>
      </w:r>
      <w:r w:rsidRPr="00B20CE0">
        <w:rPr>
          <w:rStyle w:val="af7"/>
          <w:rFonts w:eastAsia="Guttman Hodes" w:hint="cs"/>
          <w:rtl/>
        </w:rPr>
        <w:t xml:space="preserve">(עי' אות </w:t>
      </w:r>
      <w:r w:rsidRPr="00B20CE0">
        <w:rPr>
          <w:rStyle w:val="af7"/>
          <w:rFonts w:eastAsia="Guttman Hodes"/>
          <w:rtl/>
        </w:rPr>
        <w:fldChar w:fldCharType="begin"/>
      </w:r>
      <w:r w:rsidRPr="00B20CE0">
        <w:rPr>
          <w:rStyle w:val="af7"/>
          <w:rFonts w:eastAsia="Guttman Hodes"/>
          <w:rtl/>
        </w:rPr>
        <w:instrText xml:space="preserve"> </w:instrText>
      </w:r>
      <w:r w:rsidRPr="00B20CE0">
        <w:rPr>
          <w:rStyle w:val="af7"/>
          <w:rFonts w:eastAsia="Guttman Hodes" w:hint="cs"/>
        </w:rPr>
        <w:instrText>REF</w:instrText>
      </w:r>
      <w:r w:rsidRPr="00B20CE0">
        <w:rPr>
          <w:rStyle w:val="af7"/>
          <w:rFonts w:eastAsia="Guttman Hodes" w:hint="cs"/>
          <w:rtl/>
        </w:rPr>
        <w:instrText xml:space="preserve"> _</w:instrText>
      </w:r>
      <w:r w:rsidRPr="00B20CE0">
        <w:rPr>
          <w:rStyle w:val="af7"/>
          <w:rFonts w:eastAsia="Guttman Hodes" w:hint="cs"/>
        </w:rPr>
        <w:instrText>Ref58532220 \r \h</w:instrText>
      </w:r>
      <w:r w:rsidRPr="00B20CE0">
        <w:rPr>
          <w:rStyle w:val="af7"/>
          <w:rFonts w:eastAsia="Guttman Hodes"/>
          <w:rtl/>
        </w:rPr>
        <w:instrText xml:space="preserve"> </w:instrText>
      </w:r>
      <w:r w:rsidRPr="00B20CE0">
        <w:rPr>
          <w:rStyle w:val="af7"/>
          <w:rFonts w:eastAsia="Guttman Hodes"/>
          <w:rtl/>
        </w:rPr>
      </w:r>
      <w:r w:rsidRPr="00B20CE0">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B20CE0">
        <w:rPr>
          <w:rStyle w:val="af7"/>
          <w:rFonts w:eastAsia="Guttman Hodes"/>
          <w:rtl/>
        </w:rPr>
        <w:fldChar w:fldCharType="end"/>
      </w:r>
      <w:r>
        <w:rPr>
          <w:rFonts w:hint="cs"/>
          <w:rtl/>
        </w:rPr>
        <w:t xml:space="preserve"> דלא מהני מיגו מחוץ לב"ד, ומקבלים רק את מה שטען לחובתו, ולא מקבלים את המיגו דהוא טענה לזכותו, וכתב </w:t>
      </w:r>
      <w:r w:rsidRPr="00C80878">
        <w:rPr>
          <w:rStyle w:val="af9"/>
          <w:rFonts w:hint="cs"/>
          <w:rtl/>
        </w:rPr>
        <w:t>התומים</w:t>
      </w:r>
      <w:r>
        <w:rPr>
          <w:rFonts w:hint="cs"/>
          <w:rtl/>
        </w:rPr>
        <w:t xml:space="preserve"> דא"כ הכא אפש"ל דאיירי שהמחזיק הודה בפני עדים מחוץ לב"ד שהייתה הקרקע של המוכר, ומקבלים את מה שהודה לחובתו, ולא מקבלים את המיגו לזכותו, ולכן כתב </w:t>
      </w:r>
      <w:r w:rsidRPr="00C90238">
        <w:rPr>
          <w:rStyle w:val="af9"/>
          <w:rFonts w:hint="cs"/>
          <w:rtl/>
        </w:rPr>
        <w:t>הראב"ד</w:t>
      </w:r>
      <w:r>
        <w:rPr>
          <w:rFonts w:hint="cs"/>
          <w:rtl/>
        </w:rPr>
        <w:t xml:space="preserve"> דלא מהני הכא הפה שאסר.</w:t>
      </w:r>
      <w:bookmarkEnd w:id="8870"/>
      <w:bookmarkEnd w:id="8871"/>
    </w:p>
    <w:p w:rsidR="0007171D" w:rsidRPr="001B7B26" w:rsidRDefault="0007171D" w:rsidP="0007171D">
      <w:pPr>
        <w:pStyle w:val="a3"/>
      </w:pPr>
      <w:bookmarkStart w:id="8872" w:name="_Toc59025883"/>
      <w:r>
        <w:rPr>
          <w:rFonts w:hint="cs"/>
          <w:rtl/>
        </w:rPr>
        <w:t>ביאור הגרנ"ט בראב"ד דבסוגיין המוכר לא היה מוחזק בקרקע ולא היה נאמן במיגו דהיה שותק</w:t>
      </w:r>
      <w:bookmarkEnd w:id="8872"/>
    </w:p>
    <w:p w:rsidR="0007171D" w:rsidRDefault="0007171D" w:rsidP="007E4E81">
      <w:pPr>
        <w:pStyle w:val="a0"/>
        <w:rPr>
          <w:rtl/>
        </w:rPr>
      </w:pPr>
      <w:r>
        <w:rPr>
          <w:rFonts w:hint="cs"/>
          <w:rtl/>
        </w:rPr>
        <w:t xml:space="preserve">וכתב </w:t>
      </w:r>
      <w:r w:rsidRPr="00CD127D">
        <w:rPr>
          <w:rStyle w:val="af9"/>
          <w:rFonts w:hint="cs"/>
          <w:rtl/>
        </w:rPr>
        <w:t>הגרנ"ט</w:t>
      </w:r>
      <w:r>
        <w:rPr>
          <w:rFonts w:hint="cs"/>
          <w:rtl/>
        </w:rPr>
        <w:t xml:space="preserve"> דאף דהוכיח </w:t>
      </w:r>
      <w:r w:rsidRPr="00266814">
        <w:rPr>
          <w:rStyle w:val="af9"/>
          <w:rFonts w:hint="cs"/>
          <w:rtl/>
        </w:rPr>
        <w:t xml:space="preserve">הנתיה"מ </w:t>
      </w:r>
      <w:r w:rsidRPr="00C46E4C">
        <w:rPr>
          <w:rStyle w:val="af7"/>
          <w:rFonts w:eastAsia="Guttman Hodes" w:hint="cs"/>
          <w:rtl/>
        </w:rPr>
        <w:t xml:space="preserve">(עי' אות </w:t>
      </w:r>
      <w:r w:rsidRPr="00C46E4C">
        <w:rPr>
          <w:rStyle w:val="af7"/>
          <w:rFonts w:eastAsia="Guttman Hodes"/>
          <w:rtl/>
        </w:rPr>
        <w:fldChar w:fldCharType="begin"/>
      </w:r>
      <w:r w:rsidRPr="00C46E4C">
        <w:rPr>
          <w:rStyle w:val="af7"/>
          <w:rFonts w:eastAsia="Guttman Hodes"/>
          <w:rtl/>
        </w:rPr>
        <w:instrText xml:space="preserve"> </w:instrText>
      </w:r>
      <w:r w:rsidRPr="00C46E4C">
        <w:rPr>
          <w:rStyle w:val="af7"/>
          <w:rFonts w:eastAsia="Guttman Hodes" w:hint="cs"/>
        </w:rPr>
        <w:instrText>REF</w:instrText>
      </w:r>
      <w:r w:rsidRPr="00C46E4C">
        <w:rPr>
          <w:rStyle w:val="af7"/>
          <w:rFonts w:eastAsia="Guttman Hodes" w:hint="cs"/>
          <w:rtl/>
        </w:rPr>
        <w:instrText xml:space="preserve"> _</w:instrText>
      </w:r>
      <w:r w:rsidRPr="00C46E4C">
        <w:rPr>
          <w:rStyle w:val="af7"/>
          <w:rFonts w:eastAsia="Guttman Hodes" w:hint="cs"/>
        </w:rPr>
        <w:instrText>Ref59007970 \r \h</w:instrText>
      </w:r>
      <w:r w:rsidRPr="00C46E4C">
        <w:rPr>
          <w:rStyle w:val="af7"/>
          <w:rFonts w:eastAsia="Guttman Hodes"/>
          <w:rtl/>
        </w:rPr>
        <w:instrText xml:space="preserve"> </w:instrText>
      </w:r>
      <w:r w:rsidRPr="00C46E4C">
        <w:rPr>
          <w:rStyle w:val="af7"/>
          <w:rFonts w:eastAsia="Guttman Hodes"/>
          <w:rtl/>
        </w:rPr>
      </w:r>
      <w:r w:rsidRPr="00C46E4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C46E4C">
        <w:rPr>
          <w:rStyle w:val="af7"/>
          <w:rFonts w:eastAsia="Guttman Hodes"/>
          <w:rtl/>
        </w:rPr>
        <w:fldChar w:fldCharType="end"/>
      </w:r>
      <w:r>
        <w:rPr>
          <w:rStyle w:val="af9"/>
          <w:rFonts w:hint="cs"/>
          <w:rtl/>
        </w:rPr>
        <w:t xml:space="preserve"> </w:t>
      </w:r>
      <w:r>
        <w:rPr>
          <w:rFonts w:hint="cs"/>
          <w:rtl/>
        </w:rPr>
        <w:t xml:space="preserve">מהגמ' בכתובות </w:t>
      </w:r>
      <w:r w:rsidRPr="00C46E4C">
        <w:rPr>
          <w:rStyle w:val="af7"/>
          <w:rFonts w:eastAsia="Guttman Hodes" w:hint="cs"/>
          <w:rtl/>
        </w:rPr>
        <w:t>(טו:)</w:t>
      </w:r>
      <w:r>
        <w:rPr>
          <w:rFonts w:hint="cs"/>
          <w:rtl/>
        </w:rPr>
        <w:t xml:space="preserve"> דהאומר שדה זו </w:t>
      </w:r>
      <w:r>
        <w:rPr>
          <w:rtl/>
        </w:rPr>
        <w:t>של אביך היתה ולקחתיה ממנו</w:t>
      </w:r>
      <w:r>
        <w:rPr>
          <w:rFonts w:hint="cs"/>
          <w:rtl/>
        </w:rPr>
        <w:t xml:space="preserve">, דמהני מיגו מחוץ לב"ד, </w:t>
      </w:r>
      <w:bookmarkStart w:id="8873" w:name="_Ref58842639"/>
      <w:r>
        <w:rPr>
          <w:rFonts w:hint="cs"/>
          <w:rtl/>
        </w:rPr>
        <w:t>ביאר</w:t>
      </w:r>
      <w:r>
        <w:rPr>
          <w:rStyle w:val="af9"/>
          <w:rFonts w:hint="cs"/>
          <w:rtl/>
        </w:rPr>
        <w:t xml:space="preserve"> </w:t>
      </w:r>
      <w:r w:rsidRPr="00266814">
        <w:rPr>
          <w:rStyle w:val="af9"/>
          <w:rFonts w:hint="cs"/>
          <w:rtl/>
        </w:rPr>
        <w:t xml:space="preserve">הגרנ"ט </w:t>
      </w:r>
      <w:r w:rsidRPr="00C46E4C">
        <w:rPr>
          <w:rStyle w:val="af7"/>
          <w:rFonts w:eastAsia="Guttman Hodes" w:hint="cs"/>
          <w:rtl/>
        </w:rPr>
        <w:t>(סי' קע"ה ד"ה והנראה)</w:t>
      </w:r>
      <w:r>
        <w:rPr>
          <w:rFonts w:hint="cs"/>
          <w:rtl/>
        </w:rPr>
        <w:t xml:space="preserve"> דס"ל </w:t>
      </w:r>
      <w:r>
        <w:rPr>
          <w:rStyle w:val="af9"/>
          <w:rFonts w:hint="cs"/>
          <w:rtl/>
        </w:rPr>
        <w:t>ל</w:t>
      </w:r>
      <w:r w:rsidRPr="00266814">
        <w:rPr>
          <w:rStyle w:val="af9"/>
          <w:rFonts w:hint="cs"/>
          <w:rtl/>
        </w:rPr>
        <w:t xml:space="preserve">הראב"ד </w:t>
      </w:r>
      <w:r>
        <w:rPr>
          <w:rFonts w:hint="cs"/>
          <w:rtl/>
        </w:rPr>
        <w:t xml:space="preserve">דבסוגיין מוכח דאיירי באופן שהמחזיק לא טוען שהמוכר החזיק בקרקע, דאי היה טוען כן היה נאמן במיגו דלא הייתה של המערער מעולם, כמבואר בדברי </w:t>
      </w:r>
      <w:r w:rsidRPr="00266814">
        <w:rPr>
          <w:rStyle w:val="af9"/>
          <w:rFonts w:hint="cs"/>
          <w:rtl/>
        </w:rPr>
        <w:t>התוס'</w:t>
      </w:r>
      <w:r>
        <w:rPr>
          <w:rFonts w:hint="cs"/>
          <w:rtl/>
        </w:rPr>
        <w:t xml:space="preserve"> </w:t>
      </w:r>
      <w:r w:rsidRPr="00C46E4C">
        <w:rPr>
          <w:rStyle w:val="af7"/>
          <w:rFonts w:eastAsia="Guttman Hodes" w:hint="cs"/>
          <w:rtl/>
        </w:rPr>
        <w:t>(ריש ד"ה לאו קמודית)</w:t>
      </w:r>
      <w:r>
        <w:rPr>
          <w:rFonts w:hint="cs"/>
          <w:rtl/>
        </w:rPr>
        <w:t xml:space="preserve">, אלא ודאי דהמכירה הייתה בזמן שהמוכר לא החזיק בקרקע, ולכן המוכר עצמו לא היה נאמן במיגו דהיה שותק ולא היה מודה שהייתה של המערער, כיון שגם אם היה שותק לא היה זוכה בקרקע דהא אינו מוחזק בה, וכיון דהמוכר אינו נאמן בטענה שקנה מהמערער, </w:t>
      </w:r>
      <w:r w:rsidRPr="00DC4649">
        <w:rPr>
          <w:rFonts w:hint="cs"/>
          <w:rtl/>
        </w:rPr>
        <w:t>ואילו ההודאה שהודה שהי</w:t>
      </w:r>
      <w:r>
        <w:rPr>
          <w:rFonts w:hint="cs"/>
          <w:rtl/>
        </w:rPr>
        <w:t xml:space="preserve">יתה של המערער היא הודאה גמורה, </w:t>
      </w:r>
      <w:r w:rsidRPr="00DC4649">
        <w:rPr>
          <w:rFonts w:hint="cs"/>
          <w:rtl/>
        </w:rPr>
        <w:t>א"כ לא שייך בזה הפה שאסר</w:t>
      </w:r>
      <w:r>
        <w:rPr>
          <w:rFonts w:hint="cs"/>
          <w:rtl/>
        </w:rPr>
        <w:t>.</w:t>
      </w:r>
      <w:bookmarkEnd w:id="8873"/>
    </w:p>
    <w:p w:rsidR="0007171D" w:rsidRPr="0090424D" w:rsidRDefault="0007171D" w:rsidP="0007171D">
      <w:pPr>
        <w:pStyle w:val="a3"/>
      </w:pPr>
      <w:bookmarkStart w:id="8874" w:name="_Toc59025884"/>
      <w:r>
        <w:rPr>
          <w:rFonts w:hint="cs"/>
          <w:rtl/>
        </w:rPr>
        <w:t>תי' הגרנ"ט על קו' הנתיה"מ דמיגו חוץ לב"ד מהני רק כשהוא מוחזק בקרקע והכא אינו מוחזק</w:t>
      </w:r>
      <w:bookmarkEnd w:id="8874"/>
    </w:p>
    <w:p w:rsidR="0007171D" w:rsidRDefault="0007171D" w:rsidP="007E4E81">
      <w:pPr>
        <w:pStyle w:val="a0"/>
        <w:rPr>
          <w:rtl/>
        </w:rPr>
      </w:pPr>
      <w:r>
        <w:rPr>
          <w:rFonts w:hint="cs"/>
          <w:rtl/>
        </w:rPr>
        <w:t>ובזה תירץ</w:t>
      </w:r>
      <w:r w:rsidRPr="00266814">
        <w:rPr>
          <w:rStyle w:val="af9"/>
          <w:rFonts w:hint="cs"/>
          <w:rtl/>
        </w:rPr>
        <w:t xml:space="preserve"> הגרנ"ט </w:t>
      </w:r>
      <w:r>
        <w:rPr>
          <w:rFonts w:hint="cs"/>
          <w:rtl/>
        </w:rPr>
        <w:t xml:space="preserve">את קושית </w:t>
      </w:r>
      <w:r w:rsidRPr="008163BD">
        <w:rPr>
          <w:rStyle w:val="af9"/>
          <w:rFonts w:hint="cs"/>
          <w:rtl/>
        </w:rPr>
        <w:t>הנתיה"מ</w:t>
      </w:r>
      <w:r>
        <w:rPr>
          <w:rFonts w:hint="cs"/>
          <w:rtl/>
        </w:rPr>
        <w:t xml:space="preserve"> מהגמ' בכתובות, דב</w:t>
      </w:r>
      <w:r w:rsidRPr="00DC4649">
        <w:rPr>
          <w:rFonts w:hint="cs"/>
          <w:rtl/>
        </w:rPr>
        <w:t>גמ' בכתובות הוא נאמן אף במיגו חוץ לב"ד כיון שהוא מוחזק בקרקע</w:t>
      </w:r>
      <w:r>
        <w:rPr>
          <w:rFonts w:hint="cs"/>
          <w:rtl/>
        </w:rPr>
        <w:t xml:space="preserve">, ויש לו מיגו טוב, אבל בסוגיין שאינו מוחזק בקרקע, ולכן כתב </w:t>
      </w:r>
      <w:r w:rsidRPr="00266814">
        <w:rPr>
          <w:rStyle w:val="af9"/>
          <w:rFonts w:hint="cs"/>
          <w:rtl/>
        </w:rPr>
        <w:t xml:space="preserve">הראב"ד </w:t>
      </w:r>
      <w:r>
        <w:rPr>
          <w:rStyle w:val="af9"/>
          <w:rFonts w:hint="cs"/>
          <w:rtl/>
        </w:rPr>
        <w:t>ד</w:t>
      </w:r>
      <w:r>
        <w:rPr>
          <w:rFonts w:hint="cs"/>
          <w:rtl/>
        </w:rPr>
        <w:t>אין לו מיגו.</w:t>
      </w:r>
      <w:r w:rsidRPr="00AD7D74">
        <w:rPr>
          <w:rFonts w:hint="cs"/>
          <w:color w:val="FF0000"/>
          <w:rtl/>
        </w:rPr>
        <w:t xml:space="preserve"> </w:t>
      </w:r>
    </w:p>
    <w:p w:rsidR="0007171D" w:rsidRDefault="0007171D" w:rsidP="0007171D">
      <w:pPr>
        <w:pStyle w:val="a3"/>
        <w:rPr>
          <w:rtl/>
        </w:rPr>
      </w:pPr>
      <w:bookmarkStart w:id="8875" w:name="_Toc59025885"/>
      <w:r>
        <w:rPr>
          <w:rFonts w:hint="cs"/>
          <w:rtl/>
        </w:rPr>
        <w:t>התי' הב' בגרנ"ט על קו' הנתיה"מ דמיגו ל"מ מחוץ לב"ד ובכתובות נאמן מדין הפה שאסר</w:t>
      </w:r>
      <w:bookmarkEnd w:id="8875"/>
    </w:p>
    <w:p w:rsidR="0007171D" w:rsidRPr="00AD7D74" w:rsidRDefault="0007171D" w:rsidP="007E4E81">
      <w:pPr>
        <w:pStyle w:val="a0"/>
        <w:rPr>
          <w:rtl/>
        </w:rPr>
      </w:pPr>
      <w:bookmarkStart w:id="8876" w:name="_Ref58841470"/>
      <w:r>
        <w:rPr>
          <w:rFonts w:hint="cs"/>
          <w:rtl/>
        </w:rPr>
        <w:t xml:space="preserve">ועוד תירץ </w:t>
      </w:r>
      <w:r w:rsidRPr="00266814">
        <w:rPr>
          <w:rStyle w:val="af9"/>
          <w:rFonts w:hint="cs"/>
          <w:rtl/>
        </w:rPr>
        <w:t xml:space="preserve">הגרנ"ט </w:t>
      </w:r>
      <w:r>
        <w:rPr>
          <w:rFonts w:hint="cs"/>
          <w:rtl/>
        </w:rPr>
        <w:t xml:space="preserve">את קושית </w:t>
      </w:r>
      <w:r w:rsidRPr="008163BD">
        <w:rPr>
          <w:rStyle w:val="af9"/>
          <w:rFonts w:hint="cs"/>
          <w:rtl/>
        </w:rPr>
        <w:t>הנתיה"מ</w:t>
      </w:r>
      <w:r>
        <w:rPr>
          <w:rFonts w:hint="cs"/>
          <w:rtl/>
        </w:rPr>
        <w:t xml:space="preserve"> מהגמ' בכתובות, דס"ל </w:t>
      </w:r>
      <w:r>
        <w:rPr>
          <w:rStyle w:val="af9"/>
          <w:rFonts w:hint="cs"/>
          <w:rtl/>
        </w:rPr>
        <w:t>ל</w:t>
      </w:r>
      <w:r w:rsidRPr="00266814">
        <w:rPr>
          <w:rStyle w:val="af9"/>
          <w:rFonts w:hint="cs"/>
          <w:rtl/>
        </w:rPr>
        <w:t>התומים והסמ"ע</w:t>
      </w:r>
      <w:r>
        <w:rPr>
          <w:rFonts w:hint="cs"/>
          <w:rtl/>
        </w:rPr>
        <w:t xml:space="preserve"> דרק במיגו אפש"ל דאין מקבלים חוץ לב"ד, טענה שהיא לטובתו ומקבלים רק טענה לחובתו, כיון שהעדים אינם יכולים לדון כב"ד, ואף אם היה טוען את הטענה של המיגו הם לא היו יכולים להעמיד בידו, אבל בדין הפה שאסר, דאי בעי שתיק, כיון שאם היה שותק לא היה אפשר להוציא ממנו, ולא צריך לקבל טענה שהיה טוען, ממילא מהני לו הפה שאסר אף בפני עדים שאינם ב"ד, </w:t>
      </w:r>
      <w:r w:rsidRPr="00D56B77">
        <w:rPr>
          <w:rStyle w:val="afb"/>
          <w:rFonts w:hint="cs"/>
          <w:rtl/>
        </w:rPr>
        <w:t xml:space="preserve">[עי' בדברי </w:t>
      </w:r>
      <w:r w:rsidRPr="00D56B77">
        <w:rPr>
          <w:rStyle w:val="affa"/>
          <w:rFonts w:hint="cs"/>
          <w:rtl/>
        </w:rPr>
        <w:t>הגרעק"א</w:t>
      </w:r>
      <w:r w:rsidRPr="00D56B77">
        <w:rPr>
          <w:rStyle w:val="afb"/>
          <w:rFonts w:hint="cs"/>
          <w:rtl/>
        </w:rPr>
        <w:t xml:space="preserve"> </w:t>
      </w:r>
      <w:r w:rsidRPr="00D56B77">
        <w:rPr>
          <w:rStyle w:val="aff6"/>
          <w:rFonts w:hint="cs"/>
          <w:rtl/>
        </w:rPr>
        <w:t xml:space="preserve">(עי' אות </w:t>
      </w:r>
      <w:r w:rsidRPr="00D56B77">
        <w:rPr>
          <w:rStyle w:val="aff6"/>
          <w:rtl/>
        </w:rPr>
        <w:fldChar w:fldCharType="begin"/>
      </w:r>
      <w:r w:rsidRPr="00D56B77">
        <w:rPr>
          <w:rStyle w:val="aff6"/>
          <w:rtl/>
        </w:rPr>
        <w:instrText xml:space="preserve"> </w:instrText>
      </w:r>
      <w:r w:rsidRPr="00D56B77">
        <w:rPr>
          <w:rStyle w:val="aff6"/>
          <w:rFonts w:hint="cs"/>
        </w:rPr>
        <w:instrText>REF</w:instrText>
      </w:r>
      <w:r w:rsidRPr="00D56B77">
        <w:rPr>
          <w:rStyle w:val="aff6"/>
          <w:rFonts w:hint="cs"/>
          <w:rtl/>
        </w:rPr>
        <w:instrText xml:space="preserve"> _</w:instrText>
      </w:r>
      <w:r w:rsidRPr="00D56B77">
        <w:rPr>
          <w:rStyle w:val="aff6"/>
          <w:rFonts w:hint="cs"/>
        </w:rPr>
        <w:instrText>Ref58531857 \r \h</w:instrText>
      </w:r>
      <w:r w:rsidRPr="00D56B77">
        <w:rPr>
          <w:rStyle w:val="aff6"/>
          <w:rtl/>
        </w:rPr>
        <w:instrText xml:space="preserve"> </w:instrText>
      </w:r>
      <w:r w:rsidRPr="00D56B77">
        <w:rPr>
          <w:rStyle w:val="aff6"/>
          <w:rtl/>
        </w:rPr>
      </w:r>
      <w:r w:rsidRPr="00D56B77">
        <w:rPr>
          <w:rStyle w:val="aff6"/>
          <w:rtl/>
        </w:rPr>
        <w:fldChar w:fldCharType="separate"/>
      </w:r>
      <w:r w:rsidR="00265073">
        <w:rPr>
          <w:rStyle w:val="aff6"/>
          <w:cs/>
        </w:rPr>
        <w:t>‎</w:t>
      </w:r>
      <w:r w:rsidR="00265073">
        <w:rPr>
          <w:rStyle w:val="aff6"/>
          <w:rtl/>
        </w:rPr>
        <w:t>מב)</w:t>
      </w:r>
      <w:r w:rsidRPr="00D56B77">
        <w:rPr>
          <w:rStyle w:val="aff6"/>
          <w:rtl/>
        </w:rPr>
        <w:fldChar w:fldCharType="end"/>
      </w:r>
      <w:r>
        <w:rPr>
          <w:rStyle w:val="afb"/>
          <w:rFonts w:hint="cs"/>
          <w:rtl/>
        </w:rPr>
        <w:t>,</w:t>
      </w:r>
      <w:r w:rsidRPr="00D56B77">
        <w:rPr>
          <w:rtl/>
        </w:rPr>
        <w:t xml:space="preserve"> </w:t>
      </w:r>
      <w:r w:rsidRPr="00D56B77">
        <w:rPr>
          <w:rStyle w:val="afb"/>
          <w:rtl/>
        </w:rPr>
        <w:t xml:space="preserve">ועי' </w:t>
      </w:r>
      <w:r w:rsidRPr="00D56B77">
        <w:rPr>
          <w:rStyle w:val="affa"/>
          <w:rtl/>
        </w:rPr>
        <w:t>בחי' רבי שמואל</w:t>
      </w:r>
      <w:r w:rsidRPr="00D56B77">
        <w:rPr>
          <w:rStyle w:val="afb"/>
          <w:rtl/>
        </w:rPr>
        <w:t xml:space="preserve"> </w:t>
      </w:r>
      <w:r w:rsidRPr="00F42BE2">
        <w:rPr>
          <w:rStyle w:val="aff6"/>
          <w:rtl/>
        </w:rPr>
        <w:t xml:space="preserve">(עי' אות </w:t>
      </w:r>
      <w:r w:rsidRPr="00F42BE2">
        <w:rPr>
          <w:rStyle w:val="aff6"/>
          <w:rtl/>
        </w:rPr>
        <w:fldChar w:fldCharType="begin"/>
      </w:r>
      <w:r w:rsidRPr="00F42BE2">
        <w:rPr>
          <w:rStyle w:val="aff6"/>
          <w:rtl/>
        </w:rPr>
        <w:instrText xml:space="preserve"> </w:instrText>
      </w:r>
      <w:r w:rsidRPr="00F42BE2">
        <w:rPr>
          <w:rStyle w:val="aff6"/>
        </w:rPr>
        <w:instrText>REF</w:instrText>
      </w:r>
      <w:r w:rsidRPr="00F42BE2">
        <w:rPr>
          <w:rStyle w:val="aff6"/>
          <w:rtl/>
        </w:rPr>
        <w:instrText xml:space="preserve"> _</w:instrText>
      </w:r>
      <w:r w:rsidRPr="00F42BE2">
        <w:rPr>
          <w:rStyle w:val="aff6"/>
        </w:rPr>
        <w:instrText>Ref58531939 \r \h</w:instrText>
      </w:r>
      <w:r w:rsidRPr="00F42BE2">
        <w:rPr>
          <w:rStyle w:val="aff6"/>
          <w:rtl/>
        </w:rPr>
        <w:instrText xml:space="preserve"> </w:instrText>
      </w:r>
      <w:r w:rsidRPr="00F42BE2">
        <w:rPr>
          <w:rStyle w:val="aff6"/>
          <w:rtl/>
        </w:rPr>
      </w:r>
      <w:r w:rsidRPr="00F42BE2">
        <w:rPr>
          <w:rStyle w:val="aff6"/>
          <w:rtl/>
        </w:rPr>
        <w:fldChar w:fldCharType="separate"/>
      </w:r>
      <w:r w:rsidR="00265073">
        <w:rPr>
          <w:rStyle w:val="aff6"/>
          <w:cs/>
        </w:rPr>
        <w:t>‎</w:t>
      </w:r>
      <w:r w:rsidR="00265073">
        <w:rPr>
          <w:rStyle w:val="aff6"/>
          <w:rtl/>
        </w:rPr>
        <w:t>קיב)</w:t>
      </w:r>
      <w:r w:rsidRPr="00F42BE2">
        <w:rPr>
          <w:rStyle w:val="aff6"/>
          <w:rtl/>
        </w:rPr>
        <w:fldChar w:fldCharType="end"/>
      </w:r>
      <w:r w:rsidRPr="00D56B77">
        <w:rPr>
          <w:rStyle w:val="afb"/>
          <w:rtl/>
        </w:rPr>
        <w:t xml:space="preserve"> דביאר לפי סברא זו את דעת </w:t>
      </w:r>
      <w:r w:rsidRPr="00D56B77">
        <w:rPr>
          <w:rStyle w:val="affa"/>
          <w:rtl/>
        </w:rPr>
        <w:t>הרמב"ן</w:t>
      </w:r>
      <w:r w:rsidRPr="00D56B77">
        <w:rPr>
          <w:rStyle w:val="afb"/>
          <w:rtl/>
        </w:rPr>
        <w:t xml:space="preserve"> דפליג על </w:t>
      </w:r>
      <w:r w:rsidRPr="00D56B77">
        <w:rPr>
          <w:rStyle w:val="affa"/>
          <w:rtl/>
        </w:rPr>
        <w:t>הראב"ד</w:t>
      </w:r>
      <w:r w:rsidRPr="00D56B77">
        <w:rPr>
          <w:rStyle w:val="afb"/>
          <w:rFonts w:hint="cs"/>
          <w:rtl/>
        </w:rPr>
        <w:t>],</w:t>
      </w:r>
      <w:r>
        <w:rPr>
          <w:rFonts w:hint="cs"/>
          <w:rtl/>
        </w:rPr>
        <w:t xml:space="preserve"> ולכן בגמ' בכתובות הוא היה נאמן ומעמידים את הקרקע בידו, כמו שהיו מעמידים בידו אם היה שותק, או שלא היה מודה, כיון דהפה שאסר מהני אף בפני עדים חוץ לב"ד.</w:t>
      </w:r>
      <w:bookmarkEnd w:id="8876"/>
      <w:r>
        <w:rPr>
          <w:rFonts w:hint="cs"/>
          <w:rtl/>
        </w:rPr>
        <w:t xml:space="preserve"> </w:t>
      </w:r>
      <w:r w:rsidRPr="0090424D">
        <w:rPr>
          <w:rStyle w:val="afb"/>
          <w:rFonts w:hint="cs"/>
          <w:rtl/>
        </w:rPr>
        <w:t xml:space="preserve">[אבל בסוגיין לא מהני מיגו כדביאר </w:t>
      </w:r>
      <w:r w:rsidRPr="0090424D">
        <w:rPr>
          <w:rStyle w:val="affa"/>
          <w:rFonts w:hint="cs"/>
          <w:rtl/>
        </w:rPr>
        <w:t>הגרנ"ט</w:t>
      </w:r>
      <w:r w:rsidRPr="0090424D">
        <w:rPr>
          <w:rStyle w:val="afb"/>
          <w:rFonts w:hint="cs"/>
          <w:rtl/>
        </w:rPr>
        <w:t xml:space="preserve"> </w:t>
      </w:r>
      <w:r w:rsidRPr="0090424D">
        <w:rPr>
          <w:rStyle w:val="aff6"/>
          <w:rFonts w:hint="cs"/>
          <w:rtl/>
        </w:rPr>
        <w:t xml:space="preserve">(עי' אות </w:t>
      </w:r>
      <w:r w:rsidRPr="0090424D">
        <w:rPr>
          <w:rStyle w:val="aff6"/>
          <w:rtl/>
        </w:rPr>
        <w:fldChar w:fldCharType="begin"/>
      </w:r>
      <w:r w:rsidRPr="0090424D">
        <w:rPr>
          <w:rStyle w:val="aff6"/>
          <w:rtl/>
        </w:rPr>
        <w:instrText xml:space="preserve"> </w:instrText>
      </w:r>
      <w:r w:rsidRPr="0090424D">
        <w:rPr>
          <w:rStyle w:val="aff6"/>
          <w:rFonts w:hint="cs"/>
        </w:rPr>
        <w:instrText>REF</w:instrText>
      </w:r>
      <w:r w:rsidRPr="0090424D">
        <w:rPr>
          <w:rStyle w:val="aff6"/>
          <w:rFonts w:hint="cs"/>
          <w:rtl/>
        </w:rPr>
        <w:instrText xml:space="preserve"> _</w:instrText>
      </w:r>
      <w:r w:rsidRPr="0090424D">
        <w:rPr>
          <w:rStyle w:val="aff6"/>
          <w:rFonts w:hint="cs"/>
        </w:rPr>
        <w:instrText>Ref58842639 \r \h</w:instrText>
      </w:r>
      <w:r w:rsidRPr="0090424D">
        <w:rPr>
          <w:rStyle w:val="aff6"/>
          <w:rtl/>
        </w:rPr>
        <w:instrText xml:space="preserve"> </w:instrText>
      </w:r>
      <w:r w:rsidRPr="0090424D">
        <w:rPr>
          <w:rStyle w:val="aff6"/>
          <w:rtl/>
        </w:rPr>
      </w:r>
      <w:r w:rsidRPr="0090424D">
        <w:rPr>
          <w:rStyle w:val="aff6"/>
          <w:rtl/>
        </w:rPr>
        <w:fldChar w:fldCharType="separate"/>
      </w:r>
      <w:r w:rsidR="00265073">
        <w:rPr>
          <w:rStyle w:val="aff6"/>
          <w:cs/>
        </w:rPr>
        <w:t>‎</w:t>
      </w:r>
      <w:r w:rsidR="00265073">
        <w:rPr>
          <w:rStyle w:val="aff6"/>
          <w:rtl/>
        </w:rPr>
        <w:t>קו)</w:t>
      </w:r>
      <w:r w:rsidRPr="0090424D">
        <w:rPr>
          <w:rStyle w:val="aff6"/>
          <w:rtl/>
        </w:rPr>
        <w:fldChar w:fldCharType="end"/>
      </w:r>
      <w:r w:rsidRPr="0090424D">
        <w:rPr>
          <w:rStyle w:val="afb"/>
          <w:rFonts w:hint="cs"/>
          <w:rtl/>
        </w:rPr>
        <w:t>].</w:t>
      </w:r>
      <w:r>
        <w:rPr>
          <w:rFonts w:hint="cs"/>
          <w:rtl/>
        </w:rPr>
        <w:t xml:space="preserve"> </w:t>
      </w:r>
    </w:p>
    <w:p w:rsidR="0007171D" w:rsidRDefault="0007171D" w:rsidP="0007171D">
      <w:pPr>
        <w:pStyle w:val="1"/>
        <w:rPr>
          <w:rtl/>
        </w:rPr>
      </w:pPr>
      <w:bookmarkStart w:id="8877" w:name="_Toc58580029"/>
      <w:bookmarkStart w:id="8878" w:name="_Toc58843039"/>
      <w:bookmarkStart w:id="8879" w:name="_Toc58876247"/>
      <w:bookmarkStart w:id="8880" w:name="_Toc58877660"/>
      <w:bookmarkStart w:id="8881" w:name="_Toc58914719"/>
      <w:bookmarkStart w:id="8882" w:name="_Toc58926021"/>
      <w:bookmarkStart w:id="8883" w:name="_Toc58930097"/>
      <w:bookmarkStart w:id="8884" w:name="_Toc58938256"/>
      <w:bookmarkStart w:id="8885" w:name="_Toc59007071"/>
      <w:bookmarkStart w:id="8886" w:name="_Toc59013546"/>
      <w:bookmarkStart w:id="8887" w:name="_Toc59013794"/>
      <w:bookmarkStart w:id="8888" w:name="_Toc59025886"/>
      <w:r>
        <w:rPr>
          <w:rFonts w:hint="cs"/>
          <w:rtl/>
        </w:rPr>
        <w:lastRenderedPageBreak/>
        <w:t>ביאור הגרש"ר בראב"ד וברמב"ן</w:t>
      </w:r>
      <w:bookmarkEnd w:id="8877"/>
      <w:bookmarkEnd w:id="8878"/>
      <w:bookmarkEnd w:id="8879"/>
      <w:bookmarkEnd w:id="8880"/>
      <w:bookmarkEnd w:id="8881"/>
      <w:bookmarkEnd w:id="8882"/>
      <w:bookmarkEnd w:id="8883"/>
      <w:bookmarkEnd w:id="8884"/>
      <w:bookmarkEnd w:id="8885"/>
      <w:bookmarkEnd w:id="8886"/>
      <w:bookmarkEnd w:id="8887"/>
      <w:r>
        <w:rPr>
          <w:rFonts w:hint="cs"/>
          <w:rtl/>
        </w:rPr>
        <w:t xml:space="preserve"> בגדר מיגו חוץ לב"ד</w:t>
      </w:r>
      <w:bookmarkEnd w:id="8888"/>
    </w:p>
    <w:p w:rsidR="0007171D" w:rsidRDefault="0007171D" w:rsidP="0007171D">
      <w:pPr>
        <w:pStyle w:val="a3"/>
        <w:rPr>
          <w:rtl/>
        </w:rPr>
      </w:pPr>
      <w:bookmarkStart w:id="8889" w:name="_Toc59025887"/>
      <w:r>
        <w:rPr>
          <w:rFonts w:hint="cs"/>
          <w:rtl/>
        </w:rPr>
        <w:t>ביאור הגרש"ר בראב"ד דלא מהני הפה שאסר כיון דל"מ מיגו חוץ לב"ד ונאמן רק בהודאתו</w:t>
      </w:r>
      <w:bookmarkEnd w:id="8889"/>
    </w:p>
    <w:p w:rsidR="0007171D" w:rsidRDefault="0007171D" w:rsidP="007E4E81">
      <w:pPr>
        <w:pStyle w:val="a0"/>
        <w:rPr>
          <w:rtl/>
        </w:rPr>
      </w:pPr>
      <w:bookmarkStart w:id="8890" w:name="_Ref58922989"/>
      <w:r>
        <w:rPr>
          <w:rFonts w:hint="cs"/>
          <w:rtl/>
        </w:rPr>
        <w:t>במ"ש</w:t>
      </w:r>
      <w:r w:rsidRPr="00FE13BC">
        <w:rPr>
          <w:rFonts w:hint="cs"/>
          <w:rtl/>
        </w:rPr>
        <w:t xml:space="preserve"> </w:t>
      </w:r>
      <w:r w:rsidRPr="0064594B">
        <w:rPr>
          <w:rStyle w:val="af9"/>
          <w:rFonts w:hint="cs"/>
          <w:rtl/>
        </w:rPr>
        <w:t>הראב"ד</w:t>
      </w:r>
      <w:r w:rsidRPr="00FE13BC">
        <w:rPr>
          <w:rFonts w:hint="cs"/>
          <w:rtl/>
        </w:rPr>
        <w:t xml:space="preserve"> </w:t>
      </w:r>
      <w:r w:rsidRPr="0064594B">
        <w:rPr>
          <w:rStyle w:val="af7"/>
          <w:rFonts w:eastAsia="Guttman Hodes" w:hint="cs"/>
          <w:rtl/>
        </w:rPr>
        <w:t xml:space="preserve">(עי' אות </w:t>
      </w:r>
      <w:r w:rsidRPr="0064594B">
        <w:rPr>
          <w:rStyle w:val="af7"/>
          <w:rFonts w:eastAsia="Guttman Hodes"/>
          <w:rtl/>
        </w:rPr>
        <w:fldChar w:fldCharType="begin"/>
      </w:r>
      <w:r w:rsidRPr="0064594B">
        <w:rPr>
          <w:rStyle w:val="af7"/>
          <w:rFonts w:eastAsia="Guttman Hodes"/>
          <w:rtl/>
        </w:rPr>
        <w:instrText xml:space="preserve"> </w:instrText>
      </w:r>
      <w:r w:rsidRPr="0064594B">
        <w:rPr>
          <w:rStyle w:val="af7"/>
          <w:rFonts w:eastAsia="Guttman Hodes" w:hint="cs"/>
        </w:rPr>
        <w:instrText>REF</w:instrText>
      </w:r>
      <w:r w:rsidRPr="0064594B">
        <w:rPr>
          <w:rStyle w:val="af7"/>
          <w:rFonts w:eastAsia="Guttman Hodes" w:hint="cs"/>
          <w:rtl/>
        </w:rPr>
        <w:instrText xml:space="preserve"> _</w:instrText>
      </w:r>
      <w:r w:rsidRPr="0064594B">
        <w:rPr>
          <w:rStyle w:val="af7"/>
          <w:rFonts w:eastAsia="Guttman Hodes" w:hint="cs"/>
        </w:rPr>
        <w:instrText>Ref58702050 \r \h</w:instrText>
      </w:r>
      <w:r w:rsidRPr="0064594B">
        <w:rPr>
          <w:rStyle w:val="af7"/>
          <w:rFonts w:eastAsia="Guttman Hodes"/>
          <w:rtl/>
        </w:rPr>
        <w:instrText xml:space="preserve"> </w:instrText>
      </w:r>
      <w:r w:rsidRPr="0064594B">
        <w:rPr>
          <w:rStyle w:val="af7"/>
          <w:rFonts w:eastAsia="Guttman Hodes"/>
          <w:rtl/>
        </w:rPr>
      </w:r>
      <w:r w:rsidRPr="0064594B">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64594B">
        <w:rPr>
          <w:rStyle w:val="af7"/>
          <w:rFonts w:eastAsia="Guttman Hodes"/>
          <w:rtl/>
        </w:rPr>
        <w:fldChar w:fldCharType="end"/>
      </w:r>
      <w:r w:rsidRPr="00FE13BC">
        <w:rPr>
          <w:rFonts w:hint="cs"/>
          <w:rtl/>
        </w:rPr>
        <w:t xml:space="preserve"> </w:t>
      </w:r>
      <w:r>
        <w:rPr>
          <w:rFonts w:hint="cs"/>
          <w:rtl/>
        </w:rPr>
        <w:t xml:space="preserve">דהמחזיק אינו נאמן מדין הפה שאסר, כתב </w:t>
      </w:r>
      <w:r w:rsidRPr="00266814">
        <w:rPr>
          <w:rStyle w:val="af9"/>
          <w:rFonts w:hint="cs"/>
          <w:rtl/>
        </w:rPr>
        <w:t xml:space="preserve">בחי' רבי שמואל </w:t>
      </w:r>
      <w:r w:rsidRPr="00266814">
        <w:rPr>
          <w:rStyle w:val="af7"/>
          <w:rFonts w:eastAsia="Guttman Hodes" w:hint="cs"/>
          <w:rtl/>
        </w:rPr>
        <w:t xml:space="preserve">(סי' כ"א או' א' ד"ה והנה) </w:t>
      </w:r>
      <w:r>
        <w:rPr>
          <w:rFonts w:hint="cs"/>
          <w:rtl/>
        </w:rPr>
        <w:t xml:space="preserve">דס"ל </w:t>
      </w:r>
      <w:r w:rsidRPr="00266814">
        <w:rPr>
          <w:rStyle w:val="af9"/>
          <w:rFonts w:hint="cs"/>
          <w:rtl/>
        </w:rPr>
        <w:t>להראב"ד</w:t>
      </w:r>
      <w:r>
        <w:rPr>
          <w:rFonts w:hint="cs"/>
          <w:rtl/>
        </w:rPr>
        <w:t xml:space="preserve"> דהנאמנות של הפה שאסר היא כמו הנאמנות של המיגו, וס"ל דלא מהני מיגו חוץ לב"ד, כמו שביאר</w:t>
      </w:r>
      <w:r w:rsidRPr="00266814">
        <w:rPr>
          <w:rStyle w:val="af9"/>
          <w:rFonts w:hint="cs"/>
          <w:rtl/>
        </w:rPr>
        <w:t xml:space="preserve"> התומים </w:t>
      </w:r>
      <w:r w:rsidRPr="00C90238">
        <w:rPr>
          <w:rStyle w:val="af7"/>
          <w:rFonts w:eastAsia="Guttman Hodes" w:hint="cs"/>
          <w:rtl/>
        </w:rPr>
        <w:t xml:space="preserve">(עי' אות </w:t>
      </w:r>
      <w:r w:rsidRPr="00C90238">
        <w:rPr>
          <w:rStyle w:val="af7"/>
          <w:rFonts w:eastAsia="Guttman Hodes"/>
          <w:rtl/>
        </w:rPr>
        <w:fldChar w:fldCharType="begin"/>
      </w:r>
      <w:r w:rsidRPr="00C90238">
        <w:rPr>
          <w:rStyle w:val="af7"/>
          <w:rFonts w:eastAsia="Guttman Hodes"/>
          <w:rtl/>
        </w:rPr>
        <w:instrText xml:space="preserve"> </w:instrText>
      </w:r>
      <w:r w:rsidRPr="00C90238">
        <w:rPr>
          <w:rStyle w:val="af7"/>
          <w:rFonts w:eastAsia="Guttman Hodes" w:hint="cs"/>
        </w:rPr>
        <w:instrText>REF</w:instrText>
      </w:r>
      <w:r w:rsidRPr="00C90238">
        <w:rPr>
          <w:rStyle w:val="af7"/>
          <w:rFonts w:eastAsia="Guttman Hodes" w:hint="cs"/>
          <w:rtl/>
        </w:rPr>
        <w:instrText xml:space="preserve"> _</w:instrText>
      </w:r>
      <w:r w:rsidRPr="00C90238">
        <w:rPr>
          <w:rStyle w:val="af7"/>
          <w:rFonts w:eastAsia="Guttman Hodes" w:hint="cs"/>
        </w:rPr>
        <w:instrText>Ref59007852 \r \h</w:instrText>
      </w:r>
      <w:r w:rsidRPr="00C90238">
        <w:rPr>
          <w:rStyle w:val="af7"/>
          <w:rFonts w:eastAsia="Guttman Hodes"/>
          <w:rtl/>
        </w:rPr>
        <w:instrText xml:space="preserve"> </w:instrText>
      </w:r>
      <w:r w:rsidRPr="00C90238">
        <w:rPr>
          <w:rStyle w:val="af7"/>
          <w:rFonts w:eastAsia="Guttman Hodes"/>
          <w:rtl/>
        </w:rPr>
      </w:r>
      <w:r w:rsidRPr="00C90238">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C90238">
        <w:rPr>
          <w:rStyle w:val="af7"/>
          <w:rFonts w:eastAsia="Guttman Hodes"/>
          <w:rtl/>
        </w:rPr>
        <w:fldChar w:fldCharType="end"/>
      </w:r>
      <w:r>
        <w:rPr>
          <w:rFonts w:hint="cs"/>
          <w:rtl/>
        </w:rPr>
        <w:t xml:space="preserve"> </w:t>
      </w:r>
      <w:r w:rsidRPr="00006D7D">
        <w:rPr>
          <w:rStyle w:val="afb"/>
          <w:rFonts w:hint="cs"/>
          <w:rtl/>
        </w:rPr>
        <w:t xml:space="preserve">[וכדכתב </w:t>
      </w:r>
      <w:r w:rsidRPr="00006D7D">
        <w:rPr>
          <w:rStyle w:val="affa"/>
          <w:rFonts w:hint="cs"/>
          <w:rtl/>
        </w:rPr>
        <w:t xml:space="preserve">התומים </w:t>
      </w:r>
      <w:r w:rsidRPr="00006D7D">
        <w:rPr>
          <w:rStyle w:val="aff6"/>
          <w:rFonts w:hint="cs"/>
          <w:rtl/>
        </w:rPr>
        <w:t>(סי' ע"ב סקל"ה)</w:t>
      </w:r>
      <w:r w:rsidRPr="00006D7D">
        <w:rPr>
          <w:rStyle w:val="afb"/>
          <w:rFonts w:hint="cs"/>
          <w:rtl/>
        </w:rPr>
        <w:t xml:space="preserve"> דעת </w:t>
      </w:r>
      <w:r w:rsidRPr="00006D7D">
        <w:rPr>
          <w:rStyle w:val="affa"/>
          <w:rFonts w:hint="cs"/>
          <w:rtl/>
        </w:rPr>
        <w:t>הרא"ש</w:t>
      </w:r>
      <w:r w:rsidRPr="00006D7D">
        <w:rPr>
          <w:rStyle w:val="afb"/>
          <w:rFonts w:hint="cs"/>
          <w:rtl/>
        </w:rPr>
        <w:t xml:space="preserve">], </w:t>
      </w:r>
      <w:r>
        <w:rPr>
          <w:rFonts w:hint="cs"/>
          <w:rtl/>
        </w:rPr>
        <w:t xml:space="preserve">ולכן ההודאה שהודה מחוץ לב"ד דהקרקע הייתה של המערער, חשיבא כהודאת בע"ד, אבל אינו נאמן במה שאמר שהמוכר אמר לו שקנה מהמערער, כיון שכל הנאמנות ע"ז היא במיגו, ולא מהני מיגו חוץ לב"ד, ולכן אף שהמחזיק בא מכח המוכר, והמוכר היה נאמן, אפ"ה אין המחזיק נאמן, וכן ביאר </w:t>
      </w:r>
      <w:r w:rsidRPr="00086C0D">
        <w:rPr>
          <w:rStyle w:val="af9"/>
          <w:rFonts w:hint="cs"/>
          <w:rtl/>
        </w:rPr>
        <w:t>הגרנ"ט</w:t>
      </w:r>
      <w:r>
        <w:rPr>
          <w:rFonts w:hint="cs"/>
          <w:rtl/>
        </w:rPr>
        <w:t xml:space="preserve"> </w:t>
      </w:r>
      <w:r w:rsidRPr="00086C0D">
        <w:rPr>
          <w:rStyle w:val="af7"/>
          <w:rFonts w:eastAsia="Guttman Hodes" w:hint="cs"/>
          <w:rtl/>
        </w:rPr>
        <w:t xml:space="preserve">(עי' אות </w:t>
      </w:r>
      <w:r w:rsidRPr="00086C0D">
        <w:rPr>
          <w:rStyle w:val="af7"/>
          <w:rFonts w:eastAsia="Guttman Hodes"/>
          <w:rtl/>
        </w:rPr>
        <w:fldChar w:fldCharType="begin"/>
      </w:r>
      <w:r w:rsidRPr="00086C0D">
        <w:rPr>
          <w:rStyle w:val="af7"/>
          <w:rFonts w:eastAsia="Guttman Hodes"/>
          <w:rtl/>
        </w:rPr>
        <w:instrText xml:space="preserve"> </w:instrText>
      </w:r>
      <w:r w:rsidRPr="00086C0D">
        <w:rPr>
          <w:rStyle w:val="af7"/>
          <w:rFonts w:eastAsia="Guttman Hodes" w:hint="cs"/>
        </w:rPr>
        <w:instrText>REF</w:instrText>
      </w:r>
      <w:r w:rsidRPr="00086C0D">
        <w:rPr>
          <w:rStyle w:val="af7"/>
          <w:rFonts w:eastAsia="Guttman Hodes" w:hint="cs"/>
          <w:rtl/>
        </w:rPr>
        <w:instrText xml:space="preserve"> _</w:instrText>
      </w:r>
      <w:r w:rsidRPr="00086C0D">
        <w:rPr>
          <w:rStyle w:val="af7"/>
          <w:rFonts w:eastAsia="Guttman Hodes" w:hint="cs"/>
        </w:rPr>
        <w:instrText>Ref59023236 \r \h</w:instrText>
      </w:r>
      <w:r w:rsidRPr="00086C0D">
        <w:rPr>
          <w:rStyle w:val="af7"/>
          <w:rFonts w:eastAsia="Guttman Hodes"/>
          <w:rtl/>
        </w:rPr>
        <w:instrText xml:space="preserve"> </w:instrText>
      </w:r>
      <w:r w:rsidRPr="00086C0D">
        <w:rPr>
          <w:rStyle w:val="af7"/>
          <w:rFonts w:eastAsia="Guttman Hodes"/>
          <w:rtl/>
        </w:rPr>
      </w:r>
      <w:r w:rsidRPr="00086C0D">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sidRPr="00086C0D">
        <w:rPr>
          <w:rStyle w:val="af7"/>
          <w:rFonts w:eastAsia="Guttman Hodes"/>
          <w:rtl/>
        </w:rPr>
        <w:fldChar w:fldCharType="end"/>
      </w:r>
      <w:r>
        <w:rPr>
          <w:rFonts w:hint="cs"/>
          <w:rtl/>
        </w:rPr>
        <w:t>.</w:t>
      </w:r>
      <w:bookmarkEnd w:id="8890"/>
    </w:p>
    <w:p w:rsidR="0007171D" w:rsidRDefault="0007171D" w:rsidP="0007171D">
      <w:pPr>
        <w:pStyle w:val="a3"/>
        <w:rPr>
          <w:rtl/>
        </w:rPr>
      </w:pPr>
      <w:bookmarkStart w:id="8891" w:name="_Toc59025888"/>
      <w:r>
        <w:rPr>
          <w:rFonts w:hint="cs"/>
          <w:rtl/>
        </w:rPr>
        <w:t>קושית הגרש"ר על הרמב"ן דאף דמהני מיגו חוץ לב"ד מ"מ למוכר היה מיגו ומכחו זוכה המחזיק</w:t>
      </w:r>
      <w:bookmarkEnd w:id="8891"/>
    </w:p>
    <w:p w:rsidR="0007171D" w:rsidRDefault="0007171D" w:rsidP="007E4E81">
      <w:pPr>
        <w:pStyle w:val="a0"/>
        <w:rPr>
          <w:rtl/>
        </w:rPr>
      </w:pPr>
      <w:bookmarkStart w:id="8892" w:name="_Ref58923015"/>
      <w:r>
        <w:rPr>
          <w:rFonts w:hint="cs"/>
          <w:rtl/>
        </w:rPr>
        <w:t xml:space="preserve">אך על דעת </w:t>
      </w:r>
      <w:r w:rsidRPr="005C1C87">
        <w:rPr>
          <w:rStyle w:val="af9"/>
          <w:rFonts w:hint="cs"/>
          <w:rtl/>
        </w:rPr>
        <w:t>הרמב"ן</w:t>
      </w:r>
      <w:r>
        <w:rPr>
          <w:rFonts w:hint="cs"/>
          <w:rtl/>
        </w:rPr>
        <w:t xml:space="preserve"> </w:t>
      </w:r>
      <w:r w:rsidRPr="005C1C87">
        <w:rPr>
          <w:rStyle w:val="af7"/>
          <w:rFonts w:eastAsia="Guttman Hodes" w:hint="cs"/>
          <w:rtl/>
        </w:rPr>
        <w:t xml:space="preserve">(עי' אות </w:t>
      </w:r>
      <w:r w:rsidRPr="005C1C87">
        <w:rPr>
          <w:rStyle w:val="af7"/>
          <w:rFonts w:eastAsia="Guttman Hodes"/>
          <w:rtl/>
        </w:rPr>
        <w:fldChar w:fldCharType="begin"/>
      </w:r>
      <w:r w:rsidRPr="005C1C87">
        <w:rPr>
          <w:rStyle w:val="af7"/>
          <w:rFonts w:eastAsia="Guttman Hodes"/>
          <w:rtl/>
        </w:rPr>
        <w:instrText xml:space="preserve"> </w:instrText>
      </w:r>
      <w:r w:rsidRPr="005C1C87">
        <w:rPr>
          <w:rStyle w:val="af7"/>
          <w:rFonts w:eastAsia="Guttman Hodes" w:hint="cs"/>
        </w:rPr>
        <w:instrText>REF</w:instrText>
      </w:r>
      <w:r w:rsidRPr="005C1C87">
        <w:rPr>
          <w:rStyle w:val="af7"/>
          <w:rFonts w:eastAsia="Guttman Hodes" w:hint="cs"/>
          <w:rtl/>
        </w:rPr>
        <w:instrText xml:space="preserve"> _</w:instrText>
      </w:r>
      <w:r w:rsidRPr="005C1C87">
        <w:rPr>
          <w:rStyle w:val="af7"/>
          <w:rFonts w:eastAsia="Guttman Hodes" w:hint="cs"/>
        </w:rPr>
        <w:instrText>Ref58702147 \r \h</w:instrText>
      </w:r>
      <w:r w:rsidRPr="005C1C87">
        <w:rPr>
          <w:rStyle w:val="af7"/>
          <w:rFonts w:eastAsia="Guttman Hodes"/>
          <w:rtl/>
        </w:rPr>
        <w:instrText xml:space="preserve"> </w:instrText>
      </w:r>
      <w:r w:rsidRPr="005C1C87">
        <w:rPr>
          <w:rStyle w:val="af7"/>
          <w:rFonts w:eastAsia="Guttman Hodes"/>
          <w:rtl/>
        </w:rPr>
      </w:r>
      <w:r w:rsidRPr="005C1C87">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5C1C87">
        <w:rPr>
          <w:rStyle w:val="af7"/>
          <w:rFonts w:eastAsia="Guttman Hodes"/>
          <w:rtl/>
        </w:rPr>
        <w:fldChar w:fldCharType="end"/>
      </w:r>
      <w:r w:rsidRPr="005C1C87">
        <w:rPr>
          <w:rStyle w:val="af7"/>
          <w:rFonts w:eastAsia="Guttman Hodes" w:hint="cs"/>
          <w:rtl/>
        </w:rPr>
        <w:t xml:space="preserve"> </w:t>
      </w:r>
      <w:r>
        <w:rPr>
          <w:rFonts w:hint="cs"/>
          <w:rtl/>
        </w:rPr>
        <w:t xml:space="preserve">דפליג על </w:t>
      </w:r>
      <w:r w:rsidRPr="00266814">
        <w:rPr>
          <w:rStyle w:val="af9"/>
          <w:rFonts w:hint="cs"/>
          <w:rtl/>
        </w:rPr>
        <w:t>הראב"ד</w:t>
      </w:r>
      <w:r>
        <w:rPr>
          <w:rFonts w:hint="cs"/>
          <w:rtl/>
        </w:rPr>
        <w:t xml:space="preserve">, הקשה </w:t>
      </w:r>
      <w:r w:rsidRPr="00266814">
        <w:rPr>
          <w:rStyle w:val="af9"/>
          <w:rFonts w:hint="cs"/>
          <w:rtl/>
        </w:rPr>
        <w:t>בחי' רבי שמואל</w:t>
      </w:r>
      <w:r w:rsidRPr="00266814">
        <w:rPr>
          <w:rStyle w:val="af7"/>
          <w:rFonts w:eastAsia="Guttman Hodes" w:hint="cs"/>
          <w:rtl/>
        </w:rPr>
        <w:t xml:space="preserve"> (סי' כ"א או' א' ד"ה אבל דעת) </w:t>
      </w:r>
      <w:r>
        <w:rPr>
          <w:rFonts w:hint="cs"/>
          <w:rtl/>
        </w:rPr>
        <w:t xml:space="preserve">דאי ס"ל דמיגו מחוץ לב"ד לא מהני, א"כ מה הקשה </w:t>
      </w:r>
      <w:r w:rsidRPr="00086C0D">
        <w:rPr>
          <w:rStyle w:val="af9"/>
          <w:rFonts w:hint="cs"/>
          <w:rtl/>
        </w:rPr>
        <w:t>הרמב"ן</w:t>
      </w:r>
      <w:r>
        <w:rPr>
          <w:rFonts w:hint="cs"/>
          <w:rtl/>
        </w:rPr>
        <w:t xml:space="preserve"> על </w:t>
      </w:r>
      <w:r w:rsidRPr="00086C0D">
        <w:rPr>
          <w:rStyle w:val="af9"/>
          <w:rFonts w:hint="cs"/>
          <w:rtl/>
        </w:rPr>
        <w:t>הראב"ד</w:t>
      </w:r>
      <w:r>
        <w:rPr>
          <w:rFonts w:hint="cs"/>
          <w:rtl/>
        </w:rPr>
        <w:t>, ואי ס"ל דמיגו חוץ לב"ד מהני, א"כ אף אם הודה המחזיק בעצמו שהקרקע הייתה של המערער, מ"מ כיון דהמוכר היה נאמן במיגו דלא הייתה של המערער מעולם, וכיון שהמוכר היה נאמן, א"כ יכול המחזיק לקנות ממנו, דכיון שהמוכר זוכה בקרקע מחמת הנאמנות של המיגו, אף הלוקח יכול לזכות בקרקע, אף שהודה שלפני שהייתה של המוכר, הייתה הקרקע של המחזיק.</w:t>
      </w:r>
      <w:bookmarkEnd w:id="8892"/>
    </w:p>
    <w:p w:rsidR="0007171D" w:rsidRDefault="0007171D" w:rsidP="0007171D">
      <w:pPr>
        <w:pStyle w:val="a3"/>
        <w:rPr>
          <w:rtl/>
        </w:rPr>
      </w:pPr>
      <w:bookmarkStart w:id="8893" w:name="_Toc59025889"/>
      <w:r>
        <w:rPr>
          <w:rFonts w:hint="cs"/>
          <w:rtl/>
        </w:rPr>
        <w:t>ביאור הגרש"ר ברמב"ן דכל שלא זכה המוכר בפסק ב"ד אינו מועיל ללוקח כדכתב רבינו יונה</w:t>
      </w:r>
      <w:bookmarkEnd w:id="8893"/>
    </w:p>
    <w:p w:rsidR="0007171D" w:rsidRDefault="0007171D" w:rsidP="007E4E81">
      <w:pPr>
        <w:pStyle w:val="a0"/>
        <w:rPr>
          <w:rtl/>
        </w:rPr>
      </w:pPr>
      <w:bookmarkStart w:id="8894" w:name="_Ref58834149"/>
      <w:r>
        <w:rPr>
          <w:rFonts w:hint="cs"/>
          <w:rtl/>
        </w:rPr>
        <w:t xml:space="preserve">והביא </w:t>
      </w:r>
      <w:r w:rsidRPr="00C760F0">
        <w:rPr>
          <w:rStyle w:val="af9"/>
          <w:rFonts w:hint="cs"/>
          <w:rtl/>
        </w:rPr>
        <w:t>בחי' רבי שמואל</w:t>
      </w:r>
      <w:r>
        <w:rPr>
          <w:rFonts w:hint="cs"/>
          <w:rtl/>
        </w:rPr>
        <w:t xml:space="preserve"> </w:t>
      </w:r>
      <w:r w:rsidRPr="00C760F0">
        <w:rPr>
          <w:rStyle w:val="af7"/>
          <w:rFonts w:eastAsia="Guttman Hodes" w:hint="cs"/>
          <w:rtl/>
        </w:rPr>
        <w:t>(סי' כ"א או' ב' ד"ה והנה)</w:t>
      </w:r>
      <w:r>
        <w:rPr>
          <w:rFonts w:hint="cs"/>
          <w:rtl/>
        </w:rPr>
        <w:t xml:space="preserve"> את דברי </w:t>
      </w:r>
      <w:r w:rsidRPr="00C760F0">
        <w:rPr>
          <w:rStyle w:val="af9"/>
          <w:rFonts w:hint="cs"/>
          <w:rtl/>
        </w:rPr>
        <w:t>רבינו יונה</w:t>
      </w:r>
      <w:r>
        <w:rPr>
          <w:rFonts w:hint="cs"/>
          <w:rtl/>
        </w:rPr>
        <w:t xml:space="preserve"> </w:t>
      </w:r>
      <w:r>
        <w:rPr>
          <w:rStyle w:val="af7"/>
          <w:rFonts w:eastAsia="Guttman Hodes" w:hint="cs"/>
          <w:rtl/>
        </w:rPr>
        <w:t>(ד"ה עלה בידינו)</w:t>
      </w:r>
      <w:r w:rsidRPr="00086C0D">
        <w:rPr>
          <w:rStyle w:val="af7"/>
          <w:rFonts w:eastAsia="Guttman Hodes" w:hint="cs"/>
          <w:rtl/>
        </w:rPr>
        <w:t xml:space="preserve"> </w:t>
      </w:r>
      <w:r>
        <w:rPr>
          <w:rFonts w:hint="cs"/>
          <w:rtl/>
        </w:rPr>
        <w:t xml:space="preserve">דכתב דכל שזכה המוכר בקרקע בב"ד, אין מוציאין מהמחזיק, ואת דברי </w:t>
      </w:r>
      <w:r w:rsidRPr="00C760F0">
        <w:rPr>
          <w:rStyle w:val="af9"/>
          <w:rFonts w:hint="cs"/>
          <w:rtl/>
        </w:rPr>
        <w:t>הגר"א</w:t>
      </w:r>
      <w:r w:rsidRPr="00E73E76">
        <w:rPr>
          <w:rStyle w:val="af7"/>
          <w:rFonts w:eastAsia="Guttman Hodes" w:hint="cs"/>
          <w:rtl/>
        </w:rPr>
        <w:t xml:space="preserve"> </w:t>
      </w:r>
      <w:r w:rsidRPr="00562A65">
        <w:rPr>
          <w:rStyle w:val="af7"/>
          <w:rFonts w:eastAsia="Guttman Hodes" w:hint="cs"/>
          <w:rtl/>
        </w:rPr>
        <w:t>(סי' קמ"ו סקל"ח)</w:t>
      </w:r>
      <w:r>
        <w:rPr>
          <w:rFonts w:hint="cs"/>
          <w:rtl/>
        </w:rPr>
        <w:t xml:space="preserve"> דכתב דכל שקם דינא בב"ד אין מוציאין מהמחזיק, ומבואר מדברי </w:t>
      </w:r>
      <w:r w:rsidRPr="00C760F0">
        <w:rPr>
          <w:rStyle w:val="af9"/>
          <w:rFonts w:hint="cs"/>
          <w:rtl/>
        </w:rPr>
        <w:t>הגר"א</w:t>
      </w:r>
      <w:r>
        <w:rPr>
          <w:rFonts w:hint="cs"/>
          <w:rtl/>
        </w:rPr>
        <w:t xml:space="preserve"> דרק לאחר פסק ב"ד א"א להוציא, כיון דאמרינן דקם דינא, ולא רק מחמת שהמוכר כבר זכה בקרקע, וכתב </w:t>
      </w:r>
      <w:r w:rsidRPr="00C760F0">
        <w:rPr>
          <w:rStyle w:val="af9"/>
          <w:rFonts w:hint="cs"/>
          <w:rtl/>
        </w:rPr>
        <w:t>בחי' רבי שמואל</w:t>
      </w:r>
      <w:r>
        <w:rPr>
          <w:rFonts w:hint="cs"/>
          <w:rtl/>
        </w:rPr>
        <w:t xml:space="preserve"> דלפי"ז מיושבים דברי </w:t>
      </w:r>
      <w:r w:rsidRPr="00C760F0">
        <w:rPr>
          <w:rStyle w:val="af9"/>
          <w:rFonts w:hint="cs"/>
          <w:rtl/>
        </w:rPr>
        <w:t>הרמב"ן</w:t>
      </w:r>
      <w:r>
        <w:rPr>
          <w:rFonts w:hint="cs"/>
          <w:rtl/>
        </w:rPr>
        <w:t xml:space="preserve"> דאף דהמוכר היה נאמן במיגו, מ"מ כיון שלא היה פסק ב"ד, לכן לא מהני המיגו למחזיק, אך יעויי"ש במה שהקשה </w:t>
      </w:r>
      <w:r w:rsidRPr="00C760F0">
        <w:rPr>
          <w:rStyle w:val="af9"/>
          <w:rFonts w:hint="cs"/>
          <w:rtl/>
        </w:rPr>
        <w:t>בחי' רבי</w:t>
      </w:r>
      <w:r>
        <w:rPr>
          <w:rFonts w:hint="cs"/>
          <w:rtl/>
        </w:rPr>
        <w:t xml:space="preserve"> </w:t>
      </w:r>
      <w:r w:rsidRPr="00C760F0">
        <w:rPr>
          <w:rStyle w:val="af9"/>
          <w:rFonts w:hint="cs"/>
          <w:rtl/>
        </w:rPr>
        <w:t>שמואל</w:t>
      </w:r>
      <w:r>
        <w:rPr>
          <w:rFonts w:hint="cs"/>
          <w:rtl/>
        </w:rPr>
        <w:t xml:space="preserve"> </w:t>
      </w:r>
      <w:r w:rsidRPr="00C760F0">
        <w:rPr>
          <w:rStyle w:val="af7"/>
          <w:rFonts w:eastAsia="Guttman Hodes" w:hint="cs"/>
          <w:rtl/>
        </w:rPr>
        <w:t>(סי' כ"א או' ב' ד"ה אך באמת)</w:t>
      </w:r>
      <w:r>
        <w:rPr>
          <w:rFonts w:hint="cs"/>
          <w:rtl/>
        </w:rPr>
        <w:t xml:space="preserve"> על דברי </w:t>
      </w:r>
      <w:r w:rsidRPr="00C760F0">
        <w:rPr>
          <w:rStyle w:val="af9"/>
          <w:rFonts w:hint="cs"/>
          <w:rtl/>
        </w:rPr>
        <w:t>הגר"א</w:t>
      </w:r>
      <w:r>
        <w:rPr>
          <w:rFonts w:hint="cs"/>
          <w:rtl/>
        </w:rPr>
        <w:t>.</w:t>
      </w:r>
      <w:bookmarkEnd w:id="8894"/>
    </w:p>
    <w:p w:rsidR="0007171D" w:rsidRDefault="0007171D" w:rsidP="0007171D">
      <w:pPr>
        <w:pStyle w:val="a3"/>
        <w:rPr>
          <w:rtl/>
        </w:rPr>
      </w:pPr>
      <w:bookmarkStart w:id="8895" w:name="_Toc59025890"/>
      <w:r>
        <w:rPr>
          <w:rFonts w:hint="cs"/>
          <w:rtl/>
        </w:rPr>
        <w:t>ביאור הגרש"ר ברמב"ן דרק הפה שאסר מהני חוץ לב"ד ובהודה בעצמו ל"מ לו המיגו דמוכר</w:t>
      </w:r>
      <w:bookmarkEnd w:id="8895"/>
    </w:p>
    <w:p w:rsidR="0007171D" w:rsidRDefault="0007171D" w:rsidP="007E4E81">
      <w:pPr>
        <w:pStyle w:val="a0"/>
        <w:rPr>
          <w:rtl/>
        </w:rPr>
      </w:pPr>
      <w:bookmarkStart w:id="8896" w:name="_Ref58531939"/>
      <w:r>
        <w:rPr>
          <w:rFonts w:hint="cs"/>
          <w:rtl/>
        </w:rPr>
        <w:t xml:space="preserve">וכתב </w:t>
      </w:r>
      <w:r w:rsidRPr="00C760F0">
        <w:rPr>
          <w:rStyle w:val="af9"/>
          <w:rFonts w:hint="cs"/>
          <w:rtl/>
        </w:rPr>
        <w:t>בחי' רבי שמואל</w:t>
      </w:r>
      <w:r>
        <w:rPr>
          <w:rFonts w:hint="cs"/>
          <w:rtl/>
        </w:rPr>
        <w:t xml:space="preserve"> </w:t>
      </w:r>
      <w:r w:rsidRPr="00C760F0">
        <w:rPr>
          <w:rStyle w:val="af7"/>
          <w:rFonts w:eastAsia="Guttman Hodes" w:hint="cs"/>
          <w:rtl/>
        </w:rPr>
        <w:t>(סי' כ"א או' ד' ד"ה ובפשוטו)</w:t>
      </w:r>
      <w:r>
        <w:rPr>
          <w:rStyle w:val="af7"/>
          <w:rFonts w:eastAsia="Guttman Hodes" w:hint="cs"/>
          <w:rtl/>
        </w:rPr>
        <w:t xml:space="preserve"> </w:t>
      </w:r>
      <w:r>
        <w:rPr>
          <w:rFonts w:hint="cs"/>
          <w:rtl/>
        </w:rPr>
        <w:t xml:space="preserve">דאפש"ל דס"ל </w:t>
      </w:r>
      <w:r w:rsidRPr="00C760F0">
        <w:rPr>
          <w:rStyle w:val="af9"/>
          <w:rFonts w:hint="cs"/>
          <w:rtl/>
        </w:rPr>
        <w:t xml:space="preserve">להרמב"ן </w:t>
      </w:r>
      <w:r w:rsidRPr="005C1C87">
        <w:rPr>
          <w:rStyle w:val="af7"/>
          <w:rFonts w:eastAsia="Guttman Hodes" w:hint="cs"/>
          <w:rtl/>
        </w:rPr>
        <w:t xml:space="preserve">(עי' אות </w:t>
      </w:r>
      <w:r w:rsidRPr="005C1C87">
        <w:rPr>
          <w:rStyle w:val="af7"/>
          <w:rFonts w:eastAsia="Guttman Hodes"/>
          <w:rtl/>
        </w:rPr>
        <w:fldChar w:fldCharType="begin"/>
      </w:r>
      <w:r w:rsidRPr="005C1C87">
        <w:rPr>
          <w:rStyle w:val="af7"/>
          <w:rFonts w:eastAsia="Guttman Hodes"/>
          <w:rtl/>
        </w:rPr>
        <w:instrText xml:space="preserve"> </w:instrText>
      </w:r>
      <w:r w:rsidRPr="005C1C87">
        <w:rPr>
          <w:rStyle w:val="af7"/>
          <w:rFonts w:eastAsia="Guttman Hodes" w:hint="cs"/>
        </w:rPr>
        <w:instrText>REF</w:instrText>
      </w:r>
      <w:r w:rsidRPr="005C1C87">
        <w:rPr>
          <w:rStyle w:val="af7"/>
          <w:rFonts w:eastAsia="Guttman Hodes" w:hint="cs"/>
          <w:rtl/>
        </w:rPr>
        <w:instrText xml:space="preserve"> _</w:instrText>
      </w:r>
      <w:r w:rsidRPr="005C1C87">
        <w:rPr>
          <w:rStyle w:val="af7"/>
          <w:rFonts w:eastAsia="Guttman Hodes" w:hint="cs"/>
        </w:rPr>
        <w:instrText>Ref58702147 \r \h</w:instrText>
      </w:r>
      <w:r w:rsidRPr="005C1C87">
        <w:rPr>
          <w:rStyle w:val="af7"/>
          <w:rFonts w:eastAsia="Guttman Hodes"/>
          <w:rtl/>
        </w:rPr>
        <w:instrText xml:space="preserve"> </w:instrText>
      </w:r>
      <w:r w:rsidRPr="005C1C87">
        <w:rPr>
          <w:rStyle w:val="af7"/>
          <w:rFonts w:eastAsia="Guttman Hodes"/>
          <w:rtl/>
        </w:rPr>
      </w:r>
      <w:r w:rsidRPr="005C1C87">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5C1C87">
        <w:rPr>
          <w:rStyle w:val="af7"/>
          <w:rFonts w:eastAsia="Guttman Hodes"/>
          <w:rtl/>
        </w:rPr>
        <w:fldChar w:fldCharType="end"/>
      </w:r>
      <w:r w:rsidRPr="005C1C87">
        <w:rPr>
          <w:rStyle w:val="af7"/>
          <w:rFonts w:eastAsia="Guttman Hodes" w:hint="cs"/>
          <w:rtl/>
        </w:rPr>
        <w:t xml:space="preserve"> </w:t>
      </w:r>
      <w:r w:rsidRPr="00C760F0">
        <w:rPr>
          <w:rStyle w:val="af9"/>
          <w:rFonts w:hint="cs"/>
          <w:rtl/>
        </w:rPr>
        <w:t>כגרעק"א</w:t>
      </w:r>
      <w:r>
        <w:rPr>
          <w:rFonts w:hint="cs"/>
          <w:rtl/>
        </w:rPr>
        <w:t xml:space="preserve"> </w:t>
      </w:r>
      <w:r w:rsidRPr="00C760F0">
        <w:rPr>
          <w:rStyle w:val="af7"/>
          <w:rFonts w:eastAsia="Guttman Hodes" w:hint="cs"/>
          <w:rtl/>
        </w:rPr>
        <w:t xml:space="preserve">(עי' אות </w:t>
      </w:r>
      <w:r w:rsidRPr="00C760F0">
        <w:rPr>
          <w:rStyle w:val="af7"/>
          <w:rFonts w:eastAsia="Guttman Hodes"/>
          <w:rtl/>
        </w:rPr>
        <w:fldChar w:fldCharType="begin"/>
      </w:r>
      <w:r w:rsidRPr="00C760F0">
        <w:rPr>
          <w:rStyle w:val="af7"/>
          <w:rFonts w:eastAsia="Guttman Hodes"/>
          <w:rtl/>
        </w:rPr>
        <w:instrText xml:space="preserve"> </w:instrText>
      </w:r>
      <w:r w:rsidRPr="00C760F0">
        <w:rPr>
          <w:rStyle w:val="af7"/>
          <w:rFonts w:eastAsia="Guttman Hodes" w:hint="cs"/>
        </w:rPr>
        <w:instrText>REF</w:instrText>
      </w:r>
      <w:r w:rsidRPr="00C760F0">
        <w:rPr>
          <w:rStyle w:val="af7"/>
          <w:rFonts w:eastAsia="Guttman Hodes" w:hint="cs"/>
          <w:rtl/>
        </w:rPr>
        <w:instrText xml:space="preserve"> _</w:instrText>
      </w:r>
      <w:r w:rsidRPr="00C760F0">
        <w:rPr>
          <w:rStyle w:val="af7"/>
          <w:rFonts w:eastAsia="Guttman Hodes" w:hint="cs"/>
        </w:rPr>
        <w:instrText>Ref58531857 \r \h</w:instrText>
      </w:r>
      <w:r w:rsidRPr="00C760F0">
        <w:rPr>
          <w:rStyle w:val="af7"/>
          <w:rFonts w:eastAsia="Guttman Hodes"/>
          <w:rtl/>
        </w:rPr>
        <w:instrText xml:space="preserve"> </w:instrText>
      </w:r>
      <w:r w:rsidRPr="00C760F0">
        <w:rPr>
          <w:rStyle w:val="af7"/>
          <w:rFonts w:eastAsia="Guttman Hodes"/>
          <w:rtl/>
        </w:rPr>
      </w:r>
      <w:r w:rsidRPr="00C760F0">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C760F0">
        <w:rPr>
          <w:rStyle w:val="af7"/>
          <w:rFonts w:eastAsia="Guttman Hodes"/>
          <w:rtl/>
        </w:rPr>
        <w:fldChar w:fldCharType="end"/>
      </w:r>
      <w:r>
        <w:rPr>
          <w:rFonts w:hint="cs"/>
          <w:rtl/>
        </w:rPr>
        <w:t xml:space="preserve"> דאף דמיגו מחוץ לב"ד לא מהני, מ"מ הפה שאסר מהני, דכיון שמקבלים את מקצת דבריו, מקבלים את כל דבריו, וא"כ במקום שהוא אינו מודה בעצמו ורק שמע כן מהמוכר, א"כ יש לו הפה שאסר, דמה שהודה שהייתה של המערער, ג"כ שמע מהמוכר, והמוכר גם אמר שקנה מהמערער, ולכן ביאר </w:t>
      </w:r>
      <w:r w:rsidRPr="00C760F0">
        <w:rPr>
          <w:rStyle w:val="af9"/>
          <w:rFonts w:hint="cs"/>
          <w:rtl/>
        </w:rPr>
        <w:t>הרמב"ן</w:t>
      </w:r>
      <w:r>
        <w:rPr>
          <w:rFonts w:hint="cs"/>
          <w:rtl/>
        </w:rPr>
        <w:t xml:space="preserve"> </w:t>
      </w:r>
      <w:r w:rsidRPr="00432E0E">
        <w:rPr>
          <w:rStyle w:val="af7"/>
          <w:rFonts w:eastAsia="Guttman Hodes" w:hint="cs"/>
          <w:rtl/>
        </w:rPr>
        <w:t xml:space="preserve">(עי' אות </w:t>
      </w:r>
      <w:r w:rsidRPr="00432E0E">
        <w:rPr>
          <w:rStyle w:val="af7"/>
          <w:rFonts w:eastAsia="Guttman Hodes"/>
          <w:rtl/>
        </w:rPr>
        <w:fldChar w:fldCharType="begin"/>
      </w:r>
      <w:r w:rsidRPr="00432E0E">
        <w:rPr>
          <w:rStyle w:val="af7"/>
          <w:rFonts w:eastAsia="Guttman Hodes"/>
          <w:rtl/>
        </w:rPr>
        <w:instrText xml:space="preserve"> </w:instrText>
      </w:r>
      <w:r w:rsidRPr="00432E0E">
        <w:rPr>
          <w:rStyle w:val="af7"/>
          <w:rFonts w:eastAsia="Guttman Hodes" w:hint="cs"/>
        </w:rPr>
        <w:instrText>REF</w:instrText>
      </w:r>
      <w:r w:rsidRPr="00432E0E">
        <w:rPr>
          <w:rStyle w:val="af7"/>
          <w:rFonts w:eastAsia="Guttman Hodes" w:hint="cs"/>
          <w:rtl/>
        </w:rPr>
        <w:instrText xml:space="preserve"> _</w:instrText>
      </w:r>
      <w:r w:rsidRPr="00432E0E">
        <w:rPr>
          <w:rStyle w:val="af7"/>
          <w:rFonts w:eastAsia="Guttman Hodes" w:hint="cs"/>
        </w:rPr>
        <w:instrText>Ref58875214 \r \h</w:instrText>
      </w:r>
      <w:r w:rsidRPr="00432E0E">
        <w:rPr>
          <w:rStyle w:val="af7"/>
          <w:rFonts w:eastAsia="Guttman Hodes"/>
          <w:rtl/>
        </w:rPr>
        <w:instrText xml:space="preserve"> </w:instrText>
      </w:r>
      <w:r w:rsidRPr="00432E0E">
        <w:rPr>
          <w:rStyle w:val="af7"/>
          <w:rFonts w:eastAsia="Guttman Hodes"/>
          <w:rtl/>
        </w:rPr>
      </w:r>
      <w:r w:rsidRPr="00432E0E">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432E0E">
        <w:rPr>
          <w:rStyle w:val="af7"/>
          <w:rFonts w:eastAsia="Guttman Hodes"/>
          <w:rtl/>
        </w:rPr>
        <w:fldChar w:fldCharType="end"/>
      </w:r>
      <w:r>
        <w:rPr>
          <w:rFonts w:hint="cs"/>
          <w:rtl/>
        </w:rPr>
        <w:t xml:space="preserve"> דהמחזיק מודה בעצמו, ולכן אף שלמוכר היה מיגו, מ"מ אין המחזיק נאמן דהוא מיגו מחוץ לב"ד, ומ"ש </w:t>
      </w:r>
      <w:r w:rsidRPr="00C760F0">
        <w:rPr>
          <w:rStyle w:val="af9"/>
          <w:rFonts w:hint="cs"/>
          <w:rtl/>
        </w:rPr>
        <w:t>הרמב"ן</w:t>
      </w:r>
      <w:r>
        <w:rPr>
          <w:rFonts w:hint="cs"/>
          <w:rtl/>
        </w:rPr>
        <w:t xml:space="preserve"> </w:t>
      </w:r>
      <w:r w:rsidRPr="007040D4">
        <w:rPr>
          <w:rFonts w:hint="cs"/>
          <w:rtl/>
        </w:rPr>
        <w:t>בסו"ד דנאמן</w:t>
      </w:r>
      <w:r>
        <w:rPr>
          <w:rFonts w:hint="cs"/>
          <w:rtl/>
        </w:rPr>
        <w:t xml:space="preserve"> במיגו צ"ל דכוונתו להפה שאסר ולא למיגו, ועי' בדברי </w:t>
      </w:r>
      <w:r w:rsidRPr="00F42BE2">
        <w:rPr>
          <w:rStyle w:val="af9"/>
          <w:rFonts w:hint="cs"/>
          <w:rtl/>
        </w:rPr>
        <w:t>הגרנ"ט</w:t>
      </w:r>
      <w:r>
        <w:rPr>
          <w:rFonts w:hint="cs"/>
          <w:rtl/>
        </w:rPr>
        <w:t xml:space="preserve"> </w:t>
      </w:r>
      <w:r w:rsidRPr="00F42BE2">
        <w:rPr>
          <w:rStyle w:val="af7"/>
          <w:rFonts w:eastAsia="Guttman Hodes" w:hint="cs"/>
          <w:rtl/>
        </w:rPr>
        <w:t xml:space="preserve">(עי' אות </w:t>
      </w:r>
      <w:r w:rsidRPr="00F42BE2">
        <w:rPr>
          <w:rStyle w:val="af7"/>
          <w:rFonts w:eastAsia="Guttman Hodes"/>
          <w:rtl/>
        </w:rPr>
        <w:fldChar w:fldCharType="begin"/>
      </w:r>
      <w:r w:rsidRPr="00F42BE2">
        <w:rPr>
          <w:rStyle w:val="af7"/>
          <w:rFonts w:eastAsia="Guttman Hodes"/>
          <w:rtl/>
        </w:rPr>
        <w:instrText xml:space="preserve"> </w:instrText>
      </w:r>
      <w:r w:rsidRPr="00F42BE2">
        <w:rPr>
          <w:rStyle w:val="af7"/>
          <w:rFonts w:eastAsia="Guttman Hodes" w:hint="cs"/>
        </w:rPr>
        <w:instrText>REF</w:instrText>
      </w:r>
      <w:r w:rsidRPr="00F42BE2">
        <w:rPr>
          <w:rStyle w:val="af7"/>
          <w:rFonts w:eastAsia="Guttman Hodes" w:hint="cs"/>
          <w:rtl/>
        </w:rPr>
        <w:instrText xml:space="preserve"> _</w:instrText>
      </w:r>
      <w:r w:rsidRPr="00F42BE2">
        <w:rPr>
          <w:rStyle w:val="af7"/>
          <w:rFonts w:eastAsia="Guttman Hodes" w:hint="cs"/>
        </w:rPr>
        <w:instrText>Ref58841470 \r \h</w:instrText>
      </w:r>
      <w:r w:rsidRPr="00F42BE2">
        <w:rPr>
          <w:rStyle w:val="af7"/>
          <w:rFonts w:eastAsia="Guttman Hodes"/>
          <w:rtl/>
        </w:rPr>
        <w:instrText xml:space="preserve"> </w:instrText>
      </w:r>
      <w:r w:rsidRPr="00F42BE2">
        <w:rPr>
          <w:rStyle w:val="af7"/>
          <w:rFonts w:eastAsia="Guttman Hodes"/>
          <w:rtl/>
        </w:rPr>
      </w:r>
      <w:r w:rsidRPr="00F42BE2">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F42BE2">
        <w:rPr>
          <w:rStyle w:val="af7"/>
          <w:rFonts w:eastAsia="Guttman Hodes"/>
          <w:rtl/>
        </w:rPr>
        <w:fldChar w:fldCharType="end"/>
      </w:r>
      <w:r>
        <w:rPr>
          <w:rFonts w:hint="cs"/>
          <w:rtl/>
        </w:rPr>
        <w:t>.</w:t>
      </w:r>
      <w:bookmarkEnd w:id="8896"/>
    </w:p>
    <w:p w:rsidR="0007171D" w:rsidRDefault="0007171D" w:rsidP="0007171D">
      <w:pPr>
        <w:pStyle w:val="a3"/>
        <w:rPr>
          <w:rtl/>
        </w:rPr>
      </w:pPr>
      <w:bookmarkStart w:id="8897" w:name="_Toc59025891"/>
      <w:r>
        <w:rPr>
          <w:rFonts w:hint="cs"/>
          <w:rtl/>
        </w:rPr>
        <w:t>דחיית הגרש"ר דל"מ ברמב"ן דפליג על הראב"ד רק בדין הפה שאסר ועוד ל"מ כן ברמב"ן לקמן</w:t>
      </w:r>
      <w:bookmarkEnd w:id="8897"/>
    </w:p>
    <w:p w:rsidR="0007171D" w:rsidRDefault="0007171D" w:rsidP="007E4E81">
      <w:pPr>
        <w:pStyle w:val="a0"/>
        <w:rPr>
          <w:rtl/>
        </w:rPr>
      </w:pPr>
      <w:r>
        <w:rPr>
          <w:rFonts w:hint="cs"/>
          <w:rtl/>
        </w:rPr>
        <w:t xml:space="preserve">אך דחה </w:t>
      </w:r>
      <w:r w:rsidRPr="00B12578">
        <w:rPr>
          <w:rStyle w:val="af9"/>
          <w:rFonts w:hint="cs"/>
          <w:rtl/>
        </w:rPr>
        <w:t>בחי' רבי שמואל</w:t>
      </w:r>
      <w:r>
        <w:rPr>
          <w:rFonts w:hint="cs"/>
          <w:rtl/>
        </w:rPr>
        <w:t xml:space="preserve"> </w:t>
      </w:r>
      <w:r w:rsidRPr="00B12578">
        <w:rPr>
          <w:rStyle w:val="af7"/>
          <w:rFonts w:eastAsia="Guttman Hodes" w:hint="cs"/>
          <w:rtl/>
        </w:rPr>
        <w:t>(סי' כ"א או' ה')</w:t>
      </w:r>
      <w:r>
        <w:rPr>
          <w:rFonts w:hint="cs"/>
          <w:rtl/>
        </w:rPr>
        <w:t xml:space="preserve"> דלא משמע </w:t>
      </w:r>
      <w:r w:rsidRPr="00B12578">
        <w:rPr>
          <w:rStyle w:val="af9"/>
          <w:rFonts w:hint="cs"/>
          <w:rtl/>
        </w:rPr>
        <w:t>ברמב"ן</w:t>
      </w:r>
      <w:r>
        <w:rPr>
          <w:rFonts w:hint="cs"/>
          <w:rtl/>
        </w:rPr>
        <w:t xml:space="preserve"> דהוא דחה את דברי </w:t>
      </w:r>
      <w:r w:rsidRPr="00B12578">
        <w:rPr>
          <w:rStyle w:val="af9"/>
          <w:rFonts w:hint="cs"/>
          <w:rtl/>
        </w:rPr>
        <w:t>הראב"ד</w:t>
      </w:r>
      <w:r>
        <w:rPr>
          <w:rFonts w:hint="cs"/>
          <w:rtl/>
        </w:rPr>
        <w:t xml:space="preserve">, רק מחמת שיש חילוק בין הפה שאסר למיגו, אלא דחה את עיקר סברת </w:t>
      </w:r>
      <w:r w:rsidRPr="00B12578">
        <w:rPr>
          <w:rStyle w:val="af9"/>
          <w:rFonts w:hint="cs"/>
          <w:rtl/>
        </w:rPr>
        <w:t>הראב"ד</w:t>
      </w:r>
      <w:r>
        <w:rPr>
          <w:rFonts w:hint="cs"/>
          <w:rtl/>
        </w:rPr>
        <w:t xml:space="preserve">, וכתב דהם דברי הבאי, ועוד הקשה </w:t>
      </w:r>
      <w:r w:rsidRPr="00B12578">
        <w:rPr>
          <w:rStyle w:val="af9"/>
          <w:rFonts w:hint="cs"/>
          <w:rtl/>
        </w:rPr>
        <w:t>בחי' רבי שמואל</w:t>
      </w:r>
      <w:r w:rsidRPr="00B12578">
        <w:rPr>
          <w:rFonts w:hint="cs"/>
          <w:rtl/>
        </w:rPr>
        <w:t xml:space="preserve"> דהא</w:t>
      </w:r>
      <w:r>
        <w:rPr>
          <w:rStyle w:val="af9"/>
          <w:rFonts w:hint="cs"/>
          <w:rtl/>
        </w:rPr>
        <w:t xml:space="preserve"> ב</w:t>
      </w:r>
      <w:r w:rsidRPr="00B12578">
        <w:rPr>
          <w:rStyle w:val="af9"/>
          <w:rFonts w:hint="cs"/>
          <w:rtl/>
        </w:rPr>
        <w:t>רמב"ן לקמן</w:t>
      </w:r>
      <w:r>
        <w:rPr>
          <w:rFonts w:hint="cs"/>
          <w:rtl/>
        </w:rPr>
        <w:t xml:space="preserve"> </w:t>
      </w:r>
      <w:r w:rsidRPr="00B12578">
        <w:rPr>
          <w:rStyle w:val="af7"/>
          <w:rFonts w:eastAsia="Guttman Hodes" w:hint="cs"/>
          <w:rtl/>
        </w:rPr>
        <w:t>(לג: ד"ה אמר רב זביד)</w:t>
      </w:r>
      <w:r>
        <w:rPr>
          <w:rFonts w:hint="cs"/>
          <w:rtl/>
        </w:rPr>
        <w:t xml:space="preserve"> משמע דלא פשיטא ליה החילוק בין מיגו להפה שאסר.</w:t>
      </w:r>
    </w:p>
    <w:p w:rsidR="0007171D" w:rsidRPr="00627752" w:rsidRDefault="0007171D" w:rsidP="0007171D">
      <w:pPr>
        <w:pStyle w:val="a3"/>
        <w:rPr>
          <w:rtl/>
        </w:rPr>
      </w:pPr>
      <w:bookmarkStart w:id="8898" w:name="_Toc59025892"/>
      <w:r>
        <w:rPr>
          <w:rFonts w:hint="cs"/>
          <w:rtl/>
        </w:rPr>
        <w:t>ביאור הגרש"ר ברמב"ן דמהני מיגו חוץ לב"ד רק בנאמנות אך אין לו את כח הטענה של המיגו</w:t>
      </w:r>
      <w:bookmarkEnd w:id="8898"/>
    </w:p>
    <w:p w:rsidR="0007171D" w:rsidRDefault="0007171D" w:rsidP="007E4E81">
      <w:pPr>
        <w:pStyle w:val="a0"/>
        <w:rPr>
          <w:rtl/>
        </w:rPr>
      </w:pPr>
      <w:bookmarkStart w:id="8899" w:name="_Ref59023727"/>
      <w:r>
        <w:rPr>
          <w:rFonts w:hint="cs"/>
          <w:rtl/>
        </w:rPr>
        <w:t xml:space="preserve">אלא ביאר </w:t>
      </w:r>
      <w:r w:rsidRPr="00B12578">
        <w:rPr>
          <w:rStyle w:val="af9"/>
          <w:rFonts w:hint="cs"/>
          <w:rtl/>
        </w:rPr>
        <w:t>בחי' רבי שמואל</w:t>
      </w:r>
      <w:r>
        <w:rPr>
          <w:rFonts w:hint="cs"/>
          <w:rtl/>
        </w:rPr>
        <w:t xml:space="preserve"> </w:t>
      </w:r>
      <w:r w:rsidRPr="00B12578">
        <w:rPr>
          <w:rStyle w:val="af7"/>
          <w:rFonts w:eastAsia="Guttman Hodes" w:hint="cs"/>
          <w:rtl/>
        </w:rPr>
        <w:t>(סי' כ"א או' ו' ד"ה ואשר)</w:t>
      </w:r>
      <w:r>
        <w:rPr>
          <w:rFonts w:hint="cs"/>
          <w:rtl/>
        </w:rPr>
        <w:t xml:space="preserve"> דס"ל </w:t>
      </w:r>
      <w:r w:rsidRPr="00B12578">
        <w:rPr>
          <w:rStyle w:val="af9"/>
          <w:rFonts w:hint="cs"/>
          <w:rtl/>
        </w:rPr>
        <w:t>להרמב"ן</w:t>
      </w:r>
      <w:r>
        <w:rPr>
          <w:rFonts w:hint="cs"/>
          <w:rtl/>
        </w:rPr>
        <w:t xml:space="preserve"> </w:t>
      </w:r>
      <w:r w:rsidRPr="005C1C87">
        <w:rPr>
          <w:rStyle w:val="af7"/>
          <w:rFonts w:eastAsia="Guttman Hodes" w:hint="cs"/>
          <w:rtl/>
        </w:rPr>
        <w:t xml:space="preserve">(עי' אות </w:t>
      </w:r>
      <w:r w:rsidRPr="005C1C87">
        <w:rPr>
          <w:rStyle w:val="af7"/>
          <w:rFonts w:eastAsia="Guttman Hodes"/>
          <w:rtl/>
        </w:rPr>
        <w:fldChar w:fldCharType="begin"/>
      </w:r>
      <w:r w:rsidRPr="005C1C87">
        <w:rPr>
          <w:rStyle w:val="af7"/>
          <w:rFonts w:eastAsia="Guttman Hodes"/>
          <w:rtl/>
        </w:rPr>
        <w:instrText xml:space="preserve"> </w:instrText>
      </w:r>
      <w:r w:rsidRPr="005C1C87">
        <w:rPr>
          <w:rStyle w:val="af7"/>
          <w:rFonts w:eastAsia="Guttman Hodes" w:hint="cs"/>
        </w:rPr>
        <w:instrText>REF</w:instrText>
      </w:r>
      <w:r w:rsidRPr="005C1C87">
        <w:rPr>
          <w:rStyle w:val="af7"/>
          <w:rFonts w:eastAsia="Guttman Hodes" w:hint="cs"/>
          <w:rtl/>
        </w:rPr>
        <w:instrText xml:space="preserve"> _</w:instrText>
      </w:r>
      <w:r w:rsidRPr="005C1C87">
        <w:rPr>
          <w:rStyle w:val="af7"/>
          <w:rFonts w:eastAsia="Guttman Hodes" w:hint="cs"/>
        </w:rPr>
        <w:instrText>Ref58702147 \r \h</w:instrText>
      </w:r>
      <w:r w:rsidRPr="005C1C87">
        <w:rPr>
          <w:rStyle w:val="af7"/>
          <w:rFonts w:eastAsia="Guttman Hodes"/>
          <w:rtl/>
        </w:rPr>
        <w:instrText xml:space="preserve"> </w:instrText>
      </w:r>
      <w:r w:rsidRPr="005C1C87">
        <w:rPr>
          <w:rStyle w:val="af7"/>
          <w:rFonts w:eastAsia="Guttman Hodes"/>
          <w:rtl/>
        </w:rPr>
      </w:r>
      <w:r w:rsidRPr="005C1C87">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5C1C87">
        <w:rPr>
          <w:rStyle w:val="af7"/>
          <w:rFonts w:eastAsia="Guttman Hodes"/>
          <w:rtl/>
        </w:rPr>
        <w:fldChar w:fldCharType="end"/>
      </w:r>
      <w:r w:rsidRPr="005C1C87">
        <w:rPr>
          <w:rStyle w:val="af7"/>
          <w:rFonts w:eastAsia="Guttman Hodes" w:hint="cs"/>
          <w:rtl/>
        </w:rPr>
        <w:t xml:space="preserve"> </w:t>
      </w:r>
      <w:r>
        <w:rPr>
          <w:rFonts w:hint="cs"/>
          <w:rtl/>
        </w:rPr>
        <w:t xml:space="preserve">דמיגו מחוץ לב"ד מהני, אך יש לו רק את הנאמנות של המיגו מדין "מה לי לשקר", </w:t>
      </w:r>
      <w:r w:rsidRPr="00432E0E">
        <w:rPr>
          <w:rStyle w:val="afb"/>
          <w:rFonts w:hint="cs"/>
          <w:rtl/>
        </w:rPr>
        <w:t>[ולא אמרינן דאינו מדייק בטענתו מחוץ לב"ד, ואינו נאמן כלל, כדעת הסוברים דל"מ מיגו מחוץ לב"ד],</w:t>
      </w:r>
      <w:r>
        <w:rPr>
          <w:rFonts w:hint="cs"/>
          <w:rtl/>
        </w:rPr>
        <w:t xml:space="preserve"> אך מ"מ "כח הטענה" של המיגו, ס"ל </w:t>
      </w:r>
      <w:r w:rsidRPr="00266814">
        <w:rPr>
          <w:rStyle w:val="af9"/>
          <w:rFonts w:hint="cs"/>
          <w:rtl/>
        </w:rPr>
        <w:t xml:space="preserve">להרמב"ן </w:t>
      </w:r>
      <w:r>
        <w:rPr>
          <w:rFonts w:hint="cs"/>
          <w:rtl/>
        </w:rPr>
        <w:t>דאין לו מחוץ לב"ד, כיון שהטענה לא התקבלה בב"ד.</w:t>
      </w:r>
      <w:bookmarkEnd w:id="8899"/>
    </w:p>
    <w:p w:rsidR="0007171D" w:rsidRPr="00627752" w:rsidRDefault="0007171D" w:rsidP="0007171D">
      <w:pPr>
        <w:pStyle w:val="a3"/>
        <w:rPr>
          <w:rtl/>
        </w:rPr>
      </w:pPr>
      <w:bookmarkStart w:id="8900" w:name="_Toc59025893"/>
      <w:r>
        <w:rPr>
          <w:rFonts w:hint="cs"/>
          <w:rtl/>
        </w:rPr>
        <w:t>ביאור הגרש"ר ברמב"ן דהמחזיק צריך את כח טענת המוכר וכשהודה אין לו את כח הטענה</w:t>
      </w:r>
      <w:bookmarkEnd w:id="8900"/>
    </w:p>
    <w:p w:rsidR="0007171D" w:rsidRDefault="0007171D" w:rsidP="007E4E81">
      <w:pPr>
        <w:pStyle w:val="a0"/>
        <w:rPr>
          <w:rtl/>
        </w:rPr>
      </w:pPr>
      <w:r>
        <w:rPr>
          <w:rFonts w:hint="cs"/>
          <w:rtl/>
        </w:rPr>
        <w:t xml:space="preserve">ובזה ביאר </w:t>
      </w:r>
      <w:r w:rsidRPr="00266814">
        <w:rPr>
          <w:rStyle w:val="af9"/>
          <w:rFonts w:hint="cs"/>
          <w:rtl/>
        </w:rPr>
        <w:t xml:space="preserve">בחי' רבי שמואל </w:t>
      </w:r>
      <w:r>
        <w:rPr>
          <w:rFonts w:hint="cs"/>
          <w:rtl/>
        </w:rPr>
        <w:t xml:space="preserve">את דברי </w:t>
      </w:r>
      <w:r w:rsidRPr="00266814">
        <w:rPr>
          <w:rStyle w:val="af9"/>
          <w:rFonts w:hint="cs"/>
          <w:rtl/>
        </w:rPr>
        <w:t>הרמב"ן</w:t>
      </w:r>
      <w:r>
        <w:rPr>
          <w:rFonts w:hint="cs"/>
          <w:rtl/>
        </w:rPr>
        <w:t xml:space="preserve">, דכשהקרקע ביד המחזיק צריך שלמחזיק עצמו יהיה כח של טענה כדי שהוא עצמו יזכה בקרקע, דהיינו שכח הנאמנות של טענת המוכר יהיה קיים בשעה שדן המחזיק בב"ד, כיון שהטענה של המוכר לא נדונה בב"ד כלל, ולכן ס"ל </w:t>
      </w:r>
      <w:r w:rsidRPr="00266814">
        <w:rPr>
          <w:rStyle w:val="af9"/>
          <w:rFonts w:hint="cs"/>
          <w:rtl/>
        </w:rPr>
        <w:t>ל</w:t>
      </w:r>
      <w:r w:rsidRPr="00C760F0">
        <w:rPr>
          <w:rStyle w:val="af9"/>
          <w:rFonts w:hint="cs"/>
          <w:rtl/>
        </w:rPr>
        <w:t>הרמב"ן</w:t>
      </w:r>
      <w:r>
        <w:rPr>
          <w:rFonts w:hint="cs"/>
          <w:rtl/>
        </w:rPr>
        <w:t xml:space="preserve"> דאיירי שהודה המחזיק בעצמו שהקרקע הייתה של המוכר, </w:t>
      </w:r>
      <w:r w:rsidRPr="00547558">
        <w:rPr>
          <w:rStyle w:val="afb"/>
          <w:rFonts w:hint="cs"/>
          <w:rtl/>
        </w:rPr>
        <w:t xml:space="preserve">[כדביאר </w:t>
      </w:r>
      <w:r w:rsidRPr="00F45A4B">
        <w:rPr>
          <w:rStyle w:val="affa"/>
          <w:rFonts w:hint="cs"/>
          <w:rtl/>
        </w:rPr>
        <w:t>הרמב"ן</w:t>
      </w:r>
      <w:r w:rsidRPr="00547558">
        <w:rPr>
          <w:rStyle w:val="afb"/>
          <w:rFonts w:hint="cs"/>
          <w:rtl/>
        </w:rPr>
        <w:t xml:space="preserve"> </w:t>
      </w:r>
      <w:r w:rsidRPr="00F45A4B">
        <w:rPr>
          <w:rStyle w:val="aff6"/>
          <w:rFonts w:hint="cs"/>
          <w:rtl/>
        </w:rPr>
        <w:t xml:space="preserve">(עי' אות </w:t>
      </w:r>
      <w:r w:rsidRPr="00F45A4B">
        <w:rPr>
          <w:rStyle w:val="aff6"/>
          <w:rtl/>
        </w:rPr>
        <w:fldChar w:fldCharType="begin"/>
      </w:r>
      <w:r w:rsidRPr="00F45A4B">
        <w:rPr>
          <w:rStyle w:val="aff6"/>
          <w:rtl/>
        </w:rPr>
        <w:instrText xml:space="preserve"> </w:instrText>
      </w:r>
      <w:r w:rsidRPr="00F45A4B">
        <w:rPr>
          <w:rStyle w:val="aff6"/>
          <w:rFonts w:hint="cs"/>
        </w:rPr>
        <w:instrText>REF</w:instrText>
      </w:r>
      <w:r w:rsidRPr="00F45A4B">
        <w:rPr>
          <w:rStyle w:val="aff6"/>
          <w:rFonts w:hint="cs"/>
          <w:rtl/>
        </w:rPr>
        <w:instrText xml:space="preserve"> _</w:instrText>
      </w:r>
      <w:r w:rsidRPr="00F45A4B">
        <w:rPr>
          <w:rStyle w:val="aff6"/>
          <w:rFonts w:hint="cs"/>
        </w:rPr>
        <w:instrText>Ref58875214 \r \h</w:instrText>
      </w:r>
      <w:r w:rsidRPr="00F45A4B">
        <w:rPr>
          <w:rStyle w:val="aff6"/>
          <w:rtl/>
        </w:rPr>
        <w:instrText xml:space="preserve"> </w:instrText>
      </w:r>
      <w:r w:rsidRPr="00F45A4B">
        <w:rPr>
          <w:rStyle w:val="aff6"/>
          <w:rtl/>
        </w:rPr>
      </w:r>
      <w:r w:rsidRPr="00F45A4B">
        <w:rPr>
          <w:rStyle w:val="aff6"/>
          <w:rtl/>
        </w:rPr>
        <w:fldChar w:fldCharType="separate"/>
      </w:r>
      <w:r w:rsidR="00265073">
        <w:rPr>
          <w:rStyle w:val="aff6"/>
          <w:cs/>
        </w:rPr>
        <w:t>‎</w:t>
      </w:r>
      <w:r w:rsidR="00265073">
        <w:rPr>
          <w:rStyle w:val="aff6"/>
          <w:rtl/>
        </w:rPr>
        <w:t>כח)</w:t>
      </w:r>
      <w:r w:rsidRPr="00F45A4B">
        <w:rPr>
          <w:rStyle w:val="aff6"/>
          <w:rtl/>
        </w:rPr>
        <w:fldChar w:fldCharType="end"/>
      </w:r>
      <w:r w:rsidRPr="00547558">
        <w:rPr>
          <w:rStyle w:val="afb"/>
          <w:rFonts w:hint="cs"/>
          <w:rtl/>
        </w:rPr>
        <w:t>]</w:t>
      </w:r>
      <w:r>
        <w:rPr>
          <w:rFonts w:hint="cs"/>
          <w:rtl/>
        </w:rPr>
        <w:t>, וא"כ אין לו את כח הטענה של המוכר, ואינו יכול לזכות מחמת הטענה של המוכר.</w:t>
      </w:r>
    </w:p>
    <w:p w:rsidR="0007171D" w:rsidRPr="006117E1" w:rsidRDefault="0007171D" w:rsidP="0007171D">
      <w:pPr>
        <w:pStyle w:val="a3"/>
      </w:pPr>
      <w:bookmarkStart w:id="8901" w:name="_Toc59025894"/>
      <w:r>
        <w:rPr>
          <w:rFonts w:hint="cs"/>
          <w:rtl/>
        </w:rPr>
        <w:t>ביאור הגרש"ר ברמב"ן דכשאומר שכך א"ל המוכר הוא מביא את דבריו לב"ד וזוכה מכח טענתו</w:t>
      </w:r>
      <w:bookmarkEnd w:id="8901"/>
    </w:p>
    <w:p w:rsidR="0007171D" w:rsidRPr="007A1DA8" w:rsidRDefault="0007171D" w:rsidP="007E4E81">
      <w:pPr>
        <w:pStyle w:val="a0"/>
        <w:rPr>
          <w:rtl/>
        </w:rPr>
      </w:pPr>
      <w:r>
        <w:rPr>
          <w:rFonts w:hint="cs"/>
          <w:rtl/>
        </w:rPr>
        <w:t xml:space="preserve">אבל אם אמר המחזיק רק שכך אמר לו המוכר, ביאר </w:t>
      </w:r>
      <w:r w:rsidRPr="00266814">
        <w:rPr>
          <w:rStyle w:val="af9"/>
          <w:rFonts w:hint="cs"/>
          <w:rtl/>
        </w:rPr>
        <w:t xml:space="preserve">בחי' רבי שמואל </w:t>
      </w:r>
      <w:r>
        <w:rPr>
          <w:rFonts w:hint="cs"/>
          <w:rtl/>
        </w:rPr>
        <w:t xml:space="preserve">דס"ל </w:t>
      </w:r>
      <w:r>
        <w:rPr>
          <w:rStyle w:val="af9"/>
          <w:rFonts w:hint="cs"/>
          <w:rtl/>
        </w:rPr>
        <w:t>ל</w:t>
      </w:r>
      <w:r w:rsidRPr="00266814">
        <w:rPr>
          <w:rStyle w:val="af9"/>
          <w:rFonts w:hint="cs"/>
          <w:rtl/>
        </w:rPr>
        <w:t>הרמב"ן</w:t>
      </w:r>
      <w:r>
        <w:rPr>
          <w:rFonts w:hint="cs"/>
          <w:rtl/>
        </w:rPr>
        <w:t xml:space="preserve"> </w:t>
      </w:r>
      <w:r w:rsidRPr="005C1C87">
        <w:rPr>
          <w:rStyle w:val="af7"/>
          <w:rFonts w:eastAsia="Guttman Hodes" w:hint="cs"/>
          <w:rtl/>
        </w:rPr>
        <w:t xml:space="preserve">(עי' אות </w:t>
      </w:r>
      <w:r w:rsidRPr="005C1C87">
        <w:rPr>
          <w:rStyle w:val="af7"/>
          <w:rFonts w:eastAsia="Guttman Hodes"/>
          <w:rtl/>
        </w:rPr>
        <w:fldChar w:fldCharType="begin"/>
      </w:r>
      <w:r w:rsidRPr="005C1C87">
        <w:rPr>
          <w:rStyle w:val="af7"/>
          <w:rFonts w:eastAsia="Guttman Hodes"/>
          <w:rtl/>
        </w:rPr>
        <w:instrText xml:space="preserve"> </w:instrText>
      </w:r>
      <w:r w:rsidRPr="005C1C87">
        <w:rPr>
          <w:rStyle w:val="af7"/>
          <w:rFonts w:eastAsia="Guttman Hodes" w:hint="cs"/>
        </w:rPr>
        <w:instrText>REF</w:instrText>
      </w:r>
      <w:r w:rsidRPr="005C1C87">
        <w:rPr>
          <w:rStyle w:val="af7"/>
          <w:rFonts w:eastAsia="Guttman Hodes" w:hint="cs"/>
          <w:rtl/>
        </w:rPr>
        <w:instrText xml:space="preserve"> _</w:instrText>
      </w:r>
      <w:r w:rsidRPr="005C1C87">
        <w:rPr>
          <w:rStyle w:val="af7"/>
          <w:rFonts w:eastAsia="Guttman Hodes" w:hint="cs"/>
        </w:rPr>
        <w:instrText>Ref58702147 \r \h</w:instrText>
      </w:r>
      <w:r w:rsidRPr="005C1C87">
        <w:rPr>
          <w:rStyle w:val="af7"/>
          <w:rFonts w:eastAsia="Guttman Hodes"/>
          <w:rtl/>
        </w:rPr>
        <w:instrText xml:space="preserve"> </w:instrText>
      </w:r>
      <w:r w:rsidRPr="005C1C87">
        <w:rPr>
          <w:rStyle w:val="af7"/>
          <w:rFonts w:eastAsia="Guttman Hodes"/>
          <w:rtl/>
        </w:rPr>
      </w:r>
      <w:r w:rsidRPr="005C1C87">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5C1C87">
        <w:rPr>
          <w:rStyle w:val="af7"/>
          <w:rFonts w:eastAsia="Guttman Hodes"/>
          <w:rtl/>
        </w:rPr>
        <w:fldChar w:fldCharType="end"/>
      </w:r>
      <w:r w:rsidRPr="005C1C87">
        <w:rPr>
          <w:rStyle w:val="af7"/>
          <w:rFonts w:eastAsia="Guttman Hodes" w:hint="cs"/>
          <w:rtl/>
        </w:rPr>
        <w:t xml:space="preserve"> </w:t>
      </w:r>
      <w:r>
        <w:rPr>
          <w:rFonts w:hint="cs"/>
          <w:rtl/>
        </w:rPr>
        <w:t xml:space="preserve">דאינו טוען טענה מצד עצמו, והוא רק מביא את טענת המוכר לב"ד, וכיון שיש למוכר עצמו כח לטעון את טענתו, לכן טענת המוכר מתקבלת בב"ד, וזוכה המחזיק מכח טענת המוכר. </w:t>
      </w:r>
    </w:p>
    <w:p w:rsidR="0007171D" w:rsidRPr="00221E05" w:rsidRDefault="0007171D" w:rsidP="0007171D">
      <w:pPr>
        <w:pStyle w:val="a3"/>
        <w:rPr>
          <w:rtl/>
        </w:rPr>
      </w:pPr>
      <w:bookmarkStart w:id="8902" w:name="_Toc59025895"/>
      <w:r>
        <w:rPr>
          <w:rFonts w:hint="cs"/>
          <w:rtl/>
        </w:rPr>
        <w:t>ביאור הגרש"ר בראב"ד דמיגו מחוץ לב"ד ל"מ דאינו מדייק ול"מ אף מיגו דמה לי לשקר</w:t>
      </w:r>
      <w:bookmarkEnd w:id="8902"/>
    </w:p>
    <w:p w:rsidR="0007171D" w:rsidRDefault="0007171D" w:rsidP="007E4E81">
      <w:pPr>
        <w:pStyle w:val="a0"/>
        <w:rPr>
          <w:rtl/>
        </w:rPr>
      </w:pPr>
      <w:r>
        <w:rPr>
          <w:rFonts w:hint="cs"/>
          <w:rtl/>
        </w:rPr>
        <w:t xml:space="preserve">ובדעת </w:t>
      </w:r>
      <w:r w:rsidRPr="00B12578">
        <w:rPr>
          <w:rStyle w:val="af9"/>
          <w:rFonts w:hint="cs"/>
          <w:rtl/>
        </w:rPr>
        <w:t>הראב"ד</w:t>
      </w:r>
      <w:r>
        <w:rPr>
          <w:rFonts w:hint="cs"/>
          <w:rtl/>
        </w:rPr>
        <w:t xml:space="preserve"> </w:t>
      </w:r>
      <w:r w:rsidRPr="0064594B">
        <w:rPr>
          <w:rStyle w:val="af7"/>
          <w:rFonts w:eastAsia="Guttman Hodes" w:hint="cs"/>
          <w:rtl/>
        </w:rPr>
        <w:t xml:space="preserve">(עי' אות </w:t>
      </w:r>
      <w:r w:rsidRPr="0064594B">
        <w:rPr>
          <w:rStyle w:val="af7"/>
          <w:rFonts w:eastAsia="Guttman Hodes"/>
          <w:rtl/>
        </w:rPr>
        <w:fldChar w:fldCharType="begin"/>
      </w:r>
      <w:r w:rsidRPr="0064594B">
        <w:rPr>
          <w:rStyle w:val="af7"/>
          <w:rFonts w:eastAsia="Guttman Hodes"/>
          <w:rtl/>
        </w:rPr>
        <w:instrText xml:space="preserve"> </w:instrText>
      </w:r>
      <w:r w:rsidRPr="0064594B">
        <w:rPr>
          <w:rStyle w:val="af7"/>
          <w:rFonts w:eastAsia="Guttman Hodes" w:hint="cs"/>
        </w:rPr>
        <w:instrText>REF</w:instrText>
      </w:r>
      <w:r w:rsidRPr="0064594B">
        <w:rPr>
          <w:rStyle w:val="af7"/>
          <w:rFonts w:eastAsia="Guttman Hodes" w:hint="cs"/>
          <w:rtl/>
        </w:rPr>
        <w:instrText xml:space="preserve"> _</w:instrText>
      </w:r>
      <w:r w:rsidRPr="0064594B">
        <w:rPr>
          <w:rStyle w:val="af7"/>
          <w:rFonts w:eastAsia="Guttman Hodes" w:hint="cs"/>
        </w:rPr>
        <w:instrText>Ref58702050 \r \h</w:instrText>
      </w:r>
      <w:r w:rsidRPr="0064594B">
        <w:rPr>
          <w:rStyle w:val="af7"/>
          <w:rFonts w:eastAsia="Guttman Hodes"/>
          <w:rtl/>
        </w:rPr>
        <w:instrText xml:space="preserve"> </w:instrText>
      </w:r>
      <w:r w:rsidRPr="0064594B">
        <w:rPr>
          <w:rStyle w:val="af7"/>
          <w:rFonts w:eastAsia="Guttman Hodes"/>
          <w:rtl/>
        </w:rPr>
      </w:r>
      <w:r w:rsidRPr="0064594B">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64594B">
        <w:rPr>
          <w:rStyle w:val="af7"/>
          <w:rFonts w:eastAsia="Guttman Hodes"/>
          <w:rtl/>
        </w:rPr>
        <w:fldChar w:fldCharType="end"/>
      </w:r>
      <w:r>
        <w:rPr>
          <w:rFonts w:hint="cs"/>
          <w:rtl/>
        </w:rPr>
        <w:t xml:space="preserve"> ביאר </w:t>
      </w:r>
      <w:r w:rsidRPr="00B12578">
        <w:rPr>
          <w:rStyle w:val="af9"/>
          <w:rFonts w:hint="cs"/>
          <w:rtl/>
        </w:rPr>
        <w:t>בחי' רבי שמואל</w:t>
      </w:r>
      <w:r>
        <w:rPr>
          <w:rFonts w:hint="cs"/>
          <w:rtl/>
        </w:rPr>
        <w:t xml:space="preserve"> </w:t>
      </w:r>
      <w:r w:rsidRPr="00266814">
        <w:rPr>
          <w:rStyle w:val="af7"/>
          <w:rFonts w:eastAsia="Guttman Hodes" w:hint="cs"/>
          <w:rtl/>
        </w:rPr>
        <w:t xml:space="preserve">(סי' כ"ב או' ו' ד"ה ובדעת הראב"ד) </w:t>
      </w:r>
      <w:r>
        <w:rPr>
          <w:rFonts w:hint="cs"/>
          <w:rtl/>
        </w:rPr>
        <w:t xml:space="preserve">דס"ל דהא דלא מהני מיגו חוץ לב"ד, הוא כיון דאדם אינו מדייק בטענתו מחוץ לב"ד, וא"כ אין לו מיגו כלל, ואין לו כל נאמנות אף מדין "מה לי לשקר", ואינו רק חסרון "בכח הטענה" של המיגו, ולכן ס"ל </w:t>
      </w:r>
      <w:r w:rsidRPr="00B12578">
        <w:rPr>
          <w:rStyle w:val="af9"/>
          <w:rFonts w:hint="cs"/>
          <w:rtl/>
        </w:rPr>
        <w:t>להראב"ד</w:t>
      </w:r>
      <w:r>
        <w:rPr>
          <w:rFonts w:hint="cs"/>
          <w:rtl/>
        </w:rPr>
        <w:t xml:space="preserve"> דאף אם הלוקח אינו מודה בעצמו, מ"מ לא מהני לו המיגו של המוכר, כיון שהוא מיגו מחוץ לב"ד.</w:t>
      </w:r>
    </w:p>
    <w:p w:rsidR="0007171D" w:rsidRDefault="0007171D" w:rsidP="0007171D">
      <w:pPr>
        <w:pStyle w:val="1"/>
        <w:rPr>
          <w:rtl/>
        </w:rPr>
      </w:pPr>
      <w:bookmarkStart w:id="8903" w:name="_Toc58843041"/>
      <w:bookmarkStart w:id="8904" w:name="_Toc58876249"/>
      <w:bookmarkStart w:id="8905" w:name="_Toc58877662"/>
      <w:bookmarkStart w:id="8906" w:name="_Toc58914721"/>
      <w:bookmarkStart w:id="8907" w:name="_Toc58926023"/>
      <w:bookmarkStart w:id="8908" w:name="_Toc58930099"/>
      <w:bookmarkStart w:id="8909" w:name="_Toc58938258"/>
      <w:bookmarkStart w:id="8910" w:name="_Toc59007073"/>
      <w:bookmarkStart w:id="8911" w:name="_Toc59013548"/>
      <w:bookmarkStart w:id="8912" w:name="_Toc59013796"/>
      <w:bookmarkStart w:id="8913" w:name="_Toc59025896"/>
      <w:r>
        <w:rPr>
          <w:rFonts w:hint="cs"/>
          <w:rtl/>
        </w:rPr>
        <w:t>ביאור האבאה"ז בראב"ד וברמב"ן</w:t>
      </w:r>
      <w:bookmarkEnd w:id="8903"/>
      <w:bookmarkEnd w:id="8904"/>
      <w:bookmarkEnd w:id="8905"/>
      <w:bookmarkEnd w:id="8906"/>
      <w:bookmarkEnd w:id="8907"/>
      <w:bookmarkEnd w:id="8908"/>
      <w:bookmarkEnd w:id="8909"/>
      <w:bookmarkEnd w:id="8910"/>
      <w:bookmarkEnd w:id="8911"/>
      <w:bookmarkEnd w:id="8912"/>
      <w:bookmarkEnd w:id="8913"/>
      <w:r w:rsidRPr="000A5867">
        <w:rPr>
          <w:rFonts w:hint="cs"/>
          <w:rtl/>
        </w:rPr>
        <w:t xml:space="preserve"> </w:t>
      </w:r>
      <w:r>
        <w:rPr>
          <w:rFonts w:hint="cs"/>
          <w:rtl/>
        </w:rPr>
        <w:t>בדין מיגו חוץ לב"ד</w:t>
      </w:r>
    </w:p>
    <w:p w:rsidR="0007171D" w:rsidRPr="009C7BE4" w:rsidRDefault="0007171D" w:rsidP="0007171D">
      <w:pPr>
        <w:pStyle w:val="a3"/>
        <w:rPr>
          <w:rtl/>
        </w:rPr>
      </w:pPr>
      <w:bookmarkStart w:id="8914" w:name="_Toc59025897"/>
      <w:r>
        <w:rPr>
          <w:rFonts w:hint="cs"/>
          <w:rtl/>
        </w:rPr>
        <w:t>ביאור האבהא"ז בראב"ד דחוץ לב"ד ל"מ מיגו דיתכן שהיו חוקרים אותו והיה מודה</w:t>
      </w:r>
      <w:bookmarkEnd w:id="8914"/>
    </w:p>
    <w:p w:rsidR="0007171D" w:rsidRDefault="0007171D" w:rsidP="007E4E81">
      <w:pPr>
        <w:pStyle w:val="a0"/>
        <w:rPr>
          <w:rtl/>
        </w:rPr>
      </w:pPr>
      <w:bookmarkStart w:id="8915" w:name="_Ref58923199"/>
      <w:r>
        <w:rPr>
          <w:rFonts w:hint="cs"/>
          <w:rtl/>
        </w:rPr>
        <w:t>במ"ש</w:t>
      </w:r>
      <w:r w:rsidRPr="00FE13BC">
        <w:rPr>
          <w:rFonts w:hint="cs"/>
          <w:rtl/>
        </w:rPr>
        <w:t xml:space="preserve"> </w:t>
      </w:r>
      <w:r w:rsidRPr="0064594B">
        <w:rPr>
          <w:rStyle w:val="af9"/>
          <w:rFonts w:hint="cs"/>
          <w:rtl/>
        </w:rPr>
        <w:t>הראב"ד</w:t>
      </w:r>
      <w:r w:rsidRPr="00FE13BC">
        <w:rPr>
          <w:rFonts w:hint="cs"/>
          <w:rtl/>
        </w:rPr>
        <w:t xml:space="preserve"> </w:t>
      </w:r>
      <w:r w:rsidRPr="0064594B">
        <w:rPr>
          <w:rStyle w:val="af7"/>
          <w:rFonts w:eastAsia="Guttman Hodes" w:hint="cs"/>
          <w:rtl/>
        </w:rPr>
        <w:t xml:space="preserve">(עי' אות </w:t>
      </w:r>
      <w:r w:rsidRPr="0064594B">
        <w:rPr>
          <w:rStyle w:val="af7"/>
          <w:rFonts w:eastAsia="Guttman Hodes"/>
          <w:rtl/>
        </w:rPr>
        <w:fldChar w:fldCharType="begin"/>
      </w:r>
      <w:r w:rsidRPr="0064594B">
        <w:rPr>
          <w:rStyle w:val="af7"/>
          <w:rFonts w:eastAsia="Guttman Hodes"/>
          <w:rtl/>
        </w:rPr>
        <w:instrText xml:space="preserve"> </w:instrText>
      </w:r>
      <w:r w:rsidRPr="0064594B">
        <w:rPr>
          <w:rStyle w:val="af7"/>
          <w:rFonts w:eastAsia="Guttman Hodes" w:hint="cs"/>
        </w:rPr>
        <w:instrText>REF</w:instrText>
      </w:r>
      <w:r w:rsidRPr="0064594B">
        <w:rPr>
          <w:rStyle w:val="af7"/>
          <w:rFonts w:eastAsia="Guttman Hodes" w:hint="cs"/>
          <w:rtl/>
        </w:rPr>
        <w:instrText xml:space="preserve"> _</w:instrText>
      </w:r>
      <w:r w:rsidRPr="0064594B">
        <w:rPr>
          <w:rStyle w:val="af7"/>
          <w:rFonts w:eastAsia="Guttman Hodes" w:hint="cs"/>
        </w:rPr>
        <w:instrText>Ref58702050 \r \h</w:instrText>
      </w:r>
      <w:r w:rsidRPr="0064594B">
        <w:rPr>
          <w:rStyle w:val="af7"/>
          <w:rFonts w:eastAsia="Guttman Hodes"/>
          <w:rtl/>
        </w:rPr>
        <w:instrText xml:space="preserve"> </w:instrText>
      </w:r>
      <w:r w:rsidRPr="0064594B">
        <w:rPr>
          <w:rStyle w:val="af7"/>
          <w:rFonts w:eastAsia="Guttman Hodes"/>
          <w:rtl/>
        </w:rPr>
      </w:r>
      <w:r w:rsidRPr="0064594B">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64594B">
        <w:rPr>
          <w:rStyle w:val="af7"/>
          <w:rFonts w:eastAsia="Guttman Hodes"/>
          <w:rtl/>
        </w:rPr>
        <w:fldChar w:fldCharType="end"/>
      </w:r>
      <w:r w:rsidRPr="00FE13BC">
        <w:rPr>
          <w:rFonts w:hint="cs"/>
          <w:rtl/>
        </w:rPr>
        <w:t xml:space="preserve"> ד</w:t>
      </w:r>
      <w:r>
        <w:rPr>
          <w:rFonts w:hint="cs"/>
          <w:rtl/>
        </w:rPr>
        <w:t xml:space="preserve">כשאומר המחזיק שקנה מהמוכר שאמר לו שקנה מהמערער, </w:t>
      </w:r>
      <w:r w:rsidRPr="00FE13BC">
        <w:rPr>
          <w:rFonts w:hint="cs"/>
          <w:rtl/>
        </w:rPr>
        <w:t xml:space="preserve">אינו נאמן מדין הפה שאסר, </w:t>
      </w:r>
      <w:r>
        <w:rPr>
          <w:rFonts w:hint="cs"/>
          <w:rtl/>
        </w:rPr>
        <w:t xml:space="preserve">דהא המחזיק אינו טוען מחמת שהוא עצמו יודע אלא מכח מה ששמע מהמוכר, ביאר </w:t>
      </w:r>
      <w:r w:rsidRPr="003E27D4">
        <w:rPr>
          <w:rStyle w:val="af9"/>
          <w:rFonts w:hint="cs"/>
          <w:rtl/>
        </w:rPr>
        <w:t>האבהא"ז</w:t>
      </w:r>
      <w:r>
        <w:rPr>
          <w:rFonts w:hint="cs"/>
          <w:rtl/>
        </w:rPr>
        <w:t xml:space="preserve"> </w:t>
      </w:r>
      <w:r w:rsidRPr="003E27D4">
        <w:rPr>
          <w:rStyle w:val="af7"/>
          <w:rFonts w:eastAsia="Guttman Hodes" w:hint="cs"/>
          <w:rtl/>
        </w:rPr>
        <w:t>(טו"נ פי"ד הי"ד ד"ה ונראה לבאר)</w:t>
      </w:r>
      <w:r>
        <w:rPr>
          <w:rFonts w:hint="cs"/>
          <w:rtl/>
        </w:rPr>
        <w:t xml:space="preserve"> דהא דתנן בכתובות </w:t>
      </w:r>
      <w:r w:rsidRPr="003E27D4">
        <w:rPr>
          <w:rStyle w:val="af7"/>
          <w:rFonts w:eastAsia="Guttman Hodes" w:hint="cs"/>
          <w:rtl/>
        </w:rPr>
        <w:t>(טו:)</w:t>
      </w:r>
      <w:r>
        <w:rPr>
          <w:rFonts w:hint="cs"/>
          <w:rtl/>
        </w:rPr>
        <w:t xml:space="preserve"> דהאומר שדה זו של אביך הייתה ולקחתיה ממנו נאמן מדין הפה שאסר, </w:t>
      </w:r>
      <w:r w:rsidRPr="00226D54">
        <w:rPr>
          <w:rStyle w:val="afb"/>
          <w:rFonts w:hint="cs"/>
          <w:rtl/>
        </w:rPr>
        <w:t>[</w:t>
      </w:r>
      <w:r>
        <w:rPr>
          <w:rStyle w:val="afb"/>
          <w:rFonts w:hint="cs"/>
          <w:rtl/>
        </w:rPr>
        <w:t>וכתב</w:t>
      </w:r>
      <w:r w:rsidRPr="00226D54">
        <w:rPr>
          <w:rStyle w:val="afb"/>
          <w:rFonts w:hint="cs"/>
          <w:rtl/>
        </w:rPr>
        <w:t xml:space="preserve"> </w:t>
      </w:r>
      <w:r w:rsidRPr="00226D54">
        <w:rPr>
          <w:rStyle w:val="affa"/>
          <w:rFonts w:hint="cs"/>
          <w:rtl/>
        </w:rPr>
        <w:t xml:space="preserve">הנתיה"מ </w:t>
      </w:r>
      <w:r w:rsidRPr="00226D54">
        <w:rPr>
          <w:rStyle w:val="aff6"/>
          <w:rFonts w:hint="cs"/>
          <w:rtl/>
        </w:rPr>
        <w:t xml:space="preserve">(עי' אות </w:t>
      </w:r>
      <w:r w:rsidRPr="00226D54">
        <w:rPr>
          <w:rStyle w:val="aff6"/>
          <w:rtl/>
        </w:rPr>
        <w:fldChar w:fldCharType="begin"/>
      </w:r>
      <w:r w:rsidRPr="00226D54">
        <w:rPr>
          <w:rStyle w:val="aff6"/>
          <w:rtl/>
        </w:rPr>
        <w:instrText xml:space="preserve"> </w:instrText>
      </w:r>
      <w:r w:rsidRPr="00226D54">
        <w:rPr>
          <w:rStyle w:val="aff6"/>
          <w:rFonts w:hint="cs"/>
        </w:rPr>
        <w:instrText>REF</w:instrText>
      </w:r>
      <w:r w:rsidRPr="00226D54">
        <w:rPr>
          <w:rStyle w:val="aff6"/>
          <w:rFonts w:hint="cs"/>
          <w:rtl/>
        </w:rPr>
        <w:instrText xml:space="preserve"> _</w:instrText>
      </w:r>
      <w:r w:rsidRPr="00226D54">
        <w:rPr>
          <w:rStyle w:val="aff6"/>
          <w:rFonts w:hint="cs"/>
        </w:rPr>
        <w:instrText>Ref59007970 \r \h</w:instrText>
      </w:r>
      <w:r w:rsidRPr="00226D54">
        <w:rPr>
          <w:rStyle w:val="aff6"/>
          <w:rtl/>
        </w:rPr>
        <w:instrText xml:space="preserve"> </w:instrText>
      </w:r>
      <w:r w:rsidRPr="00226D54">
        <w:rPr>
          <w:rStyle w:val="aff6"/>
          <w:rtl/>
        </w:rPr>
      </w:r>
      <w:r w:rsidRPr="00226D54">
        <w:rPr>
          <w:rStyle w:val="aff6"/>
          <w:rtl/>
        </w:rPr>
        <w:fldChar w:fldCharType="separate"/>
      </w:r>
      <w:r w:rsidR="00265073">
        <w:rPr>
          <w:rStyle w:val="aff6"/>
          <w:cs/>
        </w:rPr>
        <w:t>‎</w:t>
      </w:r>
      <w:r w:rsidR="00265073">
        <w:rPr>
          <w:rStyle w:val="aff6"/>
          <w:rtl/>
        </w:rPr>
        <w:t>מא)</w:t>
      </w:r>
      <w:r w:rsidRPr="00226D54">
        <w:rPr>
          <w:rStyle w:val="aff6"/>
          <w:rtl/>
        </w:rPr>
        <w:fldChar w:fldCharType="end"/>
      </w:r>
      <w:r w:rsidRPr="00226D54">
        <w:rPr>
          <w:rStyle w:val="afb"/>
          <w:rFonts w:hint="cs"/>
          <w:rtl/>
        </w:rPr>
        <w:t xml:space="preserve"> </w:t>
      </w:r>
      <w:r>
        <w:rPr>
          <w:rStyle w:val="afb"/>
          <w:rFonts w:hint="cs"/>
          <w:rtl/>
        </w:rPr>
        <w:t xml:space="preserve">דמוכח </w:t>
      </w:r>
      <w:r w:rsidRPr="00226D54">
        <w:rPr>
          <w:rStyle w:val="afb"/>
          <w:rFonts w:hint="cs"/>
          <w:rtl/>
        </w:rPr>
        <w:t>מהגמ' בכתובות דמהני מיגו מחוץ לב"ד],</w:t>
      </w:r>
      <w:r w:rsidRPr="00931889">
        <w:rPr>
          <w:rFonts w:hint="cs"/>
          <w:rtl/>
        </w:rPr>
        <w:t xml:space="preserve"> </w:t>
      </w:r>
      <w:r>
        <w:rPr>
          <w:rFonts w:hint="cs"/>
          <w:rtl/>
        </w:rPr>
        <w:t xml:space="preserve">ס"ל </w:t>
      </w:r>
      <w:r w:rsidRPr="00226D54">
        <w:rPr>
          <w:rStyle w:val="af9"/>
          <w:rFonts w:hint="cs"/>
          <w:rtl/>
        </w:rPr>
        <w:t>להר</w:t>
      </w:r>
      <w:r w:rsidRPr="0064594B">
        <w:rPr>
          <w:rStyle w:val="af9"/>
          <w:rFonts w:hint="cs"/>
          <w:rtl/>
        </w:rPr>
        <w:t>אב"ד</w:t>
      </w:r>
      <w:r w:rsidRPr="00FE13BC">
        <w:rPr>
          <w:rFonts w:hint="cs"/>
          <w:rtl/>
        </w:rPr>
        <w:t xml:space="preserve"> </w:t>
      </w:r>
      <w:r>
        <w:rPr>
          <w:rFonts w:hint="cs"/>
          <w:rtl/>
        </w:rPr>
        <w:t>דמוכח דאיירי שאמר כן בב"ד, דלשון הגמ' בכתובות דהוא אסרה והוא שרי שייך רק בב"ד, שהם מחליטים לפי הדיבור שלו אם הוא אסר או התיר, אבל מחוץ לב"ד לא שייך דין זה, דיתכן שאם היה אומר כן בב"ד היו הב"ד חוקרים אותו עד שהיה מודה שמה שאסר הוא אמת אבל מה שהתיר אינו אמת.</w:t>
      </w:r>
      <w:bookmarkEnd w:id="8915"/>
    </w:p>
    <w:p w:rsidR="0007171D" w:rsidRPr="00374CC5" w:rsidRDefault="0007171D" w:rsidP="0007171D">
      <w:pPr>
        <w:pStyle w:val="a3"/>
        <w:rPr>
          <w:rtl/>
        </w:rPr>
      </w:pPr>
      <w:bookmarkStart w:id="8916" w:name="_Toc59025898"/>
      <w:r>
        <w:rPr>
          <w:rFonts w:hint="cs"/>
          <w:rtl/>
        </w:rPr>
        <w:t>ביאור האבהא"ז ברמב"ן דאף אי ל"מ הפה שאסר חוץ לב"ד מ"מ יכול להאמין למוכר מדין מיגו</w:t>
      </w:r>
      <w:bookmarkEnd w:id="8916"/>
    </w:p>
    <w:p w:rsidR="0007171D" w:rsidRDefault="0007171D" w:rsidP="007E4E81">
      <w:pPr>
        <w:pStyle w:val="a0"/>
        <w:rPr>
          <w:rtl/>
        </w:rPr>
      </w:pPr>
      <w:bookmarkStart w:id="8917" w:name="_Ref58923135"/>
      <w:r>
        <w:rPr>
          <w:rFonts w:hint="cs"/>
          <w:rtl/>
        </w:rPr>
        <w:t xml:space="preserve">ובדעת </w:t>
      </w:r>
      <w:r w:rsidRPr="005C1C87">
        <w:rPr>
          <w:rStyle w:val="af9"/>
          <w:rFonts w:hint="cs"/>
          <w:rtl/>
        </w:rPr>
        <w:t>הרמב"ן</w:t>
      </w:r>
      <w:r>
        <w:rPr>
          <w:rFonts w:hint="cs"/>
          <w:rtl/>
        </w:rPr>
        <w:t xml:space="preserve"> </w:t>
      </w:r>
      <w:r w:rsidRPr="005C1C87">
        <w:rPr>
          <w:rStyle w:val="af7"/>
          <w:rFonts w:eastAsia="Guttman Hodes" w:hint="cs"/>
          <w:rtl/>
        </w:rPr>
        <w:t xml:space="preserve">(עי' אות </w:t>
      </w:r>
      <w:r w:rsidRPr="005C1C87">
        <w:rPr>
          <w:rStyle w:val="af7"/>
          <w:rFonts w:eastAsia="Guttman Hodes"/>
          <w:rtl/>
        </w:rPr>
        <w:fldChar w:fldCharType="begin"/>
      </w:r>
      <w:r w:rsidRPr="005C1C87">
        <w:rPr>
          <w:rStyle w:val="af7"/>
          <w:rFonts w:eastAsia="Guttman Hodes"/>
          <w:rtl/>
        </w:rPr>
        <w:instrText xml:space="preserve"> </w:instrText>
      </w:r>
      <w:r w:rsidRPr="005C1C87">
        <w:rPr>
          <w:rStyle w:val="af7"/>
          <w:rFonts w:eastAsia="Guttman Hodes" w:hint="cs"/>
        </w:rPr>
        <w:instrText>REF</w:instrText>
      </w:r>
      <w:r w:rsidRPr="005C1C87">
        <w:rPr>
          <w:rStyle w:val="af7"/>
          <w:rFonts w:eastAsia="Guttman Hodes" w:hint="cs"/>
          <w:rtl/>
        </w:rPr>
        <w:instrText xml:space="preserve"> _</w:instrText>
      </w:r>
      <w:r w:rsidRPr="005C1C87">
        <w:rPr>
          <w:rStyle w:val="af7"/>
          <w:rFonts w:eastAsia="Guttman Hodes" w:hint="cs"/>
        </w:rPr>
        <w:instrText>Ref58702147 \r \h</w:instrText>
      </w:r>
      <w:r w:rsidRPr="005C1C87">
        <w:rPr>
          <w:rStyle w:val="af7"/>
          <w:rFonts w:eastAsia="Guttman Hodes"/>
          <w:rtl/>
        </w:rPr>
        <w:instrText xml:space="preserve"> </w:instrText>
      </w:r>
      <w:r w:rsidRPr="005C1C87">
        <w:rPr>
          <w:rStyle w:val="af7"/>
          <w:rFonts w:eastAsia="Guttman Hodes"/>
          <w:rtl/>
        </w:rPr>
      </w:r>
      <w:r w:rsidRPr="005C1C87">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5C1C87">
        <w:rPr>
          <w:rStyle w:val="af7"/>
          <w:rFonts w:eastAsia="Guttman Hodes"/>
          <w:rtl/>
        </w:rPr>
        <w:fldChar w:fldCharType="end"/>
      </w:r>
      <w:r w:rsidRPr="005C1C87">
        <w:rPr>
          <w:rStyle w:val="af7"/>
          <w:rFonts w:eastAsia="Guttman Hodes" w:hint="cs"/>
          <w:rtl/>
        </w:rPr>
        <w:t xml:space="preserve"> </w:t>
      </w:r>
      <w:r>
        <w:rPr>
          <w:rFonts w:hint="cs"/>
          <w:rtl/>
        </w:rPr>
        <w:t xml:space="preserve">דפליג על </w:t>
      </w:r>
      <w:r w:rsidRPr="00232C44">
        <w:rPr>
          <w:rStyle w:val="af9"/>
          <w:rFonts w:hint="cs"/>
          <w:rtl/>
        </w:rPr>
        <w:t>הראב"ד</w:t>
      </w:r>
      <w:r>
        <w:rPr>
          <w:rFonts w:hint="cs"/>
          <w:rtl/>
        </w:rPr>
        <w:t xml:space="preserve">, כתב </w:t>
      </w:r>
      <w:r w:rsidRPr="00374CC5">
        <w:rPr>
          <w:rStyle w:val="af9"/>
          <w:rFonts w:hint="cs"/>
          <w:rtl/>
        </w:rPr>
        <w:t>האבהא"ז</w:t>
      </w:r>
      <w:r>
        <w:rPr>
          <w:rFonts w:hint="cs"/>
          <w:rtl/>
        </w:rPr>
        <w:t xml:space="preserve"> דאף דבתחילת דבריו כשהביא </w:t>
      </w:r>
      <w:r w:rsidRPr="005C1C87">
        <w:rPr>
          <w:rStyle w:val="af9"/>
          <w:rFonts w:hint="cs"/>
          <w:rtl/>
        </w:rPr>
        <w:t>הרמב"ן</w:t>
      </w:r>
      <w:r>
        <w:rPr>
          <w:rFonts w:hint="cs"/>
          <w:rtl/>
        </w:rPr>
        <w:t xml:space="preserve"> את דברי </w:t>
      </w:r>
      <w:r w:rsidRPr="00374CC5">
        <w:rPr>
          <w:rStyle w:val="af9"/>
          <w:rFonts w:hint="cs"/>
          <w:rtl/>
        </w:rPr>
        <w:t>הראב"ד</w:t>
      </w:r>
      <w:r>
        <w:rPr>
          <w:rFonts w:hint="cs"/>
          <w:rtl/>
        </w:rPr>
        <w:t xml:space="preserve"> נקט לשון של הפה שאסר, מ"מ כשנחלק על </w:t>
      </w:r>
      <w:r w:rsidRPr="00374CC5">
        <w:rPr>
          <w:rStyle w:val="af9"/>
          <w:rFonts w:hint="cs"/>
          <w:rtl/>
        </w:rPr>
        <w:t>הראב"ד</w:t>
      </w:r>
      <w:r>
        <w:rPr>
          <w:rFonts w:hint="cs"/>
          <w:rtl/>
        </w:rPr>
        <w:t xml:space="preserve"> נקט </w:t>
      </w:r>
      <w:r w:rsidRPr="00374CC5">
        <w:rPr>
          <w:rStyle w:val="af9"/>
          <w:rFonts w:hint="cs"/>
          <w:rtl/>
        </w:rPr>
        <w:t>הרמב"ן</w:t>
      </w:r>
      <w:r>
        <w:rPr>
          <w:rFonts w:hint="cs"/>
          <w:rtl/>
        </w:rPr>
        <w:t xml:space="preserve"> לשון מיגו ולא נקט לשון הפה שאסר, </w:t>
      </w:r>
      <w:r w:rsidRPr="0020182D">
        <w:rPr>
          <w:rStyle w:val="afb"/>
          <w:rFonts w:hint="cs"/>
          <w:rtl/>
        </w:rPr>
        <w:t xml:space="preserve">[ועי' בדברי </w:t>
      </w:r>
      <w:r w:rsidRPr="0020182D">
        <w:rPr>
          <w:rStyle w:val="affa"/>
          <w:rFonts w:hint="cs"/>
          <w:rtl/>
        </w:rPr>
        <w:t xml:space="preserve">המאירי </w:t>
      </w:r>
      <w:r w:rsidRPr="0020182D">
        <w:rPr>
          <w:rStyle w:val="aff6"/>
          <w:rFonts w:hint="cs"/>
          <w:rtl/>
        </w:rPr>
        <w:t xml:space="preserve">(עי' אות </w:t>
      </w:r>
      <w:r w:rsidRPr="0020182D">
        <w:rPr>
          <w:rStyle w:val="aff6"/>
          <w:rtl/>
        </w:rPr>
        <w:fldChar w:fldCharType="begin"/>
      </w:r>
      <w:r w:rsidRPr="0020182D">
        <w:rPr>
          <w:rStyle w:val="aff6"/>
          <w:rtl/>
        </w:rPr>
        <w:instrText xml:space="preserve"> </w:instrText>
      </w:r>
      <w:r w:rsidRPr="0020182D">
        <w:rPr>
          <w:rStyle w:val="aff6"/>
          <w:rFonts w:hint="cs"/>
        </w:rPr>
        <w:instrText>REF</w:instrText>
      </w:r>
      <w:r w:rsidRPr="0020182D">
        <w:rPr>
          <w:rStyle w:val="aff6"/>
          <w:rFonts w:hint="cs"/>
          <w:rtl/>
        </w:rPr>
        <w:instrText xml:space="preserve"> _</w:instrText>
      </w:r>
      <w:r w:rsidRPr="0020182D">
        <w:rPr>
          <w:rStyle w:val="aff6"/>
          <w:rFonts w:hint="cs"/>
        </w:rPr>
        <w:instrText>Ref59025453 \r \h</w:instrText>
      </w:r>
      <w:r w:rsidRPr="0020182D">
        <w:rPr>
          <w:rStyle w:val="aff6"/>
          <w:rtl/>
        </w:rPr>
        <w:instrText xml:space="preserve"> </w:instrText>
      </w:r>
      <w:r w:rsidRPr="0020182D">
        <w:rPr>
          <w:rStyle w:val="aff6"/>
          <w:rtl/>
        </w:rPr>
      </w:r>
      <w:r w:rsidRPr="0020182D">
        <w:rPr>
          <w:rStyle w:val="aff6"/>
          <w:rtl/>
        </w:rPr>
        <w:fldChar w:fldCharType="separate"/>
      </w:r>
      <w:r w:rsidR="00265073">
        <w:rPr>
          <w:rStyle w:val="aff6"/>
          <w:cs/>
        </w:rPr>
        <w:t>‎</w:t>
      </w:r>
      <w:r w:rsidR="00265073">
        <w:rPr>
          <w:rStyle w:val="aff6"/>
          <w:rtl/>
        </w:rPr>
        <w:t>לו)</w:t>
      </w:r>
      <w:r w:rsidRPr="0020182D">
        <w:rPr>
          <w:rStyle w:val="aff6"/>
          <w:rtl/>
        </w:rPr>
        <w:fldChar w:fldCharType="end"/>
      </w:r>
      <w:r w:rsidRPr="0020182D">
        <w:rPr>
          <w:rStyle w:val="afb"/>
          <w:rFonts w:hint="cs"/>
          <w:rtl/>
        </w:rPr>
        <w:t>],</w:t>
      </w:r>
      <w:r>
        <w:rPr>
          <w:rFonts w:hint="cs"/>
          <w:rtl/>
        </w:rPr>
        <w:t xml:space="preserve"> וביאר </w:t>
      </w:r>
      <w:r w:rsidRPr="00374CC5">
        <w:rPr>
          <w:rStyle w:val="af9"/>
          <w:rFonts w:hint="cs"/>
          <w:rtl/>
        </w:rPr>
        <w:t>האבהא"</w:t>
      </w:r>
      <w:r>
        <w:rPr>
          <w:rStyle w:val="af9"/>
          <w:rFonts w:hint="cs"/>
          <w:rtl/>
        </w:rPr>
        <w:t>ז</w:t>
      </w:r>
      <w:r>
        <w:rPr>
          <w:rFonts w:hint="cs"/>
          <w:rtl/>
        </w:rPr>
        <w:t xml:space="preserve"> דכוונת </w:t>
      </w:r>
      <w:r w:rsidRPr="00374CC5">
        <w:rPr>
          <w:rStyle w:val="af9"/>
          <w:rFonts w:hint="cs"/>
          <w:rtl/>
        </w:rPr>
        <w:t>הרמב"ן</w:t>
      </w:r>
      <w:r>
        <w:rPr>
          <w:rFonts w:hint="cs"/>
          <w:rtl/>
        </w:rPr>
        <w:t xml:space="preserve"> לומר דאף לפי דעת </w:t>
      </w:r>
      <w:r w:rsidRPr="00374CC5">
        <w:rPr>
          <w:rStyle w:val="af9"/>
          <w:rFonts w:hint="cs"/>
          <w:rtl/>
        </w:rPr>
        <w:t>הראב"ד</w:t>
      </w:r>
      <w:r>
        <w:rPr>
          <w:rFonts w:hint="cs"/>
          <w:rtl/>
        </w:rPr>
        <w:t xml:space="preserve"> </w:t>
      </w:r>
      <w:r w:rsidRPr="0064594B">
        <w:rPr>
          <w:rStyle w:val="af7"/>
          <w:rFonts w:eastAsia="Guttman Hodes" w:hint="cs"/>
          <w:rtl/>
        </w:rPr>
        <w:t xml:space="preserve">(עי' אות </w:t>
      </w:r>
      <w:r w:rsidRPr="0064594B">
        <w:rPr>
          <w:rStyle w:val="af7"/>
          <w:rFonts w:eastAsia="Guttman Hodes"/>
          <w:rtl/>
        </w:rPr>
        <w:fldChar w:fldCharType="begin"/>
      </w:r>
      <w:r w:rsidRPr="0064594B">
        <w:rPr>
          <w:rStyle w:val="af7"/>
          <w:rFonts w:eastAsia="Guttman Hodes"/>
          <w:rtl/>
        </w:rPr>
        <w:instrText xml:space="preserve"> </w:instrText>
      </w:r>
      <w:r w:rsidRPr="0064594B">
        <w:rPr>
          <w:rStyle w:val="af7"/>
          <w:rFonts w:eastAsia="Guttman Hodes" w:hint="cs"/>
        </w:rPr>
        <w:instrText>REF</w:instrText>
      </w:r>
      <w:r w:rsidRPr="0064594B">
        <w:rPr>
          <w:rStyle w:val="af7"/>
          <w:rFonts w:eastAsia="Guttman Hodes" w:hint="cs"/>
          <w:rtl/>
        </w:rPr>
        <w:instrText xml:space="preserve"> _</w:instrText>
      </w:r>
      <w:r w:rsidRPr="0064594B">
        <w:rPr>
          <w:rStyle w:val="af7"/>
          <w:rFonts w:eastAsia="Guttman Hodes" w:hint="cs"/>
        </w:rPr>
        <w:instrText>Ref58702050 \r \h</w:instrText>
      </w:r>
      <w:r w:rsidRPr="0064594B">
        <w:rPr>
          <w:rStyle w:val="af7"/>
          <w:rFonts w:eastAsia="Guttman Hodes"/>
          <w:rtl/>
        </w:rPr>
        <w:instrText xml:space="preserve"> </w:instrText>
      </w:r>
      <w:r w:rsidRPr="0064594B">
        <w:rPr>
          <w:rStyle w:val="af7"/>
          <w:rFonts w:eastAsia="Guttman Hodes"/>
          <w:rtl/>
        </w:rPr>
      </w:r>
      <w:r w:rsidRPr="0064594B">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64594B">
        <w:rPr>
          <w:rStyle w:val="af7"/>
          <w:rFonts w:eastAsia="Guttman Hodes"/>
          <w:rtl/>
        </w:rPr>
        <w:fldChar w:fldCharType="end"/>
      </w:r>
      <w:r w:rsidRPr="00FE13BC">
        <w:rPr>
          <w:rFonts w:hint="cs"/>
          <w:rtl/>
        </w:rPr>
        <w:t xml:space="preserve"> </w:t>
      </w:r>
      <w:r>
        <w:rPr>
          <w:rFonts w:hint="cs"/>
          <w:rtl/>
        </w:rPr>
        <w:t xml:space="preserve">דא"א לומר כאן הפה שאסר, כיון שאין המחזיק יודע מעצמו, מ"מ אפש"ל דין מיגו, דאעפ"י שהמחזיק היה צריך לקבל רק את מה שהודה לו </w:t>
      </w:r>
      <w:r>
        <w:rPr>
          <w:rFonts w:hint="cs"/>
          <w:rtl/>
        </w:rPr>
        <w:lastRenderedPageBreak/>
        <w:t>המוכר שהייתה של המערער, אך לא היה צריך להאמין לו על מה שאמר לו המוכר שהוא קנה מהמערער, מ"מ ע"י דין מיגו יכול המחזיק להאמין למוכר אף על מה שאמר שקנה מהמערער.</w:t>
      </w:r>
      <w:bookmarkEnd w:id="8917"/>
      <w:r>
        <w:rPr>
          <w:rFonts w:hint="cs"/>
          <w:rtl/>
        </w:rPr>
        <w:t>\</w:t>
      </w:r>
    </w:p>
    <w:p w:rsidR="0007171D" w:rsidRDefault="0007171D" w:rsidP="0007171D">
      <w:pPr>
        <w:pStyle w:val="afe"/>
        <w:rPr>
          <w:rtl/>
        </w:rPr>
      </w:pPr>
      <w:bookmarkStart w:id="8918" w:name="_Toc59025899"/>
      <w:bookmarkStart w:id="8919" w:name="_Toc58580030"/>
      <w:bookmarkStart w:id="8920" w:name="_Toc58843040"/>
      <w:bookmarkStart w:id="8921" w:name="_Toc58876248"/>
      <w:bookmarkStart w:id="8922" w:name="_Toc58877661"/>
      <w:bookmarkStart w:id="8923" w:name="_Toc58914720"/>
      <w:bookmarkStart w:id="8924" w:name="_Toc58926022"/>
      <w:bookmarkStart w:id="8925" w:name="_Toc58930098"/>
      <w:bookmarkStart w:id="8926" w:name="_Toc58938257"/>
      <w:bookmarkStart w:id="8927" w:name="_Toc59007072"/>
      <w:bookmarkStart w:id="8928" w:name="_Toc59013547"/>
      <w:bookmarkStart w:id="8929" w:name="_Toc59013795"/>
      <w:r>
        <w:rPr>
          <w:rFonts w:hint="cs"/>
          <w:rtl/>
        </w:rPr>
        <w:t>אי המחזיק גובה מעותיו מהמוכר</w:t>
      </w:r>
      <w:bookmarkEnd w:id="8918"/>
    </w:p>
    <w:p w:rsidR="0007171D" w:rsidRDefault="0007171D" w:rsidP="0007171D">
      <w:pPr>
        <w:pStyle w:val="1"/>
        <w:rPr>
          <w:rtl/>
        </w:rPr>
      </w:pPr>
      <w:bookmarkStart w:id="8930" w:name="_Toc59025900"/>
      <w:r>
        <w:rPr>
          <w:rFonts w:hint="cs"/>
          <w:rtl/>
        </w:rPr>
        <w:t>ביאור הגרש"ר ברשב"ם ורבינו יונה אי גובה מעות מהמוכר</w:t>
      </w:r>
      <w:bookmarkEnd w:id="8919"/>
      <w:bookmarkEnd w:id="8920"/>
      <w:bookmarkEnd w:id="8921"/>
      <w:bookmarkEnd w:id="8922"/>
      <w:bookmarkEnd w:id="8923"/>
      <w:bookmarkEnd w:id="8924"/>
      <w:bookmarkEnd w:id="8925"/>
      <w:bookmarkEnd w:id="8926"/>
      <w:bookmarkEnd w:id="8927"/>
      <w:bookmarkEnd w:id="8928"/>
      <w:bookmarkEnd w:id="8929"/>
      <w:bookmarkEnd w:id="8930"/>
    </w:p>
    <w:p w:rsidR="0007171D" w:rsidRDefault="0007171D" w:rsidP="0007171D">
      <w:pPr>
        <w:pStyle w:val="a3"/>
        <w:rPr>
          <w:rtl/>
        </w:rPr>
      </w:pPr>
      <w:bookmarkStart w:id="8931" w:name="_Toc59025901"/>
      <w:r>
        <w:rPr>
          <w:rFonts w:hint="cs"/>
          <w:rtl/>
        </w:rPr>
        <w:t>ביאור הגרש"ר ברבינו יונה דכל שאין בירור שהקרקע של המערער אין המוכר צריך לשלשם</w:t>
      </w:r>
      <w:bookmarkEnd w:id="8931"/>
    </w:p>
    <w:p w:rsidR="0007171D" w:rsidRDefault="0007171D" w:rsidP="007E4E81">
      <w:pPr>
        <w:pStyle w:val="a0"/>
        <w:rPr>
          <w:rtl/>
        </w:rPr>
      </w:pPr>
      <w:bookmarkStart w:id="8932" w:name="_Ref58538061"/>
      <w:r>
        <w:rPr>
          <w:rFonts w:hint="cs"/>
          <w:rtl/>
        </w:rPr>
        <w:t xml:space="preserve">במ"ש </w:t>
      </w:r>
      <w:r w:rsidRPr="002F529D">
        <w:rPr>
          <w:rStyle w:val="af9"/>
          <w:rFonts w:hint="cs"/>
          <w:rtl/>
        </w:rPr>
        <w:t>רבינו יונה</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Ref57823117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w:t>
      </w:r>
      <w:r>
        <w:rPr>
          <w:rStyle w:val="af7"/>
          <w:rFonts w:eastAsia="Guttman Hodes"/>
          <w:rtl/>
        </w:rPr>
        <w:fldChar w:fldCharType="end"/>
      </w:r>
      <w:r>
        <w:rPr>
          <w:rStyle w:val="af7"/>
          <w:rFonts w:eastAsia="Guttman Hodes" w:hint="cs"/>
          <w:rtl/>
        </w:rPr>
        <w:t xml:space="preserve"> </w:t>
      </w:r>
      <w:r>
        <w:rPr>
          <w:rFonts w:hint="cs"/>
          <w:rtl/>
        </w:rPr>
        <w:t xml:space="preserve">דהמחזיק אינו יכול לגבות מעותיו מהמוכר, דהמחזיק גרם לזה מה שהודה לו שהייתה שלו, ביאר </w:t>
      </w:r>
      <w:r w:rsidRPr="004F6E26">
        <w:rPr>
          <w:rStyle w:val="af9"/>
          <w:rFonts w:hint="cs"/>
          <w:rtl/>
        </w:rPr>
        <w:t>בשיעורי רבי שמואל</w:t>
      </w:r>
      <w:r>
        <w:rPr>
          <w:rFonts w:hint="cs"/>
          <w:rtl/>
        </w:rPr>
        <w:t xml:space="preserve"> </w:t>
      </w:r>
      <w:r w:rsidRPr="00B12578">
        <w:rPr>
          <w:rStyle w:val="af7"/>
          <w:rFonts w:eastAsia="Guttman Hodes" w:hint="cs"/>
          <w:rtl/>
        </w:rPr>
        <w:t>(או' י"א)</w:t>
      </w:r>
      <w:r>
        <w:rPr>
          <w:rFonts w:hint="cs"/>
          <w:rtl/>
        </w:rPr>
        <w:t xml:space="preserve"> דהא דמעמידים את הקרקע בחזקת מרא קמא, אינו מחמת דהמרא קמא הוא ודאי הבעלים, אלא דכל שיש ספק מעמידים בידו המרא קמא מספק, כיון שהמחזיק אינו מוחזק, וכיון שאין כאן בירור שמכוחו הוציאו את הקרקע מהמוחזק, לכן א"א להוציא את המעות מהמוכר, ואף שטוען הלוקח דכל שמוציאין את הקרקע ממנו, הוא מקח טעות גמור, מ"מ אומר לו המערער דאתה הפסדת לעצמך, במה שהודת למערער דהקרקע הייתה שלו.</w:t>
      </w:r>
      <w:bookmarkEnd w:id="8932"/>
    </w:p>
    <w:p w:rsidR="0007171D" w:rsidRDefault="0007171D" w:rsidP="0007171D">
      <w:pPr>
        <w:pStyle w:val="a3"/>
        <w:rPr>
          <w:rtl/>
        </w:rPr>
      </w:pPr>
      <w:bookmarkStart w:id="8933" w:name="_Toc59025902"/>
      <w:r>
        <w:rPr>
          <w:rFonts w:hint="cs"/>
          <w:rtl/>
        </w:rPr>
        <w:t>ביאור הגרש"ר ברשב"ם דהמוכר אינו יכול לומר למחזיק שהפסיד לעצמו דמאי הו"ל למעבד</w:t>
      </w:r>
      <w:bookmarkEnd w:id="8933"/>
    </w:p>
    <w:p w:rsidR="0007171D" w:rsidRPr="004A5AF7" w:rsidRDefault="0007171D" w:rsidP="007E4E81">
      <w:pPr>
        <w:pStyle w:val="a0"/>
        <w:rPr>
          <w:rtl/>
        </w:rPr>
        <w:sectPr w:rsidR="0007171D" w:rsidRPr="004A5AF7" w:rsidSect="005049E2">
          <w:type w:val="continuous"/>
          <w:pgSz w:w="11906" w:h="16838"/>
          <w:pgMar w:top="720" w:right="720" w:bottom="720" w:left="720" w:header="283" w:footer="283" w:gutter="0"/>
          <w:cols w:num="2" w:space="567"/>
          <w:titlePg/>
          <w:bidi/>
          <w:rtlGutter/>
          <w:docGrid w:linePitch="299"/>
        </w:sectPr>
      </w:pPr>
      <w:bookmarkStart w:id="8934" w:name="_Ref58537909"/>
      <w:bookmarkStart w:id="8935" w:name="_Ref59025711"/>
      <w:r>
        <w:rPr>
          <w:rFonts w:hint="cs"/>
          <w:rtl/>
        </w:rPr>
        <w:t xml:space="preserve">ובדעת </w:t>
      </w:r>
      <w:r w:rsidRPr="00B12578">
        <w:rPr>
          <w:rStyle w:val="af9"/>
          <w:rFonts w:hint="cs"/>
          <w:rtl/>
        </w:rPr>
        <w:t>הרשב"ם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Ref59025685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Pr>
          <w:rStyle w:val="af7"/>
          <w:rFonts w:eastAsia="Guttman Hodes"/>
          <w:rtl/>
        </w:rPr>
        <w:fldChar w:fldCharType="end"/>
      </w:r>
      <w:r>
        <w:rPr>
          <w:rStyle w:val="af7"/>
          <w:rFonts w:eastAsia="Guttman Hodes" w:hint="cs"/>
          <w:rtl/>
        </w:rPr>
        <w:t xml:space="preserve"> </w:t>
      </w:r>
      <w:r>
        <w:rPr>
          <w:rFonts w:hint="cs"/>
          <w:rtl/>
        </w:rPr>
        <w:t xml:space="preserve">דס"ל דהמחזיק גובה את מעותיו מהמוכר, ביאר </w:t>
      </w:r>
      <w:r w:rsidRPr="00B12578">
        <w:rPr>
          <w:rStyle w:val="af9"/>
          <w:rFonts w:hint="cs"/>
          <w:rtl/>
        </w:rPr>
        <w:t>בשיעורי רבי שמואל</w:t>
      </w:r>
      <w:r>
        <w:rPr>
          <w:rFonts w:hint="cs"/>
          <w:rtl/>
        </w:rPr>
        <w:t xml:space="preserve"> דס"ל דכיון שהמחזיק הודה על האמת, אין המוכר יכול לומר לו שהפסיד לעצמו, דהא מאי הו"ל למעבד</w:t>
      </w:r>
      <w:bookmarkEnd w:id="8934"/>
      <w:r>
        <w:rPr>
          <w:rFonts w:hint="cs"/>
          <w:rtl/>
        </w:rPr>
        <w:t>.</w:t>
      </w:r>
      <w:bookmarkEnd w:id="8935"/>
    </w:p>
    <w:p w:rsidR="0007171D" w:rsidRDefault="0007171D" w:rsidP="0007171D">
      <w:pPr>
        <w:tabs>
          <w:tab w:val="left" w:pos="1163"/>
        </w:tabs>
        <w:spacing w:after="120" w:line="240" w:lineRule="auto"/>
        <w:ind w:left="0"/>
        <w:rPr>
          <w:rFonts w:ascii="Guttman Hodes" w:eastAsia="Guttman Hodes" w:hAnsi="Guttman Hodes" w:cs="Guttman Hodes"/>
          <w:noProof/>
          <w:sz w:val="18"/>
          <w:szCs w:val="18"/>
        </w:rPr>
        <w:sectPr w:rsidR="0007171D" w:rsidSect="00AE06CB">
          <w:type w:val="continuous"/>
          <w:pgSz w:w="11906" w:h="16838"/>
          <w:pgMar w:top="720" w:right="720" w:bottom="720" w:left="720" w:header="283" w:footer="283" w:gutter="0"/>
          <w:cols w:space="567"/>
          <w:bidi/>
          <w:rtlGutter/>
          <w:docGrid w:linePitch="299"/>
        </w:sectPr>
      </w:pPr>
    </w:p>
    <w:p w:rsidR="0007171D" w:rsidRPr="00325661" w:rsidRDefault="0007171D" w:rsidP="007E4E81">
      <w:pPr>
        <w:pStyle w:val="a0"/>
        <w:sectPr w:rsidR="0007171D" w:rsidRPr="00325661" w:rsidSect="005049E2">
          <w:footerReference w:type="default" r:id="rId70"/>
          <w:type w:val="continuous"/>
          <w:pgSz w:w="11906" w:h="16838"/>
          <w:pgMar w:top="720" w:right="720" w:bottom="720" w:left="720" w:header="283" w:footer="283" w:gutter="0"/>
          <w:cols w:num="2" w:space="567"/>
          <w:titlePg/>
          <w:bidi/>
          <w:rtlGutter/>
          <w:docGrid w:linePitch="299"/>
        </w:sectPr>
      </w:pPr>
    </w:p>
    <w:p w:rsidR="000E75A3" w:rsidRDefault="000E75A3" w:rsidP="00E6248B">
      <w:pPr>
        <w:pStyle w:val="afd"/>
        <w:rPr>
          <w:rtl/>
        </w:rPr>
      </w:pPr>
      <w:bookmarkStart w:id="8936" w:name="_Toc58432650"/>
      <w:bookmarkStart w:id="8937" w:name="_Toc58532464"/>
      <w:bookmarkStart w:id="8938" w:name="_Toc58580083"/>
      <w:bookmarkStart w:id="8939" w:name="_Toc59113206"/>
      <w:bookmarkStart w:id="8940" w:name="_Toc59136918"/>
      <w:bookmarkStart w:id="8941" w:name="_Toc59361606"/>
      <w:bookmarkStart w:id="8942" w:name="_Toc59464618"/>
      <w:bookmarkStart w:id="8943" w:name="_Toc59490077"/>
      <w:bookmarkStart w:id="8944" w:name="_Toc59620240"/>
      <w:bookmarkStart w:id="8945" w:name="_Toc59643507"/>
      <w:bookmarkStart w:id="8946" w:name="_Toc59741570"/>
      <w:bookmarkStart w:id="8947" w:name="_Toc59786694"/>
      <w:bookmarkStart w:id="8948" w:name="_Toc59802508"/>
      <w:bookmarkStart w:id="8949" w:name="_Toc59916068"/>
      <w:bookmarkStart w:id="8950" w:name="_Toc66209210"/>
      <w:r w:rsidRPr="00C03D92">
        <w:rPr>
          <w:rFonts w:hint="cs"/>
          <w:rtl/>
        </w:rPr>
        <w:lastRenderedPageBreak/>
        <w:t xml:space="preserve">סימן </w:t>
      </w:r>
      <w:r>
        <w:rPr>
          <w:rFonts w:hint="cs"/>
          <w:rtl/>
        </w:rPr>
        <w:t>ט'</w:t>
      </w:r>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p>
    <w:p w:rsidR="000E75A3" w:rsidRDefault="000E75A3" w:rsidP="00E6248B">
      <w:pPr>
        <w:pStyle w:val="afd"/>
        <w:rPr>
          <w:rFonts w:ascii="FrankRuehl" w:hAnsi="FrankRuehl"/>
          <w:b/>
          <w:noProof/>
          <w:rtl/>
        </w:rPr>
      </w:pPr>
      <w:bookmarkStart w:id="8951" w:name="_Toc59136919"/>
      <w:bookmarkStart w:id="8952" w:name="_Toc59361607"/>
      <w:bookmarkStart w:id="8953" w:name="_Toc59464619"/>
      <w:bookmarkStart w:id="8954" w:name="_Toc59490078"/>
      <w:bookmarkStart w:id="8955" w:name="_Toc59620241"/>
      <w:bookmarkStart w:id="8956" w:name="_Toc59643508"/>
      <w:bookmarkStart w:id="8957" w:name="_Toc59741571"/>
      <w:bookmarkStart w:id="8958" w:name="_Toc59786695"/>
      <w:bookmarkStart w:id="8959" w:name="_Toc59802509"/>
      <w:bookmarkStart w:id="8960" w:name="_Toc59916069"/>
      <w:bookmarkStart w:id="8961" w:name="_Toc66209211"/>
      <w:r>
        <w:rPr>
          <w:rFonts w:ascii="FrankRuehl" w:hAnsi="FrankRuehl" w:hint="cs"/>
          <w:b/>
          <w:noProof/>
          <w:rtl/>
        </w:rPr>
        <w:t>בסוגיא דלאו קא מודית (ב')</w:t>
      </w:r>
      <w:bookmarkEnd w:id="8951"/>
      <w:bookmarkEnd w:id="8952"/>
      <w:bookmarkEnd w:id="8953"/>
      <w:bookmarkEnd w:id="8954"/>
      <w:bookmarkEnd w:id="8955"/>
      <w:bookmarkEnd w:id="8956"/>
      <w:bookmarkEnd w:id="8957"/>
      <w:bookmarkEnd w:id="8958"/>
      <w:bookmarkEnd w:id="8959"/>
      <w:bookmarkEnd w:id="8960"/>
      <w:bookmarkEnd w:id="8961"/>
    </w:p>
    <w:p w:rsidR="000E75A3" w:rsidRPr="008A6270" w:rsidRDefault="000E75A3" w:rsidP="00E6248B">
      <w:pPr>
        <w:pStyle w:val="afd"/>
        <w:rPr>
          <w:rtl/>
        </w:rPr>
      </w:pPr>
      <w:bookmarkStart w:id="8962" w:name="_Toc59136920"/>
      <w:bookmarkStart w:id="8963" w:name="_Toc59361608"/>
      <w:bookmarkStart w:id="8964" w:name="_Toc59464620"/>
      <w:bookmarkStart w:id="8965" w:name="_Toc59490079"/>
      <w:bookmarkStart w:id="8966" w:name="_Toc59620242"/>
      <w:bookmarkStart w:id="8967" w:name="_Toc59643509"/>
      <w:bookmarkStart w:id="8968" w:name="_Toc59741572"/>
      <w:bookmarkStart w:id="8969" w:name="_Toc59786696"/>
      <w:bookmarkStart w:id="8970" w:name="_Toc59802510"/>
      <w:bookmarkStart w:id="8971" w:name="_Toc59916070"/>
      <w:bookmarkStart w:id="8972" w:name="_Toc66209212"/>
      <w:r w:rsidRPr="00960544">
        <w:rPr>
          <w:rtl/>
        </w:rPr>
        <w:t>בהביא המחזיק עדים דהמוכר</w:t>
      </w:r>
      <w:r w:rsidRPr="0069448D">
        <w:rPr>
          <w:rtl/>
        </w:rPr>
        <w:t xml:space="preserve"> </w:t>
      </w:r>
      <w:r w:rsidRPr="00960544">
        <w:rPr>
          <w:rtl/>
        </w:rPr>
        <w:t xml:space="preserve">דר חד יומא או דטוען </w:t>
      </w:r>
      <w:r>
        <w:rPr>
          <w:rFonts w:hint="cs"/>
          <w:rtl/>
        </w:rPr>
        <w:t>המחזיק קמי דידי זבנה מינך</w:t>
      </w:r>
      <w:bookmarkEnd w:id="8962"/>
      <w:bookmarkEnd w:id="8963"/>
      <w:bookmarkEnd w:id="8964"/>
      <w:bookmarkEnd w:id="8965"/>
      <w:bookmarkEnd w:id="8966"/>
      <w:bookmarkEnd w:id="8967"/>
      <w:bookmarkEnd w:id="8968"/>
      <w:bookmarkEnd w:id="8969"/>
      <w:bookmarkEnd w:id="8970"/>
      <w:bookmarkEnd w:id="8971"/>
      <w:bookmarkEnd w:id="8972"/>
    </w:p>
    <w:p w:rsidR="000E75A3" w:rsidRDefault="000B328B" w:rsidP="000E75A3">
      <w:pPr>
        <w:pStyle w:val="aff4"/>
        <w:rPr>
          <w:rtl/>
        </w:rPr>
        <w:sectPr w:rsidR="000E75A3" w:rsidSect="000E75A3">
          <w:headerReference w:type="default" r:id="rId71"/>
          <w:headerReference w:type="first" r:id="rId72"/>
          <w:footerReference w:type="first" r:id="rId73"/>
          <w:pgSz w:w="11906" w:h="16838"/>
          <w:pgMar w:top="720" w:right="720" w:bottom="720" w:left="720" w:header="283" w:footer="283" w:gutter="0"/>
          <w:cols w:space="113"/>
          <w:bidi/>
          <w:rtlGutter/>
          <w:docGrid w:linePitch="299"/>
        </w:sectPr>
      </w:pPr>
      <w:r>
        <w:rPr>
          <w:rFonts w:hint="cs"/>
          <w:rtl/>
        </w:rPr>
        <w:t xml:space="preserve">~~~~~~~ תוכן הענינים ~~~~~~~ </w:t>
      </w:r>
    </w:p>
    <w:p w:rsidR="000E75A3" w:rsidRDefault="000E75A3" w:rsidP="000E75A3">
      <w:pPr>
        <w:pStyle w:val="2"/>
        <w:rPr>
          <w:rFonts w:eastAsiaTheme="minorEastAsia" w:cstheme="minorBidi"/>
          <w:i/>
          <w:iCs/>
          <w:sz w:val="22"/>
          <w:szCs w:val="22"/>
          <w:rtl/>
        </w:rPr>
      </w:pPr>
      <w:r>
        <w:rPr>
          <w:rFonts w:asciiTheme="minorHAnsi" w:eastAsiaTheme="minorHAnsi" w:hAnsiTheme="minorHAnsi" w:cstheme="minorHAnsi"/>
          <w:i/>
          <w:iCs/>
          <w:noProof w:val="0"/>
          <w:sz w:val="20"/>
          <w:szCs w:val="20"/>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Theme="minorHAnsi" w:eastAsiaTheme="minorHAnsi" w:hAnsiTheme="minorHAnsi" w:cstheme="minorHAnsi"/>
          <w:i/>
          <w:iCs/>
          <w:noProof w:val="0"/>
          <w:sz w:val="20"/>
          <w:szCs w:val="20"/>
          <w:rtl/>
        </w:rPr>
        <w:fldChar w:fldCharType="separate"/>
      </w:r>
      <w:r>
        <w:rPr>
          <w:rtl/>
        </w:rPr>
        <w:t>בעיקר דין עידי חד יומא בגמ' לקמן</w:t>
      </w:r>
    </w:p>
    <w:p w:rsidR="000E75A3" w:rsidRDefault="000E75A3" w:rsidP="000E75A3">
      <w:pPr>
        <w:pStyle w:val="aff4"/>
        <w:rPr>
          <w:rFonts w:eastAsiaTheme="minorEastAsia" w:cstheme="minorBidi"/>
          <w:i/>
          <w:iCs/>
          <w:noProof/>
          <w:sz w:val="22"/>
          <w:szCs w:val="22"/>
          <w:rtl/>
        </w:rPr>
      </w:pPr>
      <w:r>
        <w:rPr>
          <w:noProof/>
          <w:rtl/>
        </w:rPr>
        <w:t>דברי הרשב"ם דעידי חד יומא הם לאמת דבריו וטענינן ליה</w:t>
      </w:r>
    </w:p>
    <w:p w:rsidR="000E75A3" w:rsidRPr="007E4E81" w:rsidRDefault="000E75A3" w:rsidP="00BA3263">
      <w:pPr>
        <w:pStyle w:val="a"/>
        <w:numPr>
          <w:ilvl w:val="0"/>
          <w:numId w:val="19"/>
        </w:numPr>
        <w:rPr>
          <w:rFonts w:eastAsiaTheme="minorEastAsia" w:cstheme="minorBidi"/>
          <w:sz w:val="22"/>
          <w:szCs w:val="22"/>
          <w:rtl/>
        </w:rPr>
      </w:pPr>
      <w:r>
        <w:rPr>
          <w:rtl/>
        </w:rPr>
        <w:t>דברי הרשב"ם לקמן דעידי חד יומא הם בכדי לאמת דבריו שקנה מהמערער וטענינן ליה דקנה</w:t>
      </w:r>
    </w:p>
    <w:p w:rsidR="000E75A3" w:rsidRDefault="000E75A3" w:rsidP="007E4E81">
      <w:pPr>
        <w:pStyle w:val="a"/>
        <w:rPr>
          <w:rFonts w:eastAsiaTheme="minorEastAsia" w:cstheme="minorBidi"/>
          <w:sz w:val="22"/>
          <w:szCs w:val="22"/>
          <w:rtl/>
        </w:rPr>
      </w:pPr>
      <w:r>
        <w:rPr>
          <w:rtl/>
        </w:rPr>
        <w:t>דברי רבינו גרשום לקמן דעידי חד יומא הם בכדי לאמת את דברי המחזיק ולהעמידה בידו</w:t>
      </w:r>
    </w:p>
    <w:p w:rsidR="000E75A3" w:rsidRDefault="000E75A3" w:rsidP="000E75A3">
      <w:pPr>
        <w:pStyle w:val="aff4"/>
        <w:rPr>
          <w:rFonts w:eastAsiaTheme="minorEastAsia" w:cstheme="minorBidi"/>
          <w:i/>
          <w:iCs/>
          <w:noProof/>
          <w:sz w:val="22"/>
          <w:szCs w:val="22"/>
          <w:rtl/>
        </w:rPr>
      </w:pPr>
      <w:r>
        <w:rPr>
          <w:noProof/>
          <w:rtl/>
        </w:rPr>
        <w:t>דברי הרמב"ן דחד יומא הוא רגל"ד דקנה ובלא"ה נראה כמשקר</w:t>
      </w:r>
    </w:p>
    <w:p w:rsidR="000E75A3" w:rsidRDefault="000E75A3" w:rsidP="007E4E81">
      <w:pPr>
        <w:pStyle w:val="a"/>
        <w:rPr>
          <w:rFonts w:eastAsiaTheme="minorEastAsia" w:cstheme="minorBidi"/>
          <w:sz w:val="22"/>
          <w:szCs w:val="22"/>
          <w:rtl/>
        </w:rPr>
      </w:pPr>
      <w:r>
        <w:rPr>
          <w:rtl/>
        </w:rPr>
        <w:t>דברי הרמב"ן לקמן דבעידי חד יומא רגלים לדבר שהמוכר קנה ובלא"ה הוא מיחזי כשיקרא</w:t>
      </w:r>
    </w:p>
    <w:p w:rsidR="000E75A3" w:rsidRDefault="000E75A3" w:rsidP="000E75A3">
      <w:pPr>
        <w:pStyle w:val="aff4"/>
        <w:rPr>
          <w:rFonts w:eastAsiaTheme="minorEastAsia" w:cstheme="minorBidi"/>
          <w:i/>
          <w:iCs/>
          <w:noProof/>
          <w:sz w:val="22"/>
          <w:szCs w:val="22"/>
          <w:rtl/>
        </w:rPr>
      </w:pPr>
      <w:r>
        <w:rPr>
          <w:noProof/>
          <w:rtl/>
        </w:rPr>
        <w:t>ביאור רבינו יונה דעידי חד יומא הם אמתלא למחזיק</w:t>
      </w:r>
    </w:p>
    <w:p w:rsidR="000E75A3" w:rsidRDefault="000E75A3" w:rsidP="007E4E81">
      <w:pPr>
        <w:pStyle w:val="a"/>
        <w:rPr>
          <w:rFonts w:eastAsiaTheme="minorEastAsia" w:cstheme="minorBidi"/>
          <w:sz w:val="22"/>
          <w:szCs w:val="22"/>
          <w:rtl/>
        </w:rPr>
      </w:pPr>
      <w:r>
        <w:rPr>
          <w:rtl/>
        </w:rPr>
        <w:t>דברי רבינו יונה דבחד יומא יש אמתלא שמסייעת ליורש וא"צ טענה דמסתמא קנאה מהמר"ק</w:t>
      </w:r>
    </w:p>
    <w:p w:rsidR="000E75A3" w:rsidRDefault="000E75A3" w:rsidP="007E4E81">
      <w:pPr>
        <w:pStyle w:val="a"/>
        <w:rPr>
          <w:rFonts w:eastAsiaTheme="minorEastAsia" w:cstheme="minorBidi"/>
          <w:sz w:val="22"/>
          <w:szCs w:val="22"/>
          <w:rtl/>
        </w:rPr>
      </w:pPr>
      <w:r>
        <w:rPr>
          <w:rtl/>
        </w:rPr>
        <w:t>דברי היד רמ"ה לקמן דבחד יומא אפש"ל דמכר לו באותו יום וחשיב בחזקתו ולכן טענינן ליה</w:t>
      </w:r>
    </w:p>
    <w:p w:rsidR="000E75A3" w:rsidRDefault="000E75A3" w:rsidP="000E75A3">
      <w:pPr>
        <w:pStyle w:val="aff4"/>
        <w:rPr>
          <w:rFonts w:eastAsiaTheme="minorEastAsia" w:cstheme="minorBidi"/>
          <w:i/>
          <w:iCs/>
          <w:noProof/>
          <w:sz w:val="22"/>
          <w:szCs w:val="22"/>
          <w:rtl/>
        </w:rPr>
      </w:pPr>
      <w:r>
        <w:rPr>
          <w:noProof/>
          <w:rtl/>
        </w:rPr>
        <w:t>הבי' הא' במאירי דבחד יומא תחילת חזקת ג"ש ע"י המוכר</w:t>
      </w:r>
    </w:p>
    <w:p w:rsidR="000E75A3" w:rsidRDefault="000E75A3" w:rsidP="007E4E81">
      <w:pPr>
        <w:pStyle w:val="a"/>
        <w:rPr>
          <w:rFonts w:eastAsiaTheme="minorEastAsia" w:cstheme="minorBidi"/>
          <w:sz w:val="22"/>
          <w:szCs w:val="22"/>
          <w:rtl/>
        </w:rPr>
      </w:pPr>
      <w:r>
        <w:rPr>
          <w:rtl/>
        </w:rPr>
        <w:t>הביאור הא' במאירי לקמן דבעידי חד יומא תחילת חזקת המחזיק היא ע"י המוכר בחד יומא</w:t>
      </w:r>
    </w:p>
    <w:p w:rsidR="000E75A3" w:rsidRDefault="000E75A3" w:rsidP="000E75A3">
      <w:pPr>
        <w:pStyle w:val="aff4"/>
        <w:rPr>
          <w:rFonts w:eastAsiaTheme="minorEastAsia" w:cstheme="minorBidi"/>
          <w:i/>
          <w:iCs/>
          <w:noProof/>
          <w:sz w:val="22"/>
          <w:szCs w:val="22"/>
          <w:rtl/>
        </w:rPr>
      </w:pPr>
      <w:r>
        <w:rPr>
          <w:noProof/>
          <w:rtl/>
        </w:rPr>
        <w:t>הבי' הב' במאירי דבחד יומא נראה כבעלים ולא פשע המחזיק</w:t>
      </w:r>
    </w:p>
    <w:p w:rsidR="000E75A3" w:rsidRDefault="000E75A3" w:rsidP="007E4E81">
      <w:pPr>
        <w:pStyle w:val="a"/>
        <w:rPr>
          <w:rFonts w:eastAsiaTheme="minorEastAsia" w:cstheme="minorBidi"/>
          <w:sz w:val="22"/>
          <w:szCs w:val="22"/>
          <w:rtl/>
        </w:rPr>
      </w:pPr>
      <w:r>
        <w:rPr>
          <w:rtl/>
        </w:rPr>
        <w:t>הביאור הב' במאירי לקמן דבעידי חד יומא לא פשע המחזיק כשקנה דראה את המוכר כבעלים</w:t>
      </w:r>
    </w:p>
    <w:p w:rsidR="000E75A3" w:rsidRDefault="000E75A3" w:rsidP="000E75A3">
      <w:pPr>
        <w:pStyle w:val="aff4"/>
        <w:rPr>
          <w:rFonts w:eastAsiaTheme="minorEastAsia" w:cstheme="minorBidi"/>
          <w:i/>
          <w:iCs/>
          <w:noProof/>
          <w:sz w:val="22"/>
          <w:szCs w:val="22"/>
          <w:rtl/>
        </w:rPr>
      </w:pPr>
      <w:r>
        <w:rPr>
          <w:noProof/>
          <w:rtl/>
        </w:rPr>
        <w:t>ביאור התורי"ד דחד יומא מהני כמו דמהני שטר שקנה מהמוכר</w:t>
      </w:r>
    </w:p>
    <w:p w:rsidR="000E75A3" w:rsidRDefault="000E75A3" w:rsidP="007E4E81">
      <w:pPr>
        <w:pStyle w:val="a"/>
        <w:rPr>
          <w:rFonts w:eastAsiaTheme="minorEastAsia" w:cstheme="minorBidi"/>
          <w:sz w:val="22"/>
          <w:szCs w:val="22"/>
          <w:rtl/>
        </w:rPr>
      </w:pPr>
      <w:r>
        <w:rPr>
          <w:rtl/>
        </w:rPr>
        <w:t>דברי התורי"ד לקמן דכשיש למחזיק שטר אינו צריך להביא עדים דהמוכר דר חד יומא</w:t>
      </w:r>
    </w:p>
    <w:p w:rsidR="000E75A3" w:rsidRDefault="000E75A3" w:rsidP="007E4E81">
      <w:pPr>
        <w:pStyle w:val="a"/>
        <w:rPr>
          <w:rFonts w:eastAsiaTheme="minorEastAsia" w:cstheme="minorBidi"/>
          <w:sz w:val="22"/>
          <w:szCs w:val="22"/>
          <w:rtl/>
        </w:rPr>
      </w:pPr>
      <w:r>
        <w:rPr>
          <w:rtl/>
        </w:rPr>
        <w:t>ביאור התורי"ד לקמן דכשיש למחזיק שטר [או עידי חד יומא] ברור שקנה מהמוכר וטענינן ליה</w:t>
      </w:r>
    </w:p>
    <w:p w:rsidR="000E75A3" w:rsidRDefault="000E75A3" w:rsidP="007E4E81">
      <w:pPr>
        <w:pStyle w:val="a"/>
        <w:rPr>
          <w:rFonts w:eastAsiaTheme="minorEastAsia" w:cstheme="minorBidi"/>
          <w:sz w:val="22"/>
          <w:szCs w:val="22"/>
          <w:rtl/>
        </w:rPr>
      </w:pPr>
      <w:r>
        <w:rPr>
          <w:rtl/>
        </w:rPr>
        <w:t>דברי ההשלמה לקמן דאף כשיש למחזיק שטר מהמוכר הוא צריך להביא עדים דדר חד יומא</w:t>
      </w:r>
    </w:p>
    <w:p w:rsidR="000E75A3" w:rsidRDefault="000E75A3" w:rsidP="000E75A3">
      <w:pPr>
        <w:pStyle w:val="aff4"/>
        <w:rPr>
          <w:rFonts w:eastAsiaTheme="minorEastAsia" w:cstheme="minorBidi"/>
          <w:i/>
          <w:iCs/>
          <w:noProof/>
          <w:sz w:val="22"/>
          <w:szCs w:val="22"/>
          <w:rtl/>
        </w:rPr>
      </w:pPr>
      <w:r>
        <w:rPr>
          <w:noProof/>
          <w:rtl/>
        </w:rPr>
        <w:t>דברי הרשב"א בסוגיין דבחד יומא ההחזקה היא מכח המוכר</w:t>
      </w:r>
    </w:p>
    <w:p w:rsidR="000E75A3" w:rsidRDefault="000E75A3" w:rsidP="007E4E81">
      <w:pPr>
        <w:pStyle w:val="a"/>
        <w:rPr>
          <w:rFonts w:eastAsiaTheme="minorEastAsia" w:cstheme="minorBidi"/>
          <w:sz w:val="22"/>
          <w:szCs w:val="22"/>
          <w:rtl/>
        </w:rPr>
      </w:pPr>
      <w:r>
        <w:rPr>
          <w:rtl/>
        </w:rPr>
        <w:t>ביאור הרשב"א דכשאין עידי חד יומא חשיב שאין עידי חזקה דל"מ חזקתו שאינה מכח המוכר</w:t>
      </w:r>
    </w:p>
    <w:p w:rsidR="000E75A3" w:rsidRDefault="000E75A3" w:rsidP="000E75A3">
      <w:pPr>
        <w:pStyle w:val="aff4"/>
        <w:rPr>
          <w:rFonts w:eastAsiaTheme="minorEastAsia" w:cstheme="minorBidi"/>
          <w:i/>
          <w:iCs/>
          <w:noProof/>
          <w:sz w:val="22"/>
          <w:szCs w:val="22"/>
          <w:rtl/>
        </w:rPr>
      </w:pPr>
      <w:r>
        <w:rPr>
          <w:noProof/>
          <w:rtl/>
        </w:rPr>
        <w:t>דברי המהרי"ט דבחד יומא חשיב כלוקח מהמוכר כמו בשטר</w:t>
      </w:r>
    </w:p>
    <w:p w:rsidR="000E75A3" w:rsidRDefault="000E75A3" w:rsidP="007E4E81">
      <w:pPr>
        <w:pStyle w:val="a"/>
        <w:rPr>
          <w:rFonts w:eastAsiaTheme="minorEastAsia" w:cstheme="minorBidi"/>
          <w:sz w:val="22"/>
          <w:szCs w:val="22"/>
          <w:rtl/>
        </w:rPr>
      </w:pPr>
      <w:r>
        <w:rPr>
          <w:rtl/>
        </w:rPr>
        <w:t>דברי המהרי"ט דע"י עידי חד יומא חשיב כלוקח וטענינן ליה כרשב"ם דמאמת את דבריו</w:t>
      </w:r>
    </w:p>
    <w:p w:rsidR="000E75A3" w:rsidRDefault="000E75A3" w:rsidP="007E4E81">
      <w:pPr>
        <w:pStyle w:val="a"/>
        <w:rPr>
          <w:rFonts w:eastAsiaTheme="minorEastAsia" w:cstheme="minorBidi"/>
          <w:sz w:val="22"/>
          <w:szCs w:val="22"/>
          <w:rtl/>
        </w:rPr>
      </w:pPr>
      <w:r>
        <w:rPr>
          <w:rtl/>
        </w:rPr>
        <w:t>דברי המהרי"ט דכשיש למחזיק שטר א"צ עידי חד יומא דהתברר כדבריו דהוא לוקח וטענינן ליה</w:t>
      </w:r>
    </w:p>
    <w:p w:rsidR="000E75A3" w:rsidRDefault="000E75A3" w:rsidP="007E4E81">
      <w:pPr>
        <w:pStyle w:val="a"/>
        <w:rPr>
          <w:rFonts w:eastAsiaTheme="minorEastAsia" w:cstheme="minorBidi"/>
          <w:sz w:val="22"/>
          <w:szCs w:val="22"/>
          <w:rtl/>
        </w:rPr>
      </w:pPr>
      <w:r>
        <w:rPr>
          <w:rtl/>
        </w:rPr>
        <w:t>בי' המשל"מ במהרי"ט דמוכח שהייתה של המוכר ובי' הקצוה"ח במהרי"ט דמוכח דהמחזיק לוקח</w:t>
      </w:r>
    </w:p>
    <w:p w:rsidR="000E75A3" w:rsidRDefault="000E75A3" w:rsidP="007E4E81">
      <w:pPr>
        <w:pStyle w:val="a"/>
        <w:rPr>
          <w:rFonts w:eastAsiaTheme="minorEastAsia" w:cstheme="minorBidi"/>
          <w:sz w:val="22"/>
          <w:szCs w:val="22"/>
          <w:rtl/>
        </w:rPr>
      </w:pPr>
      <w:r>
        <w:rPr>
          <w:rtl/>
        </w:rPr>
        <w:t>דחיית המשל"מ לדברי המהרי"ט דלא סגי בעדות שקנה מהמוכר ולכו"ע צריך עידי חד יומא</w:t>
      </w:r>
    </w:p>
    <w:p w:rsidR="000E75A3" w:rsidRDefault="000E75A3" w:rsidP="007E4E81">
      <w:pPr>
        <w:pStyle w:val="a"/>
        <w:rPr>
          <w:rFonts w:eastAsiaTheme="minorEastAsia" w:cstheme="minorBidi"/>
          <w:sz w:val="22"/>
          <w:szCs w:val="22"/>
          <w:rtl/>
        </w:rPr>
      </w:pPr>
      <w:r>
        <w:rPr>
          <w:rtl/>
        </w:rPr>
        <w:t>קושית הקצוה"ח על המהרי"ט דהרשב"ם כ' להדיא דיש שטר למחזיק ואפ"ה צריך עידי חד יומא</w:t>
      </w:r>
    </w:p>
    <w:p w:rsidR="000E75A3" w:rsidRDefault="000E75A3" w:rsidP="000E75A3">
      <w:pPr>
        <w:pStyle w:val="aff4"/>
        <w:rPr>
          <w:rFonts w:eastAsiaTheme="minorEastAsia" w:cstheme="minorBidi"/>
          <w:i/>
          <w:iCs/>
          <w:noProof/>
          <w:sz w:val="22"/>
          <w:szCs w:val="22"/>
          <w:rtl/>
        </w:rPr>
      </w:pPr>
      <w:r>
        <w:rPr>
          <w:noProof/>
          <w:rtl/>
        </w:rPr>
        <w:t>דברי הקצוה"ח דבחד יומא יש אומדנא שהמוכר קנה מהמערער</w:t>
      </w:r>
    </w:p>
    <w:p w:rsidR="000E75A3" w:rsidRDefault="000E75A3" w:rsidP="007E4E81">
      <w:pPr>
        <w:pStyle w:val="a"/>
        <w:rPr>
          <w:rFonts w:eastAsiaTheme="minorEastAsia" w:cstheme="minorBidi"/>
          <w:sz w:val="22"/>
          <w:szCs w:val="22"/>
          <w:rtl/>
        </w:rPr>
      </w:pPr>
      <w:r>
        <w:rPr>
          <w:rtl/>
        </w:rPr>
        <w:t>ביאור הקצוה"ח דבעידי חד יומא יש אומדנא שקנה מהמערער ובלא"ה הוי כחזקה בלא טענה</w:t>
      </w:r>
    </w:p>
    <w:p w:rsidR="000E75A3" w:rsidRDefault="000E75A3" w:rsidP="007E4E81">
      <w:pPr>
        <w:pStyle w:val="a"/>
        <w:rPr>
          <w:rFonts w:eastAsiaTheme="minorEastAsia" w:cstheme="minorBidi"/>
          <w:sz w:val="22"/>
          <w:szCs w:val="22"/>
          <w:rtl/>
        </w:rPr>
      </w:pPr>
      <w:r>
        <w:rPr>
          <w:rtl/>
        </w:rPr>
        <w:t>ביאור הקצוה"ח ברשב"ם לקמן דע"י עידי חד יומא יש קצת ראיה לטענתו דקנה מהמערער</w:t>
      </w:r>
    </w:p>
    <w:p w:rsidR="000E75A3" w:rsidRDefault="000E75A3" w:rsidP="000E75A3">
      <w:pPr>
        <w:pStyle w:val="2"/>
        <w:rPr>
          <w:rFonts w:eastAsiaTheme="minorEastAsia" w:cstheme="minorBidi"/>
          <w:i/>
          <w:iCs/>
          <w:sz w:val="22"/>
          <w:szCs w:val="22"/>
          <w:rtl/>
        </w:rPr>
      </w:pPr>
      <w:r>
        <w:rPr>
          <w:rtl/>
        </w:rPr>
        <w:t>ד' הרשב"ם דמהני עידי חד יומא וחזקה</w:t>
      </w:r>
    </w:p>
    <w:p w:rsidR="000E75A3" w:rsidRDefault="000E75A3" w:rsidP="000E75A3">
      <w:pPr>
        <w:pStyle w:val="aff4"/>
        <w:rPr>
          <w:rFonts w:eastAsiaTheme="minorEastAsia" w:cstheme="minorBidi"/>
          <w:i/>
          <w:iCs/>
          <w:noProof/>
          <w:sz w:val="22"/>
          <w:szCs w:val="22"/>
          <w:rtl/>
        </w:rPr>
      </w:pPr>
      <w:r>
        <w:rPr>
          <w:noProof/>
          <w:rtl/>
        </w:rPr>
        <w:t>דברי הרשב"ם דבאינו טוען ברי או עידי חד יומא יומא מפסיד</w:t>
      </w:r>
    </w:p>
    <w:p w:rsidR="000E75A3" w:rsidRDefault="000E75A3" w:rsidP="007E4E81">
      <w:pPr>
        <w:pStyle w:val="a"/>
        <w:rPr>
          <w:rFonts w:eastAsiaTheme="minorEastAsia" w:cstheme="minorBidi"/>
          <w:sz w:val="22"/>
          <w:szCs w:val="22"/>
          <w:rtl/>
        </w:rPr>
      </w:pPr>
      <w:r>
        <w:rPr>
          <w:rtl/>
        </w:rPr>
        <w:t>דברי הרשב"ם דכיון שהודה ואינו טוען קמי דידי ואין לו עידי חד יומא לכן המחזיק מפסיד</w:t>
      </w:r>
    </w:p>
    <w:p w:rsidR="000E75A3" w:rsidRDefault="000E75A3" w:rsidP="007E4E81">
      <w:pPr>
        <w:pStyle w:val="a"/>
        <w:rPr>
          <w:rFonts w:eastAsiaTheme="minorEastAsia" w:cstheme="minorBidi"/>
          <w:sz w:val="22"/>
          <w:szCs w:val="22"/>
          <w:rtl/>
        </w:rPr>
      </w:pPr>
      <w:r>
        <w:rPr>
          <w:rtl/>
        </w:rPr>
        <w:t>דברי רבינו יונה דבאינו טוען טענת ברי שהמוכר קנאה מוציאין מידו דהודאתו כעידי מר"ק</w:t>
      </w:r>
    </w:p>
    <w:p w:rsidR="000E75A3" w:rsidRDefault="000E75A3" w:rsidP="007E4E81">
      <w:pPr>
        <w:pStyle w:val="a"/>
        <w:rPr>
          <w:rFonts w:eastAsiaTheme="minorEastAsia" w:cstheme="minorBidi"/>
          <w:sz w:val="22"/>
          <w:szCs w:val="22"/>
          <w:rtl/>
        </w:rPr>
      </w:pPr>
      <w:r>
        <w:rPr>
          <w:rtl/>
        </w:rPr>
        <w:t>דברי הירטב"א דהודאתו כעידי מר"ק ובלא חזקה לא טענינן ליה בלי ראיה או טענת ברי</w:t>
      </w:r>
    </w:p>
    <w:p w:rsidR="000E75A3" w:rsidRDefault="000E75A3" w:rsidP="000E75A3">
      <w:pPr>
        <w:pStyle w:val="aff4"/>
        <w:rPr>
          <w:rFonts w:eastAsiaTheme="minorEastAsia" w:cstheme="minorBidi"/>
          <w:i/>
          <w:iCs/>
          <w:noProof/>
          <w:sz w:val="22"/>
          <w:szCs w:val="22"/>
          <w:rtl/>
        </w:rPr>
      </w:pPr>
      <w:r>
        <w:rPr>
          <w:noProof/>
          <w:rtl/>
        </w:rPr>
        <w:t>דברי הרשב"ם דבעידי חד יומא עם חזקה יש מיגו דמינך זבינתה</w:t>
      </w:r>
    </w:p>
    <w:p w:rsidR="000E75A3" w:rsidRDefault="000E75A3" w:rsidP="007E4E81">
      <w:pPr>
        <w:pStyle w:val="a"/>
        <w:rPr>
          <w:rFonts w:eastAsiaTheme="minorEastAsia" w:cstheme="minorBidi"/>
          <w:sz w:val="22"/>
          <w:szCs w:val="22"/>
          <w:rtl/>
        </w:rPr>
      </w:pPr>
      <w:r>
        <w:rPr>
          <w:rtl/>
        </w:rPr>
        <w:t>דברי הרשב"ם דכשיש למחזיק עדים דדר המוכר חד יומא וחזקת ג"ש נאמן במיגו דמינך זבינתה</w:t>
      </w:r>
    </w:p>
    <w:p w:rsidR="000E75A3" w:rsidRDefault="000E75A3" w:rsidP="007E4E81">
      <w:pPr>
        <w:pStyle w:val="a"/>
        <w:rPr>
          <w:rFonts w:eastAsiaTheme="minorEastAsia" w:cstheme="minorBidi"/>
          <w:sz w:val="22"/>
          <w:szCs w:val="22"/>
          <w:rtl/>
        </w:rPr>
      </w:pPr>
      <w:r>
        <w:rPr>
          <w:rtl/>
        </w:rPr>
        <w:t>דברי רבינו יונה דאעפ"י שהודה המחזיק בעידי חד יומא ולא מחה המערער במחזיק אין מוציאין</w:t>
      </w:r>
    </w:p>
    <w:p w:rsidR="000E75A3" w:rsidRDefault="000E75A3" w:rsidP="007E4E81">
      <w:pPr>
        <w:pStyle w:val="a"/>
        <w:rPr>
          <w:rFonts w:eastAsiaTheme="minorEastAsia" w:cstheme="minorBidi"/>
          <w:sz w:val="22"/>
          <w:szCs w:val="22"/>
          <w:rtl/>
        </w:rPr>
      </w:pPr>
      <w:r>
        <w:rPr>
          <w:rtl/>
        </w:rPr>
        <w:t>דברי הרשב"ם לקמן והרשב"א והריטב"א דבחזקה ועידי חד יומא טענינן ליה דהא טענינן ללוקח</w:t>
      </w:r>
    </w:p>
    <w:p w:rsidR="000E75A3" w:rsidRDefault="000E75A3" w:rsidP="007E4E81">
      <w:pPr>
        <w:pStyle w:val="a"/>
        <w:rPr>
          <w:rFonts w:eastAsiaTheme="minorEastAsia" w:cstheme="minorBidi"/>
          <w:sz w:val="22"/>
          <w:szCs w:val="22"/>
          <w:rtl/>
        </w:rPr>
      </w:pPr>
      <w:r>
        <w:rPr>
          <w:rtl/>
        </w:rPr>
        <w:t>דברי הרשב"א והריטב"א דאף שהודה המחזיק נאמן כמו כשיש עידי מר"ק דמהני חזקה וטענינן</w:t>
      </w:r>
    </w:p>
    <w:p w:rsidR="000E75A3" w:rsidRDefault="000E75A3" w:rsidP="007E4E81">
      <w:pPr>
        <w:pStyle w:val="a"/>
        <w:rPr>
          <w:rFonts w:eastAsiaTheme="minorEastAsia" w:cstheme="minorBidi"/>
          <w:sz w:val="22"/>
          <w:szCs w:val="22"/>
          <w:rtl/>
        </w:rPr>
      </w:pPr>
      <w:r>
        <w:rPr>
          <w:rtl/>
        </w:rPr>
        <w:t>דברי הריטב"א דכשאין עידי חד יומא ל"מ חזקת ג"ש כיון דהודה ולא טען קמי דידי זבנה מינך</w:t>
      </w:r>
    </w:p>
    <w:p w:rsidR="000E75A3" w:rsidRDefault="000E75A3" w:rsidP="007E4E81">
      <w:pPr>
        <w:pStyle w:val="a"/>
        <w:rPr>
          <w:rFonts w:eastAsiaTheme="minorEastAsia" w:cstheme="minorBidi"/>
          <w:sz w:val="22"/>
          <w:szCs w:val="22"/>
          <w:rtl/>
        </w:rPr>
      </w:pPr>
      <w:r>
        <w:rPr>
          <w:rtl/>
        </w:rPr>
        <w:t>דברי הרמ"ה דכשיש למחזיק חזקת ג"ש ועידי חד יומא אין מוציאין אף כשיש עדים למערער</w:t>
      </w:r>
    </w:p>
    <w:p w:rsidR="000E75A3" w:rsidRDefault="000E75A3" w:rsidP="000E75A3">
      <w:pPr>
        <w:pStyle w:val="2"/>
        <w:rPr>
          <w:rFonts w:eastAsiaTheme="minorEastAsia" w:cstheme="minorBidi"/>
          <w:i/>
          <w:iCs/>
          <w:sz w:val="22"/>
          <w:szCs w:val="22"/>
          <w:rtl/>
        </w:rPr>
      </w:pPr>
      <w:r>
        <w:rPr>
          <w:rtl/>
        </w:rPr>
        <w:t>ד' הרשב"ם דל"מ חד יומא בלא חזקה</w:t>
      </w:r>
    </w:p>
    <w:p w:rsidR="000E75A3" w:rsidRDefault="000E75A3" w:rsidP="000E75A3">
      <w:pPr>
        <w:pStyle w:val="aff4"/>
        <w:rPr>
          <w:rFonts w:eastAsiaTheme="minorEastAsia" w:cstheme="minorBidi"/>
          <w:i/>
          <w:iCs/>
          <w:noProof/>
          <w:sz w:val="22"/>
          <w:szCs w:val="22"/>
          <w:rtl/>
        </w:rPr>
      </w:pPr>
      <w:r>
        <w:rPr>
          <w:noProof/>
          <w:rtl/>
        </w:rPr>
        <w:t>דברי הרשב"ם דבלי חזקה או שטר מהמערער ל"מ עידי חד יומא</w:t>
      </w:r>
    </w:p>
    <w:p w:rsidR="000E75A3" w:rsidRDefault="000E75A3" w:rsidP="007E4E81">
      <w:pPr>
        <w:pStyle w:val="a"/>
        <w:rPr>
          <w:rFonts w:eastAsiaTheme="minorEastAsia" w:cstheme="minorBidi"/>
          <w:sz w:val="22"/>
          <w:szCs w:val="22"/>
          <w:rtl/>
        </w:rPr>
      </w:pPr>
      <w:r>
        <w:rPr>
          <w:rtl/>
        </w:rPr>
        <w:t>דברי הרשב"ם והרשב"א והריטב"א דעידי חד יומא לא מהני בלא חזקת ג"ש או שטר מהמערער</w:t>
      </w:r>
    </w:p>
    <w:p w:rsidR="000E75A3" w:rsidRDefault="000E75A3" w:rsidP="000E75A3">
      <w:pPr>
        <w:pStyle w:val="aff4"/>
        <w:rPr>
          <w:rFonts w:eastAsiaTheme="minorEastAsia" w:cstheme="minorBidi"/>
          <w:i/>
          <w:iCs/>
          <w:noProof/>
          <w:sz w:val="22"/>
          <w:szCs w:val="22"/>
          <w:rtl/>
        </w:rPr>
      </w:pPr>
      <w:r>
        <w:rPr>
          <w:noProof/>
          <w:rtl/>
        </w:rPr>
        <w:t>ביאור הרמב"ן ברשב"ם דבלא חזקה לא טענינן כיון שהודה</w:t>
      </w:r>
    </w:p>
    <w:p w:rsidR="000E75A3" w:rsidRDefault="000E75A3" w:rsidP="007E4E81">
      <w:pPr>
        <w:pStyle w:val="a"/>
        <w:rPr>
          <w:rFonts w:eastAsiaTheme="minorEastAsia" w:cstheme="minorBidi"/>
          <w:sz w:val="22"/>
          <w:szCs w:val="22"/>
          <w:rtl/>
        </w:rPr>
      </w:pPr>
      <w:r>
        <w:rPr>
          <w:rtl/>
        </w:rPr>
        <w:t>קושית הרמב"ן על הרשב"ם דבעידי חד יומא טענינן אף בלא חזקה כיון דהמוכר היה נאמן במיגו</w:t>
      </w:r>
    </w:p>
    <w:p w:rsidR="000E75A3" w:rsidRDefault="000E75A3" w:rsidP="007E4E81">
      <w:pPr>
        <w:pStyle w:val="a"/>
        <w:rPr>
          <w:rFonts w:eastAsiaTheme="minorEastAsia" w:cstheme="minorBidi"/>
          <w:sz w:val="22"/>
          <w:szCs w:val="22"/>
          <w:rtl/>
        </w:rPr>
      </w:pPr>
      <w:r>
        <w:rPr>
          <w:rtl/>
        </w:rPr>
        <w:t>ביאור הרמב"ן והרשב"א ברשב"ם דדין טענינן הוא כשאחר הטענה א"צ להכחיש את המערער</w:t>
      </w:r>
    </w:p>
    <w:p w:rsidR="000E75A3" w:rsidRDefault="000E75A3" w:rsidP="007E4E81">
      <w:pPr>
        <w:pStyle w:val="a"/>
        <w:rPr>
          <w:rFonts w:eastAsiaTheme="minorEastAsia" w:cstheme="minorBidi"/>
          <w:sz w:val="22"/>
          <w:szCs w:val="22"/>
          <w:rtl/>
        </w:rPr>
      </w:pPr>
      <w:r>
        <w:rPr>
          <w:rtl/>
        </w:rPr>
        <w:t>ביאור הרמב"ן והרשב"א ברשב"ם דאחר שהודה ל"מ המיגו של המוכר אף אם היה לפנינו</w:t>
      </w:r>
    </w:p>
    <w:p w:rsidR="000E75A3" w:rsidRDefault="000E75A3" w:rsidP="000E75A3">
      <w:pPr>
        <w:pStyle w:val="2"/>
        <w:rPr>
          <w:rFonts w:eastAsiaTheme="minorEastAsia" w:cstheme="minorBidi"/>
          <w:i/>
          <w:iCs/>
          <w:sz w:val="22"/>
          <w:szCs w:val="22"/>
          <w:rtl/>
        </w:rPr>
      </w:pPr>
      <w:r>
        <w:rPr>
          <w:rtl/>
        </w:rPr>
        <w:t>בד' הרמב"ם דבעידי חד יומא צריך חזקה</w:t>
      </w:r>
    </w:p>
    <w:p w:rsidR="000E75A3" w:rsidRDefault="000E75A3" w:rsidP="000E75A3">
      <w:pPr>
        <w:pStyle w:val="aff4"/>
        <w:rPr>
          <w:rFonts w:eastAsiaTheme="minorEastAsia" w:cstheme="minorBidi"/>
          <w:i/>
          <w:iCs/>
          <w:noProof/>
          <w:sz w:val="22"/>
          <w:szCs w:val="22"/>
          <w:rtl/>
        </w:rPr>
      </w:pPr>
      <w:r>
        <w:rPr>
          <w:noProof/>
          <w:rtl/>
        </w:rPr>
        <w:t>בביאור דעת הרמב"ם דבעידי חד יומא רק בחזקה טענינן ליה</w:t>
      </w:r>
    </w:p>
    <w:p w:rsidR="000E75A3" w:rsidRDefault="000E75A3" w:rsidP="007E4E81">
      <w:pPr>
        <w:pStyle w:val="a"/>
        <w:rPr>
          <w:rFonts w:eastAsiaTheme="minorEastAsia" w:cstheme="minorBidi"/>
          <w:sz w:val="22"/>
          <w:szCs w:val="22"/>
          <w:rtl/>
        </w:rPr>
      </w:pPr>
      <w:r>
        <w:rPr>
          <w:rtl/>
        </w:rPr>
        <w:t>דברי הרמב"ם דהמחזיק ישב הרבה שנים בקרקע ומהני עידי חד יומא וטענת קמי דידי זבנה מינך</w:t>
      </w:r>
    </w:p>
    <w:p w:rsidR="000E75A3" w:rsidRDefault="000E75A3" w:rsidP="007E4E81">
      <w:pPr>
        <w:pStyle w:val="a"/>
        <w:rPr>
          <w:rFonts w:eastAsiaTheme="minorEastAsia" w:cstheme="minorBidi"/>
          <w:sz w:val="22"/>
          <w:szCs w:val="22"/>
          <w:rtl/>
        </w:rPr>
      </w:pPr>
      <w:r>
        <w:rPr>
          <w:rtl/>
        </w:rPr>
        <w:t>ביאור המ"מ והמהרי"ט ברמב"ם דבעידי חד יומא צריך חזקה ובלא חזקה כיון שהודה לא טענינן</w:t>
      </w:r>
    </w:p>
    <w:p w:rsidR="000E75A3" w:rsidRDefault="000E75A3" w:rsidP="007E4E81">
      <w:pPr>
        <w:pStyle w:val="a"/>
        <w:rPr>
          <w:rFonts w:eastAsiaTheme="minorEastAsia" w:cstheme="minorBidi"/>
          <w:sz w:val="22"/>
          <w:szCs w:val="22"/>
          <w:rtl/>
        </w:rPr>
      </w:pPr>
      <w:r>
        <w:rPr>
          <w:rtl/>
        </w:rPr>
        <w:t>דברי הלח"מ דהמ"מ למד כן ממ"ש הרמב"ם דעידי חד יומא מהני מדין חזקה עם טענה</w:t>
      </w:r>
    </w:p>
    <w:p w:rsidR="000E75A3" w:rsidRDefault="000E75A3" w:rsidP="007E4E81">
      <w:pPr>
        <w:pStyle w:val="a"/>
        <w:rPr>
          <w:rFonts w:eastAsiaTheme="minorEastAsia" w:cstheme="minorBidi"/>
          <w:sz w:val="22"/>
          <w:szCs w:val="22"/>
          <w:rtl/>
        </w:rPr>
      </w:pPr>
      <w:r>
        <w:rPr>
          <w:rtl/>
        </w:rPr>
        <w:t>דברי הש"ך דהמ"מ למד כן מהא דכשאין לו חזקה לא כתב הרמב"ם דמהני עידי חד יומא</w:t>
      </w:r>
    </w:p>
    <w:p w:rsidR="000E75A3" w:rsidRDefault="000E75A3" w:rsidP="000E75A3">
      <w:pPr>
        <w:pStyle w:val="2"/>
        <w:rPr>
          <w:rFonts w:eastAsiaTheme="minorEastAsia" w:cstheme="minorBidi"/>
          <w:i/>
          <w:iCs/>
          <w:sz w:val="22"/>
          <w:szCs w:val="22"/>
          <w:rtl/>
        </w:rPr>
      </w:pPr>
      <w:r>
        <w:rPr>
          <w:rtl/>
        </w:rPr>
        <w:t>ד' הרמב"ן דבעידי חד יומא א"צ חזקה</w:t>
      </w:r>
    </w:p>
    <w:p w:rsidR="000E75A3" w:rsidRDefault="000E75A3" w:rsidP="000E75A3">
      <w:pPr>
        <w:pStyle w:val="aff4"/>
        <w:rPr>
          <w:rFonts w:eastAsiaTheme="minorEastAsia" w:cstheme="minorBidi"/>
          <w:i/>
          <w:iCs/>
          <w:noProof/>
          <w:sz w:val="22"/>
          <w:szCs w:val="22"/>
          <w:rtl/>
        </w:rPr>
      </w:pPr>
      <w:r>
        <w:rPr>
          <w:noProof/>
          <w:rtl/>
        </w:rPr>
        <w:t>דברי הרמב"ן דכל שיש למחזיק</w:t>
      </w:r>
      <w:r>
        <w:rPr>
          <w:rFonts w:hint="cs"/>
          <w:noProof/>
          <w:rtl/>
        </w:rPr>
        <w:t xml:space="preserve"> </w:t>
      </w:r>
      <w:r>
        <w:rPr>
          <w:noProof/>
          <w:rtl/>
        </w:rPr>
        <w:t>עידי חד יומא א"צ חזקת ג"ש</w:t>
      </w:r>
    </w:p>
    <w:p w:rsidR="000E75A3" w:rsidRDefault="000E75A3" w:rsidP="007E4E81">
      <w:pPr>
        <w:pStyle w:val="a"/>
        <w:rPr>
          <w:rFonts w:eastAsiaTheme="minorEastAsia" w:cstheme="minorBidi"/>
          <w:sz w:val="22"/>
          <w:szCs w:val="22"/>
          <w:rtl/>
        </w:rPr>
      </w:pPr>
      <w:r>
        <w:rPr>
          <w:rtl/>
        </w:rPr>
        <w:t>דברי הרמב"ן דכשאין למערער עדים מהני עידי חד יומא אף בלי חזקה דחשיב לוקח וטענינן ליה</w:t>
      </w:r>
    </w:p>
    <w:p w:rsidR="000E75A3" w:rsidRDefault="000E75A3" w:rsidP="000E75A3">
      <w:pPr>
        <w:pStyle w:val="aff4"/>
        <w:rPr>
          <w:rFonts w:eastAsiaTheme="minorEastAsia" w:cstheme="minorBidi"/>
          <w:i/>
          <w:iCs/>
          <w:noProof/>
          <w:sz w:val="22"/>
          <w:szCs w:val="22"/>
          <w:rtl/>
        </w:rPr>
      </w:pPr>
      <w:r>
        <w:rPr>
          <w:noProof/>
          <w:rtl/>
        </w:rPr>
        <w:t>דחיית הריטב"א לרמב"ן דהודאתו כעדים והמוכר לא נאמן</w:t>
      </w:r>
    </w:p>
    <w:p w:rsidR="000E75A3" w:rsidRDefault="000E75A3" w:rsidP="007E4E81">
      <w:pPr>
        <w:pStyle w:val="a"/>
        <w:rPr>
          <w:rFonts w:eastAsiaTheme="minorEastAsia" w:cstheme="minorBidi"/>
          <w:sz w:val="22"/>
          <w:szCs w:val="22"/>
          <w:rtl/>
        </w:rPr>
      </w:pPr>
      <w:r>
        <w:rPr>
          <w:rtl/>
        </w:rPr>
        <w:t>דחיית הריטב"א דהודאתו היא כעדים למערער ולא נאמן המוכר במיגו ול"מ חד יומא בלא חזקה</w:t>
      </w:r>
    </w:p>
    <w:p w:rsidR="000E75A3" w:rsidRDefault="000E75A3" w:rsidP="000E75A3">
      <w:pPr>
        <w:pStyle w:val="aff4"/>
        <w:rPr>
          <w:rFonts w:eastAsiaTheme="minorEastAsia" w:cstheme="minorBidi"/>
          <w:i/>
          <w:iCs/>
          <w:noProof/>
          <w:sz w:val="22"/>
          <w:szCs w:val="22"/>
          <w:rtl/>
        </w:rPr>
      </w:pPr>
      <w:r>
        <w:rPr>
          <w:noProof/>
          <w:rtl/>
        </w:rPr>
        <w:t>ראיית הרמב"ן מהא דיורשים שהודו בפקדון דלא טענינן להו</w:t>
      </w:r>
    </w:p>
    <w:p w:rsidR="000E75A3" w:rsidRDefault="000E75A3" w:rsidP="007E4E81">
      <w:pPr>
        <w:pStyle w:val="a"/>
        <w:rPr>
          <w:rFonts w:eastAsiaTheme="minorEastAsia" w:cstheme="minorBidi"/>
          <w:sz w:val="22"/>
          <w:szCs w:val="22"/>
          <w:rtl/>
        </w:rPr>
      </w:pPr>
      <w:r>
        <w:rPr>
          <w:rtl/>
        </w:rPr>
        <w:t>ראיית הרמב"ן מיורשים שהודו למפקיד ואפ"ה טענינן להו מיגו דאביהם וה"ה דטענינן למחזיק</w:t>
      </w:r>
    </w:p>
    <w:p w:rsidR="000E75A3" w:rsidRDefault="000E75A3" w:rsidP="000E75A3">
      <w:pPr>
        <w:pStyle w:val="aff4"/>
        <w:rPr>
          <w:rFonts w:eastAsiaTheme="minorEastAsia" w:cstheme="minorBidi"/>
          <w:i/>
          <w:iCs/>
          <w:noProof/>
          <w:sz w:val="22"/>
          <w:szCs w:val="22"/>
          <w:rtl/>
        </w:rPr>
      </w:pPr>
      <w:r>
        <w:rPr>
          <w:noProof/>
          <w:rtl/>
        </w:rPr>
        <w:t>דחיות הרשב"א והריטב"א לראיית הרמב"ן מיורשים</w:t>
      </w:r>
    </w:p>
    <w:p w:rsidR="000E75A3" w:rsidRDefault="000E75A3" w:rsidP="007E4E81">
      <w:pPr>
        <w:pStyle w:val="a"/>
        <w:rPr>
          <w:rFonts w:eastAsiaTheme="minorEastAsia" w:cstheme="minorBidi"/>
          <w:sz w:val="22"/>
          <w:szCs w:val="22"/>
          <w:rtl/>
        </w:rPr>
      </w:pPr>
      <w:r>
        <w:rPr>
          <w:rtl/>
        </w:rPr>
        <w:t>דברי הרשב"א דאף ביורשים מסתבר שמוציאים מהם ולא טענינן מיגו דאביהם</w:t>
      </w:r>
    </w:p>
    <w:p w:rsidR="000E75A3" w:rsidRDefault="000E75A3" w:rsidP="007E4E81">
      <w:pPr>
        <w:pStyle w:val="a"/>
        <w:rPr>
          <w:rFonts w:eastAsiaTheme="minorEastAsia" w:cstheme="minorBidi"/>
          <w:sz w:val="22"/>
          <w:szCs w:val="22"/>
          <w:rtl/>
        </w:rPr>
      </w:pPr>
      <w:r>
        <w:rPr>
          <w:rtl/>
        </w:rPr>
        <w:t>דברי הריטב"א דהודאת המחזיק דמי לראו את הפקדון ביד היורשים ולא הודו דטענינן להו</w:t>
      </w:r>
    </w:p>
    <w:p w:rsidR="000E75A3" w:rsidRDefault="000E75A3" w:rsidP="007E4E81">
      <w:pPr>
        <w:pStyle w:val="a"/>
        <w:rPr>
          <w:rFonts w:eastAsiaTheme="minorEastAsia" w:cstheme="minorBidi"/>
          <w:sz w:val="22"/>
          <w:szCs w:val="22"/>
          <w:rtl/>
        </w:rPr>
      </w:pPr>
      <w:r>
        <w:rPr>
          <w:rtl/>
        </w:rPr>
        <w:t>ביאור החי' אנשי שם ברי"ף דבלא חזקה ל"מ עידי חד יומא דהמחזיק מסופןק ואינו מוציא מודאי</w:t>
      </w:r>
    </w:p>
    <w:p w:rsidR="000E75A3" w:rsidRDefault="000E75A3" w:rsidP="000E75A3">
      <w:pPr>
        <w:pStyle w:val="aff4"/>
        <w:rPr>
          <w:rFonts w:eastAsiaTheme="minorEastAsia" w:cstheme="minorBidi"/>
          <w:i/>
          <w:iCs/>
          <w:noProof/>
          <w:sz w:val="22"/>
          <w:szCs w:val="22"/>
          <w:rtl/>
        </w:rPr>
      </w:pPr>
      <w:r>
        <w:rPr>
          <w:noProof/>
          <w:rtl/>
        </w:rPr>
        <w:t>בדעת הרשב"א בתוס' ור"י בתוס' בעידי חד יומא בלא חזקה</w:t>
      </w:r>
    </w:p>
    <w:p w:rsidR="000E75A3" w:rsidRDefault="000E75A3" w:rsidP="007E4E81">
      <w:pPr>
        <w:pStyle w:val="a"/>
        <w:rPr>
          <w:rFonts w:eastAsiaTheme="minorEastAsia" w:cstheme="minorBidi"/>
          <w:sz w:val="22"/>
          <w:szCs w:val="22"/>
          <w:rtl/>
        </w:rPr>
      </w:pPr>
      <w:r>
        <w:rPr>
          <w:rtl/>
        </w:rPr>
        <w:t>דברי הרשב"א בתוס' דבעידי חד יומא טענינן ליה אעפ"י שהודה ואין לו מיגו</w:t>
      </w:r>
    </w:p>
    <w:p w:rsidR="000E75A3" w:rsidRDefault="000E75A3" w:rsidP="007E4E81">
      <w:pPr>
        <w:pStyle w:val="a"/>
        <w:rPr>
          <w:rFonts w:eastAsiaTheme="minorEastAsia" w:cstheme="minorBidi"/>
          <w:sz w:val="22"/>
          <w:szCs w:val="22"/>
          <w:rtl/>
        </w:rPr>
      </w:pPr>
      <w:r>
        <w:rPr>
          <w:rtl/>
        </w:rPr>
        <w:t>דברי ר"י בתוס' דא"א להביא ראיה מהגמ' לקמן לדברי הרשב"א בתוס' דטענינן בעידי חד יומא</w:t>
      </w:r>
    </w:p>
    <w:p w:rsidR="000E75A3" w:rsidRDefault="000E75A3" w:rsidP="007E4E81">
      <w:pPr>
        <w:pStyle w:val="a"/>
        <w:rPr>
          <w:rFonts w:eastAsiaTheme="minorEastAsia" w:cstheme="minorBidi"/>
          <w:sz w:val="22"/>
          <w:szCs w:val="22"/>
          <w:rtl/>
        </w:rPr>
      </w:pPr>
      <w:r>
        <w:rPr>
          <w:rtl/>
        </w:rPr>
        <w:t>ביאור הש"ך במרדכי ובאגודה דלר"י בעידי חד יומא הוא ספק אם נאמן אך לד' ההג"מ נאמן</w:t>
      </w:r>
    </w:p>
    <w:p w:rsidR="000E75A3" w:rsidRDefault="000E75A3" w:rsidP="007E4E81">
      <w:pPr>
        <w:pStyle w:val="a"/>
        <w:rPr>
          <w:rFonts w:eastAsiaTheme="minorEastAsia" w:cstheme="minorBidi"/>
          <w:sz w:val="22"/>
          <w:szCs w:val="22"/>
          <w:rtl/>
        </w:rPr>
      </w:pPr>
      <w:r>
        <w:rPr>
          <w:rtl/>
        </w:rPr>
        <w:t>דברי ההג' אשר"י דבלא חזקה ל"מ עידי חד יומא אך לד' הרשב"א בתוס' מהני במיגו דלהד"ם</w:t>
      </w:r>
    </w:p>
    <w:p w:rsidR="000E75A3" w:rsidRDefault="000E75A3" w:rsidP="007E4E81">
      <w:pPr>
        <w:pStyle w:val="a"/>
        <w:rPr>
          <w:rFonts w:eastAsiaTheme="minorEastAsia" w:cstheme="minorBidi"/>
          <w:sz w:val="22"/>
          <w:szCs w:val="22"/>
          <w:rtl/>
        </w:rPr>
      </w:pPr>
      <w:r>
        <w:rPr>
          <w:rtl/>
        </w:rPr>
        <w:t>ביאור הביה"ל ברשב"א בתוס' דטענינן דהיה למוכר שטר ואין ריעותא למחזיק דאחוי שטרך</w:t>
      </w:r>
    </w:p>
    <w:p w:rsidR="000E75A3" w:rsidRDefault="000E75A3" w:rsidP="000E75A3">
      <w:pPr>
        <w:pStyle w:val="2"/>
        <w:rPr>
          <w:rFonts w:eastAsiaTheme="minorEastAsia" w:cstheme="minorBidi"/>
          <w:i/>
          <w:iCs/>
          <w:sz w:val="22"/>
          <w:szCs w:val="22"/>
          <w:rtl/>
        </w:rPr>
      </w:pPr>
      <w:r>
        <w:rPr>
          <w:rtl/>
        </w:rPr>
        <w:t>בי' המשל"מ בקו' הרא"ש בחד יומא</w:t>
      </w:r>
    </w:p>
    <w:p w:rsidR="000E75A3" w:rsidRDefault="000E75A3" w:rsidP="000E75A3">
      <w:pPr>
        <w:pStyle w:val="aff4"/>
        <w:rPr>
          <w:rFonts w:eastAsiaTheme="minorEastAsia" w:cstheme="minorBidi"/>
          <w:i/>
          <w:iCs/>
          <w:noProof/>
          <w:sz w:val="22"/>
          <w:szCs w:val="22"/>
          <w:rtl/>
        </w:rPr>
      </w:pPr>
      <w:r>
        <w:rPr>
          <w:noProof/>
          <w:rtl/>
        </w:rPr>
        <w:t>קושיות הרא"ש על הרשב"ם ודברי רבינו יונה והרא"ש</w:t>
      </w:r>
    </w:p>
    <w:p w:rsidR="000E75A3" w:rsidRDefault="000E75A3" w:rsidP="007E4E81">
      <w:pPr>
        <w:pStyle w:val="a"/>
        <w:rPr>
          <w:rFonts w:eastAsiaTheme="minorEastAsia" w:cstheme="minorBidi"/>
          <w:sz w:val="22"/>
          <w:szCs w:val="22"/>
          <w:rtl/>
        </w:rPr>
      </w:pPr>
      <w:r>
        <w:rPr>
          <w:rtl/>
        </w:rPr>
        <w:t>ביאור הרא"ש ברשב"ם דהמחזיק מודה דאינו יודע אם קנאה המוכר ואין ספק מוציא מידי ודאי</w:t>
      </w:r>
    </w:p>
    <w:p w:rsidR="000E75A3" w:rsidRDefault="000E75A3" w:rsidP="007E4E81">
      <w:pPr>
        <w:pStyle w:val="a"/>
        <w:rPr>
          <w:rFonts w:eastAsiaTheme="minorEastAsia" w:cstheme="minorBidi"/>
          <w:sz w:val="22"/>
          <w:szCs w:val="22"/>
          <w:rtl/>
        </w:rPr>
      </w:pPr>
      <w:r>
        <w:rPr>
          <w:rtl/>
        </w:rPr>
        <w:t>קושיות הרא"ש על הרשב"ם דלא מוכח דהמחזיק הודה ועוד דהמיגו של המוכר יועיל למחזיק</w:t>
      </w:r>
    </w:p>
    <w:p w:rsidR="000E75A3" w:rsidRDefault="000E75A3" w:rsidP="007E4E81">
      <w:pPr>
        <w:pStyle w:val="a"/>
        <w:rPr>
          <w:rFonts w:eastAsiaTheme="minorEastAsia" w:cstheme="minorBidi"/>
          <w:sz w:val="22"/>
          <w:szCs w:val="22"/>
          <w:rtl/>
        </w:rPr>
      </w:pPr>
      <w:r>
        <w:rPr>
          <w:rtl/>
        </w:rPr>
        <w:t>דברי הרא"ש בשם רבינו יונה דאיירי שהמחזיק הודה מעצמו ולכן אין ספק מוציא מידי ודאי</w:t>
      </w:r>
    </w:p>
    <w:p w:rsidR="000E75A3" w:rsidRDefault="000E75A3" w:rsidP="007E4E81">
      <w:pPr>
        <w:pStyle w:val="a"/>
        <w:rPr>
          <w:rFonts w:eastAsiaTheme="minorEastAsia" w:cstheme="minorBidi"/>
          <w:sz w:val="22"/>
          <w:szCs w:val="22"/>
          <w:rtl/>
        </w:rPr>
      </w:pPr>
      <w:r>
        <w:rPr>
          <w:rtl/>
        </w:rPr>
        <w:t>דברי הרא"ש דהמחזיק ירא לטעון להד"ם שמא יש לו עדים ואף שהמוכר נאמן אין המחזיק נאמן</w:t>
      </w:r>
    </w:p>
    <w:p w:rsidR="000E75A3" w:rsidRDefault="000E75A3" w:rsidP="000E75A3">
      <w:pPr>
        <w:pStyle w:val="aff4"/>
        <w:rPr>
          <w:rFonts w:eastAsiaTheme="minorEastAsia" w:cstheme="minorBidi"/>
          <w:i/>
          <w:iCs/>
          <w:noProof/>
          <w:sz w:val="22"/>
          <w:szCs w:val="22"/>
          <w:rtl/>
        </w:rPr>
      </w:pPr>
      <w:r>
        <w:rPr>
          <w:noProof/>
          <w:rtl/>
        </w:rPr>
        <w:t>הבי' הא' במשל"מ דקו' הרא"ש דבחד יומא בלי חזקה יש טענינן</w:t>
      </w:r>
    </w:p>
    <w:p w:rsidR="000E75A3" w:rsidRDefault="000E75A3" w:rsidP="007E4E81">
      <w:pPr>
        <w:pStyle w:val="a"/>
        <w:rPr>
          <w:rFonts w:eastAsiaTheme="minorEastAsia" w:cstheme="minorBidi"/>
          <w:sz w:val="22"/>
          <w:szCs w:val="22"/>
          <w:rtl/>
        </w:rPr>
      </w:pPr>
      <w:r>
        <w:rPr>
          <w:rtl/>
        </w:rPr>
        <w:t>הביאור הא' במשל"מ דקושית הרא"ש על הרשב"ם כדהק' הרמב"ן דבחד יומא טענינן בלי חזקה</w:t>
      </w:r>
    </w:p>
    <w:p w:rsidR="000E75A3" w:rsidRDefault="000E75A3" w:rsidP="007E4E81">
      <w:pPr>
        <w:pStyle w:val="a"/>
        <w:rPr>
          <w:rFonts w:eastAsiaTheme="minorEastAsia" w:cstheme="minorBidi"/>
          <w:sz w:val="22"/>
          <w:szCs w:val="22"/>
          <w:rtl/>
        </w:rPr>
      </w:pPr>
      <w:r>
        <w:rPr>
          <w:rtl/>
        </w:rPr>
        <w:t>תי' המשל"מ דלרשב"ם מוכח דהודה דאל"ה אין מוציאין וכיון דהודה לא מהני לו הטענינן</w:t>
      </w:r>
    </w:p>
    <w:p w:rsidR="000E75A3" w:rsidRDefault="000E75A3" w:rsidP="007E4E81">
      <w:pPr>
        <w:pStyle w:val="a"/>
        <w:rPr>
          <w:rFonts w:eastAsiaTheme="minorEastAsia" w:cstheme="minorBidi"/>
          <w:sz w:val="22"/>
          <w:szCs w:val="22"/>
          <w:rtl/>
        </w:rPr>
      </w:pPr>
      <w:r>
        <w:rPr>
          <w:rtl/>
        </w:rPr>
        <w:t>דברי המשל"מ דלרשב"ם מוכח דהודה מעצמו דאל"ה אין מוציאין ממנו אף דלא מוכח כן בגמ'</w:t>
      </w:r>
    </w:p>
    <w:p w:rsidR="000E75A3" w:rsidRDefault="000E75A3" w:rsidP="007E4E81">
      <w:pPr>
        <w:pStyle w:val="a"/>
        <w:rPr>
          <w:rFonts w:eastAsiaTheme="minorEastAsia" w:cstheme="minorBidi"/>
          <w:sz w:val="22"/>
          <w:szCs w:val="22"/>
          <w:rtl/>
        </w:rPr>
      </w:pPr>
      <w:r>
        <w:rPr>
          <w:rtl/>
        </w:rPr>
        <w:t>ביאור המשל"מ ברא"ש דדברי רבינו יונה הם ביאור ברשב"ם דמוכח דהודה מעצמו ולכן מוציאין</w:t>
      </w:r>
    </w:p>
    <w:p w:rsidR="000E75A3" w:rsidRDefault="000E75A3" w:rsidP="007E4E81">
      <w:pPr>
        <w:pStyle w:val="a"/>
        <w:rPr>
          <w:rFonts w:eastAsiaTheme="minorEastAsia" w:cstheme="minorBidi"/>
          <w:sz w:val="22"/>
          <w:szCs w:val="22"/>
          <w:rtl/>
        </w:rPr>
      </w:pPr>
      <w:r>
        <w:rPr>
          <w:rtl/>
        </w:rPr>
        <w:t>ביאור המשל"מ ברא"ש דמוציאין דאין לו מיגו וא"כ הדק"ל אמאי ל"מ עידי חד יומא בלי חזקה</w:t>
      </w:r>
    </w:p>
    <w:p w:rsidR="000E75A3" w:rsidRDefault="000E75A3" w:rsidP="007E4E81">
      <w:pPr>
        <w:pStyle w:val="a"/>
        <w:rPr>
          <w:rFonts w:eastAsiaTheme="minorEastAsia" w:cstheme="minorBidi"/>
          <w:sz w:val="22"/>
          <w:szCs w:val="22"/>
          <w:rtl/>
        </w:rPr>
      </w:pPr>
      <w:r>
        <w:rPr>
          <w:rtl/>
        </w:rPr>
        <w:t>דחיית המשל"מ דלא משמע דכוונת הרא"ש להקשות ע"ד הרשב"ם בחד יומא מדין טענינן</w:t>
      </w:r>
    </w:p>
    <w:p w:rsidR="000E75A3" w:rsidRDefault="000E75A3" w:rsidP="007E4E81">
      <w:pPr>
        <w:pStyle w:val="a"/>
        <w:rPr>
          <w:rFonts w:eastAsiaTheme="minorEastAsia" w:cstheme="minorBidi"/>
          <w:sz w:val="22"/>
          <w:szCs w:val="22"/>
          <w:rtl/>
        </w:rPr>
      </w:pPr>
      <w:r>
        <w:rPr>
          <w:rtl/>
        </w:rPr>
        <w:t>הביאור הב' במשל"מ דקו' הרא"ש אינה על חד יומא אלא על דברי הרשב"ם דהודה המחזיק</w:t>
      </w:r>
    </w:p>
    <w:p w:rsidR="000E75A3" w:rsidRDefault="000E75A3" w:rsidP="000E75A3">
      <w:pPr>
        <w:pStyle w:val="2"/>
        <w:rPr>
          <w:rFonts w:eastAsiaTheme="minorEastAsia" w:cstheme="minorBidi"/>
          <w:i/>
          <w:iCs/>
          <w:sz w:val="22"/>
          <w:szCs w:val="22"/>
          <w:rtl/>
        </w:rPr>
      </w:pPr>
      <w:r>
        <w:rPr>
          <w:rtl/>
        </w:rPr>
        <w:t>בד' הרא"ש בעידי חד יומא בלא חזקה</w:t>
      </w:r>
    </w:p>
    <w:p w:rsidR="000E75A3" w:rsidRDefault="000E75A3" w:rsidP="000E75A3">
      <w:pPr>
        <w:pStyle w:val="aff4"/>
        <w:rPr>
          <w:rFonts w:eastAsiaTheme="minorEastAsia" w:cstheme="minorBidi"/>
          <w:i/>
          <w:iCs/>
          <w:noProof/>
          <w:sz w:val="22"/>
          <w:szCs w:val="22"/>
          <w:rtl/>
        </w:rPr>
      </w:pPr>
      <w:r>
        <w:rPr>
          <w:noProof/>
          <w:rtl/>
        </w:rPr>
        <w:t>ביאורי המשל"מ ברא"ש בדין עידי חד יומא בלא חזקה</w:t>
      </w:r>
    </w:p>
    <w:p w:rsidR="000E75A3" w:rsidRDefault="000E75A3" w:rsidP="007E4E81">
      <w:pPr>
        <w:pStyle w:val="a"/>
        <w:rPr>
          <w:rFonts w:eastAsiaTheme="minorEastAsia" w:cstheme="minorBidi"/>
          <w:sz w:val="22"/>
          <w:szCs w:val="22"/>
          <w:rtl/>
        </w:rPr>
      </w:pPr>
      <w:r>
        <w:rPr>
          <w:rtl/>
        </w:rPr>
        <w:t>דברי המשל"מ דלביאורו הב' ברא"ש אין כל ראיה מה דעת הרא"ש בעידי חד יומא בלא חזקה</w:t>
      </w:r>
    </w:p>
    <w:p w:rsidR="000E75A3" w:rsidRDefault="000E75A3" w:rsidP="007E4E81">
      <w:pPr>
        <w:pStyle w:val="a"/>
        <w:rPr>
          <w:rFonts w:eastAsiaTheme="minorEastAsia" w:cstheme="minorBidi"/>
          <w:sz w:val="22"/>
          <w:szCs w:val="22"/>
          <w:rtl/>
        </w:rPr>
      </w:pPr>
      <w:r>
        <w:rPr>
          <w:rtl/>
        </w:rPr>
        <w:t>דברי המשל"מ דבלא הודה המחזיק מעצמו להרא"ש ספק אי טענינן ולרבינו יונה אין מוציאין</w:t>
      </w:r>
    </w:p>
    <w:p w:rsidR="000E75A3" w:rsidRDefault="000E75A3" w:rsidP="007E4E81">
      <w:pPr>
        <w:pStyle w:val="a"/>
        <w:rPr>
          <w:rFonts w:eastAsiaTheme="minorEastAsia" w:cstheme="minorBidi"/>
          <w:sz w:val="22"/>
          <w:szCs w:val="22"/>
          <w:rtl/>
        </w:rPr>
      </w:pPr>
      <w:r>
        <w:rPr>
          <w:rtl/>
        </w:rPr>
        <w:t>ד' המשל"מ דלביאורו הב' להרא"ש בחד יומא בלא חזקה בהודה לא טענינן ובלא הודה טענינן</w:t>
      </w:r>
    </w:p>
    <w:p w:rsidR="000E75A3" w:rsidRDefault="000E75A3" w:rsidP="007E4E81">
      <w:pPr>
        <w:pStyle w:val="a"/>
        <w:rPr>
          <w:rFonts w:eastAsiaTheme="minorEastAsia" w:cstheme="minorBidi"/>
          <w:sz w:val="22"/>
          <w:szCs w:val="22"/>
          <w:rtl/>
        </w:rPr>
      </w:pPr>
      <w:r>
        <w:rPr>
          <w:rtl/>
        </w:rPr>
        <w:t>דחיית המשל"מ דאפש"ל דאף הרא"ש מודה דטענינן בעידי חד יומא אף כשאין לו חזקה</w:t>
      </w:r>
    </w:p>
    <w:p w:rsidR="000E75A3" w:rsidRDefault="000E75A3" w:rsidP="000E75A3">
      <w:pPr>
        <w:pStyle w:val="2"/>
        <w:rPr>
          <w:rFonts w:eastAsiaTheme="minorEastAsia" w:cstheme="minorBidi"/>
          <w:i/>
          <w:iCs/>
          <w:sz w:val="22"/>
          <w:szCs w:val="22"/>
          <w:rtl/>
        </w:rPr>
      </w:pPr>
      <w:r>
        <w:rPr>
          <w:rtl/>
        </w:rPr>
        <w:t>בטענת קמי דידי זבנה מינך עם חזקה</w:t>
      </w:r>
    </w:p>
    <w:p w:rsidR="000E75A3" w:rsidRDefault="000E75A3" w:rsidP="000E75A3">
      <w:pPr>
        <w:pStyle w:val="aff4"/>
        <w:rPr>
          <w:rFonts w:eastAsiaTheme="minorEastAsia" w:cstheme="minorBidi"/>
          <w:i/>
          <w:iCs/>
          <w:noProof/>
          <w:sz w:val="22"/>
          <w:szCs w:val="22"/>
          <w:rtl/>
        </w:rPr>
      </w:pPr>
      <w:r>
        <w:rPr>
          <w:noProof/>
          <w:rtl/>
        </w:rPr>
        <w:t>דברי הרשב"ם דכשיש חזקה וטוען ברי נאמן במיגו</w:t>
      </w:r>
    </w:p>
    <w:p w:rsidR="000E75A3" w:rsidRDefault="000E75A3" w:rsidP="007E4E81">
      <w:pPr>
        <w:pStyle w:val="a"/>
        <w:rPr>
          <w:rFonts w:eastAsiaTheme="minorEastAsia" w:cstheme="minorBidi"/>
          <w:sz w:val="22"/>
          <w:szCs w:val="22"/>
          <w:rtl/>
        </w:rPr>
      </w:pPr>
      <w:r>
        <w:rPr>
          <w:rtl/>
        </w:rPr>
        <w:t>דברי הרשב"ם דבטוען המחזיק טענת ברי דקמי דידי ויש לו חזקת ג"ש נאמן במיגו דמינך זבינתה</w:t>
      </w:r>
    </w:p>
    <w:p w:rsidR="000E75A3" w:rsidRDefault="000E75A3" w:rsidP="007E4E81">
      <w:pPr>
        <w:pStyle w:val="a"/>
        <w:rPr>
          <w:rFonts w:eastAsiaTheme="minorEastAsia" w:cstheme="minorBidi"/>
          <w:sz w:val="22"/>
          <w:szCs w:val="22"/>
          <w:rtl/>
        </w:rPr>
      </w:pPr>
      <w:r>
        <w:rPr>
          <w:rtl/>
        </w:rPr>
        <w:lastRenderedPageBreak/>
        <w:t>דברי הרמ"ה דבקמי דידי נאמן במיגו דכיון דבעידי חד יומא טענינן כ"ש בטוען טענת ברי דנאמן</w:t>
      </w:r>
    </w:p>
    <w:p w:rsidR="000E75A3" w:rsidRDefault="000E75A3" w:rsidP="000E75A3">
      <w:pPr>
        <w:pStyle w:val="2"/>
        <w:rPr>
          <w:rFonts w:eastAsiaTheme="minorEastAsia" w:cstheme="minorBidi"/>
          <w:i/>
          <w:iCs/>
          <w:sz w:val="22"/>
          <w:szCs w:val="22"/>
          <w:rtl/>
        </w:rPr>
      </w:pPr>
      <w:r>
        <w:rPr>
          <w:rtl/>
        </w:rPr>
        <w:t>בי' הטור ברשב"ם דקמי דידי צריך חזקה</w:t>
      </w:r>
    </w:p>
    <w:p w:rsidR="000E75A3" w:rsidRDefault="000E75A3" w:rsidP="000E75A3">
      <w:pPr>
        <w:pStyle w:val="aff4"/>
        <w:rPr>
          <w:rFonts w:eastAsiaTheme="minorEastAsia" w:cstheme="minorBidi"/>
          <w:i/>
          <w:iCs/>
          <w:noProof/>
          <w:sz w:val="22"/>
          <w:szCs w:val="22"/>
          <w:rtl/>
        </w:rPr>
      </w:pPr>
      <w:r>
        <w:rPr>
          <w:noProof/>
          <w:rtl/>
        </w:rPr>
        <w:t>ביאור הטור בדעת הרשב"ם דטענת קמי דידי ל"מ בלא חזקה</w:t>
      </w:r>
    </w:p>
    <w:p w:rsidR="000E75A3" w:rsidRDefault="000E75A3" w:rsidP="007E4E81">
      <w:pPr>
        <w:pStyle w:val="a"/>
        <w:rPr>
          <w:rFonts w:eastAsiaTheme="minorEastAsia" w:cstheme="minorBidi"/>
          <w:sz w:val="22"/>
          <w:szCs w:val="22"/>
          <w:rtl/>
        </w:rPr>
      </w:pPr>
      <w:r>
        <w:rPr>
          <w:rtl/>
        </w:rPr>
        <w:t>ביאור הטור ברשב"ם בטוען קמי דידי ואין לו חזקת ג"ש אינו נאמן אף שאין עדים למערער</w:t>
      </w:r>
    </w:p>
    <w:p w:rsidR="000E75A3" w:rsidRDefault="000E75A3" w:rsidP="007E4E81">
      <w:pPr>
        <w:pStyle w:val="a"/>
        <w:rPr>
          <w:rFonts w:eastAsiaTheme="minorEastAsia" w:cstheme="minorBidi"/>
          <w:sz w:val="22"/>
          <w:szCs w:val="22"/>
          <w:rtl/>
        </w:rPr>
      </w:pPr>
      <w:r>
        <w:rPr>
          <w:rtl/>
        </w:rPr>
        <w:t>דברי הדרישה דפשטות לשון הרשב"ם היא כביאור הטור וכן משמע דביארו התוס' ברשב"ם</w:t>
      </w:r>
    </w:p>
    <w:p w:rsidR="000E75A3" w:rsidRDefault="000E75A3" w:rsidP="000E75A3">
      <w:pPr>
        <w:pStyle w:val="aff4"/>
        <w:rPr>
          <w:rFonts w:eastAsiaTheme="minorEastAsia" w:cstheme="minorBidi"/>
          <w:i/>
          <w:iCs/>
          <w:noProof/>
          <w:sz w:val="22"/>
          <w:szCs w:val="22"/>
          <w:rtl/>
        </w:rPr>
      </w:pPr>
      <w:r>
        <w:rPr>
          <w:noProof/>
          <w:rtl/>
        </w:rPr>
        <w:t>דברי הטור דכל דברי הרשב"ם הם כיון דהודה מעצמו</w:t>
      </w:r>
    </w:p>
    <w:p w:rsidR="000E75A3" w:rsidRDefault="000E75A3" w:rsidP="007E4E81">
      <w:pPr>
        <w:pStyle w:val="a"/>
        <w:rPr>
          <w:rFonts w:eastAsiaTheme="minorEastAsia" w:cstheme="minorBidi"/>
          <w:sz w:val="22"/>
          <w:szCs w:val="22"/>
          <w:rtl/>
        </w:rPr>
      </w:pPr>
      <w:r>
        <w:rPr>
          <w:rtl/>
        </w:rPr>
        <w:t>דברי הטור דרבינו יונה ביאר ברשב"ם דכיון דהודה מעצמו לכן מוציאין ממנו [אף בקמי דידי]</w:t>
      </w:r>
    </w:p>
    <w:p w:rsidR="000E75A3" w:rsidRDefault="000E75A3" w:rsidP="007E4E81">
      <w:pPr>
        <w:pStyle w:val="a"/>
        <w:rPr>
          <w:rFonts w:eastAsiaTheme="minorEastAsia" w:cstheme="minorBidi"/>
          <w:sz w:val="22"/>
          <w:szCs w:val="22"/>
          <w:rtl/>
        </w:rPr>
      </w:pPr>
      <w:r>
        <w:rPr>
          <w:rtl/>
        </w:rPr>
        <w:t>ביאור הדרישה דלדברי הרא"ש דלא הודה מעצמו נאמן בטוען שיש לו חזקה אלא דאין לו מיגו</w:t>
      </w:r>
    </w:p>
    <w:p w:rsidR="000E75A3" w:rsidRDefault="000E75A3" w:rsidP="000E75A3">
      <w:pPr>
        <w:pStyle w:val="aff4"/>
        <w:rPr>
          <w:rFonts w:eastAsiaTheme="minorEastAsia" w:cstheme="minorBidi"/>
          <w:i/>
          <w:iCs/>
          <w:noProof/>
          <w:sz w:val="22"/>
          <w:szCs w:val="22"/>
          <w:rtl/>
        </w:rPr>
      </w:pPr>
      <w:r>
        <w:rPr>
          <w:noProof/>
          <w:rtl/>
        </w:rPr>
        <w:t>בי' הדרישה והביה"ל ברשב"ם דבתוך ג"א אמרינן אחוי שטרך</w:t>
      </w:r>
    </w:p>
    <w:p w:rsidR="000E75A3" w:rsidRDefault="000E75A3" w:rsidP="007E4E81">
      <w:pPr>
        <w:pStyle w:val="a"/>
        <w:rPr>
          <w:rFonts w:eastAsiaTheme="minorEastAsia" w:cstheme="minorBidi"/>
          <w:sz w:val="22"/>
          <w:szCs w:val="22"/>
          <w:rtl/>
        </w:rPr>
      </w:pPr>
      <w:r>
        <w:rPr>
          <w:rtl/>
        </w:rPr>
        <w:t>קושית הדרישה על ביאור הרא"ש ברשב"ם דאף בלא חזקה יהיה נאמן בברי דהוא ודאי וודאי</w:t>
      </w:r>
    </w:p>
    <w:p w:rsidR="000E75A3" w:rsidRDefault="000E75A3" w:rsidP="007E4E81">
      <w:pPr>
        <w:pStyle w:val="a"/>
        <w:rPr>
          <w:rFonts w:eastAsiaTheme="minorEastAsia" w:cstheme="minorBidi"/>
          <w:sz w:val="22"/>
          <w:szCs w:val="22"/>
          <w:rtl/>
        </w:rPr>
      </w:pPr>
      <w:r>
        <w:rPr>
          <w:rtl/>
        </w:rPr>
        <w:t>ביאור הדרישה והביה"ל דמיגו ל"מ כנגד אחוי שטרך ובתוך ג"ש ל"מ טענת ברי דאין לו שטר</w:t>
      </w:r>
    </w:p>
    <w:p w:rsidR="000E75A3" w:rsidRDefault="000E75A3" w:rsidP="000E75A3">
      <w:pPr>
        <w:pStyle w:val="aff4"/>
        <w:rPr>
          <w:rFonts w:eastAsiaTheme="minorEastAsia" w:cstheme="minorBidi"/>
          <w:i/>
          <w:iCs/>
          <w:noProof/>
          <w:sz w:val="22"/>
          <w:szCs w:val="22"/>
          <w:rtl/>
        </w:rPr>
      </w:pPr>
      <w:r>
        <w:rPr>
          <w:noProof/>
          <w:rtl/>
        </w:rPr>
        <w:t>ביאור התומים דבלי חזקה אין המיגו טוב בקמי דידי ואינו ודאי</w:t>
      </w:r>
    </w:p>
    <w:p w:rsidR="000E75A3" w:rsidRDefault="000E75A3" w:rsidP="007E4E81">
      <w:pPr>
        <w:pStyle w:val="a"/>
        <w:rPr>
          <w:rFonts w:eastAsiaTheme="minorEastAsia" w:cstheme="minorBidi"/>
          <w:sz w:val="22"/>
          <w:szCs w:val="22"/>
          <w:rtl/>
        </w:rPr>
      </w:pPr>
      <w:r>
        <w:rPr>
          <w:rtl/>
        </w:rPr>
        <w:t>ביאור התומים דבקמי דידי אינו נאמן בלא חזקה במיגו דלהד"ם דהוא גרוע דהמחזיק ירא לטוענו</w:t>
      </w:r>
    </w:p>
    <w:p w:rsidR="000E75A3" w:rsidRDefault="000E75A3" w:rsidP="007E4E81">
      <w:pPr>
        <w:pStyle w:val="a"/>
        <w:rPr>
          <w:rFonts w:eastAsiaTheme="minorEastAsia" w:cstheme="minorBidi"/>
          <w:sz w:val="22"/>
          <w:szCs w:val="22"/>
          <w:rtl/>
        </w:rPr>
      </w:pPr>
      <w:r>
        <w:rPr>
          <w:rtl/>
        </w:rPr>
        <w:t>ביאור התומים דבקמי דידי בזקה נאמן במיגו דמינך זבינתה וסומך שיהיו עדים שהמוכר קנה</w:t>
      </w:r>
    </w:p>
    <w:p w:rsidR="000E75A3" w:rsidRDefault="000E75A3" w:rsidP="007E4E81">
      <w:pPr>
        <w:pStyle w:val="a"/>
        <w:rPr>
          <w:rFonts w:eastAsiaTheme="minorEastAsia" w:cstheme="minorBidi"/>
          <w:sz w:val="22"/>
          <w:szCs w:val="22"/>
          <w:rtl/>
        </w:rPr>
      </w:pPr>
      <w:r>
        <w:rPr>
          <w:rtl/>
        </w:rPr>
        <w:t>קושית התומים דטענת קמי דידי תחשב כטענת ודאי וא"כ מהני בלא חזקה דהוי ודאי וודאי</w:t>
      </w:r>
    </w:p>
    <w:p w:rsidR="000E75A3" w:rsidRDefault="000E75A3" w:rsidP="007E4E81">
      <w:pPr>
        <w:pStyle w:val="a"/>
        <w:rPr>
          <w:rFonts w:eastAsiaTheme="minorEastAsia" w:cstheme="minorBidi"/>
          <w:sz w:val="22"/>
          <w:szCs w:val="22"/>
          <w:rtl/>
        </w:rPr>
      </w:pPr>
      <w:r>
        <w:rPr>
          <w:rtl/>
        </w:rPr>
        <w:t>תירוץ התומים דכיון שהוא ירא לטעון את המיגו בלא חזקה לא חשיבא קמי דידי כטענת ודאי</w:t>
      </w:r>
    </w:p>
    <w:p w:rsidR="000E75A3" w:rsidRDefault="000E75A3" w:rsidP="000E75A3">
      <w:pPr>
        <w:pStyle w:val="2"/>
        <w:rPr>
          <w:rFonts w:eastAsiaTheme="minorEastAsia" w:cstheme="minorBidi"/>
          <w:i/>
          <w:iCs/>
          <w:sz w:val="22"/>
          <w:szCs w:val="22"/>
          <w:rtl/>
        </w:rPr>
      </w:pPr>
      <w:r>
        <w:rPr>
          <w:rtl/>
        </w:rPr>
        <w:t>בי' הש"ך ברשב"ם דקמי דידי א"צ חזקה</w:t>
      </w:r>
    </w:p>
    <w:p w:rsidR="000E75A3" w:rsidRDefault="000E75A3" w:rsidP="000E75A3">
      <w:pPr>
        <w:pStyle w:val="aff4"/>
        <w:rPr>
          <w:rFonts w:eastAsiaTheme="minorEastAsia" w:cstheme="minorBidi"/>
          <w:i/>
          <w:iCs/>
          <w:noProof/>
          <w:sz w:val="22"/>
          <w:szCs w:val="22"/>
          <w:rtl/>
        </w:rPr>
      </w:pPr>
      <w:r>
        <w:rPr>
          <w:noProof/>
          <w:rtl/>
        </w:rPr>
        <w:t>ביאור הש"ך ברשב"ם דטענת קמי דידי מהני אף בלא חזקה</w:t>
      </w:r>
    </w:p>
    <w:p w:rsidR="000E75A3" w:rsidRDefault="000E75A3" w:rsidP="007E4E81">
      <w:pPr>
        <w:pStyle w:val="a"/>
        <w:rPr>
          <w:rFonts w:eastAsiaTheme="minorEastAsia" w:cstheme="minorBidi"/>
          <w:sz w:val="22"/>
          <w:szCs w:val="22"/>
          <w:rtl/>
        </w:rPr>
      </w:pPr>
      <w:r>
        <w:rPr>
          <w:rtl/>
        </w:rPr>
        <w:t>ביאור הש"ך ברשב"ם דטענת קמי דידי מהני אף בלא חזקה במיגו דלהד"ם או דמינך זבינתה</w:t>
      </w:r>
    </w:p>
    <w:p w:rsidR="000E75A3" w:rsidRDefault="000E75A3" w:rsidP="007E4E81">
      <w:pPr>
        <w:pStyle w:val="a"/>
        <w:rPr>
          <w:rFonts w:eastAsiaTheme="minorEastAsia" w:cstheme="minorBidi"/>
          <w:sz w:val="22"/>
          <w:szCs w:val="22"/>
          <w:rtl/>
        </w:rPr>
      </w:pPr>
      <w:r>
        <w:rPr>
          <w:rtl/>
        </w:rPr>
        <w:t>דברי הש"ך דמשמע ברשב"ם דכשהמחזיק יודע שהמוכר קנה מהמערער הוא נאמן במיגו</w:t>
      </w:r>
    </w:p>
    <w:p w:rsidR="000E75A3" w:rsidRDefault="000E75A3" w:rsidP="007E4E81">
      <w:pPr>
        <w:pStyle w:val="a"/>
        <w:rPr>
          <w:rFonts w:eastAsiaTheme="minorEastAsia" w:cstheme="minorBidi"/>
          <w:sz w:val="22"/>
          <w:szCs w:val="22"/>
          <w:rtl/>
        </w:rPr>
      </w:pPr>
      <w:r>
        <w:rPr>
          <w:rtl/>
        </w:rPr>
        <w:t>הוכחת הש"ך מדכתב הרשב"ם בחזקה דמהני קמי דידי או חד יומא ובלא חזקה השמיט קמי דידי</w:t>
      </w:r>
    </w:p>
    <w:p w:rsidR="000E75A3" w:rsidRDefault="000E75A3" w:rsidP="007E4E81">
      <w:pPr>
        <w:pStyle w:val="a"/>
        <w:rPr>
          <w:rFonts w:eastAsiaTheme="minorEastAsia" w:cstheme="minorBidi"/>
          <w:sz w:val="22"/>
          <w:szCs w:val="22"/>
          <w:rtl/>
        </w:rPr>
      </w:pPr>
      <w:r>
        <w:rPr>
          <w:rtl/>
        </w:rPr>
        <w:t>הוכחת הש"ך מהרשב"ם דבלא חזקה והמחזיק אינו יודע שקנאה אינו נאמן אבל בקמי דידי נאמן</w:t>
      </w:r>
    </w:p>
    <w:p w:rsidR="000E75A3" w:rsidRDefault="000E75A3" w:rsidP="007E4E81">
      <w:pPr>
        <w:pStyle w:val="a"/>
        <w:rPr>
          <w:rFonts w:eastAsiaTheme="minorEastAsia" w:cstheme="minorBidi"/>
          <w:sz w:val="22"/>
          <w:szCs w:val="22"/>
          <w:rtl/>
        </w:rPr>
      </w:pPr>
      <w:r>
        <w:rPr>
          <w:rtl/>
        </w:rPr>
        <w:t>ביאור הש"ך דמ"ש הרשב"ם דקמי דידי מהני בחזקה כוונתו דבלי קמי דידי ל"מ המיגו אף בחזקה</w:t>
      </w:r>
    </w:p>
    <w:p w:rsidR="000E75A3" w:rsidRDefault="000E75A3" w:rsidP="007E4E81">
      <w:pPr>
        <w:pStyle w:val="a"/>
        <w:rPr>
          <w:rFonts w:eastAsiaTheme="minorEastAsia" w:cstheme="minorBidi"/>
          <w:sz w:val="22"/>
          <w:szCs w:val="22"/>
          <w:rtl/>
        </w:rPr>
      </w:pPr>
      <w:r>
        <w:rPr>
          <w:rtl/>
        </w:rPr>
        <w:t>הוכחת הש"ך מדהאריך הרשב"ם לבאר דלא נפרש דכוונת המחזיק לקמי דידי דאי טעין כן מהני</w:t>
      </w:r>
    </w:p>
    <w:p w:rsidR="000E75A3" w:rsidRDefault="000E75A3" w:rsidP="007E4E81">
      <w:pPr>
        <w:pStyle w:val="a"/>
        <w:rPr>
          <w:rFonts w:eastAsiaTheme="minorEastAsia" w:cstheme="minorBidi"/>
          <w:sz w:val="22"/>
          <w:szCs w:val="22"/>
          <w:rtl/>
        </w:rPr>
      </w:pPr>
      <w:r>
        <w:rPr>
          <w:rtl/>
        </w:rPr>
        <w:t>הוכחת הש"ך מדכתב הרשב"ם כמה פעמים דאין למחזיק חזקה ואפ"ה בטוען ברי נאמן</w:t>
      </w:r>
    </w:p>
    <w:p w:rsidR="000E75A3" w:rsidRDefault="000E75A3" w:rsidP="007E4E81">
      <w:pPr>
        <w:pStyle w:val="a"/>
        <w:rPr>
          <w:rFonts w:eastAsiaTheme="minorEastAsia" w:cstheme="minorBidi"/>
          <w:sz w:val="22"/>
          <w:szCs w:val="22"/>
          <w:rtl/>
        </w:rPr>
      </w:pPr>
      <w:r>
        <w:rPr>
          <w:rtl/>
        </w:rPr>
        <w:t>דברי הש"ך דכן מוכח בתוס' וברמב"ן בדעת הרשב"ם דקמי דידי מהני אף בלא חזקה</w:t>
      </w:r>
    </w:p>
    <w:p w:rsidR="000E75A3" w:rsidRDefault="000E75A3" w:rsidP="007E4E81">
      <w:pPr>
        <w:pStyle w:val="a"/>
        <w:rPr>
          <w:rFonts w:eastAsiaTheme="minorEastAsia" w:cstheme="minorBidi"/>
          <w:sz w:val="22"/>
          <w:szCs w:val="22"/>
          <w:rtl/>
        </w:rPr>
      </w:pPr>
      <w:r>
        <w:rPr>
          <w:rtl/>
        </w:rPr>
        <w:t>הוכחת הדרישה מהרמב"ן דלרשב"ם נאמן בקמי דידי אף כשאין לו חזקת ג"ש</w:t>
      </w:r>
    </w:p>
    <w:p w:rsidR="000E75A3" w:rsidRDefault="000E75A3" w:rsidP="000E75A3">
      <w:pPr>
        <w:pStyle w:val="aff4"/>
        <w:rPr>
          <w:rFonts w:eastAsiaTheme="minorEastAsia" w:cstheme="minorBidi"/>
          <w:i/>
          <w:iCs/>
          <w:noProof/>
          <w:sz w:val="22"/>
          <w:szCs w:val="22"/>
          <w:rtl/>
        </w:rPr>
      </w:pPr>
      <w:r>
        <w:rPr>
          <w:noProof/>
          <w:rtl/>
        </w:rPr>
        <w:t>דחיית התומים לביאור הש"ך ברשב"ם דקמי דידי צריך חזקה</w:t>
      </w:r>
    </w:p>
    <w:p w:rsidR="000E75A3" w:rsidRDefault="000E75A3" w:rsidP="007E4E81">
      <w:pPr>
        <w:pStyle w:val="a"/>
        <w:rPr>
          <w:rFonts w:eastAsiaTheme="minorEastAsia" w:cstheme="minorBidi"/>
          <w:sz w:val="22"/>
          <w:szCs w:val="22"/>
          <w:rtl/>
        </w:rPr>
      </w:pPr>
      <w:r>
        <w:rPr>
          <w:rtl/>
        </w:rPr>
        <w:t>דחיית התומים דברי"ף וברשב"ם מוכח דאיירי כשאין עדים למערער ואפ"ה צריך חזקה</w:t>
      </w:r>
    </w:p>
    <w:p w:rsidR="000E75A3" w:rsidRDefault="000E75A3" w:rsidP="007E4E81">
      <w:pPr>
        <w:pStyle w:val="a"/>
        <w:rPr>
          <w:rFonts w:eastAsiaTheme="minorEastAsia" w:cstheme="minorBidi"/>
          <w:sz w:val="22"/>
          <w:szCs w:val="22"/>
          <w:rtl/>
        </w:rPr>
      </w:pPr>
      <w:r>
        <w:rPr>
          <w:rtl/>
        </w:rPr>
        <w:t>דחיית התומים לדיוק הש"ך ברשב"ם דכוונתו דהעדים לא יודעים שהמוכר קנה והמחזיק יודע</w:t>
      </w:r>
    </w:p>
    <w:p w:rsidR="000E75A3" w:rsidRDefault="000E75A3" w:rsidP="000E75A3">
      <w:pPr>
        <w:pStyle w:val="2"/>
        <w:rPr>
          <w:rFonts w:eastAsiaTheme="minorEastAsia" w:cstheme="minorBidi"/>
          <w:i/>
          <w:iCs/>
          <w:sz w:val="22"/>
          <w:szCs w:val="22"/>
          <w:rtl/>
        </w:rPr>
      </w:pPr>
      <w:r>
        <w:rPr>
          <w:rtl/>
        </w:rPr>
        <w:t>ד' הראשונים דבקמי דידי א"צ חזקה</w:t>
      </w:r>
    </w:p>
    <w:p w:rsidR="000E75A3" w:rsidRDefault="000E75A3" w:rsidP="000E75A3">
      <w:pPr>
        <w:pStyle w:val="aff4"/>
        <w:rPr>
          <w:rFonts w:eastAsiaTheme="minorEastAsia" w:cstheme="minorBidi"/>
          <w:i/>
          <w:iCs/>
          <w:noProof/>
          <w:sz w:val="22"/>
          <w:szCs w:val="22"/>
          <w:rtl/>
        </w:rPr>
      </w:pPr>
      <w:r>
        <w:rPr>
          <w:noProof/>
          <w:rtl/>
        </w:rPr>
        <w:t>דעת התוס' דבקמי דידי א"צ חזקה דנאמן במיגו דלהד"ם</w:t>
      </w:r>
    </w:p>
    <w:p w:rsidR="000E75A3" w:rsidRDefault="000E75A3" w:rsidP="007E4E81">
      <w:pPr>
        <w:pStyle w:val="a"/>
        <w:rPr>
          <w:rFonts w:eastAsiaTheme="minorEastAsia" w:cstheme="minorBidi"/>
          <w:sz w:val="22"/>
          <w:szCs w:val="22"/>
          <w:rtl/>
        </w:rPr>
      </w:pPr>
      <w:r>
        <w:rPr>
          <w:rtl/>
        </w:rPr>
        <w:t>דברי הטור דמבואר בתוס' דכשאין למערער עדים נאמן בקמי דידי אף בלא חזקה במיגו דלהד"ם</w:t>
      </w:r>
    </w:p>
    <w:p w:rsidR="000E75A3" w:rsidRDefault="000E75A3" w:rsidP="000E75A3">
      <w:pPr>
        <w:pStyle w:val="aff4"/>
        <w:rPr>
          <w:rFonts w:eastAsiaTheme="minorEastAsia" w:cstheme="minorBidi"/>
          <w:i/>
          <w:iCs/>
          <w:noProof/>
          <w:sz w:val="22"/>
          <w:szCs w:val="22"/>
          <w:rtl/>
        </w:rPr>
      </w:pPr>
      <w:r>
        <w:rPr>
          <w:noProof/>
          <w:rtl/>
        </w:rPr>
        <w:t>דברי הראשונים דבקמי דידי א"צ חזקה דהפה שאסר</w:t>
      </w:r>
    </w:p>
    <w:p w:rsidR="000E75A3" w:rsidRDefault="000E75A3" w:rsidP="007E4E81">
      <w:pPr>
        <w:pStyle w:val="a"/>
        <w:rPr>
          <w:rFonts w:eastAsiaTheme="minorEastAsia" w:cstheme="minorBidi"/>
          <w:sz w:val="22"/>
          <w:szCs w:val="22"/>
          <w:rtl/>
        </w:rPr>
      </w:pPr>
      <w:r>
        <w:rPr>
          <w:rtl/>
        </w:rPr>
        <w:t>דברי רבינו יונה דב</w:t>
      </w:r>
      <w:r>
        <w:rPr>
          <w:rFonts w:hint="cs"/>
          <w:rtl/>
        </w:rPr>
        <w:t xml:space="preserve">לא </w:t>
      </w:r>
      <w:r>
        <w:rPr>
          <w:rtl/>
        </w:rPr>
        <w:t>חזקה נאמן מדין פה שאסר כשטוען מינך זבינתה או קמי דידי</w:t>
      </w:r>
    </w:p>
    <w:p w:rsidR="000E75A3" w:rsidRDefault="000E75A3" w:rsidP="007E4E81">
      <w:pPr>
        <w:pStyle w:val="a"/>
        <w:rPr>
          <w:rFonts w:eastAsiaTheme="minorEastAsia" w:cstheme="minorBidi"/>
          <w:sz w:val="22"/>
          <w:szCs w:val="22"/>
          <w:rtl/>
        </w:rPr>
      </w:pPr>
      <w:r>
        <w:rPr>
          <w:rtl/>
        </w:rPr>
        <w:t>דברי הרשב"א והריטב"א דבאמר המחזיק קמי דידי זבנה נאמן מדין הפה שאסר דמינך זביתה</w:t>
      </w:r>
    </w:p>
    <w:p w:rsidR="000E75A3" w:rsidRDefault="000E75A3" w:rsidP="000E75A3">
      <w:pPr>
        <w:pStyle w:val="2"/>
        <w:rPr>
          <w:rFonts w:eastAsiaTheme="minorEastAsia" w:cstheme="minorBidi"/>
          <w:i/>
          <w:iCs/>
          <w:sz w:val="22"/>
          <w:szCs w:val="22"/>
          <w:rtl/>
        </w:rPr>
      </w:pPr>
      <w:r>
        <w:rPr>
          <w:rtl/>
        </w:rPr>
        <w:t>בד' הרי"ף בטענת קמי דידי בלא חזקה</w:t>
      </w:r>
    </w:p>
    <w:p w:rsidR="000E75A3" w:rsidRDefault="000E75A3" w:rsidP="000E75A3">
      <w:pPr>
        <w:pStyle w:val="aff4"/>
        <w:rPr>
          <w:rFonts w:eastAsiaTheme="minorEastAsia" w:cstheme="minorBidi"/>
          <w:i/>
          <w:iCs/>
          <w:noProof/>
          <w:sz w:val="22"/>
          <w:szCs w:val="22"/>
          <w:rtl/>
        </w:rPr>
      </w:pPr>
      <w:r>
        <w:rPr>
          <w:noProof/>
          <w:rtl/>
        </w:rPr>
        <w:t>ד' הב"י דמשמעות הרי"ף דטענת קמי דידי בלא חזקה לא מהני</w:t>
      </w:r>
    </w:p>
    <w:p w:rsidR="000E75A3" w:rsidRDefault="000E75A3" w:rsidP="007E4E81">
      <w:pPr>
        <w:pStyle w:val="a"/>
        <w:rPr>
          <w:rFonts w:eastAsiaTheme="minorEastAsia" w:cstheme="minorBidi"/>
          <w:sz w:val="22"/>
          <w:szCs w:val="22"/>
          <w:rtl/>
        </w:rPr>
      </w:pPr>
      <w:r>
        <w:rPr>
          <w:rtl/>
        </w:rPr>
        <w:t>דברי הרי"ף דבחזקה למחזיק או למוכר ויש עידי חד יומא או טוען קמי דידי נאמן המחזיק</w:t>
      </w:r>
    </w:p>
    <w:p w:rsidR="000E75A3" w:rsidRDefault="000E75A3" w:rsidP="007E4E81">
      <w:pPr>
        <w:pStyle w:val="a"/>
        <w:rPr>
          <w:rFonts w:eastAsiaTheme="minorEastAsia" w:cstheme="minorBidi"/>
          <w:sz w:val="22"/>
          <w:szCs w:val="22"/>
          <w:rtl/>
        </w:rPr>
      </w:pPr>
      <w:r>
        <w:rPr>
          <w:rtl/>
        </w:rPr>
        <w:t>דברי הרי"ף דכיון שהודה המחזיק דודאי של המערער וספק שקנה המוכר אין ספק מוציא מודאי</w:t>
      </w:r>
    </w:p>
    <w:p w:rsidR="000E75A3" w:rsidRDefault="000E75A3" w:rsidP="007E4E81">
      <w:pPr>
        <w:pStyle w:val="a"/>
        <w:rPr>
          <w:rFonts w:eastAsiaTheme="minorEastAsia" w:cstheme="minorBidi"/>
          <w:sz w:val="22"/>
          <w:szCs w:val="22"/>
          <w:rtl/>
        </w:rPr>
      </w:pPr>
      <w:r>
        <w:rPr>
          <w:rtl/>
        </w:rPr>
        <w:t>דברי הרמב"ן דהפשטות ברי"ף דקמי דידי מהני רק בחזקה וכ"כ העיטור והמרדכי והב"י ברי"ף</w:t>
      </w:r>
    </w:p>
    <w:p w:rsidR="000E75A3" w:rsidRDefault="000E75A3" w:rsidP="007E4E81">
      <w:pPr>
        <w:pStyle w:val="a"/>
        <w:rPr>
          <w:rFonts w:eastAsiaTheme="minorEastAsia" w:cstheme="minorBidi"/>
          <w:sz w:val="22"/>
          <w:szCs w:val="22"/>
          <w:rtl/>
        </w:rPr>
      </w:pPr>
      <w:r>
        <w:rPr>
          <w:rtl/>
        </w:rPr>
        <w:t>ביאור החי' אנשי שם ברי"ף דבלא חזקה ירא המחזיק לטעון להד"ם ול"מ מיגו אף שהוא ודאי</w:t>
      </w:r>
    </w:p>
    <w:p w:rsidR="000E75A3" w:rsidRDefault="000E75A3" w:rsidP="000E75A3">
      <w:pPr>
        <w:pStyle w:val="aff4"/>
        <w:rPr>
          <w:rFonts w:eastAsiaTheme="minorEastAsia" w:cstheme="minorBidi"/>
          <w:i/>
          <w:iCs/>
          <w:noProof/>
          <w:sz w:val="22"/>
          <w:szCs w:val="22"/>
          <w:rtl/>
        </w:rPr>
      </w:pPr>
      <w:r>
        <w:rPr>
          <w:noProof/>
          <w:rtl/>
        </w:rPr>
        <w:t>ביאור הרמב"ן ברי"ף דבקמי דידי נאמן אף בלא חזקה</w:t>
      </w:r>
    </w:p>
    <w:p w:rsidR="000E75A3" w:rsidRDefault="000E75A3" w:rsidP="007E4E81">
      <w:pPr>
        <w:pStyle w:val="a"/>
        <w:rPr>
          <w:rFonts w:eastAsiaTheme="minorEastAsia" w:cstheme="minorBidi"/>
          <w:sz w:val="22"/>
          <w:szCs w:val="22"/>
          <w:rtl/>
        </w:rPr>
      </w:pPr>
      <w:r>
        <w:rPr>
          <w:rtl/>
        </w:rPr>
        <w:t>דברי הרמב"ן דקמי דידי הוי ודאי וודאי וא"צ חזקה וכוונת הרי"ף דכשיש עידי מר"ק צריך חזקה</w:t>
      </w:r>
    </w:p>
    <w:p w:rsidR="000E75A3" w:rsidRDefault="000E75A3" w:rsidP="007E4E81">
      <w:pPr>
        <w:pStyle w:val="a"/>
        <w:rPr>
          <w:rFonts w:eastAsiaTheme="minorEastAsia" w:cstheme="minorBidi"/>
          <w:sz w:val="22"/>
          <w:szCs w:val="22"/>
          <w:rtl/>
        </w:rPr>
      </w:pPr>
      <w:r>
        <w:rPr>
          <w:rtl/>
        </w:rPr>
        <w:t>דברי הש"ך דדוחק לומר דכוונת הרי"ף דלב"ד יש ספק אף כשהמחזיק טוען טענת ודאי</w:t>
      </w:r>
    </w:p>
    <w:p w:rsidR="000E75A3" w:rsidRDefault="000E75A3" w:rsidP="007E4E81">
      <w:pPr>
        <w:pStyle w:val="a"/>
        <w:rPr>
          <w:rFonts w:eastAsiaTheme="minorEastAsia" w:cstheme="minorBidi"/>
          <w:sz w:val="22"/>
          <w:szCs w:val="22"/>
          <w:rtl/>
        </w:rPr>
      </w:pPr>
      <w:r>
        <w:rPr>
          <w:rtl/>
        </w:rPr>
        <w:t>דברי הב"י דמשמע ברי"ף וברמב"ם דלא כרמב"ן ואף בהודה המחזיק מהני קמי דידי רק בחזקה</w:t>
      </w:r>
    </w:p>
    <w:p w:rsidR="000E75A3" w:rsidRDefault="000E75A3" w:rsidP="007E4E81">
      <w:pPr>
        <w:pStyle w:val="a"/>
        <w:rPr>
          <w:rFonts w:eastAsiaTheme="minorEastAsia" w:cstheme="minorBidi"/>
          <w:sz w:val="22"/>
          <w:szCs w:val="22"/>
          <w:rtl/>
        </w:rPr>
      </w:pPr>
      <w:r>
        <w:rPr>
          <w:rtl/>
        </w:rPr>
        <w:t>דברי התומים דלהרי"ף קמי דידי לא חשיב כודאי וודאי כיון שהוא נאמן רק במיגו</w:t>
      </w:r>
    </w:p>
    <w:p w:rsidR="000E75A3" w:rsidRDefault="000E75A3" w:rsidP="000E75A3">
      <w:pPr>
        <w:pStyle w:val="2"/>
        <w:rPr>
          <w:rFonts w:eastAsiaTheme="minorEastAsia" w:cstheme="minorBidi"/>
          <w:i/>
          <w:iCs/>
          <w:sz w:val="22"/>
          <w:szCs w:val="22"/>
          <w:rtl/>
        </w:rPr>
      </w:pPr>
      <w:r>
        <w:rPr>
          <w:rtl/>
        </w:rPr>
        <w:t>פלוגתת הב"י והש"ך ברמב"ם בקמי דידי</w:t>
      </w:r>
    </w:p>
    <w:p w:rsidR="000E75A3" w:rsidRDefault="000E75A3" w:rsidP="000E75A3">
      <w:pPr>
        <w:pStyle w:val="aff4"/>
        <w:rPr>
          <w:rFonts w:eastAsiaTheme="minorEastAsia" w:cstheme="minorBidi"/>
          <w:i/>
          <w:iCs/>
          <w:noProof/>
          <w:sz w:val="22"/>
          <w:szCs w:val="22"/>
          <w:rtl/>
        </w:rPr>
      </w:pPr>
      <w:r>
        <w:rPr>
          <w:noProof/>
          <w:rtl/>
        </w:rPr>
        <w:t>ביאור הב"י והלח"מ ברמב"ם דבקמי דידי נאמן רק בחזקה</w:t>
      </w:r>
    </w:p>
    <w:p w:rsidR="000E75A3" w:rsidRDefault="000E75A3" w:rsidP="007E4E81">
      <w:pPr>
        <w:pStyle w:val="a"/>
        <w:rPr>
          <w:rFonts w:eastAsiaTheme="minorEastAsia" w:cstheme="minorBidi"/>
          <w:sz w:val="22"/>
          <w:szCs w:val="22"/>
          <w:rtl/>
        </w:rPr>
      </w:pPr>
      <w:r>
        <w:rPr>
          <w:rtl/>
        </w:rPr>
        <w:t>דברי הטור דלהרמב"ם מהני קמי דידי בלא חזקה ודברי הב"י דהוא ט"ס ולהרמב"ם צריך חזקה</w:t>
      </w:r>
    </w:p>
    <w:p w:rsidR="000E75A3" w:rsidRDefault="000E75A3" w:rsidP="007E4E81">
      <w:pPr>
        <w:pStyle w:val="a"/>
        <w:rPr>
          <w:rFonts w:eastAsiaTheme="minorEastAsia" w:cstheme="minorBidi"/>
          <w:sz w:val="22"/>
          <w:szCs w:val="22"/>
          <w:rtl/>
        </w:rPr>
      </w:pPr>
      <w:r>
        <w:rPr>
          <w:rtl/>
        </w:rPr>
        <w:t>קושית הלח"מ דאמאי להרמב"ם אינו נאמן בקמי דידי בלא חזקה כיון שיש לו חזקה עם טענה</w:t>
      </w:r>
    </w:p>
    <w:p w:rsidR="000E75A3" w:rsidRDefault="000E75A3" w:rsidP="007E4E81">
      <w:pPr>
        <w:pStyle w:val="a"/>
        <w:rPr>
          <w:rFonts w:eastAsiaTheme="minorEastAsia" w:cstheme="minorBidi"/>
          <w:sz w:val="22"/>
          <w:szCs w:val="22"/>
          <w:rtl/>
        </w:rPr>
      </w:pPr>
      <w:r>
        <w:rPr>
          <w:rtl/>
        </w:rPr>
        <w:t>תירוץ המחנ"א דהמחזיק אינו נאמן בקמי דידי בלא חזקה במיגו דלהד"ם דירא לטוענו</w:t>
      </w:r>
    </w:p>
    <w:p w:rsidR="000E75A3" w:rsidRDefault="000E75A3" w:rsidP="000E75A3">
      <w:pPr>
        <w:pStyle w:val="aff4"/>
        <w:rPr>
          <w:rFonts w:eastAsiaTheme="minorEastAsia" w:cstheme="minorBidi"/>
          <w:i/>
          <w:iCs/>
          <w:noProof/>
          <w:sz w:val="22"/>
          <w:szCs w:val="22"/>
          <w:rtl/>
        </w:rPr>
      </w:pPr>
      <w:r>
        <w:rPr>
          <w:noProof/>
          <w:rtl/>
        </w:rPr>
        <w:t>ביאור הש"ך ברמב"ם דכשאין עידי מר"ק א"צ חזקה בקמי דידי</w:t>
      </w:r>
    </w:p>
    <w:p w:rsidR="000E75A3" w:rsidRDefault="000E75A3" w:rsidP="007E4E81">
      <w:pPr>
        <w:pStyle w:val="a"/>
        <w:rPr>
          <w:rFonts w:eastAsiaTheme="minorEastAsia" w:cstheme="minorBidi"/>
          <w:sz w:val="22"/>
          <w:szCs w:val="22"/>
          <w:rtl/>
        </w:rPr>
      </w:pPr>
      <w:r>
        <w:rPr>
          <w:rtl/>
        </w:rPr>
        <w:t>ביאור הש"ך ברמב"ם דבקמי דידי נאמן במיגו דלהד"ם ורק כשיש עדים למערער צריך חזקה</w:t>
      </w:r>
    </w:p>
    <w:p w:rsidR="000E75A3" w:rsidRDefault="000E75A3" w:rsidP="007E4E81">
      <w:pPr>
        <w:pStyle w:val="a"/>
        <w:rPr>
          <w:rFonts w:eastAsiaTheme="minorEastAsia" w:cstheme="minorBidi"/>
          <w:sz w:val="22"/>
          <w:szCs w:val="22"/>
          <w:rtl/>
        </w:rPr>
      </w:pPr>
      <w:r>
        <w:rPr>
          <w:rtl/>
        </w:rPr>
        <w:t>דחיית התומים לביאור הש"ך דברמב"ם מוכח דאיירי כשאין עדים למערער ואפ"ה צריך חזקה</w:t>
      </w:r>
    </w:p>
    <w:p w:rsidR="000E75A3" w:rsidRDefault="000E75A3" w:rsidP="000E75A3">
      <w:pPr>
        <w:pStyle w:val="2"/>
        <w:rPr>
          <w:rFonts w:eastAsiaTheme="minorEastAsia" w:cstheme="minorBidi"/>
          <w:i/>
          <w:iCs/>
          <w:sz w:val="22"/>
          <w:szCs w:val="22"/>
          <w:rtl/>
        </w:rPr>
      </w:pPr>
      <w:r>
        <w:rPr>
          <w:rtl/>
        </w:rPr>
        <w:t>בד' הרא"ש בקמי דידי בלא חזקה</w:t>
      </w:r>
    </w:p>
    <w:p w:rsidR="000E75A3" w:rsidRDefault="000E75A3" w:rsidP="000E75A3">
      <w:pPr>
        <w:pStyle w:val="aff4"/>
        <w:rPr>
          <w:rFonts w:eastAsiaTheme="minorEastAsia" w:cstheme="minorBidi"/>
          <w:i/>
          <w:iCs/>
          <w:noProof/>
          <w:sz w:val="22"/>
          <w:szCs w:val="22"/>
          <w:rtl/>
        </w:rPr>
      </w:pPr>
      <w:r>
        <w:rPr>
          <w:noProof/>
          <w:rtl/>
        </w:rPr>
        <w:t>ביאור הב"ח ברא"ש דבלא חזקה ל"מ עידי חד יומא וקמי דידי</w:t>
      </w:r>
    </w:p>
    <w:p w:rsidR="000E75A3" w:rsidRDefault="000E75A3" w:rsidP="007E4E81">
      <w:pPr>
        <w:pStyle w:val="a"/>
        <w:rPr>
          <w:rFonts w:eastAsiaTheme="minorEastAsia" w:cstheme="minorBidi"/>
          <w:sz w:val="22"/>
          <w:szCs w:val="22"/>
          <w:rtl/>
        </w:rPr>
      </w:pPr>
      <w:r>
        <w:rPr>
          <w:rtl/>
        </w:rPr>
        <w:t>ביאור הב"ח ברא"ש דכיון דאין לו מיגו לא נאמן שהמוכר קנאה אף בעידי חד יומא ובקמי דידי</w:t>
      </w:r>
    </w:p>
    <w:p w:rsidR="000E75A3" w:rsidRDefault="000E75A3" w:rsidP="000E75A3">
      <w:pPr>
        <w:pStyle w:val="aff4"/>
        <w:rPr>
          <w:rFonts w:eastAsiaTheme="minorEastAsia" w:cstheme="minorBidi"/>
          <w:i/>
          <w:iCs/>
          <w:noProof/>
          <w:sz w:val="22"/>
          <w:szCs w:val="22"/>
          <w:rtl/>
        </w:rPr>
      </w:pPr>
      <w:r>
        <w:rPr>
          <w:noProof/>
          <w:rtl/>
        </w:rPr>
        <w:t>הוכחת הש"ך מהרא"ש דאף לרשב"ם בקמי דידי צריך חזקה</w:t>
      </w:r>
    </w:p>
    <w:p w:rsidR="000E75A3" w:rsidRDefault="000E75A3" w:rsidP="007E4E81">
      <w:pPr>
        <w:pStyle w:val="a"/>
        <w:rPr>
          <w:rFonts w:eastAsiaTheme="minorEastAsia" w:cstheme="minorBidi"/>
          <w:sz w:val="22"/>
          <w:szCs w:val="22"/>
          <w:rtl/>
        </w:rPr>
      </w:pPr>
      <w:r>
        <w:rPr>
          <w:rtl/>
        </w:rPr>
        <w:t>דברי הש"ך דמוכח ברא"ש דכוונתו לבאר בדעת הרשב"ם דקמי דידי מהני אף בלא חזקה</w:t>
      </w:r>
    </w:p>
    <w:p w:rsidR="000E75A3" w:rsidRDefault="000E75A3" w:rsidP="007E4E81">
      <w:pPr>
        <w:pStyle w:val="a"/>
        <w:rPr>
          <w:rFonts w:eastAsiaTheme="minorEastAsia" w:cstheme="minorBidi"/>
          <w:sz w:val="22"/>
          <w:szCs w:val="22"/>
          <w:rtl/>
        </w:rPr>
      </w:pPr>
      <w:r>
        <w:rPr>
          <w:rtl/>
        </w:rPr>
        <w:t>קושית הש"ך על הטור דאף אי הרא"ש לא ביאר כן ברשב"ם מ"מ זו דעת הרא"ש ודלא כטור</w:t>
      </w:r>
    </w:p>
    <w:p w:rsidR="000E75A3" w:rsidRDefault="000E75A3" w:rsidP="000E75A3">
      <w:pPr>
        <w:pStyle w:val="aff4"/>
        <w:rPr>
          <w:rFonts w:eastAsiaTheme="minorEastAsia" w:cstheme="minorBidi"/>
          <w:i/>
          <w:iCs/>
          <w:noProof/>
          <w:sz w:val="22"/>
          <w:szCs w:val="22"/>
          <w:rtl/>
        </w:rPr>
      </w:pPr>
      <w:r>
        <w:rPr>
          <w:noProof/>
          <w:rtl/>
        </w:rPr>
        <w:t>ביאור התומים דלמסקנת הרא"ש ברשב"ם אין מיגו וצריך חזקה</w:t>
      </w:r>
    </w:p>
    <w:p w:rsidR="000E75A3" w:rsidRDefault="000E75A3" w:rsidP="007E4E81">
      <w:pPr>
        <w:pStyle w:val="a"/>
        <w:rPr>
          <w:rFonts w:eastAsiaTheme="minorEastAsia" w:cstheme="minorBidi"/>
          <w:sz w:val="22"/>
          <w:szCs w:val="22"/>
          <w:rtl/>
        </w:rPr>
      </w:pPr>
      <w:r>
        <w:rPr>
          <w:rtl/>
        </w:rPr>
        <w:t>ביאור התומים דביאור הרא"ש ברשב"ם הוא לפי קושיתו אבל למסקנתו דאין מיגו צריך חזקה</w:t>
      </w:r>
    </w:p>
    <w:p w:rsidR="000E75A3" w:rsidRDefault="000E75A3" w:rsidP="000E75A3">
      <w:pPr>
        <w:pStyle w:val="aff4"/>
        <w:rPr>
          <w:rFonts w:eastAsiaTheme="minorEastAsia" w:cstheme="minorBidi"/>
          <w:i/>
          <w:iCs/>
          <w:noProof/>
          <w:sz w:val="22"/>
          <w:szCs w:val="22"/>
          <w:rtl/>
        </w:rPr>
      </w:pPr>
      <w:r>
        <w:rPr>
          <w:noProof/>
          <w:rtl/>
        </w:rPr>
        <w:t>ביאור הדרישה ברא"ש דבקמי דידי סגי בטענת חזקה וא"צ עדים</w:t>
      </w:r>
    </w:p>
    <w:p w:rsidR="000E75A3" w:rsidRDefault="000E75A3" w:rsidP="007E4E81">
      <w:pPr>
        <w:pStyle w:val="a"/>
        <w:rPr>
          <w:rFonts w:eastAsiaTheme="minorEastAsia" w:cstheme="minorBidi"/>
          <w:sz w:val="22"/>
          <w:szCs w:val="22"/>
          <w:rtl/>
        </w:rPr>
      </w:pPr>
      <w:r>
        <w:rPr>
          <w:rtl/>
        </w:rPr>
        <w:t>דברי הדרישה דמוכח ברא"ש דנאמן בקמי דידי אף כשאין לו חזקה כיון שאין למערער עדים</w:t>
      </w:r>
    </w:p>
    <w:p w:rsidR="000E75A3" w:rsidRDefault="000E75A3" w:rsidP="007E4E81">
      <w:pPr>
        <w:pStyle w:val="a"/>
        <w:rPr>
          <w:rFonts w:eastAsiaTheme="minorEastAsia" w:cstheme="minorBidi"/>
          <w:sz w:val="22"/>
          <w:szCs w:val="22"/>
          <w:rtl/>
        </w:rPr>
      </w:pPr>
      <w:r>
        <w:rPr>
          <w:rtl/>
        </w:rPr>
        <w:t>קושית הדרישה דמוכח ברא"ש דאף לרשב"ם א"צ חזקה בקמי דידי ודלא כביאור הטור ברשב"ם</w:t>
      </w:r>
    </w:p>
    <w:p w:rsidR="000E75A3" w:rsidRDefault="000E75A3" w:rsidP="007E4E81">
      <w:pPr>
        <w:pStyle w:val="a"/>
        <w:rPr>
          <w:rFonts w:eastAsiaTheme="minorEastAsia" w:cstheme="minorBidi"/>
          <w:sz w:val="22"/>
          <w:szCs w:val="22"/>
          <w:rtl/>
        </w:rPr>
      </w:pPr>
      <w:r>
        <w:rPr>
          <w:rtl/>
        </w:rPr>
        <w:t>דברי הדרישה דצ"ל דרק כשהודה המחזיק מעצמו ס"ל לרשב"ם דצריך חזקה בקמי דידי</w:t>
      </w:r>
    </w:p>
    <w:p w:rsidR="000E75A3" w:rsidRDefault="000E75A3" w:rsidP="007E4E81">
      <w:pPr>
        <w:pStyle w:val="a"/>
        <w:rPr>
          <w:rFonts w:eastAsiaTheme="minorEastAsia" w:cstheme="minorBidi"/>
          <w:sz w:val="22"/>
          <w:szCs w:val="22"/>
          <w:rtl/>
        </w:rPr>
      </w:pPr>
      <w:r>
        <w:rPr>
          <w:rtl/>
        </w:rPr>
        <w:t>דברי הדרישה דהרא"ש ביאר ברשב"ם דבקמי דידי סגי דטוען המחזיק שיש לו חזקה בלי עדים</w:t>
      </w:r>
    </w:p>
    <w:p w:rsidR="000E75A3" w:rsidRDefault="001B6519" w:rsidP="000E75A3">
      <w:pPr>
        <w:pStyle w:val="2"/>
        <w:rPr>
          <w:rFonts w:eastAsiaTheme="minorEastAsia" w:cstheme="minorBidi"/>
          <w:i/>
          <w:iCs/>
          <w:sz w:val="22"/>
          <w:szCs w:val="22"/>
          <w:rtl/>
        </w:rPr>
      </w:pPr>
      <w:r>
        <w:rPr>
          <w:rtl/>
        </w:rPr>
        <w:t>~~~~~~~ ביאורי ראשי הישיבות ~~~~~~~</w:t>
      </w:r>
    </w:p>
    <w:p w:rsidR="000E75A3" w:rsidRDefault="000E75A3" w:rsidP="000E75A3">
      <w:pPr>
        <w:pStyle w:val="2"/>
        <w:rPr>
          <w:rFonts w:eastAsiaTheme="minorEastAsia" w:cstheme="minorBidi"/>
          <w:i/>
          <w:iCs/>
          <w:sz w:val="22"/>
          <w:szCs w:val="22"/>
          <w:rtl/>
        </w:rPr>
      </w:pPr>
      <w:r>
        <w:rPr>
          <w:rtl/>
        </w:rPr>
        <w:t>בעיקר דין עידי חד יומא כשיש חזקה</w:t>
      </w:r>
    </w:p>
    <w:p w:rsidR="000E75A3" w:rsidRDefault="000E75A3" w:rsidP="000E75A3">
      <w:pPr>
        <w:pStyle w:val="aff4"/>
        <w:rPr>
          <w:rFonts w:eastAsiaTheme="minorEastAsia" w:cstheme="minorBidi"/>
          <w:i/>
          <w:iCs/>
          <w:noProof/>
          <w:sz w:val="22"/>
          <w:szCs w:val="22"/>
          <w:rtl/>
        </w:rPr>
      </w:pPr>
      <w:r>
        <w:rPr>
          <w:noProof/>
          <w:rtl/>
        </w:rPr>
        <w:t>דברי הקה"י דבלא חד יומא יש הוכחה הפוכה מהטענינן</w:t>
      </w:r>
    </w:p>
    <w:p w:rsidR="000E75A3" w:rsidRDefault="000E75A3" w:rsidP="007E4E81">
      <w:pPr>
        <w:pStyle w:val="a"/>
        <w:rPr>
          <w:rFonts w:eastAsiaTheme="minorEastAsia" w:cstheme="minorBidi"/>
          <w:sz w:val="22"/>
          <w:szCs w:val="22"/>
          <w:rtl/>
        </w:rPr>
      </w:pPr>
      <w:r>
        <w:rPr>
          <w:rtl/>
        </w:rPr>
        <w:t>קושית הקה"י על הקצוה"ח דבתוס' לקמן משמע דרק כשיש הוכחה הפוכה מהטענה לא טענינן</w:t>
      </w:r>
    </w:p>
    <w:p w:rsidR="000E75A3" w:rsidRDefault="000E75A3" w:rsidP="007E4E81">
      <w:pPr>
        <w:pStyle w:val="a"/>
        <w:rPr>
          <w:rFonts w:eastAsiaTheme="minorEastAsia" w:cstheme="minorBidi"/>
          <w:sz w:val="22"/>
          <w:szCs w:val="22"/>
          <w:rtl/>
        </w:rPr>
      </w:pPr>
      <w:r>
        <w:rPr>
          <w:rtl/>
        </w:rPr>
        <w:t>ביאור הקצוה"ח דבחד יומא בלא עדים חשיב שיש הוכחה שלא קנאה מדלא ראוהו דדר בה</w:t>
      </w:r>
    </w:p>
    <w:p w:rsidR="000E75A3" w:rsidRDefault="000E75A3" w:rsidP="000E75A3">
      <w:pPr>
        <w:pStyle w:val="aff4"/>
        <w:rPr>
          <w:rFonts w:eastAsiaTheme="minorEastAsia" w:cstheme="minorBidi"/>
          <w:i/>
          <w:iCs/>
          <w:noProof/>
          <w:sz w:val="22"/>
          <w:szCs w:val="22"/>
          <w:rtl/>
        </w:rPr>
      </w:pPr>
      <w:r>
        <w:rPr>
          <w:noProof/>
          <w:rtl/>
        </w:rPr>
        <w:t>ביאורי שיעורי רבי אלחנן בחזקת המחזיק ע"י החד יומא</w:t>
      </w:r>
    </w:p>
    <w:p w:rsidR="000E75A3" w:rsidRDefault="000E75A3" w:rsidP="007E4E81">
      <w:pPr>
        <w:pStyle w:val="a"/>
        <w:rPr>
          <w:rFonts w:eastAsiaTheme="minorEastAsia" w:cstheme="minorBidi"/>
          <w:sz w:val="22"/>
          <w:szCs w:val="22"/>
          <w:rtl/>
        </w:rPr>
      </w:pPr>
      <w:r>
        <w:rPr>
          <w:rtl/>
        </w:rPr>
        <w:t>הבי' הא' בגרא"ו דבעידי חד יומא יש למוכר שייכות לקרקע ועי"ז מהני חזקת המחזיק</w:t>
      </w:r>
    </w:p>
    <w:p w:rsidR="000E75A3" w:rsidRDefault="000E75A3" w:rsidP="007E4E81">
      <w:pPr>
        <w:pStyle w:val="a"/>
        <w:rPr>
          <w:rFonts w:eastAsiaTheme="minorEastAsia" w:cstheme="minorBidi"/>
          <w:sz w:val="22"/>
          <w:szCs w:val="22"/>
          <w:rtl/>
        </w:rPr>
      </w:pPr>
      <w:r>
        <w:rPr>
          <w:rtl/>
        </w:rPr>
        <w:t>הבי' הב' בגרא"ו דחד יומא הוא כחזקת מטלטלין וע"י הג"ש של המחזיק אין טענת אחוי שטרך</w:t>
      </w:r>
    </w:p>
    <w:p w:rsidR="000E75A3" w:rsidRDefault="000E75A3" w:rsidP="000E75A3">
      <w:pPr>
        <w:pStyle w:val="aff4"/>
        <w:rPr>
          <w:rFonts w:ascii="FrankRuehl" w:eastAsia="Guttman Adii-Light" w:hAnsi="FrankRuehl"/>
          <w:noProof/>
          <w:sz w:val="24"/>
          <w:szCs w:val="24"/>
          <w:rtl/>
        </w:rPr>
      </w:pPr>
      <w:r w:rsidRPr="00AD6940">
        <w:rPr>
          <w:rFonts w:ascii="FrankRuehl" w:eastAsia="Guttman Adii-Light" w:hAnsi="FrankRuehl"/>
          <w:noProof/>
          <w:sz w:val="24"/>
          <w:szCs w:val="24"/>
          <w:rtl/>
        </w:rPr>
        <w:t>בד' הרשב"ם דאין טענינן בלא דררא</w:t>
      </w:r>
    </w:p>
    <w:p w:rsidR="000E75A3" w:rsidRDefault="000E75A3" w:rsidP="000E75A3">
      <w:pPr>
        <w:pStyle w:val="aff4"/>
        <w:rPr>
          <w:rFonts w:eastAsiaTheme="minorEastAsia" w:cstheme="minorBidi"/>
          <w:i/>
          <w:iCs/>
          <w:noProof/>
          <w:sz w:val="22"/>
          <w:szCs w:val="22"/>
          <w:rtl/>
        </w:rPr>
      </w:pPr>
      <w:r>
        <w:rPr>
          <w:noProof/>
          <w:rtl/>
        </w:rPr>
        <w:t>ביאור רבי ראובן ברשב"ם דבלא חזקה אין דררא ולא טענינן</w:t>
      </w:r>
    </w:p>
    <w:p w:rsidR="000E75A3" w:rsidRDefault="000E75A3" w:rsidP="007E4E81">
      <w:pPr>
        <w:pStyle w:val="a"/>
        <w:rPr>
          <w:rFonts w:eastAsiaTheme="minorEastAsia" w:cstheme="minorBidi"/>
          <w:sz w:val="22"/>
          <w:szCs w:val="22"/>
          <w:rtl/>
        </w:rPr>
      </w:pPr>
      <w:r>
        <w:rPr>
          <w:rtl/>
        </w:rPr>
        <w:t>ביאור רבי ראובן ברשב"ם דטענינן הוא רק כשיש דררא לב"ד ובלא חזקה אין דררא</w:t>
      </w:r>
    </w:p>
    <w:p w:rsidR="000E75A3" w:rsidRDefault="000E75A3" w:rsidP="000E75A3">
      <w:pPr>
        <w:pStyle w:val="aff4"/>
        <w:rPr>
          <w:noProof/>
          <w:rtl/>
        </w:rPr>
      </w:pPr>
      <w:r w:rsidRPr="00AD6940">
        <w:rPr>
          <w:rFonts w:ascii="FrankRuehl" w:eastAsia="Guttman Adii-Light" w:hAnsi="FrankRuehl"/>
          <w:noProof/>
          <w:sz w:val="24"/>
          <w:szCs w:val="24"/>
          <w:rtl/>
        </w:rPr>
        <w:t>ביאור הגרנ"פ ברשב"ם בגדר הפה שאסר</w:t>
      </w:r>
    </w:p>
    <w:p w:rsidR="000E75A3" w:rsidRDefault="000E75A3" w:rsidP="000E75A3">
      <w:pPr>
        <w:pStyle w:val="aff4"/>
        <w:rPr>
          <w:rFonts w:eastAsiaTheme="minorEastAsia" w:cstheme="minorBidi"/>
          <w:i/>
          <w:iCs/>
          <w:noProof/>
          <w:sz w:val="22"/>
          <w:szCs w:val="22"/>
          <w:rtl/>
        </w:rPr>
      </w:pPr>
      <w:r>
        <w:rPr>
          <w:noProof/>
          <w:rtl/>
        </w:rPr>
        <w:t>קושיות הגרנ"פ על הרשב"ם דל"מ מיגו דלהד"ם</w:t>
      </w:r>
    </w:p>
    <w:p w:rsidR="000E75A3" w:rsidRDefault="000E75A3" w:rsidP="007E4E81">
      <w:pPr>
        <w:pStyle w:val="a"/>
        <w:rPr>
          <w:rFonts w:eastAsiaTheme="minorEastAsia" w:cstheme="minorBidi"/>
          <w:sz w:val="22"/>
          <w:szCs w:val="22"/>
          <w:rtl/>
        </w:rPr>
      </w:pPr>
      <w:r>
        <w:rPr>
          <w:rtl/>
        </w:rPr>
        <w:t>קו' הגרנ"פ על הרשב"ם דאמאי כ' מיגו דמינך זבינתה ול"מ חד יומא בלא חזקה במיגו דלהד"ם</w:t>
      </w:r>
    </w:p>
    <w:p w:rsidR="000E75A3" w:rsidRDefault="000E75A3" w:rsidP="007E4E81">
      <w:pPr>
        <w:pStyle w:val="a"/>
        <w:rPr>
          <w:rFonts w:eastAsiaTheme="minorEastAsia" w:cstheme="minorBidi"/>
          <w:sz w:val="22"/>
          <w:szCs w:val="22"/>
          <w:rtl/>
        </w:rPr>
      </w:pPr>
      <w:r>
        <w:rPr>
          <w:rtl/>
        </w:rPr>
        <w:t>קו' הגרנ"פ דהש"ך הוכיח מהמשך הרשב"ם דא"צ חזקה ולהטור הוא סתירא לתחילת הרשב"ם</w:t>
      </w:r>
    </w:p>
    <w:p w:rsidR="000E75A3" w:rsidRDefault="000E75A3" w:rsidP="007E4E81">
      <w:pPr>
        <w:pStyle w:val="a"/>
        <w:rPr>
          <w:rFonts w:eastAsiaTheme="minorEastAsia" w:cstheme="minorBidi"/>
          <w:sz w:val="22"/>
          <w:szCs w:val="22"/>
          <w:rtl/>
        </w:rPr>
      </w:pPr>
      <w:r>
        <w:rPr>
          <w:rtl/>
        </w:rPr>
        <w:t>קושית הגרנ"פ דמשמע ברשב"ם דאף במינך זבינת צריך חזקה ואינו נאמן במיגו דלהד"ם</w:t>
      </w:r>
    </w:p>
    <w:p w:rsidR="000E75A3" w:rsidRDefault="000E75A3" w:rsidP="000E75A3">
      <w:pPr>
        <w:pStyle w:val="aff4"/>
        <w:rPr>
          <w:rFonts w:eastAsiaTheme="minorEastAsia" w:cstheme="minorBidi"/>
          <w:i/>
          <w:iCs/>
          <w:noProof/>
          <w:sz w:val="22"/>
          <w:szCs w:val="22"/>
          <w:rtl/>
        </w:rPr>
      </w:pPr>
      <w:r>
        <w:rPr>
          <w:noProof/>
          <w:rtl/>
        </w:rPr>
        <w:t>ביאור הגרנ"פ בגדר הפה שאסר לרשב"ם ולרי"ף</w:t>
      </w:r>
    </w:p>
    <w:p w:rsidR="000E75A3" w:rsidRDefault="000E75A3" w:rsidP="007E4E81">
      <w:pPr>
        <w:pStyle w:val="a"/>
        <w:rPr>
          <w:rFonts w:eastAsiaTheme="minorEastAsia" w:cstheme="minorBidi"/>
          <w:sz w:val="22"/>
          <w:szCs w:val="22"/>
          <w:rtl/>
        </w:rPr>
      </w:pPr>
      <w:r>
        <w:rPr>
          <w:rtl/>
        </w:rPr>
        <w:t>ביאור הגרנ"פ ברשב"ם דבלא חזקה אינו נעשה מוחזק בטענתו ול"מ בזה הפה שאסר</w:t>
      </w:r>
    </w:p>
    <w:p w:rsidR="000E75A3" w:rsidRDefault="000E75A3" w:rsidP="007E4E81">
      <w:pPr>
        <w:pStyle w:val="a"/>
        <w:rPr>
          <w:rFonts w:eastAsiaTheme="minorEastAsia" w:cstheme="minorBidi"/>
          <w:sz w:val="22"/>
          <w:szCs w:val="22"/>
          <w:rtl/>
        </w:rPr>
      </w:pPr>
      <w:r>
        <w:rPr>
          <w:rtl/>
        </w:rPr>
        <w:t>דברי הגרנ"פ דכן מוכח ברשב"ם דאחר שהודה המחזיק נחשב המערער למוחזק יותר מהמחזיק</w:t>
      </w:r>
    </w:p>
    <w:p w:rsidR="000E75A3" w:rsidRDefault="000E75A3" w:rsidP="007E4E81">
      <w:pPr>
        <w:pStyle w:val="a"/>
        <w:rPr>
          <w:rFonts w:eastAsiaTheme="minorEastAsia" w:cstheme="minorBidi"/>
          <w:sz w:val="22"/>
          <w:szCs w:val="22"/>
          <w:rtl/>
        </w:rPr>
      </w:pPr>
      <w:r>
        <w:rPr>
          <w:rtl/>
        </w:rPr>
        <w:t>קושית הגרנ"פ על הרי"ף דאף בלא דאין ספק מוציא מודאי ל"מ המיגו דהא הוא טוען שמא</w:t>
      </w:r>
    </w:p>
    <w:p w:rsidR="000E75A3" w:rsidRDefault="000E75A3" w:rsidP="007E4E81">
      <w:pPr>
        <w:pStyle w:val="a"/>
        <w:rPr>
          <w:rFonts w:eastAsiaTheme="minorEastAsia" w:cstheme="minorBidi"/>
          <w:sz w:val="22"/>
          <w:szCs w:val="22"/>
          <w:rtl/>
        </w:rPr>
      </w:pPr>
      <w:r>
        <w:rPr>
          <w:rtl/>
        </w:rPr>
        <w:t>ביאור הגרנ"פ ברי"ף דהו"א דנאמן בפה שאסר אף בשמא וקמ"ל דאין ספק מוציא מידי ודאי</w:t>
      </w:r>
    </w:p>
    <w:p w:rsidR="000E75A3" w:rsidRDefault="000E75A3" w:rsidP="000E75A3">
      <w:pPr>
        <w:pStyle w:val="aff4"/>
        <w:rPr>
          <w:rFonts w:eastAsiaTheme="minorEastAsia" w:cstheme="minorBidi"/>
          <w:i/>
          <w:iCs/>
          <w:noProof/>
          <w:sz w:val="22"/>
          <w:szCs w:val="22"/>
          <w:rtl/>
        </w:rPr>
      </w:pPr>
      <w:r>
        <w:rPr>
          <w:noProof/>
          <w:rtl/>
        </w:rPr>
        <w:t>ביאור הגרנ"פ ברי"ף וברמב"ם דרק בקמי דידי ל"מ מיגו כרא"ש</w:t>
      </w:r>
    </w:p>
    <w:p w:rsidR="000E75A3" w:rsidRDefault="000E75A3" w:rsidP="007E4E81">
      <w:pPr>
        <w:pStyle w:val="a"/>
        <w:rPr>
          <w:rFonts w:eastAsiaTheme="minorEastAsia" w:cstheme="minorBidi"/>
          <w:sz w:val="22"/>
          <w:szCs w:val="22"/>
          <w:rtl/>
        </w:rPr>
      </w:pPr>
      <w:r>
        <w:rPr>
          <w:rtl/>
        </w:rPr>
        <w:t>קושית הגרנ"פ על הרמב"ם והטור ברשב"ם דאמאי בקמי דידי אינו נאמן מדין הפה שאסר</w:t>
      </w:r>
    </w:p>
    <w:p w:rsidR="000E75A3" w:rsidRDefault="000E75A3" w:rsidP="007E4E81">
      <w:pPr>
        <w:pStyle w:val="a"/>
        <w:rPr>
          <w:rFonts w:eastAsiaTheme="minorEastAsia" w:cstheme="minorBidi"/>
          <w:sz w:val="22"/>
          <w:szCs w:val="22"/>
          <w:rtl/>
        </w:rPr>
      </w:pPr>
      <w:r>
        <w:rPr>
          <w:rtl/>
        </w:rPr>
        <w:t>קושית הגרנ"פ דברי"ף בשכוני גוואי מוכח דמהני הפה שאסר בתוך ג"ש והכא לעיטור ברי"ף ל"מ</w:t>
      </w:r>
    </w:p>
    <w:p w:rsidR="000E75A3" w:rsidRDefault="000E75A3" w:rsidP="007E4E81">
      <w:pPr>
        <w:pStyle w:val="a"/>
        <w:rPr>
          <w:rFonts w:eastAsiaTheme="minorEastAsia" w:cstheme="minorBidi"/>
          <w:sz w:val="22"/>
          <w:szCs w:val="22"/>
          <w:rtl/>
        </w:rPr>
      </w:pPr>
      <w:r>
        <w:rPr>
          <w:rtl/>
        </w:rPr>
        <w:t>ביאור הגרנ"פ ברי"ף וברמב"ם וברשב"ם דבקמי דידי ל"מ הפה שאסר אבל במינך זבינתה מהני</w:t>
      </w:r>
    </w:p>
    <w:p w:rsidR="000E75A3" w:rsidRDefault="000E75A3" w:rsidP="007E4E81">
      <w:pPr>
        <w:pStyle w:val="a"/>
        <w:rPr>
          <w:rFonts w:eastAsiaTheme="minorEastAsia" w:cstheme="minorBidi"/>
          <w:sz w:val="22"/>
          <w:szCs w:val="22"/>
          <w:rtl/>
        </w:rPr>
      </w:pPr>
      <w:r>
        <w:rPr>
          <w:rtl/>
        </w:rPr>
        <w:t>ביאור הגרנ"פ ברי"ף וברמב"ם דס"ל כרא"ש דאין למחזיק מיגו דלהד"ם ובמינך זבינתה יש מיגו</w:t>
      </w:r>
    </w:p>
    <w:p w:rsidR="000E75A3" w:rsidRDefault="000E75A3" w:rsidP="000E75A3">
      <w:pPr>
        <w:pStyle w:val="aff4"/>
        <w:rPr>
          <w:rFonts w:eastAsiaTheme="minorEastAsia" w:cstheme="minorBidi"/>
          <w:i/>
          <w:iCs/>
          <w:noProof/>
          <w:sz w:val="22"/>
          <w:szCs w:val="22"/>
          <w:rtl/>
        </w:rPr>
      </w:pPr>
      <w:r>
        <w:rPr>
          <w:noProof/>
          <w:rtl/>
        </w:rPr>
        <w:t>ביאור הגרנ"פ דבקמי דידי ל"מ הפה שאסר דלא יהיה מר"ק</w:t>
      </w:r>
    </w:p>
    <w:p w:rsidR="000E75A3" w:rsidRDefault="000E75A3" w:rsidP="007E4E81">
      <w:pPr>
        <w:pStyle w:val="a"/>
        <w:rPr>
          <w:rFonts w:eastAsiaTheme="minorEastAsia" w:cstheme="minorBidi"/>
          <w:sz w:val="22"/>
          <w:szCs w:val="22"/>
          <w:rtl/>
        </w:rPr>
      </w:pPr>
      <w:r>
        <w:rPr>
          <w:rtl/>
        </w:rPr>
        <w:t>תי' שיעורי הגרנ"פ דבמינך זבינתה אין המערער נעשה למוחזק כיון שיש למחזיק הפה שאסר</w:t>
      </w:r>
    </w:p>
    <w:p w:rsidR="000E75A3" w:rsidRDefault="000E75A3" w:rsidP="007E4E81">
      <w:pPr>
        <w:pStyle w:val="a"/>
        <w:rPr>
          <w:rFonts w:eastAsiaTheme="minorEastAsia" w:cstheme="minorBidi"/>
          <w:sz w:val="22"/>
          <w:szCs w:val="22"/>
          <w:rtl/>
        </w:rPr>
      </w:pPr>
      <w:r>
        <w:rPr>
          <w:rtl/>
        </w:rPr>
        <w:t>ביאור שיעורי הגרנ"פ דבקמי דידי מודה דהמערער מוחזק ורוצה להיות נאמן בטענה אחרת</w:t>
      </w:r>
    </w:p>
    <w:p w:rsidR="000E75A3" w:rsidRDefault="000E75A3" w:rsidP="007E4E81">
      <w:pPr>
        <w:pStyle w:val="a"/>
        <w:rPr>
          <w:rFonts w:eastAsiaTheme="minorEastAsia" w:cstheme="minorBidi"/>
          <w:sz w:val="22"/>
          <w:szCs w:val="22"/>
          <w:rtl/>
        </w:rPr>
      </w:pPr>
      <w:r>
        <w:rPr>
          <w:rtl/>
        </w:rPr>
        <w:t>ביאור הגרנ"פ דנאמנות הפה שאסר היא רק שלא התיר יותר ממה שאסר דלא נעשה מוחזק כלל</w:t>
      </w:r>
    </w:p>
    <w:p w:rsidR="000E75A3" w:rsidRDefault="000E75A3" w:rsidP="000E75A3">
      <w:pPr>
        <w:pStyle w:val="aff4"/>
        <w:rPr>
          <w:rFonts w:eastAsiaTheme="minorEastAsia" w:cstheme="minorBidi"/>
          <w:i/>
          <w:iCs/>
          <w:noProof/>
          <w:sz w:val="22"/>
          <w:szCs w:val="22"/>
          <w:rtl/>
        </w:rPr>
      </w:pPr>
      <w:r>
        <w:rPr>
          <w:noProof/>
          <w:rtl/>
        </w:rPr>
        <w:t>ביאור הגרנ"פ דבקמי דידי וחזקה מהני הפה שאסר דאין מר"ק</w:t>
      </w:r>
    </w:p>
    <w:p w:rsidR="000E75A3" w:rsidRDefault="000E75A3" w:rsidP="007E4E81">
      <w:pPr>
        <w:pStyle w:val="a"/>
        <w:rPr>
          <w:rFonts w:eastAsiaTheme="minorEastAsia" w:cstheme="minorBidi"/>
          <w:sz w:val="22"/>
          <w:szCs w:val="22"/>
          <w:rtl/>
        </w:rPr>
      </w:pPr>
      <w:r>
        <w:rPr>
          <w:rtl/>
        </w:rPr>
        <w:t>ביאור הגרנ"פ דבקמי דידי עם חזקה אף לטענתו אין המערער מוחזק ומהני הפה שאסר</w:t>
      </w:r>
    </w:p>
    <w:p w:rsidR="000E75A3" w:rsidRDefault="000E75A3" w:rsidP="007E4E81">
      <w:pPr>
        <w:pStyle w:val="a"/>
        <w:rPr>
          <w:rFonts w:eastAsiaTheme="minorEastAsia" w:cstheme="minorBidi"/>
          <w:sz w:val="22"/>
          <w:szCs w:val="22"/>
          <w:rtl/>
        </w:rPr>
        <w:sectPr w:rsidR="000E75A3" w:rsidSect="00DC277F">
          <w:headerReference w:type="even" r:id="rId74"/>
          <w:footerReference w:type="even" r:id="rId75"/>
          <w:headerReference w:type="first" r:id="rId76"/>
          <w:footerReference w:type="first" r:id="rId77"/>
          <w:type w:val="continuous"/>
          <w:pgSz w:w="11906" w:h="16838"/>
          <w:pgMar w:top="720" w:right="720" w:bottom="720" w:left="720" w:header="283" w:footer="283" w:gutter="0"/>
          <w:cols w:num="2" w:space="113"/>
          <w:titlePg/>
          <w:bidi/>
          <w:rtlGutter/>
          <w:docGrid w:linePitch="299"/>
        </w:sectPr>
      </w:pPr>
      <w:r>
        <w:rPr>
          <w:rtl/>
        </w:rPr>
        <w:t>ביאור הגרנ"פ בתוס' דנאמנות הפה שאסר היא ככל נאמנות מיגו דאי בעי שתיק</w:t>
      </w:r>
    </w:p>
    <w:p w:rsidR="000E75A3" w:rsidRDefault="000E75A3" w:rsidP="007E4E81">
      <w:pPr>
        <w:pStyle w:val="a"/>
        <w:numPr>
          <w:ilvl w:val="0"/>
          <w:numId w:val="0"/>
        </w:numPr>
        <w:rPr>
          <w:rtl/>
        </w:rPr>
      </w:pPr>
    </w:p>
    <w:p w:rsidR="000E75A3" w:rsidRDefault="000E75A3" w:rsidP="000E75A3">
      <w:pPr>
        <w:pStyle w:val="2"/>
        <w:rPr>
          <w:rtl/>
        </w:rPr>
        <w:sectPr w:rsidR="000E75A3"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0E75A3" w:rsidRPr="0081356D" w:rsidRDefault="006C4F47" w:rsidP="000E75A3">
      <w:pPr>
        <w:pStyle w:val="afe"/>
        <w:rPr>
          <w:rtl/>
        </w:rPr>
      </w:pPr>
      <w:r>
        <w:rPr>
          <w:rFonts w:hint="cs"/>
          <w:rtl/>
        </w:rPr>
        <w:lastRenderedPageBreak/>
        <w:t>~~~~~~~ מראי מקומות וביאורים ~~~~~~~</w:t>
      </w:r>
    </w:p>
    <w:p w:rsidR="000E75A3" w:rsidRPr="00B21444" w:rsidRDefault="000E75A3" w:rsidP="000E75A3">
      <w:pPr>
        <w:pStyle w:val="2"/>
        <w:bidi w:val="0"/>
        <w:rPr>
          <w:rtl/>
        </w:rPr>
        <w:sectPr w:rsidR="000E75A3" w:rsidRPr="00B21444" w:rsidSect="00962FD5">
          <w:footerReference w:type="default" r:id="rId78"/>
          <w:pgSz w:w="11906" w:h="16838"/>
          <w:pgMar w:top="720" w:right="720" w:bottom="720" w:left="720" w:header="283" w:footer="283" w:gutter="0"/>
          <w:cols w:space="720"/>
          <w:bidi/>
          <w:rtlGutter/>
          <w:docGrid w:linePitch="299"/>
        </w:sectPr>
      </w:pPr>
    </w:p>
    <w:p w:rsidR="000E75A3" w:rsidRDefault="000E75A3" w:rsidP="000E75A3">
      <w:pPr>
        <w:pStyle w:val="afe"/>
        <w:rPr>
          <w:rtl/>
        </w:rPr>
      </w:pPr>
      <w:bookmarkStart w:id="8973" w:name="_Toc58532501"/>
      <w:bookmarkStart w:id="8974" w:name="_Toc58580120"/>
      <w:bookmarkStart w:id="8975" w:name="_Toc59113263"/>
      <w:bookmarkStart w:id="8976" w:name="_Toc59136923"/>
      <w:bookmarkStart w:id="8977" w:name="_Toc59361611"/>
      <w:bookmarkStart w:id="8978" w:name="_Toc59464623"/>
      <w:bookmarkStart w:id="8979" w:name="_Toc59490082"/>
      <w:bookmarkStart w:id="8980" w:name="_Toc59620245"/>
      <w:bookmarkStart w:id="8981" w:name="_Toc59643512"/>
      <w:bookmarkStart w:id="8982" w:name="_Toc59741575"/>
      <w:bookmarkStart w:id="8983" w:name="_Toc59786699"/>
      <w:bookmarkStart w:id="8984" w:name="_Toc59802513"/>
      <w:bookmarkStart w:id="8985" w:name="_Toc59916073"/>
      <w:bookmarkStart w:id="8986" w:name="_Toc58432653"/>
      <w:bookmarkStart w:id="8987" w:name="_Toc58532467"/>
      <w:bookmarkStart w:id="8988" w:name="_Toc58580086"/>
      <w:bookmarkStart w:id="8989" w:name="_Toc59113209"/>
      <w:bookmarkStart w:id="8990" w:name="_Toc58144900"/>
      <w:bookmarkStart w:id="8991" w:name="_Toc58272585"/>
      <w:bookmarkStart w:id="8992" w:name="_Toc58325016"/>
      <w:bookmarkStart w:id="8993" w:name="_Toc58359159"/>
      <w:bookmarkStart w:id="8994" w:name="_Toc58409421"/>
      <w:r>
        <w:rPr>
          <w:rFonts w:hint="cs"/>
          <w:rtl/>
        </w:rPr>
        <w:t>בעיקר דין עידי חד יומא</w:t>
      </w:r>
      <w:bookmarkEnd w:id="8973"/>
      <w:bookmarkEnd w:id="8974"/>
      <w:bookmarkEnd w:id="8975"/>
      <w:bookmarkEnd w:id="8976"/>
      <w:bookmarkEnd w:id="8977"/>
      <w:bookmarkEnd w:id="8978"/>
      <w:r>
        <w:rPr>
          <w:rFonts w:hint="cs"/>
          <w:rtl/>
        </w:rPr>
        <w:t xml:space="preserve"> בגמ' לקמן</w:t>
      </w:r>
      <w:bookmarkEnd w:id="8979"/>
      <w:bookmarkEnd w:id="8980"/>
      <w:bookmarkEnd w:id="8981"/>
      <w:bookmarkEnd w:id="8982"/>
      <w:bookmarkEnd w:id="8983"/>
      <w:bookmarkEnd w:id="8984"/>
      <w:bookmarkEnd w:id="8985"/>
    </w:p>
    <w:p w:rsidR="000E75A3" w:rsidRDefault="000E75A3" w:rsidP="000E75A3">
      <w:pPr>
        <w:pStyle w:val="1"/>
        <w:rPr>
          <w:rtl/>
        </w:rPr>
      </w:pPr>
      <w:bookmarkStart w:id="8995" w:name="_Toc59490083"/>
      <w:bookmarkStart w:id="8996" w:name="_Toc59620246"/>
      <w:bookmarkStart w:id="8997" w:name="_Toc59643513"/>
      <w:bookmarkStart w:id="8998" w:name="_Toc59741576"/>
      <w:bookmarkStart w:id="8999" w:name="_Toc59786700"/>
      <w:bookmarkStart w:id="9000" w:name="_Toc59802514"/>
      <w:bookmarkStart w:id="9001" w:name="_Toc59916074"/>
      <w:r>
        <w:rPr>
          <w:rFonts w:hint="cs"/>
          <w:rtl/>
        </w:rPr>
        <w:t>דברי הרשב"ם דעידי חד יומא הם לאמת דבריו וטענינן ליה</w:t>
      </w:r>
      <w:bookmarkEnd w:id="8995"/>
      <w:bookmarkEnd w:id="8996"/>
      <w:bookmarkEnd w:id="8997"/>
      <w:bookmarkEnd w:id="8998"/>
      <w:bookmarkEnd w:id="8999"/>
      <w:bookmarkEnd w:id="9000"/>
      <w:bookmarkEnd w:id="9001"/>
    </w:p>
    <w:p w:rsidR="000E75A3" w:rsidRPr="008258AC" w:rsidRDefault="000E75A3" w:rsidP="000E75A3">
      <w:pPr>
        <w:pStyle w:val="a3"/>
        <w:rPr>
          <w:rtl/>
        </w:rPr>
      </w:pPr>
      <w:bookmarkStart w:id="9002" w:name="_Toc59490084"/>
      <w:bookmarkStart w:id="9003" w:name="_Toc59620247"/>
      <w:bookmarkStart w:id="9004" w:name="_Toc59643514"/>
      <w:bookmarkStart w:id="9005" w:name="_Toc59741577"/>
      <w:bookmarkStart w:id="9006" w:name="_Toc59786701"/>
      <w:bookmarkStart w:id="9007" w:name="_Toc59802515"/>
      <w:bookmarkStart w:id="9008" w:name="_Toc59916075"/>
      <w:r>
        <w:rPr>
          <w:rFonts w:hint="cs"/>
          <w:rtl/>
        </w:rPr>
        <w:t>דברי הרשב"ם לקמן דעידי חד יומא הם בכדי לאמת דבריו שקנה מהמערער וטענינן ליה דקנה</w:t>
      </w:r>
      <w:bookmarkEnd w:id="9002"/>
      <w:bookmarkEnd w:id="9003"/>
      <w:bookmarkEnd w:id="9004"/>
      <w:bookmarkEnd w:id="9005"/>
      <w:bookmarkEnd w:id="9006"/>
      <w:bookmarkEnd w:id="9007"/>
      <w:bookmarkEnd w:id="9008"/>
    </w:p>
    <w:p w:rsidR="000E75A3" w:rsidRDefault="000E75A3" w:rsidP="00BA3263">
      <w:pPr>
        <w:pStyle w:val="a0"/>
        <w:numPr>
          <w:ilvl w:val="0"/>
          <w:numId w:val="20"/>
        </w:numPr>
        <w:rPr>
          <w:rtl/>
        </w:rPr>
      </w:pPr>
      <w:bookmarkStart w:id="9009" w:name="_Ref58268297"/>
      <w:bookmarkStart w:id="9010" w:name="_Ref59352439"/>
      <w:r>
        <w:rPr>
          <w:rFonts w:hint="cs"/>
          <w:rtl/>
        </w:rPr>
        <w:t xml:space="preserve">כתב </w:t>
      </w:r>
      <w:r w:rsidRPr="00EB4F74">
        <w:rPr>
          <w:rStyle w:val="af9"/>
          <w:rFonts w:hint="cs"/>
          <w:rtl/>
        </w:rPr>
        <w:t>הרשב"ם לקמן</w:t>
      </w:r>
      <w:r>
        <w:rPr>
          <w:rFonts w:hint="cs"/>
          <w:rtl/>
        </w:rPr>
        <w:t xml:space="preserve"> </w:t>
      </w:r>
      <w:r w:rsidRPr="007E4E81">
        <w:rPr>
          <w:rStyle w:val="af7"/>
          <w:rFonts w:eastAsia="Guttman Hodes" w:hint="cs"/>
          <w:rtl/>
        </w:rPr>
        <w:t>(מא: ד"ה אפי')</w:t>
      </w:r>
      <w:r>
        <w:rPr>
          <w:rFonts w:hint="cs"/>
          <w:rtl/>
        </w:rPr>
        <w:t xml:space="preserve"> דכשיש למחזיק חזקת ג"ש, הא דאמרינן לקמן </w:t>
      </w:r>
      <w:r w:rsidRPr="007E4E81">
        <w:rPr>
          <w:rStyle w:val="af7"/>
          <w:rFonts w:eastAsia="Guttman Hodes" w:hint="cs"/>
          <w:rtl/>
        </w:rPr>
        <w:t xml:space="preserve">(מא:) </w:t>
      </w:r>
      <w:r>
        <w:rPr>
          <w:rFonts w:hint="cs"/>
          <w:rtl/>
        </w:rPr>
        <w:t>דהמחזיק צריך להביא עדים שהמוכר דר בה חד יומא, הוא בכדי לאמת את דבריו ולהעמיד את הקרקע בידו, דכיון שיש לו חזקת ג"ש, והביא עדים שדר המוכר חד יומא, אינו צריך להביא עדים שהמוכר קנה מהמערער, דטענינן ליה שקנה ממנו, דהא טענינן ללוקח ויורש, ובמקח אינו צריך טענה, וצריך רק ראיה שהמוכר דר בה</w:t>
      </w:r>
      <w:bookmarkEnd w:id="9009"/>
      <w:r>
        <w:rPr>
          <w:rFonts w:hint="cs"/>
          <w:rtl/>
        </w:rPr>
        <w:t xml:space="preserve">, ועי' במה שביארו </w:t>
      </w:r>
      <w:r w:rsidRPr="0042237B">
        <w:rPr>
          <w:rStyle w:val="af9"/>
          <w:rFonts w:hint="cs"/>
          <w:rtl/>
        </w:rPr>
        <w:t>המהרי"ט</w:t>
      </w:r>
      <w:r>
        <w:rPr>
          <w:rFonts w:hint="cs"/>
          <w:rtl/>
        </w:rPr>
        <w:t xml:space="preserve"> </w:t>
      </w:r>
      <w:r w:rsidRPr="007E4E81">
        <w:rPr>
          <w:rStyle w:val="af7"/>
          <w:rFonts w:eastAsia="Guttman Rashi" w:hint="cs"/>
          <w:rtl/>
        </w:rPr>
        <w:t xml:space="preserve">(עי' אות </w:t>
      </w:r>
      <w:r w:rsidRPr="007E4E81">
        <w:rPr>
          <w:rStyle w:val="af7"/>
          <w:rFonts w:eastAsia="Guttman Rashi"/>
          <w:rtl/>
        </w:rPr>
        <w:fldChar w:fldCharType="begin"/>
      </w:r>
      <w:r w:rsidRPr="007E4E81">
        <w:rPr>
          <w:rStyle w:val="af7"/>
          <w:rFonts w:eastAsia="Guttman Rashi"/>
          <w:rtl/>
        </w:rPr>
        <w:instrText xml:space="preserve"> </w:instrText>
      </w:r>
      <w:r w:rsidRPr="007E4E81">
        <w:rPr>
          <w:rStyle w:val="af7"/>
          <w:rFonts w:eastAsia="Guttman Rashi" w:hint="cs"/>
        </w:rPr>
        <w:instrText>REF</w:instrText>
      </w:r>
      <w:r w:rsidRPr="007E4E81">
        <w:rPr>
          <w:rStyle w:val="af7"/>
          <w:rFonts w:eastAsia="Guttman Rashi" w:hint="cs"/>
          <w:rtl/>
        </w:rPr>
        <w:instrText xml:space="preserve"> _</w:instrText>
      </w:r>
      <w:r w:rsidRPr="007E4E81">
        <w:rPr>
          <w:rStyle w:val="af7"/>
          <w:rFonts w:eastAsia="Guttman Rashi" w:hint="cs"/>
        </w:rPr>
        <w:instrText>Ref58272809 \r \h</w:instrText>
      </w:r>
      <w:r w:rsidRPr="007E4E81">
        <w:rPr>
          <w:rStyle w:val="af7"/>
          <w:rFonts w:eastAsia="Guttman Rashi"/>
          <w:rtl/>
        </w:rPr>
        <w:instrText xml:space="preserve"> </w:instrText>
      </w:r>
      <w:r w:rsidRPr="007E4E81">
        <w:rPr>
          <w:rStyle w:val="af7"/>
          <w:rFonts w:eastAsia="Guttman Rashi"/>
          <w:rtl/>
        </w:rPr>
      </w:r>
      <w:r w:rsidRPr="007E4E81">
        <w:rPr>
          <w:rStyle w:val="af7"/>
          <w:rFonts w:eastAsia="Guttman Rashi"/>
          <w:rtl/>
        </w:rPr>
        <w:fldChar w:fldCharType="separate"/>
      </w:r>
      <w:r w:rsidR="00265073">
        <w:rPr>
          <w:rStyle w:val="af7"/>
          <w:rFonts w:eastAsia="Guttman Rashi"/>
          <w:cs/>
        </w:rPr>
        <w:t>‎</w:t>
      </w:r>
      <w:r w:rsidR="00265073">
        <w:rPr>
          <w:rStyle w:val="af7"/>
          <w:rFonts w:eastAsia="Guttman Rashi"/>
          <w:rtl/>
        </w:rPr>
        <w:t>יג)</w:t>
      </w:r>
      <w:r w:rsidRPr="007E4E81">
        <w:rPr>
          <w:rStyle w:val="af7"/>
          <w:rFonts w:eastAsia="Guttman Rashi"/>
          <w:rtl/>
        </w:rPr>
        <w:fldChar w:fldCharType="end"/>
      </w:r>
      <w:r>
        <w:rPr>
          <w:rStyle w:val="af9"/>
          <w:rFonts w:hint="cs"/>
          <w:rtl/>
        </w:rPr>
        <w:t xml:space="preserve"> </w:t>
      </w:r>
      <w:r w:rsidRPr="0042237B">
        <w:rPr>
          <w:rStyle w:val="af9"/>
          <w:rFonts w:hint="cs"/>
          <w:rtl/>
        </w:rPr>
        <w:t>והקצוה"ח</w:t>
      </w:r>
      <w:r>
        <w:rPr>
          <w:rFonts w:hint="cs"/>
          <w:rtl/>
        </w:rPr>
        <w:t xml:space="preserve"> </w:t>
      </w:r>
      <w:r w:rsidRPr="007E4E81">
        <w:rPr>
          <w:rStyle w:val="af7"/>
          <w:rFonts w:eastAsia="Guttman Rashi" w:hint="cs"/>
          <w:rtl/>
        </w:rPr>
        <w:t xml:space="preserve">(עי' אות </w:t>
      </w:r>
      <w:r w:rsidRPr="007E4E81">
        <w:rPr>
          <w:rStyle w:val="af7"/>
          <w:rFonts w:eastAsia="Guttman Rashi"/>
          <w:rtl/>
        </w:rPr>
        <w:fldChar w:fldCharType="begin"/>
      </w:r>
      <w:r w:rsidRPr="007E4E81">
        <w:rPr>
          <w:rStyle w:val="af7"/>
          <w:rFonts w:eastAsia="Guttman Rashi"/>
          <w:rtl/>
        </w:rPr>
        <w:instrText xml:space="preserve"> </w:instrText>
      </w:r>
      <w:r w:rsidRPr="007E4E81">
        <w:rPr>
          <w:rStyle w:val="af7"/>
          <w:rFonts w:eastAsia="Guttman Rashi" w:hint="cs"/>
        </w:rPr>
        <w:instrText>REF</w:instrText>
      </w:r>
      <w:r w:rsidRPr="007E4E81">
        <w:rPr>
          <w:rStyle w:val="af7"/>
          <w:rFonts w:eastAsia="Guttman Rashi" w:hint="cs"/>
          <w:rtl/>
        </w:rPr>
        <w:instrText xml:space="preserve"> _</w:instrText>
      </w:r>
      <w:r w:rsidRPr="007E4E81">
        <w:rPr>
          <w:rStyle w:val="af7"/>
          <w:rFonts w:eastAsia="Guttman Rashi" w:hint="cs"/>
        </w:rPr>
        <w:instrText>Ref59468021 \r \h</w:instrText>
      </w:r>
      <w:r w:rsidRPr="007E4E81">
        <w:rPr>
          <w:rStyle w:val="af7"/>
          <w:rFonts w:eastAsia="Guttman Rashi"/>
          <w:rtl/>
        </w:rPr>
        <w:instrText xml:space="preserve">  \* </w:instrText>
      </w:r>
      <w:r w:rsidRPr="007E4E81">
        <w:rPr>
          <w:rStyle w:val="af7"/>
          <w:rFonts w:eastAsia="Guttman Rashi"/>
        </w:rPr>
        <w:instrText>MERGEFORMAT</w:instrText>
      </w:r>
      <w:r w:rsidRPr="007E4E81">
        <w:rPr>
          <w:rStyle w:val="af7"/>
          <w:rFonts w:eastAsia="Guttman Rashi"/>
          <w:rtl/>
        </w:rPr>
        <w:instrText xml:space="preserve"> </w:instrText>
      </w:r>
      <w:r w:rsidRPr="007E4E81">
        <w:rPr>
          <w:rStyle w:val="af7"/>
          <w:rFonts w:eastAsia="Guttman Rashi"/>
          <w:rtl/>
        </w:rPr>
      </w:r>
      <w:r w:rsidRPr="007E4E81">
        <w:rPr>
          <w:rStyle w:val="af7"/>
          <w:rFonts w:eastAsia="Guttman Rashi"/>
          <w:rtl/>
        </w:rPr>
        <w:fldChar w:fldCharType="separate"/>
      </w:r>
      <w:r w:rsidR="00265073">
        <w:rPr>
          <w:rStyle w:val="af7"/>
          <w:rFonts w:eastAsia="Guttman Rashi"/>
          <w:cs/>
        </w:rPr>
        <w:t>‎</w:t>
      </w:r>
      <w:r w:rsidR="00265073">
        <w:rPr>
          <w:rStyle w:val="af7"/>
          <w:rFonts w:eastAsia="Guttman Rashi"/>
          <w:rtl/>
        </w:rPr>
        <w:t>יח)</w:t>
      </w:r>
      <w:r w:rsidRPr="007E4E81">
        <w:rPr>
          <w:rStyle w:val="af7"/>
          <w:rFonts w:eastAsia="Guttman Rashi"/>
          <w:rtl/>
        </w:rPr>
        <w:fldChar w:fldCharType="end"/>
      </w:r>
      <w:r>
        <w:rPr>
          <w:rFonts w:hint="cs"/>
          <w:rtl/>
        </w:rPr>
        <w:t xml:space="preserve"> בדברי </w:t>
      </w:r>
      <w:r w:rsidRPr="0042237B">
        <w:rPr>
          <w:rStyle w:val="af9"/>
          <w:rFonts w:hint="cs"/>
          <w:rtl/>
        </w:rPr>
        <w:t>הרשב"ם לקמן</w:t>
      </w:r>
      <w:r>
        <w:rPr>
          <w:rFonts w:hint="cs"/>
          <w:rtl/>
        </w:rPr>
        <w:t>.</w:t>
      </w:r>
    </w:p>
    <w:p w:rsidR="000E75A3" w:rsidRPr="0042237B" w:rsidRDefault="000E75A3" w:rsidP="000E75A3">
      <w:pPr>
        <w:pStyle w:val="a3"/>
      </w:pPr>
      <w:bookmarkStart w:id="9011" w:name="_Toc59490085"/>
      <w:bookmarkStart w:id="9012" w:name="_Toc59620248"/>
      <w:bookmarkStart w:id="9013" w:name="_Toc59643515"/>
      <w:bookmarkStart w:id="9014" w:name="_Toc59741578"/>
      <w:bookmarkStart w:id="9015" w:name="_Toc59786702"/>
      <w:bookmarkStart w:id="9016" w:name="_Toc59802516"/>
      <w:bookmarkStart w:id="9017" w:name="_Toc59916076"/>
      <w:r>
        <w:rPr>
          <w:rFonts w:hint="cs"/>
          <w:rtl/>
        </w:rPr>
        <w:t>דברי רבינו גרשום לקמן דעידי חד יומא הם בכדי לאמת את דברי המחזיק ולהעמידה בידו</w:t>
      </w:r>
      <w:bookmarkEnd w:id="9011"/>
      <w:bookmarkEnd w:id="9012"/>
      <w:bookmarkEnd w:id="9013"/>
      <w:bookmarkEnd w:id="9014"/>
      <w:bookmarkEnd w:id="9015"/>
      <w:bookmarkEnd w:id="9016"/>
      <w:bookmarkEnd w:id="9017"/>
    </w:p>
    <w:p w:rsidR="000E75A3" w:rsidRPr="00246764" w:rsidRDefault="000E75A3" w:rsidP="007E4E81">
      <w:pPr>
        <w:pStyle w:val="a0"/>
        <w:rPr>
          <w:rtl/>
        </w:rPr>
      </w:pPr>
      <w:r>
        <w:rPr>
          <w:rFonts w:hint="cs"/>
          <w:rtl/>
        </w:rPr>
        <w:t xml:space="preserve">וכ"כ </w:t>
      </w:r>
      <w:r w:rsidRPr="00AC0510">
        <w:rPr>
          <w:rStyle w:val="af9"/>
          <w:rFonts w:hint="cs"/>
          <w:rtl/>
        </w:rPr>
        <w:t>ברבינו גרשום לקמן</w:t>
      </w:r>
      <w:r>
        <w:rPr>
          <w:rFonts w:hint="cs"/>
          <w:rtl/>
        </w:rPr>
        <w:t xml:space="preserve"> </w:t>
      </w:r>
      <w:r w:rsidRPr="003D58F7">
        <w:rPr>
          <w:rStyle w:val="af7"/>
          <w:rFonts w:eastAsia="Guttman Hodes" w:hint="cs"/>
          <w:rtl/>
        </w:rPr>
        <w:t xml:space="preserve">(מא: ד"ה דדר) </w:t>
      </w:r>
      <w:r>
        <w:rPr>
          <w:rFonts w:hint="cs"/>
          <w:rtl/>
        </w:rPr>
        <w:t xml:space="preserve">דהמחזיק צריך להביא עדים שהמוכר דר בה חד יומא, בכדי לאמת את דבריו ולהעמידה בידו, כיון דבגמ' לקמן איירי דהמחזיק כבר </w:t>
      </w:r>
      <w:r w:rsidRPr="00246764">
        <w:rPr>
          <w:rFonts w:hint="cs"/>
          <w:rtl/>
        </w:rPr>
        <w:t>דר בה ד' שנים.</w:t>
      </w:r>
      <w:bookmarkEnd w:id="9010"/>
    </w:p>
    <w:p w:rsidR="000E75A3" w:rsidRPr="00246764" w:rsidRDefault="000E75A3" w:rsidP="000E75A3">
      <w:pPr>
        <w:pStyle w:val="1"/>
        <w:rPr>
          <w:rtl/>
        </w:rPr>
      </w:pPr>
      <w:bookmarkStart w:id="9018" w:name="_Toc59490086"/>
      <w:bookmarkStart w:id="9019" w:name="_Toc59620249"/>
      <w:bookmarkStart w:id="9020" w:name="_Toc59643516"/>
      <w:bookmarkStart w:id="9021" w:name="_Toc59741579"/>
      <w:bookmarkStart w:id="9022" w:name="_Toc59786703"/>
      <w:bookmarkStart w:id="9023" w:name="_Toc59802517"/>
      <w:bookmarkStart w:id="9024" w:name="_Toc59916077"/>
      <w:r w:rsidRPr="00246764">
        <w:rPr>
          <w:rFonts w:hint="cs"/>
          <w:rtl/>
        </w:rPr>
        <w:t>דברי הרמב"ן</w:t>
      </w:r>
      <w:bookmarkEnd w:id="9018"/>
      <w:bookmarkEnd w:id="9019"/>
      <w:bookmarkEnd w:id="9020"/>
      <w:bookmarkEnd w:id="9021"/>
      <w:bookmarkEnd w:id="9022"/>
      <w:bookmarkEnd w:id="9023"/>
      <w:r w:rsidRPr="00246764">
        <w:rPr>
          <w:rFonts w:hint="cs"/>
          <w:rtl/>
        </w:rPr>
        <w:t xml:space="preserve"> </w:t>
      </w:r>
      <w:r>
        <w:rPr>
          <w:rFonts w:hint="cs"/>
          <w:rtl/>
        </w:rPr>
        <w:t>דחד יומא הוא רגל"ד דקנה ובלא"ה נראה כמשקר</w:t>
      </w:r>
      <w:bookmarkEnd w:id="9024"/>
    </w:p>
    <w:p w:rsidR="000E75A3" w:rsidRPr="00246764" w:rsidRDefault="000E75A3" w:rsidP="000E75A3">
      <w:pPr>
        <w:pStyle w:val="a3"/>
        <w:rPr>
          <w:rtl/>
        </w:rPr>
      </w:pPr>
      <w:bookmarkStart w:id="9025" w:name="_Toc59490087"/>
      <w:bookmarkStart w:id="9026" w:name="_Toc59620250"/>
      <w:bookmarkStart w:id="9027" w:name="_Toc59643517"/>
      <w:bookmarkStart w:id="9028" w:name="_Toc59741580"/>
      <w:bookmarkStart w:id="9029" w:name="_Toc59786704"/>
      <w:bookmarkStart w:id="9030" w:name="_Toc59802518"/>
      <w:bookmarkStart w:id="9031" w:name="_Toc59916078"/>
      <w:r w:rsidRPr="00246764">
        <w:rPr>
          <w:rFonts w:hint="cs"/>
          <w:rtl/>
        </w:rPr>
        <w:t>דברי הרמב"ן לקמן דבעידי חד יומא רגלים לדבר שהמוכר קנה ובלא"ה הוא מיחזי כשיקרא</w:t>
      </w:r>
      <w:bookmarkEnd w:id="9025"/>
      <w:bookmarkEnd w:id="9026"/>
      <w:bookmarkEnd w:id="9027"/>
      <w:bookmarkEnd w:id="9028"/>
      <w:bookmarkEnd w:id="9029"/>
      <w:bookmarkEnd w:id="9030"/>
      <w:bookmarkEnd w:id="9031"/>
    </w:p>
    <w:p w:rsidR="000E75A3" w:rsidRPr="00246764" w:rsidRDefault="000E75A3" w:rsidP="007E4E81">
      <w:pPr>
        <w:pStyle w:val="a0"/>
      </w:pPr>
      <w:r w:rsidRPr="00246764">
        <w:rPr>
          <w:rFonts w:hint="cs"/>
          <w:rtl/>
        </w:rPr>
        <w:t xml:space="preserve">כתב </w:t>
      </w:r>
      <w:r w:rsidRPr="00246764">
        <w:rPr>
          <w:rStyle w:val="af9"/>
          <w:rFonts w:hint="cs"/>
          <w:rtl/>
        </w:rPr>
        <w:t>הרמב"ן לקמן</w:t>
      </w:r>
      <w:r w:rsidRPr="00246764">
        <w:rPr>
          <w:rFonts w:hint="cs"/>
          <w:rtl/>
        </w:rPr>
        <w:t xml:space="preserve"> </w:t>
      </w:r>
      <w:r w:rsidRPr="00246764">
        <w:rPr>
          <w:rStyle w:val="af7"/>
          <w:rFonts w:eastAsia="Guttman Hodes" w:hint="cs"/>
          <w:rtl/>
        </w:rPr>
        <w:t xml:space="preserve">(מא: ד"ה הא) </w:t>
      </w:r>
      <w:r w:rsidRPr="00246764">
        <w:rPr>
          <w:rFonts w:hint="cs"/>
          <w:rtl/>
        </w:rPr>
        <w:t xml:space="preserve">דכל שיש למחזיק עדים שהמוכר דר בה אפילו חד יומא, יש רגלים לדבר שהמוכר קנה מהמערער, כיון שהוא כבר דר בה, אבל כשלא דר בה המוכר, הוא מיחזי כשיקרא במה שאומר שהמוכר קנה מהמערער, כיון שלא דר בה כלל. </w:t>
      </w:r>
      <w:bookmarkStart w:id="9032" w:name="_Toc59490088"/>
      <w:bookmarkStart w:id="9033" w:name="_Toc59620251"/>
      <w:bookmarkStart w:id="9034" w:name="_Toc59643518"/>
      <w:bookmarkStart w:id="9035" w:name="_Toc59741581"/>
      <w:bookmarkStart w:id="9036" w:name="_Toc59786705"/>
      <w:bookmarkStart w:id="9037" w:name="_Toc59802519"/>
    </w:p>
    <w:p w:rsidR="000E75A3" w:rsidRDefault="000E75A3" w:rsidP="000E75A3">
      <w:pPr>
        <w:pStyle w:val="1"/>
        <w:rPr>
          <w:rtl/>
        </w:rPr>
      </w:pPr>
      <w:bookmarkStart w:id="9038" w:name="_Toc59916079"/>
      <w:r w:rsidRPr="00246764">
        <w:rPr>
          <w:rFonts w:hint="cs"/>
          <w:rtl/>
        </w:rPr>
        <w:t>ביאור רבינו יונה דעידי חד יומא הם</w:t>
      </w:r>
      <w:r>
        <w:rPr>
          <w:rFonts w:hint="cs"/>
          <w:rtl/>
        </w:rPr>
        <w:t xml:space="preserve"> אמתלא למחזיק</w:t>
      </w:r>
      <w:bookmarkEnd w:id="9032"/>
      <w:bookmarkEnd w:id="9033"/>
      <w:bookmarkEnd w:id="9034"/>
      <w:bookmarkEnd w:id="9035"/>
      <w:bookmarkEnd w:id="9036"/>
      <w:bookmarkEnd w:id="9037"/>
      <w:bookmarkEnd w:id="9038"/>
    </w:p>
    <w:p w:rsidR="000E75A3" w:rsidRPr="005E0545" w:rsidRDefault="000E75A3" w:rsidP="000E75A3">
      <w:pPr>
        <w:pStyle w:val="a3"/>
        <w:rPr>
          <w:rtl/>
        </w:rPr>
      </w:pPr>
      <w:bookmarkStart w:id="9039" w:name="_Toc59490089"/>
      <w:bookmarkStart w:id="9040" w:name="_Toc59620252"/>
      <w:bookmarkStart w:id="9041" w:name="_Toc59643519"/>
      <w:bookmarkStart w:id="9042" w:name="_Toc59741582"/>
      <w:bookmarkStart w:id="9043" w:name="_Toc59786706"/>
      <w:bookmarkStart w:id="9044" w:name="_Toc59802520"/>
      <w:bookmarkStart w:id="9045" w:name="_Toc59916080"/>
      <w:r>
        <w:rPr>
          <w:rFonts w:hint="cs"/>
          <w:rtl/>
        </w:rPr>
        <w:t>דברי רבינו יונה דבחד יומא יש אמתלא שמסייעת ליורש וא"צ טענה דמסתמא קנאה מהמר"ק</w:t>
      </w:r>
      <w:bookmarkEnd w:id="9039"/>
      <w:bookmarkEnd w:id="9040"/>
      <w:bookmarkEnd w:id="9041"/>
      <w:bookmarkEnd w:id="9042"/>
      <w:bookmarkEnd w:id="9043"/>
      <w:bookmarkEnd w:id="9044"/>
      <w:bookmarkEnd w:id="9045"/>
    </w:p>
    <w:p w:rsidR="000E75A3" w:rsidRDefault="000E75A3" w:rsidP="007E4E81">
      <w:pPr>
        <w:pStyle w:val="a0"/>
        <w:rPr>
          <w:rtl/>
        </w:rPr>
      </w:pPr>
      <w:r>
        <w:rPr>
          <w:rFonts w:hint="cs"/>
          <w:rtl/>
        </w:rPr>
        <w:t xml:space="preserve">וע"ע בדברי </w:t>
      </w:r>
      <w:r w:rsidRPr="00AC0510">
        <w:rPr>
          <w:rStyle w:val="af9"/>
          <w:rFonts w:hint="cs"/>
          <w:rtl/>
        </w:rPr>
        <w:t>רבינו יונה לקמן</w:t>
      </w:r>
      <w:r>
        <w:rPr>
          <w:rFonts w:hint="cs"/>
          <w:rtl/>
        </w:rPr>
        <w:t xml:space="preserve"> </w:t>
      </w:r>
      <w:r w:rsidRPr="00AC0510">
        <w:rPr>
          <w:rStyle w:val="af7"/>
          <w:rFonts w:eastAsia="Guttman Hodes" w:hint="cs"/>
          <w:rtl/>
        </w:rPr>
        <w:t xml:space="preserve">(מז. ד"ה ה"ד) </w:t>
      </w:r>
      <w:r>
        <w:rPr>
          <w:rFonts w:hint="cs"/>
          <w:rtl/>
        </w:rPr>
        <w:t xml:space="preserve">דכתב דהא דביורש צריך עדים שאביו דר בה חד יומא, הוא כיון דע"י דדר חד יומא, יש אמתלא שאביו קנה את הקרקע, וכשיש ליורש חזקת ג"ש, מסייעת האמתלא לחזקת היורש, ולכן אין היורש צריך טענה, והוסיף </w:t>
      </w:r>
      <w:r w:rsidRPr="00AC0510">
        <w:rPr>
          <w:rStyle w:val="af9"/>
          <w:rFonts w:hint="cs"/>
          <w:rtl/>
        </w:rPr>
        <w:t>רבינו יונה לקמן</w:t>
      </w:r>
      <w:r>
        <w:rPr>
          <w:rFonts w:hint="cs"/>
          <w:rtl/>
        </w:rPr>
        <w:t xml:space="preserve"> </w:t>
      </w:r>
      <w:r w:rsidRPr="00AC0510">
        <w:rPr>
          <w:rStyle w:val="af7"/>
          <w:rFonts w:eastAsia="Guttman Hodes" w:hint="cs"/>
          <w:rtl/>
        </w:rPr>
        <w:t xml:space="preserve">(מז. ד"ה ה"ג ספרי ספרד) </w:t>
      </w:r>
      <w:r>
        <w:rPr>
          <w:rFonts w:hint="cs"/>
          <w:rtl/>
        </w:rPr>
        <w:t>דכל שהאב דר בה חד יומא, אמרינן דמסתמא היה דר בה בטענה שקנה מהמרא קמא.</w:t>
      </w:r>
    </w:p>
    <w:p w:rsidR="000E75A3" w:rsidRDefault="000E75A3" w:rsidP="000E75A3">
      <w:pPr>
        <w:pStyle w:val="a3"/>
        <w:rPr>
          <w:rtl/>
        </w:rPr>
      </w:pPr>
      <w:bookmarkStart w:id="9046" w:name="_Toc59490090"/>
      <w:bookmarkStart w:id="9047" w:name="_Toc59620253"/>
      <w:bookmarkStart w:id="9048" w:name="_Toc59643520"/>
      <w:bookmarkStart w:id="9049" w:name="_Toc59741583"/>
      <w:bookmarkStart w:id="9050" w:name="_Toc59786707"/>
      <w:bookmarkStart w:id="9051" w:name="_Toc59802521"/>
      <w:bookmarkStart w:id="9052" w:name="_Toc59916081"/>
      <w:r>
        <w:rPr>
          <w:rFonts w:hint="cs"/>
          <w:rtl/>
        </w:rPr>
        <w:t>דברי היד רמ"ה לקמן דבחד יומא אפש"ל דמכר לו באותו יום וחשיב בחזקתו ולכן טענינן ליה</w:t>
      </w:r>
      <w:bookmarkEnd w:id="9046"/>
      <w:bookmarkEnd w:id="9047"/>
      <w:bookmarkEnd w:id="9048"/>
      <w:bookmarkEnd w:id="9049"/>
      <w:bookmarkEnd w:id="9050"/>
      <w:bookmarkEnd w:id="9051"/>
      <w:bookmarkEnd w:id="9052"/>
    </w:p>
    <w:p w:rsidR="000E75A3" w:rsidRPr="00AC0510" w:rsidRDefault="000E75A3" w:rsidP="007E4E81">
      <w:pPr>
        <w:pStyle w:val="a0"/>
        <w:rPr>
          <w:rStyle w:val="afb"/>
          <w:rtl/>
        </w:rPr>
      </w:pPr>
      <w:r w:rsidRPr="00AC0510">
        <w:rPr>
          <w:rStyle w:val="af9"/>
          <w:rFonts w:hint="cs"/>
          <w:rtl/>
        </w:rPr>
        <w:t>וביד רמ"ה לקמן</w:t>
      </w:r>
      <w:r>
        <w:rPr>
          <w:rFonts w:hint="cs"/>
          <w:rtl/>
        </w:rPr>
        <w:t xml:space="preserve"> </w:t>
      </w:r>
      <w:r w:rsidRPr="00AC0510">
        <w:rPr>
          <w:rStyle w:val="af7"/>
          <w:rFonts w:eastAsia="Guttman Hodes" w:hint="cs"/>
          <w:rtl/>
        </w:rPr>
        <w:t xml:space="preserve">(או' קי"ח, מא: ד"ה ההוא) </w:t>
      </w:r>
      <w:r>
        <w:rPr>
          <w:rFonts w:hint="cs"/>
          <w:rtl/>
        </w:rPr>
        <w:t xml:space="preserve">כתב דבדר בה המוכר חד יומא, אפש"ל דבאותו היום שדר בה הוא מכר למחזיק, א"כ מוכח דהוא מכר דבר שבידו ובחזקתו, ולכן טענינן ללוקח, אבל כשהמוכר לא דר בה, לא טענינן ליה, דאינו נראה כלוקח, אלא כמי שקונה דבר שהוא יודע שאינו של המוכר, </w:t>
      </w:r>
      <w:r w:rsidRPr="00AC0510">
        <w:rPr>
          <w:rStyle w:val="afb"/>
          <w:rFonts w:hint="cs"/>
          <w:rtl/>
        </w:rPr>
        <w:t xml:space="preserve">[וכ"כ </w:t>
      </w:r>
      <w:r w:rsidRPr="00AC0510">
        <w:rPr>
          <w:rStyle w:val="affa"/>
          <w:rFonts w:hint="cs"/>
          <w:rtl/>
        </w:rPr>
        <w:t xml:space="preserve">הרשב"ם </w:t>
      </w:r>
      <w:r w:rsidRPr="00E070BD">
        <w:rPr>
          <w:rStyle w:val="aff6"/>
          <w:rFonts w:hint="cs"/>
          <w:rtl/>
        </w:rPr>
        <w:t>(</w:t>
      </w:r>
      <w:r>
        <w:rPr>
          <w:rStyle w:val="aff6"/>
          <w:rFonts w:hint="cs"/>
          <w:rtl/>
        </w:rPr>
        <w:t xml:space="preserve">ד"ה א"ל </w:t>
      </w:r>
      <w:r w:rsidRPr="00E070BD">
        <w:rPr>
          <w:rStyle w:val="aff6"/>
          <w:rFonts w:hint="cs"/>
          <w:rtl/>
        </w:rPr>
        <w:t>הובא בסימן ח' אות ג')</w:t>
      </w:r>
      <w:r w:rsidRPr="00AC0510">
        <w:rPr>
          <w:rStyle w:val="afb"/>
          <w:rFonts w:hint="cs"/>
          <w:rtl/>
        </w:rPr>
        <w:t>],</w:t>
      </w:r>
      <w:r>
        <w:rPr>
          <w:rFonts w:hint="cs"/>
          <w:rtl/>
        </w:rPr>
        <w:t xml:space="preserve"> וחשיב כחזקה שאין עמה טענה. </w:t>
      </w:r>
      <w:r w:rsidRPr="00AC0510">
        <w:rPr>
          <w:rStyle w:val="afb"/>
          <w:rFonts w:hint="cs"/>
          <w:rtl/>
        </w:rPr>
        <w:t xml:space="preserve">[והוסיף </w:t>
      </w:r>
      <w:r w:rsidRPr="00AC0510">
        <w:rPr>
          <w:rStyle w:val="affa"/>
          <w:rFonts w:hint="cs"/>
          <w:rtl/>
        </w:rPr>
        <w:t xml:space="preserve">היד רמ"ה לקמן </w:t>
      </w:r>
      <w:r w:rsidRPr="00AC0510">
        <w:rPr>
          <w:rStyle w:val="aff6"/>
          <w:rFonts w:hint="cs"/>
          <w:rtl/>
        </w:rPr>
        <w:t>(או' קי"ט, מא: ד"ה וקיי"ל)</w:t>
      </w:r>
      <w:r w:rsidRPr="00AC0510">
        <w:rPr>
          <w:rStyle w:val="afb"/>
          <w:rFonts w:hint="cs"/>
          <w:rtl/>
        </w:rPr>
        <w:t xml:space="preserve"> דאף כשיש עדים שדר בה המוכר שעה אחת כדרך דירה, ג"כ מהני, בכדי שהמחזיק יהיה נראה כלוקח, וכן פסק </w:t>
      </w:r>
      <w:r w:rsidRPr="00AC0510">
        <w:rPr>
          <w:rStyle w:val="affa"/>
          <w:rFonts w:hint="cs"/>
          <w:rtl/>
        </w:rPr>
        <w:t xml:space="preserve">הטור </w:t>
      </w:r>
      <w:r w:rsidRPr="00AC0510">
        <w:rPr>
          <w:rStyle w:val="aff6"/>
          <w:rFonts w:hint="cs"/>
          <w:rtl/>
        </w:rPr>
        <w:t>(סי' קמ"ו כ')</w:t>
      </w:r>
      <w:r w:rsidRPr="00AC0510">
        <w:rPr>
          <w:rStyle w:val="afb"/>
          <w:rFonts w:hint="cs"/>
          <w:rtl/>
        </w:rPr>
        <w:t>].</w:t>
      </w:r>
    </w:p>
    <w:p w:rsidR="000E75A3" w:rsidRDefault="000E75A3" w:rsidP="000E75A3">
      <w:pPr>
        <w:pStyle w:val="1"/>
        <w:rPr>
          <w:rtl/>
        </w:rPr>
      </w:pPr>
      <w:bookmarkStart w:id="9053" w:name="_Toc59490091"/>
      <w:bookmarkStart w:id="9054" w:name="_Toc59620254"/>
      <w:bookmarkStart w:id="9055" w:name="_Toc59643521"/>
      <w:bookmarkStart w:id="9056" w:name="_Toc59741584"/>
      <w:bookmarkStart w:id="9057" w:name="_Toc59786708"/>
      <w:bookmarkStart w:id="9058" w:name="_Toc59802522"/>
      <w:bookmarkStart w:id="9059" w:name="_Toc59916082"/>
      <w:r>
        <w:rPr>
          <w:rFonts w:hint="cs"/>
          <w:rtl/>
        </w:rPr>
        <w:t>הבי' הא' במאירי דבחד יומא תחילת חזקת ג"ש ע"י המוכר</w:t>
      </w:r>
      <w:bookmarkEnd w:id="9053"/>
      <w:bookmarkEnd w:id="9054"/>
      <w:bookmarkEnd w:id="9055"/>
      <w:bookmarkEnd w:id="9056"/>
      <w:bookmarkEnd w:id="9057"/>
      <w:bookmarkEnd w:id="9058"/>
      <w:bookmarkEnd w:id="9059"/>
    </w:p>
    <w:p w:rsidR="000E75A3" w:rsidRDefault="000E75A3" w:rsidP="000E75A3">
      <w:pPr>
        <w:pStyle w:val="a3"/>
        <w:rPr>
          <w:rtl/>
        </w:rPr>
      </w:pPr>
      <w:bookmarkStart w:id="9060" w:name="_Toc59490092"/>
      <w:bookmarkStart w:id="9061" w:name="_Toc59620255"/>
      <w:bookmarkStart w:id="9062" w:name="_Toc59643522"/>
      <w:bookmarkStart w:id="9063" w:name="_Toc59741585"/>
      <w:bookmarkStart w:id="9064" w:name="_Toc59786709"/>
      <w:bookmarkStart w:id="9065" w:name="_Toc59802523"/>
      <w:bookmarkStart w:id="9066" w:name="_Toc59916083"/>
      <w:r>
        <w:rPr>
          <w:rFonts w:hint="cs"/>
          <w:rtl/>
        </w:rPr>
        <w:t>הביאור הא' במאירי לקמן דבעידי חד יומא תחילת חזקת המחזיק היא ע"י המוכר בחד יומא</w:t>
      </w:r>
      <w:bookmarkEnd w:id="9060"/>
      <w:bookmarkEnd w:id="9061"/>
      <w:bookmarkEnd w:id="9062"/>
      <w:bookmarkEnd w:id="9063"/>
      <w:bookmarkEnd w:id="9064"/>
      <w:bookmarkEnd w:id="9065"/>
      <w:bookmarkEnd w:id="9066"/>
    </w:p>
    <w:p w:rsidR="000E75A3" w:rsidRDefault="000E75A3" w:rsidP="007E4E81">
      <w:pPr>
        <w:pStyle w:val="a0"/>
        <w:rPr>
          <w:rStyle w:val="afb"/>
          <w:rtl/>
        </w:rPr>
      </w:pPr>
      <w:r>
        <w:rPr>
          <w:rFonts w:hint="cs"/>
          <w:rtl/>
        </w:rPr>
        <w:t xml:space="preserve">כתב </w:t>
      </w:r>
      <w:r w:rsidRPr="00AC0510">
        <w:rPr>
          <w:rStyle w:val="af9"/>
          <w:rFonts w:hint="cs"/>
          <w:rtl/>
        </w:rPr>
        <w:t>המאירי לקמן</w:t>
      </w:r>
      <w:r>
        <w:rPr>
          <w:rFonts w:hint="cs"/>
          <w:rtl/>
        </w:rPr>
        <w:t xml:space="preserve"> </w:t>
      </w:r>
      <w:r w:rsidRPr="00AC0510">
        <w:rPr>
          <w:rStyle w:val="af7"/>
          <w:rFonts w:eastAsia="Guttman Hodes" w:hint="cs"/>
          <w:rtl/>
        </w:rPr>
        <w:t xml:space="preserve">(מא: ד"ה מי) </w:t>
      </w:r>
      <w:r>
        <w:rPr>
          <w:rFonts w:hint="cs"/>
          <w:rtl/>
        </w:rPr>
        <w:t xml:space="preserve">דכשיש למחזיק חזקת ג"ש, והביא עדים דהמוכר דר בה חד יומא, א"כ המחזיק זוכה בחזקתו, כיון שהחזקה שלו התחילה ע"י המוכר שדר בה חד יומא, והמחזיק גמר את החזקה. </w:t>
      </w:r>
      <w:r w:rsidRPr="006C17B4">
        <w:rPr>
          <w:rStyle w:val="afb"/>
          <w:rFonts w:hint="cs"/>
          <w:rtl/>
        </w:rPr>
        <w:t xml:space="preserve">[אך כתב </w:t>
      </w:r>
      <w:r w:rsidRPr="006C17B4">
        <w:rPr>
          <w:rStyle w:val="affa"/>
          <w:rFonts w:hint="cs"/>
          <w:rtl/>
        </w:rPr>
        <w:t>המאירי לקמן</w:t>
      </w:r>
      <w:r w:rsidRPr="006C17B4">
        <w:rPr>
          <w:rStyle w:val="afb"/>
          <w:rFonts w:hint="cs"/>
          <w:rtl/>
        </w:rPr>
        <w:t xml:space="preserve"> דדו</w:t>
      </w:r>
      <w:r>
        <w:rPr>
          <w:rStyle w:val="afb"/>
          <w:rFonts w:hint="cs"/>
          <w:rtl/>
        </w:rPr>
        <w:t>ק</w:t>
      </w:r>
      <w:r w:rsidRPr="006C17B4">
        <w:rPr>
          <w:rStyle w:val="afb"/>
          <w:rFonts w:hint="cs"/>
          <w:rtl/>
        </w:rPr>
        <w:t>א כשיש למחזיק חזקת ג"ש שלימות חוץ מאותו היום מהני, אך בלא"ה אין חזקת המוכר מצטרפת לחזקת המחזיק בלא שטר].</w:t>
      </w:r>
    </w:p>
    <w:p w:rsidR="000E75A3" w:rsidRPr="005B7C9D" w:rsidRDefault="000E75A3" w:rsidP="000E75A3">
      <w:pPr>
        <w:pStyle w:val="1"/>
        <w:rPr>
          <w:rtl/>
        </w:rPr>
      </w:pPr>
      <w:bookmarkStart w:id="9067" w:name="_Toc59490093"/>
      <w:bookmarkStart w:id="9068" w:name="_Toc59620256"/>
      <w:bookmarkStart w:id="9069" w:name="_Toc59643523"/>
      <w:bookmarkStart w:id="9070" w:name="_Toc59741586"/>
      <w:bookmarkStart w:id="9071" w:name="_Toc59786710"/>
      <w:bookmarkStart w:id="9072" w:name="_Toc59802524"/>
      <w:bookmarkStart w:id="9073" w:name="_Toc59916084"/>
      <w:r>
        <w:rPr>
          <w:rFonts w:hint="cs"/>
          <w:rtl/>
        </w:rPr>
        <w:t>הבי' הב' במאירי דבחד יומא נראה כבעלים ולא פשע המחזיק</w:t>
      </w:r>
      <w:bookmarkEnd w:id="9067"/>
      <w:bookmarkEnd w:id="9068"/>
      <w:bookmarkEnd w:id="9069"/>
      <w:bookmarkEnd w:id="9070"/>
      <w:bookmarkEnd w:id="9071"/>
      <w:bookmarkEnd w:id="9072"/>
      <w:bookmarkEnd w:id="9073"/>
    </w:p>
    <w:p w:rsidR="000E75A3" w:rsidRDefault="000E75A3" w:rsidP="000E75A3">
      <w:pPr>
        <w:pStyle w:val="a3"/>
        <w:rPr>
          <w:rtl/>
        </w:rPr>
      </w:pPr>
      <w:bookmarkStart w:id="9074" w:name="_Toc59490094"/>
      <w:bookmarkStart w:id="9075" w:name="_Toc59620257"/>
      <w:bookmarkStart w:id="9076" w:name="_Toc59643524"/>
      <w:bookmarkStart w:id="9077" w:name="_Toc59741587"/>
      <w:bookmarkStart w:id="9078" w:name="_Toc59786711"/>
      <w:bookmarkStart w:id="9079" w:name="_Toc59802525"/>
      <w:bookmarkStart w:id="9080" w:name="_Toc59916085"/>
      <w:r>
        <w:rPr>
          <w:rFonts w:hint="cs"/>
          <w:rtl/>
        </w:rPr>
        <w:t>הביאור הב' במאירי לקמן דבעידי חד יומא לא פשע המחזיק כשקנה דראה את המוכר כבעלים</w:t>
      </w:r>
      <w:bookmarkEnd w:id="9074"/>
      <w:bookmarkEnd w:id="9075"/>
      <w:bookmarkEnd w:id="9076"/>
      <w:bookmarkEnd w:id="9077"/>
      <w:bookmarkEnd w:id="9078"/>
      <w:bookmarkEnd w:id="9079"/>
      <w:bookmarkEnd w:id="9080"/>
    </w:p>
    <w:p w:rsidR="000E75A3" w:rsidRDefault="000E75A3" w:rsidP="007E4E81">
      <w:pPr>
        <w:pStyle w:val="a0"/>
        <w:rPr>
          <w:rtl/>
        </w:rPr>
      </w:pPr>
      <w:r>
        <w:rPr>
          <w:rFonts w:hint="cs"/>
          <w:rtl/>
        </w:rPr>
        <w:t xml:space="preserve">ועוד ביאר </w:t>
      </w:r>
      <w:r w:rsidRPr="006C17B4">
        <w:rPr>
          <w:rStyle w:val="af9"/>
          <w:rFonts w:hint="cs"/>
          <w:rtl/>
        </w:rPr>
        <w:t>המאירי לקמן</w:t>
      </w:r>
      <w:r>
        <w:rPr>
          <w:rFonts w:hint="cs"/>
          <w:rtl/>
        </w:rPr>
        <w:t xml:space="preserve"> דכשהמוכר דר בה חד יומא, א"כ לא פשע המחזיק במה שקנה ממנו, כיון שראה אותו דר בה כבעלים שדר בשלו.</w:t>
      </w:r>
    </w:p>
    <w:p w:rsidR="000E75A3" w:rsidRPr="001226FF" w:rsidRDefault="000E75A3" w:rsidP="000E75A3">
      <w:pPr>
        <w:pStyle w:val="1"/>
        <w:rPr>
          <w:rtl/>
        </w:rPr>
      </w:pPr>
      <w:bookmarkStart w:id="9081" w:name="_Toc59490095"/>
      <w:bookmarkStart w:id="9082" w:name="_Toc59620258"/>
      <w:bookmarkStart w:id="9083" w:name="_Toc59643525"/>
      <w:bookmarkStart w:id="9084" w:name="_Toc59741588"/>
      <w:bookmarkStart w:id="9085" w:name="_Toc59786712"/>
      <w:bookmarkStart w:id="9086" w:name="_Toc59802526"/>
      <w:bookmarkStart w:id="9087" w:name="_Toc59916086"/>
      <w:r>
        <w:rPr>
          <w:rFonts w:hint="cs"/>
          <w:rtl/>
        </w:rPr>
        <w:t>ביאור התורי"ד דחד יומא מהני כמו דמהני שטר שקנה מהמוכר</w:t>
      </w:r>
      <w:bookmarkEnd w:id="9081"/>
      <w:bookmarkEnd w:id="9082"/>
      <w:bookmarkEnd w:id="9083"/>
      <w:bookmarkEnd w:id="9084"/>
      <w:bookmarkEnd w:id="9085"/>
      <w:bookmarkEnd w:id="9086"/>
      <w:bookmarkEnd w:id="9087"/>
    </w:p>
    <w:p w:rsidR="000E75A3" w:rsidRPr="008258AC" w:rsidRDefault="000E75A3" w:rsidP="000E75A3">
      <w:pPr>
        <w:pStyle w:val="a3"/>
        <w:rPr>
          <w:rtl/>
        </w:rPr>
      </w:pPr>
      <w:bookmarkStart w:id="9088" w:name="_Toc59490096"/>
      <w:bookmarkStart w:id="9089" w:name="_Toc59620259"/>
      <w:bookmarkStart w:id="9090" w:name="_Toc59643526"/>
      <w:bookmarkStart w:id="9091" w:name="_Toc59741589"/>
      <w:bookmarkStart w:id="9092" w:name="_Toc59786713"/>
      <w:bookmarkStart w:id="9093" w:name="_Toc59802527"/>
      <w:bookmarkStart w:id="9094" w:name="_Toc59916087"/>
      <w:r>
        <w:rPr>
          <w:rFonts w:hint="cs"/>
          <w:rtl/>
        </w:rPr>
        <w:t>דברי התורי"ד לקמן דכשיש למחזיק שטר אינו צריך להביא עדים דהמוכר דר חד יומא</w:t>
      </w:r>
      <w:bookmarkEnd w:id="9088"/>
      <w:bookmarkEnd w:id="9089"/>
      <w:bookmarkEnd w:id="9090"/>
      <w:bookmarkEnd w:id="9091"/>
      <w:bookmarkEnd w:id="9092"/>
      <w:bookmarkEnd w:id="9093"/>
      <w:bookmarkEnd w:id="9094"/>
    </w:p>
    <w:p w:rsidR="000E75A3" w:rsidRPr="008E3600" w:rsidRDefault="000E75A3" w:rsidP="007E4E81">
      <w:pPr>
        <w:pStyle w:val="a0"/>
        <w:rPr>
          <w:rStyle w:val="afb"/>
          <w:rtl/>
        </w:rPr>
      </w:pPr>
      <w:bookmarkStart w:id="9095" w:name="_Ref59352302"/>
      <w:r>
        <w:rPr>
          <w:rFonts w:hint="cs"/>
          <w:rtl/>
        </w:rPr>
        <w:t xml:space="preserve">כתב </w:t>
      </w:r>
      <w:r w:rsidRPr="006C17B4">
        <w:rPr>
          <w:rStyle w:val="af9"/>
          <w:rFonts w:hint="cs"/>
          <w:rtl/>
        </w:rPr>
        <w:t>התוס' רי"ד לקמן</w:t>
      </w:r>
      <w:r>
        <w:rPr>
          <w:rFonts w:hint="cs"/>
          <w:rtl/>
        </w:rPr>
        <w:t xml:space="preserve"> </w:t>
      </w:r>
      <w:r w:rsidRPr="006C17B4">
        <w:rPr>
          <w:rStyle w:val="af7"/>
          <w:rFonts w:eastAsia="Guttman Hodes" w:hint="cs"/>
          <w:rtl/>
        </w:rPr>
        <w:t xml:space="preserve">(או' ל"ב, מא: ד"ה א"ל) </w:t>
      </w:r>
      <w:r>
        <w:rPr>
          <w:rFonts w:hint="cs"/>
          <w:rtl/>
        </w:rPr>
        <w:t xml:space="preserve">דהא דהמחזיק צריך להביא עדים שהמוכר דר בה חד יומא, היינו דוקא כשאין למחזיק שטר מהמוכר, אבל כשיש לו שטר שהוא קנה מהמוכר, א"צ להביא עדים שהמוכר דר בה חד יומא, וכ"כ </w:t>
      </w:r>
      <w:r w:rsidRPr="0094354A">
        <w:rPr>
          <w:rStyle w:val="af9"/>
          <w:rFonts w:hint="cs"/>
          <w:rtl/>
        </w:rPr>
        <w:t>המהרי"ט</w:t>
      </w:r>
      <w:r>
        <w:rPr>
          <w:rFonts w:hint="cs"/>
          <w:rtl/>
        </w:rPr>
        <w:t xml:space="preserve"> </w:t>
      </w:r>
      <w:r w:rsidRPr="0094354A">
        <w:rPr>
          <w:rStyle w:val="af7"/>
          <w:rFonts w:eastAsia="Guttman Hodes" w:hint="cs"/>
          <w:rtl/>
        </w:rPr>
        <w:t xml:space="preserve">(עי' אות </w:t>
      </w:r>
      <w:r w:rsidRPr="0094354A">
        <w:rPr>
          <w:rStyle w:val="af7"/>
          <w:rFonts w:eastAsia="Guttman Hodes"/>
          <w:rtl/>
        </w:rPr>
        <w:fldChar w:fldCharType="begin"/>
      </w:r>
      <w:r w:rsidRPr="0094354A">
        <w:rPr>
          <w:rStyle w:val="af7"/>
          <w:rFonts w:eastAsia="Guttman Hodes"/>
          <w:rtl/>
        </w:rPr>
        <w:instrText xml:space="preserve"> </w:instrText>
      </w:r>
      <w:r w:rsidRPr="0094354A">
        <w:rPr>
          <w:rStyle w:val="af7"/>
          <w:rFonts w:eastAsia="Guttman Hodes" w:hint="cs"/>
        </w:rPr>
        <w:instrText>REF</w:instrText>
      </w:r>
      <w:r w:rsidRPr="0094354A">
        <w:rPr>
          <w:rStyle w:val="af7"/>
          <w:rFonts w:eastAsia="Guttman Hodes" w:hint="cs"/>
          <w:rtl/>
        </w:rPr>
        <w:instrText xml:space="preserve"> _</w:instrText>
      </w:r>
      <w:r w:rsidRPr="0094354A">
        <w:rPr>
          <w:rStyle w:val="af7"/>
          <w:rFonts w:eastAsia="Guttman Hodes" w:hint="cs"/>
        </w:rPr>
        <w:instrText>Ref58272809 \r \h</w:instrText>
      </w:r>
      <w:r w:rsidRPr="0094354A">
        <w:rPr>
          <w:rStyle w:val="af7"/>
          <w:rFonts w:eastAsia="Guttman Hodes"/>
          <w:rtl/>
        </w:rPr>
        <w:instrText xml:space="preserve"> </w:instrText>
      </w:r>
      <w:r w:rsidRPr="0094354A">
        <w:rPr>
          <w:rStyle w:val="af7"/>
          <w:rFonts w:eastAsia="Guttman Hodes"/>
          <w:rtl/>
        </w:rPr>
      </w:r>
      <w:r w:rsidRPr="0094354A">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94354A">
        <w:rPr>
          <w:rStyle w:val="af7"/>
          <w:rFonts w:eastAsia="Guttman Hodes"/>
          <w:rtl/>
        </w:rPr>
        <w:fldChar w:fldCharType="end"/>
      </w:r>
      <w:r>
        <w:rPr>
          <w:rFonts w:hint="cs"/>
          <w:rtl/>
        </w:rPr>
        <w:t xml:space="preserve">. </w:t>
      </w:r>
      <w:r w:rsidRPr="008E3600">
        <w:rPr>
          <w:rStyle w:val="afb"/>
          <w:rFonts w:hint="cs"/>
          <w:rtl/>
        </w:rPr>
        <w:t xml:space="preserve">[ועי' בדברי </w:t>
      </w:r>
      <w:r w:rsidRPr="008E3600">
        <w:rPr>
          <w:rStyle w:val="affa"/>
          <w:rFonts w:hint="cs"/>
          <w:rtl/>
        </w:rPr>
        <w:t>התוס' רי"ד בסוגיין</w:t>
      </w:r>
      <w:r w:rsidRPr="008E3600">
        <w:rPr>
          <w:rStyle w:val="afb"/>
          <w:rFonts w:hint="cs"/>
          <w:rtl/>
        </w:rPr>
        <w:t xml:space="preserve"> </w:t>
      </w:r>
      <w:r w:rsidRPr="008E3600">
        <w:rPr>
          <w:rStyle w:val="aff6"/>
          <w:rFonts w:hint="cs"/>
          <w:rtl/>
        </w:rPr>
        <w:t>(או' ה' ד"ה א"ל, הובא בסימן ח' אות ע"ו)</w:t>
      </w:r>
      <w:r w:rsidRPr="008E3600">
        <w:rPr>
          <w:rStyle w:val="afb"/>
          <w:rFonts w:hint="cs"/>
          <w:rtl/>
        </w:rPr>
        <w:t xml:space="preserve"> במה שהאריך לדון בדברי </w:t>
      </w:r>
      <w:r w:rsidRPr="008E3600">
        <w:rPr>
          <w:rStyle w:val="affa"/>
          <w:rFonts w:hint="cs"/>
          <w:rtl/>
        </w:rPr>
        <w:t>הרשב"ם</w:t>
      </w:r>
      <w:r w:rsidRPr="008E3600">
        <w:rPr>
          <w:rStyle w:val="afb"/>
          <w:rFonts w:hint="cs"/>
          <w:rtl/>
        </w:rPr>
        <w:t xml:space="preserve"> </w:t>
      </w:r>
      <w:r w:rsidRPr="008E3600">
        <w:rPr>
          <w:rStyle w:val="aff6"/>
          <w:rFonts w:hint="cs"/>
          <w:rtl/>
        </w:rPr>
        <w:t>(ריש ד"ה אמר ליה)</w:t>
      </w:r>
      <w:r w:rsidRPr="008E3600">
        <w:rPr>
          <w:rStyle w:val="afb"/>
          <w:rFonts w:hint="cs"/>
          <w:rtl/>
        </w:rPr>
        <w:t xml:space="preserve"> דכתב דהיה למחזיק שטר מהמוכר].</w:t>
      </w:r>
    </w:p>
    <w:p w:rsidR="000E75A3" w:rsidRPr="0094354A" w:rsidRDefault="000E75A3" w:rsidP="000E75A3">
      <w:pPr>
        <w:pStyle w:val="a3"/>
      </w:pPr>
      <w:bookmarkStart w:id="9096" w:name="_Toc59490097"/>
      <w:bookmarkStart w:id="9097" w:name="_Toc59620260"/>
      <w:bookmarkStart w:id="9098" w:name="_Toc59643527"/>
      <w:bookmarkStart w:id="9099" w:name="_Toc59741590"/>
      <w:bookmarkStart w:id="9100" w:name="_Toc59786714"/>
      <w:bookmarkStart w:id="9101" w:name="_Toc59802528"/>
      <w:bookmarkStart w:id="9102" w:name="_Toc59916088"/>
      <w:r>
        <w:rPr>
          <w:rFonts w:hint="cs"/>
          <w:rtl/>
        </w:rPr>
        <w:t>ביאור התורי"ד לקמן דכשיש למחזיק שטר [או עידי חד יומא] ברור שקנה מהמוכר וטענינן ליה</w:t>
      </w:r>
      <w:bookmarkEnd w:id="9096"/>
      <w:bookmarkEnd w:id="9097"/>
      <w:bookmarkEnd w:id="9098"/>
      <w:bookmarkEnd w:id="9099"/>
      <w:bookmarkEnd w:id="9100"/>
      <w:bookmarkEnd w:id="9101"/>
      <w:bookmarkEnd w:id="9102"/>
    </w:p>
    <w:p w:rsidR="000E75A3" w:rsidRDefault="000E75A3" w:rsidP="007E4E81">
      <w:pPr>
        <w:pStyle w:val="a0"/>
        <w:rPr>
          <w:rtl/>
        </w:rPr>
      </w:pPr>
      <w:r>
        <w:rPr>
          <w:rFonts w:hint="cs"/>
          <w:rtl/>
        </w:rPr>
        <w:t xml:space="preserve">וביאר </w:t>
      </w:r>
      <w:r w:rsidRPr="006C17B4">
        <w:rPr>
          <w:rStyle w:val="af9"/>
          <w:rFonts w:hint="cs"/>
          <w:rtl/>
        </w:rPr>
        <w:t>התוס' רי"ד</w:t>
      </w:r>
      <w:r>
        <w:rPr>
          <w:rStyle w:val="af9"/>
          <w:rFonts w:hint="cs"/>
          <w:rtl/>
        </w:rPr>
        <w:t xml:space="preserve"> לקמן</w:t>
      </w:r>
      <w:r>
        <w:rPr>
          <w:rFonts w:hint="cs"/>
          <w:rtl/>
        </w:rPr>
        <w:t xml:space="preserve"> דע"י השטר ברור לנו שהמחזיק קנה מהמוכר, וטענינן ליה כדין לוקח, דהמוכר קנה מהמערער, </w:t>
      </w:r>
      <w:r w:rsidRPr="008E3600">
        <w:rPr>
          <w:rStyle w:val="afb"/>
          <w:rFonts w:hint="cs"/>
          <w:rtl/>
        </w:rPr>
        <w:t>[ומשמע דצריך עידי חד יומא הוא בכדי שיחשב המחזיק כלוקח],</w:t>
      </w:r>
      <w:r w:rsidRPr="003D58F7">
        <w:rPr>
          <w:rFonts w:hint="cs"/>
          <w:rtl/>
        </w:rPr>
        <w:t xml:space="preserve"> וכתב </w:t>
      </w:r>
      <w:r w:rsidRPr="003D58F7">
        <w:rPr>
          <w:rStyle w:val="af9"/>
          <w:rFonts w:hint="cs"/>
          <w:rtl/>
        </w:rPr>
        <w:t>הקוב"ש</w:t>
      </w:r>
      <w:r w:rsidRPr="003D58F7">
        <w:rPr>
          <w:rFonts w:hint="cs"/>
          <w:rtl/>
        </w:rPr>
        <w:t xml:space="preserve"> </w:t>
      </w:r>
      <w:r w:rsidRPr="003D58F7">
        <w:rPr>
          <w:rStyle w:val="af7"/>
          <w:rFonts w:eastAsia="Guttman Rashi" w:hint="cs"/>
          <w:rtl/>
        </w:rPr>
        <w:t>(או' קע"ה)</w:t>
      </w:r>
      <w:r w:rsidRPr="003D58F7">
        <w:rPr>
          <w:rFonts w:hint="cs"/>
          <w:rtl/>
        </w:rPr>
        <w:t xml:space="preserve"> דמבואר בדברי </w:t>
      </w:r>
      <w:r w:rsidRPr="003D58F7">
        <w:rPr>
          <w:rStyle w:val="af9"/>
          <w:rFonts w:hint="cs"/>
          <w:rtl/>
        </w:rPr>
        <w:t>התוס' רי"ד</w:t>
      </w:r>
      <w:r w:rsidRPr="003D58F7">
        <w:rPr>
          <w:rFonts w:hint="cs"/>
          <w:rtl/>
        </w:rPr>
        <w:t xml:space="preserve"> כדברי </w:t>
      </w:r>
      <w:r w:rsidRPr="003D58F7">
        <w:rPr>
          <w:rStyle w:val="af9"/>
          <w:rFonts w:hint="cs"/>
          <w:rtl/>
        </w:rPr>
        <w:t>המהרי"ט</w:t>
      </w:r>
      <w:r w:rsidRPr="003D58F7">
        <w:rPr>
          <w:rFonts w:hint="cs"/>
          <w:rtl/>
        </w:rPr>
        <w:t xml:space="preserve"> </w:t>
      </w:r>
      <w:r w:rsidRPr="003D58F7">
        <w:rPr>
          <w:rStyle w:val="af7"/>
          <w:rFonts w:eastAsia="Guttman Rashi" w:hint="cs"/>
          <w:rtl/>
        </w:rPr>
        <w:t xml:space="preserve">(עי' אות </w:t>
      </w:r>
      <w:r w:rsidRPr="003D58F7">
        <w:rPr>
          <w:rStyle w:val="af7"/>
          <w:rFonts w:eastAsia="Guttman Rashi"/>
          <w:rtl/>
        </w:rPr>
        <w:fldChar w:fldCharType="begin"/>
      </w:r>
      <w:r w:rsidRPr="003D58F7">
        <w:rPr>
          <w:rStyle w:val="af7"/>
          <w:rFonts w:eastAsia="Guttman Rashi"/>
          <w:rtl/>
        </w:rPr>
        <w:instrText xml:space="preserve"> </w:instrText>
      </w:r>
      <w:r w:rsidRPr="003D58F7">
        <w:rPr>
          <w:rStyle w:val="af7"/>
          <w:rFonts w:eastAsia="Guttman Rashi" w:hint="cs"/>
        </w:rPr>
        <w:instrText>REF</w:instrText>
      </w:r>
      <w:r w:rsidRPr="003D58F7">
        <w:rPr>
          <w:rStyle w:val="af7"/>
          <w:rFonts w:eastAsia="Guttman Rashi" w:hint="cs"/>
          <w:rtl/>
        </w:rPr>
        <w:instrText xml:space="preserve"> _</w:instrText>
      </w:r>
      <w:r w:rsidRPr="003D58F7">
        <w:rPr>
          <w:rStyle w:val="af7"/>
          <w:rFonts w:eastAsia="Guttman Rashi" w:hint="cs"/>
        </w:rPr>
        <w:instrText>Ref58272809 \r \h</w:instrText>
      </w:r>
      <w:r w:rsidRPr="003D58F7">
        <w:rPr>
          <w:rStyle w:val="af7"/>
          <w:rFonts w:eastAsia="Guttman Rashi"/>
          <w:rtl/>
        </w:rPr>
        <w:instrText xml:space="preserve"> </w:instrText>
      </w:r>
      <w:r w:rsidRPr="003D58F7">
        <w:rPr>
          <w:rStyle w:val="af7"/>
          <w:rFonts w:eastAsia="Guttman Rashi"/>
          <w:rtl/>
        </w:rPr>
      </w:r>
      <w:r w:rsidRPr="003D58F7">
        <w:rPr>
          <w:rStyle w:val="af7"/>
          <w:rFonts w:eastAsia="Guttman Rashi"/>
          <w:rtl/>
        </w:rPr>
        <w:fldChar w:fldCharType="separate"/>
      </w:r>
      <w:r w:rsidR="00265073">
        <w:rPr>
          <w:rStyle w:val="af7"/>
          <w:rFonts w:eastAsia="Guttman Rashi"/>
          <w:cs/>
        </w:rPr>
        <w:t>‎</w:t>
      </w:r>
      <w:r w:rsidR="00265073">
        <w:rPr>
          <w:rStyle w:val="af7"/>
          <w:rFonts w:eastAsia="Guttman Rashi"/>
          <w:rtl/>
        </w:rPr>
        <w:t>יג)</w:t>
      </w:r>
      <w:r w:rsidRPr="003D58F7">
        <w:rPr>
          <w:rStyle w:val="af7"/>
          <w:rFonts w:eastAsia="Guttman Rashi"/>
          <w:rtl/>
        </w:rPr>
        <w:fldChar w:fldCharType="end"/>
      </w:r>
      <w:r w:rsidRPr="003D58F7">
        <w:rPr>
          <w:rFonts w:hint="cs"/>
          <w:rtl/>
        </w:rPr>
        <w:t>].</w:t>
      </w:r>
      <w:r>
        <w:rPr>
          <w:rFonts w:hint="cs"/>
          <w:rtl/>
        </w:rPr>
        <w:t xml:space="preserve"> </w:t>
      </w:r>
      <w:bookmarkEnd w:id="9095"/>
    </w:p>
    <w:p w:rsidR="000E75A3" w:rsidRDefault="000E75A3" w:rsidP="000E75A3">
      <w:pPr>
        <w:pStyle w:val="a3"/>
        <w:rPr>
          <w:rtl/>
        </w:rPr>
      </w:pPr>
      <w:bookmarkStart w:id="9103" w:name="_Toc59490098"/>
      <w:bookmarkStart w:id="9104" w:name="_Toc59620261"/>
      <w:bookmarkStart w:id="9105" w:name="_Toc59643528"/>
      <w:bookmarkStart w:id="9106" w:name="_Toc59741591"/>
      <w:bookmarkStart w:id="9107" w:name="_Toc59786715"/>
      <w:bookmarkStart w:id="9108" w:name="_Toc59802529"/>
      <w:bookmarkStart w:id="9109" w:name="_Toc59916089"/>
      <w:r>
        <w:rPr>
          <w:rFonts w:hint="cs"/>
          <w:rtl/>
        </w:rPr>
        <w:t>דברי ההשלמה לקמן דאף כשיש למחזיק שטר מהמוכר הוא צריך להביא עדים דדר חד יומא</w:t>
      </w:r>
      <w:bookmarkEnd w:id="9103"/>
      <w:bookmarkEnd w:id="9104"/>
      <w:bookmarkEnd w:id="9105"/>
      <w:bookmarkEnd w:id="9106"/>
      <w:bookmarkEnd w:id="9107"/>
      <w:bookmarkEnd w:id="9108"/>
      <w:bookmarkEnd w:id="9109"/>
    </w:p>
    <w:p w:rsidR="000E75A3" w:rsidRDefault="000E75A3" w:rsidP="007E4E81">
      <w:pPr>
        <w:pStyle w:val="a0"/>
        <w:rPr>
          <w:rtl/>
        </w:rPr>
      </w:pPr>
      <w:r w:rsidRPr="001226FF">
        <w:rPr>
          <w:rFonts w:hint="cs"/>
          <w:rtl/>
        </w:rPr>
        <w:t xml:space="preserve">אבל </w:t>
      </w:r>
      <w:r w:rsidRPr="001226FF">
        <w:rPr>
          <w:rStyle w:val="af9"/>
          <w:rFonts w:hint="cs"/>
          <w:rtl/>
        </w:rPr>
        <w:t>ההשלמה לקמן</w:t>
      </w:r>
      <w:r w:rsidRPr="001226FF">
        <w:rPr>
          <w:rFonts w:hint="cs"/>
          <w:rtl/>
        </w:rPr>
        <w:t xml:space="preserve"> </w:t>
      </w:r>
      <w:r w:rsidRPr="001226FF">
        <w:rPr>
          <w:rStyle w:val="af7"/>
          <w:rFonts w:eastAsia="Guttman Hodes" w:hint="cs"/>
          <w:rtl/>
        </w:rPr>
        <w:t xml:space="preserve">(מא: או' י"ג סוד"ה שלשה, הועתק בקובץ שיטות קמאי ב"ב ח"ב עמ' </w:t>
      </w:r>
      <w:r w:rsidRPr="001226FF">
        <w:rPr>
          <w:rStyle w:val="af7"/>
          <w:rFonts w:eastAsia="Guttman Hodes"/>
          <w:rtl/>
        </w:rPr>
        <w:t>אלף ע</w:t>
      </w:r>
      <w:r w:rsidRPr="001226FF">
        <w:rPr>
          <w:rStyle w:val="af7"/>
          <w:rFonts w:eastAsia="Guttman Hodes" w:hint="cs"/>
          <w:rtl/>
        </w:rPr>
        <w:t>"</w:t>
      </w:r>
      <w:r w:rsidRPr="001226FF">
        <w:rPr>
          <w:rStyle w:val="af7"/>
          <w:rFonts w:eastAsia="Guttman Hodes"/>
          <w:rtl/>
        </w:rPr>
        <w:t>ד</w:t>
      </w:r>
      <w:r w:rsidRPr="001226FF">
        <w:rPr>
          <w:rStyle w:val="af7"/>
          <w:rFonts w:eastAsia="Guttman Hodes" w:hint="cs"/>
          <w:rtl/>
        </w:rPr>
        <w:t xml:space="preserve">) </w:t>
      </w:r>
      <w:r w:rsidRPr="001226FF">
        <w:rPr>
          <w:rFonts w:hint="cs"/>
          <w:rtl/>
        </w:rPr>
        <w:t>כתב להדיא</w:t>
      </w:r>
      <w:r>
        <w:rPr>
          <w:rFonts w:hint="cs"/>
          <w:rtl/>
        </w:rPr>
        <w:t xml:space="preserve"> דאף שהמחזיק קנה מהמוכר בשטר, מ"מ הוא צריך להביא עדים שהמוכר דר בה חד יומא.</w:t>
      </w:r>
    </w:p>
    <w:p w:rsidR="000E75A3" w:rsidRPr="001F5B51" w:rsidRDefault="000E75A3" w:rsidP="000E75A3">
      <w:pPr>
        <w:pStyle w:val="1"/>
        <w:rPr>
          <w:rtl/>
        </w:rPr>
      </w:pPr>
      <w:bookmarkStart w:id="9110" w:name="_Toc59490099"/>
      <w:bookmarkStart w:id="9111" w:name="_Toc59620262"/>
      <w:bookmarkStart w:id="9112" w:name="_Toc59643529"/>
      <w:bookmarkStart w:id="9113" w:name="_Toc59741592"/>
      <w:bookmarkStart w:id="9114" w:name="_Toc59786716"/>
      <w:bookmarkStart w:id="9115" w:name="_Toc59802530"/>
      <w:bookmarkStart w:id="9116" w:name="_Toc59916090"/>
      <w:r>
        <w:rPr>
          <w:rFonts w:hint="cs"/>
          <w:rtl/>
        </w:rPr>
        <w:t>דברי הרשב"א בסוגיין דבחד יומא ההחזקה היא מכח המוכר</w:t>
      </w:r>
      <w:bookmarkEnd w:id="9110"/>
      <w:bookmarkEnd w:id="9111"/>
      <w:bookmarkEnd w:id="9112"/>
      <w:bookmarkEnd w:id="9113"/>
      <w:bookmarkEnd w:id="9114"/>
      <w:bookmarkEnd w:id="9115"/>
      <w:bookmarkEnd w:id="9116"/>
    </w:p>
    <w:p w:rsidR="000E75A3" w:rsidRPr="00A77629" w:rsidRDefault="000E75A3" w:rsidP="000E75A3">
      <w:pPr>
        <w:pStyle w:val="a3"/>
        <w:rPr>
          <w:rtl/>
        </w:rPr>
      </w:pPr>
      <w:bookmarkStart w:id="9117" w:name="_Toc59113225"/>
      <w:bookmarkStart w:id="9118" w:name="_Toc59136937"/>
      <w:bookmarkStart w:id="9119" w:name="_Toc59361613"/>
      <w:bookmarkStart w:id="9120" w:name="_Toc59464625"/>
      <w:bookmarkStart w:id="9121" w:name="_Toc59490100"/>
      <w:bookmarkStart w:id="9122" w:name="_Toc59620263"/>
      <w:bookmarkStart w:id="9123" w:name="_Toc59643530"/>
      <w:bookmarkStart w:id="9124" w:name="_Toc59741593"/>
      <w:bookmarkStart w:id="9125" w:name="_Toc59786717"/>
      <w:bookmarkStart w:id="9126" w:name="_Toc59802531"/>
      <w:bookmarkStart w:id="9127" w:name="_Toc59916091"/>
      <w:bookmarkStart w:id="9128" w:name="_Toc57925962"/>
      <w:bookmarkStart w:id="9129" w:name="_Toc58091652"/>
      <w:bookmarkStart w:id="9130" w:name="_Toc58144926"/>
      <w:bookmarkStart w:id="9131" w:name="_Toc58272606"/>
      <w:bookmarkStart w:id="9132" w:name="_Toc58325041"/>
      <w:bookmarkStart w:id="9133" w:name="_Toc58359187"/>
      <w:bookmarkStart w:id="9134" w:name="_Toc58409448"/>
      <w:bookmarkStart w:id="9135" w:name="_Toc58432688"/>
      <w:bookmarkStart w:id="9136" w:name="_Toc58532503"/>
      <w:bookmarkStart w:id="9137" w:name="_Toc58580122"/>
      <w:bookmarkStart w:id="9138" w:name="_Toc59113265"/>
      <w:bookmarkStart w:id="9139" w:name="_Toc59136925"/>
      <w:r w:rsidRPr="00A77629">
        <w:rPr>
          <w:rFonts w:hint="cs"/>
          <w:rtl/>
        </w:rPr>
        <w:t xml:space="preserve">ביאור הרשב"א </w:t>
      </w:r>
      <w:bookmarkEnd w:id="9117"/>
      <w:bookmarkEnd w:id="9118"/>
      <w:bookmarkEnd w:id="9119"/>
      <w:bookmarkEnd w:id="9120"/>
      <w:r>
        <w:rPr>
          <w:rFonts w:hint="cs"/>
          <w:rtl/>
        </w:rPr>
        <w:t>דכשאין עידי חד יומא חשיב שאין עידי חזקה דל"מ חזקתו שאינה מכח המוכר</w:t>
      </w:r>
      <w:bookmarkEnd w:id="9121"/>
      <w:bookmarkEnd w:id="9122"/>
      <w:bookmarkEnd w:id="9123"/>
      <w:bookmarkEnd w:id="9124"/>
      <w:bookmarkEnd w:id="9125"/>
      <w:bookmarkEnd w:id="9126"/>
      <w:bookmarkEnd w:id="9127"/>
    </w:p>
    <w:p w:rsidR="000E75A3" w:rsidRDefault="000E75A3" w:rsidP="007E4E81">
      <w:pPr>
        <w:pStyle w:val="a0"/>
        <w:rPr>
          <w:rtl/>
        </w:rPr>
      </w:pPr>
      <w:r w:rsidRPr="00A77629">
        <w:rPr>
          <w:rFonts w:hint="cs"/>
          <w:rtl/>
        </w:rPr>
        <w:t xml:space="preserve">כתב </w:t>
      </w:r>
      <w:r w:rsidRPr="00A77629">
        <w:rPr>
          <w:rStyle w:val="af9"/>
          <w:rFonts w:hint="cs"/>
          <w:rtl/>
        </w:rPr>
        <w:t>הרשב"א</w:t>
      </w:r>
      <w:r>
        <w:rPr>
          <w:rStyle w:val="af9"/>
          <w:rFonts w:hint="cs"/>
          <w:rtl/>
        </w:rPr>
        <w:t xml:space="preserve"> בסוגיין</w:t>
      </w:r>
      <w:r w:rsidRPr="00A77629">
        <w:rPr>
          <w:rFonts w:hint="cs"/>
          <w:rtl/>
        </w:rPr>
        <w:t xml:space="preserve"> </w:t>
      </w:r>
      <w:r w:rsidRPr="00A77629">
        <w:rPr>
          <w:rStyle w:val="af7"/>
          <w:rFonts w:eastAsia="Guttman Hodes" w:hint="cs"/>
          <w:rtl/>
        </w:rPr>
        <w:t>(ד"ה מעשה)</w:t>
      </w:r>
      <w:r w:rsidRPr="00A77629">
        <w:rPr>
          <w:rFonts w:hint="cs"/>
          <w:rtl/>
        </w:rPr>
        <w:t xml:space="preserve"> </w:t>
      </w:r>
      <w:r>
        <w:rPr>
          <w:rFonts w:hint="cs"/>
          <w:rtl/>
        </w:rPr>
        <w:t xml:space="preserve">דבסוגיין </w:t>
      </w:r>
      <w:r w:rsidRPr="00A77629">
        <w:rPr>
          <w:rFonts w:hint="cs"/>
          <w:rtl/>
        </w:rPr>
        <w:t xml:space="preserve">מוכח </w:t>
      </w:r>
      <w:r>
        <w:rPr>
          <w:rFonts w:hint="cs"/>
          <w:rtl/>
        </w:rPr>
        <w:t>דאיירי ש</w:t>
      </w:r>
      <w:r w:rsidRPr="00A77629">
        <w:rPr>
          <w:rFonts w:hint="cs"/>
          <w:rtl/>
        </w:rPr>
        <w:t xml:space="preserve">אין למערער עדים שהייתה שלו, ואין למחזיק עידי חזקה, דהיינו שאין לו עדים </w:t>
      </w:r>
      <w:r>
        <w:rPr>
          <w:rFonts w:hint="cs"/>
          <w:rtl/>
        </w:rPr>
        <w:t>ש</w:t>
      </w:r>
      <w:r w:rsidRPr="00A77629">
        <w:rPr>
          <w:rFonts w:hint="cs"/>
          <w:rtl/>
        </w:rPr>
        <w:t xml:space="preserve">המוכר היה דר בה חד יומא, ולכן לא מהני למחזיק חזקת ג"ש, כיון שהחזקה היא מכח המוכר, ואיתא בגמ' לקמן </w:t>
      </w:r>
      <w:r w:rsidRPr="00A77629">
        <w:rPr>
          <w:rStyle w:val="af7"/>
          <w:rFonts w:eastAsia="Guttman Hodes" w:hint="cs"/>
          <w:rtl/>
        </w:rPr>
        <w:t>(מא:)</w:t>
      </w:r>
      <w:r w:rsidRPr="00A77629">
        <w:rPr>
          <w:rFonts w:hint="cs"/>
          <w:rtl/>
        </w:rPr>
        <w:t xml:space="preserve"> דלא מהני לו החזקה כל שאין לו ראיה שדר בה המוכר חד יומא.</w:t>
      </w:r>
    </w:p>
    <w:p w:rsidR="000E75A3" w:rsidRDefault="000E75A3" w:rsidP="000E75A3">
      <w:pPr>
        <w:pStyle w:val="1"/>
        <w:rPr>
          <w:rtl/>
        </w:rPr>
      </w:pPr>
      <w:bookmarkStart w:id="9140" w:name="_Toc59490101"/>
      <w:bookmarkStart w:id="9141" w:name="_Toc59620264"/>
      <w:bookmarkStart w:id="9142" w:name="_Toc59643531"/>
      <w:bookmarkStart w:id="9143" w:name="_Toc59741594"/>
      <w:bookmarkStart w:id="9144" w:name="_Toc59786718"/>
      <w:bookmarkStart w:id="9145" w:name="_Toc59802532"/>
      <w:bookmarkStart w:id="9146" w:name="_Toc59361614"/>
      <w:bookmarkStart w:id="9147" w:name="_Toc59464626"/>
      <w:bookmarkStart w:id="9148" w:name="_Toc59916092"/>
      <w:r>
        <w:rPr>
          <w:rFonts w:hint="cs"/>
          <w:rtl/>
        </w:rPr>
        <w:lastRenderedPageBreak/>
        <w:t>דברי המהרי"ט</w:t>
      </w:r>
      <w:bookmarkEnd w:id="9140"/>
      <w:bookmarkEnd w:id="9141"/>
      <w:bookmarkEnd w:id="9142"/>
      <w:bookmarkEnd w:id="9143"/>
      <w:bookmarkEnd w:id="9144"/>
      <w:bookmarkEnd w:id="9145"/>
      <w:r>
        <w:rPr>
          <w:rFonts w:hint="cs"/>
          <w:rtl/>
        </w:rPr>
        <w:t xml:space="preserve"> </w:t>
      </w:r>
      <w:bookmarkEnd w:id="9128"/>
      <w:bookmarkEnd w:id="9129"/>
      <w:bookmarkEnd w:id="9130"/>
      <w:bookmarkEnd w:id="9131"/>
      <w:bookmarkEnd w:id="9132"/>
      <w:bookmarkEnd w:id="9133"/>
      <w:bookmarkEnd w:id="9134"/>
      <w:bookmarkEnd w:id="9135"/>
      <w:bookmarkEnd w:id="9136"/>
      <w:bookmarkEnd w:id="9137"/>
      <w:bookmarkEnd w:id="9138"/>
      <w:bookmarkEnd w:id="9139"/>
      <w:bookmarkEnd w:id="9146"/>
      <w:bookmarkEnd w:id="9147"/>
      <w:r>
        <w:rPr>
          <w:rFonts w:hint="cs"/>
          <w:rtl/>
        </w:rPr>
        <w:t>דבחד יומא חשיב כלוקח מהמוכר כמו בשטר</w:t>
      </w:r>
      <w:bookmarkEnd w:id="9148"/>
    </w:p>
    <w:p w:rsidR="000E75A3" w:rsidRPr="001D26D6" w:rsidRDefault="000E75A3" w:rsidP="000E75A3">
      <w:pPr>
        <w:pStyle w:val="a3"/>
        <w:rPr>
          <w:rtl/>
        </w:rPr>
      </w:pPr>
      <w:bookmarkStart w:id="9149" w:name="_Toc59490102"/>
      <w:bookmarkStart w:id="9150" w:name="_Toc59620265"/>
      <w:bookmarkStart w:id="9151" w:name="_Toc59643532"/>
      <w:bookmarkStart w:id="9152" w:name="_Toc59741595"/>
      <w:bookmarkStart w:id="9153" w:name="_Toc59786719"/>
      <w:bookmarkStart w:id="9154" w:name="_Toc59802533"/>
      <w:bookmarkStart w:id="9155" w:name="_Toc59916093"/>
      <w:r>
        <w:rPr>
          <w:rFonts w:hint="cs"/>
          <w:rtl/>
        </w:rPr>
        <w:t>דברי המהרי"ט דע"י עידי חד יומא חשיב כלוקח וטענינן ליה כרשב"ם דמאמת את דבריו</w:t>
      </w:r>
      <w:bookmarkEnd w:id="9149"/>
      <w:bookmarkEnd w:id="9150"/>
      <w:bookmarkEnd w:id="9151"/>
      <w:bookmarkEnd w:id="9152"/>
      <w:bookmarkEnd w:id="9153"/>
      <w:bookmarkEnd w:id="9154"/>
      <w:bookmarkEnd w:id="9155"/>
    </w:p>
    <w:p w:rsidR="000E75A3" w:rsidRDefault="000E75A3" w:rsidP="007E4E81">
      <w:pPr>
        <w:pStyle w:val="a0"/>
        <w:rPr>
          <w:rtl/>
        </w:rPr>
      </w:pPr>
      <w:bookmarkStart w:id="9156" w:name="_Ref57927634"/>
      <w:r>
        <w:rPr>
          <w:rFonts w:hint="cs"/>
          <w:rtl/>
        </w:rPr>
        <w:t xml:space="preserve">כתב </w:t>
      </w:r>
      <w:r w:rsidRPr="00EB4F74">
        <w:rPr>
          <w:rStyle w:val="af9"/>
          <w:rFonts w:hint="cs"/>
          <w:rtl/>
        </w:rPr>
        <w:t>המהרי"ט</w:t>
      </w:r>
      <w:r>
        <w:rPr>
          <w:rFonts w:hint="cs"/>
          <w:rtl/>
        </w:rPr>
        <w:t xml:space="preserve"> </w:t>
      </w:r>
      <w:r w:rsidRPr="00EB4F74">
        <w:rPr>
          <w:rStyle w:val="af7"/>
          <w:rFonts w:eastAsia="Guttman Hodes" w:hint="cs"/>
          <w:rtl/>
        </w:rPr>
        <w:t>(חו"מ ח"ב סי' כ"ו ד"ה ותדע דהא וכו' והא דמייתי)</w:t>
      </w:r>
      <w:r>
        <w:rPr>
          <w:rFonts w:hint="cs"/>
          <w:rtl/>
        </w:rPr>
        <w:t xml:space="preserve"> דהא דאיתא בגמ' לקמן </w:t>
      </w:r>
      <w:r w:rsidRPr="00EB4F74">
        <w:rPr>
          <w:rStyle w:val="af7"/>
          <w:rFonts w:eastAsia="Guttman Hodes" w:hint="cs"/>
          <w:rtl/>
        </w:rPr>
        <w:t>(מא:)</w:t>
      </w:r>
      <w:r>
        <w:rPr>
          <w:rFonts w:hint="cs"/>
          <w:rtl/>
        </w:rPr>
        <w:t xml:space="preserve"> דכשטוען המחזיק שקנה מפלוני שא"ל דקנה מהמערער, דצריך להביא ראיה שדר בה המוכר חד יומא, היינו כיון דאם לא דר המוכר חד יומא, לא חשיב המחזיק כלוקח, ולא טענינן ליה, אלא אמרינן שאין לו כל טענה לטעון ולכן תלה את טענתו באחרים, וחזקתו היא חזקה בלא טענה, והביא </w:t>
      </w:r>
      <w:r w:rsidRPr="00EB4F74">
        <w:rPr>
          <w:rStyle w:val="af9"/>
          <w:rFonts w:hint="cs"/>
          <w:rtl/>
        </w:rPr>
        <w:t>המהרי"ט</w:t>
      </w:r>
      <w:r>
        <w:rPr>
          <w:rFonts w:hint="cs"/>
          <w:rtl/>
        </w:rPr>
        <w:t xml:space="preserve"> דכן ביאר </w:t>
      </w:r>
      <w:r w:rsidRPr="00EB4F74">
        <w:rPr>
          <w:rStyle w:val="af9"/>
          <w:rFonts w:hint="cs"/>
          <w:rtl/>
        </w:rPr>
        <w:t>הרשב"ם 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Ref58268297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א)</w:t>
      </w:r>
      <w:r>
        <w:rPr>
          <w:rStyle w:val="af7"/>
          <w:rFonts w:eastAsia="Guttman Hodes"/>
          <w:rtl/>
        </w:rPr>
        <w:fldChar w:fldCharType="end"/>
      </w:r>
      <w:r>
        <w:rPr>
          <w:rStyle w:val="af7"/>
          <w:rFonts w:eastAsia="Guttman Hodes" w:hint="cs"/>
          <w:rtl/>
        </w:rPr>
        <w:t xml:space="preserve"> </w:t>
      </w:r>
      <w:r>
        <w:rPr>
          <w:rFonts w:hint="cs"/>
          <w:rtl/>
        </w:rPr>
        <w:t>דכשהביא עדים שדר המוכר חד יומא, אינו צריך להביא עדים שהמוכר קנה מהמערער, דטענינן ליה שקנה ממנו, דהא טענינן ללוקח ויורש.</w:t>
      </w:r>
      <w:bookmarkEnd w:id="9156"/>
    </w:p>
    <w:p w:rsidR="000E75A3" w:rsidRDefault="000E75A3" w:rsidP="000E75A3">
      <w:pPr>
        <w:pStyle w:val="a3"/>
      </w:pPr>
      <w:bookmarkStart w:id="9157" w:name="_Toc59490103"/>
      <w:bookmarkStart w:id="9158" w:name="_Toc59620266"/>
      <w:bookmarkStart w:id="9159" w:name="_Toc59643533"/>
      <w:bookmarkStart w:id="9160" w:name="_Toc59741596"/>
      <w:bookmarkStart w:id="9161" w:name="_Toc59786720"/>
      <w:bookmarkStart w:id="9162" w:name="_Toc59802534"/>
      <w:bookmarkStart w:id="9163" w:name="_Toc59916094"/>
      <w:r>
        <w:rPr>
          <w:rFonts w:hint="cs"/>
          <w:rtl/>
        </w:rPr>
        <w:t>דברי המהרי"ט דכשיש למחזיק שטר א"צ עידי חד יומא דהתברר כדבריו דהוא לוקח וטענינן ליה</w:t>
      </w:r>
      <w:bookmarkEnd w:id="9157"/>
      <w:bookmarkEnd w:id="9158"/>
      <w:bookmarkEnd w:id="9159"/>
      <w:bookmarkEnd w:id="9160"/>
      <w:bookmarkEnd w:id="9161"/>
      <w:bookmarkEnd w:id="9162"/>
      <w:bookmarkEnd w:id="9163"/>
    </w:p>
    <w:p w:rsidR="000E75A3" w:rsidRDefault="000E75A3" w:rsidP="007E4E81">
      <w:pPr>
        <w:pStyle w:val="a0"/>
        <w:rPr>
          <w:rtl/>
        </w:rPr>
      </w:pPr>
      <w:bookmarkStart w:id="9164" w:name="_Ref58272809"/>
      <w:r>
        <w:rPr>
          <w:rFonts w:hint="cs"/>
          <w:rtl/>
        </w:rPr>
        <w:t xml:space="preserve">ועוד כתב </w:t>
      </w:r>
      <w:r w:rsidRPr="0092528E">
        <w:rPr>
          <w:rStyle w:val="af9"/>
          <w:rFonts w:hint="cs"/>
          <w:rtl/>
        </w:rPr>
        <w:t xml:space="preserve">המהרי"ט </w:t>
      </w:r>
      <w:r w:rsidRPr="0092528E">
        <w:rPr>
          <w:rStyle w:val="af7"/>
          <w:rFonts w:eastAsia="Guttman Hodes" w:hint="cs"/>
          <w:rtl/>
        </w:rPr>
        <w:t>(ח"ב חו"מ סי' כ"ז ד"ה ובר)</w:t>
      </w:r>
      <w:r>
        <w:rPr>
          <w:rFonts w:hint="cs"/>
          <w:rtl/>
        </w:rPr>
        <w:t xml:space="preserve"> דכל שיש שטר שהמחזיק קנה מהמוכר, א"צ להביא עדים דדר בה המוכר חד יומא, כמבואר </w:t>
      </w:r>
      <w:r w:rsidRPr="0092528E">
        <w:rPr>
          <w:rStyle w:val="af9"/>
          <w:rFonts w:hint="cs"/>
          <w:rtl/>
        </w:rPr>
        <w:t xml:space="preserve">ברשב"ם לקמן </w:t>
      </w:r>
      <w:r w:rsidRPr="0092528E">
        <w:rPr>
          <w:rStyle w:val="af7"/>
          <w:rFonts w:eastAsia="Guttman Hodes" w:hint="cs"/>
          <w:rtl/>
        </w:rPr>
        <w:t xml:space="preserve">(עי' אות </w:t>
      </w:r>
      <w:r w:rsidRPr="0092528E">
        <w:rPr>
          <w:rStyle w:val="af7"/>
          <w:rFonts w:eastAsia="Guttman Hodes"/>
          <w:rtl/>
        </w:rPr>
        <w:fldChar w:fldCharType="begin"/>
      </w:r>
      <w:r w:rsidRPr="0092528E">
        <w:rPr>
          <w:rStyle w:val="af7"/>
          <w:rFonts w:eastAsia="Guttman Hodes"/>
          <w:rtl/>
        </w:rPr>
        <w:instrText xml:space="preserve"> </w:instrText>
      </w:r>
      <w:r w:rsidRPr="0092528E">
        <w:rPr>
          <w:rStyle w:val="af7"/>
          <w:rFonts w:eastAsia="Guttman Hodes" w:hint="cs"/>
        </w:rPr>
        <w:instrText>REF</w:instrText>
      </w:r>
      <w:r w:rsidRPr="0092528E">
        <w:rPr>
          <w:rStyle w:val="af7"/>
          <w:rFonts w:eastAsia="Guttman Hodes" w:hint="cs"/>
          <w:rtl/>
        </w:rPr>
        <w:instrText xml:space="preserve"> _</w:instrText>
      </w:r>
      <w:r w:rsidRPr="0092528E">
        <w:rPr>
          <w:rStyle w:val="af7"/>
          <w:rFonts w:eastAsia="Guttman Hodes" w:hint="cs"/>
        </w:rPr>
        <w:instrText>Ref57927634 \r \h</w:instrText>
      </w:r>
      <w:r w:rsidRPr="0092528E">
        <w:rPr>
          <w:rStyle w:val="af7"/>
          <w:rFonts w:eastAsia="Guttman Hodes"/>
          <w:rtl/>
        </w:rPr>
        <w:instrText xml:space="preserve"> </w:instrText>
      </w:r>
      <w:r w:rsidRPr="0092528E">
        <w:rPr>
          <w:rStyle w:val="af7"/>
          <w:rFonts w:eastAsia="Guttman Hodes"/>
          <w:rtl/>
        </w:rPr>
      </w:r>
      <w:r w:rsidRPr="0092528E">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92528E">
        <w:rPr>
          <w:rStyle w:val="af7"/>
          <w:rFonts w:eastAsia="Guttman Hodes"/>
          <w:rtl/>
        </w:rPr>
        <w:fldChar w:fldCharType="end"/>
      </w:r>
      <w:r>
        <w:rPr>
          <w:rFonts w:hint="cs"/>
          <w:rtl/>
        </w:rPr>
        <w:t xml:space="preserve"> דכל שהוא מאמת את דבריו דהוא הלוקח טענינן ליה, דהא דצריך להביא ראיה שדר בה המוכר חד יומא, הוא כדי להחשיבו כלוקח, וטענינן ללוקח כל מה שהיה המוכר יכול לטעון, וכ"ש כשיש לו שטר, דע"י השטר ודאי ידוע לנו שהוא לוקח, דהא בדר בה חד יומא הוא רק רגלים לדבר שהוא לוקח ואינה ראיה גמורה, דיתכן דדר בה בשאילה או בשכירות, או שנכנס לתוכה שעה אחת,</w:t>
      </w:r>
      <w:r w:rsidRPr="003D58F7">
        <w:rPr>
          <w:rFonts w:hint="cs"/>
          <w:rtl/>
        </w:rPr>
        <w:t xml:space="preserve"> וכתב </w:t>
      </w:r>
      <w:r w:rsidRPr="003D58F7">
        <w:rPr>
          <w:rStyle w:val="af9"/>
          <w:rFonts w:hint="cs"/>
          <w:rtl/>
        </w:rPr>
        <w:t>הקוב"ש</w:t>
      </w:r>
      <w:r w:rsidRPr="003D58F7">
        <w:rPr>
          <w:rFonts w:hint="cs"/>
          <w:rtl/>
        </w:rPr>
        <w:t xml:space="preserve"> </w:t>
      </w:r>
      <w:r w:rsidRPr="003D58F7">
        <w:rPr>
          <w:rStyle w:val="af7"/>
          <w:rFonts w:eastAsia="Guttman Rashi" w:hint="cs"/>
          <w:rtl/>
        </w:rPr>
        <w:t>(או' קע"ה)</w:t>
      </w:r>
      <w:r w:rsidRPr="003D58F7">
        <w:rPr>
          <w:rFonts w:hint="cs"/>
          <w:rtl/>
        </w:rPr>
        <w:t xml:space="preserve"> דמבואר בדברי </w:t>
      </w:r>
      <w:r w:rsidRPr="003D58F7">
        <w:rPr>
          <w:rStyle w:val="af9"/>
          <w:rFonts w:hint="cs"/>
          <w:rtl/>
        </w:rPr>
        <w:t>התוס' רי"ד</w:t>
      </w:r>
      <w:r w:rsidRPr="003D58F7">
        <w:rPr>
          <w:rFonts w:hint="cs"/>
          <w:rtl/>
        </w:rPr>
        <w:t xml:space="preserve"> </w:t>
      </w:r>
      <w:r w:rsidRPr="003D58F7">
        <w:rPr>
          <w:rStyle w:val="af7"/>
          <w:rFonts w:eastAsia="Guttman Rashi" w:hint="cs"/>
          <w:rtl/>
        </w:rPr>
        <w:t>(עי' אות</w:t>
      </w:r>
      <w:r>
        <w:rPr>
          <w:rStyle w:val="af7"/>
          <w:rFonts w:eastAsia="Guttman Rashi" w:hint="cs"/>
          <w:rtl/>
        </w:rPr>
        <w:t xml:space="preserve"> </w:t>
      </w:r>
      <w:r>
        <w:rPr>
          <w:rStyle w:val="af7"/>
          <w:rFonts w:eastAsia="Guttman Rashi"/>
          <w:rtl/>
        </w:rPr>
        <w:fldChar w:fldCharType="begin"/>
      </w:r>
      <w:r>
        <w:rPr>
          <w:rStyle w:val="af7"/>
          <w:rFonts w:eastAsia="Guttman Rashi"/>
          <w:rtl/>
        </w:rPr>
        <w:instrText xml:space="preserve"> </w:instrText>
      </w:r>
      <w:r>
        <w:rPr>
          <w:rStyle w:val="af7"/>
          <w:rFonts w:eastAsia="Guttman Rashi" w:hint="cs"/>
        </w:rPr>
        <w:instrText>REF</w:instrText>
      </w:r>
      <w:r>
        <w:rPr>
          <w:rStyle w:val="af7"/>
          <w:rFonts w:eastAsia="Guttman Rashi" w:hint="cs"/>
          <w:rtl/>
        </w:rPr>
        <w:instrText xml:space="preserve"> _</w:instrText>
      </w:r>
      <w:r>
        <w:rPr>
          <w:rStyle w:val="af7"/>
          <w:rFonts w:eastAsia="Guttman Rashi" w:hint="cs"/>
        </w:rPr>
        <w:instrText>Ref59352302 \r \h</w:instrText>
      </w:r>
      <w:r>
        <w:rPr>
          <w:rStyle w:val="af7"/>
          <w:rFonts w:eastAsia="Guttman Rashi"/>
          <w:rtl/>
        </w:rPr>
        <w:instrText xml:space="preserve"> </w:instrText>
      </w:r>
      <w:r>
        <w:rPr>
          <w:rStyle w:val="af7"/>
          <w:rFonts w:eastAsia="Guttman Rashi"/>
          <w:rtl/>
        </w:rPr>
      </w:r>
      <w:r>
        <w:rPr>
          <w:rStyle w:val="af7"/>
          <w:rFonts w:eastAsia="Guttman Rashi"/>
          <w:rtl/>
        </w:rPr>
        <w:fldChar w:fldCharType="separate"/>
      </w:r>
      <w:r w:rsidR="00265073">
        <w:rPr>
          <w:rStyle w:val="af7"/>
          <w:rFonts w:eastAsia="Guttman Rashi"/>
          <w:cs/>
        </w:rPr>
        <w:t>‎</w:t>
      </w:r>
      <w:r w:rsidR="00265073">
        <w:rPr>
          <w:rStyle w:val="af7"/>
          <w:rFonts w:eastAsia="Guttman Rashi"/>
          <w:rtl/>
        </w:rPr>
        <w:t>ח)</w:t>
      </w:r>
      <w:r>
        <w:rPr>
          <w:rStyle w:val="af7"/>
          <w:rFonts w:eastAsia="Guttman Rashi"/>
          <w:rtl/>
        </w:rPr>
        <w:fldChar w:fldCharType="end"/>
      </w:r>
      <w:r w:rsidRPr="003D58F7">
        <w:rPr>
          <w:rFonts w:hint="cs"/>
          <w:rtl/>
        </w:rPr>
        <w:t xml:space="preserve"> כדברי </w:t>
      </w:r>
      <w:r w:rsidRPr="003D58F7">
        <w:rPr>
          <w:rStyle w:val="af9"/>
          <w:rFonts w:hint="cs"/>
          <w:rtl/>
        </w:rPr>
        <w:t>המהרי"ט</w:t>
      </w:r>
      <w:r>
        <w:rPr>
          <w:rFonts w:hint="cs"/>
          <w:rtl/>
        </w:rPr>
        <w:t>.</w:t>
      </w:r>
      <w:bookmarkEnd w:id="9164"/>
    </w:p>
    <w:p w:rsidR="000E75A3" w:rsidRPr="00D93DFA" w:rsidRDefault="000E75A3" w:rsidP="000E75A3">
      <w:pPr>
        <w:pStyle w:val="a3"/>
      </w:pPr>
      <w:bookmarkStart w:id="9165" w:name="_Toc59490104"/>
      <w:bookmarkStart w:id="9166" w:name="_Toc59620267"/>
      <w:bookmarkStart w:id="9167" w:name="_Toc59643534"/>
      <w:bookmarkStart w:id="9168" w:name="_Toc59741597"/>
      <w:bookmarkStart w:id="9169" w:name="_Toc59786721"/>
      <w:bookmarkStart w:id="9170" w:name="_Toc59802535"/>
      <w:bookmarkStart w:id="9171" w:name="_Toc59916095"/>
      <w:r>
        <w:rPr>
          <w:rFonts w:hint="cs"/>
          <w:rtl/>
        </w:rPr>
        <w:t>בי' המשל"מ במהרי"ט דמוכח שהייתה של המוכר ובי' הקצוה"ח במהרי"ט דמוכח דהמחזיק לוקח</w:t>
      </w:r>
      <w:bookmarkEnd w:id="9165"/>
      <w:bookmarkEnd w:id="9166"/>
      <w:bookmarkEnd w:id="9167"/>
      <w:bookmarkEnd w:id="9168"/>
      <w:bookmarkEnd w:id="9169"/>
      <w:bookmarkEnd w:id="9170"/>
      <w:bookmarkEnd w:id="9171"/>
    </w:p>
    <w:p w:rsidR="000E75A3" w:rsidRPr="008D184D" w:rsidRDefault="000E75A3" w:rsidP="007E4E81">
      <w:pPr>
        <w:pStyle w:val="a0"/>
        <w:rPr>
          <w:rStyle w:val="afb"/>
          <w:rtl/>
        </w:rPr>
      </w:pPr>
      <w:r>
        <w:rPr>
          <w:rFonts w:hint="cs"/>
          <w:rtl/>
        </w:rPr>
        <w:t xml:space="preserve">וביאר </w:t>
      </w:r>
      <w:r w:rsidRPr="0092528E">
        <w:rPr>
          <w:rStyle w:val="af9"/>
          <w:rFonts w:hint="cs"/>
          <w:rtl/>
        </w:rPr>
        <w:t xml:space="preserve">המשל"מ </w:t>
      </w:r>
      <w:r w:rsidRPr="0092528E">
        <w:rPr>
          <w:rStyle w:val="af7"/>
          <w:rFonts w:eastAsia="Guttman Hodes" w:hint="cs"/>
          <w:rtl/>
        </w:rPr>
        <w:t>(טו"נ פי"ד ריש הי"ד)</w:t>
      </w:r>
      <w:r>
        <w:rPr>
          <w:rFonts w:hint="cs"/>
          <w:rtl/>
        </w:rPr>
        <w:t xml:space="preserve"> את דברי </w:t>
      </w:r>
      <w:r w:rsidRPr="00661A48">
        <w:rPr>
          <w:rStyle w:val="af9"/>
          <w:rFonts w:hint="cs"/>
          <w:rtl/>
        </w:rPr>
        <w:t>המהרי"ט</w:t>
      </w:r>
      <w:r>
        <w:rPr>
          <w:rFonts w:hint="cs"/>
          <w:rtl/>
        </w:rPr>
        <w:t xml:space="preserve"> דכיון שיש עדים שמכרה לו, מוכח שהייתה של המוכר, דאם לא הייתה ודאי שלא היה מוכרה, </w:t>
      </w:r>
      <w:r w:rsidRPr="008D184D">
        <w:rPr>
          <w:rStyle w:val="af9"/>
          <w:rFonts w:hint="cs"/>
          <w:rtl/>
        </w:rPr>
        <w:t>וה</w:t>
      </w:r>
      <w:r w:rsidRPr="00FA5838">
        <w:rPr>
          <w:rStyle w:val="af9"/>
          <w:rFonts w:hint="cs"/>
          <w:rtl/>
        </w:rPr>
        <w:t>קצוה"ח</w:t>
      </w:r>
      <w:r w:rsidRPr="00FA5838">
        <w:rPr>
          <w:rStyle w:val="af7"/>
          <w:rFonts w:eastAsia="Guttman Hodes" w:hint="cs"/>
          <w:rtl/>
        </w:rPr>
        <w:t xml:space="preserve"> (סי' קמ"ו סק"ט) </w:t>
      </w:r>
      <w:r>
        <w:rPr>
          <w:rFonts w:hint="cs"/>
          <w:rtl/>
        </w:rPr>
        <w:t xml:space="preserve">את דברי </w:t>
      </w:r>
      <w:r w:rsidRPr="00661A48">
        <w:rPr>
          <w:rStyle w:val="af9"/>
          <w:rFonts w:hint="cs"/>
          <w:rtl/>
        </w:rPr>
        <w:t>המהרי"ט</w:t>
      </w:r>
      <w:r>
        <w:rPr>
          <w:rFonts w:hint="cs"/>
          <w:rtl/>
        </w:rPr>
        <w:t xml:space="preserve"> דכוונתו דע"י שיש לו עידי חד יומא, מוכח דהמחזיק לוקח. </w:t>
      </w:r>
      <w:r w:rsidRPr="008D184D">
        <w:rPr>
          <w:rStyle w:val="afb"/>
          <w:rFonts w:hint="cs"/>
          <w:rtl/>
        </w:rPr>
        <w:t>[ואי"ז ראיה שהייתה של המוכר].</w:t>
      </w:r>
    </w:p>
    <w:p w:rsidR="000E75A3" w:rsidRPr="001C0BF9" w:rsidRDefault="000E75A3" w:rsidP="000E75A3">
      <w:pPr>
        <w:pStyle w:val="a3"/>
        <w:rPr>
          <w:rtl/>
        </w:rPr>
      </w:pPr>
      <w:bookmarkStart w:id="9172" w:name="_Toc59490105"/>
      <w:bookmarkStart w:id="9173" w:name="_Toc59620268"/>
      <w:bookmarkStart w:id="9174" w:name="_Toc59643535"/>
      <w:bookmarkStart w:id="9175" w:name="_Toc59741598"/>
      <w:bookmarkStart w:id="9176" w:name="_Toc59786722"/>
      <w:bookmarkStart w:id="9177" w:name="_Toc59802536"/>
      <w:bookmarkStart w:id="9178" w:name="_Toc59916096"/>
      <w:r>
        <w:rPr>
          <w:rFonts w:hint="cs"/>
          <w:rtl/>
        </w:rPr>
        <w:t>דחיית המשל"מ לדברי המהרי"ט דלא סגי בעדות שקנה מהמוכר ולכו"ע צריך עידי חד יומא</w:t>
      </w:r>
      <w:bookmarkEnd w:id="9172"/>
      <w:bookmarkEnd w:id="9173"/>
      <w:bookmarkEnd w:id="9174"/>
      <w:bookmarkEnd w:id="9175"/>
      <w:bookmarkEnd w:id="9176"/>
      <w:bookmarkEnd w:id="9177"/>
      <w:bookmarkEnd w:id="9178"/>
    </w:p>
    <w:p w:rsidR="000E75A3" w:rsidRPr="000A205E" w:rsidRDefault="000E75A3" w:rsidP="007E4E81">
      <w:pPr>
        <w:pStyle w:val="a0"/>
        <w:rPr>
          <w:rtl/>
        </w:rPr>
      </w:pPr>
      <w:r>
        <w:rPr>
          <w:rFonts w:hint="cs"/>
          <w:rtl/>
        </w:rPr>
        <w:t xml:space="preserve">אך דחה </w:t>
      </w:r>
      <w:r w:rsidRPr="0092528E">
        <w:rPr>
          <w:rStyle w:val="af9"/>
          <w:rFonts w:hint="cs"/>
          <w:rtl/>
        </w:rPr>
        <w:t xml:space="preserve">המשל"מ </w:t>
      </w:r>
      <w:r>
        <w:rPr>
          <w:rFonts w:hint="cs"/>
          <w:rtl/>
        </w:rPr>
        <w:t xml:space="preserve">את דברי </w:t>
      </w:r>
      <w:r w:rsidRPr="0092528E">
        <w:rPr>
          <w:rStyle w:val="af9"/>
          <w:rFonts w:hint="cs"/>
          <w:rtl/>
        </w:rPr>
        <w:t xml:space="preserve">המהרי"ט </w:t>
      </w:r>
      <w:r w:rsidRPr="004826C7">
        <w:rPr>
          <w:rStyle w:val="af7"/>
          <w:rFonts w:eastAsia="Guttman Hodes" w:hint="cs"/>
          <w:rtl/>
        </w:rPr>
        <w:t xml:space="preserve">(עי' אות </w:t>
      </w:r>
      <w:r w:rsidRPr="004826C7">
        <w:rPr>
          <w:rStyle w:val="af7"/>
          <w:rFonts w:eastAsia="Guttman Hodes"/>
          <w:rtl/>
        </w:rPr>
        <w:fldChar w:fldCharType="begin"/>
      </w:r>
      <w:r w:rsidRPr="004826C7">
        <w:rPr>
          <w:rStyle w:val="af7"/>
          <w:rFonts w:eastAsia="Guttman Hodes"/>
          <w:rtl/>
        </w:rPr>
        <w:instrText xml:space="preserve"> </w:instrText>
      </w:r>
      <w:r w:rsidRPr="004826C7">
        <w:rPr>
          <w:rStyle w:val="af7"/>
          <w:rFonts w:eastAsia="Guttman Hodes" w:hint="cs"/>
        </w:rPr>
        <w:instrText>REF</w:instrText>
      </w:r>
      <w:r w:rsidRPr="004826C7">
        <w:rPr>
          <w:rStyle w:val="af7"/>
          <w:rFonts w:eastAsia="Guttman Hodes" w:hint="cs"/>
          <w:rtl/>
        </w:rPr>
        <w:instrText xml:space="preserve"> _</w:instrText>
      </w:r>
      <w:r w:rsidRPr="004826C7">
        <w:rPr>
          <w:rStyle w:val="af7"/>
          <w:rFonts w:eastAsia="Guttman Hodes" w:hint="cs"/>
        </w:rPr>
        <w:instrText>Ref58272809 \r \h</w:instrText>
      </w:r>
      <w:r w:rsidRPr="004826C7">
        <w:rPr>
          <w:rStyle w:val="af7"/>
          <w:rFonts w:eastAsia="Guttman Hodes"/>
          <w:rtl/>
        </w:rPr>
        <w:instrText xml:space="preserve"> </w:instrText>
      </w:r>
      <w:r w:rsidRPr="004826C7">
        <w:rPr>
          <w:rStyle w:val="af7"/>
          <w:rFonts w:eastAsia="Guttman Hodes"/>
          <w:rtl/>
        </w:rPr>
      </w:r>
      <w:r w:rsidRPr="004826C7">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4826C7">
        <w:rPr>
          <w:rStyle w:val="af7"/>
          <w:rFonts w:eastAsia="Guttman Hodes"/>
          <w:rtl/>
        </w:rPr>
        <w:fldChar w:fldCharType="end"/>
      </w:r>
      <w:r>
        <w:rPr>
          <w:rFonts w:hint="cs"/>
          <w:rtl/>
        </w:rPr>
        <w:t xml:space="preserve"> דודאי שצריך עדים דדר בה המוכר חד יומא, ולא סגי </w:t>
      </w:r>
      <w:r w:rsidRPr="000A205E">
        <w:rPr>
          <w:rFonts w:hint="cs"/>
          <w:rtl/>
        </w:rPr>
        <w:t xml:space="preserve">בעדות שהמוכר מכר למחזיק, וכדמשמע מדברי </w:t>
      </w:r>
      <w:r w:rsidRPr="000A205E">
        <w:rPr>
          <w:rStyle w:val="af9"/>
          <w:rFonts w:hint="cs"/>
          <w:rtl/>
        </w:rPr>
        <w:t xml:space="preserve">המ"מ </w:t>
      </w:r>
      <w:r w:rsidRPr="000A205E">
        <w:rPr>
          <w:rStyle w:val="af7"/>
          <w:rFonts w:eastAsia="Guttman Hodes" w:hint="cs"/>
          <w:rtl/>
        </w:rPr>
        <w:t>(טו"נ פי"ד הי"ד)</w:t>
      </w:r>
      <w:r w:rsidRPr="000A205E">
        <w:rPr>
          <w:rFonts w:hint="cs"/>
          <w:rtl/>
        </w:rPr>
        <w:t xml:space="preserve"> דכ"מ דנחלקו </w:t>
      </w:r>
      <w:r w:rsidRPr="000A205E">
        <w:rPr>
          <w:rStyle w:val="af9"/>
          <w:rFonts w:hint="cs"/>
          <w:rtl/>
        </w:rPr>
        <w:t>הראשונים</w:t>
      </w:r>
      <w:r w:rsidRPr="000A205E">
        <w:rPr>
          <w:rFonts w:hint="cs"/>
          <w:rtl/>
        </w:rPr>
        <w:t xml:space="preserve">, </w:t>
      </w:r>
      <w:r w:rsidRPr="00484A8D">
        <w:rPr>
          <w:rStyle w:val="afb"/>
          <w:rFonts w:hint="cs"/>
          <w:rtl/>
        </w:rPr>
        <w:t>[</w:t>
      </w:r>
      <w:r w:rsidR="009B083C" w:rsidRPr="009B083C">
        <w:rPr>
          <w:rStyle w:val="affa"/>
          <w:rFonts w:hint="cs"/>
          <w:rtl/>
        </w:rPr>
        <w:t xml:space="preserve">הרשב"ם </w:t>
      </w:r>
      <w:r w:rsidR="009B083C" w:rsidRPr="009B083C">
        <w:rPr>
          <w:rStyle w:val="aff6"/>
          <w:rFonts w:hint="cs"/>
          <w:rtl/>
        </w:rPr>
        <w:t xml:space="preserve">(ד"ה אמר ליה, הובא בסימן י' אות א') </w:t>
      </w:r>
      <w:r w:rsidR="009B083C">
        <w:rPr>
          <w:rStyle w:val="affa"/>
          <w:rFonts w:hint="cs"/>
          <w:rtl/>
        </w:rPr>
        <w:t>ו</w:t>
      </w:r>
      <w:r w:rsidR="009B083C" w:rsidRPr="009B083C">
        <w:rPr>
          <w:rStyle w:val="affa"/>
          <w:rFonts w:hint="cs"/>
          <w:rtl/>
        </w:rPr>
        <w:t>תוס'</w:t>
      </w:r>
      <w:r w:rsidR="009B083C" w:rsidRPr="009F38AE">
        <w:rPr>
          <w:rFonts w:hint="cs"/>
          <w:rtl/>
        </w:rPr>
        <w:t xml:space="preserve"> </w:t>
      </w:r>
      <w:r w:rsidR="009B083C" w:rsidRPr="009B083C">
        <w:rPr>
          <w:rStyle w:val="aff6"/>
          <w:rFonts w:hint="cs"/>
          <w:rtl/>
        </w:rPr>
        <w:t>(ריש ד"ה לאו קמודית, הובא בסימן י' אות ט')</w:t>
      </w:r>
      <w:r w:rsidRPr="00484A8D">
        <w:rPr>
          <w:rStyle w:val="afb"/>
          <w:rFonts w:hint="cs"/>
          <w:rtl/>
        </w:rPr>
        <w:t xml:space="preserve">], </w:t>
      </w:r>
      <w:r w:rsidRPr="000A205E">
        <w:rPr>
          <w:rFonts w:hint="cs"/>
          <w:rtl/>
        </w:rPr>
        <w:t>הוא האם המחזיק צריך גם עידי חזקת ג"ש, אבל לכו"ע צריך עדים שדר בה המוכר חד יומא.</w:t>
      </w:r>
    </w:p>
    <w:p w:rsidR="000E75A3" w:rsidRDefault="000E75A3" w:rsidP="000E75A3">
      <w:pPr>
        <w:pStyle w:val="a3"/>
      </w:pPr>
      <w:bookmarkStart w:id="9179" w:name="_Toc59490106"/>
      <w:bookmarkStart w:id="9180" w:name="_Toc59620269"/>
      <w:bookmarkStart w:id="9181" w:name="_Toc59643536"/>
      <w:bookmarkStart w:id="9182" w:name="_Toc59741599"/>
      <w:bookmarkStart w:id="9183" w:name="_Toc59786723"/>
      <w:bookmarkStart w:id="9184" w:name="_Toc59802537"/>
      <w:bookmarkStart w:id="9185" w:name="_Toc59916097"/>
      <w:r>
        <w:rPr>
          <w:rFonts w:hint="cs"/>
          <w:rtl/>
        </w:rPr>
        <w:t>קושית הקצוה"ח על המהרי"ט דהרשב"ם כ' להדיא דיש שטר למחזיק ואפ"ה צריך עידי חד יומא</w:t>
      </w:r>
      <w:bookmarkEnd w:id="9179"/>
      <w:bookmarkEnd w:id="9180"/>
      <w:bookmarkEnd w:id="9181"/>
      <w:bookmarkEnd w:id="9182"/>
      <w:bookmarkEnd w:id="9183"/>
      <w:bookmarkEnd w:id="9184"/>
      <w:bookmarkEnd w:id="9185"/>
    </w:p>
    <w:p w:rsidR="000E75A3" w:rsidRDefault="000E75A3" w:rsidP="007E4E81">
      <w:pPr>
        <w:pStyle w:val="a0"/>
        <w:rPr>
          <w:rtl/>
        </w:rPr>
      </w:pPr>
      <w:r>
        <w:rPr>
          <w:rStyle w:val="af9"/>
          <w:rFonts w:hint="cs"/>
          <w:rtl/>
        </w:rPr>
        <w:t>ו</w:t>
      </w:r>
      <w:r w:rsidRPr="00FA5838">
        <w:rPr>
          <w:rStyle w:val="af9"/>
          <w:rFonts w:hint="cs"/>
          <w:rtl/>
        </w:rPr>
        <w:t>הקצוה"ח</w:t>
      </w:r>
      <w:r w:rsidRPr="00FA5838">
        <w:rPr>
          <w:rStyle w:val="af7"/>
          <w:rFonts w:eastAsia="Guttman Hodes" w:hint="cs"/>
          <w:rtl/>
        </w:rPr>
        <w:t xml:space="preserve"> (סי' קמ"ו סק"ט) </w:t>
      </w:r>
      <w:r>
        <w:rPr>
          <w:rFonts w:hint="cs"/>
          <w:rtl/>
        </w:rPr>
        <w:t xml:space="preserve">הקשה על </w:t>
      </w:r>
      <w:r w:rsidRPr="00FA5838">
        <w:rPr>
          <w:rStyle w:val="af9"/>
          <w:rFonts w:hint="cs"/>
          <w:rtl/>
        </w:rPr>
        <w:t>המהרי"ט</w:t>
      </w:r>
      <w:r>
        <w:rPr>
          <w:rFonts w:hint="cs"/>
          <w:rtl/>
        </w:rPr>
        <w:t xml:space="preserve"> דהא </w:t>
      </w:r>
      <w:r w:rsidRPr="00FA5838">
        <w:rPr>
          <w:rStyle w:val="af9"/>
          <w:rFonts w:hint="cs"/>
          <w:rtl/>
        </w:rPr>
        <w:t>הרשב"ם</w:t>
      </w:r>
      <w:r>
        <w:rPr>
          <w:rFonts w:hint="cs"/>
          <w:rtl/>
        </w:rPr>
        <w:t xml:space="preserve"> </w:t>
      </w:r>
      <w:r w:rsidRPr="00FA5838">
        <w:rPr>
          <w:rStyle w:val="af9"/>
          <w:rFonts w:hint="cs"/>
          <w:rtl/>
        </w:rPr>
        <w:t>בסוגיין</w:t>
      </w:r>
      <w:r>
        <w:rPr>
          <w:rFonts w:hint="cs"/>
          <w:rtl/>
        </w:rPr>
        <w:t xml:space="preserve"> </w:t>
      </w:r>
      <w:r w:rsidRPr="00E61D58">
        <w:rPr>
          <w:rStyle w:val="af7"/>
          <w:rFonts w:eastAsia="Guttman Hodes" w:hint="cs"/>
          <w:rtl/>
        </w:rPr>
        <w:t>(ריש ד"ה א"ל)</w:t>
      </w:r>
      <w:r>
        <w:rPr>
          <w:rFonts w:hint="cs"/>
          <w:rtl/>
        </w:rPr>
        <w:t xml:space="preserve"> ביאר דאף במקום שיש ללוקח שטר מכירה, מ"מ הוא צריך להביא עדים שדר בה המוכר חד יומא, ומוכח דאף שודאי חשיב כלוקח דהא יש לו שטר בידו, מ"מ עדיין צריך ראיה שדר המוכר חד יומא.</w:t>
      </w:r>
    </w:p>
    <w:p w:rsidR="000E75A3" w:rsidRDefault="000E75A3" w:rsidP="000E75A3">
      <w:pPr>
        <w:pStyle w:val="1"/>
        <w:rPr>
          <w:rtl/>
        </w:rPr>
      </w:pPr>
      <w:bookmarkStart w:id="9186" w:name="_Toc59490107"/>
      <w:bookmarkStart w:id="9187" w:name="_Toc59620270"/>
      <w:bookmarkStart w:id="9188" w:name="_Toc59643537"/>
      <w:bookmarkStart w:id="9189" w:name="_Toc59741600"/>
      <w:bookmarkStart w:id="9190" w:name="_Toc59786724"/>
      <w:bookmarkStart w:id="9191" w:name="_Toc59802538"/>
      <w:bookmarkStart w:id="9192" w:name="_Toc59916098"/>
      <w:r>
        <w:rPr>
          <w:rFonts w:hint="cs"/>
          <w:rtl/>
        </w:rPr>
        <w:t>דברי הקצוה"ח</w:t>
      </w:r>
      <w:bookmarkEnd w:id="9186"/>
      <w:bookmarkEnd w:id="9187"/>
      <w:bookmarkEnd w:id="9188"/>
      <w:bookmarkEnd w:id="9189"/>
      <w:bookmarkEnd w:id="9190"/>
      <w:bookmarkEnd w:id="9191"/>
      <w:r>
        <w:rPr>
          <w:rFonts w:hint="cs"/>
          <w:rtl/>
        </w:rPr>
        <w:t xml:space="preserve"> דבחד יומא יש אומדנא שהמוכר קנה מהמערער</w:t>
      </w:r>
      <w:bookmarkEnd w:id="9192"/>
    </w:p>
    <w:p w:rsidR="000E75A3" w:rsidRDefault="000E75A3" w:rsidP="000E75A3">
      <w:pPr>
        <w:pStyle w:val="a3"/>
        <w:rPr>
          <w:rtl/>
        </w:rPr>
      </w:pPr>
      <w:bookmarkStart w:id="9193" w:name="_Toc59490108"/>
      <w:bookmarkStart w:id="9194" w:name="_Toc59620271"/>
      <w:bookmarkStart w:id="9195" w:name="_Toc59643538"/>
      <w:bookmarkStart w:id="9196" w:name="_Toc59741601"/>
      <w:bookmarkStart w:id="9197" w:name="_Toc59786725"/>
      <w:bookmarkStart w:id="9198" w:name="_Toc59802539"/>
      <w:bookmarkStart w:id="9199" w:name="_Toc59916099"/>
      <w:r>
        <w:rPr>
          <w:rFonts w:hint="cs"/>
          <w:rtl/>
        </w:rPr>
        <w:t>ביאור הקצוה"ח דבעידי חד יומא יש אומדנא שקנה מהמערער ובלא"ה הוי כחזקה בלא טענה</w:t>
      </w:r>
      <w:bookmarkEnd w:id="9193"/>
      <w:bookmarkEnd w:id="9194"/>
      <w:bookmarkEnd w:id="9195"/>
      <w:bookmarkEnd w:id="9196"/>
      <w:bookmarkEnd w:id="9197"/>
      <w:bookmarkEnd w:id="9198"/>
      <w:bookmarkEnd w:id="9199"/>
    </w:p>
    <w:p w:rsidR="000E75A3" w:rsidRDefault="000E75A3" w:rsidP="007E4E81">
      <w:pPr>
        <w:pStyle w:val="a0"/>
        <w:rPr>
          <w:rtl/>
        </w:rPr>
      </w:pPr>
      <w:bookmarkStart w:id="9200" w:name="_Ref59381776"/>
      <w:r>
        <w:rPr>
          <w:rFonts w:hint="cs"/>
          <w:rtl/>
        </w:rPr>
        <w:t xml:space="preserve">אלא ביאר </w:t>
      </w:r>
      <w:r w:rsidRPr="00FA5838">
        <w:rPr>
          <w:rStyle w:val="af9"/>
          <w:rFonts w:hint="cs"/>
          <w:rtl/>
        </w:rPr>
        <w:t>הקצוה"ח</w:t>
      </w:r>
      <w:r w:rsidRPr="00E61D58">
        <w:rPr>
          <w:rStyle w:val="af7"/>
          <w:rFonts w:eastAsia="Guttman Hodes" w:hint="cs"/>
          <w:rtl/>
        </w:rPr>
        <w:t xml:space="preserve"> (סי' קמ"ו סק"ט) </w:t>
      </w:r>
      <w:r>
        <w:rPr>
          <w:rFonts w:hint="cs"/>
          <w:rtl/>
        </w:rPr>
        <w:t xml:space="preserve">דאעפ"י שאנו יודעים בבירור שהמחזיק קנה מהמוכר, מ"מ חשיב כחזקה שאין עמה טענה, דלא ידוע שהמוכר קנה מהמערער, ובדר בה המוכר חד יומא, יש אומדנא במקצת דהמוכר קנה מהמערער, ובכה"ג טענינן ללוקח, ואעפ"י </w:t>
      </w:r>
      <w:r>
        <w:rPr>
          <w:rFonts w:hint="cs"/>
          <w:rtl/>
        </w:rPr>
        <w:t xml:space="preserve">שאין למוכר חזקת ג"ש, מ"מ יש אומדנא שקנה מהמערער, ולכן אף אם יש למחזיק שטר מהמוכר, עדיין הוא צריך להביא ראיה שהמוכר דר בה חד יומא, ועי' במה שהקשה </w:t>
      </w:r>
      <w:r w:rsidRPr="00654BE1">
        <w:rPr>
          <w:rStyle w:val="af9"/>
          <w:rFonts w:hint="cs"/>
          <w:rtl/>
        </w:rPr>
        <w:t>הקה"י</w:t>
      </w:r>
      <w:r>
        <w:rPr>
          <w:rFonts w:hint="cs"/>
          <w:rtl/>
        </w:rPr>
        <w:t xml:space="preserve"> </w:t>
      </w:r>
      <w:r w:rsidRPr="00654BE1">
        <w:rPr>
          <w:rStyle w:val="af7"/>
          <w:rFonts w:eastAsia="Guttman Hodes" w:hint="cs"/>
          <w:rtl/>
        </w:rPr>
        <w:t xml:space="preserve">(עי' אות </w:t>
      </w:r>
      <w:r w:rsidRPr="00654BE1">
        <w:rPr>
          <w:rStyle w:val="af7"/>
          <w:rFonts w:eastAsia="Guttman Hodes"/>
          <w:rtl/>
        </w:rPr>
        <w:fldChar w:fldCharType="begin"/>
      </w:r>
      <w:r w:rsidRPr="00654BE1">
        <w:rPr>
          <w:rStyle w:val="af7"/>
          <w:rFonts w:eastAsia="Guttman Hodes"/>
          <w:rtl/>
        </w:rPr>
        <w:instrText xml:space="preserve"> </w:instrText>
      </w:r>
      <w:r w:rsidRPr="00654BE1">
        <w:rPr>
          <w:rStyle w:val="af7"/>
          <w:rFonts w:eastAsia="Guttman Hodes" w:hint="cs"/>
        </w:rPr>
        <w:instrText>REF</w:instrText>
      </w:r>
      <w:r w:rsidRPr="00654BE1">
        <w:rPr>
          <w:rStyle w:val="af7"/>
          <w:rFonts w:eastAsia="Guttman Hodes" w:hint="cs"/>
          <w:rtl/>
        </w:rPr>
        <w:instrText xml:space="preserve"> _</w:instrText>
      </w:r>
      <w:r w:rsidRPr="00654BE1">
        <w:rPr>
          <w:rStyle w:val="af7"/>
          <w:rFonts w:eastAsia="Guttman Hodes" w:hint="cs"/>
        </w:rPr>
        <w:instrText>Ref59381788 \r \h</w:instrText>
      </w:r>
      <w:r w:rsidRPr="00654BE1">
        <w:rPr>
          <w:rStyle w:val="af7"/>
          <w:rFonts w:eastAsia="Guttman Hodes"/>
          <w:rtl/>
        </w:rPr>
        <w:instrText xml:space="preserve"> </w:instrText>
      </w:r>
      <w:r w:rsidRPr="00654BE1">
        <w:rPr>
          <w:rStyle w:val="af7"/>
          <w:rFonts w:eastAsia="Guttman Hodes"/>
          <w:rtl/>
        </w:rPr>
      </w:r>
      <w:r w:rsidRPr="00654BE1">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654BE1">
        <w:rPr>
          <w:rStyle w:val="af7"/>
          <w:rFonts w:eastAsia="Guttman Hodes"/>
          <w:rtl/>
        </w:rPr>
        <w:fldChar w:fldCharType="end"/>
      </w:r>
      <w:r>
        <w:rPr>
          <w:rFonts w:hint="cs"/>
          <w:rtl/>
        </w:rPr>
        <w:t xml:space="preserve"> על ביאור </w:t>
      </w:r>
      <w:r w:rsidRPr="00654BE1">
        <w:rPr>
          <w:rStyle w:val="af9"/>
          <w:rFonts w:hint="cs"/>
          <w:rtl/>
        </w:rPr>
        <w:t>הקצוה"ח</w:t>
      </w:r>
      <w:r w:rsidRPr="00654BE1">
        <w:rPr>
          <w:rFonts w:hint="cs"/>
          <w:rtl/>
        </w:rPr>
        <w:t xml:space="preserve">, ועי' במה שביארו </w:t>
      </w:r>
      <w:r>
        <w:rPr>
          <w:rStyle w:val="af9"/>
          <w:rFonts w:hint="cs"/>
          <w:rtl/>
        </w:rPr>
        <w:t xml:space="preserve">הקה"י </w:t>
      </w:r>
      <w:r w:rsidRPr="00093165">
        <w:rPr>
          <w:rStyle w:val="af7"/>
          <w:rFonts w:eastAsia="Guttman Hodes" w:hint="cs"/>
          <w:rtl/>
        </w:rPr>
        <w:t xml:space="preserve">(עי' אות </w:t>
      </w:r>
      <w:r w:rsidRPr="00093165">
        <w:rPr>
          <w:rStyle w:val="af7"/>
          <w:rFonts w:eastAsia="Guttman Hodes"/>
          <w:rtl/>
        </w:rPr>
        <w:fldChar w:fldCharType="begin"/>
      </w:r>
      <w:r w:rsidRPr="00093165">
        <w:rPr>
          <w:rStyle w:val="af7"/>
          <w:rFonts w:eastAsia="Guttman Hodes"/>
          <w:rtl/>
        </w:rPr>
        <w:instrText xml:space="preserve"> </w:instrText>
      </w:r>
      <w:r w:rsidRPr="00093165">
        <w:rPr>
          <w:rStyle w:val="af7"/>
          <w:rFonts w:eastAsia="Guttman Hodes" w:hint="cs"/>
        </w:rPr>
        <w:instrText>REF</w:instrText>
      </w:r>
      <w:r w:rsidRPr="00093165">
        <w:rPr>
          <w:rStyle w:val="af7"/>
          <w:rFonts w:eastAsia="Guttman Hodes" w:hint="cs"/>
          <w:rtl/>
        </w:rPr>
        <w:instrText xml:space="preserve"> _</w:instrText>
      </w:r>
      <w:r w:rsidRPr="00093165">
        <w:rPr>
          <w:rStyle w:val="af7"/>
          <w:rFonts w:eastAsia="Guttman Hodes" w:hint="cs"/>
        </w:rPr>
        <w:instrText>Ref59478567 \r \h</w:instrText>
      </w:r>
      <w:r w:rsidRPr="00093165">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93165">
        <w:rPr>
          <w:rStyle w:val="af7"/>
          <w:rFonts w:eastAsia="Guttman Hodes"/>
          <w:rtl/>
        </w:rPr>
      </w:r>
      <w:r w:rsidRPr="00093165">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093165">
        <w:rPr>
          <w:rStyle w:val="af7"/>
          <w:rFonts w:eastAsia="Guttman Hodes"/>
          <w:rtl/>
        </w:rPr>
        <w:fldChar w:fldCharType="end"/>
      </w:r>
      <w:r w:rsidRPr="00654BE1">
        <w:rPr>
          <w:rFonts w:hint="cs"/>
          <w:rtl/>
        </w:rPr>
        <w:t xml:space="preserve"> </w:t>
      </w:r>
      <w:r>
        <w:rPr>
          <w:rStyle w:val="af9"/>
          <w:rFonts w:hint="cs"/>
          <w:rtl/>
        </w:rPr>
        <w:t xml:space="preserve">ובשיעורי רבי אלחנן </w:t>
      </w:r>
      <w:r w:rsidRPr="00585751">
        <w:rPr>
          <w:rStyle w:val="af7"/>
          <w:rFonts w:eastAsia="Guttman Hodes" w:hint="cs"/>
          <w:rtl/>
        </w:rPr>
        <w:t xml:space="preserve">(עי' אות </w:t>
      </w:r>
      <w:r w:rsidRPr="00585751">
        <w:rPr>
          <w:rStyle w:val="af7"/>
          <w:rFonts w:eastAsia="Guttman Hodes"/>
          <w:rtl/>
        </w:rPr>
        <w:fldChar w:fldCharType="begin"/>
      </w:r>
      <w:r w:rsidRPr="00585751">
        <w:rPr>
          <w:rStyle w:val="af7"/>
          <w:rFonts w:eastAsia="Guttman Hodes"/>
          <w:rtl/>
        </w:rPr>
        <w:instrText xml:space="preserve"> </w:instrText>
      </w:r>
      <w:r w:rsidRPr="00585751">
        <w:rPr>
          <w:rStyle w:val="af7"/>
          <w:rFonts w:eastAsia="Guttman Hodes" w:hint="cs"/>
        </w:rPr>
        <w:instrText>REF</w:instrText>
      </w:r>
      <w:r w:rsidRPr="00585751">
        <w:rPr>
          <w:rStyle w:val="af7"/>
          <w:rFonts w:eastAsia="Guttman Hodes" w:hint="cs"/>
          <w:rtl/>
        </w:rPr>
        <w:instrText xml:space="preserve"> _</w:instrText>
      </w:r>
      <w:r w:rsidRPr="00585751">
        <w:rPr>
          <w:rStyle w:val="af7"/>
          <w:rFonts w:eastAsia="Guttman Hodes" w:hint="cs"/>
        </w:rPr>
        <w:instrText>Ref59788910 \r \h</w:instrText>
      </w:r>
      <w:r w:rsidRPr="00585751">
        <w:rPr>
          <w:rStyle w:val="af7"/>
          <w:rFonts w:eastAsia="Guttman Hodes"/>
          <w:rtl/>
        </w:rPr>
        <w:instrText xml:space="preserve"> </w:instrText>
      </w:r>
      <w:r w:rsidRPr="00585751">
        <w:rPr>
          <w:rStyle w:val="af7"/>
          <w:rFonts w:eastAsia="Guttman Hodes"/>
          <w:rtl/>
        </w:rPr>
      </w:r>
      <w:r w:rsidRPr="00585751">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585751">
        <w:rPr>
          <w:rStyle w:val="af7"/>
          <w:rFonts w:eastAsia="Guttman Hodes"/>
          <w:rtl/>
        </w:rPr>
        <w:fldChar w:fldCharType="end"/>
      </w:r>
      <w:r>
        <w:rPr>
          <w:rFonts w:hint="cs"/>
          <w:rtl/>
        </w:rPr>
        <w:t xml:space="preserve"> </w:t>
      </w:r>
      <w:r w:rsidRPr="00654BE1">
        <w:rPr>
          <w:rFonts w:hint="cs"/>
          <w:rtl/>
        </w:rPr>
        <w:t>בדין עידי חד יומא.</w:t>
      </w:r>
      <w:bookmarkEnd w:id="9200"/>
    </w:p>
    <w:p w:rsidR="000E75A3" w:rsidRPr="00830D63" w:rsidRDefault="000E75A3" w:rsidP="000E75A3">
      <w:pPr>
        <w:pStyle w:val="a3"/>
        <w:rPr>
          <w:rtl/>
        </w:rPr>
      </w:pPr>
      <w:bookmarkStart w:id="9201" w:name="_Toc59490109"/>
      <w:bookmarkStart w:id="9202" w:name="_Toc59620272"/>
      <w:bookmarkStart w:id="9203" w:name="_Toc59643539"/>
      <w:bookmarkStart w:id="9204" w:name="_Toc59741602"/>
      <w:bookmarkStart w:id="9205" w:name="_Toc59786726"/>
      <w:bookmarkStart w:id="9206" w:name="_Toc59802540"/>
      <w:bookmarkStart w:id="9207" w:name="_Toc59916100"/>
      <w:r>
        <w:rPr>
          <w:rFonts w:hint="cs"/>
          <w:rtl/>
        </w:rPr>
        <w:t>ביאור הקצוה"ח ברשב"ם לקמן דע"י עידי חד יומא יש קצת ראיה לטענתו דקנה מהמערער</w:t>
      </w:r>
      <w:bookmarkEnd w:id="9201"/>
      <w:bookmarkEnd w:id="9202"/>
      <w:bookmarkEnd w:id="9203"/>
      <w:bookmarkEnd w:id="9204"/>
      <w:bookmarkEnd w:id="9205"/>
      <w:bookmarkEnd w:id="9206"/>
      <w:bookmarkEnd w:id="9207"/>
    </w:p>
    <w:p w:rsidR="000E75A3" w:rsidRDefault="000E75A3" w:rsidP="007E4E81">
      <w:pPr>
        <w:pStyle w:val="a0"/>
        <w:rPr>
          <w:rtl/>
        </w:rPr>
      </w:pPr>
      <w:bookmarkStart w:id="9208" w:name="_Ref59468021"/>
      <w:r>
        <w:rPr>
          <w:rFonts w:hint="cs"/>
          <w:rtl/>
        </w:rPr>
        <w:t xml:space="preserve">ובמה שהביא </w:t>
      </w:r>
      <w:r w:rsidRPr="00FA5838">
        <w:rPr>
          <w:rStyle w:val="af9"/>
          <w:rFonts w:hint="cs"/>
          <w:rtl/>
        </w:rPr>
        <w:t>המהרי"ט</w:t>
      </w:r>
      <w:r>
        <w:rPr>
          <w:rFonts w:hint="cs"/>
          <w:rtl/>
        </w:rPr>
        <w:t xml:space="preserve"> </w:t>
      </w:r>
      <w:r w:rsidRPr="00FA5838">
        <w:rPr>
          <w:rStyle w:val="af7"/>
          <w:rFonts w:eastAsia="Guttman Hodes" w:hint="cs"/>
          <w:rtl/>
        </w:rPr>
        <w:t xml:space="preserve">(עי' אות </w:t>
      </w:r>
      <w:r w:rsidRPr="00FA5838">
        <w:rPr>
          <w:rStyle w:val="af7"/>
          <w:rFonts w:eastAsia="Guttman Hodes"/>
          <w:rtl/>
        </w:rPr>
        <w:fldChar w:fldCharType="begin"/>
      </w:r>
      <w:r w:rsidRPr="00FA5838">
        <w:rPr>
          <w:rStyle w:val="af7"/>
          <w:rFonts w:eastAsia="Guttman Hodes"/>
          <w:rtl/>
        </w:rPr>
        <w:instrText xml:space="preserve"> </w:instrText>
      </w:r>
      <w:r w:rsidRPr="00FA5838">
        <w:rPr>
          <w:rStyle w:val="af7"/>
          <w:rFonts w:eastAsia="Guttman Hodes" w:hint="cs"/>
        </w:rPr>
        <w:instrText>REF</w:instrText>
      </w:r>
      <w:r w:rsidRPr="00FA5838">
        <w:rPr>
          <w:rStyle w:val="af7"/>
          <w:rFonts w:eastAsia="Guttman Hodes" w:hint="cs"/>
          <w:rtl/>
        </w:rPr>
        <w:instrText xml:space="preserve"> _</w:instrText>
      </w:r>
      <w:r w:rsidRPr="00FA5838">
        <w:rPr>
          <w:rStyle w:val="af7"/>
          <w:rFonts w:eastAsia="Guttman Hodes" w:hint="cs"/>
        </w:rPr>
        <w:instrText>Ref57927634 \r \h</w:instrText>
      </w:r>
      <w:r w:rsidRPr="00FA5838">
        <w:rPr>
          <w:rStyle w:val="af7"/>
          <w:rFonts w:eastAsia="Guttman Hodes"/>
          <w:rtl/>
        </w:rPr>
        <w:instrText xml:space="preserve"> </w:instrText>
      </w:r>
      <w:r w:rsidRPr="00FA5838">
        <w:rPr>
          <w:rStyle w:val="af7"/>
          <w:rFonts w:eastAsia="Guttman Hodes"/>
          <w:rtl/>
        </w:rPr>
      </w:r>
      <w:r w:rsidRPr="00FA5838">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FA5838">
        <w:rPr>
          <w:rStyle w:val="af7"/>
          <w:rFonts w:eastAsia="Guttman Hodes"/>
          <w:rtl/>
        </w:rPr>
        <w:fldChar w:fldCharType="end"/>
      </w:r>
      <w:r w:rsidRPr="00FA5838">
        <w:rPr>
          <w:rStyle w:val="af7"/>
          <w:rFonts w:eastAsia="Guttman Hodes" w:hint="cs"/>
          <w:rtl/>
        </w:rPr>
        <w:t xml:space="preserve"> </w:t>
      </w:r>
      <w:r>
        <w:rPr>
          <w:rFonts w:hint="cs"/>
          <w:rtl/>
        </w:rPr>
        <w:t xml:space="preserve">מדברי </w:t>
      </w:r>
      <w:r w:rsidRPr="00FA5838">
        <w:rPr>
          <w:rStyle w:val="af9"/>
          <w:rFonts w:hint="cs"/>
          <w:rtl/>
        </w:rPr>
        <w:t>הרשב"ם 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Ref58268297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א)</w:t>
      </w:r>
      <w:r>
        <w:rPr>
          <w:rStyle w:val="af7"/>
          <w:rFonts w:eastAsia="Guttman Hodes"/>
          <w:rtl/>
        </w:rPr>
        <w:fldChar w:fldCharType="end"/>
      </w:r>
      <w:r>
        <w:rPr>
          <w:rStyle w:val="af7"/>
          <w:rFonts w:eastAsia="Guttman Hodes" w:hint="cs"/>
          <w:rtl/>
        </w:rPr>
        <w:t xml:space="preserve"> </w:t>
      </w:r>
      <w:r>
        <w:rPr>
          <w:rFonts w:hint="cs"/>
          <w:rtl/>
        </w:rPr>
        <w:t xml:space="preserve">דכשהביא עדים שדר המוכר חד יומא, אינו צריך להביא עדים שהמוכר קנה מהמערער, דטענינן ליה שקנה ממנו, דהא טענינן ללוקח ויורש, הקשה </w:t>
      </w:r>
      <w:r w:rsidRPr="002B71F5">
        <w:rPr>
          <w:rStyle w:val="af9"/>
          <w:rFonts w:hint="cs"/>
          <w:rtl/>
        </w:rPr>
        <w:t>הקצוה"ח</w:t>
      </w:r>
      <w:r>
        <w:rPr>
          <w:rFonts w:hint="cs"/>
          <w:rtl/>
        </w:rPr>
        <w:t xml:space="preserve"> דלפי ביאור </w:t>
      </w:r>
      <w:r w:rsidRPr="00FA5838">
        <w:rPr>
          <w:rStyle w:val="af9"/>
          <w:rFonts w:hint="cs"/>
          <w:rtl/>
        </w:rPr>
        <w:t>המהרי"ט</w:t>
      </w:r>
      <w:r>
        <w:rPr>
          <w:rFonts w:hint="cs"/>
          <w:rtl/>
        </w:rPr>
        <w:t xml:space="preserve"> היה </w:t>
      </w:r>
      <w:r w:rsidRPr="00FA5838">
        <w:rPr>
          <w:rStyle w:val="af9"/>
          <w:rFonts w:hint="cs"/>
          <w:rtl/>
        </w:rPr>
        <w:t>לרשב"ם</w:t>
      </w:r>
      <w:r>
        <w:rPr>
          <w:rFonts w:hint="cs"/>
          <w:rtl/>
        </w:rPr>
        <w:t xml:space="preserve"> </w:t>
      </w:r>
      <w:r w:rsidRPr="006E1AAB">
        <w:rPr>
          <w:rStyle w:val="af9"/>
          <w:rFonts w:hint="cs"/>
          <w:rtl/>
        </w:rPr>
        <w:t xml:space="preserve">לקמן </w:t>
      </w:r>
      <w:r>
        <w:rPr>
          <w:rFonts w:hint="cs"/>
          <w:rtl/>
        </w:rPr>
        <w:t xml:space="preserve">לומר דא"צ המחזיק להביא עדים שקנה מהמוכר, ולא יצטרך להוכיח שהוא הלוקח, אלא ביאר </w:t>
      </w:r>
      <w:r w:rsidRPr="002B71F5">
        <w:rPr>
          <w:rStyle w:val="af9"/>
          <w:rFonts w:hint="cs"/>
          <w:rtl/>
        </w:rPr>
        <w:t>הקצוה"ח</w:t>
      </w:r>
      <w:r>
        <w:rPr>
          <w:rFonts w:hint="cs"/>
          <w:rtl/>
        </w:rPr>
        <w:t xml:space="preserve"> דכוונת </w:t>
      </w:r>
      <w:r w:rsidRPr="002B71F5">
        <w:rPr>
          <w:rStyle w:val="af9"/>
          <w:rFonts w:hint="cs"/>
          <w:rtl/>
        </w:rPr>
        <w:t>הרשב"ם</w:t>
      </w:r>
      <w:r>
        <w:rPr>
          <w:rFonts w:hint="cs"/>
          <w:rtl/>
        </w:rPr>
        <w:t xml:space="preserve"> לקמן לומר דע"י שמביא המחזיק ראיה שהמוכר דר בה חד יומא, א"כ יש קצת ראיה לטענת המחזיק, שהמוכר קנה מהמערער, כיון שהמוכר דר חד יומא בשופי.</w:t>
      </w:r>
      <w:bookmarkEnd w:id="9208"/>
    </w:p>
    <w:p w:rsidR="000E75A3" w:rsidRPr="00EA46FC" w:rsidRDefault="000E75A3" w:rsidP="000E75A3">
      <w:pPr>
        <w:pStyle w:val="afe"/>
        <w:rPr>
          <w:rtl/>
        </w:rPr>
      </w:pPr>
      <w:bookmarkStart w:id="9209" w:name="_Toc59113218"/>
      <w:bookmarkStart w:id="9210" w:name="_Toc59136931"/>
      <w:bookmarkStart w:id="9211" w:name="_Toc59361620"/>
      <w:bookmarkStart w:id="9212" w:name="_Toc59464632"/>
      <w:bookmarkStart w:id="9213" w:name="_Toc59490112"/>
      <w:bookmarkStart w:id="9214" w:name="_Toc59620273"/>
      <w:bookmarkStart w:id="9215" w:name="_Toc59643540"/>
      <w:bookmarkStart w:id="9216" w:name="_Toc59741603"/>
      <w:bookmarkStart w:id="9217" w:name="_Toc59786727"/>
      <w:bookmarkStart w:id="9218" w:name="_Toc59802541"/>
      <w:bookmarkStart w:id="9219" w:name="_Toc59916101"/>
      <w:bookmarkStart w:id="9220" w:name="_Toc59113213"/>
      <w:bookmarkStart w:id="9221" w:name="_Toc59136926"/>
      <w:bookmarkStart w:id="9222" w:name="_Toc59361615"/>
      <w:bookmarkStart w:id="9223" w:name="_Toc59464627"/>
      <w:bookmarkStart w:id="9224" w:name="_Toc59490110"/>
      <w:bookmarkEnd w:id="8986"/>
      <w:bookmarkEnd w:id="8987"/>
      <w:bookmarkEnd w:id="8988"/>
      <w:bookmarkEnd w:id="8989"/>
      <w:r>
        <w:rPr>
          <w:rFonts w:hint="cs"/>
          <w:rtl/>
        </w:rPr>
        <w:t>ד' הרשב"ם דמהני עידי חד יומא וחזקה</w:t>
      </w:r>
      <w:bookmarkEnd w:id="9209"/>
      <w:bookmarkEnd w:id="9210"/>
      <w:bookmarkEnd w:id="9211"/>
      <w:bookmarkEnd w:id="9212"/>
      <w:bookmarkEnd w:id="9213"/>
      <w:bookmarkEnd w:id="9214"/>
      <w:bookmarkEnd w:id="9215"/>
      <w:bookmarkEnd w:id="9216"/>
      <w:bookmarkEnd w:id="9217"/>
      <w:bookmarkEnd w:id="9218"/>
      <w:bookmarkEnd w:id="9219"/>
    </w:p>
    <w:p w:rsidR="000E75A3" w:rsidRDefault="000E75A3" w:rsidP="000E75A3">
      <w:pPr>
        <w:pStyle w:val="1"/>
        <w:rPr>
          <w:rtl/>
        </w:rPr>
      </w:pPr>
      <w:bookmarkStart w:id="9225" w:name="_Toc59620274"/>
      <w:bookmarkStart w:id="9226" w:name="_Toc59643541"/>
      <w:bookmarkStart w:id="9227" w:name="_Toc59741604"/>
      <w:bookmarkStart w:id="9228" w:name="_Toc59786728"/>
      <w:bookmarkStart w:id="9229" w:name="_Toc59802542"/>
      <w:bookmarkStart w:id="9230" w:name="_Toc59916102"/>
      <w:r>
        <w:rPr>
          <w:rFonts w:hint="cs"/>
          <w:rtl/>
        </w:rPr>
        <w:t>דברי הרשב"ם דבאינו טוען ברי או עידי חד יומא יומא מפסיד</w:t>
      </w:r>
      <w:bookmarkEnd w:id="9220"/>
      <w:bookmarkEnd w:id="9221"/>
      <w:bookmarkEnd w:id="9222"/>
      <w:bookmarkEnd w:id="9223"/>
      <w:bookmarkEnd w:id="9224"/>
      <w:bookmarkEnd w:id="9225"/>
      <w:bookmarkEnd w:id="9226"/>
      <w:bookmarkEnd w:id="9227"/>
      <w:bookmarkEnd w:id="9228"/>
      <w:bookmarkEnd w:id="9229"/>
      <w:bookmarkEnd w:id="9230"/>
    </w:p>
    <w:p w:rsidR="000E75A3" w:rsidRDefault="000E75A3" w:rsidP="000E75A3">
      <w:pPr>
        <w:pStyle w:val="a3"/>
        <w:rPr>
          <w:rtl/>
        </w:rPr>
      </w:pPr>
      <w:bookmarkStart w:id="9231" w:name="_Toc59113214"/>
      <w:bookmarkStart w:id="9232" w:name="_Toc59136927"/>
      <w:bookmarkStart w:id="9233" w:name="_Toc59361616"/>
      <w:bookmarkStart w:id="9234" w:name="_Toc59464628"/>
      <w:bookmarkStart w:id="9235" w:name="_Toc59490111"/>
      <w:bookmarkStart w:id="9236" w:name="_Toc59620275"/>
      <w:bookmarkStart w:id="9237" w:name="_Toc59643542"/>
      <w:bookmarkStart w:id="9238" w:name="_Toc59741605"/>
      <w:bookmarkStart w:id="9239" w:name="_Toc59786729"/>
      <w:bookmarkStart w:id="9240" w:name="_Toc59802543"/>
      <w:bookmarkStart w:id="9241" w:name="_Toc59916103"/>
      <w:r>
        <w:rPr>
          <w:rFonts w:hint="cs"/>
          <w:rtl/>
        </w:rPr>
        <w:t>דברי הרשב"ם דכיון שהודה ואינו טוען קמי דידי ואין לו עידי חד יומא לכן המחזיק מפסיד</w:t>
      </w:r>
      <w:bookmarkEnd w:id="9231"/>
      <w:bookmarkEnd w:id="9232"/>
      <w:bookmarkEnd w:id="9233"/>
      <w:bookmarkEnd w:id="9234"/>
      <w:bookmarkEnd w:id="9235"/>
      <w:bookmarkEnd w:id="9236"/>
      <w:bookmarkEnd w:id="9237"/>
      <w:bookmarkEnd w:id="9238"/>
      <w:bookmarkEnd w:id="9239"/>
      <w:bookmarkEnd w:id="9240"/>
      <w:bookmarkEnd w:id="9241"/>
    </w:p>
    <w:p w:rsidR="000E75A3" w:rsidRDefault="000E75A3" w:rsidP="007E4E81">
      <w:pPr>
        <w:pStyle w:val="a0"/>
        <w:rPr>
          <w:rtl/>
        </w:rPr>
      </w:pPr>
      <w:r>
        <w:rPr>
          <w:rFonts w:hint="cs"/>
          <w:rtl/>
        </w:rPr>
        <w:t xml:space="preserve">כתב </w:t>
      </w:r>
      <w:r w:rsidRPr="00775FC8">
        <w:rPr>
          <w:rStyle w:val="af9"/>
          <w:rFonts w:hint="cs"/>
          <w:rtl/>
        </w:rPr>
        <w:t>הרשב"ם</w:t>
      </w:r>
      <w:r>
        <w:rPr>
          <w:rFonts w:hint="cs"/>
          <w:rtl/>
        </w:rPr>
        <w:t xml:space="preserve"> </w:t>
      </w:r>
      <w:r w:rsidRPr="00091DF9">
        <w:rPr>
          <w:rStyle w:val="af7"/>
          <w:rFonts w:eastAsia="Guttman Hodes" w:hint="cs"/>
          <w:rtl/>
        </w:rPr>
        <w:t>(ד"ה א"ל</w:t>
      </w:r>
      <w:r>
        <w:rPr>
          <w:rStyle w:val="af7"/>
          <w:rFonts w:eastAsia="Guttman Hodes" w:hint="cs"/>
          <w:rtl/>
        </w:rPr>
        <w:t>, הובא בסימן ח' אות א')</w:t>
      </w:r>
      <w:r>
        <w:rPr>
          <w:rFonts w:hint="cs"/>
          <w:rtl/>
        </w:rPr>
        <w:t xml:space="preserve"> דכיון שהמחזיק מודה דהקרקע הייתה של המערער, א"כ הודאת בע"ד כמאה עדים, </w:t>
      </w:r>
      <w:r>
        <w:rPr>
          <w:rStyle w:val="afb"/>
          <w:rtl/>
        </w:rPr>
        <w:t xml:space="preserve">[וחשיב שיש עדים שהמערער הוא המרא קמא], </w:t>
      </w:r>
      <w:r>
        <w:rPr>
          <w:rFonts w:hint="cs"/>
          <w:rtl/>
        </w:rPr>
        <w:t xml:space="preserve">וכן הוא מודה שאינו יודע אם המוכר קנה מהמערער או לא, דהרי אינו טוען קמי דידי זבנה מינך, ואין לו עדים שהמוכר היה דר בה חד יומא, לכן הוא מפסיד את הקרקע, ומעמידים ביד המערער, וכ"כ </w:t>
      </w:r>
      <w:r w:rsidRPr="00177AB7">
        <w:rPr>
          <w:rStyle w:val="af9"/>
          <w:rFonts w:hint="cs"/>
          <w:rtl/>
        </w:rPr>
        <w:t>הרי"ף</w:t>
      </w:r>
      <w:r>
        <w:rPr>
          <w:rFonts w:hint="cs"/>
          <w:rtl/>
        </w:rPr>
        <w:t xml:space="preserve"> </w:t>
      </w:r>
      <w:r w:rsidRPr="00177AB7">
        <w:rPr>
          <w:rStyle w:val="af7"/>
          <w:rFonts w:eastAsia="Guttman Hodes" w:hint="cs"/>
          <w:rtl/>
        </w:rPr>
        <w:t xml:space="preserve">(עי' אות </w:t>
      </w:r>
      <w:r w:rsidRPr="00177AB7">
        <w:rPr>
          <w:rStyle w:val="af7"/>
          <w:rFonts w:eastAsia="Guttman Hodes"/>
          <w:rtl/>
        </w:rPr>
        <w:fldChar w:fldCharType="begin"/>
      </w:r>
      <w:r w:rsidRPr="00177AB7">
        <w:rPr>
          <w:rStyle w:val="af7"/>
          <w:rFonts w:eastAsia="Guttman Hodes"/>
          <w:rtl/>
        </w:rPr>
        <w:instrText xml:space="preserve"> </w:instrText>
      </w:r>
      <w:r w:rsidRPr="00177AB7">
        <w:rPr>
          <w:rStyle w:val="af7"/>
          <w:rFonts w:eastAsia="Guttman Hodes" w:hint="cs"/>
        </w:rPr>
        <w:instrText>REF</w:instrText>
      </w:r>
      <w:r w:rsidRPr="00177AB7">
        <w:rPr>
          <w:rStyle w:val="af7"/>
          <w:rFonts w:eastAsia="Guttman Hodes" w:hint="cs"/>
          <w:rtl/>
        </w:rPr>
        <w:instrText xml:space="preserve"> _</w:instrText>
      </w:r>
      <w:r w:rsidRPr="00177AB7">
        <w:rPr>
          <w:rStyle w:val="af7"/>
          <w:rFonts w:eastAsia="Guttman Hodes" w:hint="cs"/>
        </w:rPr>
        <w:instrText>Ref59615569 \r \h</w:instrText>
      </w:r>
      <w:r w:rsidRPr="00177AB7">
        <w:rPr>
          <w:rStyle w:val="af7"/>
          <w:rFonts w:eastAsia="Guttman Hodes"/>
          <w:rtl/>
        </w:rPr>
        <w:instrText xml:space="preserve"> </w:instrText>
      </w:r>
      <w:r w:rsidRPr="00177AB7">
        <w:rPr>
          <w:rStyle w:val="af7"/>
          <w:rFonts w:eastAsia="Guttman Hodes"/>
          <w:rtl/>
        </w:rPr>
      </w:r>
      <w:r w:rsidRPr="00177AB7">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177AB7">
        <w:rPr>
          <w:rStyle w:val="af7"/>
          <w:rFonts w:eastAsia="Guttman Hodes"/>
          <w:rtl/>
        </w:rPr>
        <w:fldChar w:fldCharType="end"/>
      </w:r>
      <w:r>
        <w:rPr>
          <w:rFonts w:hint="cs"/>
          <w:rtl/>
        </w:rPr>
        <w:t xml:space="preserve"> ועי' במה שביאר </w:t>
      </w:r>
      <w:r w:rsidRPr="00177AB7">
        <w:rPr>
          <w:rStyle w:val="af9"/>
          <w:rFonts w:hint="cs"/>
          <w:rtl/>
        </w:rPr>
        <w:t>הרמב"ן</w:t>
      </w:r>
      <w:r>
        <w:rPr>
          <w:rFonts w:hint="cs"/>
          <w:rtl/>
        </w:rPr>
        <w:t xml:space="preserve"> </w:t>
      </w:r>
      <w:r w:rsidRPr="00177AB7">
        <w:rPr>
          <w:rStyle w:val="af7"/>
          <w:rFonts w:eastAsia="Guttman Hodes" w:hint="cs"/>
          <w:rtl/>
        </w:rPr>
        <w:t xml:space="preserve">(עי' אות </w:t>
      </w:r>
      <w:r w:rsidRPr="00177AB7">
        <w:rPr>
          <w:rStyle w:val="af7"/>
          <w:rFonts w:eastAsia="Guttman Hodes"/>
          <w:rtl/>
        </w:rPr>
        <w:fldChar w:fldCharType="begin"/>
      </w:r>
      <w:r w:rsidRPr="00177AB7">
        <w:rPr>
          <w:rStyle w:val="af7"/>
          <w:rFonts w:eastAsia="Guttman Hodes"/>
          <w:rtl/>
        </w:rPr>
        <w:instrText xml:space="preserve"> </w:instrText>
      </w:r>
      <w:r w:rsidRPr="00177AB7">
        <w:rPr>
          <w:rStyle w:val="af7"/>
          <w:rFonts w:eastAsia="Guttman Hodes" w:hint="cs"/>
        </w:rPr>
        <w:instrText>REF</w:instrText>
      </w:r>
      <w:r w:rsidRPr="00177AB7">
        <w:rPr>
          <w:rStyle w:val="af7"/>
          <w:rFonts w:eastAsia="Guttman Hodes" w:hint="cs"/>
          <w:rtl/>
        </w:rPr>
        <w:instrText xml:space="preserve"> _</w:instrText>
      </w:r>
      <w:r w:rsidRPr="00177AB7">
        <w:rPr>
          <w:rStyle w:val="af7"/>
          <w:rFonts w:eastAsia="Guttman Hodes" w:hint="cs"/>
        </w:rPr>
        <w:instrText>Ref59615619 \r \h</w:instrText>
      </w:r>
      <w:r w:rsidRPr="00177AB7">
        <w:rPr>
          <w:rStyle w:val="af7"/>
          <w:rFonts w:eastAsia="Guttman Hodes"/>
          <w:rtl/>
        </w:rPr>
        <w:instrText xml:space="preserve"> </w:instrText>
      </w:r>
      <w:r w:rsidRPr="00177AB7">
        <w:rPr>
          <w:rStyle w:val="af7"/>
          <w:rFonts w:eastAsia="Guttman Hodes"/>
          <w:rtl/>
        </w:rPr>
      </w:r>
      <w:r w:rsidRPr="00177AB7">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177AB7">
        <w:rPr>
          <w:rStyle w:val="af7"/>
          <w:rFonts w:eastAsia="Guttman Hodes"/>
          <w:rtl/>
        </w:rPr>
        <w:fldChar w:fldCharType="end"/>
      </w:r>
      <w:r>
        <w:rPr>
          <w:rFonts w:hint="cs"/>
          <w:rtl/>
        </w:rPr>
        <w:t xml:space="preserve"> </w:t>
      </w:r>
      <w:r w:rsidRPr="00177AB7">
        <w:rPr>
          <w:rStyle w:val="af9"/>
          <w:rFonts w:hint="cs"/>
          <w:rtl/>
        </w:rPr>
        <w:t>ברי"ף</w:t>
      </w:r>
      <w:r>
        <w:rPr>
          <w:rFonts w:hint="cs"/>
          <w:rtl/>
        </w:rPr>
        <w:t>.</w:t>
      </w:r>
    </w:p>
    <w:p w:rsidR="000E75A3" w:rsidRDefault="000E75A3" w:rsidP="000E75A3">
      <w:pPr>
        <w:pStyle w:val="a3"/>
        <w:rPr>
          <w:rtl/>
        </w:rPr>
      </w:pPr>
      <w:bookmarkStart w:id="9242" w:name="_Toc59643543"/>
      <w:bookmarkStart w:id="9243" w:name="_Toc59741606"/>
      <w:bookmarkStart w:id="9244" w:name="_Toc59786730"/>
      <w:bookmarkStart w:id="9245" w:name="_Toc59802544"/>
      <w:bookmarkStart w:id="9246" w:name="_Toc59916104"/>
      <w:r>
        <w:rPr>
          <w:rFonts w:hint="cs"/>
          <w:rtl/>
        </w:rPr>
        <w:t>דברי רבינו יונה דבאינו טוען טענת ברי שהמוכר קנאה מוציאין מידו דהודאתו כעידי מר"ק</w:t>
      </w:r>
      <w:bookmarkEnd w:id="9242"/>
      <w:bookmarkEnd w:id="9243"/>
      <w:bookmarkEnd w:id="9244"/>
      <w:bookmarkEnd w:id="9245"/>
      <w:bookmarkEnd w:id="9246"/>
    </w:p>
    <w:p w:rsidR="000E75A3" w:rsidRPr="004B123F" w:rsidRDefault="000E75A3" w:rsidP="007E4E81">
      <w:pPr>
        <w:pStyle w:val="a0"/>
        <w:rPr>
          <w:rtl/>
        </w:rPr>
      </w:pPr>
      <w:r>
        <w:rPr>
          <w:rFonts w:hint="cs"/>
          <w:rtl/>
        </w:rPr>
        <w:t xml:space="preserve">כתב </w:t>
      </w:r>
      <w:r w:rsidRPr="009D0127">
        <w:rPr>
          <w:rStyle w:val="af9"/>
          <w:rFonts w:hint="cs"/>
          <w:rtl/>
        </w:rPr>
        <w:t>רבינו יונה</w:t>
      </w:r>
      <w:r>
        <w:rPr>
          <w:rFonts w:hint="cs"/>
          <w:rtl/>
        </w:rPr>
        <w:t xml:space="preserve"> </w:t>
      </w:r>
      <w:r w:rsidRPr="009D0127">
        <w:rPr>
          <w:rStyle w:val="af7"/>
          <w:rFonts w:eastAsia="Guttman Hodes" w:hint="cs"/>
          <w:rtl/>
        </w:rPr>
        <w:t>(ד"ה ההוא)</w:t>
      </w:r>
      <w:r>
        <w:rPr>
          <w:rFonts w:hint="cs"/>
          <w:rtl/>
        </w:rPr>
        <w:t xml:space="preserve"> דכיון דהמחזיק מודה שהייתה של המערער, ואינו טוען מינך זבינתה, או קמי דידי זבנה מינך, וכל מה שהוא יודע שהמוכר קנה מהמערער הוא ממה שאמר לו המוכר, אמרינן ליה דכיון שאתה עצמך יודע שהשדה הייתה של המערער, ואינך יודע אם המוכר קנה ממנו, א"כ אין ספק מוציא מידי ודאי, ותחזיר את השדה למערער, וביאר </w:t>
      </w:r>
      <w:r w:rsidRPr="00430527">
        <w:rPr>
          <w:rStyle w:val="af9"/>
          <w:rFonts w:hint="cs"/>
          <w:rtl/>
        </w:rPr>
        <w:t>רבינו יונה</w:t>
      </w:r>
      <w:r>
        <w:rPr>
          <w:rFonts w:hint="cs"/>
          <w:rtl/>
        </w:rPr>
        <w:t xml:space="preserve"> דהודאתו חשיבא כמו שיש עדים למערער דאינו נאמן בלא עידי מכירה או עידי חזקה, וכתב </w:t>
      </w:r>
      <w:r w:rsidRPr="00E13482">
        <w:rPr>
          <w:rStyle w:val="af9"/>
          <w:rFonts w:hint="cs"/>
          <w:rtl/>
        </w:rPr>
        <w:t>רבינו יונה</w:t>
      </w:r>
      <w:r>
        <w:rPr>
          <w:rFonts w:hint="cs"/>
          <w:rtl/>
        </w:rPr>
        <w:t xml:space="preserve"> דכן ביאר </w:t>
      </w:r>
      <w:r w:rsidRPr="00177AB7">
        <w:rPr>
          <w:rStyle w:val="af9"/>
          <w:rFonts w:hint="cs"/>
          <w:rtl/>
        </w:rPr>
        <w:t>הרי"ף</w:t>
      </w:r>
      <w:r>
        <w:rPr>
          <w:rFonts w:hint="cs"/>
          <w:rtl/>
        </w:rPr>
        <w:t xml:space="preserve"> </w:t>
      </w:r>
      <w:r w:rsidRPr="00177AB7">
        <w:rPr>
          <w:rStyle w:val="af7"/>
          <w:rFonts w:eastAsia="Guttman Hodes" w:hint="cs"/>
          <w:rtl/>
        </w:rPr>
        <w:t xml:space="preserve">(עי' אות </w:t>
      </w:r>
      <w:r w:rsidRPr="00177AB7">
        <w:rPr>
          <w:rStyle w:val="af7"/>
          <w:rFonts w:eastAsia="Guttman Hodes"/>
          <w:rtl/>
        </w:rPr>
        <w:fldChar w:fldCharType="begin"/>
      </w:r>
      <w:r w:rsidRPr="00177AB7">
        <w:rPr>
          <w:rStyle w:val="af7"/>
          <w:rFonts w:eastAsia="Guttman Hodes"/>
          <w:rtl/>
        </w:rPr>
        <w:instrText xml:space="preserve"> </w:instrText>
      </w:r>
      <w:r w:rsidRPr="00177AB7">
        <w:rPr>
          <w:rStyle w:val="af7"/>
          <w:rFonts w:eastAsia="Guttman Hodes" w:hint="cs"/>
        </w:rPr>
        <w:instrText>REF</w:instrText>
      </w:r>
      <w:r w:rsidRPr="00177AB7">
        <w:rPr>
          <w:rStyle w:val="af7"/>
          <w:rFonts w:eastAsia="Guttman Hodes" w:hint="cs"/>
          <w:rtl/>
        </w:rPr>
        <w:instrText xml:space="preserve"> _</w:instrText>
      </w:r>
      <w:r w:rsidRPr="00177AB7">
        <w:rPr>
          <w:rStyle w:val="af7"/>
          <w:rFonts w:eastAsia="Guttman Hodes" w:hint="cs"/>
        </w:rPr>
        <w:instrText>Ref59615569 \r \h</w:instrText>
      </w:r>
      <w:r w:rsidRPr="00177AB7">
        <w:rPr>
          <w:rStyle w:val="af7"/>
          <w:rFonts w:eastAsia="Guttman Hodes"/>
          <w:rtl/>
        </w:rPr>
        <w:instrText xml:space="preserve"> </w:instrText>
      </w:r>
      <w:r w:rsidRPr="00177AB7">
        <w:rPr>
          <w:rStyle w:val="af7"/>
          <w:rFonts w:eastAsia="Guttman Hodes"/>
          <w:rtl/>
        </w:rPr>
      </w:r>
      <w:r w:rsidRPr="00177AB7">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177AB7">
        <w:rPr>
          <w:rStyle w:val="af7"/>
          <w:rFonts w:eastAsia="Guttman Hodes"/>
          <w:rtl/>
        </w:rPr>
        <w:fldChar w:fldCharType="end"/>
      </w:r>
      <w:r>
        <w:rPr>
          <w:rFonts w:hint="cs"/>
          <w:rtl/>
        </w:rPr>
        <w:t>.</w:t>
      </w:r>
    </w:p>
    <w:p w:rsidR="000E75A3" w:rsidRPr="009D0127" w:rsidRDefault="000E75A3" w:rsidP="000E75A3">
      <w:pPr>
        <w:pStyle w:val="a3"/>
        <w:rPr>
          <w:rtl/>
        </w:rPr>
      </w:pPr>
      <w:bookmarkStart w:id="9247" w:name="_Toc59643544"/>
      <w:bookmarkStart w:id="9248" w:name="_Toc59741607"/>
      <w:bookmarkStart w:id="9249" w:name="_Toc59786731"/>
      <w:bookmarkStart w:id="9250" w:name="_Toc59802545"/>
      <w:bookmarkStart w:id="9251" w:name="_Toc59916105"/>
      <w:r>
        <w:rPr>
          <w:rFonts w:hint="cs"/>
          <w:rtl/>
        </w:rPr>
        <w:t>דברי הירטב"א דהודאתו כעידי מר"ק ובלא חזקה לא טענינן ליה בלי ראיה או טענת ברי</w:t>
      </w:r>
      <w:bookmarkEnd w:id="9247"/>
      <w:bookmarkEnd w:id="9248"/>
      <w:bookmarkEnd w:id="9249"/>
      <w:bookmarkEnd w:id="9250"/>
      <w:bookmarkEnd w:id="9251"/>
    </w:p>
    <w:p w:rsidR="000E75A3" w:rsidRDefault="000E75A3" w:rsidP="007E4E81">
      <w:pPr>
        <w:pStyle w:val="a0"/>
        <w:rPr>
          <w:rtl/>
        </w:rPr>
      </w:pPr>
      <w:bookmarkStart w:id="9252" w:name="_Toc58432658"/>
      <w:bookmarkStart w:id="9253" w:name="_Toc58532472"/>
      <w:bookmarkStart w:id="9254" w:name="_Toc58580091"/>
      <w:bookmarkStart w:id="9255" w:name="_Toc59113215"/>
      <w:r>
        <w:rPr>
          <w:rFonts w:hint="cs"/>
          <w:rtl/>
        </w:rPr>
        <w:t xml:space="preserve">וכ"כ </w:t>
      </w:r>
      <w:r w:rsidRPr="00B31086">
        <w:rPr>
          <w:rStyle w:val="af9"/>
          <w:rFonts w:hint="cs"/>
          <w:rtl/>
        </w:rPr>
        <w:t>הריטב"א</w:t>
      </w:r>
      <w:r>
        <w:rPr>
          <w:rFonts w:hint="cs"/>
          <w:rtl/>
        </w:rPr>
        <w:t xml:space="preserve"> </w:t>
      </w:r>
      <w:r w:rsidRPr="00764DDE">
        <w:rPr>
          <w:rStyle w:val="af7"/>
          <w:rFonts w:eastAsia="Guttman Hodes" w:hint="cs"/>
          <w:rtl/>
        </w:rPr>
        <w:t>(ד"ה ההוא)</w:t>
      </w:r>
      <w:r>
        <w:rPr>
          <w:rFonts w:hint="cs"/>
          <w:rtl/>
        </w:rPr>
        <w:t xml:space="preserve"> דלאחר שהודה המחזיק שהקרקע הייתה של המערער, חשיב כאילו יש למערער עדים שהיה מרא קמא, וכיון שאין למחזיק חזקה, א"א לטעון לו כדטענינן ללוקח, וכיון שאין לו כל ראיה או טענת ברי, שהמוכר קנה מהמערער, א"כ אין לו כל זכות במה שהוא מחזיק בקרקע.</w:t>
      </w:r>
    </w:p>
    <w:p w:rsidR="000E75A3" w:rsidRPr="00A477E1" w:rsidRDefault="000E75A3" w:rsidP="000E75A3">
      <w:pPr>
        <w:pStyle w:val="1"/>
        <w:rPr>
          <w:rtl/>
        </w:rPr>
      </w:pPr>
      <w:bookmarkStart w:id="9256" w:name="_Toc59643545"/>
      <w:bookmarkStart w:id="9257" w:name="_Toc59741608"/>
      <w:bookmarkStart w:id="9258" w:name="_Toc59786732"/>
      <w:bookmarkStart w:id="9259" w:name="_Toc59802546"/>
      <w:bookmarkStart w:id="9260" w:name="_Toc59916106"/>
      <w:r>
        <w:rPr>
          <w:rFonts w:hint="cs"/>
          <w:rtl/>
        </w:rPr>
        <w:t>דברי הרשב"ם</w:t>
      </w:r>
      <w:bookmarkEnd w:id="9256"/>
      <w:bookmarkEnd w:id="9257"/>
      <w:bookmarkEnd w:id="9258"/>
      <w:bookmarkEnd w:id="9259"/>
      <w:r>
        <w:rPr>
          <w:rFonts w:hint="cs"/>
          <w:rtl/>
        </w:rPr>
        <w:t xml:space="preserve"> דבעידי חד יומא עם חזקה יש מיגו דמינך זבינתה</w:t>
      </w:r>
      <w:bookmarkEnd w:id="9260"/>
    </w:p>
    <w:p w:rsidR="000E75A3" w:rsidRPr="0003534C" w:rsidRDefault="000E75A3" w:rsidP="000E75A3">
      <w:pPr>
        <w:pStyle w:val="a3"/>
      </w:pPr>
      <w:bookmarkStart w:id="9261" w:name="_Toc59113219"/>
      <w:bookmarkStart w:id="9262" w:name="_Toc59136932"/>
      <w:bookmarkStart w:id="9263" w:name="_Toc59361621"/>
      <w:bookmarkStart w:id="9264" w:name="_Toc59464633"/>
      <w:bookmarkStart w:id="9265" w:name="_Toc59490113"/>
      <w:bookmarkStart w:id="9266" w:name="_Toc59620276"/>
      <w:bookmarkStart w:id="9267" w:name="_Toc59643546"/>
      <w:bookmarkStart w:id="9268" w:name="_Toc59741609"/>
      <w:bookmarkStart w:id="9269" w:name="_Toc59786733"/>
      <w:bookmarkStart w:id="9270" w:name="_Toc59802547"/>
      <w:bookmarkStart w:id="9271" w:name="_Toc59916107"/>
      <w:bookmarkStart w:id="9272" w:name="_Ref57911233"/>
      <w:bookmarkEnd w:id="8990"/>
      <w:bookmarkEnd w:id="8991"/>
      <w:bookmarkEnd w:id="8992"/>
      <w:bookmarkEnd w:id="8993"/>
      <w:bookmarkEnd w:id="8994"/>
      <w:bookmarkEnd w:id="9252"/>
      <w:bookmarkEnd w:id="9253"/>
      <w:bookmarkEnd w:id="9254"/>
      <w:bookmarkEnd w:id="9255"/>
      <w:r w:rsidRPr="00F77951">
        <w:rPr>
          <w:rtl/>
        </w:rPr>
        <w:t>דברי הרשב"</w:t>
      </w:r>
      <w:r w:rsidRPr="0003534C">
        <w:rPr>
          <w:rtl/>
        </w:rPr>
        <w:t xml:space="preserve">ם </w:t>
      </w:r>
      <w:r w:rsidRPr="0003534C">
        <w:rPr>
          <w:rFonts w:hint="cs"/>
          <w:rtl/>
        </w:rPr>
        <w:t>דכשיש ל</w:t>
      </w:r>
      <w:r w:rsidRPr="0003534C">
        <w:rPr>
          <w:rtl/>
        </w:rPr>
        <w:t xml:space="preserve">מחזיק </w:t>
      </w:r>
      <w:r w:rsidRPr="0003534C">
        <w:rPr>
          <w:rFonts w:hint="cs"/>
          <w:rtl/>
        </w:rPr>
        <w:t>עדים דדר המוכר חד יומא</w:t>
      </w:r>
      <w:r w:rsidRPr="0003534C">
        <w:rPr>
          <w:rtl/>
        </w:rPr>
        <w:t xml:space="preserve"> </w:t>
      </w:r>
      <w:r w:rsidRPr="0003534C">
        <w:rPr>
          <w:rFonts w:hint="cs"/>
          <w:rtl/>
        </w:rPr>
        <w:t>ו</w:t>
      </w:r>
      <w:r w:rsidRPr="0003534C">
        <w:rPr>
          <w:rtl/>
        </w:rPr>
        <w:t>חזקת ג"ש נאמן במיגו דמינך זבינתה</w:t>
      </w:r>
      <w:bookmarkEnd w:id="9261"/>
      <w:bookmarkEnd w:id="9262"/>
      <w:bookmarkEnd w:id="9263"/>
      <w:bookmarkEnd w:id="9264"/>
      <w:bookmarkEnd w:id="9265"/>
      <w:bookmarkEnd w:id="9266"/>
      <w:bookmarkEnd w:id="9267"/>
      <w:bookmarkEnd w:id="9268"/>
      <w:bookmarkEnd w:id="9269"/>
      <w:bookmarkEnd w:id="9270"/>
      <w:bookmarkEnd w:id="9271"/>
    </w:p>
    <w:p w:rsidR="000E75A3" w:rsidRDefault="000E75A3" w:rsidP="007E4E81">
      <w:pPr>
        <w:pStyle w:val="a0"/>
        <w:rPr>
          <w:rtl/>
        </w:rPr>
      </w:pPr>
      <w:bookmarkStart w:id="9273" w:name="_Ref58427311"/>
      <w:bookmarkStart w:id="9274" w:name="_Ref59550435"/>
      <w:r w:rsidRPr="0003534C">
        <w:rPr>
          <w:rFonts w:hint="cs"/>
          <w:rtl/>
        </w:rPr>
        <w:t xml:space="preserve">כתב </w:t>
      </w:r>
      <w:r w:rsidRPr="0003534C">
        <w:rPr>
          <w:rStyle w:val="af9"/>
          <w:rFonts w:hint="cs"/>
          <w:rtl/>
        </w:rPr>
        <w:t>הרשב"ם</w:t>
      </w:r>
      <w:r w:rsidRPr="0003534C">
        <w:rPr>
          <w:rFonts w:hint="cs"/>
          <w:rtl/>
        </w:rPr>
        <w:t xml:space="preserve"> </w:t>
      </w:r>
      <w:r w:rsidRPr="0003534C">
        <w:rPr>
          <w:rStyle w:val="af7"/>
          <w:rFonts w:eastAsia="Guttman Hodes" w:hint="cs"/>
          <w:rtl/>
        </w:rPr>
        <w:t>(ד"ה אמר ליה)</w:t>
      </w:r>
      <w:r w:rsidRPr="0003534C">
        <w:rPr>
          <w:rFonts w:hint="cs"/>
          <w:rtl/>
        </w:rPr>
        <w:t xml:space="preserve"> </w:t>
      </w:r>
      <w:r>
        <w:rPr>
          <w:rFonts w:hint="cs"/>
          <w:rtl/>
        </w:rPr>
        <w:t>דכ</w:t>
      </w:r>
      <w:r w:rsidRPr="0003534C">
        <w:rPr>
          <w:rFonts w:hint="cs"/>
          <w:rtl/>
        </w:rPr>
        <w:t>שיש למחזיק עדים שהמוכר החזיק בה חד יומא</w:t>
      </w:r>
      <w:r w:rsidRPr="00A4438F">
        <w:rPr>
          <w:rFonts w:hint="cs"/>
          <w:rtl/>
        </w:rPr>
        <w:t xml:space="preserve">, [ויש לו חזקת ג"ש], הוא נאמן, [במיגו דהיה טוען דהיה </w:t>
      </w:r>
      <w:r w:rsidRPr="00A4438F">
        <w:rPr>
          <w:rFonts w:hint="cs"/>
          <w:rtl/>
        </w:rPr>
        <w:lastRenderedPageBreak/>
        <w:t>טוען למערער מינך זבינתה], כדאיתא</w:t>
      </w:r>
      <w:r w:rsidRPr="0003534C">
        <w:rPr>
          <w:rFonts w:hint="cs"/>
          <w:rtl/>
        </w:rPr>
        <w:t xml:space="preserve"> בגמ' לקמן </w:t>
      </w:r>
      <w:r w:rsidRPr="0003534C">
        <w:rPr>
          <w:rStyle w:val="af7"/>
          <w:rFonts w:eastAsia="Guttman Hodes" w:hint="cs"/>
          <w:rtl/>
        </w:rPr>
        <w:t>(מא:)</w:t>
      </w:r>
      <w:r w:rsidRPr="0003534C">
        <w:rPr>
          <w:rFonts w:hint="cs"/>
          <w:rtl/>
        </w:rPr>
        <w:t xml:space="preserve"> דבדר </w:t>
      </w:r>
      <w:r w:rsidRPr="0003534C">
        <w:rPr>
          <w:rtl/>
        </w:rPr>
        <w:t>בקשתא בעיליתא</w:t>
      </w:r>
      <w:r w:rsidRPr="0003534C">
        <w:rPr>
          <w:rFonts w:hint="cs"/>
          <w:rtl/>
        </w:rPr>
        <w:t xml:space="preserve"> ד' שנים נאמן כשיש לו עדים דדר בה המוכר חד יומא</w:t>
      </w:r>
      <w:r>
        <w:rPr>
          <w:rFonts w:hint="cs"/>
          <w:rtl/>
        </w:rPr>
        <w:t xml:space="preserve">, וכתב </w:t>
      </w:r>
      <w:r w:rsidRPr="00176AB7">
        <w:rPr>
          <w:rStyle w:val="af9"/>
          <w:rFonts w:hint="cs"/>
          <w:rtl/>
        </w:rPr>
        <w:t>הרשב"ם</w:t>
      </w:r>
      <w:r>
        <w:rPr>
          <w:rFonts w:hint="cs"/>
          <w:rtl/>
        </w:rPr>
        <w:t xml:space="preserve"> </w:t>
      </w:r>
      <w:r w:rsidRPr="00176AB7">
        <w:rPr>
          <w:rStyle w:val="af7"/>
          <w:rFonts w:eastAsia="Guttman Hodes" w:hint="cs"/>
          <w:rtl/>
        </w:rPr>
        <w:t xml:space="preserve">(עי' אות </w:t>
      </w:r>
      <w:r w:rsidRPr="00176AB7">
        <w:rPr>
          <w:rStyle w:val="af7"/>
          <w:rFonts w:eastAsia="Guttman Hodes"/>
          <w:rtl/>
        </w:rPr>
        <w:fldChar w:fldCharType="begin"/>
      </w:r>
      <w:r w:rsidRPr="00176AB7">
        <w:rPr>
          <w:rStyle w:val="af7"/>
          <w:rFonts w:eastAsia="Guttman Hodes"/>
          <w:rtl/>
        </w:rPr>
        <w:instrText xml:space="preserve"> </w:instrText>
      </w:r>
      <w:r w:rsidRPr="00176AB7">
        <w:rPr>
          <w:rStyle w:val="af7"/>
          <w:rFonts w:eastAsia="Guttman Hodes" w:hint="cs"/>
        </w:rPr>
        <w:instrText>REF</w:instrText>
      </w:r>
      <w:r w:rsidRPr="00176AB7">
        <w:rPr>
          <w:rStyle w:val="af7"/>
          <w:rFonts w:eastAsia="Guttman Hodes" w:hint="cs"/>
          <w:rtl/>
        </w:rPr>
        <w:instrText xml:space="preserve"> _</w:instrText>
      </w:r>
      <w:r w:rsidRPr="00176AB7">
        <w:rPr>
          <w:rStyle w:val="af7"/>
          <w:rFonts w:eastAsia="Guttman Hodes" w:hint="cs"/>
        </w:rPr>
        <w:instrText>Ref59546095 \r \h</w:instrText>
      </w:r>
      <w:r w:rsidRPr="00176AB7">
        <w:rPr>
          <w:rStyle w:val="af7"/>
          <w:rFonts w:eastAsia="Guttman Hodes"/>
          <w:rtl/>
        </w:rPr>
        <w:instrText xml:space="preserve"> </w:instrText>
      </w:r>
      <w:r w:rsidRPr="00176AB7">
        <w:rPr>
          <w:rStyle w:val="af7"/>
          <w:rFonts w:eastAsia="Guttman Hodes"/>
          <w:rtl/>
        </w:rPr>
      </w:r>
      <w:r w:rsidRPr="00176AB7">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176AB7">
        <w:rPr>
          <w:rStyle w:val="af7"/>
          <w:rFonts w:eastAsia="Guttman Hodes"/>
          <w:rtl/>
        </w:rPr>
        <w:fldChar w:fldCharType="end"/>
      </w:r>
      <w:r>
        <w:rPr>
          <w:rFonts w:hint="cs"/>
          <w:rtl/>
        </w:rPr>
        <w:t xml:space="preserve"> דה"ה כשטוען המחזיק קמי דידי זבנה מינך, וכ"כ </w:t>
      </w:r>
      <w:r w:rsidRPr="00177AB7">
        <w:rPr>
          <w:rStyle w:val="af9"/>
          <w:rFonts w:hint="cs"/>
          <w:rtl/>
        </w:rPr>
        <w:t>הרי"ף</w:t>
      </w:r>
      <w:r>
        <w:rPr>
          <w:rFonts w:hint="cs"/>
          <w:rtl/>
        </w:rPr>
        <w:t xml:space="preserve"> </w:t>
      </w:r>
      <w:r w:rsidRPr="00177AB7">
        <w:rPr>
          <w:rStyle w:val="af7"/>
          <w:rFonts w:eastAsia="Guttman Hodes" w:hint="cs"/>
          <w:rtl/>
        </w:rPr>
        <w:t xml:space="preserve">(עי' אות </w:t>
      </w:r>
      <w:r w:rsidRPr="00177AB7">
        <w:rPr>
          <w:rStyle w:val="af7"/>
          <w:rFonts w:eastAsia="Guttman Hodes"/>
          <w:rtl/>
        </w:rPr>
        <w:fldChar w:fldCharType="begin"/>
      </w:r>
      <w:r w:rsidRPr="00177AB7">
        <w:rPr>
          <w:rStyle w:val="af7"/>
          <w:rFonts w:eastAsia="Guttman Hodes"/>
          <w:rtl/>
        </w:rPr>
        <w:instrText xml:space="preserve"> </w:instrText>
      </w:r>
      <w:r w:rsidRPr="00177AB7">
        <w:rPr>
          <w:rStyle w:val="af7"/>
          <w:rFonts w:eastAsia="Guttman Hodes" w:hint="cs"/>
        </w:rPr>
        <w:instrText>REF</w:instrText>
      </w:r>
      <w:r w:rsidRPr="00177AB7">
        <w:rPr>
          <w:rStyle w:val="af7"/>
          <w:rFonts w:eastAsia="Guttman Hodes" w:hint="cs"/>
          <w:rtl/>
        </w:rPr>
        <w:instrText xml:space="preserve"> _</w:instrText>
      </w:r>
      <w:r w:rsidRPr="00177AB7">
        <w:rPr>
          <w:rStyle w:val="af7"/>
          <w:rFonts w:eastAsia="Guttman Hodes" w:hint="cs"/>
        </w:rPr>
        <w:instrText>Ref59615569 \r \h</w:instrText>
      </w:r>
      <w:r w:rsidRPr="00177AB7">
        <w:rPr>
          <w:rStyle w:val="af7"/>
          <w:rFonts w:eastAsia="Guttman Hodes"/>
          <w:rtl/>
        </w:rPr>
        <w:instrText xml:space="preserve"> </w:instrText>
      </w:r>
      <w:r w:rsidRPr="00177AB7">
        <w:rPr>
          <w:rStyle w:val="af7"/>
          <w:rFonts w:eastAsia="Guttman Hodes"/>
          <w:rtl/>
        </w:rPr>
      </w:r>
      <w:r w:rsidRPr="00177AB7">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177AB7">
        <w:rPr>
          <w:rStyle w:val="af7"/>
          <w:rFonts w:eastAsia="Guttman Hodes"/>
          <w:rtl/>
        </w:rPr>
        <w:fldChar w:fldCharType="end"/>
      </w:r>
      <w:r>
        <w:rPr>
          <w:rFonts w:hint="cs"/>
          <w:rtl/>
        </w:rPr>
        <w:t xml:space="preserve">, ועי' במה שביאר </w:t>
      </w:r>
      <w:r w:rsidRPr="00D37908">
        <w:rPr>
          <w:rStyle w:val="af9"/>
          <w:rFonts w:hint="cs"/>
          <w:rtl/>
        </w:rPr>
        <w:t xml:space="preserve">המהר"ן שפירא [בעל המגלה עמוקות] בחי' אנשי שם </w:t>
      </w:r>
      <w:r w:rsidRPr="008A403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Ref59702723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Pr>
          <w:rStyle w:val="af7"/>
          <w:rFonts w:eastAsia="Guttman Hodes"/>
          <w:rtl/>
        </w:rPr>
        <w:fldChar w:fldCharType="end"/>
      </w:r>
      <w:r w:rsidRPr="008A4039">
        <w:rPr>
          <w:rStyle w:val="af7"/>
          <w:rFonts w:eastAsia="Guttman Hodes" w:hint="cs"/>
          <w:rtl/>
        </w:rPr>
        <w:t xml:space="preserve"> </w:t>
      </w:r>
      <w:r>
        <w:rPr>
          <w:rFonts w:hint="cs"/>
          <w:rtl/>
        </w:rPr>
        <w:t>בדעת</w:t>
      </w:r>
      <w:r>
        <w:rPr>
          <w:rStyle w:val="af9"/>
          <w:rFonts w:hint="cs"/>
          <w:rtl/>
        </w:rPr>
        <w:t xml:space="preserve"> </w:t>
      </w:r>
      <w:r w:rsidRPr="00177AB7">
        <w:rPr>
          <w:rStyle w:val="af9"/>
          <w:rFonts w:hint="cs"/>
          <w:rtl/>
        </w:rPr>
        <w:t>הרי"ף</w:t>
      </w:r>
      <w:r w:rsidRPr="000D599F">
        <w:rPr>
          <w:rFonts w:hint="cs"/>
          <w:rtl/>
        </w:rPr>
        <w:t>.</w:t>
      </w:r>
      <w:bookmarkEnd w:id="9272"/>
      <w:bookmarkEnd w:id="9273"/>
      <w:bookmarkEnd w:id="9274"/>
    </w:p>
    <w:p w:rsidR="000E75A3" w:rsidRPr="00B469A1" w:rsidRDefault="000E75A3" w:rsidP="000E75A3">
      <w:pPr>
        <w:pStyle w:val="a3"/>
        <w:rPr>
          <w:rtl/>
        </w:rPr>
      </w:pPr>
      <w:bookmarkStart w:id="9275" w:name="_Toc59643547"/>
      <w:bookmarkStart w:id="9276" w:name="_Toc59741610"/>
      <w:bookmarkStart w:id="9277" w:name="_Toc59786734"/>
      <w:bookmarkStart w:id="9278" w:name="_Toc59802548"/>
      <w:bookmarkStart w:id="9279" w:name="_Toc59916108"/>
      <w:bookmarkStart w:id="9280" w:name="_Toc59490114"/>
      <w:bookmarkStart w:id="9281" w:name="_Toc59620277"/>
      <w:r w:rsidRPr="00B469A1">
        <w:rPr>
          <w:rFonts w:hint="cs"/>
          <w:rtl/>
        </w:rPr>
        <w:t>דברי רבינו יונה דאעפ"י שהודה המחזיק בעידי חד יומא ולא מחה המערער במחזיק אין מוציאין</w:t>
      </w:r>
      <w:bookmarkEnd w:id="9275"/>
      <w:bookmarkEnd w:id="9276"/>
      <w:bookmarkEnd w:id="9277"/>
      <w:bookmarkEnd w:id="9278"/>
      <w:bookmarkEnd w:id="9279"/>
    </w:p>
    <w:p w:rsidR="000E75A3" w:rsidRDefault="000E75A3" w:rsidP="007E4E81">
      <w:pPr>
        <w:pStyle w:val="a0"/>
        <w:rPr>
          <w:rtl/>
        </w:rPr>
      </w:pPr>
      <w:r w:rsidRPr="00B469A1">
        <w:rPr>
          <w:rFonts w:hint="cs"/>
          <w:rtl/>
        </w:rPr>
        <w:t xml:space="preserve">וכ"כ </w:t>
      </w:r>
      <w:r w:rsidRPr="00B469A1">
        <w:rPr>
          <w:rStyle w:val="af9"/>
          <w:rFonts w:hint="cs"/>
          <w:rtl/>
        </w:rPr>
        <w:t>רבינו יונה</w:t>
      </w:r>
      <w:r w:rsidRPr="00B469A1">
        <w:rPr>
          <w:rStyle w:val="af7"/>
          <w:rFonts w:eastAsia="Guttman Hodes" w:hint="cs"/>
          <w:rtl/>
        </w:rPr>
        <w:t xml:space="preserve"> (ד"ה עלה בידינו) </w:t>
      </w:r>
      <w:r w:rsidRPr="00B469A1">
        <w:rPr>
          <w:rFonts w:hint="cs"/>
          <w:rtl/>
        </w:rPr>
        <w:t>דאם יש למחזיק חזקת ג"ש, אף כשהוא מודה דיודע שהקרקע</w:t>
      </w:r>
      <w:r>
        <w:rPr>
          <w:rFonts w:hint="cs"/>
          <w:rtl/>
        </w:rPr>
        <w:t xml:space="preserve"> הייתה של המערער, מ"מ כל שדר בה המוכר חד יומא, ולא מחה המערער במחזיק, מעמידים את הקרקע ביד המחזיק.</w:t>
      </w:r>
    </w:p>
    <w:p w:rsidR="000E75A3" w:rsidRDefault="000E75A3" w:rsidP="000E75A3">
      <w:pPr>
        <w:pStyle w:val="a3"/>
        <w:rPr>
          <w:rtl/>
        </w:rPr>
      </w:pPr>
      <w:bookmarkStart w:id="9282" w:name="_Toc59643548"/>
      <w:bookmarkStart w:id="9283" w:name="_Toc59741611"/>
      <w:bookmarkStart w:id="9284" w:name="_Toc59786735"/>
      <w:bookmarkStart w:id="9285" w:name="_Toc59802549"/>
      <w:bookmarkStart w:id="9286" w:name="_Toc59916109"/>
      <w:r>
        <w:rPr>
          <w:rFonts w:hint="cs"/>
          <w:rtl/>
        </w:rPr>
        <w:t>דברי הרשב"ם לקמן ו</w:t>
      </w:r>
      <w:r w:rsidRPr="007A5320">
        <w:rPr>
          <w:rtl/>
        </w:rPr>
        <w:t xml:space="preserve">הרשב"א והריטב"א </w:t>
      </w:r>
      <w:r>
        <w:rPr>
          <w:rFonts w:hint="cs"/>
          <w:rtl/>
        </w:rPr>
        <w:t>דבחזקה ועידי חד יומא טענינן ליה דהא טענינן ללוקח</w:t>
      </w:r>
      <w:bookmarkEnd w:id="9280"/>
      <w:bookmarkEnd w:id="9281"/>
      <w:bookmarkEnd w:id="9282"/>
      <w:bookmarkEnd w:id="9283"/>
      <w:bookmarkEnd w:id="9284"/>
      <w:bookmarkEnd w:id="9285"/>
      <w:bookmarkEnd w:id="9286"/>
    </w:p>
    <w:p w:rsidR="000E75A3" w:rsidRPr="00930858" w:rsidRDefault="000E75A3" w:rsidP="007E4E81">
      <w:pPr>
        <w:pStyle w:val="a0"/>
        <w:rPr>
          <w:rStyle w:val="afb"/>
          <w:rtl/>
        </w:rPr>
      </w:pPr>
      <w:r>
        <w:rPr>
          <w:rFonts w:hint="cs"/>
          <w:rtl/>
        </w:rPr>
        <w:t xml:space="preserve">וביאר </w:t>
      </w:r>
      <w:r w:rsidRPr="00EB4F74">
        <w:rPr>
          <w:rStyle w:val="af9"/>
          <w:rFonts w:hint="cs"/>
          <w:rtl/>
        </w:rPr>
        <w:t>הרשב"ם לקמן</w:t>
      </w:r>
      <w:r>
        <w:rPr>
          <w:rFonts w:hint="cs"/>
          <w:rtl/>
        </w:rPr>
        <w:t xml:space="preserve"> </w:t>
      </w:r>
      <w:r w:rsidRPr="00DC6D8A">
        <w:rPr>
          <w:rStyle w:val="af7"/>
          <w:rFonts w:eastAsia="Guttman Hodes" w:hint="cs"/>
          <w:rtl/>
        </w:rPr>
        <w:t xml:space="preserve">(עי' אות </w:t>
      </w:r>
      <w:r w:rsidRPr="00DC6D8A">
        <w:rPr>
          <w:rStyle w:val="af7"/>
          <w:rFonts w:eastAsia="Guttman Hodes"/>
          <w:rtl/>
        </w:rPr>
        <w:fldChar w:fldCharType="begin"/>
      </w:r>
      <w:r w:rsidRPr="00DC6D8A">
        <w:rPr>
          <w:rStyle w:val="af7"/>
          <w:rFonts w:eastAsia="Guttman Hodes"/>
          <w:rtl/>
        </w:rPr>
        <w:instrText xml:space="preserve"> </w:instrText>
      </w:r>
      <w:r w:rsidRPr="00DC6D8A">
        <w:rPr>
          <w:rStyle w:val="af7"/>
          <w:rFonts w:eastAsia="Guttman Hodes" w:hint="cs"/>
        </w:rPr>
        <w:instrText>REF</w:instrText>
      </w:r>
      <w:r w:rsidRPr="00DC6D8A">
        <w:rPr>
          <w:rStyle w:val="af7"/>
          <w:rFonts w:eastAsia="Guttman Hodes" w:hint="cs"/>
          <w:rtl/>
        </w:rPr>
        <w:instrText xml:space="preserve"> _</w:instrText>
      </w:r>
      <w:r w:rsidRPr="00DC6D8A">
        <w:rPr>
          <w:rStyle w:val="af7"/>
          <w:rFonts w:eastAsia="Guttman Hodes" w:hint="cs"/>
        </w:rPr>
        <w:instrText>Ref59352439 \r \h</w:instrText>
      </w:r>
      <w:r w:rsidRPr="00DC6D8A">
        <w:rPr>
          <w:rStyle w:val="af7"/>
          <w:rFonts w:eastAsia="Guttman Hodes"/>
          <w:rtl/>
        </w:rPr>
        <w:instrText xml:space="preserve"> </w:instrText>
      </w:r>
      <w:r w:rsidRPr="00DC6D8A">
        <w:rPr>
          <w:rStyle w:val="af7"/>
          <w:rFonts w:eastAsia="Guttman Hodes"/>
          <w:rtl/>
        </w:rPr>
      </w:r>
      <w:r w:rsidRPr="00DC6D8A">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DC6D8A">
        <w:rPr>
          <w:rStyle w:val="af7"/>
          <w:rFonts w:eastAsia="Guttman Hodes"/>
          <w:rtl/>
        </w:rPr>
        <w:fldChar w:fldCharType="end"/>
      </w:r>
      <w:r>
        <w:rPr>
          <w:rFonts w:hint="cs"/>
          <w:rtl/>
        </w:rPr>
        <w:t xml:space="preserve"> דכיון שיש לו חזקת ג"ש, והביא עדים שדר המוכר חד יומא, טענינן ליה שקנה ממנו, דהא טענינן ללוקח ויורש, ובמקח אינו צריך טענה, וצריך רק ראיה שהמוכר דר בה</w:t>
      </w:r>
      <w:bookmarkStart w:id="9287" w:name="_Toc58432660"/>
      <w:bookmarkStart w:id="9288" w:name="_Toc58532474"/>
      <w:bookmarkStart w:id="9289" w:name="_Toc58580093"/>
      <w:r>
        <w:rPr>
          <w:rFonts w:hint="cs"/>
          <w:rtl/>
        </w:rPr>
        <w:t xml:space="preserve">, </w:t>
      </w:r>
      <w:bookmarkStart w:id="9290" w:name="_Ref59093231"/>
      <w:r>
        <w:rPr>
          <w:rFonts w:hint="cs"/>
          <w:rtl/>
        </w:rPr>
        <w:t>וכ"כ</w:t>
      </w:r>
      <w:r w:rsidRPr="000D599F">
        <w:rPr>
          <w:rFonts w:hint="cs"/>
          <w:rtl/>
        </w:rPr>
        <w:t xml:space="preserve"> </w:t>
      </w:r>
      <w:r w:rsidRPr="000D599F">
        <w:rPr>
          <w:rStyle w:val="af9"/>
          <w:rFonts w:hint="cs"/>
          <w:rtl/>
        </w:rPr>
        <w:t>הרשב"א</w:t>
      </w:r>
      <w:r w:rsidRPr="000D599F">
        <w:rPr>
          <w:rFonts w:hint="cs"/>
          <w:rtl/>
        </w:rPr>
        <w:t xml:space="preserve"> </w:t>
      </w:r>
      <w:r w:rsidRPr="00DC6D8A">
        <w:rPr>
          <w:rStyle w:val="af7"/>
          <w:rFonts w:eastAsia="Guttman Hodes" w:hint="cs"/>
          <w:rtl/>
        </w:rPr>
        <w:t xml:space="preserve">(ד"ה ומיהו) </w:t>
      </w:r>
      <w:r w:rsidRPr="000D599F">
        <w:rPr>
          <w:rStyle w:val="af9"/>
          <w:rFonts w:hint="cs"/>
          <w:rtl/>
        </w:rPr>
        <w:t>והריטב"</w:t>
      </w:r>
      <w:r w:rsidRPr="00B31086">
        <w:rPr>
          <w:rStyle w:val="af9"/>
          <w:rFonts w:hint="cs"/>
          <w:rtl/>
        </w:rPr>
        <w:t>א</w:t>
      </w:r>
      <w:r>
        <w:rPr>
          <w:rFonts w:hint="cs"/>
          <w:rtl/>
        </w:rPr>
        <w:t xml:space="preserve"> </w:t>
      </w:r>
      <w:r w:rsidRPr="00DC6D8A">
        <w:rPr>
          <w:rStyle w:val="af7"/>
          <w:rFonts w:eastAsia="Guttman Hodes" w:hint="cs"/>
          <w:rtl/>
        </w:rPr>
        <w:t>(ד"ה ההוא)</w:t>
      </w:r>
      <w:r>
        <w:rPr>
          <w:rFonts w:hint="cs"/>
          <w:rtl/>
        </w:rPr>
        <w:t xml:space="preserve"> דכשיש למחזיק עדים שהמערער דר בה חד יומא, ויש לו חזקת ג"ש, מעמידים את הקרקע בידו, דהא טענינן ללוקח, כדאיתא בגמ' לקמן </w:t>
      </w:r>
      <w:r w:rsidRPr="00DC6D8A">
        <w:rPr>
          <w:rStyle w:val="af7"/>
          <w:rFonts w:eastAsia="Guttman Hodes" w:hint="cs"/>
          <w:rtl/>
        </w:rPr>
        <w:t>(מא:)</w:t>
      </w:r>
      <w:r>
        <w:rPr>
          <w:rFonts w:hint="cs"/>
          <w:rtl/>
        </w:rPr>
        <w:t>.</w:t>
      </w:r>
      <w:bookmarkEnd w:id="9290"/>
    </w:p>
    <w:p w:rsidR="000E75A3" w:rsidRPr="002A7E1F" w:rsidRDefault="000E75A3" w:rsidP="000E75A3">
      <w:pPr>
        <w:pStyle w:val="a3"/>
      </w:pPr>
      <w:bookmarkStart w:id="9291" w:name="_Toc59113222"/>
      <w:bookmarkStart w:id="9292" w:name="_Toc59136935"/>
      <w:bookmarkStart w:id="9293" w:name="_Toc59361624"/>
      <w:bookmarkStart w:id="9294" w:name="_Toc59464636"/>
      <w:bookmarkStart w:id="9295" w:name="_Toc59490115"/>
      <w:bookmarkStart w:id="9296" w:name="_Toc59620278"/>
      <w:bookmarkStart w:id="9297" w:name="_Toc59643549"/>
      <w:bookmarkStart w:id="9298" w:name="_Toc59741612"/>
      <w:bookmarkStart w:id="9299" w:name="_Toc59786736"/>
      <w:bookmarkStart w:id="9300" w:name="_Toc59802550"/>
      <w:bookmarkStart w:id="9301" w:name="_Toc59916110"/>
      <w:r>
        <w:rPr>
          <w:rFonts w:hint="cs"/>
          <w:rtl/>
        </w:rPr>
        <w:t>דברי הרשב"א והריטב"א דאף שהודה המחזיק נאמן כמו כשיש עידי מר"ק דמהני חזקה וטענינן</w:t>
      </w:r>
      <w:bookmarkEnd w:id="9291"/>
      <w:bookmarkEnd w:id="9292"/>
      <w:bookmarkEnd w:id="9293"/>
      <w:bookmarkEnd w:id="9294"/>
      <w:bookmarkEnd w:id="9295"/>
      <w:bookmarkEnd w:id="9296"/>
      <w:bookmarkEnd w:id="9297"/>
      <w:bookmarkEnd w:id="9298"/>
      <w:bookmarkEnd w:id="9299"/>
      <w:bookmarkEnd w:id="9300"/>
      <w:bookmarkEnd w:id="9301"/>
    </w:p>
    <w:p w:rsidR="000E75A3" w:rsidRDefault="000E75A3" w:rsidP="007E4E81">
      <w:pPr>
        <w:pStyle w:val="a0"/>
      </w:pPr>
      <w:bookmarkStart w:id="9302" w:name="_Ref59094050"/>
      <w:r>
        <w:rPr>
          <w:rFonts w:hint="cs"/>
          <w:rtl/>
        </w:rPr>
        <w:t xml:space="preserve">וביארו </w:t>
      </w:r>
      <w:r w:rsidRPr="00660DFB">
        <w:rPr>
          <w:rStyle w:val="af9"/>
          <w:rFonts w:hint="cs"/>
          <w:rtl/>
        </w:rPr>
        <w:t>הרשב"א</w:t>
      </w:r>
      <w:r>
        <w:rPr>
          <w:rFonts w:hint="cs"/>
          <w:rtl/>
        </w:rPr>
        <w:t xml:space="preserve"> </w:t>
      </w:r>
      <w:r w:rsidRPr="000D599F">
        <w:rPr>
          <w:rStyle w:val="af9"/>
          <w:rFonts w:hint="cs"/>
          <w:rtl/>
        </w:rPr>
        <w:t>והריטב"</w:t>
      </w:r>
      <w:r w:rsidRPr="00B31086">
        <w:rPr>
          <w:rStyle w:val="af9"/>
          <w:rFonts w:hint="cs"/>
          <w:rtl/>
        </w:rPr>
        <w:t>א</w:t>
      </w:r>
      <w:r>
        <w:rPr>
          <w:rFonts w:hint="cs"/>
          <w:rtl/>
        </w:rPr>
        <w:t xml:space="preserve"> דכיון שאם הייתה הקרקע ביד המוכר לא היה יכול המערער להוציא ממנו, אף כשיש לו עדים שהייתה שלו, כיון שיש למוכר חזקת ג"ש, לכן אף כשמודה המחזיק שהייתה של המוכר, ויש לו חזקת ג"ש, והמוכר היה דר בה חד יומא,מעמידים בידו, אין המחזיק מפסיד מחמת הודאתו שהייתה של המערער, דלא עדיפא מאשר אם היו למערער עדים שהייתה שלו, דלא מהני לו העדים שהייתה שלו כשיש למחזיק חזקת ג"ש, ולכן טענינן ללוקח כל מה שהמוכר היה יכול לטעון.</w:t>
      </w:r>
      <w:bookmarkEnd w:id="9302"/>
      <w:r>
        <w:rPr>
          <w:rFonts w:hint="cs"/>
          <w:rtl/>
        </w:rPr>
        <w:t xml:space="preserve"> </w:t>
      </w:r>
      <w:bookmarkStart w:id="9303" w:name="_Toc59113224"/>
      <w:bookmarkStart w:id="9304" w:name="_Toc59136936"/>
      <w:bookmarkStart w:id="9305" w:name="_Toc59361625"/>
      <w:bookmarkStart w:id="9306" w:name="_Toc59464637"/>
      <w:bookmarkStart w:id="9307" w:name="_Toc58432799"/>
      <w:bookmarkStart w:id="9308" w:name="_Toc58580001"/>
      <w:bookmarkStart w:id="9309" w:name="_Toc58843006"/>
    </w:p>
    <w:p w:rsidR="000E75A3" w:rsidRPr="009F55B6" w:rsidRDefault="000E75A3" w:rsidP="000E75A3">
      <w:pPr>
        <w:pStyle w:val="a3"/>
      </w:pPr>
      <w:bookmarkStart w:id="9310" w:name="_Toc59490116"/>
      <w:bookmarkStart w:id="9311" w:name="_Toc59620279"/>
      <w:bookmarkStart w:id="9312" w:name="_Toc59643550"/>
      <w:bookmarkStart w:id="9313" w:name="_Toc59741613"/>
      <w:bookmarkStart w:id="9314" w:name="_Toc59786737"/>
      <w:bookmarkStart w:id="9315" w:name="_Toc59802551"/>
      <w:bookmarkStart w:id="9316" w:name="_Toc59916111"/>
      <w:r>
        <w:rPr>
          <w:rFonts w:hint="cs"/>
          <w:rtl/>
        </w:rPr>
        <w:t>דברי הריטב"א דכשאין עידי חד יומא ל"מ חזקת ג"ש</w:t>
      </w:r>
      <w:bookmarkEnd w:id="9303"/>
      <w:bookmarkEnd w:id="9304"/>
      <w:bookmarkEnd w:id="9305"/>
      <w:bookmarkEnd w:id="9306"/>
      <w:r w:rsidRPr="00D71854">
        <w:rPr>
          <w:rFonts w:hint="cs"/>
          <w:rtl/>
        </w:rPr>
        <w:t xml:space="preserve"> </w:t>
      </w:r>
      <w:r>
        <w:rPr>
          <w:rFonts w:hint="cs"/>
          <w:rtl/>
        </w:rPr>
        <w:t>כיון דהודה ולא טען קמי דידי זבנה מינך</w:t>
      </w:r>
      <w:bookmarkEnd w:id="9310"/>
      <w:bookmarkEnd w:id="9311"/>
      <w:bookmarkEnd w:id="9312"/>
      <w:bookmarkEnd w:id="9313"/>
      <w:bookmarkEnd w:id="9314"/>
      <w:bookmarkEnd w:id="9315"/>
      <w:bookmarkEnd w:id="9316"/>
    </w:p>
    <w:p w:rsidR="000E75A3" w:rsidRDefault="000E75A3" w:rsidP="007E4E81">
      <w:pPr>
        <w:pStyle w:val="a0"/>
        <w:rPr>
          <w:rtl/>
        </w:rPr>
      </w:pPr>
      <w:r>
        <w:rPr>
          <w:rFonts w:hint="cs"/>
          <w:rtl/>
        </w:rPr>
        <w:t xml:space="preserve">אך כתב </w:t>
      </w:r>
      <w:r w:rsidRPr="00B31086">
        <w:rPr>
          <w:rStyle w:val="af9"/>
          <w:rFonts w:hint="cs"/>
          <w:rtl/>
        </w:rPr>
        <w:t>הריטב"א</w:t>
      </w:r>
      <w:r>
        <w:rPr>
          <w:rFonts w:hint="cs"/>
          <w:rtl/>
        </w:rPr>
        <w:t xml:space="preserve"> דבגמ' לקמן </w:t>
      </w:r>
      <w:r w:rsidRPr="00B31086">
        <w:rPr>
          <w:rStyle w:val="af7"/>
          <w:rFonts w:eastAsia="Guttman Hodes" w:hint="cs"/>
          <w:rtl/>
        </w:rPr>
        <w:t>(מא:)</w:t>
      </w:r>
      <w:r>
        <w:rPr>
          <w:rFonts w:hint="cs"/>
          <w:rtl/>
        </w:rPr>
        <w:t xml:space="preserve"> מוכח דאם לא דר המוכר חד יומא, לא טענינן למחזיק אעפ"י שיש לו חזקת ג"ש, ואעפ"י שבגמ' לקמן היה המחזיק נאמן לומר קמי דידי זבנה מינך, במיגו דהיה טוען למערער מינך זבינתה, אבל הכא דלא טען קמי דידי זבנה מינך אינו נאמן.</w:t>
      </w:r>
    </w:p>
    <w:p w:rsidR="000E75A3" w:rsidRDefault="000E75A3" w:rsidP="000E75A3">
      <w:pPr>
        <w:pStyle w:val="a3"/>
        <w:rPr>
          <w:rtl/>
        </w:rPr>
      </w:pPr>
      <w:bookmarkStart w:id="9317" w:name="_Toc59490117"/>
      <w:bookmarkStart w:id="9318" w:name="_Toc59620280"/>
      <w:bookmarkStart w:id="9319" w:name="_Toc59643551"/>
      <w:bookmarkStart w:id="9320" w:name="_Toc59741614"/>
      <w:bookmarkStart w:id="9321" w:name="_Toc59786738"/>
      <w:bookmarkStart w:id="9322" w:name="_Toc59802552"/>
      <w:bookmarkStart w:id="9323" w:name="_Toc59916112"/>
      <w:bookmarkEnd w:id="9307"/>
      <w:bookmarkEnd w:id="9308"/>
      <w:bookmarkEnd w:id="9309"/>
      <w:r>
        <w:rPr>
          <w:rFonts w:hint="cs"/>
          <w:rtl/>
        </w:rPr>
        <w:t>דברי הרמ"ה דכשיש למחזיק חזקת ג"ש ועידי חד יומא אין מוציאין אף כשיש עדים למערער</w:t>
      </w:r>
      <w:bookmarkEnd w:id="9317"/>
      <w:bookmarkEnd w:id="9318"/>
      <w:bookmarkEnd w:id="9319"/>
      <w:bookmarkEnd w:id="9320"/>
      <w:bookmarkEnd w:id="9321"/>
      <w:bookmarkEnd w:id="9322"/>
      <w:bookmarkEnd w:id="9323"/>
    </w:p>
    <w:p w:rsidR="000E75A3" w:rsidRPr="003F6D5F" w:rsidRDefault="000E75A3" w:rsidP="007E4E81">
      <w:pPr>
        <w:pStyle w:val="a0"/>
        <w:rPr>
          <w:rStyle w:val="afb"/>
          <w:rtl/>
        </w:rPr>
      </w:pPr>
      <w:bookmarkStart w:id="9324" w:name="_Ref59352782"/>
      <w:r>
        <w:rPr>
          <w:rFonts w:hint="cs"/>
          <w:rtl/>
        </w:rPr>
        <w:t xml:space="preserve">כתב </w:t>
      </w:r>
      <w:r w:rsidRPr="00197A02">
        <w:rPr>
          <w:rStyle w:val="af9"/>
          <w:rFonts w:hint="cs"/>
          <w:rtl/>
        </w:rPr>
        <w:t>היד רמ"ה</w:t>
      </w:r>
      <w:r>
        <w:rPr>
          <w:rFonts w:hint="cs"/>
          <w:rtl/>
        </w:rPr>
        <w:t xml:space="preserve"> </w:t>
      </w:r>
      <w:r w:rsidRPr="00197A02">
        <w:rPr>
          <w:rStyle w:val="af7"/>
          <w:rFonts w:eastAsia="Guttman Hodes" w:hint="cs"/>
          <w:rtl/>
        </w:rPr>
        <w:t>(או' ל"ג ד"ה והני מילי)</w:t>
      </w:r>
      <w:r>
        <w:rPr>
          <w:rFonts w:hint="cs"/>
          <w:rtl/>
        </w:rPr>
        <w:t xml:space="preserve"> דכשיש למחזיק חזקת ג"ש, אף כשיש למערער עדים, מ"מ כל שיש למחזיק עדים דדר בה המוכר יום אחד אין מוציאין מידו, דאעפ"י דאינו טוען טענת ברי, מ"מ קיי"ל דטענינן ללוקח. </w:t>
      </w:r>
      <w:r w:rsidRPr="003F6D5F">
        <w:rPr>
          <w:rStyle w:val="afb"/>
          <w:rFonts w:hint="cs"/>
          <w:rtl/>
        </w:rPr>
        <w:t xml:space="preserve">[וכתב </w:t>
      </w:r>
      <w:r w:rsidRPr="003F6D5F">
        <w:rPr>
          <w:rStyle w:val="affa"/>
          <w:rFonts w:hint="cs"/>
          <w:rtl/>
        </w:rPr>
        <w:t>היד רמ"ה</w:t>
      </w:r>
      <w:r w:rsidRPr="003F6D5F">
        <w:rPr>
          <w:rStyle w:val="afb"/>
          <w:rFonts w:hint="cs"/>
          <w:rtl/>
        </w:rPr>
        <w:t xml:space="preserve"> דאף רבא מודה לזה, כדמוכח בגמ' לקמן דאמר רבא דאי נראה המוכר בקרקע אינה ראיה שקנאה, "דעביד איניש דסיאר ארעא ולא זבין", ומשמע שאם דר בה מודה רבא].</w:t>
      </w:r>
      <w:bookmarkEnd w:id="9324"/>
    </w:p>
    <w:p w:rsidR="000E75A3" w:rsidRDefault="000E75A3" w:rsidP="000E75A3">
      <w:pPr>
        <w:pStyle w:val="afe"/>
        <w:rPr>
          <w:rtl/>
        </w:rPr>
      </w:pPr>
      <w:bookmarkStart w:id="9325" w:name="_Toc59361632"/>
      <w:bookmarkStart w:id="9326" w:name="_Toc59490118"/>
      <w:bookmarkStart w:id="9327" w:name="_Toc59620281"/>
      <w:bookmarkStart w:id="9328" w:name="_Toc59643552"/>
      <w:bookmarkStart w:id="9329" w:name="_Toc59741615"/>
      <w:bookmarkStart w:id="9330" w:name="_Toc59786739"/>
      <w:bookmarkStart w:id="9331" w:name="_Toc59802553"/>
      <w:bookmarkStart w:id="9332" w:name="_Toc59916113"/>
      <w:bookmarkStart w:id="9333" w:name="_Toc59136928"/>
      <w:bookmarkStart w:id="9334" w:name="_Toc59361617"/>
      <w:bookmarkStart w:id="9335" w:name="_Toc59464629"/>
      <w:bookmarkStart w:id="9336" w:name="_Toc58359176"/>
      <w:bookmarkStart w:id="9337" w:name="_Toc58409437"/>
      <w:bookmarkStart w:id="9338" w:name="_Toc58432677"/>
      <w:bookmarkStart w:id="9339" w:name="_Toc58532491"/>
      <w:bookmarkStart w:id="9340" w:name="_Toc58580110"/>
      <w:bookmarkStart w:id="9341" w:name="_Toc59113233"/>
      <w:bookmarkStart w:id="9342" w:name="_Toc59136947"/>
      <w:bookmarkStart w:id="9343" w:name="_Toc59361639"/>
      <w:bookmarkStart w:id="9344" w:name="_Toc59464639"/>
      <w:bookmarkStart w:id="9345" w:name="_Toc58359163"/>
      <w:bookmarkStart w:id="9346" w:name="_Toc58409425"/>
      <w:bookmarkStart w:id="9347" w:name="_Toc58432664"/>
      <w:bookmarkStart w:id="9348" w:name="_Toc58532478"/>
      <w:bookmarkStart w:id="9349" w:name="_Toc58580097"/>
      <w:bookmarkEnd w:id="9287"/>
      <w:bookmarkEnd w:id="9288"/>
      <w:bookmarkEnd w:id="9289"/>
      <w:r>
        <w:rPr>
          <w:rFonts w:hint="cs"/>
          <w:rtl/>
        </w:rPr>
        <w:t>ד' הרשב"ם דל"מ חד יומא בלא חזקה</w:t>
      </w:r>
      <w:bookmarkEnd w:id="9325"/>
      <w:bookmarkEnd w:id="9326"/>
      <w:bookmarkEnd w:id="9327"/>
      <w:bookmarkEnd w:id="9328"/>
      <w:bookmarkEnd w:id="9329"/>
      <w:bookmarkEnd w:id="9330"/>
      <w:bookmarkEnd w:id="9331"/>
      <w:bookmarkEnd w:id="9332"/>
    </w:p>
    <w:p w:rsidR="000E75A3" w:rsidRPr="00F82A69" w:rsidRDefault="000E75A3" w:rsidP="000E75A3">
      <w:pPr>
        <w:pStyle w:val="1"/>
        <w:rPr>
          <w:rtl/>
        </w:rPr>
      </w:pPr>
      <w:bookmarkStart w:id="9350" w:name="_Toc58359162"/>
      <w:bookmarkStart w:id="9351" w:name="_Toc58409424"/>
      <w:bookmarkStart w:id="9352" w:name="_Toc58432662"/>
      <w:bookmarkStart w:id="9353" w:name="_Toc58532476"/>
      <w:bookmarkStart w:id="9354" w:name="_Toc58580095"/>
      <w:bookmarkStart w:id="9355" w:name="_Toc59113228"/>
      <w:bookmarkStart w:id="9356" w:name="_Toc59136941"/>
      <w:bookmarkStart w:id="9357" w:name="_Toc59361633"/>
      <w:bookmarkStart w:id="9358" w:name="_Toc59490119"/>
      <w:bookmarkStart w:id="9359" w:name="_Toc59620282"/>
      <w:bookmarkStart w:id="9360" w:name="_Toc59643553"/>
      <w:bookmarkStart w:id="9361" w:name="_Toc59741616"/>
      <w:bookmarkStart w:id="9362" w:name="_Toc59786740"/>
      <w:bookmarkStart w:id="9363" w:name="_Toc59802554"/>
      <w:bookmarkStart w:id="9364" w:name="_Toc59916114"/>
      <w:r>
        <w:rPr>
          <w:rFonts w:hint="cs"/>
          <w:rtl/>
        </w:rPr>
        <w:t>דברי הרשב"ם דבלי חזקה או שטר מהמערער ל"מ עידי חד יומא</w:t>
      </w:r>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p>
    <w:p w:rsidR="000E75A3" w:rsidRPr="00C3279C" w:rsidRDefault="000E75A3" w:rsidP="000E75A3">
      <w:pPr>
        <w:pStyle w:val="a3"/>
        <w:rPr>
          <w:rtl/>
        </w:rPr>
      </w:pPr>
      <w:bookmarkStart w:id="9365" w:name="_Toc59490120"/>
      <w:bookmarkStart w:id="9366" w:name="_Toc59620283"/>
      <w:bookmarkStart w:id="9367" w:name="_Toc59643554"/>
      <w:bookmarkStart w:id="9368" w:name="_Toc59741617"/>
      <w:bookmarkStart w:id="9369" w:name="_Toc59786741"/>
      <w:bookmarkStart w:id="9370" w:name="_Toc59802555"/>
      <w:bookmarkStart w:id="9371" w:name="_Toc59916115"/>
      <w:r>
        <w:rPr>
          <w:rFonts w:hint="cs"/>
          <w:rtl/>
        </w:rPr>
        <w:t>דברי הרשב"ם והרשב"א והריטב"א דעידי חד יומא לא מהני בלא חזקת ג"ש או שטר מהמערער</w:t>
      </w:r>
      <w:bookmarkEnd w:id="9365"/>
      <w:bookmarkEnd w:id="9366"/>
      <w:bookmarkEnd w:id="9367"/>
      <w:bookmarkEnd w:id="9368"/>
      <w:bookmarkEnd w:id="9369"/>
      <w:bookmarkEnd w:id="9370"/>
      <w:bookmarkEnd w:id="9371"/>
    </w:p>
    <w:p w:rsidR="000E75A3" w:rsidRDefault="000E75A3" w:rsidP="007E4E81">
      <w:pPr>
        <w:pStyle w:val="a0"/>
        <w:rPr>
          <w:rtl/>
        </w:rPr>
      </w:pPr>
      <w:bookmarkStart w:id="9372" w:name="_Ref57911397"/>
      <w:bookmarkStart w:id="9373" w:name="_Ref59700742"/>
      <w:r>
        <w:rPr>
          <w:rFonts w:hint="cs"/>
          <w:rtl/>
        </w:rPr>
        <w:t xml:space="preserve">כתב </w:t>
      </w:r>
      <w:r w:rsidRPr="006A50AA">
        <w:rPr>
          <w:rStyle w:val="af9"/>
          <w:rFonts w:hint="cs"/>
          <w:rtl/>
        </w:rPr>
        <w:t>הרשב"ם</w:t>
      </w:r>
      <w:r>
        <w:rPr>
          <w:rFonts w:hint="cs"/>
          <w:rtl/>
        </w:rPr>
        <w:t xml:space="preserve"> </w:t>
      </w:r>
      <w:r w:rsidRPr="006A50AA">
        <w:rPr>
          <w:rStyle w:val="af7"/>
          <w:rFonts w:eastAsia="Guttman Hodes" w:hint="cs"/>
          <w:rtl/>
        </w:rPr>
        <w:t>(ד"ה אמר ליה)</w:t>
      </w:r>
      <w:r>
        <w:rPr>
          <w:rFonts w:hint="cs"/>
          <w:rtl/>
        </w:rPr>
        <w:t xml:space="preserve"> דכיון דבסוגיין איירי שהמחזיק לא ישב בה ג"ש, והמחזיק אינו יודע כלל אם קנאה מהמערער, לכן אף אם יש למחזיק עדים שהמוכר החזיק בה חד יומא, אינו נאמן, כיון </w:t>
      </w:r>
      <w:r>
        <w:rPr>
          <w:rFonts w:hint="cs"/>
          <w:rtl/>
        </w:rPr>
        <w:t xml:space="preserve">שהמחזיק אין לו חזקת ג"ש, ולמוכר אין שטר מכירה מהמערער, וכ"כ </w:t>
      </w:r>
      <w:r w:rsidRPr="00660DFB">
        <w:rPr>
          <w:rStyle w:val="af9"/>
          <w:rFonts w:hint="cs"/>
          <w:rtl/>
        </w:rPr>
        <w:t>הרשב</w:t>
      </w:r>
      <w:r w:rsidRPr="0079354B">
        <w:rPr>
          <w:rStyle w:val="af9"/>
          <w:rFonts w:hint="cs"/>
          <w:rtl/>
        </w:rPr>
        <w:t>"א</w:t>
      </w:r>
      <w:r w:rsidRPr="0079354B">
        <w:rPr>
          <w:rFonts w:hint="cs"/>
          <w:rtl/>
        </w:rPr>
        <w:t xml:space="preserve"> </w:t>
      </w:r>
      <w:r w:rsidRPr="0079354B">
        <w:rPr>
          <w:rStyle w:val="af7"/>
          <w:rFonts w:eastAsia="Guttman Hodes" w:hint="cs"/>
          <w:rtl/>
        </w:rPr>
        <w:t xml:space="preserve">(עי' אות </w:t>
      </w:r>
      <w:r w:rsidRPr="0079354B">
        <w:rPr>
          <w:rStyle w:val="af7"/>
          <w:rFonts w:eastAsia="Guttman Hodes"/>
          <w:rtl/>
        </w:rPr>
        <w:fldChar w:fldCharType="begin"/>
      </w:r>
      <w:r w:rsidRPr="0079354B">
        <w:rPr>
          <w:rStyle w:val="af7"/>
          <w:rFonts w:eastAsia="Guttman Hodes"/>
          <w:rtl/>
        </w:rPr>
        <w:instrText xml:space="preserve"> </w:instrText>
      </w:r>
      <w:r w:rsidRPr="0079354B">
        <w:rPr>
          <w:rStyle w:val="af7"/>
          <w:rFonts w:eastAsia="Guttman Hodes" w:hint="cs"/>
        </w:rPr>
        <w:instrText>REF</w:instrText>
      </w:r>
      <w:r w:rsidRPr="0079354B">
        <w:rPr>
          <w:rStyle w:val="af7"/>
          <w:rFonts w:eastAsia="Guttman Hodes" w:hint="cs"/>
          <w:rtl/>
        </w:rPr>
        <w:instrText xml:space="preserve"> _</w:instrText>
      </w:r>
      <w:r w:rsidRPr="0079354B">
        <w:rPr>
          <w:rStyle w:val="af7"/>
          <w:rFonts w:eastAsia="Guttman Hodes" w:hint="cs"/>
        </w:rPr>
        <w:instrText>Ref59177712 \r \h</w:instrText>
      </w:r>
      <w:r w:rsidRPr="0079354B">
        <w:rPr>
          <w:rStyle w:val="af7"/>
          <w:rFonts w:eastAsia="Guttman Hodes"/>
          <w:rtl/>
        </w:rPr>
        <w:instrText xml:space="preserve">  \* </w:instrText>
      </w:r>
      <w:r w:rsidRPr="0079354B">
        <w:rPr>
          <w:rStyle w:val="af7"/>
          <w:rFonts w:eastAsia="Guttman Hodes"/>
        </w:rPr>
        <w:instrText>MERGEFORMAT</w:instrText>
      </w:r>
      <w:r w:rsidRPr="0079354B">
        <w:rPr>
          <w:rStyle w:val="af7"/>
          <w:rFonts w:eastAsia="Guttman Hodes"/>
          <w:rtl/>
        </w:rPr>
        <w:instrText xml:space="preserve"> </w:instrText>
      </w:r>
      <w:r w:rsidRPr="0079354B">
        <w:rPr>
          <w:rStyle w:val="af7"/>
          <w:rFonts w:eastAsia="Guttman Hodes"/>
          <w:rtl/>
        </w:rPr>
      </w:r>
      <w:r w:rsidRPr="0079354B">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79354B">
        <w:rPr>
          <w:rStyle w:val="af7"/>
          <w:rFonts w:eastAsia="Guttman Hodes"/>
          <w:rtl/>
        </w:rPr>
        <w:fldChar w:fldCharType="end"/>
      </w:r>
      <w:r>
        <w:rPr>
          <w:rFonts w:hint="cs"/>
          <w:rtl/>
        </w:rPr>
        <w:t xml:space="preserve"> </w:t>
      </w:r>
      <w:r w:rsidRPr="0079354B">
        <w:rPr>
          <w:rStyle w:val="af9"/>
          <w:rFonts w:hint="cs"/>
          <w:rtl/>
        </w:rPr>
        <w:t>והריטב</w:t>
      </w:r>
      <w:r w:rsidRPr="003C5BFB">
        <w:rPr>
          <w:rStyle w:val="af9"/>
          <w:rFonts w:hint="cs"/>
          <w:rtl/>
        </w:rPr>
        <w:t>"א</w:t>
      </w:r>
      <w:r w:rsidRPr="003C5BFB">
        <w:rPr>
          <w:rFonts w:hint="cs"/>
          <w:rtl/>
        </w:rPr>
        <w:t xml:space="preserve"> </w:t>
      </w:r>
      <w:r w:rsidRPr="0079354B">
        <w:rPr>
          <w:rStyle w:val="af7"/>
          <w:rFonts w:eastAsia="Guttman Hodes" w:hint="cs"/>
          <w:rtl/>
        </w:rPr>
        <w:t xml:space="preserve">(עי' אות </w:t>
      </w:r>
      <w:r w:rsidRPr="0079354B">
        <w:rPr>
          <w:rStyle w:val="af7"/>
          <w:rFonts w:eastAsia="Guttman Hodes"/>
          <w:rtl/>
        </w:rPr>
        <w:fldChar w:fldCharType="begin"/>
      </w:r>
      <w:r w:rsidRPr="0079354B">
        <w:rPr>
          <w:rStyle w:val="af7"/>
          <w:rFonts w:eastAsia="Guttman Hodes"/>
          <w:rtl/>
        </w:rPr>
        <w:instrText xml:space="preserve"> </w:instrText>
      </w:r>
      <w:r w:rsidRPr="0079354B">
        <w:rPr>
          <w:rStyle w:val="af7"/>
          <w:rFonts w:eastAsia="Guttman Hodes" w:hint="cs"/>
        </w:rPr>
        <w:instrText>REF</w:instrText>
      </w:r>
      <w:r w:rsidRPr="0079354B">
        <w:rPr>
          <w:rStyle w:val="af7"/>
          <w:rFonts w:eastAsia="Guttman Hodes" w:hint="cs"/>
          <w:rtl/>
        </w:rPr>
        <w:instrText xml:space="preserve"> _</w:instrText>
      </w:r>
      <w:r w:rsidRPr="0079354B">
        <w:rPr>
          <w:rStyle w:val="af7"/>
          <w:rFonts w:eastAsia="Guttman Hodes" w:hint="cs"/>
        </w:rPr>
        <w:instrText>Ref59177693 \r \h</w:instrText>
      </w:r>
      <w:r w:rsidRPr="0079354B">
        <w:rPr>
          <w:rStyle w:val="af7"/>
          <w:rFonts w:eastAsia="Guttman Hodes"/>
          <w:rtl/>
        </w:rPr>
        <w:instrText xml:space="preserve"> </w:instrText>
      </w:r>
      <w:r w:rsidRPr="0079354B">
        <w:rPr>
          <w:rStyle w:val="af7"/>
          <w:rFonts w:eastAsia="Guttman Hodes"/>
          <w:rtl/>
        </w:rPr>
      </w:r>
      <w:r w:rsidRPr="0079354B">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79354B">
        <w:rPr>
          <w:rStyle w:val="af7"/>
          <w:rFonts w:eastAsia="Guttman Hodes"/>
          <w:rtl/>
        </w:rPr>
        <w:fldChar w:fldCharType="end"/>
      </w:r>
      <w:r>
        <w:rPr>
          <w:rFonts w:hint="cs"/>
          <w:rtl/>
        </w:rPr>
        <w:t xml:space="preserve">, ועי' במה שביארו </w:t>
      </w:r>
      <w:r w:rsidRPr="00AD2CFE">
        <w:rPr>
          <w:rStyle w:val="af9"/>
          <w:rFonts w:hint="cs"/>
          <w:rtl/>
        </w:rPr>
        <w:t>הרמב"ן</w:t>
      </w:r>
      <w:r>
        <w:rPr>
          <w:rFonts w:hint="cs"/>
          <w:rtl/>
        </w:rPr>
        <w:t xml:space="preserve"> </w:t>
      </w:r>
      <w:r>
        <w:rPr>
          <w:rStyle w:val="af9"/>
          <w:rFonts w:hint="cs"/>
          <w:rtl/>
        </w:rPr>
        <w:t>ו</w:t>
      </w:r>
      <w:r w:rsidRPr="00660DFB">
        <w:rPr>
          <w:rStyle w:val="af9"/>
          <w:rFonts w:hint="cs"/>
          <w:rtl/>
        </w:rPr>
        <w:t>הרשב"א</w:t>
      </w:r>
      <w:r>
        <w:rPr>
          <w:rFonts w:hint="cs"/>
          <w:rtl/>
        </w:rPr>
        <w:t xml:space="preserve"> </w:t>
      </w:r>
      <w:r w:rsidRPr="00AD2CFE">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Ref58428729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AD2CFE">
        <w:rPr>
          <w:rStyle w:val="af9"/>
          <w:rFonts w:hint="cs"/>
          <w:rtl/>
        </w:rPr>
        <w:t>הרשב"ם</w:t>
      </w:r>
      <w:r>
        <w:rPr>
          <w:rFonts w:hint="cs"/>
          <w:rtl/>
        </w:rPr>
        <w:t xml:space="preserve">, ובמ"ש </w:t>
      </w:r>
      <w:r w:rsidRPr="007A198C">
        <w:rPr>
          <w:rStyle w:val="af9"/>
          <w:rFonts w:hint="cs"/>
          <w:rtl/>
        </w:rPr>
        <w:t>הדרישה</w:t>
      </w:r>
      <w:r>
        <w:rPr>
          <w:rFonts w:hint="cs"/>
          <w:rtl/>
        </w:rPr>
        <w:t xml:space="preserve"> </w:t>
      </w:r>
      <w:r>
        <w:rPr>
          <w:rStyle w:val="af9"/>
          <w:rFonts w:hint="cs"/>
          <w:rtl/>
        </w:rPr>
        <w:t>ו</w:t>
      </w:r>
      <w:r w:rsidRPr="00A16FA8">
        <w:rPr>
          <w:rStyle w:val="af9"/>
          <w:rFonts w:hint="cs"/>
          <w:rtl/>
        </w:rPr>
        <w:t>הבית הלוי</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Ref59700825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Pr>
          <w:rStyle w:val="af7"/>
          <w:rFonts w:eastAsia="Guttman Hodes"/>
          <w:rtl/>
        </w:rPr>
        <w:fldChar w:fldCharType="end"/>
      </w:r>
      <w:r w:rsidRPr="00F71994">
        <w:rPr>
          <w:rStyle w:val="af7"/>
          <w:rFonts w:eastAsia="Guttman Hodes" w:hint="cs"/>
          <w:rtl/>
        </w:rPr>
        <w:t xml:space="preserve"> </w:t>
      </w:r>
      <w:r>
        <w:rPr>
          <w:rStyle w:val="af9"/>
          <w:rFonts w:hint="cs"/>
          <w:rtl/>
        </w:rPr>
        <w:t>ו</w:t>
      </w:r>
      <w:r w:rsidRPr="00215AFB">
        <w:rPr>
          <w:rStyle w:val="af9"/>
          <w:rFonts w:hint="cs"/>
          <w:rtl/>
        </w:rPr>
        <w:t>בחי'</w:t>
      </w:r>
      <w:r w:rsidRPr="00215AFB">
        <w:rPr>
          <w:rFonts w:hint="cs"/>
          <w:rtl/>
        </w:rPr>
        <w:t xml:space="preserve"> </w:t>
      </w:r>
      <w:r w:rsidRPr="00215AFB">
        <w:rPr>
          <w:rStyle w:val="af9"/>
          <w:rFonts w:hint="cs"/>
          <w:rtl/>
        </w:rPr>
        <w:t>רבי</w:t>
      </w:r>
      <w:r w:rsidRPr="00215AFB">
        <w:rPr>
          <w:rFonts w:hint="cs"/>
          <w:rtl/>
        </w:rPr>
        <w:t xml:space="preserve"> </w:t>
      </w:r>
      <w:r w:rsidRPr="00215AFB">
        <w:rPr>
          <w:rStyle w:val="af9"/>
          <w:rFonts w:hint="cs"/>
          <w:rtl/>
        </w:rPr>
        <w:t>נחום</w:t>
      </w:r>
      <w:r>
        <w:rPr>
          <w:rStyle w:val="af9"/>
          <w:rFonts w:hint="cs"/>
          <w:rtl/>
        </w:rPr>
        <w:t xml:space="preserve"> </w:t>
      </w:r>
      <w:r w:rsidRPr="00724D8C">
        <w:rPr>
          <w:rStyle w:val="af7"/>
          <w:rFonts w:eastAsia="Guttman Hodes" w:hint="cs"/>
          <w:rtl/>
        </w:rPr>
        <w:t xml:space="preserve">(עי' אות </w:t>
      </w:r>
      <w:r w:rsidRPr="00724D8C">
        <w:rPr>
          <w:rStyle w:val="af7"/>
          <w:rFonts w:eastAsia="Guttman Hodes"/>
          <w:rtl/>
        </w:rPr>
        <w:fldChar w:fldCharType="begin"/>
      </w:r>
      <w:r w:rsidRPr="00724D8C">
        <w:rPr>
          <w:rStyle w:val="af7"/>
          <w:rFonts w:eastAsia="Guttman Hodes"/>
          <w:rtl/>
        </w:rPr>
        <w:instrText xml:space="preserve"> </w:instrText>
      </w:r>
      <w:r w:rsidRPr="00724D8C">
        <w:rPr>
          <w:rStyle w:val="af7"/>
          <w:rFonts w:eastAsia="Guttman Hodes" w:hint="cs"/>
        </w:rPr>
        <w:instrText>REF</w:instrText>
      </w:r>
      <w:r w:rsidRPr="00724D8C">
        <w:rPr>
          <w:rStyle w:val="af7"/>
          <w:rFonts w:eastAsia="Guttman Hodes" w:hint="cs"/>
          <w:rtl/>
        </w:rPr>
        <w:instrText xml:space="preserve"> _</w:instrText>
      </w:r>
      <w:r w:rsidRPr="00724D8C">
        <w:rPr>
          <w:rStyle w:val="af7"/>
          <w:rFonts w:eastAsia="Guttman Hodes" w:hint="cs"/>
        </w:rPr>
        <w:instrText>Ref59653474 \r \h</w:instrText>
      </w:r>
      <w:r w:rsidRPr="00724D8C">
        <w:rPr>
          <w:rStyle w:val="af7"/>
          <w:rFonts w:eastAsia="Guttman Hodes"/>
          <w:rtl/>
        </w:rPr>
        <w:instrText xml:space="preserve"> </w:instrText>
      </w:r>
      <w:r w:rsidRPr="00724D8C">
        <w:rPr>
          <w:rStyle w:val="af7"/>
          <w:rFonts w:eastAsia="Guttman Hodes"/>
          <w:rtl/>
        </w:rPr>
      </w:r>
      <w:r w:rsidRPr="00724D8C">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sidRPr="00724D8C">
        <w:rPr>
          <w:rStyle w:val="af7"/>
          <w:rFonts w:eastAsia="Guttman Hodes"/>
          <w:rtl/>
        </w:rPr>
        <w:fldChar w:fldCharType="end"/>
      </w:r>
      <w:r w:rsidRPr="00215AFB">
        <w:rPr>
          <w:rFonts w:hint="cs"/>
          <w:rtl/>
        </w:rPr>
        <w:t xml:space="preserve"> </w:t>
      </w:r>
      <w:r>
        <w:rPr>
          <w:rStyle w:val="af9"/>
          <w:rFonts w:hint="cs"/>
          <w:rtl/>
        </w:rPr>
        <w:t>ו</w:t>
      </w:r>
      <w:r w:rsidRPr="00D55698">
        <w:rPr>
          <w:rStyle w:val="af9"/>
          <w:rFonts w:hint="cs"/>
          <w:rtl/>
        </w:rPr>
        <w:t>בחי' רבי ראובן</w:t>
      </w:r>
      <w:r>
        <w:rPr>
          <w:rFonts w:hint="cs"/>
          <w:rtl/>
        </w:rPr>
        <w:t xml:space="preserve"> </w:t>
      </w:r>
      <w:r>
        <w:rPr>
          <w:rStyle w:val="af7"/>
          <w:rFonts w:eastAsia="Guttman Hodes" w:hint="cs"/>
          <w:rtl/>
        </w:rPr>
        <w:t>(</w:t>
      </w:r>
      <w:r w:rsidRPr="00724D8C">
        <w:rPr>
          <w:rStyle w:val="af7"/>
          <w:rFonts w:eastAsia="Guttman Hodes" w:hint="cs"/>
          <w:rtl/>
        </w:rPr>
        <w:t xml:space="preserve">עי' אות </w:t>
      </w:r>
      <w:bookmarkEnd w:id="9372"/>
      <w:r w:rsidRPr="00724D8C">
        <w:rPr>
          <w:rStyle w:val="af7"/>
          <w:rFonts w:eastAsia="Guttman Hodes"/>
          <w:rtl/>
        </w:rPr>
        <w:fldChar w:fldCharType="begin"/>
      </w:r>
      <w:r w:rsidRPr="00724D8C">
        <w:rPr>
          <w:rStyle w:val="af7"/>
          <w:rFonts w:eastAsia="Guttman Hodes"/>
          <w:rtl/>
        </w:rPr>
        <w:instrText xml:space="preserve"> </w:instrText>
      </w:r>
      <w:r w:rsidRPr="00724D8C">
        <w:rPr>
          <w:rStyle w:val="af7"/>
          <w:rFonts w:eastAsia="Guttman Hodes" w:hint="cs"/>
        </w:rPr>
        <w:instrText>REF</w:instrText>
      </w:r>
      <w:r w:rsidRPr="00724D8C">
        <w:rPr>
          <w:rStyle w:val="af7"/>
          <w:rFonts w:eastAsia="Guttman Hodes" w:hint="cs"/>
          <w:rtl/>
        </w:rPr>
        <w:instrText xml:space="preserve"> _</w:instrText>
      </w:r>
      <w:r w:rsidRPr="00724D8C">
        <w:rPr>
          <w:rStyle w:val="af7"/>
          <w:rFonts w:eastAsia="Guttman Hodes" w:hint="cs"/>
        </w:rPr>
        <w:instrText>Ref59654568 \r \h</w:instrText>
      </w:r>
      <w:r w:rsidRPr="00724D8C">
        <w:rPr>
          <w:rStyle w:val="af7"/>
          <w:rFonts w:eastAsia="Guttman Hodes"/>
          <w:rtl/>
        </w:rPr>
        <w:instrText xml:space="preserve"> </w:instrText>
      </w:r>
      <w:r w:rsidRPr="00724D8C">
        <w:rPr>
          <w:rStyle w:val="af7"/>
          <w:rFonts w:eastAsia="Guttman Hodes"/>
          <w:rtl/>
        </w:rPr>
      </w:r>
      <w:r w:rsidRPr="00724D8C">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724D8C">
        <w:rPr>
          <w:rStyle w:val="af7"/>
          <w:rFonts w:eastAsia="Guttman Hodes"/>
          <w:rtl/>
        </w:rPr>
        <w:fldChar w:fldCharType="end"/>
      </w:r>
      <w:r w:rsidRPr="006725F0">
        <w:rPr>
          <w:rFonts w:hint="cs"/>
          <w:rtl/>
        </w:rPr>
        <w:t xml:space="preserve"> </w:t>
      </w:r>
      <w:r>
        <w:rPr>
          <w:rFonts w:hint="cs"/>
          <w:rtl/>
        </w:rPr>
        <w:t xml:space="preserve">בדעת </w:t>
      </w:r>
      <w:r w:rsidRPr="007A198C">
        <w:rPr>
          <w:rStyle w:val="af9"/>
          <w:rFonts w:hint="cs"/>
          <w:rtl/>
        </w:rPr>
        <w:t>הרשב"ם</w:t>
      </w:r>
      <w:r w:rsidRPr="00CB0626">
        <w:rPr>
          <w:rFonts w:hint="cs"/>
          <w:rtl/>
        </w:rPr>
        <w:t>.</w:t>
      </w:r>
      <w:bookmarkEnd w:id="9373"/>
      <w:r>
        <w:rPr>
          <w:rFonts w:hint="cs"/>
          <w:rtl/>
        </w:rPr>
        <w:t xml:space="preserve"> </w:t>
      </w:r>
    </w:p>
    <w:p w:rsidR="000E75A3" w:rsidRDefault="000E75A3" w:rsidP="000E75A3">
      <w:pPr>
        <w:pStyle w:val="1"/>
        <w:rPr>
          <w:rtl/>
        </w:rPr>
      </w:pPr>
      <w:bookmarkStart w:id="9374" w:name="_Toc57925945"/>
      <w:bookmarkStart w:id="9375" w:name="_Toc58091636"/>
      <w:bookmarkStart w:id="9376" w:name="_Toc58144911"/>
      <w:bookmarkStart w:id="9377" w:name="_Toc58272597"/>
      <w:bookmarkStart w:id="9378" w:name="_Toc58325028"/>
      <w:bookmarkStart w:id="9379" w:name="_Toc58359165"/>
      <w:bookmarkStart w:id="9380" w:name="_Toc58409427"/>
      <w:bookmarkStart w:id="9381" w:name="_Toc58432663"/>
      <w:bookmarkStart w:id="9382" w:name="_Toc58532477"/>
      <w:bookmarkStart w:id="9383" w:name="_Toc58580096"/>
      <w:bookmarkStart w:id="9384" w:name="_Toc59113229"/>
      <w:bookmarkStart w:id="9385" w:name="_Toc59136942"/>
      <w:bookmarkStart w:id="9386" w:name="_Toc59361634"/>
      <w:bookmarkStart w:id="9387" w:name="_Toc59490121"/>
      <w:bookmarkStart w:id="9388" w:name="_Toc59620284"/>
      <w:bookmarkStart w:id="9389" w:name="_Toc59643555"/>
      <w:bookmarkStart w:id="9390" w:name="_Toc59741618"/>
      <w:bookmarkStart w:id="9391" w:name="_Toc59786742"/>
      <w:bookmarkStart w:id="9392" w:name="_Toc59802556"/>
      <w:bookmarkStart w:id="9393" w:name="_Toc59916116"/>
      <w:r>
        <w:rPr>
          <w:rFonts w:hint="cs"/>
          <w:rtl/>
        </w:rPr>
        <w:t>ביאור הרמב"ן ברשב"ם</w:t>
      </w:r>
      <w:bookmarkEnd w:id="9374"/>
      <w:bookmarkEnd w:id="9375"/>
      <w:bookmarkEnd w:id="9376"/>
      <w:bookmarkEnd w:id="9377"/>
      <w:bookmarkEnd w:id="9378"/>
      <w:bookmarkEnd w:id="9379"/>
      <w:bookmarkEnd w:id="9380"/>
      <w:bookmarkEnd w:id="9381"/>
      <w:bookmarkEnd w:id="9382"/>
      <w:bookmarkEnd w:id="9383"/>
      <w:r>
        <w:rPr>
          <w:rFonts w:hint="cs"/>
          <w:rtl/>
        </w:rPr>
        <w:t xml:space="preserve"> דבלא חזקה לא טענינן כיון שהודה</w:t>
      </w:r>
      <w:bookmarkEnd w:id="9384"/>
      <w:bookmarkEnd w:id="9385"/>
      <w:bookmarkEnd w:id="9386"/>
      <w:bookmarkEnd w:id="9387"/>
      <w:bookmarkEnd w:id="9388"/>
      <w:bookmarkEnd w:id="9389"/>
      <w:bookmarkEnd w:id="9390"/>
      <w:bookmarkEnd w:id="9391"/>
      <w:bookmarkEnd w:id="9392"/>
      <w:bookmarkEnd w:id="9393"/>
    </w:p>
    <w:p w:rsidR="000E75A3" w:rsidRPr="00391101" w:rsidRDefault="000E75A3" w:rsidP="000E75A3">
      <w:pPr>
        <w:pStyle w:val="a3"/>
        <w:rPr>
          <w:rtl/>
        </w:rPr>
      </w:pPr>
      <w:bookmarkStart w:id="9394" w:name="_Toc59490122"/>
      <w:bookmarkStart w:id="9395" w:name="_Toc59620285"/>
      <w:bookmarkStart w:id="9396" w:name="_Toc59643556"/>
      <w:bookmarkStart w:id="9397" w:name="_Toc59741619"/>
      <w:bookmarkStart w:id="9398" w:name="_Toc59786743"/>
      <w:bookmarkStart w:id="9399" w:name="_Toc59802557"/>
      <w:bookmarkStart w:id="9400" w:name="_Toc59916117"/>
      <w:r>
        <w:rPr>
          <w:rFonts w:hint="cs"/>
          <w:rtl/>
        </w:rPr>
        <w:t>קושית הרמב"ן על הרשב"ם דבעידי חד יומא טענינן אף בלא חזקה כיון דהמוכר היה נאמן במיגו</w:t>
      </w:r>
      <w:bookmarkEnd w:id="9394"/>
      <w:bookmarkEnd w:id="9395"/>
      <w:bookmarkEnd w:id="9396"/>
      <w:bookmarkEnd w:id="9397"/>
      <w:bookmarkEnd w:id="9398"/>
      <w:bookmarkEnd w:id="9399"/>
      <w:bookmarkEnd w:id="9400"/>
    </w:p>
    <w:p w:rsidR="000E75A3" w:rsidRDefault="000E75A3" w:rsidP="007E4E81">
      <w:pPr>
        <w:pStyle w:val="a0"/>
        <w:rPr>
          <w:rtl/>
        </w:rPr>
      </w:pPr>
      <w:bookmarkStart w:id="9401" w:name="_Ref57910610"/>
      <w:bookmarkStart w:id="9402" w:name="_Ref58762398"/>
      <w:r>
        <w:rPr>
          <w:rFonts w:hint="cs"/>
          <w:rtl/>
        </w:rPr>
        <w:t xml:space="preserve">והקשה </w:t>
      </w:r>
      <w:r w:rsidRPr="00CE2165">
        <w:rPr>
          <w:rStyle w:val="af9"/>
          <w:rFonts w:hint="cs"/>
          <w:rtl/>
        </w:rPr>
        <w:t>הרמב"ן</w:t>
      </w:r>
      <w:r>
        <w:rPr>
          <w:rFonts w:hint="cs"/>
          <w:rtl/>
        </w:rPr>
        <w:t xml:space="preserve"> </w:t>
      </w:r>
      <w:r w:rsidRPr="00D80E0D">
        <w:rPr>
          <w:rStyle w:val="af7"/>
          <w:rFonts w:eastAsia="Guttman Hodes" w:hint="cs"/>
          <w:rtl/>
        </w:rPr>
        <w:t>(ד"ה והוי)</w:t>
      </w:r>
      <w:r>
        <w:rPr>
          <w:rFonts w:hint="cs"/>
          <w:rtl/>
        </w:rPr>
        <w:t xml:space="preserve"> על </w:t>
      </w:r>
      <w:r w:rsidRPr="00D80E0D">
        <w:rPr>
          <w:rStyle w:val="af9"/>
          <w:rFonts w:hint="cs"/>
          <w:rtl/>
        </w:rPr>
        <w:t>הרשב"ם</w:t>
      </w:r>
      <w:r>
        <w:rPr>
          <w:rFonts w:hint="cs"/>
          <w:rtl/>
        </w:rPr>
        <w:t xml:space="preserve"> </w:t>
      </w:r>
      <w:r w:rsidRPr="00D80E0D">
        <w:rPr>
          <w:rStyle w:val="af7"/>
          <w:rFonts w:eastAsia="Guttman Hodes" w:hint="cs"/>
          <w:rtl/>
        </w:rPr>
        <w:t xml:space="preserve">(עי' אות </w:t>
      </w:r>
      <w:r w:rsidRPr="00D80E0D">
        <w:rPr>
          <w:rStyle w:val="af7"/>
          <w:rFonts w:eastAsia="Guttman Hodes"/>
          <w:rtl/>
        </w:rPr>
        <w:fldChar w:fldCharType="begin"/>
      </w:r>
      <w:r w:rsidRPr="00D80E0D">
        <w:rPr>
          <w:rStyle w:val="af7"/>
          <w:rFonts w:eastAsia="Guttman Hodes"/>
          <w:rtl/>
        </w:rPr>
        <w:instrText xml:space="preserve"> </w:instrText>
      </w:r>
      <w:r w:rsidRPr="00D80E0D">
        <w:rPr>
          <w:rStyle w:val="af7"/>
          <w:rFonts w:eastAsia="Guttman Hodes" w:hint="cs"/>
        </w:rPr>
        <w:instrText>REF</w:instrText>
      </w:r>
      <w:r w:rsidRPr="00D80E0D">
        <w:rPr>
          <w:rStyle w:val="af7"/>
          <w:rFonts w:eastAsia="Guttman Hodes" w:hint="cs"/>
          <w:rtl/>
        </w:rPr>
        <w:instrText xml:space="preserve"> _</w:instrText>
      </w:r>
      <w:r w:rsidRPr="00D80E0D">
        <w:rPr>
          <w:rStyle w:val="af7"/>
          <w:rFonts w:eastAsia="Guttman Hodes" w:hint="cs"/>
        </w:rPr>
        <w:instrText>Ref57911397 \r \h</w:instrText>
      </w:r>
      <w:r w:rsidRPr="00D80E0D">
        <w:rPr>
          <w:rStyle w:val="af7"/>
          <w:rFonts w:eastAsia="Guttman Hodes"/>
          <w:rtl/>
        </w:rPr>
        <w:instrText xml:space="preserve"> </w:instrText>
      </w:r>
      <w:r w:rsidRPr="00D80E0D">
        <w:rPr>
          <w:rStyle w:val="af7"/>
          <w:rFonts w:eastAsia="Guttman Hodes"/>
          <w:rtl/>
        </w:rPr>
      </w:r>
      <w:r w:rsidRPr="00D80E0D">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D80E0D">
        <w:rPr>
          <w:rStyle w:val="af7"/>
          <w:rFonts w:eastAsia="Guttman Hodes"/>
          <w:rtl/>
        </w:rPr>
        <w:fldChar w:fldCharType="end"/>
      </w:r>
      <w:r>
        <w:rPr>
          <w:rFonts w:hint="cs"/>
          <w:rtl/>
        </w:rPr>
        <w:t xml:space="preserve"> דאמאי אין המחזיק נאמן כשאין לו חזקת ג"ש, ויש לו עדים שהמוכר החזיק בה חד יומא, דהרי טענינן ללוקח וליורש כל מה שהיה יכול לטעון מי שהיה לפניו, </w:t>
      </w:r>
      <w:r w:rsidRPr="008032BE">
        <w:rPr>
          <w:rStyle w:val="afb"/>
          <w:rFonts w:hint="cs"/>
          <w:rtl/>
        </w:rPr>
        <w:t>[והמוכר היה יכול לטעון למערער מינך זבינתה],</w:t>
      </w:r>
      <w:r>
        <w:rPr>
          <w:rFonts w:hint="cs"/>
          <w:rtl/>
        </w:rPr>
        <w:t xml:space="preserve"> אלא שהמחזיק צריך להביא ראיה שהמוכר דר בה חד יומא, כדאיתא בגמ' לקמן </w:t>
      </w:r>
      <w:r w:rsidRPr="00D80E0D">
        <w:rPr>
          <w:rStyle w:val="af7"/>
          <w:rFonts w:eastAsia="Guttman Hodes" w:hint="cs"/>
          <w:rtl/>
        </w:rPr>
        <w:t>(מא:)</w:t>
      </w:r>
      <w:r>
        <w:rPr>
          <w:rFonts w:hint="cs"/>
          <w:rtl/>
        </w:rPr>
        <w:t>.</w:t>
      </w:r>
      <w:bookmarkEnd w:id="9401"/>
      <w:r w:rsidRPr="00244049">
        <w:rPr>
          <w:rStyle w:val="afb"/>
          <w:rFonts w:hint="cs"/>
          <w:rtl/>
        </w:rPr>
        <w:t xml:space="preserve"> [ועי"ז חשיב כלוקח דטענינן ליה, כדכתב </w:t>
      </w:r>
      <w:r w:rsidRPr="00244049">
        <w:rPr>
          <w:rStyle w:val="affa"/>
          <w:rFonts w:hint="cs"/>
          <w:rtl/>
        </w:rPr>
        <w:t>הרמב"ן</w:t>
      </w:r>
      <w:r w:rsidRPr="00244049">
        <w:rPr>
          <w:rStyle w:val="afb"/>
          <w:rFonts w:hint="cs"/>
          <w:rtl/>
        </w:rPr>
        <w:t xml:space="preserve"> </w:t>
      </w:r>
      <w:r w:rsidRPr="00244049">
        <w:rPr>
          <w:rStyle w:val="aff6"/>
          <w:rFonts w:hint="cs"/>
          <w:rtl/>
        </w:rPr>
        <w:t xml:space="preserve">(עי' אות </w:t>
      </w:r>
      <w:r w:rsidRPr="00244049">
        <w:rPr>
          <w:rStyle w:val="aff6"/>
          <w:rtl/>
        </w:rPr>
        <w:fldChar w:fldCharType="begin"/>
      </w:r>
      <w:r w:rsidRPr="00244049">
        <w:rPr>
          <w:rStyle w:val="aff6"/>
          <w:rtl/>
        </w:rPr>
        <w:instrText xml:space="preserve"> </w:instrText>
      </w:r>
      <w:r w:rsidRPr="00244049">
        <w:rPr>
          <w:rStyle w:val="aff6"/>
          <w:rFonts w:hint="cs"/>
        </w:rPr>
        <w:instrText>REF</w:instrText>
      </w:r>
      <w:r w:rsidRPr="00244049">
        <w:rPr>
          <w:rStyle w:val="aff6"/>
          <w:rFonts w:hint="cs"/>
          <w:rtl/>
        </w:rPr>
        <w:instrText xml:space="preserve"> _</w:instrText>
      </w:r>
      <w:r w:rsidRPr="00244049">
        <w:rPr>
          <w:rStyle w:val="aff6"/>
          <w:rFonts w:hint="cs"/>
        </w:rPr>
        <w:instrText>Ref58428245 \r \h</w:instrText>
      </w:r>
      <w:r w:rsidRPr="00244049">
        <w:rPr>
          <w:rStyle w:val="aff6"/>
          <w:rtl/>
        </w:rPr>
        <w:instrText xml:space="preserve"> </w:instrText>
      </w:r>
      <w:r w:rsidRPr="00244049">
        <w:rPr>
          <w:rStyle w:val="aff6"/>
          <w:rtl/>
        </w:rPr>
      </w:r>
      <w:r w:rsidRPr="00244049">
        <w:rPr>
          <w:rStyle w:val="aff6"/>
          <w:rtl/>
        </w:rPr>
        <w:fldChar w:fldCharType="separate"/>
      </w:r>
      <w:r w:rsidR="00265073">
        <w:rPr>
          <w:rStyle w:val="aff6"/>
          <w:cs/>
        </w:rPr>
        <w:t>‎</w:t>
      </w:r>
      <w:r w:rsidR="00265073">
        <w:rPr>
          <w:rStyle w:val="aff6"/>
          <w:rtl/>
        </w:rPr>
        <w:t>לו)</w:t>
      </w:r>
      <w:r w:rsidRPr="00244049">
        <w:rPr>
          <w:rStyle w:val="aff6"/>
          <w:rtl/>
        </w:rPr>
        <w:fldChar w:fldCharType="end"/>
      </w:r>
      <w:r w:rsidRPr="00244049">
        <w:rPr>
          <w:rStyle w:val="afb"/>
          <w:rFonts w:hint="cs"/>
          <w:rtl/>
        </w:rPr>
        <w:t>]</w:t>
      </w:r>
      <w:r>
        <w:rPr>
          <w:rStyle w:val="afb"/>
          <w:rFonts w:hint="cs"/>
          <w:rtl/>
        </w:rPr>
        <w:t>.</w:t>
      </w:r>
      <w:bookmarkEnd w:id="9402"/>
    </w:p>
    <w:p w:rsidR="000E75A3" w:rsidRPr="008032BE" w:rsidRDefault="000E75A3" w:rsidP="000E75A3">
      <w:pPr>
        <w:pStyle w:val="a3"/>
        <w:rPr>
          <w:rtl/>
        </w:rPr>
      </w:pPr>
      <w:bookmarkStart w:id="9403" w:name="_Toc59490123"/>
      <w:bookmarkStart w:id="9404" w:name="_Toc59620286"/>
      <w:bookmarkStart w:id="9405" w:name="_Toc59643557"/>
      <w:bookmarkStart w:id="9406" w:name="_Toc59741620"/>
      <w:bookmarkStart w:id="9407" w:name="_Toc59786744"/>
      <w:bookmarkStart w:id="9408" w:name="_Toc59802558"/>
      <w:bookmarkStart w:id="9409" w:name="_Toc59916118"/>
      <w:r>
        <w:rPr>
          <w:rFonts w:hint="cs"/>
          <w:rtl/>
        </w:rPr>
        <w:t>ביאור הרמב"ן והרשב"א ברשב"ם דדין טענינן הוא כשאחר הטענה א"צ להכחיש את המערער</w:t>
      </w:r>
      <w:bookmarkEnd w:id="9403"/>
      <w:bookmarkEnd w:id="9404"/>
      <w:bookmarkEnd w:id="9405"/>
      <w:bookmarkEnd w:id="9406"/>
      <w:bookmarkEnd w:id="9407"/>
      <w:bookmarkEnd w:id="9408"/>
      <w:bookmarkEnd w:id="9409"/>
    </w:p>
    <w:p w:rsidR="000E75A3" w:rsidRDefault="000E75A3" w:rsidP="007E4E81">
      <w:pPr>
        <w:pStyle w:val="a0"/>
        <w:rPr>
          <w:sz w:val="10"/>
          <w:szCs w:val="14"/>
          <w:rtl/>
        </w:rPr>
      </w:pPr>
      <w:bookmarkStart w:id="9410" w:name="_Ref58428729"/>
      <w:r>
        <w:rPr>
          <w:rFonts w:hint="cs"/>
          <w:rtl/>
        </w:rPr>
        <w:t xml:space="preserve">וביארו </w:t>
      </w:r>
      <w:r w:rsidRPr="00CE2165">
        <w:rPr>
          <w:rStyle w:val="af9"/>
          <w:rFonts w:hint="cs"/>
          <w:rtl/>
        </w:rPr>
        <w:t>הרמב"ן</w:t>
      </w:r>
      <w:r>
        <w:rPr>
          <w:rFonts w:hint="cs"/>
          <w:rtl/>
        </w:rPr>
        <w:t xml:space="preserve"> </w:t>
      </w:r>
      <w:r>
        <w:rPr>
          <w:rStyle w:val="af9"/>
          <w:rFonts w:hint="cs"/>
          <w:rtl/>
        </w:rPr>
        <w:t>ו</w:t>
      </w:r>
      <w:r w:rsidRPr="00660DFB">
        <w:rPr>
          <w:rStyle w:val="af9"/>
          <w:rFonts w:hint="cs"/>
          <w:rtl/>
        </w:rPr>
        <w:t>הרשב"א</w:t>
      </w:r>
      <w:r>
        <w:rPr>
          <w:rFonts w:hint="cs"/>
          <w:rtl/>
        </w:rPr>
        <w:t xml:space="preserve"> </w:t>
      </w:r>
      <w:r>
        <w:rPr>
          <w:rStyle w:val="af7"/>
          <w:rFonts w:eastAsia="Guttman Hodes" w:hint="cs"/>
          <w:rtl/>
        </w:rPr>
        <w:t>(ד"ה ומיהו)</w:t>
      </w:r>
      <w:r>
        <w:rPr>
          <w:rFonts w:hint="cs"/>
          <w:rtl/>
        </w:rPr>
        <w:t xml:space="preserve"> דס"ל </w:t>
      </w:r>
      <w:r>
        <w:rPr>
          <w:rStyle w:val="af9"/>
          <w:rFonts w:hint="cs"/>
          <w:rtl/>
        </w:rPr>
        <w:t>ל</w:t>
      </w:r>
      <w:r w:rsidRPr="00CE2165">
        <w:rPr>
          <w:rStyle w:val="af9"/>
          <w:rFonts w:hint="cs"/>
          <w:rtl/>
        </w:rPr>
        <w:t>הרשב"ם</w:t>
      </w:r>
      <w:r>
        <w:rPr>
          <w:rFonts w:hint="cs"/>
          <w:rtl/>
        </w:rPr>
        <w:t xml:space="preserve"> דכ"מ דטענינן ללוקח, הוא רק במקום שאחר הטענה אנחנו לא צריכים להכחיש את טענת המערער, כאופן דאיתא בגמ' לקמן </w:t>
      </w:r>
      <w:r w:rsidRPr="0032252C">
        <w:rPr>
          <w:rStyle w:val="af7"/>
          <w:rFonts w:eastAsia="Guttman Hodes" w:hint="cs"/>
          <w:rtl/>
        </w:rPr>
        <w:t>(מא:)</w:t>
      </w:r>
      <w:r>
        <w:rPr>
          <w:rFonts w:hint="cs"/>
          <w:rtl/>
        </w:rPr>
        <w:t>, כשדר בה המוכר חד יומא, ויש למחזיק חזקת ג"ש, דבכה"ג אם היה המוכר בא לפנינו היה נאמן לטעון למערער מינך זבתיה.</w:t>
      </w:r>
    </w:p>
    <w:p w:rsidR="000E75A3" w:rsidRPr="006A6B62" w:rsidRDefault="000E75A3" w:rsidP="000E75A3">
      <w:pPr>
        <w:pStyle w:val="a3"/>
      </w:pPr>
      <w:bookmarkStart w:id="9411" w:name="_Toc59490124"/>
      <w:bookmarkStart w:id="9412" w:name="_Toc59620287"/>
      <w:bookmarkStart w:id="9413" w:name="_Toc59643558"/>
      <w:bookmarkStart w:id="9414" w:name="_Toc59741621"/>
      <w:bookmarkStart w:id="9415" w:name="_Toc59786745"/>
      <w:bookmarkStart w:id="9416" w:name="_Toc59802559"/>
      <w:bookmarkStart w:id="9417" w:name="_Toc59916119"/>
      <w:r>
        <w:rPr>
          <w:rFonts w:hint="cs"/>
          <w:rtl/>
        </w:rPr>
        <w:t>ביאור הרמב"ן והרשב"א ברשב"ם דאחר שהודה ל"מ המיגו של המוכר אף אם היה לפנינו</w:t>
      </w:r>
      <w:bookmarkEnd w:id="9411"/>
      <w:bookmarkEnd w:id="9412"/>
      <w:bookmarkEnd w:id="9413"/>
      <w:bookmarkEnd w:id="9414"/>
      <w:bookmarkEnd w:id="9415"/>
      <w:bookmarkEnd w:id="9416"/>
      <w:bookmarkEnd w:id="9417"/>
    </w:p>
    <w:p w:rsidR="000E75A3" w:rsidRDefault="000E75A3" w:rsidP="007E4E81">
      <w:pPr>
        <w:pStyle w:val="a0"/>
        <w:rPr>
          <w:rStyle w:val="afb"/>
          <w:rtl/>
        </w:rPr>
      </w:pPr>
      <w:bookmarkStart w:id="9418" w:name="_Ref59177712"/>
      <w:r>
        <w:rPr>
          <w:rFonts w:hint="cs"/>
          <w:rtl/>
        </w:rPr>
        <w:t xml:space="preserve">אבל בסוגיין שאין למחזיק חזקת ג"ש, ביארו </w:t>
      </w:r>
      <w:r w:rsidRPr="00CE2165">
        <w:rPr>
          <w:rStyle w:val="af9"/>
          <w:rFonts w:hint="cs"/>
          <w:rtl/>
        </w:rPr>
        <w:t>הרמב"ן</w:t>
      </w:r>
      <w:r>
        <w:rPr>
          <w:rFonts w:hint="cs"/>
          <w:rtl/>
        </w:rPr>
        <w:t xml:space="preserve"> </w:t>
      </w:r>
      <w:r>
        <w:rPr>
          <w:rStyle w:val="af9"/>
          <w:rFonts w:hint="cs"/>
          <w:rtl/>
        </w:rPr>
        <w:t>ו</w:t>
      </w:r>
      <w:r w:rsidRPr="00660DFB">
        <w:rPr>
          <w:rStyle w:val="af9"/>
          <w:rFonts w:hint="cs"/>
          <w:rtl/>
        </w:rPr>
        <w:t>הרשב"א</w:t>
      </w:r>
      <w:r>
        <w:rPr>
          <w:rFonts w:hint="cs"/>
          <w:rtl/>
        </w:rPr>
        <w:t xml:space="preserve"> דס"ל </w:t>
      </w:r>
      <w:r>
        <w:rPr>
          <w:rStyle w:val="af9"/>
          <w:rFonts w:hint="cs"/>
          <w:rtl/>
        </w:rPr>
        <w:t>ל</w:t>
      </w:r>
      <w:r w:rsidRPr="00CE2165">
        <w:rPr>
          <w:rStyle w:val="af9"/>
          <w:rFonts w:hint="cs"/>
          <w:rtl/>
        </w:rPr>
        <w:t>הרשב"ם</w:t>
      </w:r>
      <w:r>
        <w:rPr>
          <w:rFonts w:hint="cs"/>
          <w:rtl/>
        </w:rPr>
        <w:t xml:space="preserve"> דכיון שהמחזיק מודה שהייתה של המערער, אינו יכול לטעון כלום, אעפ"י שאין למערער עדים שהייתה שלו, דהא אף אם היה המוכר לפנינו, והיה טוען טענת ברי שקנה מהמערער, מ"מ אינו נאמן, כיון שהמחזיק הודה למערער, והודאתו חשיבא הודאה, כיון דכל הנאמנות של המוכר היא במה שהיה לו מיגו דיכול לטעון שאינה של המערער כלל, ועכשיו שהודה המחזיק אין לו </w:t>
      </w:r>
      <w:r w:rsidRPr="0032252C">
        <w:rPr>
          <w:rFonts w:hint="cs"/>
          <w:rtl/>
        </w:rPr>
        <w:t xml:space="preserve">את המיגו, וכתב </w:t>
      </w:r>
      <w:r w:rsidRPr="0032252C">
        <w:rPr>
          <w:rStyle w:val="af9"/>
          <w:rFonts w:hint="cs"/>
          <w:rtl/>
        </w:rPr>
        <w:t>הרמב"ן</w:t>
      </w:r>
      <w:r w:rsidRPr="0032252C">
        <w:rPr>
          <w:rFonts w:hint="cs"/>
          <w:rtl/>
        </w:rPr>
        <w:t xml:space="preserve"> דלא אמרינן מיגו דהיה המחזיק שותק היה המוכר נאמן</w:t>
      </w:r>
      <w:r>
        <w:rPr>
          <w:rFonts w:hint="cs"/>
          <w:rtl/>
        </w:rPr>
        <w:t xml:space="preserve">, וכתב </w:t>
      </w:r>
      <w:r w:rsidRPr="00F65EDE">
        <w:rPr>
          <w:rStyle w:val="af9"/>
          <w:rFonts w:hint="cs"/>
          <w:rtl/>
        </w:rPr>
        <w:t>הרשב"א</w:t>
      </w:r>
      <w:r>
        <w:rPr>
          <w:rFonts w:hint="cs"/>
          <w:rtl/>
        </w:rPr>
        <w:t xml:space="preserve"> דכן נראה כדברי </w:t>
      </w:r>
      <w:r w:rsidRPr="00F65EDE">
        <w:rPr>
          <w:rStyle w:val="af9"/>
          <w:rFonts w:hint="cs"/>
          <w:rtl/>
        </w:rPr>
        <w:t>הרשב"ם</w:t>
      </w:r>
      <w:r w:rsidRPr="0032252C">
        <w:rPr>
          <w:rFonts w:hint="cs"/>
          <w:rtl/>
        </w:rPr>
        <w:t xml:space="preserve">. </w:t>
      </w:r>
      <w:r w:rsidRPr="007C6843">
        <w:rPr>
          <w:rStyle w:val="afb"/>
          <w:rFonts w:hint="cs"/>
          <w:rtl/>
        </w:rPr>
        <w:t xml:space="preserve">[ועי' במ"ש </w:t>
      </w:r>
      <w:r w:rsidRPr="007C6843">
        <w:rPr>
          <w:rStyle w:val="affa"/>
          <w:rFonts w:hint="cs"/>
          <w:rtl/>
        </w:rPr>
        <w:t>התוס' רי"ד</w:t>
      </w:r>
      <w:r w:rsidRPr="007C6843">
        <w:rPr>
          <w:rStyle w:val="afb"/>
          <w:rFonts w:hint="cs"/>
          <w:rtl/>
        </w:rPr>
        <w:t xml:space="preserve"> </w:t>
      </w:r>
      <w:r>
        <w:rPr>
          <w:rStyle w:val="af7"/>
          <w:rFonts w:eastAsia="Guttman Hodes" w:hint="cs"/>
          <w:rtl/>
        </w:rPr>
        <w:t>(או' ה' ד"ה ומאי דקשיא</w:t>
      </w:r>
      <w:r w:rsidR="00192181">
        <w:rPr>
          <w:rStyle w:val="af7"/>
          <w:rFonts w:eastAsia="Guttman Hodes" w:hint="cs"/>
          <w:rtl/>
        </w:rPr>
        <w:t xml:space="preserve">, הובא בסימן י"א אות פ"ג) </w:t>
      </w:r>
      <w:r w:rsidRPr="007C6843">
        <w:rPr>
          <w:rStyle w:val="afb"/>
          <w:rFonts w:hint="cs"/>
          <w:rtl/>
        </w:rPr>
        <w:t>באופן דהמוכר נמצא לפנינו</w:t>
      </w:r>
      <w:r>
        <w:rPr>
          <w:rStyle w:val="afb"/>
          <w:rFonts w:hint="cs"/>
          <w:rtl/>
        </w:rPr>
        <w:t>]</w:t>
      </w:r>
      <w:r w:rsidRPr="007C6843">
        <w:rPr>
          <w:rStyle w:val="afb"/>
          <w:rFonts w:hint="cs"/>
          <w:rtl/>
        </w:rPr>
        <w:t>.</w:t>
      </w:r>
      <w:bookmarkEnd w:id="9410"/>
      <w:bookmarkEnd w:id="9418"/>
    </w:p>
    <w:p w:rsidR="000E75A3" w:rsidRPr="00B516C3" w:rsidRDefault="000E75A3" w:rsidP="000E75A3">
      <w:pPr>
        <w:pStyle w:val="afe"/>
        <w:rPr>
          <w:rtl/>
        </w:rPr>
      </w:pPr>
      <w:bookmarkStart w:id="9419" w:name="_Toc59741622"/>
      <w:bookmarkStart w:id="9420" w:name="_Toc59786746"/>
      <w:bookmarkStart w:id="9421" w:name="_Toc59802560"/>
      <w:bookmarkStart w:id="9422" w:name="_Toc59916120"/>
      <w:r>
        <w:rPr>
          <w:rFonts w:hint="cs"/>
          <w:rtl/>
        </w:rPr>
        <w:t>בד' הרמב"ם דבעידי חד יומא צריך חזקה</w:t>
      </w:r>
      <w:bookmarkEnd w:id="9419"/>
      <w:bookmarkEnd w:id="9420"/>
      <w:bookmarkEnd w:id="9421"/>
      <w:bookmarkEnd w:id="9422"/>
    </w:p>
    <w:p w:rsidR="000E75A3" w:rsidRDefault="000E75A3" w:rsidP="000E75A3">
      <w:pPr>
        <w:pStyle w:val="1"/>
        <w:rPr>
          <w:rtl/>
        </w:rPr>
      </w:pPr>
      <w:bookmarkStart w:id="9423" w:name="_Toc59741623"/>
      <w:bookmarkStart w:id="9424" w:name="_Toc59786747"/>
      <w:bookmarkStart w:id="9425" w:name="_Toc59802561"/>
      <w:bookmarkStart w:id="9426" w:name="_Toc59916121"/>
      <w:bookmarkStart w:id="9427" w:name="_Ref57974125"/>
      <w:bookmarkStart w:id="9428" w:name="_Toc59620288"/>
      <w:bookmarkStart w:id="9429" w:name="_Toc59643559"/>
      <w:bookmarkStart w:id="9430" w:name="_Toc58432665"/>
      <w:bookmarkStart w:id="9431" w:name="_Toc58532479"/>
      <w:bookmarkStart w:id="9432" w:name="_Toc58580098"/>
      <w:bookmarkStart w:id="9433" w:name="_Toc59113240"/>
      <w:bookmarkStart w:id="9434" w:name="_Toc59136943"/>
      <w:bookmarkStart w:id="9435" w:name="_Toc59361635"/>
      <w:bookmarkStart w:id="9436" w:name="_Toc59490125"/>
      <w:r>
        <w:rPr>
          <w:rFonts w:hint="cs"/>
          <w:rtl/>
        </w:rPr>
        <w:t>בביאור דעת הרמב"ם דבעידי חד יומא רק בחזקה טענינן ליה</w:t>
      </w:r>
      <w:bookmarkEnd w:id="9423"/>
      <w:bookmarkEnd w:id="9424"/>
      <w:bookmarkEnd w:id="9425"/>
      <w:bookmarkEnd w:id="9426"/>
    </w:p>
    <w:p w:rsidR="000E75A3" w:rsidRPr="0050403F" w:rsidRDefault="000E75A3" w:rsidP="000E75A3">
      <w:pPr>
        <w:pStyle w:val="a3"/>
        <w:rPr>
          <w:rtl/>
        </w:rPr>
      </w:pPr>
      <w:bookmarkStart w:id="9437" w:name="_Toc59741624"/>
      <w:bookmarkStart w:id="9438" w:name="_Toc59786748"/>
      <w:bookmarkStart w:id="9439" w:name="_Toc59802562"/>
      <w:bookmarkStart w:id="9440" w:name="_Toc59916122"/>
      <w:r w:rsidRPr="009725D1">
        <w:rPr>
          <w:rtl/>
        </w:rPr>
        <w:t xml:space="preserve">דברי הרמב"ם דהמחזיק ישב הרבה שנים בקרקע </w:t>
      </w:r>
      <w:r>
        <w:rPr>
          <w:rFonts w:hint="cs"/>
          <w:rtl/>
        </w:rPr>
        <w:t>ומהני עידי חד יומא וטענת קמי דידי זבנה מינך</w:t>
      </w:r>
      <w:bookmarkEnd w:id="9437"/>
      <w:bookmarkEnd w:id="9438"/>
      <w:bookmarkEnd w:id="9439"/>
      <w:bookmarkEnd w:id="9440"/>
    </w:p>
    <w:p w:rsidR="000E75A3" w:rsidRDefault="000E75A3" w:rsidP="007E4E81">
      <w:pPr>
        <w:pStyle w:val="a0"/>
        <w:rPr>
          <w:rtl/>
        </w:rPr>
      </w:pPr>
      <w:bookmarkStart w:id="9441" w:name="_Ref59050161"/>
      <w:r w:rsidRPr="005E0C6E">
        <w:rPr>
          <w:rFonts w:hint="cs"/>
          <w:rtl/>
        </w:rPr>
        <w:t xml:space="preserve">כתב </w:t>
      </w:r>
      <w:r w:rsidRPr="005E0C6E">
        <w:rPr>
          <w:rStyle w:val="af9"/>
          <w:rFonts w:hint="cs"/>
          <w:rtl/>
        </w:rPr>
        <w:t>הרמב"ם</w:t>
      </w:r>
      <w:r w:rsidRPr="005E0C6E">
        <w:rPr>
          <w:rFonts w:hint="cs"/>
          <w:rtl/>
        </w:rPr>
        <w:t xml:space="preserve"> </w:t>
      </w:r>
      <w:r w:rsidRPr="005E0C6E">
        <w:rPr>
          <w:rStyle w:val="af7"/>
          <w:rFonts w:eastAsia="Guttman Hodes" w:hint="cs"/>
          <w:rtl/>
        </w:rPr>
        <w:t xml:space="preserve">(טו"נ פי"ד הי"ד) </w:t>
      </w:r>
      <w:r w:rsidRPr="005E0C6E">
        <w:rPr>
          <w:rFonts w:hint="cs"/>
          <w:rtl/>
        </w:rPr>
        <w:t xml:space="preserve">דהמחזיק </w:t>
      </w:r>
      <w:r>
        <w:rPr>
          <w:rFonts w:hint="cs"/>
          <w:rtl/>
        </w:rPr>
        <w:t>ישב</w:t>
      </w:r>
      <w:r w:rsidRPr="005E0C6E">
        <w:rPr>
          <w:rFonts w:hint="cs"/>
          <w:rtl/>
        </w:rPr>
        <w:t xml:space="preserve"> בקרקע שנים רבות, והודה למערער שהייתה שלו, ואמר שקנה מפלוני שהוא קנה מהמערער, וטוען המערער שהמוכר הוא גזלן, דכיון שהודה המחזיק שהקרקע של המערער, והוא לא קנה ממנו, חוזרת הקרקע וכל הפירות למערער, אף שאין לו עדים שהוא המרא קמא, אך אם הביא המחזיק עדים שדר בה המוכר יום אחר, או שטען המחזיק המחזיק למערער קמי דידי זבנה מינך, מעמידים את הקרקע ביד המחזיק, כיון שיש לו חזקה עם טענה, והיה יכול לטעון למערער שקנה ממנו, כיון שיש לו חזקת ג"ש.</w:t>
      </w:r>
      <w:bookmarkEnd w:id="9441"/>
    </w:p>
    <w:p w:rsidR="00BD40E4" w:rsidRPr="00BD40E4" w:rsidRDefault="00BD40E4" w:rsidP="00BD40E4">
      <w:pPr>
        <w:pStyle w:val="a3"/>
        <w:rPr>
          <w:rtl/>
        </w:rPr>
      </w:pPr>
    </w:p>
    <w:p w:rsidR="00BD40E4" w:rsidRPr="00BD40E4" w:rsidRDefault="00BD40E4" w:rsidP="00BD40E4">
      <w:pPr>
        <w:pStyle w:val="a3"/>
        <w:rPr>
          <w:rtl/>
        </w:rPr>
      </w:pPr>
    </w:p>
    <w:p w:rsidR="000E75A3" w:rsidRPr="001714F4" w:rsidRDefault="000E75A3" w:rsidP="000E75A3">
      <w:pPr>
        <w:pStyle w:val="a3"/>
        <w:rPr>
          <w:rtl/>
        </w:rPr>
      </w:pPr>
      <w:bookmarkStart w:id="9442" w:name="_Toc59741625"/>
      <w:bookmarkStart w:id="9443" w:name="_Toc59786749"/>
      <w:bookmarkStart w:id="9444" w:name="_Toc59802563"/>
      <w:bookmarkStart w:id="9445" w:name="_Toc59916123"/>
      <w:r>
        <w:rPr>
          <w:rFonts w:hint="cs"/>
          <w:rtl/>
        </w:rPr>
        <w:lastRenderedPageBreak/>
        <w:t>ביאור המ"מ והמהרי"ט ברמב"ם דבעידי חד יומא צריך חזקה ובלא חזקה כיון שהודה</w:t>
      </w:r>
      <w:r w:rsidRPr="00FB36F4">
        <w:rPr>
          <w:rFonts w:hint="cs"/>
          <w:rtl/>
        </w:rPr>
        <w:t xml:space="preserve"> </w:t>
      </w:r>
      <w:r>
        <w:rPr>
          <w:rFonts w:hint="cs"/>
          <w:rtl/>
        </w:rPr>
        <w:t>לא טענינן</w:t>
      </w:r>
      <w:bookmarkEnd w:id="9442"/>
      <w:bookmarkEnd w:id="9443"/>
      <w:bookmarkEnd w:id="9444"/>
      <w:bookmarkEnd w:id="9445"/>
    </w:p>
    <w:p w:rsidR="000E75A3" w:rsidRDefault="000E75A3" w:rsidP="007E4E81">
      <w:pPr>
        <w:pStyle w:val="a0"/>
        <w:rPr>
          <w:rtl/>
        </w:rPr>
      </w:pPr>
      <w:bookmarkStart w:id="9446" w:name="_Ref59730575"/>
      <w:r>
        <w:rPr>
          <w:rFonts w:hint="cs"/>
          <w:rtl/>
        </w:rPr>
        <w:t>ו</w:t>
      </w:r>
      <w:r w:rsidRPr="00D14808">
        <w:rPr>
          <w:rFonts w:hint="cs"/>
          <w:rtl/>
        </w:rPr>
        <w:t xml:space="preserve">כתב </w:t>
      </w:r>
      <w:r w:rsidRPr="00D14808">
        <w:rPr>
          <w:rStyle w:val="af9"/>
          <w:rFonts w:hint="cs"/>
          <w:rtl/>
        </w:rPr>
        <w:t>המ"מ</w:t>
      </w:r>
      <w:r w:rsidRPr="00D14808">
        <w:rPr>
          <w:rFonts w:hint="cs"/>
          <w:rtl/>
        </w:rPr>
        <w:t xml:space="preserve"> </w:t>
      </w:r>
      <w:r w:rsidRPr="00D14808">
        <w:rPr>
          <w:rStyle w:val="af7"/>
          <w:rFonts w:eastAsia="Guttman Hodes" w:hint="cs"/>
          <w:rtl/>
        </w:rPr>
        <w:t xml:space="preserve">(טו"נ פי"ד הי"ד) </w:t>
      </w:r>
      <w:r w:rsidRPr="00D14808">
        <w:rPr>
          <w:rFonts w:hint="cs"/>
          <w:rtl/>
        </w:rPr>
        <w:t xml:space="preserve">דמשמע מדברי </w:t>
      </w:r>
      <w:r w:rsidRPr="00D14808">
        <w:rPr>
          <w:rStyle w:val="af9"/>
          <w:rFonts w:hint="cs"/>
          <w:rtl/>
        </w:rPr>
        <w:t>הרמב"ם</w:t>
      </w:r>
      <w:r w:rsidRPr="00D14808">
        <w:rPr>
          <w:rFonts w:hint="cs"/>
          <w:rtl/>
        </w:rPr>
        <w:t xml:space="preserve"> </w:t>
      </w:r>
      <w:r w:rsidRPr="00D14808">
        <w:rPr>
          <w:rStyle w:val="af7"/>
          <w:rFonts w:eastAsia="Guttman Hodes" w:hint="cs"/>
          <w:rtl/>
        </w:rPr>
        <w:t xml:space="preserve">(עי' אות </w:t>
      </w:r>
      <w:r w:rsidRPr="00D14808">
        <w:rPr>
          <w:rStyle w:val="af7"/>
          <w:rFonts w:eastAsia="Guttman Hodes"/>
          <w:rtl/>
        </w:rPr>
        <w:fldChar w:fldCharType="begin"/>
      </w:r>
      <w:r w:rsidRPr="00D14808">
        <w:rPr>
          <w:rStyle w:val="af7"/>
          <w:rFonts w:eastAsia="Guttman Hodes"/>
          <w:rtl/>
        </w:rPr>
        <w:instrText xml:space="preserve"> </w:instrText>
      </w:r>
      <w:r w:rsidRPr="00D14808">
        <w:rPr>
          <w:rStyle w:val="af7"/>
          <w:rFonts w:eastAsia="Guttman Hodes" w:hint="cs"/>
        </w:rPr>
        <w:instrText>REF</w:instrText>
      </w:r>
      <w:r w:rsidRPr="00D14808">
        <w:rPr>
          <w:rStyle w:val="af7"/>
          <w:rFonts w:eastAsia="Guttman Hodes" w:hint="cs"/>
          <w:rtl/>
        </w:rPr>
        <w:instrText xml:space="preserve"> _</w:instrText>
      </w:r>
      <w:r w:rsidRPr="00D14808">
        <w:rPr>
          <w:rStyle w:val="af7"/>
          <w:rFonts w:eastAsia="Guttman Hodes" w:hint="cs"/>
        </w:rPr>
        <w:instrText>Ref59050161 \r \h</w:instrText>
      </w:r>
      <w:r w:rsidRPr="00D1480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D14808">
        <w:rPr>
          <w:rStyle w:val="af7"/>
          <w:rFonts w:eastAsia="Guttman Hodes"/>
          <w:rtl/>
        </w:rPr>
      </w:r>
      <w:r w:rsidRPr="00D14808">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D14808">
        <w:rPr>
          <w:rStyle w:val="af7"/>
          <w:rFonts w:eastAsia="Guttman Hodes"/>
          <w:rtl/>
        </w:rPr>
        <w:fldChar w:fldCharType="end"/>
      </w:r>
      <w:r w:rsidRPr="00D14808">
        <w:rPr>
          <w:rStyle w:val="af7"/>
          <w:rFonts w:eastAsia="Guttman Hodes" w:hint="cs"/>
          <w:rtl/>
        </w:rPr>
        <w:t xml:space="preserve"> </w:t>
      </w:r>
      <w:r w:rsidRPr="00D14808">
        <w:rPr>
          <w:rFonts w:hint="cs"/>
          <w:rtl/>
        </w:rPr>
        <w:t xml:space="preserve">דס"ל </w:t>
      </w:r>
      <w:r w:rsidRPr="00D14808">
        <w:rPr>
          <w:rStyle w:val="af9"/>
          <w:rFonts w:hint="cs"/>
          <w:rtl/>
        </w:rPr>
        <w:t>כהרשב"א</w:t>
      </w:r>
      <w:r w:rsidRPr="00D14808">
        <w:rPr>
          <w:rFonts w:hint="cs"/>
          <w:rtl/>
        </w:rPr>
        <w:t xml:space="preserve"> </w:t>
      </w:r>
      <w:r w:rsidRPr="0079354B">
        <w:rPr>
          <w:rStyle w:val="af7"/>
          <w:rFonts w:eastAsia="Guttman Hodes" w:hint="cs"/>
          <w:rtl/>
        </w:rPr>
        <w:t xml:space="preserve">(עי' אות </w:t>
      </w:r>
      <w:r w:rsidRPr="0079354B">
        <w:rPr>
          <w:rStyle w:val="af7"/>
          <w:rFonts w:eastAsia="Guttman Hodes"/>
          <w:rtl/>
        </w:rPr>
        <w:fldChar w:fldCharType="begin"/>
      </w:r>
      <w:r w:rsidRPr="0079354B">
        <w:rPr>
          <w:rStyle w:val="af7"/>
          <w:rFonts w:eastAsia="Guttman Hodes"/>
          <w:rtl/>
        </w:rPr>
        <w:instrText xml:space="preserve"> </w:instrText>
      </w:r>
      <w:r w:rsidRPr="0079354B">
        <w:rPr>
          <w:rStyle w:val="af7"/>
          <w:rFonts w:eastAsia="Guttman Hodes" w:hint="cs"/>
        </w:rPr>
        <w:instrText>REF</w:instrText>
      </w:r>
      <w:r w:rsidRPr="0079354B">
        <w:rPr>
          <w:rStyle w:val="af7"/>
          <w:rFonts w:eastAsia="Guttman Hodes" w:hint="cs"/>
          <w:rtl/>
        </w:rPr>
        <w:instrText xml:space="preserve"> _</w:instrText>
      </w:r>
      <w:r w:rsidRPr="0079354B">
        <w:rPr>
          <w:rStyle w:val="af7"/>
          <w:rFonts w:eastAsia="Guttman Hodes" w:hint="cs"/>
        </w:rPr>
        <w:instrText>Ref59177712 \r \h</w:instrText>
      </w:r>
      <w:r w:rsidRPr="0079354B">
        <w:rPr>
          <w:rStyle w:val="af7"/>
          <w:rFonts w:eastAsia="Guttman Hodes"/>
          <w:rtl/>
        </w:rPr>
        <w:instrText xml:space="preserve">  \* </w:instrText>
      </w:r>
      <w:r w:rsidRPr="0079354B">
        <w:rPr>
          <w:rStyle w:val="af7"/>
          <w:rFonts w:eastAsia="Guttman Hodes"/>
        </w:rPr>
        <w:instrText>MERGEFORMAT</w:instrText>
      </w:r>
      <w:r w:rsidRPr="0079354B">
        <w:rPr>
          <w:rStyle w:val="af7"/>
          <w:rFonts w:eastAsia="Guttman Hodes"/>
          <w:rtl/>
        </w:rPr>
        <w:instrText xml:space="preserve"> </w:instrText>
      </w:r>
      <w:r w:rsidRPr="0079354B">
        <w:rPr>
          <w:rStyle w:val="af7"/>
          <w:rFonts w:eastAsia="Guttman Hodes"/>
          <w:rtl/>
        </w:rPr>
      </w:r>
      <w:r w:rsidRPr="0079354B">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79354B">
        <w:rPr>
          <w:rStyle w:val="af7"/>
          <w:rFonts w:eastAsia="Guttman Hodes"/>
          <w:rtl/>
        </w:rPr>
        <w:fldChar w:fldCharType="end"/>
      </w:r>
      <w:r>
        <w:rPr>
          <w:rFonts w:hint="cs"/>
          <w:rtl/>
        </w:rPr>
        <w:t xml:space="preserve"> </w:t>
      </w:r>
      <w:r w:rsidRPr="00D14808">
        <w:rPr>
          <w:rFonts w:hint="cs"/>
          <w:rtl/>
        </w:rPr>
        <w:t>דאף שאין למערער עדים, ויש למחזיק עדים שהמוכר דר</w:t>
      </w:r>
      <w:r>
        <w:rPr>
          <w:rFonts w:hint="cs"/>
          <w:rtl/>
        </w:rPr>
        <w:t xml:space="preserve"> בה חד יומא, רק כשיש למחזיק חזקת ג"ש אין מוציאין מידו, ואעפ"י שהמוכר היה נאמן במיגו דלא הייתה של המערער מעולם, מ"מ כיון שהמחזיק הודה שהייתה של המערער אינו נאמן במיגו, ורק כשיש לו חזקה הוא נאמן</w:t>
      </w:r>
      <w:bookmarkEnd w:id="9427"/>
      <w:r>
        <w:rPr>
          <w:rFonts w:hint="cs"/>
          <w:rtl/>
        </w:rPr>
        <w:t xml:space="preserve">, וביאר </w:t>
      </w:r>
      <w:r w:rsidRPr="003B2E38">
        <w:rPr>
          <w:rStyle w:val="af9"/>
          <w:rFonts w:hint="cs"/>
          <w:rtl/>
        </w:rPr>
        <w:t>המהרי"ט</w:t>
      </w:r>
      <w:r>
        <w:rPr>
          <w:rFonts w:hint="cs"/>
          <w:rtl/>
        </w:rPr>
        <w:t xml:space="preserve"> </w:t>
      </w:r>
      <w:r w:rsidRPr="003B2E38">
        <w:rPr>
          <w:rStyle w:val="af7"/>
          <w:rFonts w:eastAsia="Guttman Hodes" w:hint="cs"/>
          <w:rtl/>
        </w:rPr>
        <w:t>(ח"א סי' קי"ב ד"ה ועוד אחרת)</w:t>
      </w:r>
      <w:r>
        <w:rPr>
          <w:rFonts w:hint="cs"/>
          <w:rtl/>
        </w:rPr>
        <w:t xml:space="preserve"> דמבואר מדברי </w:t>
      </w:r>
      <w:r w:rsidRPr="003B2E38">
        <w:rPr>
          <w:rStyle w:val="af9"/>
          <w:rFonts w:hint="cs"/>
          <w:rtl/>
        </w:rPr>
        <w:t>הרמב"ם</w:t>
      </w:r>
      <w:r>
        <w:rPr>
          <w:rFonts w:hint="cs"/>
          <w:rtl/>
        </w:rPr>
        <w:t xml:space="preserve"> דכשאין למחזיק חזקה, אף שיש לו עדים שהמוכר דר בה חד יומא, והמוכר היה נאמן במיגו, מ"מ לא טענינן ללוקח, וכן ביאר </w:t>
      </w:r>
      <w:r w:rsidRPr="00D95681">
        <w:rPr>
          <w:rStyle w:val="af9"/>
          <w:rFonts w:hint="cs"/>
          <w:rtl/>
        </w:rPr>
        <w:t>הש"ך</w:t>
      </w:r>
      <w:r>
        <w:rPr>
          <w:rFonts w:hint="cs"/>
          <w:rtl/>
        </w:rPr>
        <w:t xml:space="preserve"> </w:t>
      </w:r>
      <w:r w:rsidRPr="00D95681">
        <w:rPr>
          <w:rStyle w:val="af7"/>
          <w:rFonts w:eastAsia="Guttman Hodes" w:hint="cs"/>
          <w:rtl/>
        </w:rPr>
        <w:t>(סי' קמ"ו סקי"ג)</w:t>
      </w:r>
      <w:r>
        <w:rPr>
          <w:rFonts w:hint="cs"/>
          <w:rtl/>
        </w:rPr>
        <w:t xml:space="preserve"> בדברי </w:t>
      </w:r>
      <w:r w:rsidRPr="00D83BDD">
        <w:rPr>
          <w:rStyle w:val="af9"/>
          <w:rFonts w:hint="cs"/>
          <w:rtl/>
        </w:rPr>
        <w:t>המ"מ</w:t>
      </w:r>
      <w:r>
        <w:rPr>
          <w:rFonts w:hint="cs"/>
          <w:rtl/>
        </w:rPr>
        <w:t>.</w:t>
      </w:r>
      <w:bookmarkEnd w:id="9446"/>
    </w:p>
    <w:p w:rsidR="000E75A3" w:rsidRPr="002D0EC7" w:rsidRDefault="000E75A3" w:rsidP="000E75A3">
      <w:pPr>
        <w:pStyle w:val="a3"/>
        <w:rPr>
          <w:rtl/>
        </w:rPr>
      </w:pPr>
      <w:bookmarkStart w:id="9447" w:name="_Toc59741626"/>
      <w:bookmarkStart w:id="9448" w:name="_Toc59786750"/>
      <w:bookmarkStart w:id="9449" w:name="_Toc59802564"/>
      <w:bookmarkStart w:id="9450" w:name="_Toc59916124"/>
      <w:r>
        <w:rPr>
          <w:rFonts w:hint="cs"/>
          <w:rtl/>
        </w:rPr>
        <w:t>דברי הלח"מ דהמ"מ למד כן ממ"ש הרמב"ם דעידי חד יומא מהני מדין חזקה עם טענה</w:t>
      </w:r>
      <w:bookmarkEnd w:id="9447"/>
      <w:bookmarkEnd w:id="9448"/>
      <w:bookmarkEnd w:id="9449"/>
      <w:bookmarkEnd w:id="9450"/>
    </w:p>
    <w:p w:rsidR="000E75A3" w:rsidRPr="003807C3" w:rsidRDefault="000E75A3" w:rsidP="007E4E81">
      <w:pPr>
        <w:pStyle w:val="a0"/>
        <w:rPr>
          <w:rStyle w:val="afb"/>
          <w:rtl/>
        </w:rPr>
      </w:pPr>
      <w:r>
        <w:rPr>
          <w:rFonts w:hint="cs"/>
          <w:rtl/>
        </w:rPr>
        <w:t xml:space="preserve">וביאר </w:t>
      </w:r>
      <w:r w:rsidRPr="00C23A10">
        <w:rPr>
          <w:rStyle w:val="af9"/>
          <w:rFonts w:hint="cs"/>
          <w:rtl/>
        </w:rPr>
        <w:t>הלח"מ</w:t>
      </w:r>
      <w:r w:rsidRPr="00C23A10">
        <w:rPr>
          <w:rStyle w:val="af7"/>
          <w:rFonts w:eastAsia="Guttman Hodes" w:hint="cs"/>
          <w:rtl/>
        </w:rPr>
        <w:t xml:space="preserve"> (טו"נ פי"ד הי"ד) </w:t>
      </w:r>
      <w:r>
        <w:rPr>
          <w:rStyle w:val="af9"/>
          <w:rFonts w:hint="cs"/>
          <w:rtl/>
        </w:rPr>
        <w:t>ד</w:t>
      </w:r>
      <w:r w:rsidRPr="00C23A10">
        <w:rPr>
          <w:rStyle w:val="af9"/>
          <w:rFonts w:hint="cs"/>
          <w:rtl/>
        </w:rPr>
        <w:t>המ"מ</w:t>
      </w:r>
      <w:r>
        <w:rPr>
          <w:rFonts w:hint="cs"/>
          <w:rtl/>
        </w:rPr>
        <w:t xml:space="preserve"> </w:t>
      </w:r>
      <w:r w:rsidRPr="00C23A1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Ref59730575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Pr>
          <w:rStyle w:val="af7"/>
          <w:rFonts w:eastAsia="Guttman Hodes"/>
          <w:rtl/>
        </w:rPr>
        <w:fldChar w:fldCharType="end"/>
      </w:r>
      <w:r w:rsidRPr="00C23A10">
        <w:rPr>
          <w:rStyle w:val="af7"/>
          <w:rFonts w:eastAsia="Guttman Hodes" w:hint="cs"/>
          <w:rtl/>
        </w:rPr>
        <w:t xml:space="preserve"> </w:t>
      </w:r>
      <w:r>
        <w:rPr>
          <w:rFonts w:hint="cs"/>
          <w:rtl/>
        </w:rPr>
        <w:t xml:space="preserve">למד כן ממ"ש </w:t>
      </w:r>
      <w:r w:rsidRPr="002D0EC7">
        <w:rPr>
          <w:rStyle w:val="af9"/>
          <w:rFonts w:hint="cs"/>
          <w:rtl/>
        </w:rPr>
        <w:t>הרמב"ם</w:t>
      </w:r>
      <w:r>
        <w:rPr>
          <w:rFonts w:hint="cs"/>
          <w:rtl/>
        </w:rPr>
        <w:t xml:space="preserve"> </w:t>
      </w:r>
      <w:r w:rsidRPr="002D0EC7">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Ref59050161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Pr>
          <w:rStyle w:val="af7"/>
          <w:rFonts w:eastAsia="Guttman Hodes"/>
          <w:rtl/>
        </w:rPr>
        <w:fldChar w:fldCharType="end"/>
      </w:r>
      <w:r>
        <w:rPr>
          <w:rStyle w:val="af7"/>
          <w:rFonts w:eastAsia="Guttman Hodes" w:hint="cs"/>
          <w:rtl/>
        </w:rPr>
        <w:t xml:space="preserve"> </w:t>
      </w:r>
      <w:r>
        <w:rPr>
          <w:rFonts w:hint="cs"/>
          <w:rtl/>
        </w:rPr>
        <w:t xml:space="preserve">דאם הביא המחזיק עדים שדר בה המוכר יום אחר, מעמידים את הקרקע ביד המחזיק, כיון שיש לו חזקה עם טענה, ומשמע דאעפ"י דכתב </w:t>
      </w:r>
      <w:r w:rsidRPr="00C23A10">
        <w:rPr>
          <w:rStyle w:val="af9"/>
          <w:rFonts w:hint="cs"/>
          <w:rtl/>
        </w:rPr>
        <w:t>הרמב"ם</w:t>
      </w:r>
      <w:r>
        <w:rPr>
          <w:rFonts w:hint="cs"/>
          <w:rtl/>
        </w:rPr>
        <w:t xml:space="preserve"> דאין עדים למערער, מ"מ לא מהני למחזיק מיגו בלא חזקת ג"ש, כיון שכבר הודה שהייתה של המערער, וכתב </w:t>
      </w:r>
      <w:r w:rsidRPr="00C23A10">
        <w:rPr>
          <w:rStyle w:val="af9"/>
          <w:rFonts w:hint="cs"/>
          <w:rtl/>
        </w:rPr>
        <w:t>הלח"מ</w:t>
      </w:r>
      <w:r w:rsidRPr="00A77E21">
        <w:rPr>
          <w:rFonts w:hint="cs"/>
          <w:rtl/>
        </w:rPr>
        <w:t xml:space="preserve"> </w:t>
      </w:r>
      <w:r>
        <w:rPr>
          <w:rFonts w:hint="cs"/>
          <w:rtl/>
        </w:rPr>
        <w:t xml:space="preserve">דאי רק אמר שהמוכר אמר לו שקנה מהמערער, והוא לא הודה בעצמו, א"כ אינו יודע אלא לפי דברי המוכר. </w:t>
      </w:r>
      <w:r w:rsidRPr="003807C3">
        <w:rPr>
          <w:rStyle w:val="afb"/>
          <w:rFonts w:hint="cs"/>
          <w:rtl/>
        </w:rPr>
        <w:t xml:space="preserve">[והיינו דמבואר מדברי </w:t>
      </w:r>
      <w:r w:rsidRPr="00C23A10">
        <w:rPr>
          <w:rStyle w:val="affa"/>
          <w:rFonts w:hint="cs"/>
          <w:rtl/>
        </w:rPr>
        <w:t>הרמב"ם</w:t>
      </w:r>
      <w:r w:rsidRPr="003807C3">
        <w:rPr>
          <w:rStyle w:val="afb"/>
          <w:rFonts w:hint="cs"/>
          <w:rtl/>
        </w:rPr>
        <w:t xml:space="preserve"> דאיירי שהמחזיק הודה בפירוש שיודע שהייתה של המוכר].</w:t>
      </w:r>
    </w:p>
    <w:p w:rsidR="000E75A3" w:rsidRPr="009F4A1E" w:rsidRDefault="000E75A3" w:rsidP="000E75A3">
      <w:pPr>
        <w:pStyle w:val="a3"/>
        <w:rPr>
          <w:rtl/>
        </w:rPr>
      </w:pPr>
      <w:bookmarkStart w:id="9451" w:name="_Toc59741627"/>
      <w:bookmarkStart w:id="9452" w:name="_Toc59786751"/>
      <w:bookmarkStart w:id="9453" w:name="_Toc59802565"/>
      <w:bookmarkStart w:id="9454" w:name="_Toc59916125"/>
      <w:r>
        <w:rPr>
          <w:rFonts w:hint="cs"/>
          <w:rtl/>
        </w:rPr>
        <w:t>דברי הש"ך דהמ"מ למד כן מהא דכשאין לו חזקה לא כתב הרמב"ם דמהני עידי חד יומא</w:t>
      </w:r>
      <w:bookmarkEnd w:id="9451"/>
      <w:bookmarkEnd w:id="9452"/>
      <w:bookmarkEnd w:id="9453"/>
      <w:bookmarkEnd w:id="9454"/>
    </w:p>
    <w:p w:rsidR="000E75A3" w:rsidRDefault="000E75A3" w:rsidP="007E4E81">
      <w:pPr>
        <w:pStyle w:val="a0"/>
        <w:rPr>
          <w:rtl/>
        </w:rPr>
      </w:pPr>
      <w:bookmarkStart w:id="9455" w:name="_Ref58324366"/>
      <w:r>
        <w:rPr>
          <w:rFonts w:hint="cs"/>
          <w:rtl/>
        </w:rPr>
        <w:t xml:space="preserve">אבל </w:t>
      </w:r>
      <w:r w:rsidRPr="0003619E">
        <w:rPr>
          <w:rStyle w:val="af9"/>
          <w:rFonts w:hint="cs"/>
          <w:rtl/>
        </w:rPr>
        <w:t>הש"ך</w:t>
      </w:r>
      <w:r>
        <w:rPr>
          <w:rFonts w:hint="cs"/>
          <w:rtl/>
        </w:rPr>
        <w:t xml:space="preserve"> </w:t>
      </w:r>
      <w:r w:rsidRPr="0003619E">
        <w:rPr>
          <w:rStyle w:val="af7"/>
          <w:rFonts w:eastAsia="Guttman Hodes" w:hint="cs"/>
          <w:rtl/>
        </w:rPr>
        <w:t>(סי' קמ"ו סקי"ג בסוגריים ד"ה ואין כוונתו)</w:t>
      </w:r>
      <w:r>
        <w:rPr>
          <w:rFonts w:hint="cs"/>
          <w:rtl/>
        </w:rPr>
        <w:t xml:space="preserve"> כתב דא"א לומר </w:t>
      </w:r>
      <w:r>
        <w:rPr>
          <w:rStyle w:val="af9"/>
          <w:rFonts w:hint="cs"/>
          <w:rtl/>
        </w:rPr>
        <w:t>ד</w:t>
      </w:r>
      <w:r w:rsidRPr="00C23A10">
        <w:rPr>
          <w:rStyle w:val="af9"/>
          <w:rFonts w:hint="cs"/>
          <w:rtl/>
        </w:rPr>
        <w:t>המ"מ</w:t>
      </w:r>
      <w:r>
        <w:rPr>
          <w:rFonts w:hint="cs"/>
          <w:rtl/>
        </w:rPr>
        <w:t xml:space="preserve"> </w:t>
      </w:r>
      <w:r w:rsidRPr="00C23A1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Ref59730575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Pr>
          <w:rStyle w:val="af7"/>
          <w:rFonts w:eastAsia="Guttman Hodes"/>
          <w:rtl/>
        </w:rPr>
        <w:fldChar w:fldCharType="end"/>
      </w:r>
      <w:r w:rsidRPr="00C23A10">
        <w:rPr>
          <w:rStyle w:val="af7"/>
          <w:rFonts w:eastAsia="Guttman Hodes" w:hint="cs"/>
          <w:rtl/>
        </w:rPr>
        <w:t xml:space="preserve"> </w:t>
      </w:r>
      <w:r>
        <w:rPr>
          <w:rFonts w:hint="cs"/>
          <w:rtl/>
        </w:rPr>
        <w:t xml:space="preserve">למד כן ממ"ש </w:t>
      </w:r>
      <w:r w:rsidRPr="002D0EC7">
        <w:rPr>
          <w:rStyle w:val="af9"/>
          <w:rFonts w:hint="cs"/>
          <w:rtl/>
        </w:rPr>
        <w:t>הרמב"ם</w:t>
      </w:r>
      <w:r>
        <w:rPr>
          <w:rFonts w:hint="cs"/>
          <w:rtl/>
        </w:rPr>
        <w:t xml:space="preserve"> </w:t>
      </w:r>
      <w:r w:rsidRPr="002D0EC7">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Ref59050161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Pr>
          <w:rStyle w:val="af7"/>
          <w:rFonts w:eastAsia="Guttman Hodes"/>
          <w:rtl/>
        </w:rPr>
        <w:fldChar w:fldCharType="end"/>
      </w:r>
      <w:r>
        <w:rPr>
          <w:rStyle w:val="af7"/>
          <w:rFonts w:eastAsia="Guttman Hodes" w:hint="cs"/>
          <w:rtl/>
        </w:rPr>
        <w:t xml:space="preserve"> </w:t>
      </w:r>
      <w:r>
        <w:rPr>
          <w:rFonts w:hint="cs"/>
          <w:rtl/>
        </w:rPr>
        <w:t xml:space="preserve">שטען המחזיק קמי דידי קנה המוכר את הקרקע מהמערער דנאמן, </w:t>
      </w:r>
      <w:r w:rsidRPr="00FC3F69">
        <w:rPr>
          <w:rFonts w:hint="cs"/>
          <w:rtl/>
        </w:rPr>
        <w:t xml:space="preserve">כיון שיש לו חזקה עם טענה, דהא בזה איירי שיש עדים למערער שהייתה שלו, דאם אין לו עדים, אף אם אין למחזיק חזקת ג"ש הוא נאמן, כשטוען קמי דידי זבנה מינך, </w:t>
      </w:r>
      <w:r w:rsidRPr="00FC3F69">
        <w:rPr>
          <w:rStyle w:val="afb"/>
          <w:rFonts w:hint="cs"/>
          <w:rtl/>
        </w:rPr>
        <w:t xml:space="preserve">[כדביאר </w:t>
      </w:r>
      <w:r w:rsidRPr="00555928">
        <w:rPr>
          <w:rStyle w:val="affa"/>
          <w:rFonts w:hint="cs"/>
          <w:rtl/>
        </w:rPr>
        <w:t>הש"ך</w:t>
      </w:r>
      <w:r w:rsidRPr="00FC3F69">
        <w:rPr>
          <w:rStyle w:val="afb"/>
          <w:rFonts w:hint="cs"/>
          <w:rtl/>
        </w:rPr>
        <w:t xml:space="preserve"> </w:t>
      </w:r>
      <w:r w:rsidRPr="005220A9">
        <w:rPr>
          <w:rStyle w:val="aff6"/>
          <w:rFonts w:hint="cs"/>
          <w:rtl/>
        </w:rPr>
        <w:t xml:space="preserve">(עי' אות </w:t>
      </w:r>
      <w:r w:rsidRPr="005220A9">
        <w:rPr>
          <w:rStyle w:val="aff6"/>
          <w:rtl/>
        </w:rPr>
        <w:fldChar w:fldCharType="begin"/>
      </w:r>
      <w:r w:rsidRPr="005220A9">
        <w:rPr>
          <w:rStyle w:val="aff6"/>
          <w:rtl/>
        </w:rPr>
        <w:instrText xml:space="preserve"> </w:instrText>
      </w:r>
      <w:r w:rsidRPr="005220A9">
        <w:rPr>
          <w:rStyle w:val="aff6"/>
          <w:rFonts w:hint="cs"/>
        </w:rPr>
        <w:instrText>REF</w:instrText>
      </w:r>
      <w:r w:rsidRPr="005220A9">
        <w:rPr>
          <w:rStyle w:val="aff6"/>
          <w:rFonts w:hint="cs"/>
          <w:rtl/>
        </w:rPr>
        <w:instrText xml:space="preserve"> _</w:instrText>
      </w:r>
      <w:r w:rsidRPr="005220A9">
        <w:rPr>
          <w:rStyle w:val="aff6"/>
          <w:rFonts w:hint="cs"/>
        </w:rPr>
        <w:instrText>Ref59730709 \r \h</w:instrText>
      </w:r>
      <w:r w:rsidRPr="005220A9">
        <w:rPr>
          <w:rStyle w:val="aff6"/>
          <w:rtl/>
        </w:rPr>
        <w:instrText xml:space="preserve"> </w:instrText>
      </w:r>
      <w:r w:rsidRPr="005220A9">
        <w:rPr>
          <w:rStyle w:val="aff6"/>
          <w:rtl/>
        </w:rPr>
      </w:r>
      <w:r w:rsidRPr="005220A9">
        <w:rPr>
          <w:rStyle w:val="aff6"/>
          <w:rtl/>
        </w:rPr>
        <w:fldChar w:fldCharType="separate"/>
      </w:r>
      <w:r w:rsidR="00265073">
        <w:rPr>
          <w:rStyle w:val="aff6"/>
          <w:cs/>
        </w:rPr>
        <w:t>‎</w:t>
      </w:r>
      <w:r w:rsidR="00265073">
        <w:rPr>
          <w:rStyle w:val="aff6"/>
          <w:rtl/>
        </w:rPr>
        <w:t>צט)</w:t>
      </w:r>
      <w:r w:rsidRPr="005220A9">
        <w:rPr>
          <w:rStyle w:val="aff6"/>
          <w:rtl/>
        </w:rPr>
        <w:fldChar w:fldCharType="end"/>
      </w:r>
      <w:r w:rsidRPr="00FC3F69">
        <w:rPr>
          <w:rStyle w:val="afb"/>
          <w:rFonts w:hint="cs"/>
          <w:rtl/>
        </w:rPr>
        <w:t xml:space="preserve"> בדעת </w:t>
      </w:r>
      <w:r w:rsidRPr="00555928">
        <w:rPr>
          <w:rStyle w:val="affa"/>
          <w:rFonts w:hint="cs"/>
          <w:rtl/>
        </w:rPr>
        <w:t>הרמב"ם</w:t>
      </w:r>
      <w:r w:rsidRPr="00FC3F69">
        <w:rPr>
          <w:rStyle w:val="afb"/>
          <w:rFonts w:hint="cs"/>
          <w:rtl/>
        </w:rPr>
        <w:t xml:space="preserve">, אבל לביאור </w:t>
      </w:r>
      <w:r w:rsidRPr="00555928">
        <w:rPr>
          <w:rStyle w:val="affa"/>
          <w:rFonts w:hint="cs"/>
          <w:rtl/>
        </w:rPr>
        <w:t>הב"י</w:t>
      </w:r>
      <w:r w:rsidRPr="00FC3F69">
        <w:rPr>
          <w:rStyle w:val="afb"/>
          <w:rFonts w:hint="cs"/>
          <w:rtl/>
        </w:rPr>
        <w:t xml:space="preserve"> </w:t>
      </w:r>
      <w:r w:rsidRPr="005220A9">
        <w:rPr>
          <w:rStyle w:val="aff6"/>
          <w:rFonts w:hint="cs"/>
          <w:rtl/>
        </w:rPr>
        <w:t xml:space="preserve">(עי' אות </w:t>
      </w:r>
      <w:r w:rsidRPr="005220A9">
        <w:rPr>
          <w:rStyle w:val="aff6"/>
          <w:rtl/>
        </w:rPr>
        <w:fldChar w:fldCharType="begin"/>
      </w:r>
      <w:r w:rsidRPr="005220A9">
        <w:rPr>
          <w:rStyle w:val="aff6"/>
          <w:rtl/>
        </w:rPr>
        <w:instrText xml:space="preserve"> </w:instrText>
      </w:r>
      <w:r w:rsidRPr="005220A9">
        <w:rPr>
          <w:rStyle w:val="aff6"/>
          <w:rFonts w:hint="cs"/>
        </w:rPr>
        <w:instrText>REF</w:instrText>
      </w:r>
      <w:r w:rsidRPr="005220A9">
        <w:rPr>
          <w:rStyle w:val="aff6"/>
          <w:rFonts w:hint="cs"/>
          <w:rtl/>
        </w:rPr>
        <w:instrText xml:space="preserve"> _</w:instrText>
      </w:r>
      <w:r w:rsidRPr="005220A9">
        <w:rPr>
          <w:rStyle w:val="aff6"/>
          <w:rFonts w:hint="cs"/>
        </w:rPr>
        <w:instrText>Ref59730655 \r \h</w:instrText>
      </w:r>
      <w:r w:rsidRPr="005220A9">
        <w:rPr>
          <w:rStyle w:val="aff6"/>
          <w:rtl/>
        </w:rPr>
        <w:instrText xml:space="preserve"> </w:instrText>
      </w:r>
      <w:r w:rsidRPr="005220A9">
        <w:rPr>
          <w:rStyle w:val="aff6"/>
          <w:rtl/>
        </w:rPr>
      </w:r>
      <w:r w:rsidRPr="005220A9">
        <w:rPr>
          <w:rStyle w:val="aff6"/>
          <w:rtl/>
        </w:rPr>
        <w:fldChar w:fldCharType="separate"/>
      </w:r>
      <w:r w:rsidR="00265073">
        <w:rPr>
          <w:rStyle w:val="aff6"/>
          <w:cs/>
        </w:rPr>
        <w:t>‎</w:t>
      </w:r>
      <w:r w:rsidR="00265073">
        <w:rPr>
          <w:rStyle w:val="aff6"/>
          <w:rtl/>
        </w:rPr>
        <w:t>צו)</w:t>
      </w:r>
      <w:r w:rsidRPr="005220A9">
        <w:rPr>
          <w:rStyle w:val="aff6"/>
          <w:rtl/>
        </w:rPr>
        <w:fldChar w:fldCharType="end"/>
      </w:r>
      <w:r w:rsidRPr="001D3C0A">
        <w:rPr>
          <w:rFonts w:hint="cs"/>
          <w:rtl/>
        </w:rPr>
        <w:t xml:space="preserve"> </w:t>
      </w:r>
      <w:r w:rsidRPr="00555928">
        <w:rPr>
          <w:rStyle w:val="affa"/>
          <w:rFonts w:hint="cs"/>
          <w:rtl/>
        </w:rPr>
        <w:t>ברמב"ם</w:t>
      </w:r>
      <w:r w:rsidRPr="00FC3F69">
        <w:rPr>
          <w:rStyle w:val="afb"/>
          <w:rFonts w:hint="cs"/>
          <w:rtl/>
        </w:rPr>
        <w:t xml:space="preserve"> איירי כשאין עדים למערער, ולק"מ קושית </w:t>
      </w:r>
      <w:r w:rsidRPr="00555928">
        <w:rPr>
          <w:rStyle w:val="affa"/>
          <w:rFonts w:hint="cs"/>
          <w:rtl/>
        </w:rPr>
        <w:t>הש"ך</w:t>
      </w:r>
      <w:r w:rsidRPr="00FC3F69">
        <w:rPr>
          <w:rStyle w:val="afb"/>
          <w:rFonts w:hint="cs"/>
          <w:rtl/>
        </w:rPr>
        <w:t>],</w:t>
      </w:r>
      <w:r>
        <w:rPr>
          <w:rFonts w:hint="cs"/>
          <w:rtl/>
        </w:rPr>
        <w:t xml:space="preserve"> </w:t>
      </w:r>
      <w:r w:rsidRPr="00FC3F69">
        <w:rPr>
          <w:rFonts w:hint="cs"/>
          <w:rtl/>
        </w:rPr>
        <w:t xml:space="preserve">אלא כתב </w:t>
      </w:r>
      <w:r w:rsidRPr="00FC3F69">
        <w:rPr>
          <w:rStyle w:val="af9"/>
          <w:rFonts w:hint="cs"/>
          <w:rtl/>
        </w:rPr>
        <w:t>הש"ך</w:t>
      </w:r>
      <w:r w:rsidRPr="00FC3F69">
        <w:rPr>
          <w:rFonts w:hint="cs"/>
          <w:rtl/>
        </w:rPr>
        <w:t xml:space="preserve"> </w:t>
      </w:r>
      <w:r w:rsidRPr="00FC3F69">
        <w:rPr>
          <w:rStyle w:val="af9"/>
          <w:rFonts w:hint="cs"/>
          <w:rtl/>
        </w:rPr>
        <w:t>דהמ"מ</w:t>
      </w:r>
      <w:r w:rsidRPr="00FC3F69">
        <w:rPr>
          <w:rFonts w:hint="cs"/>
          <w:rtl/>
        </w:rPr>
        <w:t xml:space="preserve"> למד כן</w:t>
      </w:r>
      <w:r>
        <w:rPr>
          <w:rFonts w:hint="cs"/>
          <w:rtl/>
        </w:rPr>
        <w:t xml:space="preserve"> ממ"ש </w:t>
      </w:r>
      <w:r w:rsidRPr="0003619E">
        <w:rPr>
          <w:rStyle w:val="af9"/>
          <w:rFonts w:hint="cs"/>
          <w:rtl/>
        </w:rPr>
        <w:t>הרמב"ם</w:t>
      </w:r>
      <w:r>
        <w:rPr>
          <w:rFonts w:hint="cs"/>
          <w:rtl/>
        </w:rPr>
        <w:t xml:space="preserve"> בתחילת דבריו דכיון שהודה המחזיק שהקרקע של המערער, והוא לא קנה ממנו, חוזרת הקרקע למערער, וביאר </w:t>
      </w:r>
      <w:r w:rsidRPr="0003619E">
        <w:rPr>
          <w:rStyle w:val="af9"/>
          <w:rFonts w:hint="cs"/>
          <w:rtl/>
        </w:rPr>
        <w:t>הש"ך</w:t>
      </w:r>
      <w:r>
        <w:rPr>
          <w:rFonts w:hint="cs"/>
          <w:rtl/>
        </w:rPr>
        <w:t xml:space="preserve"> דמדלא חילק </w:t>
      </w:r>
      <w:r w:rsidRPr="0003619E">
        <w:rPr>
          <w:rStyle w:val="af9"/>
          <w:rFonts w:hint="cs"/>
          <w:rtl/>
        </w:rPr>
        <w:t>הרמב"ם</w:t>
      </w:r>
      <w:r>
        <w:rPr>
          <w:rFonts w:hint="cs"/>
          <w:rtl/>
        </w:rPr>
        <w:t xml:space="preserve"> בין אם המחזיק הביא עדים שהמוכר דר בה חד יומא, או שלא הביא, משמע דבכל האופנים הוא צריך להחזיר, ולכן כתב </w:t>
      </w:r>
      <w:r w:rsidRPr="0003619E">
        <w:rPr>
          <w:rStyle w:val="af9"/>
          <w:rFonts w:hint="cs"/>
          <w:rtl/>
        </w:rPr>
        <w:t>המ"מ</w:t>
      </w:r>
      <w:r>
        <w:rPr>
          <w:rFonts w:hint="cs"/>
          <w:rtl/>
        </w:rPr>
        <w:t xml:space="preserve"> דמוכח דכל שאין לו חזקת ג"ש, לא מהני שיש לו עדים דדר בה המוכר חד יומא.</w:t>
      </w:r>
      <w:bookmarkEnd w:id="9455"/>
    </w:p>
    <w:p w:rsidR="000E75A3" w:rsidRPr="00EA46FC" w:rsidRDefault="000E75A3" w:rsidP="000E75A3">
      <w:pPr>
        <w:pStyle w:val="afe"/>
        <w:rPr>
          <w:rtl/>
        </w:rPr>
      </w:pPr>
      <w:bookmarkStart w:id="9456" w:name="_Toc59741628"/>
      <w:bookmarkStart w:id="9457" w:name="_Toc59786752"/>
      <w:bookmarkStart w:id="9458" w:name="_Toc59802566"/>
      <w:bookmarkStart w:id="9459" w:name="_Toc59916126"/>
      <w:r>
        <w:rPr>
          <w:rFonts w:hint="cs"/>
          <w:rtl/>
        </w:rPr>
        <w:t>ד' הרמב"ן דבעידי חד יומא א"צ חזקה</w:t>
      </w:r>
      <w:bookmarkEnd w:id="9428"/>
      <w:bookmarkEnd w:id="9429"/>
      <w:bookmarkEnd w:id="9456"/>
      <w:bookmarkEnd w:id="9457"/>
      <w:bookmarkEnd w:id="9458"/>
      <w:bookmarkEnd w:id="9459"/>
    </w:p>
    <w:p w:rsidR="000E75A3" w:rsidRDefault="000E75A3" w:rsidP="000E75A3">
      <w:pPr>
        <w:pStyle w:val="1"/>
        <w:rPr>
          <w:rtl/>
        </w:rPr>
      </w:pPr>
      <w:bookmarkStart w:id="9460" w:name="_Toc59620289"/>
      <w:bookmarkStart w:id="9461" w:name="_Toc59643560"/>
      <w:bookmarkStart w:id="9462" w:name="_Toc59741629"/>
      <w:bookmarkStart w:id="9463" w:name="_Toc59786753"/>
      <w:bookmarkStart w:id="9464" w:name="_Toc59802567"/>
      <w:bookmarkStart w:id="9465" w:name="_Toc59916127"/>
      <w:r>
        <w:rPr>
          <w:rFonts w:hint="cs"/>
          <w:rtl/>
        </w:rPr>
        <w:t>דברי הרמב"ן דכל שיש למחזיק עידי חד יומא א"צ חזק</w:t>
      </w:r>
      <w:bookmarkEnd w:id="9430"/>
      <w:bookmarkEnd w:id="9431"/>
      <w:bookmarkEnd w:id="9432"/>
      <w:bookmarkEnd w:id="9433"/>
      <w:bookmarkEnd w:id="9434"/>
      <w:bookmarkEnd w:id="9435"/>
      <w:bookmarkEnd w:id="9436"/>
      <w:r>
        <w:rPr>
          <w:rFonts w:hint="cs"/>
          <w:rtl/>
        </w:rPr>
        <w:t>ת ג"ש</w:t>
      </w:r>
      <w:bookmarkEnd w:id="9460"/>
      <w:bookmarkEnd w:id="9461"/>
      <w:bookmarkEnd w:id="9462"/>
      <w:bookmarkEnd w:id="9463"/>
      <w:bookmarkEnd w:id="9464"/>
      <w:bookmarkEnd w:id="9465"/>
    </w:p>
    <w:p w:rsidR="000E75A3" w:rsidRPr="00D41AEE" w:rsidRDefault="000E75A3" w:rsidP="000E75A3">
      <w:pPr>
        <w:pStyle w:val="a3"/>
        <w:rPr>
          <w:rtl/>
        </w:rPr>
      </w:pPr>
      <w:bookmarkStart w:id="9466" w:name="_Toc59490126"/>
      <w:bookmarkStart w:id="9467" w:name="_Toc59620290"/>
      <w:bookmarkStart w:id="9468" w:name="_Toc59643561"/>
      <w:bookmarkStart w:id="9469" w:name="_Toc59741630"/>
      <w:bookmarkStart w:id="9470" w:name="_Toc59786754"/>
      <w:bookmarkStart w:id="9471" w:name="_Toc59802568"/>
      <w:bookmarkStart w:id="9472" w:name="_Toc59916128"/>
      <w:r>
        <w:rPr>
          <w:rFonts w:hint="cs"/>
          <w:rtl/>
        </w:rPr>
        <w:t>דברי הרמב"ן דכשאין למערער עדים מהני עידי חד יומא אף בלי חזקה דחשיב לוקח וטענינן ליה</w:t>
      </w:r>
      <w:bookmarkEnd w:id="9466"/>
      <w:bookmarkEnd w:id="9467"/>
      <w:bookmarkEnd w:id="9468"/>
      <w:bookmarkEnd w:id="9469"/>
      <w:bookmarkEnd w:id="9470"/>
      <w:bookmarkEnd w:id="9471"/>
      <w:bookmarkEnd w:id="9472"/>
      <w:r>
        <w:rPr>
          <w:rFonts w:hint="cs"/>
          <w:rtl/>
        </w:rPr>
        <w:t xml:space="preserve"> </w:t>
      </w:r>
    </w:p>
    <w:p w:rsidR="000E75A3" w:rsidRDefault="000E75A3" w:rsidP="007E4E81">
      <w:pPr>
        <w:pStyle w:val="a0"/>
      </w:pPr>
      <w:bookmarkStart w:id="9473" w:name="_Ref57926110"/>
      <w:r>
        <w:rPr>
          <w:rFonts w:hint="cs"/>
          <w:rtl/>
        </w:rPr>
        <w:t xml:space="preserve"> </w:t>
      </w:r>
      <w:bookmarkStart w:id="9474" w:name="_Ref58428245"/>
      <w:r>
        <w:rPr>
          <w:rFonts w:hint="cs"/>
          <w:rtl/>
        </w:rPr>
        <w:t xml:space="preserve">אבל </w:t>
      </w:r>
      <w:r w:rsidRPr="00D80E0D">
        <w:rPr>
          <w:rStyle w:val="af9"/>
          <w:rFonts w:hint="cs"/>
          <w:rtl/>
        </w:rPr>
        <w:t>הרמב"ן</w:t>
      </w:r>
      <w:r>
        <w:rPr>
          <w:rFonts w:hint="cs"/>
          <w:rtl/>
        </w:rPr>
        <w:t xml:space="preserve"> </w:t>
      </w:r>
      <w:r w:rsidRPr="00C767B2">
        <w:rPr>
          <w:rStyle w:val="af7"/>
          <w:rFonts w:eastAsia="Guttman Hodes" w:hint="cs"/>
          <w:rtl/>
        </w:rPr>
        <w:t>(ד"ה והוי)</w:t>
      </w:r>
      <w:r>
        <w:rPr>
          <w:rFonts w:hint="cs"/>
          <w:rtl/>
        </w:rPr>
        <w:t xml:space="preserve"> כתב דאם יש עדים שהמוכר דר בה חד יומא, טענינן למחזיק אף שאין </w:t>
      </w:r>
      <w:r w:rsidRPr="00D65E18">
        <w:rPr>
          <w:rFonts w:hint="cs"/>
          <w:rtl/>
        </w:rPr>
        <w:t xml:space="preserve">לו חזקת ג"ש, </w:t>
      </w:r>
      <w:r w:rsidRPr="00D65E18">
        <w:rPr>
          <w:rStyle w:val="afb"/>
          <w:rFonts w:hint="cs"/>
          <w:rtl/>
        </w:rPr>
        <w:t xml:space="preserve">[ודלא </w:t>
      </w:r>
      <w:r w:rsidRPr="00D65E18">
        <w:rPr>
          <w:rStyle w:val="affa"/>
          <w:rFonts w:hint="cs"/>
          <w:rtl/>
        </w:rPr>
        <w:t>כרשב"ם</w:t>
      </w:r>
      <w:r w:rsidRPr="00D65E18">
        <w:rPr>
          <w:rStyle w:val="afb"/>
          <w:rFonts w:hint="cs"/>
          <w:rtl/>
        </w:rPr>
        <w:t xml:space="preserve"> </w:t>
      </w:r>
      <w:r w:rsidRPr="00D65E18">
        <w:rPr>
          <w:rStyle w:val="aff6"/>
          <w:rFonts w:hint="cs"/>
          <w:rtl/>
        </w:rPr>
        <w:t>(עי' אות</w:t>
      </w:r>
      <w:r>
        <w:rPr>
          <w:rStyle w:val="afb"/>
          <w:rFonts w:hint="cs"/>
          <w:rtl/>
        </w:rPr>
        <w:t xml:space="preserve"> </w:t>
      </w:r>
      <w:r w:rsidRPr="00244049">
        <w:rPr>
          <w:rStyle w:val="aff6"/>
          <w:rtl/>
        </w:rPr>
        <w:fldChar w:fldCharType="begin"/>
      </w:r>
      <w:r w:rsidRPr="00244049">
        <w:rPr>
          <w:rStyle w:val="aff6"/>
          <w:rtl/>
        </w:rPr>
        <w:instrText xml:space="preserve"> </w:instrText>
      </w:r>
      <w:r w:rsidRPr="00244049">
        <w:rPr>
          <w:rStyle w:val="aff6"/>
          <w:rFonts w:hint="cs"/>
        </w:rPr>
        <w:instrText>REF</w:instrText>
      </w:r>
      <w:r w:rsidRPr="00244049">
        <w:rPr>
          <w:rStyle w:val="aff6"/>
          <w:rFonts w:hint="cs"/>
          <w:rtl/>
        </w:rPr>
        <w:instrText xml:space="preserve"> _</w:instrText>
      </w:r>
      <w:r w:rsidRPr="00244049">
        <w:rPr>
          <w:rStyle w:val="aff6"/>
          <w:rFonts w:hint="cs"/>
        </w:rPr>
        <w:instrText>Ref57911397 \r \h</w:instrText>
      </w:r>
      <w:r w:rsidRPr="00244049">
        <w:rPr>
          <w:rStyle w:val="aff6"/>
          <w:rtl/>
        </w:rPr>
        <w:instrText xml:space="preserve"> </w:instrText>
      </w:r>
      <w:r w:rsidRPr="00244049">
        <w:rPr>
          <w:rStyle w:val="aff6"/>
          <w:rtl/>
        </w:rPr>
      </w:r>
      <w:r w:rsidRPr="00244049">
        <w:rPr>
          <w:rStyle w:val="aff6"/>
          <w:rtl/>
        </w:rPr>
        <w:fldChar w:fldCharType="separate"/>
      </w:r>
      <w:r w:rsidR="00265073">
        <w:rPr>
          <w:rStyle w:val="aff6"/>
          <w:cs/>
        </w:rPr>
        <w:t>‎</w:t>
      </w:r>
      <w:r w:rsidR="00265073">
        <w:rPr>
          <w:rStyle w:val="aff6"/>
          <w:rtl/>
        </w:rPr>
        <w:t>כח)</w:t>
      </w:r>
      <w:r w:rsidRPr="00244049">
        <w:rPr>
          <w:rStyle w:val="aff6"/>
          <w:rtl/>
        </w:rPr>
        <w:fldChar w:fldCharType="end"/>
      </w:r>
      <w:r w:rsidRPr="00D65E18">
        <w:rPr>
          <w:rStyle w:val="afb"/>
          <w:rFonts w:hint="cs"/>
          <w:rtl/>
        </w:rPr>
        <w:t xml:space="preserve">], </w:t>
      </w:r>
      <w:r w:rsidRPr="00D65E18">
        <w:rPr>
          <w:rFonts w:hint="cs"/>
          <w:rtl/>
        </w:rPr>
        <w:t xml:space="preserve">וביאר </w:t>
      </w:r>
      <w:r w:rsidRPr="00D65E18">
        <w:rPr>
          <w:rStyle w:val="af9"/>
          <w:rFonts w:hint="cs"/>
          <w:rtl/>
        </w:rPr>
        <w:t>הרמב"ן</w:t>
      </w:r>
      <w:r w:rsidRPr="00D65E18">
        <w:rPr>
          <w:rFonts w:hint="cs"/>
          <w:rtl/>
        </w:rPr>
        <w:t xml:space="preserve"> דהוא נאמן לומר שקנה מהמוכר, וא"כ הוא לוקח, ואם היה המוכר לפנינו היה נאמן ל</w:t>
      </w:r>
      <w:r>
        <w:rPr>
          <w:rFonts w:hint="cs"/>
          <w:rtl/>
        </w:rPr>
        <w:t xml:space="preserve">טעון שקנה מהמערער, </w:t>
      </w:r>
      <w:r w:rsidRPr="00894C81">
        <w:rPr>
          <w:rStyle w:val="afb"/>
          <w:rFonts w:hint="cs"/>
          <w:rtl/>
        </w:rPr>
        <w:t xml:space="preserve">[דהא אין למערער עדים], </w:t>
      </w:r>
      <w:r>
        <w:rPr>
          <w:rFonts w:hint="cs"/>
          <w:rtl/>
        </w:rPr>
        <w:t xml:space="preserve">ולכן טענינן אף למחזיק שקנה ממנו אף שאין לו חזקת ג"ש, </w:t>
      </w:r>
      <w:r w:rsidRPr="00894C81">
        <w:rPr>
          <w:rStyle w:val="afb"/>
          <w:rFonts w:hint="cs"/>
          <w:rtl/>
        </w:rPr>
        <w:t>[ו</w:t>
      </w:r>
      <w:r>
        <w:rPr>
          <w:rStyle w:val="afb"/>
          <w:rFonts w:hint="cs"/>
          <w:rtl/>
        </w:rPr>
        <w:t xml:space="preserve">ביאר </w:t>
      </w:r>
      <w:r w:rsidRPr="00D80E0D">
        <w:rPr>
          <w:rStyle w:val="affa"/>
          <w:rFonts w:hint="cs"/>
          <w:rtl/>
        </w:rPr>
        <w:t>הרשב"א</w:t>
      </w:r>
      <w:r>
        <w:rPr>
          <w:rStyle w:val="afb"/>
          <w:rFonts w:hint="cs"/>
          <w:rtl/>
        </w:rPr>
        <w:t xml:space="preserve"> </w:t>
      </w:r>
      <w:r w:rsidRPr="00D80E0D">
        <w:rPr>
          <w:rStyle w:val="aff6"/>
          <w:rFonts w:hint="cs"/>
          <w:rtl/>
        </w:rPr>
        <w:t>(ד"ה אבל הרמב"ן)</w:t>
      </w:r>
      <w:r>
        <w:rPr>
          <w:rStyle w:val="afb"/>
          <w:rFonts w:hint="cs"/>
          <w:rtl/>
        </w:rPr>
        <w:t xml:space="preserve"> בשם </w:t>
      </w:r>
      <w:r w:rsidRPr="00D80E0D">
        <w:rPr>
          <w:rStyle w:val="affa"/>
          <w:rFonts w:hint="cs"/>
          <w:rtl/>
        </w:rPr>
        <w:t>הרמב"ן</w:t>
      </w:r>
      <w:r>
        <w:rPr>
          <w:rStyle w:val="afb"/>
          <w:rFonts w:hint="cs"/>
          <w:rtl/>
        </w:rPr>
        <w:t xml:space="preserve"> דכיון שיש עדים שדר בה המוכר חד יומא, א"כ הוברר לנו שהמחזיק הוא לוקח,</w:t>
      </w:r>
      <w:r w:rsidRPr="006E7DA7">
        <w:rPr>
          <w:rStyle w:val="afb"/>
          <w:rFonts w:hint="cs"/>
          <w:rtl/>
        </w:rPr>
        <w:t xml:space="preserve"> </w:t>
      </w:r>
      <w:r>
        <w:rPr>
          <w:rStyle w:val="afb"/>
          <w:rFonts w:hint="cs"/>
          <w:rtl/>
        </w:rPr>
        <w:t xml:space="preserve">ולכן </w:t>
      </w:r>
      <w:r w:rsidRPr="006E7DA7">
        <w:rPr>
          <w:rStyle w:val="afb"/>
          <w:rFonts w:hint="cs"/>
          <w:rtl/>
        </w:rPr>
        <w:t xml:space="preserve">טענינן ללוקח כל מה שהמוכר היה </w:t>
      </w:r>
      <w:r w:rsidRPr="006E7DA7">
        <w:rPr>
          <w:rStyle w:val="afb"/>
          <w:rFonts w:hint="cs"/>
          <w:rtl/>
        </w:rPr>
        <w:t>יכול לטעון</w:t>
      </w:r>
      <w:r w:rsidRPr="00894C81">
        <w:rPr>
          <w:rStyle w:val="afb"/>
          <w:rFonts w:hint="cs"/>
          <w:rtl/>
        </w:rPr>
        <w:t xml:space="preserve">], </w:t>
      </w:r>
      <w:r>
        <w:rPr>
          <w:rFonts w:hint="cs"/>
          <w:rtl/>
        </w:rPr>
        <w:t xml:space="preserve">וכתב </w:t>
      </w:r>
      <w:r w:rsidRPr="00D80E0D">
        <w:rPr>
          <w:rStyle w:val="af9"/>
          <w:rFonts w:hint="cs"/>
          <w:rtl/>
        </w:rPr>
        <w:t>הרמב"ן</w:t>
      </w:r>
      <w:r>
        <w:rPr>
          <w:rFonts w:hint="cs"/>
          <w:rtl/>
        </w:rPr>
        <w:t xml:space="preserve"> דכ"מ דהצריכו חכמים חזקת ג"ש, הוא רק כשיש למערער עדים שהייתה שלו, אבל כשאין לו עדים, כל שהביא המחזיק עדים שדר בה המוכר חד יומא, טענינן לו שהמוכר קנה מהמערער.</w:t>
      </w:r>
      <w:bookmarkStart w:id="9475" w:name="_Toc57925957"/>
      <w:bookmarkStart w:id="9476" w:name="_Toc58091647"/>
      <w:bookmarkStart w:id="9477" w:name="_Toc58144916"/>
      <w:bookmarkStart w:id="9478" w:name="_Toc58272602"/>
      <w:bookmarkStart w:id="9479" w:name="_Toc58325037"/>
      <w:bookmarkStart w:id="9480" w:name="_Toc58359175"/>
      <w:bookmarkStart w:id="9481" w:name="_Toc58409436"/>
      <w:bookmarkStart w:id="9482" w:name="_Toc58432666"/>
      <w:bookmarkStart w:id="9483" w:name="_Toc58532480"/>
      <w:bookmarkStart w:id="9484" w:name="_Toc58580099"/>
      <w:bookmarkStart w:id="9485" w:name="_Toc59113241"/>
      <w:bookmarkStart w:id="9486" w:name="_Toc59136944"/>
      <w:bookmarkEnd w:id="9473"/>
      <w:bookmarkEnd w:id="9474"/>
    </w:p>
    <w:p w:rsidR="000E75A3" w:rsidRDefault="000E75A3" w:rsidP="000E75A3">
      <w:pPr>
        <w:pStyle w:val="1"/>
        <w:rPr>
          <w:rtl/>
        </w:rPr>
      </w:pPr>
      <w:bookmarkStart w:id="9487" w:name="_Toc59490127"/>
      <w:bookmarkStart w:id="9488" w:name="_Toc59620291"/>
      <w:bookmarkStart w:id="9489" w:name="_Toc59643562"/>
      <w:bookmarkStart w:id="9490" w:name="_Toc59741631"/>
      <w:bookmarkStart w:id="9491" w:name="_Toc59786755"/>
      <w:bookmarkStart w:id="9492" w:name="_Toc59802569"/>
      <w:bookmarkStart w:id="9493" w:name="_Toc59916129"/>
      <w:bookmarkEnd w:id="9475"/>
      <w:bookmarkEnd w:id="9476"/>
      <w:bookmarkEnd w:id="9477"/>
      <w:bookmarkEnd w:id="9478"/>
      <w:bookmarkEnd w:id="9479"/>
      <w:bookmarkEnd w:id="9480"/>
      <w:bookmarkEnd w:id="9481"/>
      <w:bookmarkEnd w:id="9482"/>
      <w:bookmarkEnd w:id="9483"/>
      <w:bookmarkEnd w:id="9484"/>
      <w:bookmarkEnd w:id="9485"/>
      <w:bookmarkEnd w:id="9486"/>
      <w:r>
        <w:rPr>
          <w:rFonts w:hint="cs"/>
          <w:rtl/>
        </w:rPr>
        <w:t>דחיית הריטב"א לרמב"ן</w:t>
      </w:r>
      <w:bookmarkEnd w:id="9487"/>
      <w:bookmarkEnd w:id="9488"/>
      <w:bookmarkEnd w:id="9489"/>
      <w:bookmarkEnd w:id="9490"/>
      <w:bookmarkEnd w:id="9491"/>
      <w:r>
        <w:rPr>
          <w:rFonts w:hint="cs"/>
          <w:rtl/>
        </w:rPr>
        <w:t xml:space="preserve"> דהודאתו כעדים והמוכר לא נאמן</w:t>
      </w:r>
      <w:bookmarkEnd w:id="9492"/>
      <w:bookmarkEnd w:id="9493"/>
    </w:p>
    <w:p w:rsidR="000E75A3" w:rsidRDefault="000E75A3" w:rsidP="000E75A3">
      <w:pPr>
        <w:pStyle w:val="a3"/>
        <w:rPr>
          <w:rtl/>
        </w:rPr>
      </w:pPr>
      <w:bookmarkStart w:id="9494" w:name="_Toc59490128"/>
      <w:bookmarkStart w:id="9495" w:name="_Toc59620292"/>
      <w:bookmarkStart w:id="9496" w:name="_Toc59643563"/>
      <w:bookmarkStart w:id="9497" w:name="_Toc59741632"/>
      <w:bookmarkStart w:id="9498" w:name="_Toc59786756"/>
      <w:bookmarkStart w:id="9499" w:name="_Toc59802570"/>
      <w:bookmarkStart w:id="9500" w:name="_Toc59916130"/>
      <w:r>
        <w:rPr>
          <w:rFonts w:hint="cs"/>
          <w:rtl/>
        </w:rPr>
        <w:t>דחיית הריטב"א דהודאתו היא כעדים למערער ולא נאמן המוכר במיגו ול"מ חד יומא בלא חזקה</w:t>
      </w:r>
      <w:bookmarkEnd w:id="9494"/>
      <w:bookmarkEnd w:id="9495"/>
      <w:bookmarkEnd w:id="9496"/>
      <w:bookmarkEnd w:id="9497"/>
      <w:bookmarkEnd w:id="9498"/>
      <w:bookmarkEnd w:id="9499"/>
      <w:bookmarkEnd w:id="9500"/>
    </w:p>
    <w:p w:rsidR="000E75A3" w:rsidRDefault="000E75A3" w:rsidP="007E4E81">
      <w:pPr>
        <w:pStyle w:val="a0"/>
        <w:rPr>
          <w:rtl/>
        </w:rPr>
      </w:pPr>
      <w:bookmarkStart w:id="9501" w:name="_Ref59177693"/>
      <w:r w:rsidRPr="003C5BFB">
        <w:rPr>
          <w:rFonts w:hint="cs"/>
          <w:rtl/>
        </w:rPr>
        <w:t>ו</w:t>
      </w:r>
      <w:r>
        <w:rPr>
          <w:rFonts w:hint="cs"/>
          <w:rtl/>
        </w:rPr>
        <w:t>דחה</w:t>
      </w:r>
      <w:r w:rsidRPr="003C5BFB">
        <w:rPr>
          <w:rFonts w:hint="cs"/>
          <w:rtl/>
        </w:rPr>
        <w:t xml:space="preserve"> </w:t>
      </w:r>
      <w:r w:rsidRPr="003C5BFB">
        <w:rPr>
          <w:rStyle w:val="af9"/>
          <w:rFonts w:hint="cs"/>
          <w:rtl/>
        </w:rPr>
        <w:t>הריטב"א</w:t>
      </w:r>
      <w:r w:rsidRPr="003C5BFB">
        <w:rPr>
          <w:rFonts w:hint="cs"/>
          <w:rtl/>
        </w:rPr>
        <w:t xml:space="preserve"> </w:t>
      </w:r>
      <w:r w:rsidRPr="003C5BFB">
        <w:rPr>
          <w:rStyle w:val="af7"/>
          <w:rFonts w:eastAsia="Guttman Hodes" w:hint="cs"/>
          <w:rtl/>
        </w:rPr>
        <w:t>(ד"ה והיכא)</w:t>
      </w:r>
      <w:r w:rsidRPr="003C5BFB">
        <w:rPr>
          <w:rFonts w:hint="cs"/>
          <w:rtl/>
        </w:rPr>
        <w:t xml:space="preserve"> את דברי </w:t>
      </w:r>
      <w:r w:rsidRPr="003C5BFB">
        <w:rPr>
          <w:rStyle w:val="af9"/>
          <w:rFonts w:hint="cs"/>
          <w:rtl/>
        </w:rPr>
        <w:t>הרמב"ן</w:t>
      </w:r>
      <w:r w:rsidRPr="003C5BFB">
        <w:rPr>
          <w:rFonts w:hint="cs"/>
          <w:rtl/>
        </w:rPr>
        <w:t xml:space="preserve"> </w:t>
      </w:r>
      <w:r w:rsidRPr="003C5BFB">
        <w:rPr>
          <w:rStyle w:val="af7"/>
          <w:rFonts w:eastAsia="Guttman Hodes" w:hint="cs"/>
          <w:rtl/>
        </w:rPr>
        <w:t xml:space="preserve">(עי' אות </w:t>
      </w:r>
      <w:r w:rsidRPr="003C5BFB">
        <w:rPr>
          <w:rStyle w:val="af7"/>
          <w:rFonts w:eastAsia="Guttman Hodes"/>
          <w:rtl/>
        </w:rPr>
        <w:fldChar w:fldCharType="begin"/>
      </w:r>
      <w:r w:rsidRPr="003C5BFB">
        <w:rPr>
          <w:rStyle w:val="af7"/>
          <w:rFonts w:eastAsia="Guttman Hodes"/>
          <w:rtl/>
        </w:rPr>
        <w:instrText xml:space="preserve"> </w:instrText>
      </w:r>
      <w:r w:rsidRPr="003C5BFB">
        <w:rPr>
          <w:rStyle w:val="af7"/>
          <w:rFonts w:eastAsia="Guttman Hodes" w:hint="cs"/>
        </w:rPr>
        <w:instrText>REF</w:instrText>
      </w:r>
      <w:r w:rsidRPr="003C5BFB">
        <w:rPr>
          <w:rStyle w:val="af7"/>
          <w:rFonts w:eastAsia="Guttman Hodes" w:hint="cs"/>
          <w:rtl/>
        </w:rPr>
        <w:instrText xml:space="preserve"> _</w:instrText>
      </w:r>
      <w:r w:rsidRPr="003C5BFB">
        <w:rPr>
          <w:rStyle w:val="af7"/>
          <w:rFonts w:eastAsia="Guttman Hodes" w:hint="cs"/>
        </w:rPr>
        <w:instrText>Ref58428245 \r \h</w:instrText>
      </w:r>
      <w:r w:rsidRPr="003C5BF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C5BFB">
        <w:rPr>
          <w:rStyle w:val="af7"/>
          <w:rFonts w:eastAsia="Guttman Hodes"/>
          <w:rtl/>
        </w:rPr>
      </w:r>
      <w:r w:rsidRPr="003C5BFB">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3C5BFB">
        <w:rPr>
          <w:rStyle w:val="af7"/>
          <w:rFonts w:eastAsia="Guttman Hodes"/>
          <w:rtl/>
        </w:rPr>
        <w:fldChar w:fldCharType="end"/>
      </w:r>
      <w:r w:rsidRPr="003C5BFB">
        <w:rPr>
          <w:rFonts w:hint="cs"/>
          <w:rtl/>
        </w:rPr>
        <w:t xml:space="preserve"> </w:t>
      </w:r>
      <w:r>
        <w:rPr>
          <w:rFonts w:hint="cs"/>
          <w:rtl/>
        </w:rPr>
        <w:t xml:space="preserve">דהא אחר שהודה המחזיק שהייתה של המערער, חשיב שיש למערער עדים שהוא המרא קמא, וממילא הנאמנות של המוכר בטלה, דכל הנאמנות של המוכר היא במיגו דהיה טוען שלא הייתה של המערער מעולם, אלא כתב </w:t>
      </w:r>
      <w:r w:rsidRPr="00CD408B">
        <w:rPr>
          <w:rStyle w:val="af9"/>
          <w:rFonts w:hint="cs"/>
          <w:rtl/>
        </w:rPr>
        <w:t>הריטב"א</w:t>
      </w:r>
      <w:r>
        <w:rPr>
          <w:rFonts w:hint="cs"/>
          <w:rtl/>
        </w:rPr>
        <w:t xml:space="preserve"> דכל שאין למחזיק חזקת ג"ש, מוציאים את הקרקע מהמחזיק, כדביאר </w:t>
      </w:r>
      <w:r w:rsidRPr="00CD408B">
        <w:rPr>
          <w:rStyle w:val="af9"/>
          <w:rFonts w:hint="cs"/>
          <w:rtl/>
        </w:rPr>
        <w:t>הרשב"ם</w:t>
      </w:r>
      <w:r>
        <w:rPr>
          <w:rFonts w:hint="cs"/>
          <w:rtl/>
        </w:rPr>
        <w:t xml:space="preserve"> </w:t>
      </w:r>
      <w:r w:rsidRPr="00D25BD7">
        <w:rPr>
          <w:rStyle w:val="af7"/>
          <w:rFonts w:eastAsia="Guttman Hodes" w:hint="cs"/>
          <w:rtl/>
        </w:rPr>
        <w:t xml:space="preserve">(עי' אות </w:t>
      </w:r>
      <w:r w:rsidRPr="00D25BD7">
        <w:rPr>
          <w:rStyle w:val="af7"/>
          <w:rFonts w:eastAsia="Guttman Hodes"/>
          <w:rtl/>
        </w:rPr>
        <w:fldChar w:fldCharType="begin"/>
      </w:r>
      <w:r w:rsidRPr="00D25BD7">
        <w:rPr>
          <w:rStyle w:val="af7"/>
          <w:rFonts w:eastAsia="Guttman Hodes"/>
          <w:rtl/>
        </w:rPr>
        <w:instrText xml:space="preserve"> </w:instrText>
      </w:r>
      <w:r w:rsidRPr="00D25BD7">
        <w:rPr>
          <w:rStyle w:val="af7"/>
          <w:rFonts w:eastAsia="Guttman Hodes" w:hint="cs"/>
        </w:rPr>
        <w:instrText>REF</w:instrText>
      </w:r>
      <w:r w:rsidRPr="00D25BD7">
        <w:rPr>
          <w:rStyle w:val="af7"/>
          <w:rFonts w:eastAsia="Guttman Hodes" w:hint="cs"/>
          <w:rtl/>
        </w:rPr>
        <w:instrText xml:space="preserve"> _</w:instrText>
      </w:r>
      <w:r w:rsidRPr="00D25BD7">
        <w:rPr>
          <w:rStyle w:val="af7"/>
          <w:rFonts w:eastAsia="Guttman Hodes" w:hint="cs"/>
        </w:rPr>
        <w:instrText>Ref57911397 \r \h</w:instrText>
      </w:r>
      <w:r w:rsidRPr="00D25BD7">
        <w:rPr>
          <w:rStyle w:val="af7"/>
          <w:rFonts w:eastAsia="Guttman Hodes"/>
          <w:rtl/>
        </w:rPr>
        <w:instrText xml:space="preserve"> </w:instrText>
      </w:r>
      <w:r w:rsidRPr="00D25BD7">
        <w:rPr>
          <w:rStyle w:val="af7"/>
          <w:rFonts w:eastAsia="Guttman Hodes"/>
          <w:rtl/>
        </w:rPr>
      </w:r>
      <w:r w:rsidRPr="00D25BD7">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D25BD7">
        <w:rPr>
          <w:rStyle w:val="af7"/>
          <w:rFonts w:eastAsia="Guttman Hodes"/>
          <w:rtl/>
        </w:rPr>
        <w:fldChar w:fldCharType="end"/>
      </w:r>
      <w:r>
        <w:rPr>
          <w:rFonts w:hint="cs"/>
          <w:rtl/>
        </w:rPr>
        <w:t>.</w:t>
      </w:r>
      <w:bookmarkEnd w:id="9501"/>
    </w:p>
    <w:p w:rsidR="000E75A3" w:rsidRDefault="000E75A3" w:rsidP="000E75A3">
      <w:pPr>
        <w:pStyle w:val="1"/>
        <w:rPr>
          <w:rtl/>
        </w:rPr>
      </w:pPr>
      <w:bookmarkStart w:id="9502" w:name="_Toc59136945"/>
      <w:bookmarkStart w:id="9503" w:name="_Toc59361637"/>
      <w:bookmarkStart w:id="9504" w:name="_Toc59490130"/>
      <w:bookmarkStart w:id="9505" w:name="_Toc59620293"/>
      <w:bookmarkStart w:id="9506" w:name="_Toc59643564"/>
      <w:bookmarkStart w:id="9507" w:name="_Toc59741633"/>
      <w:bookmarkStart w:id="9508" w:name="_Toc59786757"/>
      <w:bookmarkStart w:id="9509" w:name="_Toc59802571"/>
      <w:bookmarkStart w:id="9510" w:name="_Toc59916131"/>
      <w:r>
        <w:rPr>
          <w:rFonts w:hint="cs"/>
          <w:rtl/>
        </w:rPr>
        <w:t xml:space="preserve">ראיית הרמב"ן </w:t>
      </w:r>
      <w:bookmarkEnd w:id="9502"/>
      <w:bookmarkEnd w:id="9503"/>
      <w:bookmarkEnd w:id="9504"/>
      <w:r>
        <w:rPr>
          <w:rFonts w:hint="cs"/>
          <w:rtl/>
        </w:rPr>
        <w:t>מהא דיורשים שהודו בפקדון דלא טענינן להו</w:t>
      </w:r>
      <w:bookmarkEnd w:id="9505"/>
      <w:bookmarkEnd w:id="9506"/>
      <w:bookmarkEnd w:id="9507"/>
      <w:bookmarkEnd w:id="9508"/>
      <w:bookmarkEnd w:id="9509"/>
      <w:bookmarkEnd w:id="9510"/>
      <w:r>
        <w:rPr>
          <w:rFonts w:hint="cs"/>
          <w:rtl/>
        </w:rPr>
        <w:t xml:space="preserve"> </w:t>
      </w:r>
    </w:p>
    <w:p w:rsidR="000E75A3" w:rsidRDefault="000E75A3" w:rsidP="000E75A3">
      <w:pPr>
        <w:pStyle w:val="a3"/>
        <w:rPr>
          <w:rtl/>
        </w:rPr>
      </w:pPr>
      <w:bookmarkStart w:id="9511" w:name="_Toc59620294"/>
      <w:bookmarkStart w:id="9512" w:name="_Toc59643565"/>
      <w:bookmarkStart w:id="9513" w:name="_Toc59741634"/>
      <w:bookmarkStart w:id="9514" w:name="_Toc59786758"/>
      <w:bookmarkStart w:id="9515" w:name="_Toc59802572"/>
      <w:bookmarkStart w:id="9516" w:name="_Toc59916132"/>
      <w:r>
        <w:rPr>
          <w:rFonts w:hint="cs"/>
          <w:rtl/>
        </w:rPr>
        <w:t>ראיית הרמב"ן מיורשים שהודו למפקיד ואפ"ה טענינן להו מיגו דאביהם וה"ה דטענינן ל</w:t>
      </w:r>
      <w:bookmarkStart w:id="9517" w:name="_Ref57910433"/>
      <w:r>
        <w:rPr>
          <w:rFonts w:hint="cs"/>
          <w:rtl/>
        </w:rPr>
        <w:t>מחזיק</w:t>
      </w:r>
      <w:bookmarkEnd w:id="9511"/>
      <w:bookmarkEnd w:id="9512"/>
      <w:bookmarkEnd w:id="9513"/>
      <w:bookmarkEnd w:id="9514"/>
      <w:bookmarkEnd w:id="9515"/>
      <w:bookmarkEnd w:id="9516"/>
    </w:p>
    <w:p w:rsidR="000E75A3" w:rsidRDefault="000E75A3" w:rsidP="007E4E81">
      <w:pPr>
        <w:pStyle w:val="a0"/>
        <w:rPr>
          <w:rtl/>
        </w:rPr>
      </w:pPr>
      <w:r>
        <w:rPr>
          <w:rFonts w:hint="cs"/>
          <w:rtl/>
        </w:rPr>
        <w:t xml:space="preserve">אך כתב </w:t>
      </w:r>
      <w:r w:rsidRPr="00A0551D">
        <w:rPr>
          <w:rStyle w:val="af9"/>
          <w:rFonts w:hint="cs"/>
          <w:rtl/>
        </w:rPr>
        <w:t xml:space="preserve">הרמב"ן </w:t>
      </w:r>
      <w:r w:rsidRPr="001F11A9">
        <w:rPr>
          <w:rStyle w:val="af7"/>
          <w:rFonts w:eastAsia="Guttman Hodes" w:hint="cs"/>
          <w:rtl/>
        </w:rPr>
        <w:t>(ד"ה וסברא)</w:t>
      </w:r>
      <w:r w:rsidRPr="00C62993">
        <w:rPr>
          <w:rFonts w:hint="cs"/>
          <w:rtl/>
        </w:rPr>
        <w:t xml:space="preserve"> </w:t>
      </w:r>
      <w:r>
        <w:rPr>
          <w:rFonts w:hint="cs"/>
          <w:rtl/>
        </w:rPr>
        <w:t xml:space="preserve">דיש לעיין במה שביאר בדעת </w:t>
      </w:r>
      <w:r w:rsidRPr="00266A13">
        <w:rPr>
          <w:rStyle w:val="af9"/>
          <w:rFonts w:hint="cs"/>
          <w:rtl/>
        </w:rPr>
        <w:t>הרשב"ם</w:t>
      </w:r>
      <w:r>
        <w:rPr>
          <w:rFonts w:hint="cs"/>
          <w:rtl/>
        </w:rPr>
        <w:t xml:space="preserve"> </w:t>
      </w:r>
      <w:r w:rsidRPr="00AE28BF">
        <w:rPr>
          <w:rStyle w:val="af7"/>
          <w:rFonts w:eastAsia="Guttman Hodes" w:hint="cs"/>
          <w:rtl/>
        </w:rPr>
        <w:t xml:space="preserve">(עי' אות </w:t>
      </w:r>
      <w:r w:rsidRPr="00AE28BF">
        <w:rPr>
          <w:rStyle w:val="af7"/>
          <w:rFonts w:eastAsia="Guttman Hodes"/>
          <w:rtl/>
        </w:rPr>
        <w:fldChar w:fldCharType="begin"/>
      </w:r>
      <w:r w:rsidRPr="00AE28BF">
        <w:rPr>
          <w:rStyle w:val="af7"/>
          <w:rFonts w:eastAsia="Guttman Hodes"/>
          <w:rtl/>
        </w:rPr>
        <w:instrText xml:space="preserve"> </w:instrText>
      </w:r>
      <w:r w:rsidRPr="00AE28BF">
        <w:rPr>
          <w:rStyle w:val="af7"/>
          <w:rFonts w:eastAsia="Guttman Hodes" w:hint="cs"/>
        </w:rPr>
        <w:instrText>REF</w:instrText>
      </w:r>
      <w:r w:rsidRPr="00AE28BF">
        <w:rPr>
          <w:rStyle w:val="af7"/>
          <w:rFonts w:eastAsia="Guttman Hodes" w:hint="cs"/>
          <w:rtl/>
        </w:rPr>
        <w:instrText xml:space="preserve"> _</w:instrText>
      </w:r>
      <w:r w:rsidRPr="00AE28BF">
        <w:rPr>
          <w:rStyle w:val="af7"/>
          <w:rFonts w:eastAsia="Guttman Hodes" w:hint="cs"/>
        </w:rPr>
        <w:instrText>Ref58428729 \r \h</w:instrText>
      </w:r>
      <w:r w:rsidRPr="00AE28BF">
        <w:rPr>
          <w:rStyle w:val="af7"/>
          <w:rFonts w:eastAsia="Guttman Hodes"/>
          <w:rtl/>
        </w:rPr>
        <w:instrText xml:space="preserve"> </w:instrText>
      </w:r>
      <w:r w:rsidRPr="00AE28BF">
        <w:rPr>
          <w:rStyle w:val="af7"/>
          <w:rFonts w:eastAsia="Guttman Hodes"/>
          <w:rtl/>
        </w:rPr>
      </w:r>
      <w:r w:rsidRPr="00AE28BF">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AE28BF">
        <w:rPr>
          <w:rStyle w:val="af7"/>
          <w:rFonts w:eastAsia="Guttman Hodes"/>
          <w:rtl/>
        </w:rPr>
        <w:fldChar w:fldCharType="end"/>
      </w:r>
      <w:r>
        <w:rPr>
          <w:rFonts w:hint="cs"/>
          <w:rtl/>
        </w:rPr>
        <w:t xml:space="preserve"> דבהודה המחזיק לא מהני מיגו, והביא </w:t>
      </w:r>
      <w:r w:rsidRPr="00A0551D">
        <w:rPr>
          <w:rStyle w:val="af9"/>
          <w:rFonts w:hint="cs"/>
          <w:rtl/>
        </w:rPr>
        <w:t xml:space="preserve">הרמב"ן </w:t>
      </w:r>
      <w:r>
        <w:rPr>
          <w:rFonts w:hint="cs"/>
          <w:rtl/>
        </w:rPr>
        <w:t>ראיה דלא כביאורו בדעת</w:t>
      </w:r>
      <w:r w:rsidRPr="00C62993">
        <w:rPr>
          <w:rFonts w:hint="cs"/>
          <w:rtl/>
        </w:rPr>
        <w:t xml:space="preserve"> </w:t>
      </w:r>
      <w:r>
        <w:rPr>
          <w:rStyle w:val="af9"/>
          <w:rFonts w:hint="cs"/>
          <w:rtl/>
        </w:rPr>
        <w:t>הרשב"ם</w:t>
      </w:r>
      <w:r>
        <w:rPr>
          <w:rFonts w:hint="cs"/>
          <w:rtl/>
        </w:rPr>
        <w:t xml:space="preserve">, מהא דהמפקיד אצל חבירו בעדים ומת, ותובע המפקיד את היורשים, ויש עדים על עצם הפקדון, והודו היורשים שהחפץ נמצא בידם מאביהם, אך המפקיד עצמו לא ראה </w:t>
      </w:r>
      <w:r w:rsidRPr="001F11A9">
        <w:rPr>
          <w:rFonts w:hint="cs"/>
          <w:rtl/>
        </w:rPr>
        <w:t>את החפץ</w:t>
      </w:r>
      <w:r>
        <w:rPr>
          <w:rFonts w:hint="cs"/>
          <w:rtl/>
        </w:rPr>
        <w:t xml:space="preserve"> בידם</w:t>
      </w:r>
      <w:r w:rsidRPr="001F11A9">
        <w:rPr>
          <w:rFonts w:hint="cs"/>
          <w:rtl/>
        </w:rPr>
        <w:t xml:space="preserve">, </w:t>
      </w:r>
      <w:r>
        <w:rPr>
          <w:rFonts w:hint="cs"/>
          <w:rtl/>
        </w:rPr>
        <w:t>ד</w:t>
      </w:r>
      <w:r w:rsidRPr="001F11A9">
        <w:rPr>
          <w:rFonts w:hint="cs"/>
          <w:rtl/>
        </w:rPr>
        <w:t xml:space="preserve">בכה"ג טענינן ליורשים כל מה שהיה אביהם יכול לטעון, דהיה נאמן לומר שאחר הפקדון חזר וקנה מהמפקיד, במיגו דהחזרתיו לך, אעפ"י שהיורשים מודים שהחפץ בידם, </w:t>
      </w:r>
      <w:r>
        <w:rPr>
          <w:rFonts w:hint="cs"/>
          <w:rtl/>
        </w:rPr>
        <w:t xml:space="preserve">מ"מ טענינן להו, </w:t>
      </w:r>
      <w:r w:rsidRPr="001F11A9">
        <w:rPr>
          <w:rFonts w:hint="cs"/>
          <w:rtl/>
        </w:rPr>
        <w:t xml:space="preserve">וביאר </w:t>
      </w:r>
      <w:r w:rsidRPr="001F11A9">
        <w:rPr>
          <w:rStyle w:val="af9"/>
          <w:rFonts w:hint="cs"/>
          <w:rtl/>
        </w:rPr>
        <w:t xml:space="preserve">הרשב"א </w:t>
      </w:r>
      <w:r w:rsidRPr="001F11A9">
        <w:rPr>
          <w:rStyle w:val="af7"/>
          <w:rFonts w:eastAsia="Guttman Hodes" w:hint="cs"/>
          <w:rtl/>
        </w:rPr>
        <w:t xml:space="preserve">(ד"ה אבל הרמב"ן) </w:t>
      </w:r>
      <w:r>
        <w:rPr>
          <w:rFonts w:hint="cs"/>
          <w:rtl/>
        </w:rPr>
        <w:t xml:space="preserve">את דברי </w:t>
      </w:r>
      <w:r w:rsidRPr="003F3D26">
        <w:rPr>
          <w:rStyle w:val="af9"/>
          <w:rFonts w:hint="cs"/>
          <w:rtl/>
        </w:rPr>
        <w:t>הרמב"ן</w:t>
      </w:r>
      <w:r>
        <w:rPr>
          <w:rFonts w:hint="cs"/>
          <w:rtl/>
        </w:rPr>
        <w:t xml:space="preserve"> דה"ה הכא דאף שהמחזיק מודה לטענת המערער, מ"מ אמרינן טענינן, וטוענים לו את הטענה שהיה המוכר יכול לטעון, כיון שיש לו עידי חד יומא ומוכח דהוא לוקח, וכדעת </w:t>
      </w:r>
      <w:r w:rsidRPr="005535EA">
        <w:rPr>
          <w:rStyle w:val="af9"/>
          <w:rFonts w:hint="cs"/>
          <w:rtl/>
        </w:rPr>
        <w:t>הרמב"ן</w:t>
      </w:r>
      <w:r>
        <w:rPr>
          <w:rFonts w:hint="cs"/>
          <w:rtl/>
        </w:rPr>
        <w:t xml:space="preserve"> </w:t>
      </w:r>
      <w:r w:rsidRPr="005535EA">
        <w:rPr>
          <w:rStyle w:val="af7"/>
          <w:rFonts w:eastAsia="Guttman Hodes" w:hint="cs"/>
          <w:rtl/>
        </w:rPr>
        <w:t xml:space="preserve">(עי' אות </w:t>
      </w:r>
      <w:r w:rsidRPr="005535EA">
        <w:rPr>
          <w:rStyle w:val="af7"/>
          <w:rFonts w:eastAsia="Guttman Hodes"/>
          <w:rtl/>
        </w:rPr>
        <w:fldChar w:fldCharType="begin"/>
      </w:r>
      <w:r w:rsidRPr="005535EA">
        <w:rPr>
          <w:rStyle w:val="af7"/>
          <w:rFonts w:eastAsia="Guttman Hodes"/>
          <w:rtl/>
        </w:rPr>
        <w:instrText xml:space="preserve"> </w:instrText>
      </w:r>
      <w:r w:rsidRPr="005535EA">
        <w:rPr>
          <w:rStyle w:val="af7"/>
          <w:rFonts w:eastAsia="Guttman Hodes" w:hint="cs"/>
        </w:rPr>
        <w:instrText>REF</w:instrText>
      </w:r>
      <w:r w:rsidRPr="005535EA">
        <w:rPr>
          <w:rStyle w:val="af7"/>
          <w:rFonts w:eastAsia="Guttman Hodes" w:hint="cs"/>
          <w:rtl/>
        </w:rPr>
        <w:instrText xml:space="preserve"> _</w:instrText>
      </w:r>
      <w:r w:rsidRPr="005535EA">
        <w:rPr>
          <w:rStyle w:val="af7"/>
          <w:rFonts w:eastAsia="Guttman Hodes" w:hint="cs"/>
        </w:rPr>
        <w:instrText>Ref58428245 \r \h</w:instrText>
      </w:r>
      <w:r w:rsidRPr="005535EA">
        <w:rPr>
          <w:rStyle w:val="af7"/>
          <w:rFonts w:eastAsia="Guttman Hodes"/>
          <w:rtl/>
        </w:rPr>
        <w:instrText xml:space="preserve"> </w:instrText>
      </w:r>
      <w:r w:rsidRPr="005535EA">
        <w:rPr>
          <w:rStyle w:val="af7"/>
          <w:rFonts w:eastAsia="Guttman Hodes"/>
          <w:rtl/>
        </w:rPr>
      </w:r>
      <w:r w:rsidRPr="005535EA">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5535EA">
        <w:rPr>
          <w:rStyle w:val="af7"/>
          <w:rFonts w:eastAsia="Guttman Hodes"/>
          <w:rtl/>
        </w:rPr>
        <w:fldChar w:fldCharType="end"/>
      </w:r>
      <w:r>
        <w:rPr>
          <w:rFonts w:hint="cs"/>
          <w:rtl/>
        </w:rPr>
        <w:t xml:space="preserve"> ודלא </w:t>
      </w:r>
      <w:r>
        <w:rPr>
          <w:rStyle w:val="af9"/>
          <w:rFonts w:hint="cs"/>
          <w:rtl/>
        </w:rPr>
        <w:t>כ</w:t>
      </w:r>
      <w:r w:rsidRPr="00D80E0D">
        <w:rPr>
          <w:rStyle w:val="af9"/>
          <w:rFonts w:hint="cs"/>
          <w:rtl/>
        </w:rPr>
        <w:t>הרשב"ם</w:t>
      </w:r>
      <w:r>
        <w:rPr>
          <w:rFonts w:hint="cs"/>
          <w:rtl/>
        </w:rPr>
        <w:t xml:space="preserve"> </w:t>
      </w:r>
      <w:r w:rsidRPr="00D80E0D">
        <w:rPr>
          <w:rStyle w:val="af7"/>
          <w:rFonts w:eastAsia="Guttman Hodes" w:hint="cs"/>
          <w:rtl/>
        </w:rPr>
        <w:t xml:space="preserve">(עי' אות </w:t>
      </w:r>
      <w:r w:rsidRPr="00D80E0D">
        <w:rPr>
          <w:rStyle w:val="af7"/>
          <w:rFonts w:eastAsia="Guttman Hodes"/>
          <w:rtl/>
        </w:rPr>
        <w:fldChar w:fldCharType="begin"/>
      </w:r>
      <w:r w:rsidRPr="00D80E0D">
        <w:rPr>
          <w:rStyle w:val="af7"/>
          <w:rFonts w:eastAsia="Guttman Hodes"/>
          <w:rtl/>
        </w:rPr>
        <w:instrText xml:space="preserve"> </w:instrText>
      </w:r>
      <w:r w:rsidRPr="00D80E0D">
        <w:rPr>
          <w:rStyle w:val="af7"/>
          <w:rFonts w:eastAsia="Guttman Hodes" w:hint="cs"/>
        </w:rPr>
        <w:instrText>REF</w:instrText>
      </w:r>
      <w:r w:rsidRPr="00D80E0D">
        <w:rPr>
          <w:rStyle w:val="af7"/>
          <w:rFonts w:eastAsia="Guttman Hodes" w:hint="cs"/>
          <w:rtl/>
        </w:rPr>
        <w:instrText xml:space="preserve"> _</w:instrText>
      </w:r>
      <w:r w:rsidRPr="00D80E0D">
        <w:rPr>
          <w:rStyle w:val="af7"/>
          <w:rFonts w:eastAsia="Guttman Hodes" w:hint="cs"/>
        </w:rPr>
        <w:instrText>Ref57911397 \r \h</w:instrText>
      </w:r>
      <w:r w:rsidRPr="00D80E0D">
        <w:rPr>
          <w:rStyle w:val="af7"/>
          <w:rFonts w:eastAsia="Guttman Hodes"/>
          <w:rtl/>
        </w:rPr>
        <w:instrText xml:space="preserve"> </w:instrText>
      </w:r>
      <w:r w:rsidRPr="00D80E0D">
        <w:rPr>
          <w:rStyle w:val="af7"/>
          <w:rFonts w:eastAsia="Guttman Hodes"/>
          <w:rtl/>
        </w:rPr>
      </w:r>
      <w:r w:rsidRPr="00D80E0D">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D80E0D">
        <w:rPr>
          <w:rStyle w:val="af7"/>
          <w:rFonts w:eastAsia="Guttman Hodes"/>
          <w:rtl/>
        </w:rPr>
        <w:fldChar w:fldCharType="end"/>
      </w:r>
      <w:r w:rsidRPr="001F11A9">
        <w:rPr>
          <w:rStyle w:val="af1"/>
          <w:rtl/>
        </w:rPr>
        <w:footnoteReference w:id="62"/>
      </w:r>
      <w:r w:rsidRPr="001F11A9">
        <w:rPr>
          <w:rFonts w:hint="cs"/>
          <w:rtl/>
        </w:rPr>
        <w:t>.</w:t>
      </w:r>
      <w:bookmarkEnd w:id="9517"/>
    </w:p>
    <w:p w:rsidR="000E75A3" w:rsidRPr="0032737E" w:rsidRDefault="000E75A3" w:rsidP="000E75A3">
      <w:pPr>
        <w:pStyle w:val="1"/>
        <w:rPr>
          <w:rtl/>
        </w:rPr>
      </w:pPr>
      <w:bookmarkStart w:id="9518" w:name="_Toc59136946"/>
      <w:bookmarkStart w:id="9519" w:name="_Toc59361638"/>
      <w:bookmarkStart w:id="9520" w:name="_Toc59490131"/>
      <w:bookmarkStart w:id="9521" w:name="_Toc59620295"/>
      <w:bookmarkStart w:id="9522" w:name="_Toc59643566"/>
      <w:bookmarkStart w:id="9523" w:name="_Toc59741635"/>
      <w:bookmarkStart w:id="9524" w:name="_Toc59786759"/>
      <w:bookmarkStart w:id="9525" w:name="_Toc59802573"/>
      <w:bookmarkStart w:id="9526" w:name="_Toc59916133"/>
      <w:r w:rsidRPr="0032737E">
        <w:rPr>
          <w:rFonts w:hint="cs"/>
          <w:rtl/>
        </w:rPr>
        <w:t>דחי</w:t>
      </w:r>
      <w:r>
        <w:rPr>
          <w:rFonts w:hint="cs"/>
          <w:rtl/>
        </w:rPr>
        <w:t>ו</w:t>
      </w:r>
      <w:r w:rsidRPr="0032737E">
        <w:rPr>
          <w:rFonts w:hint="cs"/>
          <w:rtl/>
        </w:rPr>
        <w:t xml:space="preserve">ת הרשב"א והריטב"א לראיית הרמב"ן </w:t>
      </w:r>
      <w:bookmarkEnd w:id="9518"/>
      <w:bookmarkEnd w:id="9519"/>
      <w:bookmarkEnd w:id="9520"/>
      <w:r>
        <w:rPr>
          <w:rFonts w:hint="cs"/>
          <w:rtl/>
        </w:rPr>
        <w:t>מיורשים</w:t>
      </w:r>
      <w:bookmarkEnd w:id="9521"/>
      <w:bookmarkEnd w:id="9522"/>
      <w:bookmarkEnd w:id="9523"/>
      <w:bookmarkEnd w:id="9524"/>
      <w:bookmarkEnd w:id="9525"/>
      <w:bookmarkEnd w:id="9526"/>
    </w:p>
    <w:p w:rsidR="000E75A3" w:rsidRPr="0032737E" w:rsidRDefault="000E75A3" w:rsidP="000E75A3">
      <w:pPr>
        <w:pStyle w:val="a3"/>
        <w:rPr>
          <w:rtl/>
        </w:rPr>
      </w:pPr>
      <w:bookmarkStart w:id="9527" w:name="_Toc59620296"/>
      <w:bookmarkStart w:id="9528" w:name="_Toc59643567"/>
      <w:bookmarkStart w:id="9529" w:name="_Toc59741636"/>
      <w:bookmarkStart w:id="9530" w:name="_Toc59786760"/>
      <w:bookmarkStart w:id="9531" w:name="_Toc59802574"/>
      <w:bookmarkStart w:id="9532" w:name="_Toc59916134"/>
      <w:r>
        <w:rPr>
          <w:rFonts w:hint="cs"/>
          <w:rtl/>
        </w:rPr>
        <w:t>דברי הרשב"א דאף ביורשים מסתבר שמוציאים מהם ולא טענינן מיגו דאביהם</w:t>
      </w:r>
      <w:bookmarkEnd w:id="9527"/>
      <w:bookmarkEnd w:id="9528"/>
      <w:bookmarkEnd w:id="9529"/>
      <w:bookmarkEnd w:id="9530"/>
      <w:bookmarkEnd w:id="9531"/>
      <w:bookmarkEnd w:id="9532"/>
    </w:p>
    <w:p w:rsidR="000E75A3" w:rsidRPr="0032737E" w:rsidRDefault="000E75A3" w:rsidP="007E4E81">
      <w:pPr>
        <w:pStyle w:val="a0"/>
        <w:rPr>
          <w:rtl/>
        </w:rPr>
      </w:pPr>
      <w:bookmarkStart w:id="9533" w:name="_Ref59528052"/>
      <w:r w:rsidRPr="0032737E">
        <w:rPr>
          <w:rFonts w:hint="cs"/>
          <w:rtl/>
        </w:rPr>
        <w:t xml:space="preserve">אך </w:t>
      </w:r>
      <w:r w:rsidRPr="0032737E">
        <w:rPr>
          <w:rStyle w:val="af9"/>
          <w:rFonts w:hint="cs"/>
          <w:rtl/>
        </w:rPr>
        <w:t xml:space="preserve">הרשב"א </w:t>
      </w:r>
      <w:r w:rsidRPr="0032737E">
        <w:rPr>
          <w:rStyle w:val="af7"/>
          <w:rFonts w:eastAsia="Guttman Hodes" w:hint="cs"/>
          <w:rtl/>
        </w:rPr>
        <w:t xml:space="preserve">(ד"ה אבל הרמב"ן) </w:t>
      </w:r>
      <w:r w:rsidRPr="0032737E">
        <w:rPr>
          <w:rFonts w:hint="cs"/>
          <w:rtl/>
        </w:rPr>
        <w:t xml:space="preserve">כתב דהראיה שהביא </w:t>
      </w:r>
      <w:r w:rsidRPr="0032737E">
        <w:rPr>
          <w:rStyle w:val="af9"/>
          <w:rFonts w:hint="cs"/>
          <w:rtl/>
        </w:rPr>
        <w:t xml:space="preserve">הרמב"ן </w:t>
      </w:r>
      <w:r w:rsidRPr="0032737E">
        <w:rPr>
          <w:rFonts w:hint="cs"/>
          <w:rtl/>
        </w:rPr>
        <w:t>מפקדון, היא צריכה ראיה, ומסתבר ד</w:t>
      </w:r>
      <w:r>
        <w:rPr>
          <w:rFonts w:hint="cs"/>
          <w:rtl/>
        </w:rPr>
        <w:t xml:space="preserve">כיון שהודו היורשים </w:t>
      </w:r>
      <w:r w:rsidRPr="0032737E">
        <w:rPr>
          <w:rFonts w:hint="cs"/>
          <w:rtl/>
        </w:rPr>
        <w:t xml:space="preserve">מוציאין </w:t>
      </w:r>
      <w:r>
        <w:rPr>
          <w:rFonts w:hint="cs"/>
          <w:rtl/>
        </w:rPr>
        <w:t>מה</w:t>
      </w:r>
      <w:r w:rsidRPr="0032737E">
        <w:rPr>
          <w:rFonts w:hint="cs"/>
          <w:rtl/>
        </w:rPr>
        <w:t>ם, ונותנים למפקיד,</w:t>
      </w:r>
      <w:r>
        <w:rPr>
          <w:rFonts w:hint="cs"/>
          <w:rtl/>
        </w:rPr>
        <w:t xml:space="preserve"> </w:t>
      </w:r>
      <w:r w:rsidRPr="0032737E">
        <w:rPr>
          <w:rStyle w:val="afb"/>
          <w:rFonts w:hint="cs"/>
          <w:rtl/>
        </w:rPr>
        <w:t>[ולא מהני להו המיגו שהיה אביהם נאמן],</w:t>
      </w:r>
      <w:r w:rsidRPr="0032737E">
        <w:rPr>
          <w:rFonts w:hint="cs"/>
          <w:rtl/>
        </w:rPr>
        <w:t xml:space="preserve"> כמבואר בגמ' בכתובות </w:t>
      </w:r>
      <w:r w:rsidRPr="0032737E">
        <w:rPr>
          <w:rStyle w:val="af7"/>
          <w:rFonts w:eastAsia="Guttman Hodes" w:hint="cs"/>
          <w:rtl/>
        </w:rPr>
        <w:t xml:space="preserve">(פה:) </w:t>
      </w:r>
      <w:r w:rsidRPr="0032737E">
        <w:rPr>
          <w:rFonts w:hint="cs"/>
          <w:rtl/>
        </w:rPr>
        <w:t xml:space="preserve">ובגמ' בב"מ </w:t>
      </w:r>
      <w:r w:rsidRPr="0032737E">
        <w:rPr>
          <w:rStyle w:val="af7"/>
          <w:rFonts w:eastAsia="Guttman Hodes" w:hint="cs"/>
          <w:rtl/>
        </w:rPr>
        <w:t>(ע.)</w:t>
      </w:r>
      <w:r w:rsidRPr="0032737E">
        <w:rPr>
          <w:rFonts w:hint="cs"/>
          <w:rtl/>
        </w:rPr>
        <w:t xml:space="preserve">, והביא </w:t>
      </w:r>
      <w:r w:rsidRPr="0032737E">
        <w:rPr>
          <w:rStyle w:val="af9"/>
          <w:rFonts w:hint="cs"/>
          <w:rtl/>
        </w:rPr>
        <w:t>הרשב"א דהרמב"ן בב"מ</w:t>
      </w:r>
      <w:r w:rsidRPr="0032737E">
        <w:rPr>
          <w:rFonts w:hint="cs"/>
          <w:rtl/>
        </w:rPr>
        <w:t xml:space="preserve"> </w:t>
      </w:r>
      <w:r w:rsidRPr="0032737E">
        <w:rPr>
          <w:rStyle w:val="af7"/>
          <w:rFonts w:eastAsia="Guttman Hodes" w:hint="cs"/>
          <w:rtl/>
        </w:rPr>
        <w:t xml:space="preserve">(ע. ד"ה דבר) </w:t>
      </w:r>
      <w:r w:rsidRPr="0032737E">
        <w:rPr>
          <w:rFonts w:hint="cs"/>
          <w:rtl/>
        </w:rPr>
        <w:t>כתב כן.</w:t>
      </w:r>
      <w:bookmarkEnd w:id="9533"/>
      <w:r w:rsidRPr="0032737E">
        <w:rPr>
          <w:rFonts w:hint="cs"/>
          <w:rtl/>
        </w:rPr>
        <w:t xml:space="preserve"> </w:t>
      </w:r>
    </w:p>
    <w:p w:rsidR="000E75A3" w:rsidRPr="00CD408B" w:rsidRDefault="000E75A3" w:rsidP="000E75A3">
      <w:pPr>
        <w:pStyle w:val="a3"/>
        <w:rPr>
          <w:rtl/>
        </w:rPr>
      </w:pPr>
      <w:bookmarkStart w:id="9534" w:name="_Toc59620297"/>
      <w:bookmarkStart w:id="9535" w:name="_Toc59643568"/>
      <w:bookmarkStart w:id="9536" w:name="_Toc59741637"/>
      <w:bookmarkStart w:id="9537" w:name="_Toc59786761"/>
      <w:bookmarkStart w:id="9538" w:name="_Toc59802575"/>
      <w:bookmarkStart w:id="9539" w:name="_Toc59916135"/>
      <w:r>
        <w:rPr>
          <w:rFonts w:hint="cs"/>
          <w:rtl/>
        </w:rPr>
        <w:t>דברי הריטב"א דהודאת המחזיק דמי לראו את הפקדון ביד היורשים ולא הודו דטענינן להו</w:t>
      </w:r>
      <w:bookmarkEnd w:id="9534"/>
      <w:bookmarkEnd w:id="9535"/>
      <w:bookmarkEnd w:id="9536"/>
      <w:bookmarkEnd w:id="9537"/>
      <w:bookmarkEnd w:id="9538"/>
      <w:bookmarkEnd w:id="9539"/>
    </w:p>
    <w:p w:rsidR="000E75A3" w:rsidRDefault="000E75A3" w:rsidP="007E4E81">
      <w:pPr>
        <w:pStyle w:val="a0"/>
        <w:rPr>
          <w:rtl/>
        </w:rPr>
      </w:pPr>
      <w:r w:rsidRPr="007F6181">
        <w:rPr>
          <w:rStyle w:val="af9"/>
          <w:rFonts w:hint="cs"/>
          <w:rtl/>
        </w:rPr>
        <w:t>והריטב</w:t>
      </w:r>
      <w:r w:rsidRPr="00CD408B">
        <w:rPr>
          <w:rStyle w:val="af9"/>
          <w:rFonts w:hint="cs"/>
          <w:rtl/>
        </w:rPr>
        <w:t>"א</w:t>
      </w:r>
      <w:r>
        <w:rPr>
          <w:rFonts w:hint="cs"/>
          <w:rtl/>
        </w:rPr>
        <w:t xml:space="preserve"> </w:t>
      </w:r>
      <w:r w:rsidRPr="003C5BFB">
        <w:rPr>
          <w:rStyle w:val="af7"/>
          <w:rFonts w:eastAsia="Guttman Hodes" w:hint="cs"/>
          <w:rtl/>
        </w:rPr>
        <w:t>(ד"ה והיכא)</w:t>
      </w:r>
      <w:r w:rsidRPr="003C5BFB">
        <w:rPr>
          <w:rFonts w:hint="cs"/>
          <w:rtl/>
        </w:rPr>
        <w:t xml:space="preserve"> </w:t>
      </w:r>
      <w:r>
        <w:rPr>
          <w:rFonts w:hint="cs"/>
          <w:rtl/>
        </w:rPr>
        <w:t xml:space="preserve">כתב דהודאת המחזיק, דמי למפקיד אצל חבירו בלא עדים ומת, ורואים את החפץ ברשות היורשים, דאם היו היורשים שותקים, ולא היו מודים למפקיד שהחפץ נמצא בידם מאביהם, א"כ טענינן להו מה שהיה אביהם יכול לטעון, דאחר שהפקיד המפקיד את החפץ אצלו, חזר וקנאו מהמפקיד, דהיה נאמן במיגו דהחזרתיו לך, אבל אם הודו היורשים שהחפץ הוא פקדון, לא </w:t>
      </w:r>
      <w:r>
        <w:rPr>
          <w:rFonts w:hint="cs"/>
          <w:rtl/>
        </w:rPr>
        <w:lastRenderedPageBreak/>
        <w:t xml:space="preserve">טענינן להו, כיון שראו את הכלי אצלם, וממילא אין להם את המיגו שהיה לאביהם דהיה יכול לטעון החזרתיו לך, </w:t>
      </w:r>
      <w:r w:rsidRPr="00CD408B">
        <w:rPr>
          <w:rStyle w:val="afb"/>
          <w:rFonts w:hint="cs"/>
          <w:rtl/>
        </w:rPr>
        <w:t xml:space="preserve">[וכתב </w:t>
      </w:r>
      <w:r w:rsidRPr="00CD408B">
        <w:rPr>
          <w:rStyle w:val="affa"/>
          <w:rFonts w:hint="cs"/>
          <w:rtl/>
        </w:rPr>
        <w:t>הריטב"א</w:t>
      </w:r>
      <w:r>
        <w:rPr>
          <w:rStyle w:val="afb"/>
          <w:rFonts w:hint="cs"/>
          <w:rtl/>
        </w:rPr>
        <w:t xml:space="preserve"> </w:t>
      </w:r>
      <w:r w:rsidRPr="00CD408B">
        <w:rPr>
          <w:rStyle w:val="afb"/>
          <w:rFonts w:hint="cs"/>
          <w:rtl/>
        </w:rPr>
        <w:t>דה"ה בכלי שעשוי להשאיל ולהשכיר, והפקידו בלא עדים ואין לו ראיה שהוא שלו, דכל שהודו לו היורשים שהוא פקדון, לא טענינן להו],</w:t>
      </w:r>
      <w:r>
        <w:rPr>
          <w:rFonts w:hint="cs"/>
          <w:rtl/>
        </w:rPr>
        <w:t xml:space="preserve"> וכתב </w:t>
      </w:r>
      <w:r w:rsidRPr="00CD408B">
        <w:rPr>
          <w:rStyle w:val="af9"/>
          <w:rFonts w:hint="cs"/>
          <w:rtl/>
        </w:rPr>
        <w:t>הריטב"א</w:t>
      </w:r>
      <w:r>
        <w:rPr>
          <w:rFonts w:hint="cs"/>
          <w:rtl/>
        </w:rPr>
        <w:t xml:space="preserve"> דה"ה הכא דלא טענינן למחזיק את המיגו שהיה יכול לטעון המוכר, כיון שהודה המחזיק</w:t>
      </w:r>
      <w:r>
        <w:rPr>
          <w:rStyle w:val="af1"/>
          <w:rtl/>
        </w:rPr>
        <w:footnoteReference w:id="63"/>
      </w:r>
      <w:r>
        <w:rPr>
          <w:rFonts w:hint="cs"/>
          <w:rtl/>
        </w:rPr>
        <w:t>.</w:t>
      </w:r>
    </w:p>
    <w:p w:rsidR="000E75A3" w:rsidRPr="00C80C5D" w:rsidRDefault="000E75A3" w:rsidP="000E75A3">
      <w:pPr>
        <w:pStyle w:val="a3"/>
        <w:rPr>
          <w:rtl/>
        </w:rPr>
      </w:pPr>
      <w:bookmarkStart w:id="9540" w:name="_Toc59741638"/>
      <w:bookmarkStart w:id="9541" w:name="_Toc59786762"/>
      <w:bookmarkStart w:id="9542" w:name="_Toc59802576"/>
      <w:bookmarkStart w:id="9543" w:name="_Toc59916136"/>
      <w:bookmarkStart w:id="9544" w:name="_Toc59620298"/>
      <w:bookmarkStart w:id="9545" w:name="_Toc59643569"/>
      <w:r>
        <w:rPr>
          <w:rFonts w:hint="cs"/>
          <w:rtl/>
        </w:rPr>
        <w:t>ביאור החי' אנשי שם ברי"ף דבלא חזקה ל"מ עידי חד יומא דהמחזיק מסופןק ואינו מוציא מודאי</w:t>
      </w:r>
      <w:bookmarkEnd w:id="9540"/>
      <w:bookmarkEnd w:id="9541"/>
      <w:bookmarkEnd w:id="9542"/>
      <w:bookmarkEnd w:id="9543"/>
    </w:p>
    <w:p w:rsidR="000E75A3" w:rsidRPr="00D44C46" w:rsidRDefault="000E75A3" w:rsidP="007E4E81">
      <w:pPr>
        <w:pStyle w:val="a0"/>
        <w:rPr>
          <w:rtl/>
        </w:rPr>
      </w:pPr>
      <w:bookmarkStart w:id="9546" w:name="_Ref59702723"/>
      <w:r>
        <w:rPr>
          <w:rFonts w:hint="cs"/>
          <w:rtl/>
        </w:rPr>
        <w:t xml:space="preserve">עי' בדברי </w:t>
      </w:r>
      <w:r w:rsidRPr="00D37908">
        <w:rPr>
          <w:rStyle w:val="af9"/>
          <w:rFonts w:hint="cs"/>
          <w:rtl/>
        </w:rPr>
        <w:t xml:space="preserve">המהר"ן שפירא [בעל המגלה עמוקות] בחי' אנשי שם </w:t>
      </w:r>
      <w:r w:rsidRPr="008A4039">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Ref59702521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Pr>
          <w:rStyle w:val="af7"/>
          <w:rFonts w:eastAsia="Guttman Hodes"/>
          <w:rtl/>
        </w:rPr>
        <w:fldChar w:fldCharType="end"/>
      </w:r>
      <w:r w:rsidRPr="008A4039">
        <w:rPr>
          <w:rStyle w:val="af7"/>
          <w:rFonts w:eastAsia="Guttman Hodes" w:hint="cs"/>
          <w:rtl/>
        </w:rPr>
        <w:t xml:space="preserve"> </w:t>
      </w:r>
      <w:r>
        <w:rPr>
          <w:rFonts w:hint="cs"/>
          <w:rtl/>
        </w:rPr>
        <w:t>דביאר בדעת</w:t>
      </w:r>
      <w:r>
        <w:rPr>
          <w:rStyle w:val="af9"/>
          <w:rFonts w:hint="cs"/>
          <w:rtl/>
        </w:rPr>
        <w:t xml:space="preserve"> </w:t>
      </w:r>
      <w:r w:rsidRPr="00177AB7">
        <w:rPr>
          <w:rStyle w:val="af9"/>
          <w:rFonts w:hint="cs"/>
          <w:rtl/>
        </w:rPr>
        <w:t>הרי"ף</w:t>
      </w:r>
      <w:r>
        <w:rPr>
          <w:rFonts w:hint="cs"/>
          <w:rtl/>
        </w:rPr>
        <w:t xml:space="preserve"> </w:t>
      </w:r>
      <w:r w:rsidRPr="008A4039">
        <w:rPr>
          <w:rStyle w:val="af7"/>
          <w:rFonts w:eastAsia="Guttman Hodes" w:hint="cs"/>
          <w:rtl/>
        </w:rPr>
        <w:t xml:space="preserve">(עי' אות </w:t>
      </w:r>
      <w:r w:rsidRPr="008A4039">
        <w:rPr>
          <w:rStyle w:val="af7"/>
          <w:rFonts w:eastAsia="Guttman Hodes"/>
          <w:rtl/>
        </w:rPr>
        <w:fldChar w:fldCharType="begin"/>
      </w:r>
      <w:r w:rsidRPr="008A4039">
        <w:rPr>
          <w:rStyle w:val="af7"/>
          <w:rFonts w:eastAsia="Guttman Hodes"/>
          <w:rtl/>
        </w:rPr>
        <w:instrText xml:space="preserve"> </w:instrText>
      </w:r>
      <w:r w:rsidRPr="008A4039">
        <w:rPr>
          <w:rStyle w:val="af7"/>
          <w:rFonts w:eastAsia="Guttman Hodes" w:hint="cs"/>
        </w:rPr>
        <w:instrText>REF</w:instrText>
      </w:r>
      <w:r w:rsidRPr="008A4039">
        <w:rPr>
          <w:rStyle w:val="af7"/>
          <w:rFonts w:eastAsia="Guttman Hodes" w:hint="cs"/>
          <w:rtl/>
        </w:rPr>
        <w:instrText xml:space="preserve"> _</w:instrText>
      </w:r>
      <w:r w:rsidRPr="008A4039">
        <w:rPr>
          <w:rStyle w:val="af7"/>
          <w:rFonts w:eastAsia="Guttman Hodes" w:hint="cs"/>
        </w:rPr>
        <w:instrText>Ref59615569 \r \h</w:instrText>
      </w:r>
      <w:r w:rsidRPr="008A4039">
        <w:rPr>
          <w:rStyle w:val="af7"/>
          <w:rFonts w:eastAsia="Guttman Hodes"/>
          <w:rtl/>
        </w:rPr>
        <w:instrText xml:space="preserve"> </w:instrText>
      </w:r>
      <w:r w:rsidRPr="008A4039">
        <w:rPr>
          <w:rStyle w:val="af7"/>
          <w:rFonts w:eastAsia="Guttman Hodes"/>
          <w:rtl/>
        </w:rPr>
      </w:r>
      <w:r w:rsidRPr="008A4039">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8A4039">
        <w:rPr>
          <w:rStyle w:val="af7"/>
          <w:rFonts w:eastAsia="Guttman Hodes"/>
          <w:rtl/>
        </w:rPr>
        <w:fldChar w:fldCharType="end"/>
      </w:r>
      <w:r>
        <w:rPr>
          <w:rFonts w:hint="cs"/>
          <w:rtl/>
        </w:rPr>
        <w:t xml:space="preserve"> דכשאין לו חזקת ג"ש, אינו נאמן בטענת ברי דקמי דידי זבנה מינך, דאעפ"י דהוא ודאי וודאי מ"מ לא מהני לו המיגו, </w:t>
      </w:r>
      <w:r w:rsidRPr="00D44C46">
        <w:rPr>
          <w:rFonts w:hint="cs"/>
          <w:rtl/>
        </w:rPr>
        <w:t xml:space="preserve">והוסיף </w:t>
      </w:r>
      <w:r w:rsidRPr="00D44C46">
        <w:rPr>
          <w:rStyle w:val="af9"/>
          <w:rFonts w:hint="cs"/>
          <w:rtl/>
        </w:rPr>
        <w:t xml:space="preserve">המהר"ן שפירא </w:t>
      </w:r>
      <w:r w:rsidRPr="00D37908">
        <w:rPr>
          <w:rStyle w:val="af7"/>
          <w:rFonts w:eastAsia="Guttman Hodes" w:hint="cs"/>
          <w:rtl/>
        </w:rPr>
        <w:t>(</w:t>
      </w:r>
      <w:r w:rsidRPr="00D37908">
        <w:rPr>
          <w:rStyle w:val="af7"/>
          <w:rFonts w:eastAsia="Guttman Hodes"/>
          <w:rtl/>
        </w:rPr>
        <w:t>טו: מדה"ר או' א'</w:t>
      </w:r>
      <w:r w:rsidRPr="00D37908">
        <w:rPr>
          <w:rStyle w:val="af7"/>
          <w:rFonts w:eastAsia="Guttman Hodes" w:hint="cs"/>
          <w:rtl/>
        </w:rPr>
        <w:t>,</w:t>
      </w:r>
      <w:r w:rsidRPr="00D37908">
        <w:rPr>
          <w:rStyle w:val="af7"/>
          <w:rFonts w:eastAsia="Guttman Hodes"/>
          <w:rtl/>
        </w:rPr>
        <w:t xml:space="preserve"> מהדו' עוז והדר או' י</w:t>
      </w:r>
      <w:r w:rsidRPr="00D37908">
        <w:rPr>
          <w:rStyle w:val="af7"/>
          <w:rFonts w:eastAsia="Guttman Hodes" w:hint="cs"/>
          <w:rtl/>
        </w:rPr>
        <w:t xml:space="preserve">') </w:t>
      </w:r>
      <w:r w:rsidRPr="00D44C46">
        <w:rPr>
          <w:rFonts w:hint="cs"/>
          <w:rtl/>
        </w:rPr>
        <w:t>דכ"ש דלא מהני עדים דדר בה המוכר חד יומא, כשאין לו חזקת ג"ש, ואף שאין למערער עדים דהייתה שלו, כיון דעדיין המערער הוא ודאי, והמחזיק ספק ואין ספק מוציא מידי ודאי.</w:t>
      </w:r>
      <w:bookmarkEnd w:id="9546"/>
    </w:p>
    <w:p w:rsidR="000E75A3" w:rsidRDefault="000E75A3" w:rsidP="000E75A3">
      <w:pPr>
        <w:pStyle w:val="1"/>
        <w:rPr>
          <w:rtl/>
        </w:rPr>
      </w:pPr>
      <w:bookmarkStart w:id="9547" w:name="_Toc59741639"/>
      <w:bookmarkStart w:id="9548" w:name="_Toc59786763"/>
      <w:bookmarkStart w:id="9549" w:name="_Toc59802577"/>
      <w:bookmarkStart w:id="9550" w:name="_Toc59916137"/>
      <w:r>
        <w:rPr>
          <w:rFonts w:hint="cs"/>
          <w:rtl/>
        </w:rPr>
        <w:t>בדעת הרשב"א בתוס' ור"י בתוס' בעידי חד יומא בלא חזקה</w:t>
      </w:r>
      <w:bookmarkEnd w:id="9544"/>
      <w:bookmarkEnd w:id="9545"/>
      <w:bookmarkEnd w:id="9547"/>
      <w:bookmarkEnd w:id="9548"/>
      <w:bookmarkEnd w:id="9549"/>
      <w:bookmarkEnd w:id="9550"/>
    </w:p>
    <w:p w:rsidR="000E75A3" w:rsidRPr="00152854" w:rsidRDefault="000E75A3" w:rsidP="000E75A3">
      <w:pPr>
        <w:pStyle w:val="a3"/>
        <w:rPr>
          <w:rtl/>
        </w:rPr>
      </w:pPr>
      <w:bookmarkStart w:id="9551" w:name="_Toc59620302"/>
      <w:bookmarkStart w:id="9552" w:name="_Toc59643570"/>
      <w:bookmarkStart w:id="9553" w:name="_Toc59741640"/>
      <w:bookmarkStart w:id="9554" w:name="_Toc59786764"/>
      <w:bookmarkStart w:id="9555" w:name="_Toc59802578"/>
      <w:bookmarkStart w:id="9556" w:name="_Toc59916138"/>
      <w:bookmarkStart w:id="9557" w:name="_Toc59490133"/>
      <w:r>
        <w:rPr>
          <w:rFonts w:hint="cs"/>
          <w:rtl/>
        </w:rPr>
        <w:t>דברי הרשב"א בתוס'</w:t>
      </w:r>
      <w:bookmarkEnd w:id="9551"/>
      <w:r>
        <w:rPr>
          <w:rFonts w:hint="cs"/>
          <w:rtl/>
        </w:rPr>
        <w:t xml:space="preserve"> דבעידי חד יומא טענינן ליה אעפ"י שהודה ואין לו מיגו</w:t>
      </w:r>
      <w:bookmarkEnd w:id="9552"/>
      <w:bookmarkEnd w:id="9553"/>
      <w:bookmarkEnd w:id="9554"/>
      <w:bookmarkEnd w:id="9555"/>
      <w:bookmarkEnd w:id="9556"/>
    </w:p>
    <w:p w:rsidR="000E75A3" w:rsidRDefault="000E75A3" w:rsidP="007E4E81">
      <w:pPr>
        <w:pStyle w:val="a0"/>
        <w:rPr>
          <w:rtl/>
        </w:rPr>
      </w:pPr>
      <w:bookmarkStart w:id="9558" w:name="_Ref58148074"/>
      <w:bookmarkStart w:id="9559" w:name="_Ref59638114"/>
      <w:r>
        <w:rPr>
          <w:rFonts w:hint="cs"/>
          <w:rtl/>
        </w:rPr>
        <w:t xml:space="preserve">כתב </w:t>
      </w:r>
      <w:r w:rsidRPr="0075541D">
        <w:rPr>
          <w:rStyle w:val="af9"/>
          <w:rFonts w:hint="cs"/>
          <w:rtl/>
        </w:rPr>
        <w:t>הרשב"א בתוס'</w:t>
      </w:r>
      <w:r>
        <w:rPr>
          <w:rFonts w:hint="cs"/>
          <w:rtl/>
        </w:rPr>
        <w:t xml:space="preserve"> </w:t>
      </w:r>
      <w:r w:rsidRPr="002326A9">
        <w:rPr>
          <w:rStyle w:val="af7"/>
          <w:rFonts w:eastAsia="Guttman Hodes" w:hint="cs"/>
          <w:rtl/>
        </w:rPr>
        <w:t>(סוד"ה לאו קמודית)</w:t>
      </w:r>
      <w:r>
        <w:rPr>
          <w:rFonts w:hint="cs"/>
          <w:rtl/>
        </w:rPr>
        <w:t xml:space="preserve"> דבסוגיין אם היה המחזיק מביא עדים שדר בה המוכר חד יומא, מעמידים את הקרקע בידו, אעפ"י שהודה בתחילה שהקרקע הייתה של המערער, ולא מהני לו המיגו </w:t>
      </w:r>
      <w:r w:rsidRPr="009B786D">
        <w:rPr>
          <w:rStyle w:val="afb"/>
          <w:rFonts w:hint="cs"/>
          <w:rtl/>
        </w:rPr>
        <w:t>[דהוא מיגו למפרע],</w:t>
      </w:r>
      <w:r>
        <w:rPr>
          <w:rFonts w:hint="cs"/>
          <w:rtl/>
        </w:rPr>
        <w:t xml:space="preserve"> מ"מ טענינן ללוקח, כיון שהמוכר היה נאמן לטעון שקנה מהמערער במיגו דהיה טוען שלא הייתה של המערער מעולם</w:t>
      </w:r>
      <w:bookmarkEnd w:id="9558"/>
      <w:r>
        <w:rPr>
          <w:rFonts w:hint="cs"/>
          <w:rtl/>
        </w:rPr>
        <w:t xml:space="preserve">, וכתבו </w:t>
      </w:r>
      <w:r w:rsidRPr="0075541D">
        <w:rPr>
          <w:rStyle w:val="af9"/>
          <w:rFonts w:hint="cs"/>
          <w:rtl/>
        </w:rPr>
        <w:t>התוס'</w:t>
      </w:r>
      <w:r>
        <w:rPr>
          <w:rFonts w:hint="cs"/>
          <w:rtl/>
        </w:rPr>
        <w:t xml:space="preserve"> דכן משמע בגמ' לקמן </w:t>
      </w:r>
      <w:r w:rsidRPr="002326A9">
        <w:rPr>
          <w:rStyle w:val="af7"/>
          <w:rFonts w:eastAsia="Guttman Hodes" w:hint="cs"/>
          <w:rtl/>
        </w:rPr>
        <w:t>(ע.)</w:t>
      </w:r>
      <w:r>
        <w:rPr>
          <w:rFonts w:hint="cs"/>
          <w:rtl/>
        </w:rPr>
        <w:t xml:space="preserve"> דהמפקיד בשטר אצל חבירו ומת, דאעפ"י דלא טענינן ליורשים נאנסו, מ"מ טענינן להו שהחזירם למפקיד, כיון שאביהם היה נאמן בטענת החזרתיו לך, במיגו דהיה טוען נאנסו.</w:t>
      </w:r>
      <w:bookmarkEnd w:id="9559"/>
    </w:p>
    <w:p w:rsidR="000E75A3" w:rsidRPr="001A0CF6" w:rsidRDefault="000E75A3" w:rsidP="000E75A3">
      <w:pPr>
        <w:pStyle w:val="a3"/>
      </w:pPr>
      <w:bookmarkStart w:id="9560" w:name="_Toc59643571"/>
      <w:bookmarkStart w:id="9561" w:name="_Toc59741641"/>
      <w:bookmarkStart w:id="9562" w:name="_Toc59786765"/>
      <w:bookmarkStart w:id="9563" w:name="_Toc59802579"/>
      <w:bookmarkStart w:id="9564" w:name="_Toc59916139"/>
      <w:r>
        <w:rPr>
          <w:rFonts w:hint="cs"/>
          <w:rtl/>
        </w:rPr>
        <w:t>דברי ר"י בתוס' דא"א להביא ראיה מהגמ' לקמן לדברי הרשב"א בתוס' דטענינן בעידי חד יומא</w:t>
      </w:r>
      <w:bookmarkEnd w:id="9560"/>
      <w:bookmarkEnd w:id="9561"/>
      <w:bookmarkEnd w:id="9562"/>
      <w:bookmarkEnd w:id="9563"/>
      <w:bookmarkEnd w:id="9564"/>
    </w:p>
    <w:p w:rsidR="000E75A3" w:rsidRDefault="000E75A3" w:rsidP="007E4E81">
      <w:pPr>
        <w:pStyle w:val="a0"/>
        <w:rPr>
          <w:rStyle w:val="afb"/>
          <w:rtl/>
        </w:rPr>
      </w:pPr>
      <w:bookmarkStart w:id="9565" w:name="_Ref58148081"/>
      <w:r>
        <w:rPr>
          <w:rFonts w:hint="cs"/>
          <w:rtl/>
        </w:rPr>
        <w:t xml:space="preserve">אבל </w:t>
      </w:r>
      <w:r w:rsidRPr="0092528E">
        <w:rPr>
          <w:rStyle w:val="af9"/>
          <w:rFonts w:hint="cs"/>
          <w:rtl/>
        </w:rPr>
        <w:t>ר"י בתוס'</w:t>
      </w:r>
      <w:r>
        <w:rPr>
          <w:rFonts w:hint="cs"/>
          <w:rtl/>
        </w:rPr>
        <w:t xml:space="preserve"> דחה דהכא לא דמי לגמ' לקמן, כיון דאם היה המוכר רוצה לזכות בקרקע בטענה שלא הייתה של המערער מעולם, לא היה מעכב המחזיק את הקרקע בידו, כיון שהוא יודע שהייתה של המערער, וא"כ א"א להביא ראיה מהגמ' לקמן דאמרינן טענינן בכה"ג</w:t>
      </w:r>
      <w:r>
        <w:rPr>
          <w:rStyle w:val="af1"/>
          <w:rtl/>
        </w:rPr>
        <w:footnoteReference w:id="64"/>
      </w:r>
      <w:r>
        <w:rPr>
          <w:rFonts w:hint="cs"/>
          <w:rtl/>
        </w:rPr>
        <w:t>.</w:t>
      </w:r>
      <w:bookmarkEnd w:id="9565"/>
    </w:p>
    <w:p w:rsidR="000E75A3" w:rsidRDefault="000E75A3" w:rsidP="000E75A3">
      <w:pPr>
        <w:pStyle w:val="a3"/>
        <w:rPr>
          <w:rtl/>
        </w:rPr>
      </w:pPr>
      <w:bookmarkStart w:id="9566" w:name="_Toc59643572"/>
      <w:bookmarkStart w:id="9567" w:name="_Toc59741642"/>
      <w:bookmarkStart w:id="9568" w:name="_Toc59786766"/>
      <w:bookmarkStart w:id="9569" w:name="_Toc59802580"/>
      <w:bookmarkStart w:id="9570" w:name="_Toc59916140"/>
      <w:r>
        <w:rPr>
          <w:rFonts w:hint="cs"/>
          <w:rtl/>
        </w:rPr>
        <w:t>ביאור הש"ך במרדכי ובאגודה דלר"י בעידי חד יומא הוא ספק אם נאמן אך לד' ההג"מ נאמן</w:t>
      </w:r>
      <w:bookmarkEnd w:id="9566"/>
      <w:bookmarkEnd w:id="9567"/>
      <w:bookmarkEnd w:id="9568"/>
      <w:bookmarkEnd w:id="9569"/>
      <w:bookmarkEnd w:id="9570"/>
    </w:p>
    <w:p w:rsidR="000E75A3" w:rsidRDefault="000E75A3" w:rsidP="007E4E81">
      <w:pPr>
        <w:pStyle w:val="a0"/>
        <w:rPr>
          <w:rtl/>
        </w:rPr>
      </w:pPr>
      <w:bookmarkStart w:id="9571" w:name="_Ref58234334"/>
      <w:r>
        <w:rPr>
          <w:rFonts w:hint="cs"/>
          <w:rtl/>
        </w:rPr>
        <w:t xml:space="preserve">וכתב </w:t>
      </w:r>
      <w:r w:rsidRPr="00C6381C">
        <w:rPr>
          <w:rStyle w:val="af9"/>
          <w:rFonts w:hint="cs"/>
          <w:rtl/>
        </w:rPr>
        <w:t>המרדכי</w:t>
      </w:r>
      <w:r>
        <w:rPr>
          <w:rFonts w:hint="cs"/>
          <w:rtl/>
        </w:rPr>
        <w:t xml:space="preserve"> </w:t>
      </w:r>
      <w:r w:rsidRPr="00C6381C">
        <w:rPr>
          <w:rStyle w:val="af7"/>
          <w:rFonts w:eastAsia="Guttman Hodes" w:hint="cs"/>
          <w:rtl/>
        </w:rPr>
        <w:t xml:space="preserve">(סוף רמז תקכ"ג) </w:t>
      </w:r>
      <w:r>
        <w:rPr>
          <w:rFonts w:hint="cs"/>
          <w:rtl/>
        </w:rPr>
        <w:t xml:space="preserve">בשם </w:t>
      </w:r>
      <w:r w:rsidRPr="00941859">
        <w:rPr>
          <w:rStyle w:val="af9"/>
          <w:rFonts w:hint="cs"/>
          <w:rtl/>
        </w:rPr>
        <w:t>ר"י</w:t>
      </w:r>
      <w:r>
        <w:rPr>
          <w:rFonts w:hint="cs"/>
          <w:rtl/>
        </w:rPr>
        <w:t xml:space="preserve"> דיש להסתפק כשאין למחזיק חזקת ג"ש, והביא עדים דדר המוכר חד יומא, </w:t>
      </w:r>
      <w:r w:rsidRPr="00300E1A">
        <w:rPr>
          <w:rStyle w:val="afb"/>
          <w:rFonts w:hint="cs"/>
          <w:rtl/>
        </w:rPr>
        <w:t xml:space="preserve">[וכתב </w:t>
      </w:r>
      <w:r w:rsidRPr="00300E1A">
        <w:rPr>
          <w:rStyle w:val="affa"/>
          <w:rFonts w:hint="cs"/>
          <w:rtl/>
        </w:rPr>
        <w:t>הדרישה</w:t>
      </w:r>
      <w:r w:rsidRPr="00300E1A">
        <w:rPr>
          <w:rStyle w:val="afb"/>
          <w:rFonts w:hint="cs"/>
          <w:rtl/>
        </w:rPr>
        <w:t xml:space="preserve"> </w:t>
      </w:r>
      <w:r w:rsidRPr="00300E1A">
        <w:rPr>
          <w:rStyle w:val="aff6"/>
          <w:rFonts w:hint="cs"/>
          <w:rtl/>
        </w:rPr>
        <w:t xml:space="preserve">(סי' קמ"ו סקכ"ד ד"ה </w:t>
      </w:r>
      <w:r w:rsidRPr="00300E1A">
        <w:rPr>
          <w:rStyle w:val="aff6"/>
          <w:rtl/>
        </w:rPr>
        <w:t>לכן נראה</w:t>
      </w:r>
      <w:r w:rsidRPr="00300E1A">
        <w:rPr>
          <w:rStyle w:val="aff6"/>
          <w:rFonts w:hint="cs"/>
          <w:rtl/>
        </w:rPr>
        <w:t>)</w:t>
      </w:r>
      <w:r w:rsidRPr="00300E1A">
        <w:rPr>
          <w:rStyle w:val="afb"/>
          <w:rFonts w:hint="cs"/>
          <w:rtl/>
        </w:rPr>
        <w:t xml:space="preserve"> את דהספק של </w:t>
      </w:r>
      <w:r w:rsidRPr="00E60567">
        <w:rPr>
          <w:rStyle w:val="affa"/>
          <w:rFonts w:hint="cs"/>
          <w:rtl/>
        </w:rPr>
        <w:t>המרדכי</w:t>
      </w:r>
      <w:r w:rsidRPr="00300E1A">
        <w:rPr>
          <w:rStyle w:val="afb"/>
          <w:rFonts w:hint="cs"/>
          <w:rtl/>
        </w:rPr>
        <w:t xml:space="preserve"> בשם </w:t>
      </w:r>
      <w:r w:rsidRPr="00300E1A">
        <w:rPr>
          <w:rStyle w:val="affa"/>
          <w:rFonts w:hint="cs"/>
          <w:rtl/>
        </w:rPr>
        <w:t>ר"י</w:t>
      </w:r>
      <w:r w:rsidRPr="00E60567">
        <w:rPr>
          <w:rStyle w:val="afb"/>
          <w:rFonts w:hint="cs"/>
          <w:rtl/>
        </w:rPr>
        <w:t>, זו</w:t>
      </w:r>
      <w:r w:rsidRPr="00300E1A">
        <w:rPr>
          <w:rStyle w:val="afb"/>
          <w:rFonts w:hint="cs"/>
          <w:rtl/>
        </w:rPr>
        <w:t xml:space="preserve"> כוונת </w:t>
      </w:r>
      <w:r w:rsidRPr="00300E1A">
        <w:rPr>
          <w:rStyle w:val="affa"/>
          <w:rFonts w:hint="cs"/>
          <w:rtl/>
        </w:rPr>
        <w:t>ר"י בתוס'</w:t>
      </w:r>
      <w:r w:rsidRPr="00300E1A">
        <w:rPr>
          <w:rStyle w:val="afb"/>
          <w:rFonts w:hint="cs"/>
          <w:rtl/>
        </w:rPr>
        <w:t xml:space="preserve"> </w:t>
      </w:r>
      <w:r w:rsidRPr="00300E1A">
        <w:rPr>
          <w:rStyle w:val="aff6"/>
          <w:rFonts w:hint="cs"/>
          <w:rtl/>
        </w:rPr>
        <w:t xml:space="preserve">(עי' אות </w:t>
      </w:r>
      <w:r w:rsidRPr="00300E1A">
        <w:rPr>
          <w:rStyle w:val="aff6"/>
          <w:rtl/>
        </w:rPr>
        <w:fldChar w:fldCharType="begin"/>
      </w:r>
      <w:r w:rsidRPr="00300E1A">
        <w:rPr>
          <w:rStyle w:val="aff6"/>
          <w:rtl/>
        </w:rPr>
        <w:instrText xml:space="preserve"> </w:instrText>
      </w:r>
      <w:r w:rsidRPr="00300E1A">
        <w:rPr>
          <w:rStyle w:val="aff6"/>
          <w:rFonts w:hint="cs"/>
        </w:rPr>
        <w:instrText>REF</w:instrText>
      </w:r>
      <w:r w:rsidRPr="00300E1A">
        <w:rPr>
          <w:rStyle w:val="aff6"/>
          <w:rFonts w:hint="cs"/>
          <w:rtl/>
        </w:rPr>
        <w:instrText xml:space="preserve"> _</w:instrText>
      </w:r>
      <w:r w:rsidRPr="00300E1A">
        <w:rPr>
          <w:rStyle w:val="aff6"/>
          <w:rFonts w:hint="cs"/>
        </w:rPr>
        <w:instrText>Ref58148081 \r \h</w:instrText>
      </w:r>
      <w:r w:rsidRPr="00300E1A">
        <w:rPr>
          <w:rStyle w:val="aff6"/>
          <w:rtl/>
        </w:rPr>
        <w:instrText xml:space="preserve"> </w:instrText>
      </w:r>
      <w:r w:rsidRPr="00300E1A">
        <w:rPr>
          <w:rStyle w:val="aff6"/>
          <w:rtl/>
        </w:rPr>
      </w:r>
      <w:r w:rsidRPr="00300E1A">
        <w:rPr>
          <w:rStyle w:val="aff6"/>
          <w:rtl/>
        </w:rPr>
        <w:fldChar w:fldCharType="separate"/>
      </w:r>
      <w:r w:rsidR="00265073">
        <w:rPr>
          <w:rStyle w:val="aff6"/>
          <w:cs/>
        </w:rPr>
        <w:t>‎</w:t>
      </w:r>
      <w:r w:rsidR="00265073">
        <w:rPr>
          <w:rStyle w:val="aff6"/>
          <w:rtl/>
        </w:rPr>
        <w:t>מג)</w:t>
      </w:r>
      <w:r w:rsidRPr="00300E1A">
        <w:rPr>
          <w:rStyle w:val="aff6"/>
          <w:rtl/>
        </w:rPr>
        <w:fldChar w:fldCharType="end"/>
      </w:r>
      <w:r w:rsidRPr="00300E1A">
        <w:rPr>
          <w:rStyle w:val="afb"/>
          <w:rFonts w:hint="cs"/>
          <w:rtl/>
        </w:rPr>
        <w:t xml:space="preserve"> דדחה את הראיה מהגמ' לקמן],</w:t>
      </w:r>
      <w:r>
        <w:rPr>
          <w:rFonts w:hint="cs"/>
          <w:rtl/>
        </w:rPr>
        <w:t xml:space="preserve"> והביא </w:t>
      </w:r>
      <w:r w:rsidRPr="00DF6A07">
        <w:rPr>
          <w:rStyle w:val="af9"/>
          <w:rFonts w:hint="cs"/>
          <w:rtl/>
        </w:rPr>
        <w:t>הש"ך</w:t>
      </w:r>
      <w:r>
        <w:rPr>
          <w:rFonts w:hint="cs"/>
          <w:rtl/>
        </w:rPr>
        <w:t xml:space="preserve"> </w:t>
      </w:r>
      <w:r w:rsidRPr="00DF6A07">
        <w:rPr>
          <w:rStyle w:val="af7"/>
          <w:rFonts w:eastAsia="Guttman Hodes" w:hint="cs"/>
          <w:rtl/>
        </w:rPr>
        <w:t>(סי' קמ"ו סקי"ג)</w:t>
      </w:r>
      <w:r>
        <w:rPr>
          <w:rFonts w:hint="cs"/>
          <w:rtl/>
        </w:rPr>
        <w:t xml:space="preserve"> את דברי </w:t>
      </w:r>
      <w:r w:rsidRPr="00DF6A07">
        <w:rPr>
          <w:rStyle w:val="af9"/>
          <w:rFonts w:hint="cs"/>
          <w:rtl/>
        </w:rPr>
        <w:t>האגודה</w:t>
      </w:r>
      <w:r>
        <w:rPr>
          <w:rFonts w:hint="cs"/>
          <w:rtl/>
        </w:rPr>
        <w:t xml:space="preserve"> </w:t>
      </w:r>
      <w:r w:rsidRPr="00DF6A07">
        <w:rPr>
          <w:rStyle w:val="af7"/>
          <w:rFonts w:eastAsia="Guttman Hodes" w:hint="cs"/>
          <w:rtl/>
        </w:rPr>
        <w:t>(בפירקין סי' ס"א, הועתק בקובץ שיטות קמאי ב"ב ח"א עמ' תרצ"ב)</w:t>
      </w:r>
      <w:r>
        <w:rPr>
          <w:rFonts w:hint="cs"/>
          <w:rtl/>
        </w:rPr>
        <w:t xml:space="preserve"> דהוסיף בשם </w:t>
      </w:r>
      <w:r w:rsidRPr="00DF6A07">
        <w:rPr>
          <w:rStyle w:val="af9"/>
          <w:rFonts w:hint="cs"/>
          <w:rtl/>
        </w:rPr>
        <w:t>ר"י</w:t>
      </w:r>
      <w:r>
        <w:rPr>
          <w:rFonts w:hint="cs"/>
          <w:rtl/>
        </w:rPr>
        <w:t xml:space="preserve"> דהספק הוא באופן שאין למערער עדים שהייתה שלו, והודה לו המחזיק במה שאמר דקנה מהמוכר שאמר לו שקנה מהמערער, ולא אמר המחזיק קמי דידי זבנה מינך, אך כתב </w:t>
      </w:r>
      <w:r w:rsidRPr="00493F18">
        <w:rPr>
          <w:rStyle w:val="af9"/>
          <w:rFonts w:hint="cs"/>
          <w:rtl/>
        </w:rPr>
        <w:t>הש"ך</w:t>
      </w:r>
      <w:r>
        <w:rPr>
          <w:rFonts w:hint="cs"/>
          <w:rtl/>
        </w:rPr>
        <w:t xml:space="preserve"> </w:t>
      </w:r>
      <w:r w:rsidRPr="00493F18">
        <w:rPr>
          <w:rStyle w:val="af7"/>
          <w:rFonts w:eastAsia="Guttman Hodes" w:hint="cs"/>
          <w:rtl/>
        </w:rPr>
        <w:t>(סי' קמ"ו סקי"ג בסוגריים ד"ה ונראה דמשמע)</w:t>
      </w:r>
      <w:r>
        <w:rPr>
          <w:rFonts w:hint="cs"/>
          <w:rtl/>
        </w:rPr>
        <w:t xml:space="preserve"> </w:t>
      </w:r>
      <w:r w:rsidRPr="00787EB3">
        <w:rPr>
          <w:rFonts w:hint="cs"/>
          <w:rtl/>
        </w:rPr>
        <w:t xml:space="preserve">דמדברי </w:t>
      </w:r>
      <w:r w:rsidRPr="00787EB3">
        <w:rPr>
          <w:rStyle w:val="af9"/>
          <w:rFonts w:hint="cs"/>
          <w:rtl/>
        </w:rPr>
        <w:t>ההג' מיימוניות</w:t>
      </w:r>
      <w:r w:rsidRPr="00787EB3">
        <w:rPr>
          <w:rFonts w:hint="cs"/>
          <w:rtl/>
        </w:rPr>
        <w:t xml:space="preserve"> </w:t>
      </w:r>
      <w:r w:rsidRPr="00787EB3">
        <w:rPr>
          <w:rStyle w:val="af7"/>
          <w:rFonts w:eastAsia="Guttman Hodes" w:hint="cs"/>
          <w:rtl/>
        </w:rPr>
        <w:t>(טו"נ פי"ד או' ק')</w:t>
      </w:r>
      <w:r w:rsidRPr="00787EB3">
        <w:rPr>
          <w:rFonts w:hint="cs"/>
          <w:rtl/>
        </w:rPr>
        <w:t xml:space="preserve"> משמע </w:t>
      </w:r>
      <w:r w:rsidRPr="00787EB3">
        <w:rPr>
          <w:rStyle w:val="af9"/>
          <w:rFonts w:hint="cs"/>
          <w:rtl/>
        </w:rPr>
        <w:t>דר"י</w:t>
      </w:r>
      <w:r w:rsidRPr="00787EB3">
        <w:rPr>
          <w:rFonts w:hint="cs"/>
          <w:rtl/>
        </w:rPr>
        <w:t xml:space="preserve"> חולק על דברי </w:t>
      </w:r>
      <w:r w:rsidRPr="00787EB3">
        <w:rPr>
          <w:rStyle w:val="af9"/>
          <w:rFonts w:hint="cs"/>
          <w:rtl/>
        </w:rPr>
        <w:t>הרשב"א בתוס'</w:t>
      </w:r>
      <w:r w:rsidRPr="00787EB3">
        <w:rPr>
          <w:rFonts w:hint="cs"/>
          <w:rtl/>
        </w:rPr>
        <w:t xml:space="preserve"> </w:t>
      </w:r>
      <w:r w:rsidRPr="00787EB3">
        <w:rPr>
          <w:rStyle w:val="af7"/>
          <w:rFonts w:eastAsia="Guttman Hodes" w:hint="cs"/>
          <w:rtl/>
        </w:rPr>
        <w:t xml:space="preserve">(עי' אות </w:t>
      </w:r>
      <w:r w:rsidRPr="00787EB3">
        <w:rPr>
          <w:rStyle w:val="af7"/>
          <w:rFonts w:eastAsia="Guttman Hodes"/>
          <w:rtl/>
        </w:rPr>
        <w:fldChar w:fldCharType="begin"/>
      </w:r>
      <w:r w:rsidRPr="00787EB3">
        <w:rPr>
          <w:rStyle w:val="af7"/>
          <w:rFonts w:eastAsia="Guttman Hodes"/>
          <w:rtl/>
        </w:rPr>
        <w:instrText xml:space="preserve"> </w:instrText>
      </w:r>
      <w:r w:rsidRPr="00787EB3">
        <w:rPr>
          <w:rStyle w:val="af7"/>
          <w:rFonts w:eastAsia="Guttman Hodes" w:hint="cs"/>
        </w:rPr>
        <w:instrText>REF</w:instrText>
      </w:r>
      <w:r w:rsidRPr="00787EB3">
        <w:rPr>
          <w:rStyle w:val="af7"/>
          <w:rFonts w:eastAsia="Guttman Hodes" w:hint="cs"/>
          <w:rtl/>
        </w:rPr>
        <w:instrText xml:space="preserve"> _</w:instrText>
      </w:r>
      <w:r w:rsidRPr="00787EB3">
        <w:rPr>
          <w:rStyle w:val="af7"/>
          <w:rFonts w:eastAsia="Guttman Hodes" w:hint="cs"/>
        </w:rPr>
        <w:instrText>Ref58148074 \r \h</w:instrText>
      </w:r>
      <w:r w:rsidRPr="00787EB3">
        <w:rPr>
          <w:rStyle w:val="af7"/>
          <w:rFonts w:eastAsia="Guttman Hodes"/>
          <w:rtl/>
        </w:rPr>
        <w:instrText xml:space="preserve">  \* </w:instrText>
      </w:r>
      <w:r w:rsidRPr="00787EB3">
        <w:rPr>
          <w:rStyle w:val="af7"/>
          <w:rFonts w:eastAsia="Guttman Hodes"/>
        </w:rPr>
        <w:instrText>MERGEFORMAT</w:instrText>
      </w:r>
      <w:r w:rsidRPr="00787EB3">
        <w:rPr>
          <w:rStyle w:val="af7"/>
          <w:rFonts w:eastAsia="Guttman Hodes"/>
          <w:rtl/>
        </w:rPr>
        <w:instrText xml:space="preserve"> </w:instrText>
      </w:r>
      <w:r w:rsidRPr="00787EB3">
        <w:rPr>
          <w:rStyle w:val="af7"/>
          <w:rFonts w:eastAsia="Guttman Hodes"/>
          <w:rtl/>
        </w:rPr>
      </w:r>
      <w:r w:rsidRPr="00787EB3">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787EB3">
        <w:rPr>
          <w:rStyle w:val="af7"/>
          <w:rFonts w:eastAsia="Guttman Hodes"/>
          <w:rtl/>
        </w:rPr>
        <w:fldChar w:fldCharType="end"/>
      </w:r>
      <w:r w:rsidRPr="00787EB3">
        <w:rPr>
          <w:rFonts w:hint="cs"/>
          <w:rtl/>
        </w:rPr>
        <w:t xml:space="preserve"> רק במה שהביא ראיה מהגמ' לקמן, אבל לדינא</w:t>
      </w:r>
      <w:r>
        <w:rPr>
          <w:rFonts w:hint="cs"/>
          <w:rtl/>
        </w:rPr>
        <w:t xml:space="preserve"> הוא </w:t>
      </w:r>
      <w:r w:rsidRPr="00787EB3">
        <w:rPr>
          <w:rStyle w:val="af9"/>
          <w:rFonts w:hint="cs"/>
          <w:rtl/>
        </w:rPr>
        <w:t>ר"י</w:t>
      </w:r>
      <w:r>
        <w:rPr>
          <w:rFonts w:hint="cs"/>
          <w:rtl/>
        </w:rPr>
        <w:t xml:space="preserve"> מודה </w:t>
      </w:r>
      <w:r w:rsidRPr="00787EB3">
        <w:rPr>
          <w:rFonts w:hint="cs"/>
          <w:rtl/>
        </w:rPr>
        <w:t xml:space="preserve">דברי </w:t>
      </w:r>
      <w:r w:rsidRPr="00787EB3">
        <w:rPr>
          <w:rStyle w:val="af9"/>
          <w:rFonts w:hint="cs"/>
          <w:rtl/>
        </w:rPr>
        <w:t>הרשב"א בתוס'</w:t>
      </w:r>
      <w:r>
        <w:rPr>
          <w:rFonts w:hint="cs"/>
          <w:rtl/>
        </w:rPr>
        <w:t xml:space="preserve">, דכשיש לו עידי חד יומא אין מוציאין מידו, אבל </w:t>
      </w:r>
      <w:r w:rsidRPr="00787EB3">
        <w:rPr>
          <w:rStyle w:val="af9"/>
          <w:rFonts w:hint="cs"/>
          <w:rtl/>
        </w:rPr>
        <w:t>המרדכי והאגודה</w:t>
      </w:r>
      <w:r>
        <w:rPr>
          <w:rFonts w:hint="cs"/>
          <w:rtl/>
        </w:rPr>
        <w:t xml:space="preserve"> ביארו </w:t>
      </w:r>
      <w:r w:rsidRPr="00787EB3">
        <w:rPr>
          <w:rStyle w:val="af9"/>
          <w:rFonts w:hint="cs"/>
          <w:rtl/>
        </w:rPr>
        <w:t>דר"י</w:t>
      </w:r>
      <w:r>
        <w:rPr>
          <w:rFonts w:hint="cs"/>
          <w:rtl/>
        </w:rPr>
        <w:t xml:space="preserve"> בא לחלוק על דעת </w:t>
      </w:r>
      <w:r w:rsidRPr="00787EB3">
        <w:rPr>
          <w:rStyle w:val="af9"/>
          <w:rFonts w:hint="cs"/>
          <w:rtl/>
        </w:rPr>
        <w:t>הרשב"א בתוס'</w:t>
      </w:r>
      <w:r>
        <w:rPr>
          <w:rFonts w:hint="cs"/>
          <w:rtl/>
        </w:rPr>
        <w:t>.</w:t>
      </w:r>
      <w:bookmarkEnd w:id="9571"/>
    </w:p>
    <w:p w:rsidR="000E75A3" w:rsidRDefault="000E75A3" w:rsidP="000E75A3">
      <w:pPr>
        <w:pStyle w:val="a3"/>
        <w:rPr>
          <w:rtl/>
        </w:rPr>
      </w:pPr>
      <w:bookmarkStart w:id="9572" w:name="_Toc59643573"/>
      <w:bookmarkStart w:id="9573" w:name="_Toc59741643"/>
      <w:bookmarkStart w:id="9574" w:name="_Toc59786767"/>
      <w:bookmarkStart w:id="9575" w:name="_Toc59802581"/>
      <w:bookmarkStart w:id="9576" w:name="_Toc59916141"/>
      <w:r>
        <w:rPr>
          <w:rFonts w:hint="cs"/>
          <w:rtl/>
        </w:rPr>
        <w:t>דברי ההג' אשר"י דבלא חזקה ל"מ עידי חד יומא אך לד' הרשב"א בתוס' מהני במיגו דלהד"ם</w:t>
      </w:r>
      <w:bookmarkEnd w:id="9572"/>
      <w:bookmarkEnd w:id="9573"/>
      <w:bookmarkEnd w:id="9574"/>
      <w:bookmarkEnd w:id="9575"/>
      <w:bookmarkEnd w:id="9576"/>
    </w:p>
    <w:p w:rsidR="000E75A3" w:rsidRPr="008927A3" w:rsidRDefault="000E75A3" w:rsidP="007E4E81">
      <w:pPr>
        <w:pStyle w:val="a0"/>
        <w:rPr>
          <w:rtl/>
        </w:rPr>
      </w:pPr>
      <w:bookmarkStart w:id="9577" w:name="_Ref59654466"/>
      <w:r w:rsidRPr="00670C9F">
        <w:rPr>
          <w:rStyle w:val="af9"/>
          <w:rFonts w:hint="cs"/>
          <w:rtl/>
        </w:rPr>
        <w:t xml:space="preserve">ובהג' אשר"י </w:t>
      </w:r>
      <w:r w:rsidRPr="00BF4415">
        <w:rPr>
          <w:rStyle w:val="af7"/>
          <w:rFonts w:eastAsia="Guttman Hodes" w:hint="cs"/>
          <w:rtl/>
        </w:rPr>
        <w:t>(על הרא"ש סי' ז' ד"ה ואפילו)</w:t>
      </w:r>
      <w:r>
        <w:rPr>
          <w:rFonts w:hint="cs"/>
          <w:rtl/>
        </w:rPr>
        <w:t xml:space="preserve"> כתב דאף כשיש למחזיק חזקת ג"ש, מ"מ כיון שאין המחזיק טוען טענת ברי, לכן אם אין למחזיק עדים שהמוכר דר בה חד יומא, מעמידים ביד המערער, ואם אין לו חזקת ג"ש, או שטר מכירה מהמערער למוכר, אף כשיש למחזיק עדים שהמוכר דר בה חד יומא, אך אינם יודעים אם המוכר קנה מהמערער, לא מהני העדים כלום, וכתב </w:t>
      </w:r>
      <w:r w:rsidRPr="00670C9F">
        <w:rPr>
          <w:rStyle w:val="af9"/>
          <w:rFonts w:hint="cs"/>
          <w:rtl/>
        </w:rPr>
        <w:t>בהג' אשר"י</w:t>
      </w:r>
      <w:r>
        <w:rPr>
          <w:rFonts w:hint="cs"/>
          <w:rtl/>
        </w:rPr>
        <w:t xml:space="preserve"> דהוא דלא </w:t>
      </w:r>
      <w:r w:rsidRPr="00670C9F">
        <w:rPr>
          <w:rStyle w:val="af9"/>
          <w:rFonts w:hint="cs"/>
          <w:rtl/>
        </w:rPr>
        <w:t>כהרשב"א בתוס'</w:t>
      </w:r>
      <w:r>
        <w:rPr>
          <w:rFonts w:hint="cs"/>
          <w:rtl/>
        </w:rPr>
        <w:t xml:space="preserve"> </w:t>
      </w:r>
      <w:r w:rsidRPr="00AD5F22">
        <w:rPr>
          <w:rStyle w:val="af7"/>
          <w:rFonts w:eastAsia="Guttman Hodes" w:hint="cs"/>
          <w:rtl/>
        </w:rPr>
        <w:t xml:space="preserve">(עי' אות </w:t>
      </w:r>
      <w:r w:rsidRPr="00AD5F22">
        <w:rPr>
          <w:rStyle w:val="af7"/>
          <w:rFonts w:eastAsia="Guttman Hodes"/>
          <w:rtl/>
        </w:rPr>
        <w:fldChar w:fldCharType="begin"/>
      </w:r>
      <w:r w:rsidRPr="00AD5F22">
        <w:rPr>
          <w:rStyle w:val="af7"/>
          <w:rFonts w:eastAsia="Guttman Hodes"/>
          <w:rtl/>
        </w:rPr>
        <w:instrText xml:space="preserve"> </w:instrText>
      </w:r>
      <w:r w:rsidRPr="00AD5F22">
        <w:rPr>
          <w:rStyle w:val="af7"/>
          <w:rFonts w:eastAsia="Guttman Hodes" w:hint="cs"/>
        </w:rPr>
        <w:instrText>REF</w:instrText>
      </w:r>
      <w:r w:rsidRPr="00AD5F22">
        <w:rPr>
          <w:rStyle w:val="af7"/>
          <w:rFonts w:eastAsia="Guttman Hodes" w:hint="cs"/>
          <w:rtl/>
        </w:rPr>
        <w:instrText xml:space="preserve"> _</w:instrText>
      </w:r>
      <w:r w:rsidRPr="00AD5F22">
        <w:rPr>
          <w:rStyle w:val="af7"/>
          <w:rFonts w:eastAsia="Guttman Hodes" w:hint="cs"/>
        </w:rPr>
        <w:instrText>Ref59638114 \r \h</w:instrText>
      </w:r>
      <w:r w:rsidRPr="00AD5F22">
        <w:rPr>
          <w:rStyle w:val="af7"/>
          <w:rFonts w:eastAsia="Guttman Hodes"/>
          <w:rtl/>
        </w:rPr>
        <w:instrText xml:space="preserve"> </w:instrText>
      </w:r>
      <w:r w:rsidRPr="00AD5F22">
        <w:rPr>
          <w:rStyle w:val="af7"/>
          <w:rFonts w:eastAsia="Guttman Hodes"/>
          <w:rtl/>
        </w:rPr>
      </w:r>
      <w:r w:rsidRPr="00AD5F22">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AD5F22">
        <w:rPr>
          <w:rStyle w:val="af7"/>
          <w:rFonts w:eastAsia="Guttman Hodes"/>
          <w:rtl/>
        </w:rPr>
        <w:fldChar w:fldCharType="end"/>
      </w:r>
      <w:r>
        <w:rPr>
          <w:rFonts w:hint="cs"/>
          <w:rtl/>
        </w:rPr>
        <w:t xml:space="preserve"> דכתב דאף כשאין לו חזקת ג"ש, וטוען קמי דידי זבנה מינך, או דדר </w:t>
      </w:r>
      <w:r w:rsidRPr="008927A3">
        <w:rPr>
          <w:rFonts w:hint="cs"/>
          <w:rtl/>
        </w:rPr>
        <w:t>בה המוכר חד יומא, נאמן במיגו דלא הייתה שלך מעולם</w:t>
      </w:r>
      <w:r>
        <w:rPr>
          <w:rFonts w:hint="cs"/>
          <w:rtl/>
        </w:rPr>
        <w:t xml:space="preserve">, ועי' במ"ש </w:t>
      </w:r>
      <w:r w:rsidRPr="00D55698">
        <w:rPr>
          <w:rStyle w:val="af9"/>
          <w:rFonts w:hint="cs"/>
          <w:rtl/>
        </w:rPr>
        <w:t>בחי' רבי ראובן</w:t>
      </w:r>
      <w:r>
        <w:rPr>
          <w:rFonts w:hint="cs"/>
          <w:rtl/>
        </w:rPr>
        <w:t xml:space="preserve"> </w:t>
      </w:r>
      <w:r>
        <w:rPr>
          <w:rStyle w:val="af7"/>
          <w:rFonts w:eastAsia="Guttman Hodes" w:hint="cs"/>
          <w:rtl/>
        </w:rPr>
        <w:t xml:space="preserve">(עי' </w:t>
      </w:r>
      <w:r w:rsidRPr="00B52D7F">
        <w:rPr>
          <w:rStyle w:val="af7"/>
          <w:rFonts w:eastAsia="Guttman Hodes" w:hint="cs"/>
          <w:rtl/>
        </w:rPr>
        <w:t xml:space="preserve">אות </w:t>
      </w:r>
      <w:r w:rsidRPr="00B52D7F">
        <w:rPr>
          <w:rStyle w:val="af7"/>
          <w:rFonts w:eastAsia="Guttman Hodes"/>
          <w:rtl/>
        </w:rPr>
        <w:fldChar w:fldCharType="begin"/>
      </w:r>
      <w:r w:rsidRPr="00B52D7F">
        <w:rPr>
          <w:rStyle w:val="af7"/>
          <w:rFonts w:eastAsia="Guttman Hodes"/>
          <w:rtl/>
        </w:rPr>
        <w:instrText xml:space="preserve"> </w:instrText>
      </w:r>
      <w:r w:rsidRPr="00B52D7F">
        <w:rPr>
          <w:rStyle w:val="af7"/>
          <w:rFonts w:eastAsia="Guttman Hodes" w:hint="cs"/>
        </w:rPr>
        <w:instrText>REF</w:instrText>
      </w:r>
      <w:r w:rsidRPr="00B52D7F">
        <w:rPr>
          <w:rStyle w:val="af7"/>
          <w:rFonts w:eastAsia="Guttman Hodes" w:hint="cs"/>
          <w:rtl/>
        </w:rPr>
        <w:instrText xml:space="preserve"> _</w:instrText>
      </w:r>
      <w:r w:rsidRPr="00B52D7F">
        <w:rPr>
          <w:rStyle w:val="af7"/>
          <w:rFonts w:eastAsia="Guttman Hodes" w:hint="cs"/>
        </w:rPr>
        <w:instrText>Ref59654568 \r \h</w:instrText>
      </w:r>
      <w:r w:rsidRPr="00B52D7F">
        <w:rPr>
          <w:rStyle w:val="af7"/>
          <w:rFonts w:eastAsia="Guttman Hodes"/>
          <w:rtl/>
        </w:rPr>
        <w:instrText xml:space="preserve"> </w:instrText>
      </w:r>
      <w:r w:rsidRPr="00B52D7F">
        <w:rPr>
          <w:rStyle w:val="af7"/>
          <w:rFonts w:eastAsia="Guttman Hodes"/>
          <w:rtl/>
        </w:rPr>
      </w:r>
      <w:r w:rsidRPr="00B52D7F">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B52D7F">
        <w:rPr>
          <w:rStyle w:val="af7"/>
          <w:rFonts w:eastAsia="Guttman Hodes"/>
          <w:rtl/>
        </w:rPr>
        <w:fldChar w:fldCharType="end"/>
      </w:r>
      <w:r>
        <w:rPr>
          <w:rFonts w:hint="cs"/>
          <w:rtl/>
        </w:rPr>
        <w:t xml:space="preserve"> בדברי </w:t>
      </w:r>
      <w:r>
        <w:rPr>
          <w:rStyle w:val="af9"/>
          <w:rFonts w:hint="cs"/>
          <w:rtl/>
        </w:rPr>
        <w:t>ה</w:t>
      </w:r>
      <w:r w:rsidRPr="00670C9F">
        <w:rPr>
          <w:rStyle w:val="af9"/>
          <w:rFonts w:hint="cs"/>
          <w:rtl/>
        </w:rPr>
        <w:t>הג' אשר"י</w:t>
      </w:r>
      <w:r w:rsidRPr="008927A3">
        <w:rPr>
          <w:rFonts w:hint="cs"/>
          <w:rtl/>
        </w:rPr>
        <w:t>.</w:t>
      </w:r>
      <w:bookmarkEnd w:id="9577"/>
    </w:p>
    <w:p w:rsidR="000E75A3" w:rsidRPr="008927A3" w:rsidRDefault="000E75A3" w:rsidP="000E75A3">
      <w:pPr>
        <w:pStyle w:val="a3"/>
        <w:rPr>
          <w:rtl/>
        </w:rPr>
      </w:pPr>
      <w:bookmarkStart w:id="9578" w:name="_Toc59490129"/>
      <w:bookmarkStart w:id="9579" w:name="_Toc59620300"/>
      <w:bookmarkStart w:id="9580" w:name="_Toc59643574"/>
      <w:bookmarkStart w:id="9581" w:name="_Toc59741644"/>
      <w:bookmarkStart w:id="9582" w:name="_Toc59786768"/>
      <w:bookmarkStart w:id="9583" w:name="_Toc59802582"/>
      <w:bookmarkStart w:id="9584" w:name="_Toc59916142"/>
      <w:r w:rsidRPr="008927A3">
        <w:rPr>
          <w:rFonts w:hint="cs"/>
          <w:rtl/>
        </w:rPr>
        <w:t xml:space="preserve">ביאור הביה"ל ברשב"א בתוס' </w:t>
      </w:r>
      <w:bookmarkEnd w:id="9578"/>
      <w:bookmarkEnd w:id="9579"/>
      <w:bookmarkEnd w:id="9580"/>
      <w:r>
        <w:rPr>
          <w:rFonts w:hint="cs"/>
          <w:rtl/>
        </w:rPr>
        <w:t>דטענינן דהיה למוכר שטר ואין ריעותא למחזיק דאחוי שטרך</w:t>
      </w:r>
      <w:bookmarkEnd w:id="9581"/>
      <w:bookmarkEnd w:id="9582"/>
      <w:bookmarkEnd w:id="9583"/>
      <w:bookmarkEnd w:id="9584"/>
    </w:p>
    <w:p w:rsidR="000E75A3" w:rsidRPr="00560EF0" w:rsidRDefault="000E75A3" w:rsidP="007E4E81">
      <w:pPr>
        <w:pStyle w:val="a0"/>
        <w:rPr>
          <w:rtl/>
        </w:rPr>
      </w:pPr>
      <w:bookmarkStart w:id="9585" w:name="_Ref59700508"/>
      <w:r w:rsidRPr="00560EF0">
        <w:rPr>
          <w:rFonts w:hint="cs"/>
          <w:rtl/>
        </w:rPr>
        <w:t xml:space="preserve">במ"ש </w:t>
      </w:r>
      <w:r w:rsidRPr="00560EF0">
        <w:rPr>
          <w:rStyle w:val="af9"/>
          <w:rFonts w:hint="cs"/>
          <w:rtl/>
        </w:rPr>
        <w:t>הרשב"א בתוס'</w:t>
      </w:r>
      <w:r w:rsidRPr="00560EF0">
        <w:rPr>
          <w:rFonts w:hint="cs"/>
          <w:rtl/>
        </w:rPr>
        <w:t xml:space="preserve"> </w:t>
      </w:r>
      <w:r w:rsidRPr="00560EF0">
        <w:rPr>
          <w:rStyle w:val="af7"/>
          <w:rFonts w:eastAsia="Guttman Hodes" w:hint="cs"/>
          <w:rtl/>
        </w:rPr>
        <w:t xml:space="preserve">(עי' אות </w:t>
      </w:r>
      <w:r w:rsidRPr="00560EF0">
        <w:rPr>
          <w:rStyle w:val="af7"/>
          <w:rFonts w:eastAsia="Guttman Hodes"/>
          <w:rtl/>
        </w:rPr>
        <w:fldChar w:fldCharType="begin"/>
      </w:r>
      <w:r w:rsidRPr="00560EF0">
        <w:rPr>
          <w:rStyle w:val="af7"/>
          <w:rFonts w:eastAsia="Guttman Hodes"/>
          <w:rtl/>
        </w:rPr>
        <w:instrText xml:space="preserve"> </w:instrText>
      </w:r>
      <w:r w:rsidRPr="00560EF0">
        <w:rPr>
          <w:rStyle w:val="af7"/>
          <w:rFonts w:eastAsia="Guttman Hodes" w:hint="cs"/>
        </w:rPr>
        <w:instrText>REF</w:instrText>
      </w:r>
      <w:r w:rsidRPr="00560EF0">
        <w:rPr>
          <w:rStyle w:val="af7"/>
          <w:rFonts w:eastAsia="Guttman Hodes" w:hint="cs"/>
          <w:rtl/>
        </w:rPr>
        <w:instrText xml:space="preserve"> _</w:instrText>
      </w:r>
      <w:r w:rsidRPr="00560EF0">
        <w:rPr>
          <w:rStyle w:val="af7"/>
          <w:rFonts w:eastAsia="Guttman Hodes" w:hint="cs"/>
        </w:rPr>
        <w:instrText>Ref59638114 \r \h</w:instrText>
      </w:r>
      <w:r w:rsidRPr="00560EF0">
        <w:rPr>
          <w:rStyle w:val="af7"/>
          <w:rFonts w:eastAsia="Guttman Hodes"/>
          <w:rtl/>
        </w:rPr>
        <w:instrText xml:space="preserve">  \* </w:instrText>
      </w:r>
      <w:r w:rsidRPr="00560EF0">
        <w:rPr>
          <w:rStyle w:val="af7"/>
          <w:rFonts w:eastAsia="Guttman Hodes"/>
        </w:rPr>
        <w:instrText>MERGEFORMAT</w:instrText>
      </w:r>
      <w:r w:rsidRPr="00560EF0">
        <w:rPr>
          <w:rStyle w:val="af7"/>
          <w:rFonts w:eastAsia="Guttman Hodes"/>
          <w:rtl/>
        </w:rPr>
        <w:instrText xml:space="preserve"> </w:instrText>
      </w:r>
      <w:r w:rsidRPr="00560EF0">
        <w:rPr>
          <w:rStyle w:val="af7"/>
          <w:rFonts w:eastAsia="Guttman Hodes"/>
          <w:rtl/>
        </w:rPr>
      </w:r>
      <w:r w:rsidRPr="00560EF0">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560EF0">
        <w:rPr>
          <w:rStyle w:val="af7"/>
          <w:rFonts w:eastAsia="Guttman Hodes"/>
          <w:rtl/>
        </w:rPr>
        <w:fldChar w:fldCharType="end"/>
      </w:r>
      <w:r w:rsidRPr="00560EF0">
        <w:rPr>
          <w:rFonts w:hint="cs"/>
          <w:rtl/>
        </w:rPr>
        <w:t xml:space="preserve"> דכשיש עדים דדר בה המוכר חד יומא, מעמידים את הקרקע בידו, אעפ"י שאין לו מיגו, כתב </w:t>
      </w:r>
      <w:r w:rsidRPr="00560EF0">
        <w:rPr>
          <w:rStyle w:val="af9"/>
          <w:rFonts w:hint="cs"/>
          <w:rtl/>
        </w:rPr>
        <w:t>הבית הלוי</w:t>
      </w:r>
      <w:r w:rsidRPr="00560EF0">
        <w:rPr>
          <w:rFonts w:hint="cs"/>
          <w:rtl/>
        </w:rPr>
        <w:t xml:space="preserve"> </w:t>
      </w:r>
      <w:r w:rsidRPr="00560EF0">
        <w:rPr>
          <w:rStyle w:val="af7"/>
          <w:rFonts w:eastAsia="Guttman Hodes" w:hint="cs"/>
          <w:rtl/>
        </w:rPr>
        <w:t xml:space="preserve">(ח"ג סי' ל"ו או' א' ד"ה ובזה יבואר) </w:t>
      </w:r>
      <w:r w:rsidRPr="00560EF0">
        <w:rPr>
          <w:rFonts w:hint="cs"/>
          <w:rtl/>
        </w:rPr>
        <w:t xml:space="preserve">דכוונת </w:t>
      </w:r>
      <w:r w:rsidRPr="00560EF0">
        <w:rPr>
          <w:rStyle w:val="af9"/>
          <w:rFonts w:hint="cs"/>
          <w:rtl/>
        </w:rPr>
        <w:t>התוס'</w:t>
      </w:r>
      <w:r w:rsidRPr="00560EF0">
        <w:rPr>
          <w:rFonts w:hint="cs"/>
          <w:rtl/>
        </w:rPr>
        <w:t xml:space="preserve"> לחלוק בזה על </w:t>
      </w:r>
      <w:r w:rsidRPr="00560EF0">
        <w:rPr>
          <w:rStyle w:val="af9"/>
          <w:rFonts w:hint="cs"/>
          <w:rtl/>
        </w:rPr>
        <w:t>הרשב"ם</w:t>
      </w:r>
      <w:r w:rsidRPr="00560EF0">
        <w:rPr>
          <w:rFonts w:hint="cs"/>
          <w:rtl/>
        </w:rPr>
        <w:t xml:space="preserve"> </w:t>
      </w:r>
      <w:r w:rsidRPr="00560EF0">
        <w:rPr>
          <w:rStyle w:val="af7"/>
          <w:rFonts w:eastAsia="Guttman Hodes" w:hint="cs"/>
          <w:rtl/>
        </w:rPr>
        <w:t xml:space="preserve">(עי' אות </w:t>
      </w:r>
      <w:r w:rsidRPr="00560EF0">
        <w:rPr>
          <w:rStyle w:val="af7"/>
          <w:rFonts w:eastAsia="Guttman Hodes"/>
          <w:rtl/>
        </w:rPr>
        <w:fldChar w:fldCharType="begin"/>
      </w:r>
      <w:r w:rsidRPr="00560EF0">
        <w:rPr>
          <w:rStyle w:val="af7"/>
          <w:rFonts w:eastAsia="Guttman Hodes"/>
          <w:rtl/>
        </w:rPr>
        <w:instrText xml:space="preserve"> </w:instrText>
      </w:r>
      <w:r w:rsidRPr="00560EF0">
        <w:rPr>
          <w:rStyle w:val="af7"/>
          <w:rFonts w:eastAsia="Guttman Hodes" w:hint="cs"/>
        </w:rPr>
        <w:instrText>REF</w:instrText>
      </w:r>
      <w:r w:rsidRPr="00560EF0">
        <w:rPr>
          <w:rStyle w:val="af7"/>
          <w:rFonts w:eastAsia="Guttman Hodes" w:hint="cs"/>
          <w:rtl/>
        </w:rPr>
        <w:instrText xml:space="preserve"> _</w:instrText>
      </w:r>
      <w:r w:rsidRPr="00560EF0">
        <w:rPr>
          <w:rStyle w:val="af7"/>
          <w:rFonts w:eastAsia="Guttman Hodes" w:hint="cs"/>
        </w:rPr>
        <w:instrText>Ref57911397 \r \h</w:instrText>
      </w:r>
      <w:r w:rsidRPr="00560EF0">
        <w:rPr>
          <w:rStyle w:val="af7"/>
          <w:rFonts w:eastAsia="Guttman Hodes"/>
          <w:rtl/>
        </w:rPr>
        <w:instrText xml:space="preserve">  \* </w:instrText>
      </w:r>
      <w:r w:rsidRPr="00560EF0">
        <w:rPr>
          <w:rStyle w:val="af7"/>
          <w:rFonts w:eastAsia="Guttman Hodes"/>
        </w:rPr>
        <w:instrText>MERGEFORMAT</w:instrText>
      </w:r>
      <w:r w:rsidRPr="00560EF0">
        <w:rPr>
          <w:rStyle w:val="af7"/>
          <w:rFonts w:eastAsia="Guttman Hodes"/>
          <w:rtl/>
        </w:rPr>
        <w:instrText xml:space="preserve"> </w:instrText>
      </w:r>
      <w:r w:rsidRPr="00560EF0">
        <w:rPr>
          <w:rStyle w:val="af7"/>
          <w:rFonts w:eastAsia="Guttman Hodes"/>
          <w:rtl/>
        </w:rPr>
      </w:r>
      <w:r w:rsidRPr="00560EF0">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560EF0">
        <w:rPr>
          <w:rStyle w:val="af7"/>
          <w:rFonts w:eastAsia="Guttman Hodes"/>
          <w:rtl/>
        </w:rPr>
        <w:fldChar w:fldCharType="end"/>
      </w:r>
      <w:r w:rsidRPr="00560EF0">
        <w:rPr>
          <w:rFonts w:hint="cs"/>
          <w:rtl/>
        </w:rPr>
        <w:t xml:space="preserve"> ולבאר דאף כשאין לו חזקת ג"ש, מהני עדים שדר המוכר חד יומא, מדין טענינן, וכתב </w:t>
      </w:r>
      <w:r w:rsidRPr="00560EF0">
        <w:rPr>
          <w:rStyle w:val="af9"/>
          <w:rFonts w:hint="cs"/>
          <w:rtl/>
        </w:rPr>
        <w:t>הבית הלוי</w:t>
      </w:r>
      <w:r w:rsidRPr="00560EF0">
        <w:rPr>
          <w:rFonts w:hint="cs"/>
          <w:rtl/>
        </w:rPr>
        <w:t xml:space="preserve"> דאפש"ל אעפ"י דמודה </w:t>
      </w:r>
      <w:r w:rsidRPr="00560EF0">
        <w:rPr>
          <w:rStyle w:val="af9"/>
          <w:rFonts w:hint="cs"/>
          <w:rtl/>
        </w:rPr>
        <w:t>הרשב"א בתוס'</w:t>
      </w:r>
      <w:r w:rsidRPr="00560EF0">
        <w:rPr>
          <w:rFonts w:hint="cs"/>
          <w:rtl/>
        </w:rPr>
        <w:t xml:space="preserve"> לעיקר </w:t>
      </w:r>
      <w:r>
        <w:rPr>
          <w:rFonts w:hint="cs"/>
          <w:rtl/>
        </w:rPr>
        <w:t xml:space="preserve">ביאור </w:t>
      </w:r>
      <w:r w:rsidRPr="00560EF0">
        <w:rPr>
          <w:rStyle w:val="af9"/>
          <w:rFonts w:hint="cs"/>
          <w:rtl/>
        </w:rPr>
        <w:t>הבית הלוי</w:t>
      </w:r>
      <w:r w:rsidRPr="00CF78FA">
        <w:rPr>
          <w:rStyle w:val="af7"/>
          <w:rFonts w:eastAsia="Guttman Hodes" w:hint="cs"/>
          <w:rtl/>
        </w:rPr>
        <w:t xml:space="preserve"> (עי' אות </w:t>
      </w:r>
      <w:r w:rsidRPr="00CF78FA">
        <w:rPr>
          <w:rStyle w:val="af7"/>
          <w:rFonts w:eastAsia="Guttman Hodes"/>
          <w:rtl/>
        </w:rPr>
        <w:fldChar w:fldCharType="begin"/>
      </w:r>
      <w:r w:rsidRPr="00CF78FA">
        <w:rPr>
          <w:rStyle w:val="af7"/>
          <w:rFonts w:eastAsia="Guttman Hodes"/>
          <w:rtl/>
        </w:rPr>
        <w:instrText xml:space="preserve"> </w:instrText>
      </w:r>
      <w:r w:rsidRPr="00CF78FA">
        <w:rPr>
          <w:rStyle w:val="af7"/>
          <w:rFonts w:eastAsia="Guttman Hodes" w:hint="cs"/>
        </w:rPr>
        <w:instrText>REF</w:instrText>
      </w:r>
      <w:r w:rsidRPr="00CF78FA">
        <w:rPr>
          <w:rStyle w:val="af7"/>
          <w:rFonts w:eastAsia="Guttman Hodes" w:hint="cs"/>
          <w:rtl/>
        </w:rPr>
        <w:instrText xml:space="preserve"> _</w:instrText>
      </w:r>
      <w:r w:rsidRPr="00CF78FA">
        <w:rPr>
          <w:rStyle w:val="af7"/>
          <w:rFonts w:eastAsia="Guttman Hodes" w:hint="cs"/>
        </w:rPr>
        <w:instrText>Ref59700524 \r \h</w:instrText>
      </w:r>
      <w:r w:rsidRPr="00CF78FA">
        <w:rPr>
          <w:rStyle w:val="af7"/>
          <w:rFonts w:eastAsia="Guttman Hodes"/>
          <w:rtl/>
        </w:rPr>
        <w:instrText xml:space="preserve"> </w:instrText>
      </w:r>
      <w:r w:rsidRPr="00CF78FA">
        <w:rPr>
          <w:rStyle w:val="af7"/>
          <w:rFonts w:eastAsia="Guttman Hodes"/>
          <w:rtl/>
        </w:rPr>
      </w:r>
      <w:r w:rsidRPr="00CF78FA">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CF78FA">
        <w:rPr>
          <w:rStyle w:val="af7"/>
          <w:rFonts w:eastAsia="Guttman Hodes"/>
          <w:rtl/>
        </w:rPr>
        <w:fldChar w:fldCharType="end"/>
      </w:r>
      <w:r w:rsidRPr="00CF78FA">
        <w:rPr>
          <w:rStyle w:val="af7"/>
          <w:rFonts w:eastAsia="Guttman Hodes" w:hint="cs"/>
          <w:rtl/>
        </w:rPr>
        <w:t xml:space="preserve"> </w:t>
      </w:r>
      <w:r>
        <w:rPr>
          <w:rFonts w:hint="cs"/>
          <w:rtl/>
        </w:rPr>
        <w:t>בדעת</w:t>
      </w:r>
      <w:r w:rsidRPr="00560EF0">
        <w:rPr>
          <w:rFonts w:hint="cs"/>
          <w:rtl/>
        </w:rPr>
        <w:t xml:space="preserve"> </w:t>
      </w:r>
      <w:r w:rsidRPr="00560EF0">
        <w:rPr>
          <w:rStyle w:val="af9"/>
          <w:rFonts w:hint="cs"/>
          <w:rtl/>
        </w:rPr>
        <w:t>הרשב"ם</w:t>
      </w:r>
      <w:r w:rsidRPr="00560EF0">
        <w:rPr>
          <w:rFonts w:hint="cs"/>
          <w:rtl/>
        </w:rPr>
        <w:t xml:space="preserve"> דבתוך ג"ש אמרינן ליה אחוי שטרך, ולא מהני מיגו, מ"מ </w:t>
      </w:r>
      <w:r>
        <w:rPr>
          <w:rFonts w:hint="cs"/>
          <w:rtl/>
        </w:rPr>
        <w:t xml:space="preserve">ס"ל </w:t>
      </w:r>
      <w:r>
        <w:rPr>
          <w:rStyle w:val="af9"/>
          <w:rFonts w:hint="cs"/>
          <w:rtl/>
        </w:rPr>
        <w:t>ל</w:t>
      </w:r>
      <w:r w:rsidRPr="00560EF0">
        <w:rPr>
          <w:rStyle w:val="af9"/>
          <w:rFonts w:hint="cs"/>
          <w:rtl/>
        </w:rPr>
        <w:t>הרשב"א בתוס'</w:t>
      </w:r>
      <w:r w:rsidRPr="00560EF0">
        <w:rPr>
          <w:rFonts w:hint="cs"/>
          <w:rtl/>
        </w:rPr>
        <w:t xml:space="preserve"> </w:t>
      </w:r>
      <w:r>
        <w:rPr>
          <w:rFonts w:hint="cs"/>
          <w:rtl/>
        </w:rPr>
        <w:t>ד</w:t>
      </w:r>
      <w:r w:rsidRPr="00560EF0">
        <w:rPr>
          <w:rFonts w:hint="cs"/>
          <w:rtl/>
        </w:rPr>
        <w:t>כיון שהטענה מצד עצמה היא טענה טובה, ויש בה רק ריעותא, לכן מדין טענינן אמרינן שמא למוכר הייתה סיבה שאין לו שטר, וא"כ אי"ז ריעותא בטענתו.</w:t>
      </w:r>
      <w:bookmarkEnd w:id="9585"/>
    </w:p>
    <w:p w:rsidR="000E75A3" w:rsidRDefault="000E75A3" w:rsidP="000E75A3">
      <w:pPr>
        <w:pStyle w:val="afe"/>
        <w:rPr>
          <w:rtl/>
        </w:rPr>
      </w:pPr>
      <w:bookmarkStart w:id="9586" w:name="_Toc59786769"/>
      <w:bookmarkStart w:id="9587" w:name="_Toc59802583"/>
      <w:bookmarkStart w:id="9588" w:name="_Toc59916143"/>
      <w:bookmarkStart w:id="9589" w:name="_Toc59361657"/>
      <w:bookmarkStart w:id="9590" w:name="_Toc59464657"/>
      <w:bookmarkStart w:id="9591" w:name="_Toc59490154"/>
      <w:bookmarkStart w:id="9592" w:name="_Toc59620351"/>
      <w:bookmarkStart w:id="9593" w:name="_Toc59643625"/>
      <w:bookmarkStart w:id="9594" w:name="_Toc59620303"/>
      <w:bookmarkStart w:id="9595" w:name="_Toc59643575"/>
      <w:r>
        <w:rPr>
          <w:rFonts w:hint="cs"/>
          <w:rtl/>
        </w:rPr>
        <w:t>בי' המשל"מ בקו' הרא"ש בחד יומא</w:t>
      </w:r>
      <w:bookmarkEnd w:id="9586"/>
      <w:bookmarkEnd w:id="9587"/>
      <w:bookmarkEnd w:id="9588"/>
    </w:p>
    <w:p w:rsidR="000E75A3" w:rsidRPr="00806FC0" w:rsidRDefault="000E75A3" w:rsidP="000E75A3">
      <w:pPr>
        <w:pStyle w:val="1"/>
        <w:rPr>
          <w:rtl/>
        </w:rPr>
      </w:pPr>
      <w:bookmarkStart w:id="9596" w:name="_Toc59916144"/>
      <w:r>
        <w:rPr>
          <w:rFonts w:hint="cs"/>
          <w:rtl/>
        </w:rPr>
        <w:t>קושיות הרא"ש על הרשב"ם ודברי רבינו יונה והרא"ש</w:t>
      </w:r>
      <w:bookmarkEnd w:id="9596"/>
    </w:p>
    <w:p w:rsidR="000E75A3" w:rsidRPr="003B75F9" w:rsidRDefault="000E75A3" w:rsidP="000E75A3">
      <w:pPr>
        <w:pStyle w:val="a3"/>
        <w:rPr>
          <w:rtl/>
        </w:rPr>
      </w:pPr>
      <w:bookmarkStart w:id="9597" w:name="_Toc59643621"/>
      <w:bookmarkStart w:id="9598" w:name="_Toc59741646"/>
      <w:bookmarkStart w:id="9599" w:name="_Toc59786770"/>
      <w:bookmarkStart w:id="9600" w:name="_Toc59802584"/>
      <w:bookmarkStart w:id="9601" w:name="_Toc59916145"/>
      <w:r>
        <w:rPr>
          <w:rFonts w:hint="cs"/>
          <w:rtl/>
        </w:rPr>
        <w:t xml:space="preserve">ביאור הרא"ש ברשב"ם דהמחזיק מודה </w:t>
      </w:r>
      <w:r w:rsidRPr="003B75F9">
        <w:rPr>
          <w:rFonts w:hint="cs"/>
          <w:rtl/>
        </w:rPr>
        <w:t>דאינו יודע אם קנאה המוכר ואין ספק מוציא מידי ודאי</w:t>
      </w:r>
      <w:bookmarkEnd w:id="9597"/>
      <w:bookmarkEnd w:id="9598"/>
      <w:bookmarkEnd w:id="9599"/>
      <w:bookmarkEnd w:id="9600"/>
      <w:bookmarkEnd w:id="9601"/>
    </w:p>
    <w:p w:rsidR="000E75A3" w:rsidRPr="00A37C79" w:rsidRDefault="000E75A3" w:rsidP="007E4E81">
      <w:pPr>
        <w:pStyle w:val="a0"/>
        <w:rPr>
          <w:rtl/>
        </w:rPr>
      </w:pPr>
      <w:bookmarkStart w:id="9602" w:name="_Ref59700892"/>
      <w:r w:rsidRPr="003B75F9">
        <w:rPr>
          <w:rFonts w:hint="cs"/>
          <w:rtl/>
        </w:rPr>
        <w:t xml:space="preserve">כתב </w:t>
      </w:r>
      <w:r w:rsidRPr="003B75F9">
        <w:rPr>
          <w:rStyle w:val="af9"/>
          <w:rtl/>
        </w:rPr>
        <w:t xml:space="preserve">הרא"ש </w:t>
      </w:r>
      <w:r w:rsidRPr="003B75F9">
        <w:rPr>
          <w:rStyle w:val="af7"/>
          <w:rFonts w:eastAsia="Guttman Hodes" w:hint="cs"/>
          <w:rtl/>
        </w:rPr>
        <w:t>(סי' ז')</w:t>
      </w:r>
      <w:r w:rsidRPr="003B75F9">
        <w:rPr>
          <w:rFonts w:hint="cs"/>
          <w:rtl/>
        </w:rPr>
        <w:t xml:space="preserve"> דמדאמר המערער "לאו קא מודית", מבואר דהוא היה צריך שיודה לו המחזיק, כיון שלא היה למערער עדים שהייתה שלו, ואם היה המחזיק טוען מינך זבינתה, או שהיה טוען קמי דידי זבנה מינך, היה נאמן מדין הפה שאסר, כיון שלמערער אין עדים שהייתה שלו, אך כתב </w:t>
      </w:r>
      <w:r w:rsidRPr="003B75F9">
        <w:rPr>
          <w:rStyle w:val="af9"/>
          <w:rFonts w:hint="cs"/>
          <w:rtl/>
        </w:rPr>
        <w:t>הרא"ש</w:t>
      </w:r>
      <w:r w:rsidRPr="003B75F9">
        <w:rPr>
          <w:rFonts w:hint="cs"/>
          <w:rtl/>
        </w:rPr>
        <w:t xml:space="preserve"> בשם </w:t>
      </w:r>
      <w:r w:rsidRPr="003B75F9">
        <w:rPr>
          <w:rStyle w:val="af9"/>
          <w:rFonts w:hint="cs"/>
          <w:rtl/>
        </w:rPr>
        <w:t>הרשב"ם</w:t>
      </w:r>
      <w:r w:rsidRPr="003B75F9">
        <w:rPr>
          <w:rFonts w:hint="cs"/>
          <w:rtl/>
        </w:rPr>
        <w:t xml:space="preserve"> </w:t>
      </w:r>
      <w:r w:rsidRPr="003B75F9">
        <w:rPr>
          <w:rStyle w:val="af7"/>
          <w:rFonts w:eastAsia="Guttman Hodes" w:hint="cs"/>
          <w:rtl/>
        </w:rPr>
        <w:t>(ד"ה א"ל, הובא בסימן ח' אות א')</w:t>
      </w:r>
      <w:r w:rsidRPr="003B75F9">
        <w:rPr>
          <w:rFonts w:hint="cs"/>
          <w:rtl/>
        </w:rPr>
        <w:t xml:space="preserve"> דכיון דאיירי שהמחזיק הודה שהייתה של המערער, וגם הודה שאינו יודע אם המוכר קנה מהמערער, דהא לא טען המחזיק קמי דידי זבנה מינך, וכתב </w:t>
      </w:r>
      <w:r w:rsidRPr="003B75F9">
        <w:rPr>
          <w:rStyle w:val="af9"/>
          <w:rFonts w:hint="cs"/>
          <w:rtl/>
        </w:rPr>
        <w:t>הרא"ש</w:t>
      </w:r>
      <w:r w:rsidRPr="003B75F9">
        <w:rPr>
          <w:rFonts w:hint="cs"/>
          <w:rtl/>
        </w:rPr>
        <w:t xml:space="preserve"> דלפי"ז ביאר </w:t>
      </w:r>
      <w:r w:rsidRPr="003B75F9">
        <w:rPr>
          <w:rStyle w:val="af9"/>
          <w:rFonts w:hint="cs"/>
          <w:rtl/>
        </w:rPr>
        <w:t>הרשב"ם</w:t>
      </w:r>
      <w:r w:rsidRPr="003B75F9">
        <w:rPr>
          <w:rFonts w:hint="cs"/>
          <w:rtl/>
        </w:rPr>
        <w:t xml:space="preserve"> דהמחזיק אינו נאמן במיגו דמינך זבינתה, דכיון שהודה שהייתה של המערער ושאינו</w:t>
      </w:r>
      <w:r>
        <w:rPr>
          <w:rFonts w:hint="cs"/>
          <w:rtl/>
        </w:rPr>
        <w:t xml:space="preserve"> </w:t>
      </w:r>
      <w:r w:rsidRPr="003B75F9">
        <w:rPr>
          <w:rFonts w:hint="cs"/>
          <w:rtl/>
        </w:rPr>
        <w:t xml:space="preserve">יודע אם המוכר קנה מהמערער לא מהני לו מיגו, דאין ספק מוציא מידי ודאי. </w:t>
      </w:r>
      <w:r w:rsidRPr="003B75F9">
        <w:rPr>
          <w:rStyle w:val="afb"/>
          <w:rFonts w:hint="cs"/>
          <w:rtl/>
        </w:rPr>
        <w:t xml:space="preserve">[דברי </w:t>
      </w:r>
      <w:r w:rsidRPr="003B75F9">
        <w:rPr>
          <w:rStyle w:val="affa"/>
          <w:rFonts w:hint="cs"/>
          <w:rtl/>
        </w:rPr>
        <w:t>הרא"ש</w:t>
      </w:r>
      <w:r w:rsidRPr="003B75F9">
        <w:rPr>
          <w:rStyle w:val="afb"/>
          <w:rFonts w:hint="cs"/>
          <w:rtl/>
        </w:rPr>
        <w:t xml:space="preserve"> וביאורי </w:t>
      </w:r>
      <w:r w:rsidRPr="003B75F9">
        <w:rPr>
          <w:rStyle w:val="affa"/>
          <w:rFonts w:hint="cs"/>
          <w:rtl/>
        </w:rPr>
        <w:t>האחרונ</w:t>
      </w:r>
      <w:r w:rsidRPr="00586E9A">
        <w:rPr>
          <w:rStyle w:val="affa"/>
          <w:rFonts w:hint="cs"/>
          <w:rtl/>
        </w:rPr>
        <w:t xml:space="preserve">ים </w:t>
      </w:r>
      <w:r>
        <w:rPr>
          <w:rStyle w:val="afb"/>
          <w:rFonts w:hint="cs"/>
          <w:rtl/>
        </w:rPr>
        <w:t xml:space="preserve">בדבריו </w:t>
      </w:r>
      <w:r w:rsidRPr="00F80F08">
        <w:rPr>
          <w:rStyle w:val="afb"/>
          <w:rFonts w:hint="cs"/>
          <w:rtl/>
        </w:rPr>
        <w:t xml:space="preserve">הובאו באריכות לעיל </w:t>
      </w:r>
      <w:r w:rsidRPr="00F80F08">
        <w:rPr>
          <w:rStyle w:val="aff6"/>
          <w:rFonts w:hint="cs"/>
          <w:rtl/>
        </w:rPr>
        <w:t>(הובא בסימן ח' אות ז')</w:t>
      </w:r>
      <w:r w:rsidRPr="00F80F08">
        <w:rPr>
          <w:rStyle w:val="afb"/>
          <w:rFonts w:hint="cs"/>
          <w:rtl/>
        </w:rPr>
        <w:t>].</w:t>
      </w:r>
      <w:bookmarkEnd w:id="9602"/>
    </w:p>
    <w:p w:rsidR="000E75A3" w:rsidRPr="005347B3" w:rsidRDefault="000E75A3" w:rsidP="000E75A3">
      <w:pPr>
        <w:pStyle w:val="a3"/>
      </w:pPr>
      <w:bookmarkStart w:id="9603" w:name="_Toc59643622"/>
      <w:bookmarkStart w:id="9604" w:name="_Toc59741647"/>
      <w:bookmarkStart w:id="9605" w:name="_Toc59786771"/>
      <w:bookmarkStart w:id="9606" w:name="_Toc59802585"/>
      <w:bookmarkStart w:id="9607" w:name="_Toc59916146"/>
      <w:r>
        <w:rPr>
          <w:rFonts w:hint="cs"/>
          <w:rtl/>
        </w:rPr>
        <w:lastRenderedPageBreak/>
        <w:t>קושיות הרא"ש על הרשב"ם דלא מוכח דהמחזיק הודה ועוד דהמיגו של המוכר יועיל למחזיק</w:t>
      </w:r>
      <w:bookmarkEnd w:id="9603"/>
      <w:bookmarkEnd w:id="9604"/>
      <w:bookmarkEnd w:id="9605"/>
      <w:bookmarkEnd w:id="9606"/>
      <w:bookmarkEnd w:id="9607"/>
    </w:p>
    <w:p w:rsidR="000E75A3" w:rsidRPr="00A37C79" w:rsidRDefault="000E75A3" w:rsidP="007E4E81">
      <w:pPr>
        <w:pStyle w:val="a0"/>
        <w:rPr>
          <w:rtl/>
        </w:rPr>
      </w:pPr>
      <w:bookmarkStart w:id="9608" w:name="_Ref59701130"/>
      <w:r>
        <w:rPr>
          <w:rFonts w:hint="cs"/>
          <w:rtl/>
        </w:rPr>
        <w:t xml:space="preserve">אך דחה </w:t>
      </w:r>
      <w:r w:rsidRPr="007028BB">
        <w:rPr>
          <w:rStyle w:val="af9"/>
          <w:rFonts w:hint="cs"/>
          <w:rtl/>
        </w:rPr>
        <w:t>הרא"ש</w:t>
      </w:r>
      <w:r>
        <w:rPr>
          <w:rFonts w:hint="cs"/>
          <w:rtl/>
        </w:rPr>
        <w:t xml:space="preserve"> </w:t>
      </w:r>
      <w:r w:rsidRPr="00091DF9">
        <w:rPr>
          <w:rStyle w:val="af7"/>
          <w:rFonts w:eastAsia="Guttman Hodes" w:hint="cs"/>
          <w:rtl/>
        </w:rPr>
        <w:t>(סי' ז')</w:t>
      </w:r>
      <w:r>
        <w:rPr>
          <w:rFonts w:hint="cs"/>
          <w:rtl/>
        </w:rPr>
        <w:t xml:space="preserve"> את דברי </w:t>
      </w:r>
      <w:r w:rsidRPr="00A21272">
        <w:rPr>
          <w:rStyle w:val="af9"/>
          <w:rFonts w:hint="cs"/>
          <w:rtl/>
        </w:rPr>
        <w:t xml:space="preserve">הרשב"ם </w:t>
      </w:r>
      <w:r>
        <w:rPr>
          <w:rFonts w:hint="cs"/>
          <w:rtl/>
        </w:rPr>
        <w:t xml:space="preserve">דלא מוכח מדברי המחזיק, דהודה שהקרקע הייתה של המערער, ועוד הקשה </w:t>
      </w:r>
      <w:r w:rsidRPr="008635DD">
        <w:rPr>
          <w:rStyle w:val="af9"/>
          <w:rFonts w:hint="cs"/>
          <w:rtl/>
        </w:rPr>
        <w:t>הרא"ש</w:t>
      </w:r>
      <w:r>
        <w:rPr>
          <w:rFonts w:hint="cs"/>
          <w:rtl/>
        </w:rPr>
        <w:t xml:space="preserve"> על </w:t>
      </w:r>
      <w:r w:rsidRPr="00775FC8">
        <w:rPr>
          <w:rStyle w:val="af9"/>
          <w:rFonts w:hint="cs"/>
          <w:rtl/>
        </w:rPr>
        <w:t>הרשב"ם</w:t>
      </w:r>
      <w:r>
        <w:rPr>
          <w:rFonts w:hint="cs"/>
          <w:rtl/>
        </w:rPr>
        <w:t xml:space="preserve"> דהא כיון שאם היה המוכר לפנינו והיה טוען שלך הייתה </w:t>
      </w:r>
      <w:r w:rsidRPr="00BD09EB">
        <w:rPr>
          <w:rFonts w:hint="cs"/>
          <w:rtl/>
        </w:rPr>
        <w:t>ולקחתיה ממך, הוא היה נאמן במיגו דלא הייתה שלך מעולם, א"כ אף המחזיק שבא מכחו, ג"כ צריך להיות נאמן בטענה זו.</w:t>
      </w:r>
      <w:r w:rsidRPr="00F80F08">
        <w:rPr>
          <w:rStyle w:val="afb"/>
          <w:rFonts w:hint="cs"/>
          <w:rtl/>
        </w:rPr>
        <w:t xml:space="preserve"> [דברי </w:t>
      </w:r>
      <w:r w:rsidRPr="00F80F08">
        <w:rPr>
          <w:rStyle w:val="affa"/>
          <w:rFonts w:hint="cs"/>
          <w:rtl/>
        </w:rPr>
        <w:t>הרא"ש</w:t>
      </w:r>
      <w:r w:rsidRPr="00F80F08">
        <w:rPr>
          <w:rStyle w:val="afb"/>
          <w:rFonts w:hint="cs"/>
          <w:rtl/>
        </w:rPr>
        <w:t xml:space="preserve"> </w:t>
      </w:r>
      <w:r>
        <w:rPr>
          <w:rStyle w:val="afb"/>
          <w:rFonts w:hint="cs"/>
          <w:rtl/>
        </w:rPr>
        <w:t xml:space="preserve">וביאורי </w:t>
      </w:r>
      <w:r w:rsidRPr="00586E9A">
        <w:rPr>
          <w:rStyle w:val="affa"/>
          <w:rFonts w:hint="cs"/>
          <w:rtl/>
        </w:rPr>
        <w:t xml:space="preserve">האחרונים </w:t>
      </w:r>
      <w:r>
        <w:rPr>
          <w:rStyle w:val="afb"/>
          <w:rFonts w:hint="cs"/>
          <w:rtl/>
        </w:rPr>
        <w:t xml:space="preserve">בדבריו </w:t>
      </w:r>
      <w:r w:rsidRPr="00F80F08">
        <w:rPr>
          <w:rStyle w:val="afb"/>
          <w:rFonts w:hint="cs"/>
          <w:rtl/>
        </w:rPr>
        <w:t xml:space="preserve">הובאו באריכות לעיל </w:t>
      </w:r>
      <w:r w:rsidRPr="00F80F08">
        <w:rPr>
          <w:rStyle w:val="aff6"/>
          <w:rFonts w:hint="cs"/>
          <w:rtl/>
        </w:rPr>
        <w:t xml:space="preserve">(הובא בסימן ח' אות </w:t>
      </w:r>
      <w:r>
        <w:rPr>
          <w:rStyle w:val="aff6"/>
          <w:rFonts w:hint="cs"/>
          <w:rtl/>
        </w:rPr>
        <w:t>מ"ז</w:t>
      </w:r>
      <w:r w:rsidRPr="00F80F08">
        <w:rPr>
          <w:rStyle w:val="aff6"/>
          <w:rFonts w:hint="cs"/>
          <w:rtl/>
        </w:rPr>
        <w:t>)</w:t>
      </w:r>
      <w:r w:rsidRPr="00F80F08">
        <w:rPr>
          <w:rStyle w:val="afb"/>
          <w:rFonts w:hint="cs"/>
          <w:rtl/>
        </w:rPr>
        <w:t>].</w:t>
      </w:r>
      <w:bookmarkEnd w:id="9608"/>
    </w:p>
    <w:p w:rsidR="000E75A3" w:rsidRPr="00BD09EB" w:rsidRDefault="000E75A3" w:rsidP="000E75A3">
      <w:pPr>
        <w:pStyle w:val="a3"/>
        <w:rPr>
          <w:rtl/>
        </w:rPr>
      </w:pPr>
      <w:bookmarkStart w:id="9609" w:name="_Toc59643623"/>
      <w:bookmarkStart w:id="9610" w:name="_Toc59741648"/>
      <w:bookmarkStart w:id="9611" w:name="_Toc59786772"/>
      <w:bookmarkStart w:id="9612" w:name="_Toc59802586"/>
      <w:bookmarkStart w:id="9613" w:name="_Toc59916147"/>
      <w:r>
        <w:rPr>
          <w:rFonts w:hint="cs"/>
          <w:rtl/>
        </w:rPr>
        <w:t>דברי הרא"ש בשם רבינו יונה דאיירי שהמחזיק הודה מעצמו ולכן אין ספק מוציא מידי ודאי</w:t>
      </w:r>
      <w:bookmarkEnd w:id="9609"/>
      <w:bookmarkEnd w:id="9610"/>
      <w:bookmarkEnd w:id="9611"/>
      <w:bookmarkEnd w:id="9612"/>
      <w:bookmarkEnd w:id="9613"/>
    </w:p>
    <w:p w:rsidR="000E75A3" w:rsidRDefault="000E75A3" w:rsidP="007E4E81">
      <w:pPr>
        <w:pStyle w:val="a0"/>
        <w:rPr>
          <w:rtl/>
        </w:rPr>
      </w:pPr>
      <w:r w:rsidRPr="00FA0033">
        <w:rPr>
          <w:rStyle w:val="a8"/>
          <w:rFonts w:hint="cs"/>
          <w:rtl/>
        </w:rPr>
        <w:t xml:space="preserve">והביא </w:t>
      </w:r>
      <w:r w:rsidRPr="00BD09EB">
        <w:rPr>
          <w:rStyle w:val="af9"/>
          <w:rFonts w:hint="cs"/>
          <w:rtl/>
        </w:rPr>
        <w:t>הרא"ש</w:t>
      </w:r>
      <w:r w:rsidRPr="00BD09EB">
        <w:rPr>
          <w:rFonts w:hint="cs"/>
          <w:rtl/>
        </w:rPr>
        <w:t xml:space="preserve"> </w:t>
      </w:r>
      <w:r w:rsidRPr="00FA0033">
        <w:rPr>
          <w:rStyle w:val="a8"/>
          <w:rFonts w:hint="cs"/>
          <w:rtl/>
        </w:rPr>
        <w:t xml:space="preserve">את דברי </w:t>
      </w:r>
      <w:r w:rsidRPr="00BD09EB">
        <w:rPr>
          <w:rStyle w:val="af9"/>
          <w:rtl/>
        </w:rPr>
        <w:t>רבינו יונה</w:t>
      </w:r>
      <w:r w:rsidRPr="00BD09EB">
        <w:rPr>
          <w:rStyle w:val="af7"/>
          <w:rFonts w:eastAsia="Guttman Hodes" w:hint="cs"/>
          <w:rtl/>
        </w:rPr>
        <w:t xml:space="preserve"> </w:t>
      </w:r>
      <w:r>
        <w:rPr>
          <w:rStyle w:val="af7"/>
          <w:rFonts w:eastAsia="Guttman Hodes" w:hint="cs"/>
          <w:rtl/>
        </w:rPr>
        <w:t>(הובא בסימן ח' אות כ"ח)</w:t>
      </w:r>
      <w:r w:rsidRPr="00BD09EB">
        <w:rPr>
          <w:rStyle w:val="af7"/>
          <w:rFonts w:eastAsia="Guttman Hodes" w:hint="cs"/>
          <w:rtl/>
        </w:rPr>
        <w:t xml:space="preserve"> </w:t>
      </w:r>
      <w:r w:rsidRPr="00FA0033">
        <w:rPr>
          <w:rStyle w:val="a8"/>
          <w:rFonts w:hint="cs"/>
          <w:rtl/>
        </w:rPr>
        <w:t>דכתב דאיירי שהמחזיק הודה שהוא ידע שהקרקע הייתה של המערער, גם לפני ששמע כן מהמוכר, ולכן אמר לו המערער דכיון שאתה יודע בודאות שהקרקע הייתה שלי, ואינך יודע שהייתה של המוכר, ורק שמעת כן ממנו, א"כ אין לך לסמוך על דבריו, ולהניח את הודאי מפני הספק</w:t>
      </w:r>
      <w:r>
        <w:rPr>
          <w:rFonts w:hint="cs"/>
          <w:rtl/>
        </w:rPr>
        <w:t>.</w:t>
      </w:r>
    </w:p>
    <w:p w:rsidR="000E75A3" w:rsidRPr="0008365E" w:rsidRDefault="000E75A3" w:rsidP="000E75A3">
      <w:pPr>
        <w:pStyle w:val="a3"/>
        <w:rPr>
          <w:rtl/>
        </w:rPr>
      </w:pPr>
      <w:bookmarkStart w:id="9614" w:name="_Toc59643624"/>
      <w:bookmarkStart w:id="9615" w:name="_Toc59741649"/>
      <w:bookmarkStart w:id="9616" w:name="_Toc59786773"/>
      <w:bookmarkStart w:id="9617" w:name="_Toc59802587"/>
      <w:bookmarkStart w:id="9618" w:name="_Toc59916148"/>
      <w:r>
        <w:rPr>
          <w:rFonts w:hint="cs"/>
          <w:rtl/>
        </w:rPr>
        <w:t>דברי הרא"ש דהמחזיק ירא לטעון להד"ם שמא יש לו עדים ואף שהמוכר נאמן אין המחזיק נאמן</w:t>
      </w:r>
      <w:bookmarkEnd w:id="9614"/>
      <w:bookmarkEnd w:id="9615"/>
      <w:bookmarkEnd w:id="9616"/>
      <w:bookmarkEnd w:id="9617"/>
      <w:bookmarkEnd w:id="9618"/>
    </w:p>
    <w:p w:rsidR="000E75A3" w:rsidRDefault="000E75A3" w:rsidP="007E4E81">
      <w:pPr>
        <w:pStyle w:val="a0"/>
        <w:rPr>
          <w:rtl/>
        </w:rPr>
      </w:pPr>
      <w:bookmarkStart w:id="9619" w:name="_Ref59655213"/>
      <w:r>
        <w:rPr>
          <w:rFonts w:hint="cs"/>
          <w:rtl/>
        </w:rPr>
        <w:t xml:space="preserve">וכתב </w:t>
      </w:r>
      <w:r w:rsidRPr="00AD2CFE">
        <w:rPr>
          <w:rStyle w:val="af9"/>
          <w:rFonts w:hint="cs"/>
          <w:rtl/>
        </w:rPr>
        <w:t>הרא"ש</w:t>
      </w:r>
      <w:r>
        <w:rPr>
          <w:rFonts w:hint="cs"/>
          <w:rtl/>
        </w:rPr>
        <w:t xml:space="preserve"> </w:t>
      </w:r>
      <w:r w:rsidRPr="00586E9A">
        <w:rPr>
          <w:rStyle w:val="af7"/>
          <w:rFonts w:eastAsia="Guttman Hodes" w:hint="cs"/>
          <w:rtl/>
        </w:rPr>
        <w:t>(סי' ז')</w:t>
      </w:r>
      <w:r>
        <w:rPr>
          <w:rFonts w:hint="cs"/>
          <w:rtl/>
        </w:rPr>
        <w:t xml:space="preserve"> דנראה לבאר דאף שהמוכר היה נאמן במיגו דהיה טוען דלא הייתה של המערער מעולם, מ"מ למחזיק אינו מיגו טוב, דיותר ניחא למחזיק לומר שהוא קנה מהמוכר שמכרה לו, כיון שהוא סובר שימצא עדים שהמערער מכרה למוכר, והוא ירא לטעון שלא הייתה של המערער מעולם, שמא ימצא המערער עדים שהייתה שלו, ועי' במה שביאר </w:t>
      </w:r>
      <w:r w:rsidRPr="00F42438">
        <w:rPr>
          <w:rStyle w:val="af9"/>
          <w:rtl/>
        </w:rPr>
        <w:t xml:space="preserve">הדרישה </w:t>
      </w:r>
      <w:r w:rsidRPr="0022212F">
        <w:rPr>
          <w:rStyle w:val="af7"/>
          <w:rFonts w:eastAsia="Guttman Hodes"/>
          <w:rtl/>
        </w:rPr>
        <w:t xml:space="preserve">(עי' </w:t>
      </w:r>
      <w:r w:rsidRPr="00EE2784">
        <w:rPr>
          <w:rStyle w:val="af7"/>
          <w:rFonts w:eastAsia="Guttman Hodes"/>
          <w:rtl/>
        </w:rPr>
        <w:t>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Ref59701194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סז)</w:t>
      </w:r>
      <w:r>
        <w:rPr>
          <w:rStyle w:val="af7"/>
          <w:rFonts w:eastAsia="Guttman Hodes"/>
          <w:rtl/>
        </w:rPr>
        <w:fldChar w:fldCharType="end"/>
      </w:r>
      <w:r w:rsidRPr="009F41B9">
        <w:rPr>
          <w:rtl/>
        </w:rPr>
        <w:t xml:space="preserve"> </w:t>
      </w:r>
      <w:r>
        <w:rPr>
          <w:rFonts w:hint="cs"/>
          <w:rtl/>
        </w:rPr>
        <w:t>בדברי</w:t>
      </w:r>
      <w:r w:rsidRPr="009F41B9">
        <w:rPr>
          <w:rtl/>
        </w:rPr>
        <w:t xml:space="preserve"> </w:t>
      </w:r>
      <w:r w:rsidRPr="00F42438">
        <w:rPr>
          <w:rStyle w:val="af9"/>
          <w:rtl/>
        </w:rPr>
        <w:t>הרא"ש</w:t>
      </w:r>
      <w:r w:rsidRPr="00BD09EB">
        <w:rPr>
          <w:rFonts w:hint="cs"/>
          <w:rtl/>
        </w:rPr>
        <w:t>.</w:t>
      </w:r>
      <w:r w:rsidRPr="00F80F08">
        <w:rPr>
          <w:rStyle w:val="afb"/>
          <w:rFonts w:hint="cs"/>
          <w:rtl/>
        </w:rPr>
        <w:t xml:space="preserve"> [דברי </w:t>
      </w:r>
      <w:r w:rsidRPr="00F80F08">
        <w:rPr>
          <w:rStyle w:val="affa"/>
          <w:rFonts w:hint="cs"/>
          <w:rtl/>
        </w:rPr>
        <w:t>הרא"ש</w:t>
      </w:r>
      <w:r w:rsidRPr="00F80F08">
        <w:rPr>
          <w:rStyle w:val="afb"/>
          <w:rFonts w:hint="cs"/>
          <w:rtl/>
        </w:rPr>
        <w:t xml:space="preserve"> </w:t>
      </w:r>
      <w:r>
        <w:rPr>
          <w:rStyle w:val="afb"/>
          <w:rFonts w:hint="cs"/>
          <w:rtl/>
        </w:rPr>
        <w:t xml:space="preserve">וביאורי </w:t>
      </w:r>
      <w:r w:rsidRPr="00586E9A">
        <w:rPr>
          <w:rStyle w:val="affa"/>
          <w:rFonts w:hint="cs"/>
          <w:rtl/>
        </w:rPr>
        <w:t xml:space="preserve">האחרונים </w:t>
      </w:r>
      <w:r>
        <w:rPr>
          <w:rStyle w:val="afb"/>
          <w:rFonts w:hint="cs"/>
          <w:rtl/>
        </w:rPr>
        <w:t xml:space="preserve">בדבריו </w:t>
      </w:r>
      <w:r w:rsidRPr="00F80F08">
        <w:rPr>
          <w:rStyle w:val="afb"/>
          <w:rFonts w:hint="cs"/>
          <w:rtl/>
        </w:rPr>
        <w:t xml:space="preserve">הובאו באריכות לעיל </w:t>
      </w:r>
      <w:r w:rsidRPr="00F80F08">
        <w:rPr>
          <w:rStyle w:val="aff6"/>
          <w:rFonts w:hint="cs"/>
          <w:rtl/>
        </w:rPr>
        <w:t xml:space="preserve">(הובא בסימן ח' אות </w:t>
      </w:r>
      <w:r>
        <w:rPr>
          <w:rStyle w:val="aff6"/>
          <w:rFonts w:hint="cs"/>
          <w:rtl/>
        </w:rPr>
        <w:t>מ"ט</w:t>
      </w:r>
      <w:r w:rsidRPr="00F80F08">
        <w:rPr>
          <w:rStyle w:val="aff6"/>
          <w:rFonts w:hint="cs"/>
          <w:rtl/>
        </w:rPr>
        <w:t>)</w:t>
      </w:r>
      <w:r w:rsidRPr="00F80F08">
        <w:rPr>
          <w:rStyle w:val="afb"/>
          <w:rFonts w:hint="cs"/>
          <w:rtl/>
        </w:rPr>
        <w:t>].</w:t>
      </w:r>
      <w:bookmarkEnd w:id="9619"/>
    </w:p>
    <w:p w:rsidR="000E75A3" w:rsidRDefault="000E75A3" w:rsidP="000E75A3">
      <w:pPr>
        <w:pStyle w:val="1"/>
        <w:rPr>
          <w:rtl/>
        </w:rPr>
      </w:pPr>
      <w:bookmarkStart w:id="9620" w:name="_Toc58532500"/>
      <w:bookmarkStart w:id="9621" w:name="_Toc58580119"/>
      <w:bookmarkStart w:id="9622" w:name="_Toc59113262"/>
      <w:bookmarkStart w:id="9623" w:name="_Toc59136985"/>
      <w:bookmarkStart w:id="9624" w:name="_Toc59361658"/>
      <w:bookmarkStart w:id="9625" w:name="_Toc59464658"/>
      <w:bookmarkStart w:id="9626" w:name="_Toc59490155"/>
      <w:bookmarkStart w:id="9627" w:name="_Toc59620352"/>
      <w:bookmarkStart w:id="9628" w:name="_Toc59643626"/>
      <w:bookmarkStart w:id="9629" w:name="_Toc59741650"/>
      <w:bookmarkStart w:id="9630" w:name="_Toc59786774"/>
      <w:bookmarkStart w:id="9631" w:name="_Toc59802588"/>
      <w:bookmarkStart w:id="9632" w:name="_Toc59916149"/>
      <w:r>
        <w:rPr>
          <w:rFonts w:hint="cs"/>
          <w:rtl/>
        </w:rPr>
        <w:t xml:space="preserve">הבי' הא' במשל"מ דקו' הרא"ש </w:t>
      </w:r>
      <w:bookmarkEnd w:id="9620"/>
      <w:bookmarkEnd w:id="9621"/>
      <w:bookmarkEnd w:id="9622"/>
      <w:bookmarkEnd w:id="9623"/>
      <w:bookmarkEnd w:id="9624"/>
      <w:r>
        <w:rPr>
          <w:rFonts w:hint="cs"/>
          <w:rtl/>
        </w:rPr>
        <w:t>דבחד יומא</w:t>
      </w:r>
      <w:bookmarkEnd w:id="9625"/>
      <w:bookmarkEnd w:id="9626"/>
      <w:bookmarkEnd w:id="9627"/>
      <w:bookmarkEnd w:id="9628"/>
      <w:bookmarkEnd w:id="9629"/>
      <w:r>
        <w:rPr>
          <w:rFonts w:hint="cs"/>
          <w:rtl/>
        </w:rPr>
        <w:t xml:space="preserve"> בלי חזקה יש טענינן</w:t>
      </w:r>
      <w:bookmarkEnd w:id="9630"/>
      <w:bookmarkEnd w:id="9631"/>
      <w:bookmarkEnd w:id="9632"/>
    </w:p>
    <w:p w:rsidR="000E75A3" w:rsidRPr="00B610E0" w:rsidRDefault="000E75A3" w:rsidP="000E75A3">
      <w:pPr>
        <w:pStyle w:val="a3"/>
        <w:rPr>
          <w:rtl/>
        </w:rPr>
      </w:pPr>
      <w:bookmarkStart w:id="9633" w:name="_Toc59786775"/>
      <w:bookmarkStart w:id="9634" w:name="_Toc59802589"/>
      <w:bookmarkStart w:id="9635" w:name="_Toc59916150"/>
      <w:r>
        <w:rPr>
          <w:rFonts w:hint="cs"/>
          <w:rtl/>
        </w:rPr>
        <w:t>הביאור הא' במשל"מ דקושית הרא"ש על הרשב"ם כדהק' הרמב"ן דבחד יומא טענינן בלי חזקה</w:t>
      </w:r>
      <w:bookmarkEnd w:id="9633"/>
      <w:bookmarkEnd w:id="9634"/>
      <w:bookmarkEnd w:id="9635"/>
    </w:p>
    <w:p w:rsidR="000E75A3" w:rsidRDefault="000E75A3" w:rsidP="007E4E81">
      <w:pPr>
        <w:pStyle w:val="a0"/>
        <w:rPr>
          <w:rtl/>
        </w:rPr>
      </w:pPr>
      <w:bookmarkStart w:id="9636" w:name="_Ref59785681"/>
      <w:r>
        <w:rPr>
          <w:rFonts w:hint="cs"/>
          <w:rtl/>
        </w:rPr>
        <w:t xml:space="preserve">במה שהקשה </w:t>
      </w:r>
      <w:r w:rsidRPr="00B72A05">
        <w:rPr>
          <w:rStyle w:val="af9"/>
          <w:rFonts w:hint="cs"/>
          <w:rtl/>
        </w:rPr>
        <w:t>הרא"ש</w:t>
      </w:r>
      <w:r w:rsidRPr="00097639">
        <w:rPr>
          <w:rStyle w:val="af7"/>
          <w:rFonts w:eastAsia="Guttman Hodes" w:hint="cs"/>
          <w:rtl/>
        </w:rPr>
        <w:t xml:space="preserve"> (עי' אות </w:t>
      </w:r>
      <w:r w:rsidRPr="00097639">
        <w:rPr>
          <w:rStyle w:val="af7"/>
          <w:rFonts w:eastAsia="Guttman Hodes"/>
          <w:rtl/>
        </w:rPr>
        <w:fldChar w:fldCharType="begin"/>
      </w:r>
      <w:r w:rsidRPr="00097639">
        <w:rPr>
          <w:rStyle w:val="af7"/>
          <w:rFonts w:eastAsia="Guttman Hodes"/>
          <w:rtl/>
        </w:rPr>
        <w:instrText xml:space="preserve"> </w:instrText>
      </w:r>
      <w:r w:rsidRPr="00097639">
        <w:rPr>
          <w:rStyle w:val="af7"/>
          <w:rFonts w:eastAsia="Guttman Hodes" w:hint="cs"/>
        </w:rPr>
        <w:instrText>REF</w:instrText>
      </w:r>
      <w:r w:rsidRPr="00097639">
        <w:rPr>
          <w:rStyle w:val="af7"/>
          <w:rFonts w:eastAsia="Guttman Hodes" w:hint="cs"/>
          <w:rtl/>
        </w:rPr>
        <w:instrText xml:space="preserve"> _</w:instrText>
      </w:r>
      <w:r w:rsidRPr="00097639">
        <w:rPr>
          <w:rStyle w:val="af7"/>
          <w:rFonts w:eastAsia="Guttman Hodes" w:hint="cs"/>
        </w:rPr>
        <w:instrText>Ref59701130 \r \h</w:instrText>
      </w:r>
      <w:r w:rsidRPr="00097639">
        <w:rPr>
          <w:rStyle w:val="af7"/>
          <w:rFonts w:eastAsia="Guttman Hodes"/>
          <w:rtl/>
        </w:rPr>
        <w:instrText xml:space="preserve"> </w:instrText>
      </w:r>
      <w:r w:rsidRPr="00097639">
        <w:rPr>
          <w:rStyle w:val="af7"/>
          <w:rFonts w:eastAsia="Guttman Hodes"/>
          <w:rtl/>
        </w:rPr>
      </w:r>
      <w:r w:rsidRPr="00097639">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097639">
        <w:rPr>
          <w:rStyle w:val="af7"/>
          <w:rFonts w:eastAsia="Guttman Hodes"/>
          <w:rtl/>
        </w:rPr>
        <w:fldChar w:fldCharType="end"/>
      </w:r>
      <w:r w:rsidRPr="00097639">
        <w:rPr>
          <w:rStyle w:val="af7"/>
          <w:rFonts w:eastAsia="Guttman Hodes" w:hint="cs"/>
          <w:rtl/>
        </w:rPr>
        <w:t xml:space="preserve"> </w:t>
      </w:r>
      <w:r>
        <w:rPr>
          <w:rFonts w:hint="cs"/>
          <w:rtl/>
        </w:rPr>
        <w:t xml:space="preserve">על </w:t>
      </w:r>
      <w:r w:rsidRPr="00124BB7">
        <w:rPr>
          <w:rStyle w:val="af9"/>
          <w:rFonts w:hint="cs"/>
          <w:rtl/>
        </w:rPr>
        <w:t>הרשב"ם</w:t>
      </w:r>
      <w:r w:rsidRPr="00161564">
        <w:rPr>
          <w:rFonts w:hint="cs"/>
          <w:rtl/>
        </w:rPr>
        <w:t xml:space="preserve"> </w:t>
      </w:r>
      <w:r>
        <w:rPr>
          <w:rFonts w:hint="cs"/>
          <w:rtl/>
        </w:rPr>
        <w:t xml:space="preserve">דהמוכר </w:t>
      </w:r>
      <w:r w:rsidRPr="00BD09EB">
        <w:rPr>
          <w:rFonts w:hint="cs"/>
          <w:rtl/>
        </w:rPr>
        <w:t xml:space="preserve">היה נאמן במיגו דלא הייתה שלך מעולם, </w:t>
      </w:r>
      <w:r>
        <w:rPr>
          <w:rFonts w:hint="cs"/>
          <w:rtl/>
        </w:rPr>
        <w:t>ו</w:t>
      </w:r>
      <w:r w:rsidRPr="00BD09EB">
        <w:rPr>
          <w:rFonts w:hint="cs"/>
          <w:rtl/>
        </w:rPr>
        <w:t>המחזיק שבא מכחו ג"כ צריך להיות נאמן בטענה זו</w:t>
      </w:r>
      <w:r w:rsidRPr="002322DC">
        <w:rPr>
          <w:rFonts w:hint="cs"/>
          <w:rtl/>
        </w:rPr>
        <w:t>,</w:t>
      </w:r>
      <w:r w:rsidRPr="00B72A05">
        <w:rPr>
          <w:rFonts w:hint="cs"/>
          <w:rtl/>
        </w:rPr>
        <w:t xml:space="preserve"> ביאר </w:t>
      </w:r>
      <w:r w:rsidRPr="00B72A05">
        <w:rPr>
          <w:rStyle w:val="af9"/>
          <w:rFonts w:hint="cs"/>
          <w:rtl/>
        </w:rPr>
        <w:t>המשל"מ בביאורו הא'</w:t>
      </w:r>
      <w:r w:rsidRPr="00097639">
        <w:rPr>
          <w:rStyle w:val="af7"/>
          <w:rFonts w:eastAsia="Guttman Hodes" w:hint="cs"/>
          <w:rtl/>
        </w:rPr>
        <w:t xml:space="preserve"> (טו"נ פי"ד הי"ד ד"ה ועיין בפירוש) </w:t>
      </w:r>
      <w:r>
        <w:rPr>
          <w:rFonts w:hint="cs"/>
          <w:rtl/>
        </w:rPr>
        <w:t>דכוונתו להקשות על דברי</w:t>
      </w:r>
      <w:r w:rsidRPr="00B72A05">
        <w:rPr>
          <w:rFonts w:hint="cs"/>
          <w:rtl/>
        </w:rPr>
        <w:t xml:space="preserve"> </w:t>
      </w:r>
      <w:r w:rsidRPr="00124BB7">
        <w:rPr>
          <w:rStyle w:val="af9"/>
          <w:rFonts w:hint="cs"/>
          <w:rtl/>
        </w:rPr>
        <w:t>הרשב"ם</w:t>
      </w:r>
      <w:r w:rsidRPr="00124BB7">
        <w:rPr>
          <w:rStyle w:val="af7"/>
          <w:rFonts w:eastAsia="Guttman Hodes" w:hint="cs"/>
          <w:rtl/>
        </w:rPr>
        <w:t xml:space="preserve"> </w:t>
      </w:r>
      <w:r w:rsidRPr="00097639">
        <w:rPr>
          <w:rStyle w:val="af7"/>
          <w:rFonts w:eastAsia="Guttman Hodes" w:hint="cs"/>
          <w:rtl/>
        </w:rPr>
        <w:t xml:space="preserve">(עי' אות </w:t>
      </w:r>
      <w:r w:rsidRPr="00097639">
        <w:rPr>
          <w:rStyle w:val="af7"/>
          <w:rFonts w:eastAsia="Guttman Hodes"/>
          <w:rtl/>
        </w:rPr>
        <w:fldChar w:fldCharType="begin"/>
      </w:r>
      <w:r w:rsidRPr="00097639">
        <w:rPr>
          <w:rStyle w:val="af7"/>
          <w:rFonts w:eastAsia="Guttman Hodes"/>
          <w:rtl/>
        </w:rPr>
        <w:instrText xml:space="preserve"> </w:instrText>
      </w:r>
      <w:r w:rsidRPr="00097639">
        <w:rPr>
          <w:rStyle w:val="af7"/>
          <w:rFonts w:eastAsia="Guttman Hodes" w:hint="cs"/>
        </w:rPr>
        <w:instrText>REF</w:instrText>
      </w:r>
      <w:r w:rsidRPr="00097639">
        <w:rPr>
          <w:rStyle w:val="af7"/>
          <w:rFonts w:eastAsia="Guttman Hodes" w:hint="cs"/>
          <w:rtl/>
        </w:rPr>
        <w:instrText xml:space="preserve"> _</w:instrText>
      </w:r>
      <w:r w:rsidRPr="00097639">
        <w:rPr>
          <w:rStyle w:val="af7"/>
          <w:rFonts w:eastAsia="Guttman Hodes" w:hint="cs"/>
        </w:rPr>
        <w:instrText>Ref57911397 \r \h</w:instrText>
      </w:r>
      <w:r w:rsidRPr="00097639">
        <w:rPr>
          <w:rStyle w:val="af7"/>
          <w:rFonts w:eastAsia="Guttman Hodes"/>
          <w:rtl/>
        </w:rPr>
        <w:instrText xml:space="preserve"> </w:instrText>
      </w:r>
      <w:r w:rsidRPr="00097639">
        <w:rPr>
          <w:rStyle w:val="af7"/>
          <w:rFonts w:eastAsia="Guttman Hodes"/>
          <w:rtl/>
        </w:rPr>
      </w:r>
      <w:r w:rsidRPr="00097639">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097639">
        <w:rPr>
          <w:rStyle w:val="af7"/>
          <w:rFonts w:eastAsia="Guttman Hodes"/>
          <w:rtl/>
        </w:rPr>
        <w:fldChar w:fldCharType="end"/>
      </w:r>
      <w:r w:rsidRPr="00124BB7">
        <w:rPr>
          <w:rStyle w:val="af7"/>
          <w:rFonts w:eastAsia="Guttman Hodes" w:hint="cs"/>
          <w:rtl/>
        </w:rPr>
        <w:t xml:space="preserve"> </w:t>
      </w:r>
      <w:r>
        <w:rPr>
          <w:rFonts w:hint="cs"/>
          <w:rtl/>
        </w:rPr>
        <w:t xml:space="preserve">דכתב דכל </w:t>
      </w:r>
      <w:r w:rsidRPr="00124BB7">
        <w:rPr>
          <w:rFonts w:hint="cs"/>
          <w:rtl/>
        </w:rPr>
        <w:t>ש</w:t>
      </w:r>
      <w:r>
        <w:rPr>
          <w:rFonts w:hint="cs"/>
          <w:rtl/>
        </w:rPr>
        <w:t>אין ל</w:t>
      </w:r>
      <w:r w:rsidRPr="00124BB7">
        <w:rPr>
          <w:rFonts w:hint="cs"/>
          <w:rtl/>
        </w:rPr>
        <w:t>מחזיק</w:t>
      </w:r>
      <w:r>
        <w:rPr>
          <w:rFonts w:hint="cs"/>
          <w:rtl/>
        </w:rPr>
        <w:t xml:space="preserve"> </w:t>
      </w:r>
      <w:r w:rsidRPr="00124BB7">
        <w:rPr>
          <w:rFonts w:hint="cs"/>
          <w:rtl/>
        </w:rPr>
        <w:t xml:space="preserve">חזקת ג"ש, </w:t>
      </w:r>
      <w:r>
        <w:rPr>
          <w:rFonts w:hint="cs"/>
          <w:rtl/>
        </w:rPr>
        <w:t xml:space="preserve">אף כשיש לו </w:t>
      </w:r>
      <w:r w:rsidRPr="00124BB7">
        <w:rPr>
          <w:rFonts w:hint="cs"/>
          <w:rtl/>
        </w:rPr>
        <w:t xml:space="preserve">עדים שהמוכר </w:t>
      </w:r>
      <w:r>
        <w:rPr>
          <w:rFonts w:hint="cs"/>
          <w:rtl/>
        </w:rPr>
        <w:t xml:space="preserve">דר </w:t>
      </w:r>
      <w:r w:rsidRPr="00124BB7">
        <w:rPr>
          <w:rFonts w:hint="cs"/>
          <w:rtl/>
        </w:rPr>
        <w:t>בה חד יומא</w:t>
      </w:r>
      <w:r>
        <w:rPr>
          <w:rFonts w:hint="cs"/>
          <w:rtl/>
        </w:rPr>
        <w:t xml:space="preserve"> אינו נאמן</w:t>
      </w:r>
      <w:r w:rsidRPr="00124BB7">
        <w:rPr>
          <w:rFonts w:hint="cs"/>
          <w:rtl/>
        </w:rPr>
        <w:t>,</w:t>
      </w:r>
      <w:r>
        <w:rPr>
          <w:rFonts w:hint="cs"/>
          <w:rtl/>
        </w:rPr>
        <w:t xml:space="preserve"> וע"ז הקשה </w:t>
      </w:r>
      <w:r w:rsidRPr="006C1DC0">
        <w:rPr>
          <w:rStyle w:val="af9"/>
          <w:rFonts w:hint="cs"/>
          <w:rtl/>
        </w:rPr>
        <w:t>הרא"ש</w:t>
      </w:r>
      <w:r>
        <w:rPr>
          <w:rFonts w:hint="cs"/>
          <w:rtl/>
        </w:rPr>
        <w:t xml:space="preserve"> כקושית </w:t>
      </w:r>
      <w:r w:rsidRPr="00CE2165">
        <w:rPr>
          <w:rStyle w:val="af9"/>
          <w:rFonts w:hint="cs"/>
          <w:rtl/>
        </w:rPr>
        <w:t>הרמב"ן</w:t>
      </w:r>
      <w:r>
        <w:rPr>
          <w:rFonts w:hint="cs"/>
          <w:rtl/>
        </w:rPr>
        <w:t xml:space="preserve"> </w:t>
      </w:r>
      <w:r w:rsidRPr="00097639">
        <w:rPr>
          <w:rStyle w:val="af7"/>
          <w:rFonts w:eastAsia="Guttman Hodes" w:hint="cs"/>
          <w:rtl/>
        </w:rPr>
        <w:t xml:space="preserve">(עי' אות </w:t>
      </w:r>
      <w:r w:rsidRPr="00097639">
        <w:rPr>
          <w:rStyle w:val="af7"/>
          <w:rFonts w:eastAsia="Guttman Hodes"/>
          <w:rtl/>
        </w:rPr>
        <w:fldChar w:fldCharType="begin"/>
      </w:r>
      <w:r w:rsidRPr="00097639">
        <w:rPr>
          <w:rStyle w:val="af7"/>
          <w:rFonts w:eastAsia="Guttman Hodes"/>
          <w:rtl/>
        </w:rPr>
        <w:instrText xml:space="preserve"> </w:instrText>
      </w:r>
      <w:r w:rsidRPr="00097639">
        <w:rPr>
          <w:rStyle w:val="af7"/>
          <w:rFonts w:eastAsia="Guttman Hodes" w:hint="cs"/>
        </w:rPr>
        <w:instrText>REF</w:instrText>
      </w:r>
      <w:r w:rsidRPr="00097639">
        <w:rPr>
          <w:rStyle w:val="af7"/>
          <w:rFonts w:eastAsia="Guttman Hodes" w:hint="cs"/>
          <w:rtl/>
        </w:rPr>
        <w:instrText xml:space="preserve"> _</w:instrText>
      </w:r>
      <w:r w:rsidRPr="00097639">
        <w:rPr>
          <w:rStyle w:val="af7"/>
          <w:rFonts w:eastAsia="Guttman Hodes" w:hint="cs"/>
        </w:rPr>
        <w:instrText>Ref58762398 \r \h</w:instrText>
      </w:r>
      <w:r w:rsidRPr="00097639">
        <w:rPr>
          <w:rStyle w:val="af7"/>
          <w:rFonts w:eastAsia="Guttman Hodes"/>
          <w:rtl/>
        </w:rPr>
        <w:instrText xml:space="preserve"> </w:instrText>
      </w:r>
      <w:r w:rsidRPr="00097639">
        <w:rPr>
          <w:rStyle w:val="af7"/>
          <w:rFonts w:eastAsia="Guttman Hodes"/>
          <w:rtl/>
        </w:rPr>
      </w:r>
      <w:r w:rsidRPr="00097639">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097639">
        <w:rPr>
          <w:rStyle w:val="af7"/>
          <w:rFonts w:eastAsia="Guttman Hodes"/>
          <w:rtl/>
        </w:rPr>
        <w:fldChar w:fldCharType="end"/>
      </w:r>
      <w:r>
        <w:rPr>
          <w:rStyle w:val="af7"/>
          <w:rFonts w:eastAsia="Guttman Hodes" w:hint="cs"/>
          <w:rtl/>
        </w:rPr>
        <w:t xml:space="preserve"> </w:t>
      </w:r>
      <w:r>
        <w:rPr>
          <w:rFonts w:hint="cs"/>
          <w:rtl/>
        </w:rPr>
        <w:t>דאמאי לא טענינן למחזיק את הטענה שהיה המוכר יכול לטעון אם היה לפנינו, דהיה נאמן בטענת שלך הייתה ולקחתיה ממך, במיגו דלא הייתה שלך מעולם</w:t>
      </w:r>
      <w:bookmarkStart w:id="9637" w:name="_Ref59785267"/>
      <w:r>
        <w:rPr>
          <w:rStyle w:val="af1"/>
          <w:rtl/>
        </w:rPr>
        <w:footnoteReference w:id="65"/>
      </w:r>
      <w:bookmarkEnd w:id="9637"/>
      <w:r>
        <w:rPr>
          <w:rFonts w:hint="cs"/>
          <w:rtl/>
        </w:rPr>
        <w:t>.</w:t>
      </w:r>
      <w:bookmarkEnd w:id="9636"/>
    </w:p>
    <w:p w:rsidR="000E75A3" w:rsidRPr="00EA3D1E" w:rsidRDefault="000E75A3" w:rsidP="000E75A3">
      <w:pPr>
        <w:pStyle w:val="a3"/>
      </w:pPr>
      <w:bookmarkStart w:id="9638" w:name="_Toc59786776"/>
      <w:bookmarkStart w:id="9639" w:name="_Toc59802590"/>
      <w:bookmarkStart w:id="9640" w:name="_Toc59916151"/>
      <w:r>
        <w:rPr>
          <w:rFonts w:hint="cs"/>
          <w:rtl/>
        </w:rPr>
        <w:t>תי' המשל"מ דלרשב"ם מוכח דהודה דאל"ה אין מוציאין וכיון דהודה לא מהני לו הטענינן</w:t>
      </w:r>
      <w:bookmarkEnd w:id="9638"/>
      <w:bookmarkEnd w:id="9639"/>
      <w:bookmarkEnd w:id="9640"/>
    </w:p>
    <w:p w:rsidR="000E75A3" w:rsidRDefault="000E75A3" w:rsidP="007E4E81">
      <w:pPr>
        <w:pStyle w:val="a0"/>
        <w:rPr>
          <w:rStyle w:val="afb"/>
          <w:rtl/>
        </w:rPr>
      </w:pPr>
      <w:r>
        <w:rPr>
          <w:rFonts w:hint="cs"/>
          <w:rtl/>
        </w:rPr>
        <w:t xml:space="preserve">ותירץ </w:t>
      </w:r>
      <w:r w:rsidRPr="006C1DC0">
        <w:rPr>
          <w:rStyle w:val="af9"/>
          <w:rFonts w:hint="cs"/>
          <w:rtl/>
        </w:rPr>
        <w:t>המשל"מ</w:t>
      </w:r>
      <w:r>
        <w:rPr>
          <w:rFonts w:hint="cs"/>
          <w:rtl/>
        </w:rPr>
        <w:t xml:space="preserve"> את קושית </w:t>
      </w:r>
      <w:r w:rsidRPr="006C1DC0">
        <w:rPr>
          <w:rStyle w:val="af9"/>
          <w:rFonts w:hint="cs"/>
          <w:rtl/>
        </w:rPr>
        <w:t>הרא"ש</w:t>
      </w:r>
      <w:r>
        <w:rPr>
          <w:rFonts w:hint="cs"/>
          <w:rtl/>
        </w:rPr>
        <w:t xml:space="preserve">, </w:t>
      </w:r>
      <w:r w:rsidRPr="00124BB7">
        <w:rPr>
          <w:rFonts w:hint="cs"/>
          <w:rtl/>
        </w:rPr>
        <w:t>ד</w:t>
      </w:r>
      <w:r>
        <w:rPr>
          <w:rFonts w:hint="cs"/>
          <w:rtl/>
        </w:rPr>
        <w:t xml:space="preserve">ס"ל </w:t>
      </w:r>
      <w:r w:rsidRPr="006C1DC0">
        <w:rPr>
          <w:rStyle w:val="af9"/>
          <w:rFonts w:hint="cs"/>
          <w:rtl/>
        </w:rPr>
        <w:t>להרשב"ם</w:t>
      </w:r>
      <w:r w:rsidRPr="00514B7A">
        <w:rPr>
          <w:rFonts w:hint="cs"/>
          <w:rtl/>
        </w:rPr>
        <w:t xml:space="preserve"> כדעת</w:t>
      </w:r>
      <w:r>
        <w:rPr>
          <w:rStyle w:val="af9"/>
          <w:rFonts w:hint="cs"/>
          <w:rtl/>
        </w:rPr>
        <w:t xml:space="preserve"> ה</w:t>
      </w:r>
      <w:r w:rsidRPr="006C1DC0">
        <w:rPr>
          <w:rStyle w:val="af9"/>
          <w:rFonts w:hint="cs"/>
          <w:rtl/>
        </w:rPr>
        <w:t>רמב"</w:t>
      </w:r>
      <w:r>
        <w:rPr>
          <w:rFonts w:hint="cs"/>
          <w:rtl/>
        </w:rPr>
        <w:t xml:space="preserve">ן </w:t>
      </w:r>
      <w:r w:rsidRPr="001E53F6">
        <w:rPr>
          <w:rStyle w:val="af7"/>
          <w:rFonts w:eastAsia="Guttman Hodes" w:hint="cs"/>
          <w:rtl/>
        </w:rPr>
        <w:t xml:space="preserve">(ד"ה הכי </w:t>
      </w:r>
      <w:r w:rsidRPr="00514B7A">
        <w:rPr>
          <w:rStyle w:val="af7"/>
          <w:rFonts w:eastAsia="Guttman Hodes" w:hint="cs"/>
          <w:rtl/>
        </w:rPr>
        <w:t>גרסינן, הובא בסימן ח' אות כ"ו)</w:t>
      </w:r>
      <w:r>
        <w:rPr>
          <w:rFonts w:hint="cs"/>
          <w:rtl/>
        </w:rPr>
        <w:t xml:space="preserve"> דס"ל דכל שהמחזיק אינו יודע בעצמו שהקרקע הייתה של המערער, ורק שמע כן מהמוכר, אין מוציאין מידו, אף אם המוכר לא דר בה חד יומא כלל, ואף שאין לו דין לוקח ולא טענינן ליה, דבכה"ג א"א לומר דאין ספק מוציא מידי ודאי, כיון שאף מה שהודה שהייתה הקרקע של המערער היא ספק אצלו ואינו ודאי דכך שמע מהמערער, ו</w:t>
      </w:r>
      <w:r w:rsidRPr="00124BB7">
        <w:rPr>
          <w:rFonts w:hint="cs"/>
          <w:rtl/>
        </w:rPr>
        <w:t xml:space="preserve">כתב </w:t>
      </w:r>
      <w:r w:rsidRPr="00AA2C88">
        <w:rPr>
          <w:rStyle w:val="af9"/>
          <w:rFonts w:hint="cs"/>
          <w:rtl/>
        </w:rPr>
        <w:t>המשל"מ</w:t>
      </w:r>
      <w:r w:rsidRPr="00124BB7">
        <w:rPr>
          <w:rFonts w:hint="cs"/>
          <w:rtl/>
        </w:rPr>
        <w:t xml:space="preserve"> </w:t>
      </w:r>
      <w:r>
        <w:rPr>
          <w:rFonts w:hint="cs"/>
          <w:rtl/>
        </w:rPr>
        <w:t xml:space="preserve">דלפי"ז מבואר מ"ש </w:t>
      </w:r>
      <w:r w:rsidRPr="00124BB7">
        <w:rPr>
          <w:rStyle w:val="af9"/>
          <w:rFonts w:hint="cs"/>
          <w:rtl/>
        </w:rPr>
        <w:t>הרשב"ם</w:t>
      </w:r>
      <w:r w:rsidRPr="00124BB7">
        <w:rPr>
          <w:rStyle w:val="af7"/>
          <w:rFonts w:eastAsia="Guttman Hodes" w:hint="cs"/>
          <w:rtl/>
        </w:rPr>
        <w:t xml:space="preserve"> </w:t>
      </w:r>
      <w:r w:rsidRPr="00097639">
        <w:rPr>
          <w:rStyle w:val="af7"/>
          <w:rFonts w:eastAsia="Guttman Hodes" w:hint="cs"/>
          <w:rtl/>
        </w:rPr>
        <w:t xml:space="preserve">(עי' אות </w:t>
      </w:r>
      <w:r w:rsidRPr="00097639">
        <w:rPr>
          <w:rStyle w:val="af7"/>
          <w:rFonts w:eastAsia="Guttman Hodes"/>
          <w:rtl/>
        </w:rPr>
        <w:fldChar w:fldCharType="begin"/>
      </w:r>
      <w:r w:rsidRPr="00097639">
        <w:rPr>
          <w:rStyle w:val="af7"/>
          <w:rFonts w:eastAsia="Guttman Hodes"/>
          <w:rtl/>
        </w:rPr>
        <w:instrText xml:space="preserve"> </w:instrText>
      </w:r>
      <w:r w:rsidRPr="00097639">
        <w:rPr>
          <w:rStyle w:val="af7"/>
          <w:rFonts w:eastAsia="Guttman Hodes" w:hint="cs"/>
        </w:rPr>
        <w:instrText>REF</w:instrText>
      </w:r>
      <w:r w:rsidRPr="00097639">
        <w:rPr>
          <w:rStyle w:val="af7"/>
          <w:rFonts w:eastAsia="Guttman Hodes" w:hint="cs"/>
          <w:rtl/>
        </w:rPr>
        <w:instrText xml:space="preserve"> _</w:instrText>
      </w:r>
      <w:r w:rsidRPr="00097639">
        <w:rPr>
          <w:rStyle w:val="af7"/>
          <w:rFonts w:eastAsia="Guttman Hodes" w:hint="cs"/>
        </w:rPr>
        <w:instrText>Ref57911397 \r \h</w:instrText>
      </w:r>
      <w:r w:rsidRPr="00097639">
        <w:rPr>
          <w:rStyle w:val="af7"/>
          <w:rFonts w:eastAsia="Guttman Hodes"/>
          <w:rtl/>
        </w:rPr>
        <w:instrText xml:space="preserve"> </w:instrText>
      </w:r>
      <w:r w:rsidRPr="00097639">
        <w:rPr>
          <w:rStyle w:val="af7"/>
          <w:rFonts w:eastAsia="Guttman Hodes"/>
          <w:rtl/>
        </w:rPr>
      </w:r>
      <w:r w:rsidRPr="00097639">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097639">
        <w:rPr>
          <w:rStyle w:val="af7"/>
          <w:rFonts w:eastAsia="Guttman Hodes"/>
          <w:rtl/>
        </w:rPr>
        <w:fldChar w:fldCharType="end"/>
      </w:r>
      <w:r w:rsidRPr="00124BB7">
        <w:rPr>
          <w:rStyle w:val="af7"/>
          <w:rFonts w:eastAsia="Guttman Hodes" w:hint="cs"/>
          <w:rtl/>
        </w:rPr>
        <w:t xml:space="preserve"> </w:t>
      </w:r>
      <w:r>
        <w:rPr>
          <w:rFonts w:hint="cs"/>
          <w:rtl/>
        </w:rPr>
        <w:t xml:space="preserve">דכיון שאין לו חזקת ג"ש לא מהני, שיש למחזיק עדים דהמוכר דר בה חד יומא, ולא ביאר </w:t>
      </w:r>
      <w:r w:rsidRPr="00AA2C88">
        <w:rPr>
          <w:rStyle w:val="af9"/>
          <w:rFonts w:hint="cs"/>
          <w:rtl/>
        </w:rPr>
        <w:t>הרשב"ם</w:t>
      </w:r>
      <w:r>
        <w:rPr>
          <w:rFonts w:hint="cs"/>
          <w:rtl/>
        </w:rPr>
        <w:t xml:space="preserve"> אמאי לא מהני, דכיון דהמחזיק הודה מעצמו שהקרקע הייתה של </w:t>
      </w:r>
      <w:r>
        <w:rPr>
          <w:rFonts w:hint="cs"/>
          <w:rtl/>
        </w:rPr>
        <w:t xml:space="preserve">המערער, א"כ לא מהני לו עידי חד יומא בלא חזקה. </w:t>
      </w:r>
      <w:r w:rsidRPr="00287031">
        <w:rPr>
          <w:rStyle w:val="afb"/>
          <w:rFonts w:hint="cs"/>
          <w:rtl/>
        </w:rPr>
        <w:t xml:space="preserve">[והיינו כדביארו </w:t>
      </w:r>
      <w:r w:rsidRPr="00287031">
        <w:rPr>
          <w:rStyle w:val="affa"/>
          <w:rFonts w:hint="cs"/>
          <w:rtl/>
        </w:rPr>
        <w:t>הרמב"ן והרשב"א</w:t>
      </w:r>
      <w:r w:rsidRPr="00287031">
        <w:rPr>
          <w:rStyle w:val="afb"/>
          <w:rFonts w:hint="cs"/>
          <w:rtl/>
        </w:rPr>
        <w:t xml:space="preserve"> </w:t>
      </w:r>
      <w:r w:rsidRPr="00287031">
        <w:rPr>
          <w:rStyle w:val="aff6"/>
          <w:rFonts w:hint="cs"/>
          <w:rtl/>
        </w:rPr>
        <w:t xml:space="preserve">(עי' אות </w:t>
      </w:r>
      <w:r w:rsidRPr="00287031">
        <w:rPr>
          <w:rStyle w:val="aff6"/>
          <w:rtl/>
        </w:rPr>
        <w:fldChar w:fldCharType="begin"/>
      </w:r>
      <w:r w:rsidRPr="00287031">
        <w:rPr>
          <w:rStyle w:val="aff6"/>
          <w:rtl/>
        </w:rPr>
        <w:instrText xml:space="preserve"> </w:instrText>
      </w:r>
      <w:r w:rsidRPr="00287031">
        <w:rPr>
          <w:rStyle w:val="aff6"/>
          <w:rFonts w:hint="cs"/>
        </w:rPr>
        <w:instrText>REF</w:instrText>
      </w:r>
      <w:r w:rsidRPr="00287031">
        <w:rPr>
          <w:rStyle w:val="aff6"/>
          <w:rFonts w:hint="cs"/>
          <w:rtl/>
        </w:rPr>
        <w:instrText xml:space="preserve"> _</w:instrText>
      </w:r>
      <w:r w:rsidRPr="00287031">
        <w:rPr>
          <w:rStyle w:val="aff6"/>
          <w:rFonts w:hint="cs"/>
        </w:rPr>
        <w:instrText>Ref59177712 \r \h</w:instrText>
      </w:r>
      <w:r w:rsidRPr="00287031">
        <w:rPr>
          <w:rStyle w:val="aff6"/>
          <w:rtl/>
        </w:rPr>
        <w:instrText xml:space="preserve"> </w:instrText>
      </w:r>
      <w:r w:rsidRPr="00287031">
        <w:rPr>
          <w:rStyle w:val="aff6"/>
          <w:rtl/>
        </w:rPr>
      </w:r>
      <w:r w:rsidRPr="00287031">
        <w:rPr>
          <w:rStyle w:val="aff6"/>
          <w:rtl/>
        </w:rPr>
        <w:fldChar w:fldCharType="separate"/>
      </w:r>
      <w:r w:rsidR="00265073">
        <w:rPr>
          <w:rStyle w:val="aff6"/>
          <w:cs/>
        </w:rPr>
        <w:t>‎</w:t>
      </w:r>
      <w:r w:rsidR="00265073">
        <w:rPr>
          <w:rStyle w:val="aff6"/>
          <w:rtl/>
        </w:rPr>
        <w:t>לא)</w:t>
      </w:r>
      <w:r w:rsidRPr="00287031">
        <w:rPr>
          <w:rStyle w:val="aff6"/>
          <w:rtl/>
        </w:rPr>
        <w:fldChar w:fldCharType="end"/>
      </w:r>
      <w:r w:rsidRPr="00287031">
        <w:rPr>
          <w:rStyle w:val="aff6"/>
          <w:rFonts w:hint="cs"/>
          <w:rtl/>
        </w:rPr>
        <w:t xml:space="preserve"> </w:t>
      </w:r>
      <w:r w:rsidRPr="00287031">
        <w:rPr>
          <w:rStyle w:val="afb"/>
          <w:rFonts w:hint="cs"/>
          <w:rtl/>
        </w:rPr>
        <w:t xml:space="preserve">בדעת </w:t>
      </w:r>
      <w:r w:rsidRPr="00287031">
        <w:rPr>
          <w:rStyle w:val="affa"/>
          <w:rFonts w:hint="cs"/>
          <w:rtl/>
        </w:rPr>
        <w:t>הרשב"ם</w:t>
      </w:r>
      <w:r w:rsidRPr="00287031">
        <w:rPr>
          <w:rStyle w:val="afb"/>
          <w:rFonts w:hint="cs"/>
          <w:rtl/>
        </w:rPr>
        <w:t xml:space="preserve"> דכיון שהודה מעצמו ואין לו מיגו, ואחר הטענינן עדיין צריך להאמינו, ובכה"ג לא אמינן טענינן].</w:t>
      </w:r>
    </w:p>
    <w:p w:rsidR="000E75A3" w:rsidRPr="00F76B8F" w:rsidRDefault="000E75A3" w:rsidP="000E75A3">
      <w:pPr>
        <w:pStyle w:val="a3"/>
        <w:rPr>
          <w:rtl/>
        </w:rPr>
      </w:pPr>
      <w:bookmarkStart w:id="9641" w:name="_Toc59786777"/>
      <w:bookmarkStart w:id="9642" w:name="_Toc59802591"/>
      <w:bookmarkStart w:id="9643" w:name="_Toc59916152"/>
      <w:r>
        <w:rPr>
          <w:rFonts w:hint="cs"/>
          <w:rtl/>
        </w:rPr>
        <w:t>דברי המשל"מ דלרשב"ם מוכח דהודה מעצמו דאל"ה אין מוציאין ממנו אף דלא מוכח כן בגמ'</w:t>
      </w:r>
      <w:bookmarkEnd w:id="9641"/>
      <w:bookmarkEnd w:id="9642"/>
      <w:bookmarkEnd w:id="9643"/>
    </w:p>
    <w:p w:rsidR="000E75A3" w:rsidRDefault="000E75A3" w:rsidP="007E4E81">
      <w:pPr>
        <w:pStyle w:val="a0"/>
        <w:rPr>
          <w:rtl/>
        </w:rPr>
      </w:pPr>
      <w:r>
        <w:rPr>
          <w:rFonts w:hint="cs"/>
          <w:rtl/>
        </w:rPr>
        <w:t xml:space="preserve">וכתב </w:t>
      </w:r>
      <w:r w:rsidRPr="00E51232">
        <w:rPr>
          <w:rStyle w:val="af9"/>
          <w:rFonts w:hint="cs"/>
          <w:rtl/>
        </w:rPr>
        <w:t>המשל"מ</w:t>
      </w:r>
      <w:r w:rsidRPr="00124BB7">
        <w:rPr>
          <w:rFonts w:hint="cs"/>
          <w:rtl/>
        </w:rPr>
        <w:t xml:space="preserve"> </w:t>
      </w:r>
      <w:r>
        <w:rPr>
          <w:rFonts w:hint="cs"/>
          <w:rtl/>
        </w:rPr>
        <w:t xml:space="preserve">דלפי"ז לא קשה הקושיה הראשונה שהקשה </w:t>
      </w:r>
      <w:r w:rsidRPr="007028BB">
        <w:rPr>
          <w:rStyle w:val="af9"/>
          <w:rFonts w:hint="cs"/>
          <w:rtl/>
        </w:rPr>
        <w:t>הרא"ש</w:t>
      </w:r>
      <w:r>
        <w:rPr>
          <w:rFonts w:hint="cs"/>
          <w:rtl/>
        </w:rPr>
        <w:t xml:space="preserve"> </w:t>
      </w:r>
      <w:r w:rsidRPr="00097639">
        <w:rPr>
          <w:rStyle w:val="af7"/>
          <w:rFonts w:eastAsia="Guttman Hodes" w:hint="cs"/>
          <w:rtl/>
        </w:rPr>
        <w:t xml:space="preserve">(עי' אות </w:t>
      </w:r>
      <w:r w:rsidRPr="00097639">
        <w:rPr>
          <w:rStyle w:val="af7"/>
          <w:rFonts w:eastAsia="Guttman Hodes"/>
          <w:rtl/>
        </w:rPr>
        <w:fldChar w:fldCharType="begin"/>
      </w:r>
      <w:r w:rsidRPr="00097639">
        <w:rPr>
          <w:rStyle w:val="af7"/>
          <w:rFonts w:eastAsia="Guttman Hodes"/>
          <w:rtl/>
        </w:rPr>
        <w:instrText xml:space="preserve"> </w:instrText>
      </w:r>
      <w:r w:rsidRPr="00097639">
        <w:rPr>
          <w:rStyle w:val="af7"/>
          <w:rFonts w:eastAsia="Guttman Hodes" w:hint="cs"/>
        </w:rPr>
        <w:instrText>REF</w:instrText>
      </w:r>
      <w:r w:rsidRPr="00097639">
        <w:rPr>
          <w:rStyle w:val="af7"/>
          <w:rFonts w:eastAsia="Guttman Hodes" w:hint="cs"/>
          <w:rtl/>
        </w:rPr>
        <w:instrText xml:space="preserve"> _</w:instrText>
      </w:r>
      <w:r w:rsidRPr="00097639">
        <w:rPr>
          <w:rStyle w:val="af7"/>
          <w:rFonts w:eastAsia="Guttman Hodes" w:hint="cs"/>
        </w:rPr>
        <w:instrText>Ref59701130 \r \h</w:instrText>
      </w:r>
      <w:r w:rsidRPr="00097639">
        <w:rPr>
          <w:rStyle w:val="af7"/>
          <w:rFonts w:eastAsia="Guttman Hodes"/>
          <w:rtl/>
        </w:rPr>
        <w:instrText xml:space="preserve"> </w:instrText>
      </w:r>
      <w:r w:rsidRPr="00097639">
        <w:rPr>
          <w:rStyle w:val="af7"/>
          <w:rFonts w:eastAsia="Guttman Hodes"/>
          <w:rtl/>
        </w:rPr>
      </w:r>
      <w:r w:rsidRPr="00097639">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097639">
        <w:rPr>
          <w:rStyle w:val="af7"/>
          <w:rFonts w:eastAsia="Guttman Hodes"/>
          <w:rtl/>
        </w:rPr>
        <w:fldChar w:fldCharType="end"/>
      </w:r>
      <w:r w:rsidRPr="00097639">
        <w:rPr>
          <w:rStyle w:val="af7"/>
          <w:rFonts w:eastAsia="Guttman Hodes" w:hint="cs"/>
          <w:rtl/>
        </w:rPr>
        <w:t xml:space="preserve"> </w:t>
      </w:r>
      <w:r>
        <w:rPr>
          <w:rFonts w:hint="cs"/>
          <w:rtl/>
        </w:rPr>
        <w:t xml:space="preserve">על </w:t>
      </w:r>
      <w:r w:rsidRPr="00A21272">
        <w:rPr>
          <w:rStyle w:val="af9"/>
          <w:rFonts w:hint="cs"/>
          <w:rtl/>
        </w:rPr>
        <w:t xml:space="preserve">הרשב"ם </w:t>
      </w:r>
      <w:r>
        <w:rPr>
          <w:rFonts w:hint="cs"/>
          <w:rtl/>
        </w:rPr>
        <w:t xml:space="preserve">דלא מוכח מדברי המחזיק והמערער, דהמחזיק הודה שהקרקע הייתה של המערער, דהא ס"ל </w:t>
      </w:r>
      <w:r w:rsidRPr="00E51232">
        <w:rPr>
          <w:rStyle w:val="af9"/>
          <w:rFonts w:hint="cs"/>
          <w:rtl/>
        </w:rPr>
        <w:t>להרשב"ם</w:t>
      </w:r>
      <w:r>
        <w:rPr>
          <w:rFonts w:hint="cs"/>
          <w:rtl/>
        </w:rPr>
        <w:t xml:space="preserve"> דאף שלא מוכח כן מדברי המחזיק והמערער, מ"מ ודאי דאיירי שהמחזיק הודה מעצמו, דאל"ה לא היו מוציאין ממנו, וכתב </w:t>
      </w:r>
      <w:r w:rsidRPr="00E51232">
        <w:rPr>
          <w:rStyle w:val="af9"/>
          <w:rFonts w:hint="cs"/>
          <w:rtl/>
        </w:rPr>
        <w:t>המשל"מ</w:t>
      </w:r>
      <w:r>
        <w:rPr>
          <w:rFonts w:hint="cs"/>
          <w:rtl/>
        </w:rPr>
        <w:t xml:space="preserve"> דכל מה שהקשה </w:t>
      </w:r>
      <w:r w:rsidRPr="00E51232">
        <w:rPr>
          <w:rStyle w:val="af9"/>
          <w:rFonts w:hint="cs"/>
          <w:rtl/>
        </w:rPr>
        <w:t>הרא"ש</w:t>
      </w:r>
      <w:r>
        <w:rPr>
          <w:rFonts w:hint="cs"/>
          <w:rtl/>
        </w:rPr>
        <w:t xml:space="preserve"> על </w:t>
      </w:r>
      <w:r w:rsidRPr="00E51232">
        <w:rPr>
          <w:rStyle w:val="af9"/>
          <w:rFonts w:hint="cs"/>
          <w:rtl/>
        </w:rPr>
        <w:t>הרשב"ם</w:t>
      </w:r>
      <w:r>
        <w:rPr>
          <w:rFonts w:hint="cs"/>
          <w:rtl/>
        </w:rPr>
        <w:t xml:space="preserve">, הוא כיון דס"ל </w:t>
      </w:r>
      <w:r w:rsidRPr="00E51232">
        <w:rPr>
          <w:rStyle w:val="af9"/>
          <w:rFonts w:hint="cs"/>
          <w:rtl/>
        </w:rPr>
        <w:t>להרא"ש</w:t>
      </w:r>
      <w:r>
        <w:rPr>
          <w:rFonts w:hint="cs"/>
          <w:rtl/>
        </w:rPr>
        <w:t xml:space="preserve"> </w:t>
      </w:r>
      <w:r w:rsidRPr="00097639">
        <w:rPr>
          <w:rStyle w:val="af7"/>
          <w:rFonts w:eastAsia="Guttman Hodes" w:hint="cs"/>
          <w:rtl/>
        </w:rPr>
        <w:t xml:space="preserve">(עי' אות </w:t>
      </w:r>
      <w:r w:rsidRPr="00097639">
        <w:rPr>
          <w:rStyle w:val="af7"/>
          <w:rFonts w:eastAsia="Guttman Hodes"/>
          <w:rtl/>
        </w:rPr>
        <w:fldChar w:fldCharType="begin"/>
      </w:r>
      <w:r w:rsidRPr="00097639">
        <w:rPr>
          <w:rStyle w:val="af7"/>
          <w:rFonts w:eastAsia="Guttman Hodes"/>
          <w:rtl/>
        </w:rPr>
        <w:instrText xml:space="preserve"> </w:instrText>
      </w:r>
      <w:r w:rsidRPr="00097639">
        <w:rPr>
          <w:rStyle w:val="af7"/>
          <w:rFonts w:eastAsia="Guttman Hodes" w:hint="cs"/>
        </w:rPr>
        <w:instrText>REF</w:instrText>
      </w:r>
      <w:r w:rsidRPr="00097639">
        <w:rPr>
          <w:rStyle w:val="af7"/>
          <w:rFonts w:eastAsia="Guttman Hodes" w:hint="cs"/>
          <w:rtl/>
        </w:rPr>
        <w:instrText xml:space="preserve"> _</w:instrText>
      </w:r>
      <w:r w:rsidRPr="00097639">
        <w:rPr>
          <w:rStyle w:val="af7"/>
          <w:rFonts w:eastAsia="Guttman Hodes" w:hint="cs"/>
        </w:rPr>
        <w:instrText>Ref59701130 \r \h</w:instrText>
      </w:r>
      <w:r w:rsidRPr="00097639">
        <w:rPr>
          <w:rStyle w:val="af7"/>
          <w:rFonts w:eastAsia="Guttman Hodes"/>
          <w:rtl/>
        </w:rPr>
        <w:instrText xml:space="preserve"> </w:instrText>
      </w:r>
      <w:r w:rsidRPr="00097639">
        <w:rPr>
          <w:rStyle w:val="af7"/>
          <w:rFonts w:eastAsia="Guttman Hodes"/>
          <w:rtl/>
        </w:rPr>
      </w:r>
      <w:r w:rsidRPr="00097639">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097639">
        <w:rPr>
          <w:rStyle w:val="af7"/>
          <w:rFonts w:eastAsia="Guttman Hodes"/>
          <w:rtl/>
        </w:rPr>
        <w:fldChar w:fldCharType="end"/>
      </w:r>
      <w:r w:rsidRPr="00097639">
        <w:rPr>
          <w:rStyle w:val="af7"/>
          <w:rFonts w:eastAsia="Guttman Hodes" w:hint="cs"/>
          <w:rtl/>
        </w:rPr>
        <w:t xml:space="preserve"> </w:t>
      </w:r>
      <w:r>
        <w:rPr>
          <w:rFonts w:hint="cs"/>
          <w:rtl/>
        </w:rPr>
        <w:t xml:space="preserve">דאף כשלא הודה המחזיק בפירוש, מ"מ מוציאין אותו, וא"כ קשה דאמאי לא טענינן למחזיק, אבל לדעת </w:t>
      </w:r>
      <w:r w:rsidRPr="00E51232">
        <w:rPr>
          <w:rStyle w:val="af9"/>
          <w:rFonts w:hint="cs"/>
          <w:rtl/>
        </w:rPr>
        <w:t>הרשב"ם</w:t>
      </w:r>
      <w:r>
        <w:rPr>
          <w:rFonts w:hint="cs"/>
          <w:rtl/>
        </w:rPr>
        <w:t xml:space="preserve"> דס"ל </w:t>
      </w:r>
      <w:r w:rsidRPr="00E51232">
        <w:rPr>
          <w:rStyle w:val="af9"/>
          <w:rFonts w:hint="cs"/>
          <w:rtl/>
        </w:rPr>
        <w:t xml:space="preserve">כהרמב"ן </w:t>
      </w:r>
      <w:r w:rsidRPr="001E53F6">
        <w:rPr>
          <w:rStyle w:val="af7"/>
          <w:rFonts w:eastAsia="Guttman Hodes" w:hint="cs"/>
          <w:rtl/>
        </w:rPr>
        <w:t xml:space="preserve">(ד"ה הכי </w:t>
      </w:r>
      <w:r w:rsidRPr="00514B7A">
        <w:rPr>
          <w:rStyle w:val="af7"/>
          <w:rFonts w:eastAsia="Guttman Hodes" w:hint="cs"/>
          <w:rtl/>
        </w:rPr>
        <w:t>גרסינן, הובא בסימן ח' אות כ"ו)</w:t>
      </w:r>
      <w:r>
        <w:rPr>
          <w:rFonts w:hint="cs"/>
          <w:rtl/>
        </w:rPr>
        <w:t xml:space="preserve"> </w:t>
      </w:r>
      <w:r w:rsidRPr="00E51232">
        <w:rPr>
          <w:rStyle w:val="af9"/>
          <w:rFonts w:hint="cs"/>
          <w:rtl/>
        </w:rPr>
        <w:t>ורבינו יונה</w:t>
      </w:r>
      <w:r>
        <w:rPr>
          <w:rFonts w:hint="cs"/>
          <w:rtl/>
        </w:rPr>
        <w:t xml:space="preserve"> </w:t>
      </w:r>
      <w:r w:rsidRPr="00786C90">
        <w:rPr>
          <w:rStyle w:val="af7"/>
          <w:rFonts w:eastAsia="Guttman Hodes" w:hint="cs"/>
          <w:rtl/>
        </w:rPr>
        <w:t xml:space="preserve">(עי' אות </w:t>
      </w:r>
      <w:r w:rsidRPr="00786C90">
        <w:rPr>
          <w:rStyle w:val="af7"/>
          <w:rFonts w:eastAsia="Guttman Hodes"/>
          <w:rtl/>
        </w:rPr>
        <w:fldChar w:fldCharType="begin"/>
      </w:r>
      <w:r w:rsidRPr="00786C90">
        <w:rPr>
          <w:rStyle w:val="af7"/>
          <w:rFonts w:eastAsia="Guttman Hodes"/>
          <w:rtl/>
        </w:rPr>
        <w:instrText xml:space="preserve"> </w:instrText>
      </w:r>
      <w:r w:rsidRPr="00786C90">
        <w:rPr>
          <w:rStyle w:val="af7"/>
          <w:rFonts w:eastAsia="Guttman Hodes" w:hint="cs"/>
        </w:rPr>
        <w:instrText>REF</w:instrText>
      </w:r>
      <w:r w:rsidRPr="00786C90">
        <w:rPr>
          <w:rStyle w:val="af7"/>
          <w:rFonts w:eastAsia="Guttman Hodes" w:hint="cs"/>
          <w:rtl/>
        </w:rPr>
        <w:instrText xml:space="preserve"> _</w:instrText>
      </w:r>
      <w:r w:rsidRPr="00786C90">
        <w:rPr>
          <w:rStyle w:val="af7"/>
          <w:rFonts w:eastAsia="Guttman Hodes" w:hint="cs"/>
        </w:rPr>
        <w:instrText>Ref59024352 \r \h</w:instrText>
      </w:r>
      <w:r w:rsidRPr="00786C90">
        <w:rPr>
          <w:rStyle w:val="af7"/>
          <w:rFonts w:eastAsia="Guttman Hodes"/>
          <w:rtl/>
        </w:rPr>
        <w:instrText xml:space="preserve"> </w:instrText>
      </w:r>
      <w:r w:rsidRPr="00786C90">
        <w:rPr>
          <w:rStyle w:val="af7"/>
          <w:rFonts w:eastAsia="Guttman Hodes"/>
          <w:rtl/>
        </w:rPr>
      </w:r>
      <w:r w:rsidRPr="00786C90">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786C90">
        <w:rPr>
          <w:rStyle w:val="af7"/>
          <w:rFonts w:eastAsia="Guttman Hodes"/>
          <w:rtl/>
        </w:rPr>
        <w:fldChar w:fldCharType="end"/>
      </w:r>
      <w:r>
        <w:rPr>
          <w:rFonts w:hint="cs"/>
          <w:rtl/>
        </w:rPr>
        <w:t xml:space="preserve"> דאם לא הודה המחזיק בפירוש אין מוציאין אותו מהקרקע, א"כ א"א להקשות דמדברי המחזיק והמערער, לא מוכח כן, דמ"מ ודאי דאיירי דהודה המחזיק.</w:t>
      </w:r>
    </w:p>
    <w:p w:rsidR="000E75A3" w:rsidRPr="00F2211F" w:rsidRDefault="000E75A3" w:rsidP="000E75A3">
      <w:pPr>
        <w:pStyle w:val="a3"/>
        <w:rPr>
          <w:rtl/>
        </w:rPr>
      </w:pPr>
      <w:bookmarkStart w:id="9644" w:name="_Toc59786778"/>
      <w:bookmarkStart w:id="9645" w:name="_Toc59802592"/>
      <w:bookmarkStart w:id="9646" w:name="_Toc59916153"/>
      <w:r>
        <w:rPr>
          <w:rFonts w:hint="cs"/>
          <w:rtl/>
        </w:rPr>
        <w:t>ביאור המשל"מ ברא"ש דדברי רבינו יונה הם ביאור ברשב"ם דמוכח דהודה מעצמו ולכן מוציאין</w:t>
      </w:r>
      <w:bookmarkEnd w:id="9644"/>
      <w:bookmarkEnd w:id="9645"/>
      <w:bookmarkEnd w:id="9646"/>
    </w:p>
    <w:p w:rsidR="000E75A3" w:rsidRDefault="000E75A3" w:rsidP="007E4E81">
      <w:pPr>
        <w:pStyle w:val="a0"/>
        <w:rPr>
          <w:rtl/>
        </w:rPr>
      </w:pPr>
      <w:r>
        <w:rPr>
          <w:rFonts w:hint="cs"/>
          <w:rtl/>
        </w:rPr>
        <w:t xml:space="preserve">וביאר </w:t>
      </w:r>
      <w:r w:rsidRPr="006C1DC0">
        <w:rPr>
          <w:rStyle w:val="af9"/>
          <w:rFonts w:hint="cs"/>
          <w:rtl/>
        </w:rPr>
        <w:t>המשל"מ</w:t>
      </w:r>
      <w:r>
        <w:rPr>
          <w:rFonts w:hint="cs"/>
          <w:rtl/>
        </w:rPr>
        <w:t xml:space="preserve"> דזו כוונת </w:t>
      </w:r>
      <w:r w:rsidRPr="006C1DC0">
        <w:rPr>
          <w:rStyle w:val="af9"/>
          <w:rFonts w:hint="cs"/>
          <w:rtl/>
        </w:rPr>
        <w:t>הרא"ש</w:t>
      </w:r>
      <w:r>
        <w:rPr>
          <w:rFonts w:hint="cs"/>
          <w:rtl/>
        </w:rPr>
        <w:t xml:space="preserve"> </w:t>
      </w:r>
      <w:r w:rsidRPr="00786C90">
        <w:rPr>
          <w:rStyle w:val="af7"/>
          <w:rFonts w:eastAsia="Guttman Hodes" w:hint="cs"/>
          <w:rtl/>
        </w:rPr>
        <w:t xml:space="preserve">(עי' אות </w:t>
      </w:r>
      <w:r w:rsidRPr="00786C90">
        <w:rPr>
          <w:rStyle w:val="af7"/>
          <w:rFonts w:eastAsia="Guttman Hodes"/>
          <w:rtl/>
        </w:rPr>
        <w:fldChar w:fldCharType="begin"/>
      </w:r>
      <w:r w:rsidRPr="00786C90">
        <w:rPr>
          <w:rStyle w:val="af7"/>
          <w:rFonts w:eastAsia="Guttman Hodes"/>
          <w:rtl/>
        </w:rPr>
        <w:instrText xml:space="preserve"> </w:instrText>
      </w:r>
      <w:r w:rsidRPr="00786C90">
        <w:rPr>
          <w:rStyle w:val="af7"/>
          <w:rFonts w:eastAsia="Guttman Hodes" w:hint="cs"/>
        </w:rPr>
        <w:instrText>REF</w:instrText>
      </w:r>
      <w:r w:rsidRPr="00786C90">
        <w:rPr>
          <w:rStyle w:val="af7"/>
          <w:rFonts w:eastAsia="Guttman Hodes" w:hint="cs"/>
          <w:rtl/>
        </w:rPr>
        <w:instrText xml:space="preserve"> _</w:instrText>
      </w:r>
      <w:r w:rsidRPr="00786C90">
        <w:rPr>
          <w:rStyle w:val="af7"/>
          <w:rFonts w:eastAsia="Guttman Hodes" w:hint="cs"/>
        </w:rPr>
        <w:instrText>Ref59024352 \r \h</w:instrText>
      </w:r>
      <w:r w:rsidRPr="00786C90">
        <w:rPr>
          <w:rStyle w:val="af7"/>
          <w:rFonts w:eastAsia="Guttman Hodes"/>
          <w:rtl/>
        </w:rPr>
        <w:instrText xml:space="preserve"> </w:instrText>
      </w:r>
      <w:r w:rsidRPr="00786C90">
        <w:rPr>
          <w:rStyle w:val="af7"/>
          <w:rFonts w:eastAsia="Guttman Hodes"/>
          <w:rtl/>
        </w:rPr>
      </w:r>
      <w:r w:rsidRPr="00786C90">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786C90">
        <w:rPr>
          <w:rStyle w:val="af7"/>
          <w:rFonts w:eastAsia="Guttman Hodes"/>
          <w:rtl/>
        </w:rPr>
        <w:fldChar w:fldCharType="end"/>
      </w:r>
      <w:r>
        <w:rPr>
          <w:rFonts w:hint="cs"/>
          <w:rtl/>
        </w:rPr>
        <w:t xml:space="preserve"> דאחר שהקשה על </w:t>
      </w:r>
      <w:r w:rsidRPr="000C52EE">
        <w:rPr>
          <w:rStyle w:val="af9"/>
          <w:rFonts w:hint="cs"/>
          <w:rtl/>
        </w:rPr>
        <w:t xml:space="preserve">הרשב"ם </w:t>
      </w:r>
      <w:r>
        <w:rPr>
          <w:rFonts w:hint="cs"/>
          <w:rtl/>
        </w:rPr>
        <w:t xml:space="preserve">הביא את ביאור </w:t>
      </w:r>
      <w:r w:rsidRPr="006C1DC0">
        <w:rPr>
          <w:rStyle w:val="af9"/>
          <w:rFonts w:hint="cs"/>
          <w:rtl/>
        </w:rPr>
        <w:t>רבינו</w:t>
      </w:r>
      <w:r>
        <w:rPr>
          <w:rFonts w:hint="cs"/>
          <w:rtl/>
        </w:rPr>
        <w:t xml:space="preserve"> </w:t>
      </w:r>
      <w:r w:rsidRPr="006C1DC0">
        <w:rPr>
          <w:rStyle w:val="af9"/>
          <w:rFonts w:hint="cs"/>
          <w:rtl/>
        </w:rPr>
        <w:t>יונה</w:t>
      </w:r>
      <w:r>
        <w:rPr>
          <w:rFonts w:hint="cs"/>
          <w:rtl/>
        </w:rPr>
        <w:t xml:space="preserve"> דודאי איירי שהודה המחזיק, דהיינו דלדברי רבינו יונה מבוארים דברי </w:t>
      </w:r>
      <w:r w:rsidRPr="006C1DC0">
        <w:rPr>
          <w:rStyle w:val="af9"/>
          <w:rFonts w:hint="cs"/>
          <w:rtl/>
        </w:rPr>
        <w:t>הרשב"ם</w:t>
      </w:r>
      <w:r>
        <w:rPr>
          <w:rFonts w:hint="cs"/>
          <w:rtl/>
        </w:rPr>
        <w:t xml:space="preserve"> דודאי דהמחזיק הודה מעצמו, דאל"ה לא היה אומר רבא דהדין עם המחזיק, וכיון שהודה מעצמו, ממילא לא מהני לו עידי חד יומא, כשאין לו חזקת ג"ש.</w:t>
      </w:r>
    </w:p>
    <w:p w:rsidR="000E75A3" w:rsidRPr="00B363D6" w:rsidRDefault="000E75A3" w:rsidP="000E75A3">
      <w:pPr>
        <w:pStyle w:val="a3"/>
        <w:rPr>
          <w:rtl/>
        </w:rPr>
      </w:pPr>
      <w:bookmarkStart w:id="9647" w:name="_Toc59786779"/>
      <w:bookmarkStart w:id="9648" w:name="_Toc59802593"/>
      <w:bookmarkStart w:id="9649" w:name="_Toc59916154"/>
      <w:r>
        <w:rPr>
          <w:rFonts w:hint="cs"/>
          <w:rtl/>
        </w:rPr>
        <w:t>ביאור המשל"מ ברא"ש</w:t>
      </w:r>
      <w:r w:rsidRPr="009E79B9">
        <w:rPr>
          <w:rFonts w:hint="cs"/>
          <w:rtl/>
        </w:rPr>
        <w:t xml:space="preserve"> </w:t>
      </w:r>
      <w:r>
        <w:rPr>
          <w:rFonts w:hint="cs"/>
          <w:rtl/>
        </w:rPr>
        <w:t>דמוציאין דאין לו מיגו וא"כ הדק"ל אמאי ל"מ עידי חד יומא בלי חזקה</w:t>
      </w:r>
      <w:bookmarkEnd w:id="9647"/>
      <w:bookmarkEnd w:id="9648"/>
      <w:bookmarkEnd w:id="9649"/>
    </w:p>
    <w:p w:rsidR="000E75A3" w:rsidRDefault="000E75A3" w:rsidP="007E4E81">
      <w:pPr>
        <w:pStyle w:val="a0"/>
        <w:rPr>
          <w:rFonts w:asciiTheme="minorHAnsi" w:hAnsiTheme="minorHAnsi"/>
          <w:rtl/>
        </w:rPr>
      </w:pPr>
      <w:bookmarkStart w:id="9650" w:name="_Ref59785728"/>
      <w:r>
        <w:rPr>
          <w:rFonts w:hint="cs"/>
          <w:rtl/>
        </w:rPr>
        <w:t xml:space="preserve">וכתב </w:t>
      </w:r>
      <w:r w:rsidRPr="006C1DC0">
        <w:rPr>
          <w:rStyle w:val="af9"/>
          <w:rFonts w:hint="cs"/>
          <w:rtl/>
        </w:rPr>
        <w:t>המשל"מ</w:t>
      </w:r>
      <w:r>
        <w:rPr>
          <w:rFonts w:hint="cs"/>
          <w:rtl/>
        </w:rPr>
        <w:t xml:space="preserve"> דדחה </w:t>
      </w:r>
      <w:r w:rsidRPr="006C1DC0">
        <w:rPr>
          <w:rStyle w:val="af9"/>
          <w:rFonts w:hint="cs"/>
          <w:rtl/>
        </w:rPr>
        <w:t>הרא"ש</w:t>
      </w:r>
      <w:r>
        <w:rPr>
          <w:rFonts w:hint="cs"/>
          <w:rtl/>
        </w:rPr>
        <w:t xml:space="preserve"> </w:t>
      </w:r>
      <w:r w:rsidRPr="00786C90">
        <w:rPr>
          <w:rStyle w:val="af7"/>
          <w:rFonts w:eastAsia="Guttman Hodes" w:hint="cs"/>
          <w:rtl/>
        </w:rPr>
        <w:t xml:space="preserve">(עי' אות </w:t>
      </w:r>
      <w:r w:rsidRPr="00786C90">
        <w:rPr>
          <w:rStyle w:val="af7"/>
          <w:rFonts w:eastAsia="Guttman Hodes"/>
          <w:rtl/>
        </w:rPr>
        <w:fldChar w:fldCharType="begin"/>
      </w:r>
      <w:r w:rsidRPr="00786C90">
        <w:rPr>
          <w:rStyle w:val="af7"/>
          <w:rFonts w:eastAsia="Guttman Hodes"/>
          <w:rtl/>
        </w:rPr>
        <w:instrText xml:space="preserve"> </w:instrText>
      </w:r>
      <w:r w:rsidRPr="00786C90">
        <w:rPr>
          <w:rStyle w:val="af7"/>
          <w:rFonts w:eastAsia="Guttman Hodes" w:hint="cs"/>
        </w:rPr>
        <w:instrText>REF</w:instrText>
      </w:r>
      <w:r w:rsidRPr="00786C90">
        <w:rPr>
          <w:rStyle w:val="af7"/>
          <w:rFonts w:eastAsia="Guttman Hodes" w:hint="cs"/>
          <w:rtl/>
        </w:rPr>
        <w:instrText xml:space="preserve"> _</w:instrText>
      </w:r>
      <w:r w:rsidRPr="00786C90">
        <w:rPr>
          <w:rStyle w:val="af7"/>
          <w:rFonts w:eastAsia="Guttman Hodes" w:hint="cs"/>
        </w:rPr>
        <w:instrText>Ref59655213 \r \h</w:instrText>
      </w:r>
      <w:r w:rsidRPr="00786C90">
        <w:rPr>
          <w:rStyle w:val="af7"/>
          <w:rFonts w:eastAsia="Guttman Hodes"/>
          <w:rtl/>
        </w:rPr>
        <w:instrText xml:space="preserve"> </w:instrText>
      </w:r>
      <w:r w:rsidRPr="00786C90">
        <w:rPr>
          <w:rStyle w:val="af7"/>
          <w:rFonts w:eastAsia="Guttman Hodes"/>
          <w:rtl/>
        </w:rPr>
      </w:r>
      <w:r w:rsidRPr="00786C90">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786C90">
        <w:rPr>
          <w:rStyle w:val="af7"/>
          <w:rFonts w:eastAsia="Guttman Hodes"/>
          <w:rtl/>
        </w:rPr>
        <w:fldChar w:fldCharType="end"/>
      </w:r>
      <w:r>
        <w:rPr>
          <w:rFonts w:hint="cs"/>
          <w:rtl/>
        </w:rPr>
        <w:t xml:space="preserve"> את ביאור </w:t>
      </w:r>
      <w:r w:rsidRPr="006C1DC0">
        <w:rPr>
          <w:rStyle w:val="af9"/>
          <w:rFonts w:hint="cs"/>
          <w:rtl/>
        </w:rPr>
        <w:t>רבינו</w:t>
      </w:r>
      <w:r>
        <w:rPr>
          <w:rFonts w:hint="cs"/>
          <w:rtl/>
        </w:rPr>
        <w:t xml:space="preserve"> </w:t>
      </w:r>
      <w:r w:rsidRPr="006C1DC0">
        <w:rPr>
          <w:rStyle w:val="af9"/>
          <w:rFonts w:hint="cs"/>
          <w:rtl/>
        </w:rPr>
        <w:t>יונה</w:t>
      </w:r>
      <w:r>
        <w:rPr>
          <w:rFonts w:hint="cs"/>
          <w:rtl/>
        </w:rPr>
        <w:t xml:space="preserve"> דאפש"ל דאף שהמחזיק לא הודה בפירוש, מ"מ מוציאין מידו, כיון שאין לו מיגו, וממילא חוזרת קושית </w:t>
      </w:r>
      <w:r w:rsidRPr="006C1DC0">
        <w:rPr>
          <w:rStyle w:val="af9"/>
          <w:rFonts w:hint="cs"/>
          <w:rtl/>
        </w:rPr>
        <w:t>הרא"ש</w:t>
      </w:r>
      <w:r>
        <w:rPr>
          <w:rFonts w:hint="cs"/>
          <w:rtl/>
        </w:rPr>
        <w:t xml:space="preserve"> על </w:t>
      </w:r>
      <w:r w:rsidRPr="006C1DC0">
        <w:rPr>
          <w:rStyle w:val="af9"/>
          <w:rFonts w:hint="cs"/>
          <w:rtl/>
        </w:rPr>
        <w:t>הרשב"ם</w:t>
      </w:r>
      <w:r>
        <w:rPr>
          <w:rFonts w:hint="cs"/>
          <w:rtl/>
        </w:rPr>
        <w:t xml:space="preserve">, דא"כ היאך כתב </w:t>
      </w:r>
      <w:r w:rsidRPr="006C1DC0">
        <w:rPr>
          <w:rStyle w:val="af9"/>
          <w:rFonts w:hint="cs"/>
          <w:rtl/>
        </w:rPr>
        <w:t>הרשב"ם</w:t>
      </w:r>
      <w:r>
        <w:rPr>
          <w:rFonts w:hint="cs"/>
          <w:rtl/>
        </w:rPr>
        <w:t xml:space="preserve"> דאף כשיש עדים למחזיק שהמוכר דר בה חד יומא, </w:t>
      </w:r>
      <w:r>
        <w:rPr>
          <w:rFonts w:asciiTheme="minorHAnsi" w:hAnsiTheme="minorHAnsi" w:hint="cs"/>
          <w:rtl/>
        </w:rPr>
        <w:t xml:space="preserve">מוציאין מידו, הא לא הודה בפירוש שהייתה של המערער, וא"כ יש לו דין לוקח, ואמאי לא טענינן ליה, את מה שההמוכר היה נאמן לטעון, וכוונת </w:t>
      </w:r>
      <w:r w:rsidRPr="00B05CEE">
        <w:rPr>
          <w:rStyle w:val="af9"/>
          <w:rFonts w:hint="cs"/>
          <w:rtl/>
        </w:rPr>
        <w:t>הרא"ש</w:t>
      </w:r>
      <w:r>
        <w:rPr>
          <w:rFonts w:asciiTheme="minorHAnsi" w:hAnsiTheme="minorHAnsi" w:hint="cs"/>
          <w:rtl/>
        </w:rPr>
        <w:t xml:space="preserve"> להקשות דא"א לומר </w:t>
      </w:r>
      <w:r w:rsidRPr="006C1DC0">
        <w:rPr>
          <w:rStyle w:val="af9"/>
          <w:rFonts w:hint="cs"/>
          <w:rtl/>
        </w:rPr>
        <w:t>דהרשב"ם</w:t>
      </w:r>
      <w:r>
        <w:rPr>
          <w:rFonts w:asciiTheme="minorHAnsi" w:hAnsiTheme="minorHAnsi" w:hint="cs"/>
          <w:rtl/>
        </w:rPr>
        <w:t xml:space="preserve"> ביאר דבסוגיין איירי שהמחזיק הודה בפירוש, דהא אין לזה כל הוכחה בדברי המחזיק והמערער.</w:t>
      </w:r>
      <w:bookmarkEnd w:id="9650"/>
    </w:p>
    <w:p w:rsidR="000E75A3" w:rsidRDefault="000E75A3" w:rsidP="000E75A3">
      <w:pPr>
        <w:pStyle w:val="a3"/>
        <w:rPr>
          <w:rtl/>
        </w:rPr>
      </w:pPr>
      <w:bookmarkStart w:id="9651" w:name="_Toc59786780"/>
      <w:bookmarkStart w:id="9652" w:name="_Toc59802594"/>
      <w:bookmarkStart w:id="9653" w:name="_Toc59916155"/>
      <w:r>
        <w:rPr>
          <w:rFonts w:hint="cs"/>
          <w:rtl/>
        </w:rPr>
        <w:t>דחיית המשל"מ דלא משמע דכוונת הרא"ש להקשות ע"ד הרשב"ם בחד יומא מדין טענינן</w:t>
      </w:r>
      <w:bookmarkEnd w:id="9651"/>
      <w:bookmarkEnd w:id="9652"/>
      <w:bookmarkEnd w:id="9653"/>
    </w:p>
    <w:p w:rsidR="000E75A3" w:rsidRDefault="000E75A3" w:rsidP="007E4E81">
      <w:pPr>
        <w:pStyle w:val="a0"/>
        <w:rPr>
          <w:rtl/>
        </w:rPr>
      </w:pPr>
      <w:bookmarkStart w:id="9654" w:name="_Ref59785642"/>
      <w:r>
        <w:rPr>
          <w:rFonts w:hint="cs"/>
          <w:rtl/>
        </w:rPr>
        <w:t>אך כתב</w:t>
      </w:r>
      <w:r w:rsidRPr="006C1DC0">
        <w:rPr>
          <w:rStyle w:val="af9"/>
          <w:rFonts w:hint="cs"/>
          <w:rtl/>
        </w:rPr>
        <w:t xml:space="preserve"> המשל"מ</w:t>
      </w:r>
      <w:r>
        <w:rPr>
          <w:rFonts w:hint="cs"/>
          <w:rtl/>
        </w:rPr>
        <w:t xml:space="preserve"> </w:t>
      </w:r>
      <w:r w:rsidRPr="00AA2C88">
        <w:rPr>
          <w:rStyle w:val="af7"/>
          <w:rFonts w:eastAsia="Guttman Hodes" w:hint="cs"/>
          <w:rtl/>
        </w:rPr>
        <w:t>(טו"נ פי"ד הי"ד ד"ה ומ"מ אעיקרא)</w:t>
      </w:r>
      <w:r>
        <w:rPr>
          <w:rFonts w:hint="cs"/>
          <w:rtl/>
        </w:rPr>
        <w:t xml:space="preserve"> דנראה לומר דאין כוונת </w:t>
      </w:r>
      <w:r w:rsidRPr="006C1DC0">
        <w:rPr>
          <w:rStyle w:val="af9"/>
          <w:rFonts w:hint="cs"/>
          <w:rtl/>
        </w:rPr>
        <w:t>הרא"ש</w:t>
      </w:r>
      <w:r>
        <w:rPr>
          <w:rFonts w:hint="cs"/>
          <w:rtl/>
        </w:rPr>
        <w:t xml:space="preserve"> להקשות על מ"ש </w:t>
      </w:r>
      <w:r w:rsidRPr="006C1DC0">
        <w:rPr>
          <w:rStyle w:val="af9"/>
          <w:rFonts w:hint="cs"/>
          <w:rtl/>
        </w:rPr>
        <w:t>הרשב"ם</w:t>
      </w:r>
      <w:r>
        <w:rPr>
          <w:rFonts w:hint="cs"/>
          <w:rtl/>
        </w:rPr>
        <w:t xml:space="preserve"> כדהקשה </w:t>
      </w:r>
      <w:r w:rsidRPr="006C1DC0">
        <w:rPr>
          <w:rStyle w:val="af9"/>
          <w:rFonts w:hint="cs"/>
          <w:rtl/>
        </w:rPr>
        <w:t>הרמב"ן</w:t>
      </w:r>
      <w:r>
        <w:rPr>
          <w:rFonts w:hint="cs"/>
          <w:rtl/>
        </w:rPr>
        <w:t xml:space="preserve"> דלא מהני למחזיק שיש לו עידי חד יומא, דאמאי לא טענינן ליה, דהא </w:t>
      </w:r>
      <w:r w:rsidRPr="006C1DC0">
        <w:rPr>
          <w:rStyle w:val="af9"/>
          <w:rFonts w:hint="cs"/>
          <w:rtl/>
        </w:rPr>
        <w:t>הרא"ש</w:t>
      </w:r>
      <w:r>
        <w:rPr>
          <w:rFonts w:hint="cs"/>
          <w:rtl/>
        </w:rPr>
        <w:t xml:space="preserve"> לא הביא כלל את דברי </w:t>
      </w:r>
      <w:r w:rsidRPr="00C81272">
        <w:rPr>
          <w:rStyle w:val="af9"/>
          <w:rFonts w:hint="cs"/>
          <w:rtl/>
        </w:rPr>
        <w:t>הרשב"ם</w:t>
      </w:r>
      <w:r>
        <w:rPr>
          <w:rFonts w:hint="cs"/>
          <w:rtl/>
        </w:rPr>
        <w:t xml:space="preserve"> בזה</w:t>
      </w:r>
      <w:r w:rsidRPr="006B3132">
        <w:rPr>
          <w:vertAlign w:val="superscript"/>
          <w:rtl/>
        </w:rPr>
        <w:fldChar w:fldCharType="begin"/>
      </w:r>
      <w:r w:rsidRPr="006B3132">
        <w:rPr>
          <w:vertAlign w:val="superscript"/>
          <w:rtl/>
        </w:rPr>
        <w:instrText xml:space="preserve"> </w:instrText>
      </w:r>
      <w:r w:rsidRPr="006B3132">
        <w:rPr>
          <w:rFonts w:hint="cs"/>
          <w:vertAlign w:val="superscript"/>
        </w:rPr>
        <w:instrText>NOTEREF</w:instrText>
      </w:r>
      <w:r w:rsidRPr="006B3132">
        <w:rPr>
          <w:rFonts w:hint="cs"/>
          <w:vertAlign w:val="superscript"/>
          <w:rtl/>
        </w:rPr>
        <w:instrText xml:space="preserve"> _</w:instrText>
      </w:r>
      <w:r w:rsidRPr="006B3132">
        <w:rPr>
          <w:rFonts w:hint="cs"/>
          <w:vertAlign w:val="superscript"/>
        </w:rPr>
        <w:instrText>Ref59785267 \h</w:instrText>
      </w:r>
      <w:r w:rsidRPr="006B313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6B3132">
        <w:rPr>
          <w:vertAlign w:val="superscript"/>
          <w:rtl/>
        </w:rPr>
      </w:r>
      <w:r w:rsidRPr="006B3132">
        <w:rPr>
          <w:vertAlign w:val="superscript"/>
          <w:rtl/>
        </w:rPr>
        <w:fldChar w:fldCharType="separate"/>
      </w:r>
      <w:r w:rsidR="00265073">
        <w:rPr>
          <w:vertAlign w:val="superscript"/>
          <w:rtl/>
        </w:rPr>
        <w:t>65</w:t>
      </w:r>
      <w:r w:rsidRPr="006B3132">
        <w:rPr>
          <w:vertAlign w:val="superscript"/>
          <w:rtl/>
        </w:rPr>
        <w:fldChar w:fldCharType="end"/>
      </w:r>
      <w:r>
        <w:rPr>
          <w:rFonts w:hint="cs"/>
          <w:rtl/>
        </w:rPr>
        <w:t xml:space="preserve">, ועוד כתב </w:t>
      </w:r>
      <w:r w:rsidRPr="006C1DC0">
        <w:rPr>
          <w:rStyle w:val="af9"/>
          <w:rFonts w:hint="cs"/>
          <w:rtl/>
        </w:rPr>
        <w:t>המשל"מ</w:t>
      </w:r>
      <w:r>
        <w:rPr>
          <w:rFonts w:hint="cs"/>
          <w:rtl/>
        </w:rPr>
        <w:t xml:space="preserve"> דמדברי </w:t>
      </w:r>
      <w:r w:rsidRPr="00B72A05">
        <w:rPr>
          <w:rStyle w:val="af9"/>
          <w:rFonts w:hint="cs"/>
          <w:rtl/>
        </w:rPr>
        <w:t>הרא"ש</w:t>
      </w:r>
      <w:r w:rsidRPr="00097639">
        <w:rPr>
          <w:rStyle w:val="af7"/>
          <w:rFonts w:eastAsia="Guttman Hodes" w:hint="cs"/>
          <w:rtl/>
        </w:rPr>
        <w:t xml:space="preserve"> (עי' אות </w:t>
      </w:r>
      <w:r w:rsidRPr="00097639">
        <w:rPr>
          <w:rStyle w:val="af7"/>
          <w:rFonts w:eastAsia="Guttman Hodes"/>
          <w:rtl/>
        </w:rPr>
        <w:fldChar w:fldCharType="begin"/>
      </w:r>
      <w:r w:rsidRPr="00097639">
        <w:rPr>
          <w:rStyle w:val="af7"/>
          <w:rFonts w:eastAsia="Guttman Hodes"/>
          <w:rtl/>
        </w:rPr>
        <w:instrText xml:space="preserve"> </w:instrText>
      </w:r>
      <w:r w:rsidRPr="00097639">
        <w:rPr>
          <w:rStyle w:val="af7"/>
          <w:rFonts w:eastAsia="Guttman Hodes" w:hint="cs"/>
        </w:rPr>
        <w:instrText>REF</w:instrText>
      </w:r>
      <w:r w:rsidRPr="00097639">
        <w:rPr>
          <w:rStyle w:val="af7"/>
          <w:rFonts w:eastAsia="Guttman Hodes" w:hint="cs"/>
          <w:rtl/>
        </w:rPr>
        <w:instrText xml:space="preserve"> _</w:instrText>
      </w:r>
      <w:r w:rsidRPr="00097639">
        <w:rPr>
          <w:rStyle w:val="af7"/>
          <w:rFonts w:eastAsia="Guttman Hodes" w:hint="cs"/>
        </w:rPr>
        <w:instrText>Ref59701130 \r \h</w:instrText>
      </w:r>
      <w:r w:rsidRPr="00097639">
        <w:rPr>
          <w:rStyle w:val="af7"/>
          <w:rFonts w:eastAsia="Guttman Hodes"/>
          <w:rtl/>
        </w:rPr>
        <w:instrText xml:space="preserve"> </w:instrText>
      </w:r>
      <w:r w:rsidRPr="00097639">
        <w:rPr>
          <w:rStyle w:val="af7"/>
          <w:rFonts w:eastAsia="Guttman Hodes"/>
          <w:rtl/>
        </w:rPr>
      </w:r>
      <w:r w:rsidRPr="00097639">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097639">
        <w:rPr>
          <w:rStyle w:val="af7"/>
          <w:rFonts w:eastAsia="Guttman Hodes"/>
          <w:rtl/>
        </w:rPr>
        <w:fldChar w:fldCharType="end"/>
      </w:r>
      <w:r>
        <w:rPr>
          <w:rStyle w:val="af7"/>
          <w:rFonts w:eastAsia="Guttman Hodes" w:hint="cs"/>
          <w:rtl/>
        </w:rPr>
        <w:t xml:space="preserve"> </w:t>
      </w:r>
      <w:r>
        <w:rPr>
          <w:rFonts w:hint="cs"/>
          <w:rtl/>
        </w:rPr>
        <w:t xml:space="preserve">דהקשה אמאי לא נאמן המחזיק, ולא הקשה דאמאי לא טענינן ליה, מוכח דכוונתו להקשות שיהיה נאמן מחמת שהוא בא מכח טענת המוכר, ואין כוונתו להקשות כקושית </w:t>
      </w:r>
      <w:r w:rsidRPr="00FF06E7">
        <w:rPr>
          <w:rStyle w:val="af9"/>
          <w:rFonts w:hint="cs"/>
          <w:rtl/>
        </w:rPr>
        <w:t>הרמב"ן</w:t>
      </w:r>
      <w:r>
        <w:rPr>
          <w:rFonts w:hint="cs"/>
          <w:rtl/>
        </w:rPr>
        <w:t xml:space="preserve"> מדין טענינן.</w:t>
      </w:r>
    </w:p>
    <w:p w:rsidR="000E75A3" w:rsidRPr="0079097B" w:rsidRDefault="000E75A3" w:rsidP="000E75A3">
      <w:pPr>
        <w:pStyle w:val="a3"/>
      </w:pPr>
      <w:bookmarkStart w:id="9655" w:name="_Toc59786781"/>
      <w:bookmarkStart w:id="9656" w:name="_Toc59802595"/>
      <w:bookmarkStart w:id="9657" w:name="_Toc59916156"/>
      <w:r>
        <w:rPr>
          <w:rFonts w:hint="cs"/>
          <w:rtl/>
        </w:rPr>
        <w:t>הביאור הב' במשל"מ דקו' הרא"ש אינה על חד יומא אלא על דברי הרשב"ם דהודה המחזיק</w:t>
      </w:r>
      <w:bookmarkEnd w:id="9655"/>
      <w:bookmarkEnd w:id="9656"/>
      <w:bookmarkEnd w:id="9657"/>
    </w:p>
    <w:p w:rsidR="000E75A3" w:rsidRDefault="000E75A3" w:rsidP="007E4E81">
      <w:pPr>
        <w:pStyle w:val="a0"/>
        <w:rPr>
          <w:rtl/>
        </w:rPr>
      </w:pPr>
      <w:bookmarkStart w:id="9658" w:name="_Ref59786476"/>
      <w:r>
        <w:rPr>
          <w:rFonts w:hint="cs"/>
          <w:rtl/>
        </w:rPr>
        <w:t xml:space="preserve">ועי' במה שביאר </w:t>
      </w:r>
      <w:r w:rsidRPr="006C1DC0">
        <w:rPr>
          <w:rStyle w:val="af9"/>
          <w:rFonts w:hint="cs"/>
          <w:rtl/>
        </w:rPr>
        <w:t>המשל"מ בביאורו הב'</w:t>
      </w:r>
      <w:r>
        <w:rPr>
          <w:rFonts w:hint="cs"/>
          <w:rtl/>
        </w:rPr>
        <w:t xml:space="preserve"> </w:t>
      </w:r>
      <w:r w:rsidRPr="00AA2C88">
        <w:rPr>
          <w:rStyle w:val="af7"/>
          <w:rFonts w:eastAsia="Guttman Hodes" w:hint="cs"/>
          <w:rtl/>
        </w:rPr>
        <w:t xml:space="preserve">(טו"נ פי"ד הי"ד ד"ה ומ"מ אעיקרא, הובא בסימן ח' אות </w:t>
      </w:r>
      <w:r>
        <w:rPr>
          <w:rStyle w:val="af7"/>
          <w:rFonts w:eastAsia="Guttman Hodes" w:hint="cs"/>
          <w:rtl/>
        </w:rPr>
        <w:t>נ"ו</w:t>
      </w:r>
      <w:r w:rsidRPr="00AA2C88">
        <w:rPr>
          <w:rStyle w:val="af7"/>
          <w:rFonts w:eastAsia="Guttman Hodes" w:hint="cs"/>
          <w:rtl/>
        </w:rPr>
        <w:t>)</w:t>
      </w:r>
      <w:r>
        <w:rPr>
          <w:rFonts w:hint="cs"/>
          <w:rtl/>
        </w:rPr>
        <w:t xml:space="preserve"> דקושית </w:t>
      </w:r>
      <w:r w:rsidRPr="006C1DC0">
        <w:rPr>
          <w:rStyle w:val="af9"/>
          <w:rFonts w:hint="cs"/>
          <w:rtl/>
        </w:rPr>
        <w:t>הרא"ש</w:t>
      </w:r>
      <w:r>
        <w:rPr>
          <w:rFonts w:hint="cs"/>
          <w:rtl/>
        </w:rPr>
        <w:t xml:space="preserve"> על </w:t>
      </w:r>
      <w:r w:rsidRPr="006C1DC0">
        <w:rPr>
          <w:rStyle w:val="af9"/>
          <w:rFonts w:hint="cs"/>
          <w:rtl/>
        </w:rPr>
        <w:t>הרשב"ם</w:t>
      </w:r>
      <w:r w:rsidRPr="00C81272">
        <w:rPr>
          <w:rFonts w:hint="cs"/>
          <w:rtl/>
        </w:rPr>
        <w:t xml:space="preserve">, </w:t>
      </w:r>
      <w:r>
        <w:rPr>
          <w:rFonts w:hint="cs"/>
          <w:rtl/>
        </w:rPr>
        <w:t xml:space="preserve">היא על דברי הרשב"ם </w:t>
      </w:r>
      <w:r>
        <w:rPr>
          <w:rFonts w:hint="cs"/>
          <w:rtl/>
        </w:rPr>
        <w:lastRenderedPageBreak/>
        <w:t xml:space="preserve">דהמחזיק הודה למערער, דלא מוכח מדברי המערער שהודה לו המחזיק, וא"כ קשה כדהקשה </w:t>
      </w:r>
      <w:r w:rsidRPr="001172A8">
        <w:rPr>
          <w:rStyle w:val="af9"/>
          <w:rFonts w:hint="cs"/>
          <w:rtl/>
        </w:rPr>
        <w:t>הרמב"ן</w:t>
      </w:r>
      <w:r>
        <w:rPr>
          <w:rFonts w:hint="cs"/>
          <w:rtl/>
        </w:rPr>
        <w:t xml:space="preserve"> </w:t>
      </w:r>
      <w:r w:rsidRPr="0002152B">
        <w:rPr>
          <w:rStyle w:val="af7"/>
          <w:rFonts w:eastAsia="Guttman Hodes" w:hint="cs"/>
          <w:rtl/>
        </w:rPr>
        <w:t xml:space="preserve">(ד"ה </w:t>
      </w:r>
      <w:r w:rsidRPr="00B628DF">
        <w:rPr>
          <w:rStyle w:val="af7"/>
          <w:rFonts w:eastAsia="Guttman Hodes" w:hint="cs"/>
          <w:rtl/>
        </w:rPr>
        <w:t>ואעפ"י, הובא בסימן ח' אות ל"ז)</w:t>
      </w:r>
      <w:r w:rsidRPr="00B628DF">
        <w:rPr>
          <w:rFonts w:hint="cs"/>
          <w:rtl/>
        </w:rPr>
        <w:t xml:space="preserve"> על</w:t>
      </w:r>
      <w:r>
        <w:rPr>
          <w:rFonts w:hint="cs"/>
          <w:rtl/>
        </w:rPr>
        <w:t xml:space="preserve"> </w:t>
      </w:r>
      <w:r w:rsidRPr="001172A8">
        <w:rPr>
          <w:rStyle w:val="af9"/>
          <w:rFonts w:hint="cs"/>
          <w:rtl/>
        </w:rPr>
        <w:t>הראב"ד</w:t>
      </w:r>
      <w:r>
        <w:rPr>
          <w:rStyle w:val="af9"/>
          <w:rFonts w:hint="cs"/>
          <w:rtl/>
        </w:rPr>
        <w:t xml:space="preserve"> </w:t>
      </w:r>
      <w:r w:rsidRPr="009A63AE">
        <w:rPr>
          <w:rStyle w:val="af9"/>
          <w:rFonts w:hint="cs"/>
          <w:rtl/>
        </w:rPr>
        <w:t>בשיטמ"ק</w:t>
      </w:r>
      <w:r>
        <w:rPr>
          <w:rFonts w:hint="cs"/>
          <w:rtl/>
        </w:rPr>
        <w:t xml:space="preserve"> </w:t>
      </w:r>
      <w:r w:rsidRPr="00015123">
        <w:rPr>
          <w:rStyle w:val="af7"/>
          <w:rFonts w:eastAsia="Guttman Hodes" w:hint="cs"/>
          <w:rtl/>
        </w:rPr>
        <w:t>(ד"ה האי</w:t>
      </w:r>
      <w:r w:rsidRPr="00B628DF">
        <w:rPr>
          <w:rStyle w:val="af7"/>
          <w:rFonts w:eastAsia="Guttman Hodes" w:hint="cs"/>
          <w:rtl/>
        </w:rPr>
        <w:t xml:space="preserve"> מעשה, הובא בסימן ח' אות ל"ד)</w:t>
      </w:r>
      <w:r>
        <w:rPr>
          <w:rFonts w:hint="cs"/>
          <w:rtl/>
        </w:rPr>
        <w:t xml:space="preserve">, דהמחזיק יהיה נאמן לומר שכך אמר לו המוכר, במיגו דהיה טוען למערער שלא הייתה שלו מעולם, </w:t>
      </w:r>
      <w:r w:rsidRPr="00C81272">
        <w:rPr>
          <w:rFonts w:hint="cs"/>
          <w:rtl/>
        </w:rPr>
        <w:t>ו</w:t>
      </w:r>
      <w:r>
        <w:rPr>
          <w:rFonts w:hint="cs"/>
          <w:rtl/>
        </w:rPr>
        <w:t xml:space="preserve">ע"ע </w:t>
      </w:r>
      <w:r w:rsidRPr="00C81272">
        <w:rPr>
          <w:rFonts w:hint="cs"/>
          <w:rtl/>
        </w:rPr>
        <w:t>במה</w:t>
      </w:r>
      <w:r>
        <w:rPr>
          <w:rFonts w:hint="cs"/>
          <w:rtl/>
        </w:rPr>
        <w:t xml:space="preserve"> שהקשה </w:t>
      </w:r>
      <w:r w:rsidRPr="006C1DC0">
        <w:rPr>
          <w:rStyle w:val="af9"/>
          <w:rFonts w:hint="cs"/>
          <w:rtl/>
        </w:rPr>
        <w:t>המשל"מ</w:t>
      </w:r>
      <w:r>
        <w:rPr>
          <w:rFonts w:hint="cs"/>
          <w:rtl/>
        </w:rPr>
        <w:t xml:space="preserve"> </w:t>
      </w:r>
      <w:r w:rsidRPr="00B05CEE">
        <w:rPr>
          <w:rStyle w:val="af7"/>
          <w:rFonts w:eastAsia="Guttman Hodes" w:hint="cs"/>
          <w:rtl/>
        </w:rPr>
        <w:t xml:space="preserve">(טו"נ פי"ד הי"ד ד"ה ואיכא, הובא בסימן ח' אות </w:t>
      </w:r>
      <w:r>
        <w:rPr>
          <w:rStyle w:val="af7"/>
          <w:rFonts w:eastAsia="Guttman Hodes" w:hint="cs"/>
          <w:rtl/>
        </w:rPr>
        <w:t>ס"ג</w:t>
      </w:r>
      <w:r w:rsidRPr="00B05CEE">
        <w:rPr>
          <w:rStyle w:val="af7"/>
          <w:rFonts w:eastAsia="Guttman Hodes" w:hint="cs"/>
          <w:rtl/>
        </w:rPr>
        <w:t>)</w:t>
      </w:r>
      <w:r>
        <w:rPr>
          <w:rFonts w:hint="cs"/>
          <w:rtl/>
        </w:rPr>
        <w:t xml:space="preserve"> על </w:t>
      </w:r>
      <w:r w:rsidRPr="006C1DC0">
        <w:rPr>
          <w:rStyle w:val="af9"/>
          <w:rFonts w:hint="cs"/>
          <w:rtl/>
        </w:rPr>
        <w:t>הרא"ש</w:t>
      </w:r>
      <w:r>
        <w:rPr>
          <w:rFonts w:hint="cs"/>
          <w:rtl/>
        </w:rPr>
        <w:t xml:space="preserve"> דאמאי אינו נאמן במיגו דהיה יכול לשתוק.</w:t>
      </w:r>
      <w:bookmarkStart w:id="9659" w:name="_Toc59113255"/>
      <w:bookmarkStart w:id="9660" w:name="_Toc57925963"/>
      <w:bookmarkStart w:id="9661" w:name="_Toc58091653"/>
      <w:bookmarkStart w:id="9662" w:name="_Toc58144906"/>
      <w:bookmarkStart w:id="9663" w:name="_Toc58272592"/>
      <w:bookmarkStart w:id="9664" w:name="_Toc58325023"/>
      <w:bookmarkStart w:id="9665" w:name="_Toc58359179"/>
      <w:bookmarkStart w:id="9666" w:name="_Toc58409440"/>
      <w:bookmarkStart w:id="9667" w:name="_Toc58432680"/>
      <w:bookmarkStart w:id="9668" w:name="_Toc58532494"/>
      <w:bookmarkStart w:id="9669" w:name="_Toc58580113"/>
      <w:bookmarkStart w:id="9670" w:name="_Toc59136970"/>
      <w:bookmarkEnd w:id="9654"/>
      <w:bookmarkEnd w:id="9658"/>
    </w:p>
    <w:p w:rsidR="000E75A3" w:rsidRDefault="000E75A3" w:rsidP="000E75A3">
      <w:pPr>
        <w:pStyle w:val="afe"/>
        <w:rPr>
          <w:rtl/>
        </w:rPr>
      </w:pPr>
      <w:bookmarkStart w:id="9671" w:name="_Toc59741651"/>
      <w:bookmarkStart w:id="9672" w:name="_Toc59786782"/>
      <w:bookmarkStart w:id="9673" w:name="_Toc59802596"/>
      <w:bookmarkStart w:id="9674" w:name="_Toc59916157"/>
      <w:bookmarkEnd w:id="9659"/>
      <w:bookmarkEnd w:id="9660"/>
      <w:bookmarkEnd w:id="9661"/>
      <w:bookmarkEnd w:id="9662"/>
      <w:bookmarkEnd w:id="9663"/>
      <w:bookmarkEnd w:id="9664"/>
      <w:bookmarkEnd w:id="9665"/>
      <w:bookmarkEnd w:id="9666"/>
      <w:bookmarkEnd w:id="9667"/>
      <w:bookmarkEnd w:id="9668"/>
      <w:bookmarkEnd w:id="9669"/>
      <w:bookmarkEnd w:id="9670"/>
      <w:r>
        <w:rPr>
          <w:rFonts w:hint="cs"/>
          <w:rtl/>
        </w:rPr>
        <w:t>בד' הרא"ש בעידי חד יומא בלא חזקה</w:t>
      </w:r>
      <w:bookmarkEnd w:id="9671"/>
      <w:bookmarkEnd w:id="9672"/>
      <w:bookmarkEnd w:id="9673"/>
      <w:bookmarkEnd w:id="9674"/>
    </w:p>
    <w:p w:rsidR="000E75A3" w:rsidRDefault="000E75A3" w:rsidP="000E75A3">
      <w:pPr>
        <w:pStyle w:val="1"/>
        <w:rPr>
          <w:rtl/>
        </w:rPr>
      </w:pPr>
      <w:bookmarkStart w:id="9675" w:name="_Toc59741652"/>
      <w:bookmarkStart w:id="9676" w:name="_Toc59786783"/>
      <w:bookmarkStart w:id="9677" w:name="_Toc59802597"/>
      <w:bookmarkStart w:id="9678" w:name="_Toc59916158"/>
      <w:r>
        <w:rPr>
          <w:rFonts w:hint="cs"/>
          <w:rtl/>
        </w:rPr>
        <w:t>ביאורי המשל"מ ברא"ש</w:t>
      </w:r>
      <w:bookmarkEnd w:id="9589"/>
      <w:bookmarkEnd w:id="9590"/>
      <w:bookmarkEnd w:id="9591"/>
      <w:bookmarkEnd w:id="9592"/>
      <w:bookmarkEnd w:id="9593"/>
      <w:bookmarkEnd w:id="9675"/>
      <w:bookmarkEnd w:id="9676"/>
      <w:bookmarkEnd w:id="9677"/>
      <w:r>
        <w:rPr>
          <w:rFonts w:hint="cs"/>
          <w:rtl/>
        </w:rPr>
        <w:t xml:space="preserve"> בדין עידי חד יומא בלא חזקה</w:t>
      </w:r>
      <w:bookmarkEnd w:id="9678"/>
    </w:p>
    <w:p w:rsidR="000E75A3" w:rsidRPr="00CD47A6" w:rsidRDefault="000E75A3" w:rsidP="000E75A3">
      <w:pPr>
        <w:pStyle w:val="a3"/>
        <w:rPr>
          <w:rtl/>
        </w:rPr>
      </w:pPr>
      <w:bookmarkStart w:id="9679" w:name="_Toc59786784"/>
      <w:bookmarkStart w:id="9680" w:name="_Toc59802598"/>
      <w:bookmarkStart w:id="9681" w:name="_Toc59916159"/>
      <w:r>
        <w:rPr>
          <w:rFonts w:hint="cs"/>
          <w:rtl/>
        </w:rPr>
        <w:t>דברי המשל"מ דלביאורו הב' ברא"ש אין כל ראיה מה דעת הרא"ש בעידי חד יומא בלא חזקה</w:t>
      </w:r>
      <w:bookmarkEnd w:id="9679"/>
      <w:bookmarkEnd w:id="9680"/>
      <w:bookmarkEnd w:id="9681"/>
    </w:p>
    <w:p w:rsidR="000E75A3" w:rsidRDefault="000E75A3" w:rsidP="007E4E81">
      <w:pPr>
        <w:pStyle w:val="a0"/>
        <w:rPr>
          <w:rtl/>
        </w:rPr>
      </w:pPr>
      <w:r>
        <w:rPr>
          <w:rFonts w:hint="cs"/>
          <w:rtl/>
        </w:rPr>
        <w:t xml:space="preserve">כתב </w:t>
      </w:r>
      <w:r w:rsidRPr="00A20811">
        <w:rPr>
          <w:rStyle w:val="af9"/>
          <w:rFonts w:hint="cs"/>
          <w:rtl/>
        </w:rPr>
        <w:t>המשל"מ</w:t>
      </w:r>
      <w:r>
        <w:rPr>
          <w:rFonts w:hint="cs"/>
          <w:rtl/>
        </w:rPr>
        <w:t xml:space="preserve"> </w:t>
      </w:r>
      <w:r w:rsidRPr="00394915">
        <w:rPr>
          <w:rStyle w:val="af7"/>
          <w:rFonts w:eastAsia="Guttman Hodes" w:hint="cs"/>
          <w:rtl/>
        </w:rPr>
        <w:t>(טו"נ פי"ד סוהי"ד ד"ה ודע)</w:t>
      </w:r>
      <w:r>
        <w:rPr>
          <w:rFonts w:hint="cs"/>
          <w:rtl/>
        </w:rPr>
        <w:t xml:space="preserve"> דלפי </w:t>
      </w:r>
      <w:r w:rsidRPr="00A20811">
        <w:rPr>
          <w:rStyle w:val="af9"/>
          <w:rFonts w:hint="cs"/>
          <w:rtl/>
        </w:rPr>
        <w:t xml:space="preserve">הביאור הב' במשל"מ </w:t>
      </w:r>
      <w:r w:rsidRPr="003D671E">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Ref59786476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Pr>
          <w:rStyle w:val="af7"/>
          <w:rFonts w:eastAsia="Guttman Hodes"/>
          <w:rtl/>
        </w:rPr>
        <w:fldChar w:fldCharType="end"/>
      </w:r>
      <w:r>
        <w:rPr>
          <w:rStyle w:val="af7"/>
          <w:rFonts w:eastAsia="Guttman Hodes" w:hint="cs"/>
          <w:rtl/>
        </w:rPr>
        <w:t xml:space="preserve"> </w:t>
      </w:r>
      <w:r>
        <w:rPr>
          <w:rFonts w:hint="cs"/>
          <w:rtl/>
        </w:rPr>
        <w:t xml:space="preserve">דקושית </w:t>
      </w:r>
      <w:r w:rsidRPr="00A20811">
        <w:rPr>
          <w:rStyle w:val="af9"/>
          <w:rFonts w:hint="cs"/>
          <w:rtl/>
        </w:rPr>
        <w:t>הרא"ש</w:t>
      </w:r>
      <w:r>
        <w:rPr>
          <w:rFonts w:hint="cs"/>
          <w:rtl/>
        </w:rPr>
        <w:t xml:space="preserve"> היא כקושית </w:t>
      </w:r>
      <w:r w:rsidRPr="00A20811">
        <w:rPr>
          <w:rStyle w:val="af9"/>
          <w:rFonts w:hint="cs"/>
          <w:rtl/>
        </w:rPr>
        <w:t>הרמב"ן</w:t>
      </w:r>
      <w:r>
        <w:rPr>
          <w:rFonts w:hint="cs"/>
          <w:rtl/>
        </w:rPr>
        <w:t xml:space="preserve"> על </w:t>
      </w:r>
      <w:r w:rsidRPr="00A20811">
        <w:rPr>
          <w:rStyle w:val="af9"/>
          <w:rFonts w:hint="cs"/>
          <w:rtl/>
        </w:rPr>
        <w:t>הראב"ד</w:t>
      </w:r>
      <w:r>
        <w:rPr>
          <w:rFonts w:hint="cs"/>
          <w:rtl/>
        </w:rPr>
        <w:t xml:space="preserve">, א"כ אין כל ראיה מדברי </w:t>
      </w:r>
      <w:r w:rsidRPr="00A20811">
        <w:rPr>
          <w:rStyle w:val="af9"/>
          <w:rFonts w:hint="cs"/>
          <w:rtl/>
        </w:rPr>
        <w:t>רבינו יונה והרא"ש</w:t>
      </w:r>
      <w:r>
        <w:rPr>
          <w:rFonts w:hint="cs"/>
          <w:rtl/>
        </w:rPr>
        <w:t xml:space="preserve"> מה ס"ל בפלוגתת </w:t>
      </w:r>
      <w:r w:rsidRPr="00A20811">
        <w:rPr>
          <w:rStyle w:val="af9"/>
          <w:rFonts w:hint="cs"/>
          <w:rtl/>
        </w:rPr>
        <w:t>הרמב"ן</w:t>
      </w:r>
      <w:r>
        <w:rPr>
          <w:rFonts w:hint="cs"/>
          <w:rtl/>
        </w:rPr>
        <w:t xml:space="preserve"> </w:t>
      </w:r>
      <w:r w:rsidRPr="000C52EE">
        <w:rPr>
          <w:rStyle w:val="af7"/>
          <w:rFonts w:eastAsia="Guttman Hodes" w:hint="cs"/>
          <w:rtl/>
        </w:rPr>
        <w:t xml:space="preserve">(עי' אות </w:t>
      </w:r>
      <w:r w:rsidRPr="000C52EE">
        <w:rPr>
          <w:rStyle w:val="af7"/>
          <w:rFonts w:eastAsia="Guttman Hodes"/>
          <w:rtl/>
        </w:rPr>
        <w:fldChar w:fldCharType="begin"/>
      </w:r>
      <w:r w:rsidRPr="000C52EE">
        <w:rPr>
          <w:rStyle w:val="af7"/>
          <w:rFonts w:eastAsia="Guttman Hodes"/>
          <w:rtl/>
        </w:rPr>
        <w:instrText xml:space="preserve"> </w:instrText>
      </w:r>
      <w:r w:rsidRPr="000C52EE">
        <w:rPr>
          <w:rStyle w:val="af7"/>
          <w:rFonts w:eastAsia="Guttman Hodes" w:hint="cs"/>
        </w:rPr>
        <w:instrText>REF</w:instrText>
      </w:r>
      <w:r w:rsidRPr="000C52EE">
        <w:rPr>
          <w:rStyle w:val="af7"/>
          <w:rFonts w:eastAsia="Guttman Hodes" w:hint="cs"/>
          <w:rtl/>
        </w:rPr>
        <w:instrText xml:space="preserve"> _</w:instrText>
      </w:r>
      <w:r w:rsidRPr="000C52EE">
        <w:rPr>
          <w:rStyle w:val="af7"/>
          <w:rFonts w:eastAsia="Guttman Hodes" w:hint="cs"/>
        </w:rPr>
        <w:instrText>Ref58428245 \r \h</w:instrText>
      </w:r>
      <w:r w:rsidRPr="000C52EE">
        <w:rPr>
          <w:rStyle w:val="af7"/>
          <w:rFonts w:eastAsia="Guttman Hodes"/>
          <w:rtl/>
        </w:rPr>
        <w:instrText xml:space="preserve"> </w:instrText>
      </w:r>
      <w:r w:rsidRPr="000C52EE">
        <w:rPr>
          <w:rStyle w:val="af7"/>
          <w:rFonts w:eastAsia="Guttman Hodes"/>
          <w:rtl/>
        </w:rPr>
      </w:r>
      <w:r w:rsidRPr="000C52EE">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0C52EE">
        <w:rPr>
          <w:rStyle w:val="af7"/>
          <w:rFonts w:eastAsia="Guttman Hodes"/>
          <w:rtl/>
        </w:rPr>
        <w:fldChar w:fldCharType="end"/>
      </w:r>
      <w:r>
        <w:rPr>
          <w:rFonts w:hint="cs"/>
          <w:rtl/>
        </w:rPr>
        <w:t xml:space="preserve"> </w:t>
      </w:r>
      <w:r w:rsidRPr="00A20811">
        <w:rPr>
          <w:rStyle w:val="af9"/>
          <w:rFonts w:hint="cs"/>
          <w:rtl/>
        </w:rPr>
        <w:t>והרשב"ם</w:t>
      </w:r>
      <w:r>
        <w:rPr>
          <w:rFonts w:hint="cs"/>
          <w:rtl/>
        </w:rPr>
        <w:t xml:space="preserve"> </w:t>
      </w:r>
      <w:r w:rsidRPr="000C52EE">
        <w:rPr>
          <w:rStyle w:val="af7"/>
          <w:rFonts w:eastAsia="Guttman Hodes" w:hint="cs"/>
          <w:rtl/>
        </w:rPr>
        <w:t xml:space="preserve">(עי' אות </w:t>
      </w:r>
      <w:r w:rsidRPr="000C52EE">
        <w:rPr>
          <w:rStyle w:val="af7"/>
          <w:rFonts w:eastAsia="Guttman Hodes"/>
          <w:rtl/>
        </w:rPr>
        <w:fldChar w:fldCharType="begin"/>
      </w:r>
      <w:r w:rsidRPr="000C52EE">
        <w:rPr>
          <w:rStyle w:val="af7"/>
          <w:rFonts w:eastAsia="Guttman Hodes"/>
          <w:rtl/>
        </w:rPr>
        <w:instrText xml:space="preserve"> </w:instrText>
      </w:r>
      <w:r w:rsidRPr="000C52EE">
        <w:rPr>
          <w:rStyle w:val="af7"/>
          <w:rFonts w:eastAsia="Guttman Hodes" w:hint="cs"/>
        </w:rPr>
        <w:instrText>REF</w:instrText>
      </w:r>
      <w:r w:rsidRPr="000C52EE">
        <w:rPr>
          <w:rStyle w:val="af7"/>
          <w:rFonts w:eastAsia="Guttman Hodes" w:hint="cs"/>
          <w:rtl/>
        </w:rPr>
        <w:instrText xml:space="preserve"> _</w:instrText>
      </w:r>
      <w:r w:rsidRPr="000C52EE">
        <w:rPr>
          <w:rStyle w:val="af7"/>
          <w:rFonts w:eastAsia="Guttman Hodes" w:hint="cs"/>
        </w:rPr>
        <w:instrText>Ref59700742 \r \h</w:instrText>
      </w:r>
      <w:r w:rsidRPr="000C52EE">
        <w:rPr>
          <w:rStyle w:val="af7"/>
          <w:rFonts w:eastAsia="Guttman Hodes"/>
          <w:rtl/>
        </w:rPr>
        <w:instrText xml:space="preserve"> </w:instrText>
      </w:r>
      <w:r w:rsidRPr="000C52EE">
        <w:rPr>
          <w:rStyle w:val="af7"/>
          <w:rFonts w:eastAsia="Guttman Hodes"/>
          <w:rtl/>
        </w:rPr>
      </w:r>
      <w:r w:rsidRPr="000C52EE">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0C52EE">
        <w:rPr>
          <w:rStyle w:val="af7"/>
          <w:rFonts w:eastAsia="Guttman Hodes"/>
          <w:rtl/>
        </w:rPr>
        <w:fldChar w:fldCharType="end"/>
      </w:r>
      <w:r>
        <w:rPr>
          <w:rFonts w:hint="cs"/>
          <w:rtl/>
        </w:rPr>
        <w:t xml:space="preserve"> כשיש עידי חד יומא, ואין למחזיק חזקת ג"ש, אי טענינן ללוקח או לא, דהרי לפי </w:t>
      </w:r>
      <w:r w:rsidRPr="002101CD">
        <w:rPr>
          <w:rStyle w:val="af9"/>
          <w:rFonts w:hint="cs"/>
          <w:rtl/>
        </w:rPr>
        <w:t xml:space="preserve">הביאור הב' במשל"מ </w:t>
      </w:r>
      <w:r>
        <w:rPr>
          <w:rFonts w:hint="cs"/>
          <w:rtl/>
        </w:rPr>
        <w:t xml:space="preserve">לא דנו </w:t>
      </w:r>
      <w:r w:rsidRPr="002101CD">
        <w:rPr>
          <w:rStyle w:val="af9"/>
          <w:rFonts w:hint="cs"/>
          <w:rtl/>
        </w:rPr>
        <w:t>רבינו יונה והרא"ש</w:t>
      </w:r>
      <w:r>
        <w:rPr>
          <w:rFonts w:hint="cs"/>
          <w:rtl/>
        </w:rPr>
        <w:t xml:space="preserve"> באופן זה כלל, ורק דנו אי המחזיק נאמן במה שטוען דא"ל המוכר שהוא קנה מהמערער, וא"כ במקום שיש עדים דדר בה המוכר חד יומא, והמחזיק מודה בעצמו שהקרקע הייתה של המערער, כתב </w:t>
      </w:r>
      <w:r w:rsidRPr="002101CD">
        <w:rPr>
          <w:rStyle w:val="af9"/>
          <w:rFonts w:hint="cs"/>
          <w:rtl/>
        </w:rPr>
        <w:t>המשל"מ</w:t>
      </w:r>
      <w:r>
        <w:rPr>
          <w:rFonts w:hint="cs"/>
          <w:rtl/>
        </w:rPr>
        <w:t xml:space="preserve"> דיתכן דס"ל </w:t>
      </w:r>
      <w:r w:rsidRPr="002101CD">
        <w:rPr>
          <w:rStyle w:val="af9"/>
          <w:rFonts w:hint="cs"/>
          <w:rtl/>
        </w:rPr>
        <w:t>לרבינו יונה והרא"ש</w:t>
      </w:r>
      <w:r>
        <w:rPr>
          <w:rFonts w:hint="cs"/>
          <w:rtl/>
        </w:rPr>
        <w:t xml:space="preserve"> כדעת </w:t>
      </w:r>
      <w:r w:rsidRPr="002101CD">
        <w:rPr>
          <w:rStyle w:val="af9"/>
          <w:rFonts w:hint="cs"/>
          <w:rtl/>
        </w:rPr>
        <w:t>הרשב"ם</w:t>
      </w:r>
      <w:r>
        <w:rPr>
          <w:rFonts w:hint="cs"/>
          <w:rtl/>
        </w:rPr>
        <w:t xml:space="preserve"> דלא טענינן ליה, ויתכן דס"ל כדעת </w:t>
      </w:r>
      <w:r w:rsidRPr="002101CD">
        <w:rPr>
          <w:rStyle w:val="af9"/>
          <w:rFonts w:hint="cs"/>
          <w:rtl/>
        </w:rPr>
        <w:t>הרמב"ן</w:t>
      </w:r>
      <w:r>
        <w:rPr>
          <w:rFonts w:hint="cs"/>
          <w:rtl/>
        </w:rPr>
        <w:t xml:space="preserve"> דטענינן.</w:t>
      </w:r>
    </w:p>
    <w:p w:rsidR="000E75A3" w:rsidRPr="00447E9A" w:rsidRDefault="000E75A3" w:rsidP="000E75A3">
      <w:pPr>
        <w:pStyle w:val="a3"/>
        <w:rPr>
          <w:rtl/>
        </w:rPr>
      </w:pPr>
      <w:bookmarkStart w:id="9682" w:name="_Toc59786785"/>
      <w:bookmarkStart w:id="9683" w:name="_Toc59802599"/>
      <w:bookmarkStart w:id="9684" w:name="_Toc59916160"/>
      <w:r>
        <w:rPr>
          <w:rFonts w:hint="cs"/>
          <w:rtl/>
        </w:rPr>
        <w:t>דברי המשל"מ דבלא הודה המחזיק מעצמו להרא"ש ספק אי טענינן ולרבינו יונה אין מוציאין</w:t>
      </w:r>
      <w:bookmarkEnd w:id="9682"/>
      <w:bookmarkEnd w:id="9683"/>
      <w:bookmarkEnd w:id="9684"/>
    </w:p>
    <w:p w:rsidR="000E75A3" w:rsidRDefault="000E75A3" w:rsidP="007E4E81">
      <w:pPr>
        <w:pStyle w:val="a0"/>
        <w:rPr>
          <w:rtl/>
        </w:rPr>
      </w:pPr>
      <w:r>
        <w:rPr>
          <w:rFonts w:hint="cs"/>
          <w:rtl/>
        </w:rPr>
        <w:t xml:space="preserve">ובמקום שיש עידי חד יומא, והמחזיק לא הודה בעצמו, אלא רק שמע כן מפי המוכר, כתב </w:t>
      </w:r>
      <w:r w:rsidRPr="002101CD">
        <w:rPr>
          <w:rStyle w:val="af9"/>
          <w:rFonts w:hint="cs"/>
          <w:rtl/>
        </w:rPr>
        <w:t>המשל"מ</w:t>
      </w:r>
      <w:r>
        <w:rPr>
          <w:rFonts w:hint="cs"/>
          <w:rtl/>
        </w:rPr>
        <w:t xml:space="preserve"> דלדעת </w:t>
      </w:r>
      <w:r w:rsidRPr="002101CD">
        <w:rPr>
          <w:rStyle w:val="af9"/>
          <w:rFonts w:hint="cs"/>
          <w:rtl/>
        </w:rPr>
        <w:t>רבינו</w:t>
      </w:r>
      <w:r>
        <w:rPr>
          <w:rFonts w:hint="cs"/>
          <w:rtl/>
        </w:rPr>
        <w:t xml:space="preserve"> </w:t>
      </w:r>
      <w:r w:rsidRPr="002101CD">
        <w:rPr>
          <w:rStyle w:val="af9"/>
          <w:rFonts w:hint="cs"/>
          <w:rtl/>
        </w:rPr>
        <w:t>יונה</w:t>
      </w:r>
      <w:r>
        <w:rPr>
          <w:rFonts w:hint="cs"/>
          <w:rtl/>
        </w:rPr>
        <w:t xml:space="preserve"> </w:t>
      </w:r>
      <w:r w:rsidRPr="008F1843">
        <w:rPr>
          <w:rStyle w:val="af7"/>
          <w:rFonts w:eastAsia="Guttman Hodes" w:hint="cs"/>
          <w:rtl/>
        </w:rPr>
        <w:t xml:space="preserve">(עי' אות </w:t>
      </w:r>
      <w:r w:rsidRPr="008F1843">
        <w:rPr>
          <w:rStyle w:val="af7"/>
          <w:rFonts w:eastAsia="Guttman Hodes"/>
          <w:rtl/>
        </w:rPr>
        <w:fldChar w:fldCharType="begin"/>
      </w:r>
      <w:r w:rsidRPr="008F1843">
        <w:rPr>
          <w:rStyle w:val="af7"/>
          <w:rFonts w:eastAsia="Guttman Hodes"/>
          <w:rtl/>
        </w:rPr>
        <w:instrText xml:space="preserve"> </w:instrText>
      </w:r>
      <w:r w:rsidRPr="008F1843">
        <w:rPr>
          <w:rStyle w:val="af7"/>
          <w:rFonts w:eastAsia="Guttman Hodes" w:hint="cs"/>
        </w:rPr>
        <w:instrText>REF</w:instrText>
      </w:r>
      <w:r w:rsidRPr="008F1843">
        <w:rPr>
          <w:rStyle w:val="af7"/>
          <w:rFonts w:eastAsia="Guttman Hodes" w:hint="cs"/>
          <w:rtl/>
        </w:rPr>
        <w:instrText xml:space="preserve"> _</w:instrText>
      </w:r>
      <w:r w:rsidRPr="008F1843">
        <w:rPr>
          <w:rStyle w:val="af7"/>
          <w:rFonts w:eastAsia="Guttman Hodes" w:hint="cs"/>
        </w:rPr>
        <w:instrText>Ref59024352 \r \h</w:instrText>
      </w:r>
      <w:r w:rsidRPr="008F1843">
        <w:rPr>
          <w:rStyle w:val="af7"/>
          <w:rFonts w:eastAsia="Guttman Hodes"/>
          <w:rtl/>
        </w:rPr>
        <w:instrText xml:space="preserve"> </w:instrText>
      </w:r>
      <w:r w:rsidRPr="008F1843">
        <w:rPr>
          <w:rStyle w:val="af7"/>
          <w:rFonts w:eastAsia="Guttman Hodes"/>
          <w:rtl/>
        </w:rPr>
      </w:r>
      <w:r w:rsidRPr="008F1843">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8F1843">
        <w:rPr>
          <w:rStyle w:val="af7"/>
          <w:rFonts w:eastAsia="Guttman Hodes"/>
          <w:rtl/>
        </w:rPr>
        <w:fldChar w:fldCharType="end"/>
      </w:r>
      <w:r>
        <w:rPr>
          <w:rFonts w:hint="cs"/>
          <w:rtl/>
        </w:rPr>
        <w:t xml:space="preserve"> אף בלא דין טענינן, א"א להוציא מהמחזיק, ובדעת </w:t>
      </w:r>
      <w:r w:rsidRPr="002101CD">
        <w:rPr>
          <w:rStyle w:val="af9"/>
          <w:rFonts w:hint="cs"/>
          <w:rtl/>
        </w:rPr>
        <w:t>הרא"ש</w:t>
      </w:r>
      <w:r>
        <w:rPr>
          <w:rFonts w:hint="cs"/>
          <w:rtl/>
        </w:rPr>
        <w:t xml:space="preserve"> גם בזה נשאר ספק אי ס"ל דטענינן, או דלא טענינן.</w:t>
      </w:r>
    </w:p>
    <w:p w:rsidR="000E75A3" w:rsidRDefault="000E75A3" w:rsidP="000E75A3">
      <w:pPr>
        <w:pStyle w:val="a3"/>
        <w:rPr>
          <w:rtl/>
        </w:rPr>
      </w:pPr>
      <w:bookmarkStart w:id="9685" w:name="_Toc59786786"/>
      <w:bookmarkStart w:id="9686" w:name="_Toc59802600"/>
      <w:bookmarkStart w:id="9687" w:name="_Toc59916161"/>
      <w:r>
        <w:rPr>
          <w:rFonts w:hint="cs"/>
          <w:rtl/>
        </w:rPr>
        <w:t>ד' המשל"מ דלביאורו הב' להרא"ש בחד יומא בלא חזקה בהודה לא טענינן ובלא הודה טענינן</w:t>
      </w:r>
      <w:bookmarkEnd w:id="9685"/>
      <w:bookmarkEnd w:id="9686"/>
      <w:bookmarkEnd w:id="9687"/>
    </w:p>
    <w:p w:rsidR="000E75A3" w:rsidRDefault="000E75A3" w:rsidP="007E4E81">
      <w:pPr>
        <w:pStyle w:val="a0"/>
        <w:rPr>
          <w:rtl/>
        </w:rPr>
      </w:pPr>
      <w:r>
        <w:rPr>
          <w:rFonts w:hint="cs"/>
          <w:rtl/>
        </w:rPr>
        <w:t xml:space="preserve">וכתב </w:t>
      </w:r>
      <w:r w:rsidRPr="00881206">
        <w:rPr>
          <w:rStyle w:val="af9"/>
          <w:rFonts w:hint="cs"/>
          <w:rtl/>
        </w:rPr>
        <w:t>המשל"מ</w:t>
      </w:r>
      <w:r>
        <w:rPr>
          <w:rFonts w:hint="cs"/>
          <w:rtl/>
        </w:rPr>
        <w:t xml:space="preserve"> </w:t>
      </w:r>
      <w:r w:rsidRPr="00394915">
        <w:rPr>
          <w:rStyle w:val="af7"/>
          <w:rFonts w:eastAsia="Guttman Hodes" w:hint="cs"/>
          <w:rtl/>
        </w:rPr>
        <w:t>(טו"נ פי"ד סוהי"ד ד"ה ולפי)</w:t>
      </w:r>
      <w:r>
        <w:rPr>
          <w:rFonts w:hint="cs"/>
          <w:rtl/>
        </w:rPr>
        <w:t xml:space="preserve"> דלפי </w:t>
      </w:r>
      <w:r w:rsidRPr="00881206">
        <w:rPr>
          <w:rStyle w:val="af9"/>
          <w:rFonts w:hint="cs"/>
          <w:rtl/>
        </w:rPr>
        <w:t>הביאור הא' במשל"מ</w:t>
      </w:r>
      <w:r>
        <w:rPr>
          <w:rFonts w:hint="cs"/>
          <w:rtl/>
        </w:rPr>
        <w:t xml:space="preserve"> </w:t>
      </w:r>
      <w:r w:rsidRPr="008F1843">
        <w:rPr>
          <w:rStyle w:val="af7"/>
          <w:rFonts w:eastAsia="Guttman Hodes" w:hint="cs"/>
          <w:rtl/>
        </w:rPr>
        <w:t xml:space="preserve">(עי' אות </w:t>
      </w:r>
      <w:r w:rsidRPr="008F1843">
        <w:rPr>
          <w:rStyle w:val="af7"/>
          <w:rFonts w:eastAsia="Guttman Hodes"/>
          <w:rtl/>
        </w:rPr>
        <w:fldChar w:fldCharType="begin"/>
      </w:r>
      <w:r w:rsidRPr="008F1843">
        <w:rPr>
          <w:rStyle w:val="af7"/>
          <w:rFonts w:eastAsia="Guttman Hodes"/>
          <w:rtl/>
        </w:rPr>
        <w:instrText xml:space="preserve"> </w:instrText>
      </w:r>
      <w:r w:rsidRPr="008F1843">
        <w:rPr>
          <w:rStyle w:val="af7"/>
          <w:rFonts w:eastAsia="Guttman Hodes" w:hint="cs"/>
        </w:rPr>
        <w:instrText>REF</w:instrText>
      </w:r>
      <w:r w:rsidRPr="008F1843">
        <w:rPr>
          <w:rStyle w:val="af7"/>
          <w:rFonts w:eastAsia="Guttman Hodes" w:hint="cs"/>
          <w:rtl/>
        </w:rPr>
        <w:instrText xml:space="preserve"> _</w:instrText>
      </w:r>
      <w:r w:rsidRPr="008F1843">
        <w:rPr>
          <w:rStyle w:val="af7"/>
          <w:rFonts w:eastAsia="Guttman Hodes" w:hint="cs"/>
        </w:rPr>
        <w:instrText>Ref59785681 \r \h</w:instrText>
      </w:r>
      <w:r w:rsidRPr="008F1843">
        <w:rPr>
          <w:rStyle w:val="af7"/>
          <w:rFonts w:eastAsia="Guttman Hodes"/>
          <w:rtl/>
        </w:rPr>
        <w:instrText xml:space="preserve"> </w:instrText>
      </w:r>
      <w:r w:rsidRPr="008F1843">
        <w:rPr>
          <w:rStyle w:val="af7"/>
          <w:rFonts w:eastAsia="Guttman Hodes"/>
          <w:rtl/>
        </w:rPr>
      </w:r>
      <w:r w:rsidRPr="008F1843">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8F1843">
        <w:rPr>
          <w:rStyle w:val="af7"/>
          <w:rFonts w:eastAsia="Guttman Hodes"/>
          <w:rtl/>
        </w:rPr>
        <w:fldChar w:fldCharType="end"/>
      </w:r>
      <w:r>
        <w:rPr>
          <w:rFonts w:hint="cs"/>
          <w:rtl/>
        </w:rPr>
        <w:t xml:space="preserve"> </w:t>
      </w:r>
      <w:r w:rsidRPr="00881206">
        <w:rPr>
          <w:rStyle w:val="af9"/>
          <w:rFonts w:hint="cs"/>
          <w:rtl/>
        </w:rPr>
        <w:t>דהרא"ש</w:t>
      </w:r>
      <w:r w:rsidRPr="008F1843">
        <w:rPr>
          <w:rStyle w:val="af7"/>
          <w:rFonts w:eastAsia="Guttman Hodes" w:hint="cs"/>
          <w:rtl/>
        </w:rPr>
        <w:t xml:space="preserve"> (עי' אות </w:t>
      </w:r>
      <w:r w:rsidRPr="008F1843">
        <w:rPr>
          <w:rStyle w:val="af7"/>
          <w:rFonts w:eastAsia="Guttman Hodes"/>
          <w:rtl/>
        </w:rPr>
        <w:fldChar w:fldCharType="begin"/>
      </w:r>
      <w:r w:rsidRPr="008F1843">
        <w:rPr>
          <w:rStyle w:val="af7"/>
          <w:rFonts w:eastAsia="Guttman Hodes"/>
          <w:rtl/>
        </w:rPr>
        <w:instrText xml:space="preserve"> </w:instrText>
      </w:r>
      <w:r w:rsidRPr="008F1843">
        <w:rPr>
          <w:rStyle w:val="af7"/>
          <w:rFonts w:eastAsia="Guttman Hodes" w:hint="cs"/>
        </w:rPr>
        <w:instrText>REF</w:instrText>
      </w:r>
      <w:r w:rsidRPr="008F1843">
        <w:rPr>
          <w:rStyle w:val="af7"/>
          <w:rFonts w:eastAsia="Guttman Hodes" w:hint="cs"/>
          <w:rtl/>
        </w:rPr>
        <w:instrText xml:space="preserve"> _</w:instrText>
      </w:r>
      <w:r w:rsidRPr="008F1843">
        <w:rPr>
          <w:rStyle w:val="af7"/>
          <w:rFonts w:eastAsia="Guttman Hodes" w:hint="cs"/>
        </w:rPr>
        <w:instrText>Ref59701130 \r \h</w:instrText>
      </w:r>
      <w:r w:rsidRPr="008F1843">
        <w:rPr>
          <w:rStyle w:val="af7"/>
          <w:rFonts w:eastAsia="Guttman Hodes"/>
          <w:rtl/>
        </w:rPr>
        <w:instrText xml:space="preserve"> </w:instrText>
      </w:r>
      <w:r w:rsidRPr="008F1843">
        <w:rPr>
          <w:rStyle w:val="af7"/>
          <w:rFonts w:eastAsia="Guttman Hodes"/>
          <w:rtl/>
        </w:rPr>
      </w:r>
      <w:r w:rsidRPr="008F1843">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8F1843">
        <w:rPr>
          <w:rStyle w:val="af7"/>
          <w:rFonts w:eastAsia="Guttman Hodes"/>
          <w:rtl/>
        </w:rPr>
        <w:fldChar w:fldCharType="end"/>
      </w:r>
      <w:r w:rsidRPr="008F1843">
        <w:rPr>
          <w:rStyle w:val="af7"/>
          <w:rFonts w:eastAsia="Guttman Hodes" w:hint="cs"/>
          <w:rtl/>
        </w:rPr>
        <w:t xml:space="preserve"> </w:t>
      </w:r>
      <w:r>
        <w:rPr>
          <w:rFonts w:hint="cs"/>
          <w:rtl/>
        </w:rPr>
        <w:t xml:space="preserve">הקשה על </w:t>
      </w:r>
      <w:r w:rsidRPr="00881206">
        <w:rPr>
          <w:rStyle w:val="af9"/>
          <w:rFonts w:hint="cs"/>
          <w:rtl/>
        </w:rPr>
        <w:t>הרשב"ם</w:t>
      </w:r>
      <w:r>
        <w:rPr>
          <w:rFonts w:hint="cs"/>
          <w:rtl/>
        </w:rPr>
        <w:t xml:space="preserve"> כמו דהקשה </w:t>
      </w:r>
      <w:r w:rsidRPr="00881206">
        <w:rPr>
          <w:rStyle w:val="af9"/>
          <w:rFonts w:hint="cs"/>
          <w:rtl/>
        </w:rPr>
        <w:t>הרמב"ן</w:t>
      </w:r>
      <w:r>
        <w:rPr>
          <w:rFonts w:hint="cs"/>
          <w:rtl/>
        </w:rPr>
        <w:t xml:space="preserve"> </w:t>
      </w:r>
      <w:r w:rsidRPr="008F1843">
        <w:rPr>
          <w:rStyle w:val="af7"/>
          <w:rFonts w:eastAsia="Guttman Hodes" w:hint="cs"/>
          <w:rtl/>
        </w:rPr>
        <w:t xml:space="preserve">(עי' אות </w:t>
      </w:r>
      <w:r w:rsidRPr="008F1843">
        <w:rPr>
          <w:rStyle w:val="af7"/>
          <w:rFonts w:eastAsia="Guttman Hodes"/>
          <w:rtl/>
        </w:rPr>
        <w:fldChar w:fldCharType="begin"/>
      </w:r>
      <w:r w:rsidRPr="008F1843">
        <w:rPr>
          <w:rStyle w:val="af7"/>
          <w:rFonts w:eastAsia="Guttman Hodes"/>
          <w:rtl/>
        </w:rPr>
        <w:instrText xml:space="preserve"> </w:instrText>
      </w:r>
      <w:r w:rsidRPr="008F1843">
        <w:rPr>
          <w:rStyle w:val="af7"/>
          <w:rFonts w:eastAsia="Guttman Hodes" w:hint="cs"/>
        </w:rPr>
        <w:instrText>REF</w:instrText>
      </w:r>
      <w:r w:rsidRPr="008F1843">
        <w:rPr>
          <w:rStyle w:val="af7"/>
          <w:rFonts w:eastAsia="Guttman Hodes" w:hint="cs"/>
          <w:rtl/>
        </w:rPr>
        <w:instrText xml:space="preserve"> _</w:instrText>
      </w:r>
      <w:r w:rsidRPr="008F1843">
        <w:rPr>
          <w:rStyle w:val="af7"/>
          <w:rFonts w:eastAsia="Guttman Hodes" w:hint="cs"/>
        </w:rPr>
        <w:instrText>Ref58762398 \r \h</w:instrText>
      </w:r>
      <w:r w:rsidRPr="008F1843">
        <w:rPr>
          <w:rStyle w:val="af7"/>
          <w:rFonts w:eastAsia="Guttman Hodes"/>
          <w:rtl/>
        </w:rPr>
        <w:instrText xml:space="preserve"> </w:instrText>
      </w:r>
      <w:r w:rsidRPr="008F1843">
        <w:rPr>
          <w:rStyle w:val="af7"/>
          <w:rFonts w:eastAsia="Guttman Hodes"/>
          <w:rtl/>
        </w:rPr>
      </w:r>
      <w:r w:rsidRPr="008F1843">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8F1843">
        <w:rPr>
          <w:rStyle w:val="af7"/>
          <w:rFonts w:eastAsia="Guttman Hodes"/>
          <w:rtl/>
        </w:rPr>
        <w:fldChar w:fldCharType="end"/>
      </w:r>
      <w:r>
        <w:rPr>
          <w:rFonts w:hint="cs"/>
          <w:rtl/>
        </w:rPr>
        <w:t xml:space="preserve"> על </w:t>
      </w:r>
      <w:r w:rsidRPr="00881206">
        <w:rPr>
          <w:rStyle w:val="af9"/>
          <w:rFonts w:hint="cs"/>
          <w:rtl/>
        </w:rPr>
        <w:t>הרשב"ם</w:t>
      </w:r>
      <w:r>
        <w:rPr>
          <w:rFonts w:hint="cs"/>
          <w:rtl/>
        </w:rPr>
        <w:t xml:space="preserve">, דכשיש עדים דדר בה חד יומא אמאי לא טענינן ללוקח, וכדביאר </w:t>
      </w:r>
      <w:r w:rsidRPr="00881206">
        <w:rPr>
          <w:rStyle w:val="af9"/>
          <w:rFonts w:hint="cs"/>
          <w:rtl/>
        </w:rPr>
        <w:t>המשל"מ</w:t>
      </w:r>
      <w:r>
        <w:rPr>
          <w:rFonts w:hint="cs"/>
          <w:rtl/>
        </w:rPr>
        <w:t xml:space="preserve"> </w:t>
      </w:r>
      <w:r w:rsidRPr="0079097B">
        <w:rPr>
          <w:rStyle w:val="af7"/>
          <w:rFonts w:eastAsia="Guttman Hodes" w:hint="cs"/>
          <w:rtl/>
        </w:rPr>
        <w:t xml:space="preserve">(עי' אות </w:t>
      </w:r>
      <w:r w:rsidRPr="0079097B">
        <w:rPr>
          <w:rStyle w:val="af7"/>
          <w:rFonts w:eastAsia="Guttman Hodes"/>
          <w:rtl/>
        </w:rPr>
        <w:fldChar w:fldCharType="begin"/>
      </w:r>
      <w:r w:rsidRPr="0079097B">
        <w:rPr>
          <w:rStyle w:val="af7"/>
          <w:rFonts w:eastAsia="Guttman Hodes"/>
          <w:rtl/>
        </w:rPr>
        <w:instrText xml:space="preserve"> </w:instrText>
      </w:r>
      <w:r w:rsidRPr="0079097B">
        <w:rPr>
          <w:rStyle w:val="af7"/>
          <w:rFonts w:eastAsia="Guttman Hodes" w:hint="cs"/>
        </w:rPr>
        <w:instrText>REF</w:instrText>
      </w:r>
      <w:r w:rsidRPr="0079097B">
        <w:rPr>
          <w:rStyle w:val="af7"/>
          <w:rFonts w:eastAsia="Guttman Hodes" w:hint="cs"/>
          <w:rtl/>
        </w:rPr>
        <w:instrText xml:space="preserve"> _</w:instrText>
      </w:r>
      <w:r w:rsidRPr="0079097B">
        <w:rPr>
          <w:rStyle w:val="af7"/>
          <w:rFonts w:eastAsia="Guttman Hodes" w:hint="cs"/>
        </w:rPr>
        <w:instrText>Ref59785728 \r \h</w:instrText>
      </w:r>
      <w:r w:rsidRPr="0079097B">
        <w:rPr>
          <w:rStyle w:val="af7"/>
          <w:rFonts w:eastAsia="Guttman Hodes"/>
          <w:rtl/>
        </w:rPr>
        <w:instrText xml:space="preserve"> </w:instrText>
      </w:r>
      <w:r w:rsidRPr="0079097B">
        <w:rPr>
          <w:rStyle w:val="af7"/>
          <w:rFonts w:eastAsia="Guttman Hodes"/>
          <w:rtl/>
        </w:rPr>
      </w:r>
      <w:r w:rsidRPr="0079097B">
        <w:rPr>
          <w:rStyle w:val="af7"/>
          <w:rFonts w:eastAsia="Guttman Hodes"/>
          <w:rtl/>
        </w:rPr>
        <w:fldChar w:fldCharType="separate"/>
      </w:r>
      <w:r w:rsidR="00265073">
        <w:rPr>
          <w:rStyle w:val="af7"/>
          <w:rFonts w:eastAsia="Guttman Hodes"/>
          <w:cs/>
        </w:rPr>
        <w:t>‎</w:t>
      </w:r>
      <w:r w:rsidR="00265073">
        <w:rPr>
          <w:rStyle w:val="af7"/>
          <w:rFonts w:eastAsia="Guttman Hodes"/>
          <w:rtl/>
        </w:rPr>
        <w:t>נה)</w:t>
      </w:r>
      <w:r w:rsidRPr="0079097B">
        <w:rPr>
          <w:rStyle w:val="af7"/>
          <w:rFonts w:eastAsia="Guttman Hodes"/>
          <w:rtl/>
        </w:rPr>
        <w:fldChar w:fldCharType="end"/>
      </w:r>
      <w:r>
        <w:rPr>
          <w:rFonts w:hint="cs"/>
          <w:rtl/>
        </w:rPr>
        <w:t xml:space="preserve"> דכוונת </w:t>
      </w:r>
      <w:r w:rsidRPr="00881206">
        <w:rPr>
          <w:rStyle w:val="af9"/>
          <w:rFonts w:hint="cs"/>
          <w:rtl/>
        </w:rPr>
        <w:t>הרא"ש</w:t>
      </w:r>
      <w:r>
        <w:rPr>
          <w:rFonts w:hint="cs"/>
          <w:rtl/>
        </w:rPr>
        <w:t xml:space="preserve"> לדחות את דעת </w:t>
      </w:r>
      <w:r w:rsidRPr="00881206">
        <w:rPr>
          <w:rStyle w:val="af9"/>
          <w:rFonts w:hint="cs"/>
          <w:rtl/>
        </w:rPr>
        <w:t>רבינו</w:t>
      </w:r>
      <w:r>
        <w:rPr>
          <w:rFonts w:hint="cs"/>
          <w:rtl/>
        </w:rPr>
        <w:t xml:space="preserve"> </w:t>
      </w:r>
      <w:r w:rsidRPr="00881206">
        <w:rPr>
          <w:rStyle w:val="af9"/>
          <w:rFonts w:hint="cs"/>
          <w:rtl/>
        </w:rPr>
        <w:t>יונה</w:t>
      </w:r>
      <w:r>
        <w:rPr>
          <w:rFonts w:hint="cs"/>
          <w:rtl/>
        </w:rPr>
        <w:t xml:space="preserve">, דאף שהמחזיק לא הודה בפירוש, מ"מ מוציאין מידו, כיון שאין לו מיגו, וממילא חוזרת קושית </w:t>
      </w:r>
      <w:r w:rsidRPr="00881206">
        <w:rPr>
          <w:rStyle w:val="af9"/>
          <w:rFonts w:hint="cs"/>
          <w:rtl/>
        </w:rPr>
        <w:t>הרא"ש</w:t>
      </w:r>
      <w:r>
        <w:rPr>
          <w:rFonts w:hint="cs"/>
          <w:rtl/>
        </w:rPr>
        <w:t xml:space="preserve"> על </w:t>
      </w:r>
      <w:r w:rsidRPr="00881206">
        <w:rPr>
          <w:rStyle w:val="af9"/>
          <w:rFonts w:hint="cs"/>
          <w:rtl/>
        </w:rPr>
        <w:t>הרשב"ם</w:t>
      </w:r>
      <w:r>
        <w:rPr>
          <w:rFonts w:hint="cs"/>
          <w:rtl/>
        </w:rPr>
        <w:t>, דכשיש לו עידי חד יומא</w:t>
      </w:r>
      <w:r>
        <w:rPr>
          <w:rFonts w:asciiTheme="minorHAnsi" w:hAnsiTheme="minorHAnsi" w:hint="cs"/>
          <w:rtl/>
        </w:rPr>
        <w:t xml:space="preserve"> אמאי לא טענינן ליה,</w:t>
      </w:r>
      <w:r>
        <w:rPr>
          <w:rFonts w:hint="cs"/>
          <w:rtl/>
        </w:rPr>
        <w:t xml:space="preserve"> כתב </w:t>
      </w:r>
      <w:r w:rsidRPr="00881206">
        <w:rPr>
          <w:rStyle w:val="af9"/>
          <w:rFonts w:hint="cs"/>
          <w:rtl/>
        </w:rPr>
        <w:t>המשל"מ</w:t>
      </w:r>
      <w:r>
        <w:rPr>
          <w:rFonts w:hint="cs"/>
          <w:rtl/>
        </w:rPr>
        <w:t xml:space="preserve"> דא"כ מבואר דס"ל </w:t>
      </w:r>
      <w:r w:rsidRPr="00881206">
        <w:rPr>
          <w:rStyle w:val="af9"/>
          <w:rFonts w:hint="cs"/>
          <w:rtl/>
        </w:rPr>
        <w:t>להרא"ש</w:t>
      </w:r>
      <w:r>
        <w:rPr>
          <w:rFonts w:hint="cs"/>
          <w:rtl/>
        </w:rPr>
        <w:t xml:space="preserve"> דכל שהמוכר הודה בעצמו שהקרקע הייתה של המערער, ודאי דס"ל </w:t>
      </w:r>
      <w:r w:rsidRPr="00881206">
        <w:rPr>
          <w:rStyle w:val="af9"/>
          <w:rFonts w:hint="cs"/>
          <w:rtl/>
        </w:rPr>
        <w:t>להרא"ש</w:t>
      </w:r>
      <w:r>
        <w:rPr>
          <w:rFonts w:hint="cs"/>
          <w:rtl/>
        </w:rPr>
        <w:t xml:space="preserve"> דלא טענינן ליה, כדהביא </w:t>
      </w:r>
      <w:r w:rsidRPr="00881206">
        <w:rPr>
          <w:rStyle w:val="af9"/>
          <w:rFonts w:hint="cs"/>
          <w:rtl/>
        </w:rPr>
        <w:t>הרא"ש</w:t>
      </w:r>
      <w:r>
        <w:rPr>
          <w:rFonts w:hint="cs"/>
          <w:rtl/>
        </w:rPr>
        <w:t xml:space="preserve"> </w:t>
      </w:r>
      <w:r w:rsidRPr="008F1843">
        <w:rPr>
          <w:rStyle w:val="af7"/>
          <w:rFonts w:eastAsia="Guttman Hodes" w:hint="cs"/>
          <w:rtl/>
        </w:rPr>
        <w:t xml:space="preserve">(עי' אות </w:t>
      </w:r>
      <w:r w:rsidRPr="008F1843">
        <w:rPr>
          <w:rStyle w:val="af7"/>
          <w:rFonts w:eastAsia="Guttman Hodes"/>
          <w:rtl/>
        </w:rPr>
        <w:fldChar w:fldCharType="begin"/>
      </w:r>
      <w:r w:rsidRPr="008F1843">
        <w:rPr>
          <w:rStyle w:val="af7"/>
          <w:rFonts w:eastAsia="Guttman Hodes"/>
          <w:rtl/>
        </w:rPr>
        <w:instrText xml:space="preserve"> </w:instrText>
      </w:r>
      <w:r w:rsidRPr="008F1843">
        <w:rPr>
          <w:rStyle w:val="af7"/>
          <w:rFonts w:eastAsia="Guttman Hodes" w:hint="cs"/>
        </w:rPr>
        <w:instrText>REF</w:instrText>
      </w:r>
      <w:r w:rsidRPr="008F1843">
        <w:rPr>
          <w:rStyle w:val="af7"/>
          <w:rFonts w:eastAsia="Guttman Hodes" w:hint="cs"/>
          <w:rtl/>
        </w:rPr>
        <w:instrText xml:space="preserve"> _</w:instrText>
      </w:r>
      <w:r w:rsidRPr="008F1843">
        <w:rPr>
          <w:rStyle w:val="af7"/>
          <w:rFonts w:eastAsia="Guttman Hodes" w:hint="cs"/>
        </w:rPr>
        <w:instrText>Ref59024352 \r \h</w:instrText>
      </w:r>
      <w:r w:rsidRPr="008F1843">
        <w:rPr>
          <w:rStyle w:val="af7"/>
          <w:rFonts w:eastAsia="Guttman Hodes"/>
          <w:rtl/>
        </w:rPr>
        <w:instrText xml:space="preserve"> </w:instrText>
      </w:r>
      <w:r w:rsidRPr="008F1843">
        <w:rPr>
          <w:rStyle w:val="af7"/>
          <w:rFonts w:eastAsia="Guttman Hodes"/>
          <w:rtl/>
        </w:rPr>
      </w:r>
      <w:r w:rsidRPr="008F1843">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8F1843">
        <w:rPr>
          <w:rStyle w:val="af7"/>
          <w:rFonts w:eastAsia="Guttman Hodes"/>
          <w:rtl/>
        </w:rPr>
        <w:fldChar w:fldCharType="end"/>
      </w:r>
      <w:r>
        <w:rPr>
          <w:rFonts w:hint="cs"/>
          <w:rtl/>
        </w:rPr>
        <w:t xml:space="preserve"> בשם </w:t>
      </w:r>
      <w:r w:rsidRPr="008F1843">
        <w:rPr>
          <w:rStyle w:val="af9"/>
          <w:rFonts w:hint="cs"/>
          <w:rtl/>
        </w:rPr>
        <w:t>רבינו יונה</w:t>
      </w:r>
      <w:r>
        <w:rPr>
          <w:rFonts w:hint="cs"/>
          <w:rtl/>
        </w:rPr>
        <w:t xml:space="preserve">, וכ"מ </w:t>
      </w:r>
      <w:r w:rsidRPr="00881206">
        <w:rPr>
          <w:rStyle w:val="af9"/>
          <w:rFonts w:hint="cs"/>
          <w:rtl/>
        </w:rPr>
        <w:t>דהרא"ש</w:t>
      </w:r>
      <w:r>
        <w:rPr>
          <w:rFonts w:hint="cs"/>
          <w:rtl/>
        </w:rPr>
        <w:t xml:space="preserve"> נחלק על </w:t>
      </w:r>
      <w:r w:rsidRPr="00881206">
        <w:rPr>
          <w:rStyle w:val="af9"/>
          <w:rFonts w:hint="cs"/>
          <w:rtl/>
        </w:rPr>
        <w:t>רבינו</w:t>
      </w:r>
      <w:r>
        <w:rPr>
          <w:rFonts w:hint="cs"/>
          <w:rtl/>
        </w:rPr>
        <w:t xml:space="preserve"> </w:t>
      </w:r>
      <w:r w:rsidRPr="00881206">
        <w:rPr>
          <w:rStyle w:val="af9"/>
          <w:rFonts w:hint="cs"/>
          <w:rtl/>
        </w:rPr>
        <w:t>יונה</w:t>
      </w:r>
      <w:r>
        <w:rPr>
          <w:rFonts w:hint="cs"/>
          <w:rtl/>
        </w:rPr>
        <w:t xml:space="preserve">, הוא רק באופן שלא הודה מעצמו, ורק שמע כן מפי המוכר, ואין למחזיק עדים דדר בה המוכר חד יומא, דלדעת </w:t>
      </w:r>
      <w:r w:rsidRPr="00881206">
        <w:rPr>
          <w:rStyle w:val="af9"/>
          <w:rFonts w:hint="cs"/>
          <w:rtl/>
        </w:rPr>
        <w:t>רבינו</w:t>
      </w:r>
      <w:r>
        <w:rPr>
          <w:rFonts w:hint="cs"/>
          <w:rtl/>
        </w:rPr>
        <w:t xml:space="preserve"> </w:t>
      </w:r>
      <w:r w:rsidRPr="00881206">
        <w:rPr>
          <w:rStyle w:val="af9"/>
          <w:rFonts w:hint="cs"/>
          <w:rtl/>
        </w:rPr>
        <w:t>יונה</w:t>
      </w:r>
      <w:r>
        <w:rPr>
          <w:rFonts w:hint="cs"/>
          <w:rtl/>
        </w:rPr>
        <w:t xml:space="preserve"> אין מוציאין מהמחזיק, וס"ל </w:t>
      </w:r>
      <w:r w:rsidRPr="00881206">
        <w:rPr>
          <w:rStyle w:val="af9"/>
          <w:rFonts w:hint="cs"/>
          <w:rtl/>
        </w:rPr>
        <w:t>כרמב"ן</w:t>
      </w:r>
      <w:r>
        <w:rPr>
          <w:rFonts w:hint="cs"/>
          <w:rtl/>
        </w:rPr>
        <w:t xml:space="preserve"> דטענינן ליה, ולדעת </w:t>
      </w:r>
      <w:r w:rsidRPr="00881206">
        <w:rPr>
          <w:rStyle w:val="af9"/>
          <w:rFonts w:hint="cs"/>
          <w:rtl/>
        </w:rPr>
        <w:t>הרא"ש</w:t>
      </w:r>
      <w:r>
        <w:rPr>
          <w:rFonts w:hint="cs"/>
          <w:rtl/>
        </w:rPr>
        <w:t xml:space="preserve"> מוציאין ממנו כיון שאין לו מיגו, וכדעת </w:t>
      </w:r>
      <w:r w:rsidRPr="00881206">
        <w:rPr>
          <w:rStyle w:val="af9"/>
          <w:rFonts w:hint="cs"/>
          <w:rtl/>
        </w:rPr>
        <w:t>הראב"ד</w:t>
      </w:r>
      <w:r>
        <w:rPr>
          <w:rFonts w:hint="cs"/>
          <w:rtl/>
        </w:rPr>
        <w:t xml:space="preserve"> </w:t>
      </w:r>
      <w:r w:rsidRPr="009A63AE">
        <w:rPr>
          <w:rStyle w:val="af9"/>
          <w:rFonts w:hint="cs"/>
          <w:rtl/>
        </w:rPr>
        <w:t>בשיטמ"ק</w:t>
      </w:r>
      <w:r>
        <w:rPr>
          <w:rFonts w:hint="cs"/>
          <w:rtl/>
        </w:rPr>
        <w:t xml:space="preserve"> </w:t>
      </w:r>
      <w:r w:rsidRPr="00015123">
        <w:rPr>
          <w:rStyle w:val="af7"/>
          <w:rFonts w:eastAsia="Guttman Hodes" w:hint="cs"/>
          <w:rtl/>
        </w:rPr>
        <w:t>(ד"ה האי</w:t>
      </w:r>
      <w:r w:rsidRPr="00B628DF">
        <w:rPr>
          <w:rStyle w:val="af7"/>
          <w:rFonts w:eastAsia="Guttman Hodes" w:hint="cs"/>
          <w:rtl/>
        </w:rPr>
        <w:t xml:space="preserve"> מעשה, הובא בסימן ח' אות ל"ד)</w:t>
      </w:r>
      <w:r>
        <w:rPr>
          <w:rFonts w:hint="cs"/>
          <w:rtl/>
        </w:rPr>
        <w:t>.</w:t>
      </w:r>
    </w:p>
    <w:p w:rsidR="000E75A3" w:rsidRDefault="000E75A3" w:rsidP="000E75A3">
      <w:pPr>
        <w:pStyle w:val="a3"/>
        <w:rPr>
          <w:rtl/>
        </w:rPr>
      </w:pPr>
      <w:bookmarkStart w:id="9688" w:name="_Toc59786787"/>
      <w:bookmarkStart w:id="9689" w:name="_Toc59802601"/>
      <w:bookmarkStart w:id="9690" w:name="_Toc59916162"/>
      <w:r>
        <w:rPr>
          <w:rFonts w:hint="cs"/>
          <w:rtl/>
        </w:rPr>
        <w:t>דחיית המשל"מ דאפש"ל דאף הרא"ש מודה דטענינן בעידי חד יומא אף כשאין לו חזקה</w:t>
      </w:r>
      <w:bookmarkEnd w:id="9688"/>
      <w:bookmarkEnd w:id="9689"/>
      <w:bookmarkEnd w:id="9690"/>
    </w:p>
    <w:p w:rsidR="000E75A3" w:rsidRPr="000664C3" w:rsidRDefault="000E75A3" w:rsidP="007E4E81">
      <w:pPr>
        <w:pStyle w:val="a0"/>
        <w:rPr>
          <w:rtl/>
        </w:rPr>
      </w:pPr>
      <w:r>
        <w:rPr>
          <w:rFonts w:hint="cs"/>
          <w:rtl/>
        </w:rPr>
        <w:t xml:space="preserve">אך כתב </w:t>
      </w:r>
      <w:r w:rsidRPr="006C1DC0">
        <w:rPr>
          <w:rStyle w:val="af9"/>
          <w:rFonts w:hint="cs"/>
          <w:rtl/>
        </w:rPr>
        <w:t>המשל"מ</w:t>
      </w:r>
      <w:r>
        <w:rPr>
          <w:rFonts w:hint="cs"/>
          <w:rtl/>
        </w:rPr>
        <w:t xml:space="preserve"> דאפשר לדחות ולומר דאעפ"י </w:t>
      </w:r>
      <w:r w:rsidRPr="006C1DC0">
        <w:rPr>
          <w:rStyle w:val="af9"/>
          <w:rFonts w:hint="cs"/>
          <w:rtl/>
        </w:rPr>
        <w:t>דהרא"ש</w:t>
      </w:r>
      <w:r>
        <w:rPr>
          <w:rFonts w:hint="cs"/>
          <w:rtl/>
        </w:rPr>
        <w:t xml:space="preserve"> ס"ל </w:t>
      </w:r>
      <w:r w:rsidRPr="000C52EE">
        <w:rPr>
          <w:rStyle w:val="af9"/>
          <w:rFonts w:hint="cs"/>
          <w:rtl/>
        </w:rPr>
        <w:t>כהראב"ד</w:t>
      </w:r>
      <w:r>
        <w:rPr>
          <w:rFonts w:hint="cs"/>
          <w:rtl/>
        </w:rPr>
        <w:t xml:space="preserve">, מ"מ אפש"ל דמודה </w:t>
      </w:r>
      <w:r w:rsidRPr="006C1DC0">
        <w:rPr>
          <w:rStyle w:val="af9"/>
          <w:rFonts w:hint="cs"/>
          <w:rtl/>
        </w:rPr>
        <w:t>ה</w:t>
      </w:r>
      <w:r w:rsidRPr="0079097B">
        <w:rPr>
          <w:rStyle w:val="af9"/>
          <w:rFonts w:hint="cs"/>
          <w:rtl/>
        </w:rPr>
        <w:t>רא"ש</w:t>
      </w:r>
      <w:r w:rsidRPr="0079097B">
        <w:rPr>
          <w:rFonts w:hint="cs"/>
          <w:rtl/>
        </w:rPr>
        <w:t xml:space="preserve"> דטענינן כשיש למחזיק עדים דדר בה המוכר חד יומא, וכתב </w:t>
      </w:r>
      <w:r w:rsidRPr="0079097B">
        <w:rPr>
          <w:rStyle w:val="af9"/>
          <w:rFonts w:hint="cs"/>
          <w:rtl/>
        </w:rPr>
        <w:t>המשל"מ</w:t>
      </w:r>
      <w:r w:rsidRPr="0079097B">
        <w:rPr>
          <w:rFonts w:hint="cs"/>
          <w:rtl/>
        </w:rPr>
        <w:t xml:space="preserve"> דאפש"ל דאף </w:t>
      </w:r>
      <w:r w:rsidRPr="0079097B">
        <w:rPr>
          <w:rStyle w:val="af9"/>
          <w:rFonts w:hint="cs"/>
          <w:rtl/>
        </w:rPr>
        <w:t>הראב"ד</w:t>
      </w:r>
      <w:r w:rsidRPr="0079097B">
        <w:rPr>
          <w:rFonts w:hint="cs"/>
          <w:rtl/>
        </w:rPr>
        <w:t xml:space="preserve"> מודה בכה"ג.</w:t>
      </w:r>
    </w:p>
    <w:p w:rsidR="000E75A3" w:rsidRPr="00EA46FC" w:rsidRDefault="000E75A3" w:rsidP="000E75A3">
      <w:pPr>
        <w:pStyle w:val="afe"/>
        <w:rPr>
          <w:rtl/>
        </w:rPr>
      </w:pPr>
      <w:bookmarkStart w:id="9691" w:name="_Toc59741653"/>
      <w:bookmarkStart w:id="9692" w:name="_Toc59786788"/>
      <w:bookmarkStart w:id="9693" w:name="_Toc59802602"/>
      <w:bookmarkStart w:id="9694" w:name="_Toc59916163"/>
      <w:r>
        <w:rPr>
          <w:rFonts w:hint="cs"/>
          <w:rtl/>
        </w:rPr>
        <w:t>בטענת קמי דידי זבנה מינך עם חזקה</w:t>
      </w:r>
      <w:bookmarkEnd w:id="9333"/>
      <w:bookmarkEnd w:id="9334"/>
      <w:bookmarkEnd w:id="9335"/>
      <w:bookmarkEnd w:id="9557"/>
      <w:bookmarkEnd w:id="9594"/>
      <w:bookmarkEnd w:id="9595"/>
      <w:bookmarkEnd w:id="9691"/>
      <w:bookmarkEnd w:id="9692"/>
      <w:bookmarkEnd w:id="9693"/>
      <w:bookmarkEnd w:id="9694"/>
    </w:p>
    <w:p w:rsidR="000E75A3" w:rsidRPr="00D504C8" w:rsidRDefault="000E75A3" w:rsidP="000E75A3">
      <w:pPr>
        <w:pStyle w:val="1"/>
        <w:rPr>
          <w:rtl/>
        </w:rPr>
      </w:pPr>
      <w:bookmarkStart w:id="9695" w:name="_Toc57925935"/>
      <w:bookmarkStart w:id="9696" w:name="_Toc58091627"/>
      <w:bookmarkStart w:id="9697" w:name="_Toc58144903"/>
      <w:bookmarkStart w:id="9698" w:name="_Toc58272588"/>
      <w:bookmarkStart w:id="9699" w:name="_Toc58325019"/>
      <w:bookmarkStart w:id="9700" w:name="_Toc58359160"/>
      <w:bookmarkStart w:id="9701" w:name="_Toc58409422"/>
      <w:bookmarkStart w:id="9702" w:name="_Toc58432659"/>
      <w:bookmarkStart w:id="9703" w:name="_Toc58532473"/>
      <w:bookmarkStart w:id="9704" w:name="_Toc58580092"/>
      <w:bookmarkStart w:id="9705" w:name="_Toc59113216"/>
      <w:bookmarkStart w:id="9706" w:name="_Toc59136929"/>
      <w:bookmarkStart w:id="9707" w:name="_Toc59361618"/>
      <w:bookmarkStart w:id="9708" w:name="_Toc59464630"/>
      <w:bookmarkStart w:id="9709" w:name="_Toc59490134"/>
      <w:bookmarkStart w:id="9710" w:name="_Toc59620304"/>
      <w:bookmarkStart w:id="9711" w:name="_Toc59643576"/>
      <w:bookmarkStart w:id="9712" w:name="_Toc59741654"/>
      <w:bookmarkStart w:id="9713" w:name="_Toc59786789"/>
      <w:bookmarkStart w:id="9714" w:name="_Toc59802603"/>
      <w:bookmarkStart w:id="9715" w:name="_Toc59916164"/>
      <w:r>
        <w:rPr>
          <w:rFonts w:hint="cs"/>
          <w:rtl/>
        </w:rPr>
        <w:t xml:space="preserve">דברי הרשב"ם דכשיש </w:t>
      </w:r>
      <w:r w:rsidRPr="00D504C8">
        <w:rPr>
          <w:rFonts w:hint="cs"/>
          <w:rtl/>
        </w:rPr>
        <w:t>חזקה וטוען ברי נאמן במיגו</w:t>
      </w:r>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p>
    <w:p w:rsidR="000E75A3" w:rsidRPr="00D504C8" w:rsidRDefault="000E75A3" w:rsidP="000E75A3">
      <w:pPr>
        <w:pStyle w:val="a3"/>
        <w:rPr>
          <w:rtl/>
        </w:rPr>
      </w:pPr>
      <w:bookmarkStart w:id="9716" w:name="_Toc59113217"/>
      <w:bookmarkStart w:id="9717" w:name="_Toc59136930"/>
      <w:bookmarkStart w:id="9718" w:name="_Toc59361619"/>
      <w:bookmarkStart w:id="9719" w:name="_Toc59464631"/>
      <w:bookmarkStart w:id="9720" w:name="_Toc59490135"/>
      <w:bookmarkStart w:id="9721" w:name="_Toc59620305"/>
      <w:bookmarkStart w:id="9722" w:name="_Toc59643577"/>
      <w:bookmarkStart w:id="9723" w:name="_Toc59741655"/>
      <w:bookmarkStart w:id="9724" w:name="_Toc59786790"/>
      <w:bookmarkStart w:id="9725" w:name="_Toc59802604"/>
      <w:bookmarkStart w:id="9726" w:name="_Toc59916165"/>
      <w:r>
        <w:rPr>
          <w:rFonts w:hint="cs"/>
          <w:rtl/>
        </w:rPr>
        <w:t>דברי הרשב"ם דבטוען המחזיק טענת ברי דקמי דידי ויש לו חזקת ג"ש נאמן במיגו דמינך זבינתה</w:t>
      </w:r>
      <w:bookmarkEnd w:id="9716"/>
      <w:bookmarkEnd w:id="9717"/>
      <w:bookmarkEnd w:id="9718"/>
      <w:bookmarkEnd w:id="9719"/>
      <w:bookmarkEnd w:id="9720"/>
      <w:bookmarkEnd w:id="9721"/>
      <w:bookmarkEnd w:id="9722"/>
      <w:bookmarkEnd w:id="9723"/>
      <w:bookmarkEnd w:id="9724"/>
      <w:bookmarkEnd w:id="9725"/>
      <w:bookmarkEnd w:id="9726"/>
    </w:p>
    <w:p w:rsidR="000E75A3" w:rsidRDefault="000E75A3" w:rsidP="007E4E81">
      <w:pPr>
        <w:pStyle w:val="a0"/>
        <w:rPr>
          <w:sz w:val="10"/>
          <w:szCs w:val="14"/>
          <w:rtl/>
        </w:rPr>
      </w:pPr>
      <w:bookmarkStart w:id="9727" w:name="_Ref59546095"/>
      <w:bookmarkStart w:id="9728" w:name="_Ref59047633"/>
      <w:r w:rsidRPr="00D504C8">
        <w:rPr>
          <w:rFonts w:hint="cs"/>
          <w:rtl/>
        </w:rPr>
        <w:t xml:space="preserve">כתב </w:t>
      </w:r>
      <w:r w:rsidRPr="00D504C8">
        <w:rPr>
          <w:rStyle w:val="af9"/>
          <w:rFonts w:hint="cs"/>
          <w:rtl/>
        </w:rPr>
        <w:t>הרשב"ם</w:t>
      </w:r>
      <w:r w:rsidRPr="00D504C8">
        <w:rPr>
          <w:rFonts w:hint="cs"/>
          <w:rtl/>
        </w:rPr>
        <w:t xml:space="preserve"> </w:t>
      </w:r>
      <w:r w:rsidRPr="00346AF3">
        <w:rPr>
          <w:rStyle w:val="af7"/>
          <w:rFonts w:eastAsia="Guttman Hodes" w:hint="cs"/>
          <w:rtl/>
        </w:rPr>
        <w:t>(ד"ה אמר ליה)</w:t>
      </w:r>
      <w:r w:rsidRPr="00D504C8">
        <w:rPr>
          <w:rFonts w:hint="cs"/>
          <w:rtl/>
        </w:rPr>
        <w:t xml:space="preserve"> דאם יש למחזיק חזקת ג"ש, וטוען המחזיק </w:t>
      </w:r>
      <w:r>
        <w:rPr>
          <w:rFonts w:hint="cs"/>
          <w:rtl/>
        </w:rPr>
        <w:t xml:space="preserve">למערער </w:t>
      </w:r>
      <w:r w:rsidRPr="00D504C8">
        <w:rPr>
          <w:rFonts w:hint="cs"/>
          <w:rtl/>
        </w:rPr>
        <w:t>קמי דידי זבנה מינך, דהיינו שהוא יודע בודאי שהמוכר קנאה מהמערער, הוא נאמן במיגו דהיה טוען למערער מינך זבינתה, ויש לו חזקת ג"ש</w:t>
      </w:r>
      <w:r>
        <w:rPr>
          <w:rFonts w:hint="cs"/>
          <w:rtl/>
        </w:rPr>
        <w:t xml:space="preserve">, ועי' במ"ש </w:t>
      </w:r>
      <w:r w:rsidRPr="007A198C">
        <w:rPr>
          <w:rStyle w:val="af9"/>
          <w:rFonts w:hint="cs"/>
          <w:rtl/>
        </w:rPr>
        <w:t>הדרישה</w:t>
      </w:r>
      <w:r>
        <w:rPr>
          <w:rFonts w:hint="cs"/>
          <w:rtl/>
        </w:rPr>
        <w:t xml:space="preserve"> </w:t>
      </w:r>
      <w:r>
        <w:rPr>
          <w:rStyle w:val="af9"/>
          <w:rFonts w:hint="cs"/>
          <w:rtl/>
        </w:rPr>
        <w:t>ו</w:t>
      </w:r>
      <w:r w:rsidRPr="00A16FA8">
        <w:rPr>
          <w:rStyle w:val="af9"/>
          <w:rFonts w:hint="cs"/>
          <w:rtl/>
        </w:rPr>
        <w:t>הבית הלוי</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Ref59700825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Pr>
          <w:rStyle w:val="af7"/>
          <w:rFonts w:eastAsia="Guttman Hodes"/>
          <w:rtl/>
        </w:rPr>
        <w:fldChar w:fldCharType="end"/>
      </w:r>
      <w:r w:rsidRPr="00F71994">
        <w:rPr>
          <w:rStyle w:val="af7"/>
          <w:rFonts w:eastAsia="Guttman Hodes" w:hint="cs"/>
          <w:rtl/>
        </w:rPr>
        <w:t xml:space="preserve"> </w:t>
      </w:r>
      <w:r>
        <w:rPr>
          <w:rFonts w:hint="cs"/>
          <w:rtl/>
        </w:rPr>
        <w:t xml:space="preserve">בדעת </w:t>
      </w:r>
      <w:r w:rsidRPr="007A198C">
        <w:rPr>
          <w:rStyle w:val="af9"/>
          <w:rFonts w:hint="cs"/>
          <w:rtl/>
        </w:rPr>
        <w:t>הרשב"ם</w:t>
      </w:r>
      <w:r>
        <w:rPr>
          <w:rFonts w:hint="cs"/>
          <w:rtl/>
        </w:rPr>
        <w:t>.</w:t>
      </w:r>
      <w:bookmarkEnd w:id="9727"/>
    </w:p>
    <w:p w:rsidR="000E75A3" w:rsidRDefault="000E75A3" w:rsidP="000E75A3">
      <w:pPr>
        <w:pStyle w:val="a3"/>
        <w:rPr>
          <w:rtl/>
        </w:rPr>
      </w:pPr>
      <w:bookmarkStart w:id="9729" w:name="_Toc59620306"/>
      <w:bookmarkStart w:id="9730" w:name="_Toc59643578"/>
      <w:bookmarkStart w:id="9731" w:name="_Toc59741656"/>
      <w:bookmarkStart w:id="9732" w:name="_Toc59786791"/>
      <w:bookmarkStart w:id="9733" w:name="_Toc59802605"/>
      <w:bookmarkStart w:id="9734" w:name="_Toc59916166"/>
      <w:r>
        <w:rPr>
          <w:rFonts w:hint="cs"/>
          <w:rtl/>
        </w:rPr>
        <w:t>דברי הרמ"ה דבקמי דידי נאמן במיגו דכיון דבעידי חד יומא טענינן כ"ש בטוען טענת ברי דנאמן</w:t>
      </w:r>
      <w:bookmarkEnd w:id="9729"/>
      <w:bookmarkEnd w:id="9730"/>
      <w:bookmarkEnd w:id="9731"/>
      <w:bookmarkEnd w:id="9732"/>
      <w:bookmarkEnd w:id="9733"/>
      <w:bookmarkEnd w:id="9734"/>
    </w:p>
    <w:p w:rsidR="000E75A3" w:rsidRPr="00F4121D" w:rsidRDefault="000E75A3" w:rsidP="007E4E81">
      <w:pPr>
        <w:pStyle w:val="a0"/>
        <w:rPr>
          <w:rtl/>
        </w:rPr>
      </w:pPr>
      <w:r>
        <w:rPr>
          <w:rFonts w:hint="cs"/>
          <w:rtl/>
        </w:rPr>
        <w:t xml:space="preserve">וכ"כ </w:t>
      </w:r>
      <w:r w:rsidRPr="00197A02">
        <w:rPr>
          <w:rStyle w:val="af9"/>
          <w:rFonts w:hint="cs"/>
          <w:rtl/>
        </w:rPr>
        <w:t>היד רמ"ה</w:t>
      </w:r>
      <w:r>
        <w:rPr>
          <w:rFonts w:hint="cs"/>
          <w:rtl/>
        </w:rPr>
        <w:t xml:space="preserve"> </w:t>
      </w:r>
      <w:r w:rsidRPr="00197A02">
        <w:rPr>
          <w:rStyle w:val="af7"/>
          <w:rFonts w:eastAsia="Guttman Hodes" w:hint="cs"/>
          <w:rtl/>
        </w:rPr>
        <w:t>(או' ל"ג ד"ה והני מילי)</w:t>
      </w:r>
      <w:r>
        <w:rPr>
          <w:rFonts w:hint="cs"/>
          <w:rtl/>
        </w:rPr>
        <w:t xml:space="preserve"> דבמקום שטוען המחזיק קמי דידי זבנה מינך, </w:t>
      </w:r>
      <w:r w:rsidRPr="00EC4AE9">
        <w:rPr>
          <w:rStyle w:val="afb"/>
          <w:rFonts w:hint="cs"/>
          <w:rtl/>
        </w:rPr>
        <w:t>[ויש לו חזקת ג"ש],</w:t>
      </w:r>
      <w:r>
        <w:rPr>
          <w:rFonts w:hint="cs"/>
          <w:rtl/>
        </w:rPr>
        <w:t xml:space="preserve"> דנאמן במיגו, אף כשלא דר בה המוכר חד יומא, וכדכתב</w:t>
      </w:r>
      <w:r w:rsidRPr="005F03D6">
        <w:rPr>
          <w:rStyle w:val="af9"/>
          <w:rFonts w:hint="cs"/>
          <w:rtl/>
        </w:rPr>
        <w:t xml:space="preserve"> </w:t>
      </w:r>
      <w:r w:rsidRPr="00197A02">
        <w:rPr>
          <w:rStyle w:val="af9"/>
          <w:rFonts w:hint="cs"/>
          <w:rtl/>
        </w:rPr>
        <w:t>היד רמ"ה</w:t>
      </w:r>
      <w:r>
        <w:rPr>
          <w:rFonts w:hint="cs"/>
          <w:rtl/>
        </w:rPr>
        <w:t xml:space="preserve"> </w:t>
      </w:r>
      <w:r w:rsidRPr="009F39CD">
        <w:rPr>
          <w:rStyle w:val="af7"/>
          <w:rFonts w:eastAsia="Guttman Hodes" w:hint="cs"/>
          <w:rtl/>
        </w:rPr>
        <w:t xml:space="preserve">(עי' אות </w:t>
      </w:r>
      <w:r w:rsidRPr="009F39CD">
        <w:rPr>
          <w:rStyle w:val="af7"/>
          <w:rFonts w:eastAsia="Guttman Hodes"/>
          <w:rtl/>
        </w:rPr>
        <w:fldChar w:fldCharType="begin"/>
      </w:r>
      <w:r w:rsidRPr="009F39CD">
        <w:rPr>
          <w:rStyle w:val="af7"/>
          <w:rFonts w:eastAsia="Guttman Hodes"/>
          <w:rtl/>
        </w:rPr>
        <w:instrText xml:space="preserve"> </w:instrText>
      </w:r>
      <w:r w:rsidRPr="009F39CD">
        <w:rPr>
          <w:rStyle w:val="af7"/>
          <w:rFonts w:eastAsia="Guttman Hodes" w:hint="cs"/>
        </w:rPr>
        <w:instrText>REF</w:instrText>
      </w:r>
      <w:r w:rsidRPr="009F39CD">
        <w:rPr>
          <w:rStyle w:val="af7"/>
          <w:rFonts w:eastAsia="Guttman Hodes" w:hint="cs"/>
          <w:rtl/>
        </w:rPr>
        <w:instrText xml:space="preserve"> _</w:instrText>
      </w:r>
      <w:r w:rsidRPr="009F39CD">
        <w:rPr>
          <w:rStyle w:val="af7"/>
          <w:rFonts w:eastAsia="Guttman Hodes" w:hint="cs"/>
        </w:rPr>
        <w:instrText>Ref59352782 \r \h</w:instrText>
      </w:r>
      <w:r w:rsidRPr="009F39CD">
        <w:rPr>
          <w:rStyle w:val="af7"/>
          <w:rFonts w:eastAsia="Guttman Hodes"/>
          <w:rtl/>
        </w:rPr>
        <w:instrText xml:space="preserve"> </w:instrText>
      </w:r>
      <w:r w:rsidRPr="009F39CD">
        <w:rPr>
          <w:rStyle w:val="af7"/>
          <w:rFonts w:eastAsia="Guttman Hodes"/>
          <w:rtl/>
        </w:rPr>
      </w:r>
      <w:r w:rsidRPr="009F39CD">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9F39CD">
        <w:rPr>
          <w:rStyle w:val="af7"/>
          <w:rFonts w:eastAsia="Guttman Hodes"/>
          <w:rtl/>
        </w:rPr>
        <w:fldChar w:fldCharType="end"/>
      </w:r>
      <w:r>
        <w:rPr>
          <w:rFonts w:hint="cs"/>
          <w:rtl/>
        </w:rPr>
        <w:t xml:space="preserve"> דכשיש למחזיק חזקת ג"ש, ויש לו עדים דדר בה המוכר יום אחד אין מוציאין מידו, אעפ"י דאינו טוען טענת ברי, דטענינן ללוקח, וכ"ש כשטוען טענת ברי.</w:t>
      </w:r>
    </w:p>
    <w:p w:rsidR="000E75A3" w:rsidRDefault="000E75A3" w:rsidP="000E75A3">
      <w:pPr>
        <w:pStyle w:val="afe"/>
        <w:rPr>
          <w:rtl/>
        </w:rPr>
      </w:pPr>
      <w:bookmarkStart w:id="9735" w:name="_Toc59490136"/>
      <w:bookmarkStart w:id="9736" w:name="_Toc59620307"/>
      <w:bookmarkStart w:id="9737" w:name="_Toc59643579"/>
      <w:bookmarkStart w:id="9738" w:name="_Toc59741657"/>
      <w:bookmarkStart w:id="9739" w:name="_Toc59786792"/>
      <w:bookmarkStart w:id="9740" w:name="_Toc59802606"/>
      <w:bookmarkStart w:id="9741" w:name="_Toc59916167"/>
      <w:bookmarkEnd w:id="9728"/>
      <w:r>
        <w:rPr>
          <w:rFonts w:hint="cs"/>
          <w:rtl/>
        </w:rPr>
        <w:t>בי' הטור ברשב"ם דקמי דידי צריך חזקה</w:t>
      </w:r>
      <w:bookmarkEnd w:id="9336"/>
      <w:bookmarkEnd w:id="9337"/>
      <w:bookmarkEnd w:id="9338"/>
      <w:bookmarkEnd w:id="9339"/>
      <w:bookmarkEnd w:id="9340"/>
      <w:bookmarkEnd w:id="9341"/>
      <w:bookmarkEnd w:id="9342"/>
      <w:bookmarkEnd w:id="9343"/>
      <w:bookmarkEnd w:id="9344"/>
      <w:bookmarkEnd w:id="9735"/>
      <w:bookmarkEnd w:id="9736"/>
      <w:bookmarkEnd w:id="9737"/>
      <w:bookmarkEnd w:id="9738"/>
      <w:bookmarkEnd w:id="9739"/>
      <w:bookmarkEnd w:id="9740"/>
      <w:bookmarkEnd w:id="9741"/>
    </w:p>
    <w:p w:rsidR="000E75A3" w:rsidRDefault="000E75A3" w:rsidP="000E75A3">
      <w:pPr>
        <w:pStyle w:val="1"/>
        <w:rPr>
          <w:rtl/>
        </w:rPr>
      </w:pPr>
      <w:bookmarkStart w:id="9742" w:name="_Toc58359177"/>
      <w:bookmarkStart w:id="9743" w:name="_Toc58409438"/>
      <w:bookmarkStart w:id="9744" w:name="_Toc58432678"/>
      <w:bookmarkStart w:id="9745" w:name="_Toc58532492"/>
      <w:bookmarkStart w:id="9746" w:name="_Toc58580111"/>
      <w:bookmarkStart w:id="9747" w:name="_Toc59113234"/>
      <w:bookmarkStart w:id="9748" w:name="_Toc59136948"/>
      <w:bookmarkStart w:id="9749" w:name="_Toc59361640"/>
      <w:bookmarkStart w:id="9750" w:name="_Toc59464640"/>
      <w:bookmarkStart w:id="9751" w:name="_Toc59490137"/>
      <w:bookmarkStart w:id="9752" w:name="_Toc59620308"/>
      <w:bookmarkStart w:id="9753" w:name="_Toc59643580"/>
      <w:bookmarkStart w:id="9754" w:name="_Toc59741658"/>
      <w:bookmarkStart w:id="9755" w:name="_Toc59786793"/>
      <w:bookmarkStart w:id="9756" w:name="_Toc59802607"/>
      <w:bookmarkStart w:id="9757" w:name="_Toc59916168"/>
      <w:r>
        <w:rPr>
          <w:rFonts w:hint="cs"/>
          <w:rtl/>
        </w:rPr>
        <w:t>ביאור הטור בדעת הרשב"ם</w:t>
      </w:r>
      <w:bookmarkEnd w:id="9742"/>
      <w:bookmarkEnd w:id="9743"/>
      <w:bookmarkEnd w:id="9744"/>
      <w:bookmarkEnd w:id="9745"/>
      <w:bookmarkEnd w:id="9746"/>
      <w:bookmarkEnd w:id="9747"/>
      <w:bookmarkEnd w:id="9748"/>
      <w:bookmarkEnd w:id="9749"/>
      <w:bookmarkEnd w:id="9750"/>
      <w:bookmarkEnd w:id="9751"/>
      <w:r>
        <w:rPr>
          <w:rFonts w:hint="cs"/>
          <w:rtl/>
        </w:rPr>
        <w:t xml:space="preserve"> דטענת קמי דידי ל"מ בלא חזקה</w:t>
      </w:r>
      <w:bookmarkEnd w:id="9752"/>
      <w:bookmarkEnd w:id="9753"/>
      <w:bookmarkEnd w:id="9754"/>
      <w:bookmarkEnd w:id="9755"/>
      <w:bookmarkEnd w:id="9756"/>
      <w:bookmarkEnd w:id="9757"/>
    </w:p>
    <w:p w:rsidR="000E75A3" w:rsidRPr="00AA24BF" w:rsidRDefault="000E75A3" w:rsidP="000E75A3">
      <w:pPr>
        <w:pStyle w:val="a3"/>
      </w:pPr>
      <w:bookmarkStart w:id="9758" w:name="_Toc59620309"/>
      <w:bookmarkStart w:id="9759" w:name="_Toc59643581"/>
      <w:bookmarkStart w:id="9760" w:name="_Toc59741659"/>
      <w:bookmarkStart w:id="9761" w:name="_Toc59786794"/>
      <w:bookmarkStart w:id="9762" w:name="_Toc59802608"/>
      <w:bookmarkStart w:id="9763" w:name="_Toc59916169"/>
      <w:r>
        <w:rPr>
          <w:rFonts w:hint="cs"/>
          <w:rtl/>
        </w:rPr>
        <w:t>ביאור הטור ברשב"ם בטוען קמי דידי ואין לו חזקת ג"ש אינו נאמן אף שאין עדים למערער</w:t>
      </w:r>
      <w:bookmarkEnd w:id="9758"/>
      <w:bookmarkEnd w:id="9759"/>
      <w:bookmarkEnd w:id="9760"/>
      <w:bookmarkEnd w:id="9761"/>
      <w:bookmarkEnd w:id="9762"/>
      <w:bookmarkEnd w:id="9763"/>
    </w:p>
    <w:p w:rsidR="000E75A3" w:rsidRPr="00D1584D" w:rsidRDefault="000E75A3" w:rsidP="007E4E81">
      <w:pPr>
        <w:pStyle w:val="a0"/>
        <w:rPr>
          <w:rStyle w:val="afb"/>
        </w:rPr>
      </w:pPr>
      <w:bookmarkStart w:id="9764" w:name="_Ref58272277"/>
      <w:bookmarkStart w:id="9765" w:name="_Ref59651096"/>
      <w:r w:rsidRPr="002C69A0">
        <w:rPr>
          <w:rFonts w:hint="cs"/>
          <w:rtl/>
        </w:rPr>
        <w:t xml:space="preserve">כתב </w:t>
      </w:r>
      <w:r w:rsidRPr="002C69A0">
        <w:rPr>
          <w:rStyle w:val="af9"/>
          <w:rFonts w:hint="cs"/>
          <w:rtl/>
        </w:rPr>
        <w:t>הטור</w:t>
      </w:r>
      <w:r w:rsidRPr="002C69A0">
        <w:rPr>
          <w:rFonts w:hint="cs"/>
          <w:rtl/>
        </w:rPr>
        <w:t xml:space="preserve"> </w:t>
      </w:r>
      <w:r w:rsidRPr="00DE125B">
        <w:rPr>
          <w:rStyle w:val="af7"/>
          <w:rFonts w:eastAsia="Guttman Hodes" w:hint="cs"/>
          <w:rtl/>
        </w:rPr>
        <w:t>(סי' קמ"ו י"ג)</w:t>
      </w:r>
      <w:r w:rsidRPr="002C69A0">
        <w:rPr>
          <w:rFonts w:hint="cs"/>
          <w:rtl/>
        </w:rPr>
        <w:t xml:space="preserve"> </w:t>
      </w:r>
      <w:r>
        <w:rPr>
          <w:rFonts w:hint="cs"/>
          <w:rtl/>
        </w:rPr>
        <w:t xml:space="preserve">דלדעת </w:t>
      </w:r>
      <w:r w:rsidRPr="002C69A0">
        <w:rPr>
          <w:rStyle w:val="af9"/>
          <w:rFonts w:hint="cs"/>
          <w:rtl/>
        </w:rPr>
        <w:t>הרשב"ם</w:t>
      </w:r>
      <w:r w:rsidRPr="002C69A0">
        <w:rPr>
          <w:rFonts w:hint="cs"/>
          <w:rtl/>
        </w:rPr>
        <w:t xml:space="preserve"> </w:t>
      </w:r>
      <w:r w:rsidRPr="00DE125B">
        <w:rPr>
          <w:rStyle w:val="af7"/>
          <w:rFonts w:eastAsia="Guttman Hodes" w:hint="cs"/>
          <w:rtl/>
        </w:rPr>
        <w:t xml:space="preserve">(עי' אות </w:t>
      </w:r>
      <w:r w:rsidRPr="00DE125B">
        <w:rPr>
          <w:rStyle w:val="af7"/>
          <w:rFonts w:eastAsia="Guttman Hodes"/>
          <w:rtl/>
        </w:rPr>
        <w:fldChar w:fldCharType="begin"/>
      </w:r>
      <w:r w:rsidRPr="00DE125B">
        <w:rPr>
          <w:rStyle w:val="af7"/>
          <w:rFonts w:eastAsia="Guttman Hodes"/>
          <w:rtl/>
        </w:rPr>
        <w:instrText xml:space="preserve"> </w:instrText>
      </w:r>
      <w:r w:rsidRPr="00DE125B">
        <w:rPr>
          <w:rStyle w:val="af7"/>
          <w:rFonts w:eastAsia="Guttman Hodes" w:hint="cs"/>
        </w:rPr>
        <w:instrText>REF</w:instrText>
      </w:r>
      <w:r w:rsidRPr="00DE125B">
        <w:rPr>
          <w:rStyle w:val="af7"/>
          <w:rFonts w:eastAsia="Guttman Hodes" w:hint="cs"/>
          <w:rtl/>
        </w:rPr>
        <w:instrText xml:space="preserve"> _</w:instrText>
      </w:r>
      <w:r w:rsidRPr="00DE125B">
        <w:rPr>
          <w:rStyle w:val="af7"/>
          <w:rFonts w:eastAsia="Guttman Hodes" w:hint="cs"/>
        </w:rPr>
        <w:instrText>Ref59546095 \r \h</w:instrText>
      </w:r>
      <w:r w:rsidRPr="00DE125B">
        <w:rPr>
          <w:rStyle w:val="af7"/>
          <w:rFonts w:eastAsia="Guttman Hodes"/>
          <w:rtl/>
        </w:rPr>
        <w:instrText xml:space="preserve">  \* </w:instrText>
      </w:r>
      <w:r w:rsidRPr="00DE125B">
        <w:rPr>
          <w:rStyle w:val="af7"/>
          <w:rFonts w:eastAsia="Guttman Hodes"/>
        </w:rPr>
        <w:instrText>MERGEFORMAT</w:instrText>
      </w:r>
      <w:r w:rsidRPr="00DE125B">
        <w:rPr>
          <w:rStyle w:val="af7"/>
          <w:rFonts w:eastAsia="Guttman Hodes"/>
          <w:rtl/>
        </w:rPr>
        <w:instrText xml:space="preserve"> </w:instrText>
      </w:r>
      <w:r w:rsidRPr="00DE125B">
        <w:rPr>
          <w:rStyle w:val="af7"/>
          <w:rFonts w:eastAsia="Guttman Hodes"/>
          <w:rtl/>
        </w:rPr>
      </w:r>
      <w:r w:rsidRPr="00DE125B">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DE125B">
        <w:rPr>
          <w:rStyle w:val="af7"/>
          <w:rFonts w:eastAsia="Guttman Hodes"/>
          <w:rtl/>
        </w:rPr>
        <w:fldChar w:fldCharType="end"/>
      </w:r>
      <w:r w:rsidRPr="00DE125B">
        <w:rPr>
          <w:rStyle w:val="af7"/>
          <w:rFonts w:eastAsia="Guttman Hodes" w:hint="cs"/>
          <w:rtl/>
        </w:rPr>
        <w:t xml:space="preserve"> </w:t>
      </w:r>
      <w:r w:rsidRPr="0017143B">
        <w:rPr>
          <w:rFonts w:hint="cs"/>
          <w:rtl/>
        </w:rPr>
        <w:t>אעפ</w:t>
      </w:r>
      <w:r>
        <w:rPr>
          <w:rFonts w:hint="cs"/>
          <w:rtl/>
        </w:rPr>
        <w:t>"י שאין למערער עדים שהקרקע הייתה שלו, וטוען המחזיק קמי דידי זבנה מינך, מ"מ כל שאין למחזיק חזקת ג"ש, מוציאין אותה מידו, ורק כשיש לו חזקת ג"ש, וטוען קמי דידי זבנה מינך, אין מוציאין מידו</w:t>
      </w:r>
      <w:bookmarkEnd w:id="9764"/>
      <w:r>
        <w:rPr>
          <w:rFonts w:hint="cs"/>
          <w:rtl/>
        </w:rPr>
        <w:t>,</w:t>
      </w:r>
      <w:r w:rsidRPr="00F321D6">
        <w:rPr>
          <w:rFonts w:hint="cs"/>
          <w:rtl/>
        </w:rPr>
        <w:t xml:space="preserve"> </w:t>
      </w:r>
      <w:r>
        <w:rPr>
          <w:rFonts w:hint="cs"/>
          <w:rtl/>
        </w:rPr>
        <w:t xml:space="preserve">ועי' בדברי </w:t>
      </w:r>
      <w:r w:rsidRPr="00987F1C">
        <w:rPr>
          <w:rStyle w:val="af9"/>
          <w:rFonts w:hint="cs"/>
          <w:rtl/>
        </w:rPr>
        <w:t>המרדכי</w:t>
      </w:r>
      <w:r>
        <w:rPr>
          <w:rFonts w:hint="cs"/>
          <w:rtl/>
        </w:rPr>
        <w:t xml:space="preserve"> </w:t>
      </w:r>
      <w:r w:rsidRPr="00987F1C">
        <w:rPr>
          <w:rStyle w:val="af7"/>
          <w:rFonts w:eastAsia="Guttman Hodes" w:hint="cs"/>
          <w:rtl/>
        </w:rPr>
        <w:t>(רמז תקכ"ג)</w:t>
      </w:r>
      <w:r w:rsidRPr="00987F1C">
        <w:rPr>
          <w:rFonts w:hint="cs"/>
          <w:rtl/>
        </w:rPr>
        <w:t xml:space="preserve"> </w:t>
      </w:r>
      <w:r>
        <w:rPr>
          <w:rFonts w:hint="cs"/>
          <w:rtl/>
        </w:rPr>
        <w:t xml:space="preserve">דמשמע דביאר כן בדעת </w:t>
      </w:r>
      <w:r w:rsidRPr="0017143B">
        <w:rPr>
          <w:rStyle w:val="af9"/>
          <w:rFonts w:hint="cs"/>
          <w:rtl/>
        </w:rPr>
        <w:t>הרשב"ם</w:t>
      </w:r>
      <w:r>
        <w:rPr>
          <w:rFonts w:hint="cs"/>
          <w:rtl/>
        </w:rPr>
        <w:t xml:space="preserve">, ועי' במה שביאר </w:t>
      </w:r>
      <w:r w:rsidRPr="00215AFB">
        <w:rPr>
          <w:rStyle w:val="af9"/>
          <w:rFonts w:hint="cs"/>
          <w:rtl/>
        </w:rPr>
        <w:t>בחי'</w:t>
      </w:r>
      <w:r w:rsidRPr="00215AFB">
        <w:rPr>
          <w:rFonts w:hint="cs"/>
          <w:rtl/>
        </w:rPr>
        <w:t xml:space="preserve"> </w:t>
      </w:r>
      <w:r w:rsidRPr="00215AFB">
        <w:rPr>
          <w:rStyle w:val="af9"/>
          <w:rFonts w:hint="cs"/>
          <w:rtl/>
        </w:rPr>
        <w:t>רבי</w:t>
      </w:r>
      <w:r w:rsidRPr="00215AFB">
        <w:rPr>
          <w:rFonts w:hint="cs"/>
          <w:rtl/>
        </w:rPr>
        <w:t xml:space="preserve"> </w:t>
      </w:r>
      <w:r w:rsidRPr="00215AFB">
        <w:rPr>
          <w:rStyle w:val="af9"/>
          <w:rFonts w:hint="cs"/>
          <w:rtl/>
        </w:rPr>
        <w:t>נחום</w:t>
      </w:r>
      <w:r>
        <w:rPr>
          <w:rStyle w:val="af9"/>
          <w:rFonts w:hint="cs"/>
          <w:rtl/>
        </w:rPr>
        <w:t xml:space="preserve"> </w:t>
      </w:r>
      <w:r w:rsidRPr="00724D8C">
        <w:rPr>
          <w:rStyle w:val="af7"/>
          <w:rFonts w:eastAsia="Guttman Hodes" w:hint="cs"/>
          <w:rtl/>
        </w:rPr>
        <w:t xml:space="preserve">(עי' אות </w:t>
      </w:r>
      <w:r w:rsidRPr="00724D8C">
        <w:rPr>
          <w:rStyle w:val="af7"/>
          <w:rFonts w:eastAsia="Guttman Hodes"/>
          <w:rtl/>
        </w:rPr>
        <w:fldChar w:fldCharType="begin"/>
      </w:r>
      <w:r w:rsidRPr="00724D8C">
        <w:rPr>
          <w:rStyle w:val="af7"/>
          <w:rFonts w:eastAsia="Guttman Hodes"/>
          <w:rtl/>
        </w:rPr>
        <w:instrText xml:space="preserve"> </w:instrText>
      </w:r>
      <w:r w:rsidRPr="00724D8C">
        <w:rPr>
          <w:rStyle w:val="af7"/>
          <w:rFonts w:eastAsia="Guttman Hodes" w:hint="cs"/>
        </w:rPr>
        <w:instrText>REF</w:instrText>
      </w:r>
      <w:r w:rsidRPr="00724D8C">
        <w:rPr>
          <w:rStyle w:val="af7"/>
          <w:rFonts w:eastAsia="Guttman Hodes" w:hint="cs"/>
          <w:rtl/>
        </w:rPr>
        <w:instrText xml:space="preserve"> _</w:instrText>
      </w:r>
      <w:r w:rsidRPr="00724D8C">
        <w:rPr>
          <w:rStyle w:val="af7"/>
          <w:rFonts w:eastAsia="Guttman Hodes" w:hint="cs"/>
        </w:rPr>
        <w:instrText>Ref59653474 \r \h</w:instrText>
      </w:r>
      <w:r w:rsidRPr="00724D8C">
        <w:rPr>
          <w:rStyle w:val="af7"/>
          <w:rFonts w:eastAsia="Guttman Hodes"/>
          <w:rtl/>
        </w:rPr>
        <w:instrText xml:space="preserve"> </w:instrText>
      </w:r>
      <w:r w:rsidRPr="00724D8C">
        <w:rPr>
          <w:rStyle w:val="af7"/>
          <w:rFonts w:eastAsia="Guttman Hodes"/>
          <w:rtl/>
        </w:rPr>
      </w:r>
      <w:r w:rsidRPr="00724D8C">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sidRPr="00724D8C">
        <w:rPr>
          <w:rStyle w:val="af7"/>
          <w:rFonts w:eastAsia="Guttman Hodes"/>
          <w:rtl/>
        </w:rPr>
        <w:fldChar w:fldCharType="end"/>
      </w:r>
      <w:r w:rsidRPr="00215AFB">
        <w:rPr>
          <w:rFonts w:hint="cs"/>
          <w:rtl/>
        </w:rPr>
        <w:t xml:space="preserve"> </w:t>
      </w:r>
      <w:r>
        <w:rPr>
          <w:rFonts w:hint="cs"/>
          <w:rtl/>
        </w:rPr>
        <w:t xml:space="preserve">בדעת </w:t>
      </w:r>
      <w:r w:rsidRPr="007A198C">
        <w:rPr>
          <w:rStyle w:val="af9"/>
          <w:rFonts w:hint="cs"/>
          <w:rtl/>
        </w:rPr>
        <w:t>הרשב"ם</w:t>
      </w:r>
      <w:r>
        <w:rPr>
          <w:rFonts w:hint="cs"/>
          <w:rtl/>
        </w:rPr>
        <w:t xml:space="preserve">, וכ"כ </w:t>
      </w:r>
      <w:r w:rsidRPr="00A4778C">
        <w:rPr>
          <w:rStyle w:val="af9"/>
          <w:rFonts w:hint="cs"/>
          <w:rtl/>
        </w:rPr>
        <w:t xml:space="preserve">העיטור </w:t>
      </w:r>
      <w:r w:rsidRPr="003120AD">
        <w:rPr>
          <w:rStyle w:val="af7"/>
          <w:rFonts w:eastAsia="Guttman Hodes" w:hint="cs"/>
          <w:rtl/>
        </w:rPr>
        <w:t xml:space="preserve">(עי' אות </w:t>
      </w:r>
      <w:r w:rsidRPr="003120AD">
        <w:rPr>
          <w:rStyle w:val="af7"/>
          <w:rFonts w:eastAsia="Guttman Hodes"/>
          <w:rtl/>
        </w:rPr>
        <w:fldChar w:fldCharType="begin"/>
      </w:r>
      <w:r w:rsidRPr="003120AD">
        <w:rPr>
          <w:rStyle w:val="af7"/>
          <w:rFonts w:eastAsia="Guttman Hodes"/>
          <w:rtl/>
        </w:rPr>
        <w:instrText xml:space="preserve"> </w:instrText>
      </w:r>
      <w:r w:rsidRPr="003120AD">
        <w:rPr>
          <w:rStyle w:val="af7"/>
          <w:rFonts w:eastAsia="Guttman Hodes" w:hint="cs"/>
        </w:rPr>
        <w:instrText>REF</w:instrText>
      </w:r>
      <w:r w:rsidRPr="003120AD">
        <w:rPr>
          <w:rStyle w:val="af7"/>
          <w:rFonts w:eastAsia="Guttman Hodes" w:hint="cs"/>
          <w:rtl/>
        </w:rPr>
        <w:instrText xml:space="preserve"> _</w:instrText>
      </w:r>
      <w:r w:rsidRPr="003120AD">
        <w:rPr>
          <w:rStyle w:val="af7"/>
          <w:rFonts w:eastAsia="Guttman Hodes" w:hint="cs"/>
        </w:rPr>
        <w:instrText>Ref59801094 \r \h</w:instrText>
      </w:r>
      <w:r w:rsidRPr="003120AD">
        <w:rPr>
          <w:rStyle w:val="af7"/>
          <w:rFonts w:eastAsia="Guttman Hodes"/>
          <w:rtl/>
        </w:rPr>
        <w:instrText xml:space="preserve"> </w:instrText>
      </w:r>
      <w:r w:rsidRPr="003120AD">
        <w:rPr>
          <w:rStyle w:val="af7"/>
          <w:rFonts w:eastAsia="Guttman Hodes"/>
          <w:rtl/>
        </w:rPr>
      </w:r>
      <w:r w:rsidRPr="003120AD">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3120AD">
        <w:rPr>
          <w:rStyle w:val="af7"/>
          <w:rFonts w:eastAsia="Guttman Hodes"/>
          <w:rtl/>
        </w:rPr>
        <w:fldChar w:fldCharType="end"/>
      </w:r>
      <w:r>
        <w:rPr>
          <w:rFonts w:hint="cs"/>
          <w:rtl/>
        </w:rPr>
        <w:t xml:space="preserve"> </w:t>
      </w:r>
      <w:r w:rsidRPr="00A4778C">
        <w:rPr>
          <w:rStyle w:val="af9"/>
          <w:rFonts w:hint="cs"/>
          <w:rtl/>
        </w:rPr>
        <w:t xml:space="preserve">והב"י </w:t>
      </w:r>
      <w:r w:rsidRPr="003120AD">
        <w:rPr>
          <w:rStyle w:val="af7"/>
          <w:rFonts w:eastAsia="Guttman Hodes" w:hint="cs"/>
          <w:rtl/>
        </w:rPr>
        <w:t xml:space="preserve">(עי' אות </w:t>
      </w:r>
      <w:r w:rsidRPr="003120AD">
        <w:rPr>
          <w:rStyle w:val="af7"/>
          <w:rFonts w:eastAsia="Guttman Hodes"/>
          <w:rtl/>
        </w:rPr>
        <w:fldChar w:fldCharType="begin"/>
      </w:r>
      <w:r w:rsidRPr="003120AD">
        <w:rPr>
          <w:rStyle w:val="af7"/>
          <w:rFonts w:eastAsia="Guttman Hodes"/>
          <w:rtl/>
        </w:rPr>
        <w:instrText xml:space="preserve"> </w:instrText>
      </w:r>
      <w:r w:rsidRPr="003120AD">
        <w:rPr>
          <w:rStyle w:val="af7"/>
          <w:rFonts w:eastAsia="Guttman Hodes" w:hint="cs"/>
        </w:rPr>
        <w:instrText>REF</w:instrText>
      </w:r>
      <w:r w:rsidRPr="003120AD">
        <w:rPr>
          <w:rStyle w:val="af7"/>
          <w:rFonts w:eastAsia="Guttman Hodes" w:hint="cs"/>
          <w:rtl/>
        </w:rPr>
        <w:instrText xml:space="preserve"> _</w:instrText>
      </w:r>
      <w:r w:rsidRPr="003120AD">
        <w:rPr>
          <w:rStyle w:val="af7"/>
          <w:rFonts w:eastAsia="Guttman Hodes" w:hint="cs"/>
        </w:rPr>
        <w:instrText>Ref59615967 \r \h</w:instrText>
      </w:r>
      <w:r w:rsidRPr="003120AD">
        <w:rPr>
          <w:rStyle w:val="af7"/>
          <w:rFonts w:eastAsia="Guttman Hodes"/>
          <w:rtl/>
        </w:rPr>
        <w:instrText xml:space="preserve"> </w:instrText>
      </w:r>
      <w:r w:rsidRPr="003120AD">
        <w:rPr>
          <w:rStyle w:val="af7"/>
          <w:rFonts w:eastAsia="Guttman Hodes"/>
          <w:rtl/>
        </w:rPr>
      </w:r>
      <w:r w:rsidRPr="003120AD">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3120AD">
        <w:rPr>
          <w:rStyle w:val="af7"/>
          <w:rFonts w:eastAsia="Guttman Hodes"/>
          <w:rtl/>
        </w:rPr>
        <w:fldChar w:fldCharType="end"/>
      </w:r>
      <w:r>
        <w:rPr>
          <w:rFonts w:hint="cs"/>
          <w:rtl/>
        </w:rPr>
        <w:t xml:space="preserve"> בדעת </w:t>
      </w:r>
      <w:r w:rsidRPr="00A4778C">
        <w:rPr>
          <w:rStyle w:val="af9"/>
          <w:rFonts w:hint="cs"/>
          <w:rtl/>
        </w:rPr>
        <w:t>הרי"ף</w:t>
      </w:r>
      <w:r>
        <w:rPr>
          <w:rFonts w:hint="cs"/>
          <w:rtl/>
        </w:rPr>
        <w:t xml:space="preserve">, וכ"כ </w:t>
      </w:r>
      <w:r w:rsidRPr="00A4778C">
        <w:rPr>
          <w:rStyle w:val="af9"/>
          <w:rFonts w:hint="cs"/>
          <w:rtl/>
        </w:rPr>
        <w:t xml:space="preserve">הב"י </w:t>
      </w:r>
      <w:r w:rsidRPr="003120AD">
        <w:rPr>
          <w:rStyle w:val="af7"/>
          <w:rFonts w:eastAsia="Guttman Hodes" w:hint="cs"/>
          <w:rtl/>
        </w:rPr>
        <w:t>(עי' אות</w:t>
      </w:r>
      <w:r>
        <w:rPr>
          <w:rFonts w:hint="cs"/>
          <w:rtl/>
        </w:rPr>
        <w:t xml:space="preserve"> </w:t>
      </w:r>
      <w:r w:rsidRPr="003120AD">
        <w:rPr>
          <w:rStyle w:val="af7"/>
          <w:rFonts w:eastAsia="Guttman Hodes"/>
          <w:rtl/>
        </w:rPr>
        <w:fldChar w:fldCharType="begin"/>
      </w:r>
      <w:r w:rsidRPr="003120AD">
        <w:rPr>
          <w:rStyle w:val="af7"/>
          <w:rFonts w:eastAsia="Guttman Hodes"/>
          <w:rtl/>
        </w:rPr>
        <w:instrText xml:space="preserve"> </w:instrText>
      </w:r>
      <w:r w:rsidRPr="003120AD">
        <w:rPr>
          <w:rStyle w:val="af7"/>
          <w:rFonts w:eastAsia="Guttman Hodes" w:hint="cs"/>
        </w:rPr>
        <w:instrText>REF</w:instrText>
      </w:r>
      <w:r w:rsidRPr="003120AD">
        <w:rPr>
          <w:rStyle w:val="af7"/>
          <w:rFonts w:eastAsia="Guttman Hodes" w:hint="cs"/>
          <w:rtl/>
        </w:rPr>
        <w:instrText xml:space="preserve"> _</w:instrText>
      </w:r>
      <w:r w:rsidRPr="003120AD">
        <w:rPr>
          <w:rStyle w:val="af7"/>
          <w:rFonts w:eastAsia="Guttman Hodes" w:hint="cs"/>
        </w:rPr>
        <w:instrText>Ref59730655 \r \h</w:instrText>
      </w:r>
      <w:r w:rsidRPr="003120AD">
        <w:rPr>
          <w:rStyle w:val="af7"/>
          <w:rFonts w:eastAsia="Guttman Hodes"/>
          <w:rtl/>
        </w:rPr>
        <w:instrText xml:space="preserve"> </w:instrText>
      </w:r>
      <w:r w:rsidRPr="003120AD">
        <w:rPr>
          <w:rStyle w:val="af7"/>
          <w:rFonts w:eastAsia="Guttman Hodes"/>
          <w:rtl/>
        </w:rPr>
      </w:r>
      <w:r w:rsidRPr="003120AD">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3120AD">
        <w:rPr>
          <w:rStyle w:val="af7"/>
          <w:rFonts w:eastAsia="Guttman Hodes"/>
          <w:rtl/>
        </w:rPr>
        <w:fldChar w:fldCharType="end"/>
      </w:r>
      <w:r>
        <w:rPr>
          <w:rFonts w:hint="cs"/>
          <w:rtl/>
        </w:rPr>
        <w:t xml:space="preserve"> </w:t>
      </w:r>
      <w:r w:rsidRPr="00A4778C">
        <w:rPr>
          <w:rStyle w:val="af9"/>
          <w:rFonts w:hint="cs"/>
          <w:rtl/>
        </w:rPr>
        <w:t>והלח"מ והדרישה</w:t>
      </w:r>
      <w:r>
        <w:rPr>
          <w:rFonts w:hint="cs"/>
          <w:rtl/>
        </w:rPr>
        <w:t xml:space="preserve"> </w:t>
      </w:r>
      <w:r w:rsidRPr="003120AD">
        <w:rPr>
          <w:rStyle w:val="af7"/>
          <w:rFonts w:eastAsia="Guttman Hodes" w:hint="cs"/>
          <w:rtl/>
        </w:rPr>
        <w:t xml:space="preserve">(עי' אות </w:t>
      </w:r>
      <w:r w:rsidRPr="003120AD">
        <w:rPr>
          <w:rStyle w:val="af7"/>
          <w:rFonts w:eastAsia="Guttman Hodes"/>
          <w:rtl/>
        </w:rPr>
        <w:fldChar w:fldCharType="begin"/>
      </w:r>
      <w:r w:rsidRPr="003120AD">
        <w:rPr>
          <w:rStyle w:val="af7"/>
          <w:rFonts w:eastAsia="Guttman Hodes"/>
          <w:rtl/>
        </w:rPr>
        <w:instrText xml:space="preserve"> </w:instrText>
      </w:r>
      <w:r w:rsidRPr="003120AD">
        <w:rPr>
          <w:rStyle w:val="af7"/>
          <w:rFonts w:eastAsia="Guttman Hodes" w:hint="cs"/>
        </w:rPr>
        <w:instrText>REF</w:instrText>
      </w:r>
      <w:r w:rsidRPr="003120AD">
        <w:rPr>
          <w:rStyle w:val="af7"/>
          <w:rFonts w:eastAsia="Guttman Hodes" w:hint="cs"/>
          <w:rtl/>
        </w:rPr>
        <w:instrText xml:space="preserve"> _</w:instrText>
      </w:r>
      <w:r w:rsidRPr="003120AD">
        <w:rPr>
          <w:rStyle w:val="af7"/>
          <w:rFonts w:eastAsia="Guttman Hodes" w:hint="cs"/>
        </w:rPr>
        <w:instrText>Ref59650733 \r \h</w:instrText>
      </w:r>
      <w:r w:rsidRPr="003120AD">
        <w:rPr>
          <w:rStyle w:val="af7"/>
          <w:rFonts w:eastAsia="Guttman Hodes"/>
          <w:rtl/>
        </w:rPr>
        <w:instrText xml:space="preserve"> </w:instrText>
      </w:r>
      <w:r w:rsidRPr="003120AD">
        <w:rPr>
          <w:rStyle w:val="af7"/>
          <w:rFonts w:eastAsia="Guttman Hodes"/>
          <w:rtl/>
        </w:rPr>
      </w:r>
      <w:r w:rsidRPr="003120AD">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3120AD">
        <w:rPr>
          <w:rStyle w:val="af7"/>
          <w:rFonts w:eastAsia="Guttman Hodes"/>
          <w:rtl/>
        </w:rPr>
        <w:fldChar w:fldCharType="end"/>
      </w:r>
      <w:r>
        <w:rPr>
          <w:rFonts w:hint="cs"/>
          <w:rtl/>
        </w:rPr>
        <w:t xml:space="preserve"> בדעת </w:t>
      </w:r>
      <w:r w:rsidRPr="00A4778C">
        <w:rPr>
          <w:rStyle w:val="af9"/>
          <w:rFonts w:hint="cs"/>
          <w:rtl/>
        </w:rPr>
        <w:t>הרמב"ם</w:t>
      </w:r>
      <w:r>
        <w:rPr>
          <w:rFonts w:hint="cs"/>
          <w:rtl/>
        </w:rPr>
        <w:t xml:space="preserve">. </w:t>
      </w:r>
      <w:r w:rsidRPr="00D1584D">
        <w:rPr>
          <w:rStyle w:val="afb"/>
          <w:rFonts w:hint="cs"/>
          <w:rtl/>
        </w:rPr>
        <w:t xml:space="preserve">[אבל </w:t>
      </w:r>
      <w:r w:rsidRPr="00D1584D">
        <w:rPr>
          <w:rStyle w:val="affa"/>
          <w:rFonts w:hint="cs"/>
          <w:rtl/>
        </w:rPr>
        <w:t>הש"ך</w:t>
      </w:r>
      <w:r w:rsidRPr="00D1584D">
        <w:rPr>
          <w:rStyle w:val="afb"/>
          <w:rFonts w:hint="cs"/>
          <w:rtl/>
        </w:rPr>
        <w:t xml:space="preserve"> </w:t>
      </w:r>
      <w:r w:rsidRPr="00D1584D">
        <w:rPr>
          <w:rStyle w:val="aff6"/>
          <w:rFonts w:hint="cs"/>
          <w:rtl/>
        </w:rPr>
        <w:t xml:space="preserve">(עי' אות </w:t>
      </w:r>
      <w:r w:rsidRPr="00D1584D">
        <w:rPr>
          <w:rStyle w:val="aff6"/>
          <w:rtl/>
        </w:rPr>
        <w:fldChar w:fldCharType="begin"/>
      </w:r>
      <w:r w:rsidRPr="00D1584D">
        <w:rPr>
          <w:rStyle w:val="aff6"/>
          <w:rtl/>
        </w:rPr>
        <w:instrText xml:space="preserve"> </w:instrText>
      </w:r>
      <w:r w:rsidRPr="00D1584D">
        <w:rPr>
          <w:rStyle w:val="aff6"/>
          <w:rFonts w:hint="cs"/>
        </w:rPr>
        <w:instrText>REF</w:instrText>
      </w:r>
      <w:r w:rsidRPr="00D1584D">
        <w:rPr>
          <w:rStyle w:val="aff6"/>
          <w:rFonts w:hint="cs"/>
          <w:rtl/>
        </w:rPr>
        <w:instrText xml:space="preserve"> _</w:instrText>
      </w:r>
      <w:r w:rsidRPr="00D1584D">
        <w:rPr>
          <w:rStyle w:val="aff6"/>
          <w:rFonts w:hint="cs"/>
        </w:rPr>
        <w:instrText>Ref59613710 \r \h</w:instrText>
      </w:r>
      <w:r w:rsidRPr="00D1584D">
        <w:rPr>
          <w:rStyle w:val="aff6"/>
          <w:rtl/>
        </w:rPr>
        <w:instrText xml:space="preserve"> </w:instrText>
      </w:r>
      <w:r w:rsidRPr="00D1584D">
        <w:rPr>
          <w:rStyle w:val="aff6"/>
          <w:rtl/>
        </w:rPr>
      </w:r>
      <w:r w:rsidRPr="00D1584D">
        <w:rPr>
          <w:rStyle w:val="aff6"/>
          <w:rtl/>
        </w:rPr>
        <w:fldChar w:fldCharType="separate"/>
      </w:r>
      <w:r w:rsidR="00265073">
        <w:rPr>
          <w:rStyle w:val="aff6"/>
          <w:cs/>
        </w:rPr>
        <w:t>‎</w:t>
      </w:r>
      <w:r w:rsidR="00265073">
        <w:rPr>
          <w:rStyle w:val="aff6"/>
          <w:rtl/>
        </w:rPr>
        <w:t>עד)</w:t>
      </w:r>
      <w:r w:rsidRPr="00D1584D">
        <w:rPr>
          <w:rStyle w:val="aff6"/>
          <w:rtl/>
        </w:rPr>
        <w:fldChar w:fldCharType="end"/>
      </w:r>
      <w:r w:rsidRPr="00D1584D">
        <w:rPr>
          <w:rStyle w:val="afb"/>
          <w:rFonts w:hint="cs"/>
          <w:rtl/>
        </w:rPr>
        <w:t xml:space="preserve"> דחה את דברי </w:t>
      </w:r>
      <w:r w:rsidRPr="00D1584D">
        <w:rPr>
          <w:rStyle w:val="affa"/>
          <w:rFonts w:hint="cs"/>
          <w:rtl/>
        </w:rPr>
        <w:t>הטור</w:t>
      </w:r>
      <w:r w:rsidRPr="00D1584D">
        <w:rPr>
          <w:rStyle w:val="afb"/>
          <w:rFonts w:hint="cs"/>
          <w:rtl/>
        </w:rPr>
        <w:t xml:space="preserve"> וביאר דדעת </w:t>
      </w:r>
      <w:r w:rsidRPr="00D1584D">
        <w:rPr>
          <w:rStyle w:val="affa"/>
          <w:rFonts w:hint="cs"/>
          <w:rtl/>
        </w:rPr>
        <w:t>הרשב"ם</w:t>
      </w:r>
      <w:r w:rsidRPr="00D1584D">
        <w:rPr>
          <w:rStyle w:val="afb"/>
          <w:rFonts w:hint="cs"/>
          <w:rtl/>
        </w:rPr>
        <w:t xml:space="preserve"> דמהני טענת קמי דידי זבנה מינך, אף כשאין למחזיק חזקת ג"ש].</w:t>
      </w:r>
      <w:bookmarkEnd w:id="9765"/>
    </w:p>
    <w:p w:rsidR="000E75A3" w:rsidRDefault="000E75A3" w:rsidP="000E75A3">
      <w:pPr>
        <w:pStyle w:val="a3"/>
      </w:pPr>
      <w:bookmarkStart w:id="9766" w:name="_Toc59741660"/>
      <w:bookmarkStart w:id="9767" w:name="_Toc59786795"/>
      <w:bookmarkStart w:id="9768" w:name="_Toc59802609"/>
      <w:bookmarkStart w:id="9769" w:name="_Toc59916170"/>
      <w:bookmarkStart w:id="9770" w:name="_Toc59620310"/>
      <w:bookmarkStart w:id="9771" w:name="_Toc59643582"/>
      <w:r>
        <w:rPr>
          <w:rFonts w:hint="cs"/>
          <w:rtl/>
        </w:rPr>
        <w:t>דברי הדרישה דפשטות לשון הרשב"ם היא כביאור הטור וכן משמע דביארו התוס' ברשב"ם</w:t>
      </w:r>
      <w:bookmarkEnd w:id="9766"/>
      <w:bookmarkEnd w:id="9767"/>
      <w:bookmarkEnd w:id="9768"/>
      <w:bookmarkEnd w:id="9769"/>
    </w:p>
    <w:p w:rsidR="000E75A3" w:rsidRDefault="000E75A3" w:rsidP="007E4E81">
      <w:pPr>
        <w:pStyle w:val="a0"/>
        <w:rPr>
          <w:rtl/>
        </w:rPr>
      </w:pPr>
      <w:bookmarkStart w:id="9772" w:name="_Ref59552913"/>
      <w:r>
        <w:rPr>
          <w:rFonts w:hint="cs"/>
          <w:rtl/>
        </w:rPr>
        <w:t xml:space="preserve">וביאר </w:t>
      </w:r>
      <w:r w:rsidRPr="0017143B">
        <w:rPr>
          <w:rStyle w:val="af9"/>
          <w:rFonts w:hint="cs"/>
          <w:rtl/>
        </w:rPr>
        <w:t>הדרישה</w:t>
      </w:r>
      <w:r w:rsidRPr="0017143B">
        <w:rPr>
          <w:rFonts w:hint="cs"/>
          <w:rtl/>
        </w:rPr>
        <w:t xml:space="preserve"> </w:t>
      </w:r>
      <w:r w:rsidRPr="00DE125B">
        <w:rPr>
          <w:rStyle w:val="af7"/>
          <w:rFonts w:eastAsia="Guttman Hodes" w:hint="cs"/>
          <w:rtl/>
        </w:rPr>
        <w:t xml:space="preserve">(סי' קמ"ו סקכ"ד ד"ה </w:t>
      </w:r>
      <w:r w:rsidRPr="00DE125B">
        <w:rPr>
          <w:rStyle w:val="af7"/>
          <w:rFonts w:eastAsia="Guttman Hodes"/>
          <w:rtl/>
        </w:rPr>
        <w:t>והנה מפשטא</w:t>
      </w:r>
      <w:r w:rsidRPr="00DE125B">
        <w:rPr>
          <w:rStyle w:val="af7"/>
          <w:rFonts w:eastAsia="Guttman Hodes" w:hint="cs"/>
          <w:rtl/>
        </w:rPr>
        <w:t>)</w:t>
      </w:r>
      <w:r w:rsidRPr="0017143B">
        <w:rPr>
          <w:rFonts w:hint="cs"/>
          <w:rtl/>
        </w:rPr>
        <w:t xml:space="preserve"> </w:t>
      </w:r>
      <w:r w:rsidRPr="00E73AC8">
        <w:rPr>
          <w:rStyle w:val="af9"/>
          <w:rFonts w:hint="cs"/>
          <w:rtl/>
        </w:rPr>
        <w:t xml:space="preserve">דהטור </w:t>
      </w:r>
      <w:r>
        <w:rPr>
          <w:rFonts w:hint="cs"/>
          <w:rtl/>
        </w:rPr>
        <w:t xml:space="preserve">למד כן </w:t>
      </w:r>
      <w:r w:rsidRPr="0017143B">
        <w:rPr>
          <w:rFonts w:hint="cs"/>
          <w:rtl/>
        </w:rPr>
        <w:t xml:space="preserve">מפשטות דברי </w:t>
      </w:r>
      <w:r w:rsidRPr="0017143B">
        <w:rPr>
          <w:rStyle w:val="af9"/>
          <w:rFonts w:hint="cs"/>
          <w:rtl/>
        </w:rPr>
        <w:t>הרשב"ם</w:t>
      </w:r>
      <w:r w:rsidRPr="0017143B">
        <w:rPr>
          <w:rFonts w:hint="cs"/>
          <w:rtl/>
        </w:rPr>
        <w:t xml:space="preserve"> </w:t>
      </w:r>
      <w:r>
        <w:rPr>
          <w:rFonts w:hint="cs"/>
          <w:rtl/>
        </w:rPr>
        <w:t>ד</w:t>
      </w:r>
      <w:r w:rsidRPr="0017143B">
        <w:rPr>
          <w:rFonts w:hint="cs"/>
          <w:rtl/>
        </w:rPr>
        <w:t xml:space="preserve">משמע </w:t>
      </w:r>
      <w:r>
        <w:rPr>
          <w:rFonts w:hint="cs"/>
          <w:rtl/>
        </w:rPr>
        <w:t xml:space="preserve">דס"ל </w:t>
      </w:r>
      <w:r w:rsidRPr="0017143B">
        <w:rPr>
          <w:rFonts w:hint="cs"/>
          <w:rtl/>
        </w:rPr>
        <w:t>דבכדי שלא יוציאו מהמחזיק, צריך שיהיה לו גם חזקה, וגם טענה</w:t>
      </w:r>
      <w:r>
        <w:rPr>
          <w:rFonts w:hint="cs"/>
          <w:rtl/>
        </w:rPr>
        <w:t>,</w:t>
      </w:r>
      <w:r w:rsidRPr="0017143B">
        <w:rPr>
          <w:rFonts w:hint="cs"/>
          <w:rtl/>
        </w:rPr>
        <w:t xml:space="preserve"> וכתב </w:t>
      </w:r>
      <w:r w:rsidRPr="00DE125B">
        <w:rPr>
          <w:rStyle w:val="af9"/>
          <w:rFonts w:hint="cs"/>
          <w:rtl/>
        </w:rPr>
        <w:t>הדרישה</w:t>
      </w:r>
      <w:r w:rsidRPr="0017143B">
        <w:rPr>
          <w:rFonts w:hint="cs"/>
          <w:rtl/>
        </w:rPr>
        <w:t xml:space="preserve"> </w:t>
      </w:r>
      <w:r>
        <w:rPr>
          <w:rFonts w:hint="cs"/>
          <w:rtl/>
        </w:rPr>
        <w:t xml:space="preserve">דכן משמע בדברי </w:t>
      </w:r>
      <w:r w:rsidRPr="00CD408B">
        <w:rPr>
          <w:rStyle w:val="af9"/>
          <w:rFonts w:hint="cs"/>
          <w:rtl/>
        </w:rPr>
        <w:t>התוס'</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Ref57806033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Pr>
          <w:rStyle w:val="af7"/>
          <w:rFonts w:eastAsia="Guttman Hodes"/>
          <w:rtl/>
        </w:rPr>
        <w:fldChar w:fldCharType="end"/>
      </w:r>
      <w:r>
        <w:rPr>
          <w:rStyle w:val="af7"/>
          <w:rFonts w:eastAsia="Guttman Hodes" w:hint="cs"/>
          <w:rtl/>
        </w:rPr>
        <w:t xml:space="preserve"> </w:t>
      </w:r>
      <w:r>
        <w:rPr>
          <w:rFonts w:hint="cs"/>
          <w:rtl/>
        </w:rPr>
        <w:t xml:space="preserve">דביארו כן בדעת </w:t>
      </w:r>
      <w:r w:rsidRPr="0017143B">
        <w:rPr>
          <w:rStyle w:val="af9"/>
          <w:rFonts w:hint="cs"/>
          <w:rtl/>
        </w:rPr>
        <w:t>הרשב"ם</w:t>
      </w:r>
      <w:r>
        <w:rPr>
          <w:rFonts w:hint="cs"/>
          <w:rtl/>
        </w:rPr>
        <w:t xml:space="preserve">. </w:t>
      </w:r>
      <w:r w:rsidRPr="00D34C9E">
        <w:rPr>
          <w:rStyle w:val="afb"/>
          <w:rFonts w:hint="cs"/>
          <w:rtl/>
        </w:rPr>
        <w:t xml:space="preserve">[אבל </w:t>
      </w:r>
      <w:r w:rsidRPr="00D34C9E">
        <w:rPr>
          <w:rStyle w:val="affa"/>
          <w:rFonts w:hint="cs"/>
          <w:rtl/>
        </w:rPr>
        <w:t>הש"ך</w:t>
      </w:r>
      <w:r w:rsidRPr="00D34C9E">
        <w:rPr>
          <w:rStyle w:val="afb"/>
          <w:rFonts w:hint="cs"/>
          <w:rtl/>
        </w:rPr>
        <w:t xml:space="preserve"> </w:t>
      </w:r>
      <w:r w:rsidRPr="00D34C9E">
        <w:rPr>
          <w:rStyle w:val="aff6"/>
          <w:rFonts w:hint="cs"/>
          <w:rtl/>
        </w:rPr>
        <w:t xml:space="preserve">(עי' אות </w:t>
      </w:r>
      <w:r w:rsidRPr="00D34C9E">
        <w:rPr>
          <w:rStyle w:val="aff6"/>
          <w:rtl/>
        </w:rPr>
        <w:fldChar w:fldCharType="begin"/>
      </w:r>
      <w:r w:rsidRPr="00D34C9E">
        <w:rPr>
          <w:rStyle w:val="aff6"/>
          <w:rtl/>
        </w:rPr>
        <w:instrText xml:space="preserve"> </w:instrText>
      </w:r>
      <w:r w:rsidRPr="00D34C9E">
        <w:rPr>
          <w:rStyle w:val="aff6"/>
          <w:rFonts w:hint="cs"/>
        </w:rPr>
        <w:instrText>REF</w:instrText>
      </w:r>
      <w:r w:rsidRPr="00D34C9E">
        <w:rPr>
          <w:rStyle w:val="aff6"/>
          <w:rFonts w:hint="cs"/>
          <w:rtl/>
        </w:rPr>
        <w:instrText xml:space="preserve"> _</w:instrText>
      </w:r>
      <w:r w:rsidRPr="00D34C9E">
        <w:rPr>
          <w:rStyle w:val="aff6"/>
          <w:rFonts w:hint="cs"/>
        </w:rPr>
        <w:instrText>Ref59552690 \r \h</w:instrText>
      </w:r>
      <w:r w:rsidRPr="00D34C9E">
        <w:rPr>
          <w:rStyle w:val="aff6"/>
          <w:rtl/>
        </w:rPr>
        <w:instrText xml:space="preserve"> </w:instrText>
      </w:r>
      <w:r w:rsidRPr="00D34C9E">
        <w:rPr>
          <w:rStyle w:val="aff6"/>
          <w:rtl/>
        </w:rPr>
      </w:r>
      <w:r w:rsidRPr="00D34C9E">
        <w:rPr>
          <w:rStyle w:val="aff6"/>
          <w:rtl/>
        </w:rPr>
        <w:fldChar w:fldCharType="separate"/>
      </w:r>
      <w:r w:rsidR="00265073">
        <w:rPr>
          <w:rStyle w:val="aff6"/>
          <w:cs/>
        </w:rPr>
        <w:t>‎</w:t>
      </w:r>
      <w:r w:rsidR="00265073">
        <w:rPr>
          <w:rStyle w:val="aff6"/>
          <w:rtl/>
        </w:rPr>
        <w:t>פא)</w:t>
      </w:r>
      <w:r w:rsidRPr="00D34C9E">
        <w:rPr>
          <w:rStyle w:val="aff6"/>
          <w:rtl/>
        </w:rPr>
        <w:fldChar w:fldCharType="end"/>
      </w:r>
      <w:r w:rsidRPr="00D34C9E">
        <w:rPr>
          <w:rStyle w:val="afb"/>
          <w:rFonts w:hint="cs"/>
          <w:rtl/>
        </w:rPr>
        <w:t xml:space="preserve"> כתב דאי"ז כוונת </w:t>
      </w:r>
      <w:r w:rsidRPr="00794192">
        <w:rPr>
          <w:rStyle w:val="affa"/>
          <w:rFonts w:hint="cs"/>
          <w:rtl/>
        </w:rPr>
        <w:t>התוס'</w:t>
      </w:r>
      <w:r w:rsidRPr="00D34C9E">
        <w:rPr>
          <w:rStyle w:val="afb"/>
          <w:rFonts w:hint="cs"/>
          <w:rtl/>
        </w:rPr>
        <w:t>]</w:t>
      </w:r>
      <w:r>
        <w:rPr>
          <w:rStyle w:val="afb"/>
          <w:rFonts w:hint="cs"/>
          <w:rtl/>
        </w:rPr>
        <w:t>.</w:t>
      </w:r>
      <w:bookmarkEnd w:id="9772"/>
    </w:p>
    <w:p w:rsidR="00BD40E4" w:rsidRPr="00BD40E4" w:rsidRDefault="00BD40E4" w:rsidP="00BD40E4">
      <w:pPr>
        <w:pStyle w:val="a3"/>
        <w:rPr>
          <w:rtl/>
        </w:rPr>
      </w:pPr>
    </w:p>
    <w:p w:rsidR="009335CD" w:rsidRPr="009335CD" w:rsidRDefault="009335CD" w:rsidP="009335CD">
      <w:pPr>
        <w:pStyle w:val="a3"/>
        <w:rPr>
          <w:rtl/>
        </w:rPr>
      </w:pPr>
    </w:p>
    <w:p w:rsidR="009335CD" w:rsidRPr="009335CD" w:rsidRDefault="009335CD" w:rsidP="009335CD">
      <w:pPr>
        <w:pStyle w:val="a3"/>
        <w:rPr>
          <w:rtl/>
        </w:rPr>
      </w:pPr>
    </w:p>
    <w:p w:rsidR="009335CD" w:rsidRPr="009335CD" w:rsidRDefault="009335CD" w:rsidP="009335CD">
      <w:pPr>
        <w:pStyle w:val="a3"/>
        <w:rPr>
          <w:rtl/>
        </w:rPr>
      </w:pPr>
    </w:p>
    <w:p w:rsidR="009335CD" w:rsidRPr="009335CD" w:rsidRDefault="009335CD" w:rsidP="009335CD">
      <w:pPr>
        <w:pStyle w:val="a3"/>
        <w:rPr>
          <w:rtl/>
        </w:rPr>
      </w:pPr>
    </w:p>
    <w:p w:rsidR="000E75A3" w:rsidRPr="002A312D" w:rsidRDefault="000E75A3" w:rsidP="000E75A3">
      <w:pPr>
        <w:pStyle w:val="1"/>
      </w:pPr>
      <w:bookmarkStart w:id="9773" w:name="_Toc59741661"/>
      <w:bookmarkStart w:id="9774" w:name="_Toc59786796"/>
      <w:bookmarkStart w:id="9775" w:name="_Toc59802610"/>
      <w:bookmarkStart w:id="9776" w:name="_Toc59916171"/>
      <w:r>
        <w:rPr>
          <w:rFonts w:hint="cs"/>
          <w:rtl/>
        </w:rPr>
        <w:lastRenderedPageBreak/>
        <w:t>דברי הטור דכל דברי הרשב"ם הם כיון דהודה מעצמו</w:t>
      </w:r>
      <w:bookmarkEnd w:id="9773"/>
      <w:bookmarkEnd w:id="9774"/>
      <w:bookmarkEnd w:id="9775"/>
      <w:bookmarkEnd w:id="9776"/>
    </w:p>
    <w:p w:rsidR="000E75A3" w:rsidRPr="00D06798" w:rsidRDefault="000E75A3" w:rsidP="000E75A3">
      <w:pPr>
        <w:pStyle w:val="a3"/>
      </w:pPr>
      <w:r>
        <w:rPr>
          <w:rFonts w:hint="cs"/>
          <w:rtl/>
        </w:rPr>
        <w:t xml:space="preserve"> </w:t>
      </w:r>
      <w:bookmarkStart w:id="9777" w:name="_Toc59741662"/>
      <w:bookmarkStart w:id="9778" w:name="_Toc59786797"/>
      <w:bookmarkStart w:id="9779" w:name="_Toc59802611"/>
      <w:bookmarkStart w:id="9780" w:name="_Toc59916172"/>
      <w:r>
        <w:rPr>
          <w:rFonts w:hint="cs"/>
          <w:rtl/>
        </w:rPr>
        <w:t>דברי הטור דרבינו יונה ביאר ברשב"ם דכיון דהודה מעצמו לכן מוציאין ממנו [אף בקמי דידי]</w:t>
      </w:r>
      <w:bookmarkEnd w:id="9777"/>
      <w:bookmarkEnd w:id="9778"/>
      <w:bookmarkEnd w:id="9779"/>
      <w:bookmarkEnd w:id="9780"/>
    </w:p>
    <w:p w:rsidR="000E75A3" w:rsidRPr="00CA42DD" w:rsidRDefault="000E75A3" w:rsidP="007E4E81">
      <w:pPr>
        <w:pStyle w:val="a0"/>
        <w:rPr>
          <w:rStyle w:val="afb"/>
        </w:rPr>
      </w:pPr>
      <w:r>
        <w:rPr>
          <w:rFonts w:hint="cs"/>
          <w:rtl/>
        </w:rPr>
        <w:t xml:space="preserve">והוסיף </w:t>
      </w:r>
      <w:r>
        <w:rPr>
          <w:rStyle w:val="af9"/>
          <w:rtl/>
        </w:rPr>
        <w:t>הטור</w:t>
      </w:r>
      <w:r>
        <w:rPr>
          <w:rFonts w:hint="cs"/>
          <w:rtl/>
        </w:rPr>
        <w:t xml:space="preserve"> </w:t>
      </w:r>
      <w:r w:rsidRPr="00D42A26">
        <w:rPr>
          <w:rStyle w:val="af7"/>
          <w:rFonts w:eastAsia="Guttman Hodes" w:hint="cs"/>
          <w:rtl/>
        </w:rPr>
        <w:t>(סי' קמ"ו י"ג)</w:t>
      </w:r>
      <w:r w:rsidRPr="004B5FF2">
        <w:rPr>
          <w:rFonts w:hint="cs"/>
          <w:rtl/>
        </w:rPr>
        <w:t xml:space="preserve"> </w:t>
      </w:r>
      <w:r w:rsidRPr="004B5FF2">
        <w:rPr>
          <w:rStyle w:val="af9"/>
          <w:rtl/>
        </w:rPr>
        <w:t>דרבינו יונה</w:t>
      </w:r>
      <w:r w:rsidRPr="00D42A26">
        <w:rPr>
          <w:rStyle w:val="af7"/>
          <w:rFonts w:eastAsia="Guttman Hodes" w:hint="cs"/>
          <w:rtl/>
        </w:rPr>
        <w:t xml:space="preserve"> (עי' אות </w:t>
      </w:r>
      <w:r w:rsidRPr="00D42A26">
        <w:rPr>
          <w:rStyle w:val="af7"/>
          <w:rFonts w:eastAsia="Guttman Hodes"/>
          <w:rtl/>
        </w:rPr>
        <w:fldChar w:fldCharType="begin"/>
      </w:r>
      <w:r w:rsidRPr="00D42A26">
        <w:rPr>
          <w:rStyle w:val="af7"/>
          <w:rFonts w:eastAsia="Guttman Hodes"/>
          <w:rtl/>
        </w:rPr>
        <w:instrText xml:space="preserve"> </w:instrText>
      </w:r>
      <w:r w:rsidRPr="00D42A26">
        <w:rPr>
          <w:rStyle w:val="af7"/>
          <w:rFonts w:eastAsia="Guttman Hodes"/>
        </w:rPr>
        <w:instrText>REF</w:instrText>
      </w:r>
      <w:r w:rsidRPr="00D42A26">
        <w:rPr>
          <w:rStyle w:val="af7"/>
          <w:rFonts w:eastAsia="Guttman Hodes"/>
          <w:rtl/>
        </w:rPr>
        <w:instrText xml:space="preserve"> _</w:instrText>
      </w:r>
      <w:r w:rsidRPr="00D42A26">
        <w:rPr>
          <w:rStyle w:val="af7"/>
          <w:rFonts w:eastAsia="Guttman Hodes"/>
        </w:rPr>
        <w:instrText>Ref59024352 \r \h</w:instrText>
      </w:r>
      <w:r w:rsidRPr="00D42A26">
        <w:rPr>
          <w:rStyle w:val="af7"/>
          <w:rFonts w:eastAsia="Guttman Hodes"/>
          <w:rtl/>
        </w:rPr>
        <w:instrText xml:space="preserve"> </w:instrText>
      </w:r>
      <w:r w:rsidRPr="00D42A26">
        <w:rPr>
          <w:rStyle w:val="af7"/>
          <w:rFonts w:eastAsia="Guttman Hodes"/>
          <w:rtl/>
        </w:rPr>
      </w:r>
      <w:r w:rsidRPr="00D42A26">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D42A26">
        <w:rPr>
          <w:rStyle w:val="af7"/>
          <w:rFonts w:eastAsia="Guttman Hodes"/>
          <w:rtl/>
        </w:rPr>
        <w:fldChar w:fldCharType="end"/>
      </w:r>
      <w:r w:rsidRPr="00D42A26">
        <w:rPr>
          <w:rStyle w:val="af7"/>
          <w:rFonts w:eastAsia="Guttman Hodes" w:hint="cs"/>
          <w:rtl/>
        </w:rPr>
        <w:t xml:space="preserve"> </w:t>
      </w:r>
      <w:r w:rsidRPr="004B5FF2">
        <w:rPr>
          <w:rFonts w:hint="cs"/>
          <w:rtl/>
        </w:rPr>
        <w:t xml:space="preserve">ביאר את דברי </w:t>
      </w:r>
      <w:r w:rsidRPr="004B5FF2">
        <w:rPr>
          <w:rStyle w:val="af9"/>
          <w:rtl/>
        </w:rPr>
        <w:t>הרשב"ם</w:t>
      </w:r>
      <w:r>
        <w:rPr>
          <w:rStyle w:val="af1"/>
          <w:rtl/>
        </w:rPr>
        <w:footnoteReference w:id="66"/>
      </w:r>
      <w:r w:rsidRPr="004B5FF2">
        <w:rPr>
          <w:rFonts w:hint="cs"/>
          <w:rtl/>
        </w:rPr>
        <w:t xml:space="preserve"> דהא ד</w:t>
      </w:r>
      <w:r>
        <w:rPr>
          <w:rFonts w:hint="cs"/>
          <w:rtl/>
        </w:rPr>
        <w:t xml:space="preserve">כשאין לו חזקת ג"ש </w:t>
      </w:r>
      <w:r w:rsidRPr="004B5FF2">
        <w:rPr>
          <w:rFonts w:hint="cs"/>
          <w:rtl/>
        </w:rPr>
        <w:t>מוציאין מהמחזיק אעפ"י שאין למערער עדים, הוא דוקא באופן שהמחזיק</w:t>
      </w:r>
      <w:r>
        <w:rPr>
          <w:rFonts w:hint="cs"/>
          <w:rtl/>
        </w:rPr>
        <w:t xml:space="preserve"> מודה שידע שהייתה הקרקע של המערער, ולא שמע כן רק מהמוכר,</w:t>
      </w:r>
      <w:r w:rsidRPr="009540AA">
        <w:rPr>
          <w:rFonts w:hint="cs"/>
          <w:rtl/>
        </w:rPr>
        <w:t xml:space="preserve"> </w:t>
      </w:r>
      <w:r>
        <w:rPr>
          <w:rFonts w:hint="cs"/>
          <w:rtl/>
        </w:rPr>
        <w:t>אבל אם לא הודה המחזיק שידע</w:t>
      </w:r>
      <w:r w:rsidRPr="00DD266A">
        <w:rPr>
          <w:rFonts w:hint="cs"/>
          <w:rtl/>
        </w:rPr>
        <w:t xml:space="preserve"> </w:t>
      </w:r>
      <w:r>
        <w:rPr>
          <w:rFonts w:hint="cs"/>
          <w:rtl/>
        </w:rPr>
        <w:t>מעצמו שהייתה של המערער, וכל ידיעתו היא ממה שאמר לו המוכר, א"א להוציא ממנו, דהא המוכר נאמן מדין הפה שאסר, אך הביא</w:t>
      </w:r>
      <w:r>
        <w:rPr>
          <w:rStyle w:val="af9"/>
          <w:rFonts w:hint="cs"/>
          <w:rtl/>
        </w:rPr>
        <w:t xml:space="preserve"> </w:t>
      </w:r>
      <w:r>
        <w:rPr>
          <w:rStyle w:val="af9"/>
          <w:rtl/>
        </w:rPr>
        <w:t>הטור</w:t>
      </w:r>
      <w:r>
        <w:rPr>
          <w:rFonts w:hint="cs"/>
          <w:rtl/>
        </w:rPr>
        <w:t xml:space="preserve"> את דברי </w:t>
      </w:r>
      <w:r w:rsidRPr="00DD266A">
        <w:rPr>
          <w:rStyle w:val="af9"/>
          <w:rFonts w:hint="cs"/>
          <w:rtl/>
        </w:rPr>
        <w:t>הרא"ש</w:t>
      </w:r>
      <w:r>
        <w:rPr>
          <w:rFonts w:hint="cs"/>
          <w:rtl/>
        </w:rPr>
        <w:t xml:space="preserve"> </w:t>
      </w:r>
      <w:r w:rsidRPr="0022212F">
        <w:rPr>
          <w:rStyle w:val="af7"/>
          <w:rFonts w:eastAsia="Guttman Hodes"/>
          <w:rtl/>
        </w:rPr>
        <w:t xml:space="preserve">(עי' אות </w:t>
      </w:r>
      <w:r w:rsidRPr="00EE2784">
        <w:rPr>
          <w:rStyle w:val="af7"/>
          <w:rFonts w:eastAsia="Guttman Hodes"/>
          <w:rtl/>
        </w:rPr>
        <w:fldChar w:fldCharType="begin"/>
      </w:r>
      <w:r w:rsidRPr="00EE2784">
        <w:rPr>
          <w:rStyle w:val="af7"/>
          <w:rFonts w:eastAsia="Guttman Hodes"/>
          <w:rtl/>
        </w:rPr>
        <w:instrText xml:space="preserve"> </w:instrText>
      </w:r>
      <w:r w:rsidRPr="00EE2784">
        <w:rPr>
          <w:rStyle w:val="af7"/>
          <w:rFonts w:eastAsia="Guttman Hodes"/>
        </w:rPr>
        <w:instrText>REF</w:instrText>
      </w:r>
      <w:r w:rsidRPr="00EE2784">
        <w:rPr>
          <w:rStyle w:val="af7"/>
          <w:rFonts w:eastAsia="Guttman Hodes"/>
          <w:rtl/>
        </w:rPr>
        <w:instrText xml:space="preserve"> _</w:instrText>
      </w:r>
      <w:r w:rsidRPr="00EE2784">
        <w:rPr>
          <w:rStyle w:val="af7"/>
          <w:rFonts w:eastAsia="Guttman Hodes"/>
        </w:rPr>
        <w:instrText>Ref59701130 \r \h</w:instrText>
      </w:r>
      <w:r w:rsidRPr="00EE2784">
        <w:rPr>
          <w:rStyle w:val="af7"/>
          <w:rFonts w:eastAsia="Guttman Hodes"/>
          <w:rtl/>
        </w:rPr>
        <w:instrText xml:space="preserve"> </w:instrText>
      </w:r>
      <w:r w:rsidRPr="00EE2784">
        <w:rPr>
          <w:rStyle w:val="af7"/>
          <w:rFonts w:eastAsia="Guttman Hodes"/>
          <w:rtl/>
        </w:rPr>
      </w:r>
      <w:r w:rsidRPr="00EE2784">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EE2784">
        <w:rPr>
          <w:rStyle w:val="af7"/>
          <w:rFonts w:eastAsia="Guttman Hodes"/>
          <w:rtl/>
        </w:rPr>
        <w:fldChar w:fldCharType="end"/>
      </w:r>
      <w:r w:rsidRPr="009F41B9">
        <w:rPr>
          <w:rtl/>
        </w:rPr>
        <w:t xml:space="preserve"> </w:t>
      </w:r>
      <w:r>
        <w:rPr>
          <w:rFonts w:hint="cs"/>
          <w:rtl/>
        </w:rPr>
        <w:t xml:space="preserve">דפליג וס"ל דאף כשהמחזיק אינו יודע מעצמו שהייתה של המערער, ורק שמע כן מהמוכר, מ"מ הוא צריך להחזירה למערער. </w:t>
      </w:r>
    </w:p>
    <w:p w:rsidR="000E75A3" w:rsidRDefault="000E75A3" w:rsidP="000E75A3">
      <w:pPr>
        <w:pStyle w:val="a3"/>
      </w:pPr>
      <w:bookmarkStart w:id="9781" w:name="_Toc59741663"/>
      <w:bookmarkStart w:id="9782" w:name="_Toc59786798"/>
      <w:bookmarkStart w:id="9783" w:name="_Toc59802612"/>
      <w:bookmarkStart w:id="9784" w:name="_Toc59916173"/>
      <w:bookmarkStart w:id="9785" w:name="_Toc59620311"/>
      <w:bookmarkStart w:id="9786" w:name="_Toc59643583"/>
      <w:bookmarkEnd w:id="9770"/>
      <w:bookmarkEnd w:id="9771"/>
      <w:r>
        <w:rPr>
          <w:rFonts w:hint="cs"/>
          <w:rtl/>
        </w:rPr>
        <w:t>ביאור הדרישה דלדברי הרא"ש דלא הודה מעצמו נאמן בטוען שיש לו חזקה אלא דאין לו מיגו</w:t>
      </w:r>
      <w:bookmarkEnd w:id="9781"/>
      <w:bookmarkEnd w:id="9782"/>
      <w:bookmarkEnd w:id="9783"/>
      <w:bookmarkEnd w:id="9784"/>
    </w:p>
    <w:p w:rsidR="000E75A3" w:rsidRDefault="000E75A3" w:rsidP="007E4E81">
      <w:pPr>
        <w:pStyle w:val="a0"/>
        <w:rPr>
          <w:rtl/>
        </w:rPr>
      </w:pPr>
      <w:bookmarkStart w:id="9787" w:name="_Ref59701194"/>
      <w:r>
        <w:rPr>
          <w:rFonts w:hint="cs"/>
          <w:rtl/>
        </w:rPr>
        <w:t>וביאר</w:t>
      </w:r>
      <w:r w:rsidRPr="009F41B9">
        <w:rPr>
          <w:rtl/>
        </w:rPr>
        <w:t xml:space="preserve"> </w:t>
      </w:r>
      <w:r w:rsidRPr="00F42438">
        <w:rPr>
          <w:rStyle w:val="af9"/>
          <w:rtl/>
        </w:rPr>
        <w:t>הדרישה</w:t>
      </w:r>
      <w:r w:rsidRPr="009F41B9">
        <w:rPr>
          <w:rtl/>
        </w:rPr>
        <w:t xml:space="preserve"> </w:t>
      </w:r>
      <w:r w:rsidRPr="0022212F">
        <w:rPr>
          <w:rStyle w:val="af7"/>
          <w:rFonts w:eastAsia="Guttman Hodes"/>
          <w:rtl/>
        </w:rPr>
        <w:t>(סי' קמ"ו סקכ"ד סוד"ה לכן נראה)</w:t>
      </w:r>
      <w:r w:rsidRPr="009F41B9">
        <w:rPr>
          <w:rtl/>
        </w:rPr>
        <w:t xml:space="preserve"> דכל דברי </w:t>
      </w:r>
      <w:r w:rsidRPr="00F42438">
        <w:rPr>
          <w:rStyle w:val="af9"/>
          <w:rtl/>
        </w:rPr>
        <w:t>הרשב"ם</w:t>
      </w:r>
      <w:r w:rsidRPr="009F41B9">
        <w:rPr>
          <w:rtl/>
        </w:rPr>
        <w:t xml:space="preserve"> דאינו נאמן בטענת ברי או בעידי חד יומא בלא חזקה,</w:t>
      </w:r>
      <w:r>
        <w:rPr>
          <w:rtl/>
        </w:rPr>
        <w:t xml:space="preserve"> </w:t>
      </w:r>
      <w:r w:rsidRPr="009F41B9">
        <w:rPr>
          <w:rtl/>
        </w:rPr>
        <w:t xml:space="preserve">הם רק לפי ביאור </w:t>
      </w:r>
      <w:r w:rsidRPr="00F42438">
        <w:rPr>
          <w:rStyle w:val="af9"/>
          <w:rtl/>
        </w:rPr>
        <w:t>רבינו יונה</w:t>
      </w:r>
      <w:r w:rsidRPr="00363F48">
        <w:rPr>
          <w:rStyle w:val="af7"/>
          <w:rFonts w:eastAsia="Guttman Hodes"/>
          <w:rtl/>
        </w:rPr>
        <w:t xml:space="preserve"> </w:t>
      </w:r>
      <w:r w:rsidRPr="00363F48">
        <w:rPr>
          <w:rStyle w:val="af7"/>
          <w:rFonts w:eastAsia="Guttman Hodes" w:hint="cs"/>
          <w:rtl/>
        </w:rPr>
        <w:t xml:space="preserve">(עי' אות </w:t>
      </w:r>
      <w:r w:rsidRPr="00363F48">
        <w:rPr>
          <w:rStyle w:val="af7"/>
          <w:rFonts w:eastAsia="Guttman Hodes"/>
          <w:rtl/>
        </w:rPr>
        <w:fldChar w:fldCharType="begin"/>
      </w:r>
      <w:r w:rsidRPr="00363F48">
        <w:rPr>
          <w:rStyle w:val="af7"/>
          <w:rFonts w:eastAsia="Guttman Hodes"/>
          <w:rtl/>
        </w:rPr>
        <w:instrText xml:space="preserve"> </w:instrText>
      </w:r>
      <w:r w:rsidRPr="00363F48">
        <w:rPr>
          <w:rStyle w:val="af7"/>
          <w:rFonts w:eastAsia="Guttman Hodes"/>
        </w:rPr>
        <w:instrText>REF</w:instrText>
      </w:r>
      <w:r w:rsidRPr="00363F48">
        <w:rPr>
          <w:rStyle w:val="af7"/>
          <w:rFonts w:eastAsia="Guttman Hodes"/>
          <w:rtl/>
        </w:rPr>
        <w:instrText xml:space="preserve"> _</w:instrText>
      </w:r>
      <w:r w:rsidRPr="00363F48">
        <w:rPr>
          <w:rStyle w:val="af7"/>
          <w:rFonts w:eastAsia="Guttman Hodes"/>
        </w:rPr>
        <w:instrText>Ref59024352 \r \h</w:instrText>
      </w:r>
      <w:r w:rsidRPr="00363F48">
        <w:rPr>
          <w:rStyle w:val="af7"/>
          <w:rFonts w:eastAsia="Guttman Hodes"/>
          <w:rtl/>
        </w:rPr>
        <w:instrText xml:space="preserve"> </w:instrText>
      </w:r>
      <w:r w:rsidRPr="00363F48">
        <w:rPr>
          <w:rStyle w:val="af7"/>
          <w:rFonts w:eastAsia="Guttman Hodes"/>
          <w:rtl/>
        </w:rPr>
      </w:r>
      <w:r w:rsidRPr="00363F48">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363F48">
        <w:rPr>
          <w:rStyle w:val="af7"/>
          <w:rFonts w:eastAsia="Guttman Hodes"/>
          <w:rtl/>
        </w:rPr>
        <w:fldChar w:fldCharType="end"/>
      </w:r>
      <w:r w:rsidRPr="00363F48">
        <w:rPr>
          <w:rStyle w:val="af7"/>
          <w:rFonts w:eastAsia="Guttman Hodes" w:hint="cs"/>
          <w:rtl/>
        </w:rPr>
        <w:t xml:space="preserve"> </w:t>
      </w:r>
      <w:r w:rsidRPr="00F42438">
        <w:rPr>
          <w:rStyle w:val="af9"/>
          <w:rtl/>
        </w:rPr>
        <w:t>ברשב"ם</w:t>
      </w:r>
      <w:r w:rsidRPr="009F41B9">
        <w:rPr>
          <w:rtl/>
        </w:rPr>
        <w:t xml:space="preserve"> דאיירי שהמחזיק הודה מעצמו, שהקרקע הייתה של המערער, ושאין לו חזקת ג"ש, אבל לדעת </w:t>
      </w:r>
      <w:r w:rsidRPr="00F42438">
        <w:rPr>
          <w:rStyle w:val="af9"/>
          <w:rtl/>
        </w:rPr>
        <w:t>הרא"ש</w:t>
      </w:r>
      <w:r w:rsidRPr="009F41B9">
        <w:rPr>
          <w:rtl/>
        </w:rPr>
        <w:t xml:space="preserve"> </w:t>
      </w:r>
      <w:r w:rsidRPr="0022212F">
        <w:rPr>
          <w:rStyle w:val="af7"/>
          <w:rFonts w:eastAsia="Guttman Hodes"/>
          <w:rtl/>
        </w:rPr>
        <w:t xml:space="preserve">(עי' אות </w:t>
      </w:r>
      <w:r w:rsidRPr="00EE2784">
        <w:rPr>
          <w:rStyle w:val="af7"/>
          <w:rFonts w:eastAsia="Guttman Hodes"/>
          <w:rtl/>
        </w:rPr>
        <w:fldChar w:fldCharType="begin"/>
      </w:r>
      <w:r w:rsidRPr="00EE2784">
        <w:rPr>
          <w:rStyle w:val="af7"/>
          <w:rFonts w:eastAsia="Guttman Hodes"/>
          <w:rtl/>
        </w:rPr>
        <w:instrText xml:space="preserve"> </w:instrText>
      </w:r>
      <w:r w:rsidRPr="00EE2784">
        <w:rPr>
          <w:rStyle w:val="af7"/>
          <w:rFonts w:eastAsia="Guttman Hodes"/>
        </w:rPr>
        <w:instrText>REF</w:instrText>
      </w:r>
      <w:r w:rsidRPr="00EE2784">
        <w:rPr>
          <w:rStyle w:val="af7"/>
          <w:rFonts w:eastAsia="Guttman Hodes"/>
          <w:rtl/>
        </w:rPr>
        <w:instrText xml:space="preserve"> _</w:instrText>
      </w:r>
      <w:r w:rsidRPr="00EE2784">
        <w:rPr>
          <w:rStyle w:val="af7"/>
          <w:rFonts w:eastAsia="Guttman Hodes"/>
        </w:rPr>
        <w:instrText>Ref59701130 \r \h</w:instrText>
      </w:r>
      <w:r w:rsidRPr="00EE2784">
        <w:rPr>
          <w:rStyle w:val="af7"/>
          <w:rFonts w:eastAsia="Guttman Hodes"/>
          <w:rtl/>
        </w:rPr>
        <w:instrText xml:space="preserve"> </w:instrText>
      </w:r>
      <w:r w:rsidRPr="00EE2784">
        <w:rPr>
          <w:rStyle w:val="af7"/>
          <w:rFonts w:eastAsia="Guttman Hodes"/>
          <w:rtl/>
        </w:rPr>
      </w:r>
      <w:r w:rsidRPr="00EE2784">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EE2784">
        <w:rPr>
          <w:rStyle w:val="af7"/>
          <w:rFonts w:eastAsia="Guttman Hodes"/>
          <w:rtl/>
        </w:rPr>
        <w:fldChar w:fldCharType="end"/>
      </w:r>
      <w:r w:rsidRPr="009F41B9">
        <w:rPr>
          <w:rtl/>
        </w:rPr>
        <w:t xml:space="preserve"> דהמחזיק לא הודה מעצמו, אלא הודה רק ששמע כן מפי המוכר, כתב </w:t>
      </w:r>
      <w:r w:rsidRPr="00F42438">
        <w:rPr>
          <w:rStyle w:val="af9"/>
          <w:rtl/>
        </w:rPr>
        <w:t xml:space="preserve">הדרישה </w:t>
      </w:r>
      <w:r>
        <w:rPr>
          <w:rFonts w:hint="cs"/>
          <w:rtl/>
        </w:rPr>
        <w:t>ד</w:t>
      </w:r>
      <w:r w:rsidRPr="009F41B9">
        <w:rPr>
          <w:rtl/>
        </w:rPr>
        <w:t xml:space="preserve">א"כ אמרינן דאם היה המוכר בא לפנינו, והיה טוען שקנה מהמערער ויש לו חזקת ג"ש, היה נאמן כיון שאין למערער עדים, וכתב </w:t>
      </w:r>
      <w:r w:rsidRPr="00F42438">
        <w:rPr>
          <w:rStyle w:val="af9"/>
          <w:rtl/>
        </w:rPr>
        <w:t xml:space="preserve">הדרישה </w:t>
      </w:r>
      <w:r w:rsidRPr="009F41B9">
        <w:rPr>
          <w:rtl/>
        </w:rPr>
        <w:t xml:space="preserve">דלכן ביאר </w:t>
      </w:r>
      <w:r w:rsidRPr="00F42438">
        <w:rPr>
          <w:rStyle w:val="af9"/>
          <w:rtl/>
        </w:rPr>
        <w:t>הרא"ש</w:t>
      </w:r>
      <w:r w:rsidRPr="009F41B9">
        <w:rPr>
          <w:rtl/>
        </w:rPr>
        <w:t xml:space="preserve"> </w:t>
      </w:r>
      <w:r w:rsidRPr="0022212F">
        <w:rPr>
          <w:rStyle w:val="af7"/>
          <w:rFonts w:eastAsia="Guttman Hodes"/>
          <w:rtl/>
        </w:rPr>
        <w:t xml:space="preserve">(עי' </w:t>
      </w:r>
      <w:r w:rsidRPr="00EE2784">
        <w:rPr>
          <w:rStyle w:val="af7"/>
          <w:rFonts w:eastAsia="Guttman Hodes"/>
          <w:rtl/>
        </w:rPr>
        <w:t xml:space="preserve">אות </w:t>
      </w:r>
      <w:r w:rsidRPr="00EE2784">
        <w:rPr>
          <w:rStyle w:val="af7"/>
          <w:rFonts w:eastAsia="Guttman Hodes"/>
          <w:rtl/>
        </w:rPr>
        <w:fldChar w:fldCharType="begin"/>
      </w:r>
      <w:r w:rsidRPr="00EE2784">
        <w:rPr>
          <w:rStyle w:val="af7"/>
          <w:rFonts w:eastAsia="Guttman Hodes"/>
          <w:rtl/>
        </w:rPr>
        <w:instrText xml:space="preserve"> </w:instrText>
      </w:r>
      <w:r w:rsidRPr="00EE2784">
        <w:rPr>
          <w:rStyle w:val="af7"/>
          <w:rFonts w:eastAsia="Guttman Hodes"/>
        </w:rPr>
        <w:instrText>REF</w:instrText>
      </w:r>
      <w:r w:rsidRPr="00EE2784">
        <w:rPr>
          <w:rStyle w:val="af7"/>
          <w:rFonts w:eastAsia="Guttman Hodes"/>
          <w:rtl/>
        </w:rPr>
        <w:instrText xml:space="preserve"> _</w:instrText>
      </w:r>
      <w:r w:rsidRPr="00EE2784">
        <w:rPr>
          <w:rStyle w:val="af7"/>
          <w:rFonts w:eastAsia="Guttman Hodes"/>
        </w:rPr>
        <w:instrText>Ref59655213 \r \h</w:instrText>
      </w:r>
      <w:r w:rsidRPr="00EE2784">
        <w:rPr>
          <w:rStyle w:val="af7"/>
          <w:rFonts w:eastAsia="Guttman Hodes"/>
          <w:rtl/>
        </w:rPr>
        <w:instrText xml:space="preserve"> </w:instrText>
      </w:r>
      <w:r w:rsidRPr="00EE2784">
        <w:rPr>
          <w:rStyle w:val="af7"/>
          <w:rFonts w:eastAsia="Guttman Hodes"/>
          <w:rtl/>
        </w:rPr>
      </w:r>
      <w:r w:rsidRPr="00EE2784">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EE2784">
        <w:rPr>
          <w:rStyle w:val="af7"/>
          <w:rFonts w:eastAsia="Guttman Hodes"/>
          <w:rtl/>
        </w:rPr>
        <w:fldChar w:fldCharType="end"/>
      </w:r>
      <w:r w:rsidRPr="009F41B9">
        <w:rPr>
          <w:rtl/>
        </w:rPr>
        <w:t xml:space="preserve"> דהמחזיק אינו נאמן דהמיגו דלא הייתה של המערער מעולם, היא טענה גרועה, </w:t>
      </w:r>
      <w:r w:rsidRPr="00F42438">
        <w:rPr>
          <w:rStyle w:val="afb"/>
          <w:rtl/>
        </w:rPr>
        <w:t>[דהמחזיק ירא לטעון אותה, ואף דמהני למוכר, לא מהני למחזיק],</w:t>
      </w:r>
      <w:r w:rsidRPr="009F41B9">
        <w:rPr>
          <w:rtl/>
        </w:rPr>
        <w:t xml:space="preserve"> ולכן כל שאין למחזיק חזקת ג"ש, מוציאין ממנו.</w:t>
      </w:r>
      <w:bookmarkEnd w:id="9787"/>
      <w:r>
        <w:rPr>
          <w:rFonts w:hint="cs"/>
          <w:rtl/>
        </w:rPr>
        <w:t xml:space="preserve"> </w:t>
      </w:r>
    </w:p>
    <w:p w:rsidR="000E75A3" w:rsidRDefault="000E75A3" w:rsidP="000E75A3">
      <w:pPr>
        <w:pStyle w:val="1"/>
        <w:rPr>
          <w:rtl/>
        </w:rPr>
      </w:pPr>
      <w:bookmarkStart w:id="9788" w:name="_Toc59741664"/>
      <w:bookmarkStart w:id="9789" w:name="_Toc59786799"/>
      <w:bookmarkStart w:id="9790" w:name="_Toc59802613"/>
      <w:bookmarkStart w:id="9791" w:name="_Toc59916174"/>
      <w:r>
        <w:rPr>
          <w:rFonts w:hint="cs"/>
          <w:rtl/>
        </w:rPr>
        <w:t>בי' הדרישה והביה"ל ברשב"ם דבתוך ג"א אמרינן אחוי שטרך</w:t>
      </w:r>
      <w:bookmarkEnd w:id="9788"/>
      <w:bookmarkEnd w:id="9789"/>
      <w:bookmarkEnd w:id="9790"/>
      <w:bookmarkEnd w:id="9791"/>
    </w:p>
    <w:p w:rsidR="000E75A3" w:rsidRPr="00366FBB" w:rsidRDefault="000E75A3" w:rsidP="000E75A3">
      <w:pPr>
        <w:pStyle w:val="a3"/>
        <w:rPr>
          <w:rtl/>
        </w:rPr>
      </w:pPr>
      <w:bookmarkStart w:id="9792" w:name="_Toc59741665"/>
      <w:bookmarkStart w:id="9793" w:name="_Toc59786800"/>
      <w:bookmarkStart w:id="9794" w:name="_Toc59802614"/>
      <w:bookmarkStart w:id="9795" w:name="_Toc59916175"/>
      <w:r>
        <w:rPr>
          <w:rFonts w:hint="cs"/>
          <w:rtl/>
        </w:rPr>
        <w:t>קושית הדרישה על ביאור הרא"ש ברשב"ם דאף בלא חזקה יהיה נאמן בברי דהוא ודאי וודאי</w:t>
      </w:r>
      <w:bookmarkEnd w:id="9792"/>
      <w:bookmarkEnd w:id="9793"/>
      <w:bookmarkEnd w:id="9794"/>
      <w:bookmarkEnd w:id="9795"/>
    </w:p>
    <w:p w:rsidR="000E75A3" w:rsidRDefault="000E75A3" w:rsidP="007E4E81">
      <w:pPr>
        <w:pStyle w:val="a0"/>
        <w:rPr>
          <w:rtl/>
        </w:rPr>
      </w:pPr>
      <w:bookmarkStart w:id="9796" w:name="_Ref59700825"/>
      <w:r>
        <w:rPr>
          <w:rFonts w:hint="cs"/>
          <w:rtl/>
        </w:rPr>
        <w:t xml:space="preserve">כתב </w:t>
      </w:r>
      <w:r w:rsidRPr="00EB4F74">
        <w:rPr>
          <w:rStyle w:val="af9"/>
          <w:rFonts w:hint="cs"/>
          <w:rtl/>
        </w:rPr>
        <w:t>הדרישה</w:t>
      </w:r>
      <w:r>
        <w:rPr>
          <w:rFonts w:hint="cs"/>
          <w:rtl/>
        </w:rPr>
        <w:t xml:space="preserve"> </w:t>
      </w:r>
      <w:r w:rsidRPr="00E118CB">
        <w:rPr>
          <w:rStyle w:val="af7"/>
          <w:rFonts w:eastAsia="Guttman Hodes" w:hint="cs"/>
          <w:rtl/>
        </w:rPr>
        <w:t xml:space="preserve">(סי' קמ"ו סקכ"ד ד"ה </w:t>
      </w:r>
      <w:r w:rsidRPr="00E118CB">
        <w:rPr>
          <w:rStyle w:val="af7"/>
          <w:rFonts w:eastAsia="Guttman Hodes"/>
          <w:rtl/>
        </w:rPr>
        <w:t>והנה מפשטא</w:t>
      </w:r>
      <w:r w:rsidRPr="00E118CB">
        <w:rPr>
          <w:rStyle w:val="af7"/>
          <w:rFonts w:eastAsia="Guttman Hodes" w:hint="cs"/>
          <w:rtl/>
        </w:rPr>
        <w:t>)</w:t>
      </w:r>
      <w:r>
        <w:rPr>
          <w:rFonts w:hint="cs"/>
          <w:rtl/>
        </w:rPr>
        <w:t xml:space="preserve"> דמפשטות דברי </w:t>
      </w:r>
      <w:r w:rsidRPr="00E001B3">
        <w:rPr>
          <w:rStyle w:val="af9"/>
          <w:rFonts w:hint="cs"/>
          <w:rtl/>
        </w:rPr>
        <w:t>הרשב"ם</w:t>
      </w:r>
      <w:r>
        <w:rPr>
          <w:rFonts w:hint="cs"/>
          <w:rtl/>
        </w:rPr>
        <w:t xml:space="preserve"> </w:t>
      </w:r>
      <w:r w:rsidRPr="006725F0">
        <w:rPr>
          <w:rStyle w:val="af7"/>
          <w:rFonts w:eastAsia="Guttman Hodes" w:hint="cs"/>
          <w:rtl/>
        </w:rPr>
        <w:t xml:space="preserve">(עי' אות </w:t>
      </w:r>
      <w:r w:rsidRPr="006725F0">
        <w:rPr>
          <w:rStyle w:val="af7"/>
          <w:rFonts w:eastAsia="Guttman Hodes"/>
          <w:rtl/>
        </w:rPr>
        <w:fldChar w:fldCharType="begin"/>
      </w:r>
      <w:r w:rsidRPr="006725F0">
        <w:rPr>
          <w:rStyle w:val="af7"/>
          <w:rFonts w:eastAsia="Guttman Hodes"/>
          <w:rtl/>
        </w:rPr>
        <w:instrText xml:space="preserve"> </w:instrText>
      </w:r>
      <w:r w:rsidRPr="006725F0">
        <w:rPr>
          <w:rStyle w:val="af7"/>
          <w:rFonts w:eastAsia="Guttman Hodes" w:hint="cs"/>
        </w:rPr>
        <w:instrText>REF</w:instrText>
      </w:r>
      <w:r w:rsidRPr="006725F0">
        <w:rPr>
          <w:rStyle w:val="af7"/>
          <w:rFonts w:eastAsia="Guttman Hodes" w:hint="cs"/>
          <w:rtl/>
        </w:rPr>
        <w:instrText xml:space="preserve"> _</w:instrText>
      </w:r>
      <w:r w:rsidRPr="006725F0">
        <w:rPr>
          <w:rStyle w:val="af7"/>
          <w:rFonts w:eastAsia="Guttman Hodes" w:hint="cs"/>
        </w:rPr>
        <w:instrText>Ref59546095 \r \h</w:instrText>
      </w:r>
      <w:r w:rsidRPr="006725F0">
        <w:rPr>
          <w:rStyle w:val="af7"/>
          <w:rFonts w:eastAsia="Guttman Hodes"/>
          <w:rtl/>
        </w:rPr>
        <w:instrText xml:space="preserve"> </w:instrText>
      </w:r>
      <w:r w:rsidRPr="006725F0">
        <w:rPr>
          <w:rStyle w:val="af7"/>
          <w:rFonts w:eastAsia="Guttman Hodes"/>
          <w:rtl/>
        </w:rPr>
      </w:r>
      <w:r w:rsidRPr="006725F0">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6725F0">
        <w:rPr>
          <w:rStyle w:val="af7"/>
          <w:rFonts w:eastAsia="Guttman Hodes"/>
          <w:rtl/>
        </w:rPr>
        <w:fldChar w:fldCharType="end"/>
      </w:r>
      <w:r>
        <w:rPr>
          <w:rFonts w:hint="cs"/>
          <w:rtl/>
        </w:rPr>
        <w:t xml:space="preserve"> משמע דבכדי שלא יוציאו מהמחזיק, צריך שיהיה לו גם חזקה, וגם טענת ברי, וכן בעידי חד יומא, מבואר </w:t>
      </w:r>
      <w:r w:rsidRPr="006725F0">
        <w:rPr>
          <w:rStyle w:val="af9"/>
          <w:rFonts w:hint="cs"/>
          <w:rtl/>
        </w:rPr>
        <w:t>ברשב"ם</w:t>
      </w:r>
      <w:r>
        <w:rPr>
          <w:rFonts w:hint="cs"/>
          <w:rtl/>
        </w:rPr>
        <w:t xml:space="preserve"> </w:t>
      </w:r>
      <w:r w:rsidRPr="006725F0">
        <w:rPr>
          <w:rStyle w:val="af7"/>
          <w:rFonts w:eastAsia="Guttman Hodes" w:hint="cs"/>
          <w:rtl/>
        </w:rPr>
        <w:t xml:space="preserve">(עי' אות </w:t>
      </w:r>
      <w:r w:rsidRPr="006725F0">
        <w:rPr>
          <w:rStyle w:val="af7"/>
          <w:rFonts w:eastAsia="Guttman Hodes"/>
          <w:rtl/>
        </w:rPr>
        <w:fldChar w:fldCharType="begin"/>
      </w:r>
      <w:r w:rsidRPr="006725F0">
        <w:rPr>
          <w:rStyle w:val="af7"/>
          <w:rFonts w:eastAsia="Guttman Hodes"/>
          <w:rtl/>
        </w:rPr>
        <w:instrText xml:space="preserve"> </w:instrText>
      </w:r>
      <w:r w:rsidRPr="006725F0">
        <w:rPr>
          <w:rStyle w:val="af7"/>
          <w:rFonts w:eastAsia="Guttman Hodes" w:hint="cs"/>
        </w:rPr>
        <w:instrText>REF</w:instrText>
      </w:r>
      <w:r w:rsidRPr="006725F0">
        <w:rPr>
          <w:rStyle w:val="af7"/>
          <w:rFonts w:eastAsia="Guttman Hodes" w:hint="cs"/>
          <w:rtl/>
        </w:rPr>
        <w:instrText xml:space="preserve"> _</w:instrText>
      </w:r>
      <w:r w:rsidRPr="006725F0">
        <w:rPr>
          <w:rStyle w:val="af7"/>
          <w:rFonts w:eastAsia="Guttman Hodes" w:hint="cs"/>
        </w:rPr>
        <w:instrText>Ref59700742 \r \h</w:instrText>
      </w:r>
      <w:r w:rsidRPr="006725F0">
        <w:rPr>
          <w:rStyle w:val="af7"/>
          <w:rFonts w:eastAsia="Guttman Hodes"/>
          <w:rtl/>
        </w:rPr>
        <w:instrText xml:space="preserve"> </w:instrText>
      </w:r>
      <w:r w:rsidRPr="006725F0">
        <w:rPr>
          <w:rStyle w:val="af7"/>
          <w:rFonts w:eastAsia="Guttman Hodes"/>
          <w:rtl/>
        </w:rPr>
      </w:r>
      <w:r w:rsidRPr="006725F0">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6725F0">
        <w:rPr>
          <w:rStyle w:val="af7"/>
          <w:rFonts w:eastAsia="Guttman Hodes"/>
          <w:rtl/>
        </w:rPr>
        <w:fldChar w:fldCharType="end"/>
      </w:r>
      <w:r>
        <w:rPr>
          <w:rFonts w:hint="cs"/>
          <w:rtl/>
        </w:rPr>
        <w:t xml:space="preserve"> דצריך</w:t>
      </w:r>
      <w:r w:rsidRPr="006725F0">
        <w:rPr>
          <w:rFonts w:hint="cs"/>
          <w:rtl/>
        </w:rPr>
        <w:t xml:space="preserve"> </w:t>
      </w:r>
      <w:r>
        <w:rPr>
          <w:rFonts w:hint="cs"/>
          <w:rtl/>
        </w:rPr>
        <w:t xml:space="preserve">שיהיה לו גם חזקה, אך הקשה </w:t>
      </w:r>
      <w:r w:rsidRPr="00EB4F74">
        <w:rPr>
          <w:rStyle w:val="af9"/>
          <w:rFonts w:hint="cs"/>
          <w:rtl/>
        </w:rPr>
        <w:t>הדרישה</w:t>
      </w:r>
      <w:r>
        <w:rPr>
          <w:rFonts w:hint="cs"/>
          <w:rtl/>
        </w:rPr>
        <w:t xml:space="preserve"> </w:t>
      </w:r>
      <w:r w:rsidRPr="00EB4F74">
        <w:rPr>
          <w:rStyle w:val="af7"/>
          <w:rFonts w:eastAsia="Guttman Hodes" w:hint="cs"/>
          <w:rtl/>
        </w:rPr>
        <w:t>(סי' קמ"ו סקכ"ד ד"ה</w:t>
      </w:r>
      <w:r w:rsidRPr="00EB4F74">
        <w:rPr>
          <w:rStyle w:val="af7"/>
          <w:rFonts w:eastAsia="Guttman Hodes"/>
          <w:rtl/>
        </w:rPr>
        <w:t xml:space="preserve"> אלא שיש</w:t>
      </w:r>
      <w:r w:rsidRPr="00EB4F74">
        <w:rPr>
          <w:rStyle w:val="af7"/>
          <w:rFonts w:eastAsia="Guttman Hodes" w:hint="cs"/>
          <w:rtl/>
        </w:rPr>
        <w:t>)</w:t>
      </w:r>
      <w:r>
        <w:rPr>
          <w:rFonts w:hint="cs"/>
          <w:rtl/>
        </w:rPr>
        <w:t xml:space="preserve"> על </w:t>
      </w:r>
      <w:r w:rsidRPr="00EB4F74">
        <w:rPr>
          <w:rStyle w:val="af9"/>
          <w:rFonts w:hint="cs"/>
          <w:rtl/>
        </w:rPr>
        <w:t>הרשב"ם</w:t>
      </w:r>
      <w:r>
        <w:rPr>
          <w:rFonts w:hint="cs"/>
          <w:rtl/>
        </w:rPr>
        <w:t xml:space="preserve"> דכיון דביאר </w:t>
      </w:r>
      <w:r w:rsidRPr="00EB4F74">
        <w:rPr>
          <w:rStyle w:val="af9"/>
          <w:rFonts w:hint="cs"/>
          <w:rtl/>
        </w:rPr>
        <w:t>הרא"ש</w:t>
      </w:r>
      <w:r>
        <w:rPr>
          <w:rFonts w:hint="cs"/>
          <w:rtl/>
        </w:rPr>
        <w:t xml:space="preserve"> </w:t>
      </w:r>
      <w:r w:rsidRPr="00997F6C">
        <w:rPr>
          <w:rStyle w:val="af7"/>
          <w:rFonts w:eastAsia="Guttman Hodes" w:hint="cs"/>
          <w:rtl/>
        </w:rPr>
        <w:t xml:space="preserve">(עי' אות </w:t>
      </w:r>
      <w:r w:rsidRPr="00997F6C">
        <w:rPr>
          <w:rStyle w:val="af7"/>
          <w:rFonts w:eastAsia="Guttman Hodes"/>
          <w:rtl/>
        </w:rPr>
        <w:fldChar w:fldCharType="begin"/>
      </w:r>
      <w:r w:rsidRPr="00997F6C">
        <w:rPr>
          <w:rStyle w:val="af7"/>
          <w:rFonts w:eastAsia="Guttman Hodes"/>
          <w:rtl/>
        </w:rPr>
        <w:instrText xml:space="preserve"> </w:instrText>
      </w:r>
      <w:r w:rsidRPr="00997F6C">
        <w:rPr>
          <w:rStyle w:val="af7"/>
          <w:rFonts w:eastAsia="Guttman Hodes" w:hint="cs"/>
        </w:rPr>
        <w:instrText>REF</w:instrText>
      </w:r>
      <w:r w:rsidRPr="00997F6C">
        <w:rPr>
          <w:rStyle w:val="af7"/>
          <w:rFonts w:eastAsia="Guttman Hodes" w:hint="cs"/>
          <w:rtl/>
        </w:rPr>
        <w:instrText xml:space="preserve"> _</w:instrText>
      </w:r>
      <w:r w:rsidRPr="00997F6C">
        <w:rPr>
          <w:rStyle w:val="af7"/>
          <w:rFonts w:eastAsia="Guttman Hodes" w:hint="cs"/>
        </w:rPr>
        <w:instrText>Ref59700892 \r \h</w:instrText>
      </w:r>
      <w:r w:rsidRPr="00997F6C">
        <w:rPr>
          <w:rStyle w:val="af7"/>
          <w:rFonts w:eastAsia="Guttman Hodes"/>
          <w:rtl/>
        </w:rPr>
        <w:instrText xml:space="preserve"> </w:instrText>
      </w:r>
      <w:r w:rsidRPr="00997F6C">
        <w:rPr>
          <w:rStyle w:val="af7"/>
          <w:rFonts w:eastAsia="Guttman Hodes"/>
          <w:rtl/>
        </w:rPr>
      </w:r>
      <w:r w:rsidRPr="00997F6C">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997F6C">
        <w:rPr>
          <w:rStyle w:val="af7"/>
          <w:rFonts w:eastAsia="Guttman Hodes"/>
          <w:rtl/>
        </w:rPr>
        <w:fldChar w:fldCharType="end"/>
      </w:r>
      <w:r>
        <w:rPr>
          <w:rFonts w:hint="cs"/>
          <w:rtl/>
        </w:rPr>
        <w:t xml:space="preserve"> בדעת</w:t>
      </w:r>
      <w:r>
        <w:rPr>
          <w:rStyle w:val="af9"/>
          <w:rFonts w:hint="cs"/>
          <w:rtl/>
        </w:rPr>
        <w:t xml:space="preserve"> </w:t>
      </w:r>
      <w:r w:rsidRPr="00EB4F74">
        <w:rPr>
          <w:rStyle w:val="af9"/>
          <w:rFonts w:hint="cs"/>
          <w:rtl/>
        </w:rPr>
        <w:t>הרשב"ם</w:t>
      </w:r>
      <w:r>
        <w:rPr>
          <w:rFonts w:hint="cs"/>
          <w:rtl/>
        </w:rPr>
        <w:t xml:space="preserve"> דהא דמוציאין מיד המחזיק, הוא כיון דהוי ספק וודאי, ואין ספק מוציא מידי ודאי, א"כ אמאי אינו נאמן בטענת ברי או בעידי חד יומא, אף בלא חזקה, דהוא ודאי וודאי, דהפה של המוכר שאמר שהייתה של המערער, הוא הפה שהתיר דאמר</w:t>
      </w:r>
      <w:r w:rsidRPr="00F30225">
        <w:rPr>
          <w:rFonts w:hint="cs"/>
          <w:rtl/>
        </w:rPr>
        <w:t xml:space="preserve"> </w:t>
      </w:r>
      <w:r>
        <w:rPr>
          <w:rFonts w:hint="cs"/>
          <w:rtl/>
        </w:rPr>
        <w:t>שקנה מהמערער.</w:t>
      </w:r>
      <w:bookmarkEnd w:id="9796"/>
    </w:p>
    <w:p w:rsidR="000E75A3" w:rsidRPr="00AC07F9" w:rsidRDefault="000E75A3" w:rsidP="000E75A3">
      <w:pPr>
        <w:pStyle w:val="a3"/>
        <w:rPr>
          <w:rtl/>
        </w:rPr>
      </w:pPr>
      <w:bookmarkStart w:id="9797" w:name="_Toc59741666"/>
      <w:bookmarkStart w:id="9798" w:name="_Toc59786801"/>
      <w:bookmarkStart w:id="9799" w:name="_Toc59802615"/>
      <w:bookmarkStart w:id="9800" w:name="_Toc59916176"/>
      <w:r>
        <w:rPr>
          <w:rFonts w:hint="cs"/>
          <w:rtl/>
        </w:rPr>
        <w:t>ביאור הדרישה והביה"ל דמיגו ל"מ כנגד אחוי שטרך ובתוך ג"ש ל"מ טענת ברי דאין לו שטר</w:t>
      </w:r>
      <w:bookmarkEnd w:id="9797"/>
      <w:bookmarkEnd w:id="9798"/>
      <w:bookmarkEnd w:id="9799"/>
      <w:bookmarkEnd w:id="9800"/>
    </w:p>
    <w:p w:rsidR="000E75A3" w:rsidRDefault="000E75A3" w:rsidP="007E4E81">
      <w:pPr>
        <w:pStyle w:val="a0"/>
        <w:rPr>
          <w:sz w:val="10"/>
          <w:szCs w:val="14"/>
          <w:rtl/>
        </w:rPr>
      </w:pPr>
      <w:bookmarkStart w:id="9801" w:name="_Ref59700524"/>
      <w:r>
        <w:rPr>
          <w:rFonts w:hint="cs"/>
          <w:rtl/>
        </w:rPr>
        <w:t xml:space="preserve">ועי' במה שהאריכו </w:t>
      </w:r>
      <w:r w:rsidRPr="007A198C">
        <w:rPr>
          <w:rStyle w:val="af9"/>
          <w:rFonts w:hint="cs"/>
          <w:rtl/>
        </w:rPr>
        <w:t>הדרישה</w:t>
      </w:r>
      <w:r>
        <w:rPr>
          <w:rFonts w:hint="cs"/>
          <w:rtl/>
        </w:rPr>
        <w:t xml:space="preserve"> </w:t>
      </w:r>
      <w:r w:rsidRPr="00F71994">
        <w:rPr>
          <w:rStyle w:val="af7"/>
          <w:rFonts w:eastAsia="Guttman Hodes" w:hint="cs"/>
          <w:rtl/>
        </w:rPr>
        <w:t>(סי' קמ"ו סקכ"ד ד"ה</w:t>
      </w:r>
      <w:r w:rsidRPr="00F71994">
        <w:rPr>
          <w:rStyle w:val="af7"/>
          <w:rFonts w:eastAsia="Guttman Hodes"/>
          <w:rtl/>
        </w:rPr>
        <w:t xml:space="preserve"> לכן נראה</w:t>
      </w:r>
      <w:r w:rsidRPr="00F71994">
        <w:rPr>
          <w:rStyle w:val="af7"/>
          <w:rFonts w:eastAsia="Guttman Hodes" w:hint="cs"/>
          <w:rtl/>
        </w:rPr>
        <w:t xml:space="preserve">) </w:t>
      </w:r>
      <w:r>
        <w:rPr>
          <w:rStyle w:val="af9"/>
          <w:rFonts w:hint="cs"/>
          <w:rtl/>
        </w:rPr>
        <w:t>ו</w:t>
      </w:r>
      <w:r w:rsidRPr="00A16FA8">
        <w:rPr>
          <w:rStyle w:val="af9"/>
          <w:rFonts w:hint="cs"/>
          <w:rtl/>
        </w:rPr>
        <w:t>הבית הלוי</w:t>
      </w:r>
      <w:r>
        <w:rPr>
          <w:rFonts w:hint="cs"/>
          <w:rtl/>
        </w:rPr>
        <w:t xml:space="preserve"> </w:t>
      </w:r>
      <w:r w:rsidRPr="00F71994">
        <w:rPr>
          <w:rStyle w:val="af7"/>
          <w:rFonts w:eastAsia="Guttman Hodes" w:hint="cs"/>
          <w:rtl/>
        </w:rPr>
        <w:t xml:space="preserve">(ח"ג סי' ל"ו או' א' ד"ה אמנם) </w:t>
      </w:r>
      <w:r>
        <w:rPr>
          <w:rFonts w:hint="cs"/>
          <w:rtl/>
        </w:rPr>
        <w:t xml:space="preserve">להוכיח דס"ל </w:t>
      </w:r>
      <w:r w:rsidRPr="007A198C">
        <w:rPr>
          <w:rStyle w:val="af9"/>
          <w:rFonts w:hint="cs"/>
          <w:rtl/>
        </w:rPr>
        <w:t>להרשב"ם</w:t>
      </w:r>
      <w:r>
        <w:rPr>
          <w:rFonts w:hint="cs"/>
          <w:rtl/>
        </w:rPr>
        <w:t xml:space="preserve"> דכל שידוע לנו בודאי שאין למחזיק חזקת ג"ש, אינו נאמן במיגו דלא הייתה של המערער מעולם, ד</w:t>
      </w:r>
      <w:r w:rsidRPr="005D0ADC">
        <w:rPr>
          <w:rFonts w:hint="cs"/>
          <w:rtl/>
        </w:rPr>
        <w:t xml:space="preserve">אמרינן ליה אחוי שטרך, וחשיב כמיגו במקום עדים, </w:t>
      </w:r>
      <w:r w:rsidRPr="006923F2">
        <w:rPr>
          <w:rStyle w:val="afb"/>
          <w:rFonts w:hint="cs"/>
          <w:rtl/>
        </w:rPr>
        <w:t>[ואף שאין למערער עדים, מ"מ היה למחזיק לחוש שמא יביא עדים</w:t>
      </w:r>
      <w:r>
        <w:rPr>
          <w:rStyle w:val="afb"/>
          <w:rFonts w:hint="cs"/>
          <w:rtl/>
        </w:rPr>
        <w:t xml:space="preserve">, דברי </w:t>
      </w:r>
      <w:r w:rsidRPr="00F71994">
        <w:rPr>
          <w:rStyle w:val="affa"/>
          <w:rFonts w:hint="cs"/>
          <w:rtl/>
        </w:rPr>
        <w:t>הדרישה והבית הלוי</w:t>
      </w:r>
      <w:r>
        <w:rPr>
          <w:rStyle w:val="afb"/>
          <w:rFonts w:hint="cs"/>
          <w:rtl/>
        </w:rPr>
        <w:t xml:space="preserve">, ומה שהקשו עליהם </w:t>
      </w:r>
      <w:r w:rsidRPr="00AA3A0D">
        <w:rPr>
          <w:rStyle w:val="affa"/>
          <w:rFonts w:hint="cs"/>
          <w:rtl/>
        </w:rPr>
        <w:t>בקה"י</w:t>
      </w:r>
      <w:r>
        <w:rPr>
          <w:rStyle w:val="afb"/>
          <w:rFonts w:hint="cs"/>
          <w:rtl/>
        </w:rPr>
        <w:t xml:space="preserve"> </w:t>
      </w:r>
      <w:r w:rsidRPr="00AA3A0D">
        <w:rPr>
          <w:rStyle w:val="aff6"/>
          <w:rFonts w:hint="cs"/>
          <w:rtl/>
        </w:rPr>
        <w:t>(סי' כ'</w:t>
      </w:r>
      <w:r w:rsidR="00C21AA0" w:rsidRPr="00C21AA0">
        <w:rPr>
          <w:rFonts w:hint="cs"/>
          <w:rtl/>
        </w:rPr>
        <w:t xml:space="preserve"> </w:t>
      </w:r>
      <w:r w:rsidR="00C21AA0">
        <w:rPr>
          <w:rStyle w:val="af7"/>
          <w:rFonts w:eastAsia="Guttman Hodes" w:hint="cs"/>
          <w:rtl/>
        </w:rPr>
        <w:t>ד"ה ולענ"ד</w:t>
      </w:r>
      <w:r w:rsidRPr="00AA3A0D">
        <w:rPr>
          <w:rStyle w:val="aff6"/>
          <w:rFonts w:hint="cs"/>
          <w:rtl/>
        </w:rPr>
        <w:t>)</w:t>
      </w:r>
      <w:r>
        <w:rPr>
          <w:rStyle w:val="afb"/>
          <w:rFonts w:hint="cs"/>
          <w:rtl/>
        </w:rPr>
        <w:t xml:space="preserve"> </w:t>
      </w:r>
      <w:r w:rsidRPr="00AA3A0D">
        <w:rPr>
          <w:rStyle w:val="affa"/>
          <w:rFonts w:hint="cs"/>
          <w:rtl/>
        </w:rPr>
        <w:t>ובחי' רבי נחום</w:t>
      </w:r>
      <w:r w:rsidRPr="00FF18BF">
        <w:rPr>
          <w:rFonts w:hint="cs"/>
          <w:rtl/>
        </w:rPr>
        <w:t xml:space="preserve"> </w:t>
      </w:r>
      <w:r w:rsidRPr="00AA3A0D">
        <w:rPr>
          <w:rStyle w:val="aff6"/>
          <w:rFonts w:hint="cs"/>
          <w:rtl/>
        </w:rPr>
        <w:t>(או' נ"ט</w:t>
      </w:r>
      <w:r w:rsidR="00164225" w:rsidRPr="00164225">
        <w:rPr>
          <w:rStyle w:val="aff6"/>
          <w:rFonts w:hint="cs"/>
          <w:rtl/>
        </w:rPr>
        <w:t>, הובא בסימן י"א אות ק')</w:t>
      </w:r>
      <w:r w:rsidRPr="006923F2">
        <w:rPr>
          <w:rStyle w:val="afb"/>
          <w:rFonts w:hint="cs"/>
          <w:rtl/>
        </w:rPr>
        <w:t>],</w:t>
      </w:r>
      <w:r>
        <w:rPr>
          <w:rFonts w:hint="cs"/>
          <w:rtl/>
        </w:rPr>
        <w:t xml:space="preserve"> וכתב </w:t>
      </w:r>
      <w:r w:rsidRPr="007A198C">
        <w:rPr>
          <w:rStyle w:val="af9"/>
          <w:rFonts w:hint="cs"/>
          <w:rtl/>
        </w:rPr>
        <w:t>הדרישה</w:t>
      </w:r>
      <w:r>
        <w:rPr>
          <w:rFonts w:hint="cs"/>
          <w:rtl/>
        </w:rPr>
        <w:t xml:space="preserve"> </w:t>
      </w:r>
      <w:r w:rsidRPr="00F71994">
        <w:rPr>
          <w:rStyle w:val="af7"/>
          <w:rFonts w:eastAsia="Guttman Hodes" w:hint="cs"/>
          <w:rtl/>
        </w:rPr>
        <w:t>(סי' קמ"ו סקכ"ד ד"ה</w:t>
      </w:r>
      <w:r w:rsidRPr="00F71994">
        <w:rPr>
          <w:rStyle w:val="af7"/>
          <w:rFonts w:eastAsia="Guttman Hodes"/>
          <w:rtl/>
        </w:rPr>
        <w:t xml:space="preserve"> לכן נראה</w:t>
      </w:r>
      <w:r w:rsidRPr="00F71994">
        <w:rPr>
          <w:rStyle w:val="af7"/>
          <w:rFonts w:eastAsia="Guttman Hodes" w:hint="cs"/>
          <w:rtl/>
        </w:rPr>
        <w:t xml:space="preserve">) </w:t>
      </w:r>
      <w:r>
        <w:rPr>
          <w:rFonts w:hint="cs"/>
          <w:rtl/>
        </w:rPr>
        <w:t xml:space="preserve">דלפי"ז מבואר דס"ל </w:t>
      </w:r>
      <w:r w:rsidRPr="007A198C">
        <w:rPr>
          <w:rStyle w:val="af9"/>
          <w:rFonts w:hint="cs"/>
          <w:rtl/>
        </w:rPr>
        <w:t>להרשב"ם</w:t>
      </w:r>
      <w:r>
        <w:rPr>
          <w:rFonts w:hint="cs"/>
          <w:rtl/>
        </w:rPr>
        <w:t xml:space="preserve"> דאינו נאמן בטענת ברי או בעידי חד יומא, אף בלא חזקה, דכיון שאין לו חזקה אמרינן ליה אחוי שטרך, דהא המחזיק מודה דאף למוכר </w:t>
      </w:r>
      <w:r>
        <w:rPr>
          <w:rFonts w:hint="cs"/>
          <w:rtl/>
        </w:rPr>
        <w:t xml:space="preserve">לא היה חזקת ג"ש, ואמרינן ליה אחוי שטרך דקנה המוכר מהמערער, ועי' במה שביאר לפי"ז </w:t>
      </w:r>
      <w:r w:rsidRPr="0000519C">
        <w:rPr>
          <w:rStyle w:val="af9"/>
          <w:rFonts w:hint="cs"/>
          <w:rtl/>
        </w:rPr>
        <w:t>הדרישה</w:t>
      </w:r>
      <w:r>
        <w:rPr>
          <w:rFonts w:hint="cs"/>
          <w:rtl/>
        </w:rPr>
        <w:t xml:space="preserve"> </w:t>
      </w:r>
      <w:r w:rsidRPr="0000519C">
        <w:rPr>
          <w:rStyle w:val="af7"/>
          <w:rFonts w:eastAsia="Guttman Hodes" w:hint="cs"/>
          <w:rtl/>
        </w:rPr>
        <w:t xml:space="preserve">(עי' אות </w:t>
      </w:r>
      <w:r w:rsidRPr="0000519C">
        <w:rPr>
          <w:rStyle w:val="af7"/>
          <w:rFonts w:eastAsia="Guttman Hodes"/>
          <w:rtl/>
        </w:rPr>
        <w:fldChar w:fldCharType="begin"/>
      </w:r>
      <w:r w:rsidRPr="0000519C">
        <w:rPr>
          <w:rStyle w:val="af7"/>
          <w:rFonts w:eastAsia="Guttman Hodes"/>
          <w:rtl/>
        </w:rPr>
        <w:instrText xml:space="preserve"> </w:instrText>
      </w:r>
      <w:r w:rsidRPr="0000519C">
        <w:rPr>
          <w:rStyle w:val="af7"/>
          <w:rFonts w:eastAsia="Guttman Hodes" w:hint="cs"/>
        </w:rPr>
        <w:instrText>REF</w:instrText>
      </w:r>
      <w:r w:rsidRPr="0000519C">
        <w:rPr>
          <w:rStyle w:val="af7"/>
          <w:rFonts w:eastAsia="Guttman Hodes" w:hint="cs"/>
          <w:rtl/>
        </w:rPr>
        <w:instrText xml:space="preserve"> _</w:instrText>
      </w:r>
      <w:r w:rsidRPr="0000519C">
        <w:rPr>
          <w:rStyle w:val="af7"/>
          <w:rFonts w:eastAsia="Guttman Hodes" w:hint="cs"/>
        </w:rPr>
        <w:instrText>Ref59740999 \r \h</w:instrText>
      </w:r>
      <w:r w:rsidRPr="0000519C">
        <w:rPr>
          <w:rStyle w:val="af7"/>
          <w:rFonts w:eastAsia="Guttman Hodes"/>
          <w:rtl/>
        </w:rPr>
        <w:instrText xml:space="preserve"> </w:instrText>
      </w:r>
      <w:r w:rsidRPr="0000519C">
        <w:rPr>
          <w:rStyle w:val="af7"/>
          <w:rFonts w:eastAsia="Guttman Hodes"/>
          <w:rtl/>
        </w:rPr>
      </w:r>
      <w:r w:rsidRPr="0000519C">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00519C">
        <w:rPr>
          <w:rStyle w:val="af7"/>
          <w:rFonts w:eastAsia="Guttman Hodes"/>
          <w:rtl/>
        </w:rPr>
        <w:fldChar w:fldCharType="end"/>
      </w:r>
      <w:r>
        <w:rPr>
          <w:rFonts w:hint="cs"/>
          <w:rtl/>
        </w:rPr>
        <w:t xml:space="preserve"> את ביאור </w:t>
      </w:r>
      <w:r w:rsidRPr="009E5036">
        <w:rPr>
          <w:rStyle w:val="af9"/>
          <w:rFonts w:hint="cs"/>
          <w:rtl/>
        </w:rPr>
        <w:t>הרא"ש</w:t>
      </w:r>
      <w:r>
        <w:rPr>
          <w:rFonts w:hint="cs"/>
          <w:rtl/>
        </w:rPr>
        <w:t xml:space="preserve"> בדעת </w:t>
      </w:r>
      <w:r w:rsidRPr="009E5036">
        <w:rPr>
          <w:rStyle w:val="af9"/>
          <w:rFonts w:hint="cs"/>
          <w:rtl/>
        </w:rPr>
        <w:t>הרשב"ם</w:t>
      </w:r>
      <w:r>
        <w:rPr>
          <w:rFonts w:hint="cs"/>
          <w:rtl/>
        </w:rPr>
        <w:t xml:space="preserve">, ובמה שביאר </w:t>
      </w:r>
      <w:r w:rsidRPr="00CF78FA">
        <w:rPr>
          <w:rStyle w:val="af9"/>
          <w:rFonts w:hint="cs"/>
          <w:rtl/>
        </w:rPr>
        <w:t>הבית הלוי</w:t>
      </w:r>
      <w:r>
        <w:rPr>
          <w:rFonts w:hint="cs"/>
          <w:rtl/>
        </w:rPr>
        <w:t xml:space="preserve"> </w:t>
      </w:r>
      <w:r w:rsidRPr="00CF78FA">
        <w:rPr>
          <w:rStyle w:val="af7"/>
          <w:rFonts w:eastAsia="Guttman Hodes" w:hint="cs"/>
          <w:rtl/>
        </w:rPr>
        <w:t xml:space="preserve">(עי' אות </w:t>
      </w:r>
      <w:r w:rsidRPr="00CF78FA">
        <w:rPr>
          <w:rStyle w:val="af7"/>
          <w:rFonts w:eastAsia="Guttman Hodes"/>
          <w:rtl/>
        </w:rPr>
        <w:fldChar w:fldCharType="begin"/>
      </w:r>
      <w:r w:rsidRPr="00CF78FA">
        <w:rPr>
          <w:rStyle w:val="af7"/>
          <w:rFonts w:eastAsia="Guttman Hodes"/>
          <w:rtl/>
        </w:rPr>
        <w:instrText xml:space="preserve"> </w:instrText>
      </w:r>
      <w:r w:rsidRPr="00CF78FA">
        <w:rPr>
          <w:rStyle w:val="af7"/>
          <w:rFonts w:eastAsia="Guttman Hodes" w:hint="cs"/>
        </w:rPr>
        <w:instrText>REF</w:instrText>
      </w:r>
      <w:r w:rsidRPr="00CF78FA">
        <w:rPr>
          <w:rStyle w:val="af7"/>
          <w:rFonts w:eastAsia="Guttman Hodes" w:hint="cs"/>
          <w:rtl/>
        </w:rPr>
        <w:instrText xml:space="preserve"> _</w:instrText>
      </w:r>
      <w:r w:rsidRPr="00CF78FA">
        <w:rPr>
          <w:rStyle w:val="af7"/>
          <w:rFonts w:eastAsia="Guttman Hodes" w:hint="cs"/>
        </w:rPr>
        <w:instrText>Ref59700508 \r \h</w:instrText>
      </w:r>
      <w:r w:rsidRPr="00CF78FA">
        <w:rPr>
          <w:rStyle w:val="af7"/>
          <w:rFonts w:eastAsia="Guttman Hodes"/>
          <w:rtl/>
        </w:rPr>
        <w:instrText xml:space="preserve"> </w:instrText>
      </w:r>
      <w:r w:rsidRPr="00CF78FA">
        <w:rPr>
          <w:rStyle w:val="af7"/>
          <w:rFonts w:eastAsia="Guttman Hodes"/>
          <w:rtl/>
        </w:rPr>
      </w:r>
      <w:r w:rsidRPr="00CF78FA">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CF78FA">
        <w:rPr>
          <w:rStyle w:val="af7"/>
          <w:rFonts w:eastAsia="Guttman Hodes"/>
          <w:rtl/>
        </w:rPr>
        <w:fldChar w:fldCharType="end"/>
      </w:r>
      <w:r>
        <w:rPr>
          <w:rFonts w:hint="cs"/>
          <w:rtl/>
        </w:rPr>
        <w:t xml:space="preserve"> בדעת </w:t>
      </w:r>
      <w:r w:rsidRPr="00560EF0">
        <w:rPr>
          <w:rStyle w:val="af9"/>
          <w:rFonts w:hint="cs"/>
          <w:rtl/>
        </w:rPr>
        <w:t>הרשב"א בתוס'</w:t>
      </w:r>
      <w:r>
        <w:rPr>
          <w:rFonts w:hint="cs"/>
          <w:rtl/>
        </w:rPr>
        <w:t xml:space="preserve"> בזה.</w:t>
      </w:r>
      <w:bookmarkEnd w:id="9801"/>
      <w:r>
        <w:rPr>
          <w:rFonts w:hint="cs"/>
          <w:rtl/>
        </w:rPr>
        <w:t xml:space="preserve"> </w:t>
      </w:r>
      <w:r w:rsidRPr="000A0466">
        <w:rPr>
          <w:rStyle w:val="afb"/>
          <w:rFonts w:hint="cs"/>
          <w:rtl/>
        </w:rPr>
        <w:t xml:space="preserve">[אמנם </w:t>
      </w:r>
      <w:r w:rsidRPr="000A0466">
        <w:rPr>
          <w:rStyle w:val="affa"/>
          <w:rFonts w:hint="cs"/>
          <w:rtl/>
        </w:rPr>
        <w:t>הגרעק"א לקמן</w:t>
      </w:r>
      <w:r w:rsidRPr="000A0466">
        <w:rPr>
          <w:rStyle w:val="afb"/>
          <w:rFonts w:hint="cs"/>
          <w:rtl/>
        </w:rPr>
        <w:t xml:space="preserve"> </w:t>
      </w:r>
      <w:r w:rsidRPr="000A0466">
        <w:rPr>
          <w:rStyle w:val="aff6"/>
          <w:rFonts w:hint="cs"/>
          <w:rtl/>
        </w:rPr>
        <w:t>(לו. ד"ה מחאה בפני, שו"ת ח"ג סי' כ"ז)</w:t>
      </w:r>
      <w:r w:rsidRPr="000A0466">
        <w:rPr>
          <w:rStyle w:val="afb"/>
          <w:rFonts w:hint="cs"/>
          <w:rtl/>
        </w:rPr>
        <w:t xml:space="preserve"> כתב דמסתימת כל </w:t>
      </w:r>
      <w:r w:rsidRPr="000A0466">
        <w:rPr>
          <w:rStyle w:val="affa"/>
          <w:rFonts w:hint="cs"/>
          <w:rtl/>
        </w:rPr>
        <w:t>הפוסקים</w:t>
      </w:r>
      <w:r w:rsidRPr="000A0466">
        <w:rPr>
          <w:rStyle w:val="afb"/>
          <w:rFonts w:hint="cs"/>
          <w:rtl/>
        </w:rPr>
        <w:t xml:space="preserve"> לא משמע כדברי הדרישה, ומהני מיגו אף כנגד אחוי שטרך, ועיי"ש במה שהוכיח </w:t>
      </w:r>
      <w:r w:rsidRPr="000A0466">
        <w:rPr>
          <w:rStyle w:val="affa"/>
          <w:rFonts w:hint="cs"/>
          <w:rtl/>
        </w:rPr>
        <w:t>הגרעק"א</w:t>
      </w:r>
      <w:r w:rsidRPr="000A0466">
        <w:rPr>
          <w:rStyle w:val="afb"/>
          <w:rFonts w:hint="cs"/>
          <w:rtl/>
        </w:rPr>
        <w:t xml:space="preserve"> כן מדברי </w:t>
      </w:r>
      <w:r w:rsidRPr="000A0466">
        <w:rPr>
          <w:rStyle w:val="affa"/>
          <w:rFonts w:hint="cs"/>
          <w:rtl/>
        </w:rPr>
        <w:t>הרי"ף לעיל</w:t>
      </w:r>
      <w:r w:rsidRPr="000A0466">
        <w:rPr>
          <w:rStyle w:val="aff6"/>
          <w:rFonts w:hint="cs"/>
          <w:rtl/>
        </w:rPr>
        <w:t xml:space="preserve"> (טו. מדה"ר, הובא בסימן ז' אות מ"ה) </w:t>
      </w:r>
      <w:r w:rsidRPr="000A0466">
        <w:rPr>
          <w:rStyle w:val="afb"/>
          <w:rFonts w:hint="cs"/>
          <w:rtl/>
        </w:rPr>
        <w:t>ב</w:t>
      </w:r>
      <w:r>
        <w:rPr>
          <w:rStyle w:val="afb"/>
          <w:rFonts w:hint="cs"/>
          <w:rtl/>
        </w:rPr>
        <w:t xml:space="preserve">דין </w:t>
      </w:r>
      <w:r w:rsidRPr="000A0466">
        <w:rPr>
          <w:rStyle w:val="afb"/>
          <w:rFonts w:hint="cs"/>
          <w:rtl/>
        </w:rPr>
        <w:t>שכוני גוואי דמהני מיגו, אף כשמודה המחזיק שאין לו חזקת ג"ש]</w:t>
      </w:r>
      <w:r>
        <w:rPr>
          <w:rStyle w:val="afb"/>
          <w:rFonts w:hint="cs"/>
          <w:rtl/>
        </w:rPr>
        <w:t>.</w:t>
      </w:r>
    </w:p>
    <w:p w:rsidR="000E75A3" w:rsidRPr="00E668D2" w:rsidRDefault="000E75A3" w:rsidP="000E75A3">
      <w:pPr>
        <w:pStyle w:val="1"/>
        <w:rPr>
          <w:rtl/>
        </w:rPr>
      </w:pPr>
      <w:bookmarkStart w:id="9802" w:name="_Toc59741667"/>
      <w:bookmarkStart w:id="9803" w:name="_Toc59786802"/>
      <w:bookmarkStart w:id="9804" w:name="_Toc59802616"/>
      <w:bookmarkStart w:id="9805" w:name="_Toc59916177"/>
      <w:r>
        <w:rPr>
          <w:rFonts w:hint="cs"/>
          <w:rtl/>
        </w:rPr>
        <w:t>ביאור התומים דבלי חזקה אין המיגו טוב בקמי דידי ואינו ודאי</w:t>
      </w:r>
      <w:bookmarkEnd w:id="9802"/>
      <w:bookmarkEnd w:id="9803"/>
      <w:bookmarkEnd w:id="9804"/>
      <w:bookmarkEnd w:id="9805"/>
    </w:p>
    <w:p w:rsidR="000E75A3" w:rsidRDefault="000E75A3" w:rsidP="000E75A3">
      <w:pPr>
        <w:pStyle w:val="a3"/>
        <w:rPr>
          <w:rtl/>
        </w:rPr>
      </w:pPr>
      <w:bookmarkStart w:id="9806" w:name="_Toc59741668"/>
      <w:bookmarkStart w:id="9807" w:name="_Toc59786803"/>
      <w:bookmarkStart w:id="9808" w:name="_Toc59802617"/>
      <w:bookmarkStart w:id="9809" w:name="_Toc59916178"/>
      <w:bookmarkStart w:id="9810" w:name="_Toc59620326"/>
      <w:bookmarkStart w:id="9811" w:name="_Toc59643598"/>
      <w:r>
        <w:rPr>
          <w:rFonts w:hint="cs"/>
          <w:rtl/>
        </w:rPr>
        <w:t xml:space="preserve">ביאור </w:t>
      </w:r>
      <w:r w:rsidRPr="007C1F59">
        <w:rPr>
          <w:rFonts w:hint="cs"/>
          <w:rtl/>
        </w:rPr>
        <w:t>התומים דבקמי דידי אינו נאמן בלא</w:t>
      </w:r>
      <w:r>
        <w:rPr>
          <w:rFonts w:hint="cs"/>
          <w:rtl/>
        </w:rPr>
        <w:t xml:space="preserve"> חזקה </w:t>
      </w:r>
      <w:r w:rsidRPr="007C1F59">
        <w:rPr>
          <w:rFonts w:hint="cs"/>
          <w:rtl/>
        </w:rPr>
        <w:t>במיגו</w:t>
      </w:r>
      <w:r>
        <w:rPr>
          <w:rFonts w:hint="cs"/>
          <w:rtl/>
        </w:rPr>
        <w:t xml:space="preserve"> דלהד"ם דהוא גרוע דהמחזיק ירא לטוענו</w:t>
      </w:r>
      <w:bookmarkEnd w:id="9806"/>
      <w:bookmarkEnd w:id="9807"/>
      <w:bookmarkEnd w:id="9808"/>
      <w:bookmarkEnd w:id="9809"/>
      <w:r>
        <w:rPr>
          <w:rFonts w:hint="cs"/>
          <w:rtl/>
        </w:rPr>
        <w:t xml:space="preserve"> </w:t>
      </w:r>
      <w:bookmarkEnd w:id="9810"/>
      <w:bookmarkEnd w:id="9811"/>
    </w:p>
    <w:p w:rsidR="000E75A3" w:rsidRPr="003B5081" w:rsidRDefault="000E75A3" w:rsidP="007E4E81">
      <w:pPr>
        <w:pStyle w:val="a0"/>
        <w:rPr>
          <w:rtl/>
        </w:rPr>
      </w:pPr>
      <w:bookmarkStart w:id="9812" w:name="_Ref59723523"/>
      <w:bookmarkStart w:id="9813" w:name="_Toc59620327"/>
      <w:bookmarkStart w:id="9814" w:name="_Toc59643599"/>
      <w:r w:rsidRPr="003B5081">
        <w:rPr>
          <w:rFonts w:hint="cs"/>
          <w:rtl/>
        </w:rPr>
        <w:t xml:space="preserve">במ"ש </w:t>
      </w:r>
      <w:r w:rsidRPr="007C1F59">
        <w:rPr>
          <w:rStyle w:val="af9"/>
          <w:rFonts w:hint="cs"/>
          <w:rtl/>
        </w:rPr>
        <w:t xml:space="preserve">הטור </w:t>
      </w:r>
      <w:r w:rsidRPr="00907D1D">
        <w:rPr>
          <w:rStyle w:val="af7"/>
          <w:rFonts w:eastAsia="Guttman Hodes" w:hint="cs"/>
          <w:rtl/>
        </w:rPr>
        <w:t xml:space="preserve">(עי' אות </w:t>
      </w:r>
      <w:r w:rsidRPr="00907D1D">
        <w:rPr>
          <w:rStyle w:val="af7"/>
          <w:rFonts w:eastAsia="Guttman Hodes"/>
          <w:rtl/>
        </w:rPr>
        <w:fldChar w:fldCharType="begin"/>
      </w:r>
      <w:r w:rsidRPr="00907D1D">
        <w:rPr>
          <w:rStyle w:val="af7"/>
          <w:rFonts w:eastAsia="Guttman Hodes"/>
          <w:rtl/>
        </w:rPr>
        <w:instrText xml:space="preserve"> </w:instrText>
      </w:r>
      <w:r w:rsidRPr="00907D1D">
        <w:rPr>
          <w:rStyle w:val="af7"/>
          <w:rFonts w:eastAsia="Guttman Hodes" w:hint="cs"/>
        </w:rPr>
        <w:instrText>REF</w:instrText>
      </w:r>
      <w:r w:rsidRPr="00907D1D">
        <w:rPr>
          <w:rStyle w:val="af7"/>
          <w:rFonts w:eastAsia="Guttman Hodes" w:hint="cs"/>
          <w:rtl/>
        </w:rPr>
        <w:instrText xml:space="preserve"> _</w:instrText>
      </w:r>
      <w:r w:rsidRPr="00907D1D">
        <w:rPr>
          <w:rStyle w:val="af7"/>
          <w:rFonts w:eastAsia="Guttman Hodes" w:hint="cs"/>
        </w:rPr>
        <w:instrText>Ref59651096 \r \h</w:instrText>
      </w:r>
      <w:r w:rsidRPr="00907D1D">
        <w:rPr>
          <w:rStyle w:val="af7"/>
          <w:rFonts w:eastAsia="Guttman Hodes"/>
          <w:rtl/>
        </w:rPr>
        <w:instrText xml:space="preserve"> </w:instrText>
      </w:r>
      <w:r w:rsidRPr="00907D1D">
        <w:rPr>
          <w:rStyle w:val="af7"/>
          <w:rFonts w:eastAsia="Guttman Hodes"/>
          <w:rtl/>
        </w:rPr>
      </w:r>
      <w:r w:rsidRPr="00907D1D">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907D1D">
        <w:rPr>
          <w:rStyle w:val="af7"/>
          <w:rFonts w:eastAsia="Guttman Hodes"/>
          <w:rtl/>
        </w:rPr>
        <w:fldChar w:fldCharType="end"/>
      </w:r>
      <w:r w:rsidRPr="003B5081">
        <w:rPr>
          <w:rFonts w:hint="cs"/>
          <w:rtl/>
        </w:rPr>
        <w:t xml:space="preserve"> דלדעת </w:t>
      </w:r>
      <w:r w:rsidRPr="007C1F59">
        <w:rPr>
          <w:rStyle w:val="af9"/>
          <w:rFonts w:hint="cs"/>
          <w:rtl/>
        </w:rPr>
        <w:t>הרשב"ם</w:t>
      </w:r>
      <w:r w:rsidRPr="003B5081">
        <w:rPr>
          <w:rFonts w:hint="cs"/>
          <w:rtl/>
        </w:rPr>
        <w:t xml:space="preserve"> </w:t>
      </w:r>
      <w:r w:rsidRPr="00907D1D">
        <w:rPr>
          <w:rStyle w:val="af7"/>
          <w:rFonts w:eastAsia="Guttman Hodes" w:hint="cs"/>
          <w:rtl/>
        </w:rPr>
        <w:t xml:space="preserve">(עי' אות </w:t>
      </w:r>
      <w:r w:rsidRPr="00907D1D">
        <w:rPr>
          <w:rStyle w:val="af7"/>
          <w:rFonts w:eastAsia="Guttman Hodes"/>
          <w:rtl/>
        </w:rPr>
        <w:fldChar w:fldCharType="begin"/>
      </w:r>
      <w:r w:rsidRPr="00907D1D">
        <w:rPr>
          <w:rStyle w:val="af7"/>
          <w:rFonts w:eastAsia="Guttman Hodes"/>
          <w:rtl/>
        </w:rPr>
        <w:instrText xml:space="preserve"> </w:instrText>
      </w:r>
      <w:r w:rsidRPr="00907D1D">
        <w:rPr>
          <w:rStyle w:val="af7"/>
          <w:rFonts w:eastAsia="Guttman Hodes" w:hint="cs"/>
        </w:rPr>
        <w:instrText>REF</w:instrText>
      </w:r>
      <w:r w:rsidRPr="00907D1D">
        <w:rPr>
          <w:rStyle w:val="af7"/>
          <w:rFonts w:eastAsia="Guttman Hodes" w:hint="cs"/>
          <w:rtl/>
        </w:rPr>
        <w:instrText xml:space="preserve"> _</w:instrText>
      </w:r>
      <w:r w:rsidRPr="00907D1D">
        <w:rPr>
          <w:rStyle w:val="af7"/>
          <w:rFonts w:eastAsia="Guttman Hodes" w:hint="cs"/>
        </w:rPr>
        <w:instrText>Ref59546095 \r \h</w:instrText>
      </w:r>
      <w:r w:rsidRPr="00907D1D">
        <w:rPr>
          <w:rStyle w:val="af7"/>
          <w:rFonts w:eastAsia="Guttman Hodes"/>
          <w:rtl/>
        </w:rPr>
        <w:instrText xml:space="preserve"> </w:instrText>
      </w:r>
      <w:r w:rsidRPr="00907D1D">
        <w:rPr>
          <w:rStyle w:val="af7"/>
          <w:rFonts w:eastAsia="Guttman Hodes"/>
          <w:rtl/>
        </w:rPr>
      </w:r>
      <w:r w:rsidRPr="00907D1D">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907D1D">
        <w:rPr>
          <w:rStyle w:val="af7"/>
          <w:rFonts w:eastAsia="Guttman Hodes"/>
          <w:rtl/>
        </w:rPr>
        <w:fldChar w:fldCharType="end"/>
      </w:r>
      <w:r w:rsidRPr="003B5081">
        <w:rPr>
          <w:rFonts w:hint="cs"/>
          <w:rtl/>
        </w:rPr>
        <w:t xml:space="preserve"> הא דהמחזיק נאמן בטענת קמי דידי זבנה מינך, רק כשיש למחזיק חזקת ג"ש, ביאר </w:t>
      </w:r>
      <w:r w:rsidRPr="003B5081">
        <w:rPr>
          <w:rStyle w:val="af9"/>
          <w:rFonts w:hint="cs"/>
          <w:rtl/>
        </w:rPr>
        <w:t>התומים</w:t>
      </w:r>
      <w:r w:rsidRPr="003B5081">
        <w:rPr>
          <w:rFonts w:hint="cs"/>
          <w:rtl/>
        </w:rPr>
        <w:t xml:space="preserve"> </w:t>
      </w:r>
      <w:r w:rsidRPr="003B5081">
        <w:rPr>
          <w:rStyle w:val="af7"/>
          <w:rFonts w:eastAsia="Guttman Hodes" w:hint="cs"/>
          <w:rtl/>
        </w:rPr>
        <w:t>(סי' קמ"ו ריש סקט"ז</w:t>
      </w:r>
      <w:r w:rsidRPr="003B5081">
        <w:rPr>
          <w:rFonts w:hint="cs"/>
          <w:rtl/>
        </w:rPr>
        <w:t xml:space="preserve"> דכשאין לו חזקה כ"מ </w:t>
      </w:r>
      <w:r>
        <w:rPr>
          <w:rFonts w:hint="cs"/>
          <w:rtl/>
        </w:rPr>
        <w:t xml:space="preserve">הנאמנות שלו היא במיגו </w:t>
      </w:r>
      <w:r w:rsidRPr="003B5081">
        <w:rPr>
          <w:rFonts w:hint="cs"/>
          <w:rtl/>
        </w:rPr>
        <w:t xml:space="preserve">במיגו דלא הייתה של המערער מעולם, והמיגו הזה הוא מיגו גרוע, דהמחזיק ירא לטעון דלא הייתה של המערער מעולם, וכסברא דכתב </w:t>
      </w:r>
      <w:r w:rsidRPr="003B5081">
        <w:rPr>
          <w:rStyle w:val="af9"/>
          <w:rFonts w:hint="cs"/>
          <w:rtl/>
        </w:rPr>
        <w:t>הרא"ש</w:t>
      </w:r>
      <w:r w:rsidRPr="003B5081">
        <w:rPr>
          <w:rFonts w:hint="cs"/>
          <w:rtl/>
        </w:rPr>
        <w:t xml:space="preserve"> </w:t>
      </w:r>
      <w:r w:rsidRPr="003B5081">
        <w:rPr>
          <w:rStyle w:val="af7"/>
          <w:rFonts w:eastAsia="Guttman Hodes" w:hint="cs"/>
          <w:rtl/>
        </w:rPr>
        <w:t xml:space="preserve">(עי' אות </w:t>
      </w:r>
      <w:r w:rsidRPr="003B5081">
        <w:rPr>
          <w:rStyle w:val="af7"/>
          <w:rFonts w:eastAsia="Guttman Hodes"/>
          <w:rtl/>
        </w:rPr>
        <w:fldChar w:fldCharType="begin"/>
      </w:r>
      <w:r w:rsidRPr="003B5081">
        <w:rPr>
          <w:rStyle w:val="af7"/>
          <w:rFonts w:eastAsia="Guttman Hodes"/>
          <w:rtl/>
        </w:rPr>
        <w:instrText xml:space="preserve"> </w:instrText>
      </w:r>
      <w:r w:rsidRPr="003B5081">
        <w:rPr>
          <w:rStyle w:val="af7"/>
          <w:rFonts w:eastAsia="Guttman Hodes" w:hint="cs"/>
        </w:rPr>
        <w:instrText>REF</w:instrText>
      </w:r>
      <w:r w:rsidRPr="003B5081">
        <w:rPr>
          <w:rStyle w:val="af7"/>
          <w:rFonts w:eastAsia="Guttman Hodes" w:hint="cs"/>
          <w:rtl/>
        </w:rPr>
        <w:instrText xml:space="preserve"> _</w:instrText>
      </w:r>
      <w:r w:rsidRPr="003B5081">
        <w:rPr>
          <w:rStyle w:val="af7"/>
          <w:rFonts w:eastAsia="Guttman Hodes" w:hint="cs"/>
        </w:rPr>
        <w:instrText>Ref59655213 \r \h</w:instrText>
      </w:r>
      <w:r w:rsidRPr="003B5081">
        <w:rPr>
          <w:rStyle w:val="af7"/>
          <w:rFonts w:eastAsia="Guttman Hodes"/>
          <w:rtl/>
        </w:rPr>
        <w:instrText xml:space="preserve">  \* </w:instrText>
      </w:r>
      <w:r w:rsidRPr="003B5081">
        <w:rPr>
          <w:rStyle w:val="af7"/>
          <w:rFonts w:eastAsia="Guttman Hodes"/>
        </w:rPr>
        <w:instrText>MERGEFORMAT</w:instrText>
      </w:r>
      <w:r w:rsidRPr="003B5081">
        <w:rPr>
          <w:rStyle w:val="af7"/>
          <w:rFonts w:eastAsia="Guttman Hodes"/>
          <w:rtl/>
        </w:rPr>
        <w:instrText xml:space="preserve"> </w:instrText>
      </w:r>
      <w:r w:rsidRPr="003B5081">
        <w:rPr>
          <w:rStyle w:val="af7"/>
          <w:rFonts w:eastAsia="Guttman Hodes"/>
          <w:rtl/>
        </w:rPr>
      </w:r>
      <w:r w:rsidRPr="003B5081">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3B5081">
        <w:rPr>
          <w:rStyle w:val="af7"/>
          <w:rFonts w:eastAsia="Guttman Hodes"/>
          <w:rtl/>
        </w:rPr>
        <w:fldChar w:fldCharType="end"/>
      </w:r>
      <w:r w:rsidRPr="003B5081">
        <w:rPr>
          <w:rFonts w:hint="cs"/>
          <w:rtl/>
        </w:rPr>
        <w:t>, דחושש המחזיק שמא יביא המערער עדים שהייתה שלו, דהרי המחזיק מאמין למוכר שהמוכר קנה מהמערער, ולכן לא טען המחזיק מלכתחילה דלא הייתה של המערער מעולם.</w:t>
      </w:r>
      <w:bookmarkEnd w:id="9812"/>
    </w:p>
    <w:p w:rsidR="000E75A3" w:rsidRPr="0095024C" w:rsidRDefault="000E75A3" w:rsidP="000E75A3">
      <w:pPr>
        <w:pStyle w:val="a3"/>
        <w:rPr>
          <w:rtl/>
        </w:rPr>
      </w:pPr>
      <w:bookmarkStart w:id="9815" w:name="_Toc59741669"/>
      <w:bookmarkStart w:id="9816" w:name="_Toc59786804"/>
      <w:bookmarkStart w:id="9817" w:name="_Toc59802618"/>
      <w:bookmarkStart w:id="9818" w:name="_Toc59916179"/>
      <w:r>
        <w:rPr>
          <w:rFonts w:hint="cs"/>
          <w:rtl/>
        </w:rPr>
        <w:t>ביאור התומים דבקמי דידי בזקה נאמן במיגו דמינך זבינתה וסומך שיהיו עדים שהמוכר קנה</w:t>
      </w:r>
      <w:bookmarkEnd w:id="9813"/>
      <w:bookmarkEnd w:id="9814"/>
      <w:bookmarkEnd w:id="9815"/>
      <w:bookmarkEnd w:id="9816"/>
      <w:bookmarkEnd w:id="9817"/>
      <w:bookmarkEnd w:id="9818"/>
    </w:p>
    <w:p w:rsidR="000E75A3" w:rsidRDefault="000E75A3" w:rsidP="007E4E81">
      <w:pPr>
        <w:pStyle w:val="a0"/>
        <w:rPr>
          <w:rtl/>
        </w:rPr>
      </w:pPr>
      <w:r w:rsidRPr="0095024C">
        <w:rPr>
          <w:rFonts w:hint="cs"/>
          <w:rtl/>
        </w:rPr>
        <w:t xml:space="preserve">אבל כשטוען המחזיק קמי דידי זבנה מינך, </w:t>
      </w:r>
      <w:r>
        <w:rPr>
          <w:rFonts w:hint="cs"/>
          <w:rtl/>
        </w:rPr>
        <w:t xml:space="preserve">ויש לו חזקת ג"ש, </w:t>
      </w:r>
      <w:r w:rsidRPr="0095024C">
        <w:rPr>
          <w:rFonts w:hint="cs"/>
          <w:rtl/>
        </w:rPr>
        <w:t xml:space="preserve">כתב </w:t>
      </w:r>
      <w:r w:rsidRPr="0095024C">
        <w:rPr>
          <w:rStyle w:val="af9"/>
          <w:rFonts w:hint="cs"/>
          <w:rtl/>
        </w:rPr>
        <w:t>התומים</w:t>
      </w:r>
      <w:r w:rsidRPr="0095024C">
        <w:rPr>
          <w:rFonts w:hint="cs"/>
          <w:rtl/>
        </w:rPr>
        <w:t xml:space="preserve"> ד</w:t>
      </w:r>
      <w:r>
        <w:rPr>
          <w:rFonts w:hint="cs"/>
          <w:rtl/>
        </w:rPr>
        <w:t xml:space="preserve">כיון דהנאמנות שלו היא במיגו דמינך זבינתה, לכן </w:t>
      </w:r>
      <w:r w:rsidRPr="0095024C">
        <w:rPr>
          <w:rFonts w:hint="cs"/>
          <w:rtl/>
        </w:rPr>
        <w:t xml:space="preserve">אינו </w:t>
      </w:r>
      <w:r>
        <w:rPr>
          <w:rFonts w:hint="cs"/>
          <w:rtl/>
        </w:rPr>
        <w:t xml:space="preserve">ירא לטעון את טענת המיגו, דאינו </w:t>
      </w:r>
      <w:r w:rsidRPr="0095024C">
        <w:rPr>
          <w:rFonts w:hint="cs"/>
          <w:rtl/>
        </w:rPr>
        <w:t xml:space="preserve">חושש שיתברר בעדים </w:t>
      </w:r>
      <w:r>
        <w:rPr>
          <w:rFonts w:hint="cs"/>
          <w:rtl/>
        </w:rPr>
        <w:t>שהוא לא קנה מהמערער</w:t>
      </w:r>
      <w:r w:rsidRPr="0095024C">
        <w:rPr>
          <w:rFonts w:hint="cs"/>
          <w:rtl/>
        </w:rPr>
        <w:t>, ו</w:t>
      </w:r>
      <w:r>
        <w:rPr>
          <w:rFonts w:hint="cs"/>
          <w:rtl/>
        </w:rPr>
        <w:t>כתב</w:t>
      </w:r>
      <w:r w:rsidRPr="0095024C">
        <w:rPr>
          <w:rFonts w:hint="cs"/>
          <w:rtl/>
        </w:rPr>
        <w:t xml:space="preserve"> </w:t>
      </w:r>
      <w:r w:rsidRPr="0095024C">
        <w:rPr>
          <w:rStyle w:val="af9"/>
          <w:rFonts w:hint="cs"/>
          <w:rtl/>
        </w:rPr>
        <w:t>התומים</w:t>
      </w:r>
      <w:r w:rsidRPr="0095024C">
        <w:rPr>
          <w:rFonts w:hint="cs"/>
          <w:rtl/>
        </w:rPr>
        <w:t xml:space="preserve"> </w:t>
      </w:r>
      <w:r>
        <w:rPr>
          <w:rFonts w:hint="cs"/>
          <w:rtl/>
        </w:rPr>
        <w:t>דהמחזיק אינו חושש מזה,</w:t>
      </w:r>
      <w:r w:rsidRPr="0095024C">
        <w:rPr>
          <w:rFonts w:hint="cs"/>
          <w:rtl/>
        </w:rPr>
        <w:t xml:space="preserve"> דהרי כ"מ דעדים יכולים להכחישו, היינו דיעידו שלא זזה ידם מיד המערער, </w:t>
      </w:r>
      <w:r w:rsidRPr="0095024C">
        <w:rPr>
          <w:rStyle w:val="afb"/>
          <w:rFonts w:hint="cs"/>
          <w:rtl/>
        </w:rPr>
        <w:t>[כדכתב</w:t>
      </w:r>
      <w:r w:rsidRPr="0095024C">
        <w:rPr>
          <w:rFonts w:hint="cs"/>
          <w:rtl/>
        </w:rPr>
        <w:t xml:space="preserve"> </w:t>
      </w:r>
      <w:r w:rsidRPr="0095024C">
        <w:rPr>
          <w:rStyle w:val="affa"/>
          <w:rFonts w:hint="cs"/>
          <w:rtl/>
        </w:rPr>
        <w:t>הפלפולא חריפתא</w:t>
      </w:r>
      <w:r w:rsidRPr="0095024C">
        <w:rPr>
          <w:rFonts w:hint="cs"/>
          <w:rtl/>
        </w:rPr>
        <w:t xml:space="preserve"> </w:t>
      </w:r>
      <w:r w:rsidRPr="0095024C">
        <w:rPr>
          <w:rStyle w:val="aff6"/>
          <w:rFonts w:hint="cs"/>
          <w:rtl/>
        </w:rPr>
        <w:t>(על הרא"ש סי' ז' או' י', הובא בסימן ט' הערה</w:t>
      </w:r>
      <w:r w:rsidRPr="0095024C">
        <w:rPr>
          <w:rFonts w:hint="cs"/>
          <w:vertAlign w:val="superscript"/>
          <w:rtl/>
        </w:rPr>
        <w:t>11</w:t>
      </w:r>
      <w:r w:rsidRPr="0095024C">
        <w:rPr>
          <w:rStyle w:val="aff6"/>
          <w:rFonts w:hint="cs"/>
          <w:rtl/>
        </w:rPr>
        <w:t>)</w:t>
      </w:r>
      <w:r w:rsidRPr="0095024C">
        <w:rPr>
          <w:rStyle w:val="afb"/>
          <w:rFonts w:hint="cs"/>
          <w:rtl/>
        </w:rPr>
        <w:t>]</w:t>
      </w:r>
      <w:r>
        <w:rPr>
          <w:rStyle w:val="af7"/>
          <w:rFonts w:eastAsia="Guttman Hodes" w:hint="cs"/>
          <w:rtl/>
        </w:rPr>
        <w:t>,</w:t>
      </w:r>
      <w:r w:rsidRPr="0095024C">
        <w:rPr>
          <w:rStyle w:val="af7"/>
          <w:rFonts w:eastAsia="Guttman Hodes" w:hint="cs"/>
          <w:rtl/>
        </w:rPr>
        <w:t xml:space="preserve"> </w:t>
      </w:r>
      <w:r>
        <w:rPr>
          <w:rFonts w:hint="cs"/>
          <w:rtl/>
        </w:rPr>
        <w:t>ו</w:t>
      </w:r>
      <w:r w:rsidRPr="0095024C">
        <w:rPr>
          <w:rFonts w:hint="cs"/>
          <w:rtl/>
        </w:rPr>
        <w:t xml:space="preserve">כיון שהוא מאמין לדברי המוכר דבאמת הוא מכר למוכר, אם יבואו עדים שלא זזה ידם מיד המערער, א"כ הם יעידו לטובתו שהמוכר קנה מהמערער, ואעפ"י שיכחישו את טענתו, דיאמרו שהוא לא </w:t>
      </w:r>
      <w:r>
        <w:rPr>
          <w:rFonts w:hint="cs"/>
          <w:rtl/>
        </w:rPr>
        <w:t>קנה מהמערער</w:t>
      </w:r>
      <w:r w:rsidRPr="0095024C">
        <w:rPr>
          <w:rFonts w:hint="cs"/>
          <w:rtl/>
        </w:rPr>
        <w:t xml:space="preserve">, מ"מ הם יעידו שהקרקע של המוכר, וכיון דכתב </w:t>
      </w:r>
      <w:r w:rsidRPr="00775FC8">
        <w:rPr>
          <w:rStyle w:val="af9"/>
          <w:rFonts w:hint="cs"/>
          <w:rtl/>
        </w:rPr>
        <w:t>הרשב"ם</w:t>
      </w:r>
      <w:r>
        <w:rPr>
          <w:rFonts w:hint="cs"/>
          <w:rtl/>
        </w:rPr>
        <w:t xml:space="preserve"> </w:t>
      </w:r>
      <w:r w:rsidRPr="00091DF9">
        <w:rPr>
          <w:rStyle w:val="af7"/>
          <w:rFonts w:eastAsia="Guttman Hodes" w:hint="cs"/>
          <w:rtl/>
        </w:rPr>
        <w:t>(ד"ה א"ל</w:t>
      </w:r>
      <w:r>
        <w:rPr>
          <w:rStyle w:val="af7"/>
          <w:rFonts w:eastAsia="Guttman Hodes" w:hint="cs"/>
          <w:rtl/>
        </w:rPr>
        <w:t>, הובא בסימן ח' אות א')</w:t>
      </w:r>
      <w:r>
        <w:rPr>
          <w:rFonts w:hint="cs"/>
          <w:rtl/>
        </w:rPr>
        <w:t xml:space="preserve"> </w:t>
      </w:r>
      <w:r w:rsidRPr="0095024C">
        <w:rPr>
          <w:rFonts w:hint="cs"/>
          <w:rtl/>
        </w:rPr>
        <w:t>דיש לו שטר מהמוכר, תעמוד הקרקע ברשותו, ולא איכפת ליה במה שתוכחש טענתו ע"י העדים</w:t>
      </w:r>
      <w:r>
        <w:rPr>
          <w:rFonts w:hint="cs"/>
          <w:rtl/>
        </w:rPr>
        <w:t>, ולכן מהני לו המיגו דמינך זבינתה</w:t>
      </w:r>
      <w:r w:rsidRPr="0095024C">
        <w:rPr>
          <w:rFonts w:hint="cs"/>
          <w:rtl/>
        </w:rPr>
        <w:t xml:space="preserve">. </w:t>
      </w:r>
    </w:p>
    <w:p w:rsidR="000E75A3" w:rsidRDefault="000E75A3" w:rsidP="000E75A3">
      <w:pPr>
        <w:pStyle w:val="a3"/>
        <w:rPr>
          <w:rtl/>
        </w:rPr>
      </w:pPr>
      <w:bookmarkStart w:id="9819" w:name="_Toc59620328"/>
      <w:bookmarkStart w:id="9820" w:name="_Toc59643600"/>
      <w:bookmarkStart w:id="9821" w:name="_Toc59741670"/>
      <w:bookmarkStart w:id="9822" w:name="_Toc59786805"/>
      <w:bookmarkStart w:id="9823" w:name="_Toc59802619"/>
      <w:bookmarkStart w:id="9824" w:name="_Toc59916180"/>
      <w:r>
        <w:rPr>
          <w:rFonts w:hint="cs"/>
          <w:rtl/>
        </w:rPr>
        <w:t>קושית התומים דטענת קמי דידי תחשב כטענת ודאי וא"כ מהני בלא חזקה דהוי ודאי וודאי</w:t>
      </w:r>
      <w:bookmarkEnd w:id="9819"/>
      <w:bookmarkEnd w:id="9820"/>
      <w:bookmarkEnd w:id="9821"/>
      <w:bookmarkEnd w:id="9822"/>
      <w:bookmarkEnd w:id="9823"/>
      <w:bookmarkEnd w:id="9824"/>
    </w:p>
    <w:p w:rsidR="000E75A3" w:rsidRDefault="000E75A3" w:rsidP="007E4E81">
      <w:pPr>
        <w:pStyle w:val="a0"/>
        <w:rPr>
          <w:rtl/>
        </w:rPr>
      </w:pPr>
      <w:r>
        <w:rPr>
          <w:rFonts w:hint="cs"/>
          <w:rtl/>
        </w:rPr>
        <w:t xml:space="preserve">אך הקשה </w:t>
      </w:r>
      <w:r w:rsidRPr="00C92319">
        <w:rPr>
          <w:rStyle w:val="af9"/>
          <w:rFonts w:hint="cs"/>
          <w:rtl/>
        </w:rPr>
        <w:t>התומים</w:t>
      </w:r>
      <w:r>
        <w:rPr>
          <w:rFonts w:hint="cs"/>
          <w:rtl/>
        </w:rPr>
        <w:t xml:space="preserve"> </w:t>
      </w:r>
      <w:r w:rsidRPr="00C75EA8">
        <w:rPr>
          <w:rStyle w:val="af7"/>
          <w:rFonts w:eastAsia="Guttman Hodes" w:hint="cs"/>
          <w:rtl/>
        </w:rPr>
        <w:t>(סי' קמ"ו ס"ק ט"ז ד"ה</w:t>
      </w:r>
      <w:r w:rsidRPr="00C75EA8">
        <w:rPr>
          <w:rStyle w:val="af7"/>
          <w:rFonts w:eastAsia="Guttman Hodes"/>
          <w:rtl/>
        </w:rPr>
        <w:t xml:space="preserve"> </w:t>
      </w:r>
      <w:r w:rsidRPr="00C75EA8">
        <w:rPr>
          <w:rStyle w:val="af7"/>
          <w:rFonts w:eastAsia="Guttman Hodes" w:hint="cs"/>
          <w:rtl/>
        </w:rPr>
        <w:t>ואי קשה)</w:t>
      </w:r>
      <w:r>
        <w:rPr>
          <w:rFonts w:hint="cs"/>
          <w:rtl/>
        </w:rPr>
        <w:t xml:space="preserve"> דנאמר דטענת קמי דידי זבנה מינך, חשיבא כטענת ודאי ותועיל אף כשאין למחזיק חזקת ג"ש. </w:t>
      </w:r>
      <w:r w:rsidRPr="00DA70D5">
        <w:rPr>
          <w:rStyle w:val="afb"/>
          <w:rFonts w:hint="cs"/>
          <w:rtl/>
        </w:rPr>
        <w:t xml:space="preserve">[והיינו </w:t>
      </w:r>
      <w:r>
        <w:rPr>
          <w:rStyle w:val="afb"/>
          <w:rFonts w:hint="cs"/>
          <w:rtl/>
        </w:rPr>
        <w:t>כדביאר</w:t>
      </w:r>
      <w:r w:rsidRPr="00EA59CB">
        <w:rPr>
          <w:rStyle w:val="afb"/>
          <w:rtl/>
        </w:rPr>
        <w:t xml:space="preserve"> </w:t>
      </w:r>
      <w:r w:rsidRPr="00C767B2">
        <w:rPr>
          <w:rStyle w:val="affa"/>
          <w:rFonts w:hint="cs"/>
          <w:rtl/>
        </w:rPr>
        <w:t>הרמב"ן</w:t>
      </w:r>
      <w:r>
        <w:rPr>
          <w:rFonts w:hint="cs"/>
          <w:rtl/>
        </w:rPr>
        <w:t xml:space="preserve"> </w:t>
      </w:r>
      <w:r w:rsidRPr="00C767B2">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Ref59615619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צב)</w:t>
      </w:r>
      <w:r>
        <w:rPr>
          <w:rStyle w:val="aff6"/>
          <w:rtl/>
        </w:rPr>
        <w:fldChar w:fldCharType="end"/>
      </w:r>
      <w:r>
        <w:rPr>
          <w:rStyle w:val="aff6"/>
          <w:rFonts w:hint="cs"/>
          <w:rtl/>
        </w:rPr>
        <w:t xml:space="preserve"> </w:t>
      </w:r>
      <w:r>
        <w:rPr>
          <w:rStyle w:val="afb"/>
          <w:rFonts w:hint="cs"/>
          <w:rtl/>
        </w:rPr>
        <w:t>בדעת</w:t>
      </w:r>
      <w:r w:rsidRPr="00EA59CB">
        <w:rPr>
          <w:rStyle w:val="afb"/>
          <w:rtl/>
        </w:rPr>
        <w:t xml:space="preserve"> </w:t>
      </w:r>
      <w:r w:rsidRPr="00C15C53">
        <w:rPr>
          <w:rStyle w:val="affa"/>
          <w:rtl/>
        </w:rPr>
        <w:t>הרי"ף</w:t>
      </w:r>
      <w:r w:rsidRPr="00EA59CB">
        <w:rPr>
          <w:rStyle w:val="afb"/>
          <w:rtl/>
        </w:rPr>
        <w:t xml:space="preserve"> דכל שהוא טוען טענת ברי, דאומר קמי דידי זבנה מינך, דאינו ספק וודאי, אלא ודאי וודאי הוא נאמן</w:t>
      </w:r>
      <w:r>
        <w:rPr>
          <w:rStyle w:val="afb"/>
          <w:rFonts w:hint="cs"/>
          <w:rtl/>
        </w:rPr>
        <w:t xml:space="preserve">, אף בלא חזקה, </w:t>
      </w:r>
      <w:r w:rsidRPr="00DA70D5">
        <w:rPr>
          <w:rStyle w:val="afb"/>
          <w:rFonts w:hint="cs"/>
          <w:rtl/>
        </w:rPr>
        <w:t>כיון שאין למערער עדים].</w:t>
      </w:r>
    </w:p>
    <w:p w:rsidR="000E75A3" w:rsidRPr="001D5C73" w:rsidRDefault="000E75A3" w:rsidP="000E75A3">
      <w:pPr>
        <w:pStyle w:val="a3"/>
      </w:pPr>
      <w:bookmarkStart w:id="9825" w:name="_Toc59620329"/>
      <w:bookmarkStart w:id="9826" w:name="_Toc59643601"/>
      <w:bookmarkStart w:id="9827" w:name="_Toc59741671"/>
      <w:bookmarkStart w:id="9828" w:name="_Toc59786806"/>
      <w:bookmarkStart w:id="9829" w:name="_Toc59802620"/>
      <w:bookmarkStart w:id="9830" w:name="_Toc59916181"/>
      <w:r>
        <w:rPr>
          <w:rFonts w:hint="cs"/>
          <w:rtl/>
        </w:rPr>
        <w:t>תירוץ התומים דכיון שהוא ירא לטעון את המיגו בלא חזקה לא חשיבא קמי דידי כטענת ודאי</w:t>
      </w:r>
      <w:bookmarkEnd w:id="9825"/>
      <w:bookmarkEnd w:id="9826"/>
      <w:bookmarkEnd w:id="9827"/>
      <w:bookmarkEnd w:id="9828"/>
      <w:bookmarkEnd w:id="9829"/>
      <w:bookmarkEnd w:id="9830"/>
    </w:p>
    <w:p w:rsidR="000E75A3" w:rsidRDefault="000E75A3" w:rsidP="007E4E81">
      <w:pPr>
        <w:pStyle w:val="a0"/>
        <w:rPr>
          <w:rtl/>
        </w:rPr>
      </w:pPr>
      <w:r>
        <w:rPr>
          <w:rFonts w:hint="cs"/>
          <w:rtl/>
        </w:rPr>
        <w:t xml:space="preserve">ותירץ </w:t>
      </w:r>
      <w:r w:rsidRPr="00C92319">
        <w:rPr>
          <w:rStyle w:val="af9"/>
          <w:rFonts w:hint="cs"/>
          <w:rtl/>
        </w:rPr>
        <w:t>התומים</w:t>
      </w:r>
      <w:r>
        <w:rPr>
          <w:rFonts w:hint="cs"/>
          <w:rtl/>
        </w:rPr>
        <w:t xml:space="preserve"> דכיון שהוא נאמן בטענת קמי דידי זבנה מינך רק במיגו, וכשאין לו חזקת ג"ש, אין לו מיגו דלא הייתה שלך מעולם, וכסברת </w:t>
      </w:r>
      <w:r w:rsidRPr="00C92319">
        <w:rPr>
          <w:rStyle w:val="af9"/>
          <w:rFonts w:hint="cs"/>
          <w:rtl/>
        </w:rPr>
        <w:t>הרא"ש</w:t>
      </w:r>
      <w:r>
        <w:rPr>
          <w:rFonts w:hint="cs"/>
          <w:rtl/>
        </w:rPr>
        <w:t xml:space="preserve"> </w:t>
      </w:r>
      <w:r w:rsidRPr="003B5081">
        <w:rPr>
          <w:rStyle w:val="af7"/>
          <w:rFonts w:eastAsia="Guttman Hodes" w:hint="cs"/>
          <w:rtl/>
        </w:rPr>
        <w:t xml:space="preserve">(עי' אות </w:t>
      </w:r>
      <w:r w:rsidRPr="003B5081">
        <w:rPr>
          <w:rStyle w:val="af7"/>
          <w:rFonts w:eastAsia="Guttman Hodes"/>
          <w:rtl/>
        </w:rPr>
        <w:fldChar w:fldCharType="begin"/>
      </w:r>
      <w:r w:rsidRPr="003B5081">
        <w:rPr>
          <w:rStyle w:val="af7"/>
          <w:rFonts w:eastAsia="Guttman Hodes"/>
          <w:rtl/>
        </w:rPr>
        <w:instrText xml:space="preserve"> </w:instrText>
      </w:r>
      <w:r w:rsidRPr="003B5081">
        <w:rPr>
          <w:rStyle w:val="af7"/>
          <w:rFonts w:eastAsia="Guttman Hodes" w:hint="cs"/>
        </w:rPr>
        <w:instrText>REF</w:instrText>
      </w:r>
      <w:r w:rsidRPr="003B5081">
        <w:rPr>
          <w:rStyle w:val="af7"/>
          <w:rFonts w:eastAsia="Guttman Hodes" w:hint="cs"/>
          <w:rtl/>
        </w:rPr>
        <w:instrText xml:space="preserve"> _</w:instrText>
      </w:r>
      <w:r w:rsidRPr="003B5081">
        <w:rPr>
          <w:rStyle w:val="af7"/>
          <w:rFonts w:eastAsia="Guttman Hodes" w:hint="cs"/>
        </w:rPr>
        <w:instrText>Ref59655213 \r \h</w:instrText>
      </w:r>
      <w:r w:rsidRPr="003B5081">
        <w:rPr>
          <w:rStyle w:val="af7"/>
          <w:rFonts w:eastAsia="Guttman Hodes"/>
          <w:rtl/>
        </w:rPr>
        <w:instrText xml:space="preserve">  \* </w:instrText>
      </w:r>
      <w:r w:rsidRPr="003B5081">
        <w:rPr>
          <w:rStyle w:val="af7"/>
          <w:rFonts w:eastAsia="Guttman Hodes"/>
        </w:rPr>
        <w:instrText>MERGEFORMAT</w:instrText>
      </w:r>
      <w:r w:rsidRPr="003B5081">
        <w:rPr>
          <w:rStyle w:val="af7"/>
          <w:rFonts w:eastAsia="Guttman Hodes"/>
          <w:rtl/>
        </w:rPr>
        <w:instrText xml:space="preserve"> </w:instrText>
      </w:r>
      <w:r w:rsidRPr="003B5081">
        <w:rPr>
          <w:rStyle w:val="af7"/>
          <w:rFonts w:eastAsia="Guttman Hodes"/>
          <w:rtl/>
        </w:rPr>
      </w:r>
      <w:r w:rsidRPr="003B5081">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3B5081">
        <w:rPr>
          <w:rStyle w:val="af7"/>
          <w:rFonts w:eastAsia="Guttman Hodes"/>
          <w:rtl/>
        </w:rPr>
        <w:fldChar w:fldCharType="end"/>
      </w:r>
      <w:r>
        <w:rPr>
          <w:rFonts w:hint="cs"/>
          <w:rtl/>
        </w:rPr>
        <w:t xml:space="preserve"> דהוא ירא לטעון את טענת המיגו, </w:t>
      </w:r>
      <w:r w:rsidRPr="00C15C53">
        <w:rPr>
          <w:rStyle w:val="afb"/>
          <w:rFonts w:hint="cs"/>
          <w:rtl/>
        </w:rPr>
        <w:t>[וכיון שאין לו חזקת ג"ש אין לו מיגו דמינך זבינתה, דהא אין לו שטר מהמערער],</w:t>
      </w:r>
      <w:r>
        <w:rPr>
          <w:rFonts w:hint="cs"/>
          <w:rtl/>
        </w:rPr>
        <w:t xml:space="preserve"> ולכן אף לדעת </w:t>
      </w:r>
      <w:r w:rsidRPr="00C92319">
        <w:rPr>
          <w:rStyle w:val="af9"/>
          <w:rFonts w:hint="cs"/>
          <w:rtl/>
        </w:rPr>
        <w:t>הרי"ף</w:t>
      </w:r>
      <w:r>
        <w:rPr>
          <w:rFonts w:hint="cs"/>
          <w:rtl/>
        </w:rPr>
        <w:t xml:space="preserve"> </w:t>
      </w:r>
      <w:r w:rsidRPr="00184C86">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Ref59616683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Pr>
          <w:rStyle w:val="af7"/>
          <w:rFonts w:eastAsia="Guttman Hodes"/>
          <w:rtl/>
        </w:rPr>
        <w:fldChar w:fldCharType="end"/>
      </w:r>
      <w:r>
        <w:rPr>
          <w:rStyle w:val="af7"/>
          <w:rFonts w:eastAsia="Guttman Hodes" w:hint="cs"/>
          <w:rtl/>
        </w:rPr>
        <w:t xml:space="preserve"> </w:t>
      </w:r>
      <w:r w:rsidRPr="00C92319">
        <w:rPr>
          <w:rStyle w:val="af9"/>
          <w:rFonts w:hint="cs"/>
          <w:rtl/>
        </w:rPr>
        <w:t>ורבינו יונה</w:t>
      </w:r>
      <w:r>
        <w:rPr>
          <w:rFonts w:hint="cs"/>
          <w:rtl/>
        </w:rPr>
        <w:t xml:space="preserve"> </w:t>
      </w:r>
      <w:r w:rsidRPr="00C40AD6">
        <w:rPr>
          <w:rStyle w:val="af7"/>
          <w:rFonts w:eastAsia="Guttman Hodes" w:hint="cs"/>
          <w:rtl/>
        </w:rPr>
        <w:t xml:space="preserve">(עי' אות </w:t>
      </w:r>
      <w:r w:rsidRPr="00C40AD6">
        <w:rPr>
          <w:rStyle w:val="af7"/>
          <w:rFonts w:eastAsia="Guttman Hodes"/>
          <w:rtl/>
        </w:rPr>
        <w:fldChar w:fldCharType="begin"/>
      </w:r>
      <w:r w:rsidRPr="00C40AD6">
        <w:rPr>
          <w:rStyle w:val="af7"/>
          <w:rFonts w:eastAsia="Guttman Hodes"/>
          <w:rtl/>
        </w:rPr>
        <w:instrText xml:space="preserve"> </w:instrText>
      </w:r>
      <w:r w:rsidRPr="00C40AD6">
        <w:rPr>
          <w:rStyle w:val="af7"/>
          <w:rFonts w:eastAsia="Guttman Hodes" w:hint="cs"/>
        </w:rPr>
        <w:instrText>REF</w:instrText>
      </w:r>
      <w:r w:rsidRPr="00C40AD6">
        <w:rPr>
          <w:rStyle w:val="af7"/>
          <w:rFonts w:eastAsia="Guttman Hodes" w:hint="cs"/>
          <w:rtl/>
        </w:rPr>
        <w:instrText xml:space="preserve"> _</w:instrText>
      </w:r>
      <w:r w:rsidRPr="00C40AD6">
        <w:rPr>
          <w:rStyle w:val="af7"/>
          <w:rFonts w:eastAsia="Guttman Hodes" w:hint="cs"/>
        </w:rPr>
        <w:instrText>Ref59024352 \r \h</w:instrText>
      </w:r>
      <w:r w:rsidRPr="00C40AD6">
        <w:rPr>
          <w:rStyle w:val="af7"/>
          <w:rFonts w:eastAsia="Guttman Hodes"/>
          <w:rtl/>
        </w:rPr>
        <w:instrText xml:space="preserve"> </w:instrText>
      </w:r>
      <w:r w:rsidRPr="00C40AD6">
        <w:rPr>
          <w:rStyle w:val="af7"/>
          <w:rFonts w:eastAsia="Guttman Hodes"/>
          <w:rtl/>
        </w:rPr>
      </w:r>
      <w:r w:rsidRPr="00C40AD6">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C40AD6">
        <w:rPr>
          <w:rStyle w:val="af7"/>
          <w:rFonts w:eastAsia="Guttman Hodes"/>
          <w:rtl/>
        </w:rPr>
        <w:fldChar w:fldCharType="end"/>
      </w:r>
      <w:r>
        <w:rPr>
          <w:rFonts w:hint="cs"/>
          <w:rtl/>
        </w:rPr>
        <w:t xml:space="preserve"> דס"</w:t>
      </w:r>
      <w:r w:rsidRPr="006B0558">
        <w:rPr>
          <w:rFonts w:hint="cs"/>
          <w:rtl/>
        </w:rPr>
        <w:t xml:space="preserve">ל דאין ספק אם קנה מהמוכר מוציא מודאי דהודה שהקרקע הייתה של המערער, כשטוען קמי דידי זבנה מינך לא חשיב כודאי וודאי, אלא כספק וודאי, ולכן ס"ל </w:t>
      </w:r>
      <w:r w:rsidRPr="00C92319">
        <w:rPr>
          <w:rStyle w:val="af9"/>
          <w:rFonts w:hint="cs"/>
          <w:rtl/>
        </w:rPr>
        <w:lastRenderedPageBreak/>
        <w:t>להרשב"ם</w:t>
      </w:r>
      <w:r w:rsidRPr="0022212F">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Ref59651096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Pr>
          <w:rStyle w:val="af7"/>
          <w:rFonts w:eastAsia="Guttman Hodes"/>
          <w:rtl/>
        </w:rPr>
        <w:fldChar w:fldCharType="end"/>
      </w:r>
      <w:r w:rsidRPr="0022212F">
        <w:rPr>
          <w:rStyle w:val="af7"/>
          <w:rFonts w:eastAsia="Guttman Hodes" w:hint="cs"/>
          <w:rtl/>
        </w:rPr>
        <w:t xml:space="preserve"> </w:t>
      </w:r>
      <w:r w:rsidRPr="006B0558">
        <w:rPr>
          <w:rFonts w:hint="cs"/>
          <w:rtl/>
        </w:rPr>
        <w:t>דכל שאין למחזיק חזקת ג"ש אינו נאמן, אך</w:t>
      </w:r>
      <w:r>
        <w:rPr>
          <w:rFonts w:hint="cs"/>
          <w:rtl/>
        </w:rPr>
        <w:t xml:space="preserve"> כתב </w:t>
      </w:r>
      <w:r w:rsidRPr="00C92319">
        <w:rPr>
          <w:rStyle w:val="af9"/>
          <w:rFonts w:hint="cs"/>
          <w:rtl/>
        </w:rPr>
        <w:t xml:space="preserve">התומים </w:t>
      </w:r>
      <w:r>
        <w:rPr>
          <w:rFonts w:hint="cs"/>
          <w:rtl/>
        </w:rPr>
        <w:t>דזהו דוחק.</w:t>
      </w:r>
    </w:p>
    <w:p w:rsidR="000E75A3" w:rsidRDefault="000E75A3" w:rsidP="000E75A3">
      <w:pPr>
        <w:pStyle w:val="afe"/>
        <w:rPr>
          <w:rtl/>
        </w:rPr>
      </w:pPr>
      <w:bookmarkStart w:id="9831" w:name="_Toc59741672"/>
      <w:bookmarkStart w:id="9832" w:name="_Toc59786807"/>
      <w:bookmarkStart w:id="9833" w:name="_Toc59802621"/>
      <w:bookmarkStart w:id="9834" w:name="_Toc59916182"/>
      <w:r>
        <w:rPr>
          <w:rFonts w:hint="cs"/>
          <w:rtl/>
        </w:rPr>
        <w:t>בי' הש"ך ברשב"ם דקמי דידי א"צ חזקה</w:t>
      </w:r>
      <w:bookmarkEnd w:id="9831"/>
      <w:bookmarkEnd w:id="9832"/>
      <w:bookmarkEnd w:id="9833"/>
      <w:bookmarkEnd w:id="9834"/>
    </w:p>
    <w:p w:rsidR="000E75A3" w:rsidRDefault="000E75A3" w:rsidP="000E75A3">
      <w:pPr>
        <w:pStyle w:val="1"/>
        <w:rPr>
          <w:rtl/>
        </w:rPr>
      </w:pPr>
      <w:bookmarkStart w:id="9835" w:name="_Toc59136949"/>
      <w:bookmarkStart w:id="9836" w:name="_Toc59361641"/>
      <w:bookmarkStart w:id="9837" w:name="_Toc59464641"/>
      <w:bookmarkStart w:id="9838" w:name="_Toc59490138"/>
      <w:bookmarkStart w:id="9839" w:name="_Toc59620312"/>
      <w:bookmarkStart w:id="9840" w:name="_Toc59643584"/>
      <w:bookmarkStart w:id="9841" w:name="_Toc59741673"/>
      <w:bookmarkStart w:id="9842" w:name="_Toc59786808"/>
      <w:bookmarkStart w:id="9843" w:name="_Toc59802622"/>
      <w:bookmarkStart w:id="9844" w:name="_Toc59916183"/>
      <w:r>
        <w:rPr>
          <w:rFonts w:hint="cs"/>
          <w:rtl/>
        </w:rPr>
        <w:t>ביאור הש"ך ברשב"ם דטענת קמי דידי מהני אף בלא חזקה</w:t>
      </w:r>
      <w:bookmarkEnd w:id="9835"/>
      <w:bookmarkEnd w:id="9836"/>
      <w:bookmarkEnd w:id="9837"/>
      <w:bookmarkEnd w:id="9838"/>
      <w:bookmarkEnd w:id="9839"/>
      <w:bookmarkEnd w:id="9840"/>
      <w:bookmarkEnd w:id="9841"/>
      <w:bookmarkEnd w:id="9842"/>
      <w:bookmarkEnd w:id="9843"/>
      <w:bookmarkEnd w:id="9844"/>
    </w:p>
    <w:p w:rsidR="000E75A3" w:rsidRPr="00DE125B" w:rsidRDefault="000E75A3" w:rsidP="000E75A3">
      <w:pPr>
        <w:pStyle w:val="a3"/>
        <w:rPr>
          <w:rtl/>
        </w:rPr>
      </w:pPr>
      <w:bookmarkStart w:id="9845" w:name="_Toc59741674"/>
      <w:bookmarkStart w:id="9846" w:name="_Toc59786809"/>
      <w:bookmarkStart w:id="9847" w:name="_Toc59802623"/>
      <w:bookmarkStart w:id="9848" w:name="_Toc59916184"/>
      <w:r w:rsidRPr="00DE125B">
        <w:rPr>
          <w:rFonts w:hint="cs"/>
          <w:rtl/>
        </w:rPr>
        <w:t xml:space="preserve">ביאור </w:t>
      </w:r>
      <w:r>
        <w:rPr>
          <w:rFonts w:hint="cs"/>
          <w:rtl/>
        </w:rPr>
        <w:t>הש"ך ברשב"ם דטענת קמי דידי מהני אף בלא חזקה במיגו דלהד"ם או דמינך זבינתה</w:t>
      </w:r>
      <w:bookmarkEnd w:id="9785"/>
      <w:bookmarkEnd w:id="9786"/>
      <w:bookmarkEnd w:id="9845"/>
      <w:bookmarkEnd w:id="9846"/>
      <w:bookmarkEnd w:id="9847"/>
      <w:bookmarkEnd w:id="9848"/>
    </w:p>
    <w:p w:rsidR="000E75A3" w:rsidRDefault="000E75A3" w:rsidP="007E4E81">
      <w:pPr>
        <w:pStyle w:val="a0"/>
        <w:rPr>
          <w:rStyle w:val="afb"/>
          <w:sz w:val="18"/>
          <w:szCs w:val="18"/>
          <w:rtl/>
        </w:rPr>
      </w:pPr>
      <w:bookmarkStart w:id="9849" w:name="_Ref59613710"/>
      <w:r>
        <w:rPr>
          <w:rStyle w:val="af9"/>
          <w:rFonts w:hint="cs"/>
          <w:rtl/>
        </w:rPr>
        <w:t>ו</w:t>
      </w:r>
      <w:r w:rsidRPr="00B441E3">
        <w:rPr>
          <w:rStyle w:val="af9"/>
          <w:rFonts w:hint="cs"/>
          <w:rtl/>
        </w:rPr>
        <w:t xml:space="preserve">הש"ך </w:t>
      </w:r>
      <w:r w:rsidRPr="00012052">
        <w:rPr>
          <w:rStyle w:val="af7"/>
          <w:rFonts w:eastAsia="Guttman Hodes" w:hint="cs"/>
          <w:rtl/>
        </w:rPr>
        <w:t>(סי' קמ"ו סקי"ג)</w:t>
      </w:r>
      <w:r>
        <w:rPr>
          <w:rFonts w:hint="cs"/>
          <w:rtl/>
        </w:rPr>
        <w:t xml:space="preserve"> דחה את דברי </w:t>
      </w:r>
      <w:r w:rsidRPr="00B441E3">
        <w:rPr>
          <w:rStyle w:val="af9"/>
          <w:rFonts w:hint="cs"/>
          <w:rtl/>
        </w:rPr>
        <w:t>הטור</w:t>
      </w:r>
      <w:r>
        <w:rPr>
          <w:rFonts w:hint="cs"/>
          <w:rtl/>
        </w:rPr>
        <w:t xml:space="preserve"> </w:t>
      </w:r>
      <w:r w:rsidRPr="00012052">
        <w:rPr>
          <w:rStyle w:val="af7"/>
          <w:rFonts w:eastAsia="Guttman Hodes" w:hint="cs"/>
          <w:rtl/>
        </w:rPr>
        <w:t xml:space="preserve">(עי' אות </w:t>
      </w:r>
      <w:r w:rsidRPr="00012052">
        <w:rPr>
          <w:rStyle w:val="af7"/>
          <w:rFonts w:eastAsia="Guttman Hodes"/>
          <w:rtl/>
        </w:rPr>
        <w:fldChar w:fldCharType="begin"/>
      </w:r>
      <w:r w:rsidRPr="00012052">
        <w:rPr>
          <w:rStyle w:val="af7"/>
          <w:rFonts w:eastAsia="Guttman Hodes"/>
          <w:rtl/>
        </w:rPr>
        <w:instrText xml:space="preserve"> </w:instrText>
      </w:r>
      <w:r w:rsidRPr="00012052">
        <w:rPr>
          <w:rStyle w:val="af7"/>
          <w:rFonts w:eastAsia="Guttman Hodes" w:hint="cs"/>
        </w:rPr>
        <w:instrText>REF</w:instrText>
      </w:r>
      <w:r w:rsidRPr="00012052">
        <w:rPr>
          <w:rStyle w:val="af7"/>
          <w:rFonts w:eastAsia="Guttman Hodes" w:hint="cs"/>
          <w:rtl/>
        </w:rPr>
        <w:instrText xml:space="preserve"> _</w:instrText>
      </w:r>
      <w:r w:rsidRPr="00012052">
        <w:rPr>
          <w:rStyle w:val="af7"/>
          <w:rFonts w:eastAsia="Guttman Hodes" w:hint="cs"/>
        </w:rPr>
        <w:instrText>Ref58272277 \r \h</w:instrText>
      </w:r>
      <w:r w:rsidRPr="00012052">
        <w:rPr>
          <w:rStyle w:val="af7"/>
          <w:rFonts w:eastAsia="Guttman Hodes"/>
          <w:rtl/>
        </w:rPr>
        <w:instrText xml:space="preserve"> </w:instrText>
      </w:r>
      <w:r w:rsidRPr="00012052">
        <w:rPr>
          <w:rStyle w:val="af7"/>
          <w:rFonts w:eastAsia="Guttman Hodes"/>
          <w:rtl/>
        </w:rPr>
      </w:r>
      <w:r w:rsidRPr="00012052">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012052">
        <w:rPr>
          <w:rStyle w:val="af7"/>
          <w:rFonts w:eastAsia="Guttman Hodes"/>
          <w:rtl/>
        </w:rPr>
        <w:fldChar w:fldCharType="end"/>
      </w:r>
      <w:r>
        <w:rPr>
          <w:rFonts w:hint="cs"/>
          <w:rtl/>
        </w:rPr>
        <w:t xml:space="preserve"> וכתב דאף </w:t>
      </w:r>
      <w:r w:rsidRPr="00EF571D">
        <w:rPr>
          <w:rStyle w:val="af9"/>
          <w:rFonts w:hint="cs"/>
          <w:rtl/>
        </w:rPr>
        <w:t>הרשב"ם</w:t>
      </w:r>
      <w:r>
        <w:rPr>
          <w:rFonts w:hint="cs"/>
          <w:rtl/>
        </w:rPr>
        <w:t xml:space="preserve"> מודה דכשאין למערער עדים, אף כשאין למחזיק חזקת ג"ש, הוא נאמן כשטוען המחזיק למערער קמי דידי זבנה מינך, במיגו דהיה טוען שלא הייתה של המערער מעולם, או שהיה טוען מינך זבינתה, דהוא נאמן ורק כשיש למערער עדים, נאמן המחזיק בטענת קמי דידי זבנה מינך, רק אם שיש לו חזקת ג"ש. </w:t>
      </w:r>
      <w:r>
        <w:rPr>
          <w:rStyle w:val="afb"/>
          <w:rFonts w:hint="cs"/>
          <w:rtl/>
        </w:rPr>
        <w:t>[</w:t>
      </w:r>
      <w:r w:rsidRPr="00BD778A">
        <w:rPr>
          <w:rStyle w:val="afb"/>
          <w:rFonts w:hint="cs"/>
          <w:rtl/>
        </w:rPr>
        <w:t>וכ</w:t>
      </w:r>
      <w:r>
        <w:rPr>
          <w:rStyle w:val="afb"/>
          <w:rFonts w:hint="cs"/>
          <w:rtl/>
        </w:rPr>
        <w:t xml:space="preserve">ן </w:t>
      </w:r>
      <w:r w:rsidRPr="00BD778A">
        <w:rPr>
          <w:rStyle w:val="afb"/>
          <w:rFonts w:hint="cs"/>
          <w:rtl/>
        </w:rPr>
        <w:t xml:space="preserve">ביאר </w:t>
      </w:r>
      <w:r w:rsidRPr="00BE3915">
        <w:rPr>
          <w:rStyle w:val="affa"/>
          <w:rFonts w:hint="cs"/>
          <w:rtl/>
        </w:rPr>
        <w:t>הש"ך</w:t>
      </w:r>
      <w:r w:rsidRPr="00BD778A">
        <w:rPr>
          <w:rStyle w:val="afb"/>
          <w:rFonts w:hint="cs"/>
          <w:rtl/>
        </w:rPr>
        <w:t xml:space="preserve"> בדעת </w:t>
      </w:r>
      <w:r w:rsidRPr="00BE3915">
        <w:rPr>
          <w:rStyle w:val="affa"/>
          <w:rFonts w:hint="cs"/>
          <w:rtl/>
        </w:rPr>
        <w:t>הרמב"ם</w:t>
      </w:r>
      <w:r w:rsidRPr="00BD778A">
        <w:rPr>
          <w:rStyle w:val="afb"/>
          <w:rFonts w:hint="cs"/>
          <w:rtl/>
        </w:rPr>
        <w:t xml:space="preserve"> </w:t>
      </w:r>
      <w:r w:rsidRPr="00E623B9">
        <w:rPr>
          <w:rStyle w:val="aff6"/>
          <w:rFonts w:hint="cs"/>
          <w:rtl/>
        </w:rPr>
        <w:t xml:space="preserve">(עי' אות </w:t>
      </w:r>
      <w:r w:rsidRPr="00E623B9">
        <w:rPr>
          <w:rStyle w:val="aff6"/>
          <w:rtl/>
        </w:rPr>
        <w:fldChar w:fldCharType="begin"/>
      </w:r>
      <w:r w:rsidRPr="00E623B9">
        <w:rPr>
          <w:rStyle w:val="aff6"/>
          <w:rtl/>
        </w:rPr>
        <w:instrText xml:space="preserve"> </w:instrText>
      </w:r>
      <w:r w:rsidRPr="00E623B9">
        <w:rPr>
          <w:rStyle w:val="aff6"/>
          <w:rFonts w:hint="cs"/>
        </w:rPr>
        <w:instrText>REF</w:instrText>
      </w:r>
      <w:r w:rsidRPr="00E623B9">
        <w:rPr>
          <w:rStyle w:val="aff6"/>
          <w:rFonts w:hint="cs"/>
          <w:rtl/>
        </w:rPr>
        <w:instrText xml:space="preserve"> _</w:instrText>
      </w:r>
      <w:r w:rsidRPr="00E623B9">
        <w:rPr>
          <w:rStyle w:val="aff6"/>
          <w:rFonts w:hint="cs"/>
        </w:rPr>
        <w:instrText>Ref59730709 \r \h</w:instrText>
      </w:r>
      <w:r w:rsidRPr="00E623B9">
        <w:rPr>
          <w:rStyle w:val="aff6"/>
          <w:rtl/>
        </w:rPr>
        <w:instrText xml:space="preserve"> </w:instrText>
      </w:r>
      <w:r w:rsidRPr="00E623B9">
        <w:rPr>
          <w:rStyle w:val="aff6"/>
          <w:rtl/>
        </w:rPr>
      </w:r>
      <w:r w:rsidRPr="00E623B9">
        <w:rPr>
          <w:rStyle w:val="aff6"/>
          <w:rtl/>
        </w:rPr>
        <w:fldChar w:fldCharType="separate"/>
      </w:r>
      <w:r w:rsidR="00265073">
        <w:rPr>
          <w:rStyle w:val="aff6"/>
          <w:cs/>
        </w:rPr>
        <w:t>‎</w:t>
      </w:r>
      <w:r w:rsidR="00265073">
        <w:rPr>
          <w:rStyle w:val="aff6"/>
          <w:rtl/>
        </w:rPr>
        <w:t>צט)</w:t>
      </w:r>
      <w:r w:rsidRPr="00E623B9">
        <w:rPr>
          <w:rStyle w:val="aff6"/>
          <w:rtl/>
        </w:rPr>
        <w:fldChar w:fldCharType="end"/>
      </w:r>
      <w:r>
        <w:rPr>
          <w:rStyle w:val="afb"/>
          <w:rFonts w:hint="cs"/>
          <w:rtl/>
        </w:rPr>
        <w:t xml:space="preserve"> </w:t>
      </w:r>
      <w:r w:rsidRPr="00BE3915">
        <w:rPr>
          <w:rStyle w:val="affa"/>
          <w:rFonts w:hint="cs"/>
          <w:rtl/>
        </w:rPr>
        <w:t>והרי"ף</w:t>
      </w:r>
      <w:r>
        <w:rPr>
          <w:rStyle w:val="afb"/>
          <w:rFonts w:hint="cs"/>
          <w:rtl/>
        </w:rPr>
        <w:t xml:space="preserve"> </w:t>
      </w:r>
      <w:r w:rsidRPr="00E623B9">
        <w:rPr>
          <w:rStyle w:val="aff6"/>
          <w:rFonts w:hint="cs"/>
          <w:rtl/>
        </w:rPr>
        <w:t xml:space="preserve">(עי' אות </w:t>
      </w:r>
      <w:r w:rsidRPr="00E623B9">
        <w:rPr>
          <w:rStyle w:val="aff6"/>
          <w:rtl/>
        </w:rPr>
        <w:fldChar w:fldCharType="begin"/>
      </w:r>
      <w:r w:rsidRPr="00E623B9">
        <w:rPr>
          <w:rStyle w:val="aff6"/>
          <w:rtl/>
        </w:rPr>
        <w:instrText xml:space="preserve"> </w:instrText>
      </w:r>
      <w:r w:rsidRPr="00E623B9">
        <w:rPr>
          <w:rStyle w:val="aff6"/>
          <w:rFonts w:hint="cs"/>
        </w:rPr>
        <w:instrText>REF</w:instrText>
      </w:r>
      <w:r w:rsidRPr="00E623B9">
        <w:rPr>
          <w:rStyle w:val="aff6"/>
          <w:rFonts w:hint="cs"/>
          <w:rtl/>
        </w:rPr>
        <w:instrText xml:space="preserve"> _</w:instrText>
      </w:r>
      <w:r w:rsidRPr="00E623B9">
        <w:rPr>
          <w:rStyle w:val="aff6"/>
          <w:rFonts w:hint="cs"/>
        </w:rPr>
        <w:instrText>Ref59730617 \r \h</w:instrText>
      </w:r>
      <w:r w:rsidRPr="00E623B9">
        <w:rPr>
          <w:rStyle w:val="aff6"/>
          <w:rtl/>
        </w:rPr>
        <w:instrText xml:space="preserve"> </w:instrText>
      </w:r>
      <w:r w:rsidRPr="00E623B9">
        <w:rPr>
          <w:rStyle w:val="aff6"/>
          <w:rtl/>
        </w:rPr>
      </w:r>
      <w:r w:rsidRPr="00E623B9">
        <w:rPr>
          <w:rStyle w:val="aff6"/>
          <w:rtl/>
        </w:rPr>
        <w:fldChar w:fldCharType="separate"/>
      </w:r>
      <w:r w:rsidR="00265073">
        <w:rPr>
          <w:rStyle w:val="aff6"/>
          <w:cs/>
        </w:rPr>
        <w:t>‎</w:t>
      </w:r>
      <w:r w:rsidR="00265073">
        <w:rPr>
          <w:rStyle w:val="aff6"/>
          <w:rtl/>
        </w:rPr>
        <w:t>צג)</w:t>
      </w:r>
      <w:r w:rsidRPr="00E623B9">
        <w:rPr>
          <w:rStyle w:val="aff6"/>
          <w:rtl/>
        </w:rPr>
        <w:fldChar w:fldCharType="end"/>
      </w:r>
      <w:r w:rsidRPr="00BD778A">
        <w:rPr>
          <w:rStyle w:val="afb"/>
          <w:rFonts w:hint="cs"/>
          <w:rtl/>
        </w:rPr>
        <w:t>]</w:t>
      </w:r>
      <w:r>
        <w:rPr>
          <w:rStyle w:val="afb"/>
          <w:rFonts w:hint="cs"/>
          <w:rtl/>
        </w:rPr>
        <w:t>.</w:t>
      </w:r>
      <w:bookmarkEnd w:id="9849"/>
    </w:p>
    <w:p w:rsidR="000E75A3" w:rsidRPr="00B10A25" w:rsidRDefault="000E75A3" w:rsidP="000E75A3">
      <w:pPr>
        <w:pStyle w:val="a3"/>
      </w:pPr>
      <w:bookmarkStart w:id="9850" w:name="_Toc59620313"/>
      <w:bookmarkStart w:id="9851" w:name="_Toc59643585"/>
      <w:bookmarkStart w:id="9852" w:name="_Toc59741675"/>
      <w:bookmarkStart w:id="9853" w:name="_Toc59786810"/>
      <w:bookmarkStart w:id="9854" w:name="_Toc59802624"/>
      <w:bookmarkStart w:id="9855" w:name="_Toc59916185"/>
      <w:bookmarkStart w:id="9856" w:name="_Toc59113236"/>
      <w:bookmarkStart w:id="9857" w:name="_Toc59136951"/>
      <w:bookmarkStart w:id="9858" w:name="_Toc59361643"/>
      <w:bookmarkStart w:id="9859" w:name="_Toc59464643"/>
      <w:bookmarkStart w:id="9860" w:name="_Toc59490140"/>
      <w:r>
        <w:rPr>
          <w:rFonts w:hint="cs"/>
          <w:rtl/>
        </w:rPr>
        <w:t>דברי הש"ך דמשמע ברשב"ם דכשהמחזיק יודע שהמוכר קנה מהמערער הוא נאמן במיגו</w:t>
      </w:r>
      <w:bookmarkEnd w:id="9850"/>
      <w:bookmarkEnd w:id="9851"/>
      <w:bookmarkEnd w:id="9852"/>
      <w:bookmarkEnd w:id="9853"/>
      <w:bookmarkEnd w:id="9854"/>
      <w:bookmarkEnd w:id="9855"/>
      <w:r>
        <w:rPr>
          <w:rFonts w:hint="cs"/>
          <w:rtl/>
        </w:rPr>
        <w:t xml:space="preserve"> </w:t>
      </w:r>
    </w:p>
    <w:p w:rsidR="000E75A3" w:rsidRDefault="000E75A3" w:rsidP="007E4E81">
      <w:pPr>
        <w:pStyle w:val="a0"/>
        <w:rPr>
          <w:rtl/>
        </w:rPr>
      </w:pPr>
      <w:bookmarkStart w:id="9861" w:name="_Ref59548677"/>
      <w:r>
        <w:rPr>
          <w:rFonts w:hint="cs"/>
          <w:rtl/>
        </w:rPr>
        <w:t xml:space="preserve">וכתב </w:t>
      </w:r>
      <w:r w:rsidRPr="00B441E3">
        <w:rPr>
          <w:rStyle w:val="af9"/>
          <w:rFonts w:hint="cs"/>
          <w:rtl/>
        </w:rPr>
        <w:t xml:space="preserve">הש"ך </w:t>
      </w:r>
      <w:r w:rsidRPr="00012052">
        <w:rPr>
          <w:rStyle w:val="af7"/>
          <w:rFonts w:eastAsia="Guttman Hodes" w:hint="cs"/>
          <w:rtl/>
        </w:rPr>
        <w:t>(סי' קמ"ו סקי"ג)</w:t>
      </w:r>
      <w:r>
        <w:rPr>
          <w:rFonts w:hint="cs"/>
          <w:rtl/>
        </w:rPr>
        <w:t xml:space="preserve"> דכן מוכח מהא דהקשה </w:t>
      </w:r>
      <w:r w:rsidRPr="00775FC8">
        <w:rPr>
          <w:rStyle w:val="af9"/>
          <w:rFonts w:hint="cs"/>
          <w:rtl/>
        </w:rPr>
        <w:t>הרשב"ם</w:t>
      </w:r>
      <w:r>
        <w:rPr>
          <w:rFonts w:hint="cs"/>
          <w:rtl/>
        </w:rPr>
        <w:t xml:space="preserve"> </w:t>
      </w:r>
      <w:r w:rsidRPr="00091DF9">
        <w:rPr>
          <w:rStyle w:val="af7"/>
          <w:rFonts w:eastAsia="Guttman Hodes" w:hint="cs"/>
          <w:rtl/>
        </w:rPr>
        <w:t>(ד"ה א"ל</w:t>
      </w:r>
      <w:r>
        <w:rPr>
          <w:rStyle w:val="af7"/>
          <w:rFonts w:eastAsia="Guttman Hodes" w:hint="cs"/>
          <w:rtl/>
        </w:rPr>
        <w:t>, הובא בסימן ח' אות מ"ג)</w:t>
      </w:r>
      <w:r>
        <w:rPr>
          <w:rFonts w:hint="cs"/>
          <w:rtl/>
        </w:rPr>
        <w:t xml:space="preserve"> דאמאי אין המחזיק נאמן במיגו דמינך זבינתה, ותירץ </w:t>
      </w:r>
      <w:r w:rsidRPr="00BD778A">
        <w:rPr>
          <w:rStyle w:val="af9"/>
          <w:rFonts w:hint="cs"/>
          <w:rtl/>
        </w:rPr>
        <w:t>הרשב"ם</w:t>
      </w:r>
      <w:r>
        <w:rPr>
          <w:rFonts w:hint="cs"/>
          <w:rtl/>
        </w:rPr>
        <w:t xml:space="preserve"> דלא מהני לו מיגו, כיון שהמחזיק עצמו אינו יודע אם המוכר קנה מהמערער, וכתב </w:t>
      </w:r>
      <w:r w:rsidRPr="00A00477">
        <w:rPr>
          <w:rStyle w:val="af9"/>
          <w:rFonts w:hint="cs"/>
          <w:rtl/>
        </w:rPr>
        <w:t>הש"ך</w:t>
      </w:r>
      <w:r>
        <w:rPr>
          <w:rFonts w:hint="cs"/>
          <w:rtl/>
        </w:rPr>
        <w:t xml:space="preserve"> דמשמע שאם המחזיק עצמו יודע בבירור דהמחזיק קנה מהמערער, דהיינו שטוען קמי דידי זבנה מינך, הוא נאמן במיגו. </w:t>
      </w:r>
      <w:r w:rsidRPr="000B363A">
        <w:rPr>
          <w:rStyle w:val="afb"/>
          <w:rFonts w:hint="cs"/>
          <w:rtl/>
        </w:rPr>
        <w:t xml:space="preserve">[אעפ"י דבהמשך דבריו כתב </w:t>
      </w:r>
      <w:r w:rsidRPr="000B363A">
        <w:rPr>
          <w:rStyle w:val="affa"/>
          <w:rFonts w:hint="cs"/>
          <w:rtl/>
        </w:rPr>
        <w:t>הרשב"ם</w:t>
      </w:r>
      <w:r w:rsidRPr="000B363A">
        <w:rPr>
          <w:rStyle w:val="afb"/>
          <w:rFonts w:hint="cs"/>
          <w:rtl/>
        </w:rPr>
        <w:t xml:space="preserve"> </w:t>
      </w:r>
      <w:r w:rsidRPr="000B363A">
        <w:rPr>
          <w:rStyle w:val="aff6"/>
          <w:rFonts w:hint="cs"/>
          <w:rtl/>
        </w:rPr>
        <w:t xml:space="preserve">(עי' אות </w:t>
      </w:r>
      <w:r w:rsidRPr="000B363A">
        <w:rPr>
          <w:rStyle w:val="aff6"/>
          <w:rtl/>
        </w:rPr>
        <w:fldChar w:fldCharType="begin"/>
      </w:r>
      <w:r w:rsidRPr="000B363A">
        <w:rPr>
          <w:rStyle w:val="aff6"/>
          <w:rtl/>
        </w:rPr>
        <w:instrText xml:space="preserve"> </w:instrText>
      </w:r>
      <w:r w:rsidRPr="000B363A">
        <w:rPr>
          <w:rStyle w:val="aff6"/>
          <w:rFonts w:hint="cs"/>
        </w:rPr>
        <w:instrText>REF</w:instrText>
      </w:r>
      <w:r w:rsidRPr="000B363A">
        <w:rPr>
          <w:rStyle w:val="aff6"/>
          <w:rFonts w:hint="cs"/>
          <w:rtl/>
        </w:rPr>
        <w:instrText xml:space="preserve"> _</w:instrText>
      </w:r>
      <w:r w:rsidRPr="000B363A">
        <w:rPr>
          <w:rStyle w:val="aff6"/>
          <w:rFonts w:hint="cs"/>
        </w:rPr>
        <w:instrText>Ref57911397 \r \h</w:instrText>
      </w:r>
      <w:r w:rsidRPr="000B363A">
        <w:rPr>
          <w:rStyle w:val="aff6"/>
          <w:rtl/>
        </w:rPr>
        <w:instrText xml:space="preserve"> </w:instrText>
      </w:r>
      <w:r w:rsidRPr="000B363A">
        <w:rPr>
          <w:rStyle w:val="aff6"/>
          <w:rtl/>
        </w:rPr>
      </w:r>
      <w:r w:rsidRPr="000B363A">
        <w:rPr>
          <w:rStyle w:val="aff6"/>
          <w:rtl/>
        </w:rPr>
        <w:fldChar w:fldCharType="separate"/>
      </w:r>
      <w:r w:rsidR="00265073">
        <w:rPr>
          <w:rStyle w:val="aff6"/>
          <w:cs/>
        </w:rPr>
        <w:t>‎</w:t>
      </w:r>
      <w:r w:rsidR="00265073">
        <w:rPr>
          <w:rStyle w:val="aff6"/>
          <w:rtl/>
        </w:rPr>
        <w:t>כח)</w:t>
      </w:r>
      <w:r w:rsidRPr="000B363A">
        <w:rPr>
          <w:rStyle w:val="aff6"/>
          <w:rtl/>
        </w:rPr>
        <w:fldChar w:fldCharType="end"/>
      </w:r>
      <w:r w:rsidRPr="000B363A">
        <w:rPr>
          <w:rStyle w:val="aff6"/>
          <w:rFonts w:hint="cs"/>
          <w:rtl/>
        </w:rPr>
        <w:t xml:space="preserve"> </w:t>
      </w:r>
      <w:r w:rsidRPr="000B363A">
        <w:rPr>
          <w:rStyle w:val="afb"/>
          <w:rFonts w:hint="cs"/>
          <w:rtl/>
        </w:rPr>
        <w:t>דבסוגיין איירי שאין למחזיק חזקת ג"ש].</w:t>
      </w:r>
      <w:bookmarkEnd w:id="9861"/>
    </w:p>
    <w:p w:rsidR="000E75A3" w:rsidRPr="005C7DE0" w:rsidRDefault="000E75A3" w:rsidP="000E75A3">
      <w:pPr>
        <w:pStyle w:val="a3"/>
        <w:rPr>
          <w:rtl/>
        </w:rPr>
      </w:pPr>
      <w:bookmarkStart w:id="9862" w:name="_Toc59620314"/>
      <w:bookmarkStart w:id="9863" w:name="_Toc59643586"/>
      <w:bookmarkStart w:id="9864" w:name="_Toc59741676"/>
      <w:bookmarkStart w:id="9865" w:name="_Toc59786811"/>
      <w:bookmarkStart w:id="9866" w:name="_Toc59802625"/>
      <w:bookmarkStart w:id="9867" w:name="_Toc59916186"/>
      <w:r>
        <w:rPr>
          <w:rFonts w:hint="cs"/>
          <w:rtl/>
        </w:rPr>
        <w:t>הוכחת הש"ך מדכתב הרשב"ם בחזקה דמהני קמי דידי או חד יומא ובלא חזקה השמיט קמי דידי</w:t>
      </w:r>
      <w:bookmarkEnd w:id="9862"/>
      <w:bookmarkEnd w:id="9863"/>
      <w:bookmarkEnd w:id="9864"/>
      <w:bookmarkEnd w:id="9865"/>
      <w:bookmarkEnd w:id="9866"/>
      <w:bookmarkEnd w:id="9867"/>
    </w:p>
    <w:p w:rsidR="000E75A3" w:rsidRDefault="000E75A3" w:rsidP="007E4E81">
      <w:pPr>
        <w:pStyle w:val="a0"/>
        <w:rPr>
          <w:rtl/>
        </w:rPr>
      </w:pPr>
      <w:bookmarkStart w:id="9868" w:name="_Ref59550307"/>
      <w:r>
        <w:rPr>
          <w:rFonts w:hint="cs"/>
          <w:rtl/>
        </w:rPr>
        <w:t xml:space="preserve">וכתב </w:t>
      </w:r>
      <w:r w:rsidRPr="008466AA">
        <w:rPr>
          <w:rStyle w:val="af9"/>
          <w:rFonts w:hint="cs"/>
          <w:rtl/>
        </w:rPr>
        <w:t>הש"ך</w:t>
      </w:r>
      <w:r>
        <w:rPr>
          <w:rFonts w:hint="cs"/>
          <w:rtl/>
        </w:rPr>
        <w:t xml:space="preserve"> דכן משמע מהא דכשיש למחזיק חזקת ג"ש, כתב </w:t>
      </w:r>
      <w:r w:rsidRPr="006A50AA">
        <w:rPr>
          <w:rStyle w:val="af9"/>
          <w:rFonts w:hint="cs"/>
          <w:rtl/>
        </w:rPr>
        <w:t>הרשב"ם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Ref59550435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כב)</w:t>
      </w:r>
      <w:r>
        <w:rPr>
          <w:rStyle w:val="af7"/>
          <w:rFonts w:eastAsia="Guttman Hodes"/>
          <w:rtl/>
        </w:rPr>
        <w:fldChar w:fldCharType="end"/>
      </w:r>
      <w:r>
        <w:rPr>
          <w:rStyle w:val="af7"/>
          <w:rFonts w:eastAsia="Guttman Hodes" w:hint="cs"/>
          <w:rtl/>
        </w:rPr>
        <w:t xml:space="preserve"> </w:t>
      </w:r>
      <w:r>
        <w:rPr>
          <w:rFonts w:hint="cs"/>
          <w:rtl/>
        </w:rPr>
        <w:t xml:space="preserve">דאם טוען המחזיק קמי דידי זבנה מינך, או שיש לו עדים שהמוכר החזיק בה חד יומא נאמן, ואילו כשאין למחזיק חזקת ג"ש, כתב </w:t>
      </w:r>
      <w:r>
        <w:rPr>
          <w:rStyle w:val="af9"/>
          <w:rFonts w:hint="cs"/>
          <w:rtl/>
        </w:rPr>
        <w:t>ה</w:t>
      </w:r>
      <w:r w:rsidRPr="006A50AA">
        <w:rPr>
          <w:rStyle w:val="af9"/>
          <w:rFonts w:hint="cs"/>
          <w:rtl/>
        </w:rPr>
        <w:t>רשב"ם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Ref57911397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Pr>
          <w:rStyle w:val="af7"/>
          <w:rFonts w:eastAsia="Guttman Hodes"/>
          <w:rtl/>
        </w:rPr>
        <w:fldChar w:fldCharType="end"/>
      </w:r>
      <w:r>
        <w:rPr>
          <w:rStyle w:val="af7"/>
          <w:rFonts w:eastAsia="Guttman Hodes" w:hint="cs"/>
          <w:rtl/>
        </w:rPr>
        <w:t xml:space="preserve"> </w:t>
      </w:r>
      <w:r>
        <w:rPr>
          <w:rFonts w:hint="cs"/>
          <w:rtl/>
        </w:rPr>
        <w:t xml:space="preserve">דאף אם יש עדים שהמוכר החזיק בה חד יומא, מ"מ מוציאין מידו, והקשה </w:t>
      </w:r>
      <w:r w:rsidRPr="00B4304C">
        <w:rPr>
          <w:rStyle w:val="af9"/>
          <w:rFonts w:hint="cs"/>
          <w:rtl/>
        </w:rPr>
        <w:t>הש"ך</w:t>
      </w:r>
      <w:r>
        <w:rPr>
          <w:rFonts w:hint="cs"/>
          <w:rtl/>
        </w:rPr>
        <w:t xml:space="preserve"> אמאי פתח </w:t>
      </w:r>
      <w:r w:rsidRPr="00B4304C">
        <w:rPr>
          <w:rStyle w:val="af9"/>
          <w:rFonts w:hint="cs"/>
          <w:rtl/>
        </w:rPr>
        <w:t>הרשב"ם</w:t>
      </w:r>
      <w:r>
        <w:rPr>
          <w:rFonts w:hint="cs"/>
          <w:rtl/>
        </w:rPr>
        <w:t xml:space="preserve"> בתרתי וסיים בחדא, אלא כתב </w:t>
      </w:r>
      <w:r w:rsidRPr="008466AA">
        <w:rPr>
          <w:rStyle w:val="af9"/>
          <w:rFonts w:hint="cs"/>
          <w:rtl/>
        </w:rPr>
        <w:t>הש"ך</w:t>
      </w:r>
      <w:r>
        <w:rPr>
          <w:rFonts w:hint="cs"/>
          <w:rtl/>
        </w:rPr>
        <w:t xml:space="preserve"> דמהא דכשאין למחזיק חזקת ג"ש, לא הוסיף </w:t>
      </w:r>
      <w:r w:rsidRPr="008466AA">
        <w:rPr>
          <w:rStyle w:val="af9"/>
          <w:rFonts w:hint="cs"/>
          <w:rtl/>
        </w:rPr>
        <w:t>הרשב"ם</w:t>
      </w:r>
      <w:r>
        <w:rPr>
          <w:rFonts w:hint="cs"/>
          <w:rtl/>
        </w:rPr>
        <w:t xml:space="preserve"> דאף אם טען המחזיק דבפניו קנה המוכר מהמערער, לא מהני, מוכח דבכה"ג מודה </w:t>
      </w:r>
      <w:r w:rsidRPr="008466AA">
        <w:rPr>
          <w:rStyle w:val="af9"/>
          <w:rFonts w:hint="cs"/>
          <w:rtl/>
        </w:rPr>
        <w:t xml:space="preserve">הרשב"ם </w:t>
      </w:r>
      <w:r>
        <w:rPr>
          <w:rFonts w:hint="cs"/>
          <w:rtl/>
        </w:rPr>
        <w:t>דנאמן</w:t>
      </w:r>
      <w:r w:rsidRPr="00A85D8A">
        <w:rPr>
          <w:rFonts w:hint="cs"/>
          <w:rtl/>
        </w:rPr>
        <w:t>, אעפ"י שאין לו חזקת ג"ש</w:t>
      </w:r>
      <w:r>
        <w:rPr>
          <w:rFonts w:hint="cs"/>
          <w:rtl/>
        </w:rPr>
        <w:t xml:space="preserve">. </w:t>
      </w:r>
      <w:r w:rsidRPr="008C459B">
        <w:rPr>
          <w:rStyle w:val="afb"/>
          <w:rFonts w:hint="cs"/>
          <w:rtl/>
        </w:rPr>
        <w:t xml:space="preserve">[ועי' במה שדחה </w:t>
      </w:r>
      <w:r w:rsidRPr="007731D7">
        <w:rPr>
          <w:rStyle w:val="affa"/>
          <w:rFonts w:hint="cs"/>
          <w:rtl/>
        </w:rPr>
        <w:t>הפני שלמה</w:t>
      </w:r>
      <w:r w:rsidRPr="008C459B">
        <w:rPr>
          <w:rStyle w:val="afb"/>
          <w:rFonts w:hint="cs"/>
          <w:rtl/>
        </w:rPr>
        <w:t xml:space="preserve"> </w:t>
      </w:r>
      <w:r w:rsidRPr="007731D7">
        <w:rPr>
          <w:rStyle w:val="aff6"/>
          <w:rFonts w:hint="cs"/>
          <w:rtl/>
        </w:rPr>
        <w:t>(עי' הערה</w:t>
      </w:r>
      <w:r>
        <w:rPr>
          <w:rStyle w:val="af1"/>
          <w:rtl/>
        </w:rPr>
        <w:footnoteReference w:id="67"/>
      </w:r>
      <w:bookmarkEnd w:id="9868"/>
      <w:r w:rsidRPr="007731D7">
        <w:rPr>
          <w:rStyle w:val="aff6"/>
          <w:rFonts w:hint="cs"/>
          <w:rtl/>
        </w:rPr>
        <w:t xml:space="preserve">) </w:t>
      </w:r>
      <w:r w:rsidRPr="008C459B">
        <w:rPr>
          <w:rStyle w:val="afb"/>
          <w:rFonts w:hint="cs"/>
          <w:rtl/>
        </w:rPr>
        <w:t xml:space="preserve">את הוכחת </w:t>
      </w:r>
      <w:r w:rsidRPr="007731D7">
        <w:rPr>
          <w:rStyle w:val="affa"/>
          <w:rFonts w:hint="cs"/>
          <w:rtl/>
        </w:rPr>
        <w:t>הש"ך</w:t>
      </w:r>
      <w:r w:rsidRPr="008C459B">
        <w:rPr>
          <w:rStyle w:val="afb"/>
          <w:rFonts w:hint="cs"/>
          <w:rtl/>
        </w:rPr>
        <w:t>].</w:t>
      </w:r>
    </w:p>
    <w:p w:rsidR="000E75A3" w:rsidRPr="00EF571D" w:rsidRDefault="000E75A3" w:rsidP="000E75A3">
      <w:pPr>
        <w:pStyle w:val="a3"/>
        <w:rPr>
          <w:rtl/>
        </w:rPr>
      </w:pPr>
      <w:bookmarkStart w:id="9869" w:name="_Toc59620315"/>
      <w:bookmarkStart w:id="9870" w:name="_Toc59643587"/>
      <w:bookmarkStart w:id="9871" w:name="_Toc59741677"/>
      <w:bookmarkStart w:id="9872" w:name="_Toc59786812"/>
      <w:bookmarkStart w:id="9873" w:name="_Toc59802626"/>
      <w:bookmarkStart w:id="9874" w:name="_Toc59916187"/>
      <w:r>
        <w:rPr>
          <w:rFonts w:hint="cs"/>
          <w:rtl/>
        </w:rPr>
        <w:t>הוכחת הש"ך מהרשב"ם דבלא חזקה והמחזיק אינו יודע שקנאה אינו נאמן אבל בקמי דידי נאמן</w:t>
      </w:r>
      <w:bookmarkEnd w:id="9869"/>
      <w:bookmarkEnd w:id="9870"/>
      <w:bookmarkEnd w:id="9871"/>
      <w:bookmarkEnd w:id="9872"/>
      <w:bookmarkEnd w:id="9873"/>
      <w:bookmarkEnd w:id="9874"/>
    </w:p>
    <w:p w:rsidR="000E75A3" w:rsidRDefault="000E75A3" w:rsidP="007E4E81">
      <w:pPr>
        <w:pStyle w:val="a0"/>
        <w:rPr>
          <w:rtl/>
        </w:rPr>
      </w:pPr>
      <w:bookmarkStart w:id="9875" w:name="_Ref59441724"/>
      <w:r w:rsidRPr="00EF571D">
        <w:rPr>
          <w:rFonts w:hint="cs"/>
          <w:rtl/>
        </w:rPr>
        <w:t xml:space="preserve">והוסיף </w:t>
      </w:r>
      <w:r w:rsidRPr="00E6118C">
        <w:rPr>
          <w:rStyle w:val="af9"/>
          <w:rFonts w:hint="cs"/>
          <w:rtl/>
        </w:rPr>
        <w:t>הש"ך</w:t>
      </w:r>
      <w:r w:rsidRPr="00EF571D">
        <w:rPr>
          <w:rFonts w:hint="cs"/>
          <w:rtl/>
        </w:rPr>
        <w:t xml:space="preserve"> דכן מבואר מהא דכתב</w:t>
      </w:r>
      <w:r>
        <w:rPr>
          <w:rStyle w:val="aff8"/>
          <w:rFonts w:hint="cs"/>
          <w:rtl/>
        </w:rPr>
        <w:t xml:space="preserve"> </w:t>
      </w:r>
      <w:r>
        <w:rPr>
          <w:rStyle w:val="af9"/>
          <w:rFonts w:hint="cs"/>
          <w:rtl/>
        </w:rPr>
        <w:t>ה</w:t>
      </w:r>
      <w:r w:rsidRPr="006A50AA">
        <w:rPr>
          <w:rStyle w:val="af9"/>
          <w:rFonts w:hint="cs"/>
          <w:rtl/>
        </w:rPr>
        <w:t>רשב"ם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Ref57911397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Pr>
          <w:rStyle w:val="af7"/>
          <w:rFonts w:eastAsia="Guttman Hodes"/>
          <w:rtl/>
        </w:rPr>
        <w:fldChar w:fldCharType="end"/>
      </w:r>
      <w:r>
        <w:rPr>
          <w:rStyle w:val="af7"/>
          <w:rFonts w:eastAsia="Guttman Hodes" w:hint="cs"/>
          <w:rtl/>
        </w:rPr>
        <w:t xml:space="preserve"> </w:t>
      </w:r>
      <w:r>
        <w:rPr>
          <w:rtl/>
        </w:rPr>
        <w:t xml:space="preserve">דכיון דבסוגיין המחזיק </w:t>
      </w:r>
      <w:r>
        <w:rPr>
          <w:rFonts w:hint="cs"/>
          <w:rtl/>
        </w:rPr>
        <w:t>"</w:t>
      </w:r>
      <w:r>
        <w:rPr>
          <w:rtl/>
        </w:rPr>
        <w:t>אינו יודע</w:t>
      </w:r>
      <w:r>
        <w:rPr>
          <w:rFonts w:hint="cs"/>
          <w:rtl/>
        </w:rPr>
        <w:t>"</w:t>
      </w:r>
      <w:r>
        <w:rPr>
          <w:rtl/>
        </w:rPr>
        <w:t xml:space="preserve"> אם </w:t>
      </w:r>
      <w:r>
        <w:rPr>
          <w:rFonts w:hint="cs"/>
          <w:rtl/>
        </w:rPr>
        <w:t xml:space="preserve">המוכר </w:t>
      </w:r>
      <w:r>
        <w:rPr>
          <w:rtl/>
        </w:rPr>
        <w:t xml:space="preserve">קנאה מהמערער, לא מהני לו מה שהמוכר החזיק חד יומא, כיון שהמחזיק אין לו חזקת ג"ש, </w:t>
      </w:r>
      <w:r>
        <w:rPr>
          <w:rFonts w:hint="cs"/>
          <w:rtl/>
        </w:rPr>
        <w:t xml:space="preserve">וכתב </w:t>
      </w:r>
      <w:r w:rsidRPr="00804BF6">
        <w:rPr>
          <w:rStyle w:val="af9"/>
          <w:rFonts w:hint="cs"/>
          <w:rtl/>
        </w:rPr>
        <w:t>הש"ך</w:t>
      </w:r>
      <w:r>
        <w:rPr>
          <w:rFonts w:hint="cs"/>
          <w:rtl/>
        </w:rPr>
        <w:t xml:space="preserve"> דמוכח להדיא מדברי </w:t>
      </w:r>
      <w:r w:rsidRPr="00E6118C">
        <w:rPr>
          <w:rStyle w:val="af9"/>
          <w:rFonts w:hint="cs"/>
          <w:rtl/>
        </w:rPr>
        <w:t>הרשב"ם</w:t>
      </w:r>
      <w:r>
        <w:rPr>
          <w:rFonts w:hint="cs"/>
          <w:rtl/>
        </w:rPr>
        <w:t xml:space="preserve"> דאם המחזיק יודע שהמוכר קנה מהמערער, כגון שטען קמי דידי זבנה מינך, מהני אעפ"י שאין לו חזקת ג"ש, ועי' במ"ש ה</w:t>
      </w:r>
      <w:r w:rsidRPr="0088576A">
        <w:rPr>
          <w:rStyle w:val="af9"/>
          <w:rFonts w:hint="cs"/>
          <w:rtl/>
        </w:rPr>
        <w:t>תומים</w:t>
      </w:r>
      <w:r>
        <w:rPr>
          <w:rFonts w:hint="cs"/>
          <w:rtl/>
        </w:rPr>
        <w:t xml:space="preserve"> </w:t>
      </w:r>
      <w:r w:rsidRPr="0088576A">
        <w:rPr>
          <w:rStyle w:val="af7"/>
          <w:rFonts w:eastAsia="Guttman Hodes" w:hint="cs"/>
          <w:rtl/>
        </w:rPr>
        <w:t>(עי' או</w:t>
      </w:r>
      <w:r w:rsidRPr="002F4AE8">
        <w:rPr>
          <w:rStyle w:val="af7"/>
          <w:rFonts w:eastAsia="Guttman Hodes" w:hint="cs"/>
          <w:rtl/>
        </w:rPr>
        <w:t>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Ref59917801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Pr>
          <w:rStyle w:val="af7"/>
          <w:rFonts w:eastAsia="Guttman Hodes"/>
          <w:rtl/>
        </w:rPr>
        <w:fldChar w:fldCharType="end"/>
      </w:r>
      <w:r>
        <w:rPr>
          <w:rStyle w:val="af7"/>
          <w:rFonts w:eastAsia="Guttman Hodes" w:hint="cs"/>
          <w:rtl/>
        </w:rPr>
        <w:t xml:space="preserve"> </w:t>
      </w:r>
      <w:r>
        <w:rPr>
          <w:rFonts w:hint="cs"/>
          <w:rtl/>
        </w:rPr>
        <w:t xml:space="preserve">דאי"ז הגירסא בדברי </w:t>
      </w:r>
      <w:r w:rsidRPr="0088576A">
        <w:rPr>
          <w:rStyle w:val="af9"/>
          <w:rFonts w:hint="cs"/>
          <w:rtl/>
        </w:rPr>
        <w:t>הרשב"ם</w:t>
      </w:r>
      <w:r>
        <w:rPr>
          <w:rFonts w:hint="cs"/>
          <w:rtl/>
        </w:rPr>
        <w:t xml:space="preserve">, וא"א לדייק כדברי </w:t>
      </w:r>
      <w:r w:rsidRPr="0088576A">
        <w:rPr>
          <w:rStyle w:val="af9"/>
          <w:rFonts w:hint="cs"/>
          <w:rtl/>
        </w:rPr>
        <w:t>הש"ך</w:t>
      </w:r>
      <w:r>
        <w:rPr>
          <w:rFonts w:hint="cs"/>
          <w:rtl/>
        </w:rPr>
        <w:t>.</w:t>
      </w:r>
      <w:bookmarkEnd w:id="9875"/>
    </w:p>
    <w:p w:rsidR="000E75A3" w:rsidRPr="00FF0A3B" w:rsidRDefault="000E75A3" w:rsidP="000E75A3">
      <w:pPr>
        <w:pStyle w:val="a3"/>
        <w:rPr>
          <w:rtl/>
        </w:rPr>
      </w:pPr>
      <w:bookmarkStart w:id="9876" w:name="_Toc59620316"/>
      <w:bookmarkStart w:id="9877" w:name="_Toc59643588"/>
      <w:bookmarkStart w:id="9878" w:name="_Toc59741678"/>
      <w:bookmarkStart w:id="9879" w:name="_Toc59786813"/>
      <w:bookmarkStart w:id="9880" w:name="_Toc59802627"/>
      <w:bookmarkStart w:id="9881" w:name="_Toc59916188"/>
      <w:r>
        <w:rPr>
          <w:rFonts w:hint="cs"/>
          <w:rtl/>
        </w:rPr>
        <w:t>ביאור הש"ך דמ"ש הרשב"ם דקמי דידי מהני בחזקה כוונתו דבלי קמי דידי ל"מ המיגו אף בחזקה</w:t>
      </w:r>
      <w:bookmarkEnd w:id="9876"/>
      <w:bookmarkEnd w:id="9877"/>
      <w:bookmarkEnd w:id="9878"/>
      <w:bookmarkEnd w:id="9879"/>
      <w:bookmarkEnd w:id="9880"/>
      <w:bookmarkEnd w:id="9881"/>
    </w:p>
    <w:p w:rsidR="000E75A3" w:rsidRDefault="000E75A3" w:rsidP="007E4E81">
      <w:pPr>
        <w:pStyle w:val="a0"/>
        <w:rPr>
          <w:rtl/>
        </w:rPr>
      </w:pPr>
      <w:r>
        <w:rPr>
          <w:rFonts w:hint="cs"/>
          <w:rtl/>
        </w:rPr>
        <w:t xml:space="preserve">וכתב </w:t>
      </w:r>
      <w:r w:rsidRPr="00E6118C">
        <w:rPr>
          <w:rStyle w:val="af9"/>
          <w:rFonts w:hint="cs"/>
          <w:rtl/>
        </w:rPr>
        <w:t>הש"ך</w:t>
      </w:r>
      <w:r>
        <w:rPr>
          <w:rFonts w:hint="cs"/>
          <w:rtl/>
        </w:rPr>
        <w:t xml:space="preserve"> דא"כ צ"ל דמ"ש </w:t>
      </w:r>
      <w:r w:rsidRPr="00E6118C">
        <w:rPr>
          <w:rStyle w:val="af9"/>
          <w:rFonts w:hint="cs"/>
          <w:rtl/>
        </w:rPr>
        <w:t>הרשב"ם</w:t>
      </w:r>
      <w:r>
        <w:rPr>
          <w:rFonts w:hint="cs"/>
          <w:rtl/>
        </w:rPr>
        <w:t xml:space="preserve"> </w:t>
      </w:r>
      <w:r w:rsidRPr="006E58E5">
        <w:rPr>
          <w:rStyle w:val="af7"/>
          <w:rFonts w:eastAsia="Guttman Hodes" w:hint="cs"/>
          <w:rtl/>
        </w:rPr>
        <w:t xml:space="preserve">(עי' אות </w:t>
      </w:r>
      <w:r w:rsidRPr="006E58E5">
        <w:rPr>
          <w:rStyle w:val="af7"/>
          <w:rFonts w:eastAsia="Guttman Hodes"/>
          <w:rtl/>
        </w:rPr>
        <w:fldChar w:fldCharType="begin"/>
      </w:r>
      <w:r w:rsidRPr="006E58E5">
        <w:rPr>
          <w:rStyle w:val="af7"/>
          <w:rFonts w:eastAsia="Guttman Hodes"/>
          <w:rtl/>
        </w:rPr>
        <w:instrText xml:space="preserve"> </w:instrText>
      </w:r>
      <w:r w:rsidRPr="006E58E5">
        <w:rPr>
          <w:rStyle w:val="af7"/>
          <w:rFonts w:eastAsia="Guttman Hodes" w:hint="cs"/>
        </w:rPr>
        <w:instrText>REF</w:instrText>
      </w:r>
      <w:r w:rsidRPr="006E58E5">
        <w:rPr>
          <w:rStyle w:val="af7"/>
          <w:rFonts w:eastAsia="Guttman Hodes" w:hint="cs"/>
          <w:rtl/>
        </w:rPr>
        <w:instrText xml:space="preserve"> _</w:instrText>
      </w:r>
      <w:r w:rsidRPr="006E58E5">
        <w:rPr>
          <w:rStyle w:val="af7"/>
          <w:rFonts w:eastAsia="Guttman Hodes" w:hint="cs"/>
        </w:rPr>
        <w:instrText>Ref59546095 \r \h</w:instrText>
      </w:r>
      <w:r w:rsidRPr="006E58E5">
        <w:rPr>
          <w:rStyle w:val="af7"/>
          <w:rFonts w:eastAsia="Guttman Hodes"/>
          <w:rtl/>
        </w:rPr>
        <w:instrText xml:space="preserve"> </w:instrText>
      </w:r>
      <w:r w:rsidRPr="006E58E5">
        <w:rPr>
          <w:rStyle w:val="af7"/>
          <w:rFonts w:eastAsia="Guttman Hodes"/>
          <w:rtl/>
        </w:rPr>
      </w:r>
      <w:r w:rsidRPr="006E58E5">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6E58E5">
        <w:rPr>
          <w:rStyle w:val="af7"/>
          <w:rFonts w:eastAsia="Guttman Hodes"/>
          <w:rtl/>
        </w:rPr>
        <w:fldChar w:fldCharType="end"/>
      </w:r>
      <w:r>
        <w:rPr>
          <w:rFonts w:hint="cs"/>
          <w:rtl/>
        </w:rPr>
        <w:t xml:space="preserve"> דבטענת קמי דידי זבנה מינך, כשיש לו חזקת ג"ש,</w:t>
      </w:r>
      <w:r w:rsidRPr="005C2EDD">
        <w:rPr>
          <w:rFonts w:hint="cs"/>
          <w:rtl/>
        </w:rPr>
        <w:t xml:space="preserve"> </w:t>
      </w:r>
      <w:r>
        <w:rPr>
          <w:rFonts w:hint="cs"/>
          <w:rtl/>
        </w:rPr>
        <w:t>הוא נאמן</w:t>
      </w:r>
      <w:r w:rsidRPr="00D504C8">
        <w:rPr>
          <w:rFonts w:hint="cs"/>
          <w:rtl/>
        </w:rPr>
        <w:t xml:space="preserve"> במיגו </w:t>
      </w:r>
      <w:r>
        <w:rPr>
          <w:rFonts w:hint="cs"/>
          <w:rtl/>
        </w:rPr>
        <w:t>ד</w:t>
      </w:r>
      <w:r w:rsidRPr="00D504C8">
        <w:rPr>
          <w:rFonts w:hint="cs"/>
          <w:rtl/>
        </w:rPr>
        <w:t>מינך זבינתה</w:t>
      </w:r>
      <w:r>
        <w:rPr>
          <w:rFonts w:hint="cs"/>
          <w:rtl/>
        </w:rPr>
        <w:t xml:space="preserve">, כוונת </w:t>
      </w:r>
      <w:r w:rsidRPr="003C4182">
        <w:rPr>
          <w:rStyle w:val="af9"/>
          <w:rFonts w:hint="cs"/>
          <w:rtl/>
        </w:rPr>
        <w:t>הרשב"ם</w:t>
      </w:r>
      <w:r>
        <w:rPr>
          <w:rFonts w:hint="cs"/>
          <w:rtl/>
        </w:rPr>
        <w:t xml:space="preserve"> לומר רבותא, דכל שאינו טוען דקמי דידי זבנה מינך, אף אם יש לו חזקת ג"ש, מ"מ לא מהני לו המיגו, דהא הוא עצמו אינו יודע אם המוכר קנה מהמערער.</w:t>
      </w:r>
    </w:p>
    <w:p w:rsidR="000E75A3" w:rsidRPr="00D501DD" w:rsidRDefault="000E75A3" w:rsidP="000E75A3">
      <w:pPr>
        <w:pStyle w:val="a3"/>
        <w:rPr>
          <w:rtl/>
        </w:rPr>
      </w:pPr>
      <w:bookmarkStart w:id="9882" w:name="_Toc59620317"/>
      <w:bookmarkStart w:id="9883" w:name="_Toc59643589"/>
      <w:bookmarkStart w:id="9884" w:name="_Toc59741679"/>
      <w:bookmarkStart w:id="9885" w:name="_Toc59786814"/>
      <w:bookmarkStart w:id="9886" w:name="_Toc59802628"/>
      <w:bookmarkStart w:id="9887" w:name="_Toc59916189"/>
      <w:r>
        <w:rPr>
          <w:rFonts w:hint="cs"/>
          <w:rtl/>
        </w:rPr>
        <w:t>הוכחת הש"ך מדהאריך הרשב"ם לבאר דלא נפרש דכוונת המחזיק לקמי דידי דאי טעין כן מהני</w:t>
      </w:r>
      <w:bookmarkEnd w:id="9882"/>
      <w:bookmarkEnd w:id="9883"/>
      <w:bookmarkEnd w:id="9884"/>
      <w:bookmarkEnd w:id="9885"/>
      <w:bookmarkEnd w:id="9886"/>
      <w:bookmarkEnd w:id="9887"/>
    </w:p>
    <w:p w:rsidR="000E75A3" w:rsidRDefault="000E75A3" w:rsidP="007E4E81">
      <w:pPr>
        <w:pStyle w:val="a0"/>
        <w:rPr>
          <w:rtl/>
        </w:rPr>
      </w:pPr>
      <w:r>
        <w:rPr>
          <w:rFonts w:hint="cs"/>
          <w:rtl/>
        </w:rPr>
        <w:t xml:space="preserve">והוסיף </w:t>
      </w:r>
      <w:r w:rsidRPr="00E6118C">
        <w:rPr>
          <w:rStyle w:val="af9"/>
          <w:rFonts w:hint="cs"/>
          <w:rtl/>
        </w:rPr>
        <w:t>הש"ך</w:t>
      </w:r>
      <w:r>
        <w:rPr>
          <w:rFonts w:hint="cs"/>
          <w:rtl/>
        </w:rPr>
        <w:t xml:space="preserve"> דכן מוכח להדיא דטענת קמי דידי מהני </w:t>
      </w:r>
      <w:r w:rsidRPr="008942E4">
        <w:rPr>
          <w:rStyle w:val="af9"/>
          <w:rFonts w:hint="cs"/>
          <w:rtl/>
        </w:rPr>
        <w:t>לרשב"ם</w:t>
      </w:r>
      <w:r>
        <w:rPr>
          <w:rFonts w:hint="cs"/>
          <w:rtl/>
        </w:rPr>
        <w:t xml:space="preserve"> אף בלא חזקה, ממ"ש </w:t>
      </w:r>
      <w:r w:rsidRPr="00E6118C">
        <w:rPr>
          <w:rStyle w:val="af9"/>
          <w:rFonts w:hint="cs"/>
          <w:rtl/>
        </w:rPr>
        <w:t>הרשב"ם</w:t>
      </w:r>
      <w:r>
        <w:rPr>
          <w:rFonts w:hint="cs"/>
          <w:rtl/>
        </w:rPr>
        <w:t xml:space="preserve"> </w:t>
      </w:r>
      <w:r w:rsidRPr="005D7DD6">
        <w:rPr>
          <w:rStyle w:val="af7"/>
          <w:rFonts w:eastAsia="Guttman Hodes" w:hint="cs"/>
          <w:rtl/>
        </w:rPr>
        <w:t>(ריש ד"ה א"ל)</w:t>
      </w:r>
      <w:r>
        <w:rPr>
          <w:rFonts w:hint="cs"/>
          <w:rtl/>
        </w:rPr>
        <w:t xml:space="preserve"> בתחילת דבריו בביאור לשון הגמ' </w:t>
      </w:r>
      <w:r>
        <w:rPr>
          <w:rtl/>
        </w:rPr>
        <w:t>א"ל מפלניא זבינתא דזבנה מינך</w:t>
      </w:r>
      <w:r>
        <w:rPr>
          <w:rFonts w:hint="cs"/>
          <w:rtl/>
        </w:rPr>
        <w:t>,</w:t>
      </w:r>
      <w:r>
        <w:rPr>
          <w:rtl/>
        </w:rPr>
        <w:t xml:space="preserve"> </w:t>
      </w:r>
      <w:r>
        <w:rPr>
          <w:rFonts w:hint="cs"/>
          <w:rtl/>
        </w:rPr>
        <w:t>"</w:t>
      </w:r>
      <w:r>
        <w:rPr>
          <w:rtl/>
        </w:rPr>
        <w:t>כלומר</w:t>
      </w:r>
      <w:r>
        <w:rPr>
          <w:rFonts w:hint="cs"/>
          <w:rtl/>
        </w:rPr>
        <w:t>"</w:t>
      </w:r>
      <w:r>
        <w:rPr>
          <w:rtl/>
        </w:rPr>
        <w:t xml:space="preserve"> </w:t>
      </w:r>
      <w:r>
        <w:rPr>
          <w:rFonts w:hint="cs"/>
          <w:rtl/>
        </w:rPr>
        <w:t xml:space="preserve">דטוען המחזיק למערער שבשעת המכירה, אמר לו המוכר שהוא קנה מהמערער, וכתב </w:t>
      </w:r>
      <w:r w:rsidRPr="00E6118C">
        <w:rPr>
          <w:rStyle w:val="af9"/>
          <w:rFonts w:hint="cs"/>
          <w:rtl/>
        </w:rPr>
        <w:t>הש"ך</w:t>
      </w:r>
      <w:r>
        <w:rPr>
          <w:rFonts w:hint="cs"/>
          <w:rtl/>
        </w:rPr>
        <w:t xml:space="preserve"> דמהא דהוצרך </w:t>
      </w:r>
      <w:r w:rsidRPr="00E6118C">
        <w:rPr>
          <w:rStyle w:val="af9"/>
          <w:rFonts w:hint="cs"/>
          <w:rtl/>
        </w:rPr>
        <w:t>הרשב"ם</w:t>
      </w:r>
      <w:r>
        <w:rPr>
          <w:rFonts w:hint="cs"/>
          <w:rtl/>
        </w:rPr>
        <w:t xml:space="preserve"> להאריך בביאור דברי המחזיק, מבואר דכוונתו דלא נפרש דאמר המחזיק דקמי דידי זבנה מינך, דבכה"ג באמת היה המחזיק נאמן אעפ"י דבסוגיין איירי שאין למחזיק חזקת ג"ש,</w:t>
      </w:r>
      <w:r w:rsidRPr="00B20E52">
        <w:rPr>
          <w:rFonts w:hint="cs"/>
          <w:rtl/>
        </w:rPr>
        <w:t xml:space="preserve"> </w:t>
      </w:r>
      <w:r>
        <w:rPr>
          <w:rFonts w:hint="cs"/>
          <w:rtl/>
        </w:rPr>
        <w:t xml:space="preserve">כדהוכיח </w:t>
      </w:r>
      <w:r w:rsidRPr="00E6118C">
        <w:rPr>
          <w:rStyle w:val="af9"/>
          <w:rFonts w:hint="cs"/>
          <w:rtl/>
        </w:rPr>
        <w:t>הרשב"ם</w:t>
      </w:r>
      <w:r>
        <w:rPr>
          <w:rFonts w:hint="cs"/>
          <w:rtl/>
        </w:rPr>
        <w:t xml:space="preserve"> מהא דלא טען המחזיק שהחזיק שני חזקה.</w:t>
      </w:r>
    </w:p>
    <w:p w:rsidR="000E75A3" w:rsidRDefault="000E75A3" w:rsidP="000E75A3">
      <w:pPr>
        <w:pStyle w:val="a3"/>
        <w:rPr>
          <w:rtl/>
        </w:rPr>
      </w:pPr>
      <w:bookmarkStart w:id="9888" w:name="_Toc59620318"/>
      <w:bookmarkStart w:id="9889" w:name="_Toc59643590"/>
      <w:bookmarkStart w:id="9890" w:name="_Toc59741680"/>
      <w:bookmarkStart w:id="9891" w:name="_Toc59786815"/>
      <w:bookmarkStart w:id="9892" w:name="_Toc59802629"/>
      <w:bookmarkStart w:id="9893" w:name="_Toc59916190"/>
      <w:r>
        <w:rPr>
          <w:rFonts w:hint="cs"/>
          <w:rtl/>
        </w:rPr>
        <w:t>הוכחת הש"ך מדכתב הרשב"ם כמה פעמים דאין למחזיק חזקה ואפ"ה בטוען ברי נאמן</w:t>
      </w:r>
      <w:bookmarkEnd w:id="9888"/>
      <w:bookmarkEnd w:id="9889"/>
      <w:bookmarkEnd w:id="9890"/>
      <w:bookmarkEnd w:id="9891"/>
      <w:bookmarkEnd w:id="9892"/>
      <w:bookmarkEnd w:id="9893"/>
    </w:p>
    <w:p w:rsidR="000E75A3" w:rsidRDefault="000E75A3" w:rsidP="007E4E81">
      <w:pPr>
        <w:pStyle w:val="a0"/>
        <w:rPr>
          <w:rtl/>
        </w:rPr>
      </w:pPr>
      <w:r>
        <w:rPr>
          <w:rFonts w:hint="cs"/>
          <w:rtl/>
        </w:rPr>
        <w:t xml:space="preserve">ועוד הוסיף </w:t>
      </w:r>
      <w:r w:rsidRPr="006C073F">
        <w:rPr>
          <w:rStyle w:val="af9"/>
          <w:rFonts w:hint="cs"/>
          <w:rtl/>
        </w:rPr>
        <w:t>הש"ך</w:t>
      </w:r>
      <w:r>
        <w:rPr>
          <w:rFonts w:hint="cs"/>
          <w:rtl/>
        </w:rPr>
        <w:t xml:space="preserve"> דכן מוכח דהא כתב </w:t>
      </w:r>
      <w:r w:rsidRPr="006C073F">
        <w:rPr>
          <w:rStyle w:val="af9"/>
          <w:rFonts w:hint="cs"/>
          <w:rtl/>
        </w:rPr>
        <w:t>הרשב"ם</w:t>
      </w:r>
      <w:r>
        <w:rPr>
          <w:rFonts w:hint="cs"/>
          <w:rtl/>
        </w:rPr>
        <w:t xml:space="preserve"> כמה פעמים דאיירי שאין למחזיק חזקת ג"ש, ואפ"ה אם הוא טוען שידע בבירור, שהמוכר קנה מהמערער הוא נאמן במיגו דלא הייתה של המוכר לעולם. </w:t>
      </w:r>
      <w:r w:rsidRPr="006C073F">
        <w:rPr>
          <w:rStyle w:val="afb"/>
          <w:rFonts w:hint="cs"/>
          <w:rtl/>
        </w:rPr>
        <w:t xml:space="preserve">[כדדייק </w:t>
      </w:r>
      <w:r w:rsidRPr="006C073F">
        <w:rPr>
          <w:rStyle w:val="affa"/>
          <w:rFonts w:hint="cs"/>
          <w:rtl/>
        </w:rPr>
        <w:t>הש"ך</w:t>
      </w:r>
      <w:r w:rsidRPr="006C073F">
        <w:rPr>
          <w:rStyle w:val="afb"/>
          <w:rFonts w:hint="cs"/>
          <w:rtl/>
        </w:rPr>
        <w:t xml:space="preserve"> </w:t>
      </w:r>
      <w:r w:rsidRPr="006C073F">
        <w:rPr>
          <w:rStyle w:val="aff6"/>
          <w:rtl/>
        </w:rPr>
        <w:t xml:space="preserve">(עי' אות </w:t>
      </w:r>
      <w:r w:rsidRPr="006C073F">
        <w:rPr>
          <w:rStyle w:val="aff6"/>
          <w:cs/>
        </w:rPr>
        <w:t>‎</w:t>
      </w:r>
      <w:r w:rsidRPr="006C073F">
        <w:rPr>
          <w:rStyle w:val="aff6"/>
          <w:rtl/>
        </w:rPr>
        <w:t>פג)</w:t>
      </w:r>
      <w:r w:rsidRPr="006C073F">
        <w:rPr>
          <w:rStyle w:val="afb"/>
          <w:rFonts w:hint="cs"/>
          <w:rtl/>
        </w:rPr>
        <w:t xml:space="preserve"> מדברי </w:t>
      </w:r>
      <w:r w:rsidRPr="006C073F">
        <w:rPr>
          <w:rStyle w:val="affa"/>
          <w:rFonts w:hint="cs"/>
          <w:rtl/>
        </w:rPr>
        <w:t>הרשב"ם</w:t>
      </w:r>
      <w:r w:rsidRPr="006C073F">
        <w:rPr>
          <w:rStyle w:val="afb"/>
          <w:rFonts w:hint="cs"/>
          <w:rtl/>
        </w:rPr>
        <w:t>].</w:t>
      </w:r>
    </w:p>
    <w:p w:rsidR="000E75A3" w:rsidRPr="00002EE1" w:rsidRDefault="000E75A3" w:rsidP="000E75A3">
      <w:pPr>
        <w:pStyle w:val="a3"/>
        <w:rPr>
          <w:rtl/>
        </w:rPr>
      </w:pPr>
      <w:bookmarkStart w:id="9894" w:name="_Toc59620319"/>
      <w:bookmarkStart w:id="9895" w:name="_Toc59643591"/>
      <w:bookmarkStart w:id="9896" w:name="_Toc59741681"/>
      <w:bookmarkStart w:id="9897" w:name="_Toc59786816"/>
      <w:bookmarkStart w:id="9898" w:name="_Toc59802630"/>
      <w:bookmarkStart w:id="9899" w:name="_Toc59916191"/>
      <w:r>
        <w:rPr>
          <w:rFonts w:hint="cs"/>
          <w:rtl/>
        </w:rPr>
        <w:t>דברי הש"ך דכן מוכח בתוס' וברמב"ן בדעת הרשב"ם דקמי דידי מהני אף בלא חזקה</w:t>
      </w:r>
      <w:bookmarkEnd w:id="9894"/>
      <w:bookmarkEnd w:id="9895"/>
      <w:bookmarkEnd w:id="9896"/>
      <w:bookmarkEnd w:id="9897"/>
      <w:bookmarkEnd w:id="9898"/>
      <w:bookmarkEnd w:id="9899"/>
    </w:p>
    <w:p w:rsidR="000E75A3" w:rsidRDefault="000E75A3" w:rsidP="007E4E81">
      <w:pPr>
        <w:pStyle w:val="a0"/>
        <w:rPr>
          <w:rStyle w:val="afb"/>
          <w:rtl/>
        </w:rPr>
      </w:pPr>
      <w:bookmarkStart w:id="9900" w:name="_Ref59552690"/>
      <w:bookmarkStart w:id="9901" w:name="_Ref59723801"/>
      <w:r>
        <w:rPr>
          <w:rFonts w:hint="cs"/>
          <w:rtl/>
        </w:rPr>
        <w:t xml:space="preserve">והוסיף </w:t>
      </w:r>
      <w:r w:rsidRPr="00E6118C">
        <w:rPr>
          <w:rStyle w:val="af9"/>
          <w:rFonts w:hint="cs"/>
          <w:rtl/>
        </w:rPr>
        <w:t>הש"ך</w:t>
      </w:r>
      <w:r>
        <w:rPr>
          <w:rFonts w:hint="cs"/>
          <w:rtl/>
        </w:rPr>
        <w:t xml:space="preserve"> דכן נראה מדברי</w:t>
      </w:r>
      <w:r w:rsidRPr="00E6118C">
        <w:rPr>
          <w:rStyle w:val="af9"/>
          <w:rFonts w:hint="cs"/>
          <w:rtl/>
        </w:rPr>
        <w:t xml:space="preserve"> </w:t>
      </w:r>
      <w:r w:rsidRPr="00CD408B">
        <w:rPr>
          <w:rStyle w:val="af9"/>
          <w:rFonts w:hint="cs"/>
          <w:rtl/>
        </w:rPr>
        <w:t>התוס'</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Ref57806033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Pr>
          <w:rStyle w:val="af7"/>
          <w:rFonts w:eastAsia="Guttman Hodes"/>
          <w:rtl/>
        </w:rPr>
        <w:fldChar w:fldCharType="end"/>
      </w:r>
      <w:r>
        <w:rPr>
          <w:rStyle w:val="af7"/>
          <w:rFonts w:eastAsia="Guttman Hodes" w:hint="cs"/>
          <w:rtl/>
        </w:rPr>
        <w:t xml:space="preserve"> </w:t>
      </w:r>
      <w:r>
        <w:rPr>
          <w:rFonts w:hint="cs"/>
          <w:rtl/>
        </w:rPr>
        <w:t xml:space="preserve">דביארו בדעת </w:t>
      </w:r>
      <w:r w:rsidRPr="00E6118C">
        <w:rPr>
          <w:rStyle w:val="af9"/>
          <w:rFonts w:hint="cs"/>
          <w:rtl/>
        </w:rPr>
        <w:t>הרשב"ם</w:t>
      </w:r>
      <w:r>
        <w:rPr>
          <w:rFonts w:hint="cs"/>
          <w:rtl/>
        </w:rPr>
        <w:t xml:space="preserve">, דמהני קמי דידי זבנה מינך, אף כשאין למחזיק חזקת ג"ש אלא </w:t>
      </w:r>
      <w:r w:rsidRPr="00E6118C">
        <w:rPr>
          <w:rStyle w:val="af9"/>
          <w:rFonts w:hint="cs"/>
          <w:rtl/>
        </w:rPr>
        <w:t>דהתוס'</w:t>
      </w:r>
      <w:r>
        <w:rPr>
          <w:rFonts w:hint="cs"/>
          <w:rtl/>
        </w:rPr>
        <w:t xml:space="preserve"> פליגי על </w:t>
      </w:r>
      <w:r w:rsidRPr="00E6118C">
        <w:rPr>
          <w:rStyle w:val="af9"/>
          <w:rFonts w:hint="cs"/>
          <w:rtl/>
        </w:rPr>
        <w:t>הרשב"ם</w:t>
      </w:r>
      <w:r w:rsidRPr="00023F9D">
        <w:rPr>
          <w:rStyle w:val="af7"/>
          <w:rFonts w:eastAsia="Guttman Hodes" w:hint="cs"/>
          <w:rtl/>
        </w:rPr>
        <w:t xml:space="preserve"> (עי' אות </w:t>
      </w:r>
      <w:r w:rsidRPr="00023F9D">
        <w:rPr>
          <w:rStyle w:val="af7"/>
          <w:rFonts w:eastAsia="Guttman Hodes"/>
          <w:rtl/>
        </w:rPr>
        <w:fldChar w:fldCharType="begin"/>
      </w:r>
      <w:r w:rsidRPr="00023F9D">
        <w:rPr>
          <w:rStyle w:val="af7"/>
          <w:rFonts w:eastAsia="Guttman Hodes"/>
          <w:rtl/>
        </w:rPr>
        <w:instrText xml:space="preserve"> </w:instrText>
      </w:r>
      <w:r w:rsidRPr="00023F9D">
        <w:rPr>
          <w:rStyle w:val="af7"/>
          <w:rFonts w:eastAsia="Guttman Hodes" w:hint="cs"/>
        </w:rPr>
        <w:instrText>REF</w:instrText>
      </w:r>
      <w:r w:rsidRPr="00023F9D">
        <w:rPr>
          <w:rStyle w:val="af7"/>
          <w:rFonts w:eastAsia="Guttman Hodes" w:hint="cs"/>
          <w:rtl/>
        </w:rPr>
        <w:instrText xml:space="preserve"> _</w:instrText>
      </w:r>
      <w:r w:rsidRPr="00023F9D">
        <w:rPr>
          <w:rStyle w:val="af7"/>
          <w:rFonts w:eastAsia="Guttman Hodes" w:hint="cs"/>
        </w:rPr>
        <w:instrText>Ref57911397 \r \h</w:instrText>
      </w:r>
      <w:r w:rsidRPr="00023F9D">
        <w:rPr>
          <w:rStyle w:val="af7"/>
          <w:rFonts w:eastAsia="Guttman Hodes"/>
          <w:rtl/>
        </w:rPr>
        <w:instrText xml:space="preserve"> </w:instrText>
      </w:r>
      <w:r w:rsidRPr="00023F9D">
        <w:rPr>
          <w:rStyle w:val="af7"/>
          <w:rFonts w:eastAsia="Guttman Hodes"/>
          <w:rtl/>
        </w:rPr>
      </w:r>
      <w:r w:rsidRPr="00023F9D">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023F9D">
        <w:rPr>
          <w:rStyle w:val="af7"/>
          <w:rFonts w:eastAsia="Guttman Hodes"/>
          <w:rtl/>
        </w:rPr>
        <w:fldChar w:fldCharType="end"/>
      </w:r>
      <w:r w:rsidRPr="00023F9D">
        <w:rPr>
          <w:rStyle w:val="af7"/>
          <w:rFonts w:eastAsia="Guttman Hodes" w:hint="cs"/>
          <w:rtl/>
        </w:rPr>
        <w:t xml:space="preserve"> </w:t>
      </w:r>
      <w:r>
        <w:rPr>
          <w:rFonts w:hint="cs"/>
          <w:rtl/>
        </w:rPr>
        <w:t xml:space="preserve">במ"ש דכשיש </w:t>
      </w:r>
      <w:r w:rsidRPr="00F321D6">
        <w:rPr>
          <w:rFonts w:hint="cs"/>
          <w:rtl/>
        </w:rPr>
        <w:t>עדים שדר בה המוכר חד יומא</w:t>
      </w:r>
      <w:r>
        <w:rPr>
          <w:rFonts w:hint="cs"/>
          <w:rtl/>
        </w:rPr>
        <w:t>, ואין למחזיק חזקת ג"ש</w:t>
      </w:r>
      <w:r w:rsidRPr="00F321D6">
        <w:rPr>
          <w:rFonts w:hint="cs"/>
          <w:rtl/>
        </w:rPr>
        <w:t xml:space="preserve"> לא מהני, אעפ"י שאין למערער עדים שהייתה שלו, וכן נחלקו </w:t>
      </w:r>
      <w:r w:rsidRPr="00F321D6">
        <w:rPr>
          <w:rStyle w:val="af9"/>
          <w:rFonts w:hint="cs"/>
          <w:rtl/>
        </w:rPr>
        <w:t>התוס'</w:t>
      </w:r>
      <w:r w:rsidRPr="00F321D6">
        <w:rPr>
          <w:rFonts w:hint="cs"/>
          <w:rtl/>
        </w:rPr>
        <w:t xml:space="preserve"> על </w:t>
      </w:r>
      <w:r w:rsidRPr="00F321D6">
        <w:rPr>
          <w:rStyle w:val="af9"/>
          <w:rFonts w:hint="cs"/>
          <w:rtl/>
        </w:rPr>
        <w:t xml:space="preserve">הרשב"ם </w:t>
      </w:r>
      <w:r w:rsidRPr="00F321D6">
        <w:rPr>
          <w:rFonts w:hint="cs"/>
          <w:rtl/>
        </w:rPr>
        <w:t>בביאור הסוגיא</w:t>
      </w:r>
      <w:r>
        <w:rPr>
          <w:rFonts w:hint="cs"/>
          <w:rtl/>
        </w:rPr>
        <w:t xml:space="preserve">, </w:t>
      </w:r>
      <w:r w:rsidRPr="00F321D6">
        <w:rPr>
          <w:rStyle w:val="afb"/>
          <w:rFonts w:hint="cs"/>
          <w:rtl/>
        </w:rPr>
        <w:t xml:space="preserve">[אבל </w:t>
      </w:r>
      <w:r w:rsidRPr="00F321D6">
        <w:rPr>
          <w:rStyle w:val="affa"/>
          <w:rFonts w:hint="cs"/>
          <w:rtl/>
        </w:rPr>
        <w:t>הדרישה</w:t>
      </w:r>
      <w:r w:rsidRPr="00F321D6">
        <w:rPr>
          <w:rStyle w:val="afb"/>
          <w:rFonts w:hint="cs"/>
          <w:rtl/>
        </w:rPr>
        <w:t xml:space="preserve"> </w:t>
      </w:r>
      <w:r w:rsidRPr="007B7E08">
        <w:rPr>
          <w:rStyle w:val="aff6"/>
          <w:rFonts w:hint="cs"/>
          <w:rtl/>
        </w:rPr>
        <w:t xml:space="preserve">(עי' אות </w:t>
      </w:r>
      <w:r w:rsidRPr="007B7E08">
        <w:rPr>
          <w:rStyle w:val="aff6"/>
          <w:rtl/>
        </w:rPr>
        <w:fldChar w:fldCharType="begin"/>
      </w:r>
      <w:r w:rsidRPr="007B7E08">
        <w:rPr>
          <w:rStyle w:val="aff6"/>
          <w:rtl/>
        </w:rPr>
        <w:instrText xml:space="preserve"> </w:instrText>
      </w:r>
      <w:r w:rsidRPr="007B7E08">
        <w:rPr>
          <w:rStyle w:val="aff6"/>
          <w:rFonts w:hint="cs"/>
        </w:rPr>
        <w:instrText>REF</w:instrText>
      </w:r>
      <w:r w:rsidRPr="007B7E08">
        <w:rPr>
          <w:rStyle w:val="aff6"/>
          <w:rFonts w:hint="cs"/>
          <w:rtl/>
        </w:rPr>
        <w:instrText xml:space="preserve"> _</w:instrText>
      </w:r>
      <w:r w:rsidRPr="007B7E08">
        <w:rPr>
          <w:rStyle w:val="aff6"/>
          <w:rFonts w:hint="cs"/>
        </w:rPr>
        <w:instrText>Ref59552913 \r \h</w:instrText>
      </w:r>
      <w:r w:rsidRPr="007B7E08">
        <w:rPr>
          <w:rStyle w:val="aff6"/>
          <w:rtl/>
        </w:rPr>
        <w:instrText xml:space="preserve"> </w:instrText>
      </w:r>
      <w:r w:rsidRPr="007B7E08">
        <w:rPr>
          <w:rStyle w:val="aff6"/>
          <w:rtl/>
        </w:rPr>
      </w:r>
      <w:r w:rsidRPr="007B7E08">
        <w:rPr>
          <w:rStyle w:val="aff6"/>
          <w:rtl/>
        </w:rPr>
        <w:fldChar w:fldCharType="separate"/>
      </w:r>
      <w:r w:rsidR="00265073">
        <w:rPr>
          <w:rStyle w:val="aff6"/>
          <w:cs/>
        </w:rPr>
        <w:t>‎</w:t>
      </w:r>
      <w:r w:rsidR="00265073">
        <w:rPr>
          <w:rStyle w:val="aff6"/>
          <w:rtl/>
        </w:rPr>
        <w:t>סה)</w:t>
      </w:r>
      <w:r w:rsidRPr="007B7E08">
        <w:rPr>
          <w:rStyle w:val="aff6"/>
          <w:rtl/>
        </w:rPr>
        <w:fldChar w:fldCharType="end"/>
      </w:r>
      <w:r>
        <w:rPr>
          <w:rStyle w:val="afb"/>
          <w:rFonts w:hint="cs"/>
          <w:rtl/>
        </w:rPr>
        <w:t xml:space="preserve"> </w:t>
      </w:r>
      <w:r w:rsidRPr="00F321D6">
        <w:rPr>
          <w:rStyle w:val="afb"/>
          <w:rFonts w:hint="cs"/>
          <w:rtl/>
        </w:rPr>
        <w:t xml:space="preserve">כתב </w:t>
      </w:r>
      <w:r w:rsidRPr="00F321D6">
        <w:rPr>
          <w:rStyle w:val="affa"/>
          <w:rFonts w:hint="cs"/>
          <w:rtl/>
        </w:rPr>
        <w:t>דבתוס'</w:t>
      </w:r>
      <w:r w:rsidRPr="00F321D6">
        <w:rPr>
          <w:rStyle w:val="afb"/>
          <w:rFonts w:hint="cs"/>
          <w:rtl/>
        </w:rPr>
        <w:t xml:space="preserve"> משמע דביארו </w:t>
      </w:r>
      <w:r w:rsidRPr="00F321D6">
        <w:rPr>
          <w:rStyle w:val="affa"/>
          <w:rFonts w:hint="cs"/>
          <w:rtl/>
        </w:rPr>
        <w:t>ברשב"ם</w:t>
      </w:r>
      <w:r w:rsidRPr="00F321D6">
        <w:rPr>
          <w:rStyle w:val="afb"/>
          <w:rFonts w:hint="cs"/>
          <w:rtl/>
        </w:rPr>
        <w:t xml:space="preserve"> כדעת </w:t>
      </w:r>
      <w:r w:rsidRPr="00002EE1">
        <w:rPr>
          <w:rStyle w:val="affa"/>
          <w:rFonts w:hint="cs"/>
          <w:rtl/>
        </w:rPr>
        <w:t xml:space="preserve">הטור </w:t>
      </w:r>
      <w:r w:rsidRPr="00F321D6">
        <w:rPr>
          <w:rStyle w:val="afb"/>
          <w:rFonts w:hint="cs"/>
          <w:rtl/>
        </w:rPr>
        <w:t>דאינו נאמן בטענת קמי דידי בלי חזקה]</w:t>
      </w:r>
      <w:r>
        <w:rPr>
          <w:rStyle w:val="afb"/>
          <w:rFonts w:hint="cs"/>
          <w:rtl/>
        </w:rPr>
        <w:t xml:space="preserve">, </w:t>
      </w:r>
      <w:r>
        <w:rPr>
          <w:rFonts w:hint="cs"/>
          <w:rtl/>
        </w:rPr>
        <w:t xml:space="preserve">והוסיף </w:t>
      </w:r>
      <w:r w:rsidRPr="00E6118C">
        <w:rPr>
          <w:rStyle w:val="af9"/>
          <w:rFonts w:hint="cs"/>
          <w:rtl/>
        </w:rPr>
        <w:t>הש"ך</w:t>
      </w:r>
      <w:r>
        <w:rPr>
          <w:rFonts w:hint="cs"/>
          <w:rtl/>
        </w:rPr>
        <w:t xml:space="preserve"> דכן מוכח מדברי </w:t>
      </w:r>
      <w:r w:rsidRPr="00E6118C">
        <w:rPr>
          <w:rStyle w:val="af9"/>
          <w:rFonts w:hint="cs"/>
          <w:rtl/>
        </w:rPr>
        <w:t>הרמב"ן</w:t>
      </w:r>
      <w:r>
        <w:rPr>
          <w:rFonts w:hint="cs"/>
          <w:rtl/>
        </w:rPr>
        <w:t xml:space="preserve"> </w:t>
      </w:r>
      <w:r w:rsidRPr="00E623B9">
        <w:rPr>
          <w:rStyle w:val="af7"/>
          <w:rFonts w:eastAsia="Guttman Hodes" w:hint="cs"/>
          <w:rtl/>
        </w:rPr>
        <w:t xml:space="preserve">(עי' אות </w:t>
      </w:r>
      <w:r w:rsidRPr="00E623B9">
        <w:rPr>
          <w:rStyle w:val="af7"/>
          <w:rFonts w:eastAsia="Guttman Hodes"/>
          <w:rtl/>
        </w:rPr>
        <w:fldChar w:fldCharType="begin"/>
      </w:r>
      <w:r w:rsidRPr="00E623B9">
        <w:rPr>
          <w:rStyle w:val="af7"/>
          <w:rFonts w:eastAsia="Guttman Hodes"/>
          <w:rtl/>
        </w:rPr>
        <w:instrText xml:space="preserve"> </w:instrText>
      </w:r>
      <w:r w:rsidRPr="00E623B9">
        <w:rPr>
          <w:rStyle w:val="af7"/>
          <w:rFonts w:eastAsia="Guttman Hodes" w:hint="cs"/>
        </w:rPr>
        <w:instrText>REF</w:instrText>
      </w:r>
      <w:r w:rsidRPr="00E623B9">
        <w:rPr>
          <w:rStyle w:val="af7"/>
          <w:rFonts w:eastAsia="Guttman Hodes" w:hint="cs"/>
          <w:rtl/>
        </w:rPr>
        <w:instrText xml:space="preserve"> _</w:instrText>
      </w:r>
      <w:r w:rsidRPr="00E623B9">
        <w:rPr>
          <w:rStyle w:val="af7"/>
          <w:rFonts w:eastAsia="Guttman Hodes" w:hint="cs"/>
        </w:rPr>
        <w:instrText>Ref59615619 \r \h</w:instrText>
      </w:r>
      <w:r w:rsidRPr="00E623B9">
        <w:rPr>
          <w:rStyle w:val="af7"/>
          <w:rFonts w:eastAsia="Guttman Hodes"/>
          <w:rtl/>
        </w:rPr>
        <w:instrText xml:space="preserve"> </w:instrText>
      </w:r>
      <w:r w:rsidRPr="00E623B9">
        <w:rPr>
          <w:rStyle w:val="af7"/>
          <w:rFonts w:eastAsia="Guttman Hodes"/>
          <w:rtl/>
        </w:rPr>
      </w:r>
      <w:r w:rsidRPr="00E623B9">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E623B9">
        <w:rPr>
          <w:rStyle w:val="af7"/>
          <w:rFonts w:eastAsia="Guttman Hodes"/>
          <w:rtl/>
        </w:rPr>
        <w:fldChar w:fldCharType="end"/>
      </w:r>
      <w:r>
        <w:rPr>
          <w:rFonts w:hint="cs"/>
          <w:rtl/>
        </w:rPr>
        <w:t xml:space="preserve"> דביאר כן בדעת </w:t>
      </w:r>
      <w:r w:rsidRPr="00ED598B">
        <w:rPr>
          <w:rStyle w:val="af9"/>
          <w:rFonts w:hint="cs"/>
          <w:rtl/>
        </w:rPr>
        <w:t>הרשב"ם</w:t>
      </w:r>
      <w:bookmarkEnd w:id="9900"/>
      <w:r>
        <w:rPr>
          <w:rFonts w:hint="cs"/>
          <w:rtl/>
        </w:rPr>
        <w:t xml:space="preserve">, </w:t>
      </w:r>
      <w:bookmarkStart w:id="9902" w:name="_Ref59442439"/>
      <w:r w:rsidRPr="00FE570B">
        <w:rPr>
          <w:rStyle w:val="afb"/>
          <w:rFonts w:hint="cs"/>
          <w:rtl/>
        </w:rPr>
        <w:t xml:space="preserve">[דכתב בביאור דברי </w:t>
      </w:r>
      <w:r w:rsidRPr="00E623B9">
        <w:rPr>
          <w:rStyle w:val="affa"/>
          <w:rFonts w:hint="cs"/>
          <w:rtl/>
        </w:rPr>
        <w:t>הרי"ף</w:t>
      </w:r>
      <w:r w:rsidRPr="00FE570B">
        <w:rPr>
          <w:rStyle w:val="afb"/>
          <w:rFonts w:hint="cs"/>
          <w:rtl/>
        </w:rPr>
        <w:t xml:space="preserve"> </w:t>
      </w:r>
      <w:r w:rsidRPr="00E623B9">
        <w:rPr>
          <w:rStyle w:val="aff6"/>
          <w:rFonts w:hint="cs"/>
          <w:rtl/>
        </w:rPr>
        <w:t xml:space="preserve">(עי' אות </w:t>
      </w:r>
      <w:r w:rsidRPr="00E623B9">
        <w:rPr>
          <w:rStyle w:val="aff6"/>
          <w:rtl/>
        </w:rPr>
        <w:fldChar w:fldCharType="begin"/>
      </w:r>
      <w:r w:rsidRPr="00E623B9">
        <w:rPr>
          <w:rStyle w:val="aff6"/>
          <w:rtl/>
        </w:rPr>
        <w:instrText xml:space="preserve"> </w:instrText>
      </w:r>
      <w:r w:rsidRPr="00E623B9">
        <w:rPr>
          <w:rStyle w:val="aff6"/>
          <w:rFonts w:hint="cs"/>
        </w:rPr>
        <w:instrText>REF</w:instrText>
      </w:r>
      <w:r w:rsidRPr="00E623B9">
        <w:rPr>
          <w:rStyle w:val="aff6"/>
          <w:rFonts w:hint="cs"/>
          <w:rtl/>
        </w:rPr>
        <w:instrText xml:space="preserve"> _</w:instrText>
      </w:r>
      <w:r w:rsidRPr="00E623B9">
        <w:rPr>
          <w:rStyle w:val="aff6"/>
          <w:rFonts w:hint="cs"/>
        </w:rPr>
        <w:instrText>Ref59615569 \r \h</w:instrText>
      </w:r>
      <w:r w:rsidRPr="00E623B9">
        <w:rPr>
          <w:rStyle w:val="aff6"/>
          <w:rtl/>
        </w:rPr>
        <w:instrText xml:space="preserve"> </w:instrText>
      </w:r>
      <w:r w:rsidRPr="00E623B9">
        <w:rPr>
          <w:rStyle w:val="aff6"/>
          <w:rtl/>
        </w:rPr>
      </w:r>
      <w:r w:rsidRPr="00E623B9">
        <w:rPr>
          <w:rStyle w:val="aff6"/>
          <w:rtl/>
        </w:rPr>
        <w:fldChar w:fldCharType="separate"/>
      </w:r>
      <w:r w:rsidR="00265073">
        <w:rPr>
          <w:rStyle w:val="aff6"/>
          <w:cs/>
        </w:rPr>
        <w:t>‎</w:t>
      </w:r>
      <w:r w:rsidR="00265073">
        <w:rPr>
          <w:rStyle w:val="aff6"/>
          <w:rtl/>
        </w:rPr>
        <w:t>פח)</w:t>
      </w:r>
      <w:r w:rsidRPr="00E623B9">
        <w:rPr>
          <w:rStyle w:val="aff6"/>
          <w:rtl/>
        </w:rPr>
        <w:fldChar w:fldCharType="end"/>
      </w:r>
      <w:r w:rsidRPr="00FE570B">
        <w:rPr>
          <w:rStyle w:val="afb"/>
          <w:rFonts w:hint="cs"/>
          <w:rtl/>
        </w:rPr>
        <w:t xml:space="preserve"> דלכו"ע מהני קמי דידי בלי חזקה]</w:t>
      </w:r>
      <w:r>
        <w:rPr>
          <w:rStyle w:val="afb"/>
          <w:rFonts w:hint="cs"/>
          <w:rtl/>
        </w:rPr>
        <w:t>,</w:t>
      </w:r>
      <w:r w:rsidRPr="006457EC">
        <w:rPr>
          <w:rFonts w:hint="cs"/>
          <w:rtl/>
        </w:rPr>
        <w:t xml:space="preserve"> </w:t>
      </w:r>
      <w:r>
        <w:rPr>
          <w:rFonts w:hint="cs"/>
          <w:rtl/>
        </w:rPr>
        <w:t xml:space="preserve">וע"ע במה שהוכיח </w:t>
      </w:r>
      <w:r w:rsidRPr="006457EC">
        <w:rPr>
          <w:rStyle w:val="af9"/>
          <w:rFonts w:hint="cs"/>
          <w:rtl/>
        </w:rPr>
        <w:t>הש"ך</w:t>
      </w:r>
      <w:r>
        <w:rPr>
          <w:rFonts w:hint="cs"/>
          <w:rtl/>
        </w:rPr>
        <w:t xml:space="preserve"> </w:t>
      </w:r>
      <w:r w:rsidRPr="006457EC">
        <w:rPr>
          <w:rStyle w:val="af7"/>
          <w:rFonts w:eastAsia="Guttman Hodes" w:hint="cs"/>
          <w:rtl/>
        </w:rPr>
        <w:t xml:space="preserve">(עי' אות </w:t>
      </w:r>
      <w:r w:rsidRPr="006457EC">
        <w:rPr>
          <w:rStyle w:val="af7"/>
          <w:rFonts w:eastAsia="Guttman Hodes"/>
          <w:rtl/>
        </w:rPr>
        <w:fldChar w:fldCharType="begin"/>
      </w:r>
      <w:r w:rsidRPr="006457EC">
        <w:rPr>
          <w:rStyle w:val="af7"/>
          <w:rFonts w:eastAsia="Guttman Hodes"/>
          <w:rtl/>
        </w:rPr>
        <w:instrText xml:space="preserve"> </w:instrText>
      </w:r>
      <w:r w:rsidRPr="006457EC">
        <w:rPr>
          <w:rStyle w:val="af7"/>
          <w:rFonts w:eastAsia="Guttman Hodes" w:hint="cs"/>
        </w:rPr>
        <w:instrText>REF</w:instrText>
      </w:r>
      <w:r w:rsidRPr="006457EC">
        <w:rPr>
          <w:rStyle w:val="af7"/>
          <w:rFonts w:eastAsia="Guttman Hodes" w:hint="cs"/>
          <w:rtl/>
        </w:rPr>
        <w:instrText xml:space="preserve"> _</w:instrText>
      </w:r>
      <w:r w:rsidRPr="006457EC">
        <w:rPr>
          <w:rStyle w:val="af7"/>
          <w:rFonts w:eastAsia="Guttman Hodes" w:hint="cs"/>
        </w:rPr>
        <w:instrText>Ref59615197 \r \h</w:instrText>
      </w:r>
      <w:r w:rsidRPr="006457EC">
        <w:rPr>
          <w:rStyle w:val="af7"/>
          <w:rFonts w:eastAsia="Guttman Hodes"/>
          <w:rtl/>
        </w:rPr>
        <w:instrText xml:space="preserve"> </w:instrText>
      </w:r>
      <w:r w:rsidRPr="006457EC">
        <w:rPr>
          <w:rStyle w:val="af7"/>
          <w:rFonts w:eastAsia="Guttman Hodes"/>
          <w:rtl/>
        </w:rPr>
      </w:r>
      <w:r w:rsidRPr="006457EC">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6457EC">
        <w:rPr>
          <w:rStyle w:val="af7"/>
          <w:rFonts w:eastAsia="Guttman Hodes"/>
          <w:rtl/>
        </w:rPr>
        <w:fldChar w:fldCharType="end"/>
      </w:r>
      <w:r>
        <w:rPr>
          <w:rFonts w:hint="cs"/>
          <w:rtl/>
        </w:rPr>
        <w:t xml:space="preserve"> מדברי </w:t>
      </w:r>
      <w:r w:rsidRPr="006457EC">
        <w:rPr>
          <w:rStyle w:val="af9"/>
          <w:rFonts w:hint="cs"/>
          <w:rtl/>
        </w:rPr>
        <w:t>הרא"ש</w:t>
      </w:r>
      <w:r>
        <w:rPr>
          <w:rFonts w:hint="cs"/>
          <w:rtl/>
        </w:rPr>
        <w:t xml:space="preserve"> דביאר כן בדעת </w:t>
      </w:r>
      <w:r w:rsidRPr="006457EC">
        <w:rPr>
          <w:rStyle w:val="af9"/>
          <w:rFonts w:hint="cs"/>
          <w:rtl/>
        </w:rPr>
        <w:t>הרשב"ם</w:t>
      </w:r>
      <w:r>
        <w:rPr>
          <w:rFonts w:hint="cs"/>
          <w:rtl/>
        </w:rPr>
        <w:t>.</w:t>
      </w:r>
      <w:bookmarkEnd w:id="9901"/>
    </w:p>
    <w:p w:rsidR="000E75A3" w:rsidRDefault="000E75A3" w:rsidP="000E75A3">
      <w:pPr>
        <w:pStyle w:val="a3"/>
        <w:rPr>
          <w:rtl/>
        </w:rPr>
      </w:pPr>
      <w:bookmarkStart w:id="9903" w:name="_Toc59741682"/>
      <w:bookmarkStart w:id="9904" w:name="_Toc59786817"/>
      <w:bookmarkStart w:id="9905" w:name="_Toc59802631"/>
      <w:bookmarkStart w:id="9906" w:name="_Toc59916192"/>
      <w:r>
        <w:rPr>
          <w:rFonts w:hint="cs"/>
          <w:rtl/>
        </w:rPr>
        <w:t>הוכחת הדרישה מהרמב"ן דלרשב"ם נאמן בקמי דידי אף כשאין לו חזקת ג"ש</w:t>
      </w:r>
      <w:bookmarkEnd w:id="9903"/>
      <w:bookmarkEnd w:id="9904"/>
      <w:bookmarkEnd w:id="9905"/>
      <w:bookmarkEnd w:id="9906"/>
    </w:p>
    <w:p w:rsidR="000E75A3" w:rsidRDefault="000E75A3" w:rsidP="007E4E81">
      <w:pPr>
        <w:pStyle w:val="a0"/>
        <w:rPr>
          <w:rtl/>
        </w:rPr>
      </w:pPr>
      <w:bookmarkStart w:id="9907" w:name="_Ref59740307"/>
      <w:r>
        <w:rPr>
          <w:rStyle w:val="af9"/>
          <w:rFonts w:hint="cs"/>
          <w:rtl/>
        </w:rPr>
        <w:t>ו</w:t>
      </w:r>
      <w:r w:rsidRPr="00A3669A">
        <w:rPr>
          <w:rStyle w:val="af9"/>
          <w:rFonts w:hint="cs"/>
          <w:rtl/>
        </w:rPr>
        <w:t>הדרישה</w:t>
      </w:r>
      <w:r w:rsidRPr="00A3669A">
        <w:rPr>
          <w:rFonts w:hint="cs"/>
          <w:rtl/>
        </w:rPr>
        <w:t xml:space="preserve"> </w:t>
      </w:r>
      <w:r w:rsidRPr="00A3669A">
        <w:rPr>
          <w:rStyle w:val="af7"/>
          <w:rFonts w:eastAsia="Guttman Hodes" w:hint="cs"/>
          <w:rtl/>
        </w:rPr>
        <w:t xml:space="preserve">(סי' קמ"ו סוס"ק כ"ד ד"ה ולולי פה) </w:t>
      </w:r>
      <w:r w:rsidRPr="00A3669A">
        <w:rPr>
          <w:rFonts w:hint="cs"/>
          <w:rtl/>
        </w:rPr>
        <w:t xml:space="preserve">כתב דכן משמע מדברי </w:t>
      </w:r>
      <w:r w:rsidRPr="00A3669A">
        <w:rPr>
          <w:rStyle w:val="af9"/>
          <w:rFonts w:hint="cs"/>
          <w:rtl/>
        </w:rPr>
        <w:t>הרמב"ן</w:t>
      </w:r>
      <w:r w:rsidRPr="00A3669A">
        <w:rPr>
          <w:rFonts w:hint="cs"/>
          <w:rtl/>
        </w:rPr>
        <w:t xml:space="preserve"> </w:t>
      </w:r>
      <w:r w:rsidRPr="00AA78B9">
        <w:rPr>
          <w:rStyle w:val="af7"/>
          <w:rFonts w:eastAsia="Guttman Hodes" w:hint="cs"/>
          <w:rtl/>
        </w:rPr>
        <w:t xml:space="preserve">(עי' אות </w:t>
      </w:r>
      <w:r w:rsidRPr="00AA78B9">
        <w:rPr>
          <w:rStyle w:val="af7"/>
          <w:rFonts w:eastAsia="Guttman Hodes"/>
          <w:rtl/>
        </w:rPr>
        <w:fldChar w:fldCharType="begin"/>
      </w:r>
      <w:r w:rsidRPr="00AA78B9">
        <w:rPr>
          <w:rStyle w:val="af7"/>
          <w:rFonts w:eastAsia="Guttman Hodes"/>
          <w:rtl/>
        </w:rPr>
        <w:instrText xml:space="preserve"> </w:instrText>
      </w:r>
      <w:r w:rsidRPr="00AA78B9">
        <w:rPr>
          <w:rStyle w:val="af7"/>
          <w:rFonts w:eastAsia="Guttman Hodes" w:hint="cs"/>
        </w:rPr>
        <w:instrText>REF</w:instrText>
      </w:r>
      <w:r w:rsidRPr="00AA78B9">
        <w:rPr>
          <w:rStyle w:val="af7"/>
          <w:rFonts w:eastAsia="Guttman Hodes" w:hint="cs"/>
          <w:rtl/>
        </w:rPr>
        <w:instrText xml:space="preserve"> _</w:instrText>
      </w:r>
      <w:r w:rsidRPr="00AA78B9">
        <w:rPr>
          <w:rStyle w:val="af7"/>
          <w:rFonts w:eastAsia="Guttman Hodes" w:hint="cs"/>
        </w:rPr>
        <w:instrText>Ref59615619 \r \h</w:instrText>
      </w:r>
      <w:r w:rsidRPr="00AA78B9">
        <w:rPr>
          <w:rStyle w:val="af7"/>
          <w:rFonts w:eastAsia="Guttman Hodes"/>
          <w:rtl/>
        </w:rPr>
        <w:instrText xml:space="preserve"> </w:instrText>
      </w:r>
      <w:r w:rsidRPr="00AA78B9">
        <w:rPr>
          <w:rStyle w:val="af7"/>
          <w:rFonts w:eastAsia="Guttman Hodes"/>
          <w:rtl/>
        </w:rPr>
      </w:r>
      <w:r w:rsidRPr="00AA78B9">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AA78B9">
        <w:rPr>
          <w:rStyle w:val="af7"/>
          <w:rFonts w:eastAsia="Guttman Hodes"/>
          <w:rtl/>
        </w:rPr>
        <w:fldChar w:fldCharType="end"/>
      </w:r>
      <w:r w:rsidRPr="00A3669A">
        <w:rPr>
          <w:rFonts w:hint="cs"/>
          <w:rtl/>
        </w:rPr>
        <w:t xml:space="preserve"> דכתב בביאור דברי </w:t>
      </w:r>
      <w:r w:rsidRPr="00A3669A">
        <w:rPr>
          <w:rStyle w:val="af9"/>
          <w:rFonts w:hint="cs"/>
          <w:rtl/>
        </w:rPr>
        <w:t>הרי"ף</w:t>
      </w:r>
      <w:r w:rsidRPr="00A3669A">
        <w:rPr>
          <w:rFonts w:hint="cs"/>
          <w:rtl/>
        </w:rPr>
        <w:t xml:space="preserve"> דבטענת קמי דידי זבנה מינך, הכל מודים דנאמן אף כשאין לו חזקת ג"ש, ומשמע דס"ל </w:t>
      </w:r>
      <w:r w:rsidRPr="00382104">
        <w:rPr>
          <w:rStyle w:val="af9"/>
          <w:rFonts w:hint="cs"/>
          <w:rtl/>
        </w:rPr>
        <w:t>להרמב"ן</w:t>
      </w:r>
      <w:r w:rsidRPr="00A3669A">
        <w:rPr>
          <w:rFonts w:hint="cs"/>
          <w:rtl/>
        </w:rPr>
        <w:t xml:space="preserve"> דאף </w:t>
      </w:r>
      <w:r w:rsidRPr="00A3669A">
        <w:rPr>
          <w:rStyle w:val="af9"/>
          <w:rFonts w:hint="cs"/>
          <w:rtl/>
        </w:rPr>
        <w:t>הרשב"ם</w:t>
      </w:r>
      <w:r w:rsidRPr="00A3669A">
        <w:rPr>
          <w:rFonts w:hint="cs"/>
          <w:rtl/>
        </w:rPr>
        <w:t xml:space="preserve"> מודה ד</w:t>
      </w:r>
      <w:r>
        <w:rPr>
          <w:rFonts w:hint="cs"/>
          <w:rtl/>
        </w:rPr>
        <w:t>א"צ</w:t>
      </w:r>
      <w:r w:rsidRPr="00A3669A">
        <w:rPr>
          <w:rFonts w:hint="cs"/>
          <w:rtl/>
        </w:rPr>
        <w:t xml:space="preserve"> חזקה</w:t>
      </w:r>
      <w:r>
        <w:rPr>
          <w:rFonts w:hint="cs"/>
          <w:rtl/>
        </w:rPr>
        <w:t xml:space="preserve">, ועי' במ"ש </w:t>
      </w:r>
      <w:r w:rsidRPr="00382104">
        <w:rPr>
          <w:rStyle w:val="af9"/>
          <w:rFonts w:hint="cs"/>
          <w:rtl/>
        </w:rPr>
        <w:t>הדרישה</w:t>
      </w:r>
      <w:r>
        <w:rPr>
          <w:rFonts w:hint="cs"/>
          <w:rtl/>
        </w:rPr>
        <w:t xml:space="preserve"> </w:t>
      </w:r>
      <w:r w:rsidRPr="0045554B">
        <w:rPr>
          <w:rStyle w:val="af7"/>
          <w:rFonts w:eastAsia="Guttman Hodes" w:hint="cs"/>
          <w:rtl/>
        </w:rPr>
        <w:t xml:space="preserve">(עי' אות </w:t>
      </w:r>
      <w:r w:rsidRPr="0045554B">
        <w:rPr>
          <w:rStyle w:val="af7"/>
          <w:rFonts w:eastAsia="Guttman Hodes"/>
          <w:rtl/>
        </w:rPr>
        <w:fldChar w:fldCharType="begin"/>
      </w:r>
      <w:r w:rsidRPr="0045554B">
        <w:rPr>
          <w:rStyle w:val="af7"/>
          <w:rFonts w:eastAsia="Guttman Hodes"/>
          <w:rtl/>
        </w:rPr>
        <w:instrText xml:space="preserve"> </w:instrText>
      </w:r>
      <w:r w:rsidRPr="0045554B">
        <w:rPr>
          <w:rStyle w:val="af7"/>
          <w:rFonts w:eastAsia="Guttman Hodes" w:hint="cs"/>
        </w:rPr>
        <w:instrText>REF</w:instrText>
      </w:r>
      <w:r w:rsidRPr="0045554B">
        <w:rPr>
          <w:rStyle w:val="af7"/>
          <w:rFonts w:eastAsia="Guttman Hodes" w:hint="cs"/>
          <w:rtl/>
        </w:rPr>
        <w:instrText xml:space="preserve"> _</w:instrText>
      </w:r>
      <w:r w:rsidRPr="0045554B">
        <w:rPr>
          <w:rStyle w:val="af7"/>
          <w:rFonts w:eastAsia="Guttman Hodes" w:hint="cs"/>
        </w:rPr>
        <w:instrText>Ref59740275 \r \h</w:instrText>
      </w:r>
      <w:r w:rsidRPr="0045554B">
        <w:rPr>
          <w:rStyle w:val="af7"/>
          <w:rFonts w:eastAsia="Guttman Hodes"/>
          <w:rtl/>
        </w:rPr>
        <w:instrText xml:space="preserve"> </w:instrText>
      </w:r>
      <w:r w:rsidRPr="0045554B">
        <w:rPr>
          <w:rStyle w:val="af7"/>
          <w:rFonts w:eastAsia="Guttman Hodes"/>
          <w:rtl/>
        </w:rPr>
      </w:r>
      <w:r w:rsidRPr="0045554B">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45554B">
        <w:rPr>
          <w:rStyle w:val="af7"/>
          <w:rFonts w:eastAsia="Guttman Hodes"/>
          <w:rtl/>
        </w:rPr>
        <w:fldChar w:fldCharType="end"/>
      </w:r>
      <w:r>
        <w:rPr>
          <w:rFonts w:hint="cs"/>
          <w:rtl/>
        </w:rPr>
        <w:t xml:space="preserve"> דכן משמע מדברי </w:t>
      </w:r>
      <w:r w:rsidRPr="00382104">
        <w:rPr>
          <w:rStyle w:val="af9"/>
          <w:rFonts w:hint="cs"/>
          <w:rtl/>
        </w:rPr>
        <w:t>הרא"ש</w:t>
      </w:r>
      <w:r w:rsidRPr="00A3669A">
        <w:rPr>
          <w:rStyle w:val="af1"/>
          <w:rtl/>
        </w:rPr>
        <w:footnoteReference w:id="68"/>
      </w:r>
      <w:r w:rsidRPr="00A3669A">
        <w:rPr>
          <w:rFonts w:hint="cs"/>
          <w:rtl/>
        </w:rPr>
        <w:t>.</w:t>
      </w:r>
      <w:bookmarkEnd w:id="9907"/>
    </w:p>
    <w:p w:rsidR="009335CD" w:rsidRPr="009335CD" w:rsidRDefault="009335CD" w:rsidP="009335CD">
      <w:pPr>
        <w:pStyle w:val="a3"/>
        <w:rPr>
          <w:rtl/>
        </w:rPr>
      </w:pPr>
    </w:p>
    <w:p w:rsidR="000E75A3" w:rsidRDefault="000E75A3" w:rsidP="000E75A3">
      <w:pPr>
        <w:pStyle w:val="1"/>
        <w:rPr>
          <w:rtl/>
        </w:rPr>
      </w:pPr>
      <w:bookmarkStart w:id="9908" w:name="_Toc59620322"/>
      <w:bookmarkStart w:id="9909" w:name="_Toc59643594"/>
      <w:bookmarkStart w:id="9910" w:name="_Toc59741683"/>
      <w:bookmarkStart w:id="9911" w:name="_Toc59786818"/>
      <w:bookmarkStart w:id="9912" w:name="_Toc59802632"/>
      <w:bookmarkStart w:id="9913" w:name="_Toc59916193"/>
      <w:bookmarkEnd w:id="9902"/>
      <w:r>
        <w:rPr>
          <w:rFonts w:hint="cs"/>
          <w:rtl/>
        </w:rPr>
        <w:lastRenderedPageBreak/>
        <w:t>דחיית התומים לביאור הש"ך ברשב"ם דקמי דידי צריך חזקה</w:t>
      </w:r>
      <w:bookmarkEnd w:id="9908"/>
      <w:bookmarkEnd w:id="9909"/>
      <w:bookmarkEnd w:id="9910"/>
      <w:bookmarkEnd w:id="9911"/>
      <w:bookmarkEnd w:id="9912"/>
      <w:bookmarkEnd w:id="9913"/>
    </w:p>
    <w:p w:rsidR="000E75A3" w:rsidRDefault="000E75A3" w:rsidP="000E75A3">
      <w:pPr>
        <w:pStyle w:val="a3"/>
        <w:rPr>
          <w:rtl/>
        </w:rPr>
      </w:pPr>
      <w:bookmarkStart w:id="9914" w:name="_Toc59620323"/>
      <w:bookmarkStart w:id="9915" w:name="_Toc59643595"/>
      <w:bookmarkStart w:id="9916" w:name="_Toc59741684"/>
      <w:bookmarkStart w:id="9917" w:name="_Toc59786819"/>
      <w:bookmarkStart w:id="9918" w:name="_Toc59802633"/>
      <w:bookmarkStart w:id="9919" w:name="_Toc59916194"/>
      <w:r>
        <w:rPr>
          <w:rFonts w:hint="cs"/>
          <w:rtl/>
        </w:rPr>
        <w:t>דחיית התומים דברי"ף וברשב"ם מוכח דאיירי כשאין עדים למערער ואפ"ה צריך חזקה</w:t>
      </w:r>
      <w:bookmarkEnd w:id="9914"/>
      <w:bookmarkEnd w:id="9915"/>
      <w:bookmarkEnd w:id="9916"/>
      <w:bookmarkEnd w:id="9917"/>
      <w:bookmarkEnd w:id="9918"/>
      <w:bookmarkEnd w:id="9919"/>
    </w:p>
    <w:p w:rsidR="000E75A3" w:rsidRDefault="000E75A3" w:rsidP="007E4E81">
      <w:pPr>
        <w:pStyle w:val="a0"/>
        <w:rPr>
          <w:rtl/>
        </w:rPr>
      </w:pPr>
      <w:bookmarkStart w:id="9920" w:name="_Ref59698624"/>
      <w:r>
        <w:rPr>
          <w:rFonts w:hint="cs"/>
          <w:rtl/>
        </w:rPr>
        <w:t xml:space="preserve">אבל </w:t>
      </w:r>
      <w:r w:rsidRPr="00794290">
        <w:rPr>
          <w:rStyle w:val="af9"/>
          <w:rFonts w:hint="cs"/>
          <w:rtl/>
        </w:rPr>
        <w:t>התומים</w:t>
      </w:r>
      <w:r>
        <w:rPr>
          <w:rFonts w:hint="cs"/>
          <w:rtl/>
        </w:rPr>
        <w:t xml:space="preserve"> </w:t>
      </w:r>
      <w:r w:rsidRPr="00794290">
        <w:rPr>
          <w:rStyle w:val="af7"/>
          <w:rFonts w:eastAsia="Guttman Hodes" w:hint="cs"/>
          <w:rtl/>
        </w:rPr>
        <w:t>(סי' קמ"ו ריש סקט"ז)</w:t>
      </w:r>
      <w:r>
        <w:rPr>
          <w:rFonts w:hint="cs"/>
          <w:rtl/>
        </w:rPr>
        <w:t xml:space="preserve"> דחה את דברי </w:t>
      </w:r>
      <w:r w:rsidRPr="00794290">
        <w:rPr>
          <w:rStyle w:val="af9"/>
          <w:rFonts w:hint="cs"/>
          <w:rtl/>
        </w:rPr>
        <w:t>הש"ך</w:t>
      </w:r>
      <w:r w:rsidRPr="0041542A">
        <w:rPr>
          <w:rStyle w:val="af7"/>
          <w:rFonts w:eastAsia="Guttman Hodes" w:hint="cs"/>
          <w:rtl/>
        </w:rPr>
        <w:t xml:space="preserve"> (עי' אות </w:t>
      </w:r>
      <w:r w:rsidRPr="0041542A">
        <w:rPr>
          <w:rStyle w:val="af7"/>
          <w:rFonts w:eastAsia="Guttman Hodes"/>
          <w:rtl/>
        </w:rPr>
        <w:fldChar w:fldCharType="begin"/>
      </w:r>
      <w:r w:rsidRPr="0041542A">
        <w:rPr>
          <w:rStyle w:val="af7"/>
          <w:rFonts w:eastAsia="Guttman Hodes"/>
          <w:rtl/>
        </w:rPr>
        <w:instrText xml:space="preserve"> </w:instrText>
      </w:r>
      <w:r w:rsidRPr="0041542A">
        <w:rPr>
          <w:rStyle w:val="af7"/>
          <w:rFonts w:eastAsia="Guttman Hodes" w:hint="cs"/>
        </w:rPr>
        <w:instrText>REF</w:instrText>
      </w:r>
      <w:r w:rsidRPr="0041542A">
        <w:rPr>
          <w:rStyle w:val="af7"/>
          <w:rFonts w:eastAsia="Guttman Hodes" w:hint="cs"/>
          <w:rtl/>
        </w:rPr>
        <w:instrText xml:space="preserve"> _</w:instrText>
      </w:r>
      <w:r w:rsidRPr="0041542A">
        <w:rPr>
          <w:rStyle w:val="af7"/>
          <w:rFonts w:eastAsia="Guttman Hodes" w:hint="cs"/>
        </w:rPr>
        <w:instrText>Ref59613710 \r \h</w:instrText>
      </w:r>
      <w:r w:rsidRPr="0041542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1542A">
        <w:rPr>
          <w:rStyle w:val="af7"/>
          <w:rFonts w:eastAsia="Guttman Hodes"/>
          <w:rtl/>
        </w:rPr>
      </w:r>
      <w:r w:rsidRPr="0041542A">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41542A">
        <w:rPr>
          <w:rStyle w:val="af7"/>
          <w:rFonts w:eastAsia="Guttman Hodes"/>
          <w:rtl/>
        </w:rPr>
        <w:fldChar w:fldCharType="end"/>
      </w:r>
      <w:r w:rsidRPr="0041542A">
        <w:rPr>
          <w:rStyle w:val="af7"/>
          <w:rFonts w:eastAsia="Guttman Hodes" w:hint="cs"/>
          <w:rtl/>
        </w:rPr>
        <w:t xml:space="preserve"> </w:t>
      </w:r>
      <w:r>
        <w:rPr>
          <w:rFonts w:hint="cs"/>
          <w:rtl/>
        </w:rPr>
        <w:t xml:space="preserve">וכתב דמוכח כדעת </w:t>
      </w:r>
      <w:r w:rsidRPr="00794290">
        <w:rPr>
          <w:rStyle w:val="af9"/>
          <w:rFonts w:hint="cs"/>
          <w:rtl/>
        </w:rPr>
        <w:t>הטור</w:t>
      </w:r>
      <w:r>
        <w:rPr>
          <w:rFonts w:hint="cs"/>
          <w:rtl/>
        </w:rPr>
        <w:t xml:space="preserve"> </w:t>
      </w:r>
      <w:r w:rsidRPr="00924C97">
        <w:rPr>
          <w:rStyle w:val="af7"/>
          <w:rFonts w:eastAsia="Guttman Hodes" w:hint="cs"/>
          <w:rtl/>
        </w:rPr>
        <w:t xml:space="preserve">(עי' אות </w:t>
      </w:r>
      <w:r w:rsidRPr="00924C97">
        <w:rPr>
          <w:rStyle w:val="af7"/>
          <w:rFonts w:eastAsia="Guttman Hodes"/>
          <w:rtl/>
        </w:rPr>
        <w:fldChar w:fldCharType="begin"/>
      </w:r>
      <w:r w:rsidRPr="00924C97">
        <w:rPr>
          <w:rStyle w:val="af7"/>
          <w:rFonts w:eastAsia="Guttman Hodes"/>
          <w:rtl/>
        </w:rPr>
        <w:instrText xml:space="preserve"> </w:instrText>
      </w:r>
      <w:r w:rsidRPr="00924C97">
        <w:rPr>
          <w:rStyle w:val="af7"/>
          <w:rFonts w:eastAsia="Guttman Hodes" w:hint="cs"/>
        </w:rPr>
        <w:instrText>REF</w:instrText>
      </w:r>
      <w:r w:rsidRPr="00924C97">
        <w:rPr>
          <w:rStyle w:val="af7"/>
          <w:rFonts w:eastAsia="Guttman Hodes" w:hint="cs"/>
          <w:rtl/>
        </w:rPr>
        <w:instrText xml:space="preserve"> _</w:instrText>
      </w:r>
      <w:r w:rsidRPr="00924C97">
        <w:rPr>
          <w:rStyle w:val="af7"/>
          <w:rFonts w:eastAsia="Guttman Hodes" w:hint="cs"/>
        </w:rPr>
        <w:instrText>Ref59651096 \r \h</w:instrText>
      </w:r>
      <w:r w:rsidRPr="00924C97">
        <w:rPr>
          <w:rStyle w:val="af7"/>
          <w:rFonts w:eastAsia="Guttman Hodes"/>
          <w:rtl/>
        </w:rPr>
        <w:instrText xml:space="preserve"> </w:instrText>
      </w:r>
      <w:r w:rsidRPr="00924C97">
        <w:rPr>
          <w:rStyle w:val="af7"/>
          <w:rFonts w:eastAsia="Guttman Hodes"/>
          <w:rtl/>
        </w:rPr>
      </w:r>
      <w:r w:rsidRPr="00924C97">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924C97">
        <w:rPr>
          <w:rStyle w:val="af7"/>
          <w:rFonts w:eastAsia="Guttman Hodes"/>
          <w:rtl/>
        </w:rPr>
        <w:fldChar w:fldCharType="end"/>
      </w:r>
      <w:r>
        <w:rPr>
          <w:rFonts w:hint="cs"/>
          <w:rtl/>
        </w:rPr>
        <w:t xml:space="preserve">, דטענת קמי דידי זבנה מינך, מהני רק כשיש למחזיק חזקת ג"ש, וכתב </w:t>
      </w:r>
      <w:r w:rsidRPr="00794290">
        <w:rPr>
          <w:rStyle w:val="af9"/>
          <w:rFonts w:hint="cs"/>
          <w:rtl/>
        </w:rPr>
        <w:t>התומים</w:t>
      </w:r>
      <w:r>
        <w:rPr>
          <w:rFonts w:hint="cs"/>
          <w:rtl/>
        </w:rPr>
        <w:t xml:space="preserve"> דא"א לומר </w:t>
      </w:r>
      <w:r w:rsidRPr="007B51C8">
        <w:rPr>
          <w:rFonts w:hint="cs"/>
          <w:rtl/>
        </w:rPr>
        <w:t>דמ"ש דברי</w:t>
      </w:r>
      <w:r>
        <w:rPr>
          <w:rFonts w:hint="cs"/>
          <w:rtl/>
        </w:rPr>
        <w:t xml:space="preserve"> </w:t>
      </w:r>
      <w:r w:rsidRPr="00794290">
        <w:rPr>
          <w:rStyle w:val="af9"/>
          <w:rFonts w:hint="cs"/>
          <w:rtl/>
        </w:rPr>
        <w:t>הרי"ף</w:t>
      </w:r>
      <w:r>
        <w:rPr>
          <w:rFonts w:hint="cs"/>
          <w:rtl/>
        </w:rPr>
        <w:t xml:space="preserve"> </w:t>
      </w:r>
      <w:r w:rsidRPr="005A5D27">
        <w:rPr>
          <w:rStyle w:val="af7"/>
          <w:rFonts w:eastAsia="Guttman Hodes" w:hint="cs"/>
          <w:rtl/>
        </w:rPr>
        <w:t xml:space="preserve">(עי' אות </w:t>
      </w:r>
      <w:r w:rsidRPr="005A5D27">
        <w:rPr>
          <w:rStyle w:val="af7"/>
          <w:rFonts w:eastAsia="Guttman Hodes"/>
          <w:rtl/>
        </w:rPr>
        <w:fldChar w:fldCharType="begin"/>
      </w:r>
      <w:r w:rsidRPr="005A5D27">
        <w:rPr>
          <w:rStyle w:val="af7"/>
          <w:rFonts w:eastAsia="Guttman Hodes"/>
          <w:rtl/>
        </w:rPr>
        <w:instrText xml:space="preserve"> </w:instrText>
      </w:r>
      <w:r w:rsidRPr="005A5D27">
        <w:rPr>
          <w:rStyle w:val="af7"/>
          <w:rFonts w:eastAsia="Guttman Hodes" w:hint="cs"/>
        </w:rPr>
        <w:instrText>REF</w:instrText>
      </w:r>
      <w:r w:rsidRPr="005A5D27">
        <w:rPr>
          <w:rStyle w:val="af7"/>
          <w:rFonts w:eastAsia="Guttman Hodes" w:hint="cs"/>
          <w:rtl/>
        </w:rPr>
        <w:instrText xml:space="preserve"> _</w:instrText>
      </w:r>
      <w:r w:rsidRPr="005A5D27">
        <w:rPr>
          <w:rStyle w:val="af7"/>
          <w:rFonts w:eastAsia="Guttman Hodes" w:hint="cs"/>
        </w:rPr>
        <w:instrText>Ref59615569 \r \h</w:instrText>
      </w:r>
      <w:r w:rsidRPr="005A5D27">
        <w:rPr>
          <w:rStyle w:val="af7"/>
          <w:rFonts w:eastAsia="Guttman Hodes"/>
          <w:rtl/>
        </w:rPr>
        <w:instrText xml:space="preserve"> </w:instrText>
      </w:r>
      <w:r w:rsidRPr="005A5D27">
        <w:rPr>
          <w:rStyle w:val="af7"/>
          <w:rFonts w:eastAsia="Guttman Hodes"/>
          <w:rtl/>
        </w:rPr>
      </w:r>
      <w:r w:rsidRPr="005A5D27">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5A5D27">
        <w:rPr>
          <w:rStyle w:val="af7"/>
          <w:rFonts w:eastAsia="Guttman Hodes"/>
          <w:rtl/>
        </w:rPr>
        <w:fldChar w:fldCharType="end"/>
      </w:r>
      <w:r>
        <w:rPr>
          <w:rFonts w:hint="cs"/>
          <w:rtl/>
        </w:rPr>
        <w:t xml:space="preserve"> </w:t>
      </w:r>
      <w:r w:rsidRPr="00794290">
        <w:rPr>
          <w:rStyle w:val="af9"/>
          <w:rFonts w:hint="cs"/>
          <w:rtl/>
        </w:rPr>
        <w:t>והרשב"ם</w:t>
      </w:r>
      <w:r>
        <w:rPr>
          <w:rFonts w:hint="cs"/>
          <w:rtl/>
        </w:rPr>
        <w:t xml:space="preserve"> </w:t>
      </w:r>
      <w:r w:rsidRPr="00B17028">
        <w:rPr>
          <w:rStyle w:val="af7"/>
          <w:rFonts w:eastAsia="Guttman Hodes" w:hint="cs"/>
          <w:rtl/>
        </w:rPr>
        <w:t xml:space="preserve">(עי' אות </w:t>
      </w:r>
      <w:r w:rsidRPr="00B17028">
        <w:rPr>
          <w:rStyle w:val="af7"/>
          <w:rFonts w:eastAsia="Guttman Hodes"/>
          <w:rtl/>
        </w:rPr>
        <w:fldChar w:fldCharType="begin"/>
      </w:r>
      <w:r w:rsidRPr="00B17028">
        <w:rPr>
          <w:rStyle w:val="af7"/>
          <w:rFonts w:eastAsia="Guttman Hodes"/>
          <w:rtl/>
        </w:rPr>
        <w:instrText xml:space="preserve"> </w:instrText>
      </w:r>
      <w:r w:rsidRPr="00B17028">
        <w:rPr>
          <w:rStyle w:val="af7"/>
          <w:rFonts w:eastAsia="Guttman Hodes" w:hint="cs"/>
        </w:rPr>
        <w:instrText>REF</w:instrText>
      </w:r>
      <w:r w:rsidRPr="00B17028">
        <w:rPr>
          <w:rStyle w:val="af7"/>
          <w:rFonts w:eastAsia="Guttman Hodes" w:hint="cs"/>
          <w:rtl/>
        </w:rPr>
        <w:instrText xml:space="preserve"> _</w:instrText>
      </w:r>
      <w:r w:rsidRPr="00B17028">
        <w:rPr>
          <w:rStyle w:val="af7"/>
          <w:rFonts w:eastAsia="Guttman Hodes" w:hint="cs"/>
        </w:rPr>
        <w:instrText>Ref57911397 \r \h</w:instrText>
      </w:r>
      <w:r w:rsidRPr="00B17028">
        <w:rPr>
          <w:rStyle w:val="af7"/>
          <w:rFonts w:eastAsia="Guttman Hodes"/>
          <w:rtl/>
        </w:rPr>
        <w:instrText xml:space="preserve"> </w:instrText>
      </w:r>
      <w:r w:rsidRPr="00B17028">
        <w:rPr>
          <w:rStyle w:val="af7"/>
          <w:rFonts w:eastAsia="Guttman Hodes"/>
          <w:rtl/>
        </w:rPr>
      </w:r>
      <w:r w:rsidRPr="00B17028">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B17028">
        <w:rPr>
          <w:rStyle w:val="af7"/>
          <w:rFonts w:eastAsia="Guttman Hodes"/>
          <w:rtl/>
        </w:rPr>
        <w:fldChar w:fldCharType="end"/>
      </w:r>
      <w:r>
        <w:rPr>
          <w:rFonts w:hint="cs"/>
          <w:rtl/>
        </w:rPr>
        <w:t xml:space="preserve"> דהא דמהני טענת קמי דידי זבנה מינך, רק כשיש למחזיק חזקת ג"ש, היינו באופן כשיש למערער עדים, דהא </w:t>
      </w:r>
      <w:r w:rsidRPr="00794290">
        <w:rPr>
          <w:rStyle w:val="af9"/>
          <w:rFonts w:hint="cs"/>
          <w:rtl/>
        </w:rPr>
        <w:t>הרי"ף</w:t>
      </w:r>
      <w:r>
        <w:rPr>
          <w:rFonts w:hint="cs"/>
          <w:rtl/>
        </w:rPr>
        <w:t xml:space="preserve"> </w:t>
      </w:r>
      <w:r w:rsidRPr="00794290">
        <w:rPr>
          <w:rStyle w:val="af9"/>
          <w:rFonts w:hint="cs"/>
          <w:rtl/>
        </w:rPr>
        <w:t>והרשב"ם</w:t>
      </w:r>
      <w:r>
        <w:rPr>
          <w:rFonts w:hint="cs"/>
          <w:rtl/>
        </w:rPr>
        <w:t xml:space="preserve"> ביארו את הגמ' בסוגיין, דאיירי כשאין למערער עדים שהייתה שלו, ויש רק הודאה של המחזיק דהייתה של המערער, ועוד דלא הוזכרו עדים הכא כלל, וכן הוכיח </w:t>
      </w:r>
      <w:r w:rsidRPr="002C0FF5">
        <w:rPr>
          <w:rStyle w:val="af9"/>
          <w:rFonts w:hint="cs"/>
          <w:rtl/>
        </w:rPr>
        <w:t>התומים</w:t>
      </w:r>
      <w:r>
        <w:rPr>
          <w:rFonts w:hint="cs"/>
          <w:rtl/>
        </w:rPr>
        <w:t xml:space="preserve"> </w:t>
      </w:r>
      <w:r w:rsidRPr="002C0FF5">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Ref59917850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w:t>
      </w:r>
      <w:r>
        <w:rPr>
          <w:rStyle w:val="af7"/>
          <w:rFonts w:eastAsia="Guttman Hodes"/>
          <w:rtl/>
        </w:rPr>
        <w:fldChar w:fldCharType="end"/>
      </w:r>
      <w:r>
        <w:rPr>
          <w:rStyle w:val="af7"/>
          <w:rFonts w:eastAsia="Guttman Hodes" w:hint="cs"/>
          <w:rtl/>
        </w:rPr>
        <w:t xml:space="preserve"> </w:t>
      </w:r>
      <w:r>
        <w:rPr>
          <w:rFonts w:hint="cs"/>
          <w:rtl/>
        </w:rPr>
        <w:t xml:space="preserve">מדברי </w:t>
      </w:r>
      <w:r w:rsidRPr="00794290">
        <w:rPr>
          <w:rStyle w:val="af9"/>
          <w:rFonts w:hint="cs"/>
          <w:rtl/>
        </w:rPr>
        <w:t>הרמב"ם</w:t>
      </w:r>
      <w:r>
        <w:rPr>
          <w:rFonts w:hint="cs"/>
          <w:rtl/>
        </w:rPr>
        <w:t xml:space="preserve"> </w:t>
      </w:r>
      <w:r w:rsidRPr="005A5D27">
        <w:rPr>
          <w:rStyle w:val="af7"/>
          <w:rFonts w:eastAsia="Guttman Hodes" w:hint="cs"/>
          <w:rtl/>
        </w:rPr>
        <w:t xml:space="preserve">(עי' אות </w:t>
      </w:r>
      <w:r w:rsidRPr="005A5D27">
        <w:rPr>
          <w:rStyle w:val="af7"/>
          <w:rFonts w:eastAsia="Guttman Hodes"/>
          <w:rtl/>
        </w:rPr>
        <w:fldChar w:fldCharType="begin"/>
      </w:r>
      <w:r w:rsidRPr="005A5D27">
        <w:rPr>
          <w:rStyle w:val="af7"/>
          <w:rFonts w:eastAsia="Guttman Hodes"/>
          <w:rtl/>
        </w:rPr>
        <w:instrText xml:space="preserve"> </w:instrText>
      </w:r>
      <w:r w:rsidRPr="005A5D27">
        <w:rPr>
          <w:rStyle w:val="af7"/>
          <w:rFonts w:eastAsia="Guttman Hodes" w:hint="cs"/>
        </w:rPr>
        <w:instrText>REF</w:instrText>
      </w:r>
      <w:r w:rsidRPr="005A5D27">
        <w:rPr>
          <w:rStyle w:val="af7"/>
          <w:rFonts w:eastAsia="Guttman Hodes" w:hint="cs"/>
          <w:rtl/>
        </w:rPr>
        <w:instrText xml:space="preserve"> _</w:instrText>
      </w:r>
      <w:r w:rsidRPr="005A5D27">
        <w:rPr>
          <w:rStyle w:val="af7"/>
          <w:rFonts w:eastAsia="Guttman Hodes" w:hint="cs"/>
        </w:rPr>
        <w:instrText>Ref59050161 \r \h</w:instrText>
      </w:r>
      <w:r w:rsidRPr="005A5D27">
        <w:rPr>
          <w:rStyle w:val="af7"/>
          <w:rFonts w:eastAsia="Guttman Hodes"/>
          <w:rtl/>
        </w:rPr>
        <w:instrText xml:space="preserve"> </w:instrText>
      </w:r>
      <w:r w:rsidRPr="005A5D27">
        <w:rPr>
          <w:rStyle w:val="af7"/>
          <w:rFonts w:eastAsia="Guttman Hodes"/>
          <w:rtl/>
        </w:rPr>
      </w:r>
      <w:r w:rsidRPr="005A5D27">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5A5D27">
        <w:rPr>
          <w:rStyle w:val="af7"/>
          <w:rFonts w:eastAsia="Guttman Hodes"/>
          <w:rtl/>
        </w:rPr>
        <w:fldChar w:fldCharType="end"/>
      </w:r>
      <w:r>
        <w:rPr>
          <w:rFonts w:hint="cs"/>
          <w:rtl/>
        </w:rPr>
        <w:t>.</w:t>
      </w:r>
      <w:bookmarkEnd w:id="9920"/>
    </w:p>
    <w:p w:rsidR="000E75A3" w:rsidRDefault="000E75A3" w:rsidP="000E75A3">
      <w:pPr>
        <w:pStyle w:val="a3"/>
        <w:rPr>
          <w:rtl/>
        </w:rPr>
      </w:pPr>
      <w:bookmarkStart w:id="9921" w:name="_Toc59620324"/>
      <w:bookmarkStart w:id="9922" w:name="_Toc59643596"/>
      <w:bookmarkStart w:id="9923" w:name="_Toc59741685"/>
      <w:bookmarkStart w:id="9924" w:name="_Toc59786820"/>
      <w:bookmarkStart w:id="9925" w:name="_Toc59802634"/>
      <w:bookmarkStart w:id="9926" w:name="_Toc59916195"/>
      <w:r>
        <w:rPr>
          <w:rFonts w:hint="cs"/>
          <w:rtl/>
        </w:rPr>
        <w:t>דחיית התומים לדיוק הש"ך ברשב"ם דכוונתו דהעדים לא יודעים שהמוכר קנה והמחזיק יודע</w:t>
      </w:r>
      <w:bookmarkEnd w:id="9921"/>
      <w:bookmarkEnd w:id="9922"/>
      <w:bookmarkEnd w:id="9923"/>
      <w:bookmarkEnd w:id="9924"/>
      <w:bookmarkEnd w:id="9925"/>
      <w:bookmarkEnd w:id="9926"/>
    </w:p>
    <w:p w:rsidR="000E75A3" w:rsidRDefault="000E75A3" w:rsidP="007E4E81">
      <w:pPr>
        <w:pStyle w:val="a0"/>
        <w:rPr>
          <w:rtl/>
        </w:rPr>
      </w:pPr>
      <w:bookmarkStart w:id="9927" w:name="_Ref59917801"/>
      <w:r>
        <w:rPr>
          <w:rFonts w:hint="cs"/>
          <w:rtl/>
        </w:rPr>
        <w:t xml:space="preserve">ובמה שדייק </w:t>
      </w:r>
      <w:r w:rsidRPr="00C92319">
        <w:rPr>
          <w:rStyle w:val="af9"/>
          <w:rFonts w:hint="cs"/>
          <w:rtl/>
        </w:rPr>
        <w:t xml:space="preserve">הש"ך </w:t>
      </w:r>
      <w:r w:rsidRPr="00C33029">
        <w:rPr>
          <w:rStyle w:val="af7"/>
          <w:rFonts w:eastAsia="Guttman Hodes" w:hint="cs"/>
          <w:rtl/>
        </w:rPr>
        <w:t xml:space="preserve">(עי' אות </w:t>
      </w:r>
      <w:r w:rsidRPr="00C33029">
        <w:rPr>
          <w:rStyle w:val="af7"/>
          <w:rFonts w:eastAsia="Guttman Hodes"/>
          <w:rtl/>
        </w:rPr>
        <w:fldChar w:fldCharType="begin"/>
      </w:r>
      <w:r w:rsidRPr="00C33029">
        <w:rPr>
          <w:rStyle w:val="af7"/>
          <w:rFonts w:eastAsia="Guttman Hodes"/>
          <w:rtl/>
        </w:rPr>
        <w:instrText xml:space="preserve"> </w:instrText>
      </w:r>
      <w:r w:rsidRPr="00C33029">
        <w:rPr>
          <w:rStyle w:val="af7"/>
          <w:rFonts w:eastAsia="Guttman Hodes" w:hint="cs"/>
        </w:rPr>
        <w:instrText>REF</w:instrText>
      </w:r>
      <w:r w:rsidRPr="00C33029">
        <w:rPr>
          <w:rStyle w:val="af7"/>
          <w:rFonts w:eastAsia="Guttman Hodes" w:hint="cs"/>
          <w:rtl/>
        </w:rPr>
        <w:instrText xml:space="preserve"> _</w:instrText>
      </w:r>
      <w:r w:rsidRPr="00C33029">
        <w:rPr>
          <w:rStyle w:val="af7"/>
          <w:rFonts w:eastAsia="Guttman Hodes" w:hint="cs"/>
        </w:rPr>
        <w:instrText>Ref59441724 \r \h</w:instrText>
      </w:r>
      <w:r w:rsidRPr="00C330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3029">
        <w:rPr>
          <w:rStyle w:val="af7"/>
          <w:rFonts w:eastAsia="Guttman Hodes"/>
          <w:rtl/>
        </w:rPr>
      </w:r>
      <w:r w:rsidRPr="00C33029">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C33029">
        <w:rPr>
          <w:rStyle w:val="af7"/>
          <w:rFonts w:eastAsia="Guttman Hodes"/>
          <w:rtl/>
        </w:rPr>
        <w:fldChar w:fldCharType="end"/>
      </w:r>
      <w:r>
        <w:rPr>
          <w:rFonts w:hint="cs"/>
          <w:rtl/>
        </w:rPr>
        <w:t xml:space="preserve"> </w:t>
      </w:r>
      <w:r w:rsidRPr="00EF571D">
        <w:rPr>
          <w:rFonts w:hint="cs"/>
          <w:rtl/>
        </w:rPr>
        <w:t>מהא דכתב</w:t>
      </w:r>
      <w:r>
        <w:rPr>
          <w:rStyle w:val="aff8"/>
          <w:rFonts w:hint="cs"/>
          <w:rtl/>
        </w:rPr>
        <w:t xml:space="preserve"> </w:t>
      </w:r>
      <w:r>
        <w:rPr>
          <w:rStyle w:val="af9"/>
          <w:rtl/>
        </w:rPr>
        <w:t>הרשב"ם</w:t>
      </w:r>
      <w:r>
        <w:rPr>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Ref59700742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Pr>
          <w:rStyle w:val="af7"/>
          <w:rFonts w:eastAsia="Guttman Hodes"/>
          <w:rtl/>
        </w:rPr>
        <w:fldChar w:fldCharType="end"/>
      </w:r>
      <w:r>
        <w:rPr>
          <w:rStyle w:val="af7"/>
          <w:rFonts w:eastAsia="Guttman Hodes" w:hint="cs"/>
          <w:rtl/>
        </w:rPr>
        <w:t xml:space="preserve"> </w:t>
      </w:r>
      <w:r>
        <w:rPr>
          <w:rtl/>
        </w:rPr>
        <w:t xml:space="preserve">דכיון דבסוגיין המחזיק </w:t>
      </w:r>
      <w:r>
        <w:rPr>
          <w:rFonts w:hint="cs"/>
          <w:rtl/>
        </w:rPr>
        <w:t>"</w:t>
      </w:r>
      <w:r>
        <w:rPr>
          <w:rtl/>
        </w:rPr>
        <w:t>אינו יודע</w:t>
      </w:r>
      <w:r>
        <w:rPr>
          <w:rFonts w:hint="cs"/>
          <w:rtl/>
        </w:rPr>
        <w:t>"</w:t>
      </w:r>
      <w:r>
        <w:rPr>
          <w:rtl/>
        </w:rPr>
        <w:t xml:space="preserve"> אם </w:t>
      </w:r>
      <w:r>
        <w:rPr>
          <w:rFonts w:hint="cs"/>
          <w:rtl/>
        </w:rPr>
        <w:t xml:space="preserve">המוכר </w:t>
      </w:r>
      <w:r>
        <w:rPr>
          <w:rtl/>
        </w:rPr>
        <w:t xml:space="preserve">קנאה מהמערער, </w:t>
      </w:r>
      <w:r>
        <w:rPr>
          <w:rFonts w:hint="cs"/>
          <w:rtl/>
        </w:rPr>
        <w:t xml:space="preserve">דמשמע דבקמי דידי דהמחזיק יודע שהמוכר קנה מהמערער, מהני אעפ"י שאין לו חזקת ג"ש, כתב </w:t>
      </w:r>
      <w:r w:rsidRPr="00C92319">
        <w:rPr>
          <w:rStyle w:val="af9"/>
          <w:rFonts w:hint="cs"/>
          <w:rtl/>
        </w:rPr>
        <w:t>התומים</w:t>
      </w:r>
      <w:r w:rsidRPr="00C33029">
        <w:rPr>
          <w:rStyle w:val="af7"/>
          <w:rFonts w:eastAsia="Guttman Hodes" w:hint="cs"/>
          <w:rtl/>
        </w:rPr>
        <w:t xml:space="preserve"> (סי' קמ"ו ס"ק ט"ז ד"ה מיהו) </w:t>
      </w:r>
      <w:r>
        <w:rPr>
          <w:rFonts w:hint="cs"/>
          <w:rtl/>
        </w:rPr>
        <w:t xml:space="preserve">דאפש"ל שיש ט"ס בדברי </w:t>
      </w:r>
      <w:r w:rsidRPr="00C92319">
        <w:rPr>
          <w:rStyle w:val="af9"/>
          <w:rFonts w:hint="cs"/>
          <w:rtl/>
        </w:rPr>
        <w:t>הרשב"ם</w:t>
      </w:r>
      <w:r>
        <w:rPr>
          <w:rFonts w:hint="cs"/>
          <w:rtl/>
        </w:rPr>
        <w:t xml:space="preserve"> וצריך לגרוס בדבריו "אינם יודעים"</w:t>
      </w:r>
      <w:r w:rsidRPr="003B7F24">
        <w:rPr>
          <w:rtl/>
        </w:rPr>
        <w:t xml:space="preserve"> </w:t>
      </w:r>
      <w:r>
        <w:rPr>
          <w:rtl/>
        </w:rPr>
        <w:t>אם לקח אותה אם לאו</w:t>
      </w:r>
      <w:r>
        <w:rPr>
          <w:rFonts w:hint="cs"/>
          <w:rtl/>
        </w:rPr>
        <w:t xml:space="preserve">, וביאר </w:t>
      </w:r>
      <w:r w:rsidRPr="00765B8D">
        <w:rPr>
          <w:rStyle w:val="af9"/>
          <w:rFonts w:hint="cs"/>
          <w:rtl/>
        </w:rPr>
        <w:t>התומים</w:t>
      </w:r>
      <w:r>
        <w:rPr>
          <w:rFonts w:hint="cs"/>
          <w:rtl/>
        </w:rPr>
        <w:t xml:space="preserve"> דכוונת </w:t>
      </w:r>
      <w:r w:rsidRPr="00765B8D">
        <w:rPr>
          <w:rStyle w:val="af9"/>
          <w:rFonts w:hint="cs"/>
          <w:rtl/>
        </w:rPr>
        <w:t>הרשב"ם</w:t>
      </w:r>
      <w:r>
        <w:rPr>
          <w:rFonts w:hint="cs"/>
          <w:rtl/>
        </w:rPr>
        <w:t xml:space="preserve"> לומר דהעדים שמעידים דדר בה המוכר חד יומא, אינם יודעים אם המוכר קנה מהמערער או לא, [</w:t>
      </w:r>
      <w:r w:rsidRPr="00135E0A">
        <w:rPr>
          <w:rStyle w:val="afb"/>
          <w:rFonts w:hint="cs"/>
          <w:rtl/>
        </w:rPr>
        <w:t xml:space="preserve">וא"כ א"א לדייק </w:t>
      </w:r>
      <w:r w:rsidRPr="00D95681">
        <w:rPr>
          <w:rStyle w:val="affa"/>
          <w:rFonts w:hint="cs"/>
          <w:rtl/>
        </w:rPr>
        <w:t>מהרשב"ם</w:t>
      </w:r>
      <w:r w:rsidRPr="00135E0A">
        <w:rPr>
          <w:rStyle w:val="afb"/>
          <w:rFonts w:hint="cs"/>
          <w:rtl/>
        </w:rPr>
        <w:t xml:space="preserve"> כדדייק </w:t>
      </w:r>
      <w:r w:rsidRPr="00D95681">
        <w:rPr>
          <w:rStyle w:val="affa"/>
          <w:rFonts w:hint="cs"/>
          <w:rtl/>
        </w:rPr>
        <w:t>הש"ך</w:t>
      </w:r>
      <w:r w:rsidRPr="00135E0A">
        <w:rPr>
          <w:rStyle w:val="afb"/>
          <w:rFonts w:hint="cs"/>
          <w:rtl/>
        </w:rPr>
        <w:t xml:space="preserve"> דאם המחזיק טוען בודאי דהמוכר קנה מהמערער אין מוציאין ממנו],</w:t>
      </w:r>
      <w:r>
        <w:rPr>
          <w:rFonts w:hint="cs"/>
          <w:rtl/>
        </w:rPr>
        <w:t xml:space="preserve"> וכתב </w:t>
      </w:r>
      <w:r w:rsidRPr="00765B8D">
        <w:rPr>
          <w:rStyle w:val="af9"/>
          <w:rFonts w:hint="cs"/>
          <w:rtl/>
        </w:rPr>
        <w:t>התומים</w:t>
      </w:r>
      <w:r>
        <w:rPr>
          <w:rFonts w:hint="cs"/>
          <w:rtl/>
        </w:rPr>
        <w:t xml:space="preserve"> דהמשך לשון </w:t>
      </w:r>
      <w:r w:rsidRPr="00765B8D">
        <w:rPr>
          <w:rStyle w:val="af9"/>
          <w:rFonts w:hint="cs"/>
          <w:rtl/>
        </w:rPr>
        <w:t>הרשב"ם</w:t>
      </w:r>
      <w:r>
        <w:rPr>
          <w:rFonts w:hint="cs"/>
          <w:rtl/>
        </w:rPr>
        <w:t xml:space="preserve"> ג"כ משמע דאיירי בעדים. </w:t>
      </w:r>
      <w:r w:rsidRPr="00135E0A">
        <w:rPr>
          <w:rStyle w:val="afb"/>
          <w:rFonts w:hint="cs"/>
          <w:rtl/>
        </w:rPr>
        <w:t xml:space="preserve">[דכתב </w:t>
      </w:r>
      <w:r w:rsidRPr="00D95681">
        <w:rPr>
          <w:rStyle w:val="affa"/>
          <w:rFonts w:hint="cs"/>
          <w:rtl/>
        </w:rPr>
        <w:t>הרשב"ם</w:t>
      </w:r>
      <w:r w:rsidRPr="00135E0A">
        <w:rPr>
          <w:rStyle w:val="afb"/>
          <w:rFonts w:hint="cs"/>
          <w:rtl/>
        </w:rPr>
        <w:t xml:space="preserve"> "</w:t>
      </w:r>
      <w:r w:rsidRPr="00135E0A">
        <w:rPr>
          <w:rStyle w:val="afb"/>
          <w:rtl/>
        </w:rPr>
        <w:t xml:space="preserve">אבל אין יודע אם לקח אותה אם לאו </w:t>
      </w:r>
      <w:r w:rsidRPr="00135E0A">
        <w:rPr>
          <w:rStyle w:val="afb"/>
          <w:rFonts w:hint="cs"/>
          <w:rtl/>
        </w:rPr>
        <w:t>"</w:t>
      </w:r>
      <w:r w:rsidRPr="00135E0A">
        <w:rPr>
          <w:rStyle w:val="afb"/>
          <w:rtl/>
        </w:rPr>
        <w:t>אינו מועיל כלום</w:t>
      </w:r>
      <w:r w:rsidRPr="00135E0A">
        <w:rPr>
          <w:rStyle w:val="afb"/>
          <w:rFonts w:hint="cs"/>
          <w:rtl/>
        </w:rPr>
        <w:t>", ומשמע דכוונתו דעדות העדים שהעידו על חד יומא, אינו מועיל כלום, ולא קאי על ידיעת המחזיק כלל]</w:t>
      </w:r>
      <w:r>
        <w:rPr>
          <w:rStyle w:val="afb"/>
          <w:rFonts w:hint="cs"/>
          <w:rtl/>
        </w:rPr>
        <w:t>.</w:t>
      </w:r>
      <w:bookmarkEnd w:id="9927"/>
    </w:p>
    <w:p w:rsidR="000E75A3" w:rsidRDefault="000E75A3" w:rsidP="000E75A3">
      <w:pPr>
        <w:pStyle w:val="afe"/>
        <w:rPr>
          <w:rtl/>
        </w:rPr>
      </w:pPr>
      <w:bookmarkStart w:id="9928" w:name="_Toc59741686"/>
      <w:bookmarkStart w:id="9929" w:name="_Toc59786821"/>
      <w:bookmarkStart w:id="9930" w:name="_Toc59802635"/>
      <w:bookmarkStart w:id="9931" w:name="_Toc59916196"/>
      <w:bookmarkStart w:id="9932" w:name="_Toc59620325"/>
      <w:bookmarkStart w:id="9933" w:name="_Toc59643597"/>
      <w:r>
        <w:rPr>
          <w:rFonts w:hint="cs"/>
          <w:rtl/>
        </w:rPr>
        <w:t>ד' הראשונים דבקמי דידי א"צ חזקה</w:t>
      </w:r>
      <w:bookmarkEnd w:id="9928"/>
      <w:bookmarkEnd w:id="9929"/>
      <w:bookmarkEnd w:id="9930"/>
      <w:bookmarkEnd w:id="9931"/>
    </w:p>
    <w:p w:rsidR="000E75A3" w:rsidRDefault="000E75A3" w:rsidP="000E75A3">
      <w:pPr>
        <w:pStyle w:val="1"/>
        <w:rPr>
          <w:rtl/>
        </w:rPr>
      </w:pPr>
      <w:bookmarkStart w:id="9934" w:name="_Toc59643618"/>
      <w:bookmarkStart w:id="9935" w:name="_Toc59741687"/>
      <w:bookmarkStart w:id="9936" w:name="_Toc59786822"/>
      <w:bookmarkStart w:id="9937" w:name="_Toc59802636"/>
      <w:bookmarkStart w:id="9938" w:name="_Toc59916197"/>
      <w:bookmarkStart w:id="9939" w:name="_Toc58325033"/>
      <w:bookmarkStart w:id="9940" w:name="_Toc58359171"/>
      <w:bookmarkStart w:id="9941" w:name="_Toc58409432"/>
      <w:bookmarkStart w:id="9942" w:name="_Toc58432674"/>
      <w:bookmarkStart w:id="9943" w:name="_Toc58532488"/>
      <w:bookmarkStart w:id="9944" w:name="_Toc58580107"/>
      <w:bookmarkStart w:id="9945" w:name="_Toc59113252"/>
      <w:bookmarkStart w:id="9946" w:name="_Toc58144897"/>
      <w:r>
        <w:rPr>
          <w:rFonts w:hint="cs"/>
          <w:rtl/>
        </w:rPr>
        <w:t>דעת התוס'</w:t>
      </w:r>
      <w:bookmarkEnd w:id="9934"/>
      <w:r>
        <w:rPr>
          <w:rFonts w:hint="cs"/>
          <w:rtl/>
        </w:rPr>
        <w:t xml:space="preserve"> דבקמי דידי א"צ חזקה דנאמן במיגו דלהד"ם</w:t>
      </w:r>
      <w:bookmarkEnd w:id="9935"/>
      <w:bookmarkEnd w:id="9936"/>
      <w:bookmarkEnd w:id="9937"/>
      <w:bookmarkEnd w:id="9938"/>
      <w:r>
        <w:rPr>
          <w:rFonts w:hint="cs"/>
          <w:rtl/>
        </w:rPr>
        <w:t xml:space="preserve"> </w:t>
      </w:r>
    </w:p>
    <w:p w:rsidR="000E75A3" w:rsidRPr="00842D6A" w:rsidRDefault="000E75A3" w:rsidP="000E75A3">
      <w:pPr>
        <w:pStyle w:val="a3"/>
        <w:rPr>
          <w:rtl/>
        </w:rPr>
      </w:pPr>
      <w:bookmarkStart w:id="9947" w:name="_Toc59741688"/>
      <w:bookmarkStart w:id="9948" w:name="_Toc59786823"/>
      <w:bookmarkStart w:id="9949" w:name="_Toc59802637"/>
      <w:bookmarkStart w:id="9950" w:name="_Toc59916198"/>
      <w:r>
        <w:rPr>
          <w:rFonts w:hint="cs"/>
          <w:rtl/>
        </w:rPr>
        <w:t>דברי הטור דמבואר בתוס' דכשאין למערער עדים נאמן בקמי דידי אף בלא חזקה במיגו דלהד"ם</w:t>
      </w:r>
      <w:bookmarkEnd w:id="9947"/>
      <w:bookmarkEnd w:id="9948"/>
      <w:bookmarkEnd w:id="9949"/>
      <w:bookmarkEnd w:id="9950"/>
    </w:p>
    <w:p w:rsidR="000E75A3" w:rsidRDefault="000E75A3" w:rsidP="007E4E81">
      <w:pPr>
        <w:pStyle w:val="a0"/>
        <w:rPr>
          <w:rStyle w:val="afb"/>
          <w:rtl/>
        </w:rPr>
      </w:pPr>
      <w:bookmarkStart w:id="9951" w:name="_Ref57806033"/>
      <w:bookmarkStart w:id="9952" w:name="_Ref59724012"/>
      <w:r>
        <w:rPr>
          <w:rFonts w:hint="cs"/>
          <w:rtl/>
        </w:rPr>
        <w:t xml:space="preserve">במ"ש </w:t>
      </w:r>
      <w:r w:rsidRPr="00CD408B">
        <w:rPr>
          <w:rStyle w:val="af9"/>
          <w:rFonts w:hint="cs"/>
          <w:rtl/>
        </w:rPr>
        <w:t>הרשב"ם</w:t>
      </w:r>
      <w:r>
        <w:rPr>
          <w:rFonts w:hint="cs"/>
          <w:rtl/>
        </w:rPr>
        <w:t xml:space="preserve"> </w:t>
      </w:r>
      <w:r w:rsidRPr="0063421C">
        <w:rPr>
          <w:rStyle w:val="af7"/>
          <w:rFonts w:eastAsia="Guttman Hodes" w:hint="cs"/>
          <w:rtl/>
        </w:rPr>
        <w:t xml:space="preserve">(עי' אות </w:t>
      </w:r>
      <w:r w:rsidRPr="0063421C">
        <w:rPr>
          <w:rStyle w:val="af7"/>
          <w:rFonts w:eastAsia="Guttman Hodes"/>
          <w:rtl/>
        </w:rPr>
        <w:fldChar w:fldCharType="begin"/>
      </w:r>
      <w:r w:rsidRPr="0063421C">
        <w:rPr>
          <w:rStyle w:val="af7"/>
          <w:rFonts w:eastAsia="Guttman Hodes"/>
          <w:rtl/>
        </w:rPr>
        <w:instrText xml:space="preserve"> </w:instrText>
      </w:r>
      <w:r w:rsidRPr="0063421C">
        <w:rPr>
          <w:rStyle w:val="af7"/>
          <w:rFonts w:eastAsia="Guttman Hodes" w:hint="cs"/>
        </w:rPr>
        <w:instrText>REF</w:instrText>
      </w:r>
      <w:r w:rsidRPr="0063421C">
        <w:rPr>
          <w:rStyle w:val="af7"/>
          <w:rFonts w:eastAsia="Guttman Hodes" w:hint="cs"/>
          <w:rtl/>
        </w:rPr>
        <w:instrText xml:space="preserve"> _</w:instrText>
      </w:r>
      <w:r w:rsidRPr="0063421C">
        <w:rPr>
          <w:rStyle w:val="af7"/>
          <w:rFonts w:eastAsia="Guttman Hodes" w:hint="cs"/>
        </w:rPr>
        <w:instrText>Ref59546095 \r \h</w:instrText>
      </w:r>
      <w:r w:rsidRPr="0063421C">
        <w:rPr>
          <w:rStyle w:val="af7"/>
          <w:rFonts w:eastAsia="Guttman Hodes"/>
          <w:rtl/>
        </w:rPr>
        <w:instrText xml:space="preserve"> </w:instrText>
      </w:r>
      <w:r w:rsidRPr="0063421C">
        <w:rPr>
          <w:rStyle w:val="af7"/>
          <w:rFonts w:eastAsia="Guttman Hodes"/>
          <w:rtl/>
        </w:rPr>
      </w:r>
      <w:r w:rsidRPr="0063421C">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63421C">
        <w:rPr>
          <w:rStyle w:val="af7"/>
          <w:rFonts w:eastAsia="Guttman Hodes"/>
          <w:rtl/>
        </w:rPr>
        <w:fldChar w:fldCharType="end"/>
      </w:r>
      <w:r>
        <w:rPr>
          <w:rFonts w:hint="cs"/>
          <w:rtl/>
        </w:rPr>
        <w:t xml:space="preserve"> דאם החזיק בה ג"ש, וטען קמי דידי זבנה מינך, נאמן במיגו דהיה טוען שהוא עצמו קנה מהמערער, וכן במ"ש </w:t>
      </w:r>
      <w:r w:rsidRPr="00CD408B">
        <w:rPr>
          <w:rStyle w:val="af9"/>
          <w:rFonts w:hint="cs"/>
          <w:rtl/>
        </w:rPr>
        <w:t>הרשב"ם</w:t>
      </w:r>
      <w:r>
        <w:rPr>
          <w:rFonts w:hint="cs"/>
          <w:rtl/>
        </w:rPr>
        <w:t xml:space="preserve"> </w:t>
      </w:r>
      <w:r w:rsidRPr="0063421C">
        <w:rPr>
          <w:rStyle w:val="af7"/>
          <w:rFonts w:eastAsia="Guttman Hodes" w:hint="cs"/>
          <w:rtl/>
        </w:rPr>
        <w:t xml:space="preserve">(עי' אות </w:t>
      </w:r>
      <w:r w:rsidRPr="0063421C">
        <w:rPr>
          <w:rStyle w:val="af7"/>
          <w:rFonts w:eastAsia="Guttman Hodes"/>
          <w:rtl/>
        </w:rPr>
        <w:fldChar w:fldCharType="begin"/>
      </w:r>
      <w:r w:rsidRPr="0063421C">
        <w:rPr>
          <w:rStyle w:val="af7"/>
          <w:rFonts w:eastAsia="Guttman Hodes"/>
          <w:rtl/>
        </w:rPr>
        <w:instrText xml:space="preserve"> </w:instrText>
      </w:r>
      <w:r w:rsidRPr="0063421C">
        <w:rPr>
          <w:rStyle w:val="af7"/>
          <w:rFonts w:eastAsia="Guttman Hodes" w:hint="cs"/>
        </w:rPr>
        <w:instrText>REF</w:instrText>
      </w:r>
      <w:r w:rsidRPr="0063421C">
        <w:rPr>
          <w:rStyle w:val="af7"/>
          <w:rFonts w:eastAsia="Guttman Hodes" w:hint="cs"/>
          <w:rtl/>
        </w:rPr>
        <w:instrText xml:space="preserve"> _</w:instrText>
      </w:r>
      <w:r w:rsidRPr="0063421C">
        <w:rPr>
          <w:rStyle w:val="af7"/>
          <w:rFonts w:eastAsia="Guttman Hodes" w:hint="cs"/>
        </w:rPr>
        <w:instrText>Ref59550435 \r \h</w:instrText>
      </w:r>
      <w:r w:rsidRPr="0063421C">
        <w:rPr>
          <w:rStyle w:val="af7"/>
          <w:rFonts w:eastAsia="Guttman Hodes"/>
          <w:rtl/>
        </w:rPr>
        <w:instrText xml:space="preserve"> </w:instrText>
      </w:r>
      <w:r w:rsidRPr="0063421C">
        <w:rPr>
          <w:rStyle w:val="af7"/>
          <w:rFonts w:eastAsia="Guttman Hodes"/>
          <w:rtl/>
        </w:rPr>
      </w:r>
      <w:r w:rsidRPr="0063421C">
        <w:rPr>
          <w:rStyle w:val="af7"/>
          <w:rFonts w:eastAsia="Guttman Hodes"/>
          <w:rtl/>
        </w:rPr>
        <w:fldChar w:fldCharType="separate"/>
      </w:r>
      <w:r w:rsidR="00265073">
        <w:rPr>
          <w:rStyle w:val="af7"/>
          <w:rFonts w:eastAsia="Guttman Hodes"/>
          <w:cs/>
        </w:rPr>
        <w:t>‎</w:t>
      </w:r>
      <w:r w:rsidR="00265073">
        <w:rPr>
          <w:rStyle w:val="af7"/>
          <w:rFonts w:eastAsia="Guttman Hodes"/>
          <w:rtl/>
        </w:rPr>
        <w:t>כב)</w:t>
      </w:r>
      <w:r w:rsidRPr="0063421C">
        <w:rPr>
          <w:rStyle w:val="af7"/>
          <w:rFonts w:eastAsia="Guttman Hodes"/>
          <w:rtl/>
        </w:rPr>
        <w:fldChar w:fldCharType="end"/>
      </w:r>
      <w:r>
        <w:rPr>
          <w:rFonts w:hint="cs"/>
          <w:rtl/>
        </w:rPr>
        <w:t xml:space="preserve"> דכשיש לו עדים שהמוכר החזיק בה חד יומא, נאמן, כדאיתא בגמ' לקמן </w:t>
      </w:r>
      <w:r w:rsidRPr="0063421C">
        <w:rPr>
          <w:rStyle w:val="af7"/>
          <w:rFonts w:eastAsia="Guttman Hodes" w:hint="cs"/>
          <w:rtl/>
        </w:rPr>
        <w:t>(מא:)</w:t>
      </w:r>
      <w:r>
        <w:rPr>
          <w:rFonts w:hint="cs"/>
          <w:rtl/>
        </w:rPr>
        <w:t xml:space="preserve">, וכתבו </w:t>
      </w:r>
      <w:r w:rsidRPr="00CD408B">
        <w:rPr>
          <w:rStyle w:val="af9"/>
          <w:rFonts w:hint="cs"/>
          <w:rtl/>
        </w:rPr>
        <w:t>התוס'</w:t>
      </w:r>
      <w:r>
        <w:rPr>
          <w:rFonts w:hint="cs"/>
          <w:rtl/>
        </w:rPr>
        <w:t xml:space="preserve"> </w:t>
      </w:r>
      <w:r w:rsidRPr="0063421C">
        <w:rPr>
          <w:rStyle w:val="af7"/>
          <w:rFonts w:eastAsia="Guttman Hodes" w:hint="cs"/>
          <w:rtl/>
        </w:rPr>
        <w:t>(ריש ד"ה לאו קמודית)</w:t>
      </w:r>
      <w:r>
        <w:rPr>
          <w:rFonts w:hint="cs"/>
          <w:rtl/>
        </w:rPr>
        <w:t xml:space="preserve"> דאעפ"י דכן מבואר בגמ' לקמן, מ"מ בסוגיין משמע דאין למערער עדים, כיון שאמר למחזיק "לאו קא מודית</w:t>
      </w:r>
      <w:r>
        <w:rPr>
          <w:rtl/>
        </w:rPr>
        <w:t>"</w:t>
      </w:r>
      <w:r>
        <w:rPr>
          <w:rFonts w:hint="cs"/>
          <w:rtl/>
        </w:rPr>
        <w:t>, ולכן אם היה טוען המחזיק קמי דידי זבנה מינך, נאמן אעפ"י שאין לו חזקת ג"ש, במיגו דהיה טוען שלא הייתה של המערער מעולם</w:t>
      </w:r>
      <w:bookmarkEnd w:id="9951"/>
      <w:r>
        <w:rPr>
          <w:rFonts w:hint="cs"/>
          <w:rtl/>
        </w:rPr>
        <w:t>,</w:t>
      </w:r>
      <w:r w:rsidRPr="00501B4B">
        <w:rPr>
          <w:rFonts w:hint="cs"/>
          <w:rtl/>
        </w:rPr>
        <w:t xml:space="preserve"> </w:t>
      </w:r>
      <w:r>
        <w:rPr>
          <w:rFonts w:hint="cs"/>
          <w:rtl/>
        </w:rPr>
        <w:t>ו</w:t>
      </w:r>
      <w:r w:rsidRPr="002C69A0">
        <w:rPr>
          <w:rFonts w:hint="cs"/>
          <w:rtl/>
        </w:rPr>
        <w:t>כ</w:t>
      </w:r>
      <w:r>
        <w:rPr>
          <w:rFonts w:hint="cs"/>
          <w:rtl/>
        </w:rPr>
        <w:t>"כ</w:t>
      </w:r>
      <w:r w:rsidRPr="002C69A0">
        <w:rPr>
          <w:rFonts w:hint="cs"/>
          <w:rtl/>
        </w:rPr>
        <w:t xml:space="preserve"> </w:t>
      </w:r>
      <w:r w:rsidRPr="002C69A0">
        <w:rPr>
          <w:rStyle w:val="af9"/>
          <w:rFonts w:hint="cs"/>
          <w:rtl/>
        </w:rPr>
        <w:t>הטור</w:t>
      </w:r>
      <w:r w:rsidRPr="002C69A0">
        <w:rPr>
          <w:rFonts w:hint="cs"/>
          <w:rtl/>
        </w:rPr>
        <w:t xml:space="preserve"> </w:t>
      </w:r>
      <w:r w:rsidRPr="002C69A0">
        <w:rPr>
          <w:rStyle w:val="af7"/>
          <w:rFonts w:eastAsia="Guttman Hodes" w:hint="cs"/>
          <w:rtl/>
        </w:rPr>
        <w:t>(סי' קמ"ו י"ג)</w:t>
      </w:r>
      <w:r w:rsidRPr="002C69A0">
        <w:rPr>
          <w:rFonts w:hint="cs"/>
          <w:rtl/>
        </w:rPr>
        <w:t xml:space="preserve"> </w:t>
      </w:r>
      <w:r>
        <w:rPr>
          <w:rFonts w:hint="cs"/>
          <w:rtl/>
        </w:rPr>
        <w:t>בשם</w:t>
      </w:r>
      <w:r w:rsidRPr="002C69A0">
        <w:rPr>
          <w:rFonts w:hint="cs"/>
          <w:rtl/>
        </w:rPr>
        <w:t xml:space="preserve"> </w:t>
      </w:r>
      <w:r w:rsidRPr="002C69A0">
        <w:rPr>
          <w:rStyle w:val="af9"/>
          <w:rFonts w:hint="cs"/>
          <w:rtl/>
        </w:rPr>
        <w:t>ר"י</w:t>
      </w:r>
      <w:r w:rsidRPr="002C69A0">
        <w:rPr>
          <w:rFonts w:hint="cs"/>
          <w:rtl/>
        </w:rPr>
        <w:t xml:space="preserve"> </w:t>
      </w:r>
      <w:r>
        <w:rPr>
          <w:rFonts w:hint="cs"/>
          <w:rtl/>
        </w:rPr>
        <w:t>דבקמי דידי זבנה מינך</w:t>
      </w:r>
      <w:r w:rsidRPr="002C69A0">
        <w:rPr>
          <w:rFonts w:hint="cs"/>
          <w:rtl/>
        </w:rPr>
        <w:t xml:space="preserve"> נאמן</w:t>
      </w:r>
      <w:r w:rsidRPr="00501B4B">
        <w:rPr>
          <w:rFonts w:hint="cs"/>
          <w:rtl/>
        </w:rPr>
        <w:t xml:space="preserve"> </w:t>
      </w:r>
      <w:r>
        <w:rPr>
          <w:rFonts w:hint="cs"/>
          <w:rtl/>
        </w:rPr>
        <w:t xml:space="preserve">במיגו, אף כשאין לו חזקת ג"ש, </w:t>
      </w:r>
      <w:bookmarkStart w:id="9953" w:name="_Ref58146946"/>
      <w:r w:rsidRPr="0015754B">
        <w:rPr>
          <w:rStyle w:val="afb"/>
          <w:rFonts w:hint="cs"/>
          <w:rtl/>
        </w:rPr>
        <w:t xml:space="preserve">[אך כתבו </w:t>
      </w:r>
      <w:r w:rsidRPr="0015754B">
        <w:rPr>
          <w:rStyle w:val="affa"/>
          <w:rFonts w:hint="cs"/>
          <w:rtl/>
        </w:rPr>
        <w:t xml:space="preserve">התוס' </w:t>
      </w:r>
      <w:r w:rsidRPr="0015754B">
        <w:rPr>
          <w:rStyle w:val="afb"/>
          <w:rFonts w:hint="cs"/>
          <w:rtl/>
        </w:rPr>
        <w:t>דכיון שהודה המחזיק שהקרקע הייתה של המערער אינו נאמן במיגו, דמיגו למפרע לא אמרינן</w:t>
      </w:r>
      <w:bookmarkEnd w:id="9953"/>
      <w:r w:rsidRPr="0015754B">
        <w:rPr>
          <w:rStyle w:val="afb"/>
          <w:rFonts w:hint="cs"/>
          <w:rtl/>
        </w:rPr>
        <w:t>, דב</w:t>
      </w:r>
      <w:r w:rsidRPr="00173682">
        <w:rPr>
          <w:rStyle w:val="afb"/>
          <w:rFonts w:hint="cs"/>
          <w:rtl/>
        </w:rPr>
        <w:t xml:space="preserve">רי </w:t>
      </w:r>
      <w:r w:rsidRPr="00173682">
        <w:rPr>
          <w:rStyle w:val="affa"/>
          <w:rFonts w:hint="cs"/>
          <w:rtl/>
        </w:rPr>
        <w:t>התוס'</w:t>
      </w:r>
      <w:r w:rsidRPr="00173682">
        <w:rPr>
          <w:rStyle w:val="afb"/>
          <w:rFonts w:hint="cs"/>
          <w:rtl/>
        </w:rPr>
        <w:t xml:space="preserve"> בדין קמי דידי דר בה חד יומא</w:t>
      </w:r>
      <w:r>
        <w:rPr>
          <w:rStyle w:val="afb"/>
          <w:rFonts w:hint="cs"/>
          <w:rtl/>
        </w:rPr>
        <w:t>,</w:t>
      </w:r>
      <w:r w:rsidRPr="00173682">
        <w:rPr>
          <w:rStyle w:val="afb"/>
          <w:rFonts w:hint="cs"/>
          <w:rtl/>
        </w:rPr>
        <w:t xml:space="preserve"> ובדין מיגו למפרע, </w:t>
      </w:r>
      <w:r w:rsidR="00191986">
        <w:rPr>
          <w:rStyle w:val="afb"/>
          <w:rFonts w:hint="cs"/>
          <w:rtl/>
        </w:rPr>
        <w:t>ה</w:t>
      </w:r>
      <w:r w:rsidRPr="00173682">
        <w:rPr>
          <w:rStyle w:val="afb"/>
          <w:rFonts w:hint="cs"/>
          <w:rtl/>
        </w:rPr>
        <w:t xml:space="preserve">ובאו </w:t>
      </w:r>
      <w:r w:rsidR="00191986">
        <w:rPr>
          <w:rStyle w:val="afb"/>
          <w:rFonts w:hint="cs"/>
          <w:rtl/>
        </w:rPr>
        <w:t>באריכות בסימן י"א</w:t>
      </w:r>
      <w:r w:rsidRPr="00173682">
        <w:rPr>
          <w:rStyle w:val="afb"/>
          <w:rFonts w:hint="cs"/>
          <w:rtl/>
        </w:rPr>
        <w:t>]</w:t>
      </w:r>
      <w:r>
        <w:rPr>
          <w:rStyle w:val="afb"/>
          <w:rFonts w:hint="cs"/>
          <w:rtl/>
        </w:rPr>
        <w:t>,</w:t>
      </w:r>
      <w:r w:rsidRPr="00E3142E">
        <w:rPr>
          <w:rFonts w:hint="cs"/>
          <w:rtl/>
        </w:rPr>
        <w:t xml:space="preserve"> </w:t>
      </w:r>
      <w:r>
        <w:rPr>
          <w:rFonts w:hint="cs"/>
          <w:rtl/>
        </w:rPr>
        <w:t xml:space="preserve">ועי' בדברי </w:t>
      </w:r>
      <w:r w:rsidRPr="00E3142E">
        <w:rPr>
          <w:rStyle w:val="af9"/>
          <w:rFonts w:hint="cs"/>
          <w:rtl/>
        </w:rPr>
        <w:t xml:space="preserve">הדרישה </w:t>
      </w:r>
      <w:r w:rsidRPr="00E3142E">
        <w:rPr>
          <w:rStyle w:val="af7"/>
          <w:rFonts w:eastAsia="Guttman Hodes" w:hint="cs"/>
          <w:rtl/>
        </w:rPr>
        <w:t xml:space="preserve">(עי' אות </w:t>
      </w:r>
      <w:r w:rsidRPr="00E3142E">
        <w:rPr>
          <w:rStyle w:val="af7"/>
          <w:rFonts w:eastAsia="Guttman Hodes"/>
          <w:rtl/>
        </w:rPr>
        <w:fldChar w:fldCharType="begin"/>
      </w:r>
      <w:r w:rsidRPr="00E3142E">
        <w:rPr>
          <w:rStyle w:val="af7"/>
          <w:rFonts w:eastAsia="Guttman Hodes"/>
          <w:rtl/>
        </w:rPr>
        <w:instrText xml:space="preserve"> </w:instrText>
      </w:r>
      <w:r w:rsidRPr="00E3142E">
        <w:rPr>
          <w:rStyle w:val="af7"/>
          <w:rFonts w:eastAsia="Guttman Hodes" w:hint="cs"/>
        </w:rPr>
        <w:instrText>REF</w:instrText>
      </w:r>
      <w:r w:rsidRPr="00E3142E">
        <w:rPr>
          <w:rStyle w:val="af7"/>
          <w:rFonts w:eastAsia="Guttman Hodes" w:hint="cs"/>
          <w:rtl/>
        </w:rPr>
        <w:instrText xml:space="preserve"> _</w:instrText>
      </w:r>
      <w:r w:rsidRPr="00E3142E">
        <w:rPr>
          <w:rStyle w:val="af7"/>
          <w:rFonts w:eastAsia="Guttman Hodes" w:hint="cs"/>
        </w:rPr>
        <w:instrText>Ref59552913 \r \h</w:instrText>
      </w:r>
      <w:r w:rsidRPr="00E3142E">
        <w:rPr>
          <w:rStyle w:val="af7"/>
          <w:rFonts w:eastAsia="Guttman Hodes"/>
          <w:rtl/>
        </w:rPr>
        <w:instrText xml:space="preserve"> </w:instrText>
      </w:r>
      <w:r w:rsidRPr="00E3142E">
        <w:rPr>
          <w:rStyle w:val="af7"/>
          <w:rFonts w:eastAsia="Guttman Hodes"/>
          <w:rtl/>
        </w:rPr>
      </w:r>
      <w:r w:rsidRPr="00E3142E">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sidRPr="00E3142E">
        <w:rPr>
          <w:rStyle w:val="af7"/>
          <w:rFonts w:eastAsia="Guttman Hodes"/>
          <w:rtl/>
        </w:rPr>
        <w:fldChar w:fldCharType="end"/>
      </w:r>
      <w:r>
        <w:rPr>
          <w:rFonts w:hint="cs"/>
          <w:rtl/>
        </w:rPr>
        <w:t xml:space="preserve"> דכתב דמדברי </w:t>
      </w:r>
      <w:r w:rsidRPr="00E3142E">
        <w:rPr>
          <w:rStyle w:val="af9"/>
          <w:rFonts w:hint="cs"/>
          <w:rtl/>
        </w:rPr>
        <w:t>התוס'</w:t>
      </w:r>
      <w:r>
        <w:rPr>
          <w:rFonts w:hint="cs"/>
          <w:rtl/>
        </w:rPr>
        <w:t xml:space="preserve"> משמע דביארו בדעת </w:t>
      </w:r>
      <w:r w:rsidRPr="00E3142E">
        <w:rPr>
          <w:rStyle w:val="af9"/>
          <w:rFonts w:hint="cs"/>
          <w:rtl/>
        </w:rPr>
        <w:t>הרשב"ם</w:t>
      </w:r>
      <w:r>
        <w:rPr>
          <w:rFonts w:hint="cs"/>
          <w:rtl/>
        </w:rPr>
        <w:t xml:space="preserve"> דצריך חזקה, אבל </w:t>
      </w:r>
      <w:r w:rsidRPr="00E6118C">
        <w:rPr>
          <w:rStyle w:val="af9"/>
          <w:rFonts w:hint="cs"/>
          <w:rtl/>
        </w:rPr>
        <w:t>הש"ך</w:t>
      </w:r>
      <w:r>
        <w:rPr>
          <w:rFonts w:hint="cs"/>
          <w:rtl/>
        </w:rPr>
        <w:t xml:space="preserve"> </w:t>
      </w:r>
      <w:r w:rsidRPr="00E3142E">
        <w:rPr>
          <w:rStyle w:val="af7"/>
          <w:rFonts w:eastAsia="Guttman Hodes" w:hint="cs"/>
          <w:rtl/>
        </w:rPr>
        <w:t xml:space="preserve">(עי' אות </w:t>
      </w:r>
      <w:r w:rsidRPr="00E3142E">
        <w:rPr>
          <w:rStyle w:val="af7"/>
          <w:rFonts w:eastAsia="Guttman Hodes"/>
          <w:rtl/>
        </w:rPr>
        <w:fldChar w:fldCharType="begin"/>
      </w:r>
      <w:r w:rsidRPr="00E3142E">
        <w:rPr>
          <w:rStyle w:val="af7"/>
          <w:rFonts w:eastAsia="Guttman Hodes"/>
          <w:rtl/>
        </w:rPr>
        <w:instrText xml:space="preserve"> </w:instrText>
      </w:r>
      <w:r w:rsidRPr="00E3142E">
        <w:rPr>
          <w:rStyle w:val="af7"/>
          <w:rFonts w:eastAsia="Guttman Hodes" w:hint="cs"/>
        </w:rPr>
        <w:instrText>REF</w:instrText>
      </w:r>
      <w:r w:rsidRPr="00E3142E">
        <w:rPr>
          <w:rStyle w:val="af7"/>
          <w:rFonts w:eastAsia="Guttman Hodes" w:hint="cs"/>
          <w:rtl/>
        </w:rPr>
        <w:instrText xml:space="preserve"> _</w:instrText>
      </w:r>
      <w:r w:rsidRPr="00E3142E">
        <w:rPr>
          <w:rStyle w:val="af7"/>
          <w:rFonts w:eastAsia="Guttman Hodes" w:hint="cs"/>
        </w:rPr>
        <w:instrText>Ref59723801 \r \h</w:instrText>
      </w:r>
      <w:r w:rsidRPr="00E3142E">
        <w:rPr>
          <w:rStyle w:val="af7"/>
          <w:rFonts w:eastAsia="Guttman Hodes"/>
          <w:rtl/>
        </w:rPr>
        <w:instrText xml:space="preserve"> </w:instrText>
      </w:r>
      <w:r w:rsidRPr="00E3142E">
        <w:rPr>
          <w:rStyle w:val="af7"/>
          <w:rFonts w:eastAsia="Guttman Hodes"/>
          <w:rtl/>
        </w:rPr>
      </w:r>
      <w:r w:rsidRPr="00E3142E">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E3142E">
        <w:rPr>
          <w:rStyle w:val="af7"/>
          <w:rFonts w:eastAsia="Guttman Hodes"/>
          <w:rtl/>
        </w:rPr>
        <w:fldChar w:fldCharType="end"/>
      </w:r>
      <w:r>
        <w:rPr>
          <w:rFonts w:hint="cs"/>
          <w:rtl/>
        </w:rPr>
        <w:t xml:space="preserve"> כתב דמשמע מדברי</w:t>
      </w:r>
      <w:r w:rsidRPr="00E6118C">
        <w:rPr>
          <w:rStyle w:val="af9"/>
          <w:rFonts w:hint="cs"/>
          <w:rtl/>
        </w:rPr>
        <w:t xml:space="preserve"> </w:t>
      </w:r>
      <w:r w:rsidRPr="00CD408B">
        <w:rPr>
          <w:rStyle w:val="af9"/>
          <w:rFonts w:hint="cs"/>
          <w:rtl/>
        </w:rPr>
        <w:t>התוס'</w:t>
      </w:r>
      <w:r>
        <w:rPr>
          <w:rFonts w:hint="cs"/>
          <w:rtl/>
        </w:rPr>
        <w:t xml:space="preserve"> דביארו בדעת </w:t>
      </w:r>
      <w:r w:rsidRPr="00E6118C">
        <w:rPr>
          <w:rStyle w:val="af9"/>
          <w:rFonts w:hint="cs"/>
          <w:rtl/>
        </w:rPr>
        <w:t>הרשב"ם</w:t>
      </w:r>
      <w:r>
        <w:rPr>
          <w:rFonts w:hint="cs"/>
          <w:rtl/>
        </w:rPr>
        <w:t xml:space="preserve"> דא"צ חזקה.</w:t>
      </w:r>
      <w:bookmarkEnd w:id="9952"/>
    </w:p>
    <w:p w:rsidR="009335CD" w:rsidRPr="009335CD" w:rsidRDefault="009335CD" w:rsidP="009335CD">
      <w:pPr>
        <w:pStyle w:val="a3"/>
        <w:rPr>
          <w:rtl/>
        </w:rPr>
      </w:pPr>
    </w:p>
    <w:p w:rsidR="009335CD" w:rsidRPr="009335CD" w:rsidRDefault="009335CD" w:rsidP="009335CD">
      <w:pPr>
        <w:pStyle w:val="a3"/>
      </w:pPr>
    </w:p>
    <w:p w:rsidR="000E75A3" w:rsidRDefault="000E75A3" w:rsidP="000E75A3">
      <w:pPr>
        <w:pStyle w:val="1"/>
        <w:rPr>
          <w:rtl/>
        </w:rPr>
      </w:pPr>
      <w:bookmarkStart w:id="9954" w:name="_Toc59741689"/>
      <w:bookmarkStart w:id="9955" w:name="_Toc59786824"/>
      <w:bookmarkStart w:id="9956" w:name="_Toc59802638"/>
      <w:bookmarkStart w:id="9957" w:name="_Toc59916199"/>
      <w:bookmarkEnd w:id="9939"/>
      <w:bookmarkEnd w:id="9940"/>
      <w:bookmarkEnd w:id="9941"/>
      <w:bookmarkEnd w:id="9942"/>
      <w:bookmarkEnd w:id="9943"/>
      <w:bookmarkEnd w:id="9944"/>
      <w:bookmarkEnd w:id="9945"/>
      <w:bookmarkEnd w:id="9946"/>
      <w:r>
        <w:rPr>
          <w:rFonts w:hint="cs"/>
          <w:rtl/>
        </w:rPr>
        <w:t>דברי הראשונים דבקמי דידי א"צ חזקה דהפה שאסר</w:t>
      </w:r>
      <w:bookmarkEnd w:id="9954"/>
      <w:bookmarkEnd w:id="9955"/>
      <w:bookmarkEnd w:id="9956"/>
      <w:bookmarkEnd w:id="9957"/>
    </w:p>
    <w:p w:rsidR="000E75A3" w:rsidRDefault="000E75A3" w:rsidP="000E75A3">
      <w:pPr>
        <w:pStyle w:val="a3"/>
        <w:rPr>
          <w:rtl/>
        </w:rPr>
      </w:pPr>
      <w:bookmarkStart w:id="9958" w:name="_Toc59643616"/>
      <w:bookmarkStart w:id="9959" w:name="_Toc59741690"/>
      <w:bookmarkStart w:id="9960" w:name="_Toc59786825"/>
      <w:bookmarkStart w:id="9961" w:name="_Toc59802639"/>
      <w:bookmarkStart w:id="9962" w:name="_Toc59916200"/>
      <w:bookmarkStart w:id="9963" w:name="_Toc59136958"/>
      <w:bookmarkStart w:id="9964" w:name="_Toc59361650"/>
      <w:bookmarkStart w:id="9965" w:name="_Toc59464650"/>
      <w:bookmarkStart w:id="9966" w:name="_Toc59490147"/>
      <w:bookmarkStart w:id="9967" w:name="_Toc59620344"/>
      <w:bookmarkStart w:id="9968" w:name="_Toc59113238"/>
      <w:bookmarkStart w:id="9969" w:name="_Toc59136959"/>
      <w:bookmarkStart w:id="9970" w:name="_Toc59361651"/>
      <w:bookmarkStart w:id="9971" w:name="_Toc59464651"/>
      <w:bookmarkStart w:id="9972" w:name="_Toc59490148"/>
      <w:bookmarkStart w:id="9973" w:name="_Toc59136957"/>
      <w:bookmarkStart w:id="9974" w:name="_Toc59361649"/>
      <w:bookmarkStart w:id="9975" w:name="_Toc59464649"/>
      <w:r>
        <w:rPr>
          <w:rFonts w:hint="cs"/>
          <w:rtl/>
        </w:rPr>
        <w:t>דברי רבינו יונה דבלא חזקה נאמן מדין פה שאסר כשטוען מינך זבינתה או קמי דידי</w:t>
      </w:r>
      <w:bookmarkEnd w:id="9958"/>
      <w:bookmarkEnd w:id="9959"/>
      <w:bookmarkEnd w:id="9960"/>
      <w:bookmarkEnd w:id="9961"/>
      <w:bookmarkEnd w:id="9962"/>
    </w:p>
    <w:p w:rsidR="000E75A3" w:rsidRDefault="000E75A3" w:rsidP="007E4E81">
      <w:pPr>
        <w:pStyle w:val="a0"/>
        <w:rPr>
          <w:rtl/>
        </w:rPr>
      </w:pPr>
      <w:bookmarkStart w:id="9976" w:name="_Ref59637500"/>
      <w:r>
        <w:rPr>
          <w:rFonts w:hint="cs"/>
          <w:rtl/>
        </w:rPr>
        <w:t xml:space="preserve">כתב </w:t>
      </w:r>
      <w:r w:rsidRPr="00CE2165">
        <w:rPr>
          <w:rStyle w:val="af9"/>
          <w:rFonts w:hint="cs"/>
          <w:rtl/>
        </w:rPr>
        <w:t>רבינו יונה</w:t>
      </w:r>
      <w:r w:rsidRPr="007074B2">
        <w:rPr>
          <w:rStyle w:val="af7"/>
          <w:rFonts w:eastAsia="Guttman Hodes" w:hint="cs"/>
          <w:rtl/>
        </w:rPr>
        <w:t xml:space="preserve"> (ד"ה ההוא) </w:t>
      </w:r>
      <w:r>
        <w:rPr>
          <w:rFonts w:hint="cs"/>
          <w:rtl/>
        </w:rPr>
        <w:t xml:space="preserve">דכשאין למחזיק חזקת ג"ש, ואין למערער עדים שהקרקע הייתה של אבותיו, והמחזיק מודה שהייתה של המערער, אם טוען המחזיק מינך זבינתה, או דטוען קמי דידי זבנה מינך, היה המחזיק נאמן מדין הפה שאסר, כיון שאין למערער עדים, וכתב </w:t>
      </w:r>
      <w:r w:rsidRPr="00E13482">
        <w:rPr>
          <w:rStyle w:val="af9"/>
          <w:rFonts w:hint="cs"/>
          <w:rtl/>
        </w:rPr>
        <w:t>רבינו יונה</w:t>
      </w:r>
      <w:r>
        <w:rPr>
          <w:rFonts w:hint="cs"/>
          <w:rtl/>
        </w:rPr>
        <w:t xml:space="preserve"> דכן ביאר </w:t>
      </w:r>
      <w:r w:rsidRPr="00177AB7">
        <w:rPr>
          <w:rStyle w:val="af9"/>
          <w:rFonts w:hint="cs"/>
          <w:rtl/>
        </w:rPr>
        <w:t>הרי"ף</w:t>
      </w:r>
      <w:r>
        <w:rPr>
          <w:rFonts w:hint="cs"/>
          <w:rtl/>
        </w:rPr>
        <w:t xml:space="preserve"> </w:t>
      </w:r>
      <w:r w:rsidRPr="00177AB7">
        <w:rPr>
          <w:rStyle w:val="af7"/>
          <w:rFonts w:eastAsia="Guttman Hodes" w:hint="cs"/>
          <w:rtl/>
        </w:rPr>
        <w:t xml:space="preserve">(עי' אות </w:t>
      </w:r>
      <w:r w:rsidRPr="00177AB7">
        <w:rPr>
          <w:rStyle w:val="af7"/>
          <w:rFonts w:eastAsia="Guttman Hodes"/>
          <w:rtl/>
        </w:rPr>
        <w:fldChar w:fldCharType="begin"/>
      </w:r>
      <w:r w:rsidRPr="00177AB7">
        <w:rPr>
          <w:rStyle w:val="af7"/>
          <w:rFonts w:eastAsia="Guttman Hodes"/>
          <w:rtl/>
        </w:rPr>
        <w:instrText xml:space="preserve"> </w:instrText>
      </w:r>
      <w:r w:rsidRPr="00177AB7">
        <w:rPr>
          <w:rStyle w:val="af7"/>
          <w:rFonts w:eastAsia="Guttman Hodes" w:hint="cs"/>
        </w:rPr>
        <w:instrText>REF</w:instrText>
      </w:r>
      <w:r w:rsidRPr="00177AB7">
        <w:rPr>
          <w:rStyle w:val="af7"/>
          <w:rFonts w:eastAsia="Guttman Hodes" w:hint="cs"/>
          <w:rtl/>
        </w:rPr>
        <w:instrText xml:space="preserve"> _</w:instrText>
      </w:r>
      <w:r w:rsidRPr="00177AB7">
        <w:rPr>
          <w:rStyle w:val="af7"/>
          <w:rFonts w:eastAsia="Guttman Hodes" w:hint="cs"/>
        </w:rPr>
        <w:instrText>Ref59615569 \r \h</w:instrText>
      </w:r>
      <w:r w:rsidRPr="00177AB7">
        <w:rPr>
          <w:rStyle w:val="af7"/>
          <w:rFonts w:eastAsia="Guttman Hodes"/>
          <w:rtl/>
        </w:rPr>
        <w:instrText xml:space="preserve"> </w:instrText>
      </w:r>
      <w:r w:rsidRPr="00177AB7">
        <w:rPr>
          <w:rStyle w:val="af7"/>
          <w:rFonts w:eastAsia="Guttman Hodes"/>
          <w:rtl/>
        </w:rPr>
      </w:r>
      <w:r w:rsidRPr="00177AB7">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177AB7">
        <w:rPr>
          <w:rStyle w:val="af7"/>
          <w:rFonts w:eastAsia="Guttman Hodes"/>
          <w:rtl/>
        </w:rPr>
        <w:fldChar w:fldCharType="end"/>
      </w:r>
      <w:r>
        <w:rPr>
          <w:rFonts w:hint="cs"/>
          <w:rtl/>
        </w:rPr>
        <w:t>.</w:t>
      </w:r>
      <w:bookmarkEnd w:id="9976"/>
    </w:p>
    <w:p w:rsidR="000E75A3" w:rsidRPr="000D599F" w:rsidRDefault="000E75A3" w:rsidP="000E75A3">
      <w:pPr>
        <w:pStyle w:val="a3"/>
        <w:rPr>
          <w:rtl/>
        </w:rPr>
      </w:pPr>
      <w:bookmarkStart w:id="9977" w:name="_Toc59620345"/>
      <w:bookmarkStart w:id="9978" w:name="_Toc59643617"/>
      <w:bookmarkStart w:id="9979" w:name="_Toc59741691"/>
      <w:bookmarkStart w:id="9980" w:name="_Toc59786826"/>
      <w:bookmarkStart w:id="9981" w:name="_Toc59802640"/>
      <w:bookmarkStart w:id="9982" w:name="_Toc59916201"/>
      <w:bookmarkEnd w:id="9963"/>
      <w:bookmarkEnd w:id="9964"/>
      <w:bookmarkEnd w:id="9965"/>
      <w:bookmarkEnd w:id="9966"/>
      <w:bookmarkEnd w:id="9967"/>
      <w:r>
        <w:rPr>
          <w:rFonts w:hint="cs"/>
          <w:rtl/>
        </w:rPr>
        <w:t>דברי הרשב"א והריטב"א דבאמר המחזיק קמי דידי זבנה נאמן מדין הפה שאסר דמינך זביתה</w:t>
      </w:r>
      <w:bookmarkEnd w:id="9968"/>
      <w:bookmarkEnd w:id="9969"/>
      <w:bookmarkEnd w:id="9970"/>
      <w:bookmarkEnd w:id="9971"/>
      <w:bookmarkEnd w:id="9972"/>
      <w:bookmarkEnd w:id="9977"/>
      <w:bookmarkEnd w:id="9978"/>
      <w:bookmarkEnd w:id="9979"/>
      <w:bookmarkEnd w:id="9980"/>
      <w:bookmarkEnd w:id="9981"/>
      <w:bookmarkEnd w:id="9982"/>
    </w:p>
    <w:p w:rsidR="000E75A3" w:rsidRDefault="000E75A3" w:rsidP="007E4E81">
      <w:pPr>
        <w:pStyle w:val="a0"/>
        <w:rPr>
          <w:rtl/>
        </w:rPr>
      </w:pPr>
      <w:bookmarkStart w:id="9983" w:name="_Ref59093170"/>
      <w:r>
        <w:rPr>
          <w:rFonts w:hint="cs"/>
          <w:rtl/>
        </w:rPr>
        <w:t>וכ</w:t>
      </w:r>
      <w:r w:rsidRPr="007349BF">
        <w:rPr>
          <w:rFonts w:hint="cs"/>
          <w:rtl/>
        </w:rPr>
        <w:t xml:space="preserve">"כ </w:t>
      </w:r>
      <w:r w:rsidRPr="007349BF">
        <w:rPr>
          <w:rStyle w:val="af9"/>
          <w:rFonts w:hint="cs"/>
          <w:rtl/>
        </w:rPr>
        <w:t xml:space="preserve">הרמב"ן </w:t>
      </w:r>
      <w:r w:rsidRPr="007349BF">
        <w:rPr>
          <w:rStyle w:val="af7"/>
          <w:rFonts w:eastAsia="Guttman Hodes" w:hint="cs"/>
          <w:rtl/>
        </w:rPr>
        <w:t xml:space="preserve">(עי' אות </w:t>
      </w:r>
      <w:r w:rsidRPr="007349BF">
        <w:rPr>
          <w:rStyle w:val="af7"/>
          <w:rFonts w:eastAsia="Guttman Hodes"/>
          <w:rtl/>
        </w:rPr>
        <w:fldChar w:fldCharType="begin"/>
      </w:r>
      <w:r w:rsidRPr="007349BF">
        <w:rPr>
          <w:rStyle w:val="af7"/>
          <w:rFonts w:eastAsia="Guttman Hodes"/>
          <w:rtl/>
        </w:rPr>
        <w:instrText xml:space="preserve"> </w:instrText>
      </w:r>
      <w:r w:rsidRPr="007349BF">
        <w:rPr>
          <w:rStyle w:val="af7"/>
          <w:rFonts w:eastAsia="Guttman Hodes" w:hint="cs"/>
        </w:rPr>
        <w:instrText>REF</w:instrText>
      </w:r>
      <w:r w:rsidRPr="007349BF">
        <w:rPr>
          <w:rStyle w:val="af7"/>
          <w:rFonts w:eastAsia="Guttman Hodes" w:hint="cs"/>
          <w:rtl/>
        </w:rPr>
        <w:instrText xml:space="preserve"> _</w:instrText>
      </w:r>
      <w:r w:rsidRPr="007349BF">
        <w:rPr>
          <w:rStyle w:val="af7"/>
          <w:rFonts w:eastAsia="Guttman Hodes" w:hint="cs"/>
        </w:rPr>
        <w:instrText>Ref59615619 \r \h</w:instrText>
      </w:r>
      <w:r w:rsidRPr="007349BF">
        <w:rPr>
          <w:rStyle w:val="af7"/>
          <w:rFonts w:eastAsia="Guttman Hodes"/>
          <w:rtl/>
        </w:rPr>
        <w:instrText xml:space="preserve">  \* </w:instrText>
      </w:r>
      <w:r w:rsidRPr="007349BF">
        <w:rPr>
          <w:rStyle w:val="af7"/>
          <w:rFonts w:eastAsia="Guttman Hodes"/>
        </w:rPr>
        <w:instrText>MERGEFORMAT</w:instrText>
      </w:r>
      <w:r w:rsidRPr="007349BF">
        <w:rPr>
          <w:rStyle w:val="af7"/>
          <w:rFonts w:eastAsia="Guttman Hodes"/>
          <w:rtl/>
        </w:rPr>
        <w:instrText xml:space="preserve"> </w:instrText>
      </w:r>
      <w:r w:rsidRPr="007349BF">
        <w:rPr>
          <w:rStyle w:val="af7"/>
          <w:rFonts w:eastAsia="Guttman Hodes"/>
          <w:rtl/>
        </w:rPr>
      </w:r>
      <w:r w:rsidRPr="007349BF">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7349BF">
        <w:rPr>
          <w:rStyle w:val="af7"/>
          <w:rFonts w:eastAsia="Guttman Hodes"/>
          <w:rtl/>
        </w:rPr>
        <w:fldChar w:fldCharType="end"/>
      </w:r>
      <w:r w:rsidRPr="007349BF">
        <w:rPr>
          <w:rStyle w:val="af7"/>
          <w:rFonts w:eastAsia="Guttman Hodes" w:hint="cs"/>
          <w:rtl/>
        </w:rPr>
        <w:t xml:space="preserve"> </w:t>
      </w:r>
      <w:r w:rsidRPr="007349BF">
        <w:rPr>
          <w:rStyle w:val="af9"/>
          <w:rFonts w:hint="cs"/>
          <w:rtl/>
        </w:rPr>
        <w:t>והרשב</w:t>
      </w:r>
      <w:r w:rsidRPr="000D599F">
        <w:rPr>
          <w:rStyle w:val="af9"/>
          <w:rFonts w:hint="cs"/>
          <w:rtl/>
        </w:rPr>
        <w:t>"א</w:t>
      </w:r>
      <w:r w:rsidRPr="000D599F">
        <w:rPr>
          <w:rFonts w:hint="cs"/>
          <w:rtl/>
        </w:rPr>
        <w:t xml:space="preserve"> </w:t>
      </w:r>
      <w:r w:rsidRPr="007263A8">
        <w:rPr>
          <w:rStyle w:val="af7"/>
          <w:rFonts w:eastAsia="Guttman Hodes" w:hint="cs"/>
          <w:rtl/>
        </w:rPr>
        <w:t xml:space="preserve">(ד"ה ומיהו) </w:t>
      </w:r>
      <w:r w:rsidRPr="000D599F">
        <w:rPr>
          <w:rStyle w:val="af9"/>
          <w:rFonts w:hint="cs"/>
          <w:rtl/>
        </w:rPr>
        <w:t>והריטב"</w:t>
      </w:r>
      <w:r w:rsidRPr="00B31086">
        <w:rPr>
          <w:rStyle w:val="af9"/>
          <w:rFonts w:hint="cs"/>
          <w:rtl/>
        </w:rPr>
        <w:t>א</w:t>
      </w:r>
      <w:r>
        <w:rPr>
          <w:rFonts w:hint="cs"/>
          <w:rtl/>
        </w:rPr>
        <w:t xml:space="preserve"> </w:t>
      </w:r>
      <w:r w:rsidRPr="007263A8">
        <w:rPr>
          <w:rStyle w:val="af7"/>
          <w:rFonts w:eastAsia="Guttman Hodes" w:hint="cs"/>
          <w:rtl/>
        </w:rPr>
        <w:t>(ד"ה ההוא)</w:t>
      </w:r>
      <w:r>
        <w:rPr>
          <w:rFonts w:hint="cs"/>
          <w:rtl/>
        </w:rPr>
        <w:t xml:space="preserve"> דאם אמר המחזיק קמי דידי זבנה מינך, הוא נאמן מדין הפה שאסר, דהא היה יכול לטעון למערער מינך זבינתה</w:t>
      </w:r>
      <w:r w:rsidRPr="00BF1D5F">
        <w:rPr>
          <w:rFonts w:hint="cs"/>
          <w:rtl/>
        </w:rPr>
        <w:t xml:space="preserve">, והוסיף </w:t>
      </w:r>
      <w:r w:rsidRPr="00BF1D5F">
        <w:rPr>
          <w:rStyle w:val="af9"/>
          <w:rFonts w:hint="cs"/>
          <w:rtl/>
        </w:rPr>
        <w:t>הריטב"א</w:t>
      </w:r>
      <w:r w:rsidRPr="00BF1D5F">
        <w:rPr>
          <w:rFonts w:hint="cs"/>
          <w:rtl/>
        </w:rPr>
        <w:t xml:space="preserve"> דכן תנן בכתובות</w:t>
      </w:r>
      <w:r w:rsidRPr="007263A8">
        <w:rPr>
          <w:rStyle w:val="af7"/>
          <w:rFonts w:eastAsia="Guttman Hodes" w:hint="cs"/>
          <w:rtl/>
        </w:rPr>
        <w:t xml:space="preserve"> </w:t>
      </w:r>
      <w:r w:rsidRPr="007263A8">
        <w:rPr>
          <w:rStyle w:val="af7"/>
          <w:rFonts w:eastAsia="Guttman Rashi" w:hint="cs"/>
          <w:rtl/>
        </w:rPr>
        <w:t>(טו:)</w:t>
      </w:r>
      <w:r w:rsidRPr="00BF1D5F">
        <w:rPr>
          <w:rFonts w:hint="cs"/>
          <w:rtl/>
        </w:rPr>
        <w:t xml:space="preserve"> דבאומר של אביך הייתה ולקחתיה ממנו נאמן, וה"ה בטוען בברי שהמוכר קנה מהמערער</w:t>
      </w:r>
      <w:bookmarkEnd w:id="9983"/>
      <w:r>
        <w:rPr>
          <w:rFonts w:hint="cs"/>
          <w:rtl/>
        </w:rPr>
        <w:t xml:space="preserve">, והוסיף </w:t>
      </w:r>
      <w:r w:rsidRPr="00B31086">
        <w:rPr>
          <w:rStyle w:val="af9"/>
          <w:rFonts w:hint="cs"/>
          <w:rtl/>
        </w:rPr>
        <w:t>הריטב"א</w:t>
      </w:r>
      <w:r>
        <w:rPr>
          <w:rFonts w:hint="cs"/>
          <w:rtl/>
        </w:rPr>
        <w:t xml:space="preserve"> דהכא אם היה טוען קמי דידי זבנה מינך, היה נאמן אף כשאין לו חזקת ג"ש, דהא אין למערער עדים שהייתה שלו. </w:t>
      </w:r>
      <w:r w:rsidRPr="003E33FA">
        <w:rPr>
          <w:rStyle w:val="afb"/>
          <w:rFonts w:hint="cs"/>
          <w:rtl/>
        </w:rPr>
        <w:t xml:space="preserve">[וכן משמע </w:t>
      </w:r>
      <w:r w:rsidRPr="003E33FA">
        <w:rPr>
          <w:rStyle w:val="affa"/>
          <w:rFonts w:hint="cs"/>
          <w:rtl/>
        </w:rPr>
        <w:t>ברשב"א</w:t>
      </w:r>
      <w:r w:rsidRPr="003E33FA">
        <w:rPr>
          <w:rStyle w:val="afb"/>
          <w:rFonts w:hint="cs"/>
          <w:rtl/>
        </w:rPr>
        <w:t>].</w:t>
      </w:r>
    </w:p>
    <w:p w:rsidR="000E75A3" w:rsidRDefault="000E75A3" w:rsidP="000E75A3">
      <w:pPr>
        <w:pStyle w:val="afe"/>
        <w:rPr>
          <w:rtl/>
        </w:rPr>
      </w:pPr>
      <w:bookmarkStart w:id="9984" w:name="_Toc59620332"/>
      <w:bookmarkStart w:id="9985" w:name="_Toc59643604"/>
      <w:bookmarkStart w:id="9986" w:name="_Toc59741695"/>
      <w:bookmarkStart w:id="9987" w:name="_Toc59786830"/>
      <w:bookmarkStart w:id="9988" w:name="_Toc59802641"/>
      <w:bookmarkStart w:id="9989" w:name="_Toc59916202"/>
      <w:bookmarkEnd w:id="9932"/>
      <w:bookmarkEnd w:id="9933"/>
      <w:bookmarkEnd w:id="9973"/>
      <w:bookmarkEnd w:id="9974"/>
      <w:bookmarkEnd w:id="9975"/>
      <w:r>
        <w:rPr>
          <w:rFonts w:hint="cs"/>
          <w:rtl/>
        </w:rPr>
        <w:t>בד' הרי"ף בטענת קמי דידי בלא חזקה</w:t>
      </w:r>
      <w:bookmarkEnd w:id="9856"/>
      <w:bookmarkEnd w:id="9857"/>
      <w:bookmarkEnd w:id="9858"/>
      <w:bookmarkEnd w:id="9859"/>
      <w:bookmarkEnd w:id="9860"/>
      <w:bookmarkEnd w:id="9984"/>
      <w:bookmarkEnd w:id="9985"/>
      <w:bookmarkEnd w:id="9986"/>
      <w:bookmarkEnd w:id="9987"/>
      <w:bookmarkEnd w:id="9988"/>
      <w:bookmarkEnd w:id="9989"/>
    </w:p>
    <w:p w:rsidR="000E75A3" w:rsidRDefault="000E75A3" w:rsidP="000E75A3">
      <w:pPr>
        <w:pStyle w:val="1"/>
        <w:rPr>
          <w:rtl/>
        </w:rPr>
      </w:pPr>
      <w:bookmarkStart w:id="9990" w:name="_Toc59136952"/>
      <w:bookmarkStart w:id="9991" w:name="_Toc59361644"/>
      <w:bookmarkStart w:id="9992" w:name="_Toc59464644"/>
      <w:bookmarkStart w:id="9993" w:name="_Toc59490141"/>
      <w:bookmarkStart w:id="9994" w:name="_Toc59620333"/>
      <w:bookmarkStart w:id="9995" w:name="_Toc59643605"/>
      <w:bookmarkStart w:id="9996" w:name="_Toc59741696"/>
      <w:bookmarkStart w:id="9997" w:name="_Toc59786831"/>
      <w:bookmarkStart w:id="9998" w:name="_Toc59802642"/>
      <w:bookmarkStart w:id="9999" w:name="_Toc59916203"/>
      <w:bookmarkStart w:id="10000" w:name="_Toc59113237"/>
      <w:r>
        <w:rPr>
          <w:rFonts w:hint="cs"/>
          <w:rtl/>
        </w:rPr>
        <w:t>ד' הב"י דמשמעות הרי"ף דטענת קמי דידי בלא חזקה לא מהני</w:t>
      </w:r>
      <w:bookmarkEnd w:id="9990"/>
      <w:bookmarkEnd w:id="9991"/>
      <w:bookmarkEnd w:id="9992"/>
      <w:bookmarkEnd w:id="9993"/>
      <w:bookmarkEnd w:id="9994"/>
      <w:bookmarkEnd w:id="9995"/>
      <w:bookmarkEnd w:id="9996"/>
      <w:bookmarkEnd w:id="9997"/>
      <w:bookmarkEnd w:id="9998"/>
      <w:bookmarkEnd w:id="9999"/>
    </w:p>
    <w:p w:rsidR="000E75A3" w:rsidRPr="00F86FCB" w:rsidRDefault="000E75A3" w:rsidP="000E75A3">
      <w:pPr>
        <w:pStyle w:val="a3"/>
        <w:rPr>
          <w:rtl/>
        </w:rPr>
      </w:pPr>
      <w:bookmarkStart w:id="10001" w:name="_Toc59620334"/>
      <w:bookmarkStart w:id="10002" w:name="_Toc59643606"/>
      <w:bookmarkStart w:id="10003" w:name="_Toc59741697"/>
      <w:bookmarkStart w:id="10004" w:name="_Toc59786832"/>
      <w:bookmarkStart w:id="10005" w:name="_Toc59802643"/>
      <w:bookmarkStart w:id="10006" w:name="_Toc59916204"/>
      <w:r>
        <w:rPr>
          <w:rFonts w:hint="cs"/>
          <w:rtl/>
        </w:rPr>
        <w:t>דברי הרי"ף דבחזקה למחזיק או למוכר ויש עידי חד יומא או טוען קמי דידי נאמן המחזיק</w:t>
      </w:r>
      <w:bookmarkEnd w:id="10001"/>
      <w:bookmarkEnd w:id="10002"/>
      <w:bookmarkEnd w:id="10003"/>
      <w:bookmarkEnd w:id="10004"/>
      <w:bookmarkEnd w:id="10005"/>
      <w:bookmarkEnd w:id="10006"/>
    </w:p>
    <w:p w:rsidR="000E75A3" w:rsidRDefault="000E75A3" w:rsidP="007E4E81">
      <w:pPr>
        <w:pStyle w:val="a0"/>
        <w:rPr>
          <w:rtl/>
        </w:rPr>
      </w:pPr>
      <w:bookmarkStart w:id="10007" w:name="_Ref59615569"/>
      <w:r>
        <w:rPr>
          <w:rFonts w:hint="cs"/>
          <w:rtl/>
        </w:rPr>
        <w:t xml:space="preserve">כתב </w:t>
      </w:r>
      <w:r w:rsidRPr="00893FAC">
        <w:rPr>
          <w:rStyle w:val="af9"/>
          <w:rFonts w:hint="cs"/>
          <w:rtl/>
        </w:rPr>
        <w:t>הרי"ף</w:t>
      </w:r>
      <w:r w:rsidRPr="00C23A10">
        <w:rPr>
          <w:rStyle w:val="af7"/>
          <w:rFonts w:eastAsia="Guttman Hodes" w:hint="cs"/>
          <w:rtl/>
        </w:rPr>
        <w:t xml:space="preserve"> (ט"ו: מדה"ר) </w:t>
      </w:r>
      <w:r>
        <w:rPr>
          <w:rFonts w:hint="cs"/>
          <w:rtl/>
        </w:rPr>
        <w:t xml:space="preserve">דאם יש למחזיק עדים שהמוכר דר בה חד יומא, ויש לו חזקת ג"ש, </w:t>
      </w:r>
      <w:r w:rsidRPr="000D6F29">
        <w:rPr>
          <w:rStyle w:val="afb"/>
          <w:rFonts w:hint="cs"/>
          <w:rtl/>
        </w:rPr>
        <w:t xml:space="preserve">[כדכתב </w:t>
      </w:r>
      <w:r w:rsidRPr="000D6F29">
        <w:rPr>
          <w:rStyle w:val="affa"/>
          <w:rFonts w:hint="cs"/>
          <w:rtl/>
        </w:rPr>
        <w:t>הרשב"ם</w:t>
      </w:r>
      <w:r w:rsidRPr="000D6F29">
        <w:rPr>
          <w:rStyle w:val="afb"/>
          <w:rFonts w:hint="cs"/>
          <w:rtl/>
        </w:rPr>
        <w:t xml:space="preserve"> </w:t>
      </w:r>
      <w:r w:rsidRPr="000D6F29">
        <w:rPr>
          <w:rStyle w:val="aff6"/>
          <w:rFonts w:hint="cs"/>
          <w:rtl/>
        </w:rPr>
        <w:t xml:space="preserve">(עי' אות </w:t>
      </w:r>
      <w:r w:rsidRPr="000D6F29">
        <w:rPr>
          <w:rStyle w:val="aff6"/>
          <w:rtl/>
        </w:rPr>
        <w:fldChar w:fldCharType="begin"/>
      </w:r>
      <w:r w:rsidRPr="000D6F29">
        <w:rPr>
          <w:rStyle w:val="aff6"/>
          <w:rtl/>
        </w:rPr>
        <w:instrText xml:space="preserve"> </w:instrText>
      </w:r>
      <w:r w:rsidRPr="000D6F29">
        <w:rPr>
          <w:rStyle w:val="aff6"/>
          <w:rFonts w:hint="cs"/>
        </w:rPr>
        <w:instrText>REF</w:instrText>
      </w:r>
      <w:r w:rsidRPr="000D6F29">
        <w:rPr>
          <w:rStyle w:val="aff6"/>
          <w:rFonts w:hint="cs"/>
          <w:rtl/>
        </w:rPr>
        <w:instrText xml:space="preserve"> _</w:instrText>
      </w:r>
      <w:r w:rsidRPr="000D6F29">
        <w:rPr>
          <w:rStyle w:val="aff6"/>
          <w:rFonts w:hint="cs"/>
        </w:rPr>
        <w:instrText>Ref59550435 \r \h</w:instrText>
      </w:r>
      <w:r w:rsidRPr="000D6F29">
        <w:rPr>
          <w:rStyle w:val="aff6"/>
          <w:rtl/>
        </w:rPr>
        <w:instrText xml:space="preserve"> </w:instrText>
      </w:r>
      <w:r w:rsidRPr="000D6F29">
        <w:rPr>
          <w:rStyle w:val="aff6"/>
          <w:rtl/>
        </w:rPr>
      </w:r>
      <w:r w:rsidRPr="000D6F29">
        <w:rPr>
          <w:rStyle w:val="aff6"/>
          <w:rtl/>
        </w:rPr>
        <w:fldChar w:fldCharType="separate"/>
      </w:r>
      <w:r w:rsidR="00265073">
        <w:rPr>
          <w:rStyle w:val="aff6"/>
          <w:cs/>
        </w:rPr>
        <w:t>‎</w:t>
      </w:r>
      <w:r w:rsidR="00265073">
        <w:rPr>
          <w:rStyle w:val="aff6"/>
          <w:rtl/>
        </w:rPr>
        <w:t>כב)</w:t>
      </w:r>
      <w:r w:rsidRPr="000D6F29">
        <w:rPr>
          <w:rStyle w:val="aff6"/>
          <w:rtl/>
        </w:rPr>
        <w:fldChar w:fldCharType="end"/>
      </w:r>
      <w:r w:rsidRPr="000D6F29">
        <w:rPr>
          <w:rStyle w:val="afb"/>
          <w:rFonts w:hint="cs"/>
          <w:rtl/>
        </w:rPr>
        <w:t>],</w:t>
      </w:r>
      <w:r>
        <w:rPr>
          <w:rFonts w:hint="cs"/>
          <w:rtl/>
        </w:rPr>
        <w:t xml:space="preserve"> וכן אם טוען המחזיק קמי דידי זבנה מינך, ואומר שלמוכר היה חזקת ג"ש, או שיש למחזיק חזקת ג"ש, אין מוציאין את הקרקע מיד המחזיק, אבל אם אין לו עדים שדר בה חד יומא וחזקת ג"ש, וכן אינו טוען קמי דידי זבנה מינך והיה לו חזקת ג"ש, מוציאין את הקרקע מידו, והמחזיק יתבע את המוכר.</w:t>
      </w:r>
      <w:bookmarkEnd w:id="10007"/>
    </w:p>
    <w:p w:rsidR="000E75A3" w:rsidRPr="002B5B2C" w:rsidRDefault="000E75A3" w:rsidP="000E75A3">
      <w:pPr>
        <w:pStyle w:val="a3"/>
        <w:rPr>
          <w:rtl/>
        </w:rPr>
      </w:pPr>
      <w:bookmarkStart w:id="10008" w:name="_Toc59620335"/>
      <w:bookmarkStart w:id="10009" w:name="_Toc59643607"/>
      <w:bookmarkStart w:id="10010" w:name="_Toc59741698"/>
      <w:bookmarkStart w:id="10011" w:name="_Toc59786833"/>
      <w:bookmarkStart w:id="10012" w:name="_Toc59802644"/>
      <w:bookmarkStart w:id="10013" w:name="_Toc59916205"/>
      <w:r w:rsidRPr="002B5B2C">
        <w:rPr>
          <w:rtl/>
        </w:rPr>
        <w:t>דברי הרי"ף דכיון שהודה המחזיק דודאי של המערער וספק שקנה המוכר אין ספק מוציא מודאי</w:t>
      </w:r>
      <w:bookmarkEnd w:id="10008"/>
      <w:bookmarkEnd w:id="10009"/>
      <w:bookmarkEnd w:id="10010"/>
      <w:bookmarkEnd w:id="10011"/>
      <w:bookmarkEnd w:id="10012"/>
      <w:bookmarkEnd w:id="10013"/>
    </w:p>
    <w:p w:rsidR="000E75A3" w:rsidRDefault="000E75A3" w:rsidP="007E4E81">
      <w:pPr>
        <w:pStyle w:val="a0"/>
        <w:rPr>
          <w:rtl/>
        </w:rPr>
      </w:pPr>
      <w:bookmarkStart w:id="10014" w:name="_Ref59616683"/>
      <w:r>
        <w:rPr>
          <w:rFonts w:hint="cs"/>
          <w:rtl/>
        </w:rPr>
        <w:t xml:space="preserve">וביאר </w:t>
      </w:r>
      <w:r w:rsidRPr="00C23A10">
        <w:rPr>
          <w:rStyle w:val="af9"/>
          <w:rFonts w:hint="cs"/>
          <w:rtl/>
        </w:rPr>
        <w:t>הרי"ף</w:t>
      </w:r>
      <w:r>
        <w:rPr>
          <w:rFonts w:hint="cs"/>
          <w:rtl/>
        </w:rPr>
        <w:t xml:space="preserve"> דאעפ"י שאין למערער עדים, ורק המחזיק הודה לו שהייתה הקרקע שלו, מ"מ אינו נאמן מדין הפה שאסר, דכיון שהודה בודאי שהייתה הקרקע של המערער, ומה שאמר שהמוכר אמר לו שקנה מהמערער, הוא ספק, ואין ספק מוציא מידי ודאי, ולכן הוא צריך להחזיר את הקרקע למערער, והמחזיק יתבע את המוכר, ועי' במה שביארו </w:t>
      </w:r>
      <w:r w:rsidRPr="006D1C99">
        <w:rPr>
          <w:rStyle w:val="af9"/>
          <w:rFonts w:hint="cs"/>
          <w:rtl/>
        </w:rPr>
        <w:t>הרמב"ן</w:t>
      </w:r>
      <w:r>
        <w:rPr>
          <w:rFonts w:hint="cs"/>
          <w:rtl/>
        </w:rPr>
        <w:t xml:space="preserve"> </w:t>
      </w:r>
      <w:r>
        <w:rPr>
          <w:rStyle w:val="af7"/>
          <w:rFonts w:eastAsia="Guttman Hodes" w:hint="cs"/>
          <w:rtl/>
        </w:rPr>
        <w:t xml:space="preserve">(הובא בסימן ח' אות כ"ח) </w:t>
      </w:r>
      <w:r w:rsidRPr="006D1C99">
        <w:rPr>
          <w:rStyle w:val="af9"/>
          <w:rFonts w:hint="cs"/>
          <w:rtl/>
        </w:rPr>
        <w:t>ורבינו יונה</w:t>
      </w:r>
      <w:r>
        <w:rPr>
          <w:rStyle w:val="af7"/>
          <w:rFonts w:eastAsia="Guttman Hodes" w:hint="cs"/>
          <w:rtl/>
        </w:rPr>
        <w:t xml:space="preserve"> (הובא בסימן ח' אות כ"ג) </w:t>
      </w:r>
      <w:r>
        <w:rPr>
          <w:rFonts w:hint="cs"/>
          <w:rtl/>
        </w:rPr>
        <w:t xml:space="preserve">בדברי </w:t>
      </w:r>
      <w:r w:rsidRPr="006D1C99">
        <w:rPr>
          <w:rStyle w:val="af9"/>
          <w:rFonts w:hint="cs"/>
          <w:rtl/>
        </w:rPr>
        <w:t>הרי"ף</w:t>
      </w:r>
      <w:r>
        <w:rPr>
          <w:rFonts w:hint="cs"/>
          <w:rtl/>
        </w:rPr>
        <w:t xml:space="preserve">, וע"ע במ"ש </w:t>
      </w:r>
      <w:r w:rsidRPr="0041378F">
        <w:rPr>
          <w:rStyle w:val="af9"/>
          <w:rFonts w:hint="cs"/>
          <w:rtl/>
        </w:rPr>
        <w:t>בחי' רבי נחום</w:t>
      </w:r>
      <w:r>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Ref59789555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קיט)</w:t>
      </w:r>
      <w:r>
        <w:rPr>
          <w:rStyle w:val="af7"/>
          <w:rFonts w:eastAsia="Guttman Hodes"/>
          <w:rtl/>
        </w:rPr>
        <w:fldChar w:fldCharType="end"/>
      </w:r>
      <w:r>
        <w:rPr>
          <w:rFonts w:hint="cs"/>
          <w:rtl/>
        </w:rPr>
        <w:t>.</w:t>
      </w:r>
      <w:bookmarkEnd w:id="10014"/>
    </w:p>
    <w:p w:rsidR="000E75A3" w:rsidRPr="00EA3C55" w:rsidRDefault="000E75A3" w:rsidP="000E75A3">
      <w:pPr>
        <w:pStyle w:val="a3"/>
      </w:pPr>
      <w:bookmarkStart w:id="10015" w:name="_Toc59620336"/>
      <w:bookmarkStart w:id="10016" w:name="_Toc59643608"/>
      <w:bookmarkStart w:id="10017" w:name="_Toc59741699"/>
      <w:bookmarkStart w:id="10018" w:name="_Toc59786834"/>
      <w:bookmarkStart w:id="10019" w:name="_Toc59802645"/>
      <w:bookmarkStart w:id="10020" w:name="_Toc59916206"/>
      <w:r>
        <w:rPr>
          <w:rFonts w:hint="cs"/>
          <w:rtl/>
        </w:rPr>
        <w:t>דברי הרמב"ן דהפשטות ברי"ף דקמי דידי מהני רק בחזקה וכ"כ העיטור והמרדכי והב"י ברי"ף</w:t>
      </w:r>
      <w:bookmarkEnd w:id="10015"/>
      <w:bookmarkEnd w:id="10016"/>
      <w:bookmarkEnd w:id="10017"/>
      <w:bookmarkEnd w:id="10018"/>
      <w:bookmarkEnd w:id="10019"/>
      <w:bookmarkEnd w:id="10020"/>
    </w:p>
    <w:p w:rsidR="000E75A3" w:rsidRDefault="000E75A3" w:rsidP="007E4E81">
      <w:pPr>
        <w:pStyle w:val="a0"/>
        <w:rPr>
          <w:rtl/>
        </w:rPr>
      </w:pPr>
      <w:bookmarkStart w:id="10021" w:name="_Ref59801094"/>
      <w:r>
        <w:rPr>
          <w:rFonts w:hint="cs"/>
          <w:rtl/>
        </w:rPr>
        <w:t xml:space="preserve">וכתב </w:t>
      </w:r>
      <w:r w:rsidRPr="00D80E0D">
        <w:rPr>
          <w:rStyle w:val="af9"/>
          <w:rFonts w:hint="cs"/>
          <w:rtl/>
        </w:rPr>
        <w:t>הרמב"ן</w:t>
      </w:r>
      <w:r>
        <w:rPr>
          <w:rFonts w:hint="cs"/>
          <w:rtl/>
        </w:rPr>
        <w:t xml:space="preserve"> </w:t>
      </w:r>
      <w:r w:rsidRPr="00776662">
        <w:rPr>
          <w:rStyle w:val="af7"/>
          <w:rFonts w:eastAsia="Guttman Hodes" w:hint="cs"/>
          <w:rtl/>
        </w:rPr>
        <w:t>(ד"ה ואף דברי)</w:t>
      </w:r>
      <w:r>
        <w:rPr>
          <w:rFonts w:hint="cs"/>
          <w:rtl/>
        </w:rPr>
        <w:t xml:space="preserve"> </w:t>
      </w:r>
      <w:r w:rsidRPr="00FA7928">
        <w:rPr>
          <w:rFonts w:hint="cs"/>
          <w:rtl/>
        </w:rPr>
        <w:t xml:space="preserve">דבפשטות משמע מדברי </w:t>
      </w:r>
      <w:r w:rsidRPr="00D80E0D">
        <w:rPr>
          <w:rStyle w:val="af9"/>
          <w:rFonts w:hint="cs"/>
          <w:rtl/>
        </w:rPr>
        <w:t>הרי"ף</w:t>
      </w:r>
      <w:r w:rsidRPr="00776662">
        <w:rPr>
          <w:rStyle w:val="af7"/>
          <w:rFonts w:eastAsia="Guttman Hodes" w:hint="cs"/>
          <w:rtl/>
        </w:rPr>
        <w:t xml:space="preserve"> </w:t>
      </w:r>
      <w:r w:rsidRPr="00FA7928">
        <w:rPr>
          <w:rFonts w:hint="cs"/>
          <w:rtl/>
        </w:rPr>
        <w:t>דהמחזיק נאמן בטענת קמי דידי זבנה מינך, רק כשיש לו חזקת ג"ש</w:t>
      </w:r>
      <w:r>
        <w:rPr>
          <w:rFonts w:hint="cs"/>
          <w:rtl/>
        </w:rPr>
        <w:t xml:space="preserve">, </w:t>
      </w:r>
      <w:r w:rsidRPr="00486434">
        <w:rPr>
          <w:rStyle w:val="afb"/>
          <w:rFonts w:hint="cs"/>
          <w:rtl/>
        </w:rPr>
        <w:t xml:space="preserve">[וכדביאר </w:t>
      </w:r>
      <w:r w:rsidRPr="00486434">
        <w:rPr>
          <w:rStyle w:val="affa"/>
          <w:rFonts w:hint="cs"/>
          <w:rtl/>
        </w:rPr>
        <w:t>הטור</w:t>
      </w:r>
      <w:r w:rsidRPr="00486434">
        <w:rPr>
          <w:rStyle w:val="afb"/>
          <w:rFonts w:hint="cs"/>
          <w:rtl/>
        </w:rPr>
        <w:t xml:space="preserve"> </w:t>
      </w:r>
      <w:r w:rsidRPr="00486434">
        <w:rPr>
          <w:rStyle w:val="aff6"/>
          <w:rFonts w:hint="cs"/>
          <w:rtl/>
        </w:rPr>
        <w:t xml:space="preserve">(עי' אות </w:t>
      </w:r>
      <w:r w:rsidRPr="00486434">
        <w:rPr>
          <w:rStyle w:val="aff6"/>
          <w:rtl/>
        </w:rPr>
        <w:fldChar w:fldCharType="begin"/>
      </w:r>
      <w:r w:rsidRPr="00486434">
        <w:rPr>
          <w:rStyle w:val="aff6"/>
          <w:rtl/>
        </w:rPr>
        <w:instrText xml:space="preserve"> </w:instrText>
      </w:r>
      <w:r w:rsidRPr="00486434">
        <w:rPr>
          <w:rStyle w:val="aff6"/>
          <w:rFonts w:hint="cs"/>
        </w:rPr>
        <w:instrText>REF</w:instrText>
      </w:r>
      <w:r w:rsidRPr="00486434">
        <w:rPr>
          <w:rStyle w:val="aff6"/>
          <w:rFonts w:hint="cs"/>
          <w:rtl/>
        </w:rPr>
        <w:instrText xml:space="preserve"> _</w:instrText>
      </w:r>
      <w:r w:rsidRPr="00486434">
        <w:rPr>
          <w:rStyle w:val="aff6"/>
          <w:rFonts w:hint="cs"/>
        </w:rPr>
        <w:instrText>Ref58272277 \r \h</w:instrText>
      </w:r>
      <w:r w:rsidRPr="00486434">
        <w:rPr>
          <w:rStyle w:val="aff6"/>
          <w:rtl/>
        </w:rPr>
        <w:instrText xml:space="preserve"> </w:instrText>
      </w:r>
      <w:r w:rsidRPr="00486434">
        <w:rPr>
          <w:rStyle w:val="aff6"/>
          <w:rtl/>
        </w:rPr>
      </w:r>
      <w:r w:rsidRPr="00486434">
        <w:rPr>
          <w:rStyle w:val="aff6"/>
          <w:rtl/>
        </w:rPr>
        <w:fldChar w:fldCharType="separate"/>
      </w:r>
      <w:r w:rsidR="00265073">
        <w:rPr>
          <w:rStyle w:val="aff6"/>
          <w:cs/>
        </w:rPr>
        <w:t>‎</w:t>
      </w:r>
      <w:r w:rsidR="00265073">
        <w:rPr>
          <w:rStyle w:val="aff6"/>
          <w:rtl/>
        </w:rPr>
        <w:t>סד)</w:t>
      </w:r>
      <w:r w:rsidRPr="00486434">
        <w:rPr>
          <w:rStyle w:val="aff6"/>
          <w:rtl/>
        </w:rPr>
        <w:fldChar w:fldCharType="end"/>
      </w:r>
      <w:r w:rsidRPr="00486434">
        <w:rPr>
          <w:rStyle w:val="afb"/>
          <w:rFonts w:hint="cs"/>
          <w:rtl/>
        </w:rPr>
        <w:t xml:space="preserve"> בדעת </w:t>
      </w:r>
      <w:r w:rsidRPr="00486434">
        <w:rPr>
          <w:rStyle w:val="affa"/>
          <w:rFonts w:hint="cs"/>
          <w:rtl/>
        </w:rPr>
        <w:t>הרשב"ם</w:t>
      </w:r>
      <w:r w:rsidRPr="00486434">
        <w:rPr>
          <w:rStyle w:val="afb"/>
          <w:rFonts w:hint="cs"/>
          <w:rtl/>
        </w:rPr>
        <w:t>]</w:t>
      </w:r>
      <w:r>
        <w:rPr>
          <w:rStyle w:val="afb"/>
          <w:rFonts w:hint="cs"/>
          <w:rtl/>
        </w:rPr>
        <w:t xml:space="preserve">, </w:t>
      </w:r>
      <w:r>
        <w:rPr>
          <w:rFonts w:hint="cs"/>
          <w:rtl/>
        </w:rPr>
        <w:t xml:space="preserve">וכן משמע מדברי </w:t>
      </w:r>
      <w:r w:rsidRPr="00987F1C">
        <w:rPr>
          <w:rStyle w:val="af9"/>
          <w:rFonts w:hint="cs"/>
          <w:rtl/>
        </w:rPr>
        <w:t>המרדכי</w:t>
      </w:r>
      <w:r>
        <w:rPr>
          <w:rFonts w:hint="cs"/>
          <w:rtl/>
        </w:rPr>
        <w:t xml:space="preserve"> </w:t>
      </w:r>
      <w:r w:rsidRPr="00987F1C">
        <w:rPr>
          <w:rStyle w:val="af7"/>
          <w:rFonts w:eastAsia="Guttman Hodes" w:hint="cs"/>
          <w:rtl/>
        </w:rPr>
        <w:t>(רמז תקכ"ג)</w:t>
      </w:r>
      <w:r w:rsidRPr="00987F1C">
        <w:rPr>
          <w:rFonts w:hint="cs"/>
          <w:rtl/>
        </w:rPr>
        <w:t xml:space="preserve"> </w:t>
      </w:r>
      <w:r>
        <w:rPr>
          <w:rFonts w:hint="cs"/>
          <w:rtl/>
        </w:rPr>
        <w:t xml:space="preserve">דביארו כן בדעת </w:t>
      </w:r>
      <w:r w:rsidRPr="00381864">
        <w:rPr>
          <w:rStyle w:val="af9"/>
          <w:rFonts w:hint="cs"/>
          <w:rtl/>
        </w:rPr>
        <w:t>הרי"ף</w:t>
      </w:r>
      <w:r w:rsidRPr="008C113A">
        <w:rPr>
          <w:rFonts w:hint="cs"/>
          <w:rtl/>
        </w:rPr>
        <w:t>, וכן דעת</w:t>
      </w:r>
      <w:r>
        <w:rPr>
          <w:rStyle w:val="af9"/>
          <w:rFonts w:hint="cs"/>
          <w:rtl/>
        </w:rPr>
        <w:t xml:space="preserve"> הב"י </w:t>
      </w:r>
      <w:r w:rsidRPr="008C113A">
        <w:rPr>
          <w:rStyle w:val="af7"/>
          <w:rFonts w:eastAsia="Guttman Hodes" w:hint="cs"/>
          <w:rtl/>
        </w:rPr>
        <w:t xml:space="preserve">(עי' אות </w:t>
      </w:r>
      <w:r w:rsidRPr="008C113A">
        <w:rPr>
          <w:rStyle w:val="af7"/>
          <w:rFonts w:eastAsia="Guttman Hodes"/>
          <w:rtl/>
        </w:rPr>
        <w:fldChar w:fldCharType="begin"/>
      </w:r>
      <w:r w:rsidRPr="008C113A">
        <w:rPr>
          <w:rStyle w:val="af7"/>
          <w:rFonts w:eastAsia="Guttman Hodes"/>
          <w:rtl/>
        </w:rPr>
        <w:instrText xml:space="preserve"> </w:instrText>
      </w:r>
      <w:r w:rsidRPr="008C113A">
        <w:rPr>
          <w:rStyle w:val="af7"/>
          <w:rFonts w:eastAsia="Guttman Hodes" w:hint="cs"/>
        </w:rPr>
        <w:instrText>REF</w:instrText>
      </w:r>
      <w:r w:rsidRPr="008C113A">
        <w:rPr>
          <w:rStyle w:val="af7"/>
          <w:rFonts w:eastAsia="Guttman Hodes" w:hint="cs"/>
          <w:rtl/>
        </w:rPr>
        <w:instrText xml:space="preserve"> _</w:instrText>
      </w:r>
      <w:r w:rsidRPr="008C113A">
        <w:rPr>
          <w:rStyle w:val="af7"/>
          <w:rFonts w:eastAsia="Guttman Hodes" w:hint="cs"/>
        </w:rPr>
        <w:instrText>Ref59615967 \r \h</w:instrText>
      </w:r>
      <w:r w:rsidRPr="008C113A">
        <w:rPr>
          <w:rStyle w:val="af7"/>
          <w:rFonts w:eastAsia="Guttman Hodes"/>
          <w:rtl/>
        </w:rPr>
        <w:instrText xml:space="preserve"> </w:instrText>
      </w:r>
      <w:r w:rsidRPr="008C113A">
        <w:rPr>
          <w:rStyle w:val="af7"/>
          <w:rFonts w:eastAsia="Guttman Hodes"/>
          <w:rtl/>
        </w:rPr>
      </w:r>
      <w:r w:rsidRPr="008C113A">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8C113A">
        <w:rPr>
          <w:rStyle w:val="af7"/>
          <w:rFonts w:eastAsia="Guttman Hodes"/>
          <w:rtl/>
        </w:rPr>
        <w:fldChar w:fldCharType="end"/>
      </w:r>
      <w:r>
        <w:rPr>
          <w:rStyle w:val="af9"/>
          <w:rFonts w:hint="cs"/>
          <w:rtl/>
        </w:rPr>
        <w:t xml:space="preserve">, </w:t>
      </w:r>
      <w:r>
        <w:rPr>
          <w:rFonts w:hint="cs"/>
          <w:rtl/>
        </w:rPr>
        <w:t xml:space="preserve">וכתב </w:t>
      </w:r>
      <w:r w:rsidRPr="00D95681">
        <w:rPr>
          <w:rStyle w:val="af9"/>
          <w:rFonts w:hint="cs"/>
          <w:rtl/>
        </w:rPr>
        <w:t>הש"ך</w:t>
      </w:r>
      <w:r>
        <w:rPr>
          <w:rFonts w:hint="cs"/>
          <w:rtl/>
        </w:rPr>
        <w:t xml:space="preserve"> </w:t>
      </w:r>
      <w:r w:rsidRPr="00D95681">
        <w:rPr>
          <w:rStyle w:val="af7"/>
          <w:rFonts w:eastAsia="Guttman Hodes" w:hint="cs"/>
          <w:rtl/>
        </w:rPr>
        <w:t>(סי' קמ"ו סקי"ג)</w:t>
      </w:r>
      <w:r w:rsidRPr="00C234F1">
        <w:rPr>
          <w:rStyle w:val="affa"/>
          <w:rFonts w:hint="cs"/>
          <w:rtl/>
        </w:rPr>
        <w:t xml:space="preserve"> </w:t>
      </w:r>
      <w:r w:rsidRPr="00C234F1">
        <w:rPr>
          <w:rFonts w:hint="cs"/>
          <w:rtl/>
        </w:rPr>
        <w:t xml:space="preserve">דכן </w:t>
      </w:r>
      <w:r>
        <w:rPr>
          <w:rFonts w:hint="cs"/>
          <w:rtl/>
        </w:rPr>
        <w:t>הביא</w:t>
      </w:r>
      <w:r w:rsidRPr="00C234F1">
        <w:rPr>
          <w:rFonts w:hint="cs"/>
          <w:rtl/>
        </w:rPr>
        <w:t xml:space="preserve"> </w:t>
      </w:r>
      <w:r>
        <w:rPr>
          <w:rStyle w:val="af9"/>
          <w:rFonts w:hint="cs"/>
          <w:rtl/>
        </w:rPr>
        <w:t>ה</w:t>
      </w:r>
      <w:r w:rsidRPr="00115B42">
        <w:rPr>
          <w:rStyle w:val="af9"/>
          <w:rFonts w:hint="cs"/>
          <w:rtl/>
        </w:rPr>
        <w:t xml:space="preserve">רשב"א </w:t>
      </w:r>
      <w:r w:rsidRPr="00C81621">
        <w:rPr>
          <w:rStyle w:val="af7"/>
          <w:rFonts w:eastAsia="Guttman Hodes" w:hint="cs"/>
          <w:rtl/>
        </w:rPr>
        <w:t>(ד"ה והרב בעל העיטור)</w:t>
      </w:r>
      <w:r>
        <w:rPr>
          <w:rFonts w:hint="cs"/>
          <w:rtl/>
        </w:rPr>
        <w:t xml:space="preserve"> בשם </w:t>
      </w:r>
      <w:r w:rsidRPr="00F6341B">
        <w:rPr>
          <w:rStyle w:val="af9"/>
          <w:rFonts w:hint="cs"/>
          <w:rtl/>
        </w:rPr>
        <w:t>העיטור</w:t>
      </w:r>
      <w:r>
        <w:rPr>
          <w:rFonts w:hint="cs"/>
          <w:rtl/>
        </w:rPr>
        <w:t xml:space="preserve"> </w:t>
      </w:r>
      <w:r w:rsidRPr="00F6341B">
        <w:rPr>
          <w:rStyle w:val="af7"/>
          <w:rFonts w:eastAsia="Guttman Hodes" w:hint="cs"/>
          <w:rtl/>
        </w:rPr>
        <w:t xml:space="preserve">(או' מ' מחאה מב:, הועתק בקובץ שיטות קמאי ב"ב ח"א עמ' ת"ש) </w:t>
      </w:r>
      <w:r>
        <w:rPr>
          <w:rFonts w:hint="cs"/>
          <w:rtl/>
        </w:rPr>
        <w:t>דביאר כן</w:t>
      </w:r>
      <w:r w:rsidRPr="00C234F1">
        <w:rPr>
          <w:rFonts w:hint="cs"/>
          <w:rtl/>
        </w:rPr>
        <w:t xml:space="preserve"> בדעת </w:t>
      </w:r>
      <w:r w:rsidRPr="00F6341B">
        <w:rPr>
          <w:rStyle w:val="af9"/>
          <w:rFonts w:hint="cs"/>
          <w:rtl/>
        </w:rPr>
        <w:t>הרי"ף</w:t>
      </w:r>
      <w:r>
        <w:rPr>
          <w:rFonts w:hint="cs"/>
          <w:rtl/>
        </w:rPr>
        <w:t>.</w:t>
      </w:r>
      <w:bookmarkEnd w:id="10021"/>
    </w:p>
    <w:p w:rsidR="000E75A3" w:rsidRPr="00C80C5D" w:rsidRDefault="000E75A3" w:rsidP="000E75A3">
      <w:pPr>
        <w:pStyle w:val="a3"/>
        <w:rPr>
          <w:rtl/>
        </w:rPr>
      </w:pPr>
      <w:bookmarkStart w:id="10022" w:name="_Toc59620337"/>
      <w:bookmarkStart w:id="10023" w:name="_Toc59643609"/>
      <w:bookmarkStart w:id="10024" w:name="_Toc59741700"/>
      <w:bookmarkStart w:id="10025" w:name="_Toc59786835"/>
      <w:bookmarkStart w:id="10026" w:name="_Toc59802646"/>
      <w:bookmarkStart w:id="10027" w:name="_Toc59916207"/>
      <w:bookmarkStart w:id="10028" w:name="_Toc59136953"/>
      <w:bookmarkStart w:id="10029" w:name="_Toc59361645"/>
      <w:bookmarkStart w:id="10030" w:name="_Toc59464645"/>
      <w:bookmarkStart w:id="10031" w:name="_Toc59490142"/>
      <w:r>
        <w:rPr>
          <w:rFonts w:hint="cs"/>
          <w:rtl/>
        </w:rPr>
        <w:t>ביאור החי' אנשי שם ברי"ף דבלא חזקה ירא המחזיק לטעון להד"ם ול"מ מיגו</w:t>
      </w:r>
      <w:bookmarkEnd w:id="10022"/>
      <w:bookmarkEnd w:id="10023"/>
      <w:r>
        <w:rPr>
          <w:rFonts w:hint="cs"/>
          <w:rtl/>
        </w:rPr>
        <w:t xml:space="preserve"> אף שהוא ודאי</w:t>
      </w:r>
      <w:bookmarkEnd w:id="10024"/>
      <w:bookmarkEnd w:id="10025"/>
      <w:bookmarkEnd w:id="10026"/>
      <w:bookmarkEnd w:id="10027"/>
    </w:p>
    <w:p w:rsidR="000E75A3" w:rsidRDefault="000E75A3" w:rsidP="007E4E81">
      <w:pPr>
        <w:pStyle w:val="a0"/>
        <w:rPr>
          <w:rtl/>
        </w:rPr>
      </w:pPr>
      <w:bookmarkStart w:id="10032" w:name="_Ref59702521"/>
      <w:r>
        <w:rPr>
          <w:rFonts w:hint="cs"/>
          <w:rtl/>
        </w:rPr>
        <w:t xml:space="preserve">וביאר </w:t>
      </w:r>
      <w:r w:rsidRPr="00D37908">
        <w:rPr>
          <w:rStyle w:val="af9"/>
          <w:rFonts w:hint="cs"/>
          <w:rtl/>
        </w:rPr>
        <w:t xml:space="preserve">המהר"ן שפירא [בעל המגלה עמוקות] בחי' אנשי שם </w:t>
      </w:r>
      <w:r w:rsidRPr="00D37908">
        <w:rPr>
          <w:rStyle w:val="af7"/>
          <w:rFonts w:eastAsia="Guttman Hodes" w:hint="cs"/>
          <w:rtl/>
        </w:rPr>
        <w:t>(</w:t>
      </w:r>
      <w:r w:rsidRPr="00D37908">
        <w:rPr>
          <w:rStyle w:val="af7"/>
          <w:rFonts w:eastAsia="Guttman Hodes"/>
          <w:rtl/>
        </w:rPr>
        <w:t>טו: מדה"ר או' א'</w:t>
      </w:r>
      <w:r w:rsidRPr="00D37908">
        <w:rPr>
          <w:rStyle w:val="af7"/>
          <w:rFonts w:eastAsia="Guttman Hodes" w:hint="cs"/>
          <w:rtl/>
        </w:rPr>
        <w:t>,</w:t>
      </w:r>
      <w:r w:rsidRPr="00D37908">
        <w:rPr>
          <w:rStyle w:val="af7"/>
          <w:rFonts w:eastAsia="Guttman Hodes"/>
          <w:rtl/>
        </w:rPr>
        <w:t xml:space="preserve"> מהדו' עוז והדר או' י</w:t>
      </w:r>
      <w:r w:rsidRPr="00D37908">
        <w:rPr>
          <w:rStyle w:val="af7"/>
          <w:rFonts w:eastAsia="Guttman Hodes" w:hint="cs"/>
          <w:rtl/>
        </w:rPr>
        <w:t xml:space="preserve">') </w:t>
      </w:r>
      <w:r>
        <w:rPr>
          <w:rFonts w:hint="cs"/>
          <w:rtl/>
        </w:rPr>
        <w:t xml:space="preserve">דס"ל </w:t>
      </w:r>
      <w:r w:rsidRPr="006316E8">
        <w:rPr>
          <w:rStyle w:val="af9"/>
          <w:rFonts w:hint="cs"/>
          <w:rtl/>
        </w:rPr>
        <w:t>להרי"ף</w:t>
      </w:r>
      <w:r>
        <w:rPr>
          <w:rFonts w:hint="cs"/>
          <w:rtl/>
        </w:rPr>
        <w:t xml:space="preserve"> דכשאין לו חזקת ג"ש, אינו נאמן בטענת ברי דקמי דידי זבנה מינך, אעפ"י דהוא ודאי וודאי, מ"מ אינו נאמן במיגו דלא הייתה של המערער מעולם, דהוא ירא לטעון </w:t>
      </w:r>
      <w:r>
        <w:rPr>
          <w:rFonts w:hint="cs"/>
          <w:rtl/>
        </w:rPr>
        <w:lastRenderedPageBreak/>
        <w:t xml:space="preserve">כן, שמא יביא עדים שהייתה שלו, </w:t>
      </w:r>
      <w:r w:rsidRPr="00CF7594">
        <w:rPr>
          <w:rStyle w:val="afb"/>
          <w:rFonts w:hint="cs"/>
          <w:rtl/>
        </w:rPr>
        <w:t xml:space="preserve">[כדכתב </w:t>
      </w:r>
      <w:r w:rsidRPr="00CF7594">
        <w:rPr>
          <w:rStyle w:val="affa"/>
          <w:rFonts w:hint="cs"/>
          <w:rtl/>
        </w:rPr>
        <w:t>הרא"ש</w:t>
      </w:r>
      <w:r w:rsidRPr="00CF7594">
        <w:rPr>
          <w:rStyle w:val="afb"/>
          <w:rFonts w:hint="cs"/>
          <w:rtl/>
        </w:rPr>
        <w:t xml:space="preserve"> </w:t>
      </w:r>
      <w:r w:rsidRPr="00CF7594">
        <w:rPr>
          <w:rStyle w:val="aff6"/>
          <w:rFonts w:hint="cs"/>
          <w:rtl/>
        </w:rPr>
        <w:t xml:space="preserve">(עי' אות </w:t>
      </w:r>
      <w:r w:rsidRPr="00CF7594">
        <w:rPr>
          <w:rStyle w:val="aff6"/>
          <w:rtl/>
        </w:rPr>
        <w:fldChar w:fldCharType="begin"/>
      </w:r>
      <w:r w:rsidRPr="00CF7594">
        <w:rPr>
          <w:rStyle w:val="aff6"/>
          <w:rtl/>
        </w:rPr>
        <w:instrText xml:space="preserve"> </w:instrText>
      </w:r>
      <w:r w:rsidRPr="00CF7594">
        <w:rPr>
          <w:rStyle w:val="aff6"/>
          <w:rFonts w:hint="cs"/>
        </w:rPr>
        <w:instrText>REF</w:instrText>
      </w:r>
      <w:r w:rsidRPr="00CF7594">
        <w:rPr>
          <w:rStyle w:val="aff6"/>
          <w:rFonts w:hint="cs"/>
          <w:rtl/>
        </w:rPr>
        <w:instrText xml:space="preserve"> _</w:instrText>
      </w:r>
      <w:r w:rsidRPr="00CF7594">
        <w:rPr>
          <w:rStyle w:val="aff6"/>
          <w:rFonts w:hint="cs"/>
        </w:rPr>
        <w:instrText>Ref59655213 \r \h</w:instrText>
      </w:r>
      <w:r w:rsidRPr="00CF7594">
        <w:rPr>
          <w:rStyle w:val="aff6"/>
          <w:rtl/>
        </w:rPr>
        <w:instrText xml:space="preserve"> </w:instrText>
      </w:r>
      <w:r w:rsidRPr="00CF7594">
        <w:rPr>
          <w:rStyle w:val="aff6"/>
          <w:rtl/>
        </w:rPr>
      </w:r>
      <w:r w:rsidRPr="00CF7594">
        <w:rPr>
          <w:rStyle w:val="aff6"/>
          <w:rtl/>
        </w:rPr>
        <w:fldChar w:fldCharType="separate"/>
      </w:r>
      <w:r w:rsidR="00265073">
        <w:rPr>
          <w:rStyle w:val="aff6"/>
          <w:cs/>
        </w:rPr>
        <w:t>‎</w:t>
      </w:r>
      <w:r w:rsidR="00265073">
        <w:rPr>
          <w:rStyle w:val="aff6"/>
          <w:rtl/>
        </w:rPr>
        <w:t>נ)</w:t>
      </w:r>
      <w:r w:rsidRPr="00CF7594">
        <w:rPr>
          <w:rStyle w:val="aff6"/>
          <w:rtl/>
        </w:rPr>
        <w:fldChar w:fldCharType="end"/>
      </w:r>
      <w:r w:rsidRPr="00CF7594">
        <w:rPr>
          <w:rStyle w:val="afb"/>
          <w:rFonts w:hint="cs"/>
          <w:rtl/>
        </w:rPr>
        <w:t>],</w:t>
      </w:r>
      <w:r>
        <w:rPr>
          <w:rFonts w:hint="cs"/>
          <w:rtl/>
        </w:rPr>
        <w:t xml:space="preserve"> אבל כשהוא טוען מינך זבינתה, ביאר </w:t>
      </w:r>
      <w:r w:rsidRPr="00D37908">
        <w:rPr>
          <w:rStyle w:val="af9"/>
          <w:rFonts w:hint="cs"/>
          <w:rtl/>
        </w:rPr>
        <w:t xml:space="preserve">המהר"ן שפירא </w:t>
      </w:r>
      <w:r>
        <w:rPr>
          <w:rFonts w:hint="cs"/>
          <w:rtl/>
        </w:rPr>
        <w:t xml:space="preserve">דהוא נאמן אף במיגו דלא הייתה שלך מעולם, כיון שאף הטענה דמינך זבינתה אינה טענה טובה כ"כ, דאין לו עדים או ראיה שקנה ממנו, משא"כ כשטוען דקמי דידי זבנה מינך, והוא קנה מהמוכר, דהיא טענה טובה, כדביאר </w:t>
      </w:r>
      <w:r w:rsidRPr="00775FC8">
        <w:rPr>
          <w:rStyle w:val="af9"/>
          <w:rFonts w:hint="cs"/>
          <w:rtl/>
        </w:rPr>
        <w:t>הרשב"ם</w:t>
      </w:r>
      <w:r>
        <w:rPr>
          <w:rFonts w:hint="cs"/>
          <w:rtl/>
        </w:rPr>
        <w:t xml:space="preserve"> </w:t>
      </w:r>
      <w:r w:rsidRPr="00091DF9">
        <w:rPr>
          <w:rStyle w:val="af7"/>
          <w:rFonts w:eastAsia="Guttman Hodes" w:hint="cs"/>
          <w:rtl/>
        </w:rPr>
        <w:t>(ד"ה א"ל</w:t>
      </w:r>
      <w:r>
        <w:rPr>
          <w:rStyle w:val="af7"/>
          <w:rFonts w:eastAsia="Guttman Hodes" w:hint="cs"/>
          <w:rtl/>
        </w:rPr>
        <w:t>, הובא בסימן ח' אות א')</w:t>
      </w:r>
      <w:r>
        <w:rPr>
          <w:rFonts w:hint="cs"/>
          <w:rtl/>
        </w:rPr>
        <w:t xml:space="preserve"> דיש לו שטר מכר מהמוכר.</w:t>
      </w:r>
      <w:bookmarkEnd w:id="10032"/>
    </w:p>
    <w:p w:rsidR="000E75A3" w:rsidRDefault="000E75A3" w:rsidP="000E75A3">
      <w:pPr>
        <w:pStyle w:val="1"/>
        <w:rPr>
          <w:rtl/>
        </w:rPr>
      </w:pPr>
      <w:bookmarkStart w:id="10033" w:name="_Toc59620338"/>
      <w:bookmarkStart w:id="10034" w:name="_Toc59643610"/>
      <w:bookmarkStart w:id="10035" w:name="_Toc59741701"/>
      <w:bookmarkStart w:id="10036" w:name="_Toc59786836"/>
      <w:bookmarkStart w:id="10037" w:name="_Toc59802647"/>
      <w:bookmarkStart w:id="10038" w:name="_Toc59916208"/>
      <w:r>
        <w:rPr>
          <w:rFonts w:hint="cs"/>
          <w:rtl/>
        </w:rPr>
        <w:t>ביאור הרמב"ן ברי"ף דבקמי דידי נאמן אף בלא חזקה</w:t>
      </w:r>
      <w:bookmarkEnd w:id="10028"/>
      <w:bookmarkEnd w:id="10029"/>
      <w:bookmarkEnd w:id="10030"/>
      <w:bookmarkEnd w:id="10031"/>
      <w:bookmarkEnd w:id="10033"/>
      <w:bookmarkEnd w:id="10034"/>
      <w:bookmarkEnd w:id="10035"/>
      <w:bookmarkEnd w:id="10036"/>
      <w:bookmarkEnd w:id="10037"/>
      <w:bookmarkEnd w:id="10038"/>
    </w:p>
    <w:p w:rsidR="000E75A3" w:rsidRPr="00037F8E" w:rsidRDefault="000E75A3" w:rsidP="000E75A3">
      <w:pPr>
        <w:pStyle w:val="a3"/>
        <w:rPr>
          <w:rtl/>
        </w:rPr>
      </w:pPr>
      <w:bookmarkStart w:id="10039" w:name="_Toc59620339"/>
      <w:bookmarkStart w:id="10040" w:name="_Toc59643611"/>
      <w:bookmarkStart w:id="10041" w:name="_Toc59741702"/>
      <w:bookmarkStart w:id="10042" w:name="_Toc59786837"/>
      <w:bookmarkStart w:id="10043" w:name="_Toc59802648"/>
      <w:bookmarkStart w:id="10044" w:name="_Toc59916209"/>
      <w:r>
        <w:rPr>
          <w:rFonts w:hint="cs"/>
          <w:rtl/>
        </w:rPr>
        <w:t>דברי הרמב"ן דקמי דידי הוי ודאי וודאי וא"צ חזקה וכוונת הרי"ף דכשיש עידי מר"ק צריך חזקה</w:t>
      </w:r>
      <w:bookmarkEnd w:id="10039"/>
      <w:bookmarkEnd w:id="10040"/>
      <w:bookmarkEnd w:id="10041"/>
      <w:bookmarkEnd w:id="10042"/>
      <w:bookmarkEnd w:id="10043"/>
      <w:bookmarkEnd w:id="10044"/>
    </w:p>
    <w:p w:rsidR="000E75A3" w:rsidRDefault="000E75A3" w:rsidP="007E4E81">
      <w:pPr>
        <w:pStyle w:val="a0"/>
        <w:rPr>
          <w:rtl/>
        </w:rPr>
      </w:pPr>
      <w:bookmarkStart w:id="10045" w:name="_Ref59615619"/>
      <w:r>
        <w:rPr>
          <w:rFonts w:hint="cs"/>
          <w:rtl/>
        </w:rPr>
        <w:t xml:space="preserve">אך דחה </w:t>
      </w:r>
      <w:r w:rsidRPr="00D80E0D">
        <w:rPr>
          <w:rStyle w:val="af9"/>
          <w:rFonts w:hint="cs"/>
          <w:rtl/>
        </w:rPr>
        <w:t>הרמב"ן</w:t>
      </w:r>
      <w:r>
        <w:rPr>
          <w:rFonts w:hint="cs"/>
          <w:rtl/>
        </w:rPr>
        <w:t xml:space="preserve"> </w:t>
      </w:r>
      <w:r w:rsidRPr="00D80E0D">
        <w:rPr>
          <w:rStyle w:val="af7"/>
          <w:rFonts w:eastAsia="Guttman Hodes" w:hint="cs"/>
          <w:rtl/>
        </w:rPr>
        <w:t>(ד"ה ואף דברי)</w:t>
      </w:r>
      <w:r>
        <w:rPr>
          <w:rFonts w:hint="cs"/>
          <w:rtl/>
        </w:rPr>
        <w:t xml:space="preserve"> דכיון דבסוגיין איירי שאין לו חזקה, כיון שלא טען כן המחזיק, </w:t>
      </w:r>
      <w:r w:rsidRPr="00D80E0D">
        <w:rPr>
          <w:rStyle w:val="afb"/>
          <w:rFonts w:hint="cs"/>
          <w:rtl/>
        </w:rPr>
        <w:t xml:space="preserve">[כדביאר </w:t>
      </w:r>
      <w:r w:rsidRPr="00D80E0D">
        <w:rPr>
          <w:rStyle w:val="affa"/>
          <w:rFonts w:hint="cs"/>
          <w:rtl/>
        </w:rPr>
        <w:t>הרמב"ן</w:t>
      </w:r>
      <w:r w:rsidRPr="00D80E0D">
        <w:rPr>
          <w:rStyle w:val="afb"/>
          <w:rFonts w:hint="cs"/>
          <w:rtl/>
        </w:rPr>
        <w:t xml:space="preserve"> בשם </w:t>
      </w:r>
      <w:r w:rsidRPr="00D80E0D">
        <w:rPr>
          <w:rStyle w:val="affa"/>
          <w:rFonts w:hint="cs"/>
          <w:rtl/>
        </w:rPr>
        <w:t>הרי"ף</w:t>
      </w:r>
      <w:r w:rsidRPr="00D80E0D">
        <w:rPr>
          <w:rStyle w:val="afb"/>
          <w:rFonts w:hint="cs"/>
          <w:rtl/>
        </w:rPr>
        <w:t xml:space="preserve"> </w:t>
      </w:r>
      <w:r w:rsidRPr="000344AE">
        <w:rPr>
          <w:rStyle w:val="aff6"/>
          <w:rFonts w:hint="cs"/>
          <w:rtl/>
        </w:rPr>
        <w:t>(הובא בסימן ח' אות כ"ח)</w:t>
      </w:r>
      <w:r w:rsidRPr="00D80E0D">
        <w:rPr>
          <w:rStyle w:val="afb"/>
          <w:rFonts w:hint="cs"/>
          <w:rtl/>
        </w:rPr>
        <w:t>],</w:t>
      </w:r>
      <w:r>
        <w:rPr>
          <w:rFonts w:hint="cs"/>
          <w:rtl/>
        </w:rPr>
        <w:t xml:space="preserve"> ואפ"ה הא דאין המחזיק נאמן הוא רק כיון דאין ספק מוציא מידי ודאי, וכדביאר </w:t>
      </w:r>
      <w:r w:rsidRPr="00D80E0D">
        <w:rPr>
          <w:rStyle w:val="af9"/>
          <w:rFonts w:hint="cs"/>
          <w:rtl/>
        </w:rPr>
        <w:t>הרי"ף</w:t>
      </w:r>
      <w:r>
        <w:rPr>
          <w:rFonts w:hint="cs"/>
          <w:rtl/>
        </w:rPr>
        <w:t xml:space="preserve"> </w:t>
      </w:r>
      <w:r w:rsidRPr="0004134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Ref59616683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Pr>
          <w:rStyle w:val="af7"/>
          <w:rFonts w:eastAsia="Guttman Hodes"/>
          <w:rtl/>
        </w:rPr>
        <w:fldChar w:fldCharType="end"/>
      </w:r>
      <w:r w:rsidRPr="0004134B">
        <w:rPr>
          <w:rStyle w:val="af7"/>
          <w:rFonts w:eastAsia="Guttman Hodes" w:hint="cs"/>
          <w:rtl/>
        </w:rPr>
        <w:t xml:space="preserve"> </w:t>
      </w:r>
      <w:r>
        <w:rPr>
          <w:rFonts w:hint="cs"/>
          <w:rtl/>
        </w:rPr>
        <w:t xml:space="preserve">א"כ מוכח דכל שהוא טוען טענת ברי, דאומר קמי דידי זבנה מינך, דאינו ספק וודאי, אלא ודאי וודאי הוא נאמן, </w:t>
      </w:r>
      <w:r w:rsidRPr="005A0CFF">
        <w:rPr>
          <w:rStyle w:val="afb"/>
          <w:rFonts w:hint="cs"/>
          <w:rtl/>
        </w:rPr>
        <w:t xml:space="preserve">[ועי' בדברי </w:t>
      </w:r>
      <w:r>
        <w:rPr>
          <w:rStyle w:val="affa"/>
          <w:rFonts w:hint="cs"/>
          <w:rtl/>
        </w:rPr>
        <w:t xml:space="preserve">חי' אנשי שם </w:t>
      </w:r>
      <w:r w:rsidRPr="00451C9C">
        <w:rPr>
          <w:rStyle w:val="aff6"/>
          <w:rFonts w:hint="cs"/>
          <w:rtl/>
        </w:rPr>
        <w:t xml:space="preserve">(עי' אות </w:t>
      </w:r>
      <w:r w:rsidRPr="00451C9C">
        <w:rPr>
          <w:rStyle w:val="aff6"/>
          <w:rtl/>
        </w:rPr>
        <w:fldChar w:fldCharType="begin"/>
      </w:r>
      <w:r w:rsidRPr="00451C9C">
        <w:rPr>
          <w:rStyle w:val="aff6"/>
          <w:rtl/>
        </w:rPr>
        <w:instrText xml:space="preserve"> </w:instrText>
      </w:r>
      <w:r w:rsidRPr="00451C9C">
        <w:rPr>
          <w:rStyle w:val="aff6"/>
          <w:rFonts w:hint="cs"/>
        </w:rPr>
        <w:instrText>REF</w:instrText>
      </w:r>
      <w:r w:rsidRPr="00451C9C">
        <w:rPr>
          <w:rStyle w:val="aff6"/>
          <w:rFonts w:hint="cs"/>
          <w:rtl/>
        </w:rPr>
        <w:instrText xml:space="preserve"> _</w:instrText>
      </w:r>
      <w:r w:rsidRPr="00451C9C">
        <w:rPr>
          <w:rStyle w:val="aff6"/>
          <w:rFonts w:hint="cs"/>
        </w:rPr>
        <w:instrText>Ref59702521 \r \h</w:instrText>
      </w:r>
      <w:r w:rsidRPr="00451C9C">
        <w:rPr>
          <w:rStyle w:val="aff6"/>
          <w:rtl/>
        </w:rPr>
        <w:instrText xml:space="preserve"> </w:instrText>
      </w:r>
      <w:r w:rsidRPr="00451C9C">
        <w:rPr>
          <w:rStyle w:val="aff6"/>
          <w:rtl/>
        </w:rPr>
      </w:r>
      <w:r w:rsidRPr="00451C9C">
        <w:rPr>
          <w:rStyle w:val="aff6"/>
          <w:rtl/>
        </w:rPr>
        <w:fldChar w:fldCharType="separate"/>
      </w:r>
      <w:r w:rsidR="00265073">
        <w:rPr>
          <w:rStyle w:val="aff6"/>
          <w:cs/>
        </w:rPr>
        <w:t>‎</w:t>
      </w:r>
      <w:r w:rsidR="00265073">
        <w:rPr>
          <w:rStyle w:val="aff6"/>
          <w:rtl/>
        </w:rPr>
        <w:t>צא)</w:t>
      </w:r>
      <w:r w:rsidRPr="00451C9C">
        <w:rPr>
          <w:rStyle w:val="aff6"/>
          <w:rtl/>
        </w:rPr>
        <w:fldChar w:fldCharType="end"/>
      </w:r>
      <w:r>
        <w:rPr>
          <w:rStyle w:val="affa"/>
          <w:rFonts w:hint="cs"/>
          <w:rtl/>
        </w:rPr>
        <w:t xml:space="preserve"> ו</w:t>
      </w:r>
      <w:r w:rsidRPr="005A0CFF">
        <w:rPr>
          <w:rStyle w:val="affa"/>
          <w:rFonts w:hint="cs"/>
          <w:rtl/>
        </w:rPr>
        <w:t>התומים</w:t>
      </w:r>
      <w:r w:rsidRPr="005A0CFF">
        <w:rPr>
          <w:rStyle w:val="afb"/>
          <w:rFonts w:hint="cs"/>
          <w:rtl/>
        </w:rPr>
        <w:t xml:space="preserve"> </w:t>
      </w:r>
      <w:r w:rsidRPr="005A0CFF">
        <w:rPr>
          <w:rStyle w:val="aff6"/>
          <w:rFonts w:hint="cs"/>
          <w:rtl/>
        </w:rPr>
        <w:t xml:space="preserve">(עי' אות </w:t>
      </w:r>
      <w:r w:rsidRPr="005A0CFF">
        <w:rPr>
          <w:rStyle w:val="aff6"/>
          <w:rtl/>
        </w:rPr>
        <w:fldChar w:fldCharType="begin"/>
      </w:r>
      <w:r w:rsidRPr="005A0CFF">
        <w:rPr>
          <w:rStyle w:val="aff6"/>
          <w:rtl/>
        </w:rPr>
        <w:instrText xml:space="preserve"> </w:instrText>
      </w:r>
      <w:r w:rsidRPr="005A0CFF">
        <w:rPr>
          <w:rStyle w:val="aff6"/>
          <w:rFonts w:hint="cs"/>
        </w:rPr>
        <w:instrText>REF</w:instrText>
      </w:r>
      <w:r w:rsidRPr="005A0CFF">
        <w:rPr>
          <w:rStyle w:val="aff6"/>
          <w:rFonts w:hint="cs"/>
          <w:rtl/>
        </w:rPr>
        <w:instrText xml:space="preserve"> _</w:instrText>
      </w:r>
      <w:r w:rsidRPr="005A0CFF">
        <w:rPr>
          <w:rStyle w:val="aff6"/>
          <w:rFonts w:hint="cs"/>
        </w:rPr>
        <w:instrText>Ref59619064 \r \h</w:instrText>
      </w:r>
      <w:r w:rsidRPr="005A0CFF">
        <w:rPr>
          <w:rStyle w:val="aff6"/>
          <w:rtl/>
        </w:rPr>
        <w:instrText xml:space="preserve"> </w:instrText>
      </w:r>
      <w:r w:rsidRPr="005A0CFF">
        <w:rPr>
          <w:rStyle w:val="aff6"/>
          <w:rtl/>
        </w:rPr>
      </w:r>
      <w:r w:rsidRPr="005A0CFF">
        <w:rPr>
          <w:rStyle w:val="aff6"/>
          <w:rtl/>
        </w:rPr>
        <w:fldChar w:fldCharType="separate"/>
      </w:r>
      <w:r w:rsidR="00265073">
        <w:rPr>
          <w:rStyle w:val="aff6"/>
          <w:cs/>
        </w:rPr>
        <w:t>‎</w:t>
      </w:r>
      <w:r w:rsidR="00265073">
        <w:rPr>
          <w:rStyle w:val="aff6"/>
          <w:rtl/>
        </w:rPr>
        <w:t>צה)</w:t>
      </w:r>
      <w:r w:rsidRPr="005A0CFF">
        <w:rPr>
          <w:rStyle w:val="aff6"/>
          <w:rtl/>
        </w:rPr>
        <w:fldChar w:fldCharType="end"/>
      </w:r>
      <w:r w:rsidRPr="005A0CFF">
        <w:rPr>
          <w:rStyle w:val="afb"/>
          <w:rFonts w:hint="cs"/>
          <w:rtl/>
        </w:rPr>
        <w:t>],</w:t>
      </w:r>
      <w:r>
        <w:rPr>
          <w:rFonts w:hint="cs"/>
          <w:rtl/>
        </w:rPr>
        <w:t xml:space="preserve"> אלא ביאר </w:t>
      </w:r>
      <w:r w:rsidRPr="00D80E0D">
        <w:rPr>
          <w:rStyle w:val="af9"/>
          <w:rFonts w:hint="cs"/>
          <w:rtl/>
        </w:rPr>
        <w:t>הרמב"ן</w:t>
      </w:r>
      <w:r>
        <w:rPr>
          <w:rFonts w:hint="cs"/>
          <w:rtl/>
        </w:rPr>
        <w:t xml:space="preserve"> דמ"ש </w:t>
      </w:r>
      <w:r w:rsidRPr="00D80E0D">
        <w:rPr>
          <w:rStyle w:val="af9"/>
          <w:rFonts w:hint="cs"/>
          <w:rtl/>
        </w:rPr>
        <w:t>הרי"ף</w:t>
      </w:r>
      <w:r>
        <w:rPr>
          <w:rFonts w:hint="cs"/>
          <w:rtl/>
        </w:rPr>
        <w:t xml:space="preserve"> </w:t>
      </w:r>
      <w:r w:rsidRPr="00184C86">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Ref59615569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Pr>
          <w:rStyle w:val="af7"/>
          <w:rFonts w:eastAsia="Guttman Hodes"/>
          <w:rtl/>
        </w:rPr>
        <w:fldChar w:fldCharType="end"/>
      </w:r>
      <w:r>
        <w:rPr>
          <w:rFonts w:hint="cs"/>
          <w:rtl/>
        </w:rPr>
        <w:t xml:space="preserve"> שיש למחזיק חזקת ג"ש, היינו באופן שאינו מודה למערער, דקאי </w:t>
      </w:r>
      <w:r w:rsidRPr="00D80E0D">
        <w:rPr>
          <w:rStyle w:val="af9"/>
          <w:rFonts w:hint="cs"/>
          <w:rtl/>
        </w:rPr>
        <w:t>הרי"ף</w:t>
      </w:r>
      <w:r>
        <w:rPr>
          <w:rFonts w:hint="cs"/>
          <w:rtl/>
        </w:rPr>
        <w:t xml:space="preserve"> על תחילת דבריו דאיירי באופן שיש עדים למערער.</w:t>
      </w:r>
      <w:bookmarkEnd w:id="10045"/>
    </w:p>
    <w:p w:rsidR="000E75A3" w:rsidRPr="00922B44" w:rsidRDefault="000E75A3" w:rsidP="000E75A3">
      <w:pPr>
        <w:pStyle w:val="a3"/>
        <w:rPr>
          <w:rtl/>
        </w:rPr>
      </w:pPr>
      <w:bookmarkStart w:id="10046" w:name="_Toc59620340"/>
      <w:bookmarkStart w:id="10047" w:name="_Toc59643612"/>
      <w:bookmarkStart w:id="10048" w:name="_Toc59741703"/>
      <w:bookmarkStart w:id="10049" w:name="_Toc59786838"/>
      <w:bookmarkStart w:id="10050" w:name="_Toc59802649"/>
      <w:bookmarkStart w:id="10051" w:name="_Toc59916210"/>
      <w:r>
        <w:rPr>
          <w:rFonts w:hint="cs"/>
          <w:rtl/>
        </w:rPr>
        <w:t>דברי הש"ך דדוחק לומר דכוונת הרי"ף דלב"ד יש ספק אף כשהמחזיק טוען טענת ודאי</w:t>
      </w:r>
      <w:bookmarkEnd w:id="10046"/>
      <w:bookmarkEnd w:id="10047"/>
      <w:bookmarkEnd w:id="10048"/>
      <w:bookmarkEnd w:id="10049"/>
      <w:bookmarkEnd w:id="10050"/>
      <w:bookmarkEnd w:id="10051"/>
    </w:p>
    <w:p w:rsidR="000E75A3" w:rsidRDefault="000E75A3" w:rsidP="007E4E81">
      <w:pPr>
        <w:pStyle w:val="a0"/>
        <w:rPr>
          <w:rtl/>
        </w:rPr>
      </w:pPr>
      <w:bookmarkStart w:id="10052" w:name="_Ref59730617"/>
      <w:r>
        <w:rPr>
          <w:rFonts w:hint="cs"/>
          <w:rtl/>
        </w:rPr>
        <w:t xml:space="preserve">וכתב </w:t>
      </w:r>
      <w:r w:rsidRPr="00D95681">
        <w:rPr>
          <w:rStyle w:val="af9"/>
          <w:rFonts w:hint="cs"/>
          <w:rtl/>
        </w:rPr>
        <w:t>הש"ך</w:t>
      </w:r>
      <w:r>
        <w:rPr>
          <w:rFonts w:hint="cs"/>
          <w:rtl/>
        </w:rPr>
        <w:t xml:space="preserve"> </w:t>
      </w:r>
      <w:r w:rsidRPr="00D95681">
        <w:rPr>
          <w:rStyle w:val="af7"/>
          <w:rFonts w:eastAsia="Guttman Hodes" w:hint="cs"/>
          <w:rtl/>
        </w:rPr>
        <w:t>(סי' קמ"ו סקי"ג)</w:t>
      </w:r>
      <w:r>
        <w:rPr>
          <w:rFonts w:hint="cs"/>
          <w:rtl/>
        </w:rPr>
        <w:t xml:space="preserve"> דמוכח כביאור </w:t>
      </w:r>
      <w:r w:rsidRPr="00D80E0D">
        <w:rPr>
          <w:rStyle w:val="af9"/>
          <w:rFonts w:hint="cs"/>
          <w:rtl/>
        </w:rPr>
        <w:t>הרמב"ן</w:t>
      </w:r>
      <w:r>
        <w:rPr>
          <w:rFonts w:hint="cs"/>
          <w:rtl/>
        </w:rPr>
        <w:t xml:space="preserve"> </w:t>
      </w:r>
      <w:r w:rsidRPr="002110B3">
        <w:rPr>
          <w:rStyle w:val="af7"/>
          <w:rFonts w:eastAsia="Guttman Hodes" w:hint="cs"/>
          <w:rtl/>
        </w:rPr>
        <w:t xml:space="preserve">(עי' אות </w:t>
      </w:r>
      <w:r w:rsidRPr="002110B3">
        <w:rPr>
          <w:rStyle w:val="af7"/>
          <w:rFonts w:eastAsia="Guttman Hodes"/>
          <w:rtl/>
        </w:rPr>
        <w:fldChar w:fldCharType="begin"/>
      </w:r>
      <w:r w:rsidRPr="002110B3">
        <w:rPr>
          <w:rStyle w:val="af7"/>
          <w:rFonts w:eastAsia="Guttman Hodes"/>
          <w:rtl/>
        </w:rPr>
        <w:instrText xml:space="preserve"> </w:instrText>
      </w:r>
      <w:r w:rsidRPr="002110B3">
        <w:rPr>
          <w:rStyle w:val="af7"/>
          <w:rFonts w:eastAsia="Guttman Hodes" w:hint="cs"/>
        </w:rPr>
        <w:instrText>REF</w:instrText>
      </w:r>
      <w:r w:rsidRPr="002110B3">
        <w:rPr>
          <w:rStyle w:val="af7"/>
          <w:rFonts w:eastAsia="Guttman Hodes" w:hint="cs"/>
          <w:rtl/>
        </w:rPr>
        <w:instrText xml:space="preserve"> _</w:instrText>
      </w:r>
      <w:r w:rsidRPr="002110B3">
        <w:rPr>
          <w:rStyle w:val="af7"/>
          <w:rFonts w:eastAsia="Guttman Hodes" w:hint="cs"/>
        </w:rPr>
        <w:instrText>Ref59615619 \r \h</w:instrText>
      </w:r>
      <w:r w:rsidRPr="002110B3">
        <w:rPr>
          <w:rStyle w:val="af7"/>
          <w:rFonts w:eastAsia="Guttman Hodes"/>
          <w:rtl/>
        </w:rPr>
        <w:instrText xml:space="preserve"> </w:instrText>
      </w:r>
      <w:r w:rsidRPr="002110B3">
        <w:rPr>
          <w:rStyle w:val="af7"/>
          <w:rFonts w:eastAsia="Guttman Hodes"/>
          <w:rtl/>
        </w:rPr>
      </w:r>
      <w:r w:rsidRPr="002110B3">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2110B3">
        <w:rPr>
          <w:rStyle w:val="af7"/>
          <w:rFonts w:eastAsia="Guttman Hodes"/>
          <w:rtl/>
        </w:rPr>
        <w:fldChar w:fldCharType="end"/>
      </w:r>
      <w:r>
        <w:rPr>
          <w:rStyle w:val="af7"/>
          <w:rFonts w:eastAsia="Guttman Hodes" w:hint="cs"/>
          <w:rtl/>
        </w:rPr>
        <w:t xml:space="preserve"> </w:t>
      </w:r>
      <w:r>
        <w:rPr>
          <w:rFonts w:hint="cs"/>
          <w:rtl/>
        </w:rPr>
        <w:t xml:space="preserve">בדברי </w:t>
      </w:r>
      <w:r w:rsidRPr="00D80E0D">
        <w:rPr>
          <w:rStyle w:val="af9"/>
          <w:rFonts w:hint="cs"/>
          <w:rtl/>
        </w:rPr>
        <w:t>הרי"ף</w:t>
      </w:r>
      <w:r>
        <w:rPr>
          <w:rFonts w:hint="cs"/>
          <w:rtl/>
        </w:rPr>
        <w:t xml:space="preserve"> </w:t>
      </w:r>
      <w:r w:rsidRPr="0004134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Ref59616683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Pr>
          <w:rStyle w:val="af7"/>
          <w:rFonts w:eastAsia="Guttman Hodes"/>
          <w:rtl/>
        </w:rPr>
        <w:fldChar w:fldCharType="end"/>
      </w:r>
      <w:r>
        <w:rPr>
          <w:rFonts w:hint="cs"/>
          <w:rtl/>
        </w:rPr>
        <w:t xml:space="preserve"> דכתב דאינו נאמן כיון דאין ספק מוציא מידי ודאי, ומבואר דאם ברור למחזיק שהמוכר קנה מהמערער, הוא נאמן במיגו, דהא דוחק לומר דכוונת </w:t>
      </w:r>
      <w:r w:rsidRPr="00D95681">
        <w:rPr>
          <w:rStyle w:val="af9"/>
          <w:rFonts w:hint="cs"/>
          <w:rtl/>
        </w:rPr>
        <w:t>הרי"ף</w:t>
      </w:r>
      <w:r>
        <w:rPr>
          <w:rFonts w:hint="cs"/>
          <w:rtl/>
        </w:rPr>
        <w:t xml:space="preserve"> דאין ספק מוציא מידי ודאי היינו שיש לב"ד ספק אם המוכר אמר למחזיק שקנה מהמערער, דאין כל נ"מ אי אמר לו כן או לא, דהא המחזיק טוען בטענת ברי וככל מיגו הוא כשאנו מסופקים והוא טוען טענת ברי ונאמן במיגו דלא היה מודה כלל, וכתב </w:t>
      </w:r>
      <w:r w:rsidRPr="00D01175">
        <w:rPr>
          <w:rStyle w:val="af9"/>
          <w:rFonts w:hint="cs"/>
          <w:rtl/>
        </w:rPr>
        <w:t>הש"ך</w:t>
      </w:r>
      <w:r>
        <w:rPr>
          <w:rFonts w:hint="cs"/>
          <w:rtl/>
        </w:rPr>
        <w:t xml:space="preserve"> דכן מוכח </w:t>
      </w:r>
      <w:r w:rsidRPr="00D01175">
        <w:rPr>
          <w:rStyle w:val="af9"/>
          <w:rFonts w:hint="cs"/>
          <w:rtl/>
        </w:rPr>
        <w:t>ברא"ש</w:t>
      </w:r>
      <w:r>
        <w:rPr>
          <w:rFonts w:hint="cs"/>
          <w:rtl/>
        </w:rPr>
        <w:t xml:space="preserve"> </w:t>
      </w:r>
      <w:r w:rsidRPr="0066294C">
        <w:rPr>
          <w:rStyle w:val="af7"/>
          <w:rFonts w:eastAsia="Guttman Hodes" w:hint="cs"/>
          <w:rtl/>
        </w:rPr>
        <w:t xml:space="preserve">(עי' אות </w:t>
      </w:r>
      <w:r w:rsidRPr="0066294C">
        <w:rPr>
          <w:rStyle w:val="af7"/>
          <w:rFonts w:eastAsia="Guttman Hodes"/>
          <w:rtl/>
        </w:rPr>
        <w:fldChar w:fldCharType="begin"/>
      </w:r>
      <w:r w:rsidRPr="0066294C">
        <w:rPr>
          <w:rStyle w:val="af7"/>
          <w:rFonts w:eastAsia="Guttman Hodes"/>
          <w:rtl/>
        </w:rPr>
        <w:instrText xml:space="preserve"> </w:instrText>
      </w:r>
      <w:r w:rsidRPr="0066294C">
        <w:rPr>
          <w:rStyle w:val="af7"/>
          <w:rFonts w:eastAsia="Guttman Hodes" w:hint="cs"/>
        </w:rPr>
        <w:instrText>REF</w:instrText>
      </w:r>
      <w:r w:rsidRPr="0066294C">
        <w:rPr>
          <w:rStyle w:val="af7"/>
          <w:rFonts w:eastAsia="Guttman Hodes" w:hint="cs"/>
          <w:rtl/>
        </w:rPr>
        <w:instrText xml:space="preserve"> _</w:instrText>
      </w:r>
      <w:r w:rsidRPr="0066294C">
        <w:rPr>
          <w:rStyle w:val="af7"/>
          <w:rFonts w:eastAsia="Guttman Hodes" w:hint="cs"/>
        </w:rPr>
        <w:instrText>Ref59615197 \r \h</w:instrText>
      </w:r>
      <w:r w:rsidRPr="0066294C">
        <w:rPr>
          <w:rStyle w:val="af7"/>
          <w:rFonts w:eastAsia="Guttman Hodes"/>
          <w:rtl/>
        </w:rPr>
        <w:instrText xml:space="preserve"> </w:instrText>
      </w:r>
      <w:r w:rsidRPr="0066294C">
        <w:rPr>
          <w:rStyle w:val="af7"/>
          <w:rFonts w:eastAsia="Guttman Hodes"/>
          <w:rtl/>
        </w:rPr>
      </w:r>
      <w:r w:rsidRPr="0066294C">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66294C">
        <w:rPr>
          <w:rStyle w:val="af7"/>
          <w:rFonts w:eastAsia="Guttman Hodes"/>
          <w:rtl/>
        </w:rPr>
        <w:fldChar w:fldCharType="end"/>
      </w:r>
      <w:r>
        <w:rPr>
          <w:rFonts w:hint="cs"/>
          <w:rtl/>
        </w:rPr>
        <w:t xml:space="preserve"> </w:t>
      </w:r>
      <w:r w:rsidRPr="00D01175">
        <w:rPr>
          <w:rStyle w:val="af9"/>
          <w:rFonts w:hint="cs"/>
          <w:rtl/>
        </w:rPr>
        <w:t>ובתוס'</w:t>
      </w:r>
      <w:r>
        <w:rPr>
          <w:rFonts w:hint="cs"/>
          <w:rtl/>
        </w:rPr>
        <w:t xml:space="preserve"> </w:t>
      </w:r>
      <w:r w:rsidRPr="0066294C">
        <w:rPr>
          <w:rStyle w:val="af7"/>
          <w:rFonts w:eastAsia="Guttman Hodes" w:hint="cs"/>
          <w:rtl/>
        </w:rPr>
        <w:t xml:space="preserve">(עי' אות </w:t>
      </w:r>
      <w:r w:rsidRPr="0066294C">
        <w:rPr>
          <w:rStyle w:val="af7"/>
          <w:rFonts w:eastAsia="Guttman Hodes"/>
          <w:rtl/>
        </w:rPr>
        <w:fldChar w:fldCharType="begin"/>
      </w:r>
      <w:r w:rsidRPr="0066294C">
        <w:rPr>
          <w:rStyle w:val="af7"/>
          <w:rFonts w:eastAsia="Guttman Hodes"/>
          <w:rtl/>
        </w:rPr>
        <w:instrText xml:space="preserve"> </w:instrText>
      </w:r>
      <w:r w:rsidRPr="0066294C">
        <w:rPr>
          <w:rStyle w:val="af7"/>
          <w:rFonts w:eastAsia="Guttman Hodes" w:hint="cs"/>
        </w:rPr>
        <w:instrText>REF</w:instrText>
      </w:r>
      <w:r w:rsidRPr="0066294C">
        <w:rPr>
          <w:rStyle w:val="af7"/>
          <w:rFonts w:eastAsia="Guttman Hodes" w:hint="cs"/>
          <w:rtl/>
        </w:rPr>
        <w:instrText xml:space="preserve"> _</w:instrText>
      </w:r>
      <w:r w:rsidRPr="0066294C">
        <w:rPr>
          <w:rStyle w:val="af7"/>
          <w:rFonts w:eastAsia="Guttman Hodes" w:hint="cs"/>
        </w:rPr>
        <w:instrText>Ref59724012 \r \h</w:instrText>
      </w:r>
      <w:r w:rsidRPr="0066294C">
        <w:rPr>
          <w:rStyle w:val="af7"/>
          <w:rFonts w:eastAsia="Guttman Hodes"/>
          <w:rtl/>
        </w:rPr>
        <w:instrText xml:space="preserve"> </w:instrText>
      </w:r>
      <w:r w:rsidRPr="0066294C">
        <w:rPr>
          <w:rStyle w:val="af7"/>
          <w:rFonts w:eastAsia="Guttman Hodes"/>
          <w:rtl/>
        </w:rPr>
      </w:r>
      <w:r w:rsidRPr="0066294C">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Pr="0066294C">
        <w:rPr>
          <w:rStyle w:val="af7"/>
          <w:rFonts w:eastAsia="Guttman Hodes"/>
          <w:rtl/>
        </w:rPr>
        <w:fldChar w:fldCharType="end"/>
      </w:r>
      <w:r>
        <w:rPr>
          <w:rFonts w:hint="cs"/>
          <w:rtl/>
        </w:rPr>
        <w:t xml:space="preserve"> </w:t>
      </w:r>
      <w:r w:rsidRPr="00D01175">
        <w:rPr>
          <w:rStyle w:val="af9"/>
          <w:rFonts w:hint="cs"/>
          <w:rtl/>
        </w:rPr>
        <w:t>ובהג' אשר"י</w:t>
      </w:r>
      <w:r>
        <w:rPr>
          <w:rFonts w:hint="cs"/>
          <w:rtl/>
        </w:rPr>
        <w:t xml:space="preserve"> </w:t>
      </w:r>
      <w:r w:rsidRPr="0066294C">
        <w:rPr>
          <w:rStyle w:val="af7"/>
          <w:rFonts w:eastAsia="Guttman Hodes" w:hint="cs"/>
          <w:rtl/>
        </w:rPr>
        <w:t xml:space="preserve">(עי' אות </w:t>
      </w:r>
      <w:r w:rsidRPr="0066294C">
        <w:rPr>
          <w:rStyle w:val="af7"/>
          <w:rFonts w:eastAsia="Guttman Hodes"/>
          <w:rtl/>
        </w:rPr>
        <w:fldChar w:fldCharType="begin"/>
      </w:r>
      <w:r w:rsidRPr="0066294C">
        <w:rPr>
          <w:rStyle w:val="af7"/>
          <w:rFonts w:eastAsia="Guttman Hodes"/>
          <w:rtl/>
        </w:rPr>
        <w:instrText xml:space="preserve"> </w:instrText>
      </w:r>
      <w:r w:rsidRPr="0066294C">
        <w:rPr>
          <w:rStyle w:val="af7"/>
          <w:rFonts w:eastAsia="Guttman Hodes" w:hint="cs"/>
        </w:rPr>
        <w:instrText>REF</w:instrText>
      </w:r>
      <w:r w:rsidRPr="0066294C">
        <w:rPr>
          <w:rStyle w:val="af7"/>
          <w:rFonts w:eastAsia="Guttman Hodes" w:hint="cs"/>
          <w:rtl/>
        </w:rPr>
        <w:instrText xml:space="preserve"> _</w:instrText>
      </w:r>
      <w:r w:rsidRPr="0066294C">
        <w:rPr>
          <w:rStyle w:val="af7"/>
          <w:rFonts w:eastAsia="Guttman Hodes" w:hint="cs"/>
        </w:rPr>
        <w:instrText>Ref59654466 \r \h</w:instrText>
      </w:r>
      <w:r w:rsidRPr="0066294C">
        <w:rPr>
          <w:rStyle w:val="af7"/>
          <w:rFonts w:eastAsia="Guttman Hodes"/>
          <w:rtl/>
        </w:rPr>
        <w:instrText xml:space="preserve"> </w:instrText>
      </w:r>
      <w:r w:rsidRPr="0066294C">
        <w:rPr>
          <w:rStyle w:val="af7"/>
          <w:rFonts w:eastAsia="Guttman Hodes"/>
          <w:rtl/>
        </w:rPr>
      </w:r>
      <w:r w:rsidRPr="0066294C">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sidRPr="0066294C">
        <w:rPr>
          <w:rStyle w:val="af7"/>
          <w:rFonts w:eastAsia="Guttman Hodes"/>
          <w:rtl/>
        </w:rPr>
        <w:fldChar w:fldCharType="end"/>
      </w:r>
      <w:r>
        <w:rPr>
          <w:rFonts w:hint="cs"/>
          <w:rtl/>
        </w:rPr>
        <w:t xml:space="preserve">, וכתב </w:t>
      </w:r>
      <w:r w:rsidRPr="00D95681">
        <w:rPr>
          <w:rStyle w:val="af9"/>
          <w:rFonts w:hint="cs"/>
          <w:rtl/>
        </w:rPr>
        <w:t>הש"ך</w:t>
      </w:r>
      <w:r>
        <w:rPr>
          <w:rFonts w:hint="cs"/>
          <w:rtl/>
        </w:rPr>
        <w:t xml:space="preserve"> ד</w:t>
      </w:r>
      <w:r w:rsidRPr="00C234F1">
        <w:rPr>
          <w:rFonts w:hint="cs"/>
          <w:rtl/>
        </w:rPr>
        <w:t xml:space="preserve">כן </w:t>
      </w:r>
      <w:r>
        <w:rPr>
          <w:rFonts w:hint="cs"/>
          <w:rtl/>
        </w:rPr>
        <w:t>הביא</w:t>
      </w:r>
      <w:r w:rsidRPr="00C234F1">
        <w:rPr>
          <w:rFonts w:hint="cs"/>
          <w:rtl/>
        </w:rPr>
        <w:t xml:space="preserve"> </w:t>
      </w:r>
      <w:r>
        <w:rPr>
          <w:rStyle w:val="af9"/>
          <w:rFonts w:hint="cs"/>
          <w:rtl/>
        </w:rPr>
        <w:t>ה</w:t>
      </w:r>
      <w:r w:rsidRPr="00115B42">
        <w:rPr>
          <w:rStyle w:val="af9"/>
          <w:rFonts w:hint="cs"/>
          <w:rtl/>
        </w:rPr>
        <w:t xml:space="preserve">רשב"א </w:t>
      </w:r>
      <w:r w:rsidRPr="00C81621">
        <w:rPr>
          <w:rStyle w:val="af7"/>
          <w:rFonts w:eastAsia="Guttman Hodes" w:hint="cs"/>
          <w:rtl/>
        </w:rPr>
        <w:t>(ד"ה והרב בעל העיטור)</w:t>
      </w:r>
      <w:r>
        <w:rPr>
          <w:rFonts w:hint="cs"/>
          <w:rtl/>
        </w:rPr>
        <w:t xml:space="preserve"> בשם </w:t>
      </w:r>
      <w:r w:rsidRPr="00F6341B">
        <w:rPr>
          <w:rStyle w:val="af9"/>
          <w:rFonts w:hint="cs"/>
          <w:rtl/>
        </w:rPr>
        <w:t>העיטור</w:t>
      </w:r>
      <w:r>
        <w:rPr>
          <w:rFonts w:hint="cs"/>
          <w:rtl/>
        </w:rPr>
        <w:t xml:space="preserve"> </w:t>
      </w:r>
      <w:r w:rsidRPr="00F6341B">
        <w:rPr>
          <w:rStyle w:val="af7"/>
          <w:rFonts w:eastAsia="Guttman Hodes" w:hint="cs"/>
          <w:rtl/>
        </w:rPr>
        <w:t>(או' מ' מחאה מב:, הועתק בקובץ שיטות קמאי ב"ב ח"א עמ' ת"ש)</w:t>
      </w:r>
      <w:r w:rsidRPr="00D01175">
        <w:rPr>
          <w:rStyle w:val="afb"/>
          <w:rFonts w:hint="cs"/>
          <w:rtl/>
        </w:rPr>
        <w:t xml:space="preserve"> [אך כתב </w:t>
      </w:r>
      <w:r w:rsidRPr="003E33FA">
        <w:rPr>
          <w:rStyle w:val="affa"/>
          <w:rFonts w:hint="cs"/>
          <w:rtl/>
        </w:rPr>
        <w:t>הש"ך</w:t>
      </w:r>
      <w:r w:rsidRPr="00D01175">
        <w:rPr>
          <w:rStyle w:val="afb"/>
          <w:rFonts w:hint="cs"/>
          <w:rtl/>
        </w:rPr>
        <w:t xml:space="preserve"> </w:t>
      </w:r>
      <w:r w:rsidRPr="003E33FA">
        <w:rPr>
          <w:rStyle w:val="affa"/>
          <w:rFonts w:hint="cs"/>
          <w:rtl/>
        </w:rPr>
        <w:t>דהעיטור</w:t>
      </w:r>
      <w:r w:rsidRPr="00D01175">
        <w:rPr>
          <w:rStyle w:val="afb"/>
          <w:rFonts w:hint="cs"/>
          <w:rtl/>
        </w:rPr>
        <w:t xml:space="preserve"> ביאר בדעת </w:t>
      </w:r>
      <w:r w:rsidRPr="003E33FA">
        <w:rPr>
          <w:rStyle w:val="affa"/>
          <w:rFonts w:hint="cs"/>
          <w:rtl/>
        </w:rPr>
        <w:t>הרי"ף</w:t>
      </w:r>
      <w:r w:rsidRPr="00D01175">
        <w:rPr>
          <w:rStyle w:val="afb"/>
          <w:rFonts w:hint="cs"/>
          <w:rtl/>
        </w:rPr>
        <w:t xml:space="preserve"> כדעת </w:t>
      </w:r>
      <w:r w:rsidRPr="003E33FA">
        <w:rPr>
          <w:rStyle w:val="affa"/>
          <w:rFonts w:hint="cs"/>
          <w:rtl/>
        </w:rPr>
        <w:t>הב"י</w:t>
      </w:r>
      <w:r>
        <w:rPr>
          <w:rStyle w:val="afb"/>
          <w:rFonts w:hint="cs"/>
          <w:rtl/>
        </w:rPr>
        <w:t xml:space="preserve"> </w:t>
      </w:r>
      <w:r w:rsidRPr="00F4579E">
        <w:rPr>
          <w:rStyle w:val="aff6"/>
          <w:rFonts w:hint="cs"/>
          <w:rtl/>
        </w:rPr>
        <w:t xml:space="preserve">(עי' אות </w:t>
      </w:r>
      <w:r w:rsidRPr="00F4579E">
        <w:rPr>
          <w:rStyle w:val="aff6"/>
          <w:rtl/>
        </w:rPr>
        <w:fldChar w:fldCharType="begin"/>
      </w:r>
      <w:r w:rsidRPr="00F4579E">
        <w:rPr>
          <w:rStyle w:val="aff6"/>
          <w:rtl/>
        </w:rPr>
        <w:instrText xml:space="preserve"> </w:instrText>
      </w:r>
      <w:r w:rsidRPr="00F4579E">
        <w:rPr>
          <w:rStyle w:val="aff6"/>
          <w:rFonts w:hint="cs"/>
        </w:rPr>
        <w:instrText>REF</w:instrText>
      </w:r>
      <w:r w:rsidRPr="00F4579E">
        <w:rPr>
          <w:rStyle w:val="aff6"/>
          <w:rFonts w:hint="cs"/>
          <w:rtl/>
        </w:rPr>
        <w:instrText xml:space="preserve"> _</w:instrText>
      </w:r>
      <w:r w:rsidRPr="00F4579E">
        <w:rPr>
          <w:rStyle w:val="aff6"/>
          <w:rFonts w:hint="cs"/>
        </w:rPr>
        <w:instrText>Ref59615967 \r \h</w:instrText>
      </w:r>
      <w:r w:rsidRPr="00F4579E">
        <w:rPr>
          <w:rStyle w:val="aff6"/>
          <w:rtl/>
        </w:rPr>
        <w:instrText xml:space="preserve"> </w:instrText>
      </w:r>
      <w:r w:rsidRPr="00F4579E">
        <w:rPr>
          <w:rStyle w:val="aff6"/>
          <w:rtl/>
        </w:rPr>
      </w:r>
      <w:r w:rsidRPr="00F4579E">
        <w:rPr>
          <w:rStyle w:val="aff6"/>
          <w:rtl/>
        </w:rPr>
        <w:fldChar w:fldCharType="separate"/>
      </w:r>
      <w:r w:rsidR="00265073">
        <w:rPr>
          <w:rStyle w:val="aff6"/>
          <w:cs/>
        </w:rPr>
        <w:t>‎</w:t>
      </w:r>
      <w:r w:rsidR="00265073">
        <w:rPr>
          <w:rStyle w:val="aff6"/>
          <w:rtl/>
        </w:rPr>
        <w:t>צד)</w:t>
      </w:r>
      <w:r w:rsidRPr="00F4579E">
        <w:rPr>
          <w:rStyle w:val="aff6"/>
          <w:rtl/>
        </w:rPr>
        <w:fldChar w:fldCharType="end"/>
      </w:r>
      <w:r w:rsidRPr="00D01175">
        <w:rPr>
          <w:rStyle w:val="afb"/>
          <w:rFonts w:hint="cs"/>
          <w:rtl/>
        </w:rPr>
        <w:t xml:space="preserve">, ולא כדביאר </w:t>
      </w:r>
      <w:r w:rsidRPr="003E33FA">
        <w:rPr>
          <w:rStyle w:val="affa"/>
          <w:rFonts w:hint="cs"/>
          <w:rtl/>
        </w:rPr>
        <w:t>הרמב"ן</w:t>
      </w:r>
      <w:r w:rsidRPr="00D01175">
        <w:rPr>
          <w:rStyle w:val="afb"/>
          <w:rFonts w:hint="cs"/>
          <w:rtl/>
        </w:rPr>
        <w:t xml:space="preserve">, ולכן הקשה </w:t>
      </w:r>
      <w:r w:rsidRPr="003E33FA">
        <w:rPr>
          <w:rStyle w:val="affa"/>
          <w:rFonts w:hint="cs"/>
          <w:rtl/>
        </w:rPr>
        <w:t>העיטור</w:t>
      </w:r>
      <w:r w:rsidRPr="00D01175">
        <w:rPr>
          <w:rStyle w:val="afb"/>
          <w:rFonts w:hint="cs"/>
          <w:rtl/>
        </w:rPr>
        <w:t xml:space="preserve"> על </w:t>
      </w:r>
      <w:r w:rsidRPr="003E33FA">
        <w:rPr>
          <w:rStyle w:val="affa"/>
          <w:rFonts w:hint="cs"/>
          <w:rtl/>
        </w:rPr>
        <w:t>הרי"ף</w:t>
      </w:r>
      <w:r w:rsidRPr="00D01175">
        <w:rPr>
          <w:rStyle w:val="afb"/>
          <w:rFonts w:hint="cs"/>
          <w:rtl/>
        </w:rPr>
        <w:t>].</w:t>
      </w:r>
      <w:bookmarkEnd w:id="10052"/>
    </w:p>
    <w:p w:rsidR="000E75A3" w:rsidRDefault="000E75A3" w:rsidP="000E75A3">
      <w:pPr>
        <w:pStyle w:val="a3"/>
        <w:rPr>
          <w:rtl/>
        </w:rPr>
      </w:pPr>
      <w:bookmarkStart w:id="10053" w:name="_Toc59620341"/>
      <w:bookmarkStart w:id="10054" w:name="_Toc59643613"/>
      <w:bookmarkStart w:id="10055" w:name="_Toc59741704"/>
      <w:bookmarkStart w:id="10056" w:name="_Toc59786839"/>
      <w:bookmarkStart w:id="10057" w:name="_Toc59802650"/>
      <w:bookmarkStart w:id="10058" w:name="_Toc59916211"/>
      <w:r>
        <w:rPr>
          <w:rFonts w:hint="cs"/>
          <w:rtl/>
        </w:rPr>
        <w:t>דברי הב"י דמשמע ברי"ף וברמב"ם דלא כרמב"ן ואף בהודה המחזיק מהני קמי דידי רק בחזקה</w:t>
      </w:r>
      <w:bookmarkEnd w:id="10053"/>
      <w:bookmarkEnd w:id="10054"/>
      <w:bookmarkEnd w:id="10055"/>
      <w:bookmarkEnd w:id="10056"/>
      <w:bookmarkEnd w:id="10057"/>
      <w:bookmarkEnd w:id="10058"/>
    </w:p>
    <w:p w:rsidR="000E75A3" w:rsidRDefault="000E75A3" w:rsidP="007E4E81">
      <w:pPr>
        <w:pStyle w:val="a0"/>
        <w:rPr>
          <w:rtl/>
        </w:rPr>
      </w:pPr>
      <w:bookmarkStart w:id="10059" w:name="_Ref59615967"/>
      <w:r>
        <w:rPr>
          <w:rFonts w:hint="cs"/>
          <w:rtl/>
        </w:rPr>
        <w:t>אבל</w:t>
      </w:r>
      <w:r w:rsidRPr="00EB3EF1">
        <w:rPr>
          <w:rFonts w:hint="cs"/>
          <w:rtl/>
        </w:rPr>
        <w:t xml:space="preserve"> </w:t>
      </w:r>
      <w:r w:rsidRPr="00EB3EF1">
        <w:rPr>
          <w:rStyle w:val="af9"/>
          <w:rFonts w:hint="cs"/>
          <w:rtl/>
        </w:rPr>
        <w:t>הב"י</w:t>
      </w:r>
      <w:r w:rsidRPr="00EB3EF1">
        <w:rPr>
          <w:rFonts w:hint="cs"/>
          <w:rtl/>
        </w:rPr>
        <w:t xml:space="preserve"> </w:t>
      </w:r>
      <w:r w:rsidRPr="00EB3EF1">
        <w:rPr>
          <w:rStyle w:val="af7"/>
          <w:rFonts w:eastAsia="Guttman Hodes" w:hint="cs"/>
          <w:rtl/>
        </w:rPr>
        <w:t>(סי' קמ"ו י"ג ד"ה ודע)</w:t>
      </w:r>
      <w:r w:rsidRPr="00EB3EF1">
        <w:rPr>
          <w:rFonts w:hint="cs"/>
          <w:rtl/>
        </w:rPr>
        <w:t xml:space="preserve"> כתב דבדברי </w:t>
      </w:r>
      <w:r w:rsidRPr="00C33029">
        <w:rPr>
          <w:rStyle w:val="af9"/>
          <w:rFonts w:hint="cs"/>
          <w:rtl/>
        </w:rPr>
        <w:t>הרי"ף</w:t>
      </w:r>
      <w:r w:rsidRPr="00EB3EF1">
        <w:rPr>
          <w:rFonts w:hint="cs"/>
          <w:rtl/>
        </w:rPr>
        <w:t xml:space="preserve"> </w:t>
      </w:r>
      <w:r w:rsidRPr="00184C86">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Ref59615569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Pr>
          <w:rStyle w:val="af7"/>
          <w:rFonts w:eastAsia="Guttman Hodes"/>
          <w:rtl/>
        </w:rPr>
        <w:fldChar w:fldCharType="end"/>
      </w:r>
      <w:r>
        <w:rPr>
          <w:rFonts w:hint="cs"/>
          <w:rtl/>
        </w:rPr>
        <w:t xml:space="preserve"> </w:t>
      </w:r>
      <w:r w:rsidRPr="00EB3EF1">
        <w:rPr>
          <w:rFonts w:hint="cs"/>
          <w:rtl/>
        </w:rPr>
        <w:t xml:space="preserve">לא משמע כביאור </w:t>
      </w:r>
      <w:r w:rsidRPr="00C33029">
        <w:rPr>
          <w:rStyle w:val="af9"/>
          <w:rFonts w:hint="cs"/>
          <w:rtl/>
        </w:rPr>
        <w:t>הרמב"ן</w:t>
      </w:r>
      <w:r w:rsidRPr="00EB3EF1">
        <w:rPr>
          <w:rFonts w:hint="cs"/>
          <w:rtl/>
        </w:rPr>
        <w:t xml:space="preserve"> </w:t>
      </w:r>
      <w:r w:rsidRPr="002110B3">
        <w:rPr>
          <w:rStyle w:val="af7"/>
          <w:rFonts w:eastAsia="Guttman Hodes" w:hint="cs"/>
          <w:rtl/>
        </w:rPr>
        <w:t xml:space="preserve">(עי' אות </w:t>
      </w:r>
      <w:r w:rsidRPr="002110B3">
        <w:rPr>
          <w:rStyle w:val="af7"/>
          <w:rFonts w:eastAsia="Guttman Hodes"/>
          <w:rtl/>
        </w:rPr>
        <w:fldChar w:fldCharType="begin"/>
      </w:r>
      <w:r w:rsidRPr="002110B3">
        <w:rPr>
          <w:rStyle w:val="af7"/>
          <w:rFonts w:eastAsia="Guttman Hodes"/>
          <w:rtl/>
        </w:rPr>
        <w:instrText xml:space="preserve"> </w:instrText>
      </w:r>
      <w:r w:rsidRPr="002110B3">
        <w:rPr>
          <w:rStyle w:val="af7"/>
          <w:rFonts w:eastAsia="Guttman Hodes" w:hint="cs"/>
        </w:rPr>
        <w:instrText>REF</w:instrText>
      </w:r>
      <w:r w:rsidRPr="002110B3">
        <w:rPr>
          <w:rStyle w:val="af7"/>
          <w:rFonts w:eastAsia="Guttman Hodes" w:hint="cs"/>
          <w:rtl/>
        </w:rPr>
        <w:instrText xml:space="preserve"> _</w:instrText>
      </w:r>
      <w:r w:rsidRPr="002110B3">
        <w:rPr>
          <w:rStyle w:val="af7"/>
          <w:rFonts w:eastAsia="Guttman Hodes" w:hint="cs"/>
        </w:rPr>
        <w:instrText>Ref59615619 \r \h</w:instrText>
      </w:r>
      <w:r w:rsidRPr="002110B3">
        <w:rPr>
          <w:rStyle w:val="af7"/>
          <w:rFonts w:eastAsia="Guttman Hodes"/>
          <w:rtl/>
        </w:rPr>
        <w:instrText xml:space="preserve"> </w:instrText>
      </w:r>
      <w:r w:rsidRPr="002110B3">
        <w:rPr>
          <w:rStyle w:val="af7"/>
          <w:rFonts w:eastAsia="Guttman Hodes"/>
          <w:rtl/>
        </w:rPr>
      </w:r>
      <w:r w:rsidRPr="002110B3">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2110B3">
        <w:rPr>
          <w:rStyle w:val="af7"/>
          <w:rFonts w:eastAsia="Guttman Hodes"/>
          <w:rtl/>
        </w:rPr>
        <w:fldChar w:fldCharType="end"/>
      </w:r>
      <w:r w:rsidRPr="00EB3EF1">
        <w:rPr>
          <w:rFonts w:hint="cs"/>
          <w:rtl/>
        </w:rPr>
        <w:t xml:space="preserve">, אלא דאף שאין עדים למערער, ורק המחזיק הודה לו, מ"מ לא מהני טענת קמי דידי זבנה מינך, כשאין למחזיק חזקת ג"ש, </w:t>
      </w:r>
      <w:r w:rsidRPr="00486434">
        <w:rPr>
          <w:rStyle w:val="afb"/>
          <w:rFonts w:hint="cs"/>
          <w:rtl/>
        </w:rPr>
        <w:t xml:space="preserve">[וכדביאר </w:t>
      </w:r>
      <w:r w:rsidRPr="00486434">
        <w:rPr>
          <w:rStyle w:val="affa"/>
          <w:rFonts w:hint="cs"/>
          <w:rtl/>
        </w:rPr>
        <w:t>הטור</w:t>
      </w:r>
      <w:r w:rsidRPr="00486434">
        <w:rPr>
          <w:rStyle w:val="afb"/>
          <w:rFonts w:hint="cs"/>
          <w:rtl/>
        </w:rPr>
        <w:t xml:space="preserve"> </w:t>
      </w:r>
      <w:r w:rsidRPr="00486434">
        <w:rPr>
          <w:rStyle w:val="aff6"/>
          <w:rFonts w:hint="cs"/>
          <w:rtl/>
        </w:rPr>
        <w:t xml:space="preserve">(עי' אות </w:t>
      </w:r>
      <w:r w:rsidRPr="00486434">
        <w:rPr>
          <w:rStyle w:val="aff6"/>
          <w:rtl/>
        </w:rPr>
        <w:fldChar w:fldCharType="begin"/>
      </w:r>
      <w:r w:rsidRPr="00486434">
        <w:rPr>
          <w:rStyle w:val="aff6"/>
          <w:rtl/>
        </w:rPr>
        <w:instrText xml:space="preserve"> </w:instrText>
      </w:r>
      <w:r w:rsidRPr="00486434">
        <w:rPr>
          <w:rStyle w:val="aff6"/>
          <w:rFonts w:hint="cs"/>
        </w:rPr>
        <w:instrText>REF</w:instrText>
      </w:r>
      <w:r w:rsidRPr="00486434">
        <w:rPr>
          <w:rStyle w:val="aff6"/>
          <w:rFonts w:hint="cs"/>
          <w:rtl/>
        </w:rPr>
        <w:instrText xml:space="preserve"> _</w:instrText>
      </w:r>
      <w:r w:rsidRPr="00486434">
        <w:rPr>
          <w:rStyle w:val="aff6"/>
          <w:rFonts w:hint="cs"/>
        </w:rPr>
        <w:instrText>Ref58272277 \r \h</w:instrText>
      </w:r>
      <w:r w:rsidRPr="00486434">
        <w:rPr>
          <w:rStyle w:val="aff6"/>
          <w:rtl/>
        </w:rPr>
        <w:instrText xml:space="preserve"> </w:instrText>
      </w:r>
      <w:r w:rsidRPr="00486434">
        <w:rPr>
          <w:rStyle w:val="aff6"/>
          <w:rtl/>
        </w:rPr>
      </w:r>
      <w:r w:rsidRPr="00486434">
        <w:rPr>
          <w:rStyle w:val="aff6"/>
          <w:rtl/>
        </w:rPr>
        <w:fldChar w:fldCharType="separate"/>
      </w:r>
      <w:r w:rsidR="00265073">
        <w:rPr>
          <w:rStyle w:val="aff6"/>
          <w:cs/>
        </w:rPr>
        <w:t>‎</w:t>
      </w:r>
      <w:r w:rsidR="00265073">
        <w:rPr>
          <w:rStyle w:val="aff6"/>
          <w:rtl/>
        </w:rPr>
        <w:t>סד)</w:t>
      </w:r>
      <w:r w:rsidRPr="00486434">
        <w:rPr>
          <w:rStyle w:val="aff6"/>
          <w:rtl/>
        </w:rPr>
        <w:fldChar w:fldCharType="end"/>
      </w:r>
      <w:r w:rsidRPr="00486434">
        <w:rPr>
          <w:rStyle w:val="afb"/>
          <w:rFonts w:hint="cs"/>
          <w:rtl/>
        </w:rPr>
        <w:t xml:space="preserve"> בדעת </w:t>
      </w:r>
      <w:r w:rsidRPr="00486434">
        <w:rPr>
          <w:rStyle w:val="affa"/>
          <w:rFonts w:hint="cs"/>
          <w:rtl/>
        </w:rPr>
        <w:t>הרשב"ם</w:t>
      </w:r>
      <w:r w:rsidRPr="00486434">
        <w:rPr>
          <w:rStyle w:val="afb"/>
          <w:rFonts w:hint="cs"/>
          <w:rtl/>
        </w:rPr>
        <w:t>]</w:t>
      </w:r>
      <w:r>
        <w:rPr>
          <w:rStyle w:val="afb"/>
          <w:rFonts w:hint="cs"/>
          <w:rtl/>
        </w:rPr>
        <w:t xml:space="preserve">, </w:t>
      </w:r>
      <w:r w:rsidRPr="00EB3EF1">
        <w:rPr>
          <w:rFonts w:hint="cs"/>
          <w:rtl/>
        </w:rPr>
        <w:t xml:space="preserve">וכתב </w:t>
      </w:r>
      <w:r w:rsidRPr="00EB3EF1">
        <w:rPr>
          <w:rStyle w:val="af9"/>
          <w:rFonts w:hint="cs"/>
          <w:rtl/>
        </w:rPr>
        <w:t>הב"י</w:t>
      </w:r>
      <w:r w:rsidRPr="00EB3EF1">
        <w:rPr>
          <w:rFonts w:hint="cs"/>
          <w:rtl/>
        </w:rPr>
        <w:t xml:space="preserve"> דכן משמע </w:t>
      </w:r>
      <w:r w:rsidRPr="00C33029">
        <w:rPr>
          <w:rStyle w:val="af9"/>
          <w:rFonts w:hint="cs"/>
          <w:rtl/>
        </w:rPr>
        <w:t>ברמב"ם</w:t>
      </w:r>
      <w:r w:rsidRPr="00EB3EF1">
        <w:rPr>
          <w:rFonts w:hint="cs"/>
          <w:rtl/>
        </w:rPr>
        <w:t xml:space="preserve"> </w:t>
      </w:r>
      <w:r w:rsidRPr="005220A9">
        <w:rPr>
          <w:rStyle w:val="af7"/>
          <w:rFonts w:eastAsia="Guttman Hodes" w:hint="cs"/>
          <w:rtl/>
        </w:rPr>
        <w:t xml:space="preserve">(עי' אות </w:t>
      </w:r>
      <w:r w:rsidRPr="005220A9">
        <w:rPr>
          <w:rStyle w:val="af7"/>
          <w:rFonts w:eastAsia="Guttman Hodes"/>
          <w:rtl/>
        </w:rPr>
        <w:fldChar w:fldCharType="begin"/>
      </w:r>
      <w:r w:rsidRPr="005220A9">
        <w:rPr>
          <w:rStyle w:val="af7"/>
          <w:rFonts w:eastAsia="Guttman Hodes"/>
          <w:rtl/>
        </w:rPr>
        <w:instrText xml:space="preserve"> </w:instrText>
      </w:r>
      <w:r w:rsidRPr="005220A9">
        <w:rPr>
          <w:rStyle w:val="af7"/>
          <w:rFonts w:eastAsia="Guttman Hodes" w:hint="cs"/>
        </w:rPr>
        <w:instrText>REF</w:instrText>
      </w:r>
      <w:r w:rsidRPr="005220A9">
        <w:rPr>
          <w:rStyle w:val="af7"/>
          <w:rFonts w:eastAsia="Guttman Hodes" w:hint="cs"/>
          <w:rtl/>
        </w:rPr>
        <w:instrText xml:space="preserve"> _</w:instrText>
      </w:r>
      <w:r w:rsidRPr="005220A9">
        <w:rPr>
          <w:rStyle w:val="af7"/>
          <w:rFonts w:eastAsia="Guttman Hodes" w:hint="cs"/>
        </w:rPr>
        <w:instrText>Ref59050161 \r \h</w:instrText>
      </w:r>
      <w:r w:rsidRPr="005220A9">
        <w:rPr>
          <w:rStyle w:val="af7"/>
          <w:rFonts w:eastAsia="Guttman Hodes"/>
          <w:rtl/>
        </w:rPr>
        <w:instrText xml:space="preserve"> </w:instrText>
      </w:r>
      <w:r w:rsidRPr="005220A9">
        <w:rPr>
          <w:rStyle w:val="af7"/>
          <w:rFonts w:eastAsia="Guttman Hodes"/>
          <w:rtl/>
        </w:rPr>
      </w:r>
      <w:r w:rsidRPr="005220A9">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5220A9">
        <w:rPr>
          <w:rStyle w:val="af7"/>
          <w:rFonts w:eastAsia="Guttman Hodes"/>
          <w:rtl/>
        </w:rPr>
        <w:fldChar w:fldCharType="end"/>
      </w:r>
      <w:r w:rsidRPr="005220A9">
        <w:rPr>
          <w:rStyle w:val="af7"/>
          <w:rFonts w:eastAsia="Guttman Hodes" w:hint="cs"/>
          <w:rtl/>
        </w:rPr>
        <w:t xml:space="preserve"> </w:t>
      </w:r>
      <w:r>
        <w:rPr>
          <w:rFonts w:hint="cs"/>
          <w:rtl/>
        </w:rPr>
        <w:t>ו</w:t>
      </w:r>
      <w:r w:rsidRPr="00EB3EF1">
        <w:rPr>
          <w:rFonts w:hint="cs"/>
          <w:rtl/>
        </w:rPr>
        <w:t xml:space="preserve">לא משמע </w:t>
      </w:r>
      <w:r w:rsidRPr="00C33029">
        <w:rPr>
          <w:rStyle w:val="af9"/>
          <w:rFonts w:hint="cs"/>
          <w:rtl/>
        </w:rPr>
        <w:t>כרמב"ן</w:t>
      </w:r>
      <w:r w:rsidRPr="00C234F1">
        <w:rPr>
          <w:rFonts w:hint="cs"/>
          <w:rtl/>
        </w:rPr>
        <w:t>.</w:t>
      </w:r>
      <w:bookmarkEnd w:id="10059"/>
    </w:p>
    <w:p w:rsidR="000E75A3" w:rsidRPr="00041098" w:rsidRDefault="000E75A3" w:rsidP="000E75A3">
      <w:pPr>
        <w:pStyle w:val="a3"/>
        <w:rPr>
          <w:rtl/>
        </w:rPr>
      </w:pPr>
      <w:bookmarkStart w:id="10060" w:name="_Toc59620342"/>
      <w:bookmarkStart w:id="10061" w:name="_Toc59643614"/>
      <w:bookmarkStart w:id="10062" w:name="_Toc59741705"/>
      <w:bookmarkStart w:id="10063" w:name="_Toc59786840"/>
      <w:bookmarkStart w:id="10064" w:name="_Toc59802651"/>
      <w:bookmarkStart w:id="10065" w:name="_Toc59916212"/>
      <w:r>
        <w:rPr>
          <w:rFonts w:hint="cs"/>
          <w:rtl/>
        </w:rPr>
        <w:t>דברי התומים דלהרי"ף קמי דידי לא חשיב כודאי וודאי כיון שהוא נאמן רק במיגו</w:t>
      </w:r>
      <w:bookmarkEnd w:id="10060"/>
      <w:bookmarkEnd w:id="10061"/>
      <w:bookmarkEnd w:id="10062"/>
      <w:bookmarkEnd w:id="10063"/>
      <w:bookmarkEnd w:id="10064"/>
      <w:bookmarkEnd w:id="10065"/>
    </w:p>
    <w:p w:rsidR="000E75A3" w:rsidRDefault="000E75A3" w:rsidP="007E4E81">
      <w:pPr>
        <w:pStyle w:val="a0"/>
        <w:rPr>
          <w:rtl/>
        </w:rPr>
      </w:pPr>
      <w:bookmarkStart w:id="10066" w:name="_Ref59619064"/>
      <w:bookmarkStart w:id="10067" w:name="_Toc59136956"/>
      <w:bookmarkStart w:id="10068" w:name="_Toc59361648"/>
      <w:bookmarkStart w:id="10069" w:name="_Toc59464648"/>
      <w:bookmarkStart w:id="10070" w:name="_Toc59490145"/>
      <w:r>
        <w:rPr>
          <w:rFonts w:hint="cs"/>
          <w:rtl/>
        </w:rPr>
        <w:t xml:space="preserve">ובמ"ש </w:t>
      </w:r>
      <w:r w:rsidRPr="00D80E0D">
        <w:rPr>
          <w:rStyle w:val="af9"/>
          <w:rFonts w:hint="cs"/>
          <w:rtl/>
        </w:rPr>
        <w:t>הרמב"ן</w:t>
      </w:r>
      <w:r>
        <w:rPr>
          <w:rFonts w:hint="cs"/>
          <w:rtl/>
        </w:rPr>
        <w:t xml:space="preserve"> </w:t>
      </w:r>
      <w:r w:rsidRPr="002110B3">
        <w:rPr>
          <w:rStyle w:val="af7"/>
          <w:rFonts w:eastAsia="Guttman Hodes" w:hint="cs"/>
          <w:rtl/>
        </w:rPr>
        <w:t xml:space="preserve">(עי' אות </w:t>
      </w:r>
      <w:r w:rsidRPr="002110B3">
        <w:rPr>
          <w:rStyle w:val="af7"/>
          <w:rFonts w:eastAsia="Guttman Hodes"/>
          <w:rtl/>
        </w:rPr>
        <w:fldChar w:fldCharType="begin"/>
      </w:r>
      <w:r w:rsidRPr="002110B3">
        <w:rPr>
          <w:rStyle w:val="af7"/>
          <w:rFonts w:eastAsia="Guttman Hodes"/>
          <w:rtl/>
        </w:rPr>
        <w:instrText xml:space="preserve"> </w:instrText>
      </w:r>
      <w:r w:rsidRPr="002110B3">
        <w:rPr>
          <w:rStyle w:val="af7"/>
          <w:rFonts w:eastAsia="Guttman Hodes" w:hint="cs"/>
        </w:rPr>
        <w:instrText>REF</w:instrText>
      </w:r>
      <w:r w:rsidRPr="002110B3">
        <w:rPr>
          <w:rStyle w:val="af7"/>
          <w:rFonts w:eastAsia="Guttman Hodes" w:hint="cs"/>
          <w:rtl/>
        </w:rPr>
        <w:instrText xml:space="preserve"> _</w:instrText>
      </w:r>
      <w:r w:rsidRPr="002110B3">
        <w:rPr>
          <w:rStyle w:val="af7"/>
          <w:rFonts w:eastAsia="Guttman Hodes" w:hint="cs"/>
        </w:rPr>
        <w:instrText>Ref59615619 \r \h</w:instrText>
      </w:r>
      <w:r w:rsidRPr="002110B3">
        <w:rPr>
          <w:rStyle w:val="af7"/>
          <w:rFonts w:eastAsia="Guttman Hodes"/>
          <w:rtl/>
        </w:rPr>
        <w:instrText xml:space="preserve"> </w:instrText>
      </w:r>
      <w:r w:rsidRPr="002110B3">
        <w:rPr>
          <w:rStyle w:val="af7"/>
          <w:rFonts w:eastAsia="Guttman Hodes"/>
          <w:rtl/>
        </w:rPr>
      </w:r>
      <w:r w:rsidRPr="002110B3">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2110B3">
        <w:rPr>
          <w:rStyle w:val="af7"/>
          <w:rFonts w:eastAsia="Guttman Hodes"/>
          <w:rtl/>
        </w:rPr>
        <w:fldChar w:fldCharType="end"/>
      </w:r>
      <w:r>
        <w:rPr>
          <w:rStyle w:val="af7"/>
          <w:rFonts w:eastAsia="Guttman Hodes" w:hint="cs"/>
          <w:rtl/>
        </w:rPr>
        <w:t xml:space="preserve"> </w:t>
      </w:r>
      <w:r>
        <w:rPr>
          <w:rFonts w:hint="cs"/>
          <w:rtl/>
        </w:rPr>
        <w:t xml:space="preserve">קמי דידי זבנה מינך, דאינו ספק וודאי, אלא ודאי וודאי, ולדעת </w:t>
      </w:r>
      <w:r w:rsidRPr="00D80E0D">
        <w:rPr>
          <w:rStyle w:val="af9"/>
          <w:rFonts w:hint="cs"/>
          <w:rtl/>
        </w:rPr>
        <w:t>הרי"ף</w:t>
      </w:r>
      <w:r>
        <w:rPr>
          <w:rFonts w:hint="cs"/>
          <w:rtl/>
        </w:rPr>
        <w:t xml:space="preserve"> </w:t>
      </w:r>
      <w:r w:rsidRPr="0004134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Ref59616683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Pr>
          <w:rStyle w:val="af7"/>
          <w:rFonts w:eastAsia="Guttman Hodes"/>
          <w:rtl/>
        </w:rPr>
        <w:fldChar w:fldCharType="end"/>
      </w:r>
      <w:r>
        <w:rPr>
          <w:rFonts w:hint="cs"/>
          <w:rtl/>
        </w:rPr>
        <w:t xml:space="preserve"> המחזיק נאמן, כתב </w:t>
      </w:r>
      <w:r w:rsidRPr="00041098">
        <w:rPr>
          <w:rStyle w:val="af9"/>
          <w:rFonts w:hint="cs"/>
          <w:rtl/>
        </w:rPr>
        <w:t>התומים</w:t>
      </w:r>
      <w:r>
        <w:rPr>
          <w:rFonts w:hint="cs"/>
          <w:rtl/>
        </w:rPr>
        <w:t xml:space="preserve"> </w:t>
      </w:r>
      <w:r w:rsidRPr="00513FB2">
        <w:rPr>
          <w:rStyle w:val="af7"/>
          <w:rFonts w:eastAsia="Guttman Hodes" w:hint="cs"/>
          <w:rtl/>
        </w:rPr>
        <w:t>(סי' קמ"ו ס"ק ט"ז ד"ה</w:t>
      </w:r>
      <w:r w:rsidRPr="00513FB2">
        <w:rPr>
          <w:rStyle w:val="af7"/>
          <w:rFonts w:eastAsia="Guttman Hodes"/>
          <w:rtl/>
        </w:rPr>
        <w:t xml:space="preserve"> </w:t>
      </w:r>
      <w:r w:rsidRPr="00513FB2">
        <w:rPr>
          <w:rStyle w:val="af7"/>
          <w:rFonts w:eastAsia="Guttman Hodes" w:hint="cs"/>
          <w:rtl/>
        </w:rPr>
        <w:t>ואי קשה)</w:t>
      </w:r>
      <w:r>
        <w:rPr>
          <w:rFonts w:hint="cs"/>
          <w:rtl/>
        </w:rPr>
        <w:t xml:space="preserve"> דאפש"ל דלדעת </w:t>
      </w:r>
      <w:r w:rsidRPr="00513FB2">
        <w:rPr>
          <w:rStyle w:val="af9"/>
          <w:rFonts w:hint="cs"/>
          <w:rtl/>
        </w:rPr>
        <w:t>הרי"ף</w:t>
      </w:r>
      <w:r>
        <w:rPr>
          <w:rFonts w:hint="cs"/>
          <w:rtl/>
        </w:rPr>
        <w:t xml:space="preserve"> </w:t>
      </w:r>
      <w:r w:rsidRPr="00513FB2">
        <w:rPr>
          <w:rStyle w:val="af9"/>
          <w:rFonts w:hint="cs"/>
          <w:rtl/>
        </w:rPr>
        <w:t xml:space="preserve">ורבינו יונה </w:t>
      </w:r>
      <w:r>
        <w:rPr>
          <w:rFonts w:hint="cs"/>
          <w:rtl/>
        </w:rPr>
        <w:t xml:space="preserve">טענת קמי דידי זבנה מינך, לא חשיבא כטענת ודאי, כיון שהוא נאמן בטענה זו רק במיגו, ולא חשיב כודאי וודאי, אלא כספק וודאי, וא"כ אף בזה ס"ל </w:t>
      </w:r>
      <w:r w:rsidRPr="009207F4">
        <w:rPr>
          <w:rStyle w:val="af9"/>
          <w:rFonts w:hint="cs"/>
          <w:rtl/>
        </w:rPr>
        <w:t>לה</w:t>
      </w:r>
      <w:r w:rsidRPr="00D80E0D">
        <w:rPr>
          <w:rStyle w:val="af9"/>
          <w:rFonts w:hint="cs"/>
          <w:rtl/>
        </w:rPr>
        <w:t>רי"ף</w:t>
      </w:r>
      <w:r>
        <w:rPr>
          <w:rFonts w:hint="cs"/>
          <w:rtl/>
        </w:rPr>
        <w:t xml:space="preserve"> </w:t>
      </w:r>
      <w:r w:rsidRPr="0004134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Ref59616683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Pr>
          <w:rStyle w:val="af7"/>
          <w:rFonts w:eastAsia="Guttman Hodes"/>
          <w:rtl/>
        </w:rPr>
        <w:fldChar w:fldCharType="end"/>
      </w:r>
      <w:r>
        <w:rPr>
          <w:rFonts w:hint="cs"/>
          <w:rtl/>
        </w:rPr>
        <w:t xml:space="preserve"> דאין ספק מוציא מידי ודאי, אך כתב </w:t>
      </w:r>
      <w:r w:rsidRPr="009207F4">
        <w:rPr>
          <w:rStyle w:val="af9"/>
          <w:rFonts w:hint="cs"/>
          <w:rtl/>
        </w:rPr>
        <w:t>התומים</w:t>
      </w:r>
      <w:r>
        <w:rPr>
          <w:rFonts w:hint="cs"/>
          <w:rtl/>
        </w:rPr>
        <w:t xml:space="preserve"> דזהו דוחק.</w:t>
      </w:r>
      <w:bookmarkEnd w:id="10066"/>
    </w:p>
    <w:p w:rsidR="009335CD" w:rsidRPr="009335CD" w:rsidRDefault="009335CD" w:rsidP="009335CD">
      <w:pPr>
        <w:pStyle w:val="a3"/>
        <w:rPr>
          <w:rtl/>
        </w:rPr>
      </w:pPr>
    </w:p>
    <w:p w:rsidR="009335CD" w:rsidRPr="009335CD" w:rsidRDefault="009335CD" w:rsidP="009335CD">
      <w:pPr>
        <w:pStyle w:val="a3"/>
      </w:pPr>
    </w:p>
    <w:p w:rsidR="000E75A3" w:rsidRPr="005E0C6E" w:rsidRDefault="000E75A3" w:rsidP="000E75A3">
      <w:pPr>
        <w:pStyle w:val="afe"/>
        <w:rPr>
          <w:rtl/>
        </w:rPr>
      </w:pPr>
      <w:bookmarkStart w:id="10071" w:name="_Toc59741706"/>
      <w:bookmarkStart w:id="10072" w:name="_Toc59786841"/>
      <w:bookmarkStart w:id="10073" w:name="_Toc59802652"/>
      <w:bookmarkStart w:id="10074" w:name="_Toc59916213"/>
      <w:bookmarkStart w:id="10075" w:name="_Toc59113242"/>
      <w:bookmarkStart w:id="10076" w:name="_Toc59136963"/>
      <w:bookmarkStart w:id="10077" w:name="_Toc59361655"/>
      <w:bookmarkStart w:id="10078" w:name="_Toc59464655"/>
      <w:bookmarkStart w:id="10079" w:name="_Toc59490152"/>
      <w:bookmarkStart w:id="10080" w:name="_Toc59620349"/>
      <w:bookmarkStart w:id="10081" w:name="_Toc59643620"/>
      <w:bookmarkStart w:id="10082" w:name="_Toc58325030"/>
      <w:bookmarkStart w:id="10083" w:name="_Toc58359167"/>
      <w:bookmarkStart w:id="10084" w:name="_Toc58409428"/>
      <w:bookmarkStart w:id="10085" w:name="_Toc58272591"/>
      <w:bookmarkStart w:id="10086" w:name="_Toc58325022"/>
      <w:bookmarkStart w:id="10087" w:name="_Toc57925946"/>
      <w:bookmarkStart w:id="10088" w:name="_Toc58091637"/>
      <w:bookmarkStart w:id="10089" w:name="_Toc58144912"/>
      <w:bookmarkStart w:id="10090" w:name="_Toc58272598"/>
      <w:bookmarkStart w:id="10091" w:name="_Toc58144915"/>
      <w:bookmarkStart w:id="10092" w:name="_Toc58272601"/>
      <w:bookmarkStart w:id="10093" w:name="_Toc58325036"/>
      <w:bookmarkStart w:id="10094" w:name="_Toc58359174"/>
      <w:bookmarkStart w:id="10095" w:name="_Toc58409435"/>
      <w:bookmarkStart w:id="10096" w:name="_Toc58432667"/>
      <w:bookmarkStart w:id="10097" w:name="_Toc58532481"/>
      <w:bookmarkStart w:id="10098" w:name="_Toc58580100"/>
      <w:bookmarkEnd w:id="9345"/>
      <w:bookmarkEnd w:id="9346"/>
      <w:bookmarkEnd w:id="9347"/>
      <w:bookmarkEnd w:id="9348"/>
      <w:bookmarkEnd w:id="9349"/>
      <w:bookmarkEnd w:id="10000"/>
      <w:bookmarkEnd w:id="10067"/>
      <w:bookmarkEnd w:id="10068"/>
      <w:bookmarkEnd w:id="10069"/>
      <w:bookmarkEnd w:id="10070"/>
      <w:r>
        <w:rPr>
          <w:rFonts w:hint="cs"/>
          <w:rtl/>
        </w:rPr>
        <w:t>פלוגתת הב"י והש"ך ברמב"ם בקמי דידי</w:t>
      </w:r>
      <w:bookmarkEnd w:id="10071"/>
      <w:bookmarkEnd w:id="10072"/>
      <w:bookmarkEnd w:id="10073"/>
      <w:bookmarkEnd w:id="10074"/>
    </w:p>
    <w:p w:rsidR="000E75A3" w:rsidRDefault="000E75A3" w:rsidP="000E75A3">
      <w:pPr>
        <w:pStyle w:val="1"/>
        <w:rPr>
          <w:rtl/>
        </w:rPr>
      </w:pPr>
      <w:bookmarkStart w:id="10099" w:name="_Toc59741707"/>
      <w:bookmarkStart w:id="10100" w:name="_Toc59786842"/>
      <w:bookmarkStart w:id="10101" w:name="_Toc59802653"/>
      <w:bookmarkStart w:id="10102" w:name="_Toc59916214"/>
      <w:r>
        <w:rPr>
          <w:rFonts w:hint="cs"/>
          <w:rtl/>
        </w:rPr>
        <w:t>ביאור הב"י והלח"מ ברמב"ם דבקמי דידי נאמן רק בחזקה</w:t>
      </w:r>
      <w:bookmarkEnd w:id="10099"/>
      <w:bookmarkEnd w:id="10100"/>
      <w:bookmarkEnd w:id="10101"/>
      <w:bookmarkEnd w:id="10102"/>
    </w:p>
    <w:p w:rsidR="000E75A3" w:rsidRPr="00561F73" w:rsidRDefault="000E75A3" w:rsidP="000E75A3">
      <w:pPr>
        <w:pStyle w:val="a3"/>
        <w:rPr>
          <w:rtl/>
        </w:rPr>
      </w:pPr>
      <w:bookmarkStart w:id="10103" w:name="_Toc59741708"/>
      <w:bookmarkStart w:id="10104" w:name="_Toc59786843"/>
      <w:bookmarkStart w:id="10105" w:name="_Toc59802654"/>
      <w:bookmarkStart w:id="10106" w:name="_Toc59916215"/>
      <w:r>
        <w:rPr>
          <w:rFonts w:hint="cs"/>
          <w:rtl/>
        </w:rPr>
        <w:t>דברי הטור דלהרמב"ם מהני קמי דידי בלא חזקה ודברי הב"י דהוא ט"ס ולהרמב"ם צריך חזקה</w:t>
      </w:r>
      <w:bookmarkEnd w:id="10103"/>
      <w:bookmarkEnd w:id="10104"/>
      <w:bookmarkEnd w:id="10105"/>
      <w:bookmarkEnd w:id="10106"/>
    </w:p>
    <w:p w:rsidR="000E75A3" w:rsidRPr="0092715E" w:rsidRDefault="000E75A3" w:rsidP="007E4E81">
      <w:pPr>
        <w:pStyle w:val="a0"/>
        <w:rPr>
          <w:rtl/>
        </w:rPr>
      </w:pPr>
      <w:bookmarkStart w:id="10107" w:name="_Ref59730655"/>
      <w:r w:rsidRPr="002C69A0">
        <w:rPr>
          <w:rFonts w:hint="cs"/>
          <w:rtl/>
        </w:rPr>
        <w:t xml:space="preserve">כתב </w:t>
      </w:r>
      <w:r w:rsidRPr="002C69A0">
        <w:rPr>
          <w:rStyle w:val="af9"/>
          <w:rFonts w:hint="cs"/>
          <w:rtl/>
        </w:rPr>
        <w:t>הטור</w:t>
      </w:r>
      <w:r w:rsidRPr="002C69A0">
        <w:rPr>
          <w:rFonts w:hint="cs"/>
          <w:rtl/>
        </w:rPr>
        <w:t xml:space="preserve"> </w:t>
      </w:r>
      <w:r w:rsidRPr="002C69A0">
        <w:rPr>
          <w:rStyle w:val="af7"/>
          <w:rFonts w:eastAsia="Guttman Hodes" w:hint="cs"/>
          <w:rtl/>
        </w:rPr>
        <w:t>(סי' קמ"ו י"ג)</w:t>
      </w:r>
      <w:r w:rsidRPr="002C69A0">
        <w:rPr>
          <w:rFonts w:hint="cs"/>
          <w:rtl/>
        </w:rPr>
        <w:t xml:space="preserve"> </w:t>
      </w:r>
      <w:r>
        <w:rPr>
          <w:rStyle w:val="af9"/>
          <w:rFonts w:hint="cs"/>
          <w:rtl/>
        </w:rPr>
        <w:t>ד</w:t>
      </w:r>
      <w:r w:rsidRPr="00F522E8">
        <w:rPr>
          <w:rStyle w:val="af9"/>
          <w:rFonts w:hint="cs"/>
          <w:rtl/>
        </w:rPr>
        <w:t>הרמב"ם</w:t>
      </w:r>
      <w:r>
        <w:rPr>
          <w:rFonts w:hint="cs"/>
          <w:rtl/>
        </w:rPr>
        <w:t xml:space="preserve"> </w:t>
      </w:r>
      <w:r w:rsidRPr="00C86676">
        <w:rPr>
          <w:rStyle w:val="af7"/>
          <w:rFonts w:eastAsia="Guttman Hodes" w:hint="cs"/>
          <w:rtl/>
        </w:rPr>
        <w:t xml:space="preserve">(עי' אות </w:t>
      </w:r>
      <w:r w:rsidRPr="00C86676">
        <w:rPr>
          <w:rStyle w:val="af7"/>
          <w:rFonts w:eastAsia="Guttman Hodes"/>
          <w:rtl/>
        </w:rPr>
        <w:fldChar w:fldCharType="begin"/>
      </w:r>
      <w:r w:rsidRPr="00C86676">
        <w:rPr>
          <w:rStyle w:val="af7"/>
          <w:rFonts w:eastAsia="Guttman Hodes"/>
          <w:rtl/>
        </w:rPr>
        <w:instrText xml:space="preserve"> </w:instrText>
      </w:r>
      <w:r w:rsidRPr="00C86676">
        <w:rPr>
          <w:rStyle w:val="af7"/>
          <w:rFonts w:eastAsia="Guttman Hodes" w:hint="cs"/>
        </w:rPr>
        <w:instrText>REF</w:instrText>
      </w:r>
      <w:r w:rsidRPr="00C86676">
        <w:rPr>
          <w:rStyle w:val="af7"/>
          <w:rFonts w:eastAsia="Guttman Hodes" w:hint="cs"/>
          <w:rtl/>
        </w:rPr>
        <w:instrText xml:space="preserve"> _</w:instrText>
      </w:r>
      <w:r w:rsidRPr="00C86676">
        <w:rPr>
          <w:rStyle w:val="af7"/>
          <w:rFonts w:eastAsia="Guttman Hodes" w:hint="cs"/>
        </w:rPr>
        <w:instrText>Ref59050161 \r \h</w:instrText>
      </w:r>
      <w:r w:rsidRPr="00C86676">
        <w:rPr>
          <w:rStyle w:val="af7"/>
          <w:rFonts w:eastAsia="Guttman Hodes"/>
          <w:rtl/>
        </w:rPr>
        <w:instrText xml:space="preserve"> </w:instrText>
      </w:r>
      <w:r w:rsidRPr="00C86676">
        <w:rPr>
          <w:rStyle w:val="af7"/>
          <w:rFonts w:eastAsia="Guttman Hodes"/>
          <w:rtl/>
        </w:rPr>
      </w:r>
      <w:r w:rsidRPr="00C86676">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C86676">
        <w:rPr>
          <w:rStyle w:val="af7"/>
          <w:rFonts w:eastAsia="Guttman Hodes"/>
          <w:rtl/>
        </w:rPr>
        <w:fldChar w:fldCharType="end"/>
      </w:r>
      <w:r w:rsidRPr="00C86676">
        <w:rPr>
          <w:rStyle w:val="af7"/>
          <w:rFonts w:eastAsia="Guttman Hodes" w:hint="cs"/>
          <w:rtl/>
        </w:rPr>
        <w:t xml:space="preserve"> </w:t>
      </w:r>
      <w:r>
        <w:rPr>
          <w:rFonts w:hint="cs"/>
          <w:rtl/>
        </w:rPr>
        <w:t xml:space="preserve">ס"ל כדעת </w:t>
      </w:r>
      <w:r w:rsidRPr="002C69A0">
        <w:rPr>
          <w:rStyle w:val="af9"/>
          <w:rFonts w:hint="cs"/>
          <w:rtl/>
        </w:rPr>
        <w:t>ר"י</w:t>
      </w:r>
      <w:r w:rsidRPr="00C86676">
        <w:rPr>
          <w:rStyle w:val="af7"/>
          <w:rFonts w:eastAsia="Guttman Hodes" w:hint="cs"/>
          <w:rtl/>
        </w:rPr>
        <w:t xml:space="preserve"> (עי' אות </w:t>
      </w:r>
      <w:r w:rsidRPr="00C86676">
        <w:rPr>
          <w:rStyle w:val="af7"/>
          <w:rFonts w:eastAsia="Guttman Hodes"/>
          <w:rtl/>
        </w:rPr>
        <w:fldChar w:fldCharType="begin"/>
      </w:r>
      <w:r w:rsidRPr="00C86676">
        <w:rPr>
          <w:rStyle w:val="af7"/>
          <w:rFonts w:eastAsia="Guttman Hodes"/>
          <w:rtl/>
        </w:rPr>
        <w:instrText xml:space="preserve"> </w:instrText>
      </w:r>
      <w:r w:rsidRPr="00C86676">
        <w:rPr>
          <w:rStyle w:val="af7"/>
          <w:rFonts w:eastAsia="Guttman Hodes" w:hint="cs"/>
        </w:rPr>
        <w:instrText>REF</w:instrText>
      </w:r>
      <w:r w:rsidRPr="00C86676">
        <w:rPr>
          <w:rStyle w:val="af7"/>
          <w:rFonts w:eastAsia="Guttman Hodes" w:hint="cs"/>
          <w:rtl/>
        </w:rPr>
        <w:instrText xml:space="preserve"> _</w:instrText>
      </w:r>
      <w:r w:rsidRPr="00C86676">
        <w:rPr>
          <w:rStyle w:val="af7"/>
          <w:rFonts w:eastAsia="Guttman Hodes" w:hint="cs"/>
        </w:rPr>
        <w:instrText>Ref59724012 \r \h</w:instrText>
      </w:r>
      <w:r w:rsidRPr="00C86676">
        <w:rPr>
          <w:rStyle w:val="af7"/>
          <w:rFonts w:eastAsia="Guttman Hodes"/>
          <w:rtl/>
        </w:rPr>
        <w:instrText xml:space="preserve"> </w:instrText>
      </w:r>
      <w:r w:rsidRPr="00C86676">
        <w:rPr>
          <w:rStyle w:val="af7"/>
          <w:rFonts w:eastAsia="Guttman Hodes"/>
          <w:rtl/>
        </w:rPr>
      </w:r>
      <w:r w:rsidRPr="00C86676">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Pr="00C86676">
        <w:rPr>
          <w:rStyle w:val="af7"/>
          <w:rFonts w:eastAsia="Guttman Hodes"/>
          <w:rtl/>
        </w:rPr>
        <w:fldChar w:fldCharType="end"/>
      </w:r>
      <w:r w:rsidRPr="00C86676">
        <w:rPr>
          <w:rStyle w:val="af7"/>
          <w:rFonts w:eastAsia="Guttman Hodes" w:hint="cs"/>
          <w:rtl/>
        </w:rPr>
        <w:t xml:space="preserve"> </w:t>
      </w:r>
      <w:r>
        <w:rPr>
          <w:rFonts w:hint="cs"/>
          <w:rtl/>
        </w:rPr>
        <w:t>דקמי דידי זבנה מינך</w:t>
      </w:r>
      <w:r w:rsidRPr="002C69A0">
        <w:rPr>
          <w:rFonts w:hint="cs"/>
          <w:rtl/>
        </w:rPr>
        <w:t xml:space="preserve"> נאמן</w:t>
      </w:r>
      <w:r>
        <w:rPr>
          <w:rFonts w:hint="cs"/>
          <w:rtl/>
        </w:rPr>
        <w:t>,</w:t>
      </w:r>
      <w:r w:rsidRPr="002C69A0">
        <w:rPr>
          <w:rFonts w:hint="cs"/>
          <w:rtl/>
        </w:rPr>
        <w:t xml:space="preserve"> אף כשאין לו חזקת ג"ש,</w:t>
      </w:r>
      <w:r>
        <w:rPr>
          <w:rFonts w:hint="cs"/>
          <w:rtl/>
        </w:rPr>
        <w:t xml:space="preserve"> במיגו דהיה טוען שלא הייתה של המערער </w:t>
      </w:r>
      <w:r w:rsidRPr="0092715E">
        <w:rPr>
          <w:rFonts w:hint="cs"/>
          <w:rtl/>
        </w:rPr>
        <w:t xml:space="preserve">מעולם, כיון שאין למערער עדים שהייתה הקרקע שלו, וכתב </w:t>
      </w:r>
      <w:r w:rsidRPr="0092715E">
        <w:rPr>
          <w:rStyle w:val="af9"/>
          <w:rFonts w:hint="cs"/>
          <w:rtl/>
        </w:rPr>
        <w:t>הב"י</w:t>
      </w:r>
      <w:r w:rsidRPr="0092715E">
        <w:rPr>
          <w:rFonts w:hint="cs"/>
          <w:rtl/>
        </w:rPr>
        <w:t xml:space="preserve"> </w:t>
      </w:r>
      <w:r w:rsidRPr="0092715E">
        <w:rPr>
          <w:rStyle w:val="af7"/>
          <w:rFonts w:eastAsia="Guttman Hodes" w:hint="cs"/>
          <w:rtl/>
        </w:rPr>
        <w:t>(סי' קמ"ו י"ג ד"ה ודע)</w:t>
      </w:r>
      <w:r w:rsidRPr="0092715E">
        <w:rPr>
          <w:rFonts w:hint="cs"/>
          <w:rtl/>
        </w:rPr>
        <w:t xml:space="preserve"> </w:t>
      </w:r>
      <w:r>
        <w:rPr>
          <w:rFonts w:hint="cs"/>
          <w:rtl/>
        </w:rPr>
        <w:t xml:space="preserve">דמ"ש </w:t>
      </w:r>
      <w:r w:rsidRPr="00C86676">
        <w:rPr>
          <w:rStyle w:val="af9"/>
          <w:rFonts w:hint="cs"/>
          <w:rtl/>
        </w:rPr>
        <w:t>הטור</w:t>
      </w:r>
      <w:r>
        <w:rPr>
          <w:rFonts w:hint="cs"/>
          <w:rtl/>
        </w:rPr>
        <w:t xml:space="preserve"> </w:t>
      </w:r>
      <w:r w:rsidRPr="0092715E">
        <w:rPr>
          <w:rFonts w:hint="cs"/>
          <w:rtl/>
        </w:rPr>
        <w:t xml:space="preserve">דדעת </w:t>
      </w:r>
      <w:r w:rsidRPr="00C86676">
        <w:rPr>
          <w:rStyle w:val="af9"/>
          <w:rFonts w:hint="cs"/>
          <w:rtl/>
        </w:rPr>
        <w:t>הרמב"ם</w:t>
      </w:r>
      <w:r w:rsidRPr="0092715E">
        <w:rPr>
          <w:rFonts w:hint="cs"/>
          <w:rtl/>
        </w:rPr>
        <w:t xml:space="preserve"> </w:t>
      </w:r>
      <w:r w:rsidRPr="00C86676">
        <w:rPr>
          <w:rStyle w:val="af9"/>
          <w:rFonts w:hint="cs"/>
          <w:rtl/>
        </w:rPr>
        <w:t>כתוס'</w:t>
      </w:r>
      <w:r w:rsidRPr="0092715E">
        <w:rPr>
          <w:rFonts w:hint="cs"/>
          <w:rtl/>
        </w:rPr>
        <w:t xml:space="preserve"> הוא ט</w:t>
      </w:r>
      <w:r>
        <w:rPr>
          <w:rFonts w:hint="cs"/>
          <w:rtl/>
        </w:rPr>
        <w:t>"ס,</w:t>
      </w:r>
      <w:r w:rsidRPr="0092715E">
        <w:rPr>
          <w:rFonts w:hint="cs"/>
          <w:rtl/>
        </w:rPr>
        <w:t xml:space="preserve"> וצ</w:t>
      </w:r>
      <w:r>
        <w:rPr>
          <w:rFonts w:hint="cs"/>
          <w:rtl/>
        </w:rPr>
        <w:t xml:space="preserve">ריך לגרוס בדברי </w:t>
      </w:r>
      <w:r w:rsidRPr="00C86676">
        <w:rPr>
          <w:rStyle w:val="af9"/>
          <w:rFonts w:hint="cs"/>
          <w:rtl/>
        </w:rPr>
        <w:t>הטור</w:t>
      </w:r>
      <w:r w:rsidRPr="0092715E">
        <w:rPr>
          <w:rFonts w:hint="cs"/>
          <w:rtl/>
        </w:rPr>
        <w:t xml:space="preserve"> </w:t>
      </w:r>
      <w:r>
        <w:rPr>
          <w:rFonts w:hint="cs"/>
          <w:rtl/>
        </w:rPr>
        <w:t>ד</w:t>
      </w:r>
      <w:r w:rsidRPr="0092715E">
        <w:rPr>
          <w:rFonts w:hint="cs"/>
          <w:rtl/>
        </w:rPr>
        <w:t xml:space="preserve">דעת </w:t>
      </w:r>
      <w:r w:rsidRPr="00C86676">
        <w:rPr>
          <w:rStyle w:val="af9"/>
          <w:rFonts w:hint="cs"/>
          <w:rtl/>
        </w:rPr>
        <w:t xml:space="preserve">הרמב"ן </w:t>
      </w:r>
      <w:r w:rsidRPr="00C86676">
        <w:rPr>
          <w:rStyle w:val="af7"/>
          <w:rFonts w:eastAsia="Guttman Hodes" w:hint="cs"/>
          <w:rtl/>
        </w:rPr>
        <w:t xml:space="preserve">(עי' אות </w:t>
      </w:r>
      <w:r w:rsidRPr="00C86676">
        <w:rPr>
          <w:rStyle w:val="af7"/>
          <w:rFonts w:eastAsia="Guttman Hodes"/>
          <w:rtl/>
        </w:rPr>
        <w:fldChar w:fldCharType="begin"/>
      </w:r>
      <w:r w:rsidRPr="00C86676">
        <w:rPr>
          <w:rStyle w:val="af7"/>
          <w:rFonts w:eastAsia="Guttman Hodes"/>
          <w:rtl/>
        </w:rPr>
        <w:instrText xml:space="preserve"> </w:instrText>
      </w:r>
      <w:r w:rsidRPr="00C86676">
        <w:rPr>
          <w:rStyle w:val="af7"/>
          <w:rFonts w:eastAsia="Guttman Hodes" w:hint="cs"/>
        </w:rPr>
        <w:instrText>REF</w:instrText>
      </w:r>
      <w:r w:rsidRPr="00C86676">
        <w:rPr>
          <w:rStyle w:val="af7"/>
          <w:rFonts w:eastAsia="Guttman Hodes" w:hint="cs"/>
          <w:rtl/>
        </w:rPr>
        <w:instrText xml:space="preserve"> _</w:instrText>
      </w:r>
      <w:r w:rsidRPr="00C86676">
        <w:rPr>
          <w:rStyle w:val="af7"/>
          <w:rFonts w:eastAsia="Guttman Hodes" w:hint="cs"/>
        </w:rPr>
        <w:instrText>Ref59615619 \r \h</w:instrText>
      </w:r>
      <w:r w:rsidRPr="00C86676">
        <w:rPr>
          <w:rStyle w:val="af7"/>
          <w:rFonts w:eastAsia="Guttman Hodes"/>
          <w:rtl/>
        </w:rPr>
        <w:instrText xml:space="preserve"> </w:instrText>
      </w:r>
      <w:r w:rsidRPr="00C86676">
        <w:rPr>
          <w:rStyle w:val="af7"/>
          <w:rFonts w:eastAsia="Guttman Hodes"/>
          <w:rtl/>
        </w:rPr>
      </w:r>
      <w:r w:rsidRPr="00C86676">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C86676">
        <w:rPr>
          <w:rStyle w:val="af7"/>
          <w:rFonts w:eastAsia="Guttman Hodes"/>
          <w:rtl/>
        </w:rPr>
        <w:fldChar w:fldCharType="end"/>
      </w:r>
      <w:r>
        <w:rPr>
          <w:rStyle w:val="af9"/>
          <w:rFonts w:hint="cs"/>
          <w:rtl/>
        </w:rPr>
        <w:t xml:space="preserve"> </w:t>
      </w:r>
      <w:r w:rsidRPr="00C86676">
        <w:rPr>
          <w:rStyle w:val="af9"/>
          <w:rFonts w:hint="cs"/>
          <w:rtl/>
        </w:rPr>
        <w:t>כתוס'</w:t>
      </w:r>
      <w:r>
        <w:rPr>
          <w:rFonts w:hint="cs"/>
          <w:rtl/>
        </w:rPr>
        <w:t>,</w:t>
      </w:r>
      <w:r w:rsidRPr="009D72B5">
        <w:rPr>
          <w:rFonts w:hint="cs"/>
          <w:rtl/>
        </w:rPr>
        <w:t xml:space="preserve"> </w:t>
      </w:r>
      <w:r>
        <w:rPr>
          <w:rFonts w:hint="cs"/>
          <w:rtl/>
        </w:rPr>
        <w:t xml:space="preserve">דהא ס"ל </w:t>
      </w:r>
      <w:r>
        <w:rPr>
          <w:rStyle w:val="af9"/>
          <w:rFonts w:hint="cs"/>
          <w:rtl/>
        </w:rPr>
        <w:t>לה</w:t>
      </w:r>
      <w:r w:rsidRPr="00CD408B">
        <w:rPr>
          <w:rStyle w:val="af9"/>
          <w:rFonts w:hint="cs"/>
          <w:rtl/>
        </w:rPr>
        <w:t>רמב"ם</w:t>
      </w:r>
      <w:r w:rsidRPr="00C86676">
        <w:rPr>
          <w:rStyle w:val="af7"/>
          <w:rFonts w:eastAsia="Guttman Hodes" w:hint="cs"/>
          <w:rtl/>
        </w:rPr>
        <w:t xml:space="preserve"> (עי' אות </w:t>
      </w:r>
      <w:r w:rsidRPr="00C86676">
        <w:rPr>
          <w:rStyle w:val="af7"/>
          <w:rFonts w:eastAsia="Guttman Hodes"/>
          <w:rtl/>
        </w:rPr>
        <w:fldChar w:fldCharType="begin"/>
      </w:r>
      <w:r w:rsidRPr="00C86676">
        <w:rPr>
          <w:rStyle w:val="af7"/>
          <w:rFonts w:eastAsia="Guttman Hodes"/>
          <w:rtl/>
        </w:rPr>
        <w:instrText xml:space="preserve"> </w:instrText>
      </w:r>
      <w:r w:rsidRPr="00C86676">
        <w:rPr>
          <w:rStyle w:val="af7"/>
          <w:rFonts w:eastAsia="Guttman Hodes" w:hint="cs"/>
        </w:rPr>
        <w:instrText>REF</w:instrText>
      </w:r>
      <w:r w:rsidRPr="00C86676">
        <w:rPr>
          <w:rStyle w:val="af7"/>
          <w:rFonts w:eastAsia="Guttman Hodes" w:hint="cs"/>
          <w:rtl/>
        </w:rPr>
        <w:instrText xml:space="preserve"> _</w:instrText>
      </w:r>
      <w:r w:rsidRPr="00C86676">
        <w:rPr>
          <w:rStyle w:val="af7"/>
          <w:rFonts w:eastAsia="Guttman Hodes" w:hint="cs"/>
        </w:rPr>
        <w:instrText>Ref59050161 \r \h</w:instrText>
      </w:r>
      <w:r w:rsidRPr="00C86676">
        <w:rPr>
          <w:rStyle w:val="af7"/>
          <w:rFonts w:eastAsia="Guttman Hodes"/>
          <w:rtl/>
        </w:rPr>
        <w:instrText xml:space="preserve"> </w:instrText>
      </w:r>
      <w:r w:rsidRPr="00C86676">
        <w:rPr>
          <w:rStyle w:val="af7"/>
          <w:rFonts w:eastAsia="Guttman Hodes"/>
          <w:rtl/>
        </w:rPr>
      </w:r>
      <w:r w:rsidRPr="00C86676">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C86676">
        <w:rPr>
          <w:rStyle w:val="af7"/>
          <w:rFonts w:eastAsia="Guttman Hodes"/>
          <w:rtl/>
        </w:rPr>
        <w:fldChar w:fldCharType="end"/>
      </w:r>
      <w:r w:rsidRPr="00C86676">
        <w:rPr>
          <w:rStyle w:val="af7"/>
          <w:rFonts w:eastAsia="Guttman Hodes" w:hint="cs"/>
          <w:rtl/>
        </w:rPr>
        <w:t xml:space="preserve"> </w:t>
      </w:r>
      <w:r>
        <w:rPr>
          <w:rFonts w:hint="cs"/>
          <w:rtl/>
        </w:rPr>
        <w:t xml:space="preserve">כדביאר </w:t>
      </w:r>
      <w:r w:rsidRPr="00C95275">
        <w:rPr>
          <w:rStyle w:val="af9"/>
          <w:rFonts w:hint="cs"/>
          <w:rtl/>
        </w:rPr>
        <w:t>הטור</w:t>
      </w:r>
      <w:r w:rsidRPr="00C86676">
        <w:rPr>
          <w:rStyle w:val="af7"/>
          <w:rFonts w:eastAsia="Guttman Hodes" w:hint="cs"/>
          <w:rtl/>
        </w:rPr>
        <w:t xml:space="preserve"> (עי' אות </w:t>
      </w:r>
      <w:r w:rsidRPr="00C86676">
        <w:rPr>
          <w:rStyle w:val="af7"/>
          <w:rFonts w:eastAsia="Guttman Hodes"/>
          <w:rtl/>
        </w:rPr>
        <w:fldChar w:fldCharType="begin"/>
      </w:r>
      <w:r w:rsidRPr="00C86676">
        <w:rPr>
          <w:rStyle w:val="af7"/>
          <w:rFonts w:eastAsia="Guttman Hodes"/>
          <w:rtl/>
        </w:rPr>
        <w:instrText xml:space="preserve"> </w:instrText>
      </w:r>
      <w:r w:rsidRPr="00C86676">
        <w:rPr>
          <w:rStyle w:val="af7"/>
          <w:rFonts w:eastAsia="Guttman Hodes" w:hint="cs"/>
        </w:rPr>
        <w:instrText>REF</w:instrText>
      </w:r>
      <w:r w:rsidRPr="00C86676">
        <w:rPr>
          <w:rStyle w:val="af7"/>
          <w:rFonts w:eastAsia="Guttman Hodes" w:hint="cs"/>
          <w:rtl/>
        </w:rPr>
        <w:instrText xml:space="preserve"> _</w:instrText>
      </w:r>
      <w:r w:rsidRPr="00C86676">
        <w:rPr>
          <w:rStyle w:val="af7"/>
          <w:rFonts w:eastAsia="Guttman Hodes" w:hint="cs"/>
        </w:rPr>
        <w:instrText>Ref59651096 \r \h</w:instrText>
      </w:r>
      <w:r w:rsidRPr="00C86676">
        <w:rPr>
          <w:rStyle w:val="af7"/>
          <w:rFonts w:eastAsia="Guttman Hodes"/>
          <w:rtl/>
        </w:rPr>
        <w:instrText xml:space="preserve"> </w:instrText>
      </w:r>
      <w:r w:rsidRPr="00C86676">
        <w:rPr>
          <w:rStyle w:val="af7"/>
          <w:rFonts w:eastAsia="Guttman Hodes"/>
          <w:rtl/>
        </w:rPr>
      </w:r>
      <w:r w:rsidRPr="00C86676">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C86676">
        <w:rPr>
          <w:rStyle w:val="af7"/>
          <w:rFonts w:eastAsia="Guttman Hodes"/>
          <w:rtl/>
        </w:rPr>
        <w:fldChar w:fldCharType="end"/>
      </w:r>
      <w:r w:rsidRPr="00C86676">
        <w:rPr>
          <w:rStyle w:val="af7"/>
          <w:rFonts w:eastAsia="Guttman Hodes" w:hint="cs"/>
          <w:rtl/>
        </w:rPr>
        <w:t xml:space="preserve"> </w:t>
      </w:r>
      <w:r>
        <w:rPr>
          <w:rFonts w:hint="cs"/>
          <w:rtl/>
        </w:rPr>
        <w:t xml:space="preserve">בדעת </w:t>
      </w:r>
      <w:r>
        <w:rPr>
          <w:rStyle w:val="af9"/>
          <w:rFonts w:hint="cs"/>
          <w:rtl/>
        </w:rPr>
        <w:t>ה</w:t>
      </w:r>
      <w:r w:rsidRPr="00CD408B">
        <w:rPr>
          <w:rStyle w:val="af9"/>
          <w:rFonts w:hint="cs"/>
          <w:rtl/>
        </w:rPr>
        <w:t>רשב"ם</w:t>
      </w:r>
      <w:r>
        <w:rPr>
          <w:rFonts w:hint="cs"/>
          <w:rtl/>
        </w:rPr>
        <w:t xml:space="preserve"> דדוקא כשיש לו חזקת ג"ש, אין מוציאין מידו</w:t>
      </w:r>
      <w:r w:rsidRPr="0092715E">
        <w:rPr>
          <w:rFonts w:hint="cs"/>
          <w:rtl/>
        </w:rPr>
        <w:t>.</w:t>
      </w:r>
      <w:bookmarkEnd w:id="10107"/>
    </w:p>
    <w:p w:rsidR="000E75A3" w:rsidRDefault="000E75A3" w:rsidP="000E75A3">
      <w:pPr>
        <w:pStyle w:val="a3"/>
        <w:rPr>
          <w:rtl/>
        </w:rPr>
      </w:pPr>
      <w:bookmarkStart w:id="10108" w:name="_Toc59741709"/>
      <w:bookmarkStart w:id="10109" w:name="_Toc59786844"/>
      <w:bookmarkStart w:id="10110" w:name="_Toc59802655"/>
      <w:bookmarkStart w:id="10111" w:name="_Toc59916216"/>
      <w:r>
        <w:rPr>
          <w:rFonts w:hint="cs"/>
          <w:rtl/>
        </w:rPr>
        <w:t>קושית הלח"מ דאמאי להרמב"ם אינו נאמן בקמי דידי בלא חזקה כיון שיש לו חזקה עם טענה</w:t>
      </w:r>
      <w:bookmarkEnd w:id="10108"/>
      <w:bookmarkEnd w:id="10109"/>
      <w:bookmarkEnd w:id="10110"/>
      <w:bookmarkEnd w:id="10111"/>
    </w:p>
    <w:p w:rsidR="000E75A3" w:rsidRPr="00424DF7" w:rsidRDefault="000E75A3" w:rsidP="007E4E81">
      <w:pPr>
        <w:pStyle w:val="a0"/>
        <w:rPr>
          <w:rtl/>
        </w:rPr>
      </w:pPr>
      <w:bookmarkStart w:id="10112" w:name="_Ref59650733"/>
      <w:r>
        <w:rPr>
          <w:rFonts w:hint="cs"/>
          <w:rtl/>
        </w:rPr>
        <w:t xml:space="preserve">וכ"כ </w:t>
      </w:r>
      <w:r w:rsidRPr="00C23A10">
        <w:rPr>
          <w:rStyle w:val="af9"/>
          <w:rFonts w:hint="cs"/>
          <w:rtl/>
        </w:rPr>
        <w:t>הלח"מ</w:t>
      </w:r>
      <w:r>
        <w:rPr>
          <w:rFonts w:hint="cs"/>
          <w:rtl/>
        </w:rPr>
        <w:t xml:space="preserve"> </w:t>
      </w:r>
      <w:r w:rsidRPr="00C23A10">
        <w:rPr>
          <w:rStyle w:val="af7"/>
          <w:rFonts w:eastAsia="Guttman Hodes" w:hint="cs"/>
          <w:rtl/>
        </w:rPr>
        <w:t xml:space="preserve">(טו"נ פי"ד הי"ד) </w:t>
      </w:r>
      <w:r>
        <w:rPr>
          <w:rStyle w:val="af9"/>
          <w:rFonts w:hint="cs"/>
          <w:rtl/>
        </w:rPr>
        <w:t>ו</w:t>
      </w:r>
      <w:r w:rsidRPr="001C266F">
        <w:rPr>
          <w:rStyle w:val="af9"/>
          <w:rFonts w:hint="cs"/>
          <w:rtl/>
        </w:rPr>
        <w:t>הדרישה</w:t>
      </w:r>
      <w:r>
        <w:rPr>
          <w:rFonts w:hint="cs"/>
          <w:rtl/>
        </w:rPr>
        <w:t xml:space="preserve"> </w:t>
      </w:r>
      <w:r w:rsidRPr="003B2E38">
        <w:rPr>
          <w:rStyle w:val="af7"/>
          <w:rFonts w:eastAsia="Guttman Hodes" w:hint="cs"/>
          <w:rtl/>
        </w:rPr>
        <w:t>(סי' קמ"ו סוס"ק כ"ד סוד"ה ולולי פה)</w:t>
      </w:r>
      <w:r>
        <w:rPr>
          <w:rStyle w:val="af7"/>
          <w:rFonts w:eastAsia="Guttman Hodes" w:hint="cs"/>
          <w:rtl/>
        </w:rPr>
        <w:t xml:space="preserve"> </w:t>
      </w:r>
      <w:r>
        <w:rPr>
          <w:rFonts w:hint="cs"/>
          <w:rtl/>
        </w:rPr>
        <w:t xml:space="preserve">דמבואר מדברי </w:t>
      </w:r>
      <w:r w:rsidRPr="002D0EC7">
        <w:rPr>
          <w:rStyle w:val="af9"/>
          <w:rFonts w:hint="cs"/>
          <w:rtl/>
        </w:rPr>
        <w:t>הרמב"ם</w:t>
      </w:r>
      <w:r w:rsidRPr="00BA2EBC">
        <w:rPr>
          <w:rStyle w:val="af7"/>
          <w:rFonts w:eastAsia="Guttman Hodes" w:hint="cs"/>
          <w:rtl/>
        </w:rPr>
        <w:t xml:space="preserve"> (עי' אות </w:t>
      </w:r>
      <w:r w:rsidRPr="00BA2EBC">
        <w:rPr>
          <w:rStyle w:val="af7"/>
          <w:rFonts w:eastAsia="Guttman Hodes"/>
          <w:rtl/>
        </w:rPr>
        <w:fldChar w:fldCharType="begin"/>
      </w:r>
      <w:r w:rsidRPr="00BA2EBC">
        <w:rPr>
          <w:rStyle w:val="af7"/>
          <w:rFonts w:eastAsia="Guttman Hodes"/>
          <w:rtl/>
        </w:rPr>
        <w:instrText xml:space="preserve"> </w:instrText>
      </w:r>
      <w:r w:rsidRPr="00BA2EBC">
        <w:rPr>
          <w:rStyle w:val="af7"/>
          <w:rFonts w:eastAsia="Guttman Hodes" w:hint="cs"/>
        </w:rPr>
        <w:instrText>REF</w:instrText>
      </w:r>
      <w:r w:rsidRPr="00BA2EBC">
        <w:rPr>
          <w:rStyle w:val="af7"/>
          <w:rFonts w:eastAsia="Guttman Hodes" w:hint="cs"/>
          <w:rtl/>
        </w:rPr>
        <w:instrText xml:space="preserve"> _</w:instrText>
      </w:r>
      <w:r w:rsidRPr="00BA2EBC">
        <w:rPr>
          <w:rStyle w:val="af7"/>
          <w:rFonts w:eastAsia="Guttman Hodes" w:hint="cs"/>
        </w:rPr>
        <w:instrText>Ref59050161 \r \h</w:instrText>
      </w:r>
      <w:r w:rsidRPr="00BA2EBC">
        <w:rPr>
          <w:rStyle w:val="af7"/>
          <w:rFonts w:eastAsia="Guttman Hodes"/>
          <w:rtl/>
        </w:rPr>
        <w:instrText xml:space="preserve"> </w:instrText>
      </w:r>
      <w:r w:rsidRPr="00BA2EBC">
        <w:rPr>
          <w:rStyle w:val="af7"/>
          <w:rFonts w:eastAsia="Guttman Hodes"/>
          <w:rtl/>
        </w:rPr>
      </w:r>
      <w:r w:rsidRPr="00BA2EBC">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BA2EBC">
        <w:rPr>
          <w:rStyle w:val="af7"/>
          <w:rFonts w:eastAsia="Guttman Hodes"/>
          <w:rtl/>
        </w:rPr>
        <w:fldChar w:fldCharType="end"/>
      </w:r>
      <w:r w:rsidRPr="00BA2EBC">
        <w:rPr>
          <w:rStyle w:val="af7"/>
          <w:rFonts w:eastAsia="Guttman Hodes" w:hint="cs"/>
          <w:rtl/>
        </w:rPr>
        <w:t xml:space="preserve"> </w:t>
      </w:r>
      <w:r>
        <w:rPr>
          <w:rFonts w:hint="cs"/>
          <w:rtl/>
        </w:rPr>
        <w:t xml:space="preserve">דאם טען המחזיק המחזיק למערער קמי דידי זבנה מינך, מעמידים את הקרקע ביד המחזיק, רק כשיש לו חזקת ג"ש, אך הקשה </w:t>
      </w:r>
      <w:r w:rsidRPr="00C23A10">
        <w:rPr>
          <w:rStyle w:val="af9"/>
          <w:rFonts w:hint="cs"/>
          <w:rtl/>
        </w:rPr>
        <w:t>הלח"מ</w:t>
      </w:r>
      <w:r>
        <w:rPr>
          <w:rFonts w:hint="cs"/>
          <w:rtl/>
        </w:rPr>
        <w:t xml:space="preserve"> דהא כיון שיש לו חזקה עם טענה, והיה יכול לטעון למערער שקנה ממנו, והרי אף כשאין לו חזקה היה נאמן במיגו דלא הייתה שלך מעולם.</w:t>
      </w:r>
      <w:bookmarkEnd w:id="10112"/>
    </w:p>
    <w:p w:rsidR="000E75A3" w:rsidRDefault="000E75A3" w:rsidP="000E75A3">
      <w:pPr>
        <w:pStyle w:val="a3"/>
        <w:rPr>
          <w:rtl/>
        </w:rPr>
      </w:pPr>
      <w:bookmarkStart w:id="10113" w:name="_Toc59741710"/>
      <w:bookmarkStart w:id="10114" w:name="_Toc59786845"/>
      <w:bookmarkStart w:id="10115" w:name="_Toc59802656"/>
      <w:bookmarkStart w:id="10116" w:name="_Toc59916217"/>
      <w:r>
        <w:rPr>
          <w:rFonts w:hint="cs"/>
          <w:rtl/>
        </w:rPr>
        <w:t>תירוץ המחנ"א דהמחזיק אינו נאמן בקמי דידי בלא חזקה במיגו דלהד"ם דירא לטוענו</w:t>
      </w:r>
      <w:bookmarkEnd w:id="10113"/>
      <w:bookmarkEnd w:id="10114"/>
      <w:bookmarkEnd w:id="10115"/>
      <w:bookmarkEnd w:id="10116"/>
    </w:p>
    <w:p w:rsidR="000E75A3" w:rsidRDefault="000E75A3" w:rsidP="007E4E81">
      <w:pPr>
        <w:pStyle w:val="a0"/>
        <w:rPr>
          <w:rtl/>
        </w:rPr>
      </w:pPr>
      <w:bookmarkStart w:id="10117" w:name="_Ref59655160"/>
      <w:r>
        <w:rPr>
          <w:rFonts w:hint="cs"/>
          <w:rtl/>
        </w:rPr>
        <w:t xml:space="preserve">ותירץ </w:t>
      </w:r>
      <w:r w:rsidRPr="001C266F">
        <w:rPr>
          <w:rStyle w:val="af9"/>
          <w:rFonts w:hint="cs"/>
          <w:rtl/>
        </w:rPr>
        <w:t>המחנ"א</w:t>
      </w:r>
      <w:r>
        <w:rPr>
          <w:rFonts w:hint="cs"/>
          <w:rtl/>
        </w:rPr>
        <w:t xml:space="preserve"> </w:t>
      </w:r>
      <w:r w:rsidRPr="007C4BDC">
        <w:rPr>
          <w:rStyle w:val="af7"/>
          <w:rFonts w:eastAsia="Guttman Hodes" w:hint="cs"/>
          <w:rtl/>
        </w:rPr>
        <w:t>(על הרמב"ם טו"נ</w:t>
      </w:r>
      <w:r w:rsidRPr="00C23A10">
        <w:rPr>
          <w:rStyle w:val="af7"/>
          <w:rFonts w:eastAsia="Guttman Hodes" w:hint="cs"/>
          <w:rtl/>
        </w:rPr>
        <w:t xml:space="preserve"> פי"ד הי"ד</w:t>
      </w:r>
      <w:r>
        <w:rPr>
          <w:rStyle w:val="af7"/>
          <w:rFonts w:eastAsia="Guttman Hodes" w:hint="cs"/>
          <w:rtl/>
        </w:rPr>
        <w:t xml:space="preserve">, נד' בסוף </w:t>
      </w:r>
      <w:r w:rsidRPr="005A72AA">
        <w:rPr>
          <w:rStyle w:val="af7"/>
          <w:rFonts w:eastAsia="Guttman Hodes" w:hint="cs"/>
          <w:rtl/>
        </w:rPr>
        <w:t xml:space="preserve">המחנ"א, ובספר הליקוטים על הרמב"ם מהדו' פרנקל) </w:t>
      </w:r>
      <w:r w:rsidRPr="005A72AA">
        <w:rPr>
          <w:rFonts w:hint="cs"/>
          <w:rtl/>
        </w:rPr>
        <w:t>דלא מהני מיגו דלא הייתה שלך מעול</w:t>
      </w:r>
      <w:r>
        <w:rPr>
          <w:rFonts w:hint="cs"/>
          <w:rtl/>
        </w:rPr>
        <w:t xml:space="preserve">ם, כדביאר </w:t>
      </w:r>
      <w:r w:rsidRPr="001C266F">
        <w:rPr>
          <w:rStyle w:val="af9"/>
          <w:rFonts w:hint="cs"/>
          <w:rtl/>
        </w:rPr>
        <w:t>הרא"ש</w:t>
      </w:r>
      <w:r>
        <w:rPr>
          <w:rFonts w:hint="cs"/>
          <w:rtl/>
        </w:rPr>
        <w:t xml:space="preserve"> </w:t>
      </w:r>
      <w:r w:rsidRPr="005560A5">
        <w:rPr>
          <w:rStyle w:val="af7"/>
          <w:rFonts w:eastAsia="Guttman Hodes" w:hint="cs"/>
          <w:rtl/>
        </w:rPr>
        <w:t xml:space="preserve">(עי' אות </w:t>
      </w:r>
      <w:r w:rsidRPr="005560A5">
        <w:rPr>
          <w:rStyle w:val="af7"/>
          <w:rFonts w:eastAsia="Guttman Hodes"/>
          <w:rtl/>
        </w:rPr>
        <w:fldChar w:fldCharType="begin"/>
      </w:r>
      <w:r w:rsidRPr="005560A5">
        <w:rPr>
          <w:rStyle w:val="af7"/>
          <w:rFonts w:eastAsia="Guttman Hodes"/>
          <w:rtl/>
        </w:rPr>
        <w:instrText xml:space="preserve"> </w:instrText>
      </w:r>
      <w:r w:rsidRPr="005560A5">
        <w:rPr>
          <w:rStyle w:val="af7"/>
          <w:rFonts w:eastAsia="Guttman Hodes" w:hint="cs"/>
        </w:rPr>
        <w:instrText>REF</w:instrText>
      </w:r>
      <w:r w:rsidRPr="005560A5">
        <w:rPr>
          <w:rStyle w:val="af7"/>
          <w:rFonts w:eastAsia="Guttman Hodes" w:hint="cs"/>
          <w:rtl/>
        </w:rPr>
        <w:instrText xml:space="preserve"> _</w:instrText>
      </w:r>
      <w:r w:rsidRPr="005560A5">
        <w:rPr>
          <w:rStyle w:val="af7"/>
          <w:rFonts w:eastAsia="Guttman Hodes" w:hint="cs"/>
        </w:rPr>
        <w:instrText>Ref59655213 \r \h</w:instrText>
      </w:r>
      <w:r w:rsidRPr="005560A5">
        <w:rPr>
          <w:rStyle w:val="af7"/>
          <w:rFonts w:eastAsia="Guttman Hodes"/>
          <w:rtl/>
        </w:rPr>
        <w:instrText xml:space="preserve"> </w:instrText>
      </w:r>
      <w:r w:rsidRPr="005560A5">
        <w:rPr>
          <w:rStyle w:val="af7"/>
          <w:rFonts w:eastAsia="Guttman Hodes"/>
          <w:rtl/>
        </w:rPr>
      </w:r>
      <w:r w:rsidRPr="005560A5">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5560A5">
        <w:rPr>
          <w:rStyle w:val="af7"/>
          <w:rFonts w:eastAsia="Guttman Hodes"/>
          <w:rtl/>
        </w:rPr>
        <w:fldChar w:fldCharType="end"/>
      </w:r>
      <w:r>
        <w:rPr>
          <w:rFonts w:hint="cs"/>
          <w:rtl/>
        </w:rPr>
        <w:t xml:space="preserve"> דהמחזיק ירא לטעון את המיגו, וכ"כ </w:t>
      </w:r>
      <w:r w:rsidRPr="00323E22">
        <w:rPr>
          <w:rStyle w:val="af9"/>
          <w:rFonts w:hint="cs"/>
          <w:rtl/>
        </w:rPr>
        <w:t>בחי' רבי נחום</w:t>
      </w:r>
      <w:r>
        <w:rPr>
          <w:rFonts w:hint="cs"/>
          <w:rtl/>
        </w:rPr>
        <w:t xml:space="preserve"> </w:t>
      </w:r>
      <w:r w:rsidRPr="00FF18BF">
        <w:rPr>
          <w:rStyle w:val="af7"/>
          <w:rFonts w:eastAsia="Guttman Hodes" w:hint="cs"/>
          <w:rtl/>
        </w:rPr>
        <w:t xml:space="preserve">(עי' אות </w:t>
      </w:r>
      <w:r w:rsidRPr="00FF18BF">
        <w:rPr>
          <w:rStyle w:val="af7"/>
          <w:rFonts w:eastAsia="Guttman Hodes"/>
          <w:rtl/>
        </w:rPr>
        <w:fldChar w:fldCharType="begin"/>
      </w:r>
      <w:r w:rsidRPr="00FF18BF">
        <w:rPr>
          <w:rStyle w:val="af7"/>
          <w:rFonts w:eastAsia="Guttman Hodes"/>
          <w:rtl/>
        </w:rPr>
        <w:instrText xml:space="preserve"> </w:instrText>
      </w:r>
      <w:r w:rsidRPr="00FF18BF">
        <w:rPr>
          <w:rStyle w:val="af7"/>
          <w:rFonts w:eastAsia="Guttman Hodes" w:hint="cs"/>
        </w:rPr>
        <w:instrText>REF</w:instrText>
      </w:r>
      <w:r w:rsidRPr="00FF18BF">
        <w:rPr>
          <w:rStyle w:val="af7"/>
          <w:rFonts w:eastAsia="Guttman Hodes" w:hint="cs"/>
          <w:rtl/>
        </w:rPr>
        <w:instrText xml:space="preserve"> _</w:instrText>
      </w:r>
      <w:r w:rsidRPr="00FF18BF">
        <w:rPr>
          <w:rStyle w:val="af7"/>
          <w:rFonts w:eastAsia="Guttman Hodes" w:hint="cs"/>
        </w:rPr>
        <w:instrText>Ref59655191 \r \h</w:instrText>
      </w:r>
      <w:r w:rsidRPr="00FF18BF">
        <w:rPr>
          <w:rStyle w:val="af7"/>
          <w:rFonts w:eastAsia="Guttman Hodes"/>
          <w:rtl/>
        </w:rPr>
        <w:instrText xml:space="preserve"> </w:instrText>
      </w:r>
      <w:r w:rsidRPr="00FF18BF">
        <w:rPr>
          <w:rStyle w:val="af7"/>
          <w:rFonts w:eastAsia="Guttman Hodes"/>
          <w:rtl/>
        </w:rPr>
      </w:r>
      <w:r w:rsidRPr="00FF18BF">
        <w:rPr>
          <w:rStyle w:val="af7"/>
          <w:rFonts w:eastAsia="Guttman Hodes"/>
          <w:rtl/>
        </w:rPr>
        <w:fldChar w:fldCharType="separate"/>
      </w:r>
      <w:r w:rsidR="00265073">
        <w:rPr>
          <w:rStyle w:val="af7"/>
          <w:rFonts w:eastAsia="Guttman Hodes"/>
          <w:cs/>
        </w:rPr>
        <w:t>‎</w:t>
      </w:r>
      <w:r w:rsidR="00265073">
        <w:rPr>
          <w:rStyle w:val="af7"/>
          <w:rFonts w:eastAsia="Guttman Hodes"/>
          <w:rtl/>
        </w:rPr>
        <w:t>קכד)</w:t>
      </w:r>
      <w:r w:rsidRPr="00FF18BF">
        <w:rPr>
          <w:rStyle w:val="af7"/>
          <w:rFonts w:eastAsia="Guttman Hodes"/>
          <w:rtl/>
        </w:rPr>
        <w:fldChar w:fldCharType="end"/>
      </w:r>
      <w:r>
        <w:rPr>
          <w:rFonts w:hint="cs"/>
          <w:rtl/>
        </w:rPr>
        <w:t>.</w:t>
      </w:r>
      <w:bookmarkEnd w:id="10117"/>
      <w:r>
        <w:rPr>
          <w:rFonts w:hint="cs"/>
          <w:rtl/>
        </w:rPr>
        <w:t xml:space="preserve"> [וכן ביאר </w:t>
      </w:r>
      <w:r w:rsidRPr="00530319">
        <w:rPr>
          <w:rStyle w:val="af9"/>
          <w:rFonts w:hint="cs"/>
          <w:rtl/>
        </w:rPr>
        <w:t>התומים</w:t>
      </w:r>
      <w:r>
        <w:rPr>
          <w:rFonts w:hint="cs"/>
          <w:rtl/>
        </w:rPr>
        <w:t xml:space="preserve"> </w:t>
      </w:r>
      <w:r w:rsidRPr="00E51484">
        <w:rPr>
          <w:rStyle w:val="af7"/>
          <w:rFonts w:eastAsia="Guttman Hodes" w:hint="cs"/>
          <w:rtl/>
        </w:rPr>
        <w:t xml:space="preserve">(עי' אות </w:t>
      </w:r>
      <w:r w:rsidRPr="00E51484">
        <w:rPr>
          <w:rStyle w:val="af7"/>
          <w:rFonts w:eastAsia="Guttman Hodes"/>
          <w:rtl/>
        </w:rPr>
        <w:fldChar w:fldCharType="begin"/>
      </w:r>
      <w:r w:rsidRPr="00E51484">
        <w:rPr>
          <w:rStyle w:val="af7"/>
          <w:rFonts w:eastAsia="Guttman Hodes"/>
          <w:rtl/>
        </w:rPr>
        <w:instrText xml:space="preserve"> </w:instrText>
      </w:r>
      <w:r w:rsidRPr="00E51484">
        <w:rPr>
          <w:rStyle w:val="af7"/>
          <w:rFonts w:eastAsia="Guttman Hodes" w:hint="cs"/>
        </w:rPr>
        <w:instrText>REF</w:instrText>
      </w:r>
      <w:r w:rsidRPr="00E51484">
        <w:rPr>
          <w:rStyle w:val="af7"/>
          <w:rFonts w:eastAsia="Guttman Hodes" w:hint="cs"/>
          <w:rtl/>
        </w:rPr>
        <w:instrText xml:space="preserve"> _</w:instrText>
      </w:r>
      <w:r w:rsidRPr="00E51484">
        <w:rPr>
          <w:rStyle w:val="af7"/>
          <w:rFonts w:eastAsia="Guttman Hodes" w:hint="cs"/>
        </w:rPr>
        <w:instrText>Ref59723523 \r \h</w:instrText>
      </w:r>
      <w:r w:rsidRPr="00E51484">
        <w:rPr>
          <w:rStyle w:val="af7"/>
          <w:rFonts w:eastAsia="Guttman Hodes"/>
          <w:rtl/>
        </w:rPr>
        <w:instrText xml:space="preserve"> </w:instrText>
      </w:r>
      <w:r w:rsidRPr="00E51484">
        <w:rPr>
          <w:rStyle w:val="af7"/>
          <w:rFonts w:eastAsia="Guttman Hodes"/>
          <w:rtl/>
        </w:rPr>
      </w:r>
      <w:r w:rsidRPr="00E51484">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E51484">
        <w:rPr>
          <w:rStyle w:val="af7"/>
          <w:rFonts w:eastAsia="Guttman Hodes"/>
          <w:rtl/>
        </w:rPr>
        <w:fldChar w:fldCharType="end"/>
      </w:r>
      <w:r>
        <w:rPr>
          <w:rFonts w:hint="cs"/>
          <w:rtl/>
        </w:rPr>
        <w:t xml:space="preserve"> בדעת </w:t>
      </w:r>
      <w:r w:rsidRPr="00530319">
        <w:rPr>
          <w:rStyle w:val="af9"/>
          <w:rFonts w:hint="cs"/>
          <w:rtl/>
        </w:rPr>
        <w:t>הרשב"ם</w:t>
      </w:r>
      <w:r>
        <w:rPr>
          <w:rFonts w:hint="cs"/>
          <w:rtl/>
        </w:rPr>
        <w:t>].</w:t>
      </w:r>
    </w:p>
    <w:p w:rsidR="000E75A3" w:rsidRPr="00B32F9C" w:rsidRDefault="000E75A3" w:rsidP="000E75A3">
      <w:pPr>
        <w:pStyle w:val="1"/>
        <w:rPr>
          <w:rtl/>
        </w:rPr>
      </w:pPr>
      <w:bookmarkStart w:id="10118" w:name="_Toc59741711"/>
      <w:bookmarkStart w:id="10119" w:name="_Toc59786846"/>
      <w:bookmarkStart w:id="10120" w:name="_Toc59802657"/>
      <w:bookmarkStart w:id="10121" w:name="_Toc59916218"/>
      <w:r>
        <w:rPr>
          <w:rFonts w:hint="cs"/>
          <w:rtl/>
        </w:rPr>
        <w:t>ביאור הש"ך ברמב"ם דכשאין עידי מר"ק א"צ חזקה בקמי דידי</w:t>
      </w:r>
      <w:bookmarkEnd w:id="10118"/>
      <w:bookmarkEnd w:id="10119"/>
      <w:bookmarkEnd w:id="10120"/>
      <w:bookmarkEnd w:id="10121"/>
    </w:p>
    <w:p w:rsidR="000E75A3" w:rsidRPr="00721FE7" w:rsidRDefault="000E75A3" w:rsidP="000E75A3">
      <w:pPr>
        <w:pStyle w:val="a3"/>
      </w:pPr>
      <w:bookmarkStart w:id="10122" w:name="_Toc59741712"/>
      <w:bookmarkStart w:id="10123" w:name="_Toc59786847"/>
      <w:bookmarkStart w:id="10124" w:name="_Toc59802658"/>
      <w:bookmarkStart w:id="10125" w:name="_Toc59916219"/>
      <w:r>
        <w:rPr>
          <w:rFonts w:hint="cs"/>
          <w:rtl/>
        </w:rPr>
        <w:t>ביאור הש"ך ברמב"ם דבקמי דידי נאמן במיגו דלהד"ם ורק כשיש עדים למערער צריך חזקה</w:t>
      </w:r>
      <w:bookmarkEnd w:id="10122"/>
      <w:bookmarkEnd w:id="10123"/>
      <w:bookmarkEnd w:id="10124"/>
      <w:bookmarkEnd w:id="10125"/>
      <w:r>
        <w:rPr>
          <w:rFonts w:hint="cs"/>
          <w:rtl/>
        </w:rPr>
        <w:t xml:space="preserve"> </w:t>
      </w:r>
    </w:p>
    <w:p w:rsidR="000E75A3" w:rsidRPr="001D3C0A" w:rsidRDefault="000E75A3" w:rsidP="007E4E81">
      <w:pPr>
        <w:pStyle w:val="a0"/>
        <w:rPr>
          <w:rtl/>
        </w:rPr>
      </w:pPr>
      <w:bookmarkStart w:id="10126" w:name="_Ref58323972"/>
      <w:bookmarkStart w:id="10127" w:name="_Ref59730709"/>
      <w:r w:rsidRPr="001D3C0A">
        <w:rPr>
          <w:rFonts w:hint="cs"/>
          <w:rtl/>
        </w:rPr>
        <w:t xml:space="preserve">אבל </w:t>
      </w:r>
      <w:r w:rsidRPr="001D3C0A">
        <w:rPr>
          <w:rStyle w:val="af9"/>
          <w:rFonts w:hint="cs"/>
          <w:rtl/>
        </w:rPr>
        <w:t>הש"ך</w:t>
      </w:r>
      <w:r w:rsidRPr="001D3C0A">
        <w:rPr>
          <w:rFonts w:hint="cs"/>
          <w:rtl/>
        </w:rPr>
        <w:t xml:space="preserve"> </w:t>
      </w:r>
      <w:r w:rsidRPr="001D3C0A">
        <w:rPr>
          <w:rStyle w:val="af7"/>
          <w:rFonts w:eastAsia="Guttman Hodes" w:hint="cs"/>
          <w:rtl/>
        </w:rPr>
        <w:t>(סי' קמ"ו סקי"ג)</w:t>
      </w:r>
      <w:r w:rsidRPr="001D3C0A">
        <w:rPr>
          <w:rFonts w:hint="cs"/>
          <w:rtl/>
        </w:rPr>
        <w:t xml:space="preserve"> דחה את דברי </w:t>
      </w:r>
      <w:r w:rsidRPr="001D3C0A">
        <w:rPr>
          <w:rStyle w:val="af9"/>
          <w:rFonts w:hint="cs"/>
          <w:rtl/>
        </w:rPr>
        <w:t>הב"י</w:t>
      </w:r>
      <w:r w:rsidRPr="001D3C0A">
        <w:rPr>
          <w:rFonts w:hint="cs"/>
          <w:rtl/>
        </w:rPr>
        <w:t xml:space="preserve"> </w:t>
      </w:r>
      <w:r w:rsidRPr="005220A9">
        <w:rPr>
          <w:rStyle w:val="af7"/>
          <w:rFonts w:eastAsia="Guttman Hodes" w:hint="cs"/>
          <w:rtl/>
        </w:rPr>
        <w:t xml:space="preserve">(עי' אות </w:t>
      </w:r>
      <w:r w:rsidRPr="005220A9">
        <w:rPr>
          <w:rStyle w:val="af7"/>
          <w:rFonts w:eastAsia="Guttman Hodes"/>
          <w:rtl/>
        </w:rPr>
        <w:fldChar w:fldCharType="begin"/>
      </w:r>
      <w:r w:rsidRPr="005220A9">
        <w:rPr>
          <w:rStyle w:val="af7"/>
          <w:rFonts w:eastAsia="Guttman Hodes"/>
          <w:rtl/>
        </w:rPr>
        <w:instrText xml:space="preserve"> </w:instrText>
      </w:r>
      <w:r w:rsidRPr="005220A9">
        <w:rPr>
          <w:rStyle w:val="af7"/>
          <w:rFonts w:eastAsia="Guttman Hodes" w:hint="cs"/>
        </w:rPr>
        <w:instrText>REF</w:instrText>
      </w:r>
      <w:r w:rsidRPr="005220A9">
        <w:rPr>
          <w:rStyle w:val="af7"/>
          <w:rFonts w:eastAsia="Guttman Hodes" w:hint="cs"/>
          <w:rtl/>
        </w:rPr>
        <w:instrText xml:space="preserve"> _</w:instrText>
      </w:r>
      <w:r w:rsidRPr="005220A9">
        <w:rPr>
          <w:rStyle w:val="af7"/>
          <w:rFonts w:eastAsia="Guttman Hodes" w:hint="cs"/>
        </w:rPr>
        <w:instrText>Ref59730655 \r \h</w:instrText>
      </w:r>
      <w:r w:rsidRPr="005220A9">
        <w:rPr>
          <w:rStyle w:val="af7"/>
          <w:rFonts w:eastAsia="Guttman Hodes"/>
          <w:rtl/>
        </w:rPr>
        <w:instrText xml:space="preserve"> </w:instrText>
      </w:r>
      <w:r w:rsidRPr="005220A9">
        <w:rPr>
          <w:rStyle w:val="af7"/>
          <w:rFonts w:eastAsia="Guttman Hodes"/>
          <w:rtl/>
        </w:rPr>
      </w:r>
      <w:r w:rsidRPr="005220A9">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5220A9">
        <w:rPr>
          <w:rStyle w:val="af7"/>
          <w:rFonts w:eastAsia="Guttman Hodes"/>
          <w:rtl/>
        </w:rPr>
        <w:fldChar w:fldCharType="end"/>
      </w:r>
      <w:r w:rsidRPr="001D3C0A">
        <w:rPr>
          <w:rFonts w:hint="cs"/>
          <w:rtl/>
        </w:rPr>
        <w:t xml:space="preserve"> דאין כל טעם לומר, דאף כשאין למערער עדים</w:t>
      </w:r>
      <w:r>
        <w:rPr>
          <w:rFonts w:hint="cs"/>
          <w:rtl/>
        </w:rPr>
        <w:t>,</w:t>
      </w:r>
      <w:r w:rsidRPr="001D3C0A">
        <w:rPr>
          <w:rFonts w:hint="cs"/>
          <w:rtl/>
        </w:rPr>
        <w:t xml:space="preserve"> אינו נאמן </w:t>
      </w:r>
      <w:r>
        <w:rPr>
          <w:rFonts w:hint="cs"/>
          <w:rtl/>
        </w:rPr>
        <w:t xml:space="preserve">בטענת קמי דידי זבנה מינך, </w:t>
      </w:r>
      <w:r w:rsidRPr="001D3C0A">
        <w:rPr>
          <w:rFonts w:hint="cs"/>
          <w:rtl/>
        </w:rPr>
        <w:t xml:space="preserve">כשאין לו חזקת ג"ש, אלא </w:t>
      </w:r>
      <w:r>
        <w:rPr>
          <w:rFonts w:hint="cs"/>
          <w:rtl/>
        </w:rPr>
        <w:t>ביאר</w:t>
      </w:r>
      <w:r w:rsidRPr="001D3C0A">
        <w:rPr>
          <w:rFonts w:hint="cs"/>
          <w:rtl/>
        </w:rPr>
        <w:t xml:space="preserve"> </w:t>
      </w:r>
      <w:r w:rsidRPr="00D37908">
        <w:rPr>
          <w:rStyle w:val="af9"/>
          <w:rFonts w:hint="cs"/>
          <w:rtl/>
        </w:rPr>
        <w:t>הש"ך</w:t>
      </w:r>
      <w:r>
        <w:rPr>
          <w:rFonts w:hint="cs"/>
          <w:rtl/>
        </w:rPr>
        <w:t xml:space="preserve"> דהא דכתב </w:t>
      </w:r>
      <w:r w:rsidRPr="00D37908">
        <w:rPr>
          <w:rStyle w:val="af9"/>
          <w:rFonts w:hint="cs"/>
          <w:rtl/>
        </w:rPr>
        <w:t>הרמב"ם</w:t>
      </w:r>
      <w:r>
        <w:rPr>
          <w:rFonts w:hint="cs"/>
          <w:rtl/>
        </w:rPr>
        <w:t xml:space="preserve"> </w:t>
      </w:r>
      <w:r w:rsidRPr="00C86676">
        <w:rPr>
          <w:rStyle w:val="af7"/>
          <w:rFonts w:eastAsia="Guttman Hodes" w:hint="cs"/>
          <w:rtl/>
        </w:rPr>
        <w:t xml:space="preserve">(עי' אות </w:t>
      </w:r>
      <w:r w:rsidRPr="00C86676">
        <w:rPr>
          <w:rStyle w:val="af7"/>
          <w:rFonts w:eastAsia="Guttman Hodes"/>
          <w:rtl/>
        </w:rPr>
        <w:fldChar w:fldCharType="begin"/>
      </w:r>
      <w:r w:rsidRPr="00C86676">
        <w:rPr>
          <w:rStyle w:val="af7"/>
          <w:rFonts w:eastAsia="Guttman Hodes"/>
          <w:rtl/>
        </w:rPr>
        <w:instrText xml:space="preserve"> </w:instrText>
      </w:r>
      <w:r w:rsidRPr="00C86676">
        <w:rPr>
          <w:rStyle w:val="af7"/>
          <w:rFonts w:eastAsia="Guttman Hodes" w:hint="cs"/>
        </w:rPr>
        <w:instrText>REF</w:instrText>
      </w:r>
      <w:r w:rsidRPr="00C86676">
        <w:rPr>
          <w:rStyle w:val="af7"/>
          <w:rFonts w:eastAsia="Guttman Hodes" w:hint="cs"/>
          <w:rtl/>
        </w:rPr>
        <w:instrText xml:space="preserve"> _</w:instrText>
      </w:r>
      <w:r w:rsidRPr="00C86676">
        <w:rPr>
          <w:rStyle w:val="af7"/>
          <w:rFonts w:eastAsia="Guttman Hodes" w:hint="cs"/>
        </w:rPr>
        <w:instrText>Ref59050161 \r \h</w:instrText>
      </w:r>
      <w:r w:rsidRPr="00C86676">
        <w:rPr>
          <w:rStyle w:val="af7"/>
          <w:rFonts w:eastAsia="Guttman Hodes"/>
          <w:rtl/>
        </w:rPr>
        <w:instrText xml:space="preserve"> </w:instrText>
      </w:r>
      <w:r w:rsidRPr="00C86676">
        <w:rPr>
          <w:rStyle w:val="af7"/>
          <w:rFonts w:eastAsia="Guttman Hodes"/>
          <w:rtl/>
        </w:rPr>
      </w:r>
      <w:r w:rsidRPr="00C86676">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C86676">
        <w:rPr>
          <w:rStyle w:val="af7"/>
          <w:rFonts w:eastAsia="Guttman Hodes"/>
          <w:rtl/>
        </w:rPr>
        <w:fldChar w:fldCharType="end"/>
      </w:r>
      <w:r w:rsidRPr="00C86676">
        <w:rPr>
          <w:rStyle w:val="af7"/>
          <w:rFonts w:eastAsia="Guttman Hodes" w:hint="cs"/>
          <w:rtl/>
        </w:rPr>
        <w:t xml:space="preserve"> </w:t>
      </w:r>
      <w:r>
        <w:rPr>
          <w:rFonts w:hint="cs"/>
          <w:rtl/>
        </w:rPr>
        <w:t xml:space="preserve">דהוא נאמן רק כשיש לו חזקת ג"ש, היינו דוקא כשיש למערער עדים שהוא המרא קמא, אבל </w:t>
      </w:r>
      <w:r w:rsidRPr="001D3C0A">
        <w:rPr>
          <w:rFonts w:hint="cs"/>
          <w:rtl/>
        </w:rPr>
        <w:t>כשאין למערער עדים, אף כשאין למחזיק חזקת ג"ש, הוא נאמן במיגו דהיה טוען שלא הייתה של המערער מעולם, או שהיה טוען מינך זבינתה</w:t>
      </w:r>
      <w:bookmarkEnd w:id="10126"/>
      <w:r>
        <w:rPr>
          <w:rFonts w:hint="cs"/>
          <w:rtl/>
        </w:rPr>
        <w:t>.</w:t>
      </w:r>
      <w:r w:rsidRPr="001D3C0A">
        <w:rPr>
          <w:rFonts w:hint="cs"/>
          <w:rtl/>
        </w:rPr>
        <w:t xml:space="preserve"> </w:t>
      </w:r>
      <w:r w:rsidRPr="00727E24">
        <w:rPr>
          <w:rStyle w:val="afb"/>
          <w:rFonts w:hint="cs"/>
          <w:rtl/>
        </w:rPr>
        <w:t xml:space="preserve">[וכדביאר </w:t>
      </w:r>
      <w:r w:rsidRPr="005220A9">
        <w:rPr>
          <w:rStyle w:val="affa"/>
          <w:rFonts w:hint="cs"/>
          <w:rtl/>
        </w:rPr>
        <w:t>הש"ך ברשב"ם</w:t>
      </w:r>
      <w:r w:rsidRPr="00727E24">
        <w:rPr>
          <w:rStyle w:val="afb"/>
          <w:rFonts w:hint="cs"/>
          <w:rtl/>
        </w:rPr>
        <w:t xml:space="preserve"> </w:t>
      </w:r>
      <w:r w:rsidRPr="005220A9">
        <w:rPr>
          <w:rStyle w:val="aff6"/>
          <w:rFonts w:hint="cs"/>
          <w:rtl/>
        </w:rPr>
        <w:t xml:space="preserve">(עי' אות </w:t>
      </w:r>
      <w:r w:rsidRPr="005220A9">
        <w:rPr>
          <w:rStyle w:val="aff6"/>
          <w:rtl/>
        </w:rPr>
        <w:fldChar w:fldCharType="begin"/>
      </w:r>
      <w:r w:rsidRPr="005220A9">
        <w:rPr>
          <w:rStyle w:val="aff6"/>
          <w:rtl/>
        </w:rPr>
        <w:instrText xml:space="preserve"> </w:instrText>
      </w:r>
      <w:r w:rsidRPr="005220A9">
        <w:rPr>
          <w:rStyle w:val="aff6"/>
          <w:rFonts w:hint="cs"/>
        </w:rPr>
        <w:instrText>REF</w:instrText>
      </w:r>
      <w:r w:rsidRPr="005220A9">
        <w:rPr>
          <w:rStyle w:val="aff6"/>
          <w:rFonts w:hint="cs"/>
          <w:rtl/>
        </w:rPr>
        <w:instrText xml:space="preserve"> _</w:instrText>
      </w:r>
      <w:r w:rsidRPr="005220A9">
        <w:rPr>
          <w:rStyle w:val="aff6"/>
          <w:rFonts w:hint="cs"/>
        </w:rPr>
        <w:instrText>Ref59613710 \r \h</w:instrText>
      </w:r>
      <w:r w:rsidRPr="005220A9">
        <w:rPr>
          <w:rStyle w:val="aff6"/>
          <w:rtl/>
        </w:rPr>
        <w:instrText xml:space="preserve"> </w:instrText>
      </w:r>
      <w:r w:rsidRPr="005220A9">
        <w:rPr>
          <w:rStyle w:val="aff6"/>
          <w:rtl/>
        </w:rPr>
      </w:r>
      <w:r w:rsidRPr="005220A9">
        <w:rPr>
          <w:rStyle w:val="aff6"/>
          <w:rtl/>
        </w:rPr>
        <w:fldChar w:fldCharType="separate"/>
      </w:r>
      <w:r w:rsidR="00265073">
        <w:rPr>
          <w:rStyle w:val="aff6"/>
          <w:cs/>
        </w:rPr>
        <w:t>‎</w:t>
      </w:r>
      <w:r w:rsidR="00265073">
        <w:rPr>
          <w:rStyle w:val="aff6"/>
          <w:rtl/>
        </w:rPr>
        <w:t>עד)</w:t>
      </w:r>
      <w:r w:rsidRPr="005220A9">
        <w:rPr>
          <w:rStyle w:val="aff6"/>
          <w:rtl/>
        </w:rPr>
        <w:fldChar w:fldCharType="end"/>
      </w:r>
      <w:r w:rsidRPr="00727E24">
        <w:rPr>
          <w:rStyle w:val="afb"/>
          <w:rFonts w:hint="cs"/>
          <w:rtl/>
        </w:rPr>
        <w:t xml:space="preserve"> </w:t>
      </w:r>
      <w:r w:rsidRPr="005220A9">
        <w:rPr>
          <w:rStyle w:val="affa"/>
          <w:rFonts w:hint="cs"/>
          <w:rtl/>
        </w:rPr>
        <w:t>וברי"ף</w:t>
      </w:r>
      <w:r w:rsidRPr="00727E24">
        <w:rPr>
          <w:rStyle w:val="afb"/>
          <w:rFonts w:hint="cs"/>
          <w:rtl/>
        </w:rPr>
        <w:t xml:space="preserve"> </w:t>
      </w:r>
      <w:r w:rsidRPr="005220A9">
        <w:rPr>
          <w:rStyle w:val="aff6"/>
          <w:rFonts w:hint="cs"/>
          <w:rtl/>
        </w:rPr>
        <w:t xml:space="preserve">(עי' אות </w:t>
      </w:r>
      <w:r w:rsidRPr="005220A9">
        <w:rPr>
          <w:rStyle w:val="aff6"/>
          <w:rtl/>
        </w:rPr>
        <w:fldChar w:fldCharType="begin"/>
      </w:r>
      <w:r w:rsidRPr="005220A9">
        <w:rPr>
          <w:rStyle w:val="aff6"/>
          <w:rtl/>
        </w:rPr>
        <w:instrText xml:space="preserve"> </w:instrText>
      </w:r>
      <w:r w:rsidRPr="005220A9">
        <w:rPr>
          <w:rStyle w:val="aff6"/>
          <w:rFonts w:hint="cs"/>
        </w:rPr>
        <w:instrText>REF</w:instrText>
      </w:r>
      <w:r w:rsidRPr="005220A9">
        <w:rPr>
          <w:rStyle w:val="aff6"/>
          <w:rFonts w:hint="cs"/>
          <w:rtl/>
        </w:rPr>
        <w:instrText xml:space="preserve"> _</w:instrText>
      </w:r>
      <w:r w:rsidRPr="005220A9">
        <w:rPr>
          <w:rStyle w:val="aff6"/>
          <w:rFonts w:hint="cs"/>
        </w:rPr>
        <w:instrText>Ref59730617 \r \h</w:instrText>
      </w:r>
      <w:r w:rsidRPr="005220A9">
        <w:rPr>
          <w:rStyle w:val="aff6"/>
          <w:rtl/>
        </w:rPr>
        <w:instrText xml:space="preserve"> </w:instrText>
      </w:r>
      <w:r w:rsidRPr="005220A9">
        <w:rPr>
          <w:rStyle w:val="aff6"/>
          <w:rtl/>
        </w:rPr>
      </w:r>
      <w:r w:rsidRPr="005220A9">
        <w:rPr>
          <w:rStyle w:val="aff6"/>
          <w:rtl/>
        </w:rPr>
        <w:fldChar w:fldCharType="separate"/>
      </w:r>
      <w:r w:rsidR="00265073">
        <w:rPr>
          <w:rStyle w:val="aff6"/>
          <w:cs/>
        </w:rPr>
        <w:t>‎</w:t>
      </w:r>
      <w:r w:rsidR="00265073">
        <w:rPr>
          <w:rStyle w:val="aff6"/>
          <w:rtl/>
        </w:rPr>
        <w:t>צג)</w:t>
      </w:r>
      <w:r w:rsidRPr="005220A9">
        <w:rPr>
          <w:rStyle w:val="aff6"/>
          <w:rtl/>
        </w:rPr>
        <w:fldChar w:fldCharType="end"/>
      </w:r>
      <w:r w:rsidRPr="00727E24">
        <w:rPr>
          <w:rStyle w:val="afb"/>
          <w:rFonts w:hint="cs"/>
          <w:rtl/>
        </w:rPr>
        <w:t xml:space="preserve">, ועי' במה שהוצרך </w:t>
      </w:r>
      <w:r w:rsidRPr="005220A9">
        <w:rPr>
          <w:rStyle w:val="affa"/>
          <w:rFonts w:hint="cs"/>
          <w:rtl/>
        </w:rPr>
        <w:t>הש"ך</w:t>
      </w:r>
      <w:r w:rsidRPr="00727E24">
        <w:rPr>
          <w:rStyle w:val="afb"/>
          <w:rFonts w:hint="cs"/>
          <w:rtl/>
        </w:rPr>
        <w:t xml:space="preserve"> </w:t>
      </w:r>
      <w:r w:rsidRPr="005220A9">
        <w:rPr>
          <w:rStyle w:val="aff6"/>
          <w:rFonts w:hint="cs"/>
          <w:rtl/>
        </w:rPr>
        <w:t xml:space="preserve">(עי' אות </w:t>
      </w:r>
      <w:r w:rsidRPr="005220A9">
        <w:rPr>
          <w:rStyle w:val="aff6"/>
          <w:rtl/>
        </w:rPr>
        <w:fldChar w:fldCharType="begin"/>
      </w:r>
      <w:r w:rsidRPr="005220A9">
        <w:rPr>
          <w:rStyle w:val="aff6"/>
          <w:rtl/>
        </w:rPr>
        <w:instrText xml:space="preserve"> </w:instrText>
      </w:r>
      <w:r w:rsidRPr="005220A9">
        <w:rPr>
          <w:rStyle w:val="aff6"/>
          <w:rFonts w:hint="cs"/>
        </w:rPr>
        <w:instrText>REF</w:instrText>
      </w:r>
      <w:r w:rsidRPr="005220A9">
        <w:rPr>
          <w:rStyle w:val="aff6"/>
          <w:rFonts w:hint="cs"/>
          <w:rtl/>
        </w:rPr>
        <w:instrText xml:space="preserve"> _</w:instrText>
      </w:r>
      <w:r w:rsidRPr="005220A9">
        <w:rPr>
          <w:rStyle w:val="aff6"/>
          <w:rFonts w:hint="cs"/>
        </w:rPr>
        <w:instrText>Ref58324366 \r \h</w:instrText>
      </w:r>
      <w:r w:rsidRPr="005220A9">
        <w:rPr>
          <w:rStyle w:val="aff6"/>
          <w:rtl/>
        </w:rPr>
        <w:instrText xml:space="preserve"> </w:instrText>
      </w:r>
      <w:r w:rsidRPr="005220A9">
        <w:rPr>
          <w:rStyle w:val="aff6"/>
          <w:rtl/>
        </w:rPr>
      </w:r>
      <w:r w:rsidRPr="005220A9">
        <w:rPr>
          <w:rStyle w:val="aff6"/>
          <w:rtl/>
        </w:rPr>
        <w:fldChar w:fldCharType="separate"/>
      </w:r>
      <w:r w:rsidR="00265073">
        <w:rPr>
          <w:rStyle w:val="aff6"/>
          <w:cs/>
        </w:rPr>
        <w:t>‎</w:t>
      </w:r>
      <w:r w:rsidR="00265073">
        <w:rPr>
          <w:rStyle w:val="aff6"/>
          <w:rtl/>
        </w:rPr>
        <w:t>לה)</w:t>
      </w:r>
      <w:r w:rsidRPr="005220A9">
        <w:rPr>
          <w:rStyle w:val="aff6"/>
          <w:rtl/>
        </w:rPr>
        <w:fldChar w:fldCharType="end"/>
      </w:r>
      <w:r w:rsidRPr="00727E24">
        <w:rPr>
          <w:rStyle w:val="afb"/>
          <w:rFonts w:hint="cs"/>
          <w:rtl/>
        </w:rPr>
        <w:t xml:space="preserve"> לדחוק לפי"ז בדברי </w:t>
      </w:r>
      <w:r w:rsidRPr="005220A9">
        <w:rPr>
          <w:rStyle w:val="affa"/>
          <w:rFonts w:hint="cs"/>
          <w:rtl/>
        </w:rPr>
        <w:t>המ"מ</w:t>
      </w:r>
      <w:r>
        <w:rPr>
          <w:rStyle w:val="afb"/>
          <w:rFonts w:hint="cs"/>
          <w:rtl/>
        </w:rPr>
        <w:t xml:space="preserve"> </w:t>
      </w:r>
      <w:r w:rsidRPr="005220A9">
        <w:rPr>
          <w:rStyle w:val="aff6"/>
          <w:rFonts w:hint="cs"/>
          <w:rtl/>
        </w:rPr>
        <w:t xml:space="preserve">(עי' אות </w:t>
      </w:r>
      <w:r w:rsidRPr="005220A9">
        <w:rPr>
          <w:rStyle w:val="aff6"/>
          <w:rtl/>
        </w:rPr>
        <w:fldChar w:fldCharType="begin"/>
      </w:r>
      <w:r w:rsidRPr="005220A9">
        <w:rPr>
          <w:rStyle w:val="aff6"/>
          <w:rtl/>
        </w:rPr>
        <w:instrText xml:space="preserve"> </w:instrText>
      </w:r>
      <w:r w:rsidRPr="005220A9">
        <w:rPr>
          <w:rStyle w:val="aff6"/>
          <w:rFonts w:hint="cs"/>
        </w:rPr>
        <w:instrText>REF</w:instrText>
      </w:r>
      <w:r w:rsidRPr="005220A9">
        <w:rPr>
          <w:rStyle w:val="aff6"/>
          <w:rFonts w:hint="cs"/>
          <w:rtl/>
        </w:rPr>
        <w:instrText xml:space="preserve"> _</w:instrText>
      </w:r>
      <w:r w:rsidRPr="005220A9">
        <w:rPr>
          <w:rStyle w:val="aff6"/>
          <w:rFonts w:hint="cs"/>
        </w:rPr>
        <w:instrText>Ref59730575 \r \h</w:instrText>
      </w:r>
      <w:r w:rsidRPr="005220A9">
        <w:rPr>
          <w:rStyle w:val="aff6"/>
          <w:rtl/>
        </w:rPr>
        <w:instrText xml:space="preserve"> </w:instrText>
      </w:r>
      <w:r w:rsidRPr="005220A9">
        <w:rPr>
          <w:rStyle w:val="aff6"/>
          <w:rtl/>
        </w:rPr>
      </w:r>
      <w:r w:rsidRPr="005220A9">
        <w:rPr>
          <w:rStyle w:val="aff6"/>
          <w:rtl/>
        </w:rPr>
        <w:fldChar w:fldCharType="separate"/>
      </w:r>
      <w:r w:rsidR="00265073">
        <w:rPr>
          <w:rStyle w:val="aff6"/>
          <w:cs/>
        </w:rPr>
        <w:t>‎</w:t>
      </w:r>
      <w:r w:rsidR="00265073">
        <w:rPr>
          <w:rStyle w:val="aff6"/>
          <w:rtl/>
        </w:rPr>
        <w:t>לג)</w:t>
      </w:r>
      <w:r w:rsidRPr="005220A9">
        <w:rPr>
          <w:rStyle w:val="aff6"/>
          <w:rtl/>
        </w:rPr>
        <w:fldChar w:fldCharType="end"/>
      </w:r>
      <w:r w:rsidRPr="00727E24">
        <w:rPr>
          <w:rStyle w:val="afb"/>
          <w:rFonts w:hint="cs"/>
          <w:rtl/>
        </w:rPr>
        <w:t>].</w:t>
      </w:r>
      <w:bookmarkEnd w:id="10127"/>
    </w:p>
    <w:p w:rsidR="000E75A3" w:rsidRDefault="000E75A3" w:rsidP="000E75A3">
      <w:pPr>
        <w:pStyle w:val="a3"/>
      </w:pPr>
      <w:bookmarkStart w:id="10128" w:name="_Toc59741713"/>
      <w:bookmarkStart w:id="10129" w:name="_Toc59786848"/>
      <w:bookmarkStart w:id="10130" w:name="_Toc59802659"/>
      <w:bookmarkStart w:id="10131" w:name="_Toc59916220"/>
      <w:bookmarkStart w:id="10132" w:name="_Ref59698666"/>
      <w:bookmarkStart w:id="10133" w:name="_Toc58325032"/>
      <w:bookmarkStart w:id="10134" w:name="_Toc57925942"/>
      <w:r>
        <w:rPr>
          <w:rFonts w:hint="cs"/>
          <w:rtl/>
        </w:rPr>
        <w:t>דחיית התומים לביאור הש"ך דברמב"ם מוכח דאיירי כשאין עדים למערער ואפ"ה צריך חזקה</w:t>
      </w:r>
      <w:bookmarkEnd w:id="10128"/>
      <w:bookmarkEnd w:id="10129"/>
      <w:bookmarkEnd w:id="10130"/>
      <w:bookmarkEnd w:id="10131"/>
    </w:p>
    <w:p w:rsidR="000E75A3" w:rsidRDefault="000E75A3" w:rsidP="007E4E81">
      <w:pPr>
        <w:pStyle w:val="a0"/>
        <w:rPr>
          <w:rtl/>
        </w:rPr>
      </w:pPr>
      <w:bookmarkStart w:id="10135" w:name="_Ref59917850"/>
      <w:r>
        <w:rPr>
          <w:rFonts w:hint="cs"/>
          <w:rtl/>
        </w:rPr>
        <w:t xml:space="preserve">ודחה </w:t>
      </w:r>
      <w:r w:rsidRPr="00794290">
        <w:rPr>
          <w:rStyle w:val="af9"/>
          <w:rFonts w:hint="cs"/>
          <w:rtl/>
        </w:rPr>
        <w:t>התומים</w:t>
      </w:r>
      <w:r>
        <w:rPr>
          <w:rFonts w:hint="cs"/>
          <w:rtl/>
        </w:rPr>
        <w:t xml:space="preserve"> </w:t>
      </w:r>
      <w:r w:rsidRPr="00794290">
        <w:rPr>
          <w:rStyle w:val="af7"/>
          <w:rFonts w:eastAsia="Guttman Hodes" w:hint="cs"/>
          <w:rtl/>
        </w:rPr>
        <w:t>(סי' קמ"ו ריש סקט"ז)</w:t>
      </w:r>
      <w:r>
        <w:rPr>
          <w:rFonts w:hint="cs"/>
          <w:rtl/>
        </w:rPr>
        <w:t xml:space="preserve"> את דברי </w:t>
      </w:r>
      <w:r w:rsidRPr="00794290">
        <w:rPr>
          <w:rStyle w:val="af9"/>
          <w:rFonts w:hint="cs"/>
          <w:rtl/>
        </w:rPr>
        <w:t>הש"ך</w:t>
      </w:r>
      <w:r w:rsidRPr="0041542A">
        <w:rPr>
          <w:rStyle w:val="af7"/>
          <w:rFonts w:eastAsia="Guttman Hodes" w:hint="cs"/>
          <w:rtl/>
        </w:rPr>
        <w:t xml:space="preserve"> (עי' </w:t>
      </w:r>
      <w:r w:rsidRPr="001A25DE">
        <w:rPr>
          <w:rStyle w:val="af7"/>
          <w:rFonts w:eastAsia="Guttman Hodes" w:hint="cs"/>
          <w:rtl/>
        </w:rPr>
        <w:t xml:space="preserve">אות </w:t>
      </w:r>
      <w:r w:rsidRPr="001A25DE">
        <w:rPr>
          <w:rStyle w:val="af7"/>
          <w:rFonts w:eastAsia="Guttman Hodes"/>
          <w:rtl/>
        </w:rPr>
        <w:fldChar w:fldCharType="begin"/>
      </w:r>
      <w:r w:rsidRPr="001A25DE">
        <w:rPr>
          <w:rStyle w:val="af7"/>
          <w:rFonts w:eastAsia="Guttman Hodes"/>
          <w:rtl/>
        </w:rPr>
        <w:instrText xml:space="preserve"> </w:instrText>
      </w:r>
      <w:r w:rsidRPr="001A25DE">
        <w:rPr>
          <w:rStyle w:val="af7"/>
          <w:rFonts w:eastAsia="Guttman Hodes" w:hint="cs"/>
        </w:rPr>
        <w:instrText>REF</w:instrText>
      </w:r>
      <w:r w:rsidRPr="001A25DE">
        <w:rPr>
          <w:rStyle w:val="af7"/>
          <w:rFonts w:eastAsia="Guttman Hodes" w:hint="cs"/>
          <w:rtl/>
        </w:rPr>
        <w:instrText xml:space="preserve"> _</w:instrText>
      </w:r>
      <w:r w:rsidRPr="001A25DE">
        <w:rPr>
          <w:rStyle w:val="af7"/>
          <w:rFonts w:eastAsia="Guttman Hodes" w:hint="cs"/>
        </w:rPr>
        <w:instrText>Ref59730709 \r \h</w:instrText>
      </w:r>
      <w:r w:rsidRPr="001A25DE">
        <w:rPr>
          <w:rStyle w:val="af7"/>
          <w:rFonts w:eastAsia="Guttman Hodes"/>
          <w:rtl/>
        </w:rPr>
        <w:instrText xml:space="preserve"> </w:instrText>
      </w:r>
      <w:r w:rsidRPr="001A25DE">
        <w:rPr>
          <w:rStyle w:val="af7"/>
          <w:rFonts w:eastAsia="Guttman Hodes"/>
          <w:rtl/>
        </w:rPr>
      </w:r>
      <w:r w:rsidRPr="001A25DE">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1A25DE">
        <w:rPr>
          <w:rStyle w:val="af7"/>
          <w:rFonts w:eastAsia="Guttman Hodes"/>
          <w:rtl/>
        </w:rPr>
        <w:fldChar w:fldCharType="end"/>
      </w:r>
      <w:r>
        <w:rPr>
          <w:rFonts w:hint="cs"/>
          <w:rtl/>
        </w:rPr>
        <w:t xml:space="preserve"> דהא מוכח מדברי </w:t>
      </w:r>
      <w:r w:rsidRPr="00794290">
        <w:rPr>
          <w:rStyle w:val="af9"/>
          <w:rFonts w:hint="cs"/>
          <w:rtl/>
        </w:rPr>
        <w:t>הרמב"ם</w:t>
      </w:r>
      <w:r>
        <w:rPr>
          <w:rFonts w:hint="cs"/>
          <w:rtl/>
        </w:rPr>
        <w:t xml:space="preserve"> </w:t>
      </w:r>
      <w:r w:rsidRPr="005A5D27">
        <w:rPr>
          <w:rStyle w:val="af7"/>
          <w:rFonts w:eastAsia="Guttman Hodes" w:hint="cs"/>
          <w:rtl/>
        </w:rPr>
        <w:t xml:space="preserve">(עי' אות </w:t>
      </w:r>
      <w:r w:rsidRPr="005A5D27">
        <w:rPr>
          <w:rStyle w:val="af7"/>
          <w:rFonts w:eastAsia="Guttman Hodes"/>
          <w:rtl/>
        </w:rPr>
        <w:fldChar w:fldCharType="begin"/>
      </w:r>
      <w:r w:rsidRPr="005A5D27">
        <w:rPr>
          <w:rStyle w:val="af7"/>
          <w:rFonts w:eastAsia="Guttman Hodes"/>
          <w:rtl/>
        </w:rPr>
        <w:instrText xml:space="preserve"> </w:instrText>
      </w:r>
      <w:r w:rsidRPr="005A5D27">
        <w:rPr>
          <w:rStyle w:val="af7"/>
          <w:rFonts w:eastAsia="Guttman Hodes" w:hint="cs"/>
        </w:rPr>
        <w:instrText>REF</w:instrText>
      </w:r>
      <w:r w:rsidRPr="005A5D27">
        <w:rPr>
          <w:rStyle w:val="af7"/>
          <w:rFonts w:eastAsia="Guttman Hodes" w:hint="cs"/>
          <w:rtl/>
        </w:rPr>
        <w:instrText xml:space="preserve"> _</w:instrText>
      </w:r>
      <w:r w:rsidRPr="005A5D27">
        <w:rPr>
          <w:rStyle w:val="af7"/>
          <w:rFonts w:eastAsia="Guttman Hodes" w:hint="cs"/>
        </w:rPr>
        <w:instrText>Ref59050161 \r \h</w:instrText>
      </w:r>
      <w:r w:rsidRPr="005A5D27">
        <w:rPr>
          <w:rStyle w:val="af7"/>
          <w:rFonts w:eastAsia="Guttman Hodes"/>
          <w:rtl/>
        </w:rPr>
        <w:instrText xml:space="preserve"> </w:instrText>
      </w:r>
      <w:r w:rsidRPr="005A5D27">
        <w:rPr>
          <w:rStyle w:val="af7"/>
          <w:rFonts w:eastAsia="Guttman Hodes"/>
          <w:rtl/>
        </w:rPr>
      </w:r>
      <w:r w:rsidRPr="005A5D27">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5A5D27">
        <w:rPr>
          <w:rStyle w:val="af7"/>
          <w:rFonts w:eastAsia="Guttman Hodes"/>
          <w:rtl/>
        </w:rPr>
        <w:fldChar w:fldCharType="end"/>
      </w:r>
      <w:r w:rsidRPr="005A5D27">
        <w:rPr>
          <w:rStyle w:val="af7"/>
          <w:rFonts w:eastAsia="Guttman Hodes" w:hint="cs"/>
          <w:rtl/>
        </w:rPr>
        <w:t xml:space="preserve"> </w:t>
      </w:r>
      <w:r>
        <w:rPr>
          <w:rFonts w:hint="cs"/>
          <w:rtl/>
        </w:rPr>
        <w:t xml:space="preserve">דא"א לומר דהא דמהני טענת קמי דידי זבנה מינך, רק כשיש למחזיק חזקת ג"ש, היינו באופן כשיש למערער עדים, דהא </w:t>
      </w:r>
      <w:r w:rsidRPr="002C0FF5">
        <w:rPr>
          <w:rFonts w:hint="cs"/>
          <w:rtl/>
        </w:rPr>
        <w:t xml:space="preserve">כתב </w:t>
      </w:r>
      <w:r w:rsidRPr="00794290">
        <w:rPr>
          <w:rStyle w:val="af9"/>
          <w:rFonts w:hint="cs"/>
          <w:rtl/>
        </w:rPr>
        <w:t>הרמב"ם</w:t>
      </w:r>
      <w:r>
        <w:rPr>
          <w:rFonts w:hint="cs"/>
          <w:rtl/>
        </w:rPr>
        <w:t xml:space="preserve"> </w:t>
      </w:r>
      <w:r w:rsidRPr="002C0FF5">
        <w:rPr>
          <w:rFonts w:hint="cs"/>
          <w:rtl/>
        </w:rPr>
        <w:t xml:space="preserve">דכיון </w:t>
      </w:r>
      <w:r>
        <w:rPr>
          <w:rFonts w:hint="cs"/>
          <w:rtl/>
        </w:rPr>
        <w:t xml:space="preserve">שהודה המחזיק שהייתה של המערער מוציאין מידו, ומבואר דאיירי באופן שאין עדים למערער, וע"ז כתב </w:t>
      </w:r>
      <w:r w:rsidRPr="00794290">
        <w:rPr>
          <w:rStyle w:val="af9"/>
          <w:rFonts w:hint="cs"/>
          <w:rtl/>
        </w:rPr>
        <w:t>הרמב"ם</w:t>
      </w:r>
      <w:r>
        <w:rPr>
          <w:rFonts w:hint="cs"/>
          <w:rtl/>
        </w:rPr>
        <w:t xml:space="preserve"> דאף שאמר קמי דידי זבנה, מעמידים את הקרקע ביד המחזיק, וכן הוכיח </w:t>
      </w:r>
      <w:r w:rsidRPr="002C0FF5">
        <w:rPr>
          <w:rStyle w:val="af9"/>
          <w:rFonts w:hint="cs"/>
          <w:rtl/>
        </w:rPr>
        <w:t>התומים</w:t>
      </w:r>
      <w:r>
        <w:rPr>
          <w:rFonts w:hint="cs"/>
          <w:rtl/>
        </w:rPr>
        <w:t xml:space="preserve"> </w:t>
      </w:r>
      <w:r w:rsidRPr="002C0FF5">
        <w:rPr>
          <w:rStyle w:val="af7"/>
          <w:rFonts w:eastAsia="Guttman Hodes" w:hint="cs"/>
          <w:rtl/>
        </w:rPr>
        <w:t xml:space="preserve">(עי' אות </w:t>
      </w:r>
      <w:r w:rsidRPr="002C0FF5">
        <w:rPr>
          <w:rStyle w:val="af7"/>
          <w:rFonts w:eastAsia="Guttman Hodes"/>
          <w:rtl/>
        </w:rPr>
        <w:fldChar w:fldCharType="begin"/>
      </w:r>
      <w:r w:rsidRPr="002C0FF5">
        <w:rPr>
          <w:rStyle w:val="af7"/>
          <w:rFonts w:eastAsia="Guttman Hodes"/>
          <w:rtl/>
        </w:rPr>
        <w:instrText xml:space="preserve"> </w:instrText>
      </w:r>
      <w:r w:rsidRPr="002C0FF5">
        <w:rPr>
          <w:rStyle w:val="af7"/>
          <w:rFonts w:eastAsia="Guttman Hodes" w:hint="cs"/>
        </w:rPr>
        <w:instrText>REF</w:instrText>
      </w:r>
      <w:r w:rsidRPr="002C0FF5">
        <w:rPr>
          <w:rStyle w:val="af7"/>
          <w:rFonts w:eastAsia="Guttman Hodes" w:hint="cs"/>
          <w:rtl/>
        </w:rPr>
        <w:instrText xml:space="preserve"> _</w:instrText>
      </w:r>
      <w:r w:rsidRPr="002C0FF5">
        <w:rPr>
          <w:rStyle w:val="af7"/>
          <w:rFonts w:eastAsia="Guttman Hodes" w:hint="cs"/>
        </w:rPr>
        <w:instrText>Ref59698624 \r \h</w:instrText>
      </w:r>
      <w:r w:rsidRPr="002C0FF5">
        <w:rPr>
          <w:rStyle w:val="af7"/>
          <w:rFonts w:eastAsia="Guttman Hodes"/>
          <w:rtl/>
        </w:rPr>
        <w:instrText xml:space="preserve"> </w:instrText>
      </w:r>
      <w:r w:rsidRPr="002C0FF5">
        <w:rPr>
          <w:rStyle w:val="af7"/>
          <w:rFonts w:eastAsia="Guttman Hodes"/>
          <w:rtl/>
        </w:rPr>
      </w:r>
      <w:r w:rsidRPr="002C0FF5">
        <w:rPr>
          <w:rStyle w:val="af7"/>
          <w:rFonts w:eastAsia="Guttman Hodes"/>
          <w:rtl/>
        </w:rPr>
        <w:fldChar w:fldCharType="separate"/>
      </w:r>
      <w:r w:rsidR="00265073">
        <w:rPr>
          <w:rStyle w:val="af7"/>
          <w:rFonts w:eastAsia="Guttman Hodes"/>
          <w:cs/>
        </w:rPr>
        <w:t>‎</w:t>
      </w:r>
      <w:r w:rsidR="00265073">
        <w:rPr>
          <w:rStyle w:val="af7"/>
          <w:rFonts w:eastAsia="Guttman Hodes"/>
          <w:rtl/>
        </w:rPr>
        <w:t>פג)</w:t>
      </w:r>
      <w:r w:rsidRPr="002C0FF5">
        <w:rPr>
          <w:rStyle w:val="af7"/>
          <w:rFonts w:eastAsia="Guttman Hodes"/>
          <w:rtl/>
        </w:rPr>
        <w:fldChar w:fldCharType="end"/>
      </w:r>
      <w:r>
        <w:rPr>
          <w:rFonts w:hint="cs"/>
          <w:rtl/>
        </w:rPr>
        <w:t xml:space="preserve"> מדברי </w:t>
      </w:r>
      <w:r w:rsidRPr="002C0FF5">
        <w:rPr>
          <w:rStyle w:val="af9"/>
          <w:rFonts w:hint="cs"/>
          <w:rtl/>
        </w:rPr>
        <w:t>הרשב"ם והרי"ף</w:t>
      </w:r>
      <w:r>
        <w:rPr>
          <w:rFonts w:hint="cs"/>
          <w:rtl/>
        </w:rPr>
        <w:t>.</w:t>
      </w:r>
      <w:bookmarkEnd w:id="10132"/>
      <w:bookmarkEnd w:id="10135"/>
    </w:p>
    <w:p w:rsidR="009335CD" w:rsidRPr="009335CD" w:rsidRDefault="009335CD" w:rsidP="009335CD">
      <w:pPr>
        <w:pStyle w:val="a3"/>
        <w:rPr>
          <w:rtl/>
        </w:rPr>
      </w:pPr>
    </w:p>
    <w:p w:rsidR="009335CD" w:rsidRPr="009335CD" w:rsidRDefault="009335CD" w:rsidP="009335CD">
      <w:pPr>
        <w:pStyle w:val="a3"/>
        <w:rPr>
          <w:rtl/>
        </w:rPr>
      </w:pPr>
    </w:p>
    <w:p w:rsidR="000E75A3" w:rsidRPr="00E720A0" w:rsidRDefault="000E75A3" w:rsidP="000E75A3">
      <w:pPr>
        <w:pStyle w:val="afe"/>
        <w:rPr>
          <w:rtl/>
        </w:rPr>
      </w:pPr>
      <w:bookmarkStart w:id="10136" w:name="_Toc59741714"/>
      <w:bookmarkStart w:id="10137" w:name="_Toc59786849"/>
      <w:bookmarkStart w:id="10138" w:name="_Toc59802660"/>
      <w:bookmarkStart w:id="10139" w:name="_Toc59916221"/>
      <w:r>
        <w:rPr>
          <w:rFonts w:hint="cs"/>
          <w:rtl/>
        </w:rPr>
        <w:lastRenderedPageBreak/>
        <w:t>בד' הרא"ש בקמי דידי בלא חזקה</w:t>
      </w:r>
      <w:bookmarkEnd w:id="10136"/>
      <w:bookmarkEnd w:id="10137"/>
      <w:bookmarkEnd w:id="10138"/>
      <w:bookmarkEnd w:id="10139"/>
    </w:p>
    <w:p w:rsidR="000E75A3" w:rsidRDefault="000E75A3" w:rsidP="000E75A3">
      <w:pPr>
        <w:pStyle w:val="1"/>
        <w:rPr>
          <w:rtl/>
        </w:rPr>
      </w:pPr>
      <w:bookmarkStart w:id="10140" w:name="_Toc59741715"/>
      <w:bookmarkStart w:id="10141" w:name="_Toc59786850"/>
      <w:bookmarkStart w:id="10142" w:name="_Toc59802661"/>
      <w:bookmarkStart w:id="10143" w:name="_Toc59916222"/>
      <w:bookmarkStart w:id="10144" w:name="_Toc59113243"/>
      <w:bookmarkStart w:id="10145" w:name="_Toc59136964"/>
      <w:bookmarkStart w:id="10146" w:name="_Toc59361656"/>
      <w:bookmarkStart w:id="10147" w:name="_Toc59464656"/>
      <w:bookmarkStart w:id="10148" w:name="_Toc59490153"/>
      <w:bookmarkStart w:id="10149" w:name="_Toc59620350"/>
      <w:bookmarkEnd w:id="10075"/>
      <w:bookmarkEnd w:id="10076"/>
      <w:bookmarkEnd w:id="10077"/>
      <w:bookmarkEnd w:id="10078"/>
      <w:bookmarkEnd w:id="10079"/>
      <w:bookmarkEnd w:id="10080"/>
      <w:bookmarkEnd w:id="10081"/>
      <w:bookmarkEnd w:id="10133"/>
      <w:bookmarkEnd w:id="10134"/>
      <w:r>
        <w:rPr>
          <w:rFonts w:hint="cs"/>
          <w:rtl/>
        </w:rPr>
        <w:t>ביאור הב"ח ברא"ש דבלא חזקה ל"מ עידי חד יומא וקמי דידי</w:t>
      </w:r>
      <w:bookmarkEnd w:id="10140"/>
      <w:bookmarkEnd w:id="10141"/>
      <w:bookmarkEnd w:id="10142"/>
      <w:bookmarkEnd w:id="10143"/>
    </w:p>
    <w:p w:rsidR="000E75A3" w:rsidRPr="003A739C" w:rsidRDefault="000E75A3" w:rsidP="000E75A3">
      <w:pPr>
        <w:pStyle w:val="a3"/>
        <w:rPr>
          <w:rtl/>
        </w:rPr>
      </w:pPr>
      <w:bookmarkStart w:id="10150" w:name="_Toc59741716"/>
      <w:bookmarkStart w:id="10151" w:name="_Toc59786851"/>
      <w:bookmarkStart w:id="10152" w:name="_Toc59802662"/>
      <w:bookmarkStart w:id="10153" w:name="_Toc59916223"/>
      <w:r>
        <w:rPr>
          <w:rFonts w:hint="cs"/>
          <w:rtl/>
        </w:rPr>
        <w:t>ביאור הב"ח ברא"ש דכיון דאין לו מיגו לא נאמן שהמוכר קנאה אף בעידי חד יומא ובקמי דידי</w:t>
      </w:r>
      <w:bookmarkEnd w:id="10150"/>
      <w:bookmarkEnd w:id="10151"/>
      <w:bookmarkEnd w:id="10152"/>
      <w:bookmarkEnd w:id="10153"/>
    </w:p>
    <w:p w:rsidR="000E75A3" w:rsidRDefault="000E75A3" w:rsidP="007E4E81">
      <w:pPr>
        <w:pStyle w:val="a0"/>
        <w:rPr>
          <w:rtl/>
        </w:rPr>
      </w:pPr>
      <w:r>
        <w:rPr>
          <w:rFonts w:hint="cs"/>
          <w:rtl/>
        </w:rPr>
        <w:t xml:space="preserve">במ"ש </w:t>
      </w:r>
      <w:r w:rsidRPr="00765B8D">
        <w:rPr>
          <w:rStyle w:val="af9"/>
          <w:rFonts w:hint="cs"/>
          <w:rtl/>
        </w:rPr>
        <w:t>הרא"ש</w:t>
      </w:r>
      <w:r>
        <w:rPr>
          <w:rFonts w:hint="cs"/>
          <w:rtl/>
        </w:rPr>
        <w:t xml:space="preserve"> </w:t>
      </w:r>
      <w:r w:rsidRPr="00246884">
        <w:rPr>
          <w:rStyle w:val="af7"/>
          <w:rFonts w:eastAsia="Guttman Hodes" w:hint="cs"/>
          <w:rtl/>
        </w:rPr>
        <w:t xml:space="preserve">(עי' אות </w:t>
      </w:r>
      <w:r w:rsidRPr="00246884">
        <w:rPr>
          <w:rStyle w:val="af7"/>
          <w:rFonts w:eastAsia="Guttman Hodes"/>
          <w:rtl/>
        </w:rPr>
        <w:fldChar w:fldCharType="begin"/>
      </w:r>
      <w:r w:rsidRPr="00246884">
        <w:rPr>
          <w:rStyle w:val="af7"/>
          <w:rFonts w:eastAsia="Guttman Hodes"/>
          <w:rtl/>
        </w:rPr>
        <w:instrText xml:space="preserve"> </w:instrText>
      </w:r>
      <w:r w:rsidRPr="00246884">
        <w:rPr>
          <w:rStyle w:val="af7"/>
          <w:rFonts w:eastAsia="Guttman Hodes" w:hint="cs"/>
        </w:rPr>
        <w:instrText>REF</w:instrText>
      </w:r>
      <w:r w:rsidRPr="00246884">
        <w:rPr>
          <w:rStyle w:val="af7"/>
          <w:rFonts w:eastAsia="Guttman Hodes" w:hint="cs"/>
          <w:rtl/>
        </w:rPr>
        <w:instrText xml:space="preserve"> _</w:instrText>
      </w:r>
      <w:r w:rsidRPr="00246884">
        <w:rPr>
          <w:rStyle w:val="af7"/>
          <w:rFonts w:eastAsia="Guttman Hodes" w:hint="cs"/>
        </w:rPr>
        <w:instrText>Ref59655213 \r \h</w:instrText>
      </w:r>
      <w:r w:rsidRPr="00246884">
        <w:rPr>
          <w:rStyle w:val="af7"/>
          <w:rFonts w:eastAsia="Guttman Hodes"/>
          <w:rtl/>
        </w:rPr>
        <w:instrText xml:space="preserve"> </w:instrText>
      </w:r>
      <w:r w:rsidRPr="00246884">
        <w:rPr>
          <w:rStyle w:val="af7"/>
          <w:rFonts w:eastAsia="Guttman Hodes"/>
          <w:rtl/>
        </w:rPr>
      </w:r>
      <w:r w:rsidRPr="00246884">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246884">
        <w:rPr>
          <w:rStyle w:val="af7"/>
          <w:rFonts w:eastAsia="Guttman Hodes"/>
          <w:rtl/>
        </w:rPr>
        <w:fldChar w:fldCharType="end"/>
      </w:r>
      <w:r w:rsidRPr="00AB501D">
        <w:rPr>
          <w:rStyle w:val="af7"/>
          <w:rFonts w:eastAsia="Guttman Hodes" w:hint="cs"/>
          <w:rtl/>
        </w:rPr>
        <w:t xml:space="preserve"> </w:t>
      </w:r>
      <w:r>
        <w:rPr>
          <w:rFonts w:hint="cs"/>
          <w:rtl/>
        </w:rPr>
        <w:t xml:space="preserve">דהמחזיק ירא לטעון שלא הייתה של המערער מעולם, שמא יביא המערער עדים שהייתה שלו, ביאר </w:t>
      </w:r>
      <w:r w:rsidRPr="00BD0F66">
        <w:rPr>
          <w:rStyle w:val="af9"/>
          <w:rFonts w:hint="cs"/>
          <w:rtl/>
        </w:rPr>
        <w:t>הב"ח</w:t>
      </w:r>
      <w:r>
        <w:rPr>
          <w:rFonts w:hint="cs"/>
          <w:rtl/>
        </w:rPr>
        <w:t xml:space="preserve"> </w:t>
      </w:r>
      <w:r w:rsidRPr="00D15CDC">
        <w:rPr>
          <w:rStyle w:val="af7"/>
          <w:rFonts w:eastAsia="Guttman Hodes" w:hint="cs"/>
          <w:rtl/>
        </w:rPr>
        <w:t>(סי' קמ"ו סוס"ק כ"ד)</w:t>
      </w:r>
      <w:r>
        <w:rPr>
          <w:rFonts w:hint="cs"/>
          <w:rtl/>
        </w:rPr>
        <w:t xml:space="preserve"> דכיון שאין לו מיגו, ממילא אינו נאמן בטענתו שקנה מהמוכר שקנה מהמערער, וכיון שאין עדים שהמוכר קנה מהמערער מוציאין ממנו, אף כשיש למחזיק עדים דהמוכר דר חד יומא, וכן כשטוען קמי דידי זבנה מינך, אינו נאמן כיון שאין לו חזקת ג"ש, ועי' במה שדחה </w:t>
      </w:r>
      <w:r w:rsidRPr="00D15CDC">
        <w:rPr>
          <w:rStyle w:val="af9"/>
          <w:rFonts w:hint="cs"/>
          <w:rtl/>
        </w:rPr>
        <w:t>הש"ך</w:t>
      </w:r>
      <w:r>
        <w:rPr>
          <w:rFonts w:hint="cs"/>
          <w:rtl/>
        </w:rPr>
        <w:t xml:space="preserve"> </w:t>
      </w:r>
      <w:r w:rsidRPr="00394915">
        <w:rPr>
          <w:rStyle w:val="af7"/>
          <w:rFonts w:eastAsia="Guttman Hodes" w:hint="cs"/>
          <w:rtl/>
        </w:rPr>
        <w:t xml:space="preserve">(סי' קמ"ו </w:t>
      </w:r>
      <w:r>
        <w:rPr>
          <w:rStyle w:val="af7"/>
          <w:rFonts w:eastAsia="Guttman Hodes" w:hint="cs"/>
          <w:rtl/>
        </w:rPr>
        <w:t xml:space="preserve">ריש </w:t>
      </w:r>
      <w:r w:rsidRPr="00394915">
        <w:rPr>
          <w:rStyle w:val="af7"/>
          <w:rFonts w:eastAsia="Guttman Hodes" w:hint="cs"/>
          <w:rtl/>
        </w:rPr>
        <w:t>סקי"ג בסוגריים ד"ה ואין לך)</w:t>
      </w:r>
      <w:r>
        <w:rPr>
          <w:rFonts w:hint="cs"/>
          <w:rtl/>
        </w:rPr>
        <w:t xml:space="preserve"> את דברי </w:t>
      </w:r>
      <w:r w:rsidRPr="00D15CDC">
        <w:rPr>
          <w:rStyle w:val="af9"/>
          <w:rFonts w:hint="cs"/>
          <w:rtl/>
        </w:rPr>
        <w:t>הב"ח</w:t>
      </w:r>
      <w:r>
        <w:rPr>
          <w:rFonts w:hint="cs"/>
          <w:rtl/>
        </w:rPr>
        <w:t xml:space="preserve"> דבטענת ברי ודאי דנאמן במיגו.</w:t>
      </w:r>
    </w:p>
    <w:p w:rsidR="000E75A3" w:rsidRPr="005A72AA" w:rsidRDefault="000E75A3" w:rsidP="000E75A3">
      <w:pPr>
        <w:pStyle w:val="1"/>
        <w:rPr>
          <w:rtl/>
        </w:rPr>
      </w:pPr>
      <w:bookmarkStart w:id="10154" w:name="_Toc59741717"/>
      <w:bookmarkStart w:id="10155" w:name="_Toc59786852"/>
      <w:bookmarkStart w:id="10156" w:name="_Toc59802663"/>
      <w:bookmarkStart w:id="10157" w:name="_Toc59916224"/>
      <w:r>
        <w:rPr>
          <w:rFonts w:hint="cs"/>
          <w:rtl/>
        </w:rPr>
        <w:t>הוכחת הש"ך מהרא"ש דאף לרשב"ם בקמי דידי צריך חזקה</w:t>
      </w:r>
      <w:bookmarkEnd w:id="10154"/>
      <w:bookmarkEnd w:id="10155"/>
      <w:bookmarkEnd w:id="10156"/>
      <w:bookmarkEnd w:id="10157"/>
    </w:p>
    <w:p w:rsidR="000E75A3" w:rsidRPr="006361EC" w:rsidRDefault="000E75A3" w:rsidP="000E75A3">
      <w:pPr>
        <w:pStyle w:val="a3"/>
        <w:rPr>
          <w:rtl/>
        </w:rPr>
      </w:pPr>
      <w:bookmarkStart w:id="10158" w:name="_Toc59620320"/>
      <w:bookmarkStart w:id="10159" w:name="_Toc59643592"/>
      <w:bookmarkStart w:id="10160" w:name="_Toc59741718"/>
      <w:bookmarkStart w:id="10161" w:name="_Toc59786853"/>
      <w:bookmarkStart w:id="10162" w:name="_Toc59802664"/>
      <w:bookmarkStart w:id="10163" w:name="_Toc59916225"/>
      <w:bookmarkStart w:id="10164" w:name="_Toc59620330"/>
      <w:bookmarkStart w:id="10165" w:name="_Toc59643602"/>
      <w:bookmarkStart w:id="10166" w:name="_Toc59113244"/>
      <w:bookmarkEnd w:id="10144"/>
      <w:bookmarkEnd w:id="10145"/>
      <w:bookmarkEnd w:id="10146"/>
      <w:bookmarkEnd w:id="10147"/>
      <w:bookmarkEnd w:id="10148"/>
      <w:bookmarkEnd w:id="10149"/>
      <w:r>
        <w:rPr>
          <w:rFonts w:hint="cs"/>
          <w:rtl/>
        </w:rPr>
        <w:t>דברי הש"ך דמוכח ברא"ש דכוונתו לבאר בד</w:t>
      </w:r>
      <w:r w:rsidRPr="006361EC">
        <w:rPr>
          <w:rFonts w:hint="cs"/>
          <w:rtl/>
        </w:rPr>
        <w:t>עת הרשב"ם דקמי דידי מהני אף בלא חזקה</w:t>
      </w:r>
      <w:bookmarkEnd w:id="10158"/>
      <w:bookmarkEnd w:id="10159"/>
      <w:bookmarkEnd w:id="10160"/>
      <w:bookmarkEnd w:id="10161"/>
      <w:bookmarkEnd w:id="10162"/>
      <w:bookmarkEnd w:id="10163"/>
    </w:p>
    <w:p w:rsidR="000E75A3" w:rsidRPr="0082126F" w:rsidRDefault="000E75A3" w:rsidP="007E4E81">
      <w:pPr>
        <w:pStyle w:val="a0"/>
        <w:rPr>
          <w:rtl/>
        </w:rPr>
      </w:pPr>
      <w:bookmarkStart w:id="10167" w:name="_Ref59615197"/>
      <w:r>
        <w:rPr>
          <w:rFonts w:hint="cs"/>
          <w:rtl/>
        </w:rPr>
        <w:t>כתב</w:t>
      </w:r>
      <w:r w:rsidRPr="006361EC">
        <w:rPr>
          <w:rFonts w:hint="cs"/>
          <w:rtl/>
        </w:rPr>
        <w:t xml:space="preserve"> </w:t>
      </w:r>
      <w:r w:rsidRPr="006361EC">
        <w:rPr>
          <w:rStyle w:val="af9"/>
          <w:rFonts w:hint="cs"/>
          <w:rtl/>
        </w:rPr>
        <w:t xml:space="preserve">הש"ך </w:t>
      </w:r>
      <w:r w:rsidRPr="006361EC">
        <w:rPr>
          <w:rStyle w:val="af7"/>
          <w:rFonts w:eastAsia="Guttman Hodes" w:hint="cs"/>
          <w:rtl/>
        </w:rPr>
        <w:t>(סי' קמ"ו סקי"ג)</w:t>
      </w:r>
      <w:r w:rsidRPr="006361EC">
        <w:rPr>
          <w:rFonts w:hint="cs"/>
          <w:rtl/>
        </w:rPr>
        <w:t xml:space="preserve"> </w:t>
      </w:r>
      <w:r>
        <w:rPr>
          <w:rFonts w:hint="cs"/>
          <w:rtl/>
        </w:rPr>
        <w:t>ד</w:t>
      </w:r>
      <w:r w:rsidRPr="006361EC">
        <w:rPr>
          <w:rFonts w:hint="cs"/>
          <w:rtl/>
        </w:rPr>
        <w:t xml:space="preserve">מדברי </w:t>
      </w:r>
      <w:r w:rsidRPr="006361EC">
        <w:rPr>
          <w:rStyle w:val="af9"/>
          <w:rFonts w:hint="cs"/>
          <w:rtl/>
        </w:rPr>
        <w:t xml:space="preserve">הרא"ש </w:t>
      </w:r>
      <w:r w:rsidRPr="006361EC">
        <w:rPr>
          <w:rStyle w:val="af7"/>
          <w:rFonts w:eastAsia="Guttman Hodes" w:hint="cs"/>
          <w:rtl/>
        </w:rPr>
        <w:t xml:space="preserve">(עי' אות </w:t>
      </w:r>
      <w:r w:rsidRPr="006361EC">
        <w:rPr>
          <w:rStyle w:val="af7"/>
          <w:rFonts w:eastAsia="Guttman Hodes"/>
          <w:rtl/>
        </w:rPr>
        <w:fldChar w:fldCharType="begin"/>
      </w:r>
      <w:r w:rsidRPr="006361EC">
        <w:rPr>
          <w:rStyle w:val="af7"/>
          <w:rFonts w:eastAsia="Guttman Hodes"/>
          <w:rtl/>
        </w:rPr>
        <w:instrText xml:space="preserve"> </w:instrText>
      </w:r>
      <w:r w:rsidRPr="006361EC">
        <w:rPr>
          <w:rStyle w:val="af7"/>
          <w:rFonts w:eastAsia="Guttman Hodes" w:hint="cs"/>
        </w:rPr>
        <w:instrText>REF</w:instrText>
      </w:r>
      <w:r w:rsidRPr="006361EC">
        <w:rPr>
          <w:rStyle w:val="af7"/>
          <w:rFonts w:eastAsia="Guttman Hodes" w:hint="cs"/>
          <w:rtl/>
        </w:rPr>
        <w:instrText xml:space="preserve"> _</w:instrText>
      </w:r>
      <w:r w:rsidRPr="006361EC">
        <w:rPr>
          <w:rStyle w:val="af7"/>
          <w:rFonts w:eastAsia="Guttman Hodes" w:hint="cs"/>
        </w:rPr>
        <w:instrText>Ref59700892 \r \h</w:instrText>
      </w:r>
      <w:r w:rsidRPr="006361EC">
        <w:rPr>
          <w:rStyle w:val="af7"/>
          <w:rFonts w:eastAsia="Guttman Hodes"/>
          <w:rtl/>
        </w:rPr>
        <w:instrText xml:space="preserve"> </w:instrText>
      </w:r>
      <w:r w:rsidRPr="006361EC">
        <w:rPr>
          <w:rStyle w:val="af7"/>
          <w:rFonts w:eastAsia="Guttman Hodes"/>
          <w:rtl/>
        </w:rPr>
      </w:r>
      <w:r w:rsidRPr="006361EC">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6361EC">
        <w:rPr>
          <w:rStyle w:val="af7"/>
          <w:rFonts w:eastAsia="Guttman Hodes"/>
          <w:rtl/>
        </w:rPr>
        <w:fldChar w:fldCharType="end"/>
      </w:r>
      <w:r w:rsidRPr="006361EC">
        <w:rPr>
          <w:rFonts w:hint="cs"/>
          <w:rtl/>
        </w:rPr>
        <w:t xml:space="preserve"> מוכח להדיא דביאר בדעת </w:t>
      </w:r>
      <w:r w:rsidRPr="006361EC">
        <w:rPr>
          <w:rStyle w:val="af9"/>
          <w:rFonts w:hint="cs"/>
          <w:rtl/>
        </w:rPr>
        <w:t>הרשב"ם</w:t>
      </w:r>
      <w:r w:rsidRPr="006361EC">
        <w:rPr>
          <w:rFonts w:hint="cs"/>
          <w:rtl/>
        </w:rPr>
        <w:t xml:space="preserve">, </w:t>
      </w:r>
      <w:r>
        <w:rPr>
          <w:rFonts w:hint="cs"/>
          <w:rtl/>
        </w:rPr>
        <w:t>דבקמי דידי נאמן אף כשאיןלמחזיק חזקת ג"ש, מ</w:t>
      </w:r>
      <w:r w:rsidRPr="006361EC">
        <w:rPr>
          <w:rFonts w:hint="cs"/>
          <w:rtl/>
        </w:rPr>
        <w:t xml:space="preserve">דכתב </w:t>
      </w:r>
      <w:r w:rsidRPr="006361EC">
        <w:rPr>
          <w:rStyle w:val="af9"/>
          <w:rFonts w:hint="cs"/>
          <w:rtl/>
        </w:rPr>
        <w:t xml:space="preserve">הרא"ש </w:t>
      </w:r>
      <w:r w:rsidRPr="006361EC">
        <w:rPr>
          <w:rFonts w:hint="cs"/>
          <w:rtl/>
        </w:rPr>
        <w:t xml:space="preserve">דבטוען קמי דידי זבנה מינך, נאמן מדין הפה שאסר, כיון שאין למערער עדים, וכתב </w:t>
      </w:r>
      <w:r w:rsidRPr="006361EC">
        <w:rPr>
          <w:rStyle w:val="af9"/>
          <w:rFonts w:hint="cs"/>
          <w:rtl/>
        </w:rPr>
        <w:t>הש"ך</w:t>
      </w:r>
      <w:r w:rsidRPr="006361EC">
        <w:rPr>
          <w:rFonts w:hint="cs"/>
          <w:rtl/>
        </w:rPr>
        <w:t xml:space="preserve"> דמשמע </w:t>
      </w:r>
      <w:r w:rsidRPr="006361EC">
        <w:rPr>
          <w:rStyle w:val="af9"/>
          <w:rFonts w:hint="cs"/>
          <w:rtl/>
        </w:rPr>
        <w:t>ברא"ש</w:t>
      </w:r>
      <w:r w:rsidRPr="006361EC">
        <w:rPr>
          <w:rFonts w:hint="cs"/>
          <w:rtl/>
        </w:rPr>
        <w:t xml:space="preserve"> דביאר כן בכוונת </w:t>
      </w:r>
      <w:r w:rsidRPr="006361EC">
        <w:rPr>
          <w:rStyle w:val="af9"/>
          <w:rFonts w:hint="cs"/>
          <w:rtl/>
        </w:rPr>
        <w:t>הרשב"ם</w:t>
      </w:r>
      <w:r w:rsidRPr="006361EC">
        <w:rPr>
          <w:rFonts w:hint="cs"/>
          <w:rtl/>
        </w:rPr>
        <w:t xml:space="preserve">, מדכתב בסוף דבריו דכן פירש </w:t>
      </w:r>
      <w:r w:rsidRPr="006361EC">
        <w:rPr>
          <w:rStyle w:val="af9"/>
          <w:rFonts w:hint="cs"/>
          <w:rtl/>
        </w:rPr>
        <w:t>הרשב"ם</w:t>
      </w:r>
      <w:r w:rsidRPr="006361EC">
        <w:rPr>
          <w:rFonts w:hint="cs"/>
          <w:rtl/>
        </w:rPr>
        <w:t>,</w:t>
      </w:r>
      <w:r>
        <w:rPr>
          <w:rFonts w:hint="cs"/>
          <w:rtl/>
        </w:rPr>
        <w:t xml:space="preserve"> </w:t>
      </w:r>
      <w:r w:rsidRPr="006361EC">
        <w:rPr>
          <w:rFonts w:hint="cs"/>
          <w:rtl/>
        </w:rPr>
        <w:t>וכיון ד</w:t>
      </w:r>
      <w:r w:rsidRPr="006361EC">
        <w:rPr>
          <w:rtl/>
        </w:rPr>
        <w:t>בסוגיין</w:t>
      </w:r>
      <w:r w:rsidRPr="006361EC">
        <w:rPr>
          <w:rFonts w:hint="cs"/>
          <w:rtl/>
        </w:rPr>
        <w:t xml:space="preserve"> </w:t>
      </w:r>
      <w:r w:rsidRPr="006361EC">
        <w:rPr>
          <w:rtl/>
        </w:rPr>
        <w:t>איירי</w:t>
      </w:r>
      <w:r w:rsidRPr="005A5376">
        <w:rPr>
          <w:rtl/>
        </w:rPr>
        <w:t xml:space="preserve"> שאין למחזיק חזקת ג"ש, </w:t>
      </w:r>
      <w:r>
        <w:rPr>
          <w:rFonts w:hint="cs"/>
          <w:rtl/>
        </w:rPr>
        <w:t xml:space="preserve">א"כ כוונת </w:t>
      </w:r>
      <w:r w:rsidRPr="0057187F">
        <w:rPr>
          <w:rStyle w:val="af9"/>
          <w:rtl/>
        </w:rPr>
        <w:t>הרא"ש</w:t>
      </w:r>
      <w:r w:rsidRPr="005A5376">
        <w:rPr>
          <w:rtl/>
        </w:rPr>
        <w:t xml:space="preserve"> </w:t>
      </w:r>
      <w:r>
        <w:rPr>
          <w:rFonts w:hint="cs"/>
          <w:rtl/>
        </w:rPr>
        <w:t xml:space="preserve">לומר דקמי דידי מהני בלא חזקה, </w:t>
      </w:r>
      <w:r w:rsidRPr="005A5376">
        <w:rPr>
          <w:rtl/>
        </w:rPr>
        <w:t xml:space="preserve">ועוד דאי איירי כשיש למחזיק חזקת ג"ש, </w:t>
      </w:r>
      <w:r>
        <w:rPr>
          <w:rtl/>
        </w:rPr>
        <w:t xml:space="preserve">אמאי הוצרך </w:t>
      </w:r>
      <w:r w:rsidRPr="0057187F">
        <w:rPr>
          <w:rStyle w:val="af9"/>
          <w:rtl/>
        </w:rPr>
        <w:t>הרא"ש</w:t>
      </w:r>
      <w:r>
        <w:rPr>
          <w:rtl/>
        </w:rPr>
        <w:t xml:space="preserve"> </w:t>
      </w:r>
      <w:r w:rsidRPr="005A5376">
        <w:rPr>
          <w:rtl/>
        </w:rPr>
        <w:t xml:space="preserve">לומר דהמחזיק נאמן כיון שאין למערער עדים שהייתה שלו, הא אף אם היה </w:t>
      </w:r>
      <w:r w:rsidRPr="0082126F">
        <w:rPr>
          <w:rtl/>
        </w:rPr>
        <w:t xml:space="preserve">למערער עדים, הוא נאמן </w:t>
      </w:r>
      <w:r w:rsidRPr="0082126F">
        <w:rPr>
          <w:rFonts w:hint="cs"/>
          <w:rtl/>
        </w:rPr>
        <w:t xml:space="preserve">בחזקה עם </w:t>
      </w:r>
      <w:r w:rsidRPr="0082126F">
        <w:rPr>
          <w:rtl/>
        </w:rPr>
        <w:t>מיגו דמינך זבינתה</w:t>
      </w:r>
      <w:r w:rsidRPr="0082126F">
        <w:rPr>
          <w:rFonts w:hint="cs"/>
          <w:rtl/>
        </w:rPr>
        <w:t>, ו</w:t>
      </w:r>
      <w:r>
        <w:rPr>
          <w:rFonts w:hint="cs"/>
          <w:rtl/>
        </w:rPr>
        <w:t>כתב הש"ך ד</w:t>
      </w:r>
      <w:r w:rsidRPr="0082126F">
        <w:rPr>
          <w:rFonts w:hint="cs"/>
          <w:rtl/>
        </w:rPr>
        <w:t xml:space="preserve">א"כ קשה על </w:t>
      </w:r>
      <w:r w:rsidRPr="0057187F">
        <w:rPr>
          <w:rStyle w:val="af9"/>
          <w:rFonts w:hint="cs"/>
          <w:rtl/>
        </w:rPr>
        <w:t>הטור</w:t>
      </w:r>
      <w:r w:rsidRPr="0082126F">
        <w:rPr>
          <w:rFonts w:hint="cs"/>
          <w:rtl/>
        </w:rPr>
        <w:t xml:space="preserve"> </w:t>
      </w:r>
      <w:r w:rsidRPr="006361EC">
        <w:rPr>
          <w:rStyle w:val="af7"/>
          <w:rFonts w:eastAsia="Guttman Hodes" w:hint="cs"/>
          <w:rtl/>
        </w:rPr>
        <w:t xml:space="preserve">(עי' אות </w:t>
      </w:r>
      <w:r w:rsidRPr="006361EC">
        <w:rPr>
          <w:rStyle w:val="af7"/>
          <w:rFonts w:eastAsia="Guttman Hodes"/>
          <w:rtl/>
        </w:rPr>
        <w:fldChar w:fldCharType="begin"/>
      </w:r>
      <w:r w:rsidRPr="006361EC">
        <w:rPr>
          <w:rStyle w:val="af7"/>
          <w:rFonts w:eastAsia="Guttman Hodes"/>
          <w:rtl/>
        </w:rPr>
        <w:instrText xml:space="preserve"> </w:instrText>
      </w:r>
      <w:r w:rsidRPr="006361EC">
        <w:rPr>
          <w:rStyle w:val="af7"/>
          <w:rFonts w:eastAsia="Guttman Hodes" w:hint="cs"/>
        </w:rPr>
        <w:instrText>REF</w:instrText>
      </w:r>
      <w:r w:rsidRPr="006361EC">
        <w:rPr>
          <w:rStyle w:val="af7"/>
          <w:rFonts w:eastAsia="Guttman Hodes" w:hint="cs"/>
          <w:rtl/>
        </w:rPr>
        <w:instrText xml:space="preserve"> _</w:instrText>
      </w:r>
      <w:r w:rsidRPr="006361EC">
        <w:rPr>
          <w:rStyle w:val="af7"/>
          <w:rFonts w:eastAsia="Guttman Hodes" w:hint="cs"/>
        </w:rPr>
        <w:instrText>Ref59651096 \r \h</w:instrText>
      </w:r>
      <w:r w:rsidRPr="006361EC">
        <w:rPr>
          <w:rStyle w:val="af7"/>
          <w:rFonts w:eastAsia="Guttman Hodes"/>
          <w:rtl/>
        </w:rPr>
        <w:instrText xml:space="preserve"> </w:instrText>
      </w:r>
      <w:r w:rsidRPr="006361EC">
        <w:rPr>
          <w:rStyle w:val="af7"/>
          <w:rFonts w:eastAsia="Guttman Hodes"/>
          <w:rtl/>
        </w:rPr>
      </w:r>
      <w:r w:rsidRPr="006361EC">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6361EC">
        <w:rPr>
          <w:rStyle w:val="af7"/>
          <w:rFonts w:eastAsia="Guttman Hodes"/>
          <w:rtl/>
        </w:rPr>
        <w:fldChar w:fldCharType="end"/>
      </w:r>
      <w:r w:rsidRPr="0082126F">
        <w:rPr>
          <w:rFonts w:hint="cs"/>
          <w:rtl/>
        </w:rPr>
        <w:t xml:space="preserve"> היאך ביאר בדעת </w:t>
      </w:r>
      <w:r w:rsidRPr="0057187F">
        <w:rPr>
          <w:rStyle w:val="af9"/>
          <w:rFonts w:hint="cs"/>
          <w:rtl/>
        </w:rPr>
        <w:t>הרשב"ם</w:t>
      </w:r>
      <w:r w:rsidRPr="0082126F">
        <w:rPr>
          <w:rFonts w:hint="cs"/>
          <w:rtl/>
        </w:rPr>
        <w:t xml:space="preserve"> דנאמן רק כשיש לו חזקת ג"ש.</w:t>
      </w:r>
      <w:bookmarkEnd w:id="10167"/>
    </w:p>
    <w:p w:rsidR="000E75A3" w:rsidRPr="000B2C88" w:rsidRDefault="000E75A3" w:rsidP="000E75A3">
      <w:pPr>
        <w:pStyle w:val="a3"/>
        <w:rPr>
          <w:rtl/>
        </w:rPr>
      </w:pPr>
      <w:bookmarkStart w:id="10168" w:name="_Toc59620321"/>
      <w:bookmarkStart w:id="10169" w:name="_Toc59643593"/>
      <w:bookmarkStart w:id="10170" w:name="_Toc59741719"/>
      <w:bookmarkStart w:id="10171" w:name="_Toc59786854"/>
      <w:bookmarkStart w:id="10172" w:name="_Toc59802665"/>
      <w:bookmarkStart w:id="10173" w:name="_Toc59916226"/>
      <w:r>
        <w:rPr>
          <w:rFonts w:hint="cs"/>
          <w:rtl/>
        </w:rPr>
        <w:t>קושית הש"ך על הטור דאף אי הרא"ש לא ביאר כן ברשב"ם מ"מ זו דעת הרא"ש ודלא כטור</w:t>
      </w:r>
      <w:bookmarkEnd w:id="10168"/>
      <w:bookmarkEnd w:id="10169"/>
      <w:bookmarkEnd w:id="10170"/>
      <w:bookmarkEnd w:id="10171"/>
      <w:bookmarkEnd w:id="10172"/>
      <w:bookmarkEnd w:id="10173"/>
    </w:p>
    <w:p w:rsidR="000E75A3" w:rsidRDefault="000E75A3" w:rsidP="007E4E81">
      <w:pPr>
        <w:pStyle w:val="a0"/>
        <w:rPr>
          <w:rtl/>
        </w:rPr>
      </w:pPr>
      <w:r>
        <w:rPr>
          <w:rFonts w:hint="cs"/>
          <w:rtl/>
        </w:rPr>
        <w:t xml:space="preserve">וכתב </w:t>
      </w:r>
      <w:r w:rsidRPr="00794290">
        <w:rPr>
          <w:rStyle w:val="af9"/>
          <w:rFonts w:hint="cs"/>
          <w:rtl/>
        </w:rPr>
        <w:t>הש"ך</w:t>
      </w:r>
      <w:r>
        <w:rPr>
          <w:rFonts w:hint="cs"/>
          <w:rtl/>
        </w:rPr>
        <w:t xml:space="preserve"> דאף אם נאמר דכוונת </w:t>
      </w:r>
      <w:r w:rsidRPr="00794290">
        <w:rPr>
          <w:rStyle w:val="af9"/>
          <w:rFonts w:hint="cs"/>
          <w:rtl/>
        </w:rPr>
        <w:t>הרא"ש</w:t>
      </w:r>
      <w:r>
        <w:rPr>
          <w:rFonts w:hint="cs"/>
          <w:rtl/>
        </w:rPr>
        <w:t xml:space="preserve"> לומר דכן פירש </w:t>
      </w:r>
      <w:r w:rsidRPr="00794290">
        <w:rPr>
          <w:rStyle w:val="af9"/>
          <w:rFonts w:hint="cs"/>
          <w:rtl/>
        </w:rPr>
        <w:t>הרשב"ם</w:t>
      </w:r>
      <w:r>
        <w:rPr>
          <w:rFonts w:hint="cs"/>
          <w:rtl/>
        </w:rPr>
        <w:t xml:space="preserve">, רק על סוף דבריו, ולא על תחילת דבריו, עדיין יש להקשות דהאיך כתב </w:t>
      </w:r>
      <w:r w:rsidRPr="00794290">
        <w:rPr>
          <w:rStyle w:val="af9"/>
          <w:rFonts w:hint="cs"/>
          <w:rtl/>
        </w:rPr>
        <w:t>הטור</w:t>
      </w:r>
      <w:r>
        <w:rPr>
          <w:rFonts w:hint="cs"/>
          <w:rtl/>
        </w:rPr>
        <w:t xml:space="preserve"> </w:t>
      </w:r>
      <w:r w:rsidRPr="006361EC">
        <w:rPr>
          <w:rStyle w:val="af7"/>
          <w:rFonts w:eastAsia="Guttman Hodes" w:hint="cs"/>
          <w:rtl/>
        </w:rPr>
        <w:t xml:space="preserve">(עי' אות </w:t>
      </w:r>
      <w:r w:rsidRPr="006361EC">
        <w:rPr>
          <w:rStyle w:val="af7"/>
          <w:rFonts w:eastAsia="Guttman Hodes"/>
          <w:rtl/>
        </w:rPr>
        <w:fldChar w:fldCharType="begin"/>
      </w:r>
      <w:r w:rsidRPr="006361EC">
        <w:rPr>
          <w:rStyle w:val="af7"/>
          <w:rFonts w:eastAsia="Guttman Hodes"/>
          <w:rtl/>
        </w:rPr>
        <w:instrText xml:space="preserve"> </w:instrText>
      </w:r>
      <w:r w:rsidRPr="006361EC">
        <w:rPr>
          <w:rStyle w:val="af7"/>
          <w:rFonts w:eastAsia="Guttman Hodes" w:hint="cs"/>
        </w:rPr>
        <w:instrText>REF</w:instrText>
      </w:r>
      <w:r w:rsidRPr="006361EC">
        <w:rPr>
          <w:rStyle w:val="af7"/>
          <w:rFonts w:eastAsia="Guttman Hodes" w:hint="cs"/>
          <w:rtl/>
        </w:rPr>
        <w:instrText xml:space="preserve"> _</w:instrText>
      </w:r>
      <w:r w:rsidRPr="006361EC">
        <w:rPr>
          <w:rStyle w:val="af7"/>
          <w:rFonts w:eastAsia="Guttman Hodes" w:hint="cs"/>
        </w:rPr>
        <w:instrText>Ref59651096 \r \h</w:instrText>
      </w:r>
      <w:r w:rsidRPr="006361EC">
        <w:rPr>
          <w:rStyle w:val="af7"/>
          <w:rFonts w:eastAsia="Guttman Hodes"/>
          <w:rtl/>
        </w:rPr>
        <w:instrText xml:space="preserve"> </w:instrText>
      </w:r>
      <w:r w:rsidRPr="006361EC">
        <w:rPr>
          <w:rStyle w:val="af7"/>
          <w:rFonts w:eastAsia="Guttman Hodes"/>
          <w:rtl/>
        </w:rPr>
      </w:r>
      <w:r w:rsidRPr="006361EC">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6361EC">
        <w:rPr>
          <w:rStyle w:val="af7"/>
          <w:rFonts w:eastAsia="Guttman Hodes"/>
          <w:rtl/>
        </w:rPr>
        <w:fldChar w:fldCharType="end"/>
      </w:r>
      <w:r w:rsidRPr="0082126F">
        <w:rPr>
          <w:rFonts w:hint="cs"/>
          <w:rtl/>
        </w:rPr>
        <w:t xml:space="preserve"> </w:t>
      </w:r>
      <w:r>
        <w:rPr>
          <w:rFonts w:hint="cs"/>
          <w:rtl/>
        </w:rPr>
        <w:t xml:space="preserve">במסקנת דבריו דדעת </w:t>
      </w:r>
      <w:r w:rsidRPr="00794290">
        <w:rPr>
          <w:rStyle w:val="af9"/>
          <w:rFonts w:hint="cs"/>
          <w:rtl/>
        </w:rPr>
        <w:t>הרשב"ם</w:t>
      </w:r>
      <w:r>
        <w:rPr>
          <w:rFonts w:hint="cs"/>
          <w:rtl/>
        </w:rPr>
        <w:t xml:space="preserve"> דאינו נאמן כשטוען קמי דידי זבנה מינך, כשאין לו חזקת ג"ש, הא </w:t>
      </w:r>
      <w:r w:rsidRPr="00794290">
        <w:rPr>
          <w:rStyle w:val="af9"/>
          <w:rFonts w:hint="cs"/>
          <w:rtl/>
        </w:rPr>
        <w:t>הרא"ש</w:t>
      </w:r>
      <w:r>
        <w:rPr>
          <w:rFonts w:hint="cs"/>
          <w:rtl/>
        </w:rPr>
        <w:t xml:space="preserve"> ודאי פליג ע"ז וס"ל דאף בלא חזקה נאמן, </w:t>
      </w:r>
      <w:r w:rsidRPr="00507D2D">
        <w:rPr>
          <w:rStyle w:val="afb"/>
          <w:rFonts w:hint="cs"/>
          <w:rtl/>
        </w:rPr>
        <w:t xml:space="preserve">[וכתב </w:t>
      </w:r>
      <w:r w:rsidRPr="00507D2D">
        <w:rPr>
          <w:rStyle w:val="affa"/>
          <w:rFonts w:hint="cs"/>
          <w:rtl/>
        </w:rPr>
        <w:t>הש"ך</w:t>
      </w:r>
      <w:r w:rsidRPr="00507D2D">
        <w:rPr>
          <w:rStyle w:val="afb"/>
          <w:rFonts w:hint="cs"/>
          <w:rtl/>
        </w:rPr>
        <w:t xml:space="preserve"> דמ"ש </w:t>
      </w:r>
      <w:r w:rsidRPr="00507D2D">
        <w:rPr>
          <w:rStyle w:val="affa"/>
          <w:rFonts w:hint="cs"/>
          <w:rtl/>
        </w:rPr>
        <w:t>הרא"ש</w:t>
      </w:r>
      <w:r w:rsidRPr="006361EC">
        <w:rPr>
          <w:rStyle w:val="aff6"/>
          <w:rFonts w:hint="cs"/>
          <w:rtl/>
        </w:rPr>
        <w:t xml:space="preserve"> (עי' אות </w:t>
      </w:r>
      <w:r w:rsidRPr="006361EC">
        <w:rPr>
          <w:rStyle w:val="aff6"/>
          <w:rtl/>
        </w:rPr>
        <w:fldChar w:fldCharType="begin"/>
      </w:r>
      <w:r w:rsidRPr="006361EC">
        <w:rPr>
          <w:rStyle w:val="aff6"/>
          <w:rtl/>
        </w:rPr>
        <w:instrText xml:space="preserve"> </w:instrText>
      </w:r>
      <w:r w:rsidRPr="006361EC">
        <w:rPr>
          <w:rStyle w:val="aff6"/>
          <w:rFonts w:hint="cs"/>
        </w:rPr>
        <w:instrText>REF</w:instrText>
      </w:r>
      <w:r w:rsidRPr="006361EC">
        <w:rPr>
          <w:rStyle w:val="aff6"/>
          <w:rFonts w:hint="cs"/>
          <w:rtl/>
        </w:rPr>
        <w:instrText xml:space="preserve"> _</w:instrText>
      </w:r>
      <w:r w:rsidRPr="006361EC">
        <w:rPr>
          <w:rStyle w:val="aff6"/>
          <w:rFonts w:hint="cs"/>
        </w:rPr>
        <w:instrText>Ref59655213 \r \h</w:instrText>
      </w:r>
      <w:r w:rsidRPr="006361EC">
        <w:rPr>
          <w:rStyle w:val="aff6"/>
          <w:rtl/>
        </w:rPr>
        <w:instrText xml:space="preserve"> </w:instrText>
      </w:r>
      <w:r w:rsidRPr="006361EC">
        <w:rPr>
          <w:rStyle w:val="aff6"/>
          <w:rtl/>
        </w:rPr>
      </w:r>
      <w:r w:rsidRPr="006361EC">
        <w:rPr>
          <w:rStyle w:val="aff6"/>
          <w:rtl/>
        </w:rPr>
        <w:fldChar w:fldCharType="separate"/>
      </w:r>
      <w:r w:rsidR="00265073">
        <w:rPr>
          <w:rStyle w:val="aff6"/>
          <w:cs/>
        </w:rPr>
        <w:t>‎</w:t>
      </w:r>
      <w:r w:rsidR="00265073">
        <w:rPr>
          <w:rStyle w:val="aff6"/>
          <w:rtl/>
        </w:rPr>
        <w:t>נ)</w:t>
      </w:r>
      <w:r w:rsidRPr="006361EC">
        <w:rPr>
          <w:rStyle w:val="aff6"/>
          <w:rtl/>
        </w:rPr>
        <w:fldChar w:fldCharType="end"/>
      </w:r>
      <w:r w:rsidRPr="006361EC">
        <w:rPr>
          <w:rStyle w:val="aff6"/>
          <w:rFonts w:hint="cs"/>
          <w:rtl/>
        </w:rPr>
        <w:t xml:space="preserve"> </w:t>
      </w:r>
      <w:r w:rsidRPr="00507D2D">
        <w:rPr>
          <w:rStyle w:val="afb"/>
          <w:rFonts w:hint="cs"/>
          <w:rtl/>
        </w:rPr>
        <w:t>שאי"ז מיגו טוב, כוונתו רק כשהמחזיק עצמו אינו יודע אם המוכר קנה מהמערער, ולא כשטוען טענת ברי],</w:t>
      </w:r>
      <w:r>
        <w:rPr>
          <w:rFonts w:hint="cs"/>
          <w:rtl/>
        </w:rPr>
        <w:t xml:space="preserve"> והוסיף </w:t>
      </w:r>
      <w:r w:rsidRPr="00794290">
        <w:rPr>
          <w:rStyle w:val="af9"/>
          <w:rFonts w:hint="cs"/>
          <w:rtl/>
        </w:rPr>
        <w:t>הש"ך</w:t>
      </w:r>
      <w:r>
        <w:rPr>
          <w:rFonts w:hint="cs"/>
          <w:rtl/>
        </w:rPr>
        <w:t xml:space="preserve"> להקשות על </w:t>
      </w:r>
      <w:r w:rsidRPr="00794290">
        <w:rPr>
          <w:rStyle w:val="af9"/>
          <w:rFonts w:hint="cs"/>
          <w:rtl/>
        </w:rPr>
        <w:t>הטור</w:t>
      </w:r>
      <w:r>
        <w:rPr>
          <w:rFonts w:hint="cs"/>
          <w:rtl/>
        </w:rPr>
        <w:t xml:space="preserve">, דמשמע בדברי </w:t>
      </w:r>
      <w:r w:rsidRPr="00794290">
        <w:rPr>
          <w:rStyle w:val="af9"/>
          <w:rFonts w:hint="cs"/>
          <w:rtl/>
        </w:rPr>
        <w:t>הטור</w:t>
      </w:r>
      <w:r>
        <w:rPr>
          <w:rFonts w:hint="cs"/>
          <w:rtl/>
        </w:rPr>
        <w:t xml:space="preserve"> דאף </w:t>
      </w:r>
      <w:r w:rsidRPr="00794290">
        <w:rPr>
          <w:rStyle w:val="af9"/>
          <w:rFonts w:hint="cs"/>
          <w:rtl/>
        </w:rPr>
        <w:t>הרא"ש</w:t>
      </w:r>
      <w:r>
        <w:rPr>
          <w:rFonts w:hint="cs"/>
          <w:rtl/>
        </w:rPr>
        <w:t xml:space="preserve"> מודה למה שביאר </w:t>
      </w:r>
      <w:r w:rsidRPr="00794290">
        <w:rPr>
          <w:rStyle w:val="af9"/>
          <w:rFonts w:hint="cs"/>
          <w:rtl/>
        </w:rPr>
        <w:t>הטור</w:t>
      </w:r>
      <w:r>
        <w:rPr>
          <w:rFonts w:hint="cs"/>
          <w:rtl/>
        </w:rPr>
        <w:t xml:space="preserve"> בדעת </w:t>
      </w:r>
      <w:r w:rsidRPr="00794290">
        <w:rPr>
          <w:rStyle w:val="af9"/>
          <w:rFonts w:hint="cs"/>
          <w:rtl/>
        </w:rPr>
        <w:t>הרשב"ם</w:t>
      </w:r>
      <w:r>
        <w:rPr>
          <w:rFonts w:hint="cs"/>
          <w:rtl/>
        </w:rPr>
        <w:t xml:space="preserve">. </w:t>
      </w:r>
    </w:p>
    <w:p w:rsidR="000E75A3" w:rsidRPr="000D4460" w:rsidRDefault="000E75A3" w:rsidP="000E75A3">
      <w:pPr>
        <w:pStyle w:val="1"/>
        <w:rPr>
          <w:rtl/>
        </w:rPr>
      </w:pPr>
      <w:bookmarkStart w:id="10174" w:name="_Toc59741720"/>
      <w:bookmarkStart w:id="10175" w:name="_Toc59786855"/>
      <w:bookmarkStart w:id="10176" w:name="_Toc59802666"/>
      <w:bookmarkStart w:id="10177" w:name="_Toc59916227"/>
      <w:r>
        <w:rPr>
          <w:rFonts w:hint="cs"/>
          <w:rtl/>
        </w:rPr>
        <w:t>ביאור התומים דלמסקנת הרא"ש ברשב"ם אין מיגו וצריך חזקה</w:t>
      </w:r>
      <w:bookmarkEnd w:id="10164"/>
      <w:bookmarkEnd w:id="10165"/>
      <w:bookmarkEnd w:id="10174"/>
      <w:bookmarkEnd w:id="10175"/>
      <w:bookmarkEnd w:id="10176"/>
      <w:bookmarkEnd w:id="10177"/>
    </w:p>
    <w:p w:rsidR="000E75A3" w:rsidRPr="00E80F6F" w:rsidRDefault="000E75A3" w:rsidP="000E75A3">
      <w:pPr>
        <w:pStyle w:val="a3"/>
      </w:pPr>
      <w:bookmarkStart w:id="10178" w:name="_Toc59620331"/>
      <w:bookmarkStart w:id="10179" w:name="_Toc59643603"/>
      <w:bookmarkStart w:id="10180" w:name="_Toc59741721"/>
      <w:bookmarkStart w:id="10181" w:name="_Toc59786856"/>
      <w:bookmarkStart w:id="10182" w:name="_Toc59802667"/>
      <w:bookmarkStart w:id="10183" w:name="_Toc59916228"/>
      <w:bookmarkStart w:id="10184" w:name="_Ref59442478"/>
      <w:r>
        <w:rPr>
          <w:rFonts w:hint="cs"/>
          <w:rtl/>
        </w:rPr>
        <w:t>ביאור התומים דביאור הרא"ש ברשב"ם הוא לפי קושיתו אבל למסקנתו דאין מיגו צריך חזקה</w:t>
      </w:r>
      <w:bookmarkEnd w:id="10178"/>
      <w:bookmarkEnd w:id="10179"/>
      <w:bookmarkEnd w:id="10180"/>
      <w:bookmarkEnd w:id="10181"/>
      <w:bookmarkEnd w:id="10182"/>
      <w:bookmarkEnd w:id="10183"/>
    </w:p>
    <w:p w:rsidR="000E75A3" w:rsidRDefault="000E75A3" w:rsidP="007E4E81">
      <w:pPr>
        <w:pStyle w:val="a0"/>
        <w:rPr>
          <w:rtl/>
        </w:rPr>
      </w:pPr>
      <w:r>
        <w:rPr>
          <w:rFonts w:hint="cs"/>
          <w:rtl/>
        </w:rPr>
        <w:t>ותירץ</w:t>
      </w:r>
      <w:r w:rsidRPr="00AB03B8">
        <w:rPr>
          <w:rFonts w:hint="cs"/>
          <w:rtl/>
        </w:rPr>
        <w:t xml:space="preserve"> </w:t>
      </w:r>
      <w:r w:rsidRPr="00765B8D">
        <w:rPr>
          <w:rStyle w:val="af9"/>
          <w:rFonts w:hint="cs"/>
          <w:rtl/>
        </w:rPr>
        <w:t>התומים</w:t>
      </w:r>
      <w:r w:rsidRPr="00AB03B8">
        <w:rPr>
          <w:rFonts w:hint="cs"/>
          <w:rtl/>
        </w:rPr>
        <w:t xml:space="preserve"> </w:t>
      </w:r>
      <w:r w:rsidRPr="00C33029">
        <w:rPr>
          <w:rStyle w:val="af7"/>
          <w:rFonts w:eastAsia="Guttman Hodes" w:hint="cs"/>
          <w:rtl/>
        </w:rPr>
        <w:t xml:space="preserve">(סי' קמ"ו ס"ק ט"ז ד"ה מיהו) </w:t>
      </w:r>
      <w:r>
        <w:rPr>
          <w:rFonts w:hint="cs"/>
          <w:rtl/>
        </w:rPr>
        <w:t xml:space="preserve">את קושית </w:t>
      </w:r>
      <w:r w:rsidRPr="00765B8D">
        <w:rPr>
          <w:rStyle w:val="af9"/>
          <w:rFonts w:hint="cs"/>
          <w:rtl/>
        </w:rPr>
        <w:t>הש"ך</w:t>
      </w:r>
      <w:r>
        <w:rPr>
          <w:rFonts w:hint="cs"/>
          <w:rtl/>
        </w:rPr>
        <w:t xml:space="preserve"> </w:t>
      </w:r>
      <w:r w:rsidRPr="00C3302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Ref59615197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Pr>
          <w:rStyle w:val="af7"/>
          <w:rFonts w:eastAsia="Guttman Hodes"/>
          <w:rtl/>
        </w:rPr>
        <w:fldChar w:fldCharType="end"/>
      </w:r>
      <w:r>
        <w:rPr>
          <w:rFonts w:hint="cs"/>
          <w:rtl/>
        </w:rPr>
        <w:t xml:space="preserve"> על</w:t>
      </w:r>
      <w:r w:rsidRPr="00765B8D">
        <w:rPr>
          <w:rStyle w:val="af9"/>
          <w:rFonts w:hint="cs"/>
          <w:rtl/>
        </w:rPr>
        <w:t xml:space="preserve"> הטור</w:t>
      </w:r>
      <w:r>
        <w:rPr>
          <w:rFonts w:hint="cs"/>
          <w:rtl/>
        </w:rPr>
        <w:t xml:space="preserve"> </w:t>
      </w:r>
      <w:r w:rsidRPr="00907D1D">
        <w:rPr>
          <w:rStyle w:val="af7"/>
          <w:rFonts w:eastAsia="Guttman Hodes" w:hint="cs"/>
          <w:rtl/>
        </w:rPr>
        <w:t xml:space="preserve">(עי' אות </w:t>
      </w:r>
      <w:r w:rsidRPr="00907D1D">
        <w:rPr>
          <w:rStyle w:val="af7"/>
          <w:rFonts w:eastAsia="Guttman Hodes"/>
          <w:rtl/>
        </w:rPr>
        <w:fldChar w:fldCharType="begin"/>
      </w:r>
      <w:r w:rsidRPr="00907D1D">
        <w:rPr>
          <w:rStyle w:val="af7"/>
          <w:rFonts w:eastAsia="Guttman Hodes"/>
          <w:rtl/>
        </w:rPr>
        <w:instrText xml:space="preserve"> </w:instrText>
      </w:r>
      <w:r w:rsidRPr="00907D1D">
        <w:rPr>
          <w:rStyle w:val="af7"/>
          <w:rFonts w:eastAsia="Guttman Hodes" w:hint="cs"/>
        </w:rPr>
        <w:instrText>REF</w:instrText>
      </w:r>
      <w:r w:rsidRPr="00907D1D">
        <w:rPr>
          <w:rStyle w:val="af7"/>
          <w:rFonts w:eastAsia="Guttman Hodes" w:hint="cs"/>
          <w:rtl/>
        </w:rPr>
        <w:instrText xml:space="preserve"> _</w:instrText>
      </w:r>
      <w:r w:rsidRPr="00907D1D">
        <w:rPr>
          <w:rStyle w:val="af7"/>
          <w:rFonts w:eastAsia="Guttman Hodes" w:hint="cs"/>
        </w:rPr>
        <w:instrText>Ref59651096 \r \h</w:instrText>
      </w:r>
      <w:r w:rsidRPr="00907D1D">
        <w:rPr>
          <w:rStyle w:val="af7"/>
          <w:rFonts w:eastAsia="Guttman Hodes"/>
          <w:rtl/>
        </w:rPr>
        <w:instrText xml:space="preserve"> </w:instrText>
      </w:r>
      <w:r w:rsidRPr="00907D1D">
        <w:rPr>
          <w:rStyle w:val="af7"/>
          <w:rFonts w:eastAsia="Guttman Hodes"/>
          <w:rtl/>
        </w:rPr>
      </w:r>
      <w:r w:rsidRPr="00907D1D">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907D1D">
        <w:rPr>
          <w:rStyle w:val="af7"/>
          <w:rFonts w:eastAsia="Guttman Hodes"/>
          <w:rtl/>
        </w:rPr>
        <w:fldChar w:fldCharType="end"/>
      </w:r>
      <w:r w:rsidRPr="003B5081">
        <w:rPr>
          <w:rFonts w:hint="cs"/>
          <w:rtl/>
        </w:rPr>
        <w:t xml:space="preserve"> </w:t>
      </w:r>
      <w:r>
        <w:rPr>
          <w:rFonts w:hint="cs"/>
          <w:rtl/>
        </w:rPr>
        <w:t xml:space="preserve">דצ"ל </w:t>
      </w:r>
      <w:r w:rsidRPr="00765B8D">
        <w:rPr>
          <w:rStyle w:val="af9"/>
          <w:rFonts w:hint="cs"/>
          <w:rtl/>
        </w:rPr>
        <w:t>דהטור</w:t>
      </w:r>
      <w:r>
        <w:rPr>
          <w:rFonts w:hint="cs"/>
          <w:rtl/>
        </w:rPr>
        <w:t xml:space="preserve"> ביאר דמ"ש </w:t>
      </w:r>
      <w:r w:rsidRPr="00765B8D">
        <w:rPr>
          <w:rStyle w:val="af9"/>
          <w:rFonts w:hint="cs"/>
          <w:rtl/>
        </w:rPr>
        <w:t>הרא"ש</w:t>
      </w:r>
      <w:r>
        <w:rPr>
          <w:rFonts w:hint="cs"/>
          <w:rtl/>
        </w:rPr>
        <w:t xml:space="preserve"> </w:t>
      </w:r>
      <w:r w:rsidRPr="00246884">
        <w:rPr>
          <w:rStyle w:val="af7"/>
          <w:rFonts w:eastAsia="Guttman Hodes" w:hint="cs"/>
          <w:rtl/>
        </w:rPr>
        <w:t xml:space="preserve">(עי' אות </w:t>
      </w:r>
      <w:r w:rsidRPr="00246884">
        <w:rPr>
          <w:rStyle w:val="af7"/>
          <w:rFonts w:eastAsia="Guttman Hodes"/>
          <w:rtl/>
        </w:rPr>
        <w:fldChar w:fldCharType="begin"/>
      </w:r>
      <w:r w:rsidRPr="00246884">
        <w:rPr>
          <w:rStyle w:val="af7"/>
          <w:rFonts w:eastAsia="Guttman Hodes"/>
          <w:rtl/>
        </w:rPr>
        <w:instrText xml:space="preserve"> </w:instrText>
      </w:r>
      <w:r w:rsidRPr="00246884">
        <w:rPr>
          <w:rStyle w:val="af7"/>
          <w:rFonts w:eastAsia="Guttman Hodes" w:hint="cs"/>
        </w:rPr>
        <w:instrText>REF</w:instrText>
      </w:r>
      <w:r w:rsidRPr="00246884">
        <w:rPr>
          <w:rStyle w:val="af7"/>
          <w:rFonts w:eastAsia="Guttman Hodes" w:hint="cs"/>
          <w:rtl/>
        </w:rPr>
        <w:instrText xml:space="preserve"> _</w:instrText>
      </w:r>
      <w:r w:rsidRPr="00246884">
        <w:rPr>
          <w:rStyle w:val="af7"/>
          <w:rFonts w:eastAsia="Guttman Hodes" w:hint="cs"/>
        </w:rPr>
        <w:instrText>Ref59700892 \r \h</w:instrText>
      </w:r>
      <w:r w:rsidRPr="00246884">
        <w:rPr>
          <w:rStyle w:val="af7"/>
          <w:rFonts w:eastAsia="Guttman Hodes"/>
          <w:rtl/>
        </w:rPr>
        <w:instrText xml:space="preserve"> </w:instrText>
      </w:r>
      <w:r w:rsidRPr="00246884">
        <w:rPr>
          <w:rStyle w:val="af7"/>
          <w:rFonts w:eastAsia="Guttman Hodes"/>
          <w:rtl/>
        </w:rPr>
      </w:r>
      <w:r w:rsidRPr="00246884">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246884">
        <w:rPr>
          <w:rStyle w:val="af7"/>
          <w:rFonts w:eastAsia="Guttman Hodes"/>
          <w:rtl/>
        </w:rPr>
        <w:fldChar w:fldCharType="end"/>
      </w:r>
      <w:r>
        <w:rPr>
          <w:rFonts w:hint="cs"/>
          <w:rtl/>
        </w:rPr>
        <w:t xml:space="preserve"> כן בדעת </w:t>
      </w:r>
      <w:r w:rsidRPr="00765B8D">
        <w:rPr>
          <w:rStyle w:val="af9"/>
          <w:rFonts w:hint="cs"/>
          <w:rtl/>
        </w:rPr>
        <w:t>הרשב"ם</w:t>
      </w:r>
      <w:r>
        <w:rPr>
          <w:rFonts w:hint="cs"/>
          <w:rtl/>
        </w:rPr>
        <w:t xml:space="preserve">, היינו לפי מה שהבין </w:t>
      </w:r>
      <w:r w:rsidRPr="00765B8D">
        <w:rPr>
          <w:rStyle w:val="af9"/>
          <w:rFonts w:hint="cs"/>
          <w:rtl/>
        </w:rPr>
        <w:t>הרא"ש</w:t>
      </w:r>
      <w:r>
        <w:rPr>
          <w:rFonts w:hint="cs"/>
          <w:rtl/>
        </w:rPr>
        <w:t xml:space="preserve"> בתחילת דבריו </w:t>
      </w:r>
      <w:r w:rsidRPr="00765B8D">
        <w:rPr>
          <w:rStyle w:val="af9"/>
          <w:rFonts w:hint="cs"/>
          <w:rtl/>
        </w:rPr>
        <w:t>דלהרשב"ם</w:t>
      </w:r>
      <w:r>
        <w:rPr>
          <w:rFonts w:hint="cs"/>
          <w:rtl/>
        </w:rPr>
        <w:t xml:space="preserve"> מוציאין מהמחזיק אף שיש לו מיגו, כיון דאין ספק מוציא מידי ודאי, אבל למסקנת</w:t>
      </w:r>
      <w:r w:rsidRPr="00765B8D">
        <w:rPr>
          <w:rStyle w:val="af9"/>
          <w:rFonts w:hint="cs"/>
          <w:rtl/>
        </w:rPr>
        <w:t xml:space="preserve"> הרא"ש</w:t>
      </w:r>
      <w:r>
        <w:rPr>
          <w:rFonts w:hint="cs"/>
          <w:rtl/>
        </w:rPr>
        <w:t xml:space="preserve"> </w:t>
      </w:r>
      <w:r w:rsidRPr="00246884">
        <w:rPr>
          <w:rStyle w:val="af7"/>
          <w:rFonts w:eastAsia="Guttman Hodes" w:hint="cs"/>
          <w:rtl/>
        </w:rPr>
        <w:t xml:space="preserve">(עי' אות </w:t>
      </w:r>
      <w:r w:rsidRPr="00246884">
        <w:rPr>
          <w:rStyle w:val="af7"/>
          <w:rFonts w:eastAsia="Guttman Hodes"/>
          <w:rtl/>
        </w:rPr>
        <w:fldChar w:fldCharType="begin"/>
      </w:r>
      <w:r w:rsidRPr="00246884">
        <w:rPr>
          <w:rStyle w:val="af7"/>
          <w:rFonts w:eastAsia="Guttman Hodes"/>
          <w:rtl/>
        </w:rPr>
        <w:instrText xml:space="preserve"> </w:instrText>
      </w:r>
      <w:r w:rsidRPr="00246884">
        <w:rPr>
          <w:rStyle w:val="af7"/>
          <w:rFonts w:eastAsia="Guttman Hodes" w:hint="cs"/>
        </w:rPr>
        <w:instrText>REF</w:instrText>
      </w:r>
      <w:r w:rsidRPr="00246884">
        <w:rPr>
          <w:rStyle w:val="af7"/>
          <w:rFonts w:eastAsia="Guttman Hodes" w:hint="cs"/>
          <w:rtl/>
        </w:rPr>
        <w:instrText xml:space="preserve"> _</w:instrText>
      </w:r>
      <w:r w:rsidRPr="00246884">
        <w:rPr>
          <w:rStyle w:val="af7"/>
          <w:rFonts w:eastAsia="Guttman Hodes" w:hint="cs"/>
        </w:rPr>
        <w:instrText>Ref59655213 \r \h</w:instrText>
      </w:r>
      <w:r w:rsidRPr="00246884">
        <w:rPr>
          <w:rStyle w:val="af7"/>
          <w:rFonts w:eastAsia="Guttman Hodes"/>
          <w:rtl/>
        </w:rPr>
        <w:instrText xml:space="preserve"> </w:instrText>
      </w:r>
      <w:r w:rsidRPr="00246884">
        <w:rPr>
          <w:rStyle w:val="af7"/>
          <w:rFonts w:eastAsia="Guttman Hodes"/>
          <w:rtl/>
        </w:rPr>
      </w:r>
      <w:r w:rsidRPr="00246884">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246884">
        <w:rPr>
          <w:rStyle w:val="af7"/>
          <w:rFonts w:eastAsia="Guttman Hodes"/>
          <w:rtl/>
        </w:rPr>
        <w:fldChar w:fldCharType="end"/>
      </w:r>
      <w:r>
        <w:rPr>
          <w:rFonts w:hint="cs"/>
          <w:rtl/>
        </w:rPr>
        <w:t xml:space="preserve"> דאין למחזיק מיגו, א"כ אף בדעת </w:t>
      </w:r>
      <w:r w:rsidRPr="00765B8D">
        <w:rPr>
          <w:rStyle w:val="af9"/>
          <w:rFonts w:hint="cs"/>
          <w:rtl/>
        </w:rPr>
        <w:t>הרשב"ם</w:t>
      </w:r>
      <w:r>
        <w:rPr>
          <w:rFonts w:hint="cs"/>
          <w:rtl/>
        </w:rPr>
        <w:t xml:space="preserve">, ביאר </w:t>
      </w:r>
      <w:r w:rsidRPr="00765B8D">
        <w:rPr>
          <w:rStyle w:val="af9"/>
          <w:rFonts w:hint="cs"/>
          <w:rtl/>
        </w:rPr>
        <w:t>הרא"ש</w:t>
      </w:r>
      <w:r>
        <w:rPr>
          <w:rFonts w:hint="cs"/>
          <w:rtl/>
        </w:rPr>
        <w:t xml:space="preserve"> דאין לו מיגו דלא הייתה שלך מעולם, וממילא כשאין לו חזקת ג"ש, אינו נאמן בטענת קמי דידי זבנה מינך, במיגו דלא הייתה שלך מעולם, וכתב </w:t>
      </w:r>
      <w:r w:rsidRPr="00765B8D">
        <w:rPr>
          <w:rStyle w:val="af9"/>
          <w:rFonts w:hint="cs"/>
          <w:rtl/>
        </w:rPr>
        <w:t>התומים</w:t>
      </w:r>
      <w:r>
        <w:rPr>
          <w:rFonts w:hint="cs"/>
          <w:rtl/>
        </w:rPr>
        <w:t xml:space="preserve"> דכן משמע מדברי</w:t>
      </w:r>
      <w:r w:rsidRPr="00765B8D">
        <w:rPr>
          <w:rStyle w:val="af9"/>
          <w:rFonts w:hint="cs"/>
          <w:rtl/>
        </w:rPr>
        <w:t xml:space="preserve"> </w:t>
      </w:r>
      <w:r w:rsidRPr="00775FC8">
        <w:rPr>
          <w:rStyle w:val="af9"/>
          <w:rFonts w:hint="cs"/>
          <w:rtl/>
        </w:rPr>
        <w:t>הרשב"ם</w:t>
      </w:r>
      <w:r>
        <w:rPr>
          <w:rFonts w:hint="cs"/>
          <w:rtl/>
        </w:rPr>
        <w:t xml:space="preserve"> </w:t>
      </w:r>
      <w:r w:rsidRPr="00091DF9">
        <w:rPr>
          <w:rStyle w:val="af7"/>
          <w:rFonts w:eastAsia="Guttman Hodes" w:hint="cs"/>
          <w:rtl/>
        </w:rPr>
        <w:t>(ד"ה א"ל</w:t>
      </w:r>
      <w:r>
        <w:rPr>
          <w:rStyle w:val="af7"/>
          <w:rFonts w:eastAsia="Guttman Hodes" w:hint="cs"/>
          <w:rtl/>
        </w:rPr>
        <w:t>, הובא בסימן ח' אות מ"ג)</w:t>
      </w:r>
      <w:r>
        <w:rPr>
          <w:rFonts w:hint="cs"/>
          <w:rtl/>
        </w:rPr>
        <w:t xml:space="preserve"> דכתב דכשיש למחזיק חזקת ג"ש, שייך רק מיגו דמינך זבינתה, ולא כתב </w:t>
      </w:r>
      <w:r w:rsidRPr="00775FC8">
        <w:rPr>
          <w:rStyle w:val="af9"/>
          <w:rFonts w:hint="cs"/>
          <w:rtl/>
        </w:rPr>
        <w:t>הרשב"ם</w:t>
      </w:r>
      <w:r>
        <w:rPr>
          <w:rFonts w:hint="cs"/>
          <w:rtl/>
        </w:rPr>
        <w:t xml:space="preserve"> דשייך מיגו דלא הייתה שלך מעולם. </w:t>
      </w:r>
    </w:p>
    <w:p w:rsidR="000E75A3" w:rsidRDefault="000E75A3" w:rsidP="000E75A3">
      <w:pPr>
        <w:pStyle w:val="1"/>
        <w:rPr>
          <w:rtl/>
        </w:rPr>
      </w:pPr>
      <w:bookmarkStart w:id="10185" w:name="_Toc59741722"/>
      <w:bookmarkStart w:id="10186" w:name="_Toc59786857"/>
      <w:bookmarkStart w:id="10187" w:name="_Toc59802668"/>
      <w:bookmarkStart w:id="10188" w:name="_Toc59916229"/>
      <w:bookmarkStart w:id="10189" w:name="_Toc59136965"/>
      <w:bookmarkEnd w:id="10184"/>
      <w:r>
        <w:rPr>
          <w:rFonts w:hint="cs"/>
          <w:rtl/>
        </w:rPr>
        <w:t>ביאור הדרישה ברא"ש דבקמי דידי סגי בטענת חזקה וא"צ עדים</w:t>
      </w:r>
      <w:bookmarkEnd w:id="10185"/>
      <w:bookmarkEnd w:id="10186"/>
      <w:bookmarkEnd w:id="10187"/>
      <w:bookmarkEnd w:id="10188"/>
    </w:p>
    <w:p w:rsidR="000E75A3" w:rsidRPr="00EA0434" w:rsidRDefault="000E75A3" w:rsidP="000E75A3">
      <w:pPr>
        <w:pStyle w:val="a3"/>
      </w:pPr>
      <w:bookmarkStart w:id="10190" w:name="_Toc59741723"/>
      <w:bookmarkStart w:id="10191" w:name="_Toc59786858"/>
      <w:bookmarkStart w:id="10192" w:name="_Toc59802669"/>
      <w:bookmarkStart w:id="10193" w:name="_Toc59916230"/>
      <w:r>
        <w:rPr>
          <w:rFonts w:hint="cs"/>
          <w:rtl/>
        </w:rPr>
        <w:t>דברי הדרישה דמוכח ברא"ש דנאמן בקמי דידי אף כשאין לו חזקה כיון שאין למערער עדים</w:t>
      </w:r>
      <w:bookmarkEnd w:id="10190"/>
      <w:bookmarkEnd w:id="10191"/>
      <w:bookmarkEnd w:id="10192"/>
      <w:bookmarkEnd w:id="10193"/>
    </w:p>
    <w:p w:rsidR="000E75A3" w:rsidRDefault="000E75A3" w:rsidP="007E4E81">
      <w:pPr>
        <w:pStyle w:val="a0"/>
        <w:rPr>
          <w:rtl/>
        </w:rPr>
      </w:pPr>
      <w:r>
        <w:rPr>
          <w:rFonts w:hint="cs"/>
          <w:rtl/>
        </w:rPr>
        <w:t xml:space="preserve">כתב </w:t>
      </w:r>
      <w:r w:rsidRPr="00A20811">
        <w:rPr>
          <w:rStyle w:val="af9"/>
          <w:rFonts w:hint="cs"/>
          <w:rtl/>
        </w:rPr>
        <w:t>הדרישה</w:t>
      </w:r>
      <w:r w:rsidRPr="00394915">
        <w:rPr>
          <w:rStyle w:val="af7"/>
          <w:rFonts w:eastAsia="Guttman Hodes" w:hint="cs"/>
          <w:rtl/>
        </w:rPr>
        <w:t xml:space="preserve"> (סי' קמ"ו סוס"ק כ"ד ד"ה ובזה נתיישבו גם) </w:t>
      </w:r>
      <w:r>
        <w:rPr>
          <w:rFonts w:hint="cs"/>
          <w:rtl/>
        </w:rPr>
        <w:t xml:space="preserve">דמשמע מדברי </w:t>
      </w:r>
      <w:r w:rsidRPr="00A20811">
        <w:rPr>
          <w:rStyle w:val="af9"/>
          <w:rFonts w:hint="cs"/>
          <w:rtl/>
        </w:rPr>
        <w:t>הרא"ש</w:t>
      </w:r>
      <w:r>
        <w:rPr>
          <w:rFonts w:hint="cs"/>
          <w:rtl/>
        </w:rPr>
        <w:t xml:space="preserve"> </w:t>
      </w:r>
      <w:r w:rsidRPr="00AB501D">
        <w:rPr>
          <w:rStyle w:val="af7"/>
          <w:rFonts w:eastAsia="Guttman Hodes" w:hint="cs"/>
          <w:rtl/>
        </w:rPr>
        <w:t xml:space="preserve">(עי' אות </w:t>
      </w:r>
      <w:r w:rsidRPr="00AB501D">
        <w:rPr>
          <w:rStyle w:val="af7"/>
          <w:rFonts w:eastAsia="Guttman Hodes"/>
          <w:rtl/>
        </w:rPr>
        <w:fldChar w:fldCharType="begin"/>
      </w:r>
      <w:r w:rsidRPr="00AB501D">
        <w:rPr>
          <w:rStyle w:val="af7"/>
          <w:rFonts w:eastAsia="Guttman Hodes"/>
          <w:rtl/>
        </w:rPr>
        <w:instrText xml:space="preserve"> </w:instrText>
      </w:r>
      <w:r w:rsidRPr="00AB501D">
        <w:rPr>
          <w:rStyle w:val="af7"/>
          <w:rFonts w:eastAsia="Guttman Hodes" w:hint="cs"/>
        </w:rPr>
        <w:instrText>REF</w:instrText>
      </w:r>
      <w:r w:rsidRPr="00AB501D">
        <w:rPr>
          <w:rStyle w:val="af7"/>
          <w:rFonts w:eastAsia="Guttman Hodes" w:hint="cs"/>
          <w:rtl/>
        </w:rPr>
        <w:instrText xml:space="preserve"> _</w:instrText>
      </w:r>
      <w:r w:rsidRPr="00AB501D">
        <w:rPr>
          <w:rStyle w:val="af7"/>
          <w:rFonts w:eastAsia="Guttman Hodes" w:hint="cs"/>
        </w:rPr>
        <w:instrText>Ref59700892 \r \h</w:instrText>
      </w:r>
      <w:r w:rsidRPr="00AB501D">
        <w:rPr>
          <w:rStyle w:val="af7"/>
          <w:rFonts w:eastAsia="Guttman Hodes"/>
          <w:rtl/>
        </w:rPr>
        <w:instrText xml:space="preserve"> </w:instrText>
      </w:r>
      <w:r w:rsidRPr="00AB501D">
        <w:rPr>
          <w:rStyle w:val="af7"/>
          <w:rFonts w:eastAsia="Guttman Hodes"/>
          <w:rtl/>
        </w:rPr>
      </w:r>
      <w:r w:rsidRPr="00AB501D">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AB501D">
        <w:rPr>
          <w:rStyle w:val="af7"/>
          <w:rFonts w:eastAsia="Guttman Hodes"/>
          <w:rtl/>
        </w:rPr>
        <w:fldChar w:fldCharType="end"/>
      </w:r>
      <w:r>
        <w:rPr>
          <w:rFonts w:hint="cs"/>
          <w:rtl/>
        </w:rPr>
        <w:t xml:space="preserve"> דבטוען קמי דידי זבנה מינך נאמן אף כשאין לו חזקת ג"ש, כיון דביאר </w:t>
      </w:r>
      <w:r w:rsidRPr="00A20811">
        <w:rPr>
          <w:rStyle w:val="af9"/>
          <w:rFonts w:hint="cs"/>
          <w:rtl/>
        </w:rPr>
        <w:t>הרא"ש</w:t>
      </w:r>
      <w:r>
        <w:rPr>
          <w:rFonts w:hint="cs"/>
          <w:rtl/>
        </w:rPr>
        <w:t xml:space="preserve"> דבסוגיין איירי כשאין למחזיק חזקת ג"ש, והוסיף </w:t>
      </w:r>
      <w:r w:rsidRPr="00AB501D">
        <w:rPr>
          <w:rStyle w:val="af9"/>
          <w:rFonts w:hint="cs"/>
          <w:rtl/>
        </w:rPr>
        <w:t xml:space="preserve">הדרישה </w:t>
      </w:r>
      <w:r>
        <w:rPr>
          <w:rFonts w:hint="cs"/>
          <w:rtl/>
        </w:rPr>
        <w:t xml:space="preserve">דמדכתב </w:t>
      </w:r>
      <w:r w:rsidRPr="002101CD">
        <w:rPr>
          <w:rStyle w:val="af9"/>
          <w:rFonts w:hint="cs"/>
          <w:rtl/>
        </w:rPr>
        <w:t>הרא"ש</w:t>
      </w:r>
      <w:r>
        <w:rPr>
          <w:rFonts w:hint="cs"/>
          <w:rtl/>
        </w:rPr>
        <w:t xml:space="preserve"> דהוא נאמן בטענת קמי דידי מדין הפה שאסר, כיון שאין למערער עדים, ג"כ משמע דאין למחזיק חזקת ג"ש, דהא אי יש לו חזקת ג"ש נאמן המחזיק, אף כשיש למערער עדים, דהא הוא טוען קמי דידי זבנה מינך.</w:t>
      </w:r>
    </w:p>
    <w:p w:rsidR="000E75A3" w:rsidRDefault="000E75A3" w:rsidP="000E75A3">
      <w:pPr>
        <w:pStyle w:val="a3"/>
        <w:rPr>
          <w:rtl/>
        </w:rPr>
      </w:pPr>
      <w:bookmarkStart w:id="10194" w:name="_Toc59741724"/>
      <w:bookmarkStart w:id="10195" w:name="_Toc59786859"/>
      <w:bookmarkStart w:id="10196" w:name="_Toc59802670"/>
      <w:bookmarkStart w:id="10197" w:name="_Toc59916231"/>
      <w:r>
        <w:rPr>
          <w:rFonts w:hint="cs"/>
          <w:rtl/>
        </w:rPr>
        <w:t>קושית הדרישה דמוכח ברא"ש דאף לרשב"ם א"צ חזקה בקמי דידי ודלא כביאור הטור ברשב"ם</w:t>
      </w:r>
      <w:bookmarkEnd w:id="10194"/>
      <w:bookmarkEnd w:id="10195"/>
      <w:bookmarkEnd w:id="10196"/>
      <w:bookmarkEnd w:id="10197"/>
      <w:r>
        <w:rPr>
          <w:rFonts w:hint="cs"/>
          <w:rtl/>
        </w:rPr>
        <w:t xml:space="preserve"> </w:t>
      </w:r>
    </w:p>
    <w:p w:rsidR="000E75A3" w:rsidRDefault="000E75A3" w:rsidP="007E4E81">
      <w:pPr>
        <w:pStyle w:val="a0"/>
      </w:pPr>
      <w:bookmarkStart w:id="10198" w:name="_Ref59740275"/>
      <w:r>
        <w:rPr>
          <w:rFonts w:hint="cs"/>
          <w:rtl/>
        </w:rPr>
        <w:t xml:space="preserve">אך הקשה </w:t>
      </w:r>
      <w:r w:rsidRPr="002101CD">
        <w:rPr>
          <w:rStyle w:val="af9"/>
          <w:rFonts w:hint="cs"/>
          <w:rtl/>
        </w:rPr>
        <w:t>הדרישה</w:t>
      </w:r>
      <w:r>
        <w:rPr>
          <w:rFonts w:hint="cs"/>
          <w:rtl/>
        </w:rPr>
        <w:t xml:space="preserve"> דא"כ היאך כתב </w:t>
      </w:r>
      <w:r w:rsidRPr="002101CD">
        <w:rPr>
          <w:rStyle w:val="af9"/>
          <w:rFonts w:hint="cs"/>
          <w:rtl/>
        </w:rPr>
        <w:t>הרא"ש</w:t>
      </w:r>
      <w:r>
        <w:rPr>
          <w:rFonts w:hint="cs"/>
          <w:rtl/>
        </w:rPr>
        <w:t xml:space="preserve"> </w:t>
      </w:r>
      <w:r w:rsidRPr="001A1EF1">
        <w:rPr>
          <w:rStyle w:val="af7"/>
          <w:rFonts w:eastAsia="Guttman Hodes" w:hint="cs"/>
          <w:rtl/>
        </w:rPr>
        <w:t xml:space="preserve">(עי' אות </w:t>
      </w:r>
      <w:r w:rsidRPr="001A1EF1">
        <w:rPr>
          <w:rStyle w:val="af7"/>
          <w:rFonts w:eastAsia="Guttman Hodes"/>
          <w:rtl/>
        </w:rPr>
        <w:fldChar w:fldCharType="begin"/>
      </w:r>
      <w:r w:rsidRPr="001A1EF1">
        <w:rPr>
          <w:rStyle w:val="af7"/>
          <w:rFonts w:eastAsia="Guttman Hodes"/>
          <w:rtl/>
        </w:rPr>
        <w:instrText xml:space="preserve"> </w:instrText>
      </w:r>
      <w:r w:rsidRPr="001A1EF1">
        <w:rPr>
          <w:rStyle w:val="af7"/>
          <w:rFonts w:eastAsia="Guttman Hodes" w:hint="cs"/>
        </w:rPr>
        <w:instrText>REF</w:instrText>
      </w:r>
      <w:r w:rsidRPr="001A1EF1">
        <w:rPr>
          <w:rStyle w:val="af7"/>
          <w:rFonts w:eastAsia="Guttman Hodes" w:hint="cs"/>
          <w:rtl/>
        </w:rPr>
        <w:instrText xml:space="preserve"> _</w:instrText>
      </w:r>
      <w:r w:rsidRPr="001A1EF1">
        <w:rPr>
          <w:rStyle w:val="af7"/>
          <w:rFonts w:eastAsia="Guttman Hodes" w:hint="cs"/>
        </w:rPr>
        <w:instrText>Ref59700892 \r \h</w:instrText>
      </w:r>
      <w:r w:rsidRPr="001A1EF1">
        <w:rPr>
          <w:rStyle w:val="af7"/>
          <w:rFonts w:eastAsia="Guttman Hodes"/>
          <w:rtl/>
        </w:rPr>
        <w:instrText xml:space="preserve"> </w:instrText>
      </w:r>
      <w:r w:rsidRPr="001A1EF1">
        <w:rPr>
          <w:rStyle w:val="af7"/>
          <w:rFonts w:eastAsia="Guttman Hodes"/>
          <w:rtl/>
        </w:rPr>
      </w:r>
      <w:r w:rsidRPr="001A1EF1">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1A1EF1">
        <w:rPr>
          <w:rStyle w:val="af7"/>
          <w:rFonts w:eastAsia="Guttman Hodes"/>
          <w:rtl/>
        </w:rPr>
        <w:fldChar w:fldCharType="end"/>
      </w:r>
      <w:r>
        <w:rPr>
          <w:rFonts w:hint="cs"/>
          <w:rtl/>
        </w:rPr>
        <w:t xml:space="preserve"> בסוף דבריו דכן פירש </w:t>
      </w:r>
      <w:r w:rsidRPr="0088110C">
        <w:rPr>
          <w:rStyle w:val="af9"/>
          <w:rFonts w:hint="cs"/>
          <w:rtl/>
        </w:rPr>
        <w:t>הרשב"ם</w:t>
      </w:r>
      <w:r>
        <w:rPr>
          <w:rFonts w:hint="cs"/>
          <w:rtl/>
        </w:rPr>
        <w:t xml:space="preserve">, הא לדעת </w:t>
      </w:r>
      <w:r w:rsidRPr="0088110C">
        <w:rPr>
          <w:rStyle w:val="af9"/>
          <w:rFonts w:hint="cs"/>
          <w:rtl/>
        </w:rPr>
        <w:t>הרשב"ם</w:t>
      </w:r>
      <w:r>
        <w:rPr>
          <w:rFonts w:hint="cs"/>
          <w:rtl/>
        </w:rPr>
        <w:t xml:space="preserve"> ביאר </w:t>
      </w:r>
      <w:r w:rsidRPr="0088110C">
        <w:rPr>
          <w:rStyle w:val="af9"/>
          <w:rFonts w:hint="cs"/>
          <w:rtl/>
        </w:rPr>
        <w:t>הטור</w:t>
      </w:r>
      <w:r>
        <w:rPr>
          <w:rFonts w:hint="cs"/>
          <w:rtl/>
        </w:rPr>
        <w:t xml:space="preserve"> </w:t>
      </w:r>
      <w:r w:rsidRPr="001A1EF1">
        <w:rPr>
          <w:rStyle w:val="af7"/>
          <w:rFonts w:eastAsia="Guttman Hodes" w:hint="cs"/>
          <w:rtl/>
        </w:rPr>
        <w:t xml:space="preserve">(עי' אות </w:t>
      </w:r>
      <w:r w:rsidRPr="001A1EF1">
        <w:rPr>
          <w:rStyle w:val="af7"/>
          <w:rFonts w:eastAsia="Guttman Hodes"/>
          <w:rtl/>
        </w:rPr>
        <w:fldChar w:fldCharType="begin"/>
      </w:r>
      <w:r w:rsidRPr="001A1EF1">
        <w:rPr>
          <w:rStyle w:val="af7"/>
          <w:rFonts w:eastAsia="Guttman Hodes"/>
          <w:rtl/>
        </w:rPr>
        <w:instrText xml:space="preserve"> </w:instrText>
      </w:r>
      <w:r w:rsidRPr="001A1EF1">
        <w:rPr>
          <w:rStyle w:val="af7"/>
          <w:rFonts w:eastAsia="Guttman Hodes" w:hint="cs"/>
        </w:rPr>
        <w:instrText>REF</w:instrText>
      </w:r>
      <w:r w:rsidRPr="001A1EF1">
        <w:rPr>
          <w:rStyle w:val="af7"/>
          <w:rFonts w:eastAsia="Guttman Hodes" w:hint="cs"/>
          <w:rtl/>
        </w:rPr>
        <w:instrText xml:space="preserve"> _</w:instrText>
      </w:r>
      <w:r w:rsidRPr="001A1EF1">
        <w:rPr>
          <w:rStyle w:val="af7"/>
          <w:rFonts w:eastAsia="Guttman Hodes" w:hint="cs"/>
        </w:rPr>
        <w:instrText>Ref59651096 \r \h</w:instrText>
      </w:r>
      <w:r w:rsidRPr="001A1EF1">
        <w:rPr>
          <w:rStyle w:val="af7"/>
          <w:rFonts w:eastAsia="Guttman Hodes"/>
          <w:rtl/>
        </w:rPr>
        <w:instrText xml:space="preserve"> </w:instrText>
      </w:r>
      <w:r w:rsidRPr="001A1EF1">
        <w:rPr>
          <w:rStyle w:val="af7"/>
          <w:rFonts w:eastAsia="Guttman Hodes"/>
          <w:rtl/>
        </w:rPr>
      </w:r>
      <w:r w:rsidRPr="001A1EF1">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1A1EF1">
        <w:rPr>
          <w:rStyle w:val="af7"/>
          <w:rFonts w:eastAsia="Guttman Hodes"/>
          <w:rtl/>
        </w:rPr>
        <w:fldChar w:fldCharType="end"/>
      </w:r>
      <w:r w:rsidRPr="0082126F">
        <w:rPr>
          <w:rFonts w:hint="cs"/>
          <w:rtl/>
        </w:rPr>
        <w:t xml:space="preserve"> </w:t>
      </w:r>
      <w:r>
        <w:rPr>
          <w:rFonts w:hint="cs"/>
          <w:rtl/>
        </w:rPr>
        <w:t xml:space="preserve">דהוא נאמן בטענת קמי דידי זבנה מינך, רק כשיש לו חזקת ג"ש, ועוד הקשה </w:t>
      </w:r>
      <w:r w:rsidRPr="0088110C">
        <w:rPr>
          <w:rStyle w:val="af9"/>
          <w:rFonts w:hint="cs"/>
          <w:rtl/>
        </w:rPr>
        <w:t>הדרישה</w:t>
      </w:r>
      <w:r>
        <w:rPr>
          <w:rFonts w:hint="cs"/>
          <w:rtl/>
        </w:rPr>
        <w:t xml:space="preserve"> דכיון </w:t>
      </w:r>
      <w:r w:rsidRPr="002101CD">
        <w:rPr>
          <w:rStyle w:val="af9"/>
          <w:rFonts w:hint="cs"/>
          <w:rtl/>
        </w:rPr>
        <w:t>דהרא"ש</w:t>
      </w:r>
      <w:r>
        <w:rPr>
          <w:rFonts w:hint="cs"/>
          <w:rtl/>
        </w:rPr>
        <w:t xml:space="preserve"> הביא את דברי </w:t>
      </w:r>
      <w:r w:rsidRPr="002101CD">
        <w:rPr>
          <w:rStyle w:val="af9"/>
          <w:rFonts w:hint="cs"/>
          <w:rtl/>
        </w:rPr>
        <w:t>הרשב"ם</w:t>
      </w:r>
      <w:r>
        <w:rPr>
          <w:rFonts w:hint="cs"/>
          <w:rtl/>
        </w:rPr>
        <w:t xml:space="preserve">, אמאי לא הביא גם את דבריו דצריך גם חזקה וגם טענת ברי, אלא כתב </w:t>
      </w:r>
      <w:r w:rsidRPr="002101CD">
        <w:rPr>
          <w:rStyle w:val="af9"/>
          <w:rFonts w:hint="cs"/>
          <w:rtl/>
        </w:rPr>
        <w:t>הדרישה</w:t>
      </w:r>
      <w:r>
        <w:rPr>
          <w:rFonts w:hint="cs"/>
          <w:rtl/>
        </w:rPr>
        <w:t xml:space="preserve"> </w:t>
      </w:r>
      <w:r w:rsidRPr="001A1EF1">
        <w:rPr>
          <w:rStyle w:val="af7"/>
          <w:rFonts w:eastAsia="Guttman Hodes" w:hint="cs"/>
          <w:rtl/>
        </w:rPr>
        <w:t xml:space="preserve">(סי' קמ"ו סוס"ק כ"ד ד"ה ולולי פה) </w:t>
      </w:r>
      <w:r>
        <w:rPr>
          <w:rFonts w:hint="cs"/>
          <w:rtl/>
        </w:rPr>
        <w:t xml:space="preserve">דמשמע דביאר </w:t>
      </w:r>
      <w:r w:rsidRPr="002101CD">
        <w:rPr>
          <w:rStyle w:val="af9"/>
          <w:rFonts w:hint="cs"/>
          <w:rtl/>
        </w:rPr>
        <w:t xml:space="preserve">להרא"ש </w:t>
      </w:r>
      <w:r w:rsidRPr="001A1EF1">
        <w:rPr>
          <w:rFonts w:hint="cs"/>
          <w:rtl/>
        </w:rPr>
        <w:t xml:space="preserve">בדעת </w:t>
      </w:r>
      <w:r>
        <w:rPr>
          <w:rStyle w:val="af9"/>
          <w:rFonts w:hint="cs"/>
          <w:rtl/>
        </w:rPr>
        <w:t>ה</w:t>
      </w:r>
      <w:r w:rsidRPr="002101CD">
        <w:rPr>
          <w:rStyle w:val="af9"/>
          <w:rFonts w:hint="cs"/>
          <w:rtl/>
        </w:rPr>
        <w:t>רשב"ם</w:t>
      </w:r>
      <w:r>
        <w:rPr>
          <w:rFonts w:hint="cs"/>
          <w:rtl/>
        </w:rPr>
        <w:t xml:space="preserve"> דהוא נאמן בטענת קמי דידי זבנה מינך אף כשאין לו חזקת ג"ש, [וכדעת </w:t>
      </w:r>
      <w:r w:rsidRPr="00966600">
        <w:rPr>
          <w:rStyle w:val="af9"/>
          <w:rFonts w:hint="cs"/>
          <w:rtl/>
        </w:rPr>
        <w:t>הש"ך</w:t>
      </w:r>
      <w:r>
        <w:rPr>
          <w:rFonts w:hint="cs"/>
          <w:rtl/>
        </w:rPr>
        <w:t xml:space="preserve"> </w:t>
      </w:r>
      <w:r w:rsidRPr="00966600">
        <w:rPr>
          <w:rStyle w:val="af7"/>
          <w:rFonts w:eastAsia="Guttman Hodes" w:hint="cs"/>
          <w:rtl/>
        </w:rPr>
        <w:t xml:space="preserve">(עי' אות </w:t>
      </w:r>
      <w:r w:rsidRPr="00966600">
        <w:rPr>
          <w:rStyle w:val="af7"/>
          <w:rFonts w:eastAsia="Guttman Hodes"/>
          <w:rtl/>
        </w:rPr>
        <w:fldChar w:fldCharType="begin"/>
      </w:r>
      <w:r w:rsidRPr="00966600">
        <w:rPr>
          <w:rStyle w:val="af7"/>
          <w:rFonts w:eastAsia="Guttman Hodes"/>
          <w:rtl/>
        </w:rPr>
        <w:instrText xml:space="preserve"> </w:instrText>
      </w:r>
      <w:r w:rsidRPr="00966600">
        <w:rPr>
          <w:rStyle w:val="af7"/>
          <w:rFonts w:eastAsia="Guttman Hodes" w:hint="cs"/>
        </w:rPr>
        <w:instrText>REF</w:instrText>
      </w:r>
      <w:r w:rsidRPr="00966600">
        <w:rPr>
          <w:rStyle w:val="af7"/>
          <w:rFonts w:eastAsia="Guttman Hodes" w:hint="cs"/>
          <w:rtl/>
        </w:rPr>
        <w:instrText xml:space="preserve"> _</w:instrText>
      </w:r>
      <w:r w:rsidRPr="00966600">
        <w:rPr>
          <w:rStyle w:val="af7"/>
          <w:rFonts w:eastAsia="Guttman Hodes" w:hint="cs"/>
        </w:rPr>
        <w:instrText>Ref59613710 \r \h</w:instrText>
      </w:r>
      <w:r w:rsidRPr="00966600">
        <w:rPr>
          <w:rStyle w:val="af7"/>
          <w:rFonts w:eastAsia="Guttman Hodes"/>
          <w:rtl/>
        </w:rPr>
        <w:instrText xml:space="preserve"> </w:instrText>
      </w:r>
      <w:r w:rsidRPr="00966600">
        <w:rPr>
          <w:rStyle w:val="af7"/>
          <w:rFonts w:eastAsia="Guttman Hodes"/>
          <w:rtl/>
        </w:rPr>
      </w:r>
      <w:r w:rsidRPr="00966600">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966600">
        <w:rPr>
          <w:rStyle w:val="af7"/>
          <w:rFonts w:eastAsia="Guttman Hodes"/>
          <w:rtl/>
        </w:rPr>
        <w:fldChar w:fldCharType="end"/>
      </w:r>
      <w:r>
        <w:rPr>
          <w:rFonts w:hint="cs"/>
          <w:rtl/>
        </w:rPr>
        <w:t xml:space="preserve">], ועי' במ"ש </w:t>
      </w:r>
      <w:r w:rsidRPr="00382104">
        <w:rPr>
          <w:rStyle w:val="af9"/>
          <w:rFonts w:hint="cs"/>
          <w:rtl/>
        </w:rPr>
        <w:t>הדרישה</w:t>
      </w:r>
      <w:r>
        <w:rPr>
          <w:rFonts w:hint="cs"/>
          <w:rtl/>
        </w:rPr>
        <w:t xml:space="preserve"> </w:t>
      </w:r>
      <w:r w:rsidRPr="0045554B">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Ref59740307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Pr>
          <w:rStyle w:val="af7"/>
          <w:rFonts w:eastAsia="Guttman Hodes"/>
          <w:rtl/>
        </w:rPr>
        <w:fldChar w:fldCharType="end"/>
      </w:r>
      <w:r w:rsidRPr="0045554B">
        <w:rPr>
          <w:rStyle w:val="af7"/>
          <w:rFonts w:eastAsia="Guttman Hodes" w:hint="cs"/>
          <w:rtl/>
        </w:rPr>
        <w:t xml:space="preserve"> </w:t>
      </w:r>
      <w:r>
        <w:rPr>
          <w:rFonts w:hint="cs"/>
          <w:rtl/>
        </w:rPr>
        <w:t xml:space="preserve">דכן משמע מדברי </w:t>
      </w:r>
      <w:r w:rsidRPr="00382104">
        <w:rPr>
          <w:rStyle w:val="af9"/>
          <w:rFonts w:hint="cs"/>
          <w:rtl/>
        </w:rPr>
        <w:t>הרא"ש</w:t>
      </w:r>
      <w:r>
        <w:rPr>
          <w:rFonts w:hint="cs"/>
          <w:rtl/>
        </w:rPr>
        <w:t>.</w:t>
      </w:r>
      <w:bookmarkEnd w:id="10198"/>
    </w:p>
    <w:p w:rsidR="000E75A3" w:rsidRDefault="000E75A3" w:rsidP="000E75A3">
      <w:pPr>
        <w:pStyle w:val="a3"/>
        <w:rPr>
          <w:rtl/>
        </w:rPr>
      </w:pPr>
      <w:bookmarkStart w:id="10199" w:name="_Toc59741725"/>
      <w:bookmarkStart w:id="10200" w:name="_Toc59786860"/>
      <w:bookmarkStart w:id="10201" w:name="_Toc59802671"/>
      <w:bookmarkStart w:id="10202" w:name="_Toc59916232"/>
      <w:r>
        <w:rPr>
          <w:rFonts w:hint="cs"/>
          <w:rtl/>
        </w:rPr>
        <w:t>דברי הדרישה דצ"ל דרק כשהודה המחזיק מעצמו ס"ל לרשב"ם דצריך חזקה בקמי דידי</w:t>
      </w:r>
      <w:bookmarkEnd w:id="10199"/>
      <w:bookmarkEnd w:id="10200"/>
      <w:bookmarkEnd w:id="10201"/>
      <w:bookmarkEnd w:id="10202"/>
    </w:p>
    <w:p w:rsidR="000E75A3" w:rsidRDefault="000E75A3" w:rsidP="007E4E81">
      <w:pPr>
        <w:pStyle w:val="a0"/>
        <w:rPr>
          <w:rtl/>
        </w:rPr>
      </w:pPr>
      <w:r>
        <w:rPr>
          <w:rFonts w:hint="cs"/>
          <w:rtl/>
        </w:rPr>
        <w:t xml:space="preserve">וכתב </w:t>
      </w:r>
      <w:r w:rsidRPr="00881206">
        <w:rPr>
          <w:rStyle w:val="af9"/>
          <w:rFonts w:hint="cs"/>
          <w:rtl/>
        </w:rPr>
        <w:t>הדרישה</w:t>
      </w:r>
      <w:r>
        <w:rPr>
          <w:rFonts w:hint="cs"/>
          <w:rtl/>
        </w:rPr>
        <w:t xml:space="preserve"> דא"כ צ"ל דמ"ש </w:t>
      </w:r>
      <w:r w:rsidRPr="00881206">
        <w:rPr>
          <w:rStyle w:val="af9"/>
          <w:rFonts w:hint="cs"/>
          <w:rtl/>
        </w:rPr>
        <w:t>הרשב"ם</w:t>
      </w:r>
      <w:r>
        <w:rPr>
          <w:rFonts w:hint="cs"/>
          <w:rtl/>
        </w:rPr>
        <w:t xml:space="preserve"> </w:t>
      </w:r>
      <w:r w:rsidRPr="0045375F">
        <w:rPr>
          <w:rStyle w:val="af7"/>
          <w:rFonts w:eastAsia="Guttman Hodes" w:hint="cs"/>
          <w:rtl/>
        </w:rPr>
        <w:t xml:space="preserve">(עי' אות </w:t>
      </w:r>
      <w:r w:rsidRPr="0045375F">
        <w:rPr>
          <w:rStyle w:val="af7"/>
          <w:rFonts w:eastAsia="Guttman Hodes"/>
          <w:rtl/>
        </w:rPr>
        <w:fldChar w:fldCharType="begin"/>
      </w:r>
      <w:r w:rsidRPr="0045375F">
        <w:rPr>
          <w:rStyle w:val="af7"/>
          <w:rFonts w:eastAsia="Guttman Hodes"/>
          <w:rtl/>
        </w:rPr>
        <w:instrText xml:space="preserve"> </w:instrText>
      </w:r>
      <w:r w:rsidRPr="0045375F">
        <w:rPr>
          <w:rStyle w:val="af7"/>
          <w:rFonts w:eastAsia="Guttman Hodes" w:hint="cs"/>
        </w:rPr>
        <w:instrText>REF</w:instrText>
      </w:r>
      <w:r w:rsidRPr="0045375F">
        <w:rPr>
          <w:rStyle w:val="af7"/>
          <w:rFonts w:eastAsia="Guttman Hodes" w:hint="cs"/>
          <w:rtl/>
        </w:rPr>
        <w:instrText xml:space="preserve"> _</w:instrText>
      </w:r>
      <w:r w:rsidRPr="0045375F">
        <w:rPr>
          <w:rStyle w:val="af7"/>
          <w:rFonts w:eastAsia="Guttman Hodes" w:hint="cs"/>
        </w:rPr>
        <w:instrText>Ref59546095 \r \h</w:instrText>
      </w:r>
      <w:r w:rsidRPr="0045375F">
        <w:rPr>
          <w:rStyle w:val="af7"/>
          <w:rFonts w:eastAsia="Guttman Hodes"/>
          <w:rtl/>
        </w:rPr>
        <w:instrText xml:space="preserve"> </w:instrText>
      </w:r>
      <w:r w:rsidRPr="0045375F">
        <w:rPr>
          <w:rStyle w:val="af7"/>
          <w:rFonts w:eastAsia="Guttman Hodes"/>
          <w:rtl/>
        </w:rPr>
      </w:r>
      <w:r w:rsidRPr="0045375F">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45375F">
        <w:rPr>
          <w:rStyle w:val="af7"/>
          <w:rFonts w:eastAsia="Guttman Hodes"/>
          <w:rtl/>
        </w:rPr>
        <w:fldChar w:fldCharType="end"/>
      </w:r>
      <w:r>
        <w:rPr>
          <w:rFonts w:hint="cs"/>
          <w:rtl/>
        </w:rPr>
        <w:t xml:space="preserve"> שצריך גם חזקה היינו דוקא באופן שהמחזיק הודה בעצמו שיודע דהקרקע הייתה של המערער, ולא רק שמע כן מפי המוכר, אבל כששמע כן רק מפי המוכר, א"כ אף שראה שהמוכר קנה מהמערער, אי"ז נחשב שמודה בעצמו, אלא הודאתו היא רק מפי המוכר, ובכה"ג סגי שטוען קמי דידי זבנה מינך, וא"צ גם חזקת ג"ש.</w:t>
      </w:r>
    </w:p>
    <w:p w:rsidR="000E75A3" w:rsidRDefault="000E75A3" w:rsidP="000E75A3">
      <w:pPr>
        <w:pStyle w:val="a3"/>
        <w:rPr>
          <w:rtl/>
        </w:rPr>
      </w:pPr>
      <w:bookmarkStart w:id="10203" w:name="_Toc59741726"/>
      <w:bookmarkStart w:id="10204" w:name="_Toc59786861"/>
      <w:bookmarkStart w:id="10205" w:name="_Toc59802672"/>
      <w:bookmarkStart w:id="10206" w:name="_Toc59916233"/>
      <w:r>
        <w:rPr>
          <w:rFonts w:hint="cs"/>
          <w:rtl/>
        </w:rPr>
        <w:t>דברי הדרישה דהרא"ש ביאר ברשב"ם דבקמי דידי סגי דטוען המחזיק שיש לו חזקה בלי עדים</w:t>
      </w:r>
      <w:bookmarkEnd w:id="10203"/>
      <w:bookmarkEnd w:id="10204"/>
      <w:bookmarkEnd w:id="10205"/>
      <w:bookmarkEnd w:id="10206"/>
    </w:p>
    <w:p w:rsidR="000E75A3" w:rsidRDefault="000E75A3" w:rsidP="007E4E81">
      <w:pPr>
        <w:pStyle w:val="a0"/>
        <w:rPr>
          <w:rtl/>
        </w:rPr>
      </w:pPr>
      <w:bookmarkStart w:id="10207" w:name="_Ref59740999"/>
      <w:r>
        <w:rPr>
          <w:rFonts w:hint="cs"/>
          <w:rtl/>
        </w:rPr>
        <w:t xml:space="preserve">אך כתב </w:t>
      </w:r>
      <w:r w:rsidRPr="00881206">
        <w:rPr>
          <w:rStyle w:val="af9"/>
          <w:rFonts w:hint="cs"/>
          <w:rtl/>
        </w:rPr>
        <w:t>הדרישה</w:t>
      </w:r>
      <w:r>
        <w:rPr>
          <w:rFonts w:hint="cs"/>
          <w:rtl/>
        </w:rPr>
        <w:t xml:space="preserve"> דכיון </w:t>
      </w:r>
      <w:r w:rsidRPr="00881206">
        <w:rPr>
          <w:rStyle w:val="af9"/>
          <w:rFonts w:hint="cs"/>
          <w:rtl/>
        </w:rPr>
        <w:t>דהטור</w:t>
      </w:r>
      <w:r>
        <w:rPr>
          <w:rFonts w:hint="cs"/>
          <w:rtl/>
        </w:rPr>
        <w:t xml:space="preserve"> </w:t>
      </w:r>
      <w:r w:rsidRPr="001A1EF1">
        <w:rPr>
          <w:rStyle w:val="af7"/>
          <w:rFonts w:eastAsia="Guttman Hodes" w:hint="cs"/>
          <w:rtl/>
        </w:rPr>
        <w:t xml:space="preserve">(עי' אות </w:t>
      </w:r>
      <w:r w:rsidRPr="001A1EF1">
        <w:rPr>
          <w:rStyle w:val="af7"/>
          <w:rFonts w:eastAsia="Guttman Hodes"/>
          <w:rtl/>
        </w:rPr>
        <w:fldChar w:fldCharType="begin"/>
      </w:r>
      <w:r w:rsidRPr="001A1EF1">
        <w:rPr>
          <w:rStyle w:val="af7"/>
          <w:rFonts w:eastAsia="Guttman Hodes"/>
          <w:rtl/>
        </w:rPr>
        <w:instrText xml:space="preserve"> </w:instrText>
      </w:r>
      <w:r w:rsidRPr="001A1EF1">
        <w:rPr>
          <w:rStyle w:val="af7"/>
          <w:rFonts w:eastAsia="Guttman Hodes" w:hint="cs"/>
        </w:rPr>
        <w:instrText>REF</w:instrText>
      </w:r>
      <w:r w:rsidRPr="001A1EF1">
        <w:rPr>
          <w:rStyle w:val="af7"/>
          <w:rFonts w:eastAsia="Guttman Hodes" w:hint="cs"/>
          <w:rtl/>
        </w:rPr>
        <w:instrText xml:space="preserve"> _</w:instrText>
      </w:r>
      <w:r w:rsidRPr="001A1EF1">
        <w:rPr>
          <w:rStyle w:val="af7"/>
          <w:rFonts w:eastAsia="Guttman Hodes" w:hint="cs"/>
        </w:rPr>
        <w:instrText>Ref59651096 \r \h</w:instrText>
      </w:r>
      <w:r w:rsidRPr="001A1EF1">
        <w:rPr>
          <w:rStyle w:val="af7"/>
          <w:rFonts w:eastAsia="Guttman Hodes"/>
          <w:rtl/>
        </w:rPr>
        <w:instrText xml:space="preserve"> </w:instrText>
      </w:r>
      <w:r w:rsidRPr="001A1EF1">
        <w:rPr>
          <w:rStyle w:val="af7"/>
          <w:rFonts w:eastAsia="Guttman Hodes"/>
          <w:rtl/>
        </w:rPr>
      </w:r>
      <w:r w:rsidRPr="001A1EF1">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1A1EF1">
        <w:rPr>
          <w:rStyle w:val="af7"/>
          <w:rFonts w:eastAsia="Guttman Hodes"/>
          <w:rtl/>
        </w:rPr>
        <w:fldChar w:fldCharType="end"/>
      </w:r>
      <w:r w:rsidRPr="0082126F">
        <w:rPr>
          <w:rFonts w:hint="cs"/>
          <w:rtl/>
        </w:rPr>
        <w:t xml:space="preserve"> </w:t>
      </w:r>
      <w:r w:rsidRPr="00881206">
        <w:rPr>
          <w:rStyle w:val="af9"/>
          <w:rFonts w:hint="cs"/>
          <w:rtl/>
        </w:rPr>
        <w:t>והתוס'</w:t>
      </w:r>
      <w:r>
        <w:rPr>
          <w:rFonts w:hint="cs"/>
          <w:rtl/>
        </w:rPr>
        <w:t xml:space="preserve"> </w:t>
      </w:r>
      <w:r w:rsidRPr="009C79AE">
        <w:rPr>
          <w:rStyle w:val="af7"/>
          <w:rFonts w:eastAsia="Guttman Hodes" w:hint="cs"/>
          <w:rtl/>
        </w:rPr>
        <w:t xml:space="preserve">(עי' אות </w:t>
      </w:r>
      <w:r w:rsidRPr="009C79AE">
        <w:rPr>
          <w:rStyle w:val="af7"/>
          <w:rFonts w:eastAsia="Guttman Hodes"/>
          <w:rtl/>
        </w:rPr>
        <w:fldChar w:fldCharType="begin"/>
      </w:r>
      <w:r w:rsidRPr="009C79AE">
        <w:rPr>
          <w:rStyle w:val="af7"/>
          <w:rFonts w:eastAsia="Guttman Hodes"/>
          <w:rtl/>
        </w:rPr>
        <w:instrText xml:space="preserve"> </w:instrText>
      </w:r>
      <w:r w:rsidRPr="009C79AE">
        <w:rPr>
          <w:rStyle w:val="af7"/>
          <w:rFonts w:eastAsia="Guttman Hodes" w:hint="cs"/>
        </w:rPr>
        <w:instrText>REF</w:instrText>
      </w:r>
      <w:r w:rsidRPr="009C79AE">
        <w:rPr>
          <w:rStyle w:val="af7"/>
          <w:rFonts w:eastAsia="Guttman Hodes" w:hint="cs"/>
          <w:rtl/>
        </w:rPr>
        <w:instrText xml:space="preserve"> _</w:instrText>
      </w:r>
      <w:r w:rsidRPr="009C79AE">
        <w:rPr>
          <w:rStyle w:val="af7"/>
          <w:rFonts w:eastAsia="Guttman Hodes" w:hint="cs"/>
        </w:rPr>
        <w:instrText>Ref59552913 \r \h</w:instrText>
      </w:r>
      <w:r w:rsidRPr="009C79AE">
        <w:rPr>
          <w:rStyle w:val="af7"/>
          <w:rFonts w:eastAsia="Guttman Hodes"/>
          <w:rtl/>
        </w:rPr>
        <w:instrText xml:space="preserve"> </w:instrText>
      </w:r>
      <w:r w:rsidRPr="009C79AE">
        <w:rPr>
          <w:rStyle w:val="af7"/>
          <w:rFonts w:eastAsia="Guttman Hodes"/>
          <w:rtl/>
        </w:rPr>
      </w:r>
      <w:r w:rsidRPr="009C79AE">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sidRPr="009C79AE">
        <w:rPr>
          <w:rStyle w:val="af7"/>
          <w:rFonts w:eastAsia="Guttman Hodes"/>
          <w:rtl/>
        </w:rPr>
        <w:fldChar w:fldCharType="end"/>
      </w:r>
      <w:r>
        <w:rPr>
          <w:rFonts w:hint="cs"/>
          <w:rtl/>
        </w:rPr>
        <w:t xml:space="preserve"> ס"ל </w:t>
      </w:r>
      <w:r w:rsidRPr="009E5036">
        <w:rPr>
          <w:rStyle w:val="af9"/>
          <w:rFonts w:hint="cs"/>
          <w:rtl/>
        </w:rPr>
        <w:t>דלרשב"ם</w:t>
      </w:r>
      <w:r>
        <w:rPr>
          <w:rFonts w:hint="cs"/>
          <w:rtl/>
        </w:rPr>
        <w:t xml:space="preserve"> צריך גם טענת קמי דידי וגם חזקת ג"ש, א"כ צ"ל דאף </w:t>
      </w:r>
      <w:r w:rsidRPr="009E5036">
        <w:rPr>
          <w:rStyle w:val="af9"/>
          <w:rFonts w:hint="cs"/>
          <w:rtl/>
        </w:rPr>
        <w:t>הרא"ש</w:t>
      </w:r>
      <w:r>
        <w:rPr>
          <w:rFonts w:hint="cs"/>
          <w:rtl/>
        </w:rPr>
        <w:t xml:space="preserve"> ביאר כן בדעת </w:t>
      </w:r>
      <w:r w:rsidRPr="009E5036">
        <w:rPr>
          <w:rStyle w:val="af9"/>
          <w:rFonts w:hint="cs"/>
          <w:rtl/>
        </w:rPr>
        <w:t>הרשב"ם</w:t>
      </w:r>
      <w:r>
        <w:rPr>
          <w:rFonts w:hint="cs"/>
          <w:rtl/>
        </w:rPr>
        <w:t xml:space="preserve">, וביאר </w:t>
      </w:r>
      <w:r w:rsidRPr="00881206">
        <w:rPr>
          <w:rStyle w:val="af9"/>
          <w:rFonts w:hint="cs"/>
          <w:rtl/>
        </w:rPr>
        <w:t>הדרישה</w:t>
      </w:r>
      <w:r>
        <w:rPr>
          <w:rFonts w:hint="cs"/>
          <w:rtl/>
        </w:rPr>
        <w:t xml:space="preserve"> דאפש"ל </w:t>
      </w:r>
      <w:r w:rsidRPr="00881206">
        <w:rPr>
          <w:rStyle w:val="af9"/>
          <w:rFonts w:hint="cs"/>
          <w:rtl/>
        </w:rPr>
        <w:t>דלרשב"ם</w:t>
      </w:r>
      <w:r>
        <w:rPr>
          <w:rFonts w:hint="cs"/>
          <w:rtl/>
        </w:rPr>
        <w:t xml:space="preserve"> א"צ שיהיה לו עדים על חזקת ג"ש, וסגי שהמחזיק טוען שיש לו חזקת ג"ש, דכשמודה דאין לו חזקת ג"ש, הוא כמיגו במקום עדים, כדביאר </w:t>
      </w:r>
      <w:r w:rsidRPr="00A20811">
        <w:rPr>
          <w:rStyle w:val="af9"/>
          <w:rFonts w:hint="cs"/>
          <w:rtl/>
        </w:rPr>
        <w:t>הדרישה</w:t>
      </w:r>
      <w:r>
        <w:rPr>
          <w:rFonts w:hint="cs"/>
          <w:rtl/>
        </w:rPr>
        <w:t xml:space="preserve"> </w:t>
      </w:r>
      <w:r w:rsidRPr="00AC3B30">
        <w:rPr>
          <w:rStyle w:val="af7"/>
          <w:rFonts w:eastAsia="Guttman Hodes" w:hint="cs"/>
          <w:rtl/>
        </w:rPr>
        <w:t xml:space="preserve">(עי' אות </w:t>
      </w:r>
      <w:r w:rsidRPr="00AC3B30">
        <w:rPr>
          <w:rStyle w:val="af7"/>
          <w:rFonts w:eastAsia="Guttman Hodes"/>
          <w:rtl/>
        </w:rPr>
        <w:fldChar w:fldCharType="begin"/>
      </w:r>
      <w:r w:rsidRPr="00AC3B30">
        <w:rPr>
          <w:rStyle w:val="af7"/>
          <w:rFonts w:eastAsia="Guttman Hodes"/>
          <w:rtl/>
        </w:rPr>
        <w:instrText xml:space="preserve"> </w:instrText>
      </w:r>
      <w:r w:rsidRPr="00AC3B30">
        <w:rPr>
          <w:rStyle w:val="af7"/>
          <w:rFonts w:eastAsia="Guttman Hodes" w:hint="cs"/>
        </w:rPr>
        <w:instrText>REF</w:instrText>
      </w:r>
      <w:r w:rsidRPr="00AC3B30">
        <w:rPr>
          <w:rStyle w:val="af7"/>
          <w:rFonts w:eastAsia="Guttman Hodes" w:hint="cs"/>
          <w:rtl/>
        </w:rPr>
        <w:instrText xml:space="preserve"> _</w:instrText>
      </w:r>
      <w:r w:rsidRPr="00AC3B30">
        <w:rPr>
          <w:rStyle w:val="af7"/>
          <w:rFonts w:eastAsia="Guttman Hodes" w:hint="cs"/>
        </w:rPr>
        <w:instrText>Ref59700524 \r \h</w:instrText>
      </w:r>
      <w:r w:rsidRPr="00AC3B30">
        <w:rPr>
          <w:rStyle w:val="af7"/>
          <w:rFonts w:eastAsia="Guttman Hodes"/>
          <w:rtl/>
        </w:rPr>
        <w:instrText xml:space="preserve"> </w:instrText>
      </w:r>
      <w:r w:rsidRPr="00AC3B30">
        <w:rPr>
          <w:rStyle w:val="af7"/>
          <w:rFonts w:eastAsia="Guttman Hodes"/>
          <w:rtl/>
        </w:rPr>
      </w:r>
      <w:r w:rsidRPr="00AC3B30">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AC3B30">
        <w:rPr>
          <w:rStyle w:val="af7"/>
          <w:rFonts w:eastAsia="Guttman Hodes"/>
          <w:rtl/>
        </w:rPr>
        <w:fldChar w:fldCharType="end"/>
      </w:r>
      <w:r>
        <w:rPr>
          <w:rFonts w:hint="cs"/>
          <w:rtl/>
        </w:rPr>
        <w:t xml:space="preserve"> דאמרינן ליה אחוי שטרך, ולכן כתב </w:t>
      </w:r>
      <w:r w:rsidRPr="00A20811">
        <w:rPr>
          <w:rStyle w:val="af9"/>
          <w:rFonts w:hint="cs"/>
          <w:rtl/>
        </w:rPr>
        <w:t>הרא"ש</w:t>
      </w:r>
      <w:r w:rsidRPr="00AC3B30">
        <w:rPr>
          <w:rStyle w:val="af7"/>
          <w:rFonts w:eastAsia="Guttman Hodes" w:hint="cs"/>
          <w:rtl/>
        </w:rPr>
        <w:t xml:space="preserve"> (עי' אות </w:t>
      </w:r>
      <w:r w:rsidRPr="00AC3B30">
        <w:rPr>
          <w:rStyle w:val="af7"/>
          <w:rFonts w:eastAsia="Guttman Hodes"/>
          <w:rtl/>
        </w:rPr>
        <w:fldChar w:fldCharType="begin"/>
      </w:r>
      <w:r w:rsidRPr="00AC3B30">
        <w:rPr>
          <w:rStyle w:val="af7"/>
          <w:rFonts w:eastAsia="Guttman Hodes"/>
          <w:rtl/>
        </w:rPr>
        <w:instrText xml:space="preserve"> </w:instrText>
      </w:r>
      <w:r w:rsidRPr="00AC3B30">
        <w:rPr>
          <w:rStyle w:val="af7"/>
          <w:rFonts w:eastAsia="Guttman Hodes" w:hint="cs"/>
        </w:rPr>
        <w:instrText>REF</w:instrText>
      </w:r>
      <w:r w:rsidRPr="00AC3B30">
        <w:rPr>
          <w:rStyle w:val="af7"/>
          <w:rFonts w:eastAsia="Guttman Hodes" w:hint="cs"/>
          <w:rtl/>
        </w:rPr>
        <w:instrText xml:space="preserve"> _</w:instrText>
      </w:r>
      <w:r w:rsidRPr="00AC3B30">
        <w:rPr>
          <w:rStyle w:val="af7"/>
          <w:rFonts w:eastAsia="Guttman Hodes" w:hint="cs"/>
        </w:rPr>
        <w:instrText>Ref59700892 \r \h</w:instrText>
      </w:r>
      <w:r w:rsidRPr="00AC3B30">
        <w:rPr>
          <w:rStyle w:val="af7"/>
          <w:rFonts w:eastAsia="Guttman Hodes"/>
          <w:rtl/>
        </w:rPr>
        <w:instrText xml:space="preserve"> </w:instrText>
      </w:r>
      <w:r w:rsidRPr="00AC3B30">
        <w:rPr>
          <w:rStyle w:val="af7"/>
          <w:rFonts w:eastAsia="Guttman Hodes"/>
          <w:rtl/>
        </w:rPr>
      </w:r>
      <w:r w:rsidRPr="00AC3B30">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AC3B30">
        <w:rPr>
          <w:rStyle w:val="af7"/>
          <w:rFonts w:eastAsia="Guttman Hodes"/>
          <w:rtl/>
        </w:rPr>
        <w:fldChar w:fldCharType="end"/>
      </w:r>
      <w:r w:rsidRPr="00AC3B30">
        <w:rPr>
          <w:rStyle w:val="af7"/>
          <w:rFonts w:eastAsia="Guttman Hodes" w:hint="cs"/>
          <w:rtl/>
        </w:rPr>
        <w:t xml:space="preserve"> </w:t>
      </w:r>
      <w:r w:rsidRPr="00A20811">
        <w:rPr>
          <w:rStyle w:val="af9"/>
          <w:rFonts w:hint="cs"/>
          <w:rtl/>
        </w:rPr>
        <w:t>דלרשב"ם</w:t>
      </w:r>
      <w:r>
        <w:rPr>
          <w:rFonts w:hint="cs"/>
          <w:rtl/>
        </w:rPr>
        <w:t xml:space="preserve"> כשטוען מינך זבינתה, או כשטוען קמי דידי זבנה מינך נאמן כיון שאין למערער עדים, דהא אם היה למערער עדים, לא היה המחזיק נאמן עד שיביא עדים שיש לו חזקת ג"ש, והוסיף </w:t>
      </w:r>
      <w:r w:rsidRPr="00A20811">
        <w:rPr>
          <w:rStyle w:val="af9"/>
          <w:rFonts w:hint="cs"/>
          <w:rtl/>
        </w:rPr>
        <w:t>הדרישה</w:t>
      </w:r>
      <w:r>
        <w:rPr>
          <w:rFonts w:hint="cs"/>
          <w:rtl/>
        </w:rPr>
        <w:t xml:space="preserve"> דאעפ"י </w:t>
      </w:r>
      <w:r w:rsidRPr="00A20811">
        <w:rPr>
          <w:rStyle w:val="af9"/>
          <w:rFonts w:hint="cs"/>
          <w:rtl/>
        </w:rPr>
        <w:t>שהרשב"ם</w:t>
      </w:r>
      <w:r>
        <w:rPr>
          <w:rFonts w:hint="cs"/>
          <w:rtl/>
        </w:rPr>
        <w:t xml:space="preserve"> </w:t>
      </w:r>
      <w:r w:rsidRPr="00775FC8">
        <w:rPr>
          <w:rStyle w:val="af9"/>
          <w:rFonts w:hint="cs"/>
          <w:rtl/>
        </w:rPr>
        <w:t>הרשב"ם</w:t>
      </w:r>
      <w:r>
        <w:rPr>
          <w:rFonts w:hint="cs"/>
          <w:rtl/>
        </w:rPr>
        <w:t xml:space="preserve"> </w:t>
      </w:r>
      <w:r w:rsidRPr="00091DF9">
        <w:rPr>
          <w:rStyle w:val="af7"/>
          <w:rFonts w:eastAsia="Guttman Hodes" w:hint="cs"/>
          <w:rtl/>
        </w:rPr>
        <w:t>(</w:t>
      </w:r>
      <w:r>
        <w:rPr>
          <w:rStyle w:val="af7"/>
          <w:rFonts w:eastAsia="Guttman Hodes" w:hint="cs"/>
          <w:rtl/>
        </w:rPr>
        <w:t xml:space="preserve">ריש </w:t>
      </w:r>
      <w:r w:rsidRPr="00091DF9">
        <w:rPr>
          <w:rStyle w:val="af7"/>
          <w:rFonts w:eastAsia="Guttman Hodes" w:hint="cs"/>
          <w:rtl/>
        </w:rPr>
        <w:t>ד"ה א"ל</w:t>
      </w:r>
      <w:r>
        <w:rPr>
          <w:rStyle w:val="af7"/>
          <w:rFonts w:eastAsia="Guttman Hodes" w:hint="cs"/>
          <w:rtl/>
        </w:rPr>
        <w:t>, הובא בסימן ח' אות א')</w:t>
      </w:r>
      <w:r>
        <w:rPr>
          <w:rFonts w:hint="cs"/>
          <w:rtl/>
        </w:rPr>
        <w:t xml:space="preserve"> הוכיח דאין למחזיק חזקת ג"ש, מהא דלא טען כן המחזיק, מ"מ מהא </w:t>
      </w:r>
      <w:r w:rsidRPr="00A20811">
        <w:rPr>
          <w:rStyle w:val="af9"/>
          <w:rFonts w:hint="cs"/>
          <w:rtl/>
        </w:rPr>
        <w:t>דהרא"ש</w:t>
      </w:r>
      <w:r>
        <w:rPr>
          <w:rFonts w:hint="cs"/>
          <w:rtl/>
        </w:rPr>
        <w:t xml:space="preserve"> לא הביא את דברי </w:t>
      </w:r>
      <w:r w:rsidRPr="00A20811">
        <w:rPr>
          <w:rStyle w:val="af9"/>
          <w:rFonts w:hint="cs"/>
          <w:rtl/>
        </w:rPr>
        <w:t>הרשב"ם</w:t>
      </w:r>
      <w:r>
        <w:rPr>
          <w:rFonts w:hint="cs"/>
          <w:rtl/>
        </w:rPr>
        <w:t xml:space="preserve"> הללו, א"כ מוכח דס"ל </w:t>
      </w:r>
      <w:r w:rsidRPr="00A20811">
        <w:rPr>
          <w:rStyle w:val="af9"/>
          <w:rFonts w:hint="cs"/>
          <w:rtl/>
        </w:rPr>
        <w:t>להרא"ש</w:t>
      </w:r>
      <w:r>
        <w:rPr>
          <w:rFonts w:hint="cs"/>
          <w:rtl/>
        </w:rPr>
        <w:t xml:space="preserve"> דאי"ז הוכחה.</w:t>
      </w:r>
      <w:bookmarkEnd w:id="10207"/>
    </w:p>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166"/>
    <w:bookmarkEnd w:id="10189"/>
    <w:p w:rsidR="000E75A3" w:rsidRPr="000C19E0" w:rsidRDefault="000E75A3" w:rsidP="007E4E81">
      <w:pPr>
        <w:pStyle w:val="a0"/>
        <w:numPr>
          <w:ilvl w:val="0"/>
          <w:numId w:val="0"/>
        </w:numPr>
        <w:rPr>
          <w:rtl/>
        </w:rPr>
        <w:sectPr w:rsidR="000E75A3" w:rsidRPr="000C19E0" w:rsidSect="005049E2">
          <w:type w:val="continuous"/>
          <w:pgSz w:w="11906" w:h="16838"/>
          <w:pgMar w:top="720" w:right="720" w:bottom="720" w:left="720" w:header="283" w:footer="283" w:gutter="0"/>
          <w:cols w:num="2" w:space="567"/>
          <w:titlePg/>
          <w:bidi/>
          <w:rtlGutter/>
          <w:docGrid w:linePitch="299"/>
        </w:sectPr>
      </w:pPr>
    </w:p>
    <w:p w:rsidR="000E75A3" w:rsidRDefault="000E75A3" w:rsidP="000E75A3">
      <w:pPr>
        <w:tabs>
          <w:tab w:val="left" w:pos="1163"/>
        </w:tabs>
        <w:spacing w:after="120" w:line="240" w:lineRule="auto"/>
        <w:ind w:left="0"/>
        <w:rPr>
          <w:rFonts w:ascii="Guttman Hodes" w:eastAsia="Guttman Hodes" w:hAnsi="Guttman Hodes" w:cs="Guttman Hodes"/>
          <w:noProof/>
          <w:sz w:val="18"/>
          <w:szCs w:val="18"/>
        </w:rPr>
        <w:sectPr w:rsidR="000E75A3" w:rsidSect="00AE06CB">
          <w:type w:val="continuous"/>
          <w:pgSz w:w="11906" w:h="16838"/>
          <w:pgMar w:top="720" w:right="720" w:bottom="720" w:left="720" w:header="283" w:footer="283" w:gutter="0"/>
          <w:cols w:space="567"/>
          <w:bidi/>
          <w:rtlGutter/>
          <w:docGrid w:linePitch="299"/>
        </w:sectPr>
      </w:pPr>
    </w:p>
    <w:p w:rsidR="000E75A3" w:rsidRPr="00D47CE7" w:rsidRDefault="00E949D5" w:rsidP="000E75A3">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3" type="#_x0000_t75" style="width:404.55pt;height:6.8pt" o:hrpct="0" o:hralign="center" o:hr="t">
            <v:imagedata r:id="rId24" o:title="BD14845_"/>
          </v:shape>
        </w:pict>
      </w:r>
    </w:p>
    <w:p w:rsidR="000E75A3" w:rsidRPr="0081356D" w:rsidRDefault="001B6519" w:rsidP="000E75A3">
      <w:pPr>
        <w:pStyle w:val="afe"/>
        <w:rPr>
          <w:rtl/>
        </w:rPr>
        <w:sectPr w:rsidR="000E75A3" w:rsidRPr="0081356D" w:rsidSect="00361B2E">
          <w:pgSz w:w="11906" w:h="16838"/>
          <w:pgMar w:top="720" w:right="720" w:bottom="720" w:left="720" w:header="283" w:footer="283" w:gutter="0"/>
          <w:cols w:space="567"/>
          <w:bidi/>
          <w:rtlGutter/>
          <w:docGrid w:linePitch="299"/>
        </w:sectPr>
      </w:pPr>
      <w:r>
        <w:rPr>
          <w:rFonts w:hint="cs"/>
          <w:rtl/>
        </w:rPr>
        <w:t>~~~~~~~ ביאורי ראשי הישיבות ~~~~~~~</w:t>
      </w:r>
      <w:r w:rsidR="000E75A3" w:rsidRPr="0081356D">
        <w:rPr>
          <w:rFonts w:hint="cs"/>
          <w:rtl/>
        </w:rPr>
        <w:t xml:space="preserve"> </w:t>
      </w:r>
    </w:p>
    <w:p w:rsidR="000E75A3" w:rsidRDefault="000E75A3" w:rsidP="000E75A3">
      <w:pPr>
        <w:pStyle w:val="afe"/>
        <w:rPr>
          <w:rtl/>
        </w:rPr>
      </w:pPr>
      <w:bookmarkStart w:id="10208" w:name="_Toc59741728"/>
      <w:bookmarkStart w:id="10209" w:name="_Toc59786863"/>
      <w:bookmarkStart w:id="10210" w:name="_Toc59802674"/>
      <w:bookmarkStart w:id="10211" w:name="_Toc59916235"/>
      <w:bookmarkStart w:id="10212" w:name="_Toc58532505"/>
      <w:bookmarkStart w:id="10213" w:name="_Toc58580124"/>
      <w:bookmarkStart w:id="10214" w:name="_Toc59113276"/>
      <w:bookmarkStart w:id="10215" w:name="_Toc59136996"/>
      <w:bookmarkStart w:id="10216" w:name="_Toc59361666"/>
      <w:bookmarkStart w:id="10217" w:name="_Toc59464665"/>
      <w:bookmarkStart w:id="10218" w:name="_Toc59490162"/>
      <w:bookmarkStart w:id="10219" w:name="_Toc59620359"/>
      <w:bookmarkStart w:id="10220" w:name="_Toc59643633"/>
      <w:r>
        <w:rPr>
          <w:rFonts w:hint="cs"/>
          <w:rtl/>
        </w:rPr>
        <w:t>בעיקר דין עידי חד יומא</w:t>
      </w:r>
      <w:bookmarkEnd w:id="10208"/>
      <w:bookmarkEnd w:id="10209"/>
      <w:r>
        <w:rPr>
          <w:rFonts w:hint="cs"/>
          <w:rtl/>
        </w:rPr>
        <w:t xml:space="preserve"> כשיש חזקה</w:t>
      </w:r>
      <w:bookmarkEnd w:id="10210"/>
      <w:bookmarkEnd w:id="10211"/>
    </w:p>
    <w:p w:rsidR="000E75A3" w:rsidRPr="0058081C" w:rsidRDefault="000E75A3" w:rsidP="000E75A3">
      <w:pPr>
        <w:pStyle w:val="1"/>
        <w:rPr>
          <w:rtl/>
        </w:rPr>
      </w:pPr>
      <w:bookmarkStart w:id="10221" w:name="_Toc59464668"/>
      <w:bookmarkStart w:id="10222" w:name="_Toc59490166"/>
      <w:bookmarkStart w:id="10223" w:name="_Toc59620363"/>
      <w:bookmarkStart w:id="10224" w:name="_Toc59643637"/>
      <w:bookmarkStart w:id="10225" w:name="_Toc59741730"/>
      <w:bookmarkStart w:id="10226" w:name="_Toc59786865"/>
      <w:bookmarkStart w:id="10227" w:name="_Toc59802675"/>
      <w:bookmarkStart w:id="10228" w:name="_Toc59916236"/>
      <w:r>
        <w:rPr>
          <w:rFonts w:hint="cs"/>
          <w:rtl/>
        </w:rPr>
        <w:t xml:space="preserve">דברי הקה"י </w:t>
      </w:r>
      <w:bookmarkEnd w:id="10221"/>
      <w:bookmarkEnd w:id="10222"/>
      <w:bookmarkEnd w:id="10223"/>
      <w:bookmarkEnd w:id="10224"/>
      <w:bookmarkEnd w:id="10225"/>
      <w:bookmarkEnd w:id="10226"/>
      <w:bookmarkEnd w:id="10227"/>
      <w:r>
        <w:rPr>
          <w:rFonts w:hint="cs"/>
          <w:rtl/>
        </w:rPr>
        <w:t>דבלא חד יומא יש הוכחה הפוכה מהטענינן</w:t>
      </w:r>
      <w:bookmarkEnd w:id="10228"/>
    </w:p>
    <w:p w:rsidR="000E75A3" w:rsidRDefault="000E75A3" w:rsidP="000E75A3">
      <w:pPr>
        <w:pStyle w:val="a3"/>
        <w:rPr>
          <w:rtl/>
        </w:rPr>
      </w:pPr>
      <w:bookmarkStart w:id="10229" w:name="_Toc59802676"/>
      <w:bookmarkStart w:id="10230" w:name="_Toc59916237"/>
      <w:r>
        <w:rPr>
          <w:rFonts w:hint="cs"/>
          <w:rtl/>
        </w:rPr>
        <w:t>קושית הקה"י על הקצוה"ח דבתוס' לקמן משמע דרק כשיש הוכחה הפוכה מהטענה לא טענינן</w:t>
      </w:r>
      <w:bookmarkEnd w:id="10229"/>
      <w:bookmarkEnd w:id="10230"/>
    </w:p>
    <w:p w:rsidR="000E75A3" w:rsidRDefault="000E75A3" w:rsidP="007E4E81">
      <w:pPr>
        <w:pStyle w:val="a0"/>
        <w:rPr>
          <w:rtl/>
        </w:rPr>
      </w:pPr>
      <w:bookmarkStart w:id="10231" w:name="_Ref59381788"/>
      <w:r>
        <w:rPr>
          <w:rFonts w:hint="cs"/>
          <w:rtl/>
        </w:rPr>
        <w:t xml:space="preserve">במה שביאר </w:t>
      </w:r>
      <w:r w:rsidRPr="00FA5838">
        <w:rPr>
          <w:rStyle w:val="af9"/>
          <w:rFonts w:hint="cs"/>
          <w:rtl/>
        </w:rPr>
        <w:t>הקצוה"ח</w:t>
      </w:r>
      <w:r w:rsidRPr="00623B77">
        <w:rPr>
          <w:rStyle w:val="af7"/>
          <w:rFonts w:eastAsia="Guttman Hodes" w:hint="cs"/>
          <w:rtl/>
        </w:rPr>
        <w:t xml:space="preserve"> (עי' אות </w:t>
      </w:r>
      <w:r w:rsidRPr="00623B77">
        <w:rPr>
          <w:rStyle w:val="af7"/>
          <w:rFonts w:eastAsia="Guttman Hodes"/>
          <w:rtl/>
        </w:rPr>
        <w:fldChar w:fldCharType="begin"/>
      </w:r>
      <w:r w:rsidRPr="00623B77">
        <w:rPr>
          <w:rStyle w:val="af7"/>
          <w:rFonts w:eastAsia="Guttman Hodes"/>
          <w:rtl/>
        </w:rPr>
        <w:instrText xml:space="preserve"> </w:instrText>
      </w:r>
      <w:r w:rsidRPr="00623B77">
        <w:rPr>
          <w:rStyle w:val="af7"/>
          <w:rFonts w:eastAsia="Guttman Hodes" w:hint="cs"/>
        </w:rPr>
        <w:instrText>REF</w:instrText>
      </w:r>
      <w:r w:rsidRPr="00623B77">
        <w:rPr>
          <w:rStyle w:val="af7"/>
          <w:rFonts w:eastAsia="Guttman Hodes" w:hint="cs"/>
          <w:rtl/>
        </w:rPr>
        <w:instrText xml:space="preserve"> _</w:instrText>
      </w:r>
      <w:r w:rsidRPr="00623B77">
        <w:rPr>
          <w:rStyle w:val="af7"/>
          <w:rFonts w:eastAsia="Guttman Hodes" w:hint="cs"/>
        </w:rPr>
        <w:instrText>Ref59381776 \r \h</w:instrText>
      </w:r>
      <w:r w:rsidRPr="00623B7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23B77">
        <w:rPr>
          <w:rStyle w:val="af7"/>
          <w:rFonts w:eastAsia="Guttman Hodes"/>
          <w:rtl/>
        </w:rPr>
      </w:r>
      <w:r w:rsidRPr="00623B77">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623B77">
        <w:rPr>
          <w:rStyle w:val="af7"/>
          <w:rFonts w:eastAsia="Guttman Hodes"/>
          <w:rtl/>
        </w:rPr>
        <w:fldChar w:fldCharType="end"/>
      </w:r>
      <w:r>
        <w:rPr>
          <w:rFonts w:hint="cs"/>
          <w:rtl/>
        </w:rPr>
        <w:t xml:space="preserve"> דהא דמהני דר בה חד יומא, הוא כיון שיש אומדנא במקצת דהמוכר קנה מהמערער, ובכה"ג טענינן ללוקח, הקשה </w:t>
      </w:r>
      <w:r w:rsidRPr="00774353">
        <w:rPr>
          <w:rStyle w:val="af9"/>
          <w:rFonts w:hint="cs"/>
          <w:rtl/>
        </w:rPr>
        <w:t>הקה"י</w:t>
      </w:r>
      <w:r>
        <w:rPr>
          <w:rFonts w:hint="cs"/>
          <w:rtl/>
        </w:rPr>
        <w:t xml:space="preserve"> </w:t>
      </w:r>
      <w:r w:rsidRPr="00623B77">
        <w:rPr>
          <w:rStyle w:val="af7"/>
          <w:rFonts w:eastAsia="Guttman Hodes" w:hint="cs"/>
          <w:rtl/>
        </w:rPr>
        <w:t>(סי' כ"א ד"ה והנראה בזה)</w:t>
      </w:r>
      <w:r>
        <w:rPr>
          <w:rFonts w:hint="cs"/>
          <w:rtl/>
        </w:rPr>
        <w:t xml:space="preserve"> </w:t>
      </w:r>
      <w:r w:rsidRPr="00774353">
        <w:rPr>
          <w:rStyle w:val="af9"/>
          <w:rFonts w:hint="cs"/>
          <w:rtl/>
        </w:rPr>
        <w:t>דהתו</w:t>
      </w:r>
      <w:r w:rsidRPr="00B86A7E">
        <w:rPr>
          <w:rStyle w:val="af9"/>
          <w:rFonts w:hint="cs"/>
          <w:rtl/>
        </w:rPr>
        <w:t>ס' לקמן</w:t>
      </w:r>
      <w:r>
        <w:rPr>
          <w:rFonts w:hint="cs"/>
          <w:rtl/>
        </w:rPr>
        <w:t xml:space="preserve"> </w:t>
      </w:r>
      <w:r w:rsidRPr="00623B77">
        <w:rPr>
          <w:rStyle w:val="af7"/>
          <w:rFonts w:eastAsia="Guttman Hodes" w:hint="cs"/>
          <w:rtl/>
        </w:rPr>
        <w:t>(ע. ד"ה מ"ד)</w:t>
      </w:r>
      <w:r>
        <w:rPr>
          <w:rFonts w:hint="cs"/>
          <w:rtl/>
        </w:rPr>
        <w:t xml:space="preserve"> כתבו דטענה דלא שכיחא אין בה דין טענינן, ולכן לא טענינן נאנסו, ומשמע דכל טענה שיכולה להיות יש בה דין טענינן, ורק בטענת נאנסו שיש הוכחה להיפך מהטענה, דהסתמא היא שלא היה אונס אין דין טענינן, אבל לא מצינו שצריך אומדנא בכדי שיהיה דין טענינן.</w:t>
      </w:r>
      <w:bookmarkEnd w:id="10231"/>
    </w:p>
    <w:p w:rsidR="000E75A3" w:rsidRPr="003900B6" w:rsidRDefault="000E75A3" w:rsidP="000E75A3">
      <w:pPr>
        <w:pStyle w:val="a3"/>
      </w:pPr>
      <w:bookmarkStart w:id="10232" w:name="_Toc59802677"/>
      <w:bookmarkStart w:id="10233" w:name="_Toc59916238"/>
      <w:r>
        <w:rPr>
          <w:rFonts w:hint="cs"/>
          <w:rtl/>
        </w:rPr>
        <w:t>ביאור הקצוה"ח דבחד יומא בלא עדים חשיב שיש הוכחה שלא קנאה מדלא ראוהו דדר בה</w:t>
      </w:r>
      <w:bookmarkEnd w:id="10232"/>
      <w:bookmarkEnd w:id="10233"/>
    </w:p>
    <w:p w:rsidR="000E75A3" w:rsidRDefault="000E75A3" w:rsidP="007E4E81">
      <w:pPr>
        <w:pStyle w:val="a0"/>
        <w:rPr>
          <w:rtl/>
        </w:rPr>
      </w:pPr>
      <w:bookmarkStart w:id="10234" w:name="_Ref59478567"/>
      <w:r>
        <w:rPr>
          <w:rFonts w:hint="cs"/>
          <w:rtl/>
        </w:rPr>
        <w:t xml:space="preserve">אלא ביאר </w:t>
      </w:r>
      <w:r w:rsidRPr="00774353">
        <w:rPr>
          <w:rStyle w:val="af9"/>
          <w:rFonts w:hint="cs"/>
          <w:rtl/>
        </w:rPr>
        <w:t>הקה"י</w:t>
      </w:r>
      <w:r>
        <w:rPr>
          <w:rFonts w:hint="cs"/>
          <w:rtl/>
        </w:rPr>
        <w:t xml:space="preserve"> </w:t>
      </w:r>
      <w:r w:rsidRPr="00F07CDD">
        <w:rPr>
          <w:rStyle w:val="af7"/>
          <w:rFonts w:eastAsia="Guttman Hodes" w:hint="cs"/>
          <w:rtl/>
        </w:rPr>
        <w:t>(סי' כ"א ד"ה ולזאת)</w:t>
      </w:r>
      <w:r>
        <w:rPr>
          <w:rFonts w:hint="cs"/>
          <w:rtl/>
        </w:rPr>
        <w:t xml:space="preserve"> דהא דצריך עדים שהמוכר דר בה חד יומא, הוא כיון דכל שלא דר בה, חשיב שיש הוכחה הפוכה, שלא קנאה המוכר מהמערער, דהוא דבר מפורסם כשבעלים חדש נכנס לדור, ולכן אמרינן דכל שאין עדים על חד יומא, מסתמא לא דר בה כלום, ולכן אין בכה"ג דין טענינן, ועיי"ש במ"ש </w:t>
      </w:r>
      <w:r w:rsidRPr="00774353">
        <w:rPr>
          <w:rStyle w:val="af9"/>
          <w:rFonts w:hint="cs"/>
          <w:rtl/>
        </w:rPr>
        <w:t xml:space="preserve">הקה"י </w:t>
      </w:r>
      <w:r>
        <w:rPr>
          <w:rFonts w:hint="cs"/>
          <w:rtl/>
        </w:rPr>
        <w:t xml:space="preserve">דכן משמע בגמ' לקמן </w:t>
      </w:r>
      <w:r w:rsidRPr="00F07CDD">
        <w:rPr>
          <w:rStyle w:val="af7"/>
          <w:rFonts w:eastAsia="Guttman Hodes" w:hint="cs"/>
          <w:rtl/>
        </w:rPr>
        <w:t>(מא:)</w:t>
      </w:r>
      <w:r>
        <w:rPr>
          <w:rFonts w:hint="cs"/>
          <w:rtl/>
        </w:rPr>
        <w:t>.</w:t>
      </w:r>
      <w:bookmarkEnd w:id="10234"/>
    </w:p>
    <w:p w:rsidR="000E75A3" w:rsidRPr="00B86A7E" w:rsidRDefault="000E75A3" w:rsidP="000E75A3">
      <w:pPr>
        <w:pStyle w:val="1"/>
        <w:rPr>
          <w:rtl/>
        </w:rPr>
      </w:pPr>
      <w:bookmarkStart w:id="10235" w:name="_Toc59802678"/>
      <w:bookmarkStart w:id="10236" w:name="_Toc59916239"/>
      <w:r>
        <w:rPr>
          <w:rFonts w:hint="cs"/>
          <w:rtl/>
        </w:rPr>
        <w:t>ביאורי שיעורי רבי אלחנן</w:t>
      </w:r>
      <w:bookmarkEnd w:id="10235"/>
      <w:r>
        <w:rPr>
          <w:rFonts w:hint="cs"/>
          <w:rtl/>
        </w:rPr>
        <w:t xml:space="preserve"> בחזקת המחזיק ע"י החד יומא</w:t>
      </w:r>
      <w:bookmarkEnd w:id="10236"/>
    </w:p>
    <w:p w:rsidR="000E75A3" w:rsidRDefault="000E75A3" w:rsidP="000E75A3">
      <w:pPr>
        <w:pStyle w:val="a3"/>
        <w:rPr>
          <w:rtl/>
        </w:rPr>
      </w:pPr>
      <w:bookmarkStart w:id="10237" w:name="_Toc59802679"/>
      <w:bookmarkStart w:id="10238" w:name="_Toc59916240"/>
      <w:r>
        <w:rPr>
          <w:rFonts w:hint="cs"/>
          <w:rtl/>
        </w:rPr>
        <w:t>הבי' הא' בגרא"ו דבעידי חד יומא יש למוכר שייכות לקרקע ועי"ז מהני חזקת המחזיק</w:t>
      </w:r>
      <w:bookmarkEnd w:id="10237"/>
      <w:bookmarkEnd w:id="10238"/>
    </w:p>
    <w:p w:rsidR="000E75A3" w:rsidRDefault="000E75A3" w:rsidP="007E4E81">
      <w:pPr>
        <w:pStyle w:val="a0"/>
        <w:rPr>
          <w:rtl/>
        </w:rPr>
      </w:pPr>
      <w:bookmarkStart w:id="10239" w:name="_Ref59788910"/>
      <w:r>
        <w:rPr>
          <w:rFonts w:hint="cs"/>
          <w:rtl/>
        </w:rPr>
        <w:t xml:space="preserve">וע"ע </w:t>
      </w:r>
      <w:r w:rsidRPr="00774353">
        <w:rPr>
          <w:rStyle w:val="af9"/>
          <w:rFonts w:hint="cs"/>
          <w:rtl/>
        </w:rPr>
        <w:t>בשיעורי רבי אלחנן</w:t>
      </w:r>
      <w:r>
        <w:rPr>
          <w:rFonts w:hint="cs"/>
          <w:rtl/>
        </w:rPr>
        <w:t xml:space="preserve"> </w:t>
      </w:r>
      <w:r w:rsidRPr="00623B77">
        <w:rPr>
          <w:rStyle w:val="af7"/>
          <w:rFonts w:eastAsia="Guttman Hodes" w:hint="cs"/>
          <w:rtl/>
        </w:rPr>
        <w:t>(סי' י"ד או' א' ד"ה והא דבעינן)</w:t>
      </w:r>
      <w:r>
        <w:rPr>
          <w:rFonts w:hint="cs"/>
          <w:rtl/>
        </w:rPr>
        <w:t xml:space="preserve"> דהביא את דברי </w:t>
      </w:r>
      <w:r w:rsidRPr="00774353">
        <w:rPr>
          <w:rStyle w:val="af9"/>
          <w:rFonts w:hint="cs"/>
          <w:rtl/>
        </w:rPr>
        <w:t>המהרי"ט</w:t>
      </w:r>
      <w:r>
        <w:rPr>
          <w:rFonts w:hint="cs"/>
          <w:rtl/>
        </w:rPr>
        <w:t xml:space="preserve"> </w:t>
      </w:r>
      <w:r w:rsidRPr="00234E7F">
        <w:rPr>
          <w:rStyle w:val="af7"/>
          <w:rFonts w:eastAsia="Guttman Hodes" w:hint="cs"/>
          <w:rtl/>
        </w:rPr>
        <w:t xml:space="preserve">(עי' אות </w:t>
      </w:r>
      <w:r w:rsidRPr="00234E7F">
        <w:rPr>
          <w:rStyle w:val="af7"/>
          <w:rFonts w:eastAsia="Guttman Hodes"/>
          <w:rtl/>
        </w:rPr>
        <w:fldChar w:fldCharType="begin"/>
      </w:r>
      <w:r w:rsidRPr="00234E7F">
        <w:rPr>
          <w:rStyle w:val="af7"/>
          <w:rFonts w:eastAsia="Guttman Hodes"/>
          <w:rtl/>
        </w:rPr>
        <w:instrText xml:space="preserve"> </w:instrText>
      </w:r>
      <w:r w:rsidRPr="00234E7F">
        <w:rPr>
          <w:rStyle w:val="af7"/>
          <w:rFonts w:eastAsia="Guttman Hodes" w:hint="cs"/>
        </w:rPr>
        <w:instrText>REF</w:instrText>
      </w:r>
      <w:r w:rsidRPr="00234E7F">
        <w:rPr>
          <w:rStyle w:val="af7"/>
          <w:rFonts w:eastAsia="Guttman Hodes" w:hint="cs"/>
          <w:rtl/>
        </w:rPr>
        <w:instrText xml:space="preserve"> _</w:instrText>
      </w:r>
      <w:r w:rsidRPr="00234E7F">
        <w:rPr>
          <w:rStyle w:val="af7"/>
          <w:rFonts w:eastAsia="Guttman Hodes" w:hint="cs"/>
        </w:rPr>
        <w:instrText>Ref57927634 \r \h</w:instrText>
      </w:r>
      <w:r w:rsidRPr="00234E7F">
        <w:rPr>
          <w:rStyle w:val="af7"/>
          <w:rFonts w:eastAsia="Guttman Hodes"/>
          <w:rtl/>
        </w:rPr>
        <w:instrText xml:space="preserve"> </w:instrText>
      </w:r>
      <w:r w:rsidRPr="00234E7F">
        <w:rPr>
          <w:rStyle w:val="af7"/>
          <w:rFonts w:eastAsia="Guttman Hodes"/>
          <w:rtl/>
        </w:rPr>
      </w:r>
      <w:r w:rsidRPr="00234E7F">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234E7F">
        <w:rPr>
          <w:rStyle w:val="af7"/>
          <w:rFonts w:eastAsia="Guttman Hodes"/>
          <w:rtl/>
        </w:rPr>
        <w:fldChar w:fldCharType="end"/>
      </w:r>
      <w:r>
        <w:rPr>
          <w:rFonts w:hint="cs"/>
          <w:rtl/>
        </w:rPr>
        <w:t xml:space="preserve"> </w:t>
      </w:r>
      <w:r w:rsidRPr="00774353">
        <w:rPr>
          <w:rStyle w:val="af9"/>
          <w:rFonts w:hint="cs"/>
          <w:rtl/>
        </w:rPr>
        <w:t>והקצוה"ח</w:t>
      </w:r>
      <w:r>
        <w:rPr>
          <w:rFonts w:hint="cs"/>
          <w:rtl/>
        </w:rPr>
        <w:t xml:space="preserve"> </w:t>
      </w:r>
      <w:r w:rsidRPr="00234E7F">
        <w:rPr>
          <w:rStyle w:val="af7"/>
          <w:rFonts w:eastAsia="Guttman Hodes" w:hint="cs"/>
          <w:rtl/>
        </w:rPr>
        <w:t xml:space="preserve">(עי' אות </w:t>
      </w:r>
      <w:r w:rsidRPr="00234E7F">
        <w:rPr>
          <w:rStyle w:val="af7"/>
          <w:rFonts w:eastAsia="Guttman Hodes"/>
          <w:rtl/>
        </w:rPr>
        <w:fldChar w:fldCharType="begin"/>
      </w:r>
      <w:r w:rsidRPr="00234E7F">
        <w:rPr>
          <w:rStyle w:val="af7"/>
          <w:rFonts w:eastAsia="Guttman Hodes"/>
          <w:rtl/>
        </w:rPr>
        <w:instrText xml:space="preserve"> </w:instrText>
      </w:r>
      <w:r w:rsidRPr="00234E7F">
        <w:rPr>
          <w:rStyle w:val="af7"/>
          <w:rFonts w:eastAsia="Guttman Hodes" w:hint="cs"/>
        </w:rPr>
        <w:instrText>REF</w:instrText>
      </w:r>
      <w:r w:rsidRPr="00234E7F">
        <w:rPr>
          <w:rStyle w:val="af7"/>
          <w:rFonts w:eastAsia="Guttman Hodes" w:hint="cs"/>
          <w:rtl/>
        </w:rPr>
        <w:instrText xml:space="preserve"> _</w:instrText>
      </w:r>
      <w:r w:rsidRPr="00234E7F">
        <w:rPr>
          <w:rStyle w:val="af7"/>
          <w:rFonts w:eastAsia="Guttman Hodes" w:hint="cs"/>
        </w:rPr>
        <w:instrText>Ref59381776 \r \h</w:instrText>
      </w:r>
      <w:r w:rsidRPr="00234E7F">
        <w:rPr>
          <w:rStyle w:val="af7"/>
          <w:rFonts w:eastAsia="Guttman Hodes"/>
          <w:rtl/>
        </w:rPr>
        <w:instrText xml:space="preserve"> </w:instrText>
      </w:r>
      <w:r w:rsidRPr="00234E7F">
        <w:rPr>
          <w:rStyle w:val="af7"/>
          <w:rFonts w:eastAsia="Guttman Hodes"/>
          <w:rtl/>
        </w:rPr>
      </w:r>
      <w:r w:rsidRPr="00234E7F">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234E7F">
        <w:rPr>
          <w:rStyle w:val="af7"/>
          <w:rFonts w:eastAsia="Guttman Hodes"/>
          <w:rtl/>
        </w:rPr>
        <w:fldChar w:fldCharType="end"/>
      </w:r>
      <w:r>
        <w:rPr>
          <w:rFonts w:hint="cs"/>
          <w:rtl/>
        </w:rPr>
        <w:t xml:space="preserve"> בטעם עידי חד יומא, וכתב </w:t>
      </w:r>
      <w:r w:rsidRPr="00774353">
        <w:rPr>
          <w:rStyle w:val="af9"/>
          <w:rFonts w:hint="cs"/>
          <w:rtl/>
        </w:rPr>
        <w:t>בשיעורי רבי אלחנן</w:t>
      </w:r>
      <w:r>
        <w:rPr>
          <w:rFonts w:hint="cs"/>
          <w:rtl/>
        </w:rPr>
        <w:t xml:space="preserve"> דאפשר לבאר עוד דע"י עידי חד יומא, יש למוכר שייכות לקרקע, ועי"ז מהני החזקת ג"ש שיש למחזיק, אבל בלא דר בה המוכר חד יומא, אין לו שם מוכר כלל, ולא מהני חזקת הג"ש של המחזיק, דנראה שמכר לו בית שאינו שלו.</w:t>
      </w:r>
      <w:bookmarkEnd w:id="10239"/>
    </w:p>
    <w:p w:rsidR="000E75A3" w:rsidRDefault="000E75A3" w:rsidP="000E75A3">
      <w:pPr>
        <w:pStyle w:val="a3"/>
        <w:rPr>
          <w:rtl/>
        </w:rPr>
      </w:pPr>
      <w:bookmarkStart w:id="10240" w:name="_Toc59802680"/>
      <w:bookmarkStart w:id="10241" w:name="_Toc59916241"/>
      <w:r>
        <w:rPr>
          <w:rFonts w:hint="cs"/>
          <w:rtl/>
        </w:rPr>
        <w:t>הבי' הב' בגרא"ו דחד יומא הוא כחזקת מטלטלין וע"י הג"ש של המחזיק אין טענת אחוי שטרך</w:t>
      </w:r>
      <w:bookmarkEnd w:id="10240"/>
      <w:bookmarkEnd w:id="10241"/>
    </w:p>
    <w:p w:rsidR="000E75A3" w:rsidRDefault="000E75A3" w:rsidP="007E4E81">
      <w:pPr>
        <w:pStyle w:val="a0"/>
        <w:rPr>
          <w:rtl/>
        </w:rPr>
      </w:pPr>
      <w:r>
        <w:rPr>
          <w:rFonts w:hint="cs"/>
          <w:rtl/>
        </w:rPr>
        <w:t xml:space="preserve">ועוד ביאר </w:t>
      </w:r>
      <w:r w:rsidRPr="00556279">
        <w:rPr>
          <w:rStyle w:val="af9"/>
          <w:rFonts w:hint="cs"/>
          <w:rtl/>
        </w:rPr>
        <w:t>בשיעורי רבי אלחנן</w:t>
      </w:r>
      <w:r>
        <w:rPr>
          <w:rFonts w:hint="cs"/>
          <w:rtl/>
        </w:rPr>
        <w:t xml:space="preserve"> </w:t>
      </w:r>
      <w:r w:rsidRPr="00323E22">
        <w:rPr>
          <w:rStyle w:val="af7"/>
          <w:rFonts w:eastAsia="Guttman Hodes" w:hint="cs"/>
          <w:rtl/>
        </w:rPr>
        <w:t>(סי' י"ד או' ב' ד"ה והשתא)</w:t>
      </w:r>
      <w:r>
        <w:rPr>
          <w:rFonts w:hint="cs"/>
          <w:rtl/>
        </w:rPr>
        <w:t xml:space="preserve"> דבעיקר דין חזקת קרקעות, מהני חזקה כמו בחזקת מטלטלין, דחזקה מה שתחת ידו של אדם שלו הוא, דאחזוקי אינשי בגנבי לא מחזקינן, אלא דבקרקע בתוך ג"ש יש טענת אחוי שטרך, וא"כ בעידי חד יומא, כשיש למחזיק חזקת ג"ש, א"א לטעון לו אחוי שטרך, וממילא מהני החד יומא של המוכר כמו דמהני חזקה במטלטלין, ועיי"ש במה שהוסיף לבאר עוד </w:t>
      </w:r>
      <w:r w:rsidRPr="00774353">
        <w:rPr>
          <w:rStyle w:val="af9"/>
          <w:rFonts w:hint="cs"/>
          <w:rtl/>
        </w:rPr>
        <w:t>בשיעורי רבי אלחנן</w:t>
      </w:r>
      <w:r>
        <w:rPr>
          <w:rFonts w:hint="cs"/>
          <w:rtl/>
        </w:rPr>
        <w:t>, בטעם עידי חד יומא.</w:t>
      </w:r>
    </w:p>
    <w:p w:rsidR="000E75A3" w:rsidRPr="00DF3053" w:rsidRDefault="000E75A3" w:rsidP="000E75A3">
      <w:pPr>
        <w:pStyle w:val="a3"/>
        <w:rPr>
          <w:rtl/>
        </w:rPr>
      </w:pPr>
    </w:p>
    <w:p w:rsidR="000E75A3" w:rsidRPr="00DF3053" w:rsidRDefault="000E75A3" w:rsidP="000E75A3">
      <w:pPr>
        <w:pStyle w:val="a3"/>
        <w:rPr>
          <w:rtl/>
        </w:rPr>
      </w:pPr>
    </w:p>
    <w:p w:rsidR="000E75A3" w:rsidRPr="00DF3053" w:rsidRDefault="000E75A3" w:rsidP="000E75A3">
      <w:pPr>
        <w:pStyle w:val="a3"/>
        <w:rPr>
          <w:rtl/>
        </w:rPr>
      </w:pPr>
    </w:p>
    <w:p w:rsidR="000E75A3" w:rsidRPr="00DF3053" w:rsidRDefault="000E75A3" w:rsidP="000E75A3">
      <w:pPr>
        <w:pStyle w:val="a3"/>
        <w:rPr>
          <w:rtl/>
        </w:rPr>
      </w:pPr>
    </w:p>
    <w:bookmarkEnd w:id="10212"/>
    <w:bookmarkEnd w:id="10213"/>
    <w:bookmarkEnd w:id="10214"/>
    <w:bookmarkEnd w:id="10215"/>
    <w:bookmarkEnd w:id="10216"/>
    <w:bookmarkEnd w:id="10217"/>
    <w:bookmarkEnd w:id="10218"/>
    <w:bookmarkEnd w:id="10219"/>
    <w:bookmarkEnd w:id="10220"/>
    <w:p w:rsidR="000E75A3" w:rsidRDefault="000E75A3" w:rsidP="000E75A3">
      <w:pPr>
        <w:pStyle w:val="afe"/>
        <w:rPr>
          <w:rtl/>
        </w:rPr>
      </w:pPr>
      <w:r>
        <w:rPr>
          <w:rFonts w:hint="cs"/>
          <w:rtl/>
        </w:rPr>
        <w:t>בד' הרשב"ם דאין טענינן בלא דררא</w:t>
      </w:r>
    </w:p>
    <w:p w:rsidR="000E75A3" w:rsidRDefault="000E75A3" w:rsidP="000E75A3">
      <w:pPr>
        <w:pStyle w:val="1"/>
        <w:rPr>
          <w:rtl/>
        </w:rPr>
      </w:pPr>
      <w:bookmarkStart w:id="10242" w:name="_Toc59464670"/>
      <w:bookmarkStart w:id="10243" w:name="_Toc59490168"/>
      <w:bookmarkStart w:id="10244" w:name="_Toc59620365"/>
      <w:bookmarkStart w:id="10245" w:name="_Toc59643639"/>
      <w:bookmarkStart w:id="10246" w:name="_Toc59741735"/>
      <w:bookmarkStart w:id="10247" w:name="_Toc59786870"/>
      <w:bookmarkStart w:id="10248" w:name="_Toc59802702"/>
      <w:bookmarkStart w:id="10249" w:name="_Toc59916243"/>
      <w:bookmarkStart w:id="10250" w:name="_Toc54000907"/>
      <w:bookmarkStart w:id="10251" w:name="_Toc58432691"/>
      <w:bookmarkStart w:id="10252" w:name="_Toc58532506"/>
      <w:bookmarkStart w:id="10253" w:name="_Toc58580125"/>
      <w:bookmarkStart w:id="10254" w:name="_Toc59113277"/>
      <w:bookmarkStart w:id="10255" w:name="_Toc59136997"/>
      <w:bookmarkStart w:id="10256" w:name="_Toc59361667"/>
      <w:bookmarkStart w:id="10257" w:name="_Toc59464666"/>
      <w:bookmarkStart w:id="10258" w:name="_Toc59490163"/>
      <w:bookmarkStart w:id="10259" w:name="_Toc59620360"/>
      <w:bookmarkStart w:id="10260" w:name="_Toc59643634"/>
      <w:bookmarkStart w:id="10261" w:name="_Toc59741732"/>
      <w:bookmarkStart w:id="10262" w:name="_Toc59786867"/>
      <w:bookmarkStart w:id="10263" w:name="_Toc59802682"/>
      <w:r>
        <w:rPr>
          <w:rFonts w:hint="cs"/>
          <w:rtl/>
        </w:rPr>
        <w:t>ביאור רבי ראובן ברשב"ם</w:t>
      </w:r>
      <w:bookmarkEnd w:id="10242"/>
      <w:bookmarkEnd w:id="10243"/>
      <w:bookmarkEnd w:id="10244"/>
      <w:bookmarkEnd w:id="10245"/>
      <w:bookmarkEnd w:id="10246"/>
      <w:bookmarkEnd w:id="10247"/>
      <w:bookmarkEnd w:id="10248"/>
      <w:r>
        <w:rPr>
          <w:rFonts w:hint="cs"/>
          <w:rtl/>
        </w:rPr>
        <w:t xml:space="preserve"> דבלא חזקה אין דררא ולא טענינן</w:t>
      </w:r>
      <w:bookmarkEnd w:id="10249"/>
    </w:p>
    <w:p w:rsidR="000E75A3" w:rsidRDefault="000E75A3" w:rsidP="000E75A3">
      <w:pPr>
        <w:pStyle w:val="a3"/>
        <w:rPr>
          <w:rtl/>
        </w:rPr>
      </w:pPr>
      <w:bookmarkStart w:id="10264" w:name="_Toc59802703"/>
      <w:bookmarkStart w:id="10265" w:name="_Toc59916244"/>
      <w:r>
        <w:rPr>
          <w:rFonts w:hint="cs"/>
          <w:rtl/>
        </w:rPr>
        <w:t>ביאור רבי ראובן ברשב"ם דטענינן הוא רק כשיש דררא לב"ד ובלא חזקה אין דררא</w:t>
      </w:r>
      <w:bookmarkEnd w:id="10264"/>
      <w:bookmarkEnd w:id="10265"/>
    </w:p>
    <w:p w:rsidR="000E75A3" w:rsidRDefault="000E75A3" w:rsidP="007E4E81">
      <w:pPr>
        <w:pStyle w:val="a0"/>
        <w:rPr>
          <w:rtl/>
        </w:rPr>
      </w:pPr>
      <w:bookmarkStart w:id="10266" w:name="_Ref59654568"/>
      <w:r>
        <w:rPr>
          <w:rFonts w:hint="cs"/>
          <w:rtl/>
        </w:rPr>
        <w:t xml:space="preserve">במ"ש </w:t>
      </w:r>
      <w:r w:rsidRPr="00774353">
        <w:rPr>
          <w:rStyle w:val="af9"/>
          <w:rFonts w:hint="cs"/>
          <w:rtl/>
        </w:rPr>
        <w:t>הרשב"ם</w:t>
      </w:r>
      <w:r>
        <w:rPr>
          <w:rFonts w:hint="cs"/>
          <w:rtl/>
        </w:rPr>
        <w:t xml:space="preserve"> </w:t>
      </w:r>
      <w:r w:rsidRPr="00CB0626">
        <w:rPr>
          <w:rStyle w:val="af7"/>
          <w:rFonts w:eastAsia="Guttman Hodes" w:hint="cs"/>
          <w:rtl/>
        </w:rPr>
        <w:t xml:space="preserve">(עי' אות </w:t>
      </w:r>
      <w:r w:rsidRPr="00CB0626">
        <w:rPr>
          <w:rStyle w:val="af7"/>
          <w:rFonts w:eastAsia="Guttman Hodes"/>
          <w:rtl/>
        </w:rPr>
        <w:fldChar w:fldCharType="begin"/>
      </w:r>
      <w:r w:rsidRPr="00CB0626">
        <w:rPr>
          <w:rStyle w:val="af7"/>
          <w:rFonts w:eastAsia="Guttman Hodes"/>
          <w:rtl/>
        </w:rPr>
        <w:instrText xml:space="preserve"> </w:instrText>
      </w:r>
      <w:r w:rsidRPr="00CB0626">
        <w:rPr>
          <w:rStyle w:val="af7"/>
          <w:rFonts w:eastAsia="Guttman Hodes" w:hint="cs"/>
        </w:rPr>
        <w:instrText>REF</w:instrText>
      </w:r>
      <w:r w:rsidRPr="00CB0626">
        <w:rPr>
          <w:rStyle w:val="af7"/>
          <w:rFonts w:eastAsia="Guttman Hodes" w:hint="cs"/>
          <w:rtl/>
        </w:rPr>
        <w:instrText xml:space="preserve"> _</w:instrText>
      </w:r>
      <w:r w:rsidRPr="00CB0626">
        <w:rPr>
          <w:rStyle w:val="af7"/>
          <w:rFonts w:eastAsia="Guttman Hodes" w:hint="cs"/>
        </w:rPr>
        <w:instrText>Ref57911397 \r \h</w:instrText>
      </w:r>
      <w:r w:rsidRPr="00CB0626">
        <w:rPr>
          <w:rStyle w:val="af7"/>
          <w:rFonts w:eastAsia="Guttman Hodes"/>
          <w:rtl/>
        </w:rPr>
        <w:instrText xml:space="preserve"> </w:instrText>
      </w:r>
      <w:r w:rsidRPr="00CB0626">
        <w:rPr>
          <w:rStyle w:val="af7"/>
          <w:rFonts w:eastAsia="Guttman Hodes"/>
          <w:rtl/>
        </w:rPr>
      </w:r>
      <w:r w:rsidRPr="00CB0626">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CB0626">
        <w:rPr>
          <w:rStyle w:val="af7"/>
          <w:rFonts w:eastAsia="Guttman Hodes"/>
          <w:rtl/>
        </w:rPr>
        <w:fldChar w:fldCharType="end"/>
      </w:r>
      <w:r>
        <w:rPr>
          <w:rFonts w:hint="cs"/>
          <w:rtl/>
        </w:rPr>
        <w:t xml:space="preserve"> דלא מהני דר בה חד יומא בלא חזקה, כתב </w:t>
      </w:r>
      <w:r w:rsidRPr="00D55698">
        <w:rPr>
          <w:rStyle w:val="af9"/>
          <w:rFonts w:hint="cs"/>
          <w:rtl/>
        </w:rPr>
        <w:t>בחי' רבי ראובן</w:t>
      </w:r>
      <w:r>
        <w:rPr>
          <w:rFonts w:hint="cs"/>
          <w:rtl/>
        </w:rPr>
        <w:t xml:space="preserve"> </w:t>
      </w:r>
      <w:r w:rsidRPr="00D55698">
        <w:rPr>
          <w:rStyle w:val="af7"/>
          <w:rFonts w:eastAsia="Guttman Hodes" w:hint="cs"/>
          <w:rtl/>
        </w:rPr>
        <w:t>(סי' י"ב ד"ה</w:t>
      </w:r>
      <w:r>
        <w:rPr>
          <w:rStyle w:val="af7"/>
          <w:rFonts w:eastAsia="Guttman Hodes" w:hint="cs"/>
          <w:rtl/>
        </w:rPr>
        <w:t xml:space="preserve"> והא דס"ל)</w:t>
      </w:r>
      <w:r>
        <w:rPr>
          <w:rFonts w:hint="cs"/>
          <w:rtl/>
        </w:rPr>
        <w:t xml:space="preserve"> דאעפ"י שיש לו מיגו, מ"מ ס"ל </w:t>
      </w:r>
      <w:r w:rsidRPr="00774353">
        <w:rPr>
          <w:rStyle w:val="af9"/>
          <w:rFonts w:hint="cs"/>
          <w:rtl/>
        </w:rPr>
        <w:t>להרשב"ם</w:t>
      </w:r>
      <w:r>
        <w:rPr>
          <w:rFonts w:hint="cs"/>
          <w:rtl/>
        </w:rPr>
        <w:t xml:space="preserve"> דדין טענינן הוא רק כשיש לב"ד דררא וספק, האם הדין הוא כלוקח או היורש, אבל במקום שאין כל ספק אין דין טענינן, </w:t>
      </w:r>
      <w:r w:rsidRPr="00623B77">
        <w:rPr>
          <w:rStyle w:val="afb"/>
          <w:rFonts w:hint="cs"/>
          <w:rtl/>
        </w:rPr>
        <w:t xml:space="preserve">[עיי"ש במה שהוכיח כן </w:t>
      </w:r>
      <w:r w:rsidRPr="00623B77">
        <w:rPr>
          <w:rStyle w:val="affa"/>
          <w:rFonts w:hint="cs"/>
          <w:rtl/>
        </w:rPr>
        <w:t xml:space="preserve">בחי' רבי ראובן </w:t>
      </w:r>
      <w:r w:rsidRPr="00623B77">
        <w:rPr>
          <w:rStyle w:val="afb"/>
          <w:rFonts w:hint="cs"/>
          <w:rtl/>
        </w:rPr>
        <w:t xml:space="preserve">מדברי </w:t>
      </w:r>
      <w:r w:rsidRPr="00623B77">
        <w:rPr>
          <w:rStyle w:val="affa"/>
          <w:rFonts w:hint="cs"/>
          <w:rtl/>
        </w:rPr>
        <w:t xml:space="preserve">הבעה"מ לקמן </w:t>
      </w:r>
      <w:r w:rsidRPr="00623B77">
        <w:rPr>
          <w:rStyle w:val="aff6"/>
          <w:rFonts w:hint="cs"/>
          <w:rtl/>
        </w:rPr>
        <w:t>(לז. מדה"ר ד"ה נימא)</w:t>
      </w:r>
      <w:r w:rsidRPr="00623B77">
        <w:rPr>
          <w:rStyle w:val="afb"/>
          <w:rFonts w:hint="cs"/>
          <w:rtl/>
        </w:rPr>
        <w:t>],</w:t>
      </w:r>
      <w:r>
        <w:rPr>
          <w:rFonts w:hint="cs"/>
          <w:rtl/>
        </w:rPr>
        <w:t xml:space="preserve"> וא"כ כל שאין למחזיק חזקת ג"ש אין כל ספק לב"ד, ואעפ"י שאם המחזיק היה טוען טענת ברי דמינך זבינתה במיגו דלא הייתה שלך מעולם, אנן לא טענינן להו, כיון שאין לנו כל דררא וספק, דהמערער הוא המוחזק, וכתב </w:t>
      </w:r>
      <w:r w:rsidRPr="00774353">
        <w:rPr>
          <w:rStyle w:val="af9"/>
          <w:rFonts w:hint="cs"/>
          <w:rtl/>
        </w:rPr>
        <w:t>בחי' רבי ראובן</w:t>
      </w:r>
      <w:r>
        <w:rPr>
          <w:rFonts w:hint="cs"/>
          <w:rtl/>
        </w:rPr>
        <w:t xml:space="preserve"> דזהו הביאור גם בדעת </w:t>
      </w:r>
      <w:r w:rsidRPr="00774353">
        <w:rPr>
          <w:rStyle w:val="af9"/>
          <w:rFonts w:hint="cs"/>
          <w:rtl/>
        </w:rPr>
        <w:t>ההג' אשר"י</w:t>
      </w:r>
      <w:r>
        <w:rPr>
          <w:rFonts w:hint="cs"/>
          <w:rtl/>
        </w:rPr>
        <w:t xml:space="preserve"> </w:t>
      </w:r>
      <w:r w:rsidRPr="00623B77">
        <w:rPr>
          <w:rStyle w:val="af7"/>
          <w:rFonts w:eastAsia="Guttman Hodes" w:hint="cs"/>
          <w:rtl/>
        </w:rPr>
        <w:t>(</w:t>
      </w:r>
      <w:r w:rsidRPr="00CB0626">
        <w:rPr>
          <w:rStyle w:val="af7"/>
          <w:rFonts w:eastAsia="Guttman Hodes" w:hint="cs"/>
          <w:rtl/>
        </w:rPr>
        <w:t xml:space="preserve">עי' אות </w:t>
      </w:r>
      <w:r w:rsidRPr="00CB0626">
        <w:rPr>
          <w:rStyle w:val="af7"/>
          <w:rFonts w:eastAsia="Guttman Hodes"/>
          <w:rtl/>
        </w:rPr>
        <w:fldChar w:fldCharType="begin"/>
      </w:r>
      <w:r w:rsidRPr="00CB0626">
        <w:rPr>
          <w:rStyle w:val="af7"/>
          <w:rFonts w:eastAsia="Guttman Hodes"/>
          <w:rtl/>
        </w:rPr>
        <w:instrText xml:space="preserve"> </w:instrText>
      </w:r>
      <w:r w:rsidRPr="00CB0626">
        <w:rPr>
          <w:rStyle w:val="af7"/>
          <w:rFonts w:eastAsia="Guttman Hodes" w:hint="cs"/>
        </w:rPr>
        <w:instrText>REF</w:instrText>
      </w:r>
      <w:r w:rsidRPr="00CB0626">
        <w:rPr>
          <w:rStyle w:val="af7"/>
          <w:rFonts w:eastAsia="Guttman Hodes" w:hint="cs"/>
          <w:rtl/>
        </w:rPr>
        <w:instrText xml:space="preserve"> _</w:instrText>
      </w:r>
      <w:r w:rsidRPr="00CB0626">
        <w:rPr>
          <w:rStyle w:val="af7"/>
          <w:rFonts w:eastAsia="Guttman Hodes" w:hint="cs"/>
        </w:rPr>
        <w:instrText>Ref59654466 \r \h</w:instrText>
      </w:r>
      <w:r w:rsidRPr="00CB0626">
        <w:rPr>
          <w:rStyle w:val="af7"/>
          <w:rFonts w:eastAsia="Guttman Hodes"/>
          <w:rtl/>
        </w:rPr>
        <w:instrText xml:space="preserve"> </w:instrText>
      </w:r>
      <w:r w:rsidRPr="00CB0626">
        <w:rPr>
          <w:rStyle w:val="af7"/>
          <w:rFonts w:eastAsia="Guttman Hodes"/>
          <w:rtl/>
        </w:rPr>
      </w:r>
      <w:r w:rsidRPr="00CB0626">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sidRPr="00CB0626">
        <w:rPr>
          <w:rStyle w:val="af7"/>
          <w:rFonts w:eastAsia="Guttman Hodes"/>
          <w:rtl/>
        </w:rPr>
        <w:fldChar w:fldCharType="end"/>
      </w:r>
      <w:r>
        <w:rPr>
          <w:rFonts w:hint="cs"/>
          <w:rtl/>
        </w:rPr>
        <w:t>.</w:t>
      </w:r>
      <w:bookmarkEnd w:id="10266"/>
    </w:p>
    <w:p w:rsidR="000E75A3" w:rsidRDefault="000E75A3" w:rsidP="000E75A3">
      <w:pPr>
        <w:pStyle w:val="afe"/>
        <w:rPr>
          <w:rtl/>
        </w:rPr>
      </w:pPr>
      <w:bookmarkStart w:id="10267" w:name="_Toc59916245"/>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r>
        <w:rPr>
          <w:rFonts w:hint="cs"/>
          <w:rtl/>
        </w:rPr>
        <w:t>ביאור הגרנ"פ ברשב"ם בגדר הפה שאסר</w:t>
      </w:r>
    </w:p>
    <w:p w:rsidR="000E75A3" w:rsidRDefault="000E75A3" w:rsidP="000E75A3">
      <w:pPr>
        <w:pStyle w:val="1"/>
        <w:rPr>
          <w:rtl/>
        </w:rPr>
      </w:pPr>
      <w:r>
        <w:rPr>
          <w:rFonts w:hint="cs"/>
          <w:rtl/>
        </w:rPr>
        <w:t>קושיות הגרנ"פ על הרשב"ם דל"מ מיגו דלהד"ם</w:t>
      </w:r>
      <w:bookmarkEnd w:id="10267"/>
    </w:p>
    <w:p w:rsidR="000E75A3" w:rsidRDefault="000E75A3" w:rsidP="000E75A3">
      <w:pPr>
        <w:pStyle w:val="a3"/>
        <w:rPr>
          <w:rtl/>
        </w:rPr>
      </w:pPr>
      <w:bookmarkStart w:id="10268" w:name="_Toc59802683"/>
      <w:bookmarkStart w:id="10269" w:name="_Toc59916246"/>
      <w:r>
        <w:rPr>
          <w:rFonts w:hint="cs"/>
          <w:rtl/>
        </w:rPr>
        <w:t>קו' הגרנ"פ על הרשב"ם דאמאי כ' מיגו דמינך זבינתה ול"מ חד יומא בלא חזקה במיגו דלהד"ם</w:t>
      </w:r>
      <w:bookmarkEnd w:id="10268"/>
      <w:bookmarkEnd w:id="10269"/>
    </w:p>
    <w:p w:rsidR="000E75A3" w:rsidRPr="00FF18BF" w:rsidRDefault="000E75A3" w:rsidP="007E4E81">
      <w:pPr>
        <w:pStyle w:val="a0"/>
        <w:rPr>
          <w:rtl/>
        </w:rPr>
      </w:pPr>
      <w:r>
        <w:rPr>
          <w:rFonts w:hint="cs"/>
          <w:rtl/>
        </w:rPr>
        <w:t xml:space="preserve">במה שביאר </w:t>
      </w:r>
      <w:r w:rsidRPr="00252137">
        <w:rPr>
          <w:rStyle w:val="af9"/>
          <w:rFonts w:hint="cs"/>
          <w:rtl/>
        </w:rPr>
        <w:t>הטור</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Ref59651096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Pr>
          <w:rStyle w:val="af7"/>
          <w:rFonts w:eastAsia="Guttman Hodes"/>
          <w:rtl/>
        </w:rPr>
        <w:fldChar w:fldCharType="end"/>
      </w:r>
      <w:r>
        <w:rPr>
          <w:rStyle w:val="af7"/>
          <w:rFonts w:eastAsia="Guttman Hodes" w:hint="cs"/>
          <w:rtl/>
        </w:rPr>
        <w:t xml:space="preserve"> </w:t>
      </w:r>
      <w:r w:rsidRPr="00252137">
        <w:rPr>
          <w:rStyle w:val="af9"/>
          <w:rFonts w:hint="cs"/>
          <w:rtl/>
        </w:rPr>
        <w:t xml:space="preserve">הרשב"ם </w:t>
      </w:r>
      <w:r w:rsidRPr="00234E7F">
        <w:rPr>
          <w:rStyle w:val="af7"/>
          <w:rFonts w:eastAsia="Guttman Hodes" w:hint="cs"/>
          <w:rtl/>
        </w:rPr>
        <w:t xml:space="preserve">(עי' אות </w:t>
      </w:r>
      <w:r w:rsidRPr="00234E7F">
        <w:rPr>
          <w:rStyle w:val="af7"/>
          <w:rFonts w:eastAsia="Guttman Hodes"/>
          <w:rtl/>
        </w:rPr>
        <w:fldChar w:fldCharType="begin"/>
      </w:r>
      <w:r w:rsidRPr="00234E7F">
        <w:rPr>
          <w:rStyle w:val="af7"/>
          <w:rFonts w:eastAsia="Guttman Hodes"/>
          <w:rtl/>
        </w:rPr>
        <w:instrText xml:space="preserve"> </w:instrText>
      </w:r>
      <w:r w:rsidRPr="00234E7F">
        <w:rPr>
          <w:rStyle w:val="af7"/>
          <w:rFonts w:eastAsia="Guttman Hodes" w:hint="cs"/>
        </w:rPr>
        <w:instrText>REF</w:instrText>
      </w:r>
      <w:r w:rsidRPr="00234E7F">
        <w:rPr>
          <w:rStyle w:val="af7"/>
          <w:rFonts w:eastAsia="Guttman Hodes" w:hint="cs"/>
          <w:rtl/>
        </w:rPr>
        <w:instrText xml:space="preserve"> _</w:instrText>
      </w:r>
      <w:r w:rsidRPr="00234E7F">
        <w:rPr>
          <w:rStyle w:val="af7"/>
          <w:rFonts w:eastAsia="Guttman Hodes" w:hint="cs"/>
        </w:rPr>
        <w:instrText>Ref59546095 \r \h</w:instrText>
      </w:r>
      <w:r w:rsidRPr="00234E7F">
        <w:rPr>
          <w:rStyle w:val="af7"/>
          <w:rFonts w:eastAsia="Guttman Hodes"/>
          <w:rtl/>
        </w:rPr>
        <w:instrText xml:space="preserve"> </w:instrText>
      </w:r>
      <w:r w:rsidRPr="00234E7F">
        <w:rPr>
          <w:rStyle w:val="af7"/>
          <w:rFonts w:eastAsia="Guttman Hodes"/>
          <w:rtl/>
        </w:rPr>
      </w:r>
      <w:r w:rsidRPr="00234E7F">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234E7F">
        <w:rPr>
          <w:rStyle w:val="af7"/>
          <w:rFonts w:eastAsia="Guttman Hodes"/>
          <w:rtl/>
        </w:rPr>
        <w:fldChar w:fldCharType="end"/>
      </w:r>
      <w:r>
        <w:rPr>
          <w:rFonts w:hint="cs"/>
          <w:rtl/>
        </w:rPr>
        <w:t xml:space="preserve"> דטענת קמי דידי מהני רק כשיש לו חזקת ג"ש, הקשה </w:t>
      </w:r>
      <w:r w:rsidRPr="00252137">
        <w:rPr>
          <w:rStyle w:val="af9"/>
          <w:rFonts w:hint="cs"/>
          <w:rtl/>
        </w:rPr>
        <w:t>בחי' רבי נחום</w:t>
      </w:r>
      <w:r>
        <w:rPr>
          <w:rFonts w:hint="cs"/>
          <w:rtl/>
        </w:rPr>
        <w:t xml:space="preserve"> </w:t>
      </w:r>
      <w:r w:rsidRPr="00252137">
        <w:rPr>
          <w:rStyle w:val="af7"/>
          <w:rFonts w:eastAsia="Guttman Hodes" w:hint="cs"/>
          <w:rtl/>
        </w:rPr>
        <w:t>(או' נ"ט ד"ה עוד כתב)</w:t>
      </w:r>
      <w:r>
        <w:rPr>
          <w:rFonts w:hint="cs"/>
          <w:rtl/>
        </w:rPr>
        <w:t xml:space="preserve"> דאמאי ס"ל </w:t>
      </w:r>
      <w:r w:rsidRPr="00FF18BF">
        <w:rPr>
          <w:rStyle w:val="af9"/>
          <w:rFonts w:hint="cs"/>
          <w:rtl/>
        </w:rPr>
        <w:t>להרשב"ם</w:t>
      </w:r>
      <w:r>
        <w:rPr>
          <w:rFonts w:hint="cs"/>
          <w:rtl/>
        </w:rPr>
        <w:t xml:space="preserve"> דלא מהני טענת ברי, במיגו דהיה טוען דלא הייתה שלך מעולם, והוסיף </w:t>
      </w:r>
      <w:r w:rsidRPr="00FF18BF">
        <w:rPr>
          <w:rStyle w:val="af9"/>
          <w:rFonts w:hint="cs"/>
          <w:rtl/>
        </w:rPr>
        <w:t xml:space="preserve">בחי' רבי נחום </w:t>
      </w:r>
      <w:r>
        <w:rPr>
          <w:rStyle w:val="af9"/>
          <w:rFonts w:hint="cs"/>
          <w:rtl/>
        </w:rPr>
        <w:t>ד</w:t>
      </w:r>
      <w:r w:rsidRPr="00775FC8">
        <w:rPr>
          <w:rStyle w:val="af9"/>
          <w:rFonts w:hint="cs"/>
          <w:rtl/>
        </w:rPr>
        <w:t>הרשב"ם</w:t>
      </w:r>
      <w:r>
        <w:rPr>
          <w:rFonts w:hint="cs"/>
          <w:rtl/>
        </w:rPr>
        <w:t xml:space="preserve"> </w:t>
      </w:r>
      <w:r w:rsidRPr="00091DF9">
        <w:rPr>
          <w:rStyle w:val="af7"/>
          <w:rFonts w:eastAsia="Guttman Hodes" w:hint="cs"/>
          <w:rtl/>
        </w:rPr>
        <w:t>(ד"ה א"ל</w:t>
      </w:r>
      <w:r>
        <w:rPr>
          <w:rStyle w:val="af7"/>
          <w:rFonts w:eastAsia="Guttman Hodes" w:hint="cs"/>
          <w:rtl/>
        </w:rPr>
        <w:t>, הובא בסימן ח' אות מ"ג)</w:t>
      </w:r>
      <w:r>
        <w:rPr>
          <w:rFonts w:hint="cs"/>
          <w:rtl/>
        </w:rPr>
        <w:t xml:space="preserve"> באמת כתב דהמיגו הוא </w:t>
      </w:r>
      <w:r w:rsidRPr="00FF18BF">
        <w:rPr>
          <w:rFonts w:hint="cs"/>
          <w:rtl/>
        </w:rPr>
        <w:t>דמינך זבינתה, וטענה זו יכול לטעון רק כשיש לו חזקת ג"ש, אך זה גופא קשה דהוא נאמן אף במיגו דלא הייתה של המערער מעולם.</w:t>
      </w:r>
    </w:p>
    <w:p w:rsidR="000E75A3" w:rsidRPr="00FF18BF" w:rsidRDefault="000E75A3" w:rsidP="000E75A3">
      <w:pPr>
        <w:pStyle w:val="a3"/>
        <w:rPr>
          <w:rtl/>
        </w:rPr>
      </w:pPr>
      <w:bookmarkStart w:id="10270" w:name="_Toc59802684"/>
      <w:bookmarkStart w:id="10271" w:name="_Toc59916247"/>
      <w:r>
        <w:rPr>
          <w:rFonts w:hint="cs"/>
          <w:rtl/>
        </w:rPr>
        <w:t>קו' הגרנ"פ דהש"ך הוכיח מהמשך הרשב"ם דא"צ חזקה ולהטור הוא סתירא לתחילת הרשב"ם</w:t>
      </w:r>
      <w:bookmarkEnd w:id="10270"/>
      <w:bookmarkEnd w:id="10271"/>
    </w:p>
    <w:p w:rsidR="000E75A3" w:rsidRPr="00FF18BF" w:rsidRDefault="000E75A3" w:rsidP="007E4E81">
      <w:pPr>
        <w:pStyle w:val="a0"/>
        <w:rPr>
          <w:rtl/>
        </w:rPr>
      </w:pPr>
      <w:r w:rsidRPr="00FF18BF">
        <w:rPr>
          <w:rFonts w:hint="cs"/>
          <w:rtl/>
        </w:rPr>
        <w:t xml:space="preserve">ועוד הקשה </w:t>
      </w:r>
      <w:r w:rsidRPr="00FF18BF">
        <w:rPr>
          <w:rStyle w:val="af9"/>
          <w:rFonts w:hint="cs"/>
          <w:rtl/>
        </w:rPr>
        <w:t xml:space="preserve">בחי' רבי נחום </w:t>
      </w:r>
      <w:r w:rsidRPr="00FF18BF">
        <w:rPr>
          <w:rFonts w:hint="cs"/>
          <w:rtl/>
        </w:rPr>
        <w:t>דיש סתירה בדברי</w:t>
      </w:r>
      <w:r w:rsidRPr="00FF18BF">
        <w:rPr>
          <w:rStyle w:val="af9"/>
          <w:rFonts w:hint="cs"/>
          <w:rtl/>
        </w:rPr>
        <w:t xml:space="preserve"> הרשב"ם</w:t>
      </w:r>
      <w:r w:rsidRPr="00FF18BF">
        <w:rPr>
          <w:rFonts w:hint="cs"/>
          <w:rtl/>
        </w:rPr>
        <w:t xml:space="preserve"> ממ"ש </w:t>
      </w:r>
      <w:r w:rsidRPr="00FF18BF">
        <w:rPr>
          <w:rStyle w:val="af9"/>
          <w:rFonts w:hint="cs"/>
          <w:rtl/>
        </w:rPr>
        <w:t>הרשב"ם</w:t>
      </w:r>
      <w:r w:rsidRPr="00FF18BF">
        <w:rPr>
          <w:rFonts w:hint="cs"/>
          <w:rtl/>
        </w:rPr>
        <w:t xml:space="preserve"> בהמשך דבריו, דהכא שאין חזקת ג"ש, אף כשיש עדים דדר חד יומא, אבל המחזיק אינו יודע אם קנה מהמערער, לא מהני כיון שאין לו חזקת ג"ש, ו</w:t>
      </w:r>
      <w:r>
        <w:rPr>
          <w:rFonts w:hint="cs"/>
          <w:rtl/>
        </w:rPr>
        <w:t>כתב</w:t>
      </w:r>
      <w:r w:rsidRPr="00FF18BF">
        <w:rPr>
          <w:rFonts w:hint="cs"/>
          <w:rtl/>
        </w:rPr>
        <w:t xml:space="preserve"> </w:t>
      </w:r>
      <w:r w:rsidRPr="00FF18BF">
        <w:rPr>
          <w:rStyle w:val="af9"/>
          <w:rFonts w:hint="cs"/>
          <w:rtl/>
        </w:rPr>
        <w:t>בחי' רבי נחום</w:t>
      </w:r>
      <w:r w:rsidRPr="00FF18BF">
        <w:rPr>
          <w:rFonts w:hint="cs"/>
          <w:rtl/>
        </w:rPr>
        <w:t xml:space="preserve"> </w:t>
      </w:r>
      <w:r>
        <w:rPr>
          <w:rFonts w:hint="cs"/>
          <w:rtl/>
        </w:rPr>
        <w:t>דמ</w:t>
      </w:r>
      <w:r w:rsidRPr="00FF18BF">
        <w:rPr>
          <w:rFonts w:hint="cs"/>
          <w:rtl/>
        </w:rPr>
        <w:t xml:space="preserve">דברי </w:t>
      </w:r>
      <w:r w:rsidRPr="00FF18BF">
        <w:rPr>
          <w:rStyle w:val="af9"/>
          <w:rFonts w:hint="cs"/>
          <w:rtl/>
        </w:rPr>
        <w:t>הרשב"ם</w:t>
      </w:r>
      <w:r w:rsidRPr="00FF18BF">
        <w:rPr>
          <w:rFonts w:hint="cs"/>
          <w:rtl/>
        </w:rPr>
        <w:t xml:space="preserve"> הללו</w:t>
      </w:r>
      <w:r>
        <w:rPr>
          <w:rFonts w:hint="cs"/>
          <w:rtl/>
        </w:rPr>
        <w:t xml:space="preserve"> הוכיח </w:t>
      </w:r>
      <w:r w:rsidRPr="00FF18BF">
        <w:rPr>
          <w:rStyle w:val="af9"/>
          <w:rFonts w:hint="cs"/>
          <w:rtl/>
        </w:rPr>
        <w:t>הש"ך</w:t>
      </w:r>
      <w:r w:rsidRPr="00FF18BF">
        <w:rPr>
          <w:rStyle w:val="af7"/>
          <w:rFonts w:eastAsia="Guttman Hodes" w:hint="cs"/>
          <w:rtl/>
        </w:rPr>
        <w:t xml:space="preserve"> (עי' אות </w:t>
      </w:r>
      <w:r w:rsidRPr="00FF18BF">
        <w:rPr>
          <w:rStyle w:val="af7"/>
          <w:rFonts w:eastAsia="Guttman Hodes"/>
          <w:rtl/>
        </w:rPr>
        <w:fldChar w:fldCharType="begin"/>
      </w:r>
      <w:r w:rsidRPr="00FF18BF">
        <w:rPr>
          <w:rStyle w:val="af7"/>
          <w:rFonts w:eastAsia="Guttman Hodes"/>
          <w:rtl/>
        </w:rPr>
        <w:instrText xml:space="preserve"> </w:instrText>
      </w:r>
      <w:r w:rsidRPr="00FF18BF">
        <w:rPr>
          <w:rStyle w:val="af7"/>
          <w:rFonts w:eastAsia="Guttman Hodes" w:hint="cs"/>
        </w:rPr>
        <w:instrText>REF</w:instrText>
      </w:r>
      <w:r w:rsidRPr="00FF18BF">
        <w:rPr>
          <w:rStyle w:val="af7"/>
          <w:rFonts w:eastAsia="Guttman Hodes" w:hint="cs"/>
          <w:rtl/>
        </w:rPr>
        <w:instrText xml:space="preserve"> _</w:instrText>
      </w:r>
      <w:r w:rsidRPr="00FF18BF">
        <w:rPr>
          <w:rStyle w:val="af7"/>
          <w:rFonts w:eastAsia="Guttman Hodes" w:hint="cs"/>
        </w:rPr>
        <w:instrText>Ref59613710 \r \h</w:instrText>
      </w:r>
      <w:r w:rsidRPr="00FF18BF">
        <w:rPr>
          <w:rStyle w:val="af7"/>
          <w:rFonts w:eastAsia="Guttman Hodes"/>
          <w:rtl/>
        </w:rPr>
        <w:instrText xml:space="preserve">  \* </w:instrText>
      </w:r>
      <w:r w:rsidRPr="00FF18BF">
        <w:rPr>
          <w:rStyle w:val="af7"/>
          <w:rFonts w:eastAsia="Guttman Hodes"/>
        </w:rPr>
        <w:instrText>MERGEFORMAT</w:instrText>
      </w:r>
      <w:r w:rsidRPr="00FF18BF">
        <w:rPr>
          <w:rStyle w:val="af7"/>
          <w:rFonts w:eastAsia="Guttman Hodes"/>
          <w:rtl/>
        </w:rPr>
        <w:instrText xml:space="preserve"> </w:instrText>
      </w:r>
      <w:r w:rsidRPr="00FF18BF">
        <w:rPr>
          <w:rStyle w:val="af7"/>
          <w:rFonts w:eastAsia="Guttman Hodes"/>
          <w:rtl/>
        </w:rPr>
      </w:r>
      <w:r w:rsidRPr="00FF18BF">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FF18BF">
        <w:rPr>
          <w:rStyle w:val="af7"/>
          <w:rFonts w:eastAsia="Guttman Hodes"/>
          <w:rtl/>
        </w:rPr>
        <w:fldChar w:fldCharType="end"/>
      </w:r>
      <w:r w:rsidRPr="00FF18BF">
        <w:rPr>
          <w:rStyle w:val="af7"/>
          <w:rFonts w:eastAsia="Guttman Hodes" w:hint="cs"/>
          <w:rtl/>
        </w:rPr>
        <w:t xml:space="preserve"> </w:t>
      </w:r>
      <w:r>
        <w:rPr>
          <w:rFonts w:hint="cs"/>
          <w:rtl/>
        </w:rPr>
        <w:t xml:space="preserve">דבקמי דידי </w:t>
      </w:r>
      <w:r w:rsidRPr="00FF18BF">
        <w:rPr>
          <w:rFonts w:hint="cs"/>
          <w:rtl/>
        </w:rPr>
        <w:t xml:space="preserve">הוא נאמן אף כשאין לו חזקת ג"ש, במיגו דלא הייתה של המערער מעלם, וא"כ לביאור </w:t>
      </w:r>
      <w:r w:rsidRPr="00FF18BF">
        <w:rPr>
          <w:rStyle w:val="af9"/>
          <w:rFonts w:hint="cs"/>
          <w:rtl/>
        </w:rPr>
        <w:t>הטור</w:t>
      </w:r>
      <w:r w:rsidRPr="00FF18BF">
        <w:rPr>
          <w:rFonts w:hint="cs"/>
          <w:rtl/>
        </w:rPr>
        <w:t xml:space="preserve"> </w:t>
      </w:r>
      <w:r w:rsidRPr="00FF18BF">
        <w:rPr>
          <w:rStyle w:val="af7"/>
          <w:rFonts w:eastAsia="Guttman Hodes" w:hint="cs"/>
          <w:rtl/>
        </w:rPr>
        <w:t xml:space="preserve">(עי' אות </w:t>
      </w:r>
      <w:r w:rsidRPr="00FF18BF">
        <w:rPr>
          <w:rStyle w:val="af7"/>
          <w:rFonts w:eastAsia="Guttman Hodes"/>
          <w:rtl/>
        </w:rPr>
        <w:fldChar w:fldCharType="begin"/>
      </w:r>
      <w:r w:rsidRPr="00FF18BF">
        <w:rPr>
          <w:rStyle w:val="af7"/>
          <w:rFonts w:eastAsia="Guttman Hodes"/>
          <w:rtl/>
        </w:rPr>
        <w:instrText xml:space="preserve"> </w:instrText>
      </w:r>
      <w:r w:rsidRPr="00FF18BF">
        <w:rPr>
          <w:rStyle w:val="af7"/>
          <w:rFonts w:eastAsia="Guttman Hodes" w:hint="cs"/>
        </w:rPr>
        <w:instrText>REF</w:instrText>
      </w:r>
      <w:r w:rsidRPr="00FF18BF">
        <w:rPr>
          <w:rStyle w:val="af7"/>
          <w:rFonts w:eastAsia="Guttman Hodes" w:hint="cs"/>
          <w:rtl/>
        </w:rPr>
        <w:instrText xml:space="preserve"> _</w:instrText>
      </w:r>
      <w:r w:rsidRPr="00FF18BF">
        <w:rPr>
          <w:rStyle w:val="af7"/>
          <w:rFonts w:eastAsia="Guttman Hodes" w:hint="cs"/>
        </w:rPr>
        <w:instrText>Ref59651096 \r \h</w:instrText>
      </w:r>
      <w:r w:rsidRPr="00FF18B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F18BF">
        <w:rPr>
          <w:rStyle w:val="af7"/>
          <w:rFonts w:eastAsia="Guttman Hodes"/>
          <w:rtl/>
        </w:rPr>
      </w:r>
      <w:r w:rsidRPr="00FF18BF">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FF18BF">
        <w:rPr>
          <w:rStyle w:val="af7"/>
          <w:rFonts w:eastAsia="Guttman Hodes"/>
          <w:rtl/>
        </w:rPr>
        <w:fldChar w:fldCharType="end"/>
      </w:r>
      <w:r w:rsidRPr="00FF18BF">
        <w:rPr>
          <w:rStyle w:val="af7"/>
          <w:rFonts w:eastAsia="Guttman Hodes" w:hint="cs"/>
          <w:rtl/>
        </w:rPr>
        <w:t xml:space="preserve"> </w:t>
      </w:r>
      <w:r w:rsidRPr="00FF18BF">
        <w:rPr>
          <w:rStyle w:val="af9"/>
          <w:rFonts w:hint="cs"/>
          <w:rtl/>
        </w:rPr>
        <w:t>ברשב"ם</w:t>
      </w:r>
      <w:r w:rsidRPr="00FF18BF">
        <w:rPr>
          <w:rFonts w:hint="cs"/>
          <w:rtl/>
        </w:rPr>
        <w:t xml:space="preserve"> דרק בחזקת ג"ש מהני טענת ברי, קשה דדברי </w:t>
      </w:r>
      <w:r w:rsidRPr="00FF18BF">
        <w:rPr>
          <w:rStyle w:val="af9"/>
          <w:rFonts w:hint="cs"/>
          <w:rtl/>
        </w:rPr>
        <w:t>הרשב"ם</w:t>
      </w:r>
      <w:r w:rsidRPr="00FF18BF">
        <w:rPr>
          <w:rFonts w:hint="cs"/>
          <w:rtl/>
        </w:rPr>
        <w:t xml:space="preserve"> הללו סותרים למה שביאר </w:t>
      </w:r>
      <w:r w:rsidRPr="00FF18BF">
        <w:rPr>
          <w:rStyle w:val="af9"/>
          <w:rFonts w:hint="cs"/>
          <w:rtl/>
        </w:rPr>
        <w:t>הטור ברשב"ם</w:t>
      </w:r>
      <w:r w:rsidRPr="00FF18BF">
        <w:rPr>
          <w:rFonts w:hint="cs"/>
          <w:rtl/>
        </w:rPr>
        <w:t>.</w:t>
      </w:r>
    </w:p>
    <w:p w:rsidR="000E75A3" w:rsidRPr="00FF18BF" w:rsidRDefault="000E75A3" w:rsidP="000E75A3">
      <w:pPr>
        <w:pStyle w:val="a3"/>
        <w:rPr>
          <w:rtl/>
        </w:rPr>
      </w:pPr>
      <w:bookmarkStart w:id="10272" w:name="_Toc59916248"/>
      <w:r>
        <w:rPr>
          <w:rFonts w:hint="cs"/>
          <w:rtl/>
        </w:rPr>
        <w:t>קושית הגרנ"פ דמשמע ברשב"ם דאף במינך זבינת צריך חזקה ואינו נאמן במיגו דלהד"ם</w:t>
      </w:r>
      <w:bookmarkEnd w:id="10272"/>
    </w:p>
    <w:p w:rsidR="000E75A3" w:rsidRPr="00FF18BF" w:rsidRDefault="000E75A3" w:rsidP="007E4E81">
      <w:pPr>
        <w:pStyle w:val="a0"/>
      </w:pPr>
      <w:bookmarkStart w:id="10273" w:name="_Ref57836428"/>
      <w:r w:rsidRPr="00FF18BF">
        <w:rPr>
          <w:rFonts w:hint="cs"/>
          <w:rtl/>
        </w:rPr>
        <w:t xml:space="preserve">ועוד הקשה </w:t>
      </w:r>
      <w:r w:rsidRPr="00FF18BF">
        <w:rPr>
          <w:rStyle w:val="af9"/>
          <w:rFonts w:hint="cs"/>
          <w:rtl/>
        </w:rPr>
        <w:t>בחי' רבי נחום</w:t>
      </w:r>
      <w:r w:rsidRPr="00FF18BF">
        <w:rPr>
          <w:rFonts w:hint="cs"/>
          <w:rtl/>
        </w:rPr>
        <w:t xml:space="preserve"> </w:t>
      </w:r>
      <w:r w:rsidRPr="00FF18BF">
        <w:rPr>
          <w:rStyle w:val="af7"/>
          <w:rFonts w:eastAsia="Guttman Hodes" w:hint="cs"/>
          <w:rtl/>
        </w:rPr>
        <w:t>(או' נ"ט ד"ה עוד יל"ע)</w:t>
      </w:r>
      <w:r w:rsidRPr="00FF18BF">
        <w:rPr>
          <w:rFonts w:hint="cs"/>
          <w:rtl/>
        </w:rPr>
        <w:t xml:space="preserve"> דממ"ש </w:t>
      </w:r>
      <w:r w:rsidRPr="00FF18BF">
        <w:rPr>
          <w:rStyle w:val="af9"/>
          <w:rFonts w:hint="cs"/>
          <w:rtl/>
        </w:rPr>
        <w:t xml:space="preserve">הרשב"ם </w:t>
      </w:r>
      <w:r w:rsidRPr="00FF18BF">
        <w:rPr>
          <w:rStyle w:val="af7"/>
          <w:rFonts w:eastAsia="Guttman Hodes" w:hint="cs"/>
          <w:rtl/>
        </w:rPr>
        <w:t>(ד"ה זיל)</w:t>
      </w:r>
      <w:r w:rsidRPr="00FF18BF">
        <w:rPr>
          <w:rFonts w:hint="cs"/>
          <w:rtl/>
        </w:rPr>
        <w:t xml:space="preserve"> דטוען המערער שאף אם היית טוען שקנית ממני, מ"מ אין לך ל</w:t>
      </w:r>
      <w:r>
        <w:rPr>
          <w:rFonts w:hint="cs"/>
          <w:rtl/>
        </w:rPr>
        <w:t>א שטר ולא חזקה, משמע דאף כשטוען למערער מינך זבינתה</w:t>
      </w:r>
      <w:r w:rsidRPr="00FF18BF">
        <w:rPr>
          <w:rFonts w:hint="cs"/>
          <w:rtl/>
        </w:rPr>
        <w:t>, הוא נאמן רק כשיש לו חזקת ג"ש, והא כיון שאין למערער עדים א"כ אמאי אין המחזיק נאמן במיגו דלא הייתה שלך מעולם</w:t>
      </w:r>
      <w:r>
        <w:rPr>
          <w:rFonts w:hint="cs"/>
          <w:rtl/>
        </w:rPr>
        <w:t>,</w:t>
      </w:r>
      <w:r w:rsidRPr="00E24B22">
        <w:rPr>
          <w:rFonts w:hint="cs"/>
          <w:rtl/>
        </w:rPr>
        <w:t xml:space="preserve"> </w:t>
      </w:r>
      <w:r>
        <w:rPr>
          <w:rFonts w:hint="cs"/>
          <w:rtl/>
        </w:rPr>
        <w:t xml:space="preserve">ועיי"ש </w:t>
      </w:r>
      <w:r w:rsidRPr="00B057A1">
        <w:rPr>
          <w:rFonts w:hint="cs"/>
          <w:rtl/>
        </w:rPr>
        <w:t xml:space="preserve">במה שהאריך </w:t>
      </w:r>
      <w:r w:rsidRPr="00556279">
        <w:rPr>
          <w:rStyle w:val="af9"/>
          <w:rFonts w:hint="cs"/>
          <w:rtl/>
        </w:rPr>
        <w:t>בחי' רבי נחום</w:t>
      </w:r>
      <w:r w:rsidRPr="00B057A1">
        <w:rPr>
          <w:rFonts w:hint="cs"/>
          <w:rtl/>
        </w:rPr>
        <w:t xml:space="preserve"> </w:t>
      </w:r>
      <w:r w:rsidR="00175D46" w:rsidRPr="00A921EB">
        <w:rPr>
          <w:rStyle w:val="af9"/>
          <w:rFonts w:hint="cs"/>
          <w:rtl/>
        </w:rPr>
        <w:t>נחום</w:t>
      </w:r>
      <w:r w:rsidR="00175D46">
        <w:rPr>
          <w:rFonts w:hint="cs"/>
          <w:rtl/>
        </w:rPr>
        <w:t xml:space="preserve"> </w:t>
      </w:r>
      <w:r w:rsidR="00175D46" w:rsidRPr="00A921EB">
        <w:rPr>
          <w:rStyle w:val="af7"/>
          <w:rFonts w:eastAsia="Guttman Hodes" w:hint="cs"/>
          <w:rtl/>
        </w:rPr>
        <w:t>(או' נ"ט ד"ה אמנם מלשון</w:t>
      </w:r>
      <w:r w:rsidR="00175D46">
        <w:rPr>
          <w:rStyle w:val="af7"/>
          <w:rFonts w:eastAsia="Guttman Hodes" w:hint="cs"/>
          <w:rtl/>
        </w:rPr>
        <w:t>, הובא בסימן י"א אות ק')</w:t>
      </w:r>
      <w:r w:rsidR="00175D46">
        <w:rPr>
          <w:rFonts w:hint="cs"/>
          <w:rtl/>
        </w:rPr>
        <w:t xml:space="preserve"> </w:t>
      </w:r>
      <w:r w:rsidRPr="00B057A1">
        <w:rPr>
          <w:rFonts w:hint="cs"/>
          <w:rtl/>
        </w:rPr>
        <w:t xml:space="preserve">דלא </w:t>
      </w:r>
      <w:r w:rsidRPr="00B057A1">
        <w:rPr>
          <w:rFonts w:hint="cs"/>
          <w:rtl/>
        </w:rPr>
        <w:lastRenderedPageBreak/>
        <w:t xml:space="preserve">משמע </w:t>
      </w:r>
      <w:r w:rsidRPr="00556279">
        <w:rPr>
          <w:rStyle w:val="af9"/>
          <w:rFonts w:hint="cs"/>
          <w:rtl/>
        </w:rPr>
        <w:t>ברשב"ם</w:t>
      </w:r>
      <w:r w:rsidRPr="00B057A1">
        <w:rPr>
          <w:rFonts w:hint="cs"/>
          <w:rtl/>
        </w:rPr>
        <w:t xml:space="preserve"> כדברי </w:t>
      </w:r>
      <w:r w:rsidRPr="00556279">
        <w:rPr>
          <w:rStyle w:val="af9"/>
          <w:rFonts w:hint="cs"/>
          <w:rtl/>
        </w:rPr>
        <w:t>הדרישה</w:t>
      </w:r>
      <w:r w:rsidRPr="00B057A1">
        <w:rPr>
          <w:rFonts w:hint="cs"/>
          <w:rtl/>
        </w:rPr>
        <w:t xml:space="preserve"> </w:t>
      </w:r>
      <w:r w:rsidRPr="00556279">
        <w:rPr>
          <w:rStyle w:val="af9"/>
          <w:rFonts w:hint="cs"/>
          <w:rtl/>
        </w:rPr>
        <w:t>והבית</w:t>
      </w:r>
      <w:r w:rsidRPr="00B057A1">
        <w:rPr>
          <w:rFonts w:hint="cs"/>
          <w:rtl/>
        </w:rPr>
        <w:t xml:space="preserve"> </w:t>
      </w:r>
      <w:r w:rsidRPr="00556279">
        <w:rPr>
          <w:rStyle w:val="af9"/>
          <w:rFonts w:hint="cs"/>
          <w:rtl/>
        </w:rPr>
        <w:t>הלוי</w:t>
      </w:r>
      <w:r w:rsidRPr="00B057A1">
        <w:rPr>
          <w:rFonts w:hint="cs"/>
          <w:rtl/>
        </w:rPr>
        <w:t xml:space="preserve"> </w:t>
      </w:r>
      <w:r w:rsidRPr="007E62B1">
        <w:rPr>
          <w:rStyle w:val="af7"/>
          <w:rFonts w:eastAsia="Guttman Hodes" w:hint="cs"/>
          <w:rtl/>
        </w:rPr>
        <w:t xml:space="preserve">(עי' אות </w:t>
      </w:r>
      <w:r w:rsidRPr="007E62B1">
        <w:rPr>
          <w:rStyle w:val="af7"/>
          <w:rFonts w:eastAsia="Guttman Hodes"/>
          <w:rtl/>
        </w:rPr>
        <w:fldChar w:fldCharType="begin"/>
      </w:r>
      <w:r w:rsidRPr="007E62B1">
        <w:rPr>
          <w:rStyle w:val="af7"/>
          <w:rFonts w:eastAsia="Guttman Hodes"/>
          <w:rtl/>
        </w:rPr>
        <w:instrText xml:space="preserve"> </w:instrText>
      </w:r>
      <w:r w:rsidRPr="007E62B1">
        <w:rPr>
          <w:rStyle w:val="af7"/>
          <w:rFonts w:eastAsia="Guttman Hodes" w:hint="cs"/>
        </w:rPr>
        <w:instrText>REF</w:instrText>
      </w:r>
      <w:r w:rsidRPr="007E62B1">
        <w:rPr>
          <w:rStyle w:val="af7"/>
          <w:rFonts w:eastAsia="Guttman Hodes" w:hint="cs"/>
          <w:rtl/>
        </w:rPr>
        <w:instrText xml:space="preserve"> _</w:instrText>
      </w:r>
      <w:r w:rsidRPr="007E62B1">
        <w:rPr>
          <w:rStyle w:val="af7"/>
          <w:rFonts w:eastAsia="Guttman Hodes" w:hint="cs"/>
        </w:rPr>
        <w:instrText>Ref59700524 \r \h</w:instrText>
      </w:r>
      <w:r w:rsidRPr="007E62B1">
        <w:rPr>
          <w:rStyle w:val="af7"/>
          <w:rFonts w:eastAsia="Guttman Hodes"/>
          <w:rtl/>
        </w:rPr>
        <w:instrText xml:space="preserve"> </w:instrText>
      </w:r>
      <w:r w:rsidRPr="007E62B1">
        <w:rPr>
          <w:rStyle w:val="af7"/>
          <w:rFonts w:eastAsia="Guttman Hodes"/>
          <w:rtl/>
        </w:rPr>
      </w:r>
      <w:r w:rsidRPr="007E62B1">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7E62B1">
        <w:rPr>
          <w:rStyle w:val="af7"/>
          <w:rFonts w:eastAsia="Guttman Hodes"/>
          <w:rtl/>
        </w:rPr>
        <w:fldChar w:fldCharType="end"/>
      </w:r>
      <w:r w:rsidRPr="00B057A1">
        <w:rPr>
          <w:rFonts w:hint="cs"/>
          <w:rtl/>
        </w:rPr>
        <w:t>,</w:t>
      </w:r>
      <w:r>
        <w:rPr>
          <w:rFonts w:hint="cs"/>
          <w:rtl/>
        </w:rPr>
        <w:t xml:space="preserve"> </w:t>
      </w:r>
      <w:r w:rsidRPr="00215AFB">
        <w:rPr>
          <w:rStyle w:val="af9"/>
          <w:rFonts w:hint="cs"/>
          <w:rtl/>
        </w:rPr>
        <w:t>דלרשב"ם</w:t>
      </w:r>
      <w:r>
        <w:rPr>
          <w:rFonts w:hint="cs"/>
          <w:rtl/>
        </w:rPr>
        <w:t xml:space="preserve"> לא מהני מיגו </w:t>
      </w:r>
      <w:r w:rsidRPr="00215AFB">
        <w:rPr>
          <w:rFonts w:hint="cs"/>
          <w:rtl/>
        </w:rPr>
        <w:t>בתוך ג"ש, כיון דאמרינן ליה אחוי שטרך</w:t>
      </w:r>
      <w:r w:rsidRPr="00FF18BF">
        <w:rPr>
          <w:rFonts w:hint="cs"/>
          <w:rtl/>
        </w:rPr>
        <w:t>.</w:t>
      </w:r>
      <w:bookmarkEnd w:id="10273"/>
    </w:p>
    <w:p w:rsidR="000E75A3" w:rsidRDefault="000E75A3" w:rsidP="000E75A3">
      <w:pPr>
        <w:pStyle w:val="1"/>
        <w:rPr>
          <w:rtl/>
        </w:rPr>
      </w:pPr>
      <w:bookmarkStart w:id="10274" w:name="_Toc59490164"/>
      <w:bookmarkStart w:id="10275" w:name="_Toc59620361"/>
      <w:bookmarkStart w:id="10276" w:name="_Toc59643635"/>
      <w:bookmarkStart w:id="10277" w:name="_Toc59741733"/>
      <w:bookmarkStart w:id="10278" w:name="_Toc59786868"/>
      <w:bookmarkStart w:id="10279" w:name="_Toc59802685"/>
      <w:bookmarkStart w:id="10280" w:name="_Toc59916249"/>
      <w:bookmarkStart w:id="10281" w:name="_Toc59464667"/>
      <w:r w:rsidRPr="00FF18BF">
        <w:rPr>
          <w:rFonts w:hint="cs"/>
          <w:rtl/>
        </w:rPr>
        <w:t xml:space="preserve">ביאור הגרנ"פ </w:t>
      </w:r>
      <w:r>
        <w:rPr>
          <w:rFonts w:hint="cs"/>
          <w:rtl/>
        </w:rPr>
        <w:t>בגדר הפה שאסר ל</w:t>
      </w:r>
      <w:r w:rsidRPr="00FF18BF">
        <w:rPr>
          <w:rFonts w:hint="cs"/>
          <w:rtl/>
        </w:rPr>
        <w:t>רשב</w:t>
      </w:r>
      <w:r>
        <w:rPr>
          <w:rFonts w:hint="cs"/>
          <w:rtl/>
        </w:rPr>
        <w:t>"ם</w:t>
      </w:r>
      <w:bookmarkEnd w:id="10274"/>
      <w:bookmarkEnd w:id="10275"/>
      <w:bookmarkEnd w:id="10276"/>
      <w:bookmarkEnd w:id="10277"/>
      <w:bookmarkEnd w:id="10278"/>
      <w:bookmarkEnd w:id="10279"/>
      <w:r>
        <w:rPr>
          <w:rFonts w:hint="cs"/>
          <w:rtl/>
        </w:rPr>
        <w:t xml:space="preserve"> ולרי"ף</w:t>
      </w:r>
      <w:bookmarkEnd w:id="10280"/>
      <w:r>
        <w:rPr>
          <w:rFonts w:hint="cs"/>
          <w:rtl/>
        </w:rPr>
        <w:t xml:space="preserve"> </w:t>
      </w:r>
    </w:p>
    <w:p w:rsidR="000E75A3" w:rsidRDefault="000E75A3" w:rsidP="000E75A3">
      <w:pPr>
        <w:pStyle w:val="a3"/>
        <w:rPr>
          <w:rtl/>
        </w:rPr>
      </w:pPr>
      <w:bookmarkStart w:id="10282" w:name="_Toc59802686"/>
      <w:bookmarkStart w:id="10283" w:name="_Toc59916250"/>
      <w:r>
        <w:rPr>
          <w:rFonts w:hint="cs"/>
          <w:rtl/>
        </w:rPr>
        <w:t>ביאור הגרנ"פ ברשב"ם דבלא חזקה אינו נעשה מוחזק בטענתו ול"מ בזה הפה שאסר</w:t>
      </w:r>
      <w:bookmarkEnd w:id="10282"/>
      <w:bookmarkEnd w:id="10283"/>
    </w:p>
    <w:p w:rsidR="000E75A3" w:rsidRDefault="000E75A3" w:rsidP="007E4E81">
      <w:pPr>
        <w:pStyle w:val="a0"/>
        <w:rPr>
          <w:rtl/>
        </w:rPr>
      </w:pPr>
      <w:bookmarkStart w:id="10284" w:name="_Ref59653474"/>
      <w:r>
        <w:rPr>
          <w:rFonts w:hint="cs"/>
          <w:rtl/>
        </w:rPr>
        <w:t>ו</w:t>
      </w:r>
      <w:r w:rsidRPr="00215AFB">
        <w:rPr>
          <w:rFonts w:hint="cs"/>
          <w:rtl/>
        </w:rPr>
        <w:t xml:space="preserve">ביאר </w:t>
      </w:r>
      <w:r w:rsidRPr="00215AFB">
        <w:rPr>
          <w:rStyle w:val="af9"/>
          <w:rFonts w:hint="cs"/>
          <w:rtl/>
        </w:rPr>
        <w:t>בחי'</w:t>
      </w:r>
      <w:r w:rsidRPr="00215AFB">
        <w:rPr>
          <w:rFonts w:hint="cs"/>
          <w:rtl/>
        </w:rPr>
        <w:t xml:space="preserve"> </w:t>
      </w:r>
      <w:r w:rsidRPr="00215AFB">
        <w:rPr>
          <w:rStyle w:val="af9"/>
          <w:rFonts w:hint="cs"/>
          <w:rtl/>
        </w:rPr>
        <w:t>רבי</w:t>
      </w:r>
      <w:r w:rsidRPr="00215AFB">
        <w:rPr>
          <w:rFonts w:hint="cs"/>
          <w:rtl/>
        </w:rPr>
        <w:t xml:space="preserve"> </w:t>
      </w:r>
      <w:r w:rsidRPr="00215AFB">
        <w:rPr>
          <w:rStyle w:val="af9"/>
          <w:rFonts w:hint="cs"/>
          <w:rtl/>
        </w:rPr>
        <w:t>נחום</w:t>
      </w:r>
      <w:r w:rsidRPr="00215AFB">
        <w:rPr>
          <w:rFonts w:hint="cs"/>
          <w:rtl/>
        </w:rPr>
        <w:t xml:space="preserve"> </w:t>
      </w:r>
      <w:r w:rsidRPr="00215AFB">
        <w:rPr>
          <w:rStyle w:val="af7"/>
          <w:rFonts w:eastAsia="Guttman Hodes" w:hint="cs"/>
          <w:rtl/>
        </w:rPr>
        <w:t>(או' נ"ט ד"ה וע"כ נראה)</w:t>
      </w:r>
      <w:r w:rsidRPr="00215AFB">
        <w:rPr>
          <w:rFonts w:hint="cs"/>
          <w:rtl/>
        </w:rPr>
        <w:t xml:space="preserve"> דהא </w:t>
      </w:r>
      <w:r>
        <w:rPr>
          <w:rFonts w:hint="cs"/>
          <w:rtl/>
        </w:rPr>
        <w:t>ד</w:t>
      </w:r>
      <w:r w:rsidRPr="00215AFB">
        <w:rPr>
          <w:rFonts w:hint="cs"/>
          <w:rtl/>
        </w:rPr>
        <w:t xml:space="preserve">לדעת </w:t>
      </w:r>
      <w:r>
        <w:rPr>
          <w:rStyle w:val="af9"/>
          <w:rFonts w:hint="cs"/>
          <w:rtl/>
        </w:rPr>
        <w:t>ה</w:t>
      </w:r>
      <w:r w:rsidRPr="00215AFB">
        <w:rPr>
          <w:rStyle w:val="af9"/>
          <w:rFonts w:hint="cs"/>
          <w:rtl/>
        </w:rPr>
        <w:t>רשב"ם</w:t>
      </w:r>
      <w:r w:rsidRPr="00215AFB">
        <w:rPr>
          <w:rFonts w:hint="cs"/>
          <w:rtl/>
        </w:rPr>
        <w:t xml:space="preserve"> </w:t>
      </w:r>
      <w:r w:rsidRPr="00E24B22">
        <w:rPr>
          <w:rStyle w:val="af7"/>
          <w:rFonts w:eastAsia="Guttman Hodes" w:hint="cs"/>
          <w:rtl/>
        </w:rPr>
        <w:t xml:space="preserve">(עי' אות </w:t>
      </w:r>
      <w:r w:rsidRPr="00E24B22">
        <w:rPr>
          <w:rStyle w:val="af7"/>
          <w:rFonts w:eastAsia="Guttman Hodes"/>
          <w:rtl/>
        </w:rPr>
        <w:fldChar w:fldCharType="begin"/>
      </w:r>
      <w:r w:rsidRPr="00E24B22">
        <w:rPr>
          <w:rStyle w:val="af7"/>
          <w:rFonts w:eastAsia="Guttman Hodes"/>
          <w:rtl/>
        </w:rPr>
        <w:instrText xml:space="preserve"> </w:instrText>
      </w:r>
      <w:r w:rsidRPr="00E24B22">
        <w:rPr>
          <w:rStyle w:val="af7"/>
          <w:rFonts w:eastAsia="Guttman Hodes" w:hint="cs"/>
        </w:rPr>
        <w:instrText>REF</w:instrText>
      </w:r>
      <w:r w:rsidRPr="00E24B22">
        <w:rPr>
          <w:rStyle w:val="af7"/>
          <w:rFonts w:eastAsia="Guttman Hodes" w:hint="cs"/>
          <w:rtl/>
        </w:rPr>
        <w:instrText xml:space="preserve"> _</w:instrText>
      </w:r>
      <w:r w:rsidRPr="00E24B22">
        <w:rPr>
          <w:rStyle w:val="af7"/>
          <w:rFonts w:eastAsia="Guttman Hodes" w:hint="cs"/>
        </w:rPr>
        <w:instrText>Ref59700742 \r \h</w:instrText>
      </w:r>
      <w:r w:rsidRPr="00E24B22">
        <w:rPr>
          <w:rStyle w:val="af7"/>
          <w:rFonts w:eastAsia="Guttman Hodes"/>
          <w:rtl/>
        </w:rPr>
        <w:instrText xml:space="preserve"> </w:instrText>
      </w:r>
      <w:r w:rsidRPr="00E24B22">
        <w:rPr>
          <w:rStyle w:val="af7"/>
          <w:rFonts w:eastAsia="Guttman Hodes"/>
          <w:rtl/>
        </w:rPr>
      </w:r>
      <w:r w:rsidRPr="00E24B22">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E24B22">
        <w:rPr>
          <w:rStyle w:val="af7"/>
          <w:rFonts w:eastAsia="Guttman Hodes"/>
          <w:rtl/>
        </w:rPr>
        <w:fldChar w:fldCharType="end"/>
      </w:r>
      <w:r>
        <w:rPr>
          <w:rFonts w:hint="cs"/>
          <w:rtl/>
        </w:rPr>
        <w:t xml:space="preserve"> </w:t>
      </w:r>
      <w:r w:rsidRPr="00215AFB">
        <w:rPr>
          <w:rFonts w:hint="cs"/>
          <w:rtl/>
        </w:rPr>
        <w:t xml:space="preserve">לא מהני עידי חד יומא, </w:t>
      </w:r>
      <w:r>
        <w:rPr>
          <w:rFonts w:hint="cs"/>
          <w:rtl/>
        </w:rPr>
        <w:t>ו</w:t>
      </w:r>
      <w:r w:rsidRPr="00215AFB">
        <w:rPr>
          <w:rFonts w:hint="cs"/>
          <w:rtl/>
        </w:rPr>
        <w:t xml:space="preserve">לדעת </w:t>
      </w:r>
      <w:r w:rsidRPr="00FF18BF">
        <w:rPr>
          <w:rStyle w:val="af9"/>
          <w:rFonts w:hint="cs"/>
          <w:rtl/>
        </w:rPr>
        <w:t>הטור</w:t>
      </w:r>
      <w:r w:rsidRPr="00FF18BF">
        <w:rPr>
          <w:rFonts w:hint="cs"/>
          <w:rtl/>
        </w:rPr>
        <w:t xml:space="preserve"> </w:t>
      </w:r>
      <w:r w:rsidRPr="00FF18BF">
        <w:rPr>
          <w:rStyle w:val="af7"/>
          <w:rFonts w:eastAsia="Guttman Hodes" w:hint="cs"/>
          <w:rtl/>
        </w:rPr>
        <w:t xml:space="preserve">(עי' אות </w:t>
      </w:r>
      <w:r w:rsidRPr="00FF18BF">
        <w:rPr>
          <w:rStyle w:val="af7"/>
          <w:rFonts w:eastAsia="Guttman Hodes"/>
          <w:rtl/>
        </w:rPr>
        <w:fldChar w:fldCharType="begin"/>
      </w:r>
      <w:r w:rsidRPr="00FF18BF">
        <w:rPr>
          <w:rStyle w:val="af7"/>
          <w:rFonts w:eastAsia="Guttman Hodes"/>
          <w:rtl/>
        </w:rPr>
        <w:instrText xml:space="preserve"> </w:instrText>
      </w:r>
      <w:r w:rsidRPr="00FF18BF">
        <w:rPr>
          <w:rStyle w:val="af7"/>
          <w:rFonts w:eastAsia="Guttman Hodes" w:hint="cs"/>
        </w:rPr>
        <w:instrText>REF</w:instrText>
      </w:r>
      <w:r w:rsidRPr="00FF18BF">
        <w:rPr>
          <w:rStyle w:val="af7"/>
          <w:rFonts w:eastAsia="Guttman Hodes" w:hint="cs"/>
          <w:rtl/>
        </w:rPr>
        <w:instrText xml:space="preserve"> _</w:instrText>
      </w:r>
      <w:r w:rsidRPr="00FF18BF">
        <w:rPr>
          <w:rStyle w:val="af7"/>
          <w:rFonts w:eastAsia="Guttman Hodes" w:hint="cs"/>
        </w:rPr>
        <w:instrText>Ref59651096 \r \h</w:instrText>
      </w:r>
      <w:r w:rsidRPr="00FF18B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F18BF">
        <w:rPr>
          <w:rStyle w:val="af7"/>
          <w:rFonts w:eastAsia="Guttman Hodes"/>
          <w:rtl/>
        </w:rPr>
      </w:r>
      <w:r w:rsidRPr="00FF18BF">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FF18BF">
        <w:rPr>
          <w:rStyle w:val="af7"/>
          <w:rFonts w:eastAsia="Guttman Hodes"/>
          <w:rtl/>
        </w:rPr>
        <w:fldChar w:fldCharType="end"/>
      </w:r>
      <w:r w:rsidRPr="00FF18BF">
        <w:rPr>
          <w:rStyle w:val="af7"/>
          <w:rFonts w:eastAsia="Guttman Hodes" w:hint="cs"/>
          <w:rtl/>
        </w:rPr>
        <w:t xml:space="preserve"> </w:t>
      </w:r>
      <w:r>
        <w:rPr>
          <w:rStyle w:val="af9"/>
          <w:rFonts w:hint="cs"/>
          <w:rtl/>
        </w:rPr>
        <w:t>ב</w:t>
      </w:r>
      <w:r w:rsidRPr="00215AFB">
        <w:rPr>
          <w:rStyle w:val="af9"/>
          <w:rFonts w:hint="cs"/>
          <w:rtl/>
        </w:rPr>
        <w:t>רשב"ם</w:t>
      </w:r>
      <w:r w:rsidRPr="00215AFB">
        <w:rPr>
          <w:rFonts w:hint="cs"/>
          <w:rtl/>
        </w:rPr>
        <w:t xml:space="preserve"> </w:t>
      </w:r>
      <w:r>
        <w:rPr>
          <w:rFonts w:hint="cs"/>
          <w:rtl/>
        </w:rPr>
        <w:t xml:space="preserve">לא מהני </w:t>
      </w:r>
      <w:r w:rsidRPr="00215AFB">
        <w:rPr>
          <w:rFonts w:hint="cs"/>
          <w:rtl/>
        </w:rPr>
        <w:t xml:space="preserve">טענת קמי דידי זבנה, כשאין למחזיק חזקת ג"ש, הוא כיון דס"ל </w:t>
      </w:r>
      <w:r w:rsidRPr="00215AFB">
        <w:rPr>
          <w:rStyle w:val="af9"/>
          <w:rFonts w:hint="cs"/>
          <w:rtl/>
        </w:rPr>
        <w:t>להרשב"ם</w:t>
      </w:r>
      <w:r w:rsidRPr="00215AFB">
        <w:rPr>
          <w:rFonts w:hint="cs"/>
          <w:rtl/>
        </w:rPr>
        <w:t xml:space="preserve"> דכ"מ דמהני הפה שאסר, הוא במקום שאינו אוסר יותר ממה שהוא מתיר, וכגון בשדה זו של אביך הייתה ולקחתיה ממנו, דהוא אוסר במה שאומר שהמערער הוא המרא קמא, והקרקע הייתה בחזקת המרא קמא, והוא מתיר במה שאומר שעכשיו הקרקע</w:t>
      </w:r>
      <w:r>
        <w:rPr>
          <w:rFonts w:hint="cs"/>
          <w:rtl/>
        </w:rPr>
        <w:t xml:space="preserve"> בחזקתו, ואינה בחזקת המרא קמא, אבל במקום שאף לפי טענתו אין הקרקע עכשיו בחזקת המחזיק, א"כ הוא אסר במה שאמר שהקרקע הייתה בחזקת המערער, ולא התיר את מה שאסר, דאף לדבריו הקרקע עדיין בחזקת המרא קמא, ואינה בחזקת המחזיק, דהא אין לו חזקת ג"ש, ובכה"ג לא שייך לומר הפה שאסר, דהא לא התיר את מה שאסר. </w:t>
      </w:r>
      <w:r w:rsidRPr="007A4B8D">
        <w:rPr>
          <w:rStyle w:val="afb"/>
          <w:rFonts w:hint="cs"/>
          <w:rtl/>
        </w:rPr>
        <w:t xml:space="preserve">[ועיי"ש דציין למה שביאר כן </w:t>
      </w:r>
      <w:r w:rsidRPr="007A4B8D">
        <w:rPr>
          <w:rStyle w:val="affa"/>
          <w:rFonts w:hint="cs"/>
          <w:rtl/>
        </w:rPr>
        <w:t>בחי' רבי נחום</w:t>
      </w:r>
      <w:r>
        <w:rPr>
          <w:rStyle w:val="affa"/>
          <w:rFonts w:hint="cs"/>
          <w:rtl/>
        </w:rPr>
        <w:t xml:space="preserve"> לעיל</w:t>
      </w:r>
      <w:r w:rsidRPr="007A4B8D">
        <w:rPr>
          <w:rStyle w:val="affa"/>
          <w:rFonts w:hint="cs"/>
          <w:rtl/>
        </w:rPr>
        <w:t xml:space="preserve"> </w:t>
      </w:r>
      <w:r w:rsidRPr="007A4B8D">
        <w:rPr>
          <w:rStyle w:val="aff6"/>
          <w:rtl/>
        </w:rPr>
        <w:t>(</w:t>
      </w:r>
      <w:r w:rsidRPr="007A4B8D">
        <w:rPr>
          <w:rStyle w:val="aff6"/>
          <w:rFonts w:hint="cs"/>
          <w:rtl/>
        </w:rPr>
        <w:t xml:space="preserve">או' נ"ד ד"ה וע"כ נראה, הובא בסימן ז' אות קל"ב) </w:t>
      </w:r>
      <w:r w:rsidRPr="007A4B8D">
        <w:rPr>
          <w:rStyle w:val="afb"/>
          <w:rFonts w:hint="cs"/>
          <w:rtl/>
        </w:rPr>
        <w:t xml:space="preserve">בדעת </w:t>
      </w:r>
      <w:r w:rsidRPr="007A4B8D">
        <w:rPr>
          <w:rStyle w:val="affa"/>
          <w:rFonts w:hint="cs"/>
          <w:rtl/>
        </w:rPr>
        <w:t>הי"מ ברי"ף בפי' הא' לעיל</w:t>
      </w:r>
      <w:r w:rsidRPr="007A4B8D">
        <w:rPr>
          <w:rStyle w:val="afb"/>
          <w:rFonts w:hint="cs"/>
          <w:rtl/>
        </w:rPr>
        <w:t xml:space="preserve"> </w:t>
      </w:r>
      <w:r w:rsidRPr="007A4B8D">
        <w:rPr>
          <w:rStyle w:val="aff6"/>
          <w:rFonts w:hint="cs"/>
          <w:rtl/>
        </w:rPr>
        <w:t>(כט:, טו. מדה"ר, הובא בסימן ז' אות מ"א)</w:t>
      </w:r>
      <w:r w:rsidRPr="007A4B8D">
        <w:rPr>
          <w:rStyle w:val="afb"/>
          <w:rFonts w:hint="cs"/>
          <w:rtl/>
        </w:rPr>
        <w:t>].</w:t>
      </w:r>
      <w:bookmarkEnd w:id="10284"/>
    </w:p>
    <w:p w:rsidR="000E75A3" w:rsidRDefault="000E75A3" w:rsidP="000E75A3">
      <w:pPr>
        <w:pStyle w:val="a3"/>
        <w:rPr>
          <w:rtl/>
        </w:rPr>
      </w:pPr>
      <w:bookmarkStart w:id="10285" w:name="_Toc59802687"/>
      <w:bookmarkStart w:id="10286" w:name="_Toc59916251"/>
      <w:r>
        <w:rPr>
          <w:rFonts w:hint="cs"/>
          <w:rtl/>
        </w:rPr>
        <w:t>דברי הגרנ"פ דכן מוכח ברשב"ם דאחר שהודה המחזיק נחשב המערער למוחזק יותר מהמחזיק</w:t>
      </w:r>
      <w:bookmarkEnd w:id="10285"/>
      <w:bookmarkEnd w:id="10286"/>
    </w:p>
    <w:p w:rsidR="000E75A3" w:rsidRDefault="000E75A3" w:rsidP="007E4E81">
      <w:pPr>
        <w:pStyle w:val="a0"/>
        <w:rPr>
          <w:rtl/>
        </w:rPr>
      </w:pPr>
      <w:r>
        <w:rPr>
          <w:rFonts w:hint="cs"/>
          <w:rtl/>
        </w:rPr>
        <w:t xml:space="preserve">וכתב </w:t>
      </w:r>
      <w:r w:rsidRPr="001C266F">
        <w:rPr>
          <w:rStyle w:val="af9"/>
          <w:rFonts w:hint="cs"/>
          <w:rtl/>
        </w:rPr>
        <w:t>בחי' רבי נחום</w:t>
      </w:r>
      <w:r>
        <w:rPr>
          <w:rFonts w:hint="cs"/>
          <w:rtl/>
        </w:rPr>
        <w:t xml:space="preserve"> דכן מוכח בדברי </w:t>
      </w:r>
      <w:r>
        <w:rPr>
          <w:rStyle w:val="af9"/>
          <w:rtl/>
        </w:rPr>
        <w:t>הרשב"ם</w:t>
      </w:r>
      <w:r>
        <w:rPr>
          <w:rFonts w:hint="cs"/>
          <w:rtl/>
        </w:rPr>
        <w:t xml:space="preserve"> </w:t>
      </w:r>
      <w:r w:rsidRPr="008B1921">
        <w:rPr>
          <w:rStyle w:val="af7"/>
          <w:rFonts w:eastAsia="Guttman Hodes" w:hint="cs"/>
          <w:rtl/>
        </w:rPr>
        <w:t>(</w:t>
      </w:r>
      <w:r w:rsidRPr="00FE756E">
        <w:rPr>
          <w:rStyle w:val="af7"/>
          <w:rFonts w:eastAsia="Guttman Hodes" w:hint="cs"/>
          <w:rtl/>
        </w:rPr>
        <w:t>ד"ה זיל</w:t>
      </w:r>
      <w:r>
        <w:rPr>
          <w:rStyle w:val="af7"/>
          <w:rFonts w:eastAsia="Guttman Hodes" w:hint="cs"/>
          <w:rtl/>
        </w:rPr>
        <w:t>, הובא בסימן ח' אות ה')</w:t>
      </w:r>
      <w:r w:rsidRPr="00FE756E">
        <w:rPr>
          <w:rStyle w:val="af7"/>
          <w:rFonts w:eastAsia="Guttman Hodes" w:hint="cs"/>
          <w:rtl/>
        </w:rPr>
        <w:t xml:space="preserve"> </w:t>
      </w:r>
      <w:r w:rsidRPr="00FE756E">
        <w:rPr>
          <w:rFonts w:hint="cs"/>
          <w:rtl/>
        </w:rPr>
        <w:t>דכתב דטוען המערער למחזיק שיצא מהקרקע דלאו בע"ד דידי את, דהמערער מוחזק בקרקע יותר מהמחזיק, כיון שלמחזי</w:t>
      </w:r>
      <w:r>
        <w:rPr>
          <w:rFonts w:hint="cs"/>
          <w:rtl/>
        </w:rPr>
        <w:t>ק אין חזקת ג"ש, והיינו דכל שאין למחזיק חזקת ג"ש, ממילא הוא מודה דהמרא קמא עדיין מוחזק, ולכן טוען לו המחזיק שיצא מהקרקע.</w:t>
      </w:r>
    </w:p>
    <w:p w:rsidR="000E75A3" w:rsidRPr="00BA209F" w:rsidRDefault="000E75A3" w:rsidP="000E75A3">
      <w:pPr>
        <w:pStyle w:val="a3"/>
        <w:rPr>
          <w:rtl/>
        </w:rPr>
      </w:pPr>
      <w:bookmarkStart w:id="10287" w:name="_Toc59802688"/>
      <w:bookmarkStart w:id="10288" w:name="_Toc59916252"/>
      <w:r>
        <w:rPr>
          <w:rFonts w:hint="cs"/>
          <w:rtl/>
        </w:rPr>
        <w:t>קושית הגרנ"פ על הרי"ף דאף בלא דאין ספק מוציא מודאי ל"מ המיגו דהא הוא טוען שמא</w:t>
      </w:r>
      <w:bookmarkEnd w:id="10287"/>
      <w:bookmarkEnd w:id="10288"/>
    </w:p>
    <w:p w:rsidR="000E75A3" w:rsidRDefault="000E75A3" w:rsidP="007E4E81">
      <w:pPr>
        <w:pStyle w:val="a0"/>
        <w:rPr>
          <w:rtl/>
        </w:rPr>
      </w:pPr>
      <w:bookmarkStart w:id="10289" w:name="_Ref59789555"/>
      <w:r>
        <w:rPr>
          <w:rFonts w:hint="cs"/>
          <w:rtl/>
        </w:rPr>
        <w:t xml:space="preserve">והוסיף </w:t>
      </w:r>
      <w:r w:rsidRPr="0041378F">
        <w:rPr>
          <w:rStyle w:val="af9"/>
          <w:rFonts w:hint="cs"/>
          <w:rtl/>
        </w:rPr>
        <w:t>בחי' רבי נחום</w:t>
      </w:r>
      <w:r w:rsidRPr="0041378F">
        <w:rPr>
          <w:rStyle w:val="af7"/>
          <w:rFonts w:eastAsia="Guttman Hodes" w:hint="cs"/>
          <w:rtl/>
        </w:rPr>
        <w:t xml:space="preserve"> (או' ס"א) </w:t>
      </w:r>
      <w:r>
        <w:rPr>
          <w:rFonts w:hint="cs"/>
          <w:rtl/>
        </w:rPr>
        <w:t xml:space="preserve">דכן מבואר בדברי </w:t>
      </w:r>
      <w:r w:rsidRPr="0041378F">
        <w:rPr>
          <w:rStyle w:val="af9"/>
          <w:rFonts w:hint="cs"/>
          <w:rtl/>
        </w:rPr>
        <w:t>הרי"ף</w:t>
      </w:r>
      <w:r>
        <w:rPr>
          <w:rFonts w:hint="cs"/>
          <w:rtl/>
        </w:rPr>
        <w:t xml:space="preserve"> </w:t>
      </w:r>
      <w:r w:rsidRPr="00FE756E">
        <w:rPr>
          <w:rStyle w:val="af7"/>
          <w:rFonts w:eastAsia="Guttman Hodes" w:hint="cs"/>
          <w:rtl/>
        </w:rPr>
        <w:t xml:space="preserve">(עי' אות </w:t>
      </w:r>
      <w:r w:rsidRPr="00FE756E">
        <w:rPr>
          <w:rStyle w:val="af7"/>
          <w:rFonts w:eastAsia="Guttman Hodes"/>
          <w:rtl/>
        </w:rPr>
        <w:fldChar w:fldCharType="begin"/>
      </w:r>
      <w:r w:rsidRPr="00FE756E">
        <w:rPr>
          <w:rStyle w:val="af7"/>
          <w:rFonts w:eastAsia="Guttman Hodes"/>
          <w:rtl/>
        </w:rPr>
        <w:instrText xml:space="preserve"> </w:instrText>
      </w:r>
      <w:r w:rsidRPr="00FE756E">
        <w:rPr>
          <w:rStyle w:val="af7"/>
          <w:rFonts w:eastAsia="Guttman Hodes" w:hint="cs"/>
        </w:rPr>
        <w:instrText>REF</w:instrText>
      </w:r>
      <w:r w:rsidRPr="00FE756E">
        <w:rPr>
          <w:rStyle w:val="af7"/>
          <w:rFonts w:eastAsia="Guttman Hodes" w:hint="cs"/>
          <w:rtl/>
        </w:rPr>
        <w:instrText xml:space="preserve"> _</w:instrText>
      </w:r>
      <w:r w:rsidRPr="00FE756E">
        <w:rPr>
          <w:rStyle w:val="af7"/>
          <w:rFonts w:eastAsia="Guttman Hodes" w:hint="cs"/>
        </w:rPr>
        <w:instrText>Ref59616683 \r \h</w:instrText>
      </w:r>
      <w:r w:rsidRPr="00FE756E">
        <w:rPr>
          <w:rStyle w:val="af7"/>
          <w:rFonts w:eastAsia="Guttman Hodes"/>
          <w:rtl/>
        </w:rPr>
        <w:instrText xml:space="preserve"> </w:instrText>
      </w:r>
      <w:r w:rsidRPr="00FE756E">
        <w:rPr>
          <w:rStyle w:val="af7"/>
          <w:rFonts w:eastAsia="Guttman Hodes"/>
          <w:rtl/>
        </w:rPr>
      </w:r>
      <w:r w:rsidRPr="00FE756E">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sidRPr="00FE756E">
        <w:rPr>
          <w:rStyle w:val="af7"/>
          <w:rFonts w:eastAsia="Guttman Hodes"/>
          <w:rtl/>
        </w:rPr>
        <w:fldChar w:fldCharType="end"/>
      </w:r>
      <w:r>
        <w:rPr>
          <w:rFonts w:hint="cs"/>
          <w:rtl/>
        </w:rPr>
        <w:t xml:space="preserve"> דכתב דהמחזיק אינו נאמן מדין הפה שאסר, כיון דאין ספק מוציא מידי ודאי, ולכאו' לא היה </w:t>
      </w:r>
      <w:r w:rsidRPr="0041378F">
        <w:rPr>
          <w:rStyle w:val="af9"/>
          <w:rFonts w:hint="cs"/>
          <w:rtl/>
        </w:rPr>
        <w:t>להרי"ף</w:t>
      </w:r>
      <w:r>
        <w:rPr>
          <w:rFonts w:hint="cs"/>
          <w:rtl/>
        </w:rPr>
        <w:t xml:space="preserve"> להוסיף כן, דהא פשיטא דאינו נאמן במיגו בטענת שמא, דאף אם נאמין לדבריו, מ"מ הוא עצמו אינו יודע אם המוכר קנה מהמערער.</w:t>
      </w:r>
      <w:bookmarkEnd w:id="10289"/>
    </w:p>
    <w:p w:rsidR="000E75A3" w:rsidRPr="00BA209F" w:rsidRDefault="000E75A3" w:rsidP="000E75A3">
      <w:pPr>
        <w:pStyle w:val="a3"/>
      </w:pPr>
      <w:bookmarkStart w:id="10290" w:name="_Toc59802689"/>
      <w:bookmarkStart w:id="10291" w:name="_Toc59916253"/>
      <w:r>
        <w:rPr>
          <w:rFonts w:hint="cs"/>
          <w:rtl/>
        </w:rPr>
        <w:t>ביאור הגרנ"פ ברי"ף דהו"א דנאמן בפה שאסר אף בשמא וקמ"ל דאין ספק מוציא מידי ודאי</w:t>
      </w:r>
      <w:bookmarkEnd w:id="10290"/>
      <w:bookmarkEnd w:id="10291"/>
    </w:p>
    <w:p w:rsidR="000E75A3" w:rsidRDefault="000E75A3" w:rsidP="007E4E81">
      <w:pPr>
        <w:pStyle w:val="a0"/>
        <w:rPr>
          <w:rtl/>
        </w:rPr>
      </w:pPr>
      <w:r>
        <w:rPr>
          <w:rFonts w:hint="cs"/>
          <w:rtl/>
        </w:rPr>
        <w:t xml:space="preserve">אלא כתב </w:t>
      </w:r>
      <w:r w:rsidRPr="0041378F">
        <w:rPr>
          <w:rStyle w:val="af9"/>
          <w:rFonts w:hint="cs"/>
          <w:rtl/>
        </w:rPr>
        <w:t>בחי' רבי נחום</w:t>
      </w:r>
      <w:r>
        <w:rPr>
          <w:rFonts w:hint="cs"/>
          <w:rtl/>
        </w:rPr>
        <w:t xml:space="preserve"> דמוכח דכוונת </w:t>
      </w:r>
      <w:r w:rsidRPr="0041378F">
        <w:rPr>
          <w:rStyle w:val="af9"/>
          <w:rFonts w:hint="cs"/>
          <w:rtl/>
        </w:rPr>
        <w:t>הרי"ף</w:t>
      </w:r>
      <w:r>
        <w:rPr>
          <w:rFonts w:hint="cs"/>
          <w:rtl/>
        </w:rPr>
        <w:t xml:space="preserve"> לומר דאעפ"י דמיגו לא מהני, מ"מ בדין הפה שאסר אפש"ל דנאמן, כיון דחשיב שלא הודה, כיון שיש למחזיק צד שהמוכר קנה מהמערער, א"כ לאותו הצד לא הודה המחזיק למערער, ולכן הוצרך </w:t>
      </w:r>
      <w:r w:rsidRPr="0041378F">
        <w:rPr>
          <w:rStyle w:val="af9"/>
          <w:rFonts w:hint="cs"/>
          <w:rtl/>
        </w:rPr>
        <w:t>הרי"ף</w:t>
      </w:r>
      <w:r>
        <w:rPr>
          <w:rFonts w:hint="cs"/>
          <w:rtl/>
        </w:rPr>
        <w:t xml:space="preserve"> להוסיף דאינו נאמן כיון שאין ספק מוציא מידי ודאי, דהיינו דכיון שבהודאתו הוא אסר בודאי, דהקרקע הייתה של המערער, והתיר בספק שמא המוכר קנה מהמערער, לכן אין ספק מוציא מידי ודאי.</w:t>
      </w:r>
    </w:p>
    <w:p w:rsidR="000E75A3" w:rsidRPr="00C30C36" w:rsidRDefault="000E75A3" w:rsidP="000E75A3">
      <w:pPr>
        <w:pStyle w:val="1"/>
        <w:rPr>
          <w:rtl/>
        </w:rPr>
      </w:pPr>
      <w:bookmarkStart w:id="10292" w:name="_Toc59741734"/>
      <w:bookmarkStart w:id="10293" w:name="_Toc59786869"/>
      <w:bookmarkStart w:id="10294" w:name="_Toc59802690"/>
      <w:bookmarkStart w:id="10295" w:name="_Toc59916254"/>
      <w:r>
        <w:rPr>
          <w:rFonts w:hint="cs"/>
          <w:rtl/>
        </w:rPr>
        <w:t>ביאור הגרנ"פ ברי"ף וברמב"ם</w:t>
      </w:r>
      <w:bookmarkEnd w:id="10292"/>
      <w:bookmarkEnd w:id="10293"/>
      <w:r>
        <w:rPr>
          <w:rFonts w:hint="cs"/>
          <w:rtl/>
        </w:rPr>
        <w:t xml:space="preserve"> דרק בקמי דידי ל"מ מיגו כרא"ש</w:t>
      </w:r>
      <w:bookmarkEnd w:id="10294"/>
      <w:bookmarkEnd w:id="10295"/>
    </w:p>
    <w:p w:rsidR="000E75A3" w:rsidRDefault="000E75A3" w:rsidP="000E75A3">
      <w:pPr>
        <w:pStyle w:val="a3"/>
        <w:rPr>
          <w:rtl/>
        </w:rPr>
      </w:pPr>
      <w:bookmarkStart w:id="10296" w:name="_Toc59802691"/>
      <w:bookmarkStart w:id="10297" w:name="_Toc59916255"/>
      <w:r>
        <w:rPr>
          <w:rFonts w:hint="cs"/>
          <w:rtl/>
        </w:rPr>
        <w:t>קושית הגרנ"פ על הרמב"ם והטור ברשב"ם דאמאי בקמי דידי אינו נאמן מדין הפה שאסר</w:t>
      </w:r>
      <w:bookmarkEnd w:id="10296"/>
      <w:bookmarkEnd w:id="10297"/>
    </w:p>
    <w:p w:rsidR="000E75A3" w:rsidRDefault="000E75A3" w:rsidP="007E4E81">
      <w:pPr>
        <w:pStyle w:val="a0"/>
        <w:rPr>
          <w:rtl/>
        </w:rPr>
      </w:pPr>
      <w:bookmarkStart w:id="10298" w:name="_Toc59490165"/>
      <w:bookmarkStart w:id="10299" w:name="_Toc59620362"/>
      <w:bookmarkStart w:id="10300" w:name="_Toc59643636"/>
      <w:r>
        <w:rPr>
          <w:rFonts w:hint="cs"/>
          <w:rtl/>
        </w:rPr>
        <w:t xml:space="preserve">במ"ש </w:t>
      </w:r>
      <w:r>
        <w:rPr>
          <w:rStyle w:val="af9"/>
          <w:rFonts w:hint="cs"/>
          <w:rtl/>
        </w:rPr>
        <w:t xml:space="preserve">הלח"מ </w:t>
      </w:r>
      <w:r w:rsidRPr="00980CE1">
        <w:rPr>
          <w:rStyle w:val="af7"/>
          <w:rFonts w:eastAsia="Guttman Hodes" w:hint="cs"/>
          <w:rtl/>
        </w:rPr>
        <w:t xml:space="preserve">(עי' אות </w:t>
      </w:r>
      <w:r w:rsidRPr="00980CE1">
        <w:rPr>
          <w:rStyle w:val="af7"/>
          <w:rFonts w:eastAsia="Guttman Hodes"/>
          <w:rtl/>
        </w:rPr>
        <w:fldChar w:fldCharType="begin"/>
      </w:r>
      <w:r w:rsidRPr="00980CE1">
        <w:rPr>
          <w:rStyle w:val="af7"/>
          <w:rFonts w:eastAsia="Guttman Hodes"/>
          <w:rtl/>
        </w:rPr>
        <w:instrText xml:space="preserve"> </w:instrText>
      </w:r>
      <w:r w:rsidRPr="00980CE1">
        <w:rPr>
          <w:rStyle w:val="af7"/>
          <w:rFonts w:eastAsia="Guttman Hodes" w:hint="cs"/>
        </w:rPr>
        <w:instrText>REF</w:instrText>
      </w:r>
      <w:r w:rsidRPr="00980CE1">
        <w:rPr>
          <w:rStyle w:val="af7"/>
          <w:rFonts w:eastAsia="Guttman Hodes" w:hint="cs"/>
          <w:rtl/>
        </w:rPr>
        <w:instrText xml:space="preserve"> _</w:instrText>
      </w:r>
      <w:r w:rsidRPr="00980CE1">
        <w:rPr>
          <w:rStyle w:val="af7"/>
          <w:rFonts w:eastAsia="Guttman Hodes" w:hint="cs"/>
        </w:rPr>
        <w:instrText>Ref59650733 \r \h</w:instrText>
      </w:r>
      <w:r w:rsidRPr="00980CE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980CE1">
        <w:rPr>
          <w:rStyle w:val="af7"/>
          <w:rFonts w:eastAsia="Guttman Hodes"/>
          <w:rtl/>
        </w:rPr>
      </w:r>
      <w:r w:rsidRPr="00980CE1">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980CE1">
        <w:rPr>
          <w:rStyle w:val="af7"/>
          <w:rFonts w:eastAsia="Guttman Hodes"/>
          <w:rtl/>
        </w:rPr>
        <w:fldChar w:fldCharType="end"/>
      </w:r>
      <w:r w:rsidRPr="001F2138">
        <w:rPr>
          <w:rFonts w:hint="cs"/>
          <w:rtl/>
        </w:rPr>
        <w:t xml:space="preserve"> </w:t>
      </w:r>
      <w:r>
        <w:rPr>
          <w:rFonts w:hint="cs"/>
          <w:rtl/>
        </w:rPr>
        <w:t xml:space="preserve">דמבואר מדברי </w:t>
      </w:r>
      <w:r w:rsidRPr="00C23A10">
        <w:rPr>
          <w:rStyle w:val="af9"/>
          <w:rFonts w:hint="cs"/>
          <w:rtl/>
        </w:rPr>
        <w:t>הרמב"ם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sidRPr="00980CE1">
        <w:rPr>
          <w:rStyle w:val="af7"/>
          <w:rFonts w:eastAsia="Guttman Hodes"/>
          <w:rtl/>
        </w:rPr>
        <w:instrText xml:space="preserve"> </w:instrText>
      </w:r>
      <w:r w:rsidRPr="00980CE1">
        <w:rPr>
          <w:rStyle w:val="af7"/>
          <w:rFonts w:eastAsia="Guttman Hodes" w:hint="cs"/>
        </w:rPr>
        <w:instrText>REF</w:instrText>
      </w:r>
      <w:r w:rsidRPr="00980CE1">
        <w:rPr>
          <w:rStyle w:val="af7"/>
          <w:rFonts w:eastAsia="Guttman Hodes" w:hint="cs"/>
          <w:rtl/>
        </w:rPr>
        <w:instrText xml:space="preserve"> _</w:instrText>
      </w:r>
      <w:r w:rsidRPr="00980CE1">
        <w:rPr>
          <w:rStyle w:val="af7"/>
          <w:rFonts w:eastAsia="Guttman Hodes" w:hint="cs"/>
        </w:rPr>
        <w:instrText>Ref59050161 \r \h</w:instrText>
      </w:r>
      <w:r w:rsidRPr="00980CE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Pr>
          <w:rStyle w:val="af7"/>
          <w:rFonts w:eastAsia="Guttman Hodes"/>
          <w:rtl/>
        </w:rPr>
        <w:fldChar w:fldCharType="end"/>
      </w:r>
      <w:r>
        <w:rPr>
          <w:rFonts w:hint="cs"/>
          <w:rtl/>
        </w:rPr>
        <w:t xml:space="preserve"> דכשאין למחזיק חזקת ג"ש, אינו נאמן בטענת קמי דידי, וכן על דברי </w:t>
      </w:r>
      <w:r w:rsidRPr="00E206EC">
        <w:rPr>
          <w:rStyle w:val="af9"/>
          <w:rFonts w:hint="cs"/>
          <w:rtl/>
        </w:rPr>
        <w:t>הטור</w:t>
      </w:r>
      <w:r w:rsidRPr="0049691E">
        <w:rPr>
          <w:rStyle w:val="af7"/>
          <w:rFonts w:eastAsia="Guttman Hodes" w:hint="cs"/>
          <w:rtl/>
        </w:rPr>
        <w:t xml:space="preserve"> (עי' אות </w:t>
      </w:r>
      <w:r w:rsidRPr="0049691E">
        <w:rPr>
          <w:rStyle w:val="af7"/>
          <w:rFonts w:eastAsia="Guttman Hodes"/>
          <w:rtl/>
        </w:rPr>
        <w:fldChar w:fldCharType="begin"/>
      </w:r>
      <w:r w:rsidRPr="0049691E">
        <w:rPr>
          <w:rStyle w:val="af7"/>
          <w:rFonts w:eastAsia="Guttman Hodes"/>
          <w:rtl/>
        </w:rPr>
        <w:instrText xml:space="preserve"> </w:instrText>
      </w:r>
      <w:r w:rsidRPr="0049691E">
        <w:rPr>
          <w:rStyle w:val="af7"/>
          <w:rFonts w:eastAsia="Guttman Hodes" w:hint="cs"/>
        </w:rPr>
        <w:instrText>REF</w:instrText>
      </w:r>
      <w:r w:rsidRPr="0049691E">
        <w:rPr>
          <w:rStyle w:val="af7"/>
          <w:rFonts w:eastAsia="Guttman Hodes" w:hint="cs"/>
          <w:rtl/>
        </w:rPr>
        <w:instrText xml:space="preserve"> _</w:instrText>
      </w:r>
      <w:r w:rsidRPr="0049691E">
        <w:rPr>
          <w:rStyle w:val="af7"/>
          <w:rFonts w:eastAsia="Guttman Hodes" w:hint="cs"/>
        </w:rPr>
        <w:instrText>Ref59651096 \r \h</w:instrText>
      </w:r>
      <w:r w:rsidRPr="0049691E">
        <w:rPr>
          <w:rStyle w:val="af7"/>
          <w:rFonts w:eastAsia="Guttman Hodes"/>
          <w:rtl/>
        </w:rPr>
        <w:instrText xml:space="preserve"> </w:instrText>
      </w:r>
      <w:r w:rsidRPr="0049691E">
        <w:rPr>
          <w:rStyle w:val="af7"/>
          <w:rFonts w:eastAsia="Guttman Hodes"/>
          <w:rtl/>
        </w:rPr>
      </w:r>
      <w:r w:rsidRPr="0049691E">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49691E">
        <w:rPr>
          <w:rStyle w:val="af7"/>
          <w:rFonts w:eastAsia="Guttman Hodes"/>
          <w:rtl/>
        </w:rPr>
        <w:fldChar w:fldCharType="end"/>
      </w:r>
      <w:r>
        <w:rPr>
          <w:rFonts w:hint="cs"/>
          <w:rtl/>
        </w:rPr>
        <w:t xml:space="preserve"> דכ"כ בדעת </w:t>
      </w:r>
      <w:r w:rsidRPr="00E206EC">
        <w:rPr>
          <w:rStyle w:val="af9"/>
          <w:rFonts w:hint="cs"/>
          <w:rtl/>
        </w:rPr>
        <w:t>הרשב"ם</w:t>
      </w:r>
      <w:r>
        <w:rPr>
          <w:rFonts w:hint="cs"/>
          <w:rtl/>
        </w:rPr>
        <w:t xml:space="preserve">, הקשה </w:t>
      </w:r>
      <w:r w:rsidRPr="00980CE1">
        <w:rPr>
          <w:rStyle w:val="af9"/>
          <w:rFonts w:hint="cs"/>
          <w:rtl/>
        </w:rPr>
        <w:t>בחי'</w:t>
      </w:r>
      <w:r>
        <w:rPr>
          <w:rFonts w:hint="cs"/>
          <w:rtl/>
        </w:rPr>
        <w:t xml:space="preserve"> </w:t>
      </w:r>
      <w:r w:rsidRPr="00980CE1">
        <w:rPr>
          <w:rStyle w:val="af9"/>
          <w:rFonts w:hint="cs"/>
          <w:rtl/>
        </w:rPr>
        <w:t>רבי נחום</w:t>
      </w:r>
      <w:r w:rsidRPr="00980CE1">
        <w:rPr>
          <w:rStyle w:val="af7"/>
          <w:rFonts w:eastAsia="Guttman Hodes" w:hint="cs"/>
          <w:rtl/>
        </w:rPr>
        <w:t xml:space="preserve"> (או' ס' ד"ה עוד יל"ע) </w:t>
      </w:r>
      <w:r>
        <w:rPr>
          <w:rFonts w:hint="cs"/>
          <w:rtl/>
        </w:rPr>
        <w:t xml:space="preserve">דהרי כתבו </w:t>
      </w:r>
      <w:r w:rsidRPr="00980CE1">
        <w:rPr>
          <w:rStyle w:val="af9"/>
          <w:rFonts w:hint="cs"/>
          <w:rtl/>
        </w:rPr>
        <w:t>הרמב"ם</w:t>
      </w:r>
      <w:r>
        <w:rPr>
          <w:rFonts w:hint="cs"/>
          <w:rtl/>
        </w:rPr>
        <w:t xml:space="preserve"> </w:t>
      </w:r>
      <w:r w:rsidRPr="00980CE1">
        <w:rPr>
          <w:rStyle w:val="af7"/>
          <w:rFonts w:eastAsia="Guttman Hodes" w:hint="cs"/>
          <w:rtl/>
        </w:rPr>
        <w:t xml:space="preserve">(טו"נ פי"א ה"א, הובא בסימן ו' אות ס') </w:t>
      </w:r>
      <w:r w:rsidRPr="00E206EC">
        <w:rPr>
          <w:rStyle w:val="af9"/>
          <w:rFonts w:hint="cs"/>
          <w:rtl/>
        </w:rPr>
        <w:t xml:space="preserve">והטור </w:t>
      </w:r>
      <w:r w:rsidRPr="00BB1D37">
        <w:rPr>
          <w:rStyle w:val="aff6"/>
          <w:rFonts w:hint="cs"/>
          <w:rtl/>
        </w:rPr>
        <w:t>(סי' ק"מ א')</w:t>
      </w:r>
      <w:r>
        <w:rPr>
          <w:rFonts w:hint="cs"/>
          <w:rtl/>
        </w:rPr>
        <w:t xml:space="preserve"> דכל שאין עדים למרא קמא, נאמן המחזיק בטענת מינך זבינתה, אעפ"י דהוא מודה שהייתה של המרא קמא, ובפשטות משמע דס"ל </w:t>
      </w:r>
      <w:r>
        <w:rPr>
          <w:rFonts w:hint="cs"/>
          <w:rtl/>
        </w:rPr>
        <w:t>דהמחזיק נאמן מדין הפה שאסר, וא"כ אמאי אינו נאמן בטענת קמי דידי זבנה מדין הפה שאסר.</w:t>
      </w:r>
    </w:p>
    <w:p w:rsidR="000E75A3" w:rsidRPr="00403F63" w:rsidRDefault="000E75A3" w:rsidP="000E75A3">
      <w:pPr>
        <w:pStyle w:val="a3"/>
        <w:rPr>
          <w:rtl/>
        </w:rPr>
      </w:pPr>
      <w:bookmarkStart w:id="10301" w:name="_Toc59802692"/>
      <w:bookmarkStart w:id="10302" w:name="_Toc59916256"/>
      <w:r>
        <w:rPr>
          <w:rFonts w:hint="cs"/>
          <w:rtl/>
        </w:rPr>
        <w:t>קושית הגרנ"פ דברי"ף בשכוני גוואי מוכח דמהני הפה שאסר בתוך ג"ש והכא לעיטור ברי"ף ל"מ</w:t>
      </w:r>
      <w:bookmarkEnd w:id="10301"/>
      <w:bookmarkEnd w:id="10302"/>
      <w:r>
        <w:rPr>
          <w:rFonts w:hint="cs"/>
          <w:rtl/>
        </w:rPr>
        <w:t xml:space="preserve"> </w:t>
      </w:r>
    </w:p>
    <w:p w:rsidR="000E75A3" w:rsidRDefault="000E75A3" w:rsidP="007E4E81">
      <w:pPr>
        <w:pStyle w:val="a0"/>
        <w:rPr>
          <w:rtl/>
        </w:rPr>
      </w:pPr>
      <w:r>
        <w:rPr>
          <w:rFonts w:hint="cs"/>
          <w:rtl/>
        </w:rPr>
        <w:t xml:space="preserve">וכן הקשה </w:t>
      </w:r>
      <w:r w:rsidRPr="00403F63">
        <w:rPr>
          <w:rStyle w:val="af9"/>
          <w:rFonts w:hint="cs"/>
          <w:rtl/>
        </w:rPr>
        <w:t>בחי' רבי נחום</w:t>
      </w:r>
      <w:r>
        <w:rPr>
          <w:rFonts w:hint="cs"/>
          <w:rtl/>
        </w:rPr>
        <w:t xml:space="preserve"> על ביאור </w:t>
      </w:r>
      <w:r w:rsidRPr="00403F63">
        <w:rPr>
          <w:rStyle w:val="af9"/>
          <w:rFonts w:hint="cs"/>
          <w:rtl/>
        </w:rPr>
        <w:t>העיטור</w:t>
      </w:r>
      <w:r>
        <w:rPr>
          <w:rFonts w:hint="cs"/>
          <w:rtl/>
        </w:rPr>
        <w:t xml:space="preserve"> </w:t>
      </w:r>
      <w:r w:rsidRPr="005F14D4">
        <w:rPr>
          <w:rStyle w:val="af7"/>
          <w:rFonts w:eastAsia="Guttman Hodes" w:hint="cs"/>
          <w:rtl/>
        </w:rPr>
        <w:t xml:space="preserve">(עי' אות </w:t>
      </w:r>
      <w:r w:rsidRPr="005F14D4">
        <w:rPr>
          <w:rStyle w:val="af7"/>
          <w:rFonts w:eastAsia="Guttman Hodes"/>
          <w:rtl/>
        </w:rPr>
        <w:fldChar w:fldCharType="begin"/>
      </w:r>
      <w:r w:rsidRPr="005F14D4">
        <w:rPr>
          <w:rStyle w:val="af7"/>
          <w:rFonts w:eastAsia="Guttman Hodes"/>
          <w:rtl/>
        </w:rPr>
        <w:instrText xml:space="preserve"> </w:instrText>
      </w:r>
      <w:r w:rsidRPr="005F14D4">
        <w:rPr>
          <w:rStyle w:val="af7"/>
          <w:rFonts w:eastAsia="Guttman Hodes" w:hint="cs"/>
        </w:rPr>
        <w:instrText>REF</w:instrText>
      </w:r>
      <w:r w:rsidRPr="005F14D4">
        <w:rPr>
          <w:rStyle w:val="af7"/>
          <w:rFonts w:eastAsia="Guttman Hodes" w:hint="cs"/>
          <w:rtl/>
        </w:rPr>
        <w:instrText xml:space="preserve"> _</w:instrText>
      </w:r>
      <w:r w:rsidRPr="005F14D4">
        <w:rPr>
          <w:rStyle w:val="af7"/>
          <w:rFonts w:eastAsia="Guttman Hodes" w:hint="cs"/>
        </w:rPr>
        <w:instrText>Ref59801094 \r \h</w:instrText>
      </w:r>
      <w:r w:rsidRPr="005F14D4">
        <w:rPr>
          <w:rStyle w:val="af7"/>
          <w:rFonts w:eastAsia="Guttman Hodes"/>
          <w:rtl/>
        </w:rPr>
        <w:instrText xml:space="preserve"> </w:instrText>
      </w:r>
      <w:r w:rsidRPr="005F14D4">
        <w:rPr>
          <w:rStyle w:val="af7"/>
          <w:rFonts w:eastAsia="Guttman Hodes"/>
          <w:rtl/>
        </w:rPr>
      </w:r>
      <w:r w:rsidRPr="005F14D4">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5F14D4">
        <w:rPr>
          <w:rStyle w:val="af7"/>
          <w:rFonts w:eastAsia="Guttman Hodes"/>
          <w:rtl/>
        </w:rPr>
        <w:fldChar w:fldCharType="end"/>
      </w:r>
      <w:r>
        <w:rPr>
          <w:rFonts w:hint="cs"/>
          <w:rtl/>
        </w:rPr>
        <w:t xml:space="preserve"> </w:t>
      </w:r>
      <w:r w:rsidRPr="00403F63">
        <w:rPr>
          <w:rStyle w:val="af9"/>
          <w:rFonts w:hint="cs"/>
          <w:rtl/>
        </w:rPr>
        <w:t>ברי"ף</w:t>
      </w:r>
      <w:r>
        <w:rPr>
          <w:rFonts w:hint="cs"/>
          <w:rtl/>
        </w:rPr>
        <w:t xml:space="preserve"> דכשאין למחזיק חזקת ג"ש, אינו נאמן בטענת קמי דידי, ואילו בגמ' לעיל </w:t>
      </w:r>
      <w:r w:rsidRPr="000759E0">
        <w:rPr>
          <w:rStyle w:val="af7"/>
          <w:rFonts w:eastAsia="Guttman Hodes" w:hint="cs"/>
          <w:rtl/>
        </w:rPr>
        <w:t>(כט:)</w:t>
      </w:r>
      <w:r>
        <w:rPr>
          <w:rFonts w:hint="cs"/>
          <w:rtl/>
        </w:rPr>
        <w:t xml:space="preserve"> בדין שכוני גוואי, הביא</w:t>
      </w:r>
      <w:r w:rsidRPr="00EC127D">
        <w:rPr>
          <w:rStyle w:val="af9"/>
          <w:rFonts w:hint="cs"/>
          <w:rtl/>
        </w:rPr>
        <w:t xml:space="preserve"> הרי"ף בפי' הא'</w:t>
      </w:r>
      <w:r w:rsidRPr="009060B7">
        <w:rPr>
          <w:rStyle w:val="af9"/>
          <w:rFonts w:hint="cs"/>
          <w:rtl/>
        </w:rPr>
        <w:t xml:space="preserve"> </w:t>
      </w:r>
      <w:r w:rsidRPr="000759E0">
        <w:rPr>
          <w:rStyle w:val="af7"/>
          <w:rFonts w:eastAsia="Guttman Hodes" w:hint="cs"/>
          <w:rtl/>
        </w:rPr>
        <w:t>(טו. מדה"ר, הובא בסימן ז' אות מ"ב)</w:t>
      </w:r>
      <w:r w:rsidRPr="009060B7">
        <w:rPr>
          <w:rStyle w:val="af9"/>
          <w:rFonts w:hint="cs"/>
          <w:rtl/>
        </w:rPr>
        <w:t xml:space="preserve"> </w:t>
      </w:r>
      <w:r>
        <w:rPr>
          <w:rFonts w:hint="cs"/>
          <w:rtl/>
        </w:rPr>
        <w:t xml:space="preserve">בשם </w:t>
      </w:r>
      <w:r w:rsidRPr="00EC127D">
        <w:rPr>
          <w:rStyle w:val="af9"/>
          <w:rFonts w:hint="cs"/>
          <w:rtl/>
        </w:rPr>
        <w:t>י"מ</w:t>
      </w:r>
      <w:r>
        <w:rPr>
          <w:rFonts w:hint="cs"/>
          <w:rtl/>
        </w:rPr>
        <w:t xml:space="preserve"> דכל שאין למחזיק חזקת ג"ש, אינו נאמן מדין הפה שאסר, והקשה </w:t>
      </w:r>
      <w:r w:rsidRPr="00EC127D">
        <w:rPr>
          <w:rStyle w:val="af9"/>
          <w:rFonts w:hint="cs"/>
          <w:rtl/>
        </w:rPr>
        <w:t>הרי"ף בפי' הא'</w:t>
      </w:r>
      <w:r w:rsidRPr="009060B7">
        <w:rPr>
          <w:rStyle w:val="af7"/>
          <w:rFonts w:eastAsia="Guttman Hodes" w:hint="cs"/>
          <w:rtl/>
        </w:rPr>
        <w:t xml:space="preserve"> (טו. מדה"ר</w:t>
      </w:r>
      <w:r>
        <w:rPr>
          <w:rStyle w:val="af7"/>
          <w:rFonts w:eastAsia="Guttman Hodes" w:hint="cs"/>
          <w:rtl/>
        </w:rPr>
        <w:t>, הובא בסימן ז' אות מ"ה)</w:t>
      </w:r>
      <w:r w:rsidRPr="009060B7">
        <w:rPr>
          <w:rStyle w:val="af7"/>
          <w:rFonts w:eastAsia="Guttman Hodes" w:hint="cs"/>
          <w:rtl/>
        </w:rPr>
        <w:t xml:space="preserve"> </w:t>
      </w:r>
      <w:r>
        <w:rPr>
          <w:rFonts w:hint="cs"/>
          <w:rtl/>
        </w:rPr>
        <w:t xml:space="preserve">על דעת </w:t>
      </w:r>
      <w:r w:rsidRPr="005436AE">
        <w:rPr>
          <w:rStyle w:val="af9"/>
          <w:rFonts w:hint="cs"/>
          <w:rtl/>
        </w:rPr>
        <w:t>הי"מ</w:t>
      </w:r>
      <w:r>
        <w:rPr>
          <w:rFonts w:hint="cs"/>
          <w:rtl/>
        </w:rPr>
        <w:t xml:space="preserve"> דמוכח בגמ' בכתובות </w:t>
      </w:r>
      <w:r w:rsidRPr="00B5395D">
        <w:rPr>
          <w:rStyle w:val="af7"/>
          <w:rFonts w:eastAsia="Guttman Hodes" w:hint="cs"/>
          <w:rtl/>
        </w:rPr>
        <w:t>(יז:)</w:t>
      </w:r>
      <w:r>
        <w:rPr>
          <w:rFonts w:hint="cs"/>
          <w:rtl/>
        </w:rPr>
        <w:t xml:space="preserve"> דהמחזיק נאמן מדין הפה שאסר, אף כשלא החזיק ג"ש, והקשה </w:t>
      </w:r>
      <w:r w:rsidRPr="005436AE">
        <w:rPr>
          <w:rStyle w:val="af9"/>
          <w:rFonts w:hint="cs"/>
          <w:rtl/>
        </w:rPr>
        <w:t>בחי' רבי נחום</w:t>
      </w:r>
      <w:r>
        <w:rPr>
          <w:rFonts w:hint="cs"/>
          <w:rtl/>
        </w:rPr>
        <w:t xml:space="preserve"> דלביאור </w:t>
      </w:r>
      <w:r w:rsidRPr="005F14D4">
        <w:rPr>
          <w:rStyle w:val="af9"/>
          <w:rFonts w:hint="cs"/>
          <w:rtl/>
        </w:rPr>
        <w:t>העיטור ברי</w:t>
      </w:r>
      <w:r w:rsidRPr="005436AE">
        <w:rPr>
          <w:rStyle w:val="af9"/>
          <w:rFonts w:hint="cs"/>
          <w:rtl/>
        </w:rPr>
        <w:t>"ף בסוגיין</w:t>
      </w:r>
      <w:r>
        <w:rPr>
          <w:rFonts w:hint="cs"/>
          <w:rtl/>
        </w:rPr>
        <w:t xml:space="preserve"> מבואר דבתוך ג"ש, אינו נאמן מדין הפה שאסר.</w:t>
      </w:r>
    </w:p>
    <w:p w:rsidR="000E75A3" w:rsidRDefault="000E75A3" w:rsidP="000E75A3">
      <w:pPr>
        <w:pStyle w:val="a3"/>
        <w:rPr>
          <w:rtl/>
        </w:rPr>
      </w:pPr>
      <w:bookmarkStart w:id="10303" w:name="_Toc59802693"/>
      <w:bookmarkStart w:id="10304" w:name="_Toc59916257"/>
      <w:r>
        <w:rPr>
          <w:rFonts w:hint="cs"/>
          <w:rtl/>
        </w:rPr>
        <w:t>ביאור הגרנ"פ ברי"ף וברמב"ם וברשב"ם דבקמי דידי ל"מ הפה שאסר אבל במינך זבינתה מהני</w:t>
      </w:r>
      <w:bookmarkEnd w:id="10303"/>
      <w:bookmarkEnd w:id="10304"/>
    </w:p>
    <w:p w:rsidR="000E75A3" w:rsidRDefault="000E75A3" w:rsidP="007E4E81">
      <w:pPr>
        <w:pStyle w:val="a0"/>
        <w:rPr>
          <w:rtl/>
        </w:rPr>
      </w:pPr>
      <w:r>
        <w:rPr>
          <w:rFonts w:hint="cs"/>
          <w:rtl/>
        </w:rPr>
        <w:t xml:space="preserve">אלא ביאר </w:t>
      </w:r>
      <w:r w:rsidRPr="0041378F">
        <w:rPr>
          <w:rStyle w:val="af9"/>
          <w:rFonts w:hint="cs"/>
          <w:rtl/>
        </w:rPr>
        <w:t>בחי' רבי נחום</w:t>
      </w:r>
      <w:r>
        <w:rPr>
          <w:rFonts w:hint="cs"/>
          <w:rtl/>
        </w:rPr>
        <w:t xml:space="preserve"> </w:t>
      </w:r>
      <w:r w:rsidRPr="0041378F">
        <w:rPr>
          <w:rStyle w:val="af7"/>
          <w:rFonts w:eastAsia="Guttman Hodes" w:hint="cs"/>
          <w:rtl/>
        </w:rPr>
        <w:t>(או' ס' ד"ה ואשר)</w:t>
      </w:r>
      <w:r>
        <w:rPr>
          <w:rFonts w:hint="cs"/>
          <w:rtl/>
        </w:rPr>
        <w:t xml:space="preserve"> דדוקא בטענת קמי דידי זבנה מינך, ס"ל </w:t>
      </w:r>
      <w:r w:rsidRPr="0041378F">
        <w:rPr>
          <w:rStyle w:val="af9"/>
          <w:rFonts w:hint="cs"/>
          <w:rtl/>
        </w:rPr>
        <w:t>להרי"ף והרמב"ם ולטור</w:t>
      </w:r>
      <w:r>
        <w:rPr>
          <w:rFonts w:hint="cs"/>
          <w:rtl/>
        </w:rPr>
        <w:t xml:space="preserve"> בדעת </w:t>
      </w:r>
      <w:r w:rsidRPr="0041378F">
        <w:rPr>
          <w:rStyle w:val="af9"/>
          <w:rFonts w:hint="cs"/>
          <w:rtl/>
        </w:rPr>
        <w:t>הרשב"ם</w:t>
      </w:r>
      <w:r>
        <w:rPr>
          <w:rFonts w:hint="cs"/>
          <w:rtl/>
        </w:rPr>
        <w:t xml:space="preserve"> דאינו נאמן מדין הפה שאסר, בלא חזקה, אבל בטענת מינך זבינתה, הוא נאמן מדין הפה שאסר אף בלא חזקה.</w:t>
      </w:r>
    </w:p>
    <w:p w:rsidR="000E75A3" w:rsidRPr="003D7AEF" w:rsidRDefault="000E75A3" w:rsidP="000E75A3">
      <w:pPr>
        <w:pStyle w:val="a3"/>
        <w:rPr>
          <w:rtl/>
        </w:rPr>
      </w:pPr>
      <w:bookmarkStart w:id="10305" w:name="_Toc59802694"/>
      <w:bookmarkStart w:id="10306" w:name="_Toc59916258"/>
      <w:r>
        <w:rPr>
          <w:rFonts w:hint="cs"/>
          <w:rtl/>
        </w:rPr>
        <w:t>ביאור הגרנ"פ ברי"ף וברמב"ם דס"ל כרא"ש דאין למחזיק מיגו דלהד"ם ובמינך זבינתה יש מיגו</w:t>
      </w:r>
      <w:bookmarkEnd w:id="10305"/>
      <w:bookmarkEnd w:id="10306"/>
    </w:p>
    <w:p w:rsidR="000E75A3" w:rsidRPr="00465809" w:rsidRDefault="000E75A3" w:rsidP="007E4E81">
      <w:pPr>
        <w:pStyle w:val="a0"/>
        <w:rPr>
          <w:rtl/>
        </w:rPr>
      </w:pPr>
      <w:bookmarkStart w:id="10307" w:name="_Ref59655191"/>
      <w:r>
        <w:rPr>
          <w:rFonts w:hint="cs"/>
          <w:rtl/>
        </w:rPr>
        <w:t xml:space="preserve">וכתב </w:t>
      </w:r>
      <w:r w:rsidRPr="00323E22">
        <w:rPr>
          <w:rStyle w:val="af9"/>
          <w:rFonts w:hint="cs"/>
          <w:rtl/>
        </w:rPr>
        <w:t>בחי' רבי נחום</w:t>
      </w:r>
      <w:r>
        <w:rPr>
          <w:rFonts w:hint="cs"/>
          <w:rtl/>
        </w:rPr>
        <w:t xml:space="preserve"> דבדעת </w:t>
      </w:r>
      <w:r w:rsidRPr="00323E22">
        <w:rPr>
          <w:rStyle w:val="af9"/>
          <w:rFonts w:hint="cs"/>
          <w:rtl/>
        </w:rPr>
        <w:t>הרי"ף והרמב"ם</w:t>
      </w:r>
      <w:r>
        <w:rPr>
          <w:rFonts w:hint="cs"/>
          <w:rtl/>
        </w:rPr>
        <w:t xml:space="preserve"> אפש"ל דס"ל כביאור </w:t>
      </w:r>
      <w:r w:rsidRPr="001C266F">
        <w:rPr>
          <w:rStyle w:val="af9"/>
          <w:rFonts w:hint="cs"/>
          <w:rtl/>
        </w:rPr>
        <w:t>הרא"ש</w:t>
      </w:r>
      <w:r>
        <w:rPr>
          <w:rFonts w:hint="cs"/>
          <w:rtl/>
        </w:rPr>
        <w:t xml:space="preserve"> </w:t>
      </w:r>
      <w:r w:rsidRPr="005560A5">
        <w:rPr>
          <w:rStyle w:val="af7"/>
          <w:rFonts w:eastAsia="Guttman Hodes" w:hint="cs"/>
          <w:rtl/>
        </w:rPr>
        <w:t xml:space="preserve">(עי' אות </w:t>
      </w:r>
      <w:r w:rsidRPr="005560A5">
        <w:rPr>
          <w:rStyle w:val="af7"/>
          <w:rFonts w:eastAsia="Guttman Hodes"/>
          <w:rtl/>
        </w:rPr>
        <w:fldChar w:fldCharType="begin"/>
      </w:r>
      <w:r w:rsidRPr="005560A5">
        <w:rPr>
          <w:rStyle w:val="af7"/>
          <w:rFonts w:eastAsia="Guttman Hodes"/>
          <w:rtl/>
        </w:rPr>
        <w:instrText xml:space="preserve"> </w:instrText>
      </w:r>
      <w:r w:rsidRPr="005560A5">
        <w:rPr>
          <w:rStyle w:val="af7"/>
          <w:rFonts w:eastAsia="Guttman Hodes" w:hint="cs"/>
        </w:rPr>
        <w:instrText>REF</w:instrText>
      </w:r>
      <w:r w:rsidRPr="005560A5">
        <w:rPr>
          <w:rStyle w:val="af7"/>
          <w:rFonts w:eastAsia="Guttman Hodes" w:hint="cs"/>
          <w:rtl/>
        </w:rPr>
        <w:instrText xml:space="preserve"> _</w:instrText>
      </w:r>
      <w:r w:rsidRPr="005560A5">
        <w:rPr>
          <w:rStyle w:val="af7"/>
          <w:rFonts w:eastAsia="Guttman Hodes" w:hint="cs"/>
        </w:rPr>
        <w:instrText>Ref59655213 \r \h</w:instrText>
      </w:r>
      <w:r w:rsidRPr="005560A5">
        <w:rPr>
          <w:rStyle w:val="af7"/>
          <w:rFonts w:eastAsia="Guttman Hodes"/>
          <w:rtl/>
        </w:rPr>
        <w:instrText xml:space="preserve"> </w:instrText>
      </w:r>
      <w:r w:rsidRPr="005560A5">
        <w:rPr>
          <w:rStyle w:val="af7"/>
          <w:rFonts w:eastAsia="Guttman Hodes"/>
          <w:rtl/>
        </w:rPr>
      </w:r>
      <w:r w:rsidRPr="005560A5">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5560A5">
        <w:rPr>
          <w:rStyle w:val="af7"/>
          <w:rFonts w:eastAsia="Guttman Hodes"/>
          <w:rtl/>
        </w:rPr>
        <w:fldChar w:fldCharType="end"/>
      </w:r>
      <w:r>
        <w:rPr>
          <w:rFonts w:hint="cs"/>
          <w:rtl/>
        </w:rPr>
        <w:t xml:space="preserve"> דרק במקום שהמחזיק אומר שקנה מהמוכר שא"ל שהוא קנה מהמערער, הוא ירא לטעון דלא הייתה של המערער מעולם, ולכן אינו נאמן במיגו, אבל במקום שטוען מינך זבינתה, יש לו מיגו, </w:t>
      </w:r>
      <w:r w:rsidRPr="00323E22">
        <w:rPr>
          <w:rStyle w:val="afb"/>
          <w:rFonts w:hint="cs"/>
          <w:rtl/>
        </w:rPr>
        <w:t xml:space="preserve">[וכן ביאר </w:t>
      </w:r>
      <w:r w:rsidRPr="00323E22">
        <w:rPr>
          <w:rStyle w:val="affa"/>
          <w:rFonts w:hint="cs"/>
          <w:rtl/>
        </w:rPr>
        <w:t>המחנ"א</w:t>
      </w:r>
      <w:r w:rsidRPr="00323E22">
        <w:rPr>
          <w:rStyle w:val="afb"/>
          <w:rFonts w:hint="cs"/>
          <w:rtl/>
        </w:rPr>
        <w:t xml:space="preserve"> </w:t>
      </w:r>
      <w:r w:rsidRPr="00FF18BF">
        <w:rPr>
          <w:rStyle w:val="aff6"/>
          <w:rFonts w:hint="cs"/>
          <w:rtl/>
        </w:rPr>
        <w:t xml:space="preserve">(עי' אות </w:t>
      </w:r>
      <w:r w:rsidRPr="00FF18BF">
        <w:rPr>
          <w:rStyle w:val="aff6"/>
          <w:rtl/>
        </w:rPr>
        <w:fldChar w:fldCharType="begin"/>
      </w:r>
      <w:r w:rsidRPr="00FF18BF">
        <w:rPr>
          <w:rStyle w:val="aff6"/>
          <w:rtl/>
        </w:rPr>
        <w:instrText xml:space="preserve"> </w:instrText>
      </w:r>
      <w:r w:rsidRPr="00FF18BF">
        <w:rPr>
          <w:rStyle w:val="aff6"/>
          <w:rFonts w:hint="cs"/>
        </w:rPr>
        <w:instrText>REF</w:instrText>
      </w:r>
      <w:r w:rsidRPr="00FF18BF">
        <w:rPr>
          <w:rStyle w:val="aff6"/>
          <w:rFonts w:hint="cs"/>
          <w:rtl/>
        </w:rPr>
        <w:instrText xml:space="preserve"> _</w:instrText>
      </w:r>
      <w:r w:rsidRPr="00FF18BF">
        <w:rPr>
          <w:rStyle w:val="aff6"/>
          <w:rFonts w:hint="cs"/>
        </w:rPr>
        <w:instrText>Ref59655160 \r \h</w:instrText>
      </w:r>
      <w:r w:rsidRPr="00FF18BF">
        <w:rPr>
          <w:rStyle w:val="aff6"/>
          <w:rtl/>
        </w:rPr>
        <w:instrText xml:space="preserve"> </w:instrText>
      </w:r>
      <w:r w:rsidRPr="00FF18BF">
        <w:rPr>
          <w:rStyle w:val="aff6"/>
          <w:rtl/>
        </w:rPr>
      </w:r>
      <w:r w:rsidRPr="00FF18BF">
        <w:rPr>
          <w:rStyle w:val="aff6"/>
          <w:rtl/>
        </w:rPr>
        <w:fldChar w:fldCharType="separate"/>
      </w:r>
      <w:r w:rsidR="00265073">
        <w:rPr>
          <w:rStyle w:val="aff6"/>
          <w:cs/>
        </w:rPr>
        <w:t>‎</w:t>
      </w:r>
      <w:r w:rsidR="00265073">
        <w:rPr>
          <w:rStyle w:val="aff6"/>
          <w:rtl/>
        </w:rPr>
        <w:t>צח)</w:t>
      </w:r>
      <w:r w:rsidRPr="00FF18BF">
        <w:rPr>
          <w:rStyle w:val="aff6"/>
          <w:rtl/>
        </w:rPr>
        <w:fldChar w:fldCharType="end"/>
      </w:r>
      <w:r w:rsidRPr="00FF18BF">
        <w:rPr>
          <w:rStyle w:val="aff6"/>
          <w:rFonts w:hint="cs"/>
          <w:rtl/>
        </w:rPr>
        <w:t xml:space="preserve"> </w:t>
      </w:r>
      <w:r w:rsidRPr="00323E22">
        <w:rPr>
          <w:rStyle w:val="affa"/>
          <w:rFonts w:hint="cs"/>
          <w:rtl/>
        </w:rPr>
        <w:t>ברמב"ם</w:t>
      </w:r>
      <w:r w:rsidRPr="00323E22">
        <w:rPr>
          <w:rStyle w:val="afb"/>
          <w:rFonts w:hint="cs"/>
          <w:rtl/>
        </w:rPr>
        <w:t xml:space="preserve">], </w:t>
      </w:r>
      <w:r>
        <w:rPr>
          <w:rFonts w:hint="cs"/>
          <w:rtl/>
        </w:rPr>
        <w:t xml:space="preserve">אבל בדברי </w:t>
      </w:r>
      <w:r w:rsidRPr="00323E22">
        <w:rPr>
          <w:rStyle w:val="af9"/>
          <w:rFonts w:hint="cs"/>
          <w:rtl/>
        </w:rPr>
        <w:t>הטור</w:t>
      </w:r>
      <w:r>
        <w:rPr>
          <w:rFonts w:hint="cs"/>
          <w:rtl/>
        </w:rPr>
        <w:t xml:space="preserve"> בדעת </w:t>
      </w:r>
      <w:r w:rsidRPr="00323E22">
        <w:rPr>
          <w:rStyle w:val="af9"/>
          <w:rFonts w:hint="cs"/>
          <w:rtl/>
        </w:rPr>
        <w:t>הרשב"ם</w:t>
      </w:r>
      <w:r>
        <w:rPr>
          <w:rFonts w:hint="cs"/>
          <w:rtl/>
        </w:rPr>
        <w:t xml:space="preserve">, כתב </w:t>
      </w:r>
      <w:r w:rsidRPr="00323E22">
        <w:rPr>
          <w:rStyle w:val="af9"/>
          <w:rFonts w:hint="cs"/>
          <w:rtl/>
        </w:rPr>
        <w:t>בחי' רבי נחום</w:t>
      </w:r>
      <w:r>
        <w:rPr>
          <w:rFonts w:hint="cs"/>
          <w:rtl/>
        </w:rPr>
        <w:t xml:space="preserve"> דא"א לומר כן, עיי"ש בדבריו.</w:t>
      </w:r>
      <w:bookmarkEnd w:id="10307"/>
    </w:p>
    <w:p w:rsidR="000E75A3" w:rsidRDefault="000E75A3" w:rsidP="000E75A3">
      <w:pPr>
        <w:pStyle w:val="1"/>
        <w:rPr>
          <w:rtl/>
        </w:rPr>
      </w:pPr>
      <w:bookmarkStart w:id="10308" w:name="_Toc59802695"/>
      <w:bookmarkStart w:id="10309" w:name="_Toc59916259"/>
      <w:r>
        <w:rPr>
          <w:rFonts w:hint="cs"/>
          <w:rtl/>
        </w:rPr>
        <w:t>ביאור הגרנ"פ דבקמי דידי ל"מ הפה שאסר דלא יהיה מר"ק</w:t>
      </w:r>
      <w:bookmarkEnd w:id="10308"/>
      <w:bookmarkEnd w:id="10309"/>
    </w:p>
    <w:p w:rsidR="000E75A3" w:rsidRPr="00244A02" w:rsidRDefault="000E75A3" w:rsidP="000E75A3">
      <w:pPr>
        <w:pStyle w:val="a3"/>
        <w:rPr>
          <w:rtl/>
        </w:rPr>
      </w:pPr>
      <w:bookmarkStart w:id="10310" w:name="_Toc59802696"/>
      <w:bookmarkStart w:id="10311" w:name="_Toc59916260"/>
      <w:r>
        <w:rPr>
          <w:rFonts w:hint="cs"/>
          <w:rtl/>
        </w:rPr>
        <w:t>תי' שיעורי הגרנ"פ דבמינך זבינתה אין המערער נעשה למוחזק כיון שיש למחזיק הפה שאסר</w:t>
      </w:r>
      <w:bookmarkEnd w:id="10310"/>
      <w:bookmarkEnd w:id="10311"/>
    </w:p>
    <w:p w:rsidR="000E75A3" w:rsidRDefault="000E75A3" w:rsidP="007E4E81">
      <w:pPr>
        <w:pStyle w:val="a0"/>
        <w:rPr>
          <w:rtl/>
        </w:rPr>
      </w:pPr>
      <w:r>
        <w:rPr>
          <w:rFonts w:hint="cs"/>
          <w:rtl/>
        </w:rPr>
        <w:t xml:space="preserve">ועוד תירץ </w:t>
      </w:r>
      <w:r w:rsidRPr="0041378F">
        <w:rPr>
          <w:rStyle w:val="af9"/>
          <w:rFonts w:hint="cs"/>
          <w:rtl/>
        </w:rPr>
        <w:t>בשיעורי רבי נחום</w:t>
      </w:r>
      <w:r>
        <w:rPr>
          <w:rFonts w:hint="cs"/>
          <w:rtl/>
        </w:rPr>
        <w:t xml:space="preserve"> </w:t>
      </w:r>
      <w:r w:rsidRPr="0041378F">
        <w:rPr>
          <w:rStyle w:val="af7"/>
          <w:rFonts w:eastAsia="Guttman Hodes" w:hint="cs"/>
          <w:rtl/>
        </w:rPr>
        <w:t>(סי' י"ח או' ב' ד"ה ומעתה)</w:t>
      </w:r>
      <w:r>
        <w:rPr>
          <w:rFonts w:hint="cs"/>
          <w:rtl/>
        </w:rPr>
        <w:t xml:space="preserve"> דבטענת מינך זבינתה, כל שאין למערער עדים, אינו נחשב למרא קמא, אף שהמחזיק הודה לו, מ"מ כיון שכל המוחזקות של המערער היא לפי הודאת המחזיק, וכיון שטוען המחזיק שהוא קנה מהמערער, ולטענתו אין המערער מוחזק עכשיו בקרקע, ממילא לא מהני הודאת המחזיק להחשיב את המערער למרא קמא, מדין הפה שאסר, דכל מה שאסר המחזיק דאמר שהקרקע הייתה בחזקת המערער, הוא התיר בטענתו דמינך זבינתה, דאומר דעכשיו היא בחזקתו.</w:t>
      </w:r>
    </w:p>
    <w:p w:rsidR="000E75A3" w:rsidRPr="00032FC7" w:rsidRDefault="000E75A3" w:rsidP="000E75A3">
      <w:pPr>
        <w:pStyle w:val="a3"/>
        <w:rPr>
          <w:rtl/>
        </w:rPr>
      </w:pPr>
      <w:bookmarkStart w:id="10312" w:name="_Toc59802697"/>
      <w:bookmarkStart w:id="10313" w:name="_Toc59916261"/>
      <w:r>
        <w:rPr>
          <w:rFonts w:hint="cs"/>
          <w:rtl/>
        </w:rPr>
        <w:t>ביאור שיעורי הגרנ"פ דבקמי דידי מודה דהמערער מוחזק ורוצה להיות נאמן בטענה אחרת</w:t>
      </w:r>
      <w:bookmarkEnd w:id="10312"/>
      <w:bookmarkEnd w:id="10313"/>
    </w:p>
    <w:p w:rsidR="000E75A3" w:rsidRDefault="000E75A3" w:rsidP="007E4E81">
      <w:pPr>
        <w:pStyle w:val="a0"/>
        <w:rPr>
          <w:rtl/>
        </w:rPr>
      </w:pPr>
      <w:r>
        <w:rPr>
          <w:rFonts w:hint="cs"/>
          <w:rtl/>
        </w:rPr>
        <w:t xml:space="preserve">אבל בטענת קמי דידי זבנה מינך, ביאר </w:t>
      </w:r>
      <w:r w:rsidRPr="0041378F">
        <w:rPr>
          <w:rStyle w:val="af9"/>
          <w:rFonts w:hint="cs"/>
          <w:rtl/>
        </w:rPr>
        <w:t>בשיעורי רבי נחום</w:t>
      </w:r>
      <w:r>
        <w:rPr>
          <w:rFonts w:hint="cs"/>
          <w:rtl/>
        </w:rPr>
        <w:t xml:space="preserve"> דאעפ"י שלפני שהודה המחזיק למערער, הייתה הקרקע בחזקת המחזיק, מ"מ לאחר הודאתו, א"א לומר דמה שהוא מוחזק זה ראיה לטענתו דקמי דידי זבנה מינך, ולכן כיון שאסר המחזיק דהודה שהקרקע הייתה בחזקת המערער, ומה שהוא מתיר בטענת קמי דידי זבנה מינך, אינו טוען בטענה הזו גופא שהוא מוחזק בקרקע, אלא דלטענתו אח"כ הוא קנה מהמוכר, ועי"ז הוא מוחזק בקרקע.</w:t>
      </w:r>
    </w:p>
    <w:p w:rsidR="000E75A3" w:rsidRPr="00BC71D6" w:rsidRDefault="000E75A3" w:rsidP="000E75A3">
      <w:pPr>
        <w:pStyle w:val="a3"/>
        <w:rPr>
          <w:rtl/>
        </w:rPr>
      </w:pPr>
      <w:bookmarkStart w:id="10314" w:name="_Toc59802698"/>
      <w:bookmarkStart w:id="10315" w:name="_Toc59916262"/>
      <w:r>
        <w:rPr>
          <w:rFonts w:hint="cs"/>
          <w:rtl/>
        </w:rPr>
        <w:t>ביאור הגרנ"פ דנאמנות הפה שאסר היא רק שלא התיר יותר ממה שאסר דלא נעשה מוחזק כלל</w:t>
      </w:r>
      <w:bookmarkEnd w:id="10314"/>
      <w:bookmarkEnd w:id="10315"/>
    </w:p>
    <w:p w:rsidR="000E75A3" w:rsidRDefault="000E75A3" w:rsidP="007E4E81">
      <w:pPr>
        <w:pStyle w:val="a0"/>
        <w:rPr>
          <w:rtl/>
        </w:rPr>
      </w:pPr>
      <w:r>
        <w:rPr>
          <w:rFonts w:hint="cs"/>
          <w:rtl/>
        </w:rPr>
        <w:t xml:space="preserve">וביאר </w:t>
      </w:r>
      <w:r w:rsidRPr="0041378F">
        <w:rPr>
          <w:rStyle w:val="af9"/>
          <w:rFonts w:hint="cs"/>
          <w:rtl/>
        </w:rPr>
        <w:t>בשיעורי רבי נחום</w:t>
      </w:r>
      <w:r>
        <w:rPr>
          <w:rFonts w:hint="cs"/>
          <w:rtl/>
        </w:rPr>
        <w:t xml:space="preserve"> דהנאמנות בדין הפה שאסר אינה דכל מה שהוא טוען הוא נאמן, אלא הנאמנות היא כיון שלא כלול באיסור שלו יותר ממה שהתיר, </w:t>
      </w:r>
      <w:r w:rsidRPr="00323E22">
        <w:rPr>
          <w:rStyle w:val="afb"/>
          <w:rFonts w:hint="cs"/>
          <w:rtl/>
        </w:rPr>
        <w:t xml:space="preserve">[עי' במ"ש </w:t>
      </w:r>
      <w:r w:rsidRPr="00323E22">
        <w:rPr>
          <w:rStyle w:val="affa"/>
          <w:rFonts w:hint="cs"/>
          <w:rtl/>
        </w:rPr>
        <w:t>בחי' רבי נחום</w:t>
      </w:r>
      <w:r w:rsidRPr="00323E22">
        <w:rPr>
          <w:rStyle w:val="afb"/>
          <w:rFonts w:hint="cs"/>
          <w:rtl/>
        </w:rPr>
        <w:t xml:space="preserve"> </w:t>
      </w:r>
      <w:r w:rsidRPr="00323E22">
        <w:rPr>
          <w:rStyle w:val="aff6"/>
          <w:rFonts w:hint="cs"/>
          <w:rtl/>
        </w:rPr>
        <w:t xml:space="preserve">(עי' אות </w:t>
      </w:r>
      <w:r w:rsidRPr="00323E22">
        <w:rPr>
          <w:rStyle w:val="aff6"/>
          <w:rtl/>
        </w:rPr>
        <w:fldChar w:fldCharType="begin"/>
      </w:r>
      <w:r w:rsidRPr="00323E22">
        <w:rPr>
          <w:rStyle w:val="aff6"/>
          <w:rtl/>
        </w:rPr>
        <w:instrText xml:space="preserve"> </w:instrText>
      </w:r>
      <w:r w:rsidRPr="00323E22">
        <w:rPr>
          <w:rStyle w:val="aff6"/>
          <w:rFonts w:hint="cs"/>
        </w:rPr>
        <w:instrText>REF</w:instrText>
      </w:r>
      <w:r w:rsidRPr="00323E22">
        <w:rPr>
          <w:rStyle w:val="aff6"/>
          <w:rFonts w:hint="cs"/>
          <w:rtl/>
        </w:rPr>
        <w:instrText xml:space="preserve"> _</w:instrText>
      </w:r>
      <w:r w:rsidRPr="00323E22">
        <w:rPr>
          <w:rStyle w:val="aff6"/>
          <w:rFonts w:hint="cs"/>
        </w:rPr>
        <w:instrText>Ref59653474 \r \h</w:instrText>
      </w:r>
      <w:r w:rsidRPr="00323E22">
        <w:rPr>
          <w:rStyle w:val="aff6"/>
          <w:rtl/>
        </w:rPr>
        <w:instrText xml:space="preserve"> </w:instrText>
      </w:r>
      <w:r w:rsidRPr="00323E22">
        <w:rPr>
          <w:rStyle w:val="aff6"/>
          <w:rtl/>
        </w:rPr>
      </w:r>
      <w:r w:rsidRPr="00323E22">
        <w:rPr>
          <w:rStyle w:val="aff6"/>
          <w:rtl/>
        </w:rPr>
        <w:fldChar w:fldCharType="separate"/>
      </w:r>
      <w:r w:rsidR="00265073">
        <w:rPr>
          <w:rStyle w:val="aff6"/>
          <w:cs/>
        </w:rPr>
        <w:t>‎</w:t>
      </w:r>
      <w:r w:rsidR="00265073">
        <w:rPr>
          <w:rStyle w:val="aff6"/>
          <w:rtl/>
        </w:rPr>
        <w:t>קיז)</w:t>
      </w:r>
      <w:r w:rsidRPr="00323E22">
        <w:rPr>
          <w:rStyle w:val="aff6"/>
          <w:rtl/>
        </w:rPr>
        <w:fldChar w:fldCharType="end"/>
      </w:r>
      <w:r w:rsidRPr="00323E22">
        <w:rPr>
          <w:rStyle w:val="afb"/>
          <w:rFonts w:hint="cs"/>
          <w:rtl/>
        </w:rPr>
        <w:t>],</w:t>
      </w:r>
      <w:r>
        <w:rPr>
          <w:rFonts w:hint="cs"/>
          <w:rtl/>
        </w:rPr>
        <w:t xml:space="preserve"> ורק במקום שהמוחזקות של המרא קמא היא מכח מה שהוא אסר, הוא </w:t>
      </w:r>
      <w:r>
        <w:rPr>
          <w:rFonts w:hint="cs"/>
          <w:rtl/>
        </w:rPr>
        <w:lastRenderedPageBreak/>
        <w:t>נאמן להתיר בטענת מינך זבינתה, דלטענתו עכשיו הוא המוחזק ולא המערער, דמדין הפה שאסר לא נעשה המערער למוחזק כלל, אבל בטענת קמי דידי, כיון דבמה שאסר הוא הודה שהמערער הוא המוחזק, ובמה שהוא בא להתיר, אינו טוען מכח הטענה הזו שהוא המוחזק ולא המערער, א"כ אין לו כל נאמנות על טענת ההיתר, דאף לטענתו עדיין המערער מוחזק, ואין לו נאמנות על כל מה שהוא טוען.</w:t>
      </w:r>
    </w:p>
    <w:p w:rsidR="000E75A3" w:rsidRPr="003D3969" w:rsidRDefault="000E75A3" w:rsidP="000E75A3">
      <w:pPr>
        <w:pStyle w:val="1"/>
        <w:rPr>
          <w:rtl/>
        </w:rPr>
      </w:pPr>
      <w:bookmarkStart w:id="10316" w:name="_Toc59802699"/>
      <w:bookmarkStart w:id="10317" w:name="_Toc59916263"/>
      <w:r>
        <w:rPr>
          <w:rFonts w:hint="cs"/>
          <w:rtl/>
        </w:rPr>
        <w:t>ביאור הגרנ"פ דבקמי דידי וחזקה מהני הפה שאסר דאין מר"ק</w:t>
      </w:r>
      <w:bookmarkEnd w:id="10316"/>
      <w:bookmarkEnd w:id="10317"/>
    </w:p>
    <w:p w:rsidR="000E75A3" w:rsidRPr="00FD5E6A" w:rsidRDefault="000E75A3" w:rsidP="000E75A3">
      <w:pPr>
        <w:pStyle w:val="a3"/>
        <w:rPr>
          <w:rtl/>
        </w:rPr>
      </w:pPr>
      <w:bookmarkStart w:id="10318" w:name="_Toc59802700"/>
      <w:bookmarkStart w:id="10319" w:name="_Toc59916264"/>
      <w:r>
        <w:rPr>
          <w:rFonts w:hint="cs"/>
          <w:rtl/>
        </w:rPr>
        <w:t>ביאור הגרנ"פ דבקמי דידי עם חזקה אף לטענתו אין המערער מוחזק ומהני הפה שאסר</w:t>
      </w:r>
      <w:bookmarkEnd w:id="10318"/>
      <w:bookmarkEnd w:id="10319"/>
    </w:p>
    <w:p w:rsidR="000E75A3" w:rsidRDefault="000E75A3" w:rsidP="007E4E81">
      <w:pPr>
        <w:pStyle w:val="a0"/>
        <w:rPr>
          <w:rtl/>
        </w:rPr>
      </w:pPr>
      <w:r>
        <w:rPr>
          <w:rFonts w:hint="cs"/>
          <w:rtl/>
        </w:rPr>
        <w:t xml:space="preserve">וכתב </w:t>
      </w:r>
      <w:r w:rsidRPr="0041378F">
        <w:rPr>
          <w:rStyle w:val="af9"/>
          <w:rFonts w:hint="cs"/>
          <w:rtl/>
        </w:rPr>
        <w:t>בשיעורי רבי נחום</w:t>
      </w:r>
      <w:r>
        <w:rPr>
          <w:rFonts w:hint="cs"/>
          <w:rtl/>
        </w:rPr>
        <w:t xml:space="preserve"> </w:t>
      </w:r>
      <w:r w:rsidRPr="0041378F">
        <w:rPr>
          <w:rStyle w:val="af7"/>
          <w:rFonts w:eastAsia="Guttman Hodes" w:hint="cs"/>
          <w:rtl/>
        </w:rPr>
        <w:t>(סי' י"ח או' ב' ד"ה וכל זה)</w:t>
      </w:r>
      <w:r>
        <w:rPr>
          <w:rFonts w:hint="cs"/>
          <w:rtl/>
        </w:rPr>
        <w:t xml:space="preserve"> דהא דאינו נאמן מדין הפה שאסר, בטענת קמי דידי, היינו רק כשאין לו חזקת ג"ש, </w:t>
      </w:r>
      <w:r>
        <w:rPr>
          <w:rFonts w:hint="cs"/>
          <w:rtl/>
        </w:rPr>
        <w:t xml:space="preserve">אבל כשיש לו חזקת ג"ש, כיון שהוא החזיק ג"ש מכח המוכר, א"כ לטענתו דקמי דידי זבנה מינך נעשה המוכר למוחזק, וא"כ כלול בדבריו דהמערער אינו מוחזק עכשיו בקרקע כלל, והוא נאמן בזה מדין הפה שאסר, וכיון שהמערער אינו מוחזק והוא בא מכח המוכר שמוחזק, לכן אף הוא נחשב למוחזק. </w:t>
      </w:r>
      <w:r w:rsidRPr="00323E22">
        <w:rPr>
          <w:rStyle w:val="afb"/>
          <w:rFonts w:hint="cs"/>
          <w:rtl/>
        </w:rPr>
        <w:t xml:space="preserve">[וע"ע במה שהוסיף לבאר </w:t>
      </w:r>
      <w:r w:rsidRPr="00323E22">
        <w:rPr>
          <w:rStyle w:val="affa"/>
          <w:rFonts w:hint="cs"/>
          <w:rtl/>
        </w:rPr>
        <w:t>בשיעורי רבי נחום</w:t>
      </w:r>
      <w:r w:rsidRPr="00323E22">
        <w:rPr>
          <w:rStyle w:val="afb"/>
          <w:rFonts w:hint="cs"/>
          <w:rtl/>
        </w:rPr>
        <w:t xml:space="preserve"> </w:t>
      </w:r>
      <w:r w:rsidRPr="00323E22">
        <w:rPr>
          <w:rStyle w:val="aff6"/>
          <w:rFonts w:hint="cs"/>
          <w:rtl/>
        </w:rPr>
        <w:t xml:space="preserve">(סי' י"ח או' ב' ד"ה ונראה לומר) </w:t>
      </w:r>
      <w:r w:rsidRPr="00323E22">
        <w:rPr>
          <w:rStyle w:val="afb"/>
          <w:rFonts w:hint="cs"/>
          <w:rtl/>
        </w:rPr>
        <w:t>בחילוק בדין המיגו והפה שאסר, בטענת קמי דידי, בין מקום שיש לו חזקה, לאין לו חזקה].</w:t>
      </w:r>
    </w:p>
    <w:p w:rsidR="000E75A3" w:rsidRPr="0088092B" w:rsidRDefault="000E75A3" w:rsidP="000E75A3">
      <w:pPr>
        <w:pStyle w:val="a3"/>
        <w:rPr>
          <w:rtl/>
        </w:rPr>
      </w:pPr>
      <w:bookmarkStart w:id="10320" w:name="_Toc59802701"/>
      <w:bookmarkStart w:id="10321" w:name="_Toc59916265"/>
      <w:r>
        <w:rPr>
          <w:rFonts w:hint="cs"/>
          <w:rtl/>
        </w:rPr>
        <w:t>ביאור הגרנ"פ בתוס' דנאמנות הפה שאסר היא ככל נאמנות מיגו דאי בעי שתיק</w:t>
      </w:r>
      <w:bookmarkEnd w:id="10320"/>
      <w:bookmarkEnd w:id="10321"/>
    </w:p>
    <w:p w:rsidR="000E75A3" w:rsidRPr="00B07D67" w:rsidRDefault="000E75A3" w:rsidP="007E4E81">
      <w:pPr>
        <w:pStyle w:val="a0"/>
        <w:rPr>
          <w:rtl/>
        </w:rPr>
      </w:pPr>
      <w:r>
        <w:rPr>
          <w:rFonts w:hint="cs"/>
          <w:rtl/>
        </w:rPr>
        <w:t xml:space="preserve">וכתב </w:t>
      </w:r>
      <w:r w:rsidRPr="0041378F">
        <w:rPr>
          <w:rStyle w:val="af9"/>
          <w:rFonts w:hint="cs"/>
          <w:rtl/>
        </w:rPr>
        <w:t>בשיעורי רבי נחום</w:t>
      </w:r>
      <w:r>
        <w:rPr>
          <w:rFonts w:hint="cs"/>
          <w:rtl/>
        </w:rPr>
        <w:t xml:space="preserve"> דלדעת </w:t>
      </w:r>
      <w:r w:rsidRPr="00CD408B">
        <w:rPr>
          <w:rStyle w:val="af9"/>
          <w:rFonts w:hint="cs"/>
          <w:rtl/>
        </w:rPr>
        <w:t>התוס'</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Ref57806033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Pr>
          <w:rStyle w:val="af7"/>
          <w:rFonts w:eastAsia="Guttman Hodes"/>
          <w:rtl/>
        </w:rPr>
        <w:fldChar w:fldCharType="end"/>
      </w:r>
      <w:r>
        <w:rPr>
          <w:rFonts w:hint="cs"/>
          <w:rtl/>
        </w:rPr>
        <w:t xml:space="preserve"> דס"ל דנאמן בקמי דידי אף כשאין לו חזקת ג"ש, צ"ל דס"ל דהנאמנות בדין הפה שאסר, היא כמיגו דאי בעי שתיק, וכדעת </w:t>
      </w:r>
      <w:r w:rsidRPr="0041378F">
        <w:rPr>
          <w:rStyle w:val="af9"/>
          <w:rFonts w:hint="cs"/>
          <w:rtl/>
        </w:rPr>
        <w:t>התוס' בכתובות</w:t>
      </w:r>
      <w:r>
        <w:rPr>
          <w:rFonts w:hint="cs"/>
          <w:rtl/>
        </w:rPr>
        <w:t xml:space="preserve"> </w:t>
      </w:r>
      <w:r w:rsidRPr="0041378F">
        <w:rPr>
          <w:rStyle w:val="af7"/>
          <w:rFonts w:eastAsia="Guttman Hodes" w:hint="cs"/>
          <w:rtl/>
        </w:rPr>
        <w:t>(טו: ד"ה ומודה, יח: ד"ה אין, כב. ד"ה מנין)</w:t>
      </w:r>
      <w:r>
        <w:rPr>
          <w:rFonts w:hint="cs"/>
          <w:rtl/>
        </w:rPr>
        <w:t xml:space="preserve"> וא"כ כיון דנאמן בטענת מינך זבינתה, ה"ה דנאמן בטענת קמי דידי זבנה מינך.</w:t>
      </w:r>
      <w:bookmarkEnd w:id="10281"/>
      <w:bookmarkEnd w:id="10298"/>
      <w:bookmarkEnd w:id="10299"/>
      <w:bookmarkEnd w:id="10300"/>
    </w:p>
    <w:p w:rsidR="00A3002E" w:rsidRDefault="00A3002E" w:rsidP="007E4E81">
      <w:pPr>
        <w:pStyle w:val="a0"/>
        <w:rPr>
          <w:rtl/>
        </w:rPr>
        <w:sectPr w:rsidR="00A3002E" w:rsidSect="005049E2">
          <w:footerReference w:type="default" r:id="rId79"/>
          <w:type w:val="continuous"/>
          <w:pgSz w:w="11906" w:h="16838"/>
          <w:pgMar w:top="720" w:right="720" w:bottom="720" w:left="720" w:header="283" w:footer="283" w:gutter="0"/>
          <w:cols w:num="2" w:space="567"/>
          <w:titlePg/>
          <w:bidi/>
          <w:rtlGutter/>
          <w:docGrid w:linePitch="299"/>
        </w:sectPr>
      </w:pPr>
    </w:p>
    <w:p w:rsidR="000E75A3" w:rsidRPr="00252B7A" w:rsidRDefault="000E75A3" w:rsidP="007E4E81">
      <w:pPr>
        <w:pStyle w:val="a0"/>
        <w:rPr>
          <w:rtl/>
        </w:rPr>
        <w:sectPr w:rsidR="000E75A3" w:rsidRPr="00252B7A" w:rsidSect="005049E2">
          <w:type w:val="continuous"/>
          <w:pgSz w:w="11906" w:h="16838"/>
          <w:pgMar w:top="720" w:right="720" w:bottom="720" w:left="720" w:header="283" w:footer="283" w:gutter="0"/>
          <w:cols w:num="2" w:space="567"/>
          <w:titlePg/>
          <w:bidi/>
          <w:rtlGutter/>
          <w:docGrid w:linePitch="299"/>
        </w:sectPr>
      </w:pPr>
    </w:p>
    <w:p w:rsidR="000E75A3" w:rsidRDefault="000E75A3" w:rsidP="007E4E81">
      <w:pPr>
        <w:pStyle w:val="a0"/>
        <w:numPr>
          <w:ilvl w:val="0"/>
          <w:numId w:val="0"/>
        </w:numPr>
        <w:rPr>
          <w:rtl/>
        </w:rPr>
      </w:pPr>
    </w:p>
    <w:p w:rsidR="006A4297" w:rsidRDefault="006A4297" w:rsidP="006A4297">
      <w:pPr>
        <w:pStyle w:val="afd"/>
        <w:rPr>
          <w:rtl/>
        </w:rPr>
      </w:pPr>
      <w:bookmarkStart w:id="10322" w:name="_Toc58580173"/>
      <w:bookmarkStart w:id="10323" w:name="_Toc59361668"/>
      <w:bookmarkStart w:id="10324" w:name="_Toc59519301"/>
      <w:bookmarkStart w:id="10325" w:name="_Toc59700079"/>
      <w:bookmarkStart w:id="10326" w:name="_Toc59960719"/>
      <w:bookmarkStart w:id="10327" w:name="_Toc60086808"/>
      <w:bookmarkStart w:id="10328" w:name="_Toc60173381"/>
      <w:bookmarkStart w:id="10329" w:name="_Toc60303763"/>
      <w:bookmarkStart w:id="10330" w:name="_Toc60357024"/>
      <w:bookmarkStart w:id="10331" w:name="_Toc60589155"/>
      <w:bookmarkStart w:id="10332" w:name="_Toc60612569"/>
      <w:bookmarkStart w:id="10333" w:name="_Toc60616410"/>
      <w:bookmarkStart w:id="10334" w:name="_Toc60678164"/>
      <w:bookmarkStart w:id="10335" w:name="_Toc66209213"/>
      <w:r w:rsidRPr="00C03D92">
        <w:rPr>
          <w:rFonts w:hint="cs"/>
          <w:rtl/>
        </w:rPr>
        <w:t xml:space="preserve">סימן </w:t>
      </w:r>
      <w:r>
        <w:rPr>
          <w:rFonts w:hint="cs"/>
          <w:rtl/>
        </w:rPr>
        <w:t>י'</w:t>
      </w:r>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p>
    <w:p w:rsidR="006A4297" w:rsidRDefault="006A4297" w:rsidP="006A4297">
      <w:pPr>
        <w:pStyle w:val="afd"/>
        <w:rPr>
          <w:rFonts w:ascii="FrankRuehl" w:hAnsi="FrankRuehl"/>
          <w:b/>
          <w:noProof/>
          <w:rtl/>
        </w:rPr>
      </w:pPr>
      <w:bookmarkStart w:id="10336" w:name="_Toc59700080"/>
      <w:bookmarkStart w:id="10337" w:name="_Toc59960720"/>
      <w:bookmarkStart w:id="10338" w:name="_Toc60086809"/>
      <w:bookmarkStart w:id="10339" w:name="_Toc60173382"/>
      <w:bookmarkStart w:id="10340" w:name="_Toc60303764"/>
      <w:bookmarkStart w:id="10341" w:name="_Toc60357025"/>
      <w:bookmarkStart w:id="10342" w:name="_Toc60589156"/>
      <w:bookmarkStart w:id="10343" w:name="_Toc60612570"/>
      <w:bookmarkStart w:id="10344" w:name="_Toc60616411"/>
      <w:bookmarkStart w:id="10345" w:name="_Toc60678165"/>
      <w:bookmarkStart w:id="10346" w:name="_Toc66209214"/>
      <w:r>
        <w:rPr>
          <w:rFonts w:ascii="FrankRuehl" w:hAnsi="FrankRuehl" w:hint="cs"/>
          <w:b/>
          <w:noProof/>
          <w:rtl/>
        </w:rPr>
        <w:t>בסוגיא דלאו קא מודית (ג')</w:t>
      </w:r>
      <w:bookmarkEnd w:id="10336"/>
      <w:bookmarkEnd w:id="10337"/>
      <w:bookmarkEnd w:id="10338"/>
      <w:bookmarkEnd w:id="10339"/>
      <w:bookmarkEnd w:id="10340"/>
      <w:bookmarkEnd w:id="10341"/>
      <w:bookmarkEnd w:id="10342"/>
      <w:bookmarkEnd w:id="10343"/>
      <w:bookmarkEnd w:id="10344"/>
      <w:bookmarkEnd w:id="10345"/>
      <w:bookmarkEnd w:id="10346"/>
    </w:p>
    <w:p w:rsidR="006A4297" w:rsidRPr="0041197B" w:rsidRDefault="006A4297" w:rsidP="006A4297">
      <w:pPr>
        <w:pStyle w:val="afd"/>
        <w:rPr>
          <w:rtl/>
        </w:rPr>
      </w:pPr>
      <w:bookmarkStart w:id="10347" w:name="_Toc66209215"/>
      <w:r w:rsidRPr="0041197B">
        <w:rPr>
          <w:rtl/>
        </w:rPr>
        <w:t>בגדר דין טענינן בקמי דידי דר בה חד יומא ובדברי הרשב"א בתוס' ור"י</w:t>
      </w:r>
      <w:bookmarkEnd w:id="10347"/>
    </w:p>
    <w:p w:rsidR="006A4297" w:rsidRDefault="000B328B" w:rsidP="006A4297">
      <w:pPr>
        <w:pStyle w:val="aff4"/>
        <w:rPr>
          <w:rtl/>
        </w:rPr>
        <w:sectPr w:rsidR="006A4297" w:rsidSect="006A4297">
          <w:headerReference w:type="default" r:id="rId80"/>
          <w:headerReference w:type="first" r:id="rId81"/>
          <w:footerReference w:type="first" r:id="rId82"/>
          <w:pgSz w:w="11906" w:h="16838"/>
          <w:pgMar w:top="720" w:right="720" w:bottom="720" w:left="720" w:header="283" w:footer="283" w:gutter="0"/>
          <w:cols w:space="113"/>
          <w:bidi/>
          <w:rtlGutter/>
          <w:docGrid w:linePitch="299"/>
        </w:sectPr>
      </w:pPr>
      <w:r>
        <w:rPr>
          <w:rFonts w:hint="cs"/>
          <w:rtl/>
        </w:rPr>
        <w:t xml:space="preserve">~~~~~~~ תוכן הענינים ~~~~~~~ </w:t>
      </w:r>
    </w:p>
    <w:p w:rsidR="006A4297" w:rsidRDefault="006A4297" w:rsidP="006A4297">
      <w:pPr>
        <w:pStyle w:val="2"/>
        <w:rPr>
          <w:rFonts w:eastAsiaTheme="minorEastAsia" w:cstheme="minorBidi"/>
          <w:i/>
          <w:iCs/>
          <w:sz w:val="22"/>
          <w:szCs w:val="22"/>
          <w:rtl/>
        </w:rPr>
      </w:pPr>
      <w:r>
        <w:rPr>
          <w:i/>
          <w:i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i/>
          <w:iCs/>
          <w:rtl/>
        </w:rPr>
        <w:fldChar w:fldCharType="separate"/>
      </w:r>
      <w:r>
        <w:rPr>
          <w:rtl/>
        </w:rPr>
        <w:t>ד' הרשב"ם דל"מ קמי דידי דר חד יומא</w:t>
      </w:r>
    </w:p>
    <w:p w:rsidR="006A4297" w:rsidRDefault="006A4297" w:rsidP="006A4297">
      <w:pPr>
        <w:pStyle w:val="aff4"/>
        <w:rPr>
          <w:rFonts w:eastAsiaTheme="minorEastAsia" w:cstheme="minorBidi"/>
          <w:i/>
          <w:iCs/>
          <w:noProof/>
          <w:sz w:val="22"/>
          <w:szCs w:val="22"/>
          <w:rtl/>
        </w:rPr>
      </w:pPr>
      <w:r>
        <w:rPr>
          <w:rFonts w:hint="cs"/>
          <w:rtl/>
        </w:rPr>
        <w:t xml:space="preserve">בדעת הרשב"ם </w:t>
      </w:r>
      <w:r>
        <w:rPr>
          <w:noProof/>
          <w:rtl/>
        </w:rPr>
        <w:t>דל"מ טענת חד יומא בלא עדים אף שיש חזקה</w:t>
      </w:r>
    </w:p>
    <w:p w:rsidR="006A4297" w:rsidRPr="007E4E81" w:rsidRDefault="006A4297" w:rsidP="00BA3263">
      <w:pPr>
        <w:pStyle w:val="a"/>
        <w:numPr>
          <w:ilvl w:val="0"/>
          <w:numId w:val="21"/>
        </w:numPr>
        <w:rPr>
          <w:rFonts w:eastAsiaTheme="minorEastAsia" w:cstheme="minorBidi"/>
          <w:sz w:val="22"/>
          <w:szCs w:val="22"/>
          <w:rtl/>
        </w:rPr>
      </w:pPr>
      <w:r>
        <w:rPr>
          <w:rtl/>
        </w:rPr>
        <w:t>דברי המהרי"ט דמבואר ברשב"ם דאינו נאמן בטענת קמי דידי דר חד יומא במיגו דלהד"ם</w:t>
      </w:r>
    </w:p>
    <w:p w:rsidR="006A4297" w:rsidRDefault="006A4297" w:rsidP="007E4E81">
      <w:pPr>
        <w:pStyle w:val="a"/>
        <w:rPr>
          <w:rFonts w:eastAsiaTheme="minorEastAsia" w:cstheme="minorBidi"/>
          <w:sz w:val="22"/>
          <w:szCs w:val="22"/>
          <w:rtl/>
        </w:rPr>
      </w:pPr>
      <w:r>
        <w:rPr>
          <w:rtl/>
        </w:rPr>
        <w:t>משמעות התוס' דלדעת הרשב"ם אינו נאמן בטענת קמי דידי דר בה חד יומא במיגו דלהד"ם</w:t>
      </w:r>
    </w:p>
    <w:p w:rsidR="006A4297" w:rsidRDefault="006A4297" w:rsidP="007E4E81">
      <w:pPr>
        <w:pStyle w:val="a"/>
        <w:rPr>
          <w:rFonts w:eastAsiaTheme="minorEastAsia" w:cstheme="minorBidi"/>
          <w:sz w:val="22"/>
          <w:szCs w:val="22"/>
          <w:rtl/>
        </w:rPr>
      </w:pPr>
      <w:r>
        <w:rPr>
          <w:rtl/>
        </w:rPr>
        <w:t>הוכחת המהרש"א מהרשב"ם לקמן דאינו נאמן בטענת קמי דידי דר חד יומא וצריך עדים</w:t>
      </w:r>
    </w:p>
    <w:p w:rsidR="006A4297" w:rsidRDefault="006A4297" w:rsidP="006A4297">
      <w:pPr>
        <w:pStyle w:val="aff4"/>
        <w:rPr>
          <w:rFonts w:eastAsiaTheme="minorEastAsia" w:cstheme="minorBidi"/>
          <w:i/>
          <w:iCs/>
          <w:noProof/>
          <w:sz w:val="22"/>
          <w:szCs w:val="22"/>
          <w:rtl/>
        </w:rPr>
      </w:pPr>
      <w:r>
        <w:rPr>
          <w:noProof/>
          <w:rtl/>
        </w:rPr>
        <w:t>ביאורי האחרונים ברשב"ם דאינו נאמן במיגו דהוא העזה</w:t>
      </w:r>
    </w:p>
    <w:p w:rsidR="006A4297" w:rsidRDefault="006A4297" w:rsidP="007E4E81">
      <w:pPr>
        <w:pStyle w:val="a"/>
        <w:rPr>
          <w:rFonts w:eastAsiaTheme="minorEastAsia" w:cstheme="minorBidi"/>
          <w:sz w:val="22"/>
          <w:szCs w:val="22"/>
          <w:rtl/>
        </w:rPr>
      </w:pPr>
      <w:r>
        <w:rPr>
          <w:rtl/>
        </w:rPr>
        <w:t>דברי החת"ס דהרשב"ם ס"ל כרמב"ן דל"א טענינן במיגו וכביאור חי' אנשי שם דהוא מיגו דהעזה</w:t>
      </w:r>
    </w:p>
    <w:p w:rsidR="006A4297" w:rsidRDefault="006A4297" w:rsidP="007E4E81">
      <w:pPr>
        <w:pStyle w:val="a"/>
        <w:rPr>
          <w:rFonts w:eastAsiaTheme="minorEastAsia" w:cstheme="minorBidi"/>
          <w:sz w:val="22"/>
          <w:szCs w:val="22"/>
          <w:rtl/>
        </w:rPr>
      </w:pPr>
      <w:r>
        <w:rPr>
          <w:rtl/>
        </w:rPr>
        <w:t>דברי הקרני ראם דל"מ קמי דידי דר חד יומא במיגו דמינך זבינתה דהוא העזה</w:t>
      </w:r>
    </w:p>
    <w:p w:rsidR="006A4297" w:rsidRDefault="006A4297" w:rsidP="007E4E81">
      <w:pPr>
        <w:pStyle w:val="a"/>
        <w:rPr>
          <w:rFonts w:eastAsiaTheme="minorEastAsia" w:cstheme="minorBidi"/>
          <w:sz w:val="22"/>
          <w:szCs w:val="22"/>
          <w:rtl/>
        </w:rPr>
      </w:pPr>
      <w:r>
        <w:rPr>
          <w:rtl/>
        </w:rPr>
        <w:t>ביאור חי' רמ"ש ברשב"ם דירא לטעון את טענת המיגו דמינך זבינתה שלא יוכל לתבוע מהמוכר</w:t>
      </w:r>
    </w:p>
    <w:p w:rsidR="006A4297" w:rsidRDefault="006A4297" w:rsidP="006A4297">
      <w:pPr>
        <w:pStyle w:val="2"/>
        <w:rPr>
          <w:rFonts w:eastAsiaTheme="minorEastAsia" w:cstheme="minorBidi"/>
          <w:i/>
          <w:iCs/>
          <w:sz w:val="22"/>
          <w:szCs w:val="22"/>
          <w:rtl/>
        </w:rPr>
      </w:pPr>
      <w:r>
        <w:rPr>
          <w:rtl/>
        </w:rPr>
        <w:t>בי' המהרש"א ברשב"ם דבחזקה נאמן</w:t>
      </w:r>
    </w:p>
    <w:p w:rsidR="006A4297" w:rsidRDefault="006A4297" w:rsidP="006A4297">
      <w:pPr>
        <w:pStyle w:val="aff4"/>
        <w:rPr>
          <w:rFonts w:eastAsiaTheme="minorEastAsia" w:cstheme="minorBidi"/>
          <w:i/>
          <w:iCs/>
          <w:noProof/>
          <w:sz w:val="22"/>
          <w:szCs w:val="22"/>
          <w:rtl/>
        </w:rPr>
      </w:pPr>
      <w:r>
        <w:rPr>
          <w:noProof/>
          <w:rtl/>
        </w:rPr>
        <w:t>בי' המהרש"א ברשב"ם דנאמן בחד יומא בלי עדים כשיש חזקה</w:t>
      </w:r>
    </w:p>
    <w:p w:rsidR="006A4297" w:rsidRDefault="006A4297" w:rsidP="007E4E81">
      <w:pPr>
        <w:pStyle w:val="a"/>
        <w:rPr>
          <w:rFonts w:eastAsiaTheme="minorEastAsia" w:cstheme="minorBidi"/>
          <w:sz w:val="22"/>
          <w:szCs w:val="22"/>
          <w:rtl/>
        </w:rPr>
      </w:pPr>
      <w:r>
        <w:rPr>
          <w:rtl/>
        </w:rPr>
        <w:t>ביאור המהרש"א ברשב"ם דנאמן בקמי דידי דר חד יומא כשיש לו חזקה אף שאין לו עדים ע"ז</w:t>
      </w:r>
    </w:p>
    <w:p w:rsidR="006A4297" w:rsidRDefault="006A4297" w:rsidP="007E4E81">
      <w:pPr>
        <w:pStyle w:val="a"/>
        <w:rPr>
          <w:rFonts w:eastAsiaTheme="minorEastAsia" w:cstheme="minorBidi"/>
          <w:sz w:val="22"/>
          <w:szCs w:val="22"/>
          <w:rtl/>
        </w:rPr>
      </w:pPr>
      <w:r>
        <w:rPr>
          <w:rtl/>
        </w:rPr>
        <w:t>ביאור המהרש"א ברשב"ם דנקט עדים כיון שבראיה שהביא מלקמן שצריך חזקה איירי בעדים</w:t>
      </w:r>
    </w:p>
    <w:p w:rsidR="006A4297" w:rsidRDefault="006A4297" w:rsidP="006A4297">
      <w:pPr>
        <w:pStyle w:val="2"/>
        <w:rPr>
          <w:rFonts w:eastAsiaTheme="minorEastAsia" w:cstheme="minorBidi"/>
          <w:i/>
          <w:iCs/>
          <w:sz w:val="22"/>
          <w:szCs w:val="22"/>
          <w:rtl/>
        </w:rPr>
      </w:pPr>
      <w:r>
        <w:rPr>
          <w:rtl/>
        </w:rPr>
        <w:t>ד' תוס' דבקמי דידי דר חד יומא נאמן</w:t>
      </w:r>
    </w:p>
    <w:p w:rsidR="006A4297" w:rsidRDefault="006A4297" w:rsidP="006A4297">
      <w:pPr>
        <w:pStyle w:val="aff4"/>
        <w:rPr>
          <w:rFonts w:eastAsiaTheme="minorEastAsia" w:cstheme="minorBidi"/>
          <w:i/>
          <w:iCs/>
          <w:noProof/>
          <w:sz w:val="22"/>
          <w:szCs w:val="22"/>
          <w:rtl/>
        </w:rPr>
      </w:pPr>
      <w:r>
        <w:rPr>
          <w:noProof/>
          <w:rtl/>
        </w:rPr>
        <w:t>דעת הסוברים דמהני טענת חד יומא בלא עדים כשיש חזקה</w:t>
      </w:r>
    </w:p>
    <w:p w:rsidR="006A4297" w:rsidRDefault="006A4297" w:rsidP="007E4E81">
      <w:pPr>
        <w:pStyle w:val="a"/>
        <w:rPr>
          <w:rFonts w:eastAsiaTheme="minorEastAsia" w:cstheme="minorBidi"/>
          <w:sz w:val="22"/>
          <w:szCs w:val="22"/>
          <w:rtl/>
        </w:rPr>
      </w:pPr>
      <w:r>
        <w:rPr>
          <w:rtl/>
        </w:rPr>
        <w:t>דעת התוס' דכשאין עדים למערער בטענת קמי דידי דר בה חד יומא נאמן המחזיק בלא חזקה</w:t>
      </w:r>
    </w:p>
    <w:p w:rsidR="006A4297" w:rsidRDefault="006A4297" w:rsidP="006A4297">
      <w:pPr>
        <w:pStyle w:val="aff4"/>
        <w:rPr>
          <w:rFonts w:eastAsiaTheme="minorEastAsia" w:cstheme="minorBidi"/>
          <w:i/>
          <w:iCs/>
          <w:noProof/>
          <w:sz w:val="22"/>
          <w:szCs w:val="22"/>
          <w:rtl/>
        </w:rPr>
      </w:pPr>
      <w:r>
        <w:rPr>
          <w:noProof/>
          <w:rtl/>
        </w:rPr>
        <w:t>דברי רבינו יונה בד' ר"י דבטען מתחילה קמי דידי נאמן במיגו</w:t>
      </w:r>
    </w:p>
    <w:p w:rsidR="006A4297" w:rsidRDefault="006A4297" w:rsidP="007E4E81">
      <w:pPr>
        <w:pStyle w:val="a"/>
        <w:rPr>
          <w:rFonts w:eastAsiaTheme="minorEastAsia" w:cstheme="minorBidi"/>
          <w:sz w:val="22"/>
          <w:szCs w:val="22"/>
          <w:rtl/>
        </w:rPr>
      </w:pPr>
      <w:r>
        <w:rPr>
          <w:rtl/>
        </w:rPr>
        <w:t>קושית רבינו יונה לקמן אמאי צריך עידי חד יומא ואינו נאמן בטענת חד יומא במיגו כשיש חזקה</w:t>
      </w:r>
    </w:p>
    <w:p w:rsidR="006A4297" w:rsidRDefault="006A4297" w:rsidP="007E4E81">
      <w:pPr>
        <w:pStyle w:val="a"/>
        <w:rPr>
          <w:rFonts w:eastAsiaTheme="minorEastAsia" w:cstheme="minorBidi"/>
          <w:sz w:val="22"/>
          <w:szCs w:val="22"/>
          <w:rtl/>
        </w:rPr>
      </w:pPr>
      <w:r>
        <w:rPr>
          <w:rtl/>
        </w:rPr>
        <w:t>תי' רבינו יונה בשם ר"י דבטען מתחילה קמי דידי נאמן במיגו ובהודה מתחילה הוא מיגו למפרע</w:t>
      </w:r>
    </w:p>
    <w:p w:rsidR="006A4297" w:rsidRDefault="006A4297" w:rsidP="007E4E81">
      <w:pPr>
        <w:pStyle w:val="a"/>
        <w:rPr>
          <w:rFonts w:eastAsiaTheme="minorEastAsia" w:cstheme="minorBidi"/>
          <w:sz w:val="22"/>
          <w:szCs w:val="22"/>
          <w:rtl/>
        </w:rPr>
      </w:pPr>
      <w:r>
        <w:rPr>
          <w:rtl/>
        </w:rPr>
        <w:t>קושית רבינו יונה דאיתא לקמן דיורש צריך ראיה ומשמע דנאמן רק בעידי חד יומא ולא בטענה</w:t>
      </w:r>
    </w:p>
    <w:p w:rsidR="006A4297" w:rsidRDefault="006A4297" w:rsidP="007E4E81">
      <w:pPr>
        <w:pStyle w:val="a"/>
        <w:rPr>
          <w:rFonts w:eastAsiaTheme="minorEastAsia" w:cstheme="minorBidi"/>
          <w:sz w:val="22"/>
          <w:szCs w:val="22"/>
          <w:rtl/>
        </w:rPr>
      </w:pPr>
      <w:r>
        <w:rPr>
          <w:rtl/>
        </w:rPr>
        <w:t>תי' רבינו יונה בד' ר"י דרק בהודה מתחילה דהמיגו הוא למפרע צריך היורש להביא ראיה</w:t>
      </w:r>
    </w:p>
    <w:p w:rsidR="006A4297" w:rsidRDefault="006A4297" w:rsidP="007E4E81">
      <w:pPr>
        <w:pStyle w:val="a"/>
        <w:rPr>
          <w:rFonts w:eastAsiaTheme="minorEastAsia" w:cstheme="minorBidi"/>
          <w:sz w:val="22"/>
          <w:szCs w:val="22"/>
          <w:rtl/>
        </w:rPr>
      </w:pPr>
      <w:r>
        <w:rPr>
          <w:rtl/>
        </w:rPr>
        <w:t>דברי התורא"ש דלמסקנא לקמן הא דל"מ מיגו בקמי דידי הוא בהודה מתחילה דהמיגו למפרע</w:t>
      </w:r>
    </w:p>
    <w:p w:rsidR="006A4297" w:rsidRDefault="006A4297" w:rsidP="007E4E81">
      <w:pPr>
        <w:pStyle w:val="a"/>
        <w:rPr>
          <w:rFonts w:eastAsiaTheme="minorEastAsia" w:cstheme="minorBidi"/>
          <w:sz w:val="22"/>
          <w:szCs w:val="22"/>
          <w:rtl/>
        </w:rPr>
      </w:pPr>
      <w:r>
        <w:rPr>
          <w:rtl/>
        </w:rPr>
        <w:t>בי' הריטב"א בשם ר"י בגמ' לקמן דנקטה קמי דידי זבנה דהוא רבותא והמיגו ל"מ דהוא למפרע</w:t>
      </w:r>
    </w:p>
    <w:p w:rsidR="006A4297" w:rsidRDefault="006A4297" w:rsidP="007E4E81">
      <w:pPr>
        <w:pStyle w:val="a"/>
        <w:rPr>
          <w:rFonts w:eastAsiaTheme="minorEastAsia" w:cstheme="minorBidi"/>
          <w:sz w:val="22"/>
          <w:szCs w:val="22"/>
          <w:rtl/>
        </w:rPr>
      </w:pPr>
      <w:r>
        <w:rPr>
          <w:rtl/>
        </w:rPr>
        <w:t>דברי הש"ך דקיי"ל כתוס' והמרדכי וההג"מ דנאמן בקמי דידי וכן מוכח מחזקת מטלטלין</w:t>
      </w:r>
    </w:p>
    <w:p w:rsidR="006A4297" w:rsidRDefault="006A4297" w:rsidP="006A4297">
      <w:pPr>
        <w:pStyle w:val="aff4"/>
        <w:rPr>
          <w:rFonts w:eastAsiaTheme="minorEastAsia" w:cstheme="minorBidi"/>
          <w:i/>
          <w:iCs/>
          <w:noProof/>
          <w:sz w:val="22"/>
          <w:szCs w:val="22"/>
          <w:rtl/>
        </w:rPr>
      </w:pPr>
      <w:r>
        <w:rPr>
          <w:noProof/>
          <w:rtl/>
        </w:rPr>
        <w:t xml:space="preserve">בי' התומים </w:t>
      </w:r>
      <w:r>
        <w:rPr>
          <w:rFonts w:hint="cs"/>
          <w:noProof/>
          <w:rtl/>
        </w:rPr>
        <w:t>דמודו התוס' כשאין עדים למערער דאינו נאמן</w:t>
      </w:r>
    </w:p>
    <w:p w:rsidR="006A4297" w:rsidRDefault="006A4297" w:rsidP="007E4E81">
      <w:pPr>
        <w:pStyle w:val="a"/>
        <w:rPr>
          <w:rFonts w:eastAsiaTheme="minorEastAsia" w:cstheme="minorBidi"/>
          <w:sz w:val="22"/>
          <w:szCs w:val="22"/>
          <w:rtl/>
        </w:rPr>
      </w:pPr>
      <w:r>
        <w:rPr>
          <w:rtl/>
        </w:rPr>
        <w:t>דברי התומים דכשיש עדים למערער ל"מ קמי דידי דר חד יומא במיגו דמינך זבינתה דהוא העזה</w:t>
      </w:r>
    </w:p>
    <w:p w:rsidR="006A4297" w:rsidRDefault="006A4297" w:rsidP="007E4E81">
      <w:pPr>
        <w:pStyle w:val="a"/>
        <w:rPr>
          <w:rFonts w:eastAsiaTheme="minorEastAsia" w:cstheme="minorBidi"/>
          <w:sz w:val="22"/>
          <w:szCs w:val="22"/>
          <w:rtl/>
        </w:rPr>
      </w:pPr>
      <w:r>
        <w:rPr>
          <w:rtl/>
        </w:rPr>
        <w:t>ביאור התומים בתוס' דמודו דכשיש עדים למערער דאינו נאמן דהמיגו הוא גם העזה וגם קלוש</w:t>
      </w:r>
    </w:p>
    <w:p w:rsidR="006A4297" w:rsidRDefault="006A4297" w:rsidP="007E4E81">
      <w:pPr>
        <w:pStyle w:val="a"/>
        <w:rPr>
          <w:rFonts w:eastAsiaTheme="minorEastAsia" w:cstheme="minorBidi"/>
          <w:sz w:val="22"/>
          <w:szCs w:val="22"/>
          <w:rtl/>
        </w:rPr>
      </w:pPr>
      <w:r>
        <w:rPr>
          <w:rtl/>
        </w:rPr>
        <w:t>הוכחת התומים מהתוס' דלא פליגי על הרשב"ם במקום שיש עדים למערער דאינו נאמן</w:t>
      </w:r>
    </w:p>
    <w:p w:rsidR="006A4297" w:rsidRDefault="006A4297" w:rsidP="006A4297">
      <w:pPr>
        <w:pStyle w:val="2"/>
        <w:rPr>
          <w:rFonts w:eastAsiaTheme="minorEastAsia" w:cstheme="minorBidi"/>
          <w:i/>
          <w:iCs/>
          <w:sz w:val="22"/>
          <w:szCs w:val="22"/>
          <w:rtl/>
        </w:rPr>
      </w:pPr>
      <w:r>
        <w:rPr>
          <w:rtl/>
        </w:rPr>
        <w:t>בד' ר"י והרשב"א בתוס' בטענת חד יומא</w:t>
      </w:r>
    </w:p>
    <w:p w:rsidR="006A4297" w:rsidRDefault="006A4297" w:rsidP="006A4297">
      <w:pPr>
        <w:pStyle w:val="aff4"/>
        <w:rPr>
          <w:rFonts w:eastAsiaTheme="minorEastAsia" w:cstheme="minorBidi"/>
          <w:i/>
          <w:iCs/>
          <w:noProof/>
          <w:sz w:val="22"/>
          <w:szCs w:val="22"/>
          <w:rtl/>
        </w:rPr>
      </w:pPr>
      <w:r>
        <w:rPr>
          <w:rFonts w:hint="cs"/>
          <w:noProof/>
          <w:rtl/>
        </w:rPr>
        <w:t>משמעות</w:t>
      </w:r>
      <w:r>
        <w:rPr>
          <w:noProof/>
          <w:rtl/>
        </w:rPr>
        <w:t xml:space="preserve"> ההג' אשר"י</w:t>
      </w:r>
      <w:r>
        <w:rPr>
          <w:rFonts w:hint="cs"/>
          <w:noProof/>
          <w:rtl/>
        </w:rPr>
        <w:t xml:space="preserve"> דנח' ר"י והרשב"א בתוס' אי נאמן</w:t>
      </w:r>
    </w:p>
    <w:p w:rsidR="006A4297" w:rsidRDefault="006A4297" w:rsidP="007E4E81">
      <w:pPr>
        <w:pStyle w:val="a"/>
        <w:rPr>
          <w:rFonts w:eastAsiaTheme="minorEastAsia" w:cstheme="minorBidi"/>
          <w:sz w:val="22"/>
          <w:szCs w:val="22"/>
          <w:rtl/>
        </w:rPr>
      </w:pPr>
      <w:r>
        <w:rPr>
          <w:rtl/>
        </w:rPr>
        <w:t>דברי ההג"א דעידי חד יומא ל"מ בלא חזקה וביאור גליון תוס' והמהרש"א דהיינו לדעת ר"י</w:t>
      </w:r>
    </w:p>
    <w:p w:rsidR="006A4297" w:rsidRDefault="006A4297" w:rsidP="007E4E81">
      <w:pPr>
        <w:pStyle w:val="a"/>
        <w:rPr>
          <w:rFonts w:eastAsiaTheme="minorEastAsia" w:cstheme="minorBidi"/>
          <w:sz w:val="22"/>
          <w:szCs w:val="22"/>
          <w:rtl/>
        </w:rPr>
      </w:pPr>
      <w:r>
        <w:rPr>
          <w:rtl/>
        </w:rPr>
        <w:t>דברי ההג"א דלדעת הרשב"א בתוס' נאמן בטענת חד יומא במיגו אף שאין לו עדים</w:t>
      </w:r>
    </w:p>
    <w:p w:rsidR="006A4297" w:rsidRDefault="006A4297" w:rsidP="006A4297">
      <w:pPr>
        <w:pStyle w:val="2"/>
        <w:rPr>
          <w:rFonts w:eastAsiaTheme="minorEastAsia" w:cstheme="minorBidi"/>
          <w:i/>
          <w:iCs/>
          <w:sz w:val="22"/>
          <w:szCs w:val="22"/>
          <w:rtl/>
        </w:rPr>
      </w:pPr>
      <w:r>
        <w:rPr>
          <w:rtl/>
        </w:rPr>
        <w:t>ד' הראשונים דחד יומא מהני רק בעדים</w:t>
      </w:r>
    </w:p>
    <w:p w:rsidR="006A4297" w:rsidRDefault="006A4297" w:rsidP="006A4297">
      <w:pPr>
        <w:pStyle w:val="aff4"/>
        <w:rPr>
          <w:rFonts w:eastAsiaTheme="minorEastAsia" w:cstheme="minorBidi"/>
          <w:i/>
          <w:iCs/>
          <w:noProof/>
          <w:sz w:val="22"/>
          <w:szCs w:val="22"/>
          <w:rtl/>
        </w:rPr>
      </w:pPr>
      <w:r>
        <w:rPr>
          <w:noProof/>
          <w:rtl/>
        </w:rPr>
        <w:t>דברי הבעה"מ והרמב"ן דאינו נאמן בחד יומא בלי עדים</w:t>
      </w:r>
    </w:p>
    <w:p w:rsidR="006A4297" w:rsidRDefault="006A4297" w:rsidP="007E4E81">
      <w:pPr>
        <w:pStyle w:val="a"/>
        <w:rPr>
          <w:rFonts w:eastAsiaTheme="minorEastAsia" w:cstheme="minorBidi"/>
          <w:sz w:val="22"/>
          <w:szCs w:val="22"/>
          <w:rtl/>
        </w:rPr>
      </w:pPr>
      <w:r>
        <w:rPr>
          <w:rtl/>
        </w:rPr>
        <w:t>דברי הבעה"מ דאינו נאמן בחד יומא בלי עדים דאי באמת דר בה היה לו קל להביא עדים</w:t>
      </w:r>
    </w:p>
    <w:p w:rsidR="006A4297" w:rsidRDefault="006A4297" w:rsidP="007E4E81">
      <w:pPr>
        <w:pStyle w:val="a"/>
        <w:rPr>
          <w:rFonts w:eastAsiaTheme="minorEastAsia" w:cstheme="minorBidi"/>
          <w:sz w:val="22"/>
          <w:szCs w:val="22"/>
          <w:rtl/>
        </w:rPr>
      </w:pPr>
      <w:r>
        <w:rPr>
          <w:rtl/>
        </w:rPr>
        <w:t>דברי הרמב"ן דהוא דבר קשה להביא עידי חד יומא אחר ג"ש דסגי שהניח שם כליו ויצא</w:t>
      </w:r>
    </w:p>
    <w:p w:rsidR="006A4297" w:rsidRDefault="006A4297" w:rsidP="007E4E81">
      <w:pPr>
        <w:pStyle w:val="a"/>
        <w:rPr>
          <w:rFonts w:eastAsiaTheme="minorEastAsia" w:cstheme="minorBidi"/>
          <w:sz w:val="22"/>
          <w:szCs w:val="22"/>
          <w:rtl/>
        </w:rPr>
      </w:pPr>
      <w:r>
        <w:rPr>
          <w:rtl/>
        </w:rPr>
        <w:t>דברי הרמב"ן במלחמות דטענינן ללוקח רק כשיש עידי חד יומא דרגלים לדבר דקנאה מהמערער</w:t>
      </w:r>
    </w:p>
    <w:p w:rsidR="006A4297" w:rsidRDefault="006A4297" w:rsidP="006A4297">
      <w:pPr>
        <w:pStyle w:val="aff4"/>
        <w:rPr>
          <w:rFonts w:eastAsiaTheme="minorEastAsia" w:cstheme="minorBidi"/>
          <w:i/>
          <w:iCs/>
          <w:noProof/>
          <w:sz w:val="22"/>
          <w:szCs w:val="22"/>
          <w:rtl/>
        </w:rPr>
      </w:pPr>
      <w:r>
        <w:rPr>
          <w:noProof/>
          <w:rtl/>
        </w:rPr>
        <w:t>ביאור הרמב"ן דלא טענינן כשנאמן במיגו דלא מפיו אנו חיין</w:t>
      </w:r>
    </w:p>
    <w:p w:rsidR="006A4297" w:rsidRDefault="006A4297" w:rsidP="007E4E81">
      <w:pPr>
        <w:pStyle w:val="a"/>
        <w:rPr>
          <w:rFonts w:eastAsiaTheme="minorEastAsia" w:cstheme="minorBidi"/>
          <w:sz w:val="22"/>
          <w:szCs w:val="22"/>
          <w:rtl/>
        </w:rPr>
      </w:pPr>
      <w:r>
        <w:rPr>
          <w:rtl/>
        </w:rPr>
        <w:t>דברי הרמב"ן דלא טענינן ללוקח מכח מיגו בלא עדים דמיחזי כשיקרא ולא מפיו אנו חיין</w:t>
      </w:r>
    </w:p>
    <w:p w:rsidR="006A4297" w:rsidRDefault="006A4297" w:rsidP="006A4297">
      <w:pPr>
        <w:pStyle w:val="aff4"/>
        <w:rPr>
          <w:rFonts w:eastAsiaTheme="minorEastAsia" w:cstheme="minorBidi"/>
          <w:i/>
          <w:iCs/>
          <w:noProof/>
          <w:sz w:val="22"/>
          <w:szCs w:val="22"/>
          <w:rtl/>
        </w:rPr>
      </w:pPr>
      <w:r>
        <w:rPr>
          <w:noProof/>
          <w:rtl/>
        </w:rPr>
        <w:t>ביאור הנימוק"י דלא אמרינן מיגו כשיש ספק לאחריו</w:t>
      </w:r>
    </w:p>
    <w:p w:rsidR="006A4297" w:rsidRDefault="006A4297" w:rsidP="007E4E81">
      <w:pPr>
        <w:pStyle w:val="a"/>
        <w:rPr>
          <w:rFonts w:eastAsiaTheme="minorEastAsia" w:cstheme="minorBidi"/>
          <w:sz w:val="22"/>
          <w:szCs w:val="22"/>
          <w:rtl/>
        </w:rPr>
      </w:pPr>
      <w:r>
        <w:rPr>
          <w:rtl/>
        </w:rPr>
        <w:t>ביאור הנימוק"י דבמיגו שיש אחריו ספק ל"א מיגו דאינו נאמן כ"כ עד שצריך להגיע לטענינן</w:t>
      </w:r>
    </w:p>
    <w:p w:rsidR="006A4297" w:rsidRDefault="006A4297" w:rsidP="007E4E81">
      <w:pPr>
        <w:pStyle w:val="a"/>
        <w:rPr>
          <w:rFonts w:eastAsiaTheme="minorEastAsia" w:cstheme="minorBidi"/>
          <w:sz w:val="22"/>
          <w:szCs w:val="22"/>
          <w:rtl/>
        </w:rPr>
      </w:pPr>
      <w:r>
        <w:rPr>
          <w:rtl/>
        </w:rPr>
        <w:t>דברי התורי"ד דכיון דאחר המיגו צריך טענינן לא טענינן במקום שהנאמנות אינה דבר ברור</w:t>
      </w:r>
    </w:p>
    <w:p w:rsidR="006A4297" w:rsidRDefault="006A4297" w:rsidP="006A4297">
      <w:pPr>
        <w:pStyle w:val="aff4"/>
        <w:rPr>
          <w:rFonts w:eastAsiaTheme="minorEastAsia" w:cstheme="minorBidi"/>
          <w:i/>
          <w:iCs/>
          <w:noProof/>
          <w:sz w:val="22"/>
          <w:szCs w:val="22"/>
          <w:rtl/>
        </w:rPr>
      </w:pPr>
      <w:r>
        <w:rPr>
          <w:noProof/>
          <w:rtl/>
        </w:rPr>
        <w:t>דברי רבינו יונה דמיגו שצריך עוד טענה אינו נאמן במיגו</w:t>
      </w:r>
    </w:p>
    <w:p w:rsidR="006A4297" w:rsidRDefault="006A4297" w:rsidP="007E4E81">
      <w:pPr>
        <w:pStyle w:val="a"/>
        <w:rPr>
          <w:rFonts w:eastAsiaTheme="minorEastAsia" w:cstheme="minorBidi"/>
          <w:sz w:val="22"/>
          <w:szCs w:val="22"/>
          <w:rtl/>
        </w:rPr>
      </w:pPr>
      <w:r>
        <w:rPr>
          <w:rtl/>
        </w:rPr>
        <w:t>קושית רבינו יונה לקמן אמאי צריך עידי חד יומא ואינו נאמן בטענת חד יומא במיגו כשיש חזקה</w:t>
      </w:r>
    </w:p>
    <w:p w:rsidR="006A4297" w:rsidRDefault="006A4297" w:rsidP="007E4E81">
      <w:pPr>
        <w:pStyle w:val="a"/>
        <w:rPr>
          <w:rFonts w:eastAsiaTheme="minorEastAsia" w:cstheme="minorBidi"/>
          <w:sz w:val="22"/>
          <w:szCs w:val="22"/>
          <w:rtl/>
        </w:rPr>
      </w:pPr>
      <w:r>
        <w:rPr>
          <w:rtl/>
        </w:rPr>
        <w:t>תי' רבינו יונה דמיגו שצריך טענינן אינה טענה שלימה ואינו נאמן במיגו שצריך טענה נוספת</w:t>
      </w:r>
    </w:p>
    <w:p w:rsidR="006A4297" w:rsidRDefault="006A4297" w:rsidP="007E4E81">
      <w:pPr>
        <w:pStyle w:val="a"/>
        <w:rPr>
          <w:rFonts w:eastAsiaTheme="minorEastAsia" w:cstheme="minorBidi"/>
          <w:sz w:val="22"/>
          <w:szCs w:val="22"/>
          <w:rtl/>
        </w:rPr>
      </w:pPr>
      <w:r>
        <w:rPr>
          <w:rtl/>
        </w:rPr>
        <w:t>דברי הריטב"א דאינו נאמן בחד יומא בלא עדים דהוא מיגו דהעזה ועוד דאם דר היו לו עדים</w:t>
      </w:r>
    </w:p>
    <w:p w:rsidR="006A4297" w:rsidRDefault="006A4297" w:rsidP="007E4E81">
      <w:pPr>
        <w:pStyle w:val="a"/>
        <w:rPr>
          <w:rFonts w:eastAsiaTheme="minorEastAsia" w:cstheme="minorBidi"/>
          <w:sz w:val="22"/>
          <w:szCs w:val="22"/>
          <w:rtl/>
        </w:rPr>
      </w:pPr>
      <w:r>
        <w:rPr>
          <w:rtl/>
        </w:rPr>
        <w:t>דברי הריטב"א בשם הר"י דהמיגו אינה הוכחה גמורה דיתכן דדר בה בגזל וזוכה רק במיגו גמור</w:t>
      </w:r>
    </w:p>
    <w:p w:rsidR="006A4297" w:rsidRDefault="006A4297" w:rsidP="006A4297">
      <w:pPr>
        <w:pStyle w:val="aff4"/>
        <w:rPr>
          <w:rFonts w:eastAsiaTheme="minorEastAsia" w:cstheme="minorBidi"/>
          <w:i/>
          <w:iCs/>
          <w:noProof/>
          <w:sz w:val="22"/>
          <w:szCs w:val="22"/>
          <w:rtl/>
        </w:rPr>
      </w:pPr>
      <w:r>
        <w:rPr>
          <w:noProof/>
          <w:rtl/>
        </w:rPr>
        <w:t>קושית הש"ך על הרמב"ן דבטוען ברי ונאמן במיגו טענינן ליה</w:t>
      </w:r>
    </w:p>
    <w:p w:rsidR="006A4297" w:rsidRDefault="006A4297" w:rsidP="007E4E81">
      <w:pPr>
        <w:pStyle w:val="a"/>
        <w:rPr>
          <w:rFonts w:eastAsiaTheme="minorEastAsia" w:cstheme="minorBidi"/>
          <w:sz w:val="22"/>
          <w:szCs w:val="22"/>
          <w:rtl/>
        </w:rPr>
      </w:pPr>
      <w:r>
        <w:rPr>
          <w:rtl/>
        </w:rPr>
        <w:t>קושית הש"ך על הרמב"ן דכיון דטוען ברי ונאמן במיגו א"כ טעינינן ליה דדר בה מכח חזקה</w:t>
      </w:r>
    </w:p>
    <w:p w:rsidR="006A4297" w:rsidRDefault="006A4297" w:rsidP="006A4297">
      <w:pPr>
        <w:pStyle w:val="aff4"/>
        <w:rPr>
          <w:rFonts w:eastAsiaTheme="minorEastAsia" w:cstheme="minorBidi"/>
          <w:i/>
          <w:iCs/>
          <w:noProof/>
          <w:sz w:val="22"/>
          <w:szCs w:val="22"/>
          <w:rtl/>
        </w:rPr>
      </w:pPr>
      <w:r>
        <w:rPr>
          <w:noProof/>
          <w:rtl/>
        </w:rPr>
        <w:t>דברי חי' אנשי שם ברי"ף דחד יומא בלי עדים הוא העזה</w:t>
      </w:r>
    </w:p>
    <w:p w:rsidR="006A4297" w:rsidRDefault="006A4297" w:rsidP="007E4E81">
      <w:pPr>
        <w:pStyle w:val="a"/>
        <w:rPr>
          <w:rFonts w:eastAsiaTheme="minorEastAsia" w:cstheme="minorBidi"/>
          <w:sz w:val="22"/>
          <w:szCs w:val="22"/>
          <w:rtl/>
        </w:rPr>
      </w:pPr>
      <w:r>
        <w:rPr>
          <w:rtl/>
        </w:rPr>
        <w:t>ביאור חי' אנשי שם ברי"ף דאינו נאמן בקמי דידי דר חד יומא במיגו דמינך זבינתה דהוא העזה</w:t>
      </w:r>
    </w:p>
    <w:p w:rsidR="006A4297" w:rsidRDefault="006A4297" w:rsidP="006A4297">
      <w:pPr>
        <w:pStyle w:val="aff4"/>
        <w:rPr>
          <w:rFonts w:eastAsiaTheme="minorEastAsia" w:cstheme="minorBidi"/>
          <w:i/>
          <w:iCs/>
          <w:noProof/>
          <w:sz w:val="22"/>
          <w:szCs w:val="22"/>
          <w:rtl/>
        </w:rPr>
      </w:pPr>
      <w:r>
        <w:rPr>
          <w:noProof/>
          <w:rtl/>
        </w:rPr>
        <w:t>ביאור המאירי דאינו נאמן בלא עדים דלא שדי זוזי בכדי</w:t>
      </w:r>
    </w:p>
    <w:p w:rsidR="006A4297" w:rsidRDefault="006A4297" w:rsidP="007E4E81">
      <w:pPr>
        <w:pStyle w:val="a"/>
        <w:rPr>
          <w:rFonts w:eastAsiaTheme="minorEastAsia" w:cstheme="minorBidi"/>
          <w:sz w:val="22"/>
          <w:szCs w:val="22"/>
          <w:rtl/>
        </w:rPr>
      </w:pPr>
      <w:r>
        <w:rPr>
          <w:rtl/>
        </w:rPr>
        <w:t>ביאור המאירי בשם י"א דאינו נאמן בקמי דידי דר חד יומא דלא שדי איניש זוזי בכדי</w:t>
      </w:r>
    </w:p>
    <w:p w:rsidR="006A4297" w:rsidRDefault="006A4297" w:rsidP="006A4297">
      <w:pPr>
        <w:pStyle w:val="aff4"/>
        <w:rPr>
          <w:rFonts w:eastAsiaTheme="minorEastAsia" w:cstheme="minorBidi"/>
          <w:i/>
          <w:iCs/>
          <w:noProof/>
          <w:sz w:val="22"/>
          <w:szCs w:val="22"/>
          <w:rtl/>
        </w:rPr>
      </w:pPr>
      <w:r>
        <w:rPr>
          <w:noProof/>
          <w:rtl/>
        </w:rPr>
        <w:t>ביאורי הב"ח בדברי הטור דאינו נאמן בטענת חד יומא בלי עדים</w:t>
      </w:r>
    </w:p>
    <w:p w:rsidR="006A4297" w:rsidRDefault="006A4297" w:rsidP="007E4E81">
      <w:pPr>
        <w:pStyle w:val="a"/>
        <w:rPr>
          <w:rFonts w:eastAsiaTheme="minorEastAsia" w:cstheme="minorBidi"/>
          <w:sz w:val="22"/>
          <w:szCs w:val="22"/>
          <w:rtl/>
        </w:rPr>
      </w:pPr>
      <w:r>
        <w:rPr>
          <w:rtl/>
        </w:rPr>
        <w:t>דברי הטור דבטענת קמי דידי חד יומא בלא עדים לא הוי חזקה אף שאין למערער עדים</w:t>
      </w:r>
    </w:p>
    <w:p w:rsidR="006A4297" w:rsidRDefault="006A4297" w:rsidP="007E4E81">
      <w:pPr>
        <w:pStyle w:val="a"/>
        <w:rPr>
          <w:rFonts w:eastAsiaTheme="minorEastAsia" w:cstheme="minorBidi"/>
          <w:sz w:val="22"/>
          <w:szCs w:val="22"/>
          <w:rtl/>
        </w:rPr>
      </w:pPr>
      <w:r>
        <w:rPr>
          <w:rtl/>
        </w:rPr>
        <w:t>ביאור הב"ח בשם רבינו אפרם דכל שיכול להביא עדים על חד יומא אינו נאמן בלא עדים</w:t>
      </w:r>
    </w:p>
    <w:p w:rsidR="006A4297" w:rsidRDefault="006A4297" w:rsidP="007E4E81">
      <w:pPr>
        <w:pStyle w:val="a"/>
        <w:rPr>
          <w:rFonts w:eastAsiaTheme="minorEastAsia" w:cstheme="minorBidi"/>
          <w:sz w:val="22"/>
          <w:szCs w:val="22"/>
          <w:rtl/>
        </w:rPr>
      </w:pPr>
      <w:r>
        <w:rPr>
          <w:rtl/>
        </w:rPr>
        <w:t>דברי הב"ח דכיון דהעדות על חד יומא היא לפני ג"ש א"א להביא עדים אך ילפינן דצריך ראיה</w:t>
      </w:r>
    </w:p>
    <w:p w:rsidR="006A4297" w:rsidRDefault="006A4297" w:rsidP="007E4E81">
      <w:pPr>
        <w:pStyle w:val="a"/>
        <w:rPr>
          <w:rFonts w:eastAsiaTheme="minorEastAsia" w:cstheme="minorBidi"/>
          <w:sz w:val="22"/>
          <w:szCs w:val="22"/>
          <w:rtl/>
        </w:rPr>
      </w:pPr>
      <w:r>
        <w:rPr>
          <w:rtl/>
        </w:rPr>
        <w:t>תי' הב"ח דאף דנאמן במיגו דדר חד יומא אמרינן דלא קנאה כיון דאין ספק מוציא מודאי הודאה</w:t>
      </w:r>
    </w:p>
    <w:p w:rsidR="006A4297" w:rsidRDefault="006A4297" w:rsidP="006A4297">
      <w:pPr>
        <w:pStyle w:val="aff4"/>
        <w:rPr>
          <w:rFonts w:eastAsiaTheme="minorEastAsia" w:cstheme="minorBidi"/>
          <w:i/>
          <w:iCs/>
          <w:noProof/>
          <w:sz w:val="22"/>
          <w:szCs w:val="22"/>
          <w:rtl/>
        </w:rPr>
      </w:pPr>
      <w:r>
        <w:rPr>
          <w:noProof/>
          <w:rtl/>
        </w:rPr>
        <w:t>דברי הנתיה"מ דקמי דידי החזיק ג"ש מהני לכו"ע</w:t>
      </w:r>
    </w:p>
    <w:p w:rsidR="006A4297" w:rsidRDefault="006A4297" w:rsidP="007E4E81">
      <w:pPr>
        <w:pStyle w:val="a"/>
        <w:rPr>
          <w:rFonts w:eastAsiaTheme="minorEastAsia" w:cstheme="minorBidi"/>
          <w:sz w:val="22"/>
          <w:szCs w:val="22"/>
          <w:rtl/>
        </w:rPr>
      </w:pPr>
      <w:r>
        <w:rPr>
          <w:rtl/>
        </w:rPr>
        <w:t>דברי הנתיה"מ דאף לרמב"ן מהני טענת קמי דידי דר בה ג"ש דהוא כקמי דידי זבנה מינך</w:t>
      </w:r>
    </w:p>
    <w:p w:rsidR="006A4297" w:rsidRDefault="006A4297" w:rsidP="006A4297">
      <w:pPr>
        <w:pStyle w:val="2"/>
        <w:rPr>
          <w:rFonts w:eastAsiaTheme="minorEastAsia" w:cstheme="minorBidi"/>
          <w:i/>
          <w:iCs/>
          <w:sz w:val="22"/>
          <w:szCs w:val="22"/>
          <w:rtl/>
        </w:rPr>
      </w:pPr>
      <w:r>
        <w:rPr>
          <w:rtl/>
        </w:rPr>
        <w:t>דעת הרשב"א דכשאין עידי מר"ק נאמן</w:t>
      </w:r>
    </w:p>
    <w:p w:rsidR="006A4297" w:rsidRDefault="006A4297" w:rsidP="006A4297">
      <w:pPr>
        <w:pStyle w:val="aff4"/>
        <w:rPr>
          <w:rFonts w:eastAsiaTheme="minorEastAsia" w:cstheme="minorBidi"/>
          <w:i/>
          <w:iCs/>
          <w:noProof/>
          <w:sz w:val="22"/>
          <w:szCs w:val="22"/>
          <w:rtl/>
        </w:rPr>
      </w:pPr>
      <w:r>
        <w:rPr>
          <w:noProof/>
          <w:rtl/>
        </w:rPr>
        <w:t>דברי הרשב"א בסוגיין דכשאין עידי מר"ק א"צ עדים לחד יומא</w:t>
      </w:r>
    </w:p>
    <w:p w:rsidR="006A4297" w:rsidRDefault="006A4297" w:rsidP="007E4E81">
      <w:pPr>
        <w:pStyle w:val="a"/>
        <w:rPr>
          <w:rFonts w:eastAsiaTheme="minorEastAsia" w:cstheme="minorBidi"/>
          <w:sz w:val="22"/>
          <w:szCs w:val="22"/>
          <w:rtl/>
        </w:rPr>
      </w:pPr>
      <w:r>
        <w:rPr>
          <w:rtl/>
        </w:rPr>
        <w:t>דברי הרשב"א בסוגיין דכיון שאין עדים למערער נאמן בקמי דידי דר חד יומא מדין הפה שאסר</w:t>
      </w:r>
    </w:p>
    <w:p w:rsidR="006A4297" w:rsidRDefault="006A4297" w:rsidP="006A4297">
      <w:pPr>
        <w:pStyle w:val="aff4"/>
        <w:rPr>
          <w:rFonts w:eastAsiaTheme="minorEastAsia" w:cstheme="minorBidi"/>
          <w:i/>
          <w:iCs/>
          <w:noProof/>
          <w:sz w:val="22"/>
          <w:szCs w:val="22"/>
          <w:rtl/>
        </w:rPr>
      </w:pPr>
      <w:r>
        <w:rPr>
          <w:noProof/>
          <w:rtl/>
        </w:rPr>
        <w:t>דברי הרשב"א לקמן דחד יומא טענה קלושה בלי עדים ול"מ</w:t>
      </w:r>
    </w:p>
    <w:p w:rsidR="006A4297" w:rsidRDefault="006A4297" w:rsidP="007E4E81">
      <w:pPr>
        <w:pStyle w:val="a"/>
        <w:rPr>
          <w:rFonts w:eastAsiaTheme="minorEastAsia" w:cstheme="minorBidi"/>
          <w:sz w:val="22"/>
          <w:szCs w:val="22"/>
          <w:rtl/>
        </w:rPr>
      </w:pPr>
      <w:r>
        <w:rPr>
          <w:rtl/>
        </w:rPr>
        <w:t>דברי הרשב"א לקמן דמוכח בגמ' לקמן דצריך עדים לחד יומא</w:t>
      </w:r>
    </w:p>
    <w:p w:rsidR="006A4297" w:rsidRDefault="006A4297" w:rsidP="007E4E81">
      <w:pPr>
        <w:pStyle w:val="a"/>
        <w:rPr>
          <w:rFonts w:eastAsiaTheme="minorEastAsia" w:cstheme="minorBidi"/>
          <w:sz w:val="22"/>
          <w:szCs w:val="22"/>
          <w:rtl/>
        </w:rPr>
      </w:pPr>
      <w:r>
        <w:rPr>
          <w:rtl/>
        </w:rPr>
        <w:t>דברי הרשב"א לקמן דכשאין ראיה לחד יומא חזקה שלא קנה והוא טענה קלושה ולא טענינן ליה</w:t>
      </w:r>
    </w:p>
    <w:p w:rsidR="006A4297" w:rsidRDefault="006A4297" w:rsidP="006A4297">
      <w:pPr>
        <w:pStyle w:val="2"/>
        <w:rPr>
          <w:rFonts w:eastAsiaTheme="minorEastAsia" w:cstheme="minorBidi"/>
          <w:i/>
          <w:iCs/>
          <w:sz w:val="22"/>
          <w:szCs w:val="22"/>
          <w:rtl/>
        </w:rPr>
      </w:pPr>
      <w:r>
        <w:rPr>
          <w:rtl/>
        </w:rPr>
        <w:t>קו' הרא"ש למהרי"ט בקמי דידי חד יומא</w:t>
      </w:r>
    </w:p>
    <w:p w:rsidR="006A4297" w:rsidRDefault="006A4297" w:rsidP="006A4297">
      <w:pPr>
        <w:pStyle w:val="aff4"/>
        <w:rPr>
          <w:rFonts w:eastAsiaTheme="minorEastAsia" w:cstheme="minorBidi"/>
          <w:i/>
          <w:iCs/>
          <w:noProof/>
          <w:sz w:val="22"/>
          <w:szCs w:val="22"/>
          <w:rtl/>
        </w:rPr>
      </w:pPr>
      <w:r>
        <w:rPr>
          <w:noProof/>
          <w:rtl/>
        </w:rPr>
        <w:t>קושית הרא"ש על הרשב"ם דבלא חזקה מהני מיגו דלהד"ם</w:t>
      </w:r>
    </w:p>
    <w:p w:rsidR="006A4297" w:rsidRPr="00E04DA5" w:rsidRDefault="006A4297" w:rsidP="007E4E81">
      <w:pPr>
        <w:pStyle w:val="a"/>
        <w:rPr>
          <w:rtl/>
        </w:rPr>
      </w:pPr>
      <w:r>
        <w:rPr>
          <w:rFonts w:hint="cs"/>
          <w:rtl/>
        </w:rPr>
        <w:t>קושית הרא"ש אמאי אין המחזיק נאמן במיגו דלהד"ם כמוכר וביאר הרא"ש דירא לטעון להד"ם</w:t>
      </w:r>
    </w:p>
    <w:p w:rsidR="006A4297" w:rsidRDefault="006A4297" w:rsidP="007E4E81">
      <w:pPr>
        <w:pStyle w:val="a"/>
        <w:rPr>
          <w:rFonts w:eastAsiaTheme="minorEastAsia" w:cstheme="minorBidi"/>
          <w:sz w:val="22"/>
          <w:szCs w:val="22"/>
          <w:rtl/>
        </w:rPr>
      </w:pPr>
      <w:r>
        <w:rPr>
          <w:rtl/>
        </w:rPr>
        <w:t>דברי המהרי"ט דא"א לומר דקושית הרא"ש דהמיגו של המוכר יועיל למחזיק מדין טענינן</w:t>
      </w:r>
    </w:p>
    <w:p w:rsidR="006A4297" w:rsidRDefault="006A4297" w:rsidP="007E4E81">
      <w:pPr>
        <w:pStyle w:val="a"/>
        <w:rPr>
          <w:rFonts w:eastAsiaTheme="minorEastAsia" w:cstheme="minorBidi"/>
          <w:sz w:val="22"/>
          <w:szCs w:val="22"/>
          <w:rtl/>
        </w:rPr>
      </w:pPr>
      <w:r>
        <w:rPr>
          <w:rtl/>
        </w:rPr>
        <w:t>ביאור המהרי"ט דקושית הרא"ש על הרשב"ם דאמאי אינו נאמן בקמי דידי דר חד יומא במיגו</w:t>
      </w:r>
    </w:p>
    <w:p w:rsidR="006A4297" w:rsidRDefault="006A4297" w:rsidP="007E4E81">
      <w:pPr>
        <w:pStyle w:val="a"/>
        <w:rPr>
          <w:rFonts w:eastAsiaTheme="minorEastAsia" w:cstheme="minorBidi"/>
          <w:sz w:val="22"/>
          <w:szCs w:val="22"/>
          <w:rtl/>
        </w:rPr>
      </w:pPr>
      <w:r>
        <w:rPr>
          <w:rtl/>
        </w:rPr>
        <w:t>ביאור המהרי"ט בתי' הרא"ש דלרשב"ם המחזיק ירא לטעון להד"ם אך למוכר אין נ"מ מה טוען</w:t>
      </w:r>
    </w:p>
    <w:p w:rsidR="006A4297" w:rsidRDefault="006A4297" w:rsidP="007E4E81">
      <w:pPr>
        <w:pStyle w:val="a"/>
        <w:rPr>
          <w:rFonts w:eastAsiaTheme="minorEastAsia" w:cstheme="minorBidi"/>
          <w:sz w:val="22"/>
          <w:szCs w:val="22"/>
          <w:rtl/>
        </w:rPr>
      </w:pPr>
      <w:r>
        <w:rPr>
          <w:rtl/>
        </w:rPr>
        <w:t>ביאור המהרי"ט ברא"ש דאינו ירא לטעון קמי דידי דר חד יומא דמאמין למוכר וסומך שיש עדים</w:t>
      </w:r>
    </w:p>
    <w:p w:rsidR="006A4297" w:rsidRDefault="006A4297" w:rsidP="007E4E81">
      <w:pPr>
        <w:pStyle w:val="a"/>
        <w:rPr>
          <w:rFonts w:eastAsiaTheme="minorEastAsia" w:cstheme="minorBidi"/>
          <w:sz w:val="22"/>
          <w:szCs w:val="22"/>
          <w:rtl/>
        </w:rPr>
      </w:pPr>
      <w:r>
        <w:rPr>
          <w:rtl/>
        </w:rPr>
        <w:t>דחיית המהרי"ט דבטור מבואר דאין כוונת הרא"ש להקשות על דין קמי דידי דר בה חד יומא</w:t>
      </w:r>
    </w:p>
    <w:p w:rsidR="006A4297" w:rsidRDefault="006A4297" w:rsidP="006A4297">
      <w:pPr>
        <w:pStyle w:val="2"/>
        <w:rPr>
          <w:rFonts w:eastAsiaTheme="minorEastAsia" w:cstheme="minorBidi"/>
          <w:i/>
          <w:iCs/>
          <w:sz w:val="22"/>
          <w:szCs w:val="22"/>
          <w:rtl/>
        </w:rPr>
      </w:pPr>
      <w:r>
        <w:rPr>
          <w:rtl/>
        </w:rPr>
        <w:t>ד' הרשב"א בתוס' דטענינן כשאין מיגו</w:t>
      </w:r>
    </w:p>
    <w:p w:rsidR="006A4297" w:rsidRDefault="006A4297" w:rsidP="006A4297">
      <w:pPr>
        <w:pStyle w:val="aff4"/>
        <w:rPr>
          <w:rFonts w:eastAsiaTheme="minorEastAsia" w:cstheme="minorBidi"/>
          <w:i/>
          <w:iCs/>
          <w:noProof/>
          <w:sz w:val="22"/>
          <w:szCs w:val="22"/>
          <w:rtl/>
        </w:rPr>
      </w:pPr>
      <w:r>
        <w:rPr>
          <w:noProof/>
          <w:rtl/>
        </w:rPr>
        <w:t>דעת הרשב"א בתוס' דבעידי חד יומא טענינן אף שאין לו מיגו</w:t>
      </w:r>
    </w:p>
    <w:p w:rsidR="006A4297" w:rsidRDefault="006A4297" w:rsidP="007E4E81">
      <w:pPr>
        <w:pStyle w:val="a"/>
        <w:rPr>
          <w:rFonts w:eastAsiaTheme="minorEastAsia" w:cstheme="minorBidi"/>
          <w:sz w:val="22"/>
          <w:szCs w:val="22"/>
          <w:rtl/>
        </w:rPr>
      </w:pPr>
      <w:r>
        <w:rPr>
          <w:rtl/>
        </w:rPr>
        <w:t>דברי הרשב"א בתוס' דבעידי חד יומא טענינן את המיגו של המוכר אף שאין למחזיק מיגו וחזקה</w:t>
      </w:r>
    </w:p>
    <w:p w:rsidR="006A4297" w:rsidRDefault="006A4297" w:rsidP="007E4E81">
      <w:pPr>
        <w:pStyle w:val="a"/>
        <w:rPr>
          <w:rFonts w:eastAsiaTheme="minorEastAsia" w:cstheme="minorBidi"/>
          <w:sz w:val="22"/>
          <w:szCs w:val="22"/>
          <w:rtl/>
        </w:rPr>
      </w:pPr>
      <w:r>
        <w:rPr>
          <w:rtl/>
        </w:rPr>
        <w:t>דברי הרשב"א בתוס' דאף שהמחזיק מודה למערער והוא כע"א מ"מ מהני מיגו נגד ע"א</w:t>
      </w:r>
    </w:p>
    <w:p w:rsidR="006A4297" w:rsidRDefault="006A4297" w:rsidP="007E4E81">
      <w:pPr>
        <w:pStyle w:val="a"/>
        <w:rPr>
          <w:rFonts w:eastAsiaTheme="minorEastAsia" w:cstheme="minorBidi"/>
          <w:sz w:val="22"/>
          <w:szCs w:val="22"/>
          <w:rtl/>
        </w:rPr>
      </w:pPr>
      <w:r>
        <w:rPr>
          <w:rtl/>
        </w:rPr>
        <w:t>הוכחת הרשב"א בתוס' מהא דלא טענינן נאנסו אך טענינן החזרתי דהאב נאמן במיגו דנאנסו</w:t>
      </w:r>
    </w:p>
    <w:p w:rsidR="006A4297" w:rsidRDefault="006A4297" w:rsidP="006A4297">
      <w:pPr>
        <w:pStyle w:val="2"/>
        <w:rPr>
          <w:rFonts w:eastAsiaTheme="minorEastAsia" w:cstheme="minorBidi"/>
          <w:i/>
          <w:iCs/>
          <w:sz w:val="22"/>
          <w:szCs w:val="22"/>
          <w:rtl/>
        </w:rPr>
      </w:pPr>
      <w:r>
        <w:rPr>
          <w:rtl/>
        </w:rPr>
        <w:t>דחיית ר"י דאין ראיה דטענינן בלי מיגו</w:t>
      </w:r>
    </w:p>
    <w:p w:rsidR="006A4297" w:rsidRDefault="006A4297" w:rsidP="006A4297">
      <w:pPr>
        <w:pStyle w:val="aff4"/>
        <w:rPr>
          <w:rFonts w:eastAsiaTheme="minorEastAsia" w:cstheme="minorBidi"/>
          <w:i/>
          <w:iCs/>
          <w:noProof/>
          <w:sz w:val="22"/>
          <w:szCs w:val="22"/>
          <w:rtl/>
        </w:rPr>
      </w:pPr>
      <w:r>
        <w:rPr>
          <w:noProof/>
          <w:rtl/>
        </w:rPr>
        <w:t>דברי ר"י דא"א להוכיח מהגמ' לקמן דטענינן כשאין מיגו</w:t>
      </w:r>
    </w:p>
    <w:p w:rsidR="006A4297" w:rsidRDefault="006A4297" w:rsidP="007E4E81">
      <w:pPr>
        <w:pStyle w:val="a"/>
        <w:rPr>
          <w:rFonts w:eastAsiaTheme="minorEastAsia" w:cstheme="minorBidi"/>
          <w:sz w:val="22"/>
          <w:szCs w:val="22"/>
          <w:rtl/>
        </w:rPr>
      </w:pPr>
      <w:r>
        <w:rPr>
          <w:rtl/>
        </w:rPr>
        <w:t>דברי ר"י דבסוגיין לא היה המחזיק נשאר בקרקע אם היה המוכר טוען להד"ם ול"ד ללקמן</w:t>
      </w:r>
    </w:p>
    <w:p w:rsidR="006A4297" w:rsidRDefault="006A4297" w:rsidP="007E4E81">
      <w:pPr>
        <w:pStyle w:val="a"/>
        <w:rPr>
          <w:rFonts w:eastAsiaTheme="minorEastAsia" w:cstheme="minorBidi"/>
          <w:sz w:val="22"/>
          <w:szCs w:val="22"/>
          <w:rtl/>
        </w:rPr>
      </w:pPr>
      <w:r>
        <w:rPr>
          <w:rtl/>
        </w:rPr>
        <w:t>ביאור הדרישה בר"י דטענינן הוא כשיתכן שכך היה אבל כשיודע המחזיק שלא היה לא טענינן</w:t>
      </w:r>
    </w:p>
    <w:p w:rsidR="006A4297" w:rsidRDefault="006A4297" w:rsidP="006A4297">
      <w:pPr>
        <w:pStyle w:val="2"/>
        <w:rPr>
          <w:rFonts w:eastAsiaTheme="minorEastAsia" w:cstheme="minorBidi"/>
          <w:i/>
          <w:iCs/>
          <w:sz w:val="22"/>
          <w:szCs w:val="22"/>
          <w:rtl/>
        </w:rPr>
      </w:pPr>
      <w:r>
        <w:rPr>
          <w:rtl/>
        </w:rPr>
        <w:t>פלוגתת המרדכי וההג"מ בד' ר"י</w:t>
      </w:r>
    </w:p>
    <w:p w:rsidR="006A4297" w:rsidRDefault="006A4297" w:rsidP="007E4E81">
      <w:pPr>
        <w:pStyle w:val="a"/>
        <w:rPr>
          <w:rFonts w:eastAsiaTheme="minorEastAsia" w:cstheme="minorBidi"/>
          <w:sz w:val="22"/>
          <w:szCs w:val="22"/>
          <w:rtl/>
        </w:rPr>
      </w:pPr>
      <w:r>
        <w:rPr>
          <w:rtl/>
        </w:rPr>
        <w:t>דברי המרדכי והאגודה דר"י הסתפק בעידי חד יומא בלא חזקה כשאין עדים למערער אי טענינן</w:t>
      </w:r>
    </w:p>
    <w:p w:rsidR="006A4297" w:rsidRDefault="006A4297" w:rsidP="007E4E81">
      <w:pPr>
        <w:pStyle w:val="a"/>
        <w:rPr>
          <w:rFonts w:eastAsiaTheme="minorEastAsia" w:cstheme="minorBidi"/>
          <w:sz w:val="22"/>
          <w:szCs w:val="22"/>
          <w:rtl/>
        </w:rPr>
      </w:pPr>
      <w:r>
        <w:rPr>
          <w:rtl/>
        </w:rPr>
        <w:t>ביאור הש"ך במרדכי ואגודה דמדדחה ר"י רק את ראיית הרשב"א בתוס' משמע דמספקא ליה</w:t>
      </w:r>
    </w:p>
    <w:p w:rsidR="006A4297" w:rsidRDefault="006A4297" w:rsidP="007E4E81">
      <w:pPr>
        <w:pStyle w:val="a"/>
        <w:rPr>
          <w:rFonts w:eastAsiaTheme="minorEastAsia" w:cstheme="minorBidi"/>
          <w:sz w:val="22"/>
          <w:szCs w:val="22"/>
          <w:rtl/>
        </w:rPr>
      </w:pPr>
      <w:r>
        <w:rPr>
          <w:rtl/>
        </w:rPr>
        <w:t>דברי הש"ך דמההג"מ משמע דר"י דחה רק את ראיית הרשב"א בתוס' אך מודה לו לדינא</w:t>
      </w:r>
    </w:p>
    <w:p w:rsidR="006A4297" w:rsidRDefault="006A4297" w:rsidP="006A4297">
      <w:pPr>
        <w:pStyle w:val="2"/>
        <w:rPr>
          <w:rFonts w:eastAsiaTheme="minorEastAsia" w:cstheme="minorBidi"/>
          <w:i/>
          <w:iCs/>
          <w:sz w:val="22"/>
          <w:szCs w:val="22"/>
          <w:rtl/>
        </w:rPr>
      </w:pPr>
      <w:r>
        <w:rPr>
          <w:rtl/>
        </w:rPr>
        <w:t>בי' הש"ך דהרשב"א בתוס' ס"ל כרמב"ן</w:t>
      </w:r>
    </w:p>
    <w:p w:rsidR="006A4297" w:rsidRDefault="006A4297" w:rsidP="006A4297">
      <w:pPr>
        <w:pStyle w:val="aff4"/>
        <w:rPr>
          <w:rFonts w:eastAsiaTheme="minorEastAsia" w:cstheme="minorBidi"/>
          <w:i/>
          <w:iCs/>
          <w:noProof/>
          <w:sz w:val="22"/>
          <w:szCs w:val="22"/>
          <w:rtl/>
        </w:rPr>
      </w:pPr>
      <w:r>
        <w:rPr>
          <w:noProof/>
          <w:rtl/>
        </w:rPr>
        <w:t>דברי הש"ך והדרישה דהרמב"ן ס"ל כרשב"א בתוס'</w:t>
      </w:r>
    </w:p>
    <w:p w:rsidR="006A4297" w:rsidRDefault="006A4297" w:rsidP="007E4E81">
      <w:pPr>
        <w:pStyle w:val="a"/>
        <w:rPr>
          <w:rFonts w:eastAsiaTheme="minorEastAsia" w:cstheme="minorBidi"/>
          <w:sz w:val="22"/>
          <w:szCs w:val="22"/>
          <w:rtl/>
        </w:rPr>
      </w:pPr>
      <w:r>
        <w:rPr>
          <w:rtl/>
        </w:rPr>
        <w:t>דברי הש"ך דהרמב"ן שהביא ראיה מפקדון של יתומים ס"ל כדעת הרשב"א בתוס'</w:t>
      </w:r>
    </w:p>
    <w:p w:rsidR="006A4297" w:rsidRDefault="006A4297" w:rsidP="007E4E81">
      <w:pPr>
        <w:pStyle w:val="a"/>
        <w:rPr>
          <w:rFonts w:eastAsiaTheme="minorEastAsia" w:cstheme="minorBidi"/>
          <w:sz w:val="22"/>
          <w:szCs w:val="22"/>
          <w:rtl/>
        </w:rPr>
      </w:pPr>
      <w:r>
        <w:rPr>
          <w:rtl/>
        </w:rPr>
        <w:lastRenderedPageBreak/>
        <w:t>דברי הדרישה דהרמב"ן ס"ל כרשב"א בתוס' דס"ל לרמב"ן דטעם טענינן דעומד במקום המוכר</w:t>
      </w:r>
    </w:p>
    <w:p w:rsidR="006A4297" w:rsidRDefault="006A4297" w:rsidP="007E4E81">
      <w:pPr>
        <w:pStyle w:val="a"/>
        <w:rPr>
          <w:rFonts w:eastAsiaTheme="minorEastAsia" w:cstheme="minorBidi"/>
          <w:sz w:val="22"/>
          <w:szCs w:val="22"/>
          <w:rtl/>
        </w:rPr>
      </w:pPr>
      <w:r>
        <w:rPr>
          <w:rtl/>
        </w:rPr>
        <w:t>דברי הדרישה דהראיה שהביא הרשב"א בתוס' מהגמ' לקמן כן הביא הרמב"ן ממת הנפקד</w:t>
      </w:r>
    </w:p>
    <w:p w:rsidR="006A4297" w:rsidRDefault="006A4297" w:rsidP="006A4297">
      <w:pPr>
        <w:pStyle w:val="2"/>
        <w:rPr>
          <w:rFonts w:eastAsiaTheme="minorEastAsia" w:cstheme="minorBidi"/>
          <w:i/>
          <w:iCs/>
          <w:sz w:val="22"/>
          <w:szCs w:val="22"/>
          <w:rtl/>
        </w:rPr>
      </w:pPr>
      <w:r>
        <w:rPr>
          <w:rtl/>
        </w:rPr>
        <w:t>בי' המהרש"א דנח' אף בטענת חד יומא</w:t>
      </w:r>
    </w:p>
    <w:p w:rsidR="006A4297" w:rsidRDefault="006A4297" w:rsidP="006A4297">
      <w:pPr>
        <w:pStyle w:val="aff4"/>
        <w:rPr>
          <w:rFonts w:eastAsiaTheme="minorEastAsia" w:cstheme="minorBidi"/>
          <w:i/>
          <w:iCs/>
          <w:noProof/>
          <w:sz w:val="22"/>
          <w:szCs w:val="22"/>
          <w:rtl/>
        </w:rPr>
      </w:pPr>
      <w:r>
        <w:rPr>
          <w:noProof/>
          <w:rtl/>
        </w:rPr>
        <w:t>דברי הגליון תוס' והמהרש"א דר"י פליג על תחילת דברי תוס'</w:t>
      </w:r>
    </w:p>
    <w:p w:rsidR="006A4297" w:rsidRDefault="006A4297" w:rsidP="007E4E81">
      <w:pPr>
        <w:pStyle w:val="a"/>
        <w:rPr>
          <w:rFonts w:eastAsiaTheme="minorEastAsia" w:cstheme="minorBidi"/>
          <w:sz w:val="22"/>
          <w:szCs w:val="22"/>
          <w:rtl/>
        </w:rPr>
      </w:pPr>
      <w:r>
        <w:rPr>
          <w:rtl/>
        </w:rPr>
        <w:t>דברי הגליון תוס' דמ"ש התוס' דנאמן בטענת חד יומא במיגו אפש"ל דלר"י ל"מ המיגו למחזיק</w:t>
      </w:r>
    </w:p>
    <w:p w:rsidR="006A4297" w:rsidRDefault="006A4297" w:rsidP="007E4E81">
      <w:pPr>
        <w:pStyle w:val="a"/>
        <w:rPr>
          <w:rFonts w:eastAsiaTheme="minorEastAsia" w:cstheme="minorBidi"/>
          <w:sz w:val="22"/>
          <w:szCs w:val="22"/>
          <w:rtl/>
        </w:rPr>
      </w:pPr>
      <w:r>
        <w:rPr>
          <w:rtl/>
        </w:rPr>
        <w:t>דברי המהרש"א דמ"ש התוס' דמהני טענת חד יומא במיגו הוא לרשב"א בתוס' דטענינן בלי מיגו</w:t>
      </w:r>
    </w:p>
    <w:p w:rsidR="006A4297" w:rsidRDefault="006A4297" w:rsidP="007E4E81">
      <w:pPr>
        <w:pStyle w:val="a"/>
        <w:rPr>
          <w:rFonts w:eastAsiaTheme="minorEastAsia" w:cstheme="minorBidi"/>
          <w:sz w:val="22"/>
          <w:szCs w:val="22"/>
          <w:rtl/>
        </w:rPr>
      </w:pPr>
      <w:r>
        <w:rPr>
          <w:rtl/>
        </w:rPr>
        <w:t>דברי המהרש"א דמבו' במרדכי ובהג' אשר"י דלר"י אינו נאמן בטענת חד יומא בלי עדים וחזקה</w:t>
      </w:r>
    </w:p>
    <w:p w:rsidR="006A4297" w:rsidRDefault="006A4297" w:rsidP="007E4E81">
      <w:pPr>
        <w:pStyle w:val="a"/>
        <w:rPr>
          <w:rFonts w:eastAsiaTheme="minorEastAsia" w:cstheme="minorBidi"/>
          <w:sz w:val="22"/>
          <w:szCs w:val="22"/>
          <w:rtl/>
        </w:rPr>
      </w:pPr>
      <w:r>
        <w:rPr>
          <w:rtl/>
        </w:rPr>
        <w:t>דברי המהרש"א דמוכח מהמרדכי וההג' אשר"י דלר"י ל"מ טענת חד יומא בלי עדים וחזקה</w:t>
      </w:r>
    </w:p>
    <w:p w:rsidR="006A4297" w:rsidRDefault="006A4297" w:rsidP="006A4297">
      <w:pPr>
        <w:pStyle w:val="2"/>
        <w:rPr>
          <w:rFonts w:eastAsiaTheme="minorEastAsia" w:cstheme="minorBidi"/>
          <w:i/>
          <w:iCs/>
          <w:sz w:val="22"/>
          <w:szCs w:val="22"/>
          <w:rtl/>
        </w:rPr>
      </w:pPr>
      <w:r>
        <w:rPr>
          <w:rtl/>
        </w:rPr>
        <w:t>בי' התומים דנח' בהודה חוץ לב"ד</w:t>
      </w:r>
    </w:p>
    <w:p w:rsidR="006A4297" w:rsidRDefault="006A4297" w:rsidP="006A4297">
      <w:pPr>
        <w:pStyle w:val="aff4"/>
        <w:rPr>
          <w:rFonts w:eastAsiaTheme="minorEastAsia" w:cstheme="minorBidi"/>
          <w:i/>
          <w:iCs/>
          <w:noProof/>
          <w:sz w:val="22"/>
          <w:szCs w:val="22"/>
          <w:rtl/>
        </w:rPr>
      </w:pPr>
      <w:r>
        <w:rPr>
          <w:noProof/>
          <w:rtl/>
        </w:rPr>
        <w:t>בי' התומים דרשב"א בתוס' ור"י נח' בהודה חוץ לב"ד דהוי ע"א</w:t>
      </w:r>
    </w:p>
    <w:p w:rsidR="006A4297" w:rsidRDefault="006A4297" w:rsidP="007E4E81">
      <w:pPr>
        <w:pStyle w:val="a"/>
        <w:rPr>
          <w:rFonts w:eastAsiaTheme="minorEastAsia" w:cstheme="minorBidi"/>
          <w:sz w:val="22"/>
          <w:szCs w:val="22"/>
          <w:rtl/>
        </w:rPr>
      </w:pPr>
      <w:r>
        <w:rPr>
          <w:rtl/>
        </w:rPr>
        <w:t>ביאור התומים ברשב"א בתוס' דהודאת המוכר חוץ לב"ד מחשיבה את המחזיק כע"א למערער</w:t>
      </w:r>
    </w:p>
    <w:p w:rsidR="006A4297" w:rsidRDefault="006A4297" w:rsidP="007E4E81">
      <w:pPr>
        <w:pStyle w:val="a"/>
        <w:rPr>
          <w:rFonts w:eastAsiaTheme="minorEastAsia" w:cstheme="minorBidi"/>
          <w:sz w:val="22"/>
          <w:szCs w:val="22"/>
          <w:rtl/>
        </w:rPr>
      </w:pPr>
      <w:r>
        <w:rPr>
          <w:rtl/>
        </w:rPr>
        <w:t>ביאור התומים דנח' הרשב"א בתוס' ור"י אי טענינן כשיש ע"א נגד המיגו שהיה המוכר נאמן בו</w:t>
      </w:r>
    </w:p>
    <w:p w:rsidR="006A4297" w:rsidRDefault="006A4297" w:rsidP="007E4E81">
      <w:pPr>
        <w:pStyle w:val="a"/>
        <w:rPr>
          <w:rFonts w:eastAsiaTheme="minorEastAsia" w:cstheme="minorBidi"/>
          <w:sz w:val="22"/>
          <w:szCs w:val="22"/>
          <w:rtl/>
        </w:rPr>
      </w:pPr>
      <w:r>
        <w:rPr>
          <w:rtl/>
        </w:rPr>
        <w:t>קושית התומים על ההג' אשר"י דלא הזכיר דאיירי שיש ע"א נגד המיגו ואיך כתב דר"י פליג</w:t>
      </w:r>
    </w:p>
    <w:p w:rsidR="006A4297" w:rsidRDefault="006A4297" w:rsidP="007E4E81">
      <w:pPr>
        <w:pStyle w:val="a"/>
        <w:rPr>
          <w:rFonts w:eastAsiaTheme="minorEastAsia" w:cstheme="minorBidi"/>
          <w:sz w:val="22"/>
          <w:szCs w:val="22"/>
          <w:rtl/>
        </w:rPr>
      </w:pPr>
      <w:r>
        <w:rPr>
          <w:rtl/>
        </w:rPr>
        <w:t>קושית התומים על המהרש"א דדברי התוס' דנאמן בטענת חד יומא לא איירי ביש ע"א למערער</w:t>
      </w:r>
    </w:p>
    <w:p w:rsidR="006A4297" w:rsidRDefault="006A4297" w:rsidP="007E4E81">
      <w:pPr>
        <w:pStyle w:val="a"/>
        <w:rPr>
          <w:rFonts w:eastAsiaTheme="minorEastAsia" w:cstheme="minorBidi"/>
          <w:sz w:val="22"/>
          <w:szCs w:val="22"/>
          <w:rtl/>
        </w:rPr>
      </w:pPr>
      <w:r>
        <w:rPr>
          <w:rtl/>
        </w:rPr>
        <w:t>ביאור התומים דהודאה חוץ לב"ד היא כע"א א"כ מבוארים דברי הרשב"א בתוס' שיש ע"א</w:t>
      </w:r>
    </w:p>
    <w:p w:rsidR="006A4297" w:rsidRDefault="006A4297" w:rsidP="007E4E81">
      <w:pPr>
        <w:pStyle w:val="a"/>
        <w:rPr>
          <w:rFonts w:eastAsiaTheme="minorEastAsia" w:cstheme="minorBidi"/>
          <w:sz w:val="22"/>
          <w:szCs w:val="22"/>
          <w:rtl/>
        </w:rPr>
      </w:pPr>
      <w:r>
        <w:rPr>
          <w:rtl/>
        </w:rPr>
        <w:t>דברי התומים דמבואר כהג' אשר"י ומהרש"א דלר"י ל"מ מיגו בטענת חד יומא דהמחזיק כע"א</w:t>
      </w:r>
    </w:p>
    <w:p w:rsidR="006A4297" w:rsidRDefault="006A4297" w:rsidP="007E4E81">
      <w:pPr>
        <w:pStyle w:val="a"/>
        <w:rPr>
          <w:rFonts w:eastAsiaTheme="minorEastAsia" w:cstheme="minorBidi"/>
          <w:sz w:val="22"/>
          <w:szCs w:val="22"/>
          <w:rtl/>
        </w:rPr>
      </w:pPr>
      <w:r>
        <w:rPr>
          <w:rtl/>
        </w:rPr>
        <w:t>דברי התומים דבהודה חוץ לב"ד לפני המחזיק ועוד אחר יש עדים למערער ולכו"ע לא טענינן</w:t>
      </w:r>
    </w:p>
    <w:p w:rsidR="006A4297" w:rsidRDefault="006A4297" w:rsidP="006A4297">
      <w:pPr>
        <w:pStyle w:val="2"/>
        <w:rPr>
          <w:rFonts w:eastAsiaTheme="minorEastAsia" w:cstheme="minorBidi"/>
          <w:i/>
          <w:iCs/>
          <w:sz w:val="22"/>
          <w:szCs w:val="22"/>
          <w:rtl/>
        </w:rPr>
      </w:pPr>
      <w:r>
        <w:rPr>
          <w:rtl/>
        </w:rPr>
        <w:t>בי' הדרישה דנח' רק במיגו למפרע</w:t>
      </w:r>
    </w:p>
    <w:p w:rsidR="006A4297" w:rsidRDefault="006A4297" w:rsidP="006A4297">
      <w:pPr>
        <w:pStyle w:val="aff4"/>
        <w:rPr>
          <w:rFonts w:eastAsiaTheme="minorEastAsia" w:cstheme="minorBidi"/>
          <w:i/>
          <w:iCs/>
          <w:noProof/>
          <w:sz w:val="22"/>
          <w:szCs w:val="22"/>
          <w:rtl/>
        </w:rPr>
      </w:pPr>
      <w:r>
        <w:rPr>
          <w:noProof/>
          <w:rtl/>
        </w:rPr>
        <w:t>קושיות הדרישה מה החילוק בין תחילת התוס' לרשב"א בתוס'</w:t>
      </w:r>
    </w:p>
    <w:p w:rsidR="006A4297" w:rsidRDefault="006A4297" w:rsidP="007E4E81">
      <w:pPr>
        <w:pStyle w:val="a"/>
        <w:rPr>
          <w:rFonts w:eastAsiaTheme="minorEastAsia" w:cstheme="minorBidi"/>
          <w:sz w:val="22"/>
          <w:szCs w:val="22"/>
          <w:rtl/>
        </w:rPr>
      </w:pPr>
      <w:r>
        <w:rPr>
          <w:rtl/>
        </w:rPr>
        <w:t>ביאור הדרישה ברשב"א בתוס' דטענינן דהמחזיק במקום המוכר אף כשאינו זוכה מצד עצמו</w:t>
      </w:r>
    </w:p>
    <w:p w:rsidR="006A4297" w:rsidRDefault="006A4297" w:rsidP="007E4E81">
      <w:pPr>
        <w:pStyle w:val="a"/>
        <w:rPr>
          <w:rFonts w:eastAsiaTheme="minorEastAsia" w:cstheme="minorBidi"/>
          <w:sz w:val="22"/>
          <w:szCs w:val="22"/>
          <w:rtl/>
        </w:rPr>
      </w:pPr>
      <w:r>
        <w:rPr>
          <w:rtl/>
        </w:rPr>
        <w:t>ביאור הדרישה בתוס' דנאמן בטענת חד יומא דאחר שנאמן במיגו דדר חד יומא ממילא טענינן</w:t>
      </w:r>
    </w:p>
    <w:p w:rsidR="006A4297" w:rsidRDefault="006A4297" w:rsidP="007E4E81">
      <w:pPr>
        <w:pStyle w:val="a"/>
        <w:rPr>
          <w:rFonts w:eastAsiaTheme="minorEastAsia" w:cstheme="minorBidi"/>
          <w:sz w:val="22"/>
          <w:szCs w:val="22"/>
          <w:rtl/>
        </w:rPr>
      </w:pPr>
      <w:r>
        <w:rPr>
          <w:rtl/>
        </w:rPr>
        <w:t>קושית הדרישה דדברי הרשב"א בתוס' נתבארו כבר בתוס' דכל שנאמן בחד יומא יש טענינן</w:t>
      </w:r>
    </w:p>
    <w:p w:rsidR="006A4297" w:rsidRDefault="006A4297" w:rsidP="007E4E81">
      <w:pPr>
        <w:pStyle w:val="a"/>
        <w:rPr>
          <w:rFonts w:eastAsiaTheme="minorEastAsia" w:cstheme="minorBidi"/>
          <w:sz w:val="22"/>
          <w:szCs w:val="22"/>
          <w:rtl/>
        </w:rPr>
      </w:pPr>
      <w:r>
        <w:rPr>
          <w:rtl/>
        </w:rPr>
        <w:t>קושית הדרישה על ר"י דאף דלא טענינן מחמת דעומד במקום המוכר מ"מ בדר חד יומא טענינן</w:t>
      </w:r>
    </w:p>
    <w:p w:rsidR="006A4297" w:rsidRDefault="006A4297" w:rsidP="007E4E81">
      <w:pPr>
        <w:pStyle w:val="a"/>
        <w:rPr>
          <w:rFonts w:eastAsiaTheme="minorEastAsia" w:cstheme="minorBidi"/>
          <w:sz w:val="22"/>
          <w:szCs w:val="22"/>
          <w:rtl/>
        </w:rPr>
      </w:pPr>
      <w:r>
        <w:rPr>
          <w:rtl/>
        </w:rPr>
        <w:t>קושית הדרישה על המרדכי דכתב דמספקא לר"י והא לר"י פשיטא דטענינן כשנאמן בחד יומא</w:t>
      </w:r>
    </w:p>
    <w:p w:rsidR="006A4297" w:rsidRDefault="006A4297" w:rsidP="006A4297">
      <w:pPr>
        <w:pStyle w:val="aff4"/>
        <w:rPr>
          <w:rFonts w:eastAsiaTheme="minorEastAsia" w:cstheme="minorBidi"/>
          <w:i/>
          <w:iCs/>
          <w:noProof/>
          <w:sz w:val="22"/>
          <w:szCs w:val="22"/>
          <w:rtl/>
        </w:rPr>
      </w:pPr>
      <w:r>
        <w:rPr>
          <w:noProof/>
          <w:rtl/>
        </w:rPr>
        <w:t>בי' הדרישה דהרשב"א בתוס' ור"י נח' כשהודה בתחילת דבריו</w:t>
      </w:r>
    </w:p>
    <w:p w:rsidR="006A4297" w:rsidRDefault="006A4297" w:rsidP="007E4E81">
      <w:pPr>
        <w:pStyle w:val="a"/>
        <w:rPr>
          <w:rFonts w:eastAsiaTheme="minorEastAsia" w:cstheme="minorBidi"/>
          <w:sz w:val="22"/>
          <w:szCs w:val="22"/>
          <w:rtl/>
        </w:rPr>
      </w:pPr>
      <w:r>
        <w:rPr>
          <w:rtl/>
        </w:rPr>
        <w:t>ביאור הדרישה דכל דברי הרשב"א בתוס' ור"י היינו רק כשלא אמר בתחילה דדר חד יומא</w:t>
      </w:r>
    </w:p>
    <w:p w:rsidR="006A4297" w:rsidRDefault="006A4297" w:rsidP="007E4E81">
      <w:pPr>
        <w:pStyle w:val="a"/>
        <w:rPr>
          <w:rFonts w:eastAsiaTheme="minorEastAsia" w:cstheme="minorBidi"/>
          <w:sz w:val="22"/>
          <w:szCs w:val="22"/>
          <w:rtl/>
        </w:rPr>
      </w:pPr>
      <w:r>
        <w:rPr>
          <w:rtl/>
        </w:rPr>
        <w:t>ביאור הדרישה במרדכי דהספק של ר"י כיון שהודה בתחילת דבריו העמיד את הקרקע למערער</w:t>
      </w:r>
    </w:p>
    <w:p w:rsidR="006A4297" w:rsidRDefault="006A4297" w:rsidP="007E4E81">
      <w:pPr>
        <w:pStyle w:val="a"/>
        <w:rPr>
          <w:rFonts w:eastAsiaTheme="minorEastAsia" w:cstheme="minorBidi"/>
          <w:sz w:val="22"/>
          <w:szCs w:val="22"/>
          <w:rtl/>
        </w:rPr>
      </w:pPr>
      <w:r>
        <w:rPr>
          <w:rtl/>
        </w:rPr>
        <w:t>ביאור הדרישה דהרשב"א בתוס' הוסיף דדין טענינן דעומד במקום המוכר אף שאינו זוכה בעצמו</w:t>
      </w:r>
    </w:p>
    <w:p w:rsidR="006A4297" w:rsidRDefault="006A4297" w:rsidP="007E4E81">
      <w:pPr>
        <w:pStyle w:val="a"/>
        <w:rPr>
          <w:rFonts w:eastAsiaTheme="minorEastAsia" w:cstheme="minorBidi"/>
          <w:sz w:val="22"/>
          <w:szCs w:val="22"/>
          <w:rtl/>
        </w:rPr>
      </w:pPr>
      <w:r>
        <w:rPr>
          <w:rtl/>
        </w:rPr>
        <w:t>דברי הדרישה דבאמר בתחילה דדר חד יומא מודה ר"י לרשב"א בתוס' דלא העמיד למערער</w:t>
      </w:r>
    </w:p>
    <w:p w:rsidR="006A4297" w:rsidRDefault="006A4297" w:rsidP="006A4297">
      <w:pPr>
        <w:pStyle w:val="2"/>
        <w:rPr>
          <w:rFonts w:eastAsiaTheme="minorEastAsia" w:cstheme="minorBidi"/>
          <w:i/>
          <w:iCs/>
          <w:sz w:val="22"/>
          <w:szCs w:val="22"/>
          <w:rtl/>
        </w:rPr>
      </w:pPr>
      <w:r>
        <w:rPr>
          <w:rtl/>
        </w:rPr>
        <w:t>פלוג' הרשב"ם והרמב"ן בגדר דין טענינן</w:t>
      </w:r>
    </w:p>
    <w:p w:rsidR="006A4297" w:rsidRDefault="006A4297" w:rsidP="006A4297">
      <w:pPr>
        <w:pStyle w:val="aff4"/>
        <w:rPr>
          <w:rFonts w:eastAsiaTheme="minorEastAsia" w:cstheme="minorBidi"/>
          <w:i/>
          <w:iCs/>
          <w:noProof/>
          <w:sz w:val="22"/>
          <w:szCs w:val="22"/>
          <w:rtl/>
        </w:rPr>
      </w:pPr>
      <w:r>
        <w:rPr>
          <w:noProof/>
          <w:rtl/>
        </w:rPr>
        <w:t>ביאור הרמב"ן ברשב"ם דבלא חזקה לא טענינן כיון שהודה</w:t>
      </w:r>
    </w:p>
    <w:p w:rsidR="006A4297" w:rsidRDefault="006A4297" w:rsidP="007E4E81">
      <w:pPr>
        <w:pStyle w:val="a"/>
        <w:rPr>
          <w:rFonts w:eastAsiaTheme="minorEastAsia" w:cstheme="minorBidi"/>
          <w:sz w:val="22"/>
          <w:szCs w:val="22"/>
          <w:rtl/>
        </w:rPr>
      </w:pPr>
      <w:r>
        <w:rPr>
          <w:rtl/>
        </w:rPr>
        <w:t>ביאור הרמב"ן והרשב"א ברשב"ם דדין טענינן הוא כשאחר הטענה א"צ להכחיש את המערער</w:t>
      </w:r>
    </w:p>
    <w:p w:rsidR="006A4297" w:rsidRDefault="006A4297" w:rsidP="006A4297">
      <w:pPr>
        <w:pStyle w:val="aff4"/>
        <w:rPr>
          <w:rFonts w:eastAsiaTheme="minorEastAsia" w:cstheme="minorBidi"/>
          <w:i/>
          <w:iCs/>
          <w:noProof/>
          <w:sz w:val="22"/>
          <w:szCs w:val="22"/>
          <w:rtl/>
        </w:rPr>
      </w:pPr>
      <w:r>
        <w:rPr>
          <w:noProof/>
          <w:rtl/>
        </w:rPr>
        <w:t>דברי הרמב"ן דכל שיש למחזיק עידי חד יומא א"צ חזקת ג"ש</w:t>
      </w:r>
    </w:p>
    <w:p w:rsidR="006A4297" w:rsidRDefault="006A4297" w:rsidP="007E4E81">
      <w:pPr>
        <w:pStyle w:val="a"/>
        <w:rPr>
          <w:rFonts w:eastAsiaTheme="minorEastAsia" w:cstheme="minorBidi"/>
          <w:sz w:val="22"/>
          <w:szCs w:val="22"/>
          <w:rtl/>
        </w:rPr>
      </w:pPr>
      <w:r>
        <w:rPr>
          <w:rtl/>
        </w:rPr>
        <w:t>דברי הרמב"ן דכשאין למערער עדים מהני עידי חד יומא אף בלי חזקה דחשיב לוקח וטענינן ליה</w:t>
      </w:r>
    </w:p>
    <w:p w:rsidR="006A4297" w:rsidRDefault="006A4297" w:rsidP="006A4297">
      <w:pPr>
        <w:pStyle w:val="aff4"/>
        <w:rPr>
          <w:rFonts w:eastAsiaTheme="minorEastAsia" w:cstheme="minorBidi"/>
          <w:i/>
          <w:iCs/>
          <w:noProof/>
          <w:sz w:val="22"/>
          <w:szCs w:val="22"/>
          <w:rtl/>
        </w:rPr>
      </w:pPr>
      <w:r>
        <w:rPr>
          <w:noProof/>
          <w:rtl/>
        </w:rPr>
        <w:t>ראיית הרמב"ן מהא דיורשים שהודו בפקדון דלא טענינן להו</w:t>
      </w:r>
    </w:p>
    <w:p w:rsidR="006A4297" w:rsidRDefault="006A4297" w:rsidP="007E4E81">
      <w:pPr>
        <w:pStyle w:val="a"/>
        <w:rPr>
          <w:rFonts w:eastAsiaTheme="minorEastAsia" w:cstheme="minorBidi"/>
          <w:sz w:val="22"/>
          <w:szCs w:val="22"/>
          <w:rtl/>
        </w:rPr>
      </w:pPr>
      <w:r>
        <w:rPr>
          <w:rtl/>
        </w:rPr>
        <w:t>ראיית הרמב"ן מיורשים שהודו למפקיד ואפ"ה טענינן להו מיגו דאביהם וה"ה דטענינן למחזיק</w:t>
      </w:r>
    </w:p>
    <w:p w:rsidR="006A4297" w:rsidRDefault="001B6519" w:rsidP="006A4297">
      <w:pPr>
        <w:pStyle w:val="2"/>
        <w:rPr>
          <w:rFonts w:eastAsiaTheme="minorEastAsia" w:cstheme="minorBidi"/>
          <w:i/>
          <w:iCs/>
          <w:sz w:val="22"/>
          <w:szCs w:val="22"/>
          <w:rtl/>
        </w:rPr>
      </w:pPr>
      <w:r>
        <w:rPr>
          <w:rtl/>
        </w:rPr>
        <w:t>~~~~~~~ ביאורי ראשי הישיבות ~~~~~~~</w:t>
      </w:r>
    </w:p>
    <w:p w:rsidR="006A4297" w:rsidRDefault="006A4297" w:rsidP="006A4297">
      <w:pPr>
        <w:pStyle w:val="2"/>
        <w:rPr>
          <w:rFonts w:eastAsiaTheme="minorEastAsia" w:cstheme="minorBidi"/>
          <w:i/>
          <w:iCs/>
          <w:sz w:val="22"/>
          <w:szCs w:val="22"/>
          <w:rtl/>
        </w:rPr>
      </w:pPr>
      <w:r>
        <w:rPr>
          <w:rtl/>
        </w:rPr>
        <w:t>בי' הברכ"ש בפלוג' הראשונים בטענינן</w:t>
      </w:r>
    </w:p>
    <w:p w:rsidR="006A4297" w:rsidRDefault="006A4297" w:rsidP="006A4297">
      <w:pPr>
        <w:pStyle w:val="aff4"/>
        <w:rPr>
          <w:rFonts w:eastAsiaTheme="minorEastAsia" w:cstheme="minorBidi"/>
          <w:i/>
          <w:iCs/>
          <w:noProof/>
          <w:sz w:val="22"/>
          <w:szCs w:val="22"/>
          <w:rtl/>
        </w:rPr>
      </w:pPr>
      <w:r>
        <w:rPr>
          <w:noProof/>
          <w:rtl/>
        </w:rPr>
        <w:t>בי' הברכ"ש דנח' הרשב"א בתוס' ור"י אי המחזיק בע"ד</w:t>
      </w:r>
    </w:p>
    <w:p w:rsidR="006A4297" w:rsidRDefault="006A4297" w:rsidP="007E4E81">
      <w:pPr>
        <w:pStyle w:val="a"/>
        <w:rPr>
          <w:rFonts w:eastAsiaTheme="minorEastAsia" w:cstheme="minorBidi"/>
          <w:sz w:val="22"/>
          <w:szCs w:val="22"/>
          <w:rtl/>
        </w:rPr>
      </w:pPr>
      <w:r>
        <w:rPr>
          <w:rtl/>
        </w:rPr>
        <w:t>ביאור הברכ"ש דנח' הרשב"א בתוס' ור"י אי טענינן טענת ודאי במיגו או רק בפה שאסר</w:t>
      </w:r>
    </w:p>
    <w:p w:rsidR="006A4297" w:rsidRDefault="006A4297" w:rsidP="007E4E81">
      <w:pPr>
        <w:pStyle w:val="a"/>
        <w:rPr>
          <w:rFonts w:eastAsiaTheme="minorEastAsia" w:cstheme="minorBidi"/>
          <w:sz w:val="22"/>
          <w:szCs w:val="22"/>
          <w:rtl/>
        </w:rPr>
      </w:pPr>
      <w:r>
        <w:rPr>
          <w:rtl/>
        </w:rPr>
        <w:t>ביאור הברכ"ש דטנינן הוא רק לבע"ד ולרשב"א בתוס' המחזיק בע"ד וטענינן ולר"י אינו בע"ד</w:t>
      </w:r>
    </w:p>
    <w:p w:rsidR="006A4297" w:rsidRDefault="006A4297" w:rsidP="007E4E81">
      <w:pPr>
        <w:pStyle w:val="a"/>
        <w:rPr>
          <w:rFonts w:eastAsiaTheme="minorEastAsia" w:cstheme="minorBidi"/>
          <w:sz w:val="22"/>
          <w:szCs w:val="22"/>
          <w:rtl/>
        </w:rPr>
      </w:pPr>
      <w:r>
        <w:rPr>
          <w:rtl/>
        </w:rPr>
        <w:t>ביאור הברכ"ש דקמי דידי זבנה מינך המחזיק עצמו הבע"ד ואף שאין לו מיגו ומהני מיגו דמוכר</w:t>
      </w:r>
    </w:p>
    <w:p w:rsidR="006A4297" w:rsidRDefault="006A4297" w:rsidP="007E4E81">
      <w:pPr>
        <w:pStyle w:val="a"/>
        <w:rPr>
          <w:rFonts w:eastAsiaTheme="minorEastAsia" w:cstheme="minorBidi"/>
          <w:sz w:val="22"/>
          <w:szCs w:val="22"/>
          <w:rtl/>
        </w:rPr>
      </w:pPr>
      <w:r>
        <w:rPr>
          <w:rtl/>
        </w:rPr>
        <w:t>ביאור הברכ"ש דבעידי חד יומא המוכר בע"ד וטענינן עבור המוכר וע"י המוכר זוכה המחזיק</w:t>
      </w:r>
    </w:p>
    <w:p w:rsidR="006A4297" w:rsidRDefault="006A4297" w:rsidP="006A4297">
      <w:pPr>
        <w:pStyle w:val="aff4"/>
        <w:rPr>
          <w:rFonts w:eastAsiaTheme="minorEastAsia" w:cstheme="minorBidi"/>
          <w:i/>
          <w:iCs/>
          <w:noProof/>
          <w:sz w:val="22"/>
          <w:szCs w:val="22"/>
          <w:rtl/>
        </w:rPr>
      </w:pPr>
      <w:r>
        <w:rPr>
          <w:noProof/>
          <w:rtl/>
        </w:rPr>
        <w:t>בי' הברכ"ש דלר"י בטענת חד יומא לא טענינן עבור המוכר</w:t>
      </w:r>
    </w:p>
    <w:p w:rsidR="006A4297" w:rsidRDefault="006A4297" w:rsidP="007E4E81">
      <w:pPr>
        <w:pStyle w:val="a"/>
        <w:rPr>
          <w:rFonts w:eastAsiaTheme="minorEastAsia" w:cstheme="minorBidi"/>
          <w:sz w:val="22"/>
          <w:szCs w:val="22"/>
          <w:rtl/>
        </w:rPr>
      </w:pPr>
      <w:r>
        <w:rPr>
          <w:rtl/>
        </w:rPr>
        <w:t>ביאור הברכ"ש דלר"י אין המחזיק נעשה בע"ד ואין ב"ד יכולים לטעון למוכר דלא ראוהו בקרקע</w:t>
      </w:r>
    </w:p>
    <w:p w:rsidR="006A4297" w:rsidRDefault="006A4297" w:rsidP="007E4E81">
      <w:pPr>
        <w:pStyle w:val="a"/>
        <w:rPr>
          <w:rFonts w:eastAsiaTheme="minorEastAsia" w:cstheme="minorBidi"/>
          <w:sz w:val="22"/>
          <w:szCs w:val="22"/>
          <w:rtl/>
        </w:rPr>
      </w:pPr>
      <w:r>
        <w:rPr>
          <w:rtl/>
        </w:rPr>
        <w:t>ביאור הברכ"ש דהמיגו מהני רק מדין טענה ואינו מועיל לטענת ב"ד דצריך שיראו בעצמם</w:t>
      </w:r>
    </w:p>
    <w:p w:rsidR="006A4297" w:rsidRDefault="006A4297" w:rsidP="006A4297">
      <w:pPr>
        <w:pStyle w:val="aff4"/>
        <w:rPr>
          <w:rFonts w:eastAsiaTheme="minorEastAsia" w:cstheme="minorBidi"/>
          <w:i/>
          <w:iCs/>
          <w:noProof/>
          <w:sz w:val="22"/>
          <w:szCs w:val="22"/>
          <w:rtl/>
        </w:rPr>
      </w:pPr>
      <w:r>
        <w:rPr>
          <w:noProof/>
          <w:rtl/>
        </w:rPr>
        <w:t>ביאור הברכ"ש ברשב"א דטענינן רק כשנעשה מוחזק בטענתו</w:t>
      </w:r>
    </w:p>
    <w:p w:rsidR="006A4297" w:rsidRDefault="006A4297" w:rsidP="007E4E81">
      <w:pPr>
        <w:pStyle w:val="a"/>
        <w:rPr>
          <w:rFonts w:eastAsiaTheme="minorEastAsia" w:cstheme="minorBidi"/>
          <w:sz w:val="22"/>
          <w:szCs w:val="22"/>
          <w:rtl/>
        </w:rPr>
      </w:pPr>
      <w:r>
        <w:rPr>
          <w:rtl/>
        </w:rPr>
        <w:t>ביאור הברכ"ש ברשב"א דנאמנות המיגו היא לטענה אבל לטענינן צריך שיראו אותו בקרקע</w:t>
      </w:r>
    </w:p>
    <w:p w:rsidR="006A4297" w:rsidRDefault="006A4297" w:rsidP="007E4E81">
      <w:pPr>
        <w:pStyle w:val="a"/>
        <w:rPr>
          <w:rFonts w:eastAsiaTheme="minorEastAsia" w:cstheme="minorBidi"/>
          <w:sz w:val="22"/>
          <w:szCs w:val="22"/>
          <w:rtl/>
        </w:rPr>
      </w:pPr>
      <w:r>
        <w:rPr>
          <w:rtl/>
        </w:rPr>
        <w:t>ביאור הברכ"ש דבקמי דידי זבנה מינך דטוען בעצמו שהוא מוחזק ומהני מיגו דחזקתו גמורה</w:t>
      </w:r>
    </w:p>
    <w:p w:rsidR="006A4297" w:rsidRDefault="006A4297" w:rsidP="007E4E81">
      <w:pPr>
        <w:pStyle w:val="a"/>
        <w:rPr>
          <w:rFonts w:eastAsiaTheme="minorEastAsia" w:cstheme="minorBidi"/>
          <w:sz w:val="22"/>
          <w:szCs w:val="22"/>
          <w:rtl/>
        </w:rPr>
      </w:pPr>
      <w:r>
        <w:rPr>
          <w:rtl/>
        </w:rPr>
        <w:t>ביאור הברכ"ש דבטענת חד יומא אינו טוען בעצמו ואינו נאמן במיגו שתהיה חזקה גמורה לעצמו</w:t>
      </w:r>
    </w:p>
    <w:p w:rsidR="006A4297" w:rsidRDefault="006A4297" w:rsidP="006A4297">
      <w:pPr>
        <w:pStyle w:val="aff4"/>
        <w:rPr>
          <w:rFonts w:eastAsiaTheme="minorEastAsia" w:cstheme="minorBidi"/>
          <w:i/>
          <w:iCs/>
          <w:noProof/>
          <w:sz w:val="22"/>
          <w:szCs w:val="22"/>
          <w:rtl/>
        </w:rPr>
      </w:pPr>
      <w:r>
        <w:rPr>
          <w:noProof/>
          <w:rtl/>
        </w:rPr>
        <w:t>ביאור הגרב"ב דטענינן מהני רק להעמיד ביד המוחזק</w:t>
      </w:r>
    </w:p>
    <w:p w:rsidR="006A4297" w:rsidRDefault="006A4297" w:rsidP="007E4E81">
      <w:pPr>
        <w:pStyle w:val="a"/>
        <w:rPr>
          <w:rFonts w:eastAsiaTheme="minorEastAsia" w:cstheme="minorBidi"/>
          <w:sz w:val="22"/>
          <w:szCs w:val="22"/>
          <w:rtl/>
        </w:rPr>
      </w:pPr>
      <w:r>
        <w:rPr>
          <w:rtl/>
        </w:rPr>
        <w:t>קושית הגרב"ב על הראשונים דאמאי לא טענינן בטענת חד יומא הא נאמן במיגו דדר חד יומא</w:t>
      </w:r>
    </w:p>
    <w:p w:rsidR="006A4297" w:rsidRDefault="006A4297" w:rsidP="007E4E81">
      <w:pPr>
        <w:pStyle w:val="a"/>
        <w:rPr>
          <w:rFonts w:eastAsiaTheme="minorEastAsia" w:cstheme="minorBidi"/>
          <w:sz w:val="22"/>
          <w:szCs w:val="22"/>
          <w:rtl/>
        </w:rPr>
      </w:pPr>
      <w:r>
        <w:rPr>
          <w:rtl/>
        </w:rPr>
        <w:t>קו' הגרב"ב על תשו' הרא"ש ומהר"ם אלשיך דאמאי לא טענינן כשאין הלוקח יושב בקרקע</w:t>
      </w:r>
    </w:p>
    <w:p w:rsidR="006A4297" w:rsidRDefault="006A4297" w:rsidP="007E4E81">
      <w:pPr>
        <w:pStyle w:val="a"/>
        <w:rPr>
          <w:rFonts w:eastAsiaTheme="minorEastAsia" w:cstheme="minorBidi"/>
          <w:sz w:val="22"/>
          <w:szCs w:val="22"/>
          <w:rtl/>
        </w:rPr>
      </w:pPr>
      <w:r>
        <w:rPr>
          <w:rtl/>
        </w:rPr>
        <w:t>ביאור הגרב"ב דדין טענינן מהני להעמיד בחזקת הלוקח רק כשהוא מוחזק ול"מ לעשותו מוחזק</w:t>
      </w:r>
    </w:p>
    <w:p w:rsidR="006A4297" w:rsidRDefault="006A4297" w:rsidP="006A4297">
      <w:pPr>
        <w:pStyle w:val="aff4"/>
        <w:rPr>
          <w:rFonts w:eastAsiaTheme="minorEastAsia" w:cstheme="minorBidi"/>
          <w:i/>
          <w:iCs/>
          <w:noProof/>
          <w:sz w:val="22"/>
          <w:szCs w:val="22"/>
          <w:rtl/>
        </w:rPr>
      </w:pPr>
      <w:r>
        <w:rPr>
          <w:noProof/>
          <w:rtl/>
        </w:rPr>
        <w:t>ביאור הגרב"ב דבטענת חד יומא אינו נראה מוחזק ובע"ד</w:t>
      </w:r>
    </w:p>
    <w:p w:rsidR="006A4297" w:rsidRDefault="006A4297" w:rsidP="007E4E81">
      <w:pPr>
        <w:pStyle w:val="a"/>
        <w:rPr>
          <w:rFonts w:eastAsiaTheme="minorEastAsia" w:cstheme="minorBidi"/>
          <w:sz w:val="22"/>
          <w:szCs w:val="22"/>
          <w:rtl/>
        </w:rPr>
      </w:pPr>
      <w:r>
        <w:rPr>
          <w:rtl/>
        </w:rPr>
        <w:t>ביאור הגרב"ב דבעידי חד יומא ע"י הרגל"ד רואים את המוכר בקרקע ומכחו טענינן למחזיק</w:t>
      </w:r>
    </w:p>
    <w:p w:rsidR="006A4297" w:rsidRDefault="006A4297" w:rsidP="007E4E81">
      <w:pPr>
        <w:pStyle w:val="a"/>
        <w:rPr>
          <w:rFonts w:eastAsiaTheme="minorEastAsia" w:cstheme="minorBidi"/>
          <w:sz w:val="22"/>
          <w:szCs w:val="22"/>
          <w:rtl/>
        </w:rPr>
      </w:pPr>
      <w:r>
        <w:rPr>
          <w:rtl/>
        </w:rPr>
        <w:t>ביאור הברכ"ש דנאמנות המיגו ל"מ דנראה את המוכר בקרקע ואינו מוחזק ובע"ד ולא טענינן</w:t>
      </w:r>
    </w:p>
    <w:p w:rsidR="006A4297" w:rsidRDefault="006A4297" w:rsidP="006A4297">
      <w:pPr>
        <w:pStyle w:val="aff4"/>
        <w:rPr>
          <w:rFonts w:eastAsiaTheme="minorEastAsia" w:cstheme="minorBidi"/>
          <w:i/>
          <w:iCs/>
          <w:noProof/>
          <w:sz w:val="22"/>
          <w:szCs w:val="22"/>
          <w:rtl/>
        </w:rPr>
      </w:pPr>
      <w:r>
        <w:rPr>
          <w:noProof/>
          <w:rtl/>
        </w:rPr>
        <w:t>ביאור הגרב"ב בתוס' דאף בטענת חד יומא נראה המוכר בקרקע</w:t>
      </w:r>
    </w:p>
    <w:p w:rsidR="006A4297" w:rsidRDefault="006A4297" w:rsidP="007E4E81">
      <w:pPr>
        <w:pStyle w:val="a"/>
        <w:rPr>
          <w:rFonts w:eastAsiaTheme="minorEastAsia" w:cstheme="minorBidi"/>
          <w:sz w:val="22"/>
          <w:szCs w:val="22"/>
          <w:rtl/>
        </w:rPr>
      </w:pPr>
      <w:r>
        <w:rPr>
          <w:rtl/>
        </w:rPr>
        <w:t>ביאור הגרב"ב בתוס' דאחר שנאמן במיגו דדר המוכר חד יומא רואים את המוכר בקרקע וטענינן</w:t>
      </w:r>
    </w:p>
    <w:p w:rsidR="006A4297" w:rsidRDefault="006A4297" w:rsidP="006A4297">
      <w:pPr>
        <w:pStyle w:val="2"/>
        <w:rPr>
          <w:rFonts w:eastAsiaTheme="minorEastAsia" w:cstheme="minorBidi"/>
          <w:i/>
          <w:iCs/>
          <w:sz w:val="22"/>
          <w:szCs w:val="22"/>
          <w:rtl/>
        </w:rPr>
      </w:pPr>
      <w:r>
        <w:rPr>
          <w:rtl/>
        </w:rPr>
        <w:t>בי' רבי ראובן בפלוג' הראשונים בטענינן</w:t>
      </w:r>
    </w:p>
    <w:p w:rsidR="006A4297" w:rsidRDefault="006A4297" w:rsidP="006A4297">
      <w:pPr>
        <w:pStyle w:val="aff4"/>
        <w:rPr>
          <w:rFonts w:eastAsiaTheme="minorEastAsia" w:cstheme="minorBidi"/>
          <w:i/>
          <w:iCs/>
          <w:noProof/>
          <w:sz w:val="22"/>
          <w:szCs w:val="22"/>
          <w:rtl/>
        </w:rPr>
      </w:pPr>
      <w:r>
        <w:rPr>
          <w:noProof/>
          <w:rtl/>
        </w:rPr>
        <w:t>ביאור רבי ראובן ברמב"ן דבטענת חד יומא המיגו לא מברר</w:t>
      </w:r>
    </w:p>
    <w:p w:rsidR="006A4297" w:rsidRDefault="006A4297" w:rsidP="007E4E81">
      <w:pPr>
        <w:pStyle w:val="a"/>
        <w:rPr>
          <w:rFonts w:eastAsiaTheme="minorEastAsia" w:cstheme="minorBidi"/>
          <w:sz w:val="22"/>
          <w:szCs w:val="22"/>
          <w:rtl/>
        </w:rPr>
      </w:pPr>
      <w:r>
        <w:rPr>
          <w:rtl/>
        </w:rPr>
        <w:t>ביאור רבי ראובן ברמב"ן דמיגו הוא נאמנות ולא בירור לטענתו ודין טענינן הוא רק בבירור</w:t>
      </w:r>
    </w:p>
    <w:p w:rsidR="006A4297" w:rsidRDefault="006A4297" w:rsidP="007E4E81">
      <w:pPr>
        <w:pStyle w:val="a"/>
        <w:rPr>
          <w:rFonts w:eastAsiaTheme="minorEastAsia" w:cstheme="minorBidi"/>
          <w:sz w:val="22"/>
          <w:szCs w:val="22"/>
          <w:rtl/>
        </w:rPr>
      </w:pPr>
      <w:r>
        <w:rPr>
          <w:rtl/>
        </w:rPr>
        <w:t>ביאור רבי ראובן דבטענת חד יומא שאינו זוכה מחמת הטענה עצמה כל שלא התברר לא טענינן</w:t>
      </w:r>
    </w:p>
    <w:p w:rsidR="006A4297" w:rsidRDefault="006A4297" w:rsidP="006A4297">
      <w:pPr>
        <w:pStyle w:val="aff4"/>
        <w:rPr>
          <w:rFonts w:eastAsiaTheme="minorEastAsia" w:cstheme="minorBidi"/>
          <w:i/>
          <w:iCs/>
          <w:noProof/>
          <w:sz w:val="22"/>
          <w:szCs w:val="22"/>
          <w:rtl/>
        </w:rPr>
      </w:pPr>
      <w:r>
        <w:rPr>
          <w:noProof/>
          <w:rtl/>
        </w:rPr>
        <w:t>בי' האבי עזרי ברמב"ן דנאמנות המיגו על הקרקע ולא בטענתו</w:t>
      </w:r>
    </w:p>
    <w:p w:rsidR="006A4297" w:rsidRDefault="006A4297" w:rsidP="007E4E81">
      <w:pPr>
        <w:pStyle w:val="a"/>
        <w:rPr>
          <w:rFonts w:eastAsiaTheme="minorEastAsia" w:cstheme="minorBidi"/>
          <w:sz w:val="22"/>
          <w:szCs w:val="22"/>
          <w:rtl/>
        </w:rPr>
      </w:pPr>
      <w:r>
        <w:rPr>
          <w:rtl/>
        </w:rPr>
        <w:t>ביאור האבי עזרי בנימוק"י דנאמנות המיגו היא רק כשזוכה בקרקע ע"י טענת המיגו עצמה</w:t>
      </w:r>
    </w:p>
    <w:p w:rsidR="006A4297" w:rsidRDefault="006A4297" w:rsidP="007E4E81">
      <w:pPr>
        <w:pStyle w:val="a"/>
        <w:rPr>
          <w:rFonts w:eastAsiaTheme="minorEastAsia" w:cstheme="minorBidi"/>
          <w:sz w:val="22"/>
          <w:szCs w:val="22"/>
          <w:rtl/>
        </w:rPr>
      </w:pPr>
      <w:r>
        <w:rPr>
          <w:rtl/>
        </w:rPr>
        <w:t>ביאור האבי עזרי בנימוק"י דבחד יומא זוכה מחמת טענינן ונאמן במיגו בקרקע ולא על טענתו</w:t>
      </w:r>
    </w:p>
    <w:p w:rsidR="006A4297" w:rsidRDefault="006A4297" w:rsidP="006A4297">
      <w:pPr>
        <w:pStyle w:val="aff4"/>
        <w:rPr>
          <w:rFonts w:eastAsiaTheme="minorEastAsia" w:cstheme="minorBidi"/>
          <w:i/>
          <w:iCs/>
          <w:noProof/>
          <w:sz w:val="22"/>
          <w:szCs w:val="22"/>
          <w:rtl/>
        </w:rPr>
      </w:pPr>
      <w:r>
        <w:rPr>
          <w:noProof/>
          <w:rtl/>
        </w:rPr>
        <w:t>ביאור רבי ראובן בפלוגתת הרשב"ם ותוס' בגדר דין טענינן</w:t>
      </w:r>
    </w:p>
    <w:p w:rsidR="006A4297" w:rsidRDefault="006A4297" w:rsidP="007E4E81">
      <w:pPr>
        <w:pStyle w:val="a"/>
        <w:rPr>
          <w:rFonts w:eastAsiaTheme="minorEastAsia" w:cstheme="minorBidi"/>
          <w:sz w:val="22"/>
          <w:szCs w:val="22"/>
          <w:rtl/>
        </w:rPr>
      </w:pPr>
      <w:r>
        <w:rPr>
          <w:rtl/>
        </w:rPr>
        <w:t>ביאור רבי ראובן ברשב"ם דרק בחזקה טענינן כיון דטענינן רק כשיש דררא לב"ד דהמחזיק לוקח</w:t>
      </w:r>
    </w:p>
    <w:p w:rsidR="006A4297" w:rsidRDefault="006A4297" w:rsidP="007E4E81">
      <w:pPr>
        <w:pStyle w:val="a"/>
        <w:rPr>
          <w:rFonts w:eastAsiaTheme="minorEastAsia" w:cstheme="minorBidi"/>
          <w:sz w:val="22"/>
          <w:szCs w:val="22"/>
          <w:rtl/>
        </w:rPr>
      </w:pPr>
      <w:r>
        <w:rPr>
          <w:rtl/>
        </w:rPr>
        <w:t>בי' רבי ראובן דלגליון תוס' ולמהרש"א ר"י ס"ל כרשב"ם וא"כ לר"י ל"מ עידי חד יומא בלי חזקה</w:t>
      </w:r>
    </w:p>
    <w:p w:rsidR="006A4297" w:rsidRDefault="006A4297" w:rsidP="007E4E81">
      <w:pPr>
        <w:pStyle w:val="a"/>
        <w:rPr>
          <w:rFonts w:eastAsiaTheme="minorEastAsia" w:cstheme="minorBidi"/>
          <w:sz w:val="22"/>
          <w:szCs w:val="22"/>
          <w:rtl/>
        </w:rPr>
      </w:pPr>
      <w:r>
        <w:rPr>
          <w:rtl/>
        </w:rPr>
        <w:t>קושית רבי ראובן דבהג"מ מבואר דלר"י טענינן אף בלא חזקה ודוחק לומר כש"ך דר"י לא פליג</w:t>
      </w:r>
    </w:p>
    <w:p w:rsidR="006A4297" w:rsidRDefault="006A4297" w:rsidP="007E4E81">
      <w:pPr>
        <w:pStyle w:val="a"/>
        <w:rPr>
          <w:rFonts w:eastAsiaTheme="minorEastAsia" w:cstheme="minorBidi"/>
          <w:sz w:val="22"/>
          <w:szCs w:val="22"/>
          <w:rtl/>
        </w:rPr>
      </w:pPr>
      <w:r>
        <w:rPr>
          <w:rtl/>
        </w:rPr>
        <w:t>ביאור רבי ראובן דר"י פליג על הרשב"א בתוס' רק במיגו למפרע כדמוכח מלשון התוס'</w:t>
      </w:r>
    </w:p>
    <w:p w:rsidR="006A4297" w:rsidRDefault="006A4297" w:rsidP="007E4E81">
      <w:pPr>
        <w:pStyle w:val="a"/>
        <w:rPr>
          <w:rFonts w:eastAsiaTheme="minorEastAsia" w:cstheme="minorBidi"/>
          <w:sz w:val="22"/>
          <w:szCs w:val="22"/>
          <w:rtl/>
        </w:rPr>
      </w:pPr>
      <w:r>
        <w:rPr>
          <w:rtl/>
        </w:rPr>
        <w:t>דברי רבי ראובן דברמב"ן משמע כגליון תוס' והמהרש"א בר"י דבכל מיגו אין דין טענינן</w:t>
      </w:r>
    </w:p>
    <w:p w:rsidR="006A4297" w:rsidRDefault="006A4297" w:rsidP="006A4297">
      <w:pPr>
        <w:pStyle w:val="aff4"/>
        <w:rPr>
          <w:rFonts w:eastAsiaTheme="minorEastAsia" w:cstheme="minorBidi"/>
          <w:i/>
          <w:iCs/>
          <w:noProof/>
          <w:sz w:val="22"/>
          <w:szCs w:val="22"/>
          <w:rtl/>
        </w:rPr>
      </w:pPr>
      <w:r>
        <w:rPr>
          <w:noProof/>
          <w:rtl/>
        </w:rPr>
        <w:t>ביאור רבי ראובן בתוס' וההג"מ בר"י דטענינן מה שאינו יודע</w:t>
      </w:r>
    </w:p>
    <w:p w:rsidR="006A4297" w:rsidRDefault="006A4297" w:rsidP="007E4E81">
      <w:pPr>
        <w:pStyle w:val="a"/>
        <w:rPr>
          <w:rFonts w:eastAsiaTheme="minorEastAsia" w:cstheme="minorBidi"/>
          <w:sz w:val="22"/>
          <w:szCs w:val="22"/>
          <w:rtl/>
        </w:rPr>
      </w:pPr>
      <w:r>
        <w:rPr>
          <w:rtl/>
        </w:rPr>
        <w:t>ביאור רבי ראובן בד' התוס' וההג"מ דלר"י דטענינן הוא פתח פיך לאלם למה שאינו יודע לטעון</w:t>
      </w:r>
    </w:p>
    <w:p w:rsidR="006A4297" w:rsidRDefault="006A4297" w:rsidP="006A4297">
      <w:pPr>
        <w:pStyle w:val="aff4"/>
        <w:rPr>
          <w:rFonts w:eastAsiaTheme="minorEastAsia" w:cstheme="minorBidi"/>
          <w:i/>
          <w:iCs/>
          <w:noProof/>
          <w:sz w:val="22"/>
          <w:szCs w:val="22"/>
          <w:rtl/>
        </w:rPr>
      </w:pPr>
      <w:r>
        <w:rPr>
          <w:noProof/>
          <w:rtl/>
        </w:rPr>
        <w:t>ביאור רבי ראובן ברשב"א בתוס' דטענינן כ"מ דהמוכר היה טוען</w:t>
      </w:r>
    </w:p>
    <w:p w:rsidR="006A4297" w:rsidRDefault="006A4297" w:rsidP="007E4E81">
      <w:pPr>
        <w:pStyle w:val="a"/>
        <w:rPr>
          <w:rFonts w:eastAsiaTheme="minorEastAsia" w:cstheme="minorBidi"/>
          <w:sz w:val="22"/>
          <w:szCs w:val="22"/>
          <w:rtl/>
        </w:rPr>
      </w:pPr>
      <w:r>
        <w:rPr>
          <w:rtl/>
        </w:rPr>
        <w:t>ביאור רבי ראובן ברשב"א בתוס' דטענינן הוא בכל מה שהיה המוכר נאמן כעין דין "מה מכר"</w:t>
      </w:r>
    </w:p>
    <w:p w:rsidR="006A4297" w:rsidRDefault="006A4297" w:rsidP="006A4297">
      <w:pPr>
        <w:pStyle w:val="aff4"/>
        <w:rPr>
          <w:rFonts w:eastAsiaTheme="minorEastAsia" w:cstheme="minorBidi"/>
          <w:i/>
          <w:iCs/>
          <w:noProof/>
          <w:sz w:val="22"/>
          <w:szCs w:val="22"/>
          <w:rtl/>
        </w:rPr>
      </w:pPr>
      <w:r>
        <w:rPr>
          <w:noProof/>
          <w:rtl/>
        </w:rPr>
        <w:t>ביאור רבי ראובן דר"י מודה בעידי חד יומא ובטען כן בתחילה</w:t>
      </w:r>
    </w:p>
    <w:p w:rsidR="006A4297" w:rsidRDefault="006A4297" w:rsidP="007E4E81">
      <w:pPr>
        <w:pStyle w:val="a"/>
        <w:rPr>
          <w:rFonts w:eastAsiaTheme="minorEastAsia" w:cstheme="minorBidi"/>
          <w:sz w:val="22"/>
          <w:szCs w:val="22"/>
          <w:rtl/>
        </w:rPr>
      </w:pPr>
      <w:r>
        <w:rPr>
          <w:rtl/>
        </w:rPr>
        <w:t>ביאור רבי ראובן דכוונת ר"י לומר דכשהודה הלוקח ואינו יכול לטעון כטענינן אין דין טענינן</w:t>
      </w:r>
    </w:p>
    <w:p w:rsidR="006A4297" w:rsidRDefault="006A4297" w:rsidP="007E4E81">
      <w:pPr>
        <w:pStyle w:val="a"/>
        <w:rPr>
          <w:rFonts w:eastAsiaTheme="minorEastAsia" w:cstheme="minorBidi"/>
          <w:sz w:val="22"/>
          <w:szCs w:val="22"/>
          <w:rtl/>
        </w:rPr>
      </w:pPr>
      <w:r>
        <w:rPr>
          <w:rtl/>
        </w:rPr>
        <w:t>ביאור רבי ראובן דמודה ר"י דטענינן בטען בתחילה חד יומא או בעידי חד יומא דיכול לטעון כן</w:t>
      </w:r>
    </w:p>
    <w:p w:rsidR="006A4297" w:rsidRDefault="006A4297" w:rsidP="007E4E81">
      <w:pPr>
        <w:pStyle w:val="a"/>
        <w:rPr>
          <w:rFonts w:eastAsiaTheme="minorEastAsia" w:cstheme="minorBidi"/>
          <w:sz w:val="22"/>
          <w:szCs w:val="22"/>
          <w:rtl/>
        </w:rPr>
      </w:pPr>
      <w:r>
        <w:rPr>
          <w:rtl/>
        </w:rPr>
        <w:t>ביאור רבי ראובן בדעת ר"י דצריך שתהיה ללוקח זכות לוקח במה שטוען ובטענת הטענינן</w:t>
      </w:r>
    </w:p>
    <w:p w:rsidR="006A4297" w:rsidRDefault="006A4297" w:rsidP="006A4297">
      <w:pPr>
        <w:pStyle w:val="aff4"/>
        <w:rPr>
          <w:rFonts w:eastAsiaTheme="minorEastAsia" w:cstheme="minorBidi"/>
          <w:i/>
          <w:iCs/>
          <w:noProof/>
          <w:sz w:val="22"/>
          <w:szCs w:val="22"/>
          <w:rtl/>
        </w:rPr>
      </w:pPr>
      <w:r>
        <w:rPr>
          <w:noProof/>
          <w:rtl/>
        </w:rPr>
        <w:t>ביאור רבי ראובן ברמב"ן בד' הרשב"ם דבכל מיגו אין טענינן</w:t>
      </w:r>
    </w:p>
    <w:p w:rsidR="006A4297" w:rsidRDefault="006A4297" w:rsidP="007E4E81">
      <w:pPr>
        <w:pStyle w:val="a"/>
        <w:rPr>
          <w:rFonts w:eastAsiaTheme="minorEastAsia" w:cstheme="minorBidi"/>
          <w:sz w:val="22"/>
          <w:szCs w:val="22"/>
          <w:rtl/>
        </w:rPr>
      </w:pPr>
      <w:r>
        <w:rPr>
          <w:rtl/>
        </w:rPr>
        <w:t>דברי רבי ראובן דברמב"ן משמע דלרשב"ם אין דין טענינן במיגו אף כשאינו מיגו למפרע</w:t>
      </w:r>
    </w:p>
    <w:p w:rsidR="006A4297" w:rsidRDefault="006A4297" w:rsidP="007E4E81">
      <w:pPr>
        <w:pStyle w:val="a"/>
        <w:rPr>
          <w:rFonts w:eastAsiaTheme="minorEastAsia" w:cstheme="minorBidi"/>
          <w:sz w:val="22"/>
          <w:szCs w:val="22"/>
          <w:rtl/>
        </w:rPr>
      </w:pPr>
      <w:r>
        <w:rPr>
          <w:rtl/>
        </w:rPr>
        <w:t>ביאור רבי ראובן בר"י דאף כשנאמן במיגו טענינן דהמחזיק נאמן במיגו ורק אינו יודע לטעון</w:t>
      </w:r>
    </w:p>
    <w:p w:rsidR="006A4297" w:rsidRDefault="006A4297" w:rsidP="006A4297">
      <w:pPr>
        <w:pStyle w:val="aff4"/>
        <w:rPr>
          <w:rFonts w:eastAsiaTheme="minorEastAsia" w:cstheme="minorBidi"/>
          <w:i/>
          <w:iCs/>
          <w:noProof/>
          <w:sz w:val="22"/>
          <w:szCs w:val="22"/>
          <w:rtl/>
        </w:rPr>
      </w:pPr>
      <w:r>
        <w:rPr>
          <w:noProof/>
          <w:rtl/>
        </w:rPr>
        <w:t>בי' רבי ראובן בפלוג' ר"י ורשב"ם אי חשיב הלוקח כטוען בעצמו</w:t>
      </w:r>
    </w:p>
    <w:p w:rsidR="006A4297" w:rsidRDefault="006A4297" w:rsidP="007E4E81">
      <w:pPr>
        <w:pStyle w:val="a"/>
        <w:rPr>
          <w:rFonts w:eastAsiaTheme="minorEastAsia" w:cstheme="minorBidi"/>
          <w:sz w:val="22"/>
          <w:szCs w:val="22"/>
          <w:rtl/>
        </w:rPr>
      </w:pPr>
      <w:r>
        <w:rPr>
          <w:rtl/>
        </w:rPr>
        <w:t>ביאור רבי ראובן ברשב"ם דטענינן מחמת דאינו יודע אך אין ב"ד טוענים בשבילו בנאמן במיגו</w:t>
      </w:r>
    </w:p>
    <w:p w:rsidR="006A4297" w:rsidRDefault="006A4297" w:rsidP="007E4E81">
      <w:pPr>
        <w:pStyle w:val="a"/>
        <w:rPr>
          <w:rFonts w:eastAsiaTheme="minorEastAsia" w:cstheme="minorBidi"/>
          <w:sz w:val="22"/>
          <w:szCs w:val="22"/>
          <w:rtl/>
        </w:rPr>
      </w:pPr>
      <w:r>
        <w:rPr>
          <w:rtl/>
        </w:rPr>
        <w:t>ביאור רבי ראובן בר"י דטענינן הוא טענת המחזיק עצמו ובלא הודה בתחילה טענינן מיגו</w:t>
      </w:r>
    </w:p>
    <w:p w:rsidR="006A4297" w:rsidRDefault="006A4297" w:rsidP="007E4E81">
      <w:pPr>
        <w:pStyle w:val="a"/>
        <w:rPr>
          <w:rFonts w:eastAsiaTheme="minorEastAsia" w:cstheme="minorBidi"/>
          <w:sz w:val="22"/>
          <w:szCs w:val="22"/>
          <w:rtl/>
        </w:rPr>
      </w:pPr>
      <w:r>
        <w:rPr>
          <w:rtl/>
        </w:rPr>
        <w:t>ביאור רבי ראובן ברשב"ם דלא ס"ל כר"י וא"צ שתהיה ללוקח זכות במה שטוען ובטענת הטענינן</w:t>
      </w:r>
    </w:p>
    <w:p w:rsidR="006A4297" w:rsidRDefault="006A4297" w:rsidP="006A4297">
      <w:pPr>
        <w:pStyle w:val="2"/>
        <w:rPr>
          <w:rFonts w:eastAsiaTheme="minorEastAsia" w:cstheme="minorBidi"/>
          <w:i/>
          <w:iCs/>
          <w:sz w:val="22"/>
          <w:szCs w:val="22"/>
          <w:rtl/>
        </w:rPr>
      </w:pPr>
      <w:r>
        <w:rPr>
          <w:rtl/>
        </w:rPr>
        <w:t>בי' הגרש"ר בפלוג' הראשונים בטענינן</w:t>
      </w:r>
    </w:p>
    <w:p w:rsidR="006A4297" w:rsidRDefault="006A4297" w:rsidP="006A4297">
      <w:pPr>
        <w:pStyle w:val="aff4"/>
        <w:rPr>
          <w:rFonts w:eastAsiaTheme="minorEastAsia" w:cstheme="minorBidi"/>
          <w:i/>
          <w:iCs/>
          <w:noProof/>
          <w:sz w:val="22"/>
          <w:szCs w:val="22"/>
          <w:rtl/>
        </w:rPr>
      </w:pPr>
      <w:r>
        <w:rPr>
          <w:noProof/>
          <w:rtl/>
        </w:rPr>
        <w:t>בי' הגרש"ר בפלוג' הראשונים אי טענינן מה שיכול לטעון עכשיו</w:t>
      </w:r>
    </w:p>
    <w:p w:rsidR="006A4297" w:rsidRDefault="006A4297" w:rsidP="007E4E81">
      <w:pPr>
        <w:pStyle w:val="a"/>
        <w:rPr>
          <w:rFonts w:eastAsiaTheme="minorEastAsia" w:cstheme="minorBidi"/>
          <w:sz w:val="22"/>
          <w:szCs w:val="22"/>
          <w:rtl/>
        </w:rPr>
      </w:pPr>
      <w:r>
        <w:rPr>
          <w:rtl/>
        </w:rPr>
        <w:t>ביאור הגרש"ר בדברי הרמב"ן בדעת הרשב"ם ור"י דטענינן את מה שהמוכר יכול לטעון עכשיו</w:t>
      </w:r>
    </w:p>
    <w:p w:rsidR="006A4297" w:rsidRDefault="006A4297" w:rsidP="007E4E81">
      <w:pPr>
        <w:pStyle w:val="a"/>
        <w:rPr>
          <w:rFonts w:eastAsiaTheme="minorEastAsia" w:cstheme="minorBidi"/>
          <w:sz w:val="22"/>
          <w:szCs w:val="22"/>
          <w:rtl/>
        </w:rPr>
      </w:pPr>
      <w:r>
        <w:rPr>
          <w:rtl/>
        </w:rPr>
        <w:t>ביאור הגרש"ר ברמב"ן דטענינן את מה שהמוכר היה טוען לפני שמכר את הקרקע למחזיק</w:t>
      </w:r>
    </w:p>
    <w:p w:rsidR="006A4297" w:rsidRDefault="006A4297" w:rsidP="006A4297">
      <w:pPr>
        <w:pStyle w:val="2"/>
        <w:rPr>
          <w:rFonts w:eastAsiaTheme="minorEastAsia" w:cstheme="minorBidi"/>
          <w:i/>
          <w:iCs/>
          <w:sz w:val="22"/>
          <w:szCs w:val="22"/>
          <w:rtl/>
        </w:rPr>
      </w:pPr>
      <w:r>
        <w:rPr>
          <w:rtl/>
        </w:rPr>
        <w:t>בי' הגרנ"פ בפלוג' הראשונים בטענינן</w:t>
      </w:r>
    </w:p>
    <w:p w:rsidR="006A4297" w:rsidRDefault="006A4297" w:rsidP="006A4297">
      <w:pPr>
        <w:pStyle w:val="aff4"/>
        <w:rPr>
          <w:rFonts w:eastAsiaTheme="minorEastAsia" w:cstheme="minorBidi"/>
          <w:i/>
          <w:iCs/>
          <w:noProof/>
          <w:sz w:val="22"/>
          <w:szCs w:val="22"/>
          <w:rtl/>
        </w:rPr>
      </w:pPr>
      <w:r>
        <w:rPr>
          <w:noProof/>
          <w:rtl/>
        </w:rPr>
        <w:t>ביאור הגרנ"פ בפלוגתת הרשב"א בתוס' ור"י בגדר דין טענינן</w:t>
      </w:r>
    </w:p>
    <w:p w:rsidR="006A4297" w:rsidRDefault="006A4297" w:rsidP="007E4E81">
      <w:pPr>
        <w:pStyle w:val="a"/>
        <w:rPr>
          <w:rFonts w:eastAsiaTheme="minorEastAsia" w:cstheme="minorBidi"/>
          <w:sz w:val="22"/>
          <w:szCs w:val="22"/>
          <w:rtl/>
        </w:rPr>
      </w:pPr>
      <w:r>
        <w:rPr>
          <w:rtl/>
        </w:rPr>
        <w:t>ביאור הגרנ"פ ברשב"א בתוס' דבטענינן המוכר הבע"ד והדין בין המוכר למערער וטוענים למוכר</w:t>
      </w:r>
    </w:p>
    <w:p w:rsidR="006A4297" w:rsidRDefault="006A4297" w:rsidP="007E4E81">
      <w:pPr>
        <w:pStyle w:val="a"/>
        <w:rPr>
          <w:rFonts w:eastAsiaTheme="minorEastAsia" w:cstheme="minorBidi"/>
          <w:sz w:val="22"/>
          <w:szCs w:val="22"/>
          <w:rtl/>
        </w:rPr>
      </w:pPr>
      <w:r>
        <w:rPr>
          <w:rtl/>
        </w:rPr>
        <w:t>ביאור הגרנ"פ בר"י דבטענינן הדין הוא בין המחזיק למערער וטוענים לו את טענות המוכר</w:t>
      </w:r>
    </w:p>
    <w:p w:rsidR="006A4297" w:rsidRDefault="006A4297" w:rsidP="006A4297">
      <w:pPr>
        <w:pStyle w:val="aff4"/>
        <w:rPr>
          <w:rFonts w:eastAsiaTheme="minorEastAsia" w:cstheme="minorBidi"/>
          <w:i/>
          <w:iCs/>
          <w:noProof/>
          <w:sz w:val="22"/>
          <w:szCs w:val="22"/>
          <w:rtl/>
        </w:rPr>
      </w:pPr>
      <w:r>
        <w:rPr>
          <w:noProof/>
          <w:rtl/>
        </w:rPr>
        <w:t>ביאור הגרנ"פ בפלוגתת התוס' והרמב"ן בטענינן בחד יומא</w:t>
      </w:r>
    </w:p>
    <w:p w:rsidR="006A4297" w:rsidRDefault="006A4297" w:rsidP="007E4E81">
      <w:pPr>
        <w:pStyle w:val="a"/>
        <w:rPr>
          <w:rFonts w:eastAsiaTheme="minorEastAsia" w:cstheme="minorBidi"/>
          <w:sz w:val="22"/>
          <w:szCs w:val="22"/>
          <w:rtl/>
        </w:rPr>
      </w:pPr>
      <w:r>
        <w:rPr>
          <w:rtl/>
        </w:rPr>
        <w:t>ביאור הגרנ"פ ברמב"ן דמיגו אינו בירור מצד עצמו ומברר את הטענה שזוכה מחמתה</w:t>
      </w:r>
    </w:p>
    <w:p w:rsidR="006A4297" w:rsidRDefault="006A4297" w:rsidP="007E4E81">
      <w:pPr>
        <w:pStyle w:val="a"/>
        <w:rPr>
          <w:rFonts w:eastAsiaTheme="minorEastAsia" w:cstheme="minorBidi"/>
          <w:sz w:val="22"/>
          <w:szCs w:val="22"/>
          <w:rtl/>
        </w:rPr>
      </w:pPr>
      <w:r>
        <w:rPr>
          <w:rtl/>
        </w:rPr>
        <w:t>ביאור הגרנ"פ בתוס' דעידי חד יומא אינו מדין טענינן אלא דהחזקה מתחילה ע"י המוכר</w:t>
      </w:r>
    </w:p>
    <w:p w:rsidR="006A4297" w:rsidRDefault="006A4297" w:rsidP="007E4E81">
      <w:pPr>
        <w:pStyle w:val="a"/>
        <w:rPr>
          <w:rFonts w:eastAsiaTheme="minorEastAsia" w:cstheme="minorBidi"/>
          <w:sz w:val="22"/>
          <w:szCs w:val="22"/>
          <w:rtl/>
        </w:rPr>
      </w:pPr>
      <w:r>
        <w:rPr>
          <w:rtl/>
        </w:rPr>
        <w:t>דחיית הגרנ"פ דמוכח בתוס' דחד יומא הוא מדין טענינן ואינו מעיקר דין החזקה</w:t>
      </w:r>
    </w:p>
    <w:p w:rsidR="006A4297" w:rsidRDefault="006A4297" w:rsidP="006A4297">
      <w:pPr>
        <w:pStyle w:val="2"/>
        <w:rPr>
          <w:rFonts w:eastAsiaTheme="minorEastAsia" w:cstheme="minorBidi"/>
          <w:i/>
          <w:iCs/>
          <w:sz w:val="22"/>
          <w:szCs w:val="22"/>
          <w:rtl/>
        </w:rPr>
      </w:pPr>
      <w:r>
        <w:rPr>
          <w:rtl/>
        </w:rPr>
        <w:t>ביאור הגרנ"פ בפלוגתת הרשב"א בתוס' ור"י</w:t>
      </w:r>
    </w:p>
    <w:p w:rsidR="006A4297" w:rsidRDefault="006A4297" w:rsidP="007E4E81">
      <w:pPr>
        <w:pStyle w:val="a"/>
        <w:rPr>
          <w:rFonts w:eastAsiaTheme="minorEastAsia" w:cstheme="minorBidi"/>
          <w:sz w:val="22"/>
          <w:szCs w:val="22"/>
          <w:rtl/>
        </w:rPr>
      </w:pPr>
      <w:r>
        <w:rPr>
          <w:rtl/>
        </w:rPr>
        <w:t>ביאור הגרנ"פ דהוק' למהרש"א אמאי לא כתבו תוס' דבטענת קמי דידי נח' הרשב"א בתוס' ור"י</w:t>
      </w:r>
    </w:p>
    <w:p w:rsidR="006A4297" w:rsidRDefault="006A4297" w:rsidP="007E4E81">
      <w:pPr>
        <w:pStyle w:val="a"/>
        <w:rPr>
          <w:rFonts w:eastAsiaTheme="minorEastAsia" w:cstheme="minorBidi"/>
          <w:sz w:val="22"/>
          <w:szCs w:val="22"/>
          <w:rtl/>
        </w:rPr>
      </w:pPr>
      <w:r>
        <w:rPr>
          <w:rtl/>
        </w:rPr>
        <w:t>ביאור הגרנ"פ דמודה ר"י באופן שלא הודה המחזיק בתחילה ויש עידי חד יומא דטענינן במיגו</w:t>
      </w:r>
    </w:p>
    <w:p w:rsidR="006A4297" w:rsidRDefault="006A4297" w:rsidP="007E4E81">
      <w:pPr>
        <w:pStyle w:val="a"/>
        <w:rPr>
          <w:rFonts w:eastAsiaTheme="minorEastAsia" w:cstheme="minorBidi"/>
          <w:sz w:val="22"/>
          <w:szCs w:val="22"/>
          <w:rtl/>
        </w:rPr>
      </w:pPr>
      <w:r>
        <w:rPr>
          <w:rtl/>
        </w:rPr>
        <w:t>בי' הגרנ"פ דבתחילת התוס' איירי כשלא הודה מתחילה ומודה ר"י בזה ולכן כתבו תוס' בסתמא</w:t>
      </w:r>
    </w:p>
    <w:p w:rsidR="006A4297" w:rsidRDefault="006A4297" w:rsidP="007E4E81">
      <w:pPr>
        <w:pStyle w:val="a"/>
        <w:rPr>
          <w:rFonts w:eastAsiaTheme="minorEastAsia" w:cstheme="minorBidi"/>
          <w:sz w:val="22"/>
          <w:szCs w:val="22"/>
          <w:rtl/>
        </w:rPr>
      </w:pPr>
      <w:r>
        <w:rPr>
          <w:rtl/>
        </w:rPr>
        <w:t>דברי הגרנ"פ דמוכח במרדכי דר"י פליג על הרשב"א בתוס' רק כשהודה מתחילה דאין לו מיגו</w:t>
      </w:r>
    </w:p>
    <w:p w:rsidR="006A4297" w:rsidRDefault="006A4297" w:rsidP="007E4E81">
      <w:pPr>
        <w:pStyle w:val="a"/>
        <w:rPr>
          <w:rFonts w:eastAsiaTheme="minorEastAsia" w:cstheme="minorBidi"/>
          <w:sz w:val="22"/>
          <w:szCs w:val="22"/>
          <w:rtl/>
        </w:rPr>
        <w:sectPr w:rsidR="006A4297" w:rsidSect="00DC277F">
          <w:headerReference w:type="even" r:id="rId83"/>
          <w:footerReference w:type="even" r:id="rId84"/>
          <w:headerReference w:type="first" r:id="rId85"/>
          <w:footerReference w:type="first" r:id="rId86"/>
          <w:type w:val="continuous"/>
          <w:pgSz w:w="11906" w:h="16838"/>
          <w:pgMar w:top="720" w:right="720" w:bottom="720" w:left="720" w:header="283" w:footer="283" w:gutter="0"/>
          <w:cols w:num="2" w:space="113"/>
          <w:titlePg/>
          <w:bidi/>
          <w:rtlGutter/>
          <w:docGrid w:linePitch="299"/>
        </w:sectPr>
      </w:pPr>
      <w:r>
        <w:rPr>
          <w:rtl/>
        </w:rPr>
        <w:t>דברי הגרנ"פ דבטור משמע כמהרש"א דלרשב"ם ור"י אין דין טענינן אף כשלא הודה מתחילה</w:t>
      </w:r>
    </w:p>
    <w:p w:rsidR="006A4297" w:rsidRDefault="006A4297" w:rsidP="007E4E81">
      <w:pPr>
        <w:pStyle w:val="a"/>
        <w:numPr>
          <w:ilvl w:val="0"/>
          <w:numId w:val="0"/>
        </w:numPr>
        <w:rPr>
          <w:rtl/>
        </w:rPr>
      </w:pPr>
    </w:p>
    <w:p w:rsidR="006A4297" w:rsidRDefault="006A4297" w:rsidP="006A4297">
      <w:pPr>
        <w:pStyle w:val="2"/>
        <w:rPr>
          <w:rtl/>
        </w:rPr>
        <w:sectPr w:rsidR="006A4297"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6A4297" w:rsidRPr="0081356D" w:rsidRDefault="006C4F47" w:rsidP="006C4F47">
      <w:pPr>
        <w:pStyle w:val="afe"/>
        <w:rPr>
          <w:rtl/>
        </w:rPr>
      </w:pPr>
      <w:r>
        <w:rPr>
          <w:rtl/>
        </w:rPr>
        <w:lastRenderedPageBreak/>
        <w:t>~~~~~~~~~~~ מראי מקומות וביאורים ~~~~~~~~~~~</w:t>
      </w:r>
    </w:p>
    <w:p w:rsidR="006A4297" w:rsidRPr="00B21444" w:rsidRDefault="006A4297" w:rsidP="006A4297">
      <w:pPr>
        <w:pStyle w:val="2"/>
        <w:bidi w:val="0"/>
        <w:rPr>
          <w:rtl/>
        </w:rPr>
        <w:sectPr w:rsidR="006A4297" w:rsidRPr="00B21444" w:rsidSect="00962FD5">
          <w:headerReference w:type="default" r:id="rId87"/>
          <w:footerReference w:type="default" r:id="rId88"/>
          <w:pgSz w:w="11906" w:h="16838"/>
          <w:pgMar w:top="720" w:right="720" w:bottom="720" w:left="720" w:header="283" w:footer="283" w:gutter="0"/>
          <w:cols w:space="720"/>
          <w:bidi/>
          <w:rtlGutter/>
          <w:docGrid w:linePitch="299"/>
        </w:sectPr>
      </w:pPr>
    </w:p>
    <w:p w:rsidR="006A4297" w:rsidRPr="0062452C" w:rsidRDefault="006A4297" w:rsidP="006A4297">
      <w:pPr>
        <w:pStyle w:val="afe"/>
        <w:rPr>
          <w:rtl/>
        </w:rPr>
      </w:pPr>
      <w:bookmarkStart w:id="10348" w:name="_Toc60678169"/>
      <w:r>
        <w:rPr>
          <w:rFonts w:hint="cs"/>
          <w:rtl/>
        </w:rPr>
        <w:t>ד' הרשב"ם דל"מ קמי דידי דר חד יומא</w:t>
      </w:r>
      <w:bookmarkEnd w:id="10348"/>
    </w:p>
    <w:p w:rsidR="006A4297" w:rsidRDefault="006A4297" w:rsidP="006A4297">
      <w:pPr>
        <w:pStyle w:val="1"/>
        <w:rPr>
          <w:rtl/>
        </w:rPr>
      </w:pPr>
      <w:bookmarkStart w:id="10349" w:name="_Toc59960728"/>
      <w:bookmarkStart w:id="10350" w:name="_Toc60086817"/>
      <w:bookmarkStart w:id="10351" w:name="_Toc60173387"/>
      <w:bookmarkStart w:id="10352" w:name="_Toc60303769"/>
      <w:bookmarkStart w:id="10353" w:name="_Toc60357030"/>
      <w:bookmarkStart w:id="10354" w:name="_Toc60589161"/>
      <w:bookmarkStart w:id="10355" w:name="_Toc60612575"/>
      <w:bookmarkStart w:id="10356" w:name="_Toc60616416"/>
      <w:bookmarkStart w:id="10357" w:name="_Toc60678170"/>
      <w:bookmarkStart w:id="10358" w:name="_Toc59960726"/>
      <w:bookmarkStart w:id="10359" w:name="_Toc60086815"/>
      <w:bookmarkStart w:id="10360" w:name="_Toc59361627"/>
      <w:bookmarkStart w:id="10361" w:name="_Toc59519305"/>
      <w:bookmarkStart w:id="10362" w:name="_Toc59700085"/>
      <w:r>
        <w:rPr>
          <w:rFonts w:hint="cs"/>
          <w:rtl/>
        </w:rPr>
        <w:t>בדעת הרשב"ם דל"מ טענת חד יומא בלא עדים אף שיש חזקה</w:t>
      </w:r>
      <w:bookmarkEnd w:id="10349"/>
      <w:bookmarkEnd w:id="10350"/>
      <w:bookmarkEnd w:id="10351"/>
      <w:bookmarkEnd w:id="10352"/>
      <w:bookmarkEnd w:id="10353"/>
      <w:bookmarkEnd w:id="10354"/>
      <w:bookmarkEnd w:id="10355"/>
      <w:bookmarkEnd w:id="10356"/>
      <w:bookmarkEnd w:id="10357"/>
    </w:p>
    <w:p w:rsidR="006A4297" w:rsidRPr="0003534C" w:rsidRDefault="006A4297" w:rsidP="006A4297">
      <w:pPr>
        <w:pStyle w:val="a3"/>
      </w:pPr>
      <w:bookmarkStart w:id="10363" w:name="_Toc60357031"/>
      <w:bookmarkStart w:id="10364" w:name="_Toc60589162"/>
      <w:bookmarkStart w:id="10365" w:name="_Toc60612576"/>
      <w:bookmarkStart w:id="10366" w:name="_Toc60616417"/>
      <w:bookmarkStart w:id="10367" w:name="_Toc60678171"/>
      <w:r>
        <w:rPr>
          <w:rFonts w:hint="cs"/>
          <w:rtl/>
        </w:rPr>
        <w:t>דברי המהרי"ט דמבואר ברשב"ם דאינו נאמן בטענת קמי דידי דר חד יומא במיגו דלהד"ם</w:t>
      </w:r>
      <w:bookmarkEnd w:id="10363"/>
      <w:bookmarkEnd w:id="10364"/>
      <w:bookmarkEnd w:id="10365"/>
      <w:bookmarkEnd w:id="10366"/>
      <w:bookmarkEnd w:id="10367"/>
    </w:p>
    <w:p w:rsidR="006A4297" w:rsidRPr="00DC38B2" w:rsidRDefault="006A4297" w:rsidP="00BA3263">
      <w:pPr>
        <w:pStyle w:val="a0"/>
        <w:numPr>
          <w:ilvl w:val="0"/>
          <w:numId w:val="22"/>
        </w:numPr>
        <w:rPr>
          <w:rtl/>
        </w:rPr>
      </w:pPr>
      <w:bookmarkStart w:id="10368" w:name="_Ref60310822"/>
      <w:r w:rsidRPr="0003534C">
        <w:rPr>
          <w:rFonts w:hint="cs"/>
          <w:rtl/>
        </w:rPr>
        <w:t xml:space="preserve">כתב </w:t>
      </w:r>
      <w:r w:rsidRPr="0003534C">
        <w:rPr>
          <w:rStyle w:val="af9"/>
          <w:rFonts w:hint="cs"/>
          <w:rtl/>
        </w:rPr>
        <w:t>הרשב"ם</w:t>
      </w:r>
      <w:r w:rsidRPr="0003534C">
        <w:rPr>
          <w:rFonts w:hint="cs"/>
          <w:rtl/>
        </w:rPr>
        <w:t xml:space="preserve"> </w:t>
      </w:r>
      <w:r w:rsidRPr="007E4E81">
        <w:rPr>
          <w:rStyle w:val="af7"/>
          <w:rFonts w:eastAsia="Guttman Hodes" w:hint="cs"/>
          <w:rtl/>
        </w:rPr>
        <w:t>(ד"ה אמר ליה)</w:t>
      </w:r>
      <w:r w:rsidRPr="0003534C">
        <w:rPr>
          <w:rFonts w:hint="cs"/>
          <w:rtl/>
        </w:rPr>
        <w:t xml:space="preserve"> </w:t>
      </w:r>
      <w:r>
        <w:rPr>
          <w:rFonts w:hint="cs"/>
          <w:rtl/>
        </w:rPr>
        <w:t>דכ</w:t>
      </w:r>
      <w:r w:rsidRPr="0003534C">
        <w:rPr>
          <w:rFonts w:hint="cs"/>
          <w:rtl/>
        </w:rPr>
        <w:t>שיש למחזיק עדים שהמוכר החזיק בה חד יומא</w:t>
      </w:r>
      <w:r w:rsidRPr="00A4438F">
        <w:rPr>
          <w:rFonts w:hint="cs"/>
          <w:rtl/>
        </w:rPr>
        <w:t>, ויש לו חזקת ג"ש הוא נאמן, כדאיתא</w:t>
      </w:r>
      <w:r w:rsidRPr="0003534C">
        <w:rPr>
          <w:rFonts w:hint="cs"/>
          <w:rtl/>
        </w:rPr>
        <w:t xml:space="preserve"> בגמ' לקמן </w:t>
      </w:r>
      <w:r w:rsidRPr="007E4E81">
        <w:rPr>
          <w:rStyle w:val="af7"/>
          <w:rFonts w:eastAsia="Guttman Hodes" w:hint="cs"/>
          <w:rtl/>
        </w:rPr>
        <w:t>(מא:)</w:t>
      </w:r>
      <w:r w:rsidRPr="0003534C">
        <w:rPr>
          <w:rFonts w:hint="cs"/>
          <w:rtl/>
        </w:rPr>
        <w:t xml:space="preserve"> דבדר </w:t>
      </w:r>
      <w:r w:rsidRPr="0003534C">
        <w:rPr>
          <w:rtl/>
        </w:rPr>
        <w:t>בקשתא בעיליתא</w:t>
      </w:r>
      <w:r w:rsidRPr="0003534C">
        <w:rPr>
          <w:rFonts w:hint="cs"/>
          <w:rtl/>
        </w:rPr>
        <w:t xml:space="preserve"> ד' שנים נאמן כשיש לו עדים דדר בה המוכר חד יומא</w:t>
      </w:r>
      <w:r>
        <w:rPr>
          <w:rFonts w:hint="cs"/>
          <w:rtl/>
        </w:rPr>
        <w:t xml:space="preserve">, וכתב </w:t>
      </w:r>
      <w:r w:rsidRPr="00F3060A">
        <w:rPr>
          <w:rStyle w:val="af9"/>
          <w:rFonts w:hint="cs"/>
          <w:rtl/>
        </w:rPr>
        <w:t>המהרי"ט</w:t>
      </w:r>
      <w:r>
        <w:rPr>
          <w:rFonts w:hint="cs"/>
          <w:rtl/>
        </w:rPr>
        <w:t xml:space="preserve"> </w:t>
      </w:r>
      <w:r w:rsidRPr="007E4E81">
        <w:rPr>
          <w:rStyle w:val="af7"/>
          <w:rFonts w:eastAsia="Guttman Hodes" w:hint="cs"/>
          <w:rtl/>
        </w:rPr>
        <w:t xml:space="preserve">(ח"א סי' קי"ב ד"ה איברא) </w:t>
      </w:r>
      <w:r>
        <w:rPr>
          <w:rFonts w:hint="cs"/>
          <w:rtl/>
        </w:rPr>
        <w:t xml:space="preserve">דמבואר מדברי </w:t>
      </w:r>
      <w:r w:rsidRPr="00940FC6">
        <w:rPr>
          <w:rStyle w:val="af9"/>
          <w:rFonts w:hint="cs"/>
          <w:rtl/>
        </w:rPr>
        <w:t>הרשב"ם</w:t>
      </w:r>
      <w:r>
        <w:rPr>
          <w:rFonts w:hint="cs"/>
          <w:rtl/>
        </w:rPr>
        <w:t xml:space="preserve"> דדוקא בעדים דדר בה חד יומא</w:t>
      </w:r>
      <w:r w:rsidRPr="00AD50EA">
        <w:rPr>
          <w:rFonts w:hint="cs"/>
          <w:rtl/>
        </w:rPr>
        <w:t xml:space="preserve"> </w:t>
      </w:r>
      <w:r>
        <w:rPr>
          <w:rFonts w:hint="cs"/>
          <w:rtl/>
        </w:rPr>
        <w:t xml:space="preserve">הוא נאמן, אבל בטוען קמי דידי דר בה חד יומא, אינו נאמן, אעפ"י שיש לו חזקת ג"ש, ויש לו מיגו דהיה טוען שלא הייתה של המערער מעולם, ועי' במה שביאר </w:t>
      </w:r>
      <w:r w:rsidRPr="00F3060A">
        <w:rPr>
          <w:rStyle w:val="af9"/>
          <w:rFonts w:hint="cs"/>
          <w:rtl/>
        </w:rPr>
        <w:t>המהרי"ט</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Ref60693542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Pr="007E4E81">
        <w:rPr>
          <w:rStyle w:val="af7"/>
          <w:rFonts w:eastAsia="Guttman Hodes"/>
          <w:rtl/>
        </w:rPr>
        <w:fldChar w:fldCharType="end"/>
      </w:r>
      <w:r w:rsidRPr="007E4E81">
        <w:rPr>
          <w:rStyle w:val="af7"/>
          <w:rFonts w:eastAsia="Guttman Hodes" w:hint="cs"/>
          <w:rtl/>
        </w:rPr>
        <w:t xml:space="preserve"> </w:t>
      </w:r>
      <w:r w:rsidRPr="00B56FB7">
        <w:rPr>
          <w:rStyle w:val="af9"/>
          <w:rFonts w:hint="cs"/>
          <w:rtl/>
        </w:rPr>
        <w:t>דהרא"ש</w:t>
      </w:r>
      <w:r>
        <w:rPr>
          <w:rFonts w:hint="cs"/>
          <w:rtl/>
        </w:rPr>
        <w:t xml:space="preserve"> הקשה על </w:t>
      </w:r>
      <w:r w:rsidRPr="00B56FB7">
        <w:rPr>
          <w:rStyle w:val="af9"/>
          <w:rFonts w:hint="cs"/>
          <w:rtl/>
        </w:rPr>
        <w:t>הרשב"ם</w:t>
      </w:r>
      <w:r>
        <w:rPr>
          <w:rFonts w:hint="cs"/>
          <w:rtl/>
        </w:rPr>
        <w:t xml:space="preserve"> דאמאי אינו נאמן במיגו, ועי' במה שביארו </w:t>
      </w:r>
      <w:r w:rsidRPr="00D55698">
        <w:rPr>
          <w:rStyle w:val="af9"/>
          <w:rFonts w:hint="cs"/>
          <w:rtl/>
        </w:rPr>
        <w:t>בחי' רבי ראובן</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Ref60657525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7E4E81">
        <w:rPr>
          <w:rStyle w:val="af7"/>
          <w:rFonts w:eastAsia="Guttman Hodes"/>
          <w:rtl/>
        </w:rPr>
        <w:fldChar w:fldCharType="end"/>
      </w:r>
      <w:r>
        <w:rPr>
          <w:rFonts w:hint="cs"/>
          <w:rtl/>
        </w:rPr>
        <w:t xml:space="preserve"> </w:t>
      </w:r>
      <w:r w:rsidRPr="00D85B12">
        <w:rPr>
          <w:rStyle w:val="af9"/>
          <w:rFonts w:hint="cs"/>
          <w:rtl/>
        </w:rPr>
        <w:t>ובחי' רבי נחום</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Ref60677889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קכח)</w:t>
      </w:r>
      <w:r w:rsidRPr="007E4E81">
        <w:rPr>
          <w:rStyle w:val="af7"/>
          <w:rFonts w:eastAsia="Guttman Hodes"/>
          <w:rtl/>
        </w:rPr>
        <w:fldChar w:fldCharType="end"/>
      </w:r>
      <w:r>
        <w:rPr>
          <w:rFonts w:hint="cs"/>
          <w:rtl/>
        </w:rPr>
        <w:t xml:space="preserve"> </w:t>
      </w:r>
      <w:r>
        <w:rPr>
          <w:rStyle w:val="af9"/>
          <w:rFonts w:hint="cs"/>
          <w:rtl/>
        </w:rPr>
        <w:t>ובשיעורי רבי שמואל</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Ref60138328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sidRPr="007E4E81">
        <w:rPr>
          <w:rStyle w:val="af7"/>
          <w:rFonts w:eastAsia="Guttman Hodes"/>
          <w:rtl/>
        </w:rPr>
        <w:fldChar w:fldCharType="end"/>
      </w:r>
      <w:r w:rsidR="00A77F33" w:rsidRPr="007E4E81">
        <w:rPr>
          <w:rStyle w:val="af7"/>
          <w:rFonts w:eastAsia="Guttman Hodes" w:hint="cs"/>
          <w:rtl/>
        </w:rPr>
        <w:t xml:space="preserve"> </w:t>
      </w:r>
      <w:r>
        <w:rPr>
          <w:rFonts w:hint="cs"/>
          <w:rtl/>
        </w:rPr>
        <w:t xml:space="preserve">בדעת </w:t>
      </w:r>
      <w:r w:rsidRPr="00774353">
        <w:rPr>
          <w:rStyle w:val="af9"/>
          <w:rFonts w:hint="cs"/>
          <w:rtl/>
        </w:rPr>
        <w:t>הרשב"ם</w:t>
      </w:r>
      <w:r>
        <w:rPr>
          <w:rFonts w:hint="cs"/>
          <w:rtl/>
        </w:rPr>
        <w:t>.</w:t>
      </w:r>
      <w:bookmarkEnd w:id="10368"/>
    </w:p>
    <w:p w:rsidR="006A4297" w:rsidRDefault="006A4297" w:rsidP="006A4297">
      <w:pPr>
        <w:pStyle w:val="a3"/>
      </w:pPr>
      <w:bookmarkStart w:id="10369" w:name="_Toc60173388"/>
      <w:bookmarkStart w:id="10370" w:name="_Toc60303770"/>
      <w:bookmarkStart w:id="10371" w:name="_Toc60357032"/>
      <w:bookmarkStart w:id="10372" w:name="_Toc60589163"/>
      <w:bookmarkStart w:id="10373" w:name="_Toc60612577"/>
      <w:bookmarkStart w:id="10374" w:name="_Toc60616418"/>
      <w:bookmarkStart w:id="10375" w:name="_Toc60678172"/>
      <w:bookmarkStart w:id="10376" w:name="_Ref60133202"/>
      <w:bookmarkEnd w:id="10358"/>
      <w:bookmarkEnd w:id="10359"/>
      <w:r>
        <w:rPr>
          <w:rFonts w:hint="cs"/>
          <w:rtl/>
        </w:rPr>
        <w:t xml:space="preserve">משמעות התוס' דלדעת הרשב"ם </w:t>
      </w:r>
      <w:bookmarkEnd w:id="10369"/>
      <w:r>
        <w:rPr>
          <w:rFonts w:hint="cs"/>
          <w:rtl/>
        </w:rPr>
        <w:t>אינו נאמן בטענת קמי דידי דר בה חד יומא במיגו דלהד"ם</w:t>
      </w:r>
      <w:bookmarkEnd w:id="10370"/>
      <w:bookmarkEnd w:id="10371"/>
      <w:bookmarkEnd w:id="10372"/>
      <w:bookmarkEnd w:id="10373"/>
      <w:bookmarkEnd w:id="10374"/>
      <w:bookmarkEnd w:id="10375"/>
    </w:p>
    <w:p w:rsidR="006A4297" w:rsidRDefault="006A4297" w:rsidP="007E4E81">
      <w:pPr>
        <w:pStyle w:val="a0"/>
      </w:pPr>
      <w:bookmarkStart w:id="10377" w:name="_Ref60222158"/>
      <w:r>
        <w:rPr>
          <w:rFonts w:hint="cs"/>
          <w:rtl/>
        </w:rPr>
        <w:t xml:space="preserve">וכן מבואר בדברי </w:t>
      </w:r>
      <w:r w:rsidRPr="00CD408B">
        <w:rPr>
          <w:rStyle w:val="af9"/>
          <w:rFonts w:hint="cs"/>
          <w:rtl/>
        </w:rPr>
        <w:t>התוס'</w:t>
      </w:r>
      <w:r>
        <w:rPr>
          <w:rFonts w:hint="cs"/>
          <w:rtl/>
        </w:rPr>
        <w:t xml:space="preserve"> </w:t>
      </w:r>
      <w:r w:rsidRPr="00DE2610">
        <w:rPr>
          <w:rStyle w:val="af7"/>
          <w:rFonts w:eastAsia="Guttman Hodes" w:hint="cs"/>
          <w:rtl/>
        </w:rPr>
        <w:t>(</w:t>
      </w:r>
      <w:r>
        <w:rPr>
          <w:rStyle w:val="af7"/>
          <w:rFonts w:eastAsia="Guttman Hodes" w:hint="cs"/>
          <w:rtl/>
        </w:rPr>
        <w:t xml:space="preserve">ריש </w:t>
      </w:r>
      <w:r w:rsidRPr="00DE2610">
        <w:rPr>
          <w:rStyle w:val="af7"/>
          <w:rFonts w:eastAsia="Guttman Hodes" w:hint="cs"/>
          <w:rtl/>
        </w:rPr>
        <w:t>ד"ה לאו קמודית)</w:t>
      </w:r>
      <w:r>
        <w:rPr>
          <w:rFonts w:hint="cs"/>
          <w:rtl/>
        </w:rPr>
        <w:t xml:space="preserve"> דהביאו את דברי </w:t>
      </w:r>
      <w:r w:rsidRPr="00D504C8">
        <w:rPr>
          <w:rStyle w:val="af9"/>
          <w:rFonts w:hint="cs"/>
          <w:rtl/>
        </w:rPr>
        <w:t>הרשב"ם</w:t>
      </w:r>
      <w:r w:rsidRPr="00D504C8">
        <w:rPr>
          <w:rFonts w:hint="cs"/>
          <w:rtl/>
        </w:rPr>
        <w:t xml:space="preserve"> </w:t>
      </w:r>
      <w:r w:rsidRPr="000D217A">
        <w:rPr>
          <w:rStyle w:val="af7"/>
          <w:rFonts w:eastAsia="Guttman Hodes" w:hint="cs"/>
          <w:rtl/>
        </w:rPr>
        <w:t>(</w:t>
      </w:r>
      <w:r>
        <w:rPr>
          <w:rStyle w:val="af7"/>
          <w:rFonts w:eastAsia="Guttman Hodes" w:hint="cs"/>
          <w:rtl/>
        </w:rPr>
        <w:t>סו</w:t>
      </w:r>
      <w:r w:rsidRPr="000D217A">
        <w:rPr>
          <w:rStyle w:val="af7"/>
          <w:rFonts w:eastAsia="Guttman Hodes" w:hint="cs"/>
          <w:rtl/>
        </w:rPr>
        <w:t>ד"ה אמר ליה)</w:t>
      </w:r>
      <w:r w:rsidRPr="00D504C8">
        <w:rPr>
          <w:rFonts w:hint="cs"/>
          <w:rtl/>
        </w:rPr>
        <w:t xml:space="preserve"> </w:t>
      </w:r>
      <w:r>
        <w:rPr>
          <w:rFonts w:hint="cs"/>
          <w:rtl/>
        </w:rPr>
        <w:t xml:space="preserve">דכתב דכשיש למחזיק חזקה, וטען קמי דידי זבנה מינך, נאמן במיגו דמינך זבינתה, וכן כשיש לו עדים שהמוכר החזיק בה חד יומא, נאמן, כדאיתא בגמ' לקמן </w:t>
      </w:r>
      <w:r w:rsidRPr="00DE2610">
        <w:rPr>
          <w:rStyle w:val="af7"/>
          <w:rFonts w:eastAsia="Guttman Hodes" w:hint="cs"/>
          <w:rtl/>
        </w:rPr>
        <w:t>(מא:)</w:t>
      </w:r>
      <w:r>
        <w:rPr>
          <w:rFonts w:hint="cs"/>
          <w:rtl/>
        </w:rPr>
        <w:t xml:space="preserve">, וכתבו </w:t>
      </w:r>
      <w:r w:rsidRPr="00CD408B">
        <w:rPr>
          <w:rStyle w:val="af9"/>
          <w:rFonts w:hint="cs"/>
          <w:rtl/>
        </w:rPr>
        <w:t>התוס'</w:t>
      </w:r>
      <w:r>
        <w:rPr>
          <w:rFonts w:hint="cs"/>
          <w:rtl/>
        </w:rPr>
        <w:t xml:space="preserve"> דהא דצריך חזקה הוא המבואר בגמ' לקמן, הוא דוקא כשיש עדים למערער שהשדה הייתה שלו, אבל בסוגיין משמע דאין למערער עדים, כיון שאמר למחזיק "לאו קא מודית</w:t>
      </w:r>
      <w:r>
        <w:rPr>
          <w:rtl/>
        </w:rPr>
        <w:t>"</w:t>
      </w:r>
      <w:r>
        <w:rPr>
          <w:rFonts w:hint="cs"/>
          <w:rtl/>
        </w:rPr>
        <w:t>, ולכן אם היה טוען המחזיק שקנה מהמוכר שקנה בפניו מהמערער, וכן כשטוען שהמוכר החזיק בה חד יומא,</w:t>
      </w:r>
      <w:r w:rsidRPr="00FB796D">
        <w:rPr>
          <w:rFonts w:hint="cs"/>
          <w:rtl/>
        </w:rPr>
        <w:t xml:space="preserve"> </w:t>
      </w:r>
      <w:r w:rsidRPr="00DC416D">
        <w:rPr>
          <w:rStyle w:val="afb"/>
          <w:rFonts w:hint="cs"/>
          <w:rtl/>
        </w:rPr>
        <w:t>[אף שאין לו עדים ע"ז],</w:t>
      </w:r>
      <w:r w:rsidRPr="007C29B0">
        <w:rPr>
          <w:rFonts w:hint="cs"/>
          <w:rtl/>
        </w:rPr>
        <w:t xml:space="preserve"> </w:t>
      </w:r>
      <w:r>
        <w:rPr>
          <w:rFonts w:hint="cs"/>
          <w:rtl/>
        </w:rPr>
        <w:t xml:space="preserve">נאמן אעפ"י שאין לו חזקת ג"ש, במיגו דהיה טוען שלא הייתה של המערער מעולם, ומשמע מדברי </w:t>
      </w:r>
      <w:r w:rsidRPr="002F27ED">
        <w:rPr>
          <w:rStyle w:val="af9"/>
          <w:rFonts w:hint="cs"/>
          <w:rtl/>
        </w:rPr>
        <w:t>התוס'</w:t>
      </w:r>
      <w:r>
        <w:rPr>
          <w:rFonts w:hint="cs"/>
          <w:rtl/>
        </w:rPr>
        <w:t xml:space="preserve"> דלדעת </w:t>
      </w:r>
      <w:r w:rsidRPr="002F27ED">
        <w:rPr>
          <w:rStyle w:val="af9"/>
          <w:rFonts w:hint="cs"/>
          <w:rtl/>
        </w:rPr>
        <w:t>הרשב"ם</w:t>
      </w:r>
      <w:r>
        <w:rPr>
          <w:rFonts w:hint="cs"/>
          <w:rtl/>
        </w:rPr>
        <w:t xml:space="preserve"> אינו נאמן בטענת קמי דידי דר בה חד יומא, כשאין לו עדים.</w:t>
      </w:r>
      <w:bookmarkEnd w:id="10377"/>
    </w:p>
    <w:p w:rsidR="006A4297" w:rsidRPr="004A34C5" w:rsidRDefault="006A4297" w:rsidP="006A4297">
      <w:pPr>
        <w:pStyle w:val="a3"/>
        <w:rPr>
          <w:rtl/>
        </w:rPr>
      </w:pPr>
      <w:bookmarkStart w:id="10378" w:name="_Toc60589164"/>
      <w:bookmarkStart w:id="10379" w:name="_Toc60612578"/>
      <w:bookmarkStart w:id="10380" w:name="_Toc60616419"/>
      <w:bookmarkStart w:id="10381" w:name="_Toc60678173"/>
      <w:bookmarkEnd w:id="10360"/>
      <w:bookmarkEnd w:id="10361"/>
      <w:bookmarkEnd w:id="10362"/>
      <w:bookmarkEnd w:id="10376"/>
      <w:r>
        <w:rPr>
          <w:rFonts w:hint="cs"/>
          <w:rtl/>
        </w:rPr>
        <w:t>הוכחת המהרש"א מהרשב"ם לקמן דאינו נאמן בטענת קמי דידי דר חד יומא וצריך עדים</w:t>
      </w:r>
      <w:bookmarkEnd w:id="10378"/>
      <w:bookmarkEnd w:id="10379"/>
      <w:bookmarkEnd w:id="10380"/>
      <w:bookmarkEnd w:id="10381"/>
    </w:p>
    <w:p w:rsidR="006A4297" w:rsidRPr="008B1039" w:rsidRDefault="006A4297" w:rsidP="007E4E81">
      <w:pPr>
        <w:pStyle w:val="a0"/>
      </w:pPr>
      <w:bookmarkStart w:id="10382" w:name="_Ref60243245"/>
      <w:r w:rsidRPr="00184102">
        <w:rPr>
          <w:rFonts w:hint="cs"/>
          <w:rtl/>
        </w:rPr>
        <w:t xml:space="preserve">כתב </w:t>
      </w:r>
      <w:r w:rsidRPr="00184102">
        <w:rPr>
          <w:rStyle w:val="af9"/>
          <w:rFonts w:hint="cs"/>
          <w:rtl/>
        </w:rPr>
        <w:t>הרשב"ם לקמן</w:t>
      </w:r>
      <w:r w:rsidRPr="00184102">
        <w:rPr>
          <w:rStyle w:val="af7"/>
          <w:rFonts w:eastAsia="Guttman Hodes" w:hint="cs"/>
          <w:rtl/>
        </w:rPr>
        <w:t xml:space="preserve"> </w:t>
      </w:r>
      <w:r w:rsidRPr="00184102">
        <w:rPr>
          <w:rStyle w:val="af7"/>
          <w:rFonts w:eastAsia="Guttman Rashi" w:hint="cs"/>
          <w:rtl/>
        </w:rPr>
        <w:t xml:space="preserve">(מא: ד"ה אבל) </w:t>
      </w:r>
      <w:r w:rsidRPr="00184102">
        <w:rPr>
          <w:rFonts w:hint="cs"/>
          <w:rtl/>
        </w:rPr>
        <w:t>ד</w:t>
      </w:r>
      <w:r>
        <w:rPr>
          <w:rFonts w:hint="cs"/>
          <w:rtl/>
        </w:rPr>
        <w:t xml:space="preserve">הא דאמרינן בגמ' לקמן </w:t>
      </w:r>
      <w:r w:rsidRPr="009130B0">
        <w:rPr>
          <w:rStyle w:val="af7"/>
          <w:rFonts w:eastAsia="Guttman Hodes" w:hint="cs"/>
          <w:rtl/>
        </w:rPr>
        <w:t>(מא:)</w:t>
      </w:r>
      <w:r>
        <w:rPr>
          <w:rFonts w:hint="cs"/>
          <w:rtl/>
        </w:rPr>
        <w:t xml:space="preserve"> דהבא משום ירושה אינו צריך טענה, אבל הוא צריך ראיה, היינו דהיורש צריך להביא </w:t>
      </w:r>
      <w:r w:rsidRPr="00184102">
        <w:rPr>
          <w:rFonts w:hint="cs"/>
          <w:rtl/>
        </w:rPr>
        <w:t xml:space="preserve">עדים </w:t>
      </w:r>
      <w:r>
        <w:rPr>
          <w:rFonts w:hint="cs"/>
          <w:rtl/>
        </w:rPr>
        <w:t xml:space="preserve">דדר בה אביו חד יומא, וכתב </w:t>
      </w:r>
      <w:r w:rsidRPr="00184102">
        <w:rPr>
          <w:rStyle w:val="af9"/>
          <w:rFonts w:hint="cs"/>
          <w:rtl/>
        </w:rPr>
        <w:t>המהרש"א לקמן</w:t>
      </w:r>
      <w:r w:rsidRPr="00184102">
        <w:rPr>
          <w:rStyle w:val="af7"/>
          <w:rFonts w:eastAsia="Guttman Rashi" w:hint="cs"/>
          <w:rtl/>
        </w:rPr>
        <w:t xml:space="preserve"> (מא: על הרשב"ם ד"ה א"צ) </w:t>
      </w:r>
      <w:r>
        <w:rPr>
          <w:rFonts w:hint="cs"/>
          <w:rtl/>
        </w:rPr>
        <w:t xml:space="preserve">דמבואר </w:t>
      </w:r>
      <w:r w:rsidRPr="00184102">
        <w:rPr>
          <w:rFonts w:hint="cs"/>
          <w:rtl/>
        </w:rPr>
        <w:t xml:space="preserve">מדברי </w:t>
      </w:r>
      <w:r w:rsidRPr="00184102">
        <w:rPr>
          <w:rStyle w:val="af9"/>
          <w:rFonts w:hint="cs"/>
          <w:rtl/>
        </w:rPr>
        <w:t>הרשב"ם לקמן</w:t>
      </w:r>
      <w:r w:rsidRPr="00184102">
        <w:rPr>
          <w:rStyle w:val="af7"/>
          <w:rFonts w:eastAsia="Guttman Hodes" w:hint="cs"/>
          <w:rtl/>
        </w:rPr>
        <w:t xml:space="preserve"> </w:t>
      </w:r>
      <w:r w:rsidRPr="00184102">
        <w:rPr>
          <w:rFonts w:hint="cs"/>
          <w:rtl/>
        </w:rPr>
        <w:t>ד</w:t>
      </w:r>
      <w:r>
        <w:rPr>
          <w:rFonts w:hint="cs"/>
          <w:rtl/>
        </w:rPr>
        <w:t xml:space="preserve">ס"ל כדעת </w:t>
      </w:r>
      <w:r w:rsidRPr="00981B7A">
        <w:rPr>
          <w:rStyle w:val="af9"/>
          <w:rFonts w:hint="cs"/>
          <w:rtl/>
        </w:rPr>
        <w:t>הראשונים</w:t>
      </w:r>
      <w:r>
        <w:rPr>
          <w:rFonts w:hint="cs"/>
          <w:rtl/>
        </w:rPr>
        <w:t xml:space="preserve"> [</w:t>
      </w:r>
      <w:r w:rsidRPr="00981B7A">
        <w:rPr>
          <w:rStyle w:val="af9"/>
          <w:rFonts w:hint="cs"/>
          <w:rtl/>
        </w:rPr>
        <w:t>רמב"ן</w:t>
      </w:r>
      <w:r>
        <w:rPr>
          <w:rFonts w:hint="cs"/>
          <w:rtl/>
        </w:rPr>
        <w:t xml:space="preserve"> </w:t>
      </w:r>
      <w:r w:rsidRPr="00B71164">
        <w:rPr>
          <w:rStyle w:val="af7"/>
          <w:rFonts w:eastAsia="Guttman Hodes" w:hint="cs"/>
          <w:rtl/>
        </w:rPr>
        <w:t xml:space="preserve">(עי' אות </w:t>
      </w:r>
      <w:r w:rsidRPr="00B71164">
        <w:rPr>
          <w:rStyle w:val="af7"/>
          <w:rFonts w:eastAsia="Guttman Hodes"/>
          <w:rtl/>
        </w:rPr>
        <w:fldChar w:fldCharType="begin"/>
      </w:r>
      <w:r w:rsidRPr="00B71164">
        <w:rPr>
          <w:rStyle w:val="af7"/>
          <w:rFonts w:eastAsia="Guttman Hodes"/>
          <w:rtl/>
        </w:rPr>
        <w:instrText xml:space="preserve"> </w:instrText>
      </w:r>
      <w:r w:rsidRPr="00B71164">
        <w:rPr>
          <w:rStyle w:val="af7"/>
          <w:rFonts w:eastAsia="Guttman Hodes" w:hint="cs"/>
        </w:rPr>
        <w:instrText>REF</w:instrText>
      </w:r>
      <w:r w:rsidRPr="00B71164">
        <w:rPr>
          <w:rStyle w:val="af7"/>
          <w:rFonts w:eastAsia="Guttman Hodes" w:hint="cs"/>
          <w:rtl/>
        </w:rPr>
        <w:instrText xml:space="preserve"> _</w:instrText>
      </w:r>
      <w:r w:rsidRPr="00B71164">
        <w:rPr>
          <w:rStyle w:val="af7"/>
          <w:rFonts w:eastAsia="Guttman Hodes" w:hint="cs"/>
        </w:rPr>
        <w:instrText>Ref60133638 \r \h</w:instrText>
      </w:r>
      <w:r w:rsidRPr="00B71164">
        <w:rPr>
          <w:rStyle w:val="af7"/>
          <w:rFonts w:eastAsia="Guttman Hodes"/>
          <w:rtl/>
        </w:rPr>
        <w:instrText xml:space="preserve"> </w:instrText>
      </w:r>
      <w:r w:rsidRPr="00B71164">
        <w:rPr>
          <w:rStyle w:val="af7"/>
          <w:rFonts w:eastAsia="Guttman Hodes"/>
          <w:rtl/>
        </w:rPr>
      </w:r>
      <w:r w:rsidRPr="00B71164">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B71164">
        <w:rPr>
          <w:rStyle w:val="af7"/>
          <w:rFonts w:eastAsia="Guttman Hodes"/>
          <w:rtl/>
        </w:rPr>
        <w:fldChar w:fldCharType="end"/>
      </w:r>
      <w:r>
        <w:rPr>
          <w:rFonts w:hint="cs"/>
          <w:rtl/>
        </w:rPr>
        <w:t>] דהיורש</w:t>
      </w:r>
      <w:r w:rsidRPr="00184102">
        <w:rPr>
          <w:rFonts w:hint="cs"/>
          <w:rtl/>
        </w:rPr>
        <w:t xml:space="preserve"> נאמן רק בעדים </w:t>
      </w:r>
      <w:r>
        <w:rPr>
          <w:rFonts w:hint="cs"/>
          <w:rtl/>
        </w:rPr>
        <w:t>דר בה המוכר חד יומא</w:t>
      </w:r>
      <w:r w:rsidRPr="00184102">
        <w:rPr>
          <w:rFonts w:hint="cs"/>
          <w:rtl/>
        </w:rPr>
        <w:t>,</w:t>
      </w:r>
      <w:r>
        <w:rPr>
          <w:rFonts w:hint="cs"/>
          <w:rtl/>
        </w:rPr>
        <w:t xml:space="preserve"> ואינו </w:t>
      </w:r>
      <w:r w:rsidRPr="00184102">
        <w:rPr>
          <w:rFonts w:hint="cs"/>
          <w:rtl/>
        </w:rPr>
        <w:t xml:space="preserve">נאמן בלא עדים כשטוען </w:t>
      </w:r>
      <w:r w:rsidRPr="00184102">
        <w:rPr>
          <w:rtl/>
        </w:rPr>
        <w:t>קמי דידי דר בה</w:t>
      </w:r>
      <w:r w:rsidRPr="00184102">
        <w:rPr>
          <w:rFonts w:hint="cs"/>
          <w:rtl/>
        </w:rPr>
        <w:t xml:space="preserve"> חד יומא, במיגו דמינך זבינתה</w:t>
      </w:r>
      <w:r>
        <w:rPr>
          <w:rFonts w:hint="cs"/>
          <w:rtl/>
        </w:rPr>
        <w:t>,</w:t>
      </w:r>
      <w:r w:rsidRPr="00184102">
        <w:rPr>
          <w:rFonts w:hint="cs"/>
          <w:rtl/>
        </w:rPr>
        <w:t xml:space="preserve"> ודלא </w:t>
      </w:r>
      <w:r w:rsidRPr="00184102">
        <w:rPr>
          <w:rStyle w:val="af9"/>
          <w:rFonts w:hint="cs"/>
          <w:rtl/>
        </w:rPr>
        <w:t xml:space="preserve">כתוס' </w:t>
      </w:r>
      <w:r>
        <w:rPr>
          <w:rStyle w:val="af7"/>
          <w:rFonts w:eastAsia="Guttman Rashi" w:hint="cs"/>
          <w:rtl/>
        </w:rPr>
        <w:t xml:space="preserve">(עי' אות </w:t>
      </w:r>
      <w:r>
        <w:rPr>
          <w:rStyle w:val="af7"/>
          <w:rFonts w:eastAsia="Guttman Rashi"/>
          <w:rtl/>
        </w:rPr>
        <w:fldChar w:fldCharType="begin"/>
      </w:r>
      <w:r>
        <w:rPr>
          <w:rStyle w:val="af7"/>
          <w:rFonts w:eastAsia="Guttman Rashi"/>
          <w:rtl/>
        </w:rPr>
        <w:instrText xml:space="preserve"> </w:instrText>
      </w:r>
      <w:r>
        <w:rPr>
          <w:rStyle w:val="af7"/>
          <w:rFonts w:eastAsia="Guttman Rashi" w:hint="cs"/>
        </w:rPr>
        <w:instrText>REF</w:instrText>
      </w:r>
      <w:r>
        <w:rPr>
          <w:rStyle w:val="af7"/>
          <w:rFonts w:eastAsia="Guttman Rashi" w:hint="cs"/>
          <w:rtl/>
        </w:rPr>
        <w:instrText xml:space="preserve"> _</w:instrText>
      </w:r>
      <w:r>
        <w:rPr>
          <w:rStyle w:val="af7"/>
          <w:rFonts w:eastAsia="Guttman Rashi" w:hint="cs"/>
        </w:rPr>
        <w:instrText>Ref60656918 \r \h</w:instrText>
      </w:r>
      <w:r>
        <w:rPr>
          <w:rStyle w:val="af7"/>
          <w:rFonts w:eastAsia="Guttman Rashi"/>
          <w:rtl/>
        </w:rPr>
        <w:instrText xml:space="preserve"> </w:instrText>
      </w:r>
      <w:r>
        <w:rPr>
          <w:rStyle w:val="af7"/>
          <w:rFonts w:eastAsia="Guttman Rashi"/>
          <w:rtl/>
        </w:rPr>
      </w:r>
      <w:r>
        <w:rPr>
          <w:rStyle w:val="af7"/>
          <w:rFonts w:eastAsia="Guttman Rashi"/>
          <w:rtl/>
        </w:rPr>
        <w:fldChar w:fldCharType="separate"/>
      </w:r>
      <w:r w:rsidR="00265073">
        <w:rPr>
          <w:rStyle w:val="af7"/>
          <w:rFonts w:eastAsia="Guttman Rashi"/>
          <w:cs/>
        </w:rPr>
        <w:t>‎</w:t>
      </w:r>
      <w:r w:rsidR="00265073">
        <w:rPr>
          <w:rStyle w:val="af7"/>
          <w:rFonts w:eastAsia="Guttman Rashi"/>
          <w:rtl/>
        </w:rPr>
        <w:t>ט)</w:t>
      </w:r>
      <w:r>
        <w:rPr>
          <w:rStyle w:val="af7"/>
          <w:rFonts w:eastAsia="Guttman Rashi"/>
          <w:rtl/>
        </w:rPr>
        <w:fldChar w:fldCharType="end"/>
      </w:r>
      <w:r>
        <w:rPr>
          <w:rStyle w:val="af7"/>
          <w:rFonts w:eastAsia="Guttman Rashi" w:hint="cs"/>
          <w:rtl/>
        </w:rPr>
        <w:t xml:space="preserve"> </w:t>
      </w:r>
      <w:r w:rsidRPr="00184102">
        <w:rPr>
          <w:rFonts w:hint="cs"/>
          <w:rtl/>
        </w:rPr>
        <w:t>דכתבו דלפני שהודה היה נאמן במיגו דמינך זבינתה, ולאחר שהודה אינו נאמן</w:t>
      </w:r>
      <w:r>
        <w:rPr>
          <w:rFonts w:hint="cs"/>
          <w:rtl/>
        </w:rPr>
        <w:t xml:space="preserve">, </w:t>
      </w:r>
      <w:r w:rsidRPr="00B16DE1">
        <w:rPr>
          <w:rStyle w:val="afb"/>
          <w:rFonts w:hint="cs"/>
          <w:rtl/>
        </w:rPr>
        <w:t xml:space="preserve">[אבל </w:t>
      </w:r>
      <w:r w:rsidRPr="00B16DE1">
        <w:rPr>
          <w:rStyle w:val="affa"/>
          <w:rFonts w:hint="cs"/>
          <w:rtl/>
        </w:rPr>
        <w:t>המהרש"א בסוגיין</w:t>
      </w:r>
      <w:r w:rsidRPr="00B16DE1">
        <w:rPr>
          <w:rStyle w:val="aff6"/>
          <w:rFonts w:hint="cs"/>
          <w:rtl/>
        </w:rPr>
        <w:t xml:space="preserve"> (עי' אות </w:t>
      </w:r>
      <w:r w:rsidRPr="00B16DE1">
        <w:rPr>
          <w:rStyle w:val="aff6"/>
          <w:rtl/>
        </w:rPr>
        <w:fldChar w:fldCharType="begin"/>
      </w:r>
      <w:r w:rsidRPr="00B16DE1">
        <w:rPr>
          <w:rStyle w:val="aff6"/>
          <w:rtl/>
        </w:rPr>
        <w:instrText xml:space="preserve"> </w:instrText>
      </w:r>
      <w:r w:rsidRPr="00B16DE1">
        <w:rPr>
          <w:rStyle w:val="aff6"/>
          <w:rFonts w:hint="cs"/>
        </w:rPr>
        <w:instrText>REF</w:instrText>
      </w:r>
      <w:r w:rsidRPr="00B16DE1">
        <w:rPr>
          <w:rStyle w:val="aff6"/>
          <w:rFonts w:hint="cs"/>
          <w:rtl/>
        </w:rPr>
        <w:instrText xml:space="preserve"> _</w:instrText>
      </w:r>
      <w:r w:rsidRPr="00B16DE1">
        <w:rPr>
          <w:rStyle w:val="aff6"/>
          <w:rFonts w:hint="cs"/>
        </w:rPr>
        <w:instrText>Ref60243234 \r \h</w:instrText>
      </w:r>
      <w:r w:rsidRPr="00B16DE1">
        <w:rPr>
          <w:rStyle w:val="aff6"/>
          <w:rtl/>
        </w:rPr>
        <w:instrText xml:space="preserve"> </w:instrText>
      </w:r>
      <w:r w:rsidRPr="00B16DE1">
        <w:rPr>
          <w:rStyle w:val="aff6"/>
          <w:rtl/>
        </w:rPr>
      </w:r>
      <w:r w:rsidRPr="00B16DE1">
        <w:rPr>
          <w:rStyle w:val="aff6"/>
          <w:rtl/>
        </w:rPr>
        <w:fldChar w:fldCharType="separate"/>
      </w:r>
      <w:r w:rsidR="00265073">
        <w:rPr>
          <w:rStyle w:val="aff6"/>
          <w:cs/>
        </w:rPr>
        <w:t>‎</w:t>
      </w:r>
      <w:r w:rsidR="00265073">
        <w:rPr>
          <w:rStyle w:val="aff6"/>
          <w:rtl/>
        </w:rPr>
        <w:t>ז)</w:t>
      </w:r>
      <w:r w:rsidRPr="00B16DE1">
        <w:rPr>
          <w:rStyle w:val="aff6"/>
          <w:rtl/>
        </w:rPr>
        <w:fldChar w:fldCharType="end"/>
      </w:r>
      <w:r w:rsidRPr="00B16DE1">
        <w:rPr>
          <w:rStyle w:val="aff6"/>
          <w:rFonts w:hint="cs"/>
          <w:rtl/>
        </w:rPr>
        <w:t xml:space="preserve"> </w:t>
      </w:r>
      <w:r w:rsidRPr="00B16DE1">
        <w:rPr>
          <w:rStyle w:val="afb"/>
          <w:rFonts w:hint="cs"/>
          <w:rtl/>
        </w:rPr>
        <w:t xml:space="preserve">כתב דכשיש למחזיק חזקת ג"ש, אף </w:t>
      </w:r>
      <w:r w:rsidRPr="00B16DE1">
        <w:rPr>
          <w:rStyle w:val="affa"/>
          <w:rFonts w:hint="cs"/>
          <w:rtl/>
        </w:rPr>
        <w:t>לרשב"ם</w:t>
      </w:r>
      <w:r w:rsidRPr="00B16DE1">
        <w:rPr>
          <w:rStyle w:val="afb"/>
          <w:rFonts w:hint="cs"/>
          <w:rtl/>
        </w:rPr>
        <w:t xml:space="preserve"> נאמן בטענת קמי דידי דר בה חד יומא</w:t>
      </w:r>
      <w:bookmarkStart w:id="10383" w:name="_Ref60306072"/>
      <w:r>
        <w:rPr>
          <w:rStyle w:val="af1"/>
          <w:rtl/>
        </w:rPr>
        <w:footnoteReference w:id="69"/>
      </w:r>
      <w:bookmarkEnd w:id="10383"/>
      <w:r w:rsidRPr="00B16DE1">
        <w:rPr>
          <w:rStyle w:val="afb"/>
          <w:rFonts w:hint="cs"/>
          <w:rtl/>
        </w:rPr>
        <w:t>]</w:t>
      </w:r>
      <w:bookmarkEnd w:id="10382"/>
      <w:r>
        <w:rPr>
          <w:rStyle w:val="afb"/>
          <w:rFonts w:hint="cs"/>
          <w:rtl/>
        </w:rPr>
        <w:t>,</w:t>
      </w:r>
      <w:r w:rsidRPr="006B76F5">
        <w:rPr>
          <w:rFonts w:hint="cs"/>
          <w:rtl/>
        </w:rPr>
        <w:t xml:space="preserve"> </w:t>
      </w:r>
      <w:r>
        <w:rPr>
          <w:rFonts w:hint="cs"/>
          <w:rtl/>
        </w:rPr>
        <w:t xml:space="preserve">ועי' בדברי </w:t>
      </w:r>
      <w:r w:rsidRPr="00A36FCD">
        <w:rPr>
          <w:rStyle w:val="af9"/>
          <w:rFonts w:hint="cs"/>
          <w:rtl/>
        </w:rPr>
        <w:t>רבינו</w:t>
      </w:r>
      <w:r>
        <w:rPr>
          <w:rFonts w:hint="cs"/>
          <w:rtl/>
        </w:rPr>
        <w:t xml:space="preserve"> </w:t>
      </w:r>
      <w:r w:rsidRPr="00A36FCD">
        <w:rPr>
          <w:rStyle w:val="af9"/>
          <w:rFonts w:hint="cs"/>
          <w:rtl/>
        </w:rPr>
        <w:t>יונה</w:t>
      </w:r>
      <w:r>
        <w:rPr>
          <w:rFonts w:hint="cs"/>
          <w:rtl/>
        </w:rPr>
        <w:t xml:space="preserve"> </w:t>
      </w:r>
      <w:r w:rsidRPr="00A36FCD">
        <w:rPr>
          <w:rStyle w:val="af9"/>
          <w:rFonts w:hint="cs"/>
          <w:rtl/>
        </w:rPr>
        <w:t>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Ref60334592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Pr>
          <w:rStyle w:val="af7"/>
          <w:rFonts w:eastAsia="Guttman Hodes"/>
          <w:rtl/>
        </w:rPr>
        <w:fldChar w:fldCharType="end"/>
      </w:r>
      <w:r>
        <w:rPr>
          <w:rStyle w:val="af7"/>
          <w:rFonts w:eastAsia="Guttman Hodes" w:hint="cs"/>
          <w:rtl/>
        </w:rPr>
        <w:t xml:space="preserve"> </w:t>
      </w:r>
      <w:r w:rsidRPr="006B76F5">
        <w:rPr>
          <w:rFonts w:hint="cs"/>
          <w:rtl/>
        </w:rPr>
        <w:t>דביאר דאין ראיה מהגמ' לקמן דלא מהני טענת קמי דידי דר בה חד יומא.</w:t>
      </w:r>
      <w:r>
        <w:rPr>
          <w:rStyle w:val="afb"/>
          <w:rFonts w:hint="cs"/>
          <w:rtl/>
        </w:rPr>
        <w:t xml:space="preserve"> </w:t>
      </w:r>
    </w:p>
    <w:p w:rsidR="006A4297" w:rsidRDefault="006A4297" w:rsidP="006A4297">
      <w:pPr>
        <w:pStyle w:val="1"/>
        <w:rPr>
          <w:rtl/>
        </w:rPr>
      </w:pPr>
      <w:bookmarkStart w:id="10384" w:name="_Toc59960729"/>
      <w:bookmarkStart w:id="10385" w:name="_Toc60086818"/>
      <w:bookmarkStart w:id="10386" w:name="_Toc60173389"/>
      <w:bookmarkStart w:id="10387" w:name="_Toc60303771"/>
      <w:bookmarkStart w:id="10388" w:name="_Toc60357033"/>
      <w:bookmarkStart w:id="10389" w:name="_Toc60589165"/>
      <w:bookmarkStart w:id="10390" w:name="_Toc60612579"/>
      <w:bookmarkStart w:id="10391" w:name="_Toc60616420"/>
      <w:bookmarkStart w:id="10392" w:name="_Toc60678174"/>
      <w:r>
        <w:rPr>
          <w:rFonts w:hint="cs"/>
          <w:rtl/>
        </w:rPr>
        <w:t>ביאורי האחרונים ברשב"ם</w:t>
      </w:r>
      <w:bookmarkEnd w:id="10384"/>
      <w:bookmarkEnd w:id="10385"/>
      <w:r>
        <w:rPr>
          <w:rFonts w:hint="cs"/>
          <w:rtl/>
        </w:rPr>
        <w:t xml:space="preserve"> דאינו נאמן במיגו דהוא העזה</w:t>
      </w:r>
      <w:bookmarkEnd w:id="10386"/>
      <w:bookmarkEnd w:id="10387"/>
      <w:bookmarkEnd w:id="10388"/>
      <w:bookmarkEnd w:id="10389"/>
      <w:bookmarkEnd w:id="10390"/>
      <w:bookmarkEnd w:id="10391"/>
      <w:bookmarkEnd w:id="10392"/>
    </w:p>
    <w:p w:rsidR="006A4297" w:rsidRPr="006A09D3" w:rsidRDefault="006A4297" w:rsidP="006A4297">
      <w:pPr>
        <w:pStyle w:val="a3"/>
        <w:rPr>
          <w:rtl/>
        </w:rPr>
      </w:pPr>
      <w:bookmarkStart w:id="10393" w:name="_Toc60589166"/>
      <w:bookmarkStart w:id="10394" w:name="_Toc60612580"/>
      <w:bookmarkStart w:id="10395" w:name="_Toc60616421"/>
      <w:bookmarkStart w:id="10396" w:name="_Toc60678175"/>
      <w:r>
        <w:rPr>
          <w:rFonts w:hint="cs"/>
          <w:rtl/>
        </w:rPr>
        <w:t>דברי החת"ס דהרשב"ם ס"ל כרמב"ן דל"א טענינן במיגו וכביאור חי' אנשי שם דהוא מיגו דהעזה</w:t>
      </w:r>
      <w:bookmarkEnd w:id="10393"/>
      <w:bookmarkEnd w:id="10394"/>
      <w:bookmarkEnd w:id="10395"/>
      <w:bookmarkEnd w:id="10396"/>
    </w:p>
    <w:p w:rsidR="006A4297" w:rsidRDefault="006A4297" w:rsidP="007E4E81">
      <w:pPr>
        <w:pStyle w:val="a0"/>
        <w:rPr>
          <w:rtl/>
        </w:rPr>
      </w:pPr>
      <w:r>
        <w:rPr>
          <w:rFonts w:hint="cs"/>
          <w:rtl/>
        </w:rPr>
        <w:t>בדעת</w:t>
      </w:r>
      <w:r w:rsidRPr="003737E8">
        <w:rPr>
          <w:rFonts w:hint="cs"/>
          <w:rtl/>
        </w:rPr>
        <w:t xml:space="preserve"> </w:t>
      </w:r>
      <w:r w:rsidRPr="003737E8">
        <w:rPr>
          <w:rStyle w:val="af9"/>
          <w:rFonts w:hint="cs"/>
          <w:rtl/>
        </w:rPr>
        <w:t>הרשב"ם</w:t>
      </w:r>
      <w:r w:rsidRPr="003737E8">
        <w:rPr>
          <w:rFonts w:hint="cs"/>
          <w:rtl/>
        </w:rPr>
        <w:t xml:space="preserve"> </w:t>
      </w:r>
      <w:r w:rsidRPr="00E22C94">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Ref60222158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ב)</w:t>
      </w:r>
      <w:r>
        <w:rPr>
          <w:rStyle w:val="af7"/>
          <w:rFonts w:eastAsia="Guttman Hodes"/>
          <w:rtl/>
        </w:rPr>
        <w:fldChar w:fldCharType="end"/>
      </w:r>
      <w:r w:rsidRPr="003737E8">
        <w:rPr>
          <w:rFonts w:hint="cs"/>
          <w:rtl/>
        </w:rPr>
        <w:t xml:space="preserve"> דהמחזיק אינו נאמן כשטוען שהמוכ</w:t>
      </w:r>
      <w:r>
        <w:rPr>
          <w:rFonts w:hint="cs"/>
          <w:rtl/>
        </w:rPr>
        <w:t xml:space="preserve">ר דר בה חד יומא, וצריך </w:t>
      </w:r>
      <w:r w:rsidRPr="002159DE">
        <w:rPr>
          <w:rFonts w:hint="cs"/>
          <w:rtl/>
        </w:rPr>
        <w:t xml:space="preserve">עדים ע"ז, הביא </w:t>
      </w:r>
      <w:r w:rsidRPr="002159DE">
        <w:rPr>
          <w:rStyle w:val="af9"/>
          <w:rFonts w:hint="cs"/>
          <w:rtl/>
        </w:rPr>
        <w:t>החת"ס</w:t>
      </w:r>
      <w:r w:rsidRPr="002159DE">
        <w:rPr>
          <w:rFonts w:hint="cs"/>
          <w:rtl/>
        </w:rPr>
        <w:t xml:space="preserve"> </w:t>
      </w:r>
      <w:r w:rsidRPr="002159DE">
        <w:rPr>
          <w:rStyle w:val="af7"/>
          <w:rFonts w:eastAsia="Guttman Hodes" w:hint="cs"/>
          <w:rtl/>
        </w:rPr>
        <w:t>(ד"ה את)</w:t>
      </w:r>
      <w:r w:rsidRPr="002159DE">
        <w:rPr>
          <w:rFonts w:hint="cs"/>
          <w:rtl/>
        </w:rPr>
        <w:t xml:space="preserve"> את דברי </w:t>
      </w:r>
      <w:r w:rsidRPr="002159DE">
        <w:rPr>
          <w:rStyle w:val="af9"/>
          <w:rFonts w:hint="cs"/>
          <w:rtl/>
        </w:rPr>
        <w:t xml:space="preserve">הרמב"ן </w:t>
      </w:r>
      <w:r w:rsidRPr="00B71164">
        <w:rPr>
          <w:rStyle w:val="af7"/>
          <w:rFonts w:eastAsia="Guttman Hodes" w:hint="cs"/>
          <w:rtl/>
        </w:rPr>
        <w:t xml:space="preserve">(עי' אות </w:t>
      </w:r>
      <w:r w:rsidRPr="00B71164">
        <w:rPr>
          <w:rStyle w:val="af7"/>
          <w:rFonts w:eastAsia="Guttman Hodes"/>
          <w:rtl/>
        </w:rPr>
        <w:fldChar w:fldCharType="begin"/>
      </w:r>
      <w:r w:rsidRPr="00B71164">
        <w:rPr>
          <w:rStyle w:val="af7"/>
          <w:rFonts w:eastAsia="Guttman Hodes"/>
          <w:rtl/>
        </w:rPr>
        <w:instrText xml:space="preserve"> </w:instrText>
      </w:r>
      <w:r w:rsidRPr="00B71164">
        <w:rPr>
          <w:rStyle w:val="af7"/>
          <w:rFonts w:eastAsia="Guttman Hodes" w:hint="cs"/>
        </w:rPr>
        <w:instrText>REF</w:instrText>
      </w:r>
      <w:r w:rsidRPr="00B71164">
        <w:rPr>
          <w:rStyle w:val="af7"/>
          <w:rFonts w:eastAsia="Guttman Hodes" w:hint="cs"/>
          <w:rtl/>
        </w:rPr>
        <w:instrText xml:space="preserve"> _</w:instrText>
      </w:r>
      <w:r w:rsidRPr="00B71164">
        <w:rPr>
          <w:rStyle w:val="af7"/>
          <w:rFonts w:eastAsia="Guttman Hodes" w:hint="cs"/>
        </w:rPr>
        <w:instrText>Ref60133638 \r \h</w:instrText>
      </w:r>
      <w:r w:rsidRPr="00B71164">
        <w:rPr>
          <w:rStyle w:val="af7"/>
          <w:rFonts w:eastAsia="Guttman Hodes"/>
          <w:rtl/>
        </w:rPr>
        <w:instrText xml:space="preserve"> </w:instrText>
      </w:r>
      <w:r w:rsidRPr="00B71164">
        <w:rPr>
          <w:rStyle w:val="af7"/>
          <w:rFonts w:eastAsia="Guttman Hodes"/>
          <w:rtl/>
        </w:rPr>
      </w:r>
      <w:r w:rsidRPr="00B71164">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B71164">
        <w:rPr>
          <w:rStyle w:val="af7"/>
          <w:rFonts w:eastAsia="Guttman Hodes"/>
          <w:rtl/>
        </w:rPr>
        <w:fldChar w:fldCharType="end"/>
      </w:r>
      <w:r w:rsidRPr="002159DE">
        <w:rPr>
          <w:rFonts w:hint="cs"/>
          <w:rtl/>
        </w:rPr>
        <w:t xml:space="preserve"> דכתב דלא עבדינן ב' קולות, דאנו נטען בעבורו, וגם יהיה נאמן מדין מיגו, וכתב </w:t>
      </w:r>
      <w:r w:rsidRPr="002159DE">
        <w:rPr>
          <w:rStyle w:val="af9"/>
          <w:rFonts w:hint="cs"/>
          <w:rtl/>
        </w:rPr>
        <w:t>החת"ס</w:t>
      </w:r>
      <w:r w:rsidRPr="002159DE">
        <w:rPr>
          <w:rFonts w:hint="cs"/>
          <w:rtl/>
        </w:rPr>
        <w:t xml:space="preserve"> דנראה דכוונת </w:t>
      </w:r>
      <w:r w:rsidRPr="002159DE">
        <w:rPr>
          <w:rStyle w:val="af9"/>
          <w:rFonts w:hint="cs"/>
          <w:rtl/>
        </w:rPr>
        <w:t>הרמב"ן</w:t>
      </w:r>
      <w:r w:rsidRPr="002159DE">
        <w:rPr>
          <w:rFonts w:hint="cs"/>
          <w:rtl/>
        </w:rPr>
        <w:t xml:space="preserve"> לומר כמו שביאר </w:t>
      </w:r>
      <w:r w:rsidRPr="00D37908">
        <w:rPr>
          <w:rStyle w:val="af9"/>
          <w:rFonts w:hint="cs"/>
          <w:rtl/>
        </w:rPr>
        <w:t xml:space="preserve">בחי' אנשי שם </w:t>
      </w:r>
      <w:r w:rsidRPr="001D642C">
        <w:rPr>
          <w:rStyle w:val="af7"/>
          <w:rFonts w:eastAsia="Guttman Hodes" w:hint="cs"/>
          <w:rtl/>
        </w:rPr>
        <w:t xml:space="preserve">(עי' אות </w:t>
      </w:r>
      <w:r w:rsidRPr="001D642C">
        <w:rPr>
          <w:rStyle w:val="af7"/>
          <w:rFonts w:eastAsia="Guttman Hodes"/>
          <w:rtl/>
        </w:rPr>
        <w:fldChar w:fldCharType="begin"/>
      </w:r>
      <w:r w:rsidRPr="001D642C">
        <w:rPr>
          <w:rStyle w:val="af7"/>
          <w:rFonts w:eastAsia="Guttman Hodes"/>
          <w:rtl/>
        </w:rPr>
        <w:instrText xml:space="preserve"> </w:instrText>
      </w:r>
      <w:r w:rsidRPr="001D642C">
        <w:rPr>
          <w:rStyle w:val="af7"/>
          <w:rFonts w:eastAsia="Guttman Hodes" w:hint="cs"/>
        </w:rPr>
        <w:instrText>REF</w:instrText>
      </w:r>
      <w:r w:rsidRPr="001D642C">
        <w:rPr>
          <w:rStyle w:val="af7"/>
          <w:rFonts w:eastAsia="Guttman Hodes" w:hint="cs"/>
          <w:rtl/>
        </w:rPr>
        <w:instrText xml:space="preserve"> _</w:instrText>
      </w:r>
      <w:r w:rsidRPr="001D642C">
        <w:rPr>
          <w:rStyle w:val="af7"/>
          <w:rFonts w:eastAsia="Guttman Hodes" w:hint="cs"/>
        </w:rPr>
        <w:instrText>Ref59355762 \r \h</w:instrText>
      </w:r>
      <w:r w:rsidRPr="001D642C">
        <w:rPr>
          <w:rStyle w:val="af7"/>
          <w:rFonts w:eastAsia="Guttman Hodes"/>
          <w:rtl/>
        </w:rPr>
        <w:instrText xml:space="preserve"> </w:instrText>
      </w:r>
      <w:r w:rsidRPr="001D642C">
        <w:rPr>
          <w:rStyle w:val="af7"/>
          <w:rFonts w:eastAsia="Guttman Hodes"/>
          <w:rtl/>
        </w:rPr>
      </w:r>
      <w:r w:rsidRPr="001D642C">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1D642C">
        <w:rPr>
          <w:rStyle w:val="af7"/>
          <w:rFonts w:eastAsia="Guttman Hodes"/>
          <w:rtl/>
        </w:rPr>
        <w:fldChar w:fldCharType="end"/>
      </w:r>
      <w:r w:rsidRPr="001D642C">
        <w:rPr>
          <w:rStyle w:val="af7"/>
          <w:rFonts w:eastAsia="Guttman Hodes" w:hint="cs"/>
          <w:rtl/>
        </w:rPr>
        <w:t xml:space="preserve"> </w:t>
      </w:r>
      <w:r>
        <w:rPr>
          <w:rFonts w:hint="cs"/>
          <w:rtl/>
        </w:rPr>
        <w:t>דהוא מיגו דהעזה, דיותר ניחא ליה לטעון דדר בה המוכר חד יומא, מאשר לטעון שקנה מהמערער, ואף דבעלמא מהני מיגו דהעזה, מ"מ בטענינן לא מהני דהוא ב' קולות.</w:t>
      </w:r>
    </w:p>
    <w:p w:rsidR="006A4297" w:rsidRPr="00465D1F" w:rsidRDefault="006A4297" w:rsidP="006A4297">
      <w:pPr>
        <w:pStyle w:val="a3"/>
        <w:rPr>
          <w:rtl/>
        </w:rPr>
      </w:pPr>
      <w:bookmarkStart w:id="10397" w:name="_Toc60589167"/>
      <w:bookmarkStart w:id="10398" w:name="_Toc60612581"/>
      <w:bookmarkStart w:id="10399" w:name="_Toc60616422"/>
      <w:bookmarkStart w:id="10400" w:name="_Toc60678176"/>
      <w:r>
        <w:rPr>
          <w:rFonts w:hint="cs"/>
          <w:rtl/>
        </w:rPr>
        <w:t>דברי הקרני ראם דל"מ קמי דידי דר חד יומא במיגו דמינך זבינתה דהוא העזה</w:t>
      </w:r>
      <w:bookmarkEnd w:id="10397"/>
      <w:bookmarkEnd w:id="10398"/>
      <w:bookmarkEnd w:id="10399"/>
      <w:bookmarkEnd w:id="10400"/>
    </w:p>
    <w:p w:rsidR="006A4297" w:rsidRDefault="006A4297" w:rsidP="007E4E81">
      <w:pPr>
        <w:pStyle w:val="a0"/>
        <w:rPr>
          <w:rtl/>
        </w:rPr>
      </w:pPr>
      <w:bookmarkStart w:id="10401" w:name="_Ref60241980"/>
      <w:r>
        <w:rPr>
          <w:rStyle w:val="af9"/>
          <w:rFonts w:hint="cs"/>
          <w:rtl/>
        </w:rPr>
        <w:t>ו</w:t>
      </w:r>
      <w:r w:rsidRPr="000D217A">
        <w:rPr>
          <w:rStyle w:val="af9"/>
          <w:rFonts w:hint="cs"/>
          <w:rtl/>
        </w:rPr>
        <w:t>הקרני</w:t>
      </w:r>
      <w:r w:rsidRPr="009931ED">
        <w:rPr>
          <w:rStyle w:val="af9"/>
          <w:rFonts w:hint="cs"/>
          <w:rtl/>
        </w:rPr>
        <w:t xml:space="preserve"> ראם</w:t>
      </w:r>
      <w:r>
        <w:rPr>
          <w:rFonts w:hint="cs"/>
          <w:rtl/>
        </w:rPr>
        <w:t xml:space="preserve"> </w:t>
      </w:r>
      <w:r w:rsidRPr="009931ED">
        <w:rPr>
          <w:rStyle w:val="af7"/>
          <w:rFonts w:eastAsia="Guttman Hodes" w:hint="cs"/>
          <w:rtl/>
        </w:rPr>
        <w:t xml:space="preserve">(על המהרש"א בתוד"ה לאו קמודית או' א') </w:t>
      </w:r>
      <w:r>
        <w:rPr>
          <w:rFonts w:hint="cs"/>
          <w:rtl/>
        </w:rPr>
        <w:t>כתב דאפש"ל דלא מהני טענת קמי דידי דר בה חד יומא בלא עדים, במיגו דמינך זבינתה,</w:t>
      </w:r>
      <w:r w:rsidRPr="009B2BBA">
        <w:rPr>
          <w:rFonts w:hint="cs"/>
          <w:rtl/>
        </w:rPr>
        <w:t xml:space="preserve"> </w:t>
      </w:r>
      <w:r>
        <w:rPr>
          <w:rFonts w:hint="cs"/>
          <w:rtl/>
        </w:rPr>
        <w:t xml:space="preserve">כיון דטענת מינך זבינתה הוא מיגו דהעזה, אבל כשטוען קמי דידי זבנה מינך, ממילא הוא מעיז בפני המערער, ולכן הוא נאמן אף במיגו דמינך זבניתה, וכבר כ"כ </w:t>
      </w:r>
      <w:r w:rsidRPr="00C6243C">
        <w:rPr>
          <w:rStyle w:val="af9"/>
          <w:rFonts w:hint="cs"/>
          <w:rtl/>
        </w:rPr>
        <w:t>הריטב"א לקמן</w:t>
      </w:r>
      <w:r>
        <w:rPr>
          <w:rFonts w:hint="cs"/>
          <w:rtl/>
        </w:rPr>
        <w:t xml:space="preserve"> </w:t>
      </w:r>
      <w:r w:rsidRPr="00C6243C">
        <w:rPr>
          <w:rStyle w:val="af7"/>
          <w:rFonts w:eastAsia="Guttman Hodes" w:hint="cs"/>
          <w:rtl/>
        </w:rPr>
        <w:t xml:space="preserve">(עי' אות </w:t>
      </w:r>
      <w:r w:rsidRPr="00C6243C">
        <w:rPr>
          <w:rStyle w:val="af7"/>
          <w:rFonts w:eastAsia="Guttman Hodes"/>
          <w:rtl/>
        </w:rPr>
        <w:fldChar w:fldCharType="begin"/>
      </w:r>
      <w:r w:rsidRPr="00C6243C">
        <w:rPr>
          <w:rStyle w:val="af7"/>
          <w:rFonts w:eastAsia="Guttman Hodes"/>
          <w:rtl/>
        </w:rPr>
        <w:instrText xml:space="preserve"> </w:instrText>
      </w:r>
      <w:r w:rsidRPr="00C6243C">
        <w:rPr>
          <w:rStyle w:val="af7"/>
          <w:rFonts w:eastAsia="Guttman Hodes" w:hint="cs"/>
        </w:rPr>
        <w:instrText>REF</w:instrText>
      </w:r>
      <w:r w:rsidRPr="00C6243C">
        <w:rPr>
          <w:rStyle w:val="af7"/>
          <w:rFonts w:eastAsia="Guttman Hodes" w:hint="cs"/>
          <w:rtl/>
        </w:rPr>
        <w:instrText xml:space="preserve"> _</w:instrText>
      </w:r>
      <w:r w:rsidRPr="00C6243C">
        <w:rPr>
          <w:rStyle w:val="af7"/>
          <w:rFonts w:eastAsia="Guttman Hodes" w:hint="cs"/>
        </w:rPr>
        <w:instrText>Ref60158486 \r \h</w:instrText>
      </w:r>
      <w:r w:rsidRPr="00C6243C">
        <w:rPr>
          <w:rStyle w:val="af7"/>
          <w:rFonts w:eastAsia="Guttman Hodes"/>
          <w:rtl/>
        </w:rPr>
        <w:instrText xml:space="preserve"> </w:instrText>
      </w:r>
      <w:r w:rsidRPr="00C6243C">
        <w:rPr>
          <w:rStyle w:val="af7"/>
          <w:rFonts w:eastAsia="Guttman Hodes"/>
          <w:rtl/>
        </w:rPr>
      </w:r>
      <w:r w:rsidRPr="00C6243C">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C6243C">
        <w:rPr>
          <w:rStyle w:val="af7"/>
          <w:rFonts w:eastAsia="Guttman Hodes"/>
          <w:rtl/>
        </w:rPr>
        <w:fldChar w:fldCharType="end"/>
      </w:r>
      <w:r>
        <w:rPr>
          <w:rFonts w:hint="cs"/>
          <w:rtl/>
        </w:rPr>
        <w:t xml:space="preserve">, אך כתב </w:t>
      </w:r>
      <w:r w:rsidRPr="009931ED">
        <w:rPr>
          <w:rStyle w:val="af9"/>
          <w:rFonts w:hint="cs"/>
          <w:rtl/>
        </w:rPr>
        <w:t xml:space="preserve">הקרני ראם </w:t>
      </w:r>
      <w:r>
        <w:rPr>
          <w:rFonts w:hint="cs"/>
          <w:rtl/>
        </w:rPr>
        <w:t xml:space="preserve">דלהלכה כתבו </w:t>
      </w:r>
      <w:r w:rsidRPr="009931ED">
        <w:rPr>
          <w:rStyle w:val="af9"/>
          <w:rFonts w:hint="cs"/>
          <w:rtl/>
        </w:rPr>
        <w:t>הפוסקים</w:t>
      </w:r>
      <w:r>
        <w:rPr>
          <w:rFonts w:hint="cs"/>
          <w:rtl/>
        </w:rPr>
        <w:t xml:space="preserve"> דאמרינן מיגו דהעזה.</w:t>
      </w:r>
      <w:bookmarkEnd w:id="10401"/>
    </w:p>
    <w:p w:rsidR="006A4297" w:rsidRPr="001E41FE" w:rsidRDefault="006A4297" w:rsidP="006A4297">
      <w:pPr>
        <w:pStyle w:val="a3"/>
      </w:pPr>
      <w:bookmarkStart w:id="10402" w:name="_Toc60589168"/>
      <w:bookmarkStart w:id="10403" w:name="_Toc60612582"/>
      <w:bookmarkStart w:id="10404" w:name="_Toc60616423"/>
      <w:bookmarkStart w:id="10405" w:name="_Toc60678177"/>
      <w:r>
        <w:rPr>
          <w:rFonts w:hint="cs"/>
          <w:rtl/>
        </w:rPr>
        <w:t>ביאור חי' רמ"ש ברשב"ם דירא לטעון את טענת המיגו דמינך זבינתה שלא יוכל לתבוע מהמוכר</w:t>
      </w:r>
      <w:bookmarkEnd w:id="10402"/>
      <w:bookmarkEnd w:id="10403"/>
      <w:bookmarkEnd w:id="10404"/>
      <w:bookmarkEnd w:id="10405"/>
    </w:p>
    <w:p w:rsidR="006A4297" w:rsidRPr="000E2670" w:rsidRDefault="006A4297" w:rsidP="007E4E81">
      <w:pPr>
        <w:pStyle w:val="a0"/>
        <w:rPr>
          <w:rStyle w:val="afb"/>
          <w:sz w:val="18"/>
          <w:szCs w:val="18"/>
        </w:rPr>
      </w:pPr>
      <w:bookmarkStart w:id="10406" w:name="_Ref60693883"/>
      <w:r>
        <w:rPr>
          <w:rStyle w:val="af9"/>
          <w:rFonts w:hint="cs"/>
          <w:rtl/>
        </w:rPr>
        <w:t>ו</w:t>
      </w:r>
      <w:r w:rsidRPr="008C00D3">
        <w:rPr>
          <w:rStyle w:val="af9"/>
          <w:rFonts w:hint="cs"/>
          <w:rtl/>
        </w:rPr>
        <w:t>בחי' רמ"ש</w:t>
      </w:r>
      <w:r w:rsidRPr="008C00D3">
        <w:rPr>
          <w:rFonts w:hint="cs"/>
          <w:rtl/>
        </w:rPr>
        <w:t xml:space="preserve"> </w:t>
      </w:r>
      <w:r w:rsidRPr="008C00D3">
        <w:rPr>
          <w:rStyle w:val="af7"/>
          <w:rFonts w:eastAsia="Guttman Hodes" w:hint="cs"/>
          <w:rtl/>
        </w:rPr>
        <w:t>(על תוד"ה לאו קמודית)</w:t>
      </w:r>
      <w:r w:rsidRPr="008C00D3">
        <w:rPr>
          <w:rFonts w:hint="cs"/>
          <w:rtl/>
        </w:rPr>
        <w:t xml:space="preserve"> </w:t>
      </w:r>
      <w:r>
        <w:rPr>
          <w:rFonts w:hint="cs"/>
          <w:rtl/>
        </w:rPr>
        <w:t xml:space="preserve">ביאר </w:t>
      </w:r>
      <w:r w:rsidRPr="008C00D3">
        <w:rPr>
          <w:rFonts w:hint="cs"/>
          <w:rtl/>
        </w:rPr>
        <w:t xml:space="preserve">את דעת </w:t>
      </w:r>
      <w:r w:rsidRPr="008C00D3">
        <w:rPr>
          <w:rStyle w:val="af9"/>
          <w:rFonts w:hint="cs"/>
          <w:rtl/>
        </w:rPr>
        <w:t>הרשב"ם</w:t>
      </w:r>
      <w:r w:rsidRPr="008C00D3">
        <w:rPr>
          <w:rFonts w:hint="cs"/>
          <w:rtl/>
        </w:rPr>
        <w:t xml:space="preserve"> </w:t>
      </w:r>
      <w:r w:rsidRPr="008C00D3">
        <w:rPr>
          <w:rStyle w:val="af7"/>
          <w:rFonts w:eastAsia="Guttman Hodes" w:hint="cs"/>
          <w:rtl/>
        </w:rPr>
        <w:t xml:space="preserve">(עי' אות </w:t>
      </w:r>
      <w:r w:rsidRPr="008C00D3">
        <w:rPr>
          <w:rStyle w:val="af7"/>
          <w:rFonts w:eastAsia="Guttman Hodes"/>
          <w:rtl/>
        </w:rPr>
        <w:fldChar w:fldCharType="begin"/>
      </w:r>
      <w:r w:rsidRPr="008C00D3">
        <w:rPr>
          <w:rStyle w:val="af7"/>
          <w:rFonts w:eastAsia="Guttman Hodes"/>
          <w:rtl/>
        </w:rPr>
        <w:instrText xml:space="preserve"> </w:instrText>
      </w:r>
      <w:r w:rsidRPr="008C00D3">
        <w:rPr>
          <w:rStyle w:val="af7"/>
          <w:rFonts w:eastAsia="Guttman Hodes" w:hint="cs"/>
        </w:rPr>
        <w:instrText>REF</w:instrText>
      </w:r>
      <w:r w:rsidRPr="008C00D3">
        <w:rPr>
          <w:rStyle w:val="af7"/>
          <w:rFonts w:eastAsia="Guttman Hodes" w:hint="cs"/>
          <w:rtl/>
        </w:rPr>
        <w:instrText xml:space="preserve"> _</w:instrText>
      </w:r>
      <w:r w:rsidRPr="008C00D3">
        <w:rPr>
          <w:rStyle w:val="af7"/>
          <w:rFonts w:eastAsia="Guttman Hodes" w:hint="cs"/>
        </w:rPr>
        <w:instrText>Ref60222158 \r \h</w:instrText>
      </w:r>
      <w:r w:rsidRPr="008C00D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C00D3">
        <w:rPr>
          <w:rStyle w:val="af7"/>
          <w:rFonts w:eastAsia="Guttman Hodes"/>
          <w:rtl/>
        </w:rPr>
      </w:r>
      <w:r w:rsidRPr="008C00D3">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8C00D3">
        <w:rPr>
          <w:rStyle w:val="af7"/>
          <w:rFonts w:eastAsia="Guttman Hodes"/>
          <w:rtl/>
        </w:rPr>
        <w:fldChar w:fldCharType="end"/>
      </w:r>
      <w:r w:rsidRPr="008C00D3">
        <w:rPr>
          <w:rStyle w:val="af7"/>
          <w:rFonts w:eastAsia="Guttman Hodes" w:hint="cs"/>
          <w:rtl/>
        </w:rPr>
        <w:t xml:space="preserve"> </w:t>
      </w:r>
      <w:r w:rsidRPr="008C00D3">
        <w:rPr>
          <w:rFonts w:hint="cs"/>
          <w:rtl/>
        </w:rPr>
        <w:t xml:space="preserve">דא"א להאמין למחזיק בטענתו דדר בה המוכר חד יומא, במיגו דמינך זבינתה, כיון הוא ירא לטעון מינך זבינתה, שמא יביא המערער עדים שלא קנה ממנו, </w:t>
      </w:r>
      <w:r>
        <w:rPr>
          <w:rFonts w:hint="cs"/>
          <w:rtl/>
        </w:rPr>
        <w:t>וכשטוען רק קמי דידי דר בה המוכר חד יומא, אף אם יבואו עדים כנגד טענת המיגו, ויעידו שהמחזיק לא קנה מהמערער, מ"מ לטענתו דקנה מהמוכר שא"ל שקנה מהמערער, א"כ כיון המוכר דר בה חד יומא, הוא יוכל לתבוע את מעותיו מהמוכר, אבל אם יטען למערער מינך זבינתה, ויביא המערער עדים שלא קנה ממנו, הוא לא יוכל לתבוע את המוכר, כיון שהודה לא קנה ממנו.</w:t>
      </w:r>
      <w:r w:rsidRPr="008C00D3">
        <w:rPr>
          <w:rStyle w:val="afb"/>
          <w:rFonts w:hint="cs"/>
          <w:rtl/>
        </w:rPr>
        <w:t xml:space="preserve"> [והא דנאמן לטעון קמי דידי זבנה מינך, במיגו דמינך זבינתה, הוא כיון דאם הוא חושש שיבאו עדים שלא קנה ממנו, היה לו לחשוש גם שיבואו עדים שיכחישוהו את טענתו, דקמי דידי זבנה מינך, וכל שיהיו עדים כנגד טענת המיגו, יתכן שיהיו עדים גם נגד מה שטוען עכשיו, דקמי דידי זבנה מינך]</w:t>
      </w:r>
      <w:r>
        <w:rPr>
          <w:rStyle w:val="afb"/>
          <w:rFonts w:hint="cs"/>
          <w:rtl/>
        </w:rPr>
        <w:t>.</w:t>
      </w:r>
      <w:bookmarkEnd w:id="10406"/>
    </w:p>
    <w:p w:rsidR="006A4297" w:rsidRPr="008D123D" w:rsidRDefault="006A4297" w:rsidP="006A4297">
      <w:pPr>
        <w:pStyle w:val="afe"/>
        <w:rPr>
          <w:rtl/>
        </w:rPr>
      </w:pPr>
      <w:bookmarkStart w:id="10407" w:name="_Toc60303772"/>
      <w:bookmarkStart w:id="10408" w:name="_Toc60357034"/>
      <w:bookmarkStart w:id="10409" w:name="_Toc60589169"/>
      <w:bookmarkStart w:id="10410" w:name="_Toc60612583"/>
      <w:bookmarkStart w:id="10411" w:name="_Toc60616424"/>
      <w:bookmarkStart w:id="10412" w:name="_Toc60678178"/>
      <w:r>
        <w:rPr>
          <w:rFonts w:hint="cs"/>
          <w:rtl/>
        </w:rPr>
        <w:t>בי' המהרש"א ברשב"ם דבחזקה נאמן</w:t>
      </w:r>
      <w:bookmarkEnd w:id="10407"/>
      <w:bookmarkEnd w:id="10408"/>
      <w:bookmarkEnd w:id="10409"/>
      <w:bookmarkEnd w:id="10410"/>
      <w:bookmarkEnd w:id="10411"/>
      <w:bookmarkEnd w:id="10412"/>
    </w:p>
    <w:p w:rsidR="006A4297" w:rsidRDefault="006A4297" w:rsidP="006A4297">
      <w:pPr>
        <w:pStyle w:val="1"/>
        <w:rPr>
          <w:rtl/>
        </w:rPr>
      </w:pPr>
      <w:bookmarkStart w:id="10413" w:name="_Toc60303773"/>
      <w:bookmarkStart w:id="10414" w:name="_Toc60357035"/>
      <w:bookmarkStart w:id="10415" w:name="_Toc60589170"/>
      <w:bookmarkStart w:id="10416" w:name="_Toc60612584"/>
      <w:bookmarkStart w:id="10417" w:name="_Toc60616425"/>
      <w:bookmarkStart w:id="10418" w:name="_Toc60678179"/>
      <w:bookmarkStart w:id="10419" w:name="_Toc59960731"/>
      <w:bookmarkStart w:id="10420" w:name="_Toc60086820"/>
      <w:bookmarkStart w:id="10421" w:name="_Toc60173391"/>
      <w:r>
        <w:rPr>
          <w:rFonts w:hint="cs"/>
          <w:rtl/>
        </w:rPr>
        <w:t>בי' המהרש"א ברשב"ם</w:t>
      </w:r>
      <w:bookmarkEnd w:id="10413"/>
      <w:bookmarkEnd w:id="10414"/>
      <w:r>
        <w:rPr>
          <w:rFonts w:hint="cs"/>
          <w:rtl/>
        </w:rPr>
        <w:t xml:space="preserve"> דנאמן בחד יומא בלי עדים כשיש חזקה</w:t>
      </w:r>
      <w:bookmarkEnd w:id="10415"/>
      <w:bookmarkEnd w:id="10416"/>
      <w:bookmarkEnd w:id="10417"/>
      <w:bookmarkEnd w:id="10418"/>
    </w:p>
    <w:p w:rsidR="006A4297" w:rsidRPr="008D123D" w:rsidRDefault="006A4297" w:rsidP="006A4297">
      <w:pPr>
        <w:pStyle w:val="a3"/>
        <w:rPr>
          <w:rtl/>
        </w:rPr>
      </w:pPr>
      <w:bookmarkStart w:id="10422" w:name="_Toc60589171"/>
      <w:bookmarkStart w:id="10423" w:name="_Toc60612585"/>
      <w:bookmarkStart w:id="10424" w:name="_Toc60616426"/>
      <w:bookmarkStart w:id="10425" w:name="_Toc60678180"/>
      <w:r>
        <w:rPr>
          <w:rFonts w:hint="cs"/>
          <w:rtl/>
        </w:rPr>
        <w:t>ביאור המהרש"א ברשב"ם דנאמן בקמי דידי דר חד יומא כשיש לו חזקה אף שאין לו עדים ע"ז</w:t>
      </w:r>
      <w:bookmarkEnd w:id="10422"/>
      <w:bookmarkEnd w:id="10423"/>
      <w:bookmarkEnd w:id="10424"/>
      <w:bookmarkEnd w:id="10425"/>
    </w:p>
    <w:p w:rsidR="006A4297" w:rsidRPr="008C64AE" w:rsidRDefault="006A4297" w:rsidP="007E4E81">
      <w:pPr>
        <w:pStyle w:val="a0"/>
        <w:rPr>
          <w:rStyle w:val="afb"/>
          <w:rtl/>
        </w:rPr>
      </w:pPr>
      <w:bookmarkStart w:id="10426" w:name="_Ref60243234"/>
      <w:bookmarkStart w:id="10427" w:name="_Ref60587143"/>
      <w:bookmarkStart w:id="10428" w:name="_Ref58090676"/>
      <w:r>
        <w:rPr>
          <w:rFonts w:hint="cs"/>
          <w:rtl/>
        </w:rPr>
        <w:t xml:space="preserve">כתב </w:t>
      </w:r>
      <w:r w:rsidRPr="00922E4E">
        <w:rPr>
          <w:rStyle w:val="af9"/>
          <w:rFonts w:hint="cs"/>
          <w:rtl/>
        </w:rPr>
        <w:t xml:space="preserve">המהרש"א </w:t>
      </w:r>
      <w:r w:rsidRPr="0044703C">
        <w:rPr>
          <w:rStyle w:val="af7"/>
          <w:rFonts w:eastAsia="Guttman Hodes" w:hint="cs"/>
          <w:rtl/>
        </w:rPr>
        <w:t>(על תוד"ה לאו קמודית)</w:t>
      </w:r>
      <w:r>
        <w:rPr>
          <w:rFonts w:hint="cs"/>
          <w:rtl/>
        </w:rPr>
        <w:t xml:space="preserve"> על דברי </w:t>
      </w:r>
      <w:r w:rsidRPr="008B1039">
        <w:rPr>
          <w:rStyle w:val="af9"/>
          <w:rFonts w:hint="cs"/>
          <w:rtl/>
        </w:rPr>
        <w:t>התוס'</w:t>
      </w:r>
      <w:r>
        <w:rPr>
          <w:rFonts w:hint="cs"/>
          <w:rtl/>
        </w:rPr>
        <w:t xml:space="preserve"> </w:t>
      </w:r>
      <w:r w:rsidRPr="0044703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Ref60222158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ב)</w:t>
      </w:r>
      <w:r>
        <w:rPr>
          <w:rStyle w:val="af7"/>
          <w:rFonts w:eastAsia="Guttman Hodes"/>
          <w:rtl/>
        </w:rPr>
        <w:fldChar w:fldCharType="end"/>
      </w:r>
      <w:r w:rsidRPr="0044703C">
        <w:rPr>
          <w:rStyle w:val="af7"/>
          <w:rFonts w:eastAsia="Guttman Hodes" w:hint="cs"/>
          <w:rtl/>
        </w:rPr>
        <w:t xml:space="preserve"> </w:t>
      </w:r>
      <w:r>
        <w:rPr>
          <w:rFonts w:hint="cs"/>
          <w:rtl/>
        </w:rPr>
        <w:t xml:space="preserve">בשם </w:t>
      </w:r>
      <w:r w:rsidRPr="008B1039">
        <w:rPr>
          <w:rStyle w:val="af9"/>
          <w:rFonts w:hint="cs"/>
          <w:rtl/>
        </w:rPr>
        <w:t>הרשב"ם</w:t>
      </w:r>
      <w:r>
        <w:rPr>
          <w:rFonts w:hint="cs"/>
          <w:rtl/>
        </w:rPr>
        <w:t xml:space="preserve">, דאפש"ל דלדעת </w:t>
      </w:r>
      <w:r>
        <w:rPr>
          <w:rStyle w:val="af9"/>
          <w:rFonts w:hint="cs"/>
          <w:rtl/>
        </w:rPr>
        <w:t>הרשב"ם</w:t>
      </w:r>
      <w:r w:rsidRPr="007A1AD0">
        <w:rPr>
          <w:rStyle w:val="af7"/>
          <w:rFonts w:eastAsia="Guttman Hodes" w:hint="cs"/>
          <w:rtl/>
        </w:rPr>
        <w:t xml:space="preserve"> (עי' אות </w:t>
      </w:r>
      <w:r w:rsidRPr="007A1AD0">
        <w:rPr>
          <w:rStyle w:val="af7"/>
          <w:rFonts w:eastAsia="Guttman Hodes"/>
          <w:rtl/>
        </w:rPr>
        <w:fldChar w:fldCharType="begin"/>
      </w:r>
      <w:r w:rsidRPr="007A1AD0">
        <w:rPr>
          <w:rStyle w:val="af7"/>
          <w:rFonts w:eastAsia="Guttman Hodes"/>
          <w:rtl/>
        </w:rPr>
        <w:instrText xml:space="preserve"> </w:instrText>
      </w:r>
      <w:r w:rsidRPr="007A1AD0">
        <w:rPr>
          <w:rStyle w:val="af7"/>
          <w:rFonts w:eastAsia="Guttman Hodes" w:hint="cs"/>
        </w:rPr>
        <w:instrText>REF</w:instrText>
      </w:r>
      <w:r w:rsidRPr="007A1AD0">
        <w:rPr>
          <w:rStyle w:val="af7"/>
          <w:rFonts w:eastAsia="Guttman Hodes" w:hint="cs"/>
          <w:rtl/>
        </w:rPr>
        <w:instrText xml:space="preserve"> _</w:instrText>
      </w:r>
      <w:r w:rsidRPr="007A1AD0">
        <w:rPr>
          <w:rStyle w:val="af7"/>
          <w:rFonts w:eastAsia="Guttman Hodes" w:hint="cs"/>
        </w:rPr>
        <w:instrText>Ref60310822 \r \h</w:instrText>
      </w:r>
      <w:r w:rsidRPr="007A1AD0">
        <w:rPr>
          <w:rStyle w:val="af7"/>
          <w:rFonts w:eastAsia="Guttman Hodes"/>
          <w:rtl/>
        </w:rPr>
        <w:instrText xml:space="preserve"> </w:instrText>
      </w:r>
      <w:r w:rsidRPr="007A1AD0">
        <w:rPr>
          <w:rStyle w:val="af7"/>
          <w:rFonts w:eastAsia="Guttman Hodes"/>
          <w:rtl/>
        </w:rPr>
      </w:r>
      <w:r w:rsidRPr="007A1AD0">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7A1AD0">
        <w:rPr>
          <w:rStyle w:val="af7"/>
          <w:rFonts w:eastAsia="Guttman Hodes"/>
          <w:rtl/>
        </w:rPr>
        <w:fldChar w:fldCharType="end"/>
      </w:r>
      <w:r w:rsidRPr="007A1AD0">
        <w:rPr>
          <w:rStyle w:val="af7"/>
          <w:rFonts w:eastAsia="Guttman Hodes" w:hint="cs"/>
          <w:rtl/>
        </w:rPr>
        <w:t xml:space="preserve"> </w:t>
      </w:r>
      <w:r>
        <w:rPr>
          <w:rFonts w:hint="cs"/>
          <w:rtl/>
        </w:rPr>
        <w:t xml:space="preserve">כמו שנאמן כשיש לו חזקה, בטענת קמי דידי זבנה מינך, במיגו דמינך זבינתה, וכן כשיש לו עדים שדר בה המוכר יום אחד, ה"ה דכשיש לו חזקת ג"ש הוא נאמן בטענת דר בה חד יומא, אף שאין לו עדים דדר בה חד יומא, </w:t>
      </w:r>
      <w:r>
        <w:rPr>
          <w:rFonts w:hint="cs"/>
          <w:rtl/>
        </w:rPr>
        <w:lastRenderedPageBreak/>
        <w:t>במיגו דהיה טוען מינך זבינתה ויש לו חזקת ג"ש,</w:t>
      </w:r>
      <w:r w:rsidRPr="008C64AE">
        <w:rPr>
          <w:rFonts w:hint="cs"/>
          <w:rtl/>
        </w:rPr>
        <w:t xml:space="preserve"> </w:t>
      </w:r>
      <w:r w:rsidRPr="008C64AE">
        <w:rPr>
          <w:rStyle w:val="afb"/>
          <w:rFonts w:hint="cs"/>
          <w:rtl/>
        </w:rPr>
        <w:t xml:space="preserve">[ודלא כמשמעות </w:t>
      </w:r>
      <w:r w:rsidRPr="008C64AE">
        <w:rPr>
          <w:rStyle w:val="affa"/>
          <w:rFonts w:hint="cs"/>
          <w:rtl/>
        </w:rPr>
        <w:t>התוס'</w:t>
      </w:r>
      <w:r w:rsidRPr="008C64AE">
        <w:rPr>
          <w:rStyle w:val="afb"/>
          <w:rFonts w:hint="cs"/>
          <w:rtl/>
        </w:rPr>
        <w:t xml:space="preserve"> ב</w:t>
      </w:r>
      <w:r>
        <w:rPr>
          <w:rStyle w:val="afb"/>
          <w:rFonts w:hint="cs"/>
          <w:rtl/>
        </w:rPr>
        <w:t xml:space="preserve">דעת </w:t>
      </w:r>
      <w:r w:rsidRPr="008C64AE">
        <w:rPr>
          <w:rStyle w:val="affa"/>
          <w:rFonts w:hint="cs"/>
          <w:rtl/>
        </w:rPr>
        <w:t xml:space="preserve">הרשב"ם </w:t>
      </w:r>
      <w:r w:rsidRPr="008C64AE">
        <w:rPr>
          <w:rStyle w:val="aff6"/>
          <w:rFonts w:hint="cs"/>
          <w:rtl/>
        </w:rPr>
        <w:t xml:space="preserve">(עי' אות </w:t>
      </w:r>
      <w:r w:rsidRPr="008C64AE">
        <w:rPr>
          <w:rStyle w:val="aff6"/>
          <w:rtl/>
        </w:rPr>
        <w:fldChar w:fldCharType="begin"/>
      </w:r>
      <w:r w:rsidRPr="008C64AE">
        <w:rPr>
          <w:rStyle w:val="aff6"/>
          <w:rtl/>
        </w:rPr>
        <w:instrText xml:space="preserve"> </w:instrText>
      </w:r>
      <w:r w:rsidRPr="008C64AE">
        <w:rPr>
          <w:rStyle w:val="aff6"/>
          <w:rFonts w:hint="cs"/>
        </w:rPr>
        <w:instrText>REF</w:instrText>
      </w:r>
      <w:r w:rsidRPr="008C64AE">
        <w:rPr>
          <w:rStyle w:val="aff6"/>
          <w:rFonts w:hint="cs"/>
          <w:rtl/>
        </w:rPr>
        <w:instrText xml:space="preserve"> _</w:instrText>
      </w:r>
      <w:r w:rsidRPr="008C64AE">
        <w:rPr>
          <w:rStyle w:val="aff6"/>
          <w:rFonts w:hint="cs"/>
        </w:rPr>
        <w:instrText>Ref60222158 \r \h</w:instrText>
      </w:r>
      <w:r w:rsidRPr="008C64AE">
        <w:rPr>
          <w:rStyle w:val="aff6"/>
          <w:rtl/>
        </w:rPr>
        <w:instrText xml:space="preserve"> </w:instrText>
      </w:r>
      <w:r w:rsidRPr="008C64AE">
        <w:rPr>
          <w:rStyle w:val="aff6"/>
          <w:rtl/>
        </w:rPr>
      </w:r>
      <w:r w:rsidRPr="008C64AE">
        <w:rPr>
          <w:rStyle w:val="aff6"/>
          <w:rtl/>
        </w:rPr>
        <w:fldChar w:fldCharType="separate"/>
      </w:r>
      <w:r w:rsidR="00265073">
        <w:rPr>
          <w:rStyle w:val="aff6"/>
          <w:cs/>
        </w:rPr>
        <w:t>‎</w:t>
      </w:r>
      <w:r w:rsidR="00265073">
        <w:rPr>
          <w:rStyle w:val="aff6"/>
          <w:rtl/>
        </w:rPr>
        <w:t>ב)</w:t>
      </w:r>
      <w:r w:rsidRPr="008C64AE">
        <w:rPr>
          <w:rStyle w:val="aff6"/>
          <w:rtl/>
        </w:rPr>
        <w:fldChar w:fldCharType="end"/>
      </w:r>
      <w:r w:rsidRPr="008C64AE">
        <w:rPr>
          <w:rStyle w:val="afb"/>
          <w:rFonts w:hint="cs"/>
          <w:rtl/>
        </w:rPr>
        <w:t xml:space="preserve"> דאינו נאמן, וכן דלא כדהוכיח </w:t>
      </w:r>
      <w:r w:rsidRPr="008C64AE">
        <w:rPr>
          <w:rStyle w:val="affa"/>
          <w:rFonts w:hint="cs"/>
          <w:rtl/>
        </w:rPr>
        <w:t>המהרש"א לקמן</w:t>
      </w:r>
      <w:r>
        <w:rPr>
          <w:rtl/>
        </w:rPr>
        <w:fldChar w:fldCharType="begin"/>
      </w:r>
      <w:r>
        <w:rPr>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Ref60306072 \h</w:instrText>
      </w:r>
      <w:r>
        <w:rPr>
          <w:vertAlign w:val="superscript"/>
          <w:rtl/>
        </w:rPr>
        <w:instrText xml:space="preserve"> </w:instrText>
      </w:r>
      <w:r>
        <w:rPr>
          <w:rtl/>
        </w:rPr>
      </w:r>
      <w:r>
        <w:rPr>
          <w:rtl/>
        </w:rPr>
        <w:fldChar w:fldCharType="separate"/>
      </w:r>
      <w:r w:rsidR="00265073">
        <w:rPr>
          <w:vertAlign w:val="superscript"/>
          <w:rtl/>
        </w:rPr>
        <w:t>69</w:t>
      </w:r>
      <w:r>
        <w:rPr>
          <w:rtl/>
        </w:rPr>
        <w:fldChar w:fldCharType="end"/>
      </w:r>
      <w:r w:rsidRPr="00B16DE1">
        <w:rPr>
          <w:rStyle w:val="aff6"/>
          <w:rFonts w:hint="cs"/>
          <w:rtl/>
        </w:rPr>
        <w:t xml:space="preserve">(עי' אות </w:t>
      </w:r>
      <w:r w:rsidRPr="00B16DE1">
        <w:rPr>
          <w:rStyle w:val="aff6"/>
          <w:rtl/>
        </w:rPr>
        <w:fldChar w:fldCharType="begin"/>
      </w:r>
      <w:r w:rsidRPr="00B16DE1">
        <w:rPr>
          <w:rStyle w:val="aff6"/>
          <w:rtl/>
        </w:rPr>
        <w:instrText xml:space="preserve"> </w:instrText>
      </w:r>
      <w:r w:rsidRPr="00B16DE1">
        <w:rPr>
          <w:rStyle w:val="aff6"/>
          <w:rFonts w:hint="cs"/>
        </w:rPr>
        <w:instrText>REF</w:instrText>
      </w:r>
      <w:r w:rsidRPr="00B16DE1">
        <w:rPr>
          <w:rStyle w:val="aff6"/>
          <w:rFonts w:hint="cs"/>
          <w:rtl/>
        </w:rPr>
        <w:instrText xml:space="preserve"> _</w:instrText>
      </w:r>
      <w:r w:rsidRPr="00B16DE1">
        <w:rPr>
          <w:rStyle w:val="aff6"/>
          <w:rFonts w:hint="cs"/>
        </w:rPr>
        <w:instrText>Ref60243245 \r \h</w:instrText>
      </w:r>
      <w:r w:rsidRPr="00B16DE1">
        <w:rPr>
          <w:rStyle w:val="aff6"/>
          <w:rtl/>
        </w:rPr>
        <w:instrText xml:space="preserve"> </w:instrText>
      </w:r>
      <w:r w:rsidRPr="00B16DE1">
        <w:rPr>
          <w:rStyle w:val="aff6"/>
          <w:rtl/>
        </w:rPr>
      </w:r>
      <w:r w:rsidRPr="00B16DE1">
        <w:rPr>
          <w:rStyle w:val="aff6"/>
          <w:rtl/>
        </w:rPr>
        <w:fldChar w:fldCharType="separate"/>
      </w:r>
      <w:r w:rsidR="00265073">
        <w:rPr>
          <w:rStyle w:val="aff6"/>
          <w:cs/>
        </w:rPr>
        <w:t>‎</w:t>
      </w:r>
      <w:r w:rsidR="00265073">
        <w:rPr>
          <w:rStyle w:val="aff6"/>
          <w:rtl/>
        </w:rPr>
        <w:t>ג)</w:t>
      </w:r>
      <w:r w:rsidRPr="00B16DE1">
        <w:rPr>
          <w:rStyle w:val="aff6"/>
          <w:rtl/>
        </w:rPr>
        <w:fldChar w:fldCharType="end"/>
      </w:r>
      <w:r w:rsidRPr="00B16DE1">
        <w:rPr>
          <w:rStyle w:val="aff6"/>
          <w:rFonts w:hint="cs"/>
          <w:rtl/>
        </w:rPr>
        <w:t xml:space="preserve"> </w:t>
      </w:r>
      <w:r w:rsidRPr="008C64AE">
        <w:rPr>
          <w:rStyle w:val="afb"/>
          <w:rFonts w:hint="cs"/>
          <w:rtl/>
        </w:rPr>
        <w:t xml:space="preserve">מדברי </w:t>
      </w:r>
      <w:r>
        <w:rPr>
          <w:rStyle w:val="affa"/>
          <w:rFonts w:hint="cs"/>
          <w:rtl/>
        </w:rPr>
        <w:t>הרשב</w:t>
      </w:r>
      <w:r w:rsidRPr="008C64AE">
        <w:rPr>
          <w:rStyle w:val="affa"/>
          <w:rFonts w:hint="cs"/>
          <w:rtl/>
        </w:rPr>
        <w:t>"</w:t>
      </w:r>
      <w:r>
        <w:rPr>
          <w:rStyle w:val="affa"/>
          <w:rFonts w:hint="cs"/>
          <w:rtl/>
        </w:rPr>
        <w:t>ם</w:t>
      </w:r>
      <w:r w:rsidRPr="008C64AE">
        <w:rPr>
          <w:rStyle w:val="affa"/>
          <w:rFonts w:hint="cs"/>
          <w:rtl/>
        </w:rPr>
        <w:t xml:space="preserve"> לקמן</w:t>
      </w:r>
      <w:r>
        <w:rPr>
          <w:rStyle w:val="afb"/>
          <w:rFonts w:hint="cs"/>
          <w:rtl/>
        </w:rPr>
        <w:t xml:space="preserve"> דבחד יומא</w:t>
      </w:r>
      <w:r w:rsidRPr="00B16DE1">
        <w:rPr>
          <w:rStyle w:val="afb"/>
          <w:rFonts w:hint="cs"/>
          <w:rtl/>
        </w:rPr>
        <w:t xml:space="preserve"> </w:t>
      </w:r>
      <w:r>
        <w:rPr>
          <w:rStyle w:val="afb"/>
          <w:rFonts w:hint="cs"/>
          <w:rtl/>
        </w:rPr>
        <w:t>צריך עדים,</w:t>
      </w:r>
      <w:r w:rsidRPr="00827D19">
        <w:rPr>
          <w:rStyle w:val="afb"/>
          <w:rFonts w:hint="cs"/>
          <w:rtl/>
        </w:rPr>
        <w:t xml:space="preserve"> </w:t>
      </w:r>
      <w:r>
        <w:rPr>
          <w:rStyle w:val="afb"/>
          <w:rFonts w:hint="cs"/>
          <w:rtl/>
        </w:rPr>
        <w:t xml:space="preserve">ועי' במ"ש </w:t>
      </w:r>
      <w:r w:rsidRPr="008C64AE">
        <w:rPr>
          <w:rStyle w:val="affa"/>
          <w:rFonts w:hint="cs"/>
          <w:rtl/>
        </w:rPr>
        <w:t>התוס'</w:t>
      </w:r>
      <w:r w:rsidRPr="008C64AE">
        <w:rPr>
          <w:rStyle w:val="afb"/>
          <w:rFonts w:hint="cs"/>
          <w:rtl/>
        </w:rPr>
        <w:t xml:space="preserve"> </w:t>
      </w:r>
      <w:r w:rsidRPr="004C22B6">
        <w:rPr>
          <w:rStyle w:val="aff6"/>
          <w:rFonts w:hint="cs"/>
          <w:rtl/>
        </w:rPr>
        <w:t xml:space="preserve">(עי' אות </w:t>
      </w:r>
      <w:r w:rsidRPr="004C22B6">
        <w:rPr>
          <w:rStyle w:val="aff6"/>
          <w:rtl/>
        </w:rPr>
        <w:fldChar w:fldCharType="begin"/>
      </w:r>
      <w:r w:rsidRPr="004C22B6">
        <w:rPr>
          <w:rStyle w:val="aff6"/>
          <w:rtl/>
        </w:rPr>
        <w:instrText xml:space="preserve"> </w:instrText>
      </w:r>
      <w:r w:rsidRPr="004C22B6">
        <w:rPr>
          <w:rStyle w:val="aff6"/>
          <w:rFonts w:hint="cs"/>
        </w:rPr>
        <w:instrText>REF</w:instrText>
      </w:r>
      <w:r w:rsidRPr="004C22B6">
        <w:rPr>
          <w:rStyle w:val="aff6"/>
          <w:rFonts w:hint="cs"/>
          <w:rtl/>
        </w:rPr>
        <w:instrText xml:space="preserve"> _</w:instrText>
      </w:r>
      <w:r w:rsidRPr="004C22B6">
        <w:rPr>
          <w:rStyle w:val="aff6"/>
          <w:rFonts w:hint="cs"/>
        </w:rPr>
        <w:instrText>Ref60243410 \r \h</w:instrText>
      </w:r>
      <w:r w:rsidRPr="004C22B6">
        <w:rPr>
          <w:rStyle w:val="aff6"/>
          <w:rtl/>
        </w:rPr>
        <w:instrText xml:space="preserve"> </w:instrText>
      </w:r>
      <w:r w:rsidRPr="004C22B6">
        <w:rPr>
          <w:rStyle w:val="aff6"/>
          <w:rtl/>
        </w:rPr>
      </w:r>
      <w:r w:rsidRPr="004C22B6">
        <w:rPr>
          <w:rStyle w:val="aff6"/>
          <w:rtl/>
        </w:rPr>
        <w:fldChar w:fldCharType="separate"/>
      </w:r>
      <w:r w:rsidR="00265073">
        <w:rPr>
          <w:rStyle w:val="aff6"/>
          <w:cs/>
        </w:rPr>
        <w:t>‎</w:t>
      </w:r>
      <w:r w:rsidR="00265073">
        <w:rPr>
          <w:rStyle w:val="aff6"/>
          <w:rtl/>
        </w:rPr>
        <w:t>ט)</w:t>
      </w:r>
      <w:r w:rsidRPr="004C22B6">
        <w:rPr>
          <w:rStyle w:val="aff6"/>
          <w:rtl/>
        </w:rPr>
        <w:fldChar w:fldCharType="end"/>
      </w:r>
      <w:r w:rsidRPr="008C64AE">
        <w:rPr>
          <w:rStyle w:val="afb"/>
          <w:rFonts w:hint="cs"/>
          <w:rtl/>
        </w:rPr>
        <w:t xml:space="preserve"> דנאמן בקמי דידי דר בה חד יומא אף בלא חזקה</w:t>
      </w:r>
      <w:r>
        <w:rPr>
          <w:rStyle w:val="afb"/>
          <w:rFonts w:hint="cs"/>
          <w:rtl/>
        </w:rPr>
        <w:t>, במיגו דלהד"ם, ולא רק בחזקה במיגו דמינך זבינתה</w:t>
      </w:r>
      <w:r w:rsidRPr="008C64AE">
        <w:rPr>
          <w:rStyle w:val="afb"/>
          <w:rFonts w:hint="cs"/>
          <w:rtl/>
        </w:rPr>
        <w:t>]</w:t>
      </w:r>
      <w:bookmarkEnd w:id="10426"/>
      <w:r>
        <w:rPr>
          <w:rStyle w:val="afb"/>
          <w:rFonts w:hint="cs"/>
          <w:rtl/>
        </w:rPr>
        <w:t>,</w:t>
      </w:r>
      <w:r>
        <w:rPr>
          <w:rFonts w:hint="cs"/>
          <w:rtl/>
        </w:rPr>
        <w:t xml:space="preserve"> ועי' במה שדחה </w:t>
      </w:r>
      <w:r w:rsidRPr="009931ED">
        <w:rPr>
          <w:rStyle w:val="af9"/>
          <w:rFonts w:hint="cs"/>
          <w:rtl/>
        </w:rPr>
        <w:t>הקרני ראם</w:t>
      </w:r>
      <w:r>
        <w:rPr>
          <w:rFonts w:hint="cs"/>
          <w:rtl/>
        </w:rPr>
        <w:t xml:space="preserve"> </w:t>
      </w:r>
      <w:r w:rsidRPr="002159DE">
        <w:rPr>
          <w:rStyle w:val="af7"/>
          <w:rFonts w:eastAsia="Guttman Hodes" w:hint="cs"/>
          <w:rtl/>
        </w:rPr>
        <w:t xml:space="preserve">(עי' אות </w:t>
      </w:r>
      <w:r w:rsidRPr="002159DE">
        <w:rPr>
          <w:rStyle w:val="af7"/>
          <w:rFonts w:eastAsia="Guttman Hodes"/>
          <w:rtl/>
        </w:rPr>
        <w:fldChar w:fldCharType="begin"/>
      </w:r>
      <w:r w:rsidRPr="002159DE">
        <w:rPr>
          <w:rStyle w:val="af7"/>
          <w:rFonts w:eastAsia="Guttman Hodes"/>
          <w:rtl/>
        </w:rPr>
        <w:instrText xml:space="preserve"> </w:instrText>
      </w:r>
      <w:r w:rsidRPr="002159DE">
        <w:rPr>
          <w:rStyle w:val="af7"/>
          <w:rFonts w:eastAsia="Guttman Hodes" w:hint="cs"/>
        </w:rPr>
        <w:instrText>REF</w:instrText>
      </w:r>
      <w:r w:rsidRPr="002159DE">
        <w:rPr>
          <w:rStyle w:val="af7"/>
          <w:rFonts w:eastAsia="Guttman Hodes" w:hint="cs"/>
          <w:rtl/>
        </w:rPr>
        <w:instrText xml:space="preserve"> _</w:instrText>
      </w:r>
      <w:r w:rsidRPr="002159DE">
        <w:rPr>
          <w:rStyle w:val="af7"/>
          <w:rFonts w:eastAsia="Guttman Hodes" w:hint="cs"/>
        </w:rPr>
        <w:instrText>Ref60241980 \r \h</w:instrText>
      </w:r>
      <w:r w:rsidRPr="002159DE">
        <w:rPr>
          <w:rStyle w:val="af7"/>
          <w:rFonts w:eastAsia="Guttman Hodes"/>
          <w:rtl/>
        </w:rPr>
        <w:instrText xml:space="preserve"> </w:instrText>
      </w:r>
      <w:r w:rsidRPr="002159DE">
        <w:rPr>
          <w:rStyle w:val="af7"/>
          <w:rFonts w:eastAsia="Guttman Hodes"/>
          <w:rtl/>
        </w:rPr>
      </w:r>
      <w:r w:rsidRPr="002159DE">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2159DE">
        <w:rPr>
          <w:rStyle w:val="af7"/>
          <w:rFonts w:eastAsia="Guttman Hodes"/>
          <w:rtl/>
        </w:rPr>
        <w:fldChar w:fldCharType="end"/>
      </w:r>
      <w:r w:rsidRPr="00D8182F">
        <w:rPr>
          <w:rFonts w:hint="cs"/>
          <w:rtl/>
        </w:rPr>
        <w:t>.</w:t>
      </w:r>
      <w:bookmarkEnd w:id="10427"/>
    </w:p>
    <w:p w:rsidR="006A4297" w:rsidRPr="00FB17B3" w:rsidRDefault="006A4297" w:rsidP="006A4297">
      <w:pPr>
        <w:pStyle w:val="a3"/>
      </w:pPr>
      <w:bookmarkStart w:id="10429" w:name="_Toc60589172"/>
      <w:bookmarkStart w:id="10430" w:name="_Toc60612586"/>
      <w:bookmarkStart w:id="10431" w:name="_Toc60616427"/>
      <w:bookmarkStart w:id="10432" w:name="_Toc60678181"/>
      <w:r>
        <w:rPr>
          <w:rFonts w:hint="cs"/>
          <w:rtl/>
        </w:rPr>
        <w:t>ביאור המהרש"א ברשב"ם דנקט עדים כיון שבראיה שהביא מלקמן שצריך חזקה איירי בעדים</w:t>
      </w:r>
      <w:bookmarkEnd w:id="10429"/>
      <w:bookmarkEnd w:id="10430"/>
      <w:bookmarkEnd w:id="10431"/>
      <w:bookmarkEnd w:id="10432"/>
    </w:p>
    <w:p w:rsidR="006A4297" w:rsidRDefault="006A4297" w:rsidP="007E4E81">
      <w:pPr>
        <w:pStyle w:val="a0"/>
        <w:rPr>
          <w:rtl/>
        </w:rPr>
      </w:pPr>
      <w:r>
        <w:rPr>
          <w:rFonts w:hint="cs"/>
          <w:rtl/>
        </w:rPr>
        <w:t xml:space="preserve">וביאר </w:t>
      </w:r>
      <w:r w:rsidRPr="00922E4E">
        <w:rPr>
          <w:rStyle w:val="af9"/>
          <w:rFonts w:hint="cs"/>
          <w:rtl/>
        </w:rPr>
        <w:t xml:space="preserve">המהרש"א </w:t>
      </w:r>
      <w:r>
        <w:rPr>
          <w:rStyle w:val="af9"/>
          <w:rFonts w:hint="cs"/>
          <w:rtl/>
        </w:rPr>
        <w:t>ד</w:t>
      </w:r>
      <w:r w:rsidRPr="004F680D">
        <w:rPr>
          <w:rStyle w:val="af9"/>
          <w:rFonts w:hint="cs"/>
          <w:rtl/>
        </w:rPr>
        <w:t>הרשב"ם</w:t>
      </w:r>
      <w:r>
        <w:rPr>
          <w:rFonts w:hint="cs"/>
          <w:rtl/>
        </w:rPr>
        <w:t xml:space="preserve"> נקט שיש לו עדים, כיון שהביא ראיה מהגמ' לקמן </w:t>
      </w:r>
      <w:r w:rsidRPr="00465D1F">
        <w:rPr>
          <w:rStyle w:val="af7"/>
          <w:rFonts w:eastAsia="Guttman Hodes" w:hint="cs"/>
          <w:rtl/>
        </w:rPr>
        <w:t>(מא:)</w:t>
      </w:r>
      <w:r>
        <w:rPr>
          <w:rFonts w:hint="cs"/>
          <w:rtl/>
        </w:rPr>
        <w:t xml:space="preserve"> דנאמן רק בחזקה, והתם איירי שיש לו עידי חד יומא, או שטען קמי דידי זבנה, </w:t>
      </w:r>
      <w:bookmarkEnd w:id="10428"/>
      <w:r>
        <w:rPr>
          <w:rFonts w:hint="cs"/>
          <w:rtl/>
        </w:rPr>
        <w:t xml:space="preserve">ועי' במה שביאר </w:t>
      </w:r>
      <w:r w:rsidRPr="00F729BB">
        <w:rPr>
          <w:rStyle w:val="af9"/>
          <w:rFonts w:hint="cs"/>
          <w:rtl/>
        </w:rPr>
        <w:t>התומים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Ref60587323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Pr>
          <w:rStyle w:val="af7"/>
          <w:rFonts w:eastAsia="Guttman Hodes"/>
          <w:rtl/>
        </w:rPr>
        <w:fldChar w:fldCharType="end"/>
      </w:r>
      <w:r>
        <w:rPr>
          <w:rStyle w:val="af7"/>
          <w:rFonts w:eastAsia="Guttman Hodes" w:hint="cs"/>
          <w:rtl/>
        </w:rPr>
        <w:t xml:space="preserve"> </w:t>
      </w:r>
      <w:r>
        <w:rPr>
          <w:rFonts w:hint="cs"/>
          <w:rtl/>
        </w:rPr>
        <w:t xml:space="preserve">מה הוקשה </w:t>
      </w:r>
      <w:r>
        <w:rPr>
          <w:rStyle w:val="af9"/>
          <w:rFonts w:hint="cs"/>
          <w:rtl/>
        </w:rPr>
        <w:t>ל</w:t>
      </w:r>
      <w:r w:rsidRPr="002159DE">
        <w:rPr>
          <w:rStyle w:val="af9"/>
          <w:rFonts w:hint="cs"/>
          <w:rtl/>
        </w:rPr>
        <w:t>מהרש"א</w:t>
      </w:r>
      <w:r>
        <w:rPr>
          <w:rFonts w:hint="cs"/>
          <w:rtl/>
        </w:rPr>
        <w:t xml:space="preserve">, אך כתב </w:t>
      </w:r>
      <w:r w:rsidRPr="00F729BB">
        <w:rPr>
          <w:rStyle w:val="af9"/>
          <w:rFonts w:hint="cs"/>
          <w:rtl/>
        </w:rPr>
        <w:t>התומים</w:t>
      </w:r>
      <w:r>
        <w:rPr>
          <w:rFonts w:hint="cs"/>
          <w:rtl/>
        </w:rPr>
        <w:t xml:space="preserve"> דביאור </w:t>
      </w:r>
      <w:r w:rsidRPr="007342F4">
        <w:rPr>
          <w:rStyle w:val="af9"/>
          <w:rFonts w:hint="cs"/>
          <w:rtl/>
        </w:rPr>
        <w:t>המהרש"א</w:t>
      </w:r>
      <w:r>
        <w:rPr>
          <w:rFonts w:hint="cs"/>
          <w:rtl/>
        </w:rPr>
        <w:t xml:space="preserve"> הוא דחוק טובא.</w:t>
      </w:r>
    </w:p>
    <w:p w:rsidR="006A4297" w:rsidRDefault="006A4297" w:rsidP="006A4297">
      <w:pPr>
        <w:pStyle w:val="afe"/>
        <w:rPr>
          <w:rtl/>
        </w:rPr>
      </w:pPr>
      <w:bookmarkStart w:id="10433" w:name="_Toc60303774"/>
      <w:bookmarkStart w:id="10434" w:name="_Toc60357036"/>
      <w:bookmarkStart w:id="10435" w:name="_Toc60589173"/>
      <w:bookmarkStart w:id="10436" w:name="_Toc60612587"/>
      <w:bookmarkStart w:id="10437" w:name="_Toc60616428"/>
      <w:bookmarkStart w:id="10438" w:name="_Toc60678182"/>
      <w:r>
        <w:rPr>
          <w:rFonts w:hint="cs"/>
          <w:rtl/>
        </w:rPr>
        <w:t>ד' תוס' דבקמי דידי דר חד יומא</w:t>
      </w:r>
      <w:bookmarkEnd w:id="10433"/>
      <w:r w:rsidRPr="00CD3732">
        <w:rPr>
          <w:rFonts w:hint="cs"/>
          <w:rtl/>
        </w:rPr>
        <w:t xml:space="preserve"> </w:t>
      </w:r>
      <w:r>
        <w:rPr>
          <w:rFonts w:hint="cs"/>
          <w:rtl/>
        </w:rPr>
        <w:t>נאמן</w:t>
      </w:r>
      <w:bookmarkEnd w:id="10434"/>
      <w:bookmarkEnd w:id="10435"/>
      <w:bookmarkEnd w:id="10436"/>
      <w:bookmarkEnd w:id="10437"/>
      <w:bookmarkEnd w:id="10438"/>
    </w:p>
    <w:p w:rsidR="006A4297" w:rsidRDefault="006A4297" w:rsidP="006A4297">
      <w:pPr>
        <w:pStyle w:val="1"/>
      </w:pPr>
      <w:bookmarkStart w:id="10439" w:name="_Toc60303775"/>
      <w:bookmarkStart w:id="10440" w:name="_Toc60357037"/>
      <w:bookmarkStart w:id="10441" w:name="_Toc60589174"/>
      <w:bookmarkStart w:id="10442" w:name="_Toc60612588"/>
      <w:bookmarkStart w:id="10443" w:name="_Toc60616429"/>
      <w:bookmarkStart w:id="10444" w:name="_Toc60678183"/>
      <w:r>
        <w:rPr>
          <w:rFonts w:hint="cs"/>
          <w:rtl/>
        </w:rPr>
        <w:t>דעת הסוברים דמהני טענת חד יומא בלא עדים כשיש חזקה</w:t>
      </w:r>
      <w:bookmarkEnd w:id="10439"/>
      <w:bookmarkEnd w:id="10440"/>
      <w:bookmarkEnd w:id="10441"/>
      <w:bookmarkEnd w:id="10442"/>
      <w:bookmarkEnd w:id="10443"/>
      <w:bookmarkEnd w:id="10444"/>
    </w:p>
    <w:p w:rsidR="006A4297" w:rsidRDefault="006A4297" w:rsidP="006A4297">
      <w:pPr>
        <w:pStyle w:val="a3"/>
      </w:pPr>
      <w:bookmarkStart w:id="10445" w:name="_Toc60589175"/>
      <w:bookmarkStart w:id="10446" w:name="_Toc60612589"/>
      <w:bookmarkStart w:id="10447" w:name="_Toc60616430"/>
      <w:bookmarkStart w:id="10448" w:name="_Toc60678184"/>
      <w:r>
        <w:rPr>
          <w:rFonts w:hint="cs"/>
          <w:rtl/>
        </w:rPr>
        <w:t>דעת התוס' דכשאין עדים למערער בטענת קמי דידי דר בה חד יומא נאמן המחזיק בלא חזקה</w:t>
      </w:r>
      <w:bookmarkEnd w:id="10445"/>
      <w:bookmarkEnd w:id="10446"/>
      <w:bookmarkEnd w:id="10447"/>
      <w:bookmarkEnd w:id="10448"/>
      <w:r>
        <w:rPr>
          <w:rFonts w:hint="cs"/>
          <w:rtl/>
        </w:rPr>
        <w:t xml:space="preserve"> </w:t>
      </w:r>
    </w:p>
    <w:p w:rsidR="006A4297" w:rsidRPr="009F38AE" w:rsidRDefault="006A4297" w:rsidP="007E4E81">
      <w:pPr>
        <w:pStyle w:val="a0"/>
        <w:rPr>
          <w:rStyle w:val="afb"/>
          <w:rtl/>
        </w:rPr>
      </w:pPr>
      <w:bookmarkStart w:id="10449" w:name="_Ref59353903"/>
      <w:bookmarkStart w:id="10450" w:name="_Ref60243410"/>
      <w:bookmarkStart w:id="10451" w:name="_Ref60656918"/>
      <w:r w:rsidRPr="009F38AE">
        <w:rPr>
          <w:rFonts w:hint="cs"/>
          <w:rtl/>
        </w:rPr>
        <w:t xml:space="preserve">הביאו </w:t>
      </w:r>
      <w:r w:rsidRPr="009F38AE">
        <w:rPr>
          <w:rStyle w:val="af9"/>
          <w:rFonts w:hint="cs"/>
          <w:rtl/>
        </w:rPr>
        <w:t>התוס'</w:t>
      </w:r>
      <w:r w:rsidRPr="009F38AE">
        <w:rPr>
          <w:rFonts w:hint="cs"/>
          <w:rtl/>
        </w:rPr>
        <w:t xml:space="preserve"> </w:t>
      </w:r>
      <w:r w:rsidRPr="009F38AE">
        <w:rPr>
          <w:rStyle w:val="af7"/>
          <w:rFonts w:eastAsia="Guttman Hodes" w:hint="cs"/>
          <w:rtl/>
        </w:rPr>
        <w:t>(ריש ד"ה לאו קמודית)</w:t>
      </w:r>
      <w:r w:rsidRPr="009F38AE">
        <w:rPr>
          <w:rFonts w:hint="cs"/>
          <w:rtl/>
        </w:rPr>
        <w:t xml:space="preserve"> את דברי </w:t>
      </w:r>
      <w:r w:rsidRPr="009F38AE">
        <w:rPr>
          <w:rStyle w:val="af9"/>
          <w:rFonts w:hint="cs"/>
          <w:rtl/>
        </w:rPr>
        <w:t>הרשב"ם</w:t>
      </w:r>
      <w:r w:rsidRPr="009F38AE">
        <w:rPr>
          <w:rFonts w:hint="cs"/>
          <w:rtl/>
        </w:rPr>
        <w:t xml:space="preserve"> </w:t>
      </w:r>
      <w:r w:rsidRPr="009F38AE">
        <w:rPr>
          <w:rStyle w:val="af7"/>
          <w:rFonts w:eastAsia="Guttman Hodes" w:hint="cs"/>
          <w:rtl/>
        </w:rPr>
        <w:t xml:space="preserve">(עי' אות </w:t>
      </w:r>
      <w:r w:rsidRPr="009F38AE">
        <w:rPr>
          <w:rStyle w:val="af7"/>
          <w:rFonts w:eastAsia="Guttman Hodes"/>
          <w:rtl/>
        </w:rPr>
        <w:fldChar w:fldCharType="begin"/>
      </w:r>
      <w:r w:rsidRPr="009F38AE">
        <w:rPr>
          <w:rStyle w:val="af7"/>
          <w:rFonts w:eastAsia="Guttman Hodes"/>
          <w:rtl/>
        </w:rPr>
        <w:instrText xml:space="preserve"> </w:instrText>
      </w:r>
      <w:r w:rsidRPr="009F38AE">
        <w:rPr>
          <w:rStyle w:val="af7"/>
          <w:rFonts w:eastAsia="Guttman Hodes" w:hint="cs"/>
        </w:rPr>
        <w:instrText>REF</w:instrText>
      </w:r>
      <w:r w:rsidRPr="009F38AE">
        <w:rPr>
          <w:rStyle w:val="af7"/>
          <w:rFonts w:eastAsia="Guttman Hodes" w:hint="cs"/>
          <w:rtl/>
        </w:rPr>
        <w:instrText xml:space="preserve"> _</w:instrText>
      </w:r>
      <w:r w:rsidRPr="009F38AE">
        <w:rPr>
          <w:rStyle w:val="af7"/>
          <w:rFonts w:eastAsia="Guttman Hodes" w:hint="cs"/>
        </w:rPr>
        <w:instrText>Ref60222158 \r \h</w:instrText>
      </w:r>
      <w:r w:rsidRPr="009F38A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9F38AE">
        <w:rPr>
          <w:rStyle w:val="af7"/>
          <w:rFonts w:eastAsia="Guttman Hodes"/>
          <w:rtl/>
        </w:rPr>
      </w:r>
      <w:r w:rsidRPr="009F38AE">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9F38AE">
        <w:rPr>
          <w:rStyle w:val="af7"/>
          <w:rFonts w:eastAsia="Guttman Hodes"/>
          <w:rtl/>
        </w:rPr>
        <w:fldChar w:fldCharType="end"/>
      </w:r>
      <w:r w:rsidRPr="009F38AE">
        <w:rPr>
          <w:rStyle w:val="af7"/>
          <w:rFonts w:eastAsia="Guttman Hodes" w:hint="cs"/>
          <w:rtl/>
        </w:rPr>
        <w:t xml:space="preserve"> </w:t>
      </w:r>
      <w:r w:rsidRPr="009F38AE">
        <w:rPr>
          <w:rFonts w:hint="cs"/>
          <w:rtl/>
        </w:rPr>
        <w:t xml:space="preserve">דכשיש לו עידי חד יומא וחזקת ג"ש, נאמן במיגו, אך דחו </w:t>
      </w:r>
      <w:r w:rsidRPr="009F38AE">
        <w:rPr>
          <w:rStyle w:val="af9"/>
          <w:rFonts w:hint="cs"/>
          <w:rtl/>
        </w:rPr>
        <w:t>התוס'</w:t>
      </w:r>
      <w:r w:rsidRPr="009F38AE">
        <w:rPr>
          <w:rFonts w:hint="cs"/>
          <w:rtl/>
        </w:rPr>
        <w:t xml:space="preserve"> את דברי </w:t>
      </w:r>
      <w:r w:rsidRPr="009F38AE">
        <w:rPr>
          <w:rStyle w:val="af9"/>
          <w:rFonts w:hint="cs"/>
          <w:rtl/>
        </w:rPr>
        <w:t>הרשב"ם</w:t>
      </w:r>
      <w:r w:rsidRPr="009F38AE">
        <w:rPr>
          <w:rFonts w:hint="cs"/>
          <w:rtl/>
        </w:rPr>
        <w:t xml:space="preserve"> דאעפ"י דמבואר בגמ' לקמן, דכל שיש עדים למערער שהקרקע הייתה שלו,</w:t>
      </w:r>
      <w:r>
        <w:rPr>
          <w:rFonts w:hint="cs"/>
          <w:rtl/>
        </w:rPr>
        <w:t xml:space="preserve"> צריך עדים דדר בה חד יומא,</w:t>
      </w:r>
      <w:r w:rsidRPr="009F38AE">
        <w:rPr>
          <w:rFonts w:hint="cs"/>
          <w:rtl/>
        </w:rPr>
        <w:t xml:space="preserve"> מ"מ בסוגיין משמע דאין למערער עדים, כיון שאמר למחזיק "לאו קא מודית</w:t>
      </w:r>
      <w:r w:rsidRPr="009F38AE">
        <w:rPr>
          <w:rtl/>
        </w:rPr>
        <w:t>"</w:t>
      </w:r>
      <w:r w:rsidRPr="009F38AE">
        <w:rPr>
          <w:rFonts w:hint="cs"/>
          <w:rtl/>
        </w:rPr>
        <w:t xml:space="preserve">, ולכן אם היה טוען המחזיק למערער דקמי דידי זבנה מינך, וכן כשטוען שהמוכר החזיק בה חד יומא, </w:t>
      </w:r>
      <w:r w:rsidRPr="009F38AE">
        <w:rPr>
          <w:rStyle w:val="afb"/>
          <w:rFonts w:hint="cs"/>
          <w:rtl/>
        </w:rPr>
        <w:t>[אף שאין לו עדים ע"ז],</w:t>
      </w:r>
      <w:r w:rsidRPr="009F38AE">
        <w:rPr>
          <w:rFonts w:hint="cs"/>
          <w:rtl/>
        </w:rPr>
        <w:t xml:space="preserve"> נאמן אעפ"י שאין לו חזקת ג"ש, במיגו דהיה טוען שלא הייתה של המערער מעולם</w:t>
      </w:r>
      <w:bookmarkEnd w:id="10449"/>
      <w:r w:rsidRPr="009F38AE">
        <w:rPr>
          <w:rFonts w:hint="cs"/>
          <w:rtl/>
        </w:rPr>
        <w:t xml:space="preserve">, אך כתבו </w:t>
      </w:r>
      <w:r w:rsidRPr="009F38AE">
        <w:rPr>
          <w:rStyle w:val="af9"/>
          <w:rFonts w:hint="cs"/>
          <w:rtl/>
        </w:rPr>
        <w:t>התוס'</w:t>
      </w:r>
      <w:r w:rsidRPr="009F38AE">
        <w:rPr>
          <w:rFonts w:hint="cs"/>
          <w:rtl/>
        </w:rPr>
        <w:t xml:space="preserve"> דכיון שבתחילה הודה המחזיק ולא טען טענת ברי, אינו נאמן במיגו שהיה לו בתחילה, דהוא מיגו למפרע</w:t>
      </w:r>
      <w:r>
        <w:rPr>
          <w:rFonts w:hint="cs"/>
          <w:rtl/>
        </w:rPr>
        <w:t xml:space="preserve">, </w:t>
      </w:r>
      <w:r w:rsidRPr="009F38AE">
        <w:rPr>
          <w:rStyle w:val="afb"/>
          <w:rFonts w:hint="cs"/>
          <w:rtl/>
        </w:rPr>
        <w:t xml:space="preserve">[דין מיגו למפרע </w:t>
      </w:r>
      <w:r w:rsidR="00E0193B">
        <w:rPr>
          <w:rStyle w:val="afb"/>
          <w:rFonts w:hint="cs"/>
          <w:rtl/>
        </w:rPr>
        <w:t>ה</w:t>
      </w:r>
      <w:r w:rsidRPr="009F38AE">
        <w:rPr>
          <w:rStyle w:val="afb"/>
          <w:rFonts w:hint="cs"/>
          <w:rtl/>
        </w:rPr>
        <w:t xml:space="preserve">ובא </w:t>
      </w:r>
      <w:r w:rsidR="00E0193B">
        <w:rPr>
          <w:rStyle w:val="afb"/>
          <w:rFonts w:hint="cs"/>
          <w:rtl/>
        </w:rPr>
        <w:t>בסימן י"א</w:t>
      </w:r>
      <w:r w:rsidRPr="009F38AE">
        <w:rPr>
          <w:rStyle w:val="afb"/>
          <w:rFonts w:hint="cs"/>
          <w:rtl/>
        </w:rPr>
        <w:t>]</w:t>
      </w:r>
      <w:bookmarkEnd w:id="10450"/>
      <w:r>
        <w:rPr>
          <w:rStyle w:val="afb"/>
          <w:rFonts w:hint="cs"/>
          <w:rtl/>
        </w:rPr>
        <w:t>,</w:t>
      </w:r>
      <w:r w:rsidRPr="00B01C86">
        <w:rPr>
          <w:rFonts w:hint="cs"/>
          <w:rtl/>
        </w:rPr>
        <w:t xml:space="preserve"> </w:t>
      </w:r>
      <w:r>
        <w:rPr>
          <w:rFonts w:hint="cs"/>
          <w:rtl/>
        </w:rPr>
        <w:t xml:space="preserve">ועי' במה שביארו </w:t>
      </w:r>
      <w:r w:rsidRPr="008D1B15">
        <w:rPr>
          <w:rStyle w:val="af9"/>
          <w:rFonts w:hint="cs"/>
          <w:rtl/>
        </w:rPr>
        <w:t>בחו"ש הגרב"ב</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Ref60656539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Pr>
          <w:rStyle w:val="af7"/>
          <w:rFonts w:eastAsia="Guttman Hodes"/>
          <w:rtl/>
        </w:rPr>
        <w:fldChar w:fldCharType="end"/>
      </w:r>
      <w:r>
        <w:rPr>
          <w:rStyle w:val="af7"/>
          <w:rFonts w:eastAsia="Guttman Hodes" w:hint="cs"/>
          <w:rtl/>
        </w:rPr>
        <w:t xml:space="preserve"> </w:t>
      </w:r>
      <w:r>
        <w:rPr>
          <w:rStyle w:val="af9"/>
          <w:rFonts w:hint="cs"/>
          <w:rtl/>
        </w:rPr>
        <w:t>ו</w:t>
      </w:r>
      <w:r w:rsidRPr="007A2FAF">
        <w:rPr>
          <w:rStyle w:val="af9"/>
          <w:rFonts w:hint="cs"/>
          <w:rtl/>
        </w:rPr>
        <w:t>בחי'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Ref60675258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קכב)</w:t>
      </w:r>
      <w:r>
        <w:rPr>
          <w:rStyle w:val="af7"/>
          <w:rFonts w:eastAsia="Guttman Hodes"/>
          <w:rtl/>
        </w:rPr>
        <w:fldChar w:fldCharType="end"/>
      </w:r>
      <w:r>
        <w:rPr>
          <w:rFonts w:hint="cs"/>
          <w:rtl/>
        </w:rPr>
        <w:t xml:space="preserve"> בדברי </w:t>
      </w:r>
      <w:r w:rsidRPr="009F38AE">
        <w:rPr>
          <w:rStyle w:val="af9"/>
          <w:rFonts w:hint="cs"/>
          <w:rtl/>
        </w:rPr>
        <w:t>התוס'</w:t>
      </w:r>
      <w:r w:rsidRPr="009F38AE">
        <w:rPr>
          <w:rFonts w:hint="cs"/>
          <w:rtl/>
        </w:rPr>
        <w:t>.</w:t>
      </w:r>
      <w:bookmarkEnd w:id="10451"/>
      <w:r>
        <w:rPr>
          <w:rStyle w:val="afb"/>
          <w:rFonts w:hint="cs"/>
          <w:rtl/>
        </w:rPr>
        <w:t xml:space="preserve"> </w:t>
      </w:r>
    </w:p>
    <w:p w:rsidR="006A4297" w:rsidRPr="006F3764" w:rsidRDefault="006A4297" w:rsidP="006A4297">
      <w:pPr>
        <w:pStyle w:val="1"/>
        <w:rPr>
          <w:rtl/>
        </w:rPr>
      </w:pPr>
      <w:bookmarkStart w:id="10452" w:name="_Toc60357038"/>
      <w:bookmarkStart w:id="10453" w:name="_Toc60589176"/>
      <w:bookmarkStart w:id="10454" w:name="_Toc60612590"/>
      <w:bookmarkStart w:id="10455" w:name="_Toc60616431"/>
      <w:bookmarkStart w:id="10456" w:name="_Toc60678185"/>
      <w:r>
        <w:rPr>
          <w:rFonts w:hint="cs"/>
          <w:rtl/>
        </w:rPr>
        <w:t xml:space="preserve">דברי רבינו </w:t>
      </w:r>
      <w:r w:rsidRPr="006F3764">
        <w:rPr>
          <w:rFonts w:hint="cs"/>
          <w:rtl/>
        </w:rPr>
        <w:t>יונה</w:t>
      </w:r>
      <w:bookmarkEnd w:id="10452"/>
      <w:r>
        <w:rPr>
          <w:rFonts w:hint="cs"/>
          <w:rtl/>
        </w:rPr>
        <w:t xml:space="preserve"> בד' ר"י</w:t>
      </w:r>
      <w:r w:rsidRPr="006F3764">
        <w:rPr>
          <w:rFonts w:hint="cs"/>
          <w:rtl/>
        </w:rPr>
        <w:t xml:space="preserve"> </w:t>
      </w:r>
      <w:r>
        <w:rPr>
          <w:rFonts w:hint="cs"/>
          <w:rtl/>
        </w:rPr>
        <w:t>דבטען מתחילה קמי דידי נאמן במיגו</w:t>
      </w:r>
      <w:bookmarkEnd w:id="10453"/>
      <w:bookmarkEnd w:id="10454"/>
      <w:bookmarkEnd w:id="10455"/>
      <w:bookmarkEnd w:id="10456"/>
    </w:p>
    <w:p w:rsidR="006A4297" w:rsidRPr="006F3764" w:rsidRDefault="006A4297" w:rsidP="006A4297">
      <w:pPr>
        <w:pStyle w:val="a3"/>
        <w:rPr>
          <w:rtl/>
        </w:rPr>
      </w:pPr>
      <w:bookmarkStart w:id="10457" w:name="_Toc60589177"/>
      <w:bookmarkStart w:id="10458" w:name="_Toc60612591"/>
      <w:bookmarkStart w:id="10459" w:name="_Toc60616432"/>
      <w:bookmarkStart w:id="10460" w:name="_Toc60678186"/>
      <w:r w:rsidRPr="006F3764">
        <w:rPr>
          <w:rFonts w:hint="cs"/>
          <w:rtl/>
        </w:rPr>
        <w:t xml:space="preserve">קושית </w:t>
      </w:r>
      <w:r>
        <w:rPr>
          <w:rFonts w:hint="cs"/>
          <w:rtl/>
        </w:rPr>
        <w:t>רבינו יונה לקמן אמאי צריך עידי חד יומא ואינו נאמן בטענת חד יומא במיגו כשיש חזקה</w:t>
      </w:r>
      <w:bookmarkEnd w:id="10457"/>
      <w:bookmarkEnd w:id="10458"/>
      <w:bookmarkEnd w:id="10459"/>
      <w:bookmarkEnd w:id="10460"/>
    </w:p>
    <w:p w:rsidR="006A4297" w:rsidRPr="00345C5E" w:rsidRDefault="006A4297" w:rsidP="007E4E81">
      <w:pPr>
        <w:pStyle w:val="a0"/>
        <w:rPr>
          <w:sz w:val="10"/>
          <w:szCs w:val="14"/>
        </w:rPr>
      </w:pPr>
      <w:r w:rsidRPr="006F3764">
        <w:rPr>
          <w:rFonts w:hint="cs"/>
          <w:rtl/>
        </w:rPr>
        <w:t xml:space="preserve">בדברי רבי חייא בגמ' לקמן </w:t>
      </w:r>
      <w:r w:rsidRPr="006F3764">
        <w:rPr>
          <w:rStyle w:val="af7"/>
          <w:rFonts w:eastAsia="Guttman Hodes" w:hint="cs"/>
          <w:rtl/>
        </w:rPr>
        <w:t>(מא:)</w:t>
      </w:r>
      <w:r w:rsidRPr="006F3764">
        <w:rPr>
          <w:rFonts w:hint="cs"/>
          <w:rtl/>
        </w:rPr>
        <w:t xml:space="preserve"> דהצריך</w:t>
      </w:r>
      <w:r>
        <w:rPr>
          <w:rFonts w:hint="cs"/>
          <w:rtl/>
        </w:rPr>
        <w:t xml:space="preserve"> עידי חד יומא, וכן בדברי רב דאמר דמהני טענת קמי דידי זבנה, הקשה </w:t>
      </w:r>
      <w:r w:rsidRPr="00A36FCD">
        <w:rPr>
          <w:rStyle w:val="af9"/>
          <w:rFonts w:hint="cs"/>
          <w:rtl/>
        </w:rPr>
        <w:t>רבינו</w:t>
      </w:r>
      <w:r>
        <w:rPr>
          <w:rFonts w:hint="cs"/>
          <w:rtl/>
        </w:rPr>
        <w:t xml:space="preserve"> </w:t>
      </w:r>
      <w:r w:rsidRPr="00A36FCD">
        <w:rPr>
          <w:rStyle w:val="af9"/>
          <w:rFonts w:hint="cs"/>
          <w:rtl/>
        </w:rPr>
        <w:t>יונה</w:t>
      </w:r>
      <w:r>
        <w:rPr>
          <w:rFonts w:hint="cs"/>
          <w:rtl/>
        </w:rPr>
        <w:t xml:space="preserve"> </w:t>
      </w:r>
      <w:r w:rsidRPr="00A36FCD">
        <w:rPr>
          <w:rStyle w:val="af9"/>
          <w:rFonts w:hint="cs"/>
          <w:rtl/>
        </w:rPr>
        <w:t>לקמן</w:t>
      </w:r>
      <w:r>
        <w:rPr>
          <w:rFonts w:hint="cs"/>
          <w:rtl/>
        </w:rPr>
        <w:t xml:space="preserve"> </w:t>
      </w:r>
      <w:r w:rsidRPr="003C378A">
        <w:rPr>
          <w:rStyle w:val="af7"/>
          <w:rFonts w:eastAsia="Guttman Hodes" w:hint="cs"/>
          <w:rtl/>
        </w:rPr>
        <w:t>(מא: ד"ה ההוא)</w:t>
      </w:r>
      <w:r>
        <w:rPr>
          <w:rFonts w:hint="cs"/>
          <w:rtl/>
        </w:rPr>
        <w:t xml:space="preserve"> דכיון שיש למחזיק חזקת ג"ש, א"כ אמאי לא סגי בטענת חד יומא בלא עדים, במיגו דמינך זבינתה ואכלתי שני חזקה.</w:t>
      </w:r>
      <w:r>
        <w:rPr>
          <w:rFonts w:hint="cs"/>
          <w:sz w:val="10"/>
          <w:szCs w:val="14"/>
          <w:rtl/>
        </w:rPr>
        <w:t xml:space="preserve"> [ועי' במה שתירץ </w:t>
      </w:r>
      <w:r w:rsidRPr="001A784F">
        <w:rPr>
          <w:rStyle w:val="affa"/>
          <w:rFonts w:hint="cs"/>
          <w:rtl/>
        </w:rPr>
        <w:t>רבינו יונה לקמן בתירוצו הא'</w:t>
      </w:r>
      <w:r>
        <w:rPr>
          <w:rFonts w:hint="cs"/>
          <w:sz w:val="10"/>
          <w:szCs w:val="14"/>
          <w:rtl/>
        </w:rPr>
        <w:t xml:space="preserve"> </w:t>
      </w:r>
      <w:r w:rsidRPr="00A87C6F">
        <w:rPr>
          <w:rStyle w:val="aff6"/>
          <w:rFonts w:hint="cs"/>
          <w:rtl/>
        </w:rPr>
        <w:t xml:space="preserve">(עי' אות </w:t>
      </w:r>
      <w:r w:rsidRPr="00A87C6F">
        <w:rPr>
          <w:rStyle w:val="aff6"/>
          <w:rtl/>
        </w:rPr>
        <w:fldChar w:fldCharType="begin"/>
      </w:r>
      <w:r w:rsidRPr="00A87C6F">
        <w:rPr>
          <w:rStyle w:val="aff6"/>
          <w:rtl/>
        </w:rPr>
        <w:instrText xml:space="preserve"> </w:instrText>
      </w:r>
      <w:r w:rsidRPr="00A87C6F">
        <w:rPr>
          <w:rStyle w:val="aff6"/>
          <w:rFonts w:hint="cs"/>
        </w:rPr>
        <w:instrText>REF</w:instrText>
      </w:r>
      <w:r w:rsidRPr="00A87C6F">
        <w:rPr>
          <w:rStyle w:val="aff6"/>
          <w:rFonts w:hint="cs"/>
          <w:rtl/>
        </w:rPr>
        <w:instrText xml:space="preserve"> _</w:instrText>
      </w:r>
      <w:r w:rsidRPr="00A87C6F">
        <w:rPr>
          <w:rStyle w:val="aff6"/>
          <w:rFonts w:hint="cs"/>
        </w:rPr>
        <w:instrText>Ref60334311 \r \h</w:instrText>
      </w:r>
      <w:r w:rsidRPr="00A87C6F">
        <w:rPr>
          <w:rStyle w:val="aff6"/>
          <w:rtl/>
        </w:rPr>
        <w:instrText xml:space="preserve"> </w:instrText>
      </w:r>
      <w:r w:rsidRPr="00A87C6F">
        <w:rPr>
          <w:rStyle w:val="aff6"/>
          <w:rtl/>
        </w:rPr>
      </w:r>
      <w:r w:rsidRPr="00A87C6F">
        <w:rPr>
          <w:rStyle w:val="aff6"/>
          <w:rtl/>
        </w:rPr>
        <w:fldChar w:fldCharType="separate"/>
      </w:r>
      <w:r w:rsidR="00265073">
        <w:rPr>
          <w:rStyle w:val="aff6"/>
          <w:cs/>
        </w:rPr>
        <w:t>‎</w:t>
      </w:r>
      <w:r w:rsidR="00265073">
        <w:rPr>
          <w:rStyle w:val="aff6"/>
          <w:rtl/>
        </w:rPr>
        <w:t>כט)</w:t>
      </w:r>
      <w:r w:rsidRPr="00A87C6F">
        <w:rPr>
          <w:rStyle w:val="aff6"/>
          <w:rtl/>
        </w:rPr>
        <w:fldChar w:fldCharType="end"/>
      </w:r>
      <w:r>
        <w:rPr>
          <w:rFonts w:hint="cs"/>
          <w:sz w:val="10"/>
          <w:szCs w:val="14"/>
          <w:rtl/>
        </w:rPr>
        <w:t>].</w:t>
      </w:r>
    </w:p>
    <w:p w:rsidR="006A4297" w:rsidRPr="0089225E" w:rsidRDefault="006A4297" w:rsidP="006A4297">
      <w:pPr>
        <w:pStyle w:val="a3"/>
        <w:rPr>
          <w:rtl/>
        </w:rPr>
      </w:pPr>
      <w:bookmarkStart w:id="10461" w:name="_Toc60589178"/>
      <w:bookmarkStart w:id="10462" w:name="_Toc60612592"/>
      <w:bookmarkStart w:id="10463" w:name="_Toc60616433"/>
      <w:bookmarkStart w:id="10464" w:name="_Toc60678187"/>
      <w:r>
        <w:rPr>
          <w:rFonts w:hint="cs"/>
          <w:rtl/>
        </w:rPr>
        <w:t>תי' רבינו יונה בשם ר"י דבטען מתחילה קמי דידי נאמן במיגו ובהודה מתחילה הוא מיגו למפרע</w:t>
      </w:r>
      <w:bookmarkEnd w:id="10461"/>
      <w:bookmarkEnd w:id="10462"/>
      <w:bookmarkEnd w:id="10463"/>
      <w:bookmarkEnd w:id="10464"/>
    </w:p>
    <w:p w:rsidR="006A4297" w:rsidRDefault="006A4297" w:rsidP="007E4E81">
      <w:pPr>
        <w:pStyle w:val="a0"/>
        <w:rPr>
          <w:rStyle w:val="afb"/>
          <w:rtl/>
        </w:rPr>
      </w:pPr>
      <w:bookmarkStart w:id="10465" w:name="_Ref60333209"/>
      <w:r>
        <w:rPr>
          <w:rFonts w:hint="cs"/>
          <w:rtl/>
        </w:rPr>
        <w:t xml:space="preserve">ותירץ </w:t>
      </w:r>
      <w:r w:rsidRPr="00A36FCD">
        <w:rPr>
          <w:rStyle w:val="af9"/>
          <w:rFonts w:hint="cs"/>
          <w:rtl/>
        </w:rPr>
        <w:t>רבינו</w:t>
      </w:r>
      <w:r>
        <w:rPr>
          <w:rFonts w:hint="cs"/>
          <w:rtl/>
        </w:rPr>
        <w:t xml:space="preserve"> </w:t>
      </w:r>
      <w:r w:rsidRPr="00A36FCD">
        <w:rPr>
          <w:rStyle w:val="af9"/>
          <w:rFonts w:hint="cs"/>
          <w:rtl/>
        </w:rPr>
        <w:t>יונה</w:t>
      </w:r>
      <w:r>
        <w:rPr>
          <w:rFonts w:hint="cs"/>
          <w:rtl/>
        </w:rPr>
        <w:t xml:space="preserve"> </w:t>
      </w:r>
      <w:r w:rsidRPr="00A36FCD">
        <w:rPr>
          <w:rStyle w:val="af9"/>
          <w:rFonts w:hint="cs"/>
          <w:rtl/>
        </w:rPr>
        <w:t>לקמן</w:t>
      </w:r>
      <w:r w:rsidRPr="001A784F">
        <w:rPr>
          <w:rStyle w:val="af9"/>
          <w:rFonts w:hint="cs"/>
          <w:rtl/>
        </w:rPr>
        <w:t xml:space="preserve"> </w:t>
      </w:r>
      <w:r>
        <w:rPr>
          <w:rStyle w:val="af9"/>
          <w:rFonts w:hint="cs"/>
          <w:rtl/>
        </w:rPr>
        <w:t>בתירוצו הב'</w:t>
      </w:r>
      <w:r>
        <w:rPr>
          <w:rFonts w:hint="cs"/>
          <w:rtl/>
        </w:rPr>
        <w:t xml:space="preserve"> </w:t>
      </w:r>
      <w:r w:rsidRPr="00AF37F1">
        <w:rPr>
          <w:rStyle w:val="af7"/>
          <w:rFonts w:eastAsia="Guttman Hodes" w:hint="cs"/>
          <w:rtl/>
        </w:rPr>
        <w:t>(מא: ד"ה ההוא)</w:t>
      </w:r>
      <w:r>
        <w:rPr>
          <w:rFonts w:hint="cs"/>
          <w:rtl/>
        </w:rPr>
        <w:t xml:space="preserve"> בשם </w:t>
      </w:r>
      <w:r>
        <w:rPr>
          <w:rStyle w:val="af9"/>
          <w:rFonts w:hint="cs"/>
          <w:rtl/>
        </w:rPr>
        <w:t>ר</w:t>
      </w:r>
      <w:r>
        <w:rPr>
          <w:rStyle w:val="af9"/>
          <w:rtl/>
        </w:rPr>
        <w:t>"</w:t>
      </w:r>
      <w:r>
        <w:rPr>
          <w:rStyle w:val="af9"/>
          <w:rFonts w:hint="cs"/>
          <w:rtl/>
        </w:rPr>
        <w:t>י בסוגיין</w:t>
      </w:r>
      <w:r>
        <w:rPr>
          <w:rFonts w:hint="cs"/>
          <w:rtl/>
        </w:rPr>
        <w:t xml:space="preserve"> </w:t>
      </w:r>
      <w:r w:rsidRPr="00100247">
        <w:rPr>
          <w:rStyle w:val="af7"/>
          <w:rFonts w:eastAsia="Guttman Hodes" w:hint="cs"/>
          <w:rtl/>
        </w:rPr>
        <w:t>(ד"ה לאו קמודית)</w:t>
      </w:r>
      <w:r>
        <w:rPr>
          <w:rFonts w:hint="cs"/>
          <w:rtl/>
        </w:rPr>
        <w:t xml:space="preserve"> דבאמת אם היה טוען מתחילה קמי דידי דר בה המוכר חד יומא ודאי דנאמן במיגו, </w:t>
      </w:r>
      <w:r w:rsidRPr="00DC1C50">
        <w:rPr>
          <w:rStyle w:val="afb"/>
          <w:rFonts w:hint="cs"/>
          <w:rtl/>
        </w:rPr>
        <w:t>[אעפ"י דאחר המיגו עדיין הוא צריך טענינן],</w:t>
      </w:r>
      <w:r>
        <w:rPr>
          <w:rFonts w:hint="cs"/>
          <w:rtl/>
        </w:rPr>
        <w:t xml:space="preserve"> אלא ביאר </w:t>
      </w:r>
      <w:r w:rsidRPr="00F25DEE">
        <w:rPr>
          <w:rStyle w:val="af9"/>
          <w:rFonts w:hint="cs"/>
          <w:rtl/>
        </w:rPr>
        <w:t>ר"י</w:t>
      </w:r>
      <w:r>
        <w:rPr>
          <w:rFonts w:hint="cs"/>
          <w:rtl/>
        </w:rPr>
        <w:t xml:space="preserve"> דהא דאמר רבי חייא דנאמן רק בעידי חד יומא, ולא בטענת קמי דידי דר בה חד יומא, הוא כיון דבתחילה לא טען כן, לכן אינו נאמן כשטוען כן אח"כ, דאין לו מיגו, דהא כיון שכבר הודה שקנה מהמוכר, א"כ אינו יכול לחזור ולטעון מינך זבינתה, ולא אמרינן דנאמן עכשיו במיגו שהיה יכול לטעון דהוא מיגו למפרע. </w:t>
      </w:r>
      <w:r w:rsidR="00E0193B">
        <w:rPr>
          <w:rStyle w:val="afb"/>
          <w:rFonts w:hint="cs"/>
          <w:rtl/>
        </w:rPr>
        <w:t>[דין מיגו למפרע ה</w:t>
      </w:r>
      <w:r w:rsidRPr="00DC1C50">
        <w:rPr>
          <w:rStyle w:val="afb"/>
          <w:rFonts w:hint="cs"/>
          <w:rtl/>
        </w:rPr>
        <w:t xml:space="preserve">ובא </w:t>
      </w:r>
      <w:r w:rsidR="00E0193B">
        <w:rPr>
          <w:rStyle w:val="afb"/>
          <w:rFonts w:hint="cs"/>
          <w:rtl/>
        </w:rPr>
        <w:t>בסימן י"א</w:t>
      </w:r>
      <w:r w:rsidRPr="00DC1C50">
        <w:rPr>
          <w:rStyle w:val="afb"/>
          <w:rFonts w:hint="cs"/>
          <w:rtl/>
        </w:rPr>
        <w:t>].</w:t>
      </w:r>
      <w:bookmarkEnd w:id="10465"/>
    </w:p>
    <w:p w:rsidR="006A4297" w:rsidRPr="00301628" w:rsidRDefault="006A4297" w:rsidP="006A4297">
      <w:pPr>
        <w:pStyle w:val="a3"/>
        <w:rPr>
          <w:rtl/>
        </w:rPr>
      </w:pPr>
    </w:p>
    <w:p w:rsidR="006A4297" w:rsidRDefault="006A4297" w:rsidP="006A4297">
      <w:pPr>
        <w:pStyle w:val="a3"/>
        <w:rPr>
          <w:rtl/>
        </w:rPr>
      </w:pPr>
      <w:bookmarkStart w:id="10466" w:name="_Toc60589179"/>
      <w:bookmarkStart w:id="10467" w:name="_Toc60612593"/>
      <w:bookmarkStart w:id="10468" w:name="_Toc60616434"/>
      <w:bookmarkStart w:id="10469" w:name="_Toc60678188"/>
      <w:r>
        <w:rPr>
          <w:rFonts w:hint="cs"/>
          <w:rtl/>
        </w:rPr>
        <w:t>קושית רבינו יונה דאיתא לקמן דיורש צריך ראיה ומשמע דנאמן רק בעידי חד יומא ולא בטענה</w:t>
      </w:r>
      <w:bookmarkEnd w:id="10466"/>
      <w:bookmarkEnd w:id="10467"/>
      <w:bookmarkEnd w:id="10468"/>
      <w:bookmarkEnd w:id="10469"/>
    </w:p>
    <w:p w:rsidR="006A4297" w:rsidRPr="00E746E1" w:rsidRDefault="006A4297" w:rsidP="007E4E81">
      <w:pPr>
        <w:pStyle w:val="a0"/>
        <w:rPr>
          <w:sz w:val="10"/>
          <w:szCs w:val="14"/>
          <w:rtl/>
        </w:rPr>
      </w:pPr>
      <w:bookmarkStart w:id="10470" w:name="_Ref60334592"/>
      <w:r>
        <w:rPr>
          <w:rFonts w:hint="cs"/>
          <w:rtl/>
        </w:rPr>
        <w:t xml:space="preserve">אך הקשה </w:t>
      </w:r>
      <w:r w:rsidRPr="00A36FCD">
        <w:rPr>
          <w:rStyle w:val="af9"/>
          <w:rFonts w:hint="cs"/>
          <w:rtl/>
        </w:rPr>
        <w:t>רבינו</w:t>
      </w:r>
      <w:r>
        <w:rPr>
          <w:rFonts w:hint="cs"/>
          <w:rtl/>
        </w:rPr>
        <w:t xml:space="preserve"> </w:t>
      </w:r>
      <w:r w:rsidRPr="00A36FCD">
        <w:rPr>
          <w:rStyle w:val="af9"/>
          <w:rFonts w:hint="cs"/>
          <w:rtl/>
        </w:rPr>
        <w:t>יונה</w:t>
      </w:r>
      <w:r>
        <w:rPr>
          <w:rFonts w:hint="cs"/>
          <w:rtl/>
        </w:rPr>
        <w:t xml:space="preserve"> </w:t>
      </w:r>
      <w:r w:rsidRPr="00A36FCD">
        <w:rPr>
          <w:rStyle w:val="af9"/>
          <w:rFonts w:hint="cs"/>
          <w:rtl/>
        </w:rPr>
        <w:t>לקמן</w:t>
      </w:r>
      <w:r>
        <w:rPr>
          <w:rFonts w:hint="cs"/>
          <w:rtl/>
        </w:rPr>
        <w:t xml:space="preserve"> </w:t>
      </w:r>
      <w:r w:rsidRPr="00C31BDD">
        <w:rPr>
          <w:rStyle w:val="af7"/>
          <w:rFonts w:eastAsia="Guttman Hodes" w:hint="cs"/>
          <w:rtl/>
        </w:rPr>
        <w:t>(מא: סוד"ה ההוא)</w:t>
      </w:r>
      <w:r>
        <w:rPr>
          <w:rFonts w:hint="cs"/>
          <w:rtl/>
        </w:rPr>
        <w:t xml:space="preserve"> </w:t>
      </w:r>
      <w:r w:rsidRPr="00184102">
        <w:rPr>
          <w:rFonts w:hint="cs"/>
          <w:rtl/>
        </w:rPr>
        <w:t>ד</w:t>
      </w:r>
      <w:r>
        <w:rPr>
          <w:rFonts w:hint="cs"/>
          <w:rtl/>
        </w:rPr>
        <w:t xml:space="preserve">הא דאמרינן בגמ' לקמן </w:t>
      </w:r>
      <w:r w:rsidRPr="00C31BDD">
        <w:rPr>
          <w:rStyle w:val="af7"/>
          <w:rFonts w:eastAsia="Guttman Hodes" w:hint="cs"/>
          <w:rtl/>
        </w:rPr>
        <w:t>(מא:)</w:t>
      </w:r>
      <w:r>
        <w:rPr>
          <w:rFonts w:hint="cs"/>
          <w:rtl/>
        </w:rPr>
        <w:t xml:space="preserve"> דהבא משום ירושה אינו צריך טענה, אבל הוא צריך ראיה, ומשמע דנאמן רק בעידי חד יומא, ולא בטענת קמי דידי דר בה חד יומא. </w:t>
      </w:r>
      <w:r w:rsidRPr="00C31BDD">
        <w:rPr>
          <w:rStyle w:val="afb"/>
          <w:rFonts w:hint="cs"/>
          <w:rtl/>
        </w:rPr>
        <w:t xml:space="preserve">[כדהוכיח </w:t>
      </w:r>
      <w:r w:rsidRPr="006B76F5">
        <w:rPr>
          <w:rStyle w:val="affa"/>
          <w:rFonts w:hint="cs"/>
          <w:rtl/>
        </w:rPr>
        <w:t>המהרש"א לקמן</w:t>
      </w:r>
      <w:r w:rsidRPr="00C31BDD">
        <w:rPr>
          <w:rStyle w:val="afb"/>
          <w:rFonts w:hint="cs"/>
          <w:rtl/>
        </w:rPr>
        <w:t xml:space="preserve"> </w:t>
      </w:r>
      <w:r w:rsidRPr="006B76F5">
        <w:rPr>
          <w:rStyle w:val="aff6"/>
          <w:rFonts w:hint="cs"/>
          <w:rtl/>
        </w:rPr>
        <w:t xml:space="preserve">(עי' אות </w:t>
      </w:r>
      <w:r w:rsidRPr="006B76F5">
        <w:rPr>
          <w:rStyle w:val="aff6"/>
          <w:rtl/>
        </w:rPr>
        <w:fldChar w:fldCharType="begin"/>
      </w:r>
      <w:r w:rsidRPr="006B76F5">
        <w:rPr>
          <w:rStyle w:val="aff6"/>
          <w:rtl/>
        </w:rPr>
        <w:instrText xml:space="preserve"> </w:instrText>
      </w:r>
      <w:r w:rsidRPr="006B76F5">
        <w:rPr>
          <w:rStyle w:val="aff6"/>
          <w:rFonts w:hint="cs"/>
        </w:rPr>
        <w:instrText>REF</w:instrText>
      </w:r>
      <w:r w:rsidRPr="006B76F5">
        <w:rPr>
          <w:rStyle w:val="aff6"/>
          <w:rFonts w:hint="cs"/>
          <w:rtl/>
        </w:rPr>
        <w:instrText xml:space="preserve"> _</w:instrText>
      </w:r>
      <w:r w:rsidRPr="006B76F5">
        <w:rPr>
          <w:rStyle w:val="aff6"/>
          <w:rFonts w:hint="cs"/>
        </w:rPr>
        <w:instrText>Ref60243245 \r \h</w:instrText>
      </w:r>
      <w:r w:rsidRPr="006B76F5">
        <w:rPr>
          <w:rStyle w:val="aff6"/>
          <w:rtl/>
        </w:rPr>
        <w:instrText xml:space="preserve"> </w:instrText>
      </w:r>
      <w:r w:rsidRPr="006B76F5">
        <w:rPr>
          <w:rStyle w:val="aff6"/>
          <w:rtl/>
        </w:rPr>
      </w:r>
      <w:r w:rsidRPr="006B76F5">
        <w:rPr>
          <w:rStyle w:val="aff6"/>
          <w:rtl/>
        </w:rPr>
        <w:fldChar w:fldCharType="separate"/>
      </w:r>
      <w:r w:rsidR="00265073">
        <w:rPr>
          <w:rStyle w:val="aff6"/>
          <w:cs/>
        </w:rPr>
        <w:t>‎</w:t>
      </w:r>
      <w:r w:rsidR="00265073">
        <w:rPr>
          <w:rStyle w:val="aff6"/>
          <w:rtl/>
        </w:rPr>
        <w:t>ג)</w:t>
      </w:r>
      <w:r w:rsidRPr="006B76F5">
        <w:rPr>
          <w:rStyle w:val="aff6"/>
          <w:rtl/>
        </w:rPr>
        <w:fldChar w:fldCharType="end"/>
      </w:r>
      <w:r w:rsidRPr="00C31BDD">
        <w:rPr>
          <w:rStyle w:val="afb"/>
          <w:rFonts w:hint="cs"/>
          <w:rtl/>
        </w:rPr>
        <w:t xml:space="preserve"> מדברי </w:t>
      </w:r>
      <w:r w:rsidRPr="006B76F5">
        <w:rPr>
          <w:rStyle w:val="affa"/>
          <w:rFonts w:hint="cs"/>
          <w:rtl/>
        </w:rPr>
        <w:t>הרשב"ם לקמן</w:t>
      </w:r>
      <w:r w:rsidRPr="00C31BDD">
        <w:rPr>
          <w:rStyle w:val="afb"/>
          <w:rFonts w:hint="cs"/>
          <w:rtl/>
        </w:rPr>
        <w:t>].</w:t>
      </w:r>
      <w:bookmarkEnd w:id="10470"/>
    </w:p>
    <w:p w:rsidR="006A4297" w:rsidRPr="00E746E1" w:rsidRDefault="006A4297" w:rsidP="006A4297">
      <w:pPr>
        <w:pStyle w:val="a3"/>
        <w:rPr>
          <w:rtl/>
        </w:rPr>
      </w:pPr>
      <w:bookmarkStart w:id="10471" w:name="_Toc60589180"/>
      <w:bookmarkStart w:id="10472" w:name="_Toc60612594"/>
      <w:bookmarkStart w:id="10473" w:name="_Toc60616435"/>
      <w:bookmarkStart w:id="10474" w:name="_Toc60678189"/>
      <w:r>
        <w:rPr>
          <w:rFonts w:hint="cs"/>
          <w:rtl/>
        </w:rPr>
        <w:t>תי' רבינו יונה בד' ר"י דרק בהודה מתחילה דהמיגו הוא למפרע צריך היורש להביא ראיה</w:t>
      </w:r>
      <w:bookmarkEnd w:id="10471"/>
      <w:bookmarkEnd w:id="10472"/>
      <w:bookmarkEnd w:id="10473"/>
      <w:bookmarkEnd w:id="10474"/>
    </w:p>
    <w:p w:rsidR="006A4297" w:rsidRDefault="006A4297" w:rsidP="007E4E81">
      <w:pPr>
        <w:pStyle w:val="a0"/>
        <w:rPr>
          <w:rtl/>
        </w:rPr>
      </w:pPr>
      <w:r>
        <w:rPr>
          <w:rFonts w:hint="cs"/>
          <w:rtl/>
        </w:rPr>
        <w:t xml:space="preserve">ותירץ </w:t>
      </w:r>
      <w:r w:rsidRPr="006303F6">
        <w:rPr>
          <w:rStyle w:val="af9"/>
          <w:rFonts w:hint="cs"/>
          <w:rtl/>
        </w:rPr>
        <w:t>רבינו יונה לקמן</w:t>
      </w:r>
      <w:r>
        <w:rPr>
          <w:rFonts w:hint="cs"/>
          <w:rtl/>
        </w:rPr>
        <w:t xml:space="preserve"> בדעת </w:t>
      </w:r>
      <w:r w:rsidRPr="006303F6">
        <w:rPr>
          <w:rStyle w:val="af9"/>
          <w:rFonts w:hint="cs"/>
          <w:rtl/>
        </w:rPr>
        <w:t>ר"י</w:t>
      </w:r>
      <w:r>
        <w:rPr>
          <w:rFonts w:hint="cs"/>
          <w:rtl/>
        </w:rPr>
        <w:t xml:space="preserve"> דהא דהיורש צריך להביא ראיה, היינו רק כיון שבתחילת דבריו טען שהוא יושב בקרקע מחמת ירושה, ולא טען קמי דידי דר בה חד יומא, לכן אינו נאמן אח"כ בטענת דדר בה חד יומא, בלא עדים, כיון שכבר אין לו מיגו דהא אינו יכול לטעון את טענת המיגו דמינך זבינתה, כיון שכבר טען בתחילת דבריו דהוא יושב בקרקע מחמת ירושה.</w:t>
      </w:r>
    </w:p>
    <w:p w:rsidR="006A4297" w:rsidRPr="006303F6" w:rsidRDefault="006A4297" w:rsidP="006A4297">
      <w:pPr>
        <w:pStyle w:val="a3"/>
        <w:rPr>
          <w:rtl/>
        </w:rPr>
      </w:pPr>
      <w:bookmarkStart w:id="10475" w:name="_Toc60589181"/>
      <w:bookmarkStart w:id="10476" w:name="_Toc60612595"/>
      <w:bookmarkStart w:id="10477" w:name="_Toc60616436"/>
      <w:bookmarkStart w:id="10478" w:name="_Toc60678190"/>
      <w:r>
        <w:rPr>
          <w:rFonts w:hint="cs"/>
          <w:rtl/>
        </w:rPr>
        <w:t>דברי התורא"ש דלמסקנא לקמן הא דל"מ מיגו בקמי דידי הוא בהודה מתחילה דהמיגו למפרע</w:t>
      </w:r>
      <w:bookmarkEnd w:id="10475"/>
      <w:bookmarkEnd w:id="10476"/>
      <w:bookmarkEnd w:id="10477"/>
      <w:bookmarkEnd w:id="10478"/>
    </w:p>
    <w:p w:rsidR="006A4297" w:rsidRDefault="006A4297" w:rsidP="007E4E81">
      <w:pPr>
        <w:pStyle w:val="a0"/>
        <w:rPr>
          <w:rtl/>
        </w:rPr>
      </w:pPr>
      <w:r>
        <w:rPr>
          <w:rFonts w:hint="cs"/>
          <w:rtl/>
        </w:rPr>
        <w:t xml:space="preserve">כתב </w:t>
      </w:r>
      <w:r w:rsidRPr="00F729BB">
        <w:rPr>
          <w:rStyle w:val="af9"/>
          <w:rFonts w:hint="cs"/>
          <w:rtl/>
        </w:rPr>
        <w:t>התוס' רא"ש בשיטמ"ק לקמן</w:t>
      </w:r>
      <w:r>
        <w:rPr>
          <w:rFonts w:hint="cs"/>
          <w:rtl/>
        </w:rPr>
        <w:t xml:space="preserve"> </w:t>
      </w:r>
      <w:r w:rsidRPr="00AF37F1">
        <w:rPr>
          <w:rStyle w:val="af7"/>
          <w:rFonts w:eastAsia="Guttman Hodes" w:hint="cs"/>
          <w:rtl/>
        </w:rPr>
        <w:t>(מא: ד"ה אמר רב</w:t>
      </w:r>
      <w:r>
        <w:rPr>
          <w:rStyle w:val="af7"/>
          <w:rFonts w:eastAsia="Guttman Hodes" w:hint="cs"/>
          <w:rtl/>
        </w:rPr>
        <w:t>, נד' בסוף הגמ' "עוז והדר"</w:t>
      </w:r>
      <w:r w:rsidRPr="00AF37F1">
        <w:rPr>
          <w:rStyle w:val="af7"/>
          <w:rFonts w:eastAsia="Guttman Hodes" w:hint="cs"/>
          <w:rtl/>
        </w:rPr>
        <w:t>)</w:t>
      </w:r>
      <w:r>
        <w:rPr>
          <w:rFonts w:hint="cs"/>
          <w:rtl/>
        </w:rPr>
        <w:t xml:space="preserve"> דמדברי רבי חייא בגמ' לקמן משמע דכשטוען קמי דידי דר בה חד יומא, אינו נאמן במיגו כיון דהוא כמיגו במקום עדים, דאם באמת המוכר קנה מהמערער ודר בה, לא יתכן שלא ידעו מזה, ולא ראו שדר בה</w:t>
      </w:r>
      <w:r w:rsidRPr="002E27EC">
        <w:rPr>
          <w:rFonts w:hint="cs"/>
          <w:rtl/>
        </w:rPr>
        <w:t xml:space="preserve"> </w:t>
      </w:r>
      <w:r>
        <w:rPr>
          <w:rFonts w:hint="cs"/>
          <w:rtl/>
        </w:rPr>
        <w:t xml:space="preserve">קצת, </w:t>
      </w:r>
      <w:r w:rsidRPr="00DC1C50">
        <w:rPr>
          <w:rStyle w:val="afb"/>
          <w:rFonts w:hint="cs"/>
          <w:rtl/>
        </w:rPr>
        <w:t>[ולכן כל שאין עדים דדר בה חד יומא, חשיב כמיגו במקום עדים],</w:t>
      </w:r>
      <w:r>
        <w:rPr>
          <w:rFonts w:hint="cs"/>
          <w:rtl/>
        </w:rPr>
        <w:t xml:space="preserve"> ולכן הקשה רב על רבי חייא דאדם עשוי לקנות ולמכור בלילה, כשיש לו קצת רווח מעט מהקניה והמכירה, וא"כ אין בנ"א יודעים מזה כלל, ואמר רב דהבין מדברי רבי חייא דאי"ז טעמו, ומודה </w:t>
      </w:r>
      <w:r w:rsidRPr="00DC1C50">
        <w:rPr>
          <w:rFonts w:hint="cs"/>
          <w:rtl/>
        </w:rPr>
        <w:t>רבי חייא דמהני לו מיגו כשטוען מתחילה קמי דידי דר בה חד יומא, אלא דאיירי דלא טען כן מתחילה, וכשחוזר וטוען אח"כ הוא מיגו למפרע ואינו נאמן</w:t>
      </w:r>
      <w:r>
        <w:rPr>
          <w:rFonts w:hint="cs"/>
          <w:rtl/>
        </w:rPr>
        <w:t>,</w:t>
      </w:r>
      <w:r w:rsidRPr="00DC1C50">
        <w:rPr>
          <w:rFonts w:hint="cs"/>
          <w:rtl/>
        </w:rPr>
        <w:t xml:space="preserve"> וכ</w:t>
      </w:r>
      <w:r>
        <w:rPr>
          <w:rFonts w:hint="cs"/>
          <w:rtl/>
        </w:rPr>
        <w:t>תב</w:t>
      </w:r>
      <w:r w:rsidRPr="00DC1C50">
        <w:rPr>
          <w:rFonts w:hint="cs"/>
          <w:rtl/>
        </w:rPr>
        <w:t xml:space="preserve"> </w:t>
      </w:r>
      <w:r w:rsidRPr="00DC1C50">
        <w:rPr>
          <w:rStyle w:val="af9"/>
          <w:rFonts w:hint="cs"/>
          <w:rtl/>
        </w:rPr>
        <w:t>השיטמ"ק</w:t>
      </w:r>
      <w:r w:rsidRPr="00DC1C50">
        <w:rPr>
          <w:rFonts w:hint="cs"/>
          <w:rtl/>
        </w:rPr>
        <w:t xml:space="preserve"> דכ"כ </w:t>
      </w:r>
      <w:r w:rsidRPr="00DC1C50">
        <w:rPr>
          <w:rStyle w:val="af9"/>
          <w:rFonts w:hint="cs"/>
          <w:rtl/>
        </w:rPr>
        <w:t>רבינו</w:t>
      </w:r>
      <w:r w:rsidRPr="00DC1C50">
        <w:rPr>
          <w:rFonts w:hint="cs"/>
          <w:rtl/>
        </w:rPr>
        <w:t xml:space="preserve"> </w:t>
      </w:r>
      <w:r w:rsidRPr="00DC1C50">
        <w:rPr>
          <w:rStyle w:val="af9"/>
          <w:rFonts w:hint="cs"/>
          <w:rtl/>
        </w:rPr>
        <w:t>יונה</w:t>
      </w:r>
      <w:r w:rsidRPr="00DC1C50">
        <w:rPr>
          <w:rFonts w:hint="cs"/>
          <w:rtl/>
        </w:rPr>
        <w:t xml:space="preserve"> </w:t>
      </w:r>
      <w:r w:rsidRPr="00DC1C50">
        <w:rPr>
          <w:rStyle w:val="af7"/>
          <w:rFonts w:eastAsia="Guttman Hodes" w:hint="cs"/>
          <w:rtl/>
        </w:rPr>
        <w:t xml:space="preserve">(עי' אות </w:t>
      </w:r>
      <w:r w:rsidRPr="00DC1C50">
        <w:rPr>
          <w:rStyle w:val="af7"/>
          <w:rFonts w:eastAsia="Guttman Hodes"/>
          <w:rtl/>
        </w:rPr>
        <w:fldChar w:fldCharType="begin"/>
      </w:r>
      <w:r w:rsidRPr="00DC1C50">
        <w:rPr>
          <w:rStyle w:val="af7"/>
          <w:rFonts w:eastAsia="Guttman Hodes"/>
          <w:rtl/>
        </w:rPr>
        <w:instrText xml:space="preserve"> </w:instrText>
      </w:r>
      <w:r w:rsidRPr="00DC1C50">
        <w:rPr>
          <w:rStyle w:val="af7"/>
          <w:rFonts w:eastAsia="Guttman Hodes" w:hint="cs"/>
        </w:rPr>
        <w:instrText>REF</w:instrText>
      </w:r>
      <w:r w:rsidRPr="00DC1C50">
        <w:rPr>
          <w:rStyle w:val="af7"/>
          <w:rFonts w:eastAsia="Guttman Hodes" w:hint="cs"/>
          <w:rtl/>
        </w:rPr>
        <w:instrText xml:space="preserve"> _</w:instrText>
      </w:r>
      <w:r w:rsidRPr="00DC1C50">
        <w:rPr>
          <w:rStyle w:val="af7"/>
          <w:rFonts w:eastAsia="Guttman Hodes" w:hint="cs"/>
        </w:rPr>
        <w:instrText>Ref60333209 \r \h</w:instrText>
      </w:r>
      <w:r w:rsidRPr="00DC1C50">
        <w:rPr>
          <w:rStyle w:val="af7"/>
          <w:rFonts w:eastAsia="Guttman Hodes"/>
          <w:rtl/>
        </w:rPr>
        <w:instrText xml:space="preserve"> </w:instrText>
      </w:r>
      <w:r w:rsidRPr="00DC1C50">
        <w:rPr>
          <w:rStyle w:val="af7"/>
          <w:rFonts w:eastAsia="Guttman Hodes"/>
          <w:rtl/>
        </w:rPr>
      </w:r>
      <w:r w:rsidRPr="00DC1C50">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DC1C50">
        <w:rPr>
          <w:rStyle w:val="af7"/>
          <w:rFonts w:eastAsia="Guttman Hodes"/>
          <w:rtl/>
        </w:rPr>
        <w:fldChar w:fldCharType="end"/>
      </w:r>
      <w:r>
        <w:rPr>
          <w:rFonts w:hint="cs"/>
          <w:rtl/>
        </w:rPr>
        <w:t>.</w:t>
      </w:r>
    </w:p>
    <w:p w:rsidR="006A4297" w:rsidRPr="00FB34AA" w:rsidRDefault="006A4297" w:rsidP="006A4297">
      <w:pPr>
        <w:pStyle w:val="a3"/>
        <w:rPr>
          <w:rtl/>
        </w:rPr>
      </w:pPr>
      <w:bookmarkStart w:id="10479" w:name="_Toc60589182"/>
      <w:bookmarkStart w:id="10480" w:name="_Toc60612596"/>
      <w:bookmarkStart w:id="10481" w:name="_Toc60616437"/>
      <w:bookmarkStart w:id="10482" w:name="_Toc60678191"/>
      <w:r>
        <w:rPr>
          <w:rFonts w:hint="cs"/>
          <w:rtl/>
        </w:rPr>
        <w:t>בי' הריטב"א בשם ר"י בגמ' לקמן דנקטה קמי דידי זבנה דהוא רבותא והמיגו ל"מ דהוא למפרע</w:t>
      </w:r>
      <w:bookmarkEnd w:id="10479"/>
      <w:bookmarkEnd w:id="10480"/>
      <w:bookmarkEnd w:id="10481"/>
      <w:bookmarkEnd w:id="10482"/>
      <w:r>
        <w:rPr>
          <w:rFonts w:hint="cs"/>
          <w:rtl/>
        </w:rPr>
        <w:t xml:space="preserve"> </w:t>
      </w:r>
    </w:p>
    <w:p w:rsidR="006A4297" w:rsidRPr="00A31019" w:rsidRDefault="006A4297" w:rsidP="007E4E81">
      <w:pPr>
        <w:pStyle w:val="a0"/>
        <w:rPr>
          <w:rStyle w:val="afb"/>
          <w:rtl/>
        </w:rPr>
      </w:pPr>
      <w:bookmarkStart w:id="10483" w:name="_Ref60158440"/>
      <w:bookmarkStart w:id="10484" w:name="_Ref60222329"/>
      <w:bookmarkStart w:id="10485" w:name="_Ref59960343"/>
      <w:r>
        <w:rPr>
          <w:rFonts w:hint="cs"/>
          <w:rtl/>
        </w:rPr>
        <w:t xml:space="preserve">וכ"כ </w:t>
      </w:r>
      <w:r w:rsidRPr="006134FD">
        <w:rPr>
          <w:rStyle w:val="af9"/>
          <w:rFonts w:hint="cs"/>
          <w:rtl/>
        </w:rPr>
        <w:t>הריטב"א לקמן</w:t>
      </w:r>
      <w:r>
        <w:rPr>
          <w:rFonts w:hint="cs"/>
          <w:rtl/>
        </w:rPr>
        <w:t xml:space="preserve"> </w:t>
      </w:r>
      <w:r w:rsidRPr="000D4303">
        <w:rPr>
          <w:rStyle w:val="af7"/>
          <w:rFonts w:eastAsia="Guttman Hodes" w:hint="cs"/>
          <w:rtl/>
        </w:rPr>
        <w:t xml:space="preserve">(מא: ד"ה והיכא) </w:t>
      </w:r>
      <w:r>
        <w:rPr>
          <w:rFonts w:hint="cs"/>
          <w:rtl/>
        </w:rPr>
        <w:t xml:space="preserve">בשם </w:t>
      </w:r>
      <w:r w:rsidRPr="006134FD">
        <w:rPr>
          <w:rStyle w:val="af9"/>
          <w:rFonts w:hint="cs"/>
          <w:rtl/>
        </w:rPr>
        <w:t>ר"י וקצת בעלי תוס'</w:t>
      </w:r>
      <w:r>
        <w:rPr>
          <w:rFonts w:hint="cs"/>
          <w:rtl/>
        </w:rPr>
        <w:t xml:space="preserve"> דנאמן בטענת קמי דידי דר בה חד יומא, כיון שיש לו מיגו גמור, וביאר </w:t>
      </w:r>
      <w:r w:rsidRPr="006134FD">
        <w:rPr>
          <w:rStyle w:val="af9"/>
          <w:rFonts w:hint="cs"/>
          <w:rtl/>
        </w:rPr>
        <w:t>הריטב"א</w:t>
      </w:r>
      <w:r>
        <w:rPr>
          <w:rFonts w:hint="cs"/>
          <w:rtl/>
        </w:rPr>
        <w:t xml:space="preserve"> דהא דהגמ' לקמן </w:t>
      </w:r>
      <w:r w:rsidRPr="00413084">
        <w:rPr>
          <w:rStyle w:val="af7"/>
          <w:rFonts w:eastAsia="Guttman Hodes" w:hint="cs"/>
          <w:rtl/>
        </w:rPr>
        <w:t>(מא:)</w:t>
      </w:r>
      <w:r>
        <w:rPr>
          <w:rFonts w:hint="cs"/>
          <w:rtl/>
        </w:rPr>
        <w:t xml:space="preserve"> נקטה דטוען קמי דידי זבנה מינך, הוא כיון דבאה הגמ' לומר רבותא דאף דלא שכיח שהמחזיק יראה את מכירת המערער למוכר, מ"מ הוא נאמן, [</w:t>
      </w:r>
      <w:r w:rsidRPr="00A31019">
        <w:rPr>
          <w:rStyle w:val="afb"/>
          <w:rFonts w:hint="cs"/>
          <w:rtl/>
        </w:rPr>
        <w:t>והיינו דכ"ש דנאמן בטענת קמי דידי דר בה חד יומא, דשכיח שראהו בקרקע בזמן שקנה ממנו],</w:t>
      </w:r>
      <w:r>
        <w:rPr>
          <w:rFonts w:hint="cs"/>
          <w:rtl/>
        </w:rPr>
        <w:t xml:space="preserve"> וכתב </w:t>
      </w:r>
      <w:r w:rsidRPr="006134FD">
        <w:rPr>
          <w:rStyle w:val="af9"/>
          <w:rFonts w:hint="cs"/>
          <w:rtl/>
        </w:rPr>
        <w:t>הריטב"א</w:t>
      </w:r>
      <w:r>
        <w:rPr>
          <w:rFonts w:hint="cs"/>
          <w:rtl/>
        </w:rPr>
        <w:t xml:space="preserve"> דהא דאמר רבי חייא בגמ' לקמן דצריך עדים על חד יומא, היינו באופן שכבר הודה המחזיק דאין לו מיגו, כיון שהוא מיגו למפרע.</w:t>
      </w:r>
      <w:bookmarkEnd w:id="10483"/>
      <w:r>
        <w:rPr>
          <w:rFonts w:hint="cs"/>
          <w:rtl/>
        </w:rPr>
        <w:t xml:space="preserve"> </w:t>
      </w:r>
      <w:r w:rsidRPr="00A31019">
        <w:rPr>
          <w:rStyle w:val="afb"/>
          <w:rFonts w:hint="cs"/>
          <w:rtl/>
        </w:rPr>
        <w:t xml:space="preserve">[אך הביא </w:t>
      </w:r>
      <w:r w:rsidRPr="00A31019">
        <w:rPr>
          <w:rStyle w:val="affa"/>
          <w:rFonts w:hint="cs"/>
          <w:rtl/>
        </w:rPr>
        <w:t>הריטב"א לקמן</w:t>
      </w:r>
      <w:r w:rsidRPr="00A31019">
        <w:rPr>
          <w:rStyle w:val="afb"/>
          <w:rFonts w:hint="cs"/>
          <w:rtl/>
        </w:rPr>
        <w:t xml:space="preserve"> </w:t>
      </w:r>
      <w:r w:rsidRPr="00A31019">
        <w:rPr>
          <w:rStyle w:val="aff6"/>
          <w:rFonts w:hint="cs"/>
          <w:rtl/>
        </w:rPr>
        <w:t xml:space="preserve">(עי' אות </w:t>
      </w:r>
      <w:r w:rsidRPr="00A31019">
        <w:rPr>
          <w:rStyle w:val="aff6"/>
          <w:rtl/>
        </w:rPr>
        <w:fldChar w:fldCharType="begin"/>
      </w:r>
      <w:r w:rsidRPr="00A31019">
        <w:rPr>
          <w:rStyle w:val="aff6"/>
          <w:rtl/>
        </w:rPr>
        <w:instrText xml:space="preserve"> </w:instrText>
      </w:r>
      <w:r w:rsidRPr="00A31019">
        <w:rPr>
          <w:rStyle w:val="aff6"/>
          <w:rFonts w:hint="cs"/>
        </w:rPr>
        <w:instrText>REF</w:instrText>
      </w:r>
      <w:r w:rsidRPr="00A31019">
        <w:rPr>
          <w:rStyle w:val="aff6"/>
          <w:rFonts w:hint="cs"/>
          <w:rtl/>
        </w:rPr>
        <w:instrText xml:space="preserve"> _</w:instrText>
      </w:r>
      <w:r w:rsidRPr="00A31019">
        <w:rPr>
          <w:rStyle w:val="aff6"/>
          <w:rFonts w:hint="cs"/>
        </w:rPr>
        <w:instrText>Ref60158486 \r \h</w:instrText>
      </w:r>
      <w:r w:rsidRPr="00A31019">
        <w:rPr>
          <w:rStyle w:val="aff6"/>
          <w:rtl/>
        </w:rPr>
        <w:instrText xml:space="preserve"> </w:instrText>
      </w:r>
      <w:r w:rsidRPr="00A31019">
        <w:rPr>
          <w:rStyle w:val="aff6"/>
          <w:rtl/>
        </w:rPr>
      </w:r>
      <w:r w:rsidRPr="00A31019">
        <w:rPr>
          <w:rStyle w:val="aff6"/>
          <w:rtl/>
        </w:rPr>
        <w:fldChar w:fldCharType="separate"/>
      </w:r>
      <w:r w:rsidR="00265073">
        <w:rPr>
          <w:rStyle w:val="aff6"/>
          <w:cs/>
        </w:rPr>
        <w:t>‎</w:t>
      </w:r>
      <w:r w:rsidR="00265073">
        <w:rPr>
          <w:rStyle w:val="aff6"/>
          <w:rtl/>
        </w:rPr>
        <w:t>ל)</w:t>
      </w:r>
      <w:r w:rsidRPr="00A31019">
        <w:rPr>
          <w:rStyle w:val="aff6"/>
          <w:rtl/>
        </w:rPr>
        <w:fldChar w:fldCharType="end"/>
      </w:r>
      <w:r w:rsidRPr="00A31019">
        <w:rPr>
          <w:rStyle w:val="afb"/>
          <w:rFonts w:hint="cs"/>
          <w:rtl/>
        </w:rPr>
        <w:t xml:space="preserve"> בשם </w:t>
      </w:r>
      <w:r w:rsidRPr="00A31019">
        <w:rPr>
          <w:rStyle w:val="affa"/>
          <w:rFonts w:hint="cs"/>
          <w:rtl/>
        </w:rPr>
        <w:t>קצת בעלי תוס'</w:t>
      </w:r>
      <w:r w:rsidRPr="00A31019">
        <w:rPr>
          <w:rStyle w:val="afb"/>
          <w:rFonts w:hint="cs"/>
          <w:rtl/>
        </w:rPr>
        <w:t xml:space="preserve"> דאינו נאמן].</w:t>
      </w:r>
      <w:bookmarkEnd w:id="10484"/>
    </w:p>
    <w:p w:rsidR="006A4297" w:rsidRDefault="006A4297" w:rsidP="006A4297">
      <w:pPr>
        <w:pStyle w:val="a3"/>
      </w:pPr>
      <w:bookmarkStart w:id="10486" w:name="_Toc60589183"/>
      <w:bookmarkStart w:id="10487" w:name="_Toc60612597"/>
      <w:bookmarkStart w:id="10488" w:name="_Toc60616438"/>
      <w:bookmarkStart w:id="10489" w:name="_Toc60678192"/>
      <w:r>
        <w:rPr>
          <w:rFonts w:hint="cs"/>
          <w:rtl/>
        </w:rPr>
        <w:t>דברי הש"ך דקיי"ל כתוס' והמרדכי וההג"מ דנאמן בקמי דידי וכן מוכח מחזקת מטלטלין</w:t>
      </w:r>
      <w:bookmarkEnd w:id="10486"/>
      <w:bookmarkEnd w:id="10487"/>
      <w:bookmarkEnd w:id="10488"/>
      <w:bookmarkEnd w:id="10489"/>
    </w:p>
    <w:p w:rsidR="006A4297" w:rsidRDefault="006A4297" w:rsidP="007E4E81">
      <w:pPr>
        <w:pStyle w:val="a0"/>
        <w:rPr>
          <w:rtl/>
        </w:rPr>
      </w:pPr>
      <w:bookmarkStart w:id="10490" w:name="_Ref60161180"/>
      <w:bookmarkStart w:id="10491" w:name="_Ref60587926"/>
      <w:r w:rsidRPr="00747986">
        <w:rPr>
          <w:rFonts w:hint="cs"/>
          <w:rtl/>
        </w:rPr>
        <w:t xml:space="preserve">כתב </w:t>
      </w:r>
      <w:r w:rsidRPr="00747986">
        <w:rPr>
          <w:rStyle w:val="af9"/>
          <w:rFonts w:hint="cs"/>
          <w:rtl/>
        </w:rPr>
        <w:t>הש"ך</w:t>
      </w:r>
      <w:r w:rsidRPr="00747986">
        <w:rPr>
          <w:rFonts w:hint="cs"/>
          <w:rtl/>
        </w:rPr>
        <w:t xml:space="preserve"> </w:t>
      </w:r>
      <w:r w:rsidRPr="00747986">
        <w:rPr>
          <w:rStyle w:val="af7"/>
          <w:rFonts w:eastAsia="Guttman Hodes" w:hint="cs"/>
          <w:rtl/>
        </w:rPr>
        <w:t>(סי' קמ"ו סקי"א)</w:t>
      </w:r>
      <w:r w:rsidRPr="00747986">
        <w:rPr>
          <w:rFonts w:hint="cs"/>
          <w:rtl/>
        </w:rPr>
        <w:t xml:space="preserve"> דכדברי </w:t>
      </w:r>
      <w:r w:rsidRPr="00747986">
        <w:rPr>
          <w:rStyle w:val="af9"/>
          <w:rFonts w:hint="cs"/>
          <w:rtl/>
        </w:rPr>
        <w:t>התוס'</w:t>
      </w:r>
      <w:r w:rsidRPr="00747986">
        <w:rPr>
          <w:rFonts w:hint="cs"/>
          <w:rtl/>
        </w:rPr>
        <w:t xml:space="preserve"> </w:t>
      </w:r>
      <w:r w:rsidRPr="00E36053">
        <w:rPr>
          <w:rStyle w:val="af7"/>
          <w:rFonts w:eastAsia="Guttman Hodes" w:hint="cs"/>
          <w:rtl/>
        </w:rPr>
        <w:t xml:space="preserve">(עי' אות </w:t>
      </w:r>
      <w:r w:rsidRPr="00E36053">
        <w:rPr>
          <w:rStyle w:val="af7"/>
          <w:rFonts w:eastAsia="Guttman Hodes"/>
          <w:rtl/>
        </w:rPr>
        <w:fldChar w:fldCharType="begin"/>
      </w:r>
      <w:r w:rsidRPr="00E36053">
        <w:rPr>
          <w:rStyle w:val="af7"/>
          <w:rFonts w:eastAsia="Guttman Hodes"/>
          <w:rtl/>
        </w:rPr>
        <w:instrText xml:space="preserve"> </w:instrText>
      </w:r>
      <w:r w:rsidRPr="00E36053">
        <w:rPr>
          <w:rStyle w:val="af7"/>
          <w:rFonts w:eastAsia="Guttman Hodes" w:hint="cs"/>
        </w:rPr>
        <w:instrText>REF</w:instrText>
      </w:r>
      <w:r w:rsidRPr="00E36053">
        <w:rPr>
          <w:rStyle w:val="af7"/>
          <w:rFonts w:eastAsia="Guttman Hodes" w:hint="cs"/>
          <w:rtl/>
        </w:rPr>
        <w:instrText xml:space="preserve"> _</w:instrText>
      </w:r>
      <w:r w:rsidRPr="00E36053">
        <w:rPr>
          <w:rStyle w:val="af7"/>
          <w:rFonts w:eastAsia="Guttman Hodes" w:hint="cs"/>
        </w:rPr>
        <w:instrText>Ref60243410 \r \h</w:instrText>
      </w:r>
      <w:r w:rsidRPr="00E36053">
        <w:rPr>
          <w:rStyle w:val="af7"/>
          <w:rFonts w:eastAsia="Guttman Hodes"/>
          <w:rtl/>
        </w:rPr>
        <w:instrText xml:space="preserve">  \* </w:instrText>
      </w:r>
      <w:r w:rsidRPr="00E36053">
        <w:rPr>
          <w:rStyle w:val="af7"/>
          <w:rFonts w:eastAsia="Guttman Hodes"/>
        </w:rPr>
        <w:instrText>MERGEFORMAT</w:instrText>
      </w:r>
      <w:r w:rsidRPr="00E36053">
        <w:rPr>
          <w:rStyle w:val="af7"/>
          <w:rFonts w:eastAsia="Guttman Hodes"/>
          <w:rtl/>
        </w:rPr>
        <w:instrText xml:space="preserve"> </w:instrText>
      </w:r>
      <w:r w:rsidRPr="00E36053">
        <w:rPr>
          <w:rStyle w:val="af7"/>
          <w:rFonts w:eastAsia="Guttman Hodes"/>
          <w:rtl/>
        </w:rPr>
      </w:r>
      <w:r w:rsidRPr="00E3605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E36053">
        <w:rPr>
          <w:rStyle w:val="af7"/>
          <w:rFonts w:eastAsia="Guttman Hodes"/>
          <w:rtl/>
        </w:rPr>
        <w:fldChar w:fldCharType="end"/>
      </w:r>
      <w:r w:rsidRPr="00747986">
        <w:rPr>
          <w:rFonts w:hint="cs"/>
          <w:rtl/>
        </w:rPr>
        <w:t xml:space="preserve"> דאף כשטוען המחזיק קמי דידי דר בה המוכר חד יומא הוי חזקה, כן מבואר </w:t>
      </w:r>
      <w:r w:rsidRPr="00747986">
        <w:rPr>
          <w:rStyle w:val="af9"/>
          <w:rFonts w:hint="cs"/>
          <w:rtl/>
        </w:rPr>
        <w:t>במרדכי</w:t>
      </w:r>
      <w:r w:rsidRPr="00747986">
        <w:rPr>
          <w:rFonts w:hint="cs"/>
          <w:rtl/>
        </w:rPr>
        <w:t xml:space="preserve"> </w:t>
      </w:r>
      <w:r w:rsidRPr="00E36053">
        <w:rPr>
          <w:rStyle w:val="af7"/>
          <w:rFonts w:eastAsia="Guttman Hodes" w:hint="cs"/>
          <w:rtl/>
        </w:rPr>
        <w:t xml:space="preserve">(עי' אות </w:t>
      </w:r>
      <w:r w:rsidRPr="00E36053">
        <w:rPr>
          <w:rStyle w:val="af7"/>
          <w:rFonts w:eastAsia="Guttman Hodes"/>
          <w:rtl/>
        </w:rPr>
        <w:fldChar w:fldCharType="begin"/>
      </w:r>
      <w:r w:rsidRPr="00E36053">
        <w:rPr>
          <w:rStyle w:val="af7"/>
          <w:rFonts w:eastAsia="Guttman Hodes"/>
          <w:rtl/>
        </w:rPr>
        <w:instrText xml:space="preserve"> </w:instrText>
      </w:r>
      <w:r w:rsidRPr="00E36053">
        <w:rPr>
          <w:rStyle w:val="af7"/>
          <w:rFonts w:eastAsia="Guttman Hodes" w:hint="cs"/>
        </w:rPr>
        <w:instrText>REF</w:instrText>
      </w:r>
      <w:r w:rsidRPr="00E36053">
        <w:rPr>
          <w:rStyle w:val="af7"/>
          <w:rFonts w:eastAsia="Guttman Hodes" w:hint="cs"/>
          <w:rtl/>
        </w:rPr>
        <w:instrText xml:space="preserve"> _</w:instrText>
      </w:r>
      <w:r w:rsidRPr="00E36053">
        <w:rPr>
          <w:rStyle w:val="af7"/>
          <w:rFonts w:eastAsia="Guttman Hodes" w:hint="cs"/>
        </w:rPr>
        <w:instrText>Ref58234334 \r \h</w:instrText>
      </w:r>
      <w:r w:rsidRPr="00E36053">
        <w:rPr>
          <w:rStyle w:val="af7"/>
          <w:rFonts w:eastAsia="Guttman Hodes"/>
          <w:rtl/>
        </w:rPr>
        <w:instrText xml:space="preserve">  \* </w:instrText>
      </w:r>
      <w:r w:rsidRPr="00E36053">
        <w:rPr>
          <w:rStyle w:val="af7"/>
          <w:rFonts w:eastAsia="Guttman Hodes"/>
        </w:rPr>
        <w:instrText>MERGEFORMAT</w:instrText>
      </w:r>
      <w:r w:rsidRPr="00E36053">
        <w:rPr>
          <w:rStyle w:val="af7"/>
          <w:rFonts w:eastAsia="Guttman Hodes"/>
          <w:rtl/>
        </w:rPr>
        <w:instrText xml:space="preserve"> </w:instrText>
      </w:r>
      <w:r w:rsidRPr="00E36053">
        <w:rPr>
          <w:rStyle w:val="af7"/>
          <w:rFonts w:eastAsia="Guttman Hodes"/>
          <w:rtl/>
        </w:rPr>
      </w:r>
      <w:r w:rsidRPr="00E36053">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E36053">
        <w:rPr>
          <w:rStyle w:val="af7"/>
          <w:rFonts w:eastAsia="Guttman Hodes"/>
          <w:rtl/>
        </w:rPr>
        <w:fldChar w:fldCharType="end"/>
      </w:r>
      <w:r w:rsidRPr="00747986">
        <w:rPr>
          <w:rFonts w:hint="cs"/>
          <w:rtl/>
        </w:rPr>
        <w:t xml:space="preserve"> וכ"כ </w:t>
      </w:r>
      <w:r w:rsidRPr="00747986">
        <w:rPr>
          <w:rStyle w:val="af9"/>
          <w:rFonts w:hint="cs"/>
          <w:rtl/>
        </w:rPr>
        <w:t>ההג'</w:t>
      </w:r>
      <w:r w:rsidRPr="00747986">
        <w:rPr>
          <w:rFonts w:hint="cs"/>
          <w:rtl/>
        </w:rPr>
        <w:t xml:space="preserve"> </w:t>
      </w:r>
      <w:r w:rsidRPr="00747986">
        <w:rPr>
          <w:rStyle w:val="af9"/>
          <w:rFonts w:hint="cs"/>
          <w:rtl/>
        </w:rPr>
        <w:t>מיימוניות</w:t>
      </w:r>
      <w:r>
        <w:rPr>
          <w:rFonts w:hint="cs"/>
          <w:rtl/>
        </w:rPr>
        <w:t xml:space="preserve"> </w:t>
      </w:r>
      <w:r w:rsidRPr="00307096">
        <w:rPr>
          <w:rStyle w:val="af7"/>
          <w:rFonts w:eastAsia="Guttman Hodes" w:hint="cs"/>
          <w:rtl/>
        </w:rPr>
        <w:t>(טו"נ פי"ד או' ק')</w:t>
      </w:r>
      <w:r>
        <w:rPr>
          <w:rFonts w:hint="cs"/>
          <w:rtl/>
        </w:rPr>
        <w:t xml:space="preserve"> בשם </w:t>
      </w:r>
      <w:r w:rsidRPr="002E0498">
        <w:rPr>
          <w:rStyle w:val="af9"/>
          <w:rFonts w:hint="cs"/>
          <w:rtl/>
        </w:rPr>
        <w:t>ר"י</w:t>
      </w:r>
      <w:r>
        <w:rPr>
          <w:rFonts w:hint="cs"/>
          <w:rtl/>
        </w:rPr>
        <w:t>, וכ"כ</w:t>
      </w:r>
      <w:r w:rsidRPr="00747986">
        <w:rPr>
          <w:rFonts w:hint="cs"/>
          <w:rtl/>
        </w:rPr>
        <w:t xml:space="preserve"> </w:t>
      </w:r>
      <w:r w:rsidRPr="00747986">
        <w:rPr>
          <w:rStyle w:val="af9"/>
          <w:rFonts w:hint="cs"/>
          <w:rtl/>
        </w:rPr>
        <w:t>ההג'</w:t>
      </w:r>
      <w:r w:rsidRPr="00747986">
        <w:rPr>
          <w:rFonts w:hint="cs"/>
          <w:rtl/>
        </w:rPr>
        <w:t xml:space="preserve"> </w:t>
      </w:r>
      <w:r>
        <w:rPr>
          <w:rStyle w:val="af9"/>
          <w:rFonts w:hint="cs"/>
          <w:rtl/>
        </w:rPr>
        <w:t>אשר"י</w:t>
      </w:r>
      <w:r w:rsidRPr="00747986">
        <w:rPr>
          <w:rFonts w:hint="cs"/>
          <w:rtl/>
        </w:rPr>
        <w:t xml:space="preserve"> </w:t>
      </w:r>
      <w:r w:rsidRPr="00307096">
        <w:rPr>
          <w:rStyle w:val="af7"/>
          <w:rFonts w:eastAsia="Guttman Hodes" w:hint="cs"/>
          <w:rtl/>
        </w:rPr>
        <w:t xml:space="preserve">(עי' אות </w:t>
      </w:r>
      <w:r w:rsidRPr="00307096">
        <w:rPr>
          <w:rStyle w:val="af7"/>
          <w:rFonts w:eastAsia="Guttman Hodes"/>
          <w:rtl/>
        </w:rPr>
        <w:fldChar w:fldCharType="begin"/>
      </w:r>
      <w:r w:rsidRPr="00307096">
        <w:rPr>
          <w:rStyle w:val="af7"/>
          <w:rFonts w:eastAsia="Guttman Hodes"/>
          <w:rtl/>
        </w:rPr>
        <w:instrText xml:space="preserve"> </w:instrText>
      </w:r>
      <w:r w:rsidRPr="00307096">
        <w:rPr>
          <w:rStyle w:val="af7"/>
          <w:rFonts w:eastAsia="Guttman Hodes" w:hint="cs"/>
        </w:rPr>
        <w:instrText>REF</w:instrText>
      </w:r>
      <w:r w:rsidRPr="00307096">
        <w:rPr>
          <w:rStyle w:val="af7"/>
          <w:rFonts w:eastAsia="Guttman Hodes" w:hint="cs"/>
          <w:rtl/>
        </w:rPr>
        <w:instrText xml:space="preserve"> _</w:instrText>
      </w:r>
      <w:r w:rsidRPr="00307096">
        <w:rPr>
          <w:rStyle w:val="af7"/>
          <w:rFonts w:eastAsia="Guttman Hodes" w:hint="cs"/>
        </w:rPr>
        <w:instrText>Ref60605600 \r \h</w:instrText>
      </w:r>
      <w:r w:rsidRPr="00307096">
        <w:rPr>
          <w:rStyle w:val="af7"/>
          <w:rFonts w:eastAsia="Guttman Hodes"/>
          <w:rtl/>
        </w:rPr>
        <w:instrText xml:space="preserve"> </w:instrText>
      </w:r>
      <w:r w:rsidRPr="00307096">
        <w:rPr>
          <w:rStyle w:val="af7"/>
          <w:rFonts w:eastAsia="Guttman Hodes"/>
          <w:rtl/>
        </w:rPr>
      </w:r>
      <w:r w:rsidRPr="00307096">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307096">
        <w:rPr>
          <w:rStyle w:val="af7"/>
          <w:rFonts w:eastAsia="Guttman Hodes"/>
          <w:rtl/>
        </w:rPr>
        <w:fldChar w:fldCharType="end"/>
      </w:r>
      <w:r w:rsidRPr="00747986">
        <w:rPr>
          <w:rFonts w:hint="cs"/>
          <w:rtl/>
        </w:rPr>
        <w:t xml:space="preserve"> בשם </w:t>
      </w:r>
      <w:r w:rsidRPr="00747986">
        <w:rPr>
          <w:rStyle w:val="af9"/>
          <w:rFonts w:hint="cs"/>
          <w:rtl/>
        </w:rPr>
        <w:t>הרשב"א בתוס'</w:t>
      </w:r>
      <w:r w:rsidRPr="00747986">
        <w:rPr>
          <w:rFonts w:hint="cs"/>
          <w:rtl/>
        </w:rPr>
        <w:t xml:space="preserve">, ודלא </w:t>
      </w:r>
      <w:r w:rsidRPr="00747986">
        <w:rPr>
          <w:rStyle w:val="af9"/>
          <w:rFonts w:hint="cs"/>
          <w:rtl/>
        </w:rPr>
        <w:t>כהטור</w:t>
      </w:r>
      <w:r w:rsidRPr="00747986">
        <w:rPr>
          <w:rFonts w:hint="cs"/>
          <w:rtl/>
        </w:rPr>
        <w:t xml:space="preserve"> </w:t>
      </w:r>
      <w:r w:rsidRPr="000742C7">
        <w:rPr>
          <w:rStyle w:val="af7"/>
          <w:rFonts w:eastAsia="Guttman Hodes" w:hint="cs"/>
          <w:rtl/>
        </w:rPr>
        <w:t xml:space="preserve">(עי' אות </w:t>
      </w:r>
      <w:r w:rsidRPr="000742C7">
        <w:rPr>
          <w:rStyle w:val="af7"/>
          <w:rFonts w:eastAsia="Guttman Hodes"/>
          <w:rtl/>
        </w:rPr>
        <w:fldChar w:fldCharType="begin"/>
      </w:r>
      <w:r w:rsidRPr="000742C7">
        <w:rPr>
          <w:rStyle w:val="af7"/>
          <w:rFonts w:eastAsia="Guttman Hodes"/>
          <w:rtl/>
        </w:rPr>
        <w:instrText xml:space="preserve"> </w:instrText>
      </w:r>
      <w:r w:rsidRPr="000742C7">
        <w:rPr>
          <w:rStyle w:val="af7"/>
          <w:rFonts w:eastAsia="Guttman Hodes" w:hint="cs"/>
        </w:rPr>
        <w:instrText>REF</w:instrText>
      </w:r>
      <w:r w:rsidRPr="000742C7">
        <w:rPr>
          <w:rStyle w:val="af7"/>
          <w:rFonts w:eastAsia="Guttman Hodes" w:hint="cs"/>
          <w:rtl/>
        </w:rPr>
        <w:instrText xml:space="preserve"> _</w:instrText>
      </w:r>
      <w:r w:rsidRPr="000742C7">
        <w:rPr>
          <w:rStyle w:val="af7"/>
          <w:rFonts w:eastAsia="Guttman Hodes" w:hint="cs"/>
        </w:rPr>
        <w:instrText>Ref59996401 \r \h</w:instrText>
      </w:r>
      <w:r w:rsidRPr="000742C7">
        <w:rPr>
          <w:rStyle w:val="af7"/>
          <w:rFonts w:eastAsia="Guttman Hodes"/>
          <w:rtl/>
        </w:rPr>
        <w:instrText xml:space="preserve">  \* </w:instrText>
      </w:r>
      <w:r w:rsidRPr="000742C7">
        <w:rPr>
          <w:rStyle w:val="af7"/>
          <w:rFonts w:eastAsia="Guttman Hodes"/>
        </w:rPr>
        <w:instrText>MERGEFORMAT</w:instrText>
      </w:r>
      <w:r w:rsidRPr="000742C7">
        <w:rPr>
          <w:rStyle w:val="af7"/>
          <w:rFonts w:eastAsia="Guttman Hodes"/>
          <w:rtl/>
        </w:rPr>
        <w:instrText xml:space="preserve"> </w:instrText>
      </w:r>
      <w:r w:rsidRPr="000742C7">
        <w:rPr>
          <w:rStyle w:val="af7"/>
          <w:rFonts w:eastAsia="Guttman Hodes"/>
          <w:rtl/>
        </w:rPr>
      </w:r>
      <w:r w:rsidRPr="000742C7">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0742C7">
        <w:rPr>
          <w:rStyle w:val="af7"/>
          <w:rFonts w:eastAsia="Guttman Hodes"/>
          <w:rtl/>
        </w:rPr>
        <w:fldChar w:fldCharType="end"/>
      </w:r>
      <w:r w:rsidRPr="00747986">
        <w:rPr>
          <w:rFonts w:hint="cs"/>
          <w:rtl/>
        </w:rPr>
        <w:t xml:space="preserve">, וכן פסק </w:t>
      </w:r>
      <w:r w:rsidRPr="00747986">
        <w:rPr>
          <w:rStyle w:val="af9"/>
          <w:rFonts w:hint="cs"/>
          <w:rtl/>
        </w:rPr>
        <w:t xml:space="preserve">הש"ך </w:t>
      </w:r>
      <w:r w:rsidRPr="00747986">
        <w:rPr>
          <w:rStyle w:val="af7"/>
          <w:rFonts w:eastAsia="Guttman Hodes" w:hint="cs"/>
          <w:rtl/>
        </w:rPr>
        <w:t xml:space="preserve">(עי' אות </w:t>
      </w:r>
      <w:r w:rsidRPr="00747986">
        <w:rPr>
          <w:rStyle w:val="af7"/>
          <w:rFonts w:eastAsia="Guttman Hodes"/>
          <w:rtl/>
        </w:rPr>
        <w:fldChar w:fldCharType="begin"/>
      </w:r>
      <w:r w:rsidRPr="00747986">
        <w:rPr>
          <w:rStyle w:val="af7"/>
          <w:rFonts w:eastAsia="Guttman Hodes"/>
          <w:rtl/>
        </w:rPr>
        <w:instrText xml:space="preserve"> </w:instrText>
      </w:r>
      <w:r w:rsidRPr="00747986">
        <w:rPr>
          <w:rStyle w:val="af7"/>
          <w:rFonts w:eastAsia="Guttman Hodes" w:hint="cs"/>
        </w:rPr>
        <w:instrText>REF</w:instrText>
      </w:r>
      <w:r w:rsidRPr="00747986">
        <w:rPr>
          <w:rStyle w:val="af7"/>
          <w:rFonts w:eastAsia="Guttman Hodes" w:hint="cs"/>
          <w:rtl/>
        </w:rPr>
        <w:instrText xml:space="preserve"> _</w:instrText>
      </w:r>
      <w:r w:rsidRPr="00747986">
        <w:rPr>
          <w:rStyle w:val="af7"/>
          <w:rFonts w:eastAsia="Guttman Hodes" w:hint="cs"/>
        </w:rPr>
        <w:instrText>Ref60161212 \r \h</w:instrText>
      </w:r>
      <w:r w:rsidRPr="0074798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47986">
        <w:rPr>
          <w:rStyle w:val="af7"/>
          <w:rFonts w:eastAsia="Guttman Hodes"/>
          <w:rtl/>
        </w:rPr>
      </w:r>
      <w:r w:rsidRPr="00747986">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747986">
        <w:rPr>
          <w:rStyle w:val="af7"/>
          <w:rFonts w:eastAsia="Guttman Hodes"/>
          <w:rtl/>
        </w:rPr>
        <w:fldChar w:fldCharType="end"/>
      </w:r>
      <w:r w:rsidRPr="00747986">
        <w:rPr>
          <w:rFonts w:hint="cs"/>
          <w:rtl/>
        </w:rPr>
        <w:t xml:space="preserve"> להלכה</w:t>
      </w:r>
      <w:bookmarkEnd w:id="10485"/>
      <w:bookmarkEnd w:id="10490"/>
      <w:r w:rsidRPr="00747986">
        <w:rPr>
          <w:rFonts w:hint="cs"/>
          <w:rtl/>
        </w:rPr>
        <w:t xml:space="preserve">, והוסיף </w:t>
      </w:r>
      <w:r w:rsidRPr="00747986">
        <w:rPr>
          <w:rStyle w:val="af9"/>
          <w:rFonts w:hint="cs"/>
          <w:rtl/>
        </w:rPr>
        <w:t xml:space="preserve">הש"ך </w:t>
      </w:r>
      <w:r w:rsidRPr="00747986">
        <w:rPr>
          <w:rFonts w:hint="cs"/>
          <w:rtl/>
        </w:rPr>
        <w:t>דמוכח דהוא נאמן, דהא אי אינו נאמן א"כ אף כשטוען כן בחזקת מטלטלין לא יהיה נאמן</w:t>
      </w:r>
      <w:r>
        <w:rPr>
          <w:rFonts w:hint="cs"/>
          <w:rtl/>
        </w:rPr>
        <w:t>,</w:t>
      </w:r>
      <w:r w:rsidRPr="00E36053">
        <w:rPr>
          <w:rFonts w:hint="cs"/>
          <w:rtl/>
        </w:rPr>
        <w:t xml:space="preserve"> </w:t>
      </w:r>
      <w:r>
        <w:rPr>
          <w:rFonts w:hint="cs"/>
          <w:rtl/>
        </w:rPr>
        <w:t xml:space="preserve">ועי' במה שדחה </w:t>
      </w:r>
      <w:r w:rsidRPr="00F729BB">
        <w:rPr>
          <w:rStyle w:val="af9"/>
          <w:rFonts w:hint="cs"/>
          <w:rtl/>
        </w:rPr>
        <w:t>הנתיה"מ</w:t>
      </w:r>
      <w:r w:rsidRPr="00D63D5D">
        <w:rPr>
          <w:rStyle w:val="af7"/>
          <w:rFonts w:eastAsia="Guttman Hodes" w:hint="cs"/>
          <w:rtl/>
        </w:rPr>
        <w:t xml:space="preserve"> (סי' קמ"ו סק"כ) </w:t>
      </w:r>
      <w:r>
        <w:rPr>
          <w:rFonts w:hint="cs"/>
          <w:rtl/>
        </w:rPr>
        <w:t xml:space="preserve">את הוכחת </w:t>
      </w:r>
      <w:r w:rsidRPr="00F729BB">
        <w:rPr>
          <w:rStyle w:val="af9"/>
          <w:rFonts w:hint="cs"/>
          <w:rtl/>
        </w:rPr>
        <w:t>הש"ך</w:t>
      </w:r>
      <w:r>
        <w:rPr>
          <w:rFonts w:hint="cs"/>
          <w:rtl/>
        </w:rPr>
        <w:t xml:space="preserve"> ממטלטלין</w:t>
      </w:r>
      <w:r w:rsidRPr="00747986">
        <w:rPr>
          <w:rFonts w:hint="cs"/>
          <w:rtl/>
        </w:rPr>
        <w:t>.</w:t>
      </w:r>
      <w:bookmarkEnd w:id="10491"/>
    </w:p>
    <w:p w:rsidR="006A4297" w:rsidRDefault="006A4297" w:rsidP="006A4297">
      <w:pPr>
        <w:pStyle w:val="1"/>
        <w:rPr>
          <w:rFonts w:eastAsiaTheme="minorEastAsia" w:cstheme="minorBidi"/>
          <w:i/>
          <w:iCs/>
          <w:noProof/>
          <w:sz w:val="22"/>
          <w:szCs w:val="22"/>
          <w:rtl/>
        </w:rPr>
      </w:pPr>
      <w:bookmarkStart w:id="10492" w:name="_Toc60612599"/>
      <w:bookmarkStart w:id="10493" w:name="_Toc60616440"/>
      <w:bookmarkStart w:id="10494" w:name="_Toc60678194"/>
      <w:r>
        <w:rPr>
          <w:noProof/>
          <w:rtl/>
        </w:rPr>
        <w:t xml:space="preserve">בי' התומים </w:t>
      </w:r>
      <w:r>
        <w:rPr>
          <w:rFonts w:hint="cs"/>
          <w:noProof/>
          <w:rtl/>
        </w:rPr>
        <w:t>דמודו התוס' כשאין עדים למערער דאינו נאמן</w:t>
      </w:r>
    </w:p>
    <w:p w:rsidR="006A4297" w:rsidRPr="009852EA" w:rsidRDefault="006A4297" w:rsidP="006A4297">
      <w:pPr>
        <w:pStyle w:val="a3"/>
        <w:rPr>
          <w:rtl/>
        </w:rPr>
      </w:pPr>
      <w:r>
        <w:rPr>
          <w:rFonts w:hint="cs"/>
          <w:rtl/>
        </w:rPr>
        <w:t>דברי התומים דכשיש עדים למערער ל"מ קמי דידי דר חד יומא במיגו דמינך זבינתה דהוא העזה</w:t>
      </w:r>
      <w:bookmarkEnd w:id="10492"/>
      <w:bookmarkEnd w:id="10493"/>
      <w:bookmarkEnd w:id="10494"/>
    </w:p>
    <w:p w:rsidR="006A4297" w:rsidRDefault="006A4297" w:rsidP="007E4E81">
      <w:pPr>
        <w:pStyle w:val="a0"/>
        <w:rPr>
          <w:rStyle w:val="af9"/>
        </w:rPr>
      </w:pPr>
      <w:bookmarkStart w:id="10495" w:name="_Ref60247157"/>
      <w:bookmarkStart w:id="10496" w:name="_Toc60303776"/>
      <w:bookmarkStart w:id="10497" w:name="_Toc60357039"/>
      <w:r>
        <w:rPr>
          <w:rFonts w:hint="cs"/>
          <w:rtl/>
        </w:rPr>
        <w:t xml:space="preserve">אבל </w:t>
      </w:r>
      <w:r>
        <w:rPr>
          <w:rStyle w:val="af9"/>
          <w:rtl/>
        </w:rPr>
        <w:t>התומים</w:t>
      </w:r>
      <w:r>
        <w:rPr>
          <w:rFonts w:hint="cs"/>
          <w:rtl/>
        </w:rPr>
        <w:t xml:space="preserve"> </w:t>
      </w:r>
      <w:r>
        <w:rPr>
          <w:rStyle w:val="af7"/>
          <w:rFonts w:eastAsia="Guttman Hodes" w:hint="cs"/>
          <w:rtl/>
        </w:rPr>
        <w:t>(סי' קמ"ו ריש סקט"ו)</w:t>
      </w:r>
      <w:r>
        <w:rPr>
          <w:rFonts w:hint="cs"/>
          <w:rtl/>
        </w:rPr>
        <w:t xml:space="preserve"> כתב על דברי </w:t>
      </w:r>
      <w:r w:rsidRPr="00593E36">
        <w:rPr>
          <w:rStyle w:val="af9"/>
          <w:rFonts w:hint="cs"/>
          <w:rtl/>
        </w:rPr>
        <w:t xml:space="preserve">הש"ך </w:t>
      </w:r>
      <w:r w:rsidRPr="005B357A">
        <w:rPr>
          <w:rStyle w:val="af7"/>
          <w:rFonts w:eastAsia="Guttman Hodes" w:hint="cs"/>
          <w:rtl/>
        </w:rPr>
        <w:t xml:space="preserve">(עי' אות </w:t>
      </w:r>
      <w:r w:rsidRPr="005B357A">
        <w:rPr>
          <w:rStyle w:val="af7"/>
          <w:rFonts w:eastAsia="Guttman Hodes"/>
          <w:rtl/>
        </w:rPr>
        <w:fldChar w:fldCharType="begin"/>
      </w:r>
      <w:r w:rsidRPr="005B357A">
        <w:rPr>
          <w:rStyle w:val="af7"/>
          <w:rFonts w:eastAsia="Guttman Hodes"/>
          <w:rtl/>
        </w:rPr>
        <w:instrText xml:space="preserve"> </w:instrText>
      </w:r>
      <w:r w:rsidRPr="005B357A">
        <w:rPr>
          <w:rStyle w:val="af7"/>
          <w:rFonts w:eastAsia="Guttman Hodes" w:hint="cs"/>
        </w:rPr>
        <w:instrText>REF</w:instrText>
      </w:r>
      <w:r w:rsidRPr="005B357A">
        <w:rPr>
          <w:rStyle w:val="af7"/>
          <w:rFonts w:eastAsia="Guttman Hodes" w:hint="cs"/>
          <w:rtl/>
        </w:rPr>
        <w:instrText xml:space="preserve"> _</w:instrText>
      </w:r>
      <w:r w:rsidRPr="005B357A">
        <w:rPr>
          <w:rStyle w:val="af7"/>
          <w:rFonts w:eastAsia="Guttman Hodes" w:hint="cs"/>
        </w:rPr>
        <w:instrText>Ref60587926 \r \h</w:instrText>
      </w:r>
      <w:r w:rsidRPr="005B357A">
        <w:rPr>
          <w:rStyle w:val="af7"/>
          <w:rFonts w:eastAsia="Guttman Hodes"/>
          <w:rtl/>
        </w:rPr>
        <w:instrText xml:space="preserve"> </w:instrText>
      </w:r>
      <w:r w:rsidRPr="005B357A">
        <w:rPr>
          <w:rStyle w:val="af7"/>
          <w:rFonts w:eastAsia="Guttman Hodes"/>
          <w:rtl/>
        </w:rPr>
      </w:r>
      <w:r w:rsidRPr="005B357A">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5B357A">
        <w:rPr>
          <w:rStyle w:val="af7"/>
          <w:rFonts w:eastAsia="Guttman Hodes"/>
          <w:rtl/>
        </w:rPr>
        <w:fldChar w:fldCharType="end"/>
      </w:r>
      <w:r>
        <w:rPr>
          <w:rStyle w:val="af9"/>
          <w:rFonts w:hint="cs"/>
          <w:rtl/>
        </w:rPr>
        <w:t xml:space="preserve"> </w:t>
      </w:r>
      <w:r>
        <w:rPr>
          <w:rFonts w:hint="cs"/>
          <w:rtl/>
        </w:rPr>
        <w:t xml:space="preserve">דקיי"ל כדברי </w:t>
      </w:r>
      <w:r w:rsidRPr="005B357A">
        <w:rPr>
          <w:rStyle w:val="af9"/>
          <w:rFonts w:hint="cs"/>
          <w:rtl/>
        </w:rPr>
        <w:t>התוס'</w:t>
      </w:r>
      <w:r>
        <w:rPr>
          <w:rFonts w:hint="cs"/>
          <w:rtl/>
        </w:rPr>
        <w:t xml:space="preserve"> </w:t>
      </w:r>
      <w:r w:rsidRPr="000742C7">
        <w:rPr>
          <w:rStyle w:val="af7"/>
          <w:rFonts w:eastAsia="Guttman Hodes" w:hint="cs"/>
          <w:rtl/>
        </w:rPr>
        <w:t xml:space="preserve">(עי' אות </w:t>
      </w:r>
      <w:r w:rsidRPr="000742C7">
        <w:rPr>
          <w:rStyle w:val="af7"/>
          <w:rFonts w:eastAsia="Guttman Hodes"/>
          <w:rtl/>
        </w:rPr>
        <w:fldChar w:fldCharType="begin"/>
      </w:r>
      <w:r w:rsidRPr="000742C7">
        <w:rPr>
          <w:rStyle w:val="af7"/>
          <w:rFonts w:eastAsia="Guttman Hodes"/>
          <w:rtl/>
        </w:rPr>
        <w:instrText xml:space="preserve"> </w:instrText>
      </w:r>
      <w:r w:rsidRPr="000742C7">
        <w:rPr>
          <w:rStyle w:val="af7"/>
          <w:rFonts w:eastAsia="Guttman Hodes" w:hint="cs"/>
        </w:rPr>
        <w:instrText>REF</w:instrText>
      </w:r>
      <w:r w:rsidRPr="000742C7">
        <w:rPr>
          <w:rStyle w:val="af7"/>
          <w:rFonts w:eastAsia="Guttman Hodes" w:hint="cs"/>
          <w:rtl/>
        </w:rPr>
        <w:instrText xml:space="preserve"> _</w:instrText>
      </w:r>
      <w:r w:rsidRPr="000742C7">
        <w:rPr>
          <w:rStyle w:val="af7"/>
          <w:rFonts w:eastAsia="Guttman Hodes" w:hint="cs"/>
        </w:rPr>
        <w:instrText>Ref60243410 \r \h</w:instrText>
      </w:r>
      <w:r w:rsidRPr="000742C7">
        <w:rPr>
          <w:rStyle w:val="af7"/>
          <w:rFonts w:eastAsia="Guttman Hodes"/>
          <w:rtl/>
        </w:rPr>
        <w:instrText xml:space="preserve"> </w:instrText>
      </w:r>
      <w:r w:rsidRPr="000742C7">
        <w:rPr>
          <w:rStyle w:val="af7"/>
          <w:rFonts w:eastAsia="Guttman Hodes"/>
          <w:rtl/>
        </w:rPr>
      </w:r>
      <w:r w:rsidRPr="000742C7">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0742C7">
        <w:rPr>
          <w:rStyle w:val="af7"/>
          <w:rFonts w:eastAsia="Guttman Hodes"/>
          <w:rtl/>
        </w:rPr>
        <w:fldChar w:fldCharType="end"/>
      </w:r>
      <w:r>
        <w:rPr>
          <w:rFonts w:hint="cs"/>
          <w:rtl/>
        </w:rPr>
        <w:t xml:space="preserve"> דנאמן בטענת קמי דידי דר בה חד יומא, דנראה דדוקא כשאין עדים למערער, דהמחזיק נאמן במיגו דלא הייתה </w:t>
      </w:r>
      <w:r>
        <w:rPr>
          <w:rFonts w:hint="cs"/>
          <w:rtl/>
        </w:rPr>
        <w:lastRenderedPageBreak/>
        <w:t xml:space="preserve">שלך מעולם, מהני טענת קמי דידי דר חד יומא אף בלא עדים, אבל במקום שיש עדים למערער, כתב </w:t>
      </w:r>
      <w:r>
        <w:rPr>
          <w:rStyle w:val="af9"/>
          <w:rtl/>
        </w:rPr>
        <w:t>התומים</w:t>
      </w:r>
      <w:r>
        <w:rPr>
          <w:rFonts w:hint="cs"/>
          <w:rtl/>
        </w:rPr>
        <w:t xml:space="preserve"> דנראה כדעת </w:t>
      </w:r>
      <w:r w:rsidRPr="00593E36">
        <w:rPr>
          <w:rStyle w:val="af9"/>
          <w:rFonts w:hint="cs"/>
          <w:rtl/>
        </w:rPr>
        <w:t>הטור</w:t>
      </w:r>
      <w:r>
        <w:rPr>
          <w:rFonts w:hint="cs"/>
          <w:rtl/>
        </w:rPr>
        <w:t xml:space="preserve"> </w:t>
      </w:r>
      <w:r w:rsidRPr="000742C7">
        <w:rPr>
          <w:rStyle w:val="af7"/>
          <w:rFonts w:eastAsia="Guttman Hodes" w:hint="cs"/>
          <w:rtl/>
        </w:rPr>
        <w:t xml:space="preserve">(עי' אות </w:t>
      </w:r>
      <w:r w:rsidRPr="000742C7">
        <w:rPr>
          <w:rStyle w:val="af7"/>
          <w:rFonts w:eastAsia="Guttman Hodes"/>
          <w:rtl/>
        </w:rPr>
        <w:fldChar w:fldCharType="begin"/>
      </w:r>
      <w:r w:rsidRPr="000742C7">
        <w:rPr>
          <w:rStyle w:val="af7"/>
          <w:rFonts w:eastAsia="Guttman Hodes"/>
          <w:rtl/>
        </w:rPr>
        <w:instrText xml:space="preserve"> </w:instrText>
      </w:r>
      <w:r w:rsidRPr="000742C7">
        <w:rPr>
          <w:rStyle w:val="af7"/>
          <w:rFonts w:eastAsia="Guttman Hodes" w:hint="cs"/>
        </w:rPr>
        <w:instrText>REF</w:instrText>
      </w:r>
      <w:r w:rsidRPr="000742C7">
        <w:rPr>
          <w:rStyle w:val="af7"/>
          <w:rFonts w:eastAsia="Guttman Hodes" w:hint="cs"/>
          <w:rtl/>
        </w:rPr>
        <w:instrText xml:space="preserve"> _</w:instrText>
      </w:r>
      <w:r w:rsidRPr="000742C7">
        <w:rPr>
          <w:rStyle w:val="af7"/>
          <w:rFonts w:eastAsia="Guttman Hodes" w:hint="cs"/>
        </w:rPr>
        <w:instrText>Ref59996401 \r \h</w:instrText>
      </w:r>
      <w:r w:rsidRPr="000742C7">
        <w:rPr>
          <w:rStyle w:val="af7"/>
          <w:rFonts w:eastAsia="Guttman Hodes"/>
          <w:rtl/>
        </w:rPr>
        <w:instrText xml:space="preserve">  \* </w:instrText>
      </w:r>
      <w:r w:rsidRPr="000742C7">
        <w:rPr>
          <w:rStyle w:val="af7"/>
          <w:rFonts w:eastAsia="Guttman Hodes"/>
        </w:rPr>
        <w:instrText>MERGEFORMAT</w:instrText>
      </w:r>
      <w:r w:rsidRPr="000742C7">
        <w:rPr>
          <w:rStyle w:val="af7"/>
          <w:rFonts w:eastAsia="Guttman Hodes"/>
          <w:rtl/>
        </w:rPr>
        <w:instrText xml:space="preserve"> </w:instrText>
      </w:r>
      <w:r w:rsidRPr="000742C7">
        <w:rPr>
          <w:rStyle w:val="af7"/>
          <w:rFonts w:eastAsia="Guttman Hodes"/>
          <w:rtl/>
        </w:rPr>
      </w:r>
      <w:r w:rsidRPr="000742C7">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0742C7">
        <w:rPr>
          <w:rStyle w:val="af7"/>
          <w:rFonts w:eastAsia="Guttman Hodes"/>
          <w:rtl/>
        </w:rPr>
        <w:fldChar w:fldCharType="end"/>
      </w:r>
      <w:r>
        <w:rPr>
          <w:rFonts w:hint="cs"/>
          <w:rtl/>
        </w:rPr>
        <w:t xml:space="preserve">דאין המחזיק נאמן בטענת חד יומא, כיון דהמיגו הוא דהיה יכול לטעון מינך זבינתה, </w:t>
      </w:r>
      <w:r>
        <w:rPr>
          <w:rStyle w:val="afb"/>
          <w:rtl/>
        </w:rPr>
        <w:t xml:space="preserve">[וכן מבואר מדברי </w:t>
      </w:r>
      <w:r>
        <w:rPr>
          <w:rStyle w:val="affa"/>
          <w:rtl/>
        </w:rPr>
        <w:t xml:space="preserve">הרשב"א </w:t>
      </w:r>
      <w:r>
        <w:rPr>
          <w:rStyle w:val="aff6"/>
          <w:rtl/>
        </w:rPr>
        <w:t xml:space="preserve">(עי' אות </w:t>
      </w:r>
      <w:r>
        <w:rPr>
          <w:rFonts w:hint="cs"/>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Ref60247114 \r \h</w:instrText>
      </w:r>
      <w:r>
        <w:rPr>
          <w:rStyle w:val="aff6"/>
          <w:rtl/>
        </w:rPr>
        <w:instrText xml:space="preserve"> </w:instrText>
      </w:r>
      <w:r>
        <w:rPr>
          <w:rFonts w:hint="cs"/>
          <w:rtl/>
        </w:rPr>
      </w:r>
      <w:r>
        <w:rPr>
          <w:rFonts w:hint="cs"/>
          <w:rtl/>
        </w:rPr>
        <w:fldChar w:fldCharType="separate"/>
      </w:r>
      <w:r w:rsidR="00265073">
        <w:rPr>
          <w:rStyle w:val="aff6"/>
          <w:cs/>
        </w:rPr>
        <w:t>‎</w:t>
      </w:r>
      <w:r w:rsidR="00265073">
        <w:rPr>
          <w:rStyle w:val="aff6"/>
          <w:rtl/>
        </w:rPr>
        <w:t>מ)</w:t>
      </w:r>
      <w:r>
        <w:rPr>
          <w:rFonts w:hint="cs"/>
          <w:rtl/>
        </w:rPr>
        <w:fldChar w:fldCharType="end"/>
      </w:r>
      <w:r>
        <w:rPr>
          <w:rStyle w:val="afb"/>
          <w:rtl/>
        </w:rPr>
        <w:t>],</w:t>
      </w:r>
      <w:r>
        <w:rPr>
          <w:rFonts w:hint="cs"/>
          <w:rtl/>
        </w:rPr>
        <w:t xml:space="preserve"> וביאר </w:t>
      </w:r>
      <w:r w:rsidRPr="000742C7">
        <w:rPr>
          <w:rStyle w:val="af9"/>
          <w:rFonts w:hint="cs"/>
          <w:rtl/>
        </w:rPr>
        <w:t>התומים</w:t>
      </w:r>
      <w:r>
        <w:rPr>
          <w:rFonts w:hint="cs"/>
          <w:rtl/>
        </w:rPr>
        <w:t xml:space="preserve"> דמיגו דמינך זבינתה חשיב כמיגו דהעזה.</w:t>
      </w:r>
    </w:p>
    <w:p w:rsidR="006A4297" w:rsidRDefault="006A4297" w:rsidP="006A4297">
      <w:pPr>
        <w:pStyle w:val="a3"/>
        <w:rPr>
          <w:rtl/>
        </w:rPr>
      </w:pPr>
      <w:bookmarkStart w:id="10498" w:name="_Toc60612600"/>
      <w:bookmarkStart w:id="10499" w:name="_Toc60616441"/>
      <w:bookmarkStart w:id="10500" w:name="_Toc60678195"/>
      <w:r>
        <w:rPr>
          <w:rFonts w:hint="cs"/>
          <w:rtl/>
        </w:rPr>
        <w:t>ביאור התומים בתוס' דמודו דכשיש עדים למערער דאינו נאמן דהמיגו הוא גם העזה וגם קלוש</w:t>
      </w:r>
      <w:bookmarkEnd w:id="10498"/>
      <w:bookmarkEnd w:id="10499"/>
      <w:bookmarkEnd w:id="10500"/>
    </w:p>
    <w:p w:rsidR="006A4297" w:rsidRDefault="006A4297" w:rsidP="007E4E81">
      <w:pPr>
        <w:pStyle w:val="a0"/>
        <w:rPr>
          <w:rtl/>
        </w:rPr>
      </w:pPr>
      <w:r>
        <w:rPr>
          <w:rFonts w:hint="cs"/>
          <w:rtl/>
        </w:rPr>
        <w:t xml:space="preserve">והוסיף </w:t>
      </w:r>
      <w:r>
        <w:rPr>
          <w:rStyle w:val="af9"/>
          <w:rtl/>
        </w:rPr>
        <w:t>התומים</w:t>
      </w:r>
      <w:r>
        <w:rPr>
          <w:rFonts w:hint="cs"/>
          <w:rtl/>
        </w:rPr>
        <w:t xml:space="preserve"> דנראה דכשיש עדים למערער אף </w:t>
      </w:r>
      <w:r>
        <w:rPr>
          <w:rStyle w:val="af9"/>
          <w:rtl/>
        </w:rPr>
        <w:t>התוס'</w:t>
      </w:r>
      <w:r>
        <w:rPr>
          <w:rFonts w:hint="cs"/>
          <w:rtl/>
        </w:rPr>
        <w:t xml:space="preserve"> </w:t>
      </w:r>
      <w:r>
        <w:rPr>
          <w:rStyle w:val="af7"/>
          <w:rFonts w:eastAsia="Guttman Hodes" w:hint="cs"/>
          <w:rtl/>
        </w:rPr>
        <w:t xml:space="preserve">(עי' אות </w:t>
      </w:r>
      <w:r>
        <w:rPr>
          <w:rFont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Ref60243410 \r \h</w:instrText>
      </w:r>
      <w:r>
        <w:rPr>
          <w:rStyle w:val="af7"/>
          <w:rFonts w:eastAsia="Guttman Hodes" w:hint="cs"/>
          <w:rtl/>
        </w:rPr>
        <w:instrText xml:space="preserve"> </w:instrText>
      </w:r>
      <w:r>
        <w:rPr>
          <w:rFonts w:hint="cs"/>
          <w:rtl/>
        </w:rPr>
        <w:instrText xml:space="preserve"> \* </w:instrText>
      </w:r>
      <w:r>
        <w:rPr>
          <w:rFonts w:hint="cs"/>
        </w:rPr>
        <w:instrText>MERGEFORMAT</w:instrText>
      </w:r>
      <w:r>
        <w:rPr>
          <w:rFonts w:hint="cs"/>
          <w:rtl/>
        </w:rPr>
        <w:instrText xml:space="preserve"> </w:instrText>
      </w:r>
      <w:r>
        <w:rPr>
          <w:rFonts w:hint="cs"/>
          <w:rtl/>
        </w:rPr>
      </w:r>
      <w:r>
        <w:rPr>
          <w:rFonts w:hint="cs"/>
          <w:rtl/>
        </w:rPr>
        <w:fldChar w:fldCharType="separate"/>
      </w:r>
      <w:r w:rsidR="00265073">
        <w:rPr>
          <w:rStyle w:val="af7"/>
          <w:rFonts w:eastAsia="Guttman Hodes" w:hint="eastAsia"/>
          <w:cs/>
        </w:rPr>
        <w:t>‎</w:t>
      </w:r>
      <w:r w:rsidR="00265073">
        <w:rPr>
          <w:rStyle w:val="af7"/>
          <w:rFonts w:eastAsia="Guttman Hodes" w:hint="eastAsia"/>
          <w:rtl/>
        </w:rPr>
        <w:t>ט</w:t>
      </w:r>
      <w:r w:rsidR="00265073">
        <w:rPr>
          <w:rStyle w:val="af7"/>
          <w:rFonts w:eastAsia="Guttman Hodes"/>
          <w:rtl/>
        </w:rPr>
        <w:t>)</w:t>
      </w:r>
      <w:r>
        <w:rPr>
          <w:rFonts w:hint="cs"/>
          <w:rtl/>
        </w:rPr>
        <w:fldChar w:fldCharType="end"/>
      </w:r>
      <w:r>
        <w:rPr>
          <w:rStyle w:val="af7"/>
          <w:rFonts w:eastAsia="Guttman Hodes" w:hint="cs"/>
          <w:rtl/>
        </w:rPr>
        <w:t xml:space="preserve"> </w:t>
      </w:r>
      <w:r>
        <w:rPr>
          <w:rFonts w:hint="cs"/>
          <w:rtl/>
        </w:rPr>
        <w:t xml:space="preserve">מודו דאינו נאמן כיון דהוא מיגו דהעזה, וכתב התומים דאעפ"י דמצינו בכמה מקומות דאמרינן מיגו דהעזה, מ"מ הכא לא מהני כיון דהמיגו הוא קלוש, כדכתבו </w:t>
      </w:r>
      <w:r>
        <w:rPr>
          <w:rStyle w:val="af9"/>
          <w:rtl/>
        </w:rPr>
        <w:t>הבעה"מ</w:t>
      </w:r>
      <w:r>
        <w:rPr>
          <w:rFonts w:hint="cs"/>
          <w:rtl/>
        </w:rPr>
        <w:t xml:space="preserve"> </w:t>
      </w:r>
      <w:r w:rsidRPr="00B71164">
        <w:rPr>
          <w:rStyle w:val="af7"/>
          <w:rFonts w:eastAsia="Guttman Hodes" w:hint="cs"/>
          <w:rtl/>
        </w:rPr>
        <w:t xml:space="preserve">(עי' אות </w:t>
      </w:r>
      <w:r w:rsidRPr="00B71164">
        <w:rPr>
          <w:rStyle w:val="af7"/>
          <w:rFonts w:eastAsia="Guttman Hodes"/>
          <w:rtl/>
        </w:rPr>
        <w:fldChar w:fldCharType="begin"/>
      </w:r>
      <w:r w:rsidRPr="00B71164">
        <w:rPr>
          <w:rStyle w:val="af7"/>
          <w:rFonts w:eastAsia="Guttman Hodes"/>
          <w:rtl/>
        </w:rPr>
        <w:instrText xml:space="preserve"> </w:instrText>
      </w:r>
      <w:r w:rsidRPr="00B71164">
        <w:rPr>
          <w:rStyle w:val="af7"/>
          <w:rFonts w:eastAsia="Guttman Hodes" w:hint="cs"/>
        </w:rPr>
        <w:instrText>REF</w:instrText>
      </w:r>
      <w:r w:rsidRPr="00B71164">
        <w:rPr>
          <w:rStyle w:val="af7"/>
          <w:rFonts w:eastAsia="Guttman Hodes" w:hint="cs"/>
          <w:rtl/>
        </w:rPr>
        <w:instrText xml:space="preserve"> _</w:instrText>
      </w:r>
      <w:r w:rsidRPr="00B71164">
        <w:rPr>
          <w:rStyle w:val="af7"/>
          <w:rFonts w:eastAsia="Guttman Hodes" w:hint="cs"/>
        </w:rPr>
        <w:instrText>Ref60133425 \r \h</w:instrText>
      </w:r>
      <w:r w:rsidRPr="00B71164">
        <w:rPr>
          <w:rStyle w:val="af7"/>
          <w:rFonts w:eastAsia="Guttman Hodes"/>
          <w:rtl/>
        </w:rPr>
        <w:instrText xml:space="preserve"> </w:instrText>
      </w:r>
      <w:r w:rsidRPr="00B71164">
        <w:rPr>
          <w:rStyle w:val="af7"/>
          <w:rFonts w:eastAsia="Guttman Hodes"/>
          <w:rtl/>
        </w:rPr>
      </w:r>
      <w:r w:rsidRPr="00B71164">
        <w:rPr>
          <w:rStyle w:val="af7"/>
          <w:rFonts w:eastAsia="Guttman Hodes"/>
          <w:rtl/>
        </w:rPr>
        <w:fldChar w:fldCharType="separate"/>
      </w:r>
      <w:r w:rsidR="00265073">
        <w:rPr>
          <w:rStyle w:val="af7"/>
          <w:rFonts w:eastAsia="Guttman Hodes"/>
          <w:cs/>
        </w:rPr>
        <w:t>‎</w:t>
      </w:r>
      <w:r w:rsidR="00265073">
        <w:rPr>
          <w:rStyle w:val="af7"/>
          <w:rFonts w:eastAsia="Guttman Hodes"/>
          <w:rtl/>
        </w:rPr>
        <w:t>כב)</w:t>
      </w:r>
      <w:r w:rsidRPr="00B71164">
        <w:rPr>
          <w:rStyle w:val="af7"/>
          <w:rFonts w:eastAsia="Guttman Hodes"/>
          <w:rtl/>
        </w:rPr>
        <w:fldChar w:fldCharType="end"/>
      </w:r>
      <w:r w:rsidRPr="00B71164">
        <w:rPr>
          <w:rStyle w:val="af7"/>
          <w:rFonts w:eastAsia="Guttman Hodes" w:hint="cs"/>
          <w:rtl/>
        </w:rPr>
        <w:t xml:space="preserve"> </w:t>
      </w:r>
      <w:r>
        <w:rPr>
          <w:rStyle w:val="af9"/>
          <w:rtl/>
        </w:rPr>
        <w:t>והרמב"ן</w:t>
      </w:r>
      <w:r>
        <w:rPr>
          <w:rFonts w:hint="cs"/>
          <w:rtl/>
        </w:rPr>
        <w:t xml:space="preserve"> </w:t>
      </w:r>
      <w:r>
        <w:rPr>
          <w:rStyle w:val="af9"/>
          <w:rtl/>
        </w:rPr>
        <w:t>במלחמות</w:t>
      </w:r>
      <w:r>
        <w:rPr>
          <w:rFonts w:hint="cs"/>
          <w:rtl/>
        </w:rPr>
        <w:t xml:space="preserve"> </w:t>
      </w:r>
      <w:r w:rsidRPr="00B71164">
        <w:rPr>
          <w:rStyle w:val="af7"/>
          <w:rFonts w:eastAsia="Guttman Hodes" w:hint="cs"/>
          <w:rtl/>
        </w:rPr>
        <w:t xml:space="preserve">(עי' אות </w:t>
      </w:r>
      <w:r w:rsidRPr="00B71164">
        <w:rPr>
          <w:rStyle w:val="af7"/>
          <w:rFonts w:eastAsia="Guttman Hodes"/>
          <w:rtl/>
        </w:rPr>
        <w:fldChar w:fldCharType="begin"/>
      </w:r>
      <w:r w:rsidRPr="00B71164">
        <w:rPr>
          <w:rStyle w:val="af7"/>
          <w:rFonts w:eastAsia="Guttman Hodes"/>
          <w:rtl/>
        </w:rPr>
        <w:instrText xml:space="preserve"> </w:instrText>
      </w:r>
      <w:r w:rsidRPr="00B71164">
        <w:rPr>
          <w:rStyle w:val="af7"/>
          <w:rFonts w:eastAsia="Guttman Hodes" w:hint="cs"/>
        </w:rPr>
        <w:instrText>REF</w:instrText>
      </w:r>
      <w:r w:rsidRPr="00B71164">
        <w:rPr>
          <w:rStyle w:val="af7"/>
          <w:rFonts w:eastAsia="Guttman Hodes" w:hint="cs"/>
          <w:rtl/>
        </w:rPr>
        <w:instrText xml:space="preserve"> _</w:instrText>
      </w:r>
      <w:r w:rsidRPr="00B71164">
        <w:rPr>
          <w:rStyle w:val="af7"/>
          <w:rFonts w:eastAsia="Guttman Hodes" w:hint="cs"/>
        </w:rPr>
        <w:instrText>Ref60593851 \r \h</w:instrText>
      </w:r>
      <w:r w:rsidRPr="00B71164">
        <w:rPr>
          <w:rStyle w:val="af7"/>
          <w:rFonts w:eastAsia="Guttman Hodes"/>
          <w:rtl/>
        </w:rPr>
        <w:instrText xml:space="preserve"> </w:instrText>
      </w:r>
      <w:r w:rsidRPr="00B71164">
        <w:rPr>
          <w:rStyle w:val="af7"/>
          <w:rFonts w:eastAsia="Guttman Hodes"/>
          <w:rtl/>
        </w:rPr>
      </w:r>
      <w:r w:rsidRPr="00B71164">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B71164">
        <w:rPr>
          <w:rStyle w:val="af7"/>
          <w:rFonts w:eastAsia="Guttman Hodes"/>
          <w:rtl/>
        </w:rPr>
        <w:fldChar w:fldCharType="end"/>
      </w:r>
      <w:r>
        <w:rPr>
          <w:rFonts w:hint="cs"/>
          <w:rtl/>
        </w:rPr>
        <w:t xml:space="preserve">, דדוחק לומר דדר בה חד יומא ואין לו עדים, וא"כ אעפ"י דס"ל </w:t>
      </w:r>
      <w:r w:rsidRPr="00593E36">
        <w:rPr>
          <w:rStyle w:val="af9"/>
          <w:rFonts w:hint="cs"/>
          <w:rtl/>
        </w:rPr>
        <w:t xml:space="preserve">להתוס' </w:t>
      </w:r>
      <w:r>
        <w:rPr>
          <w:rFonts w:hint="cs"/>
          <w:rtl/>
        </w:rPr>
        <w:t>דמהני המיגו אף שהוא קלוש, מ"מ כשהוא גם מיגו דהעזה צ"ל דלא מהני.</w:t>
      </w:r>
      <w:bookmarkEnd w:id="10495"/>
    </w:p>
    <w:p w:rsidR="006A4297" w:rsidRDefault="006A4297" w:rsidP="006A4297">
      <w:pPr>
        <w:pStyle w:val="a3"/>
        <w:rPr>
          <w:rtl/>
        </w:rPr>
      </w:pPr>
      <w:bookmarkStart w:id="10501" w:name="_Toc60612601"/>
      <w:bookmarkStart w:id="10502" w:name="_Toc60616442"/>
      <w:bookmarkStart w:id="10503" w:name="_Toc60678196"/>
      <w:r>
        <w:rPr>
          <w:rFonts w:hint="cs"/>
          <w:rtl/>
        </w:rPr>
        <w:t>הוכחת התומים מהתוס' דלא פליגי על הרשב"ם במקום שיש עדים למערער דאינו נאמן</w:t>
      </w:r>
      <w:bookmarkEnd w:id="10501"/>
      <w:bookmarkEnd w:id="10502"/>
      <w:bookmarkEnd w:id="10503"/>
    </w:p>
    <w:p w:rsidR="006A4297" w:rsidRPr="0029412B" w:rsidRDefault="006A4297" w:rsidP="007E4E81">
      <w:pPr>
        <w:pStyle w:val="a0"/>
        <w:rPr>
          <w:szCs w:val="14"/>
          <w:rtl/>
        </w:rPr>
      </w:pPr>
      <w:bookmarkStart w:id="10504" w:name="_Ref60587323"/>
      <w:r>
        <w:rPr>
          <w:rFonts w:hint="cs"/>
          <w:rtl/>
        </w:rPr>
        <w:t xml:space="preserve">וכתב </w:t>
      </w:r>
      <w:r>
        <w:rPr>
          <w:rStyle w:val="af9"/>
          <w:rtl/>
        </w:rPr>
        <w:t>התומים</w:t>
      </w:r>
      <w:r>
        <w:rPr>
          <w:rFonts w:hint="cs"/>
          <w:rtl/>
        </w:rPr>
        <w:t xml:space="preserve"> </w:t>
      </w:r>
      <w:r>
        <w:rPr>
          <w:rStyle w:val="af7"/>
          <w:rFonts w:eastAsia="Guttman Hodes" w:hint="cs"/>
          <w:rtl/>
        </w:rPr>
        <w:t>(סי' קמ"ו סקט"ו ד"ה ובהך)</w:t>
      </w:r>
      <w:r>
        <w:rPr>
          <w:rFonts w:hint="cs"/>
          <w:rtl/>
        </w:rPr>
        <w:t xml:space="preserve"> דבזה מבואר מ"ש </w:t>
      </w:r>
      <w:r w:rsidRPr="00FD3ECC">
        <w:rPr>
          <w:rStyle w:val="af9"/>
          <w:rFonts w:hint="cs"/>
          <w:rtl/>
        </w:rPr>
        <w:t xml:space="preserve">התוס' </w:t>
      </w:r>
      <w:r w:rsidRPr="00A270F5">
        <w:rPr>
          <w:rStyle w:val="af7"/>
          <w:rFonts w:eastAsia="Guttman Hodes" w:hint="cs"/>
          <w:rtl/>
        </w:rPr>
        <w:t xml:space="preserve">(עי' אות </w:t>
      </w:r>
      <w:r w:rsidRPr="00A270F5">
        <w:rPr>
          <w:rStyle w:val="af7"/>
          <w:rFonts w:eastAsia="Guttman Hodes"/>
          <w:rtl/>
        </w:rPr>
        <w:fldChar w:fldCharType="begin"/>
      </w:r>
      <w:r w:rsidRPr="00A270F5">
        <w:rPr>
          <w:rStyle w:val="af7"/>
          <w:rFonts w:eastAsia="Guttman Hodes"/>
          <w:rtl/>
        </w:rPr>
        <w:instrText xml:space="preserve"> </w:instrText>
      </w:r>
      <w:r w:rsidRPr="00A270F5">
        <w:rPr>
          <w:rStyle w:val="af7"/>
          <w:rFonts w:eastAsia="Guttman Hodes" w:hint="cs"/>
        </w:rPr>
        <w:instrText>REF</w:instrText>
      </w:r>
      <w:r w:rsidRPr="00A270F5">
        <w:rPr>
          <w:rStyle w:val="af7"/>
          <w:rFonts w:eastAsia="Guttman Hodes" w:hint="cs"/>
          <w:rtl/>
        </w:rPr>
        <w:instrText xml:space="preserve"> _</w:instrText>
      </w:r>
      <w:r w:rsidRPr="00A270F5">
        <w:rPr>
          <w:rStyle w:val="af7"/>
          <w:rFonts w:eastAsia="Guttman Hodes" w:hint="cs"/>
        </w:rPr>
        <w:instrText>Ref60222158 \r \h</w:instrText>
      </w:r>
      <w:r w:rsidRPr="00A270F5">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270F5">
        <w:rPr>
          <w:rStyle w:val="af7"/>
          <w:rFonts w:eastAsia="Guttman Hodes"/>
          <w:rtl/>
        </w:rPr>
      </w:r>
      <w:r w:rsidRPr="00A270F5">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270F5">
        <w:rPr>
          <w:rStyle w:val="af7"/>
          <w:rFonts w:eastAsia="Guttman Hodes"/>
          <w:rtl/>
        </w:rPr>
        <w:fldChar w:fldCharType="end"/>
      </w:r>
      <w:r>
        <w:rPr>
          <w:rFonts w:hint="cs"/>
          <w:rtl/>
        </w:rPr>
        <w:t xml:space="preserve"> דבמקום שיש עדים למערער, נכונים דברי </w:t>
      </w:r>
      <w:r w:rsidRPr="00FD3ECC">
        <w:rPr>
          <w:rStyle w:val="af9"/>
          <w:rFonts w:hint="cs"/>
          <w:rtl/>
        </w:rPr>
        <w:t xml:space="preserve">הרשב"ם </w:t>
      </w:r>
      <w:r w:rsidRPr="00A270F5">
        <w:rPr>
          <w:rStyle w:val="af7"/>
          <w:rFonts w:eastAsia="Guttman Hodes" w:hint="cs"/>
          <w:rtl/>
        </w:rPr>
        <w:t xml:space="preserve">(עי' אות </w:t>
      </w:r>
      <w:r w:rsidRPr="00A270F5">
        <w:rPr>
          <w:rStyle w:val="af7"/>
          <w:rFonts w:eastAsia="Guttman Hodes"/>
          <w:rtl/>
        </w:rPr>
        <w:fldChar w:fldCharType="begin"/>
      </w:r>
      <w:r w:rsidRPr="00A270F5">
        <w:rPr>
          <w:rStyle w:val="af7"/>
          <w:rFonts w:eastAsia="Guttman Hodes"/>
          <w:rtl/>
        </w:rPr>
        <w:instrText xml:space="preserve"> </w:instrText>
      </w:r>
      <w:r w:rsidRPr="00A270F5">
        <w:rPr>
          <w:rStyle w:val="af7"/>
          <w:rFonts w:eastAsia="Guttman Hodes" w:hint="cs"/>
        </w:rPr>
        <w:instrText>REF</w:instrText>
      </w:r>
      <w:r w:rsidRPr="00A270F5">
        <w:rPr>
          <w:rStyle w:val="af7"/>
          <w:rFonts w:eastAsia="Guttman Hodes" w:hint="cs"/>
          <w:rtl/>
        </w:rPr>
        <w:instrText xml:space="preserve"> _</w:instrText>
      </w:r>
      <w:r w:rsidRPr="00A270F5">
        <w:rPr>
          <w:rStyle w:val="af7"/>
          <w:rFonts w:eastAsia="Guttman Hodes" w:hint="cs"/>
        </w:rPr>
        <w:instrText>Ref60310822 \r \h</w:instrText>
      </w:r>
      <w:r w:rsidRPr="00A270F5">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270F5">
        <w:rPr>
          <w:rStyle w:val="af7"/>
          <w:rFonts w:eastAsia="Guttman Hodes"/>
          <w:rtl/>
        </w:rPr>
      </w:r>
      <w:r w:rsidRPr="00A270F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A270F5">
        <w:rPr>
          <w:rStyle w:val="af7"/>
          <w:rFonts w:eastAsia="Guttman Hodes"/>
          <w:rtl/>
        </w:rPr>
        <w:fldChar w:fldCharType="end"/>
      </w:r>
      <w:r>
        <w:rPr>
          <w:rFonts w:hint="cs"/>
          <w:rtl/>
        </w:rPr>
        <w:t xml:space="preserve"> דצריך עדים דדר בה חד יומא, והקשה </w:t>
      </w:r>
      <w:r w:rsidRPr="00FD3ECC">
        <w:rPr>
          <w:rStyle w:val="af9"/>
          <w:rFonts w:hint="cs"/>
          <w:rtl/>
        </w:rPr>
        <w:t xml:space="preserve">התומים </w:t>
      </w:r>
      <w:r>
        <w:rPr>
          <w:rFonts w:hint="cs"/>
          <w:rtl/>
        </w:rPr>
        <w:t xml:space="preserve">דהרי אף כשיש עדים למערער, פליגי </w:t>
      </w:r>
      <w:r w:rsidRPr="00FD3ECC">
        <w:rPr>
          <w:rStyle w:val="af9"/>
          <w:rFonts w:hint="cs"/>
          <w:rtl/>
        </w:rPr>
        <w:t>התוס'</w:t>
      </w:r>
      <w:r>
        <w:rPr>
          <w:rFonts w:hint="cs"/>
          <w:rtl/>
        </w:rPr>
        <w:t xml:space="preserve"> על </w:t>
      </w:r>
      <w:r w:rsidRPr="00FD3ECC">
        <w:rPr>
          <w:rStyle w:val="af9"/>
          <w:rFonts w:hint="cs"/>
          <w:rtl/>
        </w:rPr>
        <w:t xml:space="preserve">הרשב"ם </w:t>
      </w:r>
      <w:r>
        <w:rPr>
          <w:rFonts w:hint="cs"/>
          <w:rtl/>
        </w:rPr>
        <w:t xml:space="preserve">וס"ל דמהני טענת קמי דידי דר בה חד יומא אף כשאין עדים למערער, ונאמן במיגו דמינך זבינתה, כמו דנאמן בטענת קמי דידי זבנה מינך, </w:t>
      </w:r>
      <w:r w:rsidRPr="0029412B">
        <w:rPr>
          <w:rStyle w:val="afb"/>
          <w:rFonts w:hint="cs"/>
          <w:rtl/>
        </w:rPr>
        <w:t xml:space="preserve">[וכתב </w:t>
      </w:r>
      <w:r w:rsidRPr="0029412B">
        <w:rPr>
          <w:rStyle w:val="affa"/>
          <w:rFonts w:hint="cs"/>
          <w:rtl/>
        </w:rPr>
        <w:t xml:space="preserve">התומים </w:t>
      </w:r>
      <w:r w:rsidRPr="0029412B">
        <w:rPr>
          <w:rStyle w:val="afb"/>
          <w:rFonts w:hint="cs"/>
          <w:rtl/>
        </w:rPr>
        <w:t xml:space="preserve">דזה מה שהוקשה </w:t>
      </w:r>
      <w:r w:rsidRPr="0029412B">
        <w:rPr>
          <w:rStyle w:val="affa"/>
          <w:rFonts w:hint="cs"/>
          <w:rtl/>
        </w:rPr>
        <w:t xml:space="preserve">למהרש"א </w:t>
      </w:r>
      <w:r w:rsidRPr="0029412B">
        <w:rPr>
          <w:rStyle w:val="aff6"/>
          <w:rFonts w:hint="cs"/>
          <w:rtl/>
        </w:rPr>
        <w:t xml:space="preserve">(עי' אות </w:t>
      </w:r>
      <w:r w:rsidRPr="0029412B">
        <w:rPr>
          <w:rStyle w:val="aff6"/>
          <w:rtl/>
        </w:rPr>
        <w:fldChar w:fldCharType="begin"/>
      </w:r>
      <w:r w:rsidRPr="0029412B">
        <w:rPr>
          <w:rStyle w:val="aff6"/>
          <w:rtl/>
        </w:rPr>
        <w:instrText xml:space="preserve"> </w:instrText>
      </w:r>
      <w:r w:rsidRPr="0029412B">
        <w:rPr>
          <w:rStyle w:val="aff6"/>
          <w:rFonts w:hint="cs"/>
        </w:rPr>
        <w:instrText>REF</w:instrText>
      </w:r>
      <w:r w:rsidRPr="0029412B">
        <w:rPr>
          <w:rStyle w:val="aff6"/>
          <w:rFonts w:hint="cs"/>
          <w:rtl/>
        </w:rPr>
        <w:instrText xml:space="preserve"> _</w:instrText>
      </w:r>
      <w:r w:rsidRPr="0029412B">
        <w:rPr>
          <w:rStyle w:val="aff6"/>
          <w:rFonts w:hint="cs"/>
        </w:rPr>
        <w:instrText>Ref60587143 \r \h</w:instrText>
      </w:r>
      <w:r w:rsidRPr="0029412B">
        <w:rPr>
          <w:rStyle w:val="aff6"/>
          <w:rtl/>
        </w:rPr>
        <w:instrText xml:space="preserve"> </w:instrText>
      </w:r>
      <w:r w:rsidRPr="0029412B">
        <w:rPr>
          <w:rStyle w:val="aff6"/>
          <w:rtl/>
        </w:rPr>
      </w:r>
      <w:r w:rsidRPr="0029412B">
        <w:rPr>
          <w:rStyle w:val="aff6"/>
          <w:rtl/>
        </w:rPr>
        <w:fldChar w:fldCharType="separate"/>
      </w:r>
      <w:r w:rsidR="00265073">
        <w:rPr>
          <w:rStyle w:val="aff6"/>
          <w:cs/>
        </w:rPr>
        <w:t>‎</w:t>
      </w:r>
      <w:r w:rsidR="00265073">
        <w:rPr>
          <w:rStyle w:val="aff6"/>
          <w:rtl/>
        </w:rPr>
        <w:t>ז)</w:t>
      </w:r>
      <w:r w:rsidRPr="0029412B">
        <w:rPr>
          <w:rStyle w:val="aff6"/>
          <w:rtl/>
        </w:rPr>
        <w:fldChar w:fldCharType="end"/>
      </w:r>
      <w:r w:rsidRPr="0029412B">
        <w:rPr>
          <w:rStyle w:val="afb"/>
          <w:rFonts w:hint="cs"/>
          <w:rtl/>
        </w:rPr>
        <w:t xml:space="preserve"> בדברי </w:t>
      </w:r>
      <w:r w:rsidRPr="0029412B">
        <w:rPr>
          <w:rStyle w:val="affa"/>
          <w:rFonts w:hint="cs"/>
          <w:rtl/>
        </w:rPr>
        <w:t>התוס'</w:t>
      </w:r>
      <w:r w:rsidRPr="0029412B">
        <w:rPr>
          <w:rStyle w:val="afb"/>
          <w:rFonts w:hint="cs"/>
          <w:rtl/>
        </w:rPr>
        <w:t xml:space="preserve">, אך כתב </w:t>
      </w:r>
      <w:r w:rsidRPr="0029412B">
        <w:rPr>
          <w:rStyle w:val="affa"/>
          <w:rFonts w:hint="cs"/>
          <w:rtl/>
        </w:rPr>
        <w:t xml:space="preserve">התומים </w:t>
      </w:r>
      <w:r w:rsidRPr="0029412B">
        <w:rPr>
          <w:rStyle w:val="afb"/>
          <w:rFonts w:hint="cs"/>
          <w:rtl/>
        </w:rPr>
        <w:t xml:space="preserve">דמ"ש </w:t>
      </w:r>
      <w:r w:rsidRPr="0029412B">
        <w:rPr>
          <w:rStyle w:val="affa"/>
          <w:rFonts w:hint="cs"/>
          <w:rtl/>
        </w:rPr>
        <w:t xml:space="preserve">המהרש"א </w:t>
      </w:r>
      <w:r w:rsidRPr="0029412B">
        <w:rPr>
          <w:rStyle w:val="afb"/>
          <w:rFonts w:hint="cs"/>
          <w:rtl/>
        </w:rPr>
        <w:t xml:space="preserve">דאף </w:t>
      </w:r>
      <w:r w:rsidRPr="0029412B">
        <w:rPr>
          <w:rStyle w:val="affa"/>
          <w:rFonts w:hint="cs"/>
          <w:rtl/>
        </w:rPr>
        <w:t xml:space="preserve">לרשב"ם </w:t>
      </w:r>
      <w:r w:rsidRPr="0029412B">
        <w:rPr>
          <w:rStyle w:val="afb"/>
          <w:rFonts w:hint="cs"/>
          <w:rtl/>
        </w:rPr>
        <w:t>מהני טענת קמי דידי דר בה חד יומא, הוא דוחק טובא]</w:t>
      </w:r>
      <w:r>
        <w:rPr>
          <w:rStyle w:val="afb"/>
          <w:rFonts w:hint="cs"/>
          <w:rtl/>
        </w:rPr>
        <w:t xml:space="preserve">, </w:t>
      </w:r>
      <w:r>
        <w:rPr>
          <w:rtl/>
        </w:rPr>
        <w:t xml:space="preserve">אלא כתב </w:t>
      </w:r>
      <w:r>
        <w:rPr>
          <w:rStyle w:val="af9"/>
          <w:rtl/>
        </w:rPr>
        <w:t xml:space="preserve">התומים </w:t>
      </w:r>
      <w:r>
        <w:rPr>
          <w:rtl/>
        </w:rPr>
        <w:t xml:space="preserve">דמוכח דאף לדעת </w:t>
      </w:r>
      <w:r w:rsidRPr="00E94D3E">
        <w:rPr>
          <w:rStyle w:val="af9"/>
          <w:rtl/>
        </w:rPr>
        <w:t xml:space="preserve">התוס' </w:t>
      </w:r>
      <w:r>
        <w:rPr>
          <w:rtl/>
        </w:rPr>
        <w:t>בטענת קמי דידי דר בה חד יומא, אינו נאמן במיגו דמינך זבינתה, ורק כשאין עדים למערער, נאמן במיגו דלא הייתה שלך מעולם, דאינו מיגו דהעזה, והא דכתבו</w:t>
      </w:r>
      <w:r w:rsidRPr="00FD3ECC">
        <w:rPr>
          <w:rStyle w:val="af9"/>
          <w:rtl/>
        </w:rPr>
        <w:t xml:space="preserve"> התוס' </w:t>
      </w:r>
      <w:r>
        <w:rPr>
          <w:rtl/>
        </w:rPr>
        <w:t>דנאמן בטענת קמי דידי זבנה מינך במיגו, דמינך זבינתה, הוא כיון דטענת המיגו אינה העזה יותר ממה שטוען עכשיו</w:t>
      </w:r>
      <w:r>
        <w:rPr>
          <w:rFonts w:hint="cs"/>
          <w:rtl/>
        </w:rPr>
        <w:t xml:space="preserve">, וכעי"ז כתב </w:t>
      </w:r>
      <w:r w:rsidRPr="00FD3ECC">
        <w:rPr>
          <w:rStyle w:val="af9"/>
          <w:rFonts w:hint="cs"/>
          <w:rtl/>
        </w:rPr>
        <w:t xml:space="preserve">בחי' רמ"ש </w:t>
      </w:r>
      <w:r w:rsidRPr="00A270F5">
        <w:rPr>
          <w:rStyle w:val="af7"/>
          <w:rFonts w:eastAsia="Guttman Hodes" w:hint="cs"/>
          <w:rtl/>
        </w:rPr>
        <w:t xml:space="preserve">(עי' אות </w:t>
      </w:r>
      <w:r w:rsidRPr="00A270F5">
        <w:rPr>
          <w:rStyle w:val="af7"/>
          <w:rFonts w:eastAsia="Guttman Hodes"/>
          <w:rtl/>
        </w:rPr>
        <w:fldChar w:fldCharType="begin"/>
      </w:r>
      <w:r w:rsidRPr="00A270F5">
        <w:rPr>
          <w:rStyle w:val="af7"/>
          <w:rFonts w:eastAsia="Guttman Hodes"/>
          <w:rtl/>
        </w:rPr>
        <w:instrText xml:space="preserve"> </w:instrText>
      </w:r>
      <w:r w:rsidRPr="00A270F5">
        <w:rPr>
          <w:rStyle w:val="af7"/>
          <w:rFonts w:eastAsia="Guttman Hodes"/>
        </w:rPr>
        <w:instrText>REF</w:instrText>
      </w:r>
      <w:r w:rsidRPr="00A270F5">
        <w:rPr>
          <w:rStyle w:val="af7"/>
          <w:rFonts w:eastAsia="Guttman Hodes"/>
          <w:rtl/>
        </w:rPr>
        <w:instrText xml:space="preserve"> _</w:instrText>
      </w:r>
      <w:r w:rsidRPr="00A270F5">
        <w:rPr>
          <w:rStyle w:val="af7"/>
          <w:rFonts w:eastAsia="Guttman Hodes"/>
        </w:rPr>
        <w:instrText>Ref60693883 \r \h</w:instrText>
      </w:r>
      <w:r w:rsidRPr="00A270F5">
        <w:rPr>
          <w:rStyle w:val="af7"/>
          <w:rFonts w:eastAsia="Guttman Hodes"/>
          <w:rtl/>
        </w:rPr>
        <w:instrText xml:space="preserve"> </w:instrText>
      </w:r>
      <w:r w:rsidRPr="00A270F5">
        <w:rPr>
          <w:rStyle w:val="af7"/>
          <w:rFonts w:eastAsia="Guttman Hodes"/>
          <w:rtl/>
        </w:rPr>
      </w:r>
      <w:r w:rsidRPr="00A270F5">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A270F5">
        <w:rPr>
          <w:rStyle w:val="af7"/>
          <w:rFonts w:eastAsia="Guttman Hodes"/>
          <w:rtl/>
        </w:rPr>
        <w:fldChar w:fldCharType="end"/>
      </w:r>
      <w:r>
        <w:rPr>
          <w:rtl/>
        </w:rPr>
        <w:t>.</w:t>
      </w:r>
      <w:bookmarkEnd w:id="10504"/>
    </w:p>
    <w:p w:rsidR="006A4297" w:rsidRDefault="006A4297" w:rsidP="006A4297">
      <w:pPr>
        <w:pStyle w:val="afe"/>
        <w:rPr>
          <w:rtl/>
        </w:rPr>
      </w:pPr>
      <w:bookmarkStart w:id="10505" w:name="_Toc60612602"/>
      <w:bookmarkStart w:id="10506" w:name="_Toc60616443"/>
      <w:bookmarkStart w:id="10507" w:name="_Toc60678197"/>
      <w:bookmarkStart w:id="10508" w:name="_Toc60589185"/>
      <w:r>
        <w:rPr>
          <w:rFonts w:hint="cs"/>
          <w:rtl/>
        </w:rPr>
        <w:t>בד' ר"י והרשב"א בתוס' בטענת חד יומא</w:t>
      </w:r>
      <w:bookmarkEnd w:id="10505"/>
      <w:bookmarkEnd w:id="10506"/>
      <w:bookmarkEnd w:id="10507"/>
    </w:p>
    <w:p w:rsidR="006A4297" w:rsidRDefault="006A4297" w:rsidP="006A4297">
      <w:pPr>
        <w:pStyle w:val="1"/>
        <w:rPr>
          <w:rtl/>
        </w:rPr>
      </w:pPr>
      <w:bookmarkStart w:id="10509" w:name="_Toc60678199"/>
      <w:r>
        <w:rPr>
          <w:rFonts w:hint="cs"/>
          <w:noProof/>
          <w:rtl/>
        </w:rPr>
        <w:t>משמעות</w:t>
      </w:r>
      <w:r>
        <w:rPr>
          <w:noProof/>
          <w:rtl/>
        </w:rPr>
        <w:t xml:space="preserve"> ההג' אשר"י</w:t>
      </w:r>
      <w:r>
        <w:rPr>
          <w:rFonts w:hint="cs"/>
          <w:noProof/>
          <w:rtl/>
        </w:rPr>
        <w:t xml:space="preserve"> דנח' ר"י והרשב"א בתוס' אי נאמן</w:t>
      </w:r>
      <w:r>
        <w:rPr>
          <w:rFonts w:hint="cs"/>
          <w:rtl/>
        </w:rPr>
        <w:t xml:space="preserve"> </w:t>
      </w:r>
    </w:p>
    <w:p w:rsidR="006A4297" w:rsidRDefault="006A4297" w:rsidP="006A4297">
      <w:pPr>
        <w:pStyle w:val="a3"/>
        <w:rPr>
          <w:rtl/>
        </w:rPr>
      </w:pPr>
      <w:r>
        <w:rPr>
          <w:rFonts w:hint="cs"/>
          <w:rtl/>
        </w:rPr>
        <w:t>דברי ההג"א דעידי חד יומא ל"מ בלא חזקה וביאור גליון תוס' והמהרש"א דהיינו לדעת ר"י</w:t>
      </w:r>
      <w:bookmarkEnd w:id="10509"/>
    </w:p>
    <w:p w:rsidR="006A4297" w:rsidRDefault="006A4297" w:rsidP="007E4E81">
      <w:pPr>
        <w:pStyle w:val="a0"/>
        <w:rPr>
          <w:rtl/>
        </w:rPr>
      </w:pPr>
      <w:bookmarkStart w:id="10510" w:name="_Ref60615316"/>
      <w:r>
        <w:rPr>
          <w:rFonts w:hint="cs"/>
          <w:rtl/>
        </w:rPr>
        <w:t>כתב</w:t>
      </w:r>
      <w:r>
        <w:rPr>
          <w:rStyle w:val="af9"/>
          <w:rtl/>
        </w:rPr>
        <w:t xml:space="preserve"> בהג' אשר"י </w:t>
      </w:r>
      <w:r>
        <w:rPr>
          <w:rStyle w:val="af7"/>
          <w:rFonts w:eastAsia="Guttman Hodes" w:hint="cs"/>
          <w:rtl/>
        </w:rPr>
        <w:t>(על הרא"ש סי' ז' ד"ה ואפילו)</w:t>
      </w:r>
      <w:r>
        <w:rPr>
          <w:rFonts w:hint="cs"/>
          <w:rtl/>
        </w:rPr>
        <w:t xml:space="preserve"> דכשיש למחזיק חזקת ג"ש, נאמן רק בטענת ברי, או בעידי </w:t>
      </w:r>
      <w:r w:rsidRPr="008767B6">
        <w:rPr>
          <w:rFonts w:hint="cs"/>
          <w:rtl/>
        </w:rPr>
        <w:t xml:space="preserve">חד יומא, ובלא חזקה לא מהני אף עידי חד יומא, ועי' במ"ש </w:t>
      </w:r>
      <w:r w:rsidRPr="008767B6">
        <w:rPr>
          <w:rStyle w:val="af9"/>
          <w:rFonts w:hint="cs"/>
          <w:rtl/>
        </w:rPr>
        <w:t>הגליון תוס'</w:t>
      </w:r>
      <w:r w:rsidRPr="008767B6">
        <w:rPr>
          <w:rFonts w:hint="cs"/>
          <w:rtl/>
        </w:rPr>
        <w:t xml:space="preserve"> </w:t>
      </w:r>
      <w:r w:rsidRPr="008767B6">
        <w:rPr>
          <w:rStyle w:val="af7"/>
          <w:rFonts w:eastAsia="Guttman Hodes" w:hint="cs"/>
          <w:rtl/>
        </w:rPr>
        <w:t xml:space="preserve">(עי' אות </w:t>
      </w:r>
      <w:r w:rsidRPr="008767B6">
        <w:rPr>
          <w:rStyle w:val="af7"/>
          <w:rFonts w:eastAsia="Guttman Hodes"/>
          <w:rtl/>
        </w:rPr>
        <w:fldChar w:fldCharType="begin"/>
      </w:r>
      <w:r w:rsidRPr="008767B6">
        <w:rPr>
          <w:rStyle w:val="af7"/>
          <w:rFonts w:eastAsia="Guttman Hodes"/>
          <w:rtl/>
        </w:rPr>
        <w:instrText xml:space="preserve"> </w:instrText>
      </w:r>
      <w:r w:rsidRPr="008767B6">
        <w:rPr>
          <w:rStyle w:val="af7"/>
          <w:rFonts w:eastAsia="Guttman Hodes" w:hint="cs"/>
        </w:rPr>
        <w:instrText>REF</w:instrText>
      </w:r>
      <w:r w:rsidRPr="008767B6">
        <w:rPr>
          <w:rStyle w:val="af7"/>
          <w:rFonts w:eastAsia="Guttman Hodes" w:hint="cs"/>
          <w:rtl/>
        </w:rPr>
        <w:instrText xml:space="preserve"> _</w:instrText>
      </w:r>
      <w:r w:rsidRPr="008767B6">
        <w:rPr>
          <w:rStyle w:val="af7"/>
          <w:rFonts w:eastAsia="Guttman Hodes" w:hint="cs"/>
        </w:rPr>
        <w:instrText>Ref60640974 \r \h</w:instrText>
      </w:r>
      <w:r w:rsidRPr="008767B6">
        <w:rPr>
          <w:rStyle w:val="af7"/>
          <w:rFonts w:eastAsia="Guttman Hodes"/>
          <w:rtl/>
        </w:rPr>
        <w:instrText xml:space="preserve">  \* </w:instrText>
      </w:r>
      <w:r w:rsidRPr="008767B6">
        <w:rPr>
          <w:rStyle w:val="af7"/>
          <w:rFonts w:eastAsia="Guttman Hodes"/>
        </w:rPr>
        <w:instrText>MERGEFORMAT</w:instrText>
      </w:r>
      <w:r w:rsidRPr="008767B6">
        <w:rPr>
          <w:rStyle w:val="af7"/>
          <w:rFonts w:eastAsia="Guttman Hodes"/>
          <w:rtl/>
        </w:rPr>
        <w:instrText xml:space="preserve"> </w:instrText>
      </w:r>
      <w:r w:rsidRPr="008767B6">
        <w:rPr>
          <w:rStyle w:val="af7"/>
          <w:rFonts w:eastAsia="Guttman Hodes"/>
          <w:rtl/>
        </w:rPr>
      </w:r>
      <w:r w:rsidRPr="008767B6">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8767B6">
        <w:rPr>
          <w:rStyle w:val="af7"/>
          <w:rFonts w:eastAsia="Guttman Hodes"/>
          <w:rtl/>
        </w:rPr>
        <w:fldChar w:fldCharType="end"/>
      </w:r>
      <w:r w:rsidRPr="008767B6">
        <w:rPr>
          <w:rFonts w:hint="cs"/>
          <w:rtl/>
        </w:rPr>
        <w:t xml:space="preserve"> </w:t>
      </w:r>
      <w:r w:rsidRPr="008767B6">
        <w:rPr>
          <w:rStyle w:val="af9"/>
          <w:rFonts w:hint="cs"/>
          <w:rtl/>
        </w:rPr>
        <w:t>והמהרש"א</w:t>
      </w:r>
      <w:r w:rsidRPr="008767B6">
        <w:rPr>
          <w:rFonts w:hint="cs"/>
          <w:rtl/>
        </w:rPr>
        <w:t xml:space="preserve"> </w:t>
      </w:r>
      <w:r w:rsidRPr="008767B6">
        <w:rPr>
          <w:rStyle w:val="af7"/>
          <w:rFonts w:eastAsia="Guttman Hodes" w:hint="cs"/>
          <w:rtl/>
        </w:rPr>
        <w:t>(עי'</w:t>
      </w:r>
      <w:r w:rsidRPr="008767B6">
        <w:rPr>
          <w:rFonts w:hint="cs"/>
          <w:rtl/>
        </w:rPr>
        <w:t xml:space="preserve"> </w:t>
      </w:r>
      <w:r w:rsidRPr="008767B6">
        <w:rPr>
          <w:rStyle w:val="af7"/>
          <w:rFonts w:eastAsia="Guttman Hodes" w:hint="cs"/>
          <w:rtl/>
        </w:rPr>
        <w:t>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Ref60641043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Pr>
          <w:rStyle w:val="af7"/>
          <w:rFonts w:eastAsia="Guttman Hodes"/>
          <w:rtl/>
        </w:rPr>
        <w:fldChar w:fldCharType="end"/>
      </w:r>
      <w:r>
        <w:rPr>
          <w:rStyle w:val="af7"/>
          <w:rFonts w:eastAsia="Guttman Hodes" w:hint="cs"/>
          <w:rtl/>
        </w:rPr>
        <w:t xml:space="preserve"> </w:t>
      </w:r>
      <w:r w:rsidRPr="008767B6">
        <w:rPr>
          <w:rFonts w:hint="cs"/>
          <w:rtl/>
        </w:rPr>
        <w:t xml:space="preserve">דהיינו לדעת </w:t>
      </w:r>
      <w:r w:rsidRPr="008767B6">
        <w:rPr>
          <w:rStyle w:val="af9"/>
          <w:rFonts w:hint="cs"/>
          <w:rtl/>
        </w:rPr>
        <w:t>ר"י</w:t>
      </w:r>
      <w:r w:rsidRPr="008767B6">
        <w:rPr>
          <w:rStyle w:val="af7"/>
          <w:rFonts w:eastAsia="Guttman Hodes" w:hint="cs"/>
          <w:rtl/>
        </w:rPr>
        <w:t xml:space="preserve"> (עי' אות </w:t>
      </w:r>
      <w:r w:rsidRPr="008767B6">
        <w:rPr>
          <w:rStyle w:val="af7"/>
          <w:rFonts w:eastAsia="Guttman Hodes"/>
          <w:rtl/>
        </w:rPr>
        <w:fldChar w:fldCharType="begin"/>
      </w:r>
      <w:r w:rsidRPr="008767B6">
        <w:rPr>
          <w:rStyle w:val="af7"/>
          <w:rFonts w:eastAsia="Guttman Hodes"/>
          <w:rtl/>
        </w:rPr>
        <w:instrText xml:space="preserve"> </w:instrText>
      </w:r>
      <w:r w:rsidRPr="008767B6">
        <w:rPr>
          <w:rStyle w:val="af7"/>
          <w:rFonts w:eastAsia="Guttman Hodes" w:hint="cs"/>
        </w:rPr>
        <w:instrText>REF</w:instrText>
      </w:r>
      <w:r w:rsidRPr="008767B6">
        <w:rPr>
          <w:rStyle w:val="af7"/>
          <w:rFonts w:eastAsia="Guttman Hodes" w:hint="cs"/>
          <w:rtl/>
        </w:rPr>
        <w:instrText xml:space="preserve"> _</w:instrText>
      </w:r>
      <w:r w:rsidRPr="008767B6">
        <w:rPr>
          <w:rStyle w:val="af7"/>
          <w:rFonts w:eastAsia="Guttman Hodes" w:hint="cs"/>
        </w:rPr>
        <w:instrText>Ref60640954 \r \h</w:instrText>
      </w:r>
      <w:r w:rsidRPr="008767B6">
        <w:rPr>
          <w:rStyle w:val="af7"/>
          <w:rFonts w:eastAsia="Guttman Hodes"/>
          <w:rtl/>
        </w:rPr>
        <w:instrText xml:space="preserve">  \* </w:instrText>
      </w:r>
      <w:r w:rsidRPr="008767B6">
        <w:rPr>
          <w:rStyle w:val="af7"/>
          <w:rFonts w:eastAsia="Guttman Hodes"/>
        </w:rPr>
        <w:instrText>MERGEFORMAT</w:instrText>
      </w:r>
      <w:r w:rsidRPr="008767B6">
        <w:rPr>
          <w:rStyle w:val="af7"/>
          <w:rFonts w:eastAsia="Guttman Hodes"/>
          <w:rtl/>
        </w:rPr>
        <w:instrText xml:space="preserve"> </w:instrText>
      </w:r>
      <w:r w:rsidRPr="008767B6">
        <w:rPr>
          <w:rStyle w:val="af7"/>
          <w:rFonts w:eastAsia="Guttman Hodes"/>
          <w:rtl/>
        </w:rPr>
      </w:r>
      <w:r w:rsidRPr="008767B6">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8767B6">
        <w:rPr>
          <w:rStyle w:val="af7"/>
          <w:rFonts w:eastAsia="Guttman Hodes"/>
          <w:rtl/>
        </w:rPr>
        <w:fldChar w:fldCharType="end"/>
      </w:r>
      <w:r w:rsidRPr="008767B6">
        <w:rPr>
          <w:rFonts w:hint="cs"/>
          <w:rtl/>
        </w:rPr>
        <w:t xml:space="preserve">, </w:t>
      </w:r>
      <w:r>
        <w:rPr>
          <w:rFonts w:hint="cs"/>
          <w:rtl/>
        </w:rPr>
        <w:t xml:space="preserve">ועי' במה שביאר </w:t>
      </w:r>
      <w:r w:rsidRPr="00774353">
        <w:rPr>
          <w:rStyle w:val="af9"/>
          <w:rFonts w:hint="cs"/>
          <w:rtl/>
        </w:rPr>
        <w:t>בחי' רבי ראובן</w:t>
      </w:r>
      <w:r>
        <w:rPr>
          <w:rFonts w:hint="cs"/>
          <w:rtl/>
        </w:rPr>
        <w:t xml:space="preserve"> </w:t>
      </w:r>
      <w:r w:rsidRPr="00B67671">
        <w:rPr>
          <w:rStyle w:val="af7"/>
          <w:rFonts w:eastAsia="Guttman Hodes" w:hint="cs"/>
          <w:rtl/>
        </w:rPr>
        <w:t xml:space="preserve">(עי' אות </w:t>
      </w:r>
      <w:r w:rsidRPr="00B67671">
        <w:rPr>
          <w:rStyle w:val="af7"/>
          <w:rFonts w:eastAsia="Guttman Hodes"/>
          <w:rtl/>
        </w:rPr>
        <w:fldChar w:fldCharType="begin"/>
      </w:r>
      <w:r w:rsidRPr="00B67671">
        <w:rPr>
          <w:rStyle w:val="af7"/>
          <w:rFonts w:eastAsia="Guttman Hodes"/>
          <w:rtl/>
        </w:rPr>
        <w:instrText xml:space="preserve"> </w:instrText>
      </w:r>
      <w:r w:rsidRPr="00B67671">
        <w:rPr>
          <w:rStyle w:val="af7"/>
          <w:rFonts w:eastAsia="Guttman Hodes" w:hint="cs"/>
        </w:rPr>
        <w:instrText>REF</w:instrText>
      </w:r>
      <w:r w:rsidRPr="00B67671">
        <w:rPr>
          <w:rStyle w:val="af7"/>
          <w:rFonts w:eastAsia="Guttman Hodes" w:hint="cs"/>
          <w:rtl/>
        </w:rPr>
        <w:instrText xml:space="preserve"> _</w:instrText>
      </w:r>
      <w:r w:rsidRPr="00B67671">
        <w:rPr>
          <w:rStyle w:val="af7"/>
          <w:rFonts w:eastAsia="Guttman Hodes" w:hint="cs"/>
        </w:rPr>
        <w:instrText>Ref60657525 \r \h</w:instrText>
      </w:r>
      <w:r w:rsidRPr="00B67671">
        <w:rPr>
          <w:rStyle w:val="af7"/>
          <w:rFonts w:eastAsia="Guttman Hodes"/>
          <w:rtl/>
        </w:rPr>
        <w:instrText xml:space="preserve"> </w:instrText>
      </w:r>
      <w:r w:rsidRPr="00B67671">
        <w:rPr>
          <w:rStyle w:val="af7"/>
          <w:rFonts w:eastAsia="Guttman Hodes"/>
          <w:rtl/>
        </w:rPr>
      </w:r>
      <w:r w:rsidRPr="00B67671">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B67671">
        <w:rPr>
          <w:rStyle w:val="af7"/>
          <w:rFonts w:eastAsia="Guttman Hodes"/>
          <w:rtl/>
        </w:rPr>
        <w:fldChar w:fldCharType="end"/>
      </w:r>
      <w:r>
        <w:rPr>
          <w:rFonts w:hint="cs"/>
          <w:rtl/>
        </w:rPr>
        <w:t xml:space="preserve"> בדברי </w:t>
      </w:r>
      <w:r w:rsidRPr="00774353">
        <w:rPr>
          <w:rStyle w:val="af9"/>
          <w:rFonts w:hint="cs"/>
          <w:rtl/>
        </w:rPr>
        <w:t>ההג' אשר"</w:t>
      </w:r>
      <w:r>
        <w:rPr>
          <w:rStyle w:val="af9"/>
          <w:rFonts w:hint="cs"/>
          <w:rtl/>
        </w:rPr>
        <w:t>י</w:t>
      </w:r>
      <w:r>
        <w:rPr>
          <w:rFonts w:hint="cs"/>
          <w:rtl/>
        </w:rPr>
        <w:t>.</w:t>
      </w:r>
      <w:bookmarkEnd w:id="10510"/>
    </w:p>
    <w:p w:rsidR="009335CD" w:rsidRPr="009335CD" w:rsidRDefault="009335CD" w:rsidP="009335CD">
      <w:pPr>
        <w:pStyle w:val="a3"/>
      </w:pPr>
    </w:p>
    <w:p w:rsidR="006A4297" w:rsidRDefault="006A4297" w:rsidP="006A4297">
      <w:pPr>
        <w:pStyle w:val="a3"/>
        <w:rPr>
          <w:rtl/>
        </w:rPr>
      </w:pPr>
      <w:bookmarkStart w:id="10511" w:name="_Toc60678200"/>
      <w:r>
        <w:rPr>
          <w:rFonts w:hint="cs"/>
          <w:rtl/>
        </w:rPr>
        <w:t>דברי ההג"א דלדעת הרשב"א בתוס' נאמן בטענת חד יומא במיגו אף שאין לו עדים</w:t>
      </w:r>
      <w:bookmarkEnd w:id="10511"/>
    </w:p>
    <w:p w:rsidR="006A4297" w:rsidRPr="00751916" w:rsidRDefault="006A4297" w:rsidP="007E4E81">
      <w:pPr>
        <w:pStyle w:val="a0"/>
        <w:rPr>
          <w:rtl/>
        </w:rPr>
      </w:pPr>
      <w:bookmarkStart w:id="10512" w:name="_Ref60605600"/>
      <w:r>
        <w:rPr>
          <w:rFonts w:hint="cs"/>
          <w:rtl/>
        </w:rPr>
        <w:t xml:space="preserve">אך כתב </w:t>
      </w:r>
      <w:r>
        <w:rPr>
          <w:rStyle w:val="af9"/>
          <w:rtl/>
        </w:rPr>
        <w:t>בהג' אשר"י</w:t>
      </w:r>
      <w:r>
        <w:rPr>
          <w:rFonts w:hint="cs"/>
          <w:rtl/>
        </w:rPr>
        <w:t xml:space="preserve"> דלדעת </w:t>
      </w:r>
      <w:r>
        <w:rPr>
          <w:rStyle w:val="af9"/>
          <w:rtl/>
        </w:rPr>
        <w:t>הרשב"א בתוס'</w:t>
      </w:r>
      <w:r>
        <w:rPr>
          <w:rFonts w:hint="cs"/>
          <w:rtl/>
        </w:rPr>
        <w:t xml:space="preserve"> </w:t>
      </w:r>
      <w:r w:rsidRPr="008767B6">
        <w:rPr>
          <w:rStyle w:val="af7"/>
          <w:rFonts w:eastAsia="Guttman Hodes" w:hint="cs"/>
          <w:rtl/>
        </w:rPr>
        <w:t xml:space="preserve">(עי' אות </w:t>
      </w:r>
      <w:r w:rsidRPr="008767B6">
        <w:rPr>
          <w:rStyle w:val="af7"/>
          <w:rFonts w:eastAsia="Guttman Hodes"/>
          <w:rtl/>
        </w:rPr>
        <w:fldChar w:fldCharType="begin"/>
      </w:r>
      <w:r w:rsidRPr="008767B6">
        <w:rPr>
          <w:rStyle w:val="af7"/>
          <w:rFonts w:eastAsia="Guttman Hodes"/>
          <w:rtl/>
        </w:rPr>
        <w:instrText xml:space="preserve"> </w:instrText>
      </w:r>
      <w:r w:rsidRPr="008767B6">
        <w:rPr>
          <w:rStyle w:val="af7"/>
          <w:rFonts w:eastAsia="Guttman Hodes" w:hint="cs"/>
        </w:rPr>
        <w:instrText>REF</w:instrText>
      </w:r>
      <w:r w:rsidRPr="008767B6">
        <w:rPr>
          <w:rStyle w:val="af7"/>
          <w:rFonts w:eastAsia="Guttman Hodes" w:hint="cs"/>
          <w:rtl/>
        </w:rPr>
        <w:instrText xml:space="preserve"> _</w:instrText>
      </w:r>
      <w:r w:rsidRPr="008767B6">
        <w:rPr>
          <w:rStyle w:val="af7"/>
          <w:rFonts w:eastAsia="Guttman Hodes" w:hint="cs"/>
        </w:rPr>
        <w:instrText>Ref60342515 \r \h</w:instrText>
      </w:r>
      <w:r w:rsidRPr="008767B6">
        <w:rPr>
          <w:rStyle w:val="af7"/>
          <w:rFonts w:eastAsia="Guttman Hodes"/>
          <w:rtl/>
        </w:rPr>
        <w:instrText xml:space="preserve"> </w:instrText>
      </w:r>
      <w:r w:rsidRPr="008767B6">
        <w:rPr>
          <w:rStyle w:val="af7"/>
          <w:rFonts w:eastAsia="Guttman Hodes"/>
          <w:rtl/>
        </w:rPr>
      </w:r>
      <w:r w:rsidRPr="008767B6">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8767B6">
        <w:rPr>
          <w:rStyle w:val="af7"/>
          <w:rFonts w:eastAsia="Guttman Hodes"/>
          <w:rtl/>
        </w:rPr>
        <w:fldChar w:fldCharType="end"/>
      </w:r>
      <w:r>
        <w:rPr>
          <w:rFonts w:hint="cs"/>
          <w:rtl/>
        </w:rPr>
        <w:t xml:space="preserve"> אף כשאין לו חזקת ג"ש, וטוען קמי דידי זבנה מינך, או דדר בה המוכר חד יומא, נאמן במיגו דלא הייתה שלך מעולם.</w:t>
      </w:r>
      <w:bookmarkEnd w:id="10512"/>
    </w:p>
    <w:p w:rsidR="006A4297" w:rsidRPr="00E93ADA" w:rsidRDefault="006A4297" w:rsidP="006A4297">
      <w:pPr>
        <w:pStyle w:val="afe"/>
        <w:rPr>
          <w:rtl/>
        </w:rPr>
      </w:pPr>
      <w:bookmarkStart w:id="10513" w:name="_Toc60612604"/>
      <w:bookmarkStart w:id="10514" w:name="_Toc60616445"/>
      <w:bookmarkStart w:id="10515" w:name="_Toc60678201"/>
      <w:r>
        <w:rPr>
          <w:rFonts w:hint="cs"/>
          <w:rtl/>
        </w:rPr>
        <w:t>ד' הראשונים דחד יומא מהני רק בעדים</w:t>
      </w:r>
      <w:bookmarkEnd w:id="10496"/>
      <w:bookmarkEnd w:id="10497"/>
      <w:bookmarkEnd w:id="10508"/>
      <w:bookmarkEnd w:id="10513"/>
      <w:bookmarkEnd w:id="10514"/>
      <w:bookmarkEnd w:id="10515"/>
    </w:p>
    <w:p w:rsidR="006A4297" w:rsidRDefault="006A4297" w:rsidP="006A4297">
      <w:pPr>
        <w:pStyle w:val="1"/>
        <w:rPr>
          <w:rtl/>
        </w:rPr>
      </w:pPr>
      <w:bookmarkStart w:id="10516" w:name="_Toc60303777"/>
      <w:bookmarkStart w:id="10517" w:name="_Toc60357040"/>
      <w:bookmarkStart w:id="10518" w:name="_Toc60589186"/>
      <w:bookmarkStart w:id="10519" w:name="_Toc60612605"/>
      <w:bookmarkStart w:id="10520" w:name="_Toc60616446"/>
      <w:bookmarkStart w:id="10521" w:name="_Toc60678202"/>
      <w:r>
        <w:rPr>
          <w:rFonts w:hint="cs"/>
          <w:rtl/>
        </w:rPr>
        <w:t>דברי הבעה"מ</w:t>
      </w:r>
      <w:bookmarkEnd w:id="10419"/>
      <w:bookmarkEnd w:id="10420"/>
      <w:bookmarkEnd w:id="10421"/>
      <w:bookmarkEnd w:id="10516"/>
      <w:bookmarkEnd w:id="10517"/>
      <w:bookmarkEnd w:id="10518"/>
      <w:bookmarkEnd w:id="10519"/>
      <w:bookmarkEnd w:id="10520"/>
      <w:r>
        <w:rPr>
          <w:rFonts w:hint="cs"/>
          <w:rtl/>
        </w:rPr>
        <w:t xml:space="preserve"> והרמב"ן דאינו נאמן בחד יומא בלי עדים</w:t>
      </w:r>
      <w:bookmarkEnd w:id="10521"/>
    </w:p>
    <w:p w:rsidR="006A4297" w:rsidRPr="009B4FB2" w:rsidRDefault="006A4297" w:rsidP="006A4297">
      <w:pPr>
        <w:pStyle w:val="a3"/>
        <w:rPr>
          <w:rtl/>
        </w:rPr>
      </w:pPr>
      <w:bookmarkStart w:id="10522" w:name="_Toc60612606"/>
      <w:bookmarkStart w:id="10523" w:name="_Toc60616447"/>
      <w:bookmarkStart w:id="10524" w:name="_Toc60678203"/>
      <w:r>
        <w:rPr>
          <w:rFonts w:hint="cs"/>
          <w:rtl/>
        </w:rPr>
        <w:t>דברי הבעה"מ דאינו נאמן בחד יומא בלי עדים דאי באמת דר בה היה לו קל להביא עדים</w:t>
      </w:r>
      <w:bookmarkEnd w:id="10522"/>
      <w:bookmarkEnd w:id="10523"/>
      <w:bookmarkEnd w:id="10524"/>
    </w:p>
    <w:p w:rsidR="006A4297" w:rsidRPr="00FE7BFF" w:rsidRDefault="006A4297" w:rsidP="007E4E81">
      <w:pPr>
        <w:pStyle w:val="a0"/>
        <w:rPr>
          <w:rtl/>
        </w:rPr>
      </w:pPr>
      <w:bookmarkStart w:id="10525" w:name="_Ref60133425"/>
      <w:r w:rsidRPr="00FE7BFF">
        <w:rPr>
          <w:rFonts w:hint="cs"/>
          <w:rtl/>
        </w:rPr>
        <w:t xml:space="preserve">כתב </w:t>
      </w:r>
      <w:r w:rsidRPr="00585920">
        <w:rPr>
          <w:rStyle w:val="af9"/>
          <w:rFonts w:hint="cs"/>
          <w:rtl/>
        </w:rPr>
        <w:t>הבעה"מ</w:t>
      </w:r>
      <w:r w:rsidRPr="00FE7BFF">
        <w:rPr>
          <w:rFonts w:hint="cs"/>
          <w:rtl/>
        </w:rPr>
        <w:t xml:space="preserve"> </w:t>
      </w:r>
      <w:r w:rsidRPr="00585920">
        <w:rPr>
          <w:rStyle w:val="af7"/>
          <w:rFonts w:eastAsia="Guttman Hodes" w:hint="cs"/>
          <w:rtl/>
        </w:rPr>
        <w:t>(יז. מדה"ר ד"ה קריביה)</w:t>
      </w:r>
      <w:r w:rsidRPr="00FE7BFF">
        <w:rPr>
          <w:rFonts w:hint="cs"/>
          <w:rtl/>
        </w:rPr>
        <w:t xml:space="preserve"> דכשטוען המחזיק </w:t>
      </w:r>
      <w:r>
        <w:rPr>
          <w:rFonts w:hint="cs"/>
          <w:rtl/>
        </w:rPr>
        <w:t>קמי דידי דר בה המוכר חד יומא אינו נאמן</w:t>
      </w:r>
      <w:r w:rsidRPr="00FE7BFF">
        <w:rPr>
          <w:rFonts w:hint="cs"/>
          <w:rtl/>
        </w:rPr>
        <w:t xml:space="preserve">, </w:t>
      </w:r>
      <w:r>
        <w:rPr>
          <w:rFonts w:hint="cs"/>
          <w:rtl/>
        </w:rPr>
        <w:t>ד</w:t>
      </w:r>
      <w:r w:rsidRPr="00FE7BFF">
        <w:rPr>
          <w:rFonts w:hint="cs"/>
          <w:rtl/>
        </w:rPr>
        <w:t>אמרינן ליה דאם באמת דר בה, היו עדים ע"ז דדבר קל להביא עדים על דבר כזה, ולא דמי לעדות חזקת ג"ש, שקשה להביא עליה עדים.</w:t>
      </w:r>
      <w:bookmarkEnd w:id="10525"/>
    </w:p>
    <w:p w:rsidR="006A4297" w:rsidRPr="00FE7BFF" w:rsidRDefault="006A4297" w:rsidP="006A4297">
      <w:pPr>
        <w:pStyle w:val="a3"/>
        <w:rPr>
          <w:rtl/>
        </w:rPr>
      </w:pPr>
      <w:bookmarkStart w:id="10526" w:name="_Toc60612607"/>
      <w:bookmarkStart w:id="10527" w:name="_Toc60616448"/>
      <w:bookmarkStart w:id="10528" w:name="_Toc60678204"/>
      <w:r>
        <w:rPr>
          <w:rFonts w:hint="cs"/>
          <w:rtl/>
        </w:rPr>
        <w:t>דברי הרמב"ן דהוא דבר קשה להביא עידי חד יומא אחר ג"ש דסגי שהניח שם כליו ויצא</w:t>
      </w:r>
      <w:bookmarkEnd w:id="10526"/>
      <w:bookmarkEnd w:id="10527"/>
      <w:bookmarkEnd w:id="10528"/>
    </w:p>
    <w:p w:rsidR="006A4297" w:rsidRPr="00CB14C1" w:rsidRDefault="006A4297" w:rsidP="007E4E81">
      <w:pPr>
        <w:pStyle w:val="a0"/>
        <w:rPr>
          <w:rtl/>
        </w:rPr>
      </w:pPr>
      <w:bookmarkStart w:id="10529" w:name="_Ref60593851"/>
      <w:r w:rsidRPr="00FE7BFF">
        <w:rPr>
          <w:rFonts w:hint="cs"/>
          <w:rtl/>
        </w:rPr>
        <w:t xml:space="preserve">ודחה </w:t>
      </w:r>
      <w:r w:rsidRPr="00585920">
        <w:rPr>
          <w:rStyle w:val="af9"/>
          <w:rFonts w:hint="cs"/>
          <w:rtl/>
        </w:rPr>
        <w:t>הרמב"ן במלחמות</w:t>
      </w:r>
      <w:r w:rsidRPr="00FE7BFF">
        <w:rPr>
          <w:rFonts w:hint="cs"/>
          <w:rtl/>
        </w:rPr>
        <w:t xml:space="preserve"> </w:t>
      </w:r>
      <w:r w:rsidRPr="00873066">
        <w:rPr>
          <w:rStyle w:val="af7"/>
          <w:rFonts w:eastAsia="Guttman Hodes" w:hint="cs"/>
          <w:rtl/>
        </w:rPr>
        <w:t>(יז. מדה"ר ד"ה ועוד)</w:t>
      </w:r>
      <w:r w:rsidRPr="00FE7BFF">
        <w:rPr>
          <w:rFonts w:hint="cs"/>
          <w:rtl/>
        </w:rPr>
        <w:t xml:space="preserve"> את דברי </w:t>
      </w:r>
      <w:r w:rsidRPr="00585920">
        <w:rPr>
          <w:rStyle w:val="af9"/>
          <w:rFonts w:hint="cs"/>
          <w:rtl/>
        </w:rPr>
        <w:t>הבעה"מ</w:t>
      </w:r>
      <w:r w:rsidRPr="00FE7BFF">
        <w:rPr>
          <w:rFonts w:hint="cs"/>
          <w:rtl/>
        </w:rPr>
        <w:t>, דאדרבה יותר קשה להביא עדים על דירת יום אחד, מאשר על דירת כמה שנים, ואף אם ראו כמה בנ"א שדר שם, לאחר כמה שנים, היאך הוא יכול להביאם לב"ד,</w:t>
      </w:r>
      <w:r>
        <w:rPr>
          <w:rFonts w:hint="cs"/>
          <w:rtl/>
        </w:rPr>
        <w:t xml:space="preserve"> </w:t>
      </w:r>
      <w:r w:rsidRPr="00FE7BFF">
        <w:rPr>
          <w:rFonts w:hint="cs"/>
          <w:rtl/>
        </w:rPr>
        <w:t>דהא חזקת הלוקח מהני, אף אם המוכר רק דר בלילה והניח את כלים ויצא</w:t>
      </w:r>
      <w:r>
        <w:rPr>
          <w:rFonts w:hint="cs"/>
          <w:rtl/>
        </w:rPr>
        <w:t>.</w:t>
      </w:r>
      <w:r w:rsidRPr="00FE7BFF">
        <w:rPr>
          <w:rFonts w:hint="cs"/>
          <w:rtl/>
        </w:rPr>
        <w:t xml:space="preserve"> </w:t>
      </w:r>
      <w:r w:rsidRPr="00CB14C1">
        <w:rPr>
          <w:rFonts w:hint="cs"/>
          <w:rtl/>
        </w:rPr>
        <w:t xml:space="preserve">[והוסיף </w:t>
      </w:r>
      <w:r w:rsidRPr="00CB14C1">
        <w:rPr>
          <w:rStyle w:val="af9"/>
          <w:rFonts w:hint="cs"/>
          <w:rtl/>
        </w:rPr>
        <w:t>הש"ך</w:t>
      </w:r>
      <w:r w:rsidRPr="00CB14C1">
        <w:rPr>
          <w:rFonts w:hint="cs"/>
          <w:rtl/>
        </w:rPr>
        <w:t xml:space="preserve"> </w:t>
      </w:r>
      <w:r w:rsidRPr="00CB14C1">
        <w:rPr>
          <w:rStyle w:val="af7"/>
          <w:rFonts w:eastAsia="Guttman Rashi" w:hint="cs"/>
          <w:rtl/>
        </w:rPr>
        <w:t>(סי' קמ"ו סקי"א)</w:t>
      </w:r>
      <w:r w:rsidRPr="00CB14C1">
        <w:rPr>
          <w:rFonts w:hint="cs"/>
          <w:rtl/>
        </w:rPr>
        <w:t xml:space="preserve"> להקשות דאף אם היה לו עדים יתכן ששכחו או מתו או הלכו למדה"י].</w:t>
      </w:r>
      <w:bookmarkEnd w:id="10529"/>
    </w:p>
    <w:p w:rsidR="006A4297" w:rsidRDefault="006A4297" w:rsidP="006A4297">
      <w:pPr>
        <w:pStyle w:val="a3"/>
        <w:rPr>
          <w:rtl/>
        </w:rPr>
      </w:pPr>
      <w:bookmarkStart w:id="10530" w:name="_Toc60612608"/>
      <w:bookmarkStart w:id="10531" w:name="_Toc60616449"/>
      <w:bookmarkStart w:id="10532" w:name="_Toc60678205"/>
      <w:r>
        <w:rPr>
          <w:rFonts w:hint="cs"/>
          <w:rtl/>
        </w:rPr>
        <w:t>דברי הרמב"ן במלחמות דטענינן ללוקח רק כשיש עידי חד יומא דרגלים לדבר דקנאה מהמערער</w:t>
      </w:r>
      <w:bookmarkEnd w:id="10530"/>
      <w:bookmarkEnd w:id="10531"/>
      <w:bookmarkEnd w:id="10532"/>
    </w:p>
    <w:p w:rsidR="006A4297" w:rsidRDefault="006A4297" w:rsidP="007E4E81">
      <w:pPr>
        <w:pStyle w:val="a0"/>
        <w:rPr>
          <w:rtl/>
        </w:rPr>
      </w:pPr>
      <w:bookmarkStart w:id="10533" w:name="_Ref60656687"/>
      <w:r w:rsidRPr="00FE7BFF">
        <w:rPr>
          <w:rFonts w:hint="cs"/>
          <w:rtl/>
        </w:rPr>
        <w:t xml:space="preserve">אך כתב </w:t>
      </w:r>
      <w:r w:rsidRPr="00585920">
        <w:rPr>
          <w:rStyle w:val="af9"/>
          <w:rFonts w:hint="cs"/>
          <w:rtl/>
        </w:rPr>
        <w:t>הרמב"ן במלחמות</w:t>
      </w:r>
      <w:r w:rsidRPr="00FE7BFF">
        <w:rPr>
          <w:rFonts w:hint="cs"/>
          <w:rtl/>
        </w:rPr>
        <w:t xml:space="preserve"> דכ"מ דטענינן ללוקח הוא רק כשיש עדים </w:t>
      </w:r>
      <w:r>
        <w:rPr>
          <w:rFonts w:hint="cs"/>
          <w:rtl/>
        </w:rPr>
        <w:t>קמי דידי דר בה המוכר חד יומא</w:t>
      </w:r>
      <w:r w:rsidRPr="00FE7BFF">
        <w:rPr>
          <w:rFonts w:hint="cs"/>
          <w:rtl/>
        </w:rPr>
        <w:t>, דרגלים לדבר שהמוכר קנה מהמערער</w:t>
      </w:r>
      <w:r>
        <w:rPr>
          <w:rFonts w:hint="cs"/>
          <w:rtl/>
        </w:rPr>
        <w:t>.</w:t>
      </w:r>
      <w:bookmarkEnd w:id="10533"/>
    </w:p>
    <w:p w:rsidR="006A4297" w:rsidRPr="00150F6E" w:rsidRDefault="006A4297" w:rsidP="006A4297">
      <w:pPr>
        <w:pStyle w:val="1"/>
        <w:rPr>
          <w:rtl/>
        </w:rPr>
      </w:pPr>
      <w:bookmarkStart w:id="10534" w:name="_Toc60678206"/>
      <w:r>
        <w:rPr>
          <w:rFonts w:hint="cs"/>
          <w:rtl/>
        </w:rPr>
        <w:t>ביאור הרמב"ן דלא טענינן כשנאמן במיגו דלא מפיו אנו חיין</w:t>
      </w:r>
      <w:bookmarkEnd w:id="10534"/>
    </w:p>
    <w:p w:rsidR="006A4297" w:rsidRPr="00873066" w:rsidRDefault="006A4297" w:rsidP="006A4297">
      <w:pPr>
        <w:pStyle w:val="a3"/>
        <w:rPr>
          <w:rtl/>
        </w:rPr>
      </w:pPr>
      <w:bookmarkStart w:id="10535" w:name="_Toc60612609"/>
      <w:bookmarkStart w:id="10536" w:name="_Toc60616450"/>
      <w:bookmarkStart w:id="10537" w:name="_Toc60678207"/>
      <w:r>
        <w:rPr>
          <w:rFonts w:hint="cs"/>
          <w:rtl/>
        </w:rPr>
        <w:t>דברי הרמב"ן דלא טענינן ללוקח מכח מיגו בלא עדים דמיחזי כשיקרא ולא מפיו אנו חיין</w:t>
      </w:r>
      <w:bookmarkEnd w:id="10535"/>
      <w:bookmarkEnd w:id="10536"/>
      <w:bookmarkEnd w:id="10537"/>
    </w:p>
    <w:p w:rsidR="006A4297" w:rsidRDefault="006A4297" w:rsidP="007E4E81">
      <w:pPr>
        <w:pStyle w:val="a0"/>
        <w:rPr>
          <w:rtl/>
        </w:rPr>
      </w:pPr>
      <w:bookmarkStart w:id="10538" w:name="_Ref60133638"/>
      <w:bookmarkStart w:id="10539" w:name="_Toc58359170"/>
      <w:bookmarkStart w:id="10540" w:name="_Toc58409431"/>
      <w:bookmarkStart w:id="10541" w:name="_Toc58432673"/>
      <w:bookmarkStart w:id="10542" w:name="_Toc58532487"/>
      <w:bookmarkStart w:id="10543" w:name="_Toc58580106"/>
      <w:bookmarkStart w:id="10544" w:name="_Toc59113249"/>
      <w:bookmarkStart w:id="10545" w:name="_Toc59136968"/>
      <w:r>
        <w:rPr>
          <w:rFonts w:hint="cs"/>
          <w:rtl/>
        </w:rPr>
        <w:t xml:space="preserve">וכ"כ </w:t>
      </w:r>
      <w:r w:rsidRPr="00AC0510">
        <w:rPr>
          <w:rStyle w:val="af9"/>
          <w:rFonts w:hint="cs"/>
          <w:rtl/>
        </w:rPr>
        <w:t>הרמב"ן לקמן</w:t>
      </w:r>
      <w:r>
        <w:rPr>
          <w:rFonts w:hint="cs"/>
          <w:rtl/>
        </w:rPr>
        <w:t xml:space="preserve"> </w:t>
      </w:r>
      <w:r w:rsidRPr="00313542">
        <w:rPr>
          <w:rStyle w:val="af7"/>
          <w:rFonts w:eastAsia="Guttman Hodes" w:hint="cs"/>
          <w:rtl/>
        </w:rPr>
        <w:t xml:space="preserve">(מא: ד"ה הא) </w:t>
      </w:r>
      <w:r>
        <w:rPr>
          <w:rFonts w:hint="cs"/>
          <w:rtl/>
        </w:rPr>
        <w:t xml:space="preserve">דהמחזיק אינו נאמן לומר קמי דידי דר בה המוכר חד יומא, כשאין לו עדים ע"ז, במיגו דהיה טוען מינך זבינתה, </w:t>
      </w:r>
      <w:r w:rsidRPr="004F3D5E">
        <w:rPr>
          <w:rStyle w:val="afb"/>
          <w:rFonts w:hint="cs"/>
          <w:rtl/>
        </w:rPr>
        <w:t xml:space="preserve">[אעפ"י דבגמ' לקמן </w:t>
      </w:r>
      <w:r w:rsidRPr="004F3D5E">
        <w:rPr>
          <w:rStyle w:val="aff6"/>
          <w:rFonts w:hint="cs"/>
          <w:rtl/>
        </w:rPr>
        <w:t>(מא:)</w:t>
      </w:r>
      <w:r w:rsidRPr="004F3D5E">
        <w:rPr>
          <w:rStyle w:val="afb"/>
          <w:rFonts w:hint="cs"/>
          <w:rtl/>
        </w:rPr>
        <w:t xml:space="preserve"> איירי שיש למחזיק חזקת ג"ש],</w:t>
      </w:r>
      <w:r>
        <w:rPr>
          <w:rFonts w:hint="cs"/>
          <w:rtl/>
        </w:rPr>
        <w:t xml:space="preserve"> וביאר </w:t>
      </w:r>
      <w:r w:rsidRPr="00F90AEA">
        <w:rPr>
          <w:rStyle w:val="af9"/>
          <w:rFonts w:hint="cs"/>
          <w:rtl/>
        </w:rPr>
        <w:t>הרמב"ן לקמן</w:t>
      </w:r>
      <w:r>
        <w:rPr>
          <w:rFonts w:hint="cs"/>
          <w:rtl/>
        </w:rPr>
        <w:t xml:space="preserve"> דכ"מ דכשיש עדים דדר בה חד יומא טענינן למחזיק, שהמוכר קנה מהמערער, הוא כיון ש</w:t>
      </w:r>
      <w:r w:rsidRPr="004C5CC0">
        <w:rPr>
          <w:rFonts w:hint="cs"/>
          <w:rtl/>
        </w:rPr>
        <w:t xml:space="preserve">יש רגלים לדבר שהמוכר קנה מהמערער </w:t>
      </w:r>
      <w:r>
        <w:rPr>
          <w:rFonts w:hint="cs"/>
          <w:rtl/>
        </w:rPr>
        <w:t xml:space="preserve">דהא </w:t>
      </w:r>
      <w:r w:rsidRPr="004C5CC0">
        <w:rPr>
          <w:rFonts w:hint="cs"/>
          <w:rtl/>
        </w:rPr>
        <w:t xml:space="preserve">הוא כבר דר בה, </w:t>
      </w:r>
      <w:r>
        <w:rPr>
          <w:rFonts w:hint="cs"/>
          <w:rtl/>
        </w:rPr>
        <w:t xml:space="preserve">אבל מכח מיגו אין דין טענינן, והוסיף </w:t>
      </w:r>
      <w:r w:rsidRPr="00F90AEA">
        <w:rPr>
          <w:rStyle w:val="af9"/>
          <w:rFonts w:hint="cs"/>
          <w:rtl/>
        </w:rPr>
        <w:t>הרמב"ן לקמן</w:t>
      </w:r>
      <w:r>
        <w:rPr>
          <w:rFonts w:hint="cs"/>
          <w:rtl/>
        </w:rPr>
        <w:t xml:space="preserve"> דאעפ"י שאם היה המחזיק טוען קמי דידי זבנה מינך היה נאמן, מ"מ כשאינו טוען כן אנן לא טענינן ליה, דכיון שאין עדים ש</w:t>
      </w:r>
      <w:r w:rsidRPr="004C5CC0">
        <w:rPr>
          <w:rFonts w:hint="cs"/>
          <w:rtl/>
        </w:rPr>
        <w:t>דר בה המוכר, הוא מיחזי כשיקרא במה שאומר שהמוכר קנה מהמערער, כיון ש</w:t>
      </w:r>
      <w:r>
        <w:rPr>
          <w:rFonts w:hint="cs"/>
          <w:rtl/>
        </w:rPr>
        <w:t xml:space="preserve">אין עדים שהוא </w:t>
      </w:r>
      <w:r w:rsidRPr="004C5CC0">
        <w:rPr>
          <w:rFonts w:hint="cs"/>
          <w:rtl/>
        </w:rPr>
        <w:t>דר בה</w:t>
      </w:r>
      <w:r>
        <w:rPr>
          <w:rFonts w:hint="cs"/>
          <w:rtl/>
        </w:rPr>
        <w:t>, ואעפ"י שהמחזיק טוען דדר בה, מ"מ א"א לטעון לו מחמת כן, דלא מפיו אנו חיין</w:t>
      </w:r>
      <w:r>
        <w:rPr>
          <w:rStyle w:val="af1"/>
          <w:rtl/>
        </w:rPr>
        <w:footnoteReference w:id="70"/>
      </w:r>
      <w:r>
        <w:rPr>
          <w:rFonts w:hint="cs"/>
          <w:rtl/>
        </w:rPr>
        <w:t xml:space="preserve">, ועי' במה שביארו </w:t>
      </w:r>
      <w:r w:rsidRPr="00777AAD">
        <w:rPr>
          <w:rStyle w:val="af9"/>
          <w:rFonts w:hint="cs"/>
          <w:rtl/>
        </w:rPr>
        <w:lastRenderedPageBreak/>
        <w:t>בחו"ש הגרב"ב</w:t>
      </w:r>
      <w:r>
        <w:rPr>
          <w:rFonts w:hint="cs"/>
          <w:rtl/>
        </w:rPr>
        <w:t xml:space="preserve"> </w:t>
      </w:r>
      <w:r>
        <w:rPr>
          <w:rStyle w:val="af7"/>
          <w:rFonts w:eastAsia="Guttman Hodes" w:hint="cs"/>
          <w:rtl/>
        </w:rPr>
        <w:t xml:space="preserve">(עי' </w:t>
      </w:r>
      <w:r w:rsidRPr="00D34C58">
        <w:rPr>
          <w:rStyle w:val="af7"/>
          <w:rFonts w:eastAsia="Guttman Hodes" w:hint="cs"/>
          <w:rtl/>
        </w:rPr>
        <w:t xml:space="preserve">אות </w:t>
      </w:r>
      <w:r w:rsidRPr="00D34C58">
        <w:rPr>
          <w:rStyle w:val="af7"/>
          <w:rFonts w:eastAsia="Guttman Hodes"/>
          <w:rtl/>
        </w:rPr>
        <w:fldChar w:fldCharType="begin"/>
      </w:r>
      <w:r w:rsidRPr="00D34C58">
        <w:rPr>
          <w:rStyle w:val="af7"/>
          <w:rFonts w:eastAsia="Guttman Hodes"/>
          <w:rtl/>
        </w:rPr>
        <w:instrText xml:space="preserve"> </w:instrText>
      </w:r>
      <w:r w:rsidRPr="00D34C58">
        <w:rPr>
          <w:rStyle w:val="af7"/>
          <w:rFonts w:eastAsia="Guttman Hodes" w:hint="cs"/>
        </w:rPr>
        <w:instrText>REF</w:instrText>
      </w:r>
      <w:r w:rsidRPr="00D34C58">
        <w:rPr>
          <w:rStyle w:val="af7"/>
          <w:rFonts w:eastAsia="Guttman Hodes" w:hint="cs"/>
          <w:rtl/>
        </w:rPr>
        <w:instrText xml:space="preserve"> _</w:instrText>
      </w:r>
      <w:r w:rsidRPr="00D34C58">
        <w:rPr>
          <w:rStyle w:val="af7"/>
          <w:rFonts w:eastAsia="Guttman Hodes" w:hint="cs"/>
        </w:rPr>
        <w:instrText>Ref60654361 \r \h</w:instrText>
      </w:r>
      <w:r w:rsidRPr="00D34C58">
        <w:rPr>
          <w:rStyle w:val="af7"/>
          <w:rFonts w:eastAsia="Guttman Hodes"/>
          <w:rtl/>
        </w:rPr>
        <w:instrText xml:space="preserve"> </w:instrText>
      </w:r>
      <w:r w:rsidRPr="00D34C58">
        <w:rPr>
          <w:rStyle w:val="af7"/>
          <w:rFonts w:eastAsia="Guttman Hodes"/>
          <w:rtl/>
        </w:rPr>
      </w:r>
      <w:r w:rsidRPr="00D34C58">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D34C58">
        <w:rPr>
          <w:rStyle w:val="af7"/>
          <w:rFonts w:eastAsia="Guttman Hodes"/>
          <w:rtl/>
        </w:rPr>
        <w:fldChar w:fldCharType="end"/>
      </w:r>
      <w:r w:rsidRPr="00FD5556">
        <w:rPr>
          <w:rStyle w:val="af9"/>
          <w:rFonts w:hint="cs"/>
          <w:rtl/>
        </w:rPr>
        <w:t xml:space="preserve"> </w:t>
      </w:r>
      <w:r>
        <w:rPr>
          <w:rStyle w:val="af9"/>
          <w:rFonts w:hint="cs"/>
          <w:rtl/>
        </w:rPr>
        <w:t>ו</w:t>
      </w:r>
      <w:r w:rsidRPr="008D1B15">
        <w:rPr>
          <w:rStyle w:val="af9"/>
          <w:rFonts w:hint="cs"/>
          <w:rtl/>
        </w:rPr>
        <w:t>בחי'</w:t>
      </w:r>
      <w:r>
        <w:rPr>
          <w:rFonts w:hint="cs"/>
          <w:rtl/>
        </w:rPr>
        <w:t xml:space="preserve"> </w:t>
      </w:r>
      <w:r w:rsidRPr="008D1B15">
        <w:rPr>
          <w:rStyle w:val="af9"/>
          <w:rFonts w:hint="cs"/>
          <w:rtl/>
        </w:rPr>
        <w:t>רבי</w:t>
      </w:r>
      <w:r>
        <w:rPr>
          <w:rFonts w:hint="cs"/>
          <w:rtl/>
        </w:rPr>
        <w:t xml:space="preserve"> </w:t>
      </w:r>
      <w:r w:rsidRPr="008D1B15">
        <w:rPr>
          <w:rStyle w:val="af9"/>
          <w:rFonts w:hint="cs"/>
          <w:rtl/>
        </w:rPr>
        <w:t>ראובן</w:t>
      </w:r>
      <w:r>
        <w:rPr>
          <w:rFonts w:hint="cs"/>
          <w:rtl/>
        </w:rPr>
        <w:t xml:space="preserve"> </w:t>
      </w:r>
      <w:r>
        <w:rPr>
          <w:rStyle w:val="af7"/>
          <w:rFonts w:eastAsia="Guttman Hodes" w:hint="cs"/>
          <w:rtl/>
        </w:rPr>
        <w:t xml:space="preserve">(עי' </w:t>
      </w:r>
      <w:r w:rsidRPr="00FD5556">
        <w:rPr>
          <w:rStyle w:val="af7"/>
          <w:rFonts w:eastAsia="Guttman Hodes" w:hint="cs"/>
          <w:rtl/>
        </w:rPr>
        <w:t xml:space="preserve">אות </w:t>
      </w:r>
      <w:r w:rsidRPr="00FD5556">
        <w:rPr>
          <w:rStyle w:val="af7"/>
          <w:rFonts w:eastAsia="Guttman Hodes"/>
          <w:rtl/>
        </w:rPr>
        <w:fldChar w:fldCharType="begin"/>
      </w:r>
      <w:r w:rsidRPr="00FD5556">
        <w:rPr>
          <w:rStyle w:val="af7"/>
          <w:rFonts w:eastAsia="Guttman Hodes"/>
          <w:rtl/>
        </w:rPr>
        <w:instrText xml:space="preserve"> </w:instrText>
      </w:r>
      <w:r w:rsidRPr="00FD5556">
        <w:rPr>
          <w:rStyle w:val="af7"/>
          <w:rFonts w:eastAsia="Guttman Hodes" w:hint="cs"/>
        </w:rPr>
        <w:instrText>REF</w:instrText>
      </w:r>
      <w:r w:rsidRPr="00FD5556">
        <w:rPr>
          <w:rStyle w:val="af7"/>
          <w:rFonts w:eastAsia="Guttman Hodes" w:hint="cs"/>
          <w:rtl/>
        </w:rPr>
        <w:instrText xml:space="preserve"> _</w:instrText>
      </w:r>
      <w:r w:rsidRPr="00FD5556">
        <w:rPr>
          <w:rStyle w:val="af7"/>
          <w:rFonts w:eastAsia="Guttman Hodes" w:hint="cs"/>
        </w:rPr>
        <w:instrText>Ref60656983 \r \h</w:instrText>
      </w:r>
      <w:r w:rsidRPr="00FD5556">
        <w:rPr>
          <w:rStyle w:val="af7"/>
          <w:rFonts w:eastAsia="Guttman Hodes"/>
          <w:rtl/>
        </w:rPr>
        <w:instrText xml:space="preserve"> </w:instrText>
      </w:r>
      <w:r w:rsidRPr="00FD5556">
        <w:rPr>
          <w:rStyle w:val="af7"/>
          <w:rFonts w:eastAsia="Guttman Hodes"/>
          <w:rtl/>
        </w:rPr>
      </w:r>
      <w:r w:rsidRPr="00FD5556">
        <w:rPr>
          <w:rStyle w:val="af7"/>
          <w:rFonts w:eastAsia="Guttman Hodes"/>
          <w:rtl/>
        </w:rPr>
        <w:fldChar w:fldCharType="separate"/>
      </w:r>
      <w:r w:rsidR="00265073">
        <w:rPr>
          <w:rStyle w:val="af7"/>
          <w:rFonts w:eastAsia="Guttman Hodes"/>
          <w:cs/>
        </w:rPr>
        <w:t>‎</w:t>
      </w:r>
      <w:r w:rsidR="00265073">
        <w:rPr>
          <w:rStyle w:val="af7"/>
          <w:rFonts w:eastAsia="Guttman Hodes"/>
          <w:rtl/>
        </w:rPr>
        <w:t>צח)</w:t>
      </w:r>
      <w:r w:rsidRPr="00FD5556">
        <w:rPr>
          <w:rStyle w:val="af7"/>
          <w:rFonts w:eastAsia="Guttman Hodes"/>
          <w:rtl/>
        </w:rPr>
        <w:fldChar w:fldCharType="end"/>
      </w:r>
      <w:r>
        <w:rPr>
          <w:rFonts w:hint="cs"/>
          <w:rtl/>
        </w:rPr>
        <w:t xml:space="preserve"> </w:t>
      </w:r>
      <w:r w:rsidRPr="00441E87">
        <w:rPr>
          <w:rStyle w:val="af9"/>
          <w:rFonts w:hint="cs"/>
          <w:rtl/>
        </w:rPr>
        <w:t>וב</w:t>
      </w:r>
      <w:r w:rsidRPr="007A2FAF">
        <w:rPr>
          <w:rStyle w:val="af9"/>
          <w:rFonts w:hint="cs"/>
          <w:rtl/>
        </w:rPr>
        <w:t>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Ref60675036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קכא)</w:t>
      </w:r>
      <w:r>
        <w:rPr>
          <w:rStyle w:val="af7"/>
          <w:rFonts w:eastAsia="Guttman Hodes"/>
          <w:rtl/>
        </w:rPr>
        <w:fldChar w:fldCharType="end"/>
      </w:r>
      <w:r w:rsidRPr="00A8567B">
        <w:rPr>
          <w:rStyle w:val="af9"/>
          <w:rFonts w:hint="cs"/>
          <w:rtl/>
        </w:rPr>
        <w:t xml:space="preserve"> ו</w:t>
      </w:r>
      <w:r>
        <w:rPr>
          <w:rStyle w:val="af9"/>
          <w:rFonts w:hint="cs"/>
          <w:rtl/>
        </w:rPr>
        <w:t>ב</w:t>
      </w:r>
      <w:r w:rsidRPr="00A8567B">
        <w:rPr>
          <w:rStyle w:val="af9"/>
          <w:rFonts w:hint="cs"/>
          <w:rtl/>
        </w:rPr>
        <w:t>אבי עזרי</w:t>
      </w:r>
      <w:r>
        <w:rPr>
          <w:rFonts w:hint="cs"/>
          <w:rtl/>
        </w:rPr>
        <w:t xml:space="preserve"> </w:t>
      </w:r>
      <w:r w:rsidRPr="00A8567B">
        <w:rPr>
          <w:rStyle w:val="af7"/>
          <w:rFonts w:eastAsia="Guttman Hodes" w:hint="cs"/>
          <w:rtl/>
        </w:rPr>
        <w:t xml:space="preserve">(עי' אות </w:t>
      </w:r>
      <w:r w:rsidRPr="00A8567B">
        <w:rPr>
          <w:rStyle w:val="af7"/>
          <w:rFonts w:eastAsia="Guttman Hodes"/>
          <w:rtl/>
        </w:rPr>
        <w:fldChar w:fldCharType="begin"/>
      </w:r>
      <w:r w:rsidRPr="00A8567B">
        <w:rPr>
          <w:rStyle w:val="af7"/>
          <w:rFonts w:eastAsia="Guttman Hodes"/>
          <w:rtl/>
        </w:rPr>
        <w:instrText xml:space="preserve"> </w:instrText>
      </w:r>
      <w:r w:rsidRPr="00A8567B">
        <w:rPr>
          <w:rStyle w:val="af7"/>
          <w:rFonts w:eastAsia="Guttman Hodes" w:hint="cs"/>
        </w:rPr>
        <w:instrText>REF</w:instrText>
      </w:r>
      <w:r w:rsidRPr="00A8567B">
        <w:rPr>
          <w:rStyle w:val="af7"/>
          <w:rFonts w:eastAsia="Guttman Hodes" w:hint="cs"/>
          <w:rtl/>
        </w:rPr>
        <w:instrText xml:space="preserve"> _</w:instrText>
      </w:r>
      <w:r w:rsidRPr="00A8567B">
        <w:rPr>
          <w:rStyle w:val="af7"/>
          <w:rFonts w:eastAsia="Guttman Hodes" w:hint="cs"/>
        </w:rPr>
        <w:instrText>Ref60674827 \r \h</w:instrText>
      </w:r>
      <w:r w:rsidRPr="00A8567B">
        <w:rPr>
          <w:rStyle w:val="af7"/>
          <w:rFonts w:eastAsia="Guttman Hodes"/>
          <w:rtl/>
        </w:rPr>
        <w:instrText xml:space="preserve"> </w:instrText>
      </w:r>
      <w:r w:rsidRPr="00A8567B">
        <w:rPr>
          <w:rStyle w:val="af7"/>
          <w:rFonts w:eastAsia="Guttman Hodes"/>
          <w:rtl/>
        </w:rPr>
      </w:r>
      <w:r w:rsidRPr="00A8567B">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A8567B">
        <w:rPr>
          <w:rStyle w:val="af7"/>
          <w:rFonts w:eastAsia="Guttman Hodes"/>
          <w:rtl/>
        </w:rPr>
        <w:fldChar w:fldCharType="end"/>
      </w:r>
      <w:r w:rsidRPr="00A8567B">
        <w:rPr>
          <w:rStyle w:val="af7"/>
          <w:rFonts w:eastAsia="Guttman Hodes" w:hint="cs"/>
          <w:rtl/>
        </w:rPr>
        <w:t xml:space="preserve"> </w:t>
      </w:r>
      <w:r>
        <w:rPr>
          <w:rFonts w:hint="cs"/>
          <w:rtl/>
        </w:rPr>
        <w:t xml:space="preserve">בדברי </w:t>
      </w:r>
      <w:r w:rsidRPr="00F90AEA">
        <w:rPr>
          <w:rStyle w:val="af9"/>
          <w:rFonts w:hint="cs"/>
          <w:rtl/>
        </w:rPr>
        <w:t>הרמב"ן</w:t>
      </w:r>
      <w:r>
        <w:rPr>
          <w:rFonts w:hint="cs"/>
          <w:rtl/>
        </w:rPr>
        <w:t>.</w:t>
      </w:r>
      <w:bookmarkEnd w:id="10538"/>
    </w:p>
    <w:p w:rsidR="006A4297" w:rsidRPr="00EA3454" w:rsidRDefault="006A4297" w:rsidP="006A4297">
      <w:pPr>
        <w:pStyle w:val="1"/>
        <w:rPr>
          <w:rtl/>
        </w:rPr>
      </w:pPr>
      <w:bookmarkStart w:id="10546" w:name="_Toc60612610"/>
      <w:bookmarkStart w:id="10547" w:name="_Toc60616451"/>
      <w:bookmarkStart w:id="10548" w:name="_Toc60678208"/>
      <w:r>
        <w:rPr>
          <w:rFonts w:hint="cs"/>
          <w:rtl/>
        </w:rPr>
        <w:t>ביאור הנימוק"י דלא אמרינן מיגו כשיש ספק לאחריו</w:t>
      </w:r>
      <w:bookmarkEnd w:id="10546"/>
      <w:bookmarkEnd w:id="10547"/>
      <w:bookmarkEnd w:id="10548"/>
      <w:r>
        <w:rPr>
          <w:rFonts w:hint="cs"/>
          <w:rtl/>
        </w:rPr>
        <w:t xml:space="preserve"> </w:t>
      </w:r>
    </w:p>
    <w:p w:rsidR="006A4297" w:rsidRDefault="006A4297" w:rsidP="006A4297">
      <w:pPr>
        <w:pStyle w:val="a3"/>
        <w:rPr>
          <w:rtl/>
        </w:rPr>
      </w:pPr>
      <w:bookmarkStart w:id="10549" w:name="_Toc60612611"/>
      <w:bookmarkStart w:id="10550" w:name="_Toc60616452"/>
      <w:bookmarkStart w:id="10551" w:name="_Toc60678209"/>
      <w:r>
        <w:rPr>
          <w:rFonts w:hint="cs"/>
          <w:rtl/>
        </w:rPr>
        <w:t>ביאור הנימוק"י דבמיגו שיש אחריו ספק ל"א מיגו דאינו נאמן כ"כ עד שצריך להגיע לטענינן</w:t>
      </w:r>
      <w:bookmarkEnd w:id="10549"/>
      <w:bookmarkEnd w:id="10550"/>
      <w:bookmarkEnd w:id="10551"/>
    </w:p>
    <w:p w:rsidR="006A4297" w:rsidRDefault="006A4297" w:rsidP="007E4E81">
      <w:pPr>
        <w:pStyle w:val="a0"/>
      </w:pPr>
      <w:bookmarkStart w:id="10552" w:name="_Ref60593526"/>
      <w:bookmarkStart w:id="10553" w:name="_Ref60674893"/>
      <w:r w:rsidRPr="00770952">
        <w:rPr>
          <w:rFonts w:hint="cs"/>
          <w:rtl/>
        </w:rPr>
        <w:t xml:space="preserve">וביאר </w:t>
      </w:r>
      <w:r w:rsidRPr="00770952">
        <w:rPr>
          <w:rStyle w:val="af9"/>
          <w:rFonts w:hint="cs"/>
          <w:rtl/>
        </w:rPr>
        <w:t>הנימוק"י</w:t>
      </w:r>
      <w:r w:rsidRPr="00770952">
        <w:rPr>
          <w:rFonts w:hint="cs"/>
          <w:rtl/>
        </w:rPr>
        <w:t xml:space="preserve"> </w:t>
      </w:r>
      <w:r w:rsidRPr="00770952">
        <w:rPr>
          <w:rStyle w:val="af9"/>
          <w:rFonts w:hint="cs"/>
          <w:rtl/>
        </w:rPr>
        <w:t>לקמן</w:t>
      </w:r>
      <w:r w:rsidRPr="00770952">
        <w:rPr>
          <w:rFonts w:hint="cs"/>
          <w:rtl/>
        </w:rPr>
        <w:t xml:space="preserve"> </w:t>
      </w:r>
      <w:r w:rsidRPr="00A8567B">
        <w:rPr>
          <w:rStyle w:val="af7"/>
          <w:rFonts w:eastAsia="Guttman Hodes" w:hint="cs"/>
          <w:rtl/>
        </w:rPr>
        <w:t>(כב. מדה"ר ד"ה אי)</w:t>
      </w:r>
      <w:r w:rsidRPr="00770952">
        <w:rPr>
          <w:rFonts w:hint="cs"/>
          <w:rtl/>
        </w:rPr>
        <w:t xml:space="preserve"> את דברי </w:t>
      </w:r>
      <w:r w:rsidRPr="00770952">
        <w:rPr>
          <w:rStyle w:val="af9"/>
          <w:rFonts w:hint="cs"/>
          <w:rtl/>
        </w:rPr>
        <w:t>הרמב"ן</w:t>
      </w:r>
      <w:r w:rsidRPr="00770952">
        <w:rPr>
          <w:rFonts w:hint="cs"/>
          <w:rtl/>
        </w:rPr>
        <w:t xml:space="preserve"> </w:t>
      </w:r>
      <w:r w:rsidRPr="00770952">
        <w:rPr>
          <w:rStyle w:val="af9"/>
          <w:rFonts w:hint="cs"/>
          <w:rtl/>
        </w:rPr>
        <w:t>לקמן</w:t>
      </w:r>
      <w:r w:rsidRPr="00A8567B">
        <w:rPr>
          <w:rStyle w:val="af7"/>
          <w:rFonts w:eastAsia="Guttman Hodes" w:hint="cs"/>
          <w:rtl/>
        </w:rPr>
        <w:t xml:space="preserve"> (עי' אות </w:t>
      </w:r>
      <w:r w:rsidRPr="00A8567B">
        <w:rPr>
          <w:rStyle w:val="af7"/>
          <w:rFonts w:eastAsia="Guttman Hodes"/>
          <w:rtl/>
        </w:rPr>
        <w:fldChar w:fldCharType="begin"/>
      </w:r>
      <w:r w:rsidRPr="00A8567B">
        <w:rPr>
          <w:rStyle w:val="af7"/>
          <w:rFonts w:eastAsia="Guttman Hodes"/>
          <w:rtl/>
        </w:rPr>
        <w:instrText xml:space="preserve"> </w:instrText>
      </w:r>
      <w:r w:rsidRPr="00A8567B">
        <w:rPr>
          <w:rStyle w:val="af7"/>
          <w:rFonts w:eastAsia="Guttman Hodes" w:hint="cs"/>
        </w:rPr>
        <w:instrText>REF</w:instrText>
      </w:r>
      <w:r w:rsidRPr="00A8567B">
        <w:rPr>
          <w:rStyle w:val="af7"/>
          <w:rFonts w:eastAsia="Guttman Hodes" w:hint="cs"/>
          <w:rtl/>
        </w:rPr>
        <w:instrText xml:space="preserve"> _</w:instrText>
      </w:r>
      <w:r w:rsidRPr="00A8567B">
        <w:rPr>
          <w:rStyle w:val="af7"/>
          <w:rFonts w:eastAsia="Guttman Hodes" w:hint="cs"/>
        </w:rPr>
        <w:instrText>Ref60133638 \r \h</w:instrText>
      </w:r>
      <w:r w:rsidRPr="00A8567B">
        <w:rPr>
          <w:rStyle w:val="af7"/>
          <w:rFonts w:eastAsia="Guttman Hodes"/>
          <w:rtl/>
        </w:rPr>
        <w:instrText xml:space="preserve"> </w:instrText>
      </w:r>
      <w:r w:rsidRPr="00A8567B">
        <w:rPr>
          <w:rStyle w:val="af7"/>
          <w:rFonts w:eastAsia="Guttman Hodes"/>
          <w:rtl/>
        </w:rPr>
      </w:r>
      <w:r w:rsidRPr="00A8567B">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A8567B">
        <w:rPr>
          <w:rStyle w:val="af7"/>
          <w:rFonts w:eastAsia="Guttman Hodes"/>
          <w:rtl/>
        </w:rPr>
        <w:fldChar w:fldCharType="end"/>
      </w:r>
      <w:r>
        <w:rPr>
          <w:rFonts w:hint="cs"/>
          <w:rtl/>
        </w:rPr>
        <w:t xml:space="preserve"> </w:t>
      </w:r>
      <w:r w:rsidRPr="00770952">
        <w:rPr>
          <w:rFonts w:hint="cs"/>
          <w:rtl/>
        </w:rPr>
        <w:t>דאינו נאמן בטענת קמי דידי דר בה חד יומא, במיגו דמינך זבינתה, דהא דמהני מיגו הוא רק באופן שאחר המיגו אין כל ספק, אבל הכא דאף אם הוא יהיה נאמן במיגו, עדיין נשאר ספק אם המוכר קנה</w:t>
      </w:r>
      <w:r>
        <w:rPr>
          <w:rFonts w:hint="cs"/>
          <w:rtl/>
        </w:rPr>
        <w:t xml:space="preserve"> מהמערער, בכה"ג לא אמרינן מיגו, דלא מפיו אנו חיין, עד כדי שנאמין לו כ"כ במיגו, ונצטרך לברר ספק אחר מדעתינו בכדי לקיים את דבריו, ונצטרך להגיע לדין טענינן דהמוכר קנה מהמערער</w:t>
      </w:r>
      <w:bookmarkStart w:id="10554" w:name="_Toc60612612"/>
      <w:bookmarkStart w:id="10555" w:name="_Toc60616453"/>
      <w:bookmarkStart w:id="10556" w:name="_Toc60357041"/>
      <w:bookmarkStart w:id="10557" w:name="_Toc60589187"/>
      <w:bookmarkStart w:id="10558" w:name="_Toc59960732"/>
      <w:bookmarkStart w:id="10559" w:name="_Toc60086822"/>
      <w:bookmarkStart w:id="10560" w:name="_Toc60173392"/>
      <w:bookmarkStart w:id="10561" w:name="_Toc60303778"/>
      <w:bookmarkEnd w:id="10552"/>
      <w:r>
        <w:rPr>
          <w:rFonts w:hint="cs"/>
          <w:rtl/>
        </w:rPr>
        <w:t xml:space="preserve">, ועי' במה שביאר </w:t>
      </w:r>
      <w:r w:rsidRPr="00A8567B">
        <w:rPr>
          <w:rStyle w:val="af9"/>
          <w:rFonts w:hint="cs"/>
          <w:rtl/>
        </w:rPr>
        <w:t>האבי עזרי</w:t>
      </w:r>
      <w:r>
        <w:rPr>
          <w:rFonts w:hint="cs"/>
          <w:rtl/>
        </w:rPr>
        <w:t xml:space="preserve"> </w:t>
      </w:r>
      <w:r w:rsidRPr="00A8567B">
        <w:rPr>
          <w:rStyle w:val="af7"/>
          <w:rFonts w:eastAsia="Guttman Hodes" w:hint="cs"/>
          <w:rtl/>
        </w:rPr>
        <w:t xml:space="preserve">(עי' אות </w:t>
      </w:r>
      <w:r w:rsidRPr="00A8567B">
        <w:rPr>
          <w:rStyle w:val="af7"/>
          <w:rFonts w:eastAsia="Guttman Hodes"/>
          <w:rtl/>
        </w:rPr>
        <w:fldChar w:fldCharType="begin"/>
      </w:r>
      <w:r w:rsidRPr="00A8567B">
        <w:rPr>
          <w:rStyle w:val="af7"/>
          <w:rFonts w:eastAsia="Guttman Hodes"/>
          <w:rtl/>
        </w:rPr>
        <w:instrText xml:space="preserve"> </w:instrText>
      </w:r>
      <w:r w:rsidRPr="00A8567B">
        <w:rPr>
          <w:rStyle w:val="af7"/>
          <w:rFonts w:eastAsia="Guttman Hodes" w:hint="cs"/>
        </w:rPr>
        <w:instrText>REF</w:instrText>
      </w:r>
      <w:r w:rsidRPr="00A8567B">
        <w:rPr>
          <w:rStyle w:val="af7"/>
          <w:rFonts w:eastAsia="Guttman Hodes" w:hint="cs"/>
          <w:rtl/>
        </w:rPr>
        <w:instrText xml:space="preserve"> _</w:instrText>
      </w:r>
      <w:r w:rsidRPr="00A8567B">
        <w:rPr>
          <w:rStyle w:val="af7"/>
          <w:rFonts w:eastAsia="Guttman Hodes" w:hint="cs"/>
        </w:rPr>
        <w:instrText>Ref60674827 \r \h</w:instrText>
      </w:r>
      <w:r w:rsidRPr="00A8567B">
        <w:rPr>
          <w:rStyle w:val="af7"/>
          <w:rFonts w:eastAsia="Guttman Hodes"/>
          <w:rtl/>
        </w:rPr>
        <w:instrText xml:space="preserve"> </w:instrText>
      </w:r>
      <w:r w:rsidRPr="00A8567B">
        <w:rPr>
          <w:rStyle w:val="af7"/>
          <w:rFonts w:eastAsia="Guttman Hodes"/>
          <w:rtl/>
        </w:rPr>
      </w:r>
      <w:r w:rsidRPr="00A8567B">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A8567B">
        <w:rPr>
          <w:rStyle w:val="af7"/>
          <w:rFonts w:eastAsia="Guttman Hodes"/>
          <w:rtl/>
        </w:rPr>
        <w:fldChar w:fldCharType="end"/>
      </w:r>
      <w:r w:rsidRPr="00A8567B">
        <w:rPr>
          <w:rStyle w:val="af7"/>
          <w:rFonts w:eastAsia="Guttman Hodes" w:hint="cs"/>
          <w:rtl/>
        </w:rPr>
        <w:t xml:space="preserve"> </w:t>
      </w:r>
      <w:r>
        <w:rPr>
          <w:rFonts w:hint="cs"/>
          <w:rtl/>
        </w:rPr>
        <w:t xml:space="preserve">בדברי </w:t>
      </w:r>
      <w:r>
        <w:rPr>
          <w:rStyle w:val="af9"/>
          <w:rFonts w:hint="cs"/>
          <w:rtl/>
        </w:rPr>
        <w:t>הנימוק"י</w:t>
      </w:r>
      <w:r>
        <w:rPr>
          <w:rFonts w:hint="cs"/>
          <w:rtl/>
        </w:rPr>
        <w:t>.</w:t>
      </w:r>
      <w:bookmarkEnd w:id="10553"/>
    </w:p>
    <w:p w:rsidR="006A4297" w:rsidRPr="00886B24" w:rsidRDefault="006A4297" w:rsidP="006A4297">
      <w:pPr>
        <w:pStyle w:val="a3"/>
      </w:pPr>
      <w:bookmarkStart w:id="10562" w:name="_Toc60678210"/>
      <w:r>
        <w:rPr>
          <w:rFonts w:hint="cs"/>
          <w:rtl/>
        </w:rPr>
        <w:t>דברי התורי"ד דכיון דאחר המיגו צריך טענינן לא טענינן במקום שהנאמנות אינה דבר ברור</w:t>
      </w:r>
      <w:bookmarkEnd w:id="10554"/>
      <w:bookmarkEnd w:id="10555"/>
      <w:bookmarkEnd w:id="10562"/>
    </w:p>
    <w:p w:rsidR="006A4297" w:rsidRDefault="006A4297" w:rsidP="007E4E81">
      <w:pPr>
        <w:pStyle w:val="a0"/>
        <w:rPr>
          <w:rtl/>
        </w:rPr>
      </w:pPr>
      <w:bookmarkStart w:id="10563" w:name="_Ref60334413"/>
      <w:r>
        <w:rPr>
          <w:rFonts w:hint="cs"/>
          <w:rtl/>
        </w:rPr>
        <w:t xml:space="preserve">וכ"כ </w:t>
      </w:r>
      <w:r w:rsidRPr="006C17B4">
        <w:rPr>
          <w:rStyle w:val="af9"/>
          <w:rFonts w:hint="cs"/>
          <w:rtl/>
        </w:rPr>
        <w:t>התוס' רי"ד לקמן</w:t>
      </w:r>
      <w:r>
        <w:rPr>
          <w:rFonts w:hint="cs"/>
          <w:rtl/>
        </w:rPr>
        <w:t xml:space="preserve"> </w:t>
      </w:r>
      <w:r w:rsidRPr="003C378A">
        <w:rPr>
          <w:rStyle w:val="af7"/>
          <w:rFonts w:eastAsia="Guttman Hodes" w:hint="cs"/>
          <w:rtl/>
        </w:rPr>
        <w:t xml:space="preserve">(או' ל"ב, מא: ד"ה א"ל) </w:t>
      </w:r>
      <w:r>
        <w:rPr>
          <w:rFonts w:hint="cs"/>
          <w:rtl/>
        </w:rPr>
        <w:t>דאם היה נאמן במיגו לבדו, לא היה צריך עדים ע"ז, אלא דכיון דאף לאחר המיגו, עדיין אינו נאמן בלא טענינן, דאנו צריכים לטעון לו דכיון דהמוכר דר חד יומא הוא קנה מהמערער, ולא אמרינן טענינן במקום שהנאמנות היא מכח מיגו, ורק בדבר ברור טענינן, דא"א להקל ב' קולות גם טענינן וגם מיגו.</w:t>
      </w:r>
      <w:bookmarkEnd w:id="10563"/>
    </w:p>
    <w:p w:rsidR="006A4297" w:rsidRPr="005018F7" w:rsidRDefault="006A4297" w:rsidP="006A4297">
      <w:pPr>
        <w:pStyle w:val="1"/>
        <w:rPr>
          <w:rtl/>
        </w:rPr>
      </w:pPr>
      <w:bookmarkStart w:id="10564" w:name="_Toc60612613"/>
      <w:bookmarkStart w:id="10565" w:name="_Toc60616454"/>
      <w:bookmarkStart w:id="10566" w:name="_Toc60678211"/>
      <w:r>
        <w:rPr>
          <w:rFonts w:hint="cs"/>
          <w:rtl/>
        </w:rPr>
        <w:t>דברי רבינו יונה</w:t>
      </w:r>
      <w:bookmarkEnd w:id="10556"/>
      <w:bookmarkEnd w:id="10557"/>
      <w:r>
        <w:rPr>
          <w:rFonts w:hint="cs"/>
          <w:rtl/>
        </w:rPr>
        <w:t xml:space="preserve"> </w:t>
      </w:r>
      <w:bookmarkEnd w:id="10558"/>
      <w:bookmarkEnd w:id="10559"/>
      <w:bookmarkEnd w:id="10560"/>
      <w:bookmarkEnd w:id="10561"/>
      <w:r>
        <w:rPr>
          <w:rFonts w:hint="cs"/>
          <w:rtl/>
        </w:rPr>
        <w:t>דמיגו שצריך עוד טענה אינו נאמן במיגו</w:t>
      </w:r>
      <w:bookmarkEnd w:id="10564"/>
      <w:bookmarkEnd w:id="10565"/>
      <w:bookmarkEnd w:id="10566"/>
    </w:p>
    <w:p w:rsidR="006A4297" w:rsidRPr="008E4BE9" w:rsidRDefault="006A4297" w:rsidP="006A4297">
      <w:pPr>
        <w:pStyle w:val="a3"/>
        <w:rPr>
          <w:sz w:val="10"/>
          <w:szCs w:val="14"/>
        </w:rPr>
      </w:pPr>
      <w:bookmarkStart w:id="10567" w:name="_Toc60612614"/>
      <w:bookmarkStart w:id="10568" w:name="_Toc60616455"/>
      <w:bookmarkStart w:id="10569" w:name="_Toc60678212"/>
      <w:r w:rsidRPr="008E4BE9">
        <w:rPr>
          <w:rtl/>
        </w:rPr>
        <w:t>קושית רבינו יונה לקמן אמאי צריך עידי חד יומא ואינו נאמן בטענת חד יומא במיגו כשיש חזקה</w:t>
      </w:r>
      <w:bookmarkEnd w:id="10567"/>
      <w:bookmarkEnd w:id="10568"/>
      <w:bookmarkEnd w:id="10569"/>
    </w:p>
    <w:p w:rsidR="006A4297" w:rsidRPr="00345C5E" w:rsidRDefault="006A4297" w:rsidP="007E4E81">
      <w:pPr>
        <w:pStyle w:val="a0"/>
        <w:rPr>
          <w:sz w:val="10"/>
          <w:szCs w:val="14"/>
        </w:rPr>
      </w:pPr>
      <w:r>
        <w:rPr>
          <w:rFonts w:hint="cs"/>
          <w:rtl/>
        </w:rPr>
        <w:t xml:space="preserve">בדברי רבי חייא בגמ' לקמן </w:t>
      </w:r>
      <w:r w:rsidRPr="003C378A">
        <w:rPr>
          <w:rStyle w:val="af7"/>
          <w:rFonts w:eastAsia="Guttman Hodes" w:hint="cs"/>
          <w:rtl/>
        </w:rPr>
        <w:t>(מא:)</w:t>
      </w:r>
      <w:r>
        <w:rPr>
          <w:rFonts w:hint="cs"/>
          <w:rtl/>
        </w:rPr>
        <w:t xml:space="preserve"> דהצריך עידי חד יומא, וכן בדברי רב דאמר דמהני טענת קמי דידי זבנה, הקשו </w:t>
      </w:r>
      <w:r w:rsidRPr="00A36FCD">
        <w:rPr>
          <w:rStyle w:val="af9"/>
          <w:rFonts w:hint="cs"/>
          <w:rtl/>
        </w:rPr>
        <w:t>רבינו</w:t>
      </w:r>
      <w:r>
        <w:rPr>
          <w:rFonts w:hint="cs"/>
          <w:rtl/>
        </w:rPr>
        <w:t xml:space="preserve"> </w:t>
      </w:r>
      <w:r w:rsidRPr="00A36FCD">
        <w:rPr>
          <w:rStyle w:val="af9"/>
          <w:rFonts w:hint="cs"/>
          <w:rtl/>
        </w:rPr>
        <w:t>יונה</w:t>
      </w:r>
      <w:r>
        <w:rPr>
          <w:rFonts w:hint="cs"/>
          <w:rtl/>
        </w:rPr>
        <w:t xml:space="preserve"> </w:t>
      </w:r>
      <w:r w:rsidRPr="00A36FCD">
        <w:rPr>
          <w:rStyle w:val="af9"/>
          <w:rFonts w:hint="cs"/>
          <w:rtl/>
        </w:rPr>
        <w:t>לקמן</w:t>
      </w:r>
      <w:r>
        <w:rPr>
          <w:rFonts w:hint="cs"/>
          <w:rtl/>
        </w:rPr>
        <w:t xml:space="preserve"> </w:t>
      </w:r>
      <w:r w:rsidRPr="003C378A">
        <w:rPr>
          <w:rStyle w:val="af7"/>
          <w:rFonts w:eastAsia="Guttman Hodes" w:hint="cs"/>
          <w:rtl/>
        </w:rPr>
        <w:t>(מא: ד"ה ההוא)</w:t>
      </w:r>
      <w:r>
        <w:rPr>
          <w:rFonts w:hint="cs"/>
          <w:rtl/>
        </w:rPr>
        <w:t xml:space="preserve"> דכיון שיש למחזיק חזקת ג"ש, א"כ אמאי לא סגי בטענת חד יומא בלא עדים, במיגו דמינך זבינתה ואכלתי שני חזקה.</w:t>
      </w:r>
      <w:r>
        <w:rPr>
          <w:rFonts w:hint="cs"/>
          <w:sz w:val="10"/>
          <w:szCs w:val="14"/>
          <w:rtl/>
        </w:rPr>
        <w:t xml:space="preserve"> [ועי' במה שתירץ </w:t>
      </w:r>
      <w:r w:rsidRPr="001A784F">
        <w:rPr>
          <w:rStyle w:val="affa"/>
          <w:rFonts w:hint="cs"/>
          <w:rtl/>
        </w:rPr>
        <w:t>רבינו יונה לקמן בתירוצו ה</w:t>
      </w:r>
      <w:r>
        <w:rPr>
          <w:rStyle w:val="affa"/>
          <w:rFonts w:hint="cs"/>
          <w:rtl/>
        </w:rPr>
        <w:t>ב</w:t>
      </w:r>
      <w:r w:rsidRPr="001A784F">
        <w:rPr>
          <w:rStyle w:val="affa"/>
          <w:rFonts w:hint="cs"/>
          <w:rtl/>
        </w:rPr>
        <w:t>'</w:t>
      </w:r>
      <w:r>
        <w:rPr>
          <w:rFonts w:hint="cs"/>
          <w:sz w:val="10"/>
          <w:szCs w:val="14"/>
          <w:rtl/>
        </w:rPr>
        <w:t xml:space="preserve"> </w:t>
      </w:r>
      <w:r w:rsidRPr="00177CB1">
        <w:rPr>
          <w:rStyle w:val="aff6"/>
          <w:rFonts w:hint="cs"/>
          <w:rtl/>
        </w:rPr>
        <w:t xml:space="preserve">(עי' אות </w:t>
      </w:r>
      <w:r w:rsidRPr="00177CB1">
        <w:rPr>
          <w:rStyle w:val="aff6"/>
          <w:rtl/>
        </w:rPr>
        <w:fldChar w:fldCharType="begin"/>
      </w:r>
      <w:r w:rsidRPr="00177CB1">
        <w:rPr>
          <w:rStyle w:val="aff6"/>
          <w:rtl/>
        </w:rPr>
        <w:instrText xml:space="preserve"> </w:instrText>
      </w:r>
      <w:r w:rsidRPr="00177CB1">
        <w:rPr>
          <w:rStyle w:val="aff6"/>
          <w:rFonts w:hint="cs"/>
        </w:rPr>
        <w:instrText>REF</w:instrText>
      </w:r>
      <w:r w:rsidRPr="00177CB1">
        <w:rPr>
          <w:rStyle w:val="aff6"/>
          <w:rFonts w:hint="cs"/>
          <w:rtl/>
        </w:rPr>
        <w:instrText xml:space="preserve"> _</w:instrText>
      </w:r>
      <w:r w:rsidRPr="00177CB1">
        <w:rPr>
          <w:rStyle w:val="aff6"/>
          <w:rFonts w:hint="cs"/>
        </w:rPr>
        <w:instrText>Ref60333209 \r \h</w:instrText>
      </w:r>
      <w:r w:rsidRPr="00177CB1">
        <w:rPr>
          <w:rStyle w:val="aff6"/>
          <w:rtl/>
        </w:rPr>
        <w:instrText xml:space="preserve"> </w:instrText>
      </w:r>
      <w:r w:rsidRPr="00177CB1">
        <w:rPr>
          <w:rStyle w:val="aff6"/>
          <w:rtl/>
        </w:rPr>
      </w:r>
      <w:r w:rsidRPr="00177CB1">
        <w:rPr>
          <w:rStyle w:val="aff6"/>
          <w:rtl/>
        </w:rPr>
        <w:fldChar w:fldCharType="separate"/>
      </w:r>
      <w:r w:rsidR="00265073">
        <w:rPr>
          <w:rStyle w:val="aff6"/>
          <w:cs/>
        </w:rPr>
        <w:t>‎</w:t>
      </w:r>
      <w:r w:rsidR="00265073">
        <w:rPr>
          <w:rStyle w:val="aff6"/>
          <w:rtl/>
        </w:rPr>
        <w:t>יא)</w:t>
      </w:r>
      <w:r w:rsidRPr="00177CB1">
        <w:rPr>
          <w:rStyle w:val="aff6"/>
          <w:rtl/>
        </w:rPr>
        <w:fldChar w:fldCharType="end"/>
      </w:r>
      <w:r>
        <w:rPr>
          <w:rFonts w:hint="cs"/>
          <w:sz w:val="10"/>
          <w:szCs w:val="14"/>
          <w:rtl/>
        </w:rPr>
        <w:t xml:space="preserve"> בשם </w:t>
      </w:r>
      <w:r w:rsidRPr="00177CB1">
        <w:rPr>
          <w:rStyle w:val="affa"/>
          <w:rFonts w:hint="cs"/>
          <w:rtl/>
        </w:rPr>
        <w:t>ר"י</w:t>
      </w:r>
      <w:r>
        <w:rPr>
          <w:rFonts w:hint="cs"/>
          <w:sz w:val="10"/>
          <w:szCs w:val="14"/>
          <w:rtl/>
        </w:rPr>
        <w:t>].</w:t>
      </w:r>
    </w:p>
    <w:p w:rsidR="006A4297" w:rsidRPr="007626C7" w:rsidRDefault="006A4297" w:rsidP="006A4297">
      <w:pPr>
        <w:pStyle w:val="a3"/>
      </w:pPr>
      <w:bookmarkStart w:id="10570" w:name="_Toc60612615"/>
      <w:bookmarkStart w:id="10571" w:name="_Toc60616456"/>
      <w:bookmarkStart w:id="10572" w:name="_Toc60678213"/>
      <w:bookmarkStart w:id="10573" w:name="_Ref59353492"/>
      <w:r>
        <w:rPr>
          <w:rFonts w:hint="cs"/>
          <w:rtl/>
        </w:rPr>
        <w:t>תי' רבינו יונה דמיגו שצריך טענינן אינה טענה שלימה</w:t>
      </w:r>
      <w:r w:rsidRPr="007626C7">
        <w:rPr>
          <w:rFonts w:hint="cs"/>
          <w:rtl/>
        </w:rPr>
        <w:t xml:space="preserve"> ואינו נאמן במיגו שצריך טענה נוספת</w:t>
      </w:r>
      <w:bookmarkEnd w:id="10570"/>
      <w:bookmarkEnd w:id="10571"/>
      <w:bookmarkEnd w:id="10572"/>
    </w:p>
    <w:p w:rsidR="006A4297" w:rsidRPr="002A35ED" w:rsidRDefault="006A4297" w:rsidP="007E4E81">
      <w:pPr>
        <w:pStyle w:val="a0"/>
        <w:rPr>
          <w:rStyle w:val="afb"/>
          <w:rtl/>
        </w:rPr>
      </w:pPr>
      <w:bookmarkStart w:id="10574" w:name="_Ref60334311"/>
      <w:r>
        <w:rPr>
          <w:rFonts w:hint="cs"/>
          <w:rtl/>
        </w:rPr>
        <w:t xml:space="preserve">ותירץ </w:t>
      </w:r>
      <w:r w:rsidRPr="00A36FCD">
        <w:rPr>
          <w:rStyle w:val="af9"/>
          <w:rFonts w:hint="cs"/>
          <w:rtl/>
        </w:rPr>
        <w:t>רבינו</w:t>
      </w:r>
      <w:r>
        <w:rPr>
          <w:rFonts w:hint="cs"/>
          <w:rtl/>
        </w:rPr>
        <w:t xml:space="preserve"> </w:t>
      </w:r>
      <w:r w:rsidRPr="00A36FCD">
        <w:rPr>
          <w:rStyle w:val="af9"/>
          <w:rFonts w:hint="cs"/>
          <w:rtl/>
        </w:rPr>
        <w:t>יונה</w:t>
      </w:r>
      <w:r>
        <w:rPr>
          <w:rFonts w:hint="cs"/>
          <w:rtl/>
        </w:rPr>
        <w:t xml:space="preserve"> </w:t>
      </w:r>
      <w:r w:rsidRPr="00A36FCD">
        <w:rPr>
          <w:rStyle w:val="af9"/>
          <w:rFonts w:hint="cs"/>
          <w:rtl/>
        </w:rPr>
        <w:t>לקמן</w:t>
      </w:r>
      <w:r>
        <w:rPr>
          <w:rStyle w:val="af9"/>
          <w:rFonts w:hint="cs"/>
          <w:rtl/>
        </w:rPr>
        <w:t xml:space="preserve"> בתירוצו הא'</w:t>
      </w:r>
      <w:r>
        <w:rPr>
          <w:rFonts w:hint="cs"/>
          <w:rtl/>
        </w:rPr>
        <w:t xml:space="preserve"> דאעפ"י דכשהוא טוען קמי דידי דר בה חד יומא, הוא נאמן במיגו, מ"מ אי"ז נחשב כטענה שלימה, כיון שהוא צריך טענה נוספת, דאנן טענינן ליה, דכיון שאם הייתה הקרקע ביד המוכר היה נאמן בטענת מינך זבינתה, אף המחזיק יהיה נאמן מדין טענינן, וכתב </w:t>
      </w:r>
      <w:r w:rsidRPr="00EF0A46">
        <w:rPr>
          <w:rStyle w:val="af9"/>
          <w:rFonts w:hint="cs"/>
          <w:rtl/>
        </w:rPr>
        <w:t>רבינו יונה</w:t>
      </w:r>
      <w:r>
        <w:rPr>
          <w:rFonts w:hint="cs"/>
          <w:rtl/>
        </w:rPr>
        <w:t xml:space="preserve"> דכיון שאחר המיגו צריך טענה נוספת, בכה"ג אינו נאמן במיגו כיון שהוא צריך אחר המיגו עוד טענה נוספת, </w:t>
      </w:r>
      <w:bookmarkEnd w:id="10573"/>
      <w:r w:rsidRPr="002A35ED">
        <w:rPr>
          <w:rStyle w:val="afb"/>
          <w:rFonts w:hint="cs"/>
          <w:rtl/>
        </w:rPr>
        <w:t xml:space="preserve">[ומשמע בדברי </w:t>
      </w:r>
      <w:r w:rsidRPr="004F3D5E">
        <w:rPr>
          <w:rStyle w:val="affa"/>
          <w:rFonts w:hint="cs"/>
          <w:rtl/>
        </w:rPr>
        <w:t>רבינו יונה</w:t>
      </w:r>
      <w:r w:rsidRPr="002A35ED">
        <w:rPr>
          <w:rStyle w:val="afb"/>
          <w:rFonts w:hint="cs"/>
          <w:rtl/>
        </w:rPr>
        <w:t xml:space="preserve"> דהמיגו עצמו לא מהני ואינו נאמן בו, ולא כדברי </w:t>
      </w:r>
      <w:r w:rsidRPr="004F3D5E">
        <w:rPr>
          <w:rStyle w:val="affa"/>
          <w:rFonts w:hint="cs"/>
          <w:rtl/>
        </w:rPr>
        <w:t>הרמב"ן</w:t>
      </w:r>
      <w:r w:rsidRPr="002A35ED">
        <w:rPr>
          <w:rStyle w:val="afb"/>
          <w:rFonts w:hint="cs"/>
          <w:rtl/>
        </w:rPr>
        <w:t xml:space="preserve"> </w:t>
      </w:r>
      <w:r w:rsidRPr="004F3D5E">
        <w:rPr>
          <w:rStyle w:val="aff6"/>
          <w:rFonts w:hint="cs"/>
          <w:rtl/>
        </w:rPr>
        <w:t xml:space="preserve">(עי' אות </w:t>
      </w:r>
      <w:r w:rsidRPr="004F3D5E">
        <w:rPr>
          <w:rStyle w:val="aff6"/>
          <w:rtl/>
        </w:rPr>
        <w:fldChar w:fldCharType="begin"/>
      </w:r>
      <w:r w:rsidRPr="004F3D5E">
        <w:rPr>
          <w:rStyle w:val="aff6"/>
          <w:rtl/>
        </w:rPr>
        <w:instrText xml:space="preserve"> </w:instrText>
      </w:r>
      <w:r w:rsidRPr="004F3D5E">
        <w:rPr>
          <w:rStyle w:val="aff6"/>
          <w:rFonts w:hint="cs"/>
        </w:rPr>
        <w:instrText>REF</w:instrText>
      </w:r>
      <w:r w:rsidRPr="004F3D5E">
        <w:rPr>
          <w:rStyle w:val="aff6"/>
          <w:rFonts w:hint="cs"/>
          <w:rtl/>
        </w:rPr>
        <w:instrText xml:space="preserve"> _</w:instrText>
      </w:r>
      <w:r w:rsidRPr="004F3D5E">
        <w:rPr>
          <w:rStyle w:val="aff6"/>
          <w:rFonts w:hint="cs"/>
        </w:rPr>
        <w:instrText>Ref60133638 \r \h</w:instrText>
      </w:r>
      <w:r w:rsidRPr="004F3D5E">
        <w:rPr>
          <w:rStyle w:val="aff6"/>
          <w:rtl/>
        </w:rPr>
        <w:instrText xml:space="preserve"> </w:instrText>
      </w:r>
      <w:r w:rsidRPr="004F3D5E">
        <w:rPr>
          <w:rStyle w:val="aff6"/>
          <w:rtl/>
        </w:rPr>
      </w:r>
      <w:r w:rsidRPr="004F3D5E">
        <w:rPr>
          <w:rStyle w:val="aff6"/>
          <w:rtl/>
        </w:rPr>
        <w:fldChar w:fldCharType="separate"/>
      </w:r>
      <w:r w:rsidR="00265073">
        <w:rPr>
          <w:rStyle w:val="aff6"/>
          <w:cs/>
        </w:rPr>
        <w:t>‎</w:t>
      </w:r>
      <w:r w:rsidR="00265073">
        <w:rPr>
          <w:rStyle w:val="aff6"/>
          <w:rtl/>
        </w:rPr>
        <w:t>כה)</w:t>
      </w:r>
      <w:r w:rsidRPr="004F3D5E">
        <w:rPr>
          <w:rStyle w:val="aff6"/>
          <w:rtl/>
        </w:rPr>
        <w:fldChar w:fldCharType="end"/>
      </w:r>
      <w:r w:rsidRPr="002A35ED">
        <w:rPr>
          <w:rStyle w:val="afb"/>
          <w:rFonts w:hint="cs"/>
          <w:rtl/>
        </w:rPr>
        <w:t xml:space="preserve"> </w:t>
      </w:r>
      <w:r w:rsidRPr="004F3D5E">
        <w:rPr>
          <w:rStyle w:val="affa"/>
          <w:rFonts w:hint="cs"/>
          <w:rtl/>
        </w:rPr>
        <w:t>והתוס' רי"ד</w:t>
      </w:r>
      <w:r w:rsidRPr="002A35ED">
        <w:rPr>
          <w:rStyle w:val="afb"/>
          <w:rFonts w:hint="cs"/>
          <w:rtl/>
        </w:rPr>
        <w:t xml:space="preserve"> </w:t>
      </w:r>
      <w:r w:rsidRPr="004F3D5E">
        <w:rPr>
          <w:rStyle w:val="aff6"/>
          <w:rFonts w:hint="cs"/>
          <w:rtl/>
        </w:rPr>
        <w:t xml:space="preserve">(עי' אות </w:t>
      </w:r>
      <w:r w:rsidRPr="004F3D5E">
        <w:rPr>
          <w:rStyle w:val="aff6"/>
          <w:rtl/>
        </w:rPr>
        <w:fldChar w:fldCharType="begin"/>
      </w:r>
      <w:r w:rsidRPr="004F3D5E">
        <w:rPr>
          <w:rStyle w:val="aff6"/>
          <w:rtl/>
        </w:rPr>
        <w:instrText xml:space="preserve"> </w:instrText>
      </w:r>
      <w:r w:rsidRPr="004F3D5E">
        <w:rPr>
          <w:rStyle w:val="aff6"/>
          <w:rFonts w:hint="cs"/>
        </w:rPr>
        <w:instrText>REF</w:instrText>
      </w:r>
      <w:r w:rsidRPr="004F3D5E">
        <w:rPr>
          <w:rStyle w:val="aff6"/>
          <w:rFonts w:hint="cs"/>
          <w:rtl/>
        </w:rPr>
        <w:instrText xml:space="preserve"> _</w:instrText>
      </w:r>
      <w:r w:rsidRPr="004F3D5E">
        <w:rPr>
          <w:rStyle w:val="aff6"/>
          <w:rFonts w:hint="cs"/>
        </w:rPr>
        <w:instrText>Ref60334413 \r \h</w:instrText>
      </w:r>
      <w:r w:rsidRPr="004F3D5E">
        <w:rPr>
          <w:rStyle w:val="aff6"/>
          <w:rtl/>
        </w:rPr>
        <w:instrText xml:space="preserve"> </w:instrText>
      </w:r>
      <w:r w:rsidRPr="004F3D5E">
        <w:rPr>
          <w:rStyle w:val="aff6"/>
          <w:rtl/>
        </w:rPr>
      </w:r>
      <w:r w:rsidRPr="004F3D5E">
        <w:rPr>
          <w:rStyle w:val="aff6"/>
          <w:rtl/>
        </w:rPr>
        <w:fldChar w:fldCharType="separate"/>
      </w:r>
      <w:r w:rsidR="00265073">
        <w:rPr>
          <w:rStyle w:val="aff6"/>
          <w:cs/>
        </w:rPr>
        <w:t>‎</w:t>
      </w:r>
      <w:r w:rsidR="00265073">
        <w:rPr>
          <w:rStyle w:val="aff6"/>
          <w:rtl/>
        </w:rPr>
        <w:t>כז)</w:t>
      </w:r>
      <w:r w:rsidRPr="004F3D5E">
        <w:rPr>
          <w:rStyle w:val="aff6"/>
          <w:rtl/>
        </w:rPr>
        <w:fldChar w:fldCharType="end"/>
      </w:r>
      <w:r w:rsidRPr="004F3D5E">
        <w:rPr>
          <w:rStyle w:val="aff6"/>
          <w:rFonts w:hint="cs"/>
          <w:rtl/>
        </w:rPr>
        <w:t xml:space="preserve"> </w:t>
      </w:r>
      <w:r w:rsidRPr="002A35ED">
        <w:rPr>
          <w:rStyle w:val="afb"/>
          <w:rFonts w:hint="cs"/>
          <w:rtl/>
        </w:rPr>
        <w:t>דכיון שהוא נאמן ע"י מיגו אין דין טענינן]</w:t>
      </w:r>
      <w:bookmarkEnd w:id="10574"/>
      <w:r>
        <w:rPr>
          <w:rStyle w:val="afb"/>
          <w:rFonts w:hint="cs"/>
          <w:rtl/>
        </w:rPr>
        <w:t>,</w:t>
      </w:r>
      <w:r w:rsidRPr="00197A3C">
        <w:rPr>
          <w:rFonts w:hint="cs"/>
          <w:rtl/>
        </w:rPr>
        <w:t xml:space="preserve"> </w:t>
      </w:r>
      <w:r>
        <w:rPr>
          <w:rFonts w:hint="cs"/>
          <w:rtl/>
        </w:rPr>
        <w:t xml:space="preserve">ועי' במה שביאר בזה </w:t>
      </w:r>
      <w:r w:rsidRPr="00882215">
        <w:rPr>
          <w:rStyle w:val="af9"/>
          <w:rFonts w:hint="cs"/>
          <w:rtl/>
        </w:rPr>
        <w:t>הריטב"א</w:t>
      </w:r>
      <w:r>
        <w:rPr>
          <w:rFonts w:hint="cs"/>
          <w:rtl/>
        </w:rPr>
        <w:t xml:space="preserve"> </w:t>
      </w:r>
      <w:r w:rsidRPr="00197A3C">
        <w:rPr>
          <w:rStyle w:val="af7"/>
          <w:rFonts w:eastAsia="Guttman Hodes" w:hint="cs"/>
          <w:rtl/>
        </w:rPr>
        <w:t xml:space="preserve">(עי' אות </w:t>
      </w:r>
      <w:r w:rsidRPr="00197A3C">
        <w:rPr>
          <w:rStyle w:val="af7"/>
          <w:rFonts w:eastAsia="Guttman Hodes"/>
          <w:rtl/>
        </w:rPr>
        <w:fldChar w:fldCharType="begin"/>
      </w:r>
      <w:r w:rsidRPr="00197A3C">
        <w:rPr>
          <w:rStyle w:val="af7"/>
          <w:rFonts w:eastAsia="Guttman Hodes"/>
          <w:rtl/>
        </w:rPr>
        <w:instrText xml:space="preserve"> </w:instrText>
      </w:r>
      <w:r w:rsidRPr="00197A3C">
        <w:rPr>
          <w:rStyle w:val="af7"/>
          <w:rFonts w:eastAsia="Guttman Hodes" w:hint="cs"/>
        </w:rPr>
        <w:instrText>REF</w:instrText>
      </w:r>
      <w:r w:rsidRPr="00197A3C">
        <w:rPr>
          <w:rStyle w:val="af7"/>
          <w:rFonts w:eastAsia="Guttman Hodes" w:hint="cs"/>
          <w:rtl/>
        </w:rPr>
        <w:instrText xml:space="preserve"> _</w:instrText>
      </w:r>
      <w:r w:rsidRPr="00197A3C">
        <w:rPr>
          <w:rStyle w:val="af7"/>
          <w:rFonts w:eastAsia="Guttman Hodes" w:hint="cs"/>
        </w:rPr>
        <w:instrText>Ref60593439 \r \h</w:instrText>
      </w:r>
      <w:r w:rsidRPr="00197A3C">
        <w:rPr>
          <w:rStyle w:val="af7"/>
          <w:rFonts w:eastAsia="Guttman Hodes"/>
          <w:rtl/>
        </w:rPr>
        <w:instrText xml:space="preserve"> </w:instrText>
      </w:r>
      <w:r w:rsidRPr="00197A3C">
        <w:rPr>
          <w:rStyle w:val="af7"/>
          <w:rFonts w:eastAsia="Guttman Hodes"/>
          <w:rtl/>
        </w:rPr>
      </w:r>
      <w:r w:rsidRPr="00197A3C">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197A3C">
        <w:rPr>
          <w:rStyle w:val="af7"/>
          <w:rFonts w:eastAsia="Guttman Hodes"/>
          <w:rtl/>
        </w:rPr>
        <w:fldChar w:fldCharType="end"/>
      </w:r>
      <w:r>
        <w:rPr>
          <w:rFonts w:hint="cs"/>
          <w:rtl/>
        </w:rPr>
        <w:t xml:space="preserve"> בשם </w:t>
      </w:r>
      <w:r w:rsidRPr="00882215">
        <w:rPr>
          <w:rStyle w:val="af9"/>
          <w:rFonts w:hint="cs"/>
          <w:rtl/>
        </w:rPr>
        <w:t>הר"י</w:t>
      </w:r>
      <w:r>
        <w:rPr>
          <w:rFonts w:hint="cs"/>
          <w:rtl/>
        </w:rPr>
        <w:t>.</w:t>
      </w:r>
    </w:p>
    <w:p w:rsidR="006A4297" w:rsidRDefault="006A4297" w:rsidP="006A4297">
      <w:pPr>
        <w:pStyle w:val="a3"/>
        <w:rPr>
          <w:rtl/>
        </w:rPr>
      </w:pPr>
      <w:bookmarkStart w:id="10575" w:name="_Toc60612616"/>
      <w:bookmarkStart w:id="10576" w:name="_Toc60616457"/>
      <w:bookmarkStart w:id="10577" w:name="_Toc60678214"/>
      <w:r>
        <w:rPr>
          <w:rFonts w:hint="cs"/>
          <w:rtl/>
        </w:rPr>
        <w:t>דברי הריטב"א דאינו נאמן בחד יומא בלא עדים דהוא מיגו דהעזה ועוד דאם דר היו לו עדים</w:t>
      </w:r>
      <w:bookmarkEnd w:id="10575"/>
      <w:bookmarkEnd w:id="10576"/>
      <w:bookmarkEnd w:id="10577"/>
    </w:p>
    <w:p w:rsidR="006A4297" w:rsidRDefault="006A4297" w:rsidP="007E4E81">
      <w:pPr>
        <w:pStyle w:val="a0"/>
        <w:rPr>
          <w:rtl/>
        </w:rPr>
      </w:pPr>
      <w:bookmarkStart w:id="10578" w:name="_Ref60158486"/>
      <w:bookmarkStart w:id="10579" w:name="_Ref60222704"/>
      <w:r>
        <w:rPr>
          <w:rFonts w:hint="cs"/>
          <w:rtl/>
        </w:rPr>
        <w:t xml:space="preserve">הביא </w:t>
      </w:r>
      <w:r w:rsidRPr="006134FD">
        <w:rPr>
          <w:rStyle w:val="af9"/>
          <w:rFonts w:hint="cs"/>
          <w:rtl/>
        </w:rPr>
        <w:t>הריטב"א לקמן</w:t>
      </w:r>
      <w:r>
        <w:rPr>
          <w:rFonts w:hint="cs"/>
          <w:rtl/>
        </w:rPr>
        <w:t xml:space="preserve"> </w:t>
      </w:r>
      <w:r w:rsidRPr="000D4303">
        <w:rPr>
          <w:rStyle w:val="af7"/>
          <w:rFonts w:eastAsia="Guttman Hodes" w:hint="cs"/>
          <w:rtl/>
        </w:rPr>
        <w:t xml:space="preserve">(מא: ד"ה והיכא) </w:t>
      </w:r>
      <w:r>
        <w:rPr>
          <w:rFonts w:hint="cs"/>
          <w:rtl/>
        </w:rPr>
        <w:t xml:space="preserve">בשם </w:t>
      </w:r>
      <w:r w:rsidRPr="006134FD">
        <w:rPr>
          <w:rStyle w:val="af9"/>
          <w:rFonts w:hint="cs"/>
          <w:rtl/>
        </w:rPr>
        <w:t>קצת בעלי תוס'</w:t>
      </w:r>
      <w:r>
        <w:rPr>
          <w:rFonts w:hint="cs"/>
          <w:rtl/>
        </w:rPr>
        <w:t xml:space="preserve"> דאינו נאמן בטענת קמי דידי דר בה חד יומא, כיון דהוא מיגו דהעזה, דמה שטוען עכשיו קמי דידי דר בה חד יומא, אינו העזה, ואילו טענת המיגו </w:t>
      </w:r>
      <w:r w:rsidRPr="00361C89">
        <w:rPr>
          <w:rStyle w:val="afb"/>
          <w:rFonts w:hint="cs"/>
          <w:rtl/>
        </w:rPr>
        <w:t>[דלא הייתה של המערער מעולם]</w:t>
      </w:r>
      <w:r>
        <w:rPr>
          <w:rFonts w:hint="cs"/>
          <w:rtl/>
        </w:rPr>
        <w:t xml:space="preserve"> היא העזה, ועוד ביאר </w:t>
      </w:r>
      <w:r w:rsidRPr="00882215">
        <w:rPr>
          <w:rStyle w:val="af9"/>
          <w:rFonts w:hint="cs"/>
          <w:rtl/>
        </w:rPr>
        <w:t>הריטב"א</w:t>
      </w:r>
      <w:r>
        <w:rPr>
          <w:rFonts w:hint="cs"/>
          <w:rtl/>
        </w:rPr>
        <w:t xml:space="preserve"> לקמן דאינו </w:t>
      </w:r>
      <w:r>
        <w:rPr>
          <w:rFonts w:hint="cs"/>
          <w:rtl/>
        </w:rPr>
        <w:t xml:space="preserve">נאמן כיון שאם היה דר בה חד יומא היה לו עדים ע"ז, ודמי להא דאיתא בגמ' בב"מ </w:t>
      </w:r>
      <w:r w:rsidRPr="001B4876">
        <w:rPr>
          <w:rStyle w:val="af7"/>
          <w:rFonts w:eastAsia="Guttman Hodes" w:hint="cs"/>
          <w:rtl/>
        </w:rPr>
        <w:t>(פג.)</w:t>
      </w:r>
      <w:r>
        <w:rPr>
          <w:rFonts w:hint="cs"/>
          <w:rtl/>
        </w:rPr>
        <w:t xml:space="preserve"> דכל שיכול להביא ראיה אינו נאמן בלא ראיה. [וכ"כ </w:t>
      </w:r>
      <w:r w:rsidRPr="00A270F5">
        <w:rPr>
          <w:rStyle w:val="af9"/>
          <w:rFonts w:hint="cs"/>
          <w:rtl/>
        </w:rPr>
        <w:t>הב"ח</w:t>
      </w:r>
      <w:r>
        <w:rPr>
          <w:rFonts w:hint="cs"/>
          <w:rtl/>
        </w:rPr>
        <w:t xml:space="preserve"> </w:t>
      </w:r>
      <w:r w:rsidRPr="00A270F5">
        <w:rPr>
          <w:rStyle w:val="af7"/>
          <w:rFonts w:eastAsia="Guttman Hodes" w:hint="cs"/>
          <w:rtl/>
        </w:rPr>
        <w:t xml:space="preserve">(עי' אות </w:t>
      </w:r>
      <w:r w:rsidRPr="00A270F5">
        <w:rPr>
          <w:rStyle w:val="af7"/>
          <w:rFonts w:eastAsia="Guttman Hodes"/>
          <w:rtl/>
        </w:rPr>
        <w:fldChar w:fldCharType="begin"/>
      </w:r>
      <w:r w:rsidRPr="00A270F5">
        <w:rPr>
          <w:rStyle w:val="af7"/>
          <w:rFonts w:eastAsia="Guttman Hodes"/>
          <w:rtl/>
        </w:rPr>
        <w:instrText xml:space="preserve"> </w:instrText>
      </w:r>
      <w:r w:rsidRPr="00A270F5">
        <w:rPr>
          <w:rStyle w:val="af7"/>
          <w:rFonts w:eastAsia="Guttman Hodes" w:hint="cs"/>
        </w:rPr>
        <w:instrText>REF</w:instrText>
      </w:r>
      <w:r w:rsidRPr="00A270F5">
        <w:rPr>
          <w:rStyle w:val="af7"/>
          <w:rFonts w:eastAsia="Guttman Hodes" w:hint="cs"/>
          <w:rtl/>
        </w:rPr>
        <w:instrText xml:space="preserve"> _</w:instrText>
      </w:r>
      <w:r w:rsidRPr="00A270F5">
        <w:rPr>
          <w:rStyle w:val="af7"/>
          <w:rFonts w:eastAsia="Guttman Hodes" w:hint="cs"/>
        </w:rPr>
        <w:instrText>Ref60693925 \r \h</w:instrText>
      </w:r>
      <w:r w:rsidRPr="00A270F5">
        <w:rPr>
          <w:rStyle w:val="af7"/>
          <w:rFonts w:eastAsia="Guttman Hodes"/>
          <w:rtl/>
        </w:rPr>
        <w:instrText xml:space="preserve"> </w:instrText>
      </w:r>
      <w:r w:rsidRPr="00A270F5">
        <w:rPr>
          <w:rStyle w:val="af7"/>
          <w:rFonts w:eastAsia="Guttman Hodes"/>
          <w:rtl/>
        </w:rPr>
      </w:r>
      <w:r w:rsidRPr="00A270F5">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A270F5">
        <w:rPr>
          <w:rStyle w:val="af7"/>
          <w:rFonts w:eastAsia="Guttman Hodes"/>
          <w:rtl/>
        </w:rPr>
        <w:fldChar w:fldCharType="end"/>
      </w:r>
      <w:r>
        <w:rPr>
          <w:rFonts w:hint="cs"/>
          <w:rtl/>
        </w:rPr>
        <w:t>].</w:t>
      </w:r>
    </w:p>
    <w:p w:rsidR="006A4297" w:rsidRPr="00882215" w:rsidRDefault="006A4297" w:rsidP="006A4297">
      <w:pPr>
        <w:pStyle w:val="a3"/>
      </w:pPr>
      <w:bookmarkStart w:id="10580" w:name="_Toc60612617"/>
      <w:bookmarkStart w:id="10581" w:name="_Toc60616458"/>
      <w:bookmarkStart w:id="10582" w:name="_Toc60678215"/>
      <w:r>
        <w:rPr>
          <w:rFonts w:hint="cs"/>
          <w:rtl/>
        </w:rPr>
        <w:t>דברי הריטב"א בשם הר"י דהמיגו אינה הוכחה גמורה דיתכן דדר בה בגזל וזוכה רק במיגו גמור</w:t>
      </w:r>
      <w:bookmarkEnd w:id="10580"/>
      <w:bookmarkEnd w:id="10581"/>
      <w:bookmarkEnd w:id="10582"/>
    </w:p>
    <w:p w:rsidR="006A4297" w:rsidRDefault="006A4297" w:rsidP="007E4E81">
      <w:pPr>
        <w:pStyle w:val="a0"/>
        <w:rPr>
          <w:rtl/>
        </w:rPr>
      </w:pPr>
      <w:bookmarkStart w:id="10583" w:name="_Ref60593439"/>
      <w:r>
        <w:rPr>
          <w:rFonts w:hint="cs"/>
          <w:rtl/>
        </w:rPr>
        <w:t xml:space="preserve">ועוד ביאר </w:t>
      </w:r>
      <w:r w:rsidRPr="00882215">
        <w:rPr>
          <w:rStyle w:val="af9"/>
          <w:rFonts w:hint="cs"/>
          <w:rtl/>
        </w:rPr>
        <w:t>הריטב"א</w:t>
      </w:r>
      <w:r>
        <w:rPr>
          <w:rFonts w:hint="cs"/>
          <w:rtl/>
        </w:rPr>
        <w:t xml:space="preserve"> בשם </w:t>
      </w:r>
      <w:r w:rsidRPr="00882215">
        <w:rPr>
          <w:rStyle w:val="af9"/>
          <w:rFonts w:hint="cs"/>
          <w:rtl/>
        </w:rPr>
        <w:t>הר"י</w:t>
      </w:r>
      <w:r>
        <w:rPr>
          <w:rFonts w:hint="cs"/>
          <w:rtl/>
        </w:rPr>
        <w:t xml:space="preserve"> </w:t>
      </w:r>
      <w:r w:rsidRPr="00882215">
        <w:rPr>
          <w:rStyle w:val="afb"/>
          <w:rFonts w:hint="cs"/>
          <w:rtl/>
        </w:rPr>
        <w:t xml:space="preserve">[עי' בדברי </w:t>
      </w:r>
      <w:r w:rsidRPr="00882215">
        <w:rPr>
          <w:rStyle w:val="affa"/>
          <w:rFonts w:hint="cs"/>
          <w:rtl/>
        </w:rPr>
        <w:t>רבינו יונה</w:t>
      </w:r>
      <w:r w:rsidRPr="00882215">
        <w:rPr>
          <w:rStyle w:val="afb"/>
          <w:rFonts w:hint="cs"/>
          <w:rtl/>
        </w:rPr>
        <w:t xml:space="preserve"> </w:t>
      </w:r>
      <w:r w:rsidRPr="00882215">
        <w:rPr>
          <w:rStyle w:val="aff6"/>
          <w:rFonts w:hint="cs"/>
          <w:rtl/>
        </w:rPr>
        <w:t xml:space="preserve">(עי' אות </w:t>
      </w:r>
      <w:r w:rsidRPr="00882215">
        <w:rPr>
          <w:rStyle w:val="aff6"/>
          <w:rtl/>
        </w:rPr>
        <w:fldChar w:fldCharType="begin"/>
      </w:r>
      <w:r w:rsidRPr="00882215">
        <w:rPr>
          <w:rStyle w:val="aff6"/>
          <w:rtl/>
        </w:rPr>
        <w:instrText xml:space="preserve"> </w:instrText>
      </w:r>
      <w:r w:rsidRPr="00882215">
        <w:rPr>
          <w:rStyle w:val="aff6"/>
          <w:rFonts w:hint="cs"/>
        </w:rPr>
        <w:instrText>REF</w:instrText>
      </w:r>
      <w:r w:rsidRPr="00882215">
        <w:rPr>
          <w:rStyle w:val="aff6"/>
          <w:rFonts w:hint="cs"/>
          <w:rtl/>
        </w:rPr>
        <w:instrText xml:space="preserve"> _</w:instrText>
      </w:r>
      <w:r w:rsidRPr="00882215">
        <w:rPr>
          <w:rStyle w:val="aff6"/>
          <w:rFonts w:hint="cs"/>
        </w:rPr>
        <w:instrText>Ref60334311 \r \h</w:instrText>
      </w:r>
      <w:r w:rsidRPr="00882215">
        <w:rPr>
          <w:rStyle w:val="aff6"/>
          <w:rtl/>
        </w:rPr>
        <w:instrText xml:space="preserve"> </w:instrText>
      </w:r>
      <w:r w:rsidRPr="00882215">
        <w:rPr>
          <w:rStyle w:val="aff6"/>
          <w:rtl/>
        </w:rPr>
      </w:r>
      <w:r w:rsidRPr="00882215">
        <w:rPr>
          <w:rStyle w:val="aff6"/>
          <w:rtl/>
        </w:rPr>
        <w:fldChar w:fldCharType="separate"/>
      </w:r>
      <w:r w:rsidR="00265073">
        <w:rPr>
          <w:rStyle w:val="aff6"/>
          <w:cs/>
        </w:rPr>
        <w:t>‎</w:t>
      </w:r>
      <w:r w:rsidR="00265073">
        <w:rPr>
          <w:rStyle w:val="aff6"/>
          <w:rtl/>
        </w:rPr>
        <w:t>כט)</w:t>
      </w:r>
      <w:r w:rsidRPr="00882215">
        <w:rPr>
          <w:rStyle w:val="aff6"/>
          <w:rtl/>
        </w:rPr>
        <w:fldChar w:fldCharType="end"/>
      </w:r>
      <w:r w:rsidRPr="00882215">
        <w:rPr>
          <w:rStyle w:val="afb"/>
          <w:rFonts w:hint="cs"/>
          <w:rtl/>
        </w:rPr>
        <w:t>]</w:t>
      </w:r>
      <w:r>
        <w:rPr>
          <w:rFonts w:hint="cs"/>
          <w:rtl/>
        </w:rPr>
        <w:t xml:space="preserve"> דכיון דבטענת קמי דידי דר בה חד יומא, אינה הוכחה גמורה לטענתו שקנה מהמוכר, דהא יתכן שהמוכר דר בה בגזל, וצריך דין טענינן לומר שהמוכר קנה מהמערער, ואין מצרפים את טענתו שראה דהמוכר דר בה, לטענת הב"ד, אלא הוא יכול לזכות או במיגו גמור, או בעדות גמורה דדר בה יומא</w:t>
      </w:r>
      <w:bookmarkEnd w:id="10578"/>
      <w:r>
        <w:rPr>
          <w:rFonts w:hint="cs"/>
          <w:rtl/>
        </w:rPr>
        <w:t xml:space="preserve">. [אך הביא </w:t>
      </w:r>
      <w:r w:rsidRPr="006134FD">
        <w:rPr>
          <w:rStyle w:val="af9"/>
          <w:rFonts w:hint="cs"/>
          <w:rtl/>
        </w:rPr>
        <w:t>הריטב"א לקמן</w:t>
      </w:r>
      <w:r>
        <w:rPr>
          <w:rFonts w:hint="cs"/>
          <w:rtl/>
        </w:rPr>
        <w:t xml:space="preserve"> </w:t>
      </w:r>
      <w:r w:rsidRPr="0083055B">
        <w:rPr>
          <w:rStyle w:val="af7"/>
          <w:rFonts w:eastAsia="Guttman Hodes" w:hint="cs"/>
          <w:rtl/>
        </w:rPr>
        <w:t xml:space="preserve">(עי' אות </w:t>
      </w:r>
      <w:r w:rsidRPr="0083055B">
        <w:rPr>
          <w:rStyle w:val="af7"/>
          <w:rFonts w:eastAsia="Guttman Hodes"/>
          <w:rtl/>
        </w:rPr>
        <w:fldChar w:fldCharType="begin"/>
      </w:r>
      <w:r w:rsidRPr="0083055B">
        <w:rPr>
          <w:rStyle w:val="af7"/>
          <w:rFonts w:eastAsia="Guttman Hodes"/>
          <w:rtl/>
        </w:rPr>
        <w:instrText xml:space="preserve"> </w:instrText>
      </w:r>
      <w:r w:rsidRPr="0083055B">
        <w:rPr>
          <w:rStyle w:val="af7"/>
          <w:rFonts w:eastAsia="Guttman Hodes" w:hint="cs"/>
        </w:rPr>
        <w:instrText>REF</w:instrText>
      </w:r>
      <w:r w:rsidRPr="0083055B">
        <w:rPr>
          <w:rStyle w:val="af7"/>
          <w:rFonts w:eastAsia="Guttman Hodes" w:hint="cs"/>
          <w:rtl/>
        </w:rPr>
        <w:instrText xml:space="preserve"> _</w:instrText>
      </w:r>
      <w:r w:rsidRPr="0083055B">
        <w:rPr>
          <w:rStyle w:val="af7"/>
          <w:rFonts w:eastAsia="Guttman Hodes" w:hint="cs"/>
        </w:rPr>
        <w:instrText>Ref60222329 \r \h</w:instrText>
      </w:r>
      <w:r w:rsidRPr="0083055B">
        <w:rPr>
          <w:rStyle w:val="af7"/>
          <w:rFonts w:eastAsia="Guttman Hodes"/>
          <w:rtl/>
        </w:rPr>
        <w:instrText xml:space="preserve"> </w:instrText>
      </w:r>
      <w:r w:rsidRPr="0083055B">
        <w:rPr>
          <w:rStyle w:val="af7"/>
          <w:rFonts w:eastAsia="Guttman Hodes"/>
          <w:rtl/>
        </w:rPr>
      </w:r>
      <w:r w:rsidRPr="0083055B">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83055B">
        <w:rPr>
          <w:rStyle w:val="af7"/>
          <w:rFonts w:eastAsia="Guttman Hodes"/>
          <w:rtl/>
        </w:rPr>
        <w:fldChar w:fldCharType="end"/>
      </w:r>
      <w:r>
        <w:rPr>
          <w:rFonts w:hint="cs"/>
          <w:rtl/>
        </w:rPr>
        <w:t xml:space="preserve"> בשם </w:t>
      </w:r>
      <w:r w:rsidRPr="006134FD">
        <w:rPr>
          <w:rStyle w:val="af9"/>
          <w:rFonts w:hint="cs"/>
          <w:rtl/>
        </w:rPr>
        <w:t>ר"י וקצת בעלי תוס'</w:t>
      </w:r>
      <w:r>
        <w:rPr>
          <w:rFonts w:hint="cs"/>
          <w:rtl/>
        </w:rPr>
        <w:t xml:space="preserve"> דנאמן].</w:t>
      </w:r>
      <w:bookmarkEnd w:id="10579"/>
      <w:bookmarkEnd w:id="10583"/>
    </w:p>
    <w:p w:rsidR="006A4297" w:rsidRPr="00812E57" w:rsidRDefault="006A4297" w:rsidP="006A4297">
      <w:pPr>
        <w:pStyle w:val="1"/>
        <w:rPr>
          <w:rtl/>
        </w:rPr>
      </w:pPr>
      <w:bookmarkStart w:id="10584" w:name="_Toc60612618"/>
      <w:bookmarkStart w:id="10585" w:name="_Toc60616459"/>
      <w:bookmarkStart w:id="10586" w:name="_Toc60678216"/>
      <w:r>
        <w:rPr>
          <w:rFonts w:hint="cs"/>
          <w:rtl/>
        </w:rPr>
        <w:t>קושית הש"ך על הרמב"ן דבטוען ברי ונאמן במיגו טענינן ליה</w:t>
      </w:r>
      <w:bookmarkEnd w:id="10584"/>
      <w:bookmarkEnd w:id="10585"/>
      <w:bookmarkEnd w:id="10586"/>
    </w:p>
    <w:p w:rsidR="006A4297" w:rsidRDefault="006A4297" w:rsidP="006A4297">
      <w:pPr>
        <w:pStyle w:val="a3"/>
        <w:rPr>
          <w:rtl/>
        </w:rPr>
      </w:pPr>
      <w:bookmarkStart w:id="10587" w:name="_Toc60612619"/>
      <w:bookmarkStart w:id="10588" w:name="_Toc60616460"/>
      <w:bookmarkStart w:id="10589" w:name="_Toc60678217"/>
      <w:r>
        <w:rPr>
          <w:rFonts w:hint="cs"/>
          <w:rtl/>
        </w:rPr>
        <w:t>קושית הש"ך על הרמב"ן דכיון דטוען ברי ונאמן במיגו א"כ טעינינן ליה דדר בה מכח חזקה</w:t>
      </w:r>
      <w:bookmarkEnd w:id="10587"/>
      <w:bookmarkEnd w:id="10588"/>
      <w:bookmarkEnd w:id="10589"/>
    </w:p>
    <w:p w:rsidR="006A4297" w:rsidRPr="0015412E" w:rsidRDefault="006A4297" w:rsidP="007E4E81">
      <w:pPr>
        <w:pStyle w:val="a0"/>
        <w:rPr>
          <w:rtl/>
        </w:rPr>
      </w:pPr>
      <w:bookmarkStart w:id="10590" w:name="_Ref60161212"/>
      <w:r>
        <w:rPr>
          <w:rFonts w:hint="cs"/>
          <w:rtl/>
        </w:rPr>
        <w:t xml:space="preserve">אבל </w:t>
      </w:r>
      <w:r w:rsidRPr="00F729BB">
        <w:rPr>
          <w:rStyle w:val="af9"/>
          <w:rFonts w:hint="cs"/>
          <w:rtl/>
        </w:rPr>
        <w:t>ה</w:t>
      </w:r>
      <w:r w:rsidRPr="002400EC">
        <w:rPr>
          <w:rStyle w:val="af9"/>
          <w:rFonts w:hint="cs"/>
          <w:rtl/>
        </w:rPr>
        <w:t xml:space="preserve">ש"ך </w:t>
      </w:r>
      <w:r w:rsidRPr="0015412E">
        <w:rPr>
          <w:rStyle w:val="af7"/>
          <w:rFonts w:eastAsia="Guttman Hodes" w:hint="cs"/>
          <w:rtl/>
        </w:rPr>
        <w:t>(סי' קמ"ו סקי"א)</w:t>
      </w:r>
      <w:r w:rsidRPr="009765D3">
        <w:rPr>
          <w:rStyle w:val="aff6"/>
          <w:rFonts w:hint="cs"/>
          <w:rtl/>
        </w:rPr>
        <w:t xml:space="preserve"> </w:t>
      </w:r>
      <w:r>
        <w:rPr>
          <w:rFonts w:hint="cs"/>
          <w:rtl/>
        </w:rPr>
        <w:t xml:space="preserve">דחה את דברי </w:t>
      </w:r>
      <w:r w:rsidRPr="00812E57">
        <w:rPr>
          <w:rStyle w:val="af9"/>
          <w:rFonts w:hint="cs"/>
          <w:rtl/>
        </w:rPr>
        <w:t>הרמב"ן</w:t>
      </w:r>
      <w:r>
        <w:rPr>
          <w:rFonts w:hint="cs"/>
          <w:rtl/>
        </w:rPr>
        <w:t xml:space="preserve"> </w:t>
      </w:r>
      <w:r w:rsidRPr="00812E57">
        <w:rPr>
          <w:rStyle w:val="af7"/>
          <w:rFonts w:eastAsia="Guttman Hodes" w:hint="cs"/>
          <w:rtl/>
        </w:rPr>
        <w:t xml:space="preserve">(עי' אות </w:t>
      </w:r>
      <w:r w:rsidRPr="00812E57">
        <w:rPr>
          <w:rStyle w:val="af7"/>
          <w:rFonts w:eastAsia="Guttman Hodes"/>
          <w:rtl/>
        </w:rPr>
        <w:fldChar w:fldCharType="begin"/>
      </w:r>
      <w:r w:rsidRPr="00812E57">
        <w:rPr>
          <w:rStyle w:val="af7"/>
          <w:rFonts w:eastAsia="Guttman Hodes"/>
          <w:rtl/>
        </w:rPr>
        <w:instrText xml:space="preserve"> </w:instrText>
      </w:r>
      <w:r w:rsidRPr="00812E57">
        <w:rPr>
          <w:rStyle w:val="af7"/>
          <w:rFonts w:eastAsia="Guttman Hodes" w:hint="cs"/>
        </w:rPr>
        <w:instrText>REF</w:instrText>
      </w:r>
      <w:r w:rsidRPr="00812E57">
        <w:rPr>
          <w:rStyle w:val="af7"/>
          <w:rFonts w:eastAsia="Guttman Hodes" w:hint="cs"/>
          <w:rtl/>
        </w:rPr>
        <w:instrText xml:space="preserve"> _</w:instrText>
      </w:r>
      <w:r w:rsidRPr="00812E57">
        <w:rPr>
          <w:rStyle w:val="af7"/>
          <w:rFonts w:eastAsia="Guttman Hodes" w:hint="cs"/>
        </w:rPr>
        <w:instrText>Ref60133638 \r \h</w:instrText>
      </w:r>
      <w:r w:rsidRPr="00812E5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12E57">
        <w:rPr>
          <w:rStyle w:val="af7"/>
          <w:rFonts w:eastAsia="Guttman Hodes"/>
          <w:rtl/>
        </w:rPr>
      </w:r>
      <w:r w:rsidRPr="00812E57">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812E57">
        <w:rPr>
          <w:rStyle w:val="af7"/>
          <w:rFonts w:eastAsia="Guttman Hodes"/>
          <w:rtl/>
        </w:rPr>
        <w:fldChar w:fldCharType="end"/>
      </w:r>
      <w:r>
        <w:rPr>
          <w:rFonts w:hint="cs"/>
          <w:rtl/>
        </w:rPr>
        <w:t xml:space="preserve"> </w:t>
      </w:r>
      <w:r w:rsidRPr="00812E57">
        <w:rPr>
          <w:rStyle w:val="af9"/>
          <w:rFonts w:hint="cs"/>
          <w:rtl/>
        </w:rPr>
        <w:t>והנימוק"י</w:t>
      </w:r>
      <w:r>
        <w:rPr>
          <w:rFonts w:hint="cs"/>
          <w:rtl/>
        </w:rPr>
        <w:t xml:space="preserve"> </w:t>
      </w:r>
      <w:r w:rsidRPr="00812E57">
        <w:rPr>
          <w:rStyle w:val="af7"/>
          <w:rFonts w:eastAsia="Guttman Hodes" w:hint="cs"/>
          <w:rtl/>
        </w:rPr>
        <w:t xml:space="preserve">(עי' אות </w:t>
      </w:r>
      <w:r w:rsidRPr="00812E57">
        <w:rPr>
          <w:rStyle w:val="af7"/>
          <w:rFonts w:eastAsia="Guttman Hodes"/>
          <w:rtl/>
        </w:rPr>
        <w:fldChar w:fldCharType="begin"/>
      </w:r>
      <w:r w:rsidRPr="00812E57">
        <w:rPr>
          <w:rStyle w:val="af7"/>
          <w:rFonts w:eastAsia="Guttman Hodes"/>
          <w:rtl/>
        </w:rPr>
        <w:instrText xml:space="preserve"> </w:instrText>
      </w:r>
      <w:r w:rsidRPr="00812E57">
        <w:rPr>
          <w:rStyle w:val="af7"/>
          <w:rFonts w:eastAsia="Guttman Hodes" w:hint="cs"/>
        </w:rPr>
        <w:instrText>REF</w:instrText>
      </w:r>
      <w:r w:rsidRPr="00812E57">
        <w:rPr>
          <w:rStyle w:val="af7"/>
          <w:rFonts w:eastAsia="Guttman Hodes" w:hint="cs"/>
          <w:rtl/>
        </w:rPr>
        <w:instrText xml:space="preserve"> _</w:instrText>
      </w:r>
      <w:r w:rsidRPr="00812E57">
        <w:rPr>
          <w:rStyle w:val="af7"/>
          <w:rFonts w:eastAsia="Guttman Hodes" w:hint="cs"/>
        </w:rPr>
        <w:instrText>Ref60593526 \r \h</w:instrText>
      </w:r>
      <w:r w:rsidRPr="00812E5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12E57">
        <w:rPr>
          <w:rStyle w:val="af7"/>
          <w:rFonts w:eastAsia="Guttman Hodes"/>
          <w:rtl/>
        </w:rPr>
      </w:r>
      <w:r w:rsidRPr="00812E57">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812E57">
        <w:rPr>
          <w:rStyle w:val="af7"/>
          <w:rFonts w:eastAsia="Guttman Hodes"/>
          <w:rtl/>
        </w:rPr>
        <w:fldChar w:fldCharType="end"/>
      </w:r>
      <w:r>
        <w:rPr>
          <w:rFonts w:hint="cs"/>
          <w:rtl/>
        </w:rPr>
        <w:t xml:space="preserve"> וכתב דכיון דהמחזיק טוען טענת ברי, קמי דידי דר בה המוכר חד יומא הוא נאמן בטענה זו במיגו דמינך זבינתה, כיון שיש לו חזקת ג"ש, וא"כ טענינן ליה דהמוכר קנה מהמערער כיון שהמחזיק ישב בה מכח המוכר ג"ש, וכתב </w:t>
      </w:r>
      <w:r w:rsidRPr="00812E57">
        <w:rPr>
          <w:rStyle w:val="af9"/>
          <w:rFonts w:hint="cs"/>
          <w:rtl/>
        </w:rPr>
        <w:t>הש"ך</w:t>
      </w:r>
      <w:r>
        <w:rPr>
          <w:rFonts w:hint="cs"/>
          <w:rtl/>
        </w:rPr>
        <w:t xml:space="preserve"> דמוכח כדעת </w:t>
      </w:r>
      <w:r w:rsidRPr="00812E57">
        <w:rPr>
          <w:rStyle w:val="af9"/>
          <w:rFonts w:hint="cs"/>
          <w:rtl/>
        </w:rPr>
        <w:t>התוס' והראשונים</w:t>
      </w:r>
      <w:r>
        <w:rPr>
          <w:rFonts w:hint="cs"/>
          <w:rtl/>
        </w:rPr>
        <w:t xml:space="preserve"> </w:t>
      </w:r>
      <w:r w:rsidRPr="00812E57">
        <w:rPr>
          <w:rStyle w:val="af7"/>
          <w:rFonts w:eastAsia="Guttman Hodes" w:hint="cs"/>
          <w:rtl/>
        </w:rPr>
        <w:t xml:space="preserve">(עי' אות </w:t>
      </w:r>
      <w:r w:rsidRPr="00812E57">
        <w:rPr>
          <w:rStyle w:val="af7"/>
          <w:rFonts w:eastAsia="Guttman Hodes"/>
          <w:rtl/>
        </w:rPr>
        <w:fldChar w:fldCharType="begin"/>
      </w:r>
      <w:r w:rsidRPr="00812E57">
        <w:rPr>
          <w:rStyle w:val="af7"/>
          <w:rFonts w:eastAsia="Guttman Hodes"/>
          <w:rtl/>
        </w:rPr>
        <w:instrText xml:space="preserve"> </w:instrText>
      </w:r>
      <w:r w:rsidRPr="00812E57">
        <w:rPr>
          <w:rStyle w:val="af7"/>
          <w:rFonts w:eastAsia="Guttman Hodes" w:hint="cs"/>
        </w:rPr>
        <w:instrText>REF</w:instrText>
      </w:r>
      <w:r w:rsidRPr="00812E57">
        <w:rPr>
          <w:rStyle w:val="af7"/>
          <w:rFonts w:eastAsia="Guttman Hodes" w:hint="cs"/>
          <w:rtl/>
        </w:rPr>
        <w:instrText xml:space="preserve"> _</w:instrText>
      </w:r>
      <w:r w:rsidRPr="00812E57">
        <w:rPr>
          <w:rStyle w:val="af7"/>
          <w:rFonts w:eastAsia="Guttman Hodes" w:hint="cs"/>
        </w:rPr>
        <w:instrText>Ref60161180 \r \h</w:instrText>
      </w:r>
      <w:r w:rsidRPr="00812E57">
        <w:rPr>
          <w:rStyle w:val="af7"/>
          <w:rFonts w:eastAsia="Guttman Hodes"/>
          <w:rtl/>
        </w:rPr>
        <w:instrText xml:space="preserve"> </w:instrText>
      </w:r>
      <w:r w:rsidRPr="00812E57">
        <w:rPr>
          <w:rStyle w:val="af7"/>
          <w:rFonts w:eastAsia="Guttman Hodes"/>
          <w:rtl/>
        </w:rPr>
      </w:r>
      <w:r w:rsidRPr="00812E57">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812E57">
        <w:rPr>
          <w:rStyle w:val="af7"/>
          <w:rFonts w:eastAsia="Guttman Hodes"/>
          <w:rtl/>
        </w:rPr>
        <w:fldChar w:fldCharType="end"/>
      </w:r>
      <w:r>
        <w:rPr>
          <w:rFonts w:hint="cs"/>
          <w:rtl/>
        </w:rPr>
        <w:t xml:space="preserve"> דנאמן אף בטענת קמי דידי דר בה חד יומא.</w:t>
      </w:r>
      <w:bookmarkEnd w:id="10590"/>
    </w:p>
    <w:p w:rsidR="006A4297" w:rsidRDefault="006A4297" w:rsidP="006A4297">
      <w:pPr>
        <w:pStyle w:val="1"/>
        <w:rPr>
          <w:rtl/>
        </w:rPr>
      </w:pPr>
      <w:bookmarkStart w:id="10591" w:name="_Toc59361628"/>
      <w:bookmarkStart w:id="10592" w:name="_Toc59519306"/>
      <w:bookmarkStart w:id="10593" w:name="_Toc59700086"/>
      <w:bookmarkStart w:id="10594" w:name="_Toc59960733"/>
      <w:bookmarkStart w:id="10595" w:name="_Toc60086823"/>
      <w:bookmarkStart w:id="10596" w:name="_Toc60173393"/>
      <w:bookmarkStart w:id="10597" w:name="_Toc60303779"/>
      <w:bookmarkStart w:id="10598" w:name="_Toc60357043"/>
      <w:bookmarkStart w:id="10599" w:name="_Toc60589189"/>
      <w:bookmarkStart w:id="10600" w:name="_Toc60612620"/>
      <w:bookmarkStart w:id="10601" w:name="_Toc60616461"/>
      <w:bookmarkStart w:id="10602" w:name="_Toc60678218"/>
      <w:r>
        <w:rPr>
          <w:rFonts w:hint="cs"/>
          <w:rtl/>
        </w:rPr>
        <w:t>דברי חי' אנשי שם ברי"ף</w:t>
      </w:r>
      <w:bookmarkEnd w:id="10539"/>
      <w:bookmarkEnd w:id="10540"/>
      <w:bookmarkEnd w:id="10541"/>
      <w:bookmarkEnd w:id="10542"/>
      <w:bookmarkEnd w:id="10543"/>
      <w:r>
        <w:rPr>
          <w:rFonts w:hint="cs"/>
          <w:rtl/>
        </w:rPr>
        <w:t xml:space="preserve"> דחד יומא בלי עדים</w:t>
      </w:r>
      <w:bookmarkEnd w:id="10544"/>
      <w:bookmarkEnd w:id="10545"/>
      <w:bookmarkEnd w:id="10591"/>
      <w:bookmarkEnd w:id="10592"/>
      <w:bookmarkEnd w:id="10593"/>
      <w:bookmarkEnd w:id="10594"/>
      <w:bookmarkEnd w:id="10595"/>
      <w:bookmarkEnd w:id="10596"/>
      <w:bookmarkEnd w:id="10597"/>
      <w:bookmarkEnd w:id="10598"/>
      <w:bookmarkEnd w:id="10599"/>
      <w:r>
        <w:rPr>
          <w:rFonts w:hint="cs"/>
          <w:rtl/>
        </w:rPr>
        <w:t xml:space="preserve"> הוא העזה</w:t>
      </w:r>
      <w:bookmarkEnd w:id="10600"/>
      <w:bookmarkEnd w:id="10601"/>
      <w:bookmarkEnd w:id="10602"/>
    </w:p>
    <w:p w:rsidR="006A4297" w:rsidRPr="00F86FCB" w:rsidRDefault="006A4297" w:rsidP="006A4297">
      <w:pPr>
        <w:pStyle w:val="a3"/>
        <w:rPr>
          <w:rtl/>
        </w:rPr>
      </w:pPr>
      <w:bookmarkStart w:id="10603" w:name="_Toc60303780"/>
      <w:bookmarkStart w:id="10604" w:name="_Toc60357044"/>
      <w:bookmarkStart w:id="10605" w:name="_Toc60589190"/>
      <w:bookmarkStart w:id="10606" w:name="_Toc60612621"/>
      <w:bookmarkStart w:id="10607" w:name="_Toc60616462"/>
      <w:bookmarkStart w:id="10608" w:name="_Toc60678219"/>
      <w:r>
        <w:rPr>
          <w:rFonts w:hint="cs"/>
          <w:rtl/>
        </w:rPr>
        <w:t>ביאור חי' אנשי שם ברי"ף דאינו נאמן בקמי דידי דר חד יומא במיגו דמינך זבינתה דהוא העזה</w:t>
      </w:r>
      <w:bookmarkEnd w:id="10603"/>
      <w:bookmarkEnd w:id="10604"/>
      <w:bookmarkEnd w:id="10605"/>
      <w:bookmarkEnd w:id="10606"/>
      <w:bookmarkEnd w:id="10607"/>
      <w:bookmarkEnd w:id="10608"/>
    </w:p>
    <w:p w:rsidR="006A4297" w:rsidRDefault="006A4297" w:rsidP="007E4E81">
      <w:pPr>
        <w:pStyle w:val="a0"/>
        <w:rPr>
          <w:rtl/>
        </w:rPr>
      </w:pPr>
      <w:r>
        <w:rPr>
          <w:rFonts w:hint="cs"/>
          <w:rtl/>
        </w:rPr>
        <w:t xml:space="preserve">כתב </w:t>
      </w:r>
      <w:r w:rsidRPr="00893FAC">
        <w:rPr>
          <w:rStyle w:val="af9"/>
          <w:rFonts w:hint="cs"/>
          <w:rtl/>
        </w:rPr>
        <w:t>הרי"ף</w:t>
      </w:r>
      <w:r w:rsidRPr="00E805E3">
        <w:rPr>
          <w:rStyle w:val="af7"/>
          <w:rFonts w:eastAsia="Guttman Hodes" w:hint="cs"/>
          <w:rtl/>
        </w:rPr>
        <w:t xml:space="preserve"> (ט"ו: מדה"ר) </w:t>
      </w:r>
      <w:r>
        <w:rPr>
          <w:rFonts w:hint="cs"/>
          <w:rtl/>
        </w:rPr>
        <w:t xml:space="preserve">דאם יש למחזיק עדים שהמוכר דר בה חד יומא, ויש לו חזקת ג"ש, </w:t>
      </w:r>
      <w:r w:rsidRPr="000336D2">
        <w:rPr>
          <w:rStyle w:val="afb"/>
          <w:rFonts w:hint="cs"/>
          <w:rtl/>
        </w:rPr>
        <w:t>[וכן אם טוען המחזיק קמי דידי זבנה מינך],</w:t>
      </w:r>
      <w:r>
        <w:rPr>
          <w:rFonts w:hint="cs"/>
          <w:rtl/>
        </w:rPr>
        <w:t xml:space="preserve"> ואומר שלמוכר היה חזקת ג"ש, או שיש למחזיק חזקת ג"ש, אין מוציאין את הקרקע מיד המחזיק, אבל אם אין לו עדים שדר בה חד יומא וחזקת ג"ש, </w:t>
      </w:r>
      <w:r w:rsidRPr="000336D2">
        <w:rPr>
          <w:rStyle w:val="afb"/>
          <w:rFonts w:hint="cs"/>
          <w:rtl/>
        </w:rPr>
        <w:t>[וכן אינו טוען קמי דידי זבנה מינך והיה לו חזקת ג"ש],</w:t>
      </w:r>
      <w:r>
        <w:rPr>
          <w:rFonts w:hint="cs"/>
          <w:rtl/>
        </w:rPr>
        <w:t xml:space="preserve"> מוציאין את הקרקע מידו, והמחזיק יתבע את המוכר, </w:t>
      </w:r>
      <w:bookmarkStart w:id="10609" w:name="_Ref59355762"/>
      <w:r>
        <w:rPr>
          <w:rFonts w:hint="cs"/>
          <w:rtl/>
        </w:rPr>
        <w:t xml:space="preserve">וכתב </w:t>
      </w:r>
      <w:r w:rsidRPr="00D37908">
        <w:rPr>
          <w:rStyle w:val="af9"/>
          <w:rFonts w:hint="cs"/>
          <w:rtl/>
        </w:rPr>
        <w:t xml:space="preserve">המהר"ן שפירא [בעל המגלה עמוקות] בחי' אנשי שם </w:t>
      </w:r>
      <w:r w:rsidRPr="00E805E3">
        <w:rPr>
          <w:rStyle w:val="af7"/>
          <w:rFonts w:eastAsia="Guttman Hodes" w:hint="cs"/>
          <w:rtl/>
        </w:rPr>
        <w:t>(</w:t>
      </w:r>
      <w:r w:rsidRPr="00E805E3">
        <w:rPr>
          <w:rStyle w:val="af7"/>
          <w:rFonts w:eastAsia="Guttman Hodes"/>
          <w:rtl/>
        </w:rPr>
        <w:t>טו: מדה"ר או' א'</w:t>
      </w:r>
      <w:r w:rsidRPr="00E805E3">
        <w:rPr>
          <w:rStyle w:val="af7"/>
          <w:rFonts w:eastAsia="Guttman Hodes" w:hint="cs"/>
          <w:rtl/>
        </w:rPr>
        <w:t>,</w:t>
      </w:r>
      <w:r w:rsidRPr="00E805E3">
        <w:rPr>
          <w:rStyle w:val="af7"/>
          <w:rFonts w:eastAsia="Guttman Hodes"/>
          <w:rtl/>
        </w:rPr>
        <w:t xml:space="preserve"> מהדו' עוז והדר או' י</w:t>
      </w:r>
      <w:r w:rsidRPr="00E805E3">
        <w:rPr>
          <w:rStyle w:val="af7"/>
          <w:rFonts w:eastAsia="Guttman Hodes" w:hint="cs"/>
          <w:rtl/>
        </w:rPr>
        <w:t xml:space="preserve">') </w:t>
      </w:r>
      <w:r>
        <w:rPr>
          <w:rFonts w:hint="cs"/>
          <w:rtl/>
        </w:rPr>
        <w:t xml:space="preserve">דמבואר מדברי </w:t>
      </w:r>
      <w:r w:rsidRPr="00C85EE7">
        <w:rPr>
          <w:rStyle w:val="af9"/>
          <w:rFonts w:hint="cs"/>
          <w:rtl/>
        </w:rPr>
        <w:t>הרי"ף</w:t>
      </w:r>
      <w:r>
        <w:rPr>
          <w:rFonts w:hint="cs"/>
          <w:rtl/>
        </w:rPr>
        <w:t xml:space="preserve"> דכשטוען המחזיק קמי דידי דר בה המוכר חד יומא, ואין לו עדים ע"ז, אינו נאמן במיגו דמינך זבינתה, כיון דהוא מיגו דהעזה, דיותר ניחא לו לטעון דדר בה חד יומא שאינו העזה כ"כ.</w:t>
      </w:r>
      <w:bookmarkEnd w:id="10609"/>
    </w:p>
    <w:p w:rsidR="006A4297" w:rsidRPr="00500683" w:rsidRDefault="006A4297" w:rsidP="006A4297">
      <w:pPr>
        <w:pStyle w:val="1"/>
        <w:rPr>
          <w:rtl/>
        </w:rPr>
      </w:pPr>
      <w:bookmarkStart w:id="10610" w:name="_Toc60612622"/>
      <w:bookmarkStart w:id="10611" w:name="_Toc60616463"/>
      <w:bookmarkStart w:id="10612" w:name="_Toc60678220"/>
      <w:r>
        <w:rPr>
          <w:rFonts w:hint="cs"/>
          <w:rtl/>
        </w:rPr>
        <w:t>ביאור המאירי דאינו נאמן בלא עדים דלא שדי זוזי בכדי</w:t>
      </w:r>
      <w:bookmarkEnd w:id="10610"/>
      <w:bookmarkEnd w:id="10611"/>
      <w:bookmarkEnd w:id="10612"/>
    </w:p>
    <w:p w:rsidR="006A4297" w:rsidRPr="00116EEF" w:rsidRDefault="006A4297" w:rsidP="006A4297">
      <w:pPr>
        <w:pStyle w:val="a3"/>
        <w:rPr>
          <w:rtl/>
        </w:rPr>
      </w:pPr>
      <w:bookmarkStart w:id="10613" w:name="_Toc60612623"/>
      <w:bookmarkStart w:id="10614" w:name="_Toc60616464"/>
      <w:bookmarkStart w:id="10615" w:name="_Toc60678221"/>
      <w:bookmarkStart w:id="10616" w:name="_Toc59960730"/>
      <w:bookmarkStart w:id="10617" w:name="_Toc60086819"/>
      <w:bookmarkStart w:id="10618" w:name="_Toc60173390"/>
      <w:bookmarkStart w:id="10619" w:name="_Toc60303781"/>
      <w:bookmarkStart w:id="10620" w:name="_Toc60357045"/>
      <w:bookmarkStart w:id="10621" w:name="_Toc59361629"/>
      <w:bookmarkStart w:id="10622" w:name="_Toc59519307"/>
      <w:bookmarkStart w:id="10623" w:name="_Toc59700087"/>
      <w:bookmarkStart w:id="10624" w:name="_Toc59960735"/>
      <w:bookmarkStart w:id="10625" w:name="_Toc60086825"/>
      <w:bookmarkStart w:id="10626" w:name="_Toc60173395"/>
      <w:r>
        <w:rPr>
          <w:rFonts w:hint="cs"/>
          <w:rtl/>
        </w:rPr>
        <w:t>ביאור המאירי בשם י"א דאינו נאמן בקמי דידי דר חד יומא דלא שדי איניש זוזי בכדי</w:t>
      </w:r>
      <w:bookmarkEnd w:id="10613"/>
      <w:bookmarkEnd w:id="10614"/>
      <w:bookmarkEnd w:id="10615"/>
    </w:p>
    <w:p w:rsidR="006A4297" w:rsidRDefault="006A4297" w:rsidP="007E4E81">
      <w:pPr>
        <w:pStyle w:val="a0"/>
        <w:rPr>
          <w:rStyle w:val="afb"/>
          <w:rtl/>
        </w:rPr>
      </w:pPr>
      <w:r w:rsidRPr="008D2883">
        <w:rPr>
          <w:rStyle w:val="af9"/>
          <w:rFonts w:hint="cs"/>
          <w:rtl/>
        </w:rPr>
        <w:t>ובמאירי</w:t>
      </w:r>
      <w:r w:rsidRPr="008D2883">
        <w:rPr>
          <w:rFonts w:hint="cs"/>
          <w:rtl/>
        </w:rPr>
        <w:t xml:space="preserve"> </w:t>
      </w:r>
      <w:r w:rsidRPr="008D2883">
        <w:rPr>
          <w:rStyle w:val="af9"/>
          <w:rFonts w:hint="cs"/>
          <w:rtl/>
        </w:rPr>
        <w:t>לקמן</w:t>
      </w:r>
      <w:r w:rsidRPr="008D2883">
        <w:rPr>
          <w:rFonts w:hint="cs"/>
          <w:rtl/>
        </w:rPr>
        <w:t xml:space="preserve"> </w:t>
      </w:r>
      <w:r w:rsidRPr="008D2883">
        <w:rPr>
          <w:rStyle w:val="af7"/>
          <w:rFonts w:eastAsia="Guttman Hodes" w:hint="cs"/>
          <w:rtl/>
        </w:rPr>
        <w:t>(מא: ד"ה מי)</w:t>
      </w:r>
      <w:r w:rsidRPr="008D2883">
        <w:rPr>
          <w:rFonts w:hint="cs"/>
          <w:rtl/>
        </w:rPr>
        <w:t xml:space="preserve"> הביא בשם </w:t>
      </w:r>
      <w:r w:rsidRPr="008D2883">
        <w:rPr>
          <w:rStyle w:val="af9"/>
          <w:rFonts w:hint="cs"/>
          <w:rtl/>
        </w:rPr>
        <w:t>י"א</w:t>
      </w:r>
      <w:r w:rsidRPr="008D2883">
        <w:rPr>
          <w:rFonts w:hint="cs"/>
          <w:rtl/>
        </w:rPr>
        <w:t xml:space="preserve"> דאינו נאמן בטענת קמי דידי דר בה חד יומא, דלא שדי איניש זוזי בכדי. </w:t>
      </w:r>
      <w:r w:rsidRPr="008D2883">
        <w:rPr>
          <w:rStyle w:val="afb"/>
          <w:rFonts w:hint="cs"/>
          <w:rtl/>
        </w:rPr>
        <w:t>[ואינו נאמן שקנה ממנו בלא ראיה שהיא שלו].</w:t>
      </w:r>
    </w:p>
    <w:p w:rsidR="006A4297" w:rsidRPr="006A4297" w:rsidRDefault="006A4297" w:rsidP="006A4297">
      <w:pPr>
        <w:pStyle w:val="a3"/>
        <w:rPr>
          <w:rtl/>
        </w:rPr>
      </w:pPr>
    </w:p>
    <w:p w:rsidR="006A4297" w:rsidRDefault="006A4297" w:rsidP="006A4297">
      <w:pPr>
        <w:pStyle w:val="1"/>
        <w:rPr>
          <w:rtl/>
        </w:rPr>
      </w:pPr>
      <w:bookmarkStart w:id="10627" w:name="_Toc60612624"/>
      <w:bookmarkStart w:id="10628" w:name="_Toc60616465"/>
      <w:bookmarkStart w:id="10629" w:name="_Toc60678222"/>
      <w:bookmarkEnd w:id="10616"/>
      <w:bookmarkEnd w:id="10617"/>
      <w:bookmarkEnd w:id="10618"/>
      <w:bookmarkEnd w:id="10619"/>
      <w:bookmarkEnd w:id="10620"/>
      <w:r>
        <w:rPr>
          <w:rFonts w:hint="cs"/>
          <w:rtl/>
        </w:rPr>
        <w:lastRenderedPageBreak/>
        <w:t>ביאורי הב"ח בדברי הטור דאינו נאמן בטענת חד יומא בלי עדים</w:t>
      </w:r>
      <w:bookmarkEnd w:id="10627"/>
      <w:bookmarkEnd w:id="10628"/>
      <w:bookmarkEnd w:id="10629"/>
    </w:p>
    <w:p w:rsidR="006A4297" w:rsidRPr="005018F7" w:rsidRDefault="006A4297" w:rsidP="006A4297">
      <w:pPr>
        <w:pStyle w:val="a3"/>
      </w:pPr>
      <w:bookmarkStart w:id="10630" w:name="_Toc60612625"/>
      <w:bookmarkStart w:id="10631" w:name="_Toc60616466"/>
      <w:bookmarkStart w:id="10632" w:name="_Toc60678223"/>
      <w:r>
        <w:rPr>
          <w:rFonts w:hint="cs"/>
          <w:rtl/>
        </w:rPr>
        <w:t>דברי הטור דבטענת קמי דידי חד יומא בלא עדים לא הוי חזקה אף שאין למערער עדים</w:t>
      </w:r>
      <w:bookmarkEnd w:id="10630"/>
      <w:bookmarkEnd w:id="10631"/>
      <w:bookmarkEnd w:id="10632"/>
    </w:p>
    <w:p w:rsidR="006A4297" w:rsidRPr="0067776B" w:rsidRDefault="006A4297" w:rsidP="007E4E81">
      <w:pPr>
        <w:pStyle w:val="a0"/>
        <w:rPr>
          <w:rStyle w:val="afb"/>
          <w:rtl/>
        </w:rPr>
      </w:pPr>
      <w:bookmarkStart w:id="10633" w:name="_Ref59996401"/>
      <w:bookmarkStart w:id="10634" w:name="_Ref60593993"/>
      <w:r>
        <w:rPr>
          <w:rFonts w:hint="cs"/>
          <w:rtl/>
        </w:rPr>
        <w:t xml:space="preserve">כתב </w:t>
      </w:r>
      <w:r w:rsidRPr="00CD408B">
        <w:rPr>
          <w:rStyle w:val="af9"/>
          <w:rFonts w:hint="cs"/>
          <w:rtl/>
        </w:rPr>
        <w:t>הטור</w:t>
      </w:r>
      <w:r>
        <w:rPr>
          <w:rFonts w:hint="cs"/>
          <w:rtl/>
        </w:rPr>
        <w:t xml:space="preserve"> </w:t>
      </w:r>
      <w:r w:rsidRPr="009C22EE">
        <w:rPr>
          <w:rStyle w:val="af7"/>
          <w:rFonts w:eastAsia="Guttman Hodes" w:hint="cs"/>
          <w:rtl/>
        </w:rPr>
        <w:t>(סי' קמ"ו י"ג)</w:t>
      </w:r>
      <w:r>
        <w:rPr>
          <w:rFonts w:hint="cs"/>
          <w:rtl/>
        </w:rPr>
        <w:t xml:space="preserve"> דכשטוען המחזיק קמי דידי דר בה המוכר חד יומא, ואין לו עדים ע"ז, </w:t>
      </w:r>
      <w:r w:rsidRPr="0005652A">
        <w:rPr>
          <w:rStyle w:val="afb"/>
          <w:rFonts w:hint="cs"/>
          <w:rtl/>
        </w:rPr>
        <w:t>[אף כשיש לו חזקת ג"ש],</w:t>
      </w:r>
      <w:r>
        <w:rPr>
          <w:rFonts w:hint="cs"/>
          <w:rtl/>
        </w:rPr>
        <w:t xml:space="preserve"> לא הוי חזקה, אף כשאין למערער עדים שהייתה שלו, ומוציאין מהמחזיק</w:t>
      </w:r>
      <w:bookmarkEnd w:id="10633"/>
      <w:r>
        <w:rPr>
          <w:rFonts w:hint="cs"/>
          <w:rtl/>
        </w:rPr>
        <w:t xml:space="preserve">, </w:t>
      </w:r>
      <w:bookmarkStart w:id="10635" w:name="_Ref59353471"/>
      <w:r>
        <w:rPr>
          <w:rFonts w:hint="cs"/>
          <w:rtl/>
        </w:rPr>
        <w:t xml:space="preserve">וכתב </w:t>
      </w:r>
      <w:r w:rsidRPr="0051121B">
        <w:rPr>
          <w:rStyle w:val="af9"/>
          <w:rFonts w:hint="cs"/>
          <w:rtl/>
        </w:rPr>
        <w:t>הש"ך</w:t>
      </w:r>
      <w:r>
        <w:rPr>
          <w:rFonts w:hint="cs"/>
          <w:rtl/>
        </w:rPr>
        <w:t xml:space="preserve"> </w:t>
      </w:r>
      <w:r w:rsidRPr="009C22EE">
        <w:rPr>
          <w:rStyle w:val="af7"/>
          <w:rFonts w:eastAsia="Guttman Hodes" w:hint="cs"/>
          <w:rtl/>
        </w:rPr>
        <w:t>(סי' קמ"ו סקי"א)</w:t>
      </w:r>
      <w:r>
        <w:rPr>
          <w:rFonts w:hint="cs"/>
          <w:rtl/>
        </w:rPr>
        <w:t xml:space="preserve"> דכדברי </w:t>
      </w:r>
      <w:r w:rsidRPr="00F90D17">
        <w:rPr>
          <w:rStyle w:val="af9"/>
          <w:rFonts w:hint="cs"/>
          <w:rtl/>
        </w:rPr>
        <w:t>הטור</w:t>
      </w:r>
      <w:r w:rsidRPr="009C22EE">
        <w:rPr>
          <w:rStyle w:val="af7"/>
          <w:rFonts w:eastAsia="Guttman Hodes" w:hint="cs"/>
          <w:rtl/>
        </w:rPr>
        <w:t xml:space="preserve"> </w:t>
      </w:r>
      <w:r>
        <w:rPr>
          <w:rFonts w:hint="cs"/>
          <w:rtl/>
        </w:rPr>
        <w:t xml:space="preserve">כן משמע </w:t>
      </w:r>
      <w:r w:rsidRPr="00F90D17">
        <w:rPr>
          <w:rStyle w:val="af9"/>
          <w:rFonts w:hint="cs"/>
          <w:rtl/>
        </w:rPr>
        <w:t>בבעה"מ לקמן</w:t>
      </w:r>
      <w:r w:rsidRPr="009C22EE">
        <w:rPr>
          <w:rStyle w:val="af7"/>
          <w:rFonts w:eastAsia="Guttman Hode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Ref60133425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כב)</w:t>
      </w:r>
      <w:r>
        <w:rPr>
          <w:rStyle w:val="af7"/>
          <w:rFonts w:eastAsia="Guttman Hodes"/>
          <w:rtl/>
        </w:rPr>
        <w:fldChar w:fldCharType="end"/>
      </w:r>
      <w:r>
        <w:rPr>
          <w:rStyle w:val="af7"/>
          <w:rFonts w:eastAsia="Guttman Hodes" w:hint="cs"/>
          <w:rtl/>
        </w:rPr>
        <w:t xml:space="preserve"> </w:t>
      </w:r>
      <w:r>
        <w:rPr>
          <w:rFonts w:hint="cs"/>
          <w:rtl/>
        </w:rPr>
        <w:t xml:space="preserve">וכ"כ </w:t>
      </w:r>
      <w:r w:rsidRPr="00F90D17">
        <w:rPr>
          <w:rStyle w:val="af9"/>
          <w:rFonts w:hint="cs"/>
          <w:rtl/>
        </w:rPr>
        <w:t>הרמב"ן במלחמות לקמן</w:t>
      </w:r>
      <w:r w:rsidRPr="009C22EE">
        <w:rPr>
          <w:rStyle w:val="af7"/>
          <w:rFonts w:eastAsia="Guttman Hode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Ref60593851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Pr>
          <w:rStyle w:val="af7"/>
          <w:rFonts w:eastAsia="Guttman Hodes"/>
          <w:rtl/>
        </w:rPr>
        <w:fldChar w:fldCharType="end"/>
      </w:r>
      <w:r>
        <w:rPr>
          <w:rStyle w:val="af7"/>
          <w:rFonts w:eastAsia="Guttman Hodes" w:hint="cs"/>
          <w:rtl/>
        </w:rPr>
        <w:t xml:space="preserve"> </w:t>
      </w:r>
      <w:r>
        <w:rPr>
          <w:rFonts w:hint="cs"/>
          <w:rtl/>
        </w:rPr>
        <w:t xml:space="preserve">דכל שאין לו עדים שדר בה חד יומא לא טענינן ליה. </w:t>
      </w:r>
      <w:r w:rsidRPr="0067776B">
        <w:rPr>
          <w:rStyle w:val="afb"/>
          <w:rFonts w:hint="cs"/>
          <w:rtl/>
        </w:rPr>
        <w:t xml:space="preserve">[אך כתב </w:t>
      </w:r>
      <w:r w:rsidRPr="0067776B">
        <w:rPr>
          <w:rStyle w:val="affa"/>
          <w:rFonts w:hint="cs"/>
          <w:rtl/>
        </w:rPr>
        <w:t xml:space="preserve">הש"ך </w:t>
      </w:r>
      <w:r w:rsidRPr="0067776B">
        <w:rPr>
          <w:rStyle w:val="aff6"/>
          <w:rFonts w:hint="cs"/>
          <w:rtl/>
        </w:rPr>
        <w:t xml:space="preserve">(עי' אות </w:t>
      </w:r>
      <w:r w:rsidRPr="0067776B">
        <w:rPr>
          <w:rStyle w:val="aff6"/>
          <w:rtl/>
        </w:rPr>
        <w:fldChar w:fldCharType="begin"/>
      </w:r>
      <w:r w:rsidRPr="0067776B">
        <w:rPr>
          <w:rStyle w:val="aff6"/>
          <w:rtl/>
        </w:rPr>
        <w:instrText xml:space="preserve"> </w:instrText>
      </w:r>
      <w:r w:rsidRPr="0067776B">
        <w:rPr>
          <w:rStyle w:val="aff6"/>
          <w:rFonts w:hint="cs"/>
        </w:rPr>
        <w:instrText>REF</w:instrText>
      </w:r>
      <w:r w:rsidRPr="0067776B">
        <w:rPr>
          <w:rStyle w:val="aff6"/>
          <w:rFonts w:hint="cs"/>
          <w:rtl/>
        </w:rPr>
        <w:instrText xml:space="preserve"> _</w:instrText>
      </w:r>
      <w:r w:rsidRPr="0067776B">
        <w:rPr>
          <w:rStyle w:val="aff6"/>
          <w:rFonts w:hint="cs"/>
        </w:rPr>
        <w:instrText>Ref60161180 \r \h</w:instrText>
      </w:r>
      <w:r w:rsidRPr="0067776B">
        <w:rPr>
          <w:rStyle w:val="aff6"/>
          <w:rtl/>
        </w:rPr>
        <w:instrText xml:space="preserve"> </w:instrText>
      </w:r>
      <w:r w:rsidRPr="0067776B">
        <w:rPr>
          <w:rStyle w:val="aff6"/>
          <w:rtl/>
        </w:rPr>
      </w:r>
      <w:r w:rsidRPr="0067776B">
        <w:rPr>
          <w:rStyle w:val="aff6"/>
          <w:rtl/>
        </w:rPr>
        <w:fldChar w:fldCharType="separate"/>
      </w:r>
      <w:r w:rsidR="00265073">
        <w:rPr>
          <w:rStyle w:val="aff6"/>
          <w:cs/>
        </w:rPr>
        <w:t>‎</w:t>
      </w:r>
      <w:r w:rsidR="00265073">
        <w:rPr>
          <w:rStyle w:val="aff6"/>
          <w:rtl/>
        </w:rPr>
        <w:t>טז)</w:t>
      </w:r>
      <w:r w:rsidRPr="0067776B">
        <w:rPr>
          <w:rStyle w:val="aff6"/>
          <w:rtl/>
        </w:rPr>
        <w:fldChar w:fldCharType="end"/>
      </w:r>
      <w:r w:rsidRPr="0067776B">
        <w:rPr>
          <w:rStyle w:val="afb"/>
          <w:rFonts w:hint="cs"/>
          <w:rtl/>
        </w:rPr>
        <w:t xml:space="preserve"> </w:t>
      </w:r>
      <w:r w:rsidRPr="0067776B">
        <w:rPr>
          <w:rStyle w:val="affa"/>
          <w:rFonts w:hint="cs"/>
          <w:rtl/>
        </w:rPr>
        <w:t>דבתוס'</w:t>
      </w:r>
      <w:r w:rsidRPr="0067776B">
        <w:rPr>
          <w:rStyle w:val="afb"/>
          <w:rFonts w:hint="cs"/>
          <w:rtl/>
        </w:rPr>
        <w:t xml:space="preserve"> </w:t>
      </w:r>
      <w:r w:rsidRPr="0067776B">
        <w:rPr>
          <w:rStyle w:val="aff6"/>
          <w:rFonts w:hint="cs"/>
          <w:rtl/>
        </w:rPr>
        <w:t xml:space="preserve">(עי' אות </w:t>
      </w:r>
      <w:r w:rsidRPr="0067776B">
        <w:rPr>
          <w:rStyle w:val="aff6"/>
          <w:rtl/>
        </w:rPr>
        <w:fldChar w:fldCharType="begin"/>
      </w:r>
      <w:r w:rsidRPr="0067776B">
        <w:rPr>
          <w:rStyle w:val="aff6"/>
          <w:rtl/>
        </w:rPr>
        <w:instrText xml:space="preserve"> </w:instrText>
      </w:r>
      <w:r w:rsidRPr="0067776B">
        <w:rPr>
          <w:rStyle w:val="aff6"/>
          <w:rFonts w:hint="cs"/>
        </w:rPr>
        <w:instrText>REF</w:instrText>
      </w:r>
      <w:r w:rsidRPr="0067776B">
        <w:rPr>
          <w:rStyle w:val="aff6"/>
          <w:rFonts w:hint="cs"/>
          <w:rtl/>
        </w:rPr>
        <w:instrText xml:space="preserve"> _</w:instrText>
      </w:r>
      <w:r w:rsidRPr="0067776B">
        <w:rPr>
          <w:rStyle w:val="aff6"/>
          <w:rFonts w:hint="cs"/>
        </w:rPr>
        <w:instrText>Ref60243410 \r \h</w:instrText>
      </w:r>
      <w:r w:rsidRPr="0067776B">
        <w:rPr>
          <w:rStyle w:val="aff6"/>
          <w:rtl/>
        </w:rPr>
        <w:instrText xml:space="preserve"> </w:instrText>
      </w:r>
      <w:r w:rsidRPr="0067776B">
        <w:rPr>
          <w:rStyle w:val="aff6"/>
          <w:rtl/>
        </w:rPr>
      </w:r>
      <w:r w:rsidRPr="0067776B">
        <w:rPr>
          <w:rStyle w:val="aff6"/>
          <w:rtl/>
        </w:rPr>
        <w:fldChar w:fldCharType="separate"/>
      </w:r>
      <w:r w:rsidR="00265073">
        <w:rPr>
          <w:rStyle w:val="aff6"/>
          <w:cs/>
        </w:rPr>
        <w:t>‎</w:t>
      </w:r>
      <w:r w:rsidR="00265073">
        <w:rPr>
          <w:rStyle w:val="aff6"/>
          <w:rtl/>
        </w:rPr>
        <w:t>ט)</w:t>
      </w:r>
      <w:r w:rsidRPr="0067776B">
        <w:rPr>
          <w:rStyle w:val="aff6"/>
          <w:rtl/>
        </w:rPr>
        <w:fldChar w:fldCharType="end"/>
      </w:r>
      <w:r w:rsidRPr="0067776B">
        <w:rPr>
          <w:rStyle w:val="afb"/>
          <w:rFonts w:hint="cs"/>
          <w:rtl/>
        </w:rPr>
        <w:t xml:space="preserve"> </w:t>
      </w:r>
      <w:r w:rsidRPr="0067776B">
        <w:rPr>
          <w:rStyle w:val="affa"/>
          <w:rFonts w:hint="cs"/>
          <w:rtl/>
        </w:rPr>
        <w:t>ובמרדכי</w:t>
      </w:r>
      <w:r w:rsidRPr="0067776B">
        <w:rPr>
          <w:rStyle w:val="afb"/>
          <w:rFonts w:hint="cs"/>
          <w:rtl/>
        </w:rPr>
        <w:t xml:space="preserve"> </w:t>
      </w:r>
      <w:r w:rsidRPr="00F146BE">
        <w:rPr>
          <w:rStyle w:val="aff6"/>
          <w:rFonts w:hint="cs"/>
          <w:rtl/>
        </w:rPr>
        <w:t xml:space="preserve">(עי' אות </w:t>
      </w:r>
      <w:r w:rsidRPr="00F146BE">
        <w:rPr>
          <w:rStyle w:val="aff6"/>
          <w:rtl/>
        </w:rPr>
        <w:fldChar w:fldCharType="begin"/>
      </w:r>
      <w:r w:rsidRPr="00F146BE">
        <w:rPr>
          <w:rStyle w:val="aff6"/>
          <w:rtl/>
        </w:rPr>
        <w:instrText xml:space="preserve"> </w:instrText>
      </w:r>
      <w:r w:rsidRPr="00F146BE">
        <w:rPr>
          <w:rStyle w:val="aff6"/>
          <w:rFonts w:hint="cs"/>
        </w:rPr>
        <w:instrText>REF</w:instrText>
      </w:r>
      <w:r w:rsidRPr="00F146BE">
        <w:rPr>
          <w:rStyle w:val="aff6"/>
          <w:rFonts w:hint="cs"/>
          <w:rtl/>
        </w:rPr>
        <w:instrText xml:space="preserve"> _</w:instrText>
      </w:r>
      <w:r w:rsidRPr="00F146BE">
        <w:rPr>
          <w:rStyle w:val="aff6"/>
          <w:rFonts w:hint="cs"/>
        </w:rPr>
        <w:instrText>Ref60615355 \r \h</w:instrText>
      </w:r>
      <w:r w:rsidRPr="00F146BE">
        <w:rPr>
          <w:rStyle w:val="aff6"/>
          <w:rtl/>
        </w:rPr>
        <w:instrText xml:space="preserve"> </w:instrText>
      </w:r>
      <w:r w:rsidRPr="00F146BE">
        <w:rPr>
          <w:rStyle w:val="aff6"/>
          <w:rtl/>
        </w:rPr>
      </w:r>
      <w:r w:rsidRPr="00F146BE">
        <w:rPr>
          <w:rStyle w:val="aff6"/>
          <w:rtl/>
        </w:rPr>
        <w:fldChar w:fldCharType="separate"/>
      </w:r>
      <w:r w:rsidR="00265073">
        <w:rPr>
          <w:rStyle w:val="aff6"/>
          <w:cs/>
        </w:rPr>
        <w:t>‎</w:t>
      </w:r>
      <w:r w:rsidR="00265073">
        <w:rPr>
          <w:rStyle w:val="aff6"/>
          <w:rtl/>
        </w:rPr>
        <w:t>נד)</w:t>
      </w:r>
      <w:r w:rsidRPr="00F146BE">
        <w:rPr>
          <w:rStyle w:val="aff6"/>
          <w:rtl/>
        </w:rPr>
        <w:fldChar w:fldCharType="end"/>
      </w:r>
      <w:r w:rsidRPr="0067776B">
        <w:rPr>
          <w:rStyle w:val="afb"/>
          <w:rFonts w:hint="cs"/>
          <w:rtl/>
        </w:rPr>
        <w:t xml:space="preserve"> מבואר דהוי חזקה].</w:t>
      </w:r>
      <w:bookmarkEnd w:id="10634"/>
      <w:bookmarkEnd w:id="10635"/>
    </w:p>
    <w:p w:rsidR="006A4297" w:rsidRPr="009C22EE" w:rsidRDefault="006A4297" w:rsidP="006A4297">
      <w:pPr>
        <w:pStyle w:val="a3"/>
        <w:rPr>
          <w:rtl/>
        </w:rPr>
      </w:pPr>
      <w:bookmarkStart w:id="10636" w:name="_Toc60612626"/>
      <w:bookmarkStart w:id="10637" w:name="_Toc60616467"/>
      <w:bookmarkStart w:id="10638" w:name="_Toc60678224"/>
      <w:r>
        <w:rPr>
          <w:rFonts w:hint="cs"/>
          <w:rtl/>
        </w:rPr>
        <w:t>ביאור הב"ח בשם רבינו אפרם דכל שיכול להביא עדים על חד יומא אינו נאמן בלא עדים</w:t>
      </w:r>
      <w:bookmarkEnd w:id="10636"/>
      <w:bookmarkEnd w:id="10637"/>
      <w:bookmarkEnd w:id="10638"/>
    </w:p>
    <w:p w:rsidR="006A4297" w:rsidRDefault="006A4297" w:rsidP="007E4E81">
      <w:pPr>
        <w:pStyle w:val="a0"/>
        <w:rPr>
          <w:rStyle w:val="afb"/>
          <w:rtl/>
        </w:rPr>
      </w:pPr>
      <w:bookmarkStart w:id="10639" w:name="_Ref60693925"/>
      <w:r>
        <w:rPr>
          <w:rFonts w:hint="cs"/>
          <w:rtl/>
        </w:rPr>
        <w:t xml:space="preserve">והקשה </w:t>
      </w:r>
      <w:r w:rsidRPr="00A36FCD">
        <w:rPr>
          <w:rStyle w:val="af9"/>
          <w:rFonts w:hint="cs"/>
          <w:rtl/>
        </w:rPr>
        <w:t>הב"ח</w:t>
      </w:r>
      <w:r>
        <w:rPr>
          <w:rFonts w:hint="cs"/>
          <w:rtl/>
        </w:rPr>
        <w:t xml:space="preserve"> </w:t>
      </w:r>
      <w:r w:rsidRPr="00E22C94">
        <w:rPr>
          <w:rStyle w:val="af7"/>
          <w:rFonts w:eastAsia="Guttman Hodes" w:hint="cs"/>
          <w:rtl/>
        </w:rPr>
        <w:t xml:space="preserve">(סי' קמ"ו כ') </w:t>
      </w:r>
      <w:r>
        <w:rPr>
          <w:rFonts w:hint="cs"/>
          <w:rtl/>
        </w:rPr>
        <w:t xml:space="preserve">על </w:t>
      </w:r>
      <w:r w:rsidRPr="00A36FCD">
        <w:rPr>
          <w:rStyle w:val="af9"/>
          <w:rFonts w:hint="cs"/>
          <w:rtl/>
        </w:rPr>
        <w:t>הטור</w:t>
      </w:r>
      <w:r>
        <w:rPr>
          <w:rFonts w:hint="cs"/>
          <w:rtl/>
        </w:rPr>
        <w:t xml:space="preserve"> </w:t>
      </w:r>
      <w:r w:rsidRPr="00F57AE1">
        <w:rPr>
          <w:rStyle w:val="af7"/>
          <w:rFonts w:eastAsia="Guttman Hodes" w:hint="cs"/>
          <w:rtl/>
        </w:rPr>
        <w:t xml:space="preserve">(עי' אות </w:t>
      </w:r>
      <w:r w:rsidRPr="00F57AE1">
        <w:rPr>
          <w:rStyle w:val="af7"/>
          <w:rFonts w:eastAsia="Guttman Hodes"/>
          <w:rtl/>
        </w:rPr>
        <w:fldChar w:fldCharType="begin"/>
      </w:r>
      <w:r w:rsidRPr="00F57AE1">
        <w:rPr>
          <w:rStyle w:val="af7"/>
          <w:rFonts w:eastAsia="Guttman Hodes"/>
          <w:rtl/>
        </w:rPr>
        <w:instrText xml:space="preserve"> </w:instrText>
      </w:r>
      <w:r w:rsidRPr="00F57AE1">
        <w:rPr>
          <w:rStyle w:val="af7"/>
          <w:rFonts w:eastAsia="Guttman Hodes" w:hint="cs"/>
        </w:rPr>
        <w:instrText>REF</w:instrText>
      </w:r>
      <w:r w:rsidRPr="00F57AE1">
        <w:rPr>
          <w:rStyle w:val="af7"/>
          <w:rFonts w:eastAsia="Guttman Hodes" w:hint="cs"/>
          <w:rtl/>
        </w:rPr>
        <w:instrText xml:space="preserve"> _</w:instrText>
      </w:r>
      <w:r w:rsidRPr="00F57AE1">
        <w:rPr>
          <w:rStyle w:val="af7"/>
          <w:rFonts w:eastAsia="Guttman Hodes" w:hint="cs"/>
        </w:rPr>
        <w:instrText>Ref60593993 \r \h</w:instrText>
      </w:r>
      <w:r w:rsidRPr="00F57AE1">
        <w:rPr>
          <w:rStyle w:val="af7"/>
          <w:rFonts w:eastAsia="Guttman Hodes"/>
          <w:rtl/>
        </w:rPr>
        <w:instrText xml:space="preserve"> </w:instrText>
      </w:r>
      <w:r w:rsidRPr="00F57AE1">
        <w:rPr>
          <w:rStyle w:val="af7"/>
          <w:rFonts w:eastAsia="Guttman Hodes"/>
          <w:rtl/>
        </w:rPr>
      </w:r>
      <w:r w:rsidRPr="00F57AE1">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F57AE1">
        <w:rPr>
          <w:rStyle w:val="af7"/>
          <w:rFonts w:eastAsia="Guttman Hodes"/>
          <w:rtl/>
        </w:rPr>
        <w:fldChar w:fldCharType="end"/>
      </w:r>
      <w:r>
        <w:rPr>
          <w:rFonts w:hint="cs"/>
          <w:rtl/>
        </w:rPr>
        <w:t xml:space="preserve"> דאמאי אין המחזיק נאמן במיגו דמינך זבינתה, דהא יש למחזיק חזקת ג"ש, וכדעת </w:t>
      </w:r>
      <w:r w:rsidRPr="00A36FCD">
        <w:rPr>
          <w:rStyle w:val="af9"/>
          <w:rFonts w:hint="cs"/>
          <w:rtl/>
        </w:rPr>
        <w:t>המרדכי</w:t>
      </w:r>
      <w:r>
        <w:rPr>
          <w:rFonts w:hint="cs"/>
          <w:rtl/>
        </w:rPr>
        <w:t xml:space="preserve"> </w:t>
      </w:r>
      <w:r w:rsidRPr="00F146BE">
        <w:rPr>
          <w:rStyle w:val="af7"/>
          <w:rFonts w:eastAsia="Guttman Hodes" w:hint="cs"/>
          <w:rtl/>
        </w:rPr>
        <w:t xml:space="preserve">(עי' אות </w:t>
      </w:r>
      <w:r w:rsidRPr="00F146BE">
        <w:rPr>
          <w:rStyle w:val="af7"/>
          <w:rFonts w:eastAsia="Guttman Hodes"/>
          <w:rtl/>
        </w:rPr>
        <w:fldChar w:fldCharType="begin"/>
      </w:r>
      <w:r w:rsidRPr="00F146BE">
        <w:rPr>
          <w:rStyle w:val="af7"/>
          <w:rFonts w:eastAsia="Guttman Hodes"/>
          <w:rtl/>
        </w:rPr>
        <w:instrText xml:space="preserve"> </w:instrText>
      </w:r>
      <w:r w:rsidRPr="00F146BE">
        <w:rPr>
          <w:rStyle w:val="af7"/>
          <w:rFonts w:eastAsia="Guttman Hodes" w:hint="cs"/>
        </w:rPr>
        <w:instrText>REF</w:instrText>
      </w:r>
      <w:r w:rsidRPr="00F146BE">
        <w:rPr>
          <w:rStyle w:val="af7"/>
          <w:rFonts w:eastAsia="Guttman Hodes" w:hint="cs"/>
          <w:rtl/>
        </w:rPr>
        <w:instrText xml:space="preserve"> _</w:instrText>
      </w:r>
      <w:r w:rsidRPr="00F146BE">
        <w:rPr>
          <w:rStyle w:val="af7"/>
          <w:rFonts w:eastAsia="Guttman Hodes" w:hint="cs"/>
        </w:rPr>
        <w:instrText>Ref60615355 \r \h</w:instrText>
      </w:r>
      <w:r w:rsidRPr="00F146BE">
        <w:rPr>
          <w:rStyle w:val="af7"/>
          <w:rFonts w:eastAsia="Guttman Hodes"/>
          <w:rtl/>
        </w:rPr>
        <w:instrText xml:space="preserve"> </w:instrText>
      </w:r>
      <w:r w:rsidRPr="00F146BE">
        <w:rPr>
          <w:rStyle w:val="af7"/>
          <w:rFonts w:eastAsia="Guttman Hodes"/>
          <w:rtl/>
        </w:rPr>
      </w:r>
      <w:r w:rsidRPr="00F146BE">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F146BE">
        <w:rPr>
          <w:rStyle w:val="af7"/>
          <w:rFonts w:eastAsia="Guttman Hodes"/>
          <w:rtl/>
        </w:rPr>
        <w:fldChar w:fldCharType="end"/>
      </w:r>
      <w:r>
        <w:rPr>
          <w:rFonts w:hint="cs"/>
          <w:rtl/>
        </w:rPr>
        <w:t xml:space="preserve">, והביא </w:t>
      </w:r>
      <w:r w:rsidRPr="00A36FCD">
        <w:rPr>
          <w:rStyle w:val="af9"/>
          <w:rFonts w:hint="cs"/>
          <w:rtl/>
        </w:rPr>
        <w:t>הב"ח</w:t>
      </w:r>
      <w:r>
        <w:rPr>
          <w:rFonts w:hint="cs"/>
          <w:rtl/>
        </w:rPr>
        <w:t xml:space="preserve"> את דברי </w:t>
      </w:r>
      <w:r w:rsidRPr="00A36FCD">
        <w:rPr>
          <w:rStyle w:val="af9"/>
          <w:rFonts w:hint="cs"/>
          <w:rtl/>
        </w:rPr>
        <w:t>המרדכי הארוך</w:t>
      </w:r>
      <w:r>
        <w:rPr>
          <w:rFonts w:hint="cs"/>
          <w:rtl/>
        </w:rPr>
        <w:t xml:space="preserve"> בשם </w:t>
      </w:r>
      <w:r w:rsidRPr="00A36FCD">
        <w:rPr>
          <w:rStyle w:val="af9"/>
          <w:rFonts w:hint="cs"/>
          <w:rtl/>
        </w:rPr>
        <w:t>רבינו</w:t>
      </w:r>
      <w:r>
        <w:rPr>
          <w:rFonts w:hint="cs"/>
          <w:rtl/>
        </w:rPr>
        <w:t xml:space="preserve"> </w:t>
      </w:r>
      <w:r w:rsidRPr="00A36FCD">
        <w:rPr>
          <w:rStyle w:val="af9"/>
          <w:rFonts w:hint="cs"/>
          <w:rtl/>
        </w:rPr>
        <w:t>אפרים</w:t>
      </w:r>
      <w:r>
        <w:rPr>
          <w:rFonts w:hint="cs"/>
          <w:rtl/>
        </w:rPr>
        <w:t xml:space="preserve"> דתירץ שאם היה דר חד </w:t>
      </w:r>
      <w:r w:rsidRPr="004C4350">
        <w:rPr>
          <w:rFonts w:hint="cs"/>
          <w:rtl/>
        </w:rPr>
        <w:t xml:space="preserve">יומא היו עדים ע"ז, דהא שיביבי מידע ידעי, וכל שיש עדים ע"ז אינו נאמן בלא ראיה, כדילפינן בגמ' בב"מ </w:t>
      </w:r>
      <w:r w:rsidRPr="004C4350">
        <w:rPr>
          <w:rStyle w:val="af7"/>
          <w:rFonts w:eastAsia="Guttman Hodes" w:hint="cs"/>
          <w:rtl/>
        </w:rPr>
        <w:t>(פג.)</w:t>
      </w:r>
      <w:r>
        <w:rPr>
          <w:rFonts w:hint="cs"/>
          <w:rtl/>
        </w:rPr>
        <w:t xml:space="preserve">, ועי' בדברי </w:t>
      </w:r>
      <w:r w:rsidRPr="00B62457">
        <w:rPr>
          <w:rStyle w:val="af9"/>
          <w:rFonts w:hint="cs"/>
          <w:rtl/>
        </w:rPr>
        <w:t>הריטב"א לקמן</w:t>
      </w:r>
      <w:r w:rsidRPr="00B62457">
        <w:rPr>
          <w:rFonts w:hint="cs"/>
          <w:rtl/>
        </w:rPr>
        <w:t xml:space="preserve"> </w:t>
      </w:r>
      <w:r w:rsidRPr="00B62457">
        <w:rPr>
          <w:rStyle w:val="af7"/>
          <w:rFonts w:eastAsia="Guttman Hodes" w:hint="cs"/>
          <w:rtl/>
        </w:rPr>
        <w:t xml:space="preserve">(עי' אות </w:t>
      </w:r>
      <w:r w:rsidRPr="00B62457">
        <w:rPr>
          <w:rStyle w:val="af7"/>
          <w:rFonts w:eastAsia="Guttman Hodes"/>
          <w:rtl/>
        </w:rPr>
        <w:fldChar w:fldCharType="begin"/>
      </w:r>
      <w:r w:rsidRPr="00B62457">
        <w:rPr>
          <w:rStyle w:val="af7"/>
          <w:rFonts w:eastAsia="Guttman Hodes"/>
          <w:rtl/>
        </w:rPr>
        <w:instrText xml:space="preserve"> </w:instrText>
      </w:r>
      <w:r w:rsidRPr="00B62457">
        <w:rPr>
          <w:rStyle w:val="af7"/>
          <w:rFonts w:eastAsia="Guttman Hodes" w:hint="cs"/>
        </w:rPr>
        <w:instrText>REF</w:instrText>
      </w:r>
      <w:r w:rsidRPr="00B62457">
        <w:rPr>
          <w:rStyle w:val="af7"/>
          <w:rFonts w:eastAsia="Guttman Hodes" w:hint="cs"/>
          <w:rtl/>
        </w:rPr>
        <w:instrText xml:space="preserve"> _</w:instrText>
      </w:r>
      <w:r w:rsidRPr="00B62457">
        <w:rPr>
          <w:rStyle w:val="af7"/>
          <w:rFonts w:eastAsia="Guttman Hodes" w:hint="cs"/>
        </w:rPr>
        <w:instrText>Ref60222704 \r \h</w:instrText>
      </w:r>
      <w:r w:rsidRPr="00B62457">
        <w:rPr>
          <w:rStyle w:val="af7"/>
          <w:rFonts w:eastAsia="Guttman Hodes"/>
          <w:rtl/>
        </w:rPr>
        <w:instrText xml:space="preserve"> </w:instrText>
      </w:r>
      <w:r w:rsidRPr="00B62457">
        <w:rPr>
          <w:rStyle w:val="af7"/>
          <w:rFonts w:eastAsia="Guttman Hodes"/>
          <w:rtl/>
        </w:rPr>
      </w:r>
      <w:r w:rsidRPr="00B62457">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B62457">
        <w:rPr>
          <w:rStyle w:val="af7"/>
          <w:rFonts w:eastAsia="Guttman Hodes"/>
          <w:rtl/>
        </w:rPr>
        <w:fldChar w:fldCharType="end"/>
      </w:r>
      <w:r w:rsidRPr="00B62457">
        <w:rPr>
          <w:rFonts w:hint="cs"/>
          <w:rtl/>
        </w:rPr>
        <w:t>.</w:t>
      </w:r>
      <w:bookmarkEnd w:id="10639"/>
    </w:p>
    <w:p w:rsidR="006A4297" w:rsidRPr="004C4350" w:rsidRDefault="006A4297" w:rsidP="006A4297">
      <w:pPr>
        <w:pStyle w:val="a3"/>
      </w:pPr>
      <w:bookmarkStart w:id="10640" w:name="_Toc60612627"/>
      <w:bookmarkStart w:id="10641" w:name="_Toc60616468"/>
      <w:bookmarkStart w:id="10642" w:name="_Toc60678225"/>
      <w:r>
        <w:rPr>
          <w:rFonts w:hint="cs"/>
          <w:rtl/>
        </w:rPr>
        <w:t>דברי הב"ח דכיון דהעדות על חד יומא היא לפני ג"ש א"א להביא עדים אך ילפינן דצריך ראיה</w:t>
      </w:r>
      <w:bookmarkEnd w:id="10640"/>
      <w:bookmarkEnd w:id="10641"/>
      <w:bookmarkEnd w:id="10642"/>
    </w:p>
    <w:p w:rsidR="006A4297" w:rsidRPr="00E73B58" w:rsidRDefault="006A4297" w:rsidP="007E4E81">
      <w:pPr>
        <w:pStyle w:val="a0"/>
        <w:rPr>
          <w:rtl/>
        </w:rPr>
      </w:pPr>
      <w:r w:rsidRPr="004C4350">
        <w:rPr>
          <w:rFonts w:hint="cs"/>
          <w:rtl/>
        </w:rPr>
        <w:t xml:space="preserve">אך דחה </w:t>
      </w:r>
      <w:r w:rsidRPr="004C4350">
        <w:rPr>
          <w:rStyle w:val="af9"/>
          <w:rFonts w:hint="cs"/>
          <w:rtl/>
        </w:rPr>
        <w:t>הב"ח</w:t>
      </w:r>
      <w:r w:rsidRPr="004C4350">
        <w:rPr>
          <w:rFonts w:hint="cs"/>
          <w:rtl/>
        </w:rPr>
        <w:t xml:space="preserve"> דכ"ז שייך רק בדבר שהיה היום או אתמול, אבל כיון שיש למחזיק חזקת ג"ש, והוא טוען שלפני ג"ש ישב בה המוכר חד יומא, לא שייך להביא עדים ע"ז, דהשכנים מסתמא שכחו שדר בה רק יום אחד לפני ג"ש, והקשה </w:t>
      </w:r>
      <w:r w:rsidRPr="004C4350">
        <w:rPr>
          <w:rStyle w:val="af9"/>
          <w:rFonts w:hint="cs"/>
          <w:rtl/>
        </w:rPr>
        <w:t>הב"ח</w:t>
      </w:r>
      <w:r w:rsidRPr="004C4350">
        <w:rPr>
          <w:rFonts w:hint="cs"/>
          <w:rtl/>
        </w:rPr>
        <w:t xml:space="preserve"> דכיון שהמחזיק אינו יכול להביא ראיה, א"כ אמאי אינו נאמן </w:t>
      </w:r>
      <w:r w:rsidRPr="00E73B58">
        <w:rPr>
          <w:rFonts w:hint="cs"/>
          <w:rtl/>
        </w:rPr>
        <w:t>במיגו</w:t>
      </w:r>
      <w:r>
        <w:rPr>
          <w:rFonts w:hint="cs"/>
          <w:rtl/>
        </w:rPr>
        <w:t xml:space="preserve">, </w:t>
      </w:r>
      <w:r w:rsidRPr="00E73B58">
        <w:rPr>
          <w:rFonts w:hint="cs"/>
          <w:rtl/>
        </w:rPr>
        <w:t xml:space="preserve">ותירץ </w:t>
      </w:r>
      <w:r w:rsidRPr="00E73B58">
        <w:rPr>
          <w:rStyle w:val="af9"/>
          <w:rFonts w:hint="cs"/>
          <w:rtl/>
        </w:rPr>
        <w:t>הב"ח</w:t>
      </w:r>
      <w:r w:rsidRPr="00E73B58">
        <w:rPr>
          <w:rFonts w:hint="cs"/>
          <w:rtl/>
        </w:rPr>
        <w:t xml:space="preserve"> דכיון שיש ילפותא בגמ' בב"מ </w:t>
      </w:r>
      <w:r w:rsidRPr="00E73B58">
        <w:rPr>
          <w:rStyle w:val="af7"/>
          <w:rFonts w:eastAsia="Guttman Hodes" w:hint="cs"/>
          <w:rtl/>
        </w:rPr>
        <w:t>(פג.)</w:t>
      </w:r>
      <w:r w:rsidRPr="00E73B58">
        <w:rPr>
          <w:rFonts w:hint="cs"/>
          <w:rtl/>
        </w:rPr>
        <w:t xml:space="preserve"> דכל שיש ראיה אינו נאמן בלא ראיה, א"כ הילפותא היא בכל האופנים, ולא חילק קרא בין אם הדבר היה היום או שהיה לפני כמה שנים.</w:t>
      </w:r>
    </w:p>
    <w:p w:rsidR="006A4297" w:rsidRDefault="006A4297" w:rsidP="006A4297">
      <w:pPr>
        <w:pStyle w:val="a3"/>
        <w:rPr>
          <w:rtl/>
        </w:rPr>
      </w:pPr>
      <w:bookmarkStart w:id="10643" w:name="_Toc60612628"/>
      <w:bookmarkStart w:id="10644" w:name="_Toc60616469"/>
      <w:bookmarkStart w:id="10645" w:name="_Toc60678226"/>
      <w:r>
        <w:rPr>
          <w:rFonts w:hint="cs"/>
          <w:rtl/>
        </w:rPr>
        <w:t>תי' הב"ח דאף דנאמן במיגו דדר חד יומא אמרינן דלא קנאה כיון דאין ספק מוציא מודאי הודאה</w:t>
      </w:r>
      <w:bookmarkEnd w:id="10643"/>
      <w:bookmarkEnd w:id="10644"/>
      <w:bookmarkEnd w:id="10645"/>
    </w:p>
    <w:p w:rsidR="006A4297" w:rsidRPr="00D256DD" w:rsidRDefault="006A4297" w:rsidP="007E4E81">
      <w:pPr>
        <w:pStyle w:val="a0"/>
        <w:rPr>
          <w:rtl/>
        </w:rPr>
      </w:pPr>
      <w:r>
        <w:rPr>
          <w:rFonts w:hint="cs"/>
          <w:rtl/>
        </w:rPr>
        <w:t xml:space="preserve">ועוד תירץ </w:t>
      </w:r>
      <w:r w:rsidRPr="00A36FCD">
        <w:rPr>
          <w:rStyle w:val="af9"/>
          <w:rFonts w:hint="cs"/>
          <w:rtl/>
        </w:rPr>
        <w:t>הב"ח</w:t>
      </w:r>
      <w:r>
        <w:rPr>
          <w:rFonts w:hint="cs"/>
          <w:rtl/>
        </w:rPr>
        <w:t xml:space="preserve"> דכל שאין למחזיק עדים שדר בה המוכר חד יומא, ומודה המחזיק שאינו יודע אם המוכר קנה מהמערער, א"כ אף שהמחזיק נאמן בטענתו דקמי דידי דר בה חד יומא, מ"מ אמרינן דהמוכר דר בה בשאילה או בשכירות, דהא כיון דודאי שהקרקע הייתה של המערער, וספק אם קנה המוכר ממנו, א"כ אין ספק מוציא מידי ודאי, ורק כשיש עדים דדר בה חד יומא, טענינן ליה, דדר בה כיון שקנה מהמערער, דהבית הוא בחזקת מי שהיה דר בו עפ"י עדות העדים.</w:t>
      </w:r>
    </w:p>
    <w:p w:rsidR="006A4297" w:rsidRDefault="006A4297" w:rsidP="006A4297">
      <w:pPr>
        <w:pStyle w:val="1"/>
        <w:rPr>
          <w:rtl/>
        </w:rPr>
      </w:pPr>
      <w:bookmarkStart w:id="10646" w:name="_Toc60612629"/>
      <w:bookmarkStart w:id="10647" w:name="_Toc60616470"/>
      <w:bookmarkStart w:id="10648" w:name="_Toc60678227"/>
      <w:bookmarkStart w:id="10649" w:name="_Toc60303782"/>
      <w:bookmarkStart w:id="10650" w:name="_Toc60357046"/>
      <w:bookmarkStart w:id="10651" w:name="_Toc60589192"/>
      <w:bookmarkStart w:id="10652" w:name="_Toc59519308"/>
      <w:bookmarkStart w:id="10653" w:name="_Toc59700088"/>
      <w:bookmarkStart w:id="10654" w:name="_Toc59960736"/>
      <w:bookmarkStart w:id="10655" w:name="_Toc60086826"/>
      <w:bookmarkStart w:id="10656" w:name="_Toc60173396"/>
      <w:bookmarkEnd w:id="10621"/>
      <w:bookmarkEnd w:id="10622"/>
      <w:bookmarkEnd w:id="10623"/>
      <w:bookmarkEnd w:id="10624"/>
      <w:bookmarkEnd w:id="10625"/>
      <w:bookmarkEnd w:id="10626"/>
      <w:r>
        <w:rPr>
          <w:rFonts w:hint="cs"/>
          <w:rtl/>
        </w:rPr>
        <w:t>דברי הנתיה"מ דקמי דידי החזיק ג"ש מהני לכו"ע</w:t>
      </w:r>
      <w:bookmarkEnd w:id="10646"/>
      <w:bookmarkEnd w:id="10647"/>
      <w:bookmarkEnd w:id="10648"/>
    </w:p>
    <w:p w:rsidR="006A4297" w:rsidRPr="00E36053" w:rsidRDefault="006A4297" w:rsidP="006A4297">
      <w:pPr>
        <w:pStyle w:val="a3"/>
        <w:rPr>
          <w:rtl/>
        </w:rPr>
      </w:pPr>
      <w:bookmarkStart w:id="10657" w:name="_Toc60612630"/>
      <w:bookmarkStart w:id="10658" w:name="_Toc60616471"/>
      <w:bookmarkStart w:id="10659" w:name="_Toc60678228"/>
      <w:r>
        <w:rPr>
          <w:rFonts w:hint="cs"/>
          <w:rtl/>
        </w:rPr>
        <w:t>דברי הנתיה"מ דאף לרמב"ן מהני טענת קמי דידי דר בה ג"ש דהוא כקמי דידי זבנה מינך</w:t>
      </w:r>
      <w:bookmarkEnd w:id="10657"/>
      <w:bookmarkEnd w:id="10658"/>
      <w:bookmarkEnd w:id="10659"/>
    </w:p>
    <w:p w:rsidR="006A4297" w:rsidRDefault="006A4297" w:rsidP="007E4E81">
      <w:pPr>
        <w:pStyle w:val="a0"/>
        <w:rPr>
          <w:rtl/>
        </w:rPr>
      </w:pPr>
      <w:r>
        <w:rPr>
          <w:rFonts w:hint="cs"/>
          <w:rtl/>
        </w:rPr>
        <w:t xml:space="preserve">אך כתב </w:t>
      </w:r>
      <w:r w:rsidRPr="00F729BB">
        <w:rPr>
          <w:rStyle w:val="af9"/>
          <w:rFonts w:hint="cs"/>
          <w:rtl/>
        </w:rPr>
        <w:t>הנתיה"מ</w:t>
      </w:r>
      <w:r>
        <w:rPr>
          <w:rFonts w:hint="cs"/>
          <w:rtl/>
        </w:rPr>
        <w:t xml:space="preserve"> </w:t>
      </w:r>
      <w:r w:rsidRPr="00B827C2">
        <w:rPr>
          <w:rStyle w:val="af7"/>
          <w:rFonts w:eastAsia="Guttman Hodes" w:hint="cs"/>
          <w:rtl/>
        </w:rPr>
        <w:t>(סי' קמ"ו ס</w:t>
      </w:r>
      <w:r>
        <w:rPr>
          <w:rStyle w:val="af7"/>
          <w:rFonts w:eastAsia="Guttman Hodes" w:hint="cs"/>
          <w:rtl/>
        </w:rPr>
        <w:t>וס"</w:t>
      </w:r>
      <w:r w:rsidRPr="00B827C2">
        <w:rPr>
          <w:rStyle w:val="af7"/>
          <w:rFonts w:eastAsia="Guttman Hodes" w:hint="cs"/>
          <w:rtl/>
        </w:rPr>
        <w:t>ק</w:t>
      </w:r>
      <w:r>
        <w:rPr>
          <w:rStyle w:val="af7"/>
          <w:rFonts w:eastAsia="Guttman Hodes" w:hint="cs"/>
          <w:rtl/>
        </w:rPr>
        <w:t xml:space="preserve"> </w:t>
      </w:r>
      <w:r w:rsidRPr="00B827C2">
        <w:rPr>
          <w:rStyle w:val="af7"/>
          <w:rFonts w:eastAsia="Guttman Hodes" w:hint="cs"/>
          <w:rtl/>
        </w:rPr>
        <w:t>כ</w:t>
      </w:r>
      <w:r>
        <w:rPr>
          <w:rStyle w:val="af7"/>
          <w:rFonts w:eastAsia="Guttman Hodes" w:hint="cs"/>
          <w:rtl/>
        </w:rPr>
        <w:t>'</w:t>
      </w:r>
      <w:r w:rsidRPr="00B827C2">
        <w:rPr>
          <w:rStyle w:val="af7"/>
          <w:rFonts w:eastAsia="Guttman Hodes" w:hint="cs"/>
          <w:rtl/>
        </w:rPr>
        <w:t>)</w:t>
      </w:r>
      <w:r>
        <w:rPr>
          <w:rFonts w:hint="cs"/>
          <w:rtl/>
        </w:rPr>
        <w:t xml:space="preserve"> דנראה דאף לדעת </w:t>
      </w:r>
      <w:r w:rsidRPr="00F729BB">
        <w:rPr>
          <w:rStyle w:val="af9"/>
          <w:rFonts w:hint="cs"/>
          <w:rtl/>
        </w:rPr>
        <w:t>הרמב"ן</w:t>
      </w:r>
      <w:r>
        <w:rPr>
          <w:rFonts w:hint="cs"/>
          <w:rtl/>
        </w:rPr>
        <w:t xml:space="preserve"> </w:t>
      </w:r>
      <w:r w:rsidRPr="00CA771B">
        <w:rPr>
          <w:rStyle w:val="af7"/>
          <w:rFonts w:eastAsia="Guttman Hodes" w:hint="cs"/>
          <w:rtl/>
        </w:rPr>
        <w:t xml:space="preserve">(עי' אות </w:t>
      </w:r>
      <w:r w:rsidRPr="00CA771B">
        <w:rPr>
          <w:rStyle w:val="af7"/>
          <w:rFonts w:eastAsia="Guttman Hodes"/>
          <w:rtl/>
        </w:rPr>
        <w:fldChar w:fldCharType="begin"/>
      </w:r>
      <w:r w:rsidRPr="00CA771B">
        <w:rPr>
          <w:rStyle w:val="af7"/>
          <w:rFonts w:eastAsia="Guttman Hodes"/>
          <w:rtl/>
        </w:rPr>
        <w:instrText xml:space="preserve"> </w:instrText>
      </w:r>
      <w:r w:rsidRPr="00CA771B">
        <w:rPr>
          <w:rStyle w:val="af7"/>
          <w:rFonts w:eastAsia="Guttman Hodes" w:hint="cs"/>
        </w:rPr>
        <w:instrText>REF</w:instrText>
      </w:r>
      <w:r w:rsidRPr="00CA771B">
        <w:rPr>
          <w:rStyle w:val="af7"/>
          <w:rFonts w:eastAsia="Guttman Hodes" w:hint="cs"/>
          <w:rtl/>
        </w:rPr>
        <w:instrText xml:space="preserve"> _</w:instrText>
      </w:r>
      <w:r w:rsidRPr="00CA771B">
        <w:rPr>
          <w:rStyle w:val="af7"/>
          <w:rFonts w:eastAsia="Guttman Hodes" w:hint="cs"/>
        </w:rPr>
        <w:instrText>Ref60133638 \r \h</w:instrText>
      </w:r>
      <w:r w:rsidRPr="00CA771B">
        <w:rPr>
          <w:rStyle w:val="af7"/>
          <w:rFonts w:eastAsia="Guttman Hodes"/>
          <w:rtl/>
        </w:rPr>
        <w:instrText xml:space="preserve"> </w:instrText>
      </w:r>
      <w:r w:rsidRPr="00CA771B">
        <w:rPr>
          <w:rStyle w:val="af7"/>
          <w:rFonts w:eastAsia="Guttman Hodes"/>
          <w:rtl/>
        </w:rPr>
      </w:r>
      <w:r w:rsidRPr="00CA771B">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CA771B">
        <w:rPr>
          <w:rStyle w:val="af7"/>
          <w:rFonts w:eastAsia="Guttman Hodes"/>
          <w:rtl/>
        </w:rPr>
        <w:fldChar w:fldCharType="end"/>
      </w:r>
      <w:r>
        <w:rPr>
          <w:rFonts w:hint="cs"/>
          <w:rtl/>
        </w:rPr>
        <w:t xml:space="preserve"> כל שהמחזיק טוען שהמוכר דר בה בפניו ג"ש, חשיב שטוען קמי דידי זבנה מינך, כיון דלטענתו יש למוכר חזקה גמורה, וא"כ נחשב שיודע המחזיק שהמערער מכר למוכר.</w:t>
      </w:r>
    </w:p>
    <w:p w:rsidR="006A4297" w:rsidRPr="006A4297" w:rsidRDefault="006A4297" w:rsidP="006A4297">
      <w:pPr>
        <w:pStyle w:val="a3"/>
        <w:rPr>
          <w:rtl/>
        </w:rPr>
      </w:pPr>
    </w:p>
    <w:p w:rsidR="006A4297" w:rsidRPr="006A4297" w:rsidRDefault="006A4297" w:rsidP="006A4297">
      <w:pPr>
        <w:pStyle w:val="a3"/>
        <w:rPr>
          <w:rtl/>
        </w:rPr>
      </w:pPr>
    </w:p>
    <w:p w:rsidR="006A4297" w:rsidRPr="006A4297" w:rsidRDefault="006A4297" w:rsidP="006A4297">
      <w:pPr>
        <w:pStyle w:val="a3"/>
        <w:rPr>
          <w:rtl/>
        </w:rPr>
      </w:pPr>
    </w:p>
    <w:p w:rsidR="006A4297" w:rsidRPr="006A4297" w:rsidRDefault="006A4297" w:rsidP="006A4297">
      <w:pPr>
        <w:pStyle w:val="a3"/>
        <w:rPr>
          <w:rtl/>
        </w:rPr>
      </w:pPr>
    </w:p>
    <w:p w:rsidR="006A4297" w:rsidRDefault="006A4297" w:rsidP="006A4297">
      <w:pPr>
        <w:pStyle w:val="afe"/>
        <w:rPr>
          <w:rtl/>
        </w:rPr>
      </w:pPr>
      <w:bookmarkStart w:id="10660" w:name="_Toc60612631"/>
      <w:bookmarkStart w:id="10661" w:name="_Toc60616472"/>
      <w:bookmarkStart w:id="10662" w:name="_Toc60678229"/>
      <w:r>
        <w:rPr>
          <w:rFonts w:hint="cs"/>
          <w:rtl/>
        </w:rPr>
        <w:t>דעת הרשב"א דכשאין עידי מר"ק נאמן</w:t>
      </w:r>
      <w:bookmarkEnd w:id="10649"/>
      <w:bookmarkEnd w:id="10650"/>
      <w:bookmarkEnd w:id="10651"/>
      <w:bookmarkEnd w:id="10660"/>
      <w:bookmarkEnd w:id="10661"/>
      <w:bookmarkEnd w:id="10662"/>
    </w:p>
    <w:p w:rsidR="006A4297" w:rsidRDefault="006A4297" w:rsidP="006A4297">
      <w:pPr>
        <w:pStyle w:val="1"/>
        <w:rPr>
          <w:rtl/>
        </w:rPr>
      </w:pPr>
      <w:bookmarkStart w:id="10663" w:name="_Toc60303783"/>
      <w:bookmarkStart w:id="10664" w:name="_Toc60357047"/>
      <w:bookmarkStart w:id="10665" w:name="_Toc60589193"/>
      <w:bookmarkStart w:id="10666" w:name="_Toc60612632"/>
      <w:bookmarkStart w:id="10667" w:name="_Toc60616473"/>
      <w:bookmarkStart w:id="10668" w:name="_Toc60678230"/>
      <w:r>
        <w:rPr>
          <w:rFonts w:hint="cs"/>
          <w:rtl/>
        </w:rPr>
        <w:t>דברי הרשב"א בסוגיין דכשאין עידי מר"ק א"צ עדים לחד יומא</w:t>
      </w:r>
      <w:bookmarkEnd w:id="10663"/>
      <w:bookmarkEnd w:id="10664"/>
      <w:bookmarkEnd w:id="10665"/>
      <w:bookmarkEnd w:id="10666"/>
      <w:bookmarkEnd w:id="10667"/>
      <w:bookmarkEnd w:id="10668"/>
    </w:p>
    <w:p w:rsidR="006A4297" w:rsidRPr="00BD481F" w:rsidRDefault="006A4297" w:rsidP="006A4297">
      <w:pPr>
        <w:pStyle w:val="a3"/>
        <w:rPr>
          <w:rtl/>
        </w:rPr>
      </w:pPr>
      <w:bookmarkStart w:id="10669" w:name="_Toc60303784"/>
      <w:bookmarkStart w:id="10670" w:name="_Toc60357048"/>
      <w:bookmarkStart w:id="10671" w:name="_Toc60589194"/>
      <w:bookmarkStart w:id="10672" w:name="_Toc60612633"/>
      <w:bookmarkStart w:id="10673" w:name="_Toc60616474"/>
      <w:bookmarkStart w:id="10674" w:name="_Toc60678231"/>
      <w:r>
        <w:rPr>
          <w:rFonts w:hint="cs"/>
          <w:rtl/>
        </w:rPr>
        <w:t>דברי הרשב"א בסוגיין דכיון שאין עדים למערער נאמן בקמי דידי דר חד יומא מדין הפה שאסר</w:t>
      </w:r>
      <w:bookmarkEnd w:id="10669"/>
      <w:bookmarkEnd w:id="10670"/>
      <w:bookmarkEnd w:id="10671"/>
      <w:bookmarkEnd w:id="10672"/>
      <w:bookmarkEnd w:id="10673"/>
      <w:bookmarkEnd w:id="10674"/>
    </w:p>
    <w:p w:rsidR="006A4297" w:rsidRDefault="006A4297" w:rsidP="007E4E81">
      <w:pPr>
        <w:pStyle w:val="a0"/>
        <w:rPr>
          <w:rStyle w:val="afb"/>
          <w:rtl/>
        </w:rPr>
      </w:pPr>
      <w:bookmarkStart w:id="10675" w:name="_Ref60247114"/>
      <w:r>
        <w:rPr>
          <w:rFonts w:hint="cs"/>
          <w:rtl/>
        </w:rPr>
        <w:t xml:space="preserve">כתב </w:t>
      </w:r>
      <w:r>
        <w:rPr>
          <w:rStyle w:val="af9"/>
          <w:rtl/>
        </w:rPr>
        <w:t>הרשב"א</w:t>
      </w:r>
      <w:r>
        <w:rPr>
          <w:rStyle w:val="af9"/>
          <w:rFonts w:hint="cs"/>
          <w:rtl/>
        </w:rPr>
        <w:t xml:space="preserve"> בסוגיין</w:t>
      </w:r>
      <w:r>
        <w:rPr>
          <w:rFonts w:hint="cs"/>
          <w:rtl/>
        </w:rPr>
        <w:t xml:space="preserve"> </w:t>
      </w:r>
      <w:r>
        <w:rPr>
          <w:rStyle w:val="af7"/>
          <w:rFonts w:eastAsia="Guttman Hodes" w:hint="cs"/>
          <w:rtl/>
        </w:rPr>
        <w:t xml:space="preserve">(ד"ה ומיהו) </w:t>
      </w:r>
      <w:r>
        <w:rPr>
          <w:rFonts w:hint="cs"/>
          <w:rtl/>
        </w:rPr>
        <w:t xml:space="preserve">דאף כשאין עדים שהמוכר דר בה חד יומא, ורק טוען המחזיק קמי דידי דר בה המוכר חד יומא, ויש למחזיק חזקת ג"ש, ג"כ מעמידים ביד המחזיק, מדין הפה שאסר, והוסיף </w:t>
      </w:r>
      <w:r w:rsidRPr="006C3CC0">
        <w:rPr>
          <w:rStyle w:val="af9"/>
          <w:rFonts w:hint="cs"/>
          <w:rtl/>
        </w:rPr>
        <w:t>הרשב"א בכ"י</w:t>
      </w:r>
      <w:r>
        <w:rPr>
          <w:rFonts w:hint="cs"/>
          <w:rtl/>
        </w:rPr>
        <w:t xml:space="preserve"> </w:t>
      </w:r>
      <w:r w:rsidRPr="00BD481F">
        <w:rPr>
          <w:rStyle w:val="af7"/>
          <w:rFonts w:eastAsia="Guttman Hodes" w:hint="cs"/>
          <w:rtl/>
        </w:rPr>
        <w:t>(רשב"א מהדו' מוה"ק הערה 49)</w:t>
      </w:r>
      <w:r>
        <w:rPr>
          <w:rFonts w:hint="cs"/>
          <w:rtl/>
        </w:rPr>
        <w:t xml:space="preserve"> דהא דבגמ' לקמן </w:t>
      </w:r>
      <w:r w:rsidRPr="00BD481F">
        <w:rPr>
          <w:rStyle w:val="af7"/>
          <w:rFonts w:eastAsia="Guttman Hodes" w:hint="cs"/>
          <w:rtl/>
        </w:rPr>
        <w:t>(מא:)</w:t>
      </w:r>
      <w:r>
        <w:rPr>
          <w:rFonts w:hint="cs"/>
          <w:rtl/>
        </w:rPr>
        <w:t xml:space="preserve"> צריך עדים דדר בה חד יומא, הוא סברא אחרת. </w:t>
      </w:r>
      <w:r>
        <w:rPr>
          <w:rStyle w:val="afb"/>
          <w:rFonts w:hint="cs"/>
          <w:rtl/>
        </w:rPr>
        <w:t xml:space="preserve">[והיינו דבגמ' לקמן איירי שיש עדים למערער כדברי </w:t>
      </w:r>
      <w:r w:rsidRPr="00BD481F">
        <w:rPr>
          <w:rStyle w:val="affa"/>
          <w:rFonts w:hint="cs"/>
          <w:rtl/>
        </w:rPr>
        <w:t>הרשב"א לקמן</w:t>
      </w:r>
      <w:r>
        <w:rPr>
          <w:rStyle w:val="afb"/>
          <w:rFonts w:hint="cs"/>
          <w:rtl/>
        </w:rPr>
        <w:t xml:space="preserve"> </w:t>
      </w:r>
      <w:r w:rsidRPr="00BD481F">
        <w:rPr>
          <w:rStyle w:val="aff6"/>
          <w:rFonts w:hint="cs"/>
          <w:rtl/>
        </w:rPr>
        <w:t xml:space="preserve">(עי' אות </w:t>
      </w:r>
      <w:r w:rsidRPr="00BD481F">
        <w:rPr>
          <w:rStyle w:val="aff6"/>
          <w:rtl/>
        </w:rPr>
        <w:fldChar w:fldCharType="begin"/>
      </w:r>
      <w:r w:rsidRPr="00BD481F">
        <w:rPr>
          <w:rStyle w:val="aff6"/>
          <w:rtl/>
        </w:rPr>
        <w:instrText xml:space="preserve"> </w:instrText>
      </w:r>
      <w:r w:rsidRPr="00BD481F">
        <w:rPr>
          <w:rStyle w:val="aff6"/>
          <w:rFonts w:hint="cs"/>
        </w:rPr>
        <w:instrText>REF</w:instrText>
      </w:r>
      <w:r w:rsidRPr="00BD481F">
        <w:rPr>
          <w:rStyle w:val="aff6"/>
          <w:rFonts w:hint="cs"/>
          <w:rtl/>
        </w:rPr>
        <w:instrText xml:space="preserve"> _</w:instrText>
      </w:r>
      <w:r w:rsidRPr="00BD481F">
        <w:rPr>
          <w:rStyle w:val="aff6"/>
          <w:rFonts w:hint="cs"/>
        </w:rPr>
        <w:instrText>Ref60240353 \r \h</w:instrText>
      </w:r>
      <w:r w:rsidRPr="00BD481F">
        <w:rPr>
          <w:rStyle w:val="aff6"/>
          <w:rtl/>
        </w:rPr>
        <w:instrText xml:space="preserve"> </w:instrText>
      </w:r>
      <w:r w:rsidRPr="00BD481F">
        <w:rPr>
          <w:rStyle w:val="aff6"/>
          <w:rtl/>
        </w:rPr>
      </w:r>
      <w:r w:rsidRPr="00BD481F">
        <w:rPr>
          <w:rStyle w:val="aff6"/>
          <w:rtl/>
        </w:rPr>
        <w:fldChar w:fldCharType="separate"/>
      </w:r>
      <w:r w:rsidR="00265073">
        <w:rPr>
          <w:rStyle w:val="aff6"/>
          <w:cs/>
        </w:rPr>
        <w:t>‎</w:t>
      </w:r>
      <w:r w:rsidR="00265073">
        <w:rPr>
          <w:rStyle w:val="aff6"/>
          <w:rtl/>
        </w:rPr>
        <w:t>מא)</w:t>
      </w:r>
      <w:r w:rsidRPr="00BD481F">
        <w:rPr>
          <w:rStyle w:val="aff6"/>
          <w:rtl/>
        </w:rPr>
        <w:fldChar w:fldCharType="end"/>
      </w:r>
      <w:r>
        <w:rPr>
          <w:rStyle w:val="afb"/>
          <w:rFonts w:hint="cs"/>
          <w:rtl/>
        </w:rPr>
        <w:t xml:space="preserve"> עיי"ש בדבריו, וכן היא דעת </w:t>
      </w:r>
      <w:r w:rsidRPr="009852EA">
        <w:rPr>
          <w:rStyle w:val="affa"/>
          <w:rFonts w:hint="cs"/>
          <w:rtl/>
        </w:rPr>
        <w:t>התומים</w:t>
      </w:r>
      <w:r>
        <w:rPr>
          <w:rStyle w:val="afb"/>
          <w:rFonts w:hint="cs"/>
          <w:rtl/>
        </w:rPr>
        <w:t xml:space="preserve"> </w:t>
      </w:r>
      <w:r w:rsidRPr="009852EA">
        <w:rPr>
          <w:rStyle w:val="aff6"/>
          <w:rFonts w:hint="cs"/>
          <w:rtl/>
        </w:rPr>
        <w:t xml:space="preserve">(עי' אות </w:t>
      </w:r>
      <w:r w:rsidRPr="009852EA">
        <w:rPr>
          <w:rStyle w:val="aff6"/>
          <w:rtl/>
        </w:rPr>
        <w:fldChar w:fldCharType="begin"/>
      </w:r>
      <w:r w:rsidRPr="009852EA">
        <w:rPr>
          <w:rStyle w:val="aff6"/>
          <w:rtl/>
        </w:rPr>
        <w:instrText xml:space="preserve"> </w:instrText>
      </w:r>
      <w:r w:rsidRPr="009852EA">
        <w:rPr>
          <w:rStyle w:val="aff6"/>
          <w:rFonts w:hint="cs"/>
        </w:rPr>
        <w:instrText>REF</w:instrText>
      </w:r>
      <w:r w:rsidRPr="009852EA">
        <w:rPr>
          <w:rStyle w:val="aff6"/>
          <w:rFonts w:hint="cs"/>
          <w:rtl/>
        </w:rPr>
        <w:instrText xml:space="preserve"> _</w:instrText>
      </w:r>
      <w:r w:rsidRPr="009852EA">
        <w:rPr>
          <w:rStyle w:val="aff6"/>
          <w:rFonts w:hint="cs"/>
        </w:rPr>
        <w:instrText>Ref60247157 \r \h</w:instrText>
      </w:r>
      <w:r w:rsidRPr="009852EA">
        <w:rPr>
          <w:rStyle w:val="aff6"/>
          <w:rtl/>
        </w:rPr>
        <w:instrText xml:space="preserve"> </w:instrText>
      </w:r>
      <w:r w:rsidRPr="009852EA">
        <w:rPr>
          <w:rStyle w:val="aff6"/>
          <w:rtl/>
        </w:rPr>
      </w:r>
      <w:r w:rsidRPr="009852EA">
        <w:rPr>
          <w:rStyle w:val="aff6"/>
          <w:rtl/>
        </w:rPr>
        <w:fldChar w:fldCharType="separate"/>
      </w:r>
      <w:r w:rsidR="00265073">
        <w:rPr>
          <w:rStyle w:val="aff6"/>
          <w:cs/>
        </w:rPr>
        <w:t>‎</w:t>
      </w:r>
      <w:r w:rsidR="00265073">
        <w:rPr>
          <w:rStyle w:val="aff6"/>
          <w:rtl/>
        </w:rPr>
        <w:t>יז)</w:t>
      </w:r>
      <w:r w:rsidRPr="009852EA">
        <w:rPr>
          <w:rStyle w:val="aff6"/>
          <w:rtl/>
        </w:rPr>
        <w:fldChar w:fldCharType="end"/>
      </w:r>
      <w:r>
        <w:rPr>
          <w:rStyle w:val="afb"/>
          <w:rFonts w:hint="cs"/>
          <w:rtl/>
        </w:rPr>
        <w:t xml:space="preserve"> דהנאמנות בטענת קמי דידי דר בה חד יומא היא רק כשאין עדים למערער, וכתב </w:t>
      </w:r>
      <w:r w:rsidRPr="009852EA">
        <w:rPr>
          <w:rStyle w:val="affa"/>
          <w:rFonts w:hint="cs"/>
          <w:rtl/>
        </w:rPr>
        <w:t>התומים</w:t>
      </w:r>
      <w:r>
        <w:rPr>
          <w:rStyle w:val="afb"/>
          <w:rFonts w:hint="cs"/>
          <w:rtl/>
        </w:rPr>
        <w:t xml:space="preserve"> דאף </w:t>
      </w:r>
      <w:r w:rsidRPr="008E5D84">
        <w:rPr>
          <w:rStyle w:val="affa"/>
          <w:rFonts w:hint="cs"/>
          <w:rtl/>
        </w:rPr>
        <w:t>התוס'</w:t>
      </w:r>
      <w:r>
        <w:rPr>
          <w:rFonts w:hint="cs"/>
          <w:rtl/>
        </w:rPr>
        <w:t xml:space="preserve"> </w:t>
      </w:r>
      <w:r w:rsidRPr="008E5D84">
        <w:rPr>
          <w:rStyle w:val="aff6"/>
          <w:rFonts w:hint="cs"/>
          <w:rtl/>
        </w:rPr>
        <w:t xml:space="preserve">(עי' אות </w:t>
      </w:r>
      <w:r w:rsidRPr="008E5D84">
        <w:rPr>
          <w:rStyle w:val="aff6"/>
          <w:rtl/>
        </w:rPr>
        <w:fldChar w:fldCharType="begin"/>
      </w:r>
      <w:r w:rsidRPr="008E5D84">
        <w:rPr>
          <w:rStyle w:val="aff6"/>
          <w:rtl/>
        </w:rPr>
        <w:instrText xml:space="preserve"> </w:instrText>
      </w:r>
      <w:r w:rsidRPr="008E5D84">
        <w:rPr>
          <w:rStyle w:val="aff6"/>
          <w:rFonts w:hint="cs"/>
        </w:rPr>
        <w:instrText>REF</w:instrText>
      </w:r>
      <w:r w:rsidRPr="008E5D84">
        <w:rPr>
          <w:rStyle w:val="aff6"/>
          <w:rFonts w:hint="cs"/>
          <w:rtl/>
        </w:rPr>
        <w:instrText xml:space="preserve"> _</w:instrText>
      </w:r>
      <w:r w:rsidRPr="008E5D84">
        <w:rPr>
          <w:rStyle w:val="aff6"/>
          <w:rFonts w:hint="cs"/>
        </w:rPr>
        <w:instrText>Ref60243410 \r \h</w:instrText>
      </w:r>
      <w:r w:rsidRPr="008E5D84">
        <w:rPr>
          <w:rStyle w:val="aff6"/>
          <w:rtl/>
        </w:rPr>
        <w:instrText xml:space="preserve"> </w:instrText>
      </w:r>
      <w:r w:rsidRPr="008E5D84">
        <w:rPr>
          <w:rStyle w:val="aff6"/>
          <w:rtl/>
        </w:rPr>
      </w:r>
      <w:r w:rsidRPr="008E5D84">
        <w:rPr>
          <w:rStyle w:val="aff6"/>
          <w:rtl/>
        </w:rPr>
        <w:fldChar w:fldCharType="separate"/>
      </w:r>
      <w:r w:rsidR="00265073">
        <w:rPr>
          <w:rStyle w:val="aff6"/>
          <w:cs/>
        </w:rPr>
        <w:t>‎</w:t>
      </w:r>
      <w:r w:rsidR="00265073">
        <w:rPr>
          <w:rStyle w:val="aff6"/>
          <w:rtl/>
        </w:rPr>
        <w:t>ט)</w:t>
      </w:r>
      <w:r w:rsidRPr="008E5D84">
        <w:rPr>
          <w:rStyle w:val="aff6"/>
          <w:rtl/>
        </w:rPr>
        <w:fldChar w:fldCharType="end"/>
      </w:r>
      <w:r>
        <w:rPr>
          <w:rStyle w:val="afb"/>
          <w:rFonts w:hint="cs"/>
          <w:rtl/>
        </w:rPr>
        <w:t xml:space="preserve"> מודו</w:t>
      </w:r>
      <w:r w:rsidRPr="008E5D84">
        <w:rPr>
          <w:rStyle w:val="affa"/>
          <w:rFonts w:hint="cs"/>
          <w:rtl/>
        </w:rPr>
        <w:t xml:space="preserve"> </w:t>
      </w:r>
      <w:r>
        <w:rPr>
          <w:rStyle w:val="afb"/>
          <w:rFonts w:hint="cs"/>
          <w:rtl/>
        </w:rPr>
        <w:t>בזה].</w:t>
      </w:r>
      <w:bookmarkEnd w:id="10675"/>
    </w:p>
    <w:p w:rsidR="006A4297" w:rsidRDefault="006A4297" w:rsidP="006A4297">
      <w:pPr>
        <w:pStyle w:val="1"/>
        <w:rPr>
          <w:rtl/>
        </w:rPr>
      </w:pPr>
      <w:bookmarkStart w:id="10676" w:name="_Toc60303785"/>
      <w:bookmarkStart w:id="10677" w:name="_Toc60357049"/>
      <w:bookmarkStart w:id="10678" w:name="_Toc60589195"/>
      <w:bookmarkStart w:id="10679" w:name="_Toc60612634"/>
      <w:bookmarkStart w:id="10680" w:name="_Toc60616475"/>
      <w:bookmarkStart w:id="10681" w:name="_Toc60678232"/>
      <w:r>
        <w:rPr>
          <w:rFonts w:hint="cs"/>
          <w:rtl/>
        </w:rPr>
        <w:t>דברי הרשב"א לקמן דחד יומא טענה קלושה בלי עדים</w:t>
      </w:r>
      <w:r w:rsidRPr="002609E5">
        <w:rPr>
          <w:rFonts w:hint="cs"/>
          <w:rtl/>
        </w:rPr>
        <w:t xml:space="preserve"> </w:t>
      </w:r>
      <w:r>
        <w:rPr>
          <w:rFonts w:hint="cs"/>
          <w:rtl/>
        </w:rPr>
        <w:t>ול"מ</w:t>
      </w:r>
      <w:bookmarkEnd w:id="10676"/>
      <w:bookmarkEnd w:id="10677"/>
      <w:bookmarkEnd w:id="10678"/>
      <w:bookmarkEnd w:id="10679"/>
      <w:bookmarkEnd w:id="10680"/>
      <w:bookmarkEnd w:id="10681"/>
    </w:p>
    <w:p w:rsidR="006A4297" w:rsidRPr="002609E5" w:rsidRDefault="006A4297" w:rsidP="006A4297">
      <w:pPr>
        <w:pStyle w:val="a3"/>
      </w:pPr>
      <w:bookmarkStart w:id="10682" w:name="_Toc60303786"/>
      <w:bookmarkStart w:id="10683" w:name="_Toc60357050"/>
      <w:bookmarkStart w:id="10684" w:name="_Toc60589196"/>
      <w:bookmarkStart w:id="10685" w:name="_Toc60612635"/>
      <w:bookmarkStart w:id="10686" w:name="_Toc60616476"/>
      <w:bookmarkStart w:id="10687" w:name="_Toc60678233"/>
      <w:r>
        <w:rPr>
          <w:rFonts w:hint="cs"/>
          <w:rtl/>
        </w:rPr>
        <w:t>דברי הרשב"א לקמן דמוכח בגמ' לקמן דצריך עדים לחד יומא</w:t>
      </w:r>
      <w:bookmarkEnd w:id="10682"/>
      <w:bookmarkEnd w:id="10683"/>
      <w:bookmarkEnd w:id="10684"/>
      <w:bookmarkEnd w:id="10685"/>
      <w:bookmarkEnd w:id="10686"/>
      <w:bookmarkEnd w:id="10687"/>
      <w:r>
        <w:rPr>
          <w:rFonts w:hint="cs"/>
          <w:rtl/>
        </w:rPr>
        <w:t xml:space="preserve"> </w:t>
      </w:r>
    </w:p>
    <w:p w:rsidR="006A4297" w:rsidRDefault="006A4297" w:rsidP="007E4E81">
      <w:pPr>
        <w:pStyle w:val="a0"/>
        <w:rPr>
          <w:rtl/>
        </w:rPr>
      </w:pPr>
      <w:bookmarkStart w:id="10688" w:name="_Ref60654221"/>
      <w:bookmarkStart w:id="10689" w:name="_Ref60240353"/>
      <w:r>
        <w:rPr>
          <w:rFonts w:hint="cs"/>
          <w:rtl/>
        </w:rPr>
        <w:t xml:space="preserve">כתב </w:t>
      </w:r>
      <w:r w:rsidRPr="00E8774D">
        <w:rPr>
          <w:rStyle w:val="af9"/>
          <w:rFonts w:hint="cs"/>
          <w:rtl/>
        </w:rPr>
        <w:t>הרשב"א לקמן</w:t>
      </w:r>
      <w:r>
        <w:rPr>
          <w:rFonts w:hint="cs"/>
          <w:rtl/>
        </w:rPr>
        <w:t xml:space="preserve"> </w:t>
      </w:r>
      <w:r w:rsidRPr="00BD481F">
        <w:rPr>
          <w:rStyle w:val="af7"/>
          <w:rFonts w:eastAsia="Guttman Hodes" w:hint="cs"/>
          <w:rtl/>
        </w:rPr>
        <w:t>(מא: ד"ה א"ל)</w:t>
      </w:r>
      <w:r>
        <w:rPr>
          <w:rFonts w:hint="cs"/>
          <w:rtl/>
        </w:rPr>
        <w:t xml:space="preserve"> דמהא דאמר רבי חייא בגמ' לקמן </w:t>
      </w:r>
      <w:r w:rsidRPr="00E8774D">
        <w:rPr>
          <w:rStyle w:val="af7"/>
          <w:rFonts w:eastAsia="Guttman Hodes" w:hint="cs"/>
          <w:rtl/>
        </w:rPr>
        <w:t>(מא:)</w:t>
      </w:r>
      <w:r>
        <w:rPr>
          <w:rFonts w:hint="cs"/>
          <w:rtl/>
        </w:rPr>
        <w:t xml:space="preserve"> דדוקא כשיש עדים דדר בה המוכר חד יומא, ואמר רב דה"ה בטוען המחזיק דקמי דידי זבנה מינך נאמן, משמע דאם טוען המחזיק קמי דידי דר בה חד יומא אינו נאמן, דאי נאמן היה לגמ' לקמן לומר כן, כיון דאיירי בהכי.</w:t>
      </w:r>
      <w:bookmarkEnd w:id="10688"/>
    </w:p>
    <w:p w:rsidR="006A4297" w:rsidRPr="00FB34AA" w:rsidRDefault="006A4297" w:rsidP="006A4297">
      <w:pPr>
        <w:pStyle w:val="a3"/>
      </w:pPr>
      <w:bookmarkStart w:id="10690" w:name="_Toc60303787"/>
      <w:bookmarkStart w:id="10691" w:name="_Toc60357051"/>
      <w:bookmarkStart w:id="10692" w:name="_Toc60589197"/>
      <w:bookmarkStart w:id="10693" w:name="_Toc60612636"/>
      <w:bookmarkStart w:id="10694" w:name="_Toc60616477"/>
      <w:bookmarkStart w:id="10695" w:name="_Toc60678234"/>
      <w:r>
        <w:rPr>
          <w:rFonts w:hint="cs"/>
          <w:rtl/>
        </w:rPr>
        <w:t>דברי הרשב"א לקמן דכשאין ראיה לחד יומא חזקה שלא קנה והוא טענה קלושה ולא טענינן ליה</w:t>
      </w:r>
      <w:bookmarkEnd w:id="10690"/>
      <w:bookmarkEnd w:id="10691"/>
      <w:bookmarkEnd w:id="10692"/>
      <w:bookmarkEnd w:id="10693"/>
      <w:bookmarkEnd w:id="10694"/>
      <w:bookmarkEnd w:id="10695"/>
    </w:p>
    <w:p w:rsidR="006A4297" w:rsidRPr="00437ED6" w:rsidRDefault="006A4297" w:rsidP="007E4E81">
      <w:pPr>
        <w:pStyle w:val="a0"/>
        <w:rPr>
          <w:rtl/>
        </w:rPr>
      </w:pPr>
      <w:r>
        <w:rPr>
          <w:rFonts w:hint="cs"/>
          <w:rtl/>
        </w:rPr>
        <w:t xml:space="preserve">וביאר </w:t>
      </w:r>
      <w:r w:rsidRPr="00E8774D">
        <w:rPr>
          <w:rStyle w:val="af9"/>
          <w:rFonts w:hint="cs"/>
          <w:rtl/>
        </w:rPr>
        <w:t>הרשב"א לקמן</w:t>
      </w:r>
      <w:r>
        <w:rPr>
          <w:rFonts w:hint="cs"/>
          <w:rtl/>
        </w:rPr>
        <w:t xml:space="preserve"> דס"ל לרבי חייא דאי דר בה חד יומא מסתבר שראו אותו, וכל שאינו מביא ראיה ע"ז יש חזקה שלא קנאה המוכר מהמערער, וממילא טענתו דקמי דידי דר בה חד יומא בלא עדים, היא טענה קלושה, ומכח טענה זו</w:t>
      </w:r>
      <w:r w:rsidRPr="0052276B">
        <w:rPr>
          <w:rFonts w:hint="cs"/>
          <w:rtl/>
        </w:rPr>
        <w:t xml:space="preserve"> </w:t>
      </w:r>
      <w:r>
        <w:rPr>
          <w:rFonts w:hint="cs"/>
          <w:rtl/>
        </w:rPr>
        <w:t xml:space="preserve">לא טענינן ליה דהמוכר קנה מהמערער, ואעפ"י שיש </w:t>
      </w:r>
      <w:r w:rsidRPr="00437ED6">
        <w:rPr>
          <w:rFonts w:hint="cs"/>
          <w:rtl/>
        </w:rPr>
        <w:t>לו מיגו דהיה יכול לטעון קמי דידי זבנה מינך והיה נאמן, מ"מ אינו נאמן</w:t>
      </w:r>
      <w:r>
        <w:rPr>
          <w:rFonts w:hint="cs"/>
          <w:rtl/>
        </w:rPr>
        <w:t xml:space="preserve">, ועי' במה שביאר </w:t>
      </w:r>
      <w:r w:rsidRPr="004A243F">
        <w:rPr>
          <w:rStyle w:val="af9"/>
          <w:rFonts w:hint="cs"/>
          <w:rtl/>
        </w:rPr>
        <w:t>הברכ"ש</w:t>
      </w:r>
      <w:r>
        <w:rPr>
          <w:rFonts w:hint="cs"/>
          <w:rtl/>
        </w:rPr>
        <w:t xml:space="preserve"> </w:t>
      </w:r>
      <w:r w:rsidRPr="004A243F">
        <w:rPr>
          <w:rStyle w:val="af7"/>
          <w:rFonts w:eastAsia="Guttman Hodes" w:hint="cs"/>
          <w:rtl/>
        </w:rPr>
        <w:t xml:space="preserve">(עי' אות </w:t>
      </w:r>
      <w:r w:rsidRPr="004A243F">
        <w:rPr>
          <w:rStyle w:val="af7"/>
          <w:rFonts w:eastAsia="Guttman Hodes"/>
          <w:rtl/>
        </w:rPr>
        <w:fldChar w:fldCharType="begin"/>
      </w:r>
      <w:r w:rsidRPr="004A243F">
        <w:rPr>
          <w:rStyle w:val="af7"/>
          <w:rFonts w:eastAsia="Guttman Hodes"/>
          <w:rtl/>
        </w:rPr>
        <w:instrText xml:space="preserve"> </w:instrText>
      </w:r>
      <w:r w:rsidRPr="004A243F">
        <w:rPr>
          <w:rStyle w:val="af7"/>
          <w:rFonts w:eastAsia="Guttman Hodes" w:hint="cs"/>
        </w:rPr>
        <w:instrText>REF</w:instrText>
      </w:r>
      <w:r w:rsidRPr="004A243F">
        <w:rPr>
          <w:rStyle w:val="af7"/>
          <w:rFonts w:eastAsia="Guttman Hodes" w:hint="cs"/>
          <w:rtl/>
        </w:rPr>
        <w:instrText xml:space="preserve"> _</w:instrText>
      </w:r>
      <w:r w:rsidRPr="004A243F">
        <w:rPr>
          <w:rStyle w:val="af7"/>
          <w:rFonts w:eastAsia="Guttman Hodes" w:hint="cs"/>
        </w:rPr>
        <w:instrText>Ref60654265 \r \h</w:instrText>
      </w:r>
      <w:r w:rsidRPr="004A243F">
        <w:rPr>
          <w:rStyle w:val="af7"/>
          <w:rFonts w:eastAsia="Guttman Hodes"/>
          <w:rtl/>
        </w:rPr>
        <w:instrText xml:space="preserve"> </w:instrText>
      </w:r>
      <w:r w:rsidRPr="004A243F">
        <w:rPr>
          <w:rStyle w:val="af7"/>
          <w:rFonts w:eastAsia="Guttman Hodes"/>
          <w:rtl/>
        </w:rPr>
      </w:r>
      <w:r w:rsidRPr="004A243F">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sidRPr="004A243F">
        <w:rPr>
          <w:rStyle w:val="af7"/>
          <w:rFonts w:eastAsia="Guttman Hodes"/>
          <w:rtl/>
        </w:rPr>
        <w:fldChar w:fldCharType="end"/>
      </w:r>
      <w:r>
        <w:rPr>
          <w:rFonts w:hint="cs"/>
          <w:rtl/>
        </w:rPr>
        <w:t xml:space="preserve"> בדברי </w:t>
      </w:r>
      <w:r w:rsidRPr="004A243F">
        <w:rPr>
          <w:rStyle w:val="af9"/>
          <w:rFonts w:hint="cs"/>
          <w:rtl/>
        </w:rPr>
        <w:t>הרשב"א</w:t>
      </w:r>
      <w:r w:rsidRPr="00437ED6">
        <w:rPr>
          <w:rFonts w:hint="cs"/>
          <w:rtl/>
        </w:rPr>
        <w:t>.</w:t>
      </w:r>
      <w:bookmarkEnd w:id="10689"/>
    </w:p>
    <w:p w:rsidR="006A4297" w:rsidRDefault="006A4297" w:rsidP="006A4297">
      <w:pPr>
        <w:pStyle w:val="afe"/>
        <w:rPr>
          <w:rtl/>
        </w:rPr>
      </w:pPr>
      <w:bookmarkStart w:id="10696" w:name="_Toc60303788"/>
      <w:bookmarkStart w:id="10697" w:name="_Toc60357052"/>
      <w:bookmarkStart w:id="10698" w:name="_Toc60589198"/>
      <w:bookmarkStart w:id="10699" w:name="_Toc60612637"/>
      <w:bookmarkStart w:id="10700" w:name="_Toc60616478"/>
      <w:bookmarkStart w:id="10701" w:name="_Toc60678235"/>
      <w:r w:rsidRPr="00437ED6">
        <w:rPr>
          <w:rFonts w:hint="cs"/>
          <w:rtl/>
        </w:rPr>
        <w:t>קו' הרא"ש למהרי"ט ב</w:t>
      </w:r>
      <w:r>
        <w:rPr>
          <w:rFonts w:hint="cs"/>
          <w:rtl/>
        </w:rPr>
        <w:t xml:space="preserve">קמי דידי </w:t>
      </w:r>
      <w:r w:rsidRPr="00437ED6">
        <w:rPr>
          <w:rFonts w:hint="cs"/>
          <w:rtl/>
        </w:rPr>
        <w:t>חד יומא</w:t>
      </w:r>
      <w:bookmarkEnd w:id="10652"/>
      <w:bookmarkEnd w:id="10653"/>
      <w:bookmarkEnd w:id="10654"/>
      <w:bookmarkEnd w:id="10655"/>
      <w:bookmarkEnd w:id="10656"/>
      <w:bookmarkEnd w:id="10696"/>
      <w:bookmarkEnd w:id="10697"/>
      <w:bookmarkEnd w:id="10698"/>
      <w:bookmarkEnd w:id="10699"/>
      <w:bookmarkEnd w:id="10700"/>
      <w:bookmarkEnd w:id="10701"/>
    </w:p>
    <w:p w:rsidR="006A4297" w:rsidRDefault="006A4297" w:rsidP="006A4297">
      <w:pPr>
        <w:pStyle w:val="1"/>
        <w:rPr>
          <w:rtl/>
        </w:rPr>
      </w:pPr>
      <w:bookmarkStart w:id="10702" w:name="_Toc60612638"/>
      <w:bookmarkStart w:id="10703" w:name="_Toc60616479"/>
      <w:bookmarkStart w:id="10704" w:name="_Toc60678236"/>
      <w:r>
        <w:rPr>
          <w:rFonts w:hint="cs"/>
          <w:rtl/>
        </w:rPr>
        <w:t>קושית הרא"ש על הרשב"ם דבלא חזקה מהני מיגו דלהד"ם</w:t>
      </w:r>
      <w:bookmarkEnd w:id="10702"/>
      <w:bookmarkEnd w:id="10703"/>
      <w:bookmarkEnd w:id="10704"/>
    </w:p>
    <w:p w:rsidR="006A4297" w:rsidRPr="00E04DA5" w:rsidRDefault="006A4297" w:rsidP="006A4297">
      <w:pPr>
        <w:pStyle w:val="a3"/>
        <w:rPr>
          <w:rtl/>
        </w:rPr>
      </w:pPr>
      <w:r>
        <w:rPr>
          <w:rFonts w:hint="cs"/>
          <w:rtl/>
        </w:rPr>
        <w:t>קושית הרא"ש אמאי אין המחזיק נאמן במיגו דלהד"ם כמוכר וביאר הרא"ש דירא לטעון להד"ם</w:t>
      </w:r>
    </w:p>
    <w:p w:rsidR="006A4297" w:rsidRDefault="006A4297" w:rsidP="007E4E81">
      <w:pPr>
        <w:pStyle w:val="a0"/>
        <w:rPr>
          <w:sz w:val="10"/>
          <w:szCs w:val="14"/>
          <w:rtl/>
        </w:rPr>
      </w:pPr>
      <w:bookmarkStart w:id="10705" w:name="_Ref60693542"/>
      <w:r w:rsidRPr="00437ED6">
        <w:rPr>
          <w:rFonts w:hint="cs"/>
          <w:rtl/>
        </w:rPr>
        <w:t xml:space="preserve">עי' במה שהקשה </w:t>
      </w:r>
      <w:r w:rsidRPr="00437ED6">
        <w:rPr>
          <w:rStyle w:val="af9"/>
          <w:rFonts w:hint="cs"/>
          <w:rtl/>
        </w:rPr>
        <w:t>הרא"ש</w:t>
      </w:r>
      <w:r w:rsidRPr="00437ED6">
        <w:rPr>
          <w:rFonts w:hint="cs"/>
          <w:rtl/>
        </w:rPr>
        <w:t xml:space="preserve"> </w:t>
      </w:r>
      <w:r w:rsidRPr="00E90C23">
        <w:rPr>
          <w:rStyle w:val="af7"/>
          <w:rFonts w:eastAsia="Guttman Hodes" w:hint="cs"/>
          <w:rtl/>
        </w:rPr>
        <w:t>(סי' ז', הובא בסימן ח' אות מ"ז)</w:t>
      </w:r>
      <w:r w:rsidRPr="00437ED6">
        <w:rPr>
          <w:rFonts w:hint="cs"/>
          <w:rtl/>
        </w:rPr>
        <w:t xml:space="preserve"> על </w:t>
      </w:r>
      <w:r w:rsidRPr="00437ED6">
        <w:rPr>
          <w:rStyle w:val="af9"/>
          <w:rFonts w:hint="cs"/>
          <w:rtl/>
        </w:rPr>
        <w:t>הרשב"ם</w:t>
      </w:r>
      <w:r w:rsidRPr="00437ED6">
        <w:rPr>
          <w:rFonts w:hint="cs"/>
          <w:rtl/>
        </w:rPr>
        <w:t xml:space="preserve"> דכיון שאם היה המוכר לפנינו והיה טוען שלך הייתה ולקחתיה ממך, הוא היה נאמן במיגו דלא הייתה שלך מעולם, א"כ אף המחזיק שבא מכחו, ג"כ צריך להיות נאמן בטענה זו</w:t>
      </w:r>
      <w:r>
        <w:rPr>
          <w:rFonts w:hint="cs"/>
          <w:rtl/>
        </w:rPr>
        <w:t>,</w:t>
      </w:r>
      <w:r w:rsidRPr="00C87A72">
        <w:rPr>
          <w:rFonts w:hint="cs"/>
          <w:rtl/>
        </w:rPr>
        <w:t xml:space="preserve"> </w:t>
      </w:r>
      <w:r>
        <w:rPr>
          <w:rFonts w:hint="cs"/>
          <w:rtl/>
        </w:rPr>
        <w:t xml:space="preserve">וביאר </w:t>
      </w:r>
      <w:r w:rsidRPr="00AD2CFE">
        <w:rPr>
          <w:rStyle w:val="af9"/>
          <w:rFonts w:hint="cs"/>
          <w:rtl/>
        </w:rPr>
        <w:t>הרא"ש</w:t>
      </w:r>
      <w:r>
        <w:rPr>
          <w:rFonts w:hint="cs"/>
          <w:rtl/>
        </w:rPr>
        <w:t xml:space="preserve"> דאף שהמוכר היה נאמן במיגו דהיה טוען דלא הייתה של המערער מעולם, מ"מ המחזיק אינו נאמן בזה, דהוא ירא לטעון כן, שמא ימצא המערער עדים שהייתה שלו.</w:t>
      </w:r>
      <w:bookmarkEnd w:id="10705"/>
    </w:p>
    <w:p w:rsidR="006A4297" w:rsidRPr="00E04DA5" w:rsidRDefault="006A4297" w:rsidP="006A4297">
      <w:pPr>
        <w:pStyle w:val="a3"/>
      </w:pPr>
      <w:bookmarkStart w:id="10706" w:name="_Toc60612639"/>
      <w:bookmarkStart w:id="10707" w:name="_Toc60616480"/>
      <w:bookmarkStart w:id="10708" w:name="_Toc60678237"/>
      <w:r>
        <w:rPr>
          <w:rFonts w:hint="cs"/>
          <w:rtl/>
        </w:rPr>
        <w:t>דברי המהרי"ט דא"א לומר דקושית הרא"ש דהמיגו של המוכר יועיל למחזיק מדין טענינן</w:t>
      </w:r>
      <w:bookmarkEnd w:id="10706"/>
      <w:bookmarkEnd w:id="10707"/>
      <w:bookmarkEnd w:id="10708"/>
    </w:p>
    <w:p w:rsidR="006A4297" w:rsidRDefault="006A4297" w:rsidP="007E4E81">
      <w:pPr>
        <w:pStyle w:val="a0"/>
        <w:rPr>
          <w:rStyle w:val="afb"/>
          <w:rtl/>
        </w:rPr>
      </w:pPr>
      <w:r w:rsidRPr="00437ED6">
        <w:rPr>
          <w:rFonts w:hint="cs"/>
          <w:rtl/>
        </w:rPr>
        <w:t xml:space="preserve">ועי' </w:t>
      </w:r>
      <w:r>
        <w:rPr>
          <w:rFonts w:hint="cs"/>
          <w:rtl/>
        </w:rPr>
        <w:t>במ"ש</w:t>
      </w:r>
      <w:r w:rsidRPr="00437ED6">
        <w:rPr>
          <w:rFonts w:hint="cs"/>
          <w:rtl/>
        </w:rPr>
        <w:t xml:space="preserve"> </w:t>
      </w:r>
      <w:r w:rsidRPr="00437ED6">
        <w:rPr>
          <w:rStyle w:val="af9"/>
          <w:rFonts w:hint="cs"/>
          <w:rtl/>
        </w:rPr>
        <w:t>המהרי"ט</w:t>
      </w:r>
      <w:r w:rsidRPr="00437ED6">
        <w:rPr>
          <w:rFonts w:hint="cs"/>
          <w:rtl/>
        </w:rPr>
        <w:t xml:space="preserve"> </w:t>
      </w:r>
      <w:r w:rsidRPr="00E90C23">
        <w:rPr>
          <w:rStyle w:val="af7"/>
          <w:rFonts w:eastAsia="Guttman Hodes" w:hint="cs"/>
          <w:rtl/>
        </w:rPr>
        <w:t>(ח"א סי' קי"ב ד"ה איברא, הובא בסימן ח' אות נ')</w:t>
      </w:r>
      <w:r>
        <w:rPr>
          <w:rFonts w:hint="cs"/>
          <w:rtl/>
        </w:rPr>
        <w:t xml:space="preserve"> דא"א לומר דכוונת </w:t>
      </w:r>
      <w:r w:rsidRPr="003D65FF">
        <w:rPr>
          <w:rStyle w:val="af9"/>
          <w:rFonts w:hint="cs"/>
          <w:rtl/>
        </w:rPr>
        <w:t>הרא"ש</w:t>
      </w:r>
      <w:r>
        <w:rPr>
          <w:rFonts w:hint="cs"/>
          <w:rtl/>
        </w:rPr>
        <w:t xml:space="preserve"> להקשות על דברי </w:t>
      </w:r>
      <w:r w:rsidRPr="003D65FF">
        <w:rPr>
          <w:rStyle w:val="af9"/>
          <w:rFonts w:hint="cs"/>
          <w:rtl/>
        </w:rPr>
        <w:t>הרשב"ם</w:t>
      </w:r>
      <w:r>
        <w:rPr>
          <w:rFonts w:hint="cs"/>
          <w:rtl/>
        </w:rPr>
        <w:t xml:space="preserve"> דהמיגו של </w:t>
      </w:r>
      <w:r w:rsidRPr="008B79D4">
        <w:rPr>
          <w:rFonts w:hint="cs"/>
          <w:rtl/>
        </w:rPr>
        <w:t xml:space="preserve">המוכר יועיל למחזיק מדין טענינן, כדהקשה </w:t>
      </w:r>
      <w:r w:rsidRPr="008B79D4">
        <w:rPr>
          <w:rStyle w:val="af9"/>
          <w:rFonts w:hint="cs"/>
          <w:rtl/>
        </w:rPr>
        <w:t>הרמב"</w:t>
      </w:r>
      <w:r w:rsidRPr="008B79D4">
        <w:rPr>
          <w:rFonts w:hint="cs"/>
          <w:rtl/>
        </w:rPr>
        <w:t>ן</w:t>
      </w:r>
      <w:r w:rsidRPr="00E90C23">
        <w:rPr>
          <w:rStyle w:val="af7"/>
          <w:rFonts w:eastAsia="Guttman Hodes" w:hint="cs"/>
          <w:rtl/>
        </w:rPr>
        <w:t xml:space="preserve"> (ד"ה והוי, הובא בסימן ט' אות כ"ט) </w:t>
      </w:r>
      <w:r w:rsidRPr="008B79D4">
        <w:rPr>
          <w:rFonts w:hint="cs"/>
          <w:rtl/>
        </w:rPr>
        <w:t xml:space="preserve">על </w:t>
      </w:r>
      <w:r w:rsidRPr="008B79D4">
        <w:rPr>
          <w:rStyle w:val="af9"/>
          <w:rFonts w:hint="cs"/>
          <w:rtl/>
        </w:rPr>
        <w:t>הרשב"ם</w:t>
      </w:r>
      <w:r w:rsidRPr="008B79D4">
        <w:rPr>
          <w:rFonts w:hint="cs"/>
          <w:rtl/>
        </w:rPr>
        <w:t xml:space="preserve">, דא"כ אף שהמחזיק ירא לטעון את המיגו, מ"מ למוכר היה </w:t>
      </w:r>
      <w:r w:rsidRPr="008B79D4">
        <w:rPr>
          <w:rFonts w:hint="cs"/>
          <w:rtl/>
        </w:rPr>
        <w:lastRenderedPageBreak/>
        <w:t>מיגו וטענינן ליה.</w:t>
      </w:r>
      <w:r w:rsidRPr="00E90C23">
        <w:rPr>
          <w:rFonts w:hint="cs"/>
          <w:rtl/>
        </w:rPr>
        <w:t xml:space="preserve"> </w:t>
      </w:r>
      <w:r w:rsidRPr="00A76DF3">
        <w:rPr>
          <w:rStyle w:val="afb"/>
          <w:rFonts w:hint="cs"/>
          <w:rtl/>
        </w:rPr>
        <w:t xml:space="preserve">[ועי' במה שתירץ </w:t>
      </w:r>
      <w:r w:rsidRPr="00A76DF3">
        <w:rPr>
          <w:rStyle w:val="affa"/>
          <w:rFonts w:hint="cs"/>
          <w:rtl/>
        </w:rPr>
        <w:t xml:space="preserve">המשל"מ בביאורו הב' </w:t>
      </w:r>
      <w:r w:rsidRPr="00A76DF3">
        <w:rPr>
          <w:rStyle w:val="aff6"/>
          <w:rFonts w:hint="cs"/>
          <w:rtl/>
        </w:rPr>
        <w:t>(טו"נ פי"ד הי"ד ד"ה ומ"מ אעיקרא, הובא בסימן ח' אות נ"ו)</w:t>
      </w:r>
      <w:r w:rsidRPr="00A76DF3">
        <w:rPr>
          <w:rStyle w:val="afb"/>
          <w:rFonts w:hint="cs"/>
          <w:rtl/>
        </w:rPr>
        <w:t>].</w:t>
      </w:r>
    </w:p>
    <w:p w:rsidR="006A4297" w:rsidRPr="00665385" w:rsidRDefault="006A4297" w:rsidP="006A4297">
      <w:pPr>
        <w:pStyle w:val="a3"/>
        <w:rPr>
          <w:rtl/>
        </w:rPr>
      </w:pPr>
      <w:bookmarkStart w:id="10709" w:name="_Toc60612640"/>
      <w:bookmarkStart w:id="10710" w:name="_Toc60616481"/>
      <w:bookmarkStart w:id="10711" w:name="_Toc60678238"/>
      <w:r>
        <w:rPr>
          <w:rFonts w:hint="cs"/>
          <w:rtl/>
        </w:rPr>
        <w:t>ביאור המהרי"ט דקושית הרא"ש על הרשב"ם דאמאי אינו נאמן בקמי דידי דר חד יומא במיגו</w:t>
      </w:r>
      <w:bookmarkEnd w:id="10709"/>
      <w:bookmarkEnd w:id="10710"/>
      <w:bookmarkEnd w:id="10711"/>
    </w:p>
    <w:p w:rsidR="006A4297" w:rsidRPr="00A76DF3" w:rsidRDefault="006A4297" w:rsidP="007E4E81">
      <w:pPr>
        <w:pStyle w:val="a0"/>
        <w:rPr>
          <w:rStyle w:val="afb"/>
          <w:rtl/>
        </w:rPr>
      </w:pPr>
      <w:r w:rsidRPr="008B79D4">
        <w:rPr>
          <w:rFonts w:hint="cs"/>
          <w:rtl/>
        </w:rPr>
        <w:t xml:space="preserve">וכתב </w:t>
      </w:r>
      <w:r w:rsidRPr="008B79D4">
        <w:rPr>
          <w:rStyle w:val="af9"/>
          <w:rFonts w:hint="cs"/>
          <w:rtl/>
        </w:rPr>
        <w:t>המהרי"ט</w:t>
      </w:r>
      <w:r w:rsidRPr="008B79D4">
        <w:rPr>
          <w:rFonts w:hint="cs"/>
          <w:rtl/>
        </w:rPr>
        <w:t xml:space="preserve"> </w:t>
      </w:r>
      <w:r w:rsidRPr="00665385">
        <w:rPr>
          <w:rStyle w:val="af7"/>
          <w:rFonts w:eastAsia="Guttman Hodes" w:hint="cs"/>
          <w:rtl/>
        </w:rPr>
        <w:t>(ח"א סי' קי"ב ד"ה איברא</w:t>
      </w:r>
      <w:r w:rsidRPr="00D963F6">
        <w:rPr>
          <w:rStyle w:val="af7"/>
          <w:rFonts w:eastAsia="Guttman Hodes" w:hint="cs"/>
          <w:rtl/>
        </w:rPr>
        <w:t xml:space="preserve">) </w:t>
      </w:r>
      <w:r w:rsidRPr="008B79D4">
        <w:rPr>
          <w:rFonts w:hint="cs"/>
          <w:rtl/>
        </w:rPr>
        <w:t xml:space="preserve">דאפש"ל דכוונת </w:t>
      </w:r>
      <w:r w:rsidRPr="008B79D4">
        <w:rPr>
          <w:rStyle w:val="af9"/>
          <w:rFonts w:hint="cs"/>
          <w:rtl/>
        </w:rPr>
        <w:t>הרא"ש</w:t>
      </w:r>
      <w:r w:rsidRPr="008B79D4">
        <w:rPr>
          <w:rFonts w:hint="cs"/>
          <w:rtl/>
        </w:rPr>
        <w:t xml:space="preserve"> להקשות על דברי </w:t>
      </w:r>
      <w:r w:rsidRPr="008B79D4">
        <w:rPr>
          <w:rStyle w:val="af9"/>
          <w:rFonts w:hint="cs"/>
          <w:rtl/>
        </w:rPr>
        <w:t>הרשב"ם</w:t>
      </w:r>
      <w:r w:rsidRPr="008B79D4">
        <w:rPr>
          <w:rFonts w:hint="cs"/>
          <w:rtl/>
        </w:rPr>
        <w:t xml:space="preserve"> </w:t>
      </w:r>
      <w:r w:rsidRPr="00665385">
        <w:rPr>
          <w:rStyle w:val="af7"/>
          <w:rFonts w:eastAsia="Guttman Hodes" w:hint="cs"/>
          <w:rtl/>
        </w:rPr>
        <w:t xml:space="preserve">(עי' אות </w:t>
      </w:r>
      <w:r w:rsidRPr="00665385">
        <w:rPr>
          <w:rStyle w:val="af7"/>
          <w:rFonts w:eastAsia="Guttman Hodes"/>
          <w:rtl/>
        </w:rPr>
        <w:fldChar w:fldCharType="begin"/>
      </w:r>
      <w:r w:rsidRPr="00665385">
        <w:rPr>
          <w:rStyle w:val="af7"/>
          <w:rFonts w:eastAsia="Guttman Hodes"/>
          <w:rtl/>
        </w:rPr>
        <w:instrText xml:space="preserve"> </w:instrText>
      </w:r>
      <w:r w:rsidRPr="00665385">
        <w:rPr>
          <w:rStyle w:val="af7"/>
          <w:rFonts w:eastAsia="Guttman Hodes" w:hint="cs"/>
        </w:rPr>
        <w:instrText>REF</w:instrText>
      </w:r>
      <w:r w:rsidRPr="00665385">
        <w:rPr>
          <w:rStyle w:val="af7"/>
          <w:rFonts w:eastAsia="Guttman Hodes" w:hint="cs"/>
          <w:rtl/>
        </w:rPr>
        <w:instrText xml:space="preserve"> _</w:instrText>
      </w:r>
      <w:r w:rsidRPr="00665385">
        <w:rPr>
          <w:rStyle w:val="af7"/>
          <w:rFonts w:eastAsia="Guttman Hodes" w:hint="cs"/>
        </w:rPr>
        <w:instrText>Ref60310822 \r \h</w:instrText>
      </w:r>
      <w:r w:rsidRPr="00665385">
        <w:rPr>
          <w:rStyle w:val="af7"/>
          <w:rFonts w:eastAsia="Guttman Hodes"/>
          <w:rtl/>
        </w:rPr>
        <w:instrText xml:space="preserve">  \* </w:instrText>
      </w:r>
      <w:r w:rsidRPr="00665385">
        <w:rPr>
          <w:rStyle w:val="af7"/>
          <w:rFonts w:eastAsia="Guttman Hodes"/>
        </w:rPr>
        <w:instrText>MERGEFORMAT</w:instrText>
      </w:r>
      <w:r w:rsidRPr="00665385">
        <w:rPr>
          <w:rStyle w:val="af7"/>
          <w:rFonts w:eastAsia="Guttman Hodes"/>
          <w:rtl/>
        </w:rPr>
        <w:instrText xml:space="preserve"> </w:instrText>
      </w:r>
      <w:r w:rsidRPr="00665385">
        <w:rPr>
          <w:rStyle w:val="af7"/>
          <w:rFonts w:eastAsia="Guttman Hodes"/>
          <w:rtl/>
        </w:rPr>
      </w:r>
      <w:r w:rsidRPr="00665385">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665385">
        <w:rPr>
          <w:rStyle w:val="af7"/>
          <w:rFonts w:eastAsia="Guttman Hodes"/>
          <w:rtl/>
        </w:rPr>
        <w:fldChar w:fldCharType="end"/>
      </w:r>
      <w:r w:rsidRPr="008B79D4">
        <w:rPr>
          <w:rFonts w:hint="cs"/>
          <w:rtl/>
        </w:rPr>
        <w:t xml:space="preserve"> דס"ל דאף כשיש לו חזקת ג"ש, מ"מ אינו נאמן בטענת קמי דידי דר בה המוכר חד יומא, וצריך עדים ע"ז, </w:t>
      </w:r>
      <w:r w:rsidRPr="008B79D4">
        <w:rPr>
          <w:rStyle w:val="afb"/>
          <w:rFonts w:hint="cs"/>
          <w:rtl/>
        </w:rPr>
        <w:t xml:space="preserve">[ועיי"ש במה שביאר </w:t>
      </w:r>
      <w:r w:rsidRPr="008B79D4">
        <w:rPr>
          <w:rStyle w:val="affa"/>
          <w:rFonts w:hint="cs"/>
          <w:rtl/>
        </w:rPr>
        <w:t>המהרי"ט</w:t>
      </w:r>
      <w:r w:rsidRPr="008B79D4">
        <w:rPr>
          <w:rStyle w:val="afb"/>
          <w:rFonts w:hint="cs"/>
          <w:rtl/>
        </w:rPr>
        <w:t xml:space="preserve"> דאף </w:t>
      </w:r>
      <w:r w:rsidRPr="008B79D4">
        <w:rPr>
          <w:rStyle w:val="affa"/>
          <w:rFonts w:hint="cs"/>
          <w:rtl/>
        </w:rPr>
        <w:t>דהרא"ש</w:t>
      </w:r>
      <w:r w:rsidRPr="008B79D4">
        <w:rPr>
          <w:rStyle w:val="afb"/>
          <w:rFonts w:hint="cs"/>
          <w:rtl/>
        </w:rPr>
        <w:t xml:space="preserve"> לא הביא את דברי </w:t>
      </w:r>
      <w:r w:rsidRPr="008B79D4">
        <w:rPr>
          <w:rStyle w:val="affa"/>
          <w:rFonts w:hint="cs"/>
          <w:rtl/>
        </w:rPr>
        <w:t>הרשב"ם</w:t>
      </w:r>
      <w:r w:rsidRPr="008B79D4">
        <w:rPr>
          <w:rStyle w:val="afb"/>
          <w:rFonts w:hint="cs"/>
          <w:rtl/>
        </w:rPr>
        <w:t xml:space="preserve"> הללו, מ"מ אפש"ל דזו כוונתו], </w:t>
      </w:r>
      <w:r w:rsidRPr="008B79D4">
        <w:rPr>
          <w:rFonts w:hint="cs"/>
          <w:rtl/>
        </w:rPr>
        <w:t xml:space="preserve">והקשה </w:t>
      </w:r>
      <w:r w:rsidRPr="008B79D4">
        <w:rPr>
          <w:rStyle w:val="af9"/>
          <w:rFonts w:hint="cs"/>
          <w:rtl/>
        </w:rPr>
        <w:t>הרא"ש</w:t>
      </w:r>
      <w:r w:rsidRPr="008B79D4">
        <w:rPr>
          <w:rFonts w:hint="cs"/>
          <w:rtl/>
        </w:rPr>
        <w:t xml:space="preserve"> דאמאי לא מהני לו מיגו דהיה טוען שלא הייתה שלך מעולם, כדעת </w:t>
      </w:r>
      <w:r w:rsidRPr="008B79D4">
        <w:rPr>
          <w:rStyle w:val="af9"/>
          <w:rFonts w:hint="cs"/>
          <w:rtl/>
        </w:rPr>
        <w:t>התוס'</w:t>
      </w:r>
      <w:r w:rsidRPr="008B79D4">
        <w:rPr>
          <w:rFonts w:hint="cs"/>
          <w:rtl/>
        </w:rPr>
        <w:t xml:space="preserve"> </w:t>
      </w:r>
      <w:r w:rsidRPr="009453C4">
        <w:rPr>
          <w:rStyle w:val="af7"/>
          <w:rFonts w:eastAsia="Guttman Hodes" w:hint="cs"/>
          <w:rtl/>
        </w:rPr>
        <w:t xml:space="preserve">(עי' אות </w:t>
      </w:r>
      <w:r w:rsidRPr="009453C4">
        <w:rPr>
          <w:rStyle w:val="af7"/>
          <w:rFonts w:eastAsia="Guttman Hodes"/>
          <w:rtl/>
        </w:rPr>
        <w:fldChar w:fldCharType="begin"/>
      </w:r>
      <w:r w:rsidRPr="009453C4">
        <w:rPr>
          <w:rStyle w:val="af7"/>
          <w:rFonts w:eastAsia="Guttman Hodes"/>
          <w:rtl/>
        </w:rPr>
        <w:instrText xml:space="preserve"> </w:instrText>
      </w:r>
      <w:r w:rsidRPr="009453C4">
        <w:rPr>
          <w:rStyle w:val="af7"/>
          <w:rFonts w:eastAsia="Guttman Hodes" w:hint="cs"/>
        </w:rPr>
        <w:instrText>REF</w:instrText>
      </w:r>
      <w:r w:rsidRPr="009453C4">
        <w:rPr>
          <w:rStyle w:val="af7"/>
          <w:rFonts w:eastAsia="Guttman Hodes" w:hint="cs"/>
          <w:rtl/>
        </w:rPr>
        <w:instrText xml:space="preserve"> _</w:instrText>
      </w:r>
      <w:r w:rsidRPr="009453C4">
        <w:rPr>
          <w:rStyle w:val="af7"/>
          <w:rFonts w:eastAsia="Guttman Hodes" w:hint="cs"/>
        </w:rPr>
        <w:instrText>Ref60243410 \r \h</w:instrText>
      </w:r>
      <w:r w:rsidRPr="009453C4">
        <w:rPr>
          <w:rStyle w:val="af7"/>
          <w:rFonts w:eastAsia="Guttman Hodes"/>
          <w:rtl/>
        </w:rPr>
        <w:instrText xml:space="preserve"> </w:instrText>
      </w:r>
      <w:r w:rsidRPr="009453C4">
        <w:rPr>
          <w:rStyle w:val="af7"/>
          <w:rFonts w:eastAsia="Guttman Hodes"/>
          <w:rtl/>
        </w:rPr>
      </w:r>
      <w:r w:rsidRPr="009453C4">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9453C4">
        <w:rPr>
          <w:rStyle w:val="af7"/>
          <w:rFonts w:eastAsia="Guttman Hodes"/>
          <w:rtl/>
        </w:rPr>
        <w:fldChar w:fldCharType="end"/>
      </w:r>
      <w:r w:rsidRPr="008B79D4">
        <w:rPr>
          <w:rFonts w:hint="cs"/>
          <w:rtl/>
        </w:rPr>
        <w:t>.</w:t>
      </w:r>
    </w:p>
    <w:p w:rsidR="006A4297" w:rsidRPr="003235E0" w:rsidRDefault="006A4297" w:rsidP="006A4297">
      <w:pPr>
        <w:pStyle w:val="a3"/>
      </w:pPr>
      <w:bookmarkStart w:id="10712" w:name="_Toc60612641"/>
      <w:bookmarkStart w:id="10713" w:name="_Toc60616482"/>
      <w:bookmarkStart w:id="10714" w:name="_Toc60678239"/>
      <w:r>
        <w:rPr>
          <w:rFonts w:hint="cs"/>
          <w:rtl/>
        </w:rPr>
        <w:t>ביאור המהרי"ט בתי' הרא"ש דלרשב"ם המחזיק ירא לטעון להד"ם אך למוכר אין נ"מ מה טוען</w:t>
      </w:r>
      <w:bookmarkEnd w:id="10712"/>
      <w:bookmarkEnd w:id="10713"/>
      <w:bookmarkEnd w:id="10714"/>
    </w:p>
    <w:p w:rsidR="006A4297" w:rsidRDefault="006A4297" w:rsidP="007E4E81">
      <w:pPr>
        <w:pStyle w:val="a0"/>
        <w:rPr>
          <w:sz w:val="10"/>
          <w:szCs w:val="14"/>
          <w:rtl/>
        </w:rPr>
      </w:pPr>
      <w:r>
        <w:rPr>
          <w:rFonts w:hint="cs"/>
          <w:rtl/>
        </w:rPr>
        <w:t>וכתב</w:t>
      </w:r>
      <w:r w:rsidRPr="00437ED6">
        <w:rPr>
          <w:rFonts w:hint="cs"/>
          <w:rtl/>
        </w:rPr>
        <w:t xml:space="preserve"> </w:t>
      </w:r>
      <w:r w:rsidRPr="00437ED6">
        <w:rPr>
          <w:rStyle w:val="af9"/>
          <w:rFonts w:hint="cs"/>
          <w:rtl/>
        </w:rPr>
        <w:t>המהרי"ט</w:t>
      </w:r>
      <w:r w:rsidRPr="00437ED6">
        <w:rPr>
          <w:rFonts w:hint="cs"/>
          <w:rtl/>
        </w:rPr>
        <w:t xml:space="preserve"> </w:t>
      </w:r>
      <w:r>
        <w:rPr>
          <w:rFonts w:hint="cs"/>
          <w:rtl/>
        </w:rPr>
        <w:t xml:space="preserve">דלפי"ז כוונת לבאר </w:t>
      </w:r>
      <w:r w:rsidRPr="0062478A">
        <w:rPr>
          <w:rStyle w:val="af9"/>
          <w:rFonts w:hint="cs"/>
          <w:rtl/>
        </w:rPr>
        <w:t>הרא"ש</w:t>
      </w:r>
      <w:r>
        <w:rPr>
          <w:rFonts w:hint="cs"/>
          <w:rtl/>
        </w:rPr>
        <w:t xml:space="preserve"> את דברי </w:t>
      </w:r>
      <w:r w:rsidRPr="00F3060A">
        <w:rPr>
          <w:rStyle w:val="af9"/>
          <w:rFonts w:hint="cs"/>
          <w:rtl/>
        </w:rPr>
        <w:t>הרשב"ם</w:t>
      </w:r>
      <w:r>
        <w:rPr>
          <w:rFonts w:hint="cs"/>
          <w:rtl/>
        </w:rPr>
        <w:t xml:space="preserve">, דדוקא המוכר היה נאמן במיגו דלא הייתה של המערער מעולם, דאעפ"י שיתכן שהמערער ימצא עדים שהייתה שלו, מ"מ אם הוא משקר במה שהוא טוען דמינך זבינתה, א"כ יתכן שיביא המערער ראיה שלא מכר את הקרקע למוכר, </w:t>
      </w:r>
      <w:r w:rsidRPr="00D62D89">
        <w:rPr>
          <w:rStyle w:val="afb"/>
          <w:rFonts w:hint="cs"/>
          <w:rtl/>
        </w:rPr>
        <w:t xml:space="preserve">[וא"כ בין בטענה שטוען המוכר דמינך זבינתה, ובין בטענת המיגו דלא הייתה של המערער מעולם, צריך המוכר לחשוש שמא ימצא עדים, ואין למוכר כל עדיפות לטעון מינך זבינתה, ולכן נאמן במיגו], </w:t>
      </w:r>
      <w:r>
        <w:rPr>
          <w:rFonts w:hint="cs"/>
          <w:rtl/>
        </w:rPr>
        <w:t>אבל המחזיק ירא רק לטעון את טענת המיגו, דלא הייתה של המערער מעולם, דהוא חושש שהמערער ימצא עדים שהייתה שלו.</w:t>
      </w:r>
    </w:p>
    <w:p w:rsidR="006A4297" w:rsidRPr="006E570A" w:rsidRDefault="006A4297" w:rsidP="006A4297">
      <w:pPr>
        <w:pStyle w:val="a3"/>
      </w:pPr>
      <w:bookmarkStart w:id="10715" w:name="_Toc60612642"/>
      <w:bookmarkStart w:id="10716" w:name="_Toc60616483"/>
      <w:bookmarkStart w:id="10717" w:name="_Toc60678240"/>
      <w:r>
        <w:rPr>
          <w:rFonts w:hint="cs"/>
          <w:rtl/>
        </w:rPr>
        <w:t>ביאור המהרי"ט ברא"ש דאינו ירא לטעון קמי דידי דר חד יומא דמאמין למוכר וסומך שיש עדים</w:t>
      </w:r>
      <w:bookmarkEnd w:id="10715"/>
      <w:bookmarkEnd w:id="10716"/>
      <w:bookmarkEnd w:id="10717"/>
    </w:p>
    <w:p w:rsidR="006A4297" w:rsidRDefault="006A4297" w:rsidP="007E4E81">
      <w:pPr>
        <w:pStyle w:val="a0"/>
        <w:rPr>
          <w:rStyle w:val="afb"/>
          <w:rtl/>
        </w:rPr>
      </w:pPr>
      <w:r>
        <w:rPr>
          <w:rFonts w:hint="cs"/>
          <w:rtl/>
        </w:rPr>
        <w:t>וכתב</w:t>
      </w:r>
      <w:r w:rsidRPr="00437ED6">
        <w:rPr>
          <w:rFonts w:hint="cs"/>
          <w:rtl/>
        </w:rPr>
        <w:t xml:space="preserve"> </w:t>
      </w:r>
      <w:r w:rsidRPr="00437ED6">
        <w:rPr>
          <w:rStyle w:val="af9"/>
          <w:rFonts w:hint="cs"/>
          <w:rtl/>
        </w:rPr>
        <w:t>המהרי"ט</w:t>
      </w:r>
      <w:r>
        <w:rPr>
          <w:rFonts w:hint="cs"/>
          <w:rtl/>
        </w:rPr>
        <w:t xml:space="preserve"> דהמחזיק אינו ירא לטעון קמי דידי דר בה חד יומא, כיון שהוא מאמין לדברי המוכר שהוא קנה מהמערער, והוא סומך שימצא עדים שהייתה של המוכר, ולכן אין לו מיגו דניחא ליה לטעון קמי דידי דר בה חד יומא, מאשר לטעון דלא הייתה של המערער מעולם, וכתב </w:t>
      </w:r>
      <w:r w:rsidRPr="00D62D89">
        <w:rPr>
          <w:rStyle w:val="af9"/>
          <w:rFonts w:hint="cs"/>
          <w:rtl/>
        </w:rPr>
        <w:t>המהרי"ט</w:t>
      </w:r>
      <w:r>
        <w:rPr>
          <w:rFonts w:hint="cs"/>
          <w:rtl/>
        </w:rPr>
        <w:t xml:space="preserve"> דכוונת </w:t>
      </w:r>
      <w:r w:rsidRPr="00D62D89">
        <w:rPr>
          <w:rStyle w:val="af9"/>
          <w:rFonts w:hint="cs"/>
          <w:rtl/>
        </w:rPr>
        <w:t>הרא"ש</w:t>
      </w:r>
      <w:r>
        <w:rPr>
          <w:rFonts w:hint="cs"/>
          <w:rtl/>
        </w:rPr>
        <w:t xml:space="preserve"> לתרץ בזה את דברי </w:t>
      </w:r>
      <w:r w:rsidRPr="00D62D89">
        <w:rPr>
          <w:rStyle w:val="af9"/>
          <w:rFonts w:hint="cs"/>
          <w:rtl/>
        </w:rPr>
        <w:t>הרשב"ם</w:t>
      </w:r>
      <w:r>
        <w:rPr>
          <w:rFonts w:hint="cs"/>
          <w:rtl/>
        </w:rPr>
        <w:t xml:space="preserve">, ולדחות את דברי </w:t>
      </w:r>
      <w:r w:rsidRPr="00D62D89">
        <w:rPr>
          <w:rStyle w:val="af9"/>
          <w:rFonts w:hint="cs"/>
          <w:rtl/>
        </w:rPr>
        <w:t>התוס'</w:t>
      </w:r>
      <w:r>
        <w:rPr>
          <w:rFonts w:hint="cs"/>
          <w:rtl/>
        </w:rPr>
        <w:t xml:space="preserve"> </w:t>
      </w:r>
      <w:r w:rsidRPr="008C208F">
        <w:rPr>
          <w:rStyle w:val="af7"/>
          <w:rFonts w:eastAsia="Guttman Hodes" w:hint="cs"/>
          <w:rtl/>
        </w:rPr>
        <w:t xml:space="preserve">(עי' אות </w:t>
      </w:r>
      <w:r w:rsidRPr="008C208F">
        <w:rPr>
          <w:rStyle w:val="af7"/>
          <w:rFonts w:eastAsia="Guttman Hodes"/>
          <w:rtl/>
        </w:rPr>
        <w:fldChar w:fldCharType="begin"/>
      </w:r>
      <w:r w:rsidRPr="008C208F">
        <w:rPr>
          <w:rStyle w:val="af7"/>
          <w:rFonts w:eastAsia="Guttman Hodes"/>
          <w:rtl/>
        </w:rPr>
        <w:instrText xml:space="preserve"> </w:instrText>
      </w:r>
      <w:r w:rsidRPr="008C208F">
        <w:rPr>
          <w:rStyle w:val="af7"/>
          <w:rFonts w:eastAsia="Guttman Hodes" w:hint="cs"/>
        </w:rPr>
        <w:instrText>REF</w:instrText>
      </w:r>
      <w:r w:rsidRPr="008C208F">
        <w:rPr>
          <w:rStyle w:val="af7"/>
          <w:rFonts w:eastAsia="Guttman Hodes" w:hint="cs"/>
          <w:rtl/>
        </w:rPr>
        <w:instrText xml:space="preserve"> _</w:instrText>
      </w:r>
      <w:r w:rsidRPr="008C208F">
        <w:rPr>
          <w:rStyle w:val="af7"/>
          <w:rFonts w:eastAsia="Guttman Hodes" w:hint="cs"/>
        </w:rPr>
        <w:instrText>Ref60243410 \r \h</w:instrText>
      </w:r>
      <w:r w:rsidRPr="008C208F">
        <w:rPr>
          <w:rStyle w:val="af7"/>
          <w:rFonts w:eastAsia="Guttman Hodes"/>
          <w:rtl/>
        </w:rPr>
        <w:instrText xml:space="preserve"> </w:instrText>
      </w:r>
      <w:r w:rsidRPr="008C208F">
        <w:rPr>
          <w:rStyle w:val="af7"/>
          <w:rFonts w:eastAsia="Guttman Hodes"/>
          <w:rtl/>
        </w:rPr>
      </w:r>
      <w:r w:rsidRPr="008C208F">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8C208F">
        <w:rPr>
          <w:rStyle w:val="af7"/>
          <w:rFonts w:eastAsia="Guttman Hodes"/>
          <w:rtl/>
        </w:rPr>
        <w:fldChar w:fldCharType="end"/>
      </w:r>
      <w:r>
        <w:rPr>
          <w:rFonts w:hint="cs"/>
          <w:rtl/>
        </w:rPr>
        <w:t xml:space="preserve"> דכתבו דנאמן במיגו. </w:t>
      </w:r>
      <w:r w:rsidRPr="00A76DF3">
        <w:rPr>
          <w:rStyle w:val="afb"/>
          <w:rFonts w:hint="cs"/>
          <w:rtl/>
        </w:rPr>
        <w:t>[ועי' במה ש</w:t>
      </w:r>
      <w:r>
        <w:rPr>
          <w:rStyle w:val="afb"/>
          <w:rFonts w:hint="cs"/>
          <w:rtl/>
        </w:rPr>
        <w:t>ביאר</w:t>
      </w:r>
      <w:r w:rsidRPr="00A76DF3">
        <w:rPr>
          <w:rStyle w:val="afb"/>
          <w:rFonts w:hint="cs"/>
          <w:rtl/>
        </w:rPr>
        <w:t xml:space="preserve"> </w:t>
      </w:r>
      <w:r w:rsidRPr="00A76DF3">
        <w:rPr>
          <w:rStyle w:val="affa"/>
          <w:rFonts w:hint="cs"/>
          <w:rtl/>
        </w:rPr>
        <w:t>המשל"מ בביאורו ה</w:t>
      </w:r>
      <w:r>
        <w:rPr>
          <w:rStyle w:val="affa"/>
          <w:rFonts w:hint="cs"/>
          <w:rtl/>
        </w:rPr>
        <w:t>א</w:t>
      </w:r>
      <w:r w:rsidRPr="00A76DF3">
        <w:rPr>
          <w:rStyle w:val="affa"/>
          <w:rFonts w:hint="cs"/>
          <w:rtl/>
        </w:rPr>
        <w:t xml:space="preserve">' </w:t>
      </w:r>
      <w:r w:rsidRPr="00A76DF3">
        <w:rPr>
          <w:rStyle w:val="aff6"/>
          <w:rFonts w:hint="cs"/>
          <w:rtl/>
        </w:rPr>
        <w:t xml:space="preserve">(טו"נ פי"ד הי"ד ד"ה </w:t>
      </w:r>
      <w:r w:rsidRPr="00665385">
        <w:rPr>
          <w:rStyle w:val="aff6"/>
          <w:rtl/>
        </w:rPr>
        <w:t>ועיין בפירוש</w:t>
      </w:r>
      <w:r w:rsidRPr="00A76DF3">
        <w:rPr>
          <w:rStyle w:val="aff6"/>
          <w:rFonts w:hint="cs"/>
          <w:rtl/>
        </w:rPr>
        <w:t xml:space="preserve">, הובא בסימן </w:t>
      </w:r>
      <w:r>
        <w:rPr>
          <w:rStyle w:val="aff6"/>
          <w:rFonts w:hint="cs"/>
          <w:rtl/>
        </w:rPr>
        <w:t>ט</w:t>
      </w:r>
      <w:r w:rsidRPr="00A76DF3">
        <w:rPr>
          <w:rStyle w:val="aff6"/>
          <w:rFonts w:hint="cs"/>
          <w:rtl/>
        </w:rPr>
        <w:t>' אות נ"</w:t>
      </w:r>
      <w:r>
        <w:rPr>
          <w:rStyle w:val="aff6"/>
          <w:rFonts w:hint="cs"/>
          <w:rtl/>
        </w:rPr>
        <w:t>א</w:t>
      </w:r>
      <w:r w:rsidRPr="00A76DF3">
        <w:rPr>
          <w:rStyle w:val="aff6"/>
          <w:rFonts w:hint="cs"/>
          <w:rtl/>
        </w:rPr>
        <w:t>)</w:t>
      </w:r>
      <w:r>
        <w:rPr>
          <w:rStyle w:val="afb"/>
          <w:rFonts w:hint="cs"/>
          <w:rtl/>
        </w:rPr>
        <w:t xml:space="preserve"> דכוונת </w:t>
      </w:r>
      <w:r w:rsidRPr="00862835">
        <w:rPr>
          <w:rStyle w:val="affa"/>
          <w:rFonts w:hint="cs"/>
          <w:rtl/>
        </w:rPr>
        <w:t>הרא"ש</w:t>
      </w:r>
      <w:r>
        <w:rPr>
          <w:rStyle w:val="afb"/>
          <w:rFonts w:hint="cs"/>
          <w:rtl/>
        </w:rPr>
        <w:t xml:space="preserve"> להקשות על דברי </w:t>
      </w:r>
      <w:r w:rsidRPr="00C831D5">
        <w:rPr>
          <w:rStyle w:val="affa"/>
          <w:rFonts w:hint="cs"/>
          <w:rtl/>
        </w:rPr>
        <w:t>הרשב"ם</w:t>
      </w:r>
      <w:r>
        <w:rPr>
          <w:rStyle w:val="afb"/>
          <w:rFonts w:hint="cs"/>
          <w:rtl/>
        </w:rPr>
        <w:t xml:space="preserve"> </w:t>
      </w:r>
      <w:r w:rsidRPr="00C831D5">
        <w:rPr>
          <w:rStyle w:val="aff6"/>
          <w:rFonts w:hint="cs"/>
          <w:rtl/>
        </w:rPr>
        <w:t>(סוד"ה אמר ליה, הובא בסימן ט' אות כ"ח)</w:t>
      </w:r>
      <w:r>
        <w:rPr>
          <w:rStyle w:val="afb"/>
          <w:rFonts w:hint="cs"/>
          <w:rtl/>
        </w:rPr>
        <w:t xml:space="preserve"> דס"ל דלא מהני עידי חד יומא, כשאין למחזיק חזקת ג"ש</w:t>
      </w:r>
      <w:r w:rsidRPr="00A76DF3">
        <w:rPr>
          <w:rStyle w:val="afb"/>
          <w:rFonts w:hint="cs"/>
          <w:rtl/>
        </w:rPr>
        <w:t>].</w:t>
      </w:r>
    </w:p>
    <w:p w:rsidR="006A4297" w:rsidRPr="00862835" w:rsidRDefault="006A4297" w:rsidP="006A4297">
      <w:pPr>
        <w:pStyle w:val="a3"/>
        <w:rPr>
          <w:rtl/>
        </w:rPr>
      </w:pPr>
      <w:bookmarkStart w:id="10718" w:name="_Toc60612643"/>
      <w:bookmarkStart w:id="10719" w:name="_Toc60616484"/>
      <w:bookmarkStart w:id="10720" w:name="_Toc60678241"/>
      <w:r>
        <w:rPr>
          <w:rFonts w:hint="cs"/>
          <w:rtl/>
        </w:rPr>
        <w:t>דחיית המהרי"ט דבטור מבואר דאין כוונת הרא"ש להקשות על דין קמי דידי דר בה חד יומא</w:t>
      </w:r>
      <w:bookmarkEnd w:id="10718"/>
      <w:bookmarkEnd w:id="10719"/>
      <w:bookmarkEnd w:id="10720"/>
    </w:p>
    <w:p w:rsidR="006A4297" w:rsidRDefault="006A4297" w:rsidP="007E4E81">
      <w:pPr>
        <w:pStyle w:val="a0"/>
        <w:rPr>
          <w:rtl/>
        </w:rPr>
      </w:pPr>
      <w:bookmarkStart w:id="10721" w:name="_Toc59519310"/>
      <w:bookmarkStart w:id="10722" w:name="_Toc59700090"/>
      <w:bookmarkStart w:id="10723" w:name="_Toc59960738"/>
      <w:bookmarkStart w:id="10724" w:name="_Toc60086828"/>
      <w:bookmarkStart w:id="10725" w:name="_Toc60173397"/>
      <w:bookmarkStart w:id="10726" w:name="_Toc60303789"/>
      <w:r w:rsidRPr="00184FA2">
        <w:rPr>
          <w:rFonts w:hint="cs"/>
          <w:rtl/>
        </w:rPr>
        <w:t xml:space="preserve">אך דחה </w:t>
      </w:r>
      <w:r w:rsidRPr="00184FA2">
        <w:rPr>
          <w:rStyle w:val="af9"/>
          <w:rFonts w:hint="cs"/>
          <w:rtl/>
        </w:rPr>
        <w:t>המהרי"ט</w:t>
      </w:r>
      <w:r w:rsidRPr="00184FA2">
        <w:rPr>
          <w:rFonts w:hint="cs"/>
          <w:rtl/>
        </w:rPr>
        <w:t xml:space="preserve"> דהא </w:t>
      </w:r>
      <w:r w:rsidRPr="00184FA2">
        <w:rPr>
          <w:rStyle w:val="af9"/>
          <w:rFonts w:hint="cs"/>
          <w:rtl/>
        </w:rPr>
        <w:t>הטור</w:t>
      </w:r>
      <w:r w:rsidRPr="00184FA2">
        <w:rPr>
          <w:rFonts w:hint="cs"/>
          <w:rtl/>
        </w:rPr>
        <w:t xml:space="preserve"> </w:t>
      </w:r>
      <w:r w:rsidRPr="00C831D5">
        <w:rPr>
          <w:rStyle w:val="af7"/>
          <w:rFonts w:eastAsia="Guttman Hodes" w:hint="cs"/>
          <w:rtl/>
        </w:rPr>
        <w:t>(סי' קמ"ו י"ג)</w:t>
      </w:r>
      <w:r w:rsidRPr="00184FA2">
        <w:rPr>
          <w:rFonts w:hint="cs"/>
          <w:rtl/>
        </w:rPr>
        <w:t xml:space="preserve"> ביאר </w:t>
      </w:r>
      <w:r>
        <w:rPr>
          <w:rFonts w:hint="cs"/>
          <w:rtl/>
        </w:rPr>
        <w:t>דכוונת</w:t>
      </w:r>
      <w:r w:rsidRPr="00184FA2">
        <w:rPr>
          <w:rFonts w:hint="cs"/>
          <w:rtl/>
        </w:rPr>
        <w:t xml:space="preserve"> </w:t>
      </w:r>
      <w:r w:rsidRPr="00184FA2">
        <w:rPr>
          <w:rStyle w:val="af9"/>
          <w:rFonts w:hint="cs"/>
          <w:rtl/>
        </w:rPr>
        <w:t>הרא"ש</w:t>
      </w:r>
      <w:r w:rsidRPr="00184FA2">
        <w:rPr>
          <w:rFonts w:hint="cs"/>
          <w:rtl/>
        </w:rPr>
        <w:t xml:space="preserve">, </w:t>
      </w:r>
      <w:r>
        <w:rPr>
          <w:rFonts w:hint="cs"/>
          <w:rtl/>
        </w:rPr>
        <w:t xml:space="preserve">לבאר דהמחזיק לא הודה בעצמו, אלא הודה רק מפי המוכר, ודלא כרבינו יונה, </w:t>
      </w:r>
      <w:r w:rsidRPr="00C831D5">
        <w:rPr>
          <w:rStyle w:val="afb"/>
          <w:rFonts w:hint="cs"/>
          <w:rtl/>
        </w:rPr>
        <w:t>[והיינו ד</w:t>
      </w:r>
      <w:r>
        <w:rPr>
          <w:rStyle w:val="afb"/>
          <w:rFonts w:hint="cs"/>
          <w:rtl/>
        </w:rPr>
        <w:t xml:space="preserve">הקשה </w:t>
      </w:r>
      <w:r w:rsidRPr="00D62D89">
        <w:rPr>
          <w:rStyle w:val="affa"/>
          <w:rFonts w:hint="cs"/>
          <w:rtl/>
        </w:rPr>
        <w:t>הרא"ש</w:t>
      </w:r>
      <w:r w:rsidRPr="00C831D5">
        <w:rPr>
          <w:rStyle w:val="afb"/>
          <w:rFonts w:hint="cs"/>
          <w:rtl/>
        </w:rPr>
        <w:t xml:space="preserve"> על </w:t>
      </w:r>
      <w:r w:rsidRPr="00D62D89">
        <w:rPr>
          <w:rStyle w:val="affa"/>
          <w:rFonts w:hint="cs"/>
          <w:rtl/>
        </w:rPr>
        <w:t>הרשב"ם</w:t>
      </w:r>
      <w:r w:rsidRPr="00C831D5">
        <w:rPr>
          <w:rStyle w:val="afb"/>
          <w:rFonts w:hint="cs"/>
          <w:rtl/>
        </w:rPr>
        <w:t xml:space="preserve"> דיועיל לו המיגו של המוכר, ותירץ </w:t>
      </w:r>
      <w:r w:rsidRPr="00D62D89">
        <w:rPr>
          <w:rStyle w:val="affa"/>
          <w:rFonts w:hint="cs"/>
          <w:rtl/>
        </w:rPr>
        <w:t>הרא"ש דלרבינו יונה</w:t>
      </w:r>
      <w:r w:rsidRPr="00C831D5">
        <w:rPr>
          <w:rStyle w:val="afb"/>
          <w:rFonts w:hint="cs"/>
          <w:rtl/>
        </w:rPr>
        <w:t xml:space="preserve"> הודה בפירוש, ודחה </w:t>
      </w:r>
      <w:r w:rsidRPr="00D62D89">
        <w:rPr>
          <w:rStyle w:val="affa"/>
          <w:rFonts w:hint="cs"/>
          <w:rtl/>
        </w:rPr>
        <w:t>הרא"ש</w:t>
      </w:r>
      <w:r w:rsidRPr="00C831D5">
        <w:rPr>
          <w:rStyle w:val="afb"/>
          <w:rFonts w:hint="cs"/>
          <w:rtl/>
        </w:rPr>
        <w:t xml:space="preserve"> דלא הודה בפירוש</w:t>
      </w:r>
      <w:r>
        <w:rPr>
          <w:rStyle w:val="afb"/>
          <w:rFonts w:hint="cs"/>
          <w:rtl/>
        </w:rPr>
        <w:t>, ומ"מ אין לו מיגו דירא לטעון כן</w:t>
      </w:r>
      <w:r w:rsidRPr="00C831D5">
        <w:rPr>
          <w:rStyle w:val="afb"/>
          <w:rFonts w:hint="cs"/>
          <w:rtl/>
        </w:rPr>
        <w:t>],</w:t>
      </w:r>
      <w:r>
        <w:rPr>
          <w:rFonts w:hint="cs"/>
          <w:rtl/>
        </w:rPr>
        <w:t xml:space="preserve"> </w:t>
      </w:r>
      <w:r w:rsidRPr="00184FA2">
        <w:rPr>
          <w:rFonts w:hint="cs"/>
          <w:rtl/>
        </w:rPr>
        <w:t>ו</w:t>
      </w:r>
      <w:r>
        <w:rPr>
          <w:rFonts w:hint="cs"/>
          <w:rtl/>
        </w:rPr>
        <w:t xml:space="preserve">כתב </w:t>
      </w:r>
      <w:r w:rsidRPr="00D62D89">
        <w:rPr>
          <w:rStyle w:val="af9"/>
          <w:rFonts w:hint="cs"/>
          <w:rtl/>
        </w:rPr>
        <w:t>המהרי"ט</w:t>
      </w:r>
      <w:r>
        <w:rPr>
          <w:rFonts w:hint="cs"/>
          <w:rtl/>
        </w:rPr>
        <w:t xml:space="preserve"> דכיון דהטור לא ביאר כן </w:t>
      </w:r>
      <w:r w:rsidRPr="00184FA2">
        <w:rPr>
          <w:rFonts w:hint="cs"/>
          <w:rtl/>
        </w:rPr>
        <w:t>דכוונת</w:t>
      </w:r>
      <w:r>
        <w:rPr>
          <w:rFonts w:hint="cs"/>
          <w:rtl/>
        </w:rPr>
        <w:t xml:space="preserve">ו </w:t>
      </w:r>
      <w:r w:rsidRPr="00D62D89">
        <w:rPr>
          <w:rStyle w:val="af9"/>
          <w:rFonts w:hint="cs"/>
          <w:rtl/>
        </w:rPr>
        <w:t>הרא"ש</w:t>
      </w:r>
      <w:r>
        <w:rPr>
          <w:rFonts w:hint="cs"/>
          <w:rtl/>
        </w:rPr>
        <w:t xml:space="preserve"> להקשות על דברי </w:t>
      </w:r>
      <w:r w:rsidRPr="00D62D89">
        <w:rPr>
          <w:rStyle w:val="af9"/>
          <w:rFonts w:hint="cs"/>
          <w:rtl/>
        </w:rPr>
        <w:t>הרשב"ם</w:t>
      </w:r>
      <w:r>
        <w:rPr>
          <w:rFonts w:hint="cs"/>
          <w:rtl/>
        </w:rPr>
        <w:t xml:space="preserve"> בדין קמי דידי חד יומא, </w:t>
      </w:r>
      <w:r w:rsidRPr="00184FA2">
        <w:rPr>
          <w:rFonts w:hint="cs"/>
          <w:rtl/>
        </w:rPr>
        <w:t>א"כ א"א לומר</w:t>
      </w:r>
      <w:r>
        <w:rPr>
          <w:rFonts w:hint="cs"/>
          <w:rtl/>
        </w:rPr>
        <w:t xml:space="preserve"> דזו כוונת </w:t>
      </w:r>
      <w:r w:rsidRPr="00D62D89">
        <w:rPr>
          <w:rStyle w:val="af9"/>
          <w:rFonts w:hint="cs"/>
          <w:rtl/>
        </w:rPr>
        <w:t>הרא"ש</w:t>
      </w:r>
      <w:r w:rsidRPr="00184FA2">
        <w:rPr>
          <w:rFonts w:hint="cs"/>
          <w:rtl/>
        </w:rPr>
        <w:t>.</w:t>
      </w:r>
    </w:p>
    <w:p w:rsidR="006A4297" w:rsidRDefault="006A4297" w:rsidP="006A4297">
      <w:pPr>
        <w:pStyle w:val="afe"/>
        <w:rPr>
          <w:rtl/>
        </w:rPr>
      </w:pPr>
      <w:bookmarkStart w:id="10727" w:name="_Toc60678242"/>
      <w:bookmarkEnd w:id="10721"/>
      <w:bookmarkEnd w:id="10722"/>
      <w:bookmarkEnd w:id="10723"/>
      <w:bookmarkEnd w:id="10724"/>
      <w:bookmarkEnd w:id="10725"/>
      <w:bookmarkEnd w:id="10726"/>
      <w:r>
        <w:rPr>
          <w:rFonts w:hint="cs"/>
          <w:rtl/>
        </w:rPr>
        <w:t>ד' הרשב"א בתוס' דטענינן כשאין מיגו</w:t>
      </w:r>
      <w:bookmarkEnd w:id="10727"/>
    </w:p>
    <w:p w:rsidR="006A4297" w:rsidRPr="001832A4" w:rsidRDefault="006A4297" w:rsidP="006A4297">
      <w:pPr>
        <w:pStyle w:val="1"/>
        <w:rPr>
          <w:rtl/>
        </w:rPr>
      </w:pPr>
      <w:bookmarkStart w:id="10728" w:name="_Toc60612645"/>
      <w:bookmarkStart w:id="10729" w:name="_Toc60616486"/>
      <w:bookmarkStart w:id="10730" w:name="_Toc60678243"/>
      <w:r>
        <w:rPr>
          <w:rFonts w:hint="cs"/>
          <w:rtl/>
        </w:rPr>
        <w:t>דעת הרשב"א בתוס' דבעידי חד יומא טענינן אף שאין לו מיגו</w:t>
      </w:r>
      <w:bookmarkEnd w:id="10728"/>
      <w:bookmarkEnd w:id="10729"/>
      <w:bookmarkEnd w:id="10730"/>
    </w:p>
    <w:p w:rsidR="006A4297" w:rsidRPr="00152854" w:rsidRDefault="006A4297" w:rsidP="006A4297">
      <w:pPr>
        <w:pStyle w:val="a3"/>
        <w:rPr>
          <w:rtl/>
        </w:rPr>
      </w:pPr>
      <w:bookmarkStart w:id="10731" w:name="_Toc60357056"/>
      <w:bookmarkStart w:id="10732" w:name="_Toc60589202"/>
      <w:bookmarkStart w:id="10733" w:name="_Toc60612646"/>
      <w:bookmarkStart w:id="10734" w:name="_Toc60616487"/>
      <w:bookmarkStart w:id="10735" w:name="_Toc60678244"/>
      <w:r>
        <w:rPr>
          <w:rFonts w:hint="cs"/>
          <w:rtl/>
        </w:rPr>
        <w:t>דברי הרשב"א בתוס' דבעידי חד יומא טענינן את המיגו של המוכר אף שאין למחזיק מיגו וחזקה</w:t>
      </w:r>
      <w:bookmarkEnd w:id="10731"/>
      <w:bookmarkEnd w:id="10732"/>
      <w:bookmarkEnd w:id="10733"/>
      <w:bookmarkEnd w:id="10734"/>
      <w:bookmarkEnd w:id="10735"/>
    </w:p>
    <w:p w:rsidR="006A4297" w:rsidRDefault="006A4297" w:rsidP="007E4E81">
      <w:pPr>
        <w:pStyle w:val="a0"/>
        <w:rPr>
          <w:sz w:val="10"/>
          <w:szCs w:val="14"/>
          <w:rtl/>
        </w:rPr>
      </w:pPr>
      <w:bookmarkStart w:id="10736" w:name="_Ref60342515"/>
      <w:r>
        <w:rPr>
          <w:rFonts w:hint="cs"/>
          <w:rtl/>
        </w:rPr>
        <w:t xml:space="preserve">כתב </w:t>
      </w:r>
      <w:r w:rsidRPr="0075541D">
        <w:rPr>
          <w:rStyle w:val="af9"/>
          <w:rFonts w:hint="cs"/>
          <w:rtl/>
        </w:rPr>
        <w:t>הרשב"א בתוס'</w:t>
      </w:r>
      <w:r>
        <w:rPr>
          <w:rFonts w:hint="cs"/>
          <w:rtl/>
        </w:rPr>
        <w:t xml:space="preserve"> </w:t>
      </w:r>
      <w:r w:rsidRPr="0075541D">
        <w:rPr>
          <w:rStyle w:val="af7"/>
          <w:rFonts w:eastAsia="Guttman Hodes" w:hint="cs"/>
          <w:rtl/>
        </w:rPr>
        <w:t>(סוד"ה לאו קמודית)</w:t>
      </w:r>
      <w:r>
        <w:rPr>
          <w:rFonts w:hint="cs"/>
          <w:rtl/>
        </w:rPr>
        <w:t xml:space="preserve"> דבסוגיין דאיירי שאין למחזיק חזקת ג"ש, אם היה המחזיק מביא עדים דדר בה המוכר חד יומא, מעמידים את הקרקע בידו, אעפ"י שאין לו מיגו, דהא טענינן ללוקח, כיון שהמוכר היה נאמן לטעון שקנה מהמערער, במיגו דהיה טוען שלא הייתה של המערער מעולם, ועי' במה שביארו </w:t>
      </w:r>
      <w:r w:rsidRPr="00777AAD">
        <w:rPr>
          <w:rStyle w:val="af9"/>
          <w:rFonts w:hint="cs"/>
          <w:rtl/>
        </w:rPr>
        <w:t>הברכ"ש</w:t>
      </w:r>
      <w:r>
        <w:rPr>
          <w:rFonts w:hint="cs"/>
          <w:rtl/>
        </w:rPr>
        <w:t xml:space="preserve"> </w:t>
      </w:r>
      <w:r w:rsidRPr="000773E2">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Ref60649528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פג)</w:t>
      </w:r>
      <w:r>
        <w:rPr>
          <w:rStyle w:val="af7"/>
          <w:rFonts w:eastAsia="Guttman Hodes"/>
          <w:rtl/>
        </w:rPr>
        <w:fldChar w:fldCharType="end"/>
      </w:r>
      <w:r>
        <w:rPr>
          <w:rFonts w:hint="cs"/>
          <w:rtl/>
        </w:rPr>
        <w:t xml:space="preserve"> </w:t>
      </w:r>
      <w:r>
        <w:rPr>
          <w:rStyle w:val="af9"/>
          <w:rFonts w:hint="cs"/>
          <w:rtl/>
        </w:rPr>
        <w:t>ובחי' רבי ראובן</w:t>
      </w:r>
      <w:r>
        <w:rPr>
          <w:rFonts w:hint="cs"/>
          <w:rtl/>
        </w:rPr>
        <w:t xml:space="preserve"> </w:t>
      </w:r>
      <w:r w:rsidRPr="0016231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Ref60668615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Pr>
          <w:rStyle w:val="af7"/>
          <w:rFonts w:eastAsia="Guttman Hodes"/>
          <w:rtl/>
        </w:rPr>
        <w:fldChar w:fldCharType="end"/>
      </w:r>
      <w:r w:rsidRPr="00162318">
        <w:rPr>
          <w:rStyle w:val="af7"/>
          <w:rFonts w:eastAsia="Guttman Hodes" w:hint="cs"/>
          <w:rtl/>
        </w:rPr>
        <w:t xml:space="preserve"> </w:t>
      </w:r>
      <w:r>
        <w:rPr>
          <w:rStyle w:val="af9"/>
          <w:rFonts w:hint="cs"/>
          <w:rtl/>
        </w:rPr>
        <w:t>ו</w:t>
      </w:r>
      <w:r w:rsidRPr="007B650F">
        <w:rPr>
          <w:rStyle w:val="af9"/>
          <w:rFonts w:hint="cs"/>
          <w:rtl/>
        </w:rPr>
        <w:t>בחי' רבי נחום</w:t>
      </w:r>
      <w:r w:rsidRPr="007B650F">
        <w:rPr>
          <w:rStyle w:val="af7"/>
          <w:rFonts w:eastAsia="Guttman Hode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Ref60673557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קיט)</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777AAD">
        <w:rPr>
          <w:rStyle w:val="af9"/>
          <w:rFonts w:hint="cs"/>
          <w:rtl/>
        </w:rPr>
        <w:t>הרשב"א בתוס'</w:t>
      </w:r>
      <w:r>
        <w:rPr>
          <w:rFonts w:hint="cs"/>
          <w:rtl/>
        </w:rPr>
        <w:t>.</w:t>
      </w:r>
      <w:bookmarkEnd w:id="10736"/>
    </w:p>
    <w:p w:rsidR="006A4297" w:rsidRPr="008A4FA0" w:rsidRDefault="006A4297" w:rsidP="006A4297">
      <w:pPr>
        <w:pStyle w:val="a3"/>
      </w:pPr>
      <w:bookmarkStart w:id="10737" w:name="_Toc60612647"/>
      <w:bookmarkStart w:id="10738" w:name="_Toc60616488"/>
      <w:bookmarkStart w:id="10739" w:name="_Toc60678245"/>
      <w:r>
        <w:rPr>
          <w:rFonts w:hint="cs"/>
          <w:rtl/>
        </w:rPr>
        <w:t>דברי הרשב"א בתוס' דאף שהמחזיק מודה למערער והוא כע"א מ"מ מהני מיגו נגד ע"א</w:t>
      </w:r>
      <w:bookmarkEnd w:id="10737"/>
      <w:bookmarkEnd w:id="10738"/>
      <w:bookmarkEnd w:id="10739"/>
    </w:p>
    <w:p w:rsidR="006A4297" w:rsidRDefault="006A4297" w:rsidP="007E4E81">
      <w:pPr>
        <w:pStyle w:val="a0"/>
        <w:rPr>
          <w:rtl/>
        </w:rPr>
      </w:pPr>
      <w:bookmarkStart w:id="10740" w:name="_Ref60614663"/>
      <w:r>
        <w:rPr>
          <w:rFonts w:hint="cs"/>
          <w:rtl/>
        </w:rPr>
        <w:t>והוסיף</w:t>
      </w:r>
      <w:r w:rsidRPr="006F5B32">
        <w:rPr>
          <w:rFonts w:hint="cs"/>
          <w:rtl/>
        </w:rPr>
        <w:t xml:space="preserve"> </w:t>
      </w:r>
      <w:r w:rsidRPr="0075541D">
        <w:rPr>
          <w:rStyle w:val="af9"/>
          <w:rFonts w:hint="cs"/>
          <w:rtl/>
        </w:rPr>
        <w:t>הרשב"א בתוס'</w:t>
      </w:r>
      <w:r>
        <w:rPr>
          <w:rFonts w:hint="cs"/>
          <w:rtl/>
        </w:rPr>
        <w:t xml:space="preserve"> </w:t>
      </w:r>
      <w:r w:rsidRPr="006F5B32">
        <w:rPr>
          <w:rFonts w:hint="cs"/>
          <w:rtl/>
        </w:rPr>
        <w:t xml:space="preserve">דאעפ"י שהמחזיק עצמו יודע שהקרקע הייתה של המוכר, והוא כמו ע"א כנגד המיגו, מ"מ מהני המיגו כמדמשמע בגמ' לקמן </w:t>
      </w:r>
      <w:r w:rsidRPr="006F5B32">
        <w:rPr>
          <w:rStyle w:val="af7"/>
          <w:rFonts w:eastAsia="Guttman Rashi" w:hint="cs"/>
          <w:rtl/>
        </w:rPr>
        <w:t>(לג:)</w:t>
      </w:r>
      <w:r w:rsidRPr="006F5B32">
        <w:rPr>
          <w:rFonts w:hint="cs"/>
          <w:rtl/>
        </w:rPr>
        <w:t xml:space="preserve"> דמיגו מהני נגד ע"א, כשאינו מחוייב שבועה, והכא דאיירי בקרקע אינו מחוייב שבועה, דהא אין נשבעין על הקרקעות</w:t>
      </w:r>
      <w:r>
        <w:rPr>
          <w:rFonts w:hint="cs"/>
          <w:rtl/>
        </w:rPr>
        <w:t xml:space="preserve">, ועי' במה שביאר </w:t>
      </w:r>
      <w:r w:rsidRPr="0077154D">
        <w:rPr>
          <w:rStyle w:val="af9"/>
          <w:rFonts w:hint="cs"/>
          <w:rtl/>
        </w:rPr>
        <w:t>התומים</w:t>
      </w:r>
      <w:r>
        <w:rPr>
          <w:rFonts w:hint="cs"/>
          <w:rtl/>
        </w:rPr>
        <w:t xml:space="preserve"> </w:t>
      </w:r>
      <w:r w:rsidRPr="00F146BE">
        <w:rPr>
          <w:rStyle w:val="af7"/>
          <w:rFonts w:eastAsia="Guttman Hodes" w:hint="cs"/>
          <w:rtl/>
        </w:rPr>
        <w:t xml:space="preserve">(עי' אות </w:t>
      </w:r>
      <w:r w:rsidRPr="00F146BE">
        <w:rPr>
          <w:rStyle w:val="af7"/>
          <w:rFonts w:eastAsia="Guttman Hodes"/>
          <w:rtl/>
        </w:rPr>
        <w:fldChar w:fldCharType="begin"/>
      </w:r>
      <w:r w:rsidRPr="00F146BE">
        <w:rPr>
          <w:rStyle w:val="af7"/>
          <w:rFonts w:eastAsia="Guttman Hodes"/>
          <w:rtl/>
        </w:rPr>
        <w:instrText xml:space="preserve"> </w:instrText>
      </w:r>
      <w:r w:rsidRPr="00F146BE">
        <w:rPr>
          <w:rStyle w:val="af7"/>
          <w:rFonts w:eastAsia="Guttman Hodes" w:hint="cs"/>
        </w:rPr>
        <w:instrText>REF</w:instrText>
      </w:r>
      <w:r w:rsidRPr="00F146BE">
        <w:rPr>
          <w:rStyle w:val="af7"/>
          <w:rFonts w:eastAsia="Guttman Hodes" w:hint="cs"/>
          <w:rtl/>
        </w:rPr>
        <w:instrText xml:space="preserve"> _</w:instrText>
      </w:r>
      <w:r w:rsidRPr="00F146BE">
        <w:rPr>
          <w:rStyle w:val="af7"/>
          <w:rFonts w:eastAsia="Guttman Hodes" w:hint="cs"/>
        </w:rPr>
        <w:instrText>Ref60614532 \r \h</w:instrText>
      </w:r>
      <w:r w:rsidRPr="00F146BE">
        <w:rPr>
          <w:rStyle w:val="af7"/>
          <w:rFonts w:eastAsia="Guttman Hodes"/>
          <w:rtl/>
        </w:rPr>
        <w:instrText xml:space="preserve"> </w:instrText>
      </w:r>
      <w:r w:rsidRPr="00F146BE">
        <w:rPr>
          <w:rStyle w:val="af7"/>
          <w:rFonts w:eastAsia="Guttman Hodes"/>
          <w:rtl/>
        </w:rPr>
      </w:r>
      <w:r w:rsidRPr="00F146BE">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F146BE">
        <w:rPr>
          <w:rStyle w:val="af7"/>
          <w:rFonts w:eastAsia="Guttman Hodes"/>
          <w:rtl/>
        </w:rPr>
        <w:fldChar w:fldCharType="end"/>
      </w:r>
      <w:r>
        <w:rPr>
          <w:rFonts w:hint="cs"/>
          <w:rtl/>
        </w:rPr>
        <w:t xml:space="preserve"> בדברי </w:t>
      </w:r>
      <w:r w:rsidRPr="0075541D">
        <w:rPr>
          <w:rStyle w:val="af9"/>
          <w:rFonts w:hint="cs"/>
          <w:rtl/>
        </w:rPr>
        <w:t>הרשב"א בתוס'</w:t>
      </w:r>
      <w:r>
        <w:rPr>
          <w:rFonts w:hint="cs"/>
          <w:rtl/>
        </w:rPr>
        <w:t>.</w:t>
      </w:r>
      <w:bookmarkEnd w:id="10740"/>
    </w:p>
    <w:p w:rsidR="006A4297" w:rsidRDefault="006A4297" w:rsidP="006A4297">
      <w:pPr>
        <w:pStyle w:val="a3"/>
        <w:rPr>
          <w:rtl/>
        </w:rPr>
      </w:pPr>
      <w:bookmarkStart w:id="10741" w:name="_Toc60357057"/>
      <w:bookmarkStart w:id="10742" w:name="_Toc60589203"/>
      <w:bookmarkStart w:id="10743" w:name="_Toc60612648"/>
      <w:bookmarkStart w:id="10744" w:name="_Toc60616489"/>
      <w:bookmarkStart w:id="10745" w:name="_Toc60678246"/>
      <w:r>
        <w:rPr>
          <w:rFonts w:hint="cs"/>
          <w:rtl/>
        </w:rPr>
        <w:t>הוכחת הרשב"א בתוס' מהא דלא טענינן נאנסו אך טענינן החזרתי דהאב נאמן במיגו דנאנסו</w:t>
      </w:r>
      <w:bookmarkEnd w:id="10741"/>
      <w:bookmarkEnd w:id="10742"/>
      <w:bookmarkEnd w:id="10743"/>
      <w:bookmarkEnd w:id="10744"/>
      <w:bookmarkEnd w:id="10745"/>
    </w:p>
    <w:p w:rsidR="006A4297" w:rsidRDefault="006A4297" w:rsidP="007E4E81">
      <w:pPr>
        <w:pStyle w:val="a0"/>
        <w:rPr>
          <w:rtl/>
        </w:rPr>
      </w:pPr>
      <w:bookmarkStart w:id="10746" w:name="_Ref60343319"/>
      <w:r>
        <w:rPr>
          <w:rFonts w:hint="cs"/>
          <w:rtl/>
        </w:rPr>
        <w:t xml:space="preserve">וכתב </w:t>
      </w:r>
      <w:r w:rsidRPr="0075541D">
        <w:rPr>
          <w:rStyle w:val="af9"/>
          <w:rFonts w:hint="cs"/>
          <w:rtl/>
        </w:rPr>
        <w:t>הרשב"א בתוס'</w:t>
      </w:r>
      <w:r>
        <w:rPr>
          <w:rFonts w:hint="cs"/>
          <w:rtl/>
        </w:rPr>
        <w:t xml:space="preserve"> דכן משמע בגמ' לקמן </w:t>
      </w:r>
      <w:r w:rsidRPr="0075541D">
        <w:rPr>
          <w:rStyle w:val="af7"/>
          <w:rFonts w:eastAsia="Guttman Hodes" w:hint="cs"/>
          <w:rtl/>
        </w:rPr>
        <w:t>(ע.)</w:t>
      </w:r>
      <w:r>
        <w:rPr>
          <w:rFonts w:hint="cs"/>
          <w:rtl/>
        </w:rPr>
        <w:t xml:space="preserve"> דהמפקיד בשטר אצל חבירו ומת, דאעפ"י דלא טענינן ליורשים נאנסו, </w:t>
      </w:r>
      <w:r w:rsidRPr="00D21193">
        <w:rPr>
          <w:rStyle w:val="afb"/>
          <w:rFonts w:hint="cs"/>
          <w:rtl/>
        </w:rPr>
        <w:t>[כד</w:t>
      </w:r>
      <w:r>
        <w:rPr>
          <w:rStyle w:val="afb"/>
          <w:rFonts w:hint="cs"/>
          <w:rtl/>
        </w:rPr>
        <w:t>ביארו</w:t>
      </w:r>
      <w:r w:rsidRPr="00556EA6">
        <w:rPr>
          <w:rStyle w:val="affa"/>
          <w:rFonts w:hint="cs"/>
          <w:rtl/>
        </w:rPr>
        <w:t xml:space="preserve"> התוס' לקמן </w:t>
      </w:r>
      <w:r w:rsidRPr="00556EA6">
        <w:rPr>
          <w:rStyle w:val="aff6"/>
          <w:rFonts w:hint="cs"/>
          <w:rtl/>
        </w:rPr>
        <w:t>(ע: ד"ה מ"ד)</w:t>
      </w:r>
      <w:r w:rsidRPr="00D21193">
        <w:rPr>
          <w:rStyle w:val="afb"/>
          <w:rFonts w:hint="cs"/>
          <w:rtl/>
        </w:rPr>
        <w:t xml:space="preserve"> דלא טענינן מילתא דלא שכיחא]</w:t>
      </w:r>
      <w:r>
        <w:rPr>
          <w:rStyle w:val="afb"/>
          <w:rFonts w:hint="cs"/>
          <w:rtl/>
        </w:rPr>
        <w:t>,</w:t>
      </w:r>
      <w:r>
        <w:rPr>
          <w:rFonts w:hint="cs"/>
          <w:rtl/>
        </w:rPr>
        <w:t xml:space="preserve"> מ"מ טענינן להו שהחזירם למפקיד, כיון שאביהם היה נאמן בטענת החזרתיו לך, במיגו דהיה טוען נאנסו.</w:t>
      </w:r>
      <w:bookmarkEnd w:id="10746"/>
    </w:p>
    <w:p w:rsidR="006A4297" w:rsidRPr="00563970" w:rsidRDefault="006A4297" w:rsidP="006A4297">
      <w:pPr>
        <w:pStyle w:val="afe"/>
        <w:rPr>
          <w:rtl/>
        </w:rPr>
      </w:pPr>
      <w:bookmarkStart w:id="10747" w:name="_Toc60678247"/>
      <w:r>
        <w:rPr>
          <w:rFonts w:hint="cs"/>
          <w:rtl/>
        </w:rPr>
        <w:t>דחיית ר"י דאין ראיה דטענינן בלי מיגו</w:t>
      </w:r>
      <w:bookmarkEnd w:id="10747"/>
    </w:p>
    <w:p w:rsidR="006A4297" w:rsidRPr="00797DD5" w:rsidRDefault="006A4297" w:rsidP="006A4297">
      <w:pPr>
        <w:pStyle w:val="1"/>
        <w:rPr>
          <w:rtl/>
        </w:rPr>
      </w:pPr>
      <w:bookmarkStart w:id="10748" w:name="_Toc60612649"/>
      <w:bookmarkStart w:id="10749" w:name="_Toc60616490"/>
      <w:bookmarkStart w:id="10750" w:name="_Toc60678248"/>
      <w:r>
        <w:rPr>
          <w:rFonts w:hint="cs"/>
          <w:rtl/>
        </w:rPr>
        <w:t>דברי ר</w:t>
      </w:r>
      <w:r>
        <w:rPr>
          <w:rtl/>
        </w:rPr>
        <w:t>"</w:t>
      </w:r>
      <w:r>
        <w:rPr>
          <w:rFonts w:hint="cs"/>
          <w:rtl/>
        </w:rPr>
        <w:t>י דא"א להוכיח מהגמ' לקמן דטענינן כשאין מיגו</w:t>
      </w:r>
      <w:bookmarkEnd w:id="10748"/>
      <w:bookmarkEnd w:id="10749"/>
      <w:bookmarkEnd w:id="10750"/>
    </w:p>
    <w:p w:rsidR="006A4297" w:rsidRPr="001A0CF6" w:rsidRDefault="006A4297" w:rsidP="006A4297">
      <w:pPr>
        <w:pStyle w:val="a3"/>
      </w:pPr>
      <w:bookmarkStart w:id="10751" w:name="_Toc60612650"/>
      <w:bookmarkStart w:id="10752" w:name="_Toc60616491"/>
      <w:bookmarkStart w:id="10753" w:name="_Toc60678249"/>
      <w:r>
        <w:rPr>
          <w:rFonts w:hint="cs"/>
          <w:rtl/>
        </w:rPr>
        <w:t>דברי ר</w:t>
      </w:r>
      <w:r>
        <w:rPr>
          <w:rtl/>
        </w:rPr>
        <w:t>"</w:t>
      </w:r>
      <w:r>
        <w:rPr>
          <w:rFonts w:hint="cs"/>
          <w:rtl/>
        </w:rPr>
        <w:t>י דבסוגיין לא היה המחזיק נשאר בקרקע אם היה המוכר טוען להד"ם ול"ד ללקמן</w:t>
      </w:r>
      <w:bookmarkEnd w:id="10751"/>
      <w:bookmarkEnd w:id="10752"/>
      <w:bookmarkEnd w:id="10753"/>
    </w:p>
    <w:p w:rsidR="006A4297" w:rsidRDefault="006A4297" w:rsidP="007E4E81">
      <w:pPr>
        <w:pStyle w:val="a0"/>
        <w:rPr>
          <w:rtl/>
        </w:rPr>
      </w:pPr>
      <w:bookmarkStart w:id="10754" w:name="_Ref60640954"/>
      <w:bookmarkStart w:id="10755" w:name="_Ref60343325"/>
      <w:r>
        <w:rPr>
          <w:rFonts w:hint="cs"/>
          <w:rtl/>
        </w:rPr>
        <w:t xml:space="preserve">אבל </w:t>
      </w:r>
      <w:r>
        <w:rPr>
          <w:rStyle w:val="af9"/>
          <w:rFonts w:hint="cs"/>
          <w:rtl/>
        </w:rPr>
        <w:t>ר</w:t>
      </w:r>
      <w:r>
        <w:rPr>
          <w:rStyle w:val="af9"/>
          <w:rtl/>
        </w:rPr>
        <w:t>"</w:t>
      </w:r>
      <w:r>
        <w:rPr>
          <w:rStyle w:val="af9"/>
          <w:rFonts w:hint="cs"/>
          <w:rtl/>
        </w:rPr>
        <w:t>י</w:t>
      </w:r>
      <w:r>
        <w:rPr>
          <w:rFonts w:hint="cs"/>
          <w:rtl/>
        </w:rPr>
        <w:t xml:space="preserve"> דחה דהכא לא דמי לגמ' לקמן, כיון דאם היה המוכר רוצה לזכות בקרקע בטענה שלא הייתה של המערער מעולם, לא היה מעכב המחזיק את </w:t>
      </w:r>
      <w:r w:rsidRPr="00AE3B0F">
        <w:rPr>
          <w:rFonts w:hint="cs"/>
          <w:rtl/>
        </w:rPr>
        <w:t xml:space="preserve">הקרקע בידו, כיון שהוא יודע שהייתה של המערער, וא"כ א"א להביא ראיה מהגמ' לקמן דאמרינן טענינן בכה"ג. </w:t>
      </w:r>
      <w:r w:rsidR="00DE46C2">
        <w:rPr>
          <w:rFonts w:hint="cs"/>
          <w:rtl/>
        </w:rPr>
        <w:t>[</w:t>
      </w:r>
      <w:r w:rsidRPr="00AE3B0F">
        <w:rPr>
          <w:rFonts w:hint="cs"/>
          <w:rtl/>
        </w:rPr>
        <w:t xml:space="preserve">ועי' בדברי </w:t>
      </w:r>
      <w:r w:rsidRPr="00AE3B0F">
        <w:rPr>
          <w:rStyle w:val="af9"/>
          <w:rFonts w:hint="cs"/>
          <w:rtl/>
        </w:rPr>
        <w:t>הקצוה"ח</w:t>
      </w:r>
      <w:r w:rsidRPr="00AE3B0F">
        <w:rPr>
          <w:rFonts w:hint="cs"/>
          <w:rtl/>
        </w:rPr>
        <w:t xml:space="preserve"> </w:t>
      </w:r>
      <w:r w:rsidRPr="00AE3B0F">
        <w:rPr>
          <w:rStyle w:val="af7"/>
          <w:rFonts w:eastAsia="Guttman Hodes" w:hint="cs"/>
          <w:rtl/>
        </w:rPr>
        <w:t>(סי' קמ"ו סקי"א)</w:t>
      </w:r>
      <w:r w:rsidRPr="00AE3B0F">
        <w:rPr>
          <w:rFonts w:hint="cs"/>
          <w:rtl/>
        </w:rPr>
        <w:t xml:space="preserve"> </w:t>
      </w:r>
      <w:r>
        <w:rPr>
          <w:rFonts w:hint="cs"/>
          <w:rtl/>
        </w:rPr>
        <w:t>במה שביאר בפלוגתת</w:t>
      </w:r>
      <w:r w:rsidRPr="00AE3B0F">
        <w:rPr>
          <w:rFonts w:hint="cs"/>
          <w:rtl/>
        </w:rPr>
        <w:t xml:space="preserve"> </w:t>
      </w:r>
      <w:r w:rsidRPr="00AE3B0F">
        <w:rPr>
          <w:rStyle w:val="af9"/>
          <w:rFonts w:hint="cs"/>
          <w:rtl/>
        </w:rPr>
        <w:t>הרשב"א בתוס' ור"י</w:t>
      </w:r>
      <w:r w:rsidRPr="00AE3B0F">
        <w:rPr>
          <w:rFonts w:hint="cs"/>
          <w:rtl/>
        </w:rPr>
        <w:t>,</w:t>
      </w:r>
      <w:r>
        <w:rPr>
          <w:rFonts w:hint="cs"/>
          <w:rtl/>
        </w:rPr>
        <w:t xml:space="preserve"> ובמה שהקשה עליו </w:t>
      </w:r>
      <w:r w:rsidRPr="003D6154">
        <w:rPr>
          <w:rStyle w:val="af9"/>
          <w:rFonts w:hint="cs"/>
          <w:rtl/>
        </w:rPr>
        <w:t xml:space="preserve">בחי' </w:t>
      </w:r>
      <w:r w:rsidRPr="00AE3B0F">
        <w:rPr>
          <w:rStyle w:val="af9"/>
          <w:rFonts w:hint="cs"/>
          <w:rtl/>
        </w:rPr>
        <w:t>רבי</w:t>
      </w:r>
      <w:r>
        <w:rPr>
          <w:rStyle w:val="af9"/>
          <w:rFonts w:hint="cs"/>
          <w:rtl/>
        </w:rPr>
        <w:t xml:space="preserve"> שמואל</w:t>
      </w:r>
      <w:r>
        <w:rPr>
          <w:rFonts w:hint="cs"/>
          <w:rtl/>
        </w:rPr>
        <w:t xml:space="preserve"> </w:t>
      </w:r>
      <w:r>
        <w:rPr>
          <w:rStyle w:val="af7"/>
          <w:rFonts w:eastAsia="Guttman Hodes" w:hint="cs"/>
          <w:rtl/>
        </w:rPr>
        <w:t>(או' י')</w:t>
      </w:r>
      <w:r>
        <w:rPr>
          <w:rFonts w:hint="cs"/>
          <w:rtl/>
        </w:rPr>
        <w:t xml:space="preserve">, </w:t>
      </w:r>
      <w:r w:rsidRPr="00AE3B0F">
        <w:rPr>
          <w:rFonts w:hint="cs"/>
          <w:rtl/>
        </w:rPr>
        <w:t xml:space="preserve">וע"ע במה שביארו </w:t>
      </w:r>
      <w:r w:rsidRPr="00AE3B0F">
        <w:rPr>
          <w:rStyle w:val="af9"/>
          <w:rFonts w:hint="cs"/>
          <w:rtl/>
        </w:rPr>
        <w:t>הברכ"ש</w:t>
      </w:r>
      <w:r w:rsidRPr="00AE3B0F">
        <w:rPr>
          <w:rFonts w:hint="cs"/>
          <w:rtl/>
        </w:rPr>
        <w:t xml:space="preserve"> </w:t>
      </w:r>
      <w:r w:rsidRPr="00AE3B0F">
        <w:rPr>
          <w:rStyle w:val="af7"/>
          <w:rFonts w:eastAsia="Guttman Hodes" w:hint="cs"/>
          <w:rtl/>
        </w:rPr>
        <w:t xml:space="preserve">(עי' אות </w:t>
      </w:r>
      <w:r w:rsidRPr="00AE3B0F">
        <w:rPr>
          <w:rStyle w:val="af7"/>
          <w:rFonts w:eastAsia="Guttman Hodes"/>
          <w:rtl/>
        </w:rPr>
        <w:fldChar w:fldCharType="begin"/>
      </w:r>
      <w:r w:rsidRPr="00AE3B0F">
        <w:rPr>
          <w:rStyle w:val="af7"/>
          <w:rFonts w:eastAsia="Guttman Hodes"/>
          <w:rtl/>
        </w:rPr>
        <w:instrText xml:space="preserve"> </w:instrText>
      </w:r>
      <w:r w:rsidRPr="00AE3B0F">
        <w:rPr>
          <w:rStyle w:val="af7"/>
          <w:rFonts w:eastAsia="Guttman Hodes" w:hint="cs"/>
        </w:rPr>
        <w:instrText>REF</w:instrText>
      </w:r>
      <w:r w:rsidRPr="00AE3B0F">
        <w:rPr>
          <w:rStyle w:val="af7"/>
          <w:rFonts w:eastAsia="Guttman Hodes" w:hint="cs"/>
          <w:rtl/>
        </w:rPr>
        <w:instrText xml:space="preserve"> _</w:instrText>
      </w:r>
      <w:r w:rsidRPr="00AE3B0F">
        <w:rPr>
          <w:rStyle w:val="af7"/>
          <w:rFonts w:eastAsia="Guttman Hodes" w:hint="cs"/>
        </w:rPr>
        <w:instrText>Ref60649528 \r \h</w:instrText>
      </w:r>
      <w:r w:rsidRPr="00AE3B0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E3B0F">
        <w:rPr>
          <w:rStyle w:val="af7"/>
          <w:rFonts w:eastAsia="Guttman Hodes"/>
          <w:rtl/>
        </w:rPr>
      </w:r>
      <w:r w:rsidRPr="00AE3B0F">
        <w:rPr>
          <w:rStyle w:val="af7"/>
          <w:rFonts w:eastAsia="Guttman Hodes"/>
          <w:rtl/>
        </w:rPr>
        <w:fldChar w:fldCharType="separate"/>
      </w:r>
      <w:r w:rsidR="00265073">
        <w:rPr>
          <w:rStyle w:val="af7"/>
          <w:rFonts w:eastAsia="Guttman Hodes"/>
          <w:cs/>
        </w:rPr>
        <w:t>‎</w:t>
      </w:r>
      <w:r w:rsidR="00265073">
        <w:rPr>
          <w:rStyle w:val="af7"/>
          <w:rFonts w:eastAsia="Guttman Hodes"/>
          <w:rtl/>
        </w:rPr>
        <w:t>פג)</w:t>
      </w:r>
      <w:r w:rsidRPr="00AE3B0F">
        <w:rPr>
          <w:rStyle w:val="af7"/>
          <w:rFonts w:eastAsia="Guttman Hodes"/>
          <w:rtl/>
        </w:rPr>
        <w:fldChar w:fldCharType="end"/>
      </w:r>
      <w:r w:rsidRPr="00AE3B0F">
        <w:rPr>
          <w:rFonts w:hint="cs"/>
          <w:rtl/>
        </w:rPr>
        <w:t xml:space="preserve"> </w:t>
      </w:r>
      <w:r w:rsidRPr="00AE3B0F">
        <w:rPr>
          <w:rStyle w:val="af9"/>
          <w:rFonts w:hint="cs"/>
          <w:rtl/>
        </w:rPr>
        <w:t>ובחי' רבי ראובן</w:t>
      </w:r>
      <w:r w:rsidRPr="00AE3B0F">
        <w:rPr>
          <w:rStyle w:val="af7"/>
          <w:rFonts w:eastAsia="Guttman Hodes" w:hint="cs"/>
          <w:rtl/>
        </w:rPr>
        <w:t xml:space="preserve"> (עי' אות </w:t>
      </w:r>
      <w:r w:rsidRPr="00AE3B0F">
        <w:rPr>
          <w:rStyle w:val="af7"/>
          <w:rFonts w:eastAsia="Guttman Hodes"/>
          <w:rtl/>
        </w:rPr>
        <w:fldChar w:fldCharType="begin"/>
      </w:r>
      <w:r w:rsidRPr="00AE3B0F">
        <w:rPr>
          <w:rStyle w:val="af7"/>
          <w:rFonts w:eastAsia="Guttman Hodes"/>
          <w:rtl/>
        </w:rPr>
        <w:instrText xml:space="preserve"> </w:instrText>
      </w:r>
      <w:r w:rsidRPr="00AE3B0F">
        <w:rPr>
          <w:rStyle w:val="af7"/>
          <w:rFonts w:eastAsia="Guttman Hodes" w:hint="cs"/>
        </w:rPr>
        <w:instrText>REF</w:instrText>
      </w:r>
      <w:r w:rsidRPr="00AE3B0F">
        <w:rPr>
          <w:rStyle w:val="af7"/>
          <w:rFonts w:eastAsia="Guttman Hodes" w:hint="cs"/>
          <w:rtl/>
        </w:rPr>
        <w:instrText xml:space="preserve"> _</w:instrText>
      </w:r>
      <w:r w:rsidRPr="00AE3B0F">
        <w:rPr>
          <w:rStyle w:val="af7"/>
          <w:rFonts w:eastAsia="Guttman Hodes" w:hint="cs"/>
        </w:rPr>
        <w:instrText>Ref60668496 \r \h</w:instrText>
      </w:r>
      <w:r w:rsidRPr="00AE3B0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E3B0F">
        <w:rPr>
          <w:rStyle w:val="af7"/>
          <w:rFonts w:eastAsia="Guttman Hodes"/>
          <w:rtl/>
        </w:rPr>
      </w:r>
      <w:r w:rsidRPr="00AE3B0F">
        <w:rPr>
          <w:rStyle w:val="af7"/>
          <w:rFonts w:eastAsia="Guttman Hodes"/>
          <w:rtl/>
        </w:rPr>
        <w:fldChar w:fldCharType="separate"/>
      </w:r>
      <w:r w:rsidR="00265073">
        <w:rPr>
          <w:rStyle w:val="af7"/>
          <w:rFonts w:eastAsia="Guttman Hodes"/>
          <w:cs/>
        </w:rPr>
        <w:t>‎</w:t>
      </w:r>
      <w:r w:rsidR="00265073">
        <w:rPr>
          <w:rStyle w:val="af7"/>
          <w:rFonts w:eastAsia="Guttman Hodes"/>
          <w:rtl/>
        </w:rPr>
        <w:t>קז)</w:t>
      </w:r>
      <w:r w:rsidRPr="00AE3B0F">
        <w:rPr>
          <w:rStyle w:val="af7"/>
          <w:rFonts w:eastAsia="Guttman Hodes"/>
          <w:rtl/>
        </w:rPr>
        <w:fldChar w:fldCharType="end"/>
      </w:r>
      <w:r w:rsidRPr="00AE3B0F">
        <w:rPr>
          <w:rStyle w:val="af7"/>
          <w:rFonts w:eastAsia="Guttman Hodes" w:hint="cs"/>
          <w:rtl/>
        </w:rPr>
        <w:t xml:space="preserve"> </w:t>
      </w:r>
      <w:r w:rsidRPr="00AE3B0F">
        <w:rPr>
          <w:rStyle w:val="af9"/>
          <w:rFonts w:hint="cs"/>
          <w:rtl/>
        </w:rPr>
        <w:t>ובשיעורי רבי</w:t>
      </w:r>
      <w:r>
        <w:rPr>
          <w:rStyle w:val="af9"/>
          <w:rFonts w:hint="cs"/>
          <w:rtl/>
        </w:rPr>
        <w:t xml:space="preserve"> שמואל</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Ref60138328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Pr>
          <w:rStyle w:val="af7"/>
          <w:rFonts w:eastAsia="Guttman Hodes"/>
          <w:rtl/>
        </w:rPr>
        <w:fldChar w:fldCharType="end"/>
      </w:r>
      <w:r w:rsidR="00A77F33">
        <w:rPr>
          <w:rStyle w:val="af7"/>
          <w:rFonts w:eastAsia="Guttman Hodes" w:hint="cs"/>
          <w:rtl/>
        </w:rPr>
        <w:t xml:space="preserve"> </w:t>
      </w:r>
      <w:r>
        <w:rPr>
          <w:rStyle w:val="af9"/>
          <w:rFonts w:hint="cs"/>
          <w:rtl/>
        </w:rPr>
        <w:t>ו</w:t>
      </w:r>
      <w:r w:rsidRPr="007B650F">
        <w:rPr>
          <w:rStyle w:val="af9"/>
          <w:rFonts w:hint="cs"/>
          <w:rtl/>
        </w:rPr>
        <w:t>בחי' רבי נחום</w:t>
      </w:r>
      <w:r w:rsidRPr="007B650F">
        <w:rPr>
          <w:rStyle w:val="af7"/>
          <w:rFonts w:eastAsia="Guttman Hode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Ref60673583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Pr>
          <w:rStyle w:val="af7"/>
          <w:rFonts w:eastAsia="Guttman Hodes"/>
          <w:rtl/>
        </w:rPr>
        <w:fldChar w:fldCharType="end"/>
      </w:r>
      <w:r>
        <w:rPr>
          <w:rFonts w:hint="cs"/>
          <w:rtl/>
        </w:rPr>
        <w:t xml:space="preserve"> בדברי </w:t>
      </w:r>
      <w:r>
        <w:rPr>
          <w:rStyle w:val="af9"/>
          <w:rFonts w:hint="cs"/>
          <w:rtl/>
        </w:rPr>
        <w:t>ר"י</w:t>
      </w:r>
      <w:r w:rsidR="00DE46C2">
        <w:rPr>
          <w:rFonts w:hint="cs"/>
          <w:rtl/>
        </w:rPr>
        <w:t>]</w:t>
      </w:r>
      <w:r>
        <w:rPr>
          <w:rFonts w:hint="cs"/>
          <w:rtl/>
        </w:rPr>
        <w:t>.</w:t>
      </w:r>
      <w:bookmarkEnd w:id="10754"/>
    </w:p>
    <w:p w:rsidR="006A4297" w:rsidRPr="00566568" w:rsidRDefault="006A4297" w:rsidP="006A4297">
      <w:pPr>
        <w:pStyle w:val="a3"/>
      </w:pPr>
      <w:bookmarkStart w:id="10756" w:name="_Toc60612651"/>
      <w:bookmarkStart w:id="10757" w:name="_Toc60616492"/>
      <w:bookmarkStart w:id="10758" w:name="_Toc60678250"/>
      <w:r>
        <w:rPr>
          <w:rFonts w:hint="cs"/>
          <w:rtl/>
        </w:rPr>
        <w:t>ביאור הדרישה בר"י דטענינן הוא כשיתכן שכך היה אבל כשיודע המחזיק שלא היה לא טענינן</w:t>
      </w:r>
      <w:bookmarkEnd w:id="10756"/>
      <w:bookmarkEnd w:id="10757"/>
      <w:bookmarkEnd w:id="10758"/>
    </w:p>
    <w:p w:rsidR="006A4297" w:rsidRDefault="006A4297" w:rsidP="007E4E81">
      <w:pPr>
        <w:pStyle w:val="a0"/>
        <w:rPr>
          <w:rtl/>
        </w:rPr>
      </w:pPr>
      <w:r w:rsidRPr="005524E7">
        <w:rPr>
          <w:rFonts w:hint="cs"/>
          <w:rtl/>
        </w:rPr>
        <w:t xml:space="preserve">וביאר </w:t>
      </w:r>
      <w:r w:rsidRPr="00566568">
        <w:rPr>
          <w:rStyle w:val="af9"/>
          <w:rFonts w:hint="cs"/>
          <w:rtl/>
        </w:rPr>
        <w:t xml:space="preserve">הדרישה </w:t>
      </w:r>
      <w:r w:rsidRPr="00566568">
        <w:rPr>
          <w:rStyle w:val="af7"/>
          <w:rFonts w:eastAsia="Guttman Rashi" w:hint="cs"/>
          <w:rtl/>
        </w:rPr>
        <w:t>(סי' קמ"ו ריש סקכ"ד)</w:t>
      </w:r>
      <w:r w:rsidRPr="005524E7">
        <w:rPr>
          <w:rFonts w:hint="cs"/>
          <w:rtl/>
        </w:rPr>
        <w:t xml:space="preserve"> דכוונת </w:t>
      </w:r>
      <w:r w:rsidRPr="00566568">
        <w:rPr>
          <w:rStyle w:val="af9"/>
          <w:rFonts w:hint="cs"/>
          <w:rtl/>
        </w:rPr>
        <w:t xml:space="preserve">ר"י </w:t>
      </w:r>
      <w:r w:rsidRPr="005524E7">
        <w:rPr>
          <w:rFonts w:hint="cs"/>
          <w:rtl/>
        </w:rPr>
        <w:t>לומר דדוקא ביורשים טענינן כיון שהטענה שאביהם היה נאמן לטעון, יתכן שבאמת כך היה או שהחזיר או שנאנס, אבל הכא דיודע המחזיק דהאמת שהייתה של המערער, ואם היה המוכר טוען כן לא היה המחזיק מעכבה בידו, דהוא יודע את האמת, ממילא אין המחזיק יכול לזכות בטענת המיגו של המוכר כיון שאינו י</w:t>
      </w:r>
      <w:r>
        <w:rPr>
          <w:rFonts w:hint="cs"/>
          <w:rtl/>
        </w:rPr>
        <w:t>כול לעמוד במקום המוכר ולטעון כן</w:t>
      </w:r>
      <w:r w:rsidRPr="005524E7">
        <w:rPr>
          <w:rFonts w:hint="cs"/>
          <w:rtl/>
        </w:rPr>
        <w:t>.</w:t>
      </w:r>
    </w:p>
    <w:p w:rsidR="006A4297" w:rsidRPr="00950D60" w:rsidRDefault="006A4297" w:rsidP="006A4297">
      <w:pPr>
        <w:pStyle w:val="afe"/>
      </w:pPr>
      <w:bookmarkStart w:id="10759" w:name="_Toc60678251"/>
      <w:r>
        <w:rPr>
          <w:rFonts w:hint="cs"/>
          <w:rtl/>
        </w:rPr>
        <w:t>פלוגתת המרדכי וההג"מ בד' ר"י</w:t>
      </w:r>
      <w:bookmarkEnd w:id="10759"/>
    </w:p>
    <w:p w:rsidR="006A4297" w:rsidRDefault="006A4297" w:rsidP="006A4297">
      <w:pPr>
        <w:pStyle w:val="a3"/>
        <w:rPr>
          <w:rtl/>
        </w:rPr>
      </w:pPr>
      <w:bookmarkStart w:id="10760" w:name="_Toc60612652"/>
      <w:bookmarkStart w:id="10761" w:name="_Toc60616493"/>
      <w:bookmarkStart w:id="10762" w:name="_Toc60678252"/>
      <w:bookmarkEnd w:id="10755"/>
      <w:r w:rsidRPr="00BF1C1C">
        <w:rPr>
          <w:rFonts w:hint="cs"/>
          <w:rtl/>
        </w:rPr>
        <w:t>דברי המ</w:t>
      </w:r>
      <w:r>
        <w:rPr>
          <w:rFonts w:hint="cs"/>
          <w:rtl/>
        </w:rPr>
        <w:t>רדכי והאגודה דר"י הסתפק בעידי חד יומא בלא חזקה כשאין עדים למערער אי טענינן</w:t>
      </w:r>
      <w:bookmarkEnd w:id="10760"/>
      <w:bookmarkEnd w:id="10761"/>
      <w:bookmarkEnd w:id="10762"/>
    </w:p>
    <w:p w:rsidR="006A4297" w:rsidRDefault="006A4297" w:rsidP="007E4E81">
      <w:pPr>
        <w:pStyle w:val="a0"/>
        <w:rPr>
          <w:rtl/>
        </w:rPr>
      </w:pPr>
      <w:bookmarkStart w:id="10763" w:name="_Ref60615355"/>
      <w:r w:rsidRPr="00231220">
        <w:rPr>
          <w:rFonts w:hint="cs"/>
          <w:rtl/>
        </w:rPr>
        <w:t xml:space="preserve">וכתב </w:t>
      </w:r>
      <w:r w:rsidRPr="00231220">
        <w:rPr>
          <w:rStyle w:val="af9"/>
          <w:rFonts w:hint="cs"/>
          <w:rtl/>
        </w:rPr>
        <w:t>המרדכי</w:t>
      </w:r>
      <w:r w:rsidRPr="00231220">
        <w:rPr>
          <w:rFonts w:hint="cs"/>
          <w:rtl/>
        </w:rPr>
        <w:t xml:space="preserve"> </w:t>
      </w:r>
      <w:r w:rsidRPr="00231220">
        <w:rPr>
          <w:rStyle w:val="af7"/>
          <w:rFonts w:eastAsia="Guttman Hodes" w:hint="cs"/>
          <w:rtl/>
        </w:rPr>
        <w:t xml:space="preserve">(סוף רמז תקכ"ג) </w:t>
      </w:r>
      <w:r w:rsidRPr="00231220">
        <w:rPr>
          <w:rFonts w:hint="cs"/>
          <w:rtl/>
        </w:rPr>
        <w:t xml:space="preserve">בשם </w:t>
      </w:r>
      <w:r w:rsidRPr="00231220">
        <w:rPr>
          <w:rStyle w:val="af9"/>
          <w:rFonts w:hint="cs"/>
          <w:rtl/>
        </w:rPr>
        <w:t>ר"י</w:t>
      </w:r>
      <w:r w:rsidRPr="00231220">
        <w:rPr>
          <w:rFonts w:hint="cs"/>
          <w:rtl/>
        </w:rPr>
        <w:t xml:space="preserve"> דיש להסתפק </w:t>
      </w:r>
      <w:r>
        <w:rPr>
          <w:rFonts w:hint="cs"/>
          <w:rtl/>
        </w:rPr>
        <w:t>כשיש</w:t>
      </w:r>
      <w:r w:rsidRPr="00231220">
        <w:rPr>
          <w:rFonts w:hint="cs"/>
          <w:rtl/>
        </w:rPr>
        <w:t xml:space="preserve"> עדים דדר המוכר חד יומא, </w:t>
      </w:r>
      <w:r>
        <w:rPr>
          <w:rFonts w:hint="cs"/>
          <w:rtl/>
        </w:rPr>
        <w:t>ו</w:t>
      </w:r>
      <w:r w:rsidRPr="00231220">
        <w:rPr>
          <w:rFonts w:hint="cs"/>
          <w:rtl/>
        </w:rPr>
        <w:t xml:space="preserve">אין למחזיק חזקת ג"ש, </w:t>
      </w:r>
      <w:r>
        <w:rPr>
          <w:rFonts w:hint="cs"/>
          <w:rtl/>
        </w:rPr>
        <w:t xml:space="preserve">אי מעמידים את הקרקע ביד המחזיק, או לא, </w:t>
      </w:r>
      <w:r w:rsidRPr="00231220">
        <w:rPr>
          <w:rFonts w:hint="cs"/>
          <w:rtl/>
        </w:rPr>
        <w:t xml:space="preserve">והביא </w:t>
      </w:r>
      <w:r w:rsidRPr="00231220">
        <w:rPr>
          <w:rStyle w:val="af9"/>
          <w:rFonts w:hint="cs"/>
          <w:rtl/>
        </w:rPr>
        <w:t>הש"ך</w:t>
      </w:r>
      <w:r w:rsidRPr="00231220">
        <w:rPr>
          <w:rFonts w:hint="cs"/>
          <w:rtl/>
        </w:rPr>
        <w:t xml:space="preserve"> </w:t>
      </w:r>
      <w:r w:rsidRPr="00231220">
        <w:rPr>
          <w:rStyle w:val="af7"/>
          <w:rFonts w:eastAsia="Guttman Hodes" w:hint="cs"/>
          <w:rtl/>
        </w:rPr>
        <w:t>(סי' קמ"ו סקי</w:t>
      </w:r>
      <w:r w:rsidRPr="00C27E8E">
        <w:rPr>
          <w:rStyle w:val="af7"/>
          <w:rFonts w:eastAsia="Guttman Hodes" w:hint="cs"/>
          <w:rtl/>
        </w:rPr>
        <w:t>"ג)</w:t>
      </w:r>
      <w:r w:rsidRPr="00231220">
        <w:rPr>
          <w:rFonts w:hint="cs"/>
          <w:rtl/>
        </w:rPr>
        <w:t xml:space="preserve"> את דברי </w:t>
      </w:r>
      <w:r w:rsidRPr="00231220">
        <w:rPr>
          <w:rStyle w:val="af9"/>
          <w:rFonts w:hint="cs"/>
          <w:rtl/>
        </w:rPr>
        <w:t>האגודה</w:t>
      </w:r>
      <w:r w:rsidRPr="00231220">
        <w:rPr>
          <w:rFonts w:hint="cs"/>
          <w:rtl/>
        </w:rPr>
        <w:t xml:space="preserve"> </w:t>
      </w:r>
      <w:r w:rsidRPr="00231220">
        <w:rPr>
          <w:rStyle w:val="af7"/>
          <w:rFonts w:eastAsia="Guttman Hodes" w:hint="cs"/>
          <w:rtl/>
        </w:rPr>
        <w:t>(בפירקין סי' ס"א, הועתק בקובץ שיטות קמאי ב"ב ח"א עמ' תרצ"ב)</w:t>
      </w:r>
      <w:r w:rsidRPr="00231220">
        <w:rPr>
          <w:rFonts w:hint="cs"/>
          <w:rtl/>
        </w:rPr>
        <w:t xml:space="preserve"> דהוסיף בשם </w:t>
      </w:r>
      <w:r w:rsidRPr="00231220">
        <w:rPr>
          <w:rStyle w:val="af9"/>
          <w:rFonts w:hint="cs"/>
          <w:rtl/>
        </w:rPr>
        <w:t>ר"י</w:t>
      </w:r>
      <w:r w:rsidRPr="00231220">
        <w:rPr>
          <w:rFonts w:hint="cs"/>
          <w:rtl/>
        </w:rPr>
        <w:t xml:space="preserve"> דהספק הוא באופן שאין למערער עדים שהייתה שלו, והודה לו המחזיק במה שאמר </w:t>
      </w:r>
      <w:r w:rsidRPr="005702BE">
        <w:rPr>
          <w:rFonts w:hint="cs"/>
          <w:rtl/>
        </w:rPr>
        <w:t>דקנה מהמוכר שאמר לו שקנה מהמערער, ולא אמר המחזיק קמי דידי זבנה מינך</w:t>
      </w:r>
      <w:r>
        <w:rPr>
          <w:rFonts w:hint="cs"/>
          <w:rtl/>
        </w:rPr>
        <w:t>.</w:t>
      </w:r>
      <w:bookmarkEnd w:id="10763"/>
    </w:p>
    <w:p w:rsidR="006A4297" w:rsidRPr="006A4297" w:rsidRDefault="006A4297" w:rsidP="006A4297">
      <w:pPr>
        <w:pStyle w:val="a3"/>
        <w:rPr>
          <w:rtl/>
        </w:rPr>
      </w:pPr>
    </w:p>
    <w:p w:rsidR="006A4297" w:rsidRPr="002D0374" w:rsidRDefault="006A4297" w:rsidP="006A4297">
      <w:pPr>
        <w:pStyle w:val="a3"/>
      </w:pPr>
      <w:bookmarkStart w:id="10764" w:name="_Toc60616494"/>
      <w:bookmarkStart w:id="10765" w:name="_Toc60678253"/>
      <w:r>
        <w:rPr>
          <w:rFonts w:hint="cs"/>
          <w:rtl/>
        </w:rPr>
        <w:lastRenderedPageBreak/>
        <w:t>ביאור הש"ך במרדכי ואגודה דמדדחה ר"י רק את ראיית הרשב"א בתוס' משמע דמספקא ליה</w:t>
      </w:r>
      <w:bookmarkEnd w:id="10764"/>
      <w:bookmarkEnd w:id="10765"/>
    </w:p>
    <w:p w:rsidR="006A4297" w:rsidRDefault="006A4297" w:rsidP="007E4E81">
      <w:pPr>
        <w:pStyle w:val="a0"/>
      </w:pPr>
      <w:bookmarkStart w:id="10766" w:name="_Ref60612209"/>
      <w:r w:rsidRPr="005702BE">
        <w:rPr>
          <w:rFonts w:hint="cs"/>
          <w:rtl/>
        </w:rPr>
        <w:t>ו</w:t>
      </w:r>
      <w:r>
        <w:rPr>
          <w:rFonts w:hint="cs"/>
          <w:rtl/>
        </w:rPr>
        <w:t>ביאר</w:t>
      </w:r>
      <w:r w:rsidRPr="005702BE">
        <w:rPr>
          <w:rFonts w:hint="cs"/>
          <w:rtl/>
        </w:rPr>
        <w:t xml:space="preserve"> </w:t>
      </w:r>
      <w:r w:rsidRPr="005702BE">
        <w:rPr>
          <w:rStyle w:val="af9"/>
          <w:rFonts w:hint="cs"/>
          <w:rtl/>
        </w:rPr>
        <w:t>הש"ך</w:t>
      </w:r>
      <w:r w:rsidRPr="005702BE">
        <w:rPr>
          <w:rFonts w:hint="cs"/>
          <w:rtl/>
        </w:rPr>
        <w:t xml:space="preserve"> </w:t>
      </w:r>
      <w:r w:rsidRPr="005702BE">
        <w:rPr>
          <w:rStyle w:val="af7"/>
          <w:rFonts w:eastAsia="Guttman Hodes" w:hint="cs"/>
          <w:rtl/>
        </w:rPr>
        <w:t>(סי' קמ"ו סקי"ג)</w:t>
      </w:r>
      <w:r w:rsidRPr="005702BE">
        <w:rPr>
          <w:rFonts w:hint="cs"/>
          <w:rtl/>
        </w:rPr>
        <w:t xml:space="preserve"> </w:t>
      </w:r>
      <w:r>
        <w:rPr>
          <w:rFonts w:hint="cs"/>
          <w:rtl/>
        </w:rPr>
        <w:t xml:space="preserve">דמהא דדחה </w:t>
      </w:r>
      <w:r w:rsidRPr="00DD5FCD">
        <w:rPr>
          <w:rStyle w:val="af9"/>
          <w:rFonts w:hint="cs"/>
          <w:rtl/>
        </w:rPr>
        <w:t>ר"י</w:t>
      </w:r>
      <w:r>
        <w:rPr>
          <w:rFonts w:hint="cs"/>
          <w:rtl/>
        </w:rPr>
        <w:t xml:space="preserve"> רק את ראיית </w:t>
      </w:r>
      <w:r w:rsidRPr="00DD5FCD">
        <w:rPr>
          <w:rStyle w:val="af9"/>
          <w:rFonts w:hint="cs"/>
          <w:rtl/>
        </w:rPr>
        <w:t>הרשב"א בתוס'</w:t>
      </w:r>
      <w:r>
        <w:rPr>
          <w:rFonts w:hint="cs"/>
          <w:rtl/>
        </w:rPr>
        <w:t xml:space="preserve"> מהגמ' לקמן, ולא פליג עליו להדיא, משמע </w:t>
      </w:r>
      <w:r w:rsidRPr="00DD5FCD">
        <w:rPr>
          <w:rStyle w:val="af9"/>
          <w:rFonts w:hint="cs"/>
          <w:rtl/>
        </w:rPr>
        <w:t>למרדכי ולאגודה</w:t>
      </w:r>
      <w:r>
        <w:rPr>
          <w:rFonts w:hint="cs"/>
          <w:rtl/>
        </w:rPr>
        <w:t xml:space="preserve">, דמספקא ליה </w:t>
      </w:r>
      <w:r w:rsidRPr="00DD5FCD">
        <w:rPr>
          <w:rStyle w:val="af9"/>
          <w:rFonts w:hint="cs"/>
          <w:rtl/>
        </w:rPr>
        <w:t>לר"י</w:t>
      </w:r>
      <w:r>
        <w:rPr>
          <w:rFonts w:hint="cs"/>
          <w:rtl/>
        </w:rPr>
        <w:t xml:space="preserve"> אי טענינן כדברי </w:t>
      </w:r>
      <w:r w:rsidRPr="00DD5FCD">
        <w:rPr>
          <w:rStyle w:val="af9"/>
          <w:rFonts w:hint="cs"/>
          <w:rtl/>
        </w:rPr>
        <w:t>הרשב"א בתוס'</w:t>
      </w:r>
      <w:r>
        <w:rPr>
          <w:rFonts w:hint="cs"/>
          <w:rtl/>
        </w:rPr>
        <w:t xml:space="preserve"> </w:t>
      </w:r>
      <w:r w:rsidRPr="001D1FA3">
        <w:rPr>
          <w:rStyle w:val="af7"/>
          <w:rFonts w:eastAsia="Guttman Hodes" w:hint="cs"/>
          <w:rtl/>
        </w:rPr>
        <w:t xml:space="preserve">(עי' אות </w:t>
      </w:r>
      <w:r w:rsidRPr="001D1FA3">
        <w:rPr>
          <w:rStyle w:val="af7"/>
          <w:rFonts w:eastAsia="Guttman Hodes"/>
          <w:rtl/>
        </w:rPr>
        <w:fldChar w:fldCharType="begin"/>
      </w:r>
      <w:r w:rsidRPr="001D1FA3">
        <w:rPr>
          <w:rStyle w:val="af7"/>
          <w:rFonts w:eastAsia="Guttman Hodes"/>
          <w:rtl/>
        </w:rPr>
        <w:instrText xml:space="preserve"> </w:instrText>
      </w:r>
      <w:r w:rsidRPr="001D1FA3">
        <w:rPr>
          <w:rStyle w:val="af7"/>
          <w:rFonts w:eastAsia="Guttman Hodes" w:hint="cs"/>
        </w:rPr>
        <w:instrText>REF</w:instrText>
      </w:r>
      <w:r w:rsidRPr="001D1FA3">
        <w:rPr>
          <w:rStyle w:val="af7"/>
          <w:rFonts w:eastAsia="Guttman Hodes" w:hint="cs"/>
          <w:rtl/>
        </w:rPr>
        <w:instrText xml:space="preserve"> _</w:instrText>
      </w:r>
      <w:r w:rsidRPr="001D1FA3">
        <w:rPr>
          <w:rStyle w:val="af7"/>
          <w:rFonts w:eastAsia="Guttman Hodes" w:hint="cs"/>
        </w:rPr>
        <w:instrText>Ref60342515 \r \h</w:instrText>
      </w:r>
      <w:r w:rsidRPr="001D1FA3">
        <w:rPr>
          <w:rStyle w:val="af7"/>
          <w:rFonts w:eastAsia="Guttman Hodes"/>
          <w:rtl/>
        </w:rPr>
        <w:instrText xml:space="preserve"> </w:instrText>
      </w:r>
      <w:r w:rsidRPr="001D1FA3">
        <w:rPr>
          <w:rStyle w:val="af7"/>
          <w:rFonts w:eastAsia="Guttman Hodes"/>
          <w:rtl/>
        </w:rPr>
      </w:r>
      <w:r w:rsidRPr="001D1FA3">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1D1FA3">
        <w:rPr>
          <w:rStyle w:val="af7"/>
          <w:rFonts w:eastAsia="Guttman Hodes"/>
          <w:rtl/>
        </w:rPr>
        <w:fldChar w:fldCharType="end"/>
      </w:r>
      <w:r>
        <w:rPr>
          <w:rFonts w:hint="cs"/>
          <w:rtl/>
        </w:rPr>
        <w:t xml:space="preserve"> או לא, וכתב </w:t>
      </w:r>
      <w:r w:rsidRPr="00DD5FCD">
        <w:rPr>
          <w:rStyle w:val="af9"/>
          <w:rFonts w:hint="cs"/>
          <w:rtl/>
        </w:rPr>
        <w:t>הש"ך</w:t>
      </w:r>
      <w:r>
        <w:rPr>
          <w:rFonts w:hint="cs"/>
          <w:rtl/>
        </w:rPr>
        <w:t xml:space="preserve"> דהוא דלא כדברי </w:t>
      </w:r>
      <w:r w:rsidRPr="00DD5FCD">
        <w:rPr>
          <w:rStyle w:val="af9"/>
          <w:rFonts w:hint="cs"/>
          <w:rtl/>
        </w:rPr>
        <w:t>המהרש"א</w:t>
      </w:r>
      <w:r>
        <w:rPr>
          <w:rFonts w:hint="cs"/>
          <w:rtl/>
        </w:rPr>
        <w:t xml:space="preserve"> </w:t>
      </w:r>
      <w:r w:rsidRPr="001D1FA3">
        <w:rPr>
          <w:rStyle w:val="af7"/>
          <w:rFonts w:eastAsia="Guttman Hodes" w:hint="cs"/>
          <w:rtl/>
        </w:rPr>
        <w:t xml:space="preserve">(עי' אות </w:t>
      </w:r>
      <w:r w:rsidRPr="001D1FA3">
        <w:rPr>
          <w:rStyle w:val="af7"/>
          <w:rFonts w:eastAsia="Guttman Hodes"/>
          <w:rtl/>
        </w:rPr>
        <w:fldChar w:fldCharType="begin"/>
      </w:r>
      <w:r w:rsidRPr="001D1FA3">
        <w:rPr>
          <w:rStyle w:val="af7"/>
          <w:rFonts w:eastAsia="Guttman Hodes"/>
          <w:rtl/>
        </w:rPr>
        <w:instrText xml:space="preserve"> </w:instrText>
      </w:r>
      <w:r w:rsidRPr="001D1FA3">
        <w:rPr>
          <w:rStyle w:val="af7"/>
          <w:rFonts w:eastAsia="Guttman Hodes" w:hint="cs"/>
        </w:rPr>
        <w:instrText>REF</w:instrText>
      </w:r>
      <w:r w:rsidRPr="001D1FA3">
        <w:rPr>
          <w:rStyle w:val="af7"/>
          <w:rFonts w:eastAsia="Guttman Hodes" w:hint="cs"/>
          <w:rtl/>
        </w:rPr>
        <w:instrText xml:space="preserve"> _</w:instrText>
      </w:r>
      <w:r w:rsidRPr="001D1FA3">
        <w:rPr>
          <w:rStyle w:val="af7"/>
          <w:rFonts w:eastAsia="Guttman Hodes" w:hint="cs"/>
        </w:rPr>
        <w:instrText>Ref60614431 \r \h</w:instrText>
      </w:r>
      <w:r w:rsidRPr="001D1FA3">
        <w:rPr>
          <w:rStyle w:val="af7"/>
          <w:rFonts w:eastAsia="Guttman Hodes"/>
          <w:rtl/>
        </w:rPr>
        <w:instrText xml:space="preserve"> </w:instrText>
      </w:r>
      <w:r w:rsidRPr="001D1FA3">
        <w:rPr>
          <w:rStyle w:val="af7"/>
          <w:rFonts w:eastAsia="Guttman Hodes"/>
          <w:rtl/>
        </w:rPr>
      </w:r>
      <w:r w:rsidRPr="001D1FA3">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1D1FA3">
        <w:rPr>
          <w:rStyle w:val="af7"/>
          <w:rFonts w:eastAsia="Guttman Hodes"/>
          <w:rtl/>
        </w:rPr>
        <w:fldChar w:fldCharType="end"/>
      </w:r>
      <w:r>
        <w:rPr>
          <w:rFonts w:hint="cs"/>
          <w:rtl/>
        </w:rPr>
        <w:t xml:space="preserve"> דכתב </w:t>
      </w:r>
      <w:r w:rsidRPr="00DD5FCD">
        <w:rPr>
          <w:rStyle w:val="af9"/>
          <w:rFonts w:hint="cs"/>
          <w:rtl/>
        </w:rPr>
        <w:t>דר"י</w:t>
      </w:r>
      <w:r>
        <w:rPr>
          <w:rFonts w:hint="cs"/>
          <w:rtl/>
        </w:rPr>
        <w:t xml:space="preserve"> פליג על דברי </w:t>
      </w:r>
      <w:r w:rsidRPr="00DD5FCD">
        <w:rPr>
          <w:rStyle w:val="af9"/>
          <w:rFonts w:hint="cs"/>
          <w:rtl/>
        </w:rPr>
        <w:t>הרשב"א בתוס'</w:t>
      </w:r>
      <w:r>
        <w:rPr>
          <w:rFonts w:hint="cs"/>
          <w:rtl/>
        </w:rPr>
        <w:t>.</w:t>
      </w:r>
      <w:bookmarkEnd w:id="10766"/>
    </w:p>
    <w:p w:rsidR="006A4297" w:rsidRPr="005702BE" w:rsidRDefault="006A4297" w:rsidP="006A4297">
      <w:pPr>
        <w:pStyle w:val="a3"/>
      </w:pPr>
      <w:bookmarkStart w:id="10767" w:name="_Toc60612653"/>
      <w:bookmarkStart w:id="10768" w:name="_Toc60616495"/>
      <w:bookmarkStart w:id="10769" w:name="_Toc60678254"/>
      <w:r>
        <w:rPr>
          <w:rFonts w:hint="cs"/>
          <w:rtl/>
        </w:rPr>
        <w:t>דברי הש"ך דמההג"מ משמע דר"י דחה רק את ראיית הרשב"א בתוס' אך מודה לו לדינא</w:t>
      </w:r>
      <w:bookmarkEnd w:id="10767"/>
      <w:bookmarkEnd w:id="10768"/>
      <w:bookmarkEnd w:id="10769"/>
    </w:p>
    <w:p w:rsidR="006A4297" w:rsidRDefault="006A4297" w:rsidP="007E4E81">
      <w:pPr>
        <w:pStyle w:val="a0"/>
        <w:rPr>
          <w:rtl/>
        </w:rPr>
      </w:pPr>
      <w:bookmarkStart w:id="10770" w:name="_Ref60668454"/>
      <w:r w:rsidRPr="005702BE">
        <w:rPr>
          <w:rFonts w:hint="cs"/>
          <w:rtl/>
        </w:rPr>
        <w:t xml:space="preserve">אך כתב </w:t>
      </w:r>
      <w:r w:rsidRPr="005702BE">
        <w:rPr>
          <w:rStyle w:val="af9"/>
          <w:rFonts w:hint="cs"/>
          <w:rtl/>
        </w:rPr>
        <w:t>הש"ך</w:t>
      </w:r>
      <w:r w:rsidRPr="005702BE">
        <w:rPr>
          <w:rFonts w:hint="cs"/>
          <w:rtl/>
        </w:rPr>
        <w:t xml:space="preserve"> </w:t>
      </w:r>
      <w:r w:rsidRPr="005702BE">
        <w:rPr>
          <w:rStyle w:val="af7"/>
          <w:rFonts w:eastAsia="Guttman Hodes" w:hint="cs"/>
          <w:rtl/>
        </w:rPr>
        <w:t>(סי' קמ"ו סקי"ג בסוגריים ד"ה ונראה דמשמע)</w:t>
      </w:r>
      <w:r w:rsidRPr="005702BE">
        <w:rPr>
          <w:rFonts w:hint="cs"/>
          <w:rtl/>
        </w:rPr>
        <w:t xml:space="preserve"> דמדברי </w:t>
      </w:r>
      <w:r w:rsidRPr="00E44C33">
        <w:rPr>
          <w:rStyle w:val="af9"/>
          <w:rFonts w:hint="cs"/>
          <w:rtl/>
        </w:rPr>
        <w:t xml:space="preserve">ההג' מיימוניות </w:t>
      </w:r>
      <w:r w:rsidRPr="00DC7436">
        <w:rPr>
          <w:rStyle w:val="af7"/>
          <w:rFonts w:eastAsia="Guttman Hodes" w:hint="cs"/>
          <w:rtl/>
        </w:rPr>
        <w:t>(טו"נ פי"ד או' ק')</w:t>
      </w:r>
      <w:r w:rsidRPr="009C7E9E">
        <w:rPr>
          <w:rFonts w:hint="cs"/>
          <w:rtl/>
        </w:rPr>
        <w:t xml:space="preserve"> </w:t>
      </w:r>
      <w:r>
        <w:rPr>
          <w:rFonts w:hint="cs"/>
          <w:rtl/>
        </w:rPr>
        <w:t xml:space="preserve">שהביאו בשם </w:t>
      </w:r>
      <w:r w:rsidRPr="00F42744">
        <w:rPr>
          <w:rStyle w:val="af9"/>
          <w:rFonts w:hint="cs"/>
          <w:rtl/>
        </w:rPr>
        <w:t>ר"י</w:t>
      </w:r>
      <w:r>
        <w:rPr>
          <w:rFonts w:hint="cs"/>
          <w:rtl/>
        </w:rPr>
        <w:t xml:space="preserve"> את מ"ש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5A74AF">
        <w:rPr>
          <w:rStyle w:val="af7"/>
          <w:rFonts w:eastAsia="Guttman Hodes" w:hint="cs"/>
          <w:rtl/>
        </w:rPr>
        <w:t xml:space="preserve">(עי' אות </w:t>
      </w:r>
      <w:r w:rsidRPr="005A74AF">
        <w:rPr>
          <w:rStyle w:val="af7"/>
          <w:rFonts w:eastAsia="Guttman Hodes"/>
          <w:rtl/>
        </w:rPr>
        <w:fldChar w:fldCharType="begin"/>
      </w:r>
      <w:r w:rsidRPr="005A74AF">
        <w:rPr>
          <w:rStyle w:val="af7"/>
          <w:rFonts w:eastAsia="Guttman Hodes"/>
          <w:rtl/>
        </w:rPr>
        <w:instrText xml:space="preserve"> </w:instrText>
      </w:r>
      <w:r w:rsidRPr="005A74AF">
        <w:rPr>
          <w:rStyle w:val="af7"/>
          <w:rFonts w:eastAsia="Guttman Hodes" w:hint="cs"/>
        </w:rPr>
        <w:instrText>REF</w:instrText>
      </w:r>
      <w:r w:rsidRPr="005A74AF">
        <w:rPr>
          <w:rStyle w:val="af7"/>
          <w:rFonts w:eastAsia="Guttman Hodes" w:hint="cs"/>
          <w:rtl/>
        </w:rPr>
        <w:instrText xml:space="preserve"> _</w:instrText>
      </w:r>
      <w:r w:rsidRPr="005A74AF">
        <w:rPr>
          <w:rStyle w:val="af7"/>
          <w:rFonts w:eastAsia="Guttman Hodes" w:hint="cs"/>
        </w:rPr>
        <w:instrText>Ref60243410 \r \h</w:instrText>
      </w:r>
      <w:r w:rsidRPr="005A74AF">
        <w:rPr>
          <w:rStyle w:val="af7"/>
          <w:rFonts w:eastAsia="Guttman Hodes"/>
          <w:rtl/>
        </w:rPr>
        <w:instrText xml:space="preserve"> </w:instrText>
      </w:r>
      <w:r w:rsidRPr="005A74AF">
        <w:rPr>
          <w:rStyle w:val="af7"/>
          <w:rFonts w:eastAsia="Guttman Hodes"/>
          <w:rtl/>
        </w:rPr>
      </w:r>
      <w:r w:rsidRPr="005A74AF">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5A74AF">
        <w:rPr>
          <w:rStyle w:val="af7"/>
          <w:rFonts w:eastAsia="Guttman Hodes"/>
          <w:rtl/>
        </w:rPr>
        <w:fldChar w:fldCharType="end"/>
      </w:r>
      <w:r>
        <w:rPr>
          <w:rFonts w:hint="cs"/>
          <w:rtl/>
        </w:rPr>
        <w:t xml:space="preserve"> דבטוען קמי דידי דר בה חד יומא נאמן במיגו, אף כשאין למחזיק ג"ש, א"כ </w:t>
      </w:r>
      <w:r w:rsidRPr="009C7E9E">
        <w:rPr>
          <w:rFonts w:hint="cs"/>
          <w:rtl/>
        </w:rPr>
        <w:t xml:space="preserve">משמע </w:t>
      </w:r>
      <w:r>
        <w:rPr>
          <w:rFonts w:hint="cs"/>
          <w:rtl/>
        </w:rPr>
        <w:t xml:space="preserve">דס"ל </w:t>
      </w:r>
      <w:r w:rsidRPr="00DC7436">
        <w:rPr>
          <w:rStyle w:val="af9"/>
          <w:rFonts w:hint="cs"/>
          <w:rtl/>
        </w:rPr>
        <w:t>לההג"מ דר"י</w:t>
      </w:r>
      <w:r w:rsidRPr="009C7E9E">
        <w:rPr>
          <w:rFonts w:hint="cs"/>
          <w:rtl/>
        </w:rPr>
        <w:t xml:space="preserve"> </w:t>
      </w:r>
      <w:r>
        <w:rPr>
          <w:rFonts w:hint="cs"/>
          <w:rtl/>
        </w:rPr>
        <w:t>דחה רק את הראיה שהביא</w:t>
      </w:r>
      <w:r w:rsidRPr="009C7E9E">
        <w:rPr>
          <w:rFonts w:hint="cs"/>
          <w:rtl/>
        </w:rPr>
        <w:t xml:space="preserve"> </w:t>
      </w:r>
      <w:r w:rsidRPr="00DC7436">
        <w:rPr>
          <w:rStyle w:val="af9"/>
          <w:rFonts w:hint="cs"/>
          <w:rtl/>
        </w:rPr>
        <w:t>הרשב"א בתוס'</w:t>
      </w:r>
      <w:r w:rsidRPr="009C7E9E">
        <w:rPr>
          <w:rFonts w:hint="cs"/>
          <w:rtl/>
        </w:rPr>
        <w:t xml:space="preserve"> </w:t>
      </w:r>
      <w:r w:rsidRPr="00DC7436">
        <w:rPr>
          <w:rStyle w:val="af7"/>
          <w:rFonts w:eastAsia="Guttman Hodes" w:hint="cs"/>
          <w:rtl/>
        </w:rPr>
        <w:t xml:space="preserve">(עי' אות </w:t>
      </w:r>
      <w:r w:rsidRPr="00DC7436">
        <w:rPr>
          <w:rStyle w:val="af7"/>
          <w:rFonts w:eastAsia="Guttman Hodes"/>
          <w:rtl/>
        </w:rPr>
        <w:fldChar w:fldCharType="begin"/>
      </w:r>
      <w:r w:rsidRPr="00DC7436">
        <w:rPr>
          <w:rStyle w:val="af7"/>
          <w:rFonts w:eastAsia="Guttman Hodes"/>
          <w:rtl/>
        </w:rPr>
        <w:instrText xml:space="preserve"> </w:instrText>
      </w:r>
      <w:r w:rsidRPr="00DC7436">
        <w:rPr>
          <w:rStyle w:val="af7"/>
          <w:rFonts w:eastAsia="Guttman Hodes" w:hint="cs"/>
        </w:rPr>
        <w:instrText>REF</w:instrText>
      </w:r>
      <w:r w:rsidRPr="00DC7436">
        <w:rPr>
          <w:rStyle w:val="af7"/>
          <w:rFonts w:eastAsia="Guttman Hodes" w:hint="cs"/>
          <w:rtl/>
        </w:rPr>
        <w:instrText xml:space="preserve"> _</w:instrText>
      </w:r>
      <w:r w:rsidRPr="00DC7436">
        <w:rPr>
          <w:rStyle w:val="af7"/>
          <w:rFonts w:eastAsia="Guttman Hodes" w:hint="cs"/>
        </w:rPr>
        <w:instrText>Ref60343319 \r \h</w:instrText>
      </w:r>
      <w:r w:rsidRPr="00DC7436">
        <w:rPr>
          <w:rStyle w:val="af7"/>
          <w:rFonts w:eastAsia="Guttman Hodes"/>
          <w:rtl/>
        </w:rPr>
        <w:instrText xml:space="preserve"> </w:instrText>
      </w:r>
      <w:r w:rsidRPr="00DC7436">
        <w:rPr>
          <w:rStyle w:val="af7"/>
          <w:rFonts w:eastAsia="Guttman Hodes"/>
          <w:rtl/>
        </w:rPr>
      </w:r>
      <w:r w:rsidRPr="00DC7436">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DC7436">
        <w:rPr>
          <w:rStyle w:val="af7"/>
          <w:rFonts w:eastAsia="Guttman Hodes"/>
          <w:rtl/>
        </w:rPr>
        <w:fldChar w:fldCharType="end"/>
      </w:r>
      <w:r>
        <w:rPr>
          <w:rFonts w:hint="cs"/>
          <w:rtl/>
        </w:rPr>
        <w:t xml:space="preserve"> </w:t>
      </w:r>
      <w:r w:rsidRPr="009C7E9E">
        <w:rPr>
          <w:rFonts w:hint="cs"/>
          <w:rtl/>
        </w:rPr>
        <w:t xml:space="preserve">מהגמ' לקמן, אבל לדינא הוא מודה לו </w:t>
      </w:r>
      <w:r w:rsidRPr="00DC7436">
        <w:rPr>
          <w:rStyle w:val="af9"/>
          <w:rFonts w:hint="cs"/>
          <w:rtl/>
        </w:rPr>
        <w:t>ר"י</w:t>
      </w:r>
      <w:r>
        <w:rPr>
          <w:rtl/>
        </w:rPr>
        <w:t xml:space="preserve">, ועי' </w:t>
      </w:r>
      <w:r>
        <w:rPr>
          <w:rFonts w:hint="cs"/>
          <w:rtl/>
        </w:rPr>
        <w:t>במ"ש</w:t>
      </w:r>
      <w:r>
        <w:rPr>
          <w:rtl/>
        </w:rPr>
        <w:t xml:space="preserve"> </w:t>
      </w:r>
      <w:r>
        <w:rPr>
          <w:rStyle w:val="af9"/>
          <w:rtl/>
        </w:rPr>
        <w:t>בחי' רבי ראובן</w:t>
      </w:r>
      <w:r>
        <w:rPr>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Ref60668265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Pr>
          <w:rStyle w:val="af7"/>
          <w:rFonts w:eastAsia="Guttman Hodes"/>
          <w:rtl/>
        </w:rPr>
        <w:fldChar w:fldCharType="end"/>
      </w:r>
      <w:r>
        <w:rPr>
          <w:rStyle w:val="af7"/>
          <w:rFonts w:eastAsia="Guttman Hodes" w:hint="cs"/>
          <w:rtl/>
        </w:rPr>
        <w:t xml:space="preserve"> </w:t>
      </w:r>
      <w:r>
        <w:rPr>
          <w:rFonts w:hint="cs"/>
          <w:rtl/>
        </w:rPr>
        <w:t xml:space="preserve">דביאור </w:t>
      </w:r>
      <w:r w:rsidRPr="003945B6">
        <w:rPr>
          <w:rStyle w:val="af9"/>
          <w:rFonts w:hint="cs"/>
          <w:rtl/>
        </w:rPr>
        <w:t>הש"ך</w:t>
      </w:r>
      <w:r>
        <w:rPr>
          <w:rFonts w:hint="cs"/>
          <w:rtl/>
        </w:rPr>
        <w:t xml:space="preserve"> בדעת</w:t>
      </w:r>
      <w:r>
        <w:rPr>
          <w:rtl/>
        </w:rPr>
        <w:t xml:space="preserve"> </w:t>
      </w:r>
      <w:r>
        <w:rPr>
          <w:rStyle w:val="af9"/>
          <w:rFonts w:hint="cs"/>
          <w:rtl/>
        </w:rPr>
        <w:t xml:space="preserve">ההג' מיימוניות </w:t>
      </w:r>
      <w:r>
        <w:rPr>
          <w:rFonts w:hint="cs"/>
          <w:rtl/>
        </w:rPr>
        <w:t>הוא דוחק</w:t>
      </w:r>
      <w:r>
        <w:rPr>
          <w:rtl/>
        </w:rPr>
        <w:t xml:space="preserve">, ועי' </w:t>
      </w:r>
      <w:r>
        <w:rPr>
          <w:rFonts w:hint="cs"/>
          <w:rtl/>
        </w:rPr>
        <w:t>במה שביאר</w:t>
      </w:r>
      <w:r>
        <w:rPr>
          <w:rtl/>
        </w:rPr>
        <w:t xml:space="preserve"> </w:t>
      </w:r>
      <w:r>
        <w:rPr>
          <w:rStyle w:val="af9"/>
          <w:rtl/>
        </w:rPr>
        <w:t>בחי' רבי ראובן</w:t>
      </w:r>
      <w:r>
        <w:rPr>
          <w:rtl/>
        </w:rPr>
        <w:t xml:space="preserve"> </w:t>
      </w:r>
      <w:r>
        <w:rPr>
          <w:rStyle w:val="af7"/>
          <w:rFonts w:eastAsia="Guttman Hodes" w:hint="cs"/>
          <w:rtl/>
        </w:rPr>
        <w:t>(</w:t>
      </w:r>
      <w:r w:rsidRPr="00162318">
        <w:rPr>
          <w:rStyle w:val="af7"/>
          <w:rFonts w:eastAsia="Guttman Hodes" w:hint="cs"/>
          <w:rtl/>
        </w:rPr>
        <w:t xml:space="preserve">עי' אות </w:t>
      </w:r>
      <w:r w:rsidRPr="00162318">
        <w:rPr>
          <w:rStyle w:val="af7"/>
          <w:rFonts w:eastAsia="Guttman Hodes"/>
          <w:rtl/>
        </w:rPr>
        <w:fldChar w:fldCharType="begin"/>
      </w:r>
      <w:r w:rsidRPr="00162318">
        <w:rPr>
          <w:rStyle w:val="af7"/>
          <w:rFonts w:eastAsia="Guttman Hodes"/>
          <w:rtl/>
        </w:rPr>
        <w:instrText xml:space="preserve"> </w:instrText>
      </w:r>
      <w:r w:rsidRPr="00162318">
        <w:rPr>
          <w:rStyle w:val="af7"/>
          <w:rFonts w:eastAsia="Guttman Hodes" w:hint="cs"/>
        </w:rPr>
        <w:instrText>REF</w:instrText>
      </w:r>
      <w:r w:rsidRPr="00162318">
        <w:rPr>
          <w:rStyle w:val="af7"/>
          <w:rFonts w:eastAsia="Guttman Hodes" w:hint="cs"/>
          <w:rtl/>
        </w:rPr>
        <w:instrText xml:space="preserve"> _</w:instrText>
      </w:r>
      <w:r w:rsidRPr="00162318">
        <w:rPr>
          <w:rStyle w:val="af7"/>
          <w:rFonts w:eastAsia="Guttman Hodes" w:hint="cs"/>
        </w:rPr>
        <w:instrText>Ref60668496 \r \h</w:instrText>
      </w:r>
      <w:r w:rsidRPr="00162318">
        <w:rPr>
          <w:rStyle w:val="af7"/>
          <w:rFonts w:eastAsia="Guttman Hodes"/>
          <w:rtl/>
        </w:rPr>
        <w:instrText xml:space="preserve"> </w:instrText>
      </w:r>
      <w:r w:rsidRPr="00162318">
        <w:rPr>
          <w:rStyle w:val="af7"/>
          <w:rFonts w:eastAsia="Guttman Hodes"/>
          <w:rtl/>
        </w:rPr>
      </w:r>
      <w:r w:rsidRPr="00162318">
        <w:rPr>
          <w:rStyle w:val="af7"/>
          <w:rFonts w:eastAsia="Guttman Hodes"/>
          <w:rtl/>
        </w:rPr>
        <w:fldChar w:fldCharType="separate"/>
      </w:r>
      <w:r w:rsidR="00265073">
        <w:rPr>
          <w:rStyle w:val="af7"/>
          <w:rFonts w:eastAsia="Guttman Hodes"/>
          <w:cs/>
        </w:rPr>
        <w:t>‎</w:t>
      </w:r>
      <w:r w:rsidR="00265073">
        <w:rPr>
          <w:rStyle w:val="af7"/>
          <w:rFonts w:eastAsia="Guttman Hodes"/>
          <w:rtl/>
        </w:rPr>
        <w:t>קז)</w:t>
      </w:r>
      <w:r w:rsidRPr="00162318">
        <w:rPr>
          <w:rStyle w:val="af7"/>
          <w:rFonts w:eastAsia="Guttman Hodes"/>
          <w:rtl/>
        </w:rPr>
        <w:fldChar w:fldCharType="end"/>
      </w:r>
      <w:r>
        <w:rPr>
          <w:rFonts w:hint="cs"/>
          <w:rtl/>
        </w:rPr>
        <w:t xml:space="preserve"> בדעת</w:t>
      </w:r>
      <w:r>
        <w:rPr>
          <w:rtl/>
        </w:rPr>
        <w:t xml:space="preserve"> </w:t>
      </w:r>
      <w:r>
        <w:rPr>
          <w:rStyle w:val="af9"/>
          <w:rFonts w:hint="cs"/>
          <w:rtl/>
        </w:rPr>
        <w:t>ההג' מיימוניות</w:t>
      </w:r>
      <w:r w:rsidRPr="009C7E9E">
        <w:rPr>
          <w:rFonts w:hint="cs"/>
          <w:rtl/>
        </w:rPr>
        <w:t>.</w:t>
      </w:r>
      <w:bookmarkEnd w:id="10770"/>
    </w:p>
    <w:p w:rsidR="006A4297" w:rsidRDefault="006A4297" w:rsidP="006A4297">
      <w:pPr>
        <w:pStyle w:val="afe"/>
        <w:rPr>
          <w:rtl/>
        </w:rPr>
      </w:pPr>
      <w:bookmarkStart w:id="10771" w:name="_Toc60678255"/>
      <w:bookmarkStart w:id="10772" w:name="_Toc60616496"/>
      <w:r>
        <w:rPr>
          <w:rFonts w:hint="cs"/>
          <w:rtl/>
        </w:rPr>
        <w:t>בי' הש"ך דהרשב"א בתוס' ס"ל כרמב"ן</w:t>
      </w:r>
      <w:bookmarkEnd w:id="10771"/>
    </w:p>
    <w:p w:rsidR="006A4297" w:rsidRPr="001D1FA3" w:rsidRDefault="006A4297" w:rsidP="006A4297">
      <w:pPr>
        <w:pStyle w:val="1"/>
        <w:rPr>
          <w:rtl/>
        </w:rPr>
      </w:pPr>
      <w:bookmarkStart w:id="10773" w:name="_Toc60678256"/>
      <w:r>
        <w:rPr>
          <w:rFonts w:hint="cs"/>
          <w:rtl/>
        </w:rPr>
        <w:t>דברי הש"ך והדרישה דהרמב"ן ס"ל כרשב"א בתוס'</w:t>
      </w:r>
      <w:bookmarkEnd w:id="10772"/>
      <w:bookmarkEnd w:id="10773"/>
    </w:p>
    <w:p w:rsidR="006A4297" w:rsidRDefault="006A4297" w:rsidP="006A4297">
      <w:pPr>
        <w:pStyle w:val="a3"/>
        <w:rPr>
          <w:rtl/>
        </w:rPr>
      </w:pPr>
      <w:bookmarkStart w:id="10774" w:name="_Toc60612654"/>
      <w:bookmarkStart w:id="10775" w:name="_Toc60616497"/>
      <w:bookmarkStart w:id="10776" w:name="_Toc60678257"/>
      <w:bookmarkStart w:id="10777" w:name="_Toc60357058"/>
      <w:bookmarkStart w:id="10778" w:name="_Toc60589204"/>
      <w:r>
        <w:rPr>
          <w:rFonts w:hint="cs"/>
          <w:rtl/>
        </w:rPr>
        <w:t>דברי הש"ך דהרמב"ן שהביא ראיה מפקדון של יתומים ס"ל כדעת הרשב"א בתוס'</w:t>
      </w:r>
      <w:bookmarkEnd w:id="10774"/>
      <w:bookmarkEnd w:id="10775"/>
      <w:bookmarkEnd w:id="10776"/>
    </w:p>
    <w:p w:rsidR="006A4297" w:rsidRPr="003534BA" w:rsidRDefault="006A4297" w:rsidP="007E4E81">
      <w:pPr>
        <w:pStyle w:val="a0"/>
        <w:rPr>
          <w:rtl/>
        </w:rPr>
      </w:pPr>
      <w:bookmarkStart w:id="10779" w:name="_Ref60694144"/>
      <w:r>
        <w:rPr>
          <w:rFonts w:hint="cs"/>
          <w:rtl/>
        </w:rPr>
        <w:t xml:space="preserve">והוסיף </w:t>
      </w:r>
      <w:r w:rsidRPr="00073C99">
        <w:rPr>
          <w:rStyle w:val="af9"/>
          <w:rFonts w:hint="cs"/>
          <w:rtl/>
        </w:rPr>
        <w:t>הש"ך</w:t>
      </w:r>
      <w:r>
        <w:rPr>
          <w:rFonts w:hint="cs"/>
          <w:rtl/>
        </w:rPr>
        <w:t xml:space="preserve"> </w:t>
      </w:r>
      <w:r w:rsidRPr="005702BE">
        <w:rPr>
          <w:rStyle w:val="af7"/>
          <w:rFonts w:eastAsia="Guttman Hodes" w:hint="cs"/>
          <w:rtl/>
        </w:rPr>
        <w:t>(סי' קמ"ו סקי"ג)</w:t>
      </w:r>
      <w:r w:rsidRPr="005702BE">
        <w:rPr>
          <w:rFonts w:hint="cs"/>
          <w:rtl/>
        </w:rPr>
        <w:t xml:space="preserve"> </w:t>
      </w:r>
      <w:r>
        <w:rPr>
          <w:rFonts w:hint="cs"/>
          <w:rtl/>
        </w:rPr>
        <w:t xml:space="preserve">דכדברי </w:t>
      </w:r>
      <w:r w:rsidRPr="00073C99">
        <w:rPr>
          <w:rStyle w:val="af9"/>
          <w:rFonts w:hint="cs"/>
          <w:rtl/>
        </w:rPr>
        <w:t xml:space="preserve">הרשב"א </w:t>
      </w:r>
      <w:r w:rsidRPr="00DD5FCD">
        <w:rPr>
          <w:rStyle w:val="af9"/>
          <w:rFonts w:hint="cs"/>
          <w:rtl/>
        </w:rPr>
        <w:t>בתוס'</w:t>
      </w:r>
      <w:r>
        <w:rPr>
          <w:rFonts w:hint="cs"/>
          <w:rtl/>
        </w:rPr>
        <w:t xml:space="preserve"> </w:t>
      </w:r>
      <w:r w:rsidRPr="001D1FA3">
        <w:rPr>
          <w:rStyle w:val="af7"/>
          <w:rFonts w:eastAsia="Guttman Hodes" w:hint="cs"/>
          <w:rtl/>
        </w:rPr>
        <w:t xml:space="preserve">(עי' אות </w:t>
      </w:r>
      <w:r w:rsidRPr="001D1FA3">
        <w:rPr>
          <w:rStyle w:val="af7"/>
          <w:rFonts w:eastAsia="Guttman Hodes"/>
          <w:rtl/>
        </w:rPr>
        <w:fldChar w:fldCharType="begin"/>
      </w:r>
      <w:r w:rsidRPr="001D1FA3">
        <w:rPr>
          <w:rStyle w:val="af7"/>
          <w:rFonts w:eastAsia="Guttman Hodes"/>
          <w:rtl/>
        </w:rPr>
        <w:instrText xml:space="preserve"> </w:instrText>
      </w:r>
      <w:r w:rsidRPr="001D1FA3">
        <w:rPr>
          <w:rStyle w:val="af7"/>
          <w:rFonts w:eastAsia="Guttman Hodes" w:hint="cs"/>
        </w:rPr>
        <w:instrText>REF</w:instrText>
      </w:r>
      <w:r w:rsidRPr="001D1FA3">
        <w:rPr>
          <w:rStyle w:val="af7"/>
          <w:rFonts w:eastAsia="Guttman Hodes" w:hint="cs"/>
          <w:rtl/>
        </w:rPr>
        <w:instrText xml:space="preserve"> _</w:instrText>
      </w:r>
      <w:r w:rsidRPr="001D1FA3">
        <w:rPr>
          <w:rStyle w:val="af7"/>
          <w:rFonts w:eastAsia="Guttman Hodes" w:hint="cs"/>
        </w:rPr>
        <w:instrText>Ref60342515 \r \h</w:instrText>
      </w:r>
      <w:r w:rsidRPr="001D1FA3">
        <w:rPr>
          <w:rStyle w:val="af7"/>
          <w:rFonts w:eastAsia="Guttman Hodes"/>
          <w:rtl/>
        </w:rPr>
        <w:instrText xml:space="preserve"> </w:instrText>
      </w:r>
      <w:r w:rsidRPr="001D1FA3">
        <w:rPr>
          <w:rStyle w:val="af7"/>
          <w:rFonts w:eastAsia="Guttman Hodes"/>
          <w:rtl/>
        </w:rPr>
      </w:r>
      <w:r w:rsidRPr="001D1FA3">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1D1FA3">
        <w:rPr>
          <w:rStyle w:val="af7"/>
          <w:rFonts w:eastAsia="Guttman Hodes"/>
          <w:rtl/>
        </w:rPr>
        <w:fldChar w:fldCharType="end"/>
      </w:r>
      <w:r>
        <w:rPr>
          <w:rFonts w:hint="cs"/>
          <w:rtl/>
        </w:rPr>
        <w:t xml:space="preserve"> כ"כ </w:t>
      </w:r>
      <w:r w:rsidRPr="00073C99">
        <w:rPr>
          <w:rStyle w:val="af9"/>
          <w:rFonts w:hint="cs"/>
          <w:rtl/>
        </w:rPr>
        <w:t>הבעל</w:t>
      </w:r>
      <w:r>
        <w:rPr>
          <w:rFonts w:hint="cs"/>
          <w:rtl/>
        </w:rPr>
        <w:t xml:space="preserve"> </w:t>
      </w:r>
      <w:r w:rsidRPr="00F6341B">
        <w:rPr>
          <w:rStyle w:val="af9"/>
          <w:rFonts w:hint="cs"/>
          <w:rtl/>
        </w:rPr>
        <w:t>העיטור</w:t>
      </w:r>
      <w:r>
        <w:rPr>
          <w:rFonts w:hint="cs"/>
          <w:rtl/>
        </w:rPr>
        <w:t xml:space="preserve"> </w:t>
      </w:r>
      <w:r w:rsidRPr="00F6341B">
        <w:rPr>
          <w:rStyle w:val="af7"/>
          <w:rFonts w:eastAsia="Guttman Hodes" w:hint="cs"/>
          <w:rtl/>
        </w:rPr>
        <w:t>(או' מ' מחאה מב:, הועתק בקובץ שיטות קמאי ב"ב ח"א עמ' ת"ש)</w:t>
      </w:r>
      <w:r>
        <w:rPr>
          <w:rFonts w:hint="cs"/>
          <w:rtl/>
        </w:rPr>
        <w:t xml:space="preserve">, וכן דעת </w:t>
      </w:r>
      <w:r w:rsidRPr="00073C99">
        <w:rPr>
          <w:rStyle w:val="af9"/>
          <w:rFonts w:hint="cs"/>
          <w:rtl/>
        </w:rPr>
        <w:t>הרמב"ן</w:t>
      </w:r>
      <w:r w:rsidR="00A77F33">
        <w:rPr>
          <w:rFonts w:hint="cs"/>
          <w:rtl/>
        </w:rPr>
        <w:t xml:space="preserve"> </w:t>
      </w:r>
      <w:r>
        <w:rPr>
          <w:rFonts w:hint="cs"/>
          <w:rtl/>
        </w:rPr>
        <w:t xml:space="preserve">דדימה את דין עידי חד יומא למפקיד אצל חבירו ומת והודו היורשים, עיי"ש במה שהאריך </w:t>
      </w:r>
      <w:r w:rsidRPr="00073C99">
        <w:rPr>
          <w:rStyle w:val="af9"/>
          <w:rFonts w:hint="cs"/>
          <w:rtl/>
        </w:rPr>
        <w:t>הש"ך</w:t>
      </w:r>
      <w:r>
        <w:rPr>
          <w:rFonts w:hint="cs"/>
          <w:rtl/>
        </w:rPr>
        <w:t xml:space="preserve"> בביאור דברי </w:t>
      </w:r>
      <w:r w:rsidRPr="00073C99">
        <w:rPr>
          <w:rStyle w:val="af9"/>
          <w:rFonts w:hint="cs"/>
          <w:rtl/>
        </w:rPr>
        <w:t>הרמב"ן</w:t>
      </w:r>
      <w:r>
        <w:rPr>
          <w:rFonts w:hint="cs"/>
          <w:rtl/>
        </w:rPr>
        <w:t>.</w:t>
      </w:r>
      <w:bookmarkEnd w:id="10779"/>
    </w:p>
    <w:p w:rsidR="006A4297" w:rsidRPr="0092528E" w:rsidRDefault="006A4297" w:rsidP="006A4297">
      <w:pPr>
        <w:pStyle w:val="a3"/>
        <w:rPr>
          <w:rtl/>
        </w:rPr>
      </w:pPr>
      <w:bookmarkStart w:id="10780" w:name="_Toc60678258"/>
      <w:bookmarkStart w:id="10781" w:name="_Toc60612655"/>
      <w:r>
        <w:rPr>
          <w:rFonts w:hint="cs"/>
          <w:rtl/>
        </w:rPr>
        <w:t>דברי הדרישה דהרמב"ן ס"ל כרשב"א בתוס' דס"ל לרמב"ן דטעם טענינן דעומד במקום המוכר</w:t>
      </w:r>
      <w:bookmarkEnd w:id="10780"/>
    </w:p>
    <w:p w:rsidR="006A4297" w:rsidRDefault="006A4297" w:rsidP="007E4E81">
      <w:pPr>
        <w:pStyle w:val="a0"/>
        <w:rPr>
          <w:rtl/>
        </w:rPr>
      </w:pPr>
      <w:bookmarkStart w:id="10782" w:name="_Ref60694152"/>
      <w:r>
        <w:rPr>
          <w:rFonts w:hint="cs"/>
          <w:rtl/>
        </w:rPr>
        <w:t xml:space="preserve">וכ"כ </w:t>
      </w:r>
      <w:r w:rsidRPr="008A5611">
        <w:rPr>
          <w:rStyle w:val="af9"/>
          <w:rFonts w:hint="cs"/>
          <w:rtl/>
        </w:rPr>
        <w:t>הדרישה</w:t>
      </w:r>
      <w:r w:rsidRPr="008A5611">
        <w:rPr>
          <w:rStyle w:val="af7"/>
          <w:rFonts w:eastAsia="Guttman Hodes" w:hint="cs"/>
          <w:rtl/>
        </w:rPr>
        <w:t xml:space="preserve"> (סי' קמ"ו ריש סקכ"ד ד"ה ודע שהרמב"ן) </w:t>
      </w:r>
      <w:r w:rsidRPr="008A5611">
        <w:rPr>
          <w:rStyle w:val="af9"/>
          <w:rFonts w:hint="cs"/>
          <w:rtl/>
        </w:rPr>
        <w:t>דהרמב"ן</w:t>
      </w:r>
      <w:r w:rsidRPr="008A5611">
        <w:rPr>
          <w:rFonts w:hint="cs"/>
          <w:rtl/>
        </w:rPr>
        <w:t xml:space="preserve"> </w:t>
      </w:r>
      <w:r w:rsidRPr="00A6731D">
        <w:rPr>
          <w:rStyle w:val="af7"/>
          <w:rFonts w:eastAsia="Guttman Hodes" w:hint="cs"/>
          <w:rtl/>
        </w:rPr>
        <w:t xml:space="preserve">(עי' אות </w:t>
      </w:r>
      <w:r w:rsidRPr="00A6731D">
        <w:rPr>
          <w:rStyle w:val="af7"/>
          <w:rFonts w:eastAsia="Guttman Hodes"/>
          <w:rtl/>
        </w:rPr>
        <w:fldChar w:fldCharType="begin"/>
      </w:r>
      <w:r w:rsidRPr="00A6731D">
        <w:rPr>
          <w:rStyle w:val="af7"/>
          <w:rFonts w:eastAsia="Guttman Hodes"/>
          <w:rtl/>
        </w:rPr>
        <w:instrText xml:space="preserve"> </w:instrText>
      </w:r>
      <w:r w:rsidRPr="00A6731D">
        <w:rPr>
          <w:rStyle w:val="af7"/>
          <w:rFonts w:eastAsia="Guttman Hodes" w:hint="cs"/>
        </w:rPr>
        <w:instrText>REF</w:instrText>
      </w:r>
      <w:r w:rsidRPr="00A6731D">
        <w:rPr>
          <w:rStyle w:val="af7"/>
          <w:rFonts w:eastAsia="Guttman Hodes" w:hint="cs"/>
          <w:rtl/>
        </w:rPr>
        <w:instrText xml:space="preserve"> _</w:instrText>
      </w:r>
      <w:r w:rsidRPr="00A6731D">
        <w:rPr>
          <w:rStyle w:val="af7"/>
          <w:rFonts w:eastAsia="Guttman Hodes" w:hint="cs"/>
        </w:rPr>
        <w:instrText>Ref60677442 \r \h</w:instrText>
      </w:r>
      <w:r w:rsidRPr="00A6731D">
        <w:rPr>
          <w:rStyle w:val="af7"/>
          <w:rFonts w:eastAsia="Guttman Hodes"/>
          <w:rtl/>
        </w:rPr>
        <w:instrText xml:space="preserve"> </w:instrText>
      </w:r>
      <w:r w:rsidRPr="00A6731D">
        <w:rPr>
          <w:rStyle w:val="af7"/>
          <w:rFonts w:eastAsia="Guttman Hodes"/>
          <w:rtl/>
        </w:rPr>
      </w:r>
      <w:r w:rsidRPr="00A6731D">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A6731D">
        <w:rPr>
          <w:rStyle w:val="af7"/>
          <w:rFonts w:eastAsia="Guttman Hodes"/>
          <w:rtl/>
        </w:rPr>
        <w:fldChar w:fldCharType="end"/>
      </w:r>
      <w:r w:rsidRPr="008A5611">
        <w:rPr>
          <w:rFonts w:hint="cs"/>
          <w:rtl/>
        </w:rPr>
        <w:t xml:space="preserve"> ס"ל כדעת </w:t>
      </w:r>
      <w:r w:rsidRPr="008A5611">
        <w:rPr>
          <w:rStyle w:val="af9"/>
          <w:rFonts w:hint="cs"/>
          <w:rtl/>
        </w:rPr>
        <w:t>הרשב"א</w:t>
      </w:r>
      <w:r w:rsidRPr="008A5611">
        <w:rPr>
          <w:rFonts w:hint="cs"/>
          <w:rtl/>
        </w:rPr>
        <w:t xml:space="preserve"> </w:t>
      </w:r>
      <w:r w:rsidRPr="00DD5FCD">
        <w:rPr>
          <w:rStyle w:val="af9"/>
          <w:rFonts w:hint="cs"/>
          <w:rtl/>
        </w:rPr>
        <w:t>בתוס'</w:t>
      </w:r>
      <w:r>
        <w:rPr>
          <w:rFonts w:hint="cs"/>
          <w:rtl/>
        </w:rPr>
        <w:t xml:space="preserve"> </w:t>
      </w:r>
      <w:r w:rsidRPr="001D1FA3">
        <w:rPr>
          <w:rStyle w:val="af7"/>
          <w:rFonts w:eastAsia="Guttman Hodes" w:hint="cs"/>
          <w:rtl/>
        </w:rPr>
        <w:t xml:space="preserve">(עי' אות </w:t>
      </w:r>
      <w:r w:rsidRPr="001D1FA3">
        <w:rPr>
          <w:rStyle w:val="af7"/>
          <w:rFonts w:eastAsia="Guttman Hodes"/>
          <w:rtl/>
        </w:rPr>
        <w:fldChar w:fldCharType="begin"/>
      </w:r>
      <w:r w:rsidRPr="001D1FA3">
        <w:rPr>
          <w:rStyle w:val="af7"/>
          <w:rFonts w:eastAsia="Guttman Hodes"/>
          <w:rtl/>
        </w:rPr>
        <w:instrText xml:space="preserve"> </w:instrText>
      </w:r>
      <w:r w:rsidRPr="001D1FA3">
        <w:rPr>
          <w:rStyle w:val="af7"/>
          <w:rFonts w:eastAsia="Guttman Hodes" w:hint="cs"/>
        </w:rPr>
        <w:instrText>REF</w:instrText>
      </w:r>
      <w:r w:rsidRPr="001D1FA3">
        <w:rPr>
          <w:rStyle w:val="af7"/>
          <w:rFonts w:eastAsia="Guttman Hodes" w:hint="cs"/>
          <w:rtl/>
        </w:rPr>
        <w:instrText xml:space="preserve"> _</w:instrText>
      </w:r>
      <w:r w:rsidRPr="001D1FA3">
        <w:rPr>
          <w:rStyle w:val="af7"/>
          <w:rFonts w:eastAsia="Guttman Hodes" w:hint="cs"/>
        </w:rPr>
        <w:instrText>Ref60342515 \r \h</w:instrText>
      </w:r>
      <w:r w:rsidRPr="001D1FA3">
        <w:rPr>
          <w:rStyle w:val="af7"/>
          <w:rFonts w:eastAsia="Guttman Hodes"/>
          <w:rtl/>
        </w:rPr>
        <w:instrText xml:space="preserve"> </w:instrText>
      </w:r>
      <w:r w:rsidRPr="001D1FA3">
        <w:rPr>
          <w:rStyle w:val="af7"/>
          <w:rFonts w:eastAsia="Guttman Hodes"/>
          <w:rtl/>
        </w:rPr>
      </w:r>
      <w:r w:rsidRPr="001D1FA3">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1D1FA3">
        <w:rPr>
          <w:rStyle w:val="af7"/>
          <w:rFonts w:eastAsia="Guttman Hodes"/>
          <w:rtl/>
        </w:rPr>
        <w:fldChar w:fldCharType="end"/>
      </w:r>
      <w:r w:rsidRPr="008A5611">
        <w:rPr>
          <w:rFonts w:hint="cs"/>
          <w:rtl/>
        </w:rPr>
        <w:t xml:space="preserve"> דאף שאין למחזיק חזקת ג"ש, ו</w:t>
      </w:r>
      <w:r>
        <w:rPr>
          <w:rFonts w:hint="cs"/>
          <w:rtl/>
        </w:rPr>
        <w:t>ה</w:t>
      </w:r>
      <w:r w:rsidRPr="008A5611">
        <w:rPr>
          <w:rFonts w:hint="cs"/>
          <w:rtl/>
        </w:rPr>
        <w:t xml:space="preserve">ודה </w:t>
      </w:r>
      <w:r>
        <w:rPr>
          <w:rFonts w:hint="cs"/>
          <w:rtl/>
        </w:rPr>
        <w:t xml:space="preserve">המחזיק </w:t>
      </w:r>
      <w:r w:rsidRPr="008A5611">
        <w:rPr>
          <w:rFonts w:hint="cs"/>
          <w:rtl/>
        </w:rPr>
        <w:t xml:space="preserve">שהייתה של המערער, מ"מ כל שטען קמי דידי דר בה חד יומא, א"א להוציא ממנו כיון שאין למערער עדים שהייתה שלו, </w:t>
      </w:r>
      <w:r>
        <w:rPr>
          <w:rFonts w:hint="cs"/>
          <w:rtl/>
        </w:rPr>
        <w:t xml:space="preserve">וביאר </w:t>
      </w:r>
      <w:r w:rsidRPr="007415BA">
        <w:rPr>
          <w:rStyle w:val="af9"/>
          <w:rFonts w:hint="cs"/>
          <w:rtl/>
        </w:rPr>
        <w:t>הרמב"ן</w:t>
      </w:r>
      <w:r>
        <w:rPr>
          <w:rFonts w:hint="cs"/>
          <w:rtl/>
        </w:rPr>
        <w:t xml:space="preserve"> דהטעם דטענינן ליה, הוא כדברי </w:t>
      </w:r>
      <w:r w:rsidRPr="007415BA">
        <w:rPr>
          <w:rStyle w:val="af9"/>
          <w:rFonts w:hint="cs"/>
          <w:rtl/>
        </w:rPr>
        <w:t>הרשב"א בתוס'</w:t>
      </w:r>
      <w:r>
        <w:rPr>
          <w:rFonts w:hint="cs"/>
          <w:rtl/>
        </w:rPr>
        <w:t xml:space="preserve"> </w:t>
      </w:r>
      <w:r w:rsidRPr="00D92947">
        <w:rPr>
          <w:rStyle w:val="afb"/>
          <w:rFonts w:hint="cs"/>
          <w:rtl/>
        </w:rPr>
        <w:t>[כדביאר</w:t>
      </w:r>
      <w:r>
        <w:rPr>
          <w:rFonts w:hint="cs"/>
          <w:rtl/>
        </w:rPr>
        <w:t xml:space="preserve"> </w:t>
      </w:r>
      <w:r w:rsidRPr="00D92947">
        <w:rPr>
          <w:rStyle w:val="affa"/>
          <w:rFonts w:hint="cs"/>
          <w:rtl/>
        </w:rPr>
        <w:t>הדרישה</w:t>
      </w:r>
      <w:r>
        <w:rPr>
          <w:rFonts w:hint="cs"/>
          <w:rtl/>
        </w:rPr>
        <w:t xml:space="preserve"> </w:t>
      </w:r>
      <w:r w:rsidRPr="00F846D6">
        <w:rPr>
          <w:rStyle w:val="aff6"/>
          <w:rtl/>
        </w:rPr>
        <w:t xml:space="preserve">(עי' אות </w:t>
      </w:r>
      <w:r w:rsidRPr="00F846D6">
        <w:rPr>
          <w:rStyle w:val="aff6"/>
          <w:rtl/>
        </w:rPr>
        <w:fldChar w:fldCharType="begin"/>
      </w:r>
      <w:r w:rsidRPr="00F846D6">
        <w:rPr>
          <w:rStyle w:val="aff6"/>
          <w:rtl/>
        </w:rPr>
        <w:instrText xml:space="preserve"> </w:instrText>
      </w:r>
      <w:r w:rsidRPr="00F846D6">
        <w:rPr>
          <w:rStyle w:val="aff6"/>
        </w:rPr>
        <w:instrText>REF</w:instrText>
      </w:r>
      <w:r w:rsidRPr="00F846D6">
        <w:rPr>
          <w:rStyle w:val="aff6"/>
          <w:rtl/>
        </w:rPr>
        <w:instrText xml:space="preserve"> _</w:instrText>
      </w:r>
      <w:r w:rsidRPr="00F846D6">
        <w:rPr>
          <w:rStyle w:val="aff6"/>
        </w:rPr>
        <w:instrText>Ref60343299 \r \h</w:instrText>
      </w:r>
      <w:r w:rsidRPr="00F846D6">
        <w:rPr>
          <w:rStyle w:val="aff6"/>
          <w:rtl/>
        </w:rPr>
        <w:instrText xml:space="preserve"> </w:instrText>
      </w:r>
      <w:r w:rsidRPr="00F846D6">
        <w:rPr>
          <w:rStyle w:val="aff6"/>
          <w:rtl/>
        </w:rPr>
      </w:r>
      <w:r w:rsidRPr="00F846D6">
        <w:rPr>
          <w:rStyle w:val="aff6"/>
          <w:rtl/>
        </w:rPr>
        <w:fldChar w:fldCharType="separate"/>
      </w:r>
      <w:r w:rsidR="00265073">
        <w:rPr>
          <w:rStyle w:val="aff6"/>
          <w:cs/>
        </w:rPr>
        <w:t>‎</w:t>
      </w:r>
      <w:r w:rsidR="00265073">
        <w:rPr>
          <w:rStyle w:val="aff6"/>
          <w:rtl/>
        </w:rPr>
        <w:t>עא)</w:t>
      </w:r>
      <w:r w:rsidRPr="00F846D6">
        <w:rPr>
          <w:rStyle w:val="aff6"/>
          <w:rtl/>
        </w:rPr>
        <w:fldChar w:fldCharType="end"/>
      </w:r>
      <w:r>
        <w:rPr>
          <w:rStyle w:val="afb"/>
          <w:rFonts w:hint="cs"/>
          <w:rtl/>
        </w:rPr>
        <w:t xml:space="preserve"> </w:t>
      </w:r>
      <w:r w:rsidRPr="00D92947">
        <w:rPr>
          <w:rStyle w:val="afb"/>
          <w:rFonts w:hint="cs"/>
          <w:rtl/>
        </w:rPr>
        <w:t>בדבריו],</w:t>
      </w:r>
      <w:r>
        <w:rPr>
          <w:rFonts w:hint="cs"/>
          <w:rtl/>
        </w:rPr>
        <w:t xml:space="preserve"> דהמחזיק עומד במקום המוכר, </w:t>
      </w:r>
      <w:r w:rsidRPr="008A5611">
        <w:rPr>
          <w:rFonts w:hint="cs"/>
          <w:rtl/>
        </w:rPr>
        <w:t>ו</w:t>
      </w:r>
      <w:r>
        <w:rPr>
          <w:rFonts w:hint="cs"/>
          <w:rtl/>
        </w:rPr>
        <w:t xml:space="preserve">ביאר </w:t>
      </w:r>
      <w:r w:rsidRPr="007415BA">
        <w:rPr>
          <w:rStyle w:val="af9"/>
          <w:rFonts w:hint="cs"/>
          <w:rtl/>
        </w:rPr>
        <w:t>הדרישה</w:t>
      </w:r>
      <w:r>
        <w:rPr>
          <w:rFonts w:hint="cs"/>
          <w:rtl/>
        </w:rPr>
        <w:t xml:space="preserve"> דזו כוונת </w:t>
      </w:r>
      <w:r w:rsidRPr="007415BA">
        <w:rPr>
          <w:rStyle w:val="af9"/>
          <w:rFonts w:hint="cs"/>
          <w:rtl/>
        </w:rPr>
        <w:t>הרמב"ן</w:t>
      </w:r>
      <w:r>
        <w:rPr>
          <w:rFonts w:hint="cs"/>
          <w:rtl/>
        </w:rPr>
        <w:t xml:space="preserve"> דכתב </w:t>
      </w:r>
      <w:r w:rsidRPr="008A5611">
        <w:rPr>
          <w:rFonts w:hint="cs"/>
          <w:rtl/>
        </w:rPr>
        <w:t xml:space="preserve">כמו שלא היו מוציאים מיד המוכר </w:t>
      </w:r>
      <w:r>
        <w:rPr>
          <w:rFonts w:hint="cs"/>
          <w:rtl/>
        </w:rPr>
        <w:t>דהוא ודאי וודאי</w:t>
      </w:r>
      <w:r w:rsidRPr="008A5611">
        <w:rPr>
          <w:rFonts w:hint="cs"/>
          <w:rtl/>
        </w:rPr>
        <w:t>, ה"ה דא"א להוציא מיד המחזיק</w:t>
      </w:r>
      <w:r>
        <w:rPr>
          <w:rFonts w:hint="cs"/>
          <w:rtl/>
        </w:rPr>
        <w:t>.</w:t>
      </w:r>
      <w:bookmarkEnd w:id="10782"/>
    </w:p>
    <w:p w:rsidR="006A4297" w:rsidRPr="005B054C" w:rsidRDefault="006A4297" w:rsidP="006A4297">
      <w:pPr>
        <w:pStyle w:val="a3"/>
      </w:pPr>
      <w:bookmarkStart w:id="10783" w:name="_Toc60678259"/>
      <w:r>
        <w:rPr>
          <w:rFonts w:hint="cs"/>
          <w:rtl/>
        </w:rPr>
        <w:t>דברי הדרישה דהראיה שהביא הרשב"א בתוס' מהגמ' לקמן כן הביא הרמב"ן ממת הנפקד</w:t>
      </w:r>
      <w:bookmarkEnd w:id="10783"/>
    </w:p>
    <w:p w:rsidR="006A4297" w:rsidRDefault="006A4297" w:rsidP="007E4E81">
      <w:pPr>
        <w:pStyle w:val="a0"/>
        <w:rPr>
          <w:rtl/>
        </w:rPr>
      </w:pPr>
      <w:bookmarkStart w:id="10784" w:name="_Ref60694184"/>
      <w:r>
        <w:rPr>
          <w:rFonts w:hint="cs"/>
          <w:rtl/>
        </w:rPr>
        <w:t xml:space="preserve">והוסיף </w:t>
      </w:r>
      <w:r w:rsidRPr="003D5F87">
        <w:rPr>
          <w:rStyle w:val="af9"/>
          <w:rFonts w:hint="cs"/>
          <w:rtl/>
        </w:rPr>
        <w:t>הדרישה</w:t>
      </w:r>
      <w:r>
        <w:rPr>
          <w:rFonts w:hint="cs"/>
          <w:rtl/>
        </w:rPr>
        <w:t xml:space="preserve"> דהראיה שהביא </w:t>
      </w:r>
      <w:r w:rsidRPr="003D5F87">
        <w:rPr>
          <w:rStyle w:val="af9"/>
          <w:rFonts w:hint="cs"/>
          <w:rtl/>
        </w:rPr>
        <w:t>הרמב</w:t>
      </w:r>
      <w:r w:rsidRPr="00141687">
        <w:rPr>
          <w:rStyle w:val="af9"/>
          <w:rFonts w:hint="cs"/>
          <w:rtl/>
        </w:rPr>
        <w:t>"ן</w:t>
      </w:r>
      <w:r w:rsidRPr="00A6731D">
        <w:rPr>
          <w:rStyle w:val="af7"/>
          <w:rFonts w:eastAsia="Guttman Hodes" w:hint="cs"/>
          <w:rtl/>
        </w:rPr>
        <w:t xml:space="preserve"> (עי' אות </w:t>
      </w:r>
      <w:r w:rsidRPr="00A6731D">
        <w:rPr>
          <w:rStyle w:val="af7"/>
          <w:rFonts w:eastAsia="Guttman Hodes"/>
          <w:rtl/>
        </w:rPr>
        <w:fldChar w:fldCharType="begin"/>
      </w:r>
      <w:r w:rsidRPr="00A6731D">
        <w:rPr>
          <w:rStyle w:val="af7"/>
          <w:rFonts w:eastAsia="Guttman Hodes"/>
          <w:rtl/>
        </w:rPr>
        <w:instrText xml:space="preserve"> </w:instrText>
      </w:r>
      <w:r w:rsidRPr="00A6731D">
        <w:rPr>
          <w:rStyle w:val="af7"/>
          <w:rFonts w:eastAsia="Guttman Hodes" w:hint="cs"/>
        </w:rPr>
        <w:instrText>REF</w:instrText>
      </w:r>
      <w:r w:rsidRPr="00A6731D">
        <w:rPr>
          <w:rStyle w:val="af7"/>
          <w:rFonts w:eastAsia="Guttman Hodes" w:hint="cs"/>
          <w:rtl/>
        </w:rPr>
        <w:instrText xml:space="preserve"> _</w:instrText>
      </w:r>
      <w:r w:rsidRPr="00A6731D">
        <w:rPr>
          <w:rStyle w:val="af7"/>
          <w:rFonts w:eastAsia="Guttman Hodes" w:hint="cs"/>
        </w:rPr>
        <w:instrText>Ref60356919 \r \h</w:instrText>
      </w:r>
      <w:r w:rsidRPr="00A6731D">
        <w:rPr>
          <w:rStyle w:val="af7"/>
          <w:rFonts w:eastAsia="Guttman Hodes"/>
          <w:rtl/>
        </w:rPr>
        <w:instrText xml:space="preserve"> </w:instrText>
      </w:r>
      <w:r w:rsidRPr="00A6731D">
        <w:rPr>
          <w:rStyle w:val="af7"/>
          <w:rFonts w:eastAsia="Guttman Hodes"/>
          <w:rtl/>
        </w:rPr>
      </w:r>
      <w:r w:rsidRPr="00A6731D">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A6731D">
        <w:rPr>
          <w:rStyle w:val="af7"/>
          <w:rFonts w:eastAsia="Guttman Hodes"/>
          <w:rtl/>
        </w:rPr>
        <w:fldChar w:fldCharType="end"/>
      </w:r>
      <w:r w:rsidRPr="003D5F87">
        <w:rPr>
          <w:rStyle w:val="af7"/>
          <w:rFonts w:eastAsia="Guttman Hodes" w:hint="cs"/>
          <w:rtl/>
        </w:rPr>
        <w:t xml:space="preserve"> </w:t>
      </w:r>
      <w:r w:rsidRPr="00E06F9A">
        <w:rPr>
          <w:rtl/>
        </w:rPr>
        <w:t>מהא דהמפקיד אצל חבירו בעדים ומת,</w:t>
      </w:r>
      <w:r>
        <w:rPr>
          <w:rFonts w:hint="cs"/>
          <w:rtl/>
        </w:rPr>
        <w:t xml:space="preserve"> זו אותה הראיה שהביא </w:t>
      </w:r>
      <w:r w:rsidRPr="003D5F87">
        <w:rPr>
          <w:rStyle w:val="af9"/>
          <w:rFonts w:hint="cs"/>
          <w:rtl/>
        </w:rPr>
        <w:t xml:space="preserve">הרשב"א בתוס' </w:t>
      </w:r>
      <w:r w:rsidRPr="003D5F87">
        <w:rPr>
          <w:rStyle w:val="af7"/>
          <w:rFonts w:eastAsia="Guttman Hodes" w:hint="cs"/>
          <w:rtl/>
        </w:rPr>
        <w:t xml:space="preserve">(עי' אות </w:t>
      </w:r>
      <w:r w:rsidRPr="003D5F87">
        <w:rPr>
          <w:rStyle w:val="af7"/>
          <w:rFonts w:eastAsia="Guttman Hodes"/>
          <w:rtl/>
        </w:rPr>
        <w:fldChar w:fldCharType="begin"/>
      </w:r>
      <w:r w:rsidRPr="003D5F87">
        <w:rPr>
          <w:rStyle w:val="af7"/>
          <w:rFonts w:eastAsia="Guttman Hodes"/>
          <w:rtl/>
        </w:rPr>
        <w:instrText xml:space="preserve"> </w:instrText>
      </w:r>
      <w:r w:rsidRPr="003D5F87">
        <w:rPr>
          <w:rStyle w:val="af7"/>
          <w:rFonts w:eastAsia="Guttman Hodes" w:hint="cs"/>
        </w:rPr>
        <w:instrText>REF</w:instrText>
      </w:r>
      <w:r w:rsidRPr="003D5F87">
        <w:rPr>
          <w:rStyle w:val="af7"/>
          <w:rFonts w:eastAsia="Guttman Hodes" w:hint="cs"/>
          <w:rtl/>
        </w:rPr>
        <w:instrText xml:space="preserve"> _</w:instrText>
      </w:r>
      <w:r w:rsidRPr="003D5F87">
        <w:rPr>
          <w:rStyle w:val="af7"/>
          <w:rFonts w:eastAsia="Guttman Hodes" w:hint="cs"/>
        </w:rPr>
        <w:instrText>Ref60343319 \r \h</w:instrText>
      </w:r>
      <w:r w:rsidRPr="003D5F87">
        <w:rPr>
          <w:rStyle w:val="af7"/>
          <w:rFonts w:eastAsia="Guttman Hodes"/>
          <w:rtl/>
        </w:rPr>
        <w:instrText xml:space="preserve"> </w:instrText>
      </w:r>
      <w:r w:rsidRPr="003D5F87">
        <w:rPr>
          <w:rStyle w:val="af7"/>
          <w:rFonts w:eastAsia="Guttman Hodes"/>
          <w:rtl/>
        </w:rPr>
      </w:r>
      <w:r w:rsidRPr="003D5F87">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3D5F87">
        <w:rPr>
          <w:rStyle w:val="af7"/>
          <w:rFonts w:eastAsia="Guttman Hodes"/>
          <w:rtl/>
        </w:rPr>
        <w:fldChar w:fldCharType="end"/>
      </w:r>
      <w:r>
        <w:rPr>
          <w:rFonts w:hint="cs"/>
          <w:rtl/>
        </w:rPr>
        <w:t xml:space="preserve"> מהגמ' לקמן, ועיי"ש במה שביאר </w:t>
      </w:r>
      <w:r w:rsidRPr="003D5F87">
        <w:rPr>
          <w:rStyle w:val="af9"/>
          <w:rFonts w:hint="cs"/>
          <w:rtl/>
        </w:rPr>
        <w:t>הדרישה</w:t>
      </w:r>
      <w:r>
        <w:rPr>
          <w:rFonts w:hint="cs"/>
          <w:rtl/>
        </w:rPr>
        <w:t xml:space="preserve"> לפי"ז את דברי </w:t>
      </w:r>
      <w:r w:rsidRPr="003D5F87">
        <w:rPr>
          <w:rStyle w:val="af9"/>
          <w:rFonts w:hint="cs"/>
          <w:rtl/>
        </w:rPr>
        <w:t>הטור</w:t>
      </w:r>
      <w:r>
        <w:rPr>
          <w:rFonts w:hint="cs"/>
          <w:rtl/>
        </w:rPr>
        <w:t xml:space="preserve"> </w:t>
      </w:r>
      <w:r w:rsidRPr="003D5F87">
        <w:rPr>
          <w:rStyle w:val="af7"/>
          <w:rFonts w:eastAsia="Guttman Hodes" w:hint="cs"/>
          <w:rtl/>
        </w:rPr>
        <w:t>(סי' קמ"ו י"ג)</w:t>
      </w:r>
      <w:r>
        <w:rPr>
          <w:rFonts w:hint="cs"/>
          <w:rtl/>
        </w:rPr>
        <w:t>.</w:t>
      </w:r>
      <w:bookmarkEnd w:id="10784"/>
    </w:p>
    <w:p w:rsidR="006A4297" w:rsidRDefault="006A4297" w:rsidP="006A4297">
      <w:pPr>
        <w:pStyle w:val="afe"/>
        <w:rPr>
          <w:rtl/>
        </w:rPr>
      </w:pPr>
      <w:bookmarkStart w:id="10785" w:name="_Toc60678260"/>
      <w:bookmarkStart w:id="10786" w:name="_Toc60616498"/>
      <w:r>
        <w:rPr>
          <w:rFonts w:hint="cs"/>
          <w:rtl/>
        </w:rPr>
        <w:t>בי' המהרש"א דנח' אף בטענת חד יומא</w:t>
      </w:r>
      <w:bookmarkEnd w:id="10785"/>
    </w:p>
    <w:p w:rsidR="006A4297" w:rsidRDefault="006A4297" w:rsidP="006A4297">
      <w:pPr>
        <w:pStyle w:val="1"/>
        <w:rPr>
          <w:rtl/>
        </w:rPr>
      </w:pPr>
      <w:bookmarkStart w:id="10787" w:name="_Toc60678261"/>
      <w:r>
        <w:rPr>
          <w:rFonts w:hint="cs"/>
          <w:rtl/>
        </w:rPr>
        <w:t>דברי הגליון תוס' והמהרש"א</w:t>
      </w:r>
      <w:bookmarkEnd w:id="10777"/>
      <w:bookmarkEnd w:id="10778"/>
      <w:r>
        <w:rPr>
          <w:rFonts w:hint="cs"/>
          <w:rtl/>
        </w:rPr>
        <w:t xml:space="preserve"> דר"י פליג על תחילת דברי תוס'</w:t>
      </w:r>
      <w:bookmarkEnd w:id="10781"/>
      <w:bookmarkEnd w:id="10786"/>
      <w:bookmarkEnd w:id="10787"/>
    </w:p>
    <w:p w:rsidR="006A4297" w:rsidRDefault="006A4297" w:rsidP="006A4297">
      <w:pPr>
        <w:pStyle w:val="a3"/>
        <w:rPr>
          <w:rtl/>
        </w:rPr>
      </w:pPr>
      <w:bookmarkStart w:id="10788" w:name="_Toc60612656"/>
      <w:bookmarkStart w:id="10789" w:name="_Toc60616499"/>
      <w:bookmarkStart w:id="10790" w:name="_Toc60678262"/>
      <w:r>
        <w:rPr>
          <w:rFonts w:hint="cs"/>
          <w:rtl/>
        </w:rPr>
        <w:t>דברי הגליון תוס' דמ"ש התוס' דנאמן בטענת חד יומא במיגו אפש"ל דלר"י ל"מ המיגו למחזיק</w:t>
      </w:r>
      <w:bookmarkEnd w:id="10788"/>
      <w:bookmarkEnd w:id="10789"/>
      <w:bookmarkEnd w:id="10790"/>
    </w:p>
    <w:p w:rsidR="006A4297" w:rsidRDefault="006A4297" w:rsidP="007E4E81">
      <w:pPr>
        <w:pStyle w:val="a0"/>
      </w:pPr>
      <w:bookmarkStart w:id="10791" w:name="_Ref60640974"/>
      <w:r>
        <w:rPr>
          <w:rFonts w:hint="cs"/>
          <w:rtl/>
        </w:rPr>
        <w:t xml:space="preserve">במ"ש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184C46">
        <w:rPr>
          <w:rStyle w:val="af7"/>
          <w:rFonts w:eastAsia="Guttman Hodes" w:hint="cs"/>
          <w:rtl/>
        </w:rPr>
        <w:t xml:space="preserve">(עי' אות </w:t>
      </w:r>
      <w:r w:rsidRPr="00184C46">
        <w:rPr>
          <w:rStyle w:val="af7"/>
          <w:rFonts w:eastAsia="Guttman Hodes"/>
          <w:rtl/>
        </w:rPr>
        <w:fldChar w:fldCharType="begin"/>
      </w:r>
      <w:r w:rsidRPr="00184C46">
        <w:rPr>
          <w:rStyle w:val="af7"/>
          <w:rFonts w:eastAsia="Guttman Hodes"/>
          <w:rtl/>
        </w:rPr>
        <w:instrText xml:space="preserve"> </w:instrText>
      </w:r>
      <w:r w:rsidRPr="00184C46">
        <w:rPr>
          <w:rStyle w:val="af7"/>
          <w:rFonts w:eastAsia="Guttman Hodes" w:hint="cs"/>
        </w:rPr>
        <w:instrText>REF</w:instrText>
      </w:r>
      <w:r w:rsidRPr="00184C46">
        <w:rPr>
          <w:rStyle w:val="af7"/>
          <w:rFonts w:eastAsia="Guttman Hodes" w:hint="cs"/>
          <w:rtl/>
        </w:rPr>
        <w:instrText xml:space="preserve"> _</w:instrText>
      </w:r>
      <w:r w:rsidRPr="00184C46">
        <w:rPr>
          <w:rStyle w:val="af7"/>
          <w:rFonts w:eastAsia="Guttman Hodes" w:hint="cs"/>
        </w:rPr>
        <w:instrText>Ref60243410 \r \h</w:instrText>
      </w:r>
      <w:r w:rsidRPr="00184C46">
        <w:rPr>
          <w:rStyle w:val="af7"/>
          <w:rFonts w:eastAsia="Guttman Hodes"/>
          <w:rtl/>
        </w:rPr>
        <w:instrText xml:space="preserve"> </w:instrText>
      </w:r>
      <w:r w:rsidRPr="00184C46">
        <w:rPr>
          <w:rStyle w:val="af7"/>
          <w:rFonts w:eastAsia="Guttman Hodes"/>
          <w:rtl/>
        </w:rPr>
      </w:r>
      <w:r w:rsidRPr="00184C46">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184C46">
        <w:rPr>
          <w:rStyle w:val="af7"/>
          <w:rFonts w:eastAsia="Guttman Hodes"/>
          <w:rtl/>
        </w:rPr>
        <w:fldChar w:fldCharType="end"/>
      </w:r>
      <w:r>
        <w:rPr>
          <w:rFonts w:hint="cs"/>
          <w:rtl/>
        </w:rPr>
        <w:t xml:space="preserve"> דבטוען קמי דידי דר בה חד יומא נאמן במיגו, אף כשאין למחזיק ג"ש, </w:t>
      </w:r>
      <w:r w:rsidRPr="00826465">
        <w:rPr>
          <w:rFonts w:hint="cs"/>
          <w:rtl/>
        </w:rPr>
        <w:t xml:space="preserve">כתב </w:t>
      </w:r>
      <w:r>
        <w:rPr>
          <w:rStyle w:val="af9"/>
          <w:rFonts w:hint="cs"/>
          <w:rtl/>
        </w:rPr>
        <w:t>ה</w:t>
      </w:r>
      <w:r w:rsidRPr="00826465">
        <w:rPr>
          <w:rStyle w:val="af9"/>
          <w:rFonts w:hint="cs"/>
          <w:rtl/>
        </w:rPr>
        <w:t>גליון תוס' בשיטמ"ק</w:t>
      </w:r>
      <w:r w:rsidRPr="00826465">
        <w:rPr>
          <w:rFonts w:hint="cs"/>
          <w:rtl/>
        </w:rPr>
        <w:t xml:space="preserve"> </w:t>
      </w:r>
      <w:r w:rsidRPr="00184C46">
        <w:rPr>
          <w:rStyle w:val="af7"/>
          <w:rFonts w:eastAsia="Guttman Hodes" w:hint="cs"/>
          <w:rtl/>
        </w:rPr>
        <w:t>(ד"ה ועל מה שכתבו)</w:t>
      </w:r>
      <w:r w:rsidRPr="00826465">
        <w:rPr>
          <w:rFonts w:hint="cs"/>
          <w:rtl/>
        </w:rPr>
        <w:t xml:space="preserve"> </w:t>
      </w:r>
      <w:r>
        <w:rPr>
          <w:rFonts w:hint="cs"/>
          <w:rtl/>
        </w:rPr>
        <w:t xml:space="preserve">דמ"מ לדברי </w:t>
      </w:r>
      <w:r w:rsidRPr="00777AAD">
        <w:rPr>
          <w:rStyle w:val="af9"/>
          <w:rFonts w:hint="cs"/>
          <w:rtl/>
        </w:rPr>
        <w:t>ר"י</w:t>
      </w:r>
      <w:r>
        <w:rPr>
          <w:rFonts w:hint="cs"/>
          <w:rtl/>
        </w:rPr>
        <w:t xml:space="preserve"> </w:t>
      </w:r>
      <w:r w:rsidRPr="00184C46">
        <w:rPr>
          <w:rStyle w:val="af7"/>
          <w:rFonts w:eastAsia="Guttman Hodes" w:hint="cs"/>
          <w:rtl/>
        </w:rPr>
        <w:t xml:space="preserve">(עי' אות </w:t>
      </w:r>
      <w:r w:rsidRPr="00184C46">
        <w:rPr>
          <w:rStyle w:val="af7"/>
          <w:rFonts w:eastAsia="Guttman Hodes"/>
          <w:rtl/>
        </w:rPr>
        <w:fldChar w:fldCharType="begin"/>
      </w:r>
      <w:r w:rsidRPr="00184C46">
        <w:rPr>
          <w:rStyle w:val="af7"/>
          <w:rFonts w:eastAsia="Guttman Hodes"/>
          <w:rtl/>
        </w:rPr>
        <w:instrText xml:space="preserve"> </w:instrText>
      </w:r>
      <w:r w:rsidRPr="00184C46">
        <w:rPr>
          <w:rStyle w:val="af7"/>
          <w:rFonts w:eastAsia="Guttman Hodes" w:hint="cs"/>
        </w:rPr>
        <w:instrText>REF</w:instrText>
      </w:r>
      <w:r w:rsidRPr="00184C46">
        <w:rPr>
          <w:rStyle w:val="af7"/>
          <w:rFonts w:eastAsia="Guttman Hodes" w:hint="cs"/>
          <w:rtl/>
        </w:rPr>
        <w:instrText xml:space="preserve"> _</w:instrText>
      </w:r>
      <w:r w:rsidRPr="00184C46">
        <w:rPr>
          <w:rStyle w:val="af7"/>
          <w:rFonts w:eastAsia="Guttman Hodes" w:hint="cs"/>
        </w:rPr>
        <w:instrText>Ref60343325 \r \h</w:instrText>
      </w:r>
      <w:r w:rsidRPr="00184C46">
        <w:rPr>
          <w:rStyle w:val="af7"/>
          <w:rFonts w:eastAsia="Guttman Hodes"/>
          <w:rtl/>
        </w:rPr>
        <w:instrText xml:space="preserve"> </w:instrText>
      </w:r>
      <w:r w:rsidRPr="00184C46">
        <w:rPr>
          <w:rStyle w:val="af7"/>
          <w:rFonts w:eastAsia="Guttman Hodes"/>
          <w:rtl/>
        </w:rPr>
      </w:r>
      <w:r w:rsidRPr="00184C46">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184C46">
        <w:rPr>
          <w:rStyle w:val="af7"/>
          <w:rFonts w:eastAsia="Guttman Hodes"/>
          <w:rtl/>
        </w:rPr>
        <w:fldChar w:fldCharType="end"/>
      </w:r>
      <w:r>
        <w:rPr>
          <w:rFonts w:hint="cs"/>
          <w:rtl/>
        </w:rPr>
        <w:t xml:space="preserve"> יש להסתפק בזה, </w:t>
      </w:r>
      <w:r>
        <w:rPr>
          <w:rFonts w:hint="cs"/>
          <w:rtl/>
        </w:rPr>
        <w:t xml:space="preserve">דאעפ"י שהמוכר דר בה חד יומא והיה נאמן במיגו דלא הייתה של המערער מעולם, מ"מ המחזיק יתכן שאינו נאמן במיגו זה, כיון דאם היה המוכר רוצה לזכות בשדה בטענה שלא הייתה של המערער מעולם, לא היה מעכב המחזיק את הקרקע בידו, </w:t>
      </w:r>
      <w:r w:rsidRPr="00556EA6">
        <w:rPr>
          <w:rStyle w:val="afb"/>
          <w:rFonts w:hint="cs"/>
          <w:rtl/>
        </w:rPr>
        <w:t>[כיון שהוא יודע שהייתה של המערער, וא"כ המוכר לא היה טוען טענה זו, דלא היה הלוקח קונה ממנו]</w:t>
      </w:r>
      <w:r>
        <w:rPr>
          <w:rStyle w:val="afb"/>
          <w:rFonts w:hint="cs"/>
          <w:rtl/>
        </w:rPr>
        <w:t>,</w:t>
      </w:r>
      <w:r w:rsidRPr="003D13C5">
        <w:rPr>
          <w:rFonts w:hint="cs"/>
          <w:rtl/>
        </w:rPr>
        <w:t xml:space="preserve"> </w:t>
      </w:r>
      <w:r>
        <w:rPr>
          <w:rFonts w:hint="cs"/>
          <w:rtl/>
        </w:rPr>
        <w:t xml:space="preserve">ועי' במה שביאר </w:t>
      </w:r>
      <w:r w:rsidRPr="00D55698">
        <w:rPr>
          <w:rStyle w:val="af9"/>
          <w:rFonts w:hint="cs"/>
          <w:rtl/>
        </w:rPr>
        <w:t>בחי' רבי ראובן</w:t>
      </w:r>
      <w:r>
        <w:rPr>
          <w:rFonts w:hint="cs"/>
          <w:rtl/>
        </w:rPr>
        <w:t xml:space="preserve"> </w:t>
      </w:r>
      <w:r w:rsidRPr="00184C46">
        <w:rPr>
          <w:rStyle w:val="af7"/>
          <w:rFonts w:eastAsia="Guttman Hodes" w:hint="cs"/>
          <w:rtl/>
        </w:rPr>
        <w:t xml:space="preserve">(עי' אות </w:t>
      </w:r>
      <w:r w:rsidRPr="00184C46">
        <w:rPr>
          <w:rStyle w:val="af7"/>
          <w:rFonts w:eastAsia="Guttman Hodes"/>
          <w:rtl/>
        </w:rPr>
        <w:fldChar w:fldCharType="begin"/>
      </w:r>
      <w:r w:rsidRPr="00184C46">
        <w:rPr>
          <w:rStyle w:val="af7"/>
          <w:rFonts w:eastAsia="Guttman Hodes"/>
          <w:rtl/>
        </w:rPr>
        <w:instrText xml:space="preserve"> </w:instrText>
      </w:r>
      <w:r w:rsidRPr="00184C46">
        <w:rPr>
          <w:rStyle w:val="af7"/>
          <w:rFonts w:eastAsia="Guttman Hodes" w:hint="cs"/>
        </w:rPr>
        <w:instrText>REF</w:instrText>
      </w:r>
      <w:r w:rsidRPr="00184C46">
        <w:rPr>
          <w:rStyle w:val="af7"/>
          <w:rFonts w:eastAsia="Guttman Hodes" w:hint="cs"/>
          <w:rtl/>
        </w:rPr>
        <w:instrText xml:space="preserve"> _</w:instrText>
      </w:r>
      <w:r w:rsidRPr="00184C46">
        <w:rPr>
          <w:rStyle w:val="af7"/>
          <w:rFonts w:eastAsia="Guttman Hodes" w:hint="cs"/>
        </w:rPr>
        <w:instrText>Ref60668017 \r \h</w:instrText>
      </w:r>
      <w:r w:rsidRPr="00184C46">
        <w:rPr>
          <w:rStyle w:val="af7"/>
          <w:rFonts w:eastAsia="Guttman Hodes"/>
          <w:rtl/>
        </w:rPr>
        <w:instrText xml:space="preserve"> </w:instrText>
      </w:r>
      <w:r w:rsidRPr="00184C46">
        <w:rPr>
          <w:rStyle w:val="af7"/>
          <w:rFonts w:eastAsia="Guttman Hodes"/>
          <w:rtl/>
        </w:rPr>
      </w:r>
      <w:r w:rsidRPr="00184C46">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sidRPr="00184C46">
        <w:rPr>
          <w:rStyle w:val="af7"/>
          <w:rFonts w:eastAsia="Guttman Hodes"/>
          <w:rtl/>
        </w:rPr>
        <w:fldChar w:fldCharType="end"/>
      </w:r>
      <w:r w:rsidRPr="00184C46">
        <w:rPr>
          <w:rStyle w:val="af7"/>
          <w:rFonts w:eastAsia="Guttman Hodes" w:hint="cs"/>
          <w:rtl/>
        </w:rPr>
        <w:t xml:space="preserve"> </w:t>
      </w:r>
      <w:r>
        <w:rPr>
          <w:rFonts w:hint="cs"/>
          <w:rtl/>
        </w:rPr>
        <w:t xml:space="preserve">בדעת </w:t>
      </w:r>
      <w:r>
        <w:rPr>
          <w:rStyle w:val="af9"/>
          <w:rFonts w:hint="cs"/>
          <w:rtl/>
        </w:rPr>
        <w:t>הגליון תוס'</w:t>
      </w:r>
      <w:r>
        <w:rPr>
          <w:rFonts w:hint="cs"/>
          <w:rtl/>
        </w:rPr>
        <w:t>.</w:t>
      </w:r>
      <w:r w:rsidRPr="00556EA6">
        <w:rPr>
          <w:rStyle w:val="afb"/>
          <w:rFonts w:hint="cs"/>
          <w:rtl/>
        </w:rPr>
        <w:t xml:space="preserve"> </w:t>
      </w:r>
      <w:bookmarkStart w:id="10792" w:name="_Toc60612657"/>
      <w:bookmarkStart w:id="10793" w:name="_Toc60616500"/>
      <w:bookmarkStart w:id="10794" w:name="_Toc60678263"/>
      <w:bookmarkEnd w:id="10791"/>
    </w:p>
    <w:p w:rsidR="006A4297" w:rsidRDefault="006A4297" w:rsidP="006A4297">
      <w:pPr>
        <w:pStyle w:val="a3"/>
        <w:rPr>
          <w:rtl/>
        </w:rPr>
      </w:pPr>
      <w:r>
        <w:rPr>
          <w:rFonts w:hint="cs"/>
          <w:rtl/>
        </w:rPr>
        <w:t>דברי המהרש"א דמ"ש התוס' דמהני טענת חד יומא במיגו הוא לרשב"א בתוס' דטענינן בלי מיגו</w:t>
      </w:r>
      <w:bookmarkEnd w:id="10792"/>
      <w:bookmarkEnd w:id="10793"/>
      <w:bookmarkEnd w:id="10794"/>
    </w:p>
    <w:p w:rsidR="006A4297" w:rsidRDefault="006A4297" w:rsidP="007E4E81">
      <w:pPr>
        <w:pStyle w:val="a0"/>
        <w:rPr>
          <w:rtl/>
        </w:rPr>
      </w:pPr>
      <w:bookmarkStart w:id="10795" w:name="_Ref60641043"/>
      <w:r>
        <w:rPr>
          <w:rFonts w:hint="cs"/>
          <w:rtl/>
        </w:rPr>
        <w:t>וכ"כ</w:t>
      </w:r>
      <w:r w:rsidRPr="00863F48">
        <w:rPr>
          <w:rStyle w:val="af9"/>
          <w:rFonts w:hint="cs"/>
          <w:rtl/>
        </w:rPr>
        <w:t xml:space="preserve"> </w:t>
      </w:r>
      <w:r w:rsidRPr="00670C9F">
        <w:rPr>
          <w:rStyle w:val="af9"/>
          <w:rFonts w:hint="cs"/>
          <w:rtl/>
        </w:rPr>
        <w:t>המהרש"א</w:t>
      </w:r>
      <w:r>
        <w:rPr>
          <w:rFonts w:hint="cs"/>
          <w:rtl/>
        </w:rPr>
        <w:t xml:space="preserve"> </w:t>
      </w:r>
      <w:r w:rsidRPr="005A74AF">
        <w:rPr>
          <w:rStyle w:val="af7"/>
          <w:rFonts w:eastAsia="Guttman Hodes" w:hint="cs"/>
          <w:rtl/>
        </w:rPr>
        <w:t xml:space="preserve">(ל. ד"ה בא"ד אי) </w:t>
      </w:r>
      <w:r>
        <w:rPr>
          <w:rFonts w:hint="cs"/>
          <w:rtl/>
        </w:rPr>
        <w:t xml:space="preserve">דמ"ש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9662A3">
        <w:rPr>
          <w:rStyle w:val="af7"/>
          <w:rFonts w:eastAsia="Guttman Hodes" w:hint="cs"/>
          <w:rtl/>
        </w:rPr>
        <w:t xml:space="preserve">(עי' אות </w:t>
      </w:r>
      <w:r w:rsidRPr="009662A3">
        <w:rPr>
          <w:rStyle w:val="af7"/>
          <w:rFonts w:eastAsia="Guttman Hodes"/>
          <w:rtl/>
        </w:rPr>
        <w:fldChar w:fldCharType="begin"/>
      </w:r>
      <w:r w:rsidRPr="009662A3">
        <w:rPr>
          <w:rStyle w:val="af7"/>
          <w:rFonts w:eastAsia="Guttman Hodes"/>
          <w:rtl/>
        </w:rPr>
        <w:instrText xml:space="preserve"> </w:instrText>
      </w:r>
      <w:r w:rsidRPr="009662A3">
        <w:rPr>
          <w:rStyle w:val="af7"/>
          <w:rFonts w:eastAsia="Guttman Hodes" w:hint="cs"/>
        </w:rPr>
        <w:instrText>REF</w:instrText>
      </w:r>
      <w:r w:rsidRPr="009662A3">
        <w:rPr>
          <w:rStyle w:val="af7"/>
          <w:rFonts w:eastAsia="Guttman Hodes" w:hint="cs"/>
          <w:rtl/>
        </w:rPr>
        <w:instrText xml:space="preserve"> _</w:instrText>
      </w:r>
      <w:r w:rsidRPr="009662A3">
        <w:rPr>
          <w:rStyle w:val="af7"/>
          <w:rFonts w:eastAsia="Guttman Hodes" w:hint="cs"/>
        </w:rPr>
        <w:instrText>Ref60243410 \r \h</w:instrText>
      </w:r>
      <w:r w:rsidRPr="009662A3">
        <w:rPr>
          <w:rStyle w:val="af7"/>
          <w:rFonts w:eastAsia="Guttman Hodes"/>
          <w:rtl/>
        </w:rPr>
        <w:instrText xml:space="preserve"> </w:instrText>
      </w:r>
      <w:r w:rsidRPr="009662A3">
        <w:rPr>
          <w:rStyle w:val="af7"/>
          <w:rFonts w:eastAsia="Guttman Hodes"/>
          <w:rtl/>
        </w:rPr>
      </w:r>
      <w:r w:rsidRPr="009662A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9662A3">
        <w:rPr>
          <w:rStyle w:val="af7"/>
          <w:rFonts w:eastAsia="Guttman Hodes"/>
          <w:rtl/>
        </w:rPr>
        <w:fldChar w:fldCharType="end"/>
      </w:r>
      <w:r>
        <w:rPr>
          <w:rFonts w:hint="cs"/>
          <w:rtl/>
        </w:rPr>
        <w:t xml:space="preserve"> דכל שטען המחזיק קמי דידי זבנה מינך, או קמי דידי דר בה חד יומא, הוא נאמן במיגו, דהיה יכול לטעון שלא הייתה של המערער מעולם, היינו רק לדעת </w:t>
      </w:r>
      <w:r w:rsidRPr="00670C9F">
        <w:rPr>
          <w:rStyle w:val="af9"/>
          <w:rFonts w:hint="cs"/>
          <w:rtl/>
        </w:rPr>
        <w:t>הרשב"א בתוס'</w:t>
      </w:r>
      <w:r>
        <w:rPr>
          <w:rFonts w:hint="cs"/>
          <w:rtl/>
        </w:rPr>
        <w:t xml:space="preserve"> </w:t>
      </w:r>
      <w:r w:rsidRPr="00BF4415">
        <w:rPr>
          <w:rStyle w:val="af7"/>
          <w:rFonts w:eastAsia="Guttman Hodes" w:hint="cs"/>
          <w:rtl/>
        </w:rPr>
        <w:t xml:space="preserve">(עי' אות </w:t>
      </w:r>
      <w:r w:rsidRPr="00BF4415">
        <w:rPr>
          <w:rStyle w:val="af7"/>
          <w:rFonts w:eastAsia="Guttman Hodes"/>
          <w:rtl/>
        </w:rPr>
        <w:fldChar w:fldCharType="begin"/>
      </w:r>
      <w:r w:rsidRPr="00BF4415">
        <w:rPr>
          <w:rStyle w:val="af7"/>
          <w:rFonts w:eastAsia="Guttman Hodes"/>
          <w:rtl/>
        </w:rPr>
        <w:instrText xml:space="preserve"> </w:instrText>
      </w:r>
      <w:r w:rsidRPr="00BF4415">
        <w:rPr>
          <w:rStyle w:val="af7"/>
          <w:rFonts w:eastAsia="Guttman Hodes" w:hint="cs"/>
        </w:rPr>
        <w:instrText>REF</w:instrText>
      </w:r>
      <w:r w:rsidRPr="00BF4415">
        <w:rPr>
          <w:rStyle w:val="af7"/>
          <w:rFonts w:eastAsia="Guttman Hodes" w:hint="cs"/>
          <w:rtl/>
        </w:rPr>
        <w:instrText xml:space="preserve"> _</w:instrText>
      </w:r>
      <w:r w:rsidRPr="00BF4415">
        <w:rPr>
          <w:rStyle w:val="af7"/>
          <w:rFonts w:eastAsia="Guttman Hodes" w:hint="cs"/>
        </w:rPr>
        <w:instrText>Ref58148074 \r \h</w:instrText>
      </w:r>
      <w:r w:rsidRPr="00BF4415">
        <w:rPr>
          <w:rStyle w:val="af7"/>
          <w:rFonts w:eastAsia="Guttman Hodes"/>
          <w:rtl/>
        </w:rPr>
        <w:instrText xml:space="preserve"> </w:instrText>
      </w:r>
      <w:r w:rsidRPr="00BF4415">
        <w:rPr>
          <w:rStyle w:val="af7"/>
          <w:rFonts w:eastAsia="Guttman Hodes"/>
          <w:rtl/>
        </w:rPr>
      </w:r>
      <w:r w:rsidRPr="00BF4415">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BF4415">
        <w:rPr>
          <w:rStyle w:val="af7"/>
          <w:rFonts w:eastAsia="Guttman Hodes"/>
          <w:rtl/>
        </w:rPr>
        <w:fldChar w:fldCharType="end"/>
      </w:r>
      <w:r>
        <w:rPr>
          <w:rFonts w:hint="cs"/>
          <w:rtl/>
        </w:rPr>
        <w:t xml:space="preserve"> דס"ל דכשאין לו חזקה ויש עידי חד יומא טענינן ליה, אף שאין לו מיגו, כיון דהמוכר היה נאמן במיגו, דהיה יכול לטעון שלא הייתה של המערער מעולם.</w:t>
      </w:r>
      <w:bookmarkEnd w:id="10795"/>
    </w:p>
    <w:p w:rsidR="006A4297" w:rsidRPr="00824B3C" w:rsidRDefault="006A4297" w:rsidP="006A4297">
      <w:pPr>
        <w:pStyle w:val="a3"/>
        <w:rPr>
          <w:rtl/>
        </w:rPr>
      </w:pPr>
      <w:bookmarkStart w:id="10796" w:name="_Toc60612658"/>
      <w:bookmarkStart w:id="10797" w:name="_Toc60616501"/>
      <w:bookmarkStart w:id="10798" w:name="_Toc60678264"/>
      <w:r>
        <w:rPr>
          <w:rFonts w:hint="cs"/>
          <w:rtl/>
        </w:rPr>
        <w:t>דברי המהרש"א דמבו' במרדכי ובהג' אשר"י דלר"י אינו נאמן בטענת חד יומא בלי עדים וחזקה</w:t>
      </w:r>
      <w:bookmarkEnd w:id="10796"/>
      <w:bookmarkEnd w:id="10797"/>
      <w:bookmarkEnd w:id="10798"/>
    </w:p>
    <w:p w:rsidR="006A4297" w:rsidRDefault="006A4297" w:rsidP="007E4E81">
      <w:pPr>
        <w:pStyle w:val="a0"/>
        <w:rPr>
          <w:rtl/>
        </w:rPr>
      </w:pPr>
      <w:bookmarkStart w:id="10799" w:name="_Ref60614431"/>
      <w:r>
        <w:rPr>
          <w:rFonts w:hint="cs"/>
          <w:rtl/>
        </w:rPr>
        <w:t xml:space="preserve">אך כתב </w:t>
      </w:r>
      <w:r w:rsidRPr="00BB75EA">
        <w:rPr>
          <w:rStyle w:val="af9"/>
          <w:rFonts w:hint="cs"/>
          <w:rtl/>
        </w:rPr>
        <w:t>המהרש"א</w:t>
      </w:r>
      <w:r>
        <w:rPr>
          <w:rFonts w:hint="cs"/>
          <w:rtl/>
        </w:rPr>
        <w:t xml:space="preserve"> דלדעת </w:t>
      </w:r>
      <w:r w:rsidRPr="00BB75EA">
        <w:rPr>
          <w:rStyle w:val="af9"/>
          <w:rFonts w:hint="cs"/>
          <w:rtl/>
        </w:rPr>
        <w:t>ר"י</w:t>
      </w:r>
      <w:r>
        <w:rPr>
          <w:rFonts w:hint="cs"/>
          <w:rtl/>
        </w:rPr>
        <w:t xml:space="preserve"> </w:t>
      </w:r>
      <w:r w:rsidRPr="00BB75EA">
        <w:rPr>
          <w:rStyle w:val="af7"/>
          <w:rFonts w:eastAsia="Guttman Hodes" w:hint="cs"/>
          <w:rtl/>
        </w:rPr>
        <w:t xml:space="preserve">(עי' אות </w:t>
      </w:r>
      <w:r w:rsidRPr="00BB75EA">
        <w:rPr>
          <w:rStyle w:val="af7"/>
          <w:rFonts w:eastAsia="Guttman Hodes"/>
          <w:rtl/>
        </w:rPr>
        <w:fldChar w:fldCharType="begin"/>
      </w:r>
      <w:r w:rsidRPr="00BB75EA">
        <w:rPr>
          <w:rStyle w:val="af7"/>
          <w:rFonts w:eastAsia="Guttman Hodes"/>
          <w:rtl/>
        </w:rPr>
        <w:instrText xml:space="preserve"> </w:instrText>
      </w:r>
      <w:r w:rsidRPr="00BB75EA">
        <w:rPr>
          <w:rStyle w:val="af7"/>
          <w:rFonts w:eastAsia="Guttman Hodes" w:hint="cs"/>
        </w:rPr>
        <w:instrText>REF</w:instrText>
      </w:r>
      <w:r w:rsidRPr="00BB75EA">
        <w:rPr>
          <w:rStyle w:val="af7"/>
          <w:rFonts w:eastAsia="Guttman Hodes" w:hint="cs"/>
          <w:rtl/>
        </w:rPr>
        <w:instrText xml:space="preserve"> _</w:instrText>
      </w:r>
      <w:r w:rsidRPr="00BB75EA">
        <w:rPr>
          <w:rStyle w:val="af7"/>
          <w:rFonts w:eastAsia="Guttman Hodes" w:hint="cs"/>
        </w:rPr>
        <w:instrText>Ref60343325 \r \h</w:instrText>
      </w:r>
      <w:r w:rsidRPr="00BB75EA">
        <w:rPr>
          <w:rStyle w:val="af7"/>
          <w:rFonts w:eastAsia="Guttman Hodes"/>
          <w:rtl/>
        </w:rPr>
        <w:instrText xml:space="preserve"> </w:instrText>
      </w:r>
      <w:r w:rsidRPr="00BB75EA">
        <w:rPr>
          <w:rStyle w:val="af7"/>
          <w:rFonts w:eastAsia="Guttman Hodes"/>
          <w:rtl/>
        </w:rPr>
      </w:r>
      <w:r w:rsidRPr="00BB75EA">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BB75EA">
        <w:rPr>
          <w:rStyle w:val="af7"/>
          <w:rFonts w:eastAsia="Guttman Hodes"/>
          <w:rtl/>
        </w:rPr>
        <w:fldChar w:fldCharType="end"/>
      </w:r>
      <w:r>
        <w:rPr>
          <w:rFonts w:hint="cs"/>
          <w:rtl/>
        </w:rPr>
        <w:t xml:space="preserve"> דפליג על </w:t>
      </w:r>
      <w:r w:rsidRPr="00AE715D">
        <w:rPr>
          <w:rStyle w:val="af9"/>
          <w:rFonts w:hint="cs"/>
          <w:rtl/>
        </w:rPr>
        <w:t>הרשב"א בתוס'</w:t>
      </w:r>
      <w:r>
        <w:rPr>
          <w:rFonts w:hint="cs"/>
          <w:rtl/>
        </w:rPr>
        <w:t xml:space="preserve">, מבואר דלא ס"ל כדברי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9662A3">
        <w:rPr>
          <w:rStyle w:val="af7"/>
          <w:rFonts w:eastAsia="Guttman Hodes" w:hint="cs"/>
          <w:rtl/>
        </w:rPr>
        <w:t xml:space="preserve">(עי' אות </w:t>
      </w:r>
      <w:r w:rsidRPr="009662A3">
        <w:rPr>
          <w:rStyle w:val="af7"/>
          <w:rFonts w:eastAsia="Guttman Hodes"/>
          <w:rtl/>
        </w:rPr>
        <w:fldChar w:fldCharType="begin"/>
      </w:r>
      <w:r w:rsidRPr="009662A3">
        <w:rPr>
          <w:rStyle w:val="af7"/>
          <w:rFonts w:eastAsia="Guttman Hodes"/>
          <w:rtl/>
        </w:rPr>
        <w:instrText xml:space="preserve"> </w:instrText>
      </w:r>
      <w:r w:rsidRPr="009662A3">
        <w:rPr>
          <w:rStyle w:val="af7"/>
          <w:rFonts w:eastAsia="Guttman Hodes" w:hint="cs"/>
        </w:rPr>
        <w:instrText>REF</w:instrText>
      </w:r>
      <w:r w:rsidRPr="009662A3">
        <w:rPr>
          <w:rStyle w:val="af7"/>
          <w:rFonts w:eastAsia="Guttman Hodes" w:hint="cs"/>
          <w:rtl/>
        </w:rPr>
        <w:instrText xml:space="preserve"> _</w:instrText>
      </w:r>
      <w:r w:rsidRPr="009662A3">
        <w:rPr>
          <w:rStyle w:val="af7"/>
          <w:rFonts w:eastAsia="Guttman Hodes" w:hint="cs"/>
        </w:rPr>
        <w:instrText>Ref60243410 \r \h</w:instrText>
      </w:r>
      <w:r w:rsidRPr="009662A3">
        <w:rPr>
          <w:rStyle w:val="af7"/>
          <w:rFonts w:eastAsia="Guttman Hodes"/>
          <w:rtl/>
        </w:rPr>
        <w:instrText xml:space="preserve"> </w:instrText>
      </w:r>
      <w:r w:rsidRPr="009662A3">
        <w:rPr>
          <w:rStyle w:val="af7"/>
          <w:rFonts w:eastAsia="Guttman Hodes"/>
          <w:rtl/>
        </w:rPr>
      </w:r>
      <w:r w:rsidRPr="009662A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9662A3">
        <w:rPr>
          <w:rStyle w:val="af7"/>
          <w:rFonts w:eastAsia="Guttman Hodes"/>
          <w:rtl/>
        </w:rPr>
        <w:fldChar w:fldCharType="end"/>
      </w:r>
      <w:r>
        <w:rPr>
          <w:rFonts w:hint="cs"/>
          <w:rtl/>
        </w:rPr>
        <w:t xml:space="preserve">, ולדעת </w:t>
      </w:r>
      <w:r w:rsidRPr="00661C92">
        <w:rPr>
          <w:rStyle w:val="af9"/>
          <w:rFonts w:hint="cs"/>
          <w:rtl/>
        </w:rPr>
        <w:t>ר"י</w:t>
      </w:r>
      <w:r>
        <w:rPr>
          <w:rFonts w:hint="cs"/>
          <w:rtl/>
        </w:rPr>
        <w:t xml:space="preserve"> אינו נאמן בטענת קמי דידי דר בה חד יומא, וכתב </w:t>
      </w:r>
      <w:r w:rsidRPr="00AE715D">
        <w:rPr>
          <w:rStyle w:val="af9"/>
          <w:rFonts w:hint="cs"/>
          <w:rtl/>
        </w:rPr>
        <w:t>המהרש"א</w:t>
      </w:r>
      <w:r>
        <w:rPr>
          <w:rFonts w:hint="cs"/>
          <w:rtl/>
        </w:rPr>
        <w:t xml:space="preserve"> דכ"כ </w:t>
      </w:r>
      <w:r w:rsidRPr="00AE715D">
        <w:rPr>
          <w:rStyle w:val="af9"/>
          <w:rFonts w:hint="cs"/>
          <w:rtl/>
        </w:rPr>
        <w:t>המרדכי</w:t>
      </w:r>
      <w:r>
        <w:rPr>
          <w:rFonts w:hint="cs"/>
          <w:rtl/>
        </w:rPr>
        <w:t xml:space="preserve"> </w:t>
      </w:r>
      <w:r>
        <w:rPr>
          <w:rStyle w:val="af7"/>
          <w:rFonts w:eastAsia="Guttman Hodes" w:hint="cs"/>
          <w:rtl/>
        </w:rPr>
        <w:t>(</w:t>
      </w:r>
      <w:r w:rsidRPr="00231220">
        <w:rPr>
          <w:rStyle w:val="af7"/>
          <w:rFonts w:eastAsia="Guttman Hodes" w:hint="cs"/>
          <w:rtl/>
        </w:rPr>
        <w:t>רמז תקכ"ג)</w:t>
      </w:r>
      <w:r>
        <w:rPr>
          <w:rFonts w:hint="cs"/>
          <w:rtl/>
        </w:rPr>
        <w:t xml:space="preserve">, וכן כתב להדיא </w:t>
      </w:r>
      <w:r w:rsidRPr="00897CC7">
        <w:rPr>
          <w:rStyle w:val="af9"/>
          <w:rFonts w:hint="cs"/>
          <w:rtl/>
        </w:rPr>
        <w:t xml:space="preserve">ההג' אשר"י </w:t>
      </w:r>
      <w:r w:rsidRPr="00AD1E64">
        <w:rPr>
          <w:rStyle w:val="af7"/>
          <w:rFonts w:eastAsia="Guttman Hodes" w:hint="cs"/>
          <w:rtl/>
        </w:rPr>
        <w:t xml:space="preserve">(עי' אות </w:t>
      </w:r>
      <w:r w:rsidRPr="00AD1E64">
        <w:rPr>
          <w:rStyle w:val="af7"/>
          <w:rFonts w:eastAsia="Guttman Hodes"/>
          <w:rtl/>
        </w:rPr>
        <w:fldChar w:fldCharType="begin"/>
      </w:r>
      <w:r w:rsidRPr="00AD1E64">
        <w:rPr>
          <w:rStyle w:val="af7"/>
          <w:rFonts w:eastAsia="Guttman Hodes"/>
          <w:rtl/>
        </w:rPr>
        <w:instrText xml:space="preserve"> </w:instrText>
      </w:r>
      <w:r w:rsidRPr="00AD1E64">
        <w:rPr>
          <w:rStyle w:val="af7"/>
          <w:rFonts w:eastAsia="Guttman Hodes" w:hint="cs"/>
        </w:rPr>
        <w:instrText>REF</w:instrText>
      </w:r>
      <w:r w:rsidRPr="00AD1E64">
        <w:rPr>
          <w:rStyle w:val="af7"/>
          <w:rFonts w:eastAsia="Guttman Hodes" w:hint="cs"/>
          <w:rtl/>
        </w:rPr>
        <w:instrText xml:space="preserve"> _</w:instrText>
      </w:r>
      <w:r w:rsidRPr="00AD1E64">
        <w:rPr>
          <w:rStyle w:val="af7"/>
          <w:rFonts w:eastAsia="Guttman Hodes" w:hint="cs"/>
        </w:rPr>
        <w:instrText>Ref60615316 \r \h</w:instrText>
      </w:r>
      <w:r w:rsidRPr="00AD1E64">
        <w:rPr>
          <w:rStyle w:val="af7"/>
          <w:rFonts w:eastAsia="Guttman Hodes"/>
          <w:rtl/>
        </w:rPr>
        <w:instrText xml:space="preserve"> </w:instrText>
      </w:r>
      <w:r w:rsidRPr="00AD1E64">
        <w:rPr>
          <w:rStyle w:val="af7"/>
          <w:rFonts w:eastAsia="Guttman Hodes"/>
          <w:rtl/>
        </w:rPr>
      </w:r>
      <w:r w:rsidRPr="00AD1E64">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AD1E64">
        <w:rPr>
          <w:rStyle w:val="af7"/>
          <w:rFonts w:eastAsia="Guttman Hodes"/>
          <w:rtl/>
        </w:rPr>
        <w:fldChar w:fldCharType="end"/>
      </w:r>
      <w:r>
        <w:rPr>
          <w:rFonts w:hint="cs"/>
          <w:rtl/>
        </w:rPr>
        <w:t xml:space="preserve"> דכשאין למחזיק חזקת ג"ש, ולמוכר אין שטר מכירה מהמערער, אף שיש עדים דדר בה המוכר חד יומא, מ"מ כיון שאינם יודעים אם המוכר קנה מהמערער, ל"מ העדים כלל, וכתב </w:t>
      </w:r>
      <w:r w:rsidRPr="00AE715D">
        <w:rPr>
          <w:rStyle w:val="af9"/>
          <w:rFonts w:hint="cs"/>
          <w:rtl/>
        </w:rPr>
        <w:t>המהרש"א</w:t>
      </w:r>
      <w:r>
        <w:rPr>
          <w:rFonts w:hint="cs"/>
          <w:rtl/>
        </w:rPr>
        <w:t xml:space="preserve"> דדברי </w:t>
      </w:r>
      <w:r w:rsidRPr="00AE715D">
        <w:rPr>
          <w:rStyle w:val="af9"/>
          <w:rFonts w:hint="cs"/>
          <w:rtl/>
        </w:rPr>
        <w:t>ההג' אשר"י</w:t>
      </w:r>
      <w:r>
        <w:rPr>
          <w:rFonts w:hint="cs"/>
          <w:rtl/>
        </w:rPr>
        <w:t xml:space="preserve"> הם לדעת </w:t>
      </w:r>
      <w:r w:rsidRPr="00AE715D">
        <w:rPr>
          <w:rStyle w:val="af9"/>
          <w:rFonts w:hint="cs"/>
          <w:rtl/>
        </w:rPr>
        <w:t>ר"י</w:t>
      </w:r>
      <w:r>
        <w:rPr>
          <w:rFonts w:hint="cs"/>
          <w:rtl/>
        </w:rPr>
        <w:t>.</w:t>
      </w:r>
      <w:bookmarkEnd w:id="10799"/>
    </w:p>
    <w:p w:rsidR="006A4297" w:rsidRDefault="006A4297" w:rsidP="006A4297">
      <w:pPr>
        <w:pStyle w:val="a3"/>
      </w:pPr>
      <w:bookmarkStart w:id="10800" w:name="_Toc60612659"/>
      <w:bookmarkStart w:id="10801" w:name="_Toc60616502"/>
      <w:bookmarkStart w:id="10802" w:name="_Toc60678265"/>
      <w:r w:rsidRPr="00824B3C">
        <w:rPr>
          <w:rtl/>
        </w:rPr>
        <w:t xml:space="preserve">דברי המהרש"א </w:t>
      </w:r>
      <w:r>
        <w:rPr>
          <w:rFonts w:hint="cs"/>
          <w:rtl/>
        </w:rPr>
        <w:t>דמוכח מהמרדכי וההג' אשר"י דלר"י ל"מ טענת חד יומא בלי עדים וחזקה</w:t>
      </w:r>
      <w:bookmarkEnd w:id="10800"/>
      <w:bookmarkEnd w:id="10801"/>
      <w:bookmarkEnd w:id="10802"/>
    </w:p>
    <w:p w:rsidR="006A4297" w:rsidRPr="00B346B8" w:rsidRDefault="006A4297" w:rsidP="007E4E81">
      <w:pPr>
        <w:pStyle w:val="a0"/>
        <w:rPr>
          <w:rtl/>
        </w:rPr>
      </w:pPr>
      <w:r>
        <w:rPr>
          <w:rFonts w:hint="cs"/>
          <w:rtl/>
        </w:rPr>
        <w:t xml:space="preserve">וכתב </w:t>
      </w:r>
      <w:r w:rsidRPr="00AE715D">
        <w:rPr>
          <w:rStyle w:val="af9"/>
          <w:rFonts w:hint="cs"/>
          <w:rtl/>
        </w:rPr>
        <w:t>המהרש"א</w:t>
      </w:r>
      <w:r>
        <w:rPr>
          <w:rFonts w:hint="cs"/>
          <w:rtl/>
        </w:rPr>
        <w:t xml:space="preserve"> דכיון דמבואר דלדעת </w:t>
      </w:r>
      <w:r w:rsidRPr="00AE715D">
        <w:rPr>
          <w:rStyle w:val="af9"/>
          <w:rFonts w:hint="cs"/>
          <w:rtl/>
        </w:rPr>
        <w:t>ר"י</w:t>
      </w:r>
      <w:r>
        <w:rPr>
          <w:rFonts w:hint="cs"/>
          <w:rtl/>
        </w:rPr>
        <w:t xml:space="preserve"> לא מהני עידי חד יומא בלא חזקה, א"כ כ"ש דס"ל </w:t>
      </w:r>
      <w:r w:rsidRPr="00AE715D">
        <w:rPr>
          <w:rStyle w:val="af9"/>
          <w:rFonts w:hint="cs"/>
          <w:rtl/>
        </w:rPr>
        <w:t>לר"י</w:t>
      </w:r>
      <w:r>
        <w:rPr>
          <w:rFonts w:hint="cs"/>
          <w:rtl/>
        </w:rPr>
        <w:t xml:space="preserve"> דאינו נאמן בטענת קמי דידי דר בה חד יומא, כשאין לו עדים ע"ז, וכתב </w:t>
      </w:r>
      <w:r w:rsidRPr="00AE715D">
        <w:rPr>
          <w:rStyle w:val="af9"/>
          <w:rFonts w:hint="cs"/>
          <w:rtl/>
        </w:rPr>
        <w:t>המהרש"א</w:t>
      </w:r>
      <w:r>
        <w:rPr>
          <w:rFonts w:hint="cs"/>
          <w:rtl/>
        </w:rPr>
        <w:t xml:space="preserve"> דכן מוכח מהא </w:t>
      </w:r>
      <w:r w:rsidRPr="00AE715D">
        <w:rPr>
          <w:rStyle w:val="af9"/>
          <w:rFonts w:hint="cs"/>
          <w:rtl/>
        </w:rPr>
        <w:t>דההג' אשר"י</w:t>
      </w:r>
      <w:r>
        <w:rPr>
          <w:rFonts w:hint="cs"/>
          <w:rtl/>
        </w:rPr>
        <w:t xml:space="preserve"> כתב דין זה רק בשם </w:t>
      </w:r>
      <w:r w:rsidRPr="00AE715D">
        <w:rPr>
          <w:rStyle w:val="af9"/>
          <w:rFonts w:hint="cs"/>
          <w:rtl/>
        </w:rPr>
        <w:t>הרשב"א בתוס'</w:t>
      </w:r>
      <w:r>
        <w:rPr>
          <w:rFonts w:hint="cs"/>
          <w:rtl/>
        </w:rPr>
        <w:t xml:space="preserve"> ועי' במה שדחו </w:t>
      </w:r>
      <w:r w:rsidRPr="000E174F">
        <w:rPr>
          <w:rStyle w:val="af9"/>
          <w:rFonts w:hint="cs"/>
          <w:rtl/>
        </w:rPr>
        <w:t>הש"ך</w:t>
      </w:r>
      <w:r w:rsidRPr="000E174F">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Ref60612209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נה)</w:t>
      </w:r>
      <w:r>
        <w:rPr>
          <w:rStyle w:val="af7"/>
          <w:rFonts w:eastAsia="Guttman Hodes"/>
          <w:rtl/>
        </w:rPr>
        <w:fldChar w:fldCharType="end"/>
      </w:r>
      <w:r>
        <w:rPr>
          <w:rStyle w:val="af7"/>
          <w:rFonts w:eastAsia="Guttman Hodes" w:hint="cs"/>
          <w:rtl/>
        </w:rPr>
        <w:t xml:space="preserve"> </w:t>
      </w:r>
      <w:r>
        <w:rPr>
          <w:rStyle w:val="af9"/>
          <w:rFonts w:hint="cs"/>
          <w:rtl/>
        </w:rPr>
        <w:t xml:space="preserve">והתומים </w:t>
      </w:r>
      <w:r w:rsidRPr="00F146BE">
        <w:rPr>
          <w:rStyle w:val="af7"/>
          <w:rFonts w:eastAsia="Guttman Hodes" w:hint="cs"/>
          <w:rtl/>
        </w:rPr>
        <w:t xml:space="preserve">(עי' אות </w:t>
      </w:r>
      <w:r w:rsidRPr="00F146BE">
        <w:rPr>
          <w:rStyle w:val="af7"/>
          <w:rFonts w:eastAsia="Guttman Hodes"/>
          <w:rtl/>
        </w:rPr>
        <w:fldChar w:fldCharType="begin"/>
      </w:r>
      <w:r w:rsidRPr="00F146BE">
        <w:rPr>
          <w:rStyle w:val="af7"/>
          <w:rFonts w:eastAsia="Guttman Hodes"/>
          <w:rtl/>
        </w:rPr>
        <w:instrText xml:space="preserve"> </w:instrText>
      </w:r>
      <w:r w:rsidRPr="00F146BE">
        <w:rPr>
          <w:rStyle w:val="af7"/>
          <w:rFonts w:eastAsia="Guttman Hodes" w:hint="cs"/>
        </w:rPr>
        <w:instrText>REF</w:instrText>
      </w:r>
      <w:r w:rsidRPr="00F146BE">
        <w:rPr>
          <w:rStyle w:val="af7"/>
          <w:rFonts w:eastAsia="Guttman Hodes" w:hint="cs"/>
          <w:rtl/>
        </w:rPr>
        <w:instrText xml:space="preserve"> _</w:instrText>
      </w:r>
      <w:r w:rsidRPr="00F146BE">
        <w:rPr>
          <w:rStyle w:val="af7"/>
          <w:rFonts w:eastAsia="Guttman Hodes" w:hint="cs"/>
        </w:rPr>
        <w:instrText>Ref60694070 \r \h</w:instrText>
      </w:r>
      <w:r w:rsidRPr="00F146BE">
        <w:rPr>
          <w:rStyle w:val="af7"/>
          <w:rFonts w:eastAsia="Guttman Hodes"/>
          <w:rtl/>
        </w:rPr>
        <w:instrText xml:space="preserve"> </w:instrText>
      </w:r>
      <w:r w:rsidRPr="00F146BE">
        <w:rPr>
          <w:rStyle w:val="af7"/>
          <w:rFonts w:eastAsia="Guttman Hodes"/>
          <w:rtl/>
        </w:rPr>
      </w:r>
      <w:r w:rsidRPr="00F146BE">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F146BE">
        <w:rPr>
          <w:rStyle w:val="af7"/>
          <w:rFonts w:eastAsia="Guttman Hodes"/>
          <w:rtl/>
        </w:rPr>
        <w:fldChar w:fldCharType="end"/>
      </w:r>
      <w:r>
        <w:rPr>
          <w:rStyle w:val="af9"/>
          <w:rFonts w:hint="cs"/>
          <w:rtl/>
        </w:rPr>
        <w:t xml:space="preserve"> ו</w:t>
      </w:r>
      <w:r w:rsidRPr="000E174F">
        <w:rPr>
          <w:rStyle w:val="af9"/>
          <w:rFonts w:hint="cs"/>
          <w:rtl/>
        </w:rPr>
        <w:t>בחי' רמ"ש</w:t>
      </w:r>
      <w:r w:rsidRPr="000E174F">
        <w:rPr>
          <w:rFonts w:hint="cs"/>
          <w:rtl/>
        </w:rPr>
        <w:t xml:space="preserve"> </w:t>
      </w:r>
      <w:r w:rsidRPr="000E174F">
        <w:rPr>
          <w:rStyle w:val="af7"/>
          <w:rFonts w:eastAsia="Guttman Hodes" w:hint="cs"/>
          <w:rtl/>
        </w:rPr>
        <w:t>(ד"ה ומה שכתבו)</w:t>
      </w:r>
      <w:r w:rsidRPr="000E174F">
        <w:rPr>
          <w:rFonts w:hint="cs"/>
          <w:rtl/>
        </w:rPr>
        <w:t xml:space="preserve"> את דברי </w:t>
      </w:r>
      <w:r w:rsidRPr="000E174F">
        <w:rPr>
          <w:rStyle w:val="af9"/>
          <w:rFonts w:hint="cs"/>
          <w:rtl/>
        </w:rPr>
        <w:t>המהרש"א</w:t>
      </w:r>
      <w:r>
        <w:rPr>
          <w:rFonts w:hint="cs"/>
          <w:rtl/>
        </w:rPr>
        <w:t xml:space="preserve">, ובמה שביארו </w:t>
      </w:r>
      <w:r w:rsidRPr="00D55698">
        <w:rPr>
          <w:rStyle w:val="af9"/>
          <w:rFonts w:hint="cs"/>
          <w:rtl/>
        </w:rPr>
        <w:t>בחי' רבי ראובן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Ref60668017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Pr>
          <w:rStyle w:val="af7"/>
          <w:rFonts w:eastAsia="Guttman Hodes"/>
          <w:rtl/>
        </w:rPr>
        <w:fldChar w:fldCharType="end"/>
      </w:r>
      <w:r>
        <w:rPr>
          <w:rStyle w:val="af7"/>
          <w:rFonts w:eastAsia="Guttman Hodes" w:hint="cs"/>
          <w:rtl/>
        </w:rPr>
        <w:t xml:space="preserve"> </w:t>
      </w:r>
      <w:r>
        <w:rPr>
          <w:rStyle w:val="af9"/>
          <w:rFonts w:hint="cs"/>
          <w:rtl/>
        </w:rPr>
        <w:t>ו</w:t>
      </w:r>
      <w:r w:rsidRPr="0048652A">
        <w:rPr>
          <w:rStyle w:val="af9"/>
          <w:rFonts w:hint="cs"/>
          <w:rtl/>
        </w:rPr>
        <w:t>בחי'</w:t>
      </w:r>
      <w:r>
        <w:rPr>
          <w:rFonts w:hint="cs"/>
          <w:rtl/>
        </w:rPr>
        <w:t xml:space="preserve"> </w:t>
      </w:r>
      <w:r w:rsidRPr="0048652A">
        <w:rPr>
          <w:rStyle w:val="af9"/>
          <w:rFonts w:hint="cs"/>
          <w:rtl/>
        </w:rPr>
        <w:t>רבי</w:t>
      </w:r>
      <w:r>
        <w:rPr>
          <w:rFonts w:hint="cs"/>
          <w:rtl/>
        </w:rPr>
        <w:t xml:space="preserve"> </w:t>
      </w:r>
      <w:r w:rsidRPr="0048652A">
        <w:rPr>
          <w:rStyle w:val="af9"/>
          <w:rFonts w:hint="cs"/>
          <w:rtl/>
        </w:rPr>
        <w:t>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Ref60676709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קכד)</w:t>
      </w:r>
      <w:r>
        <w:rPr>
          <w:rStyle w:val="af7"/>
          <w:rFonts w:eastAsia="Guttman Hodes"/>
          <w:rtl/>
        </w:rPr>
        <w:fldChar w:fldCharType="end"/>
      </w:r>
      <w:r>
        <w:rPr>
          <w:rStyle w:val="af7"/>
          <w:rFonts w:eastAsia="Guttman Hodes" w:hint="cs"/>
          <w:rtl/>
        </w:rPr>
        <w:t xml:space="preserve"> </w:t>
      </w:r>
      <w:r>
        <w:rPr>
          <w:rFonts w:hint="cs"/>
          <w:rtl/>
        </w:rPr>
        <w:t xml:space="preserve">בדברי </w:t>
      </w:r>
      <w:r>
        <w:rPr>
          <w:rStyle w:val="af9"/>
          <w:rFonts w:hint="cs"/>
          <w:rtl/>
        </w:rPr>
        <w:t>המהרש"א</w:t>
      </w:r>
      <w:r>
        <w:rPr>
          <w:rFonts w:hint="cs"/>
          <w:rtl/>
        </w:rPr>
        <w:t>.</w:t>
      </w:r>
    </w:p>
    <w:p w:rsidR="006A4297" w:rsidRDefault="006A4297" w:rsidP="006A4297">
      <w:pPr>
        <w:pStyle w:val="afe"/>
        <w:rPr>
          <w:rtl/>
        </w:rPr>
      </w:pPr>
      <w:bookmarkStart w:id="10803" w:name="_Toc60678266"/>
      <w:r>
        <w:rPr>
          <w:rFonts w:hint="cs"/>
          <w:rtl/>
        </w:rPr>
        <w:t>בי' התומים דנח' בהודה חוץ לב"ד</w:t>
      </w:r>
      <w:bookmarkEnd w:id="10803"/>
    </w:p>
    <w:p w:rsidR="006A4297" w:rsidRDefault="006A4297" w:rsidP="006A4297">
      <w:pPr>
        <w:pStyle w:val="1"/>
        <w:rPr>
          <w:rtl/>
        </w:rPr>
      </w:pPr>
      <w:bookmarkStart w:id="10804" w:name="_Toc60678267"/>
      <w:r>
        <w:rPr>
          <w:rFonts w:hint="cs"/>
          <w:rtl/>
        </w:rPr>
        <w:t>בי' התומים דרשב"א בתוס' ור"י נח' בהודה חוץ לב"ד דהוי ע"א</w:t>
      </w:r>
      <w:bookmarkEnd w:id="10804"/>
    </w:p>
    <w:p w:rsidR="006A4297" w:rsidRPr="00EF29C8" w:rsidRDefault="006A4297" w:rsidP="006A4297">
      <w:pPr>
        <w:pStyle w:val="a3"/>
        <w:rPr>
          <w:rtl/>
        </w:rPr>
      </w:pPr>
      <w:bookmarkStart w:id="10805" w:name="_Toc60616504"/>
      <w:bookmarkStart w:id="10806" w:name="_Toc60678268"/>
      <w:r>
        <w:rPr>
          <w:rFonts w:hint="cs"/>
          <w:rtl/>
        </w:rPr>
        <w:t>ביאור התומים ברשב"א בתוס' דהודאת המוכר חוץ לב"ד מחשיבה את המחזיק כע"א למערער</w:t>
      </w:r>
      <w:bookmarkEnd w:id="10805"/>
      <w:bookmarkEnd w:id="10806"/>
    </w:p>
    <w:p w:rsidR="006A4297" w:rsidRDefault="006A4297" w:rsidP="007E4E81">
      <w:pPr>
        <w:pStyle w:val="a0"/>
        <w:rPr>
          <w:rtl/>
        </w:rPr>
      </w:pPr>
      <w:bookmarkStart w:id="10807" w:name="_Ref60614532"/>
      <w:r>
        <w:rPr>
          <w:rFonts w:hint="cs"/>
          <w:rtl/>
        </w:rPr>
        <w:t xml:space="preserve">במ"ש </w:t>
      </w:r>
      <w:r w:rsidRPr="0075541D">
        <w:rPr>
          <w:rStyle w:val="af9"/>
          <w:rFonts w:hint="cs"/>
          <w:rtl/>
        </w:rPr>
        <w:t>הרשב"א בתוס'</w:t>
      </w:r>
      <w:r w:rsidRPr="00CE2CFB">
        <w:rPr>
          <w:rStyle w:val="af7"/>
          <w:rFonts w:eastAsia="Guttman Hodes" w:hint="cs"/>
          <w:rtl/>
        </w:rPr>
        <w:t xml:space="preserve"> (עי' אות </w:t>
      </w:r>
      <w:r w:rsidRPr="00CE2CFB">
        <w:rPr>
          <w:rStyle w:val="af7"/>
          <w:rFonts w:eastAsia="Guttman Hodes"/>
          <w:rtl/>
        </w:rPr>
        <w:fldChar w:fldCharType="begin"/>
      </w:r>
      <w:r w:rsidRPr="00CE2CFB">
        <w:rPr>
          <w:rStyle w:val="af7"/>
          <w:rFonts w:eastAsia="Guttman Hodes"/>
          <w:rtl/>
        </w:rPr>
        <w:instrText xml:space="preserve"> </w:instrText>
      </w:r>
      <w:r w:rsidRPr="00CE2CFB">
        <w:rPr>
          <w:rStyle w:val="af7"/>
          <w:rFonts w:eastAsia="Guttman Hodes" w:hint="cs"/>
        </w:rPr>
        <w:instrText>REF</w:instrText>
      </w:r>
      <w:r w:rsidRPr="00CE2CFB">
        <w:rPr>
          <w:rStyle w:val="af7"/>
          <w:rFonts w:eastAsia="Guttman Hodes" w:hint="cs"/>
          <w:rtl/>
        </w:rPr>
        <w:instrText xml:space="preserve"> _</w:instrText>
      </w:r>
      <w:r w:rsidRPr="00CE2CFB">
        <w:rPr>
          <w:rStyle w:val="af7"/>
          <w:rFonts w:eastAsia="Guttman Hodes" w:hint="cs"/>
        </w:rPr>
        <w:instrText>Ref60342515 \r \h</w:instrText>
      </w:r>
      <w:r w:rsidRPr="00CE2CFB">
        <w:rPr>
          <w:rStyle w:val="af7"/>
          <w:rFonts w:eastAsia="Guttman Hodes"/>
          <w:rtl/>
        </w:rPr>
        <w:instrText xml:space="preserve"> </w:instrText>
      </w:r>
      <w:r w:rsidRPr="00CE2CFB">
        <w:rPr>
          <w:rStyle w:val="af7"/>
          <w:rFonts w:eastAsia="Guttman Hodes"/>
          <w:rtl/>
        </w:rPr>
      </w:r>
      <w:r w:rsidRPr="00CE2CFB">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CE2CFB">
        <w:rPr>
          <w:rStyle w:val="af7"/>
          <w:rFonts w:eastAsia="Guttman Hodes"/>
          <w:rtl/>
        </w:rPr>
        <w:fldChar w:fldCharType="end"/>
      </w:r>
      <w:r w:rsidRPr="00CE2CFB">
        <w:rPr>
          <w:rStyle w:val="af7"/>
          <w:rFonts w:eastAsia="Guttman Hodes" w:hint="cs"/>
          <w:rtl/>
        </w:rPr>
        <w:t xml:space="preserve"> </w:t>
      </w:r>
      <w:r>
        <w:rPr>
          <w:rFonts w:hint="cs"/>
          <w:rtl/>
        </w:rPr>
        <w:t>דכשאין לו חזקה ויש עידי חד יומא טענינן ליה, אף שאין לו מיגו, כיון דהמוכר היה נאמן במיגו,</w:t>
      </w:r>
      <w:r w:rsidRPr="003007F5">
        <w:rPr>
          <w:rFonts w:hint="cs"/>
          <w:rtl/>
        </w:rPr>
        <w:t xml:space="preserve"> </w:t>
      </w:r>
      <w:r w:rsidRPr="006F5B32">
        <w:rPr>
          <w:rFonts w:hint="cs"/>
          <w:rtl/>
        </w:rPr>
        <w:t>והוסי</w:t>
      </w:r>
      <w:r>
        <w:rPr>
          <w:rFonts w:hint="cs"/>
          <w:rtl/>
        </w:rPr>
        <w:t xml:space="preserve">ף </w:t>
      </w:r>
      <w:r w:rsidRPr="0075541D">
        <w:rPr>
          <w:rStyle w:val="af9"/>
          <w:rFonts w:hint="cs"/>
          <w:rtl/>
        </w:rPr>
        <w:t>הרשב"א בתוס'</w:t>
      </w:r>
      <w:r w:rsidRPr="00CE2CFB">
        <w:rPr>
          <w:rStyle w:val="af7"/>
          <w:rFonts w:eastAsia="Guttman Hodes" w:hint="cs"/>
          <w:rtl/>
        </w:rPr>
        <w:t xml:space="preserve"> (</w:t>
      </w:r>
      <w:r w:rsidRPr="00CA17E2">
        <w:rPr>
          <w:rStyle w:val="af7"/>
          <w:rFonts w:eastAsia="Guttman Hodes" w:hint="cs"/>
          <w:rtl/>
        </w:rPr>
        <w:t xml:space="preserve">עי' </w:t>
      </w:r>
      <w:r w:rsidRPr="00F146BE">
        <w:rPr>
          <w:rStyle w:val="af7"/>
          <w:rFonts w:eastAsia="Guttman Hodes" w:hint="cs"/>
          <w:rtl/>
        </w:rPr>
        <w:t xml:space="preserve">אות </w:t>
      </w:r>
      <w:r w:rsidRPr="00F146BE">
        <w:rPr>
          <w:rStyle w:val="af7"/>
          <w:rFonts w:eastAsia="Guttman Hodes"/>
          <w:rtl/>
        </w:rPr>
        <w:fldChar w:fldCharType="begin"/>
      </w:r>
      <w:r w:rsidRPr="00F146BE">
        <w:rPr>
          <w:rStyle w:val="af7"/>
          <w:rFonts w:eastAsia="Guttman Hodes"/>
          <w:rtl/>
        </w:rPr>
        <w:instrText xml:space="preserve"> </w:instrText>
      </w:r>
      <w:r w:rsidRPr="00F146BE">
        <w:rPr>
          <w:rStyle w:val="af7"/>
          <w:rFonts w:eastAsia="Guttman Hodes" w:hint="cs"/>
        </w:rPr>
        <w:instrText>REF</w:instrText>
      </w:r>
      <w:r w:rsidRPr="00F146BE">
        <w:rPr>
          <w:rStyle w:val="af7"/>
          <w:rFonts w:eastAsia="Guttman Hodes" w:hint="cs"/>
          <w:rtl/>
        </w:rPr>
        <w:instrText xml:space="preserve"> _</w:instrText>
      </w:r>
      <w:r w:rsidRPr="00F146BE">
        <w:rPr>
          <w:rStyle w:val="af7"/>
          <w:rFonts w:eastAsia="Guttman Hodes" w:hint="cs"/>
        </w:rPr>
        <w:instrText>Ref60614663 \r \h</w:instrText>
      </w:r>
      <w:r w:rsidRPr="00F146BE">
        <w:rPr>
          <w:rStyle w:val="af7"/>
          <w:rFonts w:eastAsia="Guttman Hodes"/>
          <w:rtl/>
        </w:rPr>
        <w:instrText xml:space="preserve"> </w:instrText>
      </w:r>
      <w:r w:rsidRPr="00F146BE">
        <w:rPr>
          <w:rStyle w:val="af7"/>
          <w:rFonts w:eastAsia="Guttman Hodes"/>
          <w:rtl/>
        </w:rPr>
      </w:r>
      <w:r w:rsidRPr="00F146BE">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F146BE">
        <w:rPr>
          <w:rStyle w:val="af7"/>
          <w:rFonts w:eastAsia="Guttman Hodes"/>
          <w:rtl/>
        </w:rPr>
        <w:fldChar w:fldCharType="end"/>
      </w:r>
      <w:r>
        <w:rPr>
          <w:rFonts w:hint="cs"/>
          <w:rtl/>
        </w:rPr>
        <w:t xml:space="preserve"> </w:t>
      </w:r>
      <w:r w:rsidRPr="006F5B32">
        <w:rPr>
          <w:rFonts w:hint="cs"/>
          <w:rtl/>
        </w:rPr>
        <w:t>דאעפ"י שהמחזיק עצמו יודע שהקרקע הייתה של המוכר, והוא כמו ע"א כנגד המיגו,</w:t>
      </w:r>
      <w:r>
        <w:rPr>
          <w:rFonts w:hint="cs"/>
          <w:rtl/>
        </w:rPr>
        <w:t xml:space="preserve"> ביאר</w:t>
      </w:r>
      <w:r w:rsidRPr="002619DF">
        <w:rPr>
          <w:rStyle w:val="af9"/>
          <w:rFonts w:hint="cs"/>
          <w:rtl/>
        </w:rPr>
        <w:t xml:space="preserve"> </w:t>
      </w:r>
      <w:r w:rsidRPr="000E174F">
        <w:rPr>
          <w:rStyle w:val="af9"/>
          <w:rFonts w:hint="cs"/>
          <w:rtl/>
        </w:rPr>
        <w:t xml:space="preserve">התומים </w:t>
      </w:r>
      <w:r w:rsidRPr="000E174F">
        <w:rPr>
          <w:rStyle w:val="af7"/>
          <w:rFonts w:eastAsia="Guttman Hodes" w:hint="cs"/>
          <w:rtl/>
        </w:rPr>
        <w:t>(סי' קמ"ו סקי"ד</w:t>
      </w:r>
      <w:r>
        <w:rPr>
          <w:rStyle w:val="af7"/>
          <w:rFonts w:eastAsia="Guttman Hodes" w:hint="cs"/>
          <w:rtl/>
        </w:rPr>
        <w:t xml:space="preserve"> סוד"ה </w:t>
      </w:r>
      <w:r w:rsidRPr="002619DF">
        <w:rPr>
          <w:rStyle w:val="af7"/>
          <w:rFonts w:eastAsia="Guttman Hodes"/>
          <w:rtl/>
        </w:rPr>
        <w:t>והנה אם אמרן</w:t>
      </w:r>
      <w:r>
        <w:rPr>
          <w:rStyle w:val="af7"/>
          <w:rFonts w:eastAsia="Guttman Hodes" w:hint="cs"/>
          <w:rtl/>
        </w:rPr>
        <w:t xml:space="preserve">) </w:t>
      </w:r>
      <w:r w:rsidRPr="002619DF">
        <w:rPr>
          <w:rFonts w:hint="cs"/>
          <w:rtl/>
        </w:rPr>
        <w:t>ד</w:t>
      </w:r>
      <w:r>
        <w:rPr>
          <w:rFonts w:hint="cs"/>
          <w:rtl/>
        </w:rPr>
        <w:t xml:space="preserve">כיון דהמוכר אמר מחוץ לב"ד, למחזיק שהוא קנה מהמוכר שא"ל שקנה מהמערער, ואינו נאמן במיגו מחוץ לב"ד, דמחוץ לב"ד מקבלים רק את מה שהודה לחובתו, ולא את טענתו דטען לטובתו, </w:t>
      </w:r>
      <w:r w:rsidRPr="00376626">
        <w:rPr>
          <w:rStyle w:val="afb"/>
          <w:rFonts w:hint="cs"/>
          <w:rtl/>
        </w:rPr>
        <w:t xml:space="preserve">[כדביאר </w:t>
      </w:r>
      <w:r w:rsidRPr="00376626">
        <w:rPr>
          <w:rStyle w:val="affa"/>
          <w:rFonts w:hint="cs"/>
          <w:rtl/>
        </w:rPr>
        <w:t>התומים</w:t>
      </w:r>
      <w:r w:rsidRPr="00376626">
        <w:rPr>
          <w:rStyle w:val="afb"/>
          <w:rFonts w:hint="cs"/>
          <w:rtl/>
        </w:rPr>
        <w:t xml:space="preserve"> </w:t>
      </w:r>
      <w:r w:rsidRPr="00376626">
        <w:rPr>
          <w:rStyle w:val="aff6"/>
          <w:rFonts w:hint="cs"/>
          <w:rtl/>
        </w:rPr>
        <w:t>(סי' קמ"ו ס"ק י"ד ד"ה והנה אם, הובא בסימן ח' אות ל"ט)</w:t>
      </w:r>
      <w:r w:rsidRPr="00376626">
        <w:rPr>
          <w:rStyle w:val="afb"/>
          <w:rFonts w:hint="cs"/>
          <w:rtl/>
        </w:rPr>
        <w:t>],</w:t>
      </w:r>
      <w:r>
        <w:rPr>
          <w:rFonts w:hint="cs"/>
          <w:rtl/>
        </w:rPr>
        <w:t xml:space="preserve"> א"כ חשיב שהודה המוכר למחזיק שהייתה של המערער, ולכן המחזיק הוא ע"א שהייתה הקרקע של המערער.</w:t>
      </w:r>
      <w:bookmarkEnd w:id="10807"/>
    </w:p>
    <w:p w:rsidR="006A4297" w:rsidRPr="006A4297" w:rsidRDefault="006A4297" w:rsidP="006A4297">
      <w:pPr>
        <w:pStyle w:val="a3"/>
        <w:rPr>
          <w:rtl/>
        </w:rPr>
      </w:pPr>
    </w:p>
    <w:p w:rsidR="006A4297" w:rsidRPr="006A4297" w:rsidRDefault="006A4297" w:rsidP="006A4297">
      <w:pPr>
        <w:pStyle w:val="a3"/>
        <w:rPr>
          <w:rtl/>
        </w:rPr>
      </w:pPr>
    </w:p>
    <w:p w:rsidR="006A4297" w:rsidRDefault="006A4297" w:rsidP="006A4297">
      <w:pPr>
        <w:pStyle w:val="a3"/>
        <w:rPr>
          <w:rtl/>
        </w:rPr>
      </w:pPr>
      <w:bookmarkStart w:id="10808" w:name="_Toc60616505"/>
      <w:bookmarkStart w:id="10809" w:name="_Toc60678269"/>
      <w:r>
        <w:rPr>
          <w:rFonts w:hint="cs"/>
          <w:rtl/>
        </w:rPr>
        <w:lastRenderedPageBreak/>
        <w:t>ביאור התומים דנח' הרשב"א בתוס' ור"י אי טענינן כשיש ע"א נגד המיגו שהיה המוכר נאמן בו</w:t>
      </w:r>
      <w:bookmarkEnd w:id="10808"/>
      <w:bookmarkEnd w:id="10809"/>
    </w:p>
    <w:p w:rsidR="006A4297" w:rsidRPr="00715539" w:rsidRDefault="006A4297" w:rsidP="007E4E81">
      <w:pPr>
        <w:pStyle w:val="a0"/>
        <w:rPr>
          <w:rtl/>
        </w:rPr>
      </w:pPr>
      <w:r>
        <w:rPr>
          <w:rFonts w:hint="cs"/>
          <w:rtl/>
        </w:rPr>
        <w:t xml:space="preserve">וכתב </w:t>
      </w:r>
      <w:r w:rsidRPr="008F6A4F">
        <w:rPr>
          <w:rStyle w:val="af9"/>
          <w:rFonts w:hint="cs"/>
          <w:rtl/>
        </w:rPr>
        <w:t xml:space="preserve">התומים </w:t>
      </w:r>
      <w:r>
        <w:rPr>
          <w:rFonts w:hint="cs"/>
          <w:rtl/>
        </w:rPr>
        <w:t xml:space="preserve">דלדעת </w:t>
      </w:r>
      <w:r w:rsidRPr="0075541D">
        <w:rPr>
          <w:rStyle w:val="af9"/>
          <w:rFonts w:hint="cs"/>
          <w:rtl/>
        </w:rPr>
        <w:t>הרשב"א בתוס'</w:t>
      </w:r>
      <w:r w:rsidRPr="00CE2CFB">
        <w:rPr>
          <w:rStyle w:val="af7"/>
          <w:rFonts w:eastAsia="Guttman Hodes" w:hint="cs"/>
          <w:rtl/>
        </w:rPr>
        <w:t xml:space="preserve"> (עי' אות </w:t>
      </w:r>
      <w:r w:rsidRPr="00CE2CFB">
        <w:rPr>
          <w:rStyle w:val="af7"/>
          <w:rFonts w:eastAsia="Guttman Hodes"/>
          <w:rtl/>
        </w:rPr>
        <w:fldChar w:fldCharType="begin"/>
      </w:r>
      <w:r w:rsidRPr="00CE2CFB">
        <w:rPr>
          <w:rStyle w:val="af7"/>
          <w:rFonts w:eastAsia="Guttman Hodes"/>
          <w:rtl/>
        </w:rPr>
        <w:instrText xml:space="preserve"> </w:instrText>
      </w:r>
      <w:r w:rsidRPr="00CE2CFB">
        <w:rPr>
          <w:rStyle w:val="af7"/>
          <w:rFonts w:eastAsia="Guttman Hodes" w:hint="cs"/>
        </w:rPr>
        <w:instrText>REF</w:instrText>
      </w:r>
      <w:r w:rsidRPr="00CE2CFB">
        <w:rPr>
          <w:rStyle w:val="af7"/>
          <w:rFonts w:eastAsia="Guttman Hodes" w:hint="cs"/>
          <w:rtl/>
        </w:rPr>
        <w:instrText xml:space="preserve"> _</w:instrText>
      </w:r>
      <w:r w:rsidRPr="00CE2CFB">
        <w:rPr>
          <w:rStyle w:val="af7"/>
          <w:rFonts w:eastAsia="Guttman Hodes" w:hint="cs"/>
        </w:rPr>
        <w:instrText>Ref60342515 \r \h</w:instrText>
      </w:r>
      <w:r w:rsidRPr="00CE2CFB">
        <w:rPr>
          <w:rStyle w:val="af7"/>
          <w:rFonts w:eastAsia="Guttman Hodes"/>
          <w:rtl/>
        </w:rPr>
        <w:instrText xml:space="preserve"> </w:instrText>
      </w:r>
      <w:r w:rsidRPr="00CE2CFB">
        <w:rPr>
          <w:rStyle w:val="af7"/>
          <w:rFonts w:eastAsia="Guttman Hodes"/>
          <w:rtl/>
        </w:rPr>
      </w:r>
      <w:r w:rsidRPr="00CE2CFB">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CE2CFB">
        <w:rPr>
          <w:rStyle w:val="af7"/>
          <w:rFonts w:eastAsia="Guttman Hodes"/>
          <w:rtl/>
        </w:rPr>
        <w:fldChar w:fldCharType="end"/>
      </w:r>
      <w:r w:rsidRPr="00CE2CFB">
        <w:rPr>
          <w:rStyle w:val="af7"/>
          <w:rFonts w:eastAsia="Guttman Hodes" w:hint="cs"/>
          <w:rtl/>
        </w:rPr>
        <w:t xml:space="preserve"> </w:t>
      </w:r>
      <w:r>
        <w:rPr>
          <w:rFonts w:hint="cs"/>
          <w:rtl/>
        </w:rPr>
        <w:t xml:space="preserve">טענינן מיגו, אעפ"י שהמחזיק הוא ע"א שהייתה הקרקע של המוכר, וע"ז פליג עליו </w:t>
      </w:r>
      <w:r w:rsidRPr="00413126">
        <w:rPr>
          <w:rStyle w:val="af9"/>
          <w:rFonts w:hint="cs"/>
          <w:rtl/>
        </w:rPr>
        <w:t>ר"י</w:t>
      </w:r>
      <w:r>
        <w:rPr>
          <w:rFonts w:hint="cs"/>
          <w:rtl/>
        </w:rPr>
        <w:t xml:space="preserve"> </w:t>
      </w:r>
      <w:r w:rsidRPr="00413126">
        <w:rPr>
          <w:rStyle w:val="af7"/>
          <w:rFonts w:eastAsia="Guttman Hodes" w:hint="cs"/>
          <w:rtl/>
        </w:rPr>
        <w:t xml:space="preserve">(עי' אות </w:t>
      </w:r>
      <w:r w:rsidRPr="00413126">
        <w:rPr>
          <w:rStyle w:val="af7"/>
          <w:rFonts w:eastAsia="Guttman Hodes"/>
          <w:rtl/>
        </w:rPr>
        <w:fldChar w:fldCharType="begin"/>
      </w:r>
      <w:r w:rsidRPr="00413126">
        <w:rPr>
          <w:rStyle w:val="af7"/>
          <w:rFonts w:eastAsia="Guttman Hodes"/>
          <w:rtl/>
        </w:rPr>
        <w:instrText xml:space="preserve"> </w:instrText>
      </w:r>
      <w:r w:rsidRPr="00413126">
        <w:rPr>
          <w:rStyle w:val="af7"/>
          <w:rFonts w:eastAsia="Guttman Hodes" w:hint="cs"/>
        </w:rPr>
        <w:instrText>REF</w:instrText>
      </w:r>
      <w:r w:rsidRPr="00413126">
        <w:rPr>
          <w:rStyle w:val="af7"/>
          <w:rFonts w:eastAsia="Guttman Hodes" w:hint="cs"/>
          <w:rtl/>
        </w:rPr>
        <w:instrText xml:space="preserve"> _</w:instrText>
      </w:r>
      <w:r w:rsidRPr="00413126">
        <w:rPr>
          <w:rStyle w:val="af7"/>
          <w:rFonts w:eastAsia="Guttman Hodes" w:hint="cs"/>
        </w:rPr>
        <w:instrText>Ref60343325 \r \h</w:instrText>
      </w:r>
      <w:r w:rsidRPr="00413126">
        <w:rPr>
          <w:rStyle w:val="af7"/>
          <w:rFonts w:eastAsia="Guttman Hodes"/>
          <w:rtl/>
        </w:rPr>
        <w:instrText xml:space="preserve"> </w:instrText>
      </w:r>
      <w:r w:rsidRPr="00413126">
        <w:rPr>
          <w:rStyle w:val="af7"/>
          <w:rFonts w:eastAsia="Guttman Hodes"/>
          <w:rtl/>
        </w:rPr>
      </w:r>
      <w:r w:rsidRPr="00413126">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413126">
        <w:rPr>
          <w:rStyle w:val="af7"/>
          <w:rFonts w:eastAsia="Guttman Hodes"/>
          <w:rtl/>
        </w:rPr>
        <w:fldChar w:fldCharType="end"/>
      </w:r>
      <w:r>
        <w:rPr>
          <w:rFonts w:hint="cs"/>
          <w:rtl/>
        </w:rPr>
        <w:t xml:space="preserve"> דס"ל דכיון שיש ע"א כנגד המיגו, לא טענינן את המיגו שהיה המוכר נאמן, לטעון דלא הייתה של המערער מעולם. </w:t>
      </w:r>
    </w:p>
    <w:p w:rsidR="006A4297" w:rsidRPr="00217C8A" w:rsidRDefault="006A4297" w:rsidP="006A4297">
      <w:pPr>
        <w:pStyle w:val="a3"/>
        <w:rPr>
          <w:rtl/>
        </w:rPr>
      </w:pPr>
      <w:bookmarkStart w:id="10810" w:name="_Toc60616506"/>
      <w:bookmarkStart w:id="10811" w:name="_Toc60678270"/>
      <w:r>
        <w:rPr>
          <w:rFonts w:hint="cs"/>
          <w:rtl/>
        </w:rPr>
        <w:t>קושית התומים על ההג' אשר"י דלא הזכיר דאיירי שיש ע"א נגד המיגו ואיך כתב דר"י פליג</w:t>
      </w:r>
      <w:bookmarkEnd w:id="10810"/>
      <w:bookmarkEnd w:id="10811"/>
    </w:p>
    <w:p w:rsidR="006A4297" w:rsidRDefault="006A4297" w:rsidP="007E4E81">
      <w:pPr>
        <w:pStyle w:val="a0"/>
        <w:rPr>
          <w:rtl/>
        </w:rPr>
      </w:pPr>
      <w:bookmarkStart w:id="10812" w:name="_Ref60694070"/>
      <w:r>
        <w:rPr>
          <w:rFonts w:hint="cs"/>
          <w:rtl/>
        </w:rPr>
        <w:t xml:space="preserve">ובמה שהוכיח </w:t>
      </w:r>
      <w:r w:rsidRPr="008F6A4F">
        <w:rPr>
          <w:rStyle w:val="af9"/>
          <w:rFonts w:hint="cs"/>
          <w:rtl/>
        </w:rPr>
        <w:t>המהרש"א</w:t>
      </w:r>
      <w:r>
        <w:rPr>
          <w:rFonts w:hint="cs"/>
          <w:rtl/>
        </w:rPr>
        <w:t xml:space="preserve"> </w:t>
      </w:r>
      <w:r w:rsidRPr="0042051C">
        <w:rPr>
          <w:rStyle w:val="af7"/>
          <w:rFonts w:eastAsia="Guttman Hodes" w:hint="cs"/>
          <w:rtl/>
        </w:rPr>
        <w:t xml:space="preserve">(עי' אות </w:t>
      </w:r>
      <w:r w:rsidRPr="0042051C">
        <w:rPr>
          <w:rStyle w:val="af7"/>
          <w:rFonts w:eastAsia="Guttman Hodes"/>
          <w:rtl/>
        </w:rPr>
        <w:fldChar w:fldCharType="begin"/>
      </w:r>
      <w:r w:rsidRPr="0042051C">
        <w:rPr>
          <w:rStyle w:val="af7"/>
          <w:rFonts w:eastAsia="Guttman Hodes"/>
          <w:rtl/>
        </w:rPr>
        <w:instrText xml:space="preserve"> </w:instrText>
      </w:r>
      <w:r w:rsidRPr="0042051C">
        <w:rPr>
          <w:rStyle w:val="af7"/>
          <w:rFonts w:eastAsia="Guttman Hodes" w:hint="cs"/>
        </w:rPr>
        <w:instrText>REF</w:instrText>
      </w:r>
      <w:r w:rsidRPr="0042051C">
        <w:rPr>
          <w:rStyle w:val="af7"/>
          <w:rFonts w:eastAsia="Guttman Hodes" w:hint="cs"/>
          <w:rtl/>
        </w:rPr>
        <w:instrText xml:space="preserve"> _</w:instrText>
      </w:r>
      <w:r w:rsidRPr="0042051C">
        <w:rPr>
          <w:rStyle w:val="af7"/>
          <w:rFonts w:eastAsia="Guttman Hodes" w:hint="cs"/>
        </w:rPr>
        <w:instrText>Ref60614431 \r \h</w:instrText>
      </w:r>
      <w:r w:rsidRPr="0042051C">
        <w:rPr>
          <w:rStyle w:val="af7"/>
          <w:rFonts w:eastAsia="Guttman Hodes"/>
          <w:rtl/>
        </w:rPr>
        <w:instrText xml:space="preserve"> </w:instrText>
      </w:r>
      <w:r w:rsidRPr="0042051C">
        <w:rPr>
          <w:rStyle w:val="af7"/>
          <w:rFonts w:eastAsia="Guttman Hodes"/>
          <w:rtl/>
        </w:rPr>
      </w:r>
      <w:r w:rsidRPr="0042051C">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42051C">
        <w:rPr>
          <w:rStyle w:val="af7"/>
          <w:rFonts w:eastAsia="Guttman Hodes"/>
          <w:rtl/>
        </w:rPr>
        <w:fldChar w:fldCharType="end"/>
      </w:r>
      <w:r>
        <w:rPr>
          <w:rFonts w:hint="cs"/>
          <w:rtl/>
        </w:rPr>
        <w:t xml:space="preserve"> </w:t>
      </w:r>
      <w:r w:rsidRPr="008F6A4F">
        <w:rPr>
          <w:rStyle w:val="af9"/>
          <w:rFonts w:hint="cs"/>
          <w:rtl/>
        </w:rPr>
        <w:t>דר"י</w:t>
      </w:r>
      <w:r>
        <w:rPr>
          <w:rFonts w:hint="cs"/>
          <w:rtl/>
        </w:rPr>
        <w:t xml:space="preserve"> פליג על </w:t>
      </w:r>
      <w:r w:rsidRPr="0075541D">
        <w:rPr>
          <w:rStyle w:val="af9"/>
          <w:rFonts w:hint="cs"/>
          <w:rtl/>
        </w:rPr>
        <w:t>הרשב"א בתוס'</w:t>
      </w:r>
      <w:r w:rsidRPr="00CE2CFB">
        <w:rPr>
          <w:rStyle w:val="af7"/>
          <w:rFonts w:eastAsia="Guttman Hodes" w:hint="cs"/>
          <w:rtl/>
        </w:rPr>
        <w:t xml:space="preserve"> </w:t>
      </w:r>
      <w:r>
        <w:rPr>
          <w:rFonts w:hint="cs"/>
          <w:rtl/>
        </w:rPr>
        <w:t xml:space="preserve">וס"ל דאינו נאמן בטענת קמי דידי דר בה חד יומא מהא </w:t>
      </w:r>
      <w:r w:rsidRPr="0030471B">
        <w:rPr>
          <w:rStyle w:val="af9"/>
          <w:rFonts w:hint="cs"/>
          <w:rtl/>
        </w:rPr>
        <w:t>דההג' אשר"י</w:t>
      </w:r>
      <w:r>
        <w:rPr>
          <w:rFonts w:hint="cs"/>
          <w:rtl/>
        </w:rPr>
        <w:t xml:space="preserve"> </w:t>
      </w:r>
      <w:r w:rsidRPr="0042051C">
        <w:rPr>
          <w:rStyle w:val="af7"/>
          <w:rFonts w:eastAsia="Guttman Hodes" w:hint="cs"/>
          <w:rtl/>
        </w:rPr>
        <w:t xml:space="preserve">(עי' אות </w:t>
      </w:r>
      <w:r w:rsidRPr="0042051C">
        <w:rPr>
          <w:rStyle w:val="af7"/>
          <w:rFonts w:eastAsia="Guttman Hodes"/>
          <w:rtl/>
        </w:rPr>
        <w:fldChar w:fldCharType="begin"/>
      </w:r>
      <w:r w:rsidRPr="0042051C">
        <w:rPr>
          <w:rStyle w:val="af7"/>
          <w:rFonts w:eastAsia="Guttman Hodes"/>
          <w:rtl/>
        </w:rPr>
        <w:instrText xml:space="preserve"> </w:instrText>
      </w:r>
      <w:r w:rsidRPr="0042051C">
        <w:rPr>
          <w:rStyle w:val="af7"/>
          <w:rFonts w:eastAsia="Guttman Hodes" w:hint="cs"/>
        </w:rPr>
        <w:instrText>REF</w:instrText>
      </w:r>
      <w:r w:rsidRPr="0042051C">
        <w:rPr>
          <w:rStyle w:val="af7"/>
          <w:rFonts w:eastAsia="Guttman Hodes" w:hint="cs"/>
          <w:rtl/>
        </w:rPr>
        <w:instrText xml:space="preserve"> _</w:instrText>
      </w:r>
      <w:r w:rsidRPr="0042051C">
        <w:rPr>
          <w:rStyle w:val="af7"/>
          <w:rFonts w:eastAsia="Guttman Hodes" w:hint="cs"/>
        </w:rPr>
        <w:instrText>Ref60605600 \r \h</w:instrText>
      </w:r>
      <w:r w:rsidRPr="0042051C">
        <w:rPr>
          <w:rStyle w:val="af7"/>
          <w:rFonts w:eastAsia="Guttman Hodes"/>
          <w:rtl/>
        </w:rPr>
        <w:instrText xml:space="preserve"> </w:instrText>
      </w:r>
      <w:r w:rsidRPr="0042051C">
        <w:rPr>
          <w:rStyle w:val="af7"/>
          <w:rFonts w:eastAsia="Guttman Hodes"/>
          <w:rtl/>
        </w:rPr>
      </w:r>
      <w:r w:rsidRPr="0042051C">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42051C">
        <w:rPr>
          <w:rStyle w:val="af7"/>
          <w:rFonts w:eastAsia="Guttman Hodes"/>
          <w:rtl/>
        </w:rPr>
        <w:fldChar w:fldCharType="end"/>
      </w:r>
      <w:r>
        <w:rPr>
          <w:rFonts w:hint="cs"/>
          <w:rtl/>
        </w:rPr>
        <w:t xml:space="preserve"> כתב דנאמן במיגו בשם </w:t>
      </w:r>
      <w:r w:rsidRPr="00670C9F">
        <w:rPr>
          <w:rStyle w:val="af9"/>
          <w:rFonts w:hint="cs"/>
          <w:rtl/>
        </w:rPr>
        <w:t>הרשב"א בתוס'</w:t>
      </w:r>
      <w:r>
        <w:rPr>
          <w:rFonts w:hint="cs"/>
          <w:rtl/>
        </w:rPr>
        <w:t>, הקשה</w:t>
      </w:r>
      <w:r w:rsidRPr="00191840">
        <w:rPr>
          <w:rStyle w:val="af9"/>
          <w:rFonts w:hint="cs"/>
          <w:rtl/>
        </w:rPr>
        <w:t xml:space="preserve"> </w:t>
      </w:r>
      <w:r w:rsidRPr="000E174F">
        <w:rPr>
          <w:rStyle w:val="af9"/>
          <w:rFonts w:hint="cs"/>
          <w:rtl/>
        </w:rPr>
        <w:t xml:space="preserve">התומים </w:t>
      </w:r>
      <w:r w:rsidRPr="000E174F">
        <w:rPr>
          <w:rStyle w:val="af7"/>
          <w:rFonts w:eastAsia="Guttman Hodes" w:hint="cs"/>
          <w:rtl/>
        </w:rPr>
        <w:t>(סי' קמ"ו סקי"ד</w:t>
      </w:r>
      <w:r w:rsidRPr="000E174F">
        <w:rPr>
          <w:rStyle w:val="af7"/>
          <w:rFonts w:eastAsia="Guttman Hodes"/>
          <w:rtl/>
        </w:rPr>
        <w:t xml:space="preserve"> </w:t>
      </w:r>
      <w:r>
        <w:rPr>
          <w:rStyle w:val="af7"/>
          <w:rFonts w:eastAsia="Guttman Hodes" w:hint="cs"/>
          <w:rtl/>
        </w:rPr>
        <w:t xml:space="preserve">ד"ה </w:t>
      </w:r>
      <w:r w:rsidRPr="00CE2CFB">
        <w:rPr>
          <w:rStyle w:val="af7"/>
          <w:rFonts w:eastAsia="Guttman Hodes"/>
          <w:rtl/>
        </w:rPr>
        <w:t>ובהכי יתיישבו</w:t>
      </w:r>
      <w:r w:rsidRPr="00CE2CFB">
        <w:rPr>
          <w:rStyle w:val="af7"/>
          <w:rFonts w:eastAsia="Guttman Hodes" w:hint="cs"/>
          <w:rtl/>
        </w:rPr>
        <w:t xml:space="preserve">) </w:t>
      </w:r>
      <w:r>
        <w:rPr>
          <w:rFonts w:hint="cs"/>
          <w:rtl/>
        </w:rPr>
        <w:t xml:space="preserve">דהא </w:t>
      </w:r>
      <w:r w:rsidRPr="00EF29C8">
        <w:rPr>
          <w:rStyle w:val="af9"/>
          <w:rFonts w:hint="cs"/>
          <w:rtl/>
        </w:rPr>
        <w:t>ההג' אשר"י</w:t>
      </w:r>
      <w:r w:rsidRPr="00CE2CFB">
        <w:rPr>
          <w:rFonts w:hint="cs"/>
          <w:rtl/>
        </w:rPr>
        <w:t xml:space="preserve"> לא הזכיר בדבריו כלל דמ"ש </w:t>
      </w:r>
      <w:r w:rsidRPr="00CE2CFB">
        <w:rPr>
          <w:rStyle w:val="af9"/>
          <w:rFonts w:hint="cs"/>
          <w:rtl/>
        </w:rPr>
        <w:t>הרשב"א בתוס'</w:t>
      </w:r>
      <w:r w:rsidRPr="00CE2CFB">
        <w:rPr>
          <w:rFonts w:hint="cs"/>
          <w:rtl/>
        </w:rPr>
        <w:t xml:space="preserve"> הוא רק באופן דהמחזיק הוא ע"א דמודה דהייתה הקרקע של המערער, דהיינו שהודה המחזיק בפירוש, והרי כ"מ דנחלקו </w:t>
      </w:r>
      <w:r w:rsidRPr="0030471B">
        <w:rPr>
          <w:rStyle w:val="af9"/>
          <w:rFonts w:hint="cs"/>
          <w:rtl/>
        </w:rPr>
        <w:t>ר"י והרשב"א בתוס'</w:t>
      </w:r>
      <w:r w:rsidRPr="00CE2CFB">
        <w:rPr>
          <w:rFonts w:hint="cs"/>
          <w:rtl/>
        </w:rPr>
        <w:t xml:space="preserve">, הוא רק בכה"ג, </w:t>
      </w:r>
      <w:r w:rsidRPr="00EF29C8">
        <w:rPr>
          <w:rStyle w:val="afb"/>
          <w:rFonts w:hint="cs"/>
          <w:rtl/>
        </w:rPr>
        <w:t>[</w:t>
      </w:r>
      <w:r>
        <w:rPr>
          <w:rStyle w:val="afb"/>
          <w:rFonts w:hint="cs"/>
          <w:rtl/>
        </w:rPr>
        <w:t xml:space="preserve">כדביאר </w:t>
      </w:r>
      <w:r w:rsidRPr="0042051C">
        <w:rPr>
          <w:rStyle w:val="affa"/>
          <w:rFonts w:hint="cs"/>
          <w:rtl/>
        </w:rPr>
        <w:t>התומים</w:t>
      </w:r>
      <w:r w:rsidRPr="0042051C">
        <w:rPr>
          <w:rStyle w:val="aff6"/>
          <w:rFonts w:hint="cs"/>
          <w:rtl/>
        </w:rPr>
        <w:t xml:space="preserve"> (עי' אות </w:t>
      </w:r>
      <w:r w:rsidRPr="0042051C">
        <w:rPr>
          <w:rStyle w:val="aff6"/>
          <w:rtl/>
        </w:rPr>
        <w:fldChar w:fldCharType="begin"/>
      </w:r>
      <w:r w:rsidRPr="0042051C">
        <w:rPr>
          <w:rStyle w:val="aff6"/>
          <w:rtl/>
        </w:rPr>
        <w:instrText xml:space="preserve"> </w:instrText>
      </w:r>
      <w:r w:rsidRPr="0042051C">
        <w:rPr>
          <w:rStyle w:val="aff6"/>
          <w:rFonts w:hint="cs"/>
        </w:rPr>
        <w:instrText>REF</w:instrText>
      </w:r>
      <w:r w:rsidRPr="0042051C">
        <w:rPr>
          <w:rStyle w:val="aff6"/>
          <w:rFonts w:hint="cs"/>
          <w:rtl/>
        </w:rPr>
        <w:instrText xml:space="preserve"> _</w:instrText>
      </w:r>
      <w:r w:rsidRPr="0042051C">
        <w:rPr>
          <w:rStyle w:val="aff6"/>
          <w:rFonts w:hint="cs"/>
        </w:rPr>
        <w:instrText>Ref60614532 \r \h</w:instrText>
      </w:r>
      <w:r w:rsidRPr="0042051C">
        <w:rPr>
          <w:rStyle w:val="aff6"/>
          <w:rtl/>
        </w:rPr>
        <w:instrText xml:space="preserve"> </w:instrText>
      </w:r>
      <w:r w:rsidRPr="0042051C">
        <w:rPr>
          <w:rStyle w:val="aff6"/>
          <w:rtl/>
        </w:rPr>
      </w:r>
      <w:r w:rsidRPr="0042051C">
        <w:rPr>
          <w:rStyle w:val="aff6"/>
          <w:rtl/>
        </w:rPr>
        <w:fldChar w:fldCharType="separate"/>
      </w:r>
      <w:r w:rsidR="00265073">
        <w:rPr>
          <w:rStyle w:val="aff6"/>
          <w:cs/>
        </w:rPr>
        <w:t>‎</w:t>
      </w:r>
      <w:r w:rsidR="00265073">
        <w:rPr>
          <w:rStyle w:val="aff6"/>
          <w:rtl/>
        </w:rPr>
        <w:t>סד)</w:t>
      </w:r>
      <w:r w:rsidRPr="0042051C">
        <w:rPr>
          <w:rStyle w:val="aff6"/>
          <w:rtl/>
        </w:rPr>
        <w:fldChar w:fldCharType="end"/>
      </w:r>
      <w:r>
        <w:rPr>
          <w:rStyle w:val="afb"/>
          <w:rFonts w:hint="cs"/>
          <w:rtl/>
        </w:rPr>
        <w:t xml:space="preserve"> בדברי </w:t>
      </w:r>
      <w:r w:rsidRPr="0042051C">
        <w:rPr>
          <w:rStyle w:val="affa"/>
          <w:rFonts w:hint="cs"/>
          <w:rtl/>
        </w:rPr>
        <w:t>הרשב"א בתוס'</w:t>
      </w:r>
      <w:r w:rsidRPr="00EF29C8">
        <w:rPr>
          <w:rStyle w:val="afb"/>
          <w:rFonts w:hint="cs"/>
          <w:rtl/>
        </w:rPr>
        <w:t>],</w:t>
      </w:r>
      <w:r w:rsidRPr="00CE2CFB">
        <w:rPr>
          <w:rFonts w:hint="cs"/>
          <w:rtl/>
        </w:rPr>
        <w:t xml:space="preserve"> וא"כ היאך כתב </w:t>
      </w:r>
      <w:r w:rsidRPr="00E7242B">
        <w:rPr>
          <w:rStyle w:val="af9"/>
          <w:rFonts w:hint="cs"/>
          <w:rtl/>
        </w:rPr>
        <w:t>ההג' אשר"י</w:t>
      </w:r>
      <w:r w:rsidRPr="00CE2CFB">
        <w:rPr>
          <w:rFonts w:hint="cs"/>
          <w:rtl/>
        </w:rPr>
        <w:t xml:space="preserve"> דהנאמנות במיגו היא רק לדעת </w:t>
      </w:r>
      <w:r w:rsidRPr="00CE2CFB">
        <w:rPr>
          <w:rStyle w:val="af9"/>
          <w:rFonts w:hint="cs"/>
          <w:rtl/>
        </w:rPr>
        <w:t>הרשב"א בתוס'</w:t>
      </w:r>
      <w:r w:rsidRPr="00CE2CFB">
        <w:rPr>
          <w:rFonts w:hint="cs"/>
          <w:rtl/>
        </w:rPr>
        <w:t>.</w:t>
      </w:r>
      <w:bookmarkEnd w:id="10812"/>
    </w:p>
    <w:p w:rsidR="006A4297" w:rsidRPr="00CE2CFB" w:rsidRDefault="006A4297" w:rsidP="006A4297">
      <w:pPr>
        <w:pStyle w:val="a3"/>
        <w:rPr>
          <w:rtl/>
        </w:rPr>
      </w:pPr>
      <w:bookmarkStart w:id="10813" w:name="_Toc60616507"/>
      <w:bookmarkStart w:id="10814" w:name="_Toc60678271"/>
      <w:r>
        <w:rPr>
          <w:rFonts w:hint="cs"/>
          <w:rtl/>
        </w:rPr>
        <w:t>קושית התומים על המהרש"א דדברי התוס' דנאמן בטענת חד יומא לא איירי ביש ע"א למערער</w:t>
      </w:r>
      <w:bookmarkEnd w:id="10813"/>
      <w:bookmarkEnd w:id="10814"/>
    </w:p>
    <w:p w:rsidR="006A4297" w:rsidRDefault="006A4297" w:rsidP="007E4E81">
      <w:pPr>
        <w:pStyle w:val="a0"/>
        <w:rPr>
          <w:rtl/>
        </w:rPr>
      </w:pPr>
      <w:r w:rsidRPr="00CE2CFB">
        <w:rPr>
          <w:rFonts w:hint="cs"/>
          <w:rtl/>
        </w:rPr>
        <w:t xml:space="preserve">והוסיף </w:t>
      </w:r>
      <w:r w:rsidRPr="004D4887">
        <w:rPr>
          <w:rStyle w:val="af9"/>
          <w:rFonts w:hint="cs"/>
          <w:rtl/>
        </w:rPr>
        <w:t xml:space="preserve">התומים </w:t>
      </w:r>
      <w:r w:rsidRPr="00CE2CFB">
        <w:rPr>
          <w:rFonts w:hint="cs"/>
          <w:rtl/>
        </w:rPr>
        <w:t xml:space="preserve">להקשות על </w:t>
      </w:r>
      <w:r w:rsidRPr="008F6A4F">
        <w:rPr>
          <w:rStyle w:val="af9"/>
          <w:rFonts w:hint="cs"/>
          <w:rtl/>
        </w:rPr>
        <w:t>המהרש"א</w:t>
      </w:r>
      <w:r>
        <w:rPr>
          <w:rFonts w:hint="cs"/>
          <w:rtl/>
        </w:rPr>
        <w:t xml:space="preserve"> </w:t>
      </w:r>
      <w:r w:rsidRPr="0042051C">
        <w:rPr>
          <w:rStyle w:val="af7"/>
          <w:rFonts w:eastAsia="Guttman Hodes" w:hint="cs"/>
          <w:rtl/>
        </w:rPr>
        <w:t xml:space="preserve">(עי' אות </w:t>
      </w:r>
      <w:r w:rsidRPr="0042051C">
        <w:rPr>
          <w:rStyle w:val="af7"/>
          <w:rFonts w:eastAsia="Guttman Hodes"/>
          <w:rtl/>
        </w:rPr>
        <w:fldChar w:fldCharType="begin"/>
      </w:r>
      <w:r w:rsidRPr="0042051C">
        <w:rPr>
          <w:rStyle w:val="af7"/>
          <w:rFonts w:eastAsia="Guttman Hodes"/>
          <w:rtl/>
        </w:rPr>
        <w:instrText xml:space="preserve"> </w:instrText>
      </w:r>
      <w:r w:rsidRPr="0042051C">
        <w:rPr>
          <w:rStyle w:val="af7"/>
          <w:rFonts w:eastAsia="Guttman Hodes" w:hint="cs"/>
        </w:rPr>
        <w:instrText>REF</w:instrText>
      </w:r>
      <w:r w:rsidRPr="0042051C">
        <w:rPr>
          <w:rStyle w:val="af7"/>
          <w:rFonts w:eastAsia="Guttman Hodes" w:hint="cs"/>
          <w:rtl/>
        </w:rPr>
        <w:instrText xml:space="preserve"> _</w:instrText>
      </w:r>
      <w:r w:rsidRPr="0042051C">
        <w:rPr>
          <w:rStyle w:val="af7"/>
          <w:rFonts w:eastAsia="Guttman Hodes" w:hint="cs"/>
        </w:rPr>
        <w:instrText>Ref60614431 \r \h</w:instrText>
      </w:r>
      <w:r w:rsidRPr="0042051C">
        <w:rPr>
          <w:rStyle w:val="af7"/>
          <w:rFonts w:eastAsia="Guttman Hodes"/>
          <w:rtl/>
        </w:rPr>
        <w:instrText xml:space="preserve"> </w:instrText>
      </w:r>
      <w:r w:rsidRPr="0042051C">
        <w:rPr>
          <w:rStyle w:val="af7"/>
          <w:rFonts w:eastAsia="Guttman Hodes"/>
          <w:rtl/>
        </w:rPr>
      </w:r>
      <w:r w:rsidRPr="0042051C">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42051C">
        <w:rPr>
          <w:rStyle w:val="af7"/>
          <w:rFonts w:eastAsia="Guttman Hodes"/>
          <w:rtl/>
        </w:rPr>
        <w:fldChar w:fldCharType="end"/>
      </w:r>
      <w:r>
        <w:rPr>
          <w:rFonts w:hint="cs"/>
          <w:rtl/>
        </w:rPr>
        <w:t xml:space="preserve"> </w:t>
      </w:r>
      <w:r w:rsidRPr="00CE2CFB">
        <w:rPr>
          <w:rFonts w:hint="cs"/>
          <w:rtl/>
        </w:rPr>
        <w:t xml:space="preserve">דהרי מ"ש </w:t>
      </w:r>
      <w:r w:rsidRPr="00CE2CFB">
        <w:rPr>
          <w:rStyle w:val="af9"/>
          <w:rFonts w:hint="cs"/>
          <w:rtl/>
        </w:rPr>
        <w:t>התוס'</w:t>
      </w:r>
      <w:r w:rsidRPr="00CE2CFB">
        <w:rPr>
          <w:rFonts w:hint="cs"/>
          <w:rtl/>
        </w:rPr>
        <w:t xml:space="preserve"> </w:t>
      </w:r>
      <w:r w:rsidRPr="00CE2CFB">
        <w:rPr>
          <w:rStyle w:val="af9"/>
          <w:rFonts w:hint="cs"/>
          <w:rtl/>
        </w:rPr>
        <w:t>בתחילת דבריהם</w:t>
      </w:r>
      <w:r w:rsidRPr="00CE2CFB">
        <w:rPr>
          <w:rStyle w:val="af7"/>
          <w:rFonts w:eastAsia="Guttman Hodes" w:hint="cs"/>
          <w:rtl/>
        </w:rPr>
        <w:t xml:space="preserve"> (עי' אות </w:t>
      </w:r>
      <w:r w:rsidRPr="00CE2CFB">
        <w:rPr>
          <w:rStyle w:val="af7"/>
          <w:rFonts w:eastAsia="Guttman Hodes"/>
          <w:rtl/>
        </w:rPr>
        <w:fldChar w:fldCharType="begin"/>
      </w:r>
      <w:r w:rsidRPr="00CE2CFB">
        <w:rPr>
          <w:rStyle w:val="af7"/>
          <w:rFonts w:eastAsia="Guttman Hodes"/>
          <w:rtl/>
        </w:rPr>
        <w:instrText xml:space="preserve"> </w:instrText>
      </w:r>
      <w:r w:rsidRPr="00CE2CFB">
        <w:rPr>
          <w:rStyle w:val="af7"/>
          <w:rFonts w:eastAsia="Guttman Hodes" w:hint="cs"/>
        </w:rPr>
        <w:instrText>REF</w:instrText>
      </w:r>
      <w:r w:rsidRPr="00CE2CFB">
        <w:rPr>
          <w:rStyle w:val="af7"/>
          <w:rFonts w:eastAsia="Guttman Hodes" w:hint="cs"/>
          <w:rtl/>
        </w:rPr>
        <w:instrText xml:space="preserve"> _</w:instrText>
      </w:r>
      <w:r w:rsidRPr="00CE2CFB">
        <w:rPr>
          <w:rStyle w:val="af7"/>
          <w:rFonts w:eastAsia="Guttman Hodes" w:hint="cs"/>
        </w:rPr>
        <w:instrText>Ref60243410 \r \h</w:instrText>
      </w:r>
      <w:r w:rsidRPr="00CE2CFB">
        <w:rPr>
          <w:rStyle w:val="af7"/>
          <w:rFonts w:eastAsia="Guttman Hodes"/>
          <w:rtl/>
        </w:rPr>
        <w:instrText xml:space="preserve">  \* </w:instrText>
      </w:r>
      <w:r w:rsidRPr="00CE2CFB">
        <w:rPr>
          <w:rStyle w:val="af7"/>
          <w:rFonts w:eastAsia="Guttman Hodes"/>
        </w:rPr>
        <w:instrText>MERGEFORMAT</w:instrText>
      </w:r>
      <w:r w:rsidRPr="00CE2CFB">
        <w:rPr>
          <w:rStyle w:val="af7"/>
          <w:rFonts w:eastAsia="Guttman Hodes"/>
          <w:rtl/>
        </w:rPr>
        <w:instrText xml:space="preserve"> </w:instrText>
      </w:r>
      <w:r w:rsidRPr="00CE2CFB">
        <w:rPr>
          <w:rStyle w:val="af7"/>
          <w:rFonts w:eastAsia="Guttman Hodes"/>
          <w:rtl/>
        </w:rPr>
      </w:r>
      <w:r w:rsidRPr="00CE2CFB">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CE2CFB">
        <w:rPr>
          <w:rStyle w:val="af7"/>
          <w:rFonts w:eastAsia="Guttman Hodes"/>
          <w:rtl/>
        </w:rPr>
        <w:fldChar w:fldCharType="end"/>
      </w:r>
      <w:r w:rsidRPr="00CE2CFB">
        <w:rPr>
          <w:rStyle w:val="af7"/>
          <w:rFonts w:eastAsia="Guttman Hodes" w:hint="cs"/>
          <w:rtl/>
        </w:rPr>
        <w:t xml:space="preserve"> </w:t>
      </w:r>
      <w:r w:rsidRPr="00CE2CFB">
        <w:rPr>
          <w:rFonts w:hint="cs"/>
          <w:rtl/>
        </w:rPr>
        <w:t>דבטוען קמי דידי דר בה חד יומא נאמן במיגו, אף כשאין למחזיק ג"ש, כתבו כן בביאור דברי הגמ' בסוגיין, וע"ז כתבו דאם לא הודה המחזיק בתחילת דבריו נאמן, דאינו מיגו למפרע, ובגמ' לא איירי באופן דאייר</w:t>
      </w:r>
      <w:r>
        <w:rPr>
          <w:rFonts w:hint="cs"/>
          <w:rtl/>
        </w:rPr>
        <w:t>י</w:t>
      </w:r>
      <w:r w:rsidRPr="00CE2CFB">
        <w:rPr>
          <w:rFonts w:hint="cs"/>
          <w:rtl/>
        </w:rPr>
        <w:t xml:space="preserve"> </w:t>
      </w:r>
      <w:r w:rsidRPr="004D4887">
        <w:rPr>
          <w:rStyle w:val="af9"/>
          <w:rFonts w:hint="cs"/>
          <w:rtl/>
        </w:rPr>
        <w:t>הרשב"א בתוס'</w:t>
      </w:r>
      <w:r w:rsidRPr="00CE2CFB">
        <w:rPr>
          <w:rFonts w:hint="cs"/>
          <w:rtl/>
        </w:rPr>
        <w:t xml:space="preserve"> </w:t>
      </w:r>
      <w:r w:rsidRPr="00DC13C1">
        <w:rPr>
          <w:rStyle w:val="af7"/>
          <w:rFonts w:eastAsia="Guttman Hodes" w:hint="cs"/>
          <w:rtl/>
        </w:rPr>
        <w:t xml:space="preserve">(עי' אות </w:t>
      </w:r>
      <w:r w:rsidRPr="00DC13C1">
        <w:rPr>
          <w:rStyle w:val="af7"/>
          <w:rFonts w:eastAsia="Guttman Hodes"/>
          <w:rtl/>
        </w:rPr>
        <w:fldChar w:fldCharType="begin"/>
      </w:r>
      <w:r w:rsidRPr="00DC13C1">
        <w:rPr>
          <w:rStyle w:val="af7"/>
          <w:rFonts w:eastAsia="Guttman Hodes"/>
          <w:rtl/>
        </w:rPr>
        <w:instrText xml:space="preserve"> </w:instrText>
      </w:r>
      <w:r w:rsidRPr="00DC13C1">
        <w:rPr>
          <w:rStyle w:val="af7"/>
          <w:rFonts w:eastAsia="Guttman Hodes" w:hint="cs"/>
        </w:rPr>
        <w:instrText>REF</w:instrText>
      </w:r>
      <w:r w:rsidRPr="00DC13C1">
        <w:rPr>
          <w:rStyle w:val="af7"/>
          <w:rFonts w:eastAsia="Guttman Hodes" w:hint="cs"/>
          <w:rtl/>
        </w:rPr>
        <w:instrText xml:space="preserve"> _</w:instrText>
      </w:r>
      <w:r w:rsidRPr="00DC13C1">
        <w:rPr>
          <w:rStyle w:val="af7"/>
          <w:rFonts w:eastAsia="Guttman Hodes" w:hint="cs"/>
        </w:rPr>
        <w:instrText>Ref60614663 \r \h</w:instrText>
      </w:r>
      <w:r w:rsidRPr="00DC13C1">
        <w:rPr>
          <w:rStyle w:val="af7"/>
          <w:rFonts w:eastAsia="Guttman Hodes"/>
          <w:rtl/>
        </w:rPr>
        <w:instrText xml:space="preserve"> </w:instrText>
      </w:r>
      <w:r w:rsidRPr="00DC13C1">
        <w:rPr>
          <w:rStyle w:val="af7"/>
          <w:rFonts w:eastAsia="Guttman Hodes"/>
          <w:rtl/>
        </w:rPr>
      </w:r>
      <w:r w:rsidRPr="00DC13C1">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DC13C1">
        <w:rPr>
          <w:rStyle w:val="af7"/>
          <w:rFonts w:eastAsia="Guttman Hodes"/>
          <w:rtl/>
        </w:rPr>
        <w:fldChar w:fldCharType="end"/>
      </w:r>
      <w:r>
        <w:rPr>
          <w:rFonts w:hint="cs"/>
          <w:rtl/>
        </w:rPr>
        <w:t xml:space="preserve"> </w:t>
      </w:r>
      <w:r w:rsidRPr="00CE2CFB">
        <w:rPr>
          <w:rFonts w:hint="cs"/>
          <w:rtl/>
        </w:rPr>
        <w:t>דהמחזיק הוא ע"א שהייתה של המערער, דהיינו שהודה המחזיק בפירוש,</w:t>
      </w:r>
      <w:r>
        <w:rPr>
          <w:rFonts w:hint="cs"/>
          <w:rtl/>
        </w:rPr>
        <w:t xml:space="preserve"> </w:t>
      </w:r>
      <w:r w:rsidRPr="00CE2CFB">
        <w:rPr>
          <w:rFonts w:hint="cs"/>
          <w:rtl/>
        </w:rPr>
        <w:t xml:space="preserve">דהא המחזיק רק אמר שכן אמר לו המוכר, כדכתב </w:t>
      </w:r>
      <w:r w:rsidRPr="004D4887">
        <w:rPr>
          <w:rStyle w:val="af9"/>
          <w:rFonts w:hint="cs"/>
          <w:rtl/>
        </w:rPr>
        <w:t>הרשב"ם</w:t>
      </w:r>
      <w:r w:rsidRPr="00CE2CFB">
        <w:rPr>
          <w:rFonts w:hint="cs"/>
          <w:rtl/>
        </w:rPr>
        <w:t xml:space="preserve">, </w:t>
      </w:r>
      <w:r w:rsidRPr="004D4887">
        <w:rPr>
          <w:rStyle w:val="af9"/>
          <w:rFonts w:hint="cs"/>
          <w:rtl/>
        </w:rPr>
        <w:t>והתוס'</w:t>
      </w:r>
      <w:r>
        <w:rPr>
          <w:rFonts w:hint="cs"/>
          <w:rtl/>
        </w:rPr>
        <w:t xml:space="preserve"> לא חלקו על </w:t>
      </w:r>
      <w:r w:rsidRPr="004D4887">
        <w:rPr>
          <w:rStyle w:val="af9"/>
          <w:rFonts w:hint="cs"/>
          <w:rtl/>
        </w:rPr>
        <w:t>הרשב"ם</w:t>
      </w:r>
      <w:r>
        <w:rPr>
          <w:rFonts w:hint="cs"/>
          <w:rtl/>
        </w:rPr>
        <w:t xml:space="preserve"> בזה, וכתב </w:t>
      </w:r>
      <w:r w:rsidRPr="004D4887">
        <w:rPr>
          <w:rStyle w:val="af9"/>
          <w:rFonts w:hint="cs"/>
          <w:rtl/>
        </w:rPr>
        <w:t>התומים</w:t>
      </w:r>
      <w:r>
        <w:rPr>
          <w:rFonts w:hint="cs"/>
          <w:rtl/>
        </w:rPr>
        <w:t xml:space="preserve"> דא"כ אף לדעת </w:t>
      </w:r>
      <w:r w:rsidRPr="00413126">
        <w:rPr>
          <w:rStyle w:val="af9"/>
          <w:rFonts w:hint="cs"/>
          <w:rtl/>
        </w:rPr>
        <w:t>ר"י</w:t>
      </w:r>
      <w:r>
        <w:rPr>
          <w:rFonts w:hint="cs"/>
          <w:rtl/>
        </w:rPr>
        <w:t xml:space="preserve"> </w:t>
      </w:r>
      <w:r w:rsidRPr="00413126">
        <w:rPr>
          <w:rStyle w:val="af7"/>
          <w:rFonts w:eastAsia="Guttman Hodes" w:hint="cs"/>
          <w:rtl/>
        </w:rPr>
        <w:t xml:space="preserve">(עי' אות </w:t>
      </w:r>
      <w:r w:rsidRPr="00413126">
        <w:rPr>
          <w:rStyle w:val="af7"/>
          <w:rFonts w:eastAsia="Guttman Hodes"/>
          <w:rtl/>
        </w:rPr>
        <w:fldChar w:fldCharType="begin"/>
      </w:r>
      <w:r w:rsidRPr="00413126">
        <w:rPr>
          <w:rStyle w:val="af7"/>
          <w:rFonts w:eastAsia="Guttman Hodes"/>
          <w:rtl/>
        </w:rPr>
        <w:instrText xml:space="preserve"> </w:instrText>
      </w:r>
      <w:r w:rsidRPr="00413126">
        <w:rPr>
          <w:rStyle w:val="af7"/>
          <w:rFonts w:eastAsia="Guttman Hodes" w:hint="cs"/>
        </w:rPr>
        <w:instrText>REF</w:instrText>
      </w:r>
      <w:r w:rsidRPr="00413126">
        <w:rPr>
          <w:rStyle w:val="af7"/>
          <w:rFonts w:eastAsia="Guttman Hodes" w:hint="cs"/>
          <w:rtl/>
        </w:rPr>
        <w:instrText xml:space="preserve"> _</w:instrText>
      </w:r>
      <w:r w:rsidRPr="00413126">
        <w:rPr>
          <w:rStyle w:val="af7"/>
          <w:rFonts w:eastAsia="Guttman Hodes" w:hint="cs"/>
        </w:rPr>
        <w:instrText>Ref60343325 \r \h</w:instrText>
      </w:r>
      <w:r w:rsidRPr="00413126">
        <w:rPr>
          <w:rStyle w:val="af7"/>
          <w:rFonts w:eastAsia="Guttman Hodes"/>
          <w:rtl/>
        </w:rPr>
        <w:instrText xml:space="preserve"> </w:instrText>
      </w:r>
      <w:r w:rsidRPr="00413126">
        <w:rPr>
          <w:rStyle w:val="af7"/>
          <w:rFonts w:eastAsia="Guttman Hodes"/>
          <w:rtl/>
        </w:rPr>
      </w:r>
      <w:r w:rsidRPr="00413126">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413126">
        <w:rPr>
          <w:rStyle w:val="af7"/>
          <w:rFonts w:eastAsia="Guttman Hodes"/>
          <w:rtl/>
        </w:rPr>
        <w:fldChar w:fldCharType="end"/>
      </w:r>
      <w:r>
        <w:rPr>
          <w:rFonts w:hint="cs"/>
          <w:rtl/>
        </w:rPr>
        <w:t xml:space="preserve"> דס"ל דכשהמחזיק הוא ע"א דהייתה של המערער, דלא טענינן ליה, מ"מ הוא מודה למ"ש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5A74AF">
        <w:rPr>
          <w:rStyle w:val="af7"/>
          <w:rFonts w:eastAsia="Guttman Hodes" w:hint="cs"/>
          <w:rtl/>
        </w:rPr>
        <w:t xml:space="preserve">(עי' אות </w:t>
      </w:r>
      <w:r w:rsidRPr="005A74AF">
        <w:rPr>
          <w:rStyle w:val="af7"/>
          <w:rFonts w:eastAsia="Guttman Hodes"/>
          <w:rtl/>
        </w:rPr>
        <w:fldChar w:fldCharType="begin"/>
      </w:r>
      <w:r w:rsidRPr="005A74AF">
        <w:rPr>
          <w:rStyle w:val="af7"/>
          <w:rFonts w:eastAsia="Guttman Hodes"/>
          <w:rtl/>
        </w:rPr>
        <w:instrText xml:space="preserve"> </w:instrText>
      </w:r>
      <w:r w:rsidRPr="005A74AF">
        <w:rPr>
          <w:rStyle w:val="af7"/>
          <w:rFonts w:eastAsia="Guttman Hodes" w:hint="cs"/>
        </w:rPr>
        <w:instrText>REF</w:instrText>
      </w:r>
      <w:r w:rsidRPr="005A74AF">
        <w:rPr>
          <w:rStyle w:val="af7"/>
          <w:rFonts w:eastAsia="Guttman Hodes" w:hint="cs"/>
          <w:rtl/>
        </w:rPr>
        <w:instrText xml:space="preserve"> _</w:instrText>
      </w:r>
      <w:r w:rsidRPr="005A74AF">
        <w:rPr>
          <w:rStyle w:val="af7"/>
          <w:rFonts w:eastAsia="Guttman Hodes" w:hint="cs"/>
        </w:rPr>
        <w:instrText>Ref60243410 \r \h</w:instrText>
      </w:r>
      <w:r w:rsidRPr="005A74AF">
        <w:rPr>
          <w:rStyle w:val="af7"/>
          <w:rFonts w:eastAsia="Guttman Hodes"/>
          <w:rtl/>
        </w:rPr>
        <w:instrText xml:space="preserve"> </w:instrText>
      </w:r>
      <w:r w:rsidRPr="005A74AF">
        <w:rPr>
          <w:rStyle w:val="af7"/>
          <w:rFonts w:eastAsia="Guttman Hodes"/>
          <w:rtl/>
        </w:rPr>
      </w:r>
      <w:r w:rsidRPr="005A74AF">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5A74AF">
        <w:rPr>
          <w:rStyle w:val="af7"/>
          <w:rFonts w:eastAsia="Guttman Hodes"/>
          <w:rtl/>
        </w:rPr>
        <w:fldChar w:fldCharType="end"/>
      </w:r>
      <w:r>
        <w:rPr>
          <w:rFonts w:hint="cs"/>
          <w:rtl/>
        </w:rPr>
        <w:t xml:space="preserve"> כשלא הודה המחזיק בפירוש.</w:t>
      </w:r>
    </w:p>
    <w:p w:rsidR="006A4297" w:rsidRDefault="006A4297" w:rsidP="006A4297">
      <w:pPr>
        <w:pStyle w:val="a3"/>
        <w:rPr>
          <w:rtl/>
        </w:rPr>
      </w:pPr>
      <w:bookmarkStart w:id="10815" w:name="_Toc60616508"/>
      <w:bookmarkStart w:id="10816" w:name="_Toc60678272"/>
      <w:r>
        <w:rPr>
          <w:rFonts w:hint="cs"/>
          <w:rtl/>
        </w:rPr>
        <w:t>ביאור התומים דהודאה חוץ לב"ד היא כע"א א"כ מבוארים דברי הרשב"א בתוס' שיש ע"א</w:t>
      </w:r>
      <w:bookmarkEnd w:id="10815"/>
      <w:bookmarkEnd w:id="10816"/>
    </w:p>
    <w:p w:rsidR="006A4297" w:rsidRDefault="006A4297" w:rsidP="007E4E81">
      <w:pPr>
        <w:pStyle w:val="a0"/>
        <w:rPr>
          <w:rtl/>
        </w:rPr>
      </w:pPr>
      <w:r>
        <w:rPr>
          <w:rFonts w:hint="cs"/>
          <w:rtl/>
        </w:rPr>
        <w:t>וכתב</w:t>
      </w:r>
      <w:r w:rsidRPr="00897CC7">
        <w:rPr>
          <w:rStyle w:val="af9"/>
          <w:rFonts w:hint="cs"/>
          <w:rtl/>
        </w:rPr>
        <w:t xml:space="preserve"> התומים</w:t>
      </w:r>
      <w:r>
        <w:rPr>
          <w:rFonts w:hint="cs"/>
          <w:rtl/>
        </w:rPr>
        <w:t xml:space="preserve"> דלפי ביאורו </w:t>
      </w:r>
      <w:r w:rsidRPr="00DC13C1">
        <w:rPr>
          <w:rStyle w:val="af7"/>
          <w:rFonts w:eastAsia="Guttman Hodes" w:hint="cs"/>
          <w:rtl/>
        </w:rPr>
        <w:t xml:space="preserve">(עי' אות </w:t>
      </w:r>
      <w:r w:rsidRPr="00DC13C1">
        <w:rPr>
          <w:rStyle w:val="af7"/>
          <w:rFonts w:eastAsia="Guttman Hodes"/>
          <w:rtl/>
        </w:rPr>
        <w:fldChar w:fldCharType="begin"/>
      </w:r>
      <w:r w:rsidRPr="00DC13C1">
        <w:rPr>
          <w:rStyle w:val="af7"/>
          <w:rFonts w:eastAsia="Guttman Hodes"/>
          <w:rtl/>
        </w:rPr>
        <w:instrText xml:space="preserve"> </w:instrText>
      </w:r>
      <w:r w:rsidRPr="00DC13C1">
        <w:rPr>
          <w:rStyle w:val="af7"/>
          <w:rFonts w:eastAsia="Guttman Hodes" w:hint="cs"/>
        </w:rPr>
        <w:instrText>REF</w:instrText>
      </w:r>
      <w:r w:rsidRPr="00DC13C1">
        <w:rPr>
          <w:rStyle w:val="af7"/>
          <w:rFonts w:eastAsia="Guttman Hodes" w:hint="cs"/>
          <w:rtl/>
        </w:rPr>
        <w:instrText xml:space="preserve"> _</w:instrText>
      </w:r>
      <w:r w:rsidRPr="00DC13C1">
        <w:rPr>
          <w:rStyle w:val="af7"/>
          <w:rFonts w:eastAsia="Guttman Hodes" w:hint="cs"/>
        </w:rPr>
        <w:instrText>Ref60614532 \r \h</w:instrText>
      </w:r>
      <w:r w:rsidRPr="00DC13C1">
        <w:rPr>
          <w:rStyle w:val="af7"/>
          <w:rFonts w:eastAsia="Guttman Hodes"/>
          <w:rtl/>
        </w:rPr>
        <w:instrText xml:space="preserve"> </w:instrText>
      </w:r>
      <w:r w:rsidRPr="00DC13C1">
        <w:rPr>
          <w:rStyle w:val="af7"/>
          <w:rFonts w:eastAsia="Guttman Hodes"/>
          <w:rtl/>
        </w:rPr>
      </w:r>
      <w:r w:rsidRPr="00DC13C1">
        <w:rPr>
          <w:rStyle w:val="af7"/>
          <w:rFonts w:eastAsia="Guttman Hodes"/>
          <w:rtl/>
        </w:rPr>
        <w:fldChar w:fldCharType="separate"/>
      </w:r>
      <w:r w:rsidR="00265073">
        <w:rPr>
          <w:rStyle w:val="af7"/>
          <w:rFonts w:eastAsia="Guttman Hodes"/>
          <w:cs/>
        </w:rPr>
        <w:t>‎</w:t>
      </w:r>
      <w:r w:rsidR="00265073">
        <w:rPr>
          <w:rStyle w:val="af7"/>
          <w:rFonts w:eastAsia="Guttman Hodes"/>
          <w:rtl/>
        </w:rPr>
        <w:t>סד)</w:t>
      </w:r>
      <w:r w:rsidRPr="00DC13C1">
        <w:rPr>
          <w:rStyle w:val="af7"/>
          <w:rFonts w:eastAsia="Guttman Hodes"/>
          <w:rtl/>
        </w:rPr>
        <w:fldChar w:fldCharType="end"/>
      </w:r>
      <w:r w:rsidRPr="00DC13C1">
        <w:rPr>
          <w:rStyle w:val="af7"/>
          <w:rFonts w:eastAsia="Guttman Hodes" w:hint="cs"/>
          <w:rtl/>
        </w:rPr>
        <w:t xml:space="preserve"> </w:t>
      </w:r>
      <w:r>
        <w:rPr>
          <w:rFonts w:hint="cs"/>
          <w:rtl/>
        </w:rPr>
        <w:t xml:space="preserve">מיושב דכיון שהמוכר הודה מחוץ לב"ד שהייתה של המערער, והמחזיק הוא ע"א שכך הודה המוכר, ואין המוכר נאמן לומר שקנה מהמערער במיגו, כיון שהוא מיגו מחוץ לב"ד, ולכן כתב </w:t>
      </w:r>
      <w:r w:rsidRPr="00897CC7">
        <w:rPr>
          <w:rStyle w:val="af9"/>
          <w:rFonts w:hint="cs"/>
          <w:rtl/>
        </w:rPr>
        <w:t>הרשב"א בתוס'</w:t>
      </w:r>
      <w:r>
        <w:rPr>
          <w:rFonts w:hint="cs"/>
          <w:rtl/>
        </w:rPr>
        <w:t xml:space="preserve"> דהמחזיק הוא ע"א שהייתה של המוכר, ואין כוונתו לומר דהמחזיק הודה מעצמו בפירוש, דהא לדעת </w:t>
      </w:r>
      <w:r w:rsidRPr="00897CC7">
        <w:rPr>
          <w:rStyle w:val="af9"/>
          <w:rFonts w:hint="cs"/>
          <w:rtl/>
        </w:rPr>
        <w:t xml:space="preserve">הרשב"ם ותוס' </w:t>
      </w:r>
      <w:r>
        <w:rPr>
          <w:rFonts w:hint="cs"/>
          <w:rtl/>
        </w:rPr>
        <w:t>לא הוזכר דבר זה כלל.</w:t>
      </w:r>
    </w:p>
    <w:p w:rsidR="006A4297" w:rsidRDefault="006A4297" w:rsidP="006A4297">
      <w:pPr>
        <w:pStyle w:val="a3"/>
        <w:rPr>
          <w:rtl/>
        </w:rPr>
      </w:pPr>
      <w:bookmarkStart w:id="10817" w:name="_Toc60616509"/>
      <w:bookmarkStart w:id="10818" w:name="_Toc60678273"/>
      <w:r>
        <w:rPr>
          <w:rFonts w:hint="cs"/>
          <w:rtl/>
        </w:rPr>
        <w:t>דברי התומים דמבואר כהג' אשר"י ומהרש"א דלר"י ל"מ מיגו בטענת חד יומא דהמחזיק כע"א</w:t>
      </w:r>
      <w:bookmarkEnd w:id="10817"/>
      <w:bookmarkEnd w:id="10818"/>
    </w:p>
    <w:p w:rsidR="006A4297" w:rsidRDefault="006A4297" w:rsidP="007E4E81">
      <w:pPr>
        <w:pStyle w:val="a0"/>
        <w:rPr>
          <w:rtl/>
        </w:rPr>
      </w:pPr>
      <w:r>
        <w:rPr>
          <w:rFonts w:hint="cs"/>
          <w:rtl/>
        </w:rPr>
        <w:t>אך כתב</w:t>
      </w:r>
      <w:r w:rsidRPr="00897CC7">
        <w:rPr>
          <w:rStyle w:val="af9"/>
          <w:rFonts w:hint="cs"/>
          <w:rtl/>
        </w:rPr>
        <w:t xml:space="preserve"> התומים </w:t>
      </w:r>
      <w:r>
        <w:rPr>
          <w:rFonts w:hint="cs"/>
          <w:rtl/>
        </w:rPr>
        <w:t xml:space="preserve">דמ"מ לדינא מבואר כדברי </w:t>
      </w:r>
      <w:r w:rsidRPr="00897CC7">
        <w:rPr>
          <w:rStyle w:val="af9"/>
          <w:rFonts w:hint="cs"/>
          <w:rtl/>
        </w:rPr>
        <w:t xml:space="preserve">ההג' אשר"י </w:t>
      </w:r>
      <w:r w:rsidRPr="00AD1E64">
        <w:rPr>
          <w:rStyle w:val="af7"/>
          <w:rFonts w:eastAsia="Guttman Hodes" w:hint="cs"/>
          <w:rtl/>
        </w:rPr>
        <w:t xml:space="preserve">(עי' אות </w:t>
      </w:r>
      <w:r w:rsidRPr="00AD1E64">
        <w:rPr>
          <w:rStyle w:val="af7"/>
          <w:rFonts w:eastAsia="Guttman Hodes"/>
          <w:rtl/>
        </w:rPr>
        <w:fldChar w:fldCharType="begin"/>
      </w:r>
      <w:r w:rsidRPr="00AD1E64">
        <w:rPr>
          <w:rStyle w:val="af7"/>
          <w:rFonts w:eastAsia="Guttman Hodes"/>
          <w:rtl/>
        </w:rPr>
        <w:instrText xml:space="preserve"> </w:instrText>
      </w:r>
      <w:r w:rsidRPr="00AD1E64">
        <w:rPr>
          <w:rStyle w:val="af7"/>
          <w:rFonts w:eastAsia="Guttman Hodes" w:hint="cs"/>
        </w:rPr>
        <w:instrText>REF</w:instrText>
      </w:r>
      <w:r w:rsidRPr="00AD1E64">
        <w:rPr>
          <w:rStyle w:val="af7"/>
          <w:rFonts w:eastAsia="Guttman Hodes" w:hint="cs"/>
          <w:rtl/>
        </w:rPr>
        <w:instrText xml:space="preserve"> _</w:instrText>
      </w:r>
      <w:r w:rsidRPr="00AD1E64">
        <w:rPr>
          <w:rStyle w:val="af7"/>
          <w:rFonts w:eastAsia="Guttman Hodes" w:hint="cs"/>
        </w:rPr>
        <w:instrText>Ref60615316 \r \h</w:instrText>
      </w:r>
      <w:r w:rsidRPr="00AD1E64">
        <w:rPr>
          <w:rStyle w:val="af7"/>
          <w:rFonts w:eastAsia="Guttman Hodes"/>
          <w:rtl/>
        </w:rPr>
        <w:instrText xml:space="preserve"> </w:instrText>
      </w:r>
      <w:r w:rsidRPr="00AD1E64">
        <w:rPr>
          <w:rStyle w:val="af7"/>
          <w:rFonts w:eastAsia="Guttman Hodes"/>
          <w:rtl/>
        </w:rPr>
      </w:r>
      <w:r w:rsidRPr="00AD1E64">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AD1E64">
        <w:rPr>
          <w:rStyle w:val="af7"/>
          <w:rFonts w:eastAsia="Guttman Hodes"/>
          <w:rtl/>
        </w:rPr>
        <w:fldChar w:fldCharType="end"/>
      </w:r>
      <w:r>
        <w:rPr>
          <w:rFonts w:hint="cs"/>
          <w:rtl/>
        </w:rPr>
        <w:t xml:space="preserve"> </w:t>
      </w:r>
      <w:r w:rsidRPr="00897CC7">
        <w:rPr>
          <w:rStyle w:val="af9"/>
          <w:rFonts w:hint="cs"/>
          <w:rtl/>
        </w:rPr>
        <w:t xml:space="preserve">והמהרש"א </w:t>
      </w:r>
      <w:r w:rsidRPr="0042051C">
        <w:rPr>
          <w:rStyle w:val="af7"/>
          <w:rFonts w:eastAsia="Guttman Hodes" w:hint="cs"/>
          <w:rtl/>
        </w:rPr>
        <w:t xml:space="preserve">(עי' אות </w:t>
      </w:r>
      <w:r w:rsidRPr="0042051C">
        <w:rPr>
          <w:rStyle w:val="af7"/>
          <w:rFonts w:eastAsia="Guttman Hodes"/>
          <w:rtl/>
        </w:rPr>
        <w:fldChar w:fldCharType="begin"/>
      </w:r>
      <w:r w:rsidRPr="0042051C">
        <w:rPr>
          <w:rStyle w:val="af7"/>
          <w:rFonts w:eastAsia="Guttman Hodes"/>
          <w:rtl/>
        </w:rPr>
        <w:instrText xml:space="preserve"> </w:instrText>
      </w:r>
      <w:r w:rsidRPr="0042051C">
        <w:rPr>
          <w:rStyle w:val="af7"/>
          <w:rFonts w:eastAsia="Guttman Hodes" w:hint="cs"/>
        </w:rPr>
        <w:instrText>REF</w:instrText>
      </w:r>
      <w:r w:rsidRPr="0042051C">
        <w:rPr>
          <w:rStyle w:val="af7"/>
          <w:rFonts w:eastAsia="Guttman Hodes" w:hint="cs"/>
          <w:rtl/>
        </w:rPr>
        <w:instrText xml:space="preserve"> _</w:instrText>
      </w:r>
      <w:r w:rsidRPr="0042051C">
        <w:rPr>
          <w:rStyle w:val="af7"/>
          <w:rFonts w:eastAsia="Guttman Hodes" w:hint="cs"/>
        </w:rPr>
        <w:instrText>Ref60614431 \r \h</w:instrText>
      </w:r>
      <w:r w:rsidRPr="0042051C">
        <w:rPr>
          <w:rStyle w:val="af7"/>
          <w:rFonts w:eastAsia="Guttman Hodes"/>
          <w:rtl/>
        </w:rPr>
        <w:instrText xml:space="preserve"> </w:instrText>
      </w:r>
      <w:r w:rsidRPr="0042051C">
        <w:rPr>
          <w:rStyle w:val="af7"/>
          <w:rFonts w:eastAsia="Guttman Hodes"/>
          <w:rtl/>
        </w:rPr>
      </w:r>
      <w:r w:rsidRPr="0042051C">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42051C">
        <w:rPr>
          <w:rStyle w:val="af7"/>
          <w:rFonts w:eastAsia="Guttman Hodes"/>
          <w:rtl/>
        </w:rPr>
        <w:fldChar w:fldCharType="end"/>
      </w:r>
      <w:r>
        <w:rPr>
          <w:rStyle w:val="af7"/>
          <w:rFonts w:eastAsia="Guttman Hodes" w:hint="cs"/>
          <w:rtl/>
        </w:rPr>
        <w:t xml:space="preserve"> </w:t>
      </w:r>
      <w:r>
        <w:rPr>
          <w:rFonts w:hint="cs"/>
          <w:rtl/>
        </w:rPr>
        <w:t xml:space="preserve">דלדעת </w:t>
      </w:r>
      <w:r w:rsidRPr="00897CC7">
        <w:rPr>
          <w:rStyle w:val="af9"/>
          <w:rFonts w:hint="cs"/>
          <w:rtl/>
        </w:rPr>
        <w:t xml:space="preserve">ר"י </w:t>
      </w:r>
      <w:r>
        <w:rPr>
          <w:rFonts w:hint="cs"/>
          <w:rtl/>
        </w:rPr>
        <w:t xml:space="preserve">לא טענינן את המיגו, כיון שהמחזיק הוא ע"א ולדעת </w:t>
      </w:r>
      <w:r w:rsidRPr="00897CC7">
        <w:rPr>
          <w:rStyle w:val="af9"/>
          <w:rFonts w:hint="cs"/>
          <w:rtl/>
        </w:rPr>
        <w:t xml:space="preserve">ר"י </w:t>
      </w:r>
      <w:r>
        <w:rPr>
          <w:rFonts w:hint="cs"/>
          <w:rtl/>
        </w:rPr>
        <w:t xml:space="preserve">לא מהני מיגו כנגד הע"א, וכן מ"ש </w:t>
      </w:r>
      <w:r w:rsidRPr="00897CC7">
        <w:rPr>
          <w:rStyle w:val="af9"/>
          <w:rFonts w:hint="cs"/>
          <w:rtl/>
        </w:rPr>
        <w:t>המרדכי</w:t>
      </w:r>
      <w:r>
        <w:rPr>
          <w:rFonts w:hint="cs"/>
          <w:rtl/>
        </w:rPr>
        <w:t xml:space="preserve"> </w:t>
      </w:r>
      <w:r w:rsidRPr="00AD1E64">
        <w:rPr>
          <w:rStyle w:val="af7"/>
          <w:rFonts w:eastAsia="Guttman Hodes" w:hint="cs"/>
          <w:rtl/>
        </w:rPr>
        <w:t xml:space="preserve">(עי' אות </w:t>
      </w:r>
      <w:r w:rsidRPr="00AD1E64">
        <w:rPr>
          <w:rStyle w:val="af7"/>
          <w:rFonts w:eastAsia="Guttman Hodes"/>
          <w:rtl/>
        </w:rPr>
        <w:fldChar w:fldCharType="begin"/>
      </w:r>
      <w:r w:rsidRPr="00AD1E64">
        <w:rPr>
          <w:rStyle w:val="af7"/>
          <w:rFonts w:eastAsia="Guttman Hodes"/>
          <w:rtl/>
        </w:rPr>
        <w:instrText xml:space="preserve"> </w:instrText>
      </w:r>
      <w:r w:rsidRPr="00AD1E64">
        <w:rPr>
          <w:rStyle w:val="af7"/>
          <w:rFonts w:eastAsia="Guttman Hodes" w:hint="cs"/>
        </w:rPr>
        <w:instrText>REF</w:instrText>
      </w:r>
      <w:r w:rsidRPr="00AD1E64">
        <w:rPr>
          <w:rStyle w:val="af7"/>
          <w:rFonts w:eastAsia="Guttman Hodes" w:hint="cs"/>
          <w:rtl/>
        </w:rPr>
        <w:instrText xml:space="preserve"> _</w:instrText>
      </w:r>
      <w:r w:rsidRPr="00AD1E64">
        <w:rPr>
          <w:rStyle w:val="af7"/>
          <w:rFonts w:eastAsia="Guttman Hodes" w:hint="cs"/>
        </w:rPr>
        <w:instrText>Ref60615355 \r \h</w:instrText>
      </w:r>
      <w:r w:rsidRPr="00AD1E64">
        <w:rPr>
          <w:rStyle w:val="af7"/>
          <w:rFonts w:eastAsia="Guttman Hodes"/>
          <w:rtl/>
        </w:rPr>
        <w:instrText xml:space="preserve"> </w:instrText>
      </w:r>
      <w:r w:rsidRPr="00AD1E64">
        <w:rPr>
          <w:rStyle w:val="af7"/>
          <w:rFonts w:eastAsia="Guttman Hodes"/>
          <w:rtl/>
        </w:rPr>
      </w:r>
      <w:r w:rsidRPr="00AD1E64">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AD1E64">
        <w:rPr>
          <w:rStyle w:val="af7"/>
          <w:rFonts w:eastAsia="Guttman Hodes"/>
          <w:rtl/>
        </w:rPr>
        <w:fldChar w:fldCharType="end"/>
      </w:r>
      <w:r>
        <w:rPr>
          <w:rFonts w:hint="cs"/>
          <w:rtl/>
        </w:rPr>
        <w:t xml:space="preserve"> </w:t>
      </w:r>
      <w:r w:rsidRPr="00AD1E64">
        <w:rPr>
          <w:rStyle w:val="af9"/>
          <w:rFonts w:hint="cs"/>
          <w:rtl/>
        </w:rPr>
        <w:t>דר"י</w:t>
      </w:r>
      <w:r>
        <w:rPr>
          <w:rFonts w:hint="cs"/>
          <w:rtl/>
        </w:rPr>
        <w:t xml:space="preserve"> מסופק במקום שיש עדים דדר בה חד יומא, ואין לו חזקת ג"ש, אי הוא נאמן במיגו או לא, והקשה </w:t>
      </w:r>
      <w:r w:rsidRPr="00897CC7">
        <w:rPr>
          <w:rStyle w:val="af9"/>
          <w:rFonts w:hint="cs"/>
          <w:rtl/>
        </w:rPr>
        <w:t>התומים</w:t>
      </w:r>
      <w:r>
        <w:rPr>
          <w:rFonts w:hint="cs"/>
          <w:rtl/>
        </w:rPr>
        <w:t xml:space="preserve"> דהרי כל הספק של ר"י הוא רק במקום שיש ע"א שהייתה של המערער, וכתב </w:t>
      </w:r>
      <w:r w:rsidRPr="00897CC7">
        <w:rPr>
          <w:rStyle w:val="af9"/>
          <w:rFonts w:hint="cs"/>
          <w:rtl/>
        </w:rPr>
        <w:t>התומים</w:t>
      </w:r>
      <w:r>
        <w:rPr>
          <w:rFonts w:hint="cs"/>
          <w:rtl/>
        </w:rPr>
        <w:t xml:space="preserve"> דמוכח כדבריו דהמחזיק הוא ע"א.</w:t>
      </w:r>
    </w:p>
    <w:p w:rsidR="006A4297" w:rsidRDefault="006A4297" w:rsidP="006A4297">
      <w:pPr>
        <w:pStyle w:val="a3"/>
        <w:rPr>
          <w:rtl/>
        </w:rPr>
      </w:pPr>
      <w:bookmarkStart w:id="10819" w:name="_Toc60616510"/>
      <w:bookmarkStart w:id="10820" w:name="_Toc60678274"/>
      <w:r>
        <w:rPr>
          <w:rFonts w:hint="cs"/>
          <w:rtl/>
        </w:rPr>
        <w:t>דברי התומים דבהודה חוץ לב"ד לפני המחזיק ועוד אחר יש עדים למערער ולכו"ע לא טענינן</w:t>
      </w:r>
      <w:bookmarkEnd w:id="10819"/>
      <w:bookmarkEnd w:id="10820"/>
    </w:p>
    <w:p w:rsidR="006A4297" w:rsidRDefault="006A4297" w:rsidP="007E4E81">
      <w:pPr>
        <w:pStyle w:val="a0"/>
        <w:rPr>
          <w:rtl/>
        </w:rPr>
      </w:pPr>
      <w:r>
        <w:rPr>
          <w:rFonts w:hint="cs"/>
          <w:rtl/>
        </w:rPr>
        <w:t xml:space="preserve">והוסיף </w:t>
      </w:r>
      <w:r w:rsidRPr="00897CC7">
        <w:rPr>
          <w:rStyle w:val="af9"/>
          <w:rFonts w:hint="cs"/>
          <w:rtl/>
        </w:rPr>
        <w:t>התומים</w:t>
      </w:r>
      <w:r>
        <w:rPr>
          <w:rFonts w:hint="cs"/>
          <w:rtl/>
        </w:rPr>
        <w:t xml:space="preserve"> דלפי דבריו מבואר דאם המוכר אמר כן למחזיק, גם בפני אדם אחר</w:t>
      </w:r>
      <w:r w:rsidRPr="00682486">
        <w:rPr>
          <w:rFonts w:hint="cs"/>
          <w:rtl/>
        </w:rPr>
        <w:t xml:space="preserve"> </w:t>
      </w:r>
      <w:r>
        <w:rPr>
          <w:rFonts w:hint="cs"/>
          <w:rtl/>
        </w:rPr>
        <w:t xml:space="preserve">מחוץ לב"ד, א"כ המחזיק יחד עם השני הם ב' עדים שהייתה של המערער, ואף לדעת </w:t>
      </w:r>
      <w:r w:rsidRPr="00897CC7">
        <w:rPr>
          <w:rStyle w:val="af9"/>
          <w:rFonts w:hint="cs"/>
          <w:rtl/>
        </w:rPr>
        <w:t>הרשב"א בתוס'</w:t>
      </w:r>
      <w:r>
        <w:rPr>
          <w:rFonts w:hint="cs"/>
          <w:rtl/>
        </w:rPr>
        <w:t xml:space="preserve"> לא מהני למחזיק המיגו של המוכר.</w:t>
      </w:r>
    </w:p>
    <w:p w:rsidR="005D013F" w:rsidRPr="005D013F" w:rsidRDefault="005D013F" w:rsidP="005D013F">
      <w:pPr>
        <w:pStyle w:val="a3"/>
        <w:rPr>
          <w:rtl/>
        </w:rPr>
      </w:pPr>
    </w:p>
    <w:p w:rsidR="006A4297" w:rsidRPr="00A10466" w:rsidRDefault="006A4297" w:rsidP="006A4297">
      <w:pPr>
        <w:pStyle w:val="afe"/>
        <w:rPr>
          <w:rtl/>
        </w:rPr>
      </w:pPr>
      <w:bookmarkStart w:id="10821" w:name="_Toc60678275"/>
      <w:r>
        <w:rPr>
          <w:rFonts w:hint="cs"/>
          <w:rtl/>
        </w:rPr>
        <w:t>בי' הדרישה דנח' רק במיגו למפרע</w:t>
      </w:r>
      <w:bookmarkEnd w:id="10821"/>
    </w:p>
    <w:p w:rsidR="006A4297" w:rsidRDefault="006A4297" w:rsidP="006A4297">
      <w:pPr>
        <w:pStyle w:val="1"/>
        <w:rPr>
          <w:rtl/>
        </w:rPr>
      </w:pPr>
      <w:bookmarkStart w:id="10822" w:name="_Toc60678276"/>
      <w:bookmarkStart w:id="10823" w:name="_Toc59700110"/>
      <w:bookmarkStart w:id="10824" w:name="_Toc59960763"/>
      <w:bookmarkStart w:id="10825" w:name="_Toc60086853"/>
      <w:bookmarkStart w:id="10826" w:name="_Toc60173426"/>
      <w:bookmarkStart w:id="10827" w:name="_Toc60303796"/>
      <w:r>
        <w:rPr>
          <w:rFonts w:hint="cs"/>
          <w:rtl/>
        </w:rPr>
        <w:t>קושיות הדרישה מה החילוק בין תחילת התוס' לרשב"א בתוס'</w:t>
      </w:r>
      <w:bookmarkEnd w:id="10822"/>
    </w:p>
    <w:p w:rsidR="006A4297" w:rsidRPr="00DD395F" w:rsidRDefault="006A4297" w:rsidP="006A4297">
      <w:pPr>
        <w:pStyle w:val="a3"/>
      </w:pPr>
      <w:bookmarkStart w:id="10828" w:name="_Toc60616512"/>
      <w:bookmarkStart w:id="10829" w:name="_Toc60678277"/>
      <w:r>
        <w:rPr>
          <w:rFonts w:hint="cs"/>
          <w:rtl/>
        </w:rPr>
        <w:t>ביאור הדרישה ברשב"א בתוס' דטענינן דהמחזיק במקום המוכר אף כשאינו זוכה מצד עצמו</w:t>
      </w:r>
      <w:bookmarkEnd w:id="10828"/>
      <w:bookmarkEnd w:id="10829"/>
    </w:p>
    <w:p w:rsidR="006A4297" w:rsidRDefault="006A4297" w:rsidP="007E4E81">
      <w:pPr>
        <w:pStyle w:val="a0"/>
        <w:rPr>
          <w:rtl/>
        </w:rPr>
      </w:pPr>
      <w:bookmarkStart w:id="10830" w:name="_Ref60343299"/>
      <w:r>
        <w:rPr>
          <w:rFonts w:hint="cs"/>
          <w:rtl/>
        </w:rPr>
        <w:t xml:space="preserve">במ"ש </w:t>
      </w:r>
      <w:r w:rsidRPr="0075541D">
        <w:rPr>
          <w:rStyle w:val="af9"/>
          <w:rFonts w:hint="cs"/>
          <w:rtl/>
        </w:rPr>
        <w:t>הרשב"א בתוס'</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Ref60342515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Pr>
          <w:rStyle w:val="af7"/>
          <w:rFonts w:eastAsia="Guttman Hodes"/>
          <w:rtl/>
        </w:rPr>
        <w:fldChar w:fldCharType="end"/>
      </w:r>
      <w:r>
        <w:rPr>
          <w:rStyle w:val="af7"/>
          <w:rFonts w:eastAsia="Guttman Hodes" w:hint="cs"/>
          <w:rtl/>
        </w:rPr>
        <w:t xml:space="preserve"> </w:t>
      </w:r>
      <w:r>
        <w:rPr>
          <w:rFonts w:hint="cs"/>
          <w:rtl/>
        </w:rPr>
        <w:t xml:space="preserve">דכשאין לו חזקה ויש עידי חד יומא טענינן ליה, אף שאין לו מיגו, כיון דהמוכר היה נאמן במיגו, ביאר </w:t>
      </w:r>
      <w:r w:rsidRPr="002D7B5C">
        <w:rPr>
          <w:rStyle w:val="af9"/>
          <w:rFonts w:hint="cs"/>
          <w:rtl/>
        </w:rPr>
        <w:t>הדרישה</w:t>
      </w:r>
      <w:r>
        <w:rPr>
          <w:rFonts w:hint="cs"/>
          <w:rtl/>
        </w:rPr>
        <w:t xml:space="preserve"> </w:t>
      </w:r>
      <w:r w:rsidRPr="007D3412">
        <w:rPr>
          <w:rStyle w:val="af7"/>
          <w:rFonts w:eastAsia="Guttman Hodes" w:hint="cs"/>
          <w:rtl/>
        </w:rPr>
        <w:t xml:space="preserve">(סי' קמ"ו סקכ"ד ד"ה ויש לדקדק) </w:t>
      </w:r>
      <w:r>
        <w:rPr>
          <w:rFonts w:hint="cs"/>
          <w:rtl/>
        </w:rPr>
        <w:t xml:space="preserve">דכוונת </w:t>
      </w:r>
      <w:r w:rsidRPr="0075541D">
        <w:rPr>
          <w:rStyle w:val="af9"/>
          <w:rFonts w:hint="cs"/>
          <w:rtl/>
        </w:rPr>
        <w:t>הרשב"א בתוס'</w:t>
      </w:r>
      <w:r>
        <w:rPr>
          <w:rFonts w:hint="cs"/>
          <w:rtl/>
        </w:rPr>
        <w:t xml:space="preserve"> להוסיף טעם נוסף בדין טענינן, דאף במקום שלמחזיק מצד עצמו אין כל נאמנות לזכות בקרקע, מ"מ טענינן ליה כיון דהמחזיק עומד במקום המוכר, ועי' במה שביאר </w:t>
      </w:r>
      <w:r>
        <w:rPr>
          <w:rStyle w:val="af9"/>
          <w:rFonts w:hint="cs"/>
          <w:rtl/>
        </w:rPr>
        <w:t>בחי' רבי ראובן</w:t>
      </w:r>
      <w:r>
        <w:rPr>
          <w:rFonts w:hint="cs"/>
          <w:rtl/>
        </w:rPr>
        <w:t xml:space="preserve"> </w:t>
      </w:r>
      <w:r w:rsidRPr="0016231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Ref60668615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Pr>
          <w:rStyle w:val="af7"/>
          <w:rFonts w:eastAsia="Guttman Hodes"/>
          <w:rtl/>
        </w:rPr>
        <w:fldChar w:fldCharType="end"/>
      </w:r>
      <w:r>
        <w:rPr>
          <w:rFonts w:hint="cs"/>
          <w:rtl/>
        </w:rPr>
        <w:t>.</w:t>
      </w:r>
      <w:bookmarkEnd w:id="10830"/>
    </w:p>
    <w:p w:rsidR="006A4297" w:rsidRPr="002451E5" w:rsidRDefault="006A4297" w:rsidP="006A4297">
      <w:pPr>
        <w:pStyle w:val="a3"/>
      </w:pPr>
      <w:bookmarkStart w:id="10831" w:name="_Toc60616513"/>
      <w:bookmarkStart w:id="10832" w:name="_Toc60678278"/>
      <w:r>
        <w:rPr>
          <w:rFonts w:hint="cs"/>
          <w:rtl/>
        </w:rPr>
        <w:t>ביאור הדרישה בתוס' דנאמן בטענת חד יומא דאחר שנאמן במיגו דדר חד יומא ממילא טענינן</w:t>
      </w:r>
      <w:bookmarkEnd w:id="10831"/>
      <w:bookmarkEnd w:id="10832"/>
    </w:p>
    <w:p w:rsidR="006A4297" w:rsidRDefault="006A4297" w:rsidP="007E4E81">
      <w:pPr>
        <w:pStyle w:val="a0"/>
        <w:rPr>
          <w:rtl/>
        </w:rPr>
      </w:pPr>
      <w:r>
        <w:rPr>
          <w:rFonts w:hint="cs"/>
          <w:rtl/>
        </w:rPr>
        <w:t xml:space="preserve">והביא </w:t>
      </w:r>
      <w:r w:rsidRPr="007D3412">
        <w:rPr>
          <w:rStyle w:val="af9"/>
          <w:rFonts w:hint="cs"/>
          <w:rtl/>
        </w:rPr>
        <w:t>הדרישה</w:t>
      </w:r>
      <w:r>
        <w:rPr>
          <w:rFonts w:hint="cs"/>
          <w:rtl/>
        </w:rPr>
        <w:t xml:space="preserve"> את דברי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455D2D">
        <w:rPr>
          <w:rStyle w:val="af7"/>
          <w:rFonts w:eastAsia="Guttman Hodes" w:hint="cs"/>
          <w:rtl/>
        </w:rPr>
        <w:t xml:space="preserve">(עי' אות </w:t>
      </w:r>
      <w:r w:rsidRPr="00455D2D">
        <w:rPr>
          <w:rStyle w:val="af7"/>
          <w:rFonts w:eastAsia="Guttman Hodes"/>
          <w:rtl/>
        </w:rPr>
        <w:fldChar w:fldCharType="begin"/>
      </w:r>
      <w:r w:rsidRPr="00455D2D">
        <w:rPr>
          <w:rStyle w:val="af7"/>
          <w:rFonts w:eastAsia="Guttman Hodes"/>
          <w:rtl/>
        </w:rPr>
        <w:instrText xml:space="preserve"> </w:instrText>
      </w:r>
      <w:r w:rsidRPr="00455D2D">
        <w:rPr>
          <w:rStyle w:val="af7"/>
          <w:rFonts w:eastAsia="Guttman Hodes" w:hint="cs"/>
        </w:rPr>
        <w:instrText>REF</w:instrText>
      </w:r>
      <w:r w:rsidRPr="00455D2D">
        <w:rPr>
          <w:rStyle w:val="af7"/>
          <w:rFonts w:eastAsia="Guttman Hodes" w:hint="cs"/>
          <w:rtl/>
        </w:rPr>
        <w:instrText xml:space="preserve"> _</w:instrText>
      </w:r>
      <w:r w:rsidRPr="00455D2D">
        <w:rPr>
          <w:rStyle w:val="af7"/>
          <w:rFonts w:eastAsia="Guttman Hodes" w:hint="cs"/>
        </w:rPr>
        <w:instrText>Ref60243410 \r \h</w:instrText>
      </w:r>
      <w:r w:rsidRPr="00455D2D">
        <w:rPr>
          <w:rStyle w:val="af7"/>
          <w:rFonts w:eastAsia="Guttman Hodes"/>
          <w:rtl/>
        </w:rPr>
        <w:instrText xml:space="preserve"> </w:instrText>
      </w:r>
      <w:r w:rsidRPr="00455D2D">
        <w:rPr>
          <w:rStyle w:val="af7"/>
          <w:rFonts w:eastAsia="Guttman Hodes"/>
          <w:rtl/>
        </w:rPr>
      </w:r>
      <w:r w:rsidRPr="00455D2D">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455D2D">
        <w:rPr>
          <w:rStyle w:val="af7"/>
          <w:rFonts w:eastAsia="Guttman Hodes"/>
          <w:rtl/>
        </w:rPr>
        <w:fldChar w:fldCharType="end"/>
      </w:r>
      <w:r>
        <w:rPr>
          <w:rFonts w:hint="cs"/>
          <w:rtl/>
        </w:rPr>
        <w:t xml:space="preserve"> דכתבו דכל שטען המחזיק בתחילת דבריו, קמי דידי דר בה חד יומא, הוא נאמן במיגו, וביאר </w:t>
      </w:r>
      <w:r w:rsidRPr="00DD45DA">
        <w:rPr>
          <w:rStyle w:val="af9"/>
          <w:rFonts w:hint="cs"/>
          <w:rtl/>
        </w:rPr>
        <w:t>הדרישה</w:t>
      </w:r>
      <w:r>
        <w:rPr>
          <w:rFonts w:hint="cs"/>
          <w:rtl/>
        </w:rPr>
        <w:t xml:space="preserve"> דכוונת </w:t>
      </w:r>
      <w:r w:rsidRPr="00DD45DA">
        <w:rPr>
          <w:rStyle w:val="af9"/>
          <w:rFonts w:hint="cs"/>
          <w:rtl/>
        </w:rPr>
        <w:t>התוס' בתחילת דבריהם</w:t>
      </w:r>
      <w:r>
        <w:rPr>
          <w:rFonts w:hint="cs"/>
          <w:rtl/>
        </w:rPr>
        <w:t xml:space="preserve"> לומר דהנאמנות של המיגו היא רק במה שהוא טוען דדר חד יומא, </w:t>
      </w:r>
      <w:r w:rsidRPr="00455D2D">
        <w:rPr>
          <w:rStyle w:val="afb"/>
          <w:rFonts w:hint="cs"/>
          <w:rtl/>
        </w:rPr>
        <w:t>[אך אינו נאמנות על עצם המכירה],</w:t>
      </w:r>
      <w:r>
        <w:rPr>
          <w:rFonts w:hint="cs"/>
          <w:rtl/>
        </w:rPr>
        <w:t xml:space="preserve"> אלא דאחר שהוא נאמן דדר חד יומא, טענינן ליה, דהמוכר קנה מהמערער.</w:t>
      </w:r>
    </w:p>
    <w:p w:rsidR="006A4297" w:rsidRDefault="006A4297" w:rsidP="006A4297">
      <w:pPr>
        <w:pStyle w:val="a3"/>
        <w:rPr>
          <w:rtl/>
        </w:rPr>
      </w:pPr>
      <w:bookmarkStart w:id="10833" w:name="_Toc60616514"/>
      <w:bookmarkStart w:id="10834" w:name="_Toc60678279"/>
      <w:r>
        <w:rPr>
          <w:rFonts w:hint="cs"/>
          <w:rtl/>
        </w:rPr>
        <w:t>קושית הדרישה דדברי הרשב"א בתוס' נתבארו כבר בתוס' דכל שנאמן בחד יומא יש טענינן</w:t>
      </w:r>
      <w:bookmarkEnd w:id="10833"/>
      <w:bookmarkEnd w:id="10834"/>
    </w:p>
    <w:p w:rsidR="006A4297" w:rsidRPr="00F30AE9" w:rsidRDefault="006A4297" w:rsidP="007E4E81">
      <w:pPr>
        <w:pStyle w:val="a0"/>
        <w:rPr>
          <w:rStyle w:val="afb"/>
          <w:rtl/>
        </w:rPr>
      </w:pPr>
      <w:bookmarkStart w:id="10835" w:name="_Ref60345017"/>
      <w:r>
        <w:rPr>
          <w:rFonts w:hint="cs"/>
          <w:rtl/>
        </w:rPr>
        <w:t>והקשה ה</w:t>
      </w:r>
      <w:r w:rsidRPr="00DD45DA">
        <w:rPr>
          <w:rStyle w:val="af9"/>
          <w:rFonts w:hint="cs"/>
          <w:rtl/>
        </w:rPr>
        <w:t>דרישה</w:t>
      </w:r>
      <w:r>
        <w:rPr>
          <w:rFonts w:hint="cs"/>
          <w:rtl/>
        </w:rPr>
        <w:t xml:space="preserve"> דא"כ מה באו </w:t>
      </w:r>
      <w:r w:rsidRPr="00DD45DA">
        <w:rPr>
          <w:rStyle w:val="af9"/>
          <w:rFonts w:hint="cs"/>
          <w:rtl/>
        </w:rPr>
        <w:t>התוס'</w:t>
      </w:r>
      <w:r>
        <w:rPr>
          <w:rFonts w:hint="cs"/>
          <w:rtl/>
        </w:rPr>
        <w:t xml:space="preserve"> לחדש בדברי </w:t>
      </w:r>
      <w:r w:rsidRPr="00DD45DA">
        <w:rPr>
          <w:rStyle w:val="af9"/>
          <w:rFonts w:hint="cs"/>
          <w:rtl/>
        </w:rPr>
        <w:t>הרשב"א בתוס'</w:t>
      </w:r>
      <w:r>
        <w:rPr>
          <w:rStyle w:val="af9"/>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Ref60342515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Pr>
          <w:rStyle w:val="af7"/>
          <w:rFonts w:eastAsia="Guttman Hodes"/>
          <w:rtl/>
        </w:rPr>
        <w:fldChar w:fldCharType="end"/>
      </w:r>
      <w:r>
        <w:rPr>
          <w:rFonts w:hint="cs"/>
          <w:rtl/>
        </w:rPr>
        <w:t xml:space="preserve">, דבעידי חד יומא טענינן ליה, אף שאין לו מיגו, והא דין זה כבר כלול במה שכתבו </w:t>
      </w:r>
      <w:r w:rsidRPr="00455D2D">
        <w:rPr>
          <w:rStyle w:val="af9"/>
          <w:rFonts w:hint="cs"/>
          <w:rtl/>
        </w:rPr>
        <w:t>התוס' בתחילת דבריהם</w:t>
      </w:r>
      <w:r>
        <w:rPr>
          <w:rStyle w:val="af9"/>
          <w:rFonts w:hint="cs"/>
          <w:rtl/>
        </w:rPr>
        <w:t xml:space="preserve"> </w:t>
      </w:r>
      <w:r w:rsidRPr="00455D2D">
        <w:rPr>
          <w:rStyle w:val="af7"/>
          <w:rFonts w:eastAsia="Guttman Hodes" w:hint="cs"/>
          <w:rtl/>
        </w:rPr>
        <w:t xml:space="preserve">(עי' אות </w:t>
      </w:r>
      <w:r w:rsidRPr="00455D2D">
        <w:rPr>
          <w:rStyle w:val="af7"/>
          <w:rFonts w:eastAsia="Guttman Hodes"/>
          <w:rtl/>
        </w:rPr>
        <w:fldChar w:fldCharType="begin"/>
      </w:r>
      <w:r w:rsidRPr="00455D2D">
        <w:rPr>
          <w:rStyle w:val="af7"/>
          <w:rFonts w:eastAsia="Guttman Hodes"/>
          <w:rtl/>
        </w:rPr>
        <w:instrText xml:space="preserve"> </w:instrText>
      </w:r>
      <w:r w:rsidRPr="00455D2D">
        <w:rPr>
          <w:rStyle w:val="af7"/>
          <w:rFonts w:eastAsia="Guttman Hodes" w:hint="cs"/>
        </w:rPr>
        <w:instrText>REF</w:instrText>
      </w:r>
      <w:r w:rsidRPr="00455D2D">
        <w:rPr>
          <w:rStyle w:val="af7"/>
          <w:rFonts w:eastAsia="Guttman Hodes" w:hint="cs"/>
          <w:rtl/>
        </w:rPr>
        <w:instrText xml:space="preserve"> _</w:instrText>
      </w:r>
      <w:r w:rsidRPr="00455D2D">
        <w:rPr>
          <w:rStyle w:val="af7"/>
          <w:rFonts w:eastAsia="Guttman Hodes" w:hint="cs"/>
        </w:rPr>
        <w:instrText>Ref60243410 \r \h</w:instrText>
      </w:r>
      <w:r w:rsidRPr="00455D2D">
        <w:rPr>
          <w:rStyle w:val="af7"/>
          <w:rFonts w:eastAsia="Guttman Hodes"/>
          <w:rtl/>
        </w:rPr>
        <w:instrText xml:space="preserve"> </w:instrText>
      </w:r>
      <w:r w:rsidRPr="00455D2D">
        <w:rPr>
          <w:rStyle w:val="af7"/>
          <w:rFonts w:eastAsia="Guttman Hodes"/>
          <w:rtl/>
        </w:rPr>
      </w:r>
      <w:r w:rsidRPr="00455D2D">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455D2D">
        <w:rPr>
          <w:rStyle w:val="af7"/>
          <w:rFonts w:eastAsia="Guttman Hodes"/>
          <w:rtl/>
        </w:rPr>
        <w:fldChar w:fldCharType="end"/>
      </w:r>
      <w:r>
        <w:rPr>
          <w:rFonts w:hint="cs"/>
          <w:rtl/>
        </w:rPr>
        <w:t>, דכיון דס"ל דכשנאמן במיגו בטענת קמי דידי דר בה חד יומא, טענינן ליה שהמוכר קנה מהמערער, א"כ כשיש עדים דדר חד יומא, ודאי דטענינן ליה, דאעפ"י שהעדים העידו לאחר שהודה וכבר אין לו מיגו, מ"מ העדים עצמם נאמנים דדר בה המוכר חד יומא, וכל שיש לנו נאמנות בזה, ממילא טענינן ליה שהמוכר קנה מהמערער, וא"כ אמאי הוצרכו</w:t>
      </w:r>
      <w:r w:rsidRPr="00DD45DA">
        <w:rPr>
          <w:rStyle w:val="af9"/>
          <w:rFonts w:hint="cs"/>
          <w:rtl/>
        </w:rPr>
        <w:t xml:space="preserve"> התוס'</w:t>
      </w:r>
      <w:r>
        <w:rPr>
          <w:rFonts w:hint="cs"/>
          <w:rtl/>
        </w:rPr>
        <w:t xml:space="preserve"> לבאר בשם </w:t>
      </w:r>
      <w:r w:rsidRPr="00DD45DA">
        <w:rPr>
          <w:rStyle w:val="af9"/>
          <w:rFonts w:hint="cs"/>
          <w:rtl/>
        </w:rPr>
        <w:t>הרשב"א בתוס'</w:t>
      </w:r>
      <w:r>
        <w:rPr>
          <w:rFonts w:hint="cs"/>
          <w:rtl/>
        </w:rPr>
        <w:t xml:space="preserve">, דיש בכה"ג טעם נוסף דהלוקח עומד במקום המוכר. </w:t>
      </w:r>
      <w:r>
        <w:rPr>
          <w:rStyle w:val="afb"/>
          <w:rtl/>
        </w:rPr>
        <w:t xml:space="preserve">[כדביאר </w:t>
      </w:r>
      <w:r w:rsidRPr="00F846D6">
        <w:rPr>
          <w:rStyle w:val="affa"/>
          <w:rtl/>
        </w:rPr>
        <w:t>הדרישה</w:t>
      </w:r>
      <w:r>
        <w:rPr>
          <w:rStyle w:val="afb"/>
          <w:rtl/>
        </w:rPr>
        <w:t xml:space="preserve"> </w:t>
      </w:r>
      <w:r w:rsidRPr="00F846D6">
        <w:rPr>
          <w:rStyle w:val="aff6"/>
          <w:rtl/>
        </w:rPr>
        <w:t xml:space="preserve">(עי' אות </w:t>
      </w:r>
      <w:r w:rsidRPr="00F846D6">
        <w:rPr>
          <w:rStyle w:val="aff6"/>
          <w:rtl/>
        </w:rPr>
        <w:fldChar w:fldCharType="begin"/>
      </w:r>
      <w:r w:rsidRPr="00F846D6">
        <w:rPr>
          <w:rStyle w:val="aff6"/>
          <w:rtl/>
        </w:rPr>
        <w:instrText xml:space="preserve"> </w:instrText>
      </w:r>
      <w:r w:rsidRPr="00F846D6">
        <w:rPr>
          <w:rStyle w:val="aff6"/>
        </w:rPr>
        <w:instrText>REF</w:instrText>
      </w:r>
      <w:r w:rsidRPr="00F846D6">
        <w:rPr>
          <w:rStyle w:val="aff6"/>
          <w:rtl/>
        </w:rPr>
        <w:instrText xml:space="preserve"> _</w:instrText>
      </w:r>
      <w:r w:rsidRPr="00F846D6">
        <w:rPr>
          <w:rStyle w:val="aff6"/>
        </w:rPr>
        <w:instrText>Ref60343299 \r \h</w:instrText>
      </w:r>
      <w:r w:rsidRPr="00F846D6">
        <w:rPr>
          <w:rStyle w:val="aff6"/>
          <w:rtl/>
        </w:rPr>
        <w:instrText xml:space="preserve"> </w:instrText>
      </w:r>
      <w:r w:rsidRPr="00F846D6">
        <w:rPr>
          <w:rStyle w:val="aff6"/>
          <w:rtl/>
        </w:rPr>
      </w:r>
      <w:r w:rsidRPr="00F846D6">
        <w:rPr>
          <w:rStyle w:val="aff6"/>
          <w:rtl/>
        </w:rPr>
        <w:fldChar w:fldCharType="separate"/>
      </w:r>
      <w:r w:rsidR="00265073">
        <w:rPr>
          <w:rStyle w:val="aff6"/>
          <w:cs/>
        </w:rPr>
        <w:t>‎</w:t>
      </w:r>
      <w:r w:rsidR="00265073">
        <w:rPr>
          <w:rStyle w:val="aff6"/>
          <w:rtl/>
        </w:rPr>
        <w:t>עא)</w:t>
      </w:r>
      <w:r w:rsidRPr="00F846D6">
        <w:rPr>
          <w:rStyle w:val="aff6"/>
          <w:rtl/>
        </w:rPr>
        <w:fldChar w:fldCharType="end"/>
      </w:r>
      <w:r>
        <w:rPr>
          <w:rStyle w:val="afb"/>
          <w:rtl/>
        </w:rPr>
        <w:t>]</w:t>
      </w:r>
      <w:r w:rsidRPr="00F846D6">
        <w:rPr>
          <w:rStyle w:val="afb"/>
          <w:rFonts w:hint="cs"/>
          <w:rtl/>
        </w:rPr>
        <w:t>.</w:t>
      </w:r>
      <w:bookmarkEnd w:id="10835"/>
    </w:p>
    <w:p w:rsidR="006A4297" w:rsidRPr="008404B1" w:rsidRDefault="006A4297" w:rsidP="006A4297">
      <w:pPr>
        <w:pStyle w:val="a3"/>
        <w:rPr>
          <w:rtl/>
        </w:rPr>
      </w:pPr>
      <w:bookmarkStart w:id="10836" w:name="_Toc60616515"/>
      <w:bookmarkStart w:id="10837" w:name="_Toc60678280"/>
      <w:r>
        <w:rPr>
          <w:rFonts w:hint="cs"/>
          <w:rtl/>
        </w:rPr>
        <w:t>קושית הדרישה על ר"י דאף דלא טענינן מחמת דעומד במקום המוכר מ"מ בדר חד יומא טענינן</w:t>
      </w:r>
      <w:bookmarkEnd w:id="10836"/>
      <w:bookmarkEnd w:id="10837"/>
    </w:p>
    <w:p w:rsidR="006A4297" w:rsidRDefault="006A4297" w:rsidP="007E4E81">
      <w:pPr>
        <w:pStyle w:val="a0"/>
        <w:rPr>
          <w:rtl/>
        </w:rPr>
      </w:pPr>
      <w:r>
        <w:rPr>
          <w:rFonts w:hint="cs"/>
          <w:rtl/>
        </w:rPr>
        <w:t xml:space="preserve">ועוד הקשה </w:t>
      </w:r>
      <w:r w:rsidRPr="00DD45DA">
        <w:rPr>
          <w:rStyle w:val="af9"/>
          <w:rFonts w:hint="cs"/>
          <w:rtl/>
        </w:rPr>
        <w:t>הדרישה</w:t>
      </w:r>
      <w:r>
        <w:rPr>
          <w:rFonts w:hint="cs"/>
          <w:rtl/>
        </w:rPr>
        <w:t xml:space="preserve"> דאמאי כתבו </w:t>
      </w:r>
      <w:r w:rsidRPr="00DD45DA">
        <w:rPr>
          <w:rStyle w:val="af9"/>
          <w:rFonts w:hint="cs"/>
          <w:rtl/>
        </w:rPr>
        <w:t>התוס'</w:t>
      </w:r>
      <w:r>
        <w:rPr>
          <w:rFonts w:hint="cs"/>
          <w:rtl/>
        </w:rPr>
        <w:t xml:space="preserve"> </w:t>
      </w:r>
      <w:r w:rsidRPr="00F846D6">
        <w:rPr>
          <w:rStyle w:val="af7"/>
          <w:rFonts w:eastAsia="Guttman Hodes" w:hint="cs"/>
          <w:rtl/>
        </w:rPr>
        <w:t xml:space="preserve">(עי' אות </w:t>
      </w:r>
      <w:r w:rsidRPr="00F846D6">
        <w:rPr>
          <w:rStyle w:val="af7"/>
          <w:rFonts w:eastAsia="Guttman Hodes"/>
          <w:rtl/>
        </w:rPr>
        <w:fldChar w:fldCharType="begin"/>
      </w:r>
      <w:r w:rsidRPr="00F846D6">
        <w:rPr>
          <w:rStyle w:val="af7"/>
          <w:rFonts w:eastAsia="Guttman Hodes"/>
          <w:rtl/>
        </w:rPr>
        <w:instrText xml:space="preserve"> </w:instrText>
      </w:r>
      <w:r w:rsidRPr="00F846D6">
        <w:rPr>
          <w:rStyle w:val="af7"/>
          <w:rFonts w:eastAsia="Guttman Hodes" w:hint="cs"/>
        </w:rPr>
        <w:instrText>REF</w:instrText>
      </w:r>
      <w:r w:rsidRPr="00F846D6">
        <w:rPr>
          <w:rStyle w:val="af7"/>
          <w:rFonts w:eastAsia="Guttman Hodes" w:hint="cs"/>
          <w:rtl/>
        </w:rPr>
        <w:instrText xml:space="preserve"> _</w:instrText>
      </w:r>
      <w:r w:rsidRPr="00F846D6">
        <w:rPr>
          <w:rStyle w:val="af7"/>
          <w:rFonts w:eastAsia="Guttman Hodes" w:hint="cs"/>
        </w:rPr>
        <w:instrText>Ref60343325 \r \h</w:instrText>
      </w:r>
      <w:r w:rsidRPr="00F846D6">
        <w:rPr>
          <w:rStyle w:val="af7"/>
          <w:rFonts w:eastAsia="Guttman Hodes"/>
          <w:rtl/>
        </w:rPr>
        <w:instrText xml:space="preserve"> </w:instrText>
      </w:r>
      <w:r w:rsidRPr="00F846D6">
        <w:rPr>
          <w:rStyle w:val="af7"/>
          <w:rFonts w:eastAsia="Guttman Hodes"/>
          <w:rtl/>
        </w:rPr>
      </w:r>
      <w:r w:rsidRPr="00F846D6">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F846D6">
        <w:rPr>
          <w:rStyle w:val="af7"/>
          <w:rFonts w:eastAsia="Guttman Hodes"/>
          <w:rtl/>
        </w:rPr>
        <w:fldChar w:fldCharType="end"/>
      </w:r>
      <w:r>
        <w:rPr>
          <w:rFonts w:hint="cs"/>
          <w:rtl/>
        </w:rPr>
        <w:t xml:space="preserve"> </w:t>
      </w:r>
      <w:r w:rsidRPr="00DD45DA">
        <w:rPr>
          <w:rStyle w:val="af9"/>
          <w:rFonts w:hint="cs"/>
          <w:rtl/>
        </w:rPr>
        <w:t>דר"י</w:t>
      </w:r>
      <w:r>
        <w:rPr>
          <w:rFonts w:hint="cs"/>
          <w:rtl/>
        </w:rPr>
        <w:t xml:space="preserve"> דחה את הראיה שהביא </w:t>
      </w:r>
      <w:r w:rsidRPr="00DD45DA">
        <w:rPr>
          <w:rStyle w:val="af9"/>
          <w:rFonts w:hint="cs"/>
          <w:rtl/>
        </w:rPr>
        <w:t>הרשב"א בתוס'</w:t>
      </w:r>
      <w:r>
        <w:rPr>
          <w:rFonts w:hint="cs"/>
          <w:rtl/>
        </w:rPr>
        <w:t xml:space="preserve"> </w:t>
      </w:r>
      <w:r w:rsidRPr="00F846D6">
        <w:rPr>
          <w:rStyle w:val="af7"/>
          <w:rFonts w:eastAsia="Guttman Hodes" w:hint="cs"/>
          <w:rtl/>
        </w:rPr>
        <w:t xml:space="preserve">(עי' אות </w:t>
      </w:r>
      <w:r w:rsidRPr="00F846D6">
        <w:rPr>
          <w:rStyle w:val="af7"/>
          <w:rFonts w:eastAsia="Guttman Hodes"/>
          <w:rtl/>
        </w:rPr>
        <w:fldChar w:fldCharType="begin"/>
      </w:r>
      <w:r w:rsidRPr="00F846D6">
        <w:rPr>
          <w:rStyle w:val="af7"/>
          <w:rFonts w:eastAsia="Guttman Hodes"/>
          <w:rtl/>
        </w:rPr>
        <w:instrText xml:space="preserve"> </w:instrText>
      </w:r>
      <w:r w:rsidRPr="00F846D6">
        <w:rPr>
          <w:rStyle w:val="af7"/>
          <w:rFonts w:eastAsia="Guttman Hodes" w:hint="cs"/>
        </w:rPr>
        <w:instrText>REF</w:instrText>
      </w:r>
      <w:r w:rsidRPr="00F846D6">
        <w:rPr>
          <w:rStyle w:val="af7"/>
          <w:rFonts w:eastAsia="Guttman Hodes" w:hint="cs"/>
          <w:rtl/>
        </w:rPr>
        <w:instrText xml:space="preserve"> _</w:instrText>
      </w:r>
      <w:r w:rsidRPr="00F846D6">
        <w:rPr>
          <w:rStyle w:val="af7"/>
          <w:rFonts w:eastAsia="Guttman Hodes" w:hint="cs"/>
        </w:rPr>
        <w:instrText>Ref60343319 \r \h</w:instrText>
      </w:r>
      <w:r w:rsidRPr="00F846D6">
        <w:rPr>
          <w:rStyle w:val="af7"/>
          <w:rFonts w:eastAsia="Guttman Hodes"/>
          <w:rtl/>
        </w:rPr>
        <w:instrText xml:space="preserve"> </w:instrText>
      </w:r>
      <w:r w:rsidRPr="00F846D6">
        <w:rPr>
          <w:rStyle w:val="af7"/>
          <w:rFonts w:eastAsia="Guttman Hodes"/>
          <w:rtl/>
        </w:rPr>
      </w:r>
      <w:r w:rsidRPr="00F846D6">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F846D6">
        <w:rPr>
          <w:rStyle w:val="af7"/>
          <w:rFonts w:eastAsia="Guttman Hodes"/>
          <w:rtl/>
        </w:rPr>
        <w:fldChar w:fldCharType="end"/>
      </w:r>
      <w:r>
        <w:rPr>
          <w:rFonts w:hint="cs"/>
          <w:rtl/>
        </w:rPr>
        <w:t xml:space="preserve"> מהגמ' לקמן, והא אף אי א"א ללמוד מהגמ' לקמן, את הטעם הנוסף של </w:t>
      </w:r>
      <w:r w:rsidRPr="00DD45DA">
        <w:rPr>
          <w:rStyle w:val="af9"/>
          <w:rFonts w:hint="cs"/>
          <w:rtl/>
        </w:rPr>
        <w:t>הרשב"א בתוס'</w:t>
      </w:r>
      <w:r>
        <w:rPr>
          <w:rFonts w:hint="cs"/>
          <w:rtl/>
        </w:rPr>
        <w:t xml:space="preserve">, </w:t>
      </w:r>
      <w:r w:rsidRPr="00F846D6">
        <w:rPr>
          <w:rStyle w:val="afb"/>
          <w:rFonts w:hint="cs"/>
          <w:rtl/>
        </w:rPr>
        <w:t xml:space="preserve">[כדביאר </w:t>
      </w:r>
      <w:r w:rsidRPr="00F846D6">
        <w:rPr>
          <w:rStyle w:val="affa"/>
          <w:rFonts w:hint="cs"/>
          <w:rtl/>
        </w:rPr>
        <w:t>הדרישה</w:t>
      </w:r>
      <w:r w:rsidRPr="00F846D6">
        <w:rPr>
          <w:rStyle w:val="afb"/>
          <w:rFonts w:hint="cs"/>
          <w:rtl/>
        </w:rPr>
        <w:t xml:space="preserve"> </w:t>
      </w:r>
      <w:r w:rsidRPr="00F846D6">
        <w:rPr>
          <w:rStyle w:val="aff6"/>
          <w:rFonts w:hint="cs"/>
          <w:rtl/>
        </w:rPr>
        <w:t xml:space="preserve">(עי' אות </w:t>
      </w:r>
      <w:r w:rsidRPr="00F846D6">
        <w:rPr>
          <w:rStyle w:val="aff6"/>
          <w:rtl/>
        </w:rPr>
        <w:fldChar w:fldCharType="begin"/>
      </w:r>
      <w:r w:rsidRPr="00F846D6">
        <w:rPr>
          <w:rStyle w:val="aff6"/>
          <w:rtl/>
        </w:rPr>
        <w:instrText xml:space="preserve"> </w:instrText>
      </w:r>
      <w:r w:rsidRPr="00F846D6">
        <w:rPr>
          <w:rStyle w:val="aff6"/>
          <w:rFonts w:hint="cs"/>
        </w:rPr>
        <w:instrText>REF</w:instrText>
      </w:r>
      <w:r w:rsidRPr="00F846D6">
        <w:rPr>
          <w:rStyle w:val="aff6"/>
          <w:rFonts w:hint="cs"/>
          <w:rtl/>
        </w:rPr>
        <w:instrText xml:space="preserve"> _</w:instrText>
      </w:r>
      <w:r w:rsidRPr="00F846D6">
        <w:rPr>
          <w:rStyle w:val="aff6"/>
          <w:rFonts w:hint="cs"/>
        </w:rPr>
        <w:instrText>Ref60343299 \r \h</w:instrText>
      </w:r>
      <w:r w:rsidRPr="00F846D6">
        <w:rPr>
          <w:rStyle w:val="aff6"/>
          <w:rtl/>
        </w:rPr>
        <w:instrText xml:space="preserve"> </w:instrText>
      </w:r>
      <w:r w:rsidRPr="00F846D6">
        <w:rPr>
          <w:rStyle w:val="aff6"/>
          <w:rtl/>
        </w:rPr>
      </w:r>
      <w:r w:rsidRPr="00F846D6">
        <w:rPr>
          <w:rStyle w:val="aff6"/>
          <w:rtl/>
        </w:rPr>
        <w:fldChar w:fldCharType="separate"/>
      </w:r>
      <w:r w:rsidR="00265073">
        <w:rPr>
          <w:rStyle w:val="aff6"/>
          <w:cs/>
        </w:rPr>
        <w:t>‎</w:t>
      </w:r>
      <w:r w:rsidR="00265073">
        <w:rPr>
          <w:rStyle w:val="aff6"/>
          <w:rtl/>
        </w:rPr>
        <w:t>עא)</w:t>
      </w:r>
      <w:r w:rsidRPr="00F846D6">
        <w:rPr>
          <w:rStyle w:val="aff6"/>
          <w:rtl/>
        </w:rPr>
        <w:fldChar w:fldCharType="end"/>
      </w:r>
      <w:r w:rsidRPr="00F846D6">
        <w:rPr>
          <w:rStyle w:val="afb"/>
          <w:rFonts w:hint="cs"/>
          <w:rtl/>
        </w:rPr>
        <w:t>],</w:t>
      </w:r>
      <w:r>
        <w:rPr>
          <w:rFonts w:hint="cs"/>
          <w:rtl/>
        </w:rPr>
        <w:t xml:space="preserve"> דטענינן ליה כיון שהלוקח עומד במקום המוכר, מ"מ טענינן ליה מחמת שיש לו עדים דדר חד יומא, כמבואר בדברי </w:t>
      </w:r>
      <w:r w:rsidRPr="00455D2D">
        <w:rPr>
          <w:rStyle w:val="af9"/>
          <w:rFonts w:hint="cs"/>
          <w:rtl/>
        </w:rPr>
        <w:t>התוס' בתחילת דבריהם</w:t>
      </w:r>
      <w:r>
        <w:rPr>
          <w:rFonts w:hint="cs"/>
          <w:rtl/>
        </w:rPr>
        <w:t>.</w:t>
      </w:r>
    </w:p>
    <w:p w:rsidR="006A4297" w:rsidRPr="00E75E76" w:rsidRDefault="006A4297" w:rsidP="006A4297">
      <w:pPr>
        <w:pStyle w:val="a3"/>
        <w:rPr>
          <w:rtl/>
        </w:rPr>
      </w:pPr>
      <w:bookmarkStart w:id="10838" w:name="_Toc60616516"/>
      <w:bookmarkStart w:id="10839" w:name="_Toc60678281"/>
      <w:r>
        <w:rPr>
          <w:rFonts w:hint="cs"/>
          <w:rtl/>
        </w:rPr>
        <w:t>קושית הדרישה על המרדכי דכתב דמספקא לר"י והא לר"י פשיטא דטענינן כשנאמן בחד יומא</w:t>
      </w:r>
      <w:bookmarkEnd w:id="10838"/>
      <w:bookmarkEnd w:id="10839"/>
    </w:p>
    <w:p w:rsidR="006A4297" w:rsidRDefault="006A4297" w:rsidP="007E4E81">
      <w:pPr>
        <w:pStyle w:val="a0"/>
        <w:rPr>
          <w:rtl/>
        </w:rPr>
      </w:pPr>
      <w:r>
        <w:rPr>
          <w:rFonts w:hint="cs"/>
          <w:rtl/>
        </w:rPr>
        <w:t xml:space="preserve">והביא </w:t>
      </w:r>
      <w:r w:rsidRPr="00C6381C">
        <w:rPr>
          <w:rStyle w:val="af9"/>
          <w:rFonts w:hint="cs"/>
          <w:rtl/>
        </w:rPr>
        <w:t>הדרישה</w:t>
      </w:r>
      <w:r>
        <w:rPr>
          <w:rFonts w:hint="cs"/>
          <w:rtl/>
        </w:rPr>
        <w:t xml:space="preserve"> את דברי </w:t>
      </w:r>
      <w:r w:rsidRPr="00C6381C">
        <w:rPr>
          <w:rStyle w:val="af9"/>
          <w:rFonts w:hint="cs"/>
          <w:rtl/>
        </w:rPr>
        <w:t>המרדכי</w:t>
      </w:r>
      <w:r>
        <w:rPr>
          <w:rFonts w:hint="cs"/>
          <w:rtl/>
        </w:rPr>
        <w:t xml:space="preserve"> </w:t>
      </w:r>
      <w:r w:rsidRPr="00AD1E64">
        <w:rPr>
          <w:rStyle w:val="af7"/>
          <w:rFonts w:eastAsia="Guttman Hodes" w:hint="cs"/>
          <w:rtl/>
        </w:rPr>
        <w:t xml:space="preserve">(עי' אות </w:t>
      </w:r>
      <w:r w:rsidRPr="00AD1E64">
        <w:rPr>
          <w:rStyle w:val="af7"/>
          <w:rFonts w:eastAsia="Guttman Hodes"/>
          <w:rtl/>
        </w:rPr>
        <w:fldChar w:fldCharType="begin"/>
      </w:r>
      <w:r w:rsidRPr="00AD1E64">
        <w:rPr>
          <w:rStyle w:val="af7"/>
          <w:rFonts w:eastAsia="Guttman Hodes"/>
          <w:rtl/>
        </w:rPr>
        <w:instrText xml:space="preserve"> </w:instrText>
      </w:r>
      <w:r w:rsidRPr="00AD1E64">
        <w:rPr>
          <w:rStyle w:val="af7"/>
          <w:rFonts w:eastAsia="Guttman Hodes" w:hint="cs"/>
        </w:rPr>
        <w:instrText>REF</w:instrText>
      </w:r>
      <w:r w:rsidRPr="00AD1E64">
        <w:rPr>
          <w:rStyle w:val="af7"/>
          <w:rFonts w:eastAsia="Guttman Hodes" w:hint="cs"/>
          <w:rtl/>
        </w:rPr>
        <w:instrText xml:space="preserve"> _</w:instrText>
      </w:r>
      <w:r w:rsidRPr="00AD1E64">
        <w:rPr>
          <w:rStyle w:val="af7"/>
          <w:rFonts w:eastAsia="Guttman Hodes" w:hint="cs"/>
        </w:rPr>
        <w:instrText>Ref60615355 \r \h</w:instrText>
      </w:r>
      <w:r w:rsidRPr="00AD1E64">
        <w:rPr>
          <w:rStyle w:val="af7"/>
          <w:rFonts w:eastAsia="Guttman Hodes"/>
          <w:rtl/>
        </w:rPr>
        <w:instrText xml:space="preserve"> </w:instrText>
      </w:r>
      <w:r w:rsidRPr="00AD1E64">
        <w:rPr>
          <w:rStyle w:val="af7"/>
          <w:rFonts w:eastAsia="Guttman Hodes"/>
          <w:rtl/>
        </w:rPr>
      </w:r>
      <w:r w:rsidRPr="00AD1E64">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AD1E64">
        <w:rPr>
          <w:rStyle w:val="af7"/>
          <w:rFonts w:eastAsia="Guttman Hodes"/>
          <w:rtl/>
        </w:rPr>
        <w:fldChar w:fldCharType="end"/>
      </w:r>
      <w:r>
        <w:rPr>
          <w:rFonts w:hint="cs"/>
          <w:rtl/>
        </w:rPr>
        <w:t xml:space="preserve"> דכתב בשם </w:t>
      </w:r>
      <w:r w:rsidRPr="00C6381C">
        <w:rPr>
          <w:rStyle w:val="af9"/>
          <w:rFonts w:hint="cs"/>
          <w:rtl/>
        </w:rPr>
        <w:t>ר"י</w:t>
      </w:r>
      <w:r>
        <w:rPr>
          <w:rFonts w:hint="cs"/>
          <w:rtl/>
        </w:rPr>
        <w:t xml:space="preserve"> דיש להסתפק כשאין למחזיק חזקת ג"ש, והביא עדים דדר המוכר חד יומא, והקשה ה</w:t>
      </w:r>
      <w:r w:rsidRPr="00C6381C">
        <w:rPr>
          <w:rStyle w:val="af9"/>
          <w:rFonts w:hint="cs"/>
          <w:rtl/>
        </w:rPr>
        <w:t>דרישה</w:t>
      </w:r>
      <w:r>
        <w:rPr>
          <w:rFonts w:hint="cs"/>
          <w:rtl/>
        </w:rPr>
        <w:t xml:space="preserve"> על </w:t>
      </w:r>
      <w:r w:rsidRPr="009431F6">
        <w:rPr>
          <w:rStyle w:val="af9"/>
          <w:rFonts w:hint="cs"/>
          <w:rtl/>
        </w:rPr>
        <w:t xml:space="preserve">המרדכי </w:t>
      </w:r>
      <w:r>
        <w:rPr>
          <w:rFonts w:hint="cs"/>
          <w:rtl/>
        </w:rPr>
        <w:t xml:space="preserve">דהא לדברי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455D2D">
        <w:rPr>
          <w:rStyle w:val="af7"/>
          <w:rFonts w:eastAsia="Guttman Hodes" w:hint="cs"/>
          <w:rtl/>
        </w:rPr>
        <w:t xml:space="preserve">(עי' אות </w:t>
      </w:r>
      <w:r w:rsidRPr="00455D2D">
        <w:rPr>
          <w:rStyle w:val="af7"/>
          <w:rFonts w:eastAsia="Guttman Hodes"/>
          <w:rtl/>
        </w:rPr>
        <w:fldChar w:fldCharType="begin"/>
      </w:r>
      <w:r w:rsidRPr="00455D2D">
        <w:rPr>
          <w:rStyle w:val="af7"/>
          <w:rFonts w:eastAsia="Guttman Hodes"/>
          <w:rtl/>
        </w:rPr>
        <w:instrText xml:space="preserve"> </w:instrText>
      </w:r>
      <w:r w:rsidRPr="00455D2D">
        <w:rPr>
          <w:rStyle w:val="af7"/>
          <w:rFonts w:eastAsia="Guttman Hodes" w:hint="cs"/>
        </w:rPr>
        <w:instrText>REF</w:instrText>
      </w:r>
      <w:r w:rsidRPr="00455D2D">
        <w:rPr>
          <w:rStyle w:val="af7"/>
          <w:rFonts w:eastAsia="Guttman Hodes" w:hint="cs"/>
          <w:rtl/>
        </w:rPr>
        <w:instrText xml:space="preserve"> _</w:instrText>
      </w:r>
      <w:r w:rsidRPr="00455D2D">
        <w:rPr>
          <w:rStyle w:val="af7"/>
          <w:rFonts w:eastAsia="Guttman Hodes" w:hint="cs"/>
        </w:rPr>
        <w:instrText>Ref60243410 \r \h</w:instrText>
      </w:r>
      <w:r w:rsidRPr="00455D2D">
        <w:rPr>
          <w:rStyle w:val="af7"/>
          <w:rFonts w:eastAsia="Guttman Hodes"/>
          <w:rtl/>
        </w:rPr>
        <w:instrText xml:space="preserve"> </w:instrText>
      </w:r>
      <w:r w:rsidRPr="00455D2D">
        <w:rPr>
          <w:rStyle w:val="af7"/>
          <w:rFonts w:eastAsia="Guttman Hodes"/>
          <w:rtl/>
        </w:rPr>
      </w:r>
      <w:r w:rsidRPr="00455D2D">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455D2D">
        <w:rPr>
          <w:rStyle w:val="af7"/>
          <w:rFonts w:eastAsia="Guttman Hodes"/>
          <w:rtl/>
        </w:rPr>
        <w:fldChar w:fldCharType="end"/>
      </w:r>
      <w:r>
        <w:rPr>
          <w:rFonts w:hint="cs"/>
          <w:rtl/>
        </w:rPr>
        <w:t xml:space="preserve"> פשיטא דטענינן ליה, </w:t>
      </w:r>
      <w:r w:rsidRPr="007415BA">
        <w:rPr>
          <w:rStyle w:val="afb"/>
          <w:rFonts w:hint="cs"/>
          <w:rtl/>
        </w:rPr>
        <w:t xml:space="preserve">[כדביאר </w:t>
      </w:r>
      <w:r w:rsidRPr="007415BA">
        <w:rPr>
          <w:rStyle w:val="affa"/>
          <w:rFonts w:hint="cs"/>
          <w:rtl/>
        </w:rPr>
        <w:t>הדרישה</w:t>
      </w:r>
      <w:r w:rsidRPr="007415BA">
        <w:rPr>
          <w:rStyle w:val="afb"/>
          <w:rFonts w:hint="cs"/>
          <w:rtl/>
        </w:rPr>
        <w:t xml:space="preserve"> </w:t>
      </w:r>
      <w:r w:rsidRPr="003D5F87">
        <w:rPr>
          <w:rStyle w:val="aff6"/>
          <w:rFonts w:hint="cs"/>
          <w:rtl/>
        </w:rPr>
        <w:t xml:space="preserve">(עי' אות </w:t>
      </w:r>
      <w:r w:rsidRPr="003D5F87">
        <w:rPr>
          <w:rStyle w:val="aff6"/>
          <w:rtl/>
        </w:rPr>
        <w:fldChar w:fldCharType="begin"/>
      </w:r>
      <w:r w:rsidRPr="003D5F87">
        <w:rPr>
          <w:rStyle w:val="aff6"/>
          <w:rtl/>
        </w:rPr>
        <w:instrText xml:space="preserve"> </w:instrText>
      </w:r>
      <w:r w:rsidRPr="003D5F87">
        <w:rPr>
          <w:rStyle w:val="aff6"/>
          <w:rFonts w:hint="cs"/>
        </w:rPr>
        <w:instrText>REF</w:instrText>
      </w:r>
      <w:r w:rsidRPr="003D5F87">
        <w:rPr>
          <w:rStyle w:val="aff6"/>
          <w:rFonts w:hint="cs"/>
          <w:rtl/>
        </w:rPr>
        <w:instrText xml:space="preserve"> _</w:instrText>
      </w:r>
      <w:r w:rsidRPr="003D5F87">
        <w:rPr>
          <w:rStyle w:val="aff6"/>
          <w:rFonts w:hint="cs"/>
        </w:rPr>
        <w:instrText>Ref60345017 \r \h</w:instrText>
      </w:r>
      <w:r w:rsidRPr="003D5F87">
        <w:rPr>
          <w:rStyle w:val="aff6"/>
          <w:rtl/>
        </w:rPr>
        <w:instrText xml:space="preserve"> </w:instrText>
      </w:r>
      <w:r w:rsidRPr="003D5F87">
        <w:rPr>
          <w:rStyle w:val="aff6"/>
          <w:rtl/>
        </w:rPr>
      </w:r>
      <w:r w:rsidRPr="003D5F87">
        <w:rPr>
          <w:rStyle w:val="aff6"/>
          <w:rtl/>
        </w:rPr>
        <w:fldChar w:fldCharType="separate"/>
      </w:r>
      <w:r w:rsidR="00265073">
        <w:rPr>
          <w:rStyle w:val="aff6"/>
          <w:cs/>
        </w:rPr>
        <w:t>‎</w:t>
      </w:r>
      <w:r w:rsidR="00265073">
        <w:rPr>
          <w:rStyle w:val="aff6"/>
          <w:rtl/>
        </w:rPr>
        <w:t>עג)</w:t>
      </w:r>
      <w:r w:rsidRPr="003D5F87">
        <w:rPr>
          <w:rStyle w:val="aff6"/>
          <w:rtl/>
        </w:rPr>
        <w:fldChar w:fldCharType="end"/>
      </w:r>
      <w:r w:rsidRPr="007415BA">
        <w:rPr>
          <w:rStyle w:val="afb"/>
          <w:rFonts w:hint="cs"/>
          <w:rtl/>
        </w:rPr>
        <w:t xml:space="preserve"> דמוכח </w:t>
      </w:r>
      <w:r w:rsidRPr="007415BA">
        <w:rPr>
          <w:rStyle w:val="affa"/>
          <w:rFonts w:hint="cs"/>
          <w:rtl/>
        </w:rPr>
        <w:t>בתוס'</w:t>
      </w:r>
      <w:r w:rsidRPr="007415BA">
        <w:rPr>
          <w:rStyle w:val="afb"/>
          <w:rFonts w:hint="cs"/>
          <w:rtl/>
        </w:rPr>
        <w:t xml:space="preserve"> דכל שנאמן דדר חד יומא ממילא טענינן ליה, וא"כ כיון שיש לו עדים שהם נאמנים לומר דדר חד יומא, ודאי דטענינן ליה],</w:t>
      </w:r>
      <w:r>
        <w:rPr>
          <w:rFonts w:hint="cs"/>
          <w:rtl/>
        </w:rPr>
        <w:t xml:space="preserve"> וכתב </w:t>
      </w:r>
      <w:r w:rsidRPr="007415BA">
        <w:rPr>
          <w:rStyle w:val="af9"/>
          <w:rFonts w:hint="cs"/>
          <w:rtl/>
        </w:rPr>
        <w:t>הדרישה</w:t>
      </w:r>
      <w:r>
        <w:rPr>
          <w:rFonts w:hint="cs"/>
          <w:rtl/>
        </w:rPr>
        <w:t xml:space="preserve"> דסתם דברי </w:t>
      </w:r>
      <w:r w:rsidRPr="007415BA">
        <w:rPr>
          <w:rStyle w:val="af9"/>
          <w:rFonts w:hint="cs"/>
          <w:rtl/>
        </w:rPr>
        <w:t>תוס'</w:t>
      </w:r>
      <w:r>
        <w:rPr>
          <w:rFonts w:hint="cs"/>
          <w:rtl/>
        </w:rPr>
        <w:t xml:space="preserve"> הם דברי </w:t>
      </w:r>
      <w:r w:rsidRPr="007415BA">
        <w:rPr>
          <w:rStyle w:val="af9"/>
          <w:rFonts w:hint="cs"/>
          <w:rtl/>
        </w:rPr>
        <w:t>ר"י</w:t>
      </w:r>
      <w:r>
        <w:rPr>
          <w:rFonts w:hint="cs"/>
          <w:rtl/>
        </w:rPr>
        <w:t xml:space="preserve">, ואף </w:t>
      </w:r>
      <w:r w:rsidRPr="007415BA">
        <w:rPr>
          <w:rStyle w:val="af9"/>
          <w:rFonts w:hint="cs"/>
          <w:rtl/>
        </w:rPr>
        <w:t>המ</w:t>
      </w:r>
      <w:r w:rsidRPr="009431F6">
        <w:rPr>
          <w:rStyle w:val="af9"/>
          <w:rFonts w:hint="cs"/>
          <w:rtl/>
        </w:rPr>
        <w:t>רדכי</w:t>
      </w:r>
      <w:r>
        <w:rPr>
          <w:rFonts w:hint="cs"/>
          <w:rtl/>
        </w:rPr>
        <w:t xml:space="preserve"> </w:t>
      </w:r>
      <w:r>
        <w:rPr>
          <w:rStyle w:val="af7"/>
          <w:rFonts w:eastAsia="Guttman Hodes" w:hint="cs"/>
          <w:rtl/>
        </w:rPr>
        <w:t>(</w:t>
      </w:r>
      <w:r w:rsidRPr="00231220">
        <w:rPr>
          <w:rStyle w:val="af7"/>
          <w:rFonts w:eastAsia="Guttman Hodes" w:hint="cs"/>
          <w:rtl/>
        </w:rPr>
        <w:t xml:space="preserve">רמז תקכ"ג) </w:t>
      </w:r>
      <w:r>
        <w:rPr>
          <w:rFonts w:hint="cs"/>
          <w:rtl/>
        </w:rPr>
        <w:t xml:space="preserve">עצמו כתב כן בתחילת דבריו בשם </w:t>
      </w:r>
      <w:r w:rsidRPr="007415BA">
        <w:rPr>
          <w:rStyle w:val="af9"/>
          <w:rFonts w:hint="cs"/>
          <w:rtl/>
        </w:rPr>
        <w:t>ר"י</w:t>
      </w:r>
      <w:r>
        <w:rPr>
          <w:rFonts w:hint="cs"/>
          <w:rtl/>
        </w:rPr>
        <w:t xml:space="preserve">, והיאך אפש"ל דמספקא ליה </w:t>
      </w:r>
      <w:r w:rsidRPr="007415BA">
        <w:rPr>
          <w:rStyle w:val="af9"/>
          <w:rFonts w:hint="cs"/>
          <w:rtl/>
        </w:rPr>
        <w:t>לר"י</w:t>
      </w:r>
      <w:r>
        <w:rPr>
          <w:rFonts w:hint="cs"/>
          <w:rtl/>
        </w:rPr>
        <w:t xml:space="preserve"> במקום שיש למחזיק עידי חד יומא.</w:t>
      </w:r>
    </w:p>
    <w:p w:rsidR="006A4297" w:rsidRPr="00A10466" w:rsidRDefault="006A4297" w:rsidP="006A4297">
      <w:pPr>
        <w:pStyle w:val="1"/>
        <w:rPr>
          <w:rtl/>
        </w:rPr>
      </w:pPr>
      <w:bookmarkStart w:id="10840" w:name="_Toc60678282"/>
      <w:r>
        <w:rPr>
          <w:rFonts w:hint="cs"/>
          <w:rtl/>
        </w:rPr>
        <w:lastRenderedPageBreak/>
        <w:t>בי' הדרישה דהרשב"א בתוס' ור"י נח' כשהודה בתחילת דבריו</w:t>
      </w:r>
      <w:bookmarkEnd w:id="10840"/>
    </w:p>
    <w:p w:rsidR="006A4297" w:rsidRDefault="006A4297" w:rsidP="006A4297">
      <w:pPr>
        <w:pStyle w:val="a3"/>
        <w:rPr>
          <w:rtl/>
        </w:rPr>
      </w:pPr>
      <w:bookmarkStart w:id="10841" w:name="_Toc60357060"/>
      <w:bookmarkStart w:id="10842" w:name="_Toc60589207"/>
      <w:bookmarkStart w:id="10843" w:name="_Toc60612662"/>
      <w:bookmarkStart w:id="10844" w:name="_Toc60616517"/>
      <w:bookmarkStart w:id="10845" w:name="_Toc60678283"/>
      <w:r w:rsidRPr="009204DD">
        <w:rPr>
          <w:rFonts w:hint="cs"/>
          <w:rtl/>
        </w:rPr>
        <w:t xml:space="preserve">ביאור הדרישה </w:t>
      </w:r>
      <w:r>
        <w:rPr>
          <w:rFonts w:hint="cs"/>
          <w:rtl/>
        </w:rPr>
        <w:t xml:space="preserve">דכל דברי הרשב"א בתוס' ור"י היינו </w:t>
      </w:r>
      <w:r w:rsidRPr="009204DD">
        <w:rPr>
          <w:rFonts w:hint="cs"/>
          <w:rtl/>
        </w:rPr>
        <w:t>רק כשלא אמר בתחילה דדר חד יומא</w:t>
      </w:r>
      <w:bookmarkEnd w:id="10823"/>
      <w:bookmarkEnd w:id="10824"/>
      <w:bookmarkEnd w:id="10825"/>
      <w:bookmarkEnd w:id="10826"/>
      <w:bookmarkEnd w:id="10827"/>
      <w:bookmarkEnd w:id="10841"/>
      <w:bookmarkEnd w:id="10842"/>
      <w:bookmarkEnd w:id="10843"/>
      <w:bookmarkEnd w:id="10844"/>
      <w:bookmarkEnd w:id="10845"/>
    </w:p>
    <w:p w:rsidR="006A4297" w:rsidRDefault="006A4297" w:rsidP="007E4E81">
      <w:pPr>
        <w:pStyle w:val="a0"/>
        <w:rPr>
          <w:rStyle w:val="afb"/>
          <w:rtl/>
        </w:rPr>
      </w:pPr>
      <w:r>
        <w:rPr>
          <w:rFonts w:hint="cs"/>
          <w:rtl/>
        </w:rPr>
        <w:t>אלא ביאר ה</w:t>
      </w:r>
      <w:r w:rsidRPr="00C6381C">
        <w:rPr>
          <w:rStyle w:val="af9"/>
          <w:rFonts w:hint="cs"/>
          <w:rtl/>
        </w:rPr>
        <w:t>דרישה</w:t>
      </w:r>
      <w:r>
        <w:rPr>
          <w:rFonts w:hint="cs"/>
          <w:rtl/>
        </w:rPr>
        <w:t xml:space="preserve"> </w:t>
      </w:r>
      <w:r w:rsidRPr="00E61FA8">
        <w:rPr>
          <w:rStyle w:val="aff6"/>
          <w:rFonts w:hint="cs"/>
          <w:rtl/>
        </w:rPr>
        <w:t xml:space="preserve">(סי' קמ"ו סקכ"ד ד"ה </w:t>
      </w:r>
      <w:r w:rsidRPr="00E61FA8">
        <w:rPr>
          <w:rStyle w:val="aff6"/>
          <w:rtl/>
        </w:rPr>
        <w:t>לכן נראה</w:t>
      </w:r>
      <w:r w:rsidRPr="00E61FA8">
        <w:rPr>
          <w:rStyle w:val="aff6"/>
          <w:rFonts w:hint="cs"/>
          <w:rtl/>
        </w:rPr>
        <w:t xml:space="preserve"> דלא)</w:t>
      </w:r>
      <w:r w:rsidRPr="00995967">
        <w:rPr>
          <w:rStyle w:val="afb"/>
          <w:rFonts w:hint="cs"/>
          <w:rtl/>
        </w:rPr>
        <w:t xml:space="preserve"> </w:t>
      </w:r>
      <w:r>
        <w:rPr>
          <w:rFonts w:hint="cs"/>
          <w:rtl/>
        </w:rPr>
        <w:t xml:space="preserve">דכל הנדון בדברי </w:t>
      </w:r>
      <w:r w:rsidRPr="0075541D">
        <w:rPr>
          <w:rStyle w:val="af9"/>
          <w:rFonts w:hint="cs"/>
          <w:rtl/>
        </w:rPr>
        <w:t xml:space="preserve">הרשב"א </w:t>
      </w:r>
      <w:r w:rsidRPr="006A32A7">
        <w:rPr>
          <w:rStyle w:val="af9"/>
          <w:rFonts w:hint="cs"/>
          <w:rtl/>
        </w:rPr>
        <w:t>בתוס' ור"י</w:t>
      </w:r>
      <w:r>
        <w:rPr>
          <w:rFonts w:hint="cs"/>
          <w:rtl/>
        </w:rPr>
        <w:t xml:space="preserve"> דכשאין לו חזקה ויש עידי חד יומא, אי טענינן ליה, אף שאין לו מיגו, הוא דוקא באופן שבתחילה אמר המחזיק בסתמא שקנה מהמוכר שא"ל שקנה מהמערער.</w:t>
      </w:r>
      <w:r w:rsidRPr="004C4903">
        <w:rPr>
          <w:rFonts w:hint="cs"/>
          <w:rtl/>
        </w:rPr>
        <w:t xml:space="preserve"> </w:t>
      </w:r>
      <w:r w:rsidRPr="00E61FA8">
        <w:rPr>
          <w:rStyle w:val="afb"/>
          <w:rFonts w:hint="cs"/>
          <w:rtl/>
        </w:rPr>
        <w:t>[ולא טען בתחילת דבריו דקמי דידי דר בה המוכר חד יומא]</w:t>
      </w:r>
      <w:r>
        <w:rPr>
          <w:rStyle w:val="afb"/>
          <w:rFonts w:hint="cs"/>
          <w:rtl/>
        </w:rPr>
        <w:t>.</w:t>
      </w:r>
    </w:p>
    <w:p w:rsidR="006A4297" w:rsidRPr="00CF12C2" w:rsidRDefault="006A4297" w:rsidP="006A4297">
      <w:pPr>
        <w:pStyle w:val="a3"/>
      </w:pPr>
      <w:bookmarkStart w:id="10846" w:name="_Toc60616518"/>
      <w:bookmarkStart w:id="10847" w:name="_Toc60678284"/>
      <w:r>
        <w:rPr>
          <w:rFonts w:hint="cs"/>
          <w:rtl/>
        </w:rPr>
        <w:t>ביאור הדרישה במרדכי דהספק של ר"י כיון שהודה בתחילת דבריו העמיד את הקרקע למערער</w:t>
      </w:r>
      <w:bookmarkEnd w:id="10846"/>
      <w:bookmarkEnd w:id="10847"/>
    </w:p>
    <w:p w:rsidR="006A4297" w:rsidRDefault="006A4297" w:rsidP="007E4E81">
      <w:pPr>
        <w:pStyle w:val="a0"/>
        <w:rPr>
          <w:sz w:val="10"/>
          <w:szCs w:val="14"/>
          <w:rtl/>
        </w:rPr>
      </w:pPr>
      <w:r>
        <w:rPr>
          <w:rFonts w:hint="cs"/>
          <w:rtl/>
        </w:rPr>
        <w:t>וביאר ה</w:t>
      </w:r>
      <w:r w:rsidRPr="00C6381C">
        <w:rPr>
          <w:rStyle w:val="af9"/>
          <w:rFonts w:hint="cs"/>
          <w:rtl/>
        </w:rPr>
        <w:t>דרישה</w:t>
      </w:r>
      <w:r>
        <w:rPr>
          <w:rFonts w:hint="cs"/>
          <w:rtl/>
        </w:rPr>
        <w:t xml:space="preserve"> דא"כ אעפ"י דמבואר מדברי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E61FA8">
        <w:rPr>
          <w:rStyle w:val="aff6"/>
          <w:rFonts w:hint="cs"/>
          <w:rtl/>
        </w:rPr>
        <w:t xml:space="preserve">(עי' אות </w:t>
      </w:r>
      <w:r w:rsidRPr="00E61FA8">
        <w:rPr>
          <w:rStyle w:val="aff6"/>
          <w:rtl/>
        </w:rPr>
        <w:fldChar w:fldCharType="begin"/>
      </w:r>
      <w:r w:rsidRPr="00E61FA8">
        <w:rPr>
          <w:rStyle w:val="aff6"/>
          <w:rtl/>
        </w:rPr>
        <w:instrText xml:space="preserve"> </w:instrText>
      </w:r>
      <w:r w:rsidRPr="00E61FA8">
        <w:rPr>
          <w:rStyle w:val="aff6"/>
          <w:rFonts w:hint="cs"/>
        </w:rPr>
        <w:instrText>REF</w:instrText>
      </w:r>
      <w:r w:rsidRPr="00E61FA8">
        <w:rPr>
          <w:rStyle w:val="aff6"/>
          <w:rFonts w:hint="cs"/>
          <w:rtl/>
        </w:rPr>
        <w:instrText xml:space="preserve"> _</w:instrText>
      </w:r>
      <w:r w:rsidRPr="00E61FA8">
        <w:rPr>
          <w:rStyle w:val="aff6"/>
          <w:rFonts w:hint="cs"/>
        </w:rPr>
        <w:instrText>Ref60243410 \r \h</w:instrText>
      </w:r>
      <w:r w:rsidRPr="00E61FA8">
        <w:rPr>
          <w:rStyle w:val="aff6"/>
          <w:rtl/>
        </w:rPr>
        <w:instrText xml:space="preserve"> </w:instrText>
      </w:r>
      <w:r w:rsidRPr="00E61FA8">
        <w:rPr>
          <w:rStyle w:val="aff6"/>
          <w:rtl/>
        </w:rPr>
      </w:r>
      <w:r w:rsidRPr="00E61FA8">
        <w:rPr>
          <w:rStyle w:val="aff6"/>
          <w:rtl/>
        </w:rPr>
        <w:fldChar w:fldCharType="separate"/>
      </w:r>
      <w:r w:rsidR="00265073">
        <w:rPr>
          <w:rStyle w:val="aff6"/>
          <w:cs/>
        </w:rPr>
        <w:t>‎</w:t>
      </w:r>
      <w:r w:rsidR="00265073">
        <w:rPr>
          <w:rStyle w:val="aff6"/>
          <w:rtl/>
        </w:rPr>
        <w:t>ט)</w:t>
      </w:r>
      <w:r w:rsidRPr="00E61FA8">
        <w:rPr>
          <w:rStyle w:val="aff6"/>
          <w:rtl/>
        </w:rPr>
        <w:fldChar w:fldCharType="end"/>
      </w:r>
      <w:r>
        <w:rPr>
          <w:rFonts w:hint="cs"/>
          <w:rtl/>
        </w:rPr>
        <w:t xml:space="preserve"> דכל שנאמן דדר חד יומא טענינן ליה, מ"מ ס"ל </w:t>
      </w:r>
      <w:r w:rsidRPr="00CF12C2">
        <w:rPr>
          <w:rStyle w:val="af9"/>
          <w:rFonts w:hint="cs"/>
          <w:rtl/>
        </w:rPr>
        <w:t>לר"י</w:t>
      </w:r>
      <w:r>
        <w:rPr>
          <w:rFonts w:hint="cs"/>
          <w:rtl/>
        </w:rPr>
        <w:t xml:space="preserve"> דכשאין לו חזקה ויש עידי חד יומא ואין לו מיגו, אפש"ל דלא טענינן ליה, דכיון דבתחילת דבריו הודה המחזיק דהקרקע הייתה של המערער, חשיב שהוא העמיד בהודאתו את הקרקע ברשות המערער, [וזו כוונת </w:t>
      </w:r>
      <w:r w:rsidRPr="00C6381C">
        <w:rPr>
          <w:rStyle w:val="af9"/>
          <w:rFonts w:hint="cs"/>
          <w:rtl/>
        </w:rPr>
        <w:t>המרדכי</w:t>
      </w:r>
      <w:r>
        <w:rPr>
          <w:rFonts w:hint="cs"/>
          <w:rtl/>
        </w:rPr>
        <w:t xml:space="preserve"> </w:t>
      </w:r>
      <w:r w:rsidRPr="00AD1E64">
        <w:rPr>
          <w:rStyle w:val="af7"/>
          <w:rFonts w:eastAsia="Guttman Hodes" w:hint="cs"/>
          <w:rtl/>
        </w:rPr>
        <w:t xml:space="preserve">(עי' אות </w:t>
      </w:r>
      <w:r w:rsidRPr="00AD1E64">
        <w:rPr>
          <w:rStyle w:val="af7"/>
          <w:rFonts w:eastAsia="Guttman Hodes"/>
          <w:rtl/>
        </w:rPr>
        <w:fldChar w:fldCharType="begin"/>
      </w:r>
      <w:r w:rsidRPr="00AD1E64">
        <w:rPr>
          <w:rStyle w:val="af7"/>
          <w:rFonts w:eastAsia="Guttman Hodes"/>
          <w:rtl/>
        </w:rPr>
        <w:instrText xml:space="preserve"> </w:instrText>
      </w:r>
      <w:r w:rsidRPr="00AD1E64">
        <w:rPr>
          <w:rStyle w:val="af7"/>
          <w:rFonts w:eastAsia="Guttman Hodes" w:hint="cs"/>
        </w:rPr>
        <w:instrText>REF</w:instrText>
      </w:r>
      <w:r w:rsidRPr="00AD1E64">
        <w:rPr>
          <w:rStyle w:val="af7"/>
          <w:rFonts w:eastAsia="Guttman Hodes" w:hint="cs"/>
          <w:rtl/>
        </w:rPr>
        <w:instrText xml:space="preserve"> _</w:instrText>
      </w:r>
      <w:r w:rsidRPr="00AD1E64">
        <w:rPr>
          <w:rStyle w:val="af7"/>
          <w:rFonts w:eastAsia="Guttman Hodes" w:hint="cs"/>
        </w:rPr>
        <w:instrText>Ref60615355 \r \h</w:instrText>
      </w:r>
      <w:r w:rsidRPr="00AD1E64">
        <w:rPr>
          <w:rStyle w:val="af7"/>
          <w:rFonts w:eastAsia="Guttman Hodes"/>
          <w:rtl/>
        </w:rPr>
        <w:instrText xml:space="preserve"> </w:instrText>
      </w:r>
      <w:r w:rsidRPr="00AD1E64">
        <w:rPr>
          <w:rStyle w:val="af7"/>
          <w:rFonts w:eastAsia="Guttman Hodes"/>
          <w:rtl/>
        </w:rPr>
      </w:r>
      <w:r w:rsidRPr="00AD1E64">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AD1E64">
        <w:rPr>
          <w:rStyle w:val="af7"/>
          <w:rFonts w:eastAsia="Guttman Hodes"/>
          <w:rtl/>
        </w:rPr>
        <w:fldChar w:fldCharType="end"/>
      </w:r>
      <w:r>
        <w:rPr>
          <w:rFonts w:hint="cs"/>
          <w:rtl/>
        </w:rPr>
        <w:t xml:space="preserve"> דמספקא ליה </w:t>
      </w:r>
      <w:r w:rsidRPr="00A05F28">
        <w:rPr>
          <w:rStyle w:val="af9"/>
          <w:rFonts w:hint="cs"/>
          <w:rtl/>
        </w:rPr>
        <w:t>לר"י</w:t>
      </w:r>
      <w:r>
        <w:rPr>
          <w:rFonts w:hint="cs"/>
          <w:rtl/>
        </w:rPr>
        <w:t>].</w:t>
      </w:r>
    </w:p>
    <w:p w:rsidR="006A4297" w:rsidRPr="00EB6FC6" w:rsidRDefault="006A4297" w:rsidP="006A4297">
      <w:pPr>
        <w:pStyle w:val="a3"/>
      </w:pPr>
      <w:bookmarkStart w:id="10848" w:name="_Toc60616519"/>
      <w:bookmarkStart w:id="10849" w:name="_Toc60678285"/>
      <w:r>
        <w:rPr>
          <w:rFonts w:hint="cs"/>
          <w:rtl/>
        </w:rPr>
        <w:t>ביאור הדרישה דהרשב"א בתוס' הוסיף דדין טענינן דעומד במקום המוכר אף שאינו זוכה בעצמו</w:t>
      </w:r>
      <w:bookmarkEnd w:id="10848"/>
      <w:bookmarkEnd w:id="10849"/>
    </w:p>
    <w:p w:rsidR="006A4297" w:rsidRPr="00151497" w:rsidRDefault="006A4297" w:rsidP="007E4E81">
      <w:pPr>
        <w:pStyle w:val="a0"/>
        <w:rPr>
          <w:sz w:val="10"/>
          <w:szCs w:val="14"/>
          <w:rtl/>
        </w:rPr>
      </w:pPr>
      <w:r>
        <w:rPr>
          <w:rFonts w:hint="cs"/>
          <w:rtl/>
        </w:rPr>
        <w:t>וביאר ה</w:t>
      </w:r>
      <w:r w:rsidRPr="00C6381C">
        <w:rPr>
          <w:rStyle w:val="af9"/>
          <w:rFonts w:hint="cs"/>
          <w:rtl/>
        </w:rPr>
        <w:t>דרישה</w:t>
      </w:r>
      <w:r>
        <w:rPr>
          <w:rFonts w:hint="cs"/>
          <w:rtl/>
        </w:rPr>
        <w:t xml:space="preserve"> דזה בא </w:t>
      </w:r>
      <w:r w:rsidRPr="00C6381C">
        <w:rPr>
          <w:rStyle w:val="af9"/>
          <w:rFonts w:hint="cs"/>
          <w:rtl/>
        </w:rPr>
        <w:t>המרדכי</w:t>
      </w:r>
      <w:r>
        <w:rPr>
          <w:rFonts w:hint="cs"/>
          <w:rtl/>
        </w:rPr>
        <w:t xml:space="preserve"> </w:t>
      </w:r>
      <w:r w:rsidRPr="00AD1E64">
        <w:rPr>
          <w:rStyle w:val="af7"/>
          <w:rFonts w:eastAsia="Guttman Hodes" w:hint="cs"/>
          <w:rtl/>
        </w:rPr>
        <w:t xml:space="preserve">(עי' אות </w:t>
      </w:r>
      <w:r w:rsidRPr="00AD1E64">
        <w:rPr>
          <w:rStyle w:val="af7"/>
          <w:rFonts w:eastAsia="Guttman Hodes"/>
          <w:rtl/>
        </w:rPr>
        <w:fldChar w:fldCharType="begin"/>
      </w:r>
      <w:r w:rsidRPr="00AD1E64">
        <w:rPr>
          <w:rStyle w:val="af7"/>
          <w:rFonts w:eastAsia="Guttman Hodes"/>
          <w:rtl/>
        </w:rPr>
        <w:instrText xml:space="preserve"> </w:instrText>
      </w:r>
      <w:r w:rsidRPr="00AD1E64">
        <w:rPr>
          <w:rStyle w:val="af7"/>
          <w:rFonts w:eastAsia="Guttman Hodes" w:hint="cs"/>
        </w:rPr>
        <w:instrText>REF</w:instrText>
      </w:r>
      <w:r w:rsidRPr="00AD1E64">
        <w:rPr>
          <w:rStyle w:val="af7"/>
          <w:rFonts w:eastAsia="Guttman Hodes" w:hint="cs"/>
          <w:rtl/>
        </w:rPr>
        <w:instrText xml:space="preserve"> _</w:instrText>
      </w:r>
      <w:r w:rsidRPr="00AD1E64">
        <w:rPr>
          <w:rStyle w:val="af7"/>
          <w:rFonts w:eastAsia="Guttman Hodes" w:hint="cs"/>
        </w:rPr>
        <w:instrText>Ref60615355 \r \h</w:instrText>
      </w:r>
      <w:r w:rsidRPr="00AD1E64">
        <w:rPr>
          <w:rStyle w:val="af7"/>
          <w:rFonts w:eastAsia="Guttman Hodes"/>
          <w:rtl/>
        </w:rPr>
        <w:instrText xml:space="preserve"> </w:instrText>
      </w:r>
      <w:r w:rsidRPr="00AD1E64">
        <w:rPr>
          <w:rStyle w:val="af7"/>
          <w:rFonts w:eastAsia="Guttman Hodes"/>
          <w:rtl/>
        </w:rPr>
      </w:r>
      <w:r w:rsidRPr="00AD1E64">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AD1E64">
        <w:rPr>
          <w:rStyle w:val="af7"/>
          <w:rFonts w:eastAsia="Guttman Hodes"/>
          <w:rtl/>
        </w:rPr>
        <w:fldChar w:fldCharType="end"/>
      </w:r>
      <w:r>
        <w:rPr>
          <w:rFonts w:hint="cs"/>
          <w:rtl/>
        </w:rPr>
        <w:t xml:space="preserve"> לחדש שיש טעם נוסף בדין טענינן, דאף במקום שלמחזיק מצד עצמו אין כל נאמנות לזכות בקרקע, מ"מ טענינן ליה כיון דהמחזיק עומד במקום המוכר.</w:t>
      </w:r>
      <w:r w:rsidRPr="00CA5FDB">
        <w:rPr>
          <w:rStyle w:val="afb"/>
          <w:rtl/>
        </w:rPr>
        <w:t xml:space="preserve"> </w:t>
      </w:r>
      <w:r>
        <w:rPr>
          <w:rStyle w:val="afb"/>
          <w:rtl/>
        </w:rPr>
        <w:t xml:space="preserve">[כדביאר </w:t>
      </w:r>
      <w:r w:rsidRPr="00F846D6">
        <w:rPr>
          <w:rStyle w:val="affa"/>
          <w:rtl/>
        </w:rPr>
        <w:t>הדרישה</w:t>
      </w:r>
      <w:r>
        <w:rPr>
          <w:rStyle w:val="afb"/>
          <w:rtl/>
        </w:rPr>
        <w:t xml:space="preserve"> </w:t>
      </w:r>
      <w:r w:rsidRPr="00F846D6">
        <w:rPr>
          <w:rStyle w:val="aff6"/>
          <w:rtl/>
        </w:rPr>
        <w:t xml:space="preserve">(עי' אות </w:t>
      </w:r>
      <w:r w:rsidRPr="00F846D6">
        <w:rPr>
          <w:rStyle w:val="aff6"/>
          <w:rtl/>
        </w:rPr>
        <w:fldChar w:fldCharType="begin"/>
      </w:r>
      <w:r w:rsidRPr="00F846D6">
        <w:rPr>
          <w:rStyle w:val="aff6"/>
          <w:rtl/>
        </w:rPr>
        <w:instrText xml:space="preserve"> </w:instrText>
      </w:r>
      <w:r w:rsidRPr="00F846D6">
        <w:rPr>
          <w:rStyle w:val="aff6"/>
        </w:rPr>
        <w:instrText>REF</w:instrText>
      </w:r>
      <w:r w:rsidRPr="00F846D6">
        <w:rPr>
          <w:rStyle w:val="aff6"/>
          <w:rtl/>
        </w:rPr>
        <w:instrText xml:space="preserve"> _</w:instrText>
      </w:r>
      <w:r w:rsidRPr="00F846D6">
        <w:rPr>
          <w:rStyle w:val="aff6"/>
        </w:rPr>
        <w:instrText>Ref60343299 \r \h</w:instrText>
      </w:r>
      <w:r w:rsidRPr="00F846D6">
        <w:rPr>
          <w:rStyle w:val="aff6"/>
          <w:rtl/>
        </w:rPr>
        <w:instrText xml:space="preserve"> </w:instrText>
      </w:r>
      <w:r w:rsidRPr="00F846D6">
        <w:rPr>
          <w:rStyle w:val="aff6"/>
          <w:rtl/>
        </w:rPr>
      </w:r>
      <w:r w:rsidRPr="00F846D6">
        <w:rPr>
          <w:rStyle w:val="aff6"/>
          <w:rtl/>
        </w:rPr>
        <w:fldChar w:fldCharType="separate"/>
      </w:r>
      <w:r w:rsidR="00265073">
        <w:rPr>
          <w:rStyle w:val="aff6"/>
          <w:cs/>
        </w:rPr>
        <w:t>‎</w:t>
      </w:r>
      <w:r w:rsidR="00265073">
        <w:rPr>
          <w:rStyle w:val="aff6"/>
          <w:rtl/>
        </w:rPr>
        <w:t>עא)</w:t>
      </w:r>
      <w:r w:rsidRPr="00F846D6">
        <w:rPr>
          <w:rStyle w:val="aff6"/>
          <w:rtl/>
        </w:rPr>
        <w:fldChar w:fldCharType="end"/>
      </w:r>
      <w:r>
        <w:rPr>
          <w:rStyle w:val="afb"/>
          <w:rtl/>
        </w:rPr>
        <w:t>]</w:t>
      </w:r>
      <w:r w:rsidRPr="00F846D6">
        <w:rPr>
          <w:rStyle w:val="afb"/>
          <w:rFonts w:hint="cs"/>
          <w:rtl/>
        </w:rPr>
        <w:t>.</w:t>
      </w:r>
    </w:p>
    <w:p w:rsidR="006A4297" w:rsidRPr="00151497" w:rsidRDefault="006A4297" w:rsidP="006A4297">
      <w:pPr>
        <w:pStyle w:val="a3"/>
        <w:rPr>
          <w:rtl/>
        </w:rPr>
      </w:pPr>
      <w:bookmarkStart w:id="10850" w:name="_Toc60616520"/>
      <w:bookmarkStart w:id="10851" w:name="_Toc60678286"/>
      <w:r>
        <w:rPr>
          <w:rFonts w:hint="cs"/>
          <w:rtl/>
        </w:rPr>
        <w:t>דברי הדרישה דבאמר בתחילה דדר חד יומא מודה ר"י לרשב"א בתוס' דלא העמיד למערער</w:t>
      </w:r>
      <w:bookmarkEnd w:id="10850"/>
      <w:bookmarkEnd w:id="10851"/>
    </w:p>
    <w:p w:rsidR="006A4297" w:rsidRPr="00A402D3" w:rsidRDefault="006A4297" w:rsidP="007E4E81">
      <w:pPr>
        <w:pStyle w:val="a0"/>
        <w:rPr>
          <w:rStyle w:val="afb"/>
          <w:rtl/>
        </w:rPr>
      </w:pPr>
      <w:r>
        <w:rPr>
          <w:rFonts w:hint="cs"/>
          <w:rtl/>
        </w:rPr>
        <w:t xml:space="preserve">אבל במקום שמתחילה אמר שהמוכר דר בה חד יומא, כתב </w:t>
      </w:r>
      <w:r w:rsidRPr="00C6381C">
        <w:rPr>
          <w:rStyle w:val="af9"/>
          <w:rFonts w:hint="cs"/>
          <w:rtl/>
        </w:rPr>
        <w:t>הדרישה</w:t>
      </w:r>
      <w:r>
        <w:rPr>
          <w:rFonts w:hint="cs"/>
          <w:rtl/>
        </w:rPr>
        <w:t xml:space="preserve"> דפשיטא דאף </w:t>
      </w:r>
      <w:r w:rsidRPr="00C6381C">
        <w:rPr>
          <w:rStyle w:val="af9"/>
          <w:rFonts w:hint="cs"/>
          <w:rtl/>
        </w:rPr>
        <w:t>ר"י</w:t>
      </w:r>
      <w:r>
        <w:rPr>
          <w:rFonts w:hint="cs"/>
          <w:rtl/>
        </w:rPr>
        <w:t xml:space="preserve"> מודה לדברי </w:t>
      </w:r>
      <w:r w:rsidRPr="00C6381C">
        <w:rPr>
          <w:rStyle w:val="af9"/>
          <w:rFonts w:hint="cs"/>
          <w:rtl/>
        </w:rPr>
        <w:t>הרשב"א בתוס'</w:t>
      </w:r>
      <w:r>
        <w:rPr>
          <w:rFonts w:hint="cs"/>
          <w:rtl/>
        </w:rPr>
        <w:t xml:space="preserve"> דטענינן ללוקח, כיון שבטענתו קמי דידי דר בה המוכר חד יומא, לא העמיד את הקרקע ביד המערער. </w:t>
      </w:r>
      <w:r w:rsidRPr="00A402D3">
        <w:rPr>
          <w:rStyle w:val="afb"/>
          <w:rFonts w:hint="cs"/>
          <w:rtl/>
        </w:rPr>
        <w:t xml:space="preserve">[וכדכתב </w:t>
      </w:r>
      <w:r w:rsidRPr="00A402D3">
        <w:rPr>
          <w:rStyle w:val="affa"/>
          <w:rFonts w:hint="cs"/>
          <w:rtl/>
        </w:rPr>
        <w:t>הדרישה</w:t>
      </w:r>
      <w:r w:rsidRPr="00A402D3">
        <w:rPr>
          <w:rStyle w:val="afb"/>
          <w:rFonts w:hint="cs"/>
          <w:rtl/>
        </w:rPr>
        <w:t xml:space="preserve"> </w:t>
      </w:r>
      <w:r w:rsidRPr="00A402D3">
        <w:rPr>
          <w:rStyle w:val="aff6"/>
          <w:rFonts w:hint="cs"/>
          <w:rtl/>
        </w:rPr>
        <w:t xml:space="preserve">(עי' אות </w:t>
      </w:r>
      <w:r w:rsidRPr="00A402D3">
        <w:rPr>
          <w:rStyle w:val="aff6"/>
          <w:rtl/>
        </w:rPr>
        <w:fldChar w:fldCharType="begin"/>
      </w:r>
      <w:r w:rsidRPr="00A402D3">
        <w:rPr>
          <w:rStyle w:val="aff6"/>
          <w:rtl/>
        </w:rPr>
        <w:instrText xml:space="preserve"> </w:instrText>
      </w:r>
      <w:r w:rsidRPr="00A402D3">
        <w:rPr>
          <w:rStyle w:val="aff6"/>
          <w:rFonts w:hint="cs"/>
        </w:rPr>
        <w:instrText>REF</w:instrText>
      </w:r>
      <w:r w:rsidRPr="00A402D3">
        <w:rPr>
          <w:rStyle w:val="aff6"/>
          <w:rFonts w:hint="cs"/>
          <w:rtl/>
        </w:rPr>
        <w:instrText xml:space="preserve"> _</w:instrText>
      </w:r>
      <w:r w:rsidRPr="00A402D3">
        <w:rPr>
          <w:rStyle w:val="aff6"/>
          <w:rFonts w:hint="cs"/>
        </w:rPr>
        <w:instrText>Ref60345017 \r \h</w:instrText>
      </w:r>
      <w:r w:rsidRPr="00A402D3">
        <w:rPr>
          <w:rStyle w:val="aff6"/>
          <w:rtl/>
        </w:rPr>
        <w:instrText xml:space="preserve"> </w:instrText>
      </w:r>
      <w:r w:rsidRPr="00A402D3">
        <w:rPr>
          <w:rStyle w:val="aff6"/>
          <w:rtl/>
        </w:rPr>
      </w:r>
      <w:r w:rsidRPr="00A402D3">
        <w:rPr>
          <w:rStyle w:val="aff6"/>
          <w:rtl/>
        </w:rPr>
        <w:fldChar w:fldCharType="separate"/>
      </w:r>
      <w:r w:rsidR="00265073">
        <w:rPr>
          <w:rStyle w:val="aff6"/>
          <w:cs/>
        </w:rPr>
        <w:t>‎</w:t>
      </w:r>
      <w:r w:rsidR="00265073">
        <w:rPr>
          <w:rStyle w:val="aff6"/>
          <w:rtl/>
        </w:rPr>
        <w:t>עג)</w:t>
      </w:r>
      <w:r w:rsidRPr="00A402D3">
        <w:rPr>
          <w:rStyle w:val="aff6"/>
          <w:rtl/>
        </w:rPr>
        <w:fldChar w:fldCharType="end"/>
      </w:r>
      <w:r w:rsidRPr="00A402D3">
        <w:rPr>
          <w:rStyle w:val="afb"/>
          <w:rFonts w:hint="cs"/>
          <w:rtl/>
        </w:rPr>
        <w:t xml:space="preserve"> דמבואר </w:t>
      </w:r>
      <w:r w:rsidRPr="00A402D3">
        <w:rPr>
          <w:rStyle w:val="affa"/>
          <w:rFonts w:hint="cs"/>
          <w:rtl/>
        </w:rPr>
        <w:t>מדברי התוס' בתחילת דבריהם</w:t>
      </w:r>
      <w:r w:rsidRPr="00A402D3">
        <w:rPr>
          <w:rStyle w:val="afb"/>
          <w:rFonts w:hint="cs"/>
          <w:rtl/>
        </w:rPr>
        <w:t xml:space="preserve"> </w:t>
      </w:r>
      <w:r w:rsidRPr="00A402D3">
        <w:rPr>
          <w:rStyle w:val="aff6"/>
          <w:rFonts w:hint="cs"/>
          <w:rtl/>
        </w:rPr>
        <w:t xml:space="preserve">(עי' אות </w:t>
      </w:r>
      <w:r w:rsidRPr="00A402D3">
        <w:rPr>
          <w:rStyle w:val="aff6"/>
          <w:rtl/>
        </w:rPr>
        <w:fldChar w:fldCharType="begin"/>
      </w:r>
      <w:r w:rsidRPr="00A402D3">
        <w:rPr>
          <w:rStyle w:val="aff6"/>
          <w:rtl/>
        </w:rPr>
        <w:instrText xml:space="preserve"> </w:instrText>
      </w:r>
      <w:r w:rsidRPr="00A402D3">
        <w:rPr>
          <w:rStyle w:val="aff6"/>
          <w:rFonts w:hint="cs"/>
        </w:rPr>
        <w:instrText>REF</w:instrText>
      </w:r>
      <w:r w:rsidRPr="00A402D3">
        <w:rPr>
          <w:rStyle w:val="aff6"/>
          <w:rFonts w:hint="cs"/>
          <w:rtl/>
        </w:rPr>
        <w:instrText xml:space="preserve"> _</w:instrText>
      </w:r>
      <w:r w:rsidRPr="00A402D3">
        <w:rPr>
          <w:rStyle w:val="aff6"/>
          <w:rFonts w:hint="cs"/>
        </w:rPr>
        <w:instrText>Ref60243410 \r \h</w:instrText>
      </w:r>
      <w:r w:rsidRPr="00A402D3">
        <w:rPr>
          <w:rStyle w:val="aff6"/>
          <w:rtl/>
        </w:rPr>
        <w:instrText xml:space="preserve"> </w:instrText>
      </w:r>
      <w:r w:rsidRPr="00A402D3">
        <w:rPr>
          <w:rStyle w:val="aff6"/>
          <w:rtl/>
        </w:rPr>
      </w:r>
      <w:r w:rsidRPr="00A402D3">
        <w:rPr>
          <w:rStyle w:val="aff6"/>
          <w:rtl/>
        </w:rPr>
        <w:fldChar w:fldCharType="separate"/>
      </w:r>
      <w:r w:rsidR="00265073">
        <w:rPr>
          <w:rStyle w:val="aff6"/>
          <w:cs/>
        </w:rPr>
        <w:t>‎</w:t>
      </w:r>
      <w:r w:rsidR="00265073">
        <w:rPr>
          <w:rStyle w:val="aff6"/>
          <w:rtl/>
        </w:rPr>
        <w:t>ט)</w:t>
      </w:r>
      <w:r w:rsidRPr="00A402D3">
        <w:rPr>
          <w:rStyle w:val="aff6"/>
          <w:rtl/>
        </w:rPr>
        <w:fldChar w:fldCharType="end"/>
      </w:r>
      <w:r w:rsidRPr="00A402D3">
        <w:rPr>
          <w:rStyle w:val="afb"/>
          <w:rFonts w:hint="cs"/>
          <w:rtl/>
        </w:rPr>
        <w:t xml:space="preserve"> דכל שנאמן דדר חד יומא טענינן ליה].</w:t>
      </w:r>
    </w:p>
    <w:p w:rsidR="006A4297" w:rsidRDefault="006A4297" w:rsidP="006A4297">
      <w:pPr>
        <w:pStyle w:val="afe"/>
        <w:rPr>
          <w:rtl/>
        </w:rPr>
      </w:pPr>
      <w:bookmarkStart w:id="10852" w:name="_Toc60678287"/>
      <w:r>
        <w:rPr>
          <w:rFonts w:hint="cs"/>
          <w:rtl/>
        </w:rPr>
        <w:t>פלוג' הרשב"ם והרמב"ן בגדר דין טענינן</w:t>
      </w:r>
      <w:bookmarkEnd w:id="10852"/>
    </w:p>
    <w:p w:rsidR="006A4297" w:rsidRDefault="006A4297" w:rsidP="006A4297">
      <w:pPr>
        <w:pStyle w:val="1"/>
        <w:rPr>
          <w:rtl/>
        </w:rPr>
      </w:pPr>
      <w:bookmarkStart w:id="10853" w:name="_Toc60678288"/>
      <w:r>
        <w:rPr>
          <w:rFonts w:hint="cs"/>
          <w:rtl/>
        </w:rPr>
        <w:t>ביאור הרמב"ן ברשב"ם דבלא חזקה לא טענינן כיון שהודה</w:t>
      </w:r>
      <w:bookmarkEnd w:id="10853"/>
    </w:p>
    <w:p w:rsidR="006A4297" w:rsidRPr="00C3279C" w:rsidRDefault="006A4297" w:rsidP="006A4297">
      <w:pPr>
        <w:pStyle w:val="a3"/>
        <w:rPr>
          <w:rtl/>
        </w:rPr>
      </w:pPr>
      <w:bookmarkStart w:id="10854" w:name="_Toc60678289"/>
      <w:r w:rsidRPr="007A1FC2">
        <w:rPr>
          <w:rtl/>
        </w:rPr>
        <w:t>ביאור הרמב"ן והרשב"א ברשב"ם דדין טענינן הוא כשאחר הטענה א"צ להכחיש את המערער</w:t>
      </w:r>
      <w:bookmarkEnd w:id="10854"/>
    </w:p>
    <w:p w:rsidR="006A4297" w:rsidRPr="000B63B7" w:rsidRDefault="006A4297" w:rsidP="007E4E81">
      <w:pPr>
        <w:pStyle w:val="a0"/>
        <w:rPr>
          <w:sz w:val="10"/>
          <w:szCs w:val="14"/>
        </w:rPr>
      </w:pPr>
      <w:bookmarkStart w:id="10855" w:name="_Ref60657236"/>
      <w:r>
        <w:rPr>
          <w:rFonts w:hint="cs"/>
          <w:rtl/>
        </w:rPr>
        <w:t xml:space="preserve">עי' במ"ש </w:t>
      </w:r>
      <w:r w:rsidRPr="006A50AA">
        <w:rPr>
          <w:rStyle w:val="af9"/>
          <w:rFonts w:hint="cs"/>
          <w:rtl/>
        </w:rPr>
        <w:t>הרשב"ם</w:t>
      </w:r>
      <w:r>
        <w:rPr>
          <w:rFonts w:hint="cs"/>
          <w:rtl/>
        </w:rPr>
        <w:t xml:space="preserve"> </w:t>
      </w:r>
      <w:r w:rsidRPr="00581BEA">
        <w:rPr>
          <w:rStyle w:val="af7"/>
          <w:rFonts w:eastAsia="Guttman Hodes" w:hint="cs"/>
          <w:rtl/>
        </w:rPr>
        <w:t>(ד"ה אמר ליה, הובא בסימן ט' אות כ"ח)</w:t>
      </w:r>
      <w:r>
        <w:rPr>
          <w:rFonts w:hint="cs"/>
          <w:rtl/>
        </w:rPr>
        <w:t xml:space="preserve"> דכשאין למחזיק חזקה, אף שיש לו עידי חד יומא, אינו נאמן, ועי' במה שהקשה </w:t>
      </w:r>
      <w:r w:rsidRPr="00CE2165">
        <w:rPr>
          <w:rStyle w:val="af9"/>
          <w:rFonts w:hint="cs"/>
          <w:rtl/>
        </w:rPr>
        <w:t>הרמב"ן</w:t>
      </w:r>
      <w:r>
        <w:rPr>
          <w:rFonts w:hint="cs"/>
          <w:rtl/>
        </w:rPr>
        <w:t xml:space="preserve"> </w:t>
      </w:r>
      <w:r w:rsidRPr="00581BEA">
        <w:rPr>
          <w:rStyle w:val="af7"/>
          <w:rFonts w:eastAsia="Guttman Hodes" w:hint="cs"/>
          <w:rtl/>
        </w:rPr>
        <w:t>(ד"ה והוי, הובא בסימן ט' אות כ"ט)</w:t>
      </w:r>
      <w:r>
        <w:rPr>
          <w:rFonts w:hint="cs"/>
          <w:rtl/>
        </w:rPr>
        <w:t xml:space="preserve"> על </w:t>
      </w:r>
      <w:r w:rsidRPr="00D80E0D">
        <w:rPr>
          <w:rStyle w:val="af9"/>
          <w:rFonts w:hint="cs"/>
          <w:rtl/>
        </w:rPr>
        <w:t>הרשב"ם</w:t>
      </w:r>
      <w:r>
        <w:rPr>
          <w:rFonts w:hint="cs"/>
          <w:rtl/>
        </w:rPr>
        <w:t xml:space="preserve"> דאמאי לא טענינן ליה </w:t>
      </w:r>
      <w:r>
        <w:rPr>
          <w:rFonts w:hint="cs"/>
          <w:rtl/>
        </w:rPr>
        <w:t xml:space="preserve">את מה שהיה יכול לטעון המוכר, וביארו </w:t>
      </w:r>
      <w:r w:rsidRPr="00CE2165">
        <w:rPr>
          <w:rStyle w:val="af9"/>
          <w:rFonts w:hint="cs"/>
          <w:rtl/>
        </w:rPr>
        <w:t>הרמב"ן</w:t>
      </w:r>
      <w:r>
        <w:rPr>
          <w:rFonts w:hint="cs"/>
          <w:rtl/>
        </w:rPr>
        <w:t xml:space="preserve"> </w:t>
      </w:r>
      <w:r>
        <w:rPr>
          <w:rStyle w:val="af9"/>
          <w:rFonts w:hint="cs"/>
          <w:rtl/>
        </w:rPr>
        <w:t>ו</w:t>
      </w:r>
      <w:r w:rsidRPr="00660DFB">
        <w:rPr>
          <w:rStyle w:val="af9"/>
          <w:rFonts w:hint="cs"/>
          <w:rtl/>
        </w:rPr>
        <w:t>הרשב"א</w:t>
      </w:r>
      <w:r>
        <w:rPr>
          <w:rFonts w:hint="cs"/>
          <w:rtl/>
        </w:rPr>
        <w:t xml:space="preserve"> </w:t>
      </w:r>
      <w:r w:rsidRPr="00581BEA">
        <w:rPr>
          <w:rStyle w:val="af7"/>
          <w:rFonts w:eastAsia="Guttman Hodes" w:hint="cs"/>
          <w:rtl/>
        </w:rPr>
        <w:t>(ד"ה ומיהו)</w:t>
      </w:r>
      <w:r>
        <w:rPr>
          <w:rFonts w:hint="cs"/>
          <w:rtl/>
        </w:rPr>
        <w:t xml:space="preserve"> דס"ל </w:t>
      </w:r>
      <w:r>
        <w:rPr>
          <w:rStyle w:val="af9"/>
          <w:rFonts w:hint="cs"/>
          <w:rtl/>
        </w:rPr>
        <w:t>ל</w:t>
      </w:r>
      <w:r w:rsidRPr="00CE2165">
        <w:rPr>
          <w:rStyle w:val="af9"/>
          <w:rFonts w:hint="cs"/>
          <w:rtl/>
        </w:rPr>
        <w:t>הרשב"ם</w:t>
      </w:r>
      <w:r>
        <w:rPr>
          <w:rFonts w:hint="cs"/>
          <w:rtl/>
        </w:rPr>
        <w:t xml:space="preserve"> דטענינן הוא רק במקום שאחר הטענה א"צ להכחיש את טענת המערער, אבל כשאין למחזיק חזקה והודה שהייתה של המערער, אינו יכול לטעון כלום, אעפ"י שאין למערער עדים שהייתה שלו, דהא אף אם היה המוכר לפנינו, והיה טוען טענת ברי שקנה מהמערער, מ"מ אינו נאמן, כיון שהמחזיק הודה למערער, והודאתו חשיבא הודאה, כיון דכל הנאמנות של המוכר היא במה שהיה לו מיגו דיכול לטעון שאינה של המערער כלל, ועכשיו שהודה המחזיק אין לו </w:t>
      </w:r>
      <w:r w:rsidRPr="0032252C">
        <w:rPr>
          <w:rFonts w:hint="cs"/>
          <w:rtl/>
        </w:rPr>
        <w:t>את המיגו</w:t>
      </w:r>
      <w:r>
        <w:rPr>
          <w:rFonts w:hint="cs"/>
          <w:rtl/>
        </w:rPr>
        <w:t xml:space="preserve">, ועי' במה שביארו </w:t>
      </w:r>
      <w:r w:rsidRPr="00774353">
        <w:rPr>
          <w:rStyle w:val="af9"/>
          <w:rFonts w:hint="cs"/>
          <w:rtl/>
        </w:rPr>
        <w:t>בחי' רבי ראובן</w:t>
      </w:r>
      <w:r>
        <w:rPr>
          <w:rFonts w:hint="cs"/>
          <w:rtl/>
        </w:rPr>
        <w:t xml:space="preserve"> </w:t>
      </w:r>
      <w:r w:rsidRPr="00C11926">
        <w:rPr>
          <w:rStyle w:val="af7"/>
          <w:rFonts w:eastAsia="Guttman Hodes" w:hint="cs"/>
          <w:rtl/>
        </w:rPr>
        <w:t xml:space="preserve">(עי' אות </w:t>
      </w:r>
      <w:r w:rsidRPr="00C11926">
        <w:rPr>
          <w:rStyle w:val="af7"/>
          <w:rFonts w:eastAsia="Guttman Hodes"/>
          <w:rtl/>
        </w:rPr>
        <w:fldChar w:fldCharType="begin"/>
      </w:r>
      <w:r w:rsidRPr="00C11926">
        <w:rPr>
          <w:rStyle w:val="af7"/>
          <w:rFonts w:eastAsia="Guttman Hodes"/>
          <w:rtl/>
        </w:rPr>
        <w:instrText xml:space="preserve"> </w:instrText>
      </w:r>
      <w:r w:rsidRPr="00C11926">
        <w:rPr>
          <w:rStyle w:val="af7"/>
          <w:rFonts w:eastAsia="Guttman Hodes" w:hint="cs"/>
        </w:rPr>
        <w:instrText>REF</w:instrText>
      </w:r>
      <w:r w:rsidRPr="00C11926">
        <w:rPr>
          <w:rStyle w:val="af7"/>
          <w:rFonts w:eastAsia="Guttman Hodes" w:hint="cs"/>
          <w:rtl/>
        </w:rPr>
        <w:instrText xml:space="preserve"> _</w:instrText>
      </w:r>
      <w:r w:rsidRPr="00C11926">
        <w:rPr>
          <w:rStyle w:val="af7"/>
          <w:rFonts w:eastAsia="Guttman Hodes" w:hint="cs"/>
        </w:rPr>
        <w:instrText>Ref60672826 \r \h</w:instrText>
      </w:r>
      <w:r w:rsidRPr="00C11926">
        <w:rPr>
          <w:rStyle w:val="af7"/>
          <w:rFonts w:eastAsia="Guttman Hodes"/>
          <w:rtl/>
        </w:rPr>
        <w:instrText xml:space="preserve"> </w:instrText>
      </w:r>
      <w:r w:rsidRPr="00C11926">
        <w:rPr>
          <w:rStyle w:val="af7"/>
          <w:rFonts w:eastAsia="Guttman Hodes"/>
          <w:rtl/>
        </w:rPr>
      </w:r>
      <w:r w:rsidRPr="00C11926">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C11926">
        <w:rPr>
          <w:rStyle w:val="af7"/>
          <w:rFonts w:eastAsia="Guttman Hodes"/>
          <w:rtl/>
        </w:rPr>
        <w:fldChar w:fldCharType="end"/>
      </w:r>
      <w:r>
        <w:rPr>
          <w:rFonts w:hint="cs"/>
          <w:rtl/>
        </w:rPr>
        <w:t xml:space="preserve"> </w:t>
      </w:r>
      <w:r>
        <w:rPr>
          <w:rStyle w:val="af9"/>
          <w:rFonts w:hint="cs"/>
          <w:rtl/>
        </w:rPr>
        <w:t>ובשיעורי רבי שמואל</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Ref60138328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Pr>
          <w:rStyle w:val="af7"/>
          <w:rFonts w:eastAsia="Guttman Hodes"/>
          <w:rtl/>
        </w:rPr>
        <w:fldChar w:fldCharType="end"/>
      </w:r>
      <w:r w:rsidRPr="00D61F64">
        <w:rPr>
          <w:rStyle w:val="af7"/>
          <w:rFonts w:eastAsia="Guttman Hodes" w:hint="cs"/>
          <w:rtl/>
        </w:rPr>
        <w:t xml:space="preserve"> </w:t>
      </w:r>
      <w:r>
        <w:rPr>
          <w:rFonts w:hint="cs"/>
          <w:rtl/>
        </w:rPr>
        <w:t xml:space="preserve">בביאור </w:t>
      </w:r>
      <w:r w:rsidRPr="00C11926">
        <w:rPr>
          <w:rStyle w:val="af9"/>
          <w:rFonts w:hint="cs"/>
          <w:rtl/>
        </w:rPr>
        <w:t>הרמב"ן</w:t>
      </w:r>
      <w:r>
        <w:rPr>
          <w:rFonts w:hint="cs"/>
          <w:rtl/>
        </w:rPr>
        <w:t xml:space="preserve"> בדעת </w:t>
      </w:r>
      <w:r w:rsidRPr="00C11926">
        <w:rPr>
          <w:rStyle w:val="af9"/>
          <w:rFonts w:hint="cs"/>
          <w:rtl/>
        </w:rPr>
        <w:t>הרשב"ם</w:t>
      </w:r>
      <w:r>
        <w:rPr>
          <w:rFonts w:hint="cs"/>
          <w:rtl/>
        </w:rPr>
        <w:t>.</w:t>
      </w:r>
      <w:bookmarkEnd w:id="10855"/>
    </w:p>
    <w:p w:rsidR="006A4297" w:rsidRDefault="006A4297" w:rsidP="006A4297">
      <w:pPr>
        <w:pStyle w:val="1"/>
        <w:rPr>
          <w:rtl/>
        </w:rPr>
      </w:pPr>
      <w:bookmarkStart w:id="10856" w:name="_Toc60357068"/>
      <w:bookmarkStart w:id="10857" w:name="_Toc60589215"/>
      <w:bookmarkStart w:id="10858" w:name="_Toc60612670"/>
      <w:bookmarkStart w:id="10859" w:name="_Toc60616528"/>
      <w:bookmarkStart w:id="10860" w:name="_Toc60678290"/>
      <w:r>
        <w:rPr>
          <w:rFonts w:hint="cs"/>
          <w:rtl/>
        </w:rPr>
        <w:t>דברי הרמב"ן דכל שיש למחזיק עידי חד יומא א"צ חזקת ג"ש</w:t>
      </w:r>
      <w:bookmarkEnd w:id="10856"/>
      <w:bookmarkEnd w:id="10857"/>
      <w:bookmarkEnd w:id="10858"/>
      <w:bookmarkEnd w:id="10859"/>
      <w:bookmarkEnd w:id="10860"/>
    </w:p>
    <w:p w:rsidR="006A4297" w:rsidRPr="00D41AEE" w:rsidRDefault="006A4297" w:rsidP="006A4297">
      <w:pPr>
        <w:pStyle w:val="a3"/>
        <w:rPr>
          <w:rtl/>
        </w:rPr>
      </w:pPr>
      <w:bookmarkStart w:id="10861" w:name="_Toc60357069"/>
      <w:bookmarkStart w:id="10862" w:name="_Toc60589216"/>
      <w:bookmarkStart w:id="10863" w:name="_Toc60612671"/>
      <w:bookmarkStart w:id="10864" w:name="_Toc60616529"/>
      <w:bookmarkStart w:id="10865" w:name="_Toc60678291"/>
      <w:r>
        <w:rPr>
          <w:rFonts w:hint="cs"/>
          <w:rtl/>
        </w:rPr>
        <w:t>דברי הרמב"ן דכשאין למערער עדים מהני עידי חד יומא אף בלי חזקה דחשיב לוקח וטענינן ליה</w:t>
      </w:r>
      <w:bookmarkEnd w:id="10861"/>
      <w:bookmarkEnd w:id="10862"/>
      <w:bookmarkEnd w:id="10863"/>
      <w:bookmarkEnd w:id="10864"/>
      <w:bookmarkEnd w:id="10865"/>
      <w:r>
        <w:rPr>
          <w:rFonts w:hint="cs"/>
          <w:rtl/>
        </w:rPr>
        <w:t xml:space="preserve"> </w:t>
      </w:r>
    </w:p>
    <w:p w:rsidR="006A4297" w:rsidRDefault="006A4297" w:rsidP="007E4E81">
      <w:pPr>
        <w:pStyle w:val="a0"/>
      </w:pPr>
      <w:bookmarkStart w:id="10866" w:name="_Ref60677442"/>
      <w:r>
        <w:rPr>
          <w:rFonts w:hint="cs"/>
          <w:rtl/>
        </w:rPr>
        <w:t xml:space="preserve">ועי' במ"ש </w:t>
      </w:r>
      <w:r w:rsidRPr="00D80E0D">
        <w:rPr>
          <w:rStyle w:val="af9"/>
          <w:rFonts w:hint="cs"/>
          <w:rtl/>
        </w:rPr>
        <w:t>הרמב"ן</w:t>
      </w:r>
      <w:r>
        <w:rPr>
          <w:rFonts w:hint="cs"/>
          <w:rtl/>
        </w:rPr>
        <w:t xml:space="preserve"> </w:t>
      </w:r>
      <w:r w:rsidRPr="00C767B2">
        <w:rPr>
          <w:rStyle w:val="af7"/>
          <w:rFonts w:eastAsia="Guttman Hodes" w:hint="cs"/>
          <w:rtl/>
        </w:rPr>
        <w:t>(ד"ה והוי</w:t>
      </w:r>
      <w:r>
        <w:rPr>
          <w:rStyle w:val="af7"/>
          <w:rFonts w:eastAsia="Guttman Hodes" w:hint="cs"/>
          <w:rtl/>
        </w:rPr>
        <w:t>, הובא בסימן ט' אות ל"ו)</w:t>
      </w:r>
      <w:r>
        <w:rPr>
          <w:rFonts w:hint="cs"/>
          <w:rtl/>
        </w:rPr>
        <w:t xml:space="preserve"> דבעידי חד יומא, טענינן אף שאין </w:t>
      </w:r>
      <w:r w:rsidRPr="00D65E18">
        <w:rPr>
          <w:rFonts w:hint="cs"/>
          <w:rtl/>
        </w:rPr>
        <w:t>לו חזק</w:t>
      </w:r>
      <w:r>
        <w:rPr>
          <w:rFonts w:hint="cs"/>
          <w:rtl/>
        </w:rPr>
        <w:t>ה</w:t>
      </w:r>
      <w:r w:rsidRPr="00D65E18">
        <w:rPr>
          <w:rFonts w:hint="cs"/>
          <w:rtl/>
        </w:rPr>
        <w:t>, דנאמן שקנה מהמוכר</w:t>
      </w:r>
      <w:r>
        <w:rPr>
          <w:rFonts w:hint="cs"/>
          <w:rtl/>
        </w:rPr>
        <w:t xml:space="preserve"> ו</w:t>
      </w:r>
      <w:r w:rsidRPr="00D65E18">
        <w:rPr>
          <w:rFonts w:hint="cs"/>
          <w:rtl/>
        </w:rPr>
        <w:t>הוא לוקח, ואם היה המוכר לפנינו היה נאמן ל</w:t>
      </w:r>
      <w:r>
        <w:rPr>
          <w:rFonts w:hint="cs"/>
          <w:rtl/>
        </w:rPr>
        <w:t xml:space="preserve">טעון </w:t>
      </w:r>
      <w:r w:rsidRPr="00977815">
        <w:rPr>
          <w:rFonts w:hint="cs"/>
          <w:rtl/>
        </w:rPr>
        <w:t xml:space="preserve">שקנה מהמערער, </w:t>
      </w:r>
      <w:r>
        <w:rPr>
          <w:rFonts w:hint="cs"/>
          <w:rtl/>
        </w:rPr>
        <w:t>דהא אין למערער עדים</w:t>
      </w:r>
      <w:r w:rsidRPr="00977815">
        <w:rPr>
          <w:rFonts w:hint="cs"/>
          <w:rtl/>
        </w:rPr>
        <w:t>, ולכן טענינן אף למחזיק שקנה</w:t>
      </w:r>
      <w:r>
        <w:rPr>
          <w:rFonts w:hint="cs"/>
          <w:rtl/>
        </w:rPr>
        <w:t xml:space="preserve"> ממנו אף שאין לו חזקת ג"ש, ועי' במ"ש </w:t>
      </w:r>
      <w:r w:rsidRPr="0097350E">
        <w:rPr>
          <w:rStyle w:val="af9"/>
          <w:rFonts w:hint="cs"/>
          <w:rtl/>
        </w:rPr>
        <w:t>הש"ך</w:t>
      </w:r>
      <w:r>
        <w:rPr>
          <w:rFonts w:hint="cs"/>
          <w:rtl/>
        </w:rPr>
        <w:t xml:space="preserve"> </w:t>
      </w:r>
      <w:r w:rsidRPr="00F146BE">
        <w:rPr>
          <w:rStyle w:val="af7"/>
          <w:rFonts w:eastAsia="Guttman Hodes" w:hint="cs"/>
          <w:rtl/>
        </w:rPr>
        <w:t xml:space="preserve">(עי' אות </w:t>
      </w:r>
      <w:r w:rsidRPr="00F146BE">
        <w:rPr>
          <w:rStyle w:val="af7"/>
          <w:rFonts w:eastAsia="Guttman Hodes"/>
          <w:rtl/>
        </w:rPr>
        <w:fldChar w:fldCharType="begin"/>
      </w:r>
      <w:r w:rsidRPr="00F146BE">
        <w:rPr>
          <w:rStyle w:val="af7"/>
          <w:rFonts w:eastAsia="Guttman Hodes"/>
          <w:rtl/>
        </w:rPr>
        <w:instrText xml:space="preserve"> </w:instrText>
      </w:r>
      <w:r w:rsidRPr="00F146BE">
        <w:rPr>
          <w:rStyle w:val="af7"/>
          <w:rFonts w:eastAsia="Guttman Hodes" w:hint="cs"/>
        </w:rPr>
        <w:instrText>REF</w:instrText>
      </w:r>
      <w:r w:rsidRPr="00F146BE">
        <w:rPr>
          <w:rStyle w:val="af7"/>
          <w:rFonts w:eastAsia="Guttman Hodes" w:hint="cs"/>
          <w:rtl/>
        </w:rPr>
        <w:instrText xml:space="preserve"> _</w:instrText>
      </w:r>
      <w:r w:rsidRPr="00F146BE">
        <w:rPr>
          <w:rStyle w:val="af7"/>
          <w:rFonts w:eastAsia="Guttman Hodes" w:hint="cs"/>
        </w:rPr>
        <w:instrText>Ref60694144 \r \h</w:instrText>
      </w:r>
      <w:r w:rsidRPr="00F146B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146BE">
        <w:rPr>
          <w:rStyle w:val="af7"/>
          <w:rFonts w:eastAsia="Guttman Hodes"/>
          <w:rtl/>
        </w:rPr>
      </w:r>
      <w:r w:rsidRPr="00F146BE">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F146BE">
        <w:rPr>
          <w:rStyle w:val="af7"/>
          <w:rFonts w:eastAsia="Guttman Hodes"/>
          <w:rtl/>
        </w:rPr>
        <w:fldChar w:fldCharType="end"/>
      </w:r>
      <w:r>
        <w:rPr>
          <w:rFonts w:hint="cs"/>
          <w:rtl/>
        </w:rPr>
        <w:t xml:space="preserve"> </w:t>
      </w:r>
      <w:r w:rsidRPr="0097350E">
        <w:rPr>
          <w:rStyle w:val="af9"/>
          <w:rFonts w:hint="cs"/>
          <w:rtl/>
        </w:rPr>
        <w:t>והדרישה</w:t>
      </w:r>
      <w:r>
        <w:rPr>
          <w:rFonts w:hint="cs"/>
          <w:rtl/>
        </w:rPr>
        <w:t xml:space="preserve"> </w:t>
      </w:r>
      <w:r w:rsidRPr="00F146BE">
        <w:rPr>
          <w:rStyle w:val="af7"/>
          <w:rFonts w:eastAsia="Guttman Hodes" w:hint="cs"/>
          <w:rtl/>
        </w:rPr>
        <w:t xml:space="preserve">(עי' אות </w:t>
      </w:r>
      <w:r w:rsidRPr="00F146BE">
        <w:rPr>
          <w:rStyle w:val="af7"/>
          <w:rFonts w:eastAsia="Guttman Hodes"/>
          <w:rtl/>
        </w:rPr>
        <w:fldChar w:fldCharType="begin"/>
      </w:r>
      <w:r w:rsidRPr="00F146BE">
        <w:rPr>
          <w:rStyle w:val="af7"/>
          <w:rFonts w:eastAsia="Guttman Hodes"/>
          <w:rtl/>
        </w:rPr>
        <w:instrText xml:space="preserve"> </w:instrText>
      </w:r>
      <w:r w:rsidRPr="00F146BE">
        <w:rPr>
          <w:rStyle w:val="af7"/>
          <w:rFonts w:eastAsia="Guttman Hodes" w:hint="cs"/>
        </w:rPr>
        <w:instrText>REF</w:instrText>
      </w:r>
      <w:r w:rsidRPr="00F146BE">
        <w:rPr>
          <w:rStyle w:val="af7"/>
          <w:rFonts w:eastAsia="Guttman Hodes" w:hint="cs"/>
          <w:rtl/>
        </w:rPr>
        <w:instrText xml:space="preserve"> _</w:instrText>
      </w:r>
      <w:r w:rsidRPr="00F146BE">
        <w:rPr>
          <w:rStyle w:val="af7"/>
          <w:rFonts w:eastAsia="Guttman Hodes" w:hint="cs"/>
        </w:rPr>
        <w:instrText>Ref60694152 \r \h</w:instrText>
      </w:r>
      <w:r w:rsidRPr="00F146B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146BE">
        <w:rPr>
          <w:rStyle w:val="af7"/>
          <w:rFonts w:eastAsia="Guttman Hodes"/>
          <w:rtl/>
        </w:rPr>
      </w:r>
      <w:r w:rsidRPr="00F146BE">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F146BE">
        <w:rPr>
          <w:rStyle w:val="af7"/>
          <w:rFonts w:eastAsia="Guttman Hodes"/>
          <w:rtl/>
        </w:rPr>
        <w:fldChar w:fldCharType="end"/>
      </w:r>
      <w:r>
        <w:rPr>
          <w:rFonts w:hint="cs"/>
          <w:rtl/>
        </w:rPr>
        <w:t xml:space="preserve"> </w:t>
      </w:r>
      <w:r>
        <w:rPr>
          <w:rStyle w:val="af9"/>
          <w:rFonts w:hint="cs"/>
          <w:rtl/>
        </w:rPr>
        <w:t>ובשיעורי רבי שמואל</w:t>
      </w:r>
      <w:r>
        <w:rPr>
          <w:rFonts w:hint="cs"/>
          <w:rtl/>
        </w:rPr>
        <w:t xml:space="preserve"> </w:t>
      </w:r>
      <w:r>
        <w:rPr>
          <w:rStyle w:val="af7"/>
          <w:rFonts w:eastAsia="Guttman Hodes" w:hint="cs"/>
          <w:rtl/>
        </w:rPr>
        <w:t xml:space="preserve">(עי' </w:t>
      </w:r>
      <w:r w:rsidRPr="00D85B12">
        <w:rPr>
          <w:rStyle w:val="af7"/>
          <w:rFonts w:eastAsia="Guttman Hodes" w:hint="cs"/>
          <w:rtl/>
        </w:rPr>
        <w:t xml:space="preserve">אות </w:t>
      </w:r>
      <w:r w:rsidRPr="00D85B12">
        <w:rPr>
          <w:rStyle w:val="af7"/>
          <w:rFonts w:eastAsia="Guttman Hodes"/>
          <w:rtl/>
        </w:rPr>
        <w:fldChar w:fldCharType="begin"/>
      </w:r>
      <w:r w:rsidRPr="00D85B12">
        <w:rPr>
          <w:rStyle w:val="af7"/>
          <w:rFonts w:eastAsia="Guttman Hodes"/>
          <w:rtl/>
        </w:rPr>
        <w:instrText xml:space="preserve"> </w:instrText>
      </w:r>
      <w:r w:rsidRPr="00D85B12">
        <w:rPr>
          <w:rStyle w:val="af7"/>
          <w:rFonts w:eastAsia="Guttman Hodes" w:hint="cs"/>
        </w:rPr>
        <w:instrText>REF</w:instrText>
      </w:r>
      <w:r w:rsidRPr="00D85B12">
        <w:rPr>
          <w:rStyle w:val="af7"/>
          <w:rFonts w:eastAsia="Guttman Hodes" w:hint="cs"/>
          <w:rtl/>
        </w:rPr>
        <w:instrText xml:space="preserve"> _</w:instrText>
      </w:r>
      <w:r w:rsidRPr="00D85B12">
        <w:rPr>
          <w:rStyle w:val="af7"/>
          <w:rFonts w:eastAsia="Guttman Hodes" w:hint="cs"/>
        </w:rPr>
        <w:instrText>Ref60138353 \r \h</w:instrText>
      </w:r>
      <w:r w:rsidRPr="00D85B12">
        <w:rPr>
          <w:rStyle w:val="af7"/>
          <w:rFonts w:eastAsia="Guttman Hodes"/>
          <w:rtl/>
        </w:rPr>
        <w:instrText xml:space="preserve"> </w:instrText>
      </w:r>
      <w:r w:rsidRPr="00D85B12">
        <w:rPr>
          <w:rStyle w:val="af7"/>
          <w:rFonts w:eastAsia="Guttman Hodes"/>
          <w:rtl/>
        </w:rPr>
      </w:r>
      <w:r w:rsidRPr="00D85B12">
        <w:rPr>
          <w:rStyle w:val="af7"/>
          <w:rFonts w:eastAsia="Guttman Hodes"/>
          <w:rtl/>
        </w:rPr>
        <w:fldChar w:fldCharType="separate"/>
      </w:r>
      <w:r w:rsidR="00265073">
        <w:rPr>
          <w:rStyle w:val="af7"/>
          <w:rFonts w:eastAsia="Guttman Hodes"/>
          <w:cs/>
        </w:rPr>
        <w:t>‎</w:t>
      </w:r>
      <w:r w:rsidR="00265073">
        <w:rPr>
          <w:rStyle w:val="af7"/>
          <w:rFonts w:eastAsia="Guttman Hodes"/>
          <w:rtl/>
        </w:rPr>
        <w:t>קיח)</w:t>
      </w:r>
      <w:r w:rsidRPr="00D85B12">
        <w:rPr>
          <w:rStyle w:val="af7"/>
          <w:rFonts w:eastAsia="Guttman Hodes"/>
          <w:rtl/>
        </w:rPr>
        <w:fldChar w:fldCharType="end"/>
      </w:r>
      <w:r>
        <w:rPr>
          <w:rFonts w:hint="cs"/>
          <w:rtl/>
        </w:rPr>
        <w:t xml:space="preserve"> דכן דעת </w:t>
      </w:r>
      <w:r>
        <w:rPr>
          <w:rStyle w:val="af9"/>
          <w:rFonts w:hint="cs"/>
          <w:rtl/>
        </w:rPr>
        <w:t>הרשב"א</w:t>
      </w:r>
      <w:r w:rsidRPr="0097350E">
        <w:rPr>
          <w:rStyle w:val="af9"/>
          <w:rFonts w:hint="cs"/>
          <w:rtl/>
        </w:rPr>
        <w:t xml:space="preserve"> בתוס'</w:t>
      </w:r>
      <w:r>
        <w:rPr>
          <w:rFonts w:hint="cs"/>
          <w:rtl/>
        </w:rPr>
        <w:t>.</w:t>
      </w:r>
      <w:bookmarkEnd w:id="10866"/>
    </w:p>
    <w:p w:rsidR="006A4297" w:rsidRDefault="006A4297" w:rsidP="006A4297">
      <w:pPr>
        <w:pStyle w:val="1"/>
        <w:rPr>
          <w:rtl/>
        </w:rPr>
      </w:pPr>
      <w:bookmarkStart w:id="10867" w:name="_Toc60357072"/>
      <w:bookmarkStart w:id="10868" w:name="_Toc60589219"/>
      <w:bookmarkStart w:id="10869" w:name="_Toc60612674"/>
      <w:bookmarkStart w:id="10870" w:name="_Toc60616532"/>
      <w:bookmarkStart w:id="10871" w:name="_Toc60678292"/>
      <w:r>
        <w:rPr>
          <w:rFonts w:hint="cs"/>
          <w:rtl/>
        </w:rPr>
        <w:t>ראיית הרמב"ן מהא דיורשים שהודו בפקדון דלא טענינן להו</w:t>
      </w:r>
      <w:bookmarkEnd w:id="10867"/>
      <w:bookmarkEnd w:id="10868"/>
      <w:bookmarkEnd w:id="10869"/>
      <w:bookmarkEnd w:id="10870"/>
      <w:bookmarkEnd w:id="10871"/>
      <w:r>
        <w:rPr>
          <w:rFonts w:hint="cs"/>
          <w:rtl/>
        </w:rPr>
        <w:t xml:space="preserve"> </w:t>
      </w:r>
    </w:p>
    <w:p w:rsidR="006A4297" w:rsidRDefault="006A4297" w:rsidP="006A4297">
      <w:pPr>
        <w:pStyle w:val="a3"/>
        <w:rPr>
          <w:rtl/>
        </w:rPr>
      </w:pPr>
      <w:bookmarkStart w:id="10872" w:name="_Toc60357073"/>
      <w:bookmarkStart w:id="10873" w:name="_Toc60589220"/>
      <w:bookmarkStart w:id="10874" w:name="_Toc60612675"/>
      <w:bookmarkStart w:id="10875" w:name="_Toc60616533"/>
      <w:bookmarkStart w:id="10876" w:name="_Toc60678293"/>
      <w:r>
        <w:rPr>
          <w:rFonts w:hint="cs"/>
          <w:rtl/>
        </w:rPr>
        <w:t>ראיית הרמב"ן מיורשים שהודו למפקיד ואפ"ה טענינן להו מיגו דאביהם וה"ה דטענינן למחזיק</w:t>
      </w:r>
      <w:bookmarkEnd w:id="10872"/>
      <w:bookmarkEnd w:id="10873"/>
      <w:bookmarkEnd w:id="10874"/>
      <w:bookmarkEnd w:id="10875"/>
      <w:bookmarkEnd w:id="10876"/>
    </w:p>
    <w:p w:rsidR="006A4297" w:rsidRPr="00361CBF" w:rsidRDefault="006A4297" w:rsidP="007E4E81">
      <w:pPr>
        <w:pStyle w:val="a0"/>
        <w:rPr>
          <w:rtl/>
        </w:rPr>
      </w:pPr>
      <w:bookmarkStart w:id="10877" w:name="_Ref60356919"/>
      <w:bookmarkStart w:id="10878" w:name="_Ref60678070"/>
      <w:r>
        <w:rPr>
          <w:rFonts w:hint="cs"/>
          <w:rtl/>
        </w:rPr>
        <w:t xml:space="preserve">ועי' במה שהביא </w:t>
      </w:r>
      <w:r w:rsidRPr="00A0551D">
        <w:rPr>
          <w:rStyle w:val="af9"/>
          <w:rFonts w:hint="cs"/>
          <w:rtl/>
        </w:rPr>
        <w:t xml:space="preserve">הרמב"ן </w:t>
      </w:r>
      <w:r w:rsidRPr="001F11A9">
        <w:rPr>
          <w:rStyle w:val="af7"/>
          <w:rFonts w:eastAsia="Guttman Hodes" w:hint="cs"/>
          <w:rtl/>
        </w:rPr>
        <w:t>(ד"ה וסברא</w:t>
      </w:r>
      <w:r>
        <w:rPr>
          <w:rStyle w:val="af7"/>
          <w:rFonts w:eastAsia="Guttman Hodes" w:hint="cs"/>
          <w:rtl/>
        </w:rPr>
        <w:t>, הובא בסימן ט' אות ל"ח)</w:t>
      </w:r>
      <w:r w:rsidRPr="00A0551D">
        <w:rPr>
          <w:rStyle w:val="af9"/>
          <w:rFonts w:hint="cs"/>
          <w:rtl/>
        </w:rPr>
        <w:t xml:space="preserve"> </w:t>
      </w:r>
      <w:r>
        <w:rPr>
          <w:rFonts w:hint="cs"/>
          <w:rtl/>
        </w:rPr>
        <w:t xml:space="preserve">ראיה לדבריו, מהא דהמפקיד אצל חבירו בעדים ומת, ותובע המפקיד את היורשים, ויש עדים על עצם הפקדון, והודו היורשים שהחפץ נמצא בידם מאביהם, אך המפקיד עצמו לא ראה </w:t>
      </w:r>
      <w:r w:rsidRPr="001F11A9">
        <w:rPr>
          <w:rFonts w:hint="cs"/>
          <w:rtl/>
        </w:rPr>
        <w:t>את החפץ</w:t>
      </w:r>
      <w:r>
        <w:rPr>
          <w:rFonts w:hint="cs"/>
          <w:rtl/>
        </w:rPr>
        <w:t xml:space="preserve"> בידם</w:t>
      </w:r>
      <w:r w:rsidRPr="001F11A9">
        <w:rPr>
          <w:rFonts w:hint="cs"/>
          <w:rtl/>
        </w:rPr>
        <w:t xml:space="preserve">, </w:t>
      </w:r>
      <w:r>
        <w:rPr>
          <w:rFonts w:hint="cs"/>
          <w:rtl/>
        </w:rPr>
        <w:t>ד</w:t>
      </w:r>
      <w:r w:rsidRPr="001F11A9">
        <w:rPr>
          <w:rFonts w:hint="cs"/>
          <w:rtl/>
        </w:rPr>
        <w:t xml:space="preserve">בכה"ג טענינן ליורשים כל מה שהיה אביהם יכול לטעון, דהיה נאמן לומר שאחר הפקדון חזר וקנה מהמפקיד, במיגו דהחזרתיו לך, אעפ"י שהיורשים מודים שהחפץ בידם, </w:t>
      </w:r>
      <w:r>
        <w:rPr>
          <w:rFonts w:hint="cs"/>
          <w:rtl/>
        </w:rPr>
        <w:t>מ"מ טענינן להו,</w:t>
      </w:r>
      <w:bookmarkEnd w:id="10877"/>
      <w:r>
        <w:rPr>
          <w:rFonts w:hint="cs"/>
          <w:rtl/>
        </w:rPr>
        <w:t xml:space="preserve"> וכתב </w:t>
      </w:r>
      <w:r w:rsidRPr="007A1FC2">
        <w:rPr>
          <w:rStyle w:val="af9"/>
          <w:rFonts w:hint="cs"/>
          <w:rtl/>
        </w:rPr>
        <w:t xml:space="preserve">הדרישה </w:t>
      </w:r>
      <w:r w:rsidRPr="0040057C">
        <w:rPr>
          <w:rStyle w:val="af7"/>
          <w:rFonts w:eastAsia="Guttman Hodes" w:hint="cs"/>
          <w:rtl/>
        </w:rPr>
        <w:t xml:space="preserve">(עי' אות </w:t>
      </w:r>
      <w:r w:rsidRPr="0040057C">
        <w:rPr>
          <w:rStyle w:val="af7"/>
          <w:rFonts w:eastAsia="Guttman Hodes"/>
          <w:rtl/>
        </w:rPr>
        <w:fldChar w:fldCharType="begin"/>
      </w:r>
      <w:r w:rsidRPr="0040057C">
        <w:rPr>
          <w:rStyle w:val="af7"/>
          <w:rFonts w:eastAsia="Guttman Hodes"/>
          <w:rtl/>
        </w:rPr>
        <w:instrText xml:space="preserve"> </w:instrText>
      </w:r>
      <w:r w:rsidRPr="0040057C">
        <w:rPr>
          <w:rStyle w:val="af7"/>
          <w:rFonts w:eastAsia="Guttman Hodes" w:hint="cs"/>
        </w:rPr>
        <w:instrText>REF</w:instrText>
      </w:r>
      <w:r w:rsidRPr="0040057C">
        <w:rPr>
          <w:rStyle w:val="af7"/>
          <w:rFonts w:eastAsia="Guttman Hodes" w:hint="cs"/>
          <w:rtl/>
        </w:rPr>
        <w:instrText xml:space="preserve"> _</w:instrText>
      </w:r>
      <w:r w:rsidRPr="0040057C">
        <w:rPr>
          <w:rStyle w:val="af7"/>
          <w:rFonts w:eastAsia="Guttman Hodes" w:hint="cs"/>
        </w:rPr>
        <w:instrText>Ref60694184 \r \h</w:instrText>
      </w:r>
      <w:r w:rsidRPr="0040057C">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0057C">
        <w:rPr>
          <w:rStyle w:val="af7"/>
          <w:rFonts w:eastAsia="Guttman Hodes"/>
          <w:rtl/>
        </w:rPr>
      </w:r>
      <w:r w:rsidRPr="0040057C">
        <w:rPr>
          <w:rStyle w:val="af7"/>
          <w:rFonts w:eastAsia="Guttman Hodes"/>
          <w:rtl/>
        </w:rPr>
        <w:fldChar w:fldCharType="separate"/>
      </w:r>
      <w:r w:rsidR="00265073">
        <w:rPr>
          <w:rStyle w:val="af7"/>
          <w:rFonts w:eastAsia="Guttman Hodes"/>
          <w:cs/>
        </w:rPr>
        <w:t>‎</w:t>
      </w:r>
      <w:r w:rsidR="00265073">
        <w:rPr>
          <w:rStyle w:val="af7"/>
          <w:rFonts w:eastAsia="Guttman Hodes"/>
          <w:rtl/>
        </w:rPr>
        <w:t>נט)</w:t>
      </w:r>
      <w:r w:rsidRPr="0040057C">
        <w:rPr>
          <w:rStyle w:val="af7"/>
          <w:rFonts w:eastAsia="Guttman Hodes"/>
          <w:rtl/>
        </w:rPr>
        <w:fldChar w:fldCharType="end"/>
      </w:r>
      <w:r>
        <w:rPr>
          <w:rFonts w:hint="cs"/>
          <w:rtl/>
        </w:rPr>
        <w:t xml:space="preserve"> דראיית </w:t>
      </w:r>
      <w:r w:rsidRPr="007A1FC2">
        <w:rPr>
          <w:rStyle w:val="af9"/>
          <w:rFonts w:hint="cs"/>
          <w:rtl/>
        </w:rPr>
        <w:t xml:space="preserve">הרמב"ן </w:t>
      </w:r>
      <w:r>
        <w:rPr>
          <w:rFonts w:hint="cs"/>
          <w:rtl/>
        </w:rPr>
        <w:t xml:space="preserve">היא אותה הראיה שהביא </w:t>
      </w:r>
      <w:r w:rsidRPr="007A1FC2">
        <w:rPr>
          <w:rStyle w:val="af9"/>
          <w:rFonts w:hint="cs"/>
          <w:rtl/>
        </w:rPr>
        <w:t xml:space="preserve">הרשב"א בתוס' </w:t>
      </w:r>
      <w:r w:rsidRPr="0040057C">
        <w:rPr>
          <w:rStyle w:val="af7"/>
          <w:rFonts w:eastAsia="Guttman Hodes" w:hint="cs"/>
          <w:rtl/>
        </w:rPr>
        <w:t xml:space="preserve">(עי' אות </w:t>
      </w:r>
      <w:r w:rsidRPr="0040057C">
        <w:rPr>
          <w:rStyle w:val="af7"/>
          <w:rFonts w:eastAsia="Guttman Hodes"/>
          <w:rtl/>
        </w:rPr>
        <w:fldChar w:fldCharType="begin"/>
      </w:r>
      <w:r w:rsidRPr="0040057C">
        <w:rPr>
          <w:rStyle w:val="af7"/>
          <w:rFonts w:eastAsia="Guttman Hodes"/>
          <w:rtl/>
        </w:rPr>
        <w:instrText xml:space="preserve"> </w:instrText>
      </w:r>
      <w:r w:rsidRPr="0040057C">
        <w:rPr>
          <w:rStyle w:val="af7"/>
          <w:rFonts w:eastAsia="Guttman Hodes" w:hint="cs"/>
        </w:rPr>
        <w:instrText>REF</w:instrText>
      </w:r>
      <w:r w:rsidRPr="0040057C">
        <w:rPr>
          <w:rStyle w:val="af7"/>
          <w:rFonts w:eastAsia="Guttman Hodes" w:hint="cs"/>
          <w:rtl/>
        </w:rPr>
        <w:instrText xml:space="preserve"> _</w:instrText>
      </w:r>
      <w:r w:rsidRPr="0040057C">
        <w:rPr>
          <w:rStyle w:val="af7"/>
          <w:rFonts w:eastAsia="Guttman Hodes" w:hint="cs"/>
        </w:rPr>
        <w:instrText>Ref60343319 \r \h</w:instrText>
      </w:r>
      <w:r w:rsidRPr="0040057C">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0057C">
        <w:rPr>
          <w:rStyle w:val="af7"/>
          <w:rFonts w:eastAsia="Guttman Hodes"/>
          <w:rtl/>
        </w:rPr>
      </w:r>
      <w:r w:rsidRPr="0040057C">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40057C">
        <w:rPr>
          <w:rStyle w:val="af7"/>
          <w:rFonts w:eastAsia="Guttman Hodes"/>
          <w:rtl/>
        </w:rPr>
        <w:fldChar w:fldCharType="end"/>
      </w:r>
      <w:r>
        <w:rPr>
          <w:rFonts w:hint="cs"/>
          <w:rtl/>
        </w:rPr>
        <w:t xml:space="preserve"> לדבריו, ועי' במה שדחו </w:t>
      </w:r>
      <w:r w:rsidRPr="0032737E">
        <w:rPr>
          <w:rStyle w:val="af9"/>
          <w:rFonts w:hint="cs"/>
          <w:rtl/>
        </w:rPr>
        <w:t xml:space="preserve">הרשב"א </w:t>
      </w:r>
      <w:r w:rsidRPr="0032737E">
        <w:rPr>
          <w:rStyle w:val="af7"/>
          <w:rFonts w:eastAsia="Guttman Hodes" w:hint="cs"/>
          <w:rtl/>
        </w:rPr>
        <w:t>(ד"ה אבל הרמב"ן</w:t>
      </w:r>
      <w:r>
        <w:rPr>
          <w:rStyle w:val="af7"/>
          <w:rFonts w:eastAsia="Guttman Hodes" w:hint="cs"/>
          <w:rtl/>
        </w:rPr>
        <w:t>, הובא בסימן ט' אות ל"ט)</w:t>
      </w:r>
      <w:r w:rsidRPr="0097350E">
        <w:rPr>
          <w:rStyle w:val="af9"/>
          <w:rFonts w:hint="cs"/>
          <w:rtl/>
        </w:rPr>
        <w:t xml:space="preserve"> </w:t>
      </w:r>
      <w:r w:rsidRPr="007F6181">
        <w:rPr>
          <w:rStyle w:val="af9"/>
          <w:rFonts w:hint="cs"/>
          <w:rtl/>
        </w:rPr>
        <w:t>והריטב</w:t>
      </w:r>
      <w:r w:rsidRPr="00CD408B">
        <w:rPr>
          <w:rStyle w:val="af9"/>
          <w:rFonts w:hint="cs"/>
          <w:rtl/>
        </w:rPr>
        <w:t>"א</w:t>
      </w:r>
      <w:r>
        <w:rPr>
          <w:rFonts w:hint="cs"/>
          <w:rtl/>
        </w:rPr>
        <w:t xml:space="preserve"> </w:t>
      </w:r>
      <w:r w:rsidRPr="003C5BFB">
        <w:rPr>
          <w:rStyle w:val="af7"/>
          <w:rFonts w:eastAsia="Guttman Hodes" w:hint="cs"/>
          <w:rtl/>
        </w:rPr>
        <w:t>(ד"ה והיכא</w:t>
      </w:r>
      <w:r>
        <w:rPr>
          <w:rStyle w:val="af7"/>
          <w:rFonts w:eastAsia="Guttman Hodes" w:hint="cs"/>
          <w:rtl/>
        </w:rPr>
        <w:t>, הובא בסימן ט' אות מ')</w:t>
      </w:r>
      <w:r>
        <w:rPr>
          <w:rFonts w:hint="cs"/>
          <w:rtl/>
        </w:rPr>
        <w:t xml:space="preserve"> את ראיית </w:t>
      </w:r>
      <w:r w:rsidRPr="007A1FC2">
        <w:rPr>
          <w:rStyle w:val="af9"/>
          <w:rFonts w:hint="cs"/>
          <w:rtl/>
        </w:rPr>
        <w:t>הרמב"ן</w:t>
      </w:r>
      <w:r>
        <w:rPr>
          <w:rFonts w:hint="cs"/>
          <w:rtl/>
        </w:rPr>
        <w:t>.</w:t>
      </w:r>
      <w:bookmarkEnd w:id="10878"/>
    </w:p>
    <w:p w:rsidR="006A4297" w:rsidRPr="007376C8" w:rsidRDefault="006A4297" w:rsidP="006A4297">
      <w:pPr>
        <w:pStyle w:val="1"/>
        <w:rPr>
          <w:rtl/>
        </w:rPr>
        <w:sectPr w:rsidR="006A4297" w:rsidRPr="007376C8" w:rsidSect="005049E2">
          <w:type w:val="continuous"/>
          <w:pgSz w:w="11906" w:h="16838"/>
          <w:pgMar w:top="720" w:right="720" w:bottom="720" w:left="720" w:header="283" w:footer="283" w:gutter="0"/>
          <w:cols w:num="2" w:space="567"/>
          <w:titlePg/>
          <w:bidi/>
          <w:rtlGutter/>
          <w:docGrid w:linePitch="299"/>
        </w:sectPr>
      </w:pPr>
    </w:p>
    <w:p w:rsidR="006A4297" w:rsidRDefault="006A4297" w:rsidP="006A4297">
      <w:pPr>
        <w:tabs>
          <w:tab w:val="left" w:pos="1163"/>
        </w:tabs>
        <w:spacing w:after="120" w:line="240" w:lineRule="auto"/>
        <w:ind w:left="0"/>
        <w:rPr>
          <w:rFonts w:ascii="Guttman Hodes" w:eastAsia="Guttman Hodes" w:hAnsi="Guttman Hodes" w:cs="Guttman Hodes"/>
          <w:noProof/>
          <w:sz w:val="18"/>
          <w:szCs w:val="18"/>
        </w:rPr>
        <w:sectPr w:rsidR="006A4297" w:rsidSect="00AE06CB">
          <w:type w:val="continuous"/>
          <w:pgSz w:w="11906" w:h="16838"/>
          <w:pgMar w:top="720" w:right="720" w:bottom="720" w:left="720" w:header="283" w:footer="283" w:gutter="0"/>
          <w:cols w:space="567"/>
          <w:bidi/>
          <w:rtlGutter/>
          <w:docGrid w:linePitch="299"/>
        </w:sectPr>
      </w:pPr>
    </w:p>
    <w:p w:rsidR="006A4297" w:rsidRPr="00D47CE7" w:rsidRDefault="00E949D5" w:rsidP="006A4297">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4" type="#_x0000_t75" style="width:404.55pt;height:6.8pt" o:hrpct="0" o:hralign="center" o:hr="t">
            <v:imagedata r:id="rId24" o:title="BD14845_"/>
          </v:shape>
        </w:pict>
      </w:r>
      <w:r w:rsidR="006A4297" w:rsidRPr="00D47CE7">
        <w:rPr>
          <w:rFonts w:ascii="Guttman Hodes" w:eastAsia="Guttman Hodes" w:hAnsi="Guttman Hodes" w:cs="Guttman Hodes" w:hint="cs"/>
          <w:noProof/>
          <w:sz w:val="18"/>
          <w:szCs w:val="18"/>
          <w:rtl/>
        </w:rPr>
        <w:t xml:space="preserve"> </w:t>
      </w:r>
    </w:p>
    <w:p w:rsidR="006A4297" w:rsidRPr="0081356D" w:rsidRDefault="001B6519" w:rsidP="006A4297">
      <w:pPr>
        <w:pStyle w:val="afe"/>
        <w:rPr>
          <w:rtl/>
        </w:rPr>
        <w:sectPr w:rsidR="006A4297" w:rsidRPr="0081356D" w:rsidSect="00361B2E">
          <w:pgSz w:w="11906" w:h="16838"/>
          <w:pgMar w:top="720" w:right="720" w:bottom="720" w:left="720" w:header="283" w:footer="283" w:gutter="0"/>
          <w:cols w:space="567"/>
          <w:bidi/>
          <w:rtlGutter/>
          <w:docGrid w:linePitch="299"/>
        </w:sectPr>
      </w:pPr>
      <w:r>
        <w:rPr>
          <w:rFonts w:hint="cs"/>
          <w:rtl/>
        </w:rPr>
        <w:t>~~~~~~~ ביאורי ראשי הישיבות ~~~~~~~</w:t>
      </w:r>
      <w:r w:rsidR="006A4297" w:rsidRPr="0081356D">
        <w:rPr>
          <w:rFonts w:hint="cs"/>
          <w:rtl/>
        </w:rPr>
        <w:t xml:space="preserve"> </w:t>
      </w:r>
    </w:p>
    <w:p w:rsidR="006A4297" w:rsidRDefault="006A4297" w:rsidP="006A4297">
      <w:pPr>
        <w:pStyle w:val="afe"/>
        <w:rPr>
          <w:rtl/>
        </w:rPr>
      </w:pPr>
      <w:bookmarkStart w:id="10879" w:name="_Toc60678295"/>
      <w:r>
        <w:rPr>
          <w:rFonts w:hint="cs"/>
          <w:rtl/>
        </w:rPr>
        <w:t>בי' הברכ"ש בפלוג' הראשונים בטענינן</w:t>
      </w:r>
      <w:bookmarkEnd w:id="10879"/>
    </w:p>
    <w:p w:rsidR="006A4297" w:rsidRDefault="006A4297" w:rsidP="006A4297">
      <w:pPr>
        <w:pStyle w:val="1"/>
        <w:rPr>
          <w:rtl/>
        </w:rPr>
      </w:pPr>
      <w:bookmarkStart w:id="10880" w:name="_Toc60678296"/>
      <w:r>
        <w:rPr>
          <w:rFonts w:hint="cs"/>
          <w:rtl/>
        </w:rPr>
        <w:t>בי' הברכ"ש דנח' הרשב"א בתוס' ור"י אי המחזיק בע"ד</w:t>
      </w:r>
      <w:bookmarkEnd w:id="10880"/>
    </w:p>
    <w:p w:rsidR="006A4297" w:rsidRDefault="006A4297" w:rsidP="006A4297">
      <w:pPr>
        <w:pStyle w:val="a3"/>
      </w:pPr>
      <w:bookmarkStart w:id="10881" w:name="_Toc60678297"/>
      <w:r>
        <w:rPr>
          <w:rFonts w:hint="cs"/>
          <w:rtl/>
        </w:rPr>
        <w:t>ביאור הברכ"ש דנח' הרשב"א בתוס' ור"י אי טענינן טענת ודאי במיגו או רק בפה שאסר</w:t>
      </w:r>
      <w:bookmarkEnd w:id="10881"/>
    </w:p>
    <w:p w:rsidR="006A4297" w:rsidRPr="007C0668" w:rsidRDefault="006A4297" w:rsidP="007E4E81">
      <w:pPr>
        <w:pStyle w:val="a0"/>
      </w:pPr>
      <w:bookmarkStart w:id="10882" w:name="_Ref60649528"/>
      <w:r>
        <w:rPr>
          <w:rFonts w:hint="cs"/>
          <w:rtl/>
        </w:rPr>
        <w:t xml:space="preserve">כתב </w:t>
      </w:r>
      <w:r w:rsidRPr="00777AAD">
        <w:rPr>
          <w:rStyle w:val="af9"/>
          <w:rFonts w:hint="cs"/>
          <w:rtl/>
        </w:rPr>
        <w:t>הברכ"ש</w:t>
      </w:r>
      <w:r>
        <w:rPr>
          <w:rFonts w:hint="cs"/>
          <w:rtl/>
        </w:rPr>
        <w:t xml:space="preserve"> </w:t>
      </w:r>
      <w:r w:rsidRPr="000773E2">
        <w:rPr>
          <w:rStyle w:val="af7"/>
          <w:rFonts w:eastAsia="Guttman Hodes" w:hint="cs"/>
          <w:rtl/>
        </w:rPr>
        <w:t>(סי' כ"ח או' ב')</w:t>
      </w:r>
      <w:r>
        <w:rPr>
          <w:rFonts w:hint="cs"/>
          <w:rtl/>
        </w:rPr>
        <w:t xml:space="preserve"> דלדעת </w:t>
      </w:r>
      <w:r w:rsidRPr="00777AAD">
        <w:rPr>
          <w:rStyle w:val="af9"/>
          <w:rFonts w:hint="cs"/>
          <w:rtl/>
        </w:rPr>
        <w:t>הרשב"א בתוס'</w:t>
      </w:r>
      <w:r>
        <w:rPr>
          <w:rFonts w:hint="cs"/>
          <w:rtl/>
        </w:rPr>
        <w:t xml:space="preserve"> </w:t>
      </w:r>
      <w:r w:rsidRPr="000773E2">
        <w:rPr>
          <w:rStyle w:val="af7"/>
          <w:rFonts w:eastAsia="Guttman Hodes" w:hint="cs"/>
          <w:rtl/>
        </w:rPr>
        <w:t xml:space="preserve">(עי' אות </w:t>
      </w:r>
      <w:r w:rsidRPr="000773E2">
        <w:rPr>
          <w:rStyle w:val="af7"/>
          <w:rFonts w:eastAsia="Guttman Hodes"/>
          <w:rtl/>
        </w:rPr>
        <w:fldChar w:fldCharType="begin"/>
      </w:r>
      <w:r w:rsidRPr="000773E2">
        <w:rPr>
          <w:rStyle w:val="af7"/>
          <w:rFonts w:eastAsia="Guttman Hodes"/>
          <w:rtl/>
        </w:rPr>
        <w:instrText xml:space="preserve"> </w:instrText>
      </w:r>
      <w:r w:rsidRPr="000773E2">
        <w:rPr>
          <w:rStyle w:val="af7"/>
          <w:rFonts w:eastAsia="Guttman Hodes" w:hint="cs"/>
        </w:rPr>
        <w:instrText>REF</w:instrText>
      </w:r>
      <w:r w:rsidRPr="000773E2">
        <w:rPr>
          <w:rStyle w:val="af7"/>
          <w:rFonts w:eastAsia="Guttman Hodes" w:hint="cs"/>
          <w:rtl/>
        </w:rPr>
        <w:instrText xml:space="preserve"> _</w:instrText>
      </w:r>
      <w:r w:rsidRPr="000773E2">
        <w:rPr>
          <w:rStyle w:val="af7"/>
          <w:rFonts w:eastAsia="Guttman Hodes" w:hint="cs"/>
        </w:rPr>
        <w:instrText>Ref60342515 \r \h</w:instrText>
      </w:r>
      <w:r w:rsidRPr="000773E2">
        <w:rPr>
          <w:rStyle w:val="af7"/>
          <w:rFonts w:eastAsia="Guttman Hodes"/>
          <w:rtl/>
        </w:rPr>
        <w:instrText xml:space="preserve"> </w:instrText>
      </w:r>
      <w:r w:rsidRPr="000773E2">
        <w:rPr>
          <w:rStyle w:val="af7"/>
          <w:rFonts w:eastAsia="Guttman Hodes"/>
          <w:rtl/>
        </w:rPr>
      </w:r>
      <w:r w:rsidRPr="000773E2">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0773E2">
        <w:rPr>
          <w:rStyle w:val="af7"/>
          <w:rFonts w:eastAsia="Guttman Hodes"/>
          <w:rtl/>
        </w:rPr>
        <w:fldChar w:fldCharType="end"/>
      </w:r>
      <w:r>
        <w:rPr>
          <w:rFonts w:hint="cs"/>
          <w:rtl/>
        </w:rPr>
        <w:t xml:space="preserve"> אעפ"י דהמחזיק יודע בודאי שהקרקע הייתה של המערער, ואין לו מיגו דלא הייתה שלך מעולם, מ"מ טענינן ליה טענת ודאי דדר בה חד יומא, כמו דטענינן בהחזרתי במיגו דנאנסו, כיון דכל מה שהיה המוכר יכול לטעון טענינן ללוקח, ובדעת </w:t>
      </w:r>
      <w:r w:rsidRPr="00777AAD">
        <w:rPr>
          <w:rStyle w:val="af9"/>
          <w:rFonts w:hint="cs"/>
          <w:rtl/>
        </w:rPr>
        <w:t>ר"י</w:t>
      </w:r>
      <w:r>
        <w:rPr>
          <w:rFonts w:hint="cs"/>
          <w:rtl/>
        </w:rPr>
        <w:t xml:space="preserve"> </w:t>
      </w:r>
      <w:r w:rsidRPr="000773E2">
        <w:rPr>
          <w:rStyle w:val="af7"/>
          <w:rFonts w:eastAsia="Guttman Hodes" w:hint="cs"/>
          <w:rtl/>
        </w:rPr>
        <w:t xml:space="preserve">(עי' אות </w:t>
      </w:r>
      <w:r w:rsidRPr="000773E2">
        <w:rPr>
          <w:rStyle w:val="af7"/>
          <w:rFonts w:eastAsia="Guttman Hodes"/>
          <w:rtl/>
        </w:rPr>
        <w:fldChar w:fldCharType="begin"/>
      </w:r>
      <w:r w:rsidRPr="000773E2">
        <w:rPr>
          <w:rStyle w:val="af7"/>
          <w:rFonts w:eastAsia="Guttman Hodes"/>
          <w:rtl/>
        </w:rPr>
        <w:instrText xml:space="preserve"> </w:instrText>
      </w:r>
      <w:r w:rsidRPr="000773E2">
        <w:rPr>
          <w:rStyle w:val="af7"/>
          <w:rFonts w:eastAsia="Guttman Hodes" w:hint="cs"/>
        </w:rPr>
        <w:instrText>REF</w:instrText>
      </w:r>
      <w:r w:rsidRPr="000773E2">
        <w:rPr>
          <w:rStyle w:val="af7"/>
          <w:rFonts w:eastAsia="Guttman Hodes" w:hint="cs"/>
          <w:rtl/>
        </w:rPr>
        <w:instrText xml:space="preserve"> _</w:instrText>
      </w:r>
      <w:r w:rsidRPr="000773E2">
        <w:rPr>
          <w:rStyle w:val="af7"/>
          <w:rFonts w:eastAsia="Guttman Hodes" w:hint="cs"/>
        </w:rPr>
        <w:instrText>Ref60640954 \r \h</w:instrText>
      </w:r>
      <w:r w:rsidRPr="000773E2">
        <w:rPr>
          <w:rStyle w:val="af7"/>
          <w:rFonts w:eastAsia="Guttman Hodes"/>
          <w:rtl/>
        </w:rPr>
        <w:instrText xml:space="preserve"> </w:instrText>
      </w:r>
      <w:r w:rsidRPr="000773E2">
        <w:rPr>
          <w:rStyle w:val="af7"/>
          <w:rFonts w:eastAsia="Guttman Hodes"/>
          <w:rtl/>
        </w:rPr>
      </w:r>
      <w:r w:rsidRPr="000773E2">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0773E2">
        <w:rPr>
          <w:rStyle w:val="af7"/>
          <w:rFonts w:eastAsia="Guttman Hodes"/>
          <w:rtl/>
        </w:rPr>
        <w:fldChar w:fldCharType="end"/>
      </w:r>
      <w:r>
        <w:rPr>
          <w:rFonts w:hint="cs"/>
          <w:rtl/>
        </w:rPr>
        <w:t xml:space="preserve"> ביאר </w:t>
      </w:r>
      <w:r w:rsidRPr="00777AAD">
        <w:rPr>
          <w:rStyle w:val="af9"/>
          <w:rFonts w:hint="cs"/>
          <w:rtl/>
        </w:rPr>
        <w:t>הברכ"ש</w:t>
      </w:r>
      <w:r>
        <w:rPr>
          <w:rFonts w:hint="cs"/>
          <w:rtl/>
        </w:rPr>
        <w:t xml:space="preserve"> דס"ל דכיון שלמחזיק אין נאמנות מדין הפה שאסר, </w:t>
      </w:r>
      <w:r w:rsidRPr="00B74648">
        <w:rPr>
          <w:rStyle w:val="afb"/>
          <w:rFonts w:hint="cs"/>
          <w:rtl/>
        </w:rPr>
        <w:t>[דהודה שהייתה הקרקע של המחזיק],</w:t>
      </w:r>
      <w:r>
        <w:rPr>
          <w:rFonts w:hint="cs"/>
          <w:rtl/>
        </w:rPr>
        <w:t xml:space="preserve"> א"כ לא טענינן ליה טענת ודאי.</w:t>
      </w:r>
      <w:bookmarkEnd w:id="10882"/>
    </w:p>
    <w:p w:rsidR="006A4297" w:rsidRDefault="006A4297" w:rsidP="006A4297">
      <w:pPr>
        <w:pStyle w:val="a3"/>
      </w:pPr>
      <w:bookmarkStart w:id="10883" w:name="_Toc60678298"/>
      <w:r>
        <w:rPr>
          <w:rFonts w:hint="cs"/>
          <w:rtl/>
        </w:rPr>
        <w:t>ביאור הברכ"ש דטנינן הוא רק לבע"ד ולרשב"א בתוס' המחזיק בע"ד וטענינן ולר"י אינו בע"ד</w:t>
      </w:r>
      <w:bookmarkEnd w:id="10883"/>
    </w:p>
    <w:p w:rsidR="006A4297" w:rsidRDefault="006A4297" w:rsidP="007E4E81">
      <w:pPr>
        <w:pStyle w:val="a0"/>
        <w:rPr>
          <w:rtl/>
        </w:rPr>
      </w:pPr>
      <w:r>
        <w:rPr>
          <w:rFonts w:hint="cs"/>
          <w:rtl/>
        </w:rPr>
        <w:t xml:space="preserve">והוסיף </w:t>
      </w:r>
      <w:r w:rsidRPr="00777AAD">
        <w:rPr>
          <w:rStyle w:val="af9"/>
          <w:rFonts w:hint="cs"/>
          <w:rtl/>
        </w:rPr>
        <w:t>הברכ"ש</w:t>
      </w:r>
      <w:r>
        <w:rPr>
          <w:rFonts w:hint="cs"/>
          <w:rtl/>
        </w:rPr>
        <w:t xml:space="preserve"> </w:t>
      </w:r>
      <w:r w:rsidRPr="00826034">
        <w:rPr>
          <w:rStyle w:val="af7"/>
          <w:rFonts w:eastAsia="Guttman Hodes" w:hint="cs"/>
          <w:rtl/>
        </w:rPr>
        <w:t>(סי' כ"ח או' ג')</w:t>
      </w:r>
      <w:r>
        <w:rPr>
          <w:rFonts w:hint="cs"/>
          <w:rtl/>
        </w:rPr>
        <w:t xml:space="preserve"> לבאר דדין טענינן הוא רק למי שהוא הבע"ד, אבל במקום שהמחזיק אינו בע"ד, לא שייך לטעון למחזיק עצמו מדין טענינן, וכ"מ שיכול הטענינן להועיל למחזיק הוא ע"י שנטען עבור המוכר שהוא הבע"ד,</w:t>
      </w:r>
      <w:r w:rsidRPr="00E4774D">
        <w:rPr>
          <w:rFonts w:hint="cs"/>
          <w:rtl/>
        </w:rPr>
        <w:t xml:space="preserve"> </w:t>
      </w:r>
      <w:r>
        <w:rPr>
          <w:rFonts w:hint="cs"/>
          <w:rtl/>
        </w:rPr>
        <w:t xml:space="preserve">וכתב </w:t>
      </w:r>
      <w:r w:rsidRPr="00777AAD">
        <w:rPr>
          <w:rStyle w:val="af9"/>
          <w:rFonts w:hint="cs"/>
          <w:rtl/>
        </w:rPr>
        <w:t>הברכ"ש</w:t>
      </w:r>
      <w:r>
        <w:rPr>
          <w:rFonts w:hint="cs"/>
          <w:rtl/>
        </w:rPr>
        <w:t xml:space="preserve"> </w:t>
      </w:r>
      <w:r w:rsidRPr="000773E2">
        <w:rPr>
          <w:rStyle w:val="af7"/>
          <w:rFonts w:eastAsia="Guttman Hodes" w:hint="cs"/>
          <w:rtl/>
        </w:rPr>
        <w:t>(סי' כ"ח או' ב')</w:t>
      </w:r>
      <w:r>
        <w:rPr>
          <w:rFonts w:hint="cs"/>
          <w:rtl/>
        </w:rPr>
        <w:t xml:space="preserve"> דלדעת </w:t>
      </w:r>
      <w:r w:rsidRPr="007C49A1">
        <w:rPr>
          <w:rStyle w:val="af9"/>
          <w:rFonts w:hint="cs"/>
          <w:rtl/>
        </w:rPr>
        <w:t>הרשב"א בתוס'</w:t>
      </w:r>
      <w:r>
        <w:rPr>
          <w:rFonts w:hint="cs"/>
          <w:rtl/>
        </w:rPr>
        <w:t xml:space="preserve"> המחזיק נחשב לבע"ד, ולכן טענינן ליה, ולדעת </w:t>
      </w:r>
      <w:r w:rsidRPr="007C49A1">
        <w:rPr>
          <w:rStyle w:val="af9"/>
          <w:rFonts w:hint="cs"/>
          <w:rtl/>
        </w:rPr>
        <w:t>ר"י</w:t>
      </w:r>
      <w:r>
        <w:rPr>
          <w:rFonts w:hint="cs"/>
          <w:rtl/>
        </w:rPr>
        <w:t xml:space="preserve"> אינו נחשב לבע"ד ולא טענינן ליה.</w:t>
      </w:r>
    </w:p>
    <w:p w:rsidR="006A4297" w:rsidRDefault="006A4297" w:rsidP="006A4297">
      <w:pPr>
        <w:pStyle w:val="a3"/>
      </w:pPr>
      <w:bookmarkStart w:id="10884" w:name="_Toc60678299"/>
      <w:r>
        <w:rPr>
          <w:rFonts w:hint="cs"/>
          <w:rtl/>
        </w:rPr>
        <w:t>ביאור הברכ"ש דקמי דידי זבנה מינך המחזיק עצמו הבע"ד ואף שאין לו מיגו ומהני מיגו דמוכר</w:t>
      </w:r>
      <w:bookmarkEnd w:id="10884"/>
    </w:p>
    <w:p w:rsidR="006A4297" w:rsidRPr="003E1ECC" w:rsidRDefault="006A4297" w:rsidP="007E4E81">
      <w:pPr>
        <w:pStyle w:val="a0"/>
        <w:rPr>
          <w:rStyle w:val="afb"/>
          <w:rtl/>
        </w:rPr>
      </w:pPr>
      <w:bookmarkStart w:id="10885" w:name="_Ref60654899"/>
      <w:r>
        <w:rPr>
          <w:rFonts w:hint="cs"/>
          <w:rtl/>
        </w:rPr>
        <w:t xml:space="preserve">וכתב </w:t>
      </w:r>
      <w:r w:rsidRPr="008D1B15">
        <w:rPr>
          <w:rStyle w:val="af9"/>
          <w:rFonts w:hint="cs"/>
          <w:rtl/>
        </w:rPr>
        <w:t>הברכ"ש</w:t>
      </w:r>
      <w:r>
        <w:rPr>
          <w:rFonts w:hint="cs"/>
          <w:rtl/>
        </w:rPr>
        <w:t xml:space="preserve"> </w:t>
      </w:r>
      <w:r w:rsidRPr="00826034">
        <w:rPr>
          <w:rStyle w:val="af7"/>
          <w:rFonts w:eastAsia="Guttman Hodes" w:hint="cs"/>
          <w:rtl/>
        </w:rPr>
        <w:t>(סי' כ"ח או' ג')</w:t>
      </w:r>
      <w:r>
        <w:rPr>
          <w:rFonts w:hint="cs"/>
          <w:rtl/>
        </w:rPr>
        <w:t xml:space="preserve"> דבטענת קמי דידי זבנה מינך, המחזיק עצמו נעשה הבע"ד, ויש לו דין טענינן דהב"ד טוענים למחזיק עצמו, ולכן אף שהמחזיק אינו נאמן במיגו, מ"מ מדין טענינן מהני לו המיגו של המוכר</w:t>
      </w:r>
      <w:bookmarkEnd w:id="10885"/>
      <w:r>
        <w:rPr>
          <w:rFonts w:hint="cs"/>
          <w:rtl/>
        </w:rPr>
        <w:t>.</w:t>
      </w:r>
      <w:r w:rsidRPr="003E1ECC">
        <w:rPr>
          <w:rFonts w:hint="cs"/>
          <w:rtl/>
        </w:rPr>
        <w:t xml:space="preserve"> </w:t>
      </w:r>
      <w:r w:rsidRPr="003E1ECC">
        <w:rPr>
          <w:rStyle w:val="afb"/>
          <w:rFonts w:hint="cs"/>
          <w:rtl/>
        </w:rPr>
        <w:t xml:space="preserve">[ועי' במ"ש </w:t>
      </w:r>
      <w:r w:rsidRPr="003E1ECC">
        <w:rPr>
          <w:rStyle w:val="affa"/>
          <w:rFonts w:hint="cs"/>
          <w:rtl/>
        </w:rPr>
        <w:t>הברכ"ש</w:t>
      </w:r>
      <w:r w:rsidRPr="003E1ECC">
        <w:rPr>
          <w:rStyle w:val="afb"/>
          <w:rFonts w:hint="cs"/>
          <w:rtl/>
        </w:rPr>
        <w:t xml:space="preserve"> </w:t>
      </w:r>
      <w:r w:rsidRPr="003E1ECC">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Ref60654959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צ)</w:t>
      </w:r>
      <w:r>
        <w:rPr>
          <w:rStyle w:val="aff6"/>
          <w:rtl/>
        </w:rPr>
        <w:fldChar w:fldCharType="end"/>
      </w:r>
      <w:r>
        <w:rPr>
          <w:rStyle w:val="aff6"/>
          <w:rFonts w:hint="cs"/>
          <w:rtl/>
        </w:rPr>
        <w:t xml:space="preserve"> </w:t>
      </w:r>
      <w:r w:rsidRPr="003E1ECC">
        <w:rPr>
          <w:rStyle w:val="afb"/>
          <w:rFonts w:hint="cs"/>
          <w:rtl/>
        </w:rPr>
        <w:t xml:space="preserve">דנעשה </w:t>
      </w:r>
      <w:r>
        <w:rPr>
          <w:rStyle w:val="afb"/>
          <w:rFonts w:hint="cs"/>
          <w:rtl/>
        </w:rPr>
        <w:t>מוחזק בטענתו</w:t>
      </w:r>
      <w:r w:rsidRPr="003E1ECC">
        <w:rPr>
          <w:rStyle w:val="afb"/>
          <w:rFonts w:hint="cs"/>
          <w:rtl/>
        </w:rPr>
        <w:t>].</w:t>
      </w:r>
    </w:p>
    <w:p w:rsidR="006A4297" w:rsidRDefault="006A4297" w:rsidP="006A4297">
      <w:pPr>
        <w:pStyle w:val="a3"/>
        <w:rPr>
          <w:rtl/>
        </w:rPr>
      </w:pPr>
      <w:bookmarkStart w:id="10886" w:name="_Toc60678300"/>
      <w:r>
        <w:rPr>
          <w:rFonts w:hint="cs"/>
          <w:rtl/>
        </w:rPr>
        <w:t>ביאור הברכ"ש דבעידי חד יומא המוכר בע"ד וטענינן עבור המוכר וע"י המוכר זוכה המחזיק</w:t>
      </w:r>
      <w:bookmarkEnd w:id="10886"/>
    </w:p>
    <w:p w:rsidR="006A4297" w:rsidRDefault="006A4297" w:rsidP="007E4E81">
      <w:pPr>
        <w:pStyle w:val="a0"/>
        <w:rPr>
          <w:rtl/>
        </w:rPr>
      </w:pPr>
      <w:r>
        <w:rPr>
          <w:rFonts w:hint="cs"/>
          <w:rtl/>
        </w:rPr>
        <w:t xml:space="preserve">ובמקום שהביא המחזיק עדים דדר בה המוכר חד יומא, כתב </w:t>
      </w:r>
      <w:r w:rsidRPr="008D1B15">
        <w:rPr>
          <w:rStyle w:val="af9"/>
          <w:rFonts w:hint="cs"/>
          <w:rtl/>
        </w:rPr>
        <w:t>הברכ"ש</w:t>
      </w:r>
      <w:r>
        <w:rPr>
          <w:rFonts w:hint="cs"/>
          <w:rtl/>
        </w:rPr>
        <w:t xml:space="preserve"> דכיון שיש רגלים לדבר שהמוכר קנה מהמערער,</w:t>
      </w:r>
      <w:r w:rsidRPr="00AE43CC">
        <w:rPr>
          <w:rFonts w:hint="cs"/>
          <w:rtl/>
        </w:rPr>
        <w:t xml:space="preserve"> </w:t>
      </w:r>
      <w:r>
        <w:rPr>
          <w:rFonts w:hint="cs"/>
          <w:rtl/>
        </w:rPr>
        <w:t xml:space="preserve">הב"ד יכולים לטעון עבור המוכר, דהב"ד רואים את המוכר בקרקע, </w:t>
      </w:r>
      <w:r w:rsidRPr="00907DB5">
        <w:rPr>
          <w:rStyle w:val="afb"/>
          <w:rFonts w:hint="cs"/>
          <w:rtl/>
        </w:rPr>
        <w:t xml:space="preserve">[כדביאר </w:t>
      </w:r>
      <w:r w:rsidRPr="00907DB5">
        <w:rPr>
          <w:rStyle w:val="affa"/>
          <w:rFonts w:hint="cs"/>
          <w:rtl/>
        </w:rPr>
        <w:t>בחו"ש הגרב"ב</w:t>
      </w:r>
      <w:r w:rsidRPr="00907DB5">
        <w:rPr>
          <w:rStyle w:val="afb"/>
          <w:rFonts w:hint="cs"/>
          <w:rtl/>
        </w:rPr>
        <w:t xml:space="preserve"> </w:t>
      </w:r>
      <w:r w:rsidRPr="00907DB5">
        <w:rPr>
          <w:rStyle w:val="aff6"/>
          <w:rFonts w:hint="cs"/>
          <w:rtl/>
        </w:rPr>
        <w:t xml:space="preserve">(עי' אות </w:t>
      </w:r>
      <w:r w:rsidRPr="00907DB5">
        <w:rPr>
          <w:rStyle w:val="aff6"/>
          <w:rtl/>
        </w:rPr>
        <w:fldChar w:fldCharType="begin"/>
      </w:r>
      <w:r w:rsidRPr="00907DB5">
        <w:rPr>
          <w:rStyle w:val="aff6"/>
          <w:rtl/>
        </w:rPr>
        <w:instrText xml:space="preserve"> </w:instrText>
      </w:r>
      <w:r w:rsidRPr="00907DB5">
        <w:rPr>
          <w:rStyle w:val="aff6"/>
          <w:rFonts w:hint="cs"/>
        </w:rPr>
        <w:instrText>REF</w:instrText>
      </w:r>
      <w:r w:rsidRPr="00907DB5">
        <w:rPr>
          <w:rStyle w:val="aff6"/>
          <w:rFonts w:hint="cs"/>
          <w:rtl/>
        </w:rPr>
        <w:instrText xml:space="preserve"> _</w:instrText>
      </w:r>
      <w:r w:rsidRPr="00907DB5">
        <w:rPr>
          <w:rStyle w:val="aff6"/>
          <w:rFonts w:hint="cs"/>
        </w:rPr>
        <w:instrText>Ref60653711 \r \h</w:instrText>
      </w:r>
      <w:r w:rsidRPr="00907DB5">
        <w:rPr>
          <w:rStyle w:val="aff6"/>
          <w:rtl/>
        </w:rPr>
        <w:instrText xml:space="preserve"> </w:instrText>
      </w:r>
      <w:r w:rsidRPr="00907DB5">
        <w:rPr>
          <w:rStyle w:val="aff6"/>
          <w:rtl/>
        </w:rPr>
      </w:r>
      <w:r w:rsidRPr="00907DB5">
        <w:rPr>
          <w:rStyle w:val="aff6"/>
          <w:rtl/>
        </w:rPr>
        <w:fldChar w:fldCharType="separate"/>
      </w:r>
      <w:r w:rsidR="00265073">
        <w:rPr>
          <w:rStyle w:val="aff6"/>
          <w:cs/>
        </w:rPr>
        <w:t>‎</w:t>
      </w:r>
      <w:r w:rsidR="00265073">
        <w:rPr>
          <w:rStyle w:val="aff6"/>
          <w:rtl/>
        </w:rPr>
        <w:t>צה)</w:t>
      </w:r>
      <w:r w:rsidRPr="00907DB5">
        <w:rPr>
          <w:rStyle w:val="aff6"/>
          <w:rtl/>
        </w:rPr>
        <w:fldChar w:fldCharType="end"/>
      </w:r>
      <w:r w:rsidRPr="00907DB5">
        <w:rPr>
          <w:rStyle w:val="afb"/>
          <w:rFonts w:hint="cs"/>
          <w:rtl/>
        </w:rPr>
        <w:t>],</w:t>
      </w:r>
      <w:r>
        <w:rPr>
          <w:rFonts w:hint="cs"/>
          <w:rtl/>
        </w:rPr>
        <w:t xml:space="preserve"> ואף שהמחזיק עצמו אינו יכול לזכות ע"י הטענינן, מ"מ הוא יכול לזכות ע"י דטענינן למוכר שהוא הבע"ד.</w:t>
      </w:r>
    </w:p>
    <w:p w:rsidR="006A4297" w:rsidRPr="00D0597E" w:rsidRDefault="006A4297" w:rsidP="006A4297">
      <w:pPr>
        <w:pStyle w:val="1"/>
        <w:rPr>
          <w:rtl/>
        </w:rPr>
      </w:pPr>
      <w:bookmarkStart w:id="10887" w:name="_Toc60678301"/>
      <w:r>
        <w:rPr>
          <w:rFonts w:hint="cs"/>
          <w:rtl/>
        </w:rPr>
        <w:t>בי' הברכ"ש דלר"י בטענת חד יומא לא טענינן עבור המוכר</w:t>
      </w:r>
      <w:bookmarkEnd w:id="10887"/>
    </w:p>
    <w:p w:rsidR="006A4297" w:rsidRDefault="006A4297" w:rsidP="006A4297">
      <w:pPr>
        <w:pStyle w:val="a3"/>
        <w:rPr>
          <w:rtl/>
        </w:rPr>
      </w:pPr>
      <w:bookmarkStart w:id="10888" w:name="_Toc60678302"/>
      <w:r>
        <w:rPr>
          <w:rFonts w:hint="cs"/>
          <w:rtl/>
        </w:rPr>
        <w:t>ביאור הברכ"ש דלר"י אין המחזיק נעשה בע"ד ואין ב"ד יכולים לטעון למוכר דלא ראוהו בקרקע</w:t>
      </w:r>
      <w:bookmarkEnd w:id="10888"/>
    </w:p>
    <w:p w:rsidR="006A4297" w:rsidRPr="003E1ECC" w:rsidRDefault="006A4297" w:rsidP="007E4E81">
      <w:pPr>
        <w:pStyle w:val="a0"/>
        <w:rPr>
          <w:rStyle w:val="afb"/>
          <w:rtl/>
        </w:rPr>
      </w:pPr>
      <w:bookmarkStart w:id="10889" w:name="_Ref60654888"/>
      <w:bookmarkStart w:id="10890" w:name="_Ref60655752"/>
      <w:r>
        <w:rPr>
          <w:rFonts w:hint="cs"/>
          <w:rtl/>
        </w:rPr>
        <w:t>אבל בטענת קמי דידי דר בה חד יומא,</w:t>
      </w:r>
      <w:r w:rsidRPr="00480DD0">
        <w:rPr>
          <w:rFonts w:hint="cs"/>
          <w:rtl/>
        </w:rPr>
        <w:t xml:space="preserve"> </w:t>
      </w:r>
      <w:r>
        <w:rPr>
          <w:rFonts w:hint="cs"/>
          <w:rtl/>
        </w:rPr>
        <w:t xml:space="preserve">כתב </w:t>
      </w:r>
      <w:r w:rsidRPr="008D1B15">
        <w:rPr>
          <w:rStyle w:val="af9"/>
          <w:rFonts w:hint="cs"/>
          <w:rtl/>
        </w:rPr>
        <w:t>הברכ"ש</w:t>
      </w:r>
      <w:r>
        <w:rPr>
          <w:rFonts w:hint="cs"/>
          <w:rtl/>
        </w:rPr>
        <w:t xml:space="preserve"> </w:t>
      </w:r>
      <w:r w:rsidRPr="00826034">
        <w:rPr>
          <w:rStyle w:val="af7"/>
          <w:rFonts w:eastAsia="Guttman Hodes" w:hint="cs"/>
          <w:rtl/>
        </w:rPr>
        <w:t>(סי' כ"ח או' ג')</w:t>
      </w:r>
      <w:r>
        <w:rPr>
          <w:rFonts w:hint="cs"/>
          <w:rtl/>
        </w:rPr>
        <w:t xml:space="preserve"> דלדעת </w:t>
      </w:r>
      <w:r w:rsidRPr="00893CF5">
        <w:rPr>
          <w:rStyle w:val="af9"/>
          <w:rFonts w:hint="cs"/>
          <w:rtl/>
        </w:rPr>
        <w:t>ר"י</w:t>
      </w:r>
      <w:r>
        <w:rPr>
          <w:rFonts w:hint="cs"/>
          <w:rtl/>
        </w:rPr>
        <w:t xml:space="preserve"> </w:t>
      </w:r>
      <w:r w:rsidRPr="000773E2">
        <w:rPr>
          <w:rStyle w:val="af7"/>
          <w:rFonts w:eastAsia="Guttman Hodes" w:hint="cs"/>
          <w:rtl/>
        </w:rPr>
        <w:t xml:space="preserve">(עי' אות </w:t>
      </w:r>
      <w:r w:rsidRPr="000773E2">
        <w:rPr>
          <w:rStyle w:val="af7"/>
          <w:rFonts w:eastAsia="Guttman Hodes"/>
          <w:rtl/>
        </w:rPr>
        <w:fldChar w:fldCharType="begin"/>
      </w:r>
      <w:r w:rsidRPr="000773E2">
        <w:rPr>
          <w:rStyle w:val="af7"/>
          <w:rFonts w:eastAsia="Guttman Hodes"/>
          <w:rtl/>
        </w:rPr>
        <w:instrText xml:space="preserve"> </w:instrText>
      </w:r>
      <w:r w:rsidRPr="000773E2">
        <w:rPr>
          <w:rStyle w:val="af7"/>
          <w:rFonts w:eastAsia="Guttman Hodes" w:hint="cs"/>
        </w:rPr>
        <w:instrText>REF</w:instrText>
      </w:r>
      <w:r w:rsidRPr="000773E2">
        <w:rPr>
          <w:rStyle w:val="af7"/>
          <w:rFonts w:eastAsia="Guttman Hodes" w:hint="cs"/>
          <w:rtl/>
        </w:rPr>
        <w:instrText xml:space="preserve"> _</w:instrText>
      </w:r>
      <w:r w:rsidRPr="000773E2">
        <w:rPr>
          <w:rStyle w:val="af7"/>
          <w:rFonts w:eastAsia="Guttman Hodes" w:hint="cs"/>
        </w:rPr>
        <w:instrText>Ref60640954 \r \h</w:instrText>
      </w:r>
      <w:r w:rsidRPr="000773E2">
        <w:rPr>
          <w:rStyle w:val="af7"/>
          <w:rFonts w:eastAsia="Guttman Hodes"/>
          <w:rtl/>
        </w:rPr>
        <w:instrText xml:space="preserve"> </w:instrText>
      </w:r>
      <w:r w:rsidRPr="000773E2">
        <w:rPr>
          <w:rStyle w:val="af7"/>
          <w:rFonts w:eastAsia="Guttman Hodes"/>
          <w:rtl/>
        </w:rPr>
      </w:r>
      <w:r w:rsidRPr="000773E2">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0773E2">
        <w:rPr>
          <w:rStyle w:val="af7"/>
          <w:rFonts w:eastAsia="Guttman Hodes"/>
          <w:rtl/>
        </w:rPr>
        <w:fldChar w:fldCharType="end"/>
      </w:r>
      <w:r>
        <w:rPr>
          <w:rStyle w:val="af7"/>
          <w:rFonts w:eastAsia="Guttman Hodes" w:hint="cs"/>
          <w:rtl/>
        </w:rPr>
        <w:t xml:space="preserve"> </w:t>
      </w:r>
      <w:r>
        <w:rPr>
          <w:rFonts w:hint="cs"/>
          <w:rtl/>
        </w:rPr>
        <w:t>כיון דאינו נעשה בע"ד,</w:t>
      </w:r>
      <w:r w:rsidRPr="00480DD0">
        <w:rPr>
          <w:rFonts w:hint="cs"/>
          <w:rtl/>
        </w:rPr>
        <w:t xml:space="preserve"> </w:t>
      </w:r>
      <w:r>
        <w:rPr>
          <w:rFonts w:hint="cs"/>
          <w:rtl/>
        </w:rPr>
        <w:t>ואין רגלים לדבר שהייתה של המוכר, ואין הב"ד רואים את המוכר בקרקע, א"כ אין הב"ד יכולים לטעון עבור המוכר, ועבור המחזיק אין דין טענינן, כיון שאינו בע"ד</w:t>
      </w:r>
      <w:bookmarkEnd w:id="10889"/>
      <w:r>
        <w:rPr>
          <w:rFonts w:hint="cs"/>
          <w:rtl/>
        </w:rPr>
        <w:t>.</w:t>
      </w:r>
      <w:r w:rsidRPr="003E1ECC">
        <w:rPr>
          <w:rFonts w:hint="cs"/>
          <w:rtl/>
        </w:rPr>
        <w:t xml:space="preserve"> </w:t>
      </w:r>
      <w:r w:rsidRPr="003E1ECC">
        <w:rPr>
          <w:rStyle w:val="afb"/>
          <w:rFonts w:hint="cs"/>
          <w:rtl/>
        </w:rPr>
        <w:t xml:space="preserve">[ועי' במ"ש </w:t>
      </w:r>
      <w:r w:rsidRPr="003E1ECC">
        <w:rPr>
          <w:rStyle w:val="affa"/>
          <w:rFonts w:hint="cs"/>
          <w:rtl/>
        </w:rPr>
        <w:t>הברכ"ש</w:t>
      </w:r>
      <w:r w:rsidRPr="003E1ECC">
        <w:rPr>
          <w:rStyle w:val="afb"/>
          <w:rFonts w:hint="cs"/>
          <w:rtl/>
        </w:rPr>
        <w:t xml:space="preserve"> </w:t>
      </w:r>
      <w:r w:rsidRPr="003E1ECC">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Ref60655010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צא)</w:t>
      </w:r>
      <w:r>
        <w:rPr>
          <w:rStyle w:val="aff6"/>
          <w:rtl/>
        </w:rPr>
        <w:fldChar w:fldCharType="end"/>
      </w:r>
      <w:r>
        <w:rPr>
          <w:rStyle w:val="aff6"/>
          <w:rFonts w:hint="cs"/>
          <w:rtl/>
        </w:rPr>
        <w:t xml:space="preserve"> </w:t>
      </w:r>
      <w:r>
        <w:rPr>
          <w:rStyle w:val="afb"/>
          <w:rFonts w:hint="cs"/>
          <w:rtl/>
        </w:rPr>
        <w:t>דאינו טוען מצד עצמו, וא"א לתת לו מוחזקות ע"י המיגו</w:t>
      </w:r>
      <w:r w:rsidRPr="003E1ECC">
        <w:rPr>
          <w:rStyle w:val="afb"/>
          <w:rFonts w:hint="cs"/>
          <w:rtl/>
        </w:rPr>
        <w:t>].</w:t>
      </w:r>
      <w:bookmarkEnd w:id="10890"/>
    </w:p>
    <w:p w:rsidR="006A4297" w:rsidRPr="00B57EA3" w:rsidRDefault="006A4297" w:rsidP="006A4297">
      <w:pPr>
        <w:pStyle w:val="a3"/>
      </w:pPr>
      <w:bookmarkStart w:id="10891" w:name="_Toc60678303"/>
      <w:r>
        <w:rPr>
          <w:rFonts w:hint="cs"/>
          <w:rtl/>
        </w:rPr>
        <w:t>ביאור הברכ"ש דהמיגו מהני רק מדין טענה ואינו מועיל לטענת ב"ד דצריך שיראו בעצמם</w:t>
      </w:r>
      <w:bookmarkEnd w:id="10891"/>
    </w:p>
    <w:p w:rsidR="006A4297" w:rsidRDefault="006A4297" w:rsidP="007E4E81">
      <w:pPr>
        <w:pStyle w:val="a0"/>
        <w:rPr>
          <w:rtl/>
        </w:rPr>
      </w:pPr>
      <w:r>
        <w:rPr>
          <w:rFonts w:hint="cs"/>
          <w:rtl/>
        </w:rPr>
        <w:t xml:space="preserve">וביאר </w:t>
      </w:r>
      <w:r w:rsidRPr="00B57EA3">
        <w:rPr>
          <w:rStyle w:val="af9"/>
          <w:rFonts w:hint="cs"/>
          <w:rtl/>
        </w:rPr>
        <w:t>הברכ"ש</w:t>
      </w:r>
      <w:r>
        <w:rPr>
          <w:rFonts w:hint="cs"/>
          <w:rtl/>
        </w:rPr>
        <w:t xml:space="preserve"> דאעפ"י שיש לו מיגו, מ"מ אין המיגו מועיל למחזיק, דהא דמהני המיגו דהוא נאמן לומר דהמוכר דר בקרקע, </w:t>
      </w:r>
      <w:r>
        <w:rPr>
          <w:rFonts w:hint="cs"/>
          <w:rtl/>
        </w:rPr>
        <w:t xml:space="preserve">היינו רק מדין טענה, אך כלפי הב"ד לא מהני המיגו כלל, דבכדי שיטענו לו הב"ד צריך שהב"ד יראו בעצמם את המוכר בקרקע, ועי' במה שהוסיף </w:t>
      </w:r>
      <w:r w:rsidRPr="008D1B15">
        <w:rPr>
          <w:rStyle w:val="af9"/>
          <w:rFonts w:hint="cs"/>
          <w:rtl/>
        </w:rPr>
        <w:t>בחו"ש הגרב"ב</w:t>
      </w:r>
      <w:r>
        <w:rPr>
          <w:rFonts w:hint="cs"/>
          <w:rtl/>
        </w:rPr>
        <w:t xml:space="preserve"> </w:t>
      </w:r>
      <w:r w:rsidRPr="003865F3">
        <w:rPr>
          <w:rStyle w:val="af7"/>
          <w:rFonts w:eastAsia="Guttman Hodes" w:hint="cs"/>
          <w:rtl/>
        </w:rPr>
        <w:t xml:space="preserve">(עי' אות </w:t>
      </w:r>
      <w:r w:rsidRPr="003865F3">
        <w:rPr>
          <w:rStyle w:val="af7"/>
          <w:rFonts w:eastAsia="Guttman Hodes"/>
          <w:rtl/>
        </w:rPr>
        <w:fldChar w:fldCharType="begin"/>
      </w:r>
      <w:r w:rsidRPr="003865F3">
        <w:rPr>
          <w:rStyle w:val="af7"/>
          <w:rFonts w:eastAsia="Guttman Hodes"/>
          <w:rtl/>
        </w:rPr>
        <w:instrText xml:space="preserve"> </w:instrText>
      </w:r>
      <w:r w:rsidRPr="003865F3">
        <w:rPr>
          <w:rStyle w:val="af7"/>
          <w:rFonts w:eastAsia="Guttman Hodes" w:hint="cs"/>
        </w:rPr>
        <w:instrText>REF</w:instrText>
      </w:r>
      <w:r w:rsidRPr="003865F3">
        <w:rPr>
          <w:rStyle w:val="af7"/>
          <w:rFonts w:eastAsia="Guttman Hodes" w:hint="cs"/>
          <w:rtl/>
        </w:rPr>
        <w:instrText xml:space="preserve"> _</w:instrText>
      </w:r>
      <w:r w:rsidRPr="003865F3">
        <w:rPr>
          <w:rStyle w:val="af7"/>
          <w:rFonts w:eastAsia="Guttman Hodes" w:hint="cs"/>
        </w:rPr>
        <w:instrText>Ref60655888 \r \h</w:instrText>
      </w:r>
      <w:r w:rsidRPr="003865F3">
        <w:rPr>
          <w:rStyle w:val="af7"/>
          <w:rFonts w:eastAsia="Guttman Hodes"/>
          <w:rtl/>
        </w:rPr>
        <w:instrText xml:space="preserve"> </w:instrText>
      </w:r>
      <w:r w:rsidRPr="003865F3">
        <w:rPr>
          <w:rStyle w:val="af7"/>
          <w:rFonts w:eastAsia="Guttman Hodes"/>
          <w:rtl/>
        </w:rPr>
      </w:r>
      <w:r w:rsidRPr="003865F3">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3865F3">
        <w:rPr>
          <w:rStyle w:val="af7"/>
          <w:rFonts w:eastAsia="Guttman Hodes"/>
          <w:rtl/>
        </w:rPr>
        <w:fldChar w:fldCharType="end"/>
      </w:r>
      <w:r>
        <w:rPr>
          <w:rFonts w:hint="cs"/>
          <w:rtl/>
        </w:rPr>
        <w:t xml:space="preserve"> בדברי </w:t>
      </w:r>
      <w:r w:rsidRPr="008D1B15">
        <w:rPr>
          <w:rStyle w:val="af9"/>
          <w:rFonts w:hint="cs"/>
          <w:rtl/>
        </w:rPr>
        <w:t>הראשונים</w:t>
      </w:r>
      <w:r>
        <w:rPr>
          <w:rFonts w:hint="cs"/>
          <w:rtl/>
        </w:rPr>
        <w:t>.</w:t>
      </w:r>
    </w:p>
    <w:p w:rsidR="006A4297" w:rsidRDefault="006A4297" w:rsidP="006A4297">
      <w:pPr>
        <w:pStyle w:val="1"/>
        <w:rPr>
          <w:rtl/>
        </w:rPr>
      </w:pPr>
      <w:bookmarkStart w:id="10892" w:name="_Toc60678304"/>
      <w:r>
        <w:rPr>
          <w:rFonts w:hint="cs"/>
          <w:rtl/>
        </w:rPr>
        <w:t>ביאור הברכ"ש ברשב"א דטענינן רק כשנעשה מוחזק בטענתו</w:t>
      </w:r>
      <w:bookmarkEnd w:id="10892"/>
    </w:p>
    <w:p w:rsidR="006A4297" w:rsidRDefault="006A4297" w:rsidP="006A4297">
      <w:pPr>
        <w:pStyle w:val="a3"/>
      </w:pPr>
      <w:bookmarkStart w:id="10893" w:name="_Toc60678305"/>
      <w:r>
        <w:rPr>
          <w:rFonts w:hint="cs"/>
          <w:rtl/>
        </w:rPr>
        <w:t>ביאור הברכ"ש ברשב"א דנאמנות המיגו היא לטענה אבל לטענינן צריך שיראו אותו בקרקע</w:t>
      </w:r>
      <w:bookmarkEnd w:id="10893"/>
    </w:p>
    <w:p w:rsidR="006A4297" w:rsidRDefault="006A4297" w:rsidP="007E4E81">
      <w:pPr>
        <w:pStyle w:val="a0"/>
        <w:rPr>
          <w:rtl/>
        </w:rPr>
      </w:pPr>
      <w:bookmarkStart w:id="10894" w:name="_Ref60654265"/>
      <w:r>
        <w:rPr>
          <w:rFonts w:hint="cs"/>
          <w:rtl/>
        </w:rPr>
        <w:t xml:space="preserve">וכן ביאר </w:t>
      </w:r>
      <w:r w:rsidRPr="006469B7">
        <w:rPr>
          <w:rStyle w:val="af9"/>
          <w:rFonts w:hint="cs"/>
          <w:rtl/>
        </w:rPr>
        <w:t>הברכ"ש</w:t>
      </w:r>
      <w:r>
        <w:rPr>
          <w:rFonts w:hint="cs"/>
          <w:rtl/>
        </w:rPr>
        <w:t xml:space="preserve"> </w:t>
      </w:r>
      <w:r w:rsidRPr="006469B7">
        <w:rPr>
          <w:rStyle w:val="af7"/>
          <w:rFonts w:eastAsia="Guttman Hodes" w:hint="cs"/>
          <w:rtl/>
        </w:rPr>
        <w:t>(סי' כ"ז או' ב' ד"ה ונראה)</w:t>
      </w:r>
      <w:r>
        <w:rPr>
          <w:rStyle w:val="af7"/>
          <w:rFonts w:eastAsia="Guttman Hodes" w:hint="cs"/>
          <w:rtl/>
        </w:rPr>
        <w:t xml:space="preserve"> </w:t>
      </w:r>
      <w:r>
        <w:rPr>
          <w:rFonts w:hint="cs"/>
          <w:rtl/>
        </w:rPr>
        <w:t xml:space="preserve">בדברי </w:t>
      </w:r>
      <w:r w:rsidRPr="006469B7">
        <w:rPr>
          <w:rStyle w:val="af9"/>
          <w:rFonts w:hint="cs"/>
          <w:rtl/>
        </w:rPr>
        <w:t>הרשב"א לקמן</w:t>
      </w:r>
      <w:r>
        <w:rPr>
          <w:rFonts w:hint="cs"/>
          <w:rtl/>
        </w:rPr>
        <w:t xml:space="preserve"> </w:t>
      </w:r>
      <w:r w:rsidRPr="004A243F">
        <w:rPr>
          <w:rStyle w:val="af7"/>
          <w:rFonts w:eastAsia="Guttman Hodes" w:hint="cs"/>
          <w:rtl/>
        </w:rPr>
        <w:t xml:space="preserve">(עי' אות </w:t>
      </w:r>
      <w:r w:rsidRPr="004A243F">
        <w:rPr>
          <w:rStyle w:val="af7"/>
          <w:rFonts w:eastAsia="Guttman Hodes"/>
          <w:rtl/>
        </w:rPr>
        <w:fldChar w:fldCharType="begin"/>
      </w:r>
      <w:r w:rsidRPr="004A243F">
        <w:rPr>
          <w:rStyle w:val="af7"/>
          <w:rFonts w:eastAsia="Guttman Hodes"/>
          <w:rtl/>
        </w:rPr>
        <w:instrText xml:space="preserve"> </w:instrText>
      </w:r>
      <w:r w:rsidRPr="004A243F">
        <w:rPr>
          <w:rStyle w:val="af7"/>
          <w:rFonts w:eastAsia="Guttman Hodes" w:hint="cs"/>
        </w:rPr>
        <w:instrText>REF</w:instrText>
      </w:r>
      <w:r w:rsidRPr="004A243F">
        <w:rPr>
          <w:rStyle w:val="af7"/>
          <w:rFonts w:eastAsia="Guttman Hodes" w:hint="cs"/>
          <w:rtl/>
        </w:rPr>
        <w:instrText xml:space="preserve"> _</w:instrText>
      </w:r>
      <w:r w:rsidRPr="004A243F">
        <w:rPr>
          <w:rStyle w:val="af7"/>
          <w:rFonts w:eastAsia="Guttman Hodes" w:hint="cs"/>
        </w:rPr>
        <w:instrText>Ref60654221 \r \h</w:instrText>
      </w:r>
      <w:r w:rsidRPr="004A243F">
        <w:rPr>
          <w:rStyle w:val="af7"/>
          <w:rFonts w:eastAsia="Guttman Hodes"/>
          <w:rtl/>
        </w:rPr>
        <w:instrText xml:space="preserve"> </w:instrText>
      </w:r>
      <w:r w:rsidRPr="004A243F">
        <w:rPr>
          <w:rStyle w:val="af7"/>
          <w:rFonts w:eastAsia="Guttman Hodes"/>
          <w:rtl/>
        </w:rPr>
      </w:r>
      <w:r w:rsidRPr="004A243F">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4A243F">
        <w:rPr>
          <w:rStyle w:val="af7"/>
          <w:rFonts w:eastAsia="Guttman Hodes"/>
          <w:rtl/>
        </w:rPr>
        <w:fldChar w:fldCharType="end"/>
      </w:r>
      <w:r>
        <w:rPr>
          <w:rFonts w:hint="cs"/>
          <w:rtl/>
        </w:rPr>
        <w:t xml:space="preserve"> דכתב דבטענת קמי דידי דר בה חד יומא, אעפ"י שנאמן במיגו, מ"מ לא טענינן ליה, והיינו כיון דהנאמנות של המיגו היא כשהוא עצמו טוען את הטענה, אבל לענין טענה של ב"ד, כ"מ דאמרינן טענינן הוא כשיש לו עדים דדר בה המוכר חד יומא, דהב"ד רואים את המוכר בקרקע, </w:t>
      </w:r>
      <w:r w:rsidRPr="00907DB5">
        <w:rPr>
          <w:rStyle w:val="afb"/>
          <w:rFonts w:hint="cs"/>
          <w:rtl/>
        </w:rPr>
        <w:t xml:space="preserve">[כדביאר </w:t>
      </w:r>
      <w:r w:rsidRPr="00907DB5">
        <w:rPr>
          <w:rStyle w:val="affa"/>
          <w:rFonts w:hint="cs"/>
          <w:rtl/>
        </w:rPr>
        <w:t>בחו"ש הגרב"ב</w:t>
      </w:r>
      <w:r w:rsidRPr="00907DB5">
        <w:rPr>
          <w:rStyle w:val="afb"/>
          <w:rFonts w:hint="cs"/>
          <w:rtl/>
        </w:rPr>
        <w:t xml:space="preserve"> </w:t>
      </w:r>
      <w:r w:rsidRPr="00907DB5">
        <w:rPr>
          <w:rStyle w:val="aff6"/>
          <w:rFonts w:hint="cs"/>
          <w:rtl/>
        </w:rPr>
        <w:t xml:space="preserve">(עי' אות </w:t>
      </w:r>
      <w:r w:rsidRPr="00907DB5">
        <w:rPr>
          <w:rStyle w:val="aff6"/>
          <w:rtl/>
        </w:rPr>
        <w:fldChar w:fldCharType="begin"/>
      </w:r>
      <w:r w:rsidRPr="00907DB5">
        <w:rPr>
          <w:rStyle w:val="aff6"/>
          <w:rtl/>
        </w:rPr>
        <w:instrText xml:space="preserve"> </w:instrText>
      </w:r>
      <w:r w:rsidRPr="00907DB5">
        <w:rPr>
          <w:rStyle w:val="aff6"/>
          <w:rFonts w:hint="cs"/>
        </w:rPr>
        <w:instrText>REF</w:instrText>
      </w:r>
      <w:r w:rsidRPr="00907DB5">
        <w:rPr>
          <w:rStyle w:val="aff6"/>
          <w:rFonts w:hint="cs"/>
          <w:rtl/>
        </w:rPr>
        <w:instrText xml:space="preserve"> _</w:instrText>
      </w:r>
      <w:r w:rsidRPr="00907DB5">
        <w:rPr>
          <w:rStyle w:val="aff6"/>
          <w:rFonts w:hint="cs"/>
        </w:rPr>
        <w:instrText>Ref60653711 \r \h</w:instrText>
      </w:r>
      <w:r w:rsidRPr="00907DB5">
        <w:rPr>
          <w:rStyle w:val="aff6"/>
          <w:rtl/>
        </w:rPr>
        <w:instrText xml:space="preserve"> </w:instrText>
      </w:r>
      <w:r w:rsidRPr="00907DB5">
        <w:rPr>
          <w:rStyle w:val="aff6"/>
          <w:rtl/>
        </w:rPr>
      </w:r>
      <w:r w:rsidRPr="00907DB5">
        <w:rPr>
          <w:rStyle w:val="aff6"/>
          <w:rtl/>
        </w:rPr>
        <w:fldChar w:fldCharType="separate"/>
      </w:r>
      <w:r w:rsidR="00265073">
        <w:rPr>
          <w:rStyle w:val="aff6"/>
          <w:cs/>
        </w:rPr>
        <w:t>‎</w:t>
      </w:r>
      <w:r w:rsidR="00265073">
        <w:rPr>
          <w:rStyle w:val="aff6"/>
          <w:rtl/>
        </w:rPr>
        <w:t>צה)</w:t>
      </w:r>
      <w:r w:rsidRPr="00907DB5">
        <w:rPr>
          <w:rStyle w:val="aff6"/>
          <w:rtl/>
        </w:rPr>
        <w:fldChar w:fldCharType="end"/>
      </w:r>
      <w:r w:rsidRPr="00907DB5">
        <w:rPr>
          <w:rStyle w:val="afb"/>
          <w:rFonts w:hint="cs"/>
          <w:rtl/>
        </w:rPr>
        <w:t>],</w:t>
      </w:r>
      <w:r>
        <w:rPr>
          <w:rFonts w:hint="cs"/>
          <w:rtl/>
        </w:rPr>
        <w:t xml:space="preserve"> אבל כשיש לו מיגו ונאמן לומר שהמוכר דר בה חד יומא, אין הב"ד רואים את המוכר בקרקע, וחשיבא טענתו כטענת ספק, ולא טענינן מכח טענת ספק.</w:t>
      </w:r>
      <w:bookmarkEnd w:id="10894"/>
    </w:p>
    <w:p w:rsidR="006A4297" w:rsidRPr="00BF09F2" w:rsidRDefault="006A4297" w:rsidP="006A4297">
      <w:pPr>
        <w:pStyle w:val="a3"/>
        <w:rPr>
          <w:rtl/>
        </w:rPr>
      </w:pPr>
      <w:bookmarkStart w:id="10895" w:name="_Toc60678306"/>
      <w:r>
        <w:rPr>
          <w:rFonts w:hint="cs"/>
          <w:rtl/>
        </w:rPr>
        <w:t>ביאור הברכ"ש דבקמי דידי זבנה מינך דטוען בעצמו שהוא מוחזק ומהני מיגו דחזקתו גמורה</w:t>
      </w:r>
      <w:bookmarkEnd w:id="10895"/>
    </w:p>
    <w:p w:rsidR="006A4297" w:rsidRPr="003E1ECC" w:rsidRDefault="006A4297" w:rsidP="007E4E81">
      <w:pPr>
        <w:pStyle w:val="a0"/>
        <w:rPr>
          <w:rStyle w:val="afb"/>
          <w:rtl/>
        </w:rPr>
      </w:pPr>
      <w:bookmarkStart w:id="10896" w:name="_Ref60654959"/>
      <w:r>
        <w:rPr>
          <w:rFonts w:hint="cs"/>
          <w:rtl/>
        </w:rPr>
        <w:t xml:space="preserve">וכתב </w:t>
      </w:r>
      <w:r w:rsidRPr="006469B7">
        <w:rPr>
          <w:rStyle w:val="af9"/>
          <w:rFonts w:hint="cs"/>
          <w:rtl/>
        </w:rPr>
        <w:t>הברכ"ש</w:t>
      </w:r>
      <w:r>
        <w:rPr>
          <w:rFonts w:hint="cs"/>
          <w:rtl/>
        </w:rPr>
        <w:t xml:space="preserve"> דכשהוא טוען קמי דידי זבנה מינך, שהיא טענה מצד עצמו, כ"מ שהוא נאמן הוא כיון דלטענתו הוא המוחזק בקרקע, ולכן כשיש לו מיגו הוא נאמן לומר דחזקתו היא חזקה גמורה.</w:t>
      </w:r>
      <w:r w:rsidRPr="003E1ECC">
        <w:rPr>
          <w:rFonts w:hint="cs"/>
          <w:rtl/>
        </w:rPr>
        <w:t xml:space="preserve"> </w:t>
      </w:r>
      <w:r w:rsidRPr="003E1ECC">
        <w:rPr>
          <w:rStyle w:val="afb"/>
          <w:rFonts w:hint="cs"/>
          <w:rtl/>
        </w:rPr>
        <w:t xml:space="preserve">[ועי' במ"ש </w:t>
      </w:r>
      <w:r w:rsidRPr="003E1ECC">
        <w:rPr>
          <w:rStyle w:val="affa"/>
          <w:rFonts w:hint="cs"/>
          <w:rtl/>
        </w:rPr>
        <w:t>הברכ"ש</w:t>
      </w:r>
      <w:r w:rsidRPr="003E1ECC">
        <w:rPr>
          <w:rStyle w:val="afb"/>
          <w:rFonts w:hint="cs"/>
          <w:rtl/>
        </w:rPr>
        <w:t xml:space="preserve"> </w:t>
      </w:r>
      <w:r w:rsidRPr="003E1ECC">
        <w:rPr>
          <w:rStyle w:val="aff6"/>
          <w:rFonts w:hint="cs"/>
          <w:rtl/>
        </w:rPr>
        <w:t xml:space="preserve">(עי' אות </w:t>
      </w:r>
      <w:r w:rsidRPr="003E1ECC">
        <w:rPr>
          <w:rStyle w:val="aff6"/>
          <w:rtl/>
        </w:rPr>
        <w:fldChar w:fldCharType="begin"/>
      </w:r>
      <w:r w:rsidRPr="003E1ECC">
        <w:rPr>
          <w:rStyle w:val="aff6"/>
          <w:rtl/>
        </w:rPr>
        <w:instrText xml:space="preserve"> </w:instrText>
      </w:r>
      <w:r w:rsidRPr="003E1ECC">
        <w:rPr>
          <w:rStyle w:val="aff6"/>
          <w:rFonts w:hint="cs"/>
        </w:rPr>
        <w:instrText>REF</w:instrText>
      </w:r>
      <w:r w:rsidRPr="003E1ECC">
        <w:rPr>
          <w:rStyle w:val="aff6"/>
          <w:rFonts w:hint="cs"/>
          <w:rtl/>
        </w:rPr>
        <w:instrText xml:space="preserve"> _</w:instrText>
      </w:r>
      <w:r w:rsidRPr="003E1ECC">
        <w:rPr>
          <w:rStyle w:val="aff6"/>
          <w:rFonts w:hint="cs"/>
        </w:rPr>
        <w:instrText>Ref60654899 \r \h</w:instrText>
      </w:r>
      <w:r w:rsidRPr="003E1ECC">
        <w:rPr>
          <w:rStyle w:val="aff6"/>
          <w:rtl/>
        </w:rPr>
        <w:instrText xml:space="preserve"> </w:instrText>
      </w:r>
      <w:r w:rsidRPr="003E1ECC">
        <w:rPr>
          <w:rStyle w:val="aff6"/>
          <w:rtl/>
        </w:rPr>
      </w:r>
      <w:r w:rsidRPr="003E1ECC">
        <w:rPr>
          <w:rStyle w:val="aff6"/>
          <w:rtl/>
        </w:rPr>
        <w:fldChar w:fldCharType="separate"/>
      </w:r>
      <w:r w:rsidR="00265073">
        <w:rPr>
          <w:rStyle w:val="aff6"/>
          <w:cs/>
        </w:rPr>
        <w:t>‎</w:t>
      </w:r>
      <w:r w:rsidR="00265073">
        <w:rPr>
          <w:rStyle w:val="aff6"/>
          <w:rtl/>
        </w:rPr>
        <w:t>פה)</w:t>
      </w:r>
      <w:r w:rsidRPr="003E1ECC">
        <w:rPr>
          <w:rStyle w:val="aff6"/>
          <w:rtl/>
        </w:rPr>
        <w:fldChar w:fldCharType="end"/>
      </w:r>
      <w:r w:rsidRPr="003E1ECC">
        <w:rPr>
          <w:rStyle w:val="afb"/>
          <w:rFonts w:hint="cs"/>
          <w:rtl/>
        </w:rPr>
        <w:t xml:space="preserve"> דנעשה בע"ד].</w:t>
      </w:r>
      <w:bookmarkEnd w:id="10896"/>
    </w:p>
    <w:p w:rsidR="006A4297" w:rsidRPr="007C70BF" w:rsidRDefault="006A4297" w:rsidP="006A4297">
      <w:pPr>
        <w:pStyle w:val="a3"/>
      </w:pPr>
      <w:bookmarkStart w:id="10897" w:name="_Toc60678307"/>
      <w:r>
        <w:rPr>
          <w:rFonts w:hint="cs"/>
          <w:rtl/>
        </w:rPr>
        <w:t>ביאור הברכ"ש דבטענת חד יומא אינו טוען בעצמו ואינו נאמן במיגו שתהיה חזקה גמורה לעצמו</w:t>
      </w:r>
      <w:bookmarkEnd w:id="10897"/>
    </w:p>
    <w:p w:rsidR="006A4297" w:rsidRPr="003E1ECC" w:rsidRDefault="006A4297" w:rsidP="007E4E81">
      <w:pPr>
        <w:pStyle w:val="a0"/>
        <w:rPr>
          <w:rStyle w:val="afb"/>
        </w:rPr>
      </w:pPr>
      <w:bookmarkStart w:id="10898" w:name="_Ref60655010"/>
      <w:r>
        <w:rPr>
          <w:rFonts w:hint="cs"/>
          <w:rtl/>
        </w:rPr>
        <w:t xml:space="preserve">אבל בטענת קמי דידי דר בה חד יומא, ביאר </w:t>
      </w:r>
      <w:r w:rsidRPr="006469B7">
        <w:rPr>
          <w:rStyle w:val="af9"/>
          <w:rFonts w:hint="cs"/>
          <w:rtl/>
        </w:rPr>
        <w:t>הברכ"ש</w:t>
      </w:r>
      <w:r>
        <w:rPr>
          <w:rFonts w:hint="cs"/>
          <w:rtl/>
        </w:rPr>
        <w:t xml:space="preserve"> דאינו טוען מצד עצמו, א"כ א"א לתת לו נאמנות גמורה מכח המיגו, שעי"ז תהיה לו חזקה גמורה, דהרי בלי המוכר אין חזקתו חזקה. </w:t>
      </w:r>
      <w:r w:rsidRPr="003E1ECC">
        <w:rPr>
          <w:rStyle w:val="afb"/>
          <w:rFonts w:hint="cs"/>
          <w:rtl/>
        </w:rPr>
        <w:t xml:space="preserve">[ועי' במ"ש </w:t>
      </w:r>
      <w:r w:rsidRPr="003E1ECC">
        <w:rPr>
          <w:rStyle w:val="affa"/>
          <w:rFonts w:hint="cs"/>
          <w:rtl/>
        </w:rPr>
        <w:t>הברכ"ש</w:t>
      </w:r>
      <w:r w:rsidRPr="003E1ECC">
        <w:rPr>
          <w:rStyle w:val="afb"/>
          <w:rFonts w:hint="cs"/>
          <w:rtl/>
        </w:rPr>
        <w:t xml:space="preserve"> </w:t>
      </w:r>
      <w:r w:rsidRPr="003E1ECC">
        <w:rPr>
          <w:rStyle w:val="aff6"/>
          <w:rFonts w:hint="cs"/>
          <w:rtl/>
        </w:rPr>
        <w:t xml:space="preserve">(עי' אות </w:t>
      </w:r>
      <w:r w:rsidRPr="003E1ECC">
        <w:rPr>
          <w:rStyle w:val="aff6"/>
          <w:rtl/>
        </w:rPr>
        <w:fldChar w:fldCharType="begin"/>
      </w:r>
      <w:r w:rsidRPr="003E1ECC">
        <w:rPr>
          <w:rStyle w:val="aff6"/>
          <w:rtl/>
        </w:rPr>
        <w:instrText xml:space="preserve"> </w:instrText>
      </w:r>
      <w:r w:rsidRPr="003E1ECC">
        <w:rPr>
          <w:rStyle w:val="aff6"/>
          <w:rFonts w:hint="cs"/>
        </w:rPr>
        <w:instrText>REF</w:instrText>
      </w:r>
      <w:r w:rsidRPr="003E1ECC">
        <w:rPr>
          <w:rStyle w:val="aff6"/>
          <w:rFonts w:hint="cs"/>
          <w:rtl/>
        </w:rPr>
        <w:instrText xml:space="preserve"> _</w:instrText>
      </w:r>
      <w:r w:rsidRPr="003E1ECC">
        <w:rPr>
          <w:rStyle w:val="aff6"/>
          <w:rFonts w:hint="cs"/>
        </w:rPr>
        <w:instrText>Ref60654888 \r \h</w:instrText>
      </w:r>
      <w:r w:rsidRPr="003E1ECC">
        <w:rPr>
          <w:rStyle w:val="aff6"/>
          <w:rtl/>
        </w:rPr>
        <w:instrText xml:space="preserve"> </w:instrText>
      </w:r>
      <w:r w:rsidRPr="003E1ECC">
        <w:rPr>
          <w:rStyle w:val="aff6"/>
          <w:rtl/>
        </w:rPr>
      </w:r>
      <w:r w:rsidRPr="003E1ECC">
        <w:rPr>
          <w:rStyle w:val="aff6"/>
          <w:rtl/>
        </w:rPr>
        <w:fldChar w:fldCharType="separate"/>
      </w:r>
      <w:r w:rsidR="00265073">
        <w:rPr>
          <w:rStyle w:val="aff6"/>
          <w:cs/>
        </w:rPr>
        <w:t>‎</w:t>
      </w:r>
      <w:r w:rsidR="00265073">
        <w:rPr>
          <w:rStyle w:val="aff6"/>
          <w:rtl/>
        </w:rPr>
        <w:t>פז)</w:t>
      </w:r>
      <w:r w:rsidRPr="003E1ECC">
        <w:rPr>
          <w:rStyle w:val="aff6"/>
          <w:rtl/>
        </w:rPr>
        <w:fldChar w:fldCharType="end"/>
      </w:r>
      <w:r w:rsidRPr="003E1ECC">
        <w:rPr>
          <w:rStyle w:val="afb"/>
          <w:rFonts w:hint="cs"/>
          <w:rtl/>
        </w:rPr>
        <w:t xml:space="preserve"> דאינו נעשה בע"ד].</w:t>
      </w:r>
      <w:bookmarkEnd w:id="10898"/>
    </w:p>
    <w:p w:rsidR="006A4297" w:rsidRPr="00A85F3B" w:rsidRDefault="006A4297" w:rsidP="006A4297">
      <w:pPr>
        <w:pStyle w:val="1"/>
        <w:rPr>
          <w:rtl/>
        </w:rPr>
      </w:pPr>
      <w:bookmarkStart w:id="10899" w:name="_Toc60678308"/>
      <w:r>
        <w:rPr>
          <w:rFonts w:hint="cs"/>
          <w:rtl/>
        </w:rPr>
        <w:t>ביאור הגרב"ב דטענינן מהני רק להעמיד ביד המוחזק</w:t>
      </w:r>
      <w:bookmarkEnd w:id="10899"/>
    </w:p>
    <w:p w:rsidR="006A4297" w:rsidRDefault="006A4297" w:rsidP="006A4297">
      <w:pPr>
        <w:pStyle w:val="a3"/>
        <w:rPr>
          <w:rtl/>
        </w:rPr>
      </w:pPr>
      <w:bookmarkStart w:id="10900" w:name="_Toc60678309"/>
      <w:r>
        <w:rPr>
          <w:rFonts w:hint="cs"/>
          <w:rtl/>
        </w:rPr>
        <w:t>קושית הגרב"ב על הראשונים דאמאי לא טענינן בטענת חד יומא הא נאמן במיגו דדר חד יומא</w:t>
      </w:r>
      <w:bookmarkEnd w:id="10900"/>
    </w:p>
    <w:p w:rsidR="006A4297" w:rsidRDefault="006A4297" w:rsidP="007E4E81">
      <w:pPr>
        <w:pStyle w:val="a0"/>
        <w:rPr>
          <w:rtl/>
        </w:rPr>
      </w:pPr>
      <w:bookmarkStart w:id="10901" w:name="_Ref60654361"/>
      <w:r>
        <w:rPr>
          <w:rFonts w:hint="cs"/>
          <w:rtl/>
        </w:rPr>
        <w:t xml:space="preserve">במ"ש </w:t>
      </w:r>
      <w:r w:rsidRPr="00777AAD">
        <w:rPr>
          <w:rStyle w:val="af9"/>
          <w:rFonts w:hint="cs"/>
          <w:rtl/>
        </w:rPr>
        <w:t>הראשונים</w:t>
      </w:r>
      <w:r>
        <w:rPr>
          <w:rFonts w:hint="cs"/>
          <w:rtl/>
        </w:rPr>
        <w:t xml:space="preserve"> [</w:t>
      </w:r>
      <w:r w:rsidRPr="00777AAD">
        <w:rPr>
          <w:rStyle w:val="af9"/>
          <w:rFonts w:hint="cs"/>
          <w:rtl/>
        </w:rPr>
        <w:t>הרמב</w:t>
      </w:r>
      <w:r w:rsidRPr="004A243F">
        <w:rPr>
          <w:rStyle w:val="af9"/>
          <w:rFonts w:hint="cs"/>
          <w:rtl/>
        </w:rPr>
        <w:t>"ן</w:t>
      </w:r>
      <w:r>
        <w:rPr>
          <w:rFonts w:hint="cs"/>
          <w:rtl/>
        </w:rPr>
        <w:t xml:space="preserve"> </w:t>
      </w:r>
      <w:r w:rsidRPr="00907DB5">
        <w:rPr>
          <w:rStyle w:val="af7"/>
          <w:rFonts w:eastAsia="Guttman Hodes" w:hint="cs"/>
          <w:rtl/>
        </w:rPr>
        <w:t xml:space="preserve">(עי' אות </w:t>
      </w:r>
      <w:r w:rsidRPr="00907DB5">
        <w:rPr>
          <w:rStyle w:val="af7"/>
          <w:rFonts w:eastAsia="Guttman Hodes"/>
          <w:rtl/>
        </w:rPr>
        <w:fldChar w:fldCharType="begin"/>
      </w:r>
      <w:r w:rsidRPr="00907DB5">
        <w:rPr>
          <w:rStyle w:val="af7"/>
          <w:rFonts w:eastAsia="Guttman Hodes"/>
          <w:rtl/>
        </w:rPr>
        <w:instrText xml:space="preserve"> </w:instrText>
      </w:r>
      <w:r w:rsidRPr="00907DB5">
        <w:rPr>
          <w:rStyle w:val="af7"/>
          <w:rFonts w:eastAsia="Guttman Hodes" w:hint="cs"/>
        </w:rPr>
        <w:instrText>REF</w:instrText>
      </w:r>
      <w:r w:rsidRPr="00907DB5">
        <w:rPr>
          <w:rStyle w:val="af7"/>
          <w:rFonts w:eastAsia="Guttman Hodes" w:hint="cs"/>
          <w:rtl/>
        </w:rPr>
        <w:instrText xml:space="preserve"> _</w:instrText>
      </w:r>
      <w:r w:rsidRPr="00907DB5">
        <w:rPr>
          <w:rStyle w:val="af7"/>
          <w:rFonts w:eastAsia="Guttman Hodes" w:hint="cs"/>
        </w:rPr>
        <w:instrText>Ref60133638 \r \h</w:instrText>
      </w:r>
      <w:r w:rsidRPr="00907DB5">
        <w:rPr>
          <w:rStyle w:val="af7"/>
          <w:rFonts w:eastAsia="Guttman Hodes"/>
          <w:rtl/>
        </w:rPr>
        <w:instrText xml:space="preserve"> </w:instrText>
      </w:r>
      <w:r w:rsidRPr="00907DB5">
        <w:rPr>
          <w:rStyle w:val="af7"/>
          <w:rFonts w:eastAsia="Guttman Hodes"/>
          <w:rtl/>
        </w:rPr>
      </w:r>
      <w:r w:rsidRPr="00907DB5">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907DB5">
        <w:rPr>
          <w:rStyle w:val="af7"/>
          <w:rFonts w:eastAsia="Guttman Hodes"/>
          <w:rtl/>
        </w:rPr>
        <w:fldChar w:fldCharType="end"/>
      </w:r>
      <w:r w:rsidRPr="004A243F">
        <w:rPr>
          <w:rStyle w:val="af9"/>
          <w:rFonts w:hint="cs"/>
          <w:rtl/>
        </w:rPr>
        <w:t xml:space="preserve"> </w:t>
      </w:r>
      <w:r>
        <w:rPr>
          <w:rStyle w:val="af9"/>
          <w:rFonts w:hint="cs"/>
          <w:rtl/>
        </w:rPr>
        <w:t>ו</w:t>
      </w:r>
      <w:r w:rsidRPr="006469B7">
        <w:rPr>
          <w:rStyle w:val="af9"/>
          <w:rFonts w:hint="cs"/>
          <w:rtl/>
        </w:rPr>
        <w:t>הרשב"א לקמן</w:t>
      </w:r>
      <w:r>
        <w:rPr>
          <w:rFonts w:hint="cs"/>
          <w:rtl/>
        </w:rPr>
        <w:t xml:space="preserve"> </w:t>
      </w:r>
      <w:r w:rsidRPr="004A243F">
        <w:rPr>
          <w:rStyle w:val="af7"/>
          <w:rFonts w:eastAsia="Guttman Hodes" w:hint="cs"/>
          <w:rtl/>
        </w:rPr>
        <w:t xml:space="preserve">(עי' אות </w:t>
      </w:r>
      <w:r w:rsidRPr="004A243F">
        <w:rPr>
          <w:rStyle w:val="af7"/>
          <w:rFonts w:eastAsia="Guttman Hodes"/>
          <w:rtl/>
        </w:rPr>
        <w:fldChar w:fldCharType="begin"/>
      </w:r>
      <w:r w:rsidRPr="004A243F">
        <w:rPr>
          <w:rStyle w:val="af7"/>
          <w:rFonts w:eastAsia="Guttman Hodes"/>
          <w:rtl/>
        </w:rPr>
        <w:instrText xml:space="preserve"> </w:instrText>
      </w:r>
      <w:r w:rsidRPr="004A243F">
        <w:rPr>
          <w:rStyle w:val="af7"/>
          <w:rFonts w:eastAsia="Guttman Hodes" w:hint="cs"/>
        </w:rPr>
        <w:instrText>REF</w:instrText>
      </w:r>
      <w:r w:rsidRPr="004A243F">
        <w:rPr>
          <w:rStyle w:val="af7"/>
          <w:rFonts w:eastAsia="Guttman Hodes" w:hint="cs"/>
          <w:rtl/>
        </w:rPr>
        <w:instrText xml:space="preserve"> _</w:instrText>
      </w:r>
      <w:r w:rsidRPr="004A243F">
        <w:rPr>
          <w:rStyle w:val="af7"/>
          <w:rFonts w:eastAsia="Guttman Hodes" w:hint="cs"/>
        </w:rPr>
        <w:instrText>Ref60654221 \r \h</w:instrText>
      </w:r>
      <w:r w:rsidRPr="004A243F">
        <w:rPr>
          <w:rStyle w:val="af7"/>
          <w:rFonts w:eastAsia="Guttman Hodes"/>
          <w:rtl/>
        </w:rPr>
        <w:instrText xml:space="preserve"> </w:instrText>
      </w:r>
      <w:r w:rsidRPr="004A243F">
        <w:rPr>
          <w:rStyle w:val="af7"/>
          <w:rFonts w:eastAsia="Guttman Hodes"/>
          <w:rtl/>
        </w:rPr>
      </w:r>
      <w:r w:rsidRPr="004A243F">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4A243F">
        <w:rPr>
          <w:rStyle w:val="af7"/>
          <w:rFonts w:eastAsia="Guttman Hodes"/>
          <w:rtl/>
        </w:rPr>
        <w:fldChar w:fldCharType="end"/>
      </w:r>
      <w:r>
        <w:rPr>
          <w:rFonts w:hint="cs"/>
          <w:rtl/>
        </w:rPr>
        <w:t xml:space="preserve">] דבטענת קמי דידי דר בה חד יומא בלא עדים, אינו נאמן במיגו, כיון שצריך גם טענינן לאחר המיגו, ומכח מיגו לא אמרינן טענינן, הקשה </w:t>
      </w:r>
      <w:r w:rsidRPr="00777AAD">
        <w:rPr>
          <w:rStyle w:val="af9"/>
          <w:rFonts w:hint="cs"/>
          <w:rtl/>
        </w:rPr>
        <w:t>בחו"ש הגרב"ב</w:t>
      </w:r>
      <w:r>
        <w:rPr>
          <w:rFonts w:hint="cs"/>
          <w:rtl/>
        </w:rPr>
        <w:t xml:space="preserve"> </w:t>
      </w:r>
      <w:r w:rsidRPr="00E87AC1">
        <w:rPr>
          <w:rStyle w:val="af7"/>
          <w:rFonts w:eastAsia="Guttman Hodes" w:hint="cs"/>
          <w:rtl/>
        </w:rPr>
        <w:t>(ח"א סי' ח' ד"ה וצריכין להבין)</w:t>
      </w:r>
      <w:r>
        <w:rPr>
          <w:rFonts w:hint="cs"/>
          <w:rtl/>
        </w:rPr>
        <w:t xml:space="preserve"> דמה הסברא דלא נטען לו, הרי הוא נאמן ע"י המיגו, דהמוכר דר בה חד יומא, ואחר דנאמן בזה, אמאי לא טענינן ליה דהמוכר קנה מהמערער.</w:t>
      </w:r>
      <w:bookmarkEnd w:id="10901"/>
    </w:p>
    <w:p w:rsidR="006A4297" w:rsidRDefault="006A4297" w:rsidP="006A4297">
      <w:pPr>
        <w:pStyle w:val="a3"/>
        <w:rPr>
          <w:rtl/>
        </w:rPr>
      </w:pPr>
      <w:bookmarkStart w:id="10902" w:name="_Toc60678310"/>
      <w:r>
        <w:rPr>
          <w:rFonts w:hint="cs"/>
          <w:rtl/>
        </w:rPr>
        <w:t>קו' הגרב"ב על תשו' הרא"ש ומהר"ם אלשיך דאמאי לא טענינן כשאין הלוקח יושב בקרקע</w:t>
      </w:r>
      <w:bookmarkEnd w:id="10902"/>
    </w:p>
    <w:p w:rsidR="006A4297" w:rsidRDefault="006A4297" w:rsidP="007E4E81">
      <w:pPr>
        <w:pStyle w:val="a0"/>
      </w:pPr>
      <w:r>
        <w:rPr>
          <w:rFonts w:hint="cs"/>
          <w:rtl/>
        </w:rPr>
        <w:t xml:space="preserve">והביא </w:t>
      </w:r>
      <w:r w:rsidRPr="00777AAD">
        <w:rPr>
          <w:rStyle w:val="af9"/>
          <w:rFonts w:hint="cs"/>
          <w:rtl/>
        </w:rPr>
        <w:t>בחו"ש הגרב"ב</w:t>
      </w:r>
      <w:r>
        <w:rPr>
          <w:rFonts w:hint="cs"/>
          <w:rtl/>
        </w:rPr>
        <w:t xml:space="preserve"> את דברי </w:t>
      </w:r>
      <w:r w:rsidRPr="003D3851">
        <w:rPr>
          <w:rStyle w:val="af9"/>
          <w:rFonts w:hint="cs"/>
          <w:rtl/>
        </w:rPr>
        <w:t>הרא"ש בתשו'</w:t>
      </w:r>
      <w:r w:rsidRPr="003E7449">
        <w:rPr>
          <w:rStyle w:val="af7"/>
          <w:rFonts w:eastAsia="Guttman Hodes" w:hint="cs"/>
          <w:rtl/>
        </w:rPr>
        <w:t xml:space="preserve"> (כלל צ"ט סי' ז' ד"ה תשובה)</w:t>
      </w:r>
      <w:r>
        <w:rPr>
          <w:rFonts w:hint="cs"/>
          <w:rtl/>
        </w:rPr>
        <w:t xml:space="preserve"> </w:t>
      </w:r>
      <w:r w:rsidRPr="00777AAD">
        <w:rPr>
          <w:rStyle w:val="af9"/>
          <w:rFonts w:hint="cs"/>
          <w:rtl/>
        </w:rPr>
        <w:t>והמהר"ם אלשיך</w:t>
      </w:r>
      <w:r>
        <w:rPr>
          <w:rFonts w:hint="cs"/>
          <w:rtl/>
        </w:rPr>
        <w:t xml:space="preserve"> </w:t>
      </w:r>
      <w:r w:rsidRPr="003E7449">
        <w:rPr>
          <w:rStyle w:val="af7"/>
          <w:rFonts w:eastAsia="Guttman Hodes" w:hint="cs"/>
          <w:rtl/>
        </w:rPr>
        <w:t xml:space="preserve">(סי' צ"ד ד"ה תשובה וכו' ועוד דעד כאן) </w:t>
      </w:r>
      <w:r>
        <w:rPr>
          <w:rFonts w:hint="cs"/>
          <w:rtl/>
        </w:rPr>
        <w:t xml:space="preserve">דדין טענינן שייך רק כשהלוקח מוחזק בקרקע, והמרא קמא מחוץ לקרקע, אבל כל שאינו מוחזק עכשיו בקרקע, אף שיש לו חזקת ג"ש, לא טענינן ליה, והקשה </w:t>
      </w:r>
      <w:r w:rsidRPr="00777AAD">
        <w:rPr>
          <w:rStyle w:val="af9"/>
          <w:rFonts w:hint="cs"/>
          <w:rtl/>
        </w:rPr>
        <w:t>בחו"ש הגרב"ב</w:t>
      </w:r>
      <w:r>
        <w:rPr>
          <w:rFonts w:hint="cs"/>
          <w:rtl/>
        </w:rPr>
        <w:t xml:space="preserve"> דמ"ש טענה ע"י ב"ד דמהני רק כשהוא יושב בקרקע מכל חזקת ג"ש, דמהני לו החזקה אף שאינו יושב עכשיו בקרקע. </w:t>
      </w:r>
      <w:bookmarkStart w:id="10903" w:name="_Toc60678311"/>
    </w:p>
    <w:p w:rsidR="006A4297" w:rsidRPr="00825881" w:rsidRDefault="006A4297" w:rsidP="006A4297">
      <w:pPr>
        <w:pStyle w:val="a3"/>
        <w:rPr>
          <w:rtl/>
        </w:rPr>
      </w:pPr>
      <w:r>
        <w:rPr>
          <w:rFonts w:hint="cs"/>
          <w:rtl/>
        </w:rPr>
        <w:t>ביאור הגרב"ב דדין טענינן מהני להעמיד בחזקת הלוקח רק כשהוא מוחזק ול"מ לעשותו מוחזק</w:t>
      </w:r>
      <w:bookmarkEnd w:id="10903"/>
    </w:p>
    <w:p w:rsidR="006A4297" w:rsidRDefault="006A4297" w:rsidP="007E4E81">
      <w:pPr>
        <w:pStyle w:val="a0"/>
        <w:rPr>
          <w:rtl/>
        </w:rPr>
      </w:pPr>
      <w:r>
        <w:rPr>
          <w:rFonts w:hint="cs"/>
          <w:rtl/>
        </w:rPr>
        <w:t xml:space="preserve">וביאר </w:t>
      </w:r>
      <w:r w:rsidRPr="00777AAD">
        <w:rPr>
          <w:rStyle w:val="af9"/>
          <w:rFonts w:hint="cs"/>
          <w:rtl/>
        </w:rPr>
        <w:t>בחו"ש הגרב"ב</w:t>
      </w:r>
      <w:r>
        <w:rPr>
          <w:rFonts w:hint="cs"/>
          <w:rtl/>
        </w:rPr>
        <w:t xml:space="preserve"> </w:t>
      </w:r>
      <w:r w:rsidRPr="00E87AC1">
        <w:rPr>
          <w:rStyle w:val="af7"/>
          <w:rFonts w:eastAsia="Guttman Hodes" w:hint="cs"/>
          <w:rtl/>
        </w:rPr>
        <w:t>(ח"א סי' ח' ד"ה וצריכין לומר)</w:t>
      </w:r>
      <w:r>
        <w:rPr>
          <w:rFonts w:hint="cs"/>
          <w:rtl/>
        </w:rPr>
        <w:t xml:space="preserve"> דדין טענינן הוא דטענת ב"ד, מהני להעמיד את הקרקע בחזקת הלוקח, ולכן רק </w:t>
      </w:r>
      <w:r>
        <w:rPr>
          <w:rFonts w:hint="cs"/>
          <w:rtl/>
        </w:rPr>
        <w:lastRenderedPageBreak/>
        <w:t>כשהוא מוחזק יש דין טענינן, אך ב"ד אינם יכולים לטעון לו ולעשותו למוחזק, אבל כשהוא מוחזק רק מכח טענתו לא שייך לטעון לו להעמידו כמוחזק, ולכן כל שאינו יושב עכשיו בקרקע, לא מהני טענת הב"ד להחשיבו כמוחזק.</w:t>
      </w:r>
    </w:p>
    <w:p w:rsidR="006A4297" w:rsidRPr="003A6871" w:rsidRDefault="006A4297" w:rsidP="006A4297">
      <w:pPr>
        <w:pStyle w:val="1"/>
        <w:rPr>
          <w:rtl/>
        </w:rPr>
      </w:pPr>
      <w:bookmarkStart w:id="10904" w:name="_Toc60678312"/>
      <w:r>
        <w:rPr>
          <w:rFonts w:hint="cs"/>
          <w:rtl/>
        </w:rPr>
        <w:t>ביאור הגרב"ב דבטענת חד יומא אינו נראה מוחזק ובע"ד</w:t>
      </w:r>
      <w:bookmarkEnd w:id="10904"/>
    </w:p>
    <w:p w:rsidR="006A4297" w:rsidRPr="00825881" w:rsidRDefault="006A4297" w:rsidP="006A4297">
      <w:pPr>
        <w:pStyle w:val="a3"/>
        <w:rPr>
          <w:rtl/>
        </w:rPr>
      </w:pPr>
      <w:bookmarkStart w:id="10905" w:name="_Toc60678313"/>
      <w:r>
        <w:rPr>
          <w:rFonts w:hint="cs"/>
          <w:rtl/>
        </w:rPr>
        <w:t>ביאור הגרב"ב דבעידי חד יומא ע"י הרגל"ד רואים את המוכר בקרקע ומכחו טענינן למחזיק</w:t>
      </w:r>
      <w:bookmarkEnd w:id="10905"/>
    </w:p>
    <w:p w:rsidR="006A4297" w:rsidRDefault="006A4297" w:rsidP="007E4E81">
      <w:pPr>
        <w:pStyle w:val="a0"/>
        <w:rPr>
          <w:rtl/>
        </w:rPr>
      </w:pPr>
      <w:bookmarkStart w:id="10906" w:name="_Ref60653711"/>
      <w:r>
        <w:rPr>
          <w:rFonts w:hint="cs"/>
          <w:rtl/>
        </w:rPr>
        <w:t xml:space="preserve">וכתב </w:t>
      </w:r>
      <w:r w:rsidRPr="00777AAD">
        <w:rPr>
          <w:rStyle w:val="af9"/>
          <w:rFonts w:hint="cs"/>
          <w:rtl/>
        </w:rPr>
        <w:t>בחו"ש</w:t>
      </w:r>
      <w:r>
        <w:rPr>
          <w:rFonts w:hint="cs"/>
          <w:rtl/>
        </w:rPr>
        <w:t xml:space="preserve"> </w:t>
      </w:r>
      <w:r w:rsidRPr="00777AAD">
        <w:rPr>
          <w:rStyle w:val="af9"/>
          <w:rFonts w:hint="cs"/>
          <w:rtl/>
        </w:rPr>
        <w:t>הגרב"ב</w:t>
      </w:r>
      <w:r>
        <w:rPr>
          <w:rFonts w:hint="cs"/>
          <w:rtl/>
        </w:rPr>
        <w:t xml:space="preserve"> </w:t>
      </w:r>
      <w:r w:rsidRPr="00E87AC1">
        <w:rPr>
          <w:rStyle w:val="af7"/>
          <w:rFonts w:eastAsia="Guttman Hodes" w:hint="cs"/>
          <w:rtl/>
        </w:rPr>
        <w:t>(ח"א סי' ח' ד"ה ובזה יש להבין)</w:t>
      </w:r>
      <w:r>
        <w:rPr>
          <w:rFonts w:hint="cs"/>
          <w:rtl/>
        </w:rPr>
        <w:t xml:space="preserve"> דהא דמהני עדים דדר בה חד יומא, הוא כיון דעי"ז הוא נחשב למוחזק בקרקע, ולכן טענינן ליה, דמהני טענת הב"ד להעמיד את החזקת ג"ש שהחזיק בקרקע, דיש לו חזקה עם טענה, וכדביארו </w:t>
      </w:r>
      <w:r w:rsidRPr="008D1B15">
        <w:rPr>
          <w:rStyle w:val="af9"/>
          <w:rFonts w:hint="cs"/>
          <w:rtl/>
        </w:rPr>
        <w:t>הראשונים</w:t>
      </w:r>
      <w:r>
        <w:rPr>
          <w:rFonts w:hint="cs"/>
          <w:rtl/>
        </w:rPr>
        <w:t xml:space="preserve"> [</w:t>
      </w:r>
      <w:r w:rsidRPr="008D1B15">
        <w:rPr>
          <w:rStyle w:val="af9"/>
          <w:rFonts w:hint="cs"/>
          <w:rtl/>
        </w:rPr>
        <w:t>רמב</w:t>
      </w:r>
      <w:r w:rsidRPr="00777AAD">
        <w:rPr>
          <w:rStyle w:val="af9"/>
          <w:rFonts w:hint="cs"/>
          <w:rtl/>
        </w:rPr>
        <w:t>"ן</w:t>
      </w:r>
      <w:r>
        <w:rPr>
          <w:rFonts w:hint="cs"/>
          <w:rtl/>
        </w:rPr>
        <w:t xml:space="preserve"> </w:t>
      </w:r>
      <w:r w:rsidRPr="00907DB5">
        <w:rPr>
          <w:rStyle w:val="af7"/>
          <w:rFonts w:eastAsia="Guttman Hodes" w:hint="cs"/>
          <w:rtl/>
        </w:rPr>
        <w:t xml:space="preserve">(עי' אות </w:t>
      </w:r>
      <w:r w:rsidRPr="00907DB5">
        <w:rPr>
          <w:rStyle w:val="af7"/>
          <w:rFonts w:eastAsia="Guttman Hodes"/>
          <w:rtl/>
        </w:rPr>
        <w:fldChar w:fldCharType="begin"/>
      </w:r>
      <w:r w:rsidRPr="00907DB5">
        <w:rPr>
          <w:rStyle w:val="af7"/>
          <w:rFonts w:eastAsia="Guttman Hodes"/>
          <w:rtl/>
        </w:rPr>
        <w:instrText xml:space="preserve"> </w:instrText>
      </w:r>
      <w:r w:rsidRPr="00907DB5">
        <w:rPr>
          <w:rStyle w:val="af7"/>
          <w:rFonts w:eastAsia="Guttman Hodes" w:hint="cs"/>
        </w:rPr>
        <w:instrText>REF</w:instrText>
      </w:r>
      <w:r w:rsidRPr="00907DB5">
        <w:rPr>
          <w:rStyle w:val="af7"/>
          <w:rFonts w:eastAsia="Guttman Hodes" w:hint="cs"/>
          <w:rtl/>
        </w:rPr>
        <w:instrText xml:space="preserve"> _</w:instrText>
      </w:r>
      <w:r w:rsidRPr="00907DB5">
        <w:rPr>
          <w:rStyle w:val="af7"/>
          <w:rFonts w:eastAsia="Guttman Hodes" w:hint="cs"/>
        </w:rPr>
        <w:instrText>Ref60133638 \r \h</w:instrText>
      </w:r>
      <w:r w:rsidRPr="00907DB5">
        <w:rPr>
          <w:rStyle w:val="af7"/>
          <w:rFonts w:eastAsia="Guttman Hodes"/>
          <w:rtl/>
        </w:rPr>
        <w:instrText xml:space="preserve"> </w:instrText>
      </w:r>
      <w:r w:rsidRPr="00907DB5">
        <w:rPr>
          <w:rStyle w:val="af7"/>
          <w:rFonts w:eastAsia="Guttman Hodes"/>
          <w:rtl/>
        </w:rPr>
      </w:r>
      <w:r w:rsidRPr="00907DB5">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907DB5">
        <w:rPr>
          <w:rStyle w:val="af7"/>
          <w:rFonts w:eastAsia="Guttman Hodes"/>
          <w:rtl/>
        </w:rPr>
        <w:fldChar w:fldCharType="end"/>
      </w:r>
      <w:r w:rsidRPr="004A243F">
        <w:rPr>
          <w:rStyle w:val="af9"/>
          <w:rFonts w:hint="cs"/>
          <w:rtl/>
        </w:rPr>
        <w:t xml:space="preserve"> </w:t>
      </w:r>
      <w:r>
        <w:rPr>
          <w:rStyle w:val="af9"/>
          <w:rFonts w:hint="cs"/>
          <w:rtl/>
        </w:rPr>
        <w:t>ו</w:t>
      </w:r>
      <w:r w:rsidRPr="006469B7">
        <w:rPr>
          <w:rStyle w:val="af9"/>
          <w:rFonts w:hint="cs"/>
          <w:rtl/>
        </w:rPr>
        <w:t>הרשב"א לקמן</w:t>
      </w:r>
      <w:r>
        <w:rPr>
          <w:rFonts w:hint="cs"/>
          <w:rtl/>
        </w:rPr>
        <w:t xml:space="preserve"> </w:t>
      </w:r>
      <w:r w:rsidRPr="004A243F">
        <w:rPr>
          <w:rStyle w:val="af7"/>
          <w:rFonts w:eastAsia="Guttman Hodes" w:hint="cs"/>
          <w:rtl/>
        </w:rPr>
        <w:t xml:space="preserve">(עי' אות </w:t>
      </w:r>
      <w:r w:rsidRPr="004A243F">
        <w:rPr>
          <w:rStyle w:val="af7"/>
          <w:rFonts w:eastAsia="Guttman Hodes"/>
          <w:rtl/>
        </w:rPr>
        <w:fldChar w:fldCharType="begin"/>
      </w:r>
      <w:r w:rsidRPr="004A243F">
        <w:rPr>
          <w:rStyle w:val="af7"/>
          <w:rFonts w:eastAsia="Guttman Hodes"/>
          <w:rtl/>
        </w:rPr>
        <w:instrText xml:space="preserve"> </w:instrText>
      </w:r>
      <w:r w:rsidRPr="004A243F">
        <w:rPr>
          <w:rStyle w:val="af7"/>
          <w:rFonts w:eastAsia="Guttman Hodes" w:hint="cs"/>
        </w:rPr>
        <w:instrText>REF</w:instrText>
      </w:r>
      <w:r w:rsidRPr="004A243F">
        <w:rPr>
          <w:rStyle w:val="af7"/>
          <w:rFonts w:eastAsia="Guttman Hodes" w:hint="cs"/>
          <w:rtl/>
        </w:rPr>
        <w:instrText xml:space="preserve"> _</w:instrText>
      </w:r>
      <w:r w:rsidRPr="004A243F">
        <w:rPr>
          <w:rStyle w:val="af7"/>
          <w:rFonts w:eastAsia="Guttman Hodes" w:hint="cs"/>
        </w:rPr>
        <w:instrText>Ref60654221 \r \h</w:instrText>
      </w:r>
      <w:r w:rsidRPr="004A243F">
        <w:rPr>
          <w:rStyle w:val="af7"/>
          <w:rFonts w:eastAsia="Guttman Hodes"/>
          <w:rtl/>
        </w:rPr>
        <w:instrText xml:space="preserve"> </w:instrText>
      </w:r>
      <w:r w:rsidRPr="004A243F">
        <w:rPr>
          <w:rStyle w:val="af7"/>
          <w:rFonts w:eastAsia="Guttman Hodes"/>
          <w:rtl/>
        </w:rPr>
      </w:r>
      <w:r w:rsidRPr="004A243F">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4A243F">
        <w:rPr>
          <w:rStyle w:val="af7"/>
          <w:rFonts w:eastAsia="Guttman Hodes"/>
          <w:rtl/>
        </w:rPr>
        <w:fldChar w:fldCharType="end"/>
      </w:r>
      <w:r>
        <w:rPr>
          <w:rFonts w:hint="cs"/>
          <w:rtl/>
        </w:rPr>
        <w:t>] דכיון דדר בה חד יומא, יש רגלים לדבר שהמוכר קנה מהמערער, ועי"ז אנו רואים את המוכר בקרקע, ומכח המוכר אנו רואים את הלוקח בקרקע, ולכן שייך בזה דין טענינן.</w:t>
      </w:r>
      <w:bookmarkEnd w:id="10906"/>
    </w:p>
    <w:p w:rsidR="006A4297" w:rsidRDefault="006A4297" w:rsidP="006A4297">
      <w:pPr>
        <w:pStyle w:val="a3"/>
        <w:rPr>
          <w:rtl/>
        </w:rPr>
      </w:pPr>
      <w:bookmarkStart w:id="10907" w:name="_Toc60678314"/>
      <w:r>
        <w:rPr>
          <w:rFonts w:hint="cs"/>
          <w:rtl/>
        </w:rPr>
        <w:t>ביאור הברכ"ש דנאמנות המיגו ל"מ דנראה את המוכר בקרקע ואינו מוחזק ובע"ד ולא טענינן</w:t>
      </w:r>
      <w:bookmarkEnd w:id="10907"/>
      <w:r>
        <w:rPr>
          <w:rFonts w:hint="cs"/>
          <w:rtl/>
        </w:rPr>
        <w:t xml:space="preserve"> </w:t>
      </w:r>
    </w:p>
    <w:p w:rsidR="006A4297" w:rsidRDefault="006A4297" w:rsidP="007E4E81">
      <w:pPr>
        <w:pStyle w:val="a0"/>
        <w:rPr>
          <w:rtl/>
        </w:rPr>
      </w:pPr>
      <w:bookmarkStart w:id="10908" w:name="_Ref60655888"/>
      <w:r>
        <w:rPr>
          <w:rFonts w:hint="cs"/>
          <w:rtl/>
        </w:rPr>
        <w:t xml:space="preserve">אבל כשאין לו עדים דדר בה חד יומא, ביאר </w:t>
      </w:r>
      <w:r w:rsidRPr="008D1B15">
        <w:rPr>
          <w:rStyle w:val="af9"/>
          <w:rFonts w:hint="cs"/>
          <w:rtl/>
        </w:rPr>
        <w:t>בחו"ש הגרב"ב</w:t>
      </w:r>
      <w:r>
        <w:rPr>
          <w:rFonts w:hint="cs"/>
          <w:rtl/>
        </w:rPr>
        <w:t xml:space="preserve"> דאין אנו רואים את המוכר בקרקע, וממילא אין אנו רואים גם את הלוקח שבא מכחו בקרקע, והלוקח אינו בע"ד לגמרי, וזו טענת המערער דא"ל זיל לאו בע"ד דידי את, וכתב </w:t>
      </w:r>
      <w:r w:rsidRPr="008D1B15">
        <w:rPr>
          <w:rStyle w:val="af9"/>
          <w:rFonts w:hint="cs"/>
          <w:rtl/>
        </w:rPr>
        <w:t>בחו"ש הגרב"ב</w:t>
      </w:r>
      <w:r>
        <w:rPr>
          <w:rFonts w:hint="cs"/>
          <w:rtl/>
        </w:rPr>
        <w:t xml:space="preserve"> דזהו הביאור בדברי </w:t>
      </w:r>
      <w:r w:rsidRPr="008D1B15">
        <w:rPr>
          <w:rStyle w:val="af9"/>
          <w:rFonts w:hint="cs"/>
          <w:rtl/>
        </w:rPr>
        <w:t>הראשונים</w:t>
      </w:r>
      <w:r>
        <w:rPr>
          <w:rFonts w:hint="cs"/>
          <w:rtl/>
        </w:rPr>
        <w:t xml:space="preserve"> [</w:t>
      </w:r>
      <w:r w:rsidRPr="008D1B15">
        <w:rPr>
          <w:rStyle w:val="af9"/>
          <w:rFonts w:hint="cs"/>
          <w:rtl/>
        </w:rPr>
        <w:t>רמב</w:t>
      </w:r>
      <w:r w:rsidRPr="00777AAD">
        <w:rPr>
          <w:rStyle w:val="af9"/>
          <w:rFonts w:hint="cs"/>
          <w:rtl/>
        </w:rPr>
        <w:t>"ן</w:t>
      </w:r>
      <w:r>
        <w:rPr>
          <w:rFonts w:hint="cs"/>
          <w:rtl/>
        </w:rPr>
        <w:t xml:space="preserve"> </w:t>
      </w:r>
      <w:r w:rsidRPr="00907DB5">
        <w:rPr>
          <w:rStyle w:val="af7"/>
          <w:rFonts w:eastAsia="Guttman Hodes" w:hint="cs"/>
          <w:rtl/>
        </w:rPr>
        <w:t xml:space="preserve">(עי' אות </w:t>
      </w:r>
      <w:r w:rsidRPr="00907DB5">
        <w:rPr>
          <w:rStyle w:val="af7"/>
          <w:rFonts w:eastAsia="Guttman Hodes"/>
          <w:rtl/>
        </w:rPr>
        <w:fldChar w:fldCharType="begin"/>
      </w:r>
      <w:r w:rsidRPr="00907DB5">
        <w:rPr>
          <w:rStyle w:val="af7"/>
          <w:rFonts w:eastAsia="Guttman Hodes"/>
          <w:rtl/>
        </w:rPr>
        <w:instrText xml:space="preserve"> </w:instrText>
      </w:r>
      <w:r w:rsidRPr="00907DB5">
        <w:rPr>
          <w:rStyle w:val="af7"/>
          <w:rFonts w:eastAsia="Guttman Hodes" w:hint="cs"/>
        </w:rPr>
        <w:instrText>REF</w:instrText>
      </w:r>
      <w:r w:rsidRPr="00907DB5">
        <w:rPr>
          <w:rStyle w:val="af7"/>
          <w:rFonts w:eastAsia="Guttman Hodes" w:hint="cs"/>
          <w:rtl/>
        </w:rPr>
        <w:instrText xml:space="preserve"> _</w:instrText>
      </w:r>
      <w:r w:rsidRPr="00907DB5">
        <w:rPr>
          <w:rStyle w:val="af7"/>
          <w:rFonts w:eastAsia="Guttman Hodes" w:hint="cs"/>
        </w:rPr>
        <w:instrText>Ref60133638 \r \h</w:instrText>
      </w:r>
      <w:r w:rsidRPr="00907DB5">
        <w:rPr>
          <w:rStyle w:val="af7"/>
          <w:rFonts w:eastAsia="Guttman Hodes"/>
          <w:rtl/>
        </w:rPr>
        <w:instrText xml:space="preserve"> </w:instrText>
      </w:r>
      <w:r w:rsidRPr="00907DB5">
        <w:rPr>
          <w:rStyle w:val="af7"/>
          <w:rFonts w:eastAsia="Guttman Hodes"/>
          <w:rtl/>
        </w:rPr>
      </w:r>
      <w:r w:rsidRPr="00907DB5">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907DB5">
        <w:rPr>
          <w:rStyle w:val="af7"/>
          <w:rFonts w:eastAsia="Guttman Hodes"/>
          <w:rtl/>
        </w:rPr>
        <w:fldChar w:fldCharType="end"/>
      </w:r>
      <w:r w:rsidRPr="004A243F">
        <w:rPr>
          <w:rStyle w:val="af9"/>
          <w:rFonts w:hint="cs"/>
          <w:rtl/>
        </w:rPr>
        <w:t xml:space="preserve"> </w:t>
      </w:r>
      <w:r>
        <w:rPr>
          <w:rStyle w:val="af9"/>
          <w:rFonts w:hint="cs"/>
          <w:rtl/>
        </w:rPr>
        <w:t>ו</w:t>
      </w:r>
      <w:r w:rsidRPr="006469B7">
        <w:rPr>
          <w:rStyle w:val="af9"/>
          <w:rFonts w:hint="cs"/>
          <w:rtl/>
        </w:rPr>
        <w:t>הרשב"א לקמן</w:t>
      </w:r>
      <w:r>
        <w:rPr>
          <w:rFonts w:hint="cs"/>
          <w:rtl/>
        </w:rPr>
        <w:t xml:space="preserve"> </w:t>
      </w:r>
      <w:r w:rsidRPr="004A243F">
        <w:rPr>
          <w:rStyle w:val="af7"/>
          <w:rFonts w:eastAsia="Guttman Hodes" w:hint="cs"/>
          <w:rtl/>
        </w:rPr>
        <w:t xml:space="preserve">(עי' אות </w:t>
      </w:r>
      <w:r w:rsidRPr="004A243F">
        <w:rPr>
          <w:rStyle w:val="af7"/>
          <w:rFonts w:eastAsia="Guttman Hodes"/>
          <w:rtl/>
        </w:rPr>
        <w:fldChar w:fldCharType="begin"/>
      </w:r>
      <w:r w:rsidRPr="004A243F">
        <w:rPr>
          <w:rStyle w:val="af7"/>
          <w:rFonts w:eastAsia="Guttman Hodes"/>
          <w:rtl/>
        </w:rPr>
        <w:instrText xml:space="preserve"> </w:instrText>
      </w:r>
      <w:r w:rsidRPr="004A243F">
        <w:rPr>
          <w:rStyle w:val="af7"/>
          <w:rFonts w:eastAsia="Guttman Hodes" w:hint="cs"/>
        </w:rPr>
        <w:instrText>REF</w:instrText>
      </w:r>
      <w:r w:rsidRPr="004A243F">
        <w:rPr>
          <w:rStyle w:val="af7"/>
          <w:rFonts w:eastAsia="Guttman Hodes" w:hint="cs"/>
          <w:rtl/>
        </w:rPr>
        <w:instrText xml:space="preserve"> _</w:instrText>
      </w:r>
      <w:r w:rsidRPr="004A243F">
        <w:rPr>
          <w:rStyle w:val="af7"/>
          <w:rFonts w:eastAsia="Guttman Hodes" w:hint="cs"/>
        </w:rPr>
        <w:instrText>Ref60654221 \r \h</w:instrText>
      </w:r>
      <w:r w:rsidRPr="004A243F">
        <w:rPr>
          <w:rStyle w:val="af7"/>
          <w:rFonts w:eastAsia="Guttman Hodes"/>
          <w:rtl/>
        </w:rPr>
        <w:instrText xml:space="preserve"> </w:instrText>
      </w:r>
      <w:r w:rsidRPr="004A243F">
        <w:rPr>
          <w:rStyle w:val="af7"/>
          <w:rFonts w:eastAsia="Guttman Hodes"/>
          <w:rtl/>
        </w:rPr>
      </w:r>
      <w:r w:rsidRPr="004A243F">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4A243F">
        <w:rPr>
          <w:rStyle w:val="af7"/>
          <w:rFonts w:eastAsia="Guttman Hodes"/>
          <w:rtl/>
        </w:rPr>
        <w:fldChar w:fldCharType="end"/>
      </w:r>
      <w:r>
        <w:rPr>
          <w:rFonts w:hint="cs"/>
          <w:rtl/>
        </w:rPr>
        <w:t xml:space="preserve">] דבטענת קמי דידי דר בה חד יומא, אינו נאמן במיגו, בכדי שאח"כ נטען לו אנן, דכל שאין לו עדים אין אנו רואים אותו בקרקע, ואינו מוחזק בה, ואף שהוא נאמן במיגו לומר שהמוכר דר בה חד יומא, מ"מ כיון דהמיגו הוא רק נאמנות על טענתו, א"כ לא מהני המיגו להחשיב שאנו רואים את המוכר בקרקע, וכל שאין אנו רואים את המוכר ממילא אין אנו רואים גם את הלוקח בקרקע, ואין הלוקח בע"ד כלל, וממילא לא שייך בזה דין טענינן כלל, וכן ביאר </w:t>
      </w:r>
      <w:r w:rsidRPr="003865F3">
        <w:rPr>
          <w:rStyle w:val="af9"/>
          <w:rFonts w:hint="cs"/>
          <w:rtl/>
        </w:rPr>
        <w:t>הברכ"ש</w:t>
      </w:r>
      <w:r>
        <w:rPr>
          <w:rFonts w:hint="cs"/>
          <w:rtl/>
        </w:rPr>
        <w:t xml:space="preserve"> </w:t>
      </w:r>
      <w:r w:rsidRPr="003865F3">
        <w:rPr>
          <w:rStyle w:val="af7"/>
          <w:rFonts w:eastAsia="Guttman Hodes" w:hint="cs"/>
          <w:rtl/>
        </w:rPr>
        <w:t xml:space="preserve">(עי' אות </w:t>
      </w:r>
      <w:r w:rsidRPr="003865F3">
        <w:rPr>
          <w:rStyle w:val="af7"/>
          <w:rFonts w:eastAsia="Guttman Hodes"/>
          <w:rtl/>
        </w:rPr>
        <w:fldChar w:fldCharType="begin"/>
      </w:r>
      <w:r w:rsidRPr="003865F3">
        <w:rPr>
          <w:rStyle w:val="af7"/>
          <w:rFonts w:eastAsia="Guttman Hodes"/>
          <w:rtl/>
        </w:rPr>
        <w:instrText xml:space="preserve"> </w:instrText>
      </w:r>
      <w:r w:rsidRPr="003865F3">
        <w:rPr>
          <w:rStyle w:val="af7"/>
          <w:rFonts w:eastAsia="Guttman Hodes" w:hint="cs"/>
        </w:rPr>
        <w:instrText>REF</w:instrText>
      </w:r>
      <w:r w:rsidRPr="003865F3">
        <w:rPr>
          <w:rStyle w:val="af7"/>
          <w:rFonts w:eastAsia="Guttman Hodes" w:hint="cs"/>
          <w:rtl/>
        </w:rPr>
        <w:instrText xml:space="preserve"> _</w:instrText>
      </w:r>
      <w:r w:rsidRPr="003865F3">
        <w:rPr>
          <w:rStyle w:val="af7"/>
          <w:rFonts w:eastAsia="Guttman Hodes" w:hint="cs"/>
        </w:rPr>
        <w:instrText>Ref60655752 \r \h</w:instrText>
      </w:r>
      <w:r w:rsidRPr="003865F3">
        <w:rPr>
          <w:rStyle w:val="af7"/>
          <w:rFonts w:eastAsia="Guttman Hodes"/>
          <w:rtl/>
        </w:rPr>
        <w:instrText xml:space="preserve"> </w:instrText>
      </w:r>
      <w:r w:rsidRPr="003865F3">
        <w:rPr>
          <w:rStyle w:val="af7"/>
          <w:rFonts w:eastAsia="Guttman Hodes"/>
          <w:rtl/>
        </w:rPr>
      </w:r>
      <w:r w:rsidRPr="003865F3">
        <w:rPr>
          <w:rStyle w:val="af7"/>
          <w:rFonts w:eastAsia="Guttman Hodes"/>
          <w:rtl/>
        </w:rPr>
        <w:fldChar w:fldCharType="separate"/>
      </w:r>
      <w:r w:rsidR="00265073">
        <w:rPr>
          <w:rStyle w:val="af7"/>
          <w:rFonts w:eastAsia="Guttman Hodes"/>
          <w:cs/>
        </w:rPr>
        <w:t>‎</w:t>
      </w:r>
      <w:r w:rsidR="00265073">
        <w:rPr>
          <w:rStyle w:val="af7"/>
          <w:rFonts w:eastAsia="Guttman Hodes"/>
          <w:rtl/>
        </w:rPr>
        <w:t>פז)</w:t>
      </w:r>
      <w:r w:rsidRPr="003865F3">
        <w:rPr>
          <w:rStyle w:val="af7"/>
          <w:rFonts w:eastAsia="Guttman Hodes"/>
          <w:rtl/>
        </w:rPr>
        <w:fldChar w:fldCharType="end"/>
      </w:r>
      <w:r>
        <w:rPr>
          <w:rFonts w:hint="cs"/>
          <w:rtl/>
        </w:rPr>
        <w:t xml:space="preserve"> בדעת </w:t>
      </w:r>
      <w:r w:rsidRPr="003865F3">
        <w:rPr>
          <w:rStyle w:val="af9"/>
          <w:rFonts w:hint="cs"/>
          <w:rtl/>
        </w:rPr>
        <w:t>ר"י</w:t>
      </w:r>
      <w:r>
        <w:rPr>
          <w:rFonts w:hint="cs"/>
          <w:rtl/>
        </w:rPr>
        <w:t>.</w:t>
      </w:r>
      <w:bookmarkEnd w:id="10908"/>
    </w:p>
    <w:p w:rsidR="006A4297" w:rsidRPr="003A6871" w:rsidRDefault="006A4297" w:rsidP="006A4297">
      <w:pPr>
        <w:pStyle w:val="1"/>
        <w:rPr>
          <w:rtl/>
        </w:rPr>
      </w:pPr>
      <w:bookmarkStart w:id="10909" w:name="_Toc60678315"/>
      <w:r>
        <w:rPr>
          <w:rFonts w:hint="cs"/>
          <w:rtl/>
        </w:rPr>
        <w:t>ביאור הגרב"ב בתוס' דאף בטענת חד יומא נראה המוכר בקרקע</w:t>
      </w:r>
      <w:bookmarkEnd w:id="10909"/>
    </w:p>
    <w:p w:rsidR="006A4297" w:rsidRPr="00156BAD" w:rsidRDefault="006A4297" w:rsidP="006A4297">
      <w:pPr>
        <w:pStyle w:val="a3"/>
        <w:rPr>
          <w:rtl/>
        </w:rPr>
      </w:pPr>
      <w:bookmarkStart w:id="10910" w:name="_Toc60678316"/>
      <w:r>
        <w:rPr>
          <w:rFonts w:hint="cs"/>
          <w:rtl/>
        </w:rPr>
        <w:t>ביאור הגרב"ב בתוס' דאחר שנאמן במיגו דדר המוכר חד יומא רואים את המוכר בקרקע וטענינן</w:t>
      </w:r>
      <w:bookmarkEnd w:id="10910"/>
    </w:p>
    <w:p w:rsidR="006A4297" w:rsidRDefault="006A4297" w:rsidP="007E4E81">
      <w:pPr>
        <w:pStyle w:val="a0"/>
        <w:rPr>
          <w:rtl/>
        </w:rPr>
      </w:pPr>
      <w:bookmarkStart w:id="10911" w:name="_Ref60656539"/>
      <w:r>
        <w:rPr>
          <w:rFonts w:hint="cs"/>
          <w:rtl/>
        </w:rPr>
        <w:t xml:space="preserve">ובדעת </w:t>
      </w:r>
      <w:r w:rsidRPr="008D1B15">
        <w:rPr>
          <w:rStyle w:val="af9"/>
          <w:rFonts w:hint="cs"/>
          <w:rtl/>
        </w:rPr>
        <w:t>הראשונים</w:t>
      </w:r>
      <w:r>
        <w:rPr>
          <w:rFonts w:hint="cs"/>
          <w:rtl/>
        </w:rPr>
        <w:t xml:space="preserve"> [</w:t>
      </w:r>
      <w:r w:rsidRPr="008D1B15">
        <w:rPr>
          <w:rStyle w:val="af9"/>
          <w:rFonts w:hint="cs"/>
          <w:rtl/>
        </w:rPr>
        <w:t>תוס'</w:t>
      </w:r>
      <w:r>
        <w:rPr>
          <w:rFonts w:hint="cs"/>
          <w:rtl/>
        </w:rPr>
        <w:t xml:space="preserve"> </w:t>
      </w:r>
      <w:r w:rsidRPr="00E507DB">
        <w:rPr>
          <w:rStyle w:val="af7"/>
          <w:rFonts w:eastAsia="Guttman Hodes" w:hint="cs"/>
          <w:rtl/>
        </w:rPr>
        <w:t xml:space="preserve">(עי' אות </w:t>
      </w:r>
      <w:r w:rsidRPr="00E507DB">
        <w:rPr>
          <w:rStyle w:val="af7"/>
          <w:rFonts w:eastAsia="Guttman Hodes"/>
          <w:rtl/>
        </w:rPr>
        <w:fldChar w:fldCharType="begin"/>
      </w:r>
      <w:r w:rsidRPr="00E507DB">
        <w:rPr>
          <w:rStyle w:val="af7"/>
          <w:rFonts w:eastAsia="Guttman Hodes"/>
          <w:rtl/>
        </w:rPr>
        <w:instrText xml:space="preserve"> </w:instrText>
      </w:r>
      <w:r w:rsidRPr="00E507DB">
        <w:rPr>
          <w:rStyle w:val="af7"/>
          <w:rFonts w:eastAsia="Guttman Hodes" w:hint="cs"/>
        </w:rPr>
        <w:instrText>REF</w:instrText>
      </w:r>
      <w:r w:rsidRPr="00E507DB">
        <w:rPr>
          <w:rStyle w:val="af7"/>
          <w:rFonts w:eastAsia="Guttman Hodes" w:hint="cs"/>
          <w:rtl/>
        </w:rPr>
        <w:instrText xml:space="preserve"> _</w:instrText>
      </w:r>
      <w:r w:rsidRPr="00E507DB">
        <w:rPr>
          <w:rStyle w:val="af7"/>
          <w:rFonts w:eastAsia="Guttman Hodes" w:hint="cs"/>
        </w:rPr>
        <w:instrText>Ref60243410 \r \h</w:instrText>
      </w:r>
      <w:r w:rsidRPr="00E507DB">
        <w:rPr>
          <w:rStyle w:val="af7"/>
          <w:rFonts w:eastAsia="Guttman Hodes"/>
          <w:rtl/>
        </w:rPr>
        <w:instrText xml:space="preserve"> </w:instrText>
      </w:r>
      <w:r w:rsidRPr="00E507DB">
        <w:rPr>
          <w:rStyle w:val="af7"/>
          <w:rFonts w:eastAsia="Guttman Hodes"/>
          <w:rtl/>
        </w:rPr>
      </w:r>
      <w:r w:rsidRPr="00E507DB">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E507DB">
        <w:rPr>
          <w:rStyle w:val="af7"/>
          <w:rFonts w:eastAsia="Guttman Hodes"/>
          <w:rtl/>
        </w:rPr>
        <w:fldChar w:fldCharType="end"/>
      </w:r>
      <w:r>
        <w:rPr>
          <w:rFonts w:hint="cs"/>
          <w:rtl/>
        </w:rPr>
        <w:t xml:space="preserve">] דס"ל דבטענת קמי דידי דר בה חד יומא אמרינן טענינן ע"י המיגו, ביאר </w:t>
      </w:r>
      <w:r w:rsidRPr="008D1B15">
        <w:rPr>
          <w:rStyle w:val="af9"/>
          <w:rFonts w:hint="cs"/>
          <w:rtl/>
        </w:rPr>
        <w:t>בחו"ש הגרב"ב</w:t>
      </w:r>
      <w:r>
        <w:rPr>
          <w:rFonts w:hint="cs"/>
          <w:rtl/>
        </w:rPr>
        <w:t xml:space="preserve"> </w:t>
      </w:r>
      <w:r w:rsidRPr="00E87AC1">
        <w:rPr>
          <w:rStyle w:val="af7"/>
          <w:rFonts w:eastAsia="Guttman Hodes" w:hint="cs"/>
          <w:rtl/>
        </w:rPr>
        <w:t xml:space="preserve">(ח"א סי' ח' סוד"ה ובזה יש להבין) </w:t>
      </w:r>
      <w:r>
        <w:rPr>
          <w:rFonts w:hint="cs"/>
          <w:rtl/>
        </w:rPr>
        <w:t xml:space="preserve">דס"ל דכיון שהמחזיק נאמן במיגו דהמוכר דר בה חד יומא, ממילא אנו רואים את המוכר בקרקע, </w:t>
      </w:r>
      <w:r w:rsidRPr="00907DB5">
        <w:rPr>
          <w:rStyle w:val="afb"/>
          <w:rFonts w:hint="cs"/>
          <w:rtl/>
        </w:rPr>
        <w:t xml:space="preserve">[כדביאר </w:t>
      </w:r>
      <w:r w:rsidRPr="00907DB5">
        <w:rPr>
          <w:rStyle w:val="affa"/>
          <w:rFonts w:hint="cs"/>
          <w:rtl/>
        </w:rPr>
        <w:t>בחו"ש הגרב"ב</w:t>
      </w:r>
      <w:r w:rsidRPr="00907DB5">
        <w:rPr>
          <w:rStyle w:val="afb"/>
          <w:rFonts w:hint="cs"/>
          <w:rtl/>
        </w:rPr>
        <w:t xml:space="preserve"> </w:t>
      </w:r>
      <w:r w:rsidRPr="00907DB5">
        <w:rPr>
          <w:rStyle w:val="aff6"/>
          <w:rFonts w:hint="cs"/>
          <w:rtl/>
        </w:rPr>
        <w:t xml:space="preserve">(עי' אות </w:t>
      </w:r>
      <w:r w:rsidRPr="00907DB5">
        <w:rPr>
          <w:rStyle w:val="aff6"/>
          <w:rtl/>
        </w:rPr>
        <w:fldChar w:fldCharType="begin"/>
      </w:r>
      <w:r w:rsidRPr="00907DB5">
        <w:rPr>
          <w:rStyle w:val="aff6"/>
          <w:rtl/>
        </w:rPr>
        <w:instrText xml:space="preserve"> </w:instrText>
      </w:r>
      <w:r w:rsidRPr="00907DB5">
        <w:rPr>
          <w:rStyle w:val="aff6"/>
          <w:rFonts w:hint="cs"/>
        </w:rPr>
        <w:instrText>REF</w:instrText>
      </w:r>
      <w:r w:rsidRPr="00907DB5">
        <w:rPr>
          <w:rStyle w:val="aff6"/>
          <w:rFonts w:hint="cs"/>
          <w:rtl/>
        </w:rPr>
        <w:instrText xml:space="preserve"> _</w:instrText>
      </w:r>
      <w:r w:rsidRPr="00907DB5">
        <w:rPr>
          <w:rStyle w:val="aff6"/>
          <w:rFonts w:hint="cs"/>
        </w:rPr>
        <w:instrText>Ref60653711 \r \h</w:instrText>
      </w:r>
      <w:r w:rsidRPr="00907DB5">
        <w:rPr>
          <w:rStyle w:val="aff6"/>
          <w:rtl/>
        </w:rPr>
        <w:instrText xml:space="preserve"> </w:instrText>
      </w:r>
      <w:r w:rsidRPr="00907DB5">
        <w:rPr>
          <w:rStyle w:val="aff6"/>
          <w:rtl/>
        </w:rPr>
      </w:r>
      <w:r w:rsidRPr="00907DB5">
        <w:rPr>
          <w:rStyle w:val="aff6"/>
          <w:rtl/>
        </w:rPr>
        <w:fldChar w:fldCharType="separate"/>
      </w:r>
      <w:r w:rsidR="00265073">
        <w:rPr>
          <w:rStyle w:val="aff6"/>
          <w:cs/>
        </w:rPr>
        <w:t>‎</w:t>
      </w:r>
      <w:r w:rsidR="00265073">
        <w:rPr>
          <w:rStyle w:val="aff6"/>
          <w:rtl/>
        </w:rPr>
        <w:t>צה)</w:t>
      </w:r>
      <w:r w:rsidRPr="00907DB5">
        <w:rPr>
          <w:rStyle w:val="aff6"/>
          <w:rtl/>
        </w:rPr>
        <w:fldChar w:fldCharType="end"/>
      </w:r>
      <w:r>
        <w:rPr>
          <w:rStyle w:val="afb"/>
          <w:rFonts w:hint="cs"/>
          <w:rtl/>
        </w:rPr>
        <w:t xml:space="preserve"> דטענינן רק כשהב"ד רואים בעצמם את המוכר בקרקע</w:t>
      </w:r>
      <w:r w:rsidRPr="00907DB5">
        <w:rPr>
          <w:rStyle w:val="afb"/>
          <w:rFonts w:hint="cs"/>
          <w:rtl/>
        </w:rPr>
        <w:t>],</w:t>
      </w:r>
      <w:r>
        <w:rPr>
          <w:rFonts w:hint="cs"/>
          <w:rtl/>
        </w:rPr>
        <w:t xml:space="preserve"> וא"כ יש רגלים לדבר שקנה מהמערער, וטענינן ללוקח שהוא קנה מהמוכר שקנה מהמערער.</w:t>
      </w:r>
      <w:bookmarkEnd w:id="10911"/>
    </w:p>
    <w:p w:rsidR="006A4297" w:rsidRDefault="006A4297" w:rsidP="006A4297">
      <w:pPr>
        <w:pStyle w:val="afe"/>
        <w:rPr>
          <w:rtl/>
        </w:rPr>
      </w:pPr>
      <w:bookmarkStart w:id="10912" w:name="_Toc60678317"/>
      <w:r>
        <w:rPr>
          <w:rFonts w:hint="cs"/>
          <w:rtl/>
        </w:rPr>
        <w:t>בי' רבי ראובן בפלוג' הראשונים בטענינן</w:t>
      </w:r>
      <w:bookmarkEnd w:id="10912"/>
    </w:p>
    <w:p w:rsidR="006A4297" w:rsidRDefault="006A4297" w:rsidP="006A4297">
      <w:pPr>
        <w:pStyle w:val="1"/>
        <w:rPr>
          <w:rtl/>
        </w:rPr>
      </w:pPr>
      <w:bookmarkStart w:id="10913" w:name="_Toc59464669"/>
      <w:bookmarkStart w:id="10914" w:name="_Toc59490167"/>
      <w:bookmarkStart w:id="10915" w:name="_Toc59620364"/>
      <w:bookmarkStart w:id="10916" w:name="_Toc59643638"/>
      <w:bookmarkStart w:id="10917" w:name="_Toc59700126"/>
      <w:bookmarkStart w:id="10918" w:name="_Toc59960783"/>
      <w:bookmarkStart w:id="10919" w:name="_Toc60086880"/>
      <w:bookmarkStart w:id="10920" w:name="_Toc60173447"/>
      <w:bookmarkStart w:id="10921" w:name="_Toc60303800"/>
      <w:bookmarkStart w:id="10922" w:name="_Toc60357080"/>
      <w:bookmarkStart w:id="10923" w:name="_Toc60589227"/>
      <w:bookmarkStart w:id="10924" w:name="_Toc60612682"/>
      <w:bookmarkStart w:id="10925" w:name="_Toc60616540"/>
      <w:bookmarkStart w:id="10926" w:name="_Toc60678318"/>
      <w:r>
        <w:rPr>
          <w:rFonts w:hint="cs"/>
          <w:rtl/>
        </w:rPr>
        <w:t>ביאור רבי ראובן ברמב"ן</w:t>
      </w:r>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r>
        <w:rPr>
          <w:rFonts w:hint="cs"/>
          <w:rtl/>
        </w:rPr>
        <w:t xml:space="preserve"> דבטענת חד יומא המיגו לא מברר</w:t>
      </w:r>
      <w:bookmarkEnd w:id="10926"/>
    </w:p>
    <w:p w:rsidR="006A4297" w:rsidRDefault="006A4297" w:rsidP="006A4297">
      <w:pPr>
        <w:pStyle w:val="a3"/>
        <w:rPr>
          <w:rtl/>
        </w:rPr>
      </w:pPr>
      <w:bookmarkStart w:id="10927" w:name="_Toc60678319"/>
      <w:r>
        <w:rPr>
          <w:rFonts w:hint="cs"/>
          <w:rtl/>
        </w:rPr>
        <w:t>ביאור רבי ראובן ברמב"ן דמיגו הוא נאמנות ולא בירור לטענתו ודין טענינן הוא רק בבירור</w:t>
      </w:r>
      <w:bookmarkEnd w:id="10927"/>
    </w:p>
    <w:p w:rsidR="006A4297" w:rsidRDefault="006A4297" w:rsidP="007E4E81">
      <w:pPr>
        <w:pStyle w:val="a0"/>
        <w:rPr>
          <w:rtl/>
        </w:rPr>
      </w:pPr>
      <w:bookmarkStart w:id="10928" w:name="_Ref60656983"/>
      <w:r>
        <w:rPr>
          <w:rFonts w:hint="cs"/>
          <w:rtl/>
        </w:rPr>
        <w:t xml:space="preserve">במ"ש </w:t>
      </w:r>
      <w:r w:rsidRPr="00585920">
        <w:rPr>
          <w:rStyle w:val="af9"/>
          <w:rFonts w:hint="cs"/>
          <w:rtl/>
        </w:rPr>
        <w:t>הרמב"ן במלחמות</w:t>
      </w:r>
      <w:r w:rsidRPr="00FE7BFF">
        <w:rPr>
          <w:rFonts w:hint="cs"/>
          <w:rtl/>
        </w:rPr>
        <w:t xml:space="preserve"> </w:t>
      </w:r>
      <w:r w:rsidRPr="006E66D8">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Ref60656687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Pr>
          <w:rStyle w:val="af7"/>
          <w:rFonts w:eastAsia="Guttman Hodes"/>
          <w:rtl/>
        </w:rPr>
        <w:fldChar w:fldCharType="end"/>
      </w:r>
      <w:r w:rsidRPr="006E66D8">
        <w:rPr>
          <w:rStyle w:val="af7"/>
          <w:rFonts w:eastAsia="Guttman Hodes" w:hint="cs"/>
          <w:rtl/>
        </w:rPr>
        <w:t xml:space="preserve"> </w:t>
      </w:r>
      <w:r w:rsidRPr="00FE7BFF">
        <w:rPr>
          <w:rFonts w:hint="cs"/>
          <w:rtl/>
        </w:rPr>
        <w:t xml:space="preserve">דכ"מ דטענינן ללוקח הוא רק כשיש עדים </w:t>
      </w:r>
      <w:r>
        <w:rPr>
          <w:rFonts w:hint="cs"/>
          <w:rtl/>
        </w:rPr>
        <w:t>קמי דידי דר בה המוכר חד יומא</w:t>
      </w:r>
      <w:r w:rsidRPr="00FE7BFF">
        <w:rPr>
          <w:rFonts w:hint="cs"/>
          <w:rtl/>
        </w:rPr>
        <w:t>, דרגלים לדבר שהמוכר קנה מהמערער</w:t>
      </w:r>
      <w:r>
        <w:rPr>
          <w:rFonts w:hint="cs"/>
          <w:rtl/>
        </w:rPr>
        <w:t xml:space="preserve">, וכדביאר </w:t>
      </w:r>
      <w:r w:rsidRPr="00AC0510">
        <w:rPr>
          <w:rStyle w:val="af9"/>
          <w:rFonts w:hint="cs"/>
          <w:rtl/>
        </w:rPr>
        <w:t>הרמב"ן לקמן</w:t>
      </w:r>
      <w:r>
        <w:rPr>
          <w:rFonts w:hint="cs"/>
          <w:rtl/>
        </w:rPr>
        <w:t xml:space="preserve"> </w:t>
      </w:r>
      <w:r w:rsidRPr="00907DB5">
        <w:rPr>
          <w:rStyle w:val="af7"/>
          <w:rFonts w:eastAsia="Guttman Hodes" w:hint="cs"/>
          <w:rtl/>
        </w:rPr>
        <w:t xml:space="preserve">(עי' אות </w:t>
      </w:r>
      <w:r w:rsidRPr="00907DB5">
        <w:rPr>
          <w:rStyle w:val="af7"/>
          <w:rFonts w:eastAsia="Guttman Hodes"/>
          <w:rtl/>
        </w:rPr>
        <w:fldChar w:fldCharType="begin"/>
      </w:r>
      <w:r w:rsidRPr="00907DB5">
        <w:rPr>
          <w:rStyle w:val="af7"/>
          <w:rFonts w:eastAsia="Guttman Hodes"/>
          <w:rtl/>
        </w:rPr>
        <w:instrText xml:space="preserve"> </w:instrText>
      </w:r>
      <w:r w:rsidRPr="00907DB5">
        <w:rPr>
          <w:rStyle w:val="af7"/>
          <w:rFonts w:eastAsia="Guttman Hodes" w:hint="cs"/>
        </w:rPr>
        <w:instrText>REF</w:instrText>
      </w:r>
      <w:r w:rsidRPr="00907DB5">
        <w:rPr>
          <w:rStyle w:val="af7"/>
          <w:rFonts w:eastAsia="Guttman Hodes" w:hint="cs"/>
          <w:rtl/>
        </w:rPr>
        <w:instrText xml:space="preserve"> _</w:instrText>
      </w:r>
      <w:r w:rsidRPr="00907DB5">
        <w:rPr>
          <w:rStyle w:val="af7"/>
          <w:rFonts w:eastAsia="Guttman Hodes" w:hint="cs"/>
        </w:rPr>
        <w:instrText>Ref60133638 \r \h</w:instrText>
      </w:r>
      <w:r w:rsidRPr="00907DB5">
        <w:rPr>
          <w:rStyle w:val="af7"/>
          <w:rFonts w:eastAsia="Guttman Hodes"/>
          <w:rtl/>
        </w:rPr>
        <w:instrText xml:space="preserve"> </w:instrText>
      </w:r>
      <w:r w:rsidRPr="00907DB5">
        <w:rPr>
          <w:rStyle w:val="af7"/>
          <w:rFonts w:eastAsia="Guttman Hodes"/>
          <w:rtl/>
        </w:rPr>
      </w:r>
      <w:r w:rsidRPr="00907DB5">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907DB5">
        <w:rPr>
          <w:rStyle w:val="af7"/>
          <w:rFonts w:eastAsia="Guttman Hodes"/>
          <w:rtl/>
        </w:rPr>
        <w:fldChar w:fldCharType="end"/>
      </w:r>
      <w:r w:rsidRPr="004A243F">
        <w:rPr>
          <w:rStyle w:val="af9"/>
          <w:rFonts w:hint="cs"/>
          <w:rtl/>
        </w:rPr>
        <w:t xml:space="preserve"> </w:t>
      </w:r>
      <w:r>
        <w:rPr>
          <w:rFonts w:hint="cs"/>
          <w:rtl/>
        </w:rPr>
        <w:t xml:space="preserve">דאעפ"י שהמחזיק טוען דדר בה, מ"מ א"א לטעון לו מחמת כן, דלא מפיו אנו </w:t>
      </w:r>
      <w:r>
        <w:rPr>
          <w:rFonts w:hint="cs"/>
          <w:rtl/>
        </w:rPr>
        <w:t xml:space="preserve">חיין, כתב </w:t>
      </w:r>
      <w:r w:rsidRPr="00D55698">
        <w:rPr>
          <w:rStyle w:val="af9"/>
          <w:rFonts w:hint="cs"/>
          <w:rtl/>
        </w:rPr>
        <w:t>בחי' רבי ראובן</w:t>
      </w:r>
      <w:r>
        <w:rPr>
          <w:rFonts w:hint="cs"/>
          <w:rtl/>
        </w:rPr>
        <w:t xml:space="preserve"> </w:t>
      </w:r>
      <w:r w:rsidRPr="00D55698">
        <w:rPr>
          <w:rStyle w:val="af7"/>
          <w:rFonts w:eastAsia="Guttman Hodes" w:hint="cs"/>
          <w:rtl/>
        </w:rPr>
        <w:t>(סי' י"ב ד"ה והנה הא)</w:t>
      </w:r>
      <w:r>
        <w:rPr>
          <w:rFonts w:hint="cs"/>
          <w:rtl/>
        </w:rPr>
        <w:t xml:space="preserve"> דכוונת </w:t>
      </w:r>
      <w:r w:rsidRPr="00D55698">
        <w:rPr>
          <w:rStyle w:val="af9"/>
          <w:rFonts w:hint="cs"/>
          <w:rtl/>
        </w:rPr>
        <w:t>הרמב"ן</w:t>
      </w:r>
      <w:r>
        <w:rPr>
          <w:rFonts w:hint="cs"/>
          <w:rtl/>
        </w:rPr>
        <w:t xml:space="preserve"> לומר דמיגו הוא רק נאמנות לטענה שלו, אך אינו ראיה או בירור, ולכן אין בו דין טענינן, דרק בטענה שזוכה מחמת הטענה עצמה שהיא מבררת כדבריו טענינן ליה.</w:t>
      </w:r>
      <w:bookmarkEnd w:id="10928"/>
    </w:p>
    <w:p w:rsidR="006A4297" w:rsidRDefault="006A4297" w:rsidP="006A4297">
      <w:pPr>
        <w:pStyle w:val="a3"/>
        <w:rPr>
          <w:rtl/>
        </w:rPr>
      </w:pPr>
      <w:bookmarkStart w:id="10929" w:name="_Toc60678320"/>
      <w:r>
        <w:rPr>
          <w:rFonts w:hint="cs"/>
          <w:rtl/>
        </w:rPr>
        <w:t>ביאור רבי ראובן דבטענת חד יומא שאינו זוכה מחמת הטענה עצמה כל שלא התברר לא טענינן</w:t>
      </w:r>
      <w:bookmarkEnd w:id="10929"/>
    </w:p>
    <w:p w:rsidR="006A4297" w:rsidRDefault="006A4297" w:rsidP="007E4E81">
      <w:pPr>
        <w:pStyle w:val="a0"/>
      </w:pPr>
      <w:r>
        <w:rPr>
          <w:rFonts w:hint="cs"/>
          <w:rtl/>
        </w:rPr>
        <w:t xml:space="preserve">וביאר </w:t>
      </w:r>
      <w:r w:rsidRPr="00056F31">
        <w:rPr>
          <w:rStyle w:val="af9"/>
          <w:rFonts w:hint="cs"/>
          <w:rtl/>
        </w:rPr>
        <w:t>בחי'</w:t>
      </w:r>
      <w:r>
        <w:rPr>
          <w:rFonts w:hint="cs"/>
          <w:rtl/>
        </w:rPr>
        <w:t xml:space="preserve"> </w:t>
      </w:r>
      <w:r w:rsidRPr="00056F31">
        <w:rPr>
          <w:rStyle w:val="af9"/>
          <w:rFonts w:hint="cs"/>
          <w:rtl/>
        </w:rPr>
        <w:t>רבי</w:t>
      </w:r>
      <w:r>
        <w:rPr>
          <w:rFonts w:hint="cs"/>
          <w:rtl/>
        </w:rPr>
        <w:t xml:space="preserve"> </w:t>
      </w:r>
      <w:r w:rsidRPr="00056F31">
        <w:rPr>
          <w:rStyle w:val="af9"/>
          <w:rFonts w:hint="cs"/>
          <w:rtl/>
        </w:rPr>
        <w:t>ראובן</w:t>
      </w:r>
      <w:r>
        <w:rPr>
          <w:rFonts w:hint="cs"/>
          <w:rtl/>
        </w:rPr>
        <w:t xml:space="preserve"> דלכן המיגו מהני רק לטענה עצמה שהוא זוכה בה, אבל כשטוען דדר בה חד יומא, אינו זוכה ע"י הטענה עצמה, אלא דיכול לזכות בזה ע"י טענינן, וכיון שלנו אין בירור דדר בה חד יומא, אין אנו יכולים לטעון כן, דלא מפיו אנו חיים.</w:t>
      </w:r>
    </w:p>
    <w:p w:rsidR="006A4297" w:rsidRDefault="006A4297" w:rsidP="006A4297">
      <w:pPr>
        <w:pStyle w:val="1"/>
        <w:rPr>
          <w:rtl/>
        </w:rPr>
      </w:pPr>
      <w:bookmarkStart w:id="10930" w:name="_Toc60678321"/>
      <w:bookmarkStart w:id="10931" w:name="_Toc60086881"/>
      <w:bookmarkStart w:id="10932" w:name="_Toc60173448"/>
      <w:bookmarkStart w:id="10933" w:name="_Toc60303801"/>
      <w:bookmarkStart w:id="10934" w:name="_Toc60357081"/>
      <w:bookmarkStart w:id="10935" w:name="_Toc60589228"/>
      <w:bookmarkStart w:id="10936" w:name="_Toc60612683"/>
      <w:bookmarkStart w:id="10937" w:name="_Toc60616541"/>
      <w:r>
        <w:rPr>
          <w:rFonts w:hint="cs"/>
          <w:rtl/>
        </w:rPr>
        <w:t>בי' האבי עזרי ברמב"ן דנאמנות המיגו על הקרקע ולא בטענתו</w:t>
      </w:r>
      <w:bookmarkEnd w:id="10930"/>
    </w:p>
    <w:p w:rsidR="006A4297" w:rsidRDefault="006A4297" w:rsidP="006A4297">
      <w:pPr>
        <w:pStyle w:val="a3"/>
        <w:rPr>
          <w:rtl/>
        </w:rPr>
      </w:pPr>
      <w:bookmarkStart w:id="10938" w:name="_Toc60678322"/>
      <w:r>
        <w:rPr>
          <w:rFonts w:hint="cs"/>
          <w:rtl/>
        </w:rPr>
        <w:t>ביאור האבי עזרי בנימוק"י דנאמנות המיגו היא רק כשזוכה בקרקע ע"י טענת המיגו עצמה</w:t>
      </w:r>
      <w:bookmarkEnd w:id="10938"/>
    </w:p>
    <w:p w:rsidR="006A4297" w:rsidRDefault="006A4297" w:rsidP="007E4E81">
      <w:pPr>
        <w:pStyle w:val="a0"/>
      </w:pPr>
      <w:bookmarkStart w:id="10939" w:name="_Ref60674827"/>
      <w:r>
        <w:rPr>
          <w:rStyle w:val="af9"/>
          <w:rFonts w:hint="cs"/>
          <w:rtl/>
        </w:rPr>
        <w:t>ו</w:t>
      </w:r>
      <w:r w:rsidRPr="0048652A">
        <w:rPr>
          <w:rStyle w:val="af9"/>
          <w:rFonts w:hint="cs"/>
          <w:rtl/>
        </w:rPr>
        <w:t>האבי</w:t>
      </w:r>
      <w:r>
        <w:rPr>
          <w:rFonts w:hint="cs"/>
          <w:rtl/>
        </w:rPr>
        <w:t xml:space="preserve"> </w:t>
      </w:r>
      <w:r w:rsidRPr="0048652A">
        <w:rPr>
          <w:rStyle w:val="af9"/>
          <w:rFonts w:hint="cs"/>
          <w:rtl/>
        </w:rPr>
        <w:t>עזרי</w:t>
      </w:r>
      <w:r>
        <w:rPr>
          <w:rFonts w:hint="cs"/>
          <w:rtl/>
        </w:rPr>
        <w:t xml:space="preserve"> </w:t>
      </w:r>
      <w:r w:rsidRPr="007B650F">
        <w:rPr>
          <w:rStyle w:val="af7"/>
          <w:rFonts w:eastAsia="Guttman Hodes" w:hint="cs"/>
          <w:rtl/>
        </w:rPr>
        <w:t>(טו"נ פט"ו ה"י ד"ה ונראה)</w:t>
      </w:r>
      <w:r>
        <w:rPr>
          <w:rFonts w:hint="cs"/>
          <w:rtl/>
        </w:rPr>
        <w:t xml:space="preserve"> ביאר את דברי </w:t>
      </w:r>
      <w:r w:rsidRPr="0048652A">
        <w:rPr>
          <w:rStyle w:val="af9"/>
          <w:rFonts w:hint="cs"/>
          <w:rtl/>
        </w:rPr>
        <w:t>הנימוק"י</w:t>
      </w:r>
      <w:r>
        <w:rPr>
          <w:rFonts w:hint="cs"/>
          <w:rtl/>
        </w:rPr>
        <w:t xml:space="preserve"> </w:t>
      </w:r>
      <w:r w:rsidRPr="00A8567B">
        <w:rPr>
          <w:rStyle w:val="af7"/>
          <w:rFonts w:eastAsia="Guttman Hodes" w:hint="cs"/>
          <w:rtl/>
        </w:rPr>
        <w:t xml:space="preserve">(עי' אות </w:t>
      </w:r>
      <w:r w:rsidRPr="00A8567B">
        <w:rPr>
          <w:rStyle w:val="af7"/>
          <w:rFonts w:eastAsia="Guttman Hodes"/>
          <w:rtl/>
        </w:rPr>
        <w:fldChar w:fldCharType="begin"/>
      </w:r>
      <w:r w:rsidRPr="00A8567B">
        <w:rPr>
          <w:rStyle w:val="af7"/>
          <w:rFonts w:eastAsia="Guttman Hodes"/>
          <w:rtl/>
        </w:rPr>
        <w:instrText xml:space="preserve"> </w:instrText>
      </w:r>
      <w:r w:rsidRPr="00A8567B">
        <w:rPr>
          <w:rStyle w:val="af7"/>
          <w:rFonts w:eastAsia="Guttman Hodes" w:hint="cs"/>
        </w:rPr>
        <w:instrText>REF</w:instrText>
      </w:r>
      <w:r w:rsidRPr="00A8567B">
        <w:rPr>
          <w:rStyle w:val="af7"/>
          <w:rFonts w:eastAsia="Guttman Hodes" w:hint="cs"/>
          <w:rtl/>
        </w:rPr>
        <w:instrText xml:space="preserve"> _</w:instrText>
      </w:r>
      <w:r w:rsidRPr="00A8567B">
        <w:rPr>
          <w:rStyle w:val="af7"/>
          <w:rFonts w:eastAsia="Guttman Hodes" w:hint="cs"/>
        </w:rPr>
        <w:instrText>Ref60674893 \r \h</w:instrText>
      </w:r>
      <w:r w:rsidRPr="00A8567B">
        <w:rPr>
          <w:rStyle w:val="af7"/>
          <w:rFonts w:eastAsia="Guttman Hodes"/>
          <w:rtl/>
        </w:rPr>
        <w:instrText xml:space="preserve"> </w:instrText>
      </w:r>
      <w:r w:rsidRPr="00A8567B">
        <w:rPr>
          <w:rStyle w:val="af7"/>
          <w:rFonts w:eastAsia="Guttman Hodes"/>
          <w:rtl/>
        </w:rPr>
      </w:r>
      <w:r w:rsidRPr="00A8567B">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A8567B">
        <w:rPr>
          <w:rStyle w:val="af7"/>
          <w:rFonts w:eastAsia="Guttman Hodes"/>
          <w:rtl/>
        </w:rPr>
        <w:fldChar w:fldCharType="end"/>
      </w:r>
      <w:r>
        <w:rPr>
          <w:rFonts w:hint="cs"/>
          <w:rtl/>
        </w:rPr>
        <w:t xml:space="preserve"> בדעת </w:t>
      </w:r>
      <w:r w:rsidRPr="0048652A">
        <w:rPr>
          <w:rStyle w:val="af9"/>
          <w:rFonts w:hint="cs"/>
          <w:rtl/>
        </w:rPr>
        <w:t xml:space="preserve">הרמב"ן </w:t>
      </w:r>
      <w:r w:rsidRPr="00907DB5">
        <w:rPr>
          <w:rStyle w:val="af7"/>
          <w:rFonts w:eastAsia="Guttman Hodes" w:hint="cs"/>
          <w:rtl/>
        </w:rPr>
        <w:t xml:space="preserve">(עי' אות </w:t>
      </w:r>
      <w:r w:rsidRPr="00907DB5">
        <w:rPr>
          <w:rStyle w:val="af7"/>
          <w:rFonts w:eastAsia="Guttman Hodes"/>
          <w:rtl/>
        </w:rPr>
        <w:fldChar w:fldCharType="begin"/>
      </w:r>
      <w:r w:rsidRPr="00907DB5">
        <w:rPr>
          <w:rStyle w:val="af7"/>
          <w:rFonts w:eastAsia="Guttman Hodes"/>
          <w:rtl/>
        </w:rPr>
        <w:instrText xml:space="preserve"> </w:instrText>
      </w:r>
      <w:r w:rsidRPr="00907DB5">
        <w:rPr>
          <w:rStyle w:val="af7"/>
          <w:rFonts w:eastAsia="Guttman Hodes" w:hint="cs"/>
        </w:rPr>
        <w:instrText>REF</w:instrText>
      </w:r>
      <w:r w:rsidRPr="00907DB5">
        <w:rPr>
          <w:rStyle w:val="af7"/>
          <w:rFonts w:eastAsia="Guttman Hodes" w:hint="cs"/>
          <w:rtl/>
        </w:rPr>
        <w:instrText xml:space="preserve"> _</w:instrText>
      </w:r>
      <w:r w:rsidRPr="00907DB5">
        <w:rPr>
          <w:rStyle w:val="af7"/>
          <w:rFonts w:eastAsia="Guttman Hodes" w:hint="cs"/>
        </w:rPr>
        <w:instrText>Ref60133638 \r \h</w:instrText>
      </w:r>
      <w:r w:rsidRPr="00907DB5">
        <w:rPr>
          <w:rStyle w:val="af7"/>
          <w:rFonts w:eastAsia="Guttman Hodes"/>
          <w:rtl/>
        </w:rPr>
        <w:instrText xml:space="preserve"> </w:instrText>
      </w:r>
      <w:r w:rsidRPr="00907DB5">
        <w:rPr>
          <w:rStyle w:val="af7"/>
          <w:rFonts w:eastAsia="Guttman Hodes"/>
          <w:rtl/>
        </w:rPr>
      </w:r>
      <w:r w:rsidRPr="00907DB5">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907DB5">
        <w:rPr>
          <w:rStyle w:val="af7"/>
          <w:rFonts w:eastAsia="Guttman Hodes"/>
          <w:rtl/>
        </w:rPr>
        <w:fldChar w:fldCharType="end"/>
      </w:r>
      <w:r w:rsidRPr="004A243F">
        <w:rPr>
          <w:rStyle w:val="af9"/>
          <w:rFonts w:hint="cs"/>
          <w:rtl/>
        </w:rPr>
        <w:t xml:space="preserve"> </w:t>
      </w:r>
      <w:r>
        <w:rPr>
          <w:rFonts w:hint="cs"/>
          <w:rtl/>
        </w:rPr>
        <w:t>דכיון דאף אחר המיגו נשאר ספק אם המוכר קנה מהמערער, לא אמרינן מיגו דלא מפיו אנו חיין, דהיינו דהנאמנות של המיגו היא רק באופן דכשאנו מאמינים לו במיגו הוא זוכה בזה בקרקע.</w:t>
      </w:r>
      <w:bookmarkEnd w:id="10939"/>
    </w:p>
    <w:p w:rsidR="006A4297" w:rsidRDefault="006A4297" w:rsidP="006A4297">
      <w:pPr>
        <w:pStyle w:val="a3"/>
        <w:rPr>
          <w:rtl/>
        </w:rPr>
      </w:pPr>
      <w:bookmarkStart w:id="10940" w:name="_Toc60678323"/>
      <w:r>
        <w:rPr>
          <w:rFonts w:hint="cs"/>
          <w:rtl/>
        </w:rPr>
        <w:t>ביאור האבי עזרי בנימוק"י דבחד יומא זוכה מחמת טענינן ונאמן במיגו בקרקע ולא על טענתו</w:t>
      </w:r>
      <w:bookmarkEnd w:id="10940"/>
    </w:p>
    <w:p w:rsidR="006A4297" w:rsidRDefault="006A4297" w:rsidP="007E4E81">
      <w:pPr>
        <w:pStyle w:val="a0"/>
      </w:pPr>
      <w:r>
        <w:rPr>
          <w:rFonts w:hint="cs"/>
          <w:rtl/>
        </w:rPr>
        <w:t xml:space="preserve">אבל בדר בה חד יומא, ביאר </w:t>
      </w:r>
      <w:r w:rsidRPr="0048652A">
        <w:rPr>
          <w:rStyle w:val="af9"/>
          <w:rFonts w:hint="cs"/>
          <w:rtl/>
        </w:rPr>
        <w:t>האבי</w:t>
      </w:r>
      <w:r>
        <w:rPr>
          <w:rFonts w:hint="cs"/>
          <w:rtl/>
        </w:rPr>
        <w:t xml:space="preserve"> </w:t>
      </w:r>
      <w:r w:rsidRPr="0048652A">
        <w:rPr>
          <w:rStyle w:val="af9"/>
          <w:rFonts w:hint="cs"/>
          <w:rtl/>
        </w:rPr>
        <w:t>עזרי</w:t>
      </w:r>
      <w:r>
        <w:rPr>
          <w:rFonts w:hint="cs"/>
          <w:rtl/>
        </w:rPr>
        <w:t xml:space="preserve"> דכיון דאינו זוכה מכח המיגו, ורק ע"י טענינן הוא זוכה בקרקע, והרי הנאמנות שלו היא על הקרקע עצמה, דהיה יכול לטעון שלא הייתה של המערער מעולם, אך אין לו נאמנות במיגו על טענות דהמוכר דר בה חד יומא, וא"כ לא מפיו אנו חיים דנאמין לו דדר בה המוכר חד יומא, כיון שע"ז אין לו כל נאמנות.</w:t>
      </w:r>
    </w:p>
    <w:p w:rsidR="006A4297" w:rsidRPr="007E494E" w:rsidRDefault="006A4297" w:rsidP="006A4297">
      <w:pPr>
        <w:pStyle w:val="1"/>
      </w:pPr>
      <w:bookmarkStart w:id="10941" w:name="_Toc60678324"/>
      <w:r>
        <w:rPr>
          <w:rFonts w:hint="cs"/>
          <w:rtl/>
        </w:rPr>
        <w:t>ביאור רבי ראובן בפלוגתת הרשב"ם ותוס' בגדר דין טענינן</w:t>
      </w:r>
      <w:bookmarkEnd w:id="10931"/>
      <w:bookmarkEnd w:id="10932"/>
      <w:bookmarkEnd w:id="10933"/>
      <w:bookmarkEnd w:id="10934"/>
      <w:bookmarkEnd w:id="10935"/>
      <w:bookmarkEnd w:id="10936"/>
      <w:bookmarkEnd w:id="10937"/>
      <w:bookmarkEnd w:id="10941"/>
    </w:p>
    <w:p w:rsidR="006A4297" w:rsidRPr="001D47AF" w:rsidRDefault="006A4297" w:rsidP="006A4297">
      <w:pPr>
        <w:pStyle w:val="a3"/>
        <w:rPr>
          <w:rtl/>
        </w:rPr>
      </w:pPr>
      <w:bookmarkStart w:id="10942" w:name="_Toc60678325"/>
      <w:r>
        <w:rPr>
          <w:rFonts w:hint="cs"/>
          <w:rtl/>
        </w:rPr>
        <w:t>ביאור רבי ראובן ברשב"ם דרק בחזקה טענינן כיון דטענינן רק כשיש דררא לב"ד דהמחזיק לוקח</w:t>
      </w:r>
      <w:bookmarkEnd w:id="10942"/>
    </w:p>
    <w:p w:rsidR="006A4297" w:rsidRDefault="006A4297" w:rsidP="007E4E81">
      <w:pPr>
        <w:pStyle w:val="a0"/>
        <w:rPr>
          <w:rtl/>
        </w:rPr>
      </w:pPr>
      <w:bookmarkStart w:id="10943" w:name="_Ref60138671"/>
      <w:bookmarkStart w:id="10944" w:name="_Ref60657525"/>
      <w:r w:rsidRPr="00427046">
        <w:rPr>
          <w:rFonts w:hint="cs"/>
          <w:rtl/>
        </w:rPr>
        <w:t xml:space="preserve">כתב </w:t>
      </w:r>
      <w:r w:rsidRPr="00D55698">
        <w:rPr>
          <w:rStyle w:val="af9"/>
          <w:rFonts w:hint="cs"/>
          <w:rtl/>
        </w:rPr>
        <w:t>בחי' רבי ראובן</w:t>
      </w:r>
      <w:r>
        <w:rPr>
          <w:rFonts w:hint="cs"/>
          <w:rtl/>
        </w:rPr>
        <w:t xml:space="preserve"> </w:t>
      </w:r>
      <w:r w:rsidRPr="00D55698">
        <w:rPr>
          <w:rStyle w:val="af7"/>
          <w:rFonts w:eastAsia="Guttman Hodes" w:hint="cs"/>
          <w:rtl/>
        </w:rPr>
        <w:t>(סי' י"ב ד"ה</w:t>
      </w:r>
      <w:r>
        <w:rPr>
          <w:rStyle w:val="af7"/>
          <w:rFonts w:eastAsia="Guttman Hodes" w:hint="cs"/>
          <w:rtl/>
        </w:rPr>
        <w:t xml:space="preserve"> דף ל.)</w:t>
      </w:r>
      <w:r>
        <w:rPr>
          <w:rFonts w:hint="cs"/>
          <w:rtl/>
        </w:rPr>
        <w:t xml:space="preserve"> דמדברי </w:t>
      </w:r>
      <w:r w:rsidRPr="00056F31">
        <w:rPr>
          <w:rStyle w:val="af9"/>
          <w:rFonts w:hint="cs"/>
          <w:rtl/>
        </w:rPr>
        <w:t>התוס</w:t>
      </w:r>
      <w:r>
        <w:rPr>
          <w:rStyle w:val="af9"/>
          <w:rFonts w:hint="cs"/>
          <w:rtl/>
        </w:rPr>
        <w:t>'</w:t>
      </w:r>
      <w:r w:rsidRPr="00056F31">
        <w:rPr>
          <w:rStyle w:val="af9"/>
          <w:rFonts w:hint="cs"/>
          <w:rtl/>
        </w:rPr>
        <w:t xml:space="preserve"> </w:t>
      </w:r>
      <w:r w:rsidRPr="00C90A62">
        <w:rPr>
          <w:rStyle w:val="af7"/>
          <w:rFonts w:eastAsia="Guttman Hodes" w:hint="cs"/>
          <w:rtl/>
        </w:rPr>
        <w:t xml:space="preserve">(עי' אות </w:t>
      </w:r>
      <w:r w:rsidRPr="00C90A62">
        <w:rPr>
          <w:rStyle w:val="af7"/>
          <w:rFonts w:eastAsia="Guttman Hodes"/>
          <w:rtl/>
        </w:rPr>
        <w:fldChar w:fldCharType="begin"/>
      </w:r>
      <w:r w:rsidRPr="00C90A62">
        <w:rPr>
          <w:rStyle w:val="af7"/>
          <w:rFonts w:eastAsia="Guttman Hodes"/>
          <w:rtl/>
        </w:rPr>
        <w:instrText xml:space="preserve"> </w:instrText>
      </w:r>
      <w:r w:rsidRPr="00C90A62">
        <w:rPr>
          <w:rStyle w:val="af7"/>
          <w:rFonts w:eastAsia="Guttman Hodes" w:hint="cs"/>
        </w:rPr>
        <w:instrText>REF</w:instrText>
      </w:r>
      <w:r w:rsidRPr="00C90A62">
        <w:rPr>
          <w:rStyle w:val="af7"/>
          <w:rFonts w:eastAsia="Guttman Hodes" w:hint="cs"/>
          <w:rtl/>
        </w:rPr>
        <w:instrText xml:space="preserve"> _</w:instrText>
      </w:r>
      <w:r w:rsidRPr="00C90A62">
        <w:rPr>
          <w:rStyle w:val="af7"/>
          <w:rFonts w:eastAsia="Guttman Hodes" w:hint="cs"/>
        </w:rPr>
        <w:instrText>Ref60656918 \r \h</w:instrText>
      </w:r>
      <w:r w:rsidRPr="00C90A62">
        <w:rPr>
          <w:rStyle w:val="af7"/>
          <w:rFonts w:eastAsia="Guttman Hodes"/>
          <w:rtl/>
        </w:rPr>
        <w:instrText xml:space="preserve"> </w:instrText>
      </w:r>
      <w:r w:rsidRPr="00C90A62">
        <w:rPr>
          <w:rStyle w:val="af7"/>
          <w:rFonts w:eastAsia="Guttman Hodes"/>
          <w:rtl/>
        </w:rPr>
      </w:r>
      <w:r w:rsidRPr="00C90A62">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C90A62">
        <w:rPr>
          <w:rStyle w:val="af7"/>
          <w:rFonts w:eastAsia="Guttman Hodes"/>
          <w:rtl/>
        </w:rPr>
        <w:fldChar w:fldCharType="end"/>
      </w:r>
      <w:r>
        <w:rPr>
          <w:rFonts w:hint="cs"/>
          <w:rtl/>
        </w:rPr>
        <w:t xml:space="preserve"> משמע דס"ל דלעולם טענינן למחזיק, ונחלקו על </w:t>
      </w:r>
      <w:r w:rsidRPr="00056F31">
        <w:rPr>
          <w:rStyle w:val="af9"/>
          <w:rFonts w:hint="cs"/>
          <w:rtl/>
        </w:rPr>
        <w:t>הרשב"ם</w:t>
      </w:r>
      <w:r>
        <w:rPr>
          <w:rFonts w:hint="cs"/>
          <w:rtl/>
        </w:rPr>
        <w:t xml:space="preserve"> בב' דברים, דאף שאין למחזיק חזקת ג"ש, טענינן ליה, בין אם יש למחזיק עדים דדר בה חד יומא, ובין אם רק טוען דקמי דידי דר בה חד יומא, ובדעת </w:t>
      </w:r>
      <w:r w:rsidRPr="00774353">
        <w:rPr>
          <w:rStyle w:val="af9"/>
          <w:rFonts w:hint="cs"/>
          <w:rtl/>
        </w:rPr>
        <w:t>הרשב"ם</w:t>
      </w:r>
      <w:r>
        <w:rPr>
          <w:rFonts w:hint="cs"/>
          <w:rtl/>
        </w:rPr>
        <w:t xml:space="preserve"> </w:t>
      </w:r>
      <w:r w:rsidRPr="00C90A62">
        <w:rPr>
          <w:rStyle w:val="af7"/>
          <w:rFonts w:eastAsia="Guttman Hodes" w:hint="cs"/>
          <w:rtl/>
        </w:rPr>
        <w:t xml:space="preserve">(עי' אות </w:t>
      </w:r>
      <w:r w:rsidRPr="00C90A62">
        <w:rPr>
          <w:rStyle w:val="af7"/>
          <w:rFonts w:eastAsia="Guttman Hodes"/>
          <w:rtl/>
        </w:rPr>
        <w:fldChar w:fldCharType="begin"/>
      </w:r>
      <w:r w:rsidRPr="00C90A62">
        <w:rPr>
          <w:rStyle w:val="af7"/>
          <w:rFonts w:eastAsia="Guttman Hodes"/>
          <w:rtl/>
        </w:rPr>
        <w:instrText xml:space="preserve"> </w:instrText>
      </w:r>
      <w:r w:rsidRPr="00C90A62">
        <w:rPr>
          <w:rStyle w:val="af7"/>
          <w:rFonts w:eastAsia="Guttman Hodes" w:hint="cs"/>
        </w:rPr>
        <w:instrText>REF</w:instrText>
      </w:r>
      <w:r w:rsidRPr="00C90A62">
        <w:rPr>
          <w:rStyle w:val="af7"/>
          <w:rFonts w:eastAsia="Guttman Hodes" w:hint="cs"/>
          <w:rtl/>
        </w:rPr>
        <w:instrText xml:space="preserve"> _</w:instrText>
      </w:r>
      <w:r w:rsidRPr="00C90A62">
        <w:rPr>
          <w:rStyle w:val="af7"/>
          <w:rFonts w:eastAsia="Guttman Hodes" w:hint="cs"/>
        </w:rPr>
        <w:instrText>Ref60657236 \r \h</w:instrText>
      </w:r>
      <w:r w:rsidRPr="00C90A62">
        <w:rPr>
          <w:rStyle w:val="af7"/>
          <w:rFonts w:eastAsia="Guttman Hodes"/>
          <w:rtl/>
        </w:rPr>
        <w:instrText xml:space="preserve"> </w:instrText>
      </w:r>
      <w:r w:rsidRPr="00C90A62">
        <w:rPr>
          <w:rStyle w:val="af7"/>
          <w:rFonts w:eastAsia="Guttman Hodes"/>
          <w:rtl/>
        </w:rPr>
      </w:r>
      <w:r w:rsidRPr="00C90A62">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C90A62">
        <w:rPr>
          <w:rStyle w:val="af7"/>
          <w:rFonts w:eastAsia="Guttman Hodes"/>
          <w:rtl/>
        </w:rPr>
        <w:fldChar w:fldCharType="end"/>
      </w:r>
      <w:r>
        <w:rPr>
          <w:rStyle w:val="af7"/>
          <w:rFonts w:eastAsia="Guttman Hodes" w:hint="cs"/>
          <w:rtl/>
        </w:rPr>
        <w:t xml:space="preserve"> </w:t>
      </w:r>
      <w:r>
        <w:rPr>
          <w:rFonts w:hint="cs"/>
          <w:rtl/>
        </w:rPr>
        <w:t xml:space="preserve">דלא מהני דר בה חד יומא בלא חזקה, ביאר </w:t>
      </w:r>
      <w:r w:rsidRPr="00D55698">
        <w:rPr>
          <w:rStyle w:val="af9"/>
          <w:rFonts w:hint="cs"/>
          <w:rtl/>
        </w:rPr>
        <w:t>בחי' רבי ראובן</w:t>
      </w:r>
      <w:r>
        <w:rPr>
          <w:rFonts w:hint="cs"/>
          <w:rtl/>
        </w:rPr>
        <w:t xml:space="preserve"> </w:t>
      </w:r>
      <w:r w:rsidRPr="00D55698">
        <w:rPr>
          <w:rStyle w:val="af7"/>
          <w:rFonts w:eastAsia="Guttman Hodes" w:hint="cs"/>
          <w:rtl/>
        </w:rPr>
        <w:t>(סי' י"ב ד"ה</w:t>
      </w:r>
      <w:r>
        <w:rPr>
          <w:rStyle w:val="af7"/>
          <w:rFonts w:eastAsia="Guttman Hodes" w:hint="cs"/>
          <w:rtl/>
        </w:rPr>
        <w:t xml:space="preserve"> והא דס"ל)</w:t>
      </w:r>
      <w:r>
        <w:rPr>
          <w:rFonts w:hint="cs"/>
          <w:rtl/>
        </w:rPr>
        <w:t xml:space="preserve"> דס"ל </w:t>
      </w:r>
      <w:r w:rsidRPr="00774353">
        <w:rPr>
          <w:rStyle w:val="af9"/>
          <w:rFonts w:hint="cs"/>
          <w:rtl/>
        </w:rPr>
        <w:t>להרשב"ם</w:t>
      </w:r>
      <w:r>
        <w:rPr>
          <w:rFonts w:hint="cs"/>
          <w:rtl/>
        </w:rPr>
        <w:t xml:space="preserve"> דדין טענינן הוא רק כשיש לב"ד דררא וספק, האם הדין הוא כלוקח או היורש, אבל במקום שאין כל ספק אין דין טענינן, </w:t>
      </w:r>
      <w:r w:rsidRPr="00623B77">
        <w:rPr>
          <w:rStyle w:val="afb"/>
          <w:rFonts w:hint="cs"/>
          <w:rtl/>
        </w:rPr>
        <w:t xml:space="preserve">[עיי"ש במה שהוכיח כן </w:t>
      </w:r>
      <w:r w:rsidRPr="00623B77">
        <w:rPr>
          <w:rStyle w:val="affa"/>
          <w:rFonts w:hint="cs"/>
          <w:rtl/>
        </w:rPr>
        <w:t xml:space="preserve">בחי' רבי ראובן </w:t>
      </w:r>
      <w:r w:rsidRPr="00623B77">
        <w:rPr>
          <w:rStyle w:val="afb"/>
          <w:rFonts w:hint="cs"/>
          <w:rtl/>
        </w:rPr>
        <w:t xml:space="preserve">מדברי </w:t>
      </w:r>
      <w:r w:rsidRPr="00623B77">
        <w:rPr>
          <w:rStyle w:val="affa"/>
          <w:rFonts w:hint="cs"/>
          <w:rtl/>
        </w:rPr>
        <w:t xml:space="preserve">הבעה"מ לקמן </w:t>
      </w:r>
      <w:r w:rsidRPr="00623B77">
        <w:rPr>
          <w:rStyle w:val="aff6"/>
          <w:rFonts w:hint="cs"/>
          <w:rtl/>
        </w:rPr>
        <w:t>(לז. מדה"ר ד"ה נימא)</w:t>
      </w:r>
      <w:r w:rsidRPr="00623B77">
        <w:rPr>
          <w:rStyle w:val="afb"/>
          <w:rFonts w:hint="cs"/>
          <w:rtl/>
        </w:rPr>
        <w:t>],</w:t>
      </w:r>
      <w:r>
        <w:rPr>
          <w:rFonts w:hint="cs"/>
          <w:rtl/>
        </w:rPr>
        <w:t xml:space="preserve"> וא"כ כל שאין למחזיק חזקת ג"ש אין כל ספק לב"ד, ואעפ"י שאם המחזיק היה טוען טענת ברי דמינך זבינתה במיגו דלא הייתה שלך מעולם, אנן לא טענינן להו, כיון שאין לנו כל דררא וספק, דהמערער הוא המוחזק, וכתב </w:t>
      </w:r>
      <w:r w:rsidRPr="00774353">
        <w:rPr>
          <w:rStyle w:val="af9"/>
          <w:rFonts w:hint="cs"/>
          <w:rtl/>
        </w:rPr>
        <w:t>בחי' רבי ראובן</w:t>
      </w:r>
      <w:r>
        <w:rPr>
          <w:rFonts w:hint="cs"/>
          <w:rtl/>
        </w:rPr>
        <w:t xml:space="preserve"> דזהו הביאור גם בדעת </w:t>
      </w:r>
      <w:r w:rsidRPr="00774353">
        <w:rPr>
          <w:rStyle w:val="af9"/>
          <w:rFonts w:hint="cs"/>
          <w:rtl/>
        </w:rPr>
        <w:t>ההג' אשר"י</w:t>
      </w:r>
      <w:r>
        <w:rPr>
          <w:rFonts w:hint="cs"/>
          <w:rtl/>
        </w:rPr>
        <w:t xml:space="preserve"> </w:t>
      </w:r>
      <w:r w:rsidRPr="00623B77">
        <w:rPr>
          <w:rStyle w:val="af7"/>
          <w:rFonts w:eastAsia="Guttman Hodes" w:hint="cs"/>
          <w:rtl/>
        </w:rPr>
        <w:t>(</w:t>
      </w:r>
      <w:r w:rsidRPr="00CB0626">
        <w:rPr>
          <w:rStyle w:val="af7"/>
          <w:rFonts w:eastAsia="Guttman Hodes" w:hint="cs"/>
          <w:rtl/>
        </w:rPr>
        <w:t xml:space="preserve">עי' </w:t>
      </w:r>
      <w:r w:rsidRPr="00B67671">
        <w:rPr>
          <w:rStyle w:val="af7"/>
          <w:rFonts w:eastAsia="Guttman Hodes" w:hint="cs"/>
          <w:rtl/>
        </w:rPr>
        <w:t xml:space="preserve">אות </w:t>
      </w:r>
      <w:bookmarkEnd w:id="10943"/>
      <w:r w:rsidRPr="00B67671">
        <w:rPr>
          <w:rStyle w:val="af7"/>
          <w:rFonts w:eastAsia="Guttman Hodes"/>
          <w:rtl/>
        </w:rPr>
        <w:fldChar w:fldCharType="begin"/>
      </w:r>
      <w:r w:rsidRPr="00B67671">
        <w:rPr>
          <w:rStyle w:val="af7"/>
          <w:rFonts w:eastAsia="Guttman Hodes"/>
          <w:rtl/>
        </w:rPr>
        <w:instrText xml:space="preserve"> </w:instrText>
      </w:r>
      <w:r w:rsidRPr="00B67671">
        <w:rPr>
          <w:rStyle w:val="af7"/>
          <w:rFonts w:eastAsia="Guttman Hodes" w:hint="cs"/>
        </w:rPr>
        <w:instrText>REF</w:instrText>
      </w:r>
      <w:r w:rsidRPr="00B67671">
        <w:rPr>
          <w:rStyle w:val="af7"/>
          <w:rFonts w:eastAsia="Guttman Hodes" w:hint="cs"/>
          <w:rtl/>
        </w:rPr>
        <w:instrText xml:space="preserve"> _</w:instrText>
      </w:r>
      <w:r w:rsidRPr="00B67671">
        <w:rPr>
          <w:rStyle w:val="af7"/>
          <w:rFonts w:eastAsia="Guttman Hodes" w:hint="cs"/>
        </w:rPr>
        <w:instrText>Ref60615316 \r \h</w:instrText>
      </w:r>
      <w:r w:rsidRPr="00B67671">
        <w:rPr>
          <w:rStyle w:val="af7"/>
          <w:rFonts w:eastAsia="Guttman Hodes"/>
          <w:rtl/>
        </w:rPr>
        <w:instrText xml:space="preserve"> </w:instrText>
      </w:r>
      <w:r w:rsidRPr="00B67671">
        <w:rPr>
          <w:rStyle w:val="af7"/>
          <w:rFonts w:eastAsia="Guttman Hodes"/>
          <w:rtl/>
        </w:rPr>
      </w:r>
      <w:r w:rsidRPr="00B67671">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B67671">
        <w:rPr>
          <w:rStyle w:val="af7"/>
          <w:rFonts w:eastAsia="Guttman Hodes"/>
          <w:rtl/>
        </w:rPr>
        <w:fldChar w:fldCharType="end"/>
      </w:r>
      <w:r>
        <w:rPr>
          <w:rFonts w:hint="cs"/>
          <w:rtl/>
        </w:rPr>
        <w:t xml:space="preserve">, ועי' במה שביאר </w:t>
      </w:r>
      <w:r w:rsidRPr="00774353">
        <w:rPr>
          <w:rStyle w:val="af9"/>
          <w:rFonts w:hint="cs"/>
          <w:rtl/>
        </w:rPr>
        <w:t>בחי' רבי ראובן</w:t>
      </w:r>
      <w:r>
        <w:rPr>
          <w:rFonts w:hint="cs"/>
          <w:rtl/>
        </w:rPr>
        <w:t xml:space="preserve"> </w:t>
      </w:r>
      <w:r w:rsidRPr="00C11926">
        <w:rPr>
          <w:rStyle w:val="af7"/>
          <w:rFonts w:eastAsia="Guttman Hodes" w:hint="cs"/>
          <w:rtl/>
        </w:rPr>
        <w:t xml:space="preserve">(עי' אות </w:t>
      </w:r>
      <w:r w:rsidRPr="00C11926">
        <w:rPr>
          <w:rStyle w:val="af7"/>
          <w:rFonts w:eastAsia="Guttman Hodes"/>
          <w:rtl/>
        </w:rPr>
        <w:fldChar w:fldCharType="begin"/>
      </w:r>
      <w:r w:rsidRPr="00C11926">
        <w:rPr>
          <w:rStyle w:val="af7"/>
          <w:rFonts w:eastAsia="Guttman Hodes"/>
          <w:rtl/>
        </w:rPr>
        <w:instrText xml:space="preserve"> </w:instrText>
      </w:r>
      <w:r w:rsidRPr="00C11926">
        <w:rPr>
          <w:rStyle w:val="af7"/>
          <w:rFonts w:eastAsia="Guttman Hodes" w:hint="cs"/>
        </w:rPr>
        <w:instrText>REF</w:instrText>
      </w:r>
      <w:r w:rsidRPr="00C11926">
        <w:rPr>
          <w:rStyle w:val="af7"/>
          <w:rFonts w:eastAsia="Guttman Hodes" w:hint="cs"/>
          <w:rtl/>
        </w:rPr>
        <w:instrText xml:space="preserve"> _</w:instrText>
      </w:r>
      <w:r w:rsidRPr="00C11926">
        <w:rPr>
          <w:rStyle w:val="af7"/>
          <w:rFonts w:eastAsia="Guttman Hodes" w:hint="cs"/>
        </w:rPr>
        <w:instrText>Ref60672826 \r \h</w:instrText>
      </w:r>
      <w:r w:rsidRPr="00C11926">
        <w:rPr>
          <w:rStyle w:val="af7"/>
          <w:rFonts w:eastAsia="Guttman Hodes"/>
          <w:rtl/>
        </w:rPr>
        <w:instrText xml:space="preserve"> </w:instrText>
      </w:r>
      <w:r w:rsidRPr="00C11926">
        <w:rPr>
          <w:rStyle w:val="af7"/>
          <w:rFonts w:eastAsia="Guttman Hodes"/>
          <w:rtl/>
        </w:rPr>
      </w:r>
      <w:r w:rsidRPr="00C11926">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C11926">
        <w:rPr>
          <w:rStyle w:val="af7"/>
          <w:rFonts w:eastAsia="Guttman Hodes"/>
          <w:rtl/>
        </w:rPr>
        <w:fldChar w:fldCharType="end"/>
      </w:r>
      <w:r>
        <w:rPr>
          <w:rFonts w:hint="cs"/>
          <w:rtl/>
        </w:rPr>
        <w:t xml:space="preserve"> בביאור </w:t>
      </w:r>
      <w:r w:rsidRPr="00C11926">
        <w:rPr>
          <w:rStyle w:val="af9"/>
          <w:rFonts w:hint="cs"/>
          <w:rtl/>
        </w:rPr>
        <w:t>הרמב"ן</w:t>
      </w:r>
      <w:r>
        <w:rPr>
          <w:rFonts w:hint="cs"/>
          <w:rtl/>
        </w:rPr>
        <w:t xml:space="preserve"> בדעת </w:t>
      </w:r>
      <w:r w:rsidRPr="00C11926">
        <w:rPr>
          <w:rStyle w:val="af9"/>
          <w:rFonts w:hint="cs"/>
          <w:rtl/>
        </w:rPr>
        <w:t>הרשב"ם</w:t>
      </w:r>
      <w:r>
        <w:rPr>
          <w:rFonts w:hint="cs"/>
          <w:rtl/>
        </w:rPr>
        <w:t>.</w:t>
      </w:r>
      <w:bookmarkEnd w:id="10944"/>
    </w:p>
    <w:p w:rsidR="006A4297" w:rsidRDefault="006A4297" w:rsidP="006A4297">
      <w:pPr>
        <w:pStyle w:val="a3"/>
        <w:rPr>
          <w:rtl/>
        </w:rPr>
      </w:pPr>
      <w:bookmarkStart w:id="10945" w:name="_Toc60678326"/>
      <w:r>
        <w:rPr>
          <w:rFonts w:hint="cs"/>
          <w:rtl/>
        </w:rPr>
        <w:t>בי' רבי ראובן דלגליון תוס' ולמהרש"א ר"י ס"ל כרשב"ם וא"כ לר"י ל"מ עידי חד יומא בלי חזקה</w:t>
      </w:r>
      <w:bookmarkEnd w:id="10945"/>
      <w:r>
        <w:rPr>
          <w:rFonts w:hint="cs"/>
          <w:rtl/>
        </w:rPr>
        <w:t xml:space="preserve"> </w:t>
      </w:r>
    </w:p>
    <w:p w:rsidR="006A4297" w:rsidRPr="00E13256" w:rsidRDefault="006A4297" w:rsidP="007E4E81">
      <w:pPr>
        <w:pStyle w:val="a0"/>
        <w:rPr>
          <w:rStyle w:val="afb"/>
          <w:rtl/>
        </w:rPr>
      </w:pPr>
      <w:bookmarkStart w:id="10946" w:name="_Ref60668017"/>
      <w:r>
        <w:rPr>
          <w:rFonts w:hint="cs"/>
          <w:rtl/>
        </w:rPr>
        <w:t xml:space="preserve">ובמ"ש </w:t>
      </w:r>
      <w:r w:rsidRPr="00670C9F">
        <w:rPr>
          <w:rStyle w:val="af9"/>
          <w:rFonts w:hint="cs"/>
          <w:rtl/>
        </w:rPr>
        <w:t>ה</w:t>
      </w:r>
      <w:r>
        <w:rPr>
          <w:rStyle w:val="af9"/>
          <w:rFonts w:hint="cs"/>
          <w:rtl/>
        </w:rPr>
        <w:t xml:space="preserve">גליון תוס' </w:t>
      </w:r>
      <w:r w:rsidRPr="007B2A61">
        <w:rPr>
          <w:rStyle w:val="af7"/>
          <w:rFonts w:eastAsia="Guttman Hodes" w:hint="cs"/>
          <w:rtl/>
        </w:rPr>
        <w:t>(עי' א</w:t>
      </w:r>
      <w:r w:rsidRPr="00C90A62">
        <w:rPr>
          <w:rStyle w:val="af7"/>
          <w:rFonts w:eastAsia="Guttman Hodes" w:hint="cs"/>
          <w:rtl/>
        </w:rPr>
        <w:t xml:space="preserve">ות </w:t>
      </w:r>
      <w:r w:rsidRPr="00C90A62">
        <w:rPr>
          <w:rStyle w:val="af7"/>
          <w:rFonts w:eastAsia="Guttman Hodes"/>
          <w:rtl/>
        </w:rPr>
        <w:fldChar w:fldCharType="begin"/>
      </w:r>
      <w:r w:rsidRPr="00C90A62">
        <w:rPr>
          <w:rStyle w:val="af7"/>
          <w:rFonts w:eastAsia="Guttman Hodes"/>
          <w:rtl/>
        </w:rPr>
        <w:instrText xml:space="preserve"> </w:instrText>
      </w:r>
      <w:r w:rsidRPr="00C90A62">
        <w:rPr>
          <w:rStyle w:val="af7"/>
          <w:rFonts w:eastAsia="Guttman Hodes" w:hint="cs"/>
        </w:rPr>
        <w:instrText>REF</w:instrText>
      </w:r>
      <w:r w:rsidRPr="00C90A62">
        <w:rPr>
          <w:rStyle w:val="af7"/>
          <w:rFonts w:eastAsia="Guttman Hodes" w:hint="cs"/>
          <w:rtl/>
        </w:rPr>
        <w:instrText xml:space="preserve"> _</w:instrText>
      </w:r>
      <w:r w:rsidRPr="00C90A62">
        <w:rPr>
          <w:rStyle w:val="af7"/>
          <w:rFonts w:eastAsia="Guttman Hodes" w:hint="cs"/>
        </w:rPr>
        <w:instrText>Ref60640974 \r \h</w:instrText>
      </w:r>
      <w:r w:rsidRPr="00C90A62">
        <w:rPr>
          <w:rStyle w:val="af7"/>
          <w:rFonts w:eastAsia="Guttman Hodes"/>
          <w:rtl/>
        </w:rPr>
        <w:instrText xml:space="preserve"> </w:instrText>
      </w:r>
      <w:r w:rsidRPr="00C90A62">
        <w:rPr>
          <w:rStyle w:val="af7"/>
          <w:rFonts w:eastAsia="Guttman Hodes"/>
          <w:rtl/>
        </w:rPr>
      </w:r>
      <w:r w:rsidRPr="00C90A62">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C90A62">
        <w:rPr>
          <w:rStyle w:val="af7"/>
          <w:rFonts w:eastAsia="Guttman Hodes"/>
          <w:rtl/>
        </w:rPr>
        <w:fldChar w:fldCharType="end"/>
      </w:r>
      <w:r w:rsidRPr="00605563">
        <w:rPr>
          <w:rFonts w:hint="cs"/>
          <w:rtl/>
        </w:rPr>
        <w:t xml:space="preserve"> </w:t>
      </w:r>
      <w:r>
        <w:rPr>
          <w:rStyle w:val="af9"/>
          <w:rFonts w:hint="cs"/>
          <w:rtl/>
        </w:rPr>
        <w:t>וה</w:t>
      </w:r>
      <w:r w:rsidRPr="00670C9F">
        <w:rPr>
          <w:rStyle w:val="af9"/>
          <w:rFonts w:hint="cs"/>
          <w:rtl/>
        </w:rPr>
        <w:t>מהרש"א</w:t>
      </w:r>
      <w:r>
        <w:rPr>
          <w:rFonts w:hint="cs"/>
          <w:rtl/>
        </w:rPr>
        <w:t xml:space="preserve"> </w:t>
      </w:r>
      <w:r w:rsidRPr="00C90A62">
        <w:rPr>
          <w:rStyle w:val="af7"/>
          <w:rFonts w:eastAsia="Guttman Hodes" w:hint="cs"/>
          <w:rtl/>
        </w:rPr>
        <w:t xml:space="preserve">(עי' אות </w:t>
      </w:r>
      <w:r w:rsidRPr="00C90A62">
        <w:rPr>
          <w:rStyle w:val="af7"/>
          <w:rFonts w:eastAsia="Guttman Hodes"/>
          <w:rtl/>
        </w:rPr>
        <w:fldChar w:fldCharType="begin"/>
      </w:r>
      <w:r w:rsidRPr="00C90A62">
        <w:rPr>
          <w:rStyle w:val="af7"/>
          <w:rFonts w:eastAsia="Guttman Hodes"/>
          <w:rtl/>
        </w:rPr>
        <w:instrText xml:space="preserve"> </w:instrText>
      </w:r>
      <w:r w:rsidRPr="00C90A62">
        <w:rPr>
          <w:rStyle w:val="af7"/>
          <w:rFonts w:eastAsia="Guttman Hodes" w:hint="cs"/>
        </w:rPr>
        <w:instrText>REF</w:instrText>
      </w:r>
      <w:r w:rsidRPr="00C90A62">
        <w:rPr>
          <w:rStyle w:val="af7"/>
          <w:rFonts w:eastAsia="Guttman Hodes" w:hint="cs"/>
          <w:rtl/>
        </w:rPr>
        <w:instrText xml:space="preserve"> _</w:instrText>
      </w:r>
      <w:r w:rsidRPr="00C90A62">
        <w:rPr>
          <w:rStyle w:val="af7"/>
          <w:rFonts w:eastAsia="Guttman Hodes" w:hint="cs"/>
        </w:rPr>
        <w:instrText>Ref60641043 \r \h</w:instrText>
      </w:r>
      <w:r w:rsidRPr="00C90A62">
        <w:rPr>
          <w:rStyle w:val="af7"/>
          <w:rFonts w:eastAsia="Guttman Hodes"/>
          <w:rtl/>
        </w:rPr>
        <w:instrText xml:space="preserve"> </w:instrText>
      </w:r>
      <w:r w:rsidRPr="00C90A62">
        <w:rPr>
          <w:rStyle w:val="af7"/>
          <w:rFonts w:eastAsia="Guttman Hodes"/>
          <w:rtl/>
        </w:rPr>
      </w:r>
      <w:r w:rsidRPr="00C90A62">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C90A62">
        <w:rPr>
          <w:rStyle w:val="af7"/>
          <w:rFonts w:eastAsia="Guttman Hodes"/>
          <w:rtl/>
        </w:rPr>
        <w:fldChar w:fldCharType="end"/>
      </w:r>
      <w:r>
        <w:rPr>
          <w:rFonts w:hint="cs"/>
          <w:rtl/>
        </w:rPr>
        <w:t xml:space="preserve"> דמ"ש דמ"ש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9662A3">
        <w:rPr>
          <w:rStyle w:val="af7"/>
          <w:rFonts w:eastAsia="Guttman Hodes" w:hint="cs"/>
          <w:rtl/>
        </w:rPr>
        <w:t xml:space="preserve">(עי' אות </w:t>
      </w:r>
      <w:r w:rsidRPr="009662A3">
        <w:rPr>
          <w:rStyle w:val="af7"/>
          <w:rFonts w:eastAsia="Guttman Hodes"/>
          <w:rtl/>
        </w:rPr>
        <w:fldChar w:fldCharType="begin"/>
      </w:r>
      <w:r w:rsidRPr="009662A3">
        <w:rPr>
          <w:rStyle w:val="af7"/>
          <w:rFonts w:eastAsia="Guttman Hodes"/>
          <w:rtl/>
        </w:rPr>
        <w:instrText xml:space="preserve"> </w:instrText>
      </w:r>
      <w:r w:rsidRPr="009662A3">
        <w:rPr>
          <w:rStyle w:val="af7"/>
          <w:rFonts w:eastAsia="Guttman Hodes" w:hint="cs"/>
        </w:rPr>
        <w:instrText>REF</w:instrText>
      </w:r>
      <w:r w:rsidRPr="009662A3">
        <w:rPr>
          <w:rStyle w:val="af7"/>
          <w:rFonts w:eastAsia="Guttman Hodes" w:hint="cs"/>
          <w:rtl/>
        </w:rPr>
        <w:instrText xml:space="preserve"> _</w:instrText>
      </w:r>
      <w:r w:rsidRPr="009662A3">
        <w:rPr>
          <w:rStyle w:val="af7"/>
          <w:rFonts w:eastAsia="Guttman Hodes" w:hint="cs"/>
        </w:rPr>
        <w:instrText>Ref60243410 \r \h</w:instrText>
      </w:r>
      <w:r w:rsidRPr="009662A3">
        <w:rPr>
          <w:rStyle w:val="af7"/>
          <w:rFonts w:eastAsia="Guttman Hodes"/>
          <w:rtl/>
        </w:rPr>
        <w:instrText xml:space="preserve"> </w:instrText>
      </w:r>
      <w:r w:rsidRPr="009662A3">
        <w:rPr>
          <w:rStyle w:val="af7"/>
          <w:rFonts w:eastAsia="Guttman Hodes"/>
          <w:rtl/>
        </w:rPr>
      </w:r>
      <w:r w:rsidRPr="009662A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9662A3">
        <w:rPr>
          <w:rStyle w:val="af7"/>
          <w:rFonts w:eastAsia="Guttman Hodes"/>
          <w:rtl/>
        </w:rPr>
        <w:fldChar w:fldCharType="end"/>
      </w:r>
      <w:r>
        <w:rPr>
          <w:rFonts w:hint="cs"/>
          <w:rtl/>
        </w:rPr>
        <w:t xml:space="preserve"> דאעפ"י שאין לו חזקת ג"ש, נאמן בטענת קמי דידי דר בה חד יומא, במיגו דהיה טוען שלא הייתה של המערער מעולם, היינו רק לדעת </w:t>
      </w:r>
      <w:r w:rsidRPr="00670C9F">
        <w:rPr>
          <w:rStyle w:val="af9"/>
          <w:rFonts w:hint="cs"/>
          <w:rtl/>
        </w:rPr>
        <w:t>הרשב"א בתוס'</w:t>
      </w:r>
      <w:r>
        <w:rPr>
          <w:rFonts w:hint="cs"/>
          <w:rtl/>
        </w:rPr>
        <w:t xml:space="preserve"> </w:t>
      </w:r>
      <w:r w:rsidRPr="007B2A61">
        <w:rPr>
          <w:rStyle w:val="af7"/>
          <w:rFonts w:eastAsia="Guttman Hodes" w:hint="cs"/>
          <w:rtl/>
        </w:rPr>
        <w:t xml:space="preserve">(עי' אות </w:t>
      </w:r>
      <w:r w:rsidRPr="007B2A61">
        <w:rPr>
          <w:rStyle w:val="af7"/>
          <w:rFonts w:eastAsia="Guttman Hodes"/>
          <w:rtl/>
        </w:rPr>
        <w:fldChar w:fldCharType="begin"/>
      </w:r>
      <w:r w:rsidRPr="007B2A61">
        <w:rPr>
          <w:rStyle w:val="af7"/>
          <w:rFonts w:eastAsia="Guttman Hodes"/>
          <w:rtl/>
        </w:rPr>
        <w:instrText xml:space="preserve"> </w:instrText>
      </w:r>
      <w:r w:rsidRPr="007B2A61">
        <w:rPr>
          <w:rStyle w:val="af7"/>
          <w:rFonts w:eastAsia="Guttman Hodes" w:hint="cs"/>
        </w:rPr>
        <w:instrText>REF</w:instrText>
      </w:r>
      <w:r w:rsidRPr="007B2A61">
        <w:rPr>
          <w:rStyle w:val="af7"/>
          <w:rFonts w:eastAsia="Guttman Hodes" w:hint="cs"/>
          <w:rtl/>
        </w:rPr>
        <w:instrText xml:space="preserve"> _</w:instrText>
      </w:r>
      <w:r w:rsidRPr="007B2A61">
        <w:rPr>
          <w:rStyle w:val="af7"/>
          <w:rFonts w:eastAsia="Guttman Hodes" w:hint="cs"/>
        </w:rPr>
        <w:instrText>Ref58148074 \r \h</w:instrText>
      </w:r>
      <w:r w:rsidRPr="007B2A6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B2A61">
        <w:rPr>
          <w:rStyle w:val="af7"/>
          <w:rFonts w:eastAsia="Guttman Hodes"/>
          <w:rtl/>
        </w:rPr>
      </w:r>
      <w:r w:rsidRPr="007B2A61">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7B2A61">
        <w:rPr>
          <w:rStyle w:val="af7"/>
          <w:rFonts w:eastAsia="Guttman Hodes"/>
          <w:rtl/>
        </w:rPr>
        <w:fldChar w:fldCharType="end"/>
      </w:r>
      <w:r>
        <w:rPr>
          <w:rFonts w:hint="cs"/>
          <w:rtl/>
        </w:rPr>
        <w:t xml:space="preserve"> ולא לדעת </w:t>
      </w:r>
      <w:r>
        <w:rPr>
          <w:rStyle w:val="af9"/>
          <w:rFonts w:hint="cs"/>
          <w:rtl/>
        </w:rPr>
        <w:t>ר</w:t>
      </w:r>
      <w:r>
        <w:rPr>
          <w:rStyle w:val="af9"/>
          <w:rtl/>
        </w:rPr>
        <w:t>"</w:t>
      </w:r>
      <w:r>
        <w:rPr>
          <w:rStyle w:val="af9"/>
          <w:rFonts w:hint="cs"/>
          <w:rtl/>
        </w:rPr>
        <w:t>י</w:t>
      </w:r>
      <w:r>
        <w:rPr>
          <w:rFonts w:hint="cs"/>
          <w:rtl/>
        </w:rPr>
        <w:t xml:space="preserve"> </w:t>
      </w:r>
      <w:r w:rsidRPr="007B2A61">
        <w:rPr>
          <w:rStyle w:val="af7"/>
          <w:rFonts w:eastAsia="Guttman Hodes" w:hint="cs"/>
          <w:rtl/>
        </w:rPr>
        <w:t xml:space="preserve">(עי' אות </w:t>
      </w:r>
      <w:r w:rsidRPr="007B2A61">
        <w:rPr>
          <w:rStyle w:val="af7"/>
          <w:rFonts w:eastAsia="Guttman Hodes"/>
          <w:rtl/>
        </w:rPr>
        <w:fldChar w:fldCharType="begin"/>
      </w:r>
      <w:r w:rsidRPr="007B2A61">
        <w:rPr>
          <w:rStyle w:val="af7"/>
          <w:rFonts w:eastAsia="Guttman Hodes"/>
          <w:rtl/>
        </w:rPr>
        <w:instrText xml:space="preserve"> </w:instrText>
      </w:r>
      <w:r w:rsidRPr="007B2A61">
        <w:rPr>
          <w:rStyle w:val="af7"/>
          <w:rFonts w:eastAsia="Guttman Hodes" w:hint="cs"/>
        </w:rPr>
        <w:instrText>REF</w:instrText>
      </w:r>
      <w:r w:rsidRPr="007B2A61">
        <w:rPr>
          <w:rStyle w:val="af7"/>
          <w:rFonts w:eastAsia="Guttman Hodes" w:hint="cs"/>
          <w:rtl/>
        </w:rPr>
        <w:instrText xml:space="preserve"> _</w:instrText>
      </w:r>
      <w:r w:rsidRPr="007B2A61">
        <w:rPr>
          <w:rStyle w:val="af7"/>
          <w:rFonts w:eastAsia="Guttman Hodes" w:hint="cs"/>
        </w:rPr>
        <w:instrText>Ref58148081 \r \h</w:instrText>
      </w:r>
      <w:r w:rsidRPr="007B2A6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B2A61">
        <w:rPr>
          <w:rStyle w:val="af7"/>
          <w:rFonts w:eastAsia="Guttman Hodes"/>
          <w:rtl/>
        </w:rPr>
      </w:r>
      <w:r w:rsidRPr="007B2A61">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Pr="007B2A61">
        <w:rPr>
          <w:rStyle w:val="af7"/>
          <w:rFonts w:eastAsia="Guttman Hodes"/>
          <w:rtl/>
        </w:rPr>
        <w:fldChar w:fldCharType="end"/>
      </w:r>
      <w:r>
        <w:rPr>
          <w:rFonts w:hint="cs"/>
          <w:rtl/>
        </w:rPr>
        <w:t>, כתב</w:t>
      </w:r>
      <w:r w:rsidRPr="007E2F27">
        <w:rPr>
          <w:rFonts w:hint="cs"/>
          <w:rtl/>
        </w:rPr>
        <w:t xml:space="preserve"> </w:t>
      </w:r>
      <w:r w:rsidRPr="00605563">
        <w:rPr>
          <w:rStyle w:val="af9"/>
          <w:rFonts w:hint="cs"/>
          <w:rtl/>
        </w:rPr>
        <w:t xml:space="preserve">בחי' רבי ראובן </w:t>
      </w:r>
      <w:r w:rsidRPr="007B2A61">
        <w:rPr>
          <w:rStyle w:val="af7"/>
          <w:rFonts w:eastAsia="Guttman Hodes" w:hint="cs"/>
          <w:rtl/>
        </w:rPr>
        <w:t>(סי' י"ב ד"ה הנה המהרש"א)</w:t>
      </w:r>
      <w:r>
        <w:rPr>
          <w:rFonts w:hint="cs"/>
          <w:rtl/>
        </w:rPr>
        <w:t xml:space="preserve"> דלפי"ז דעת </w:t>
      </w:r>
      <w:r w:rsidRPr="00C90A62">
        <w:rPr>
          <w:rStyle w:val="af9"/>
          <w:rFonts w:hint="cs"/>
          <w:rtl/>
        </w:rPr>
        <w:t>ר"י</w:t>
      </w:r>
      <w:r>
        <w:rPr>
          <w:rFonts w:hint="cs"/>
          <w:rtl/>
        </w:rPr>
        <w:t xml:space="preserve"> היא כדעת </w:t>
      </w:r>
      <w:r w:rsidRPr="00C90A62">
        <w:rPr>
          <w:rStyle w:val="af9"/>
          <w:rFonts w:hint="cs"/>
          <w:rtl/>
        </w:rPr>
        <w:t>הרשב"ם</w:t>
      </w:r>
      <w:r>
        <w:rPr>
          <w:rFonts w:hint="cs"/>
          <w:rtl/>
        </w:rPr>
        <w:t xml:space="preserve"> </w:t>
      </w:r>
      <w:r w:rsidRPr="00C90A62">
        <w:rPr>
          <w:rStyle w:val="af7"/>
          <w:rFonts w:eastAsia="Guttman Hodes" w:hint="cs"/>
          <w:rtl/>
        </w:rPr>
        <w:t xml:space="preserve">(עי' אות </w:t>
      </w:r>
      <w:r w:rsidRPr="00C90A62">
        <w:rPr>
          <w:rStyle w:val="af7"/>
          <w:rFonts w:eastAsia="Guttman Hodes"/>
          <w:rtl/>
        </w:rPr>
        <w:fldChar w:fldCharType="begin"/>
      </w:r>
      <w:r w:rsidRPr="00C90A62">
        <w:rPr>
          <w:rStyle w:val="af7"/>
          <w:rFonts w:eastAsia="Guttman Hodes"/>
          <w:rtl/>
        </w:rPr>
        <w:instrText xml:space="preserve"> </w:instrText>
      </w:r>
      <w:r w:rsidRPr="00C90A62">
        <w:rPr>
          <w:rStyle w:val="af7"/>
          <w:rFonts w:eastAsia="Guttman Hodes" w:hint="cs"/>
        </w:rPr>
        <w:instrText>REF</w:instrText>
      </w:r>
      <w:r w:rsidRPr="00C90A62">
        <w:rPr>
          <w:rStyle w:val="af7"/>
          <w:rFonts w:eastAsia="Guttman Hodes" w:hint="cs"/>
          <w:rtl/>
        </w:rPr>
        <w:instrText xml:space="preserve"> _</w:instrText>
      </w:r>
      <w:r w:rsidRPr="00C90A62">
        <w:rPr>
          <w:rStyle w:val="af7"/>
          <w:rFonts w:eastAsia="Guttman Hodes" w:hint="cs"/>
        </w:rPr>
        <w:instrText>Ref60310822 \r \h</w:instrText>
      </w:r>
      <w:r w:rsidRPr="00C90A62">
        <w:rPr>
          <w:rStyle w:val="af7"/>
          <w:rFonts w:eastAsia="Guttman Hodes"/>
          <w:rtl/>
        </w:rPr>
        <w:instrText xml:space="preserve"> </w:instrText>
      </w:r>
      <w:r w:rsidRPr="00C90A62">
        <w:rPr>
          <w:rStyle w:val="af7"/>
          <w:rFonts w:eastAsia="Guttman Hodes"/>
          <w:rtl/>
        </w:rPr>
      </w:r>
      <w:r w:rsidRPr="00C90A62">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C90A62">
        <w:rPr>
          <w:rStyle w:val="af7"/>
          <w:rFonts w:eastAsia="Guttman Hodes"/>
          <w:rtl/>
        </w:rPr>
        <w:fldChar w:fldCharType="end"/>
      </w:r>
      <w:r>
        <w:rPr>
          <w:rFonts w:hint="cs"/>
          <w:rtl/>
        </w:rPr>
        <w:t xml:space="preserve"> דאינו נאמן בטענת קמי דידי דר בה חד </w:t>
      </w:r>
      <w:r>
        <w:rPr>
          <w:rFonts w:hint="cs"/>
          <w:rtl/>
        </w:rPr>
        <w:lastRenderedPageBreak/>
        <w:t xml:space="preserve">יומא, וא"כ ס"ל </w:t>
      </w:r>
      <w:r>
        <w:rPr>
          <w:rStyle w:val="af9"/>
          <w:rFonts w:hint="cs"/>
          <w:rtl/>
        </w:rPr>
        <w:t>ל</w:t>
      </w:r>
      <w:r w:rsidRPr="00C90A62">
        <w:rPr>
          <w:rStyle w:val="af9"/>
          <w:rFonts w:hint="cs"/>
          <w:rtl/>
        </w:rPr>
        <w:t>ר"י</w:t>
      </w:r>
      <w:r>
        <w:rPr>
          <w:rFonts w:hint="cs"/>
          <w:rtl/>
        </w:rPr>
        <w:t xml:space="preserve"> כדעת </w:t>
      </w:r>
      <w:r w:rsidRPr="00C90A62">
        <w:rPr>
          <w:rStyle w:val="af9"/>
          <w:rFonts w:hint="cs"/>
          <w:rtl/>
        </w:rPr>
        <w:t>הרשב"ם</w:t>
      </w:r>
      <w:r>
        <w:rPr>
          <w:rFonts w:hint="cs"/>
          <w:rtl/>
        </w:rPr>
        <w:t xml:space="preserve"> </w:t>
      </w:r>
      <w:r w:rsidRPr="00C90A62">
        <w:rPr>
          <w:rStyle w:val="af7"/>
          <w:rFonts w:eastAsia="Guttman Hodes" w:hint="cs"/>
          <w:rtl/>
        </w:rPr>
        <w:t xml:space="preserve">(עי' אות </w:t>
      </w:r>
      <w:r w:rsidRPr="00C90A62">
        <w:rPr>
          <w:rStyle w:val="af7"/>
          <w:rFonts w:eastAsia="Guttman Hodes"/>
          <w:rtl/>
        </w:rPr>
        <w:fldChar w:fldCharType="begin"/>
      </w:r>
      <w:r w:rsidRPr="00C90A62">
        <w:rPr>
          <w:rStyle w:val="af7"/>
          <w:rFonts w:eastAsia="Guttman Hodes"/>
          <w:rtl/>
        </w:rPr>
        <w:instrText xml:space="preserve"> </w:instrText>
      </w:r>
      <w:r w:rsidRPr="00C90A62">
        <w:rPr>
          <w:rStyle w:val="af7"/>
          <w:rFonts w:eastAsia="Guttman Hodes" w:hint="cs"/>
        </w:rPr>
        <w:instrText>REF</w:instrText>
      </w:r>
      <w:r w:rsidRPr="00C90A62">
        <w:rPr>
          <w:rStyle w:val="af7"/>
          <w:rFonts w:eastAsia="Guttman Hodes" w:hint="cs"/>
          <w:rtl/>
        </w:rPr>
        <w:instrText xml:space="preserve"> _</w:instrText>
      </w:r>
      <w:r w:rsidRPr="00C90A62">
        <w:rPr>
          <w:rStyle w:val="af7"/>
          <w:rFonts w:eastAsia="Guttman Hodes" w:hint="cs"/>
        </w:rPr>
        <w:instrText>Ref60657236 \r \h</w:instrText>
      </w:r>
      <w:r w:rsidRPr="00C90A62">
        <w:rPr>
          <w:rStyle w:val="af7"/>
          <w:rFonts w:eastAsia="Guttman Hodes"/>
          <w:rtl/>
        </w:rPr>
        <w:instrText xml:space="preserve"> </w:instrText>
      </w:r>
      <w:r w:rsidRPr="00C90A62">
        <w:rPr>
          <w:rStyle w:val="af7"/>
          <w:rFonts w:eastAsia="Guttman Hodes"/>
          <w:rtl/>
        </w:rPr>
      </w:r>
      <w:r w:rsidRPr="00C90A62">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C90A62">
        <w:rPr>
          <w:rStyle w:val="af7"/>
          <w:rFonts w:eastAsia="Guttman Hodes"/>
          <w:rtl/>
        </w:rPr>
        <w:fldChar w:fldCharType="end"/>
      </w:r>
      <w:r>
        <w:rPr>
          <w:rFonts w:hint="cs"/>
          <w:rtl/>
        </w:rPr>
        <w:t xml:space="preserve"> גם בהא דכשיש עדים דדר בה חד יומא, מ"מ לא טענינן למחזיק כשאין לו חזקה. </w:t>
      </w:r>
      <w:r w:rsidRPr="00E13256">
        <w:rPr>
          <w:rStyle w:val="afb"/>
          <w:rFonts w:hint="cs"/>
          <w:rtl/>
        </w:rPr>
        <w:t xml:space="preserve">[כדביאר </w:t>
      </w:r>
      <w:r w:rsidRPr="00E13256">
        <w:rPr>
          <w:rStyle w:val="affa"/>
          <w:rFonts w:hint="cs"/>
          <w:rtl/>
        </w:rPr>
        <w:t>בחי' רבי ראובן</w:t>
      </w:r>
      <w:r w:rsidRPr="00E13256">
        <w:rPr>
          <w:rStyle w:val="afb"/>
          <w:rFonts w:hint="cs"/>
          <w:rtl/>
        </w:rPr>
        <w:t xml:space="preserve"> </w:t>
      </w:r>
      <w:r w:rsidRPr="00E13256">
        <w:rPr>
          <w:rStyle w:val="aff6"/>
          <w:rFonts w:hint="cs"/>
          <w:rtl/>
        </w:rPr>
        <w:t xml:space="preserve">(עי' אות </w:t>
      </w:r>
      <w:r w:rsidRPr="00E13256">
        <w:rPr>
          <w:rStyle w:val="aff6"/>
          <w:rtl/>
        </w:rPr>
        <w:fldChar w:fldCharType="begin"/>
      </w:r>
      <w:r w:rsidRPr="00E13256">
        <w:rPr>
          <w:rStyle w:val="aff6"/>
          <w:rtl/>
        </w:rPr>
        <w:instrText xml:space="preserve"> </w:instrText>
      </w:r>
      <w:r w:rsidRPr="00E13256">
        <w:rPr>
          <w:rStyle w:val="aff6"/>
          <w:rFonts w:hint="cs"/>
        </w:rPr>
        <w:instrText>REF</w:instrText>
      </w:r>
      <w:r w:rsidRPr="00E13256">
        <w:rPr>
          <w:rStyle w:val="aff6"/>
          <w:rFonts w:hint="cs"/>
          <w:rtl/>
        </w:rPr>
        <w:instrText xml:space="preserve"> _</w:instrText>
      </w:r>
      <w:r w:rsidRPr="00E13256">
        <w:rPr>
          <w:rStyle w:val="aff6"/>
          <w:rFonts w:hint="cs"/>
        </w:rPr>
        <w:instrText>Ref60138671 \r \h</w:instrText>
      </w:r>
      <w:r w:rsidRPr="00E13256">
        <w:rPr>
          <w:rStyle w:val="aff6"/>
          <w:rtl/>
        </w:rPr>
        <w:instrText xml:space="preserve"> </w:instrText>
      </w:r>
      <w:r w:rsidRPr="00E13256">
        <w:rPr>
          <w:rStyle w:val="aff6"/>
          <w:rtl/>
        </w:rPr>
      </w:r>
      <w:r w:rsidRPr="00E13256">
        <w:rPr>
          <w:rStyle w:val="aff6"/>
          <w:rtl/>
        </w:rPr>
        <w:fldChar w:fldCharType="separate"/>
      </w:r>
      <w:r w:rsidR="00265073">
        <w:rPr>
          <w:rStyle w:val="aff6"/>
          <w:cs/>
        </w:rPr>
        <w:t>‎</w:t>
      </w:r>
      <w:r w:rsidR="00265073">
        <w:rPr>
          <w:rStyle w:val="aff6"/>
          <w:rtl/>
        </w:rPr>
        <w:t>קב)</w:t>
      </w:r>
      <w:r w:rsidRPr="00E13256">
        <w:rPr>
          <w:rStyle w:val="aff6"/>
          <w:rtl/>
        </w:rPr>
        <w:fldChar w:fldCharType="end"/>
      </w:r>
      <w:r w:rsidRPr="00E13256">
        <w:rPr>
          <w:rStyle w:val="afb"/>
          <w:rFonts w:hint="cs"/>
          <w:rtl/>
        </w:rPr>
        <w:t xml:space="preserve"> דהא דלא טענינן הוא כיון שאין דררא לב"ד בלא חזקה].</w:t>
      </w:r>
      <w:bookmarkEnd w:id="10946"/>
    </w:p>
    <w:p w:rsidR="006A4297" w:rsidRPr="001A37EA" w:rsidRDefault="006A4297" w:rsidP="006A4297">
      <w:pPr>
        <w:pStyle w:val="a3"/>
        <w:rPr>
          <w:rtl/>
        </w:rPr>
      </w:pPr>
      <w:bookmarkStart w:id="10947" w:name="_Toc60678327"/>
      <w:r>
        <w:rPr>
          <w:rFonts w:hint="cs"/>
          <w:rtl/>
        </w:rPr>
        <w:t>קושית רבי ראובן דבהג"מ מבואר דלר"י טענינן אף בלא חזקה ודוחק לומר כש"ך דר"י לא פליג</w:t>
      </w:r>
      <w:bookmarkEnd w:id="10947"/>
    </w:p>
    <w:p w:rsidR="006A4297" w:rsidRDefault="006A4297" w:rsidP="007E4E81">
      <w:pPr>
        <w:pStyle w:val="a0"/>
      </w:pPr>
      <w:bookmarkStart w:id="10948" w:name="_Ref60668265"/>
      <w:r>
        <w:rPr>
          <w:rFonts w:hint="cs"/>
          <w:rtl/>
        </w:rPr>
        <w:t xml:space="preserve">אך הקשה </w:t>
      </w:r>
      <w:r w:rsidRPr="00E13256">
        <w:rPr>
          <w:rStyle w:val="af9"/>
          <w:rFonts w:hint="cs"/>
          <w:rtl/>
        </w:rPr>
        <w:t>בחי' רבי ראובן</w:t>
      </w:r>
      <w:r>
        <w:rPr>
          <w:rFonts w:hint="cs"/>
          <w:rtl/>
        </w:rPr>
        <w:t xml:space="preserve"> דהא</w:t>
      </w:r>
      <w:r w:rsidRPr="00413C39">
        <w:rPr>
          <w:rStyle w:val="af9"/>
          <w:rFonts w:hint="cs"/>
          <w:rtl/>
        </w:rPr>
        <w:t xml:space="preserve"> </w:t>
      </w:r>
      <w:r>
        <w:rPr>
          <w:rStyle w:val="af9"/>
          <w:rFonts w:hint="cs"/>
          <w:rtl/>
        </w:rPr>
        <w:t>ב</w:t>
      </w:r>
      <w:r w:rsidRPr="00787EB3">
        <w:rPr>
          <w:rStyle w:val="af9"/>
          <w:rFonts w:hint="cs"/>
          <w:rtl/>
        </w:rPr>
        <w:t>הג' מיימוניות</w:t>
      </w:r>
      <w:r w:rsidRPr="00787EB3">
        <w:rPr>
          <w:rFonts w:hint="cs"/>
          <w:rtl/>
        </w:rPr>
        <w:t xml:space="preserve"> </w:t>
      </w:r>
      <w:r w:rsidRPr="00787EB3">
        <w:rPr>
          <w:rStyle w:val="af7"/>
          <w:rFonts w:eastAsia="Guttman Hodes" w:hint="cs"/>
          <w:rtl/>
        </w:rPr>
        <w:t>(טו"נ פי"ד או' ק')</w:t>
      </w:r>
      <w:r w:rsidRPr="00787EB3">
        <w:rPr>
          <w:rFonts w:hint="cs"/>
          <w:rtl/>
        </w:rPr>
        <w:t xml:space="preserve"> </w:t>
      </w:r>
      <w:r>
        <w:rPr>
          <w:rFonts w:hint="cs"/>
          <w:rtl/>
        </w:rPr>
        <w:t>כתב בשם</w:t>
      </w:r>
      <w:r w:rsidRPr="00787EB3">
        <w:rPr>
          <w:rFonts w:hint="cs"/>
          <w:rtl/>
        </w:rPr>
        <w:t xml:space="preserve"> </w:t>
      </w:r>
      <w:r w:rsidRPr="00787EB3">
        <w:rPr>
          <w:rStyle w:val="af9"/>
          <w:rFonts w:hint="cs"/>
          <w:rtl/>
        </w:rPr>
        <w:t>ר"י</w:t>
      </w:r>
      <w:r>
        <w:rPr>
          <w:rFonts w:hint="cs"/>
          <w:rtl/>
        </w:rPr>
        <w:t xml:space="preserve"> דטענינן בדר בה חד יומא, אף כשאין למחזיק חזקת ג"ש, וכתב </w:t>
      </w:r>
      <w:r w:rsidRPr="00E13256">
        <w:rPr>
          <w:rStyle w:val="af9"/>
          <w:rFonts w:hint="cs"/>
          <w:rtl/>
        </w:rPr>
        <w:t>בחי' רבי ראובן</w:t>
      </w:r>
      <w:r>
        <w:rPr>
          <w:rFonts w:hint="cs"/>
          <w:rtl/>
        </w:rPr>
        <w:t xml:space="preserve"> דמ"ש </w:t>
      </w:r>
      <w:r w:rsidRPr="00E13256">
        <w:rPr>
          <w:rStyle w:val="af9"/>
          <w:rFonts w:hint="cs"/>
          <w:rtl/>
        </w:rPr>
        <w:t>הש"ך</w:t>
      </w:r>
      <w:r w:rsidRPr="007B2A61">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Ref60668454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Pr>
          <w:rStyle w:val="af7"/>
          <w:rFonts w:eastAsia="Guttman Hodes"/>
          <w:rtl/>
        </w:rPr>
        <w:fldChar w:fldCharType="end"/>
      </w:r>
      <w:r w:rsidRPr="007B2A61">
        <w:rPr>
          <w:rStyle w:val="af7"/>
          <w:rFonts w:eastAsia="Guttman Hodes" w:hint="cs"/>
          <w:rtl/>
        </w:rPr>
        <w:t xml:space="preserve"> </w:t>
      </w:r>
      <w:r>
        <w:rPr>
          <w:rFonts w:hint="cs"/>
          <w:rtl/>
        </w:rPr>
        <w:t xml:space="preserve">דלדעת </w:t>
      </w:r>
      <w:r w:rsidRPr="00E13256">
        <w:rPr>
          <w:rStyle w:val="af9"/>
          <w:rFonts w:hint="cs"/>
          <w:rtl/>
        </w:rPr>
        <w:t>ההג"מ</w:t>
      </w:r>
      <w:r>
        <w:rPr>
          <w:rFonts w:hint="cs"/>
          <w:rtl/>
        </w:rPr>
        <w:t xml:space="preserve"> </w:t>
      </w:r>
      <w:r w:rsidRPr="00E13256">
        <w:rPr>
          <w:rStyle w:val="af9"/>
          <w:rFonts w:hint="cs"/>
          <w:rtl/>
        </w:rPr>
        <w:t>ר"י</w:t>
      </w:r>
      <w:r>
        <w:rPr>
          <w:rFonts w:hint="cs"/>
          <w:rtl/>
        </w:rPr>
        <w:t xml:space="preserve"> לא נחלק על </w:t>
      </w:r>
      <w:r w:rsidRPr="00056F31">
        <w:rPr>
          <w:rStyle w:val="af9"/>
          <w:rFonts w:hint="cs"/>
          <w:rtl/>
        </w:rPr>
        <w:t>הרשב"א</w:t>
      </w:r>
      <w:r>
        <w:rPr>
          <w:rFonts w:hint="cs"/>
          <w:rtl/>
        </w:rPr>
        <w:t xml:space="preserve"> </w:t>
      </w:r>
      <w:r w:rsidRPr="00056F31">
        <w:rPr>
          <w:rStyle w:val="af9"/>
          <w:rFonts w:hint="cs"/>
          <w:rtl/>
        </w:rPr>
        <w:t>בתוס'</w:t>
      </w:r>
      <w:r>
        <w:rPr>
          <w:rFonts w:hint="cs"/>
          <w:rtl/>
        </w:rPr>
        <w:t xml:space="preserve"> הוא דוחק, דהא </w:t>
      </w:r>
      <w:r w:rsidRPr="00056F31">
        <w:rPr>
          <w:rStyle w:val="af9"/>
          <w:rFonts w:hint="cs"/>
          <w:rtl/>
        </w:rPr>
        <w:t>ר"י</w:t>
      </w:r>
      <w:r>
        <w:rPr>
          <w:rFonts w:hint="cs"/>
          <w:rtl/>
        </w:rPr>
        <w:t xml:space="preserve"> לא דחה רק את הראיה מהגמ' לקמן אלא אמר סברא דלא נראה </w:t>
      </w:r>
      <w:r w:rsidRPr="00056F31">
        <w:rPr>
          <w:rStyle w:val="af9"/>
          <w:rFonts w:hint="cs"/>
          <w:rtl/>
        </w:rPr>
        <w:t>כרשב"א בתוס'</w:t>
      </w:r>
      <w:r>
        <w:rPr>
          <w:rFonts w:hint="cs"/>
          <w:rtl/>
        </w:rPr>
        <w:t>.</w:t>
      </w:r>
      <w:bookmarkEnd w:id="10948"/>
    </w:p>
    <w:p w:rsidR="006A4297" w:rsidRDefault="006A4297" w:rsidP="006A4297">
      <w:pPr>
        <w:pStyle w:val="a3"/>
      </w:pPr>
      <w:bookmarkStart w:id="10949" w:name="_Toc60678328"/>
      <w:r>
        <w:rPr>
          <w:rFonts w:hint="cs"/>
          <w:rtl/>
        </w:rPr>
        <w:t>ביאור רבי ראובן דר"י פליג על הרשב"א בתוס' רק במיגו למפרע כדמוכח מלשון התוס'</w:t>
      </w:r>
      <w:bookmarkEnd w:id="10949"/>
    </w:p>
    <w:p w:rsidR="006A4297" w:rsidRDefault="006A4297" w:rsidP="007E4E81">
      <w:pPr>
        <w:pStyle w:val="a0"/>
        <w:rPr>
          <w:rtl/>
        </w:rPr>
      </w:pPr>
      <w:bookmarkStart w:id="10950" w:name="_Ref60676886"/>
      <w:r>
        <w:rPr>
          <w:rFonts w:hint="cs"/>
          <w:rtl/>
        </w:rPr>
        <w:t xml:space="preserve">אלא כתב </w:t>
      </w:r>
      <w:r w:rsidRPr="008D1B15">
        <w:rPr>
          <w:rStyle w:val="af9"/>
          <w:rFonts w:hint="cs"/>
          <w:rtl/>
        </w:rPr>
        <w:t>בחי'</w:t>
      </w:r>
      <w:r>
        <w:rPr>
          <w:rFonts w:hint="cs"/>
          <w:rtl/>
        </w:rPr>
        <w:t xml:space="preserve"> </w:t>
      </w:r>
      <w:r w:rsidRPr="008D1B15">
        <w:rPr>
          <w:rStyle w:val="af9"/>
          <w:rFonts w:hint="cs"/>
          <w:rtl/>
        </w:rPr>
        <w:t>רבי</w:t>
      </w:r>
      <w:r>
        <w:rPr>
          <w:rFonts w:hint="cs"/>
          <w:rtl/>
        </w:rPr>
        <w:t xml:space="preserve"> </w:t>
      </w:r>
      <w:r w:rsidRPr="008D1B15">
        <w:rPr>
          <w:rStyle w:val="af9"/>
          <w:rFonts w:hint="cs"/>
          <w:rtl/>
        </w:rPr>
        <w:t>ראובן</w:t>
      </w:r>
      <w:r>
        <w:rPr>
          <w:rFonts w:hint="cs"/>
          <w:rtl/>
        </w:rPr>
        <w:t xml:space="preserve"> דמדברי </w:t>
      </w:r>
      <w:r>
        <w:rPr>
          <w:rStyle w:val="af9"/>
          <w:rFonts w:hint="cs"/>
          <w:rtl/>
        </w:rPr>
        <w:t xml:space="preserve">הרשב"א </w:t>
      </w:r>
      <w:r w:rsidRPr="003945B6">
        <w:rPr>
          <w:rStyle w:val="af9"/>
          <w:rFonts w:hint="cs"/>
          <w:rtl/>
        </w:rPr>
        <w:t>בתוס' ור"י</w:t>
      </w:r>
      <w:r>
        <w:rPr>
          <w:rFonts w:hint="cs"/>
          <w:rtl/>
        </w:rPr>
        <w:t xml:space="preserve"> משמע </w:t>
      </w:r>
      <w:r w:rsidRPr="008D1B15">
        <w:rPr>
          <w:rStyle w:val="af9"/>
          <w:rFonts w:hint="cs"/>
          <w:rtl/>
        </w:rPr>
        <w:t>דר"י</w:t>
      </w:r>
      <w:r>
        <w:rPr>
          <w:rFonts w:hint="cs"/>
          <w:rtl/>
        </w:rPr>
        <w:t xml:space="preserve"> לא נחלק עמ"ש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9662A3">
        <w:rPr>
          <w:rStyle w:val="af7"/>
          <w:rFonts w:eastAsia="Guttman Hodes" w:hint="cs"/>
          <w:rtl/>
        </w:rPr>
        <w:t xml:space="preserve">(עי' אות </w:t>
      </w:r>
      <w:r w:rsidRPr="009662A3">
        <w:rPr>
          <w:rStyle w:val="af7"/>
          <w:rFonts w:eastAsia="Guttman Hodes"/>
          <w:rtl/>
        </w:rPr>
        <w:fldChar w:fldCharType="begin"/>
      </w:r>
      <w:r w:rsidRPr="009662A3">
        <w:rPr>
          <w:rStyle w:val="af7"/>
          <w:rFonts w:eastAsia="Guttman Hodes"/>
          <w:rtl/>
        </w:rPr>
        <w:instrText xml:space="preserve"> </w:instrText>
      </w:r>
      <w:r w:rsidRPr="009662A3">
        <w:rPr>
          <w:rStyle w:val="af7"/>
          <w:rFonts w:eastAsia="Guttman Hodes" w:hint="cs"/>
        </w:rPr>
        <w:instrText>REF</w:instrText>
      </w:r>
      <w:r w:rsidRPr="009662A3">
        <w:rPr>
          <w:rStyle w:val="af7"/>
          <w:rFonts w:eastAsia="Guttman Hodes" w:hint="cs"/>
          <w:rtl/>
        </w:rPr>
        <w:instrText xml:space="preserve"> _</w:instrText>
      </w:r>
      <w:r w:rsidRPr="009662A3">
        <w:rPr>
          <w:rStyle w:val="af7"/>
          <w:rFonts w:eastAsia="Guttman Hodes" w:hint="cs"/>
        </w:rPr>
        <w:instrText>Ref60243410 \r \h</w:instrText>
      </w:r>
      <w:r w:rsidRPr="009662A3">
        <w:rPr>
          <w:rStyle w:val="af7"/>
          <w:rFonts w:eastAsia="Guttman Hodes"/>
          <w:rtl/>
        </w:rPr>
        <w:instrText xml:space="preserve"> </w:instrText>
      </w:r>
      <w:r w:rsidRPr="009662A3">
        <w:rPr>
          <w:rStyle w:val="af7"/>
          <w:rFonts w:eastAsia="Guttman Hodes"/>
          <w:rtl/>
        </w:rPr>
      </w:r>
      <w:r w:rsidRPr="009662A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9662A3">
        <w:rPr>
          <w:rStyle w:val="af7"/>
          <w:rFonts w:eastAsia="Guttman Hodes"/>
          <w:rtl/>
        </w:rPr>
        <w:fldChar w:fldCharType="end"/>
      </w:r>
      <w:r>
        <w:rPr>
          <w:rFonts w:hint="cs"/>
          <w:rtl/>
        </w:rPr>
        <w:t xml:space="preserve"> דנאמן בקמי דידי דר בה חד יומא, וכן משמע מלשון </w:t>
      </w:r>
      <w:r w:rsidRPr="008D1B15">
        <w:rPr>
          <w:rStyle w:val="af9"/>
          <w:rFonts w:hint="cs"/>
          <w:rtl/>
        </w:rPr>
        <w:t>התוס'</w:t>
      </w:r>
      <w:r>
        <w:rPr>
          <w:rFonts w:hint="cs"/>
          <w:rtl/>
        </w:rPr>
        <w:t xml:space="preserve"> </w:t>
      </w:r>
      <w:r w:rsidRPr="00DD45DA">
        <w:rPr>
          <w:rStyle w:val="af9"/>
          <w:rFonts w:hint="cs"/>
          <w:rtl/>
        </w:rPr>
        <w:t>בתחילת דבריהם</w:t>
      </w:r>
      <w:r>
        <w:rPr>
          <w:rFonts w:hint="cs"/>
          <w:rtl/>
        </w:rPr>
        <w:t xml:space="preserve"> דלכו"ע מהני טענת קמי דידי דר בה חד יומא, וכ"מ דלא מהני המיגו הוא רק באופן שלא טען כן מתחילה דהוא מיגו למפרע, וכתב </w:t>
      </w:r>
      <w:r w:rsidRPr="008D1B15">
        <w:rPr>
          <w:rStyle w:val="af9"/>
          <w:rFonts w:hint="cs"/>
          <w:rtl/>
        </w:rPr>
        <w:t>בחי'</w:t>
      </w:r>
      <w:r>
        <w:rPr>
          <w:rFonts w:hint="cs"/>
          <w:rtl/>
        </w:rPr>
        <w:t xml:space="preserve"> </w:t>
      </w:r>
      <w:r w:rsidRPr="008D1B15">
        <w:rPr>
          <w:rStyle w:val="af9"/>
          <w:rFonts w:hint="cs"/>
          <w:rtl/>
        </w:rPr>
        <w:t>רבי</w:t>
      </w:r>
      <w:r>
        <w:rPr>
          <w:rFonts w:hint="cs"/>
          <w:rtl/>
        </w:rPr>
        <w:t xml:space="preserve"> </w:t>
      </w:r>
      <w:r w:rsidRPr="008D1B15">
        <w:rPr>
          <w:rStyle w:val="af9"/>
          <w:rFonts w:hint="cs"/>
          <w:rtl/>
        </w:rPr>
        <w:t>ראובן</w:t>
      </w:r>
      <w:r>
        <w:rPr>
          <w:rFonts w:hint="cs"/>
          <w:rtl/>
        </w:rPr>
        <w:t xml:space="preserve"> דכן משמע מדברי </w:t>
      </w:r>
      <w:r w:rsidRPr="008D1B15">
        <w:rPr>
          <w:rStyle w:val="af9"/>
          <w:rFonts w:hint="cs"/>
          <w:rtl/>
        </w:rPr>
        <w:t>הרשב"א בתוס'</w:t>
      </w:r>
      <w:r>
        <w:rPr>
          <w:rFonts w:hint="cs"/>
          <w:rtl/>
        </w:rPr>
        <w:t xml:space="preserve"> </w:t>
      </w:r>
      <w:r w:rsidRPr="00162318">
        <w:rPr>
          <w:rStyle w:val="af7"/>
          <w:rFonts w:eastAsia="Guttman Hodes" w:hint="cs"/>
          <w:rtl/>
        </w:rPr>
        <w:t xml:space="preserve">(עי' אות </w:t>
      </w:r>
      <w:r w:rsidRPr="00162318">
        <w:rPr>
          <w:rStyle w:val="af7"/>
          <w:rFonts w:eastAsia="Guttman Hodes"/>
          <w:rtl/>
        </w:rPr>
        <w:fldChar w:fldCharType="begin"/>
      </w:r>
      <w:r w:rsidRPr="00162318">
        <w:rPr>
          <w:rStyle w:val="af7"/>
          <w:rFonts w:eastAsia="Guttman Hodes"/>
          <w:rtl/>
        </w:rPr>
        <w:instrText xml:space="preserve"> </w:instrText>
      </w:r>
      <w:r w:rsidRPr="00162318">
        <w:rPr>
          <w:rStyle w:val="af7"/>
          <w:rFonts w:eastAsia="Guttman Hodes" w:hint="cs"/>
        </w:rPr>
        <w:instrText>REF</w:instrText>
      </w:r>
      <w:r w:rsidRPr="00162318">
        <w:rPr>
          <w:rStyle w:val="af7"/>
          <w:rFonts w:eastAsia="Guttman Hodes" w:hint="cs"/>
          <w:rtl/>
        </w:rPr>
        <w:instrText xml:space="preserve"> _</w:instrText>
      </w:r>
      <w:r w:rsidRPr="00162318">
        <w:rPr>
          <w:rStyle w:val="af7"/>
          <w:rFonts w:eastAsia="Guttman Hodes" w:hint="cs"/>
        </w:rPr>
        <w:instrText>Ref60342515 \r \h</w:instrText>
      </w:r>
      <w:r w:rsidRPr="00162318">
        <w:rPr>
          <w:rStyle w:val="af7"/>
          <w:rFonts w:eastAsia="Guttman Hodes"/>
          <w:rtl/>
        </w:rPr>
        <w:instrText xml:space="preserve"> </w:instrText>
      </w:r>
      <w:r w:rsidRPr="00162318">
        <w:rPr>
          <w:rStyle w:val="af7"/>
          <w:rFonts w:eastAsia="Guttman Hodes"/>
          <w:rtl/>
        </w:rPr>
      </w:r>
      <w:r w:rsidRPr="00162318">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162318">
        <w:rPr>
          <w:rStyle w:val="af7"/>
          <w:rFonts w:eastAsia="Guttman Hodes"/>
          <w:rtl/>
        </w:rPr>
        <w:fldChar w:fldCharType="end"/>
      </w:r>
      <w:r>
        <w:rPr>
          <w:rFonts w:hint="cs"/>
          <w:rtl/>
        </w:rPr>
        <w:t xml:space="preserve"> דכתב דכשיש לו עדים טענינן ליה אף שאין לו מיגו, והיינו דהוא מיגו למפרע, ורק בזה נחלק</w:t>
      </w:r>
      <w:r w:rsidRPr="008D1B15">
        <w:rPr>
          <w:rStyle w:val="af9"/>
          <w:rFonts w:hint="cs"/>
          <w:rtl/>
        </w:rPr>
        <w:t xml:space="preserve"> ר"י</w:t>
      </w:r>
      <w:r>
        <w:rPr>
          <w:rFonts w:hint="cs"/>
          <w:rtl/>
        </w:rPr>
        <w:t xml:space="preserve"> דאף שיש לו עדים מ"מ אינו נאמן כיון שאין לו מיגו, וכ"כ </w:t>
      </w:r>
      <w:r w:rsidRPr="0048652A">
        <w:rPr>
          <w:rStyle w:val="af9"/>
          <w:rFonts w:hint="cs"/>
          <w:rtl/>
        </w:rPr>
        <w:t>בחי' רבי נחום</w:t>
      </w:r>
      <w:r>
        <w:rPr>
          <w:rStyle w:val="af9"/>
          <w:rFonts w:hint="cs"/>
          <w:rtl/>
        </w:rPr>
        <w:t xml:space="preserve"> </w:t>
      </w:r>
      <w:r w:rsidRPr="000E2E57">
        <w:rPr>
          <w:rStyle w:val="af7"/>
          <w:rFonts w:eastAsia="Guttman Hodes" w:hint="cs"/>
          <w:rtl/>
        </w:rPr>
        <w:t xml:space="preserve">(עי' אות </w:t>
      </w:r>
      <w:r w:rsidRPr="000E2E57">
        <w:rPr>
          <w:rStyle w:val="af7"/>
          <w:rFonts w:eastAsia="Guttman Hodes"/>
          <w:rtl/>
        </w:rPr>
        <w:fldChar w:fldCharType="begin"/>
      </w:r>
      <w:r w:rsidRPr="000E2E57">
        <w:rPr>
          <w:rStyle w:val="af7"/>
          <w:rFonts w:eastAsia="Guttman Hodes"/>
          <w:rtl/>
        </w:rPr>
        <w:instrText xml:space="preserve"> </w:instrText>
      </w:r>
      <w:r w:rsidRPr="000E2E57">
        <w:rPr>
          <w:rStyle w:val="af7"/>
          <w:rFonts w:eastAsia="Guttman Hodes" w:hint="cs"/>
        </w:rPr>
        <w:instrText>REF</w:instrText>
      </w:r>
      <w:r w:rsidRPr="000E2E57">
        <w:rPr>
          <w:rStyle w:val="af7"/>
          <w:rFonts w:eastAsia="Guttman Hodes" w:hint="cs"/>
          <w:rtl/>
        </w:rPr>
        <w:instrText xml:space="preserve"> _</w:instrText>
      </w:r>
      <w:r w:rsidRPr="000E2E57">
        <w:rPr>
          <w:rStyle w:val="af7"/>
          <w:rFonts w:eastAsia="Guttman Hodes" w:hint="cs"/>
        </w:rPr>
        <w:instrText>Ref60676915 \r \h</w:instrText>
      </w:r>
      <w:r w:rsidRPr="000E2E57">
        <w:rPr>
          <w:rStyle w:val="af7"/>
          <w:rFonts w:eastAsia="Guttman Hodes"/>
          <w:rtl/>
        </w:rPr>
        <w:instrText xml:space="preserve"> </w:instrText>
      </w:r>
      <w:r w:rsidRPr="000E2E57">
        <w:rPr>
          <w:rStyle w:val="af7"/>
          <w:rFonts w:eastAsia="Guttman Hodes"/>
          <w:rtl/>
        </w:rPr>
      </w:r>
      <w:r w:rsidRPr="000E2E57">
        <w:rPr>
          <w:rStyle w:val="af7"/>
          <w:rFonts w:eastAsia="Guttman Hodes"/>
          <w:rtl/>
        </w:rPr>
        <w:fldChar w:fldCharType="separate"/>
      </w:r>
      <w:r w:rsidR="00265073">
        <w:rPr>
          <w:rStyle w:val="af7"/>
          <w:rFonts w:eastAsia="Guttman Hodes"/>
          <w:cs/>
        </w:rPr>
        <w:t>‎</w:t>
      </w:r>
      <w:r w:rsidR="00265073">
        <w:rPr>
          <w:rStyle w:val="af7"/>
          <w:rFonts w:eastAsia="Guttman Hodes"/>
          <w:rtl/>
        </w:rPr>
        <w:t>קכה)</w:t>
      </w:r>
      <w:r w:rsidRPr="000E2E57">
        <w:rPr>
          <w:rStyle w:val="af7"/>
          <w:rFonts w:eastAsia="Guttman Hodes"/>
          <w:rtl/>
        </w:rPr>
        <w:fldChar w:fldCharType="end"/>
      </w:r>
      <w:r>
        <w:rPr>
          <w:rFonts w:hint="cs"/>
          <w:rtl/>
        </w:rPr>
        <w:t>.</w:t>
      </w:r>
      <w:bookmarkEnd w:id="10950"/>
    </w:p>
    <w:p w:rsidR="006A4297" w:rsidRPr="008D17E9" w:rsidRDefault="006A4297" w:rsidP="006A4297">
      <w:pPr>
        <w:pStyle w:val="a3"/>
        <w:rPr>
          <w:rtl/>
        </w:rPr>
      </w:pPr>
      <w:bookmarkStart w:id="10951" w:name="_Toc60678329"/>
      <w:r>
        <w:rPr>
          <w:rFonts w:hint="cs"/>
          <w:rtl/>
        </w:rPr>
        <w:t>דברי רבי ראובן דברמב"ן משמע כגליון תוס' והמהרש"א בר"י דבכל מיגו אין דין טענינן</w:t>
      </w:r>
      <w:bookmarkEnd w:id="10951"/>
    </w:p>
    <w:p w:rsidR="006A4297" w:rsidRDefault="006A4297" w:rsidP="007E4E81">
      <w:pPr>
        <w:pStyle w:val="a0"/>
        <w:rPr>
          <w:rtl/>
        </w:rPr>
      </w:pPr>
      <w:bookmarkStart w:id="10952" w:name="_Ref60672214"/>
      <w:r>
        <w:rPr>
          <w:rFonts w:hint="cs"/>
          <w:rtl/>
        </w:rPr>
        <w:t xml:space="preserve">אך כתב </w:t>
      </w:r>
      <w:r w:rsidRPr="00D55698">
        <w:rPr>
          <w:rStyle w:val="af9"/>
          <w:rFonts w:hint="cs"/>
          <w:rtl/>
        </w:rPr>
        <w:t>בחי' רבי ראובן</w:t>
      </w:r>
      <w:r>
        <w:rPr>
          <w:rFonts w:hint="cs"/>
          <w:rtl/>
        </w:rPr>
        <w:t xml:space="preserve"> </w:t>
      </w:r>
      <w:r w:rsidRPr="00D55698">
        <w:rPr>
          <w:rStyle w:val="af7"/>
          <w:rFonts w:eastAsia="Guttman Hodes" w:hint="cs"/>
          <w:rtl/>
        </w:rPr>
        <w:t>(סי' י"ב ד"ה</w:t>
      </w:r>
      <w:r>
        <w:rPr>
          <w:rStyle w:val="af7"/>
          <w:rFonts w:eastAsia="Guttman Hodes" w:hint="cs"/>
          <w:rtl/>
        </w:rPr>
        <w:t xml:space="preserve"> אבל ברמב"ן) </w:t>
      </w:r>
      <w:r>
        <w:rPr>
          <w:rFonts w:hint="cs"/>
          <w:rtl/>
        </w:rPr>
        <w:t xml:space="preserve">דמדברי </w:t>
      </w:r>
      <w:r w:rsidRPr="00056F31">
        <w:rPr>
          <w:rStyle w:val="af9"/>
          <w:rFonts w:hint="cs"/>
          <w:rtl/>
        </w:rPr>
        <w:t>הרמב"ן</w:t>
      </w:r>
      <w:r>
        <w:rPr>
          <w:rFonts w:hint="cs"/>
          <w:rtl/>
        </w:rPr>
        <w:t xml:space="preserve"> </w:t>
      </w:r>
      <w:r w:rsidRPr="007374D4">
        <w:rPr>
          <w:rStyle w:val="af7"/>
          <w:rFonts w:eastAsia="Guttman Hodes" w:hint="cs"/>
          <w:rtl/>
        </w:rPr>
        <w:t xml:space="preserve">(עי' אות </w:t>
      </w:r>
      <w:r w:rsidRPr="007374D4">
        <w:rPr>
          <w:rStyle w:val="af7"/>
          <w:rFonts w:eastAsia="Guttman Hodes"/>
          <w:rtl/>
        </w:rPr>
        <w:fldChar w:fldCharType="begin"/>
      </w:r>
      <w:r w:rsidRPr="007374D4">
        <w:rPr>
          <w:rStyle w:val="af7"/>
          <w:rFonts w:eastAsia="Guttman Hodes"/>
          <w:rtl/>
        </w:rPr>
        <w:instrText xml:space="preserve"> </w:instrText>
      </w:r>
      <w:r w:rsidRPr="007374D4">
        <w:rPr>
          <w:rStyle w:val="af7"/>
          <w:rFonts w:eastAsia="Guttman Hodes" w:hint="cs"/>
        </w:rPr>
        <w:instrText>REF</w:instrText>
      </w:r>
      <w:r w:rsidRPr="007374D4">
        <w:rPr>
          <w:rStyle w:val="af7"/>
          <w:rFonts w:eastAsia="Guttman Hodes" w:hint="cs"/>
          <w:rtl/>
        </w:rPr>
        <w:instrText xml:space="preserve"> _</w:instrText>
      </w:r>
      <w:r w:rsidRPr="007374D4">
        <w:rPr>
          <w:rStyle w:val="af7"/>
          <w:rFonts w:eastAsia="Guttman Hodes" w:hint="cs"/>
        </w:rPr>
        <w:instrText>Ref60657236 \r \h</w:instrText>
      </w:r>
      <w:r w:rsidRPr="007374D4">
        <w:rPr>
          <w:rStyle w:val="af7"/>
          <w:rFonts w:eastAsia="Guttman Hodes"/>
          <w:rtl/>
        </w:rPr>
        <w:instrText xml:space="preserve"> </w:instrText>
      </w:r>
      <w:r w:rsidRPr="007374D4">
        <w:rPr>
          <w:rStyle w:val="af7"/>
          <w:rFonts w:eastAsia="Guttman Hodes"/>
          <w:rtl/>
        </w:rPr>
      </w:r>
      <w:r w:rsidRPr="007374D4">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7374D4">
        <w:rPr>
          <w:rStyle w:val="af7"/>
          <w:rFonts w:eastAsia="Guttman Hodes"/>
          <w:rtl/>
        </w:rPr>
        <w:fldChar w:fldCharType="end"/>
      </w:r>
      <w:r w:rsidRPr="007374D4">
        <w:rPr>
          <w:rStyle w:val="af7"/>
          <w:rFonts w:eastAsia="Guttman Hodes" w:hint="cs"/>
          <w:rtl/>
        </w:rPr>
        <w:t xml:space="preserve"> </w:t>
      </w:r>
      <w:r>
        <w:rPr>
          <w:rFonts w:hint="cs"/>
          <w:rtl/>
        </w:rPr>
        <w:t xml:space="preserve">דביאר בדעת </w:t>
      </w:r>
      <w:r w:rsidRPr="00056F31">
        <w:rPr>
          <w:rStyle w:val="af9"/>
          <w:rFonts w:hint="cs"/>
          <w:rtl/>
        </w:rPr>
        <w:t>הרשב"ם</w:t>
      </w:r>
      <w:r>
        <w:rPr>
          <w:rFonts w:hint="cs"/>
          <w:rtl/>
        </w:rPr>
        <w:t xml:space="preserve"> דלא מהני המיגו, כיון שאחר המיגו צריך גם טענינן, א"כ משמע כדביארו </w:t>
      </w:r>
      <w:r w:rsidRPr="00670C9F">
        <w:rPr>
          <w:rStyle w:val="af9"/>
          <w:rFonts w:hint="cs"/>
          <w:rtl/>
        </w:rPr>
        <w:t>ה</w:t>
      </w:r>
      <w:r>
        <w:rPr>
          <w:rStyle w:val="af9"/>
          <w:rFonts w:hint="cs"/>
          <w:rtl/>
        </w:rPr>
        <w:t xml:space="preserve">גליון תוס' </w:t>
      </w:r>
      <w:r w:rsidRPr="007B2A61">
        <w:rPr>
          <w:rStyle w:val="af7"/>
          <w:rFonts w:eastAsia="Guttman Hodes" w:hint="cs"/>
          <w:rtl/>
        </w:rPr>
        <w:t>(עי' א</w:t>
      </w:r>
      <w:r w:rsidRPr="00C90A62">
        <w:rPr>
          <w:rStyle w:val="af7"/>
          <w:rFonts w:eastAsia="Guttman Hodes" w:hint="cs"/>
          <w:rtl/>
        </w:rPr>
        <w:t xml:space="preserve">ות </w:t>
      </w:r>
      <w:r w:rsidRPr="00C90A62">
        <w:rPr>
          <w:rStyle w:val="af7"/>
          <w:rFonts w:eastAsia="Guttman Hodes"/>
          <w:rtl/>
        </w:rPr>
        <w:fldChar w:fldCharType="begin"/>
      </w:r>
      <w:r w:rsidRPr="00C90A62">
        <w:rPr>
          <w:rStyle w:val="af7"/>
          <w:rFonts w:eastAsia="Guttman Hodes"/>
          <w:rtl/>
        </w:rPr>
        <w:instrText xml:space="preserve"> </w:instrText>
      </w:r>
      <w:r w:rsidRPr="00C90A62">
        <w:rPr>
          <w:rStyle w:val="af7"/>
          <w:rFonts w:eastAsia="Guttman Hodes" w:hint="cs"/>
        </w:rPr>
        <w:instrText>REF</w:instrText>
      </w:r>
      <w:r w:rsidRPr="00C90A62">
        <w:rPr>
          <w:rStyle w:val="af7"/>
          <w:rFonts w:eastAsia="Guttman Hodes" w:hint="cs"/>
          <w:rtl/>
        </w:rPr>
        <w:instrText xml:space="preserve"> _</w:instrText>
      </w:r>
      <w:r w:rsidRPr="00C90A62">
        <w:rPr>
          <w:rStyle w:val="af7"/>
          <w:rFonts w:eastAsia="Guttman Hodes" w:hint="cs"/>
        </w:rPr>
        <w:instrText>Ref60640974 \r \h</w:instrText>
      </w:r>
      <w:r w:rsidRPr="00C90A62">
        <w:rPr>
          <w:rStyle w:val="af7"/>
          <w:rFonts w:eastAsia="Guttman Hodes"/>
          <w:rtl/>
        </w:rPr>
        <w:instrText xml:space="preserve"> </w:instrText>
      </w:r>
      <w:r w:rsidRPr="00C90A62">
        <w:rPr>
          <w:rStyle w:val="af7"/>
          <w:rFonts w:eastAsia="Guttman Hodes"/>
          <w:rtl/>
        </w:rPr>
      </w:r>
      <w:r w:rsidRPr="00C90A62">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C90A62">
        <w:rPr>
          <w:rStyle w:val="af7"/>
          <w:rFonts w:eastAsia="Guttman Hodes"/>
          <w:rtl/>
        </w:rPr>
        <w:fldChar w:fldCharType="end"/>
      </w:r>
      <w:r w:rsidRPr="00605563">
        <w:rPr>
          <w:rFonts w:hint="cs"/>
          <w:rtl/>
        </w:rPr>
        <w:t xml:space="preserve"> </w:t>
      </w:r>
      <w:r>
        <w:rPr>
          <w:rStyle w:val="af9"/>
          <w:rFonts w:hint="cs"/>
          <w:rtl/>
        </w:rPr>
        <w:t>וה</w:t>
      </w:r>
      <w:r w:rsidRPr="00670C9F">
        <w:rPr>
          <w:rStyle w:val="af9"/>
          <w:rFonts w:hint="cs"/>
          <w:rtl/>
        </w:rPr>
        <w:t>מהרש"א</w:t>
      </w:r>
      <w:r>
        <w:rPr>
          <w:rFonts w:hint="cs"/>
          <w:rtl/>
        </w:rPr>
        <w:t xml:space="preserve"> </w:t>
      </w:r>
      <w:r w:rsidRPr="00C90A62">
        <w:rPr>
          <w:rStyle w:val="af7"/>
          <w:rFonts w:eastAsia="Guttman Hodes" w:hint="cs"/>
          <w:rtl/>
        </w:rPr>
        <w:t xml:space="preserve">(עי' אות </w:t>
      </w:r>
      <w:r w:rsidRPr="00C90A62">
        <w:rPr>
          <w:rStyle w:val="af7"/>
          <w:rFonts w:eastAsia="Guttman Hodes"/>
          <w:rtl/>
        </w:rPr>
        <w:fldChar w:fldCharType="begin"/>
      </w:r>
      <w:r w:rsidRPr="00C90A62">
        <w:rPr>
          <w:rStyle w:val="af7"/>
          <w:rFonts w:eastAsia="Guttman Hodes"/>
          <w:rtl/>
        </w:rPr>
        <w:instrText xml:space="preserve"> </w:instrText>
      </w:r>
      <w:r w:rsidRPr="00C90A62">
        <w:rPr>
          <w:rStyle w:val="af7"/>
          <w:rFonts w:eastAsia="Guttman Hodes" w:hint="cs"/>
        </w:rPr>
        <w:instrText>REF</w:instrText>
      </w:r>
      <w:r w:rsidRPr="00C90A62">
        <w:rPr>
          <w:rStyle w:val="af7"/>
          <w:rFonts w:eastAsia="Guttman Hodes" w:hint="cs"/>
          <w:rtl/>
        </w:rPr>
        <w:instrText xml:space="preserve"> _</w:instrText>
      </w:r>
      <w:r w:rsidRPr="00C90A62">
        <w:rPr>
          <w:rStyle w:val="af7"/>
          <w:rFonts w:eastAsia="Guttman Hodes" w:hint="cs"/>
        </w:rPr>
        <w:instrText>Ref60641043 \r \h</w:instrText>
      </w:r>
      <w:r w:rsidRPr="00C90A62">
        <w:rPr>
          <w:rStyle w:val="af7"/>
          <w:rFonts w:eastAsia="Guttman Hodes"/>
          <w:rtl/>
        </w:rPr>
        <w:instrText xml:space="preserve"> </w:instrText>
      </w:r>
      <w:r w:rsidRPr="00C90A62">
        <w:rPr>
          <w:rStyle w:val="af7"/>
          <w:rFonts w:eastAsia="Guttman Hodes"/>
          <w:rtl/>
        </w:rPr>
      </w:r>
      <w:r w:rsidRPr="00C90A62">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C90A62">
        <w:rPr>
          <w:rStyle w:val="af7"/>
          <w:rFonts w:eastAsia="Guttman Hodes"/>
          <w:rtl/>
        </w:rPr>
        <w:fldChar w:fldCharType="end"/>
      </w:r>
      <w:r>
        <w:rPr>
          <w:rFonts w:hint="cs"/>
          <w:rtl/>
        </w:rPr>
        <w:t xml:space="preserve"> בדעת </w:t>
      </w:r>
      <w:r w:rsidRPr="00056F31">
        <w:rPr>
          <w:rStyle w:val="af9"/>
          <w:rFonts w:hint="cs"/>
          <w:rtl/>
        </w:rPr>
        <w:t>ר"י</w:t>
      </w:r>
      <w:r>
        <w:rPr>
          <w:rFonts w:hint="cs"/>
          <w:rtl/>
        </w:rPr>
        <w:t>, דבכל מקום שהנאמנות שלו היא ע"י המיגו אין דין טענינן.</w:t>
      </w:r>
      <w:bookmarkEnd w:id="10952"/>
    </w:p>
    <w:p w:rsidR="006A4297" w:rsidRPr="00096A0A" w:rsidRDefault="006A4297" w:rsidP="006A4297">
      <w:pPr>
        <w:pStyle w:val="1"/>
        <w:rPr>
          <w:rtl/>
        </w:rPr>
      </w:pPr>
      <w:bookmarkStart w:id="10953" w:name="_Toc60678330"/>
      <w:r>
        <w:rPr>
          <w:rFonts w:hint="cs"/>
          <w:rtl/>
        </w:rPr>
        <w:t>ביאור רבי ראובן בתוס' וההג"מ בר"י דטענינן מה שאינו יודע</w:t>
      </w:r>
      <w:bookmarkEnd w:id="10953"/>
    </w:p>
    <w:p w:rsidR="006A4297" w:rsidRPr="00DF2530" w:rsidRDefault="006A4297" w:rsidP="006A4297">
      <w:pPr>
        <w:pStyle w:val="a3"/>
      </w:pPr>
      <w:bookmarkStart w:id="10954" w:name="_Toc60678331"/>
      <w:r>
        <w:rPr>
          <w:rFonts w:hint="cs"/>
          <w:rtl/>
        </w:rPr>
        <w:t>ביאור רבי ראובן בד' התוס' וההג"מ דלר"י דטענינן הוא פתח פיך לאלם למה שאינו יודע לטעון</w:t>
      </w:r>
      <w:bookmarkEnd w:id="10954"/>
    </w:p>
    <w:p w:rsidR="006A4297" w:rsidRDefault="006A4297" w:rsidP="007E4E81">
      <w:pPr>
        <w:pStyle w:val="a0"/>
        <w:rPr>
          <w:rtl/>
        </w:rPr>
      </w:pPr>
      <w:bookmarkStart w:id="10955" w:name="_Ref60668496"/>
      <w:r>
        <w:rPr>
          <w:rFonts w:hint="cs"/>
          <w:rtl/>
        </w:rPr>
        <w:t xml:space="preserve">וכתב </w:t>
      </w:r>
      <w:r w:rsidRPr="00605563">
        <w:rPr>
          <w:rStyle w:val="af9"/>
          <w:rFonts w:hint="cs"/>
          <w:rtl/>
        </w:rPr>
        <w:t xml:space="preserve">בחי' רבי ראובן </w:t>
      </w:r>
      <w:r w:rsidRPr="00CC023E">
        <w:rPr>
          <w:rStyle w:val="af7"/>
          <w:rFonts w:eastAsia="Guttman Hodes" w:hint="cs"/>
          <w:rtl/>
        </w:rPr>
        <w:t>(סי' י"ב ד"ה ונ' דודאי)</w:t>
      </w:r>
      <w:r>
        <w:rPr>
          <w:rFonts w:hint="cs"/>
          <w:rtl/>
        </w:rPr>
        <w:t xml:space="preserve"> דכיון דמוכח מלשון </w:t>
      </w:r>
      <w:r w:rsidRPr="00CC023E">
        <w:rPr>
          <w:rStyle w:val="af9"/>
          <w:rFonts w:hint="cs"/>
          <w:rtl/>
        </w:rPr>
        <w:t>התוס' ומההג"מ</w:t>
      </w:r>
      <w:r>
        <w:rPr>
          <w:rFonts w:hint="cs"/>
          <w:rtl/>
        </w:rPr>
        <w:t xml:space="preserve"> דלדעת </w:t>
      </w:r>
      <w:r w:rsidRPr="00CC023E">
        <w:rPr>
          <w:rStyle w:val="af9"/>
          <w:rFonts w:hint="cs"/>
          <w:rtl/>
        </w:rPr>
        <w:t>ר"י</w:t>
      </w:r>
      <w:r>
        <w:rPr>
          <w:rFonts w:hint="cs"/>
          <w:rtl/>
        </w:rPr>
        <w:t xml:space="preserve"> </w:t>
      </w:r>
      <w:r w:rsidRPr="007B2A61">
        <w:rPr>
          <w:rStyle w:val="af7"/>
          <w:rFonts w:eastAsia="Guttman Hodes" w:hint="cs"/>
          <w:rtl/>
        </w:rPr>
        <w:t xml:space="preserve">(עי' אות </w:t>
      </w:r>
      <w:r w:rsidRPr="007B2A61">
        <w:rPr>
          <w:rStyle w:val="af7"/>
          <w:rFonts w:eastAsia="Guttman Hodes"/>
          <w:rtl/>
        </w:rPr>
        <w:fldChar w:fldCharType="begin"/>
      </w:r>
      <w:r w:rsidRPr="007B2A61">
        <w:rPr>
          <w:rStyle w:val="af7"/>
          <w:rFonts w:eastAsia="Guttman Hodes"/>
          <w:rtl/>
        </w:rPr>
        <w:instrText xml:space="preserve"> </w:instrText>
      </w:r>
      <w:r w:rsidRPr="007B2A61">
        <w:rPr>
          <w:rStyle w:val="af7"/>
          <w:rFonts w:eastAsia="Guttman Hodes" w:hint="cs"/>
        </w:rPr>
        <w:instrText>REF</w:instrText>
      </w:r>
      <w:r w:rsidRPr="007B2A61">
        <w:rPr>
          <w:rStyle w:val="af7"/>
          <w:rFonts w:eastAsia="Guttman Hodes" w:hint="cs"/>
          <w:rtl/>
        </w:rPr>
        <w:instrText xml:space="preserve"> _</w:instrText>
      </w:r>
      <w:r w:rsidRPr="007B2A61">
        <w:rPr>
          <w:rStyle w:val="af7"/>
          <w:rFonts w:eastAsia="Guttman Hodes" w:hint="cs"/>
        </w:rPr>
        <w:instrText>Ref58148081 \r \h</w:instrText>
      </w:r>
      <w:r w:rsidRPr="007B2A6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B2A61">
        <w:rPr>
          <w:rStyle w:val="af7"/>
          <w:rFonts w:eastAsia="Guttman Hodes"/>
          <w:rtl/>
        </w:rPr>
      </w:r>
      <w:r w:rsidRPr="007B2A61">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Pr="007B2A61">
        <w:rPr>
          <w:rStyle w:val="af7"/>
          <w:rFonts w:eastAsia="Guttman Hodes"/>
          <w:rtl/>
        </w:rPr>
        <w:fldChar w:fldCharType="end"/>
      </w:r>
      <w:r>
        <w:rPr>
          <w:rStyle w:val="af7"/>
          <w:rFonts w:eastAsia="Guttman Hodes" w:hint="cs"/>
          <w:rtl/>
        </w:rPr>
        <w:t xml:space="preserve"> </w:t>
      </w:r>
      <w:r>
        <w:rPr>
          <w:rFonts w:hint="cs"/>
          <w:rtl/>
        </w:rPr>
        <w:t>מהני מיגו כשיש לו עדים דדר בה חד יומא, אף שאין לו חזקת ג"ש, ורק באופן שהודה מתחילה דאין לו מיגו דהוא מיגו למפרע, לא טענינן ליה, א"כ צ"ל דס"ל</w:t>
      </w:r>
      <w:r w:rsidRPr="00056F31">
        <w:rPr>
          <w:rStyle w:val="af9"/>
          <w:rFonts w:hint="cs"/>
          <w:rtl/>
        </w:rPr>
        <w:t xml:space="preserve"> לר"י </w:t>
      </w:r>
      <w:r>
        <w:rPr>
          <w:rFonts w:hint="cs"/>
          <w:rtl/>
        </w:rPr>
        <w:t xml:space="preserve">דדין טענינן הוא רק במקום שגם עכשיו הוא יכול להיות הלוקח נאמן בטענה של הטענינן, דבכה"ג אמרינן פתח פיך לאלם, </w:t>
      </w:r>
      <w:r w:rsidRPr="00CC023E">
        <w:rPr>
          <w:rStyle w:val="afb"/>
          <w:rFonts w:hint="cs"/>
          <w:rtl/>
        </w:rPr>
        <w:t xml:space="preserve">[כדברי </w:t>
      </w:r>
      <w:r w:rsidRPr="00CC023E">
        <w:rPr>
          <w:rStyle w:val="affa"/>
          <w:rFonts w:hint="cs"/>
          <w:rtl/>
        </w:rPr>
        <w:t xml:space="preserve">רש"י בכתובות </w:t>
      </w:r>
      <w:r w:rsidRPr="00CC023E">
        <w:rPr>
          <w:rStyle w:val="aff6"/>
          <w:rFonts w:hint="cs"/>
          <w:rtl/>
        </w:rPr>
        <w:t>(פז. ד"ה מנכסים)</w:t>
      </w:r>
      <w:r w:rsidRPr="00CC023E">
        <w:rPr>
          <w:rStyle w:val="afb"/>
          <w:rFonts w:hint="cs"/>
          <w:rtl/>
        </w:rPr>
        <w:t xml:space="preserve">], </w:t>
      </w:r>
      <w:r>
        <w:rPr>
          <w:rFonts w:hint="cs"/>
          <w:rtl/>
        </w:rPr>
        <w:t xml:space="preserve">דכיון שהוא אינו יודע מהי טענת המוכר, טענינן ליה אנן, וכתב </w:t>
      </w:r>
      <w:r w:rsidRPr="00733886">
        <w:rPr>
          <w:rStyle w:val="af9"/>
          <w:rFonts w:hint="cs"/>
          <w:rtl/>
        </w:rPr>
        <w:t>בחי' רבי ראובן</w:t>
      </w:r>
      <w:r>
        <w:rPr>
          <w:rFonts w:hint="cs"/>
          <w:rtl/>
        </w:rPr>
        <w:t xml:space="preserve"> דבזה אף לדעת </w:t>
      </w:r>
      <w:r w:rsidRPr="008D1B15">
        <w:rPr>
          <w:rStyle w:val="af9"/>
          <w:rFonts w:hint="cs"/>
          <w:rtl/>
        </w:rPr>
        <w:t>ר"י</w:t>
      </w:r>
      <w:r>
        <w:rPr>
          <w:rFonts w:hint="cs"/>
          <w:rtl/>
        </w:rPr>
        <w:t xml:space="preserve"> טענינן ליה, אף כשהוא נאמן מחמת המיגו, ועי' במה שהוסיף</w:t>
      </w:r>
      <w:r w:rsidRPr="007B650F">
        <w:rPr>
          <w:rStyle w:val="af9"/>
          <w:rFonts w:hint="cs"/>
          <w:rtl/>
        </w:rPr>
        <w:t xml:space="preserve"> </w:t>
      </w:r>
      <w:r>
        <w:rPr>
          <w:rFonts w:hint="cs"/>
          <w:rtl/>
        </w:rPr>
        <w:t>לבאר</w:t>
      </w:r>
      <w:r w:rsidRPr="007B650F">
        <w:rPr>
          <w:rStyle w:val="af9"/>
          <w:rFonts w:hint="cs"/>
          <w:rtl/>
        </w:rPr>
        <w:t xml:space="preserve"> בחי' רבי ראובן</w:t>
      </w:r>
      <w:r>
        <w:rPr>
          <w:rFonts w:hint="cs"/>
          <w:rtl/>
        </w:rPr>
        <w:t xml:space="preserve"> </w:t>
      </w:r>
      <w:r w:rsidRPr="0021321A">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Ref60673465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Pr>
          <w:rStyle w:val="af7"/>
          <w:rFonts w:eastAsia="Guttman Hodes"/>
          <w:rtl/>
        </w:rPr>
        <w:fldChar w:fldCharType="end"/>
      </w:r>
      <w:r>
        <w:rPr>
          <w:rStyle w:val="af7"/>
          <w:rFonts w:eastAsia="Guttman Hodes" w:hint="cs"/>
          <w:rtl/>
        </w:rPr>
        <w:t xml:space="preserve"> </w:t>
      </w:r>
      <w:r>
        <w:rPr>
          <w:rFonts w:hint="cs"/>
          <w:rtl/>
        </w:rPr>
        <w:t xml:space="preserve">בדעת </w:t>
      </w:r>
      <w:r w:rsidRPr="007B650F">
        <w:rPr>
          <w:rStyle w:val="af9"/>
          <w:rFonts w:hint="cs"/>
          <w:rtl/>
        </w:rPr>
        <w:t>ר</w:t>
      </w:r>
      <w:r w:rsidRPr="007374D4">
        <w:rPr>
          <w:rStyle w:val="af9"/>
          <w:rFonts w:hint="cs"/>
          <w:rtl/>
        </w:rPr>
        <w:t>"י</w:t>
      </w:r>
      <w:r>
        <w:rPr>
          <w:rFonts w:hint="cs"/>
          <w:rtl/>
        </w:rPr>
        <w:t xml:space="preserve"> דדין טענינן מדין פתח פיך לאלם, היינו דחשיבא כטענה של הלוקח בעצמו.</w:t>
      </w:r>
      <w:bookmarkEnd w:id="10955"/>
    </w:p>
    <w:p w:rsidR="006A4297" w:rsidRPr="00910B22" w:rsidRDefault="006A4297" w:rsidP="006A4297">
      <w:pPr>
        <w:pStyle w:val="1"/>
        <w:rPr>
          <w:rtl/>
        </w:rPr>
      </w:pPr>
      <w:bookmarkStart w:id="10956" w:name="_Toc60678332"/>
      <w:r>
        <w:rPr>
          <w:rFonts w:hint="cs"/>
          <w:rtl/>
        </w:rPr>
        <w:t>ביאור רבי ראובן ברשב"א בתוס' דטענינן כ"מ דהמוכר היה טוען</w:t>
      </w:r>
      <w:bookmarkEnd w:id="10956"/>
    </w:p>
    <w:p w:rsidR="006A4297" w:rsidRPr="008D17E9" w:rsidRDefault="006A4297" w:rsidP="006A4297">
      <w:pPr>
        <w:pStyle w:val="a3"/>
        <w:rPr>
          <w:rtl/>
        </w:rPr>
      </w:pPr>
      <w:bookmarkStart w:id="10957" w:name="_Toc60678333"/>
      <w:r>
        <w:rPr>
          <w:rFonts w:hint="cs"/>
          <w:rtl/>
        </w:rPr>
        <w:t>ביאור רבי ראובן ברשב"א בתוס' דטענינן הוא בכל מה שהיה המוכר נאמן כעין דין "מה מכר"</w:t>
      </w:r>
      <w:bookmarkEnd w:id="10957"/>
    </w:p>
    <w:p w:rsidR="006A4297" w:rsidRDefault="006A4297" w:rsidP="007E4E81">
      <w:pPr>
        <w:pStyle w:val="a0"/>
        <w:rPr>
          <w:rtl/>
        </w:rPr>
      </w:pPr>
      <w:bookmarkStart w:id="10958" w:name="_Ref60668615"/>
      <w:r>
        <w:rPr>
          <w:rFonts w:hint="cs"/>
          <w:rtl/>
        </w:rPr>
        <w:t xml:space="preserve">ובדעת </w:t>
      </w:r>
      <w:r w:rsidRPr="00056F31">
        <w:rPr>
          <w:rStyle w:val="af9"/>
          <w:rFonts w:hint="cs"/>
          <w:rtl/>
        </w:rPr>
        <w:t xml:space="preserve">הרשב"א </w:t>
      </w:r>
      <w:r w:rsidRPr="008D1B15">
        <w:rPr>
          <w:rStyle w:val="af9"/>
          <w:rFonts w:hint="cs"/>
          <w:rtl/>
        </w:rPr>
        <w:t>בתוס'</w:t>
      </w:r>
      <w:r>
        <w:rPr>
          <w:rFonts w:hint="cs"/>
          <w:rtl/>
        </w:rPr>
        <w:t xml:space="preserve"> </w:t>
      </w:r>
      <w:r w:rsidRPr="00162318">
        <w:rPr>
          <w:rStyle w:val="af7"/>
          <w:rFonts w:eastAsia="Guttman Hodes" w:hint="cs"/>
          <w:rtl/>
        </w:rPr>
        <w:t xml:space="preserve">(עי' אות </w:t>
      </w:r>
      <w:r w:rsidRPr="00162318">
        <w:rPr>
          <w:rStyle w:val="af7"/>
          <w:rFonts w:eastAsia="Guttman Hodes"/>
          <w:rtl/>
        </w:rPr>
        <w:fldChar w:fldCharType="begin"/>
      </w:r>
      <w:r w:rsidRPr="00162318">
        <w:rPr>
          <w:rStyle w:val="af7"/>
          <w:rFonts w:eastAsia="Guttman Hodes"/>
          <w:rtl/>
        </w:rPr>
        <w:instrText xml:space="preserve"> </w:instrText>
      </w:r>
      <w:r w:rsidRPr="00162318">
        <w:rPr>
          <w:rStyle w:val="af7"/>
          <w:rFonts w:eastAsia="Guttman Hodes" w:hint="cs"/>
        </w:rPr>
        <w:instrText>REF</w:instrText>
      </w:r>
      <w:r w:rsidRPr="00162318">
        <w:rPr>
          <w:rStyle w:val="af7"/>
          <w:rFonts w:eastAsia="Guttman Hodes" w:hint="cs"/>
          <w:rtl/>
        </w:rPr>
        <w:instrText xml:space="preserve"> _</w:instrText>
      </w:r>
      <w:r w:rsidRPr="00162318">
        <w:rPr>
          <w:rStyle w:val="af7"/>
          <w:rFonts w:eastAsia="Guttman Hodes" w:hint="cs"/>
        </w:rPr>
        <w:instrText>Ref60342515 \r \h</w:instrText>
      </w:r>
      <w:r w:rsidRPr="00162318">
        <w:rPr>
          <w:rStyle w:val="af7"/>
          <w:rFonts w:eastAsia="Guttman Hodes"/>
          <w:rtl/>
        </w:rPr>
        <w:instrText xml:space="preserve"> </w:instrText>
      </w:r>
      <w:r w:rsidRPr="00162318">
        <w:rPr>
          <w:rStyle w:val="af7"/>
          <w:rFonts w:eastAsia="Guttman Hodes"/>
          <w:rtl/>
        </w:rPr>
      </w:r>
      <w:r w:rsidRPr="00162318">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162318">
        <w:rPr>
          <w:rStyle w:val="af7"/>
          <w:rFonts w:eastAsia="Guttman Hodes"/>
          <w:rtl/>
        </w:rPr>
        <w:fldChar w:fldCharType="end"/>
      </w:r>
      <w:r>
        <w:rPr>
          <w:rFonts w:hint="cs"/>
          <w:rtl/>
        </w:rPr>
        <w:t xml:space="preserve"> דס"ל דאמרינן טענינן, אף כשהודה בתחילה, דבכה"ג אין לו מיגו דהוא מיגו למפרע, ביאר </w:t>
      </w:r>
      <w:r w:rsidRPr="00056F31">
        <w:rPr>
          <w:rStyle w:val="af9"/>
          <w:rFonts w:hint="cs"/>
          <w:rtl/>
        </w:rPr>
        <w:t>בחי'</w:t>
      </w:r>
      <w:r>
        <w:rPr>
          <w:rFonts w:hint="cs"/>
          <w:rtl/>
        </w:rPr>
        <w:t xml:space="preserve"> רבי </w:t>
      </w:r>
      <w:r w:rsidRPr="00056F31">
        <w:rPr>
          <w:rStyle w:val="af9"/>
          <w:rFonts w:hint="cs"/>
          <w:rtl/>
        </w:rPr>
        <w:t>ראובן</w:t>
      </w:r>
      <w:r>
        <w:rPr>
          <w:rFonts w:hint="cs"/>
          <w:rtl/>
        </w:rPr>
        <w:t xml:space="preserve"> </w:t>
      </w:r>
      <w:r w:rsidRPr="00CC023E">
        <w:rPr>
          <w:rStyle w:val="af7"/>
          <w:rFonts w:eastAsia="Guttman Hodes" w:hint="cs"/>
          <w:rtl/>
        </w:rPr>
        <w:t>(סי' י"ב ד"ה ונ' דודאי)</w:t>
      </w:r>
      <w:r>
        <w:rPr>
          <w:rFonts w:hint="cs"/>
          <w:rtl/>
        </w:rPr>
        <w:t xml:space="preserve"> דס"ל </w:t>
      </w:r>
      <w:r w:rsidRPr="00056F31">
        <w:rPr>
          <w:rStyle w:val="af9"/>
          <w:rFonts w:hint="cs"/>
          <w:rtl/>
        </w:rPr>
        <w:t>להרשב"א בתוס'</w:t>
      </w:r>
      <w:r>
        <w:rPr>
          <w:rFonts w:hint="cs"/>
          <w:rtl/>
        </w:rPr>
        <w:t xml:space="preserve"> דיש דין נוסף בטענינן, דכל מה שהיה המוכר נאמן לטעון, טוענים גם ללוקח, [</w:t>
      </w:r>
      <w:r w:rsidRPr="00F21176">
        <w:rPr>
          <w:rStyle w:val="afb"/>
          <w:rFonts w:hint="cs"/>
          <w:rtl/>
        </w:rPr>
        <w:t>וכ</w:t>
      </w:r>
      <w:r>
        <w:rPr>
          <w:rStyle w:val="afb"/>
          <w:rFonts w:hint="cs"/>
          <w:rtl/>
        </w:rPr>
        <w:t>עי"ז כתב</w:t>
      </w:r>
      <w:r w:rsidRPr="00F21176">
        <w:rPr>
          <w:rStyle w:val="afb"/>
          <w:rFonts w:hint="cs"/>
          <w:rtl/>
        </w:rPr>
        <w:t xml:space="preserve"> </w:t>
      </w:r>
      <w:r w:rsidRPr="00F21176">
        <w:rPr>
          <w:rStyle w:val="affa"/>
          <w:rFonts w:hint="cs"/>
          <w:rtl/>
        </w:rPr>
        <w:t>הדרישה</w:t>
      </w:r>
      <w:r w:rsidRPr="00F21176">
        <w:rPr>
          <w:rStyle w:val="afb"/>
          <w:rFonts w:hint="cs"/>
          <w:rtl/>
        </w:rPr>
        <w:t xml:space="preserve"> </w:t>
      </w:r>
      <w:r w:rsidRPr="00F21176">
        <w:rPr>
          <w:rStyle w:val="aff6"/>
          <w:rFonts w:hint="cs"/>
          <w:rtl/>
        </w:rPr>
        <w:t xml:space="preserve">(עי' אות </w:t>
      </w:r>
      <w:r w:rsidRPr="00F21176">
        <w:rPr>
          <w:rStyle w:val="aff6"/>
          <w:rtl/>
        </w:rPr>
        <w:fldChar w:fldCharType="begin"/>
      </w:r>
      <w:r w:rsidRPr="00F21176">
        <w:rPr>
          <w:rStyle w:val="aff6"/>
          <w:rtl/>
        </w:rPr>
        <w:instrText xml:space="preserve"> </w:instrText>
      </w:r>
      <w:r w:rsidRPr="00F21176">
        <w:rPr>
          <w:rStyle w:val="aff6"/>
          <w:rFonts w:hint="cs"/>
        </w:rPr>
        <w:instrText>REF</w:instrText>
      </w:r>
      <w:r w:rsidRPr="00F21176">
        <w:rPr>
          <w:rStyle w:val="aff6"/>
          <w:rFonts w:hint="cs"/>
          <w:rtl/>
        </w:rPr>
        <w:instrText xml:space="preserve"> _</w:instrText>
      </w:r>
      <w:r w:rsidRPr="00F21176">
        <w:rPr>
          <w:rStyle w:val="aff6"/>
          <w:rFonts w:hint="cs"/>
        </w:rPr>
        <w:instrText>Ref60343299 \r \h</w:instrText>
      </w:r>
      <w:r w:rsidRPr="00F21176">
        <w:rPr>
          <w:rStyle w:val="aff6"/>
          <w:rtl/>
        </w:rPr>
        <w:instrText xml:space="preserve"> </w:instrText>
      </w:r>
      <w:r w:rsidRPr="00F21176">
        <w:rPr>
          <w:rStyle w:val="aff6"/>
          <w:rtl/>
        </w:rPr>
      </w:r>
      <w:r w:rsidRPr="00F21176">
        <w:rPr>
          <w:rStyle w:val="aff6"/>
          <w:rtl/>
        </w:rPr>
        <w:fldChar w:fldCharType="separate"/>
      </w:r>
      <w:r w:rsidR="00265073">
        <w:rPr>
          <w:rStyle w:val="aff6"/>
          <w:cs/>
        </w:rPr>
        <w:t>‎</w:t>
      </w:r>
      <w:r w:rsidR="00265073">
        <w:rPr>
          <w:rStyle w:val="aff6"/>
          <w:rtl/>
        </w:rPr>
        <w:t>עא)</w:t>
      </w:r>
      <w:r w:rsidRPr="00F21176">
        <w:rPr>
          <w:rStyle w:val="aff6"/>
          <w:rtl/>
        </w:rPr>
        <w:fldChar w:fldCharType="end"/>
      </w:r>
      <w:r w:rsidRPr="00F21176">
        <w:rPr>
          <w:rStyle w:val="afb"/>
          <w:rFonts w:hint="cs"/>
          <w:rtl/>
        </w:rPr>
        <w:t>],</w:t>
      </w:r>
      <w:r>
        <w:rPr>
          <w:rFonts w:hint="cs"/>
          <w:rtl/>
        </w:rPr>
        <w:t xml:space="preserve"> והוא דין נוסף אף במקום שלא שייך לומר פתח פיך לאלם, כיון שהלוקח אינו נאמן בטענה שהיה המוכר יכול </w:t>
      </w:r>
      <w:r>
        <w:rPr>
          <w:rFonts w:hint="cs"/>
          <w:rtl/>
        </w:rPr>
        <w:t>לטעון, מ"מ יש לו את הזכות של טענת המוכר, כעין הדין דמה מכר ראשון לשני כל זכות שתבא לידו.</w:t>
      </w:r>
      <w:bookmarkEnd w:id="10958"/>
    </w:p>
    <w:p w:rsidR="006A4297" w:rsidRPr="00AB7CB1" w:rsidRDefault="006A4297" w:rsidP="006A4297">
      <w:pPr>
        <w:pStyle w:val="1"/>
        <w:rPr>
          <w:rtl/>
        </w:rPr>
      </w:pPr>
      <w:bookmarkStart w:id="10959" w:name="_Toc60678334"/>
      <w:r>
        <w:rPr>
          <w:rFonts w:hint="cs"/>
          <w:rtl/>
        </w:rPr>
        <w:t>ביאור רבי ראובן דר"י מודה בעידי חד יומא ובטען כן בתחילה</w:t>
      </w:r>
      <w:bookmarkEnd w:id="10959"/>
      <w:r>
        <w:rPr>
          <w:rFonts w:hint="cs"/>
          <w:rtl/>
        </w:rPr>
        <w:t xml:space="preserve"> </w:t>
      </w:r>
    </w:p>
    <w:p w:rsidR="006A4297" w:rsidRDefault="006A4297" w:rsidP="006A4297">
      <w:pPr>
        <w:pStyle w:val="a3"/>
        <w:rPr>
          <w:rtl/>
        </w:rPr>
      </w:pPr>
      <w:bookmarkStart w:id="10960" w:name="_Toc60678335"/>
      <w:r>
        <w:rPr>
          <w:rFonts w:hint="cs"/>
          <w:rtl/>
        </w:rPr>
        <w:t>ביאור רבי ראובן דכוונת ר"י לומר דכשהודה הלוקח ואינו יכול לטעון כטענינן אין דין טענינן</w:t>
      </w:r>
      <w:bookmarkEnd w:id="10960"/>
    </w:p>
    <w:p w:rsidR="006A4297" w:rsidRDefault="006A4297" w:rsidP="007E4E81">
      <w:pPr>
        <w:pStyle w:val="a0"/>
        <w:rPr>
          <w:rtl/>
        </w:rPr>
      </w:pPr>
      <w:r>
        <w:rPr>
          <w:rFonts w:hint="cs"/>
          <w:rtl/>
        </w:rPr>
        <w:t>וביאר</w:t>
      </w:r>
      <w:r w:rsidRPr="00340939">
        <w:rPr>
          <w:rFonts w:hint="cs"/>
          <w:rtl/>
        </w:rPr>
        <w:t xml:space="preserve"> </w:t>
      </w:r>
      <w:r w:rsidRPr="00D55698">
        <w:rPr>
          <w:rStyle w:val="af9"/>
          <w:rFonts w:hint="cs"/>
          <w:rtl/>
        </w:rPr>
        <w:t>בחי' רבי ראובן</w:t>
      </w:r>
      <w:r>
        <w:rPr>
          <w:rFonts w:hint="cs"/>
          <w:rtl/>
        </w:rPr>
        <w:t xml:space="preserve"> </w:t>
      </w:r>
      <w:r w:rsidRPr="00D55698">
        <w:rPr>
          <w:rStyle w:val="af7"/>
          <w:rFonts w:eastAsia="Guttman Hodes" w:hint="cs"/>
          <w:rtl/>
        </w:rPr>
        <w:t>(סי' י"ב</w:t>
      </w:r>
      <w:r>
        <w:rPr>
          <w:rStyle w:val="af7"/>
          <w:rFonts w:eastAsia="Guttman Hodes" w:hint="cs"/>
          <w:rtl/>
        </w:rPr>
        <w:t xml:space="preserve"> ד"ה ולפי"ז)</w:t>
      </w:r>
      <w:r>
        <w:rPr>
          <w:rFonts w:hint="cs"/>
          <w:rtl/>
        </w:rPr>
        <w:t xml:space="preserve"> דזו כוונת </w:t>
      </w:r>
      <w:r>
        <w:rPr>
          <w:rStyle w:val="af9"/>
          <w:rFonts w:hint="cs"/>
          <w:rtl/>
        </w:rPr>
        <w:t>ר</w:t>
      </w:r>
      <w:r>
        <w:rPr>
          <w:rStyle w:val="af9"/>
          <w:rtl/>
        </w:rPr>
        <w:t>"</w:t>
      </w:r>
      <w:r>
        <w:rPr>
          <w:rStyle w:val="af9"/>
          <w:rFonts w:hint="cs"/>
          <w:rtl/>
        </w:rPr>
        <w:t>י</w:t>
      </w:r>
      <w:r>
        <w:rPr>
          <w:rFonts w:hint="cs"/>
          <w:rtl/>
        </w:rPr>
        <w:t xml:space="preserve"> </w:t>
      </w:r>
      <w:r w:rsidRPr="0021321A">
        <w:rPr>
          <w:rStyle w:val="af7"/>
          <w:rFonts w:eastAsia="Guttman Hodes" w:hint="cs"/>
          <w:rtl/>
        </w:rPr>
        <w:t xml:space="preserve">(עי' אות </w:t>
      </w:r>
      <w:r w:rsidRPr="0021321A">
        <w:rPr>
          <w:rStyle w:val="af7"/>
          <w:rFonts w:eastAsia="Guttman Hodes"/>
          <w:rtl/>
        </w:rPr>
        <w:fldChar w:fldCharType="begin"/>
      </w:r>
      <w:r w:rsidRPr="0021321A">
        <w:rPr>
          <w:rStyle w:val="af7"/>
          <w:rFonts w:eastAsia="Guttman Hodes"/>
          <w:rtl/>
        </w:rPr>
        <w:instrText xml:space="preserve"> </w:instrText>
      </w:r>
      <w:r w:rsidRPr="0021321A">
        <w:rPr>
          <w:rStyle w:val="af7"/>
          <w:rFonts w:eastAsia="Guttman Hodes" w:hint="cs"/>
        </w:rPr>
        <w:instrText>REF</w:instrText>
      </w:r>
      <w:r w:rsidRPr="0021321A">
        <w:rPr>
          <w:rStyle w:val="af7"/>
          <w:rFonts w:eastAsia="Guttman Hodes" w:hint="cs"/>
          <w:rtl/>
        </w:rPr>
        <w:instrText xml:space="preserve"> _</w:instrText>
      </w:r>
      <w:r w:rsidRPr="0021321A">
        <w:rPr>
          <w:rStyle w:val="af7"/>
          <w:rFonts w:eastAsia="Guttman Hodes" w:hint="cs"/>
        </w:rPr>
        <w:instrText>Ref60640954 \r \h</w:instrText>
      </w:r>
      <w:r w:rsidRPr="0021321A">
        <w:rPr>
          <w:rStyle w:val="af7"/>
          <w:rFonts w:eastAsia="Guttman Hodes"/>
          <w:rtl/>
        </w:rPr>
        <w:instrText xml:space="preserve"> </w:instrText>
      </w:r>
      <w:r w:rsidRPr="0021321A">
        <w:rPr>
          <w:rStyle w:val="af7"/>
          <w:rFonts w:eastAsia="Guttman Hodes"/>
          <w:rtl/>
        </w:rPr>
      </w:r>
      <w:r w:rsidRPr="0021321A">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21321A">
        <w:rPr>
          <w:rStyle w:val="af7"/>
          <w:rFonts w:eastAsia="Guttman Hodes"/>
          <w:rtl/>
        </w:rPr>
        <w:fldChar w:fldCharType="end"/>
      </w:r>
      <w:r>
        <w:rPr>
          <w:rFonts w:hint="cs"/>
          <w:rtl/>
        </w:rPr>
        <w:t xml:space="preserve"> דכתב לדחות את ראיית </w:t>
      </w:r>
      <w:r w:rsidRPr="00056F31">
        <w:rPr>
          <w:rStyle w:val="af9"/>
          <w:rFonts w:hint="cs"/>
          <w:rtl/>
        </w:rPr>
        <w:t xml:space="preserve">הרשב"א </w:t>
      </w:r>
      <w:r w:rsidRPr="008D1B15">
        <w:rPr>
          <w:rStyle w:val="af9"/>
          <w:rFonts w:hint="cs"/>
          <w:rtl/>
        </w:rPr>
        <w:t>בתוס'</w:t>
      </w:r>
      <w:r>
        <w:rPr>
          <w:rFonts w:hint="cs"/>
          <w:rtl/>
        </w:rPr>
        <w:t xml:space="preserve"> </w:t>
      </w:r>
      <w:r w:rsidRPr="0016231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Ref60343319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Pr>
          <w:rStyle w:val="af7"/>
          <w:rFonts w:eastAsia="Guttman Hodes"/>
          <w:rtl/>
        </w:rPr>
        <w:fldChar w:fldCharType="end"/>
      </w:r>
      <w:r w:rsidRPr="00162318">
        <w:rPr>
          <w:rStyle w:val="af7"/>
          <w:rFonts w:eastAsia="Guttman Hodes" w:hint="cs"/>
          <w:rtl/>
        </w:rPr>
        <w:t xml:space="preserve"> </w:t>
      </w:r>
      <w:r>
        <w:rPr>
          <w:rFonts w:hint="cs"/>
          <w:rtl/>
        </w:rPr>
        <w:t>דאם היה המוכר רוצה לזכות בקרקע בטענה שלא הייתה של המערער מעולם, לא היה מעכב המחזיק את הקרקע בידו, דהיינו דבאופן שהודה הלוקח ואינו יכול לטעון את טענת הטענינן, לא טענינן ליה.</w:t>
      </w:r>
    </w:p>
    <w:p w:rsidR="006A4297" w:rsidRPr="005D6283" w:rsidRDefault="006A4297" w:rsidP="006A4297">
      <w:pPr>
        <w:pStyle w:val="a3"/>
      </w:pPr>
      <w:bookmarkStart w:id="10961" w:name="_Toc60678336"/>
      <w:r>
        <w:rPr>
          <w:rFonts w:hint="cs"/>
          <w:rtl/>
        </w:rPr>
        <w:t>ביאור רבי ראובן דמודה ר"י דטענינן בטען בתחילה חד יומא או בעידי חד יומא דיכול לטעון כן</w:t>
      </w:r>
      <w:bookmarkEnd w:id="10961"/>
    </w:p>
    <w:p w:rsidR="006A4297" w:rsidRDefault="006A4297" w:rsidP="007E4E81">
      <w:pPr>
        <w:pStyle w:val="a0"/>
      </w:pPr>
      <w:r>
        <w:rPr>
          <w:rFonts w:hint="cs"/>
          <w:rtl/>
        </w:rPr>
        <w:t xml:space="preserve">אך כתב </w:t>
      </w:r>
      <w:r w:rsidRPr="00D55698">
        <w:rPr>
          <w:rStyle w:val="af9"/>
          <w:rFonts w:hint="cs"/>
          <w:rtl/>
        </w:rPr>
        <w:t>בחי' רבי ראובן</w:t>
      </w:r>
      <w:r>
        <w:rPr>
          <w:rFonts w:hint="cs"/>
          <w:rtl/>
        </w:rPr>
        <w:t xml:space="preserve"> דמודה </w:t>
      </w:r>
      <w:r w:rsidRPr="00056F31">
        <w:rPr>
          <w:rStyle w:val="af9"/>
          <w:rFonts w:hint="cs"/>
          <w:rtl/>
        </w:rPr>
        <w:t>ר"י</w:t>
      </w:r>
      <w:r>
        <w:rPr>
          <w:rFonts w:hint="cs"/>
          <w:rtl/>
        </w:rPr>
        <w:t xml:space="preserve"> כשטען בתחילה קמי דידי דר בה חד יומא, שיש לו מיגו, או כשיש לו עדים דדר בה חד יומא, דטענינן ליה אעפ"י שאין לו חזקת ג"ש, כיון שהוא עצמו יכול להיות נאמן בטענה של הטענינן, ולא שייך לומר בזה דהלוקח לא היה מעכב לעצמו, כיון שהוא מודה שהטענה הזו היא שקר, דהא כל הנאמנות של המיגו היא דהיה יכול לשקר, ולכן נאמן במה שטוען עכשיו, וה"ה בטענינן דאם היה המחזיק טוען כן הייתה הקרקע מוחזקת בידו.</w:t>
      </w:r>
    </w:p>
    <w:p w:rsidR="006A4297" w:rsidRDefault="006A4297" w:rsidP="006A4297">
      <w:pPr>
        <w:pStyle w:val="a3"/>
        <w:rPr>
          <w:rtl/>
        </w:rPr>
      </w:pPr>
      <w:bookmarkStart w:id="10962" w:name="_Toc60678337"/>
      <w:r>
        <w:rPr>
          <w:rFonts w:hint="cs"/>
          <w:rtl/>
        </w:rPr>
        <w:t>ביאור רבי ראובן בדעת ר"י דצריך שתהיה ללוקח זכות לוקח במה שטוען ובטענת הטענינן</w:t>
      </w:r>
      <w:bookmarkEnd w:id="10962"/>
    </w:p>
    <w:p w:rsidR="006A4297" w:rsidRDefault="006A4297" w:rsidP="007E4E81">
      <w:pPr>
        <w:pStyle w:val="a0"/>
      </w:pPr>
      <w:bookmarkStart w:id="10963" w:name="_Ref60071522"/>
      <w:r>
        <w:rPr>
          <w:rFonts w:hint="cs"/>
          <w:rtl/>
        </w:rPr>
        <w:t xml:space="preserve">והוסיף לבאר </w:t>
      </w:r>
      <w:r w:rsidRPr="00056F31">
        <w:rPr>
          <w:rStyle w:val="af9"/>
          <w:rFonts w:hint="cs"/>
          <w:rtl/>
        </w:rPr>
        <w:t>בחי'</w:t>
      </w:r>
      <w:r>
        <w:rPr>
          <w:rFonts w:hint="cs"/>
          <w:rtl/>
        </w:rPr>
        <w:t xml:space="preserve"> </w:t>
      </w:r>
      <w:r w:rsidRPr="00056F31">
        <w:rPr>
          <w:rStyle w:val="af9"/>
          <w:rFonts w:hint="cs"/>
          <w:rtl/>
        </w:rPr>
        <w:t>רבי</w:t>
      </w:r>
      <w:r>
        <w:rPr>
          <w:rFonts w:hint="cs"/>
          <w:rtl/>
        </w:rPr>
        <w:t xml:space="preserve"> </w:t>
      </w:r>
      <w:r w:rsidRPr="00ED42D5">
        <w:rPr>
          <w:rStyle w:val="af9"/>
          <w:rFonts w:hint="cs"/>
          <w:rtl/>
        </w:rPr>
        <w:t>ראובן</w:t>
      </w:r>
      <w:r>
        <w:rPr>
          <w:rFonts w:hint="cs"/>
          <w:rtl/>
        </w:rPr>
        <w:t xml:space="preserve"> דלדעת </w:t>
      </w:r>
      <w:r w:rsidRPr="00056F31">
        <w:rPr>
          <w:rStyle w:val="af9"/>
          <w:rFonts w:hint="cs"/>
          <w:rtl/>
        </w:rPr>
        <w:t>ר"י</w:t>
      </w:r>
      <w:r>
        <w:rPr>
          <w:rFonts w:hint="cs"/>
          <w:rtl/>
        </w:rPr>
        <w:t xml:space="preserve"> בדין טענינן אף שא"צ שללוקח תהיה זכות מיגו מצד עצמה, מ"מ צריך שתהיה לו זכות של לוקח או יורש בכל אחת מהטענות, גם בטענה שטוען עכשיו וגם בטענת הטענינן, וכיון שבכל טענה יש לו זכות לוקח, ממילא מהני לו המיגו של המוכר, ועי' במ"ש </w:t>
      </w:r>
      <w:r w:rsidRPr="00D55698">
        <w:rPr>
          <w:rStyle w:val="af9"/>
          <w:rFonts w:hint="cs"/>
          <w:rtl/>
        </w:rPr>
        <w:t>בחי' רבי ראובן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Ref60673150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קטז)</w:t>
      </w:r>
      <w:r>
        <w:rPr>
          <w:rStyle w:val="af7"/>
          <w:rFonts w:eastAsia="Guttman Hodes"/>
          <w:rtl/>
        </w:rPr>
        <w:fldChar w:fldCharType="end"/>
      </w:r>
      <w:r>
        <w:rPr>
          <w:rStyle w:val="af7"/>
          <w:rFonts w:eastAsia="Guttman Hodes" w:hint="cs"/>
          <w:rtl/>
        </w:rPr>
        <w:t xml:space="preserve"> </w:t>
      </w:r>
      <w:r>
        <w:rPr>
          <w:rStyle w:val="af9"/>
          <w:rFonts w:hint="cs"/>
          <w:rtl/>
        </w:rPr>
        <w:t>ד</w:t>
      </w:r>
      <w:r w:rsidRPr="00774353">
        <w:rPr>
          <w:rStyle w:val="af9"/>
          <w:rFonts w:hint="cs"/>
          <w:rtl/>
        </w:rPr>
        <w:t>הרשב"ם</w:t>
      </w:r>
      <w:r>
        <w:rPr>
          <w:rFonts w:hint="cs"/>
          <w:rtl/>
        </w:rPr>
        <w:t xml:space="preserve"> פליג על סברא זו.</w:t>
      </w:r>
      <w:bookmarkEnd w:id="10963"/>
    </w:p>
    <w:p w:rsidR="006A4297" w:rsidRDefault="006A4297" w:rsidP="006A4297">
      <w:pPr>
        <w:pStyle w:val="1"/>
        <w:rPr>
          <w:rtl/>
        </w:rPr>
      </w:pPr>
      <w:bookmarkStart w:id="10964" w:name="_Toc60678338"/>
      <w:r>
        <w:rPr>
          <w:rFonts w:hint="cs"/>
          <w:rtl/>
        </w:rPr>
        <w:t>ביאור רבי ראובן ברמב"ן בד' הרשב"ם דבכל מיגו אין טענינן</w:t>
      </w:r>
      <w:bookmarkEnd w:id="10964"/>
    </w:p>
    <w:p w:rsidR="006A4297" w:rsidRPr="007374D4" w:rsidRDefault="006A4297" w:rsidP="006A4297">
      <w:pPr>
        <w:pStyle w:val="a3"/>
      </w:pPr>
      <w:bookmarkStart w:id="10965" w:name="_Toc60678339"/>
      <w:r>
        <w:rPr>
          <w:rFonts w:hint="cs"/>
          <w:rtl/>
        </w:rPr>
        <w:t>דברי רבי ראובן דברמב"ן משמע דלרשב"ם אין דין טענינן במיגו אף כשאינו מיגו למפרע</w:t>
      </w:r>
      <w:bookmarkEnd w:id="10965"/>
    </w:p>
    <w:p w:rsidR="006A4297" w:rsidRDefault="006A4297" w:rsidP="007E4E81">
      <w:pPr>
        <w:pStyle w:val="a0"/>
      </w:pPr>
      <w:bookmarkStart w:id="10966" w:name="_Ref60672826"/>
      <w:r>
        <w:rPr>
          <w:rFonts w:hint="cs"/>
          <w:rtl/>
        </w:rPr>
        <w:t xml:space="preserve">אך כתב </w:t>
      </w:r>
      <w:r w:rsidRPr="007A2FAF">
        <w:rPr>
          <w:rStyle w:val="af9"/>
          <w:rFonts w:hint="cs"/>
          <w:rtl/>
        </w:rPr>
        <w:t>בחי'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ראובן</w:t>
      </w:r>
      <w:r>
        <w:rPr>
          <w:rFonts w:hint="cs"/>
          <w:rtl/>
        </w:rPr>
        <w:t xml:space="preserve"> </w:t>
      </w:r>
      <w:r w:rsidRPr="00C978AE">
        <w:rPr>
          <w:rStyle w:val="af7"/>
          <w:rFonts w:eastAsia="Guttman Hodes" w:hint="cs"/>
          <w:rtl/>
        </w:rPr>
        <w:t>(סי' י"ב ד"ה אבל שי')</w:t>
      </w:r>
      <w:r>
        <w:rPr>
          <w:rFonts w:hint="cs"/>
          <w:rtl/>
        </w:rPr>
        <w:t xml:space="preserve"> דכיון דמבואר בדברי </w:t>
      </w:r>
      <w:r w:rsidRPr="007A2FAF">
        <w:rPr>
          <w:rStyle w:val="af9"/>
          <w:rFonts w:hint="cs"/>
          <w:rtl/>
        </w:rPr>
        <w:t>הרמב"ן</w:t>
      </w:r>
      <w:r>
        <w:rPr>
          <w:rFonts w:hint="cs"/>
          <w:rtl/>
        </w:rPr>
        <w:t xml:space="preserve"> </w:t>
      </w:r>
      <w:r w:rsidRPr="00096A0A">
        <w:rPr>
          <w:rStyle w:val="af7"/>
          <w:rFonts w:eastAsia="Guttman Hodes" w:hint="cs"/>
          <w:rtl/>
        </w:rPr>
        <w:t xml:space="preserve">(עי' אות </w:t>
      </w:r>
      <w:r w:rsidRPr="00096A0A">
        <w:rPr>
          <w:rStyle w:val="af7"/>
          <w:rFonts w:eastAsia="Guttman Hodes"/>
          <w:rtl/>
        </w:rPr>
        <w:fldChar w:fldCharType="begin"/>
      </w:r>
      <w:r w:rsidRPr="00096A0A">
        <w:rPr>
          <w:rStyle w:val="af7"/>
          <w:rFonts w:eastAsia="Guttman Hodes"/>
          <w:rtl/>
        </w:rPr>
        <w:instrText xml:space="preserve"> </w:instrText>
      </w:r>
      <w:r w:rsidRPr="00096A0A">
        <w:rPr>
          <w:rStyle w:val="af7"/>
          <w:rFonts w:eastAsia="Guttman Hodes" w:hint="cs"/>
        </w:rPr>
        <w:instrText>REF</w:instrText>
      </w:r>
      <w:r w:rsidRPr="00096A0A">
        <w:rPr>
          <w:rStyle w:val="af7"/>
          <w:rFonts w:eastAsia="Guttman Hodes" w:hint="cs"/>
          <w:rtl/>
        </w:rPr>
        <w:instrText xml:space="preserve"> _</w:instrText>
      </w:r>
      <w:r w:rsidRPr="00096A0A">
        <w:rPr>
          <w:rStyle w:val="af7"/>
          <w:rFonts w:eastAsia="Guttman Hodes" w:hint="cs"/>
        </w:rPr>
        <w:instrText>Ref60672214 \r \h</w:instrText>
      </w:r>
      <w:r w:rsidRPr="00096A0A">
        <w:rPr>
          <w:rStyle w:val="af7"/>
          <w:rFonts w:eastAsia="Guttman Hodes"/>
          <w:rtl/>
        </w:rPr>
        <w:instrText xml:space="preserve"> </w:instrText>
      </w:r>
      <w:r w:rsidRPr="00096A0A">
        <w:rPr>
          <w:rStyle w:val="af7"/>
          <w:rFonts w:eastAsia="Guttman Hodes"/>
          <w:rtl/>
        </w:rPr>
      </w:r>
      <w:r w:rsidRPr="00096A0A">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096A0A">
        <w:rPr>
          <w:rStyle w:val="af7"/>
          <w:rFonts w:eastAsia="Guttman Hodes"/>
          <w:rtl/>
        </w:rPr>
        <w:fldChar w:fldCharType="end"/>
      </w:r>
      <w:r>
        <w:rPr>
          <w:rFonts w:hint="cs"/>
          <w:rtl/>
        </w:rPr>
        <w:t xml:space="preserve"> דביאר בדעת </w:t>
      </w:r>
      <w:r w:rsidRPr="007A2FAF">
        <w:rPr>
          <w:rStyle w:val="af9"/>
          <w:rFonts w:hint="cs"/>
          <w:rtl/>
        </w:rPr>
        <w:t>הרשב"ם</w:t>
      </w:r>
      <w:r>
        <w:rPr>
          <w:rFonts w:hint="cs"/>
          <w:rtl/>
        </w:rPr>
        <w:t xml:space="preserve"> </w:t>
      </w:r>
      <w:r w:rsidRPr="00B936EB">
        <w:rPr>
          <w:rStyle w:val="af7"/>
          <w:rFonts w:eastAsia="Guttman Hodes" w:hint="cs"/>
          <w:rtl/>
        </w:rPr>
        <w:t xml:space="preserve">(עי' אות </w:t>
      </w:r>
      <w:r w:rsidRPr="00B936EB">
        <w:rPr>
          <w:rStyle w:val="af7"/>
          <w:rFonts w:eastAsia="Guttman Hodes"/>
          <w:rtl/>
        </w:rPr>
        <w:fldChar w:fldCharType="begin"/>
      </w:r>
      <w:r w:rsidRPr="00B936EB">
        <w:rPr>
          <w:rStyle w:val="af7"/>
          <w:rFonts w:eastAsia="Guttman Hodes"/>
          <w:rtl/>
        </w:rPr>
        <w:instrText xml:space="preserve"> </w:instrText>
      </w:r>
      <w:r w:rsidRPr="00B936EB">
        <w:rPr>
          <w:rStyle w:val="af7"/>
          <w:rFonts w:eastAsia="Guttman Hodes" w:hint="cs"/>
        </w:rPr>
        <w:instrText>REF</w:instrText>
      </w:r>
      <w:r w:rsidRPr="00B936EB">
        <w:rPr>
          <w:rStyle w:val="af7"/>
          <w:rFonts w:eastAsia="Guttman Hodes" w:hint="cs"/>
          <w:rtl/>
        </w:rPr>
        <w:instrText xml:space="preserve"> _</w:instrText>
      </w:r>
      <w:r w:rsidRPr="00B936EB">
        <w:rPr>
          <w:rStyle w:val="af7"/>
          <w:rFonts w:eastAsia="Guttman Hodes" w:hint="cs"/>
        </w:rPr>
        <w:instrText>Ref60657236 \r \h</w:instrText>
      </w:r>
      <w:r w:rsidRPr="00B936EB">
        <w:rPr>
          <w:rStyle w:val="af7"/>
          <w:rFonts w:eastAsia="Guttman Hodes"/>
          <w:rtl/>
        </w:rPr>
        <w:instrText xml:space="preserve"> </w:instrText>
      </w:r>
      <w:r w:rsidRPr="00B936EB">
        <w:rPr>
          <w:rStyle w:val="af7"/>
          <w:rFonts w:eastAsia="Guttman Hodes"/>
          <w:rtl/>
        </w:rPr>
      </w:r>
      <w:r w:rsidRPr="00B936EB">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B936EB">
        <w:rPr>
          <w:rStyle w:val="af7"/>
          <w:rFonts w:eastAsia="Guttman Hodes"/>
          <w:rtl/>
        </w:rPr>
        <w:fldChar w:fldCharType="end"/>
      </w:r>
      <w:r w:rsidRPr="00B936EB">
        <w:rPr>
          <w:rStyle w:val="af7"/>
          <w:rFonts w:eastAsia="Guttman Hodes" w:hint="cs"/>
          <w:rtl/>
        </w:rPr>
        <w:t xml:space="preserve"> </w:t>
      </w:r>
      <w:r>
        <w:rPr>
          <w:rFonts w:hint="cs"/>
          <w:rtl/>
        </w:rPr>
        <w:t>דלא מהני המיגו, כיון שאחר המיגו צריך גם טענינן, משמע דס"ל דבכל מיגו אין דין טענינן, אף באופן דאינו מיגו למפרע, כגון שלפני שהודה המחזיק שהייתה של המערער, באו עדים דדר בה המוכר חד יומא, דהוא נאמן במיגו, דמ"מ לא טענינן ליה, כיון שהוא עצמו הודה שהטענה של הטענינן אינה טענה נכונה.</w:t>
      </w:r>
      <w:bookmarkEnd w:id="10966"/>
    </w:p>
    <w:p w:rsidR="006A4297" w:rsidRPr="002C7376" w:rsidRDefault="006A4297" w:rsidP="006A4297">
      <w:pPr>
        <w:pStyle w:val="a3"/>
      </w:pPr>
      <w:bookmarkStart w:id="10967" w:name="_Toc60678340"/>
      <w:r>
        <w:rPr>
          <w:rFonts w:hint="cs"/>
          <w:rtl/>
        </w:rPr>
        <w:t>ביאור רבי ראובן בר"י דאף כשנאמן במיגו טענינן דהמחזיק נאמן במיגו ורק אינו יודע לטעון</w:t>
      </w:r>
      <w:bookmarkEnd w:id="10967"/>
    </w:p>
    <w:p w:rsidR="006A4297" w:rsidRDefault="006A4297" w:rsidP="007E4E81">
      <w:pPr>
        <w:pStyle w:val="a0"/>
        <w:rPr>
          <w:rtl/>
        </w:rPr>
      </w:pPr>
      <w:r>
        <w:rPr>
          <w:rFonts w:hint="cs"/>
          <w:rtl/>
        </w:rPr>
        <w:t xml:space="preserve">אבל בדעת </w:t>
      </w:r>
      <w:r w:rsidRPr="007A2FAF">
        <w:rPr>
          <w:rStyle w:val="af9"/>
          <w:rFonts w:hint="cs"/>
          <w:rtl/>
        </w:rPr>
        <w:t>ר"י</w:t>
      </w:r>
      <w:r>
        <w:rPr>
          <w:rFonts w:hint="cs"/>
          <w:rtl/>
        </w:rPr>
        <w:t xml:space="preserve"> ביאר </w:t>
      </w:r>
      <w:r w:rsidRPr="007A2FAF">
        <w:rPr>
          <w:rStyle w:val="af9"/>
          <w:rFonts w:hint="cs"/>
          <w:rtl/>
        </w:rPr>
        <w:t>בחי'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ראובן</w:t>
      </w:r>
      <w:r>
        <w:rPr>
          <w:rFonts w:hint="cs"/>
          <w:rtl/>
        </w:rPr>
        <w:t xml:space="preserve"> ס"ל דבכה"ג יש דין טענינן, דכיון שיש לו מיגו דהא הודה רק לאחר שבאו העדים, א"כ הוא עצמו היה נאמן בטענת המיגו, ואמרינן טענינן מדין פתח פיך לאלם. </w:t>
      </w:r>
      <w:r w:rsidRPr="00C1413D">
        <w:rPr>
          <w:rStyle w:val="afb"/>
          <w:rFonts w:hint="cs"/>
          <w:rtl/>
        </w:rPr>
        <w:t xml:space="preserve">[כדביאר </w:t>
      </w:r>
      <w:r w:rsidRPr="00B936EB">
        <w:rPr>
          <w:rStyle w:val="affa"/>
          <w:rFonts w:hint="cs"/>
          <w:rtl/>
        </w:rPr>
        <w:t>בחי' רבי ראובן</w:t>
      </w:r>
      <w:r w:rsidRPr="00C1413D">
        <w:rPr>
          <w:rStyle w:val="afb"/>
          <w:rFonts w:hint="cs"/>
          <w:rtl/>
        </w:rPr>
        <w:t xml:space="preserve"> </w:t>
      </w:r>
      <w:r w:rsidRPr="00B936EB">
        <w:rPr>
          <w:rStyle w:val="aff6"/>
          <w:rFonts w:hint="cs"/>
          <w:rtl/>
        </w:rPr>
        <w:t xml:space="preserve">(עי' אות </w:t>
      </w:r>
      <w:r w:rsidRPr="00B936EB">
        <w:rPr>
          <w:rStyle w:val="aff6"/>
          <w:rtl/>
        </w:rPr>
        <w:fldChar w:fldCharType="begin"/>
      </w:r>
      <w:r w:rsidRPr="00B936EB">
        <w:rPr>
          <w:rStyle w:val="aff6"/>
          <w:rtl/>
        </w:rPr>
        <w:instrText xml:space="preserve"> </w:instrText>
      </w:r>
      <w:r w:rsidRPr="00B936EB">
        <w:rPr>
          <w:rStyle w:val="aff6"/>
          <w:rFonts w:hint="cs"/>
        </w:rPr>
        <w:instrText>REF</w:instrText>
      </w:r>
      <w:r w:rsidRPr="00B936EB">
        <w:rPr>
          <w:rStyle w:val="aff6"/>
          <w:rFonts w:hint="cs"/>
          <w:rtl/>
        </w:rPr>
        <w:instrText xml:space="preserve"> _</w:instrText>
      </w:r>
      <w:r w:rsidRPr="00B936EB">
        <w:rPr>
          <w:rStyle w:val="aff6"/>
          <w:rFonts w:hint="cs"/>
        </w:rPr>
        <w:instrText>Ref60668496 \r \h</w:instrText>
      </w:r>
      <w:r w:rsidRPr="00B936EB">
        <w:rPr>
          <w:rStyle w:val="aff6"/>
          <w:rtl/>
        </w:rPr>
        <w:instrText xml:space="preserve"> </w:instrText>
      </w:r>
      <w:r w:rsidRPr="00B936EB">
        <w:rPr>
          <w:rStyle w:val="aff6"/>
          <w:rtl/>
        </w:rPr>
      </w:r>
      <w:r w:rsidRPr="00B936EB">
        <w:rPr>
          <w:rStyle w:val="aff6"/>
          <w:rtl/>
        </w:rPr>
        <w:fldChar w:fldCharType="separate"/>
      </w:r>
      <w:r w:rsidR="00265073">
        <w:rPr>
          <w:rStyle w:val="aff6"/>
          <w:cs/>
        </w:rPr>
        <w:t>‎</w:t>
      </w:r>
      <w:r w:rsidR="00265073">
        <w:rPr>
          <w:rStyle w:val="aff6"/>
          <w:rtl/>
        </w:rPr>
        <w:t>קז)</w:t>
      </w:r>
      <w:r w:rsidRPr="00B936EB">
        <w:rPr>
          <w:rStyle w:val="aff6"/>
          <w:rtl/>
        </w:rPr>
        <w:fldChar w:fldCharType="end"/>
      </w:r>
      <w:r w:rsidRPr="00C1413D">
        <w:rPr>
          <w:rStyle w:val="afb"/>
          <w:rFonts w:hint="cs"/>
          <w:rtl/>
        </w:rPr>
        <w:t>].</w:t>
      </w:r>
    </w:p>
    <w:p w:rsidR="006A4297" w:rsidRPr="005E258F" w:rsidRDefault="006A4297" w:rsidP="006A4297">
      <w:pPr>
        <w:pStyle w:val="1"/>
        <w:rPr>
          <w:rtl/>
        </w:rPr>
      </w:pPr>
      <w:bookmarkStart w:id="10968" w:name="_Toc60678341"/>
      <w:r>
        <w:rPr>
          <w:rFonts w:hint="cs"/>
          <w:rtl/>
        </w:rPr>
        <w:t>בי' רבי ראובן בפלוג' ר"י ורשב"ם אי חשיב הלוקח כטוען בעצמו</w:t>
      </w:r>
      <w:bookmarkEnd w:id="10968"/>
    </w:p>
    <w:p w:rsidR="006A4297" w:rsidRDefault="006A4297" w:rsidP="006A4297">
      <w:pPr>
        <w:pStyle w:val="a3"/>
      </w:pPr>
      <w:bookmarkStart w:id="10969" w:name="_Toc60678342"/>
      <w:r>
        <w:rPr>
          <w:rFonts w:hint="cs"/>
          <w:rtl/>
        </w:rPr>
        <w:t>ביאור רבי ראובן ברשב"ם דטענינן מחמת דאינו יודע אך אין ב"ד טוענים בשבילו בנאמן במיגו</w:t>
      </w:r>
      <w:bookmarkEnd w:id="10969"/>
    </w:p>
    <w:p w:rsidR="006A4297" w:rsidRPr="00C1413D" w:rsidRDefault="006A4297" w:rsidP="007E4E81">
      <w:pPr>
        <w:pStyle w:val="a0"/>
        <w:rPr>
          <w:rStyle w:val="afb"/>
          <w:rtl/>
        </w:rPr>
      </w:pPr>
      <w:r>
        <w:rPr>
          <w:rFonts w:hint="cs"/>
          <w:rtl/>
        </w:rPr>
        <w:t xml:space="preserve">אך כתב </w:t>
      </w:r>
      <w:r w:rsidRPr="007A2FAF">
        <w:rPr>
          <w:rStyle w:val="af9"/>
          <w:rFonts w:hint="cs"/>
          <w:rtl/>
        </w:rPr>
        <w:t>בחי'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ראובן</w:t>
      </w:r>
      <w:r>
        <w:rPr>
          <w:rFonts w:hint="cs"/>
          <w:rtl/>
        </w:rPr>
        <w:t xml:space="preserve"> </w:t>
      </w:r>
      <w:r w:rsidRPr="00C1413D">
        <w:rPr>
          <w:rStyle w:val="af7"/>
          <w:rFonts w:eastAsia="Guttman Hodes" w:hint="cs"/>
          <w:rtl/>
        </w:rPr>
        <w:t>(סי' י"ב ד"ה אבל שי')</w:t>
      </w:r>
      <w:r>
        <w:rPr>
          <w:rFonts w:hint="cs"/>
          <w:rtl/>
        </w:rPr>
        <w:t xml:space="preserve"> דאף בדעת </w:t>
      </w:r>
      <w:r w:rsidRPr="007A2FAF">
        <w:rPr>
          <w:rStyle w:val="af9"/>
          <w:rFonts w:hint="cs"/>
          <w:rtl/>
        </w:rPr>
        <w:t>הרשב"ם</w:t>
      </w:r>
      <w:r>
        <w:rPr>
          <w:rFonts w:hint="cs"/>
          <w:rtl/>
        </w:rPr>
        <w:t xml:space="preserve"> </w:t>
      </w:r>
      <w:r w:rsidRPr="00B936EB">
        <w:rPr>
          <w:rStyle w:val="af7"/>
          <w:rFonts w:eastAsia="Guttman Hodes" w:hint="cs"/>
          <w:rtl/>
        </w:rPr>
        <w:t xml:space="preserve">(עי' אות </w:t>
      </w:r>
      <w:r w:rsidRPr="00B936EB">
        <w:rPr>
          <w:rStyle w:val="af7"/>
          <w:rFonts w:eastAsia="Guttman Hodes"/>
          <w:rtl/>
        </w:rPr>
        <w:fldChar w:fldCharType="begin"/>
      </w:r>
      <w:r w:rsidRPr="00B936EB">
        <w:rPr>
          <w:rStyle w:val="af7"/>
          <w:rFonts w:eastAsia="Guttman Hodes"/>
          <w:rtl/>
        </w:rPr>
        <w:instrText xml:space="preserve"> </w:instrText>
      </w:r>
      <w:r w:rsidRPr="00B936EB">
        <w:rPr>
          <w:rStyle w:val="af7"/>
          <w:rFonts w:eastAsia="Guttman Hodes" w:hint="cs"/>
        </w:rPr>
        <w:instrText>REF</w:instrText>
      </w:r>
      <w:r w:rsidRPr="00B936EB">
        <w:rPr>
          <w:rStyle w:val="af7"/>
          <w:rFonts w:eastAsia="Guttman Hodes" w:hint="cs"/>
          <w:rtl/>
        </w:rPr>
        <w:instrText xml:space="preserve"> _</w:instrText>
      </w:r>
      <w:r w:rsidRPr="00B936EB">
        <w:rPr>
          <w:rStyle w:val="af7"/>
          <w:rFonts w:eastAsia="Guttman Hodes" w:hint="cs"/>
        </w:rPr>
        <w:instrText>Ref60310822 \r \h</w:instrText>
      </w:r>
      <w:r w:rsidRPr="00B936EB">
        <w:rPr>
          <w:rStyle w:val="af7"/>
          <w:rFonts w:eastAsia="Guttman Hodes"/>
          <w:rtl/>
        </w:rPr>
        <w:instrText xml:space="preserve"> </w:instrText>
      </w:r>
      <w:r w:rsidRPr="00B936EB">
        <w:rPr>
          <w:rStyle w:val="af7"/>
          <w:rFonts w:eastAsia="Guttman Hodes"/>
          <w:rtl/>
        </w:rPr>
      </w:r>
      <w:r w:rsidRPr="00B936EB">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B936EB">
        <w:rPr>
          <w:rStyle w:val="af7"/>
          <w:rFonts w:eastAsia="Guttman Hodes"/>
          <w:rtl/>
        </w:rPr>
        <w:fldChar w:fldCharType="end"/>
      </w:r>
      <w:r>
        <w:rPr>
          <w:rFonts w:hint="cs"/>
          <w:rtl/>
        </w:rPr>
        <w:t xml:space="preserve"> אפש"ל דדין טענינן הוא מדין פתח פיך לאלם, אלא דס"ל </w:t>
      </w:r>
      <w:r>
        <w:rPr>
          <w:rFonts w:hint="cs"/>
          <w:rtl/>
        </w:rPr>
        <w:lastRenderedPageBreak/>
        <w:t xml:space="preserve">דבטענינן לא חשיב שהלוקח עצמו טוען את הטענה, ורק אנו טוענים בשבילו, אף שהטענה היא לטובת הלוקח, ולכן אין אנו יכולים לטעון טענה שהיא מכח המיגו. </w:t>
      </w:r>
      <w:r w:rsidRPr="00C1413D">
        <w:rPr>
          <w:rStyle w:val="afb"/>
          <w:rFonts w:hint="cs"/>
          <w:rtl/>
        </w:rPr>
        <w:t xml:space="preserve">[כדביאר </w:t>
      </w:r>
      <w:r w:rsidRPr="005674B3">
        <w:rPr>
          <w:rStyle w:val="affa"/>
          <w:rFonts w:hint="cs"/>
          <w:rtl/>
        </w:rPr>
        <w:t>הרמב"ן</w:t>
      </w:r>
      <w:r w:rsidRPr="00C1413D">
        <w:rPr>
          <w:rStyle w:val="afb"/>
          <w:rFonts w:hint="cs"/>
          <w:rtl/>
        </w:rPr>
        <w:t xml:space="preserve"> </w:t>
      </w:r>
      <w:r w:rsidRPr="005674B3">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Ref60133638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כה)</w:t>
      </w:r>
      <w:r>
        <w:rPr>
          <w:rStyle w:val="aff6"/>
          <w:rtl/>
        </w:rPr>
        <w:fldChar w:fldCharType="end"/>
      </w:r>
      <w:r>
        <w:rPr>
          <w:rStyle w:val="aff6"/>
          <w:rFonts w:hint="cs"/>
          <w:rtl/>
        </w:rPr>
        <w:t xml:space="preserve"> </w:t>
      </w:r>
      <w:r w:rsidRPr="00C1413D">
        <w:rPr>
          <w:rStyle w:val="afb"/>
          <w:rFonts w:hint="cs"/>
          <w:rtl/>
        </w:rPr>
        <w:t>דלא מפיו אנו חיין].</w:t>
      </w:r>
    </w:p>
    <w:p w:rsidR="006A4297" w:rsidRPr="00815E81" w:rsidRDefault="006A4297" w:rsidP="006A4297">
      <w:pPr>
        <w:pStyle w:val="a3"/>
        <w:rPr>
          <w:rtl/>
        </w:rPr>
      </w:pPr>
      <w:bookmarkStart w:id="10970" w:name="_Toc60678343"/>
      <w:r>
        <w:rPr>
          <w:rFonts w:hint="cs"/>
          <w:rtl/>
        </w:rPr>
        <w:t>ביאור רבי ראובן בר"י דטענינן הוא טענת המחזיק עצמו ובלא הודה בתחילה טענינן מיגו</w:t>
      </w:r>
      <w:bookmarkEnd w:id="10970"/>
    </w:p>
    <w:p w:rsidR="006A4297" w:rsidRDefault="006A4297" w:rsidP="007E4E81">
      <w:pPr>
        <w:pStyle w:val="a0"/>
        <w:rPr>
          <w:rtl/>
        </w:rPr>
      </w:pPr>
      <w:bookmarkStart w:id="10971" w:name="_Ref60673465"/>
      <w:r w:rsidRPr="00F43ADF">
        <w:rPr>
          <w:rFonts w:hint="cs"/>
          <w:rtl/>
        </w:rPr>
        <w:t>אבל בדעת</w:t>
      </w:r>
      <w:r w:rsidRPr="007B650F">
        <w:rPr>
          <w:rStyle w:val="af9"/>
          <w:rFonts w:hint="cs"/>
          <w:rtl/>
        </w:rPr>
        <w:t xml:space="preserve"> ר</w:t>
      </w:r>
      <w:r w:rsidRPr="007374D4">
        <w:rPr>
          <w:rStyle w:val="af9"/>
          <w:rFonts w:hint="cs"/>
          <w:rtl/>
        </w:rPr>
        <w:t>"י</w:t>
      </w:r>
      <w:r>
        <w:rPr>
          <w:rFonts w:hint="cs"/>
          <w:rtl/>
        </w:rPr>
        <w:t xml:space="preserve"> </w:t>
      </w:r>
      <w:r w:rsidRPr="0021321A">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Ref60668496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קז)</w:t>
      </w:r>
      <w:r>
        <w:rPr>
          <w:rStyle w:val="af7"/>
          <w:rFonts w:eastAsia="Guttman Hodes"/>
          <w:rtl/>
        </w:rPr>
        <w:fldChar w:fldCharType="end"/>
      </w:r>
      <w:r w:rsidRPr="0021321A">
        <w:rPr>
          <w:rStyle w:val="af7"/>
          <w:rFonts w:eastAsia="Guttman Hodes" w:hint="cs"/>
          <w:rtl/>
        </w:rPr>
        <w:t xml:space="preserve"> </w:t>
      </w:r>
      <w:r>
        <w:rPr>
          <w:rFonts w:hint="cs"/>
          <w:rtl/>
        </w:rPr>
        <w:t xml:space="preserve">ביאר </w:t>
      </w:r>
      <w:r w:rsidRPr="007B650F">
        <w:rPr>
          <w:rStyle w:val="af9"/>
          <w:rFonts w:hint="cs"/>
          <w:rtl/>
        </w:rPr>
        <w:t>בחי' רבי ראובן</w:t>
      </w:r>
      <w:r>
        <w:rPr>
          <w:rFonts w:hint="cs"/>
          <w:rtl/>
        </w:rPr>
        <w:t xml:space="preserve"> דדין טענינן מדין פתח פיך לאלם, היינו דחשיבא כטענה של הלוקח בעצמו, דאנו טוענים ממש בשבילו, ולכן כיון שבהודאה שהודה אינו מפסיד את המיגו, דזה גופא הנאמנות שלו שהיה יכול לשקר ולטעון את טענת המיגו, ה"ה בטענינן, דיש לו את הנאמנות של המיגו.</w:t>
      </w:r>
      <w:bookmarkEnd w:id="10971"/>
      <w:r>
        <w:rPr>
          <w:rFonts w:hint="cs"/>
          <w:rtl/>
        </w:rPr>
        <w:t xml:space="preserve"> </w:t>
      </w:r>
    </w:p>
    <w:p w:rsidR="006A4297" w:rsidRDefault="006A4297" w:rsidP="006A4297">
      <w:pPr>
        <w:pStyle w:val="a3"/>
        <w:rPr>
          <w:rtl/>
        </w:rPr>
      </w:pPr>
      <w:bookmarkStart w:id="10972" w:name="_Toc60678344"/>
      <w:r>
        <w:rPr>
          <w:rFonts w:hint="cs"/>
          <w:rtl/>
        </w:rPr>
        <w:t>ביאור רבי ראובן ברשב"ם דלא ס"ל כר"י וא"צ שתהיה ללוקח זכות במה שטוען ובטענת הטענינן</w:t>
      </w:r>
      <w:bookmarkEnd w:id="10972"/>
    </w:p>
    <w:p w:rsidR="006A4297" w:rsidRDefault="006A4297" w:rsidP="007E4E81">
      <w:pPr>
        <w:pStyle w:val="a0"/>
        <w:rPr>
          <w:rtl/>
        </w:rPr>
      </w:pPr>
      <w:bookmarkStart w:id="10973" w:name="_Ref60673150"/>
      <w:r>
        <w:rPr>
          <w:rFonts w:hint="cs"/>
          <w:rtl/>
        </w:rPr>
        <w:t xml:space="preserve">וכתב </w:t>
      </w:r>
      <w:r w:rsidRPr="00B936EB">
        <w:rPr>
          <w:rStyle w:val="af9"/>
          <w:rFonts w:hint="cs"/>
          <w:rtl/>
        </w:rPr>
        <w:t>בחי' רבי ראובן</w:t>
      </w:r>
      <w:r>
        <w:rPr>
          <w:rFonts w:hint="cs"/>
          <w:rtl/>
        </w:rPr>
        <w:t xml:space="preserve"> </w:t>
      </w:r>
      <w:r w:rsidRPr="00C1413D">
        <w:rPr>
          <w:rStyle w:val="af7"/>
          <w:rFonts w:eastAsia="Guttman Hodes" w:hint="cs"/>
          <w:rtl/>
        </w:rPr>
        <w:t>(סי' י"ב ד"ה ולפי דברי)</w:t>
      </w:r>
      <w:r>
        <w:rPr>
          <w:rFonts w:hint="cs"/>
          <w:rtl/>
        </w:rPr>
        <w:t xml:space="preserve"> דא"כ פליג </w:t>
      </w:r>
      <w:r w:rsidRPr="00B936EB">
        <w:rPr>
          <w:rStyle w:val="af9"/>
          <w:rFonts w:hint="cs"/>
          <w:rtl/>
        </w:rPr>
        <w:t>הרשב"ם</w:t>
      </w:r>
      <w:r>
        <w:rPr>
          <w:rFonts w:hint="cs"/>
          <w:rtl/>
        </w:rPr>
        <w:t xml:space="preserve"> על סברת </w:t>
      </w:r>
      <w:r w:rsidRPr="00B936EB">
        <w:rPr>
          <w:rStyle w:val="af9"/>
          <w:rFonts w:hint="cs"/>
          <w:rtl/>
        </w:rPr>
        <w:t>ר"י</w:t>
      </w:r>
      <w:r>
        <w:rPr>
          <w:rFonts w:hint="cs"/>
          <w:rtl/>
        </w:rPr>
        <w:t xml:space="preserve"> </w:t>
      </w:r>
      <w:r w:rsidRPr="00C1413D">
        <w:rPr>
          <w:rStyle w:val="af7"/>
          <w:rFonts w:eastAsia="Guttman Hodes" w:hint="cs"/>
          <w:rtl/>
        </w:rPr>
        <w:t>(עי' או</w:t>
      </w:r>
      <w:r>
        <w:rPr>
          <w:rStyle w:val="af7"/>
          <w:rFonts w:eastAsia="Guttman Hodes" w:hint="cs"/>
          <w:rtl/>
        </w:rPr>
        <w:t xml:space="preserve">ת </w:t>
      </w:r>
      <w:r w:rsidRPr="00024C92">
        <w:rPr>
          <w:rStyle w:val="af7"/>
          <w:rFonts w:eastAsia="Guttman Hodes"/>
          <w:rtl/>
        </w:rPr>
        <w:fldChar w:fldCharType="begin"/>
      </w:r>
      <w:r w:rsidRPr="00024C92">
        <w:rPr>
          <w:rStyle w:val="af7"/>
          <w:rFonts w:eastAsia="Guttman Hodes"/>
          <w:rtl/>
        </w:rPr>
        <w:instrText xml:space="preserve"> </w:instrText>
      </w:r>
      <w:r w:rsidRPr="00024C92">
        <w:rPr>
          <w:rStyle w:val="af7"/>
          <w:rFonts w:eastAsia="Guttman Hodes" w:hint="cs"/>
        </w:rPr>
        <w:instrText>REF</w:instrText>
      </w:r>
      <w:r w:rsidRPr="00024C92">
        <w:rPr>
          <w:rStyle w:val="af7"/>
          <w:rFonts w:eastAsia="Guttman Hodes" w:hint="cs"/>
          <w:rtl/>
        </w:rPr>
        <w:instrText xml:space="preserve"> _</w:instrText>
      </w:r>
      <w:r w:rsidRPr="00024C92">
        <w:rPr>
          <w:rStyle w:val="af7"/>
          <w:rFonts w:eastAsia="Guttman Hodes" w:hint="cs"/>
        </w:rPr>
        <w:instrText>Ref60071522 \r \h</w:instrText>
      </w:r>
      <w:r w:rsidRPr="00024C92">
        <w:rPr>
          <w:rStyle w:val="af7"/>
          <w:rFonts w:eastAsia="Guttman Hodes"/>
          <w:rtl/>
        </w:rPr>
        <w:instrText xml:space="preserve"> </w:instrText>
      </w:r>
      <w:r w:rsidRPr="00024C92">
        <w:rPr>
          <w:rStyle w:val="af7"/>
          <w:rFonts w:eastAsia="Guttman Hodes"/>
          <w:rtl/>
        </w:rPr>
      </w:r>
      <w:r w:rsidRPr="00024C92">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024C92">
        <w:rPr>
          <w:rStyle w:val="af7"/>
          <w:rFonts w:eastAsia="Guttman Hodes"/>
          <w:rtl/>
        </w:rPr>
        <w:fldChar w:fldCharType="end"/>
      </w:r>
      <w:r w:rsidR="00A77F33">
        <w:rPr>
          <w:rStyle w:val="af7"/>
          <w:rFonts w:eastAsia="Guttman Hodes" w:hint="cs"/>
          <w:rtl/>
        </w:rPr>
        <w:t xml:space="preserve"> </w:t>
      </w:r>
      <w:r>
        <w:rPr>
          <w:rFonts w:hint="cs"/>
          <w:rtl/>
        </w:rPr>
        <w:t>דצריך שיהיה ללוקח את הזכות של ב' הטענות, דכיון שטענינן אינו טענה של הלוקח בעצמו, א"כ אינו צריך שיהיה לו את זכות המיגו מצד עצמו, ואף כשהודה הלוקח שייך דין טענינן, כיון דהזכות שיש לו היא מכח המיגו שהיה למוכר.</w:t>
      </w:r>
      <w:bookmarkEnd w:id="10973"/>
    </w:p>
    <w:p w:rsidR="006A4297" w:rsidRDefault="006A4297" w:rsidP="006A4297">
      <w:pPr>
        <w:pStyle w:val="afe"/>
        <w:rPr>
          <w:rtl/>
        </w:rPr>
      </w:pPr>
      <w:bookmarkStart w:id="10974" w:name="_Toc60678345"/>
      <w:r>
        <w:rPr>
          <w:rFonts w:hint="cs"/>
          <w:rtl/>
        </w:rPr>
        <w:t>בי' הגרש"ר בפלוג' הראשונים בטענינן</w:t>
      </w:r>
      <w:bookmarkEnd w:id="10974"/>
    </w:p>
    <w:p w:rsidR="006A4297" w:rsidRDefault="006A4297" w:rsidP="006A4297">
      <w:pPr>
        <w:pStyle w:val="1"/>
        <w:rPr>
          <w:rtl/>
        </w:rPr>
      </w:pPr>
      <w:bookmarkStart w:id="10975" w:name="_Toc60173453"/>
      <w:bookmarkStart w:id="10976" w:name="_Toc60303806"/>
      <w:bookmarkStart w:id="10977" w:name="_Toc60357086"/>
      <w:bookmarkStart w:id="10978" w:name="_Toc60589233"/>
      <w:bookmarkStart w:id="10979" w:name="_Toc60612688"/>
      <w:bookmarkStart w:id="10980" w:name="_Toc60616546"/>
      <w:bookmarkStart w:id="10981" w:name="_Toc60678346"/>
      <w:r w:rsidRPr="00BB5E68">
        <w:rPr>
          <w:rFonts w:hint="cs"/>
          <w:rtl/>
        </w:rPr>
        <w:t xml:space="preserve">בי' הגרש"ר בפלוג' </w:t>
      </w:r>
      <w:bookmarkEnd w:id="10975"/>
      <w:bookmarkEnd w:id="10976"/>
      <w:bookmarkEnd w:id="10977"/>
      <w:bookmarkEnd w:id="10978"/>
      <w:bookmarkEnd w:id="10979"/>
      <w:bookmarkEnd w:id="10980"/>
      <w:r>
        <w:rPr>
          <w:rFonts w:hint="cs"/>
          <w:rtl/>
        </w:rPr>
        <w:t>הראשונים אי טענינן מה שיכול לטעון עכשיו</w:t>
      </w:r>
      <w:bookmarkEnd w:id="10981"/>
    </w:p>
    <w:p w:rsidR="006A4297" w:rsidRPr="00BB5E68" w:rsidRDefault="006A4297" w:rsidP="006A4297">
      <w:pPr>
        <w:pStyle w:val="a3"/>
        <w:rPr>
          <w:rtl/>
        </w:rPr>
      </w:pPr>
      <w:bookmarkStart w:id="10982" w:name="_Toc60678347"/>
      <w:r>
        <w:rPr>
          <w:rFonts w:hint="cs"/>
          <w:rtl/>
        </w:rPr>
        <w:t>ביאור הגרש"ר בדברי הרמב"ן בדעת הרשב"ם ור"י דטענינן את מה שהמוכר יכול לטעון עכשיו</w:t>
      </w:r>
      <w:bookmarkEnd w:id="10982"/>
    </w:p>
    <w:p w:rsidR="006A4297" w:rsidRDefault="006A4297" w:rsidP="007E4E81">
      <w:pPr>
        <w:pStyle w:val="a0"/>
        <w:rPr>
          <w:rtl/>
        </w:rPr>
      </w:pPr>
      <w:bookmarkStart w:id="10983" w:name="_Ref60138328"/>
      <w:r w:rsidRPr="00404F06">
        <w:rPr>
          <w:rFonts w:hint="cs"/>
          <w:rtl/>
        </w:rPr>
        <w:t xml:space="preserve">כתב </w:t>
      </w:r>
      <w:r w:rsidRPr="00954A6F">
        <w:rPr>
          <w:rStyle w:val="af9"/>
          <w:rFonts w:hint="cs"/>
          <w:rtl/>
        </w:rPr>
        <w:t>ב</w:t>
      </w:r>
      <w:r>
        <w:rPr>
          <w:rStyle w:val="af9"/>
          <w:rFonts w:hint="cs"/>
          <w:rtl/>
        </w:rPr>
        <w:t>שיעורי</w:t>
      </w:r>
      <w:r w:rsidRPr="00954A6F">
        <w:rPr>
          <w:rStyle w:val="af9"/>
          <w:rFonts w:hint="cs"/>
          <w:rtl/>
        </w:rPr>
        <w:t xml:space="preserve"> רבי שמואל</w:t>
      </w:r>
      <w:r>
        <w:rPr>
          <w:rFonts w:hint="cs"/>
          <w:rtl/>
        </w:rPr>
        <w:t xml:space="preserve"> </w:t>
      </w:r>
      <w:r w:rsidRPr="00D61F64">
        <w:rPr>
          <w:rStyle w:val="af7"/>
          <w:rFonts w:eastAsia="Guttman Hodes" w:hint="cs"/>
          <w:rtl/>
        </w:rPr>
        <w:t>(סי' כ"א או' ג')</w:t>
      </w:r>
      <w:r>
        <w:rPr>
          <w:rFonts w:hint="cs"/>
          <w:rtl/>
        </w:rPr>
        <w:t xml:space="preserve"> דלביאור </w:t>
      </w:r>
      <w:r w:rsidRPr="00954A6F">
        <w:rPr>
          <w:rStyle w:val="af9"/>
          <w:rFonts w:hint="cs"/>
          <w:rtl/>
        </w:rPr>
        <w:t>הרמב"ן</w:t>
      </w:r>
      <w:r>
        <w:rPr>
          <w:rStyle w:val="af9"/>
          <w:rFonts w:hint="cs"/>
          <w:rtl/>
        </w:rPr>
        <w:t xml:space="preserve"> </w:t>
      </w:r>
      <w:r w:rsidRPr="00485EA5">
        <w:rPr>
          <w:rStyle w:val="af7"/>
          <w:rFonts w:eastAsia="Guttman Hodes" w:hint="cs"/>
          <w:rtl/>
        </w:rPr>
        <w:t xml:space="preserve">(עי' אות </w:t>
      </w:r>
      <w:r w:rsidRPr="00485EA5">
        <w:rPr>
          <w:rStyle w:val="af7"/>
          <w:rFonts w:eastAsia="Guttman Hodes"/>
          <w:rtl/>
        </w:rPr>
        <w:fldChar w:fldCharType="begin"/>
      </w:r>
      <w:r w:rsidRPr="00485EA5">
        <w:rPr>
          <w:rStyle w:val="af7"/>
          <w:rFonts w:eastAsia="Guttman Hodes"/>
          <w:rtl/>
        </w:rPr>
        <w:instrText xml:space="preserve"> </w:instrText>
      </w:r>
      <w:r w:rsidRPr="00485EA5">
        <w:rPr>
          <w:rStyle w:val="af7"/>
          <w:rFonts w:eastAsia="Guttman Hodes" w:hint="cs"/>
        </w:rPr>
        <w:instrText>REF</w:instrText>
      </w:r>
      <w:r w:rsidRPr="00485EA5">
        <w:rPr>
          <w:rStyle w:val="af7"/>
          <w:rFonts w:eastAsia="Guttman Hodes" w:hint="cs"/>
          <w:rtl/>
        </w:rPr>
        <w:instrText xml:space="preserve"> _</w:instrText>
      </w:r>
      <w:r w:rsidRPr="00485EA5">
        <w:rPr>
          <w:rStyle w:val="af7"/>
          <w:rFonts w:eastAsia="Guttman Hodes" w:hint="cs"/>
        </w:rPr>
        <w:instrText>Ref60657236 \r \h</w:instrText>
      </w:r>
      <w:r w:rsidRPr="00485EA5">
        <w:rPr>
          <w:rStyle w:val="af7"/>
          <w:rFonts w:eastAsia="Guttman Hodes"/>
          <w:rtl/>
        </w:rPr>
        <w:instrText xml:space="preserve"> </w:instrText>
      </w:r>
      <w:r w:rsidRPr="00485EA5">
        <w:rPr>
          <w:rStyle w:val="af7"/>
          <w:rFonts w:eastAsia="Guttman Hodes"/>
          <w:rtl/>
        </w:rPr>
      </w:r>
      <w:r w:rsidRPr="00485EA5">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485EA5">
        <w:rPr>
          <w:rStyle w:val="af7"/>
          <w:rFonts w:eastAsia="Guttman Hodes"/>
          <w:rtl/>
        </w:rPr>
        <w:fldChar w:fldCharType="end"/>
      </w:r>
      <w:r w:rsidR="00A77F33">
        <w:rPr>
          <w:rStyle w:val="af7"/>
          <w:rFonts w:eastAsia="Guttman Hodes" w:hint="cs"/>
          <w:rtl/>
        </w:rPr>
        <w:t xml:space="preserve"> </w:t>
      </w:r>
      <w:r>
        <w:rPr>
          <w:rFonts w:hint="cs"/>
          <w:rtl/>
        </w:rPr>
        <w:t xml:space="preserve">בדעת </w:t>
      </w:r>
      <w:r w:rsidRPr="0048652A">
        <w:rPr>
          <w:rStyle w:val="af9"/>
          <w:rFonts w:hint="cs"/>
          <w:rtl/>
        </w:rPr>
        <w:t>הרשב"ם</w:t>
      </w:r>
      <w:r>
        <w:rPr>
          <w:rFonts w:hint="cs"/>
          <w:rtl/>
        </w:rPr>
        <w:t xml:space="preserve"> </w:t>
      </w:r>
      <w:r w:rsidRPr="0036734A">
        <w:rPr>
          <w:rStyle w:val="af7"/>
          <w:rFonts w:eastAsia="Guttman Hodes" w:hint="cs"/>
          <w:rtl/>
        </w:rPr>
        <w:t xml:space="preserve">(עי' אות </w:t>
      </w:r>
      <w:r w:rsidRPr="0036734A">
        <w:rPr>
          <w:rStyle w:val="af7"/>
          <w:rFonts w:eastAsia="Guttman Hodes"/>
          <w:rtl/>
        </w:rPr>
        <w:fldChar w:fldCharType="begin"/>
      </w:r>
      <w:r w:rsidRPr="0036734A">
        <w:rPr>
          <w:rStyle w:val="af7"/>
          <w:rFonts w:eastAsia="Guttman Hodes"/>
          <w:rtl/>
        </w:rPr>
        <w:instrText xml:space="preserve"> </w:instrText>
      </w:r>
      <w:r w:rsidRPr="0036734A">
        <w:rPr>
          <w:rStyle w:val="af7"/>
          <w:rFonts w:eastAsia="Guttman Hodes" w:hint="cs"/>
        </w:rPr>
        <w:instrText>REF</w:instrText>
      </w:r>
      <w:r w:rsidRPr="0036734A">
        <w:rPr>
          <w:rStyle w:val="af7"/>
          <w:rFonts w:eastAsia="Guttman Hodes" w:hint="cs"/>
          <w:rtl/>
        </w:rPr>
        <w:instrText xml:space="preserve"> _</w:instrText>
      </w:r>
      <w:r w:rsidRPr="0036734A">
        <w:rPr>
          <w:rStyle w:val="af7"/>
          <w:rFonts w:eastAsia="Guttman Hodes" w:hint="cs"/>
        </w:rPr>
        <w:instrText>Ref60310822 \r \h</w:instrText>
      </w:r>
      <w:r w:rsidRPr="0036734A">
        <w:rPr>
          <w:rStyle w:val="af7"/>
          <w:rFonts w:eastAsia="Guttman Hodes"/>
          <w:rtl/>
        </w:rPr>
        <w:instrText xml:space="preserve"> </w:instrText>
      </w:r>
      <w:r w:rsidRPr="0036734A">
        <w:rPr>
          <w:rStyle w:val="af7"/>
          <w:rFonts w:eastAsia="Guttman Hodes"/>
          <w:rtl/>
        </w:rPr>
      </w:r>
      <w:r w:rsidRPr="0036734A">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36734A">
        <w:rPr>
          <w:rStyle w:val="af7"/>
          <w:rFonts w:eastAsia="Guttman Hodes"/>
          <w:rtl/>
        </w:rPr>
        <w:fldChar w:fldCharType="end"/>
      </w:r>
      <w:r>
        <w:rPr>
          <w:rFonts w:hint="cs"/>
          <w:rtl/>
        </w:rPr>
        <w:t xml:space="preserve"> </w:t>
      </w:r>
      <w:r w:rsidRPr="00954A6F">
        <w:rPr>
          <w:rStyle w:val="af9"/>
          <w:rFonts w:hint="cs"/>
          <w:rtl/>
        </w:rPr>
        <w:t>ור"י</w:t>
      </w:r>
      <w:r>
        <w:rPr>
          <w:rFonts w:hint="cs"/>
          <w:rtl/>
        </w:rPr>
        <w:t xml:space="preserve"> </w:t>
      </w:r>
      <w:r w:rsidRPr="00017120">
        <w:rPr>
          <w:rStyle w:val="af7"/>
          <w:rFonts w:eastAsia="Guttman Hodes" w:hint="cs"/>
          <w:rtl/>
        </w:rPr>
        <w:t xml:space="preserve">(עי' אות </w:t>
      </w:r>
      <w:r w:rsidRPr="00017120">
        <w:rPr>
          <w:rStyle w:val="af7"/>
          <w:rFonts w:eastAsia="Guttman Hodes"/>
          <w:rtl/>
        </w:rPr>
        <w:fldChar w:fldCharType="begin"/>
      </w:r>
      <w:r w:rsidRPr="00017120">
        <w:rPr>
          <w:rStyle w:val="af7"/>
          <w:rFonts w:eastAsia="Guttman Hodes"/>
          <w:rtl/>
        </w:rPr>
        <w:instrText xml:space="preserve"> </w:instrText>
      </w:r>
      <w:r w:rsidRPr="00017120">
        <w:rPr>
          <w:rStyle w:val="af7"/>
          <w:rFonts w:eastAsia="Guttman Hodes" w:hint="cs"/>
        </w:rPr>
        <w:instrText>REF</w:instrText>
      </w:r>
      <w:r w:rsidRPr="00017120">
        <w:rPr>
          <w:rStyle w:val="af7"/>
          <w:rFonts w:eastAsia="Guttman Hodes" w:hint="cs"/>
          <w:rtl/>
        </w:rPr>
        <w:instrText xml:space="preserve"> _</w:instrText>
      </w:r>
      <w:r w:rsidRPr="00017120">
        <w:rPr>
          <w:rStyle w:val="af7"/>
          <w:rFonts w:eastAsia="Guttman Hodes" w:hint="cs"/>
        </w:rPr>
        <w:instrText>Ref60640954 \r \h</w:instrText>
      </w:r>
      <w:r w:rsidRPr="00017120">
        <w:rPr>
          <w:rStyle w:val="af7"/>
          <w:rFonts w:eastAsia="Guttman Hodes"/>
          <w:rtl/>
        </w:rPr>
        <w:instrText xml:space="preserve"> </w:instrText>
      </w:r>
      <w:r w:rsidRPr="00017120">
        <w:rPr>
          <w:rStyle w:val="af7"/>
          <w:rFonts w:eastAsia="Guttman Hodes"/>
          <w:rtl/>
        </w:rPr>
      </w:r>
      <w:r w:rsidRPr="00017120">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017120">
        <w:rPr>
          <w:rStyle w:val="af7"/>
          <w:rFonts w:eastAsia="Guttman Hodes"/>
          <w:rtl/>
        </w:rPr>
        <w:fldChar w:fldCharType="end"/>
      </w:r>
      <w:r>
        <w:rPr>
          <w:rFonts w:hint="cs"/>
          <w:rtl/>
        </w:rPr>
        <w:t xml:space="preserve"> דגדר דין טענינן הוא דטענינן ללוקח את מה שהמוכר היה יכול לטעון עכשיו, אחר שמכרה למחזיק, ולא טענינן ליה את מה שהיה המוכר יכול לטעון בזמן שישב בקרקע, וא"כ עכשיו אין המוכר נאמן במיגו דלא הייתה של המערער מעולם, כיון דהמוכר טוען כן בשביל שהמחזיק יזכה בקרקע, ולמחזיק אין את המיגו.</w:t>
      </w:r>
      <w:bookmarkEnd w:id="10983"/>
    </w:p>
    <w:p w:rsidR="006A4297" w:rsidRDefault="006A4297" w:rsidP="006A4297">
      <w:pPr>
        <w:pStyle w:val="a3"/>
        <w:rPr>
          <w:rtl/>
        </w:rPr>
      </w:pPr>
      <w:bookmarkStart w:id="10984" w:name="_Toc60678348"/>
      <w:r>
        <w:rPr>
          <w:rFonts w:hint="cs"/>
          <w:rtl/>
        </w:rPr>
        <w:t>ביאור הגרש"ר ברמב"ן דטענינן את מה שהמוכר היה טוען לפני שמכר את הקרקע למחזיק</w:t>
      </w:r>
      <w:bookmarkEnd w:id="10984"/>
    </w:p>
    <w:p w:rsidR="006A4297" w:rsidRPr="00EA26FE" w:rsidRDefault="006A4297" w:rsidP="007E4E81">
      <w:pPr>
        <w:pStyle w:val="a0"/>
        <w:rPr>
          <w:rtl/>
        </w:rPr>
      </w:pPr>
      <w:bookmarkStart w:id="10985" w:name="_Ref60138353"/>
      <w:r>
        <w:rPr>
          <w:rFonts w:hint="cs"/>
          <w:rtl/>
        </w:rPr>
        <w:t xml:space="preserve">ובדעת </w:t>
      </w:r>
      <w:r w:rsidRPr="00954A6F">
        <w:rPr>
          <w:rStyle w:val="af9"/>
          <w:rFonts w:hint="cs"/>
          <w:rtl/>
        </w:rPr>
        <w:t>הרמב"ן</w:t>
      </w:r>
      <w:r w:rsidRPr="00D61F64">
        <w:rPr>
          <w:rStyle w:val="af7"/>
          <w:rFonts w:eastAsia="Guttman Hodes" w:hint="cs"/>
          <w:rtl/>
        </w:rPr>
        <w:t xml:space="preserve"> (עי'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Ref60677442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Pr>
          <w:rStyle w:val="af7"/>
          <w:rFonts w:eastAsia="Guttman Hodes"/>
          <w:rtl/>
        </w:rPr>
        <w:fldChar w:fldCharType="end"/>
      </w:r>
      <w:r>
        <w:rPr>
          <w:rStyle w:val="af7"/>
          <w:rFonts w:eastAsia="Guttman Hodes" w:hint="cs"/>
          <w:rtl/>
        </w:rPr>
        <w:t xml:space="preserve"> </w:t>
      </w:r>
      <w:r>
        <w:rPr>
          <w:rFonts w:hint="cs"/>
          <w:rtl/>
        </w:rPr>
        <w:t xml:space="preserve">ביאר </w:t>
      </w:r>
      <w:r w:rsidRPr="00954A6F">
        <w:rPr>
          <w:rStyle w:val="af9"/>
          <w:rFonts w:hint="cs"/>
          <w:rtl/>
        </w:rPr>
        <w:t>ב</w:t>
      </w:r>
      <w:r>
        <w:rPr>
          <w:rStyle w:val="af9"/>
          <w:rFonts w:hint="cs"/>
          <w:rtl/>
        </w:rPr>
        <w:t>שיעורי</w:t>
      </w:r>
      <w:r w:rsidRPr="00954A6F">
        <w:rPr>
          <w:rStyle w:val="af9"/>
          <w:rFonts w:hint="cs"/>
          <w:rtl/>
        </w:rPr>
        <w:t xml:space="preserve"> רבי שמואל</w:t>
      </w:r>
      <w:r>
        <w:rPr>
          <w:rFonts w:hint="cs"/>
          <w:rtl/>
        </w:rPr>
        <w:t xml:space="preserve"> דס"ל </w:t>
      </w:r>
      <w:r w:rsidRPr="00954A6F">
        <w:rPr>
          <w:rStyle w:val="af9"/>
          <w:rFonts w:hint="cs"/>
          <w:rtl/>
        </w:rPr>
        <w:t>כהרשב"א בתוס'</w:t>
      </w:r>
      <w:r>
        <w:rPr>
          <w:rStyle w:val="af7"/>
          <w:rFonts w:eastAsia="Guttman Hodes" w:hint="cs"/>
          <w:rtl/>
        </w:rPr>
        <w:t xml:space="preserve"> </w:t>
      </w:r>
      <w:r w:rsidRPr="00D61F64">
        <w:rPr>
          <w:rStyle w:val="af7"/>
          <w:rFonts w:eastAsia="Guttman Hodes" w:hint="cs"/>
          <w:rtl/>
        </w:rPr>
        <w:t xml:space="preserve">(עי' </w:t>
      </w:r>
      <w:r w:rsidRPr="002E13ED">
        <w:rPr>
          <w:rStyle w:val="af7"/>
          <w:rFonts w:eastAsia="Guttman Hodes" w:hint="cs"/>
          <w:rtl/>
        </w:rPr>
        <w:t xml:space="preserve">אות </w:t>
      </w:r>
      <w:r w:rsidRPr="002E13ED">
        <w:rPr>
          <w:rStyle w:val="af7"/>
          <w:rFonts w:eastAsia="Guttman Hodes"/>
          <w:rtl/>
        </w:rPr>
        <w:fldChar w:fldCharType="begin"/>
      </w:r>
      <w:r w:rsidRPr="002E13ED">
        <w:rPr>
          <w:rStyle w:val="af7"/>
          <w:rFonts w:eastAsia="Guttman Hodes"/>
          <w:rtl/>
        </w:rPr>
        <w:instrText xml:space="preserve"> </w:instrText>
      </w:r>
      <w:r w:rsidRPr="002E13ED">
        <w:rPr>
          <w:rStyle w:val="af7"/>
          <w:rFonts w:eastAsia="Guttman Hodes" w:hint="cs"/>
        </w:rPr>
        <w:instrText>REF</w:instrText>
      </w:r>
      <w:r w:rsidRPr="002E13ED">
        <w:rPr>
          <w:rStyle w:val="af7"/>
          <w:rFonts w:eastAsia="Guttman Hodes" w:hint="cs"/>
          <w:rtl/>
        </w:rPr>
        <w:instrText xml:space="preserve"> _</w:instrText>
      </w:r>
      <w:r w:rsidRPr="002E13ED">
        <w:rPr>
          <w:rStyle w:val="af7"/>
          <w:rFonts w:eastAsia="Guttman Hodes" w:hint="cs"/>
        </w:rPr>
        <w:instrText>Ref60342515 \r \h</w:instrText>
      </w:r>
      <w:r w:rsidRPr="002E13ED">
        <w:rPr>
          <w:rStyle w:val="af7"/>
          <w:rFonts w:eastAsia="Guttman Hodes"/>
          <w:rtl/>
        </w:rPr>
        <w:instrText xml:space="preserve"> </w:instrText>
      </w:r>
      <w:r w:rsidRPr="002E13ED">
        <w:rPr>
          <w:rStyle w:val="af7"/>
          <w:rFonts w:eastAsia="Guttman Hodes"/>
          <w:rtl/>
        </w:rPr>
      </w:r>
      <w:r w:rsidRPr="002E13ED">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2E13ED">
        <w:rPr>
          <w:rStyle w:val="af7"/>
          <w:rFonts w:eastAsia="Guttman Hodes"/>
          <w:rtl/>
        </w:rPr>
        <w:fldChar w:fldCharType="end"/>
      </w:r>
      <w:r>
        <w:rPr>
          <w:rFonts w:hint="cs"/>
          <w:rtl/>
        </w:rPr>
        <w:t xml:space="preserve"> דדין טענינן הוא דאנו טוענים עכשיו ללוקח, את מה שהמוכר היה יכול לטעון בזמן שישב בקרקע, ולכן אף שעכשיו אין למחזיק מיגו, מ"מ כיון שבשעה שישב המוכר בקרקע היה נאמן טענינן ליה אף עכשיו.</w:t>
      </w:r>
      <w:bookmarkEnd w:id="10985"/>
    </w:p>
    <w:p w:rsidR="006A4297" w:rsidRDefault="006A4297" w:rsidP="006A4297">
      <w:pPr>
        <w:pStyle w:val="afe"/>
        <w:rPr>
          <w:rtl/>
        </w:rPr>
      </w:pPr>
      <w:bookmarkStart w:id="10986" w:name="_Toc60678349"/>
      <w:bookmarkStart w:id="10987" w:name="_Toc60173449"/>
      <w:bookmarkStart w:id="10988" w:name="_Toc60303802"/>
      <w:bookmarkStart w:id="10989" w:name="_Toc60357082"/>
      <w:bookmarkStart w:id="10990" w:name="_Toc60589229"/>
      <w:bookmarkStart w:id="10991" w:name="_Toc60612684"/>
      <w:bookmarkStart w:id="10992" w:name="_Toc60616542"/>
      <w:r>
        <w:rPr>
          <w:rFonts w:hint="cs"/>
          <w:rtl/>
        </w:rPr>
        <w:t>בי' הגרנ"פ בפלוג' הראשונים בטענינן</w:t>
      </w:r>
      <w:bookmarkEnd w:id="10986"/>
    </w:p>
    <w:p w:rsidR="006A4297" w:rsidRDefault="006A4297" w:rsidP="006A4297">
      <w:pPr>
        <w:pStyle w:val="1"/>
        <w:rPr>
          <w:rtl/>
        </w:rPr>
      </w:pPr>
      <w:bookmarkStart w:id="10993" w:name="_Toc60678350"/>
      <w:r>
        <w:rPr>
          <w:rFonts w:hint="cs"/>
          <w:rtl/>
        </w:rPr>
        <w:t>ביאור הגרנ"פ בפלוגתת הרשב"א בתוס' ור"י בגדר דין טענינן</w:t>
      </w:r>
      <w:bookmarkEnd w:id="10987"/>
      <w:bookmarkEnd w:id="10988"/>
      <w:bookmarkEnd w:id="10989"/>
      <w:bookmarkEnd w:id="10990"/>
      <w:bookmarkEnd w:id="10991"/>
      <w:bookmarkEnd w:id="10992"/>
      <w:bookmarkEnd w:id="10993"/>
    </w:p>
    <w:p w:rsidR="006A4297" w:rsidRDefault="006A4297" w:rsidP="006A4297">
      <w:pPr>
        <w:pStyle w:val="a3"/>
        <w:rPr>
          <w:rtl/>
        </w:rPr>
      </w:pPr>
      <w:bookmarkStart w:id="10994" w:name="_Toc60678351"/>
      <w:r>
        <w:rPr>
          <w:rFonts w:hint="cs"/>
          <w:rtl/>
        </w:rPr>
        <w:t>ביאור הגרנ"פ ברשב"א בתוס' דבטענינן המוכר הבע"ד והדין בין המוכר למערער וטוענים למוכר</w:t>
      </w:r>
      <w:bookmarkEnd w:id="10994"/>
    </w:p>
    <w:p w:rsidR="006A4297" w:rsidRDefault="006A4297" w:rsidP="007E4E81">
      <w:pPr>
        <w:pStyle w:val="a0"/>
        <w:rPr>
          <w:rtl/>
        </w:rPr>
      </w:pPr>
      <w:bookmarkStart w:id="10995" w:name="_Ref60673557"/>
      <w:r>
        <w:rPr>
          <w:rFonts w:hint="cs"/>
          <w:rtl/>
        </w:rPr>
        <w:t xml:space="preserve">במ"ש </w:t>
      </w:r>
      <w:r w:rsidRPr="00FA5838">
        <w:rPr>
          <w:rStyle w:val="af9"/>
          <w:rFonts w:hint="cs"/>
          <w:rtl/>
        </w:rPr>
        <w:t xml:space="preserve">הרשב"א </w:t>
      </w:r>
      <w:r w:rsidRPr="008D1B15">
        <w:rPr>
          <w:rStyle w:val="af9"/>
          <w:rFonts w:hint="cs"/>
          <w:rtl/>
        </w:rPr>
        <w:t>בתוס'</w:t>
      </w:r>
      <w:r>
        <w:rPr>
          <w:rFonts w:hint="cs"/>
          <w:rtl/>
        </w:rPr>
        <w:t xml:space="preserve"> </w:t>
      </w:r>
      <w:r w:rsidRPr="00162318">
        <w:rPr>
          <w:rStyle w:val="af7"/>
          <w:rFonts w:eastAsia="Guttman Hodes" w:hint="cs"/>
          <w:rtl/>
        </w:rPr>
        <w:t xml:space="preserve">(עי' אות </w:t>
      </w:r>
      <w:r w:rsidRPr="00162318">
        <w:rPr>
          <w:rStyle w:val="af7"/>
          <w:rFonts w:eastAsia="Guttman Hodes"/>
          <w:rtl/>
        </w:rPr>
        <w:fldChar w:fldCharType="begin"/>
      </w:r>
      <w:r w:rsidRPr="00162318">
        <w:rPr>
          <w:rStyle w:val="af7"/>
          <w:rFonts w:eastAsia="Guttman Hodes"/>
          <w:rtl/>
        </w:rPr>
        <w:instrText xml:space="preserve"> </w:instrText>
      </w:r>
      <w:r w:rsidRPr="00162318">
        <w:rPr>
          <w:rStyle w:val="af7"/>
          <w:rFonts w:eastAsia="Guttman Hodes" w:hint="cs"/>
        </w:rPr>
        <w:instrText>REF</w:instrText>
      </w:r>
      <w:r w:rsidRPr="00162318">
        <w:rPr>
          <w:rStyle w:val="af7"/>
          <w:rFonts w:eastAsia="Guttman Hodes" w:hint="cs"/>
          <w:rtl/>
        </w:rPr>
        <w:instrText xml:space="preserve"> _</w:instrText>
      </w:r>
      <w:r w:rsidRPr="00162318">
        <w:rPr>
          <w:rStyle w:val="af7"/>
          <w:rFonts w:eastAsia="Guttman Hodes" w:hint="cs"/>
        </w:rPr>
        <w:instrText>Ref60342515 \r \h</w:instrText>
      </w:r>
      <w:r w:rsidRPr="00162318">
        <w:rPr>
          <w:rStyle w:val="af7"/>
          <w:rFonts w:eastAsia="Guttman Hodes"/>
          <w:rtl/>
        </w:rPr>
        <w:instrText xml:space="preserve"> </w:instrText>
      </w:r>
      <w:r w:rsidRPr="00162318">
        <w:rPr>
          <w:rStyle w:val="af7"/>
          <w:rFonts w:eastAsia="Guttman Hodes"/>
          <w:rtl/>
        </w:rPr>
      </w:r>
      <w:r w:rsidRPr="00162318">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sidRPr="00162318">
        <w:rPr>
          <w:rStyle w:val="af7"/>
          <w:rFonts w:eastAsia="Guttman Hodes"/>
          <w:rtl/>
        </w:rPr>
        <w:fldChar w:fldCharType="end"/>
      </w:r>
      <w:r>
        <w:rPr>
          <w:rFonts w:hint="cs"/>
          <w:rtl/>
        </w:rPr>
        <w:t xml:space="preserve"> דכשיש עדים קמי דידי דר בה המוכר חד יומא, מעמידים את הקרקע בידו, אעפ"י שאין לו מיגו, ביאר </w:t>
      </w:r>
      <w:r w:rsidRPr="007B650F">
        <w:rPr>
          <w:rStyle w:val="af9"/>
          <w:rFonts w:hint="cs"/>
          <w:rtl/>
        </w:rPr>
        <w:t>בחי' רבי נחום</w:t>
      </w:r>
      <w:r w:rsidRPr="007B650F">
        <w:rPr>
          <w:rStyle w:val="af7"/>
          <w:rFonts w:eastAsia="Guttman Hodes" w:hint="cs"/>
          <w:rtl/>
        </w:rPr>
        <w:t xml:space="preserve"> (או' ע' ד"ה ולכ' בזה) </w:t>
      </w:r>
      <w:r>
        <w:rPr>
          <w:rFonts w:hint="cs"/>
          <w:rtl/>
        </w:rPr>
        <w:t xml:space="preserve">דס"ל </w:t>
      </w:r>
      <w:r w:rsidRPr="007B650F">
        <w:rPr>
          <w:rStyle w:val="af9"/>
          <w:rFonts w:hint="cs"/>
          <w:rtl/>
        </w:rPr>
        <w:t>להרשב"א בתוס'</w:t>
      </w:r>
      <w:r>
        <w:rPr>
          <w:rFonts w:hint="cs"/>
          <w:rtl/>
        </w:rPr>
        <w:t xml:space="preserve"> דגדר טענינן הוא דהמוכר נחשב כבע"ד של המערער, והדין בב"ד הוא בין המוכר למערער, ואנו טוענים עבור המוכר את כל מה שהיה יכול לטעון, ולכן אף שהמחזיק אינו יכול לזכות במיגו, מ"מ למוכר עצמו יש מיגו גמור. </w:t>
      </w:r>
      <w:r w:rsidRPr="007B650F">
        <w:rPr>
          <w:rStyle w:val="afb"/>
          <w:rFonts w:hint="cs"/>
          <w:rtl/>
        </w:rPr>
        <w:t xml:space="preserve">[וכתב </w:t>
      </w:r>
      <w:r w:rsidRPr="007B650F">
        <w:rPr>
          <w:rStyle w:val="affa"/>
          <w:rFonts w:hint="cs"/>
          <w:rtl/>
        </w:rPr>
        <w:t>בחי' רבי נחום</w:t>
      </w:r>
      <w:r w:rsidRPr="007B650F">
        <w:rPr>
          <w:rStyle w:val="afb"/>
          <w:rFonts w:hint="cs"/>
          <w:rtl/>
        </w:rPr>
        <w:t xml:space="preserve"> דאעפ"י שמי שזוכה מחמת זה הוא המחזיק, </w:t>
      </w:r>
      <w:r w:rsidRPr="007B650F">
        <w:rPr>
          <w:rStyle w:val="afb"/>
          <w:rFonts w:hint="cs"/>
          <w:rtl/>
        </w:rPr>
        <w:t xml:space="preserve">מ"מ חשיב שהמוכר זוכה בב"ד, וכדכתב </w:t>
      </w:r>
      <w:r w:rsidRPr="007B650F">
        <w:rPr>
          <w:rStyle w:val="affa"/>
          <w:rFonts w:hint="cs"/>
          <w:rtl/>
        </w:rPr>
        <w:t>רבינו יונה</w:t>
      </w:r>
      <w:r w:rsidRPr="007B650F">
        <w:rPr>
          <w:rStyle w:val="afb"/>
          <w:rFonts w:hint="cs"/>
          <w:rtl/>
        </w:rPr>
        <w:t xml:space="preserve"> </w:t>
      </w:r>
      <w:r w:rsidRPr="00700CB3">
        <w:rPr>
          <w:rStyle w:val="af7"/>
          <w:rFonts w:eastAsia="Guttman Hodes"/>
          <w:rtl/>
        </w:rPr>
        <w:t>(ד"ה עלה בידינו</w:t>
      </w:r>
      <w:r w:rsidR="00E0193B">
        <w:rPr>
          <w:rStyle w:val="af7"/>
          <w:rFonts w:eastAsia="Guttman Hodes" w:hint="cs"/>
          <w:rtl/>
        </w:rPr>
        <w:t xml:space="preserve">, הובא בסימן י"א אות פ') </w:t>
      </w:r>
      <w:r w:rsidRPr="007B650F">
        <w:rPr>
          <w:rStyle w:val="afb"/>
          <w:rFonts w:hint="cs"/>
          <w:rtl/>
        </w:rPr>
        <w:t>דכשזכה המוכר בב"ד א"א להוציא מהמחזיק].</w:t>
      </w:r>
      <w:bookmarkEnd w:id="10995"/>
    </w:p>
    <w:p w:rsidR="006A4297" w:rsidRDefault="006A4297" w:rsidP="006A4297">
      <w:pPr>
        <w:pStyle w:val="a3"/>
        <w:rPr>
          <w:rtl/>
        </w:rPr>
      </w:pPr>
      <w:bookmarkStart w:id="10996" w:name="_Toc60678352"/>
      <w:r>
        <w:rPr>
          <w:rFonts w:hint="cs"/>
          <w:rtl/>
        </w:rPr>
        <w:t>ביאור הגרנ"פ בר"י דבטענינן הדין הוא בין המחזיק למערער וטוענים לו את טענות המוכר</w:t>
      </w:r>
      <w:bookmarkEnd w:id="10996"/>
    </w:p>
    <w:p w:rsidR="006A4297" w:rsidRDefault="006A4297" w:rsidP="007E4E81">
      <w:pPr>
        <w:pStyle w:val="a0"/>
      </w:pPr>
      <w:bookmarkStart w:id="10997" w:name="_Ref60673583"/>
      <w:r>
        <w:rPr>
          <w:rFonts w:hint="cs"/>
          <w:rtl/>
        </w:rPr>
        <w:t xml:space="preserve">ובדעת </w:t>
      </w:r>
      <w:r>
        <w:rPr>
          <w:rStyle w:val="af9"/>
          <w:rFonts w:hint="cs"/>
          <w:rtl/>
        </w:rPr>
        <w:t>ר</w:t>
      </w:r>
      <w:r>
        <w:rPr>
          <w:rStyle w:val="af9"/>
          <w:rtl/>
        </w:rPr>
        <w:t>"</w:t>
      </w:r>
      <w:r>
        <w:rPr>
          <w:rStyle w:val="af9"/>
          <w:rFonts w:hint="cs"/>
          <w:rtl/>
        </w:rPr>
        <w:t>י</w:t>
      </w:r>
      <w:r>
        <w:rPr>
          <w:rFonts w:hint="cs"/>
          <w:rtl/>
        </w:rPr>
        <w:t xml:space="preserve"> </w:t>
      </w:r>
      <w:r w:rsidRPr="00700CB3">
        <w:rPr>
          <w:rStyle w:val="af7"/>
          <w:rFonts w:eastAsia="Guttman Hodes" w:hint="cs"/>
          <w:rtl/>
        </w:rPr>
        <w:t xml:space="preserve">(עי' אות </w:t>
      </w:r>
      <w:r w:rsidRPr="00700CB3">
        <w:rPr>
          <w:rStyle w:val="af7"/>
          <w:rFonts w:eastAsia="Guttman Hodes"/>
          <w:rtl/>
        </w:rPr>
        <w:fldChar w:fldCharType="begin"/>
      </w:r>
      <w:r w:rsidRPr="00700CB3">
        <w:rPr>
          <w:rStyle w:val="af7"/>
          <w:rFonts w:eastAsia="Guttman Hodes"/>
          <w:rtl/>
        </w:rPr>
        <w:instrText xml:space="preserve"> </w:instrText>
      </w:r>
      <w:r w:rsidRPr="00700CB3">
        <w:rPr>
          <w:rStyle w:val="af7"/>
          <w:rFonts w:eastAsia="Guttman Hodes" w:hint="cs"/>
        </w:rPr>
        <w:instrText>REF</w:instrText>
      </w:r>
      <w:r w:rsidRPr="00700CB3">
        <w:rPr>
          <w:rStyle w:val="af7"/>
          <w:rFonts w:eastAsia="Guttman Hodes" w:hint="cs"/>
          <w:rtl/>
        </w:rPr>
        <w:instrText xml:space="preserve"> _</w:instrText>
      </w:r>
      <w:r w:rsidRPr="00700CB3">
        <w:rPr>
          <w:rStyle w:val="af7"/>
          <w:rFonts w:eastAsia="Guttman Hodes" w:hint="cs"/>
        </w:rPr>
        <w:instrText>Ref60640954 \r \h</w:instrText>
      </w:r>
      <w:r w:rsidRPr="00700CB3">
        <w:rPr>
          <w:rStyle w:val="af7"/>
          <w:rFonts w:eastAsia="Guttman Hodes"/>
          <w:rtl/>
        </w:rPr>
        <w:instrText xml:space="preserve"> </w:instrText>
      </w:r>
      <w:r w:rsidRPr="00700CB3">
        <w:rPr>
          <w:rStyle w:val="af7"/>
          <w:rFonts w:eastAsia="Guttman Hodes"/>
          <w:rtl/>
        </w:rPr>
      </w:r>
      <w:r w:rsidRPr="00700CB3">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700CB3">
        <w:rPr>
          <w:rStyle w:val="af7"/>
          <w:rFonts w:eastAsia="Guttman Hodes"/>
          <w:rtl/>
        </w:rPr>
        <w:fldChar w:fldCharType="end"/>
      </w:r>
      <w:r>
        <w:rPr>
          <w:rFonts w:hint="cs"/>
          <w:rtl/>
        </w:rPr>
        <w:t xml:space="preserve"> דס"ל דכל שאין למחזיק מיגו לא טענינן ליה, ביאר </w:t>
      </w:r>
      <w:r w:rsidRPr="007B650F">
        <w:rPr>
          <w:rStyle w:val="af9"/>
          <w:rFonts w:hint="cs"/>
          <w:rtl/>
        </w:rPr>
        <w:t>בחי' רבי נחום</w:t>
      </w:r>
      <w:r>
        <w:rPr>
          <w:rFonts w:hint="cs"/>
          <w:rtl/>
        </w:rPr>
        <w:t xml:space="preserve"> דס"ל </w:t>
      </w:r>
      <w:r w:rsidRPr="007B650F">
        <w:rPr>
          <w:rStyle w:val="af9"/>
          <w:rFonts w:hint="cs"/>
          <w:rtl/>
        </w:rPr>
        <w:t>לר"י</w:t>
      </w:r>
      <w:r>
        <w:rPr>
          <w:rFonts w:hint="cs"/>
          <w:rtl/>
        </w:rPr>
        <w:t xml:space="preserve"> דגדר דין טענינן הוא שהדין בב"ד הוא בין הלוקח לבין המערער, ואנו טוענים עבור הלוקח את מה שהיה המוכר יכול לטעון, וכיון שהמחזיק אינו יכול לזכות בטענת המיגו של המוכר, דהוא יודע שהקרקע הייתה של המערער, לכן ל"מ לו המיגו של המוכר, וע"ע במה שהוסיף לבאר </w:t>
      </w:r>
      <w:r w:rsidRPr="0048652A">
        <w:rPr>
          <w:rStyle w:val="af9"/>
          <w:rFonts w:hint="cs"/>
          <w:rtl/>
        </w:rPr>
        <w:t>בחי' רבי נחום</w:t>
      </w:r>
      <w:r>
        <w:rPr>
          <w:rStyle w:val="af9"/>
          <w:rFonts w:hint="cs"/>
          <w:rtl/>
        </w:rPr>
        <w:t xml:space="preserve"> </w:t>
      </w:r>
      <w:r w:rsidRPr="000E2E57">
        <w:rPr>
          <w:rStyle w:val="af7"/>
          <w:rFonts w:eastAsia="Guttman Hodes" w:hint="cs"/>
          <w:rtl/>
        </w:rPr>
        <w:t xml:space="preserve">(עי' אות </w:t>
      </w:r>
      <w:r w:rsidRPr="000E2E57">
        <w:rPr>
          <w:rStyle w:val="af7"/>
          <w:rFonts w:eastAsia="Guttman Hodes"/>
          <w:rtl/>
        </w:rPr>
        <w:fldChar w:fldCharType="begin"/>
      </w:r>
      <w:r w:rsidRPr="000E2E57">
        <w:rPr>
          <w:rStyle w:val="af7"/>
          <w:rFonts w:eastAsia="Guttman Hodes"/>
          <w:rtl/>
        </w:rPr>
        <w:instrText xml:space="preserve"> </w:instrText>
      </w:r>
      <w:r w:rsidRPr="000E2E57">
        <w:rPr>
          <w:rStyle w:val="af7"/>
          <w:rFonts w:eastAsia="Guttman Hodes" w:hint="cs"/>
        </w:rPr>
        <w:instrText>REF</w:instrText>
      </w:r>
      <w:r w:rsidRPr="000E2E57">
        <w:rPr>
          <w:rStyle w:val="af7"/>
          <w:rFonts w:eastAsia="Guttman Hodes" w:hint="cs"/>
          <w:rtl/>
        </w:rPr>
        <w:instrText xml:space="preserve"> _</w:instrText>
      </w:r>
      <w:r w:rsidRPr="000E2E57">
        <w:rPr>
          <w:rStyle w:val="af7"/>
          <w:rFonts w:eastAsia="Guttman Hodes" w:hint="cs"/>
        </w:rPr>
        <w:instrText>Ref60676915 \r \h</w:instrText>
      </w:r>
      <w:r w:rsidRPr="000E2E57">
        <w:rPr>
          <w:rStyle w:val="af7"/>
          <w:rFonts w:eastAsia="Guttman Hodes"/>
          <w:rtl/>
        </w:rPr>
        <w:instrText xml:space="preserve"> </w:instrText>
      </w:r>
      <w:r w:rsidRPr="000E2E57">
        <w:rPr>
          <w:rStyle w:val="af7"/>
          <w:rFonts w:eastAsia="Guttman Hodes"/>
          <w:rtl/>
        </w:rPr>
      </w:r>
      <w:r w:rsidRPr="000E2E57">
        <w:rPr>
          <w:rStyle w:val="af7"/>
          <w:rFonts w:eastAsia="Guttman Hodes"/>
          <w:rtl/>
        </w:rPr>
        <w:fldChar w:fldCharType="separate"/>
      </w:r>
      <w:r w:rsidR="00265073">
        <w:rPr>
          <w:rStyle w:val="af7"/>
          <w:rFonts w:eastAsia="Guttman Hodes"/>
          <w:cs/>
        </w:rPr>
        <w:t>‎</w:t>
      </w:r>
      <w:r w:rsidR="00265073">
        <w:rPr>
          <w:rStyle w:val="af7"/>
          <w:rFonts w:eastAsia="Guttman Hodes"/>
          <w:rtl/>
        </w:rPr>
        <w:t>קכה)</w:t>
      </w:r>
      <w:r w:rsidRPr="000E2E57">
        <w:rPr>
          <w:rStyle w:val="af7"/>
          <w:rFonts w:eastAsia="Guttman Hodes"/>
          <w:rtl/>
        </w:rPr>
        <w:fldChar w:fldCharType="end"/>
      </w:r>
      <w:r>
        <w:rPr>
          <w:rFonts w:hint="cs"/>
          <w:rtl/>
        </w:rPr>
        <w:t xml:space="preserve"> בדעת </w:t>
      </w:r>
      <w:r w:rsidRPr="000E2E57">
        <w:rPr>
          <w:rStyle w:val="af9"/>
          <w:rFonts w:hint="cs"/>
          <w:rtl/>
        </w:rPr>
        <w:t>ר"י</w:t>
      </w:r>
      <w:r>
        <w:rPr>
          <w:rFonts w:hint="cs"/>
          <w:rtl/>
        </w:rPr>
        <w:t>.</w:t>
      </w:r>
      <w:r w:rsidRPr="008A477E">
        <w:rPr>
          <w:rFonts w:hint="cs"/>
          <w:rtl/>
        </w:rPr>
        <w:t xml:space="preserve"> </w:t>
      </w:r>
      <w:bookmarkStart w:id="10998" w:name="_Toc60086882"/>
      <w:bookmarkStart w:id="10999" w:name="_Toc60173450"/>
      <w:bookmarkStart w:id="11000" w:name="_Toc60303803"/>
      <w:bookmarkStart w:id="11001" w:name="_Toc60357083"/>
      <w:bookmarkStart w:id="11002" w:name="_Toc60589230"/>
      <w:bookmarkStart w:id="11003" w:name="_Toc60612685"/>
      <w:bookmarkStart w:id="11004" w:name="_Toc60616543"/>
      <w:bookmarkEnd w:id="10997"/>
    </w:p>
    <w:p w:rsidR="006A4297" w:rsidRDefault="006A4297" w:rsidP="006A4297">
      <w:pPr>
        <w:pStyle w:val="1"/>
        <w:rPr>
          <w:rtl/>
        </w:rPr>
      </w:pPr>
      <w:bookmarkStart w:id="11005" w:name="_Toc60086883"/>
      <w:bookmarkStart w:id="11006" w:name="_Toc60173451"/>
      <w:bookmarkStart w:id="11007" w:name="_Toc60303804"/>
      <w:bookmarkStart w:id="11008" w:name="_Toc60357084"/>
      <w:bookmarkStart w:id="11009" w:name="_Toc60589231"/>
      <w:bookmarkStart w:id="11010" w:name="_Toc60612686"/>
      <w:bookmarkStart w:id="11011" w:name="_Toc60616544"/>
      <w:bookmarkStart w:id="11012" w:name="_Toc60678353"/>
      <w:bookmarkEnd w:id="10998"/>
      <w:bookmarkEnd w:id="10999"/>
      <w:bookmarkEnd w:id="11000"/>
      <w:bookmarkEnd w:id="11001"/>
      <w:bookmarkEnd w:id="11002"/>
      <w:bookmarkEnd w:id="11003"/>
      <w:bookmarkEnd w:id="11004"/>
      <w:r>
        <w:rPr>
          <w:rFonts w:hint="cs"/>
          <w:rtl/>
        </w:rPr>
        <w:t>ביאור הגרנ"פ בפלוגתת התוס' והרמב"ן בטענינן בחד יומא</w:t>
      </w:r>
      <w:bookmarkEnd w:id="11005"/>
      <w:bookmarkEnd w:id="11006"/>
      <w:bookmarkEnd w:id="11007"/>
      <w:bookmarkEnd w:id="11008"/>
      <w:bookmarkEnd w:id="11009"/>
      <w:bookmarkEnd w:id="11010"/>
      <w:bookmarkEnd w:id="11011"/>
      <w:bookmarkEnd w:id="11012"/>
    </w:p>
    <w:p w:rsidR="006A4297" w:rsidRPr="00AB2720" w:rsidRDefault="006A4297" w:rsidP="006A4297">
      <w:pPr>
        <w:pStyle w:val="a3"/>
        <w:rPr>
          <w:rtl/>
        </w:rPr>
      </w:pPr>
      <w:bookmarkStart w:id="11013" w:name="_Toc60678354"/>
      <w:r>
        <w:rPr>
          <w:rFonts w:hint="cs"/>
          <w:rtl/>
        </w:rPr>
        <w:t>ביאור הגרנ"פ ברמב"ן דמיגו אינו בירור מצד עצמו ומברר את הטענה שזוכה מחמתה</w:t>
      </w:r>
      <w:bookmarkEnd w:id="11013"/>
    </w:p>
    <w:p w:rsidR="006A4297" w:rsidRDefault="006A4297" w:rsidP="007E4E81">
      <w:pPr>
        <w:pStyle w:val="a0"/>
        <w:rPr>
          <w:rtl/>
        </w:rPr>
      </w:pPr>
      <w:bookmarkStart w:id="11014" w:name="_Ref60675036"/>
      <w:r>
        <w:rPr>
          <w:rFonts w:hint="cs"/>
          <w:rtl/>
        </w:rPr>
        <w:t>במ"ש</w:t>
      </w:r>
      <w:r>
        <w:rPr>
          <w:rStyle w:val="af9"/>
          <w:rFonts w:hint="cs"/>
          <w:rtl/>
        </w:rPr>
        <w:t xml:space="preserve"> </w:t>
      </w:r>
      <w:r w:rsidRPr="00F90AEA">
        <w:rPr>
          <w:rStyle w:val="af9"/>
          <w:rFonts w:hint="cs"/>
          <w:rtl/>
        </w:rPr>
        <w:t>הרמב"ן לקמן</w:t>
      </w:r>
      <w:r>
        <w:rPr>
          <w:rFonts w:hint="cs"/>
          <w:rtl/>
        </w:rPr>
        <w:t xml:space="preserve"> </w:t>
      </w:r>
      <w:r w:rsidRPr="00AB2720">
        <w:rPr>
          <w:rStyle w:val="af7"/>
          <w:rFonts w:eastAsia="Guttman Hodes" w:hint="cs"/>
          <w:rtl/>
        </w:rPr>
        <w:t xml:space="preserve">(עי' אות </w:t>
      </w:r>
      <w:r w:rsidRPr="00AB2720">
        <w:rPr>
          <w:rStyle w:val="af7"/>
          <w:rFonts w:eastAsia="Guttman Hodes"/>
          <w:rtl/>
        </w:rPr>
        <w:fldChar w:fldCharType="begin"/>
      </w:r>
      <w:r w:rsidRPr="00AB2720">
        <w:rPr>
          <w:rStyle w:val="af7"/>
          <w:rFonts w:eastAsia="Guttman Hodes"/>
          <w:rtl/>
        </w:rPr>
        <w:instrText xml:space="preserve"> </w:instrText>
      </w:r>
      <w:r w:rsidRPr="00AB2720">
        <w:rPr>
          <w:rStyle w:val="af7"/>
          <w:rFonts w:eastAsia="Guttman Hodes" w:hint="cs"/>
        </w:rPr>
        <w:instrText>REF</w:instrText>
      </w:r>
      <w:r w:rsidRPr="00AB2720">
        <w:rPr>
          <w:rStyle w:val="af7"/>
          <w:rFonts w:eastAsia="Guttman Hodes" w:hint="cs"/>
          <w:rtl/>
        </w:rPr>
        <w:instrText xml:space="preserve"> _</w:instrText>
      </w:r>
      <w:r w:rsidRPr="00AB2720">
        <w:rPr>
          <w:rStyle w:val="af7"/>
          <w:rFonts w:eastAsia="Guttman Hodes" w:hint="cs"/>
        </w:rPr>
        <w:instrText>Ref60133638 \r \h</w:instrText>
      </w:r>
      <w:r w:rsidRPr="00AB2720">
        <w:rPr>
          <w:rStyle w:val="af7"/>
          <w:rFonts w:eastAsia="Guttman Hodes"/>
          <w:rtl/>
        </w:rPr>
        <w:instrText xml:space="preserve"> </w:instrText>
      </w:r>
      <w:r w:rsidRPr="00AB2720">
        <w:rPr>
          <w:rStyle w:val="af7"/>
          <w:rFonts w:eastAsia="Guttman Hodes"/>
          <w:rtl/>
        </w:rPr>
      </w:r>
      <w:r w:rsidRPr="00AB2720">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AB2720">
        <w:rPr>
          <w:rStyle w:val="af7"/>
          <w:rFonts w:eastAsia="Guttman Hodes"/>
          <w:rtl/>
        </w:rPr>
        <w:fldChar w:fldCharType="end"/>
      </w:r>
      <w:r>
        <w:rPr>
          <w:rFonts w:hint="cs"/>
          <w:rtl/>
        </w:rPr>
        <w:t xml:space="preserve"> דהמחזיק אינו נאמן במיגו לומר קמי דידי דר בה המוכר חד יומא, דאנן לא טענינן ליה, דלא מפיו אנו חיין, ביאר </w:t>
      </w:r>
      <w:r w:rsidRPr="007A2FAF">
        <w:rPr>
          <w:rStyle w:val="af9"/>
          <w:rFonts w:hint="cs"/>
          <w:rtl/>
        </w:rPr>
        <w:t>בחי'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נחום</w:t>
      </w:r>
      <w:r>
        <w:rPr>
          <w:rFonts w:hint="cs"/>
          <w:rtl/>
        </w:rPr>
        <w:t xml:space="preserve"> </w:t>
      </w:r>
      <w:r w:rsidRPr="00C978AE">
        <w:rPr>
          <w:rStyle w:val="af7"/>
          <w:rFonts w:eastAsia="Guttman Hodes" w:hint="cs"/>
          <w:rtl/>
        </w:rPr>
        <w:t>(או' ס"ג ד"ה תד"ה לאו)</w:t>
      </w:r>
      <w:r>
        <w:rPr>
          <w:rFonts w:hint="cs"/>
          <w:rtl/>
        </w:rPr>
        <w:t xml:space="preserve"> דס"ל </w:t>
      </w:r>
      <w:r w:rsidRPr="007A2FAF">
        <w:rPr>
          <w:rStyle w:val="af9"/>
          <w:rFonts w:hint="cs"/>
          <w:rtl/>
        </w:rPr>
        <w:t>להרמב"ן</w:t>
      </w:r>
      <w:r>
        <w:rPr>
          <w:rFonts w:hint="cs"/>
          <w:rtl/>
        </w:rPr>
        <w:t xml:space="preserve"> דמיגו אינו בירור גמור שמועיל מצד עצמו, אלא הוא מברר את טענתו, דכל שיש מיגו שמסייע לטענתו חשיבא טענתו כטענה טובה, ועי"ז הוא יכול לזכות מכח הטענה עצמה, ולכן מהני המיגו רק בעצם הנדון של הזכיה בקרקע, בין המחזיק לבין המערער, אך אינו מועיל כידיעה ברורה שאנו נדע שכך היה ונטען בעבורו.</w:t>
      </w:r>
      <w:bookmarkEnd w:id="11014"/>
      <w:r>
        <w:rPr>
          <w:rFonts w:hint="cs"/>
          <w:rtl/>
        </w:rPr>
        <w:t xml:space="preserve"> </w:t>
      </w:r>
    </w:p>
    <w:p w:rsidR="006A4297" w:rsidRDefault="006A4297" w:rsidP="006A4297">
      <w:pPr>
        <w:pStyle w:val="a3"/>
        <w:rPr>
          <w:rtl/>
        </w:rPr>
      </w:pPr>
      <w:bookmarkStart w:id="11015" w:name="_Toc60678355"/>
      <w:r>
        <w:rPr>
          <w:rFonts w:hint="cs"/>
          <w:rtl/>
        </w:rPr>
        <w:t>ביאור הגרנ"פ בתוס' דעידי חד יומא אינו מדין טענינן אלא דהחזקה מתחילה ע"י המוכר</w:t>
      </w:r>
      <w:bookmarkEnd w:id="11015"/>
    </w:p>
    <w:p w:rsidR="006A4297" w:rsidRDefault="006A4297" w:rsidP="007E4E81">
      <w:pPr>
        <w:pStyle w:val="a0"/>
        <w:rPr>
          <w:rStyle w:val="afb"/>
          <w:rtl/>
        </w:rPr>
      </w:pPr>
      <w:bookmarkStart w:id="11016" w:name="_Ref60675258"/>
      <w:r>
        <w:rPr>
          <w:rFonts w:hint="cs"/>
          <w:rtl/>
        </w:rPr>
        <w:t xml:space="preserve">ובדעת </w:t>
      </w:r>
      <w:r w:rsidRPr="007A2FAF">
        <w:rPr>
          <w:rStyle w:val="af9"/>
          <w:rFonts w:hint="cs"/>
          <w:rtl/>
        </w:rPr>
        <w:t>התוס'</w:t>
      </w:r>
      <w:r>
        <w:rPr>
          <w:rFonts w:hint="cs"/>
          <w:rtl/>
        </w:rPr>
        <w:t xml:space="preserve"> </w:t>
      </w:r>
      <w:r w:rsidRPr="00B90002">
        <w:rPr>
          <w:rStyle w:val="af7"/>
          <w:rFonts w:eastAsia="Guttman Hodes" w:hint="cs"/>
          <w:rtl/>
        </w:rPr>
        <w:t xml:space="preserve">(עי' אות </w:t>
      </w:r>
      <w:r w:rsidRPr="00B90002">
        <w:rPr>
          <w:rStyle w:val="af7"/>
          <w:rFonts w:eastAsia="Guttman Hodes"/>
          <w:rtl/>
        </w:rPr>
        <w:fldChar w:fldCharType="begin"/>
      </w:r>
      <w:r w:rsidRPr="00B90002">
        <w:rPr>
          <w:rStyle w:val="af7"/>
          <w:rFonts w:eastAsia="Guttman Hodes"/>
          <w:rtl/>
        </w:rPr>
        <w:instrText xml:space="preserve"> </w:instrText>
      </w:r>
      <w:r w:rsidRPr="00B90002">
        <w:rPr>
          <w:rStyle w:val="af7"/>
          <w:rFonts w:eastAsia="Guttman Hodes" w:hint="cs"/>
        </w:rPr>
        <w:instrText>REF</w:instrText>
      </w:r>
      <w:r w:rsidRPr="00B90002">
        <w:rPr>
          <w:rStyle w:val="af7"/>
          <w:rFonts w:eastAsia="Guttman Hodes" w:hint="cs"/>
          <w:rtl/>
        </w:rPr>
        <w:instrText xml:space="preserve"> _</w:instrText>
      </w:r>
      <w:r w:rsidRPr="00B90002">
        <w:rPr>
          <w:rStyle w:val="af7"/>
          <w:rFonts w:eastAsia="Guttman Hodes" w:hint="cs"/>
        </w:rPr>
        <w:instrText>Ref60656918 \r \h</w:instrText>
      </w:r>
      <w:r w:rsidRPr="00B90002">
        <w:rPr>
          <w:rStyle w:val="af7"/>
          <w:rFonts w:eastAsia="Guttman Hodes"/>
          <w:rtl/>
        </w:rPr>
        <w:instrText xml:space="preserve"> </w:instrText>
      </w:r>
      <w:r w:rsidRPr="00B90002">
        <w:rPr>
          <w:rStyle w:val="af7"/>
          <w:rFonts w:eastAsia="Guttman Hodes"/>
          <w:rtl/>
        </w:rPr>
      </w:r>
      <w:r w:rsidRPr="00B90002">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B90002">
        <w:rPr>
          <w:rStyle w:val="af7"/>
          <w:rFonts w:eastAsia="Guttman Hodes"/>
          <w:rtl/>
        </w:rPr>
        <w:fldChar w:fldCharType="end"/>
      </w:r>
      <w:r>
        <w:rPr>
          <w:rFonts w:hint="cs"/>
          <w:rtl/>
        </w:rPr>
        <w:t xml:space="preserve"> דס"ל דאף במיגו אמרינן טענינן, ביאר </w:t>
      </w:r>
      <w:r w:rsidRPr="007A2FAF">
        <w:rPr>
          <w:rStyle w:val="af9"/>
          <w:rFonts w:hint="cs"/>
          <w:rtl/>
        </w:rPr>
        <w:t>בחי'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נחום</w:t>
      </w:r>
      <w:r>
        <w:rPr>
          <w:rFonts w:hint="cs"/>
          <w:rtl/>
        </w:rPr>
        <w:t xml:space="preserve"> </w:t>
      </w:r>
      <w:r w:rsidRPr="00C1413D">
        <w:rPr>
          <w:rStyle w:val="af7"/>
          <w:rFonts w:eastAsia="Guttman Hodes" w:hint="cs"/>
          <w:rtl/>
        </w:rPr>
        <w:t>(או' ס"ג ד"ה ואולי)</w:t>
      </w:r>
      <w:r>
        <w:rPr>
          <w:rFonts w:hint="cs"/>
          <w:rtl/>
        </w:rPr>
        <w:t xml:space="preserve"> דאף </w:t>
      </w:r>
      <w:r w:rsidRPr="007A2FAF">
        <w:rPr>
          <w:rStyle w:val="af9"/>
          <w:rFonts w:hint="cs"/>
          <w:rtl/>
        </w:rPr>
        <w:t>התוס'</w:t>
      </w:r>
      <w:r>
        <w:rPr>
          <w:rFonts w:hint="cs"/>
          <w:rtl/>
        </w:rPr>
        <w:t xml:space="preserve"> מודו לסברת </w:t>
      </w:r>
      <w:r w:rsidRPr="00C978AE">
        <w:rPr>
          <w:rStyle w:val="af9"/>
          <w:rFonts w:hint="cs"/>
          <w:rtl/>
        </w:rPr>
        <w:t>הרמב"ן</w:t>
      </w:r>
      <w:r>
        <w:rPr>
          <w:rFonts w:hint="cs"/>
          <w:rtl/>
        </w:rPr>
        <w:t xml:space="preserve"> דבמקום שצריך ידיעה ברורה, לא מהני הנאמנות של המיגו, אלא דס"ל </w:t>
      </w:r>
      <w:r w:rsidRPr="00C978AE">
        <w:rPr>
          <w:rStyle w:val="af9"/>
          <w:rFonts w:hint="cs"/>
          <w:rtl/>
        </w:rPr>
        <w:t>להתוס'</w:t>
      </w:r>
      <w:r>
        <w:rPr>
          <w:rFonts w:hint="cs"/>
          <w:rtl/>
        </w:rPr>
        <w:t xml:space="preserve"> דהא דצריך המחזיק להביא עדים דהמוכר דר בה חד יומא, אינו מחמת דין טענינן, אלא הוא חלק מדין החזקה, דהחזקה של הלוקח צריכה להתחיל ע"י המוכר שהחזיק חד יומא, דהחזקה של הלוקח אינה ראיה כלל שהמוכר קנה מהמערער, ורק בצירוף דדר בה המוכר חד יומא, חשיבא החזקה כחזקת המוכר שקנה מהמערער, </w:t>
      </w:r>
      <w:r w:rsidRPr="00E321A9">
        <w:rPr>
          <w:rStyle w:val="afb"/>
          <w:rFonts w:hint="cs"/>
          <w:rtl/>
        </w:rPr>
        <w:t xml:space="preserve">[ועיי"ש במה שהוכיח כן </w:t>
      </w:r>
      <w:r w:rsidRPr="00BA0DA0">
        <w:rPr>
          <w:rStyle w:val="affa"/>
          <w:rFonts w:hint="cs"/>
          <w:rtl/>
        </w:rPr>
        <w:t>בחי' רבי נחום</w:t>
      </w:r>
      <w:r w:rsidRPr="00E321A9">
        <w:rPr>
          <w:rStyle w:val="afb"/>
          <w:rFonts w:hint="cs"/>
          <w:rtl/>
        </w:rPr>
        <w:t xml:space="preserve"> מדברי </w:t>
      </w:r>
      <w:r w:rsidRPr="00BA0DA0">
        <w:rPr>
          <w:rStyle w:val="affa"/>
          <w:rFonts w:hint="cs"/>
          <w:rtl/>
        </w:rPr>
        <w:t>הר"ן לעיל</w:t>
      </w:r>
      <w:r w:rsidRPr="00E321A9">
        <w:rPr>
          <w:rStyle w:val="afb"/>
          <w:rFonts w:hint="cs"/>
          <w:rtl/>
        </w:rPr>
        <w:t xml:space="preserve"> </w:t>
      </w:r>
      <w:r w:rsidRPr="00BA0DA0">
        <w:rPr>
          <w:rStyle w:val="aff6"/>
          <w:rFonts w:hint="cs"/>
          <w:rtl/>
        </w:rPr>
        <w:t>(כט. ד"ה מי)</w:t>
      </w:r>
      <w:r>
        <w:rPr>
          <w:rStyle w:val="afb"/>
          <w:rFonts w:hint="cs"/>
          <w:rtl/>
        </w:rPr>
        <w:t>, וע"ע במ"</w:t>
      </w:r>
      <w:r w:rsidRPr="00ED051E">
        <w:rPr>
          <w:rStyle w:val="afb"/>
          <w:rFonts w:hint="cs"/>
          <w:rtl/>
        </w:rPr>
        <w:t xml:space="preserve">ש </w:t>
      </w:r>
      <w:r w:rsidRPr="00BA0DA0">
        <w:rPr>
          <w:rStyle w:val="affa"/>
          <w:rFonts w:hint="cs"/>
          <w:rtl/>
        </w:rPr>
        <w:t>בחי' רבי נחום לעיל</w:t>
      </w:r>
      <w:r w:rsidRPr="00ED051E">
        <w:rPr>
          <w:rStyle w:val="afb"/>
          <w:rFonts w:hint="cs"/>
          <w:rtl/>
        </w:rPr>
        <w:t xml:space="preserve"> </w:t>
      </w:r>
      <w:r w:rsidRPr="00BA0DA0">
        <w:rPr>
          <w:rStyle w:val="aff6"/>
          <w:rFonts w:hint="cs"/>
          <w:rtl/>
        </w:rPr>
        <w:t>(כט. או' ל"ט)</w:t>
      </w:r>
      <w:r w:rsidRPr="00ED051E">
        <w:rPr>
          <w:rStyle w:val="afb"/>
          <w:rFonts w:hint="cs"/>
          <w:rtl/>
        </w:rPr>
        <w:t>],</w:t>
      </w:r>
      <w:r>
        <w:rPr>
          <w:rFonts w:hint="cs"/>
          <w:rtl/>
        </w:rPr>
        <w:t xml:space="preserve"> וכתב </w:t>
      </w:r>
      <w:r w:rsidRPr="007A2FAF">
        <w:rPr>
          <w:rStyle w:val="af9"/>
          <w:rFonts w:hint="cs"/>
          <w:rtl/>
        </w:rPr>
        <w:t>בחי'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נחום</w:t>
      </w:r>
      <w:r>
        <w:rPr>
          <w:rFonts w:hint="cs"/>
          <w:rtl/>
        </w:rPr>
        <w:t xml:space="preserve"> דא"כ אף שהמיגו אינו מברר לגמרי, מ"מ כיון שהמחזיק טוען טענת ברי, שיש לו חזקה גמורה מכח המוכר, הוא נאמן על זה במיגו. </w:t>
      </w:r>
      <w:r w:rsidRPr="00E321A9">
        <w:rPr>
          <w:rStyle w:val="afb"/>
          <w:rFonts w:hint="cs"/>
          <w:rtl/>
        </w:rPr>
        <w:t xml:space="preserve">[וכתב </w:t>
      </w:r>
      <w:r w:rsidRPr="00EF6542">
        <w:rPr>
          <w:rStyle w:val="affa"/>
          <w:rFonts w:hint="cs"/>
          <w:rtl/>
        </w:rPr>
        <w:t>בחי' רבי נחום דהרמב"ן</w:t>
      </w:r>
      <w:r w:rsidRPr="00E321A9">
        <w:rPr>
          <w:rStyle w:val="afb"/>
          <w:rFonts w:hint="cs"/>
          <w:rtl/>
        </w:rPr>
        <w:t xml:space="preserve"> פליג על סברת </w:t>
      </w:r>
      <w:r w:rsidRPr="00EF6542">
        <w:rPr>
          <w:rStyle w:val="affa"/>
          <w:rFonts w:hint="cs"/>
          <w:rtl/>
        </w:rPr>
        <w:t>הר"ן</w:t>
      </w:r>
      <w:r w:rsidRPr="00E321A9">
        <w:rPr>
          <w:rStyle w:val="afb"/>
          <w:rFonts w:hint="cs"/>
          <w:rtl/>
        </w:rPr>
        <w:t xml:space="preserve">, וכדביאר </w:t>
      </w:r>
      <w:r w:rsidRPr="00EF6542">
        <w:rPr>
          <w:rStyle w:val="affa"/>
          <w:rFonts w:hint="cs"/>
          <w:rtl/>
        </w:rPr>
        <w:t>הרמב"ן לקמן</w:t>
      </w:r>
      <w:r w:rsidRPr="00E321A9">
        <w:rPr>
          <w:rStyle w:val="afb"/>
          <w:rFonts w:hint="cs"/>
          <w:rtl/>
        </w:rPr>
        <w:t xml:space="preserve"> </w:t>
      </w:r>
      <w:r w:rsidRPr="00EF6542">
        <w:rPr>
          <w:rStyle w:val="aff6"/>
          <w:rFonts w:hint="cs"/>
          <w:rtl/>
        </w:rPr>
        <w:t xml:space="preserve">(עי' אות </w:t>
      </w:r>
      <w:r w:rsidRPr="00EF6542">
        <w:rPr>
          <w:rStyle w:val="aff6"/>
          <w:rtl/>
        </w:rPr>
        <w:fldChar w:fldCharType="begin"/>
      </w:r>
      <w:r w:rsidRPr="00EF6542">
        <w:rPr>
          <w:rStyle w:val="aff6"/>
          <w:rtl/>
        </w:rPr>
        <w:instrText xml:space="preserve"> </w:instrText>
      </w:r>
      <w:r w:rsidRPr="00EF6542">
        <w:rPr>
          <w:rStyle w:val="aff6"/>
          <w:rFonts w:hint="cs"/>
        </w:rPr>
        <w:instrText>REF</w:instrText>
      </w:r>
      <w:r w:rsidRPr="00EF6542">
        <w:rPr>
          <w:rStyle w:val="aff6"/>
          <w:rFonts w:hint="cs"/>
          <w:rtl/>
        </w:rPr>
        <w:instrText xml:space="preserve"> _</w:instrText>
      </w:r>
      <w:r w:rsidRPr="00EF6542">
        <w:rPr>
          <w:rStyle w:val="aff6"/>
          <w:rFonts w:hint="cs"/>
        </w:rPr>
        <w:instrText>Ref60133638 \r \h</w:instrText>
      </w:r>
      <w:r w:rsidRPr="00EF6542">
        <w:rPr>
          <w:rStyle w:val="aff6"/>
          <w:rtl/>
        </w:rPr>
        <w:instrText xml:space="preserve"> </w:instrText>
      </w:r>
      <w:r w:rsidRPr="00EF6542">
        <w:rPr>
          <w:rStyle w:val="aff6"/>
          <w:rtl/>
        </w:rPr>
      </w:r>
      <w:r w:rsidRPr="00EF6542">
        <w:rPr>
          <w:rStyle w:val="aff6"/>
          <w:rtl/>
        </w:rPr>
        <w:fldChar w:fldCharType="separate"/>
      </w:r>
      <w:r w:rsidR="00265073">
        <w:rPr>
          <w:rStyle w:val="aff6"/>
          <w:cs/>
        </w:rPr>
        <w:t>‎</w:t>
      </w:r>
      <w:r w:rsidR="00265073">
        <w:rPr>
          <w:rStyle w:val="aff6"/>
          <w:rtl/>
        </w:rPr>
        <w:t>כה)</w:t>
      </w:r>
      <w:r w:rsidRPr="00EF6542">
        <w:rPr>
          <w:rStyle w:val="aff6"/>
          <w:rtl/>
        </w:rPr>
        <w:fldChar w:fldCharType="end"/>
      </w:r>
      <w:r w:rsidRPr="00E321A9">
        <w:rPr>
          <w:rStyle w:val="afb"/>
          <w:rFonts w:hint="cs"/>
          <w:rtl/>
        </w:rPr>
        <w:t xml:space="preserve"> דדין חד יומא הוא כיון דעי"ז יש רגלים לדבר דמכר לו וטענינן ליה, ולכן ל"מ המיגו וצריך ידיעה גמורה].</w:t>
      </w:r>
      <w:bookmarkEnd w:id="11016"/>
    </w:p>
    <w:p w:rsidR="006A4297" w:rsidRPr="00223650" w:rsidRDefault="006A4297" w:rsidP="006A4297">
      <w:pPr>
        <w:pStyle w:val="a3"/>
        <w:rPr>
          <w:rtl/>
        </w:rPr>
      </w:pPr>
      <w:bookmarkStart w:id="11017" w:name="_Toc60678356"/>
      <w:r>
        <w:rPr>
          <w:rFonts w:hint="cs"/>
          <w:rtl/>
        </w:rPr>
        <w:t>דחיית הגרנ"פ דמוכח בתוס' דחד יומא הוא מדין טענינן ואינו מעיקר דין החזקה</w:t>
      </w:r>
      <w:bookmarkEnd w:id="11017"/>
    </w:p>
    <w:p w:rsidR="006A4297" w:rsidRDefault="006A4297" w:rsidP="007E4E81">
      <w:pPr>
        <w:pStyle w:val="a0"/>
        <w:rPr>
          <w:rtl/>
        </w:rPr>
      </w:pPr>
      <w:r>
        <w:rPr>
          <w:rFonts w:hint="cs"/>
          <w:rtl/>
        </w:rPr>
        <w:t xml:space="preserve">אך דחה </w:t>
      </w:r>
      <w:r w:rsidRPr="007A2FAF">
        <w:rPr>
          <w:rStyle w:val="af9"/>
          <w:rFonts w:hint="cs"/>
          <w:rtl/>
        </w:rPr>
        <w:t>בחי'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נחום</w:t>
      </w:r>
      <w:r>
        <w:rPr>
          <w:rFonts w:hint="cs"/>
          <w:rtl/>
        </w:rPr>
        <w:t xml:space="preserve"> דא"א לבאר כן </w:t>
      </w:r>
      <w:r w:rsidRPr="00EF6542">
        <w:rPr>
          <w:rStyle w:val="af9"/>
          <w:rFonts w:hint="cs"/>
          <w:rtl/>
        </w:rPr>
        <w:t>בתוס'</w:t>
      </w:r>
      <w:r>
        <w:rPr>
          <w:rFonts w:hint="cs"/>
          <w:rtl/>
        </w:rPr>
        <w:t xml:space="preserve">, דהא לדעת </w:t>
      </w:r>
      <w:r w:rsidRPr="007A2FAF">
        <w:rPr>
          <w:rStyle w:val="af9"/>
          <w:rFonts w:hint="cs"/>
          <w:rtl/>
        </w:rPr>
        <w:t>התוס'</w:t>
      </w:r>
      <w:r>
        <w:rPr>
          <w:rFonts w:hint="cs"/>
          <w:rtl/>
        </w:rPr>
        <w:t xml:space="preserve"> </w:t>
      </w:r>
      <w:r w:rsidRPr="00EF6542">
        <w:rPr>
          <w:rStyle w:val="af7"/>
          <w:rFonts w:eastAsia="Guttman Hodes" w:hint="cs"/>
          <w:rtl/>
        </w:rPr>
        <w:t xml:space="preserve">(עי' אות </w:t>
      </w:r>
      <w:r w:rsidRPr="00EF6542">
        <w:rPr>
          <w:rStyle w:val="af7"/>
          <w:rFonts w:eastAsia="Guttman Hodes"/>
          <w:rtl/>
        </w:rPr>
        <w:fldChar w:fldCharType="begin"/>
      </w:r>
      <w:r w:rsidRPr="00EF6542">
        <w:rPr>
          <w:rStyle w:val="af7"/>
          <w:rFonts w:eastAsia="Guttman Hodes"/>
          <w:rtl/>
        </w:rPr>
        <w:instrText xml:space="preserve"> </w:instrText>
      </w:r>
      <w:r w:rsidRPr="00EF6542">
        <w:rPr>
          <w:rStyle w:val="af7"/>
          <w:rFonts w:eastAsia="Guttman Hodes" w:hint="cs"/>
        </w:rPr>
        <w:instrText>REF</w:instrText>
      </w:r>
      <w:r w:rsidRPr="00EF6542">
        <w:rPr>
          <w:rStyle w:val="af7"/>
          <w:rFonts w:eastAsia="Guttman Hodes" w:hint="cs"/>
          <w:rtl/>
        </w:rPr>
        <w:instrText xml:space="preserve"> _</w:instrText>
      </w:r>
      <w:r w:rsidRPr="00EF6542">
        <w:rPr>
          <w:rStyle w:val="af7"/>
          <w:rFonts w:eastAsia="Guttman Hodes" w:hint="cs"/>
        </w:rPr>
        <w:instrText>Ref60656918 \r \h</w:instrText>
      </w:r>
      <w:r w:rsidRPr="00EF6542">
        <w:rPr>
          <w:rStyle w:val="af7"/>
          <w:rFonts w:eastAsia="Guttman Hodes"/>
          <w:rtl/>
        </w:rPr>
        <w:instrText xml:space="preserve"> </w:instrText>
      </w:r>
      <w:r w:rsidRPr="00EF6542">
        <w:rPr>
          <w:rStyle w:val="af7"/>
          <w:rFonts w:eastAsia="Guttman Hodes"/>
          <w:rtl/>
        </w:rPr>
      </w:r>
      <w:r w:rsidRPr="00EF6542">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EF6542">
        <w:rPr>
          <w:rStyle w:val="af7"/>
          <w:rFonts w:eastAsia="Guttman Hodes"/>
          <w:rtl/>
        </w:rPr>
        <w:fldChar w:fldCharType="end"/>
      </w:r>
      <w:r>
        <w:rPr>
          <w:rFonts w:hint="cs"/>
          <w:rtl/>
        </w:rPr>
        <w:t xml:space="preserve"> אף באופן שאין עדים למערער, והמחזיק נאמן במיגו דלא הייתה של המערער מעולם, מ"מ טענינן ליה רק בדר בה חד יומא, ומוכח דדין חד יומא אינו מעיקר דין החזקה, דהא כשאין למערער עדים א"צ חזקת ג"ש כלל, וסגי בנאמנות של המיגו, ועיי"ש עוד במה שהקשה </w:t>
      </w:r>
      <w:r w:rsidRPr="007A2FAF">
        <w:rPr>
          <w:rStyle w:val="af9"/>
          <w:rFonts w:hint="cs"/>
          <w:rtl/>
        </w:rPr>
        <w:t>בחי'</w:t>
      </w:r>
      <w:r>
        <w:rPr>
          <w:rFonts w:hint="cs"/>
          <w:rtl/>
        </w:rPr>
        <w:t xml:space="preserve"> </w:t>
      </w:r>
      <w:r w:rsidRPr="007A2FAF">
        <w:rPr>
          <w:rStyle w:val="af9"/>
          <w:rFonts w:hint="cs"/>
          <w:rtl/>
        </w:rPr>
        <w:t>רבי</w:t>
      </w:r>
      <w:r>
        <w:rPr>
          <w:rFonts w:hint="cs"/>
          <w:rtl/>
        </w:rPr>
        <w:t xml:space="preserve"> </w:t>
      </w:r>
      <w:r w:rsidRPr="007A2FAF">
        <w:rPr>
          <w:rStyle w:val="af9"/>
          <w:rFonts w:hint="cs"/>
          <w:rtl/>
        </w:rPr>
        <w:t>נחום</w:t>
      </w:r>
      <w:r>
        <w:rPr>
          <w:rFonts w:hint="cs"/>
          <w:rtl/>
        </w:rPr>
        <w:t xml:space="preserve"> על ביאורו בדעת </w:t>
      </w:r>
      <w:r w:rsidRPr="007A2FAF">
        <w:rPr>
          <w:rStyle w:val="af9"/>
          <w:rFonts w:hint="cs"/>
          <w:rtl/>
        </w:rPr>
        <w:t>הרמב"ן</w:t>
      </w:r>
      <w:r>
        <w:rPr>
          <w:rFonts w:hint="cs"/>
          <w:rtl/>
        </w:rPr>
        <w:t>.</w:t>
      </w:r>
    </w:p>
    <w:p w:rsidR="006A4297" w:rsidRDefault="006A4297" w:rsidP="006A4297">
      <w:pPr>
        <w:pStyle w:val="1"/>
        <w:rPr>
          <w:rtl/>
        </w:rPr>
      </w:pPr>
      <w:bookmarkStart w:id="11018" w:name="_Toc60086884"/>
      <w:bookmarkStart w:id="11019" w:name="_Toc60173452"/>
      <w:bookmarkStart w:id="11020" w:name="_Toc60303805"/>
      <w:bookmarkStart w:id="11021" w:name="_Toc60357085"/>
      <w:bookmarkStart w:id="11022" w:name="_Toc60589232"/>
      <w:bookmarkStart w:id="11023" w:name="_Toc60612687"/>
      <w:bookmarkStart w:id="11024" w:name="_Toc60616545"/>
      <w:bookmarkStart w:id="11025" w:name="_Toc60678357"/>
      <w:r>
        <w:rPr>
          <w:rFonts w:hint="cs"/>
          <w:rtl/>
        </w:rPr>
        <w:t>ביאור הגרנ"פ בפלוגתת הרשב"א בתוס' ור"י</w:t>
      </w:r>
      <w:bookmarkEnd w:id="11018"/>
      <w:bookmarkEnd w:id="11019"/>
      <w:bookmarkEnd w:id="11020"/>
      <w:bookmarkEnd w:id="11021"/>
      <w:bookmarkEnd w:id="11022"/>
      <w:bookmarkEnd w:id="11023"/>
      <w:bookmarkEnd w:id="11024"/>
      <w:bookmarkEnd w:id="11025"/>
    </w:p>
    <w:p w:rsidR="006A4297" w:rsidRDefault="006A4297" w:rsidP="006A4297">
      <w:pPr>
        <w:pStyle w:val="a3"/>
        <w:rPr>
          <w:rtl/>
        </w:rPr>
      </w:pPr>
      <w:bookmarkStart w:id="11026" w:name="_Toc60678358"/>
      <w:r>
        <w:rPr>
          <w:rFonts w:hint="cs"/>
          <w:rtl/>
        </w:rPr>
        <w:t>ביאור הגרנ"פ דהוק' למהרש"א אמאי לא כתבו תוס' דבטענת קמי דידי נח' הרשב"א בתוס' ור"י</w:t>
      </w:r>
      <w:bookmarkEnd w:id="11026"/>
    </w:p>
    <w:p w:rsidR="006A4297" w:rsidRDefault="006A4297" w:rsidP="007E4E81">
      <w:pPr>
        <w:pStyle w:val="a0"/>
        <w:rPr>
          <w:rtl/>
        </w:rPr>
      </w:pPr>
      <w:bookmarkStart w:id="11027" w:name="_Ref60676709"/>
      <w:bookmarkStart w:id="11028" w:name="_Ref60085500"/>
      <w:r>
        <w:rPr>
          <w:rFonts w:hint="cs"/>
          <w:rtl/>
        </w:rPr>
        <w:t xml:space="preserve">במ"ש </w:t>
      </w:r>
      <w:r w:rsidRPr="00670C9F">
        <w:rPr>
          <w:rStyle w:val="af9"/>
          <w:rFonts w:hint="cs"/>
          <w:rtl/>
        </w:rPr>
        <w:t>המהרש"א</w:t>
      </w:r>
      <w:r w:rsidRPr="00017120">
        <w:rPr>
          <w:rStyle w:val="af7"/>
          <w:rFonts w:eastAsia="Guttman Hodes" w:hint="cs"/>
          <w:rtl/>
        </w:rPr>
        <w:t xml:space="preserve"> (עי' אות </w:t>
      </w:r>
      <w:r w:rsidRPr="00017120">
        <w:rPr>
          <w:rStyle w:val="af7"/>
          <w:rFonts w:eastAsia="Guttman Hodes"/>
          <w:rtl/>
        </w:rPr>
        <w:fldChar w:fldCharType="begin"/>
      </w:r>
      <w:r w:rsidRPr="00017120">
        <w:rPr>
          <w:rStyle w:val="af7"/>
          <w:rFonts w:eastAsia="Guttman Hodes"/>
          <w:rtl/>
        </w:rPr>
        <w:instrText xml:space="preserve"> </w:instrText>
      </w:r>
      <w:r w:rsidRPr="00017120">
        <w:rPr>
          <w:rStyle w:val="af7"/>
          <w:rFonts w:eastAsia="Guttman Hodes" w:hint="cs"/>
        </w:rPr>
        <w:instrText>REF</w:instrText>
      </w:r>
      <w:r w:rsidRPr="00017120">
        <w:rPr>
          <w:rStyle w:val="af7"/>
          <w:rFonts w:eastAsia="Guttman Hodes" w:hint="cs"/>
          <w:rtl/>
        </w:rPr>
        <w:instrText xml:space="preserve"> _</w:instrText>
      </w:r>
      <w:r w:rsidRPr="00017120">
        <w:rPr>
          <w:rStyle w:val="af7"/>
          <w:rFonts w:eastAsia="Guttman Hodes" w:hint="cs"/>
        </w:rPr>
        <w:instrText>Ref60641043 \r \h</w:instrText>
      </w:r>
      <w:r w:rsidRPr="00017120">
        <w:rPr>
          <w:rStyle w:val="af7"/>
          <w:rFonts w:eastAsia="Guttman Hodes"/>
          <w:rtl/>
        </w:rPr>
        <w:instrText xml:space="preserve"> </w:instrText>
      </w:r>
      <w:r w:rsidRPr="00017120">
        <w:rPr>
          <w:rStyle w:val="af7"/>
          <w:rFonts w:eastAsia="Guttman Hodes"/>
          <w:rtl/>
        </w:rPr>
      </w:r>
      <w:r w:rsidRPr="00017120">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017120">
        <w:rPr>
          <w:rStyle w:val="af7"/>
          <w:rFonts w:eastAsia="Guttman Hodes"/>
          <w:rtl/>
        </w:rPr>
        <w:fldChar w:fldCharType="end"/>
      </w:r>
      <w:r>
        <w:rPr>
          <w:rFonts w:hint="cs"/>
          <w:rtl/>
        </w:rPr>
        <w:t xml:space="preserve"> דמ"ש </w:t>
      </w:r>
      <w:r w:rsidRPr="00DD45DA">
        <w:rPr>
          <w:rStyle w:val="af9"/>
          <w:rFonts w:hint="cs"/>
          <w:rtl/>
        </w:rPr>
        <w:t>התוס'</w:t>
      </w:r>
      <w:r>
        <w:rPr>
          <w:rFonts w:hint="cs"/>
          <w:rtl/>
        </w:rPr>
        <w:t xml:space="preserve"> </w:t>
      </w:r>
      <w:r w:rsidRPr="00DD45DA">
        <w:rPr>
          <w:rStyle w:val="af9"/>
          <w:rFonts w:hint="cs"/>
          <w:rtl/>
        </w:rPr>
        <w:t>בתחילת דבריהם</w:t>
      </w:r>
      <w:r>
        <w:rPr>
          <w:rFonts w:hint="cs"/>
          <w:rtl/>
        </w:rPr>
        <w:t xml:space="preserve"> </w:t>
      </w:r>
      <w:r w:rsidRPr="005A74AF">
        <w:rPr>
          <w:rStyle w:val="af7"/>
          <w:rFonts w:eastAsia="Guttman Hodes" w:hint="cs"/>
          <w:rtl/>
        </w:rPr>
        <w:t xml:space="preserve">(עי' אות </w:t>
      </w:r>
      <w:r w:rsidRPr="005A74AF">
        <w:rPr>
          <w:rStyle w:val="af7"/>
          <w:rFonts w:eastAsia="Guttman Hodes"/>
          <w:rtl/>
        </w:rPr>
        <w:fldChar w:fldCharType="begin"/>
      </w:r>
      <w:r w:rsidRPr="005A74AF">
        <w:rPr>
          <w:rStyle w:val="af7"/>
          <w:rFonts w:eastAsia="Guttman Hodes"/>
          <w:rtl/>
        </w:rPr>
        <w:instrText xml:space="preserve"> </w:instrText>
      </w:r>
      <w:r w:rsidRPr="005A74AF">
        <w:rPr>
          <w:rStyle w:val="af7"/>
          <w:rFonts w:eastAsia="Guttman Hodes" w:hint="cs"/>
        </w:rPr>
        <w:instrText>REF</w:instrText>
      </w:r>
      <w:r w:rsidRPr="005A74AF">
        <w:rPr>
          <w:rStyle w:val="af7"/>
          <w:rFonts w:eastAsia="Guttman Hodes" w:hint="cs"/>
          <w:rtl/>
        </w:rPr>
        <w:instrText xml:space="preserve"> _</w:instrText>
      </w:r>
      <w:r w:rsidRPr="005A74AF">
        <w:rPr>
          <w:rStyle w:val="af7"/>
          <w:rFonts w:eastAsia="Guttman Hodes" w:hint="cs"/>
        </w:rPr>
        <w:instrText>Ref60243410 \r \h</w:instrText>
      </w:r>
      <w:r w:rsidRPr="005A74AF">
        <w:rPr>
          <w:rStyle w:val="af7"/>
          <w:rFonts w:eastAsia="Guttman Hodes"/>
          <w:rtl/>
        </w:rPr>
        <w:instrText xml:space="preserve"> </w:instrText>
      </w:r>
      <w:r w:rsidRPr="005A74AF">
        <w:rPr>
          <w:rStyle w:val="af7"/>
          <w:rFonts w:eastAsia="Guttman Hodes"/>
          <w:rtl/>
        </w:rPr>
      </w:r>
      <w:r w:rsidRPr="005A74AF">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5A74AF">
        <w:rPr>
          <w:rStyle w:val="af7"/>
          <w:rFonts w:eastAsia="Guttman Hodes"/>
          <w:rtl/>
        </w:rPr>
        <w:fldChar w:fldCharType="end"/>
      </w:r>
      <w:r>
        <w:rPr>
          <w:rFonts w:hint="cs"/>
          <w:rtl/>
        </w:rPr>
        <w:t xml:space="preserve"> דבטוען קמי דידי דר בה חד יומא, אף כשאין למחזיק ג"ש, נאמן </w:t>
      </w:r>
      <w:r>
        <w:rPr>
          <w:rFonts w:hint="cs"/>
          <w:rtl/>
        </w:rPr>
        <w:lastRenderedPageBreak/>
        <w:t xml:space="preserve">במיגו דהיה טוען שלא הייתה של המערער מעולם, היינו רק לדעת </w:t>
      </w:r>
      <w:r w:rsidRPr="00670C9F">
        <w:rPr>
          <w:rStyle w:val="af9"/>
          <w:rFonts w:hint="cs"/>
          <w:rtl/>
        </w:rPr>
        <w:t>הרשב"א בתוס'</w:t>
      </w:r>
      <w:r>
        <w:rPr>
          <w:rFonts w:hint="cs"/>
          <w:rtl/>
        </w:rPr>
        <w:t xml:space="preserve"> </w:t>
      </w:r>
      <w:r w:rsidRPr="00BF4415">
        <w:rPr>
          <w:rStyle w:val="af7"/>
          <w:rFonts w:eastAsia="Guttman Hodes" w:hint="cs"/>
          <w:rtl/>
        </w:rPr>
        <w:t xml:space="preserve">(עי' אות </w:t>
      </w:r>
      <w:r w:rsidRPr="00BF4415">
        <w:rPr>
          <w:rStyle w:val="af7"/>
          <w:rFonts w:eastAsia="Guttman Hodes"/>
          <w:rtl/>
        </w:rPr>
        <w:fldChar w:fldCharType="begin"/>
      </w:r>
      <w:r w:rsidRPr="00BF4415">
        <w:rPr>
          <w:rStyle w:val="af7"/>
          <w:rFonts w:eastAsia="Guttman Hodes"/>
          <w:rtl/>
        </w:rPr>
        <w:instrText xml:space="preserve"> </w:instrText>
      </w:r>
      <w:r w:rsidRPr="00BF4415">
        <w:rPr>
          <w:rStyle w:val="af7"/>
          <w:rFonts w:eastAsia="Guttman Hodes" w:hint="cs"/>
        </w:rPr>
        <w:instrText>REF</w:instrText>
      </w:r>
      <w:r w:rsidRPr="00BF4415">
        <w:rPr>
          <w:rStyle w:val="af7"/>
          <w:rFonts w:eastAsia="Guttman Hodes" w:hint="cs"/>
          <w:rtl/>
        </w:rPr>
        <w:instrText xml:space="preserve"> _</w:instrText>
      </w:r>
      <w:r w:rsidRPr="00BF4415">
        <w:rPr>
          <w:rStyle w:val="af7"/>
          <w:rFonts w:eastAsia="Guttman Hodes" w:hint="cs"/>
        </w:rPr>
        <w:instrText>Ref58148074 \r \h</w:instrText>
      </w:r>
      <w:r w:rsidRPr="00BF4415">
        <w:rPr>
          <w:rStyle w:val="af7"/>
          <w:rFonts w:eastAsia="Guttman Hodes"/>
          <w:rtl/>
        </w:rPr>
        <w:instrText xml:space="preserve"> </w:instrText>
      </w:r>
      <w:r w:rsidRPr="00BF4415">
        <w:rPr>
          <w:rStyle w:val="af7"/>
          <w:rFonts w:eastAsia="Guttman Hodes"/>
          <w:rtl/>
        </w:rPr>
      </w:r>
      <w:r w:rsidRPr="00BF4415">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BF4415">
        <w:rPr>
          <w:rStyle w:val="af7"/>
          <w:rFonts w:eastAsia="Guttman Hodes"/>
          <w:rtl/>
        </w:rPr>
        <w:fldChar w:fldCharType="end"/>
      </w:r>
      <w:r>
        <w:rPr>
          <w:rFonts w:hint="cs"/>
          <w:rtl/>
        </w:rPr>
        <w:t xml:space="preserve"> ולא לדעת </w:t>
      </w:r>
      <w:r w:rsidRPr="00670C9F">
        <w:rPr>
          <w:rStyle w:val="af9"/>
          <w:rFonts w:hint="cs"/>
          <w:rtl/>
        </w:rPr>
        <w:t>ר"י</w:t>
      </w:r>
      <w:r>
        <w:rPr>
          <w:rFonts w:hint="cs"/>
          <w:rtl/>
        </w:rPr>
        <w:t xml:space="preserve"> </w:t>
      </w:r>
      <w:r w:rsidRPr="00017120">
        <w:rPr>
          <w:rStyle w:val="af7"/>
          <w:rFonts w:eastAsia="Guttman Hodes" w:hint="cs"/>
          <w:rtl/>
        </w:rPr>
        <w:t xml:space="preserve">(עי' אות </w:t>
      </w:r>
      <w:r w:rsidRPr="00017120">
        <w:rPr>
          <w:rStyle w:val="af7"/>
          <w:rFonts w:eastAsia="Guttman Hodes"/>
          <w:rtl/>
        </w:rPr>
        <w:fldChar w:fldCharType="begin"/>
      </w:r>
      <w:r w:rsidRPr="00017120">
        <w:rPr>
          <w:rStyle w:val="af7"/>
          <w:rFonts w:eastAsia="Guttman Hodes"/>
          <w:rtl/>
        </w:rPr>
        <w:instrText xml:space="preserve"> </w:instrText>
      </w:r>
      <w:r w:rsidRPr="00017120">
        <w:rPr>
          <w:rStyle w:val="af7"/>
          <w:rFonts w:eastAsia="Guttman Hodes" w:hint="cs"/>
        </w:rPr>
        <w:instrText>REF</w:instrText>
      </w:r>
      <w:r w:rsidRPr="00017120">
        <w:rPr>
          <w:rStyle w:val="af7"/>
          <w:rFonts w:eastAsia="Guttman Hodes" w:hint="cs"/>
          <w:rtl/>
        </w:rPr>
        <w:instrText xml:space="preserve"> _</w:instrText>
      </w:r>
      <w:r w:rsidRPr="00017120">
        <w:rPr>
          <w:rStyle w:val="af7"/>
          <w:rFonts w:eastAsia="Guttman Hodes" w:hint="cs"/>
        </w:rPr>
        <w:instrText>Ref60640954 \r \h</w:instrText>
      </w:r>
      <w:r w:rsidRPr="00017120">
        <w:rPr>
          <w:rStyle w:val="af7"/>
          <w:rFonts w:eastAsia="Guttman Hodes"/>
          <w:rtl/>
        </w:rPr>
        <w:instrText xml:space="preserve"> </w:instrText>
      </w:r>
      <w:r w:rsidRPr="00017120">
        <w:rPr>
          <w:rStyle w:val="af7"/>
          <w:rFonts w:eastAsia="Guttman Hodes"/>
          <w:rtl/>
        </w:rPr>
      </w:r>
      <w:r w:rsidRPr="00017120">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017120">
        <w:rPr>
          <w:rStyle w:val="af7"/>
          <w:rFonts w:eastAsia="Guttman Hodes"/>
          <w:rtl/>
        </w:rPr>
        <w:fldChar w:fldCharType="end"/>
      </w:r>
      <w:r>
        <w:rPr>
          <w:rFonts w:hint="cs"/>
          <w:rtl/>
        </w:rPr>
        <w:t xml:space="preserve">, כתב </w:t>
      </w:r>
      <w:r w:rsidRPr="0048652A">
        <w:rPr>
          <w:rStyle w:val="af9"/>
          <w:rFonts w:hint="cs"/>
          <w:rtl/>
        </w:rPr>
        <w:t>בחי'</w:t>
      </w:r>
      <w:r>
        <w:rPr>
          <w:rFonts w:hint="cs"/>
          <w:rtl/>
        </w:rPr>
        <w:t xml:space="preserve"> </w:t>
      </w:r>
      <w:r w:rsidRPr="0048652A">
        <w:rPr>
          <w:rStyle w:val="af9"/>
          <w:rFonts w:hint="cs"/>
          <w:rtl/>
        </w:rPr>
        <w:t>רבי</w:t>
      </w:r>
      <w:r>
        <w:rPr>
          <w:rFonts w:hint="cs"/>
          <w:rtl/>
        </w:rPr>
        <w:t xml:space="preserve"> </w:t>
      </w:r>
      <w:r w:rsidRPr="0048652A">
        <w:rPr>
          <w:rStyle w:val="af9"/>
          <w:rFonts w:hint="cs"/>
          <w:rtl/>
        </w:rPr>
        <w:t>נחום</w:t>
      </w:r>
      <w:r>
        <w:rPr>
          <w:rFonts w:hint="cs"/>
          <w:rtl/>
        </w:rPr>
        <w:t xml:space="preserve"> </w:t>
      </w:r>
      <w:r w:rsidRPr="00D61F64">
        <w:rPr>
          <w:rStyle w:val="af7"/>
          <w:rFonts w:eastAsia="Guttman Hodes" w:hint="cs"/>
          <w:rtl/>
        </w:rPr>
        <w:t>(או' ס"ט ד"ה ובעובדא)</w:t>
      </w:r>
      <w:r>
        <w:rPr>
          <w:rFonts w:hint="cs"/>
          <w:rtl/>
        </w:rPr>
        <w:t xml:space="preserve"> דכוונת </w:t>
      </w:r>
      <w:r w:rsidRPr="0048652A">
        <w:rPr>
          <w:rStyle w:val="af9"/>
          <w:rFonts w:hint="cs"/>
          <w:rtl/>
        </w:rPr>
        <w:t>המהרש"א</w:t>
      </w:r>
      <w:r>
        <w:rPr>
          <w:rFonts w:hint="cs"/>
          <w:rtl/>
        </w:rPr>
        <w:t xml:space="preserve"> להקשות אמאי כתבו </w:t>
      </w:r>
      <w:r w:rsidRPr="0048652A">
        <w:rPr>
          <w:rStyle w:val="af9"/>
          <w:rFonts w:hint="cs"/>
          <w:rtl/>
        </w:rPr>
        <w:t>התוס'</w:t>
      </w:r>
      <w:r>
        <w:rPr>
          <w:rFonts w:hint="cs"/>
          <w:rtl/>
        </w:rPr>
        <w:t xml:space="preserve"> כן בתחילת דבריהם בפשיטות, ולא כתבו דהוא תלוי </w:t>
      </w:r>
      <w:r w:rsidRPr="0048652A">
        <w:rPr>
          <w:rStyle w:val="af9"/>
          <w:rFonts w:hint="cs"/>
          <w:rtl/>
        </w:rPr>
        <w:t>ברשב"א</w:t>
      </w:r>
      <w:r>
        <w:rPr>
          <w:rFonts w:hint="cs"/>
          <w:rtl/>
        </w:rPr>
        <w:t xml:space="preserve"> </w:t>
      </w:r>
      <w:r w:rsidRPr="0048652A">
        <w:rPr>
          <w:rStyle w:val="af9"/>
          <w:rFonts w:hint="cs"/>
          <w:rtl/>
        </w:rPr>
        <w:t>בתוס' ובר"י</w:t>
      </w:r>
      <w:r>
        <w:rPr>
          <w:rFonts w:hint="cs"/>
          <w:rtl/>
        </w:rPr>
        <w:t>.</w:t>
      </w:r>
      <w:bookmarkEnd w:id="11027"/>
    </w:p>
    <w:p w:rsidR="006A4297" w:rsidRPr="00DE0D7C" w:rsidRDefault="006A4297" w:rsidP="006A4297">
      <w:pPr>
        <w:pStyle w:val="a3"/>
      </w:pPr>
      <w:bookmarkStart w:id="11029" w:name="_Toc60678359"/>
      <w:r>
        <w:rPr>
          <w:rFonts w:hint="cs"/>
          <w:rtl/>
        </w:rPr>
        <w:t>ביאור הגרנ"פ דמודה ר"י באופן שלא הודה המחזיק בתחילה ויש עידי חד יומא דטענינן במיגו</w:t>
      </w:r>
      <w:bookmarkEnd w:id="11029"/>
    </w:p>
    <w:p w:rsidR="006A4297" w:rsidRDefault="006A4297" w:rsidP="007E4E81">
      <w:pPr>
        <w:pStyle w:val="a0"/>
        <w:rPr>
          <w:rtl/>
        </w:rPr>
      </w:pPr>
      <w:bookmarkStart w:id="11030" w:name="_Ref60676915"/>
      <w:r>
        <w:rPr>
          <w:rFonts w:hint="cs"/>
          <w:rtl/>
        </w:rPr>
        <w:t xml:space="preserve">וכתב </w:t>
      </w:r>
      <w:r w:rsidRPr="0048652A">
        <w:rPr>
          <w:rStyle w:val="af9"/>
          <w:rFonts w:hint="cs"/>
          <w:rtl/>
        </w:rPr>
        <w:t>בחי' רבי נחום</w:t>
      </w:r>
      <w:r>
        <w:rPr>
          <w:rFonts w:hint="cs"/>
          <w:rtl/>
        </w:rPr>
        <w:t xml:space="preserve"> </w:t>
      </w:r>
      <w:r w:rsidRPr="00D61F64">
        <w:rPr>
          <w:rStyle w:val="af7"/>
          <w:rFonts w:eastAsia="Guttman Hodes" w:hint="cs"/>
          <w:rtl/>
        </w:rPr>
        <w:t>(או' ס"ט ד"ה ומהלך)</w:t>
      </w:r>
      <w:r>
        <w:rPr>
          <w:rFonts w:hint="cs"/>
          <w:rtl/>
        </w:rPr>
        <w:t xml:space="preserve"> דאפשר לבאר דבאמת </w:t>
      </w:r>
      <w:r w:rsidRPr="0048652A">
        <w:rPr>
          <w:rStyle w:val="af9"/>
          <w:rFonts w:hint="cs"/>
          <w:rtl/>
        </w:rPr>
        <w:t>ר"י</w:t>
      </w:r>
      <w:r>
        <w:rPr>
          <w:rFonts w:hint="cs"/>
          <w:rtl/>
        </w:rPr>
        <w:t xml:space="preserve"> לא פליג על עיקר דברי </w:t>
      </w:r>
      <w:r w:rsidRPr="0048652A">
        <w:rPr>
          <w:rStyle w:val="af9"/>
          <w:rFonts w:hint="cs"/>
          <w:rtl/>
        </w:rPr>
        <w:t>הרשב"א בתוס'</w:t>
      </w:r>
      <w:r>
        <w:rPr>
          <w:rFonts w:hint="cs"/>
          <w:rtl/>
        </w:rPr>
        <w:t xml:space="preserve"> דכל שהמוכר נאמן במיגו, אף המחזיק נאמן, אלא דס"ל </w:t>
      </w:r>
      <w:r w:rsidRPr="0048652A">
        <w:rPr>
          <w:rStyle w:val="af9"/>
          <w:rFonts w:hint="cs"/>
          <w:rtl/>
        </w:rPr>
        <w:t>לר"י</w:t>
      </w:r>
      <w:r>
        <w:rPr>
          <w:rFonts w:hint="cs"/>
          <w:rtl/>
        </w:rPr>
        <w:t xml:space="preserve"> דבאופן שהמחזיק הודה בתחילה שהקרקע הייתה של המערער, אין לו מיגו כיון ש</w:t>
      </w:r>
      <w:r w:rsidRPr="000E0A94">
        <w:rPr>
          <w:rtl/>
        </w:rPr>
        <w:t>אם היה המוכר טוען שלא הייתה שלו מעולם, לא היה הלוקח מחזיק בקרקע,</w:t>
      </w:r>
      <w:r>
        <w:rPr>
          <w:rFonts w:hint="cs"/>
          <w:rtl/>
        </w:rPr>
        <w:t xml:space="preserve"> אבל כשבתחילה לא הודה המחזיק, ויש לו עדים דדר בה חד יומא, אף </w:t>
      </w:r>
      <w:r w:rsidRPr="0048652A">
        <w:rPr>
          <w:rStyle w:val="af9"/>
          <w:rFonts w:hint="cs"/>
          <w:rtl/>
        </w:rPr>
        <w:t>ר"י</w:t>
      </w:r>
      <w:r>
        <w:rPr>
          <w:rFonts w:hint="cs"/>
          <w:rtl/>
        </w:rPr>
        <w:t xml:space="preserve"> מודה דטענינן כיון שעדיין יש לו מיגו דהיה יכול לטעון שלא הייתה של המערער מעולם, דהמיגו מועיל גם למחזיק עצמו, וכ"כ </w:t>
      </w:r>
      <w:r w:rsidRPr="000E2E57">
        <w:rPr>
          <w:rStyle w:val="af9"/>
          <w:rFonts w:hint="cs"/>
          <w:rtl/>
        </w:rPr>
        <w:t>בחי' רבי ראובן</w:t>
      </w:r>
      <w:r>
        <w:rPr>
          <w:rFonts w:hint="cs"/>
          <w:rtl/>
        </w:rPr>
        <w:t xml:space="preserve"> </w:t>
      </w:r>
      <w:r w:rsidRPr="000E2E57">
        <w:rPr>
          <w:rStyle w:val="af7"/>
          <w:rFonts w:eastAsia="Guttman Hodes" w:hint="cs"/>
          <w:rtl/>
        </w:rPr>
        <w:t xml:space="preserve">(עי' אות </w:t>
      </w:r>
      <w:r w:rsidRPr="000E2E57">
        <w:rPr>
          <w:rStyle w:val="af7"/>
          <w:rFonts w:eastAsia="Guttman Hodes"/>
          <w:rtl/>
        </w:rPr>
        <w:fldChar w:fldCharType="begin"/>
      </w:r>
      <w:r w:rsidRPr="000E2E57">
        <w:rPr>
          <w:rStyle w:val="af7"/>
          <w:rFonts w:eastAsia="Guttman Hodes"/>
          <w:rtl/>
        </w:rPr>
        <w:instrText xml:space="preserve"> </w:instrText>
      </w:r>
      <w:r w:rsidRPr="000E2E57">
        <w:rPr>
          <w:rStyle w:val="af7"/>
          <w:rFonts w:eastAsia="Guttman Hodes" w:hint="cs"/>
        </w:rPr>
        <w:instrText>REF</w:instrText>
      </w:r>
      <w:r w:rsidRPr="000E2E57">
        <w:rPr>
          <w:rStyle w:val="af7"/>
          <w:rFonts w:eastAsia="Guttman Hodes" w:hint="cs"/>
          <w:rtl/>
        </w:rPr>
        <w:instrText xml:space="preserve"> _</w:instrText>
      </w:r>
      <w:r w:rsidRPr="000E2E57">
        <w:rPr>
          <w:rStyle w:val="af7"/>
          <w:rFonts w:eastAsia="Guttman Hodes" w:hint="cs"/>
        </w:rPr>
        <w:instrText>Ref60676886 \r \h</w:instrText>
      </w:r>
      <w:r w:rsidRPr="000E2E57">
        <w:rPr>
          <w:rStyle w:val="af7"/>
          <w:rFonts w:eastAsia="Guttman Hodes"/>
          <w:rtl/>
        </w:rPr>
        <w:instrText xml:space="preserve"> </w:instrText>
      </w:r>
      <w:r w:rsidRPr="000E2E57">
        <w:rPr>
          <w:rStyle w:val="af7"/>
          <w:rFonts w:eastAsia="Guttman Hodes"/>
          <w:rtl/>
        </w:rPr>
      </w:r>
      <w:r w:rsidRPr="000E2E57">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sidRPr="000E2E57">
        <w:rPr>
          <w:rStyle w:val="af7"/>
          <w:rFonts w:eastAsia="Guttman Hodes"/>
          <w:rtl/>
        </w:rPr>
        <w:fldChar w:fldCharType="end"/>
      </w:r>
      <w:r>
        <w:rPr>
          <w:rFonts w:hint="cs"/>
          <w:rtl/>
        </w:rPr>
        <w:t>.</w:t>
      </w:r>
      <w:bookmarkEnd w:id="11028"/>
      <w:bookmarkEnd w:id="11030"/>
    </w:p>
    <w:p w:rsidR="006A4297" w:rsidRPr="00D9214F" w:rsidRDefault="006A4297" w:rsidP="006A4297">
      <w:pPr>
        <w:pStyle w:val="a3"/>
        <w:rPr>
          <w:rtl/>
        </w:rPr>
      </w:pPr>
      <w:bookmarkStart w:id="11031" w:name="_Toc60678360"/>
      <w:r>
        <w:rPr>
          <w:rFonts w:hint="cs"/>
          <w:rtl/>
        </w:rPr>
        <w:t>בי' הגרנ"פ דבתחילת התוס' איירי כשלא הודה מתחילה ומודה ר"י בזה ולכן כתבו תוס' בסתמא</w:t>
      </w:r>
      <w:bookmarkEnd w:id="11031"/>
    </w:p>
    <w:p w:rsidR="006A4297" w:rsidRDefault="006A4297" w:rsidP="007E4E81">
      <w:pPr>
        <w:pStyle w:val="a0"/>
        <w:rPr>
          <w:rtl/>
        </w:rPr>
      </w:pPr>
      <w:r>
        <w:rPr>
          <w:rFonts w:hint="cs"/>
          <w:rtl/>
        </w:rPr>
        <w:t xml:space="preserve">וכתב </w:t>
      </w:r>
      <w:r w:rsidRPr="0048652A">
        <w:rPr>
          <w:rStyle w:val="af9"/>
          <w:rFonts w:hint="cs"/>
          <w:rtl/>
        </w:rPr>
        <w:t>בחי' רבי נחום</w:t>
      </w:r>
      <w:r>
        <w:rPr>
          <w:rFonts w:hint="cs"/>
          <w:rtl/>
        </w:rPr>
        <w:t xml:space="preserve"> דא"כ מיושבת קושית </w:t>
      </w:r>
      <w:r w:rsidRPr="0048652A">
        <w:rPr>
          <w:rStyle w:val="af9"/>
          <w:rFonts w:hint="cs"/>
          <w:rtl/>
        </w:rPr>
        <w:t>המהרש"א</w:t>
      </w:r>
      <w:r>
        <w:rPr>
          <w:rFonts w:hint="cs"/>
          <w:rtl/>
        </w:rPr>
        <w:t xml:space="preserve"> </w:t>
      </w:r>
      <w:r w:rsidRPr="000E2E57">
        <w:rPr>
          <w:rStyle w:val="af7"/>
          <w:rFonts w:eastAsia="Guttman Hodes" w:hint="cs"/>
          <w:rtl/>
        </w:rPr>
        <w:t xml:space="preserve">(עי' אות </w:t>
      </w:r>
      <w:r w:rsidRPr="000E2E57">
        <w:rPr>
          <w:rStyle w:val="af7"/>
          <w:rFonts w:eastAsia="Guttman Hodes"/>
          <w:rtl/>
        </w:rPr>
        <w:fldChar w:fldCharType="begin"/>
      </w:r>
      <w:r w:rsidRPr="000E2E57">
        <w:rPr>
          <w:rStyle w:val="af7"/>
          <w:rFonts w:eastAsia="Guttman Hodes"/>
          <w:rtl/>
        </w:rPr>
        <w:instrText xml:space="preserve"> </w:instrText>
      </w:r>
      <w:r w:rsidRPr="000E2E57">
        <w:rPr>
          <w:rStyle w:val="af7"/>
          <w:rFonts w:eastAsia="Guttman Hodes" w:hint="cs"/>
        </w:rPr>
        <w:instrText>REF</w:instrText>
      </w:r>
      <w:r w:rsidRPr="000E2E57">
        <w:rPr>
          <w:rStyle w:val="af7"/>
          <w:rFonts w:eastAsia="Guttman Hodes" w:hint="cs"/>
          <w:rtl/>
        </w:rPr>
        <w:instrText xml:space="preserve"> _</w:instrText>
      </w:r>
      <w:r w:rsidRPr="000E2E57">
        <w:rPr>
          <w:rStyle w:val="af7"/>
          <w:rFonts w:eastAsia="Guttman Hodes" w:hint="cs"/>
        </w:rPr>
        <w:instrText>Ref60085500 \r \h</w:instrText>
      </w:r>
      <w:r w:rsidRPr="000E2E57">
        <w:rPr>
          <w:rStyle w:val="af7"/>
          <w:rFonts w:eastAsia="Guttman Hodes"/>
          <w:rtl/>
        </w:rPr>
        <w:instrText xml:space="preserve"> </w:instrText>
      </w:r>
      <w:r w:rsidRPr="000E2E57">
        <w:rPr>
          <w:rStyle w:val="af7"/>
          <w:rFonts w:eastAsia="Guttman Hodes"/>
          <w:rtl/>
        </w:rPr>
      </w:r>
      <w:r w:rsidRPr="000E2E57">
        <w:rPr>
          <w:rStyle w:val="af7"/>
          <w:rFonts w:eastAsia="Guttman Hodes"/>
          <w:rtl/>
        </w:rPr>
        <w:fldChar w:fldCharType="separate"/>
      </w:r>
      <w:r w:rsidR="00265073">
        <w:rPr>
          <w:rStyle w:val="af7"/>
          <w:rFonts w:eastAsia="Guttman Hodes"/>
          <w:cs/>
        </w:rPr>
        <w:t>‎</w:t>
      </w:r>
      <w:r w:rsidR="00265073">
        <w:rPr>
          <w:rStyle w:val="af7"/>
          <w:rFonts w:eastAsia="Guttman Hodes"/>
          <w:rtl/>
        </w:rPr>
        <w:t>קכד)</w:t>
      </w:r>
      <w:r w:rsidRPr="000E2E57">
        <w:rPr>
          <w:rStyle w:val="af7"/>
          <w:rFonts w:eastAsia="Guttman Hodes"/>
          <w:rtl/>
        </w:rPr>
        <w:fldChar w:fldCharType="end"/>
      </w:r>
      <w:r w:rsidRPr="000E2E57">
        <w:rPr>
          <w:rStyle w:val="af7"/>
          <w:rFonts w:eastAsia="Guttman Hodes" w:hint="cs"/>
          <w:rtl/>
        </w:rPr>
        <w:t xml:space="preserve"> </w:t>
      </w:r>
      <w:r>
        <w:rPr>
          <w:rFonts w:hint="cs"/>
          <w:rtl/>
        </w:rPr>
        <w:t xml:space="preserve">דכיון דבתחילת דברי </w:t>
      </w:r>
      <w:r w:rsidRPr="0048652A">
        <w:rPr>
          <w:rStyle w:val="af9"/>
          <w:rFonts w:hint="cs"/>
          <w:rtl/>
        </w:rPr>
        <w:t>התוס'</w:t>
      </w:r>
      <w:r>
        <w:rPr>
          <w:rFonts w:hint="cs"/>
          <w:rtl/>
        </w:rPr>
        <w:t xml:space="preserve"> איירי באופן שטען המחזיק בתחילה </w:t>
      </w:r>
      <w:r>
        <w:rPr>
          <w:rFonts w:hint="cs"/>
          <w:rtl/>
        </w:rPr>
        <w:t xml:space="preserve">דהמוכר דר בה חד יומא, א"כ יש לו מיגו, ואף לדעת </w:t>
      </w:r>
      <w:r w:rsidRPr="0048652A">
        <w:rPr>
          <w:rStyle w:val="af9"/>
          <w:rFonts w:hint="cs"/>
          <w:rtl/>
        </w:rPr>
        <w:t>ר"י</w:t>
      </w:r>
      <w:r>
        <w:rPr>
          <w:rFonts w:hint="cs"/>
          <w:rtl/>
        </w:rPr>
        <w:t xml:space="preserve"> טענינן ליה, ורק בסוף דברי</w:t>
      </w:r>
      <w:r w:rsidRPr="0048652A">
        <w:rPr>
          <w:rStyle w:val="af9"/>
          <w:rFonts w:hint="cs"/>
          <w:rtl/>
        </w:rPr>
        <w:t xml:space="preserve"> התוס'</w:t>
      </w:r>
      <w:r>
        <w:rPr>
          <w:rFonts w:hint="cs"/>
          <w:rtl/>
        </w:rPr>
        <w:t xml:space="preserve"> דאיירי שבתחילה הודה המחזיק שהייתה של המערער, א"כ למחזיק עצמו אין מיגו, וכ"מ דאפש"ל טענינן הוא דהמיגו של המוכר יועיל למחזיק, ובזה ס"ל </w:t>
      </w:r>
      <w:r w:rsidRPr="0048652A">
        <w:rPr>
          <w:rStyle w:val="af9"/>
          <w:rFonts w:hint="cs"/>
          <w:rtl/>
        </w:rPr>
        <w:t>לר"</w:t>
      </w:r>
      <w:r>
        <w:rPr>
          <w:rFonts w:hint="cs"/>
          <w:rtl/>
        </w:rPr>
        <w:t>י דלא מהני המיגו של המוכר.</w:t>
      </w:r>
    </w:p>
    <w:p w:rsidR="006A4297" w:rsidRDefault="006A4297" w:rsidP="006A4297">
      <w:pPr>
        <w:pStyle w:val="a3"/>
        <w:rPr>
          <w:rtl/>
        </w:rPr>
      </w:pPr>
      <w:bookmarkStart w:id="11032" w:name="_Toc60678361"/>
      <w:r>
        <w:rPr>
          <w:rFonts w:hint="cs"/>
          <w:rtl/>
        </w:rPr>
        <w:t>דברי הגרנ"פ דמוכח במרדכי דר"י פליג על הרשב"א בתוס' רק כשהודה מתחילה דאין לו מיגו</w:t>
      </w:r>
      <w:bookmarkEnd w:id="11032"/>
    </w:p>
    <w:p w:rsidR="006A4297" w:rsidRDefault="006A4297" w:rsidP="007E4E81">
      <w:pPr>
        <w:pStyle w:val="a0"/>
        <w:rPr>
          <w:rtl/>
        </w:rPr>
      </w:pPr>
      <w:r>
        <w:rPr>
          <w:rFonts w:hint="cs"/>
          <w:rtl/>
        </w:rPr>
        <w:t xml:space="preserve">והוסיף </w:t>
      </w:r>
      <w:r w:rsidRPr="0048652A">
        <w:rPr>
          <w:rStyle w:val="af9"/>
          <w:rFonts w:hint="cs"/>
          <w:rtl/>
        </w:rPr>
        <w:t>בחי' רבי נחום</w:t>
      </w:r>
      <w:r>
        <w:rPr>
          <w:rFonts w:hint="cs"/>
          <w:rtl/>
        </w:rPr>
        <w:t xml:space="preserve"> דכן מבואר בדברי </w:t>
      </w:r>
      <w:r w:rsidRPr="0048652A">
        <w:rPr>
          <w:rStyle w:val="af9"/>
          <w:rFonts w:hint="cs"/>
          <w:rtl/>
        </w:rPr>
        <w:t>המרדכי</w:t>
      </w:r>
      <w:r>
        <w:rPr>
          <w:rFonts w:hint="cs"/>
          <w:rtl/>
        </w:rPr>
        <w:t xml:space="preserve"> </w:t>
      </w:r>
      <w:r>
        <w:rPr>
          <w:rStyle w:val="af7"/>
          <w:rFonts w:eastAsia="Guttman Hodes" w:hint="cs"/>
          <w:rtl/>
        </w:rPr>
        <w:t>(</w:t>
      </w:r>
      <w:r w:rsidRPr="00231220">
        <w:rPr>
          <w:rStyle w:val="af7"/>
          <w:rFonts w:eastAsia="Guttman Hodes" w:hint="cs"/>
          <w:rtl/>
        </w:rPr>
        <w:t xml:space="preserve">רמז תקכ"ג) </w:t>
      </w:r>
      <w:r>
        <w:rPr>
          <w:rFonts w:hint="cs"/>
          <w:rtl/>
        </w:rPr>
        <w:t xml:space="preserve">דהביא בשם </w:t>
      </w:r>
      <w:r w:rsidRPr="0048652A">
        <w:rPr>
          <w:rStyle w:val="af9"/>
          <w:rFonts w:hint="cs"/>
          <w:rtl/>
        </w:rPr>
        <w:t>ר"י</w:t>
      </w:r>
      <w:r>
        <w:rPr>
          <w:rFonts w:hint="cs"/>
          <w:rtl/>
        </w:rPr>
        <w:t xml:space="preserve"> דבטען המחזיק בתחילה דדר בה חד יומא נאמן, ומוכח </w:t>
      </w:r>
      <w:r w:rsidRPr="00BA67C7">
        <w:rPr>
          <w:rStyle w:val="af9"/>
          <w:rFonts w:hint="cs"/>
          <w:rtl/>
        </w:rPr>
        <w:t>דר"י</w:t>
      </w:r>
      <w:r>
        <w:rPr>
          <w:rFonts w:hint="cs"/>
          <w:rtl/>
        </w:rPr>
        <w:t xml:space="preserve"> מודה לעיקר הדין דיש טענינן אף במיגו, ונחלק על </w:t>
      </w:r>
      <w:r w:rsidRPr="00BA67C7">
        <w:rPr>
          <w:rStyle w:val="af9"/>
          <w:rFonts w:hint="cs"/>
          <w:rtl/>
        </w:rPr>
        <w:t>הרשב"א בתוס'</w:t>
      </w:r>
      <w:r>
        <w:rPr>
          <w:rFonts w:hint="cs"/>
          <w:rtl/>
        </w:rPr>
        <w:t xml:space="preserve"> רק באופן שהודה מתחילה שאין למחזיק עצמו מיגו.</w:t>
      </w:r>
    </w:p>
    <w:p w:rsidR="006A4297" w:rsidRPr="00C96C18" w:rsidRDefault="006A4297" w:rsidP="006A4297">
      <w:pPr>
        <w:pStyle w:val="a3"/>
        <w:rPr>
          <w:rtl/>
        </w:rPr>
      </w:pPr>
      <w:bookmarkStart w:id="11033" w:name="_Toc60678362"/>
      <w:r>
        <w:rPr>
          <w:rFonts w:hint="cs"/>
          <w:rtl/>
        </w:rPr>
        <w:t>דברי הגרנ"פ דבטור משמע כמהרש"א דלרשב"ם ור"י אין דין טענינן אף כשלא הודה מתחילה</w:t>
      </w:r>
      <w:bookmarkEnd w:id="11033"/>
    </w:p>
    <w:p w:rsidR="006A4297" w:rsidRDefault="006A4297" w:rsidP="007E4E81">
      <w:pPr>
        <w:pStyle w:val="a0"/>
        <w:rPr>
          <w:rtl/>
        </w:rPr>
        <w:sectPr w:rsidR="006A4297" w:rsidSect="005049E2">
          <w:footerReference w:type="default" r:id="rId89"/>
          <w:type w:val="continuous"/>
          <w:pgSz w:w="11906" w:h="16838"/>
          <w:pgMar w:top="720" w:right="720" w:bottom="720" w:left="720" w:header="283" w:footer="283" w:gutter="0"/>
          <w:cols w:num="2" w:space="567"/>
          <w:titlePg/>
          <w:bidi/>
          <w:rtlGutter/>
          <w:docGrid w:linePitch="299"/>
        </w:sectPr>
      </w:pPr>
      <w:bookmarkStart w:id="11034" w:name="_Ref60677889"/>
      <w:r>
        <w:rPr>
          <w:rFonts w:hint="cs"/>
          <w:rtl/>
        </w:rPr>
        <w:t xml:space="preserve">אך כתב </w:t>
      </w:r>
      <w:r w:rsidRPr="0048652A">
        <w:rPr>
          <w:rStyle w:val="af9"/>
          <w:rFonts w:hint="cs"/>
          <w:rtl/>
        </w:rPr>
        <w:t>בחי' רבי נחום</w:t>
      </w:r>
      <w:r>
        <w:rPr>
          <w:rFonts w:hint="cs"/>
          <w:rtl/>
        </w:rPr>
        <w:t xml:space="preserve"> </w:t>
      </w:r>
      <w:r w:rsidRPr="00954A6F">
        <w:rPr>
          <w:rStyle w:val="af7"/>
          <w:rFonts w:eastAsia="Guttman Hodes" w:hint="cs"/>
          <w:rtl/>
        </w:rPr>
        <w:t>(או' ס"ט ד"ה ד"ה אמנם)</w:t>
      </w:r>
      <w:r>
        <w:rPr>
          <w:rFonts w:hint="cs"/>
          <w:rtl/>
        </w:rPr>
        <w:t xml:space="preserve"> דמדברי </w:t>
      </w:r>
      <w:r w:rsidRPr="0048652A">
        <w:rPr>
          <w:rStyle w:val="af9"/>
          <w:rFonts w:hint="cs"/>
          <w:rtl/>
        </w:rPr>
        <w:t>הטור</w:t>
      </w:r>
      <w:r>
        <w:rPr>
          <w:rFonts w:hint="cs"/>
          <w:rtl/>
        </w:rPr>
        <w:t xml:space="preserve"> </w:t>
      </w:r>
      <w:r w:rsidRPr="00954A6F">
        <w:rPr>
          <w:rStyle w:val="af7"/>
          <w:rFonts w:eastAsia="Guttman Hodes" w:hint="cs"/>
          <w:rtl/>
        </w:rPr>
        <w:t>(קמ"ו י"ג)</w:t>
      </w:r>
      <w:r>
        <w:rPr>
          <w:rFonts w:hint="cs"/>
          <w:rtl/>
        </w:rPr>
        <w:t xml:space="preserve"> משמע כדברי </w:t>
      </w:r>
      <w:r w:rsidRPr="0048652A">
        <w:rPr>
          <w:rStyle w:val="af9"/>
          <w:rFonts w:hint="cs"/>
          <w:rtl/>
        </w:rPr>
        <w:t xml:space="preserve">המהרש"א </w:t>
      </w:r>
      <w:r w:rsidRPr="00C96C18">
        <w:rPr>
          <w:rStyle w:val="af9"/>
          <w:rFonts w:hint="cs"/>
          <w:rtl/>
        </w:rPr>
        <w:t>דר"י</w:t>
      </w:r>
      <w:r>
        <w:rPr>
          <w:rFonts w:hint="cs"/>
          <w:rtl/>
        </w:rPr>
        <w:t xml:space="preserve"> נחלק על עיקר דברי </w:t>
      </w:r>
      <w:r w:rsidRPr="0048652A">
        <w:rPr>
          <w:rStyle w:val="af9"/>
          <w:rFonts w:hint="cs"/>
          <w:rtl/>
        </w:rPr>
        <w:t>הרשב"א בתוס'</w:t>
      </w:r>
      <w:r>
        <w:rPr>
          <w:rFonts w:hint="cs"/>
          <w:rtl/>
        </w:rPr>
        <w:t xml:space="preserve">, דמשמע מדברי </w:t>
      </w:r>
      <w:r w:rsidRPr="0048652A">
        <w:rPr>
          <w:rStyle w:val="af9"/>
          <w:rFonts w:hint="cs"/>
          <w:rtl/>
        </w:rPr>
        <w:t>הטור</w:t>
      </w:r>
      <w:r>
        <w:rPr>
          <w:rFonts w:hint="cs"/>
          <w:rtl/>
        </w:rPr>
        <w:t xml:space="preserve"> דלדעת </w:t>
      </w:r>
      <w:r w:rsidRPr="0048652A">
        <w:rPr>
          <w:rStyle w:val="af9"/>
          <w:rFonts w:hint="cs"/>
          <w:rtl/>
        </w:rPr>
        <w:t>הרשב"ם</w:t>
      </w:r>
      <w:r>
        <w:rPr>
          <w:rFonts w:hint="cs"/>
          <w:rtl/>
        </w:rPr>
        <w:t xml:space="preserve"> </w:t>
      </w:r>
      <w:r w:rsidRPr="00485EA5">
        <w:rPr>
          <w:rStyle w:val="af7"/>
          <w:rFonts w:eastAsia="Guttman Hodes" w:hint="cs"/>
          <w:rtl/>
        </w:rPr>
        <w:t xml:space="preserve">(עי' אות </w:t>
      </w:r>
      <w:r w:rsidRPr="00485EA5">
        <w:rPr>
          <w:rStyle w:val="af7"/>
          <w:rFonts w:eastAsia="Guttman Hodes"/>
          <w:rtl/>
        </w:rPr>
        <w:fldChar w:fldCharType="begin"/>
      </w:r>
      <w:r w:rsidRPr="00485EA5">
        <w:rPr>
          <w:rStyle w:val="af7"/>
          <w:rFonts w:eastAsia="Guttman Hodes"/>
          <w:rtl/>
        </w:rPr>
        <w:instrText xml:space="preserve"> </w:instrText>
      </w:r>
      <w:r w:rsidRPr="00485EA5">
        <w:rPr>
          <w:rStyle w:val="af7"/>
          <w:rFonts w:eastAsia="Guttman Hodes" w:hint="cs"/>
        </w:rPr>
        <w:instrText>REF</w:instrText>
      </w:r>
      <w:r w:rsidRPr="00485EA5">
        <w:rPr>
          <w:rStyle w:val="af7"/>
          <w:rFonts w:eastAsia="Guttman Hodes" w:hint="cs"/>
          <w:rtl/>
        </w:rPr>
        <w:instrText xml:space="preserve"> _</w:instrText>
      </w:r>
      <w:r w:rsidRPr="00485EA5">
        <w:rPr>
          <w:rStyle w:val="af7"/>
          <w:rFonts w:eastAsia="Guttman Hodes" w:hint="cs"/>
        </w:rPr>
        <w:instrText>Ref60657236 \r \h</w:instrText>
      </w:r>
      <w:r w:rsidRPr="00485EA5">
        <w:rPr>
          <w:rStyle w:val="af7"/>
          <w:rFonts w:eastAsia="Guttman Hodes"/>
          <w:rtl/>
        </w:rPr>
        <w:instrText xml:space="preserve"> </w:instrText>
      </w:r>
      <w:r w:rsidRPr="00485EA5">
        <w:rPr>
          <w:rStyle w:val="af7"/>
          <w:rFonts w:eastAsia="Guttman Hodes"/>
          <w:rtl/>
        </w:rPr>
      </w:r>
      <w:r w:rsidRPr="00485EA5">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485EA5">
        <w:rPr>
          <w:rStyle w:val="af7"/>
          <w:rFonts w:eastAsia="Guttman Hodes"/>
          <w:rtl/>
        </w:rPr>
        <w:fldChar w:fldCharType="end"/>
      </w:r>
      <w:r>
        <w:rPr>
          <w:rFonts w:hint="cs"/>
          <w:rtl/>
        </w:rPr>
        <w:t xml:space="preserve"> דבכל האופנים לא מהני דדר בה המוכר חד יומא, כשאין למחזיק חזקת ג"ש, ולא כתב </w:t>
      </w:r>
      <w:r w:rsidRPr="0048652A">
        <w:rPr>
          <w:rStyle w:val="af9"/>
          <w:rFonts w:hint="cs"/>
          <w:rtl/>
        </w:rPr>
        <w:t>הטור</w:t>
      </w:r>
      <w:r>
        <w:rPr>
          <w:rFonts w:hint="cs"/>
          <w:rtl/>
        </w:rPr>
        <w:t xml:space="preserve"> דאם בתחילה לא הודה המחזיק שהקרקע הייתה של המערער, מודה </w:t>
      </w:r>
      <w:r w:rsidRPr="0048652A">
        <w:rPr>
          <w:rStyle w:val="af9"/>
          <w:rFonts w:hint="cs"/>
          <w:rtl/>
        </w:rPr>
        <w:t>הרשב"ם</w:t>
      </w:r>
      <w:r>
        <w:rPr>
          <w:rFonts w:hint="cs"/>
          <w:rtl/>
        </w:rPr>
        <w:t xml:space="preserve"> דטענינן ליה, וא"כ מבואר דלדעת </w:t>
      </w:r>
      <w:r w:rsidRPr="0048652A">
        <w:rPr>
          <w:rStyle w:val="af9"/>
          <w:rFonts w:hint="cs"/>
          <w:rtl/>
        </w:rPr>
        <w:t>הרשב"ם ור"י</w:t>
      </w:r>
      <w:r>
        <w:rPr>
          <w:rFonts w:hint="cs"/>
          <w:rtl/>
        </w:rPr>
        <w:t xml:space="preserve"> בכל האופנים אין דין טענינן.</w:t>
      </w:r>
      <w:bookmarkEnd w:id="11034"/>
    </w:p>
    <w:p w:rsidR="006A4297" w:rsidRPr="002E13ED" w:rsidRDefault="006A4297" w:rsidP="007E4E81">
      <w:pPr>
        <w:pStyle w:val="a0"/>
        <w:rPr>
          <w:rtl/>
        </w:rPr>
        <w:sectPr w:rsidR="006A4297" w:rsidRPr="002E13ED" w:rsidSect="005049E2">
          <w:type w:val="continuous"/>
          <w:pgSz w:w="11906" w:h="16838"/>
          <w:pgMar w:top="720" w:right="720" w:bottom="720" w:left="720" w:header="283" w:footer="283" w:gutter="0"/>
          <w:cols w:num="2" w:space="567"/>
          <w:titlePg/>
          <w:bidi/>
          <w:rtlGutter/>
          <w:docGrid w:linePitch="299"/>
        </w:sectPr>
      </w:pPr>
    </w:p>
    <w:p w:rsidR="005306EB" w:rsidRDefault="005306EB" w:rsidP="005306EB">
      <w:pPr>
        <w:pStyle w:val="afd"/>
        <w:rPr>
          <w:rtl/>
        </w:rPr>
      </w:pPr>
      <w:bookmarkStart w:id="11035" w:name="_Toc60303853"/>
      <w:bookmarkStart w:id="11036" w:name="_Toc61010692"/>
      <w:bookmarkStart w:id="11037" w:name="_Toc61200634"/>
      <w:bookmarkStart w:id="11038" w:name="_Toc61213852"/>
      <w:bookmarkStart w:id="11039" w:name="_Toc61388168"/>
      <w:bookmarkStart w:id="11040" w:name="_Toc61430827"/>
      <w:bookmarkStart w:id="11041" w:name="_Toc61433867"/>
      <w:bookmarkStart w:id="11042" w:name="_Toc61438588"/>
      <w:bookmarkStart w:id="11043" w:name="_Toc61469317"/>
      <w:bookmarkStart w:id="11044" w:name="_Toc61509695"/>
      <w:bookmarkStart w:id="11045" w:name="_Toc66209216"/>
      <w:r w:rsidRPr="00C03D92">
        <w:rPr>
          <w:rFonts w:hint="cs"/>
          <w:rtl/>
        </w:rPr>
        <w:lastRenderedPageBreak/>
        <w:t xml:space="preserve">סימן </w:t>
      </w:r>
      <w:r>
        <w:rPr>
          <w:rFonts w:hint="cs"/>
          <w:rtl/>
        </w:rPr>
        <w:t>י"א</w:t>
      </w:r>
      <w:bookmarkEnd w:id="11035"/>
      <w:bookmarkEnd w:id="11036"/>
      <w:bookmarkEnd w:id="11037"/>
      <w:bookmarkEnd w:id="11038"/>
      <w:bookmarkEnd w:id="11039"/>
      <w:bookmarkEnd w:id="11040"/>
      <w:bookmarkEnd w:id="11041"/>
      <w:bookmarkEnd w:id="11042"/>
      <w:bookmarkEnd w:id="11043"/>
      <w:bookmarkEnd w:id="11044"/>
      <w:bookmarkEnd w:id="11045"/>
    </w:p>
    <w:p w:rsidR="005306EB" w:rsidRDefault="005306EB" w:rsidP="005306EB">
      <w:pPr>
        <w:pStyle w:val="afd"/>
        <w:rPr>
          <w:rFonts w:ascii="FrankRuehl" w:hAnsi="FrankRuehl"/>
          <w:b/>
          <w:noProof/>
          <w:rtl/>
        </w:rPr>
      </w:pPr>
      <w:bookmarkStart w:id="11046" w:name="_Toc60303854"/>
      <w:bookmarkStart w:id="11047" w:name="_Toc61010693"/>
      <w:bookmarkStart w:id="11048" w:name="_Toc61200635"/>
      <w:bookmarkStart w:id="11049" w:name="_Toc61213853"/>
      <w:bookmarkStart w:id="11050" w:name="_Toc61388169"/>
      <w:bookmarkStart w:id="11051" w:name="_Toc61430828"/>
      <w:bookmarkStart w:id="11052" w:name="_Toc61433868"/>
      <w:bookmarkStart w:id="11053" w:name="_Toc61438589"/>
      <w:bookmarkStart w:id="11054" w:name="_Toc61469318"/>
      <w:bookmarkStart w:id="11055" w:name="_Toc61509696"/>
      <w:bookmarkStart w:id="11056" w:name="_Toc66209217"/>
      <w:r>
        <w:rPr>
          <w:rFonts w:ascii="FrankRuehl" w:hAnsi="FrankRuehl" w:hint="cs"/>
          <w:b/>
          <w:noProof/>
          <w:rtl/>
        </w:rPr>
        <w:t>בסוגיא דלאו קא מודית (ד')</w:t>
      </w:r>
      <w:bookmarkEnd w:id="11046"/>
      <w:bookmarkEnd w:id="11047"/>
      <w:bookmarkEnd w:id="11048"/>
      <w:bookmarkEnd w:id="11049"/>
      <w:bookmarkEnd w:id="11050"/>
      <w:bookmarkEnd w:id="11051"/>
      <w:bookmarkEnd w:id="11052"/>
      <w:bookmarkEnd w:id="11053"/>
      <w:bookmarkEnd w:id="11054"/>
      <w:bookmarkEnd w:id="11055"/>
      <w:bookmarkEnd w:id="11056"/>
    </w:p>
    <w:p w:rsidR="005306EB" w:rsidRPr="00C03D92" w:rsidRDefault="005306EB" w:rsidP="005306EB">
      <w:pPr>
        <w:pStyle w:val="afd"/>
        <w:rPr>
          <w:rFonts w:ascii="FrankRuehl" w:hAnsi="FrankRuehl"/>
          <w:b/>
          <w:noProof/>
          <w:rtl/>
        </w:rPr>
      </w:pPr>
      <w:bookmarkStart w:id="11057" w:name="_Toc60173383"/>
      <w:bookmarkStart w:id="11058" w:name="_Toc60303765"/>
      <w:bookmarkStart w:id="11059" w:name="_Toc60303855"/>
      <w:bookmarkStart w:id="11060" w:name="_Toc61010694"/>
      <w:bookmarkStart w:id="11061" w:name="_Toc61200636"/>
      <w:bookmarkStart w:id="11062" w:name="_Toc59700081"/>
      <w:bookmarkStart w:id="11063" w:name="_Toc59960721"/>
      <w:bookmarkStart w:id="11064" w:name="_Toc60086810"/>
      <w:bookmarkStart w:id="11065" w:name="_Toc61213854"/>
      <w:bookmarkStart w:id="11066" w:name="_Toc61388170"/>
      <w:bookmarkStart w:id="11067" w:name="_Toc61430829"/>
      <w:bookmarkStart w:id="11068" w:name="_Toc61433869"/>
      <w:bookmarkStart w:id="11069" w:name="_Toc61438590"/>
      <w:bookmarkStart w:id="11070" w:name="_Toc61469319"/>
      <w:bookmarkStart w:id="11071" w:name="_Toc61509697"/>
      <w:bookmarkStart w:id="11072" w:name="_Toc66209218"/>
      <w:r>
        <w:rPr>
          <w:rFonts w:hint="cs"/>
          <w:rtl/>
        </w:rPr>
        <w:t>במיגו למפרע ומיגו כנגד אחוי שטרך ובדברי הרשב"ם ור"ח אי המחזיק בע"ד</w:t>
      </w:r>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p>
    <w:p w:rsidR="005306EB" w:rsidRDefault="000B328B" w:rsidP="005306EB">
      <w:pPr>
        <w:pStyle w:val="aff4"/>
        <w:rPr>
          <w:rtl/>
        </w:rPr>
        <w:sectPr w:rsidR="005306EB" w:rsidSect="005306EB">
          <w:headerReference w:type="default" r:id="rId90"/>
          <w:headerReference w:type="first" r:id="rId91"/>
          <w:footerReference w:type="first" r:id="rId92"/>
          <w:pgSz w:w="11906" w:h="16838"/>
          <w:pgMar w:top="720" w:right="720" w:bottom="720" w:left="720" w:header="283" w:footer="283" w:gutter="0"/>
          <w:cols w:space="113"/>
          <w:bidi/>
          <w:rtlGutter/>
          <w:docGrid w:linePitch="299"/>
        </w:sectPr>
      </w:pPr>
      <w:r>
        <w:rPr>
          <w:rFonts w:hint="cs"/>
          <w:rtl/>
        </w:rPr>
        <w:t xml:space="preserve">~~~~~~~ תוכן הענינים ~~~~~~~ </w:t>
      </w:r>
    </w:p>
    <w:p w:rsidR="005306EB" w:rsidRDefault="005306EB" w:rsidP="005306EB">
      <w:pPr>
        <w:pStyle w:val="2"/>
        <w:rPr>
          <w:rFonts w:eastAsiaTheme="minorEastAsia" w:cstheme="minorBidi"/>
          <w:i/>
          <w:iCs/>
          <w:sz w:val="22"/>
          <w:szCs w:val="22"/>
          <w:rtl/>
        </w:rPr>
      </w:pPr>
      <w:r>
        <w:rPr>
          <w:i/>
          <w:i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i/>
          <w:iCs/>
          <w:rtl/>
        </w:rPr>
        <w:fldChar w:fldCharType="separate"/>
      </w:r>
      <w:r>
        <w:rPr>
          <w:rtl/>
        </w:rPr>
        <w:t>בד</w:t>
      </w:r>
      <w:r>
        <w:rPr>
          <w:rFonts w:hint="cs"/>
          <w:rtl/>
        </w:rPr>
        <w:t>עת</w:t>
      </w:r>
      <w:r>
        <w:rPr>
          <w:rtl/>
        </w:rPr>
        <w:t xml:space="preserve"> התוס' דמיגו למפרע לא אמרינן</w:t>
      </w:r>
    </w:p>
    <w:p w:rsidR="005306EB" w:rsidRDefault="005306EB" w:rsidP="005306EB">
      <w:pPr>
        <w:pStyle w:val="aff4"/>
        <w:rPr>
          <w:rFonts w:eastAsiaTheme="minorEastAsia" w:cstheme="minorBidi"/>
          <w:i/>
          <w:iCs/>
          <w:noProof/>
          <w:sz w:val="22"/>
          <w:szCs w:val="22"/>
          <w:rtl/>
        </w:rPr>
      </w:pPr>
      <w:r>
        <w:rPr>
          <w:noProof/>
          <w:rtl/>
        </w:rPr>
        <w:t>דברי התוס' דכשהודה בתחילה מיגו למפרע לא אמרינן</w:t>
      </w:r>
    </w:p>
    <w:p w:rsidR="005306EB" w:rsidRPr="007E4E81" w:rsidRDefault="005306EB" w:rsidP="00BA3263">
      <w:pPr>
        <w:pStyle w:val="a"/>
        <w:numPr>
          <w:ilvl w:val="0"/>
          <w:numId w:val="23"/>
        </w:numPr>
        <w:rPr>
          <w:rFonts w:eastAsiaTheme="minorEastAsia" w:cstheme="minorBidi"/>
          <w:sz w:val="22"/>
          <w:szCs w:val="22"/>
          <w:rtl/>
        </w:rPr>
      </w:pPr>
      <w:r>
        <w:rPr>
          <w:rtl/>
        </w:rPr>
        <w:t>דברי הרשב"ם והתוס' דבחזקה וקמי דידי או עידי חד יומא נאמן במיגו ולתוס' אף בטוען חד יומא</w:t>
      </w:r>
    </w:p>
    <w:p w:rsidR="005306EB" w:rsidRDefault="005306EB" w:rsidP="007E4E81">
      <w:pPr>
        <w:pStyle w:val="a"/>
        <w:rPr>
          <w:rFonts w:eastAsiaTheme="minorEastAsia" w:cstheme="minorBidi"/>
          <w:sz w:val="22"/>
          <w:szCs w:val="22"/>
          <w:rtl/>
        </w:rPr>
      </w:pPr>
      <w:r>
        <w:rPr>
          <w:rtl/>
        </w:rPr>
        <w:t>דברי התוס' דכיון שהודה המחזיק בתחילה למערער אינו נאמן במיגו דעכשיו הוא מיגו למפרע</w:t>
      </w:r>
    </w:p>
    <w:p w:rsidR="005306EB" w:rsidRDefault="005306EB" w:rsidP="005306EB">
      <w:pPr>
        <w:pStyle w:val="aff4"/>
        <w:rPr>
          <w:rFonts w:eastAsiaTheme="minorEastAsia" w:cstheme="minorBidi"/>
          <w:i/>
          <w:iCs/>
          <w:noProof/>
          <w:sz w:val="22"/>
          <w:szCs w:val="22"/>
          <w:rtl/>
        </w:rPr>
      </w:pPr>
      <w:r>
        <w:rPr>
          <w:noProof/>
          <w:rtl/>
        </w:rPr>
        <w:t>ביאור התוס' דבמיגו למפרע לא חשב שיצטרך לטעון כמיגו</w:t>
      </w:r>
    </w:p>
    <w:p w:rsidR="005306EB" w:rsidRDefault="005306EB" w:rsidP="007E4E81">
      <w:pPr>
        <w:pStyle w:val="a"/>
        <w:rPr>
          <w:rFonts w:eastAsiaTheme="minorEastAsia" w:cstheme="minorBidi"/>
          <w:sz w:val="22"/>
          <w:szCs w:val="22"/>
          <w:rtl/>
        </w:rPr>
      </w:pPr>
      <w:r>
        <w:rPr>
          <w:rtl/>
        </w:rPr>
        <w:t>ביאור התוס' דמיגו למפרע לא מהני דכשהודה לא חשב שיצטרך לטעון כטענת המיגו</w:t>
      </w:r>
    </w:p>
    <w:p w:rsidR="005306EB" w:rsidRDefault="005306EB" w:rsidP="005306EB">
      <w:pPr>
        <w:pStyle w:val="aff4"/>
        <w:rPr>
          <w:rFonts w:eastAsiaTheme="minorEastAsia" w:cstheme="minorBidi"/>
          <w:i/>
          <w:iCs/>
          <w:noProof/>
          <w:sz w:val="22"/>
          <w:szCs w:val="22"/>
          <w:rtl/>
        </w:rPr>
      </w:pPr>
      <w:r>
        <w:rPr>
          <w:noProof/>
          <w:rtl/>
        </w:rPr>
        <w:t>ביאור השע"מ דבמיגו למפרע יתכן שלא רצה בתחילה לשקר</w:t>
      </w:r>
    </w:p>
    <w:p w:rsidR="005306EB" w:rsidRDefault="005306EB" w:rsidP="007E4E81">
      <w:pPr>
        <w:pStyle w:val="a"/>
        <w:rPr>
          <w:rFonts w:eastAsiaTheme="minorEastAsia" w:cstheme="minorBidi"/>
          <w:sz w:val="22"/>
          <w:szCs w:val="22"/>
          <w:rtl/>
        </w:rPr>
      </w:pPr>
      <w:r>
        <w:rPr>
          <w:rtl/>
        </w:rPr>
        <w:t>ביאור השער משפט דמיג למפרע ל"מ דיתכן שבתחילה לא רצה לשקר במיגו ועכשיו משקר</w:t>
      </w:r>
    </w:p>
    <w:p w:rsidR="005306EB" w:rsidRDefault="005306EB" w:rsidP="005306EB">
      <w:pPr>
        <w:pStyle w:val="aff4"/>
        <w:rPr>
          <w:rFonts w:eastAsiaTheme="minorEastAsia" w:cstheme="minorBidi"/>
          <w:i/>
          <w:iCs/>
          <w:noProof/>
          <w:sz w:val="22"/>
          <w:szCs w:val="22"/>
          <w:rtl/>
        </w:rPr>
      </w:pPr>
      <w:r>
        <w:rPr>
          <w:noProof/>
          <w:rtl/>
        </w:rPr>
        <w:t>ראיות התוס' דמיגו למפרע לא אמרינן</w:t>
      </w:r>
    </w:p>
    <w:p w:rsidR="005306EB" w:rsidRDefault="005306EB" w:rsidP="007E4E81">
      <w:pPr>
        <w:pStyle w:val="a"/>
        <w:rPr>
          <w:rFonts w:eastAsiaTheme="minorEastAsia" w:cstheme="minorBidi"/>
          <w:sz w:val="22"/>
          <w:szCs w:val="22"/>
          <w:rtl/>
        </w:rPr>
      </w:pPr>
      <w:r>
        <w:rPr>
          <w:rtl/>
        </w:rPr>
        <w:t>דברי התוס' דמוכח לקמן דבתחילה היה נאמן בקמי דידי במיגו דמינך זבינתה ועכשיו אינו נאמן</w:t>
      </w:r>
    </w:p>
    <w:p w:rsidR="005306EB" w:rsidRDefault="005306EB" w:rsidP="007E4E81">
      <w:pPr>
        <w:pStyle w:val="a"/>
        <w:rPr>
          <w:rFonts w:eastAsiaTheme="minorEastAsia" w:cstheme="minorBidi"/>
          <w:sz w:val="22"/>
          <w:szCs w:val="22"/>
          <w:rtl/>
        </w:rPr>
      </w:pPr>
      <w:r>
        <w:rPr>
          <w:rtl/>
        </w:rPr>
        <w:t>הוכחת התוס' מהגמ' בסנהדרין דשליש שהוציא שטר אינו נאמן עליו אף שהיה יכול לשורפו</w:t>
      </w:r>
    </w:p>
    <w:p w:rsidR="005306EB" w:rsidRDefault="005306EB" w:rsidP="007E4E81">
      <w:pPr>
        <w:pStyle w:val="a"/>
        <w:rPr>
          <w:rFonts w:eastAsiaTheme="minorEastAsia" w:cstheme="minorBidi"/>
          <w:sz w:val="22"/>
          <w:szCs w:val="22"/>
          <w:rtl/>
        </w:rPr>
      </w:pPr>
      <w:r>
        <w:rPr>
          <w:rtl/>
        </w:rPr>
        <w:t>דברי התוס' דא"א לבאר כרש"י בסנהדרין דהוחזק השטר היינו מקויים דא"כ אמאי אין לה מיגו</w:t>
      </w:r>
    </w:p>
    <w:p w:rsidR="005306EB" w:rsidRDefault="005306EB" w:rsidP="007E4E81">
      <w:pPr>
        <w:pStyle w:val="a"/>
        <w:rPr>
          <w:rFonts w:eastAsiaTheme="minorEastAsia" w:cstheme="minorBidi"/>
          <w:sz w:val="22"/>
          <w:szCs w:val="22"/>
          <w:rtl/>
        </w:rPr>
      </w:pPr>
      <w:r>
        <w:rPr>
          <w:rtl/>
        </w:rPr>
        <w:t>הוכחת התוס' מהגמ' בשבועות דבהודה שחייב צריך לפרוע בעדים אף שהיה מיגו לא היה מודה</w:t>
      </w:r>
    </w:p>
    <w:p w:rsidR="005306EB" w:rsidRDefault="005306EB" w:rsidP="007E4E81">
      <w:pPr>
        <w:pStyle w:val="a"/>
        <w:rPr>
          <w:rFonts w:eastAsiaTheme="minorEastAsia" w:cstheme="minorBidi"/>
          <w:sz w:val="22"/>
          <w:szCs w:val="22"/>
          <w:rtl/>
        </w:rPr>
      </w:pPr>
      <w:r>
        <w:rPr>
          <w:rtl/>
        </w:rPr>
        <w:t>דברי רש"י בכתובות דבעשאה סימן לאחר נאמן מדין הפה שאסר אף שהודה כבר כשעשה סימן</w:t>
      </w:r>
    </w:p>
    <w:p w:rsidR="005306EB" w:rsidRDefault="005306EB" w:rsidP="007E4E81">
      <w:pPr>
        <w:pStyle w:val="a"/>
        <w:rPr>
          <w:rFonts w:eastAsiaTheme="minorEastAsia" w:cstheme="minorBidi"/>
          <w:sz w:val="22"/>
          <w:szCs w:val="22"/>
          <w:rtl/>
        </w:rPr>
      </w:pPr>
      <w:r>
        <w:rPr>
          <w:rtl/>
        </w:rPr>
        <w:t>דחיית ר"י לדברי רש"י דאינו נאמן במיגו דהוא למפרע אלא איירי שחזר והחזיק ג"ש ולכן נאמן</w:t>
      </w:r>
    </w:p>
    <w:p w:rsidR="005306EB" w:rsidRDefault="005306EB" w:rsidP="005306EB">
      <w:pPr>
        <w:pStyle w:val="aff4"/>
        <w:rPr>
          <w:rFonts w:eastAsiaTheme="minorEastAsia" w:cstheme="minorBidi"/>
          <w:i/>
          <w:iCs/>
          <w:noProof/>
          <w:sz w:val="22"/>
          <w:szCs w:val="22"/>
          <w:rtl/>
        </w:rPr>
      </w:pPr>
      <w:r>
        <w:rPr>
          <w:noProof/>
          <w:rtl/>
        </w:rPr>
        <w:t>דברי התוס' בכתובות דמיגו למפרע לא אמרינן</w:t>
      </w:r>
    </w:p>
    <w:p w:rsidR="005306EB" w:rsidRDefault="005306EB" w:rsidP="007E4E81">
      <w:pPr>
        <w:pStyle w:val="a"/>
        <w:rPr>
          <w:rFonts w:eastAsiaTheme="minorEastAsia" w:cstheme="minorBidi"/>
          <w:sz w:val="22"/>
          <w:szCs w:val="22"/>
          <w:rtl/>
        </w:rPr>
      </w:pPr>
      <w:r>
        <w:rPr>
          <w:rtl/>
        </w:rPr>
        <w:t>דברי התוס' בכתובות דשליש שהוציא שטר לאח"מ אינו נאמן דתפס מחיים דהוא מיגו למפרע</w:t>
      </w:r>
    </w:p>
    <w:p w:rsidR="005306EB" w:rsidRDefault="005306EB" w:rsidP="007E4E81">
      <w:pPr>
        <w:pStyle w:val="a"/>
        <w:rPr>
          <w:rFonts w:eastAsiaTheme="minorEastAsia" w:cstheme="minorBidi"/>
          <w:sz w:val="22"/>
          <w:szCs w:val="22"/>
          <w:rtl/>
        </w:rPr>
      </w:pPr>
      <w:r>
        <w:rPr>
          <w:rtl/>
        </w:rPr>
        <w:t>ביאור ר"י בתוס' בכתובות דמיגו למפרע לא אמרינן דסבר דטענתו הראשונה טענה טובה</w:t>
      </w:r>
    </w:p>
    <w:p w:rsidR="005306EB" w:rsidRDefault="005306EB" w:rsidP="005306EB">
      <w:pPr>
        <w:pStyle w:val="2"/>
        <w:rPr>
          <w:rFonts w:eastAsiaTheme="minorEastAsia" w:cstheme="minorBidi"/>
          <w:i/>
          <w:iCs/>
          <w:sz w:val="22"/>
          <w:szCs w:val="22"/>
          <w:rtl/>
        </w:rPr>
      </w:pPr>
      <w:r>
        <w:rPr>
          <w:rtl/>
        </w:rPr>
        <w:t>דעת הרא"ש דנאמן לפרש דבריו</w:t>
      </w:r>
    </w:p>
    <w:p w:rsidR="005306EB" w:rsidRDefault="005306EB" w:rsidP="005306EB">
      <w:pPr>
        <w:pStyle w:val="aff4"/>
        <w:rPr>
          <w:rFonts w:eastAsiaTheme="minorEastAsia" w:cstheme="minorBidi"/>
          <w:i/>
          <w:iCs/>
          <w:noProof/>
          <w:sz w:val="22"/>
          <w:szCs w:val="22"/>
          <w:rtl/>
        </w:rPr>
      </w:pPr>
      <w:r>
        <w:rPr>
          <w:noProof/>
          <w:rtl/>
        </w:rPr>
        <w:t>דברי הרא"ש דבטען בסתמא נאמן לפרש דכוונתו לקמי דידי</w:t>
      </w:r>
    </w:p>
    <w:p w:rsidR="005306EB" w:rsidRDefault="005306EB" w:rsidP="007E4E81">
      <w:pPr>
        <w:pStyle w:val="a"/>
        <w:rPr>
          <w:rFonts w:eastAsiaTheme="minorEastAsia" w:cstheme="minorBidi"/>
          <w:sz w:val="22"/>
          <w:szCs w:val="22"/>
          <w:rtl/>
        </w:rPr>
      </w:pPr>
      <w:r>
        <w:rPr>
          <w:rtl/>
        </w:rPr>
        <w:t>דברי הרא"ש דאם אמר בתחילה קמי דידי זבנה מינך לפני שהודה שקנה מהמערער נאמן במיגו</w:t>
      </w:r>
    </w:p>
    <w:p w:rsidR="005306EB" w:rsidRDefault="005306EB" w:rsidP="007E4E81">
      <w:pPr>
        <w:pStyle w:val="a"/>
        <w:rPr>
          <w:rFonts w:eastAsiaTheme="minorEastAsia" w:cstheme="minorBidi"/>
          <w:sz w:val="22"/>
          <w:szCs w:val="22"/>
          <w:rtl/>
        </w:rPr>
      </w:pPr>
      <w:r>
        <w:rPr>
          <w:rtl/>
        </w:rPr>
        <w:t>דברי הרא"ש דבאמר בתחילה שהמוכר א"ל שקנה מהמערער אינו נאמן אח"כ בטענת קמי דידי</w:t>
      </w:r>
    </w:p>
    <w:p w:rsidR="005306EB" w:rsidRDefault="005306EB" w:rsidP="007E4E81">
      <w:pPr>
        <w:pStyle w:val="a"/>
        <w:rPr>
          <w:rFonts w:eastAsiaTheme="minorEastAsia" w:cstheme="minorBidi"/>
          <w:sz w:val="22"/>
          <w:szCs w:val="22"/>
          <w:rtl/>
        </w:rPr>
      </w:pPr>
      <w:r>
        <w:rPr>
          <w:rtl/>
        </w:rPr>
        <w:t>דברי הרא"ש דבאמר בסתמא שהמוכר קנה מהמערער יכול לתרץ דכוונתו הייתה לומר קמי דידי</w:t>
      </w:r>
    </w:p>
    <w:p w:rsidR="005306EB" w:rsidRDefault="005306EB" w:rsidP="007E4E81">
      <w:pPr>
        <w:pStyle w:val="a"/>
        <w:rPr>
          <w:rFonts w:eastAsiaTheme="minorEastAsia" w:cstheme="minorBidi"/>
          <w:sz w:val="22"/>
          <w:szCs w:val="22"/>
          <w:rtl/>
        </w:rPr>
      </w:pPr>
      <w:r>
        <w:rPr>
          <w:rtl/>
        </w:rPr>
        <w:t>ביאור הסמ"ע דכשאמר שא"ל המוכר שקנה מהמערער משמע שאינו יודע ואינו נאמן בקמי דידי</w:t>
      </w:r>
    </w:p>
    <w:p w:rsidR="005306EB" w:rsidRDefault="005306EB" w:rsidP="005306EB">
      <w:pPr>
        <w:pStyle w:val="aff4"/>
        <w:rPr>
          <w:rFonts w:eastAsiaTheme="minorEastAsia" w:cstheme="minorBidi"/>
          <w:i/>
          <w:iCs/>
          <w:noProof/>
          <w:sz w:val="22"/>
          <w:szCs w:val="22"/>
          <w:rtl/>
        </w:rPr>
      </w:pPr>
      <w:r>
        <w:rPr>
          <w:noProof/>
          <w:rtl/>
        </w:rPr>
        <w:t>ביאור הקרב"נ ברא"ש בכתובות דאמרינן מיגו למפרע</w:t>
      </w:r>
    </w:p>
    <w:p w:rsidR="005306EB" w:rsidRDefault="005306EB" w:rsidP="007E4E81">
      <w:pPr>
        <w:pStyle w:val="a"/>
        <w:rPr>
          <w:rFonts w:eastAsiaTheme="minorEastAsia" w:cstheme="minorBidi"/>
          <w:sz w:val="22"/>
          <w:szCs w:val="22"/>
          <w:rtl/>
        </w:rPr>
      </w:pPr>
      <w:r>
        <w:rPr>
          <w:rtl/>
        </w:rPr>
        <w:t>דברי הרא"ש בכתובות דצריך להועיל מיגו אף לאחר ההודאה ובי' הקרב"נ דמיגו למפרע אמרינן</w:t>
      </w:r>
    </w:p>
    <w:p w:rsidR="005306EB" w:rsidRDefault="005306EB" w:rsidP="005306EB">
      <w:pPr>
        <w:pStyle w:val="2"/>
        <w:rPr>
          <w:rFonts w:eastAsiaTheme="minorEastAsia" w:cstheme="minorBidi"/>
          <w:i/>
          <w:iCs/>
          <w:sz w:val="22"/>
          <w:szCs w:val="22"/>
          <w:rtl/>
        </w:rPr>
      </w:pPr>
      <w:r>
        <w:rPr>
          <w:rtl/>
        </w:rPr>
        <w:t>פלו' הב"י והש"ך בטען רק שקנה מהמוכר</w:t>
      </w:r>
    </w:p>
    <w:p w:rsidR="005306EB" w:rsidRDefault="005306EB" w:rsidP="005306EB">
      <w:pPr>
        <w:pStyle w:val="aff4"/>
        <w:rPr>
          <w:rFonts w:eastAsiaTheme="minorEastAsia" w:cstheme="minorBidi"/>
          <w:i/>
          <w:iCs/>
          <w:noProof/>
          <w:sz w:val="22"/>
          <w:szCs w:val="22"/>
          <w:rtl/>
        </w:rPr>
      </w:pPr>
      <w:r>
        <w:rPr>
          <w:noProof/>
          <w:rtl/>
        </w:rPr>
        <w:t>בדברי הטור דבטען רק שקנה מהמוכר נאמן לתרץ דבריו</w:t>
      </w:r>
    </w:p>
    <w:p w:rsidR="005306EB" w:rsidRDefault="005306EB" w:rsidP="007E4E81">
      <w:pPr>
        <w:pStyle w:val="a"/>
        <w:rPr>
          <w:rFonts w:eastAsiaTheme="minorEastAsia" w:cstheme="minorBidi"/>
          <w:sz w:val="22"/>
          <w:szCs w:val="22"/>
          <w:rtl/>
        </w:rPr>
      </w:pPr>
      <w:r>
        <w:rPr>
          <w:rtl/>
        </w:rPr>
        <w:t>ביאור הב"י בטור דכיון דלהרא"ש יכול לפרש דבריו ה"ה באמר רק שקנה מהמוכר דיכול לפרש</w:t>
      </w:r>
    </w:p>
    <w:p w:rsidR="005306EB" w:rsidRDefault="005306EB" w:rsidP="005306EB">
      <w:pPr>
        <w:pStyle w:val="aff4"/>
        <w:rPr>
          <w:rFonts w:eastAsiaTheme="minorEastAsia" w:cstheme="minorBidi"/>
          <w:i/>
          <w:iCs/>
          <w:noProof/>
          <w:sz w:val="22"/>
          <w:szCs w:val="22"/>
          <w:rtl/>
        </w:rPr>
      </w:pPr>
      <w:r>
        <w:rPr>
          <w:noProof/>
          <w:rtl/>
        </w:rPr>
        <w:t>דברי הש"ך דבאמר רק שקנה מהמוכר לא נאמן לפרש קמי דידי</w:t>
      </w:r>
    </w:p>
    <w:p w:rsidR="005306EB" w:rsidRDefault="005306EB" w:rsidP="007E4E81">
      <w:pPr>
        <w:pStyle w:val="a"/>
        <w:rPr>
          <w:rFonts w:eastAsiaTheme="minorEastAsia" w:cstheme="minorBidi"/>
          <w:sz w:val="22"/>
          <w:szCs w:val="22"/>
          <w:rtl/>
        </w:rPr>
      </w:pPr>
      <w:r>
        <w:rPr>
          <w:rtl/>
        </w:rPr>
        <w:t>דברי הש"ך דלהרא"ש רק כשמפרש את דבריו דזו הייתה כוונתו בתחילה נאמן דאינו חוזר וטוען</w:t>
      </w:r>
    </w:p>
    <w:p w:rsidR="005306EB" w:rsidRDefault="005306EB" w:rsidP="007E4E81">
      <w:pPr>
        <w:pStyle w:val="a"/>
        <w:rPr>
          <w:rFonts w:eastAsiaTheme="minorEastAsia" w:cstheme="minorBidi"/>
          <w:sz w:val="22"/>
          <w:szCs w:val="22"/>
          <w:rtl/>
        </w:rPr>
      </w:pPr>
      <w:r>
        <w:rPr>
          <w:rtl/>
        </w:rPr>
        <w:t>דברי הש"ך דודאי דלהטור דתחילה הודה למערער ואינו יכול לטעון קמי דידי דהוא מיגו למפרע</w:t>
      </w:r>
    </w:p>
    <w:p w:rsidR="005306EB" w:rsidRDefault="005306EB" w:rsidP="007E4E81">
      <w:pPr>
        <w:pStyle w:val="a"/>
        <w:rPr>
          <w:rFonts w:eastAsiaTheme="minorEastAsia" w:cstheme="minorBidi"/>
          <w:sz w:val="22"/>
          <w:szCs w:val="22"/>
          <w:rtl/>
        </w:rPr>
      </w:pPr>
      <w:r>
        <w:rPr>
          <w:rtl/>
        </w:rPr>
        <w:t>דברי הש"ך דלא אמר שהמוכר קנה מהמערער א"כ לפרש קמי דידי דלא טען את עיקר הטענה</w:t>
      </w:r>
    </w:p>
    <w:p w:rsidR="005306EB" w:rsidRDefault="005306EB" w:rsidP="007E4E81">
      <w:pPr>
        <w:pStyle w:val="a"/>
        <w:rPr>
          <w:rFonts w:eastAsiaTheme="minorEastAsia" w:cstheme="minorBidi"/>
          <w:sz w:val="22"/>
          <w:szCs w:val="22"/>
          <w:rtl/>
        </w:rPr>
      </w:pPr>
      <w:r>
        <w:rPr>
          <w:rtl/>
        </w:rPr>
        <w:t>דברי הש"ך דיש ט"ס בטור והגירסא היא דטען שקנה מהמוכר שקנה מהמערער ודלא כב"י וסמ"ע</w:t>
      </w:r>
    </w:p>
    <w:p w:rsidR="005306EB" w:rsidRDefault="005306EB" w:rsidP="007E4E81">
      <w:pPr>
        <w:pStyle w:val="a"/>
        <w:rPr>
          <w:rFonts w:eastAsiaTheme="minorEastAsia" w:cstheme="minorBidi"/>
          <w:sz w:val="22"/>
          <w:szCs w:val="22"/>
          <w:rtl/>
        </w:rPr>
      </w:pPr>
      <w:r>
        <w:rPr>
          <w:rtl/>
        </w:rPr>
        <w:t>הוכחות הש"ך דהטור איירי באופן שהודה המחזיק בתחילה שהקרקע הייתה של המערער</w:t>
      </w:r>
    </w:p>
    <w:p w:rsidR="005306EB" w:rsidRDefault="005306EB" w:rsidP="005306EB">
      <w:pPr>
        <w:pStyle w:val="2"/>
        <w:rPr>
          <w:rFonts w:eastAsiaTheme="minorEastAsia" w:cstheme="minorBidi"/>
          <w:i/>
          <w:iCs/>
          <w:sz w:val="22"/>
          <w:szCs w:val="22"/>
          <w:rtl/>
        </w:rPr>
      </w:pPr>
      <w:r>
        <w:rPr>
          <w:rtl/>
        </w:rPr>
        <w:t>תי' הקצוה"ח דנאמן אף דהמיגו למפרע</w:t>
      </w:r>
    </w:p>
    <w:p w:rsidR="005306EB" w:rsidRDefault="005306EB" w:rsidP="005306EB">
      <w:pPr>
        <w:pStyle w:val="aff4"/>
        <w:rPr>
          <w:rFonts w:eastAsiaTheme="minorEastAsia" w:cstheme="minorBidi"/>
          <w:i/>
          <w:iCs/>
          <w:noProof/>
          <w:sz w:val="22"/>
          <w:szCs w:val="22"/>
          <w:rtl/>
        </w:rPr>
      </w:pPr>
      <w:r>
        <w:rPr>
          <w:noProof/>
          <w:rtl/>
        </w:rPr>
        <w:t>ביאור הקצוה"ח דלהרא"ש והטור נאמן מדין טענה אף בלי מיגו</w:t>
      </w:r>
    </w:p>
    <w:p w:rsidR="005306EB" w:rsidRDefault="005306EB" w:rsidP="007E4E81">
      <w:pPr>
        <w:pStyle w:val="a"/>
        <w:rPr>
          <w:rFonts w:eastAsiaTheme="minorEastAsia" w:cstheme="minorBidi"/>
          <w:sz w:val="22"/>
          <w:szCs w:val="22"/>
          <w:rtl/>
        </w:rPr>
      </w:pPr>
      <w:r>
        <w:rPr>
          <w:rtl/>
        </w:rPr>
        <w:t>דברי הקצוה"ח דלקמן מוכח כרא"ש והטור דנאמן ותי' הקצוה"ח דנאמן אעפ"י דהוא מיגו למפרע</w:t>
      </w:r>
    </w:p>
    <w:p w:rsidR="005306EB" w:rsidRDefault="005306EB" w:rsidP="007E4E81">
      <w:pPr>
        <w:pStyle w:val="a"/>
        <w:rPr>
          <w:rFonts w:eastAsiaTheme="minorEastAsia" w:cstheme="minorBidi"/>
          <w:sz w:val="22"/>
          <w:szCs w:val="22"/>
          <w:rtl/>
        </w:rPr>
      </w:pPr>
      <w:r>
        <w:rPr>
          <w:rtl/>
        </w:rPr>
        <w:t>ביאור הקצוה"ח ברא"ש ובטור דקמי דידי היא טענה בפנ"ע ונאמן כמו דנאמן במיגו דמינך זבינה</w:t>
      </w:r>
    </w:p>
    <w:p w:rsidR="005306EB" w:rsidRDefault="005306EB" w:rsidP="007E4E81">
      <w:pPr>
        <w:pStyle w:val="a"/>
        <w:rPr>
          <w:rFonts w:eastAsiaTheme="minorEastAsia" w:cstheme="minorBidi"/>
          <w:sz w:val="22"/>
          <w:szCs w:val="22"/>
          <w:rtl/>
        </w:rPr>
      </w:pPr>
      <w:r>
        <w:rPr>
          <w:rtl/>
        </w:rPr>
        <w:t>דברי הקצוה"ח דבתוס' מוכח דהנאמנות מדין מיגו וכהש"ך אך ברשב"ם משמע כרא"ש והטור</w:t>
      </w:r>
    </w:p>
    <w:p w:rsidR="005306EB" w:rsidRDefault="005306EB" w:rsidP="007E4E81">
      <w:pPr>
        <w:pStyle w:val="a"/>
        <w:rPr>
          <w:rFonts w:eastAsiaTheme="minorEastAsia" w:cstheme="minorBidi"/>
          <w:sz w:val="22"/>
          <w:szCs w:val="22"/>
          <w:rtl/>
        </w:rPr>
      </w:pPr>
      <w:r>
        <w:rPr>
          <w:rtl/>
        </w:rPr>
        <w:t>דברי הנתיה"מ דטענת קמי דידי אינה טענה מחמת עצמו ונאמן במיגו ולא מדין חזקה בטענה</w:t>
      </w:r>
    </w:p>
    <w:p w:rsidR="005306EB" w:rsidRDefault="005306EB" w:rsidP="007E4E81">
      <w:pPr>
        <w:pStyle w:val="a"/>
        <w:rPr>
          <w:rFonts w:eastAsiaTheme="minorEastAsia" w:cstheme="minorBidi"/>
          <w:sz w:val="22"/>
          <w:szCs w:val="22"/>
          <w:rtl/>
        </w:rPr>
      </w:pPr>
      <w:r>
        <w:rPr>
          <w:rtl/>
        </w:rPr>
        <w:t>ביאור חי' רמ"ש דקמי דידי זבנה מינך לא חשיבא כחזקה עם טענה דאפש"ל דמאמין למוכר</w:t>
      </w:r>
    </w:p>
    <w:p w:rsidR="005306EB" w:rsidRDefault="005306EB" w:rsidP="005306EB">
      <w:pPr>
        <w:pStyle w:val="2"/>
        <w:rPr>
          <w:rFonts w:eastAsiaTheme="minorEastAsia" w:cstheme="minorBidi"/>
          <w:i/>
          <w:iCs/>
          <w:sz w:val="22"/>
          <w:szCs w:val="22"/>
          <w:rtl/>
        </w:rPr>
      </w:pPr>
      <w:r>
        <w:rPr>
          <w:rtl/>
        </w:rPr>
        <w:t>פלוג' הסמ"ע והש"ך בד' התוס' בסתמא</w:t>
      </w:r>
    </w:p>
    <w:p w:rsidR="005306EB" w:rsidRDefault="005306EB" w:rsidP="005306EB">
      <w:pPr>
        <w:pStyle w:val="aff4"/>
        <w:rPr>
          <w:rFonts w:eastAsiaTheme="minorEastAsia" w:cstheme="minorBidi"/>
          <w:i/>
          <w:iCs/>
          <w:noProof/>
          <w:sz w:val="22"/>
          <w:szCs w:val="22"/>
          <w:rtl/>
        </w:rPr>
      </w:pPr>
      <w:r>
        <w:rPr>
          <w:noProof/>
          <w:rtl/>
        </w:rPr>
        <w:t>דברי הסמ"ע דלתוס' בסתמא לא נאמן לפרש דהוא מיגו למפרע</w:t>
      </w:r>
    </w:p>
    <w:p w:rsidR="005306EB" w:rsidRDefault="005306EB" w:rsidP="007E4E81">
      <w:pPr>
        <w:pStyle w:val="a"/>
        <w:rPr>
          <w:rFonts w:eastAsiaTheme="minorEastAsia" w:cstheme="minorBidi"/>
          <w:sz w:val="22"/>
          <w:szCs w:val="22"/>
          <w:rtl/>
        </w:rPr>
      </w:pPr>
      <w:r>
        <w:rPr>
          <w:rtl/>
        </w:rPr>
        <w:t>דברי הסמ"ע דבסתמא שלא הוסיף שאמר לו המוכר שהוא קנה מהמערער דנאמן לפרש דבריו</w:t>
      </w:r>
    </w:p>
    <w:p w:rsidR="005306EB" w:rsidRDefault="005306EB" w:rsidP="007E4E81">
      <w:pPr>
        <w:pStyle w:val="a"/>
        <w:rPr>
          <w:rFonts w:eastAsiaTheme="minorEastAsia" w:cstheme="minorBidi"/>
          <w:sz w:val="22"/>
          <w:szCs w:val="22"/>
          <w:rtl/>
        </w:rPr>
      </w:pPr>
      <w:r>
        <w:rPr>
          <w:rtl/>
        </w:rPr>
        <w:t>דברי הסמ"ע דאף להרא"ש רק לפני שיצא מב"ד יכול לפרש את דבריו ואח"כ אינו נאמן כלל</w:t>
      </w:r>
    </w:p>
    <w:p w:rsidR="005306EB" w:rsidRDefault="005306EB" w:rsidP="005306EB">
      <w:pPr>
        <w:pStyle w:val="aff4"/>
        <w:rPr>
          <w:rFonts w:eastAsiaTheme="minorEastAsia" w:cstheme="minorBidi"/>
          <w:i/>
          <w:iCs/>
          <w:noProof/>
          <w:sz w:val="22"/>
          <w:szCs w:val="22"/>
          <w:rtl/>
        </w:rPr>
      </w:pPr>
      <w:r>
        <w:rPr>
          <w:noProof/>
          <w:rtl/>
        </w:rPr>
        <w:t>בי' הש"ך בתוס' דמיגו למפרע ל"מ רק בהודה ולא בטען בסתמא</w:t>
      </w:r>
    </w:p>
    <w:p w:rsidR="005306EB" w:rsidRDefault="005306EB" w:rsidP="007E4E81">
      <w:pPr>
        <w:pStyle w:val="a"/>
        <w:rPr>
          <w:rFonts w:eastAsiaTheme="minorEastAsia" w:cstheme="minorBidi"/>
          <w:sz w:val="22"/>
          <w:szCs w:val="22"/>
          <w:rtl/>
        </w:rPr>
      </w:pPr>
      <w:r>
        <w:rPr>
          <w:rtl/>
        </w:rPr>
        <w:t>ביאור הש"ך בסמ"ע דלתוס' דמיגו למפרע לא אמרינן אף בסתמא דלא טען שא"ל המוכר נאמן</w:t>
      </w:r>
    </w:p>
    <w:p w:rsidR="005306EB" w:rsidRDefault="005306EB" w:rsidP="007E4E81">
      <w:pPr>
        <w:pStyle w:val="a"/>
        <w:rPr>
          <w:rFonts w:eastAsiaTheme="minorEastAsia" w:cstheme="minorBidi"/>
          <w:sz w:val="22"/>
          <w:szCs w:val="22"/>
          <w:rtl/>
        </w:rPr>
      </w:pPr>
      <w:r>
        <w:rPr>
          <w:rtl/>
        </w:rPr>
        <w:t>דחיית הש"ך דלתוס' מיגו למפרע ל"מ רק בהודה בתחילה אבל כשמפרש את דבריו נאמן</w:t>
      </w:r>
    </w:p>
    <w:p w:rsidR="005306EB" w:rsidRDefault="005306EB" w:rsidP="007E4E81">
      <w:pPr>
        <w:pStyle w:val="a"/>
        <w:rPr>
          <w:rFonts w:eastAsiaTheme="minorEastAsia" w:cstheme="minorBidi"/>
          <w:sz w:val="22"/>
          <w:szCs w:val="22"/>
          <w:rtl/>
        </w:rPr>
      </w:pPr>
      <w:r>
        <w:rPr>
          <w:rtl/>
        </w:rPr>
        <w:t>דברי הש"ך דבלא הוסיף שאמר לו המוכר שהוא קנה מהמערער מודו תוס' דנאמן לפרש דבריו</w:t>
      </w:r>
    </w:p>
    <w:p w:rsidR="005306EB" w:rsidRDefault="005306EB" w:rsidP="007E4E81">
      <w:pPr>
        <w:pStyle w:val="a"/>
        <w:rPr>
          <w:rFonts w:eastAsiaTheme="minorEastAsia" w:cstheme="minorBidi"/>
          <w:sz w:val="22"/>
          <w:szCs w:val="22"/>
          <w:rtl/>
        </w:rPr>
      </w:pPr>
      <w:r>
        <w:rPr>
          <w:rtl/>
        </w:rPr>
        <w:t>דברי הש"ך דנאמן לפרש את דבריו אף לאחר שיצא מב"ד כיון שלא התחייב בטענתו בב"ד</w:t>
      </w:r>
    </w:p>
    <w:p w:rsidR="005306EB" w:rsidRDefault="005306EB" w:rsidP="005306EB">
      <w:pPr>
        <w:pStyle w:val="aff4"/>
        <w:rPr>
          <w:rFonts w:eastAsiaTheme="minorEastAsia" w:cstheme="minorBidi"/>
          <w:i/>
          <w:iCs/>
          <w:noProof/>
          <w:sz w:val="22"/>
          <w:szCs w:val="22"/>
          <w:rtl/>
        </w:rPr>
      </w:pPr>
      <w:r>
        <w:rPr>
          <w:noProof/>
          <w:rtl/>
        </w:rPr>
        <w:t>הוכחת הגרעק"א מהתוס' דבסתמא אינו נאמן לפרש דבריו</w:t>
      </w:r>
    </w:p>
    <w:p w:rsidR="005306EB" w:rsidRDefault="005306EB" w:rsidP="007E4E81">
      <w:pPr>
        <w:pStyle w:val="a"/>
        <w:rPr>
          <w:rFonts w:eastAsiaTheme="minorEastAsia" w:cstheme="minorBidi"/>
          <w:sz w:val="22"/>
          <w:szCs w:val="22"/>
          <w:rtl/>
        </w:rPr>
      </w:pPr>
      <w:r>
        <w:rPr>
          <w:rtl/>
        </w:rPr>
        <w:t>ביאור הגרעק"א בש"ך דלתוס' כשמפרש דבריו לא חשיב מיגו למפרע ולכן נאמן</w:t>
      </w:r>
    </w:p>
    <w:p w:rsidR="005306EB" w:rsidRDefault="005306EB" w:rsidP="007E4E81">
      <w:pPr>
        <w:pStyle w:val="a"/>
        <w:rPr>
          <w:rFonts w:eastAsiaTheme="minorEastAsia" w:cstheme="minorBidi"/>
          <w:sz w:val="22"/>
          <w:szCs w:val="22"/>
          <w:rtl/>
        </w:rPr>
      </w:pPr>
      <w:r>
        <w:rPr>
          <w:rtl/>
        </w:rPr>
        <w:t>הוכחת הגרעק"א כסמ"ע דהתוס' איירי כשלא טען שכך א"ל המוכר ואפ"ה חשיב מיגו למפרע</w:t>
      </w:r>
    </w:p>
    <w:p w:rsidR="005306EB" w:rsidRDefault="005306EB" w:rsidP="007E4E81">
      <w:pPr>
        <w:pStyle w:val="a"/>
        <w:rPr>
          <w:rFonts w:eastAsiaTheme="minorEastAsia" w:cstheme="minorBidi"/>
          <w:sz w:val="22"/>
          <w:szCs w:val="22"/>
          <w:rtl/>
        </w:rPr>
      </w:pPr>
      <w:r>
        <w:rPr>
          <w:rtl/>
        </w:rPr>
        <w:t>הוכחת הגרעק"א מהרא"ש דמפרש את דבריו אינו שייך כלל לדין מיגו מפרע</w:t>
      </w:r>
    </w:p>
    <w:p w:rsidR="005306EB" w:rsidRDefault="005306EB" w:rsidP="007E4E81">
      <w:pPr>
        <w:pStyle w:val="a"/>
        <w:rPr>
          <w:rFonts w:eastAsiaTheme="minorEastAsia" w:cstheme="minorBidi"/>
          <w:sz w:val="22"/>
          <w:szCs w:val="22"/>
          <w:rtl/>
        </w:rPr>
      </w:pPr>
      <w:r>
        <w:rPr>
          <w:rtl/>
        </w:rPr>
        <w:t>ביאור הגרעק"א בתוס' דאף כשאמר בסתמא דהמוכר קנה מהמערער אינו נאמן לפרש דבריו</w:t>
      </w:r>
    </w:p>
    <w:p w:rsidR="005306EB" w:rsidRDefault="005306EB" w:rsidP="005306EB">
      <w:pPr>
        <w:pStyle w:val="aff4"/>
        <w:rPr>
          <w:rFonts w:eastAsiaTheme="minorEastAsia" w:cstheme="minorBidi"/>
          <w:i/>
          <w:iCs/>
          <w:noProof/>
          <w:sz w:val="22"/>
          <w:szCs w:val="22"/>
          <w:rtl/>
        </w:rPr>
      </w:pPr>
      <w:r>
        <w:rPr>
          <w:noProof/>
          <w:rtl/>
        </w:rPr>
        <w:t>ביאור הגרעק"א דבתחילה אמר אמת ועכשיו שמפרש משקר</w:t>
      </w:r>
    </w:p>
    <w:p w:rsidR="005306EB" w:rsidRDefault="005306EB" w:rsidP="007E4E81">
      <w:pPr>
        <w:pStyle w:val="a"/>
        <w:rPr>
          <w:rFonts w:eastAsiaTheme="minorEastAsia" w:cstheme="minorBidi"/>
          <w:sz w:val="22"/>
          <w:szCs w:val="22"/>
          <w:rtl/>
        </w:rPr>
      </w:pPr>
      <w:r>
        <w:rPr>
          <w:rtl/>
        </w:rPr>
        <w:t>ביאור הגרעק"א דבתחילה היה מיגו ולא רצה לשקר ואחר שלא זכה רוצה לשקר ולפרש דבריו</w:t>
      </w:r>
    </w:p>
    <w:p w:rsidR="005306EB" w:rsidRDefault="005306EB" w:rsidP="007E4E81">
      <w:pPr>
        <w:pStyle w:val="a"/>
        <w:rPr>
          <w:rFonts w:eastAsiaTheme="minorEastAsia" w:cstheme="minorBidi"/>
          <w:sz w:val="22"/>
          <w:szCs w:val="22"/>
          <w:rtl/>
        </w:rPr>
      </w:pPr>
      <w:r>
        <w:rPr>
          <w:rtl/>
        </w:rPr>
        <w:t>קושית הגרעק"א דבזה אומר של אבותי נאמן לפרש דבריו שלא יסתרו לעדים של המערער</w:t>
      </w:r>
    </w:p>
    <w:p w:rsidR="005306EB" w:rsidRDefault="005306EB" w:rsidP="007E4E81">
      <w:pPr>
        <w:pStyle w:val="a"/>
        <w:rPr>
          <w:rFonts w:eastAsiaTheme="minorEastAsia" w:cstheme="minorBidi"/>
          <w:sz w:val="22"/>
          <w:szCs w:val="22"/>
          <w:rtl/>
        </w:rPr>
      </w:pPr>
      <w:r>
        <w:rPr>
          <w:rtl/>
        </w:rPr>
        <w:t>דברי הגרעק"א דבסוגיין אמרינן דבתחילה טען אמת ואחר שלא זכה רוצה לשקר במיגו שהיה לו</w:t>
      </w:r>
    </w:p>
    <w:p w:rsidR="005306EB" w:rsidRDefault="005306EB" w:rsidP="007E4E81">
      <w:pPr>
        <w:pStyle w:val="a"/>
        <w:rPr>
          <w:rFonts w:eastAsiaTheme="minorEastAsia" w:cstheme="minorBidi"/>
          <w:sz w:val="22"/>
          <w:szCs w:val="22"/>
          <w:rtl/>
        </w:rPr>
      </w:pPr>
      <w:r>
        <w:rPr>
          <w:rtl/>
        </w:rPr>
        <w:t>תי' הגרעק"א דבאומר של אבותי א"א לומר דאמר אמת דהוכחש בעדים וע"י המיגו אין הכחשה</w:t>
      </w:r>
    </w:p>
    <w:p w:rsidR="005306EB" w:rsidRDefault="005306EB" w:rsidP="005306EB">
      <w:pPr>
        <w:pStyle w:val="aff4"/>
        <w:rPr>
          <w:rFonts w:eastAsiaTheme="minorEastAsia" w:cstheme="minorBidi"/>
          <w:i/>
          <w:iCs/>
          <w:noProof/>
          <w:sz w:val="22"/>
          <w:szCs w:val="22"/>
          <w:rtl/>
        </w:rPr>
      </w:pPr>
      <w:r>
        <w:rPr>
          <w:noProof/>
          <w:rtl/>
        </w:rPr>
        <w:t>בי' הקצוה"ח בהוכחת התוס' מהגמ' לקמן לביאור הש"ך בתוס'</w:t>
      </w:r>
    </w:p>
    <w:p w:rsidR="005306EB" w:rsidRDefault="005306EB" w:rsidP="007E4E81">
      <w:pPr>
        <w:pStyle w:val="a"/>
        <w:rPr>
          <w:rFonts w:eastAsiaTheme="minorEastAsia" w:cstheme="minorBidi"/>
          <w:sz w:val="22"/>
          <w:szCs w:val="22"/>
          <w:rtl/>
        </w:rPr>
      </w:pPr>
      <w:r>
        <w:rPr>
          <w:rtl/>
        </w:rPr>
        <w:t>הוכחת הקצוה"ח מהראיה שהביאו התוס' מהגמ' לקמן דבלא פירש את דבריו הוי מיגו למפרע</w:t>
      </w:r>
    </w:p>
    <w:p w:rsidR="005306EB" w:rsidRDefault="005306EB" w:rsidP="007E4E81">
      <w:pPr>
        <w:pStyle w:val="a"/>
        <w:rPr>
          <w:rFonts w:eastAsiaTheme="minorEastAsia" w:cstheme="minorBidi"/>
          <w:sz w:val="22"/>
          <w:szCs w:val="22"/>
          <w:rtl/>
        </w:rPr>
      </w:pPr>
      <w:r>
        <w:rPr>
          <w:rtl/>
        </w:rPr>
        <w:t>תי' הקצוה"ח דלש"ך בגמ' לקמן ב"ד צריכים לפרש דכוונתו שכך א"ל המוכר וא"כ איירי בפירש</w:t>
      </w:r>
    </w:p>
    <w:p w:rsidR="005306EB" w:rsidRDefault="005306EB" w:rsidP="007E4E81">
      <w:pPr>
        <w:pStyle w:val="a"/>
        <w:rPr>
          <w:rFonts w:eastAsiaTheme="minorEastAsia" w:cstheme="minorBidi"/>
          <w:sz w:val="22"/>
          <w:szCs w:val="22"/>
          <w:rtl/>
        </w:rPr>
      </w:pPr>
      <w:r>
        <w:rPr>
          <w:rtl/>
        </w:rPr>
        <w:t>דברי הקצוה"ח דברא"ש משמע דצריך לפרש דבריו בעצמו ולא הב"ד וא"כ ק' מהגמ' לקמן</w:t>
      </w:r>
    </w:p>
    <w:p w:rsidR="005306EB" w:rsidRDefault="005306EB" w:rsidP="007E4E81">
      <w:pPr>
        <w:pStyle w:val="a"/>
        <w:rPr>
          <w:rFonts w:eastAsiaTheme="minorEastAsia" w:cstheme="minorBidi"/>
          <w:sz w:val="22"/>
          <w:szCs w:val="22"/>
          <w:rtl/>
        </w:rPr>
      </w:pPr>
      <w:r>
        <w:rPr>
          <w:rtl/>
        </w:rPr>
        <w:t>הוכחת הקצוה"ח דבגמ' לקמן ודאי איירי שלא טען בסתמא דא"כ היה נאמן במיגו דחד יומא</w:t>
      </w:r>
    </w:p>
    <w:p w:rsidR="005306EB" w:rsidRDefault="005306EB" w:rsidP="005306EB">
      <w:pPr>
        <w:pStyle w:val="aff4"/>
        <w:rPr>
          <w:rFonts w:eastAsiaTheme="minorEastAsia" w:cstheme="minorBidi"/>
          <w:i/>
          <w:iCs/>
          <w:noProof/>
          <w:sz w:val="22"/>
          <w:szCs w:val="22"/>
          <w:rtl/>
        </w:rPr>
      </w:pPr>
      <w:r>
        <w:rPr>
          <w:noProof/>
          <w:rtl/>
        </w:rPr>
        <w:t>דברי התומים דהתוס' פליגי על הרשב"ם והרא"ש במפרש דבריו</w:t>
      </w:r>
    </w:p>
    <w:p w:rsidR="005306EB" w:rsidRDefault="005306EB" w:rsidP="007E4E81">
      <w:pPr>
        <w:pStyle w:val="a"/>
        <w:rPr>
          <w:rFonts w:eastAsiaTheme="minorEastAsia" w:cstheme="minorBidi"/>
          <w:sz w:val="22"/>
          <w:szCs w:val="22"/>
          <w:rtl/>
        </w:rPr>
      </w:pPr>
      <w:r>
        <w:rPr>
          <w:rtl/>
        </w:rPr>
        <w:t>דברי התומים דברשב"ם מבואר כרא"ש דנאמן לפרש דבריו והתוס' פליגי עליה ועל הרא"ש</w:t>
      </w:r>
    </w:p>
    <w:p w:rsidR="005306EB" w:rsidRDefault="005306EB" w:rsidP="007E4E81">
      <w:pPr>
        <w:pStyle w:val="a"/>
        <w:rPr>
          <w:rFonts w:eastAsiaTheme="minorEastAsia" w:cstheme="minorBidi"/>
          <w:sz w:val="22"/>
          <w:szCs w:val="22"/>
          <w:rtl/>
        </w:rPr>
      </w:pPr>
      <w:r>
        <w:rPr>
          <w:rtl/>
        </w:rPr>
        <w:t>הוכחת התומים מהראיה שהביאו התוס' מהגמ' לקמן דפליגי על הרא"ש וס"ל דאינו נאמן לפרש</w:t>
      </w:r>
    </w:p>
    <w:p w:rsidR="005306EB" w:rsidRDefault="005306EB" w:rsidP="007E4E81">
      <w:pPr>
        <w:pStyle w:val="a"/>
        <w:rPr>
          <w:rFonts w:eastAsiaTheme="minorEastAsia" w:cstheme="minorBidi"/>
          <w:sz w:val="22"/>
          <w:szCs w:val="22"/>
          <w:rtl/>
        </w:rPr>
      </w:pPr>
      <w:r>
        <w:rPr>
          <w:rtl/>
        </w:rPr>
        <w:t>ביאור התומים דנח' התוס' והרא"ש בכתובות אי נאמן לפרש את דבריו</w:t>
      </w:r>
    </w:p>
    <w:p w:rsidR="005306EB" w:rsidRDefault="005306EB" w:rsidP="005306EB">
      <w:pPr>
        <w:pStyle w:val="2"/>
        <w:rPr>
          <w:rFonts w:eastAsiaTheme="minorEastAsia" w:cstheme="minorBidi"/>
          <w:i/>
          <w:iCs/>
          <w:sz w:val="22"/>
          <w:szCs w:val="22"/>
          <w:rtl/>
        </w:rPr>
      </w:pPr>
      <w:r>
        <w:rPr>
          <w:rtl/>
        </w:rPr>
        <w:t>הסוברים דלהרא"ש ל"מ מיגו למפרע</w:t>
      </w:r>
    </w:p>
    <w:p w:rsidR="005306EB" w:rsidRDefault="005306EB" w:rsidP="005306EB">
      <w:pPr>
        <w:pStyle w:val="aff4"/>
        <w:rPr>
          <w:rFonts w:eastAsiaTheme="minorEastAsia" w:cstheme="minorBidi"/>
          <w:i/>
          <w:iCs/>
          <w:noProof/>
          <w:sz w:val="22"/>
          <w:szCs w:val="22"/>
          <w:rtl/>
        </w:rPr>
      </w:pPr>
      <w:r>
        <w:rPr>
          <w:noProof/>
          <w:rtl/>
        </w:rPr>
        <w:t>ביאור המהרי"ט ברא"ש דבמפרש כוונתו לא חשיב מיגו למפרע</w:t>
      </w:r>
    </w:p>
    <w:p w:rsidR="005306EB" w:rsidRDefault="005306EB" w:rsidP="007E4E81">
      <w:pPr>
        <w:pStyle w:val="a"/>
        <w:rPr>
          <w:rFonts w:eastAsiaTheme="minorEastAsia" w:cstheme="minorBidi"/>
          <w:sz w:val="22"/>
          <w:szCs w:val="22"/>
          <w:rtl/>
        </w:rPr>
      </w:pPr>
      <w:r>
        <w:rPr>
          <w:rtl/>
        </w:rPr>
        <w:t>ביאור המהרי"ט ברא"ש דאף דמיגו למפרע ל"א כשמפרש דבריו חשיב שטען כן בתחילה</w:t>
      </w:r>
    </w:p>
    <w:p w:rsidR="005306EB" w:rsidRDefault="005306EB" w:rsidP="007E4E81">
      <w:pPr>
        <w:pStyle w:val="a"/>
        <w:rPr>
          <w:rFonts w:eastAsiaTheme="minorEastAsia" w:cstheme="minorBidi"/>
          <w:sz w:val="22"/>
          <w:szCs w:val="22"/>
          <w:rtl/>
        </w:rPr>
      </w:pPr>
      <w:r>
        <w:rPr>
          <w:rtl/>
        </w:rPr>
        <w:t>בי'המהרי"ט דנח' התוס' והרא"ש בכתובות אי חשיב מיגו למפרע כשיתכן דלא חשבה לטעון כן</w:t>
      </w:r>
    </w:p>
    <w:p w:rsidR="005306EB" w:rsidRDefault="005306EB" w:rsidP="007E4E81">
      <w:pPr>
        <w:pStyle w:val="a"/>
        <w:rPr>
          <w:rFonts w:eastAsiaTheme="minorEastAsia" w:cstheme="minorBidi"/>
          <w:sz w:val="22"/>
          <w:szCs w:val="22"/>
          <w:rtl/>
        </w:rPr>
      </w:pPr>
      <w:r>
        <w:rPr>
          <w:rtl/>
        </w:rPr>
        <w:t>דברי המהרי"ט דמוכח בדברי הרא"ש דמודה לתוס' בעיקר הדין דמיגו למפרע לא אמרינן</w:t>
      </w:r>
    </w:p>
    <w:p w:rsidR="005306EB" w:rsidRDefault="005306EB" w:rsidP="007E4E81">
      <w:pPr>
        <w:pStyle w:val="a"/>
        <w:rPr>
          <w:rFonts w:eastAsiaTheme="minorEastAsia" w:cstheme="minorBidi"/>
          <w:sz w:val="22"/>
          <w:szCs w:val="22"/>
          <w:rtl/>
        </w:rPr>
      </w:pPr>
      <w:r>
        <w:rPr>
          <w:rtl/>
        </w:rPr>
        <w:t>דברי המהרי"ט דלרא"ש אין ראיה מהגמ' לקמן כיון דירא לטעון מיגו ולא כיון דהוא מיגו למפרע</w:t>
      </w:r>
    </w:p>
    <w:p w:rsidR="005306EB" w:rsidRDefault="005306EB" w:rsidP="007E4E81">
      <w:pPr>
        <w:pStyle w:val="a"/>
        <w:rPr>
          <w:rFonts w:eastAsiaTheme="minorEastAsia" w:cstheme="minorBidi"/>
          <w:sz w:val="22"/>
          <w:szCs w:val="22"/>
          <w:rtl/>
        </w:rPr>
      </w:pPr>
      <w:r>
        <w:rPr>
          <w:rtl/>
        </w:rPr>
        <w:t>בי' התומים ברא"ש דיתכן שרק עכשיו רוצה לשקר ורק במפרש שכך הייתה כוונתו בתחילה נאמן</w:t>
      </w:r>
    </w:p>
    <w:p w:rsidR="005306EB" w:rsidRDefault="005306EB" w:rsidP="005306EB">
      <w:pPr>
        <w:pStyle w:val="aff4"/>
        <w:rPr>
          <w:rFonts w:eastAsiaTheme="minorEastAsia" w:cstheme="minorBidi"/>
          <w:i/>
          <w:iCs/>
          <w:noProof/>
          <w:sz w:val="22"/>
          <w:szCs w:val="22"/>
          <w:rtl/>
        </w:rPr>
      </w:pPr>
      <w:r>
        <w:rPr>
          <w:noProof/>
          <w:rtl/>
        </w:rPr>
        <w:t>דברי הגרעק"א דלרא"ש נאמן רק במפרש ולא במוסיף או סותר</w:t>
      </w:r>
    </w:p>
    <w:p w:rsidR="005306EB" w:rsidRDefault="005306EB" w:rsidP="007E4E81">
      <w:pPr>
        <w:pStyle w:val="a"/>
        <w:rPr>
          <w:rFonts w:eastAsiaTheme="minorEastAsia" w:cstheme="minorBidi"/>
          <w:sz w:val="22"/>
          <w:szCs w:val="22"/>
          <w:rtl/>
        </w:rPr>
      </w:pPr>
      <w:r>
        <w:rPr>
          <w:rtl/>
        </w:rPr>
        <w:t>דברי הגרעק"א דרק במפרש נאמן להרא"ש אבל מוסיף ל"א מיגו למפרע וכ"ש בסותר את דבריו</w:t>
      </w:r>
    </w:p>
    <w:p w:rsidR="005306EB" w:rsidRDefault="005306EB" w:rsidP="005306EB">
      <w:pPr>
        <w:pStyle w:val="2"/>
        <w:rPr>
          <w:rFonts w:eastAsiaTheme="minorEastAsia" w:cstheme="minorBidi"/>
          <w:i/>
          <w:iCs/>
          <w:sz w:val="22"/>
          <w:szCs w:val="22"/>
          <w:rtl/>
        </w:rPr>
      </w:pPr>
      <w:r>
        <w:rPr>
          <w:rtl/>
        </w:rPr>
        <w:t>בדעת רש"י דמיגו למפרע אמרינן</w:t>
      </w:r>
    </w:p>
    <w:p w:rsidR="005306EB" w:rsidRDefault="005306EB" w:rsidP="005306EB">
      <w:pPr>
        <w:pStyle w:val="aff4"/>
        <w:rPr>
          <w:rFonts w:eastAsiaTheme="minorEastAsia" w:cstheme="minorBidi"/>
          <w:i/>
          <w:iCs/>
          <w:noProof/>
          <w:sz w:val="22"/>
          <w:szCs w:val="22"/>
          <w:rtl/>
        </w:rPr>
      </w:pPr>
      <w:r>
        <w:rPr>
          <w:noProof/>
          <w:rtl/>
        </w:rPr>
        <w:t>בביאור דברי רש"י דהפה שאסר ומיגו למפרע אמרינן</w:t>
      </w:r>
    </w:p>
    <w:p w:rsidR="005306EB" w:rsidRDefault="005306EB" w:rsidP="007E4E81">
      <w:pPr>
        <w:pStyle w:val="a"/>
        <w:rPr>
          <w:rFonts w:eastAsiaTheme="minorEastAsia" w:cstheme="minorBidi"/>
          <w:sz w:val="22"/>
          <w:szCs w:val="22"/>
          <w:rtl/>
        </w:rPr>
      </w:pPr>
      <w:r>
        <w:rPr>
          <w:rtl/>
        </w:rPr>
        <w:t>דברי רש"י דנאמן בהפה שאסר במקום שכבר הודה בשטר למערער ודחו תוס' דהוא מיגו למפרע</w:t>
      </w:r>
    </w:p>
    <w:p w:rsidR="005306EB" w:rsidRDefault="005306EB" w:rsidP="007E4E81">
      <w:pPr>
        <w:pStyle w:val="a"/>
        <w:rPr>
          <w:rFonts w:eastAsiaTheme="minorEastAsia" w:cstheme="minorBidi"/>
          <w:sz w:val="22"/>
          <w:szCs w:val="22"/>
          <w:rtl/>
        </w:rPr>
      </w:pPr>
      <w:r>
        <w:rPr>
          <w:rtl/>
        </w:rPr>
        <w:t>דברי הכנה"ג דלרש"י מהני מיגו למפרע ודברי התומים דהיינו רק כשמפרש את דבריו</w:t>
      </w:r>
    </w:p>
    <w:p w:rsidR="005306EB" w:rsidRDefault="005306EB" w:rsidP="007E4E81">
      <w:pPr>
        <w:pStyle w:val="a"/>
        <w:rPr>
          <w:rFonts w:eastAsiaTheme="minorEastAsia" w:cstheme="minorBidi"/>
          <w:sz w:val="22"/>
          <w:szCs w:val="22"/>
          <w:rtl/>
        </w:rPr>
      </w:pPr>
      <w:r>
        <w:rPr>
          <w:rtl/>
        </w:rPr>
        <w:t>ביאור הרא"ה ברש"י בכתובות דבעשאה סימן לא חשיב מיגו למפרע דמפרש כוונתו בשטר</w:t>
      </w:r>
    </w:p>
    <w:p w:rsidR="005306EB" w:rsidRDefault="005306EB" w:rsidP="005306EB">
      <w:pPr>
        <w:pStyle w:val="aff4"/>
        <w:rPr>
          <w:rFonts w:eastAsiaTheme="minorEastAsia" w:cstheme="minorBidi"/>
          <w:i/>
          <w:iCs/>
          <w:noProof/>
          <w:sz w:val="22"/>
          <w:szCs w:val="22"/>
          <w:rtl/>
        </w:rPr>
      </w:pPr>
      <w:r>
        <w:rPr>
          <w:noProof/>
          <w:rtl/>
        </w:rPr>
        <w:t>ביאור החת"ס ברשב"ם דס"ל כרש"י דמיגו למפרע אמרינן</w:t>
      </w:r>
    </w:p>
    <w:p w:rsidR="005306EB" w:rsidRDefault="005306EB" w:rsidP="007E4E81">
      <w:pPr>
        <w:pStyle w:val="a"/>
        <w:rPr>
          <w:rFonts w:eastAsiaTheme="minorEastAsia" w:cstheme="minorBidi"/>
          <w:sz w:val="22"/>
          <w:szCs w:val="22"/>
          <w:rtl/>
        </w:rPr>
      </w:pPr>
      <w:r>
        <w:rPr>
          <w:rtl/>
        </w:rPr>
        <w:t>דברי החת"ס דלרשב"ם אחר שדנו ב"ד בטענותיו אמרינן מיגו למפרע ולקמן אין מיגו עם טענינן</w:t>
      </w:r>
    </w:p>
    <w:p w:rsidR="005306EB" w:rsidRDefault="005306EB" w:rsidP="005306EB">
      <w:pPr>
        <w:pStyle w:val="2"/>
        <w:rPr>
          <w:rFonts w:eastAsiaTheme="minorEastAsia" w:cstheme="minorBidi"/>
          <w:i/>
          <w:iCs/>
          <w:sz w:val="22"/>
          <w:szCs w:val="22"/>
          <w:rtl/>
        </w:rPr>
      </w:pPr>
      <w:r>
        <w:rPr>
          <w:rtl/>
        </w:rPr>
        <w:t>ביאור הרשב"ם בטענות המערער למחזיק</w:t>
      </w:r>
    </w:p>
    <w:p w:rsidR="005306EB" w:rsidRDefault="005306EB" w:rsidP="005306EB">
      <w:pPr>
        <w:pStyle w:val="aff4"/>
        <w:rPr>
          <w:rFonts w:eastAsiaTheme="minorEastAsia" w:cstheme="minorBidi"/>
          <w:i/>
          <w:iCs/>
          <w:noProof/>
          <w:sz w:val="22"/>
          <w:szCs w:val="22"/>
          <w:rtl/>
        </w:rPr>
      </w:pPr>
      <w:r>
        <w:rPr>
          <w:noProof/>
          <w:rtl/>
        </w:rPr>
        <w:t>דברי הרשב"ם דאי היה טוען מינך זבינתה ל"מ בלי שטר וחזקה</w:t>
      </w:r>
    </w:p>
    <w:p w:rsidR="005306EB" w:rsidRDefault="005306EB" w:rsidP="007E4E81">
      <w:pPr>
        <w:pStyle w:val="a"/>
        <w:rPr>
          <w:rFonts w:eastAsiaTheme="minorEastAsia" w:cstheme="minorBidi"/>
          <w:sz w:val="22"/>
          <w:szCs w:val="22"/>
          <w:rtl/>
        </w:rPr>
      </w:pPr>
      <w:r>
        <w:rPr>
          <w:rtl/>
        </w:rPr>
        <w:t>דברי הרשב"ם דאף אם יטען המחזיק מינך זבינתה אינו נאמן כיון שאין לו שטר או חזקה</w:t>
      </w:r>
    </w:p>
    <w:p w:rsidR="005306EB" w:rsidRDefault="005306EB" w:rsidP="007E4E81">
      <w:pPr>
        <w:pStyle w:val="a"/>
        <w:rPr>
          <w:rFonts w:eastAsiaTheme="minorEastAsia" w:cstheme="minorBidi"/>
          <w:sz w:val="22"/>
          <w:szCs w:val="22"/>
          <w:rtl/>
        </w:rPr>
      </w:pPr>
      <w:r>
        <w:rPr>
          <w:rtl/>
        </w:rPr>
        <w:t>ביאור הרשב"ם דטוען המערער שהמחזיק אינו בע"ד דאין לו חזקה והמערער מוחזק יותר ממנו</w:t>
      </w:r>
    </w:p>
    <w:p w:rsidR="005306EB" w:rsidRDefault="005306EB" w:rsidP="007E4E81">
      <w:pPr>
        <w:pStyle w:val="a"/>
        <w:rPr>
          <w:rFonts w:eastAsiaTheme="minorEastAsia" w:cstheme="minorBidi"/>
          <w:sz w:val="22"/>
          <w:szCs w:val="22"/>
          <w:rtl/>
        </w:rPr>
      </w:pPr>
      <w:r>
        <w:rPr>
          <w:rtl/>
        </w:rPr>
        <w:t>דברי הרשב"ם דקיי"ל כרבא דמוציאין את המחזיק מהקרקע אף כשיש לו חזקת ג"ש</w:t>
      </w:r>
    </w:p>
    <w:p w:rsidR="005306EB" w:rsidRDefault="005306EB" w:rsidP="005306EB">
      <w:pPr>
        <w:pStyle w:val="2"/>
        <w:rPr>
          <w:rFonts w:eastAsiaTheme="minorEastAsia" w:cstheme="minorBidi"/>
          <w:i/>
          <w:iCs/>
          <w:sz w:val="22"/>
          <w:szCs w:val="22"/>
          <w:rtl/>
        </w:rPr>
      </w:pPr>
      <w:r>
        <w:rPr>
          <w:rtl/>
        </w:rPr>
        <w:t>קו' האחרונים על הרשב"ם דיש לו מיגו</w:t>
      </w:r>
    </w:p>
    <w:p w:rsidR="005306EB" w:rsidRDefault="005306EB" w:rsidP="005306EB">
      <w:pPr>
        <w:pStyle w:val="aff4"/>
        <w:rPr>
          <w:rFonts w:eastAsiaTheme="minorEastAsia" w:cstheme="minorBidi"/>
          <w:i/>
          <w:iCs/>
          <w:noProof/>
          <w:sz w:val="22"/>
          <w:szCs w:val="22"/>
          <w:rtl/>
        </w:rPr>
      </w:pPr>
      <w:r>
        <w:rPr>
          <w:noProof/>
          <w:rtl/>
        </w:rPr>
        <w:t>קו' הדרישה על הרשב"ם דבמינך זבינתה יש לו מיגו דלהד"ם</w:t>
      </w:r>
    </w:p>
    <w:p w:rsidR="005306EB" w:rsidRDefault="005306EB" w:rsidP="007E4E81">
      <w:pPr>
        <w:pStyle w:val="a"/>
        <w:rPr>
          <w:rFonts w:eastAsiaTheme="minorEastAsia" w:cstheme="minorBidi"/>
          <w:sz w:val="22"/>
          <w:szCs w:val="22"/>
          <w:rtl/>
        </w:rPr>
      </w:pPr>
      <w:r>
        <w:rPr>
          <w:rtl/>
        </w:rPr>
        <w:lastRenderedPageBreak/>
        <w:t>דברי הדרישה דמבואר ברשב"ם דאינו נאמן במינך זבינתה במיגו דלהד"ם כיון שאין לו חזקה</w:t>
      </w:r>
    </w:p>
    <w:p w:rsidR="005306EB" w:rsidRDefault="005306EB" w:rsidP="007E4E81">
      <w:pPr>
        <w:pStyle w:val="a"/>
        <w:rPr>
          <w:rFonts w:eastAsiaTheme="minorEastAsia" w:cstheme="minorBidi"/>
          <w:sz w:val="22"/>
          <w:szCs w:val="22"/>
          <w:rtl/>
        </w:rPr>
      </w:pPr>
      <w:r>
        <w:rPr>
          <w:rtl/>
        </w:rPr>
        <w:t>דברי הדרישה דמוכח בכמה מקומות בדברי הרשב"ם דכשאין לו חזקה ל"מ מיגו דלהד"ם</w:t>
      </w:r>
    </w:p>
    <w:p w:rsidR="005306EB" w:rsidRDefault="005306EB" w:rsidP="007E4E81">
      <w:pPr>
        <w:pStyle w:val="a"/>
        <w:rPr>
          <w:rFonts w:eastAsiaTheme="minorEastAsia" w:cstheme="minorBidi"/>
          <w:sz w:val="22"/>
          <w:szCs w:val="22"/>
          <w:rtl/>
        </w:rPr>
      </w:pPr>
      <w:r>
        <w:rPr>
          <w:rtl/>
        </w:rPr>
        <w:t>קו' הדרישה דיש למחזיק הפה שאסר וא"א לומר דלהד"ם הוא טענה גרועה דהא המוכר נאמן בה</w:t>
      </w:r>
    </w:p>
    <w:p w:rsidR="005306EB" w:rsidRDefault="005306EB" w:rsidP="007E4E81">
      <w:pPr>
        <w:pStyle w:val="a"/>
        <w:rPr>
          <w:rFonts w:eastAsiaTheme="minorEastAsia" w:cstheme="minorBidi"/>
          <w:sz w:val="22"/>
          <w:szCs w:val="22"/>
          <w:rtl/>
        </w:rPr>
      </w:pPr>
      <w:r>
        <w:rPr>
          <w:rtl/>
        </w:rPr>
        <w:t>קושית התורת חיים והביה"ל על הרשב"ם דאף שאין לו שטר או חזקה מ"מ נאמן במיגו דלהד"ם</w:t>
      </w:r>
    </w:p>
    <w:p w:rsidR="005306EB" w:rsidRDefault="005306EB" w:rsidP="007E4E81">
      <w:pPr>
        <w:pStyle w:val="a"/>
        <w:rPr>
          <w:rFonts w:eastAsiaTheme="minorEastAsia" w:cstheme="minorBidi"/>
          <w:sz w:val="22"/>
          <w:szCs w:val="22"/>
          <w:rtl/>
        </w:rPr>
      </w:pPr>
      <w:r>
        <w:rPr>
          <w:rtl/>
        </w:rPr>
        <w:t>קושית התורת חיים על הרשב"ם דאי אינו נאמן במינך זבינתה אמאי א"ל המערער כן</w:t>
      </w:r>
    </w:p>
    <w:p w:rsidR="005306EB" w:rsidRDefault="005306EB" w:rsidP="005306EB">
      <w:pPr>
        <w:pStyle w:val="aff4"/>
        <w:rPr>
          <w:rFonts w:eastAsiaTheme="minorEastAsia" w:cstheme="minorBidi"/>
          <w:i/>
          <w:iCs/>
          <w:noProof/>
          <w:sz w:val="22"/>
          <w:szCs w:val="22"/>
          <w:rtl/>
        </w:rPr>
      </w:pPr>
      <w:r>
        <w:rPr>
          <w:noProof/>
          <w:rtl/>
        </w:rPr>
        <w:t>קושית הביה"ל בסתירת דברי הרשב"ם אי בסוגיין מהני חזקה</w:t>
      </w:r>
    </w:p>
    <w:p w:rsidR="005306EB" w:rsidRDefault="005306EB" w:rsidP="007E4E81">
      <w:pPr>
        <w:pStyle w:val="a"/>
        <w:rPr>
          <w:rFonts w:eastAsiaTheme="minorEastAsia" w:cstheme="minorBidi"/>
          <w:sz w:val="22"/>
          <w:szCs w:val="22"/>
          <w:rtl/>
        </w:rPr>
      </w:pPr>
      <w:r>
        <w:rPr>
          <w:rtl/>
        </w:rPr>
        <w:t>קושית הביה"ל בסתירת הרשב"ם אי המחזיק זוכה בקרקע כשיש לו חזקה או דאין עמה טענה</w:t>
      </w:r>
    </w:p>
    <w:p w:rsidR="005306EB" w:rsidRDefault="005306EB" w:rsidP="007E4E81">
      <w:pPr>
        <w:pStyle w:val="a"/>
        <w:rPr>
          <w:rFonts w:eastAsiaTheme="minorEastAsia" w:cstheme="minorBidi"/>
          <w:sz w:val="22"/>
          <w:szCs w:val="22"/>
          <w:rtl/>
        </w:rPr>
      </w:pPr>
      <w:r>
        <w:rPr>
          <w:rtl/>
        </w:rPr>
        <w:t>ביאור הביה"ל ברשב"ם דלרבא לקמן זוכה בחזקה דחשיב טענת ברי וקיי"ל כאביי דאינו זוכה</w:t>
      </w:r>
    </w:p>
    <w:p w:rsidR="005306EB" w:rsidRDefault="005306EB" w:rsidP="005306EB">
      <w:pPr>
        <w:pStyle w:val="2"/>
        <w:rPr>
          <w:rFonts w:eastAsiaTheme="minorEastAsia" w:cstheme="minorBidi"/>
          <w:i/>
          <w:iCs/>
          <w:sz w:val="22"/>
          <w:szCs w:val="22"/>
          <w:rtl/>
        </w:rPr>
      </w:pPr>
      <w:r>
        <w:rPr>
          <w:rtl/>
        </w:rPr>
        <w:t>בי' הפנ"ש דהרשב"ם כר"ח שאינו בע"ד</w:t>
      </w:r>
    </w:p>
    <w:p w:rsidR="005306EB" w:rsidRDefault="005306EB" w:rsidP="005306EB">
      <w:pPr>
        <w:pStyle w:val="aff4"/>
        <w:rPr>
          <w:rFonts w:eastAsiaTheme="minorEastAsia" w:cstheme="minorBidi"/>
          <w:i/>
          <w:iCs/>
          <w:noProof/>
          <w:sz w:val="22"/>
          <w:szCs w:val="22"/>
          <w:rtl/>
        </w:rPr>
      </w:pPr>
      <w:r>
        <w:rPr>
          <w:noProof/>
          <w:rtl/>
        </w:rPr>
        <w:t>ביאור הפני שלמה דהרשב"ם ביאר כר"ח דהמחזיק אינו בע"ד</w:t>
      </w:r>
    </w:p>
    <w:p w:rsidR="005306EB" w:rsidRDefault="005306EB" w:rsidP="007E4E81">
      <w:pPr>
        <w:pStyle w:val="a"/>
        <w:rPr>
          <w:rFonts w:eastAsiaTheme="minorEastAsia" w:cstheme="minorBidi"/>
          <w:sz w:val="22"/>
          <w:szCs w:val="22"/>
          <w:rtl/>
        </w:rPr>
      </w:pPr>
      <w:r>
        <w:rPr>
          <w:rtl/>
        </w:rPr>
        <w:t>ביאור הפני שלמה ברשב"ם דהא דאין המחזיק בע"ד של המערער הוא כיון שאין לו חזקת ג"ש</w:t>
      </w:r>
    </w:p>
    <w:p w:rsidR="005306EB" w:rsidRDefault="005306EB" w:rsidP="007E4E81">
      <w:pPr>
        <w:pStyle w:val="a"/>
        <w:rPr>
          <w:rFonts w:eastAsiaTheme="minorEastAsia" w:cstheme="minorBidi"/>
          <w:sz w:val="22"/>
          <w:szCs w:val="22"/>
          <w:rtl/>
        </w:rPr>
      </w:pPr>
      <w:r>
        <w:rPr>
          <w:rtl/>
        </w:rPr>
        <w:t>תי' הפני שלמה על קו' התו"ח דאי היה טוען מינך זבינתה אף שלא נאמן היה בע"ד של המערער</w:t>
      </w:r>
    </w:p>
    <w:p w:rsidR="005306EB" w:rsidRDefault="005306EB" w:rsidP="005306EB">
      <w:pPr>
        <w:pStyle w:val="2"/>
        <w:rPr>
          <w:rFonts w:eastAsiaTheme="minorEastAsia" w:cstheme="minorBidi"/>
          <w:i/>
          <w:iCs/>
          <w:sz w:val="22"/>
          <w:szCs w:val="22"/>
          <w:rtl/>
        </w:rPr>
      </w:pPr>
      <w:r>
        <w:rPr>
          <w:rtl/>
        </w:rPr>
        <w:t>בד' הרשב"ם דל"מ מיגו כנגד אחוי שטרך</w:t>
      </w:r>
    </w:p>
    <w:p w:rsidR="005306EB" w:rsidRDefault="005306EB" w:rsidP="005306EB">
      <w:pPr>
        <w:pStyle w:val="aff4"/>
        <w:rPr>
          <w:rFonts w:eastAsiaTheme="minorEastAsia" w:cstheme="minorBidi"/>
          <w:i/>
          <w:iCs/>
          <w:noProof/>
          <w:sz w:val="22"/>
          <w:szCs w:val="22"/>
          <w:rtl/>
        </w:rPr>
      </w:pPr>
      <w:r>
        <w:rPr>
          <w:noProof/>
          <w:rtl/>
        </w:rPr>
        <w:t>ביאור הדרישה והביה"ל ברשב"ם דל"מ מיגו כנגד אחוי שטרך</w:t>
      </w:r>
    </w:p>
    <w:p w:rsidR="005306EB" w:rsidRDefault="005306EB" w:rsidP="007E4E81">
      <w:pPr>
        <w:pStyle w:val="a"/>
        <w:rPr>
          <w:rFonts w:eastAsiaTheme="minorEastAsia" w:cstheme="minorBidi"/>
          <w:sz w:val="22"/>
          <w:szCs w:val="22"/>
          <w:rtl/>
        </w:rPr>
      </w:pPr>
      <w:r>
        <w:rPr>
          <w:rtl/>
        </w:rPr>
        <w:t>ביאור הדרישה ברשב"ם דכשידוע שאין לו חזקה אינו נאמן במיגו דאמרינן ליה אחוי שטרך</w:t>
      </w:r>
    </w:p>
    <w:p w:rsidR="005306EB" w:rsidRDefault="005306EB" w:rsidP="007E4E81">
      <w:pPr>
        <w:pStyle w:val="a"/>
        <w:rPr>
          <w:rFonts w:eastAsiaTheme="minorEastAsia" w:cstheme="minorBidi"/>
          <w:sz w:val="22"/>
          <w:szCs w:val="22"/>
          <w:rtl/>
        </w:rPr>
      </w:pPr>
      <w:r>
        <w:rPr>
          <w:rtl/>
        </w:rPr>
        <w:t>ביאור הדרישה ברשב"ם דבסוגיין הודה המחזיק שאין לו חזקה ול"מ מיגו כנגד אחוי שטרך</w:t>
      </w:r>
    </w:p>
    <w:p w:rsidR="005306EB" w:rsidRDefault="005306EB" w:rsidP="007E4E81">
      <w:pPr>
        <w:pStyle w:val="a"/>
        <w:rPr>
          <w:rFonts w:eastAsiaTheme="minorEastAsia" w:cstheme="minorBidi"/>
          <w:sz w:val="22"/>
          <w:szCs w:val="22"/>
          <w:rtl/>
        </w:rPr>
      </w:pPr>
      <w:r>
        <w:rPr>
          <w:rtl/>
        </w:rPr>
        <w:t>דברי הביה"ל דרק כשיש למחזיק חזקה נאמן במיגו דלהד"ם ובלא חזקה אמרינן ליה אחוי שטרך</w:t>
      </w:r>
    </w:p>
    <w:p w:rsidR="005306EB" w:rsidRDefault="005306EB" w:rsidP="005306EB">
      <w:pPr>
        <w:pStyle w:val="aff4"/>
        <w:rPr>
          <w:rFonts w:eastAsiaTheme="minorEastAsia" w:cstheme="minorBidi"/>
          <w:i/>
          <w:iCs/>
          <w:noProof/>
          <w:sz w:val="22"/>
          <w:szCs w:val="22"/>
          <w:rtl/>
        </w:rPr>
      </w:pPr>
      <w:r>
        <w:rPr>
          <w:noProof/>
          <w:rtl/>
        </w:rPr>
        <w:t>דברי הגרעק"א דבפוסקים מוכח דמהני מיגו כנגד אחוי שטרך</w:t>
      </w:r>
    </w:p>
    <w:p w:rsidR="005306EB" w:rsidRDefault="005306EB" w:rsidP="007E4E81">
      <w:pPr>
        <w:pStyle w:val="a"/>
        <w:rPr>
          <w:rFonts w:eastAsiaTheme="minorEastAsia" w:cstheme="minorBidi"/>
          <w:sz w:val="22"/>
          <w:szCs w:val="22"/>
          <w:rtl/>
        </w:rPr>
      </w:pPr>
      <w:r>
        <w:rPr>
          <w:rtl/>
        </w:rPr>
        <w:t>דברי הגרעק"א דמהרי"ף ומסתימת כל הפוסקים משמע דמהני מיגו אף כנגד טענת אחוי שטרך</w:t>
      </w:r>
    </w:p>
    <w:p w:rsidR="005306EB" w:rsidRDefault="005306EB" w:rsidP="005306EB">
      <w:pPr>
        <w:pStyle w:val="2"/>
        <w:rPr>
          <w:rFonts w:eastAsiaTheme="minorEastAsia" w:cstheme="minorBidi"/>
          <w:i/>
          <w:iCs/>
          <w:sz w:val="22"/>
          <w:szCs w:val="22"/>
          <w:rtl/>
        </w:rPr>
      </w:pPr>
      <w:r>
        <w:rPr>
          <w:rtl/>
        </w:rPr>
        <w:t>דברי ר"ח דהמחזיק אינו בע"ד למערער</w:t>
      </w:r>
    </w:p>
    <w:p w:rsidR="005306EB" w:rsidRDefault="005306EB" w:rsidP="005306EB">
      <w:pPr>
        <w:pStyle w:val="aff4"/>
        <w:rPr>
          <w:rFonts w:eastAsiaTheme="minorEastAsia" w:cstheme="minorBidi"/>
          <w:i/>
          <w:iCs/>
          <w:noProof/>
          <w:sz w:val="22"/>
          <w:szCs w:val="22"/>
          <w:rtl/>
        </w:rPr>
      </w:pPr>
      <w:r>
        <w:rPr>
          <w:noProof/>
          <w:rtl/>
        </w:rPr>
        <w:t>דברי ר"ח בשם הגאונים דהמחזיק אינו בע"ד של המערער</w:t>
      </w:r>
    </w:p>
    <w:p w:rsidR="005306EB" w:rsidRDefault="005306EB" w:rsidP="007E4E81">
      <w:pPr>
        <w:pStyle w:val="a"/>
        <w:rPr>
          <w:rFonts w:eastAsiaTheme="minorEastAsia" w:cstheme="minorBidi"/>
          <w:sz w:val="22"/>
          <w:szCs w:val="22"/>
          <w:rtl/>
        </w:rPr>
      </w:pPr>
      <w:r>
        <w:rPr>
          <w:rtl/>
        </w:rPr>
        <w:t>דברי ר"ח בשם הגאונים דהמחזיק אינו יכול לדון עם המערער ורק המוכר דן עם המערער</w:t>
      </w:r>
    </w:p>
    <w:p w:rsidR="005306EB" w:rsidRDefault="005306EB" w:rsidP="005306EB">
      <w:pPr>
        <w:pStyle w:val="aff4"/>
        <w:rPr>
          <w:rFonts w:eastAsiaTheme="minorEastAsia" w:cstheme="minorBidi"/>
          <w:i/>
          <w:iCs/>
          <w:noProof/>
          <w:sz w:val="22"/>
          <w:szCs w:val="22"/>
          <w:rtl/>
        </w:rPr>
      </w:pPr>
      <w:r>
        <w:rPr>
          <w:noProof/>
          <w:rtl/>
        </w:rPr>
        <w:t>דעת הרשב"א בתוס' דהמחזיק בע"ד כיון שהמוכר בע"ד</w:t>
      </w:r>
    </w:p>
    <w:p w:rsidR="005306EB" w:rsidRDefault="005306EB" w:rsidP="007E4E81">
      <w:pPr>
        <w:pStyle w:val="a"/>
        <w:rPr>
          <w:rFonts w:eastAsiaTheme="minorEastAsia" w:cstheme="minorBidi"/>
          <w:sz w:val="22"/>
          <w:szCs w:val="22"/>
          <w:rtl/>
        </w:rPr>
      </w:pPr>
      <w:r>
        <w:rPr>
          <w:rtl/>
        </w:rPr>
        <w:t>דברי הרשב"א בתוס' דכל זכות שיש למוכר מכר למחזיק ולכן הוא יכול לדון עם המערער</w:t>
      </w:r>
    </w:p>
    <w:p w:rsidR="005306EB" w:rsidRDefault="005306EB" w:rsidP="005306EB">
      <w:pPr>
        <w:pStyle w:val="aff4"/>
        <w:rPr>
          <w:rFonts w:eastAsiaTheme="minorEastAsia" w:cstheme="minorBidi"/>
          <w:i/>
          <w:iCs/>
          <w:noProof/>
          <w:sz w:val="22"/>
          <w:szCs w:val="22"/>
          <w:rtl/>
        </w:rPr>
      </w:pPr>
      <w:r>
        <w:rPr>
          <w:noProof/>
          <w:rtl/>
        </w:rPr>
        <w:t>ביאור הפני שלמה בפלוגתת הגאונים והרשב"א בתוס'</w:t>
      </w:r>
    </w:p>
    <w:p w:rsidR="005306EB" w:rsidRDefault="005306EB" w:rsidP="007E4E81">
      <w:pPr>
        <w:pStyle w:val="a"/>
        <w:rPr>
          <w:rFonts w:eastAsiaTheme="minorEastAsia" w:cstheme="minorBidi"/>
          <w:sz w:val="22"/>
          <w:szCs w:val="22"/>
          <w:rtl/>
        </w:rPr>
      </w:pPr>
      <w:r>
        <w:rPr>
          <w:rtl/>
        </w:rPr>
        <w:t>ביאור הפני שלמה בגאונים דבגמ' לקמן איירי שיש לו חזקה ולכן נחשב המחזיק לבע"ד למערער</w:t>
      </w:r>
    </w:p>
    <w:p w:rsidR="005306EB" w:rsidRDefault="005306EB" w:rsidP="007E4E81">
      <w:pPr>
        <w:pStyle w:val="a"/>
        <w:rPr>
          <w:rFonts w:eastAsiaTheme="minorEastAsia" w:cstheme="minorBidi"/>
          <w:sz w:val="22"/>
          <w:szCs w:val="22"/>
          <w:rtl/>
        </w:rPr>
      </w:pPr>
      <w:r>
        <w:rPr>
          <w:rtl/>
        </w:rPr>
        <w:t>ביאור הפני שלמה ברשב"א בתוס' דס"ל דאף כשאין חזקה טענינין למחזיק ול"מ החזקה למחזיק</w:t>
      </w:r>
    </w:p>
    <w:p w:rsidR="005306EB" w:rsidRDefault="005306EB" w:rsidP="005306EB">
      <w:pPr>
        <w:pStyle w:val="2"/>
        <w:rPr>
          <w:rFonts w:eastAsiaTheme="minorEastAsia" w:cstheme="minorBidi"/>
          <w:i/>
          <w:iCs/>
          <w:sz w:val="22"/>
          <w:szCs w:val="22"/>
          <w:rtl/>
        </w:rPr>
      </w:pPr>
      <w:r>
        <w:rPr>
          <w:rtl/>
        </w:rPr>
        <w:t>בנמצא המוכר לפנינו אי טוען למחזיק</w:t>
      </w:r>
    </w:p>
    <w:p w:rsidR="005306EB" w:rsidRDefault="005306EB" w:rsidP="005306EB">
      <w:pPr>
        <w:pStyle w:val="aff4"/>
        <w:rPr>
          <w:rFonts w:eastAsiaTheme="minorEastAsia" w:cstheme="minorBidi"/>
          <w:i/>
          <w:iCs/>
          <w:noProof/>
          <w:sz w:val="22"/>
          <w:szCs w:val="22"/>
          <w:rtl/>
        </w:rPr>
      </w:pPr>
      <w:r>
        <w:rPr>
          <w:noProof/>
          <w:rtl/>
        </w:rPr>
        <w:t>דברי רבינו יונה דבזכה המוכר בב"ד אין מוצאין מהמחזיק</w:t>
      </w:r>
    </w:p>
    <w:p w:rsidR="005306EB" w:rsidRDefault="005306EB" w:rsidP="007E4E81">
      <w:pPr>
        <w:pStyle w:val="a"/>
        <w:rPr>
          <w:rFonts w:eastAsiaTheme="minorEastAsia" w:cstheme="minorBidi"/>
          <w:sz w:val="22"/>
          <w:szCs w:val="22"/>
          <w:rtl/>
        </w:rPr>
      </w:pPr>
      <w:r>
        <w:rPr>
          <w:rtl/>
        </w:rPr>
        <w:t>דברי רבינו יונה דרק כשזכה המוכר בדין לפני שמכר למחזיק א"א להוציא מהמחזיק אף שהודה</w:t>
      </w:r>
    </w:p>
    <w:p w:rsidR="005306EB" w:rsidRDefault="005306EB" w:rsidP="007E4E81">
      <w:pPr>
        <w:pStyle w:val="a"/>
        <w:rPr>
          <w:rFonts w:eastAsiaTheme="minorEastAsia" w:cstheme="minorBidi"/>
          <w:sz w:val="22"/>
          <w:szCs w:val="22"/>
          <w:rtl/>
        </w:rPr>
      </w:pPr>
      <w:r>
        <w:rPr>
          <w:rtl/>
        </w:rPr>
        <w:t>ביאור הגר"א ברבינו יונה דרק לאחר דנפסק הדין כמוכר א"א להוציא מהמחזיק דקם דינא</w:t>
      </w:r>
    </w:p>
    <w:p w:rsidR="005306EB" w:rsidRDefault="005306EB" w:rsidP="005306EB">
      <w:pPr>
        <w:pStyle w:val="aff4"/>
        <w:rPr>
          <w:rFonts w:eastAsiaTheme="minorEastAsia" w:cstheme="minorBidi"/>
          <w:i/>
          <w:iCs/>
          <w:noProof/>
          <w:sz w:val="22"/>
          <w:szCs w:val="22"/>
          <w:rtl/>
        </w:rPr>
      </w:pPr>
      <w:r>
        <w:rPr>
          <w:noProof/>
          <w:rtl/>
        </w:rPr>
        <w:t>דברי הרשב"א דהמוכר יכול לדון עם המערער במקום הלוקח</w:t>
      </w:r>
    </w:p>
    <w:p w:rsidR="005306EB" w:rsidRDefault="005306EB" w:rsidP="007E4E81">
      <w:pPr>
        <w:pStyle w:val="a"/>
        <w:rPr>
          <w:rFonts w:eastAsiaTheme="minorEastAsia" w:cstheme="minorBidi"/>
          <w:sz w:val="22"/>
          <w:szCs w:val="22"/>
          <w:rtl/>
        </w:rPr>
      </w:pPr>
      <w:r>
        <w:rPr>
          <w:rtl/>
        </w:rPr>
        <w:t>דברי הרשב"א דלפני שהודה המחזיק למערער יכול המוכר לדון עמו ואחר שיזכה זוכה המחזיק</w:t>
      </w:r>
    </w:p>
    <w:p w:rsidR="005306EB" w:rsidRDefault="005306EB" w:rsidP="005306EB">
      <w:pPr>
        <w:pStyle w:val="2"/>
        <w:rPr>
          <w:rFonts w:eastAsiaTheme="minorEastAsia" w:cstheme="minorBidi"/>
          <w:i/>
          <w:iCs/>
          <w:sz w:val="22"/>
          <w:szCs w:val="22"/>
          <w:rtl/>
        </w:rPr>
      </w:pPr>
      <w:r>
        <w:rPr>
          <w:rtl/>
        </w:rPr>
        <w:t>בטענת המוכר במקום המחזיק</w:t>
      </w:r>
    </w:p>
    <w:p w:rsidR="005306EB" w:rsidRDefault="005306EB" w:rsidP="005306EB">
      <w:pPr>
        <w:pStyle w:val="aff4"/>
        <w:rPr>
          <w:rFonts w:eastAsiaTheme="minorEastAsia" w:cstheme="minorBidi"/>
          <w:i/>
          <w:iCs/>
          <w:noProof/>
          <w:sz w:val="22"/>
          <w:szCs w:val="22"/>
          <w:rtl/>
        </w:rPr>
      </w:pPr>
      <w:r>
        <w:rPr>
          <w:noProof/>
          <w:rtl/>
        </w:rPr>
        <w:t>דברי התורי"ד אי יכול המוכר לדון עם המערער או לא</w:t>
      </w:r>
    </w:p>
    <w:p w:rsidR="005306EB" w:rsidRDefault="005306EB" w:rsidP="007E4E81">
      <w:pPr>
        <w:pStyle w:val="a"/>
        <w:rPr>
          <w:rFonts w:eastAsiaTheme="minorEastAsia" w:cstheme="minorBidi"/>
          <w:sz w:val="22"/>
          <w:szCs w:val="22"/>
          <w:rtl/>
        </w:rPr>
      </w:pPr>
      <w:r>
        <w:rPr>
          <w:rtl/>
        </w:rPr>
        <w:t>דברי התורי"ד דיכול המערער לומר דהמוכר לא היה מעיז לומר שקנה ממנו ול"מ טענת המוכר</w:t>
      </w:r>
    </w:p>
    <w:p w:rsidR="005306EB" w:rsidRDefault="005306EB" w:rsidP="007E4E81">
      <w:pPr>
        <w:pStyle w:val="a"/>
        <w:rPr>
          <w:rFonts w:eastAsiaTheme="minorEastAsia" w:cstheme="minorBidi"/>
          <w:sz w:val="22"/>
          <w:szCs w:val="22"/>
          <w:rtl/>
        </w:rPr>
      </w:pPr>
      <w:r>
        <w:rPr>
          <w:rtl/>
        </w:rPr>
        <w:t>דברי התורי"ד דבנמצא המוכר לפנינו ודאי דנאמן במיגו והכא איירי שאין המוכר לפנינו</w:t>
      </w:r>
    </w:p>
    <w:p w:rsidR="005306EB" w:rsidRDefault="005306EB" w:rsidP="007E4E81">
      <w:pPr>
        <w:pStyle w:val="a"/>
        <w:rPr>
          <w:rFonts w:eastAsiaTheme="minorEastAsia" w:cstheme="minorBidi"/>
          <w:sz w:val="22"/>
          <w:szCs w:val="22"/>
          <w:rtl/>
        </w:rPr>
      </w:pPr>
      <w:r>
        <w:rPr>
          <w:rtl/>
        </w:rPr>
        <w:t>דחיית התורי"ד דכשהקרקע ברשות המחזיק מוציא המערער את המחזיק אף שהמוכר לפנינו</w:t>
      </w:r>
    </w:p>
    <w:p w:rsidR="005306EB" w:rsidRDefault="005306EB" w:rsidP="007E4E81">
      <w:pPr>
        <w:pStyle w:val="a"/>
        <w:rPr>
          <w:rFonts w:eastAsiaTheme="minorEastAsia" w:cstheme="minorBidi"/>
          <w:sz w:val="22"/>
          <w:szCs w:val="22"/>
        </w:rPr>
      </w:pPr>
      <w:r>
        <w:rPr>
          <w:rtl/>
        </w:rPr>
        <w:t>ביאור התורי"ד דכיון שהמחזיק אינו יכול לתבוע את המוכר ל"מ המיגו של המוכר</w:t>
      </w:r>
    </w:p>
    <w:p w:rsidR="003A25B9" w:rsidRDefault="003A25B9" w:rsidP="007E4E81">
      <w:pPr>
        <w:pStyle w:val="a"/>
        <w:numPr>
          <w:ilvl w:val="0"/>
          <w:numId w:val="0"/>
        </w:numPr>
        <w:rPr>
          <w:rtl/>
        </w:rPr>
      </w:pPr>
    </w:p>
    <w:p w:rsidR="003A25B9" w:rsidRDefault="003A25B9" w:rsidP="007E4E81">
      <w:pPr>
        <w:pStyle w:val="a"/>
        <w:numPr>
          <w:ilvl w:val="0"/>
          <w:numId w:val="0"/>
        </w:numPr>
        <w:rPr>
          <w:rtl/>
        </w:rPr>
      </w:pPr>
    </w:p>
    <w:p w:rsidR="005306EB" w:rsidRDefault="001B6519" w:rsidP="005306EB">
      <w:pPr>
        <w:pStyle w:val="2"/>
        <w:rPr>
          <w:rFonts w:eastAsiaTheme="minorEastAsia" w:cstheme="minorBidi"/>
          <w:i/>
          <w:iCs/>
          <w:sz w:val="22"/>
          <w:szCs w:val="22"/>
          <w:rtl/>
        </w:rPr>
      </w:pPr>
      <w:r>
        <w:rPr>
          <w:rtl/>
        </w:rPr>
        <w:t>~~~~~~~ ביאורי ראשי הישיבות ~~~~~~~</w:t>
      </w:r>
    </w:p>
    <w:p w:rsidR="005306EB" w:rsidRDefault="005306EB" w:rsidP="005306EB">
      <w:pPr>
        <w:pStyle w:val="2"/>
        <w:rPr>
          <w:rFonts w:eastAsiaTheme="minorEastAsia" w:cstheme="minorBidi"/>
          <w:i/>
          <w:iCs/>
          <w:sz w:val="22"/>
          <w:szCs w:val="22"/>
          <w:rtl/>
        </w:rPr>
      </w:pPr>
      <w:r>
        <w:rPr>
          <w:rtl/>
        </w:rPr>
        <w:t>בד' תוס' דמיגו למפרע לא אמרינן</w:t>
      </w:r>
    </w:p>
    <w:p w:rsidR="005306EB" w:rsidRDefault="005306EB" w:rsidP="005306EB">
      <w:pPr>
        <w:pStyle w:val="aff4"/>
        <w:rPr>
          <w:rFonts w:eastAsiaTheme="minorEastAsia" w:cstheme="minorBidi"/>
          <w:i/>
          <w:iCs/>
          <w:noProof/>
          <w:sz w:val="22"/>
          <w:szCs w:val="22"/>
          <w:rtl/>
        </w:rPr>
      </w:pPr>
      <w:r>
        <w:rPr>
          <w:noProof/>
          <w:rtl/>
        </w:rPr>
        <w:t>ביאור הגרנ"פ דבמיגו למפרע אין ראיה ואין את כח הטענה</w:t>
      </w:r>
    </w:p>
    <w:p w:rsidR="005306EB" w:rsidRDefault="005306EB" w:rsidP="007E4E81">
      <w:pPr>
        <w:pStyle w:val="a"/>
        <w:rPr>
          <w:rFonts w:eastAsiaTheme="minorEastAsia" w:cstheme="minorBidi"/>
          <w:sz w:val="22"/>
          <w:szCs w:val="22"/>
          <w:rtl/>
        </w:rPr>
      </w:pPr>
      <w:r>
        <w:rPr>
          <w:rtl/>
        </w:rPr>
        <w:t>ביאור הגרנ"פ בתוס' דהא דל"א מיגו למפרע דכיון שלא העלה בדעתו אין ראיה דמה לו לשקר</w:t>
      </w:r>
    </w:p>
    <w:p w:rsidR="005306EB" w:rsidRDefault="005306EB" w:rsidP="007E4E81">
      <w:pPr>
        <w:pStyle w:val="a"/>
        <w:rPr>
          <w:rFonts w:eastAsiaTheme="minorEastAsia" w:cstheme="minorBidi"/>
          <w:sz w:val="22"/>
          <w:szCs w:val="22"/>
          <w:rtl/>
        </w:rPr>
      </w:pPr>
      <w:r>
        <w:rPr>
          <w:rtl/>
        </w:rPr>
        <w:t>דברי הגרנ"פ דמשמע בתוס' דמיגו מהני כשיש ראיה דמה לו לשקר אף כשאין את כח הטענה</w:t>
      </w:r>
    </w:p>
    <w:p w:rsidR="005306EB" w:rsidRDefault="005306EB" w:rsidP="007E4E81">
      <w:pPr>
        <w:pStyle w:val="a"/>
        <w:rPr>
          <w:rFonts w:eastAsiaTheme="minorEastAsia" w:cstheme="minorBidi"/>
          <w:sz w:val="22"/>
          <w:szCs w:val="22"/>
          <w:rtl/>
        </w:rPr>
      </w:pPr>
      <w:r>
        <w:rPr>
          <w:rtl/>
        </w:rPr>
        <w:t>דברי הגרנ"פ דמביאור התוס' בגמ' בסנהדרין משמע דלא סגי במה לי לשקר וצריך כח הטענה</w:t>
      </w:r>
    </w:p>
    <w:p w:rsidR="005306EB" w:rsidRDefault="005306EB" w:rsidP="007E4E81">
      <w:pPr>
        <w:pStyle w:val="a"/>
        <w:rPr>
          <w:rFonts w:eastAsiaTheme="minorEastAsia" w:cstheme="minorBidi"/>
          <w:sz w:val="22"/>
          <w:szCs w:val="22"/>
          <w:rtl/>
        </w:rPr>
      </w:pPr>
      <w:r>
        <w:rPr>
          <w:rtl/>
        </w:rPr>
        <w:t>ביאור הגרנ"פ דמספקא לתוס' אי מיגו למפרע ל"מ דאין ראיה או דאין את כח הטענה</w:t>
      </w:r>
    </w:p>
    <w:p w:rsidR="005306EB" w:rsidRDefault="005306EB" w:rsidP="005306EB">
      <w:pPr>
        <w:pStyle w:val="aff4"/>
        <w:rPr>
          <w:rFonts w:eastAsiaTheme="minorEastAsia" w:cstheme="minorBidi"/>
          <w:i/>
          <w:iCs/>
          <w:noProof/>
          <w:sz w:val="22"/>
          <w:szCs w:val="22"/>
          <w:rtl/>
        </w:rPr>
      </w:pPr>
      <w:r>
        <w:rPr>
          <w:noProof/>
          <w:rtl/>
        </w:rPr>
        <w:t>ביאור הגרנ"פ דאי אמרינן מיגו למפרע הוא מדין כח הטענה</w:t>
      </w:r>
    </w:p>
    <w:p w:rsidR="005306EB" w:rsidRDefault="005306EB" w:rsidP="007E4E81">
      <w:pPr>
        <w:pStyle w:val="a"/>
        <w:rPr>
          <w:rFonts w:eastAsiaTheme="minorEastAsia" w:cstheme="minorBidi"/>
          <w:sz w:val="22"/>
          <w:szCs w:val="22"/>
          <w:rtl/>
        </w:rPr>
      </w:pPr>
      <w:r>
        <w:rPr>
          <w:rtl/>
        </w:rPr>
        <w:t>ביאור הגרנ"פ דלסוברים דמהני מיגו למפרע הוא אף שאין ראיה מ"מ יש את כח הטענה</w:t>
      </w:r>
    </w:p>
    <w:p w:rsidR="005306EB" w:rsidRDefault="005306EB" w:rsidP="005306EB">
      <w:pPr>
        <w:pStyle w:val="aff4"/>
        <w:rPr>
          <w:rFonts w:eastAsiaTheme="minorEastAsia" w:cstheme="minorBidi"/>
          <w:i/>
          <w:iCs/>
          <w:noProof/>
          <w:sz w:val="22"/>
          <w:szCs w:val="22"/>
          <w:rtl/>
        </w:rPr>
      </w:pPr>
      <w:r>
        <w:rPr>
          <w:noProof/>
          <w:rtl/>
        </w:rPr>
        <w:t>ביאור הגר"ח מטעלז דמיגו למפרע ל"מ רק במוסיף טענה חדשה</w:t>
      </w:r>
    </w:p>
    <w:p w:rsidR="005306EB" w:rsidRDefault="005306EB" w:rsidP="007E4E81">
      <w:pPr>
        <w:pStyle w:val="a"/>
        <w:rPr>
          <w:rFonts w:eastAsiaTheme="minorEastAsia" w:cstheme="minorBidi"/>
          <w:sz w:val="22"/>
          <w:szCs w:val="22"/>
          <w:rtl/>
        </w:rPr>
      </w:pPr>
      <w:r>
        <w:rPr>
          <w:rtl/>
        </w:rPr>
        <w:t>קושית הגר"ח מטעלז דבמפרש דבריו אי"ז מיגו למפרע ואי קמי דידי הוא טענה נאמן בלי מיגו</w:t>
      </w:r>
    </w:p>
    <w:p w:rsidR="005306EB" w:rsidRDefault="005306EB" w:rsidP="007E4E81">
      <w:pPr>
        <w:pStyle w:val="a"/>
        <w:rPr>
          <w:rFonts w:eastAsiaTheme="minorEastAsia" w:cstheme="minorBidi"/>
          <w:sz w:val="22"/>
          <w:szCs w:val="22"/>
          <w:rtl/>
        </w:rPr>
      </w:pPr>
      <w:r>
        <w:rPr>
          <w:rtl/>
        </w:rPr>
        <w:t>ביאור הגר"ח מטעלז דבטוען עכשיו קמי דידי מוסיף על טענתו ולא מפרש ולכן ל"מ מיגו למפרע</w:t>
      </w:r>
    </w:p>
    <w:p w:rsidR="005306EB" w:rsidRDefault="005306EB" w:rsidP="005306EB">
      <w:pPr>
        <w:pStyle w:val="2"/>
        <w:rPr>
          <w:rFonts w:eastAsiaTheme="minorEastAsia" w:cstheme="minorBidi"/>
          <w:i/>
          <w:iCs/>
          <w:sz w:val="22"/>
          <w:szCs w:val="22"/>
          <w:rtl/>
        </w:rPr>
      </w:pPr>
      <w:r>
        <w:rPr>
          <w:rtl/>
        </w:rPr>
        <w:t>בפלוגתת תוס' והרא"ש במפרש דבריו</w:t>
      </w:r>
    </w:p>
    <w:p w:rsidR="005306EB" w:rsidRDefault="005306EB" w:rsidP="005306EB">
      <w:pPr>
        <w:pStyle w:val="aff4"/>
        <w:rPr>
          <w:rFonts w:eastAsiaTheme="minorEastAsia" w:cstheme="minorBidi"/>
          <w:i/>
          <w:iCs/>
          <w:noProof/>
          <w:sz w:val="22"/>
          <w:szCs w:val="22"/>
          <w:rtl/>
        </w:rPr>
      </w:pPr>
      <w:r>
        <w:rPr>
          <w:noProof/>
          <w:rtl/>
        </w:rPr>
        <w:t>ביאור הגרנ"פ דנח' התוס' והרא"ש בדין חוזר וטוען ולא במיגו</w:t>
      </w:r>
    </w:p>
    <w:p w:rsidR="005306EB" w:rsidRDefault="005306EB" w:rsidP="007E4E81">
      <w:pPr>
        <w:pStyle w:val="a"/>
        <w:rPr>
          <w:rFonts w:eastAsiaTheme="minorEastAsia" w:cstheme="minorBidi"/>
          <w:sz w:val="22"/>
          <w:szCs w:val="22"/>
          <w:rtl/>
        </w:rPr>
      </w:pPr>
      <w:r>
        <w:rPr>
          <w:rtl/>
        </w:rPr>
        <w:t>ביאור הגרנ"פ דפלוגתת התוס' והרא"ש אי נאמן לפרש דבריו הוא בדין חוזר וטוען ולא במיגו</w:t>
      </w:r>
    </w:p>
    <w:p w:rsidR="005306EB" w:rsidRDefault="005306EB" w:rsidP="005306EB">
      <w:pPr>
        <w:pStyle w:val="2"/>
        <w:rPr>
          <w:rFonts w:eastAsiaTheme="minorEastAsia" w:cstheme="minorBidi"/>
          <w:i/>
          <w:iCs/>
          <w:sz w:val="22"/>
          <w:szCs w:val="22"/>
          <w:rtl/>
        </w:rPr>
      </w:pPr>
      <w:r>
        <w:rPr>
          <w:rtl/>
        </w:rPr>
        <w:t>בטענת קמי דידי מדין מיגו או מדין טענה</w:t>
      </w:r>
    </w:p>
    <w:p w:rsidR="005306EB" w:rsidRDefault="005306EB" w:rsidP="005306EB">
      <w:pPr>
        <w:pStyle w:val="aff4"/>
        <w:rPr>
          <w:rFonts w:eastAsiaTheme="minorEastAsia" w:cstheme="minorBidi"/>
          <w:i/>
          <w:iCs/>
          <w:noProof/>
          <w:sz w:val="22"/>
          <w:szCs w:val="22"/>
          <w:rtl/>
        </w:rPr>
      </w:pPr>
      <w:r>
        <w:rPr>
          <w:noProof/>
          <w:rtl/>
        </w:rPr>
        <w:t>דברי הקה"י דטענת קמי דידי בלא מיגו היא טענה גרועה</w:t>
      </w:r>
    </w:p>
    <w:p w:rsidR="005306EB" w:rsidRDefault="005306EB" w:rsidP="007E4E81">
      <w:pPr>
        <w:pStyle w:val="a"/>
        <w:rPr>
          <w:rFonts w:eastAsiaTheme="minorEastAsia" w:cstheme="minorBidi"/>
          <w:sz w:val="22"/>
          <w:szCs w:val="22"/>
          <w:rtl/>
        </w:rPr>
      </w:pPr>
      <w:r>
        <w:rPr>
          <w:rtl/>
        </w:rPr>
        <w:t>קושית הגרעק"א אמאי להתוס' קמי דידי מהני רק במיגו ואמאי לא סגי בחזקה עם טענה</w:t>
      </w:r>
    </w:p>
    <w:p w:rsidR="005306EB" w:rsidRDefault="005306EB" w:rsidP="007E4E81">
      <w:pPr>
        <w:pStyle w:val="a"/>
        <w:rPr>
          <w:rFonts w:eastAsiaTheme="minorEastAsia" w:cstheme="minorBidi"/>
          <w:sz w:val="22"/>
          <w:szCs w:val="22"/>
          <w:rtl/>
        </w:rPr>
      </w:pPr>
      <w:r>
        <w:rPr>
          <w:rtl/>
        </w:rPr>
        <w:t>תי' הקה"י דקמי דידי היא טענה גרועה בלא עידי חד יומא ורק ע"י המיגו חשיבא כטענה טובה</w:t>
      </w:r>
    </w:p>
    <w:p w:rsidR="005306EB" w:rsidRDefault="005306EB" w:rsidP="005306EB">
      <w:pPr>
        <w:pStyle w:val="aff4"/>
        <w:rPr>
          <w:rFonts w:eastAsiaTheme="minorEastAsia" w:cstheme="minorBidi"/>
          <w:i/>
          <w:iCs/>
          <w:noProof/>
          <w:sz w:val="22"/>
          <w:szCs w:val="22"/>
          <w:rtl/>
        </w:rPr>
      </w:pPr>
      <w:r>
        <w:rPr>
          <w:noProof/>
          <w:rtl/>
        </w:rPr>
        <w:t>ביאור הגרש"ר בתוס' דקמי דידי מהני מדין מיגו ולא מדין טענה</w:t>
      </w:r>
    </w:p>
    <w:p w:rsidR="005306EB" w:rsidRDefault="005306EB" w:rsidP="007E4E81">
      <w:pPr>
        <w:pStyle w:val="a"/>
        <w:rPr>
          <w:rFonts w:eastAsiaTheme="minorEastAsia" w:cstheme="minorBidi"/>
          <w:sz w:val="22"/>
          <w:szCs w:val="22"/>
          <w:rtl/>
        </w:rPr>
      </w:pPr>
      <w:r>
        <w:rPr>
          <w:rtl/>
        </w:rPr>
        <w:t>ביאור הגרש"ר בתוס' דחזקה מהני להעמיד בידו וכשאין לו מיגו אינו נאמן וחסר בעיקר החזקה</w:t>
      </w:r>
    </w:p>
    <w:p w:rsidR="005306EB" w:rsidRDefault="005306EB" w:rsidP="007E4E81">
      <w:pPr>
        <w:pStyle w:val="a"/>
        <w:rPr>
          <w:rFonts w:eastAsiaTheme="minorEastAsia" w:cstheme="minorBidi"/>
          <w:sz w:val="22"/>
          <w:szCs w:val="22"/>
          <w:rtl/>
        </w:rPr>
      </w:pPr>
      <w:r>
        <w:rPr>
          <w:rtl/>
        </w:rPr>
        <w:t>הביאור הב' בגרש"ר דכל שטוען רק מכח המוכר ולא מכח עצמו אין לו כח טענה וצריך מיגו</w:t>
      </w:r>
    </w:p>
    <w:p w:rsidR="005306EB" w:rsidRDefault="005306EB" w:rsidP="005306EB">
      <w:pPr>
        <w:pStyle w:val="aff4"/>
        <w:rPr>
          <w:rFonts w:eastAsiaTheme="minorEastAsia" w:cstheme="minorBidi"/>
          <w:i/>
          <w:iCs/>
          <w:noProof/>
          <w:sz w:val="22"/>
          <w:szCs w:val="22"/>
          <w:rtl/>
        </w:rPr>
      </w:pPr>
      <w:r>
        <w:rPr>
          <w:noProof/>
          <w:rtl/>
        </w:rPr>
        <w:t>דברי הגרנ"פ דקמי דידי בלי מיגו חסר בעיקר החזקה</w:t>
      </w:r>
    </w:p>
    <w:p w:rsidR="005306EB" w:rsidRDefault="005306EB" w:rsidP="007E4E81">
      <w:pPr>
        <w:pStyle w:val="a"/>
        <w:rPr>
          <w:rFonts w:eastAsiaTheme="minorEastAsia" w:cstheme="minorBidi"/>
          <w:sz w:val="22"/>
          <w:szCs w:val="22"/>
          <w:rtl/>
        </w:rPr>
      </w:pPr>
      <w:r>
        <w:rPr>
          <w:rtl/>
        </w:rPr>
        <w:t>ביאור הגרנ"פ דלתוס' חד יומא הוא דין בעיקר החזקה ובלי המיגו לא חשיב חזקה עם טענה</w:t>
      </w:r>
    </w:p>
    <w:p w:rsidR="005306EB" w:rsidRDefault="005306EB" w:rsidP="005306EB">
      <w:pPr>
        <w:pStyle w:val="2"/>
        <w:rPr>
          <w:rFonts w:eastAsiaTheme="minorEastAsia" w:cstheme="minorBidi"/>
          <w:i/>
          <w:iCs/>
          <w:sz w:val="22"/>
          <w:szCs w:val="22"/>
          <w:rtl/>
        </w:rPr>
      </w:pPr>
      <w:r>
        <w:rPr>
          <w:rtl/>
        </w:rPr>
        <w:t>בביאור טענות המערער לד' הרשב"ם</w:t>
      </w:r>
    </w:p>
    <w:p w:rsidR="005306EB" w:rsidRDefault="005306EB" w:rsidP="005306EB">
      <w:pPr>
        <w:pStyle w:val="aff4"/>
        <w:rPr>
          <w:rFonts w:eastAsiaTheme="minorEastAsia" w:cstheme="minorBidi"/>
          <w:i/>
          <w:iCs/>
          <w:noProof/>
          <w:sz w:val="22"/>
          <w:szCs w:val="22"/>
          <w:rtl/>
        </w:rPr>
      </w:pPr>
      <w:r>
        <w:rPr>
          <w:noProof/>
          <w:rtl/>
        </w:rPr>
        <w:t>דברי הגרנ"פ דמשמע ברשב"ם דכשאין חזקה אין המחזיק מוחזק</w:t>
      </w:r>
    </w:p>
    <w:p w:rsidR="005306EB" w:rsidRDefault="005306EB" w:rsidP="007E4E81">
      <w:pPr>
        <w:pStyle w:val="a"/>
        <w:rPr>
          <w:rFonts w:eastAsiaTheme="minorEastAsia" w:cstheme="minorBidi"/>
          <w:sz w:val="22"/>
          <w:szCs w:val="22"/>
          <w:rtl/>
        </w:rPr>
      </w:pPr>
      <w:r>
        <w:rPr>
          <w:rtl/>
        </w:rPr>
        <w:t>קושית הגרנ"פ דברשב"ם משמע דבטענת מינך זבינתה בלי חזקה יש חסרון בעיקר המוחזקות</w:t>
      </w:r>
    </w:p>
    <w:p w:rsidR="005306EB" w:rsidRDefault="005306EB" w:rsidP="007E4E81">
      <w:pPr>
        <w:pStyle w:val="a"/>
        <w:rPr>
          <w:rFonts w:eastAsiaTheme="minorEastAsia" w:cstheme="minorBidi"/>
          <w:sz w:val="22"/>
          <w:szCs w:val="22"/>
          <w:rtl/>
        </w:rPr>
      </w:pPr>
      <w:r>
        <w:rPr>
          <w:rtl/>
        </w:rPr>
        <w:t>דברי הגרנ"פ דמשמע ברשב"ם דהמוכר עצמו אינו נאמן במינך זבינתה אף שיתכן שיש לו שטר</w:t>
      </w:r>
    </w:p>
    <w:p w:rsidR="005306EB" w:rsidRDefault="005306EB" w:rsidP="005306EB">
      <w:pPr>
        <w:pStyle w:val="aff4"/>
        <w:rPr>
          <w:rFonts w:eastAsiaTheme="minorEastAsia" w:cstheme="minorBidi"/>
          <w:i/>
          <w:iCs/>
          <w:noProof/>
          <w:sz w:val="22"/>
          <w:szCs w:val="22"/>
          <w:rtl/>
        </w:rPr>
      </w:pPr>
      <w:r>
        <w:rPr>
          <w:noProof/>
          <w:rtl/>
        </w:rPr>
        <w:t>ביאור הגרנ"פ דבלי חזקה המערער מוחזק ול"מ הפה שאסר</w:t>
      </w:r>
    </w:p>
    <w:p w:rsidR="005306EB" w:rsidRDefault="005306EB" w:rsidP="007E4E81">
      <w:pPr>
        <w:pStyle w:val="a"/>
        <w:rPr>
          <w:rFonts w:eastAsiaTheme="minorEastAsia" w:cstheme="minorBidi"/>
          <w:sz w:val="22"/>
          <w:szCs w:val="22"/>
          <w:rtl/>
        </w:rPr>
      </w:pPr>
      <w:r>
        <w:rPr>
          <w:rtl/>
        </w:rPr>
        <w:t>ביאור הגרנ"פ ברשב"ם דבלא חזקה אינו נעשה מוחזק בטענתו ול"מ בזה הפה שאסר</w:t>
      </w:r>
    </w:p>
    <w:p w:rsidR="005306EB" w:rsidRDefault="005306EB" w:rsidP="007E4E81">
      <w:pPr>
        <w:pStyle w:val="a"/>
        <w:rPr>
          <w:rFonts w:eastAsiaTheme="minorEastAsia" w:cstheme="minorBidi"/>
          <w:sz w:val="22"/>
          <w:szCs w:val="22"/>
          <w:rtl/>
        </w:rPr>
      </w:pPr>
      <w:r>
        <w:rPr>
          <w:rtl/>
        </w:rPr>
        <w:t>דברי הגרנ"פ דכן מוכח ברשב"ם דאחר שהודה המחזיק נחשב המערער למוחזק יותר מהמחזיק</w:t>
      </w:r>
    </w:p>
    <w:p w:rsidR="005306EB" w:rsidRDefault="005306EB" w:rsidP="005306EB">
      <w:pPr>
        <w:pStyle w:val="aff4"/>
        <w:rPr>
          <w:rFonts w:eastAsiaTheme="minorEastAsia" w:cstheme="minorBidi"/>
          <w:i/>
          <w:iCs/>
          <w:noProof/>
          <w:sz w:val="22"/>
          <w:szCs w:val="22"/>
          <w:rtl/>
        </w:rPr>
      </w:pPr>
      <w:r>
        <w:rPr>
          <w:noProof/>
          <w:rtl/>
        </w:rPr>
        <w:t>בתירוץ קו' הבית הלוי בסתירת דברי הרשב"ם אי צריך חזקה</w:t>
      </w:r>
    </w:p>
    <w:p w:rsidR="005306EB" w:rsidRDefault="005306EB" w:rsidP="007E4E81">
      <w:pPr>
        <w:pStyle w:val="a"/>
        <w:rPr>
          <w:rFonts w:eastAsiaTheme="minorEastAsia" w:cstheme="minorBidi"/>
          <w:sz w:val="22"/>
          <w:szCs w:val="22"/>
          <w:rtl/>
        </w:rPr>
      </w:pPr>
      <w:r>
        <w:rPr>
          <w:rtl/>
        </w:rPr>
        <w:t>תי' הגרנ"פ ברשב"ם דבמינך זבינתה לא נאמן בלי חזקה ובסוגיין אף חזקה ל"מ דאין לו טענה</w:t>
      </w:r>
    </w:p>
    <w:p w:rsidR="005306EB" w:rsidRDefault="005306EB" w:rsidP="007E4E81">
      <w:pPr>
        <w:pStyle w:val="a"/>
        <w:rPr>
          <w:rFonts w:eastAsiaTheme="minorEastAsia" w:cstheme="minorBidi"/>
          <w:sz w:val="22"/>
          <w:szCs w:val="22"/>
          <w:rtl/>
        </w:rPr>
      </w:pPr>
      <w:r>
        <w:rPr>
          <w:rtl/>
        </w:rPr>
        <w:t>תי' הקה"י דכוונת הרשב"ם לומר דבלא חזקה אין המחזיק בע"ד של המערער כדעת ר"ח</w:t>
      </w:r>
    </w:p>
    <w:p w:rsidR="005306EB" w:rsidRDefault="005306EB" w:rsidP="007E4E81">
      <w:pPr>
        <w:pStyle w:val="a"/>
        <w:rPr>
          <w:rFonts w:eastAsiaTheme="minorEastAsia" w:cstheme="minorBidi"/>
          <w:sz w:val="22"/>
          <w:szCs w:val="22"/>
          <w:rtl/>
        </w:rPr>
      </w:pPr>
      <w:r>
        <w:rPr>
          <w:rtl/>
        </w:rPr>
        <w:t>דברי הגרנ"פ דמ"מ מבואר דאין כוונת הרשב"ם לומר דבסוגיין מהני חזקה וכ"כ בטענת המערער</w:t>
      </w:r>
    </w:p>
    <w:p w:rsidR="005306EB" w:rsidRDefault="005306EB" w:rsidP="005306EB">
      <w:pPr>
        <w:pStyle w:val="2"/>
        <w:rPr>
          <w:rFonts w:eastAsiaTheme="minorEastAsia" w:cstheme="minorBidi"/>
          <w:i/>
          <w:iCs/>
          <w:sz w:val="22"/>
          <w:szCs w:val="22"/>
          <w:rtl/>
        </w:rPr>
      </w:pPr>
      <w:r>
        <w:rPr>
          <w:rtl/>
        </w:rPr>
        <w:t xml:space="preserve">בפלוג' ר"ח והרשב"א </w:t>
      </w:r>
      <w:r>
        <w:rPr>
          <w:rFonts w:hint="cs"/>
          <w:rtl/>
        </w:rPr>
        <w:t>ב</w:t>
      </w:r>
      <w:r>
        <w:rPr>
          <w:rtl/>
        </w:rPr>
        <w:t>תוס' אי הוי בע"ד</w:t>
      </w:r>
    </w:p>
    <w:p w:rsidR="005306EB" w:rsidRDefault="005306EB" w:rsidP="005306EB">
      <w:pPr>
        <w:pStyle w:val="aff4"/>
        <w:rPr>
          <w:rFonts w:eastAsiaTheme="minorEastAsia" w:cstheme="minorBidi"/>
          <w:i/>
          <w:iCs/>
          <w:noProof/>
          <w:sz w:val="22"/>
          <w:szCs w:val="22"/>
          <w:rtl/>
        </w:rPr>
      </w:pPr>
      <w:r>
        <w:rPr>
          <w:noProof/>
          <w:rtl/>
        </w:rPr>
        <w:t>בי' הברכ"ש בר"ח דלא רואים את המחזיק בקרקע ואינו בע"ד</w:t>
      </w:r>
    </w:p>
    <w:p w:rsidR="005306EB" w:rsidRDefault="005306EB" w:rsidP="007E4E81">
      <w:pPr>
        <w:pStyle w:val="a"/>
        <w:rPr>
          <w:rFonts w:eastAsiaTheme="minorEastAsia" w:cstheme="minorBidi"/>
          <w:sz w:val="22"/>
          <w:szCs w:val="22"/>
          <w:rtl/>
        </w:rPr>
      </w:pPr>
      <w:r>
        <w:rPr>
          <w:rtl/>
        </w:rPr>
        <w:t>ביאור הברכ"ש בגאונים דבלי חד יומא לא רואים את המוכר בקרקע וממילא המחזיק לא בע"ד</w:t>
      </w:r>
    </w:p>
    <w:p w:rsidR="005306EB" w:rsidRDefault="005306EB" w:rsidP="005306EB">
      <w:pPr>
        <w:pStyle w:val="aff4"/>
        <w:rPr>
          <w:rFonts w:eastAsiaTheme="minorEastAsia" w:cstheme="minorBidi"/>
          <w:i/>
          <w:iCs/>
          <w:noProof/>
          <w:sz w:val="22"/>
          <w:szCs w:val="22"/>
          <w:rtl/>
        </w:rPr>
      </w:pPr>
      <w:r>
        <w:rPr>
          <w:noProof/>
          <w:rtl/>
        </w:rPr>
        <w:t>ביאור הקה"י בפלוגתת ר"ח ורשב"א בתוס' אי בחזקה הוא בע"ד</w:t>
      </w:r>
    </w:p>
    <w:p w:rsidR="005306EB" w:rsidRDefault="005306EB" w:rsidP="007E4E81">
      <w:pPr>
        <w:pStyle w:val="a"/>
        <w:rPr>
          <w:rFonts w:eastAsiaTheme="minorEastAsia" w:cstheme="minorBidi"/>
          <w:sz w:val="22"/>
          <w:szCs w:val="22"/>
          <w:rtl/>
        </w:rPr>
      </w:pPr>
      <w:r>
        <w:rPr>
          <w:rtl/>
        </w:rPr>
        <w:t>בי' הקה"י בגאונים דמבואר בטענת המערער דהנדון בסוגיין הוא דהמחזיק אינו בע"ד למערער</w:t>
      </w:r>
    </w:p>
    <w:p w:rsidR="005306EB" w:rsidRDefault="005306EB" w:rsidP="007E4E81">
      <w:pPr>
        <w:pStyle w:val="a"/>
        <w:rPr>
          <w:rFonts w:eastAsiaTheme="minorEastAsia" w:cstheme="minorBidi"/>
          <w:sz w:val="22"/>
          <w:szCs w:val="22"/>
          <w:rtl/>
        </w:rPr>
      </w:pPr>
      <w:r>
        <w:rPr>
          <w:rtl/>
        </w:rPr>
        <w:t>ביאור הקה"י ברשב"א בתוס' דהמחזיק כשליח של המוכר וכיון שמכר לו א"צ הרשאה</w:t>
      </w:r>
    </w:p>
    <w:p w:rsidR="005306EB" w:rsidRDefault="005306EB" w:rsidP="007E4E81">
      <w:pPr>
        <w:pStyle w:val="a"/>
        <w:rPr>
          <w:rFonts w:eastAsiaTheme="minorEastAsia" w:cstheme="minorBidi"/>
          <w:sz w:val="22"/>
          <w:szCs w:val="22"/>
          <w:rtl/>
        </w:rPr>
      </w:pPr>
      <w:r>
        <w:rPr>
          <w:rtl/>
        </w:rPr>
        <w:t>תי' הקה"י דבגמ' לקמן שיש חזקה הקרקע בחזקת המחזיק ולא בחזקת המר"ק והמחזיק בע"ד</w:t>
      </w:r>
    </w:p>
    <w:p w:rsidR="005306EB" w:rsidRDefault="005306EB" w:rsidP="007E4E81">
      <w:pPr>
        <w:pStyle w:val="a"/>
        <w:rPr>
          <w:rFonts w:eastAsiaTheme="minorEastAsia" w:cstheme="minorBidi"/>
          <w:sz w:val="22"/>
          <w:szCs w:val="22"/>
          <w:rtl/>
        </w:rPr>
        <w:sectPr w:rsidR="005306EB" w:rsidSect="00DC277F">
          <w:headerReference w:type="even" r:id="rId93"/>
          <w:footerReference w:type="even" r:id="rId94"/>
          <w:headerReference w:type="first" r:id="rId95"/>
          <w:footerReference w:type="first" r:id="rId96"/>
          <w:type w:val="continuous"/>
          <w:pgSz w:w="11906" w:h="16838"/>
          <w:pgMar w:top="720" w:right="720" w:bottom="720" w:left="720" w:header="283" w:footer="283" w:gutter="0"/>
          <w:cols w:num="2" w:space="113"/>
          <w:titlePg/>
          <w:bidi/>
          <w:rtlGutter/>
          <w:docGrid w:linePitch="299"/>
        </w:sectPr>
      </w:pPr>
      <w:r>
        <w:rPr>
          <w:rtl/>
        </w:rPr>
        <w:t>ביאור הקה"י בגאונים דבסוגיין שאין לו חזקה אין המחזיק מוחזק יותר מהמערער ואינו בע"ד</w:t>
      </w:r>
    </w:p>
    <w:p w:rsidR="005306EB" w:rsidRDefault="005306EB" w:rsidP="007E4E81">
      <w:pPr>
        <w:pStyle w:val="a"/>
        <w:numPr>
          <w:ilvl w:val="0"/>
          <w:numId w:val="0"/>
        </w:numPr>
        <w:rPr>
          <w:rtl/>
        </w:rPr>
      </w:pPr>
    </w:p>
    <w:p w:rsidR="005306EB" w:rsidRDefault="005306EB" w:rsidP="005306EB">
      <w:pPr>
        <w:pStyle w:val="2"/>
        <w:rPr>
          <w:rtl/>
        </w:rPr>
        <w:sectPr w:rsidR="005306EB"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5306EB" w:rsidRPr="0081356D" w:rsidRDefault="006C4F47" w:rsidP="005306EB">
      <w:pPr>
        <w:pStyle w:val="afe"/>
        <w:rPr>
          <w:rtl/>
        </w:rPr>
      </w:pPr>
      <w:r>
        <w:rPr>
          <w:rFonts w:hint="cs"/>
          <w:rtl/>
        </w:rPr>
        <w:lastRenderedPageBreak/>
        <w:t>~~~~~~~ מראי מקומות וביאורים ~~~~~~~</w:t>
      </w:r>
    </w:p>
    <w:p w:rsidR="005306EB" w:rsidRPr="00B21444" w:rsidRDefault="005306EB" w:rsidP="005306EB">
      <w:pPr>
        <w:pStyle w:val="2"/>
        <w:bidi w:val="0"/>
        <w:rPr>
          <w:rtl/>
        </w:rPr>
        <w:sectPr w:rsidR="005306EB" w:rsidRPr="00B21444" w:rsidSect="00962FD5">
          <w:footerReference w:type="default" r:id="rId97"/>
          <w:pgSz w:w="11906" w:h="16838"/>
          <w:pgMar w:top="720" w:right="720" w:bottom="720" w:left="720" w:header="283" w:footer="283" w:gutter="0"/>
          <w:cols w:space="720"/>
          <w:bidi/>
          <w:rtlGutter/>
          <w:docGrid w:linePitch="299"/>
        </w:sectPr>
      </w:pPr>
    </w:p>
    <w:p w:rsidR="005306EB" w:rsidRDefault="005306EB" w:rsidP="005306EB">
      <w:pPr>
        <w:pStyle w:val="afe"/>
        <w:rPr>
          <w:rtl/>
        </w:rPr>
      </w:pPr>
      <w:bookmarkStart w:id="11073" w:name="_Toc61433872"/>
      <w:bookmarkStart w:id="11074" w:name="_Toc61438593"/>
      <w:bookmarkStart w:id="11075" w:name="_Toc61469322"/>
      <w:bookmarkStart w:id="11076" w:name="_Toc61509700"/>
      <w:r>
        <w:rPr>
          <w:rFonts w:hint="cs"/>
          <w:rtl/>
        </w:rPr>
        <w:t>בדעת התוס' דמיגו למפרע לא אמרינן</w:t>
      </w:r>
      <w:bookmarkEnd w:id="11073"/>
      <w:bookmarkEnd w:id="11074"/>
      <w:bookmarkEnd w:id="11075"/>
      <w:bookmarkEnd w:id="11076"/>
    </w:p>
    <w:p w:rsidR="005306EB" w:rsidRDefault="005306EB" w:rsidP="005306EB">
      <w:pPr>
        <w:pStyle w:val="1"/>
        <w:rPr>
          <w:rtl/>
        </w:rPr>
      </w:pPr>
      <w:bookmarkStart w:id="11077" w:name="_Toc57925959"/>
      <w:bookmarkStart w:id="11078" w:name="_Toc58091649"/>
      <w:bookmarkStart w:id="11079" w:name="_Toc58144924"/>
      <w:bookmarkStart w:id="11080" w:name="_Toc58272614"/>
      <w:bookmarkStart w:id="11081" w:name="_Toc58325049"/>
      <w:bookmarkStart w:id="11082" w:name="_Toc58359195"/>
      <w:bookmarkStart w:id="11083" w:name="_Toc58409456"/>
      <w:bookmarkStart w:id="11084" w:name="_Toc58580177"/>
      <w:bookmarkStart w:id="11085" w:name="_Toc59361687"/>
      <w:bookmarkStart w:id="11086" w:name="_Toc59519328"/>
      <w:bookmarkStart w:id="11087" w:name="_Toc59700108"/>
      <w:bookmarkStart w:id="11088" w:name="_Toc59960761"/>
      <w:bookmarkStart w:id="11089" w:name="_Toc60086851"/>
      <w:bookmarkStart w:id="11090" w:name="_Toc60173424"/>
      <w:bookmarkStart w:id="11091" w:name="_Toc60303880"/>
      <w:bookmarkStart w:id="11092" w:name="_Toc61010718"/>
      <w:bookmarkStart w:id="11093" w:name="_Toc61200660"/>
      <w:bookmarkStart w:id="11094" w:name="_Toc61213858"/>
      <w:bookmarkStart w:id="11095" w:name="_Toc61388174"/>
      <w:bookmarkStart w:id="11096" w:name="_Toc61430833"/>
      <w:bookmarkStart w:id="11097" w:name="_Toc61433873"/>
      <w:bookmarkStart w:id="11098" w:name="_Toc61438594"/>
      <w:bookmarkStart w:id="11099" w:name="_Toc61469323"/>
      <w:bookmarkStart w:id="11100" w:name="_Toc61509701"/>
      <w:r>
        <w:rPr>
          <w:rFonts w:hint="cs"/>
          <w:rtl/>
        </w:rPr>
        <w:t>דברי התוס'</w:t>
      </w:r>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r>
        <w:rPr>
          <w:rFonts w:hint="cs"/>
          <w:rtl/>
        </w:rPr>
        <w:t xml:space="preserve"> דכשהודה בתחילה מיגו למפרע לא אמרינן</w:t>
      </w:r>
      <w:bookmarkEnd w:id="11095"/>
      <w:bookmarkEnd w:id="11096"/>
      <w:bookmarkEnd w:id="11097"/>
      <w:bookmarkEnd w:id="11098"/>
      <w:bookmarkEnd w:id="11099"/>
      <w:bookmarkEnd w:id="11100"/>
      <w:r>
        <w:rPr>
          <w:rFonts w:hint="cs"/>
          <w:rtl/>
        </w:rPr>
        <w:t xml:space="preserve"> </w:t>
      </w:r>
    </w:p>
    <w:p w:rsidR="005306EB" w:rsidRPr="00CA5F92" w:rsidRDefault="005306EB" w:rsidP="005306EB">
      <w:pPr>
        <w:pStyle w:val="a3"/>
        <w:rPr>
          <w:rtl/>
        </w:rPr>
      </w:pPr>
      <w:bookmarkStart w:id="11101" w:name="_Toc61388175"/>
      <w:bookmarkStart w:id="11102" w:name="_Toc61430834"/>
      <w:bookmarkStart w:id="11103" w:name="_Toc61433874"/>
      <w:bookmarkStart w:id="11104" w:name="_Toc61438595"/>
      <w:bookmarkStart w:id="11105" w:name="_Toc61469324"/>
      <w:bookmarkStart w:id="11106" w:name="_Toc61509702"/>
      <w:r>
        <w:rPr>
          <w:rFonts w:hint="cs"/>
          <w:rtl/>
        </w:rPr>
        <w:t>דברי הרשב"ם והתוס' דבחזקה וקמי דידי או עידי חד יומא נאמן במיגו ולתוס' אף בטוען חד יומא</w:t>
      </w:r>
      <w:bookmarkEnd w:id="11101"/>
      <w:bookmarkEnd w:id="11102"/>
      <w:bookmarkEnd w:id="11103"/>
      <w:bookmarkEnd w:id="11104"/>
      <w:bookmarkEnd w:id="11105"/>
      <w:bookmarkEnd w:id="11106"/>
    </w:p>
    <w:p w:rsidR="005306EB" w:rsidRDefault="005306EB" w:rsidP="00BA3263">
      <w:pPr>
        <w:pStyle w:val="a0"/>
        <w:numPr>
          <w:ilvl w:val="0"/>
          <w:numId w:val="24"/>
        </w:numPr>
        <w:rPr>
          <w:rtl/>
        </w:rPr>
      </w:pPr>
      <w:bookmarkStart w:id="11107" w:name="_Ref61383428"/>
      <w:r w:rsidRPr="009F38AE">
        <w:rPr>
          <w:rFonts w:hint="cs"/>
          <w:rtl/>
        </w:rPr>
        <w:t xml:space="preserve">הביאו </w:t>
      </w:r>
      <w:r w:rsidRPr="009F38AE">
        <w:rPr>
          <w:rStyle w:val="af9"/>
          <w:rFonts w:hint="cs"/>
          <w:rtl/>
        </w:rPr>
        <w:t>התוס'</w:t>
      </w:r>
      <w:r w:rsidRPr="009F38AE">
        <w:rPr>
          <w:rFonts w:hint="cs"/>
          <w:rtl/>
        </w:rPr>
        <w:t xml:space="preserve"> </w:t>
      </w:r>
      <w:r w:rsidRPr="007E4E81">
        <w:rPr>
          <w:rStyle w:val="af7"/>
          <w:rFonts w:eastAsia="Guttman Hodes" w:hint="cs"/>
          <w:rtl/>
        </w:rPr>
        <w:t>(ריש ד"ה לאו קמודית)</w:t>
      </w:r>
      <w:r w:rsidRPr="009F38AE">
        <w:rPr>
          <w:rFonts w:hint="cs"/>
          <w:rtl/>
        </w:rPr>
        <w:t xml:space="preserve"> את דברי </w:t>
      </w:r>
      <w:r w:rsidRPr="009F38AE">
        <w:rPr>
          <w:rStyle w:val="af9"/>
          <w:rFonts w:hint="cs"/>
          <w:rtl/>
        </w:rPr>
        <w:t>הרשב"ם</w:t>
      </w:r>
      <w:r w:rsidRPr="009F38AE">
        <w:rPr>
          <w:rFonts w:hint="cs"/>
          <w:rtl/>
        </w:rPr>
        <w:t xml:space="preserve"> </w:t>
      </w:r>
      <w:r w:rsidRPr="007E4E81">
        <w:rPr>
          <w:rStyle w:val="af7"/>
          <w:rFonts w:eastAsia="Guttman Hodes" w:hint="cs"/>
          <w:rtl/>
        </w:rPr>
        <w:t>(ד"ה א"ל)</w:t>
      </w:r>
      <w:r>
        <w:rPr>
          <w:rFonts w:hint="cs"/>
          <w:rtl/>
        </w:rPr>
        <w:t xml:space="preserve"> דכתב דאם החזיק בה ג"ש, וטען שקנה מהמוכר שקנה בפניו מהמערער, נאמן במיגו דהיה טוען שהוא עצמו קנה מהמערער, וכן כשיש לו עדים שהמוכר החזיק בה חד יומא, נאמן, כדאיתא בגמ' לקמן </w:t>
      </w:r>
      <w:r w:rsidRPr="007E4E81">
        <w:rPr>
          <w:rStyle w:val="af7"/>
          <w:rFonts w:eastAsia="Guttman Hodes" w:hint="cs"/>
          <w:rtl/>
        </w:rPr>
        <w:t>(מא:)</w:t>
      </w:r>
      <w:r>
        <w:rPr>
          <w:rFonts w:hint="cs"/>
          <w:rtl/>
        </w:rPr>
        <w:t xml:space="preserve">, </w:t>
      </w:r>
      <w:r w:rsidRPr="009F38AE">
        <w:rPr>
          <w:rFonts w:hint="cs"/>
          <w:rtl/>
        </w:rPr>
        <w:t xml:space="preserve">אך דחו </w:t>
      </w:r>
      <w:r w:rsidRPr="009F38AE">
        <w:rPr>
          <w:rStyle w:val="af9"/>
          <w:rFonts w:hint="cs"/>
          <w:rtl/>
        </w:rPr>
        <w:t>התוס'</w:t>
      </w:r>
      <w:r w:rsidRPr="009F38AE">
        <w:rPr>
          <w:rFonts w:hint="cs"/>
          <w:rtl/>
        </w:rPr>
        <w:t xml:space="preserve"> את דברי </w:t>
      </w:r>
      <w:r w:rsidRPr="009F38AE">
        <w:rPr>
          <w:rStyle w:val="af9"/>
          <w:rFonts w:hint="cs"/>
          <w:rtl/>
        </w:rPr>
        <w:t>הרשב"ם</w:t>
      </w:r>
      <w:r w:rsidRPr="009F38AE">
        <w:rPr>
          <w:rFonts w:hint="cs"/>
          <w:rtl/>
        </w:rPr>
        <w:t xml:space="preserve"> דאעפ"י </w:t>
      </w:r>
      <w:r>
        <w:rPr>
          <w:rFonts w:hint="cs"/>
          <w:rtl/>
        </w:rPr>
        <w:t>דכן מבואר בגמ' לקמן, דכל שיש עדים למערער שהקרקע הייתה שלו, צריך עדים דדר בה חד יומא,</w:t>
      </w:r>
      <w:r w:rsidRPr="009F38AE">
        <w:rPr>
          <w:rFonts w:hint="cs"/>
          <w:rtl/>
        </w:rPr>
        <w:t xml:space="preserve"> מ"מ בסוגיין משמע דאין למערער עדים, כיון שאמר למחזיק "לאו קא מודית</w:t>
      </w:r>
      <w:r w:rsidRPr="009F38AE">
        <w:rPr>
          <w:rtl/>
        </w:rPr>
        <w:t>"</w:t>
      </w:r>
      <w:r w:rsidRPr="009F38AE">
        <w:rPr>
          <w:rFonts w:hint="cs"/>
          <w:rtl/>
        </w:rPr>
        <w:t>, ולכן אם היה טוען המחזיק למערער דקמי דידי זבנה מינך, ו</w:t>
      </w:r>
      <w:r>
        <w:rPr>
          <w:rFonts w:hint="cs"/>
          <w:rtl/>
        </w:rPr>
        <w:t xml:space="preserve">הוסיפו </w:t>
      </w:r>
      <w:r w:rsidRPr="00ED6975">
        <w:rPr>
          <w:rStyle w:val="af9"/>
          <w:rFonts w:hint="cs"/>
          <w:rtl/>
        </w:rPr>
        <w:t xml:space="preserve">התוס' </w:t>
      </w:r>
      <w:r>
        <w:rPr>
          <w:rFonts w:hint="cs"/>
          <w:rtl/>
        </w:rPr>
        <w:t>ד</w:t>
      </w:r>
      <w:r w:rsidRPr="009F38AE">
        <w:rPr>
          <w:rFonts w:hint="cs"/>
          <w:rtl/>
        </w:rPr>
        <w:t xml:space="preserve">כן כשטוען שהמוכר החזיק בה חד יומא, </w:t>
      </w:r>
      <w:r w:rsidRPr="009F38AE">
        <w:rPr>
          <w:rStyle w:val="afb"/>
          <w:rFonts w:hint="cs"/>
          <w:rtl/>
        </w:rPr>
        <w:t>[אף שאין לו עדים ע"ז],</w:t>
      </w:r>
      <w:r w:rsidRPr="009F38AE">
        <w:rPr>
          <w:rFonts w:hint="cs"/>
          <w:rtl/>
        </w:rPr>
        <w:t xml:space="preserve"> נאמן אעפ"י שאין לו חזקת ג"ש, במיגו דהיה טוען שלא הייתה של המערער מעולם</w:t>
      </w:r>
      <w:r>
        <w:rPr>
          <w:rFonts w:hint="cs"/>
          <w:rtl/>
        </w:rPr>
        <w:t xml:space="preserve">, ועי' במה שביאר </w:t>
      </w:r>
      <w:r w:rsidRPr="00386F25">
        <w:rPr>
          <w:rStyle w:val="af9"/>
          <w:rFonts w:hint="cs"/>
          <w:rtl/>
        </w:rPr>
        <w:t>החת"ס</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Ref61508939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נט)</w:t>
      </w:r>
      <w:r w:rsidRPr="007E4E81">
        <w:rPr>
          <w:rStyle w:val="af7"/>
          <w:rFonts w:eastAsia="Guttman Hodes"/>
          <w:rtl/>
        </w:rPr>
        <w:fldChar w:fldCharType="end"/>
      </w:r>
      <w:r w:rsidRPr="007E4E81">
        <w:rPr>
          <w:rStyle w:val="af7"/>
          <w:rFonts w:eastAsia="Guttman Hodes" w:hint="cs"/>
          <w:rtl/>
        </w:rPr>
        <w:t xml:space="preserve"> </w:t>
      </w:r>
      <w:r>
        <w:rPr>
          <w:rFonts w:hint="cs"/>
          <w:rtl/>
        </w:rPr>
        <w:t xml:space="preserve">דס"ל </w:t>
      </w:r>
      <w:r w:rsidRPr="00386F25">
        <w:rPr>
          <w:rStyle w:val="af9"/>
          <w:rFonts w:hint="cs"/>
          <w:rtl/>
        </w:rPr>
        <w:t>לרשב"ם</w:t>
      </w:r>
      <w:r>
        <w:rPr>
          <w:rFonts w:hint="cs"/>
          <w:rtl/>
        </w:rPr>
        <w:t xml:space="preserve"> דאמרינן מיגו למפרע, ובמה שביאר </w:t>
      </w:r>
      <w:r w:rsidRPr="00417D21">
        <w:rPr>
          <w:rStyle w:val="af9"/>
          <w:rFonts w:hint="cs"/>
          <w:rtl/>
        </w:rPr>
        <w:t>התומים</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Ref61509460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7E4E81">
        <w:rPr>
          <w:rStyle w:val="af7"/>
          <w:rFonts w:eastAsia="Guttman Hodes"/>
          <w:rtl/>
        </w:rPr>
        <w:fldChar w:fldCharType="end"/>
      </w:r>
      <w:r w:rsidRPr="007E4E81">
        <w:rPr>
          <w:rStyle w:val="af7"/>
          <w:rFonts w:eastAsia="Guttman Hodes" w:hint="cs"/>
          <w:rtl/>
        </w:rPr>
        <w:t xml:space="preserve"> </w:t>
      </w:r>
      <w:r w:rsidRPr="005B6BCB">
        <w:rPr>
          <w:rStyle w:val="af9"/>
          <w:rFonts w:hint="cs"/>
          <w:rtl/>
        </w:rPr>
        <w:t>דהר</w:t>
      </w:r>
      <w:r w:rsidRPr="00417D21">
        <w:rPr>
          <w:rStyle w:val="af9"/>
          <w:rFonts w:hint="cs"/>
          <w:rtl/>
        </w:rPr>
        <w:t>שב"ם</w:t>
      </w:r>
      <w:r>
        <w:rPr>
          <w:rFonts w:hint="cs"/>
          <w:rtl/>
        </w:rPr>
        <w:t xml:space="preserve"> ס"ל כדעת </w:t>
      </w:r>
      <w:r w:rsidRPr="007475F7">
        <w:rPr>
          <w:rStyle w:val="af9"/>
          <w:rFonts w:hint="cs"/>
          <w:rtl/>
        </w:rPr>
        <w:t>הרא"ש</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Ref61008990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7E4E81">
        <w:rPr>
          <w:rStyle w:val="af7"/>
          <w:rFonts w:eastAsia="Guttman Hodes"/>
          <w:rtl/>
        </w:rPr>
        <w:fldChar w:fldCharType="end"/>
      </w:r>
      <w:r>
        <w:rPr>
          <w:rFonts w:hint="cs"/>
          <w:rtl/>
        </w:rPr>
        <w:t xml:space="preserve"> דנאמן לפרש את דבריו.</w:t>
      </w:r>
      <w:bookmarkEnd w:id="11107"/>
    </w:p>
    <w:p w:rsidR="005306EB" w:rsidRPr="00CA5F92" w:rsidRDefault="005306EB" w:rsidP="005306EB">
      <w:pPr>
        <w:pStyle w:val="a3"/>
      </w:pPr>
      <w:bookmarkStart w:id="11108" w:name="_Toc61388176"/>
      <w:bookmarkStart w:id="11109" w:name="_Toc61430835"/>
      <w:bookmarkStart w:id="11110" w:name="_Toc61433875"/>
      <w:bookmarkStart w:id="11111" w:name="_Toc61438596"/>
      <w:bookmarkStart w:id="11112" w:name="_Toc61469325"/>
      <w:bookmarkStart w:id="11113" w:name="_Toc61509703"/>
      <w:r>
        <w:rPr>
          <w:rFonts w:hint="cs"/>
          <w:rtl/>
        </w:rPr>
        <w:t>דברי התוס' דכיון שהודה המחזיק בתחילה למערער אינו נאמן במיגו דעכשיו הוא מיגו למפרע</w:t>
      </w:r>
      <w:bookmarkEnd w:id="11108"/>
      <w:bookmarkEnd w:id="11109"/>
      <w:bookmarkEnd w:id="11110"/>
      <w:bookmarkEnd w:id="11111"/>
      <w:bookmarkEnd w:id="11112"/>
      <w:bookmarkEnd w:id="11113"/>
    </w:p>
    <w:p w:rsidR="005306EB" w:rsidRDefault="005306EB" w:rsidP="007E4E81">
      <w:pPr>
        <w:pStyle w:val="a0"/>
        <w:rPr>
          <w:rtl/>
        </w:rPr>
      </w:pPr>
      <w:bookmarkStart w:id="11114" w:name="_Ref61253162"/>
      <w:r w:rsidRPr="009F38AE">
        <w:rPr>
          <w:rFonts w:hint="cs"/>
          <w:rtl/>
        </w:rPr>
        <w:t xml:space="preserve">אך כתבו </w:t>
      </w:r>
      <w:r w:rsidRPr="009F38AE">
        <w:rPr>
          <w:rStyle w:val="af9"/>
          <w:rFonts w:hint="cs"/>
          <w:rtl/>
        </w:rPr>
        <w:t>התוס'</w:t>
      </w:r>
      <w:r w:rsidRPr="009F38AE">
        <w:rPr>
          <w:rFonts w:hint="cs"/>
          <w:rtl/>
        </w:rPr>
        <w:t xml:space="preserve"> דכיון שבתחילה הודה המחזיק ולא טען טענת ברי, אינו נאמן במיגו שהיה לו בתחילה, דהוא מיגו למפרע</w:t>
      </w:r>
      <w:r>
        <w:rPr>
          <w:rFonts w:hint="cs"/>
          <w:rtl/>
        </w:rPr>
        <w:t xml:space="preserve">, דכיון </w:t>
      </w:r>
      <w:bookmarkStart w:id="11115" w:name="_Ref61196522"/>
      <w:r>
        <w:rPr>
          <w:rFonts w:hint="cs"/>
          <w:rtl/>
        </w:rPr>
        <w:t xml:space="preserve">שהודה המחזיק שהשדה הייתה של המערער במה שאמר שכך אמר לו המוכר, ולא טען קמי דידי זבנה, וכן לא קמי דידי דר בה חד יומא, לכן אינו נאמן במיגו, שהיה יכול לטעון בתחילה שקנה מהמערער, דהא כבר הודה שקנה מהמוכר ולא מהמערער, דמיגו למפרע לא אמרינן, כדמוכח בגמ' לקמן </w:t>
      </w:r>
      <w:r w:rsidRPr="00CA5F92">
        <w:rPr>
          <w:rStyle w:val="af7"/>
          <w:rFonts w:eastAsia="Guttman Hodes" w:hint="cs"/>
          <w:rtl/>
        </w:rPr>
        <w:t>(מא:)</w:t>
      </w:r>
      <w:r>
        <w:rPr>
          <w:rFonts w:hint="cs"/>
          <w:rtl/>
        </w:rPr>
        <w:t xml:space="preserve"> דכל שהודה בתחילה שהוא קנה מהמוכר, אם אין לו עדים שדר בה המוכר חד יומא, אינו נאמן במיגו.</w:t>
      </w:r>
      <w:bookmarkEnd w:id="11114"/>
      <w:bookmarkEnd w:id="11115"/>
    </w:p>
    <w:p w:rsidR="005306EB" w:rsidRPr="00342FA2" w:rsidRDefault="005306EB" w:rsidP="005306EB">
      <w:pPr>
        <w:pStyle w:val="1"/>
        <w:rPr>
          <w:rtl/>
        </w:rPr>
      </w:pPr>
      <w:bookmarkStart w:id="11116" w:name="_Toc61388177"/>
      <w:bookmarkStart w:id="11117" w:name="_Toc61430836"/>
      <w:bookmarkStart w:id="11118" w:name="_Toc61433876"/>
      <w:bookmarkStart w:id="11119" w:name="_Toc61438597"/>
      <w:bookmarkStart w:id="11120" w:name="_Toc61469326"/>
      <w:bookmarkStart w:id="11121" w:name="_Toc61509704"/>
      <w:r>
        <w:rPr>
          <w:rFonts w:hint="cs"/>
          <w:rtl/>
        </w:rPr>
        <w:t>ביאור התוס' דבמיגו למפרע לא חשב שיצטרך לטעון כמיגו</w:t>
      </w:r>
      <w:bookmarkEnd w:id="11116"/>
      <w:bookmarkEnd w:id="11117"/>
      <w:bookmarkEnd w:id="11118"/>
      <w:bookmarkEnd w:id="11119"/>
      <w:bookmarkEnd w:id="11120"/>
      <w:bookmarkEnd w:id="11121"/>
    </w:p>
    <w:p w:rsidR="005306EB" w:rsidRPr="005D7B93" w:rsidRDefault="005306EB" w:rsidP="005306EB">
      <w:pPr>
        <w:pStyle w:val="a3"/>
      </w:pPr>
      <w:bookmarkStart w:id="11122" w:name="_Toc61388178"/>
      <w:bookmarkStart w:id="11123" w:name="_Toc61430837"/>
      <w:bookmarkStart w:id="11124" w:name="_Toc61433877"/>
      <w:bookmarkStart w:id="11125" w:name="_Toc61438598"/>
      <w:bookmarkStart w:id="11126" w:name="_Toc61469327"/>
      <w:bookmarkStart w:id="11127" w:name="_Toc61509705"/>
      <w:r>
        <w:rPr>
          <w:rFonts w:hint="cs"/>
          <w:rtl/>
        </w:rPr>
        <w:t>ביאור התוס' דמיגו למפרע לא מהני דכשהודה לא חשב שיצטרך לטעון כטענת המיגו</w:t>
      </w:r>
      <w:bookmarkEnd w:id="11122"/>
      <w:bookmarkEnd w:id="11123"/>
      <w:bookmarkEnd w:id="11124"/>
      <w:bookmarkEnd w:id="11125"/>
      <w:bookmarkEnd w:id="11126"/>
      <w:bookmarkEnd w:id="11127"/>
    </w:p>
    <w:p w:rsidR="005306EB" w:rsidRDefault="005306EB" w:rsidP="007E4E81">
      <w:pPr>
        <w:pStyle w:val="a0"/>
        <w:rPr>
          <w:rtl/>
        </w:rPr>
      </w:pPr>
      <w:bookmarkStart w:id="11128" w:name="_Ref61256380"/>
      <w:r>
        <w:rPr>
          <w:rFonts w:hint="cs"/>
          <w:rtl/>
        </w:rPr>
        <w:t xml:space="preserve">וביארו </w:t>
      </w:r>
      <w:r w:rsidRPr="009F38AE">
        <w:rPr>
          <w:rStyle w:val="af9"/>
          <w:rFonts w:hint="cs"/>
          <w:rtl/>
        </w:rPr>
        <w:t>התוס'</w:t>
      </w:r>
      <w:r w:rsidRPr="009F38AE">
        <w:rPr>
          <w:rFonts w:hint="cs"/>
          <w:rtl/>
        </w:rPr>
        <w:t xml:space="preserve"> </w:t>
      </w:r>
      <w:r w:rsidRPr="009F38AE">
        <w:rPr>
          <w:rStyle w:val="af7"/>
          <w:rFonts w:eastAsia="Guttman Hodes" w:hint="cs"/>
          <w:rtl/>
        </w:rPr>
        <w:t>(ריש ד"ה לאו קמודית)</w:t>
      </w:r>
      <w:r w:rsidRPr="009F38AE">
        <w:rPr>
          <w:rFonts w:hint="cs"/>
          <w:rtl/>
        </w:rPr>
        <w:t xml:space="preserve"> </w:t>
      </w:r>
      <w:r>
        <w:rPr>
          <w:rFonts w:hint="cs"/>
          <w:rtl/>
        </w:rPr>
        <w:t>דהא דמיגו למפרע לא אמרינן, הוא כיון דא"א להאמינו במה שטוען עכשיו, מחמת שלפני הודאתו היה יכול לשקר, כיון שהוא לא העלה על דעתו שיצטרך את הטענה הזו, וכן ביארו</w:t>
      </w:r>
      <w:r w:rsidRPr="00E17652">
        <w:rPr>
          <w:rStyle w:val="af9"/>
          <w:rFonts w:hint="cs"/>
          <w:rtl/>
        </w:rPr>
        <w:t xml:space="preserve"> </w:t>
      </w:r>
      <w:r w:rsidRPr="008C67FB">
        <w:rPr>
          <w:rStyle w:val="af9"/>
          <w:rFonts w:hint="cs"/>
          <w:rtl/>
        </w:rPr>
        <w:t>התוס'</w:t>
      </w:r>
      <w:r>
        <w:rPr>
          <w:rFonts w:hint="cs"/>
          <w:rtl/>
        </w:rPr>
        <w:t xml:space="preserve"> </w:t>
      </w:r>
      <w:r w:rsidRPr="008C67FB">
        <w:rPr>
          <w:rStyle w:val="af9"/>
          <w:rFonts w:hint="cs"/>
          <w:rtl/>
        </w:rPr>
        <w:t>בכתובות</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Ref61256415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Pr>
          <w:rStyle w:val="af7"/>
          <w:rFonts w:eastAsia="Guttman Hodes"/>
          <w:rtl/>
        </w:rPr>
        <w:fldChar w:fldCharType="end"/>
      </w:r>
      <w:r>
        <w:rPr>
          <w:rFonts w:hint="cs"/>
          <w:rtl/>
        </w:rPr>
        <w:t xml:space="preserve">, ועי' במה שביארו </w:t>
      </w:r>
      <w:r w:rsidRPr="00F729BB">
        <w:rPr>
          <w:rStyle w:val="af9"/>
          <w:rFonts w:hint="cs"/>
          <w:rtl/>
        </w:rPr>
        <w:t>בחי'</w:t>
      </w:r>
      <w:r>
        <w:rPr>
          <w:rFonts w:hint="cs"/>
          <w:rtl/>
        </w:rPr>
        <w:t xml:space="preserve"> </w:t>
      </w:r>
      <w:r w:rsidRPr="00F729BB">
        <w:rPr>
          <w:rStyle w:val="af9"/>
          <w:rFonts w:hint="cs"/>
          <w:rtl/>
        </w:rPr>
        <w:t>הגר"ח</w:t>
      </w:r>
      <w:r>
        <w:rPr>
          <w:rFonts w:hint="cs"/>
          <w:rtl/>
        </w:rPr>
        <w:t xml:space="preserve"> </w:t>
      </w:r>
      <w:r w:rsidRPr="00F729BB">
        <w:rPr>
          <w:rStyle w:val="af9"/>
          <w:rFonts w:hint="cs"/>
          <w:rtl/>
        </w:rPr>
        <w:t>מטעלז</w:t>
      </w:r>
      <w:r w:rsidRPr="00CA5F92">
        <w:rPr>
          <w:rStyle w:val="af7"/>
          <w:rFonts w:eastAsia="Guttman Hodes" w:hint="cs"/>
          <w:rtl/>
        </w:rPr>
        <w:t xml:space="preserve"> (עי' אות </w:t>
      </w:r>
      <w:r w:rsidRPr="00CA5F92">
        <w:rPr>
          <w:rStyle w:val="af7"/>
          <w:rFonts w:eastAsia="Guttman Hodes"/>
          <w:rtl/>
        </w:rPr>
        <w:fldChar w:fldCharType="begin"/>
      </w:r>
      <w:r w:rsidRPr="00CA5F92">
        <w:rPr>
          <w:rStyle w:val="af7"/>
          <w:rFonts w:eastAsia="Guttman Hodes"/>
          <w:rtl/>
        </w:rPr>
        <w:instrText xml:space="preserve"> </w:instrText>
      </w:r>
      <w:r w:rsidRPr="00CA5F92">
        <w:rPr>
          <w:rStyle w:val="af7"/>
          <w:rFonts w:eastAsia="Guttman Hodes" w:hint="cs"/>
        </w:rPr>
        <w:instrText>REF</w:instrText>
      </w:r>
      <w:r w:rsidRPr="00CA5F92">
        <w:rPr>
          <w:rStyle w:val="af7"/>
          <w:rFonts w:eastAsia="Guttman Hodes" w:hint="cs"/>
          <w:rtl/>
        </w:rPr>
        <w:instrText xml:space="preserve"> _</w:instrText>
      </w:r>
      <w:r w:rsidRPr="00CA5F92">
        <w:rPr>
          <w:rStyle w:val="af7"/>
          <w:rFonts w:eastAsia="Guttman Hodes" w:hint="cs"/>
        </w:rPr>
        <w:instrText>Ref61196567 \r \h</w:instrText>
      </w:r>
      <w:r w:rsidRPr="00CA5F92">
        <w:rPr>
          <w:rStyle w:val="af7"/>
          <w:rFonts w:eastAsia="Guttman Hodes"/>
          <w:rtl/>
        </w:rPr>
        <w:instrText xml:space="preserve"> </w:instrText>
      </w:r>
      <w:r w:rsidRPr="00CA5F92">
        <w:rPr>
          <w:rStyle w:val="af7"/>
          <w:rFonts w:eastAsia="Guttman Hodes"/>
          <w:rtl/>
        </w:rPr>
      </w:r>
      <w:r w:rsidRPr="00CA5F92">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CA5F92">
        <w:rPr>
          <w:rStyle w:val="af7"/>
          <w:rFonts w:eastAsia="Guttman Hodes"/>
          <w:rtl/>
        </w:rPr>
        <w:fldChar w:fldCharType="end"/>
      </w:r>
      <w:r>
        <w:rPr>
          <w:rStyle w:val="af7"/>
          <w:rFonts w:eastAsia="Guttman Hodes" w:hint="cs"/>
          <w:rtl/>
        </w:rPr>
        <w:t xml:space="preserve"> </w:t>
      </w:r>
      <w:r w:rsidRPr="00CA5F92">
        <w:rPr>
          <w:rStyle w:val="af9"/>
          <w:rFonts w:hint="cs"/>
          <w:rtl/>
        </w:rPr>
        <w:t>ובח</w:t>
      </w:r>
      <w:r w:rsidRPr="00AF3E98">
        <w:rPr>
          <w:rStyle w:val="af9"/>
          <w:rFonts w:hint="cs"/>
          <w:rtl/>
        </w:rPr>
        <w:t>י' רבי נחום</w:t>
      </w:r>
      <w:r w:rsidRPr="004D6080">
        <w:rPr>
          <w:rStyle w:val="af7"/>
          <w:rFonts w:eastAsia="Guttman Hodes" w:hint="cs"/>
          <w:rtl/>
        </w:rPr>
        <w:t xml:space="preserve"> (עי' אות </w:t>
      </w:r>
      <w:r w:rsidRPr="004D6080">
        <w:rPr>
          <w:rStyle w:val="af7"/>
          <w:rFonts w:eastAsia="Guttman Hodes"/>
          <w:rtl/>
        </w:rPr>
        <w:fldChar w:fldCharType="begin"/>
      </w:r>
      <w:r w:rsidRPr="004D6080">
        <w:rPr>
          <w:rStyle w:val="af7"/>
          <w:rFonts w:eastAsia="Guttman Hodes"/>
          <w:rtl/>
        </w:rPr>
        <w:instrText xml:space="preserve"> </w:instrText>
      </w:r>
      <w:r w:rsidRPr="004D6080">
        <w:rPr>
          <w:rStyle w:val="af7"/>
          <w:rFonts w:eastAsia="Guttman Hodes" w:hint="cs"/>
        </w:rPr>
        <w:instrText>REF</w:instrText>
      </w:r>
      <w:r w:rsidRPr="004D6080">
        <w:rPr>
          <w:rStyle w:val="af7"/>
          <w:rFonts w:eastAsia="Guttman Hodes" w:hint="cs"/>
          <w:rtl/>
        </w:rPr>
        <w:instrText xml:space="preserve"> _</w:instrText>
      </w:r>
      <w:r w:rsidRPr="004D6080">
        <w:rPr>
          <w:rStyle w:val="af7"/>
          <w:rFonts w:eastAsia="Guttman Hodes" w:hint="cs"/>
        </w:rPr>
        <w:instrText>Ref61382516 \r \h</w:instrText>
      </w:r>
      <w:r w:rsidRPr="004D6080">
        <w:rPr>
          <w:rStyle w:val="af7"/>
          <w:rFonts w:eastAsia="Guttman Hodes"/>
          <w:rtl/>
        </w:rPr>
        <w:instrText xml:space="preserve"> </w:instrText>
      </w:r>
      <w:r w:rsidRPr="004D6080">
        <w:rPr>
          <w:rStyle w:val="af7"/>
          <w:rFonts w:eastAsia="Guttman Hodes"/>
          <w:rtl/>
        </w:rPr>
      </w:r>
      <w:r w:rsidRPr="004D6080">
        <w:rPr>
          <w:rStyle w:val="af7"/>
          <w:rFonts w:eastAsia="Guttman Hodes"/>
          <w:rtl/>
        </w:rPr>
        <w:fldChar w:fldCharType="separate"/>
      </w:r>
      <w:r w:rsidR="00265073">
        <w:rPr>
          <w:rStyle w:val="af7"/>
          <w:rFonts w:eastAsia="Guttman Hodes"/>
          <w:cs/>
        </w:rPr>
        <w:t>‎</w:t>
      </w:r>
      <w:r w:rsidR="00265073">
        <w:rPr>
          <w:rStyle w:val="af7"/>
          <w:rFonts w:eastAsia="Guttman Hodes"/>
          <w:rtl/>
        </w:rPr>
        <w:t>פז)</w:t>
      </w:r>
      <w:r w:rsidRPr="004D6080">
        <w:rPr>
          <w:rStyle w:val="af7"/>
          <w:rFonts w:eastAsia="Guttman Hodes"/>
          <w:rtl/>
        </w:rPr>
        <w:fldChar w:fldCharType="end"/>
      </w:r>
      <w:r>
        <w:rPr>
          <w:rFonts w:hint="cs"/>
          <w:rtl/>
        </w:rPr>
        <w:t xml:space="preserve"> בדברי </w:t>
      </w:r>
      <w:r w:rsidRPr="005D7B93">
        <w:rPr>
          <w:rStyle w:val="af9"/>
          <w:rFonts w:hint="cs"/>
          <w:rtl/>
        </w:rPr>
        <w:t>התוס'</w:t>
      </w:r>
      <w:r>
        <w:rPr>
          <w:rFonts w:hint="cs"/>
          <w:rtl/>
        </w:rPr>
        <w:t>.</w:t>
      </w:r>
      <w:bookmarkEnd w:id="11128"/>
    </w:p>
    <w:p w:rsidR="005306EB" w:rsidRDefault="005306EB" w:rsidP="005306EB">
      <w:pPr>
        <w:pStyle w:val="1"/>
        <w:rPr>
          <w:rtl/>
        </w:rPr>
      </w:pPr>
      <w:bookmarkStart w:id="11129" w:name="_Toc61433878"/>
      <w:bookmarkStart w:id="11130" w:name="_Toc61438599"/>
      <w:bookmarkStart w:id="11131" w:name="_Toc61469328"/>
      <w:bookmarkStart w:id="11132" w:name="_Toc61509706"/>
      <w:r>
        <w:rPr>
          <w:rFonts w:hint="cs"/>
          <w:rtl/>
        </w:rPr>
        <w:t>ביאור השע"מ דבמיגו למפרע יתכן שלא רצה בתחילה לשקר</w:t>
      </w:r>
      <w:bookmarkEnd w:id="11129"/>
      <w:bookmarkEnd w:id="11130"/>
      <w:bookmarkEnd w:id="11131"/>
      <w:bookmarkEnd w:id="11132"/>
    </w:p>
    <w:p w:rsidR="005306EB" w:rsidRPr="00D55755" w:rsidRDefault="005306EB" w:rsidP="005306EB">
      <w:pPr>
        <w:pStyle w:val="a3"/>
        <w:rPr>
          <w:rtl/>
        </w:rPr>
      </w:pPr>
      <w:bookmarkStart w:id="11133" w:name="_Toc61433879"/>
      <w:bookmarkStart w:id="11134" w:name="_Toc61438600"/>
      <w:bookmarkStart w:id="11135" w:name="_Toc61469329"/>
      <w:bookmarkStart w:id="11136" w:name="_Toc61509707"/>
      <w:r>
        <w:rPr>
          <w:rFonts w:hint="cs"/>
          <w:rtl/>
        </w:rPr>
        <w:t>ביאור השער משפט דמיג למפרע ל"מ דיתכן שבתחילה לא רצה לשקר במיגו ועכשיו משקר</w:t>
      </w:r>
      <w:bookmarkEnd w:id="11133"/>
      <w:bookmarkEnd w:id="11134"/>
      <w:bookmarkEnd w:id="11135"/>
      <w:bookmarkEnd w:id="11136"/>
    </w:p>
    <w:p w:rsidR="005306EB" w:rsidRDefault="005306EB" w:rsidP="007E4E81">
      <w:pPr>
        <w:pStyle w:val="a0"/>
        <w:rPr>
          <w:rtl/>
        </w:rPr>
      </w:pPr>
      <w:r>
        <w:rPr>
          <w:rFonts w:hint="cs"/>
          <w:rtl/>
        </w:rPr>
        <w:t xml:space="preserve">ועי' בדברי </w:t>
      </w:r>
      <w:r w:rsidRPr="008C7EFB">
        <w:rPr>
          <w:rStyle w:val="af9"/>
          <w:rFonts w:hint="cs"/>
          <w:rtl/>
        </w:rPr>
        <w:t>השער משפט בכללי מיגו</w:t>
      </w:r>
      <w:r>
        <w:rPr>
          <w:rFonts w:hint="cs"/>
          <w:rtl/>
        </w:rPr>
        <w:t xml:space="preserve"> </w:t>
      </w:r>
      <w:r w:rsidRPr="005E545A">
        <w:rPr>
          <w:rStyle w:val="af7"/>
          <w:rFonts w:eastAsia="Guttman Hodes" w:hint="cs"/>
          <w:rtl/>
        </w:rPr>
        <w:t xml:space="preserve">(סו"ס פ"ב או' ח') </w:t>
      </w:r>
      <w:r>
        <w:rPr>
          <w:rFonts w:hint="cs"/>
          <w:rtl/>
        </w:rPr>
        <w:t xml:space="preserve">דכתב דהא דלא מהני מיגו למפרע, הוא כיון דמיגו הוא ראיה מדין מה לי לשקר, שאם היה רוצה לשקר היה טוען טענה טובה יותר, וא"כ במיגו למפרע, אפש"ל דבתחילה לא רצה לשקר, ועכשיו הוא רוצה לשקר, ולכן אינו נאמן, וכ"כ </w:t>
      </w:r>
      <w:r w:rsidRPr="009754D7">
        <w:rPr>
          <w:rStyle w:val="af9"/>
          <w:rFonts w:hint="cs"/>
          <w:rtl/>
        </w:rPr>
        <w:t>הגרעק"א</w:t>
      </w:r>
      <w:r>
        <w:rPr>
          <w:rFonts w:hint="cs"/>
          <w:rtl/>
        </w:rPr>
        <w:t xml:space="preserve"> </w:t>
      </w:r>
      <w:r>
        <w:rPr>
          <w:rStyle w:val="af7"/>
          <w:rFonts w:eastAsia="Guttman Hodes" w:hint="cs"/>
          <w:rtl/>
        </w:rPr>
        <w:t xml:space="preserve">(עי' </w:t>
      </w:r>
      <w:r w:rsidRPr="001F6EAD">
        <w:rPr>
          <w:rStyle w:val="af7"/>
          <w:rFonts w:eastAsia="Guttman Hodes" w:hint="cs"/>
          <w:rtl/>
        </w:rPr>
        <w:t>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Ref61441663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Pr>
          <w:rStyle w:val="af7"/>
          <w:rFonts w:eastAsia="Guttman Hodes"/>
          <w:rtl/>
        </w:rPr>
        <w:fldChar w:fldCharType="end"/>
      </w:r>
      <w:r>
        <w:rPr>
          <w:rFonts w:hint="cs"/>
          <w:rtl/>
        </w:rPr>
        <w:t xml:space="preserve">, וכ"כ </w:t>
      </w:r>
      <w:r w:rsidRPr="00953940">
        <w:rPr>
          <w:rStyle w:val="af9"/>
          <w:rFonts w:hint="cs"/>
          <w:rtl/>
        </w:rPr>
        <w:t>התומים בכללי מיגו</w:t>
      </w:r>
      <w:r w:rsidRPr="00953940">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Ref61383360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Pr>
          <w:rStyle w:val="af7"/>
          <w:rFonts w:eastAsia="Guttman Hodes"/>
          <w:rtl/>
        </w:rPr>
        <w:fldChar w:fldCharType="end"/>
      </w:r>
      <w:r>
        <w:rPr>
          <w:rStyle w:val="af7"/>
          <w:rFonts w:eastAsia="Guttman Hodes" w:hint="cs"/>
          <w:rtl/>
        </w:rPr>
        <w:t xml:space="preserve"> </w:t>
      </w:r>
      <w:r>
        <w:rPr>
          <w:rFonts w:hint="cs"/>
          <w:rtl/>
        </w:rPr>
        <w:t>בדעת</w:t>
      </w:r>
      <w:r w:rsidRPr="00953940">
        <w:rPr>
          <w:rFonts w:hint="cs"/>
          <w:rtl/>
        </w:rPr>
        <w:t xml:space="preserve"> </w:t>
      </w:r>
      <w:r w:rsidRPr="00953940">
        <w:rPr>
          <w:rStyle w:val="af9"/>
          <w:rFonts w:hint="cs"/>
          <w:rtl/>
        </w:rPr>
        <w:t>הרא"ש</w:t>
      </w:r>
      <w:r w:rsidRPr="00953940">
        <w:rPr>
          <w:rFonts w:hint="cs"/>
          <w:rtl/>
        </w:rPr>
        <w:t xml:space="preserve"> </w:t>
      </w:r>
      <w:r w:rsidRPr="002762FD">
        <w:rPr>
          <w:rStyle w:val="af7"/>
          <w:rFonts w:eastAsia="Guttman Hodes" w:hint="cs"/>
          <w:rtl/>
        </w:rPr>
        <w:t xml:space="preserve">(עי' אות </w:t>
      </w:r>
      <w:r w:rsidRPr="002762FD">
        <w:rPr>
          <w:rStyle w:val="af7"/>
          <w:rFonts w:eastAsia="Guttman Hodes"/>
          <w:rtl/>
        </w:rPr>
        <w:fldChar w:fldCharType="begin"/>
      </w:r>
      <w:r w:rsidRPr="002762FD">
        <w:rPr>
          <w:rStyle w:val="af7"/>
          <w:rFonts w:eastAsia="Guttman Hodes"/>
          <w:rtl/>
        </w:rPr>
        <w:instrText xml:space="preserve"> </w:instrText>
      </w:r>
      <w:r w:rsidRPr="002762FD">
        <w:rPr>
          <w:rStyle w:val="af7"/>
          <w:rFonts w:eastAsia="Guttman Hodes" w:hint="cs"/>
        </w:rPr>
        <w:instrText>REF</w:instrText>
      </w:r>
      <w:r w:rsidRPr="002762FD">
        <w:rPr>
          <w:rStyle w:val="af7"/>
          <w:rFonts w:eastAsia="Guttman Hodes" w:hint="cs"/>
          <w:rtl/>
        </w:rPr>
        <w:instrText xml:space="preserve"> _</w:instrText>
      </w:r>
      <w:r w:rsidRPr="002762FD">
        <w:rPr>
          <w:rStyle w:val="af7"/>
          <w:rFonts w:eastAsia="Guttman Hodes" w:hint="cs"/>
        </w:rPr>
        <w:instrText>Ref61008990 \r \h</w:instrText>
      </w:r>
      <w:r w:rsidRPr="002762FD">
        <w:rPr>
          <w:rStyle w:val="af7"/>
          <w:rFonts w:eastAsia="Guttman Hodes"/>
          <w:rtl/>
        </w:rPr>
        <w:instrText xml:space="preserve"> </w:instrText>
      </w:r>
      <w:r w:rsidRPr="002762FD">
        <w:rPr>
          <w:rStyle w:val="af7"/>
          <w:rFonts w:eastAsia="Guttman Hodes"/>
          <w:rtl/>
        </w:rPr>
      </w:r>
      <w:r w:rsidRPr="002762FD">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2762FD">
        <w:rPr>
          <w:rStyle w:val="af7"/>
          <w:rFonts w:eastAsia="Guttman Hodes"/>
          <w:rtl/>
        </w:rPr>
        <w:fldChar w:fldCharType="end"/>
      </w:r>
      <w:r>
        <w:rPr>
          <w:rFonts w:hint="cs"/>
          <w:rtl/>
        </w:rPr>
        <w:t>.</w:t>
      </w:r>
    </w:p>
    <w:p w:rsidR="005306EB" w:rsidRPr="002B53E3" w:rsidRDefault="005306EB" w:rsidP="005306EB">
      <w:pPr>
        <w:pStyle w:val="1"/>
        <w:rPr>
          <w:rtl/>
        </w:rPr>
      </w:pPr>
      <w:bookmarkStart w:id="11137" w:name="_Toc61388179"/>
      <w:bookmarkStart w:id="11138" w:name="_Toc61430838"/>
      <w:bookmarkStart w:id="11139" w:name="_Toc61433880"/>
      <w:bookmarkStart w:id="11140" w:name="_Toc61438601"/>
      <w:bookmarkStart w:id="11141" w:name="_Toc61469330"/>
      <w:bookmarkStart w:id="11142" w:name="_Toc61509708"/>
      <w:r>
        <w:rPr>
          <w:rFonts w:hint="cs"/>
          <w:rtl/>
        </w:rPr>
        <w:t>ראיות התוס' דמיגו למפרע לא אמרינן</w:t>
      </w:r>
      <w:bookmarkEnd w:id="11137"/>
      <w:bookmarkEnd w:id="11138"/>
      <w:bookmarkEnd w:id="11139"/>
      <w:bookmarkEnd w:id="11140"/>
      <w:bookmarkEnd w:id="11141"/>
      <w:bookmarkEnd w:id="11142"/>
    </w:p>
    <w:p w:rsidR="005306EB" w:rsidRPr="00B710F2" w:rsidRDefault="005306EB" w:rsidP="005306EB">
      <w:pPr>
        <w:pStyle w:val="a3"/>
        <w:rPr>
          <w:rtl/>
        </w:rPr>
      </w:pPr>
      <w:bookmarkStart w:id="11143" w:name="_Toc61388180"/>
      <w:bookmarkStart w:id="11144" w:name="_Toc61430839"/>
      <w:bookmarkStart w:id="11145" w:name="_Toc61433881"/>
      <w:bookmarkStart w:id="11146" w:name="_Toc61438602"/>
      <w:bookmarkStart w:id="11147" w:name="_Toc61469331"/>
      <w:bookmarkStart w:id="11148" w:name="_Toc61509709"/>
      <w:r>
        <w:rPr>
          <w:rFonts w:hint="cs"/>
          <w:rtl/>
        </w:rPr>
        <w:t>דברי התוס' דמוכח לקמן דבתחילה היה נאמן בקמי דידי במיגו דמינך זבינתה ועכשיו אינו נאמן</w:t>
      </w:r>
      <w:bookmarkEnd w:id="11143"/>
      <w:bookmarkEnd w:id="11144"/>
      <w:bookmarkEnd w:id="11145"/>
      <w:bookmarkEnd w:id="11146"/>
      <w:bookmarkEnd w:id="11147"/>
      <w:bookmarkEnd w:id="11148"/>
    </w:p>
    <w:p w:rsidR="005306EB" w:rsidRDefault="005306EB" w:rsidP="007E4E81">
      <w:pPr>
        <w:pStyle w:val="a0"/>
        <w:rPr>
          <w:rtl/>
        </w:rPr>
      </w:pPr>
      <w:bookmarkStart w:id="11149" w:name="_Ref61345702"/>
      <w:r>
        <w:rPr>
          <w:rFonts w:hint="cs"/>
          <w:rtl/>
        </w:rPr>
        <w:t xml:space="preserve">וכתבו </w:t>
      </w:r>
      <w:r w:rsidRPr="009F38AE">
        <w:rPr>
          <w:rStyle w:val="af9"/>
          <w:rFonts w:hint="cs"/>
          <w:rtl/>
        </w:rPr>
        <w:t>התוס'</w:t>
      </w:r>
      <w:r w:rsidRPr="009F38AE">
        <w:rPr>
          <w:rFonts w:hint="cs"/>
          <w:rtl/>
        </w:rPr>
        <w:t xml:space="preserve"> </w:t>
      </w:r>
      <w:r w:rsidRPr="009F38AE">
        <w:rPr>
          <w:rStyle w:val="af7"/>
          <w:rFonts w:eastAsia="Guttman Hodes" w:hint="cs"/>
          <w:rtl/>
        </w:rPr>
        <w:t>(ריש ד"ה לאו קמודית)</w:t>
      </w:r>
      <w:r w:rsidRPr="009F38AE">
        <w:rPr>
          <w:rFonts w:hint="cs"/>
          <w:rtl/>
        </w:rPr>
        <w:t xml:space="preserve"> </w:t>
      </w:r>
      <w:r>
        <w:rPr>
          <w:rFonts w:hint="cs"/>
          <w:rtl/>
        </w:rPr>
        <w:t xml:space="preserve">דכן משמע דמיגו למפרע לא אמרינן, מהא דאמר רב בגמ' לקמן </w:t>
      </w:r>
      <w:r w:rsidRPr="00CD408B">
        <w:rPr>
          <w:rStyle w:val="af7"/>
          <w:rFonts w:eastAsia="Guttman Hodes" w:hint="cs"/>
          <w:rtl/>
        </w:rPr>
        <w:t>(מא:)</w:t>
      </w:r>
      <w:r>
        <w:rPr>
          <w:rFonts w:hint="cs"/>
          <w:rtl/>
        </w:rPr>
        <w:t xml:space="preserve"> דדעת רבי חייא דאי אמר קמי דידי זבנה מינך, נאמן במיגו דהיה טוען מינך זבינתה, ולא אמר רב דאיירי באופן שהוא עדיין נאמן בטענה הזו, אלא דהיה יכול לטעון כן מעיקרא לפני שהודה, וה"ה אם היה טוען מתחילה קמי דידי דר בה חד יומא. </w:t>
      </w:r>
      <w:r w:rsidRPr="00F452FA">
        <w:rPr>
          <w:rStyle w:val="afb"/>
          <w:rFonts w:hint="cs"/>
          <w:rtl/>
        </w:rPr>
        <w:t>[ומוכח דמיגו למפרע לא אמרינן].</w:t>
      </w:r>
      <w:bookmarkEnd w:id="11149"/>
    </w:p>
    <w:p w:rsidR="005306EB" w:rsidRDefault="005306EB" w:rsidP="005306EB">
      <w:pPr>
        <w:pStyle w:val="a3"/>
        <w:rPr>
          <w:rtl/>
        </w:rPr>
      </w:pPr>
      <w:bookmarkStart w:id="11150" w:name="_Toc61388181"/>
      <w:bookmarkStart w:id="11151" w:name="_Toc61430840"/>
      <w:bookmarkStart w:id="11152" w:name="_Toc61433882"/>
      <w:bookmarkStart w:id="11153" w:name="_Toc61438603"/>
      <w:bookmarkStart w:id="11154" w:name="_Toc61469332"/>
      <w:bookmarkStart w:id="11155" w:name="_Toc61509710"/>
      <w:r>
        <w:rPr>
          <w:rFonts w:hint="cs"/>
          <w:rtl/>
        </w:rPr>
        <w:t>הוכחת התוס' מהגמ' בסנהדרין דשליש שהוציא שטר אינו נאמן עליו אף שהיה יכול לשורפו</w:t>
      </w:r>
      <w:bookmarkEnd w:id="11150"/>
      <w:bookmarkEnd w:id="11151"/>
      <w:bookmarkEnd w:id="11152"/>
      <w:bookmarkEnd w:id="11153"/>
      <w:bookmarkEnd w:id="11154"/>
      <w:bookmarkEnd w:id="11155"/>
      <w:r>
        <w:rPr>
          <w:rFonts w:hint="cs"/>
          <w:rtl/>
        </w:rPr>
        <w:t xml:space="preserve"> </w:t>
      </w:r>
    </w:p>
    <w:p w:rsidR="005306EB" w:rsidRDefault="005306EB" w:rsidP="007E4E81">
      <w:pPr>
        <w:pStyle w:val="a0"/>
        <w:rPr>
          <w:rtl/>
        </w:rPr>
      </w:pPr>
      <w:bookmarkStart w:id="11156" w:name="_Ref61256230"/>
      <w:bookmarkStart w:id="11157" w:name="_Ref61175926"/>
      <w:r>
        <w:rPr>
          <w:rFonts w:hint="cs"/>
          <w:rtl/>
        </w:rPr>
        <w:t>ועוד הביאו</w:t>
      </w:r>
      <w:r w:rsidRPr="00F452FA">
        <w:rPr>
          <w:rStyle w:val="af9"/>
          <w:rFonts w:hint="cs"/>
          <w:rtl/>
        </w:rPr>
        <w:t xml:space="preserve"> התוס'</w:t>
      </w:r>
      <w:r>
        <w:rPr>
          <w:rFonts w:hint="cs"/>
          <w:rtl/>
        </w:rPr>
        <w:t xml:space="preserve"> ראיה מהא דאיתא בגמ' בסנהדרין </w:t>
      </w:r>
      <w:r w:rsidRPr="00F574EB">
        <w:rPr>
          <w:rStyle w:val="af7"/>
          <w:rFonts w:eastAsia="Guttman Hodes" w:hint="cs"/>
          <w:rtl/>
        </w:rPr>
        <w:t>(לא.)</w:t>
      </w:r>
      <w:r>
        <w:rPr>
          <w:rFonts w:hint="cs"/>
          <w:rtl/>
        </w:rPr>
        <w:t xml:space="preserve"> דאשה שהוציאה שטר שהופק בידה, ואמרה שהוא פרוע אינה נאמנת, דכיון שהוחזק בב"ד אין לה מיגו דאי בעיא קלתיה, ומשמע דאף שבתחילה היה לה מיגו, אחר שהוחזק בב"ד, והיינו שראו ב"ד את השטר אינה נאמנת, דהוא מיגו למפרע.</w:t>
      </w:r>
      <w:bookmarkEnd w:id="11156"/>
    </w:p>
    <w:p w:rsidR="005306EB" w:rsidRPr="00870B25" w:rsidRDefault="005306EB" w:rsidP="005306EB">
      <w:pPr>
        <w:pStyle w:val="a3"/>
      </w:pPr>
      <w:bookmarkStart w:id="11158" w:name="_Toc61388182"/>
      <w:bookmarkStart w:id="11159" w:name="_Toc61430841"/>
      <w:bookmarkStart w:id="11160" w:name="_Toc61433883"/>
      <w:bookmarkStart w:id="11161" w:name="_Toc61438604"/>
      <w:bookmarkStart w:id="11162" w:name="_Toc61469333"/>
      <w:bookmarkStart w:id="11163" w:name="_Toc61509711"/>
      <w:r>
        <w:rPr>
          <w:rFonts w:hint="cs"/>
          <w:rtl/>
        </w:rPr>
        <w:t>דברי התוס' דא"א לבאר כרש"י בסנהדרין דהוחזק השטר היינו מקויים דא"כ אמאי אין לה מיגו</w:t>
      </w:r>
      <w:bookmarkEnd w:id="11158"/>
      <w:bookmarkEnd w:id="11159"/>
      <w:bookmarkEnd w:id="11160"/>
      <w:bookmarkEnd w:id="11161"/>
      <w:bookmarkEnd w:id="11162"/>
      <w:bookmarkEnd w:id="11163"/>
    </w:p>
    <w:p w:rsidR="005306EB" w:rsidRPr="008749F5" w:rsidRDefault="005306EB" w:rsidP="007E4E81">
      <w:pPr>
        <w:pStyle w:val="a0"/>
        <w:rPr>
          <w:rStyle w:val="afb"/>
          <w:rtl/>
        </w:rPr>
      </w:pPr>
      <w:r>
        <w:rPr>
          <w:rFonts w:hint="cs"/>
          <w:rtl/>
        </w:rPr>
        <w:t xml:space="preserve">והביאו </w:t>
      </w:r>
      <w:r w:rsidRPr="008C67FB">
        <w:rPr>
          <w:rStyle w:val="af9"/>
          <w:rFonts w:hint="cs"/>
          <w:rtl/>
        </w:rPr>
        <w:t xml:space="preserve">התוס' </w:t>
      </w:r>
      <w:r>
        <w:rPr>
          <w:rFonts w:hint="cs"/>
          <w:rtl/>
        </w:rPr>
        <w:t xml:space="preserve">את דברי </w:t>
      </w:r>
      <w:r w:rsidRPr="008C67FB">
        <w:rPr>
          <w:rStyle w:val="af9"/>
          <w:rFonts w:hint="cs"/>
          <w:rtl/>
        </w:rPr>
        <w:t>רש"י בסנהדרין</w:t>
      </w:r>
      <w:r>
        <w:rPr>
          <w:rFonts w:hint="cs"/>
          <w:rtl/>
        </w:rPr>
        <w:t xml:space="preserve"> </w:t>
      </w:r>
      <w:r w:rsidRPr="00713A8C">
        <w:rPr>
          <w:rStyle w:val="af7"/>
          <w:rFonts w:eastAsia="Guttman Hodes" w:hint="cs"/>
          <w:rtl/>
        </w:rPr>
        <w:t xml:space="preserve">(לא: ד"ה דאיתחזק) </w:t>
      </w:r>
      <w:r>
        <w:rPr>
          <w:rFonts w:hint="cs"/>
          <w:rtl/>
        </w:rPr>
        <w:t xml:space="preserve">דביאר דהא דהוחזק השטר היינו שהוא מקויים, </w:t>
      </w:r>
      <w:r w:rsidRPr="008749F5">
        <w:rPr>
          <w:rStyle w:val="afb"/>
          <w:rFonts w:hint="cs"/>
          <w:rtl/>
        </w:rPr>
        <w:t xml:space="preserve">[ולא שהב"ד ראו את השטר, וא"כ אי"ז שייך למיגו למפרע], </w:t>
      </w:r>
      <w:r>
        <w:rPr>
          <w:rFonts w:hint="cs"/>
          <w:rtl/>
        </w:rPr>
        <w:t xml:space="preserve">ודחה </w:t>
      </w:r>
      <w:r w:rsidRPr="00C05F4D">
        <w:rPr>
          <w:rStyle w:val="af9"/>
          <w:rFonts w:hint="cs"/>
          <w:rtl/>
        </w:rPr>
        <w:t>ר"י בתוס'</w:t>
      </w:r>
      <w:r>
        <w:rPr>
          <w:rFonts w:hint="cs"/>
          <w:rtl/>
        </w:rPr>
        <w:t xml:space="preserve"> דאעפ"י דהוחזק השטר בב"ד, מ"מ עדיין יש לה מיגו דאי בעי קלתיה, אלא מוכח דהא דהוחזק השטר בב"ד, היינו שראו ב"ד את השטר, </w:t>
      </w:r>
      <w:r w:rsidRPr="00C05F4D">
        <w:rPr>
          <w:rStyle w:val="afb"/>
          <w:rFonts w:hint="cs"/>
          <w:rtl/>
        </w:rPr>
        <w:t xml:space="preserve">[ולכן אינה נאמנת דהוא מיגו למפרע], </w:t>
      </w:r>
      <w:r w:rsidRPr="008749F5">
        <w:rPr>
          <w:rFonts w:hint="cs"/>
          <w:rtl/>
        </w:rPr>
        <w:t xml:space="preserve">ועי' במה שביאר </w:t>
      </w:r>
      <w:r w:rsidRPr="00C05F4D">
        <w:rPr>
          <w:rStyle w:val="af9"/>
          <w:rFonts w:hint="cs"/>
          <w:rtl/>
        </w:rPr>
        <w:t xml:space="preserve">בחי' רבי נחום </w:t>
      </w:r>
      <w:r w:rsidRPr="00C05F4D">
        <w:rPr>
          <w:rStyle w:val="af7"/>
          <w:rFonts w:eastAsia="Guttman Rashi" w:hint="cs"/>
          <w:rtl/>
        </w:rPr>
        <w:t>(או' ס"ז</w:t>
      </w:r>
      <w:r>
        <w:rPr>
          <w:rStyle w:val="af7"/>
          <w:rFonts w:eastAsia="Guttman Rashi" w:hint="cs"/>
          <w:rtl/>
        </w:rPr>
        <w:t xml:space="preserve"> ד"ה ועוד ראיה</w:t>
      </w:r>
      <w:r w:rsidRPr="00C05F4D">
        <w:rPr>
          <w:rStyle w:val="af7"/>
          <w:rFonts w:eastAsia="Guttman Rashi" w:hint="cs"/>
          <w:rtl/>
        </w:rPr>
        <w:t>)</w:t>
      </w:r>
      <w:r w:rsidRPr="008749F5">
        <w:rPr>
          <w:rFonts w:hint="cs"/>
          <w:rtl/>
        </w:rPr>
        <w:t xml:space="preserve"> בדברי </w:t>
      </w:r>
      <w:r w:rsidRPr="00C05F4D">
        <w:rPr>
          <w:rStyle w:val="af9"/>
          <w:rFonts w:hint="cs"/>
          <w:rtl/>
        </w:rPr>
        <w:t>רש"י בסנהדרין</w:t>
      </w:r>
      <w:r w:rsidRPr="008749F5">
        <w:rPr>
          <w:rFonts w:hint="cs"/>
          <w:rtl/>
        </w:rPr>
        <w:t>.</w:t>
      </w:r>
    </w:p>
    <w:p w:rsidR="005306EB" w:rsidRPr="00713A8C" w:rsidRDefault="005306EB" w:rsidP="005306EB">
      <w:pPr>
        <w:pStyle w:val="a3"/>
      </w:pPr>
      <w:bookmarkStart w:id="11164" w:name="_Toc61388183"/>
      <w:bookmarkStart w:id="11165" w:name="_Toc61430842"/>
      <w:bookmarkStart w:id="11166" w:name="_Toc61433884"/>
      <w:bookmarkStart w:id="11167" w:name="_Toc61438605"/>
      <w:bookmarkStart w:id="11168" w:name="_Toc61469334"/>
      <w:bookmarkStart w:id="11169" w:name="_Toc61509712"/>
      <w:r>
        <w:rPr>
          <w:rFonts w:hint="cs"/>
          <w:rtl/>
        </w:rPr>
        <w:t>הוכחת התוס' מהגמ' בשבועות דבהודה שחייב צריך לפרוע בעדים אף שהיה מיגו לא היה מודה</w:t>
      </w:r>
      <w:bookmarkEnd w:id="11164"/>
      <w:bookmarkEnd w:id="11165"/>
      <w:bookmarkEnd w:id="11166"/>
      <w:bookmarkEnd w:id="11167"/>
      <w:bookmarkEnd w:id="11168"/>
      <w:bookmarkEnd w:id="11169"/>
    </w:p>
    <w:p w:rsidR="005306EB" w:rsidRDefault="005306EB" w:rsidP="007E4E81">
      <w:pPr>
        <w:pStyle w:val="a0"/>
        <w:rPr>
          <w:rtl/>
        </w:rPr>
      </w:pPr>
      <w:r>
        <w:rPr>
          <w:rFonts w:hint="cs"/>
          <w:rtl/>
        </w:rPr>
        <w:t xml:space="preserve">ועוד הביאו </w:t>
      </w:r>
      <w:r w:rsidRPr="008C67FB">
        <w:rPr>
          <w:rStyle w:val="af9"/>
          <w:rFonts w:hint="cs"/>
          <w:rtl/>
        </w:rPr>
        <w:t xml:space="preserve">התוס' </w:t>
      </w:r>
      <w:r>
        <w:rPr>
          <w:rFonts w:hint="cs"/>
          <w:rtl/>
        </w:rPr>
        <w:t xml:space="preserve">ראיה מהא דאיתא בשבועות </w:t>
      </w:r>
      <w:r w:rsidRPr="00F574EB">
        <w:rPr>
          <w:rStyle w:val="af7"/>
          <w:rFonts w:eastAsia="Guttman Hodes" w:hint="cs"/>
          <w:rtl/>
        </w:rPr>
        <w:t>(מא.)</w:t>
      </w:r>
      <w:r>
        <w:rPr>
          <w:rFonts w:hint="cs"/>
          <w:rtl/>
        </w:rPr>
        <w:t xml:space="preserve"> דהמודה לחבירו בעדים שחייב לו ואח"כ טוען פרוע נאמן, ומקשה הגמ' למ"ד דהמלוה בעדים צריך לפרוע בעדים, וה"ה התובע בעדים, וכתבו </w:t>
      </w:r>
      <w:r w:rsidRPr="008C67FB">
        <w:rPr>
          <w:rStyle w:val="af9"/>
          <w:rFonts w:hint="cs"/>
          <w:rtl/>
        </w:rPr>
        <w:t>התוס'</w:t>
      </w:r>
      <w:r>
        <w:rPr>
          <w:rFonts w:hint="cs"/>
          <w:rtl/>
        </w:rPr>
        <w:t xml:space="preserve"> דאף דלא דמי תובע בעדים שיש לו מיגו דלא היה מודה, מ"מ כיון שבשעת התביעה הודה, עכשיו כבר אין לו מיגו, דמיגו למפרע לא אמרינן.</w:t>
      </w:r>
      <w:bookmarkEnd w:id="11157"/>
    </w:p>
    <w:p w:rsidR="005306EB" w:rsidRPr="00E7199A" w:rsidRDefault="005306EB" w:rsidP="005306EB">
      <w:pPr>
        <w:pStyle w:val="a3"/>
      </w:pPr>
      <w:bookmarkStart w:id="11170" w:name="_Toc61388184"/>
      <w:bookmarkStart w:id="11171" w:name="_Toc61430843"/>
      <w:bookmarkStart w:id="11172" w:name="_Toc61433885"/>
      <w:bookmarkStart w:id="11173" w:name="_Toc61438606"/>
      <w:bookmarkStart w:id="11174" w:name="_Toc61469335"/>
      <w:bookmarkStart w:id="11175" w:name="_Toc61509713"/>
      <w:r>
        <w:rPr>
          <w:rFonts w:hint="cs"/>
          <w:rtl/>
        </w:rPr>
        <w:t>דברי רש"י בכתובות דבעשאה סימן לאחר נאמן מדין הפה שאסר אף שהודה כבר כשעשה סימן</w:t>
      </w:r>
      <w:bookmarkEnd w:id="11170"/>
      <w:bookmarkEnd w:id="11171"/>
      <w:bookmarkEnd w:id="11172"/>
      <w:bookmarkEnd w:id="11173"/>
      <w:bookmarkEnd w:id="11174"/>
      <w:bookmarkEnd w:id="11175"/>
    </w:p>
    <w:p w:rsidR="005306EB" w:rsidRDefault="005306EB" w:rsidP="007E4E81">
      <w:pPr>
        <w:pStyle w:val="a0"/>
        <w:rPr>
          <w:rtl/>
        </w:rPr>
      </w:pPr>
      <w:bookmarkStart w:id="11176" w:name="_Ref61378797"/>
      <w:r>
        <w:rPr>
          <w:rFonts w:hint="cs"/>
          <w:rtl/>
        </w:rPr>
        <w:t xml:space="preserve">והביאו </w:t>
      </w:r>
      <w:r w:rsidRPr="008C67FB">
        <w:rPr>
          <w:rStyle w:val="af9"/>
          <w:rFonts w:hint="cs"/>
          <w:rtl/>
        </w:rPr>
        <w:t xml:space="preserve">התוס' </w:t>
      </w:r>
      <w:r>
        <w:rPr>
          <w:rFonts w:hint="cs"/>
          <w:rtl/>
        </w:rPr>
        <w:t xml:space="preserve">את דברי </w:t>
      </w:r>
      <w:r w:rsidRPr="008C67FB">
        <w:rPr>
          <w:rStyle w:val="af9"/>
          <w:rFonts w:hint="cs"/>
          <w:rtl/>
        </w:rPr>
        <w:t>רש"י בכתובות</w:t>
      </w:r>
      <w:r>
        <w:rPr>
          <w:rFonts w:hint="cs"/>
          <w:rtl/>
        </w:rPr>
        <w:t xml:space="preserve"> </w:t>
      </w:r>
      <w:r w:rsidRPr="00F574EB">
        <w:rPr>
          <w:rStyle w:val="af7"/>
          <w:rFonts w:eastAsia="Guttman Hodes" w:hint="cs"/>
          <w:rtl/>
        </w:rPr>
        <w:t>(קט: ד"ה נאמן)</w:t>
      </w:r>
      <w:r>
        <w:rPr>
          <w:rFonts w:hint="cs"/>
          <w:rtl/>
        </w:rPr>
        <w:t xml:space="preserve"> דכתב דכשיש למערער עדים על שדה שנגזלה ממנו, אך יש שטר דעשאה סימן למחזיק, </w:t>
      </w:r>
      <w:r w:rsidRPr="005C0110">
        <w:rPr>
          <w:rStyle w:val="afb"/>
          <w:rFonts w:hint="cs"/>
          <w:rtl/>
        </w:rPr>
        <w:t>[כסימן למיצרים של שדה אחרת, כתב ששדה זו היא של המחזיק],</w:t>
      </w:r>
      <w:r>
        <w:rPr>
          <w:rFonts w:hint="cs"/>
          <w:rtl/>
        </w:rPr>
        <w:t xml:space="preserve"> ואח"כ טען שחזר וקנה מהמחזיק, דנאמן מדין הפה שאסר, כיון שיש לו עדים שהייתה שלו ונגזלה ממנו, וכל הזכות של המחזיק היא מכח מה שהודה כשעשאה סימן לאחר, ועי' במ"ש </w:t>
      </w:r>
      <w:r w:rsidRPr="00FB7230">
        <w:rPr>
          <w:rStyle w:val="af9"/>
          <w:rFonts w:hint="cs"/>
          <w:rtl/>
        </w:rPr>
        <w:t>הכנה"ג</w:t>
      </w:r>
      <w:r>
        <w:rPr>
          <w:rFonts w:hint="cs"/>
          <w:rtl/>
        </w:rPr>
        <w:t xml:space="preserve"> </w:t>
      </w:r>
      <w:r>
        <w:rPr>
          <w:rStyle w:val="af9"/>
          <w:rFonts w:hint="cs"/>
          <w:rtl/>
        </w:rPr>
        <w:t>ו</w:t>
      </w:r>
      <w:r w:rsidRPr="00FB7230">
        <w:rPr>
          <w:rStyle w:val="af9"/>
          <w:rFonts w:hint="cs"/>
          <w:rtl/>
        </w:rPr>
        <w:t>התומים</w:t>
      </w:r>
      <w:r>
        <w:rPr>
          <w:rFonts w:hint="cs"/>
          <w:rtl/>
        </w:rPr>
        <w:t xml:space="preserve"> </w:t>
      </w:r>
      <w:r w:rsidRPr="00386F25">
        <w:rPr>
          <w:rStyle w:val="af7"/>
          <w:rFonts w:eastAsia="Guttman Hodes" w:hint="cs"/>
          <w:rtl/>
        </w:rPr>
        <w:t>(עי'</w:t>
      </w:r>
      <w:r>
        <w:rPr>
          <w:rFonts w:hint="cs"/>
          <w:rtl/>
        </w:rPr>
        <w:t xml:space="preserve"> </w:t>
      </w:r>
      <w:r w:rsidRPr="00386F25">
        <w:rPr>
          <w:rStyle w:val="af7"/>
          <w:rFonts w:eastAsia="Guttman Hodes" w:hint="cs"/>
          <w:rtl/>
        </w:rPr>
        <w:t xml:space="preserve">אות </w:t>
      </w:r>
      <w:r w:rsidRPr="00386F25">
        <w:rPr>
          <w:rStyle w:val="af7"/>
          <w:rFonts w:eastAsia="Guttman Hodes"/>
          <w:rtl/>
        </w:rPr>
        <w:fldChar w:fldCharType="begin"/>
      </w:r>
      <w:r w:rsidRPr="00386F25">
        <w:rPr>
          <w:rStyle w:val="af7"/>
          <w:rFonts w:eastAsia="Guttman Hodes"/>
          <w:rtl/>
        </w:rPr>
        <w:instrText xml:space="preserve"> </w:instrText>
      </w:r>
      <w:r w:rsidRPr="00386F25">
        <w:rPr>
          <w:rStyle w:val="af7"/>
          <w:rFonts w:eastAsia="Guttman Hodes" w:hint="cs"/>
        </w:rPr>
        <w:instrText>REF</w:instrText>
      </w:r>
      <w:r w:rsidRPr="00386F25">
        <w:rPr>
          <w:rStyle w:val="af7"/>
          <w:rFonts w:eastAsia="Guttman Hodes" w:hint="cs"/>
          <w:rtl/>
        </w:rPr>
        <w:instrText xml:space="preserve"> _</w:instrText>
      </w:r>
      <w:r w:rsidRPr="00386F25">
        <w:rPr>
          <w:rStyle w:val="af7"/>
          <w:rFonts w:eastAsia="Guttman Hodes" w:hint="cs"/>
        </w:rPr>
        <w:instrText>Ref61508871 \r \h</w:instrText>
      </w:r>
      <w:r w:rsidRPr="00386F25">
        <w:rPr>
          <w:rStyle w:val="af7"/>
          <w:rFonts w:eastAsia="Guttman Hodes"/>
          <w:rtl/>
        </w:rPr>
        <w:instrText xml:space="preserve"> </w:instrText>
      </w:r>
      <w:r w:rsidRPr="00386F25">
        <w:rPr>
          <w:rStyle w:val="af7"/>
          <w:rFonts w:eastAsia="Guttman Hodes"/>
          <w:rtl/>
        </w:rPr>
      </w:r>
      <w:r w:rsidRPr="00386F25">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386F25">
        <w:rPr>
          <w:rStyle w:val="af7"/>
          <w:rFonts w:eastAsia="Guttman Hodes"/>
          <w:rtl/>
        </w:rPr>
        <w:fldChar w:fldCharType="end"/>
      </w:r>
      <w:r w:rsidRPr="00386F25">
        <w:rPr>
          <w:rStyle w:val="af7"/>
          <w:rFonts w:eastAsia="Guttman Hodes" w:hint="cs"/>
          <w:rtl/>
        </w:rPr>
        <w:t xml:space="preserve"> </w:t>
      </w:r>
      <w:r>
        <w:rPr>
          <w:rFonts w:hint="cs"/>
          <w:rtl/>
        </w:rPr>
        <w:t xml:space="preserve">דמבואר </w:t>
      </w:r>
      <w:r w:rsidRPr="00FB7230">
        <w:rPr>
          <w:rStyle w:val="af9"/>
          <w:rFonts w:hint="cs"/>
          <w:rtl/>
        </w:rPr>
        <w:t>ברש"י</w:t>
      </w:r>
      <w:r>
        <w:rPr>
          <w:rFonts w:hint="cs"/>
          <w:rtl/>
        </w:rPr>
        <w:t xml:space="preserve"> דאמרינן מיגו למפרע, ועי' במה שביאר </w:t>
      </w:r>
      <w:r w:rsidRPr="008A6FA3">
        <w:rPr>
          <w:rStyle w:val="af9"/>
          <w:rFonts w:hint="cs"/>
          <w:rtl/>
        </w:rPr>
        <w:t>הריטב"א</w:t>
      </w:r>
      <w:r>
        <w:rPr>
          <w:rFonts w:hint="cs"/>
          <w:rtl/>
        </w:rPr>
        <w:t xml:space="preserve"> </w:t>
      </w:r>
      <w:r w:rsidRPr="008A6FA3">
        <w:rPr>
          <w:rStyle w:val="af9"/>
          <w:rFonts w:hint="cs"/>
          <w:rtl/>
        </w:rPr>
        <w:t>בכתובות</w:t>
      </w:r>
      <w:r>
        <w:rPr>
          <w:rFonts w:hint="cs"/>
          <w:rtl/>
        </w:rPr>
        <w:t xml:space="preserve"> </w:t>
      </w:r>
      <w:r w:rsidRPr="00386F25">
        <w:rPr>
          <w:rStyle w:val="af7"/>
          <w:rFonts w:eastAsia="Guttman Hodes" w:hint="cs"/>
          <w:rtl/>
        </w:rPr>
        <w:t xml:space="preserve">(עי' אות </w:t>
      </w:r>
      <w:r w:rsidRPr="00386F25">
        <w:rPr>
          <w:rStyle w:val="af7"/>
          <w:rFonts w:eastAsia="Guttman Hodes"/>
          <w:rtl/>
        </w:rPr>
        <w:fldChar w:fldCharType="begin"/>
      </w:r>
      <w:r w:rsidRPr="00386F25">
        <w:rPr>
          <w:rStyle w:val="af7"/>
          <w:rFonts w:eastAsia="Guttman Hodes"/>
          <w:rtl/>
        </w:rPr>
        <w:instrText xml:space="preserve"> </w:instrText>
      </w:r>
      <w:r w:rsidRPr="00386F25">
        <w:rPr>
          <w:rStyle w:val="af7"/>
          <w:rFonts w:eastAsia="Guttman Hodes" w:hint="cs"/>
        </w:rPr>
        <w:instrText>REF</w:instrText>
      </w:r>
      <w:r w:rsidRPr="00386F25">
        <w:rPr>
          <w:rStyle w:val="af7"/>
          <w:rFonts w:eastAsia="Guttman Hodes" w:hint="cs"/>
          <w:rtl/>
        </w:rPr>
        <w:instrText xml:space="preserve"> _</w:instrText>
      </w:r>
      <w:r w:rsidRPr="00386F25">
        <w:rPr>
          <w:rStyle w:val="af7"/>
          <w:rFonts w:eastAsia="Guttman Hodes" w:hint="cs"/>
        </w:rPr>
        <w:instrText>Ref61508876 \r \h</w:instrText>
      </w:r>
      <w:r w:rsidRPr="00386F25">
        <w:rPr>
          <w:rStyle w:val="af7"/>
          <w:rFonts w:eastAsia="Guttman Hodes"/>
          <w:rtl/>
        </w:rPr>
        <w:instrText xml:space="preserve"> </w:instrText>
      </w:r>
      <w:r w:rsidRPr="00386F25">
        <w:rPr>
          <w:rStyle w:val="af7"/>
          <w:rFonts w:eastAsia="Guttman Hodes"/>
          <w:rtl/>
        </w:rPr>
      </w:r>
      <w:r w:rsidRPr="00386F25">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386F25">
        <w:rPr>
          <w:rStyle w:val="af7"/>
          <w:rFonts w:eastAsia="Guttman Hodes"/>
          <w:rtl/>
        </w:rPr>
        <w:fldChar w:fldCharType="end"/>
      </w:r>
      <w:r>
        <w:rPr>
          <w:rFonts w:hint="cs"/>
          <w:rtl/>
        </w:rPr>
        <w:t xml:space="preserve"> בדעת </w:t>
      </w:r>
      <w:r w:rsidRPr="00FB7230">
        <w:rPr>
          <w:rStyle w:val="af9"/>
          <w:rFonts w:hint="cs"/>
          <w:rtl/>
        </w:rPr>
        <w:t>רש"י</w:t>
      </w:r>
      <w:r>
        <w:rPr>
          <w:rFonts w:hint="cs"/>
          <w:rtl/>
        </w:rPr>
        <w:t>.</w:t>
      </w:r>
      <w:bookmarkEnd w:id="11176"/>
    </w:p>
    <w:p w:rsidR="005306EB" w:rsidRPr="008410BD" w:rsidRDefault="005306EB" w:rsidP="005306EB">
      <w:pPr>
        <w:pStyle w:val="a3"/>
      </w:pPr>
      <w:bookmarkStart w:id="11177" w:name="_Toc61388185"/>
      <w:bookmarkStart w:id="11178" w:name="_Toc61430844"/>
      <w:bookmarkStart w:id="11179" w:name="_Toc61433886"/>
      <w:bookmarkStart w:id="11180" w:name="_Toc61438607"/>
      <w:bookmarkStart w:id="11181" w:name="_Toc61469336"/>
      <w:bookmarkStart w:id="11182" w:name="_Toc61509714"/>
      <w:r>
        <w:rPr>
          <w:rFonts w:hint="cs"/>
          <w:rtl/>
        </w:rPr>
        <w:t>דחיית ר"י לדברי רש"י דאינו נאמן במיגו דהוא למפרע אלא איירי שחזר והחזיק ג"ש ולכן נאמן</w:t>
      </w:r>
      <w:bookmarkEnd w:id="11177"/>
      <w:bookmarkEnd w:id="11178"/>
      <w:bookmarkEnd w:id="11179"/>
      <w:bookmarkEnd w:id="11180"/>
      <w:bookmarkEnd w:id="11181"/>
      <w:bookmarkEnd w:id="11182"/>
    </w:p>
    <w:p w:rsidR="005306EB" w:rsidRDefault="005306EB" w:rsidP="007E4E81">
      <w:pPr>
        <w:pStyle w:val="a0"/>
        <w:rPr>
          <w:rtl/>
        </w:rPr>
      </w:pPr>
      <w:r>
        <w:rPr>
          <w:rFonts w:hint="cs"/>
          <w:rtl/>
        </w:rPr>
        <w:t xml:space="preserve">ודחה </w:t>
      </w:r>
      <w:r w:rsidRPr="008C67FB">
        <w:rPr>
          <w:rStyle w:val="af9"/>
          <w:rFonts w:hint="cs"/>
          <w:rtl/>
        </w:rPr>
        <w:t>ר"י בתוס'</w:t>
      </w:r>
      <w:r>
        <w:rPr>
          <w:rFonts w:hint="cs"/>
          <w:rtl/>
        </w:rPr>
        <w:t xml:space="preserve"> דהוא מיגו למפרע ואינו נאמן, אלא ביאר </w:t>
      </w:r>
      <w:r w:rsidRPr="008C67FB">
        <w:rPr>
          <w:rStyle w:val="af9"/>
          <w:rFonts w:hint="cs"/>
          <w:rtl/>
        </w:rPr>
        <w:t>ר"י</w:t>
      </w:r>
      <w:r>
        <w:rPr>
          <w:rFonts w:hint="cs"/>
          <w:rtl/>
        </w:rPr>
        <w:t xml:space="preserve"> דאיירי דאחר שעשאה סימן חזר והחזיק ג"ש, וקמ"ל דאף שהיה ערעור לפני החזקה, מ"מ אמרינן דאח"כ חזר וקנאה.</w:t>
      </w:r>
    </w:p>
    <w:p w:rsidR="005306EB" w:rsidRPr="00E35181" w:rsidRDefault="005306EB" w:rsidP="005306EB">
      <w:pPr>
        <w:pStyle w:val="a3"/>
        <w:rPr>
          <w:rtl/>
        </w:rPr>
      </w:pPr>
    </w:p>
    <w:p w:rsidR="005306EB" w:rsidRDefault="005306EB" w:rsidP="005306EB">
      <w:pPr>
        <w:pStyle w:val="1"/>
        <w:rPr>
          <w:rtl/>
        </w:rPr>
      </w:pPr>
      <w:bookmarkStart w:id="11183" w:name="_Toc61010720"/>
      <w:bookmarkStart w:id="11184" w:name="_Toc61200662"/>
      <w:bookmarkStart w:id="11185" w:name="_Toc61213860"/>
      <w:bookmarkStart w:id="11186" w:name="_Toc61388186"/>
      <w:bookmarkStart w:id="11187" w:name="_Toc61430845"/>
      <w:bookmarkStart w:id="11188" w:name="_Toc61433887"/>
      <w:bookmarkStart w:id="11189" w:name="_Toc61438608"/>
      <w:bookmarkStart w:id="11190" w:name="_Toc61469337"/>
      <w:bookmarkStart w:id="11191" w:name="_Toc61509715"/>
      <w:bookmarkStart w:id="11192" w:name="_Toc61010719"/>
      <w:bookmarkStart w:id="11193" w:name="_Toc61200661"/>
      <w:bookmarkStart w:id="11194" w:name="_Toc61213859"/>
      <w:r>
        <w:rPr>
          <w:rFonts w:hint="cs"/>
          <w:rtl/>
        </w:rPr>
        <w:lastRenderedPageBreak/>
        <w:t>דברי התוס' בכתובות</w:t>
      </w:r>
      <w:bookmarkEnd w:id="11183"/>
      <w:bookmarkEnd w:id="11184"/>
      <w:bookmarkEnd w:id="11185"/>
      <w:r>
        <w:rPr>
          <w:rFonts w:hint="cs"/>
          <w:rtl/>
        </w:rPr>
        <w:t xml:space="preserve"> דמיגו למפרע לא אמרינן</w:t>
      </w:r>
      <w:bookmarkEnd w:id="11186"/>
      <w:bookmarkEnd w:id="11187"/>
      <w:bookmarkEnd w:id="11188"/>
      <w:bookmarkEnd w:id="11189"/>
      <w:bookmarkEnd w:id="11190"/>
      <w:bookmarkEnd w:id="11191"/>
    </w:p>
    <w:p w:rsidR="005306EB" w:rsidRDefault="005306EB" w:rsidP="005306EB">
      <w:pPr>
        <w:pStyle w:val="a3"/>
        <w:rPr>
          <w:rtl/>
        </w:rPr>
      </w:pPr>
      <w:bookmarkStart w:id="11195" w:name="_Toc61388187"/>
      <w:bookmarkStart w:id="11196" w:name="_Toc61430846"/>
      <w:bookmarkStart w:id="11197" w:name="_Toc61433888"/>
      <w:bookmarkStart w:id="11198" w:name="_Toc61438609"/>
      <w:bookmarkStart w:id="11199" w:name="_Toc61469338"/>
      <w:bookmarkStart w:id="11200" w:name="_Toc61509716"/>
      <w:r>
        <w:rPr>
          <w:rFonts w:hint="cs"/>
          <w:rtl/>
        </w:rPr>
        <w:t>דברי התוס' בכתובות דשליש שהוציא שטר לאח"מ אינו נאמן דתפס מחיים דהוא מיגו למפרע</w:t>
      </w:r>
      <w:bookmarkEnd w:id="11195"/>
      <w:bookmarkEnd w:id="11196"/>
      <w:bookmarkEnd w:id="11197"/>
      <w:bookmarkEnd w:id="11198"/>
      <w:bookmarkEnd w:id="11199"/>
      <w:bookmarkEnd w:id="11200"/>
    </w:p>
    <w:p w:rsidR="005306EB" w:rsidRDefault="005306EB" w:rsidP="007E4E81">
      <w:pPr>
        <w:pStyle w:val="a0"/>
        <w:rPr>
          <w:rtl/>
        </w:rPr>
      </w:pPr>
      <w:bookmarkStart w:id="11201" w:name="_Ref61256145"/>
      <w:r>
        <w:rPr>
          <w:rFonts w:hint="cs"/>
          <w:rtl/>
        </w:rPr>
        <w:t xml:space="preserve">בהא דאיתא בגמ' בכתובות </w:t>
      </w:r>
      <w:r w:rsidRPr="00F574EB">
        <w:rPr>
          <w:rStyle w:val="af7"/>
          <w:rFonts w:eastAsia="Guttman Hodes" w:hint="cs"/>
          <w:rtl/>
        </w:rPr>
        <w:t>(פה.)</w:t>
      </w:r>
      <w:r>
        <w:rPr>
          <w:rFonts w:hint="cs"/>
          <w:rtl/>
        </w:rPr>
        <w:t xml:space="preserve"> דאשה שהופקדו שטרות בידה ומת המפקיד, ותבעוה היתומים ואמרה שהיא תפסה אותם על חוב שהיה אביהם חייב לה, ואר"נ דאם אין לה עדים שתפסה מחיים ל"מ תפיסה לאח"מ, הקשו </w:t>
      </w:r>
      <w:r w:rsidRPr="008C67FB">
        <w:rPr>
          <w:rStyle w:val="af9"/>
          <w:rFonts w:hint="cs"/>
          <w:rtl/>
        </w:rPr>
        <w:t>התוס'</w:t>
      </w:r>
      <w:r>
        <w:rPr>
          <w:rFonts w:hint="cs"/>
          <w:rtl/>
        </w:rPr>
        <w:t xml:space="preserve"> </w:t>
      </w:r>
      <w:r w:rsidRPr="008C67FB">
        <w:rPr>
          <w:rStyle w:val="af9"/>
          <w:rFonts w:hint="cs"/>
          <w:rtl/>
        </w:rPr>
        <w:t>בכתובות</w:t>
      </w:r>
      <w:r>
        <w:rPr>
          <w:rFonts w:hint="cs"/>
          <w:rtl/>
        </w:rPr>
        <w:t xml:space="preserve"> </w:t>
      </w:r>
      <w:r w:rsidRPr="00F574EB">
        <w:rPr>
          <w:rStyle w:val="af7"/>
          <w:rFonts w:eastAsia="Guttman Hodes" w:hint="cs"/>
          <w:rtl/>
        </w:rPr>
        <w:t>(פה. ד"ה אית)</w:t>
      </w:r>
      <w:r>
        <w:rPr>
          <w:rFonts w:hint="cs"/>
          <w:rtl/>
        </w:rPr>
        <w:t xml:space="preserve"> דאמאי אינה נאמנת שתפסה מחיים במיגו דלקוחין הם בידי, ותירץ </w:t>
      </w:r>
      <w:r w:rsidRPr="008C67FB">
        <w:rPr>
          <w:rStyle w:val="af9"/>
          <w:rFonts w:hint="cs"/>
          <w:rtl/>
        </w:rPr>
        <w:t>ר"י בתוס'</w:t>
      </w:r>
      <w:r>
        <w:rPr>
          <w:rFonts w:hint="cs"/>
          <w:rtl/>
        </w:rPr>
        <w:t xml:space="preserve"> דאינו מיגו כיון שעכשיו אינה יכולה לטעון כן והוא מיגו למפרע, והביאו </w:t>
      </w:r>
      <w:r w:rsidRPr="00531BC2">
        <w:rPr>
          <w:rStyle w:val="af9"/>
          <w:rFonts w:hint="cs"/>
          <w:rtl/>
        </w:rPr>
        <w:t xml:space="preserve">התוס' בכתובות </w:t>
      </w:r>
      <w:r>
        <w:rPr>
          <w:rFonts w:hint="cs"/>
          <w:rtl/>
        </w:rPr>
        <w:t xml:space="preserve">את הראיות שהביאו </w:t>
      </w:r>
      <w:r w:rsidRPr="008C67FB">
        <w:rPr>
          <w:rStyle w:val="af9"/>
          <w:rFonts w:hint="cs"/>
          <w:rtl/>
        </w:rPr>
        <w:t>התוס'</w:t>
      </w:r>
      <w:r>
        <w:rPr>
          <w:rFonts w:hint="cs"/>
          <w:rtl/>
        </w:rPr>
        <w:t xml:space="preserve"> </w:t>
      </w:r>
      <w:r w:rsidRPr="008C67FB">
        <w:rPr>
          <w:rStyle w:val="af9"/>
          <w:rFonts w:hint="cs"/>
          <w:rtl/>
        </w:rPr>
        <w:t>בסוגיין</w:t>
      </w:r>
      <w:r w:rsidRPr="00290C0A">
        <w:rPr>
          <w:rStyle w:val="af7"/>
          <w:rFonts w:eastAsia="Guttman Hodes" w:hint="cs"/>
          <w:rtl/>
        </w:rPr>
        <w:t xml:space="preserve"> (עי' אות </w:t>
      </w:r>
      <w:r w:rsidRPr="00290C0A">
        <w:rPr>
          <w:rStyle w:val="af7"/>
          <w:rFonts w:eastAsia="Guttman Hodes"/>
          <w:rtl/>
        </w:rPr>
        <w:fldChar w:fldCharType="begin"/>
      </w:r>
      <w:r w:rsidRPr="00290C0A">
        <w:rPr>
          <w:rStyle w:val="af7"/>
          <w:rFonts w:eastAsia="Guttman Hodes"/>
          <w:rtl/>
        </w:rPr>
        <w:instrText xml:space="preserve"> </w:instrText>
      </w:r>
      <w:r w:rsidRPr="00290C0A">
        <w:rPr>
          <w:rStyle w:val="af7"/>
          <w:rFonts w:eastAsia="Guttman Hodes" w:hint="cs"/>
        </w:rPr>
        <w:instrText>REF</w:instrText>
      </w:r>
      <w:r w:rsidRPr="00290C0A">
        <w:rPr>
          <w:rStyle w:val="af7"/>
          <w:rFonts w:eastAsia="Guttman Hodes" w:hint="cs"/>
          <w:rtl/>
        </w:rPr>
        <w:instrText xml:space="preserve"> _</w:instrText>
      </w:r>
      <w:r w:rsidRPr="00290C0A">
        <w:rPr>
          <w:rStyle w:val="af7"/>
          <w:rFonts w:eastAsia="Guttman Hodes" w:hint="cs"/>
        </w:rPr>
        <w:instrText>Ref61256230 \r \h</w:instrText>
      </w:r>
      <w:r w:rsidRPr="00290C0A">
        <w:rPr>
          <w:rStyle w:val="af7"/>
          <w:rFonts w:eastAsia="Guttman Hodes"/>
          <w:rtl/>
        </w:rPr>
        <w:instrText xml:space="preserve"> </w:instrText>
      </w:r>
      <w:r w:rsidRPr="00290C0A">
        <w:rPr>
          <w:rStyle w:val="af7"/>
          <w:rFonts w:eastAsia="Guttman Hodes"/>
          <w:rtl/>
        </w:rPr>
      </w:r>
      <w:r w:rsidRPr="00290C0A">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290C0A">
        <w:rPr>
          <w:rStyle w:val="af7"/>
          <w:rFonts w:eastAsia="Guttman Hodes"/>
          <w:rtl/>
        </w:rPr>
        <w:fldChar w:fldCharType="end"/>
      </w:r>
      <w:r w:rsidRPr="00290C0A">
        <w:rPr>
          <w:rStyle w:val="af7"/>
          <w:rFonts w:eastAsia="Guttman Hodes" w:hint="cs"/>
          <w:rtl/>
        </w:rPr>
        <w:t xml:space="preserve"> </w:t>
      </w:r>
      <w:r>
        <w:rPr>
          <w:rFonts w:hint="cs"/>
          <w:rtl/>
        </w:rPr>
        <w:t>מהגמ' בסנהדרין, ומהגמ' בשבועות,</w:t>
      </w:r>
      <w:r w:rsidRPr="00A55B93">
        <w:rPr>
          <w:rFonts w:hint="cs"/>
          <w:rtl/>
        </w:rPr>
        <w:t xml:space="preserve"> </w:t>
      </w:r>
      <w:r>
        <w:rPr>
          <w:rFonts w:hint="cs"/>
          <w:rtl/>
        </w:rPr>
        <w:t xml:space="preserve">וכ"כ </w:t>
      </w:r>
      <w:r w:rsidRPr="008C67FB">
        <w:rPr>
          <w:rStyle w:val="af9"/>
          <w:rFonts w:hint="cs"/>
          <w:rtl/>
        </w:rPr>
        <w:t>ההג' אשר"י בכתובות</w:t>
      </w:r>
      <w:r>
        <w:rPr>
          <w:rFonts w:hint="cs"/>
          <w:rtl/>
        </w:rPr>
        <w:t xml:space="preserve"> </w:t>
      </w:r>
      <w:r w:rsidRPr="00F574EB">
        <w:rPr>
          <w:rStyle w:val="af7"/>
          <w:rFonts w:eastAsia="Guttman Hodes" w:hint="cs"/>
          <w:rtl/>
        </w:rPr>
        <w:t>(</w:t>
      </w:r>
      <w:r>
        <w:rPr>
          <w:rStyle w:val="af7"/>
          <w:rFonts w:eastAsia="Guttman Hodes" w:hint="cs"/>
          <w:rtl/>
        </w:rPr>
        <w:t xml:space="preserve">על הרא"ש </w:t>
      </w:r>
      <w:r w:rsidRPr="00F574EB">
        <w:rPr>
          <w:rStyle w:val="af7"/>
          <w:rFonts w:eastAsia="Guttman Hodes" w:hint="cs"/>
          <w:rtl/>
        </w:rPr>
        <w:t>פ"ה סי' ט' ד"ה לא אמרי')</w:t>
      </w:r>
      <w:r>
        <w:rPr>
          <w:rFonts w:hint="cs"/>
          <w:rtl/>
        </w:rPr>
        <w:t>.</w:t>
      </w:r>
      <w:bookmarkEnd w:id="11201"/>
    </w:p>
    <w:p w:rsidR="005306EB" w:rsidRPr="007866A3" w:rsidRDefault="005306EB" w:rsidP="005306EB">
      <w:pPr>
        <w:pStyle w:val="a3"/>
        <w:rPr>
          <w:rtl/>
        </w:rPr>
      </w:pPr>
      <w:bookmarkStart w:id="11202" w:name="_Toc61388188"/>
      <w:bookmarkStart w:id="11203" w:name="_Toc61430847"/>
      <w:bookmarkStart w:id="11204" w:name="_Toc61433889"/>
      <w:bookmarkStart w:id="11205" w:name="_Toc61438610"/>
      <w:bookmarkStart w:id="11206" w:name="_Toc61469339"/>
      <w:bookmarkStart w:id="11207" w:name="_Toc61509717"/>
      <w:r>
        <w:rPr>
          <w:rFonts w:hint="cs"/>
          <w:rtl/>
        </w:rPr>
        <w:t>ביאור ר"י בתוס' בכתובות דמיגו למפרע לא אמרינן דסבר דטענתו הראשונה טענה טובה</w:t>
      </w:r>
      <w:bookmarkEnd w:id="11202"/>
      <w:bookmarkEnd w:id="11203"/>
      <w:bookmarkEnd w:id="11204"/>
      <w:bookmarkEnd w:id="11205"/>
      <w:bookmarkEnd w:id="11206"/>
      <w:bookmarkEnd w:id="11207"/>
    </w:p>
    <w:p w:rsidR="005306EB" w:rsidRDefault="005306EB" w:rsidP="007E4E81">
      <w:pPr>
        <w:pStyle w:val="a0"/>
        <w:rPr>
          <w:rtl/>
        </w:rPr>
      </w:pPr>
      <w:bookmarkStart w:id="11208" w:name="_Ref61256415"/>
      <w:r>
        <w:rPr>
          <w:rFonts w:hint="cs"/>
          <w:rtl/>
        </w:rPr>
        <w:t xml:space="preserve">וביאר </w:t>
      </w:r>
      <w:r w:rsidRPr="008C67FB">
        <w:rPr>
          <w:rStyle w:val="af9"/>
          <w:rFonts w:hint="cs"/>
          <w:rtl/>
        </w:rPr>
        <w:t>ר"י בתוס' בכתובות</w:t>
      </w:r>
      <w:r>
        <w:rPr>
          <w:rFonts w:hint="cs"/>
          <w:rtl/>
        </w:rPr>
        <w:t xml:space="preserve"> דהא דלא מהני מיגו למפרע, הוא כיון דכשטענה שהם תפוסים בידה סברה שהיא טענה טובה, ולא ידעה שצריכה לטעון שתפסה מחיים, וכן ביארו </w:t>
      </w:r>
      <w:r w:rsidRPr="00E17652">
        <w:rPr>
          <w:rStyle w:val="af9"/>
          <w:rFonts w:hint="cs"/>
          <w:rtl/>
        </w:rPr>
        <w:t>התוס' בסוגיין</w:t>
      </w:r>
      <w:r>
        <w:rPr>
          <w:rFonts w:hint="cs"/>
          <w:rtl/>
        </w:rPr>
        <w:t xml:space="preserve"> </w:t>
      </w:r>
      <w:r w:rsidRPr="00E17652">
        <w:rPr>
          <w:rStyle w:val="af7"/>
          <w:rFonts w:eastAsia="Guttman Hodes" w:hint="cs"/>
          <w:rtl/>
        </w:rPr>
        <w:t xml:space="preserve">(עי' אות </w:t>
      </w:r>
      <w:r w:rsidRPr="00E17652">
        <w:rPr>
          <w:rStyle w:val="af7"/>
          <w:rFonts w:eastAsia="Guttman Hodes"/>
          <w:rtl/>
        </w:rPr>
        <w:fldChar w:fldCharType="begin"/>
      </w:r>
      <w:r w:rsidRPr="00E17652">
        <w:rPr>
          <w:rStyle w:val="af7"/>
          <w:rFonts w:eastAsia="Guttman Hodes"/>
          <w:rtl/>
        </w:rPr>
        <w:instrText xml:space="preserve"> </w:instrText>
      </w:r>
      <w:r w:rsidRPr="00E17652">
        <w:rPr>
          <w:rStyle w:val="af7"/>
          <w:rFonts w:eastAsia="Guttman Hodes" w:hint="cs"/>
        </w:rPr>
        <w:instrText>REF</w:instrText>
      </w:r>
      <w:r w:rsidRPr="00E17652">
        <w:rPr>
          <w:rStyle w:val="af7"/>
          <w:rFonts w:eastAsia="Guttman Hodes" w:hint="cs"/>
          <w:rtl/>
        </w:rPr>
        <w:instrText xml:space="preserve"> _</w:instrText>
      </w:r>
      <w:r w:rsidRPr="00E17652">
        <w:rPr>
          <w:rStyle w:val="af7"/>
          <w:rFonts w:eastAsia="Guttman Hodes" w:hint="cs"/>
        </w:rPr>
        <w:instrText>Ref61256380 \r \h</w:instrText>
      </w:r>
      <w:r w:rsidRPr="00E17652">
        <w:rPr>
          <w:rStyle w:val="af7"/>
          <w:rFonts w:eastAsia="Guttman Hodes"/>
          <w:rtl/>
        </w:rPr>
        <w:instrText xml:space="preserve"> </w:instrText>
      </w:r>
      <w:r w:rsidRPr="00E17652">
        <w:rPr>
          <w:rStyle w:val="af7"/>
          <w:rFonts w:eastAsia="Guttman Hodes"/>
          <w:rtl/>
        </w:rPr>
      </w:r>
      <w:r w:rsidRPr="00E17652">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E17652">
        <w:rPr>
          <w:rStyle w:val="af7"/>
          <w:rFonts w:eastAsia="Guttman Hodes"/>
          <w:rtl/>
        </w:rPr>
        <w:fldChar w:fldCharType="end"/>
      </w:r>
      <w:r w:rsidRPr="00E17652">
        <w:rPr>
          <w:rStyle w:val="af7"/>
          <w:rFonts w:eastAsia="Guttman Hodes" w:hint="cs"/>
          <w:rtl/>
        </w:rPr>
        <w:t>.</w:t>
      </w:r>
      <w:bookmarkEnd w:id="11208"/>
    </w:p>
    <w:p w:rsidR="005306EB" w:rsidRDefault="005306EB" w:rsidP="005306EB">
      <w:pPr>
        <w:pStyle w:val="afe"/>
        <w:rPr>
          <w:rtl/>
        </w:rPr>
      </w:pPr>
      <w:bookmarkStart w:id="11209" w:name="_Toc61388189"/>
      <w:bookmarkStart w:id="11210" w:name="_Toc61430848"/>
      <w:bookmarkStart w:id="11211" w:name="_Toc61433890"/>
      <w:bookmarkStart w:id="11212" w:name="_Toc61438611"/>
      <w:bookmarkStart w:id="11213" w:name="_Toc61469340"/>
      <w:bookmarkStart w:id="11214" w:name="_Toc61509718"/>
      <w:r>
        <w:rPr>
          <w:rFonts w:hint="cs"/>
          <w:rtl/>
        </w:rPr>
        <w:t>דעת הרא"ש</w:t>
      </w:r>
      <w:bookmarkEnd w:id="11209"/>
      <w:bookmarkEnd w:id="11210"/>
      <w:bookmarkEnd w:id="11211"/>
      <w:bookmarkEnd w:id="11212"/>
      <w:bookmarkEnd w:id="11213"/>
      <w:r>
        <w:rPr>
          <w:rFonts w:hint="cs"/>
          <w:rtl/>
        </w:rPr>
        <w:t xml:space="preserve"> דנאמן לפרש דבריו</w:t>
      </w:r>
      <w:bookmarkEnd w:id="11214"/>
    </w:p>
    <w:p w:rsidR="005306EB" w:rsidRDefault="005306EB" w:rsidP="005306EB">
      <w:pPr>
        <w:pStyle w:val="1"/>
        <w:rPr>
          <w:rtl/>
        </w:rPr>
      </w:pPr>
      <w:bookmarkStart w:id="11215" w:name="_Toc61388190"/>
      <w:bookmarkStart w:id="11216" w:name="_Toc61430849"/>
      <w:bookmarkStart w:id="11217" w:name="_Toc61433891"/>
      <w:bookmarkStart w:id="11218" w:name="_Toc61438612"/>
      <w:bookmarkStart w:id="11219" w:name="_Toc61469341"/>
      <w:bookmarkStart w:id="11220" w:name="_Toc61509719"/>
      <w:r>
        <w:rPr>
          <w:rFonts w:hint="cs"/>
          <w:rtl/>
        </w:rPr>
        <w:t xml:space="preserve">דברי הרא"ש </w:t>
      </w:r>
      <w:bookmarkEnd w:id="11192"/>
      <w:bookmarkEnd w:id="11193"/>
      <w:bookmarkEnd w:id="11194"/>
      <w:bookmarkEnd w:id="11215"/>
      <w:bookmarkEnd w:id="11216"/>
      <w:bookmarkEnd w:id="11217"/>
      <w:bookmarkEnd w:id="11218"/>
      <w:bookmarkEnd w:id="11219"/>
      <w:r>
        <w:rPr>
          <w:rFonts w:hint="cs"/>
          <w:rtl/>
        </w:rPr>
        <w:t>דבטען בסתמא נאמן לפרש דכוונתו לקמי דידי</w:t>
      </w:r>
      <w:bookmarkEnd w:id="11220"/>
    </w:p>
    <w:p w:rsidR="005306EB" w:rsidRDefault="005306EB" w:rsidP="005306EB">
      <w:pPr>
        <w:pStyle w:val="a3"/>
        <w:rPr>
          <w:rtl/>
        </w:rPr>
      </w:pPr>
      <w:bookmarkStart w:id="11221" w:name="_Toc61388191"/>
      <w:bookmarkStart w:id="11222" w:name="_Toc61430850"/>
      <w:bookmarkStart w:id="11223" w:name="_Toc61433892"/>
      <w:bookmarkStart w:id="11224" w:name="_Toc61438613"/>
      <w:bookmarkStart w:id="11225" w:name="_Toc61469342"/>
      <w:bookmarkStart w:id="11226" w:name="_Toc61509720"/>
      <w:r>
        <w:rPr>
          <w:rFonts w:hint="cs"/>
          <w:rtl/>
        </w:rPr>
        <w:t>דברי הרא"ש דאם אמר בתחילה קמי דידי זבנה מינך לפני שהודה שקנה מהמערער נאמן במיגו</w:t>
      </w:r>
      <w:bookmarkEnd w:id="11221"/>
      <w:bookmarkEnd w:id="11222"/>
      <w:bookmarkEnd w:id="11223"/>
      <w:bookmarkEnd w:id="11224"/>
      <w:bookmarkEnd w:id="11225"/>
      <w:bookmarkEnd w:id="11226"/>
      <w:r>
        <w:rPr>
          <w:rFonts w:hint="cs"/>
          <w:rtl/>
        </w:rPr>
        <w:t xml:space="preserve"> </w:t>
      </w:r>
    </w:p>
    <w:p w:rsidR="005306EB" w:rsidRDefault="005306EB" w:rsidP="007E4E81">
      <w:pPr>
        <w:pStyle w:val="a0"/>
        <w:rPr>
          <w:rtl/>
        </w:rPr>
      </w:pPr>
      <w:bookmarkStart w:id="11227" w:name="_Ref61382574"/>
      <w:r>
        <w:rPr>
          <w:rFonts w:hint="cs"/>
          <w:rtl/>
        </w:rPr>
        <w:t xml:space="preserve">כתב </w:t>
      </w:r>
      <w:r w:rsidRPr="00F729BB">
        <w:rPr>
          <w:rStyle w:val="af9"/>
          <w:rFonts w:hint="cs"/>
          <w:rtl/>
        </w:rPr>
        <w:t>הרא"ש לקמן</w:t>
      </w:r>
      <w:r>
        <w:rPr>
          <w:rFonts w:hint="cs"/>
          <w:rtl/>
        </w:rPr>
        <w:t xml:space="preserve"> </w:t>
      </w:r>
      <w:r w:rsidRPr="00AF37F1">
        <w:rPr>
          <w:rStyle w:val="af7"/>
          <w:rFonts w:eastAsia="Guttman Hodes" w:hint="cs"/>
          <w:rtl/>
        </w:rPr>
        <w:t xml:space="preserve">(סי' ל"ז) </w:t>
      </w:r>
      <w:r>
        <w:rPr>
          <w:rFonts w:hint="cs"/>
          <w:rtl/>
        </w:rPr>
        <w:t>דאם בתחילת דבריו אמר המחזיק קמי דידי זבנה מינך, לפני שאמר שקנה מהמוכר שאמר לו שקנה מהמערער, הוא נאמן במיגו דמינך זבינתה.</w:t>
      </w:r>
      <w:bookmarkEnd w:id="11227"/>
    </w:p>
    <w:p w:rsidR="005306EB" w:rsidRPr="00E52BEC" w:rsidRDefault="005306EB" w:rsidP="005306EB">
      <w:pPr>
        <w:pStyle w:val="a3"/>
      </w:pPr>
      <w:bookmarkStart w:id="11228" w:name="_Toc61388192"/>
      <w:bookmarkStart w:id="11229" w:name="_Toc61430851"/>
      <w:bookmarkStart w:id="11230" w:name="_Toc61433893"/>
      <w:bookmarkStart w:id="11231" w:name="_Toc61438614"/>
      <w:bookmarkStart w:id="11232" w:name="_Toc61469343"/>
      <w:bookmarkStart w:id="11233" w:name="_Toc61509721"/>
      <w:r>
        <w:rPr>
          <w:rFonts w:hint="cs"/>
          <w:rtl/>
        </w:rPr>
        <w:t>דברי הרא"ש דבאמר בתחילה שהמוכר א"ל שקנה מהמערער אינו נאמן אח"כ בטענת קמי דידי</w:t>
      </w:r>
      <w:bookmarkEnd w:id="11228"/>
      <w:bookmarkEnd w:id="11229"/>
      <w:bookmarkEnd w:id="11230"/>
      <w:bookmarkEnd w:id="11231"/>
      <w:bookmarkEnd w:id="11232"/>
      <w:bookmarkEnd w:id="11233"/>
    </w:p>
    <w:p w:rsidR="005306EB" w:rsidRDefault="005306EB" w:rsidP="007E4E81">
      <w:pPr>
        <w:pStyle w:val="a0"/>
        <w:rPr>
          <w:rtl/>
        </w:rPr>
      </w:pPr>
      <w:bookmarkStart w:id="11234" w:name="_Ref61345436"/>
      <w:r>
        <w:rPr>
          <w:rFonts w:hint="cs"/>
          <w:rtl/>
        </w:rPr>
        <w:t xml:space="preserve">אך כתב </w:t>
      </w:r>
      <w:r w:rsidRPr="00F729BB">
        <w:rPr>
          <w:rStyle w:val="af9"/>
          <w:rFonts w:hint="cs"/>
          <w:rtl/>
        </w:rPr>
        <w:t>הרא"ש לקמן</w:t>
      </w:r>
      <w:r>
        <w:rPr>
          <w:rFonts w:hint="cs"/>
          <w:rtl/>
        </w:rPr>
        <w:t xml:space="preserve"> דאם אמר בתחילה שהמוכר</w:t>
      </w:r>
      <w:r w:rsidRPr="00442BC4">
        <w:rPr>
          <w:rFonts w:hint="cs"/>
          <w:rtl/>
        </w:rPr>
        <w:t xml:space="preserve"> </w:t>
      </w:r>
      <w:r>
        <w:rPr>
          <w:rFonts w:hint="cs"/>
          <w:rtl/>
        </w:rPr>
        <w:t>אמר לו שקנה מהמערער, ואח"כ טען קמי דידי זבנה מינך, אינו נאמן.</w:t>
      </w:r>
      <w:bookmarkEnd w:id="11234"/>
    </w:p>
    <w:p w:rsidR="005306EB" w:rsidRPr="00A32811" w:rsidRDefault="005306EB" w:rsidP="005306EB">
      <w:pPr>
        <w:pStyle w:val="a3"/>
      </w:pPr>
      <w:bookmarkStart w:id="11235" w:name="_Toc61388193"/>
      <w:bookmarkStart w:id="11236" w:name="_Toc61430852"/>
      <w:bookmarkStart w:id="11237" w:name="_Toc61433894"/>
      <w:bookmarkStart w:id="11238" w:name="_Toc61438615"/>
      <w:bookmarkStart w:id="11239" w:name="_Toc61469344"/>
      <w:bookmarkStart w:id="11240" w:name="_Toc61509722"/>
      <w:r>
        <w:rPr>
          <w:rFonts w:hint="cs"/>
          <w:rtl/>
        </w:rPr>
        <w:t>דברי הרא"ש דבאמר בסתמא שהמוכר קנה מהמערער יכול לתרץ דכוונתו הייתה לומר קמי דידי</w:t>
      </w:r>
      <w:bookmarkEnd w:id="11235"/>
      <w:bookmarkEnd w:id="11236"/>
      <w:bookmarkEnd w:id="11237"/>
      <w:bookmarkEnd w:id="11238"/>
      <w:bookmarkEnd w:id="11239"/>
      <w:bookmarkEnd w:id="11240"/>
    </w:p>
    <w:p w:rsidR="005306EB" w:rsidRDefault="005306EB" w:rsidP="007E4E81">
      <w:pPr>
        <w:pStyle w:val="a0"/>
        <w:rPr>
          <w:rtl/>
        </w:rPr>
      </w:pPr>
      <w:bookmarkStart w:id="11241" w:name="_Ref61008990"/>
      <w:bookmarkStart w:id="11242" w:name="_Toc61010721"/>
      <w:bookmarkStart w:id="11243" w:name="_Toc61200663"/>
      <w:bookmarkStart w:id="11244" w:name="_Toc61213861"/>
      <w:r>
        <w:rPr>
          <w:rFonts w:hint="cs"/>
          <w:rtl/>
        </w:rPr>
        <w:t xml:space="preserve">והוסיף </w:t>
      </w:r>
      <w:r w:rsidRPr="00F729BB">
        <w:rPr>
          <w:rStyle w:val="af9"/>
          <w:rFonts w:hint="cs"/>
          <w:rtl/>
        </w:rPr>
        <w:t>הרא"ש לקמן</w:t>
      </w:r>
      <w:r>
        <w:rPr>
          <w:rFonts w:hint="cs"/>
          <w:rtl/>
        </w:rPr>
        <w:t xml:space="preserve"> דאם בתחילת דבריו אמר בסתמא שהוא קנה מהמוכר </w:t>
      </w:r>
      <w:r w:rsidRPr="00CE65F9">
        <w:rPr>
          <w:rFonts w:hint="cs"/>
          <w:rtl/>
        </w:rPr>
        <w:t xml:space="preserve">שקנה מהמערער, </w:t>
      </w:r>
      <w:r w:rsidRPr="00CE65F9">
        <w:rPr>
          <w:rStyle w:val="afb"/>
          <w:rFonts w:hint="cs"/>
          <w:rtl/>
        </w:rPr>
        <w:t xml:space="preserve">[ולא אמר שהמוכר "אמר לו" שקנה מהמערער], </w:t>
      </w:r>
      <w:r w:rsidRPr="00CE65F9">
        <w:rPr>
          <w:rFonts w:hint="cs"/>
          <w:rtl/>
        </w:rPr>
        <w:t>ואח"כ אמר דמה שאמר בתחילה שהמוכר קנה מהמערער, היינו</w:t>
      </w:r>
      <w:r>
        <w:rPr>
          <w:rFonts w:hint="cs"/>
          <w:rtl/>
        </w:rPr>
        <w:t xml:space="preserve"> דקמי דידי זבנה מינך, כתב </w:t>
      </w:r>
      <w:r w:rsidRPr="00F729BB">
        <w:rPr>
          <w:rStyle w:val="af9"/>
          <w:rFonts w:hint="cs"/>
          <w:rtl/>
        </w:rPr>
        <w:t>הרא"ש לקמן</w:t>
      </w:r>
      <w:r>
        <w:rPr>
          <w:rFonts w:hint="cs"/>
          <w:rtl/>
        </w:rPr>
        <w:t xml:space="preserve"> דאמרינן דהוא מתרץ את דבריו ונאמן, ולא חשיב כטוען וחוזר וטוען, ועי' במ"ש </w:t>
      </w:r>
      <w:r w:rsidRPr="00D2061D">
        <w:rPr>
          <w:rStyle w:val="af9"/>
          <w:rFonts w:hint="cs"/>
          <w:rtl/>
        </w:rPr>
        <w:t>הסמ"ע</w:t>
      </w:r>
      <w:r w:rsidRPr="00D2061D">
        <w:rPr>
          <w:rFonts w:hint="cs"/>
          <w:rtl/>
        </w:rPr>
        <w:t xml:space="preserve"> </w:t>
      </w:r>
      <w:r w:rsidRPr="00D2061D">
        <w:rPr>
          <w:rStyle w:val="af7"/>
          <w:rFonts w:eastAsia="Guttman Hodes" w:hint="cs"/>
          <w:rtl/>
        </w:rPr>
        <w:t xml:space="preserve">(עי' אות </w:t>
      </w:r>
      <w:r w:rsidRPr="00D2061D">
        <w:rPr>
          <w:rStyle w:val="af7"/>
          <w:rFonts w:eastAsia="Guttman Hodes"/>
          <w:rtl/>
        </w:rPr>
        <w:fldChar w:fldCharType="begin"/>
      </w:r>
      <w:r w:rsidRPr="00D2061D">
        <w:rPr>
          <w:rStyle w:val="af7"/>
          <w:rFonts w:eastAsia="Guttman Hodes"/>
          <w:rtl/>
        </w:rPr>
        <w:instrText xml:space="preserve"> </w:instrText>
      </w:r>
      <w:r w:rsidRPr="00D2061D">
        <w:rPr>
          <w:rStyle w:val="af7"/>
          <w:rFonts w:eastAsia="Guttman Hodes" w:hint="cs"/>
        </w:rPr>
        <w:instrText>REF</w:instrText>
      </w:r>
      <w:r w:rsidRPr="00D2061D">
        <w:rPr>
          <w:rStyle w:val="af7"/>
          <w:rFonts w:eastAsia="Guttman Hodes" w:hint="cs"/>
          <w:rtl/>
        </w:rPr>
        <w:instrText xml:space="preserve"> _</w:instrText>
      </w:r>
      <w:r w:rsidRPr="00D2061D">
        <w:rPr>
          <w:rStyle w:val="af7"/>
          <w:rFonts w:eastAsia="Guttman Hodes" w:hint="cs"/>
        </w:rPr>
        <w:instrText>Ref60937281 \r \h</w:instrText>
      </w:r>
      <w:r w:rsidRPr="00D2061D">
        <w:rPr>
          <w:rStyle w:val="af7"/>
          <w:rFonts w:eastAsia="Guttman Hodes"/>
          <w:rtl/>
        </w:rPr>
        <w:instrText xml:space="preserve">  \* </w:instrText>
      </w:r>
      <w:r w:rsidRPr="00D2061D">
        <w:rPr>
          <w:rStyle w:val="af7"/>
          <w:rFonts w:eastAsia="Guttman Hodes"/>
        </w:rPr>
        <w:instrText>MERGEFORMAT</w:instrText>
      </w:r>
      <w:r w:rsidRPr="00D2061D">
        <w:rPr>
          <w:rStyle w:val="af7"/>
          <w:rFonts w:eastAsia="Guttman Hodes"/>
          <w:rtl/>
        </w:rPr>
        <w:instrText xml:space="preserve"> </w:instrText>
      </w:r>
      <w:r w:rsidRPr="00D2061D">
        <w:rPr>
          <w:rStyle w:val="af7"/>
          <w:rFonts w:eastAsia="Guttman Hodes"/>
          <w:rtl/>
        </w:rPr>
      </w:r>
      <w:r w:rsidRPr="00D2061D">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D2061D">
        <w:rPr>
          <w:rStyle w:val="af7"/>
          <w:rFonts w:eastAsia="Guttman Hodes"/>
          <w:rtl/>
        </w:rPr>
        <w:fldChar w:fldCharType="end"/>
      </w:r>
      <w:r>
        <w:rPr>
          <w:rFonts w:hint="cs"/>
          <w:rtl/>
        </w:rPr>
        <w:t xml:space="preserve"> </w:t>
      </w:r>
      <w:r w:rsidRPr="00567951">
        <w:rPr>
          <w:rStyle w:val="af9"/>
          <w:rFonts w:hint="cs"/>
          <w:rtl/>
        </w:rPr>
        <w:t>דהתוס'</w:t>
      </w:r>
      <w:r>
        <w:rPr>
          <w:rFonts w:hint="cs"/>
          <w:rtl/>
        </w:rPr>
        <w:t xml:space="preserve"> </w:t>
      </w:r>
      <w:r w:rsidRPr="00567951">
        <w:rPr>
          <w:rStyle w:val="af7"/>
          <w:rFonts w:eastAsia="Guttman Hodes" w:hint="cs"/>
          <w:rtl/>
        </w:rPr>
        <w:t xml:space="preserve">(עי' אות </w:t>
      </w:r>
      <w:r w:rsidRPr="00567951">
        <w:rPr>
          <w:rStyle w:val="af7"/>
          <w:rFonts w:eastAsia="Guttman Hodes"/>
          <w:rtl/>
        </w:rPr>
        <w:fldChar w:fldCharType="begin"/>
      </w:r>
      <w:r w:rsidRPr="00567951">
        <w:rPr>
          <w:rStyle w:val="af7"/>
          <w:rFonts w:eastAsia="Guttman Hodes"/>
          <w:rtl/>
        </w:rPr>
        <w:instrText xml:space="preserve"> </w:instrText>
      </w:r>
      <w:r w:rsidRPr="00567951">
        <w:rPr>
          <w:rStyle w:val="af7"/>
          <w:rFonts w:eastAsia="Guttman Hodes" w:hint="cs"/>
        </w:rPr>
        <w:instrText>REF</w:instrText>
      </w:r>
      <w:r w:rsidRPr="00567951">
        <w:rPr>
          <w:rStyle w:val="af7"/>
          <w:rFonts w:eastAsia="Guttman Hodes" w:hint="cs"/>
          <w:rtl/>
        </w:rPr>
        <w:instrText xml:space="preserve"> _</w:instrText>
      </w:r>
      <w:r w:rsidRPr="00567951">
        <w:rPr>
          <w:rStyle w:val="af7"/>
          <w:rFonts w:eastAsia="Guttman Hodes" w:hint="cs"/>
        </w:rPr>
        <w:instrText>Ref61253162 \r \h</w:instrText>
      </w:r>
      <w:r w:rsidRPr="00567951">
        <w:rPr>
          <w:rStyle w:val="af7"/>
          <w:rFonts w:eastAsia="Guttman Hodes"/>
          <w:rtl/>
        </w:rPr>
        <w:instrText xml:space="preserve"> </w:instrText>
      </w:r>
      <w:r w:rsidRPr="00567951">
        <w:rPr>
          <w:rStyle w:val="af7"/>
          <w:rFonts w:eastAsia="Guttman Hodes"/>
          <w:rtl/>
        </w:rPr>
      </w:r>
      <w:r w:rsidRPr="00567951">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567951">
        <w:rPr>
          <w:rStyle w:val="af7"/>
          <w:rFonts w:eastAsia="Guttman Hodes"/>
          <w:rtl/>
        </w:rPr>
        <w:fldChar w:fldCharType="end"/>
      </w:r>
      <w:r>
        <w:rPr>
          <w:rFonts w:hint="cs"/>
          <w:rtl/>
        </w:rPr>
        <w:t xml:space="preserve"> פליגי על </w:t>
      </w:r>
      <w:r w:rsidRPr="00567951">
        <w:rPr>
          <w:rStyle w:val="af9"/>
          <w:rFonts w:hint="cs"/>
          <w:rtl/>
        </w:rPr>
        <w:t>הרא"ש</w:t>
      </w:r>
      <w:r>
        <w:rPr>
          <w:rFonts w:hint="cs"/>
          <w:rtl/>
        </w:rPr>
        <w:t xml:space="preserve">, אבל </w:t>
      </w:r>
      <w:r w:rsidRPr="00567951">
        <w:rPr>
          <w:rStyle w:val="af9"/>
          <w:rFonts w:hint="cs"/>
          <w:rtl/>
        </w:rPr>
        <w:t>הש"ך</w:t>
      </w:r>
      <w:r>
        <w:rPr>
          <w:rFonts w:hint="cs"/>
          <w:rtl/>
        </w:rPr>
        <w:t xml:space="preserve"> </w:t>
      </w:r>
      <w:r w:rsidRPr="00567951">
        <w:rPr>
          <w:rStyle w:val="af7"/>
          <w:rFonts w:eastAsia="Guttman Hodes" w:hint="cs"/>
          <w:rtl/>
        </w:rPr>
        <w:t xml:space="preserve">(עי' אות </w:t>
      </w:r>
      <w:r w:rsidRPr="00567951">
        <w:rPr>
          <w:rStyle w:val="af7"/>
          <w:rFonts w:eastAsia="Guttman Hodes"/>
          <w:rtl/>
        </w:rPr>
        <w:fldChar w:fldCharType="begin"/>
      </w:r>
      <w:r w:rsidRPr="00567951">
        <w:rPr>
          <w:rStyle w:val="af7"/>
          <w:rFonts w:eastAsia="Guttman Hodes"/>
          <w:rtl/>
        </w:rPr>
        <w:instrText xml:space="preserve"> </w:instrText>
      </w:r>
      <w:r w:rsidRPr="00567951">
        <w:rPr>
          <w:rStyle w:val="af7"/>
          <w:rFonts w:eastAsia="Guttman Hodes" w:hint="cs"/>
        </w:rPr>
        <w:instrText>REF</w:instrText>
      </w:r>
      <w:r w:rsidRPr="00567951">
        <w:rPr>
          <w:rStyle w:val="af7"/>
          <w:rFonts w:eastAsia="Guttman Hodes" w:hint="cs"/>
          <w:rtl/>
        </w:rPr>
        <w:instrText xml:space="preserve"> _</w:instrText>
      </w:r>
      <w:r w:rsidRPr="00567951">
        <w:rPr>
          <w:rStyle w:val="af7"/>
          <w:rFonts w:eastAsia="Guttman Hodes" w:hint="cs"/>
        </w:rPr>
        <w:instrText>Ref61345655 \r \h</w:instrText>
      </w:r>
      <w:r w:rsidRPr="00567951">
        <w:rPr>
          <w:rStyle w:val="af7"/>
          <w:rFonts w:eastAsia="Guttman Hodes"/>
          <w:rtl/>
        </w:rPr>
        <w:instrText xml:space="preserve"> </w:instrText>
      </w:r>
      <w:r w:rsidRPr="00567951">
        <w:rPr>
          <w:rStyle w:val="af7"/>
          <w:rFonts w:eastAsia="Guttman Hodes"/>
          <w:rtl/>
        </w:rPr>
      </w:r>
      <w:r w:rsidRPr="00567951">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567951">
        <w:rPr>
          <w:rStyle w:val="af7"/>
          <w:rFonts w:eastAsia="Guttman Hodes"/>
          <w:rtl/>
        </w:rPr>
        <w:fldChar w:fldCharType="end"/>
      </w:r>
      <w:r>
        <w:rPr>
          <w:rFonts w:hint="cs"/>
          <w:rtl/>
        </w:rPr>
        <w:t xml:space="preserve"> כתב דאף להתוס' נאמן.</w:t>
      </w:r>
      <w:bookmarkEnd w:id="11241"/>
    </w:p>
    <w:p w:rsidR="005306EB" w:rsidRDefault="005306EB" w:rsidP="005306EB">
      <w:pPr>
        <w:pStyle w:val="a3"/>
        <w:rPr>
          <w:rtl/>
        </w:rPr>
      </w:pPr>
      <w:bookmarkStart w:id="11245" w:name="_Toc61388194"/>
      <w:bookmarkStart w:id="11246" w:name="_Toc61430853"/>
      <w:bookmarkStart w:id="11247" w:name="_Toc61433895"/>
      <w:bookmarkStart w:id="11248" w:name="_Toc61438616"/>
      <w:bookmarkStart w:id="11249" w:name="_Toc61469345"/>
      <w:bookmarkStart w:id="11250" w:name="_Toc61509723"/>
      <w:r>
        <w:rPr>
          <w:rFonts w:hint="cs"/>
          <w:rtl/>
        </w:rPr>
        <w:t>ביאור הסמ"ע דכשאמר שא"ל המוכר שקנה מהמערער משמע שאינו יודע ואינו נאמן בקמי דידי</w:t>
      </w:r>
      <w:bookmarkEnd w:id="11245"/>
      <w:bookmarkEnd w:id="11246"/>
      <w:bookmarkEnd w:id="11247"/>
      <w:bookmarkEnd w:id="11248"/>
      <w:bookmarkEnd w:id="11249"/>
      <w:bookmarkEnd w:id="11250"/>
    </w:p>
    <w:p w:rsidR="005306EB" w:rsidRDefault="005306EB" w:rsidP="007E4E81">
      <w:pPr>
        <w:pStyle w:val="a0"/>
        <w:rPr>
          <w:rtl/>
        </w:rPr>
      </w:pPr>
      <w:r>
        <w:rPr>
          <w:rFonts w:hint="cs"/>
          <w:rtl/>
        </w:rPr>
        <w:t xml:space="preserve">וביאר </w:t>
      </w:r>
      <w:r w:rsidRPr="009754D7">
        <w:rPr>
          <w:rStyle w:val="af9"/>
          <w:rFonts w:hint="cs"/>
          <w:rtl/>
        </w:rPr>
        <w:t>הסמ"ע</w:t>
      </w:r>
      <w:r w:rsidRPr="00174099">
        <w:rPr>
          <w:rStyle w:val="af7"/>
          <w:rFonts w:eastAsia="Guttman Hodes" w:hint="cs"/>
          <w:rtl/>
        </w:rPr>
        <w:t xml:space="preserve"> (סי' קמ"ו סקל"ד) </w:t>
      </w:r>
      <w:r>
        <w:rPr>
          <w:rFonts w:hint="cs"/>
          <w:rtl/>
        </w:rPr>
        <w:t xml:space="preserve">דמ"ש </w:t>
      </w:r>
      <w:r>
        <w:rPr>
          <w:rStyle w:val="af9"/>
          <w:rFonts w:hint="cs"/>
          <w:rtl/>
        </w:rPr>
        <w:t>הרא"ש</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Ref61345436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Pr>
          <w:rStyle w:val="af7"/>
          <w:rFonts w:eastAsia="Guttman Hodes"/>
          <w:rtl/>
        </w:rPr>
        <w:fldChar w:fldCharType="end"/>
      </w:r>
      <w:r>
        <w:rPr>
          <w:rStyle w:val="af7"/>
          <w:rFonts w:eastAsia="Guttman Hodes" w:hint="cs"/>
          <w:rtl/>
        </w:rPr>
        <w:t xml:space="preserve"> </w:t>
      </w:r>
      <w:r>
        <w:rPr>
          <w:rFonts w:hint="cs"/>
          <w:rtl/>
        </w:rPr>
        <w:t>דאם בתחילה טען המחזיק שקנה מהמוכר שאמר לו שהוא קנה מהמערער, ואח"כ חזר וטען קמי דידי זבנה מינך אינו נאמן, הוא כיון שבתחילה אמר שקנה מהמוכר שא"ל שקנה מהמערער, משמע שהמחזיק עצמו אינו יודע מהמכירה, וא"כ היאך חוזר אח"כ וטוען קמי דידי זבנה מינך.</w:t>
      </w:r>
    </w:p>
    <w:p w:rsidR="005306EB" w:rsidRDefault="005306EB" w:rsidP="005306EB">
      <w:pPr>
        <w:pStyle w:val="1"/>
        <w:rPr>
          <w:rtl/>
        </w:rPr>
      </w:pPr>
      <w:bookmarkStart w:id="11251" w:name="_Toc61509724"/>
      <w:bookmarkEnd w:id="11242"/>
      <w:bookmarkEnd w:id="11243"/>
      <w:bookmarkEnd w:id="11244"/>
      <w:r>
        <w:rPr>
          <w:rFonts w:hint="cs"/>
          <w:rtl/>
        </w:rPr>
        <w:t>ביאור הקרב"נ ברא"ש בכתובות דאמרינן מיגו למפרע</w:t>
      </w:r>
      <w:bookmarkEnd w:id="11251"/>
    </w:p>
    <w:p w:rsidR="005306EB" w:rsidRDefault="005306EB" w:rsidP="005306EB">
      <w:pPr>
        <w:pStyle w:val="a3"/>
        <w:rPr>
          <w:rtl/>
        </w:rPr>
      </w:pPr>
      <w:bookmarkStart w:id="11252" w:name="_Toc61388196"/>
      <w:bookmarkStart w:id="11253" w:name="_Toc61430855"/>
      <w:bookmarkStart w:id="11254" w:name="_Toc61433897"/>
      <w:bookmarkStart w:id="11255" w:name="_Toc61438618"/>
      <w:bookmarkStart w:id="11256" w:name="_Toc61469347"/>
      <w:bookmarkStart w:id="11257" w:name="_Toc61509725"/>
      <w:r>
        <w:rPr>
          <w:rFonts w:hint="cs"/>
          <w:rtl/>
        </w:rPr>
        <w:t>דברי הרא"ש בכתובות דצריך להועיל מיגו אף לאחר ההודאה ובי' הקרב"נ דמיגו למפרע אמרינן</w:t>
      </w:r>
      <w:bookmarkEnd w:id="11252"/>
      <w:bookmarkEnd w:id="11253"/>
      <w:bookmarkEnd w:id="11254"/>
      <w:bookmarkEnd w:id="11255"/>
      <w:bookmarkEnd w:id="11256"/>
      <w:bookmarkEnd w:id="11257"/>
    </w:p>
    <w:p w:rsidR="005306EB" w:rsidRDefault="005306EB" w:rsidP="007E4E81">
      <w:pPr>
        <w:pStyle w:val="a0"/>
        <w:rPr>
          <w:rtl/>
        </w:rPr>
      </w:pPr>
      <w:bookmarkStart w:id="11258" w:name="_Ref61378869"/>
      <w:r>
        <w:rPr>
          <w:rFonts w:hint="cs"/>
          <w:rtl/>
        </w:rPr>
        <w:t>במה שהקשו</w:t>
      </w:r>
      <w:r w:rsidRPr="009870DB">
        <w:rPr>
          <w:rFonts w:hint="cs"/>
          <w:rtl/>
        </w:rPr>
        <w:t xml:space="preserve"> </w:t>
      </w:r>
      <w:r w:rsidRPr="008C67FB">
        <w:rPr>
          <w:rStyle w:val="af9"/>
          <w:rFonts w:hint="cs"/>
          <w:rtl/>
        </w:rPr>
        <w:t>התוס'</w:t>
      </w:r>
      <w:r>
        <w:rPr>
          <w:rFonts w:hint="cs"/>
          <w:rtl/>
        </w:rPr>
        <w:t xml:space="preserve"> </w:t>
      </w:r>
      <w:r w:rsidRPr="008C67FB">
        <w:rPr>
          <w:rStyle w:val="af9"/>
          <w:rFonts w:hint="cs"/>
          <w:rtl/>
        </w:rPr>
        <w:t>בכתובות</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Ref61256145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Pr>
          <w:rStyle w:val="af7"/>
          <w:rFonts w:eastAsia="Guttman Hodes"/>
          <w:rtl/>
        </w:rPr>
        <w:fldChar w:fldCharType="end"/>
      </w:r>
      <w:r>
        <w:rPr>
          <w:rStyle w:val="af7"/>
          <w:rFonts w:eastAsia="Guttman Hodes" w:hint="cs"/>
          <w:rtl/>
        </w:rPr>
        <w:t xml:space="preserve"> </w:t>
      </w:r>
      <w:r>
        <w:rPr>
          <w:rFonts w:hint="cs"/>
          <w:rtl/>
        </w:rPr>
        <w:t xml:space="preserve">בהא דאיתא בגמ' בכתובות </w:t>
      </w:r>
      <w:r w:rsidRPr="00F574EB">
        <w:rPr>
          <w:rStyle w:val="af7"/>
          <w:rFonts w:eastAsia="Guttman Hodes" w:hint="cs"/>
          <w:rtl/>
        </w:rPr>
        <w:t>(פה.)</w:t>
      </w:r>
      <w:r>
        <w:rPr>
          <w:rFonts w:hint="cs"/>
          <w:rtl/>
        </w:rPr>
        <w:t xml:space="preserve"> דאשה שהופקדו שטרות בידה ומת המפקיד, ותבעוה היתומים </w:t>
      </w:r>
      <w:r>
        <w:rPr>
          <w:rFonts w:hint="cs"/>
          <w:rtl/>
        </w:rPr>
        <w:t xml:space="preserve">ואמרה שהיא תפסה אותם על חוב שהיה אביהם חייב לה, ואר"נ דאם אין לה עדים שתפסה מחיים ל"מ תפיסה לאח"מ, דאמאי אינה נאמנת שתפסה מחיים במיגו דלקוחין הם בידי, תירץ </w:t>
      </w:r>
      <w:r w:rsidRPr="008C67FB">
        <w:rPr>
          <w:rStyle w:val="af9"/>
          <w:rFonts w:hint="cs"/>
          <w:rtl/>
        </w:rPr>
        <w:t>הרא"ש בכתובות</w:t>
      </w:r>
      <w:r>
        <w:rPr>
          <w:rFonts w:hint="cs"/>
          <w:rtl/>
        </w:rPr>
        <w:t xml:space="preserve"> </w:t>
      </w:r>
      <w:r w:rsidRPr="00F574EB">
        <w:rPr>
          <w:rStyle w:val="af7"/>
          <w:rFonts w:eastAsia="Guttman Hodes" w:hint="cs"/>
          <w:rtl/>
        </w:rPr>
        <w:t>(פ"ה סי' ט')</w:t>
      </w:r>
      <w:r>
        <w:rPr>
          <w:rFonts w:hint="cs"/>
          <w:rtl/>
        </w:rPr>
        <w:t xml:space="preserve"> דאינה נאמנת במיגו כיון דאיירי שהפקידו אצלה בעדים, וגם עכשיו ראו את השטרות בידה, וכתב </w:t>
      </w:r>
      <w:r w:rsidRPr="008A0452">
        <w:rPr>
          <w:rStyle w:val="af9"/>
          <w:rFonts w:hint="cs"/>
          <w:rtl/>
        </w:rPr>
        <w:t>הקרבן נתנאל</w:t>
      </w:r>
      <w:r>
        <w:rPr>
          <w:rFonts w:hint="cs"/>
          <w:rtl/>
        </w:rPr>
        <w:t xml:space="preserve"> </w:t>
      </w:r>
      <w:r w:rsidRPr="00F574EB">
        <w:rPr>
          <w:rStyle w:val="af7"/>
          <w:rFonts w:eastAsia="Guttman Hodes" w:hint="cs"/>
          <w:rtl/>
        </w:rPr>
        <w:t>(על הרא"ש בכתובות פ"ה סי' ט' או' ע')</w:t>
      </w:r>
      <w:r>
        <w:rPr>
          <w:rFonts w:hint="cs"/>
          <w:rtl/>
        </w:rPr>
        <w:t xml:space="preserve"> דמבואר מדברי </w:t>
      </w:r>
      <w:r w:rsidRPr="008C67FB">
        <w:rPr>
          <w:rStyle w:val="af9"/>
          <w:rFonts w:hint="cs"/>
          <w:rtl/>
        </w:rPr>
        <w:t>הרא"ש בכתובות</w:t>
      </w:r>
      <w:r>
        <w:rPr>
          <w:rFonts w:hint="cs"/>
          <w:rtl/>
        </w:rPr>
        <w:t xml:space="preserve"> דס"ל דאמרינן מיגו למפרע, ולכן לא תירץ כתירוץ </w:t>
      </w:r>
      <w:r w:rsidRPr="008C67FB">
        <w:rPr>
          <w:rStyle w:val="af9"/>
          <w:rFonts w:hint="cs"/>
          <w:rtl/>
        </w:rPr>
        <w:t>התוס' בכתובות</w:t>
      </w:r>
      <w:r>
        <w:rPr>
          <w:rFonts w:hint="cs"/>
          <w:rtl/>
        </w:rPr>
        <w:t xml:space="preserve">, וכן מבואר מדברי </w:t>
      </w:r>
      <w:r w:rsidRPr="008C67FB">
        <w:rPr>
          <w:rStyle w:val="af9"/>
          <w:rFonts w:hint="cs"/>
          <w:rtl/>
        </w:rPr>
        <w:t>הרא"ש בסוגיין</w:t>
      </w:r>
      <w:r>
        <w:rPr>
          <w:rFonts w:hint="cs"/>
          <w:rtl/>
        </w:rPr>
        <w:t xml:space="preserve"> </w:t>
      </w:r>
      <w:r w:rsidRPr="00552EB0">
        <w:rPr>
          <w:rStyle w:val="af7"/>
          <w:rFonts w:eastAsia="Guttman Hodes" w:hint="cs"/>
          <w:rtl/>
        </w:rPr>
        <w:t>(סי' ז')</w:t>
      </w:r>
      <w:r>
        <w:rPr>
          <w:rFonts w:hint="cs"/>
          <w:rtl/>
        </w:rPr>
        <w:t xml:space="preserve"> דלא תירץ </w:t>
      </w:r>
      <w:r w:rsidRPr="008C67FB">
        <w:rPr>
          <w:rStyle w:val="af9"/>
          <w:rFonts w:hint="cs"/>
          <w:rtl/>
        </w:rPr>
        <w:t>כתוס' בסוגיין</w:t>
      </w:r>
      <w:r>
        <w:rPr>
          <w:rFonts w:hint="cs"/>
          <w:rtl/>
        </w:rPr>
        <w:t xml:space="preserve"> </w:t>
      </w:r>
      <w:r w:rsidRPr="004D6080">
        <w:rPr>
          <w:rStyle w:val="af7"/>
          <w:rFonts w:eastAsia="Guttman Hodes" w:hint="cs"/>
          <w:rtl/>
        </w:rPr>
        <w:t xml:space="preserve">(עי' אות </w:t>
      </w:r>
      <w:r w:rsidRPr="004D6080">
        <w:rPr>
          <w:rStyle w:val="af7"/>
          <w:rFonts w:eastAsia="Guttman Hodes"/>
          <w:rtl/>
        </w:rPr>
        <w:fldChar w:fldCharType="begin"/>
      </w:r>
      <w:r w:rsidRPr="004D6080">
        <w:rPr>
          <w:rStyle w:val="af7"/>
          <w:rFonts w:eastAsia="Guttman Hodes"/>
          <w:rtl/>
        </w:rPr>
        <w:instrText xml:space="preserve"> </w:instrText>
      </w:r>
      <w:r w:rsidRPr="004D6080">
        <w:rPr>
          <w:rStyle w:val="af7"/>
          <w:rFonts w:eastAsia="Guttman Hodes" w:hint="cs"/>
        </w:rPr>
        <w:instrText>REF</w:instrText>
      </w:r>
      <w:r w:rsidRPr="004D6080">
        <w:rPr>
          <w:rStyle w:val="af7"/>
          <w:rFonts w:eastAsia="Guttman Hodes" w:hint="cs"/>
          <w:rtl/>
        </w:rPr>
        <w:instrText xml:space="preserve"> _</w:instrText>
      </w:r>
      <w:r w:rsidRPr="004D6080">
        <w:rPr>
          <w:rStyle w:val="af7"/>
          <w:rFonts w:eastAsia="Guttman Hodes" w:hint="cs"/>
        </w:rPr>
        <w:instrText>Ref61253162 \r \h</w:instrText>
      </w:r>
      <w:r w:rsidRPr="004D6080">
        <w:rPr>
          <w:rStyle w:val="af7"/>
          <w:rFonts w:eastAsia="Guttman Hodes"/>
          <w:rtl/>
        </w:rPr>
        <w:instrText xml:space="preserve"> </w:instrText>
      </w:r>
      <w:r w:rsidRPr="004D6080">
        <w:rPr>
          <w:rStyle w:val="af7"/>
          <w:rFonts w:eastAsia="Guttman Hodes"/>
          <w:rtl/>
        </w:rPr>
      </w:r>
      <w:r w:rsidRPr="004D6080">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4D6080">
        <w:rPr>
          <w:rStyle w:val="af7"/>
          <w:rFonts w:eastAsia="Guttman Hodes"/>
          <w:rtl/>
        </w:rPr>
        <w:fldChar w:fldCharType="end"/>
      </w:r>
      <w:r>
        <w:rPr>
          <w:rFonts w:hint="cs"/>
          <w:rtl/>
        </w:rPr>
        <w:t>.</w:t>
      </w:r>
      <w:bookmarkEnd w:id="11258"/>
    </w:p>
    <w:p w:rsidR="005306EB" w:rsidRDefault="005306EB" w:rsidP="005306EB">
      <w:pPr>
        <w:pStyle w:val="afe"/>
        <w:rPr>
          <w:rtl/>
        </w:rPr>
      </w:pPr>
      <w:bookmarkStart w:id="11259" w:name="_Toc61388197"/>
      <w:bookmarkStart w:id="11260" w:name="_Toc61430856"/>
      <w:bookmarkStart w:id="11261" w:name="_Toc61433898"/>
      <w:bookmarkStart w:id="11262" w:name="_Toc61438619"/>
      <w:bookmarkStart w:id="11263" w:name="_Toc61469348"/>
      <w:bookmarkStart w:id="11264" w:name="_Toc61509726"/>
      <w:bookmarkStart w:id="11265" w:name="_Toc61010722"/>
      <w:bookmarkStart w:id="11266" w:name="_Toc61200664"/>
      <w:bookmarkStart w:id="11267" w:name="_Toc61213862"/>
      <w:r>
        <w:rPr>
          <w:rFonts w:hint="cs"/>
          <w:rtl/>
        </w:rPr>
        <w:t>פלו' הב"י והש"ך בטען רק שקנה מהמוכר</w:t>
      </w:r>
      <w:bookmarkEnd w:id="11259"/>
      <w:bookmarkEnd w:id="11260"/>
      <w:bookmarkEnd w:id="11261"/>
      <w:bookmarkEnd w:id="11262"/>
      <w:bookmarkEnd w:id="11263"/>
      <w:bookmarkEnd w:id="11264"/>
    </w:p>
    <w:p w:rsidR="005306EB" w:rsidRDefault="005306EB" w:rsidP="005306EB">
      <w:pPr>
        <w:pStyle w:val="1"/>
        <w:rPr>
          <w:rtl/>
        </w:rPr>
      </w:pPr>
      <w:bookmarkStart w:id="11268" w:name="_Toc61388198"/>
      <w:bookmarkStart w:id="11269" w:name="_Toc61430857"/>
      <w:bookmarkStart w:id="11270" w:name="_Toc61433899"/>
      <w:bookmarkStart w:id="11271" w:name="_Toc61438620"/>
      <w:bookmarkStart w:id="11272" w:name="_Toc61469349"/>
      <w:bookmarkStart w:id="11273" w:name="_Toc61509727"/>
      <w:r>
        <w:rPr>
          <w:rFonts w:hint="cs"/>
          <w:rtl/>
        </w:rPr>
        <w:t>בדברי הטור דבטען רק שקנה מהמוכר נאמן לתרץ דבריו</w:t>
      </w:r>
      <w:bookmarkEnd w:id="11265"/>
      <w:bookmarkEnd w:id="11266"/>
      <w:bookmarkEnd w:id="11267"/>
      <w:bookmarkEnd w:id="11268"/>
      <w:bookmarkEnd w:id="11269"/>
      <w:bookmarkEnd w:id="11270"/>
      <w:bookmarkEnd w:id="11271"/>
      <w:bookmarkEnd w:id="11272"/>
      <w:bookmarkEnd w:id="11273"/>
    </w:p>
    <w:p w:rsidR="005306EB" w:rsidRPr="0077379C" w:rsidRDefault="005306EB" w:rsidP="005306EB">
      <w:pPr>
        <w:pStyle w:val="a3"/>
        <w:rPr>
          <w:rtl/>
        </w:rPr>
      </w:pPr>
      <w:bookmarkStart w:id="11274" w:name="_Toc61388199"/>
      <w:bookmarkStart w:id="11275" w:name="_Toc61430858"/>
      <w:bookmarkStart w:id="11276" w:name="_Toc61433900"/>
      <w:bookmarkStart w:id="11277" w:name="_Toc61438621"/>
      <w:bookmarkStart w:id="11278" w:name="_Toc61469350"/>
      <w:bookmarkStart w:id="11279" w:name="_Toc61509728"/>
      <w:r>
        <w:rPr>
          <w:rFonts w:hint="cs"/>
          <w:rtl/>
        </w:rPr>
        <w:t>ביאור הב"י בטור דכיון דלהרא"ש יכול לפרש דבריו ה"ה באמר רק שקנה מהמוכר דיכול לפרש</w:t>
      </w:r>
      <w:bookmarkEnd w:id="11274"/>
      <w:bookmarkEnd w:id="11275"/>
      <w:bookmarkEnd w:id="11276"/>
      <w:bookmarkEnd w:id="11277"/>
      <w:bookmarkEnd w:id="11278"/>
      <w:bookmarkEnd w:id="11279"/>
    </w:p>
    <w:p w:rsidR="005306EB" w:rsidRPr="00C401B0" w:rsidRDefault="005306EB" w:rsidP="007E4E81">
      <w:pPr>
        <w:pStyle w:val="a0"/>
        <w:rPr>
          <w:rtl/>
        </w:rPr>
      </w:pPr>
      <w:bookmarkStart w:id="11280" w:name="_Ref60937316"/>
      <w:r>
        <w:rPr>
          <w:rFonts w:hint="cs"/>
          <w:rtl/>
        </w:rPr>
        <w:t xml:space="preserve">כתבו </w:t>
      </w:r>
      <w:r w:rsidRPr="009754D7">
        <w:rPr>
          <w:rStyle w:val="af9"/>
          <w:rFonts w:hint="cs"/>
          <w:rtl/>
        </w:rPr>
        <w:t>הטור והשו"ע</w:t>
      </w:r>
      <w:r>
        <w:rPr>
          <w:rFonts w:hint="cs"/>
          <w:rtl/>
        </w:rPr>
        <w:t xml:space="preserve"> </w:t>
      </w:r>
      <w:r w:rsidRPr="00F574EB">
        <w:rPr>
          <w:rStyle w:val="af7"/>
          <w:rFonts w:eastAsia="Guttman Hodes" w:hint="cs"/>
          <w:rtl/>
        </w:rPr>
        <w:t>(סי' קמ"ו י"ד)</w:t>
      </w:r>
      <w:r>
        <w:rPr>
          <w:rFonts w:hint="cs"/>
          <w:rtl/>
        </w:rPr>
        <w:t xml:space="preserve"> דאם אמר המחזיק בתחילה שקנה מהמוכר בסתמא, ואח"כ הוסיף שהמוכר קנה מהמערער הוא נאמן, וביארו </w:t>
      </w:r>
      <w:r w:rsidRPr="009754D7">
        <w:rPr>
          <w:rStyle w:val="af9"/>
          <w:rFonts w:hint="cs"/>
          <w:rtl/>
        </w:rPr>
        <w:t>הב"י</w:t>
      </w:r>
      <w:r>
        <w:rPr>
          <w:rFonts w:hint="cs"/>
          <w:rtl/>
        </w:rPr>
        <w:t xml:space="preserve"> </w:t>
      </w:r>
      <w:r w:rsidRPr="00F574EB">
        <w:rPr>
          <w:rStyle w:val="af7"/>
          <w:rFonts w:eastAsia="Guttman Hodes" w:hint="cs"/>
          <w:rtl/>
        </w:rPr>
        <w:t>(סי' קמ"ו י"ד)</w:t>
      </w:r>
      <w:r>
        <w:rPr>
          <w:rFonts w:hint="cs"/>
          <w:rtl/>
        </w:rPr>
        <w:t xml:space="preserve"> </w:t>
      </w:r>
      <w:r w:rsidRPr="00BC77FA">
        <w:rPr>
          <w:rStyle w:val="af9"/>
          <w:rFonts w:hint="cs"/>
          <w:rtl/>
        </w:rPr>
        <w:t>ו</w:t>
      </w:r>
      <w:r w:rsidRPr="009754D7">
        <w:rPr>
          <w:rStyle w:val="af9"/>
          <w:rFonts w:hint="cs"/>
          <w:rtl/>
        </w:rPr>
        <w:t>הסמ"ע</w:t>
      </w:r>
      <w:r>
        <w:rPr>
          <w:rFonts w:hint="cs"/>
          <w:rtl/>
        </w:rPr>
        <w:t xml:space="preserve"> </w:t>
      </w:r>
      <w:r w:rsidRPr="00A65197">
        <w:rPr>
          <w:rStyle w:val="af7"/>
          <w:rFonts w:eastAsia="Guttman Hodes" w:hint="cs"/>
          <w:rtl/>
        </w:rPr>
        <w:t>(סי' קמ"ו סקל"ד)</w:t>
      </w:r>
      <w:r>
        <w:rPr>
          <w:rFonts w:hint="cs"/>
          <w:rtl/>
        </w:rPr>
        <w:t xml:space="preserve"> דכיון שכתב </w:t>
      </w:r>
      <w:r w:rsidRPr="009754D7">
        <w:rPr>
          <w:rStyle w:val="af9"/>
          <w:rFonts w:hint="cs"/>
          <w:rtl/>
        </w:rPr>
        <w:t>הרא"ש</w:t>
      </w:r>
      <w:r w:rsidRPr="0077379C">
        <w:rPr>
          <w:rStyle w:val="af7"/>
          <w:rFonts w:eastAsia="Guttman Hodes" w:hint="cs"/>
          <w:rtl/>
        </w:rPr>
        <w:t xml:space="preserve"> (עי' אות </w:t>
      </w:r>
      <w:r w:rsidRPr="0077379C">
        <w:rPr>
          <w:rStyle w:val="af7"/>
          <w:rFonts w:eastAsia="Guttman Hodes"/>
          <w:rtl/>
        </w:rPr>
        <w:fldChar w:fldCharType="begin"/>
      </w:r>
      <w:r w:rsidRPr="0077379C">
        <w:rPr>
          <w:rStyle w:val="af7"/>
          <w:rFonts w:eastAsia="Guttman Hodes"/>
          <w:rtl/>
        </w:rPr>
        <w:instrText xml:space="preserve"> </w:instrText>
      </w:r>
      <w:r w:rsidRPr="0077379C">
        <w:rPr>
          <w:rStyle w:val="af7"/>
          <w:rFonts w:eastAsia="Guttman Hodes" w:hint="cs"/>
        </w:rPr>
        <w:instrText>REF</w:instrText>
      </w:r>
      <w:r w:rsidRPr="0077379C">
        <w:rPr>
          <w:rStyle w:val="af7"/>
          <w:rFonts w:eastAsia="Guttman Hodes" w:hint="cs"/>
          <w:rtl/>
        </w:rPr>
        <w:instrText xml:space="preserve"> _</w:instrText>
      </w:r>
      <w:r w:rsidRPr="0077379C">
        <w:rPr>
          <w:rStyle w:val="af7"/>
          <w:rFonts w:eastAsia="Guttman Hodes" w:hint="cs"/>
        </w:rPr>
        <w:instrText>Ref61008990 \r \h</w:instrText>
      </w:r>
      <w:r w:rsidRPr="0077379C">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7379C">
        <w:rPr>
          <w:rStyle w:val="af7"/>
          <w:rFonts w:eastAsia="Guttman Hodes"/>
          <w:rtl/>
        </w:rPr>
      </w:r>
      <w:r w:rsidRPr="0077379C">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77379C">
        <w:rPr>
          <w:rStyle w:val="af7"/>
          <w:rFonts w:eastAsia="Guttman Hodes"/>
          <w:rtl/>
        </w:rPr>
        <w:fldChar w:fldCharType="end"/>
      </w:r>
      <w:r w:rsidRPr="0077379C">
        <w:rPr>
          <w:rStyle w:val="af7"/>
          <w:rFonts w:eastAsia="Guttman Hodes" w:hint="cs"/>
          <w:rtl/>
        </w:rPr>
        <w:t xml:space="preserve"> </w:t>
      </w:r>
      <w:r>
        <w:rPr>
          <w:rFonts w:hint="cs"/>
          <w:rtl/>
        </w:rPr>
        <w:t xml:space="preserve">דכשאמר בסתמא שקנה מהמוכר שהוא קנה מהמערער, ואח"כ פירש את דבריו דכוונתו הייתה לומר קמי דידי זבנה מינך דנאמן, ס"ל </w:t>
      </w:r>
      <w:r w:rsidRPr="002E6F3D">
        <w:rPr>
          <w:rStyle w:val="af9"/>
          <w:rFonts w:hint="cs"/>
          <w:rtl/>
        </w:rPr>
        <w:t>להטור</w:t>
      </w:r>
      <w:r>
        <w:rPr>
          <w:rFonts w:hint="cs"/>
          <w:rtl/>
        </w:rPr>
        <w:t xml:space="preserve"> דה"ה באופן שאמר בתחילה רק שקנה מהמוכר, דלא שנא מהאופן שכתב </w:t>
      </w:r>
      <w:r w:rsidRPr="009754D7">
        <w:rPr>
          <w:rStyle w:val="af9"/>
          <w:rFonts w:hint="cs"/>
          <w:rtl/>
        </w:rPr>
        <w:t>הרא"ש</w:t>
      </w:r>
      <w:r>
        <w:rPr>
          <w:rFonts w:hint="cs"/>
          <w:rtl/>
        </w:rPr>
        <w:t xml:space="preserve">, ולכן נקט </w:t>
      </w:r>
      <w:r w:rsidRPr="009754D7">
        <w:rPr>
          <w:rStyle w:val="af9"/>
          <w:rFonts w:hint="cs"/>
          <w:rtl/>
        </w:rPr>
        <w:t>הטור</w:t>
      </w:r>
      <w:r>
        <w:rPr>
          <w:rFonts w:hint="cs"/>
          <w:rtl/>
        </w:rPr>
        <w:t xml:space="preserve"> רבותא דאף כשלא אמר בתחילה כלל שהמוכר קנה מהמערער, הוא נאמן לתרץ את דבריו.</w:t>
      </w:r>
      <w:bookmarkEnd w:id="11280"/>
    </w:p>
    <w:p w:rsidR="005306EB" w:rsidRDefault="005306EB" w:rsidP="005306EB">
      <w:pPr>
        <w:pStyle w:val="1"/>
        <w:rPr>
          <w:rtl/>
        </w:rPr>
      </w:pPr>
      <w:bookmarkStart w:id="11281" w:name="_Toc61388200"/>
      <w:bookmarkStart w:id="11282" w:name="_Toc61430859"/>
      <w:bookmarkStart w:id="11283" w:name="_Toc61433901"/>
      <w:bookmarkStart w:id="11284" w:name="_Toc61438622"/>
      <w:bookmarkStart w:id="11285" w:name="_Toc61469351"/>
      <w:bookmarkStart w:id="11286" w:name="_Toc61509729"/>
      <w:bookmarkStart w:id="11287" w:name="_Toc57925961"/>
      <w:bookmarkStart w:id="11288" w:name="_Toc58091651"/>
      <w:bookmarkStart w:id="11289" w:name="_Toc58144886"/>
      <w:bookmarkStart w:id="11290" w:name="_Toc58272612"/>
      <w:bookmarkStart w:id="11291" w:name="_Toc58325047"/>
      <w:bookmarkStart w:id="11292" w:name="_Toc58359193"/>
      <w:bookmarkStart w:id="11293" w:name="_Toc58409454"/>
      <w:bookmarkStart w:id="11294" w:name="_Toc58580179"/>
      <w:bookmarkStart w:id="11295" w:name="_Toc59361689"/>
      <w:bookmarkStart w:id="11296" w:name="_Toc59519330"/>
      <w:bookmarkStart w:id="11297" w:name="_Toc59700111"/>
      <w:bookmarkStart w:id="11298" w:name="_Toc59960764"/>
      <w:bookmarkStart w:id="11299" w:name="_Toc60086854"/>
      <w:bookmarkStart w:id="11300" w:name="_Toc60173427"/>
      <w:bookmarkStart w:id="11301" w:name="_Toc60303881"/>
      <w:r>
        <w:rPr>
          <w:rFonts w:hint="cs"/>
          <w:rtl/>
        </w:rPr>
        <w:t xml:space="preserve">דברי הש"ך </w:t>
      </w:r>
      <w:bookmarkEnd w:id="11281"/>
      <w:bookmarkEnd w:id="11282"/>
      <w:bookmarkEnd w:id="11283"/>
      <w:bookmarkEnd w:id="11284"/>
      <w:bookmarkEnd w:id="11285"/>
      <w:r>
        <w:rPr>
          <w:rFonts w:hint="cs"/>
          <w:rtl/>
        </w:rPr>
        <w:t>דבאמר רק שקנה מהמוכר לא נאמן לפרש קמי דידי</w:t>
      </w:r>
      <w:bookmarkEnd w:id="11286"/>
      <w:r>
        <w:rPr>
          <w:rFonts w:hint="cs"/>
          <w:rtl/>
        </w:rPr>
        <w:t xml:space="preserve"> </w:t>
      </w:r>
    </w:p>
    <w:p w:rsidR="005306EB" w:rsidRDefault="005306EB" w:rsidP="005306EB">
      <w:pPr>
        <w:pStyle w:val="a3"/>
        <w:rPr>
          <w:rtl/>
        </w:rPr>
      </w:pPr>
      <w:bookmarkStart w:id="11302" w:name="_Toc61388201"/>
      <w:bookmarkStart w:id="11303" w:name="_Toc61430860"/>
      <w:bookmarkStart w:id="11304" w:name="_Toc61433902"/>
      <w:bookmarkStart w:id="11305" w:name="_Toc61438623"/>
      <w:bookmarkStart w:id="11306" w:name="_Toc61469352"/>
      <w:bookmarkStart w:id="11307" w:name="_Toc61509730"/>
      <w:r>
        <w:rPr>
          <w:rFonts w:hint="cs"/>
          <w:rtl/>
        </w:rPr>
        <w:t>דברי הש"ך דלהרא"ש רק כשמפרש את דבריו דזו הייתה כוונתו בתחילה נאמן דאינו חוזר וטוען</w:t>
      </w:r>
      <w:bookmarkEnd w:id="11302"/>
      <w:bookmarkEnd w:id="11303"/>
      <w:bookmarkEnd w:id="11304"/>
      <w:bookmarkEnd w:id="11305"/>
      <w:bookmarkEnd w:id="11306"/>
      <w:bookmarkEnd w:id="11307"/>
    </w:p>
    <w:p w:rsidR="005306EB" w:rsidRDefault="005306EB" w:rsidP="007E4E81">
      <w:pPr>
        <w:pStyle w:val="a0"/>
        <w:rPr>
          <w:rtl/>
        </w:rPr>
      </w:pPr>
      <w:r>
        <w:rPr>
          <w:rFonts w:hint="cs"/>
          <w:rtl/>
        </w:rPr>
        <w:t xml:space="preserve">במ"ש </w:t>
      </w:r>
      <w:r w:rsidRPr="007475F7">
        <w:rPr>
          <w:rStyle w:val="af9"/>
          <w:rFonts w:hint="cs"/>
          <w:rtl/>
        </w:rPr>
        <w:t>הב"י</w:t>
      </w:r>
      <w:r>
        <w:rPr>
          <w:rFonts w:hint="cs"/>
          <w:rtl/>
        </w:rPr>
        <w:t xml:space="preserve"> </w:t>
      </w:r>
      <w:r w:rsidRPr="007475F7">
        <w:rPr>
          <w:rStyle w:val="af9"/>
          <w:rFonts w:hint="cs"/>
          <w:rtl/>
        </w:rPr>
        <w:t>והסמ"ע</w:t>
      </w:r>
      <w:r w:rsidRPr="00F41D2A">
        <w:rPr>
          <w:rStyle w:val="af7"/>
          <w:rFonts w:eastAsia="Guttman Hodes" w:hint="cs"/>
          <w:rtl/>
        </w:rPr>
        <w:t xml:space="preserve"> (עי' אות </w:t>
      </w:r>
      <w:r w:rsidRPr="00F41D2A">
        <w:rPr>
          <w:rStyle w:val="af7"/>
          <w:rFonts w:eastAsia="Guttman Hodes"/>
          <w:rtl/>
        </w:rPr>
        <w:fldChar w:fldCharType="begin"/>
      </w:r>
      <w:r w:rsidRPr="00F41D2A">
        <w:rPr>
          <w:rStyle w:val="af7"/>
          <w:rFonts w:eastAsia="Guttman Hodes"/>
          <w:rtl/>
        </w:rPr>
        <w:instrText xml:space="preserve"> </w:instrText>
      </w:r>
      <w:r w:rsidRPr="00F41D2A">
        <w:rPr>
          <w:rStyle w:val="af7"/>
          <w:rFonts w:eastAsia="Guttman Hodes" w:hint="cs"/>
        </w:rPr>
        <w:instrText>REF</w:instrText>
      </w:r>
      <w:r w:rsidRPr="00F41D2A">
        <w:rPr>
          <w:rStyle w:val="af7"/>
          <w:rFonts w:eastAsia="Guttman Hodes" w:hint="cs"/>
          <w:rtl/>
        </w:rPr>
        <w:instrText xml:space="preserve"> _</w:instrText>
      </w:r>
      <w:r w:rsidRPr="00F41D2A">
        <w:rPr>
          <w:rStyle w:val="af7"/>
          <w:rFonts w:eastAsia="Guttman Hodes" w:hint="cs"/>
        </w:rPr>
        <w:instrText>Ref60937316 \r \h</w:instrText>
      </w:r>
      <w:r w:rsidRPr="00F41D2A">
        <w:rPr>
          <w:rStyle w:val="af7"/>
          <w:rFonts w:eastAsia="Guttman Hodes"/>
          <w:rtl/>
        </w:rPr>
        <w:instrText xml:space="preserve">  \* </w:instrText>
      </w:r>
      <w:r w:rsidRPr="00F41D2A">
        <w:rPr>
          <w:rStyle w:val="af7"/>
          <w:rFonts w:eastAsia="Guttman Hodes"/>
        </w:rPr>
        <w:instrText>MERGEFORMAT</w:instrText>
      </w:r>
      <w:r w:rsidRPr="00F41D2A">
        <w:rPr>
          <w:rStyle w:val="af7"/>
          <w:rFonts w:eastAsia="Guttman Hodes"/>
          <w:rtl/>
        </w:rPr>
        <w:instrText xml:space="preserve"> </w:instrText>
      </w:r>
      <w:r w:rsidRPr="00F41D2A">
        <w:rPr>
          <w:rStyle w:val="af7"/>
          <w:rFonts w:eastAsia="Guttman Hodes"/>
          <w:rtl/>
        </w:rPr>
      </w:r>
      <w:r w:rsidRPr="00F41D2A">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F41D2A">
        <w:rPr>
          <w:rStyle w:val="af7"/>
          <w:rFonts w:eastAsia="Guttman Hodes"/>
          <w:rtl/>
        </w:rPr>
        <w:fldChar w:fldCharType="end"/>
      </w:r>
      <w:r w:rsidRPr="00F41D2A">
        <w:rPr>
          <w:rStyle w:val="af7"/>
          <w:rFonts w:eastAsia="Guttman Hodes" w:hint="cs"/>
          <w:rtl/>
        </w:rPr>
        <w:t xml:space="preserve"> </w:t>
      </w:r>
      <w:r>
        <w:rPr>
          <w:rFonts w:hint="cs"/>
          <w:rtl/>
        </w:rPr>
        <w:t xml:space="preserve">דלדעת </w:t>
      </w:r>
      <w:r w:rsidRPr="009754D7">
        <w:rPr>
          <w:rStyle w:val="af9"/>
          <w:rFonts w:hint="cs"/>
          <w:rtl/>
        </w:rPr>
        <w:t>הרא"ש</w:t>
      </w:r>
      <w:r>
        <w:rPr>
          <w:rFonts w:hint="cs"/>
          <w:rtl/>
        </w:rPr>
        <w:t xml:space="preserve"> </w:t>
      </w:r>
      <w:r w:rsidRPr="00413A65">
        <w:rPr>
          <w:rStyle w:val="af7"/>
          <w:rFonts w:eastAsia="Guttman Hodes" w:hint="cs"/>
          <w:rtl/>
        </w:rPr>
        <w:t xml:space="preserve">(עי' אות </w:t>
      </w:r>
      <w:r w:rsidRPr="00413A65">
        <w:rPr>
          <w:rStyle w:val="af7"/>
          <w:rFonts w:eastAsia="Guttman Hodes"/>
          <w:rtl/>
        </w:rPr>
        <w:fldChar w:fldCharType="begin"/>
      </w:r>
      <w:r w:rsidRPr="00413A65">
        <w:rPr>
          <w:rStyle w:val="af7"/>
          <w:rFonts w:eastAsia="Guttman Hodes"/>
          <w:rtl/>
        </w:rPr>
        <w:instrText xml:space="preserve"> </w:instrText>
      </w:r>
      <w:r w:rsidRPr="00413A65">
        <w:rPr>
          <w:rStyle w:val="af7"/>
          <w:rFonts w:eastAsia="Guttman Hodes" w:hint="cs"/>
        </w:rPr>
        <w:instrText>REF</w:instrText>
      </w:r>
      <w:r w:rsidRPr="00413A65">
        <w:rPr>
          <w:rStyle w:val="af7"/>
          <w:rFonts w:eastAsia="Guttman Hodes" w:hint="cs"/>
          <w:rtl/>
        </w:rPr>
        <w:instrText xml:space="preserve"> _</w:instrText>
      </w:r>
      <w:r w:rsidRPr="00413A65">
        <w:rPr>
          <w:rStyle w:val="af7"/>
          <w:rFonts w:eastAsia="Guttman Hodes" w:hint="cs"/>
        </w:rPr>
        <w:instrText>Ref61008990 \r \h</w:instrText>
      </w:r>
      <w:r w:rsidRPr="00413A65">
        <w:rPr>
          <w:rStyle w:val="af7"/>
          <w:rFonts w:eastAsia="Guttman Hodes"/>
          <w:rtl/>
        </w:rPr>
        <w:instrText xml:space="preserve"> </w:instrText>
      </w:r>
      <w:r w:rsidRPr="00413A65">
        <w:rPr>
          <w:rStyle w:val="af7"/>
          <w:rFonts w:eastAsia="Guttman Hodes"/>
          <w:rtl/>
        </w:rPr>
      </w:r>
      <w:r w:rsidRPr="00413A65">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413A65">
        <w:rPr>
          <w:rStyle w:val="af7"/>
          <w:rFonts w:eastAsia="Guttman Hodes"/>
          <w:rtl/>
        </w:rPr>
        <w:fldChar w:fldCharType="end"/>
      </w:r>
      <w:r>
        <w:rPr>
          <w:rStyle w:val="af7"/>
          <w:rFonts w:eastAsia="Guttman Hodes" w:hint="cs"/>
          <w:rtl/>
        </w:rPr>
        <w:t xml:space="preserve"> </w:t>
      </w:r>
      <w:r>
        <w:rPr>
          <w:rFonts w:hint="cs"/>
          <w:rtl/>
        </w:rPr>
        <w:t xml:space="preserve">בטען המחזיק בתחילה שקנה מהמוכר בסתמא, ולא הוסיף שקנה מהמערער, ואח"כ חזר שהוא קנה מהמערער דנאמן, וזהו המקור לדברי </w:t>
      </w:r>
      <w:r w:rsidRPr="007475F7">
        <w:rPr>
          <w:rStyle w:val="af9"/>
          <w:rFonts w:hint="cs"/>
          <w:rtl/>
        </w:rPr>
        <w:t>הטור והשו"ע</w:t>
      </w:r>
      <w:r>
        <w:rPr>
          <w:rStyle w:val="af7"/>
          <w:rFonts w:eastAsia="Guttman Hodes" w:hint="cs"/>
          <w:rtl/>
        </w:rPr>
        <w:t xml:space="preserve"> (עי'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Ref60937316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Pr>
          <w:rStyle w:val="af7"/>
          <w:rFonts w:eastAsia="Guttman Hodes"/>
          <w:rtl/>
        </w:rPr>
        <w:fldChar w:fldCharType="end"/>
      </w:r>
      <w:r>
        <w:rPr>
          <w:rFonts w:hint="cs"/>
          <w:rtl/>
        </w:rPr>
        <w:t xml:space="preserve">, דחה </w:t>
      </w:r>
      <w:r w:rsidRPr="007475F7">
        <w:rPr>
          <w:rStyle w:val="af9"/>
          <w:rFonts w:hint="cs"/>
          <w:rtl/>
        </w:rPr>
        <w:t>הש"ך</w:t>
      </w:r>
      <w:r>
        <w:rPr>
          <w:rFonts w:hint="cs"/>
          <w:rtl/>
        </w:rPr>
        <w:t xml:space="preserve"> </w:t>
      </w:r>
      <w:r w:rsidRPr="00AD1DCB">
        <w:rPr>
          <w:rStyle w:val="af7"/>
          <w:rFonts w:eastAsia="Guttman Hodes" w:hint="cs"/>
          <w:rtl/>
        </w:rPr>
        <w:t>(סי' קמ"ו סקט"ו)</w:t>
      </w:r>
      <w:r>
        <w:rPr>
          <w:rFonts w:hint="cs"/>
          <w:rtl/>
        </w:rPr>
        <w:t xml:space="preserve"> דהרי מ"ש </w:t>
      </w:r>
      <w:r w:rsidRPr="007475F7">
        <w:rPr>
          <w:rStyle w:val="af9"/>
          <w:rFonts w:hint="cs"/>
          <w:rtl/>
        </w:rPr>
        <w:t>הרא"ש</w:t>
      </w:r>
      <w:r w:rsidRPr="00CC61AD">
        <w:rPr>
          <w:rFonts w:hint="cs"/>
          <w:rtl/>
        </w:rPr>
        <w:t xml:space="preserve"> דבטען בסתמא הוא חוזר וטוען היינו רק כשאמר בתחילת דבריו שקנה מהמוכר שקנה מהמערער, ואח"כ אומר קמי דידי זבנה מינך, דבכה"ג אמרינן דהוא מתרץ את דבריו ונאמן, ולא חשיב כטוען וחוזר וטוען, ולכן אי"ז נחשב למיגו למפרע</w:t>
      </w:r>
      <w:r>
        <w:rPr>
          <w:rFonts w:hint="cs"/>
          <w:rtl/>
        </w:rPr>
        <w:t>.</w:t>
      </w:r>
    </w:p>
    <w:p w:rsidR="005306EB" w:rsidRPr="00BE1B4D" w:rsidRDefault="005306EB" w:rsidP="005306EB">
      <w:pPr>
        <w:pStyle w:val="a3"/>
        <w:rPr>
          <w:rtl/>
        </w:rPr>
      </w:pPr>
      <w:bookmarkStart w:id="11308" w:name="_Toc61388202"/>
      <w:bookmarkStart w:id="11309" w:name="_Toc61430861"/>
      <w:bookmarkStart w:id="11310" w:name="_Toc61433903"/>
      <w:bookmarkStart w:id="11311" w:name="_Toc61438624"/>
      <w:bookmarkStart w:id="11312" w:name="_Toc61469353"/>
      <w:bookmarkStart w:id="11313" w:name="_Toc61509731"/>
      <w:r>
        <w:rPr>
          <w:rFonts w:hint="cs"/>
          <w:rtl/>
        </w:rPr>
        <w:t>דברי הש"ך דודאי דלהטור דתחילה הודה למערער ואינו יכול לטעון קמי דידי דהוא מיגו למפרע</w:t>
      </w:r>
      <w:bookmarkEnd w:id="11308"/>
      <w:bookmarkEnd w:id="11309"/>
      <w:bookmarkEnd w:id="11310"/>
      <w:bookmarkEnd w:id="11311"/>
      <w:bookmarkEnd w:id="11312"/>
      <w:bookmarkEnd w:id="11313"/>
      <w:r>
        <w:rPr>
          <w:rFonts w:hint="cs"/>
          <w:rtl/>
        </w:rPr>
        <w:t xml:space="preserve"> </w:t>
      </w:r>
    </w:p>
    <w:p w:rsidR="005306EB" w:rsidRDefault="005306EB" w:rsidP="007E4E81">
      <w:pPr>
        <w:pStyle w:val="a0"/>
        <w:rPr>
          <w:rtl/>
        </w:rPr>
      </w:pPr>
      <w:bookmarkStart w:id="11314" w:name="_Ref61429231"/>
      <w:r w:rsidRPr="00CC61AD">
        <w:rPr>
          <w:rFonts w:hint="cs"/>
          <w:rtl/>
        </w:rPr>
        <w:t xml:space="preserve">אבל במ"ש </w:t>
      </w:r>
      <w:r w:rsidRPr="007475F7">
        <w:rPr>
          <w:rStyle w:val="af9"/>
          <w:rFonts w:hint="cs"/>
          <w:rtl/>
        </w:rPr>
        <w:t>הטור</w:t>
      </w:r>
      <w:r w:rsidRPr="00CC61AD">
        <w:rPr>
          <w:rFonts w:hint="cs"/>
          <w:rtl/>
        </w:rPr>
        <w:t xml:space="preserve"> </w:t>
      </w:r>
      <w:r w:rsidRPr="007475F7">
        <w:rPr>
          <w:rStyle w:val="af9"/>
          <w:rFonts w:hint="cs"/>
          <w:rtl/>
        </w:rPr>
        <w:t>והשו"ע</w:t>
      </w:r>
      <w:r w:rsidRPr="00CC61AD">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Ref60937316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Pr>
          <w:rStyle w:val="af7"/>
          <w:rFonts w:eastAsia="Guttman Hodes"/>
          <w:rtl/>
        </w:rPr>
        <w:fldChar w:fldCharType="end"/>
      </w:r>
      <w:r>
        <w:rPr>
          <w:rStyle w:val="af7"/>
          <w:rFonts w:eastAsia="Guttman Hodes" w:hint="cs"/>
          <w:rtl/>
        </w:rPr>
        <w:t xml:space="preserve"> </w:t>
      </w:r>
      <w:r w:rsidRPr="00CC61AD">
        <w:rPr>
          <w:rFonts w:hint="cs"/>
          <w:rtl/>
        </w:rPr>
        <w:t xml:space="preserve">דאמר בתחילה רק שקנה מהמוכר, </w:t>
      </w:r>
      <w:r>
        <w:rPr>
          <w:rFonts w:hint="cs"/>
          <w:rtl/>
        </w:rPr>
        <w:t xml:space="preserve">כתב </w:t>
      </w:r>
      <w:r w:rsidRPr="007475F7">
        <w:rPr>
          <w:rStyle w:val="af9"/>
          <w:rFonts w:hint="cs"/>
          <w:rtl/>
        </w:rPr>
        <w:t>הש"ך</w:t>
      </w:r>
      <w:r>
        <w:rPr>
          <w:rFonts w:hint="cs"/>
          <w:rtl/>
        </w:rPr>
        <w:t xml:space="preserve"> דודאי דכוונת </w:t>
      </w:r>
      <w:r w:rsidRPr="007475F7">
        <w:rPr>
          <w:rStyle w:val="af9"/>
          <w:rFonts w:hint="cs"/>
          <w:rtl/>
        </w:rPr>
        <w:t>הטור</w:t>
      </w:r>
      <w:r>
        <w:rPr>
          <w:rFonts w:hint="cs"/>
          <w:rtl/>
        </w:rPr>
        <w:t xml:space="preserve"> דבתחילה הודה שהייתה של המערער, </w:t>
      </w:r>
      <w:r w:rsidRPr="00313018">
        <w:rPr>
          <w:rStyle w:val="afb"/>
          <w:rFonts w:hint="cs"/>
          <w:rtl/>
        </w:rPr>
        <w:t xml:space="preserve">[עי' במה שהוכיח כן </w:t>
      </w:r>
      <w:r w:rsidRPr="00AD1DCB">
        <w:rPr>
          <w:rStyle w:val="affa"/>
          <w:rFonts w:hint="cs"/>
          <w:rtl/>
        </w:rPr>
        <w:t>הש"ך</w:t>
      </w:r>
      <w:r w:rsidRPr="00313018">
        <w:rPr>
          <w:rStyle w:val="afb"/>
          <w:rFonts w:hint="cs"/>
          <w:rtl/>
        </w:rPr>
        <w:t xml:space="preserve"> </w:t>
      </w:r>
      <w:r w:rsidRPr="00AD1DCB">
        <w:rPr>
          <w:rStyle w:val="aff6"/>
          <w:rFonts w:hint="cs"/>
          <w:rtl/>
        </w:rPr>
        <w:t xml:space="preserve">(עי' אות </w:t>
      </w:r>
      <w:r w:rsidRPr="00AD1DCB">
        <w:rPr>
          <w:rStyle w:val="aff6"/>
          <w:rtl/>
        </w:rPr>
        <w:fldChar w:fldCharType="begin"/>
      </w:r>
      <w:r w:rsidRPr="00AD1DCB">
        <w:rPr>
          <w:rStyle w:val="aff6"/>
          <w:rtl/>
        </w:rPr>
        <w:instrText xml:space="preserve"> </w:instrText>
      </w:r>
      <w:r w:rsidRPr="00AD1DCB">
        <w:rPr>
          <w:rStyle w:val="aff6"/>
          <w:rFonts w:hint="cs"/>
        </w:rPr>
        <w:instrText>REF</w:instrText>
      </w:r>
      <w:r w:rsidRPr="00AD1DCB">
        <w:rPr>
          <w:rStyle w:val="aff6"/>
          <w:rFonts w:hint="cs"/>
          <w:rtl/>
        </w:rPr>
        <w:instrText xml:space="preserve"> _</w:instrText>
      </w:r>
      <w:r w:rsidRPr="00AD1DCB">
        <w:rPr>
          <w:rStyle w:val="aff6"/>
          <w:rFonts w:hint="cs"/>
        </w:rPr>
        <w:instrText>Ref60940480 \r \h</w:instrText>
      </w:r>
      <w:r w:rsidRPr="00AD1DCB">
        <w:rPr>
          <w:rStyle w:val="aff6"/>
          <w:rtl/>
        </w:rPr>
        <w:instrText xml:space="preserve"> </w:instrText>
      </w:r>
      <w:r w:rsidRPr="00AD1DCB">
        <w:rPr>
          <w:rStyle w:val="aff6"/>
          <w:rtl/>
        </w:rPr>
      </w:r>
      <w:r w:rsidRPr="00AD1DCB">
        <w:rPr>
          <w:rStyle w:val="aff6"/>
          <w:rtl/>
        </w:rPr>
        <w:fldChar w:fldCharType="separate"/>
      </w:r>
      <w:r w:rsidR="00265073">
        <w:rPr>
          <w:rStyle w:val="aff6"/>
          <w:cs/>
        </w:rPr>
        <w:t>‎</w:t>
      </w:r>
      <w:r w:rsidR="00265073">
        <w:rPr>
          <w:rStyle w:val="aff6"/>
          <w:rtl/>
        </w:rPr>
        <w:t>כג)</w:t>
      </w:r>
      <w:r w:rsidRPr="00AD1DCB">
        <w:rPr>
          <w:rStyle w:val="aff6"/>
          <w:rtl/>
        </w:rPr>
        <w:fldChar w:fldCharType="end"/>
      </w:r>
      <w:r w:rsidRPr="00313018">
        <w:rPr>
          <w:rStyle w:val="afb"/>
          <w:rFonts w:hint="cs"/>
          <w:rtl/>
        </w:rPr>
        <w:t xml:space="preserve"> דא"א לומר דכוונת </w:t>
      </w:r>
      <w:r w:rsidRPr="00AD1DCB">
        <w:rPr>
          <w:rStyle w:val="affa"/>
          <w:rFonts w:hint="cs"/>
          <w:rtl/>
        </w:rPr>
        <w:t>הטור</w:t>
      </w:r>
      <w:r w:rsidRPr="00313018">
        <w:rPr>
          <w:rStyle w:val="afb"/>
          <w:rFonts w:hint="cs"/>
          <w:rtl/>
        </w:rPr>
        <w:t xml:space="preserve"> דלא הודה למערער],</w:t>
      </w:r>
      <w:r>
        <w:rPr>
          <w:rFonts w:hint="cs"/>
          <w:rtl/>
        </w:rPr>
        <w:t xml:space="preserve"> וא"כ ודאי ד</w:t>
      </w:r>
      <w:r w:rsidRPr="00CC61AD">
        <w:rPr>
          <w:rFonts w:hint="cs"/>
          <w:rtl/>
        </w:rPr>
        <w:t>אינו יכול ל</w:t>
      </w:r>
      <w:r>
        <w:rPr>
          <w:rFonts w:hint="cs"/>
          <w:rtl/>
        </w:rPr>
        <w:t xml:space="preserve">חזור ולטעון קמי דידי זבנה מינך, </w:t>
      </w:r>
      <w:r w:rsidRPr="00CC61AD">
        <w:rPr>
          <w:rFonts w:hint="cs"/>
          <w:rtl/>
        </w:rPr>
        <w:t>דהא עכשיו אין לו כל מיגו, ו</w:t>
      </w:r>
      <w:r>
        <w:rPr>
          <w:rFonts w:hint="cs"/>
          <w:rtl/>
        </w:rPr>
        <w:t>מה שהיה לו מיגו מ</w:t>
      </w:r>
      <w:r w:rsidRPr="00CC61AD">
        <w:rPr>
          <w:rFonts w:hint="cs"/>
          <w:rtl/>
        </w:rPr>
        <w:t xml:space="preserve">תחילה כשהודה שהייתה של </w:t>
      </w:r>
      <w:r>
        <w:rPr>
          <w:rFonts w:hint="cs"/>
          <w:rtl/>
        </w:rPr>
        <w:t>המערער,</w:t>
      </w:r>
      <w:r w:rsidRPr="00CC61AD">
        <w:rPr>
          <w:rFonts w:hint="cs"/>
          <w:rtl/>
        </w:rPr>
        <w:t xml:space="preserve"> אין לך מיגו למפרע גדול מזה</w:t>
      </w:r>
      <w:r>
        <w:rPr>
          <w:rFonts w:hint="cs"/>
          <w:rtl/>
        </w:rPr>
        <w:t>,</w:t>
      </w:r>
      <w:r w:rsidRPr="00D12669">
        <w:rPr>
          <w:rFonts w:hint="cs"/>
          <w:rtl/>
        </w:rPr>
        <w:t xml:space="preserve"> ועי' במה ש</w:t>
      </w:r>
      <w:r>
        <w:rPr>
          <w:rFonts w:hint="cs"/>
          <w:rtl/>
        </w:rPr>
        <w:t>תירץ</w:t>
      </w:r>
      <w:r w:rsidRPr="00D12669">
        <w:rPr>
          <w:rFonts w:hint="cs"/>
          <w:rtl/>
        </w:rPr>
        <w:t xml:space="preserve"> </w:t>
      </w:r>
      <w:r w:rsidRPr="00D12669">
        <w:rPr>
          <w:rStyle w:val="af9"/>
          <w:rtl/>
        </w:rPr>
        <w:t>הקצוה"ח</w:t>
      </w:r>
      <w:r w:rsidRPr="00D12669">
        <w:rPr>
          <w:rtl/>
        </w:rPr>
        <w:t xml:space="preserve"> </w:t>
      </w:r>
      <w:r w:rsidRPr="00D12669">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Ref61429303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Pr>
          <w:rStyle w:val="af7"/>
          <w:rFonts w:eastAsia="Guttman Hodes"/>
          <w:rtl/>
        </w:rPr>
        <w:fldChar w:fldCharType="end"/>
      </w:r>
      <w:r w:rsidRPr="00D12669">
        <w:rPr>
          <w:rStyle w:val="af7"/>
          <w:rFonts w:eastAsia="Guttman Hodes" w:hint="cs"/>
          <w:rtl/>
        </w:rPr>
        <w:t xml:space="preserve"> </w:t>
      </w:r>
      <w:r>
        <w:rPr>
          <w:rFonts w:hint="cs"/>
          <w:rtl/>
        </w:rPr>
        <w:t>את קושית</w:t>
      </w:r>
      <w:r w:rsidRPr="00D12669">
        <w:rPr>
          <w:rFonts w:hint="cs"/>
          <w:rtl/>
        </w:rPr>
        <w:t xml:space="preserve"> </w:t>
      </w:r>
      <w:r w:rsidRPr="00D12669">
        <w:rPr>
          <w:rStyle w:val="af9"/>
          <w:rFonts w:hint="cs"/>
          <w:rtl/>
        </w:rPr>
        <w:t>הש"ך</w:t>
      </w:r>
      <w:r>
        <w:rPr>
          <w:rFonts w:hint="cs"/>
          <w:rtl/>
        </w:rPr>
        <w:t>.</w:t>
      </w:r>
      <w:bookmarkEnd w:id="11314"/>
    </w:p>
    <w:p w:rsidR="005306EB" w:rsidRPr="00C913E6" w:rsidRDefault="005306EB" w:rsidP="005306EB">
      <w:pPr>
        <w:pStyle w:val="a3"/>
        <w:rPr>
          <w:rtl/>
        </w:rPr>
      </w:pPr>
      <w:bookmarkStart w:id="11315" w:name="_Toc61388203"/>
      <w:bookmarkStart w:id="11316" w:name="_Toc61430862"/>
      <w:bookmarkStart w:id="11317" w:name="_Toc61433904"/>
      <w:bookmarkStart w:id="11318" w:name="_Toc61438625"/>
      <w:bookmarkStart w:id="11319" w:name="_Toc61469354"/>
      <w:bookmarkStart w:id="11320" w:name="_Toc61509732"/>
      <w:r>
        <w:rPr>
          <w:rFonts w:hint="cs"/>
          <w:rtl/>
        </w:rPr>
        <w:t>דברי הש"ך דלא אמר שהמוכר קנה מהמערער א"כ לפרש קמי דידי דלא טען את עיקר הטענה</w:t>
      </w:r>
      <w:bookmarkEnd w:id="11315"/>
      <w:bookmarkEnd w:id="11316"/>
      <w:bookmarkEnd w:id="11317"/>
      <w:bookmarkEnd w:id="11318"/>
      <w:bookmarkEnd w:id="11319"/>
      <w:bookmarkEnd w:id="11320"/>
    </w:p>
    <w:p w:rsidR="005306EB" w:rsidRDefault="005306EB" w:rsidP="007E4E81">
      <w:pPr>
        <w:pStyle w:val="a0"/>
        <w:rPr>
          <w:rtl/>
        </w:rPr>
      </w:pPr>
      <w:r>
        <w:rPr>
          <w:rFonts w:hint="cs"/>
          <w:rtl/>
        </w:rPr>
        <w:t xml:space="preserve">וביאר </w:t>
      </w:r>
      <w:r w:rsidRPr="003C2AD4">
        <w:rPr>
          <w:rStyle w:val="af9"/>
          <w:rFonts w:hint="cs"/>
          <w:rtl/>
        </w:rPr>
        <w:t>הש"ך</w:t>
      </w:r>
      <w:r>
        <w:rPr>
          <w:rFonts w:hint="cs"/>
          <w:rtl/>
        </w:rPr>
        <w:t xml:space="preserve"> </w:t>
      </w:r>
      <w:r w:rsidRPr="00CC61AD">
        <w:rPr>
          <w:rFonts w:hint="cs"/>
          <w:rtl/>
        </w:rPr>
        <w:t xml:space="preserve">דאינו יכול לפרש את דבריו דמה שאמר שקנה מהמוכר, כוונתו הייתה לומר שהמוכר קנה בפניו מהמערער, דאי זו הייתה כוונתו עיקר הטענה היא שהמוכר קנה מהמערער, ואיך לא טען כן בתחילה, ואמר רק בסתמא שקנה מהמוכר, והודה שהייתה של המערער, ולא פירש שהמוכר קנה מהמערער, א"כ אינו נאמן </w:t>
      </w:r>
      <w:r w:rsidRPr="00CC61AD">
        <w:rPr>
          <w:rFonts w:hint="cs"/>
          <w:rtl/>
        </w:rPr>
        <w:lastRenderedPageBreak/>
        <w:t xml:space="preserve">עכשיו לומר כן, וכל הנאמנות שלו היא מכח המיגו דלא היה צריך להודות מתחילה, והוא מיגו למפרע, כדכתבו </w:t>
      </w:r>
      <w:r w:rsidRPr="003C2AD4">
        <w:rPr>
          <w:rStyle w:val="af9"/>
          <w:rFonts w:hint="cs"/>
          <w:rtl/>
        </w:rPr>
        <w:t>התוס'</w:t>
      </w:r>
      <w:r w:rsidRPr="00CC61AD">
        <w:rPr>
          <w:rFonts w:hint="cs"/>
          <w:rtl/>
        </w:rPr>
        <w:t>.</w:t>
      </w:r>
    </w:p>
    <w:p w:rsidR="005306EB" w:rsidRPr="00D12669" w:rsidRDefault="005306EB" w:rsidP="005306EB">
      <w:pPr>
        <w:pStyle w:val="a3"/>
        <w:rPr>
          <w:rtl/>
        </w:rPr>
      </w:pPr>
      <w:bookmarkStart w:id="11321" w:name="_Toc61388204"/>
      <w:bookmarkStart w:id="11322" w:name="_Toc61430863"/>
      <w:bookmarkStart w:id="11323" w:name="_Toc61433905"/>
      <w:bookmarkStart w:id="11324" w:name="_Toc61438626"/>
      <w:bookmarkStart w:id="11325" w:name="_Toc61469355"/>
      <w:bookmarkStart w:id="11326" w:name="_Toc61509733"/>
      <w:r>
        <w:rPr>
          <w:rFonts w:hint="cs"/>
          <w:rtl/>
        </w:rPr>
        <w:t xml:space="preserve">דברי הש"ך דיש ט"ס </w:t>
      </w:r>
      <w:r w:rsidRPr="00D12669">
        <w:rPr>
          <w:rFonts w:hint="cs"/>
          <w:rtl/>
        </w:rPr>
        <w:t>בטור והגירסא היא דטען שקנה מהמוכר שקנה מהמערער ודלא כב"י וסמ"ע</w:t>
      </w:r>
      <w:bookmarkEnd w:id="11321"/>
      <w:bookmarkEnd w:id="11322"/>
      <w:bookmarkEnd w:id="11323"/>
      <w:bookmarkEnd w:id="11324"/>
      <w:bookmarkEnd w:id="11325"/>
      <w:bookmarkEnd w:id="11326"/>
    </w:p>
    <w:p w:rsidR="005306EB" w:rsidRPr="00D12669" w:rsidRDefault="005306EB" w:rsidP="007E4E81">
      <w:pPr>
        <w:pStyle w:val="a0"/>
        <w:rPr>
          <w:rtl/>
        </w:rPr>
      </w:pPr>
      <w:r w:rsidRPr="00D12669">
        <w:rPr>
          <w:rFonts w:hint="cs"/>
          <w:rtl/>
        </w:rPr>
        <w:t xml:space="preserve">אלא כתב </w:t>
      </w:r>
      <w:r w:rsidRPr="002B380D">
        <w:rPr>
          <w:rStyle w:val="af9"/>
          <w:rFonts w:hint="cs"/>
          <w:rtl/>
        </w:rPr>
        <w:t>הש"ך</w:t>
      </w:r>
      <w:r w:rsidRPr="00D12669">
        <w:rPr>
          <w:rFonts w:hint="cs"/>
          <w:rtl/>
        </w:rPr>
        <w:t xml:space="preserve"> דמוכח דהוא ט"ס </w:t>
      </w:r>
      <w:r w:rsidRPr="00D12669">
        <w:rPr>
          <w:rStyle w:val="af9"/>
          <w:rFonts w:hint="cs"/>
          <w:rtl/>
        </w:rPr>
        <w:t>בטור</w:t>
      </w:r>
      <w:r w:rsidRPr="00D12669">
        <w:rPr>
          <w:rFonts w:hint="cs"/>
          <w:rtl/>
        </w:rPr>
        <w:t xml:space="preserve">, וצריך להוסיף בדבריו דאמר בסתמא שקנה מהמוכר שקנה מהמערער, כדברי </w:t>
      </w:r>
      <w:r w:rsidRPr="00D12669">
        <w:rPr>
          <w:rStyle w:val="af9"/>
          <w:rFonts w:hint="cs"/>
          <w:rtl/>
        </w:rPr>
        <w:t>הרא"ש</w:t>
      </w:r>
      <w:r w:rsidRPr="00D12669">
        <w:rPr>
          <w:rFonts w:hint="cs"/>
          <w:rtl/>
        </w:rPr>
        <w:t xml:space="preserve">, ולא כדביארו </w:t>
      </w:r>
      <w:r w:rsidRPr="00D12669">
        <w:rPr>
          <w:rStyle w:val="af9"/>
          <w:rFonts w:hint="cs"/>
          <w:rtl/>
        </w:rPr>
        <w:t>הב"י</w:t>
      </w:r>
      <w:r w:rsidRPr="00D12669">
        <w:rPr>
          <w:rFonts w:hint="cs"/>
          <w:rtl/>
        </w:rPr>
        <w:t xml:space="preserve"> </w:t>
      </w:r>
      <w:r w:rsidRPr="00D12669">
        <w:rPr>
          <w:rStyle w:val="af7"/>
          <w:rFonts w:eastAsia="Guttman Hodes" w:hint="cs"/>
          <w:rtl/>
        </w:rPr>
        <w:t xml:space="preserve">(עי' אות </w:t>
      </w:r>
      <w:r w:rsidRPr="00D12669">
        <w:rPr>
          <w:rStyle w:val="af7"/>
          <w:rFonts w:eastAsia="Guttman Hodes"/>
          <w:rtl/>
        </w:rPr>
        <w:fldChar w:fldCharType="begin"/>
      </w:r>
      <w:r w:rsidRPr="00D12669">
        <w:rPr>
          <w:rStyle w:val="af7"/>
          <w:rFonts w:eastAsia="Guttman Hodes"/>
          <w:rtl/>
        </w:rPr>
        <w:instrText xml:space="preserve"> </w:instrText>
      </w:r>
      <w:r w:rsidRPr="00D12669">
        <w:rPr>
          <w:rStyle w:val="af7"/>
          <w:rFonts w:eastAsia="Guttman Hodes" w:hint="cs"/>
        </w:rPr>
        <w:instrText>REF</w:instrText>
      </w:r>
      <w:r w:rsidRPr="00D12669">
        <w:rPr>
          <w:rStyle w:val="af7"/>
          <w:rFonts w:eastAsia="Guttman Hodes" w:hint="cs"/>
          <w:rtl/>
        </w:rPr>
        <w:instrText xml:space="preserve"> _</w:instrText>
      </w:r>
      <w:r w:rsidRPr="00D12669">
        <w:rPr>
          <w:rStyle w:val="af7"/>
          <w:rFonts w:eastAsia="Guttman Hodes" w:hint="cs"/>
        </w:rPr>
        <w:instrText>Ref60937316 \r \h</w:instrText>
      </w:r>
      <w:r w:rsidRPr="00D12669">
        <w:rPr>
          <w:rStyle w:val="af7"/>
          <w:rFonts w:eastAsia="Guttman Hodes"/>
          <w:rtl/>
        </w:rPr>
        <w:instrText xml:space="preserve">  \* </w:instrText>
      </w:r>
      <w:r w:rsidRPr="00D12669">
        <w:rPr>
          <w:rStyle w:val="af7"/>
          <w:rFonts w:eastAsia="Guttman Hodes"/>
        </w:rPr>
        <w:instrText>MERGEFORMAT</w:instrText>
      </w:r>
      <w:r w:rsidRPr="00D12669">
        <w:rPr>
          <w:rStyle w:val="af7"/>
          <w:rFonts w:eastAsia="Guttman Hodes"/>
          <w:rtl/>
        </w:rPr>
        <w:instrText xml:space="preserve"> </w:instrText>
      </w:r>
      <w:r w:rsidRPr="00D12669">
        <w:rPr>
          <w:rStyle w:val="af7"/>
          <w:rFonts w:eastAsia="Guttman Hodes"/>
          <w:rtl/>
        </w:rPr>
      </w:r>
      <w:r w:rsidRPr="00D12669">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D12669">
        <w:rPr>
          <w:rStyle w:val="af7"/>
          <w:rFonts w:eastAsia="Guttman Hodes"/>
          <w:rtl/>
        </w:rPr>
        <w:fldChar w:fldCharType="end"/>
      </w:r>
      <w:r w:rsidRPr="00D12669">
        <w:rPr>
          <w:rFonts w:hint="cs"/>
          <w:rtl/>
        </w:rPr>
        <w:t xml:space="preserve"> </w:t>
      </w:r>
      <w:r w:rsidRPr="00D12669">
        <w:rPr>
          <w:rStyle w:val="af9"/>
          <w:rFonts w:hint="cs"/>
          <w:rtl/>
        </w:rPr>
        <w:t>והסמ"ע</w:t>
      </w:r>
      <w:r w:rsidRPr="00D12669">
        <w:rPr>
          <w:rFonts w:hint="cs"/>
          <w:rtl/>
        </w:rPr>
        <w:t xml:space="preserve"> </w:t>
      </w:r>
      <w:r w:rsidRPr="00D12669">
        <w:rPr>
          <w:rStyle w:val="af7"/>
          <w:rFonts w:eastAsia="Guttman Hodes" w:hint="cs"/>
          <w:rtl/>
        </w:rPr>
        <w:t xml:space="preserve">(עי' אות </w:t>
      </w:r>
      <w:r w:rsidRPr="00D12669">
        <w:rPr>
          <w:rStyle w:val="af7"/>
          <w:rFonts w:eastAsia="Guttman Hodes"/>
          <w:rtl/>
        </w:rPr>
        <w:fldChar w:fldCharType="begin"/>
      </w:r>
      <w:r w:rsidRPr="00D12669">
        <w:rPr>
          <w:rStyle w:val="af7"/>
          <w:rFonts w:eastAsia="Guttman Hodes"/>
          <w:rtl/>
        </w:rPr>
        <w:instrText xml:space="preserve"> </w:instrText>
      </w:r>
      <w:r w:rsidRPr="00D12669">
        <w:rPr>
          <w:rStyle w:val="af7"/>
          <w:rFonts w:eastAsia="Guttman Hodes" w:hint="cs"/>
        </w:rPr>
        <w:instrText>REF</w:instrText>
      </w:r>
      <w:r w:rsidRPr="00D12669">
        <w:rPr>
          <w:rStyle w:val="af7"/>
          <w:rFonts w:eastAsia="Guttman Hodes" w:hint="cs"/>
          <w:rtl/>
        </w:rPr>
        <w:instrText xml:space="preserve"> _</w:instrText>
      </w:r>
      <w:r w:rsidRPr="00D12669">
        <w:rPr>
          <w:rStyle w:val="af7"/>
          <w:rFonts w:eastAsia="Guttman Hodes" w:hint="cs"/>
        </w:rPr>
        <w:instrText>Ref60937281 \r \h</w:instrText>
      </w:r>
      <w:r w:rsidRPr="00D12669">
        <w:rPr>
          <w:rStyle w:val="af7"/>
          <w:rFonts w:eastAsia="Guttman Hodes"/>
          <w:rtl/>
        </w:rPr>
        <w:instrText xml:space="preserve">  \* </w:instrText>
      </w:r>
      <w:r w:rsidRPr="00D12669">
        <w:rPr>
          <w:rStyle w:val="af7"/>
          <w:rFonts w:eastAsia="Guttman Hodes"/>
        </w:rPr>
        <w:instrText>MERGEFORMAT</w:instrText>
      </w:r>
      <w:r w:rsidRPr="00D12669">
        <w:rPr>
          <w:rStyle w:val="af7"/>
          <w:rFonts w:eastAsia="Guttman Hodes"/>
          <w:rtl/>
        </w:rPr>
        <w:instrText xml:space="preserve"> </w:instrText>
      </w:r>
      <w:r w:rsidRPr="00D12669">
        <w:rPr>
          <w:rStyle w:val="af7"/>
          <w:rFonts w:eastAsia="Guttman Hodes"/>
          <w:rtl/>
        </w:rPr>
      </w:r>
      <w:r w:rsidRPr="00D12669">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D12669">
        <w:rPr>
          <w:rStyle w:val="af7"/>
          <w:rFonts w:eastAsia="Guttman Hodes"/>
          <w:rtl/>
        </w:rPr>
        <w:fldChar w:fldCharType="end"/>
      </w:r>
      <w:r w:rsidRPr="00D12669">
        <w:rPr>
          <w:rFonts w:hint="cs"/>
          <w:rtl/>
        </w:rPr>
        <w:t xml:space="preserve"> </w:t>
      </w:r>
      <w:r w:rsidRPr="00D12669">
        <w:rPr>
          <w:rStyle w:val="af9"/>
          <w:rFonts w:hint="cs"/>
          <w:rtl/>
        </w:rPr>
        <w:t>בטור</w:t>
      </w:r>
      <w:r w:rsidRPr="00D12669">
        <w:rPr>
          <w:rFonts w:hint="cs"/>
          <w:rtl/>
        </w:rPr>
        <w:t xml:space="preserve">, והוסיף </w:t>
      </w:r>
      <w:r w:rsidRPr="00D12669">
        <w:rPr>
          <w:rStyle w:val="af9"/>
          <w:rFonts w:hint="cs"/>
          <w:rtl/>
        </w:rPr>
        <w:t>הש"ך</w:t>
      </w:r>
      <w:r w:rsidRPr="00D12669">
        <w:rPr>
          <w:rFonts w:hint="cs"/>
          <w:rtl/>
        </w:rPr>
        <w:t xml:space="preserve"> דכן מוכח מדברי </w:t>
      </w:r>
      <w:r w:rsidRPr="00D12669">
        <w:rPr>
          <w:rStyle w:val="af9"/>
          <w:rFonts w:hint="cs"/>
          <w:rtl/>
        </w:rPr>
        <w:t>הטור בקיצור פסקי הרא"ש</w:t>
      </w:r>
      <w:r w:rsidRPr="00D12669">
        <w:rPr>
          <w:rFonts w:hint="cs"/>
          <w:rtl/>
        </w:rPr>
        <w:t xml:space="preserve"> </w:t>
      </w:r>
      <w:r w:rsidRPr="00D12669">
        <w:rPr>
          <w:rStyle w:val="af7"/>
          <w:rFonts w:eastAsia="Guttman Hodes" w:hint="cs"/>
          <w:rtl/>
        </w:rPr>
        <w:t>(סי' ל"ז</w:t>
      </w:r>
      <w:r>
        <w:rPr>
          <w:rStyle w:val="af7"/>
          <w:rFonts w:eastAsia="Guttman Hodes" w:hint="cs"/>
          <w:rtl/>
        </w:rPr>
        <w:t>)</w:t>
      </w:r>
      <w:r w:rsidRPr="00D12669">
        <w:rPr>
          <w:rFonts w:hint="cs"/>
          <w:rtl/>
        </w:rPr>
        <w:t>.</w:t>
      </w:r>
    </w:p>
    <w:p w:rsidR="005306EB" w:rsidRPr="00D12669" w:rsidRDefault="005306EB" w:rsidP="005306EB">
      <w:pPr>
        <w:pStyle w:val="a3"/>
        <w:rPr>
          <w:rtl/>
        </w:rPr>
      </w:pPr>
      <w:bookmarkStart w:id="11327" w:name="_Toc61388205"/>
      <w:bookmarkStart w:id="11328" w:name="_Toc61430864"/>
      <w:bookmarkStart w:id="11329" w:name="_Toc61433906"/>
      <w:bookmarkStart w:id="11330" w:name="_Toc61438627"/>
      <w:bookmarkStart w:id="11331" w:name="_Toc61469356"/>
      <w:bookmarkStart w:id="11332" w:name="_Toc61509734"/>
      <w:r w:rsidRPr="00D12669">
        <w:rPr>
          <w:rFonts w:hint="cs"/>
          <w:rtl/>
        </w:rPr>
        <w:t>הוכחות הש"ך דהטור איירי באופן שהודה המחזיק בתחילה שהקרקע הייתה של המערער</w:t>
      </w:r>
      <w:bookmarkEnd w:id="11327"/>
      <w:bookmarkEnd w:id="11328"/>
      <w:bookmarkEnd w:id="11329"/>
      <w:bookmarkEnd w:id="11330"/>
      <w:bookmarkEnd w:id="11331"/>
      <w:bookmarkEnd w:id="11332"/>
    </w:p>
    <w:p w:rsidR="005306EB" w:rsidRDefault="005306EB" w:rsidP="007E4E81">
      <w:pPr>
        <w:pStyle w:val="a0"/>
        <w:rPr>
          <w:rtl/>
        </w:rPr>
      </w:pPr>
      <w:bookmarkStart w:id="11333" w:name="_Ref60940480"/>
      <w:r w:rsidRPr="00D12669">
        <w:rPr>
          <w:rFonts w:hint="cs"/>
          <w:rtl/>
        </w:rPr>
        <w:t xml:space="preserve">וכתב </w:t>
      </w:r>
      <w:r w:rsidRPr="00D12669">
        <w:rPr>
          <w:rStyle w:val="af9"/>
          <w:rFonts w:hint="cs"/>
          <w:rtl/>
        </w:rPr>
        <w:t>הש"ך</w:t>
      </w:r>
      <w:r w:rsidRPr="00D12669">
        <w:rPr>
          <w:rFonts w:hint="cs"/>
          <w:rtl/>
        </w:rPr>
        <w:t xml:space="preserve"> </w:t>
      </w:r>
      <w:r w:rsidRPr="00D12669">
        <w:rPr>
          <w:rStyle w:val="af7"/>
          <w:rFonts w:eastAsia="Guttman Hodes" w:hint="cs"/>
          <w:rtl/>
        </w:rPr>
        <w:t>(</w:t>
      </w:r>
      <w:r w:rsidRPr="00AD1DCB">
        <w:rPr>
          <w:rStyle w:val="af7"/>
          <w:rFonts w:eastAsia="Guttman Hodes" w:hint="cs"/>
          <w:rtl/>
        </w:rPr>
        <w:t>סי' קמ"ו סוס"ק ט"ו)</w:t>
      </w:r>
      <w:r>
        <w:rPr>
          <w:rFonts w:hint="cs"/>
          <w:rtl/>
        </w:rPr>
        <w:t xml:space="preserve"> דדוחק לומר דביארו </w:t>
      </w:r>
      <w:r w:rsidRPr="003C2AD4">
        <w:rPr>
          <w:rStyle w:val="af9"/>
          <w:rFonts w:hint="cs"/>
          <w:rtl/>
        </w:rPr>
        <w:t>הב"י</w:t>
      </w:r>
      <w:r>
        <w:rPr>
          <w:rFonts w:hint="cs"/>
          <w:rtl/>
        </w:rPr>
        <w:t xml:space="preserve"> </w:t>
      </w:r>
      <w:r w:rsidRPr="00AD1DCB">
        <w:rPr>
          <w:rStyle w:val="af7"/>
          <w:rFonts w:eastAsia="Guttman Hodes" w:hint="cs"/>
          <w:rtl/>
        </w:rPr>
        <w:t xml:space="preserve">(עי' אות </w:t>
      </w:r>
      <w:r w:rsidRPr="00AD1DCB">
        <w:rPr>
          <w:rStyle w:val="af7"/>
          <w:rFonts w:eastAsia="Guttman Hodes"/>
          <w:rtl/>
        </w:rPr>
        <w:fldChar w:fldCharType="begin"/>
      </w:r>
      <w:r w:rsidRPr="00AD1DCB">
        <w:rPr>
          <w:rStyle w:val="af7"/>
          <w:rFonts w:eastAsia="Guttman Hodes"/>
          <w:rtl/>
        </w:rPr>
        <w:instrText xml:space="preserve"> </w:instrText>
      </w:r>
      <w:r w:rsidRPr="00AD1DCB">
        <w:rPr>
          <w:rStyle w:val="af7"/>
          <w:rFonts w:eastAsia="Guttman Hodes" w:hint="cs"/>
        </w:rPr>
        <w:instrText>REF</w:instrText>
      </w:r>
      <w:r w:rsidRPr="00AD1DCB">
        <w:rPr>
          <w:rStyle w:val="af7"/>
          <w:rFonts w:eastAsia="Guttman Hodes" w:hint="cs"/>
          <w:rtl/>
        </w:rPr>
        <w:instrText xml:space="preserve"> _</w:instrText>
      </w:r>
      <w:r w:rsidRPr="00AD1DCB">
        <w:rPr>
          <w:rStyle w:val="af7"/>
          <w:rFonts w:eastAsia="Guttman Hodes" w:hint="cs"/>
        </w:rPr>
        <w:instrText>Ref60937316 \r \h</w:instrText>
      </w:r>
      <w:r w:rsidRPr="00AD1DC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D1DCB">
        <w:rPr>
          <w:rStyle w:val="af7"/>
          <w:rFonts w:eastAsia="Guttman Hodes"/>
          <w:rtl/>
        </w:rPr>
      </w:r>
      <w:r w:rsidRPr="00AD1DCB">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AD1DCB">
        <w:rPr>
          <w:rStyle w:val="af7"/>
          <w:rFonts w:eastAsia="Guttman Hodes"/>
          <w:rtl/>
        </w:rPr>
        <w:fldChar w:fldCharType="end"/>
      </w:r>
      <w:r>
        <w:rPr>
          <w:rFonts w:hint="cs"/>
          <w:rtl/>
        </w:rPr>
        <w:t xml:space="preserve"> </w:t>
      </w:r>
      <w:r w:rsidRPr="003C2AD4">
        <w:rPr>
          <w:rStyle w:val="af9"/>
          <w:rFonts w:hint="cs"/>
          <w:rtl/>
        </w:rPr>
        <w:t>והסמ"ע</w:t>
      </w:r>
      <w:r>
        <w:rPr>
          <w:rFonts w:hint="cs"/>
          <w:rtl/>
        </w:rPr>
        <w:t xml:space="preserve"> </w:t>
      </w:r>
      <w:r w:rsidRPr="00AD1DCB">
        <w:rPr>
          <w:rStyle w:val="af7"/>
          <w:rFonts w:eastAsia="Guttman Hodes" w:hint="cs"/>
          <w:rtl/>
        </w:rPr>
        <w:t xml:space="preserve">(עי' אות </w:t>
      </w:r>
      <w:r w:rsidRPr="00AD1DCB">
        <w:rPr>
          <w:rStyle w:val="af7"/>
          <w:rFonts w:eastAsia="Guttman Hodes"/>
          <w:rtl/>
        </w:rPr>
        <w:fldChar w:fldCharType="begin"/>
      </w:r>
      <w:r w:rsidRPr="00AD1DCB">
        <w:rPr>
          <w:rStyle w:val="af7"/>
          <w:rFonts w:eastAsia="Guttman Hodes"/>
          <w:rtl/>
        </w:rPr>
        <w:instrText xml:space="preserve"> </w:instrText>
      </w:r>
      <w:r w:rsidRPr="00AD1DCB">
        <w:rPr>
          <w:rStyle w:val="af7"/>
          <w:rFonts w:eastAsia="Guttman Hodes" w:hint="cs"/>
        </w:rPr>
        <w:instrText>REF</w:instrText>
      </w:r>
      <w:r w:rsidRPr="00AD1DCB">
        <w:rPr>
          <w:rStyle w:val="af7"/>
          <w:rFonts w:eastAsia="Guttman Hodes" w:hint="cs"/>
          <w:rtl/>
        </w:rPr>
        <w:instrText xml:space="preserve"> _</w:instrText>
      </w:r>
      <w:r w:rsidRPr="00AD1DCB">
        <w:rPr>
          <w:rStyle w:val="af7"/>
          <w:rFonts w:eastAsia="Guttman Hodes" w:hint="cs"/>
        </w:rPr>
        <w:instrText>Ref60937281 \r \h</w:instrText>
      </w:r>
      <w:r w:rsidRPr="00AD1DC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D1DCB">
        <w:rPr>
          <w:rStyle w:val="af7"/>
          <w:rFonts w:eastAsia="Guttman Hodes"/>
          <w:rtl/>
        </w:rPr>
      </w:r>
      <w:r w:rsidRPr="00AD1DCB">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AD1DCB">
        <w:rPr>
          <w:rStyle w:val="af7"/>
          <w:rFonts w:eastAsia="Guttman Hodes"/>
          <w:rtl/>
        </w:rPr>
        <w:fldChar w:fldCharType="end"/>
      </w:r>
      <w:r>
        <w:rPr>
          <w:rStyle w:val="af9"/>
          <w:rFonts w:hint="cs"/>
          <w:rtl/>
        </w:rPr>
        <w:t xml:space="preserve"> </w:t>
      </w:r>
      <w:r w:rsidRPr="003C2AD4">
        <w:rPr>
          <w:rStyle w:val="af9"/>
          <w:rFonts w:hint="cs"/>
          <w:rtl/>
        </w:rPr>
        <w:t>דהטור</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Ref60937316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Pr>
          <w:rStyle w:val="af7"/>
          <w:rFonts w:eastAsia="Guttman Hodes"/>
          <w:rtl/>
        </w:rPr>
        <w:fldChar w:fldCharType="end"/>
      </w:r>
      <w:r>
        <w:rPr>
          <w:rFonts w:hint="cs"/>
          <w:rtl/>
        </w:rPr>
        <w:t xml:space="preserve"> איירי באופן שלא הודה בתחילה ואמר רק שקנה מהמוכר, דא"כ אמאי אינו נאמן להוסיף עכשיו שהמוכר קנה מהמערער, דהא אין כל הודאה שהייתה של המערער, לא של המחזיק ולא של המוכר, ועוד דמשמע דהנאמנות שלו היא רק מחמת שהוסיף לבאר את דבריו, ואי לא הודה בתחילה שהייתה של המערער, א"כ הנאמנות אינה מחמת מה שהוסיף אח"כ, והוסיף </w:t>
      </w:r>
      <w:r w:rsidRPr="00417D21">
        <w:rPr>
          <w:rStyle w:val="af9"/>
          <w:rFonts w:hint="cs"/>
          <w:rtl/>
        </w:rPr>
        <w:t>הש"ך</w:t>
      </w:r>
      <w:r>
        <w:rPr>
          <w:rFonts w:hint="cs"/>
          <w:rtl/>
        </w:rPr>
        <w:t xml:space="preserve"> דמדברי </w:t>
      </w:r>
      <w:r w:rsidRPr="00417D21">
        <w:rPr>
          <w:rStyle w:val="af9"/>
          <w:rFonts w:hint="cs"/>
          <w:rtl/>
        </w:rPr>
        <w:t>הב"י והסמ"ע</w:t>
      </w:r>
      <w:r>
        <w:rPr>
          <w:rFonts w:hint="cs"/>
          <w:rtl/>
        </w:rPr>
        <w:t xml:space="preserve"> עצמם משמע </w:t>
      </w:r>
      <w:r w:rsidRPr="00AD1DCB">
        <w:rPr>
          <w:rStyle w:val="af9"/>
          <w:rFonts w:hint="cs"/>
          <w:rtl/>
        </w:rPr>
        <w:t>דהטור</w:t>
      </w:r>
      <w:r>
        <w:rPr>
          <w:rFonts w:hint="cs"/>
          <w:rtl/>
        </w:rPr>
        <w:t xml:space="preserve"> איירי דהודה בתחילה, דהא כתבו דכוונת הטור לומר רבותא יותר מדברי </w:t>
      </w:r>
      <w:r w:rsidRPr="00AD1DCB">
        <w:rPr>
          <w:rStyle w:val="af9"/>
          <w:rFonts w:hint="cs"/>
          <w:rtl/>
        </w:rPr>
        <w:t>הרא"ש</w:t>
      </w:r>
      <w:r>
        <w:rPr>
          <w:rFonts w:hint="cs"/>
          <w:rtl/>
        </w:rPr>
        <w:t xml:space="preserve">, ואי איירי שלא הודה אי"ז כל רבותא, והוא דין פשוט יותר דנאמן, והוסיף </w:t>
      </w:r>
      <w:r w:rsidRPr="00417D21">
        <w:rPr>
          <w:rStyle w:val="af9"/>
          <w:rFonts w:hint="cs"/>
          <w:rtl/>
        </w:rPr>
        <w:t>הש"ך</w:t>
      </w:r>
      <w:r>
        <w:rPr>
          <w:rFonts w:hint="cs"/>
          <w:rtl/>
        </w:rPr>
        <w:t xml:space="preserve"> דכן משמע מדברי </w:t>
      </w:r>
      <w:r w:rsidRPr="00417D21">
        <w:rPr>
          <w:rStyle w:val="af9"/>
          <w:rFonts w:hint="cs"/>
          <w:rtl/>
        </w:rPr>
        <w:t>הסמ"ע</w:t>
      </w:r>
      <w:r>
        <w:rPr>
          <w:rFonts w:hint="cs"/>
          <w:rtl/>
        </w:rPr>
        <w:t xml:space="preserve"> </w:t>
      </w:r>
      <w:r w:rsidRPr="00564460">
        <w:rPr>
          <w:rStyle w:val="af7"/>
          <w:rFonts w:eastAsia="Guttman Hodes" w:hint="cs"/>
          <w:rtl/>
        </w:rPr>
        <w:t xml:space="preserve">(עי' אות </w:t>
      </w:r>
      <w:r w:rsidRPr="00564460">
        <w:rPr>
          <w:rStyle w:val="af7"/>
          <w:rFonts w:eastAsia="Guttman Hodes"/>
          <w:rtl/>
        </w:rPr>
        <w:fldChar w:fldCharType="begin"/>
      </w:r>
      <w:r w:rsidRPr="00564460">
        <w:rPr>
          <w:rStyle w:val="af7"/>
          <w:rFonts w:eastAsia="Guttman Hodes"/>
          <w:rtl/>
        </w:rPr>
        <w:instrText xml:space="preserve"> </w:instrText>
      </w:r>
      <w:r w:rsidRPr="00564460">
        <w:rPr>
          <w:rStyle w:val="af7"/>
          <w:rFonts w:eastAsia="Guttman Hodes" w:hint="cs"/>
        </w:rPr>
        <w:instrText>REF</w:instrText>
      </w:r>
      <w:r w:rsidRPr="00564460">
        <w:rPr>
          <w:rStyle w:val="af7"/>
          <w:rFonts w:eastAsia="Guttman Hodes" w:hint="cs"/>
          <w:rtl/>
        </w:rPr>
        <w:instrText xml:space="preserve"> _</w:instrText>
      </w:r>
      <w:r w:rsidRPr="00564460">
        <w:rPr>
          <w:rStyle w:val="af7"/>
          <w:rFonts w:eastAsia="Guttman Hodes" w:hint="cs"/>
        </w:rPr>
        <w:instrText>Ref61345043 \r \h</w:instrText>
      </w:r>
      <w:r w:rsidRPr="00564460">
        <w:rPr>
          <w:rStyle w:val="af7"/>
          <w:rFonts w:eastAsia="Guttman Hodes"/>
          <w:rtl/>
        </w:rPr>
        <w:instrText xml:space="preserve"> </w:instrText>
      </w:r>
      <w:r w:rsidRPr="00564460">
        <w:rPr>
          <w:rStyle w:val="af7"/>
          <w:rFonts w:eastAsia="Guttman Hodes"/>
          <w:rtl/>
        </w:rPr>
      </w:r>
      <w:r w:rsidRPr="00564460">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564460">
        <w:rPr>
          <w:rStyle w:val="af7"/>
          <w:rFonts w:eastAsia="Guttman Hodes"/>
          <w:rtl/>
        </w:rPr>
        <w:fldChar w:fldCharType="end"/>
      </w:r>
      <w:r>
        <w:rPr>
          <w:rFonts w:hint="cs"/>
          <w:rtl/>
        </w:rPr>
        <w:t xml:space="preserve"> דכתב דאיירי באופן שחזר וטען לפני שיצא מב"ד, ואי לא הודה בתחילה, פשיטא דאף כשיצא מב"ד נאמן להוסיף, דהא אף אם לא היה מוסיף כלום, היו הב"ד פוסקים שאין המחזיק צריך להחזיר למערער, כיון שלא הודה כלל שהיית של המערער, אלא כתב </w:t>
      </w:r>
      <w:r w:rsidRPr="00417D21">
        <w:rPr>
          <w:rStyle w:val="af9"/>
          <w:rFonts w:hint="cs"/>
          <w:rtl/>
        </w:rPr>
        <w:t>הש"ך</w:t>
      </w:r>
      <w:r>
        <w:rPr>
          <w:rFonts w:hint="cs"/>
          <w:rtl/>
        </w:rPr>
        <w:t xml:space="preserve"> דמוכח </w:t>
      </w:r>
      <w:r w:rsidRPr="004C71CC">
        <w:rPr>
          <w:rStyle w:val="af9"/>
          <w:rFonts w:hint="cs"/>
          <w:rtl/>
        </w:rPr>
        <w:t>דהטור</w:t>
      </w:r>
      <w:r>
        <w:rPr>
          <w:rFonts w:hint="cs"/>
          <w:rtl/>
        </w:rPr>
        <w:t xml:space="preserve"> איירי כשהודה בתחילה, וא"כ א"א לבאר כדברי </w:t>
      </w:r>
      <w:r w:rsidRPr="00417D21">
        <w:rPr>
          <w:rStyle w:val="af9"/>
          <w:rFonts w:hint="cs"/>
          <w:rtl/>
        </w:rPr>
        <w:t>הב"י והסמ"ע בטור</w:t>
      </w:r>
      <w:r>
        <w:rPr>
          <w:rFonts w:hint="cs"/>
          <w:rtl/>
        </w:rPr>
        <w:t>, וצ"ל שיש ט"ס בדבריו, וכוונתו כדברי</w:t>
      </w:r>
      <w:r w:rsidRPr="00417D21">
        <w:rPr>
          <w:rStyle w:val="af9"/>
          <w:rFonts w:hint="cs"/>
          <w:rtl/>
        </w:rPr>
        <w:t xml:space="preserve"> הרא"ש </w:t>
      </w:r>
      <w:r>
        <w:rPr>
          <w:rFonts w:hint="cs"/>
          <w:rtl/>
        </w:rPr>
        <w:t>דבתחילה אמר שקנה מהמוכר שקנה מהמערער.</w:t>
      </w:r>
      <w:bookmarkEnd w:id="11333"/>
    </w:p>
    <w:p w:rsidR="005306EB" w:rsidRPr="00642F5D" w:rsidRDefault="005306EB" w:rsidP="005306EB">
      <w:pPr>
        <w:pStyle w:val="afe"/>
        <w:rPr>
          <w:rtl/>
        </w:rPr>
      </w:pPr>
      <w:bookmarkStart w:id="11334" w:name="_Toc61430865"/>
      <w:bookmarkStart w:id="11335" w:name="_Toc61433907"/>
      <w:bookmarkStart w:id="11336" w:name="_Toc61438628"/>
      <w:bookmarkStart w:id="11337" w:name="_Toc61469357"/>
      <w:bookmarkStart w:id="11338" w:name="_Toc61509735"/>
      <w:bookmarkStart w:id="11339" w:name="_Toc59960754"/>
      <w:bookmarkStart w:id="11340" w:name="_Toc60086844"/>
      <w:bookmarkStart w:id="11341" w:name="_Toc60173417"/>
      <w:r>
        <w:rPr>
          <w:rFonts w:hint="cs"/>
          <w:rtl/>
        </w:rPr>
        <w:t>תי' הקצוה"ח דנאמן אף דהמיגו למפרע</w:t>
      </w:r>
      <w:bookmarkEnd w:id="11334"/>
      <w:bookmarkEnd w:id="11335"/>
      <w:bookmarkEnd w:id="11336"/>
      <w:bookmarkEnd w:id="11337"/>
      <w:bookmarkEnd w:id="11338"/>
    </w:p>
    <w:p w:rsidR="005306EB" w:rsidRDefault="005306EB" w:rsidP="005306EB">
      <w:pPr>
        <w:pStyle w:val="1"/>
        <w:rPr>
          <w:rtl/>
        </w:rPr>
      </w:pPr>
      <w:bookmarkStart w:id="11342" w:name="_Toc61430866"/>
      <w:bookmarkStart w:id="11343" w:name="_Toc61433908"/>
      <w:bookmarkStart w:id="11344" w:name="_Toc61438629"/>
      <w:bookmarkStart w:id="11345" w:name="_Toc61469358"/>
      <w:bookmarkStart w:id="11346" w:name="_Toc61509736"/>
      <w:bookmarkEnd w:id="11339"/>
      <w:bookmarkEnd w:id="11340"/>
      <w:bookmarkEnd w:id="11341"/>
      <w:r>
        <w:rPr>
          <w:rFonts w:hint="cs"/>
          <w:rtl/>
        </w:rPr>
        <w:t>ביאור הקצוה"ח דלהרא"ש והטור נאמן מדין טענה אף בלי מיגו</w:t>
      </w:r>
      <w:bookmarkEnd w:id="11342"/>
      <w:bookmarkEnd w:id="11343"/>
      <w:bookmarkEnd w:id="11344"/>
      <w:bookmarkEnd w:id="11345"/>
      <w:bookmarkEnd w:id="11346"/>
    </w:p>
    <w:p w:rsidR="005306EB" w:rsidRPr="00227896" w:rsidRDefault="005306EB" w:rsidP="005306EB">
      <w:pPr>
        <w:pStyle w:val="a3"/>
        <w:rPr>
          <w:rtl/>
        </w:rPr>
      </w:pPr>
      <w:bookmarkStart w:id="11347" w:name="_Toc61430867"/>
      <w:bookmarkStart w:id="11348" w:name="_Toc61433909"/>
      <w:bookmarkStart w:id="11349" w:name="_Toc61438630"/>
      <w:bookmarkStart w:id="11350" w:name="_Toc61469359"/>
      <w:bookmarkStart w:id="11351" w:name="_Toc61509737"/>
      <w:r>
        <w:rPr>
          <w:rFonts w:hint="cs"/>
          <w:rtl/>
        </w:rPr>
        <w:t>דברי הקצוה"ח דלקמן מוכח כרא"ש והטור דנאמן ותי' הקצוה"ח דנאמן אעפ"י דהוא מיגו למפרע</w:t>
      </w:r>
      <w:bookmarkEnd w:id="11347"/>
      <w:bookmarkEnd w:id="11348"/>
      <w:bookmarkEnd w:id="11349"/>
      <w:bookmarkEnd w:id="11350"/>
      <w:bookmarkEnd w:id="11351"/>
    </w:p>
    <w:p w:rsidR="005306EB" w:rsidRPr="00C35B04" w:rsidRDefault="005306EB" w:rsidP="007E4E81">
      <w:pPr>
        <w:pStyle w:val="a0"/>
        <w:rPr>
          <w:rtl/>
        </w:rPr>
      </w:pPr>
      <w:bookmarkStart w:id="11352" w:name="_Ref61429303"/>
      <w:bookmarkStart w:id="11353" w:name="_Toc61388206"/>
      <w:r>
        <w:rPr>
          <w:rFonts w:hint="cs"/>
          <w:rtl/>
        </w:rPr>
        <w:t xml:space="preserve">ועי' בדברי </w:t>
      </w:r>
      <w:r>
        <w:rPr>
          <w:rStyle w:val="af9"/>
          <w:rtl/>
        </w:rPr>
        <w:t>הקצוה"ח</w:t>
      </w:r>
      <w:r>
        <w:rPr>
          <w:rtl/>
        </w:rPr>
        <w:t xml:space="preserve"> </w:t>
      </w:r>
      <w:r>
        <w:rPr>
          <w:rStyle w:val="af7"/>
          <w:rFonts w:eastAsia="Guttman Hodes" w:hint="cs"/>
          <w:rtl/>
        </w:rPr>
        <w:t>(סי' קמ"ו ריש סקי"ב)</w:t>
      </w:r>
      <w:r>
        <w:rPr>
          <w:rtl/>
        </w:rPr>
        <w:t xml:space="preserve"> </w:t>
      </w:r>
      <w:r>
        <w:rPr>
          <w:rFonts w:hint="cs"/>
          <w:rtl/>
        </w:rPr>
        <w:t xml:space="preserve">דהביא ראיה מהגמ' לקמן </w:t>
      </w:r>
      <w:r w:rsidRPr="00D12669">
        <w:rPr>
          <w:rStyle w:val="af7"/>
          <w:rFonts w:eastAsia="Guttman Hodes" w:hint="cs"/>
          <w:rtl/>
        </w:rPr>
        <w:t>(לא.)</w:t>
      </w:r>
      <w:r>
        <w:rPr>
          <w:rFonts w:hint="cs"/>
          <w:rtl/>
        </w:rPr>
        <w:t xml:space="preserve"> בדין זה אומר של אבותי, </w:t>
      </w:r>
      <w:r>
        <w:rPr>
          <w:rtl/>
        </w:rPr>
        <w:t xml:space="preserve">לדעת </w:t>
      </w:r>
      <w:r>
        <w:rPr>
          <w:rStyle w:val="af9"/>
          <w:rtl/>
        </w:rPr>
        <w:t>הרא"ש</w:t>
      </w:r>
      <w:r>
        <w:rPr>
          <w:rtl/>
        </w:rPr>
        <w:t xml:space="preserve"> </w:t>
      </w:r>
      <w:r w:rsidRPr="00413A65">
        <w:rPr>
          <w:rStyle w:val="af7"/>
          <w:rFonts w:eastAsia="Guttman Hodes" w:hint="cs"/>
          <w:rtl/>
        </w:rPr>
        <w:t xml:space="preserve">(עי' אות </w:t>
      </w:r>
      <w:r w:rsidRPr="00413A65">
        <w:rPr>
          <w:rStyle w:val="af7"/>
          <w:rFonts w:eastAsia="Guttman Hodes"/>
          <w:rtl/>
        </w:rPr>
        <w:fldChar w:fldCharType="begin"/>
      </w:r>
      <w:r w:rsidRPr="00413A65">
        <w:rPr>
          <w:rStyle w:val="af7"/>
          <w:rFonts w:eastAsia="Guttman Hodes"/>
          <w:rtl/>
        </w:rPr>
        <w:instrText xml:space="preserve"> </w:instrText>
      </w:r>
      <w:r w:rsidRPr="00413A65">
        <w:rPr>
          <w:rStyle w:val="af7"/>
          <w:rFonts w:eastAsia="Guttman Hodes" w:hint="cs"/>
        </w:rPr>
        <w:instrText>REF</w:instrText>
      </w:r>
      <w:r w:rsidRPr="00413A65">
        <w:rPr>
          <w:rStyle w:val="af7"/>
          <w:rFonts w:eastAsia="Guttman Hodes" w:hint="cs"/>
          <w:rtl/>
        </w:rPr>
        <w:instrText xml:space="preserve"> _</w:instrText>
      </w:r>
      <w:r w:rsidRPr="00413A65">
        <w:rPr>
          <w:rStyle w:val="af7"/>
          <w:rFonts w:eastAsia="Guttman Hodes" w:hint="cs"/>
        </w:rPr>
        <w:instrText>Ref61008990 \r \h</w:instrText>
      </w:r>
      <w:r w:rsidRPr="00413A65">
        <w:rPr>
          <w:rStyle w:val="af7"/>
          <w:rFonts w:eastAsia="Guttman Hodes"/>
          <w:rtl/>
        </w:rPr>
        <w:instrText xml:space="preserve"> </w:instrText>
      </w:r>
      <w:r w:rsidRPr="00413A65">
        <w:rPr>
          <w:rStyle w:val="af7"/>
          <w:rFonts w:eastAsia="Guttman Hodes"/>
          <w:rtl/>
        </w:rPr>
      </w:r>
      <w:r w:rsidRPr="00413A65">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413A65">
        <w:rPr>
          <w:rStyle w:val="af7"/>
          <w:rFonts w:eastAsia="Guttman Hodes"/>
          <w:rtl/>
        </w:rPr>
        <w:fldChar w:fldCharType="end"/>
      </w:r>
      <w:r>
        <w:rPr>
          <w:rStyle w:val="af9"/>
          <w:rFonts w:hint="cs"/>
          <w:rtl/>
        </w:rPr>
        <w:t xml:space="preserve"> </w:t>
      </w:r>
      <w:r>
        <w:rPr>
          <w:rStyle w:val="af9"/>
          <w:rtl/>
        </w:rPr>
        <w:t>והטור</w:t>
      </w:r>
      <w:r>
        <w:rPr>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Ref60937316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Pr>
          <w:rStyle w:val="af7"/>
          <w:rFonts w:eastAsia="Guttman Hodes"/>
          <w:rtl/>
        </w:rPr>
        <w:fldChar w:fldCharType="end"/>
      </w:r>
      <w:r>
        <w:rPr>
          <w:rFonts w:hint="cs"/>
          <w:rtl/>
        </w:rPr>
        <w:t xml:space="preserve"> דאם אמר המחזיק בתחילה שקנה מהמוכר בסתמא, ואח"כ הוסיף שהמוכר קנה מהמערער הוא נאמן במיגו, עיי"ש בדבריו, ובמה שהקשה </w:t>
      </w:r>
      <w:r w:rsidRPr="00D55BC8">
        <w:rPr>
          <w:rStyle w:val="af9"/>
          <w:rFonts w:hint="cs"/>
          <w:rtl/>
        </w:rPr>
        <w:t>הש"ך</w:t>
      </w:r>
      <w:r>
        <w:rPr>
          <w:rFonts w:hint="cs"/>
          <w:rtl/>
        </w:rPr>
        <w:t xml:space="preserve"> </w:t>
      </w:r>
      <w:r w:rsidRPr="00571582">
        <w:rPr>
          <w:rStyle w:val="af7"/>
          <w:rFonts w:eastAsia="Guttman Hodes" w:hint="cs"/>
          <w:rtl/>
        </w:rPr>
        <w:t xml:space="preserve">(עי' אות </w:t>
      </w:r>
      <w:r w:rsidRPr="00571582">
        <w:rPr>
          <w:rStyle w:val="af7"/>
          <w:rFonts w:eastAsia="Guttman Hodes"/>
          <w:rtl/>
        </w:rPr>
        <w:fldChar w:fldCharType="begin"/>
      </w:r>
      <w:r w:rsidRPr="00571582">
        <w:rPr>
          <w:rStyle w:val="af7"/>
          <w:rFonts w:eastAsia="Guttman Hodes"/>
          <w:rtl/>
        </w:rPr>
        <w:instrText xml:space="preserve"> </w:instrText>
      </w:r>
      <w:r w:rsidRPr="00571582">
        <w:rPr>
          <w:rStyle w:val="af7"/>
          <w:rFonts w:eastAsia="Guttman Hodes" w:hint="cs"/>
        </w:rPr>
        <w:instrText>REF</w:instrText>
      </w:r>
      <w:r w:rsidRPr="00571582">
        <w:rPr>
          <w:rStyle w:val="af7"/>
          <w:rFonts w:eastAsia="Guttman Hodes" w:hint="cs"/>
          <w:rtl/>
        </w:rPr>
        <w:instrText xml:space="preserve"> _</w:instrText>
      </w:r>
      <w:r w:rsidRPr="00571582">
        <w:rPr>
          <w:rStyle w:val="af7"/>
          <w:rFonts w:eastAsia="Guttman Hodes" w:hint="cs"/>
        </w:rPr>
        <w:instrText>Ref61429231 \r \h</w:instrText>
      </w:r>
      <w:r w:rsidRPr="00571582">
        <w:rPr>
          <w:rStyle w:val="af7"/>
          <w:rFonts w:eastAsia="Guttman Hodes"/>
          <w:rtl/>
        </w:rPr>
        <w:instrText xml:space="preserve"> </w:instrText>
      </w:r>
      <w:r w:rsidRPr="00571582">
        <w:rPr>
          <w:rStyle w:val="af7"/>
          <w:rFonts w:eastAsia="Guttman Hodes"/>
          <w:rtl/>
        </w:rPr>
      </w:r>
      <w:r w:rsidRPr="00571582">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571582">
        <w:rPr>
          <w:rStyle w:val="af7"/>
          <w:rFonts w:eastAsia="Guttman Hodes"/>
          <w:rtl/>
        </w:rPr>
        <w:fldChar w:fldCharType="end"/>
      </w:r>
      <w:r w:rsidRPr="00D12669">
        <w:rPr>
          <w:rStyle w:val="af7"/>
          <w:rFonts w:eastAsia="Guttman Hodes" w:hint="cs"/>
          <w:rtl/>
        </w:rPr>
        <w:t xml:space="preserve"> </w:t>
      </w:r>
      <w:r>
        <w:rPr>
          <w:rFonts w:hint="cs"/>
          <w:rtl/>
        </w:rPr>
        <w:t xml:space="preserve">דאין לך מיגו למפרע </w:t>
      </w:r>
      <w:r w:rsidRPr="00D467FD">
        <w:rPr>
          <w:rFonts w:hint="cs"/>
          <w:rtl/>
        </w:rPr>
        <w:t>גדול מזה, תירץ</w:t>
      </w:r>
      <w:r>
        <w:rPr>
          <w:rFonts w:hint="cs"/>
          <w:noProof w:val="0"/>
          <w:sz w:val="12"/>
          <w:szCs w:val="12"/>
          <w:rtl/>
        </w:rPr>
        <w:t xml:space="preserve"> </w:t>
      </w:r>
      <w:r>
        <w:rPr>
          <w:rStyle w:val="af9"/>
          <w:rtl/>
        </w:rPr>
        <w:t>הקצוה"ח</w:t>
      </w:r>
      <w:r>
        <w:rPr>
          <w:rtl/>
        </w:rPr>
        <w:t xml:space="preserve"> </w:t>
      </w:r>
      <w:r>
        <w:rPr>
          <w:rStyle w:val="af7"/>
          <w:rFonts w:eastAsia="Guttman Hodes" w:hint="cs"/>
          <w:rtl/>
        </w:rPr>
        <w:t>(סי' קמ"ו סוס"ק י"ב ד"ה ובעיקר)</w:t>
      </w:r>
      <w:r>
        <w:rPr>
          <w:rtl/>
        </w:rPr>
        <w:t xml:space="preserve"> </w:t>
      </w:r>
      <w:r>
        <w:rPr>
          <w:rFonts w:hint="cs"/>
          <w:rtl/>
        </w:rPr>
        <w:t xml:space="preserve">דאעפ"י </w:t>
      </w:r>
      <w:r w:rsidRPr="00C35B04">
        <w:rPr>
          <w:rFonts w:hint="cs"/>
          <w:rtl/>
        </w:rPr>
        <w:t>דמודו</w:t>
      </w:r>
      <w:r w:rsidRPr="00C35B04">
        <w:rPr>
          <w:rStyle w:val="af9"/>
          <w:rFonts w:hint="cs"/>
          <w:rtl/>
        </w:rPr>
        <w:t xml:space="preserve"> הרא"ש והטור</w:t>
      </w:r>
      <w:r w:rsidRPr="00C35B04">
        <w:rPr>
          <w:rFonts w:hint="cs"/>
          <w:rtl/>
        </w:rPr>
        <w:t xml:space="preserve"> לדעת </w:t>
      </w:r>
      <w:r w:rsidRPr="00C35B04">
        <w:rPr>
          <w:rStyle w:val="af9"/>
          <w:rFonts w:hint="cs"/>
          <w:rtl/>
        </w:rPr>
        <w:t>התוס'</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Ref61253162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C35B04">
        <w:rPr>
          <w:rStyle w:val="af7"/>
          <w:rFonts w:eastAsia="Guttman Hodes"/>
          <w:rtl/>
        </w:rPr>
        <w:fldChar w:fldCharType="end"/>
      </w:r>
      <w:r w:rsidRPr="00C35B04">
        <w:rPr>
          <w:rFonts w:hint="cs"/>
          <w:rtl/>
        </w:rPr>
        <w:t xml:space="preserve"> דלא אמרינן מיגו למפרע, מ"מ ס"ל דכשחוזר וטוען קמי דידי זבנה מינך נאמן אף שאין לו מיגו.</w:t>
      </w:r>
      <w:bookmarkEnd w:id="11352"/>
    </w:p>
    <w:p w:rsidR="005306EB" w:rsidRPr="00C35B04" w:rsidRDefault="005306EB" w:rsidP="005306EB">
      <w:pPr>
        <w:pStyle w:val="a3"/>
        <w:rPr>
          <w:rtl/>
        </w:rPr>
      </w:pPr>
      <w:bookmarkStart w:id="11354" w:name="_Toc61430868"/>
      <w:bookmarkStart w:id="11355" w:name="_Toc61433910"/>
      <w:bookmarkStart w:id="11356" w:name="_Toc61438631"/>
      <w:bookmarkStart w:id="11357" w:name="_Toc61469360"/>
      <w:bookmarkStart w:id="11358" w:name="_Toc61509738"/>
      <w:r w:rsidRPr="00C35B04">
        <w:rPr>
          <w:rFonts w:hint="cs"/>
          <w:rtl/>
        </w:rPr>
        <w:t>ביאור הקצוה"ח ברא"ש ובטור דקמי דידי היא טענה בפנ"ע ונאמן כמו דנאמן במיגו דמינך זבינה</w:t>
      </w:r>
      <w:bookmarkEnd w:id="11354"/>
      <w:bookmarkEnd w:id="11355"/>
      <w:bookmarkEnd w:id="11356"/>
      <w:bookmarkEnd w:id="11357"/>
      <w:bookmarkEnd w:id="11358"/>
    </w:p>
    <w:p w:rsidR="005306EB" w:rsidRPr="00C35B04" w:rsidRDefault="005306EB" w:rsidP="007E4E81">
      <w:pPr>
        <w:pStyle w:val="a0"/>
        <w:rPr>
          <w:rtl/>
        </w:rPr>
      </w:pPr>
      <w:bookmarkStart w:id="11359" w:name="_Ref61429553"/>
      <w:r w:rsidRPr="00C35B04">
        <w:rPr>
          <w:rFonts w:hint="cs"/>
          <w:rtl/>
        </w:rPr>
        <w:t xml:space="preserve">וביאר </w:t>
      </w:r>
      <w:r w:rsidRPr="00C35B04">
        <w:rPr>
          <w:rStyle w:val="af9"/>
          <w:rFonts w:hint="cs"/>
          <w:rtl/>
        </w:rPr>
        <w:t>הקצוה"ח</w:t>
      </w:r>
      <w:r w:rsidRPr="00C35B04">
        <w:rPr>
          <w:rFonts w:hint="cs"/>
          <w:rtl/>
        </w:rPr>
        <w:t xml:space="preserve"> ד</w:t>
      </w:r>
      <w:r w:rsidRPr="00C35B04">
        <w:rPr>
          <w:rtl/>
        </w:rPr>
        <w:t xml:space="preserve">לדעת </w:t>
      </w:r>
      <w:r w:rsidRPr="00C35B04">
        <w:rPr>
          <w:rStyle w:val="af9"/>
          <w:rtl/>
        </w:rPr>
        <w:t>הרא"ש</w:t>
      </w:r>
      <w:r w:rsidRPr="00C35B04">
        <w:rPr>
          <w:rStyle w:val="af9"/>
          <w:rFonts w:hint="cs"/>
          <w:rtl/>
        </w:rPr>
        <w:t xml:space="preserve"> בסוגיין</w:t>
      </w:r>
      <w:r w:rsidRPr="00C35B04">
        <w:rPr>
          <w:rtl/>
        </w:rPr>
        <w:t xml:space="preserve"> </w:t>
      </w:r>
      <w:r w:rsidRPr="00C35B04">
        <w:rPr>
          <w:rStyle w:val="af7"/>
          <w:rFonts w:eastAsia="Guttman Hodes" w:hint="cs"/>
          <w:rtl/>
        </w:rPr>
        <w:t>(סי' ז')</w:t>
      </w:r>
      <w:r w:rsidRPr="00C35B04">
        <w:rPr>
          <w:rtl/>
        </w:rPr>
        <w:t xml:space="preserve"> </w:t>
      </w:r>
      <w:r w:rsidRPr="00C35B04">
        <w:rPr>
          <w:rStyle w:val="af9"/>
          <w:rtl/>
        </w:rPr>
        <w:t>והטור</w:t>
      </w:r>
      <w:r w:rsidRPr="00C35B04">
        <w:rPr>
          <w:rtl/>
        </w:rPr>
        <w:t xml:space="preserve"> </w:t>
      </w:r>
      <w:r w:rsidRPr="00C35B04">
        <w:rPr>
          <w:rStyle w:val="af7"/>
          <w:rFonts w:eastAsia="Guttman Hodes" w:hint="cs"/>
          <w:rtl/>
        </w:rPr>
        <w:t>(סי' קמ"ו י"ג)</w:t>
      </w:r>
      <w:r w:rsidRPr="00C35B04">
        <w:rPr>
          <w:rtl/>
        </w:rPr>
        <w:t xml:space="preserve"> דס"ל דאינו נאמן בטענת </w:t>
      </w:r>
      <w:r w:rsidRPr="00C35B04">
        <w:rPr>
          <w:rFonts w:hint="cs"/>
          <w:rtl/>
        </w:rPr>
        <w:t>קמי דידי זבנה מינך</w:t>
      </w:r>
      <w:r w:rsidRPr="00C35B04">
        <w:rPr>
          <w:rtl/>
        </w:rPr>
        <w:t>, מדין מיגו</w:t>
      </w:r>
      <w:r w:rsidRPr="00C35B04">
        <w:rPr>
          <w:rFonts w:hint="cs"/>
          <w:rtl/>
        </w:rPr>
        <w:t xml:space="preserve"> אלא</w:t>
      </w:r>
      <w:r w:rsidRPr="00C35B04">
        <w:rPr>
          <w:rtl/>
        </w:rPr>
        <w:t xml:space="preserve"> היא טענה בפנ"ע, ומהני מדין חזקה עם טענה,</w:t>
      </w:r>
      <w:r w:rsidRPr="00C35B04">
        <w:rPr>
          <w:rFonts w:hint="cs"/>
          <w:rtl/>
        </w:rPr>
        <w:t xml:space="preserve"> כמו כל מחזיק שיש לו חזקת ג"ש, וטוען מינך זבינתה, ה"ה כשטוען קמי דידי זבנה מינך,</w:t>
      </w:r>
      <w:r w:rsidRPr="00C35B04">
        <w:rPr>
          <w:rtl/>
        </w:rPr>
        <w:t xml:space="preserve"> והא דאיתא בגמ' לקמן </w:t>
      </w:r>
      <w:r w:rsidRPr="00C35B04">
        <w:rPr>
          <w:rStyle w:val="af7"/>
          <w:rFonts w:eastAsia="Guttman Hodes" w:hint="cs"/>
          <w:rtl/>
        </w:rPr>
        <w:t>(מא:)</w:t>
      </w:r>
      <w:r w:rsidRPr="00C35B04">
        <w:rPr>
          <w:rtl/>
        </w:rPr>
        <w:t xml:space="preserve"> דנאמן במיגו דמינך זבינתה, ביאר </w:t>
      </w:r>
      <w:r w:rsidRPr="00C35B04">
        <w:rPr>
          <w:rStyle w:val="af9"/>
          <w:rtl/>
        </w:rPr>
        <w:t>הקצוה"ח</w:t>
      </w:r>
      <w:r w:rsidRPr="00C35B04">
        <w:rPr>
          <w:rtl/>
        </w:rPr>
        <w:t xml:space="preserve"> דס"ל </w:t>
      </w:r>
      <w:r w:rsidRPr="00C35B04">
        <w:rPr>
          <w:rStyle w:val="af9"/>
          <w:rtl/>
        </w:rPr>
        <w:t>להרא"ש</w:t>
      </w:r>
      <w:r w:rsidRPr="00C35B04">
        <w:rPr>
          <w:rtl/>
        </w:rPr>
        <w:t xml:space="preserve"> </w:t>
      </w:r>
      <w:r w:rsidRPr="00C35B04">
        <w:rPr>
          <w:rStyle w:val="af9"/>
          <w:rtl/>
        </w:rPr>
        <w:t>והטור</w:t>
      </w:r>
      <w:r w:rsidRPr="00C35B04">
        <w:rPr>
          <w:rtl/>
        </w:rPr>
        <w:t xml:space="preserve"> דאין הכוונה למיגו דמה לי לשקר, אלא דכמו שהיה נאמן בטענת מינך זבינתה, ה"ה דנאמן בטענת קמי דידי זבנה מינך, כיון שהוא חזקה שיש עמה טענה, דהוא טוען טענת ברי,</w:t>
      </w:r>
      <w:r w:rsidRPr="00C35B04">
        <w:rPr>
          <w:rFonts w:hint="cs"/>
          <w:rtl/>
        </w:rPr>
        <w:t xml:space="preserve"> </w:t>
      </w:r>
      <w:r w:rsidRPr="00C35B04">
        <w:rPr>
          <w:rtl/>
        </w:rPr>
        <w:t xml:space="preserve">וכ"כ </w:t>
      </w:r>
      <w:r w:rsidRPr="00C35B04">
        <w:rPr>
          <w:rStyle w:val="af9"/>
          <w:rtl/>
        </w:rPr>
        <w:t>הגרעק"א לקמן</w:t>
      </w:r>
      <w:r w:rsidRPr="00C35B04">
        <w:rPr>
          <w:rtl/>
        </w:rPr>
        <w:t xml:space="preserve"> </w:t>
      </w:r>
      <w:r w:rsidRPr="00C35B04">
        <w:rPr>
          <w:rStyle w:val="af7"/>
          <w:rFonts w:eastAsia="Guttman Hodes" w:hint="cs"/>
          <w:rtl/>
        </w:rPr>
        <w:t>(מא: ד"ה אי א"ל, שו"ת ח"ג כ"ט)</w:t>
      </w:r>
      <w:r w:rsidRPr="00C35B04">
        <w:rPr>
          <w:rFonts w:hint="cs"/>
          <w:rtl/>
        </w:rPr>
        <w:t xml:space="preserve">, וכתב </w:t>
      </w:r>
      <w:r w:rsidRPr="00C35B04">
        <w:rPr>
          <w:rStyle w:val="af9"/>
          <w:rFonts w:hint="cs"/>
          <w:rtl/>
        </w:rPr>
        <w:t>הקצוה"ח</w:t>
      </w:r>
      <w:r w:rsidRPr="00C35B04">
        <w:rPr>
          <w:rtl/>
        </w:rPr>
        <w:t xml:space="preserve"> </w:t>
      </w:r>
      <w:r w:rsidRPr="00C35B04">
        <w:rPr>
          <w:rFonts w:hint="cs"/>
          <w:rtl/>
        </w:rPr>
        <w:t xml:space="preserve">דלכן אעפ"י דהוא מיגו למפרע, מ"מ נאמן ודלא </w:t>
      </w:r>
      <w:r w:rsidRPr="00C35B04">
        <w:rPr>
          <w:rStyle w:val="af9"/>
          <w:rFonts w:hint="cs"/>
          <w:rtl/>
        </w:rPr>
        <w:t>כהש"ך</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Ref61429231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C35B04">
        <w:rPr>
          <w:rStyle w:val="af7"/>
          <w:rFonts w:eastAsia="Guttman Hodes"/>
          <w:rtl/>
        </w:rPr>
        <w:fldChar w:fldCharType="end"/>
      </w:r>
      <w:r w:rsidRPr="00C35B04">
        <w:rPr>
          <w:rFonts w:hint="cs"/>
          <w:rtl/>
        </w:rPr>
        <w:t>.</w:t>
      </w:r>
      <w:bookmarkEnd w:id="11359"/>
    </w:p>
    <w:p w:rsidR="005306EB" w:rsidRPr="00C35B04" w:rsidRDefault="005306EB" w:rsidP="005306EB">
      <w:pPr>
        <w:pStyle w:val="a3"/>
        <w:rPr>
          <w:rtl/>
        </w:rPr>
      </w:pPr>
      <w:bookmarkStart w:id="11360" w:name="_Toc61430869"/>
      <w:bookmarkStart w:id="11361" w:name="_Toc61433911"/>
      <w:bookmarkStart w:id="11362" w:name="_Toc61438632"/>
      <w:bookmarkStart w:id="11363" w:name="_Toc61469361"/>
      <w:bookmarkStart w:id="11364" w:name="_Toc61509739"/>
      <w:r w:rsidRPr="00C35B04">
        <w:rPr>
          <w:rFonts w:hint="cs"/>
          <w:rtl/>
        </w:rPr>
        <w:t>דברי הקצוה"ח דבתוס' מוכח דהנאמנות מדין מיגו וכהש"ך אך ברשב"ם משמע כרא"ש והטור</w:t>
      </w:r>
      <w:bookmarkEnd w:id="11360"/>
      <w:bookmarkEnd w:id="11361"/>
      <w:bookmarkEnd w:id="11362"/>
      <w:bookmarkEnd w:id="11363"/>
      <w:bookmarkEnd w:id="11364"/>
    </w:p>
    <w:p w:rsidR="005306EB" w:rsidRPr="00C35B04" w:rsidRDefault="005306EB" w:rsidP="007E4E81">
      <w:pPr>
        <w:pStyle w:val="a0"/>
        <w:rPr>
          <w:rtl/>
        </w:rPr>
      </w:pPr>
      <w:bookmarkStart w:id="11365" w:name="_Ref61466985"/>
      <w:r w:rsidRPr="00C35B04">
        <w:rPr>
          <w:rFonts w:hint="cs"/>
          <w:rtl/>
        </w:rPr>
        <w:t xml:space="preserve">אך כתב </w:t>
      </w:r>
      <w:r w:rsidRPr="00C35B04">
        <w:rPr>
          <w:rStyle w:val="af9"/>
          <w:rFonts w:hint="cs"/>
          <w:rtl/>
        </w:rPr>
        <w:t>הקצוה"ח</w:t>
      </w:r>
      <w:r w:rsidRPr="00C35B04">
        <w:rPr>
          <w:rFonts w:hint="cs"/>
          <w:rtl/>
        </w:rPr>
        <w:t xml:space="preserve"> דמדברי </w:t>
      </w:r>
      <w:r w:rsidRPr="00C35B04">
        <w:rPr>
          <w:rStyle w:val="af9"/>
          <w:rFonts w:hint="cs"/>
          <w:rtl/>
        </w:rPr>
        <w:t>התוס'</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Ref61253162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C35B04">
        <w:rPr>
          <w:rStyle w:val="af7"/>
          <w:rFonts w:eastAsia="Guttman Hodes"/>
          <w:rtl/>
        </w:rPr>
        <w:fldChar w:fldCharType="end"/>
      </w:r>
      <w:r w:rsidRPr="00C35B04">
        <w:rPr>
          <w:rFonts w:hint="cs"/>
          <w:rtl/>
        </w:rPr>
        <w:t xml:space="preserve"> דכתבו דחשיב מיגו למפרע, מבואר דס"ל דהנאמנות בטענת קמי דידי זבנה מינך, היא מדין מיגו, ולא מדין חזקה עם טענה, וכתב </w:t>
      </w:r>
      <w:r w:rsidRPr="00C35B04">
        <w:rPr>
          <w:rStyle w:val="af9"/>
          <w:rFonts w:hint="cs"/>
          <w:rtl/>
        </w:rPr>
        <w:t>הקצוה"ח</w:t>
      </w:r>
      <w:r w:rsidRPr="00C35B04">
        <w:rPr>
          <w:rFonts w:hint="cs"/>
          <w:rtl/>
        </w:rPr>
        <w:t xml:space="preserve"> דכדעת </w:t>
      </w:r>
      <w:r w:rsidRPr="00C35B04">
        <w:rPr>
          <w:rStyle w:val="af9"/>
          <w:rFonts w:hint="cs"/>
          <w:rtl/>
        </w:rPr>
        <w:t>הרא"ש והטור</w:t>
      </w:r>
      <w:r w:rsidRPr="00C35B04">
        <w:rPr>
          <w:rFonts w:hint="cs"/>
          <w:rtl/>
        </w:rPr>
        <w:t xml:space="preserve">, כן משמע מדברי </w:t>
      </w:r>
      <w:r w:rsidRPr="00C35B04">
        <w:rPr>
          <w:rStyle w:val="af9"/>
          <w:rFonts w:hint="cs"/>
          <w:rtl/>
        </w:rPr>
        <w:t>הרשב"ם לקמן</w:t>
      </w:r>
      <w:r w:rsidRPr="00C35B04">
        <w:rPr>
          <w:rFonts w:hint="cs"/>
          <w:rtl/>
        </w:rPr>
        <w:t xml:space="preserve"> </w:t>
      </w:r>
      <w:r w:rsidRPr="00C35B04">
        <w:rPr>
          <w:rStyle w:val="af7"/>
          <w:rFonts w:eastAsia="Guttman Hodes" w:hint="cs"/>
          <w:rtl/>
        </w:rPr>
        <w:t>(לא. ד"ה ומודו)</w:t>
      </w:r>
      <w:r w:rsidRPr="00C35B04">
        <w:rPr>
          <w:rFonts w:hint="cs"/>
          <w:rtl/>
        </w:rPr>
        <w:t xml:space="preserve">, דכתב בתחילת וסוף דבריו דחשיב כחזקה עם טענה, ואעפ"י דבתוך דבריו כתב </w:t>
      </w:r>
      <w:r w:rsidRPr="00C35B04">
        <w:rPr>
          <w:rStyle w:val="af9"/>
          <w:rFonts w:hint="cs"/>
          <w:rtl/>
        </w:rPr>
        <w:t>הרשב"ם</w:t>
      </w:r>
      <w:r w:rsidRPr="00C35B04">
        <w:rPr>
          <w:rFonts w:hint="cs"/>
          <w:rtl/>
        </w:rPr>
        <w:t xml:space="preserve"> דמהני מדין מיגו, מ"מ משמע דס"ל כדכתב בתחילת וסוף דבריו, דהיא חזקה עם טענה, ונקט מיגו לרווחא דמילתא, ועי' במה שביארו </w:t>
      </w:r>
      <w:r w:rsidRPr="00C35B04">
        <w:rPr>
          <w:rStyle w:val="af9"/>
          <w:rFonts w:hint="cs"/>
          <w:rtl/>
        </w:rPr>
        <w:t>בקה"י</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Ref61470392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צה)</w:t>
      </w:r>
      <w:r w:rsidRPr="00C35B04">
        <w:rPr>
          <w:rStyle w:val="af7"/>
          <w:rFonts w:eastAsia="Guttman Hodes"/>
          <w:rtl/>
        </w:rPr>
        <w:fldChar w:fldCharType="end"/>
      </w:r>
      <w:r w:rsidRPr="00C35B04">
        <w:rPr>
          <w:rFonts w:hint="cs"/>
          <w:rtl/>
        </w:rPr>
        <w:t xml:space="preserve"> </w:t>
      </w:r>
      <w:r w:rsidRPr="00C35B04">
        <w:rPr>
          <w:rStyle w:val="af9"/>
          <w:rFonts w:hint="cs"/>
          <w:rtl/>
        </w:rPr>
        <w:t>ובחי'</w:t>
      </w:r>
      <w:r w:rsidRPr="00C35B04">
        <w:rPr>
          <w:rFonts w:hint="cs"/>
          <w:rtl/>
        </w:rPr>
        <w:t xml:space="preserve"> </w:t>
      </w:r>
      <w:r w:rsidRPr="00C35B04">
        <w:rPr>
          <w:rStyle w:val="af9"/>
          <w:rFonts w:hint="cs"/>
          <w:rtl/>
        </w:rPr>
        <w:t>רבי</w:t>
      </w:r>
      <w:r w:rsidRPr="00C35B04">
        <w:rPr>
          <w:rFonts w:hint="cs"/>
          <w:rtl/>
        </w:rPr>
        <w:t xml:space="preserve"> </w:t>
      </w:r>
      <w:r w:rsidRPr="00C35B04">
        <w:rPr>
          <w:rStyle w:val="af9"/>
          <w:rFonts w:hint="cs"/>
          <w:rtl/>
        </w:rPr>
        <w:t>שמואל</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Ref61470397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C35B04">
        <w:rPr>
          <w:rStyle w:val="af7"/>
          <w:rFonts w:eastAsia="Guttman Hodes"/>
          <w:rtl/>
        </w:rPr>
        <w:fldChar w:fldCharType="end"/>
      </w:r>
      <w:r w:rsidRPr="00C35B04">
        <w:rPr>
          <w:rFonts w:hint="cs"/>
          <w:rtl/>
        </w:rPr>
        <w:t xml:space="preserve"> </w:t>
      </w:r>
      <w:r w:rsidRPr="00C35B04">
        <w:rPr>
          <w:rStyle w:val="af9"/>
          <w:rFonts w:hint="cs"/>
          <w:rtl/>
        </w:rPr>
        <w:t>ובחי'</w:t>
      </w:r>
      <w:r w:rsidRPr="00C35B04">
        <w:rPr>
          <w:rFonts w:hint="cs"/>
          <w:rtl/>
        </w:rPr>
        <w:t xml:space="preserve"> </w:t>
      </w:r>
      <w:r w:rsidRPr="00C35B04">
        <w:rPr>
          <w:rStyle w:val="af9"/>
          <w:rFonts w:hint="cs"/>
          <w:rtl/>
        </w:rPr>
        <w:t>רבי</w:t>
      </w:r>
      <w:r w:rsidRPr="00C35B04">
        <w:rPr>
          <w:rFonts w:hint="cs"/>
          <w:rtl/>
        </w:rPr>
        <w:t xml:space="preserve"> </w:t>
      </w:r>
      <w:r w:rsidRPr="00C35B04">
        <w:rPr>
          <w:rStyle w:val="af9"/>
          <w:rFonts w:hint="cs"/>
          <w:rtl/>
        </w:rPr>
        <w:t>נחום</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Ref61470397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C35B04">
        <w:rPr>
          <w:rStyle w:val="af7"/>
          <w:rFonts w:eastAsia="Guttman Hodes"/>
          <w:rtl/>
        </w:rPr>
        <w:fldChar w:fldCharType="end"/>
      </w:r>
      <w:r w:rsidRPr="00C35B04">
        <w:rPr>
          <w:rFonts w:hint="cs"/>
          <w:rtl/>
        </w:rPr>
        <w:t xml:space="preserve"> בדעת </w:t>
      </w:r>
      <w:r w:rsidRPr="00C35B04">
        <w:rPr>
          <w:rStyle w:val="af9"/>
          <w:rFonts w:hint="cs"/>
          <w:rtl/>
        </w:rPr>
        <w:t>התוס'</w:t>
      </w:r>
      <w:r w:rsidRPr="00C35B04">
        <w:rPr>
          <w:rFonts w:hint="cs"/>
          <w:rtl/>
        </w:rPr>
        <w:t>.</w:t>
      </w:r>
      <w:bookmarkEnd w:id="11365"/>
    </w:p>
    <w:p w:rsidR="005306EB" w:rsidRPr="00C35B04" w:rsidRDefault="005306EB" w:rsidP="005306EB">
      <w:pPr>
        <w:pStyle w:val="a3"/>
      </w:pPr>
      <w:bookmarkStart w:id="11366" w:name="_Toc61430870"/>
      <w:bookmarkStart w:id="11367" w:name="_Toc61433912"/>
      <w:bookmarkStart w:id="11368" w:name="_Toc61438633"/>
      <w:bookmarkStart w:id="11369" w:name="_Toc61469362"/>
      <w:bookmarkStart w:id="11370" w:name="_Toc61509740"/>
      <w:bookmarkStart w:id="11371" w:name="_Toc59741693"/>
      <w:bookmarkStart w:id="11372" w:name="_Toc59786828"/>
      <w:bookmarkStart w:id="11373" w:name="_Toc59960757"/>
      <w:bookmarkStart w:id="11374" w:name="_Toc60086847"/>
      <w:bookmarkStart w:id="11375" w:name="_Toc60173420"/>
      <w:bookmarkStart w:id="11376" w:name="_Toc60303877"/>
      <w:bookmarkStart w:id="11377" w:name="_Toc61010715"/>
      <w:bookmarkStart w:id="11378" w:name="_Toc61200657"/>
      <w:bookmarkStart w:id="11379" w:name="_Toc61213898"/>
      <w:bookmarkStart w:id="11380" w:name="_Toc61388246"/>
      <w:r w:rsidRPr="00C35B04">
        <w:rPr>
          <w:rFonts w:hint="cs"/>
          <w:rtl/>
        </w:rPr>
        <w:t>דברי הנתיה"מ דטענת קמי דידי אינה טענה מחמת עצמו ונאמן במיגו ולא מדין חזקה בטענה</w:t>
      </w:r>
      <w:bookmarkEnd w:id="11366"/>
      <w:bookmarkEnd w:id="11367"/>
      <w:bookmarkEnd w:id="11368"/>
      <w:bookmarkEnd w:id="11369"/>
      <w:bookmarkEnd w:id="11370"/>
      <w:r w:rsidRPr="00C35B04">
        <w:rPr>
          <w:rFonts w:hint="cs"/>
          <w:rtl/>
        </w:rPr>
        <w:t xml:space="preserve"> </w:t>
      </w:r>
    </w:p>
    <w:p w:rsidR="005306EB" w:rsidRPr="00C35B04" w:rsidRDefault="005306EB" w:rsidP="007E4E81">
      <w:pPr>
        <w:pStyle w:val="a0"/>
        <w:rPr>
          <w:rtl/>
        </w:rPr>
      </w:pPr>
      <w:bookmarkStart w:id="11381" w:name="_Ref61459535"/>
      <w:r w:rsidRPr="00C35B04">
        <w:rPr>
          <w:rFonts w:hint="cs"/>
          <w:rtl/>
        </w:rPr>
        <w:t xml:space="preserve">אבל </w:t>
      </w:r>
      <w:r w:rsidRPr="00C35B04">
        <w:rPr>
          <w:rStyle w:val="af9"/>
          <w:rFonts w:hint="cs"/>
          <w:rtl/>
        </w:rPr>
        <w:t>הנתיה"מ</w:t>
      </w:r>
      <w:r w:rsidRPr="00C35B04">
        <w:rPr>
          <w:rFonts w:hint="cs"/>
          <w:rtl/>
        </w:rPr>
        <w:t xml:space="preserve"> </w:t>
      </w:r>
      <w:r w:rsidRPr="00C35B04">
        <w:rPr>
          <w:rStyle w:val="af7"/>
          <w:rFonts w:eastAsia="Guttman Hodes" w:hint="cs"/>
          <w:rtl/>
        </w:rPr>
        <w:t>(סי' קמ"ו סקכ"ב)</w:t>
      </w:r>
      <w:r w:rsidRPr="00C35B04">
        <w:rPr>
          <w:rFonts w:hint="cs"/>
          <w:rtl/>
        </w:rPr>
        <w:t xml:space="preserve"> כתב דדוחק לומר כדברי </w:t>
      </w:r>
      <w:r w:rsidRPr="00C35B04">
        <w:rPr>
          <w:rStyle w:val="af9"/>
          <w:rFonts w:hint="cs"/>
          <w:rtl/>
        </w:rPr>
        <w:t>הקצוה"ח</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Ref61429553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C35B04">
        <w:rPr>
          <w:rStyle w:val="af7"/>
          <w:rFonts w:eastAsia="Guttman Hodes"/>
          <w:rtl/>
        </w:rPr>
        <w:fldChar w:fldCharType="end"/>
      </w:r>
      <w:r w:rsidRPr="00C35B04">
        <w:rPr>
          <w:rFonts w:hint="cs"/>
          <w:rtl/>
        </w:rPr>
        <w:t xml:space="preserve">, דכוונת הגמ' לומר דנאמן בלא מיגו, ועיי"ש במה שהביא </w:t>
      </w:r>
      <w:r w:rsidRPr="00C35B04">
        <w:rPr>
          <w:rStyle w:val="af9"/>
          <w:rFonts w:hint="cs"/>
          <w:rtl/>
        </w:rPr>
        <w:t>הנתיה"מ</w:t>
      </w:r>
      <w:r w:rsidRPr="00C35B04">
        <w:rPr>
          <w:rFonts w:hint="cs"/>
          <w:rtl/>
        </w:rPr>
        <w:t xml:space="preserve"> ראיה מהגמ' לעיל </w:t>
      </w:r>
      <w:r w:rsidRPr="00C35B04">
        <w:rPr>
          <w:rStyle w:val="af7"/>
          <w:rFonts w:eastAsia="Guttman Hodes" w:hint="cs"/>
          <w:rtl/>
        </w:rPr>
        <w:t>(כט.)</w:t>
      </w:r>
      <w:r w:rsidRPr="00C35B04">
        <w:rPr>
          <w:rFonts w:hint="cs"/>
          <w:rtl/>
        </w:rPr>
        <w:t xml:space="preserve"> דהנאמנות היא מדין מיגו ולא מדין חזקה עם טענה, אלא ביאר </w:t>
      </w:r>
      <w:r w:rsidRPr="00C35B04">
        <w:rPr>
          <w:rStyle w:val="af9"/>
          <w:rFonts w:hint="cs"/>
          <w:rtl/>
        </w:rPr>
        <w:t>הנתיה"מ</w:t>
      </w:r>
      <w:r w:rsidRPr="00C35B04">
        <w:rPr>
          <w:rFonts w:hint="cs"/>
          <w:rtl/>
        </w:rPr>
        <w:t xml:space="preserve"> דכיון שהטענה שטוען המחזיק אינה מכח עצמו אלא מכח המוכר, שהוא קנה מהמערער, וטענה שאינה מכח עצמו לא חשיבא טענה, ולא מהני מדין חזקה עם טענה, ונאמן רק מדין מיגו, ועי' במה שהקשה </w:t>
      </w:r>
      <w:r w:rsidRPr="00C35B04">
        <w:rPr>
          <w:rStyle w:val="af9"/>
          <w:rFonts w:hint="cs"/>
          <w:rtl/>
        </w:rPr>
        <w:t>בחי'</w:t>
      </w:r>
      <w:r w:rsidRPr="00C35B04">
        <w:rPr>
          <w:rFonts w:hint="cs"/>
          <w:rtl/>
        </w:rPr>
        <w:t xml:space="preserve"> </w:t>
      </w:r>
      <w:r w:rsidRPr="00C35B04">
        <w:rPr>
          <w:rStyle w:val="af9"/>
          <w:rFonts w:hint="cs"/>
          <w:rtl/>
        </w:rPr>
        <w:t>הגר"ח</w:t>
      </w:r>
      <w:r w:rsidRPr="00C35B04">
        <w:rPr>
          <w:rFonts w:hint="cs"/>
          <w:rtl/>
        </w:rPr>
        <w:t xml:space="preserve"> </w:t>
      </w:r>
      <w:r w:rsidRPr="00C35B04">
        <w:rPr>
          <w:rStyle w:val="af9"/>
          <w:rFonts w:hint="cs"/>
          <w:rtl/>
        </w:rPr>
        <w:t>מטעלז</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Ref61196567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C35B04">
        <w:rPr>
          <w:rStyle w:val="af7"/>
          <w:rFonts w:eastAsia="Guttman Hodes"/>
          <w:rtl/>
        </w:rPr>
        <w:fldChar w:fldCharType="end"/>
      </w:r>
      <w:r w:rsidRPr="00C35B04">
        <w:rPr>
          <w:rFonts w:hint="cs"/>
          <w:rtl/>
        </w:rPr>
        <w:t xml:space="preserve"> על </w:t>
      </w:r>
      <w:r w:rsidRPr="00C35B04">
        <w:rPr>
          <w:rStyle w:val="af9"/>
          <w:rFonts w:hint="cs"/>
          <w:rtl/>
        </w:rPr>
        <w:t>הנתיה"מ</w:t>
      </w:r>
      <w:r w:rsidRPr="00C35B04">
        <w:rPr>
          <w:rFonts w:hint="cs"/>
          <w:rtl/>
        </w:rPr>
        <w:t xml:space="preserve"> מדברי </w:t>
      </w:r>
      <w:r w:rsidRPr="00C35B04">
        <w:rPr>
          <w:rStyle w:val="af9"/>
          <w:rFonts w:hint="cs"/>
          <w:rtl/>
        </w:rPr>
        <w:t>התוס'</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Ref61253162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C35B04">
        <w:rPr>
          <w:rStyle w:val="af7"/>
          <w:rFonts w:eastAsia="Guttman Hodes"/>
          <w:rtl/>
        </w:rPr>
        <w:fldChar w:fldCharType="end"/>
      </w:r>
      <w:r w:rsidRPr="00C35B04">
        <w:rPr>
          <w:rFonts w:hint="cs"/>
          <w:rtl/>
        </w:rPr>
        <w:t xml:space="preserve"> דאינו נאמן כיון דהוא מיגו למפרע.</w:t>
      </w:r>
      <w:bookmarkEnd w:id="11381"/>
    </w:p>
    <w:p w:rsidR="005306EB" w:rsidRPr="00C35B04" w:rsidRDefault="005306EB" w:rsidP="005306EB">
      <w:pPr>
        <w:pStyle w:val="a3"/>
      </w:pPr>
      <w:bookmarkStart w:id="11382" w:name="_Toc61430871"/>
      <w:bookmarkStart w:id="11383" w:name="_Toc61433913"/>
      <w:bookmarkStart w:id="11384" w:name="_Toc61438634"/>
      <w:bookmarkStart w:id="11385" w:name="_Toc61469363"/>
      <w:bookmarkStart w:id="11386" w:name="_Toc61509741"/>
      <w:r w:rsidRPr="00C35B04">
        <w:rPr>
          <w:rFonts w:hint="cs"/>
          <w:rtl/>
        </w:rPr>
        <w:t>ביאור חי' רמ"ש דקמי דידי זבנה מינך לא חשיבא כחזקה עם טענה דאפש"ל דמאמין למוכר</w:t>
      </w:r>
      <w:bookmarkEnd w:id="11371"/>
      <w:bookmarkEnd w:id="11372"/>
      <w:bookmarkEnd w:id="11373"/>
      <w:bookmarkEnd w:id="11374"/>
      <w:bookmarkEnd w:id="11375"/>
      <w:bookmarkEnd w:id="11376"/>
      <w:bookmarkEnd w:id="11377"/>
      <w:bookmarkEnd w:id="11378"/>
      <w:bookmarkEnd w:id="11379"/>
      <w:bookmarkEnd w:id="11380"/>
      <w:bookmarkEnd w:id="11382"/>
      <w:bookmarkEnd w:id="11383"/>
      <w:bookmarkEnd w:id="11384"/>
      <w:bookmarkEnd w:id="11385"/>
      <w:bookmarkEnd w:id="11386"/>
    </w:p>
    <w:p w:rsidR="005306EB" w:rsidRPr="00C35B04" w:rsidRDefault="005306EB" w:rsidP="007E4E81">
      <w:pPr>
        <w:pStyle w:val="a0"/>
        <w:rPr>
          <w:rtl/>
        </w:rPr>
      </w:pPr>
      <w:bookmarkStart w:id="11387" w:name="_Ref59724787"/>
      <w:r w:rsidRPr="00C35B04">
        <w:rPr>
          <w:rStyle w:val="af9"/>
          <w:rFonts w:hint="cs"/>
          <w:rtl/>
        </w:rPr>
        <w:t>ובחי' רמ"ש</w:t>
      </w:r>
      <w:r w:rsidRPr="00C35B04">
        <w:rPr>
          <w:rFonts w:hint="cs"/>
          <w:rtl/>
        </w:rPr>
        <w:t xml:space="preserve"> </w:t>
      </w:r>
      <w:r w:rsidRPr="00C35B04">
        <w:rPr>
          <w:rStyle w:val="af7"/>
          <w:rFonts w:eastAsia="Guttman Hodes" w:hint="cs"/>
          <w:rtl/>
        </w:rPr>
        <w:t>(ד"ה ומה דלא)</w:t>
      </w:r>
      <w:r w:rsidRPr="00C35B04">
        <w:rPr>
          <w:rFonts w:hint="cs"/>
          <w:rtl/>
        </w:rPr>
        <w:t xml:space="preserve"> ביאר דמ"ש </w:t>
      </w:r>
      <w:r w:rsidRPr="00C35B04">
        <w:rPr>
          <w:rStyle w:val="af9"/>
          <w:rFonts w:hint="cs"/>
          <w:rtl/>
        </w:rPr>
        <w:t xml:space="preserve">הראשונים </w:t>
      </w:r>
      <w:r w:rsidRPr="00C35B04">
        <w:rPr>
          <w:rStyle w:val="afb"/>
          <w:rFonts w:hint="cs"/>
          <w:rtl/>
        </w:rPr>
        <w:t>[</w:t>
      </w:r>
      <w:r w:rsidRPr="00C35B04">
        <w:rPr>
          <w:rStyle w:val="affa"/>
          <w:rFonts w:hint="cs"/>
          <w:rtl/>
        </w:rPr>
        <w:t>תוס'</w:t>
      </w:r>
      <w:r w:rsidRPr="00C35B04">
        <w:rPr>
          <w:rStyle w:val="afb"/>
          <w:rFonts w:hint="cs"/>
          <w:rtl/>
        </w:rPr>
        <w:t xml:space="preserve"> </w:t>
      </w:r>
      <w:r w:rsidRPr="00C35B04">
        <w:rPr>
          <w:rStyle w:val="aff6"/>
          <w:rFonts w:hint="cs"/>
          <w:rtl/>
        </w:rPr>
        <w:t xml:space="preserve">(עי' אות </w:t>
      </w:r>
      <w:r w:rsidRPr="00C35B04">
        <w:rPr>
          <w:rStyle w:val="aff6"/>
          <w:rtl/>
        </w:rPr>
        <w:fldChar w:fldCharType="begin"/>
      </w:r>
      <w:r w:rsidRPr="00C35B04">
        <w:rPr>
          <w:rStyle w:val="aff6"/>
          <w:rtl/>
        </w:rPr>
        <w:instrText xml:space="preserve"> </w:instrText>
      </w:r>
      <w:r w:rsidRPr="00C35B04">
        <w:rPr>
          <w:rStyle w:val="aff6"/>
          <w:rFonts w:hint="cs"/>
        </w:rPr>
        <w:instrText>REF</w:instrText>
      </w:r>
      <w:r w:rsidRPr="00C35B04">
        <w:rPr>
          <w:rStyle w:val="aff6"/>
          <w:rFonts w:hint="cs"/>
          <w:rtl/>
        </w:rPr>
        <w:instrText xml:space="preserve"> _</w:instrText>
      </w:r>
      <w:r w:rsidRPr="00C35B04">
        <w:rPr>
          <w:rStyle w:val="aff6"/>
          <w:rFonts w:hint="cs"/>
        </w:rPr>
        <w:instrText>Ref61253162 \r \h</w:instrText>
      </w:r>
      <w:r w:rsidRPr="00C35B04">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C35B04">
        <w:rPr>
          <w:rStyle w:val="aff6"/>
          <w:rtl/>
        </w:rPr>
      </w:r>
      <w:r w:rsidRPr="00C35B04">
        <w:rPr>
          <w:rStyle w:val="aff6"/>
          <w:rtl/>
        </w:rPr>
        <w:fldChar w:fldCharType="separate"/>
      </w:r>
      <w:r w:rsidR="00265073">
        <w:rPr>
          <w:rStyle w:val="aff6"/>
          <w:cs/>
        </w:rPr>
        <w:t>‎</w:t>
      </w:r>
      <w:r w:rsidR="00265073">
        <w:rPr>
          <w:rStyle w:val="aff6"/>
          <w:rtl/>
        </w:rPr>
        <w:t>ב)</w:t>
      </w:r>
      <w:r w:rsidRPr="00C35B04">
        <w:rPr>
          <w:rStyle w:val="aff6"/>
          <w:rtl/>
        </w:rPr>
        <w:fldChar w:fldCharType="end"/>
      </w:r>
      <w:r w:rsidRPr="00C35B04">
        <w:rPr>
          <w:rStyle w:val="afb"/>
          <w:rFonts w:hint="cs"/>
          <w:rtl/>
        </w:rPr>
        <w:t>]</w:t>
      </w:r>
      <w:r w:rsidRPr="00C35B04">
        <w:rPr>
          <w:rStyle w:val="af9"/>
          <w:rFonts w:hint="cs"/>
          <w:rtl/>
        </w:rPr>
        <w:t xml:space="preserve"> </w:t>
      </w:r>
      <w:r w:rsidRPr="00C35B04">
        <w:rPr>
          <w:rFonts w:hint="cs"/>
          <w:rtl/>
        </w:rPr>
        <w:t>דהנאמנות בטענת קמי דידי זבנה מינך, היא מדין מיגו, ולא כתבו דנאמן מדין חזקה עם טענה, הוא כיון דכשהמחזיק טוען טענה של עצמו, חשיב חזקה עם טענה, אבל כשטוען קמי דידי זבנה מינך, אפש"ל דהוא טוען בדדמי, ואינו טוען כן בברי, כיון שהוא מאמין כ"כ למה שאמר לו המוכר שקנה מהמערער, וסומך עליו שאינו משקר, לכן הוא בא לחזק את דברי המוכר ואומר קמי דידי זבנה מינך.</w:t>
      </w:r>
      <w:bookmarkEnd w:id="11387"/>
    </w:p>
    <w:p w:rsidR="005306EB" w:rsidRPr="00C35B04" w:rsidRDefault="005306EB" w:rsidP="005306EB">
      <w:pPr>
        <w:pStyle w:val="afe"/>
        <w:rPr>
          <w:rtl/>
        </w:rPr>
      </w:pPr>
      <w:bookmarkStart w:id="11388" w:name="_Toc61430872"/>
      <w:bookmarkStart w:id="11389" w:name="_Toc61433914"/>
      <w:bookmarkStart w:id="11390" w:name="_Toc61438635"/>
      <w:bookmarkStart w:id="11391" w:name="_Toc61469364"/>
      <w:bookmarkStart w:id="11392" w:name="_Toc61509742"/>
      <w:r w:rsidRPr="00C35B04">
        <w:rPr>
          <w:rFonts w:hint="cs"/>
          <w:rtl/>
        </w:rPr>
        <w:t>פלוג' הסמ"ע והש"ך בד' התוס' בסתמא</w:t>
      </w:r>
      <w:bookmarkEnd w:id="11353"/>
      <w:bookmarkEnd w:id="11388"/>
      <w:bookmarkEnd w:id="11389"/>
      <w:bookmarkEnd w:id="11390"/>
      <w:bookmarkEnd w:id="11391"/>
      <w:bookmarkEnd w:id="11392"/>
    </w:p>
    <w:p w:rsidR="005306EB" w:rsidRPr="00C35B04" w:rsidRDefault="005306EB" w:rsidP="005306EB">
      <w:pPr>
        <w:pStyle w:val="1"/>
        <w:rPr>
          <w:rtl/>
        </w:rPr>
      </w:pPr>
      <w:bookmarkStart w:id="11393" w:name="_Toc61388207"/>
      <w:bookmarkStart w:id="11394" w:name="_Toc61430873"/>
      <w:bookmarkStart w:id="11395" w:name="_Toc61433915"/>
      <w:bookmarkStart w:id="11396" w:name="_Toc61438636"/>
      <w:bookmarkStart w:id="11397" w:name="_Toc61469365"/>
      <w:bookmarkStart w:id="11398" w:name="_Toc61509743"/>
      <w:r w:rsidRPr="00C35B04">
        <w:rPr>
          <w:rFonts w:hint="cs"/>
          <w:rtl/>
        </w:rPr>
        <w:t>דברי הסמ"ע דלתוס' בסתמא לא נאמן לפרש דהוא מיגו למפרע</w:t>
      </w:r>
      <w:bookmarkEnd w:id="11393"/>
      <w:bookmarkEnd w:id="11394"/>
      <w:bookmarkEnd w:id="11395"/>
      <w:bookmarkEnd w:id="11396"/>
      <w:bookmarkEnd w:id="11397"/>
      <w:bookmarkEnd w:id="11398"/>
    </w:p>
    <w:p w:rsidR="005306EB" w:rsidRPr="00C35B04" w:rsidRDefault="005306EB" w:rsidP="005306EB">
      <w:pPr>
        <w:pStyle w:val="a3"/>
        <w:rPr>
          <w:rtl/>
        </w:rPr>
      </w:pPr>
      <w:bookmarkStart w:id="11399" w:name="_Toc61388208"/>
      <w:bookmarkStart w:id="11400" w:name="_Toc61430874"/>
      <w:bookmarkStart w:id="11401" w:name="_Toc61433916"/>
      <w:bookmarkStart w:id="11402" w:name="_Toc61438637"/>
      <w:bookmarkStart w:id="11403" w:name="_Toc61469366"/>
      <w:bookmarkStart w:id="11404" w:name="_Toc61509744"/>
      <w:r w:rsidRPr="00C35B04">
        <w:rPr>
          <w:rFonts w:hint="cs"/>
          <w:rtl/>
        </w:rPr>
        <w:t>דברי הסמ"ע דבסתמא שלא הוסיף שאמר לו המוכר שהוא קנה מהמערער דנאמן לפרש דבריו</w:t>
      </w:r>
      <w:bookmarkEnd w:id="11399"/>
      <w:bookmarkEnd w:id="11400"/>
      <w:bookmarkEnd w:id="11401"/>
      <w:bookmarkEnd w:id="11402"/>
      <w:bookmarkEnd w:id="11403"/>
      <w:bookmarkEnd w:id="11404"/>
    </w:p>
    <w:p w:rsidR="005306EB" w:rsidRDefault="005306EB" w:rsidP="007E4E81">
      <w:pPr>
        <w:pStyle w:val="a0"/>
        <w:rPr>
          <w:rtl/>
        </w:rPr>
      </w:pPr>
      <w:bookmarkStart w:id="11405" w:name="_Ref60937281"/>
      <w:r w:rsidRPr="00C35B04">
        <w:rPr>
          <w:rFonts w:hint="cs"/>
          <w:rtl/>
        </w:rPr>
        <w:t xml:space="preserve">במ"ש </w:t>
      </w:r>
      <w:r w:rsidRPr="00C35B04">
        <w:rPr>
          <w:rStyle w:val="af9"/>
          <w:rFonts w:hint="cs"/>
          <w:rtl/>
        </w:rPr>
        <w:t>הרא"ש</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Ref61008990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C35B04">
        <w:rPr>
          <w:rStyle w:val="af7"/>
          <w:rFonts w:eastAsia="Guttman Hodes"/>
          <w:rtl/>
        </w:rPr>
        <w:fldChar w:fldCharType="end"/>
      </w:r>
      <w:r w:rsidRPr="00C35B04">
        <w:rPr>
          <w:rStyle w:val="af7"/>
          <w:rFonts w:eastAsia="Guttman Hodes" w:hint="cs"/>
          <w:rtl/>
        </w:rPr>
        <w:t xml:space="preserve"> </w:t>
      </w:r>
      <w:r w:rsidRPr="00C35B04">
        <w:rPr>
          <w:rFonts w:hint="cs"/>
          <w:rtl/>
        </w:rPr>
        <w:t xml:space="preserve">בתחילה שקנה מהמוכר שהוא קנה מהמערער, ולא אמר שכך א"ל המוכר, דהוא נאמן להוסיף אח"כ דהמכירה הייתה בפניו, כתב </w:t>
      </w:r>
      <w:r w:rsidRPr="00C35B04">
        <w:rPr>
          <w:rStyle w:val="af9"/>
          <w:rFonts w:hint="cs"/>
          <w:rtl/>
        </w:rPr>
        <w:t>הסמ"ע</w:t>
      </w:r>
      <w:r w:rsidRPr="00C35B04">
        <w:rPr>
          <w:rFonts w:hint="cs"/>
          <w:rtl/>
        </w:rPr>
        <w:t xml:space="preserve"> </w:t>
      </w:r>
      <w:r w:rsidRPr="00C35B04">
        <w:rPr>
          <w:rStyle w:val="af7"/>
          <w:rFonts w:eastAsia="Guttman Hodes" w:hint="cs"/>
          <w:rtl/>
        </w:rPr>
        <w:t>(סי' קמ"ו סקל"ד)</w:t>
      </w:r>
      <w:r w:rsidRPr="00C35B04">
        <w:rPr>
          <w:rFonts w:hint="cs"/>
          <w:rtl/>
        </w:rPr>
        <w:t xml:space="preserve"> דלדעת </w:t>
      </w:r>
      <w:r w:rsidRPr="00C35B04">
        <w:rPr>
          <w:rStyle w:val="af9"/>
          <w:rFonts w:hint="cs"/>
          <w:rtl/>
        </w:rPr>
        <w:t>התוס' בסוגיין</w:t>
      </w:r>
      <w:r w:rsidRPr="00C35B04">
        <w:rPr>
          <w:rFonts w:hint="cs"/>
          <w:rtl/>
        </w:rPr>
        <w:t xml:space="preserve"> </w:t>
      </w:r>
      <w:r w:rsidRPr="00C35B04">
        <w:rPr>
          <w:rStyle w:val="af7"/>
          <w:rFonts w:eastAsia="Guttman Hodes" w:hint="cs"/>
          <w:rtl/>
        </w:rPr>
        <w:t xml:space="preserve">(עי' אות </w:t>
      </w:r>
      <w:r w:rsidRPr="00C35B04">
        <w:rPr>
          <w:rStyle w:val="af7"/>
          <w:rFonts w:eastAsia="Guttman Hodes"/>
          <w:rtl/>
        </w:rPr>
        <w:fldChar w:fldCharType="begin"/>
      </w:r>
      <w:r w:rsidRPr="00C35B04">
        <w:rPr>
          <w:rStyle w:val="af7"/>
          <w:rFonts w:eastAsia="Guttman Hodes"/>
          <w:rtl/>
        </w:rPr>
        <w:instrText xml:space="preserve"> </w:instrText>
      </w:r>
      <w:r w:rsidRPr="00C35B04">
        <w:rPr>
          <w:rStyle w:val="af7"/>
          <w:rFonts w:eastAsia="Guttman Hodes" w:hint="cs"/>
        </w:rPr>
        <w:instrText>REF</w:instrText>
      </w:r>
      <w:r w:rsidRPr="00C35B04">
        <w:rPr>
          <w:rStyle w:val="af7"/>
          <w:rFonts w:eastAsia="Guttman Hodes" w:hint="cs"/>
          <w:rtl/>
        </w:rPr>
        <w:instrText xml:space="preserve"> _</w:instrText>
      </w:r>
      <w:r w:rsidRPr="00C35B04">
        <w:rPr>
          <w:rStyle w:val="af7"/>
          <w:rFonts w:eastAsia="Guttman Hodes" w:hint="cs"/>
        </w:rPr>
        <w:instrText>Ref61253162 \r \h</w:instrText>
      </w:r>
      <w:r w:rsidRPr="00C35B0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35B04">
        <w:rPr>
          <w:rStyle w:val="af7"/>
          <w:rFonts w:eastAsia="Guttman Hodes"/>
          <w:rtl/>
        </w:rPr>
      </w:r>
      <w:r w:rsidRPr="00C35B04">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C35B04">
        <w:rPr>
          <w:rStyle w:val="af7"/>
          <w:rFonts w:eastAsia="Guttman Hodes"/>
          <w:rtl/>
        </w:rPr>
        <w:fldChar w:fldCharType="end"/>
      </w:r>
      <w:r w:rsidRPr="00C35B04">
        <w:rPr>
          <w:rFonts w:hint="cs"/>
          <w:rtl/>
        </w:rPr>
        <w:t xml:space="preserve"> אינו יכול לתרץ את דבריו</w:t>
      </w:r>
      <w:bookmarkEnd w:id="11405"/>
      <w:r w:rsidRPr="00C35B04">
        <w:rPr>
          <w:rFonts w:hint="cs"/>
          <w:rtl/>
        </w:rPr>
        <w:t xml:space="preserve">, ועי' במה שביאר </w:t>
      </w:r>
      <w:r w:rsidRPr="00C35B04">
        <w:rPr>
          <w:rStyle w:val="af9"/>
          <w:rFonts w:hint="cs"/>
          <w:rtl/>
        </w:rPr>
        <w:t>בחי' רבי נחום</w:t>
      </w:r>
      <w:r w:rsidRPr="00C35B04">
        <w:rPr>
          <w:rFonts w:hint="cs"/>
          <w:rtl/>
        </w:rPr>
        <w:t xml:space="preserve"> </w:t>
      </w:r>
      <w:r w:rsidRPr="00C35B04">
        <w:rPr>
          <w:rStyle w:val="af7"/>
          <w:rFonts w:eastAsia="Guttman Hodes" w:hint="cs"/>
          <w:rtl/>
        </w:rPr>
        <w:t>(עי'</w:t>
      </w:r>
      <w:r w:rsidRPr="00ED6874">
        <w:rPr>
          <w:rStyle w:val="af7"/>
          <w:rFonts w:eastAsia="Guttman Hodes" w:hint="cs"/>
          <w:rtl/>
        </w:rPr>
        <w:t xml:space="preserve"> אות </w:t>
      </w:r>
      <w:r w:rsidRPr="00ED6874">
        <w:rPr>
          <w:rStyle w:val="af7"/>
          <w:rFonts w:eastAsia="Guttman Hodes"/>
          <w:rtl/>
        </w:rPr>
        <w:fldChar w:fldCharType="begin"/>
      </w:r>
      <w:r w:rsidRPr="00ED6874">
        <w:rPr>
          <w:rStyle w:val="af7"/>
          <w:rFonts w:eastAsia="Guttman Hodes"/>
          <w:rtl/>
        </w:rPr>
        <w:instrText xml:space="preserve"> </w:instrText>
      </w:r>
      <w:r w:rsidRPr="00ED6874">
        <w:rPr>
          <w:rStyle w:val="af7"/>
          <w:rFonts w:eastAsia="Guttman Hodes" w:hint="cs"/>
        </w:rPr>
        <w:instrText>REF</w:instrText>
      </w:r>
      <w:r w:rsidRPr="00ED6874">
        <w:rPr>
          <w:rStyle w:val="af7"/>
          <w:rFonts w:eastAsia="Guttman Hodes" w:hint="cs"/>
          <w:rtl/>
        </w:rPr>
        <w:instrText xml:space="preserve"> _</w:instrText>
      </w:r>
      <w:r w:rsidRPr="00ED6874">
        <w:rPr>
          <w:rStyle w:val="af7"/>
          <w:rFonts w:eastAsia="Guttman Hodes" w:hint="cs"/>
        </w:rPr>
        <w:instrText>Ref61458676 \r \h</w:instrText>
      </w:r>
      <w:r w:rsidRPr="00ED6874">
        <w:rPr>
          <w:rStyle w:val="af7"/>
          <w:rFonts w:eastAsia="Guttman Hodes"/>
          <w:rtl/>
        </w:rPr>
        <w:instrText xml:space="preserve"> </w:instrText>
      </w:r>
      <w:r w:rsidRPr="00ED6874">
        <w:rPr>
          <w:rStyle w:val="af7"/>
          <w:rFonts w:eastAsia="Guttman Hodes"/>
          <w:rtl/>
        </w:rPr>
      </w:r>
      <w:r w:rsidRPr="00ED6874">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ED6874">
        <w:rPr>
          <w:rStyle w:val="af7"/>
          <w:rFonts w:eastAsia="Guttman Hodes"/>
          <w:rtl/>
        </w:rPr>
        <w:fldChar w:fldCharType="end"/>
      </w:r>
      <w:r>
        <w:rPr>
          <w:rFonts w:hint="cs"/>
          <w:rtl/>
        </w:rPr>
        <w:t xml:space="preserve"> בפלוגתת </w:t>
      </w:r>
      <w:r w:rsidRPr="00ED6874">
        <w:rPr>
          <w:rStyle w:val="af9"/>
          <w:rFonts w:hint="cs"/>
          <w:rtl/>
        </w:rPr>
        <w:t>התוס' והרא"ש</w:t>
      </w:r>
      <w:r>
        <w:rPr>
          <w:rFonts w:hint="cs"/>
          <w:rtl/>
        </w:rPr>
        <w:t>.</w:t>
      </w:r>
    </w:p>
    <w:p w:rsidR="005306EB" w:rsidRDefault="005306EB" w:rsidP="005306EB">
      <w:pPr>
        <w:pStyle w:val="a3"/>
        <w:rPr>
          <w:rtl/>
        </w:rPr>
      </w:pPr>
      <w:bookmarkStart w:id="11406" w:name="_Toc61388209"/>
      <w:bookmarkStart w:id="11407" w:name="_Toc61430875"/>
      <w:bookmarkStart w:id="11408" w:name="_Toc61433917"/>
      <w:bookmarkStart w:id="11409" w:name="_Toc61438638"/>
      <w:bookmarkStart w:id="11410" w:name="_Toc61469367"/>
      <w:bookmarkStart w:id="11411" w:name="_Toc61509745"/>
      <w:r>
        <w:rPr>
          <w:rFonts w:hint="cs"/>
          <w:rtl/>
        </w:rPr>
        <w:t>דברי הסמ"ע דאף להרא"ש רק לפני שיצא מב"ד</w:t>
      </w:r>
      <w:r w:rsidRPr="00E4139C">
        <w:rPr>
          <w:rFonts w:hint="cs"/>
          <w:rtl/>
        </w:rPr>
        <w:t xml:space="preserve"> </w:t>
      </w:r>
      <w:r>
        <w:rPr>
          <w:rFonts w:hint="cs"/>
          <w:rtl/>
        </w:rPr>
        <w:t>יכול לפרש את דבריו ואח"כ אינו נאמן כלל</w:t>
      </w:r>
      <w:bookmarkEnd w:id="11406"/>
      <w:bookmarkEnd w:id="11407"/>
      <w:bookmarkEnd w:id="11408"/>
      <w:bookmarkEnd w:id="11409"/>
      <w:bookmarkEnd w:id="11410"/>
      <w:bookmarkEnd w:id="11411"/>
    </w:p>
    <w:p w:rsidR="005306EB" w:rsidRDefault="005306EB" w:rsidP="007E4E81">
      <w:pPr>
        <w:pStyle w:val="a0"/>
        <w:rPr>
          <w:rtl/>
        </w:rPr>
      </w:pPr>
      <w:bookmarkStart w:id="11412" w:name="_Ref61345043"/>
      <w:r>
        <w:rPr>
          <w:rFonts w:hint="cs"/>
          <w:rtl/>
        </w:rPr>
        <w:t xml:space="preserve">וכתב </w:t>
      </w:r>
      <w:r w:rsidRPr="009754D7">
        <w:rPr>
          <w:rStyle w:val="af9"/>
          <w:rFonts w:hint="cs"/>
          <w:rtl/>
        </w:rPr>
        <w:t>הסמ"ע</w:t>
      </w:r>
      <w:r>
        <w:rPr>
          <w:rFonts w:hint="cs"/>
          <w:rtl/>
        </w:rPr>
        <w:t xml:space="preserve"> דאף לדעת </w:t>
      </w:r>
      <w:r w:rsidRPr="009754D7">
        <w:rPr>
          <w:rStyle w:val="af9"/>
          <w:rFonts w:hint="cs"/>
          <w:rtl/>
        </w:rPr>
        <w:t>הרא"ש</w:t>
      </w:r>
      <w:r>
        <w:rPr>
          <w:rFonts w:hint="cs"/>
          <w:rtl/>
        </w:rPr>
        <w:t xml:space="preserve"> </w:t>
      </w:r>
      <w:r w:rsidRPr="00413A65">
        <w:rPr>
          <w:rStyle w:val="af7"/>
          <w:rFonts w:eastAsia="Guttman Hodes" w:hint="cs"/>
          <w:rtl/>
        </w:rPr>
        <w:t xml:space="preserve">(עי' אות </w:t>
      </w:r>
      <w:r w:rsidRPr="00413A65">
        <w:rPr>
          <w:rStyle w:val="af7"/>
          <w:rFonts w:eastAsia="Guttman Hodes"/>
          <w:rtl/>
        </w:rPr>
        <w:fldChar w:fldCharType="begin"/>
      </w:r>
      <w:r w:rsidRPr="00413A65">
        <w:rPr>
          <w:rStyle w:val="af7"/>
          <w:rFonts w:eastAsia="Guttman Hodes"/>
          <w:rtl/>
        </w:rPr>
        <w:instrText xml:space="preserve"> </w:instrText>
      </w:r>
      <w:r w:rsidRPr="00413A65">
        <w:rPr>
          <w:rStyle w:val="af7"/>
          <w:rFonts w:eastAsia="Guttman Hodes" w:hint="cs"/>
        </w:rPr>
        <w:instrText>REF</w:instrText>
      </w:r>
      <w:r w:rsidRPr="00413A65">
        <w:rPr>
          <w:rStyle w:val="af7"/>
          <w:rFonts w:eastAsia="Guttman Hodes" w:hint="cs"/>
          <w:rtl/>
        </w:rPr>
        <w:instrText xml:space="preserve"> _</w:instrText>
      </w:r>
      <w:r w:rsidRPr="00413A65">
        <w:rPr>
          <w:rStyle w:val="af7"/>
          <w:rFonts w:eastAsia="Guttman Hodes" w:hint="cs"/>
        </w:rPr>
        <w:instrText>Ref61008990 \r \h</w:instrText>
      </w:r>
      <w:r w:rsidRPr="00413A65">
        <w:rPr>
          <w:rStyle w:val="af7"/>
          <w:rFonts w:eastAsia="Guttman Hodes"/>
          <w:rtl/>
        </w:rPr>
        <w:instrText xml:space="preserve"> </w:instrText>
      </w:r>
      <w:r w:rsidRPr="00413A65">
        <w:rPr>
          <w:rStyle w:val="af7"/>
          <w:rFonts w:eastAsia="Guttman Hodes"/>
          <w:rtl/>
        </w:rPr>
      </w:r>
      <w:r w:rsidRPr="00413A65">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413A65">
        <w:rPr>
          <w:rStyle w:val="af7"/>
          <w:rFonts w:eastAsia="Guttman Hodes"/>
          <w:rtl/>
        </w:rPr>
        <w:fldChar w:fldCharType="end"/>
      </w:r>
      <w:r>
        <w:rPr>
          <w:rStyle w:val="af7"/>
          <w:rFonts w:eastAsia="Guttman Hodes" w:hint="cs"/>
          <w:rtl/>
        </w:rPr>
        <w:t xml:space="preserve"> </w:t>
      </w:r>
      <w:r>
        <w:rPr>
          <w:rFonts w:hint="cs"/>
          <w:rtl/>
        </w:rPr>
        <w:t xml:space="preserve">דיכול אח"כ לפרש את דבריו, היינו רק לפני שיצא מב"ד, אבל לאחר שיצא מב"ד אינו נאמן כלל, ועי' במה שדחה </w:t>
      </w:r>
      <w:r w:rsidRPr="009754D7">
        <w:rPr>
          <w:rStyle w:val="af9"/>
          <w:rFonts w:hint="cs"/>
          <w:rtl/>
        </w:rPr>
        <w:t>הש"ך</w:t>
      </w:r>
      <w:r>
        <w:rPr>
          <w:rFonts w:hint="cs"/>
          <w:rtl/>
        </w:rPr>
        <w:t xml:space="preserve"> </w:t>
      </w:r>
      <w:r w:rsidRPr="00564460">
        <w:rPr>
          <w:rStyle w:val="af7"/>
          <w:rFonts w:eastAsia="Guttman Hodes" w:hint="cs"/>
          <w:rtl/>
        </w:rPr>
        <w:t xml:space="preserve">(עי' אות </w:t>
      </w:r>
      <w:r w:rsidRPr="00564460">
        <w:rPr>
          <w:rStyle w:val="af7"/>
          <w:rFonts w:eastAsia="Guttman Hodes"/>
          <w:rtl/>
        </w:rPr>
        <w:fldChar w:fldCharType="begin"/>
      </w:r>
      <w:r w:rsidRPr="00564460">
        <w:rPr>
          <w:rStyle w:val="af7"/>
          <w:rFonts w:eastAsia="Guttman Hodes"/>
          <w:rtl/>
        </w:rPr>
        <w:instrText xml:space="preserve"> </w:instrText>
      </w:r>
      <w:r w:rsidRPr="00564460">
        <w:rPr>
          <w:rStyle w:val="af7"/>
          <w:rFonts w:eastAsia="Guttman Hodes" w:hint="cs"/>
        </w:rPr>
        <w:instrText>REF</w:instrText>
      </w:r>
      <w:r w:rsidRPr="00564460">
        <w:rPr>
          <w:rStyle w:val="af7"/>
          <w:rFonts w:eastAsia="Guttman Hodes" w:hint="cs"/>
          <w:rtl/>
        </w:rPr>
        <w:instrText xml:space="preserve"> _</w:instrText>
      </w:r>
      <w:r w:rsidRPr="00564460">
        <w:rPr>
          <w:rStyle w:val="af7"/>
          <w:rFonts w:eastAsia="Guttman Hodes" w:hint="cs"/>
        </w:rPr>
        <w:instrText>Ref61345069 \r \h</w:instrText>
      </w:r>
      <w:r w:rsidRPr="00564460">
        <w:rPr>
          <w:rStyle w:val="af7"/>
          <w:rFonts w:eastAsia="Guttman Hodes"/>
          <w:rtl/>
        </w:rPr>
        <w:instrText xml:space="preserve"> </w:instrText>
      </w:r>
      <w:r w:rsidRPr="00564460">
        <w:rPr>
          <w:rStyle w:val="af7"/>
          <w:rFonts w:eastAsia="Guttman Hodes"/>
          <w:rtl/>
        </w:rPr>
      </w:r>
      <w:r w:rsidRPr="00564460">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564460">
        <w:rPr>
          <w:rStyle w:val="af7"/>
          <w:rFonts w:eastAsia="Guttman Hodes"/>
          <w:rtl/>
        </w:rPr>
        <w:fldChar w:fldCharType="end"/>
      </w:r>
      <w:r>
        <w:rPr>
          <w:rFonts w:hint="cs"/>
          <w:rtl/>
        </w:rPr>
        <w:t xml:space="preserve"> את דברי </w:t>
      </w:r>
      <w:r w:rsidRPr="009754D7">
        <w:rPr>
          <w:rStyle w:val="af9"/>
          <w:rFonts w:hint="cs"/>
          <w:rtl/>
        </w:rPr>
        <w:t>הסמ"ע</w:t>
      </w:r>
      <w:r>
        <w:rPr>
          <w:rFonts w:hint="cs"/>
          <w:rtl/>
        </w:rPr>
        <w:t>.</w:t>
      </w:r>
      <w:bookmarkEnd w:id="11412"/>
    </w:p>
    <w:p w:rsidR="005306EB" w:rsidRPr="00FF0FC4" w:rsidRDefault="005306EB" w:rsidP="005306EB">
      <w:pPr>
        <w:pStyle w:val="a3"/>
        <w:rPr>
          <w:rtl/>
        </w:rPr>
      </w:pPr>
    </w:p>
    <w:p w:rsidR="005306EB" w:rsidRPr="00CD241F" w:rsidRDefault="005306EB" w:rsidP="005306EB">
      <w:pPr>
        <w:pStyle w:val="1"/>
        <w:rPr>
          <w:rtl/>
        </w:rPr>
      </w:pPr>
      <w:bookmarkStart w:id="11413" w:name="_Toc61010726"/>
      <w:bookmarkStart w:id="11414" w:name="_Toc61200668"/>
      <w:bookmarkStart w:id="11415" w:name="_Toc61213866"/>
      <w:bookmarkStart w:id="11416" w:name="_Toc61388210"/>
      <w:bookmarkStart w:id="11417" w:name="_Toc61430876"/>
      <w:bookmarkStart w:id="11418" w:name="_Toc61433918"/>
      <w:bookmarkStart w:id="11419" w:name="_Toc61438639"/>
      <w:bookmarkStart w:id="11420" w:name="_Toc61469368"/>
      <w:bookmarkStart w:id="11421" w:name="_Toc61509746"/>
      <w:r>
        <w:rPr>
          <w:rFonts w:hint="cs"/>
          <w:rtl/>
        </w:rPr>
        <w:lastRenderedPageBreak/>
        <w:t>בי' הש"ך</w:t>
      </w:r>
      <w:bookmarkEnd w:id="11413"/>
      <w:bookmarkEnd w:id="11414"/>
      <w:bookmarkEnd w:id="11415"/>
      <w:r>
        <w:rPr>
          <w:rFonts w:hint="cs"/>
          <w:rtl/>
        </w:rPr>
        <w:t xml:space="preserve"> בתוס' דמיגו למפרע ל"מ רק בהודה ולא בטען בסתמא</w:t>
      </w:r>
      <w:bookmarkEnd w:id="11416"/>
      <w:bookmarkEnd w:id="11417"/>
      <w:bookmarkEnd w:id="11418"/>
      <w:bookmarkEnd w:id="11419"/>
      <w:bookmarkEnd w:id="11420"/>
      <w:bookmarkEnd w:id="11421"/>
    </w:p>
    <w:p w:rsidR="005306EB" w:rsidRDefault="005306EB" w:rsidP="005306EB">
      <w:pPr>
        <w:pStyle w:val="a3"/>
        <w:rPr>
          <w:rtl/>
        </w:rPr>
      </w:pPr>
      <w:bookmarkStart w:id="11422" w:name="_Toc61388211"/>
      <w:bookmarkStart w:id="11423" w:name="_Toc61430877"/>
      <w:bookmarkStart w:id="11424" w:name="_Toc61433919"/>
      <w:bookmarkStart w:id="11425" w:name="_Toc61438640"/>
      <w:bookmarkStart w:id="11426" w:name="_Toc61469369"/>
      <w:bookmarkStart w:id="11427" w:name="_Toc61509747"/>
      <w:r>
        <w:rPr>
          <w:rFonts w:hint="cs"/>
          <w:rtl/>
        </w:rPr>
        <w:t>ביאור הש"ך בסמ"ע דלתוס' דמיגו למפרע לא אמרינן אף בסתמא דלא טען שא"ל המוכר נאמן</w:t>
      </w:r>
      <w:bookmarkEnd w:id="11422"/>
      <w:bookmarkEnd w:id="11423"/>
      <w:bookmarkEnd w:id="11424"/>
      <w:bookmarkEnd w:id="11425"/>
      <w:bookmarkEnd w:id="11426"/>
      <w:bookmarkEnd w:id="11427"/>
    </w:p>
    <w:p w:rsidR="005306EB" w:rsidRDefault="005306EB" w:rsidP="007E4E81">
      <w:pPr>
        <w:pStyle w:val="a0"/>
        <w:rPr>
          <w:rtl/>
        </w:rPr>
      </w:pPr>
      <w:r>
        <w:rPr>
          <w:rFonts w:hint="cs"/>
          <w:rtl/>
        </w:rPr>
        <w:t xml:space="preserve">וכתב </w:t>
      </w:r>
      <w:r w:rsidRPr="007A03B6">
        <w:rPr>
          <w:rStyle w:val="af9"/>
          <w:rFonts w:hint="cs"/>
          <w:rtl/>
        </w:rPr>
        <w:t>הש"ך</w:t>
      </w:r>
      <w:r>
        <w:rPr>
          <w:rFonts w:hint="cs"/>
          <w:rtl/>
        </w:rPr>
        <w:t xml:space="preserve"> </w:t>
      </w:r>
      <w:r w:rsidRPr="00A65197">
        <w:rPr>
          <w:rStyle w:val="af7"/>
          <w:rFonts w:eastAsia="Guttman Hodes" w:hint="cs"/>
          <w:rtl/>
        </w:rPr>
        <w:t>(סי' קמ"ו סק"י)</w:t>
      </w:r>
      <w:r>
        <w:rPr>
          <w:rFonts w:hint="cs"/>
          <w:rtl/>
        </w:rPr>
        <w:t xml:space="preserve"> דמ"ש </w:t>
      </w:r>
      <w:r w:rsidRPr="00D2061D">
        <w:rPr>
          <w:rStyle w:val="af9"/>
          <w:rFonts w:hint="cs"/>
          <w:rtl/>
        </w:rPr>
        <w:t>הסמ"ע</w:t>
      </w:r>
      <w:r w:rsidRPr="00D2061D">
        <w:rPr>
          <w:rFonts w:hint="cs"/>
          <w:rtl/>
        </w:rPr>
        <w:t xml:space="preserve"> </w:t>
      </w:r>
      <w:r w:rsidRPr="00D2061D">
        <w:rPr>
          <w:rStyle w:val="af7"/>
          <w:rFonts w:eastAsia="Guttman Hodes" w:hint="cs"/>
          <w:rtl/>
        </w:rPr>
        <w:t xml:space="preserve">(עי' אות </w:t>
      </w:r>
      <w:r w:rsidRPr="00D2061D">
        <w:rPr>
          <w:rStyle w:val="af7"/>
          <w:rFonts w:eastAsia="Guttman Hodes"/>
          <w:rtl/>
        </w:rPr>
        <w:fldChar w:fldCharType="begin"/>
      </w:r>
      <w:r w:rsidRPr="00D2061D">
        <w:rPr>
          <w:rStyle w:val="af7"/>
          <w:rFonts w:eastAsia="Guttman Hodes"/>
          <w:rtl/>
        </w:rPr>
        <w:instrText xml:space="preserve"> </w:instrText>
      </w:r>
      <w:r w:rsidRPr="00D2061D">
        <w:rPr>
          <w:rStyle w:val="af7"/>
          <w:rFonts w:eastAsia="Guttman Hodes" w:hint="cs"/>
        </w:rPr>
        <w:instrText>REF</w:instrText>
      </w:r>
      <w:r w:rsidRPr="00D2061D">
        <w:rPr>
          <w:rStyle w:val="af7"/>
          <w:rFonts w:eastAsia="Guttman Hodes" w:hint="cs"/>
          <w:rtl/>
        </w:rPr>
        <w:instrText xml:space="preserve"> _</w:instrText>
      </w:r>
      <w:r w:rsidRPr="00D2061D">
        <w:rPr>
          <w:rStyle w:val="af7"/>
          <w:rFonts w:eastAsia="Guttman Hodes" w:hint="cs"/>
        </w:rPr>
        <w:instrText>Ref60937281 \r \h</w:instrText>
      </w:r>
      <w:r w:rsidRPr="00D2061D">
        <w:rPr>
          <w:rStyle w:val="af7"/>
          <w:rFonts w:eastAsia="Guttman Hodes"/>
          <w:rtl/>
        </w:rPr>
        <w:instrText xml:space="preserve">  \* </w:instrText>
      </w:r>
      <w:r w:rsidRPr="00D2061D">
        <w:rPr>
          <w:rStyle w:val="af7"/>
          <w:rFonts w:eastAsia="Guttman Hodes"/>
        </w:rPr>
        <w:instrText>MERGEFORMAT</w:instrText>
      </w:r>
      <w:r w:rsidRPr="00D2061D">
        <w:rPr>
          <w:rStyle w:val="af7"/>
          <w:rFonts w:eastAsia="Guttman Hodes"/>
          <w:rtl/>
        </w:rPr>
        <w:instrText xml:space="preserve"> </w:instrText>
      </w:r>
      <w:r w:rsidRPr="00D2061D">
        <w:rPr>
          <w:rStyle w:val="af7"/>
          <w:rFonts w:eastAsia="Guttman Hodes"/>
          <w:rtl/>
        </w:rPr>
      </w:r>
      <w:r w:rsidRPr="00D2061D">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D2061D">
        <w:rPr>
          <w:rStyle w:val="af7"/>
          <w:rFonts w:eastAsia="Guttman Hodes"/>
          <w:rtl/>
        </w:rPr>
        <w:fldChar w:fldCharType="end"/>
      </w:r>
      <w:r w:rsidRPr="00D2061D">
        <w:rPr>
          <w:rFonts w:hint="cs"/>
          <w:rtl/>
        </w:rPr>
        <w:t xml:space="preserve"> </w:t>
      </w:r>
      <w:r>
        <w:rPr>
          <w:rFonts w:hint="cs"/>
          <w:rtl/>
        </w:rPr>
        <w:t xml:space="preserve">דלדעת </w:t>
      </w:r>
      <w:r w:rsidRPr="007A03B6">
        <w:rPr>
          <w:rStyle w:val="af9"/>
          <w:rFonts w:hint="cs"/>
          <w:rtl/>
        </w:rPr>
        <w:t>התוס'</w:t>
      </w:r>
      <w:r>
        <w:rPr>
          <w:rFonts w:hint="cs"/>
          <w:rtl/>
        </w:rPr>
        <w:t xml:space="preserve"> אינו נאמן, כוונתו לומר דכיון דס"ל </w:t>
      </w:r>
      <w:r w:rsidRPr="007A03B6">
        <w:rPr>
          <w:rStyle w:val="af9"/>
          <w:rFonts w:hint="cs"/>
          <w:rtl/>
        </w:rPr>
        <w:t>להתוס'</w:t>
      </w:r>
      <w:r>
        <w:rPr>
          <w:rFonts w:hint="cs"/>
          <w:rtl/>
        </w:rPr>
        <w:t xml:space="preserve"> </w:t>
      </w:r>
      <w:r w:rsidRPr="00413A65">
        <w:rPr>
          <w:rStyle w:val="af7"/>
          <w:rFonts w:eastAsia="Guttman Hodes" w:hint="cs"/>
          <w:rtl/>
        </w:rPr>
        <w:t xml:space="preserve">(עי' אות </w:t>
      </w:r>
      <w:r w:rsidRPr="00413A65">
        <w:rPr>
          <w:rStyle w:val="af7"/>
          <w:rFonts w:eastAsia="Guttman Hodes"/>
          <w:rtl/>
        </w:rPr>
        <w:fldChar w:fldCharType="begin"/>
      </w:r>
      <w:r w:rsidRPr="00413A65">
        <w:rPr>
          <w:rStyle w:val="af7"/>
          <w:rFonts w:eastAsia="Guttman Hodes"/>
          <w:rtl/>
        </w:rPr>
        <w:instrText xml:space="preserve"> </w:instrText>
      </w:r>
      <w:r w:rsidRPr="00413A65">
        <w:rPr>
          <w:rStyle w:val="af7"/>
          <w:rFonts w:eastAsia="Guttman Hodes" w:hint="cs"/>
        </w:rPr>
        <w:instrText>REF</w:instrText>
      </w:r>
      <w:r w:rsidRPr="00413A65">
        <w:rPr>
          <w:rStyle w:val="af7"/>
          <w:rFonts w:eastAsia="Guttman Hodes" w:hint="cs"/>
          <w:rtl/>
        </w:rPr>
        <w:instrText xml:space="preserve"> _</w:instrText>
      </w:r>
      <w:r w:rsidRPr="00413A65">
        <w:rPr>
          <w:rStyle w:val="af7"/>
          <w:rFonts w:eastAsia="Guttman Hodes" w:hint="cs"/>
        </w:rPr>
        <w:instrText>Ref61253162 \r \h</w:instrText>
      </w:r>
      <w:r w:rsidRPr="00413A65">
        <w:rPr>
          <w:rStyle w:val="af7"/>
          <w:rFonts w:eastAsia="Guttman Hodes"/>
          <w:rtl/>
        </w:rPr>
        <w:instrText xml:space="preserve"> </w:instrText>
      </w:r>
      <w:r w:rsidRPr="00413A65">
        <w:rPr>
          <w:rStyle w:val="af7"/>
          <w:rFonts w:eastAsia="Guttman Hodes"/>
          <w:rtl/>
        </w:rPr>
      </w:r>
      <w:r w:rsidRPr="00413A65">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413A65">
        <w:rPr>
          <w:rStyle w:val="af7"/>
          <w:rFonts w:eastAsia="Guttman Hodes"/>
          <w:rtl/>
        </w:rPr>
        <w:fldChar w:fldCharType="end"/>
      </w:r>
      <w:r>
        <w:rPr>
          <w:rFonts w:hint="cs"/>
          <w:rtl/>
        </w:rPr>
        <w:t xml:space="preserve"> דמיגו למפרע לא אמרינן, א"כ אף כשאמר בתחילה שקנה מהמוכר שקנה מהמערער, ולא אמר בפירוש שהמוכר אמר לו שהוא קנה מהמערער, דאח"כ אינו נאמן לומר דהמכירה הייתה בפניו.</w:t>
      </w:r>
    </w:p>
    <w:p w:rsidR="005306EB" w:rsidRPr="002A3DA6" w:rsidRDefault="005306EB" w:rsidP="005306EB">
      <w:pPr>
        <w:pStyle w:val="a3"/>
      </w:pPr>
      <w:bookmarkStart w:id="11428" w:name="_Toc61388212"/>
      <w:bookmarkStart w:id="11429" w:name="_Toc61430878"/>
      <w:bookmarkStart w:id="11430" w:name="_Toc61433920"/>
      <w:bookmarkStart w:id="11431" w:name="_Toc61438641"/>
      <w:bookmarkStart w:id="11432" w:name="_Toc61469370"/>
      <w:bookmarkStart w:id="11433" w:name="_Toc61509748"/>
      <w:r>
        <w:rPr>
          <w:rFonts w:hint="cs"/>
          <w:rtl/>
        </w:rPr>
        <w:t>דחיית הש"ך דלתוס' מיגו למפרע ל"מ רק בהודה בתחילה אבל כשמפרש את דבריו נאמן</w:t>
      </w:r>
      <w:bookmarkEnd w:id="11428"/>
      <w:bookmarkEnd w:id="11429"/>
      <w:bookmarkEnd w:id="11430"/>
      <w:bookmarkEnd w:id="11431"/>
      <w:bookmarkEnd w:id="11432"/>
      <w:bookmarkEnd w:id="11433"/>
    </w:p>
    <w:p w:rsidR="005306EB" w:rsidRDefault="005306EB" w:rsidP="007E4E81">
      <w:pPr>
        <w:pStyle w:val="a0"/>
        <w:rPr>
          <w:rtl/>
        </w:rPr>
      </w:pPr>
      <w:bookmarkStart w:id="11434" w:name="_Ref61345655"/>
      <w:r>
        <w:rPr>
          <w:rFonts w:hint="cs"/>
          <w:rtl/>
        </w:rPr>
        <w:t xml:space="preserve">אך דחה </w:t>
      </w:r>
      <w:r w:rsidRPr="00B414F8">
        <w:rPr>
          <w:rStyle w:val="af9"/>
          <w:rFonts w:hint="cs"/>
          <w:rtl/>
        </w:rPr>
        <w:t>הש"ך</w:t>
      </w:r>
      <w:r>
        <w:rPr>
          <w:rFonts w:hint="cs"/>
          <w:rtl/>
        </w:rPr>
        <w:t xml:space="preserve"> דבאופן שמפרש את דבריו, לא אמרו </w:t>
      </w:r>
      <w:r w:rsidRPr="00B414F8">
        <w:rPr>
          <w:rStyle w:val="af9"/>
          <w:rFonts w:hint="cs"/>
          <w:rtl/>
        </w:rPr>
        <w:t>התוס'</w:t>
      </w:r>
      <w:r>
        <w:rPr>
          <w:rFonts w:hint="cs"/>
          <w:rtl/>
        </w:rPr>
        <w:t xml:space="preserve"> כלל דמיגו למפרע לא אמרינן, ורק כשהודה בתחילה שהייתה של המערער, דהיינו באופן שאמר שהוא חשב שהייתה של המערער, או שהודה דהמוכר אמר לו שהייתה של המערער, דבכה"ג איירי בגמ' בסוגיין, רק בכה"ג אינו נאמן כיון שהוא מיגו למפרע, וכתב </w:t>
      </w:r>
      <w:r w:rsidRPr="007A03B6">
        <w:rPr>
          <w:rStyle w:val="af9"/>
          <w:rFonts w:hint="cs"/>
          <w:rtl/>
        </w:rPr>
        <w:t>הש"ך</w:t>
      </w:r>
      <w:r>
        <w:rPr>
          <w:rFonts w:hint="cs"/>
          <w:rtl/>
        </w:rPr>
        <w:t xml:space="preserve"> דאעפ"י </w:t>
      </w:r>
      <w:r>
        <w:rPr>
          <w:rStyle w:val="af9"/>
          <w:rFonts w:hint="cs"/>
          <w:rtl/>
        </w:rPr>
        <w:t>ד</w:t>
      </w:r>
      <w:r w:rsidRPr="007A03B6">
        <w:rPr>
          <w:rStyle w:val="af9"/>
          <w:rFonts w:hint="cs"/>
          <w:rtl/>
        </w:rPr>
        <w:t>התוס'</w:t>
      </w:r>
      <w:r>
        <w:rPr>
          <w:rFonts w:hint="cs"/>
          <w:rtl/>
        </w:rPr>
        <w:t xml:space="preserve"> לא כתבו כן להדיא, היינו מחמת שקיצרו בלשונם. </w:t>
      </w:r>
      <w:r>
        <w:rPr>
          <w:rStyle w:val="afb"/>
          <w:rFonts w:hint="cs"/>
          <w:rtl/>
        </w:rPr>
        <w:t>[</w:t>
      </w:r>
      <w:r w:rsidRPr="007A03B6">
        <w:rPr>
          <w:rStyle w:val="afb"/>
          <w:rFonts w:hint="cs"/>
          <w:rtl/>
        </w:rPr>
        <w:t xml:space="preserve">וכתב </w:t>
      </w:r>
      <w:r w:rsidRPr="007A03B6">
        <w:rPr>
          <w:rStyle w:val="affa"/>
          <w:rFonts w:hint="cs"/>
          <w:rtl/>
        </w:rPr>
        <w:t>הש"ך</w:t>
      </w:r>
      <w:r w:rsidRPr="007A03B6">
        <w:rPr>
          <w:rStyle w:val="afb"/>
          <w:rFonts w:hint="cs"/>
          <w:rtl/>
        </w:rPr>
        <w:t xml:space="preserve"> דכן מוכח מהגמ' לקמן </w:t>
      </w:r>
      <w:r w:rsidRPr="007A03B6">
        <w:rPr>
          <w:rStyle w:val="aff6"/>
          <w:rFonts w:hint="cs"/>
          <w:rtl/>
        </w:rPr>
        <w:t>(מא:)</w:t>
      </w:r>
      <w:r w:rsidRPr="007A03B6">
        <w:rPr>
          <w:rStyle w:val="afb"/>
          <w:rFonts w:hint="cs"/>
          <w:rtl/>
        </w:rPr>
        <w:t xml:space="preserve"> דאיירי בטוען שהמוכר א"ל שקנה מהמערער].</w:t>
      </w:r>
      <w:bookmarkEnd w:id="11434"/>
    </w:p>
    <w:p w:rsidR="005306EB" w:rsidRPr="00F5183F" w:rsidRDefault="005306EB" w:rsidP="005306EB">
      <w:pPr>
        <w:pStyle w:val="a3"/>
        <w:rPr>
          <w:rtl/>
        </w:rPr>
      </w:pPr>
      <w:bookmarkStart w:id="11435" w:name="_Toc61388213"/>
      <w:bookmarkStart w:id="11436" w:name="_Toc61430879"/>
      <w:bookmarkStart w:id="11437" w:name="_Toc61433921"/>
      <w:bookmarkStart w:id="11438" w:name="_Toc61438642"/>
      <w:bookmarkStart w:id="11439" w:name="_Toc61469371"/>
      <w:bookmarkStart w:id="11440" w:name="_Toc61509749"/>
      <w:r>
        <w:rPr>
          <w:rFonts w:hint="cs"/>
          <w:rtl/>
        </w:rPr>
        <w:t>דברי הש"ך דבלא הוסיף שאמר לו המוכר שהוא קנה מהמערער מודו תוס' דנאמן לפרש דבריו</w:t>
      </w:r>
      <w:bookmarkEnd w:id="11435"/>
      <w:bookmarkEnd w:id="11436"/>
      <w:bookmarkEnd w:id="11437"/>
      <w:bookmarkEnd w:id="11438"/>
      <w:bookmarkEnd w:id="11439"/>
      <w:bookmarkEnd w:id="11440"/>
    </w:p>
    <w:p w:rsidR="005306EB" w:rsidRPr="00B14B7C" w:rsidRDefault="005306EB" w:rsidP="007E4E81">
      <w:pPr>
        <w:pStyle w:val="a0"/>
      </w:pPr>
      <w:bookmarkStart w:id="11441" w:name="_Ref61345101"/>
      <w:r>
        <w:rPr>
          <w:rFonts w:hint="cs"/>
          <w:rtl/>
        </w:rPr>
        <w:t xml:space="preserve">וכתב </w:t>
      </w:r>
      <w:r w:rsidRPr="007A03B6">
        <w:rPr>
          <w:rStyle w:val="af9"/>
          <w:rFonts w:hint="cs"/>
          <w:rtl/>
        </w:rPr>
        <w:t>הש"ך</w:t>
      </w:r>
      <w:r w:rsidRPr="001C5799">
        <w:rPr>
          <w:rStyle w:val="af7"/>
          <w:rFonts w:eastAsia="Guttman Hodes" w:hint="cs"/>
          <w:rtl/>
        </w:rPr>
        <w:t xml:space="preserve"> </w:t>
      </w:r>
      <w:r>
        <w:rPr>
          <w:rFonts w:hint="cs"/>
          <w:rtl/>
        </w:rPr>
        <w:t xml:space="preserve">דבאמר בתחילה אמר רק שהמוכר קנה מהמערער, ולא הוסיף כלל שהוא עצמו סבור שהיא של המערער, או שכך אמר לו המוכר, בכה"ג מודו </w:t>
      </w:r>
      <w:r w:rsidRPr="007A03B6">
        <w:rPr>
          <w:rStyle w:val="af9"/>
          <w:rFonts w:hint="cs"/>
          <w:rtl/>
        </w:rPr>
        <w:t>התוס'</w:t>
      </w:r>
      <w:r>
        <w:rPr>
          <w:rFonts w:hint="cs"/>
          <w:rtl/>
        </w:rPr>
        <w:t xml:space="preserve"> דהוא נאמן אח"כ לפרש את דבריו ולומר דכוונתו הייתה לטעון קמי דידי זבנה מינך, ואינו מיגו למפרע כלל, כיון שהוא מפרש את דיבורו שאמר בתחילה, דכשטען שהמוכר קנה מהמערער כוונתו הייתה דידוע לו בעצמו שהמוכר קנה מהמערער, שהוא בעצמו ראה את המכירה, וא"כ אף שהודה שהייתה של המערער, הוא גם טען שידוע לו שהמערער מכר למוכר, ודמי למוציא שטר עם שובר.</w:t>
      </w:r>
      <w:bookmarkEnd w:id="11441"/>
    </w:p>
    <w:p w:rsidR="005306EB" w:rsidRDefault="005306EB" w:rsidP="005306EB">
      <w:pPr>
        <w:pStyle w:val="a3"/>
        <w:rPr>
          <w:rtl/>
        </w:rPr>
      </w:pPr>
      <w:bookmarkStart w:id="11442" w:name="_Toc61388214"/>
      <w:bookmarkStart w:id="11443" w:name="_Toc61430880"/>
      <w:bookmarkStart w:id="11444" w:name="_Toc61433922"/>
      <w:bookmarkStart w:id="11445" w:name="_Toc61438643"/>
      <w:bookmarkStart w:id="11446" w:name="_Toc61469372"/>
      <w:bookmarkStart w:id="11447" w:name="_Toc61509750"/>
      <w:r>
        <w:rPr>
          <w:rFonts w:hint="cs"/>
          <w:rtl/>
        </w:rPr>
        <w:t>דברי הש"ך דנאמן לפרש את דבריו אף לאחר שיצא מב"ד כיון שלא התחייב בטענתו בב"ד</w:t>
      </w:r>
      <w:bookmarkEnd w:id="11442"/>
      <w:bookmarkEnd w:id="11443"/>
      <w:bookmarkEnd w:id="11444"/>
      <w:bookmarkEnd w:id="11445"/>
      <w:bookmarkEnd w:id="11446"/>
      <w:bookmarkEnd w:id="11447"/>
    </w:p>
    <w:p w:rsidR="005306EB" w:rsidRPr="00261460" w:rsidRDefault="005306EB" w:rsidP="007E4E81">
      <w:pPr>
        <w:pStyle w:val="a0"/>
        <w:rPr>
          <w:rtl/>
        </w:rPr>
      </w:pPr>
      <w:bookmarkStart w:id="11448" w:name="_Ref61345069"/>
      <w:r>
        <w:rPr>
          <w:rFonts w:hint="cs"/>
          <w:rtl/>
        </w:rPr>
        <w:t xml:space="preserve">והוסיף </w:t>
      </w:r>
      <w:r w:rsidRPr="00647C72">
        <w:rPr>
          <w:rStyle w:val="af9"/>
          <w:rFonts w:hint="cs"/>
          <w:rtl/>
        </w:rPr>
        <w:t>הש"ך</w:t>
      </w:r>
      <w:r>
        <w:rPr>
          <w:rFonts w:hint="cs"/>
          <w:rtl/>
        </w:rPr>
        <w:t xml:space="preserve"> דכל שהוא נאמן לפרש את דבריו, הנאמנות שלו היא גם לאחר שיצא מב"ד, ודלא </w:t>
      </w:r>
      <w:r w:rsidRPr="00647C72">
        <w:rPr>
          <w:rStyle w:val="af9"/>
          <w:rFonts w:hint="cs"/>
          <w:rtl/>
        </w:rPr>
        <w:t>כהסמ"ע</w:t>
      </w:r>
      <w:r>
        <w:rPr>
          <w:rFonts w:hint="cs"/>
          <w:rtl/>
        </w:rPr>
        <w:t xml:space="preserve"> </w:t>
      </w:r>
      <w:r w:rsidRPr="00564460">
        <w:rPr>
          <w:rStyle w:val="af7"/>
          <w:rFonts w:eastAsia="Guttman Hodes" w:hint="cs"/>
          <w:rtl/>
        </w:rPr>
        <w:t xml:space="preserve">(עי' אות </w:t>
      </w:r>
      <w:r w:rsidRPr="00564460">
        <w:rPr>
          <w:rStyle w:val="af7"/>
          <w:rFonts w:eastAsia="Guttman Hodes"/>
          <w:rtl/>
        </w:rPr>
        <w:fldChar w:fldCharType="begin"/>
      </w:r>
      <w:r w:rsidRPr="00564460">
        <w:rPr>
          <w:rStyle w:val="af7"/>
          <w:rFonts w:eastAsia="Guttman Hodes"/>
          <w:rtl/>
        </w:rPr>
        <w:instrText xml:space="preserve"> </w:instrText>
      </w:r>
      <w:r w:rsidRPr="00564460">
        <w:rPr>
          <w:rStyle w:val="af7"/>
          <w:rFonts w:eastAsia="Guttman Hodes" w:hint="cs"/>
        </w:rPr>
        <w:instrText>REF</w:instrText>
      </w:r>
      <w:r w:rsidRPr="00564460">
        <w:rPr>
          <w:rStyle w:val="af7"/>
          <w:rFonts w:eastAsia="Guttman Hodes" w:hint="cs"/>
          <w:rtl/>
        </w:rPr>
        <w:instrText xml:space="preserve"> _</w:instrText>
      </w:r>
      <w:r w:rsidRPr="00564460">
        <w:rPr>
          <w:rStyle w:val="af7"/>
          <w:rFonts w:eastAsia="Guttman Hodes" w:hint="cs"/>
        </w:rPr>
        <w:instrText>Ref61345043 \r \h</w:instrText>
      </w:r>
      <w:r w:rsidRPr="00564460">
        <w:rPr>
          <w:rStyle w:val="af7"/>
          <w:rFonts w:eastAsia="Guttman Hodes"/>
          <w:rtl/>
        </w:rPr>
        <w:instrText xml:space="preserve"> </w:instrText>
      </w:r>
      <w:r w:rsidRPr="00564460">
        <w:rPr>
          <w:rStyle w:val="af7"/>
          <w:rFonts w:eastAsia="Guttman Hodes"/>
          <w:rtl/>
        </w:rPr>
      </w:r>
      <w:r w:rsidRPr="00564460">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564460">
        <w:rPr>
          <w:rStyle w:val="af7"/>
          <w:rFonts w:eastAsia="Guttman Hodes"/>
          <w:rtl/>
        </w:rPr>
        <w:fldChar w:fldCharType="end"/>
      </w:r>
      <w:r>
        <w:rPr>
          <w:rFonts w:hint="cs"/>
          <w:rtl/>
        </w:rPr>
        <w:t>, וביאר</w:t>
      </w:r>
      <w:r w:rsidRPr="00647C72">
        <w:rPr>
          <w:rStyle w:val="af9"/>
          <w:rFonts w:hint="cs"/>
          <w:rtl/>
        </w:rPr>
        <w:t xml:space="preserve"> הש"ך </w:t>
      </w:r>
      <w:r>
        <w:rPr>
          <w:rFonts w:hint="cs"/>
          <w:rtl/>
        </w:rPr>
        <w:t>דכיון שבתחילת דבריו לא אמר לשון שמשמע ממנו דהוא עצמו מסופק אם המערער מכר למוכר או לא, א"כ הוא יכול לטעון דמה שאמר בתחילה שהמוכר קנה מהמערער, היינו שהיה ברור לו שכך היה, וכ"מ שאינו נאמן לפרש את דבריו לאחר שיצא מב"ד, היינו באופן שהתחייב בטענתו, אבל הכא שהטענה אינו מחייבתו, אלא להיפך הב"ד עצמם צריכים לפרש את דבריו דכוונתו הייתה לומר שברור לו שהמוכר קנה מהמערער, כגון שנתכוון לטעון קמי דידי זבנה מינך, או שנתכוון לטעון דהמערער הודה לו שמכרה למוכר, ולכן אף שהוא כבר יצא מב"ד, הוא נאמן לפרש את דבריו.</w:t>
      </w:r>
      <w:bookmarkEnd w:id="11448"/>
    </w:p>
    <w:p w:rsidR="005306EB" w:rsidRDefault="005306EB" w:rsidP="005306EB">
      <w:pPr>
        <w:pStyle w:val="1"/>
        <w:rPr>
          <w:rtl/>
        </w:rPr>
      </w:pPr>
      <w:bookmarkStart w:id="11449" w:name="_Toc61388215"/>
      <w:bookmarkStart w:id="11450" w:name="_Toc61430881"/>
      <w:bookmarkStart w:id="11451" w:name="_Toc61433923"/>
      <w:bookmarkStart w:id="11452" w:name="_Toc61438644"/>
      <w:bookmarkStart w:id="11453" w:name="_Toc61469373"/>
      <w:bookmarkStart w:id="11454" w:name="_Toc61509751"/>
      <w:bookmarkStart w:id="11455" w:name="_Toc61010727"/>
      <w:bookmarkStart w:id="11456" w:name="_Toc61200669"/>
      <w:bookmarkStart w:id="11457" w:name="_Toc61213867"/>
      <w:r>
        <w:rPr>
          <w:rFonts w:hint="cs"/>
          <w:rtl/>
        </w:rPr>
        <w:t>הוכחת הגרעק"א מהתוס' דבסתמא אינו נאמן לפרש דבריו</w:t>
      </w:r>
      <w:bookmarkEnd w:id="11449"/>
      <w:bookmarkEnd w:id="11450"/>
      <w:bookmarkEnd w:id="11451"/>
      <w:bookmarkEnd w:id="11452"/>
      <w:bookmarkEnd w:id="11453"/>
      <w:bookmarkEnd w:id="11454"/>
    </w:p>
    <w:p w:rsidR="005306EB" w:rsidRDefault="005306EB" w:rsidP="005306EB">
      <w:pPr>
        <w:pStyle w:val="a3"/>
        <w:rPr>
          <w:rtl/>
        </w:rPr>
      </w:pPr>
      <w:bookmarkStart w:id="11458" w:name="_Toc61388216"/>
      <w:bookmarkStart w:id="11459" w:name="_Toc61430882"/>
      <w:bookmarkStart w:id="11460" w:name="_Toc61433924"/>
      <w:bookmarkStart w:id="11461" w:name="_Toc61438645"/>
      <w:bookmarkStart w:id="11462" w:name="_Toc61469374"/>
      <w:bookmarkStart w:id="11463" w:name="_Toc61509752"/>
      <w:r>
        <w:rPr>
          <w:rFonts w:hint="cs"/>
          <w:rtl/>
        </w:rPr>
        <w:t>ביאור הגרעק"א בש"ך דלתוס' כשמפרש דבריו לא חשיב מיגו למפרע ולכן נאמן</w:t>
      </w:r>
      <w:bookmarkEnd w:id="11458"/>
      <w:bookmarkEnd w:id="11459"/>
      <w:bookmarkEnd w:id="11460"/>
      <w:bookmarkEnd w:id="11461"/>
      <w:bookmarkEnd w:id="11462"/>
      <w:bookmarkEnd w:id="11463"/>
    </w:p>
    <w:p w:rsidR="005306EB" w:rsidRDefault="005306EB" w:rsidP="007E4E81">
      <w:pPr>
        <w:pStyle w:val="a0"/>
        <w:rPr>
          <w:rtl/>
        </w:rPr>
      </w:pPr>
      <w:r>
        <w:rPr>
          <w:rFonts w:hint="cs"/>
          <w:rtl/>
        </w:rPr>
        <w:t xml:space="preserve">וביאר </w:t>
      </w:r>
      <w:r w:rsidRPr="009754D7">
        <w:rPr>
          <w:rStyle w:val="af9"/>
          <w:rFonts w:hint="cs"/>
          <w:rtl/>
        </w:rPr>
        <w:t>הגרעק"א</w:t>
      </w:r>
      <w:r>
        <w:rPr>
          <w:rFonts w:hint="cs"/>
          <w:rtl/>
        </w:rPr>
        <w:t xml:space="preserve"> </w:t>
      </w:r>
      <w:r w:rsidRPr="00A65197">
        <w:rPr>
          <w:rStyle w:val="af7"/>
          <w:rFonts w:eastAsia="Guttman Hodes" w:hint="cs"/>
          <w:rtl/>
        </w:rPr>
        <w:t>(על תוד"ה לאו, שו"ת ח"ג סי' כ"ח</w:t>
      </w:r>
      <w:r>
        <w:rPr>
          <w:rStyle w:val="af7"/>
          <w:rFonts w:eastAsia="Guttman Hodes" w:hint="cs"/>
          <w:rtl/>
        </w:rPr>
        <w:t xml:space="preserve">, </w:t>
      </w:r>
      <w:r w:rsidRPr="00A65197">
        <w:rPr>
          <w:rStyle w:val="af7"/>
          <w:rFonts w:eastAsia="Guttman Hodes" w:hint="cs"/>
          <w:rtl/>
        </w:rPr>
        <w:t>ד"ה דעת הש"ך, שו"ת מהדו"ת סי' מ"ה ד"ה מ"ש עוד ידידי)</w:t>
      </w:r>
      <w:r>
        <w:rPr>
          <w:rFonts w:hint="cs"/>
          <w:rtl/>
        </w:rPr>
        <w:t xml:space="preserve"> דכוונת </w:t>
      </w:r>
      <w:r w:rsidRPr="009754D7">
        <w:rPr>
          <w:rStyle w:val="af9"/>
          <w:rFonts w:hint="cs"/>
          <w:rtl/>
        </w:rPr>
        <w:t>הש"ך</w:t>
      </w:r>
      <w:r w:rsidRPr="00564460">
        <w:rPr>
          <w:rStyle w:val="af7"/>
          <w:rFonts w:eastAsia="Guttman Hodes" w:hint="cs"/>
          <w:rtl/>
        </w:rPr>
        <w:t xml:space="preserve"> (עי' אות </w:t>
      </w:r>
      <w:r w:rsidRPr="00564460">
        <w:rPr>
          <w:rStyle w:val="af7"/>
          <w:rFonts w:eastAsia="Guttman Hodes"/>
          <w:rtl/>
        </w:rPr>
        <w:fldChar w:fldCharType="begin"/>
      </w:r>
      <w:r w:rsidRPr="00564460">
        <w:rPr>
          <w:rStyle w:val="af7"/>
          <w:rFonts w:eastAsia="Guttman Hodes"/>
          <w:rtl/>
        </w:rPr>
        <w:instrText xml:space="preserve"> </w:instrText>
      </w:r>
      <w:r w:rsidRPr="00564460">
        <w:rPr>
          <w:rStyle w:val="af7"/>
          <w:rFonts w:eastAsia="Guttman Hodes" w:hint="cs"/>
        </w:rPr>
        <w:instrText>REF</w:instrText>
      </w:r>
      <w:r w:rsidRPr="00564460">
        <w:rPr>
          <w:rStyle w:val="af7"/>
          <w:rFonts w:eastAsia="Guttman Hodes" w:hint="cs"/>
          <w:rtl/>
        </w:rPr>
        <w:instrText xml:space="preserve"> _</w:instrText>
      </w:r>
      <w:r w:rsidRPr="00564460">
        <w:rPr>
          <w:rStyle w:val="af7"/>
          <w:rFonts w:eastAsia="Guttman Hodes" w:hint="cs"/>
        </w:rPr>
        <w:instrText>Ref61345101 \r \h</w:instrText>
      </w:r>
      <w:r w:rsidRPr="00564460">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564460">
        <w:rPr>
          <w:rStyle w:val="af7"/>
          <w:rFonts w:eastAsia="Guttman Hodes"/>
          <w:rtl/>
        </w:rPr>
      </w:r>
      <w:r w:rsidRPr="00564460">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564460">
        <w:rPr>
          <w:rStyle w:val="af7"/>
          <w:rFonts w:eastAsia="Guttman Hodes"/>
          <w:rtl/>
        </w:rPr>
        <w:fldChar w:fldCharType="end"/>
      </w:r>
      <w:r w:rsidRPr="00564460">
        <w:rPr>
          <w:rStyle w:val="af7"/>
          <w:rFonts w:eastAsia="Guttman Hodes" w:hint="cs"/>
          <w:rtl/>
        </w:rPr>
        <w:t xml:space="preserve"> </w:t>
      </w:r>
      <w:r>
        <w:rPr>
          <w:rFonts w:hint="cs"/>
          <w:rtl/>
        </w:rPr>
        <w:t xml:space="preserve">לומר דבאופן שהמחזיק מפרש את דבריו שאמר בתחילה, כל שהיה לו בתחילה מיגו, אי"ז נחשב למיגו למפרע, ולכן מודו </w:t>
      </w:r>
      <w:r w:rsidRPr="00564460">
        <w:rPr>
          <w:rStyle w:val="af9"/>
          <w:rFonts w:hint="cs"/>
          <w:rtl/>
        </w:rPr>
        <w:t xml:space="preserve">התוס' </w:t>
      </w:r>
      <w:r>
        <w:rPr>
          <w:rFonts w:hint="cs"/>
          <w:rtl/>
        </w:rPr>
        <w:t>דנאמן.</w:t>
      </w:r>
    </w:p>
    <w:p w:rsidR="005306EB" w:rsidRDefault="005306EB" w:rsidP="005306EB">
      <w:pPr>
        <w:pStyle w:val="a3"/>
        <w:rPr>
          <w:rtl/>
        </w:rPr>
      </w:pPr>
      <w:bookmarkStart w:id="11464" w:name="_Toc61388217"/>
      <w:bookmarkStart w:id="11465" w:name="_Toc61430883"/>
      <w:bookmarkStart w:id="11466" w:name="_Toc61433925"/>
      <w:bookmarkStart w:id="11467" w:name="_Toc61438646"/>
      <w:bookmarkStart w:id="11468" w:name="_Toc61469375"/>
      <w:bookmarkStart w:id="11469" w:name="_Toc61509753"/>
      <w:bookmarkEnd w:id="11455"/>
      <w:bookmarkEnd w:id="11456"/>
      <w:bookmarkEnd w:id="11457"/>
      <w:r>
        <w:rPr>
          <w:rFonts w:hint="cs"/>
          <w:rtl/>
        </w:rPr>
        <w:t>הוכחת הגרעק"א כסמ"ע דהתוס' איירי כשלא טען שכך א"ל המוכר ואפ"ה חשיב מיגו למפרע</w:t>
      </w:r>
      <w:bookmarkEnd w:id="11464"/>
      <w:bookmarkEnd w:id="11465"/>
      <w:bookmarkEnd w:id="11466"/>
      <w:bookmarkEnd w:id="11467"/>
      <w:bookmarkEnd w:id="11468"/>
      <w:bookmarkEnd w:id="11469"/>
      <w:r>
        <w:rPr>
          <w:rFonts w:hint="cs"/>
          <w:rtl/>
        </w:rPr>
        <w:t xml:space="preserve"> </w:t>
      </w:r>
    </w:p>
    <w:p w:rsidR="005306EB" w:rsidRDefault="005306EB" w:rsidP="007E4E81">
      <w:pPr>
        <w:pStyle w:val="a0"/>
        <w:rPr>
          <w:rtl/>
        </w:rPr>
      </w:pPr>
      <w:bookmarkStart w:id="11470" w:name="_Ref61345490"/>
      <w:r>
        <w:rPr>
          <w:rFonts w:hint="cs"/>
          <w:rtl/>
        </w:rPr>
        <w:t xml:space="preserve">אך כתב </w:t>
      </w:r>
      <w:r w:rsidRPr="009754D7">
        <w:rPr>
          <w:rStyle w:val="af9"/>
          <w:rFonts w:hint="cs"/>
          <w:rtl/>
        </w:rPr>
        <w:t>הגרעק"א</w:t>
      </w:r>
      <w:r>
        <w:rPr>
          <w:rFonts w:hint="cs"/>
          <w:rtl/>
        </w:rPr>
        <w:t xml:space="preserve"> </w:t>
      </w:r>
      <w:r w:rsidRPr="00A65197">
        <w:rPr>
          <w:rStyle w:val="af7"/>
          <w:rFonts w:eastAsia="Guttman Hodes" w:hint="cs"/>
          <w:rtl/>
        </w:rPr>
        <w:t>(על תוד"ה לאו, שו"ת ח"ג סי' כ"ח)</w:t>
      </w:r>
      <w:r>
        <w:rPr>
          <w:rFonts w:hint="cs"/>
          <w:rtl/>
        </w:rPr>
        <w:t xml:space="preserve"> דבפשטות נראה לומר כדעת </w:t>
      </w:r>
      <w:r w:rsidRPr="00D2061D">
        <w:rPr>
          <w:rStyle w:val="af9"/>
          <w:rFonts w:hint="cs"/>
          <w:rtl/>
        </w:rPr>
        <w:t>הסמ"ע</w:t>
      </w:r>
      <w:r w:rsidRPr="00D2061D">
        <w:rPr>
          <w:rFonts w:hint="cs"/>
          <w:rtl/>
        </w:rPr>
        <w:t xml:space="preserve"> </w:t>
      </w:r>
      <w:r w:rsidRPr="00D2061D">
        <w:rPr>
          <w:rStyle w:val="af7"/>
          <w:rFonts w:eastAsia="Guttman Hodes" w:hint="cs"/>
          <w:rtl/>
        </w:rPr>
        <w:t xml:space="preserve">(עי' אות </w:t>
      </w:r>
      <w:r w:rsidRPr="00D2061D">
        <w:rPr>
          <w:rStyle w:val="af7"/>
          <w:rFonts w:eastAsia="Guttman Hodes"/>
          <w:rtl/>
        </w:rPr>
        <w:fldChar w:fldCharType="begin"/>
      </w:r>
      <w:r w:rsidRPr="00D2061D">
        <w:rPr>
          <w:rStyle w:val="af7"/>
          <w:rFonts w:eastAsia="Guttman Hodes"/>
          <w:rtl/>
        </w:rPr>
        <w:instrText xml:space="preserve"> </w:instrText>
      </w:r>
      <w:r w:rsidRPr="00D2061D">
        <w:rPr>
          <w:rStyle w:val="af7"/>
          <w:rFonts w:eastAsia="Guttman Hodes" w:hint="cs"/>
        </w:rPr>
        <w:instrText>REF</w:instrText>
      </w:r>
      <w:r w:rsidRPr="00D2061D">
        <w:rPr>
          <w:rStyle w:val="af7"/>
          <w:rFonts w:eastAsia="Guttman Hodes" w:hint="cs"/>
          <w:rtl/>
        </w:rPr>
        <w:instrText xml:space="preserve"> _</w:instrText>
      </w:r>
      <w:r w:rsidRPr="00D2061D">
        <w:rPr>
          <w:rStyle w:val="af7"/>
          <w:rFonts w:eastAsia="Guttman Hodes" w:hint="cs"/>
        </w:rPr>
        <w:instrText>Ref60937281 \r \h</w:instrText>
      </w:r>
      <w:r w:rsidRPr="00D2061D">
        <w:rPr>
          <w:rStyle w:val="af7"/>
          <w:rFonts w:eastAsia="Guttman Hodes"/>
          <w:rtl/>
        </w:rPr>
        <w:instrText xml:space="preserve">  \* </w:instrText>
      </w:r>
      <w:r w:rsidRPr="00D2061D">
        <w:rPr>
          <w:rStyle w:val="af7"/>
          <w:rFonts w:eastAsia="Guttman Hodes"/>
        </w:rPr>
        <w:instrText>MERGEFORMAT</w:instrText>
      </w:r>
      <w:r w:rsidRPr="00D2061D">
        <w:rPr>
          <w:rStyle w:val="af7"/>
          <w:rFonts w:eastAsia="Guttman Hodes"/>
          <w:rtl/>
        </w:rPr>
        <w:instrText xml:space="preserve"> </w:instrText>
      </w:r>
      <w:r w:rsidRPr="00D2061D">
        <w:rPr>
          <w:rStyle w:val="af7"/>
          <w:rFonts w:eastAsia="Guttman Hodes"/>
          <w:rtl/>
        </w:rPr>
      </w:r>
      <w:r w:rsidRPr="00D2061D">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D2061D">
        <w:rPr>
          <w:rStyle w:val="af7"/>
          <w:rFonts w:eastAsia="Guttman Hodes"/>
          <w:rtl/>
        </w:rPr>
        <w:fldChar w:fldCharType="end"/>
      </w:r>
      <w:r>
        <w:rPr>
          <w:rFonts w:hint="cs"/>
          <w:rtl/>
        </w:rPr>
        <w:t xml:space="preserve"> לדעת </w:t>
      </w:r>
      <w:r w:rsidRPr="007B764A">
        <w:rPr>
          <w:rStyle w:val="af9"/>
          <w:rFonts w:hint="cs"/>
          <w:rtl/>
        </w:rPr>
        <w:t xml:space="preserve">התוס' </w:t>
      </w:r>
      <w:r>
        <w:rPr>
          <w:rFonts w:hint="cs"/>
          <w:rtl/>
        </w:rPr>
        <w:t xml:space="preserve">אינו נאמן לפרש את דבריו, דהא </w:t>
      </w:r>
      <w:r>
        <w:rPr>
          <w:rFonts w:hint="cs"/>
          <w:rtl/>
        </w:rPr>
        <w:t xml:space="preserve">בדברי </w:t>
      </w:r>
      <w:r w:rsidRPr="009754D7">
        <w:rPr>
          <w:rStyle w:val="af9"/>
          <w:rFonts w:hint="cs"/>
          <w:rtl/>
        </w:rPr>
        <w:t>התוס'</w:t>
      </w:r>
      <w:r>
        <w:rPr>
          <w:rFonts w:hint="cs"/>
          <w:rtl/>
        </w:rPr>
        <w:t xml:space="preserve"> </w:t>
      </w:r>
      <w:r w:rsidRPr="00413A65">
        <w:rPr>
          <w:rStyle w:val="af7"/>
          <w:rFonts w:eastAsia="Guttman Hodes" w:hint="cs"/>
          <w:rtl/>
        </w:rPr>
        <w:t xml:space="preserve">(עי' אות </w:t>
      </w:r>
      <w:r w:rsidRPr="00413A65">
        <w:rPr>
          <w:rStyle w:val="af7"/>
          <w:rFonts w:eastAsia="Guttman Hodes"/>
          <w:rtl/>
        </w:rPr>
        <w:fldChar w:fldCharType="begin"/>
      </w:r>
      <w:r w:rsidRPr="00413A65">
        <w:rPr>
          <w:rStyle w:val="af7"/>
          <w:rFonts w:eastAsia="Guttman Hodes"/>
          <w:rtl/>
        </w:rPr>
        <w:instrText xml:space="preserve"> </w:instrText>
      </w:r>
      <w:r w:rsidRPr="00413A65">
        <w:rPr>
          <w:rStyle w:val="af7"/>
          <w:rFonts w:eastAsia="Guttman Hodes" w:hint="cs"/>
        </w:rPr>
        <w:instrText>REF</w:instrText>
      </w:r>
      <w:r w:rsidRPr="00413A65">
        <w:rPr>
          <w:rStyle w:val="af7"/>
          <w:rFonts w:eastAsia="Guttman Hodes" w:hint="cs"/>
          <w:rtl/>
        </w:rPr>
        <w:instrText xml:space="preserve"> _</w:instrText>
      </w:r>
      <w:r w:rsidRPr="00413A65">
        <w:rPr>
          <w:rStyle w:val="af7"/>
          <w:rFonts w:eastAsia="Guttman Hodes" w:hint="cs"/>
        </w:rPr>
        <w:instrText>Ref61253162 \r \h</w:instrText>
      </w:r>
      <w:r w:rsidRPr="00413A65">
        <w:rPr>
          <w:rStyle w:val="af7"/>
          <w:rFonts w:eastAsia="Guttman Hodes"/>
          <w:rtl/>
        </w:rPr>
        <w:instrText xml:space="preserve"> </w:instrText>
      </w:r>
      <w:r w:rsidRPr="00413A65">
        <w:rPr>
          <w:rStyle w:val="af7"/>
          <w:rFonts w:eastAsia="Guttman Hodes"/>
          <w:rtl/>
        </w:rPr>
      </w:r>
      <w:r w:rsidRPr="00413A65">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413A65">
        <w:rPr>
          <w:rStyle w:val="af7"/>
          <w:rFonts w:eastAsia="Guttman Hodes"/>
          <w:rtl/>
        </w:rPr>
        <w:fldChar w:fldCharType="end"/>
      </w:r>
      <w:r>
        <w:rPr>
          <w:rFonts w:hint="cs"/>
          <w:rtl/>
        </w:rPr>
        <w:t xml:space="preserve"> מוכח דלא איירי באופן שהמחזיק אמר בפירוש שכך א"ל המוכר, דא"כ לא היה </w:t>
      </w:r>
      <w:r w:rsidRPr="00564460">
        <w:rPr>
          <w:rStyle w:val="af9"/>
          <w:rFonts w:hint="cs"/>
          <w:rtl/>
        </w:rPr>
        <w:t xml:space="preserve">להתוס' </w:t>
      </w:r>
      <w:r>
        <w:rPr>
          <w:rFonts w:hint="cs"/>
          <w:rtl/>
        </w:rPr>
        <w:t xml:space="preserve">לומר דאינו נאמן מחמת דהוא מיגו למפרע, דהא אחר שהודה שהייתה של המערער, </w:t>
      </w:r>
      <w:r w:rsidRPr="007B764A">
        <w:rPr>
          <w:rStyle w:val="afb"/>
          <w:rFonts w:hint="cs"/>
          <w:rtl/>
        </w:rPr>
        <w:t>[ויש לו רק ספק אם מכר המערער למחזיק],</w:t>
      </w:r>
      <w:r>
        <w:rPr>
          <w:rFonts w:hint="cs"/>
          <w:rtl/>
        </w:rPr>
        <w:t xml:space="preserve"> פשיטא שאינו נאמן דאינו חוזר וטוען, ואמאי הוצרכו </w:t>
      </w:r>
      <w:r w:rsidRPr="00E176B4">
        <w:rPr>
          <w:rStyle w:val="af9"/>
          <w:rFonts w:hint="cs"/>
          <w:rtl/>
        </w:rPr>
        <w:t>התוס'</w:t>
      </w:r>
      <w:r>
        <w:rPr>
          <w:rFonts w:hint="cs"/>
          <w:rtl/>
        </w:rPr>
        <w:t xml:space="preserve"> לומר דאינו נאמן מחמת דהוא מיגו למפרע, ומוכח דאף באופן שאמר בסתמא שהמוכר קנה מהמערער, ולא אמר שכך אמר לו המוכר, ס"ל</w:t>
      </w:r>
      <w:r w:rsidRPr="002C26F0">
        <w:rPr>
          <w:rStyle w:val="af9"/>
          <w:rFonts w:hint="cs"/>
          <w:rtl/>
        </w:rPr>
        <w:t xml:space="preserve"> להתוס' </w:t>
      </w:r>
      <w:r>
        <w:rPr>
          <w:rFonts w:hint="cs"/>
          <w:rtl/>
        </w:rPr>
        <w:t>דהוא מיגו למפרע ואינו נאמן לפרש את דבריו.</w:t>
      </w:r>
      <w:bookmarkEnd w:id="11470"/>
    </w:p>
    <w:p w:rsidR="005306EB" w:rsidRPr="007B764A" w:rsidRDefault="005306EB" w:rsidP="005306EB">
      <w:pPr>
        <w:pStyle w:val="a3"/>
      </w:pPr>
      <w:bookmarkStart w:id="11471" w:name="_Toc61388218"/>
      <w:bookmarkStart w:id="11472" w:name="_Toc61430884"/>
      <w:bookmarkStart w:id="11473" w:name="_Toc61433926"/>
      <w:bookmarkStart w:id="11474" w:name="_Toc61438647"/>
      <w:bookmarkStart w:id="11475" w:name="_Toc61469376"/>
      <w:bookmarkStart w:id="11476" w:name="_Toc61509754"/>
      <w:r>
        <w:rPr>
          <w:rFonts w:hint="cs"/>
          <w:rtl/>
        </w:rPr>
        <w:t>הוכחת הגרעק"א מהרא"ש דמפרש את דבריו אינו שייך כלל לדין מיגו מפרע</w:t>
      </w:r>
      <w:bookmarkEnd w:id="11471"/>
      <w:bookmarkEnd w:id="11472"/>
      <w:bookmarkEnd w:id="11473"/>
      <w:bookmarkEnd w:id="11474"/>
      <w:bookmarkEnd w:id="11475"/>
      <w:bookmarkEnd w:id="11476"/>
    </w:p>
    <w:p w:rsidR="005306EB" w:rsidRDefault="005306EB" w:rsidP="007E4E81">
      <w:pPr>
        <w:pStyle w:val="a0"/>
        <w:rPr>
          <w:rtl/>
        </w:rPr>
      </w:pPr>
      <w:r>
        <w:rPr>
          <w:rFonts w:hint="cs"/>
          <w:rtl/>
        </w:rPr>
        <w:t xml:space="preserve">והוסיף </w:t>
      </w:r>
      <w:r w:rsidRPr="007A03B6">
        <w:rPr>
          <w:rStyle w:val="af9"/>
          <w:rFonts w:hint="cs"/>
          <w:rtl/>
        </w:rPr>
        <w:t>הגרעק"א</w:t>
      </w:r>
      <w:r>
        <w:rPr>
          <w:rFonts w:hint="cs"/>
          <w:rtl/>
        </w:rPr>
        <w:t xml:space="preserve"> דכן מוכח מהא </w:t>
      </w:r>
      <w:r w:rsidRPr="007A03B6">
        <w:rPr>
          <w:rStyle w:val="af9"/>
          <w:rFonts w:hint="cs"/>
          <w:rtl/>
        </w:rPr>
        <w:t>דהרא"ש</w:t>
      </w:r>
      <w:r>
        <w:rPr>
          <w:rFonts w:hint="cs"/>
          <w:rtl/>
        </w:rPr>
        <w:t xml:space="preserve"> לא הזכיר כלל את דברי </w:t>
      </w:r>
      <w:r w:rsidRPr="007A03B6">
        <w:rPr>
          <w:rStyle w:val="af9"/>
          <w:rFonts w:hint="cs"/>
          <w:rtl/>
        </w:rPr>
        <w:t>התוס'</w:t>
      </w:r>
      <w:r>
        <w:rPr>
          <w:rFonts w:hint="cs"/>
          <w:rtl/>
        </w:rPr>
        <w:t xml:space="preserve"> דמיגו למפרע לא אמרינן, ואפ"ה כתב </w:t>
      </w:r>
      <w:r w:rsidRPr="007A03B6">
        <w:rPr>
          <w:rStyle w:val="af9"/>
          <w:rFonts w:hint="cs"/>
          <w:rtl/>
        </w:rPr>
        <w:t>הרא"ש</w:t>
      </w:r>
      <w:r>
        <w:rPr>
          <w:rFonts w:hint="cs"/>
          <w:rtl/>
        </w:rPr>
        <w:t xml:space="preserve"> </w:t>
      </w:r>
      <w:r w:rsidRPr="007B764A">
        <w:rPr>
          <w:rStyle w:val="af7"/>
          <w:rFonts w:eastAsia="Guttman Hodes" w:hint="cs"/>
          <w:rtl/>
        </w:rPr>
        <w:t xml:space="preserve">(עי' אות </w:t>
      </w:r>
      <w:r w:rsidRPr="007B764A">
        <w:rPr>
          <w:rStyle w:val="af7"/>
          <w:rFonts w:eastAsia="Guttman Hodes"/>
          <w:rtl/>
        </w:rPr>
        <w:fldChar w:fldCharType="begin"/>
      </w:r>
      <w:r w:rsidRPr="007B764A">
        <w:rPr>
          <w:rStyle w:val="af7"/>
          <w:rFonts w:eastAsia="Guttman Hodes"/>
          <w:rtl/>
        </w:rPr>
        <w:instrText xml:space="preserve"> </w:instrText>
      </w:r>
      <w:r w:rsidRPr="007B764A">
        <w:rPr>
          <w:rStyle w:val="af7"/>
          <w:rFonts w:eastAsia="Guttman Hodes" w:hint="cs"/>
        </w:rPr>
        <w:instrText>REF</w:instrText>
      </w:r>
      <w:r w:rsidRPr="007B764A">
        <w:rPr>
          <w:rStyle w:val="af7"/>
          <w:rFonts w:eastAsia="Guttman Hodes" w:hint="cs"/>
          <w:rtl/>
        </w:rPr>
        <w:instrText xml:space="preserve"> _</w:instrText>
      </w:r>
      <w:r w:rsidRPr="007B764A">
        <w:rPr>
          <w:rStyle w:val="af7"/>
          <w:rFonts w:eastAsia="Guttman Hodes" w:hint="cs"/>
        </w:rPr>
        <w:instrText>Ref61345436 \r \h</w:instrText>
      </w:r>
      <w:r w:rsidRPr="007B764A">
        <w:rPr>
          <w:rStyle w:val="af7"/>
          <w:rFonts w:eastAsia="Guttman Hodes"/>
          <w:rtl/>
        </w:rPr>
        <w:instrText xml:space="preserve"> </w:instrText>
      </w:r>
      <w:r w:rsidRPr="007B764A">
        <w:rPr>
          <w:rStyle w:val="af7"/>
          <w:rFonts w:eastAsia="Guttman Hodes"/>
          <w:rtl/>
        </w:rPr>
      </w:r>
      <w:r w:rsidRPr="007B764A">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7B764A">
        <w:rPr>
          <w:rStyle w:val="af7"/>
          <w:rFonts w:eastAsia="Guttman Hodes"/>
          <w:rtl/>
        </w:rPr>
        <w:fldChar w:fldCharType="end"/>
      </w:r>
      <w:r w:rsidRPr="007B764A">
        <w:rPr>
          <w:rStyle w:val="af7"/>
          <w:rFonts w:eastAsia="Guttman Hodes" w:hint="cs"/>
          <w:rtl/>
        </w:rPr>
        <w:t xml:space="preserve"> </w:t>
      </w:r>
      <w:r>
        <w:rPr>
          <w:rFonts w:hint="cs"/>
          <w:rtl/>
        </w:rPr>
        <w:t>דאם אמר בתחלה שהמוכר א"ל שקנה מהמערער, דאינו נאמן אח"כ לטעון קמי דידי זבנה מינך, ומוכח דאי"ז שייך לדין מיגו למפרע כלל.</w:t>
      </w:r>
    </w:p>
    <w:p w:rsidR="005306EB" w:rsidRDefault="005306EB" w:rsidP="005306EB">
      <w:pPr>
        <w:pStyle w:val="a3"/>
        <w:rPr>
          <w:rtl/>
        </w:rPr>
      </w:pPr>
      <w:bookmarkStart w:id="11477" w:name="_Toc61388219"/>
      <w:bookmarkStart w:id="11478" w:name="_Toc61430885"/>
      <w:bookmarkStart w:id="11479" w:name="_Toc61433927"/>
      <w:bookmarkStart w:id="11480" w:name="_Toc61438648"/>
      <w:bookmarkStart w:id="11481" w:name="_Toc61469377"/>
      <w:bookmarkStart w:id="11482" w:name="_Toc61509755"/>
      <w:r>
        <w:rPr>
          <w:rFonts w:hint="cs"/>
          <w:rtl/>
        </w:rPr>
        <w:t>ביאור הגרעק"א בתוס' דאף כשאמר בסתמא דהמוכר קנה מהמערער אינו נאמן לפרש דבריו</w:t>
      </w:r>
      <w:bookmarkEnd w:id="11477"/>
      <w:bookmarkEnd w:id="11478"/>
      <w:bookmarkEnd w:id="11479"/>
      <w:bookmarkEnd w:id="11480"/>
      <w:bookmarkEnd w:id="11481"/>
      <w:bookmarkEnd w:id="11482"/>
    </w:p>
    <w:p w:rsidR="005306EB" w:rsidRDefault="005306EB" w:rsidP="007E4E81">
      <w:pPr>
        <w:pStyle w:val="a0"/>
        <w:rPr>
          <w:rtl/>
        </w:rPr>
      </w:pPr>
      <w:bookmarkStart w:id="11483" w:name="_Ref61433729"/>
      <w:r>
        <w:rPr>
          <w:rFonts w:hint="cs"/>
          <w:rtl/>
        </w:rPr>
        <w:t xml:space="preserve">אלא כתב </w:t>
      </w:r>
      <w:r w:rsidRPr="007A03B6">
        <w:rPr>
          <w:rStyle w:val="af9"/>
          <w:rFonts w:hint="cs"/>
          <w:rtl/>
        </w:rPr>
        <w:t>הגרעק"א</w:t>
      </w:r>
      <w:r>
        <w:rPr>
          <w:rFonts w:hint="cs"/>
          <w:rtl/>
        </w:rPr>
        <w:t xml:space="preserve"> דמוכח דכוונת </w:t>
      </w:r>
      <w:r w:rsidRPr="007A03B6">
        <w:rPr>
          <w:rStyle w:val="af9"/>
          <w:rFonts w:hint="cs"/>
          <w:rtl/>
        </w:rPr>
        <w:t>התוס'</w:t>
      </w:r>
      <w:r>
        <w:rPr>
          <w:rFonts w:hint="cs"/>
          <w:rtl/>
        </w:rPr>
        <w:t xml:space="preserve"> לומר דאף באופן שבתחילה אמר בסתמא דהמוכר קנה מהמערער, </w:t>
      </w:r>
      <w:r w:rsidRPr="00B414F8">
        <w:rPr>
          <w:rStyle w:val="afb"/>
          <w:rFonts w:hint="cs"/>
          <w:rtl/>
        </w:rPr>
        <w:t>[אף שלא אמר לשון שמשמע ממנו שהוא מסופק אם המוכר קנה מהמערער],</w:t>
      </w:r>
      <w:r>
        <w:rPr>
          <w:rFonts w:hint="cs"/>
          <w:rtl/>
        </w:rPr>
        <w:t xml:space="preserve"> ועכשיו הוא מפרש דכוונתו הייתה לטענת קמי דידי זבנה מינך, דאינו נאמן כיון שהוא מיגו למפרע.</w:t>
      </w:r>
      <w:bookmarkEnd w:id="11483"/>
    </w:p>
    <w:p w:rsidR="005306EB" w:rsidRPr="005B0238" w:rsidRDefault="005306EB" w:rsidP="005306EB">
      <w:pPr>
        <w:pStyle w:val="1"/>
        <w:rPr>
          <w:rtl/>
        </w:rPr>
      </w:pPr>
      <w:bookmarkStart w:id="11484" w:name="_Toc61388220"/>
      <w:bookmarkStart w:id="11485" w:name="_Toc61430886"/>
      <w:bookmarkStart w:id="11486" w:name="_Toc61433928"/>
      <w:bookmarkStart w:id="11487" w:name="_Toc61438649"/>
      <w:bookmarkStart w:id="11488" w:name="_Toc61469378"/>
      <w:bookmarkStart w:id="11489" w:name="_Toc61509756"/>
      <w:r>
        <w:rPr>
          <w:rFonts w:hint="cs"/>
          <w:rtl/>
        </w:rPr>
        <w:t>ביאור הגרעק"א דבתחילה אמר אמת ועכשיו שמפרש משקר</w:t>
      </w:r>
      <w:bookmarkEnd w:id="11484"/>
      <w:bookmarkEnd w:id="11485"/>
      <w:bookmarkEnd w:id="11486"/>
      <w:bookmarkEnd w:id="11487"/>
      <w:bookmarkEnd w:id="11488"/>
      <w:bookmarkEnd w:id="11489"/>
    </w:p>
    <w:p w:rsidR="005306EB" w:rsidRPr="005425C6" w:rsidRDefault="005306EB" w:rsidP="005306EB">
      <w:pPr>
        <w:pStyle w:val="a3"/>
      </w:pPr>
      <w:bookmarkStart w:id="11490" w:name="_Toc61388221"/>
      <w:bookmarkStart w:id="11491" w:name="_Toc61430887"/>
      <w:bookmarkStart w:id="11492" w:name="_Toc61433929"/>
      <w:bookmarkStart w:id="11493" w:name="_Toc61438650"/>
      <w:bookmarkStart w:id="11494" w:name="_Toc61469379"/>
      <w:bookmarkStart w:id="11495" w:name="_Toc61509757"/>
      <w:r>
        <w:rPr>
          <w:rFonts w:hint="cs"/>
          <w:rtl/>
        </w:rPr>
        <w:t>ביאור הגרעק"א דבתחילה היה מיגו ולא רצה לשקר ואחר שלא זכה רוצה לשקר ולפרש דבריו</w:t>
      </w:r>
      <w:bookmarkEnd w:id="11490"/>
      <w:bookmarkEnd w:id="11491"/>
      <w:bookmarkEnd w:id="11492"/>
      <w:bookmarkEnd w:id="11493"/>
      <w:bookmarkEnd w:id="11494"/>
      <w:bookmarkEnd w:id="11495"/>
    </w:p>
    <w:p w:rsidR="005306EB" w:rsidRPr="006801C0" w:rsidRDefault="005306EB" w:rsidP="007E4E81">
      <w:pPr>
        <w:pStyle w:val="a0"/>
        <w:rPr>
          <w:rtl/>
        </w:rPr>
      </w:pPr>
      <w:bookmarkStart w:id="11496" w:name="_Ref61441663"/>
      <w:r>
        <w:rPr>
          <w:rFonts w:hint="cs"/>
          <w:rtl/>
        </w:rPr>
        <w:t xml:space="preserve">וביאר </w:t>
      </w:r>
      <w:r w:rsidRPr="009754D7">
        <w:rPr>
          <w:rStyle w:val="af9"/>
          <w:rFonts w:hint="cs"/>
          <w:rtl/>
        </w:rPr>
        <w:t>הגרעק"א</w:t>
      </w:r>
      <w:r>
        <w:rPr>
          <w:rFonts w:hint="cs"/>
          <w:rtl/>
        </w:rPr>
        <w:t xml:space="preserve"> </w:t>
      </w:r>
      <w:r w:rsidRPr="00A65197">
        <w:rPr>
          <w:rStyle w:val="af7"/>
          <w:rFonts w:eastAsia="Guttman Hodes" w:hint="cs"/>
          <w:rtl/>
        </w:rPr>
        <w:t>(על תוד"ה לאו, שו"ת ח"ג סי' כ"ח)</w:t>
      </w:r>
      <w:r>
        <w:rPr>
          <w:rFonts w:hint="cs"/>
          <w:rtl/>
        </w:rPr>
        <w:t xml:space="preserve"> דכיון שבתחילה היה לו מיגו, א"כ הוא נאמן במה שטען בתחילה, ואמרינן דטענתו הראשונה הייתה אמת ולא רצה לשקר כלל, ואחר שראה שאינו זוכה בטענה הזו, הוא רוצה עכשיו לשקר, כשחוזר וטוען דכוונתו בתחילה הייתה לומר דקמי דידי זבנה מינך, ובזה אינו נאמן כיון שהמיגו הוא למפרע, ואמרינן דעכשיו הוא טוען שקר ואינו נאמן, ועי' במה שביאר </w:t>
      </w:r>
      <w:r w:rsidRPr="00ED6874">
        <w:rPr>
          <w:rStyle w:val="af9"/>
          <w:rFonts w:hint="cs"/>
          <w:rtl/>
        </w:rPr>
        <w:t>בחי' רבי נחום</w:t>
      </w:r>
      <w:r>
        <w:rPr>
          <w:rFonts w:hint="cs"/>
          <w:rtl/>
        </w:rPr>
        <w:t xml:space="preserve"> </w:t>
      </w:r>
      <w:r w:rsidRPr="00ED6874">
        <w:rPr>
          <w:rStyle w:val="af7"/>
          <w:rFonts w:eastAsia="Guttman Hodes" w:hint="cs"/>
          <w:rtl/>
        </w:rPr>
        <w:t xml:space="preserve">(עי' אות </w:t>
      </w:r>
      <w:r w:rsidRPr="00ED6874">
        <w:rPr>
          <w:rStyle w:val="af7"/>
          <w:rFonts w:eastAsia="Guttman Hodes"/>
          <w:rtl/>
        </w:rPr>
        <w:fldChar w:fldCharType="begin"/>
      </w:r>
      <w:r w:rsidRPr="00ED6874">
        <w:rPr>
          <w:rStyle w:val="af7"/>
          <w:rFonts w:eastAsia="Guttman Hodes"/>
          <w:rtl/>
        </w:rPr>
        <w:instrText xml:space="preserve"> </w:instrText>
      </w:r>
      <w:r w:rsidRPr="00ED6874">
        <w:rPr>
          <w:rStyle w:val="af7"/>
          <w:rFonts w:eastAsia="Guttman Hodes" w:hint="cs"/>
        </w:rPr>
        <w:instrText>REF</w:instrText>
      </w:r>
      <w:r w:rsidRPr="00ED6874">
        <w:rPr>
          <w:rStyle w:val="af7"/>
          <w:rFonts w:eastAsia="Guttman Hodes" w:hint="cs"/>
          <w:rtl/>
        </w:rPr>
        <w:instrText xml:space="preserve"> _</w:instrText>
      </w:r>
      <w:r w:rsidRPr="00ED6874">
        <w:rPr>
          <w:rStyle w:val="af7"/>
          <w:rFonts w:eastAsia="Guttman Hodes" w:hint="cs"/>
        </w:rPr>
        <w:instrText>Ref61458676 \r \h</w:instrText>
      </w:r>
      <w:r w:rsidRPr="00ED6874">
        <w:rPr>
          <w:rStyle w:val="af7"/>
          <w:rFonts w:eastAsia="Guttman Hodes"/>
          <w:rtl/>
        </w:rPr>
        <w:instrText xml:space="preserve"> </w:instrText>
      </w:r>
      <w:r w:rsidRPr="00ED6874">
        <w:rPr>
          <w:rStyle w:val="af7"/>
          <w:rFonts w:eastAsia="Guttman Hodes"/>
          <w:rtl/>
        </w:rPr>
      </w:r>
      <w:r w:rsidRPr="00ED6874">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ED6874">
        <w:rPr>
          <w:rStyle w:val="af7"/>
          <w:rFonts w:eastAsia="Guttman Hodes"/>
          <w:rtl/>
        </w:rPr>
        <w:fldChar w:fldCharType="end"/>
      </w:r>
      <w:r>
        <w:rPr>
          <w:rFonts w:hint="cs"/>
          <w:rtl/>
        </w:rPr>
        <w:t xml:space="preserve"> בפלוגתת </w:t>
      </w:r>
      <w:r w:rsidRPr="00ED6874">
        <w:rPr>
          <w:rStyle w:val="af9"/>
          <w:rFonts w:hint="cs"/>
          <w:rtl/>
        </w:rPr>
        <w:t>התוס' והרא"ש</w:t>
      </w:r>
      <w:r>
        <w:rPr>
          <w:rFonts w:hint="cs"/>
          <w:rtl/>
        </w:rPr>
        <w:t>.</w:t>
      </w:r>
      <w:bookmarkEnd w:id="11496"/>
    </w:p>
    <w:p w:rsidR="005306EB" w:rsidRDefault="005306EB" w:rsidP="005306EB">
      <w:pPr>
        <w:pStyle w:val="a3"/>
        <w:rPr>
          <w:rtl/>
        </w:rPr>
      </w:pPr>
      <w:bookmarkStart w:id="11497" w:name="_Toc61388222"/>
      <w:bookmarkStart w:id="11498" w:name="_Toc61430888"/>
      <w:bookmarkStart w:id="11499" w:name="_Toc61433930"/>
      <w:bookmarkStart w:id="11500" w:name="_Toc61438651"/>
      <w:bookmarkStart w:id="11501" w:name="_Toc61469380"/>
      <w:bookmarkStart w:id="11502" w:name="_Toc61509758"/>
      <w:r>
        <w:rPr>
          <w:rFonts w:hint="cs"/>
          <w:rtl/>
        </w:rPr>
        <w:t>קושית הגרעק"א דבזה אומר של אבותי נאמן לפרש דבריו שלא יסתרו לעדים של המערער</w:t>
      </w:r>
      <w:bookmarkEnd w:id="11497"/>
      <w:bookmarkEnd w:id="11498"/>
      <w:bookmarkEnd w:id="11499"/>
      <w:bookmarkEnd w:id="11500"/>
      <w:bookmarkEnd w:id="11501"/>
      <w:bookmarkEnd w:id="11502"/>
    </w:p>
    <w:p w:rsidR="005306EB" w:rsidRPr="005142C7" w:rsidRDefault="005306EB" w:rsidP="007E4E81">
      <w:pPr>
        <w:pStyle w:val="a0"/>
        <w:rPr>
          <w:rtl/>
        </w:rPr>
      </w:pPr>
      <w:r>
        <w:rPr>
          <w:rFonts w:hint="cs"/>
          <w:rtl/>
        </w:rPr>
        <w:t xml:space="preserve">אך הקשה </w:t>
      </w:r>
      <w:r w:rsidRPr="007A03B6">
        <w:rPr>
          <w:rStyle w:val="af9"/>
          <w:rFonts w:hint="cs"/>
          <w:rtl/>
        </w:rPr>
        <w:t>הגרעק"א</w:t>
      </w:r>
      <w:r>
        <w:rPr>
          <w:rFonts w:hint="cs"/>
          <w:rtl/>
        </w:rPr>
        <w:t xml:space="preserve"> דהא כתב </w:t>
      </w:r>
      <w:r w:rsidRPr="007A03B6">
        <w:rPr>
          <w:rStyle w:val="af9"/>
          <w:rFonts w:hint="cs"/>
          <w:rtl/>
        </w:rPr>
        <w:t>השו"ע</w:t>
      </w:r>
      <w:r>
        <w:rPr>
          <w:rFonts w:hint="cs"/>
          <w:rtl/>
        </w:rPr>
        <w:t xml:space="preserve"> </w:t>
      </w:r>
      <w:r w:rsidRPr="00A65197">
        <w:rPr>
          <w:rStyle w:val="af7"/>
          <w:rFonts w:eastAsia="Guttman Hodes" w:hint="cs"/>
          <w:rtl/>
        </w:rPr>
        <w:t>(סי' קמ"ו כ"ד)</w:t>
      </w:r>
      <w:r>
        <w:rPr>
          <w:rFonts w:hint="cs"/>
          <w:rtl/>
        </w:rPr>
        <w:t xml:space="preserve"> דבזה אומר של אבותי וזה אומר של אבותי, ויש לכ"א עדים שהייתה של אבותיו, דנאמן לפרש את דבריו, דכוונתו הייתה לומר שאבותי קנו מאבותיך, והא לדעת </w:t>
      </w:r>
      <w:r w:rsidRPr="007A03B6">
        <w:rPr>
          <w:rStyle w:val="af9"/>
          <w:rFonts w:hint="cs"/>
          <w:rtl/>
        </w:rPr>
        <w:t>התוס'</w:t>
      </w:r>
      <w:r>
        <w:rPr>
          <w:rFonts w:hint="cs"/>
          <w:rtl/>
        </w:rPr>
        <w:t xml:space="preserve"> הוא מיגו למפרע, </w:t>
      </w:r>
      <w:r w:rsidRPr="00647C72">
        <w:rPr>
          <w:rStyle w:val="afb"/>
          <w:rFonts w:hint="cs"/>
          <w:rtl/>
        </w:rPr>
        <w:t xml:space="preserve">[לביאור </w:t>
      </w:r>
      <w:r w:rsidRPr="00647C72">
        <w:rPr>
          <w:rStyle w:val="affa"/>
          <w:rFonts w:hint="cs"/>
          <w:rtl/>
        </w:rPr>
        <w:t>הסמ"ע</w:t>
      </w:r>
      <w:r w:rsidRPr="00647C72">
        <w:rPr>
          <w:rStyle w:val="afb"/>
          <w:rFonts w:hint="cs"/>
          <w:rtl/>
        </w:rPr>
        <w:t xml:space="preserve"> </w:t>
      </w:r>
      <w:r w:rsidRPr="00E1785E">
        <w:rPr>
          <w:rStyle w:val="aff6"/>
          <w:rFonts w:hint="cs"/>
          <w:rtl/>
        </w:rPr>
        <w:t xml:space="preserve">(עי' אות </w:t>
      </w:r>
      <w:r w:rsidRPr="00E1785E">
        <w:rPr>
          <w:rStyle w:val="aff6"/>
          <w:rtl/>
        </w:rPr>
        <w:fldChar w:fldCharType="begin"/>
      </w:r>
      <w:r w:rsidRPr="00E1785E">
        <w:rPr>
          <w:rStyle w:val="aff6"/>
          <w:rtl/>
        </w:rPr>
        <w:instrText xml:space="preserve"> </w:instrText>
      </w:r>
      <w:r w:rsidRPr="00E1785E">
        <w:rPr>
          <w:rStyle w:val="aff6"/>
          <w:rFonts w:hint="cs"/>
        </w:rPr>
        <w:instrText>REF</w:instrText>
      </w:r>
      <w:r w:rsidRPr="00E1785E">
        <w:rPr>
          <w:rStyle w:val="aff6"/>
          <w:rFonts w:hint="cs"/>
          <w:rtl/>
        </w:rPr>
        <w:instrText xml:space="preserve"> _</w:instrText>
      </w:r>
      <w:r w:rsidRPr="00E1785E">
        <w:rPr>
          <w:rStyle w:val="aff6"/>
          <w:rFonts w:hint="cs"/>
        </w:rPr>
        <w:instrText>Ref60937281 \r \h</w:instrText>
      </w:r>
      <w:r w:rsidRPr="00E1785E">
        <w:rPr>
          <w:rStyle w:val="aff6"/>
          <w:rtl/>
        </w:rPr>
        <w:instrText xml:space="preserve">  \* </w:instrText>
      </w:r>
      <w:r w:rsidRPr="00E1785E">
        <w:rPr>
          <w:rStyle w:val="aff6"/>
        </w:rPr>
        <w:instrText>MERGEFORMAT</w:instrText>
      </w:r>
      <w:r w:rsidRPr="00E1785E">
        <w:rPr>
          <w:rStyle w:val="aff6"/>
          <w:rtl/>
        </w:rPr>
        <w:instrText xml:space="preserve"> </w:instrText>
      </w:r>
      <w:r w:rsidRPr="00E1785E">
        <w:rPr>
          <w:rStyle w:val="aff6"/>
          <w:rtl/>
        </w:rPr>
      </w:r>
      <w:r w:rsidRPr="00E1785E">
        <w:rPr>
          <w:rStyle w:val="aff6"/>
          <w:rtl/>
        </w:rPr>
        <w:fldChar w:fldCharType="separate"/>
      </w:r>
      <w:r w:rsidR="00265073">
        <w:rPr>
          <w:rStyle w:val="aff6"/>
          <w:cs/>
        </w:rPr>
        <w:t>‎</w:t>
      </w:r>
      <w:r w:rsidR="00265073">
        <w:rPr>
          <w:rStyle w:val="aff6"/>
          <w:rtl/>
        </w:rPr>
        <w:t>כט)</w:t>
      </w:r>
      <w:r w:rsidRPr="00E1785E">
        <w:rPr>
          <w:rStyle w:val="aff6"/>
          <w:rtl/>
        </w:rPr>
        <w:fldChar w:fldCharType="end"/>
      </w:r>
      <w:r>
        <w:rPr>
          <w:rStyle w:val="affa"/>
          <w:rFonts w:hint="cs"/>
          <w:rtl/>
        </w:rPr>
        <w:t xml:space="preserve"> </w:t>
      </w:r>
      <w:r w:rsidRPr="00647C72">
        <w:rPr>
          <w:rStyle w:val="affa"/>
          <w:rFonts w:hint="cs"/>
          <w:rtl/>
        </w:rPr>
        <w:t>והגרעק"א</w:t>
      </w:r>
      <w:r w:rsidRPr="00647C72">
        <w:rPr>
          <w:rStyle w:val="afb"/>
          <w:rFonts w:hint="cs"/>
          <w:rtl/>
        </w:rPr>
        <w:t xml:space="preserve"> </w:t>
      </w:r>
      <w:r w:rsidRPr="007B764A">
        <w:rPr>
          <w:rStyle w:val="aff6"/>
          <w:rFonts w:hint="cs"/>
          <w:rtl/>
        </w:rPr>
        <w:t xml:space="preserve">(עי' אות </w:t>
      </w:r>
      <w:r w:rsidRPr="007B764A">
        <w:rPr>
          <w:rStyle w:val="aff6"/>
          <w:rtl/>
        </w:rPr>
        <w:fldChar w:fldCharType="begin"/>
      </w:r>
      <w:r w:rsidRPr="007B764A">
        <w:rPr>
          <w:rStyle w:val="aff6"/>
          <w:rtl/>
        </w:rPr>
        <w:instrText xml:space="preserve"> </w:instrText>
      </w:r>
      <w:r w:rsidRPr="007B764A">
        <w:rPr>
          <w:rStyle w:val="aff6"/>
          <w:rFonts w:hint="cs"/>
        </w:rPr>
        <w:instrText>REF</w:instrText>
      </w:r>
      <w:r w:rsidRPr="007B764A">
        <w:rPr>
          <w:rStyle w:val="aff6"/>
          <w:rFonts w:hint="cs"/>
          <w:rtl/>
        </w:rPr>
        <w:instrText xml:space="preserve"> _</w:instrText>
      </w:r>
      <w:r w:rsidRPr="007B764A">
        <w:rPr>
          <w:rStyle w:val="aff6"/>
          <w:rFonts w:hint="cs"/>
        </w:rPr>
        <w:instrText>Ref61345490 \r \h</w:instrText>
      </w:r>
      <w:r w:rsidRPr="007B764A">
        <w:rPr>
          <w:rStyle w:val="aff6"/>
          <w:rtl/>
        </w:rPr>
        <w:instrText xml:space="preserve"> </w:instrText>
      </w:r>
      <w:r w:rsidRPr="007B764A">
        <w:rPr>
          <w:rStyle w:val="aff6"/>
          <w:rtl/>
        </w:rPr>
      </w:r>
      <w:r w:rsidRPr="007B764A">
        <w:rPr>
          <w:rStyle w:val="aff6"/>
          <w:rtl/>
        </w:rPr>
        <w:fldChar w:fldCharType="separate"/>
      </w:r>
      <w:r w:rsidR="00265073">
        <w:rPr>
          <w:rStyle w:val="aff6"/>
          <w:cs/>
        </w:rPr>
        <w:t>‎</w:t>
      </w:r>
      <w:r w:rsidR="00265073">
        <w:rPr>
          <w:rStyle w:val="aff6"/>
          <w:rtl/>
        </w:rPr>
        <w:t>לו)</w:t>
      </w:r>
      <w:r w:rsidRPr="007B764A">
        <w:rPr>
          <w:rStyle w:val="aff6"/>
          <w:rtl/>
        </w:rPr>
        <w:fldChar w:fldCharType="end"/>
      </w:r>
      <w:r w:rsidRPr="007B764A">
        <w:rPr>
          <w:rStyle w:val="aff6"/>
          <w:rFonts w:hint="cs"/>
          <w:rtl/>
        </w:rPr>
        <w:t xml:space="preserve"> </w:t>
      </w:r>
      <w:r w:rsidRPr="007B764A">
        <w:rPr>
          <w:rStyle w:val="affa"/>
          <w:rFonts w:hint="cs"/>
          <w:rtl/>
        </w:rPr>
        <w:t>דלתוס'</w:t>
      </w:r>
      <w:r>
        <w:rPr>
          <w:rStyle w:val="afb"/>
          <w:rFonts w:hint="cs"/>
          <w:rtl/>
        </w:rPr>
        <w:t xml:space="preserve"> </w:t>
      </w:r>
      <w:r w:rsidRPr="00647C72">
        <w:rPr>
          <w:rStyle w:val="afb"/>
          <w:rFonts w:hint="cs"/>
          <w:rtl/>
        </w:rPr>
        <w:t>אינו נאמן לפרש את דבריו],</w:t>
      </w:r>
      <w:r w:rsidRPr="00C915F3">
        <w:rPr>
          <w:rFonts w:hint="cs"/>
          <w:rtl/>
        </w:rPr>
        <w:t xml:space="preserve"> </w:t>
      </w:r>
      <w:r>
        <w:rPr>
          <w:rFonts w:hint="cs"/>
          <w:rtl/>
        </w:rPr>
        <w:t>ואמאי הוא נאמן.</w:t>
      </w:r>
    </w:p>
    <w:p w:rsidR="005306EB" w:rsidRDefault="005306EB" w:rsidP="005306EB">
      <w:pPr>
        <w:pStyle w:val="a3"/>
        <w:rPr>
          <w:rtl/>
        </w:rPr>
      </w:pPr>
      <w:bookmarkStart w:id="11503" w:name="_Toc61388223"/>
      <w:bookmarkStart w:id="11504" w:name="_Toc61430889"/>
      <w:bookmarkStart w:id="11505" w:name="_Toc61433931"/>
      <w:bookmarkStart w:id="11506" w:name="_Toc61438652"/>
      <w:bookmarkStart w:id="11507" w:name="_Toc61469381"/>
      <w:bookmarkStart w:id="11508" w:name="_Toc61509759"/>
      <w:r>
        <w:rPr>
          <w:rFonts w:hint="cs"/>
          <w:rtl/>
        </w:rPr>
        <w:t>דברי הגרעק"א דבסוגיין אמרינן דבתחילה טען אמת ואחר שלא זכה רוצה לשקר במיגו שהיה לו</w:t>
      </w:r>
      <w:bookmarkEnd w:id="11503"/>
      <w:bookmarkEnd w:id="11504"/>
      <w:bookmarkEnd w:id="11505"/>
      <w:bookmarkEnd w:id="11506"/>
      <w:bookmarkEnd w:id="11507"/>
      <w:bookmarkEnd w:id="11508"/>
    </w:p>
    <w:p w:rsidR="005306EB" w:rsidRDefault="005306EB" w:rsidP="007E4E81">
      <w:pPr>
        <w:pStyle w:val="a0"/>
        <w:rPr>
          <w:rtl/>
        </w:rPr>
      </w:pPr>
      <w:r>
        <w:rPr>
          <w:rFonts w:hint="cs"/>
          <w:rtl/>
        </w:rPr>
        <w:t xml:space="preserve">ותירץ </w:t>
      </w:r>
      <w:r w:rsidRPr="00647C72">
        <w:rPr>
          <w:rStyle w:val="af9"/>
          <w:rFonts w:hint="cs"/>
          <w:rtl/>
        </w:rPr>
        <w:t>הגרעק"א</w:t>
      </w:r>
      <w:r>
        <w:rPr>
          <w:rFonts w:hint="cs"/>
          <w:rtl/>
        </w:rPr>
        <w:t xml:space="preserve"> דהא דבסוגיין אינו נאמן כיון שהוא מיגו למפרע, היינו מחמת דאנו אומרים שטענתו הראשונה הייתה אמת והוא נאמן בה במיגו שהיה לו בתחילה, ואחר שראה שלא זכה בטענתו הוא רוצה לשקר ואומר דמפרש את דבריו הראשונים, ואינו נאמן דטענתו היא אמת כיון שכבר אין לו מיגו והוא מיגו למפרע.</w:t>
      </w:r>
    </w:p>
    <w:p w:rsidR="005306EB" w:rsidRPr="00D508B4" w:rsidRDefault="005306EB" w:rsidP="005306EB">
      <w:pPr>
        <w:pStyle w:val="a3"/>
      </w:pPr>
      <w:bookmarkStart w:id="11509" w:name="_Toc61388224"/>
      <w:bookmarkStart w:id="11510" w:name="_Toc61430890"/>
      <w:bookmarkStart w:id="11511" w:name="_Toc61433932"/>
      <w:bookmarkStart w:id="11512" w:name="_Toc61438653"/>
      <w:bookmarkStart w:id="11513" w:name="_Toc61469382"/>
      <w:bookmarkStart w:id="11514" w:name="_Toc61509760"/>
      <w:r>
        <w:rPr>
          <w:rFonts w:hint="cs"/>
          <w:rtl/>
        </w:rPr>
        <w:t>תי' הגרעק"א דבאומר של אבותי א"א לומר דאמר אמת דהוכחש בעדים וע"י המיגו אין הכחשה</w:t>
      </w:r>
      <w:bookmarkEnd w:id="11509"/>
      <w:bookmarkEnd w:id="11510"/>
      <w:bookmarkEnd w:id="11511"/>
      <w:bookmarkEnd w:id="11512"/>
      <w:bookmarkEnd w:id="11513"/>
      <w:bookmarkEnd w:id="11514"/>
    </w:p>
    <w:p w:rsidR="005306EB" w:rsidRDefault="005306EB" w:rsidP="007E4E81">
      <w:pPr>
        <w:pStyle w:val="a0"/>
        <w:rPr>
          <w:rStyle w:val="afb"/>
          <w:rtl/>
        </w:rPr>
      </w:pPr>
      <w:r>
        <w:rPr>
          <w:rFonts w:hint="cs"/>
          <w:rtl/>
        </w:rPr>
        <w:t xml:space="preserve">אבל בזה אומר של אבותי, כתב </w:t>
      </w:r>
      <w:r w:rsidRPr="00647C72">
        <w:rPr>
          <w:rStyle w:val="af9"/>
          <w:rFonts w:hint="cs"/>
          <w:rtl/>
        </w:rPr>
        <w:t>הגרעק"א</w:t>
      </w:r>
      <w:r>
        <w:rPr>
          <w:rFonts w:hint="cs"/>
          <w:rtl/>
        </w:rPr>
        <w:t xml:space="preserve"> דא"א לומר דטענתו הראשונה אמת, ומה שהוא מפרש עכשיו את דבריו הוא שקר, דהא יש עדים שמכחישים את טענתו הראשונה, ומעידים שהייתה של אבותיו של המערער, ובטענתו שהוא מפרש את דבריו הוא מקיים את טענתו שהייתה בתחילה, וכיון שבתחילה היה לו מיגו דהיה יכול לומר מינך זבינתה ואכלתיה שני חזקה, וכ"מ שאינו נאמן במיגו הוא </w:t>
      </w:r>
      <w:r>
        <w:rPr>
          <w:rFonts w:hint="cs"/>
          <w:rtl/>
        </w:rPr>
        <w:lastRenderedPageBreak/>
        <w:t xml:space="preserve">כיון שהוא מיגו כנגד העדים, שמעידים שהייתה של אבותיו של המערער, ואם נקבל את טענתו שטוען עכשיו שהוא מפרש את דבריו הראשונים, מתקיים בזה המיגו שהיה לו בתחילה, דאינו כנגד העדים, ולכן הוא נאמן לפרש את דבריו, וביאר </w:t>
      </w:r>
      <w:r w:rsidRPr="00647C72">
        <w:rPr>
          <w:rStyle w:val="af9"/>
          <w:rFonts w:hint="cs"/>
          <w:rtl/>
        </w:rPr>
        <w:t>הגרעק"א</w:t>
      </w:r>
      <w:r>
        <w:rPr>
          <w:rFonts w:hint="cs"/>
          <w:rtl/>
        </w:rPr>
        <w:t xml:space="preserve"> דאי לא נאמין למה שהוא מפרש את דבריו, א"כ מה שטען בתחילה היה שקר, דהא העדים מכחישים אותו, וכיון שבתחילה היה לו מיגו, ונראה דטענתו הראשונה הייתה אמת, א"כ ודאי דהוא נאמן לפרש את דבריו ולקיים את טענתו, ועי"ז המיגו שהיה לו בתחילה נשאר במקומו ולא חשיב כמיגו למפרע. </w:t>
      </w:r>
      <w:r w:rsidRPr="00915F58">
        <w:rPr>
          <w:rStyle w:val="afb"/>
          <w:rFonts w:hint="cs"/>
          <w:rtl/>
        </w:rPr>
        <w:t xml:space="preserve">[וע"ע במ"ש </w:t>
      </w:r>
      <w:r w:rsidRPr="00915F58">
        <w:rPr>
          <w:rStyle w:val="affa"/>
          <w:rFonts w:hint="cs"/>
          <w:rtl/>
        </w:rPr>
        <w:t>הגרעק"א</w:t>
      </w:r>
      <w:r w:rsidRPr="00915F58">
        <w:rPr>
          <w:rStyle w:val="afb"/>
          <w:rFonts w:hint="cs"/>
          <w:rtl/>
        </w:rPr>
        <w:t xml:space="preserve"> </w:t>
      </w:r>
      <w:r w:rsidRPr="00915F58">
        <w:rPr>
          <w:rStyle w:val="aff6"/>
          <w:rFonts w:hint="cs"/>
          <w:rtl/>
        </w:rPr>
        <w:t>(גרעק"א השלם [כחול] או' ג' ד"ה מ"ש חביבי</w:t>
      </w:r>
      <w:r>
        <w:rPr>
          <w:rStyle w:val="aff6"/>
          <w:rFonts w:hint="cs"/>
          <w:rtl/>
        </w:rPr>
        <w:t xml:space="preserve"> נ"י</w:t>
      </w:r>
      <w:r w:rsidRPr="00915F58">
        <w:rPr>
          <w:rStyle w:val="aff6"/>
          <w:rFonts w:hint="cs"/>
          <w:rtl/>
        </w:rPr>
        <w:t>)</w:t>
      </w:r>
      <w:r>
        <w:rPr>
          <w:rStyle w:val="afb"/>
          <w:rFonts w:hint="cs"/>
          <w:rtl/>
        </w:rPr>
        <w:t xml:space="preserve"> בזה</w:t>
      </w:r>
      <w:r w:rsidRPr="00915F58">
        <w:rPr>
          <w:rStyle w:val="afb"/>
          <w:rFonts w:hint="cs"/>
          <w:rtl/>
        </w:rPr>
        <w:t>].</w:t>
      </w:r>
    </w:p>
    <w:p w:rsidR="005306EB" w:rsidRDefault="005306EB" w:rsidP="005306EB">
      <w:pPr>
        <w:pStyle w:val="1"/>
        <w:rPr>
          <w:rtl/>
        </w:rPr>
      </w:pPr>
      <w:bookmarkStart w:id="11515" w:name="_Toc61388225"/>
      <w:bookmarkStart w:id="11516" w:name="_Toc61430891"/>
      <w:bookmarkStart w:id="11517" w:name="_Toc61433933"/>
      <w:bookmarkStart w:id="11518" w:name="_Toc61438654"/>
      <w:bookmarkStart w:id="11519" w:name="_Toc61469383"/>
      <w:bookmarkStart w:id="11520" w:name="_Toc61509761"/>
      <w:r>
        <w:rPr>
          <w:rFonts w:hint="cs"/>
          <w:rtl/>
        </w:rPr>
        <w:t>בי' הקצוה"ח בהוכחת התוס' מהגמ' לקמן לביאור הש"ך בתוס'</w:t>
      </w:r>
      <w:bookmarkEnd w:id="11515"/>
      <w:bookmarkEnd w:id="11516"/>
      <w:bookmarkEnd w:id="11517"/>
      <w:bookmarkEnd w:id="11518"/>
      <w:bookmarkEnd w:id="11519"/>
      <w:bookmarkEnd w:id="11520"/>
    </w:p>
    <w:p w:rsidR="005306EB" w:rsidRPr="00EE0AB4" w:rsidRDefault="005306EB" w:rsidP="005306EB">
      <w:pPr>
        <w:pStyle w:val="a3"/>
        <w:rPr>
          <w:rtl/>
        </w:rPr>
      </w:pPr>
      <w:bookmarkStart w:id="11521" w:name="_Toc61388226"/>
      <w:bookmarkStart w:id="11522" w:name="_Toc61430892"/>
      <w:bookmarkStart w:id="11523" w:name="_Toc61433934"/>
      <w:bookmarkStart w:id="11524" w:name="_Toc61438655"/>
      <w:bookmarkStart w:id="11525" w:name="_Toc61469384"/>
      <w:bookmarkStart w:id="11526" w:name="_Toc61509762"/>
      <w:r>
        <w:rPr>
          <w:rFonts w:hint="cs"/>
          <w:rtl/>
        </w:rPr>
        <w:t>הוכחת הקצוה"ח מהראיה שהביאו התוס' מהגמ' לקמן דבלא פירש את דבריו הוי מיגו למפרע</w:t>
      </w:r>
      <w:bookmarkEnd w:id="11521"/>
      <w:bookmarkEnd w:id="11522"/>
      <w:bookmarkEnd w:id="11523"/>
      <w:bookmarkEnd w:id="11524"/>
      <w:bookmarkEnd w:id="11525"/>
      <w:bookmarkEnd w:id="11526"/>
    </w:p>
    <w:p w:rsidR="005306EB" w:rsidRDefault="005306EB" w:rsidP="007E4E81">
      <w:pPr>
        <w:pStyle w:val="a0"/>
        <w:rPr>
          <w:rtl/>
        </w:rPr>
      </w:pPr>
      <w:r>
        <w:rPr>
          <w:rFonts w:hint="cs"/>
          <w:rtl/>
        </w:rPr>
        <w:t xml:space="preserve">במ"ש </w:t>
      </w:r>
      <w:r w:rsidRPr="007475F7">
        <w:rPr>
          <w:rStyle w:val="af9"/>
          <w:rFonts w:hint="cs"/>
          <w:rtl/>
        </w:rPr>
        <w:t>הש"ך</w:t>
      </w:r>
      <w:r>
        <w:rPr>
          <w:rFonts w:hint="cs"/>
          <w:rtl/>
        </w:rPr>
        <w:t xml:space="preserve"> </w:t>
      </w:r>
      <w:r w:rsidRPr="007A6ACC">
        <w:rPr>
          <w:rStyle w:val="af7"/>
          <w:rFonts w:eastAsia="Guttman Hodes" w:hint="cs"/>
          <w:rtl/>
        </w:rPr>
        <w:t xml:space="preserve">(עי' אות </w:t>
      </w:r>
      <w:r w:rsidRPr="007A6ACC">
        <w:rPr>
          <w:rStyle w:val="af7"/>
          <w:rFonts w:eastAsia="Guttman Hodes"/>
          <w:rtl/>
        </w:rPr>
        <w:fldChar w:fldCharType="begin"/>
      </w:r>
      <w:r w:rsidRPr="007A6ACC">
        <w:rPr>
          <w:rStyle w:val="af7"/>
          <w:rFonts w:eastAsia="Guttman Hodes"/>
          <w:rtl/>
        </w:rPr>
        <w:instrText xml:space="preserve"> </w:instrText>
      </w:r>
      <w:r w:rsidRPr="007A6ACC">
        <w:rPr>
          <w:rStyle w:val="af7"/>
          <w:rFonts w:eastAsia="Guttman Hodes" w:hint="cs"/>
        </w:rPr>
        <w:instrText>REF</w:instrText>
      </w:r>
      <w:r w:rsidRPr="007A6ACC">
        <w:rPr>
          <w:rStyle w:val="af7"/>
          <w:rFonts w:eastAsia="Guttman Hodes" w:hint="cs"/>
          <w:rtl/>
        </w:rPr>
        <w:instrText xml:space="preserve"> _</w:instrText>
      </w:r>
      <w:r w:rsidRPr="007A6ACC">
        <w:rPr>
          <w:rStyle w:val="af7"/>
          <w:rFonts w:eastAsia="Guttman Hodes" w:hint="cs"/>
        </w:rPr>
        <w:instrText>Ref61345655 \r \h</w:instrText>
      </w:r>
      <w:r w:rsidRPr="007A6ACC">
        <w:rPr>
          <w:rStyle w:val="af7"/>
          <w:rFonts w:eastAsia="Guttman Hodes"/>
          <w:rtl/>
        </w:rPr>
        <w:instrText xml:space="preserve"> </w:instrText>
      </w:r>
      <w:r w:rsidRPr="007A6ACC">
        <w:rPr>
          <w:rStyle w:val="af7"/>
          <w:rFonts w:eastAsia="Guttman Hodes"/>
          <w:rtl/>
        </w:rPr>
      </w:r>
      <w:r w:rsidRPr="007A6ACC">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7A6ACC">
        <w:rPr>
          <w:rStyle w:val="af7"/>
          <w:rFonts w:eastAsia="Guttman Hodes"/>
          <w:rtl/>
        </w:rPr>
        <w:fldChar w:fldCharType="end"/>
      </w:r>
      <w:r>
        <w:rPr>
          <w:rFonts w:hint="cs"/>
          <w:rtl/>
        </w:rPr>
        <w:t xml:space="preserve"> דבאופן שלא משמע מדבריו בתחילה דהודה לדברי המערער, אף לדעת </w:t>
      </w:r>
      <w:r w:rsidRPr="007475F7">
        <w:rPr>
          <w:rStyle w:val="af9"/>
          <w:rFonts w:hint="cs"/>
          <w:rtl/>
        </w:rPr>
        <w:t>התוס'</w:t>
      </w:r>
      <w:r>
        <w:rPr>
          <w:rFonts w:hint="cs"/>
          <w:rtl/>
        </w:rPr>
        <w:t xml:space="preserve"> </w:t>
      </w:r>
      <w:r w:rsidRPr="007A6ACC">
        <w:rPr>
          <w:rStyle w:val="af7"/>
          <w:rFonts w:eastAsia="Guttman Hodes" w:hint="cs"/>
          <w:rtl/>
        </w:rPr>
        <w:t xml:space="preserve">(עי' אות </w:t>
      </w:r>
      <w:r w:rsidRPr="007A6ACC">
        <w:rPr>
          <w:rStyle w:val="af7"/>
          <w:rFonts w:eastAsia="Guttman Hodes"/>
          <w:rtl/>
        </w:rPr>
        <w:fldChar w:fldCharType="begin"/>
      </w:r>
      <w:r w:rsidRPr="007A6ACC">
        <w:rPr>
          <w:rStyle w:val="af7"/>
          <w:rFonts w:eastAsia="Guttman Hodes"/>
          <w:rtl/>
        </w:rPr>
        <w:instrText xml:space="preserve"> </w:instrText>
      </w:r>
      <w:r w:rsidRPr="007A6ACC">
        <w:rPr>
          <w:rStyle w:val="af7"/>
          <w:rFonts w:eastAsia="Guttman Hodes" w:hint="cs"/>
        </w:rPr>
        <w:instrText>REF</w:instrText>
      </w:r>
      <w:r w:rsidRPr="007A6ACC">
        <w:rPr>
          <w:rStyle w:val="af7"/>
          <w:rFonts w:eastAsia="Guttman Hodes" w:hint="cs"/>
          <w:rtl/>
        </w:rPr>
        <w:instrText xml:space="preserve"> _</w:instrText>
      </w:r>
      <w:r w:rsidRPr="007A6ACC">
        <w:rPr>
          <w:rStyle w:val="af7"/>
          <w:rFonts w:eastAsia="Guttman Hodes" w:hint="cs"/>
        </w:rPr>
        <w:instrText>Ref61253162 \r \h</w:instrText>
      </w:r>
      <w:r w:rsidRPr="007A6ACC">
        <w:rPr>
          <w:rStyle w:val="af7"/>
          <w:rFonts w:eastAsia="Guttman Hodes"/>
          <w:rtl/>
        </w:rPr>
        <w:instrText xml:space="preserve"> </w:instrText>
      </w:r>
      <w:r w:rsidRPr="007A6ACC">
        <w:rPr>
          <w:rStyle w:val="af7"/>
          <w:rFonts w:eastAsia="Guttman Hodes"/>
          <w:rtl/>
        </w:rPr>
      </w:r>
      <w:r w:rsidRPr="007A6ACC">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7A6ACC">
        <w:rPr>
          <w:rStyle w:val="af7"/>
          <w:rFonts w:eastAsia="Guttman Hodes"/>
          <w:rtl/>
        </w:rPr>
        <w:fldChar w:fldCharType="end"/>
      </w:r>
      <w:r>
        <w:rPr>
          <w:rFonts w:hint="cs"/>
          <w:rtl/>
        </w:rPr>
        <w:t xml:space="preserve"> לא חשיב כמיגו למפרע, ולא נחלקו בזה </w:t>
      </w:r>
      <w:r w:rsidRPr="007475F7">
        <w:rPr>
          <w:rStyle w:val="af9"/>
          <w:rFonts w:hint="cs"/>
          <w:rtl/>
        </w:rPr>
        <w:t>התוס'</w:t>
      </w:r>
      <w:r>
        <w:rPr>
          <w:rFonts w:hint="cs"/>
          <w:rtl/>
        </w:rPr>
        <w:t xml:space="preserve"> על </w:t>
      </w:r>
      <w:r w:rsidRPr="007475F7">
        <w:rPr>
          <w:rStyle w:val="af9"/>
          <w:rFonts w:hint="cs"/>
          <w:rtl/>
        </w:rPr>
        <w:t>הרא"ש</w:t>
      </w:r>
      <w:r>
        <w:rPr>
          <w:rFonts w:hint="cs"/>
          <w:rtl/>
        </w:rPr>
        <w:t xml:space="preserve"> </w:t>
      </w:r>
      <w:r w:rsidRPr="00765FE4">
        <w:rPr>
          <w:rStyle w:val="af7"/>
          <w:rFonts w:eastAsia="Guttman Hodes" w:hint="cs"/>
          <w:rtl/>
        </w:rPr>
        <w:t xml:space="preserve">(עי' אות </w:t>
      </w:r>
      <w:r w:rsidRPr="00765FE4">
        <w:rPr>
          <w:rStyle w:val="af7"/>
          <w:rFonts w:eastAsia="Guttman Hodes"/>
          <w:rtl/>
        </w:rPr>
        <w:fldChar w:fldCharType="begin"/>
      </w:r>
      <w:r w:rsidRPr="00765FE4">
        <w:rPr>
          <w:rStyle w:val="af7"/>
          <w:rFonts w:eastAsia="Guttman Hodes"/>
          <w:rtl/>
        </w:rPr>
        <w:instrText xml:space="preserve"> </w:instrText>
      </w:r>
      <w:r w:rsidRPr="00765FE4">
        <w:rPr>
          <w:rStyle w:val="af7"/>
          <w:rFonts w:eastAsia="Guttman Hodes" w:hint="cs"/>
        </w:rPr>
        <w:instrText>REF</w:instrText>
      </w:r>
      <w:r w:rsidRPr="00765FE4">
        <w:rPr>
          <w:rStyle w:val="af7"/>
          <w:rFonts w:eastAsia="Guttman Hodes" w:hint="cs"/>
          <w:rtl/>
        </w:rPr>
        <w:instrText xml:space="preserve"> _</w:instrText>
      </w:r>
      <w:r w:rsidRPr="00765FE4">
        <w:rPr>
          <w:rStyle w:val="af7"/>
          <w:rFonts w:eastAsia="Guttman Hodes" w:hint="cs"/>
        </w:rPr>
        <w:instrText>Ref61008990 \r \h</w:instrText>
      </w:r>
      <w:r w:rsidRPr="00765FE4">
        <w:rPr>
          <w:rStyle w:val="af7"/>
          <w:rFonts w:eastAsia="Guttman Hodes"/>
          <w:rtl/>
        </w:rPr>
        <w:instrText xml:space="preserve"> </w:instrText>
      </w:r>
      <w:r w:rsidRPr="00765FE4">
        <w:rPr>
          <w:rStyle w:val="af7"/>
          <w:rFonts w:eastAsia="Guttman Hodes"/>
          <w:rtl/>
        </w:rPr>
      </w:r>
      <w:r w:rsidRPr="00765FE4">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765FE4">
        <w:rPr>
          <w:rStyle w:val="af7"/>
          <w:rFonts w:eastAsia="Guttman Hodes"/>
          <w:rtl/>
        </w:rPr>
        <w:fldChar w:fldCharType="end"/>
      </w:r>
      <w:r>
        <w:rPr>
          <w:rFonts w:hint="cs"/>
          <w:rtl/>
        </w:rPr>
        <w:t xml:space="preserve">, הקשה </w:t>
      </w:r>
      <w:r w:rsidRPr="007475F7">
        <w:rPr>
          <w:rStyle w:val="af9"/>
          <w:rFonts w:hint="cs"/>
          <w:rtl/>
        </w:rPr>
        <w:t>הקצוה"ח</w:t>
      </w:r>
      <w:r>
        <w:rPr>
          <w:rFonts w:hint="cs"/>
          <w:rtl/>
        </w:rPr>
        <w:t xml:space="preserve"> </w:t>
      </w:r>
      <w:r w:rsidRPr="00AD1DCB">
        <w:rPr>
          <w:rStyle w:val="af7"/>
          <w:rFonts w:eastAsia="Guttman Hodes" w:hint="cs"/>
          <w:rtl/>
        </w:rPr>
        <w:t>(סי' קמ"ו סק"י)</w:t>
      </w:r>
      <w:r>
        <w:rPr>
          <w:rFonts w:hint="cs"/>
          <w:rtl/>
        </w:rPr>
        <w:t xml:space="preserve"> דהא </w:t>
      </w:r>
      <w:r w:rsidRPr="007475F7">
        <w:rPr>
          <w:rStyle w:val="af9"/>
          <w:rFonts w:hint="cs"/>
          <w:rtl/>
        </w:rPr>
        <w:t>התוס'</w:t>
      </w:r>
      <w:r>
        <w:rPr>
          <w:rFonts w:hint="cs"/>
          <w:rtl/>
        </w:rPr>
        <w:t xml:space="preserve"> </w:t>
      </w:r>
      <w:r w:rsidRPr="007A6ACC">
        <w:rPr>
          <w:rStyle w:val="af7"/>
          <w:rFonts w:eastAsia="Guttman Hodes" w:hint="cs"/>
          <w:rtl/>
        </w:rPr>
        <w:t xml:space="preserve">(עי' אות </w:t>
      </w:r>
      <w:r w:rsidRPr="007A6ACC">
        <w:rPr>
          <w:rStyle w:val="af7"/>
          <w:rFonts w:eastAsia="Guttman Hodes"/>
          <w:rtl/>
        </w:rPr>
        <w:fldChar w:fldCharType="begin"/>
      </w:r>
      <w:r w:rsidRPr="007A6ACC">
        <w:rPr>
          <w:rStyle w:val="af7"/>
          <w:rFonts w:eastAsia="Guttman Hodes"/>
          <w:rtl/>
        </w:rPr>
        <w:instrText xml:space="preserve"> </w:instrText>
      </w:r>
      <w:r w:rsidRPr="007A6ACC">
        <w:rPr>
          <w:rStyle w:val="af7"/>
          <w:rFonts w:eastAsia="Guttman Hodes" w:hint="cs"/>
        </w:rPr>
        <w:instrText>REF</w:instrText>
      </w:r>
      <w:r w:rsidRPr="007A6ACC">
        <w:rPr>
          <w:rStyle w:val="af7"/>
          <w:rFonts w:eastAsia="Guttman Hodes" w:hint="cs"/>
          <w:rtl/>
        </w:rPr>
        <w:instrText xml:space="preserve"> _</w:instrText>
      </w:r>
      <w:r w:rsidRPr="007A6ACC">
        <w:rPr>
          <w:rStyle w:val="af7"/>
          <w:rFonts w:eastAsia="Guttman Hodes" w:hint="cs"/>
        </w:rPr>
        <w:instrText>Ref61345702 \r \h</w:instrText>
      </w:r>
      <w:r w:rsidRPr="007A6ACC">
        <w:rPr>
          <w:rStyle w:val="af7"/>
          <w:rFonts w:eastAsia="Guttman Hodes"/>
          <w:rtl/>
        </w:rPr>
        <w:instrText xml:space="preserve"> </w:instrText>
      </w:r>
      <w:r w:rsidRPr="007A6ACC">
        <w:rPr>
          <w:rStyle w:val="af7"/>
          <w:rFonts w:eastAsia="Guttman Hodes"/>
          <w:rtl/>
        </w:rPr>
      </w:r>
      <w:r w:rsidRPr="007A6ACC">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7A6ACC">
        <w:rPr>
          <w:rStyle w:val="af7"/>
          <w:rFonts w:eastAsia="Guttman Hodes"/>
          <w:rtl/>
        </w:rPr>
        <w:fldChar w:fldCharType="end"/>
      </w:r>
      <w:r>
        <w:rPr>
          <w:rFonts w:hint="cs"/>
          <w:rtl/>
        </w:rPr>
        <w:t xml:space="preserve"> הביאו ראיה לדבריהם מדברי רב בגמ' לקמן </w:t>
      </w:r>
      <w:r w:rsidRPr="00AD1DCB">
        <w:rPr>
          <w:rStyle w:val="af7"/>
          <w:rFonts w:eastAsia="Guttman Hodes" w:hint="cs"/>
          <w:rtl/>
        </w:rPr>
        <w:t>(מא:)</w:t>
      </w:r>
      <w:r>
        <w:rPr>
          <w:rFonts w:hint="cs"/>
          <w:rtl/>
        </w:rPr>
        <w:t xml:space="preserve"> ולביאור </w:t>
      </w:r>
      <w:r w:rsidRPr="007475F7">
        <w:rPr>
          <w:rStyle w:val="af9"/>
          <w:rFonts w:hint="cs"/>
          <w:rtl/>
        </w:rPr>
        <w:t>הש"ך בתוס'</w:t>
      </w:r>
      <w:r>
        <w:rPr>
          <w:rFonts w:hint="cs"/>
          <w:rtl/>
        </w:rPr>
        <w:t xml:space="preserve"> דמיגו למפרע הוא רק באופן דלא פירש את דבריו להדיא, א"כ היה </w:t>
      </w:r>
      <w:r w:rsidRPr="007A6ACC">
        <w:rPr>
          <w:rStyle w:val="af9"/>
          <w:rFonts w:hint="cs"/>
          <w:rtl/>
        </w:rPr>
        <w:t>להתוס'</w:t>
      </w:r>
      <w:r>
        <w:rPr>
          <w:rFonts w:hint="cs"/>
          <w:rtl/>
        </w:rPr>
        <w:t xml:space="preserve"> להוסיף ולבאר דהגמ' לקמן איירי באופן שהמחזיק אמר בפירוש דהמוכר א"ל שקנה מהמערער, דהא לא מפורש כן בגמ', וכתב </w:t>
      </w:r>
      <w:r w:rsidRPr="007A6ACC">
        <w:rPr>
          <w:rStyle w:val="af9"/>
          <w:rFonts w:hint="cs"/>
          <w:rtl/>
        </w:rPr>
        <w:t>הקצוה"ח</w:t>
      </w:r>
      <w:r>
        <w:rPr>
          <w:rFonts w:hint="cs"/>
          <w:rtl/>
        </w:rPr>
        <w:t xml:space="preserve"> דכיון דבגמ' לקמן לא מפורש כן בלשון הגמ', א"כ קשה מנא להו </w:t>
      </w:r>
      <w:r w:rsidRPr="003C2AD4">
        <w:rPr>
          <w:rStyle w:val="af9"/>
          <w:rFonts w:hint="cs"/>
          <w:rtl/>
        </w:rPr>
        <w:t>להתוס'</w:t>
      </w:r>
      <w:r>
        <w:rPr>
          <w:rFonts w:hint="cs"/>
          <w:rtl/>
        </w:rPr>
        <w:t xml:space="preserve"> לפרש כן, ואי לא איירי שאמר כן בפירוש א"כ לדברי </w:t>
      </w:r>
      <w:r w:rsidRPr="003C2AD4">
        <w:rPr>
          <w:rStyle w:val="af9"/>
          <w:rFonts w:hint="cs"/>
          <w:rtl/>
        </w:rPr>
        <w:t>הש"ך</w:t>
      </w:r>
      <w:r>
        <w:rPr>
          <w:rFonts w:hint="cs"/>
          <w:rtl/>
        </w:rPr>
        <w:t xml:space="preserve"> לא קשה קושית </w:t>
      </w:r>
      <w:r w:rsidRPr="003C2AD4">
        <w:rPr>
          <w:rStyle w:val="af9"/>
          <w:rFonts w:hint="cs"/>
          <w:rtl/>
        </w:rPr>
        <w:t>התוס'</w:t>
      </w:r>
      <w:r>
        <w:rPr>
          <w:rFonts w:hint="cs"/>
          <w:rtl/>
        </w:rPr>
        <w:t xml:space="preserve"> כלל, דבכה"ג הוא מפרש את דבריו ואינו מיגו למפרע, ומה הוכיח </w:t>
      </w:r>
      <w:r w:rsidRPr="003C2AD4">
        <w:rPr>
          <w:rStyle w:val="af9"/>
          <w:rFonts w:hint="cs"/>
          <w:rtl/>
        </w:rPr>
        <w:t>התוס'</w:t>
      </w:r>
      <w:r>
        <w:rPr>
          <w:rFonts w:hint="cs"/>
          <w:rtl/>
        </w:rPr>
        <w:t xml:space="preserve"> מהגמ' לקמן.</w:t>
      </w:r>
    </w:p>
    <w:p w:rsidR="005306EB" w:rsidRPr="00840D3E" w:rsidRDefault="005306EB" w:rsidP="005306EB">
      <w:pPr>
        <w:pStyle w:val="a3"/>
        <w:rPr>
          <w:rtl/>
        </w:rPr>
      </w:pPr>
      <w:bookmarkStart w:id="11527" w:name="_Toc61388227"/>
      <w:bookmarkStart w:id="11528" w:name="_Toc61430893"/>
      <w:bookmarkStart w:id="11529" w:name="_Toc61433935"/>
      <w:bookmarkStart w:id="11530" w:name="_Toc61438656"/>
      <w:bookmarkStart w:id="11531" w:name="_Toc61469385"/>
      <w:bookmarkStart w:id="11532" w:name="_Toc61509763"/>
      <w:r>
        <w:rPr>
          <w:rFonts w:hint="cs"/>
          <w:rtl/>
        </w:rPr>
        <w:t>תי' הקצוה"ח דלש"ך בגמ' לקמן ב"ד צריכים לפרש דכוונתו שכך א"ל המוכר וא"כ איירי בפירש</w:t>
      </w:r>
      <w:bookmarkEnd w:id="11527"/>
      <w:bookmarkEnd w:id="11528"/>
      <w:bookmarkEnd w:id="11529"/>
      <w:bookmarkEnd w:id="11530"/>
      <w:bookmarkEnd w:id="11531"/>
      <w:bookmarkEnd w:id="11532"/>
    </w:p>
    <w:p w:rsidR="005306EB" w:rsidRDefault="005306EB" w:rsidP="007E4E81">
      <w:pPr>
        <w:pStyle w:val="a0"/>
        <w:rPr>
          <w:rtl/>
        </w:rPr>
      </w:pPr>
      <w:r>
        <w:rPr>
          <w:rFonts w:hint="cs"/>
          <w:rtl/>
        </w:rPr>
        <w:t xml:space="preserve">ותירץ </w:t>
      </w:r>
      <w:r w:rsidRPr="003C2AD4">
        <w:rPr>
          <w:rStyle w:val="af9"/>
          <w:rFonts w:hint="cs"/>
          <w:rtl/>
        </w:rPr>
        <w:t>הקצוה"ח</w:t>
      </w:r>
      <w:r>
        <w:rPr>
          <w:rFonts w:hint="cs"/>
          <w:rtl/>
        </w:rPr>
        <w:t xml:space="preserve"> דכיון דכתב </w:t>
      </w:r>
      <w:r w:rsidRPr="003C2AD4">
        <w:rPr>
          <w:rStyle w:val="af9"/>
          <w:rFonts w:hint="cs"/>
          <w:rtl/>
        </w:rPr>
        <w:t>הש"ך</w:t>
      </w:r>
      <w:r>
        <w:rPr>
          <w:rFonts w:hint="cs"/>
          <w:rtl/>
        </w:rPr>
        <w:t xml:space="preserve"> </w:t>
      </w:r>
      <w:r w:rsidRPr="00765FE4">
        <w:rPr>
          <w:rStyle w:val="af7"/>
          <w:rFonts w:eastAsia="Guttman Hodes" w:hint="cs"/>
          <w:rtl/>
        </w:rPr>
        <w:t xml:space="preserve">(עי' אות </w:t>
      </w:r>
      <w:r w:rsidRPr="00765FE4">
        <w:rPr>
          <w:rStyle w:val="af7"/>
          <w:rFonts w:eastAsia="Guttman Hodes"/>
          <w:rtl/>
        </w:rPr>
        <w:fldChar w:fldCharType="begin"/>
      </w:r>
      <w:r w:rsidRPr="00765FE4">
        <w:rPr>
          <w:rStyle w:val="af7"/>
          <w:rFonts w:eastAsia="Guttman Hodes"/>
          <w:rtl/>
        </w:rPr>
        <w:instrText xml:space="preserve"> </w:instrText>
      </w:r>
      <w:r w:rsidRPr="00765FE4">
        <w:rPr>
          <w:rStyle w:val="af7"/>
          <w:rFonts w:eastAsia="Guttman Hodes" w:hint="cs"/>
        </w:rPr>
        <w:instrText>REF</w:instrText>
      </w:r>
      <w:r w:rsidRPr="00765FE4">
        <w:rPr>
          <w:rStyle w:val="af7"/>
          <w:rFonts w:eastAsia="Guttman Hodes" w:hint="cs"/>
          <w:rtl/>
        </w:rPr>
        <w:instrText xml:space="preserve"> _</w:instrText>
      </w:r>
      <w:r w:rsidRPr="00765FE4">
        <w:rPr>
          <w:rStyle w:val="af7"/>
          <w:rFonts w:eastAsia="Guttman Hodes" w:hint="cs"/>
        </w:rPr>
        <w:instrText>Ref61345069 \r \h</w:instrText>
      </w:r>
      <w:r w:rsidRPr="00765FE4">
        <w:rPr>
          <w:rStyle w:val="af7"/>
          <w:rFonts w:eastAsia="Guttman Hodes"/>
          <w:rtl/>
        </w:rPr>
        <w:instrText xml:space="preserve"> </w:instrText>
      </w:r>
      <w:r w:rsidRPr="00765FE4">
        <w:rPr>
          <w:rStyle w:val="af7"/>
          <w:rFonts w:eastAsia="Guttman Hodes"/>
          <w:rtl/>
        </w:rPr>
      </w:r>
      <w:r w:rsidRPr="00765FE4">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765FE4">
        <w:rPr>
          <w:rStyle w:val="af7"/>
          <w:rFonts w:eastAsia="Guttman Hodes"/>
          <w:rtl/>
        </w:rPr>
        <w:fldChar w:fldCharType="end"/>
      </w:r>
      <w:r>
        <w:rPr>
          <w:rFonts w:hint="cs"/>
          <w:rtl/>
        </w:rPr>
        <w:t xml:space="preserve"> דכשאמר בסתמא שקנה מהמוכר שקנה מהמערער, דהב"ד עצמם צריכים לפרש את דבריו, א"כ לפי"ז לדעת </w:t>
      </w:r>
      <w:r w:rsidRPr="003C2AD4">
        <w:rPr>
          <w:rStyle w:val="af9"/>
          <w:rFonts w:hint="cs"/>
          <w:rtl/>
        </w:rPr>
        <w:t>התוס'</w:t>
      </w:r>
      <w:r>
        <w:rPr>
          <w:rFonts w:hint="cs"/>
          <w:rtl/>
        </w:rPr>
        <w:t xml:space="preserve"> צריך לבאר דהגמ' לקמן </w:t>
      </w:r>
      <w:r w:rsidRPr="00765FE4">
        <w:rPr>
          <w:rStyle w:val="af7"/>
          <w:rFonts w:eastAsia="Guttman Hodes" w:hint="cs"/>
          <w:rtl/>
        </w:rPr>
        <w:t>(מא:)</w:t>
      </w:r>
      <w:r>
        <w:rPr>
          <w:rFonts w:hint="cs"/>
          <w:rtl/>
        </w:rPr>
        <w:t xml:space="preserve"> איירי באופן שהמחזיק טען דהמוכר אמר לו שקנה מהמערער, דהא איירי בסתמא, א"כ היאך אמר רב דלרבי חייא נאמן רק אם טען קמי דידי זבנה מינך, הא אף אם לא טען כן, ב"ד צריכים לפרש כן את דבריו ולטעון בעבורו דכוונתו הייתה לומר, קמי דידי זבנה מינך, ולכן לביאור </w:t>
      </w:r>
      <w:r w:rsidRPr="003C2AD4">
        <w:rPr>
          <w:rStyle w:val="af9"/>
          <w:rFonts w:hint="cs"/>
          <w:rtl/>
        </w:rPr>
        <w:t>הש"ך בתוס'</w:t>
      </w:r>
      <w:r>
        <w:rPr>
          <w:rFonts w:hint="cs"/>
          <w:rtl/>
        </w:rPr>
        <w:t xml:space="preserve"> ודאי דאיירי בגמ' לקמן שהמחזיק טען דהמוכר אמר לו שקנה מהמערער.</w:t>
      </w:r>
    </w:p>
    <w:p w:rsidR="005306EB" w:rsidRDefault="005306EB" w:rsidP="005306EB">
      <w:pPr>
        <w:pStyle w:val="a3"/>
        <w:rPr>
          <w:rtl/>
        </w:rPr>
      </w:pPr>
      <w:bookmarkStart w:id="11533" w:name="_Toc61388228"/>
      <w:bookmarkStart w:id="11534" w:name="_Toc61430894"/>
      <w:bookmarkStart w:id="11535" w:name="_Toc61433936"/>
      <w:bookmarkStart w:id="11536" w:name="_Toc61438657"/>
      <w:bookmarkStart w:id="11537" w:name="_Toc61469386"/>
      <w:bookmarkStart w:id="11538" w:name="_Toc61509764"/>
      <w:r>
        <w:rPr>
          <w:rFonts w:hint="cs"/>
          <w:rtl/>
        </w:rPr>
        <w:t>דברי הקצוה"ח דברא"ש משמע דצריך לפרש דבריו בעצמו ולא הב"ד וא"כ ק' מהגמ' לקמן</w:t>
      </w:r>
      <w:bookmarkEnd w:id="11533"/>
      <w:bookmarkEnd w:id="11534"/>
      <w:bookmarkEnd w:id="11535"/>
      <w:bookmarkEnd w:id="11536"/>
      <w:bookmarkEnd w:id="11537"/>
      <w:bookmarkEnd w:id="11538"/>
    </w:p>
    <w:p w:rsidR="005306EB" w:rsidRDefault="005306EB" w:rsidP="007E4E81">
      <w:pPr>
        <w:pStyle w:val="a0"/>
        <w:rPr>
          <w:rtl/>
        </w:rPr>
      </w:pPr>
      <w:r>
        <w:rPr>
          <w:rFonts w:hint="cs"/>
          <w:rtl/>
        </w:rPr>
        <w:t xml:space="preserve">אך בעיקר דברי </w:t>
      </w:r>
      <w:r w:rsidRPr="003C2AD4">
        <w:rPr>
          <w:rStyle w:val="af9"/>
          <w:rFonts w:hint="cs"/>
          <w:rtl/>
        </w:rPr>
        <w:t>הש"ך</w:t>
      </w:r>
      <w:r>
        <w:rPr>
          <w:rFonts w:hint="cs"/>
          <w:rtl/>
        </w:rPr>
        <w:t xml:space="preserve"> </w:t>
      </w:r>
      <w:r w:rsidRPr="00765FE4">
        <w:rPr>
          <w:rStyle w:val="af7"/>
          <w:rFonts w:eastAsia="Guttman Hodes" w:hint="cs"/>
          <w:rtl/>
        </w:rPr>
        <w:t xml:space="preserve">(עי' אות </w:t>
      </w:r>
      <w:r w:rsidRPr="00765FE4">
        <w:rPr>
          <w:rStyle w:val="af7"/>
          <w:rFonts w:eastAsia="Guttman Hodes"/>
          <w:rtl/>
        </w:rPr>
        <w:fldChar w:fldCharType="begin"/>
      </w:r>
      <w:r w:rsidRPr="00765FE4">
        <w:rPr>
          <w:rStyle w:val="af7"/>
          <w:rFonts w:eastAsia="Guttman Hodes"/>
          <w:rtl/>
        </w:rPr>
        <w:instrText xml:space="preserve"> </w:instrText>
      </w:r>
      <w:r w:rsidRPr="00765FE4">
        <w:rPr>
          <w:rStyle w:val="af7"/>
          <w:rFonts w:eastAsia="Guttman Hodes" w:hint="cs"/>
        </w:rPr>
        <w:instrText>REF</w:instrText>
      </w:r>
      <w:r w:rsidRPr="00765FE4">
        <w:rPr>
          <w:rStyle w:val="af7"/>
          <w:rFonts w:eastAsia="Guttman Hodes" w:hint="cs"/>
          <w:rtl/>
        </w:rPr>
        <w:instrText xml:space="preserve"> _</w:instrText>
      </w:r>
      <w:r w:rsidRPr="00765FE4">
        <w:rPr>
          <w:rStyle w:val="af7"/>
          <w:rFonts w:eastAsia="Guttman Hodes" w:hint="cs"/>
        </w:rPr>
        <w:instrText>Ref61345069 \r \h</w:instrText>
      </w:r>
      <w:r w:rsidRPr="00765FE4">
        <w:rPr>
          <w:rStyle w:val="af7"/>
          <w:rFonts w:eastAsia="Guttman Hodes"/>
          <w:rtl/>
        </w:rPr>
        <w:instrText xml:space="preserve"> </w:instrText>
      </w:r>
      <w:r w:rsidRPr="00765FE4">
        <w:rPr>
          <w:rStyle w:val="af7"/>
          <w:rFonts w:eastAsia="Guttman Hodes"/>
          <w:rtl/>
        </w:rPr>
      </w:r>
      <w:r w:rsidRPr="00765FE4">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765FE4">
        <w:rPr>
          <w:rStyle w:val="af7"/>
          <w:rFonts w:eastAsia="Guttman Hodes"/>
          <w:rtl/>
        </w:rPr>
        <w:fldChar w:fldCharType="end"/>
      </w:r>
      <w:r>
        <w:rPr>
          <w:rFonts w:hint="cs"/>
          <w:rtl/>
        </w:rPr>
        <w:t xml:space="preserve"> דכשאמר בסתמא שקנה מהמוכר שקנה מהמערער, הב"ד עצמם צריכים לפרש את דבריו, כתב </w:t>
      </w:r>
      <w:r w:rsidRPr="003C2AD4">
        <w:rPr>
          <w:rStyle w:val="af9"/>
          <w:rFonts w:hint="cs"/>
          <w:rtl/>
        </w:rPr>
        <w:t>הקצוה"ח</w:t>
      </w:r>
      <w:r w:rsidRPr="00AD1DCB">
        <w:rPr>
          <w:rStyle w:val="af7"/>
          <w:rFonts w:eastAsia="Guttman Hodes" w:hint="cs"/>
          <w:rtl/>
        </w:rPr>
        <w:t xml:space="preserve"> (סי' קמ"ו סק"י ד"ה אלא)</w:t>
      </w:r>
      <w:r>
        <w:rPr>
          <w:rFonts w:hint="cs"/>
          <w:rtl/>
        </w:rPr>
        <w:t xml:space="preserve"> דלא מוכח לבאר כן, ומדברי </w:t>
      </w:r>
      <w:r w:rsidRPr="00647C72">
        <w:rPr>
          <w:rStyle w:val="af9"/>
          <w:rFonts w:hint="cs"/>
          <w:rtl/>
        </w:rPr>
        <w:t>הרא"ש</w:t>
      </w:r>
      <w:r>
        <w:rPr>
          <w:rFonts w:hint="cs"/>
          <w:rtl/>
        </w:rPr>
        <w:t xml:space="preserve"> </w:t>
      </w:r>
      <w:r w:rsidRPr="00765FE4">
        <w:rPr>
          <w:rStyle w:val="af7"/>
          <w:rFonts w:eastAsia="Guttman Hodes" w:hint="cs"/>
          <w:rtl/>
        </w:rPr>
        <w:t xml:space="preserve">(עי' אות </w:t>
      </w:r>
      <w:r w:rsidRPr="00765FE4">
        <w:rPr>
          <w:rStyle w:val="af7"/>
          <w:rFonts w:eastAsia="Guttman Hodes"/>
          <w:rtl/>
        </w:rPr>
        <w:fldChar w:fldCharType="begin"/>
      </w:r>
      <w:r w:rsidRPr="00765FE4">
        <w:rPr>
          <w:rStyle w:val="af7"/>
          <w:rFonts w:eastAsia="Guttman Hodes"/>
          <w:rtl/>
        </w:rPr>
        <w:instrText xml:space="preserve"> </w:instrText>
      </w:r>
      <w:r w:rsidRPr="00765FE4">
        <w:rPr>
          <w:rStyle w:val="af7"/>
          <w:rFonts w:eastAsia="Guttman Hodes" w:hint="cs"/>
        </w:rPr>
        <w:instrText>REF</w:instrText>
      </w:r>
      <w:r w:rsidRPr="00765FE4">
        <w:rPr>
          <w:rStyle w:val="af7"/>
          <w:rFonts w:eastAsia="Guttman Hodes" w:hint="cs"/>
          <w:rtl/>
        </w:rPr>
        <w:instrText xml:space="preserve"> _</w:instrText>
      </w:r>
      <w:r w:rsidRPr="00765FE4">
        <w:rPr>
          <w:rStyle w:val="af7"/>
          <w:rFonts w:eastAsia="Guttman Hodes" w:hint="cs"/>
        </w:rPr>
        <w:instrText>Ref61008990 \r \h</w:instrText>
      </w:r>
      <w:r w:rsidRPr="00765FE4">
        <w:rPr>
          <w:rStyle w:val="af7"/>
          <w:rFonts w:eastAsia="Guttman Hodes"/>
          <w:rtl/>
        </w:rPr>
        <w:instrText xml:space="preserve"> </w:instrText>
      </w:r>
      <w:r w:rsidRPr="00765FE4">
        <w:rPr>
          <w:rStyle w:val="af7"/>
          <w:rFonts w:eastAsia="Guttman Hodes"/>
          <w:rtl/>
        </w:rPr>
      </w:r>
      <w:r w:rsidRPr="00765FE4">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765FE4">
        <w:rPr>
          <w:rStyle w:val="af7"/>
          <w:rFonts w:eastAsia="Guttman Hodes"/>
          <w:rtl/>
        </w:rPr>
        <w:fldChar w:fldCharType="end"/>
      </w:r>
      <w:r>
        <w:rPr>
          <w:rFonts w:hint="cs"/>
          <w:rtl/>
        </w:rPr>
        <w:t xml:space="preserve"> משמע שהמחזיק עצמו צריך לטעון דכוונתו הייתה לומר קמי דידי זבנה מינך, ולא דהב"ד צריכים לפרש את דבריו, וכתב </w:t>
      </w:r>
      <w:r w:rsidRPr="006701F1">
        <w:rPr>
          <w:rStyle w:val="af9"/>
          <w:rFonts w:hint="cs"/>
          <w:rtl/>
        </w:rPr>
        <w:t>הקצוה"ח</w:t>
      </w:r>
      <w:r>
        <w:rPr>
          <w:rFonts w:hint="cs"/>
          <w:rtl/>
        </w:rPr>
        <w:t xml:space="preserve"> דלפי"ז אפשר לבאר דהגמ' לקמן </w:t>
      </w:r>
      <w:r w:rsidRPr="00B414F8">
        <w:rPr>
          <w:rStyle w:val="af7"/>
          <w:rFonts w:eastAsia="Guttman Hodes" w:hint="cs"/>
          <w:rtl/>
        </w:rPr>
        <w:t>(מא:)</w:t>
      </w:r>
      <w:r>
        <w:rPr>
          <w:rFonts w:hint="cs"/>
          <w:rtl/>
        </w:rPr>
        <w:t xml:space="preserve"> איירי באופן שאמר בסתמא, ולא אמר בפירוש שהמוכר אמר לו שקנה מהמערער.</w:t>
      </w:r>
    </w:p>
    <w:p w:rsidR="005306EB" w:rsidRDefault="005306EB" w:rsidP="005306EB">
      <w:pPr>
        <w:pStyle w:val="a3"/>
        <w:rPr>
          <w:rtl/>
        </w:rPr>
      </w:pPr>
      <w:bookmarkStart w:id="11539" w:name="_Toc61388229"/>
      <w:bookmarkStart w:id="11540" w:name="_Toc61430895"/>
      <w:bookmarkStart w:id="11541" w:name="_Toc61433937"/>
      <w:bookmarkStart w:id="11542" w:name="_Toc61438658"/>
      <w:bookmarkStart w:id="11543" w:name="_Toc61469387"/>
      <w:bookmarkStart w:id="11544" w:name="_Toc61509765"/>
      <w:r>
        <w:rPr>
          <w:rFonts w:hint="cs"/>
          <w:rtl/>
        </w:rPr>
        <w:t>הוכחת הקצוה"ח דבגמ' לקמן ודאי איירי שלא טען בסתמא דא"כ היה נאמן במיגו דחד יומא</w:t>
      </w:r>
      <w:bookmarkEnd w:id="11539"/>
      <w:bookmarkEnd w:id="11540"/>
      <w:bookmarkEnd w:id="11541"/>
      <w:bookmarkEnd w:id="11542"/>
      <w:bookmarkEnd w:id="11543"/>
      <w:bookmarkEnd w:id="11544"/>
    </w:p>
    <w:p w:rsidR="005306EB" w:rsidRDefault="005306EB" w:rsidP="007E4E81">
      <w:pPr>
        <w:pStyle w:val="a0"/>
        <w:rPr>
          <w:rtl/>
        </w:rPr>
      </w:pPr>
      <w:r>
        <w:rPr>
          <w:rFonts w:hint="cs"/>
          <w:rtl/>
        </w:rPr>
        <w:t xml:space="preserve">אך דחה </w:t>
      </w:r>
      <w:r w:rsidRPr="00647C72">
        <w:rPr>
          <w:rStyle w:val="af9"/>
          <w:rFonts w:hint="cs"/>
          <w:rtl/>
        </w:rPr>
        <w:t>הקצוה"ח</w:t>
      </w:r>
      <w:r>
        <w:rPr>
          <w:rFonts w:hint="cs"/>
          <w:rtl/>
        </w:rPr>
        <w:t xml:space="preserve"> דלפי"ז עכשיו נאמן המחזיק לטעון קמי דידי דר בה חד יומא, כיון שעכשיו יש לו מיגו דהיה טוען דכוונתו הייתה בתחילה לומר קמי דידי זבנה מינך, והיה נאמן בטענה זו, ואינו מיגו למפרע, כיון שעכשיו הוא יכול לטעון כן, וא"כ מוכח דלא איירי כשאמר כן בסתמא, אלא דאמר בפירוש שהמוכר אמר לו שקנה </w:t>
      </w:r>
      <w:r>
        <w:rPr>
          <w:rFonts w:hint="cs"/>
          <w:rtl/>
        </w:rPr>
        <w:t xml:space="preserve">מהמערער, והא דאמר רב דנאמן המחזיק לטעון קמי דידי זבנה מינך, היינו דבתחילה היה נאמן לטעון כן, אבל עכשיו אינו נאמן בשום טענה. </w:t>
      </w:r>
      <w:r w:rsidRPr="00B414F8">
        <w:rPr>
          <w:rStyle w:val="afb"/>
          <w:rFonts w:hint="cs"/>
          <w:rtl/>
        </w:rPr>
        <w:t>[דהוא מיגו למפרע].</w:t>
      </w:r>
    </w:p>
    <w:p w:rsidR="005306EB" w:rsidRPr="003151A4" w:rsidRDefault="005306EB" w:rsidP="005306EB">
      <w:pPr>
        <w:pStyle w:val="1"/>
        <w:rPr>
          <w:rtl/>
        </w:rPr>
      </w:pPr>
      <w:bookmarkStart w:id="11545" w:name="_Toc61388230"/>
      <w:bookmarkStart w:id="11546" w:name="_Toc61430896"/>
      <w:bookmarkStart w:id="11547" w:name="_Toc61433938"/>
      <w:bookmarkStart w:id="11548" w:name="_Toc61438659"/>
      <w:bookmarkStart w:id="11549" w:name="_Toc61469388"/>
      <w:bookmarkStart w:id="11550" w:name="_Toc61509766"/>
      <w:bookmarkStart w:id="11551" w:name="_Toc61010730"/>
      <w:bookmarkStart w:id="11552" w:name="_Toc61200673"/>
      <w:bookmarkStart w:id="11553" w:name="_Toc61213871"/>
      <w:r>
        <w:rPr>
          <w:rFonts w:hint="cs"/>
          <w:rtl/>
        </w:rPr>
        <w:t>דברי התומים</w:t>
      </w:r>
      <w:bookmarkEnd w:id="11545"/>
      <w:bookmarkEnd w:id="11546"/>
      <w:bookmarkEnd w:id="11547"/>
      <w:bookmarkEnd w:id="11548"/>
      <w:bookmarkEnd w:id="11549"/>
      <w:r>
        <w:rPr>
          <w:rFonts w:hint="cs"/>
          <w:rtl/>
        </w:rPr>
        <w:t xml:space="preserve"> דהתוס' פליגי על הרשב"ם והרא"ש במפרש דבריו</w:t>
      </w:r>
      <w:bookmarkEnd w:id="11550"/>
    </w:p>
    <w:p w:rsidR="005306EB" w:rsidRPr="003151A4" w:rsidRDefault="005306EB" w:rsidP="005306EB">
      <w:pPr>
        <w:pStyle w:val="a3"/>
        <w:rPr>
          <w:rtl/>
        </w:rPr>
      </w:pPr>
      <w:bookmarkStart w:id="11554" w:name="_Toc61388231"/>
      <w:bookmarkStart w:id="11555" w:name="_Toc61430897"/>
      <w:bookmarkStart w:id="11556" w:name="_Toc61433939"/>
      <w:bookmarkStart w:id="11557" w:name="_Toc61438660"/>
      <w:bookmarkStart w:id="11558" w:name="_Toc61469389"/>
      <w:bookmarkStart w:id="11559" w:name="_Toc61509767"/>
      <w:r>
        <w:rPr>
          <w:rFonts w:hint="cs"/>
          <w:rtl/>
        </w:rPr>
        <w:t>דברי התומים דברשב"ם מבואר כרא"ש דנאמן לפרש דבריו והתוס' פליגי עליה ועל הרא"ש</w:t>
      </w:r>
      <w:bookmarkEnd w:id="11554"/>
      <w:bookmarkEnd w:id="11555"/>
      <w:bookmarkEnd w:id="11556"/>
      <w:bookmarkEnd w:id="11557"/>
      <w:bookmarkEnd w:id="11558"/>
      <w:bookmarkEnd w:id="11559"/>
    </w:p>
    <w:p w:rsidR="005306EB" w:rsidRDefault="005306EB" w:rsidP="007E4E81">
      <w:pPr>
        <w:pStyle w:val="a0"/>
        <w:rPr>
          <w:rtl/>
        </w:rPr>
      </w:pPr>
      <w:bookmarkStart w:id="11560" w:name="_Ref61509460"/>
      <w:r>
        <w:rPr>
          <w:rFonts w:hint="cs"/>
          <w:rtl/>
        </w:rPr>
        <w:t xml:space="preserve">במ"ש </w:t>
      </w:r>
      <w:r w:rsidRPr="007475F7">
        <w:rPr>
          <w:rStyle w:val="af9"/>
          <w:rFonts w:hint="cs"/>
          <w:rtl/>
        </w:rPr>
        <w:t>הש"ך</w:t>
      </w:r>
      <w:r>
        <w:rPr>
          <w:rFonts w:hint="cs"/>
          <w:rtl/>
        </w:rPr>
        <w:t xml:space="preserve"> </w:t>
      </w:r>
      <w:r w:rsidRPr="007A6ACC">
        <w:rPr>
          <w:rStyle w:val="af7"/>
          <w:rFonts w:eastAsia="Guttman Hodes" w:hint="cs"/>
          <w:rtl/>
        </w:rPr>
        <w:t xml:space="preserve">(עי' אות </w:t>
      </w:r>
      <w:r w:rsidRPr="007A6ACC">
        <w:rPr>
          <w:rStyle w:val="af7"/>
          <w:rFonts w:eastAsia="Guttman Hodes"/>
          <w:rtl/>
        </w:rPr>
        <w:fldChar w:fldCharType="begin"/>
      </w:r>
      <w:r w:rsidRPr="007A6ACC">
        <w:rPr>
          <w:rStyle w:val="af7"/>
          <w:rFonts w:eastAsia="Guttman Hodes"/>
          <w:rtl/>
        </w:rPr>
        <w:instrText xml:space="preserve"> </w:instrText>
      </w:r>
      <w:r w:rsidRPr="007A6ACC">
        <w:rPr>
          <w:rStyle w:val="af7"/>
          <w:rFonts w:eastAsia="Guttman Hodes" w:hint="cs"/>
        </w:rPr>
        <w:instrText>REF</w:instrText>
      </w:r>
      <w:r w:rsidRPr="007A6ACC">
        <w:rPr>
          <w:rStyle w:val="af7"/>
          <w:rFonts w:eastAsia="Guttman Hodes" w:hint="cs"/>
          <w:rtl/>
        </w:rPr>
        <w:instrText xml:space="preserve"> _</w:instrText>
      </w:r>
      <w:r w:rsidRPr="007A6ACC">
        <w:rPr>
          <w:rStyle w:val="af7"/>
          <w:rFonts w:eastAsia="Guttman Hodes" w:hint="cs"/>
        </w:rPr>
        <w:instrText>Ref61345655 \r \h</w:instrText>
      </w:r>
      <w:r w:rsidRPr="007A6ACC">
        <w:rPr>
          <w:rStyle w:val="af7"/>
          <w:rFonts w:eastAsia="Guttman Hodes"/>
          <w:rtl/>
        </w:rPr>
        <w:instrText xml:space="preserve"> </w:instrText>
      </w:r>
      <w:r w:rsidRPr="007A6ACC">
        <w:rPr>
          <w:rStyle w:val="af7"/>
          <w:rFonts w:eastAsia="Guttman Hodes"/>
          <w:rtl/>
        </w:rPr>
      </w:r>
      <w:r w:rsidRPr="007A6ACC">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7A6ACC">
        <w:rPr>
          <w:rStyle w:val="af7"/>
          <w:rFonts w:eastAsia="Guttman Hodes"/>
          <w:rtl/>
        </w:rPr>
        <w:fldChar w:fldCharType="end"/>
      </w:r>
      <w:r>
        <w:rPr>
          <w:rStyle w:val="af9"/>
          <w:rFonts w:hint="cs"/>
          <w:rtl/>
        </w:rPr>
        <w:t xml:space="preserve"> ד</w:t>
      </w:r>
      <w:r w:rsidRPr="007475F7">
        <w:rPr>
          <w:rStyle w:val="af9"/>
          <w:rFonts w:hint="cs"/>
          <w:rtl/>
        </w:rPr>
        <w:t>התוס'</w:t>
      </w:r>
      <w:r>
        <w:rPr>
          <w:rFonts w:hint="cs"/>
          <w:rtl/>
        </w:rPr>
        <w:t xml:space="preserve"> </w:t>
      </w:r>
      <w:r w:rsidRPr="007A6ACC">
        <w:rPr>
          <w:rStyle w:val="af7"/>
          <w:rFonts w:eastAsia="Guttman Hodes" w:hint="cs"/>
          <w:rtl/>
        </w:rPr>
        <w:t xml:space="preserve">(עי' אות </w:t>
      </w:r>
      <w:r w:rsidRPr="007A6ACC">
        <w:rPr>
          <w:rStyle w:val="af7"/>
          <w:rFonts w:eastAsia="Guttman Hodes"/>
          <w:rtl/>
        </w:rPr>
        <w:fldChar w:fldCharType="begin"/>
      </w:r>
      <w:r w:rsidRPr="007A6ACC">
        <w:rPr>
          <w:rStyle w:val="af7"/>
          <w:rFonts w:eastAsia="Guttman Hodes"/>
          <w:rtl/>
        </w:rPr>
        <w:instrText xml:space="preserve"> </w:instrText>
      </w:r>
      <w:r w:rsidRPr="007A6ACC">
        <w:rPr>
          <w:rStyle w:val="af7"/>
          <w:rFonts w:eastAsia="Guttman Hodes" w:hint="cs"/>
        </w:rPr>
        <w:instrText>REF</w:instrText>
      </w:r>
      <w:r w:rsidRPr="007A6ACC">
        <w:rPr>
          <w:rStyle w:val="af7"/>
          <w:rFonts w:eastAsia="Guttman Hodes" w:hint="cs"/>
          <w:rtl/>
        </w:rPr>
        <w:instrText xml:space="preserve"> _</w:instrText>
      </w:r>
      <w:r w:rsidRPr="007A6ACC">
        <w:rPr>
          <w:rStyle w:val="af7"/>
          <w:rFonts w:eastAsia="Guttman Hodes" w:hint="cs"/>
        </w:rPr>
        <w:instrText>Ref61253162 \r \h</w:instrText>
      </w:r>
      <w:r w:rsidRPr="007A6ACC">
        <w:rPr>
          <w:rStyle w:val="af7"/>
          <w:rFonts w:eastAsia="Guttman Hodes"/>
          <w:rtl/>
        </w:rPr>
        <w:instrText xml:space="preserve"> </w:instrText>
      </w:r>
      <w:r w:rsidRPr="007A6ACC">
        <w:rPr>
          <w:rStyle w:val="af7"/>
          <w:rFonts w:eastAsia="Guttman Hodes"/>
          <w:rtl/>
        </w:rPr>
      </w:r>
      <w:r w:rsidRPr="007A6ACC">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7A6ACC">
        <w:rPr>
          <w:rStyle w:val="af7"/>
          <w:rFonts w:eastAsia="Guttman Hodes"/>
          <w:rtl/>
        </w:rPr>
        <w:fldChar w:fldCharType="end"/>
      </w:r>
      <w:r>
        <w:rPr>
          <w:rFonts w:hint="cs"/>
          <w:rtl/>
        </w:rPr>
        <w:t xml:space="preserve"> מודו לדברי </w:t>
      </w:r>
      <w:r w:rsidRPr="007475F7">
        <w:rPr>
          <w:rStyle w:val="af9"/>
          <w:rFonts w:hint="cs"/>
          <w:rtl/>
        </w:rPr>
        <w:t>הרא"ש</w:t>
      </w:r>
      <w:r>
        <w:rPr>
          <w:rFonts w:hint="cs"/>
          <w:rtl/>
        </w:rPr>
        <w:t xml:space="preserve"> </w:t>
      </w:r>
      <w:r w:rsidRPr="00765FE4">
        <w:rPr>
          <w:rStyle w:val="af7"/>
          <w:rFonts w:eastAsia="Guttman Hodes" w:hint="cs"/>
          <w:rtl/>
        </w:rPr>
        <w:t xml:space="preserve">(עי' אות </w:t>
      </w:r>
      <w:r w:rsidRPr="000A5D55">
        <w:rPr>
          <w:rStyle w:val="af7"/>
          <w:rFonts w:eastAsia="Guttman Hodes"/>
          <w:rtl/>
        </w:rPr>
        <w:fldChar w:fldCharType="begin"/>
      </w:r>
      <w:r w:rsidRPr="000A5D55">
        <w:rPr>
          <w:rStyle w:val="af7"/>
          <w:rFonts w:eastAsia="Guttman Hodes"/>
          <w:rtl/>
        </w:rPr>
        <w:instrText xml:space="preserve"> </w:instrText>
      </w:r>
      <w:r w:rsidRPr="000A5D55">
        <w:rPr>
          <w:rStyle w:val="af7"/>
          <w:rFonts w:eastAsia="Guttman Hodes" w:hint="cs"/>
        </w:rPr>
        <w:instrText>REF</w:instrText>
      </w:r>
      <w:r w:rsidRPr="000A5D55">
        <w:rPr>
          <w:rStyle w:val="af7"/>
          <w:rFonts w:eastAsia="Guttman Hodes" w:hint="cs"/>
          <w:rtl/>
        </w:rPr>
        <w:instrText xml:space="preserve"> _</w:instrText>
      </w:r>
      <w:r w:rsidRPr="000A5D55">
        <w:rPr>
          <w:rStyle w:val="af7"/>
          <w:rFonts w:eastAsia="Guttman Hodes" w:hint="cs"/>
        </w:rPr>
        <w:instrText>Ref61008990 \r \h</w:instrText>
      </w:r>
      <w:r w:rsidRPr="000A5D55">
        <w:rPr>
          <w:rStyle w:val="af7"/>
          <w:rFonts w:eastAsia="Guttman Hodes"/>
          <w:rtl/>
        </w:rPr>
        <w:instrText xml:space="preserve"> </w:instrText>
      </w:r>
      <w:r w:rsidRPr="000A5D55">
        <w:rPr>
          <w:rStyle w:val="af7"/>
          <w:rFonts w:eastAsia="Guttman Hodes"/>
          <w:rtl/>
        </w:rPr>
      </w:r>
      <w:r w:rsidRPr="000A5D55">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0A5D55">
        <w:rPr>
          <w:rStyle w:val="af7"/>
          <w:rFonts w:eastAsia="Guttman Hodes"/>
          <w:rtl/>
        </w:rPr>
        <w:fldChar w:fldCharType="end"/>
      </w:r>
      <w:r>
        <w:rPr>
          <w:rFonts w:hint="cs"/>
          <w:rtl/>
        </w:rPr>
        <w:t xml:space="preserve"> דבטען בסתמא נאמן לפרש את דבריו, ולומר דכוונתו הייתה לטענת קמי דידי זבנה מינך, דחה </w:t>
      </w:r>
      <w:r w:rsidRPr="00417D21">
        <w:rPr>
          <w:rStyle w:val="af9"/>
          <w:rFonts w:hint="cs"/>
          <w:rtl/>
        </w:rPr>
        <w:t>התומים</w:t>
      </w:r>
      <w:r>
        <w:rPr>
          <w:rFonts w:hint="cs"/>
          <w:rtl/>
        </w:rPr>
        <w:t xml:space="preserve"> </w:t>
      </w:r>
      <w:r w:rsidRPr="00AD1DCB">
        <w:rPr>
          <w:rStyle w:val="af7"/>
          <w:rFonts w:eastAsia="Guttman Hodes" w:hint="cs"/>
          <w:rtl/>
        </w:rPr>
        <w:t>(סי' קמ"ו סקי"ז)</w:t>
      </w:r>
      <w:r>
        <w:rPr>
          <w:rFonts w:hint="cs"/>
          <w:rtl/>
        </w:rPr>
        <w:t xml:space="preserve"> דהא </w:t>
      </w:r>
      <w:r w:rsidRPr="00417D21">
        <w:rPr>
          <w:rStyle w:val="af9"/>
          <w:rFonts w:hint="cs"/>
          <w:rtl/>
        </w:rPr>
        <w:t xml:space="preserve">הרשב"ם </w:t>
      </w:r>
      <w:r w:rsidRPr="00AD1DCB">
        <w:rPr>
          <w:rStyle w:val="af7"/>
          <w:rFonts w:eastAsia="Guttman Hodes" w:hint="cs"/>
          <w:rtl/>
        </w:rPr>
        <w:t>(ריש ד"ה</w:t>
      </w:r>
      <w:r>
        <w:rPr>
          <w:rFonts w:hint="cs"/>
          <w:rtl/>
        </w:rPr>
        <w:t xml:space="preserve"> </w:t>
      </w:r>
      <w:r w:rsidRPr="00AD1DCB">
        <w:rPr>
          <w:rStyle w:val="af7"/>
          <w:rFonts w:eastAsia="Guttman Hodes" w:hint="cs"/>
          <w:rtl/>
        </w:rPr>
        <w:t>אמר ליה)</w:t>
      </w:r>
      <w:r>
        <w:rPr>
          <w:rFonts w:hint="cs"/>
          <w:rtl/>
        </w:rPr>
        <w:t xml:space="preserve"> כתב "כלומר דאמר לי דזבנה מינך", ומשמע דלא גרס כן בגמ', ולכן כתב </w:t>
      </w:r>
      <w:r w:rsidRPr="00417D21">
        <w:rPr>
          <w:rStyle w:val="af9"/>
          <w:rFonts w:hint="cs"/>
          <w:rtl/>
        </w:rPr>
        <w:t>הרשב"ם</w:t>
      </w:r>
      <w:r>
        <w:rPr>
          <w:rFonts w:hint="cs"/>
          <w:rtl/>
        </w:rPr>
        <w:t xml:space="preserve"> דהוא נאמן בטענת קמי דידי זבנה מינך, ומבואר דס"ל </w:t>
      </w:r>
      <w:r w:rsidRPr="00417D21">
        <w:rPr>
          <w:rStyle w:val="af9"/>
          <w:rFonts w:hint="cs"/>
          <w:rtl/>
        </w:rPr>
        <w:t>להרשב"ם</w:t>
      </w:r>
      <w:r>
        <w:rPr>
          <w:rFonts w:hint="cs"/>
          <w:rtl/>
        </w:rPr>
        <w:t xml:space="preserve"> כדעת </w:t>
      </w:r>
      <w:r w:rsidRPr="00417D21">
        <w:rPr>
          <w:rStyle w:val="af9"/>
          <w:rFonts w:hint="cs"/>
          <w:rtl/>
        </w:rPr>
        <w:t>הרא"ש</w:t>
      </w:r>
      <w:r>
        <w:rPr>
          <w:rFonts w:hint="cs"/>
          <w:rtl/>
        </w:rPr>
        <w:t xml:space="preserve"> דהוא נאמן לפרש את דבריו, אבל מדברי </w:t>
      </w:r>
      <w:r w:rsidRPr="00417D21">
        <w:rPr>
          <w:rStyle w:val="af9"/>
          <w:rFonts w:hint="cs"/>
          <w:rtl/>
        </w:rPr>
        <w:t>התוס'</w:t>
      </w:r>
      <w:r>
        <w:rPr>
          <w:rFonts w:hint="cs"/>
          <w:rtl/>
        </w:rPr>
        <w:t xml:space="preserve"> </w:t>
      </w:r>
      <w:r w:rsidRPr="00AD1DCB">
        <w:rPr>
          <w:rStyle w:val="af7"/>
          <w:rFonts w:eastAsia="Guttman Hodes" w:hint="cs"/>
          <w:rtl/>
        </w:rPr>
        <w:t>(ריש ד"ה לאו קמודית)</w:t>
      </w:r>
      <w:r>
        <w:rPr>
          <w:rFonts w:hint="cs"/>
          <w:rtl/>
        </w:rPr>
        <w:t xml:space="preserve"> שהביאו את דברי </w:t>
      </w:r>
      <w:r w:rsidRPr="00417D21">
        <w:rPr>
          <w:rStyle w:val="af9"/>
          <w:rFonts w:hint="cs"/>
          <w:rtl/>
        </w:rPr>
        <w:t>הרשב"ם</w:t>
      </w:r>
      <w:r>
        <w:rPr>
          <w:rFonts w:hint="cs"/>
          <w:rtl/>
        </w:rPr>
        <w:t xml:space="preserve">, מבואר דאף באופן שאמר המחזיק שקנה מהמוכר שקנה מהמערער, ולא הוסיף שאמר לו המוכר כן, אינו נאמן לפרש את דבריו דהוא מיגו למפרע, וא"כ מוכח </w:t>
      </w:r>
      <w:r w:rsidRPr="00417D21">
        <w:rPr>
          <w:rStyle w:val="af9"/>
          <w:rFonts w:hint="cs"/>
          <w:rtl/>
        </w:rPr>
        <w:t>דהתוס'</w:t>
      </w:r>
      <w:r>
        <w:rPr>
          <w:rFonts w:hint="cs"/>
          <w:rtl/>
        </w:rPr>
        <w:t xml:space="preserve"> פליגי על </w:t>
      </w:r>
      <w:r w:rsidRPr="00417D21">
        <w:rPr>
          <w:rStyle w:val="af9"/>
          <w:rFonts w:hint="cs"/>
          <w:rtl/>
        </w:rPr>
        <w:t>הרשב"ם והרא"ש</w:t>
      </w:r>
      <w:r>
        <w:rPr>
          <w:rFonts w:hint="cs"/>
          <w:rtl/>
        </w:rPr>
        <w:t>.</w:t>
      </w:r>
      <w:bookmarkEnd w:id="11560"/>
    </w:p>
    <w:p w:rsidR="005306EB" w:rsidRPr="00A81072" w:rsidRDefault="005306EB" w:rsidP="005306EB">
      <w:pPr>
        <w:pStyle w:val="a3"/>
        <w:rPr>
          <w:rtl/>
        </w:rPr>
      </w:pPr>
      <w:bookmarkStart w:id="11561" w:name="_Toc61388232"/>
      <w:bookmarkStart w:id="11562" w:name="_Toc61430898"/>
      <w:bookmarkStart w:id="11563" w:name="_Toc61433940"/>
      <w:bookmarkStart w:id="11564" w:name="_Toc61438661"/>
      <w:bookmarkStart w:id="11565" w:name="_Toc61469390"/>
      <w:bookmarkStart w:id="11566" w:name="_Toc61509768"/>
      <w:r>
        <w:rPr>
          <w:rFonts w:hint="cs"/>
          <w:rtl/>
        </w:rPr>
        <w:t>הוכחת התומים מהראיה שהביאו התוס' מהגמ' לקמן דפליגי על הרא"ש וס"ל דאינו נאמן לפרש</w:t>
      </w:r>
      <w:bookmarkEnd w:id="11561"/>
      <w:bookmarkEnd w:id="11562"/>
      <w:bookmarkEnd w:id="11563"/>
      <w:bookmarkEnd w:id="11564"/>
      <w:bookmarkEnd w:id="11565"/>
      <w:bookmarkEnd w:id="11566"/>
    </w:p>
    <w:p w:rsidR="005306EB" w:rsidRDefault="005306EB" w:rsidP="007E4E81">
      <w:pPr>
        <w:pStyle w:val="a0"/>
        <w:rPr>
          <w:rtl/>
        </w:rPr>
      </w:pPr>
      <w:r>
        <w:rPr>
          <w:rFonts w:hint="cs"/>
          <w:rtl/>
        </w:rPr>
        <w:t xml:space="preserve">והוסיף </w:t>
      </w:r>
      <w:r w:rsidRPr="004C71CC">
        <w:rPr>
          <w:rStyle w:val="af9"/>
          <w:rFonts w:hint="cs"/>
          <w:rtl/>
        </w:rPr>
        <w:t>התומים</w:t>
      </w:r>
      <w:r>
        <w:rPr>
          <w:rFonts w:hint="cs"/>
          <w:rtl/>
        </w:rPr>
        <w:t xml:space="preserve"> דכן מוכח ממה שהביאו </w:t>
      </w:r>
      <w:r w:rsidRPr="007475F7">
        <w:rPr>
          <w:rStyle w:val="af9"/>
          <w:rFonts w:hint="cs"/>
          <w:rtl/>
        </w:rPr>
        <w:t>התוס'</w:t>
      </w:r>
      <w:r>
        <w:rPr>
          <w:rFonts w:hint="cs"/>
          <w:rtl/>
        </w:rPr>
        <w:t xml:space="preserve"> </w:t>
      </w:r>
      <w:r w:rsidRPr="007A6ACC">
        <w:rPr>
          <w:rStyle w:val="af7"/>
          <w:rFonts w:eastAsia="Guttman Hodes" w:hint="cs"/>
          <w:rtl/>
        </w:rPr>
        <w:t xml:space="preserve">(עי' אות </w:t>
      </w:r>
      <w:r w:rsidRPr="007A6ACC">
        <w:rPr>
          <w:rStyle w:val="af7"/>
          <w:rFonts w:eastAsia="Guttman Hodes"/>
          <w:rtl/>
        </w:rPr>
        <w:fldChar w:fldCharType="begin"/>
      </w:r>
      <w:r w:rsidRPr="007A6ACC">
        <w:rPr>
          <w:rStyle w:val="af7"/>
          <w:rFonts w:eastAsia="Guttman Hodes"/>
          <w:rtl/>
        </w:rPr>
        <w:instrText xml:space="preserve"> </w:instrText>
      </w:r>
      <w:r w:rsidRPr="007A6ACC">
        <w:rPr>
          <w:rStyle w:val="af7"/>
          <w:rFonts w:eastAsia="Guttman Hodes" w:hint="cs"/>
        </w:rPr>
        <w:instrText>REF</w:instrText>
      </w:r>
      <w:r w:rsidRPr="007A6ACC">
        <w:rPr>
          <w:rStyle w:val="af7"/>
          <w:rFonts w:eastAsia="Guttman Hodes" w:hint="cs"/>
          <w:rtl/>
        </w:rPr>
        <w:instrText xml:space="preserve"> _</w:instrText>
      </w:r>
      <w:r w:rsidRPr="007A6ACC">
        <w:rPr>
          <w:rStyle w:val="af7"/>
          <w:rFonts w:eastAsia="Guttman Hodes" w:hint="cs"/>
        </w:rPr>
        <w:instrText>Ref61345702 \r \h</w:instrText>
      </w:r>
      <w:r w:rsidRPr="007A6ACC">
        <w:rPr>
          <w:rStyle w:val="af7"/>
          <w:rFonts w:eastAsia="Guttman Hodes"/>
          <w:rtl/>
        </w:rPr>
        <w:instrText xml:space="preserve"> </w:instrText>
      </w:r>
      <w:r w:rsidRPr="007A6ACC">
        <w:rPr>
          <w:rStyle w:val="af7"/>
          <w:rFonts w:eastAsia="Guttman Hodes"/>
          <w:rtl/>
        </w:rPr>
      </w:r>
      <w:r w:rsidRPr="007A6ACC">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7A6ACC">
        <w:rPr>
          <w:rStyle w:val="af7"/>
          <w:rFonts w:eastAsia="Guttman Hodes"/>
          <w:rtl/>
        </w:rPr>
        <w:fldChar w:fldCharType="end"/>
      </w:r>
      <w:r>
        <w:rPr>
          <w:rFonts w:hint="cs"/>
          <w:rtl/>
        </w:rPr>
        <w:t xml:space="preserve"> ראיה מהגמ' לקמן, וכתבו דאינו נאמן לטעון עכשיו קמי דידי זבנה מינך, ואילו לדעת </w:t>
      </w:r>
      <w:r w:rsidRPr="004C71CC">
        <w:rPr>
          <w:rStyle w:val="af9"/>
          <w:rFonts w:hint="cs"/>
          <w:rtl/>
        </w:rPr>
        <w:t>הרא"ש</w:t>
      </w:r>
      <w:r>
        <w:rPr>
          <w:rFonts w:hint="cs"/>
          <w:rtl/>
        </w:rPr>
        <w:t xml:space="preserve"> </w:t>
      </w:r>
      <w:r w:rsidRPr="00DA38B0">
        <w:rPr>
          <w:rStyle w:val="af7"/>
          <w:rFonts w:eastAsia="Guttman Hodes" w:hint="cs"/>
          <w:rtl/>
        </w:rPr>
        <w:t xml:space="preserve">(עי' אות </w:t>
      </w:r>
      <w:r w:rsidRPr="00DA38B0">
        <w:rPr>
          <w:rStyle w:val="af7"/>
          <w:rFonts w:eastAsia="Guttman Hodes"/>
          <w:rtl/>
        </w:rPr>
        <w:fldChar w:fldCharType="begin"/>
      </w:r>
      <w:r w:rsidRPr="00DA38B0">
        <w:rPr>
          <w:rStyle w:val="af7"/>
          <w:rFonts w:eastAsia="Guttman Hodes"/>
          <w:rtl/>
        </w:rPr>
        <w:instrText xml:space="preserve"> </w:instrText>
      </w:r>
      <w:r w:rsidRPr="00DA38B0">
        <w:rPr>
          <w:rStyle w:val="af7"/>
          <w:rFonts w:eastAsia="Guttman Hodes" w:hint="cs"/>
        </w:rPr>
        <w:instrText>REF</w:instrText>
      </w:r>
      <w:r w:rsidRPr="00DA38B0">
        <w:rPr>
          <w:rStyle w:val="af7"/>
          <w:rFonts w:eastAsia="Guttman Hodes" w:hint="cs"/>
          <w:rtl/>
        </w:rPr>
        <w:instrText xml:space="preserve"> _</w:instrText>
      </w:r>
      <w:r w:rsidRPr="00DA38B0">
        <w:rPr>
          <w:rStyle w:val="af7"/>
          <w:rFonts w:eastAsia="Guttman Hodes" w:hint="cs"/>
        </w:rPr>
        <w:instrText>Ref61008990 \r \h</w:instrText>
      </w:r>
      <w:r w:rsidRPr="00DA38B0">
        <w:rPr>
          <w:rStyle w:val="af7"/>
          <w:rFonts w:eastAsia="Guttman Hodes"/>
          <w:rtl/>
        </w:rPr>
        <w:instrText xml:space="preserve"> </w:instrText>
      </w:r>
      <w:r w:rsidRPr="00DA38B0">
        <w:rPr>
          <w:rStyle w:val="af7"/>
          <w:rFonts w:eastAsia="Guttman Hodes"/>
          <w:rtl/>
        </w:rPr>
      </w:r>
      <w:r w:rsidRPr="00DA38B0">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DA38B0">
        <w:rPr>
          <w:rStyle w:val="af7"/>
          <w:rFonts w:eastAsia="Guttman Hodes"/>
          <w:rtl/>
        </w:rPr>
        <w:fldChar w:fldCharType="end"/>
      </w:r>
      <w:r>
        <w:rPr>
          <w:rFonts w:hint="cs"/>
          <w:rtl/>
        </w:rPr>
        <w:t xml:space="preserve"> כל שלא אמר בתחילה שהמוכר אמר לו שקנה מהמערער, הוא נאמן לפרש את דבריו דכוונתו הייתה לומר דקמי דידי זבנה מינך, ומוכח </w:t>
      </w:r>
      <w:r w:rsidRPr="004C71CC">
        <w:rPr>
          <w:rStyle w:val="af9"/>
          <w:rFonts w:hint="cs"/>
          <w:rtl/>
        </w:rPr>
        <w:t>דהתוס'</w:t>
      </w:r>
      <w:r>
        <w:rPr>
          <w:rFonts w:hint="cs"/>
          <w:rtl/>
        </w:rPr>
        <w:t xml:space="preserve"> פליגי על </w:t>
      </w:r>
      <w:r w:rsidRPr="004C71CC">
        <w:rPr>
          <w:rStyle w:val="af9"/>
          <w:rFonts w:hint="cs"/>
          <w:rtl/>
        </w:rPr>
        <w:t>הרא"ש</w:t>
      </w:r>
      <w:r>
        <w:rPr>
          <w:rFonts w:hint="cs"/>
          <w:rtl/>
        </w:rPr>
        <w:t>.</w:t>
      </w:r>
    </w:p>
    <w:p w:rsidR="005306EB" w:rsidRDefault="005306EB" w:rsidP="005306EB">
      <w:pPr>
        <w:pStyle w:val="a3"/>
        <w:rPr>
          <w:rtl/>
        </w:rPr>
      </w:pPr>
      <w:bookmarkStart w:id="11567" w:name="_Toc61388233"/>
      <w:bookmarkStart w:id="11568" w:name="_Toc61430899"/>
      <w:bookmarkStart w:id="11569" w:name="_Toc61433941"/>
      <w:bookmarkStart w:id="11570" w:name="_Toc61438662"/>
      <w:bookmarkStart w:id="11571" w:name="_Toc61469391"/>
      <w:bookmarkStart w:id="11572" w:name="_Toc61509769"/>
      <w:r>
        <w:rPr>
          <w:rFonts w:hint="cs"/>
          <w:rtl/>
        </w:rPr>
        <w:t>ביאור התומים דנח' התוס' והרא"ש בכתובות אי נאמן לפרש את דבריו</w:t>
      </w:r>
      <w:bookmarkEnd w:id="11567"/>
      <w:bookmarkEnd w:id="11568"/>
      <w:bookmarkEnd w:id="11569"/>
      <w:bookmarkEnd w:id="11570"/>
      <w:bookmarkEnd w:id="11571"/>
      <w:bookmarkEnd w:id="11572"/>
    </w:p>
    <w:p w:rsidR="005306EB" w:rsidRDefault="005306EB" w:rsidP="007E4E81">
      <w:pPr>
        <w:pStyle w:val="a0"/>
        <w:rPr>
          <w:rtl/>
        </w:rPr>
      </w:pPr>
      <w:r>
        <w:rPr>
          <w:rFonts w:hint="cs"/>
          <w:rtl/>
        </w:rPr>
        <w:t xml:space="preserve">והוסיף </w:t>
      </w:r>
      <w:r w:rsidRPr="004C71CC">
        <w:rPr>
          <w:rStyle w:val="af9"/>
          <w:rFonts w:hint="cs"/>
          <w:rtl/>
        </w:rPr>
        <w:t>התומים</w:t>
      </w:r>
      <w:r>
        <w:rPr>
          <w:rFonts w:hint="cs"/>
          <w:rtl/>
        </w:rPr>
        <w:t xml:space="preserve"> דבזה נחלקו </w:t>
      </w:r>
      <w:r w:rsidRPr="004C71CC">
        <w:rPr>
          <w:rStyle w:val="af9"/>
          <w:rFonts w:hint="cs"/>
          <w:rtl/>
        </w:rPr>
        <w:t>התוס'</w:t>
      </w:r>
      <w:r>
        <w:rPr>
          <w:rFonts w:hint="cs"/>
          <w:rtl/>
        </w:rPr>
        <w:t xml:space="preserve"> </w:t>
      </w:r>
      <w:r w:rsidRPr="008C67FB">
        <w:rPr>
          <w:rStyle w:val="af9"/>
          <w:rFonts w:hint="cs"/>
          <w:rtl/>
        </w:rPr>
        <w:t>בכתובות</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Ref61256145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Pr>
          <w:rStyle w:val="af7"/>
          <w:rFonts w:eastAsia="Guttman Hodes"/>
          <w:rtl/>
        </w:rPr>
        <w:fldChar w:fldCharType="end"/>
      </w:r>
      <w:r>
        <w:rPr>
          <w:rFonts w:hint="cs"/>
          <w:rtl/>
        </w:rPr>
        <w:t xml:space="preserve"> </w:t>
      </w:r>
      <w:r w:rsidRPr="004C71CC">
        <w:rPr>
          <w:rStyle w:val="af9"/>
          <w:rFonts w:hint="cs"/>
          <w:rtl/>
        </w:rPr>
        <w:t>והרא"ש בכתובות</w:t>
      </w:r>
      <w:r>
        <w:rPr>
          <w:rFonts w:hint="cs"/>
          <w:rtl/>
        </w:rPr>
        <w:t xml:space="preserve"> </w:t>
      </w:r>
      <w:r w:rsidRPr="00B50B02">
        <w:rPr>
          <w:rStyle w:val="af7"/>
          <w:rFonts w:eastAsia="Guttman Hodes" w:hint="cs"/>
          <w:rtl/>
        </w:rPr>
        <w:t xml:space="preserve">(עי' אות </w:t>
      </w:r>
      <w:r w:rsidRPr="00B50B02">
        <w:rPr>
          <w:rStyle w:val="af7"/>
          <w:rFonts w:eastAsia="Guttman Hodes"/>
          <w:rtl/>
        </w:rPr>
        <w:fldChar w:fldCharType="begin"/>
      </w:r>
      <w:r w:rsidRPr="00B50B02">
        <w:rPr>
          <w:rStyle w:val="af7"/>
          <w:rFonts w:eastAsia="Guttman Hodes"/>
          <w:rtl/>
        </w:rPr>
        <w:instrText xml:space="preserve"> </w:instrText>
      </w:r>
      <w:r w:rsidRPr="00B50B02">
        <w:rPr>
          <w:rStyle w:val="af7"/>
          <w:rFonts w:eastAsia="Guttman Hodes" w:hint="cs"/>
        </w:rPr>
        <w:instrText>REF</w:instrText>
      </w:r>
      <w:r w:rsidRPr="00B50B02">
        <w:rPr>
          <w:rStyle w:val="af7"/>
          <w:rFonts w:eastAsia="Guttman Hodes" w:hint="cs"/>
          <w:rtl/>
        </w:rPr>
        <w:instrText xml:space="preserve"> _</w:instrText>
      </w:r>
      <w:r w:rsidRPr="00B50B02">
        <w:rPr>
          <w:rStyle w:val="af7"/>
          <w:rFonts w:eastAsia="Guttman Hodes" w:hint="cs"/>
        </w:rPr>
        <w:instrText>Ref61378869 \r \h</w:instrText>
      </w:r>
      <w:r w:rsidRPr="00B50B02">
        <w:rPr>
          <w:rStyle w:val="af7"/>
          <w:rFonts w:eastAsia="Guttman Hodes"/>
          <w:rtl/>
        </w:rPr>
        <w:instrText xml:space="preserve"> </w:instrText>
      </w:r>
      <w:r w:rsidRPr="00B50B02">
        <w:rPr>
          <w:rStyle w:val="af7"/>
          <w:rFonts w:eastAsia="Guttman Hodes"/>
          <w:rtl/>
        </w:rPr>
      </w:r>
      <w:r w:rsidRPr="00B50B02">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B50B02">
        <w:rPr>
          <w:rStyle w:val="af7"/>
          <w:rFonts w:eastAsia="Guttman Hodes"/>
          <w:rtl/>
        </w:rPr>
        <w:fldChar w:fldCharType="end"/>
      </w:r>
      <w:r>
        <w:rPr>
          <w:rFonts w:hint="cs"/>
          <w:rtl/>
        </w:rPr>
        <w:t xml:space="preserve"> דלדעת </w:t>
      </w:r>
      <w:r w:rsidRPr="004C71CC">
        <w:rPr>
          <w:rStyle w:val="af9"/>
          <w:rFonts w:hint="cs"/>
          <w:rtl/>
        </w:rPr>
        <w:t>התוס'</w:t>
      </w:r>
      <w:r>
        <w:rPr>
          <w:rFonts w:hint="cs"/>
          <w:rtl/>
        </w:rPr>
        <w:t xml:space="preserve"> אינה נאמנת לפרש את דבריה ולומר דכוונתה הייתה לטעון שתפסה מחיים, דהוי מיגו למפרע, אבל </w:t>
      </w:r>
      <w:r w:rsidRPr="008C7EFB">
        <w:rPr>
          <w:rStyle w:val="af9"/>
          <w:rFonts w:hint="cs"/>
          <w:rtl/>
        </w:rPr>
        <w:t>הרא"ש</w:t>
      </w:r>
      <w:r>
        <w:rPr>
          <w:rFonts w:hint="cs"/>
          <w:rtl/>
        </w:rPr>
        <w:t xml:space="preserve"> ס"ל דכל שמפרשת את דבריה אינו מיגו למפרע, ולכן הוצרך </w:t>
      </w:r>
      <w:r w:rsidRPr="004C71CC">
        <w:rPr>
          <w:rStyle w:val="af9"/>
          <w:rFonts w:hint="cs"/>
          <w:rtl/>
        </w:rPr>
        <w:t>הרא"ש</w:t>
      </w:r>
      <w:r>
        <w:rPr>
          <w:rFonts w:hint="cs"/>
          <w:rtl/>
        </w:rPr>
        <w:t xml:space="preserve"> </w:t>
      </w:r>
      <w:r w:rsidRPr="004C71CC">
        <w:rPr>
          <w:rStyle w:val="af9"/>
          <w:rFonts w:hint="cs"/>
          <w:rtl/>
        </w:rPr>
        <w:t>בכתובות</w:t>
      </w:r>
      <w:r>
        <w:rPr>
          <w:rFonts w:hint="cs"/>
          <w:rtl/>
        </w:rPr>
        <w:t xml:space="preserve"> לבאר דאיירי באופן שאין לה מיגו.</w:t>
      </w:r>
    </w:p>
    <w:p w:rsidR="005306EB" w:rsidRPr="005D6D59" w:rsidRDefault="005306EB" w:rsidP="005306EB">
      <w:pPr>
        <w:pStyle w:val="afe"/>
        <w:rPr>
          <w:rtl/>
        </w:rPr>
      </w:pPr>
      <w:bookmarkStart w:id="11573" w:name="_Toc61388234"/>
      <w:bookmarkStart w:id="11574" w:name="_Toc61430900"/>
      <w:bookmarkStart w:id="11575" w:name="_Toc61433942"/>
      <w:bookmarkStart w:id="11576" w:name="_Toc61438663"/>
      <w:bookmarkStart w:id="11577" w:name="_Toc61469392"/>
      <w:bookmarkStart w:id="11578" w:name="_Toc61509770"/>
      <w:r>
        <w:rPr>
          <w:rFonts w:hint="cs"/>
          <w:rtl/>
        </w:rPr>
        <w:t>הסוברים דלהרא"ש ל"מ מיגו למפרע</w:t>
      </w:r>
      <w:bookmarkEnd w:id="11573"/>
      <w:bookmarkEnd w:id="11574"/>
      <w:bookmarkEnd w:id="11575"/>
      <w:bookmarkEnd w:id="11576"/>
      <w:bookmarkEnd w:id="11577"/>
      <w:bookmarkEnd w:id="11578"/>
    </w:p>
    <w:p w:rsidR="005306EB" w:rsidRDefault="005306EB" w:rsidP="005306EB">
      <w:pPr>
        <w:pStyle w:val="1"/>
        <w:rPr>
          <w:rtl/>
        </w:rPr>
      </w:pPr>
      <w:bookmarkStart w:id="11579" w:name="_Toc61200672"/>
      <w:bookmarkStart w:id="11580" w:name="_Toc61213870"/>
      <w:bookmarkStart w:id="11581" w:name="_Toc61388235"/>
      <w:bookmarkStart w:id="11582" w:name="_Toc61430901"/>
      <w:bookmarkStart w:id="11583" w:name="_Toc61433943"/>
      <w:bookmarkStart w:id="11584" w:name="_Toc61438664"/>
      <w:bookmarkStart w:id="11585" w:name="_Toc61469393"/>
      <w:bookmarkStart w:id="11586" w:name="_Toc61509771"/>
      <w:r>
        <w:rPr>
          <w:rFonts w:hint="cs"/>
          <w:rtl/>
        </w:rPr>
        <w:t>ביאור המהרי"ט ברא"ש</w:t>
      </w:r>
      <w:bookmarkEnd w:id="11579"/>
      <w:bookmarkEnd w:id="11580"/>
      <w:r>
        <w:rPr>
          <w:rFonts w:hint="cs"/>
          <w:rtl/>
        </w:rPr>
        <w:t xml:space="preserve"> דבמפרש כוונתו לא חשיב מיגו למפרע</w:t>
      </w:r>
      <w:bookmarkEnd w:id="11581"/>
      <w:bookmarkEnd w:id="11582"/>
      <w:bookmarkEnd w:id="11583"/>
      <w:bookmarkEnd w:id="11584"/>
      <w:bookmarkEnd w:id="11585"/>
      <w:bookmarkEnd w:id="11586"/>
      <w:r>
        <w:rPr>
          <w:rFonts w:hint="cs"/>
          <w:rtl/>
        </w:rPr>
        <w:t xml:space="preserve"> </w:t>
      </w:r>
    </w:p>
    <w:p w:rsidR="005306EB" w:rsidRDefault="005306EB" w:rsidP="005306EB">
      <w:pPr>
        <w:pStyle w:val="a3"/>
      </w:pPr>
      <w:bookmarkStart w:id="11587" w:name="_Toc61388236"/>
      <w:bookmarkStart w:id="11588" w:name="_Toc61430902"/>
      <w:bookmarkStart w:id="11589" w:name="_Toc61433944"/>
      <w:bookmarkStart w:id="11590" w:name="_Toc61438665"/>
      <w:bookmarkStart w:id="11591" w:name="_Toc61469394"/>
      <w:bookmarkStart w:id="11592" w:name="_Toc61509772"/>
      <w:r>
        <w:rPr>
          <w:rFonts w:hint="cs"/>
          <w:rtl/>
        </w:rPr>
        <w:t>ביאור המהרי"ט ברא"ש דאף דמיגו למפרע ל"א כשמפרש דבריו חשיב שטען כן בתחילה</w:t>
      </w:r>
      <w:bookmarkEnd w:id="11587"/>
      <w:bookmarkEnd w:id="11588"/>
      <w:bookmarkEnd w:id="11589"/>
      <w:bookmarkEnd w:id="11590"/>
      <w:bookmarkEnd w:id="11591"/>
      <w:bookmarkEnd w:id="11592"/>
    </w:p>
    <w:p w:rsidR="005306EB" w:rsidRPr="001A7C04" w:rsidRDefault="005306EB" w:rsidP="007E4E81">
      <w:pPr>
        <w:pStyle w:val="a0"/>
        <w:rPr>
          <w:rStyle w:val="afb"/>
          <w:rtl/>
        </w:rPr>
      </w:pPr>
      <w:bookmarkStart w:id="11593" w:name="_Ref61382612"/>
      <w:r>
        <w:rPr>
          <w:rFonts w:hint="cs"/>
          <w:rtl/>
        </w:rPr>
        <w:t xml:space="preserve">כתב </w:t>
      </w:r>
      <w:r w:rsidRPr="004C71CC">
        <w:rPr>
          <w:rStyle w:val="af9"/>
          <w:rFonts w:hint="cs"/>
          <w:rtl/>
        </w:rPr>
        <w:t>המהרי"ט</w:t>
      </w:r>
      <w:r w:rsidRPr="00AD1DCB">
        <w:rPr>
          <w:rStyle w:val="af7"/>
          <w:rFonts w:eastAsia="Guttman Hodes" w:hint="cs"/>
          <w:rtl/>
        </w:rPr>
        <w:t xml:space="preserve"> (ח"א סי' צ' ד"ה ואינו נראה) </w:t>
      </w:r>
      <w:r>
        <w:rPr>
          <w:rFonts w:hint="cs"/>
          <w:rtl/>
        </w:rPr>
        <w:t xml:space="preserve">דס"ל </w:t>
      </w:r>
      <w:r w:rsidRPr="004C71CC">
        <w:rPr>
          <w:rStyle w:val="af9"/>
          <w:rFonts w:hint="cs"/>
          <w:rtl/>
        </w:rPr>
        <w:t>להרא"ש</w:t>
      </w:r>
      <w:r>
        <w:rPr>
          <w:rFonts w:hint="cs"/>
          <w:rtl/>
        </w:rPr>
        <w:t xml:space="preserve"> דאעפ"י דמיגו למפרע לא אמרינן, מ"מ בסוגיין לא חשיב מיגו למפרע, כיון דבתחילה אמר בסתמא דקנה מהמוכר שקנה מהמערער, והוא נאמן במיגו לפרש את דבריו דכוונתו הייתה לטעון קמי דידי זבנה מינך, כיון דבתחילה לא ביררו מהי כוונתו, וכן במה שהוכיחו </w:t>
      </w:r>
      <w:r w:rsidRPr="004C71CC">
        <w:rPr>
          <w:rStyle w:val="af9"/>
          <w:rFonts w:hint="cs"/>
          <w:rtl/>
        </w:rPr>
        <w:t>התוס'</w:t>
      </w:r>
      <w:r>
        <w:rPr>
          <w:rFonts w:hint="cs"/>
          <w:rtl/>
        </w:rPr>
        <w:t xml:space="preserve"> </w:t>
      </w:r>
      <w:r w:rsidRPr="00B50B02">
        <w:rPr>
          <w:rStyle w:val="af7"/>
          <w:rFonts w:eastAsia="Guttman Hodes" w:hint="cs"/>
          <w:rtl/>
        </w:rPr>
        <w:t xml:space="preserve">(עי' אות </w:t>
      </w:r>
      <w:r w:rsidRPr="00B50B02">
        <w:rPr>
          <w:rStyle w:val="af7"/>
          <w:rFonts w:eastAsia="Guttman Hodes"/>
          <w:rtl/>
        </w:rPr>
        <w:fldChar w:fldCharType="begin"/>
      </w:r>
      <w:r w:rsidRPr="00B50B02">
        <w:rPr>
          <w:rStyle w:val="af7"/>
          <w:rFonts w:eastAsia="Guttman Hodes"/>
          <w:rtl/>
        </w:rPr>
        <w:instrText xml:space="preserve"> </w:instrText>
      </w:r>
      <w:r w:rsidRPr="00B50B02">
        <w:rPr>
          <w:rStyle w:val="af7"/>
          <w:rFonts w:eastAsia="Guttman Hodes" w:hint="cs"/>
        </w:rPr>
        <w:instrText>REF</w:instrText>
      </w:r>
      <w:r w:rsidRPr="00B50B02">
        <w:rPr>
          <w:rStyle w:val="af7"/>
          <w:rFonts w:eastAsia="Guttman Hodes" w:hint="cs"/>
          <w:rtl/>
        </w:rPr>
        <w:instrText xml:space="preserve"> _</w:instrText>
      </w:r>
      <w:r w:rsidRPr="00B50B02">
        <w:rPr>
          <w:rStyle w:val="af7"/>
          <w:rFonts w:eastAsia="Guttman Hodes" w:hint="cs"/>
        </w:rPr>
        <w:instrText>Ref61345702 \r \h</w:instrText>
      </w:r>
      <w:r w:rsidRPr="00B50B02">
        <w:rPr>
          <w:rStyle w:val="af7"/>
          <w:rFonts w:eastAsia="Guttman Hodes"/>
          <w:rtl/>
        </w:rPr>
        <w:instrText xml:space="preserve"> </w:instrText>
      </w:r>
      <w:r w:rsidRPr="00B50B02">
        <w:rPr>
          <w:rStyle w:val="af7"/>
          <w:rFonts w:eastAsia="Guttman Hodes"/>
          <w:rtl/>
        </w:rPr>
      </w:r>
      <w:r w:rsidRPr="00B50B02">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B50B02">
        <w:rPr>
          <w:rStyle w:val="af7"/>
          <w:rFonts w:eastAsia="Guttman Hodes"/>
          <w:rtl/>
        </w:rPr>
        <w:fldChar w:fldCharType="end"/>
      </w:r>
      <w:r>
        <w:rPr>
          <w:rFonts w:hint="cs"/>
          <w:rtl/>
        </w:rPr>
        <w:t xml:space="preserve"> מהגמ' לקמן, ס"ל </w:t>
      </w:r>
      <w:r w:rsidRPr="004C71CC">
        <w:rPr>
          <w:rStyle w:val="af9"/>
          <w:rFonts w:hint="cs"/>
          <w:rtl/>
        </w:rPr>
        <w:t>להרא"ש</w:t>
      </w:r>
      <w:r>
        <w:rPr>
          <w:rFonts w:hint="cs"/>
          <w:rtl/>
        </w:rPr>
        <w:t xml:space="preserve"> דאי"ז נחשב מיגו למפרע, אלא הוא מפרש את דבריו, וכתב </w:t>
      </w:r>
      <w:r w:rsidRPr="004C71CC">
        <w:rPr>
          <w:rStyle w:val="af9"/>
          <w:rFonts w:hint="cs"/>
          <w:rtl/>
        </w:rPr>
        <w:t>המהרי"ט</w:t>
      </w:r>
      <w:r>
        <w:rPr>
          <w:rFonts w:hint="cs"/>
          <w:rtl/>
        </w:rPr>
        <w:t xml:space="preserve"> דמה שהוכיחו </w:t>
      </w:r>
      <w:r w:rsidRPr="004C71CC">
        <w:rPr>
          <w:rStyle w:val="af9"/>
          <w:rFonts w:hint="cs"/>
          <w:rtl/>
        </w:rPr>
        <w:t>התוס'</w:t>
      </w:r>
      <w:r>
        <w:rPr>
          <w:rFonts w:hint="cs"/>
          <w:rtl/>
        </w:rPr>
        <w:t xml:space="preserve"> </w:t>
      </w:r>
      <w:r w:rsidRPr="00B50B02">
        <w:rPr>
          <w:rStyle w:val="af7"/>
          <w:rFonts w:eastAsia="Guttman Hodes" w:hint="cs"/>
          <w:rtl/>
        </w:rPr>
        <w:t xml:space="preserve">(עי' אות </w:t>
      </w:r>
      <w:r w:rsidRPr="00B50B02">
        <w:rPr>
          <w:rStyle w:val="af7"/>
          <w:rFonts w:eastAsia="Guttman Hodes"/>
          <w:rtl/>
        </w:rPr>
        <w:fldChar w:fldCharType="begin"/>
      </w:r>
      <w:r w:rsidRPr="00B50B02">
        <w:rPr>
          <w:rStyle w:val="af7"/>
          <w:rFonts w:eastAsia="Guttman Hodes"/>
          <w:rtl/>
        </w:rPr>
        <w:instrText xml:space="preserve"> </w:instrText>
      </w:r>
      <w:r w:rsidRPr="00B50B02">
        <w:rPr>
          <w:rStyle w:val="af7"/>
          <w:rFonts w:eastAsia="Guttman Hodes" w:hint="cs"/>
        </w:rPr>
        <w:instrText>REF</w:instrText>
      </w:r>
      <w:r w:rsidRPr="00B50B02">
        <w:rPr>
          <w:rStyle w:val="af7"/>
          <w:rFonts w:eastAsia="Guttman Hodes" w:hint="cs"/>
          <w:rtl/>
        </w:rPr>
        <w:instrText xml:space="preserve"> _</w:instrText>
      </w:r>
      <w:r w:rsidRPr="00B50B02">
        <w:rPr>
          <w:rStyle w:val="af7"/>
          <w:rFonts w:eastAsia="Guttman Hodes" w:hint="cs"/>
        </w:rPr>
        <w:instrText>Ref61256230 \r \h</w:instrText>
      </w:r>
      <w:r w:rsidRPr="00B50B02">
        <w:rPr>
          <w:rStyle w:val="af7"/>
          <w:rFonts w:eastAsia="Guttman Hodes"/>
          <w:rtl/>
        </w:rPr>
        <w:instrText xml:space="preserve"> </w:instrText>
      </w:r>
      <w:r w:rsidRPr="00B50B02">
        <w:rPr>
          <w:rStyle w:val="af7"/>
          <w:rFonts w:eastAsia="Guttman Hodes"/>
          <w:rtl/>
        </w:rPr>
      </w:r>
      <w:r w:rsidRPr="00B50B02">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B50B02">
        <w:rPr>
          <w:rStyle w:val="af7"/>
          <w:rFonts w:eastAsia="Guttman Hodes"/>
          <w:rtl/>
        </w:rPr>
        <w:fldChar w:fldCharType="end"/>
      </w:r>
      <w:r>
        <w:rPr>
          <w:rFonts w:hint="cs"/>
          <w:rtl/>
        </w:rPr>
        <w:t xml:space="preserve"> מהגמ' בסנהדרין דמיגו למפרע לא אמרינן, ס"ל </w:t>
      </w:r>
      <w:r w:rsidRPr="00730BA3">
        <w:rPr>
          <w:rStyle w:val="af9"/>
          <w:rFonts w:hint="cs"/>
          <w:rtl/>
        </w:rPr>
        <w:t>להרא"ש</w:t>
      </w:r>
      <w:r>
        <w:rPr>
          <w:rFonts w:hint="cs"/>
          <w:rtl/>
        </w:rPr>
        <w:t xml:space="preserve"> דאין לה מיגו כיון שהוחזקו השטרות בב"ד. </w:t>
      </w:r>
      <w:r w:rsidRPr="001A7C04">
        <w:rPr>
          <w:rStyle w:val="afb"/>
          <w:rFonts w:hint="cs"/>
          <w:rtl/>
        </w:rPr>
        <w:t xml:space="preserve">[ועי' במה שביאר </w:t>
      </w:r>
      <w:r w:rsidRPr="001A7C04">
        <w:rPr>
          <w:rStyle w:val="affa"/>
          <w:rFonts w:hint="cs"/>
          <w:rtl/>
        </w:rPr>
        <w:t>הקצוה"ח</w:t>
      </w:r>
      <w:r w:rsidRPr="001A7C04">
        <w:rPr>
          <w:rStyle w:val="afb"/>
          <w:rFonts w:hint="cs"/>
          <w:rtl/>
        </w:rPr>
        <w:t xml:space="preserve"> </w:t>
      </w:r>
      <w:r w:rsidRPr="001A7C04">
        <w:rPr>
          <w:rStyle w:val="aff6"/>
          <w:rFonts w:hint="cs"/>
          <w:rtl/>
        </w:rPr>
        <w:t xml:space="preserve">(עי' אות </w:t>
      </w:r>
      <w:r w:rsidRPr="001A7C04">
        <w:rPr>
          <w:rStyle w:val="aff6"/>
          <w:rtl/>
        </w:rPr>
        <w:fldChar w:fldCharType="begin"/>
      </w:r>
      <w:r w:rsidRPr="001A7C04">
        <w:rPr>
          <w:rStyle w:val="aff6"/>
          <w:rtl/>
        </w:rPr>
        <w:instrText xml:space="preserve"> </w:instrText>
      </w:r>
      <w:r w:rsidRPr="001A7C04">
        <w:rPr>
          <w:rStyle w:val="aff6"/>
          <w:rFonts w:hint="cs"/>
        </w:rPr>
        <w:instrText>REF</w:instrText>
      </w:r>
      <w:r w:rsidRPr="001A7C04">
        <w:rPr>
          <w:rStyle w:val="aff6"/>
          <w:rFonts w:hint="cs"/>
          <w:rtl/>
        </w:rPr>
        <w:instrText xml:space="preserve"> _</w:instrText>
      </w:r>
      <w:r w:rsidRPr="001A7C04">
        <w:rPr>
          <w:rStyle w:val="aff6"/>
          <w:rFonts w:hint="cs"/>
        </w:rPr>
        <w:instrText>Ref61429303 \r \h</w:instrText>
      </w:r>
      <w:r w:rsidRPr="001A7C04">
        <w:rPr>
          <w:rStyle w:val="aff6"/>
          <w:rtl/>
        </w:rPr>
        <w:instrText xml:space="preserve"> </w:instrText>
      </w:r>
      <w:r w:rsidRPr="001A7C04">
        <w:rPr>
          <w:rStyle w:val="aff6"/>
          <w:rtl/>
        </w:rPr>
      </w:r>
      <w:r w:rsidRPr="001A7C04">
        <w:rPr>
          <w:rStyle w:val="aff6"/>
          <w:rtl/>
        </w:rPr>
        <w:fldChar w:fldCharType="separate"/>
      </w:r>
      <w:r w:rsidR="00265073">
        <w:rPr>
          <w:rStyle w:val="aff6"/>
          <w:cs/>
        </w:rPr>
        <w:t>‎</w:t>
      </w:r>
      <w:r w:rsidR="00265073">
        <w:rPr>
          <w:rStyle w:val="aff6"/>
          <w:rtl/>
        </w:rPr>
        <w:t>כד)</w:t>
      </w:r>
      <w:r w:rsidRPr="001A7C04">
        <w:rPr>
          <w:rStyle w:val="aff6"/>
          <w:rtl/>
        </w:rPr>
        <w:fldChar w:fldCharType="end"/>
      </w:r>
      <w:r w:rsidRPr="001A7C04">
        <w:rPr>
          <w:rStyle w:val="afb"/>
          <w:rFonts w:hint="cs"/>
          <w:rtl/>
        </w:rPr>
        <w:t xml:space="preserve"> דאף דס"ל </w:t>
      </w:r>
      <w:r w:rsidRPr="001A7C04">
        <w:rPr>
          <w:rStyle w:val="affa"/>
          <w:rFonts w:hint="cs"/>
          <w:rtl/>
        </w:rPr>
        <w:t>להרא"ש</w:t>
      </w:r>
      <w:r w:rsidRPr="001A7C04">
        <w:rPr>
          <w:rStyle w:val="afb"/>
          <w:rFonts w:hint="cs"/>
          <w:rtl/>
        </w:rPr>
        <w:t xml:space="preserve"> דלא אמרינן מיגו למפרע, מ"מ כשחוזר וטוען קמי דידי זבנא מינך נאמן מדין טענה בלא מיגו].</w:t>
      </w:r>
      <w:bookmarkEnd w:id="11593"/>
    </w:p>
    <w:p w:rsidR="005306EB" w:rsidRDefault="005306EB" w:rsidP="005306EB">
      <w:pPr>
        <w:pStyle w:val="a3"/>
        <w:rPr>
          <w:rtl/>
        </w:rPr>
      </w:pPr>
      <w:bookmarkStart w:id="11594" w:name="_Toc61388237"/>
      <w:bookmarkStart w:id="11595" w:name="_Toc61430903"/>
      <w:bookmarkStart w:id="11596" w:name="_Toc61433945"/>
      <w:bookmarkStart w:id="11597" w:name="_Toc61438666"/>
      <w:bookmarkStart w:id="11598" w:name="_Toc61469395"/>
      <w:bookmarkStart w:id="11599" w:name="_Toc61509773"/>
      <w:r>
        <w:rPr>
          <w:rFonts w:hint="cs"/>
          <w:rtl/>
        </w:rPr>
        <w:t>בי'המהרי"ט דנח' התוס' והרא"ש בכתובות אי חשיב מיגו למפרע כשיתכן דלא חשבה לטעון כן</w:t>
      </w:r>
      <w:bookmarkEnd w:id="11594"/>
      <w:bookmarkEnd w:id="11595"/>
      <w:bookmarkEnd w:id="11596"/>
      <w:bookmarkEnd w:id="11597"/>
      <w:bookmarkEnd w:id="11598"/>
      <w:bookmarkEnd w:id="11599"/>
    </w:p>
    <w:p w:rsidR="005306EB" w:rsidRDefault="005306EB" w:rsidP="007E4E81">
      <w:pPr>
        <w:pStyle w:val="a0"/>
        <w:rPr>
          <w:rtl/>
        </w:rPr>
      </w:pPr>
      <w:r>
        <w:rPr>
          <w:rFonts w:hint="cs"/>
          <w:rtl/>
        </w:rPr>
        <w:t xml:space="preserve">ובמה שהוכיחו </w:t>
      </w:r>
      <w:r w:rsidRPr="004C71CC">
        <w:rPr>
          <w:rStyle w:val="af9"/>
          <w:rFonts w:hint="cs"/>
          <w:rtl/>
        </w:rPr>
        <w:t>התוס'</w:t>
      </w:r>
      <w:r>
        <w:rPr>
          <w:rFonts w:hint="cs"/>
          <w:rtl/>
        </w:rPr>
        <w:t xml:space="preserve"> </w:t>
      </w:r>
      <w:r w:rsidRPr="008C67FB">
        <w:rPr>
          <w:rStyle w:val="af9"/>
          <w:rFonts w:hint="cs"/>
          <w:rtl/>
        </w:rPr>
        <w:t>בכתובות</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Ref61256145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Pr>
          <w:rStyle w:val="af7"/>
          <w:rFonts w:eastAsia="Guttman Hodes"/>
          <w:rtl/>
        </w:rPr>
        <w:fldChar w:fldCharType="end"/>
      </w:r>
      <w:r>
        <w:rPr>
          <w:rStyle w:val="af7"/>
          <w:rFonts w:eastAsia="Guttman Hodes" w:hint="cs"/>
          <w:rtl/>
        </w:rPr>
        <w:t xml:space="preserve"> </w:t>
      </w:r>
      <w:r>
        <w:rPr>
          <w:rFonts w:hint="cs"/>
          <w:rtl/>
        </w:rPr>
        <w:t xml:space="preserve">דמיגו למפרע לא אמרינן מהגמ' בכתובות, כתב </w:t>
      </w:r>
      <w:r w:rsidRPr="004C71CC">
        <w:rPr>
          <w:rStyle w:val="af9"/>
          <w:rFonts w:hint="cs"/>
          <w:rtl/>
        </w:rPr>
        <w:t>המהרי"ט</w:t>
      </w:r>
      <w:r>
        <w:rPr>
          <w:rFonts w:hint="cs"/>
          <w:rtl/>
        </w:rPr>
        <w:t xml:space="preserve"> ס"ל </w:t>
      </w:r>
      <w:r w:rsidRPr="00730BA3">
        <w:rPr>
          <w:rStyle w:val="af9"/>
          <w:rFonts w:hint="cs"/>
          <w:rtl/>
        </w:rPr>
        <w:t>להרא"ש</w:t>
      </w:r>
      <w:r>
        <w:rPr>
          <w:rStyle w:val="af9"/>
          <w:rFonts w:hint="cs"/>
          <w:rtl/>
        </w:rPr>
        <w:t xml:space="preserve"> בכתובות</w:t>
      </w:r>
      <w:r>
        <w:rPr>
          <w:rFonts w:hint="cs"/>
          <w:rtl/>
        </w:rPr>
        <w:t xml:space="preserve"> </w:t>
      </w:r>
      <w:r w:rsidRPr="00B50B02">
        <w:rPr>
          <w:rStyle w:val="af7"/>
          <w:rFonts w:eastAsia="Guttman Hodes" w:hint="cs"/>
          <w:rtl/>
        </w:rPr>
        <w:t xml:space="preserve">(עי' </w:t>
      </w:r>
      <w:r w:rsidRPr="00B50B02">
        <w:rPr>
          <w:rStyle w:val="af7"/>
          <w:rFonts w:eastAsia="Guttman Hodes" w:hint="cs"/>
          <w:rtl/>
        </w:rPr>
        <w:lastRenderedPageBreak/>
        <w:t xml:space="preserve">אות </w:t>
      </w:r>
      <w:r w:rsidRPr="00B50B02">
        <w:rPr>
          <w:rStyle w:val="af7"/>
          <w:rFonts w:eastAsia="Guttman Hodes"/>
          <w:rtl/>
        </w:rPr>
        <w:fldChar w:fldCharType="begin"/>
      </w:r>
      <w:r w:rsidRPr="00B50B02">
        <w:rPr>
          <w:rStyle w:val="af7"/>
          <w:rFonts w:eastAsia="Guttman Hodes"/>
          <w:rtl/>
        </w:rPr>
        <w:instrText xml:space="preserve"> </w:instrText>
      </w:r>
      <w:r w:rsidRPr="00B50B02">
        <w:rPr>
          <w:rStyle w:val="af7"/>
          <w:rFonts w:eastAsia="Guttman Hodes" w:hint="cs"/>
        </w:rPr>
        <w:instrText>REF</w:instrText>
      </w:r>
      <w:r w:rsidRPr="00B50B02">
        <w:rPr>
          <w:rStyle w:val="af7"/>
          <w:rFonts w:eastAsia="Guttman Hodes" w:hint="cs"/>
          <w:rtl/>
        </w:rPr>
        <w:instrText xml:space="preserve"> _</w:instrText>
      </w:r>
      <w:r w:rsidRPr="00B50B02">
        <w:rPr>
          <w:rStyle w:val="af7"/>
          <w:rFonts w:eastAsia="Guttman Hodes" w:hint="cs"/>
        </w:rPr>
        <w:instrText>Ref61378869 \r \h</w:instrText>
      </w:r>
      <w:r w:rsidRPr="00B50B02">
        <w:rPr>
          <w:rStyle w:val="af7"/>
          <w:rFonts w:eastAsia="Guttman Hodes"/>
          <w:rtl/>
        </w:rPr>
        <w:instrText xml:space="preserve"> </w:instrText>
      </w:r>
      <w:r w:rsidRPr="00B50B02">
        <w:rPr>
          <w:rStyle w:val="af7"/>
          <w:rFonts w:eastAsia="Guttman Hodes"/>
          <w:rtl/>
        </w:rPr>
      </w:r>
      <w:r w:rsidRPr="00B50B02">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B50B02">
        <w:rPr>
          <w:rStyle w:val="af7"/>
          <w:rFonts w:eastAsia="Guttman Hodes"/>
          <w:rtl/>
        </w:rPr>
        <w:fldChar w:fldCharType="end"/>
      </w:r>
      <w:r>
        <w:rPr>
          <w:rFonts w:hint="cs"/>
          <w:rtl/>
        </w:rPr>
        <w:t xml:space="preserve"> דאי"ז מיגו למפרע כיון דכוונתה הייתה לומר שתפסה מחיים, ולא שאלו אותה בתחילה מתי תפסה, ולכן כשמפרשת את דבריה מתחילה היא נאמנת, וכתב </w:t>
      </w:r>
      <w:r w:rsidRPr="004C71CC">
        <w:rPr>
          <w:rStyle w:val="af9"/>
          <w:rFonts w:hint="cs"/>
          <w:rtl/>
        </w:rPr>
        <w:t>המהרי"ט</w:t>
      </w:r>
      <w:r>
        <w:rPr>
          <w:rFonts w:hint="cs"/>
          <w:rtl/>
        </w:rPr>
        <w:t xml:space="preserve"> דהא דס"ל </w:t>
      </w:r>
      <w:r w:rsidRPr="004C71CC">
        <w:rPr>
          <w:rStyle w:val="af9"/>
          <w:rFonts w:hint="cs"/>
          <w:rtl/>
        </w:rPr>
        <w:t>להתוס'</w:t>
      </w:r>
      <w:r>
        <w:rPr>
          <w:rFonts w:hint="cs"/>
          <w:rtl/>
        </w:rPr>
        <w:t xml:space="preserve"> דחשיב מיגו למפרע, הוא כיון שכשטענה בתחילה, היא לא ידעה שהיא צריכה לטעון שתפסה מחיים, ולכן עכשיו שטענתה על התפיסה לא התקבלה, אינה נאמנת לומר דכוונתה הייתה מחיים וחשיב מיגו למפרע, אבל </w:t>
      </w:r>
      <w:r w:rsidRPr="008C7EFB">
        <w:rPr>
          <w:rStyle w:val="af9"/>
          <w:rFonts w:hint="cs"/>
          <w:rtl/>
        </w:rPr>
        <w:t>הרא"ש</w:t>
      </w:r>
      <w:r>
        <w:rPr>
          <w:rFonts w:hint="cs"/>
          <w:rtl/>
        </w:rPr>
        <w:t xml:space="preserve"> ס"ל דא"א לעשות ריעותא במיגו של האשה מכח סברת </w:t>
      </w:r>
      <w:r w:rsidRPr="00B50B02">
        <w:rPr>
          <w:rStyle w:val="af9"/>
          <w:rFonts w:hint="cs"/>
          <w:rtl/>
        </w:rPr>
        <w:t>התוס'</w:t>
      </w:r>
      <w:r>
        <w:rPr>
          <w:rFonts w:hint="cs"/>
          <w:rtl/>
        </w:rPr>
        <w:t>, ואמרינן דאף מתחילה ידעה שהיא צריכה לתפוס מחיים, וזו הייתה כוונתה.</w:t>
      </w:r>
    </w:p>
    <w:p w:rsidR="005306EB" w:rsidRDefault="005306EB" w:rsidP="005306EB">
      <w:pPr>
        <w:pStyle w:val="a3"/>
        <w:rPr>
          <w:rtl/>
        </w:rPr>
      </w:pPr>
      <w:bookmarkStart w:id="11600" w:name="_Toc61388238"/>
      <w:bookmarkStart w:id="11601" w:name="_Toc61430904"/>
      <w:bookmarkStart w:id="11602" w:name="_Toc61433946"/>
      <w:bookmarkStart w:id="11603" w:name="_Toc61438667"/>
      <w:bookmarkStart w:id="11604" w:name="_Toc61469396"/>
      <w:bookmarkStart w:id="11605" w:name="_Toc61509774"/>
      <w:r>
        <w:rPr>
          <w:rFonts w:hint="cs"/>
          <w:rtl/>
        </w:rPr>
        <w:t>דברי המהרי"ט דמוכח בדברי הרא"ש דמודה לתוס' בעיקר הדין דמיגו למפרע לא אמרינן</w:t>
      </w:r>
      <w:bookmarkEnd w:id="11600"/>
      <w:bookmarkEnd w:id="11601"/>
      <w:bookmarkEnd w:id="11602"/>
      <w:bookmarkEnd w:id="11603"/>
      <w:bookmarkEnd w:id="11604"/>
      <w:bookmarkEnd w:id="11605"/>
    </w:p>
    <w:p w:rsidR="005306EB" w:rsidRPr="007A1F8C" w:rsidRDefault="005306EB" w:rsidP="007E4E81">
      <w:pPr>
        <w:pStyle w:val="a0"/>
        <w:rPr>
          <w:rStyle w:val="afb"/>
          <w:rtl/>
        </w:rPr>
      </w:pPr>
      <w:r>
        <w:rPr>
          <w:rFonts w:hint="cs"/>
          <w:rtl/>
        </w:rPr>
        <w:t xml:space="preserve">וכתב </w:t>
      </w:r>
      <w:r w:rsidRPr="008C7EFB">
        <w:rPr>
          <w:rStyle w:val="af9"/>
          <w:rFonts w:hint="cs"/>
          <w:rtl/>
        </w:rPr>
        <w:t>המהרי"ט</w:t>
      </w:r>
      <w:r>
        <w:rPr>
          <w:rFonts w:hint="cs"/>
          <w:rtl/>
        </w:rPr>
        <w:t xml:space="preserve"> דכן מוכח מדברי </w:t>
      </w:r>
      <w:r w:rsidRPr="008C7EFB">
        <w:rPr>
          <w:rStyle w:val="af9"/>
          <w:rFonts w:hint="cs"/>
          <w:rtl/>
        </w:rPr>
        <w:t>הרא"ש</w:t>
      </w:r>
      <w:r>
        <w:rPr>
          <w:rFonts w:hint="cs"/>
          <w:rtl/>
        </w:rPr>
        <w:t xml:space="preserve"> </w:t>
      </w:r>
      <w:r w:rsidRPr="008C7EFB">
        <w:rPr>
          <w:rStyle w:val="af9"/>
          <w:rFonts w:hint="cs"/>
          <w:rtl/>
        </w:rPr>
        <w:t>בכתובות</w:t>
      </w:r>
      <w:r>
        <w:rPr>
          <w:rFonts w:hint="cs"/>
          <w:rtl/>
        </w:rPr>
        <w:t xml:space="preserve"> </w:t>
      </w:r>
      <w:r w:rsidRPr="00B50B02">
        <w:rPr>
          <w:rStyle w:val="af7"/>
          <w:rFonts w:eastAsia="Guttman Hodes" w:hint="cs"/>
          <w:rtl/>
        </w:rPr>
        <w:t xml:space="preserve">(פ' י"ג סי' י"ב) </w:t>
      </w:r>
      <w:r>
        <w:rPr>
          <w:rFonts w:hint="cs"/>
          <w:rtl/>
        </w:rPr>
        <w:t xml:space="preserve">בעשאה סימן לאחר דכתב להדיא דלא מהני מיגו למפרע, וכדעת </w:t>
      </w:r>
      <w:r w:rsidRPr="008C7EFB">
        <w:rPr>
          <w:rStyle w:val="af9"/>
          <w:rFonts w:hint="cs"/>
          <w:rtl/>
        </w:rPr>
        <w:t>התוס'</w:t>
      </w:r>
      <w:r>
        <w:rPr>
          <w:rFonts w:hint="cs"/>
          <w:rtl/>
        </w:rPr>
        <w:t xml:space="preserve"> </w:t>
      </w:r>
      <w:r w:rsidRPr="008C7EFB">
        <w:rPr>
          <w:rStyle w:val="af9"/>
          <w:rFonts w:hint="cs"/>
          <w:rtl/>
        </w:rPr>
        <w:t>בכתובות</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Ref61256145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Pr>
          <w:rStyle w:val="af7"/>
          <w:rFonts w:eastAsia="Guttman Hodes"/>
          <w:rtl/>
        </w:rPr>
        <w:fldChar w:fldCharType="end"/>
      </w:r>
      <w:r>
        <w:rPr>
          <w:rFonts w:hint="cs"/>
          <w:rtl/>
        </w:rPr>
        <w:t xml:space="preserve">, ועוד הביא </w:t>
      </w:r>
      <w:r w:rsidRPr="008C7EFB">
        <w:rPr>
          <w:rStyle w:val="af9"/>
          <w:rFonts w:hint="cs"/>
          <w:rtl/>
        </w:rPr>
        <w:t>המהרי"ט</w:t>
      </w:r>
      <w:r>
        <w:rPr>
          <w:rFonts w:hint="cs"/>
          <w:rtl/>
        </w:rPr>
        <w:t xml:space="preserve"> דכן מבואר בדברי </w:t>
      </w:r>
      <w:r w:rsidRPr="008C7EFB">
        <w:rPr>
          <w:rStyle w:val="af9"/>
          <w:rFonts w:hint="cs"/>
          <w:rtl/>
        </w:rPr>
        <w:t>הרא"ש בתשו'</w:t>
      </w:r>
      <w:r>
        <w:rPr>
          <w:rFonts w:hint="cs"/>
          <w:rtl/>
        </w:rPr>
        <w:t xml:space="preserve"> </w:t>
      </w:r>
      <w:r w:rsidRPr="005E545A">
        <w:rPr>
          <w:rStyle w:val="af7"/>
          <w:rFonts w:eastAsia="Guttman Hodes" w:hint="cs"/>
          <w:rtl/>
        </w:rPr>
        <w:t>(כלל ק"ו סי' ב')</w:t>
      </w:r>
      <w:r>
        <w:rPr>
          <w:rFonts w:hint="cs"/>
          <w:rtl/>
        </w:rPr>
        <w:t xml:space="preserve"> דמיגו למפרע לא אמרינן. </w:t>
      </w:r>
      <w:r w:rsidRPr="007A1F8C">
        <w:rPr>
          <w:rStyle w:val="afb"/>
          <w:rFonts w:hint="cs"/>
          <w:rtl/>
        </w:rPr>
        <w:t xml:space="preserve">[וכ"מ דנחלק </w:t>
      </w:r>
      <w:r w:rsidRPr="007A1F8C">
        <w:rPr>
          <w:rStyle w:val="affa"/>
          <w:rFonts w:hint="cs"/>
          <w:rtl/>
        </w:rPr>
        <w:t xml:space="preserve">הרא"ש </w:t>
      </w:r>
      <w:r w:rsidRPr="007A1F8C">
        <w:rPr>
          <w:rStyle w:val="afb"/>
          <w:rFonts w:hint="cs"/>
          <w:rtl/>
        </w:rPr>
        <w:t xml:space="preserve">על </w:t>
      </w:r>
      <w:r w:rsidRPr="007A1F8C">
        <w:rPr>
          <w:rStyle w:val="affa"/>
          <w:rFonts w:hint="cs"/>
          <w:rtl/>
        </w:rPr>
        <w:t>התוס'</w:t>
      </w:r>
      <w:r w:rsidRPr="007A1F8C">
        <w:rPr>
          <w:rStyle w:val="afb"/>
          <w:rFonts w:hint="cs"/>
          <w:rtl/>
        </w:rPr>
        <w:t xml:space="preserve"> </w:t>
      </w:r>
      <w:r>
        <w:rPr>
          <w:rStyle w:val="afb"/>
          <w:rFonts w:hint="cs"/>
          <w:rtl/>
        </w:rPr>
        <w:t>הו</w:t>
      </w:r>
      <w:r w:rsidRPr="007A1F8C">
        <w:rPr>
          <w:rStyle w:val="afb"/>
          <w:rFonts w:hint="cs"/>
          <w:rtl/>
        </w:rPr>
        <w:t>א רק כשאפשר לפרש דכך התכוון מתחילה].</w:t>
      </w:r>
    </w:p>
    <w:p w:rsidR="005306EB" w:rsidRDefault="005306EB" w:rsidP="005306EB">
      <w:pPr>
        <w:pStyle w:val="a3"/>
        <w:rPr>
          <w:rtl/>
        </w:rPr>
      </w:pPr>
      <w:bookmarkStart w:id="11606" w:name="_Toc61388239"/>
      <w:bookmarkStart w:id="11607" w:name="_Toc61430905"/>
      <w:bookmarkStart w:id="11608" w:name="_Toc61433947"/>
      <w:bookmarkStart w:id="11609" w:name="_Toc61438668"/>
      <w:bookmarkStart w:id="11610" w:name="_Toc61469397"/>
      <w:bookmarkStart w:id="11611" w:name="_Toc61509775"/>
      <w:r>
        <w:rPr>
          <w:rFonts w:hint="cs"/>
          <w:rtl/>
        </w:rPr>
        <w:t>דברי המהרי"ט דלרא"ש אין ראיה מהגמ' לקמן כיון דירא לטעון מיגו ולא כיון דהוא מיגו למפרע</w:t>
      </w:r>
      <w:bookmarkEnd w:id="11606"/>
      <w:bookmarkEnd w:id="11607"/>
      <w:bookmarkEnd w:id="11608"/>
      <w:bookmarkEnd w:id="11609"/>
      <w:bookmarkEnd w:id="11610"/>
      <w:bookmarkEnd w:id="11611"/>
    </w:p>
    <w:p w:rsidR="005306EB" w:rsidRDefault="005306EB" w:rsidP="007E4E81">
      <w:pPr>
        <w:pStyle w:val="a0"/>
        <w:rPr>
          <w:rtl/>
        </w:rPr>
      </w:pPr>
      <w:r>
        <w:rPr>
          <w:rFonts w:hint="cs"/>
          <w:rtl/>
        </w:rPr>
        <w:t xml:space="preserve">ובמה שהביאו </w:t>
      </w:r>
      <w:r w:rsidRPr="008C7EFB">
        <w:rPr>
          <w:rStyle w:val="af9"/>
          <w:rFonts w:hint="cs"/>
          <w:rtl/>
        </w:rPr>
        <w:t>התוס'</w:t>
      </w:r>
      <w:r>
        <w:rPr>
          <w:rFonts w:hint="cs"/>
          <w:rtl/>
        </w:rPr>
        <w:t xml:space="preserve"> </w:t>
      </w:r>
      <w:r w:rsidRPr="00B50B02">
        <w:rPr>
          <w:rStyle w:val="af7"/>
          <w:rFonts w:eastAsia="Guttman Hodes" w:hint="cs"/>
          <w:rtl/>
        </w:rPr>
        <w:t xml:space="preserve">(עי' אות </w:t>
      </w:r>
      <w:r w:rsidRPr="00B50B02">
        <w:rPr>
          <w:rStyle w:val="af7"/>
          <w:rFonts w:eastAsia="Guttman Hodes"/>
          <w:rtl/>
        </w:rPr>
        <w:fldChar w:fldCharType="begin"/>
      </w:r>
      <w:r w:rsidRPr="00B50B02">
        <w:rPr>
          <w:rStyle w:val="af7"/>
          <w:rFonts w:eastAsia="Guttman Hodes"/>
          <w:rtl/>
        </w:rPr>
        <w:instrText xml:space="preserve"> </w:instrText>
      </w:r>
      <w:r w:rsidRPr="00B50B02">
        <w:rPr>
          <w:rStyle w:val="af7"/>
          <w:rFonts w:eastAsia="Guttman Hodes" w:hint="cs"/>
        </w:rPr>
        <w:instrText>REF</w:instrText>
      </w:r>
      <w:r w:rsidRPr="00B50B02">
        <w:rPr>
          <w:rStyle w:val="af7"/>
          <w:rFonts w:eastAsia="Guttman Hodes" w:hint="cs"/>
          <w:rtl/>
        </w:rPr>
        <w:instrText xml:space="preserve"> _</w:instrText>
      </w:r>
      <w:r w:rsidRPr="00B50B02">
        <w:rPr>
          <w:rStyle w:val="af7"/>
          <w:rFonts w:eastAsia="Guttman Hodes" w:hint="cs"/>
        </w:rPr>
        <w:instrText>Ref61345702 \r \h</w:instrText>
      </w:r>
      <w:r w:rsidRPr="00B50B02">
        <w:rPr>
          <w:rStyle w:val="af7"/>
          <w:rFonts w:eastAsia="Guttman Hodes"/>
          <w:rtl/>
        </w:rPr>
        <w:instrText xml:space="preserve"> </w:instrText>
      </w:r>
      <w:r w:rsidRPr="00B50B02">
        <w:rPr>
          <w:rStyle w:val="af7"/>
          <w:rFonts w:eastAsia="Guttman Hodes"/>
          <w:rtl/>
        </w:rPr>
      </w:r>
      <w:r w:rsidRPr="00B50B02">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B50B02">
        <w:rPr>
          <w:rStyle w:val="af7"/>
          <w:rFonts w:eastAsia="Guttman Hodes"/>
          <w:rtl/>
        </w:rPr>
        <w:fldChar w:fldCharType="end"/>
      </w:r>
      <w:r>
        <w:rPr>
          <w:rFonts w:hint="cs"/>
          <w:rtl/>
        </w:rPr>
        <w:t xml:space="preserve"> ראיה מהגמ' לקמן דמיגו למפרע לא אמרינן, כתב </w:t>
      </w:r>
      <w:r w:rsidRPr="008C7EFB">
        <w:rPr>
          <w:rStyle w:val="af9"/>
          <w:rFonts w:hint="cs"/>
          <w:rtl/>
        </w:rPr>
        <w:t>המהרי"ט</w:t>
      </w:r>
      <w:r>
        <w:rPr>
          <w:rFonts w:hint="cs"/>
          <w:rtl/>
        </w:rPr>
        <w:t xml:space="preserve"> דלדעת </w:t>
      </w:r>
      <w:r w:rsidRPr="007A1F8C">
        <w:rPr>
          <w:rStyle w:val="af9"/>
          <w:rFonts w:hint="cs"/>
          <w:rtl/>
        </w:rPr>
        <w:t>הרא"ש</w:t>
      </w:r>
      <w:r>
        <w:rPr>
          <w:rFonts w:hint="cs"/>
          <w:rtl/>
        </w:rPr>
        <w:t xml:space="preserve"> הא דאינו נאמן בטענת קמי דידי דר בה חד יומא במיגו דמינך זבינתה, הוא כדביאר </w:t>
      </w:r>
      <w:r w:rsidRPr="007A1F8C">
        <w:rPr>
          <w:rStyle w:val="af9"/>
          <w:rFonts w:hint="cs"/>
          <w:rtl/>
        </w:rPr>
        <w:t>הרא"ש</w:t>
      </w:r>
      <w:r>
        <w:rPr>
          <w:rFonts w:hint="cs"/>
          <w:rtl/>
        </w:rPr>
        <w:t xml:space="preserve"> </w:t>
      </w:r>
      <w:r w:rsidRPr="003C2AD4">
        <w:rPr>
          <w:rStyle w:val="af9"/>
          <w:rFonts w:hint="cs"/>
          <w:rtl/>
        </w:rPr>
        <w:t>בסוגיין</w:t>
      </w:r>
      <w:r>
        <w:rPr>
          <w:rFonts w:hint="cs"/>
          <w:rtl/>
        </w:rPr>
        <w:t xml:space="preserve"> </w:t>
      </w:r>
      <w:r w:rsidRPr="007A1F8C">
        <w:rPr>
          <w:rStyle w:val="af7"/>
          <w:rFonts w:eastAsia="Guttman Hodes" w:hint="cs"/>
          <w:rtl/>
        </w:rPr>
        <w:t>(סי' ז')</w:t>
      </w:r>
      <w:r>
        <w:rPr>
          <w:rFonts w:hint="cs"/>
          <w:rtl/>
        </w:rPr>
        <w:t xml:space="preserve"> דהמחזיק ירא לטעון את טענת המיגו, ולא ביאר דמיגו למפרע לא אמרינן כדברי </w:t>
      </w:r>
      <w:r w:rsidRPr="003C2AD4">
        <w:rPr>
          <w:rStyle w:val="af9"/>
          <w:rFonts w:hint="cs"/>
          <w:rtl/>
        </w:rPr>
        <w:t>התוס'</w:t>
      </w:r>
      <w:r>
        <w:rPr>
          <w:rFonts w:hint="cs"/>
          <w:rtl/>
        </w:rPr>
        <w:t>.</w:t>
      </w:r>
    </w:p>
    <w:p w:rsidR="005306EB" w:rsidRDefault="005306EB" w:rsidP="005306EB">
      <w:pPr>
        <w:pStyle w:val="a3"/>
        <w:rPr>
          <w:rtl/>
        </w:rPr>
      </w:pPr>
      <w:bookmarkStart w:id="11612" w:name="_Toc61433948"/>
      <w:bookmarkStart w:id="11613" w:name="_Toc61438669"/>
      <w:bookmarkStart w:id="11614" w:name="_Toc61469398"/>
      <w:bookmarkStart w:id="11615" w:name="_Toc61509776"/>
      <w:r>
        <w:rPr>
          <w:rFonts w:hint="cs"/>
          <w:rtl/>
        </w:rPr>
        <w:t>בי' התומים ברא"ש דיתכן שרק עכשיו רוצה לשקר ורק במפרש שכך הייתה כוונתו בתחילה נאמן</w:t>
      </w:r>
      <w:bookmarkEnd w:id="11612"/>
      <w:bookmarkEnd w:id="11613"/>
      <w:bookmarkEnd w:id="11614"/>
      <w:bookmarkEnd w:id="11615"/>
    </w:p>
    <w:p w:rsidR="005306EB" w:rsidRPr="00AE2D55" w:rsidRDefault="005306EB" w:rsidP="007E4E81">
      <w:pPr>
        <w:pStyle w:val="a0"/>
        <w:rPr>
          <w:rtl/>
        </w:rPr>
      </w:pPr>
      <w:bookmarkStart w:id="11616" w:name="_Ref61383360"/>
      <w:r w:rsidRPr="00953940">
        <w:rPr>
          <w:rFonts w:hint="cs"/>
          <w:rtl/>
        </w:rPr>
        <w:t xml:space="preserve">הביא </w:t>
      </w:r>
      <w:r w:rsidRPr="00953940">
        <w:rPr>
          <w:rStyle w:val="af9"/>
          <w:rFonts w:hint="cs"/>
          <w:rtl/>
        </w:rPr>
        <w:t>התומים בכללי מיגו</w:t>
      </w:r>
      <w:r w:rsidRPr="00953940">
        <w:rPr>
          <w:rFonts w:hint="cs"/>
          <w:rtl/>
        </w:rPr>
        <w:t xml:space="preserve"> </w:t>
      </w:r>
      <w:r w:rsidRPr="00923175">
        <w:rPr>
          <w:rStyle w:val="af7"/>
          <w:rFonts w:eastAsia="Guttman Hodes" w:hint="cs"/>
          <w:rtl/>
        </w:rPr>
        <w:t xml:space="preserve">(סו"ס פ"ב או' ק"ט) </w:t>
      </w:r>
      <w:r w:rsidRPr="00953940">
        <w:rPr>
          <w:rFonts w:hint="cs"/>
          <w:rtl/>
        </w:rPr>
        <w:t xml:space="preserve">את דברי </w:t>
      </w:r>
      <w:r w:rsidRPr="00953940">
        <w:rPr>
          <w:rStyle w:val="af9"/>
          <w:rFonts w:hint="cs"/>
          <w:rtl/>
        </w:rPr>
        <w:t>המהרי"ט</w:t>
      </w:r>
      <w:r w:rsidRPr="00953940">
        <w:rPr>
          <w:rFonts w:hint="cs"/>
          <w:rtl/>
        </w:rPr>
        <w:t xml:space="preserve"> </w:t>
      </w:r>
      <w:r w:rsidRPr="004D6080">
        <w:rPr>
          <w:rStyle w:val="af7"/>
          <w:rFonts w:eastAsia="Guttman Hodes" w:hint="cs"/>
          <w:rtl/>
        </w:rPr>
        <w:t xml:space="preserve">(עי' אות </w:t>
      </w:r>
      <w:r w:rsidRPr="004D6080">
        <w:rPr>
          <w:rStyle w:val="af7"/>
          <w:rFonts w:eastAsia="Guttman Hodes"/>
          <w:rtl/>
        </w:rPr>
        <w:fldChar w:fldCharType="begin"/>
      </w:r>
      <w:r w:rsidRPr="004D6080">
        <w:rPr>
          <w:rStyle w:val="af7"/>
          <w:rFonts w:eastAsia="Guttman Hodes"/>
          <w:rtl/>
        </w:rPr>
        <w:instrText xml:space="preserve"> </w:instrText>
      </w:r>
      <w:r w:rsidRPr="004D6080">
        <w:rPr>
          <w:rStyle w:val="af7"/>
          <w:rFonts w:eastAsia="Guttman Hodes" w:hint="cs"/>
        </w:rPr>
        <w:instrText>REF</w:instrText>
      </w:r>
      <w:r w:rsidRPr="004D6080">
        <w:rPr>
          <w:rStyle w:val="af7"/>
          <w:rFonts w:eastAsia="Guttman Hodes" w:hint="cs"/>
          <w:rtl/>
        </w:rPr>
        <w:instrText xml:space="preserve"> _</w:instrText>
      </w:r>
      <w:r w:rsidRPr="004D6080">
        <w:rPr>
          <w:rStyle w:val="af7"/>
          <w:rFonts w:eastAsia="Guttman Hodes" w:hint="cs"/>
        </w:rPr>
        <w:instrText>Ref61382612 \r \h</w:instrText>
      </w:r>
      <w:r w:rsidRPr="004D6080">
        <w:rPr>
          <w:rStyle w:val="af7"/>
          <w:rFonts w:eastAsia="Guttman Hodes"/>
          <w:rtl/>
        </w:rPr>
        <w:instrText xml:space="preserve"> </w:instrText>
      </w:r>
      <w:r w:rsidRPr="004D6080">
        <w:rPr>
          <w:rStyle w:val="af7"/>
          <w:rFonts w:eastAsia="Guttman Hodes"/>
          <w:rtl/>
        </w:rPr>
      </w:r>
      <w:r w:rsidRPr="004D6080">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4D6080">
        <w:rPr>
          <w:rStyle w:val="af7"/>
          <w:rFonts w:eastAsia="Guttman Hodes"/>
          <w:rtl/>
        </w:rPr>
        <w:fldChar w:fldCharType="end"/>
      </w:r>
      <w:r w:rsidRPr="00923175">
        <w:rPr>
          <w:rStyle w:val="af7"/>
          <w:rFonts w:eastAsia="Guttman Hodes" w:hint="cs"/>
          <w:rtl/>
        </w:rPr>
        <w:t xml:space="preserve"> </w:t>
      </w:r>
      <w:r w:rsidRPr="00953940">
        <w:rPr>
          <w:rStyle w:val="af9"/>
          <w:rFonts w:hint="cs"/>
          <w:rtl/>
        </w:rPr>
        <w:t>דלהרא"ש</w:t>
      </w:r>
      <w:r w:rsidRPr="00953940">
        <w:rPr>
          <w:rFonts w:hint="cs"/>
          <w:rtl/>
        </w:rPr>
        <w:t xml:space="preserve"> במקום שמפרש את דבריו אי"ז נחשב מיגו למפרע, וביאר </w:t>
      </w:r>
      <w:r w:rsidRPr="004D6080">
        <w:rPr>
          <w:rStyle w:val="af9"/>
          <w:rFonts w:hint="cs"/>
          <w:rtl/>
        </w:rPr>
        <w:t xml:space="preserve">התומים </w:t>
      </w:r>
      <w:r w:rsidRPr="00953940">
        <w:rPr>
          <w:rFonts w:hint="cs"/>
          <w:rtl/>
        </w:rPr>
        <w:t xml:space="preserve">דהא דמודה </w:t>
      </w:r>
      <w:r w:rsidRPr="00953940">
        <w:rPr>
          <w:rStyle w:val="af9"/>
          <w:rFonts w:hint="cs"/>
          <w:rtl/>
        </w:rPr>
        <w:t>הרא"ש</w:t>
      </w:r>
      <w:r w:rsidRPr="00953940">
        <w:rPr>
          <w:rFonts w:hint="cs"/>
          <w:rtl/>
        </w:rPr>
        <w:t xml:space="preserve"> </w:t>
      </w:r>
      <w:r w:rsidRPr="002762FD">
        <w:rPr>
          <w:rStyle w:val="af7"/>
          <w:rFonts w:eastAsia="Guttman Hodes" w:hint="cs"/>
          <w:rtl/>
        </w:rPr>
        <w:t xml:space="preserve">(עי' אות </w:t>
      </w:r>
      <w:r w:rsidRPr="002762FD">
        <w:rPr>
          <w:rStyle w:val="af7"/>
          <w:rFonts w:eastAsia="Guttman Hodes"/>
          <w:rtl/>
        </w:rPr>
        <w:fldChar w:fldCharType="begin"/>
      </w:r>
      <w:r w:rsidRPr="002762FD">
        <w:rPr>
          <w:rStyle w:val="af7"/>
          <w:rFonts w:eastAsia="Guttman Hodes"/>
          <w:rtl/>
        </w:rPr>
        <w:instrText xml:space="preserve"> </w:instrText>
      </w:r>
      <w:r w:rsidRPr="002762FD">
        <w:rPr>
          <w:rStyle w:val="af7"/>
          <w:rFonts w:eastAsia="Guttman Hodes" w:hint="cs"/>
        </w:rPr>
        <w:instrText>REF</w:instrText>
      </w:r>
      <w:r w:rsidRPr="002762FD">
        <w:rPr>
          <w:rStyle w:val="af7"/>
          <w:rFonts w:eastAsia="Guttman Hodes" w:hint="cs"/>
          <w:rtl/>
        </w:rPr>
        <w:instrText xml:space="preserve"> _</w:instrText>
      </w:r>
      <w:r w:rsidRPr="002762FD">
        <w:rPr>
          <w:rStyle w:val="af7"/>
          <w:rFonts w:eastAsia="Guttman Hodes" w:hint="cs"/>
        </w:rPr>
        <w:instrText>Ref61008990 \r \h</w:instrText>
      </w:r>
      <w:r w:rsidRPr="002762FD">
        <w:rPr>
          <w:rStyle w:val="af7"/>
          <w:rFonts w:eastAsia="Guttman Hodes"/>
          <w:rtl/>
        </w:rPr>
        <w:instrText xml:space="preserve"> </w:instrText>
      </w:r>
      <w:r w:rsidRPr="002762FD">
        <w:rPr>
          <w:rStyle w:val="af7"/>
          <w:rFonts w:eastAsia="Guttman Hodes"/>
          <w:rtl/>
        </w:rPr>
      </w:r>
      <w:r w:rsidRPr="002762FD">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2762FD">
        <w:rPr>
          <w:rStyle w:val="af7"/>
          <w:rFonts w:eastAsia="Guttman Hodes"/>
          <w:rtl/>
        </w:rPr>
        <w:fldChar w:fldCharType="end"/>
      </w:r>
      <w:r w:rsidRPr="00953940">
        <w:rPr>
          <w:rFonts w:hint="cs"/>
          <w:rtl/>
        </w:rPr>
        <w:t xml:space="preserve"> לדעת </w:t>
      </w:r>
      <w:r w:rsidRPr="00953940">
        <w:rPr>
          <w:rStyle w:val="af9"/>
          <w:rFonts w:hint="cs"/>
          <w:rtl/>
        </w:rPr>
        <w:t>התוס'</w:t>
      </w:r>
      <w:r w:rsidRPr="00953940">
        <w:rPr>
          <w:rFonts w:hint="cs"/>
          <w:rtl/>
        </w:rPr>
        <w:t xml:space="preserve"> </w:t>
      </w:r>
      <w:r w:rsidRPr="002762FD">
        <w:rPr>
          <w:rStyle w:val="af7"/>
          <w:rFonts w:eastAsia="Guttman Hodes" w:hint="cs"/>
          <w:rtl/>
        </w:rPr>
        <w:t xml:space="preserve">(עי' אות </w:t>
      </w:r>
      <w:r w:rsidRPr="002762FD">
        <w:rPr>
          <w:rStyle w:val="af7"/>
          <w:rFonts w:eastAsia="Guttman Hodes"/>
          <w:rtl/>
        </w:rPr>
        <w:fldChar w:fldCharType="begin"/>
      </w:r>
      <w:r w:rsidRPr="002762FD">
        <w:rPr>
          <w:rStyle w:val="af7"/>
          <w:rFonts w:eastAsia="Guttman Hodes"/>
          <w:rtl/>
        </w:rPr>
        <w:instrText xml:space="preserve"> </w:instrText>
      </w:r>
      <w:r w:rsidRPr="002762FD">
        <w:rPr>
          <w:rStyle w:val="af7"/>
          <w:rFonts w:eastAsia="Guttman Hodes" w:hint="cs"/>
        </w:rPr>
        <w:instrText>REF</w:instrText>
      </w:r>
      <w:r w:rsidRPr="002762FD">
        <w:rPr>
          <w:rStyle w:val="af7"/>
          <w:rFonts w:eastAsia="Guttman Hodes" w:hint="cs"/>
          <w:rtl/>
        </w:rPr>
        <w:instrText xml:space="preserve"> _</w:instrText>
      </w:r>
      <w:r w:rsidRPr="002762FD">
        <w:rPr>
          <w:rStyle w:val="af7"/>
          <w:rFonts w:eastAsia="Guttman Hodes" w:hint="cs"/>
        </w:rPr>
        <w:instrText>Ref61253162 \r \h</w:instrText>
      </w:r>
      <w:r w:rsidRPr="002762FD">
        <w:rPr>
          <w:rStyle w:val="af7"/>
          <w:rFonts w:eastAsia="Guttman Hodes"/>
          <w:rtl/>
        </w:rPr>
        <w:instrText xml:space="preserve"> </w:instrText>
      </w:r>
      <w:r w:rsidRPr="002762FD">
        <w:rPr>
          <w:rStyle w:val="af7"/>
          <w:rFonts w:eastAsia="Guttman Hodes"/>
          <w:rtl/>
        </w:rPr>
      </w:r>
      <w:r w:rsidRPr="002762FD">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2762FD">
        <w:rPr>
          <w:rStyle w:val="af7"/>
          <w:rFonts w:eastAsia="Guttman Hodes"/>
          <w:rtl/>
        </w:rPr>
        <w:fldChar w:fldCharType="end"/>
      </w:r>
      <w:r>
        <w:rPr>
          <w:rFonts w:hint="cs"/>
          <w:rtl/>
        </w:rPr>
        <w:t xml:space="preserve"> דאינו נאמן לחזור ולטעון עכשיו מיגו שהיה יכול לטעון בתחילה, הוא כיון דיתכן שבתחילה אמר את האמת ולא רצה לשקר, ועכשיו הוא רוצה לשקר, ורק במקום שהוא מפרש את כוונתו ס"ל </w:t>
      </w:r>
      <w:r w:rsidRPr="008C7EFB">
        <w:rPr>
          <w:rStyle w:val="af9"/>
          <w:rFonts w:hint="cs"/>
          <w:rtl/>
        </w:rPr>
        <w:t>להרא"ש</w:t>
      </w:r>
      <w:r>
        <w:rPr>
          <w:rFonts w:hint="cs"/>
          <w:rtl/>
        </w:rPr>
        <w:t xml:space="preserve"> דנאמן, כדברי </w:t>
      </w:r>
      <w:r w:rsidRPr="008C7EFB">
        <w:rPr>
          <w:rStyle w:val="af9"/>
          <w:rFonts w:hint="cs"/>
          <w:rtl/>
        </w:rPr>
        <w:t>הרא"ש</w:t>
      </w:r>
      <w:r>
        <w:rPr>
          <w:rFonts w:hint="cs"/>
          <w:rtl/>
        </w:rPr>
        <w:t xml:space="preserve"> </w:t>
      </w:r>
      <w:r w:rsidRPr="008C7EFB">
        <w:rPr>
          <w:rStyle w:val="af9"/>
          <w:rFonts w:hint="cs"/>
          <w:rtl/>
        </w:rPr>
        <w:t>בכתובות</w:t>
      </w:r>
      <w:r>
        <w:rPr>
          <w:rFonts w:hint="cs"/>
          <w:rtl/>
        </w:rPr>
        <w:t xml:space="preserve"> </w:t>
      </w:r>
      <w:r w:rsidRPr="002762FD">
        <w:rPr>
          <w:rStyle w:val="af7"/>
          <w:rFonts w:eastAsia="Guttman Hodes" w:hint="cs"/>
          <w:rtl/>
        </w:rPr>
        <w:t xml:space="preserve">(עי' אות </w:t>
      </w:r>
      <w:r w:rsidRPr="002762FD">
        <w:rPr>
          <w:rStyle w:val="af7"/>
          <w:rFonts w:eastAsia="Guttman Hodes"/>
          <w:rtl/>
        </w:rPr>
        <w:fldChar w:fldCharType="begin"/>
      </w:r>
      <w:r w:rsidRPr="002762FD">
        <w:rPr>
          <w:rStyle w:val="af7"/>
          <w:rFonts w:eastAsia="Guttman Hodes"/>
          <w:rtl/>
        </w:rPr>
        <w:instrText xml:space="preserve"> </w:instrText>
      </w:r>
      <w:r w:rsidRPr="002762FD">
        <w:rPr>
          <w:rStyle w:val="af7"/>
          <w:rFonts w:eastAsia="Guttman Hodes" w:hint="cs"/>
        </w:rPr>
        <w:instrText>REF</w:instrText>
      </w:r>
      <w:r w:rsidRPr="002762FD">
        <w:rPr>
          <w:rStyle w:val="af7"/>
          <w:rFonts w:eastAsia="Guttman Hodes" w:hint="cs"/>
          <w:rtl/>
        </w:rPr>
        <w:instrText xml:space="preserve"> _</w:instrText>
      </w:r>
      <w:r w:rsidRPr="002762FD">
        <w:rPr>
          <w:rStyle w:val="af7"/>
          <w:rFonts w:eastAsia="Guttman Hodes" w:hint="cs"/>
        </w:rPr>
        <w:instrText>Ref61378869 \r \h</w:instrText>
      </w:r>
      <w:r w:rsidRPr="002762FD">
        <w:rPr>
          <w:rStyle w:val="af7"/>
          <w:rFonts w:eastAsia="Guttman Hodes"/>
          <w:rtl/>
        </w:rPr>
        <w:instrText xml:space="preserve"> </w:instrText>
      </w:r>
      <w:r w:rsidRPr="002762FD">
        <w:rPr>
          <w:rStyle w:val="af7"/>
          <w:rFonts w:eastAsia="Guttman Hodes"/>
          <w:rtl/>
        </w:rPr>
      </w:r>
      <w:r w:rsidRPr="002762FD">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2762FD">
        <w:rPr>
          <w:rStyle w:val="af7"/>
          <w:rFonts w:eastAsia="Guttman Hodes"/>
          <w:rtl/>
        </w:rPr>
        <w:fldChar w:fldCharType="end"/>
      </w:r>
      <w:r w:rsidRPr="002762FD">
        <w:rPr>
          <w:rStyle w:val="af7"/>
          <w:rFonts w:eastAsia="Guttman Hodes" w:hint="cs"/>
          <w:rtl/>
        </w:rPr>
        <w:t xml:space="preserve"> </w:t>
      </w:r>
      <w:r>
        <w:rPr>
          <w:rFonts w:hint="cs"/>
          <w:rtl/>
        </w:rPr>
        <w:t xml:space="preserve">דיש לאשה מיגו דנאמנת לומר דכוונתה הייתה שתפסה את השטרות מחיים ולא לאח"מ, וכן </w:t>
      </w:r>
      <w:r w:rsidRPr="008C7EFB">
        <w:rPr>
          <w:rStyle w:val="af9"/>
          <w:rFonts w:hint="cs"/>
          <w:rtl/>
        </w:rPr>
        <w:t>ברא"ש</w:t>
      </w:r>
      <w:r>
        <w:rPr>
          <w:rFonts w:hint="cs"/>
          <w:rtl/>
        </w:rPr>
        <w:t xml:space="preserve"> </w:t>
      </w:r>
      <w:r w:rsidRPr="008C7EFB">
        <w:rPr>
          <w:rStyle w:val="af9"/>
          <w:rFonts w:hint="cs"/>
          <w:rtl/>
        </w:rPr>
        <w:t>לקמן</w:t>
      </w:r>
      <w:r>
        <w:rPr>
          <w:rFonts w:hint="cs"/>
          <w:rtl/>
        </w:rPr>
        <w:t xml:space="preserve"> </w:t>
      </w:r>
      <w:r w:rsidRPr="005E545A">
        <w:rPr>
          <w:rStyle w:val="af7"/>
          <w:rFonts w:eastAsia="Guttman Hodes" w:hint="cs"/>
          <w:rtl/>
        </w:rPr>
        <w:t xml:space="preserve">(עי' אות </w:t>
      </w:r>
      <w:r w:rsidRPr="005E545A">
        <w:rPr>
          <w:rStyle w:val="af7"/>
          <w:rFonts w:eastAsia="Guttman Hodes"/>
          <w:rtl/>
        </w:rPr>
        <w:fldChar w:fldCharType="begin"/>
      </w:r>
      <w:r w:rsidRPr="005E545A">
        <w:rPr>
          <w:rStyle w:val="af7"/>
          <w:rFonts w:eastAsia="Guttman Hodes"/>
          <w:rtl/>
        </w:rPr>
        <w:instrText xml:space="preserve"> </w:instrText>
      </w:r>
      <w:r w:rsidRPr="005E545A">
        <w:rPr>
          <w:rStyle w:val="af7"/>
          <w:rFonts w:eastAsia="Guttman Hodes" w:hint="cs"/>
        </w:rPr>
        <w:instrText>REF</w:instrText>
      </w:r>
      <w:r w:rsidRPr="005E545A">
        <w:rPr>
          <w:rStyle w:val="af7"/>
          <w:rFonts w:eastAsia="Guttman Hodes" w:hint="cs"/>
          <w:rtl/>
        </w:rPr>
        <w:instrText xml:space="preserve"> _</w:instrText>
      </w:r>
      <w:r w:rsidRPr="005E545A">
        <w:rPr>
          <w:rStyle w:val="af7"/>
          <w:rFonts w:eastAsia="Guttman Hodes" w:hint="cs"/>
        </w:rPr>
        <w:instrText>Ref61008990 \r \h</w:instrText>
      </w:r>
      <w:r w:rsidRPr="005E545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5E545A">
        <w:rPr>
          <w:rStyle w:val="af7"/>
          <w:rFonts w:eastAsia="Guttman Hodes"/>
          <w:rtl/>
        </w:rPr>
      </w:r>
      <w:r w:rsidRPr="005E545A">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5E545A">
        <w:rPr>
          <w:rStyle w:val="af7"/>
          <w:rFonts w:eastAsia="Guttman Hodes"/>
          <w:rtl/>
        </w:rPr>
        <w:fldChar w:fldCharType="end"/>
      </w:r>
      <w:r>
        <w:rPr>
          <w:rFonts w:hint="cs"/>
          <w:rtl/>
        </w:rPr>
        <w:t xml:space="preserve"> דכשאמר שקנה מהמוכר שקנה מהמערער, דנאמן לפרש את דבריו דכוונתו הייתה לטעון קמי דידי זבנה מינך.</w:t>
      </w:r>
      <w:bookmarkEnd w:id="11616"/>
    </w:p>
    <w:p w:rsidR="005306EB" w:rsidRPr="005B0238" w:rsidRDefault="005306EB" w:rsidP="005306EB">
      <w:pPr>
        <w:pStyle w:val="1"/>
        <w:rPr>
          <w:rtl/>
        </w:rPr>
      </w:pPr>
      <w:bookmarkStart w:id="11617" w:name="_Toc61388240"/>
      <w:bookmarkStart w:id="11618" w:name="_Toc61430906"/>
      <w:bookmarkStart w:id="11619" w:name="_Toc61433949"/>
      <w:bookmarkStart w:id="11620" w:name="_Toc61438670"/>
      <w:bookmarkStart w:id="11621" w:name="_Toc61469399"/>
      <w:bookmarkStart w:id="11622" w:name="_Toc61509777"/>
      <w:r>
        <w:rPr>
          <w:rFonts w:hint="cs"/>
          <w:rtl/>
        </w:rPr>
        <w:t>דברי הגרעק"א דלרא"ש נאמן רק במפרש ולא במוסיף או סותר</w:t>
      </w:r>
      <w:bookmarkEnd w:id="11617"/>
      <w:bookmarkEnd w:id="11618"/>
      <w:bookmarkEnd w:id="11619"/>
      <w:bookmarkEnd w:id="11620"/>
      <w:bookmarkEnd w:id="11621"/>
      <w:bookmarkEnd w:id="11622"/>
    </w:p>
    <w:p w:rsidR="005306EB" w:rsidRPr="001D1DA1" w:rsidRDefault="005306EB" w:rsidP="005306EB">
      <w:pPr>
        <w:pStyle w:val="a3"/>
        <w:rPr>
          <w:rtl/>
        </w:rPr>
      </w:pPr>
      <w:bookmarkStart w:id="11623" w:name="_Toc61388241"/>
      <w:bookmarkStart w:id="11624" w:name="_Toc61430907"/>
      <w:bookmarkStart w:id="11625" w:name="_Toc61433950"/>
      <w:bookmarkStart w:id="11626" w:name="_Toc61438671"/>
      <w:bookmarkStart w:id="11627" w:name="_Toc61469400"/>
      <w:bookmarkStart w:id="11628" w:name="_Toc61509778"/>
      <w:bookmarkStart w:id="11629" w:name="_Toc61010728"/>
      <w:bookmarkStart w:id="11630" w:name="_Toc61200670"/>
      <w:bookmarkStart w:id="11631" w:name="_Toc61213868"/>
      <w:r>
        <w:rPr>
          <w:rFonts w:hint="cs"/>
          <w:rtl/>
        </w:rPr>
        <w:t>דברי הגרעק"א דרק במפרש נאמן להרא"ש אבל מוסיף ל"א מיגו למפרע וכ"ש בסותר את דבריו</w:t>
      </w:r>
      <w:bookmarkEnd w:id="11623"/>
      <w:bookmarkEnd w:id="11624"/>
      <w:bookmarkEnd w:id="11625"/>
      <w:bookmarkEnd w:id="11626"/>
      <w:bookmarkEnd w:id="11627"/>
      <w:bookmarkEnd w:id="11628"/>
    </w:p>
    <w:p w:rsidR="005306EB" w:rsidRDefault="005306EB" w:rsidP="007E4E81">
      <w:pPr>
        <w:pStyle w:val="a0"/>
        <w:rPr>
          <w:rtl/>
        </w:rPr>
      </w:pPr>
      <w:r>
        <w:rPr>
          <w:rFonts w:hint="cs"/>
          <w:rtl/>
        </w:rPr>
        <w:t xml:space="preserve">כתב </w:t>
      </w:r>
      <w:r w:rsidRPr="00B414F8">
        <w:rPr>
          <w:rStyle w:val="af9"/>
          <w:rFonts w:hint="cs"/>
          <w:rtl/>
        </w:rPr>
        <w:t>הגרעק"א</w:t>
      </w:r>
      <w:r w:rsidRPr="00AD1DCB">
        <w:rPr>
          <w:rStyle w:val="af7"/>
          <w:rFonts w:eastAsia="Guttman Hodes" w:hint="cs"/>
          <w:rtl/>
        </w:rPr>
        <w:t xml:space="preserve"> (גרעק"א השלם [כחול] ד"ה ונראה דאף, שו"ת מהדו"ת סי' מ"ה סוד"ה אמנם זהו מספיק)</w:t>
      </w:r>
      <w:r>
        <w:rPr>
          <w:rFonts w:hint="cs"/>
          <w:rtl/>
        </w:rPr>
        <w:t xml:space="preserve"> דלדעת </w:t>
      </w:r>
      <w:r w:rsidRPr="0088651B">
        <w:rPr>
          <w:rStyle w:val="af9"/>
          <w:rFonts w:hint="cs"/>
          <w:rtl/>
        </w:rPr>
        <w:t>הרא"ש</w:t>
      </w:r>
      <w:r w:rsidRPr="0088651B">
        <w:rPr>
          <w:rFonts w:hint="cs"/>
          <w:rtl/>
        </w:rPr>
        <w:t xml:space="preserve"> </w:t>
      </w:r>
      <w:r w:rsidRPr="0088651B">
        <w:rPr>
          <w:rStyle w:val="af7"/>
          <w:rFonts w:eastAsia="Guttman Hodes" w:hint="cs"/>
          <w:rtl/>
        </w:rPr>
        <w:t xml:space="preserve">(עי' אות </w:t>
      </w:r>
      <w:r w:rsidRPr="0088651B">
        <w:rPr>
          <w:rStyle w:val="af7"/>
          <w:rFonts w:eastAsia="Guttman Hodes"/>
          <w:rtl/>
        </w:rPr>
        <w:fldChar w:fldCharType="begin"/>
      </w:r>
      <w:r w:rsidRPr="0088651B">
        <w:rPr>
          <w:rStyle w:val="af7"/>
          <w:rFonts w:eastAsia="Guttman Hodes"/>
          <w:rtl/>
        </w:rPr>
        <w:instrText xml:space="preserve"> </w:instrText>
      </w:r>
      <w:r w:rsidRPr="0088651B">
        <w:rPr>
          <w:rStyle w:val="af7"/>
          <w:rFonts w:eastAsia="Guttman Hodes" w:hint="cs"/>
        </w:rPr>
        <w:instrText>REF</w:instrText>
      </w:r>
      <w:r w:rsidRPr="0088651B">
        <w:rPr>
          <w:rStyle w:val="af7"/>
          <w:rFonts w:eastAsia="Guttman Hodes" w:hint="cs"/>
          <w:rtl/>
        </w:rPr>
        <w:instrText xml:space="preserve"> _</w:instrText>
      </w:r>
      <w:r w:rsidRPr="0088651B">
        <w:rPr>
          <w:rStyle w:val="af7"/>
          <w:rFonts w:eastAsia="Guttman Hodes" w:hint="cs"/>
        </w:rPr>
        <w:instrText>Ref61008990 \r \h</w:instrText>
      </w:r>
      <w:r w:rsidRPr="0088651B">
        <w:rPr>
          <w:rStyle w:val="af7"/>
          <w:rFonts w:eastAsia="Guttman Hodes"/>
          <w:rtl/>
        </w:rPr>
        <w:instrText xml:space="preserve">  \* </w:instrText>
      </w:r>
      <w:r w:rsidRPr="0088651B">
        <w:rPr>
          <w:rStyle w:val="af7"/>
          <w:rFonts w:eastAsia="Guttman Hodes"/>
        </w:rPr>
        <w:instrText>MERGEFORMAT</w:instrText>
      </w:r>
      <w:r w:rsidRPr="0088651B">
        <w:rPr>
          <w:rStyle w:val="af7"/>
          <w:rFonts w:eastAsia="Guttman Hodes"/>
          <w:rtl/>
        </w:rPr>
        <w:instrText xml:space="preserve"> </w:instrText>
      </w:r>
      <w:r w:rsidRPr="0088651B">
        <w:rPr>
          <w:rStyle w:val="af7"/>
          <w:rFonts w:eastAsia="Guttman Hodes"/>
          <w:rtl/>
        </w:rPr>
      </w:r>
      <w:r w:rsidRPr="0088651B">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88651B">
        <w:rPr>
          <w:rStyle w:val="af7"/>
          <w:rFonts w:eastAsia="Guttman Hodes"/>
          <w:rtl/>
        </w:rPr>
        <w:fldChar w:fldCharType="end"/>
      </w:r>
      <w:r>
        <w:rPr>
          <w:rStyle w:val="aff8"/>
          <w:rFonts w:hint="cs"/>
          <w:rtl/>
        </w:rPr>
        <w:t xml:space="preserve"> </w:t>
      </w:r>
      <w:r w:rsidRPr="0088651B">
        <w:rPr>
          <w:rFonts w:hint="cs"/>
          <w:rtl/>
        </w:rPr>
        <w:t xml:space="preserve">מבואר דמיגו למפרע אמרינן, </w:t>
      </w:r>
      <w:r>
        <w:rPr>
          <w:rFonts w:hint="cs"/>
          <w:rtl/>
        </w:rPr>
        <w:t xml:space="preserve">והביא </w:t>
      </w:r>
      <w:r w:rsidRPr="00B414F8">
        <w:rPr>
          <w:rStyle w:val="af9"/>
          <w:rFonts w:hint="cs"/>
          <w:rtl/>
        </w:rPr>
        <w:t>הגרעק"א</w:t>
      </w:r>
      <w:r w:rsidRPr="00AD1DCB">
        <w:rPr>
          <w:rStyle w:val="af7"/>
          <w:rFonts w:eastAsia="Guttman Hodes" w:hint="cs"/>
          <w:rtl/>
        </w:rPr>
        <w:t xml:space="preserve"> </w:t>
      </w:r>
      <w:r>
        <w:rPr>
          <w:rFonts w:hint="cs"/>
          <w:rtl/>
        </w:rPr>
        <w:t>את דברי</w:t>
      </w:r>
      <w:r w:rsidRPr="0088651B">
        <w:rPr>
          <w:rFonts w:hint="cs"/>
          <w:rtl/>
        </w:rPr>
        <w:t xml:space="preserve"> </w:t>
      </w:r>
      <w:r w:rsidRPr="0088651B">
        <w:rPr>
          <w:rStyle w:val="af9"/>
          <w:rFonts w:hint="cs"/>
          <w:rtl/>
        </w:rPr>
        <w:t>הש"ך</w:t>
      </w:r>
      <w:r w:rsidRPr="0088651B">
        <w:rPr>
          <w:rFonts w:hint="cs"/>
          <w:rtl/>
        </w:rPr>
        <w:t xml:space="preserve"> </w:t>
      </w:r>
      <w:r w:rsidRPr="0088651B">
        <w:rPr>
          <w:rStyle w:val="af7"/>
          <w:rFonts w:eastAsia="Guttman Hodes" w:hint="cs"/>
          <w:rtl/>
        </w:rPr>
        <w:t xml:space="preserve">(עי' אות </w:t>
      </w:r>
      <w:r w:rsidRPr="0088651B">
        <w:rPr>
          <w:rStyle w:val="af7"/>
          <w:rFonts w:eastAsia="Guttman Hodes"/>
          <w:rtl/>
        </w:rPr>
        <w:fldChar w:fldCharType="begin"/>
      </w:r>
      <w:r w:rsidRPr="0088651B">
        <w:rPr>
          <w:rStyle w:val="af7"/>
          <w:rFonts w:eastAsia="Guttman Hodes"/>
          <w:rtl/>
        </w:rPr>
        <w:instrText xml:space="preserve"> </w:instrText>
      </w:r>
      <w:r w:rsidRPr="0088651B">
        <w:rPr>
          <w:rStyle w:val="af7"/>
          <w:rFonts w:eastAsia="Guttman Hodes" w:hint="cs"/>
        </w:rPr>
        <w:instrText>REF</w:instrText>
      </w:r>
      <w:r w:rsidRPr="0088651B">
        <w:rPr>
          <w:rStyle w:val="af7"/>
          <w:rFonts w:eastAsia="Guttman Hodes" w:hint="cs"/>
          <w:rtl/>
        </w:rPr>
        <w:instrText xml:space="preserve"> _</w:instrText>
      </w:r>
      <w:r w:rsidRPr="0088651B">
        <w:rPr>
          <w:rStyle w:val="af7"/>
          <w:rFonts w:eastAsia="Guttman Hodes" w:hint="cs"/>
        </w:rPr>
        <w:instrText>Ref61345101 \r \h</w:instrText>
      </w:r>
      <w:r w:rsidRPr="0088651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8651B">
        <w:rPr>
          <w:rStyle w:val="af7"/>
          <w:rFonts w:eastAsia="Guttman Hodes"/>
          <w:rtl/>
        </w:rPr>
      </w:r>
      <w:r w:rsidRPr="0088651B">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88651B">
        <w:rPr>
          <w:rStyle w:val="af7"/>
          <w:rFonts w:eastAsia="Guttman Hodes"/>
          <w:rtl/>
        </w:rPr>
        <w:fldChar w:fldCharType="end"/>
      </w:r>
      <w:r w:rsidRPr="0088651B">
        <w:rPr>
          <w:rFonts w:hint="cs"/>
          <w:rtl/>
        </w:rPr>
        <w:t xml:space="preserve"> </w:t>
      </w:r>
      <w:r>
        <w:rPr>
          <w:rFonts w:hint="cs"/>
          <w:rtl/>
        </w:rPr>
        <w:t xml:space="preserve">דביאר </w:t>
      </w:r>
      <w:r w:rsidRPr="0088651B">
        <w:rPr>
          <w:rFonts w:hint="cs"/>
          <w:rtl/>
        </w:rPr>
        <w:t>דהא דמהני המיגו למפרע</w:t>
      </w:r>
      <w:r>
        <w:rPr>
          <w:rFonts w:hint="cs"/>
          <w:rtl/>
        </w:rPr>
        <w:t xml:space="preserve">, היינו רק באופן שהוא מפרש את דבריו, </w:t>
      </w:r>
      <w:r w:rsidRPr="007A6ACC">
        <w:rPr>
          <w:rStyle w:val="afb"/>
          <w:rFonts w:hint="cs"/>
          <w:rtl/>
        </w:rPr>
        <w:t>[דבכה"ג לא חשיב מיגו למפרע],</w:t>
      </w:r>
      <w:r>
        <w:rPr>
          <w:rFonts w:hint="cs"/>
          <w:rtl/>
        </w:rPr>
        <w:t xml:space="preserve"> וכתב </w:t>
      </w:r>
      <w:r w:rsidRPr="00B414F8">
        <w:rPr>
          <w:rStyle w:val="af9"/>
          <w:rFonts w:hint="cs"/>
          <w:rtl/>
        </w:rPr>
        <w:t>הגרעק"א</w:t>
      </w:r>
      <w:r>
        <w:rPr>
          <w:rFonts w:hint="cs"/>
          <w:rtl/>
        </w:rPr>
        <w:t xml:space="preserve"> כשמוסיף את דבריו מודה </w:t>
      </w:r>
      <w:r w:rsidRPr="007475F7">
        <w:rPr>
          <w:rStyle w:val="af9"/>
          <w:rFonts w:hint="cs"/>
          <w:rtl/>
        </w:rPr>
        <w:t>הרא"ש</w:t>
      </w:r>
      <w:r>
        <w:rPr>
          <w:rFonts w:hint="cs"/>
          <w:rtl/>
        </w:rPr>
        <w:t xml:space="preserve"> דמיגו למפרע, לא אמרינן, וכתב </w:t>
      </w:r>
      <w:r w:rsidRPr="007475F7">
        <w:rPr>
          <w:rStyle w:val="af9"/>
          <w:rFonts w:hint="cs"/>
          <w:rtl/>
        </w:rPr>
        <w:t>הגרעק"א</w:t>
      </w:r>
      <w:r>
        <w:rPr>
          <w:rFonts w:hint="cs"/>
          <w:rtl/>
        </w:rPr>
        <w:t xml:space="preserve"> דכ"ש באופן שהוא סותר את דבריו הראשונים דאינו נאמן אף לדעת </w:t>
      </w:r>
      <w:r w:rsidRPr="00061B02">
        <w:rPr>
          <w:rStyle w:val="af9"/>
          <w:rFonts w:hint="cs"/>
          <w:rtl/>
        </w:rPr>
        <w:t>הרא"ש</w:t>
      </w:r>
      <w:r>
        <w:rPr>
          <w:rFonts w:hint="cs"/>
          <w:rtl/>
        </w:rPr>
        <w:t>.</w:t>
      </w:r>
    </w:p>
    <w:p w:rsidR="005306EB" w:rsidRPr="00FF0FC4" w:rsidRDefault="005306EB" w:rsidP="005306EB">
      <w:pPr>
        <w:pStyle w:val="a3"/>
        <w:rPr>
          <w:rtl/>
        </w:rPr>
      </w:pPr>
    </w:p>
    <w:p w:rsidR="005306EB" w:rsidRPr="00FF0FC4" w:rsidRDefault="005306EB" w:rsidP="005306EB">
      <w:pPr>
        <w:pStyle w:val="a3"/>
        <w:rPr>
          <w:rtl/>
        </w:rPr>
      </w:pPr>
    </w:p>
    <w:p w:rsidR="005306EB" w:rsidRPr="00FF0FC4" w:rsidRDefault="005306EB" w:rsidP="005306EB">
      <w:pPr>
        <w:pStyle w:val="a3"/>
        <w:rPr>
          <w:rtl/>
        </w:rPr>
      </w:pPr>
    </w:p>
    <w:p w:rsidR="005306EB" w:rsidRPr="00FF0FC4" w:rsidRDefault="005306EB" w:rsidP="005306EB">
      <w:pPr>
        <w:pStyle w:val="a3"/>
        <w:rPr>
          <w:rtl/>
        </w:rPr>
      </w:pPr>
    </w:p>
    <w:p w:rsidR="005306EB" w:rsidRDefault="005306EB" w:rsidP="005306EB">
      <w:pPr>
        <w:pStyle w:val="afe"/>
        <w:rPr>
          <w:rtl/>
        </w:rPr>
      </w:pPr>
      <w:bookmarkStart w:id="11632" w:name="_Toc61200674"/>
      <w:bookmarkStart w:id="11633" w:name="_Toc61213872"/>
      <w:bookmarkStart w:id="11634" w:name="_Toc61388242"/>
      <w:bookmarkStart w:id="11635" w:name="_Toc61430908"/>
      <w:bookmarkStart w:id="11636" w:name="_Toc61433951"/>
      <w:bookmarkStart w:id="11637" w:name="_Toc61438672"/>
      <w:bookmarkStart w:id="11638" w:name="_Toc61469401"/>
      <w:bookmarkStart w:id="11639" w:name="_Toc61509779"/>
      <w:bookmarkEnd w:id="11551"/>
      <w:bookmarkEnd w:id="11552"/>
      <w:bookmarkEnd w:id="11553"/>
      <w:bookmarkEnd w:id="11629"/>
      <w:bookmarkEnd w:id="11630"/>
      <w:bookmarkEnd w:id="11631"/>
      <w:r>
        <w:rPr>
          <w:rFonts w:hint="cs"/>
          <w:rtl/>
        </w:rPr>
        <w:t>בדעת רש"י דמיגו למפרע אמרינן</w:t>
      </w:r>
      <w:bookmarkEnd w:id="11632"/>
      <w:bookmarkEnd w:id="11633"/>
      <w:bookmarkEnd w:id="11634"/>
      <w:bookmarkEnd w:id="11635"/>
      <w:bookmarkEnd w:id="11636"/>
      <w:bookmarkEnd w:id="11637"/>
      <w:bookmarkEnd w:id="11638"/>
      <w:bookmarkEnd w:id="11639"/>
    </w:p>
    <w:p w:rsidR="005306EB" w:rsidRDefault="005306EB" w:rsidP="005306EB">
      <w:pPr>
        <w:pStyle w:val="1"/>
        <w:rPr>
          <w:rtl/>
        </w:rPr>
      </w:pPr>
      <w:bookmarkStart w:id="11640" w:name="_Toc61438673"/>
      <w:bookmarkStart w:id="11641" w:name="_Toc61469402"/>
      <w:bookmarkStart w:id="11642" w:name="_Toc61509780"/>
      <w:r>
        <w:rPr>
          <w:rFonts w:hint="cs"/>
          <w:rtl/>
        </w:rPr>
        <w:t>בביאור דברי רש"י דהפה שאסר ומיגו למפרע אמרינן</w:t>
      </w:r>
      <w:bookmarkEnd w:id="11640"/>
      <w:bookmarkEnd w:id="11641"/>
      <w:bookmarkEnd w:id="11642"/>
    </w:p>
    <w:p w:rsidR="005306EB" w:rsidRPr="00C367C3" w:rsidRDefault="005306EB" w:rsidP="005306EB">
      <w:pPr>
        <w:pStyle w:val="a3"/>
        <w:rPr>
          <w:rtl/>
        </w:rPr>
      </w:pPr>
      <w:bookmarkStart w:id="11643" w:name="_Toc61438674"/>
      <w:bookmarkStart w:id="11644" w:name="_Toc61469403"/>
      <w:bookmarkStart w:id="11645" w:name="_Toc61509781"/>
      <w:r>
        <w:rPr>
          <w:rFonts w:hint="cs"/>
          <w:rtl/>
        </w:rPr>
        <w:t>דברי רש"י דנאמן בהפה שאסר במקום שכבר הודה בשטר למערער ודחו תוס' דהוא מיגו למפרע</w:t>
      </w:r>
      <w:bookmarkEnd w:id="11643"/>
      <w:bookmarkEnd w:id="11644"/>
      <w:bookmarkEnd w:id="11645"/>
    </w:p>
    <w:p w:rsidR="005306EB" w:rsidRPr="003818F3" w:rsidRDefault="005306EB" w:rsidP="007E4E81">
      <w:pPr>
        <w:pStyle w:val="a0"/>
        <w:rPr>
          <w:sz w:val="10"/>
          <w:szCs w:val="14"/>
          <w:rtl/>
        </w:rPr>
      </w:pPr>
      <w:bookmarkStart w:id="11646" w:name="_Ref61383333"/>
      <w:r>
        <w:rPr>
          <w:rFonts w:hint="cs"/>
          <w:rtl/>
        </w:rPr>
        <w:t xml:space="preserve">כתב </w:t>
      </w:r>
      <w:r w:rsidRPr="008A6FA3">
        <w:rPr>
          <w:rStyle w:val="af9"/>
          <w:rFonts w:hint="cs"/>
          <w:rtl/>
        </w:rPr>
        <w:t>רש"י בכתובות</w:t>
      </w:r>
      <w:r>
        <w:rPr>
          <w:rFonts w:hint="cs"/>
          <w:rtl/>
        </w:rPr>
        <w:t xml:space="preserve"> </w:t>
      </w:r>
      <w:r w:rsidRPr="005E545A">
        <w:rPr>
          <w:rStyle w:val="af7"/>
          <w:rFonts w:eastAsia="Guttman Hodes" w:hint="cs"/>
          <w:rtl/>
        </w:rPr>
        <w:t>(קט: ד"ה נאמן)</w:t>
      </w:r>
      <w:r>
        <w:rPr>
          <w:rFonts w:hint="cs"/>
          <w:rtl/>
        </w:rPr>
        <w:t xml:space="preserve"> דכשיש למערער עדים על שדה שנגזלה ממנו, אך יש שטר דעשאה סימן למחזיק, </w:t>
      </w:r>
      <w:r w:rsidRPr="005E545A">
        <w:rPr>
          <w:rStyle w:val="afb"/>
          <w:rFonts w:hint="cs"/>
          <w:rtl/>
        </w:rPr>
        <w:t xml:space="preserve">[כסימן למיצרים של שדה אחרת, כתב ששדה זו היא של המחזיק], </w:t>
      </w:r>
      <w:r>
        <w:rPr>
          <w:rFonts w:hint="cs"/>
          <w:rtl/>
        </w:rPr>
        <w:t xml:space="preserve">ואח"כ טען שחזר וקנה מהמחזיק, דנאמן מדין הפה שאסר, כיון שיש לו עדים שהייתה שלו ונגזלה ממנו, וכל הזכות של המחזיק היא מכח מה שהודה כשעשאה סימן לאחר, ודחה </w:t>
      </w:r>
      <w:r w:rsidRPr="008A6FA3">
        <w:rPr>
          <w:rStyle w:val="af9"/>
          <w:rFonts w:hint="cs"/>
          <w:rtl/>
        </w:rPr>
        <w:t>ר"י בתוס'</w:t>
      </w:r>
      <w:r>
        <w:rPr>
          <w:rFonts w:hint="cs"/>
          <w:rtl/>
        </w:rPr>
        <w:t xml:space="preserve"> </w:t>
      </w:r>
      <w:r w:rsidRPr="002762FD">
        <w:rPr>
          <w:rStyle w:val="af7"/>
          <w:rFonts w:eastAsia="Guttman Hodes" w:hint="cs"/>
          <w:rtl/>
        </w:rPr>
        <w:t xml:space="preserve">(עי' אות </w:t>
      </w:r>
      <w:r w:rsidRPr="002762FD">
        <w:rPr>
          <w:rStyle w:val="af7"/>
          <w:rFonts w:eastAsia="Guttman Hodes"/>
          <w:rtl/>
        </w:rPr>
        <w:fldChar w:fldCharType="begin"/>
      </w:r>
      <w:r w:rsidRPr="002762FD">
        <w:rPr>
          <w:rStyle w:val="af7"/>
          <w:rFonts w:eastAsia="Guttman Hodes"/>
          <w:rtl/>
        </w:rPr>
        <w:instrText xml:space="preserve"> </w:instrText>
      </w:r>
      <w:r w:rsidRPr="002762FD">
        <w:rPr>
          <w:rStyle w:val="af7"/>
          <w:rFonts w:eastAsia="Guttman Hodes" w:hint="cs"/>
        </w:rPr>
        <w:instrText>REF</w:instrText>
      </w:r>
      <w:r w:rsidRPr="002762FD">
        <w:rPr>
          <w:rStyle w:val="af7"/>
          <w:rFonts w:eastAsia="Guttman Hodes" w:hint="cs"/>
          <w:rtl/>
        </w:rPr>
        <w:instrText xml:space="preserve"> _</w:instrText>
      </w:r>
      <w:r w:rsidRPr="002762FD">
        <w:rPr>
          <w:rStyle w:val="af7"/>
          <w:rFonts w:eastAsia="Guttman Hodes" w:hint="cs"/>
        </w:rPr>
        <w:instrText>Ref61378797 \r \h</w:instrText>
      </w:r>
      <w:r w:rsidRPr="002762FD">
        <w:rPr>
          <w:rStyle w:val="af7"/>
          <w:rFonts w:eastAsia="Guttman Hodes"/>
          <w:rtl/>
        </w:rPr>
        <w:instrText xml:space="preserve"> </w:instrText>
      </w:r>
      <w:r w:rsidRPr="002762FD">
        <w:rPr>
          <w:rStyle w:val="af7"/>
          <w:rFonts w:eastAsia="Guttman Hodes"/>
          <w:rtl/>
        </w:rPr>
      </w:r>
      <w:r w:rsidRPr="002762FD">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2762FD">
        <w:rPr>
          <w:rStyle w:val="af7"/>
          <w:rFonts w:eastAsia="Guttman Hodes"/>
          <w:rtl/>
        </w:rPr>
        <w:fldChar w:fldCharType="end"/>
      </w:r>
      <w:r>
        <w:rPr>
          <w:rFonts w:hint="cs"/>
          <w:rtl/>
        </w:rPr>
        <w:t xml:space="preserve"> דהוא מיגו למפרע ואינו נאמן, אלא ביאר ר"י דאיירי דאחר שעשאה סימן חזר והחזיק ג"ש, וקמ"ל דאף שהיה ערעור לפני החזקה, מ"מ אמרינן דאח"כ חזר וקנאה.</w:t>
      </w:r>
      <w:r w:rsidRPr="003818F3">
        <w:rPr>
          <w:rFonts w:hint="cs"/>
          <w:rtl/>
        </w:rPr>
        <w:t xml:space="preserve"> </w:t>
      </w:r>
      <w:r w:rsidRPr="003818F3">
        <w:rPr>
          <w:rStyle w:val="afb"/>
          <w:rFonts w:hint="cs"/>
          <w:rtl/>
        </w:rPr>
        <w:t xml:space="preserve">[ועי' </w:t>
      </w:r>
      <w:r w:rsidRPr="00F253BC">
        <w:rPr>
          <w:rStyle w:val="affa"/>
          <w:rFonts w:hint="cs"/>
          <w:rtl/>
        </w:rPr>
        <w:t xml:space="preserve">בקוב"ש </w:t>
      </w:r>
      <w:r w:rsidRPr="00F253BC">
        <w:rPr>
          <w:rStyle w:val="aff6"/>
          <w:rFonts w:hint="cs"/>
          <w:rtl/>
        </w:rPr>
        <w:t>(או'</w:t>
      </w:r>
      <w:r w:rsidRPr="003818F3">
        <w:rPr>
          <w:rStyle w:val="afb"/>
          <w:rFonts w:hint="cs"/>
          <w:rtl/>
        </w:rPr>
        <w:t xml:space="preserve"> </w:t>
      </w:r>
      <w:r w:rsidRPr="00F253BC">
        <w:rPr>
          <w:rStyle w:val="aff6"/>
          <w:rFonts w:hint="cs"/>
          <w:rtl/>
        </w:rPr>
        <w:t>ק"ט)</w:t>
      </w:r>
      <w:r w:rsidRPr="003818F3">
        <w:rPr>
          <w:rStyle w:val="afb"/>
          <w:rFonts w:hint="cs"/>
          <w:rtl/>
        </w:rPr>
        <w:t xml:space="preserve"> </w:t>
      </w:r>
      <w:r w:rsidRPr="00F253BC">
        <w:rPr>
          <w:rStyle w:val="affa"/>
          <w:rFonts w:hint="cs"/>
          <w:rtl/>
        </w:rPr>
        <w:t xml:space="preserve">ובשיעורי רבי שמואל </w:t>
      </w:r>
      <w:r w:rsidRPr="00F253BC">
        <w:rPr>
          <w:rStyle w:val="aff6"/>
          <w:rFonts w:hint="cs"/>
          <w:rtl/>
        </w:rPr>
        <w:t>(או' ל')</w:t>
      </w:r>
      <w:r>
        <w:rPr>
          <w:rStyle w:val="afb"/>
          <w:rFonts w:hint="cs"/>
          <w:rtl/>
        </w:rPr>
        <w:t xml:space="preserve"> </w:t>
      </w:r>
      <w:r w:rsidRPr="003818F3">
        <w:rPr>
          <w:rStyle w:val="afb"/>
          <w:rFonts w:hint="cs"/>
          <w:rtl/>
        </w:rPr>
        <w:t>דכתב</w:t>
      </w:r>
      <w:r>
        <w:rPr>
          <w:rStyle w:val="afb"/>
          <w:rFonts w:hint="cs"/>
          <w:rtl/>
        </w:rPr>
        <w:t>ו</w:t>
      </w:r>
      <w:r w:rsidRPr="003818F3">
        <w:rPr>
          <w:rStyle w:val="afb"/>
          <w:rFonts w:hint="cs"/>
          <w:rtl/>
        </w:rPr>
        <w:t xml:space="preserve"> דאין כל ראיה </w:t>
      </w:r>
      <w:r w:rsidRPr="00F253BC">
        <w:rPr>
          <w:rStyle w:val="affa"/>
          <w:rFonts w:hint="cs"/>
          <w:rtl/>
        </w:rPr>
        <w:t>מרש"י בכתובות</w:t>
      </w:r>
      <w:r w:rsidRPr="003818F3">
        <w:rPr>
          <w:rStyle w:val="afb"/>
          <w:rFonts w:hint="cs"/>
          <w:rtl/>
        </w:rPr>
        <w:t xml:space="preserve">, דהתם איירי בדין הפה שאסר, ולכן ס"ל דמהני אף למפרע, וכתב </w:t>
      </w:r>
      <w:r w:rsidRPr="00F253BC">
        <w:rPr>
          <w:rStyle w:val="affa"/>
          <w:rFonts w:hint="cs"/>
          <w:rtl/>
        </w:rPr>
        <w:t xml:space="preserve">הקוב"ש </w:t>
      </w:r>
      <w:r w:rsidRPr="003818F3">
        <w:rPr>
          <w:rStyle w:val="afb"/>
          <w:rFonts w:hint="cs"/>
          <w:rtl/>
        </w:rPr>
        <w:t xml:space="preserve">דאפש"ל </w:t>
      </w:r>
      <w:r w:rsidRPr="00F253BC">
        <w:rPr>
          <w:rStyle w:val="affa"/>
          <w:rFonts w:hint="cs"/>
          <w:rtl/>
        </w:rPr>
        <w:t>דהתוס'</w:t>
      </w:r>
      <w:r w:rsidRPr="003818F3">
        <w:rPr>
          <w:rStyle w:val="afb"/>
          <w:rFonts w:hint="cs"/>
          <w:rtl/>
        </w:rPr>
        <w:t xml:space="preserve"> ס"ל דהפה שאסר הוא מדין מיגו</w:t>
      </w:r>
      <w:r>
        <w:rPr>
          <w:rStyle w:val="afb"/>
          <w:rFonts w:hint="cs"/>
          <w:rtl/>
        </w:rPr>
        <w:t xml:space="preserve">, וע"ע במ"ש בזה </w:t>
      </w:r>
      <w:r w:rsidRPr="00F253BC">
        <w:rPr>
          <w:rStyle w:val="affa"/>
          <w:rFonts w:hint="cs"/>
          <w:rtl/>
        </w:rPr>
        <w:t xml:space="preserve">בשיעורי רבי שמואל ובחי' רבי נחום </w:t>
      </w:r>
      <w:r w:rsidRPr="00F253BC">
        <w:rPr>
          <w:rStyle w:val="aff6"/>
          <w:rFonts w:hint="cs"/>
          <w:rtl/>
        </w:rPr>
        <w:t>(או' ס"ח)</w:t>
      </w:r>
      <w:r w:rsidRPr="003818F3">
        <w:rPr>
          <w:rStyle w:val="afb"/>
          <w:rFonts w:hint="cs"/>
          <w:rtl/>
        </w:rPr>
        <w:t>].</w:t>
      </w:r>
      <w:bookmarkEnd w:id="11646"/>
    </w:p>
    <w:p w:rsidR="005306EB" w:rsidRDefault="005306EB" w:rsidP="005306EB">
      <w:pPr>
        <w:pStyle w:val="a3"/>
        <w:rPr>
          <w:rtl/>
        </w:rPr>
      </w:pPr>
      <w:bookmarkStart w:id="11647" w:name="_Toc61438675"/>
      <w:bookmarkStart w:id="11648" w:name="_Toc61469404"/>
      <w:bookmarkStart w:id="11649" w:name="_Toc61509782"/>
      <w:r>
        <w:rPr>
          <w:rFonts w:hint="cs"/>
          <w:rtl/>
        </w:rPr>
        <w:t>דברי הכנה"ג דלרש"י מהני מיגו למפרע ודברי התומים דהיינו רק כשמפרש את דבריו</w:t>
      </w:r>
      <w:bookmarkEnd w:id="11647"/>
      <w:bookmarkEnd w:id="11648"/>
      <w:bookmarkEnd w:id="11649"/>
    </w:p>
    <w:p w:rsidR="005306EB" w:rsidRDefault="005306EB" w:rsidP="007E4E81">
      <w:pPr>
        <w:pStyle w:val="a0"/>
        <w:rPr>
          <w:rStyle w:val="afb"/>
          <w:sz w:val="18"/>
          <w:szCs w:val="18"/>
          <w:rtl/>
        </w:rPr>
      </w:pPr>
      <w:bookmarkStart w:id="11650" w:name="_Ref61508871"/>
      <w:r>
        <w:rPr>
          <w:rFonts w:hint="cs"/>
          <w:rtl/>
        </w:rPr>
        <w:t xml:space="preserve">וכתב </w:t>
      </w:r>
      <w:r w:rsidRPr="008A6FA3">
        <w:rPr>
          <w:rStyle w:val="af9"/>
          <w:rFonts w:hint="cs"/>
          <w:rtl/>
        </w:rPr>
        <w:t>הכנה"ג</w:t>
      </w:r>
      <w:r>
        <w:rPr>
          <w:rFonts w:hint="cs"/>
          <w:rtl/>
        </w:rPr>
        <w:t xml:space="preserve"> </w:t>
      </w:r>
      <w:r w:rsidRPr="005E545A">
        <w:rPr>
          <w:rStyle w:val="af7"/>
          <w:rFonts w:eastAsia="Guttman Hodes" w:hint="cs"/>
          <w:rtl/>
        </w:rPr>
        <w:t>(הג' טור סי' פ"ב ס"ק קס"א)</w:t>
      </w:r>
      <w:r>
        <w:rPr>
          <w:rFonts w:hint="cs"/>
          <w:rtl/>
        </w:rPr>
        <w:t xml:space="preserve"> דמבואר מדברי</w:t>
      </w:r>
      <w:r w:rsidRPr="008A6FA3">
        <w:rPr>
          <w:rStyle w:val="af9"/>
          <w:rFonts w:hint="cs"/>
          <w:rtl/>
        </w:rPr>
        <w:t xml:space="preserve"> רש"י</w:t>
      </w:r>
      <w:r>
        <w:rPr>
          <w:rFonts w:hint="cs"/>
          <w:rtl/>
        </w:rPr>
        <w:t xml:space="preserve"> </w:t>
      </w:r>
      <w:r w:rsidRPr="008A6FA3">
        <w:rPr>
          <w:rStyle w:val="af9"/>
          <w:rFonts w:hint="cs"/>
          <w:rtl/>
        </w:rPr>
        <w:t>בכתובות</w:t>
      </w:r>
      <w:r>
        <w:rPr>
          <w:rFonts w:hint="cs"/>
          <w:rtl/>
        </w:rPr>
        <w:t xml:space="preserve"> </w:t>
      </w:r>
      <w:r w:rsidRPr="00923175">
        <w:rPr>
          <w:rStyle w:val="af7"/>
          <w:rFonts w:eastAsia="Guttman Hodes" w:hint="cs"/>
          <w:rtl/>
        </w:rPr>
        <w:t xml:space="preserve">(עי' אות </w:t>
      </w:r>
      <w:r w:rsidRPr="00923175">
        <w:rPr>
          <w:rStyle w:val="af7"/>
          <w:rFonts w:eastAsia="Guttman Hodes"/>
          <w:rtl/>
        </w:rPr>
        <w:fldChar w:fldCharType="begin"/>
      </w:r>
      <w:r w:rsidRPr="00923175">
        <w:rPr>
          <w:rStyle w:val="af7"/>
          <w:rFonts w:eastAsia="Guttman Hodes"/>
          <w:rtl/>
        </w:rPr>
        <w:instrText xml:space="preserve"> </w:instrText>
      </w:r>
      <w:r w:rsidRPr="00923175">
        <w:rPr>
          <w:rStyle w:val="af7"/>
          <w:rFonts w:eastAsia="Guttman Hodes" w:hint="cs"/>
        </w:rPr>
        <w:instrText>REF</w:instrText>
      </w:r>
      <w:r w:rsidRPr="00923175">
        <w:rPr>
          <w:rStyle w:val="af7"/>
          <w:rFonts w:eastAsia="Guttman Hodes" w:hint="cs"/>
          <w:rtl/>
        </w:rPr>
        <w:instrText xml:space="preserve"> _</w:instrText>
      </w:r>
      <w:r w:rsidRPr="00923175">
        <w:rPr>
          <w:rStyle w:val="af7"/>
          <w:rFonts w:eastAsia="Guttman Hodes" w:hint="cs"/>
        </w:rPr>
        <w:instrText>Ref61383333 \r \h</w:instrText>
      </w:r>
      <w:r w:rsidRPr="00923175">
        <w:rPr>
          <w:rStyle w:val="af7"/>
          <w:rFonts w:eastAsia="Guttman Hodes"/>
          <w:rtl/>
        </w:rPr>
        <w:instrText xml:space="preserve"> </w:instrText>
      </w:r>
      <w:r w:rsidRPr="00923175">
        <w:rPr>
          <w:rStyle w:val="af7"/>
          <w:rFonts w:eastAsia="Guttman Hodes"/>
          <w:rtl/>
        </w:rPr>
      </w:r>
      <w:r w:rsidRPr="00923175">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923175">
        <w:rPr>
          <w:rStyle w:val="af7"/>
          <w:rFonts w:eastAsia="Guttman Hodes"/>
          <w:rtl/>
        </w:rPr>
        <w:fldChar w:fldCharType="end"/>
      </w:r>
      <w:r>
        <w:rPr>
          <w:rFonts w:hint="cs"/>
          <w:rtl/>
        </w:rPr>
        <w:t xml:space="preserve"> דמיגו למפרע אמרינן, אך כתב </w:t>
      </w:r>
      <w:r w:rsidRPr="008A6FA3">
        <w:rPr>
          <w:rStyle w:val="af9"/>
          <w:rFonts w:hint="cs"/>
          <w:rtl/>
        </w:rPr>
        <w:t>התומים</w:t>
      </w:r>
      <w:r>
        <w:rPr>
          <w:rFonts w:hint="cs"/>
          <w:rtl/>
        </w:rPr>
        <w:t xml:space="preserve"> </w:t>
      </w:r>
      <w:r w:rsidRPr="008A6FA3">
        <w:rPr>
          <w:rStyle w:val="af9"/>
          <w:rFonts w:hint="cs"/>
          <w:rtl/>
        </w:rPr>
        <w:t>בכללי מיגו</w:t>
      </w:r>
      <w:r>
        <w:rPr>
          <w:rFonts w:hint="cs"/>
          <w:rtl/>
        </w:rPr>
        <w:t xml:space="preserve"> </w:t>
      </w:r>
      <w:r w:rsidRPr="005E545A">
        <w:rPr>
          <w:rStyle w:val="af7"/>
          <w:rFonts w:eastAsia="Guttman Hodes" w:hint="cs"/>
          <w:rtl/>
        </w:rPr>
        <w:t>(סו"ס פ"ב או' ק"ט ד"ה ונראה)</w:t>
      </w:r>
      <w:r>
        <w:rPr>
          <w:rFonts w:hint="cs"/>
          <w:rtl/>
        </w:rPr>
        <w:t xml:space="preserve"> דאף לדעת </w:t>
      </w:r>
      <w:r w:rsidRPr="008A6FA3">
        <w:rPr>
          <w:rStyle w:val="af9"/>
          <w:rFonts w:hint="cs"/>
          <w:rtl/>
        </w:rPr>
        <w:t>רש"י</w:t>
      </w:r>
      <w:r>
        <w:rPr>
          <w:rFonts w:hint="cs"/>
          <w:rtl/>
        </w:rPr>
        <w:t xml:space="preserve"> כ"מ דמהני מיגו למפרע, הוא רק כשמפרש את דבריו, ואומר שזו הייתה כוונתו בתחילת דבריו. </w:t>
      </w:r>
      <w:r w:rsidRPr="00923175">
        <w:rPr>
          <w:rStyle w:val="afb"/>
          <w:rFonts w:hint="cs"/>
          <w:rtl/>
        </w:rPr>
        <w:t xml:space="preserve">[כדביאר </w:t>
      </w:r>
      <w:r w:rsidRPr="00923175">
        <w:rPr>
          <w:rStyle w:val="affa"/>
          <w:rFonts w:hint="cs"/>
          <w:rtl/>
        </w:rPr>
        <w:t>התומים</w:t>
      </w:r>
      <w:r w:rsidRPr="00923175">
        <w:rPr>
          <w:rStyle w:val="afb"/>
          <w:rFonts w:hint="cs"/>
          <w:rtl/>
        </w:rPr>
        <w:t xml:space="preserve"> </w:t>
      </w:r>
      <w:r w:rsidRPr="00923175">
        <w:rPr>
          <w:rStyle w:val="aff6"/>
          <w:rFonts w:hint="cs"/>
          <w:rtl/>
        </w:rPr>
        <w:t xml:space="preserve">(עי' אות </w:t>
      </w:r>
      <w:r w:rsidRPr="00923175">
        <w:rPr>
          <w:rStyle w:val="aff6"/>
          <w:rtl/>
        </w:rPr>
        <w:fldChar w:fldCharType="begin"/>
      </w:r>
      <w:r w:rsidRPr="00923175">
        <w:rPr>
          <w:rStyle w:val="aff6"/>
          <w:rtl/>
        </w:rPr>
        <w:instrText xml:space="preserve"> </w:instrText>
      </w:r>
      <w:r w:rsidRPr="00923175">
        <w:rPr>
          <w:rStyle w:val="aff6"/>
          <w:rFonts w:hint="cs"/>
        </w:rPr>
        <w:instrText>REF</w:instrText>
      </w:r>
      <w:r w:rsidRPr="00923175">
        <w:rPr>
          <w:rStyle w:val="aff6"/>
          <w:rFonts w:hint="cs"/>
          <w:rtl/>
        </w:rPr>
        <w:instrText xml:space="preserve"> _</w:instrText>
      </w:r>
      <w:r w:rsidRPr="00923175">
        <w:rPr>
          <w:rStyle w:val="aff6"/>
          <w:rFonts w:hint="cs"/>
        </w:rPr>
        <w:instrText>Ref61383360 \r \h</w:instrText>
      </w:r>
      <w:r w:rsidRPr="00923175">
        <w:rPr>
          <w:rStyle w:val="aff6"/>
          <w:rtl/>
        </w:rPr>
        <w:instrText xml:space="preserve"> </w:instrText>
      </w:r>
      <w:r w:rsidRPr="00923175">
        <w:rPr>
          <w:rStyle w:val="aff6"/>
          <w:rtl/>
        </w:rPr>
      </w:r>
      <w:r w:rsidRPr="00923175">
        <w:rPr>
          <w:rStyle w:val="aff6"/>
          <w:rtl/>
        </w:rPr>
        <w:fldChar w:fldCharType="separate"/>
      </w:r>
      <w:r w:rsidR="00265073">
        <w:rPr>
          <w:rStyle w:val="aff6"/>
          <w:cs/>
        </w:rPr>
        <w:t>‎</w:t>
      </w:r>
      <w:r w:rsidR="00265073">
        <w:rPr>
          <w:rStyle w:val="aff6"/>
          <w:rtl/>
        </w:rPr>
        <w:t>נד)</w:t>
      </w:r>
      <w:r w:rsidRPr="00923175">
        <w:rPr>
          <w:rStyle w:val="aff6"/>
          <w:rtl/>
        </w:rPr>
        <w:fldChar w:fldCharType="end"/>
      </w:r>
      <w:r w:rsidRPr="00923175">
        <w:rPr>
          <w:rStyle w:val="afb"/>
          <w:rFonts w:hint="cs"/>
          <w:rtl/>
        </w:rPr>
        <w:t xml:space="preserve"> בדעת </w:t>
      </w:r>
      <w:r w:rsidRPr="00923175">
        <w:rPr>
          <w:rStyle w:val="affa"/>
          <w:rFonts w:hint="cs"/>
          <w:rtl/>
        </w:rPr>
        <w:t>הרא"ש</w:t>
      </w:r>
      <w:r w:rsidRPr="00923175">
        <w:rPr>
          <w:rStyle w:val="afb"/>
          <w:rFonts w:hint="cs"/>
          <w:rtl/>
        </w:rPr>
        <w:t>]</w:t>
      </w:r>
      <w:r>
        <w:rPr>
          <w:rStyle w:val="afb"/>
          <w:rFonts w:hint="cs"/>
          <w:rtl/>
        </w:rPr>
        <w:t>.</w:t>
      </w:r>
      <w:bookmarkEnd w:id="11650"/>
    </w:p>
    <w:p w:rsidR="005306EB" w:rsidRPr="009A044F" w:rsidRDefault="005306EB" w:rsidP="005306EB">
      <w:pPr>
        <w:pStyle w:val="a3"/>
      </w:pPr>
      <w:bookmarkStart w:id="11651" w:name="_Toc61438676"/>
      <w:bookmarkStart w:id="11652" w:name="_Toc61469405"/>
      <w:bookmarkStart w:id="11653" w:name="_Toc61509783"/>
      <w:r>
        <w:rPr>
          <w:rFonts w:hint="cs"/>
          <w:rtl/>
        </w:rPr>
        <w:t>ביאור הרא"ה ברש"י בכתובות דבעשאה סימן לא חשיב מיגו למפרע דמפרש כוונתו בשטר</w:t>
      </w:r>
      <w:bookmarkEnd w:id="11651"/>
      <w:bookmarkEnd w:id="11652"/>
      <w:bookmarkEnd w:id="11653"/>
    </w:p>
    <w:p w:rsidR="005306EB" w:rsidRPr="009065DE" w:rsidRDefault="005306EB" w:rsidP="007E4E81">
      <w:pPr>
        <w:pStyle w:val="a0"/>
        <w:rPr>
          <w:rtl/>
        </w:rPr>
      </w:pPr>
      <w:bookmarkStart w:id="11654" w:name="_Ref61508876"/>
      <w:r>
        <w:rPr>
          <w:rFonts w:hint="cs"/>
          <w:rtl/>
        </w:rPr>
        <w:t xml:space="preserve">והביא </w:t>
      </w:r>
      <w:r w:rsidRPr="00923175">
        <w:rPr>
          <w:rStyle w:val="af9"/>
          <w:rFonts w:hint="cs"/>
          <w:rtl/>
        </w:rPr>
        <w:t>התומים</w:t>
      </w:r>
      <w:r>
        <w:rPr>
          <w:rFonts w:hint="cs"/>
          <w:rtl/>
        </w:rPr>
        <w:t xml:space="preserve"> את דברי </w:t>
      </w:r>
      <w:r w:rsidRPr="008A6FA3">
        <w:rPr>
          <w:rStyle w:val="af9"/>
          <w:rFonts w:hint="cs"/>
          <w:rtl/>
        </w:rPr>
        <w:t>הריטב"א</w:t>
      </w:r>
      <w:r>
        <w:rPr>
          <w:rFonts w:hint="cs"/>
          <w:rtl/>
        </w:rPr>
        <w:t xml:space="preserve"> </w:t>
      </w:r>
      <w:r w:rsidRPr="008A6FA3">
        <w:rPr>
          <w:rStyle w:val="af9"/>
          <w:rFonts w:hint="cs"/>
          <w:rtl/>
        </w:rPr>
        <w:t>בכתובות</w:t>
      </w:r>
      <w:r>
        <w:rPr>
          <w:rFonts w:hint="cs"/>
          <w:rtl/>
        </w:rPr>
        <w:t xml:space="preserve"> </w:t>
      </w:r>
      <w:r w:rsidRPr="005E545A">
        <w:rPr>
          <w:rStyle w:val="af7"/>
          <w:rFonts w:eastAsia="Guttman Hodes" w:hint="cs"/>
          <w:rtl/>
        </w:rPr>
        <w:t>(קט: ד"ה ומורי)</w:t>
      </w:r>
      <w:r>
        <w:rPr>
          <w:rFonts w:hint="cs"/>
          <w:rtl/>
        </w:rPr>
        <w:t xml:space="preserve"> דהביא את דברי </w:t>
      </w:r>
      <w:r w:rsidRPr="008A6FA3">
        <w:rPr>
          <w:rStyle w:val="af9"/>
          <w:rFonts w:hint="cs"/>
          <w:rtl/>
        </w:rPr>
        <w:t>הרא"ה</w:t>
      </w:r>
      <w:r>
        <w:rPr>
          <w:rFonts w:hint="cs"/>
          <w:rtl/>
        </w:rPr>
        <w:t xml:space="preserve"> דכתב דלדעת </w:t>
      </w:r>
      <w:r w:rsidRPr="008A6FA3">
        <w:rPr>
          <w:rStyle w:val="af9"/>
          <w:rFonts w:hint="cs"/>
          <w:rtl/>
        </w:rPr>
        <w:t>רש"י</w:t>
      </w:r>
      <w:r>
        <w:rPr>
          <w:rFonts w:hint="cs"/>
          <w:rtl/>
        </w:rPr>
        <w:t xml:space="preserve"> בעשאה סימן לאחר טוען המחזיק דמה שעשאה סימן הוא כיון שבתחילה הייתה שלו, והיא נקראת על שמו, אעפ"י שאח"כ הוא קנאה ממנו, וא"כ אי"ז נחשב כמיגו למפרע.</w:t>
      </w:r>
      <w:bookmarkEnd w:id="11654"/>
      <w:r>
        <w:rPr>
          <w:rFonts w:hint="cs"/>
          <w:rtl/>
        </w:rPr>
        <w:t xml:space="preserve"> </w:t>
      </w:r>
    </w:p>
    <w:p w:rsidR="005306EB" w:rsidRDefault="005306EB" w:rsidP="005306EB">
      <w:pPr>
        <w:pStyle w:val="1"/>
        <w:rPr>
          <w:rtl/>
        </w:rPr>
      </w:pPr>
      <w:bookmarkStart w:id="11655" w:name="_Toc61438677"/>
      <w:bookmarkStart w:id="11656" w:name="_Toc61469406"/>
      <w:bookmarkStart w:id="11657" w:name="_Toc61509784"/>
      <w:r>
        <w:rPr>
          <w:rFonts w:hint="cs"/>
          <w:rtl/>
        </w:rPr>
        <w:t>ביאור החת"ס ברשב"ם דס"ל כרש"י דמיגו למפרע אמרינן</w:t>
      </w:r>
      <w:bookmarkEnd w:id="11655"/>
      <w:bookmarkEnd w:id="11656"/>
      <w:bookmarkEnd w:id="11657"/>
    </w:p>
    <w:p w:rsidR="005306EB" w:rsidRPr="00DF03E0" w:rsidRDefault="005306EB" w:rsidP="005306EB">
      <w:pPr>
        <w:pStyle w:val="a3"/>
        <w:rPr>
          <w:rtl/>
        </w:rPr>
      </w:pPr>
      <w:bookmarkStart w:id="11658" w:name="_Toc61469407"/>
      <w:bookmarkStart w:id="11659" w:name="_Toc61509785"/>
      <w:r>
        <w:rPr>
          <w:rFonts w:hint="cs"/>
          <w:rtl/>
        </w:rPr>
        <w:t>דברי החת"ס דלרשב"ם אחר שדנו ב"ד בטענותיו</w:t>
      </w:r>
      <w:r w:rsidRPr="0067619E">
        <w:rPr>
          <w:rFonts w:hint="cs"/>
          <w:rtl/>
        </w:rPr>
        <w:t xml:space="preserve"> </w:t>
      </w:r>
      <w:r>
        <w:rPr>
          <w:rFonts w:hint="cs"/>
          <w:rtl/>
        </w:rPr>
        <w:t>אמרינן מיגו למפרע ולקמן אין מיגו עם טענינן</w:t>
      </w:r>
      <w:bookmarkEnd w:id="11658"/>
      <w:bookmarkEnd w:id="11659"/>
    </w:p>
    <w:p w:rsidR="005306EB" w:rsidRDefault="005306EB" w:rsidP="007E4E81">
      <w:pPr>
        <w:pStyle w:val="a0"/>
        <w:rPr>
          <w:rtl/>
        </w:rPr>
      </w:pPr>
      <w:bookmarkStart w:id="11660" w:name="_Ref61508939"/>
      <w:r>
        <w:rPr>
          <w:rFonts w:hint="cs"/>
          <w:rtl/>
        </w:rPr>
        <w:t xml:space="preserve">במה שהקשו </w:t>
      </w:r>
      <w:r w:rsidRPr="00C85566">
        <w:rPr>
          <w:rStyle w:val="af9"/>
          <w:rFonts w:hint="cs"/>
          <w:rtl/>
        </w:rPr>
        <w:t>התוס'</w:t>
      </w:r>
      <w:r>
        <w:rPr>
          <w:rFonts w:hint="cs"/>
          <w:rtl/>
        </w:rPr>
        <w:t xml:space="preserve"> </w:t>
      </w:r>
      <w:r w:rsidRPr="00F5133D">
        <w:rPr>
          <w:rStyle w:val="af7"/>
          <w:rFonts w:eastAsia="Guttman Hodes" w:hint="cs"/>
          <w:rtl/>
        </w:rPr>
        <w:t xml:space="preserve">(עי' אות </w:t>
      </w:r>
      <w:r w:rsidRPr="00F5133D">
        <w:rPr>
          <w:rStyle w:val="af7"/>
          <w:rFonts w:eastAsia="Guttman Hodes"/>
          <w:rtl/>
        </w:rPr>
        <w:fldChar w:fldCharType="begin"/>
      </w:r>
      <w:r w:rsidRPr="00F5133D">
        <w:rPr>
          <w:rStyle w:val="af7"/>
          <w:rFonts w:eastAsia="Guttman Hodes"/>
          <w:rtl/>
        </w:rPr>
        <w:instrText xml:space="preserve"> </w:instrText>
      </w:r>
      <w:r w:rsidRPr="00F5133D">
        <w:rPr>
          <w:rStyle w:val="af7"/>
          <w:rFonts w:eastAsia="Guttman Hodes" w:hint="cs"/>
        </w:rPr>
        <w:instrText>REF</w:instrText>
      </w:r>
      <w:r w:rsidRPr="00F5133D">
        <w:rPr>
          <w:rStyle w:val="af7"/>
          <w:rFonts w:eastAsia="Guttman Hodes" w:hint="cs"/>
          <w:rtl/>
        </w:rPr>
        <w:instrText xml:space="preserve"> _</w:instrText>
      </w:r>
      <w:r w:rsidRPr="00F5133D">
        <w:rPr>
          <w:rStyle w:val="af7"/>
          <w:rFonts w:eastAsia="Guttman Hodes" w:hint="cs"/>
        </w:rPr>
        <w:instrText>Ref61383428 \r \h</w:instrText>
      </w:r>
      <w:r w:rsidRPr="00F5133D">
        <w:rPr>
          <w:rStyle w:val="af7"/>
          <w:rFonts w:eastAsia="Guttman Hodes"/>
          <w:rtl/>
        </w:rPr>
        <w:instrText xml:space="preserve"> </w:instrText>
      </w:r>
      <w:r w:rsidRPr="00F5133D">
        <w:rPr>
          <w:rStyle w:val="af7"/>
          <w:rFonts w:eastAsia="Guttman Hodes"/>
          <w:rtl/>
        </w:rPr>
      </w:r>
      <w:r w:rsidRPr="00F5133D">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F5133D">
        <w:rPr>
          <w:rStyle w:val="af7"/>
          <w:rFonts w:eastAsia="Guttman Hodes"/>
          <w:rtl/>
        </w:rPr>
        <w:fldChar w:fldCharType="end"/>
      </w:r>
      <w:r>
        <w:rPr>
          <w:rFonts w:hint="cs"/>
          <w:rtl/>
        </w:rPr>
        <w:t xml:space="preserve"> על </w:t>
      </w:r>
      <w:r w:rsidRPr="00C85566">
        <w:rPr>
          <w:rStyle w:val="af9"/>
          <w:rFonts w:hint="cs"/>
          <w:rtl/>
        </w:rPr>
        <w:t>הרשב"ם</w:t>
      </w:r>
      <w:r>
        <w:rPr>
          <w:rFonts w:hint="cs"/>
          <w:rtl/>
        </w:rPr>
        <w:t xml:space="preserve">, דאינו נאמן במיגו כיון דהוא מיגו למפרע, כתב </w:t>
      </w:r>
      <w:r>
        <w:rPr>
          <w:rStyle w:val="af9"/>
          <w:rFonts w:hint="cs"/>
          <w:rtl/>
        </w:rPr>
        <w:t>ה</w:t>
      </w:r>
      <w:r w:rsidRPr="00C85566">
        <w:rPr>
          <w:rStyle w:val="af9"/>
          <w:rFonts w:hint="cs"/>
          <w:rtl/>
        </w:rPr>
        <w:t>חת"ס</w:t>
      </w:r>
      <w:r>
        <w:rPr>
          <w:rFonts w:hint="cs"/>
          <w:rtl/>
        </w:rPr>
        <w:t xml:space="preserve"> </w:t>
      </w:r>
      <w:r w:rsidRPr="00FC3F3E">
        <w:rPr>
          <w:rStyle w:val="af7"/>
          <w:rFonts w:eastAsia="Guttman Hodes" w:hint="cs"/>
          <w:rtl/>
        </w:rPr>
        <w:t xml:space="preserve">(ד"ה ונ"ל) </w:t>
      </w:r>
      <w:r>
        <w:rPr>
          <w:rFonts w:hint="cs"/>
          <w:rtl/>
        </w:rPr>
        <w:t xml:space="preserve">דס"ל </w:t>
      </w:r>
      <w:r w:rsidRPr="00C85566">
        <w:rPr>
          <w:rStyle w:val="af9"/>
          <w:rFonts w:hint="cs"/>
          <w:rtl/>
        </w:rPr>
        <w:t>להרשב"ם</w:t>
      </w:r>
      <w:r>
        <w:rPr>
          <w:rFonts w:hint="cs"/>
          <w:rtl/>
        </w:rPr>
        <w:t xml:space="preserve"> כדעת </w:t>
      </w:r>
      <w:r w:rsidRPr="00C85566">
        <w:rPr>
          <w:rStyle w:val="af9"/>
          <w:rFonts w:hint="cs"/>
          <w:rtl/>
        </w:rPr>
        <w:t>רש"י</w:t>
      </w:r>
      <w:r>
        <w:rPr>
          <w:rFonts w:hint="cs"/>
          <w:rtl/>
        </w:rPr>
        <w:t xml:space="preserve"> </w:t>
      </w:r>
      <w:r w:rsidRPr="00C85566">
        <w:rPr>
          <w:rStyle w:val="af9"/>
          <w:rFonts w:hint="cs"/>
          <w:rtl/>
        </w:rPr>
        <w:t>בכתובות</w:t>
      </w:r>
      <w:r>
        <w:rPr>
          <w:rFonts w:hint="cs"/>
          <w:rtl/>
        </w:rPr>
        <w:t xml:space="preserve"> </w:t>
      </w:r>
      <w:r w:rsidRPr="00923175">
        <w:rPr>
          <w:rStyle w:val="af7"/>
          <w:rFonts w:eastAsia="Guttman Hodes" w:hint="cs"/>
          <w:rtl/>
        </w:rPr>
        <w:t xml:space="preserve">(עי' אות </w:t>
      </w:r>
      <w:r w:rsidRPr="00923175">
        <w:rPr>
          <w:rStyle w:val="af7"/>
          <w:rFonts w:eastAsia="Guttman Hodes"/>
          <w:rtl/>
        </w:rPr>
        <w:fldChar w:fldCharType="begin"/>
      </w:r>
      <w:r w:rsidRPr="00923175">
        <w:rPr>
          <w:rStyle w:val="af7"/>
          <w:rFonts w:eastAsia="Guttman Hodes"/>
          <w:rtl/>
        </w:rPr>
        <w:instrText xml:space="preserve"> </w:instrText>
      </w:r>
      <w:r w:rsidRPr="00923175">
        <w:rPr>
          <w:rStyle w:val="af7"/>
          <w:rFonts w:eastAsia="Guttman Hodes" w:hint="cs"/>
        </w:rPr>
        <w:instrText>REF</w:instrText>
      </w:r>
      <w:r w:rsidRPr="00923175">
        <w:rPr>
          <w:rStyle w:val="af7"/>
          <w:rFonts w:eastAsia="Guttman Hodes" w:hint="cs"/>
          <w:rtl/>
        </w:rPr>
        <w:instrText xml:space="preserve"> _</w:instrText>
      </w:r>
      <w:r w:rsidRPr="00923175">
        <w:rPr>
          <w:rStyle w:val="af7"/>
          <w:rFonts w:eastAsia="Guttman Hodes" w:hint="cs"/>
        </w:rPr>
        <w:instrText>Ref61383333 \r \h</w:instrText>
      </w:r>
      <w:r w:rsidRPr="00923175">
        <w:rPr>
          <w:rStyle w:val="af7"/>
          <w:rFonts w:eastAsia="Guttman Hodes"/>
          <w:rtl/>
        </w:rPr>
        <w:instrText xml:space="preserve"> </w:instrText>
      </w:r>
      <w:r w:rsidRPr="00923175">
        <w:rPr>
          <w:rStyle w:val="af7"/>
          <w:rFonts w:eastAsia="Guttman Hodes"/>
          <w:rtl/>
        </w:rPr>
      </w:r>
      <w:r w:rsidRPr="00923175">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923175">
        <w:rPr>
          <w:rStyle w:val="af7"/>
          <w:rFonts w:eastAsia="Guttman Hodes"/>
          <w:rtl/>
        </w:rPr>
        <w:fldChar w:fldCharType="end"/>
      </w:r>
      <w:r>
        <w:rPr>
          <w:rFonts w:hint="cs"/>
          <w:rtl/>
        </w:rPr>
        <w:t xml:space="preserve"> דאמרינן מיגו למפרע, </w:t>
      </w:r>
      <w:r w:rsidRPr="0067619E">
        <w:rPr>
          <w:rStyle w:val="afb"/>
          <w:rFonts w:hint="cs"/>
          <w:rtl/>
        </w:rPr>
        <w:t xml:space="preserve">[והא דבגמ' בסנהדרין לא אמרינן מיגו דאי בעי קלתיה, הוא כדביאר </w:t>
      </w:r>
      <w:r w:rsidRPr="0067619E">
        <w:rPr>
          <w:rStyle w:val="affa"/>
          <w:rFonts w:hint="cs"/>
          <w:rtl/>
        </w:rPr>
        <w:t>רש"י בסנהדרין</w:t>
      </w:r>
      <w:r w:rsidRPr="0067619E">
        <w:rPr>
          <w:rStyle w:val="afb"/>
          <w:rFonts w:hint="cs"/>
          <w:rtl/>
        </w:rPr>
        <w:t xml:space="preserve"> </w:t>
      </w:r>
      <w:r w:rsidRPr="0067619E">
        <w:rPr>
          <w:rStyle w:val="aff6"/>
          <w:rFonts w:hint="cs"/>
          <w:rtl/>
        </w:rPr>
        <w:t xml:space="preserve">(עי' אות </w:t>
      </w:r>
      <w:r w:rsidRPr="0067619E">
        <w:rPr>
          <w:rStyle w:val="aff6"/>
          <w:rtl/>
        </w:rPr>
        <w:fldChar w:fldCharType="begin"/>
      </w:r>
      <w:r w:rsidRPr="0067619E">
        <w:rPr>
          <w:rStyle w:val="aff6"/>
          <w:rtl/>
        </w:rPr>
        <w:instrText xml:space="preserve"> </w:instrText>
      </w:r>
      <w:r w:rsidRPr="0067619E">
        <w:rPr>
          <w:rStyle w:val="aff6"/>
          <w:rFonts w:hint="cs"/>
        </w:rPr>
        <w:instrText>REF</w:instrText>
      </w:r>
      <w:r w:rsidRPr="0067619E">
        <w:rPr>
          <w:rStyle w:val="aff6"/>
          <w:rFonts w:hint="cs"/>
          <w:rtl/>
        </w:rPr>
        <w:instrText xml:space="preserve"> _</w:instrText>
      </w:r>
      <w:r w:rsidRPr="0067619E">
        <w:rPr>
          <w:rStyle w:val="aff6"/>
          <w:rFonts w:hint="cs"/>
        </w:rPr>
        <w:instrText>Ref61175926 \r \h</w:instrText>
      </w:r>
      <w:r w:rsidRPr="0067619E">
        <w:rPr>
          <w:rStyle w:val="aff6"/>
          <w:rtl/>
        </w:rPr>
        <w:instrText xml:space="preserve">  \* </w:instrText>
      </w:r>
      <w:r w:rsidRPr="0067619E">
        <w:rPr>
          <w:rStyle w:val="aff6"/>
        </w:rPr>
        <w:instrText>MERGEFORMAT</w:instrText>
      </w:r>
      <w:r w:rsidRPr="0067619E">
        <w:rPr>
          <w:rStyle w:val="aff6"/>
          <w:rtl/>
        </w:rPr>
        <w:instrText xml:space="preserve"> </w:instrText>
      </w:r>
      <w:r w:rsidRPr="0067619E">
        <w:rPr>
          <w:rStyle w:val="aff6"/>
          <w:rtl/>
        </w:rPr>
      </w:r>
      <w:r w:rsidRPr="0067619E">
        <w:rPr>
          <w:rStyle w:val="aff6"/>
          <w:rtl/>
        </w:rPr>
        <w:fldChar w:fldCharType="separate"/>
      </w:r>
      <w:r w:rsidR="00265073">
        <w:rPr>
          <w:rStyle w:val="aff6"/>
          <w:cs/>
        </w:rPr>
        <w:t>‎</w:t>
      </w:r>
      <w:r w:rsidR="00265073">
        <w:rPr>
          <w:rStyle w:val="aff6"/>
          <w:rtl/>
        </w:rPr>
        <w:t>ו)</w:t>
      </w:r>
      <w:r w:rsidRPr="0067619E">
        <w:rPr>
          <w:rStyle w:val="aff6"/>
          <w:rtl/>
        </w:rPr>
        <w:fldChar w:fldCharType="end"/>
      </w:r>
      <w:r w:rsidRPr="0067619E">
        <w:rPr>
          <w:rStyle w:val="afb"/>
          <w:rFonts w:hint="cs"/>
          <w:rtl/>
        </w:rPr>
        <w:t xml:space="preserve"> דהוחזק בב"ד היינו שהשטר מקוים], </w:t>
      </w:r>
      <w:r>
        <w:rPr>
          <w:rFonts w:hint="cs"/>
          <w:rtl/>
        </w:rPr>
        <w:t xml:space="preserve">וביאר </w:t>
      </w:r>
      <w:r w:rsidRPr="00C85566">
        <w:rPr>
          <w:rStyle w:val="af9"/>
          <w:rFonts w:hint="cs"/>
          <w:rtl/>
        </w:rPr>
        <w:t>החת"ס</w:t>
      </w:r>
      <w:r>
        <w:rPr>
          <w:rFonts w:hint="cs"/>
          <w:rtl/>
        </w:rPr>
        <w:t xml:space="preserve"> דס"ל </w:t>
      </w:r>
      <w:r w:rsidRPr="00C85566">
        <w:rPr>
          <w:rStyle w:val="af9"/>
          <w:rFonts w:hint="cs"/>
          <w:rtl/>
        </w:rPr>
        <w:t>לרש"י ורשב"ם</w:t>
      </w:r>
      <w:r>
        <w:rPr>
          <w:rFonts w:hint="cs"/>
          <w:rtl/>
        </w:rPr>
        <w:t xml:space="preserve"> דכל שדנו בב"ד בטענותיו מהני אף מיגו למפרע, והא דהוכיחו </w:t>
      </w:r>
      <w:r w:rsidRPr="00C85566">
        <w:rPr>
          <w:rStyle w:val="af9"/>
          <w:rFonts w:hint="cs"/>
          <w:rtl/>
        </w:rPr>
        <w:t>התוס'</w:t>
      </w:r>
      <w:r>
        <w:rPr>
          <w:rFonts w:hint="cs"/>
          <w:rtl/>
        </w:rPr>
        <w:t xml:space="preserve"> </w:t>
      </w:r>
      <w:r w:rsidRPr="00F5133D">
        <w:rPr>
          <w:rStyle w:val="af7"/>
          <w:rFonts w:eastAsia="Guttman Hodes" w:hint="cs"/>
          <w:rtl/>
        </w:rPr>
        <w:t xml:space="preserve">(עי' אות </w:t>
      </w:r>
      <w:r w:rsidRPr="00F5133D">
        <w:rPr>
          <w:rStyle w:val="af7"/>
          <w:rFonts w:eastAsia="Guttman Hodes"/>
          <w:rtl/>
        </w:rPr>
        <w:fldChar w:fldCharType="begin"/>
      </w:r>
      <w:r w:rsidRPr="00F5133D">
        <w:rPr>
          <w:rStyle w:val="af7"/>
          <w:rFonts w:eastAsia="Guttman Hodes"/>
          <w:rtl/>
        </w:rPr>
        <w:instrText xml:space="preserve"> </w:instrText>
      </w:r>
      <w:r w:rsidRPr="00F5133D">
        <w:rPr>
          <w:rStyle w:val="af7"/>
          <w:rFonts w:eastAsia="Guttman Hodes" w:hint="cs"/>
        </w:rPr>
        <w:instrText>REF</w:instrText>
      </w:r>
      <w:r w:rsidRPr="00F5133D">
        <w:rPr>
          <w:rStyle w:val="af7"/>
          <w:rFonts w:eastAsia="Guttman Hodes" w:hint="cs"/>
          <w:rtl/>
        </w:rPr>
        <w:instrText xml:space="preserve"> _</w:instrText>
      </w:r>
      <w:r w:rsidRPr="00F5133D">
        <w:rPr>
          <w:rStyle w:val="af7"/>
          <w:rFonts w:eastAsia="Guttman Hodes" w:hint="cs"/>
        </w:rPr>
        <w:instrText>Ref61345702 \r \h</w:instrText>
      </w:r>
      <w:r w:rsidRPr="00F5133D">
        <w:rPr>
          <w:rStyle w:val="af7"/>
          <w:rFonts w:eastAsia="Guttman Hodes"/>
          <w:rtl/>
        </w:rPr>
        <w:instrText xml:space="preserve"> </w:instrText>
      </w:r>
      <w:r w:rsidRPr="00F5133D">
        <w:rPr>
          <w:rStyle w:val="af7"/>
          <w:rFonts w:eastAsia="Guttman Hodes"/>
          <w:rtl/>
        </w:rPr>
      </w:r>
      <w:r w:rsidRPr="00F5133D">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F5133D">
        <w:rPr>
          <w:rStyle w:val="af7"/>
          <w:rFonts w:eastAsia="Guttman Hodes"/>
          <w:rtl/>
        </w:rPr>
        <w:fldChar w:fldCharType="end"/>
      </w:r>
      <w:r>
        <w:rPr>
          <w:rFonts w:hint="cs"/>
          <w:rtl/>
        </w:rPr>
        <w:t xml:space="preserve"> מהגמ' לקמן </w:t>
      </w:r>
      <w:r w:rsidRPr="00504FAE">
        <w:rPr>
          <w:rStyle w:val="af7"/>
          <w:rFonts w:eastAsia="Guttman Hodes" w:hint="cs"/>
          <w:rtl/>
        </w:rPr>
        <w:t>(מא:)</w:t>
      </w:r>
      <w:r>
        <w:rPr>
          <w:rFonts w:hint="cs"/>
          <w:rtl/>
        </w:rPr>
        <w:t xml:space="preserve"> דמיגו למפרע לא אמרינן, מהא דמשמע מדברי רבי חייא דלא מהני טענת קמי דידי דר בה חד יומא בלא עדים, כתב </w:t>
      </w:r>
      <w:r w:rsidRPr="00C85566">
        <w:rPr>
          <w:rStyle w:val="af9"/>
          <w:rFonts w:hint="cs"/>
          <w:rtl/>
        </w:rPr>
        <w:t>החת"ס</w:t>
      </w:r>
      <w:r>
        <w:rPr>
          <w:rFonts w:hint="cs"/>
          <w:rtl/>
        </w:rPr>
        <w:t xml:space="preserve"> דס"ל </w:t>
      </w:r>
      <w:r w:rsidRPr="00C85566">
        <w:rPr>
          <w:rStyle w:val="af9"/>
          <w:rFonts w:hint="cs"/>
          <w:rtl/>
        </w:rPr>
        <w:t>להרשב"ם</w:t>
      </w:r>
      <w:r>
        <w:rPr>
          <w:rFonts w:hint="cs"/>
          <w:rtl/>
        </w:rPr>
        <w:t xml:space="preserve"> דאין משם ראיה דלדעת </w:t>
      </w:r>
      <w:r w:rsidRPr="0067619E">
        <w:rPr>
          <w:rStyle w:val="af9"/>
          <w:rFonts w:hint="cs"/>
          <w:rtl/>
        </w:rPr>
        <w:t>הרשב"ם</w:t>
      </w:r>
      <w:r>
        <w:rPr>
          <w:rFonts w:hint="cs"/>
          <w:rtl/>
        </w:rPr>
        <w:t xml:space="preserve"> לא אמרינן מיגו יחד עם טענינן, </w:t>
      </w:r>
      <w:r w:rsidRPr="00504FAE">
        <w:rPr>
          <w:rStyle w:val="afb"/>
          <w:rFonts w:hint="cs"/>
          <w:rtl/>
        </w:rPr>
        <w:t xml:space="preserve">[כדביאר </w:t>
      </w:r>
      <w:r w:rsidRPr="00504FAE">
        <w:rPr>
          <w:rStyle w:val="affa"/>
          <w:rFonts w:hint="cs"/>
          <w:rtl/>
        </w:rPr>
        <w:t>החת"ס</w:t>
      </w:r>
      <w:r w:rsidRPr="00504FAE">
        <w:rPr>
          <w:rStyle w:val="afb"/>
          <w:rFonts w:hint="cs"/>
          <w:rtl/>
        </w:rPr>
        <w:t xml:space="preserve"> </w:t>
      </w:r>
      <w:r w:rsidRPr="005E545A">
        <w:rPr>
          <w:rStyle w:val="aff6"/>
          <w:rFonts w:hint="cs"/>
          <w:rtl/>
        </w:rPr>
        <w:t>(ד"ה את, הובא בסימן י' אות ד')</w:t>
      </w:r>
      <w:r w:rsidRPr="00504FAE">
        <w:rPr>
          <w:rStyle w:val="afb"/>
          <w:rFonts w:hint="cs"/>
          <w:rtl/>
        </w:rPr>
        <w:t xml:space="preserve"> בדעת </w:t>
      </w:r>
      <w:r w:rsidRPr="00504FAE">
        <w:rPr>
          <w:rStyle w:val="affa"/>
          <w:rFonts w:hint="cs"/>
          <w:rtl/>
        </w:rPr>
        <w:t>הרשב"ם</w:t>
      </w:r>
      <w:r w:rsidRPr="00504FAE">
        <w:rPr>
          <w:rStyle w:val="afb"/>
          <w:rFonts w:hint="cs"/>
          <w:rtl/>
        </w:rPr>
        <w:t xml:space="preserve"> דס"ל כדעת </w:t>
      </w:r>
      <w:r>
        <w:rPr>
          <w:rStyle w:val="affa"/>
          <w:rFonts w:hint="cs"/>
          <w:rtl/>
        </w:rPr>
        <w:t xml:space="preserve">הרמב"ן </w:t>
      </w:r>
      <w:r w:rsidRPr="005E545A">
        <w:rPr>
          <w:rStyle w:val="affa"/>
          <w:rtl/>
        </w:rPr>
        <w:t xml:space="preserve">לקמן </w:t>
      </w:r>
      <w:r w:rsidRPr="005E545A">
        <w:rPr>
          <w:rStyle w:val="aff6"/>
          <w:rtl/>
        </w:rPr>
        <w:t>(מא: ד"ה הא</w:t>
      </w:r>
      <w:r w:rsidRPr="005E545A">
        <w:rPr>
          <w:rStyle w:val="aff6"/>
          <w:rFonts w:hint="cs"/>
          <w:rtl/>
        </w:rPr>
        <w:t>, הובא בסימן י' אות כ"ה)</w:t>
      </w:r>
      <w:r w:rsidRPr="00504FAE">
        <w:rPr>
          <w:rStyle w:val="afb"/>
          <w:rFonts w:hint="cs"/>
          <w:rtl/>
        </w:rPr>
        <w:t xml:space="preserve"> דתרי קולי לא אמרינן],</w:t>
      </w:r>
      <w:r>
        <w:rPr>
          <w:rFonts w:hint="cs"/>
          <w:rtl/>
        </w:rPr>
        <w:t xml:space="preserve"> וא"כ אדרבה מוכח מהגמ' לקמן מדברי רב דאמר דמהני קמי דידי זבנה מינך, במיגו דמינך זבינתה, דאמרינן מיגו למפרע, עיי"ש בדבריו.</w:t>
      </w:r>
      <w:bookmarkEnd w:id="11660"/>
    </w:p>
    <w:p w:rsidR="005306EB" w:rsidRPr="00FF0FC4" w:rsidRDefault="005306EB" w:rsidP="005306EB">
      <w:pPr>
        <w:pStyle w:val="a3"/>
        <w:rPr>
          <w:rtl/>
        </w:rPr>
      </w:pPr>
    </w:p>
    <w:p w:rsidR="005306EB" w:rsidRPr="00FF0FC4" w:rsidRDefault="005306EB" w:rsidP="005306EB">
      <w:pPr>
        <w:pStyle w:val="a3"/>
        <w:rPr>
          <w:rtl/>
        </w:rPr>
      </w:pPr>
    </w:p>
    <w:p w:rsidR="005306EB" w:rsidRDefault="005306EB" w:rsidP="005306EB">
      <w:pPr>
        <w:pStyle w:val="afe"/>
        <w:rPr>
          <w:rtl/>
        </w:rPr>
      </w:pPr>
      <w:bookmarkStart w:id="11661" w:name="_Toc61213873"/>
      <w:bookmarkStart w:id="11662" w:name="_Toc61388248"/>
      <w:bookmarkStart w:id="11663" w:name="_Toc61430909"/>
      <w:bookmarkStart w:id="11664" w:name="_Toc61433952"/>
      <w:bookmarkStart w:id="11665" w:name="_Toc61438678"/>
      <w:bookmarkStart w:id="11666" w:name="_Toc61469408"/>
      <w:bookmarkStart w:id="11667" w:name="_Toc61509786"/>
      <w:bookmarkStart w:id="11668" w:name="_Toc61010731"/>
      <w:bookmarkStart w:id="11669" w:name="_Toc61200675"/>
      <w:r>
        <w:rPr>
          <w:rFonts w:hint="cs"/>
          <w:rtl/>
        </w:rPr>
        <w:lastRenderedPageBreak/>
        <w:t>ביאור הרשב"ם בטענות המערער למחזיק</w:t>
      </w:r>
      <w:bookmarkEnd w:id="11661"/>
      <w:bookmarkEnd w:id="11662"/>
      <w:bookmarkEnd w:id="11663"/>
      <w:bookmarkEnd w:id="11664"/>
      <w:bookmarkEnd w:id="11665"/>
      <w:bookmarkEnd w:id="11666"/>
      <w:bookmarkEnd w:id="11667"/>
    </w:p>
    <w:p w:rsidR="005306EB" w:rsidRDefault="005306EB" w:rsidP="005306EB">
      <w:pPr>
        <w:pStyle w:val="1"/>
        <w:rPr>
          <w:rtl/>
        </w:rPr>
      </w:pPr>
      <w:bookmarkStart w:id="11670" w:name="_Toc59136977"/>
      <w:bookmarkStart w:id="11671" w:name="_Toc59361678"/>
      <w:bookmarkStart w:id="11672" w:name="_Toc59519319"/>
      <w:bookmarkStart w:id="11673" w:name="_Toc59700099"/>
      <w:bookmarkStart w:id="11674" w:name="_Toc59960746"/>
      <w:bookmarkStart w:id="11675" w:name="_Toc60086836"/>
      <w:bookmarkStart w:id="11676" w:name="_Toc60173409"/>
      <w:bookmarkStart w:id="11677" w:name="_Toc60303865"/>
      <w:bookmarkStart w:id="11678" w:name="_Toc61010704"/>
      <w:bookmarkStart w:id="11679" w:name="_Toc61200646"/>
      <w:bookmarkStart w:id="11680" w:name="_Toc61213874"/>
      <w:bookmarkStart w:id="11681" w:name="_Toc61388249"/>
      <w:bookmarkStart w:id="11682" w:name="_Toc61430910"/>
      <w:bookmarkStart w:id="11683" w:name="_Toc61433953"/>
      <w:bookmarkStart w:id="11684" w:name="_Toc61438679"/>
      <w:bookmarkStart w:id="11685" w:name="_Toc61469409"/>
      <w:bookmarkStart w:id="11686" w:name="_Toc61509787"/>
      <w:r>
        <w:rPr>
          <w:rFonts w:hint="cs"/>
          <w:rtl/>
        </w:rPr>
        <w:t>דברי הרשב"ם דאי היה טוען מינך זבינתה ל"מ בלי שטר וחזקה</w:t>
      </w:r>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p>
    <w:p w:rsidR="005306EB" w:rsidRDefault="005306EB" w:rsidP="005306EB">
      <w:pPr>
        <w:pStyle w:val="a3"/>
        <w:rPr>
          <w:rtl/>
        </w:rPr>
      </w:pPr>
      <w:bookmarkStart w:id="11687" w:name="_Toc61388250"/>
      <w:bookmarkStart w:id="11688" w:name="_Toc61430911"/>
      <w:bookmarkStart w:id="11689" w:name="_Toc61433954"/>
      <w:bookmarkStart w:id="11690" w:name="_Toc61438680"/>
      <w:bookmarkStart w:id="11691" w:name="_Toc61469410"/>
      <w:bookmarkStart w:id="11692" w:name="_Toc61509788"/>
      <w:bookmarkStart w:id="11693" w:name="_Toc59136978"/>
      <w:bookmarkStart w:id="11694" w:name="_Toc59361679"/>
      <w:bookmarkStart w:id="11695" w:name="_Toc59519320"/>
      <w:bookmarkStart w:id="11696" w:name="_Toc59700100"/>
      <w:bookmarkStart w:id="11697" w:name="_Toc59960747"/>
      <w:bookmarkStart w:id="11698" w:name="_Toc60086837"/>
      <w:bookmarkStart w:id="11699" w:name="_Toc60173410"/>
      <w:bookmarkStart w:id="11700" w:name="_Toc60303866"/>
      <w:bookmarkStart w:id="11701" w:name="_Toc61010705"/>
      <w:bookmarkStart w:id="11702" w:name="_Toc61200647"/>
      <w:bookmarkStart w:id="11703" w:name="_Toc61213875"/>
      <w:r>
        <w:rPr>
          <w:rFonts w:hint="cs"/>
          <w:rtl/>
        </w:rPr>
        <w:t>דברי הרשב"ם דאף אם יטען המחזיק מינך זבינתה אינו נאמן כיון שאין לו שטר או חזקה</w:t>
      </w:r>
      <w:bookmarkEnd w:id="11687"/>
      <w:bookmarkEnd w:id="11688"/>
      <w:bookmarkEnd w:id="11689"/>
      <w:bookmarkEnd w:id="11690"/>
      <w:bookmarkEnd w:id="11691"/>
      <w:bookmarkEnd w:id="11692"/>
      <w:r>
        <w:rPr>
          <w:rFonts w:hint="cs"/>
          <w:rtl/>
        </w:rPr>
        <w:t xml:space="preserve"> </w:t>
      </w:r>
      <w:bookmarkEnd w:id="11693"/>
      <w:bookmarkEnd w:id="11694"/>
      <w:bookmarkEnd w:id="11695"/>
      <w:bookmarkEnd w:id="11696"/>
      <w:bookmarkEnd w:id="11697"/>
      <w:bookmarkEnd w:id="11698"/>
      <w:bookmarkEnd w:id="11699"/>
      <w:bookmarkEnd w:id="11700"/>
      <w:bookmarkEnd w:id="11701"/>
      <w:bookmarkEnd w:id="11702"/>
      <w:bookmarkEnd w:id="11703"/>
    </w:p>
    <w:p w:rsidR="005306EB" w:rsidRDefault="005306EB" w:rsidP="007E4E81">
      <w:pPr>
        <w:pStyle w:val="a0"/>
        <w:rPr>
          <w:rStyle w:val="afb"/>
          <w:sz w:val="18"/>
          <w:szCs w:val="18"/>
          <w:rtl/>
        </w:rPr>
      </w:pPr>
      <w:bookmarkStart w:id="11704" w:name="_Ref61384635"/>
      <w:r>
        <w:rPr>
          <w:rFonts w:hint="cs"/>
          <w:rtl/>
        </w:rPr>
        <w:t xml:space="preserve">בטענת המערער שא"ל "ואת מינאי לא זבינתה", ביאר </w:t>
      </w:r>
      <w:r>
        <w:rPr>
          <w:rStyle w:val="af9"/>
          <w:rtl/>
        </w:rPr>
        <w:t>הרשב"ם</w:t>
      </w:r>
      <w:r>
        <w:rPr>
          <w:rFonts w:hint="cs"/>
          <w:rtl/>
        </w:rPr>
        <w:t xml:space="preserve"> </w:t>
      </w:r>
      <w:r w:rsidRPr="008B1921">
        <w:rPr>
          <w:rStyle w:val="af7"/>
          <w:rFonts w:eastAsia="Guttman Hodes" w:hint="cs"/>
          <w:rtl/>
        </w:rPr>
        <w:t>(ד"ה ואת)</w:t>
      </w:r>
      <w:r>
        <w:rPr>
          <w:rFonts w:hint="cs"/>
          <w:rtl/>
        </w:rPr>
        <w:t xml:space="preserve"> דטוען לו המערער שאף אם היית טוען מינך זבינתה, מ"מ אין לך לא שטר ולא חזקה, ועי' במה שביארו </w:t>
      </w:r>
      <w:r w:rsidRPr="00F251B5">
        <w:rPr>
          <w:rStyle w:val="af9"/>
          <w:rFonts w:hint="cs"/>
          <w:rtl/>
        </w:rPr>
        <w:t>הדרישה</w:t>
      </w:r>
      <w:r>
        <w:rPr>
          <w:rStyle w:val="af9"/>
          <w:rFonts w:hint="cs"/>
          <w:rtl/>
        </w:rPr>
        <w:t xml:space="preserve"> </w:t>
      </w:r>
      <w:r w:rsidRPr="00F251B5">
        <w:rPr>
          <w:rStyle w:val="af7"/>
          <w:rFonts w:eastAsia="Guttman Hodes" w:hint="cs"/>
          <w:rtl/>
        </w:rPr>
        <w:t xml:space="preserve">(עי' אות </w:t>
      </w:r>
      <w:r w:rsidRPr="00F251B5">
        <w:rPr>
          <w:rStyle w:val="af7"/>
          <w:rFonts w:eastAsia="Guttman Hodes"/>
          <w:rtl/>
        </w:rPr>
        <w:fldChar w:fldCharType="begin"/>
      </w:r>
      <w:r w:rsidRPr="00F251B5">
        <w:rPr>
          <w:rStyle w:val="af7"/>
          <w:rFonts w:eastAsia="Guttman Hodes"/>
          <w:rtl/>
        </w:rPr>
        <w:instrText xml:space="preserve"> </w:instrText>
      </w:r>
      <w:r w:rsidRPr="00F251B5">
        <w:rPr>
          <w:rStyle w:val="af7"/>
          <w:rFonts w:eastAsia="Guttman Hodes" w:hint="cs"/>
        </w:rPr>
        <w:instrText>REF</w:instrText>
      </w:r>
      <w:r w:rsidRPr="00F251B5">
        <w:rPr>
          <w:rStyle w:val="af7"/>
          <w:rFonts w:eastAsia="Guttman Hodes" w:hint="cs"/>
          <w:rtl/>
        </w:rPr>
        <w:instrText xml:space="preserve"> _</w:instrText>
      </w:r>
      <w:r w:rsidRPr="00F251B5">
        <w:rPr>
          <w:rStyle w:val="af7"/>
          <w:rFonts w:eastAsia="Guttman Hodes" w:hint="cs"/>
        </w:rPr>
        <w:instrText>Ref61448588 \r \h</w:instrText>
      </w:r>
      <w:r w:rsidRPr="00F251B5">
        <w:rPr>
          <w:rStyle w:val="af7"/>
          <w:rFonts w:eastAsia="Guttman Hodes"/>
          <w:rtl/>
        </w:rPr>
        <w:instrText xml:space="preserve"> </w:instrText>
      </w:r>
      <w:r w:rsidRPr="00F251B5">
        <w:rPr>
          <w:rStyle w:val="af7"/>
          <w:rFonts w:eastAsia="Guttman Hodes"/>
          <w:rtl/>
        </w:rPr>
      </w:r>
      <w:r w:rsidRPr="00F251B5">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F251B5">
        <w:rPr>
          <w:rStyle w:val="af7"/>
          <w:rFonts w:eastAsia="Guttman Hodes"/>
          <w:rtl/>
        </w:rPr>
        <w:fldChar w:fldCharType="end"/>
      </w:r>
      <w:r>
        <w:rPr>
          <w:rStyle w:val="af7"/>
          <w:rFonts w:eastAsia="Guttman Hodes" w:hint="cs"/>
          <w:rtl/>
        </w:rPr>
        <w:t xml:space="preserve"> </w:t>
      </w:r>
      <w:r w:rsidRPr="00F251B5">
        <w:rPr>
          <w:rStyle w:val="af9"/>
          <w:rFonts w:hint="cs"/>
          <w:rtl/>
        </w:rPr>
        <w:t>והבית הלוי</w:t>
      </w:r>
      <w:r>
        <w:rPr>
          <w:rFonts w:hint="cs"/>
          <w:rtl/>
        </w:rPr>
        <w:t xml:space="preserve"> </w:t>
      </w:r>
      <w:r w:rsidRPr="00F251B5">
        <w:rPr>
          <w:rStyle w:val="af7"/>
          <w:rFonts w:eastAsia="Guttman Hodes" w:hint="cs"/>
          <w:rtl/>
        </w:rPr>
        <w:t xml:space="preserve">(עי' אות </w:t>
      </w:r>
      <w:r w:rsidRPr="00F251B5">
        <w:rPr>
          <w:rStyle w:val="af7"/>
          <w:rFonts w:eastAsia="Guttman Hodes"/>
          <w:rtl/>
        </w:rPr>
        <w:fldChar w:fldCharType="begin"/>
      </w:r>
      <w:r w:rsidRPr="00F251B5">
        <w:rPr>
          <w:rStyle w:val="af7"/>
          <w:rFonts w:eastAsia="Guttman Hodes"/>
          <w:rtl/>
        </w:rPr>
        <w:instrText xml:space="preserve"> </w:instrText>
      </w:r>
      <w:r w:rsidRPr="00F251B5">
        <w:rPr>
          <w:rStyle w:val="af7"/>
          <w:rFonts w:eastAsia="Guttman Hodes" w:hint="cs"/>
        </w:rPr>
        <w:instrText>REF</w:instrText>
      </w:r>
      <w:r w:rsidRPr="00F251B5">
        <w:rPr>
          <w:rStyle w:val="af7"/>
          <w:rFonts w:eastAsia="Guttman Hodes" w:hint="cs"/>
          <w:rtl/>
        </w:rPr>
        <w:instrText xml:space="preserve"> _</w:instrText>
      </w:r>
      <w:r w:rsidRPr="00F251B5">
        <w:rPr>
          <w:rStyle w:val="af7"/>
          <w:rFonts w:eastAsia="Guttman Hodes" w:hint="cs"/>
        </w:rPr>
        <w:instrText>Ref58091424 \r \h</w:instrText>
      </w:r>
      <w:r w:rsidRPr="00F251B5">
        <w:rPr>
          <w:rStyle w:val="af7"/>
          <w:rFonts w:eastAsia="Guttman Hodes"/>
          <w:rtl/>
        </w:rPr>
        <w:instrText xml:space="preserve"> </w:instrText>
      </w:r>
      <w:r w:rsidRPr="00F251B5">
        <w:rPr>
          <w:rStyle w:val="af7"/>
          <w:rFonts w:eastAsia="Guttman Hodes"/>
          <w:rtl/>
        </w:rPr>
      </w:r>
      <w:r w:rsidRPr="00F251B5">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F251B5">
        <w:rPr>
          <w:rStyle w:val="af7"/>
          <w:rFonts w:eastAsia="Guttman Hodes"/>
          <w:rtl/>
        </w:rPr>
        <w:fldChar w:fldCharType="end"/>
      </w:r>
      <w:r w:rsidRPr="00F251B5">
        <w:rPr>
          <w:rStyle w:val="af7"/>
          <w:rFonts w:eastAsia="Guttman Hodes" w:hint="cs"/>
          <w:rtl/>
        </w:rPr>
        <w:t xml:space="preserve"> </w:t>
      </w:r>
      <w:r>
        <w:rPr>
          <w:rFonts w:hint="cs"/>
          <w:rtl/>
        </w:rPr>
        <w:t xml:space="preserve">דס"ל </w:t>
      </w:r>
      <w:r w:rsidRPr="00F251B5">
        <w:rPr>
          <w:rStyle w:val="af9"/>
          <w:rFonts w:hint="cs"/>
          <w:rtl/>
        </w:rPr>
        <w:t>להרשב"ם</w:t>
      </w:r>
      <w:r>
        <w:rPr>
          <w:rFonts w:hint="cs"/>
          <w:rtl/>
        </w:rPr>
        <w:t xml:space="preserve"> דכשאין לו חזקה אינו נאמן במיגו, כיון דאמרינן ליה אחוי שטרך, ועי' במה שהקשה </w:t>
      </w:r>
      <w:r w:rsidRPr="00477AE3">
        <w:rPr>
          <w:rStyle w:val="af9"/>
          <w:rFonts w:hint="cs"/>
          <w:rtl/>
        </w:rPr>
        <w:t>בחי' רבי נחום</w:t>
      </w:r>
      <w:r>
        <w:rPr>
          <w:rFonts w:hint="cs"/>
          <w:rtl/>
        </w:rPr>
        <w:t xml:space="preserve"> </w:t>
      </w:r>
      <w:r w:rsidRPr="00477AE3">
        <w:rPr>
          <w:rStyle w:val="af7"/>
          <w:rFonts w:eastAsia="Guttman Hodes" w:hint="cs"/>
          <w:rtl/>
        </w:rPr>
        <w:t xml:space="preserve">(עי' אות </w:t>
      </w:r>
      <w:r w:rsidRPr="00477AE3">
        <w:rPr>
          <w:rStyle w:val="af7"/>
          <w:rFonts w:eastAsia="Guttman Hodes"/>
          <w:rtl/>
        </w:rPr>
        <w:fldChar w:fldCharType="begin"/>
      </w:r>
      <w:r w:rsidRPr="00477AE3">
        <w:rPr>
          <w:rStyle w:val="af7"/>
          <w:rFonts w:eastAsia="Guttman Hodes"/>
          <w:rtl/>
        </w:rPr>
        <w:instrText xml:space="preserve"> </w:instrText>
      </w:r>
      <w:r w:rsidRPr="00477AE3">
        <w:rPr>
          <w:rStyle w:val="af7"/>
          <w:rFonts w:eastAsia="Guttman Hodes" w:hint="cs"/>
        </w:rPr>
        <w:instrText>REF</w:instrText>
      </w:r>
      <w:r w:rsidRPr="00477AE3">
        <w:rPr>
          <w:rStyle w:val="af7"/>
          <w:rFonts w:eastAsia="Guttman Hodes" w:hint="cs"/>
          <w:rtl/>
        </w:rPr>
        <w:instrText xml:space="preserve"> _</w:instrText>
      </w:r>
      <w:r w:rsidRPr="00477AE3">
        <w:rPr>
          <w:rStyle w:val="af7"/>
          <w:rFonts w:eastAsia="Guttman Hodes" w:hint="cs"/>
        </w:rPr>
        <w:instrText>Ref61459962 \r \h</w:instrText>
      </w:r>
      <w:r w:rsidRPr="00477AE3">
        <w:rPr>
          <w:rStyle w:val="af7"/>
          <w:rFonts w:eastAsia="Guttman Hodes"/>
          <w:rtl/>
        </w:rPr>
        <w:instrText xml:space="preserve"> </w:instrText>
      </w:r>
      <w:r w:rsidRPr="00477AE3">
        <w:rPr>
          <w:rStyle w:val="af7"/>
          <w:rFonts w:eastAsia="Guttman Hodes"/>
          <w:rtl/>
        </w:rPr>
      </w:r>
      <w:r w:rsidRPr="00477AE3">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477AE3">
        <w:rPr>
          <w:rStyle w:val="af7"/>
          <w:rFonts w:eastAsia="Guttman Hodes"/>
          <w:rtl/>
        </w:rPr>
        <w:fldChar w:fldCharType="end"/>
      </w:r>
      <w:r>
        <w:rPr>
          <w:rFonts w:hint="cs"/>
          <w:rtl/>
        </w:rPr>
        <w:t>.</w:t>
      </w:r>
      <w:bookmarkEnd w:id="11704"/>
      <w:r w:rsidRPr="00EB05E2">
        <w:rPr>
          <w:rStyle w:val="afb"/>
          <w:rFonts w:hint="cs"/>
          <w:rtl/>
        </w:rPr>
        <w:t xml:space="preserve"> </w:t>
      </w:r>
      <w:bookmarkStart w:id="11705" w:name="_Toc59136979"/>
    </w:p>
    <w:p w:rsidR="005306EB" w:rsidRPr="000C72D5" w:rsidRDefault="005306EB" w:rsidP="005306EB">
      <w:pPr>
        <w:pStyle w:val="a3"/>
      </w:pPr>
      <w:bookmarkStart w:id="11706" w:name="_Toc61388251"/>
      <w:bookmarkStart w:id="11707" w:name="_Toc61430912"/>
      <w:bookmarkStart w:id="11708" w:name="_Toc61433955"/>
      <w:bookmarkStart w:id="11709" w:name="_Toc61438681"/>
      <w:bookmarkStart w:id="11710" w:name="_Toc61469411"/>
      <w:bookmarkStart w:id="11711" w:name="_Toc61509789"/>
      <w:r>
        <w:rPr>
          <w:rFonts w:hint="cs"/>
          <w:rtl/>
        </w:rPr>
        <w:t>ביאור הרשב"ם דטוען המערער שהמחזיק אינו בע"ד דאין לו חזקה והמערער מוחזק יותר ממנו</w:t>
      </w:r>
      <w:bookmarkEnd w:id="11706"/>
      <w:bookmarkEnd w:id="11707"/>
      <w:bookmarkEnd w:id="11708"/>
      <w:bookmarkEnd w:id="11709"/>
      <w:bookmarkEnd w:id="11710"/>
      <w:bookmarkEnd w:id="11711"/>
      <w:r>
        <w:rPr>
          <w:rFonts w:hint="cs"/>
          <w:rtl/>
        </w:rPr>
        <w:t xml:space="preserve"> </w:t>
      </w:r>
    </w:p>
    <w:p w:rsidR="005306EB" w:rsidRPr="008B1921" w:rsidRDefault="005306EB" w:rsidP="007E4E81">
      <w:pPr>
        <w:pStyle w:val="a0"/>
        <w:rPr>
          <w:rStyle w:val="afb"/>
          <w:sz w:val="18"/>
          <w:szCs w:val="18"/>
        </w:rPr>
      </w:pPr>
      <w:bookmarkStart w:id="11712" w:name="_Ref61446774"/>
      <w:bookmarkStart w:id="11713" w:name="_Toc59361680"/>
      <w:bookmarkStart w:id="11714" w:name="_Toc59519321"/>
      <w:bookmarkStart w:id="11715" w:name="_Toc59700101"/>
      <w:bookmarkStart w:id="11716" w:name="_Toc59960748"/>
      <w:bookmarkStart w:id="11717" w:name="_Toc60086838"/>
      <w:bookmarkStart w:id="11718" w:name="_Toc60173411"/>
      <w:bookmarkStart w:id="11719" w:name="_Toc60303867"/>
      <w:bookmarkStart w:id="11720" w:name="_Toc61010706"/>
      <w:bookmarkStart w:id="11721" w:name="_Toc61200648"/>
      <w:r>
        <w:rPr>
          <w:rFonts w:hint="cs"/>
          <w:rtl/>
        </w:rPr>
        <w:t xml:space="preserve">ובדברי המערער שאמר למחזיק "זיל לאו בע"ד דידי את", ביאר </w:t>
      </w:r>
      <w:r>
        <w:rPr>
          <w:rStyle w:val="af9"/>
          <w:rtl/>
        </w:rPr>
        <w:t>הרשב"ם</w:t>
      </w:r>
      <w:r>
        <w:rPr>
          <w:rFonts w:hint="cs"/>
          <w:rtl/>
        </w:rPr>
        <w:t xml:space="preserve"> </w:t>
      </w:r>
      <w:r w:rsidRPr="008B1921">
        <w:rPr>
          <w:rStyle w:val="af7"/>
          <w:rFonts w:eastAsia="Guttman Hodes" w:hint="cs"/>
          <w:rtl/>
        </w:rPr>
        <w:t>(</w:t>
      </w:r>
      <w:r>
        <w:rPr>
          <w:rStyle w:val="af7"/>
          <w:rFonts w:eastAsia="Guttman Hodes" w:hint="cs"/>
          <w:rtl/>
        </w:rPr>
        <w:t>ד</w:t>
      </w:r>
      <w:r w:rsidRPr="008B1921">
        <w:rPr>
          <w:rStyle w:val="af7"/>
          <w:rFonts w:eastAsia="Guttman Hodes" w:hint="cs"/>
          <w:rtl/>
        </w:rPr>
        <w:t>"ה זיל)</w:t>
      </w:r>
      <w:r>
        <w:rPr>
          <w:rFonts w:hint="cs"/>
          <w:rtl/>
        </w:rPr>
        <w:t xml:space="preserve"> דטוען המערער למחזיק דאני מוחזק בקרקע יותר ממך, כיון שלמחזיק אין חזקת ג"ש, ועי' במה שביארו </w:t>
      </w:r>
      <w:r w:rsidRPr="007F1AAA">
        <w:rPr>
          <w:rStyle w:val="af9"/>
          <w:rFonts w:hint="cs"/>
          <w:rtl/>
        </w:rPr>
        <w:t>הפני</w:t>
      </w:r>
      <w:r>
        <w:rPr>
          <w:rFonts w:hint="cs"/>
          <w:rtl/>
        </w:rPr>
        <w:t xml:space="preserve"> </w:t>
      </w:r>
      <w:r w:rsidRPr="007F1AAA">
        <w:rPr>
          <w:rStyle w:val="af9"/>
          <w:rFonts w:hint="cs"/>
          <w:rtl/>
        </w:rPr>
        <w:t>שלמה</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Ref61453446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w:t>
      </w:r>
      <w:r>
        <w:rPr>
          <w:rStyle w:val="af7"/>
          <w:rFonts w:eastAsia="Guttman Hodes"/>
          <w:rtl/>
        </w:rPr>
        <w:fldChar w:fldCharType="end"/>
      </w:r>
      <w:r>
        <w:rPr>
          <w:rStyle w:val="af7"/>
          <w:rFonts w:eastAsia="Guttman Hodes" w:hint="cs"/>
          <w:rtl/>
        </w:rPr>
        <w:t xml:space="preserve"> </w:t>
      </w:r>
      <w:r w:rsidRPr="001D053A">
        <w:rPr>
          <w:rStyle w:val="af9"/>
          <w:rFonts w:hint="cs"/>
          <w:rtl/>
        </w:rPr>
        <w:t>והקה"י</w:t>
      </w:r>
      <w:r>
        <w:rPr>
          <w:rFonts w:hint="cs"/>
          <w:rtl/>
        </w:rPr>
        <w:t xml:space="preserve"> </w:t>
      </w:r>
      <w:r w:rsidRPr="00520622">
        <w:rPr>
          <w:rStyle w:val="af7"/>
          <w:rFonts w:eastAsia="Guttman Hodes" w:hint="cs"/>
          <w:rtl/>
        </w:rPr>
        <w:t xml:space="preserve">(עי' אות </w:t>
      </w:r>
      <w:r w:rsidRPr="00520622">
        <w:rPr>
          <w:rStyle w:val="af7"/>
          <w:rFonts w:eastAsia="Guttman Hodes"/>
          <w:rtl/>
        </w:rPr>
        <w:fldChar w:fldCharType="begin"/>
      </w:r>
      <w:r w:rsidRPr="00520622">
        <w:rPr>
          <w:rStyle w:val="af7"/>
          <w:rFonts w:eastAsia="Guttman Hodes"/>
          <w:rtl/>
        </w:rPr>
        <w:instrText xml:space="preserve"> </w:instrText>
      </w:r>
      <w:r w:rsidRPr="00520622">
        <w:rPr>
          <w:rStyle w:val="af7"/>
          <w:rFonts w:eastAsia="Guttman Hodes" w:hint="cs"/>
        </w:rPr>
        <w:instrText>REF</w:instrText>
      </w:r>
      <w:r w:rsidRPr="00520622">
        <w:rPr>
          <w:rStyle w:val="af7"/>
          <w:rFonts w:eastAsia="Guttman Hodes" w:hint="cs"/>
          <w:rtl/>
        </w:rPr>
        <w:instrText xml:space="preserve"> _</w:instrText>
      </w:r>
      <w:r w:rsidRPr="00520622">
        <w:rPr>
          <w:rStyle w:val="af7"/>
          <w:rFonts w:eastAsia="Guttman Hodes" w:hint="cs"/>
        </w:rPr>
        <w:instrText>Ref61467867 \r \h</w:instrText>
      </w:r>
      <w:r w:rsidRPr="00520622">
        <w:rPr>
          <w:rStyle w:val="af7"/>
          <w:rFonts w:eastAsia="Guttman Hodes"/>
          <w:rtl/>
        </w:rPr>
        <w:instrText xml:space="preserve"> </w:instrText>
      </w:r>
      <w:r w:rsidRPr="00520622">
        <w:rPr>
          <w:rStyle w:val="af7"/>
          <w:rFonts w:eastAsia="Guttman Hodes"/>
          <w:rtl/>
        </w:rPr>
      </w:r>
      <w:r w:rsidRPr="00520622">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sidRPr="00520622">
        <w:rPr>
          <w:rStyle w:val="af7"/>
          <w:rFonts w:eastAsia="Guttman Hodes"/>
          <w:rtl/>
        </w:rPr>
        <w:fldChar w:fldCharType="end"/>
      </w:r>
      <w:r>
        <w:rPr>
          <w:rFonts w:hint="cs"/>
          <w:rtl/>
        </w:rPr>
        <w:t xml:space="preserve"> דכוונת </w:t>
      </w:r>
      <w:r>
        <w:rPr>
          <w:rStyle w:val="af9"/>
          <w:rtl/>
        </w:rPr>
        <w:t>הרשב"ם</w:t>
      </w:r>
      <w:r>
        <w:rPr>
          <w:rFonts w:hint="cs"/>
          <w:rtl/>
        </w:rPr>
        <w:t xml:space="preserve"> לבאר כדברי </w:t>
      </w:r>
      <w:r w:rsidRPr="007F1AAA">
        <w:rPr>
          <w:rStyle w:val="af9"/>
          <w:rFonts w:hint="cs"/>
          <w:rtl/>
        </w:rPr>
        <w:t>ר"ח</w:t>
      </w:r>
      <w:r w:rsidRPr="00E70AAC">
        <w:rPr>
          <w:rStyle w:val="af7"/>
          <w:rFonts w:eastAsia="Guttman Hodes" w:hint="cs"/>
          <w:rtl/>
        </w:rPr>
        <w:t xml:space="preserve"> (עי' אות </w:t>
      </w:r>
      <w:r w:rsidRPr="00E70AAC">
        <w:rPr>
          <w:rStyle w:val="af7"/>
          <w:rFonts w:eastAsia="Guttman Hodes"/>
          <w:rtl/>
        </w:rPr>
        <w:fldChar w:fldCharType="begin"/>
      </w:r>
      <w:r w:rsidRPr="00E70AAC">
        <w:rPr>
          <w:rStyle w:val="af7"/>
          <w:rFonts w:eastAsia="Guttman Hodes"/>
          <w:rtl/>
        </w:rPr>
        <w:instrText xml:space="preserve"> </w:instrText>
      </w:r>
      <w:r w:rsidRPr="00E70AAC">
        <w:rPr>
          <w:rStyle w:val="af7"/>
          <w:rFonts w:eastAsia="Guttman Hodes" w:hint="cs"/>
        </w:rPr>
        <w:instrText>REF</w:instrText>
      </w:r>
      <w:r w:rsidRPr="00E70AAC">
        <w:rPr>
          <w:rStyle w:val="af7"/>
          <w:rFonts w:eastAsia="Guttman Hodes" w:hint="cs"/>
          <w:rtl/>
        </w:rPr>
        <w:instrText xml:space="preserve"> _</w:instrText>
      </w:r>
      <w:r w:rsidRPr="00E70AAC">
        <w:rPr>
          <w:rStyle w:val="af7"/>
          <w:rFonts w:eastAsia="Guttman Hodes" w:hint="cs"/>
        </w:rPr>
        <w:instrText>Ref61195614 \r \h</w:instrText>
      </w:r>
      <w:r w:rsidRPr="00E70AAC">
        <w:rPr>
          <w:rStyle w:val="af7"/>
          <w:rFonts w:eastAsia="Guttman Hodes"/>
          <w:rtl/>
        </w:rPr>
        <w:instrText xml:space="preserve"> </w:instrText>
      </w:r>
      <w:r w:rsidRPr="00E70AAC">
        <w:rPr>
          <w:rStyle w:val="af7"/>
          <w:rFonts w:eastAsia="Guttman Hodes"/>
          <w:rtl/>
        </w:rPr>
      </w:r>
      <w:r w:rsidRPr="00E70AAC">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70AAC">
        <w:rPr>
          <w:rStyle w:val="af7"/>
          <w:rFonts w:eastAsia="Guttman Hodes"/>
          <w:rtl/>
        </w:rPr>
        <w:fldChar w:fldCharType="end"/>
      </w:r>
      <w:r w:rsidRPr="00E70AAC">
        <w:rPr>
          <w:rStyle w:val="af7"/>
          <w:rFonts w:eastAsia="Guttman Hodes" w:hint="cs"/>
          <w:rtl/>
        </w:rPr>
        <w:t xml:space="preserve"> </w:t>
      </w:r>
      <w:r>
        <w:rPr>
          <w:rFonts w:hint="cs"/>
          <w:rtl/>
        </w:rPr>
        <w:t xml:space="preserve">בשם </w:t>
      </w:r>
      <w:r w:rsidRPr="007F1AAA">
        <w:rPr>
          <w:rStyle w:val="af9"/>
          <w:rFonts w:hint="cs"/>
          <w:rtl/>
        </w:rPr>
        <w:t>הגאונים</w:t>
      </w:r>
      <w:r>
        <w:rPr>
          <w:rFonts w:hint="cs"/>
          <w:rtl/>
        </w:rPr>
        <w:t xml:space="preserve"> דכיון שאין למחזיק חזקת ג"ש אינו בע"ד של המערער, וע"ע במה שביאר </w:t>
      </w:r>
      <w:r w:rsidRPr="001C266F">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Ref61465953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Pr>
          <w:rStyle w:val="af7"/>
          <w:rFonts w:eastAsia="Guttman Hodes"/>
          <w:rtl/>
        </w:rPr>
        <w:fldChar w:fldCharType="end"/>
      </w:r>
      <w:r>
        <w:rPr>
          <w:rStyle w:val="af7"/>
          <w:rFonts w:eastAsia="Guttman Hodes" w:hint="cs"/>
          <w:rtl/>
        </w:rPr>
        <w:t xml:space="preserve"> </w:t>
      </w:r>
      <w:r>
        <w:rPr>
          <w:rFonts w:hint="cs"/>
          <w:rtl/>
        </w:rPr>
        <w:t xml:space="preserve">בדברי </w:t>
      </w:r>
      <w:r>
        <w:rPr>
          <w:rStyle w:val="af9"/>
          <w:rtl/>
        </w:rPr>
        <w:t>הרשב"ם</w:t>
      </w:r>
      <w:r>
        <w:rPr>
          <w:rFonts w:hint="cs"/>
          <w:rtl/>
        </w:rPr>
        <w:t>.</w:t>
      </w:r>
      <w:bookmarkEnd w:id="11712"/>
      <w:r w:rsidRPr="00EB05E2">
        <w:rPr>
          <w:rStyle w:val="afb"/>
          <w:rFonts w:hint="cs"/>
          <w:rtl/>
        </w:rPr>
        <w:t xml:space="preserve"> </w:t>
      </w:r>
    </w:p>
    <w:p w:rsidR="005306EB" w:rsidRPr="00430D2A" w:rsidRDefault="005306EB" w:rsidP="005306EB">
      <w:pPr>
        <w:pStyle w:val="a3"/>
      </w:pPr>
      <w:bookmarkStart w:id="11722" w:name="_Toc61213876"/>
      <w:bookmarkStart w:id="11723" w:name="_Toc61388252"/>
      <w:bookmarkStart w:id="11724" w:name="_Toc61430913"/>
      <w:bookmarkStart w:id="11725" w:name="_Toc61433956"/>
      <w:bookmarkStart w:id="11726" w:name="_Toc61438682"/>
      <w:bookmarkStart w:id="11727" w:name="_Toc61469412"/>
      <w:bookmarkStart w:id="11728" w:name="_Toc61509790"/>
      <w:r>
        <w:rPr>
          <w:rFonts w:hint="cs"/>
          <w:rtl/>
        </w:rPr>
        <w:t>דברי הרשב"ם דקיי"ל כרבא דמוציאין את המחזיק מהקרקע אף כשיש לו חזקת ג"ש</w:t>
      </w:r>
      <w:bookmarkEnd w:id="11705"/>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p>
    <w:p w:rsidR="005306EB" w:rsidRDefault="005306EB" w:rsidP="007E4E81">
      <w:pPr>
        <w:pStyle w:val="a0"/>
        <w:rPr>
          <w:rtl/>
        </w:rPr>
      </w:pPr>
      <w:bookmarkStart w:id="11729" w:name="_Ref61449413"/>
      <w:r>
        <w:rPr>
          <w:rFonts w:hint="cs"/>
          <w:rtl/>
        </w:rPr>
        <w:t xml:space="preserve">ובדברי רבא דאמר דדינא קא"ל, ביאר </w:t>
      </w:r>
      <w:r>
        <w:rPr>
          <w:rStyle w:val="af9"/>
          <w:rtl/>
        </w:rPr>
        <w:t>הרשב"ם</w:t>
      </w:r>
      <w:r>
        <w:rPr>
          <w:rFonts w:hint="cs"/>
          <w:rtl/>
        </w:rPr>
        <w:t xml:space="preserve"> </w:t>
      </w:r>
      <w:r w:rsidRPr="00B16C71">
        <w:rPr>
          <w:rStyle w:val="af7"/>
          <w:rFonts w:eastAsia="Guttman Hodes" w:hint="cs"/>
          <w:rtl/>
        </w:rPr>
        <w:t>(ד"ה אמר רבא)</w:t>
      </w:r>
      <w:r>
        <w:rPr>
          <w:rFonts w:hint="cs"/>
          <w:rtl/>
        </w:rPr>
        <w:t xml:space="preserve"> דמעמידים את הקרקע ביד המערער, אף אם החזיק בה ג"ש, וכתב </w:t>
      </w:r>
      <w:r>
        <w:rPr>
          <w:rStyle w:val="af9"/>
          <w:rtl/>
        </w:rPr>
        <w:t>הרשב"ם</w:t>
      </w:r>
      <w:r>
        <w:rPr>
          <w:rFonts w:hint="cs"/>
          <w:rtl/>
        </w:rPr>
        <w:t xml:space="preserve"> דכן קיי"ל.</w:t>
      </w:r>
      <w:bookmarkEnd w:id="11729"/>
    </w:p>
    <w:p w:rsidR="005306EB" w:rsidRPr="009C5850" w:rsidRDefault="005306EB" w:rsidP="005306EB">
      <w:pPr>
        <w:pStyle w:val="afe"/>
        <w:rPr>
          <w:rtl/>
        </w:rPr>
      </w:pPr>
      <w:bookmarkStart w:id="11730" w:name="_Toc61469413"/>
      <w:bookmarkStart w:id="11731" w:name="_Toc61509791"/>
      <w:r>
        <w:rPr>
          <w:rFonts w:hint="cs"/>
          <w:rtl/>
        </w:rPr>
        <w:t>קו' האחרונים על הרשב"ם דיש לו מיגו</w:t>
      </w:r>
      <w:bookmarkEnd w:id="11730"/>
      <w:bookmarkEnd w:id="11731"/>
    </w:p>
    <w:p w:rsidR="005306EB" w:rsidRDefault="005306EB" w:rsidP="005306EB">
      <w:pPr>
        <w:pStyle w:val="1"/>
        <w:rPr>
          <w:rtl/>
        </w:rPr>
      </w:pPr>
      <w:bookmarkStart w:id="11732" w:name="_Toc59113256"/>
      <w:bookmarkStart w:id="11733" w:name="_Toc59136981"/>
      <w:bookmarkStart w:id="11734" w:name="_Toc59361682"/>
      <w:bookmarkStart w:id="11735" w:name="_Toc59519323"/>
      <w:bookmarkStart w:id="11736" w:name="_Toc59700103"/>
      <w:bookmarkStart w:id="11737" w:name="_Toc59960750"/>
      <w:bookmarkStart w:id="11738" w:name="_Toc60086840"/>
      <w:bookmarkStart w:id="11739" w:name="_Toc60173413"/>
      <w:bookmarkStart w:id="11740" w:name="_Toc60303869"/>
      <w:bookmarkStart w:id="11741" w:name="_Toc61010708"/>
      <w:bookmarkStart w:id="11742" w:name="_Toc61200650"/>
      <w:bookmarkStart w:id="11743" w:name="_Toc61213880"/>
      <w:bookmarkStart w:id="11744" w:name="_Toc61388256"/>
      <w:bookmarkStart w:id="11745" w:name="_Toc61430917"/>
      <w:bookmarkStart w:id="11746" w:name="_Toc61433960"/>
      <w:bookmarkStart w:id="11747" w:name="_Toc61438686"/>
      <w:bookmarkStart w:id="11748" w:name="_Toc61469414"/>
      <w:bookmarkStart w:id="11749" w:name="_Toc61509792"/>
      <w:bookmarkStart w:id="11750" w:name="_Toc61213877"/>
      <w:bookmarkStart w:id="11751" w:name="_Toc61388253"/>
      <w:bookmarkStart w:id="11752" w:name="_Toc61430914"/>
      <w:bookmarkStart w:id="11753" w:name="_Toc61433957"/>
      <w:bookmarkStart w:id="11754" w:name="_Toc61438683"/>
      <w:r>
        <w:rPr>
          <w:rFonts w:hint="cs"/>
          <w:rtl/>
        </w:rPr>
        <w:t>קו' הדרישה על הרשב"ם</w:t>
      </w:r>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r>
        <w:rPr>
          <w:rFonts w:hint="cs"/>
          <w:rtl/>
        </w:rPr>
        <w:t xml:space="preserve"> דבמינך זבינתה יש לו מיגו דלהד"ם</w:t>
      </w:r>
      <w:bookmarkEnd w:id="11748"/>
      <w:bookmarkEnd w:id="11749"/>
    </w:p>
    <w:p w:rsidR="005306EB" w:rsidRPr="00A75CA9" w:rsidRDefault="005306EB" w:rsidP="005306EB">
      <w:pPr>
        <w:pStyle w:val="a3"/>
        <w:rPr>
          <w:rtl/>
        </w:rPr>
      </w:pPr>
      <w:bookmarkStart w:id="11755" w:name="_Toc61469415"/>
      <w:bookmarkStart w:id="11756" w:name="_Toc61509793"/>
      <w:r>
        <w:rPr>
          <w:rFonts w:hint="cs"/>
          <w:rtl/>
        </w:rPr>
        <w:t>דברי הדרישה דמבואר ברשב"ם דאינו נאמן במינך זבינתה במיגו דלהד"ם כיון שאין לו חזקה</w:t>
      </w:r>
      <w:bookmarkEnd w:id="11755"/>
      <w:bookmarkEnd w:id="11756"/>
    </w:p>
    <w:p w:rsidR="005306EB" w:rsidRPr="00A75CA9" w:rsidRDefault="005306EB" w:rsidP="007E4E81">
      <w:pPr>
        <w:pStyle w:val="a0"/>
        <w:rPr>
          <w:rtl/>
        </w:rPr>
      </w:pPr>
      <w:r w:rsidRPr="00A75CA9">
        <w:rPr>
          <w:rFonts w:hint="cs"/>
          <w:rtl/>
        </w:rPr>
        <w:t>כתב</w:t>
      </w:r>
      <w:r w:rsidRPr="00A75CA9">
        <w:rPr>
          <w:rStyle w:val="af9"/>
          <w:rFonts w:hint="cs"/>
          <w:rtl/>
        </w:rPr>
        <w:t xml:space="preserve"> הדרישה </w:t>
      </w:r>
      <w:r w:rsidRPr="00A75CA9">
        <w:rPr>
          <w:rStyle w:val="af7"/>
          <w:rFonts w:eastAsia="Guttman Hodes" w:hint="cs"/>
          <w:rtl/>
        </w:rPr>
        <w:t>(סי' קמ"ו סקכ"ד ד"ה</w:t>
      </w:r>
      <w:r w:rsidRPr="00A75CA9">
        <w:rPr>
          <w:rStyle w:val="af7"/>
          <w:rFonts w:eastAsia="Guttman Hodes"/>
          <w:rtl/>
        </w:rPr>
        <w:t xml:space="preserve"> אלא שיש</w:t>
      </w:r>
      <w:r w:rsidRPr="00A75CA9">
        <w:rPr>
          <w:rStyle w:val="af7"/>
          <w:rFonts w:eastAsia="Guttman Hodes" w:hint="cs"/>
          <w:rtl/>
        </w:rPr>
        <w:t>)</w:t>
      </w:r>
      <w:r w:rsidRPr="00A75CA9">
        <w:rPr>
          <w:rFonts w:hint="cs"/>
          <w:rtl/>
        </w:rPr>
        <w:t xml:space="preserve"> דמהא דכתב </w:t>
      </w:r>
      <w:r w:rsidRPr="00A75CA9">
        <w:rPr>
          <w:rStyle w:val="af9"/>
          <w:rFonts w:hint="cs"/>
          <w:rtl/>
        </w:rPr>
        <w:t>הרשב"ם</w:t>
      </w:r>
      <w:r w:rsidRPr="00A75CA9">
        <w:rPr>
          <w:rFonts w:hint="cs"/>
          <w:rtl/>
        </w:rPr>
        <w:t xml:space="preserve"> </w:t>
      </w:r>
      <w:r w:rsidRPr="00A75CA9">
        <w:rPr>
          <w:rStyle w:val="af7"/>
          <w:rFonts w:eastAsia="Guttman Hodes" w:hint="cs"/>
          <w:rtl/>
        </w:rPr>
        <w:t xml:space="preserve">(עי' אות </w:t>
      </w:r>
      <w:r w:rsidRPr="00A75CA9">
        <w:rPr>
          <w:rStyle w:val="af7"/>
          <w:rFonts w:eastAsia="Guttman Hodes"/>
          <w:rtl/>
        </w:rPr>
        <w:fldChar w:fldCharType="begin"/>
      </w:r>
      <w:r w:rsidRPr="00A75CA9">
        <w:rPr>
          <w:rStyle w:val="af7"/>
          <w:rFonts w:eastAsia="Guttman Hodes"/>
          <w:rtl/>
        </w:rPr>
        <w:instrText xml:space="preserve"> </w:instrText>
      </w:r>
      <w:r w:rsidRPr="00A75CA9">
        <w:rPr>
          <w:rStyle w:val="af7"/>
          <w:rFonts w:eastAsia="Guttman Hodes" w:hint="cs"/>
        </w:rPr>
        <w:instrText>REF</w:instrText>
      </w:r>
      <w:r w:rsidRPr="00A75CA9">
        <w:rPr>
          <w:rStyle w:val="af7"/>
          <w:rFonts w:eastAsia="Guttman Hodes" w:hint="cs"/>
          <w:rtl/>
        </w:rPr>
        <w:instrText xml:space="preserve"> _</w:instrText>
      </w:r>
      <w:r w:rsidRPr="00A75CA9">
        <w:rPr>
          <w:rStyle w:val="af7"/>
          <w:rFonts w:eastAsia="Guttman Hodes" w:hint="cs"/>
        </w:rPr>
        <w:instrText>Ref57836017 \r \h</w:instrText>
      </w:r>
      <w:r w:rsidRPr="00A75CA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75CA9">
        <w:rPr>
          <w:rStyle w:val="af7"/>
          <w:rFonts w:eastAsia="Guttman Hodes"/>
          <w:rtl/>
        </w:rPr>
      </w:r>
      <w:r w:rsidRPr="00A75CA9">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A75CA9">
        <w:rPr>
          <w:rStyle w:val="af7"/>
          <w:rFonts w:eastAsia="Guttman Hodes"/>
          <w:rtl/>
        </w:rPr>
        <w:fldChar w:fldCharType="end"/>
      </w:r>
      <w:r w:rsidRPr="00A75CA9">
        <w:rPr>
          <w:rFonts w:hint="cs"/>
          <w:rtl/>
        </w:rPr>
        <w:t xml:space="preserve"> דטוען המערער שאף אם היית טוען שקנית ממני, מ"מ אין לך לא שטר ולא חזקה, משמע דס"ל דאף אם טוען המחזיק מינך זבינתה אינו נאמן, אעפ"י שאין למערער עדים, ואינו נאמן במיגו דלא הייתה שלך מעולם, כל שאין לו חזקת ג"ש.</w:t>
      </w:r>
    </w:p>
    <w:p w:rsidR="005306EB" w:rsidRPr="00A75CA9" w:rsidRDefault="005306EB" w:rsidP="005306EB">
      <w:pPr>
        <w:pStyle w:val="a3"/>
      </w:pPr>
      <w:bookmarkStart w:id="11757" w:name="_Toc61469416"/>
      <w:bookmarkStart w:id="11758" w:name="_Toc61509794"/>
      <w:r>
        <w:rPr>
          <w:rFonts w:hint="cs"/>
          <w:rtl/>
        </w:rPr>
        <w:t>דברי הדרישה דמוכח בכמה מקומות בדברי הרשב"ם דכשאין לו חזקה ל"מ מיגו דלהד"ם</w:t>
      </w:r>
      <w:bookmarkEnd w:id="11757"/>
      <w:bookmarkEnd w:id="11758"/>
    </w:p>
    <w:p w:rsidR="005306EB" w:rsidRDefault="005306EB" w:rsidP="007E4E81">
      <w:pPr>
        <w:pStyle w:val="a0"/>
        <w:rPr>
          <w:rtl/>
        </w:rPr>
      </w:pPr>
      <w:r w:rsidRPr="00A75CA9">
        <w:rPr>
          <w:rFonts w:hint="cs"/>
          <w:rtl/>
        </w:rPr>
        <w:t>וכתב</w:t>
      </w:r>
      <w:r w:rsidRPr="00A75CA9">
        <w:rPr>
          <w:rStyle w:val="af9"/>
          <w:rFonts w:hint="cs"/>
          <w:rtl/>
        </w:rPr>
        <w:t xml:space="preserve"> הדרישה </w:t>
      </w:r>
      <w:r w:rsidRPr="00A75CA9">
        <w:rPr>
          <w:rFonts w:hint="cs"/>
          <w:rtl/>
        </w:rPr>
        <w:t xml:space="preserve">דכן משמע ממ"ש </w:t>
      </w:r>
      <w:r w:rsidRPr="00A75CA9">
        <w:rPr>
          <w:rStyle w:val="af9"/>
          <w:rFonts w:hint="cs"/>
          <w:rtl/>
        </w:rPr>
        <w:t>הרשב"ם</w:t>
      </w:r>
      <w:r w:rsidRPr="00A75CA9">
        <w:rPr>
          <w:rFonts w:hint="cs"/>
          <w:rtl/>
        </w:rPr>
        <w:t xml:space="preserve"> </w:t>
      </w:r>
      <w:r w:rsidRPr="00A75CA9">
        <w:rPr>
          <w:rStyle w:val="af7"/>
          <w:rFonts w:eastAsia="Guttman Hodes" w:hint="cs"/>
          <w:rtl/>
        </w:rPr>
        <w:t xml:space="preserve">(ד"ה אמר ליה, הובא בסימן ח' אות </w:t>
      </w:r>
      <w:r>
        <w:rPr>
          <w:rStyle w:val="af7"/>
          <w:rFonts w:eastAsia="Guttman Hodes" w:hint="cs"/>
          <w:rtl/>
        </w:rPr>
        <w:t>מ"ג</w:t>
      </w:r>
      <w:r w:rsidRPr="00A75CA9">
        <w:rPr>
          <w:rStyle w:val="af7"/>
          <w:rFonts w:eastAsia="Guttman Hodes" w:hint="cs"/>
          <w:rtl/>
        </w:rPr>
        <w:t xml:space="preserve">) </w:t>
      </w:r>
      <w:r w:rsidRPr="00A75CA9">
        <w:rPr>
          <w:rFonts w:hint="cs"/>
          <w:rtl/>
        </w:rPr>
        <w:t xml:space="preserve">דאינו נאמן במיגו דמינך זבינתה, והחזיק בה ג"ש, כיון שהמחזיק עצמו אינו יודע אם המוכר קנה מהמערער, וכן משמע ממ"ש </w:t>
      </w:r>
      <w:r w:rsidRPr="00A75CA9">
        <w:rPr>
          <w:rStyle w:val="af9"/>
          <w:rFonts w:hint="cs"/>
          <w:rtl/>
        </w:rPr>
        <w:t>הרשב"ם</w:t>
      </w:r>
      <w:r w:rsidRPr="00A75CA9">
        <w:rPr>
          <w:rFonts w:hint="cs"/>
          <w:rtl/>
        </w:rPr>
        <w:t xml:space="preserve"> </w:t>
      </w:r>
      <w:r w:rsidRPr="00485BA9">
        <w:rPr>
          <w:rStyle w:val="af7"/>
          <w:rFonts w:eastAsia="Guttman Hodes" w:hint="cs"/>
          <w:rtl/>
        </w:rPr>
        <w:t xml:space="preserve">(ד"ה אמר ליה, הובא בסימן </w:t>
      </w:r>
      <w:r>
        <w:rPr>
          <w:rStyle w:val="af7"/>
          <w:rFonts w:eastAsia="Guttman Hodes" w:hint="cs"/>
          <w:rtl/>
        </w:rPr>
        <w:t>ט</w:t>
      </w:r>
      <w:r w:rsidRPr="00485BA9">
        <w:rPr>
          <w:rStyle w:val="af7"/>
          <w:rFonts w:eastAsia="Guttman Hodes" w:hint="cs"/>
          <w:rtl/>
        </w:rPr>
        <w:t xml:space="preserve">' אות </w:t>
      </w:r>
      <w:r>
        <w:rPr>
          <w:rStyle w:val="af7"/>
          <w:rFonts w:eastAsia="Guttman Hodes" w:hint="cs"/>
          <w:rtl/>
        </w:rPr>
        <w:t>ס"ב</w:t>
      </w:r>
      <w:r w:rsidRPr="00485BA9">
        <w:rPr>
          <w:rStyle w:val="af7"/>
          <w:rFonts w:eastAsia="Guttman Hodes" w:hint="cs"/>
          <w:rtl/>
        </w:rPr>
        <w:t>)</w:t>
      </w:r>
      <w:r w:rsidRPr="00A75CA9">
        <w:rPr>
          <w:rStyle w:val="af7"/>
          <w:rFonts w:eastAsia="Guttman Hodes" w:hint="cs"/>
          <w:rtl/>
        </w:rPr>
        <w:t xml:space="preserve"> </w:t>
      </w:r>
      <w:r w:rsidRPr="00A75CA9">
        <w:rPr>
          <w:rFonts w:hint="cs"/>
          <w:rtl/>
        </w:rPr>
        <w:t xml:space="preserve">דאם החזיק בה ג"ש, וטוען המחזיק קמי דידי זבנה מינך, דהיינו שהוא יודע בודאי שהמוכר קנאה מהמערער, הוא נאמן במיגו דהיה טוען למערער מינך זבינתה ויש לו חזקת ג"ש, ומוכח דס"ל </w:t>
      </w:r>
      <w:r w:rsidRPr="00A75CA9">
        <w:rPr>
          <w:rStyle w:val="af9"/>
          <w:rFonts w:hint="cs"/>
          <w:rtl/>
        </w:rPr>
        <w:t>להרשב"ם</w:t>
      </w:r>
      <w:r w:rsidRPr="00A75CA9">
        <w:rPr>
          <w:rFonts w:hint="cs"/>
          <w:rtl/>
        </w:rPr>
        <w:t xml:space="preserve"> דהא דנאמן בטענת מינך זבינתה, הוא כיון שיש לו חזקת ג"ש, ואינו נאמן בלא חזקה במיגו דלא הייתה של המערער כלל.</w:t>
      </w:r>
    </w:p>
    <w:p w:rsidR="005306EB" w:rsidRPr="00FF0FC4" w:rsidRDefault="005306EB" w:rsidP="005306EB">
      <w:pPr>
        <w:pStyle w:val="a3"/>
        <w:rPr>
          <w:rtl/>
        </w:rPr>
      </w:pPr>
    </w:p>
    <w:p w:rsidR="005306EB" w:rsidRPr="00A75CA9" w:rsidRDefault="005306EB" w:rsidP="005306EB">
      <w:pPr>
        <w:pStyle w:val="a3"/>
        <w:rPr>
          <w:rtl/>
        </w:rPr>
      </w:pPr>
      <w:bookmarkStart w:id="11759" w:name="_Toc61469417"/>
      <w:bookmarkStart w:id="11760" w:name="_Toc61509795"/>
      <w:r>
        <w:rPr>
          <w:rFonts w:hint="cs"/>
          <w:rtl/>
        </w:rPr>
        <w:t>קו' הדרישה דיש למחזיק הפה שאסר וא"א לומר דלהד"ם הוא טענה גרועה דהא המוכר נאמן בה</w:t>
      </w:r>
      <w:bookmarkEnd w:id="11759"/>
      <w:bookmarkEnd w:id="11760"/>
    </w:p>
    <w:p w:rsidR="005306EB" w:rsidRPr="00A75CA9" w:rsidRDefault="005306EB" w:rsidP="007E4E81">
      <w:pPr>
        <w:pStyle w:val="a0"/>
        <w:rPr>
          <w:rtl/>
        </w:rPr>
      </w:pPr>
      <w:r w:rsidRPr="00A75CA9">
        <w:rPr>
          <w:rFonts w:hint="cs"/>
          <w:rtl/>
        </w:rPr>
        <w:t xml:space="preserve">והקשה </w:t>
      </w:r>
      <w:r w:rsidRPr="00A75CA9">
        <w:rPr>
          <w:rStyle w:val="af9"/>
          <w:rFonts w:hint="cs"/>
          <w:rtl/>
        </w:rPr>
        <w:t>הדרישה</w:t>
      </w:r>
      <w:r w:rsidRPr="00A75CA9">
        <w:rPr>
          <w:rFonts w:hint="cs"/>
          <w:rtl/>
        </w:rPr>
        <w:t xml:space="preserve"> דאמאי אינו נאמן מדין הפה שאסר, דהא א"א לומר דס"ל </w:t>
      </w:r>
      <w:r w:rsidRPr="00A75CA9">
        <w:rPr>
          <w:rStyle w:val="af9"/>
          <w:rFonts w:hint="cs"/>
          <w:rtl/>
        </w:rPr>
        <w:t>להרשב"ם</w:t>
      </w:r>
      <w:r w:rsidRPr="00A75CA9">
        <w:rPr>
          <w:rFonts w:hint="cs"/>
          <w:rtl/>
        </w:rPr>
        <w:t xml:space="preserve"> דטענת לא הייתה שלך מעולם היא טענה גרועה, כיון שהוא יודע שבאמת הייתה של המערער וירא שמא יביא עדים ויוחזק כפרן, משא"כ בטענת מינך זבינתה דאף אם יביא המערער עדים, מ"מ הוא לא יוחזק כפרן, דא"כ אמאי המוכר נאמן במיגו באותו טענה, הרי אף המוכר ירא כמו המחזיק</w:t>
      </w:r>
      <w:r>
        <w:rPr>
          <w:rStyle w:val="af1"/>
          <w:rtl/>
        </w:rPr>
        <w:footnoteReference w:id="71"/>
      </w:r>
      <w:r w:rsidRPr="00A75CA9">
        <w:rPr>
          <w:rFonts w:hint="cs"/>
          <w:rtl/>
        </w:rPr>
        <w:t>,</w:t>
      </w:r>
      <w:r w:rsidRPr="003822EB">
        <w:rPr>
          <w:rStyle w:val="afb"/>
          <w:rFonts w:hint="cs"/>
          <w:rtl/>
        </w:rPr>
        <w:t xml:space="preserve"> </w:t>
      </w:r>
      <w:r w:rsidRPr="00B11687">
        <w:rPr>
          <w:rStyle w:val="afb"/>
          <w:rFonts w:hint="cs"/>
          <w:rtl/>
        </w:rPr>
        <w:t xml:space="preserve">[ועי' במ"ש </w:t>
      </w:r>
      <w:r w:rsidRPr="0095024C">
        <w:rPr>
          <w:rStyle w:val="affa"/>
          <w:rFonts w:hint="cs"/>
          <w:rtl/>
        </w:rPr>
        <w:t>הפלפולא חריפתא</w:t>
      </w:r>
      <w:r w:rsidRPr="0095024C">
        <w:rPr>
          <w:rFonts w:hint="cs"/>
          <w:rtl/>
        </w:rPr>
        <w:t xml:space="preserve"> </w:t>
      </w:r>
      <w:r w:rsidRPr="0095024C">
        <w:rPr>
          <w:rStyle w:val="aff6"/>
          <w:rFonts w:hint="cs"/>
          <w:rtl/>
        </w:rPr>
        <w:t>(על הרא"ש סי' ז' או' י'</w:t>
      </w:r>
      <w:r w:rsidRPr="000C4E1D">
        <w:rPr>
          <w:rStyle w:val="aff6"/>
          <w:rFonts w:hint="cs"/>
          <w:rtl/>
        </w:rPr>
        <w:t>, הובא בסימן ח' אות נ"ג)</w:t>
      </w:r>
      <w:r w:rsidRPr="00B11687">
        <w:rPr>
          <w:rStyle w:val="afb"/>
          <w:rFonts w:hint="cs"/>
          <w:rtl/>
        </w:rPr>
        <w:t xml:space="preserve"> דרק המחזיק ירא לטעון דלא הייתה של המערער מעולם], </w:t>
      </w:r>
      <w:r>
        <w:rPr>
          <w:rFonts w:hint="cs"/>
          <w:rtl/>
        </w:rPr>
        <w:t xml:space="preserve">ועי' במה שתירץ </w:t>
      </w:r>
      <w:r w:rsidRPr="00385C97">
        <w:rPr>
          <w:rStyle w:val="af9"/>
          <w:rFonts w:hint="cs"/>
          <w:rtl/>
        </w:rPr>
        <w:t>הדרישה</w:t>
      </w:r>
      <w:r>
        <w:rPr>
          <w:rFonts w:hint="cs"/>
          <w:rtl/>
        </w:rPr>
        <w:t xml:space="preserve"> </w:t>
      </w:r>
      <w:r w:rsidRPr="00385C97">
        <w:rPr>
          <w:rStyle w:val="af7"/>
          <w:rFonts w:eastAsia="Guttman Hodes" w:hint="cs"/>
          <w:rtl/>
        </w:rPr>
        <w:t xml:space="preserve">(עי' אות </w:t>
      </w:r>
      <w:r w:rsidRPr="00385C97">
        <w:rPr>
          <w:rStyle w:val="af7"/>
          <w:rFonts w:eastAsia="Guttman Hodes"/>
          <w:rtl/>
        </w:rPr>
        <w:fldChar w:fldCharType="begin"/>
      </w:r>
      <w:r w:rsidRPr="00385C97">
        <w:rPr>
          <w:rStyle w:val="af7"/>
          <w:rFonts w:eastAsia="Guttman Hodes"/>
          <w:rtl/>
        </w:rPr>
        <w:instrText xml:space="preserve"> </w:instrText>
      </w:r>
      <w:r w:rsidRPr="00385C97">
        <w:rPr>
          <w:rStyle w:val="af7"/>
          <w:rFonts w:eastAsia="Guttman Hodes" w:hint="cs"/>
        </w:rPr>
        <w:instrText>REF</w:instrText>
      </w:r>
      <w:r w:rsidRPr="00385C97">
        <w:rPr>
          <w:rStyle w:val="af7"/>
          <w:rFonts w:eastAsia="Guttman Hodes" w:hint="cs"/>
          <w:rtl/>
        </w:rPr>
        <w:instrText xml:space="preserve"> _</w:instrText>
      </w:r>
      <w:r w:rsidRPr="00385C97">
        <w:rPr>
          <w:rStyle w:val="af7"/>
          <w:rFonts w:eastAsia="Guttman Hodes" w:hint="cs"/>
        </w:rPr>
        <w:instrText>Ref61448588 \r \h</w:instrText>
      </w:r>
      <w:r w:rsidRPr="00385C97">
        <w:rPr>
          <w:rStyle w:val="af7"/>
          <w:rFonts w:eastAsia="Guttman Hodes"/>
          <w:rtl/>
        </w:rPr>
        <w:instrText xml:space="preserve"> </w:instrText>
      </w:r>
      <w:r w:rsidRPr="00385C97">
        <w:rPr>
          <w:rStyle w:val="af7"/>
          <w:rFonts w:eastAsia="Guttman Hodes"/>
          <w:rtl/>
        </w:rPr>
      </w:r>
      <w:r w:rsidRPr="00385C97">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385C97">
        <w:rPr>
          <w:rStyle w:val="af7"/>
          <w:rFonts w:eastAsia="Guttman Hodes"/>
          <w:rtl/>
        </w:rPr>
        <w:fldChar w:fldCharType="end"/>
      </w:r>
      <w:r>
        <w:rPr>
          <w:rFonts w:hint="cs"/>
          <w:rtl/>
        </w:rPr>
        <w:t xml:space="preserve"> דס"ל </w:t>
      </w:r>
      <w:r w:rsidRPr="00385C97">
        <w:rPr>
          <w:rStyle w:val="af9"/>
          <w:rFonts w:hint="cs"/>
          <w:rtl/>
        </w:rPr>
        <w:t>להרשב"ם</w:t>
      </w:r>
      <w:r>
        <w:rPr>
          <w:rFonts w:hint="cs"/>
          <w:rtl/>
        </w:rPr>
        <w:t xml:space="preserve"> דבתוך ג"ש אינו נאמן במיגו, כנגד אחוי שטרך</w:t>
      </w:r>
      <w:r w:rsidRPr="00A75CA9">
        <w:rPr>
          <w:rFonts w:hint="cs"/>
          <w:rtl/>
        </w:rPr>
        <w:t>.</w:t>
      </w:r>
    </w:p>
    <w:p w:rsidR="005306EB" w:rsidRPr="003C4BCF" w:rsidRDefault="005306EB" w:rsidP="005306EB">
      <w:pPr>
        <w:pStyle w:val="a3"/>
        <w:rPr>
          <w:rtl/>
        </w:rPr>
      </w:pPr>
      <w:bookmarkStart w:id="11761" w:name="_Toc61469418"/>
      <w:bookmarkStart w:id="11762" w:name="_Toc61509796"/>
      <w:r>
        <w:rPr>
          <w:rFonts w:hint="cs"/>
          <w:rtl/>
        </w:rPr>
        <w:t>קושית התורת חיים והביה"ל על הרשב"ם דאף שאין לו שטר או חזקה מ"מ נאמן במיגו דלהד"ם</w:t>
      </w:r>
      <w:bookmarkEnd w:id="11761"/>
      <w:bookmarkEnd w:id="11762"/>
    </w:p>
    <w:p w:rsidR="005306EB" w:rsidRPr="00A92CFD" w:rsidRDefault="005306EB" w:rsidP="007E4E81">
      <w:pPr>
        <w:pStyle w:val="a0"/>
        <w:rPr>
          <w:sz w:val="10"/>
          <w:szCs w:val="14"/>
          <w:rtl/>
        </w:rPr>
      </w:pPr>
      <w:r>
        <w:rPr>
          <w:rFonts w:hint="cs"/>
          <w:rtl/>
        </w:rPr>
        <w:t xml:space="preserve">וכן הקשה </w:t>
      </w:r>
      <w:r w:rsidRPr="007F1AAA">
        <w:rPr>
          <w:rStyle w:val="af9"/>
          <w:rFonts w:hint="cs"/>
          <w:rtl/>
        </w:rPr>
        <w:t>התורת</w:t>
      </w:r>
      <w:r>
        <w:rPr>
          <w:rFonts w:hint="cs"/>
          <w:rtl/>
        </w:rPr>
        <w:t xml:space="preserve"> </w:t>
      </w:r>
      <w:r w:rsidRPr="007F1AAA">
        <w:rPr>
          <w:rStyle w:val="af9"/>
          <w:rFonts w:hint="cs"/>
          <w:rtl/>
        </w:rPr>
        <w:t>חיים</w:t>
      </w:r>
      <w:r>
        <w:rPr>
          <w:rFonts w:hint="cs"/>
          <w:rtl/>
        </w:rPr>
        <w:t xml:space="preserve"> </w:t>
      </w:r>
      <w:r w:rsidRPr="00A92CFD">
        <w:rPr>
          <w:rStyle w:val="af7"/>
          <w:rFonts w:eastAsia="Guttman Hodes" w:hint="cs"/>
          <w:rtl/>
        </w:rPr>
        <w:t>(ד"ה ואת)</w:t>
      </w:r>
      <w:r>
        <w:rPr>
          <w:rFonts w:hint="cs"/>
          <w:rtl/>
        </w:rPr>
        <w:t xml:space="preserve"> על </w:t>
      </w:r>
      <w:r w:rsidRPr="007F1AAA">
        <w:rPr>
          <w:rStyle w:val="af9"/>
          <w:rFonts w:hint="cs"/>
          <w:rtl/>
        </w:rPr>
        <w:t>הרשב"ם</w:t>
      </w:r>
      <w:r>
        <w:rPr>
          <w:rFonts w:hint="cs"/>
          <w:rtl/>
        </w:rPr>
        <w:t xml:space="preserve"> דאף שאין לו שטר וחזקה, מ"מ הוא נאמן במיגו דהיה טוען שלא הייתה של המערער מעולם, כמבואר בדברי </w:t>
      </w:r>
      <w:r w:rsidRPr="007F1AAA">
        <w:rPr>
          <w:rStyle w:val="af9"/>
          <w:rFonts w:hint="cs"/>
          <w:rtl/>
        </w:rPr>
        <w:t>התוס'</w:t>
      </w:r>
      <w:r>
        <w:rPr>
          <w:rFonts w:hint="cs"/>
          <w:rtl/>
        </w:rPr>
        <w:t xml:space="preserve"> </w:t>
      </w:r>
      <w:r w:rsidRPr="00A92CFD">
        <w:rPr>
          <w:rStyle w:val="af7"/>
          <w:rFonts w:eastAsia="Guttman Hodes" w:hint="cs"/>
          <w:rtl/>
        </w:rPr>
        <w:t xml:space="preserve">(עי' אות </w:t>
      </w:r>
      <w:r w:rsidRPr="00A92CFD">
        <w:rPr>
          <w:rStyle w:val="af7"/>
          <w:rFonts w:eastAsia="Guttman Hodes"/>
          <w:rtl/>
        </w:rPr>
        <w:fldChar w:fldCharType="begin"/>
      </w:r>
      <w:r w:rsidRPr="00A92CFD">
        <w:rPr>
          <w:rStyle w:val="af7"/>
          <w:rFonts w:eastAsia="Guttman Hodes"/>
          <w:rtl/>
        </w:rPr>
        <w:instrText xml:space="preserve"> </w:instrText>
      </w:r>
      <w:r w:rsidRPr="00A92CFD">
        <w:rPr>
          <w:rStyle w:val="af7"/>
          <w:rFonts w:eastAsia="Guttman Hodes" w:hint="cs"/>
        </w:rPr>
        <w:instrText>REF</w:instrText>
      </w:r>
      <w:r w:rsidRPr="00A92CFD">
        <w:rPr>
          <w:rStyle w:val="af7"/>
          <w:rFonts w:eastAsia="Guttman Hodes" w:hint="cs"/>
          <w:rtl/>
        </w:rPr>
        <w:instrText xml:space="preserve"> _</w:instrText>
      </w:r>
      <w:r w:rsidRPr="00A92CFD">
        <w:rPr>
          <w:rStyle w:val="af7"/>
          <w:rFonts w:eastAsia="Guttman Hodes" w:hint="cs"/>
        </w:rPr>
        <w:instrText>Ref61253162 \r \h</w:instrText>
      </w:r>
      <w:r w:rsidRPr="00A92CFD">
        <w:rPr>
          <w:rStyle w:val="af7"/>
          <w:rFonts w:eastAsia="Guttman Hodes"/>
          <w:rtl/>
        </w:rPr>
        <w:instrText xml:space="preserve">  \* </w:instrText>
      </w:r>
      <w:r w:rsidRPr="00A92CFD">
        <w:rPr>
          <w:rStyle w:val="af7"/>
          <w:rFonts w:eastAsia="Guttman Hodes"/>
        </w:rPr>
        <w:instrText>MERGEFORMAT</w:instrText>
      </w:r>
      <w:r w:rsidRPr="00A92CFD">
        <w:rPr>
          <w:rStyle w:val="af7"/>
          <w:rFonts w:eastAsia="Guttman Hodes"/>
          <w:rtl/>
        </w:rPr>
        <w:instrText xml:space="preserve"> </w:instrText>
      </w:r>
      <w:r w:rsidRPr="00A92CFD">
        <w:rPr>
          <w:rStyle w:val="af7"/>
          <w:rFonts w:eastAsia="Guttman Hodes"/>
          <w:rtl/>
        </w:rPr>
      </w:r>
      <w:r w:rsidRPr="00A92CFD">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92CFD">
        <w:rPr>
          <w:rStyle w:val="af7"/>
          <w:rFonts w:eastAsia="Guttman Hodes"/>
          <w:rtl/>
        </w:rPr>
        <w:fldChar w:fldCharType="end"/>
      </w:r>
      <w:r>
        <w:rPr>
          <w:rFonts w:hint="cs"/>
          <w:rtl/>
        </w:rPr>
        <w:t xml:space="preserve">, </w:t>
      </w:r>
      <w:bookmarkEnd w:id="11750"/>
      <w:bookmarkEnd w:id="11751"/>
      <w:bookmarkEnd w:id="11752"/>
      <w:bookmarkEnd w:id="11753"/>
      <w:bookmarkEnd w:id="11754"/>
      <w:r>
        <w:rPr>
          <w:rFonts w:hint="cs"/>
          <w:rtl/>
        </w:rPr>
        <w:t xml:space="preserve">וכן הקשה </w:t>
      </w:r>
      <w:r w:rsidRPr="00A16FA8">
        <w:rPr>
          <w:rStyle w:val="af9"/>
          <w:rFonts w:hint="cs"/>
          <w:rtl/>
        </w:rPr>
        <w:t>הבית הלוי</w:t>
      </w:r>
      <w:r>
        <w:rPr>
          <w:rFonts w:hint="cs"/>
          <w:rtl/>
        </w:rPr>
        <w:t xml:space="preserve"> </w:t>
      </w:r>
      <w:r w:rsidRPr="00A92CFD">
        <w:rPr>
          <w:rStyle w:val="af7"/>
          <w:rFonts w:eastAsia="Guttman Hodes" w:hint="cs"/>
          <w:rtl/>
        </w:rPr>
        <w:t xml:space="preserve">(ח"ג סי' ל"ו או' א' ד"ה אמנם) </w:t>
      </w:r>
      <w:r>
        <w:rPr>
          <w:rFonts w:hint="cs"/>
          <w:rtl/>
        </w:rPr>
        <w:t xml:space="preserve">דהרי כתב </w:t>
      </w:r>
      <w:r w:rsidRPr="00A16FA8">
        <w:rPr>
          <w:rStyle w:val="af9"/>
          <w:rFonts w:hint="cs"/>
          <w:rtl/>
        </w:rPr>
        <w:t>הרשב"ם</w:t>
      </w:r>
      <w:r>
        <w:rPr>
          <w:rFonts w:hint="cs"/>
          <w:rtl/>
        </w:rPr>
        <w:t xml:space="preserve"> </w:t>
      </w:r>
      <w:r w:rsidRPr="00A92CFD">
        <w:rPr>
          <w:rStyle w:val="af7"/>
          <w:rFonts w:eastAsia="Guttman Hodes" w:hint="cs"/>
          <w:rtl/>
        </w:rPr>
        <w:t>(ד"ה אמר ליה)</w:t>
      </w:r>
      <w:r>
        <w:rPr>
          <w:rFonts w:hint="cs"/>
          <w:rtl/>
        </w:rPr>
        <w:t xml:space="preserve"> דאין למערער עדים שהייתה שלו, וא"כ אמאי אינו נאמן בלא שטר או חזקה, הא איתא בכתובות </w:t>
      </w:r>
      <w:r w:rsidRPr="00A92CFD">
        <w:rPr>
          <w:rStyle w:val="af7"/>
          <w:rFonts w:eastAsia="Guttman Hodes" w:hint="cs"/>
          <w:rtl/>
        </w:rPr>
        <w:t xml:space="preserve">(טו:) </w:t>
      </w:r>
      <w:r>
        <w:rPr>
          <w:rFonts w:hint="cs"/>
          <w:rtl/>
        </w:rPr>
        <w:t xml:space="preserve">דנאמן בטענת מינך זבינתה, במיגו דלא הייתה שלך מעולם. </w:t>
      </w:r>
      <w:r w:rsidRPr="00046FF8">
        <w:rPr>
          <w:rStyle w:val="afb"/>
          <w:rFonts w:hint="cs"/>
          <w:rtl/>
        </w:rPr>
        <w:t xml:space="preserve">[והוסיף </w:t>
      </w:r>
      <w:r w:rsidRPr="00EB4F74">
        <w:rPr>
          <w:rStyle w:val="affa"/>
          <w:rFonts w:hint="cs"/>
          <w:rtl/>
        </w:rPr>
        <w:t>הבית הלוי דהרשב"ם לעיל</w:t>
      </w:r>
      <w:r w:rsidRPr="00046FF8">
        <w:rPr>
          <w:rStyle w:val="afb"/>
          <w:rFonts w:hint="cs"/>
          <w:rtl/>
        </w:rPr>
        <w:t xml:space="preserve"> </w:t>
      </w:r>
      <w:r w:rsidRPr="00EB4F74">
        <w:rPr>
          <w:rStyle w:val="aff6"/>
          <w:rFonts w:hint="cs"/>
          <w:rtl/>
        </w:rPr>
        <w:t>(כט: ד"ה עליו, הובא בסימן ז' אות מ"א)</w:t>
      </w:r>
      <w:r w:rsidRPr="00046FF8">
        <w:rPr>
          <w:rStyle w:val="afb"/>
          <w:rFonts w:hint="cs"/>
          <w:rtl/>
        </w:rPr>
        <w:t xml:space="preserve"> כתב דבמעשה דשכוני גוואי, אם לא היה למרא קמא עדים, לכו"ע המחזיק נאמן שקנה מהמערער מדין הפה שאסר, דהיה יכול לומר שהיה שלו מעולם, ולכאו' הוא </w:t>
      </w:r>
      <w:r w:rsidRPr="005D0ADC">
        <w:rPr>
          <w:rStyle w:val="afb"/>
          <w:rFonts w:hint="cs"/>
          <w:rtl/>
        </w:rPr>
        <w:t>סותר לדבריו בסוגיין].</w:t>
      </w:r>
    </w:p>
    <w:p w:rsidR="005306EB" w:rsidRPr="00723A0F" w:rsidRDefault="005306EB" w:rsidP="005306EB">
      <w:pPr>
        <w:pStyle w:val="a3"/>
        <w:rPr>
          <w:rtl/>
        </w:rPr>
      </w:pPr>
      <w:bookmarkStart w:id="11763" w:name="_Toc61469419"/>
      <w:bookmarkStart w:id="11764" w:name="_Toc61509797"/>
      <w:r>
        <w:rPr>
          <w:rFonts w:hint="cs"/>
          <w:rtl/>
        </w:rPr>
        <w:t>קושית התורת חיים על הרשב"ם דאי אינו נאמן במינך זבינתה אמאי א"ל המערער כן</w:t>
      </w:r>
      <w:bookmarkEnd w:id="11763"/>
      <w:bookmarkEnd w:id="11764"/>
    </w:p>
    <w:p w:rsidR="005306EB" w:rsidRDefault="005306EB" w:rsidP="007E4E81">
      <w:pPr>
        <w:pStyle w:val="a0"/>
        <w:rPr>
          <w:rtl/>
        </w:rPr>
      </w:pPr>
      <w:bookmarkStart w:id="11765" w:name="_Ref61213718"/>
      <w:r>
        <w:rPr>
          <w:rFonts w:hint="cs"/>
          <w:rtl/>
        </w:rPr>
        <w:t xml:space="preserve">ועוד הקשה </w:t>
      </w:r>
      <w:r w:rsidRPr="007F1AAA">
        <w:rPr>
          <w:rStyle w:val="af9"/>
          <w:rFonts w:hint="cs"/>
          <w:rtl/>
        </w:rPr>
        <w:t>התורת</w:t>
      </w:r>
      <w:r>
        <w:rPr>
          <w:rFonts w:hint="cs"/>
          <w:rtl/>
        </w:rPr>
        <w:t xml:space="preserve"> </w:t>
      </w:r>
      <w:r w:rsidRPr="007F1AAA">
        <w:rPr>
          <w:rStyle w:val="af9"/>
          <w:rFonts w:hint="cs"/>
          <w:rtl/>
        </w:rPr>
        <w:t>חיים</w:t>
      </w:r>
      <w:r>
        <w:rPr>
          <w:rFonts w:hint="cs"/>
          <w:rtl/>
        </w:rPr>
        <w:t xml:space="preserve"> </w:t>
      </w:r>
      <w:r w:rsidRPr="003E3F2C">
        <w:rPr>
          <w:rStyle w:val="af7"/>
          <w:rFonts w:eastAsia="Guttman Hodes" w:hint="cs"/>
          <w:rtl/>
        </w:rPr>
        <w:t>(ד"ה ואת)</w:t>
      </w:r>
      <w:r>
        <w:rPr>
          <w:rFonts w:hint="cs"/>
          <w:rtl/>
        </w:rPr>
        <w:t xml:space="preserve"> על </w:t>
      </w:r>
      <w:r w:rsidRPr="007F1AAA">
        <w:rPr>
          <w:rStyle w:val="af9"/>
          <w:rFonts w:hint="cs"/>
          <w:rtl/>
        </w:rPr>
        <w:t>הרשב"ם</w:t>
      </w:r>
      <w:r>
        <w:rPr>
          <w:rFonts w:hint="cs"/>
          <w:rtl/>
        </w:rPr>
        <w:t xml:space="preserve"> </w:t>
      </w:r>
      <w:r w:rsidRPr="00404E9B">
        <w:rPr>
          <w:rStyle w:val="af7"/>
          <w:rFonts w:eastAsia="Guttman Hodes" w:hint="cs"/>
          <w:rtl/>
        </w:rPr>
        <w:t xml:space="preserve">(עי' אות </w:t>
      </w:r>
      <w:r w:rsidRPr="00404E9B">
        <w:rPr>
          <w:rStyle w:val="af7"/>
          <w:rFonts w:eastAsia="Guttman Hodes"/>
          <w:rtl/>
        </w:rPr>
        <w:fldChar w:fldCharType="begin"/>
      </w:r>
      <w:r w:rsidRPr="00404E9B">
        <w:rPr>
          <w:rStyle w:val="af7"/>
          <w:rFonts w:eastAsia="Guttman Hodes"/>
          <w:rtl/>
        </w:rPr>
        <w:instrText xml:space="preserve"> </w:instrText>
      </w:r>
      <w:r w:rsidRPr="00404E9B">
        <w:rPr>
          <w:rStyle w:val="af7"/>
          <w:rFonts w:eastAsia="Guttman Hodes" w:hint="cs"/>
        </w:rPr>
        <w:instrText>REF</w:instrText>
      </w:r>
      <w:r w:rsidRPr="00404E9B">
        <w:rPr>
          <w:rStyle w:val="af7"/>
          <w:rFonts w:eastAsia="Guttman Hodes" w:hint="cs"/>
          <w:rtl/>
        </w:rPr>
        <w:instrText xml:space="preserve"> _</w:instrText>
      </w:r>
      <w:r w:rsidRPr="00404E9B">
        <w:rPr>
          <w:rStyle w:val="af7"/>
          <w:rFonts w:eastAsia="Guttman Hodes" w:hint="cs"/>
        </w:rPr>
        <w:instrText>Ref61384635 \r \h</w:instrText>
      </w:r>
      <w:r w:rsidRPr="00404E9B">
        <w:rPr>
          <w:rStyle w:val="af7"/>
          <w:rFonts w:eastAsia="Guttman Hodes"/>
          <w:rtl/>
        </w:rPr>
        <w:instrText xml:space="preserve"> </w:instrText>
      </w:r>
      <w:r w:rsidRPr="00404E9B">
        <w:rPr>
          <w:rStyle w:val="af7"/>
          <w:rFonts w:eastAsia="Guttman Hodes"/>
          <w:rtl/>
        </w:rPr>
      </w:r>
      <w:r w:rsidRPr="00404E9B">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404E9B">
        <w:rPr>
          <w:rStyle w:val="af7"/>
          <w:rFonts w:eastAsia="Guttman Hodes"/>
          <w:rtl/>
        </w:rPr>
        <w:fldChar w:fldCharType="end"/>
      </w:r>
      <w:r>
        <w:rPr>
          <w:rFonts w:hint="cs"/>
          <w:rtl/>
        </w:rPr>
        <w:t xml:space="preserve"> דבטענת המערער ואת מינאי לא זבינתה, משמע דכוונת המערער לומר דאם היה טוען מינך זבינתה היה נאמן, במיגו דהיה טוען שלא הייתה של המערער מעולם, אבל לדברי </w:t>
      </w:r>
      <w:r w:rsidRPr="007F1AAA">
        <w:rPr>
          <w:rStyle w:val="af9"/>
          <w:rFonts w:hint="cs"/>
          <w:rtl/>
        </w:rPr>
        <w:t>הרשב"ם</w:t>
      </w:r>
      <w:r>
        <w:rPr>
          <w:rFonts w:hint="cs"/>
          <w:rtl/>
        </w:rPr>
        <w:t xml:space="preserve"> דאינו נאמן אף בטענת מינך זבינתה כיון שאין לו שטר או חזקה, א"כ קשה אמאי הוצרך המחזיק לומר ואת מינאי לא זבינתה, ועי' במה שתירץ </w:t>
      </w:r>
      <w:r w:rsidRPr="007F1AAA">
        <w:rPr>
          <w:rStyle w:val="af9"/>
          <w:rFonts w:hint="cs"/>
          <w:rtl/>
        </w:rPr>
        <w:t>הפני שלמה</w:t>
      </w:r>
      <w:r>
        <w:rPr>
          <w:rFonts w:hint="cs"/>
          <w:rtl/>
        </w:rPr>
        <w:t xml:space="preserve"> </w:t>
      </w:r>
      <w:r w:rsidRPr="003E3F2C">
        <w:rPr>
          <w:rStyle w:val="af7"/>
          <w:rFonts w:eastAsia="Guttman Hodes" w:hint="cs"/>
          <w:rtl/>
        </w:rPr>
        <w:t xml:space="preserve">(עי' אות </w:t>
      </w:r>
      <w:r w:rsidRPr="003E3F2C">
        <w:rPr>
          <w:rStyle w:val="af7"/>
          <w:rFonts w:eastAsia="Guttman Hodes"/>
          <w:rtl/>
        </w:rPr>
        <w:fldChar w:fldCharType="begin"/>
      </w:r>
      <w:r w:rsidRPr="003E3F2C">
        <w:rPr>
          <w:rStyle w:val="af7"/>
          <w:rFonts w:eastAsia="Guttman Hodes"/>
          <w:rtl/>
        </w:rPr>
        <w:instrText xml:space="preserve"> </w:instrText>
      </w:r>
      <w:r w:rsidRPr="003E3F2C">
        <w:rPr>
          <w:rStyle w:val="af7"/>
          <w:rFonts w:eastAsia="Guttman Hodes" w:hint="cs"/>
        </w:rPr>
        <w:instrText>REF</w:instrText>
      </w:r>
      <w:r w:rsidRPr="003E3F2C">
        <w:rPr>
          <w:rStyle w:val="af7"/>
          <w:rFonts w:eastAsia="Guttman Hodes" w:hint="cs"/>
          <w:rtl/>
        </w:rPr>
        <w:instrText xml:space="preserve"> _</w:instrText>
      </w:r>
      <w:r w:rsidRPr="003E3F2C">
        <w:rPr>
          <w:rStyle w:val="af7"/>
          <w:rFonts w:eastAsia="Guttman Hodes" w:hint="cs"/>
        </w:rPr>
        <w:instrText>Ref61213740 \r \h</w:instrText>
      </w:r>
      <w:r w:rsidRPr="003E3F2C">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E3F2C">
        <w:rPr>
          <w:rStyle w:val="af7"/>
          <w:rFonts w:eastAsia="Guttman Hodes"/>
          <w:rtl/>
        </w:rPr>
      </w:r>
      <w:r w:rsidRPr="003E3F2C">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3E3F2C">
        <w:rPr>
          <w:rStyle w:val="af7"/>
          <w:rFonts w:eastAsia="Guttman Hodes"/>
          <w:rtl/>
        </w:rPr>
        <w:fldChar w:fldCharType="end"/>
      </w:r>
      <w:r>
        <w:rPr>
          <w:rFonts w:hint="cs"/>
          <w:rtl/>
        </w:rPr>
        <w:t>.</w:t>
      </w:r>
      <w:bookmarkEnd w:id="11765"/>
      <w:r w:rsidRPr="00646B21">
        <w:rPr>
          <w:rtl/>
        </w:rPr>
        <w:t xml:space="preserve"> </w:t>
      </w:r>
    </w:p>
    <w:p w:rsidR="005306EB" w:rsidRDefault="005306EB" w:rsidP="005306EB">
      <w:pPr>
        <w:pStyle w:val="1"/>
        <w:rPr>
          <w:rtl/>
        </w:rPr>
      </w:pPr>
      <w:bookmarkStart w:id="11766" w:name="_Toc61469420"/>
      <w:bookmarkStart w:id="11767" w:name="_Toc61509798"/>
      <w:bookmarkStart w:id="11768" w:name="_Toc61213878"/>
      <w:bookmarkStart w:id="11769" w:name="_Toc61388254"/>
      <w:bookmarkStart w:id="11770" w:name="_Toc61430915"/>
      <w:bookmarkStart w:id="11771" w:name="_Toc61433958"/>
      <w:bookmarkStart w:id="11772" w:name="_Toc61438684"/>
      <w:r>
        <w:rPr>
          <w:rFonts w:hint="cs"/>
          <w:rtl/>
        </w:rPr>
        <w:t>קושית הביה"ל בסתירת דברי הרשב"ם אי בסוגיין מהני חזקה</w:t>
      </w:r>
      <w:bookmarkEnd w:id="11766"/>
      <w:bookmarkEnd w:id="11767"/>
    </w:p>
    <w:p w:rsidR="005306EB" w:rsidRDefault="005306EB" w:rsidP="005306EB">
      <w:pPr>
        <w:pStyle w:val="a3"/>
        <w:rPr>
          <w:rtl/>
        </w:rPr>
      </w:pPr>
      <w:bookmarkStart w:id="11773" w:name="_Toc61469421"/>
      <w:bookmarkStart w:id="11774" w:name="_Toc61509799"/>
      <w:r>
        <w:rPr>
          <w:rFonts w:hint="cs"/>
          <w:rtl/>
        </w:rPr>
        <w:t>קושית הביה"ל בסתירת הרשב"ם אי המחזיק זוכה בקרקע כשיש לו חזקה או דאין עמה טענה</w:t>
      </w:r>
      <w:bookmarkEnd w:id="11773"/>
      <w:bookmarkEnd w:id="11774"/>
    </w:p>
    <w:p w:rsidR="005306EB" w:rsidRDefault="005306EB" w:rsidP="007E4E81">
      <w:pPr>
        <w:pStyle w:val="a0"/>
        <w:rPr>
          <w:rtl/>
        </w:rPr>
      </w:pPr>
      <w:bookmarkStart w:id="11775" w:name="_Ref61465968"/>
      <w:r>
        <w:rPr>
          <w:rFonts w:hint="cs"/>
          <w:rtl/>
        </w:rPr>
        <w:t>ועוד הקשה</w:t>
      </w:r>
      <w:r w:rsidRPr="005F0706">
        <w:rPr>
          <w:rFonts w:hint="cs"/>
          <w:rtl/>
        </w:rPr>
        <w:t xml:space="preserve"> </w:t>
      </w:r>
      <w:r w:rsidRPr="00A16FA8">
        <w:rPr>
          <w:rStyle w:val="af9"/>
          <w:rFonts w:hint="cs"/>
          <w:rtl/>
        </w:rPr>
        <w:t>הבית הלוי</w:t>
      </w:r>
      <w:r w:rsidRPr="005F0706">
        <w:rPr>
          <w:rFonts w:hint="cs"/>
          <w:rtl/>
        </w:rPr>
        <w:t xml:space="preserve"> </w:t>
      </w:r>
      <w:r>
        <w:rPr>
          <w:rStyle w:val="af7"/>
          <w:rFonts w:eastAsia="Guttman Hodes" w:hint="cs"/>
          <w:rtl/>
        </w:rPr>
        <w:t>(ח"ג סי' ל"ו ריש או' ב')</w:t>
      </w:r>
      <w:r>
        <w:rPr>
          <w:rFonts w:hint="cs"/>
          <w:rtl/>
        </w:rPr>
        <w:t xml:space="preserve"> דממ"ש </w:t>
      </w:r>
      <w:r>
        <w:rPr>
          <w:rStyle w:val="af9"/>
          <w:rtl/>
        </w:rPr>
        <w:t>הרשב"ם</w:t>
      </w:r>
      <w:r>
        <w:rPr>
          <w:rFonts w:hint="cs"/>
          <w:rtl/>
        </w:rPr>
        <w:t xml:space="preserve"> </w:t>
      </w:r>
      <w:r w:rsidRPr="008F15D2">
        <w:rPr>
          <w:rStyle w:val="af7"/>
          <w:rFonts w:eastAsia="Guttman Hodes" w:hint="cs"/>
          <w:rtl/>
        </w:rPr>
        <w:t xml:space="preserve">(עי' אות </w:t>
      </w:r>
      <w:r w:rsidRPr="008F15D2">
        <w:rPr>
          <w:rStyle w:val="af7"/>
          <w:rFonts w:eastAsia="Guttman Hodes"/>
          <w:rtl/>
        </w:rPr>
        <w:fldChar w:fldCharType="begin"/>
      </w:r>
      <w:r w:rsidRPr="008F15D2">
        <w:rPr>
          <w:rStyle w:val="af7"/>
          <w:rFonts w:eastAsia="Guttman Hodes"/>
          <w:rtl/>
        </w:rPr>
        <w:instrText xml:space="preserve"> </w:instrText>
      </w:r>
      <w:r w:rsidRPr="008F15D2">
        <w:rPr>
          <w:rStyle w:val="af7"/>
          <w:rFonts w:eastAsia="Guttman Hodes" w:hint="cs"/>
        </w:rPr>
        <w:instrText>REF</w:instrText>
      </w:r>
      <w:r w:rsidRPr="008F15D2">
        <w:rPr>
          <w:rStyle w:val="af7"/>
          <w:rFonts w:eastAsia="Guttman Hodes" w:hint="cs"/>
          <w:rtl/>
        </w:rPr>
        <w:instrText xml:space="preserve"> _</w:instrText>
      </w:r>
      <w:r w:rsidRPr="008F15D2">
        <w:rPr>
          <w:rStyle w:val="af7"/>
          <w:rFonts w:eastAsia="Guttman Hodes" w:hint="cs"/>
        </w:rPr>
        <w:instrText>Ref61446774 \r \h</w:instrText>
      </w:r>
      <w:r w:rsidRPr="008F15D2">
        <w:rPr>
          <w:rStyle w:val="af7"/>
          <w:rFonts w:eastAsia="Guttman Hodes"/>
          <w:rtl/>
        </w:rPr>
        <w:instrText xml:space="preserve"> </w:instrText>
      </w:r>
      <w:r w:rsidRPr="008F15D2">
        <w:rPr>
          <w:rStyle w:val="af7"/>
          <w:rFonts w:eastAsia="Guttman Hodes"/>
          <w:rtl/>
        </w:rPr>
      </w:r>
      <w:r w:rsidRPr="008F15D2">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8F15D2">
        <w:rPr>
          <w:rStyle w:val="af7"/>
          <w:rFonts w:eastAsia="Guttman Hodes"/>
          <w:rtl/>
        </w:rPr>
        <w:fldChar w:fldCharType="end"/>
      </w:r>
      <w:r w:rsidRPr="008F15D2">
        <w:rPr>
          <w:rStyle w:val="af7"/>
          <w:rFonts w:eastAsia="Guttman Hodes" w:hint="cs"/>
          <w:rtl/>
        </w:rPr>
        <w:t xml:space="preserve"> </w:t>
      </w:r>
      <w:r>
        <w:rPr>
          <w:rFonts w:hint="cs"/>
          <w:rtl/>
        </w:rPr>
        <w:t xml:space="preserve">דטוען המערער למחזיק דאני מוחזק בקרקע יותר ממך, כיון שלמחזיק אין חזקת ג"ש, משמע שאם היה למחזיק חזקת ג"ש, היה זוכה בקרקע, והקשה </w:t>
      </w:r>
      <w:r w:rsidRPr="005B4356">
        <w:rPr>
          <w:rStyle w:val="af9"/>
          <w:rFonts w:hint="cs"/>
          <w:rtl/>
        </w:rPr>
        <w:t>הבית הלוי</w:t>
      </w:r>
      <w:r>
        <w:rPr>
          <w:rFonts w:hint="cs"/>
          <w:rtl/>
        </w:rPr>
        <w:t xml:space="preserve"> דהא מבואר בדברי </w:t>
      </w:r>
      <w:r>
        <w:rPr>
          <w:rStyle w:val="af9"/>
          <w:rtl/>
        </w:rPr>
        <w:t>הרשב"ם</w:t>
      </w:r>
      <w:r>
        <w:rPr>
          <w:rFonts w:hint="cs"/>
          <w:rtl/>
        </w:rPr>
        <w:t xml:space="preserve"> דחזקה לא מהני, ממ"ש</w:t>
      </w:r>
      <w:r w:rsidRPr="00C45EE5">
        <w:rPr>
          <w:rStyle w:val="af9"/>
          <w:rtl/>
        </w:rPr>
        <w:t xml:space="preserve"> </w:t>
      </w:r>
      <w:r>
        <w:rPr>
          <w:rStyle w:val="af9"/>
          <w:rtl/>
        </w:rPr>
        <w:t>הרשב"ם</w:t>
      </w:r>
      <w:r>
        <w:rPr>
          <w:rFonts w:hint="cs"/>
          <w:rtl/>
        </w:rPr>
        <w:t xml:space="preserve"> </w:t>
      </w:r>
      <w:r>
        <w:rPr>
          <w:rStyle w:val="af7"/>
          <w:rFonts w:eastAsia="Guttman Hodes" w:hint="cs"/>
          <w:rtl/>
        </w:rPr>
        <w:t>(</w:t>
      </w:r>
      <w:r w:rsidRPr="00A75CA9">
        <w:rPr>
          <w:rStyle w:val="af7"/>
          <w:rFonts w:eastAsia="Guttman Hodes" w:hint="cs"/>
          <w:rtl/>
        </w:rPr>
        <w:t xml:space="preserve">ד"ה אמר ליה, הובא בסימן ח' אות </w:t>
      </w:r>
      <w:r>
        <w:rPr>
          <w:rStyle w:val="af7"/>
          <w:rFonts w:eastAsia="Guttman Hodes" w:hint="cs"/>
          <w:rtl/>
        </w:rPr>
        <w:t>ב'</w:t>
      </w:r>
      <w:r w:rsidRPr="00A75CA9">
        <w:rPr>
          <w:rStyle w:val="af7"/>
          <w:rFonts w:eastAsia="Guttman Hodes" w:hint="cs"/>
          <w:rtl/>
        </w:rPr>
        <w:t xml:space="preserve">) </w:t>
      </w:r>
      <w:r>
        <w:rPr>
          <w:rFonts w:hint="cs"/>
          <w:rtl/>
        </w:rPr>
        <w:t xml:space="preserve">דאף אם יש לו חזקת ג"ש, היא חזקה שאין עמה טענה, דהא המחזיק אינו יודע אם המוכר קנה מהמערער, וכן מבואר בדברי </w:t>
      </w:r>
      <w:r>
        <w:rPr>
          <w:rStyle w:val="af9"/>
          <w:rtl/>
        </w:rPr>
        <w:t>הרשב"ם</w:t>
      </w:r>
      <w:r>
        <w:rPr>
          <w:rFonts w:hint="cs"/>
          <w:rtl/>
        </w:rPr>
        <w:t xml:space="preserve"> </w:t>
      </w:r>
      <w:r w:rsidRPr="009C5850">
        <w:rPr>
          <w:rStyle w:val="af7"/>
          <w:rFonts w:eastAsia="Guttman Hodes" w:hint="cs"/>
          <w:rtl/>
        </w:rPr>
        <w:t xml:space="preserve">(עי' אות </w:t>
      </w:r>
      <w:r w:rsidRPr="009C5850">
        <w:rPr>
          <w:rStyle w:val="af7"/>
          <w:rFonts w:eastAsia="Guttman Hodes"/>
          <w:rtl/>
        </w:rPr>
        <w:fldChar w:fldCharType="begin"/>
      </w:r>
      <w:r w:rsidRPr="009C5850">
        <w:rPr>
          <w:rStyle w:val="af7"/>
          <w:rFonts w:eastAsia="Guttman Hodes"/>
          <w:rtl/>
        </w:rPr>
        <w:instrText xml:space="preserve"> </w:instrText>
      </w:r>
      <w:r w:rsidRPr="009C5850">
        <w:rPr>
          <w:rStyle w:val="af7"/>
          <w:rFonts w:eastAsia="Guttman Hodes" w:hint="cs"/>
        </w:rPr>
        <w:instrText>REF</w:instrText>
      </w:r>
      <w:r w:rsidRPr="009C5850">
        <w:rPr>
          <w:rStyle w:val="af7"/>
          <w:rFonts w:eastAsia="Guttman Hodes" w:hint="cs"/>
          <w:rtl/>
        </w:rPr>
        <w:instrText xml:space="preserve"> _</w:instrText>
      </w:r>
      <w:r w:rsidRPr="009C5850">
        <w:rPr>
          <w:rStyle w:val="af7"/>
          <w:rFonts w:eastAsia="Guttman Hodes" w:hint="cs"/>
        </w:rPr>
        <w:instrText>Ref61449413 \r \h</w:instrText>
      </w:r>
      <w:r w:rsidRPr="009C5850">
        <w:rPr>
          <w:rStyle w:val="af7"/>
          <w:rFonts w:eastAsia="Guttman Hodes"/>
          <w:rtl/>
        </w:rPr>
        <w:instrText xml:space="preserve"> </w:instrText>
      </w:r>
      <w:r w:rsidRPr="009C5850">
        <w:rPr>
          <w:rStyle w:val="af7"/>
          <w:rFonts w:eastAsia="Guttman Hodes"/>
          <w:rtl/>
        </w:rPr>
      </w:r>
      <w:r w:rsidRPr="009C5850">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9C5850">
        <w:rPr>
          <w:rStyle w:val="af7"/>
          <w:rFonts w:eastAsia="Guttman Hodes"/>
          <w:rtl/>
        </w:rPr>
        <w:fldChar w:fldCharType="end"/>
      </w:r>
      <w:r>
        <w:rPr>
          <w:rFonts w:hint="cs"/>
          <w:rtl/>
        </w:rPr>
        <w:t xml:space="preserve"> דכתב בביאור דברי רבא דמעמידים את הקרקע ביד המערער, אף אם החזיק בה ג"ש.</w:t>
      </w:r>
      <w:bookmarkEnd w:id="11775"/>
    </w:p>
    <w:p w:rsidR="005306EB" w:rsidRDefault="005306EB" w:rsidP="005306EB">
      <w:pPr>
        <w:pStyle w:val="a3"/>
        <w:rPr>
          <w:rtl/>
        </w:rPr>
      </w:pPr>
      <w:bookmarkStart w:id="11776" w:name="_Toc61469422"/>
      <w:bookmarkStart w:id="11777" w:name="_Toc61509800"/>
      <w:r>
        <w:rPr>
          <w:rFonts w:hint="cs"/>
          <w:rtl/>
        </w:rPr>
        <w:t>ביאור הביה"ל ברשב"ם דלרבא לקמן זוכה בחזקה דחשיב טענת ברי וקיי"ל כאביי דאינו זוכה</w:t>
      </w:r>
      <w:bookmarkEnd w:id="11776"/>
      <w:bookmarkEnd w:id="11777"/>
    </w:p>
    <w:p w:rsidR="005306EB" w:rsidRDefault="005306EB" w:rsidP="007E4E81">
      <w:pPr>
        <w:pStyle w:val="a0"/>
        <w:rPr>
          <w:rtl/>
        </w:rPr>
      </w:pPr>
      <w:r>
        <w:rPr>
          <w:rFonts w:hint="cs"/>
          <w:rtl/>
        </w:rPr>
        <w:t xml:space="preserve">ועיי"ש במה שביאר </w:t>
      </w:r>
      <w:r w:rsidRPr="00A16FA8">
        <w:rPr>
          <w:rStyle w:val="af9"/>
          <w:rFonts w:hint="cs"/>
          <w:rtl/>
        </w:rPr>
        <w:t>הבית הלוי</w:t>
      </w:r>
      <w:r>
        <w:rPr>
          <w:rFonts w:hint="cs"/>
          <w:rtl/>
        </w:rPr>
        <w:t xml:space="preserve"> </w:t>
      </w:r>
      <w:r w:rsidRPr="003031C9">
        <w:rPr>
          <w:rStyle w:val="af7"/>
          <w:rFonts w:eastAsia="Guttman Hodes" w:hint="cs"/>
          <w:rtl/>
        </w:rPr>
        <w:t>(ח"ג סי' ל"ו או' ב' ד"ה והנראה)</w:t>
      </w:r>
      <w:r>
        <w:rPr>
          <w:rFonts w:hint="cs"/>
          <w:rtl/>
        </w:rPr>
        <w:t xml:space="preserve"> דבגמ' לקמן </w:t>
      </w:r>
      <w:r w:rsidRPr="003031C9">
        <w:rPr>
          <w:rStyle w:val="af7"/>
          <w:rFonts w:eastAsia="Guttman Hodes" w:hint="cs"/>
          <w:rtl/>
        </w:rPr>
        <w:t>(קלה.)</w:t>
      </w:r>
      <w:r>
        <w:rPr>
          <w:rFonts w:hint="cs"/>
          <w:rtl/>
        </w:rPr>
        <w:t xml:space="preserve"> נחלקו אביי ורבא בטוען טענה בשם אחר, והוא עצמו אינו יודע </w:t>
      </w:r>
      <w:r>
        <w:rPr>
          <w:rFonts w:hint="cs"/>
          <w:rtl/>
        </w:rPr>
        <w:lastRenderedPageBreak/>
        <w:t>מה היה, דלרבא חשיב טענת ברי, ולאביי טענת שמא, וכתב הבית הלוי דלרבא כשטוען המחזיק שא"ל המוכר שקנה מהמערער, חשיב כטענת ברי, וכטוען קמי דידי זבנה מינך, וכיון דבסוגיין העמיד רבא את הקרקע ביד המערער, לכן הוצרך הרשב"ם לבאר דבסוגיין איירי שאין למחזיק חזקת ג"ש, ומ"ש</w:t>
      </w:r>
      <w:r w:rsidRPr="00C45EE5">
        <w:rPr>
          <w:rStyle w:val="af9"/>
          <w:rtl/>
        </w:rPr>
        <w:t xml:space="preserve"> </w:t>
      </w:r>
      <w:r>
        <w:rPr>
          <w:rStyle w:val="af9"/>
          <w:rtl/>
        </w:rPr>
        <w:t>הרשב"ם</w:t>
      </w:r>
      <w:r>
        <w:rPr>
          <w:rFonts w:hint="cs"/>
          <w:rtl/>
        </w:rPr>
        <w:t xml:space="preserve"> </w:t>
      </w:r>
      <w:r>
        <w:rPr>
          <w:rStyle w:val="af7"/>
          <w:rFonts w:eastAsia="Guttman Hodes" w:hint="cs"/>
          <w:rtl/>
        </w:rPr>
        <w:t>(</w:t>
      </w:r>
      <w:r w:rsidRPr="00A75CA9">
        <w:rPr>
          <w:rStyle w:val="af7"/>
          <w:rFonts w:eastAsia="Guttman Hodes" w:hint="cs"/>
          <w:rtl/>
        </w:rPr>
        <w:t xml:space="preserve">ד"ה אמר ליה, הובא בסימן ח' אות </w:t>
      </w:r>
      <w:r>
        <w:rPr>
          <w:rStyle w:val="af7"/>
          <w:rFonts w:eastAsia="Guttman Hodes" w:hint="cs"/>
          <w:rtl/>
        </w:rPr>
        <w:t>ב'</w:t>
      </w:r>
      <w:r w:rsidRPr="00A75CA9">
        <w:rPr>
          <w:rStyle w:val="af7"/>
          <w:rFonts w:eastAsia="Guttman Hodes" w:hint="cs"/>
          <w:rtl/>
        </w:rPr>
        <w:t xml:space="preserve">) </w:t>
      </w:r>
      <w:r>
        <w:rPr>
          <w:rFonts w:hint="cs"/>
          <w:rtl/>
        </w:rPr>
        <w:t xml:space="preserve">דאף אם יש לו חזקת ג"ש, היא חזקה שאין עמה טענה, דהא המחזיק אינו יודע אם המוכר קנה מהמערער, וכן מ"ש </w:t>
      </w:r>
      <w:r>
        <w:rPr>
          <w:rStyle w:val="af9"/>
          <w:rtl/>
        </w:rPr>
        <w:t>הרשב"ם</w:t>
      </w:r>
      <w:r>
        <w:rPr>
          <w:rFonts w:hint="cs"/>
          <w:rtl/>
        </w:rPr>
        <w:t xml:space="preserve"> </w:t>
      </w:r>
      <w:r w:rsidRPr="009C5850">
        <w:rPr>
          <w:rStyle w:val="af7"/>
          <w:rFonts w:eastAsia="Guttman Hodes" w:hint="cs"/>
          <w:rtl/>
        </w:rPr>
        <w:t xml:space="preserve">(עי' אות </w:t>
      </w:r>
      <w:r w:rsidRPr="009C5850">
        <w:rPr>
          <w:rStyle w:val="af7"/>
          <w:rFonts w:eastAsia="Guttman Hodes"/>
          <w:rtl/>
        </w:rPr>
        <w:fldChar w:fldCharType="begin"/>
      </w:r>
      <w:r w:rsidRPr="009C5850">
        <w:rPr>
          <w:rStyle w:val="af7"/>
          <w:rFonts w:eastAsia="Guttman Hodes"/>
          <w:rtl/>
        </w:rPr>
        <w:instrText xml:space="preserve"> </w:instrText>
      </w:r>
      <w:r w:rsidRPr="009C5850">
        <w:rPr>
          <w:rStyle w:val="af7"/>
          <w:rFonts w:eastAsia="Guttman Hodes" w:hint="cs"/>
        </w:rPr>
        <w:instrText>REF</w:instrText>
      </w:r>
      <w:r w:rsidRPr="009C5850">
        <w:rPr>
          <w:rStyle w:val="af7"/>
          <w:rFonts w:eastAsia="Guttman Hodes" w:hint="cs"/>
          <w:rtl/>
        </w:rPr>
        <w:instrText xml:space="preserve"> _</w:instrText>
      </w:r>
      <w:r w:rsidRPr="009C5850">
        <w:rPr>
          <w:rStyle w:val="af7"/>
          <w:rFonts w:eastAsia="Guttman Hodes" w:hint="cs"/>
        </w:rPr>
        <w:instrText>Ref61449413 \r \h</w:instrText>
      </w:r>
      <w:r w:rsidRPr="009C5850">
        <w:rPr>
          <w:rStyle w:val="af7"/>
          <w:rFonts w:eastAsia="Guttman Hodes"/>
          <w:rtl/>
        </w:rPr>
        <w:instrText xml:space="preserve"> </w:instrText>
      </w:r>
      <w:r w:rsidRPr="009C5850">
        <w:rPr>
          <w:rStyle w:val="af7"/>
          <w:rFonts w:eastAsia="Guttman Hodes"/>
          <w:rtl/>
        </w:rPr>
      </w:r>
      <w:r w:rsidRPr="009C5850">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9C5850">
        <w:rPr>
          <w:rStyle w:val="af7"/>
          <w:rFonts w:eastAsia="Guttman Hodes"/>
          <w:rtl/>
        </w:rPr>
        <w:fldChar w:fldCharType="end"/>
      </w:r>
      <w:r>
        <w:rPr>
          <w:rFonts w:hint="cs"/>
          <w:rtl/>
        </w:rPr>
        <w:t xml:space="preserve"> דמעמידים את הקרקע ביד המערער, אף אם החזיק בה ג"ש, היינו אליבא דהלכתא כיון דלא קיי"ל כרבא, אלא כדדחה אביי בגמ' לקמן, עיי"ש בדבריו, ועי' במה שהקשה </w:t>
      </w:r>
      <w:r w:rsidRPr="008D1B15">
        <w:rPr>
          <w:rStyle w:val="af9"/>
          <w:rFonts w:hint="cs"/>
          <w:rtl/>
        </w:rPr>
        <w:t>הקה"י</w:t>
      </w:r>
      <w:r w:rsidRPr="001A0F59">
        <w:rPr>
          <w:rFonts w:hint="cs"/>
          <w:rtl/>
        </w:rPr>
        <w:t xml:space="preserve"> </w:t>
      </w:r>
      <w:r w:rsidRPr="00E87AC1">
        <w:rPr>
          <w:rStyle w:val="af7"/>
          <w:rFonts w:eastAsia="Guttman Hodes" w:hint="cs"/>
          <w:rtl/>
        </w:rPr>
        <w:t>(סי' כ'</w:t>
      </w:r>
      <w:r>
        <w:rPr>
          <w:rStyle w:val="af7"/>
          <w:rFonts w:eastAsia="Guttman Hodes" w:hint="cs"/>
          <w:rtl/>
        </w:rPr>
        <w:t xml:space="preserve"> ד"ה ולענ"ד</w:t>
      </w:r>
      <w:r w:rsidRPr="00E87AC1">
        <w:rPr>
          <w:rStyle w:val="af7"/>
          <w:rFonts w:eastAsia="Guttman Hodes" w:hint="cs"/>
          <w:rtl/>
        </w:rPr>
        <w:t>)</w:t>
      </w:r>
      <w:r>
        <w:rPr>
          <w:rStyle w:val="af7"/>
          <w:rFonts w:eastAsia="Guttman Hodes" w:hint="cs"/>
          <w:rtl/>
        </w:rPr>
        <w:t xml:space="preserve"> </w:t>
      </w:r>
      <w:r>
        <w:rPr>
          <w:rFonts w:hint="cs"/>
          <w:rtl/>
        </w:rPr>
        <w:t xml:space="preserve">על דברי </w:t>
      </w:r>
      <w:r w:rsidRPr="00A16FA8">
        <w:rPr>
          <w:rStyle w:val="af9"/>
          <w:rFonts w:hint="cs"/>
          <w:rtl/>
        </w:rPr>
        <w:t>הבית הלוי</w:t>
      </w:r>
      <w:r>
        <w:rPr>
          <w:rFonts w:hint="cs"/>
          <w:rtl/>
        </w:rPr>
        <w:t>.</w:t>
      </w:r>
    </w:p>
    <w:p w:rsidR="005306EB" w:rsidRPr="009844C0" w:rsidRDefault="005306EB" w:rsidP="005306EB">
      <w:pPr>
        <w:pStyle w:val="afe"/>
        <w:jc w:val="both"/>
        <w:rPr>
          <w:rtl/>
        </w:rPr>
      </w:pPr>
      <w:bookmarkStart w:id="11778" w:name="_Toc61469423"/>
      <w:bookmarkStart w:id="11779" w:name="_Toc61509801"/>
      <w:r>
        <w:rPr>
          <w:rFonts w:hint="cs"/>
          <w:rtl/>
        </w:rPr>
        <w:t>בי' הפנ"ש דהרשב"ם כר"ח שאינו בע"ד</w:t>
      </w:r>
      <w:bookmarkEnd w:id="11778"/>
      <w:bookmarkEnd w:id="11779"/>
    </w:p>
    <w:p w:rsidR="005306EB" w:rsidRPr="00852AE6" w:rsidRDefault="005306EB" w:rsidP="005306EB">
      <w:pPr>
        <w:pStyle w:val="1"/>
        <w:rPr>
          <w:rtl/>
        </w:rPr>
      </w:pPr>
      <w:bookmarkStart w:id="11780" w:name="_Toc61469424"/>
      <w:bookmarkStart w:id="11781" w:name="_Toc61509802"/>
      <w:r>
        <w:rPr>
          <w:rFonts w:hint="cs"/>
          <w:rtl/>
        </w:rPr>
        <w:t>ביאור הפני שלמה דהרשב"ם ביאר כר"ח דהמחזיק אינו בע"ד</w:t>
      </w:r>
      <w:bookmarkEnd w:id="11768"/>
      <w:bookmarkEnd w:id="11769"/>
      <w:bookmarkEnd w:id="11770"/>
      <w:bookmarkEnd w:id="11771"/>
      <w:bookmarkEnd w:id="11772"/>
      <w:bookmarkEnd w:id="11780"/>
      <w:bookmarkEnd w:id="11781"/>
    </w:p>
    <w:p w:rsidR="005306EB" w:rsidRPr="00915787" w:rsidRDefault="005306EB" w:rsidP="005306EB">
      <w:pPr>
        <w:pStyle w:val="a3"/>
        <w:rPr>
          <w:rtl/>
        </w:rPr>
      </w:pPr>
      <w:bookmarkStart w:id="11782" w:name="_Toc61469425"/>
      <w:bookmarkStart w:id="11783" w:name="_Toc61509803"/>
      <w:r>
        <w:rPr>
          <w:rFonts w:hint="cs"/>
          <w:rtl/>
        </w:rPr>
        <w:t>ביאור הפני שלמה ברשב"ם דהא דאין המחזיק בע"ד של המערער הוא כיון שאין לו חזקת ג"ש</w:t>
      </w:r>
      <w:bookmarkEnd w:id="11782"/>
      <w:bookmarkEnd w:id="11783"/>
    </w:p>
    <w:p w:rsidR="005306EB" w:rsidRDefault="005306EB" w:rsidP="007E4E81">
      <w:pPr>
        <w:pStyle w:val="a0"/>
        <w:rPr>
          <w:rtl/>
        </w:rPr>
      </w:pPr>
      <w:bookmarkStart w:id="11784" w:name="_Ref61453446"/>
      <w:r>
        <w:rPr>
          <w:rFonts w:hint="cs"/>
          <w:rtl/>
        </w:rPr>
        <w:t xml:space="preserve">במה שביאר </w:t>
      </w:r>
      <w:r w:rsidRPr="007F1AAA">
        <w:rPr>
          <w:rStyle w:val="af9"/>
          <w:rFonts w:hint="cs"/>
          <w:rtl/>
        </w:rPr>
        <w:t>הרשב"ם</w:t>
      </w:r>
      <w:r>
        <w:rPr>
          <w:rFonts w:hint="cs"/>
          <w:rtl/>
        </w:rPr>
        <w:t xml:space="preserve"> </w:t>
      </w:r>
      <w:r w:rsidRPr="004B326A">
        <w:rPr>
          <w:rStyle w:val="af7"/>
          <w:rFonts w:eastAsia="Guttman Hodes" w:hint="cs"/>
          <w:rtl/>
        </w:rPr>
        <w:t xml:space="preserve">(עי' אות </w:t>
      </w:r>
      <w:r w:rsidRPr="004B326A">
        <w:rPr>
          <w:rStyle w:val="af7"/>
          <w:rFonts w:eastAsia="Guttman Hodes"/>
          <w:rtl/>
        </w:rPr>
        <w:fldChar w:fldCharType="begin"/>
      </w:r>
      <w:r w:rsidRPr="004B326A">
        <w:rPr>
          <w:rStyle w:val="af7"/>
          <w:rFonts w:eastAsia="Guttman Hodes"/>
          <w:rtl/>
        </w:rPr>
        <w:instrText xml:space="preserve"> </w:instrText>
      </w:r>
      <w:r w:rsidRPr="004B326A">
        <w:rPr>
          <w:rStyle w:val="af7"/>
          <w:rFonts w:eastAsia="Guttman Hodes" w:hint="cs"/>
        </w:rPr>
        <w:instrText>REF</w:instrText>
      </w:r>
      <w:r w:rsidRPr="004B326A">
        <w:rPr>
          <w:rStyle w:val="af7"/>
          <w:rFonts w:eastAsia="Guttman Hodes" w:hint="cs"/>
          <w:rtl/>
        </w:rPr>
        <w:instrText xml:space="preserve"> _</w:instrText>
      </w:r>
      <w:r w:rsidRPr="004B326A">
        <w:rPr>
          <w:rStyle w:val="af7"/>
          <w:rFonts w:eastAsia="Guttman Hodes" w:hint="cs"/>
        </w:rPr>
        <w:instrText>Ref61446774 \r \h</w:instrText>
      </w:r>
      <w:r w:rsidRPr="004B326A">
        <w:rPr>
          <w:rStyle w:val="af7"/>
          <w:rFonts w:eastAsia="Guttman Hodes"/>
          <w:rtl/>
        </w:rPr>
        <w:instrText xml:space="preserve"> </w:instrText>
      </w:r>
      <w:r w:rsidRPr="004B326A">
        <w:rPr>
          <w:rStyle w:val="af7"/>
          <w:rFonts w:eastAsia="Guttman Hodes"/>
          <w:rtl/>
        </w:rPr>
      </w:r>
      <w:r w:rsidRPr="004B326A">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4B326A">
        <w:rPr>
          <w:rStyle w:val="af7"/>
          <w:rFonts w:eastAsia="Guttman Hodes"/>
          <w:rtl/>
        </w:rPr>
        <w:fldChar w:fldCharType="end"/>
      </w:r>
      <w:r>
        <w:rPr>
          <w:rFonts w:hint="cs"/>
          <w:rtl/>
        </w:rPr>
        <w:t xml:space="preserve"> את טענת המערער למחזיק דלאו בע"ד דידי את, כיון דהמערער מוחזק בקרקע יותר מהמחזיק, כיון שלמחזיק אין חזקת ג"ש,</w:t>
      </w:r>
      <w:r w:rsidRPr="008C0EE9">
        <w:rPr>
          <w:rFonts w:hint="cs"/>
          <w:rtl/>
        </w:rPr>
        <w:t xml:space="preserve"> </w:t>
      </w:r>
      <w:r>
        <w:rPr>
          <w:rFonts w:hint="cs"/>
          <w:rtl/>
        </w:rPr>
        <w:t xml:space="preserve">כתב </w:t>
      </w:r>
      <w:r w:rsidRPr="007F1AAA">
        <w:rPr>
          <w:rStyle w:val="af9"/>
          <w:rFonts w:hint="cs"/>
          <w:rtl/>
        </w:rPr>
        <w:t>הפני</w:t>
      </w:r>
      <w:r>
        <w:rPr>
          <w:rFonts w:hint="cs"/>
          <w:rtl/>
        </w:rPr>
        <w:t xml:space="preserve"> </w:t>
      </w:r>
      <w:r w:rsidRPr="007F1AAA">
        <w:rPr>
          <w:rStyle w:val="af9"/>
          <w:rFonts w:hint="cs"/>
          <w:rtl/>
        </w:rPr>
        <w:t>שלמה</w:t>
      </w:r>
      <w:r>
        <w:rPr>
          <w:rFonts w:hint="cs"/>
          <w:rtl/>
        </w:rPr>
        <w:t xml:space="preserve"> </w:t>
      </w:r>
      <w:r w:rsidRPr="003E3F2C">
        <w:rPr>
          <w:rStyle w:val="af7"/>
          <w:rFonts w:eastAsia="Guttman Hodes" w:hint="cs"/>
          <w:rtl/>
        </w:rPr>
        <w:t>(ד"ה בא"ד כתב ר"ח)</w:t>
      </w:r>
      <w:r>
        <w:rPr>
          <w:rFonts w:hint="cs"/>
          <w:rtl/>
        </w:rPr>
        <w:t xml:space="preserve"> דמשמע מדברי </w:t>
      </w:r>
      <w:r w:rsidRPr="007F1AAA">
        <w:rPr>
          <w:rStyle w:val="af9"/>
          <w:rFonts w:hint="cs"/>
          <w:rtl/>
        </w:rPr>
        <w:t>הרשב"ם</w:t>
      </w:r>
      <w:r>
        <w:rPr>
          <w:rStyle w:val="af9"/>
          <w:rFonts w:hint="cs"/>
          <w:rtl/>
        </w:rPr>
        <w:t xml:space="preserve"> </w:t>
      </w:r>
      <w:r>
        <w:rPr>
          <w:rFonts w:hint="cs"/>
          <w:rtl/>
        </w:rPr>
        <w:t xml:space="preserve">דדוקא בסוגיין שאין למחזיק חזקת ג"ש, יכול המערער לומר לו שאינו בע"ד, וכדברי </w:t>
      </w:r>
      <w:r w:rsidRPr="007F1AAA">
        <w:rPr>
          <w:rStyle w:val="af9"/>
          <w:rFonts w:hint="cs"/>
          <w:rtl/>
        </w:rPr>
        <w:t>ר"ח</w:t>
      </w:r>
      <w:r w:rsidRPr="00E70AAC">
        <w:rPr>
          <w:rStyle w:val="af7"/>
          <w:rFonts w:eastAsia="Guttman Hodes" w:hint="cs"/>
          <w:rtl/>
        </w:rPr>
        <w:t xml:space="preserve"> (עי' אות </w:t>
      </w:r>
      <w:r w:rsidRPr="00E70AAC">
        <w:rPr>
          <w:rStyle w:val="af7"/>
          <w:rFonts w:eastAsia="Guttman Hodes"/>
          <w:rtl/>
        </w:rPr>
        <w:fldChar w:fldCharType="begin"/>
      </w:r>
      <w:r w:rsidRPr="00E70AAC">
        <w:rPr>
          <w:rStyle w:val="af7"/>
          <w:rFonts w:eastAsia="Guttman Hodes"/>
          <w:rtl/>
        </w:rPr>
        <w:instrText xml:space="preserve"> </w:instrText>
      </w:r>
      <w:r w:rsidRPr="00E70AAC">
        <w:rPr>
          <w:rStyle w:val="af7"/>
          <w:rFonts w:eastAsia="Guttman Hodes" w:hint="cs"/>
        </w:rPr>
        <w:instrText>REF</w:instrText>
      </w:r>
      <w:r w:rsidRPr="00E70AAC">
        <w:rPr>
          <w:rStyle w:val="af7"/>
          <w:rFonts w:eastAsia="Guttman Hodes" w:hint="cs"/>
          <w:rtl/>
        </w:rPr>
        <w:instrText xml:space="preserve"> _</w:instrText>
      </w:r>
      <w:r w:rsidRPr="00E70AAC">
        <w:rPr>
          <w:rStyle w:val="af7"/>
          <w:rFonts w:eastAsia="Guttman Hodes" w:hint="cs"/>
        </w:rPr>
        <w:instrText>Ref61195614 \r \h</w:instrText>
      </w:r>
      <w:r w:rsidRPr="00E70AAC">
        <w:rPr>
          <w:rStyle w:val="af7"/>
          <w:rFonts w:eastAsia="Guttman Hodes"/>
          <w:rtl/>
        </w:rPr>
        <w:instrText xml:space="preserve"> </w:instrText>
      </w:r>
      <w:r w:rsidRPr="00E70AAC">
        <w:rPr>
          <w:rStyle w:val="af7"/>
          <w:rFonts w:eastAsia="Guttman Hodes"/>
          <w:rtl/>
        </w:rPr>
      </w:r>
      <w:r w:rsidRPr="00E70AAC">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70AAC">
        <w:rPr>
          <w:rStyle w:val="af7"/>
          <w:rFonts w:eastAsia="Guttman Hodes"/>
          <w:rtl/>
        </w:rPr>
        <w:fldChar w:fldCharType="end"/>
      </w:r>
      <w:r w:rsidRPr="00E70AAC">
        <w:rPr>
          <w:rStyle w:val="af7"/>
          <w:rFonts w:eastAsia="Guttman Hodes" w:hint="cs"/>
          <w:rtl/>
        </w:rPr>
        <w:t xml:space="preserve"> </w:t>
      </w:r>
      <w:r>
        <w:rPr>
          <w:rFonts w:hint="cs"/>
          <w:rtl/>
        </w:rPr>
        <w:t xml:space="preserve">בשם </w:t>
      </w:r>
      <w:r w:rsidRPr="007F1AAA">
        <w:rPr>
          <w:rStyle w:val="af9"/>
          <w:rFonts w:hint="cs"/>
          <w:rtl/>
        </w:rPr>
        <w:t>הגאונים</w:t>
      </w:r>
      <w:r>
        <w:rPr>
          <w:rFonts w:hint="cs"/>
          <w:rtl/>
        </w:rPr>
        <w:t xml:space="preserve">, </w:t>
      </w:r>
      <w:r w:rsidRPr="004B326A">
        <w:rPr>
          <w:rStyle w:val="afb"/>
          <w:rFonts w:hint="cs"/>
          <w:rtl/>
        </w:rPr>
        <w:t xml:space="preserve">[כדביאר </w:t>
      </w:r>
      <w:r w:rsidRPr="004B326A">
        <w:rPr>
          <w:rStyle w:val="affa"/>
          <w:rFonts w:hint="cs"/>
          <w:rtl/>
        </w:rPr>
        <w:t>הפני שלמה</w:t>
      </w:r>
      <w:r w:rsidRPr="004B326A">
        <w:rPr>
          <w:rStyle w:val="afb"/>
          <w:rFonts w:hint="cs"/>
          <w:rtl/>
        </w:rPr>
        <w:t xml:space="preserve"> </w:t>
      </w:r>
      <w:r w:rsidRPr="00E70AAC">
        <w:rPr>
          <w:rStyle w:val="aff6"/>
          <w:rFonts w:hint="cs"/>
          <w:rtl/>
        </w:rPr>
        <w:t xml:space="preserve">(עי' אות </w:t>
      </w:r>
      <w:r w:rsidRPr="00E70AAC">
        <w:rPr>
          <w:rStyle w:val="aff6"/>
          <w:rtl/>
        </w:rPr>
        <w:fldChar w:fldCharType="begin"/>
      </w:r>
      <w:r w:rsidRPr="00E70AAC">
        <w:rPr>
          <w:rStyle w:val="aff6"/>
          <w:rtl/>
        </w:rPr>
        <w:instrText xml:space="preserve"> </w:instrText>
      </w:r>
      <w:r w:rsidRPr="00E70AAC">
        <w:rPr>
          <w:rStyle w:val="aff6"/>
          <w:rFonts w:hint="cs"/>
        </w:rPr>
        <w:instrText>REF</w:instrText>
      </w:r>
      <w:r w:rsidRPr="00E70AAC">
        <w:rPr>
          <w:rStyle w:val="aff6"/>
          <w:rFonts w:hint="cs"/>
          <w:rtl/>
        </w:rPr>
        <w:instrText xml:space="preserve"> _</w:instrText>
      </w:r>
      <w:r w:rsidRPr="00E70AAC">
        <w:rPr>
          <w:rStyle w:val="aff6"/>
          <w:rFonts w:hint="cs"/>
        </w:rPr>
        <w:instrText>Ref61446982 \r \h</w:instrText>
      </w:r>
      <w:r w:rsidRPr="00E70AAC">
        <w:rPr>
          <w:rStyle w:val="aff6"/>
          <w:rtl/>
        </w:rPr>
        <w:instrText xml:space="preserve"> </w:instrText>
      </w:r>
      <w:r w:rsidRPr="00E70AAC">
        <w:rPr>
          <w:rStyle w:val="aff6"/>
          <w:rtl/>
        </w:rPr>
      </w:r>
      <w:r w:rsidRPr="00E70AAC">
        <w:rPr>
          <w:rStyle w:val="aff6"/>
          <w:rtl/>
        </w:rPr>
        <w:fldChar w:fldCharType="separate"/>
      </w:r>
      <w:r w:rsidR="00265073">
        <w:rPr>
          <w:rStyle w:val="aff6"/>
          <w:cs/>
        </w:rPr>
        <w:t>‎</w:t>
      </w:r>
      <w:r w:rsidR="00265073">
        <w:rPr>
          <w:rStyle w:val="aff6"/>
          <w:rtl/>
        </w:rPr>
        <w:t>עח)</w:t>
      </w:r>
      <w:r w:rsidRPr="00E70AAC">
        <w:rPr>
          <w:rStyle w:val="aff6"/>
          <w:rtl/>
        </w:rPr>
        <w:fldChar w:fldCharType="end"/>
      </w:r>
      <w:r w:rsidRPr="004B326A">
        <w:rPr>
          <w:rStyle w:val="afb"/>
          <w:rFonts w:hint="cs"/>
          <w:rtl/>
        </w:rPr>
        <w:t xml:space="preserve"> בדבריהם],</w:t>
      </w:r>
      <w:r>
        <w:rPr>
          <w:rFonts w:hint="cs"/>
          <w:rtl/>
        </w:rPr>
        <w:t xml:space="preserve"> וכ"כ </w:t>
      </w:r>
      <w:r w:rsidRPr="004B326A">
        <w:rPr>
          <w:rStyle w:val="af9"/>
          <w:rFonts w:hint="cs"/>
          <w:rtl/>
        </w:rPr>
        <w:t>הקה"י</w:t>
      </w:r>
      <w:r>
        <w:rPr>
          <w:rFonts w:hint="cs"/>
          <w:rtl/>
        </w:rPr>
        <w:t xml:space="preserve"> </w:t>
      </w:r>
      <w:r w:rsidRPr="00520622">
        <w:rPr>
          <w:rStyle w:val="af7"/>
          <w:rFonts w:eastAsia="Guttman Hodes" w:hint="cs"/>
          <w:rtl/>
        </w:rPr>
        <w:t xml:space="preserve">(עי' אות </w:t>
      </w:r>
      <w:r w:rsidRPr="00520622">
        <w:rPr>
          <w:rStyle w:val="af7"/>
          <w:rFonts w:eastAsia="Guttman Hodes"/>
          <w:rtl/>
        </w:rPr>
        <w:fldChar w:fldCharType="begin"/>
      </w:r>
      <w:r w:rsidRPr="00520622">
        <w:rPr>
          <w:rStyle w:val="af7"/>
          <w:rFonts w:eastAsia="Guttman Hodes"/>
          <w:rtl/>
        </w:rPr>
        <w:instrText xml:space="preserve"> </w:instrText>
      </w:r>
      <w:r w:rsidRPr="00520622">
        <w:rPr>
          <w:rStyle w:val="af7"/>
          <w:rFonts w:eastAsia="Guttman Hodes" w:hint="cs"/>
        </w:rPr>
        <w:instrText>REF</w:instrText>
      </w:r>
      <w:r w:rsidRPr="00520622">
        <w:rPr>
          <w:rStyle w:val="af7"/>
          <w:rFonts w:eastAsia="Guttman Hodes" w:hint="cs"/>
          <w:rtl/>
        </w:rPr>
        <w:instrText xml:space="preserve"> _</w:instrText>
      </w:r>
      <w:r w:rsidRPr="00520622">
        <w:rPr>
          <w:rStyle w:val="af7"/>
          <w:rFonts w:eastAsia="Guttman Hodes" w:hint="cs"/>
        </w:rPr>
        <w:instrText>Ref61467867 \r \h</w:instrText>
      </w:r>
      <w:r w:rsidRPr="00520622">
        <w:rPr>
          <w:rStyle w:val="af7"/>
          <w:rFonts w:eastAsia="Guttman Hodes"/>
          <w:rtl/>
        </w:rPr>
        <w:instrText xml:space="preserve"> </w:instrText>
      </w:r>
      <w:r w:rsidRPr="00520622">
        <w:rPr>
          <w:rStyle w:val="af7"/>
          <w:rFonts w:eastAsia="Guttman Hodes"/>
          <w:rtl/>
        </w:rPr>
      </w:r>
      <w:r w:rsidRPr="00520622">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sidRPr="00520622">
        <w:rPr>
          <w:rStyle w:val="af7"/>
          <w:rFonts w:eastAsia="Guttman Hodes"/>
          <w:rtl/>
        </w:rPr>
        <w:fldChar w:fldCharType="end"/>
      </w:r>
      <w:r>
        <w:rPr>
          <w:rFonts w:hint="cs"/>
          <w:rtl/>
        </w:rPr>
        <w:t>.</w:t>
      </w:r>
      <w:bookmarkEnd w:id="11784"/>
    </w:p>
    <w:p w:rsidR="005306EB" w:rsidRDefault="005306EB" w:rsidP="005306EB">
      <w:pPr>
        <w:pStyle w:val="a3"/>
        <w:rPr>
          <w:rtl/>
        </w:rPr>
      </w:pPr>
      <w:bookmarkStart w:id="11785" w:name="_Toc61469426"/>
      <w:bookmarkStart w:id="11786" w:name="_Toc61509804"/>
      <w:r>
        <w:rPr>
          <w:rFonts w:hint="cs"/>
          <w:rtl/>
        </w:rPr>
        <w:t>תי' הפני שלמה על קו' התו"ח דאי היה טוען מינך זבינתה אף שלא נאמן היה בע"ד של המערער</w:t>
      </w:r>
      <w:bookmarkEnd w:id="11785"/>
      <w:bookmarkEnd w:id="11786"/>
      <w:r>
        <w:rPr>
          <w:rFonts w:hint="cs"/>
          <w:rtl/>
        </w:rPr>
        <w:t xml:space="preserve"> </w:t>
      </w:r>
    </w:p>
    <w:p w:rsidR="005306EB" w:rsidRPr="00852AE6" w:rsidRDefault="005306EB" w:rsidP="007E4E81">
      <w:pPr>
        <w:pStyle w:val="a0"/>
        <w:rPr>
          <w:rtl/>
        </w:rPr>
      </w:pPr>
      <w:bookmarkStart w:id="11787" w:name="_Ref61213740"/>
      <w:r>
        <w:rPr>
          <w:rFonts w:hint="cs"/>
          <w:rtl/>
        </w:rPr>
        <w:t xml:space="preserve">וכתב הפני </w:t>
      </w:r>
      <w:r w:rsidRPr="007F1AAA">
        <w:rPr>
          <w:rStyle w:val="af9"/>
          <w:rFonts w:hint="cs"/>
          <w:rtl/>
        </w:rPr>
        <w:t>שלמה</w:t>
      </w:r>
      <w:r>
        <w:rPr>
          <w:rFonts w:hint="cs"/>
          <w:rtl/>
        </w:rPr>
        <w:t xml:space="preserve"> דלפי"ז מתורצת קושית </w:t>
      </w:r>
      <w:r w:rsidRPr="007F1AAA">
        <w:rPr>
          <w:rStyle w:val="af9"/>
          <w:rFonts w:hint="cs"/>
          <w:rtl/>
        </w:rPr>
        <w:t>התורת</w:t>
      </w:r>
      <w:r>
        <w:rPr>
          <w:rFonts w:hint="cs"/>
          <w:rtl/>
        </w:rPr>
        <w:t xml:space="preserve"> </w:t>
      </w:r>
      <w:r w:rsidRPr="007F1AAA">
        <w:rPr>
          <w:rStyle w:val="af9"/>
          <w:rFonts w:hint="cs"/>
          <w:rtl/>
        </w:rPr>
        <w:t>חיים</w:t>
      </w:r>
      <w:r>
        <w:rPr>
          <w:rFonts w:hint="cs"/>
          <w:rtl/>
        </w:rPr>
        <w:t xml:space="preserve"> </w:t>
      </w:r>
      <w:r w:rsidRPr="003E3F2C">
        <w:rPr>
          <w:rStyle w:val="af7"/>
          <w:rFonts w:eastAsia="Guttman Hodes" w:hint="cs"/>
          <w:rtl/>
        </w:rPr>
        <w:t>(עי' אות</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Ref61213718 \r \h</w:instrText>
      </w:r>
      <w:r>
        <w:rPr>
          <w:rtl/>
        </w:rPr>
        <w:instrText xml:space="preserve">  \* </w:instrText>
      </w:r>
      <w:r>
        <w:instrText>MERGEFORMAT</w:instrText>
      </w:r>
      <w:r>
        <w:rPr>
          <w:rtl/>
        </w:rPr>
        <w:instrText xml:space="preserve"> </w:instrText>
      </w:r>
      <w:r>
        <w:rPr>
          <w:rtl/>
        </w:rPr>
      </w:r>
      <w:r>
        <w:rPr>
          <w:rtl/>
        </w:rPr>
        <w:fldChar w:fldCharType="separate"/>
      </w:r>
      <w:r w:rsidR="00265073">
        <w:rPr>
          <w:cs/>
        </w:rPr>
        <w:t>‎</w:t>
      </w:r>
      <w:r w:rsidR="00265073" w:rsidRPr="00265073">
        <w:rPr>
          <w:rStyle w:val="af7"/>
          <w:rFonts w:eastAsia="Guttman Hodes"/>
          <w:rtl/>
        </w:rPr>
        <w:t>סז)</w:t>
      </w:r>
      <w:r>
        <w:rPr>
          <w:rtl/>
        </w:rPr>
        <w:fldChar w:fldCharType="end"/>
      </w:r>
      <w:r>
        <w:rPr>
          <w:rFonts w:hint="cs"/>
          <w:rtl/>
        </w:rPr>
        <w:t xml:space="preserve"> על </w:t>
      </w:r>
      <w:r w:rsidRPr="007F1AAA">
        <w:rPr>
          <w:rStyle w:val="af9"/>
          <w:rFonts w:hint="cs"/>
          <w:rtl/>
        </w:rPr>
        <w:t>הרשב"ם</w:t>
      </w:r>
      <w:r>
        <w:rPr>
          <w:rFonts w:hint="cs"/>
          <w:rtl/>
        </w:rPr>
        <w:t>, דהא דהוצרך המערער לטעון למחזיק ואת מינאי לא זבינתה, דהא אף אם היה טוען כן אינו נאמן לדברי</w:t>
      </w:r>
      <w:r w:rsidRPr="007F1AAA">
        <w:rPr>
          <w:rStyle w:val="af9"/>
          <w:rFonts w:hint="cs"/>
          <w:rtl/>
        </w:rPr>
        <w:t xml:space="preserve"> הרשב"ם</w:t>
      </w:r>
      <w:r>
        <w:rPr>
          <w:rFonts w:hint="cs"/>
          <w:rtl/>
        </w:rPr>
        <w:t xml:space="preserve"> </w:t>
      </w:r>
      <w:r w:rsidRPr="00E70AAC">
        <w:rPr>
          <w:rStyle w:val="af7"/>
          <w:rFonts w:eastAsia="Guttman Hodes" w:hint="cs"/>
          <w:rtl/>
        </w:rPr>
        <w:t xml:space="preserve">(עי' אות </w:t>
      </w:r>
      <w:r w:rsidRPr="00E70AAC">
        <w:rPr>
          <w:rStyle w:val="af7"/>
          <w:rFonts w:eastAsia="Guttman Hodes"/>
          <w:rtl/>
        </w:rPr>
        <w:fldChar w:fldCharType="begin"/>
      </w:r>
      <w:r w:rsidRPr="00E70AAC">
        <w:rPr>
          <w:rStyle w:val="af7"/>
          <w:rFonts w:eastAsia="Guttman Hodes"/>
          <w:rtl/>
        </w:rPr>
        <w:instrText xml:space="preserve"> </w:instrText>
      </w:r>
      <w:r w:rsidRPr="00E70AAC">
        <w:rPr>
          <w:rStyle w:val="af7"/>
          <w:rFonts w:eastAsia="Guttman Hodes" w:hint="cs"/>
        </w:rPr>
        <w:instrText>REF</w:instrText>
      </w:r>
      <w:r w:rsidRPr="00E70AAC">
        <w:rPr>
          <w:rStyle w:val="af7"/>
          <w:rFonts w:eastAsia="Guttman Hodes" w:hint="cs"/>
          <w:rtl/>
        </w:rPr>
        <w:instrText xml:space="preserve"> _</w:instrText>
      </w:r>
      <w:r w:rsidRPr="00E70AAC">
        <w:rPr>
          <w:rStyle w:val="af7"/>
          <w:rFonts w:eastAsia="Guttman Hodes" w:hint="cs"/>
        </w:rPr>
        <w:instrText>Ref61384635 \r \h</w:instrText>
      </w:r>
      <w:r w:rsidRPr="00E70AAC">
        <w:rPr>
          <w:rStyle w:val="af7"/>
          <w:rFonts w:eastAsia="Guttman Hodes"/>
          <w:rtl/>
        </w:rPr>
        <w:instrText xml:space="preserve"> </w:instrText>
      </w:r>
      <w:r w:rsidRPr="00E70AAC">
        <w:rPr>
          <w:rStyle w:val="af7"/>
          <w:rFonts w:eastAsia="Guttman Hodes"/>
          <w:rtl/>
        </w:rPr>
      </w:r>
      <w:r w:rsidRPr="00E70AAC">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E70AAC">
        <w:rPr>
          <w:rStyle w:val="af7"/>
          <w:rFonts w:eastAsia="Guttman Hodes"/>
          <w:rtl/>
        </w:rPr>
        <w:fldChar w:fldCharType="end"/>
      </w:r>
      <w:r>
        <w:rPr>
          <w:rFonts w:hint="cs"/>
          <w:rtl/>
        </w:rPr>
        <w:t xml:space="preserve">, וביאר </w:t>
      </w:r>
      <w:r w:rsidRPr="007F1AAA">
        <w:rPr>
          <w:rStyle w:val="af9"/>
          <w:rFonts w:hint="cs"/>
          <w:rtl/>
        </w:rPr>
        <w:t>הפני</w:t>
      </w:r>
      <w:r>
        <w:rPr>
          <w:rFonts w:hint="cs"/>
          <w:rtl/>
        </w:rPr>
        <w:t xml:space="preserve"> </w:t>
      </w:r>
      <w:r w:rsidRPr="007F1AAA">
        <w:rPr>
          <w:rStyle w:val="af9"/>
          <w:rFonts w:hint="cs"/>
          <w:rtl/>
        </w:rPr>
        <w:t>שלמה</w:t>
      </w:r>
      <w:r>
        <w:rPr>
          <w:rFonts w:hint="cs"/>
          <w:rtl/>
        </w:rPr>
        <w:t xml:space="preserve"> דכוונת </w:t>
      </w:r>
      <w:r w:rsidRPr="007F1AAA">
        <w:rPr>
          <w:rStyle w:val="af9"/>
          <w:rFonts w:hint="cs"/>
          <w:rtl/>
        </w:rPr>
        <w:t>הרשב"ם</w:t>
      </w:r>
      <w:r>
        <w:rPr>
          <w:rFonts w:hint="cs"/>
          <w:rtl/>
        </w:rPr>
        <w:t xml:space="preserve"> לומר דאם היה המחזיק טוען מינך זבינתה, אעפ"י שהוא לא היה נאמן בזה, מ"מ לא היה המערער יכול לומר לו לאו בע"ד דידי את, וכדביאר </w:t>
      </w:r>
      <w:r w:rsidRPr="007F1AAA">
        <w:rPr>
          <w:rStyle w:val="af9"/>
          <w:rFonts w:hint="cs"/>
          <w:rtl/>
        </w:rPr>
        <w:t>ר"ח</w:t>
      </w:r>
      <w:r>
        <w:rPr>
          <w:rFonts w:hint="cs"/>
          <w:rtl/>
        </w:rPr>
        <w:t xml:space="preserve"> </w:t>
      </w:r>
      <w:r w:rsidRPr="00E70AAC">
        <w:rPr>
          <w:rStyle w:val="af7"/>
          <w:rFonts w:eastAsia="Guttman Hodes" w:hint="cs"/>
          <w:rtl/>
        </w:rPr>
        <w:t xml:space="preserve">(עי' אות </w:t>
      </w:r>
      <w:r w:rsidRPr="00E70AAC">
        <w:rPr>
          <w:rStyle w:val="af7"/>
          <w:rFonts w:eastAsia="Guttman Hodes"/>
          <w:rtl/>
        </w:rPr>
        <w:fldChar w:fldCharType="begin"/>
      </w:r>
      <w:r w:rsidRPr="00E70AAC">
        <w:rPr>
          <w:rStyle w:val="af7"/>
          <w:rFonts w:eastAsia="Guttman Hodes"/>
          <w:rtl/>
        </w:rPr>
        <w:instrText xml:space="preserve"> </w:instrText>
      </w:r>
      <w:r w:rsidRPr="00E70AAC">
        <w:rPr>
          <w:rStyle w:val="af7"/>
          <w:rFonts w:eastAsia="Guttman Hodes" w:hint="cs"/>
        </w:rPr>
        <w:instrText>REF</w:instrText>
      </w:r>
      <w:r w:rsidRPr="00E70AAC">
        <w:rPr>
          <w:rStyle w:val="af7"/>
          <w:rFonts w:eastAsia="Guttman Hodes" w:hint="cs"/>
          <w:rtl/>
        </w:rPr>
        <w:instrText xml:space="preserve"> _</w:instrText>
      </w:r>
      <w:r w:rsidRPr="00E70AAC">
        <w:rPr>
          <w:rStyle w:val="af7"/>
          <w:rFonts w:eastAsia="Guttman Hodes" w:hint="cs"/>
        </w:rPr>
        <w:instrText>Ref61195614 \r \h</w:instrText>
      </w:r>
      <w:r w:rsidRPr="00E70AAC">
        <w:rPr>
          <w:rStyle w:val="af7"/>
          <w:rFonts w:eastAsia="Guttman Hodes"/>
          <w:rtl/>
        </w:rPr>
        <w:instrText xml:space="preserve"> </w:instrText>
      </w:r>
      <w:r w:rsidRPr="00E70AAC">
        <w:rPr>
          <w:rStyle w:val="af7"/>
          <w:rFonts w:eastAsia="Guttman Hodes"/>
          <w:rtl/>
        </w:rPr>
      </w:r>
      <w:r w:rsidRPr="00E70AAC">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70AAC">
        <w:rPr>
          <w:rStyle w:val="af7"/>
          <w:rFonts w:eastAsia="Guttman Hodes"/>
          <w:rtl/>
        </w:rPr>
        <w:fldChar w:fldCharType="end"/>
      </w:r>
      <w:r>
        <w:rPr>
          <w:rFonts w:hint="cs"/>
          <w:rtl/>
        </w:rPr>
        <w:t xml:space="preserve"> בשם </w:t>
      </w:r>
      <w:r w:rsidRPr="007F1AAA">
        <w:rPr>
          <w:rStyle w:val="af9"/>
          <w:rFonts w:hint="cs"/>
          <w:rtl/>
        </w:rPr>
        <w:t>הגאונים</w:t>
      </w:r>
      <w:r>
        <w:rPr>
          <w:rFonts w:hint="cs"/>
          <w:rtl/>
        </w:rPr>
        <w:t>.</w:t>
      </w:r>
      <w:bookmarkEnd w:id="11787"/>
    </w:p>
    <w:p w:rsidR="005306EB" w:rsidRDefault="005306EB" w:rsidP="005306EB">
      <w:pPr>
        <w:pStyle w:val="afe"/>
        <w:rPr>
          <w:rtl/>
        </w:rPr>
      </w:pPr>
      <w:bookmarkStart w:id="11788" w:name="_Toc61213879"/>
      <w:bookmarkStart w:id="11789" w:name="_Toc61388255"/>
      <w:bookmarkStart w:id="11790" w:name="_Toc61430916"/>
      <w:bookmarkStart w:id="11791" w:name="_Toc61433959"/>
      <w:bookmarkStart w:id="11792" w:name="_Toc61438685"/>
      <w:bookmarkStart w:id="11793" w:name="_Toc61469427"/>
      <w:bookmarkStart w:id="11794" w:name="_Toc61509805"/>
      <w:r>
        <w:rPr>
          <w:rFonts w:hint="cs"/>
          <w:rtl/>
        </w:rPr>
        <w:t>בד' הרשב"ם דל"מ מיגו כנגד אחוי שטרך</w:t>
      </w:r>
      <w:bookmarkEnd w:id="11788"/>
      <w:bookmarkEnd w:id="11789"/>
      <w:bookmarkEnd w:id="11790"/>
      <w:bookmarkEnd w:id="11791"/>
      <w:bookmarkEnd w:id="11792"/>
      <w:bookmarkEnd w:id="11793"/>
      <w:bookmarkEnd w:id="11794"/>
    </w:p>
    <w:p w:rsidR="005306EB" w:rsidRPr="00A75CA9" w:rsidRDefault="005306EB" w:rsidP="005306EB">
      <w:pPr>
        <w:pStyle w:val="1"/>
        <w:rPr>
          <w:rtl/>
        </w:rPr>
      </w:pPr>
      <w:bookmarkStart w:id="11795" w:name="_Toc57925964"/>
      <w:bookmarkStart w:id="11796" w:name="_Toc58091654"/>
      <w:bookmarkStart w:id="11797" w:name="_Toc58144907"/>
      <w:bookmarkStart w:id="11798" w:name="_Toc58272593"/>
      <w:bookmarkStart w:id="11799" w:name="_Toc58325024"/>
      <w:bookmarkStart w:id="11800" w:name="_Toc58359180"/>
      <w:bookmarkStart w:id="11801" w:name="_Toc58409441"/>
      <w:bookmarkStart w:id="11802" w:name="_Toc58432681"/>
      <w:bookmarkStart w:id="11803" w:name="_Toc58532495"/>
      <w:bookmarkStart w:id="11804" w:name="_Toc58580114"/>
      <w:bookmarkStart w:id="11805" w:name="_Toc59113257"/>
      <w:bookmarkStart w:id="11806" w:name="_Toc59136982"/>
      <w:bookmarkStart w:id="11807" w:name="_Toc59361683"/>
      <w:bookmarkStart w:id="11808" w:name="_Toc59519324"/>
      <w:bookmarkStart w:id="11809" w:name="_Toc59700104"/>
      <w:bookmarkStart w:id="11810" w:name="_Toc59960751"/>
      <w:bookmarkStart w:id="11811" w:name="_Toc60086841"/>
      <w:bookmarkStart w:id="11812" w:name="_Toc60173414"/>
      <w:bookmarkStart w:id="11813" w:name="_Toc60303870"/>
      <w:bookmarkStart w:id="11814" w:name="_Toc61010709"/>
      <w:bookmarkStart w:id="11815" w:name="_Toc61200651"/>
      <w:bookmarkStart w:id="11816" w:name="_Toc61213881"/>
      <w:bookmarkStart w:id="11817" w:name="_Toc61388257"/>
      <w:bookmarkStart w:id="11818" w:name="_Toc61430918"/>
      <w:bookmarkStart w:id="11819" w:name="_Toc61433961"/>
      <w:bookmarkStart w:id="11820" w:name="_Toc61438687"/>
      <w:bookmarkStart w:id="11821" w:name="_Toc61469428"/>
      <w:bookmarkStart w:id="11822" w:name="_Toc61509806"/>
      <w:r w:rsidRPr="00A75CA9">
        <w:rPr>
          <w:rFonts w:hint="cs"/>
          <w:rtl/>
        </w:rPr>
        <w:t>ביאור הדרישה</w:t>
      </w:r>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r>
        <w:rPr>
          <w:rFonts w:hint="cs"/>
          <w:rtl/>
        </w:rPr>
        <w:t xml:space="preserve"> והביה"ל ברשב"ם דל"מ מיגו כנגד אחוי שטרך</w:t>
      </w:r>
      <w:bookmarkEnd w:id="11821"/>
      <w:bookmarkEnd w:id="11822"/>
    </w:p>
    <w:p w:rsidR="005306EB" w:rsidRPr="00A75CA9" w:rsidRDefault="005306EB" w:rsidP="005306EB">
      <w:pPr>
        <w:pStyle w:val="a3"/>
        <w:rPr>
          <w:rtl/>
        </w:rPr>
      </w:pPr>
      <w:bookmarkStart w:id="11823" w:name="_Toc61469429"/>
      <w:bookmarkStart w:id="11824" w:name="_Toc61509807"/>
      <w:r>
        <w:rPr>
          <w:rFonts w:hint="cs"/>
          <w:rtl/>
        </w:rPr>
        <w:t>ביאור הדרישה ברשב"ם דכשידוע שאין לו חזקה אינו נאמן במיגו דאמרינן ליה אחוי שטרך</w:t>
      </w:r>
      <w:bookmarkEnd w:id="11823"/>
      <w:bookmarkEnd w:id="11824"/>
    </w:p>
    <w:p w:rsidR="005306EB" w:rsidRDefault="005306EB" w:rsidP="007E4E81">
      <w:pPr>
        <w:pStyle w:val="a0"/>
        <w:rPr>
          <w:rtl/>
        </w:rPr>
      </w:pPr>
      <w:bookmarkStart w:id="11825" w:name="_Ref61448588"/>
      <w:r>
        <w:rPr>
          <w:rStyle w:val="af9"/>
          <w:rFonts w:hint="cs"/>
          <w:rtl/>
        </w:rPr>
        <w:t>ו</w:t>
      </w:r>
      <w:r w:rsidRPr="00A75CA9">
        <w:rPr>
          <w:rStyle w:val="af9"/>
          <w:rFonts w:hint="cs"/>
          <w:rtl/>
        </w:rPr>
        <w:t>הדרישה</w:t>
      </w:r>
      <w:r w:rsidRPr="00A75CA9">
        <w:rPr>
          <w:rFonts w:hint="cs"/>
          <w:rtl/>
        </w:rPr>
        <w:t xml:space="preserve"> </w:t>
      </w:r>
      <w:r w:rsidRPr="00A75CA9">
        <w:rPr>
          <w:rStyle w:val="af7"/>
          <w:rFonts w:eastAsia="Guttman Hodes" w:hint="cs"/>
          <w:rtl/>
        </w:rPr>
        <w:t>(סי' קמ"ו סקכ"ד ד"ה</w:t>
      </w:r>
      <w:r w:rsidRPr="00A75CA9">
        <w:rPr>
          <w:rStyle w:val="af7"/>
          <w:rFonts w:eastAsia="Guttman Hodes"/>
          <w:rtl/>
        </w:rPr>
        <w:t xml:space="preserve"> לכן נראה</w:t>
      </w:r>
      <w:r w:rsidRPr="00A75CA9">
        <w:rPr>
          <w:rStyle w:val="af7"/>
          <w:rFonts w:eastAsia="Guttman Hodes" w:hint="cs"/>
          <w:rtl/>
        </w:rPr>
        <w:t xml:space="preserve">) </w:t>
      </w:r>
      <w:r w:rsidRPr="00A75CA9">
        <w:rPr>
          <w:rFonts w:hint="cs"/>
          <w:rtl/>
        </w:rPr>
        <w:t>ביאר</w:t>
      </w:r>
      <w:r>
        <w:rPr>
          <w:rFonts w:hint="cs"/>
          <w:rtl/>
        </w:rPr>
        <w:t xml:space="preserve"> </w:t>
      </w:r>
      <w:r w:rsidRPr="00A75CA9">
        <w:rPr>
          <w:rFonts w:hint="cs"/>
          <w:rtl/>
        </w:rPr>
        <w:t xml:space="preserve">דס"ל </w:t>
      </w:r>
      <w:r w:rsidRPr="00A75CA9">
        <w:rPr>
          <w:rStyle w:val="af9"/>
          <w:rFonts w:hint="cs"/>
          <w:rtl/>
        </w:rPr>
        <w:t>להרשב"ם</w:t>
      </w:r>
      <w:r w:rsidRPr="00A75CA9">
        <w:rPr>
          <w:rFonts w:hint="cs"/>
          <w:rtl/>
        </w:rPr>
        <w:t xml:space="preserve"> דכל שידוע לנו בודאי שאין למחזיק חזקת ג"ש, אינו נאמן במיגו דלא הייתה של המערער מעולם, דכיון שאין לו שטר הוא כמיגו במקום עדים, </w:t>
      </w:r>
      <w:r w:rsidRPr="00A75CA9">
        <w:rPr>
          <w:rStyle w:val="afb"/>
          <w:rFonts w:hint="cs"/>
          <w:rtl/>
        </w:rPr>
        <w:t>[ואף שאין למערער</w:t>
      </w:r>
      <w:r w:rsidRPr="006923F2">
        <w:rPr>
          <w:rStyle w:val="afb"/>
          <w:rFonts w:hint="cs"/>
          <w:rtl/>
        </w:rPr>
        <w:t xml:space="preserve"> עדים, מ"מ היה למחזיק לחוש שמא יביא עדים],</w:t>
      </w:r>
      <w:r>
        <w:rPr>
          <w:rFonts w:hint="cs"/>
          <w:rtl/>
        </w:rPr>
        <w:t xml:space="preserve"> אבל במקום שהמחזיק טוען שיש לו חזקת ג"ש, ואין ראיה כנגדו, הוא נאמן במיגו כיון דא"א לומר לו אחוי שטרך, ולכן אף המוכר נאמן במיגו, כשוטען </w:t>
      </w:r>
      <w:r>
        <w:rPr>
          <w:rFonts w:hint="cs"/>
          <w:rtl/>
        </w:rPr>
        <w:t>שקנה מהמערער וטוען שיש לו חזקת ג"ש, ואין למערער עדים שהייתה הקרקע שלו.</w:t>
      </w:r>
      <w:bookmarkEnd w:id="11825"/>
    </w:p>
    <w:p w:rsidR="005306EB" w:rsidRPr="00FF0FC4" w:rsidRDefault="005306EB" w:rsidP="005306EB">
      <w:pPr>
        <w:pStyle w:val="a3"/>
        <w:rPr>
          <w:rtl/>
        </w:rPr>
      </w:pPr>
    </w:p>
    <w:p w:rsidR="005306EB" w:rsidRDefault="005306EB" w:rsidP="005306EB">
      <w:pPr>
        <w:pStyle w:val="a3"/>
        <w:rPr>
          <w:rtl/>
        </w:rPr>
      </w:pPr>
      <w:bookmarkStart w:id="11826" w:name="_Toc61469430"/>
      <w:bookmarkStart w:id="11827" w:name="_Toc61509808"/>
      <w:r>
        <w:rPr>
          <w:rFonts w:hint="cs"/>
          <w:rtl/>
        </w:rPr>
        <w:t>ביאור הדרישה ברשב"ם דבסוגיין הודה המחזיק שאין לו חזקה ול"מ מיגו כנגד אחוי שטרך</w:t>
      </w:r>
      <w:bookmarkEnd w:id="11826"/>
      <w:bookmarkEnd w:id="11827"/>
    </w:p>
    <w:p w:rsidR="005306EB" w:rsidRDefault="005306EB" w:rsidP="007E4E81">
      <w:pPr>
        <w:pStyle w:val="a0"/>
        <w:rPr>
          <w:sz w:val="10"/>
          <w:szCs w:val="14"/>
          <w:rtl/>
        </w:rPr>
      </w:pPr>
      <w:r>
        <w:rPr>
          <w:rFonts w:hint="cs"/>
          <w:rtl/>
        </w:rPr>
        <w:t xml:space="preserve">וכתב </w:t>
      </w:r>
      <w:r w:rsidRPr="003822EB">
        <w:rPr>
          <w:rStyle w:val="af9"/>
          <w:rFonts w:hint="cs"/>
          <w:rtl/>
        </w:rPr>
        <w:t>הדר</w:t>
      </w:r>
      <w:r w:rsidRPr="007A198C">
        <w:rPr>
          <w:rStyle w:val="af9"/>
          <w:rFonts w:hint="cs"/>
          <w:rtl/>
        </w:rPr>
        <w:t>ישה</w:t>
      </w:r>
      <w:r>
        <w:rPr>
          <w:rFonts w:hint="cs"/>
          <w:rtl/>
        </w:rPr>
        <w:t xml:space="preserve"> דכיון דביאר </w:t>
      </w:r>
      <w:r>
        <w:rPr>
          <w:rStyle w:val="af9"/>
          <w:rtl/>
        </w:rPr>
        <w:t>הרשב"ם</w:t>
      </w:r>
      <w:r>
        <w:rPr>
          <w:rFonts w:hint="cs"/>
          <w:rtl/>
        </w:rPr>
        <w:t xml:space="preserve"> </w:t>
      </w:r>
      <w:r>
        <w:rPr>
          <w:rStyle w:val="af7"/>
          <w:rFonts w:eastAsia="Guttman Hodes" w:hint="cs"/>
          <w:rtl/>
        </w:rPr>
        <w:t>(</w:t>
      </w:r>
      <w:r w:rsidRPr="00A75CA9">
        <w:rPr>
          <w:rStyle w:val="af7"/>
          <w:rFonts w:eastAsia="Guttman Hodes" w:hint="cs"/>
          <w:rtl/>
        </w:rPr>
        <w:t>ד"ה אמר ליה, הובא בסימן ח' אות א</w:t>
      </w:r>
      <w:r>
        <w:rPr>
          <w:rStyle w:val="af7"/>
          <w:rFonts w:eastAsia="Guttman Hodes" w:hint="cs"/>
          <w:rtl/>
        </w:rPr>
        <w:t>'</w:t>
      </w:r>
      <w:r w:rsidRPr="00A75CA9">
        <w:rPr>
          <w:rStyle w:val="af7"/>
          <w:rFonts w:eastAsia="Guttman Hodes" w:hint="cs"/>
          <w:rtl/>
        </w:rPr>
        <w:t xml:space="preserve">) </w:t>
      </w:r>
      <w:r>
        <w:rPr>
          <w:rFonts w:hint="cs"/>
          <w:rtl/>
        </w:rPr>
        <w:t>דמהא דלא טען המחזיק שהחזיק שני חזקה, מבואר ד</w:t>
      </w:r>
      <w:r w:rsidRPr="00C86876">
        <w:rPr>
          <w:rFonts w:hint="cs"/>
          <w:rtl/>
        </w:rPr>
        <w:t>איירי</w:t>
      </w:r>
      <w:r>
        <w:rPr>
          <w:rFonts w:hint="cs"/>
          <w:rtl/>
        </w:rPr>
        <w:t xml:space="preserve"> שהמחזיק הודה שאין לו חזקת ג"ש, וכן אין למוכר חזקת ג"ש, ולכן אינו נאמן במיגו דלא הייתה של המערער מעולם, דאמרינן ליה אחוי שטרך</w:t>
      </w:r>
      <w:r>
        <w:rPr>
          <w:rStyle w:val="af1"/>
          <w:rtl/>
        </w:rPr>
        <w:footnoteReference w:id="72"/>
      </w:r>
      <w:r>
        <w:rPr>
          <w:rFonts w:hint="cs"/>
          <w:rtl/>
        </w:rPr>
        <w:t xml:space="preserve">, ועי' במה שהקשה </w:t>
      </w:r>
      <w:r w:rsidRPr="00477AE3">
        <w:rPr>
          <w:rStyle w:val="af9"/>
          <w:rFonts w:hint="cs"/>
          <w:rtl/>
        </w:rPr>
        <w:t>בחי' רבי נחום</w:t>
      </w:r>
      <w:r>
        <w:rPr>
          <w:rFonts w:hint="cs"/>
          <w:rtl/>
        </w:rPr>
        <w:t xml:space="preserve"> </w:t>
      </w:r>
      <w:r w:rsidRPr="00477AE3">
        <w:rPr>
          <w:rStyle w:val="af7"/>
          <w:rFonts w:eastAsia="Guttman Hodes" w:hint="cs"/>
          <w:rtl/>
        </w:rPr>
        <w:t xml:space="preserve">(עי' אות </w:t>
      </w:r>
      <w:r w:rsidRPr="00477AE3">
        <w:rPr>
          <w:rStyle w:val="af7"/>
          <w:rFonts w:eastAsia="Guttman Hodes"/>
          <w:rtl/>
        </w:rPr>
        <w:fldChar w:fldCharType="begin"/>
      </w:r>
      <w:r w:rsidRPr="00477AE3">
        <w:rPr>
          <w:rStyle w:val="af7"/>
          <w:rFonts w:eastAsia="Guttman Hodes"/>
          <w:rtl/>
        </w:rPr>
        <w:instrText xml:space="preserve"> </w:instrText>
      </w:r>
      <w:r w:rsidRPr="00477AE3">
        <w:rPr>
          <w:rStyle w:val="af7"/>
          <w:rFonts w:eastAsia="Guttman Hodes" w:hint="cs"/>
        </w:rPr>
        <w:instrText>REF</w:instrText>
      </w:r>
      <w:r w:rsidRPr="00477AE3">
        <w:rPr>
          <w:rStyle w:val="af7"/>
          <w:rFonts w:eastAsia="Guttman Hodes" w:hint="cs"/>
          <w:rtl/>
        </w:rPr>
        <w:instrText xml:space="preserve"> _</w:instrText>
      </w:r>
      <w:r w:rsidRPr="00477AE3">
        <w:rPr>
          <w:rStyle w:val="af7"/>
          <w:rFonts w:eastAsia="Guttman Hodes" w:hint="cs"/>
        </w:rPr>
        <w:instrText>Ref61459962 \r \h</w:instrText>
      </w:r>
      <w:r w:rsidRPr="00477AE3">
        <w:rPr>
          <w:rStyle w:val="af7"/>
          <w:rFonts w:eastAsia="Guttman Hodes"/>
          <w:rtl/>
        </w:rPr>
        <w:instrText xml:space="preserve"> </w:instrText>
      </w:r>
      <w:r w:rsidRPr="00477AE3">
        <w:rPr>
          <w:rStyle w:val="af7"/>
          <w:rFonts w:eastAsia="Guttman Hodes"/>
          <w:rtl/>
        </w:rPr>
      </w:r>
      <w:r w:rsidRPr="00477AE3">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477AE3">
        <w:rPr>
          <w:rStyle w:val="af7"/>
          <w:rFonts w:eastAsia="Guttman Hodes"/>
          <w:rtl/>
        </w:rPr>
        <w:fldChar w:fldCharType="end"/>
      </w:r>
      <w:r>
        <w:rPr>
          <w:rFonts w:hint="cs"/>
          <w:rtl/>
        </w:rPr>
        <w:t>.</w:t>
      </w:r>
    </w:p>
    <w:p w:rsidR="005306EB" w:rsidRPr="00C86876" w:rsidRDefault="005306EB" w:rsidP="005306EB">
      <w:pPr>
        <w:pStyle w:val="a3"/>
      </w:pPr>
      <w:bookmarkStart w:id="11828" w:name="_Toc61469431"/>
      <w:bookmarkStart w:id="11829" w:name="_Toc61509809"/>
      <w:r>
        <w:rPr>
          <w:rFonts w:hint="cs"/>
          <w:rtl/>
        </w:rPr>
        <w:t>דברי הביה"ל דרק כשיש למחזיק חזקה נאמן במיגו דלהד"ם ובלא חזקה אמרינן ליה אחוי שטרך</w:t>
      </w:r>
      <w:bookmarkEnd w:id="11828"/>
      <w:bookmarkEnd w:id="11829"/>
    </w:p>
    <w:p w:rsidR="005306EB" w:rsidRDefault="005306EB" w:rsidP="007E4E81">
      <w:pPr>
        <w:pStyle w:val="a0"/>
        <w:rPr>
          <w:rtl/>
        </w:rPr>
      </w:pPr>
      <w:bookmarkStart w:id="11830" w:name="_Ref58091424"/>
      <w:r w:rsidRPr="005D0ADC">
        <w:rPr>
          <w:rFonts w:hint="cs"/>
          <w:rtl/>
        </w:rPr>
        <w:t>וכ</w:t>
      </w:r>
      <w:r>
        <w:rPr>
          <w:rFonts w:hint="cs"/>
          <w:rtl/>
        </w:rPr>
        <w:t>"כ</w:t>
      </w:r>
      <w:r w:rsidRPr="005D0ADC">
        <w:rPr>
          <w:rFonts w:hint="cs"/>
          <w:rtl/>
        </w:rPr>
        <w:t xml:space="preserve"> </w:t>
      </w:r>
      <w:r w:rsidRPr="00A16FA8">
        <w:rPr>
          <w:rStyle w:val="af9"/>
          <w:rFonts w:hint="cs"/>
          <w:rtl/>
        </w:rPr>
        <w:t>הבית הלוי</w:t>
      </w:r>
      <w:r w:rsidRPr="005D0ADC">
        <w:rPr>
          <w:rFonts w:hint="cs"/>
          <w:rtl/>
        </w:rPr>
        <w:t xml:space="preserve"> </w:t>
      </w:r>
      <w:r w:rsidRPr="00EB4F74">
        <w:rPr>
          <w:rStyle w:val="af7"/>
          <w:rFonts w:eastAsia="Guttman Hodes" w:hint="cs"/>
          <w:rtl/>
        </w:rPr>
        <w:t xml:space="preserve">(ח"ג סי' ל"ו או' א' ד"ה אמנם) </w:t>
      </w:r>
      <w:r w:rsidRPr="005D0ADC">
        <w:rPr>
          <w:rFonts w:hint="cs"/>
          <w:rtl/>
        </w:rPr>
        <w:t xml:space="preserve">דמבואר דס"ל </w:t>
      </w:r>
      <w:r w:rsidRPr="00A16FA8">
        <w:rPr>
          <w:rStyle w:val="af9"/>
          <w:rFonts w:hint="cs"/>
          <w:rtl/>
        </w:rPr>
        <w:t>להרשב"ם</w:t>
      </w:r>
      <w:r w:rsidRPr="005D0ADC">
        <w:rPr>
          <w:rFonts w:hint="cs"/>
          <w:rtl/>
        </w:rPr>
        <w:t xml:space="preserve"> דהנאמנות בטענת מינך זבינתה במיגו דלא הייתה שלך מעולם, היא רק כשיש לו חזקת ג"ש, אבל בתוך ג"ש, אמרינן ליה אחוי שטרך, וחשיב כמיגו במקום עדים, וכיון דבסוגיין כתב </w:t>
      </w:r>
      <w:r>
        <w:rPr>
          <w:rStyle w:val="af9"/>
          <w:rtl/>
        </w:rPr>
        <w:t>הרשב"ם</w:t>
      </w:r>
      <w:r>
        <w:rPr>
          <w:rFonts w:hint="cs"/>
          <w:rtl/>
        </w:rPr>
        <w:t xml:space="preserve"> </w:t>
      </w:r>
      <w:r>
        <w:rPr>
          <w:rStyle w:val="af7"/>
          <w:rFonts w:eastAsia="Guttman Hodes" w:hint="cs"/>
          <w:rtl/>
        </w:rPr>
        <w:t>(</w:t>
      </w:r>
      <w:r w:rsidRPr="00A75CA9">
        <w:rPr>
          <w:rStyle w:val="af7"/>
          <w:rFonts w:eastAsia="Guttman Hodes" w:hint="cs"/>
          <w:rtl/>
        </w:rPr>
        <w:t>ד"ה אמר ליה, הובא בסימן ח' אות א</w:t>
      </w:r>
      <w:r>
        <w:rPr>
          <w:rStyle w:val="af7"/>
          <w:rFonts w:eastAsia="Guttman Hodes" w:hint="cs"/>
          <w:rtl/>
        </w:rPr>
        <w:t>'</w:t>
      </w:r>
      <w:r w:rsidRPr="00A75CA9">
        <w:rPr>
          <w:rStyle w:val="af7"/>
          <w:rFonts w:eastAsia="Guttman Hodes" w:hint="cs"/>
          <w:rtl/>
        </w:rPr>
        <w:t xml:space="preserve">) </w:t>
      </w:r>
      <w:r w:rsidRPr="005D0ADC">
        <w:rPr>
          <w:rFonts w:hint="cs"/>
          <w:rtl/>
        </w:rPr>
        <w:t xml:space="preserve">דאין למחזיק חזקת ג"ש, ממילא לא מהני לו מיגו, והא דאמרינן בגמ' בכתובות דנאמן במיגו, כתב </w:t>
      </w:r>
      <w:r w:rsidRPr="00EB4F74">
        <w:rPr>
          <w:rStyle w:val="af9"/>
          <w:rFonts w:hint="cs"/>
          <w:rtl/>
        </w:rPr>
        <w:t>הבית הלוי</w:t>
      </w:r>
      <w:r w:rsidRPr="005D0ADC">
        <w:rPr>
          <w:rFonts w:hint="cs"/>
          <w:rtl/>
        </w:rPr>
        <w:t xml:space="preserve"> דמבואר בגמ' שם דלטענת המחזיק היה לו חזקת ג"ש, וא"א לטעון לו אחוי שטרך,</w:t>
      </w:r>
      <w:r>
        <w:rPr>
          <w:rFonts w:hint="cs"/>
          <w:rtl/>
        </w:rPr>
        <w:t xml:space="preserve"> ועי' במה שביאר</w:t>
      </w:r>
      <w:r w:rsidRPr="00E50FFC">
        <w:rPr>
          <w:rStyle w:val="af9"/>
          <w:rFonts w:hint="cs"/>
          <w:rtl/>
        </w:rPr>
        <w:t xml:space="preserve"> </w:t>
      </w:r>
      <w:r w:rsidRPr="00BB296D">
        <w:rPr>
          <w:rStyle w:val="af9"/>
          <w:rFonts w:hint="cs"/>
          <w:rtl/>
        </w:rPr>
        <w:t>החשק שלמה</w:t>
      </w:r>
      <w:r>
        <w:rPr>
          <w:rFonts w:hint="cs"/>
          <w:rtl/>
        </w:rPr>
        <w:t xml:space="preserve"> </w:t>
      </w:r>
      <w:r w:rsidRPr="00BB296D">
        <w:rPr>
          <w:rStyle w:val="af7"/>
          <w:rFonts w:eastAsia="Guttman Hodes" w:hint="cs"/>
          <w:rtl/>
        </w:rPr>
        <w:t>(על הרשב"ם ד"ה ואת)</w:t>
      </w:r>
      <w:r>
        <w:rPr>
          <w:rFonts w:hint="cs"/>
          <w:rtl/>
        </w:rPr>
        <w:t xml:space="preserve"> בגמ' בכתובות,</w:t>
      </w:r>
      <w:r w:rsidRPr="005D0ADC">
        <w:rPr>
          <w:rFonts w:hint="cs"/>
          <w:rtl/>
        </w:rPr>
        <w:t xml:space="preserve"> </w:t>
      </w:r>
      <w:r w:rsidRPr="005D0ADC">
        <w:rPr>
          <w:rStyle w:val="afb"/>
          <w:rFonts w:hint="cs"/>
          <w:rtl/>
        </w:rPr>
        <w:t>[ו</w:t>
      </w:r>
      <w:r>
        <w:rPr>
          <w:rStyle w:val="afb"/>
          <w:rFonts w:hint="cs"/>
          <w:rtl/>
        </w:rPr>
        <w:t xml:space="preserve">הוסיף </w:t>
      </w:r>
      <w:r w:rsidRPr="00E50FFC">
        <w:rPr>
          <w:rStyle w:val="affa"/>
          <w:rFonts w:hint="cs"/>
          <w:rtl/>
        </w:rPr>
        <w:t>הבית הלוי</w:t>
      </w:r>
      <w:r>
        <w:rPr>
          <w:rStyle w:val="afb"/>
          <w:rFonts w:hint="cs"/>
          <w:rtl/>
        </w:rPr>
        <w:t xml:space="preserve"> ד</w:t>
      </w:r>
      <w:r w:rsidRPr="005D0ADC">
        <w:rPr>
          <w:rStyle w:val="afb"/>
          <w:rFonts w:hint="cs"/>
          <w:rtl/>
        </w:rPr>
        <w:t xml:space="preserve">כן בשכוני גוואי לטענת המחזיק יש לו חזקת ג"ש, ולכן כתב </w:t>
      </w:r>
      <w:r w:rsidRPr="00E50FFC">
        <w:rPr>
          <w:rStyle w:val="affa"/>
          <w:rFonts w:hint="cs"/>
          <w:rtl/>
        </w:rPr>
        <w:t>הרשב"ם לעיל</w:t>
      </w:r>
      <w:r w:rsidRPr="005D0ADC">
        <w:rPr>
          <w:rStyle w:val="afb"/>
          <w:rFonts w:hint="cs"/>
          <w:rtl/>
        </w:rPr>
        <w:t xml:space="preserve"> </w:t>
      </w:r>
      <w:r w:rsidRPr="00EB4F74">
        <w:rPr>
          <w:rStyle w:val="aff6"/>
          <w:rFonts w:hint="cs"/>
          <w:rtl/>
        </w:rPr>
        <w:t>(כט: ד"ה עליו, הובא בסימן ז' אות מ"א)</w:t>
      </w:r>
      <w:r w:rsidRPr="00046FF8">
        <w:rPr>
          <w:rStyle w:val="afb"/>
          <w:rFonts w:hint="cs"/>
          <w:rtl/>
        </w:rPr>
        <w:t xml:space="preserve"> </w:t>
      </w:r>
      <w:r w:rsidRPr="005D0ADC">
        <w:rPr>
          <w:rStyle w:val="afb"/>
          <w:rFonts w:hint="cs"/>
          <w:rtl/>
        </w:rPr>
        <w:t xml:space="preserve">דנאמן במיגו כשאין למרא קמא עדים], </w:t>
      </w:r>
      <w:r w:rsidRPr="005D0ADC">
        <w:rPr>
          <w:rFonts w:hint="cs"/>
          <w:rtl/>
        </w:rPr>
        <w:t xml:space="preserve">ועיי"ש במ"ש </w:t>
      </w:r>
      <w:r w:rsidRPr="00EB4F74">
        <w:rPr>
          <w:rStyle w:val="af9"/>
          <w:rFonts w:hint="cs"/>
          <w:rtl/>
        </w:rPr>
        <w:t>הבית הלוי</w:t>
      </w:r>
      <w:r w:rsidRPr="005D0ADC">
        <w:rPr>
          <w:rFonts w:hint="cs"/>
          <w:rtl/>
        </w:rPr>
        <w:t xml:space="preserve"> </w:t>
      </w:r>
      <w:r w:rsidRPr="00EB4F74">
        <w:rPr>
          <w:rStyle w:val="af7"/>
          <w:rFonts w:eastAsia="Guttman Hodes" w:hint="cs"/>
          <w:rtl/>
        </w:rPr>
        <w:t xml:space="preserve">(ח"ג סי' ל"ו או' א' ד"ה ובזה יבואר) </w:t>
      </w:r>
      <w:r w:rsidRPr="005D0ADC">
        <w:rPr>
          <w:rFonts w:hint="cs"/>
          <w:rtl/>
        </w:rPr>
        <w:t xml:space="preserve">דכן מדויק בלשון </w:t>
      </w:r>
      <w:r w:rsidRPr="00EB4F74">
        <w:rPr>
          <w:rStyle w:val="af9"/>
          <w:rFonts w:hint="cs"/>
          <w:rtl/>
        </w:rPr>
        <w:t>הרשב"ם</w:t>
      </w:r>
      <w:r>
        <w:rPr>
          <w:rStyle w:val="af1"/>
          <w:rtl/>
        </w:rPr>
        <w:footnoteReference w:id="73"/>
      </w:r>
      <w:r>
        <w:rPr>
          <w:rFonts w:hint="cs"/>
          <w:rtl/>
        </w:rPr>
        <w:t xml:space="preserve">, ועי' במה שהקשה </w:t>
      </w:r>
      <w:r w:rsidRPr="00477AE3">
        <w:rPr>
          <w:rStyle w:val="af9"/>
          <w:rFonts w:hint="cs"/>
          <w:rtl/>
        </w:rPr>
        <w:t>בחי' רבי נחום</w:t>
      </w:r>
      <w:r>
        <w:rPr>
          <w:rFonts w:hint="cs"/>
          <w:rtl/>
        </w:rPr>
        <w:t xml:space="preserve"> </w:t>
      </w:r>
      <w:r w:rsidRPr="00477AE3">
        <w:rPr>
          <w:rStyle w:val="af7"/>
          <w:rFonts w:eastAsia="Guttman Hodes" w:hint="cs"/>
          <w:rtl/>
        </w:rPr>
        <w:t xml:space="preserve">(עי' אות </w:t>
      </w:r>
      <w:r w:rsidRPr="00477AE3">
        <w:rPr>
          <w:rStyle w:val="af7"/>
          <w:rFonts w:eastAsia="Guttman Hodes"/>
          <w:rtl/>
        </w:rPr>
        <w:fldChar w:fldCharType="begin"/>
      </w:r>
      <w:r w:rsidRPr="00477AE3">
        <w:rPr>
          <w:rStyle w:val="af7"/>
          <w:rFonts w:eastAsia="Guttman Hodes"/>
          <w:rtl/>
        </w:rPr>
        <w:instrText xml:space="preserve"> </w:instrText>
      </w:r>
      <w:r w:rsidRPr="00477AE3">
        <w:rPr>
          <w:rStyle w:val="af7"/>
          <w:rFonts w:eastAsia="Guttman Hodes" w:hint="cs"/>
        </w:rPr>
        <w:instrText>REF</w:instrText>
      </w:r>
      <w:r w:rsidRPr="00477AE3">
        <w:rPr>
          <w:rStyle w:val="af7"/>
          <w:rFonts w:eastAsia="Guttman Hodes" w:hint="cs"/>
          <w:rtl/>
        </w:rPr>
        <w:instrText xml:space="preserve"> _</w:instrText>
      </w:r>
      <w:r w:rsidRPr="00477AE3">
        <w:rPr>
          <w:rStyle w:val="af7"/>
          <w:rFonts w:eastAsia="Guttman Hodes" w:hint="cs"/>
        </w:rPr>
        <w:instrText>Ref61459962 \r \h</w:instrText>
      </w:r>
      <w:r w:rsidRPr="00477AE3">
        <w:rPr>
          <w:rStyle w:val="af7"/>
          <w:rFonts w:eastAsia="Guttman Hodes"/>
          <w:rtl/>
        </w:rPr>
        <w:instrText xml:space="preserve"> </w:instrText>
      </w:r>
      <w:r w:rsidRPr="00477AE3">
        <w:rPr>
          <w:rStyle w:val="af7"/>
          <w:rFonts w:eastAsia="Guttman Hodes"/>
          <w:rtl/>
        </w:rPr>
      </w:r>
      <w:r w:rsidRPr="00477AE3">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477AE3">
        <w:rPr>
          <w:rStyle w:val="af7"/>
          <w:rFonts w:eastAsia="Guttman Hodes"/>
          <w:rtl/>
        </w:rPr>
        <w:fldChar w:fldCharType="end"/>
      </w:r>
      <w:r w:rsidRPr="005D0ADC">
        <w:rPr>
          <w:rFonts w:hint="cs"/>
          <w:rtl/>
        </w:rPr>
        <w:t>.</w:t>
      </w:r>
      <w:bookmarkEnd w:id="11830"/>
    </w:p>
    <w:p w:rsidR="005306EB" w:rsidRPr="00570FFF" w:rsidRDefault="005306EB" w:rsidP="005306EB">
      <w:pPr>
        <w:pStyle w:val="1"/>
        <w:rPr>
          <w:rtl/>
        </w:rPr>
      </w:pPr>
      <w:bookmarkStart w:id="11831" w:name="_Toc61469432"/>
      <w:bookmarkStart w:id="11832" w:name="_Toc61509810"/>
      <w:r>
        <w:rPr>
          <w:rFonts w:hint="cs"/>
          <w:rtl/>
        </w:rPr>
        <w:t>דברי הגרעק"א דבפוסקים מוכח דמהני מיגו כנגד אחוי שטרך</w:t>
      </w:r>
      <w:bookmarkEnd w:id="11831"/>
      <w:bookmarkEnd w:id="11832"/>
    </w:p>
    <w:p w:rsidR="005306EB" w:rsidRDefault="005306EB" w:rsidP="005306EB">
      <w:pPr>
        <w:pStyle w:val="a3"/>
        <w:rPr>
          <w:rtl/>
        </w:rPr>
      </w:pPr>
      <w:bookmarkStart w:id="11833" w:name="_Toc61469433"/>
      <w:bookmarkStart w:id="11834" w:name="_Toc61509811"/>
      <w:r>
        <w:rPr>
          <w:rFonts w:hint="cs"/>
          <w:rtl/>
        </w:rPr>
        <w:t>דברי הגרעק"א דמהרי"ף ומסתימת כל הפוסקים משמע דמהני מיגו אף כנגד טענת אחוי שטרך</w:t>
      </w:r>
      <w:bookmarkEnd w:id="11833"/>
      <w:bookmarkEnd w:id="11834"/>
    </w:p>
    <w:p w:rsidR="005306EB" w:rsidRPr="001B6BE7" w:rsidRDefault="005306EB" w:rsidP="007E4E81">
      <w:pPr>
        <w:pStyle w:val="a0"/>
        <w:rPr>
          <w:rtl/>
        </w:rPr>
      </w:pPr>
      <w:r>
        <w:rPr>
          <w:rFonts w:hint="cs"/>
          <w:rtl/>
        </w:rPr>
        <w:t xml:space="preserve">אמנם </w:t>
      </w:r>
      <w:r w:rsidRPr="00F729BB">
        <w:rPr>
          <w:rStyle w:val="af9"/>
          <w:rFonts w:hint="cs"/>
          <w:rtl/>
        </w:rPr>
        <w:t>הגרעק"א לקמן</w:t>
      </w:r>
      <w:r>
        <w:rPr>
          <w:rFonts w:hint="cs"/>
          <w:rtl/>
        </w:rPr>
        <w:t xml:space="preserve"> </w:t>
      </w:r>
      <w:r w:rsidRPr="00AF37F1">
        <w:rPr>
          <w:rStyle w:val="af7"/>
          <w:rFonts w:eastAsia="Guttman Hodes" w:hint="cs"/>
          <w:rtl/>
        </w:rPr>
        <w:t xml:space="preserve">(לו. ד"ה מחאה בפני, שו"ת ח"ג סי' כ"ז) </w:t>
      </w:r>
      <w:r>
        <w:rPr>
          <w:rFonts w:hint="cs"/>
          <w:rtl/>
        </w:rPr>
        <w:t xml:space="preserve">כתב דמסתימת כל </w:t>
      </w:r>
      <w:r w:rsidRPr="00F729BB">
        <w:rPr>
          <w:rStyle w:val="af9"/>
          <w:rFonts w:hint="cs"/>
          <w:rtl/>
        </w:rPr>
        <w:t>הפוסקים</w:t>
      </w:r>
      <w:r>
        <w:rPr>
          <w:rFonts w:hint="cs"/>
          <w:rtl/>
        </w:rPr>
        <w:t xml:space="preserve"> לא משמע כדברי </w:t>
      </w:r>
      <w:r w:rsidRPr="00F729BB">
        <w:rPr>
          <w:rStyle w:val="af9"/>
          <w:rFonts w:hint="cs"/>
          <w:rtl/>
        </w:rPr>
        <w:t>הדרישה</w:t>
      </w:r>
      <w:r>
        <w:rPr>
          <w:rStyle w:val="af9"/>
          <w:rFonts w:hint="cs"/>
          <w:rtl/>
        </w:rPr>
        <w:t xml:space="preserve"> </w:t>
      </w:r>
      <w:r w:rsidRPr="00BB296D">
        <w:rPr>
          <w:rStyle w:val="af7"/>
          <w:rFonts w:eastAsia="Guttman Hodes" w:hint="cs"/>
          <w:rtl/>
        </w:rPr>
        <w:t xml:space="preserve">(עי' אות </w:t>
      </w:r>
      <w:r w:rsidRPr="00BB296D">
        <w:rPr>
          <w:rStyle w:val="af7"/>
          <w:rFonts w:eastAsia="Guttman Hodes"/>
          <w:rtl/>
        </w:rPr>
        <w:fldChar w:fldCharType="begin"/>
      </w:r>
      <w:r w:rsidRPr="00BB296D">
        <w:rPr>
          <w:rStyle w:val="af7"/>
          <w:rFonts w:eastAsia="Guttman Hodes"/>
          <w:rtl/>
        </w:rPr>
        <w:instrText xml:space="preserve"> </w:instrText>
      </w:r>
      <w:r w:rsidRPr="00BB296D">
        <w:rPr>
          <w:rStyle w:val="af7"/>
          <w:rFonts w:eastAsia="Guttman Hodes" w:hint="cs"/>
        </w:rPr>
        <w:instrText>REF</w:instrText>
      </w:r>
      <w:r w:rsidRPr="00BB296D">
        <w:rPr>
          <w:rStyle w:val="af7"/>
          <w:rFonts w:eastAsia="Guttman Hodes" w:hint="cs"/>
          <w:rtl/>
        </w:rPr>
        <w:instrText xml:space="preserve"> _</w:instrText>
      </w:r>
      <w:r w:rsidRPr="00BB296D">
        <w:rPr>
          <w:rStyle w:val="af7"/>
          <w:rFonts w:eastAsia="Guttman Hodes" w:hint="cs"/>
        </w:rPr>
        <w:instrText>Ref61448588 \r \h</w:instrText>
      </w:r>
      <w:r w:rsidRPr="00BB296D">
        <w:rPr>
          <w:rStyle w:val="af7"/>
          <w:rFonts w:eastAsia="Guttman Hodes"/>
          <w:rtl/>
        </w:rPr>
        <w:instrText xml:space="preserve"> </w:instrText>
      </w:r>
      <w:r w:rsidRPr="00BB296D">
        <w:rPr>
          <w:rStyle w:val="af7"/>
          <w:rFonts w:eastAsia="Guttman Hodes"/>
          <w:rtl/>
        </w:rPr>
      </w:r>
      <w:r w:rsidRPr="00BB296D">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BB296D">
        <w:rPr>
          <w:rStyle w:val="af7"/>
          <w:rFonts w:eastAsia="Guttman Hodes"/>
          <w:rtl/>
        </w:rPr>
        <w:fldChar w:fldCharType="end"/>
      </w:r>
      <w:r>
        <w:rPr>
          <w:rFonts w:hint="cs"/>
          <w:rtl/>
        </w:rPr>
        <w:t xml:space="preserve">, ומהני מיגו אף כנגד אחוי שטרך, וכ"כ </w:t>
      </w:r>
      <w:r w:rsidRPr="00BB296D">
        <w:rPr>
          <w:rStyle w:val="af9"/>
          <w:rFonts w:hint="cs"/>
          <w:rtl/>
        </w:rPr>
        <w:t>החשק שלמה</w:t>
      </w:r>
      <w:r>
        <w:rPr>
          <w:rFonts w:hint="cs"/>
          <w:rtl/>
        </w:rPr>
        <w:t xml:space="preserve"> </w:t>
      </w:r>
      <w:r w:rsidRPr="00BB296D">
        <w:rPr>
          <w:rStyle w:val="af7"/>
          <w:rFonts w:eastAsia="Guttman Hodes" w:hint="cs"/>
          <w:rtl/>
        </w:rPr>
        <w:t>(על הרשב"ם ד"ה ואת)</w:t>
      </w:r>
      <w:r>
        <w:rPr>
          <w:rFonts w:hint="cs"/>
          <w:rtl/>
        </w:rPr>
        <w:t xml:space="preserve">, ועיי"ש במה שהוכיח </w:t>
      </w:r>
      <w:r w:rsidRPr="00F729BB">
        <w:rPr>
          <w:rStyle w:val="af9"/>
          <w:rFonts w:hint="cs"/>
          <w:rtl/>
        </w:rPr>
        <w:t>הגרעק"א</w:t>
      </w:r>
      <w:r>
        <w:rPr>
          <w:rFonts w:hint="cs"/>
          <w:rtl/>
        </w:rPr>
        <w:t xml:space="preserve"> כן מדברי </w:t>
      </w:r>
      <w:r w:rsidRPr="00F729BB">
        <w:rPr>
          <w:rStyle w:val="af9"/>
          <w:rFonts w:hint="cs"/>
          <w:rtl/>
        </w:rPr>
        <w:t>הרי"ף לעיל</w:t>
      </w:r>
      <w:r>
        <w:rPr>
          <w:rFonts w:hint="cs"/>
          <w:rtl/>
        </w:rPr>
        <w:t xml:space="preserve"> </w:t>
      </w:r>
      <w:r w:rsidRPr="009060B7">
        <w:rPr>
          <w:rStyle w:val="af7"/>
          <w:rFonts w:eastAsia="Guttman Hodes" w:hint="cs"/>
          <w:rtl/>
        </w:rPr>
        <w:t>(טו. מדה"ר</w:t>
      </w:r>
      <w:r>
        <w:rPr>
          <w:rStyle w:val="af7"/>
          <w:rFonts w:eastAsia="Guttman Hodes" w:hint="cs"/>
          <w:rtl/>
        </w:rPr>
        <w:t>, הובא בסימן ז' אות מ"ה)</w:t>
      </w:r>
      <w:r>
        <w:rPr>
          <w:rFonts w:hint="cs"/>
          <w:rtl/>
        </w:rPr>
        <w:t xml:space="preserve"> בשכוני גוואי דמהני מיגו, אף כשמודה המחזיק שאין לו חזקת ג"ש.</w:t>
      </w:r>
    </w:p>
    <w:p w:rsidR="005306EB" w:rsidRDefault="005306EB" w:rsidP="005306EB">
      <w:pPr>
        <w:pStyle w:val="afe"/>
        <w:rPr>
          <w:rtl/>
        </w:rPr>
      </w:pPr>
      <w:bookmarkStart w:id="11835" w:name="_Toc61469434"/>
      <w:bookmarkStart w:id="11836" w:name="_Toc61509812"/>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668"/>
      <w:bookmarkEnd w:id="11669"/>
      <w:r>
        <w:rPr>
          <w:rFonts w:hint="cs"/>
          <w:rtl/>
        </w:rPr>
        <w:t>דברי ר"ח דהמחזיק אינו בע"ד למערער</w:t>
      </w:r>
      <w:bookmarkEnd w:id="11835"/>
      <w:bookmarkEnd w:id="11836"/>
    </w:p>
    <w:p w:rsidR="005306EB" w:rsidRDefault="005306EB" w:rsidP="005306EB">
      <w:pPr>
        <w:pStyle w:val="1"/>
        <w:rPr>
          <w:rtl/>
        </w:rPr>
      </w:pPr>
      <w:bookmarkStart w:id="11837" w:name="_Toc61469435"/>
      <w:bookmarkStart w:id="11838" w:name="_Toc61509813"/>
      <w:r>
        <w:rPr>
          <w:rFonts w:hint="cs"/>
          <w:rtl/>
        </w:rPr>
        <w:t>דברי ר"ח בשם הגאונים דהמחזיק אינו בע"ד של המערער</w:t>
      </w:r>
      <w:bookmarkEnd w:id="11837"/>
      <w:bookmarkEnd w:id="11838"/>
    </w:p>
    <w:p w:rsidR="005306EB" w:rsidRPr="00B775BC" w:rsidRDefault="005306EB" w:rsidP="005306EB">
      <w:pPr>
        <w:pStyle w:val="a3"/>
        <w:rPr>
          <w:rtl/>
        </w:rPr>
      </w:pPr>
      <w:bookmarkStart w:id="11839" w:name="_Toc61469436"/>
      <w:bookmarkStart w:id="11840" w:name="_Toc61509814"/>
      <w:r>
        <w:rPr>
          <w:rFonts w:hint="cs"/>
          <w:rtl/>
        </w:rPr>
        <w:t>דברי ר"ח בשם הגאונים דהמחזיק אינו יכול לדון עם המערער ורק המוכר דן עם המערער</w:t>
      </w:r>
      <w:bookmarkEnd w:id="11839"/>
      <w:bookmarkEnd w:id="11840"/>
    </w:p>
    <w:p w:rsidR="005306EB" w:rsidRDefault="005306EB" w:rsidP="007E4E81">
      <w:pPr>
        <w:pStyle w:val="a0"/>
        <w:rPr>
          <w:rtl/>
        </w:rPr>
      </w:pPr>
      <w:bookmarkStart w:id="11841" w:name="_Ref61195614"/>
      <w:bookmarkStart w:id="11842" w:name="_Ref61193999"/>
      <w:r>
        <w:rPr>
          <w:rFonts w:hint="cs"/>
          <w:rtl/>
        </w:rPr>
        <w:t xml:space="preserve">הביאו </w:t>
      </w:r>
      <w:r w:rsidRPr="005F2313">
        <w:rPr>
          <w:rStyle w:val="af9"/>
          <w:rFonts w:hint="cs"/>
          <w:rtl/>
        </w:rPr>
        <w:t>התוס'</w:t>
      </w:r>
      <w:r>
        <w:rPr>
          <w:rFonts w:hint="cs"/>
          <w:rtl/>
        </w:rPr>
        <w:t xml:space="preserve"> </w:t>
      </w:r>
      <w:r w:rsidRPr="005F2313">
        <w:rPr>
          <w:rStyle w:val="af7"/>
          <w:rFonts w:eastAsia="Guttman Hodes" w:hint="cs"/>
          <w:rtl/>
        </w:rPr>
        <w:t>(סוד"ה לאו קמודית)</w:t>
      </w:r>
      <w:r>
        <w:rPr>
          <w:rFonts w:hint="cs"/>
          <w:rtl/>
        </w:rPr>
        <w:t xml:space="preserve"> את דברי </w:t>
      </w:r>
      <w:r w:rsidRPr="005F2313">
        <w:rPr>
          <w:rStyle w:val="af9"/>
          <w:rFonts w:hint="cs"/>
          <w:rtl/>
        </w:rPr>
        <w:t>ר"ח</w:t>
      </w:r>
      <w:r>
        <w:rPr>
          <w:rFonts w:hint="cs"/>
          <w:rtl/>
        </w:rPr>
        <w:t xml:space="preserve"> דכתב בשם </w:t>
      </w:r>
      <w:r w:rsidRPr="00D57BED">
        <w:rPr>
          <w:rStyle w:val="af9"/>
          <w:rFonts w:hint="cs"/>
          <w:rtl/>
        </w:rPr>
        <w:t>הגאונים</w:t>
      </w:r>
      <w:r>
        <w:rPr>
          <w:rFonts w:hint="cs"/>
          <w:rtl/>
        </w:rPr>
        <w:t xml:space="preserve"> דהמחזיק אינו יכול לדון עם המערער, אלא המוכר דן עם המערער, ועי' במ"ש </w:t>
      </w:r>
      <w:r w:rsidRPr="000635A9">
        <w:rPr>
          <w:rStyle w:val="af9"/>
          <w:rFonts w:hint="cs"/>
          <w:rtl/>
        </w:rPr>
        <w:t>הקה"י</w:t>
      </w:r>
      <w:r w:rsidRPr="001471A3">
        <w:rPr>
          <w:rStyle w:val="af7"/>
          <w:rFonts w:eastAsia="Guttman Hodes" w:hint="cs"/>
          <w:rtl/>
        </w:rPr>
        <w:t xml:space="preserve"> (עי' אות </w:t>
      </w:r>
      <w:r w:rsidRPr="001471A3">
        <w:rPr>
          <w:rStyle w:val="af7"/>
          <w:rFonts w:eastAsia="Guttman Hodes"/>
          <w:rtl/>
        </w:rPr>
        <w:fldChar w:fldCharType="begin"/>
      </w:r>
      <w:r w:rsidRPr="001471A3">
        <w:rPr>
          <w:rStyle w:val="af7"/>
          <w:rFonts w:eastAsia="Guttman Hodes"/>
          <w:rtl/>
        </w:rPr>
        <w:instrText xml:space="preserve"> </w:instrText>
      </w:r>
      <w:r w:rsidRPr="001471A3">
        <w:rPr>
          <w:rStyle w:val="af7"/>
          <w:rFonts w:eastAsia="Guttman Hodes" w:hint="cs"/>
        </w:rPr>
        <w:instrText>REF</w:instrText>
      </w:r>
      <w:r w:rsidRPr="001471A3">
        <w:rPr>
          <w:rStyle w:val="af7"/>
          <w:rFonts w:eastAsia="Guttman Hodes" w:hint="cs"/>
          <w:rtl/>
        </w:rPr>
        <w:instrText xml:space="preserve"> _</w:instrText>
      </w:r>
      <w:r w:rsidRPr="001471A3">
        <w:rPr>
          <w:rStyle w:val="af7"/>
          <w:rFonts w:eastAsia="Guttman Hodes" w:hint="cs"/>
        </w:rPr>
        <w:instrText>Ref61194022 \r \h</w:instrText>
      </w:r>
      <w:r w:rsidRPr="001471A3">
        <w:rPr>
          <w:rStyle w:val="af7"/>
          <w:rFonts w:eastAsia="Guttman Hodes"/>
          <w:rtl/>
        </w:rPr>
        <w:instrText xml:space="preserve"> </w:instrText>
      </w:r>
      <w:r w:rsidRPr="001471A3">
        <w:rPr>
          <w:rStyle w:val="af7"/>
          <w:rFonts w:eastAsia="Guttman Hodes"/>
          <w:rtl/>
        </w:rPr>
      </w:r>
      <w:r w:rsidRPr="001471A3">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1471A3">
        <w:rPr>
          <w:rStyle w:val="af7"/>
          <w:rFonts w:eastAsia="Guttman Hodes"/>
          <w:rtl/>
        </w:rPr>
        <w:fldChar w:fldCharType="end"/>
      </w:r>
      <w:r w:rsidRPr="008517E7">
        <w:rPr>
          <w:rFonts w:hint="cs"/>
          <w:rtl/>
        </w:rPr>
        <w:t xml:space="preserve"> </w:t>
      </w:r>
      <w:r>
        <w:rPr>
          <w:rFonts w:hint="cs"/>
          <w:rtl/>
        </w:rPr>
        <w:t xml:space="preserve">דלמדו </w:t>
      </w:r>
      <w:r w:rsidRPr="008517E7">
        <w:rPr>
          <w:rStyle w:val="af9"/>
          <w:rFonts w:hint="cs"/>
          <w:rtl/>
        </w:rPr>
        <w:t>הגאונים</w:t>
      </w:r>
      <w:r>
        <w:rPr>
          <w:rFonts w:hint="cs"/>
          <w:rtl/>
        </w:rPr>
        <w:t xml:space="preserve"> כן מלשון הגמ' דאמר המערער למחזיק זיל לאו בע"ד דידי את.</w:t>
      </w:r>
      <w:bookmarkEnd w:id="11841"/>
    </w:p>
    <w:p w:rsidR="005306EB" w:rsidRPr="00582F50" w:rsidRDefault="005306EB" w:rsidP="005306EB">
      <w:pPr>
        <w:pStyle w:val="1"/>
        <w:rPr>
          <w:rtl/>
        </w:rPr>
      </w:pPr>
      <w:bookmarkStart w:id="11843" w:name="_Toc61469437"/>
      <w:bookmarkStart w:id="11844" w:name="_Toc61509815"/>
      <w:r>
        <w:rPr>
          <w:rFonts w:hint="cs"/>
          <w:rtl/>
        </w:rPr>
        <w:lastRenderedPageBreak/>
        <w:t>דעת הרשב"א בתוס' דהמחזיק בע"ד כיון שהמוכר בע"ד</w:t>
      </w:r>
      <w:bookmarkEnd w:id="11843"/>
      <w:bookmarkEnd w:id="11844"/>
    </w:p>
    <w:p w:rsidR="005306EB" w:rsidRPr="00D059F1" w:rsidRDefault="005306EB" w:rsidP="005306EB">
      <w:pPr>
        <w:pStyle w:val="a3"/>
      </w:pPr>
      <w:bookmarkStart w:id="11845" w:name="_Toc61469438"/>
      <w:bookmarkStart w:id="11846" w:name="_Toc61509816"/>
      <w:r>
        <w:rPr>
          <w:rFonts w:hint="cs"/>
          <w:rtl/>
        </w:rPr>
        <w:t>דברי הרשב"א בתוס' דכל זכות שיש למוכר מכר למחזיק ולכן הוא יכול לדון עם המערער</w:t>
      </w:r>
      <w:bookmarkEnd w:id="11845"/>
      <w:bookmarkEnd w:id="11846"/>
    </w:p>
    <w:p w:rsidR="005306EB" w:rsidRDefault="005306EB" w:rsidP="007E4E81">
      <w:pPr>
        <w:pStyle w:val="a0"/>
        <w:rPr>
          <w:rtl/>
        </w:rPr>
      </w:pPr>
      <w:bookmarkStart w:id="11847" w:name="_Ref61194251"/>
      <w:r>
        <w:rPr>
          <w:rFonts w:hint="cs"/>
          <w:rtl/>
        </w:rPr>
        <w:t xml:space="preserve">ודחה </w:t>
      </w:r>
      <w:r w:rsidRPr="005F2313">
        <w:rPr>
          <w:rStyle w:val="af9"/>
          <w:rFonts w:hint="cs"/>
          <w:rtl/>
        </w:rPr>
        <w:t xml:space="preserve">הרשב"א בתוס' </w:t>
      </w:r>
      <w:r>
        <w:rPr>
          <w:rFonts w:hint="cs"/>
          <w:rtl/>
        </w:rPr>
        <w:t xml:space="preserve">את דברי </w:t>
      </w:r>
      <w:r w:rsidRPr="00D57BED">
        <w:rPr>
          <w:rStyle w:val="af9"/>
          <w:rFonts w:hint="cs"/>
          <w:rtl/>
        </w:rPr>
        <w:t>הגאונים</w:t>
      </w:r>
      <w:r>
        <w:rPr>
          <w:rFonts w:hint="cs"/>
          <w:rtl/>
        </w:rPr>
        <w:t xml:space="preserve"> דכיון דכל זכות שתבא לידו מכר הראשון לשני, וכיון דאין המערער יכול לדחות את המוכר ולומר לו לאו בע"ד דידי את, ה"ה דאינו יכול לדחות את המחזיק, וכתבו </w:t>
      </w:r>
      <w:r w:rsidRPr="005F2313">
        <w:rPr>
          <w:rStyle w:val="af9"/>
          <w:rFonts w:hint="cs"/>
          <w:rtl/>
        </w:rPr>
        <w:t xml:space="preserve">התוס' </w:t>
      </w:r>
      <w:r>
        <w:rPr>
          <w:rFonts w:hint="cs"/>
          <w:rtl/>
        </w:rPr>
        <w:t xml:space="preserve">דכן מבואר להדיא בגמ' לקמן </w:t>
      </w:r>
      <w:r w:rsidRPr="005F2313">
        <w:rPr>
          <w:rStyle w:val="af7"/>
          <w:rFonts w:eastAsia="Guttman Hodes" w:hint="cs"/>
          <w:rtl/>
        </w:rPr>
        <w:t>(מא:)</w:t>
      </w:r>
      <w:r>
        <w:rPr>
          <w:rFonts w:hint="cs"/>
          <w:rtl/>
        </w:rPr>
        <w:t xml:space="preserve"> דכל שהמחזיק הביא עדים קמי דידי דר בה המוכר חד יומא, מעמידים בידו, ואין המערער יכול לומר לו לאו בע"ד דידי את,</w:t>
      </w:r>
      <w:r w:rsidRPr="00AE453B">
        <w:rPr>
          <w:rFonts w:hint="cs"/>
          <w:rtl/>
        </w:rPr>
        <w:t xml:space="preserve"> </w:t>
      </w:r>
      <w:r>
        <w:rPr>
          <w:rFonts w:hint="cs"/>
          <w:rtl/>
        </w:rPr>
        <w:t xml:space="preserve">ועי' במ"ש </w:t>
      </w:r>
      <w:r w:rsidRPr="000635A9">
        <w:rPr>
          <w:rStyle w:val="af9"/>
          <w:rFonts w:hint="cs"/>
          <w:rtl/>
        </w:rPr>
        <w:t>הקה"י</w:t>
      </w:r>
      <w:r>
        <w:rPr>
          <w:rFonts w:hint="cs"/>
          <w:rtl/>
        </w:rPr>
        <w:t xml:space="preserve"> </w:t>
      </w:r>
      <w:r w:rsidRPr="000635A9">
        <w:rPr>
          <w:rStyle w:val="af7"/>
          <w:rFonts w:eastAsia="Guttman Hodes" w:hint="cs"/>
          <w:rtl/>
        </w:rPr>
        <w:t xml:space="preserve">(עי' </w:t>
      </w:r>
      <w:r w:rsidRPr="00AE453B">
        <w:rPr>
          <w:rStyle w:val="af7"/>
          <w:rFonts w:eastAsia="Guttman Hodes" w:hint="cs"/>
          <w:rtl/>
        </w:rPr>
        <w:t xml:space="preserve">אות </w:t>
      </w:r>
      <w:r w:rsidRPr="00AE453B">
        <w:rPr>
          <w:rStyle w:val="af7"/>
          <w:rFonts w:eastAsia="Guttman Hodes"/>
          <w:rtl/>
        </w:rPr>
        <w:fldChar w:fldCharType="begin"/>
      </w:r>
      <w:r w:rsidRPr="00AE453B">
        <w:rPr>
          <w:rStyle w:val="af7"/>
          <w:rFonts w:eastAsia="Guttman Hodes"/>
          <w:rtl/>
        </w:rPr>
        <w:instrText xml:space="preserve"> </w:instrText>
      </w:r>
      <w:r w:rsidRPr="00AE453B">
        <w:rPr>
          <w:rStyle w:val="af7"/>
          <w:rFonts w:eastAsia="Guttman Hodes" w:hint="cs"/>
        </w:rPr>
        <w:instrText>REF</w:instrText>
      </w:r>
      <w:r w:rsidRPr="00AE453B">
        <w:rPr>
          <w:rStyle w:val="af7"/>
          <w:rFonts w:eastAsia="Guttman Hodes" w:hint="cs"/>
          <w:rtl/>
        </w:rPr>
        <w:instrText xml:space="preserve"> _</w:instrText>
      </w:r>
      <w:r w:rsidRPr="00AE453B">
        <w:rPr>
          <w:rStyle w:val="af7"/>
          <w:rFonts w:eastAsia="Guttman Hodes" w:hint="cs"/>
        </w:rPr>
        <w:instrText>Ref61194261 \r \h</w:instrText>
      </w:r>
      <w:r w:rsidRPr="00AE453B">
        <w:rPr>
          <w:rStyle w:val="af7"/>
          <w:rFonts w:eastAsia="Guttman Hodes"/>
          <w:rtl/>
        </w:rPr>
        <w:instrText xml:space="preserve"> </w:instrText>
      </w:r>
      <w:r w:rsidRPr="00AE453B">
        <w:rPr>
          <w:rStyle w:val="af7"/>
          <w:rFonts w:eastAsia="Guttman Hodes"/>
          <w:rtl/>
        </w:rPr>
      </w:r>
      <w:r w:rsidRPr="00AE453B">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AE453B">
        <w:rPr>
          <w:rStyle w:val="af7"/>
          <w:rFonts w:eastAsia="Guttman Hodes"/>
          <w:rtl/>
        </w:rPr>
        <w:fldChar w:fldCharType="end"/>
      </w:r>
      <w:r>
        <w:rPr>
          <w:rFonts w:hint="cs"/>
          <w:rtl/>
        </w:rPr>
        <w:t>.</w:t>
      </w:r>
      <w:bookmarkEnd w:id="11842"/>
      <w:bookmarkEnd w:id="11847"/>
    </w:p>
    <w:p w:rsidR="005306EB" w:rsidRPr="00582F50" w:rsidRDefault="005306EB" w:rsidP="005306EB">
      <w:pPr>
        <w:pStyle w:val="1"/>
        <w:rPr>
          <w:rtl/>
        </w:rPr>
      </w:pPr>
      <w:bookmarkStart w:id="11848" w:name="_Toc61469439"/>
      <w:bookmarkStart w:id="11849" w:name="_Toc61509817"/>
      <w:r>
        <w:rPr>
          <w:rFonts w:hint="cs"/>
          <w:rtl/>
        </w:rPr>
        <w:t>ביאור הפני שלמה בפלוגתת הגאונים והרשב"א בתוס'</w:t>
      </w:r>
      <w:bookmarkEnd w:id="11848"/>
      <w:bookmarkEnd w:id="11849"/>
    </w:p>
    <w:p w:rsidR="005306EB" w:rsidRDefault="005306EB" w:rsidP="005306EB">
      <w:pPr>
        <w:pStyle w:val="a3"/>
        <w:rPr>
          <w:rtl/>
        </w:rPr>
      </w:pPr>
      <w:bookmarkStart w:id="11850" w:name="_Toc61469440"/>
      <w:bookmarkStart w:id="11851" w:name="_Toc61509818"/>
      <w:r>
        <w:rPr>
          <w:rFonts w:hint="cs"/>
          <w:rtl/>
        </w:rPr>
        <w:t>ביאור הפני שלמה בגאונים דבגמ' לקמן איירי שיש לו חזקה ולכן נחשב המחזיק לבע"ד למערער</w:t>
      </w:r>
      <w:bookmarkEnd w:id="11850"/>
      <w:bookmarkEnd w:id="11851"/>
    </w:p>
    <w:p w:rsidR="005306EB" w:rsidRDefault="005306EB" w:rsidP="007E4E81">
      <w:pPr>
        <w:pStyle w:val="a0"/>
        <w:rPr>
          <w:rtl/>
        </w:rPr>
      </w:pPr>
      <w:bookmarkStart w:id="11852" w:name="_Ref61446982"/>
      <w:r>
        <w:rPr>
          <w:rFonts w:hint="cs"/>
          <w:rtl/>
        </w:rPr>
        <w:t xml:space="preserve">ותירץ </w:t>
      </w:r>
      <w:r w:rsidRPr="001A14F1">
        <w:rPr>
          <w:rStyle w:val="af9"/>
          <w:rFonts w:hint="cs"/>
          <w:rtl/>
        </w:rPr>
        <w:t>הפני שלמה</w:t>
      </w:r>
      <w:r>
        <w:rPr>
          <w:rFonts w:hint="cs"/>
          <w:rtl/>
        </w:rPr>
        <w:t xml:space="preserve"> </w:t>
      </w:r>
      <w:r w:rsidRPr="001A085B">
        <w:rPr>
          <w:rStyle w:val="af7"/>
          <w:rFonts w:eastAsia="Guttman Hodes" w:hint="cs"/>
          <w:rtl/>
        </w:rPr>
        <w:t>(ד"ה בא"ד כתב ר"ח)</w:t>
      </w:r>
      <w:r>
        <w:rPr>
          <w:rFonts w:hint="cs"/>
          <w:rtl/>
        </w:rPr>
        <w:t xml:space="preserve"> את דעת </w:t>
      </w:r>
      <w:r w:rsidRPr="001A14F1">
        <w:rPr>
          <w:rStyle w:val="af9"/>
          <w:rFonts w:hint="cs"/>
          <w:rtl/>
        </w:rPr>
        <w:t>הגאונים</w:t>
      </w:r>
      <w:r>
        <w:rPr>
          <w:rFonts w:hint="cs"/>
          <w:rtl/>
        </w:rPr>
        <w:t xml:space="preserve"> </w:t>
      </w:r>
      <w:r w:rsidRPr="0026349A">
        <w:rPr>
          <w:rStyle w:val="af7"/>
          <w:rFonts w:eastAsia="Guttman Hodes" w:hint="cs"/>
          <w:rtl/>
        </w:rPr>
        <w:t xml:space="preserve">(עי' אות </w:t>
      </w:r>
      <w:r w:rsidRPr="0026349A">
        <w:rPr>
          <w:rStyle w:val="af7"/>
          <w:rFonts w:eastAsia="Guttman Hodes"/>
          <w:rtl/>
        </w:rPr>
        <w:fldChar w:fldCharType="begin"/>
      </w:r>
      <w:r w:rsidRPr="0026349A">
        <w:rPr>
          <w:rStyle w:val="af7"/>
          <w:rFonts w:eastAsia="Guttman Hodes"/>
          <w:rtl/>
        </w:rPr>
        <w:instrText xml:space="preserve"> </w:instrText>
      </w:r>
      <w:r w:rsidRPr="0026349A">
        <w:rPr>
          <w:rStyle w:val="af7"/>
          <w:rFonts w:eastAsia="Guttman Hodes" w:hint="cs"/>
        </w:rPr>
        <w:instrText>REF</w:instrText>
      </w:r>
      <w:r w:rsidRPr="0026349A">
        <w:rPr>
          <w:rStyle w:val="af7"/>
          <w:rFonts w:eastAsia="Guttman Hodes" w:hint="cs"/>
          <w:rtl/>
        </w:rPr>
        <w:instrText xml:space="preserve"> _</w:instrText>
      </w:r>
      <w:r w:rsidRPr="0026349A">
        <w:rPr>
          <w:rStyle w:val="af7"/>
          <w:rFonts w:eastAsia="Guttman Hodes" w:hint="cs"/>
        </w:rPr>
        <w:instrText>Ref61195614 \r \h</w:instrText>
      </w:r>
      <w:r w:rsidRPr="0026349A">
        <w:rPr>
          <w:rStyle w:val="af7"/>
          <w:rFonts w:eastAsia="Guttman Hodes"/>
          <w:rtl/>
        </w:rPr>
        <w:instrText xml:space="preserve"> </w:instrText>
      </w:r>
      <w:r w:rsidRPr="0026349A">
        <w:rPr>
          <w:rStyle w:val="af7"/>
          <w:rFonts w:eastAsia="Guttman Hodes"/>
          <w:rtl/>
        </w:rPr>
      </w:r>
      <w:r w:rsidRPr="0026349A">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26349A">
        <w:rPr>
          <w:rStyle w:val="af7"/>
          <w:rFonts w:eastAsia="Guttman Hodes"/>
          <w:rtl/>
        </w:rPr>
        <w:fldChar w:fldCharType="end"/>
      </w:r>
      <w:r>
        <w:rPr>
          <w:rFonts w:hint="cs"/>
          <w:rtl/>
        </w:rPr>
        <w:t xml:space="preserve"> דבגמ' לקמן </w:t>
      </w:r>
      <w:r w:rsidRPr="001A085B">
        <w:rPr>
          <w:rStyle w:val="af7"/>
          <w:rFonts w:eastAsia="Guttman Hodes" w:hint="cs"/>
          <w:rtl/>
        </w:rPr>
        <w:t>(מא:)</w:t>
      </w:r>
      <w:r>
        <w:rPr>
          <w:rFonts w:hint="cs"/>
          <w:rtl/>
        </w:rPr>
        <w:t xml:space="preserve"> איירי שיש למחזיק חזקת ג"ש, אלא דלא מהני לו החזקה כיון שהיא חזקה בלא טענה, והוא צריך להוכיח שהוא לוקח ע"י דדר בה המוכר חד יומא, אבל מ"מ אין המערער יכול לומר לו שאינו בע"ד דידיה, דהא החזיק בקרקע ג"ש, אבל בגמ' בסוגיין דאין למחזיק </w:t>
      </w:r>
      <w:r w:rsidRPr="001A085B">
        <w:rPr>
          <w:rFonts w:hint="cs"/>
          <w:rtl/>
        </w:rPr>
        <w:t>חזקת ג"ש, יכול המערער</w:t>
      </w:r>
      <w:r>
        <w:rPr>
          <w:rFonts w:hint="cs"/>
          <w:rtl/>
        </w:rPr>
        <w:t xml:space="preserve"> לומר לו שאינו בע"ד דידיה, וכתב </w:t>
      </w:r>
      <w:r w:rsidRPr="001A14F1">
        <w:rPr>
          <w:rStyle w:val="af9"/>
          <w:rFonts w:hint="cs"/>
          <w:rtl/>
        </w:rPr>
        <w:t>הפני שלמה</w:t>
      </w:r>
      <w:r>
        <w:rPr>
          <w:rFonts w:hint="cs"/>
          <w:rtl/>
        </w:rPr>
        <w:t xml:space="preserve"> </w:t>
      </w:r>
      <w:r w:rsidRPr="00B519EA">
        <w:rPr>
          <w:rStyle w:val="af7"/>
          <w:rFonts w:eastAsia="Guttman Hodes" w:hint="cs"/>
          <w:rtl/>
        </w:rPr>
        <w:t xml:space="preserve">(עי' אות </w:t>
      </w:r>
      <w:r w:rsidRPr="00B519EA">
        <w:rPr>
          <w:rStyle w:val="af7"/>
          <w:rFonts w:eastAsia="Guttman Hodes"/>
          <w:rtl/>
        </w:rPr>
        <w:fldChar w:fldCharType="begin"/>
      </w:r>
      <w:r w:rsidRPr="00B519EA">
        <w:rPr>
          <w:rStyle w:val="af7"/>
          <w:rFonts w:eastAsia="Guttman Hodes"/>
          <w:rtl/>
        </w:rPr>
        <w:instrText xml:space="preserve"> </w:instrText>
      </w:r>
      <w:r w:rsidRPr="00B519EA">
        <w:rPr>
          <w:rStyle w:val="af7"/>
          <w:rFonts w:eastAsia="Guttman Hodes" w:hint="cs"/>
        </w:rPr>
        <w:instrText>REF</w:instrText>
      </w:r>
      <w:r w:rsidRPr="00B519EA">
        <w:rPr>
          <w:rStyle w:val="af7"/>
          <w:rFonts w:eastAsia="Guttman Hodes" w:hint="cs"/>
          <w:rtl/>
        </w:rPr>
        <w:instrText xml:space="preserve"> _</w:instrText>
      </w:r>
      <w:r w:rsidRPr="00B519EA">
        <w:rPr>
          <w:rStyle w:val="af7"/>
          <w:rFonts w:eastAsia="Guttman Hodes" w:hint="cs"/>
        </w:rPr>
        <w:instrText>Ref61453446 \r \h</w:instrText>
      </w:r>
      <w:r w:rsidRPr="00B519EA">
        <w:rPr>
          <w:rStyle w:val="af7"/>
          <w:rFonts w:eastAsia="Guttman Hodes"/>
          <w:rtl/>
        </w:rPr>
        <w:instrText xml:space="preserve"> </w:instrText>
      </w:r>
      <w:r w:rsidRPr="00B519EA">
        <w:rPr>
          <w:rStyle w:val="af7"/>
          <w:rFonts w:eastAsia="Guttman Hodes"/>
          <w:rtl/>
        </w:rPr>
      </w:r>
      <w:r w:rsidRPr="00B519EA">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B519EA">
        <w:rPr>
          <w:rStyle w:val="af7"/>
          <w:rFonts w:eastAsia="Guttman Hodes"/>
          <w:rtl/>
        </w:rPr>
        <w:fldChar w:fldCharType="end"/>
      </w:r>
      <w:r>
        <w:rPr>
          <w:rFonts w:hint="cs"/>
          <w:rtl/>
        </w:rPr>
        <w:t xml:space="preserve"> דכן משמע בדברי </w:t>
      </w:r>
      <w:r w:rsidRPr="001A085B">
        <w:rPr>
          <w:rStyle w:val="af9"/>
          <w:rFonts w:hint="cs"/>
          <w:rtl/>
        </w:rPr>
        <w:t>הרשב"ם</w:t>
      </w:r>
      <w:r>
        <w:rPr>
          <w:rFonts w:hint="cs"/>
          <w:rtl/>
        </w:rPr>
        <w:t xml:space="preserve"> </w:t>
      </w:r>
      <w:r w:rsidRPr="00B519EA">
        <w:rPr>
          <w:rStyle w:val="af7"/>
          <w:rFonts w:eastAsia="Guttman Hodes" w:hint="cs"/>
          <w:rtl/>
        </w:rPr>
        <w:t xml:space="preserve">(עי' אות </w:t>
      </w:r>
      <w:r w:rsidRPr="00B519EA">
        <w:rPr>
          <w:rStyle w:val="af7"/>
          <w:rFonts w:eastAsia="Guttman Hodes"/>
          <w:rtl/>
        </w:rPr>
        <w:fldChar w:fldCharType="begin"/>
      </w:r>
      <w:r w:rsidRPr="00B519EA">
        <w:rPr>
          <w:rStyle w:val="af7"/>
          <w:rFonts w:eastAsia="Guttman Hodes"/>
          <w:rtl/>
        </w:rPr>
        <w:instrText xml:space="preserve"> </w:instrText>
      </w:r>
      <w:r w:rsidRPr="00B519EA">
        <w:rPr>
          <w:rStyle w:val="af7"/>
          <w:rFonts w:eastAsia="Guttman Hodes" w:hint="cs"/>
        </w:rPr>
        <w:instrText>REF</w:instrText>
      </w:r>
      <w:r w:rsidRPr="00B519EA">
        <w:rPr>
          <w:rStyle w:val="af7"/>
          <w:rFonts w:eastAsia="Guttman Hodes" w:hint="cs"/>
          <w:rtl/>
        </w:rPr>
        <w:instrText xml:space="preserve"> _</w:instrText>
      </w:r>
      <w:r w:rsidRPr="00B519EA">
        <w:rPr>
          <w:rStyle w:val="af7"/>
          <w:rFonts w:eastAsia="Guttman Hodes" w:hint="cs"/>
        </w:rPr>
        <w:instrText>Ref61446774 \r \h</w:instrText>
      </w:r>
      <w:r w:rsidRPr="00B519EA">
        <w:rPr>
          <w:rStyle w:val="af7"/>
          <w:rFonts w:eastAsia="Guttman Hodes"/>
          <w:rtl/>
        </w:rPr>
        <w:instrText xml:space="preserve"> </w:instrText>
      </w:r>
      <w:r w:rsidRPr="00B519EA">
        <w:rPr>
          <w:rStyle w:val="af7"/>
          <w:rFonts w:eastAsia="Guttman Hodes"/>
          <w:rtl/>
        </w:rPr>
      </w:r>
      <w:r w:rsidRPr="00B519EA">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B519EA">
        <w:rPr>
          <w:rStyle w:val="af7"/>
          <w:rFonts w:eastAsia="Guttman Hodes"/>
          <w:rtl/>
        </w:rPr>
        <w:fldChar w:fldCharType="end"/>
      </w:r>
      <w:r>
        <w:rPr>
          <w:rFonts w:hint="cs"/>
          <w:rtl/>
        </w:rPr>
        <w:t xml:space="preserve">, וכ"כ </w:t>
      </w:r>
      <w:r w:rsidRPr="001A14F1">
        <w:rPr>
          <w:rStyle w:val="af9"/>
          <w:rFonts w:hint="cs"/>
          <w:rtl/>
        </w:rPr>
        <w:t xml:space="preserve">הקה"י </w:t>
      </w:r>
      <w:r w:rsidRPr="00E551F4">
        <w:rPr>
          <w:rStyle w:val="af7"/>
          <w:rFonts w:eastAsia="Guttman Hodes" w:hint="cs"/>
          <w:rtl/>
        </w:rPr>
        <w:t xml:space="preserve">(עי' אות </w:t>
      </w:r>
      <w:r w:rsidRPr="00E551F4">
        <w:rPr>
          <w:rStyle w:val="af7"/>
          <w:rFonts w:eastAsia="Guttman Hodes"/>
          <w:rtl/>
        </w:rPr>
        <w:fldChar w:fldCharType="begin"/>
      </w:r>
      <w:r w:rsidRPr="00E551F4">
        <w:rPr>
          <w:rStyle w:val="af7"/>
          <w:rFonts w:eastAsia="Guttman Hodes"/>
          <w:rtl/>
        </w:rPr>
        <w:instrText xml:space="preserve"> </w:instrText>
      </w:r>
      <w:r w:rsidRPr="00E551F4">
        <w:rPr>
          <w:rStyle w:val="af7"/>
          <w:rFonts w:eastAsia="Guttman Hodes" w:hint="cs"/>
        </w:rPr>
        <w:instrText>REF</w:instrText>
      </w:r>
      <w:r w:rsidRPr="00E551F4">
        <w:rPr>
          <w:rStyle w:val="af7"/>
          <w:rFonts w:eastAsia="Guttman Hodes" w:hint="cs"/>
          <w:rtl/>
        </w:rPr>
        <w:instrText xml:space="preserve"> _</w:instrText>
      </w:r>
      <w:r w:rsidRPr="00E551F4">
        <w:rPr>
          <w:rStyle w:val="af7"/>
          <w:rFonts w:eastAsia="Guttman Hodes" w:hint="cs"/>
        </w:rPr>
        <w:instrText>Ref61469497 \r \h</w:instrText>
      </w:r>
      <w:r w:rsidRPr="00E551F4">
        <w:rPr>
          <w:rStyle w:val="af7"/>
          <w:rFonts w:eastAsia="Guttman Hodes"/>
          <w:rtl/>
        </w:rPr>
        <w:instrText xml:space="preserve"> </w:instrText>
      </w:r>
      <w:r w:rsidRPr="00E551F4">
        <w:rPr>
          <w:rStyle w:val="af7"/>
          <w:rFonts w:eastAsia="Guttman Hodes"/>
          <w:rtl/>
        </w:rPr>
      </w:r>
      <w:r w:rsidRPr="00E551F4">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E551F4">
        <w:rPr>
          <w:rStyle w:val="af7"/>
          <w:rFonts w:eastAsia="Guttman Hodes"/>
          <w:rtl/>
        </w:rPr>
        <w:fldChar w:fldCharType="end"/>
      </w:r>
      <w:r>
        <w:rPr>
          <w:rFonts w:hint="cs"/>
          <w:rtl/>
        </w:rPr>
        <w:t>.</w:t>
      </w:r>
      <w:bookmarkEnd w:id="11852"/>
    </w:p>
    <w:p w:rsidR="005306EB" w:rsidRDefault="005306EB" w:rsidP="005306EB">
      <w:pPr>
        <w:pStyle w:val="a3"/>
        <w:rPr>
          <w:rtl/>
        </w:rPr>
      </w:pPr>
      <w:bookmarkStart w:id="11853" w:name="_Toc61469441"/>
      <w:bookmarkStart w:id="11854" w:name="_Toc61509819"/>
      <w:r>
        <w:rPr>
          <w:rFonts w:hint="cs"/>
          <w:rtl/>
        </w:rPr>
        <w:t>ביאור הפני שלמה ברשב"א בתוס' דס"ל דאף כשאין חזקה טענינין למחזיק ול"מ החזקה למחזיק</w:t>
      </w:r>
      <w:bookmarkEnd w:id="11853"/>
      <w:bookmarkEnd w:id="11854"/>
    </w:p>
    <w:p w:rsidR="005306EB" w:rsidRPr="00A15DBE" w:rsidRDefault="005306EB" w:rsidP="007E4E81">
      <w:pPr>
        <w:pStyle w:val="a0"/>
        <w:rPr>
          <w:rtl/>
        </w:rPr>
      </w:pPr>
      <w:r>
        <w:rPr>
          <w:rFonts w:hint="cs"/>
          <w:rtl/>
        </w:rPr>
        <w:t xml:space="preserve">ובדעת </w:t>
      </w:r>
      <w:r w:rsidRPr="001A085B">
        <w:rPr>
          <w:rStyle w:val="af9"/>
          <w:rFonts w:hint="cs"/>
          <w:rtl/>
        </w:rPr>
        <w:t>הרשב"א בתוס'</w:t>
      </w:r>
      <w:r>
        <w:rPr>
          <w:rFonts w:hint="cs"/>
          <w:rtl/>
        </w:rPr>
        <w:t xml:space="preserve"> כתב </w:t>
      </w:r>
      <w:r w:rsidRPr="001A085B">
        <w:rPr>
          <w:rStyle w:val="af9"/>
          <w:rFonts w:hint="cs"/>
          <w:rtl/>
        </w:rPr>
        <w:t>הפני שלמה</w:t>
      </w:r>
      <w:r>
        <w:rPr>
          <w:rFonts w:hint="cs"/>
          <w:rtl/>
        </w:rPr>
        <w:t xml:space="preserve"> דאפש"ל דהוא לשיטתו דס"ל </w:t>
      </w:r>
      <w:r w:rsidRPr="001A085B">
        <w:rPr>
          <w:rStyle w:val="af9"/>
          <w:rFonts w:hint="cs"/>
          <w:rtl/>
        </w:rPr>
        <w:t>להרשב"א בתוס'</w:t>
      </w:r>
      <w:r>
        <w:rPr>
          <w:rFonts w:hint="cs"/>
          <w:rtl/>
        </w:rPr>
        <w:t xml:space="preserve"> </w:t>
      </w:r>
      <w:r w:rsidRPr="005F2313">
        <w:rPr>
          <w:rStyle w:val="af7"/>
          <w:rFonts w:eastAsia="Guttman Hodes" w:hint="cs"/>
          <w:rtl/>
        </w:rPr>
        <w:t>(סוד"ה לאו קמודית</w:t>
      </w:r>
      <w:r>
        <w:rPr>
          <w:rStyle w:val="af7"/>
          <w:rFonts w:eastAsia="Guttman Hodes" w:hint="cs"/>
          <w:rtl/>
        </w:rPr>
        <w:t>,</w:t>
      </w:r>
      <w:r w:rsidRPr="001A085B">
        <w:rPr>
          <w:rStyle w:val="af7"/>
          <w:rFonts w:eastAsia="Guttman Hodes" w:hint="cs"/>
          <w:rtl/>
        </w:rPr>
        <w:t xml:space="preserve"> הובא בסימן </w:t>
      </w:r>
      <w:r>
        <w:rPr>
          <w:rStyle w:val="af7"/>
          <w:rFonts w:eastAsia="Guttman Hodes" w:hint="cs"/>
          <w:rtl/>
        </w:rPr>
        <w:t>י' אות מ"ט</w:t>
      </w:r>
      <w:r w:rsidRPr="001A085B">
        <w:rPr>
          <w:rStyle w:val="af7"/>
          <w:rFonts w:eastAsia="Guttman Hodes" w:hint="cs"/>
          <w:rtl/>
        </w:rPr>
        <w:t>)</w:t>
      </w:r>
      <w:r w:rsidRPr="00936A8D">
        <w:rPr>
          <w:rStyle w:val="af7"/>
          <w:rFonts w:eastAsia="Guttman Hodes" w:hint="cs"/>
          <w:rtl/>
        </w:rPr>
        <w:t xml:space="preserve"> </w:t>
      </w:r>
      <w:r>
        <w:rPr>
          <w:rFonts w:hint="cs"/>
          <w:rtl/>
        </w:rPr>
        <w:t xml:space="preserve">דאף שאין למחזיק חזקת ג"ש, ואין לו מיגו, מ"מ כל שיש לו עדים דהמוכר דר בה חד יומא, טענינן ליה, וא"כ ס"ל </w:t>
      </w:r>
      <w:r w:rsidRPr="001A085B">
        <w:rPr>
          <w:rStyle w:val="af9"/>
          <w:rFonts w:hint="cs"/>
          <w:rtl/>
        </w:rPr>
        <w:t>להרשב"א בתוס'</w:t>
      </w:r>
      <w:r>
        <w:rPr>
          <w:rFonts w:hint="cs"/>
          <w:rtl/>
        </w:rPr>
        <w:t xml:space="preserve"> דאין חילוק בין הגמ' בסוגיין דאין למחזיק חזקת ג"ש, לגמ' לקמן שיש לו חזקת ג"ש.</w:t>
      </w:r>
    </w:p>
    <w:p w:rsidR="005306EB" w:rsidRDefault="005306EB" w:rsidP="005306EB">
      <w:pPr>
        <w:pStyle w:val="afe"/>
        <w:rPr>
          <w:rtl/>
        </w:rPr>
      </w:pPr>
      <w:bookmarkStart w:id="11855" w:name="_Toc59113266"/>
      <w:bookmarkStart w:id="11856" w:name="_Toc59136986"/>
      <w:bookmarkStart w:id="11857" w:name="_Toc59361690"/>
      <w:bookmarkStart w:id="11858" w:name="_Toc59519331"/>
      <w:bookmarkStart w:id="11859" w:name="_Toc59700112"/>
      <w:bookmarkStart w:id="11860" w:name="_Toc59960765"/>
      <w:bookmarkStart w:id="11861" w:name="_Toc60086861"/>
      <w:bookmarkStart w:id="11862" w:name="_Toc60173428"/>
      <w:bookmarkStart w:id="11863" w:name="_Toc60303882"/>
      <w:bookmarkStart w:id="11864" w:name="_Toc61010732"/>
      <w:bookmarkStart w:id="11865" w:name="_Toc61200676"/>
      <w:bookmarkStart w:id="11866" w:name="_Toc61213885"/>
      <w:bookmarkStart w:id="11867" w:name="_Toc61388261"/>
      <w:bookmarkStart w:id="11868" w:name="_Toc61430922"/>
      <w:bookmarkStart w:id="11869" w:name="_Toc61433965"/>
      <w:bookmarkStart w:id="11870" w:name="_Toc61438691"/>
      <w:bookmarkStart w:id="11871" w:name="_Toc61469442"/>
      <w:bookmarkStart w:id="11872" w:name="_Toc61509820"/>
      <w:r>
        <w:rPr>
          <w:rFonts w:hint="cs"/>
          <w:rtl/>
        </w:rPr>
        <w:t>בנמצא המוכר לפנינו אי טוען למחזיק</w:t>
      </w:r>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p>
    <w:p w:rsidR="005306EB" w:rsidRDefault="005306EB" w:rsidP="005306EB">
      <w:pPr>
        <w:pStyle w:val="1"/>
        <w:rPr>
          <w:rtl/>
        </w:rPr>
      </w:pPr>
      <w:bookmarkStart w:id="11873" w:name="_Toc58325045"/>
      <w:bookmarkStart w:id="11874" w:name="_Toc58359191"/>
      <w:bookmarkStart w:id="11875" w:name="_Toc58409452"/>
      <w:bookmarkStart w:id="11876" w:name="_Toc58432818"/>
      <w:bookmarkStart w:id="11877" w:name="_Toc58580021"/>
      <w:bookmarkStart w:id="11878" w:name="_Toc58843031"/>
      <w:bookmarkStart w:id="11879" w:name="_Toc58876239"/>
      <w:bookmarkStart w:id="11880" w:name="_Toc58877652"/>
      <w:bookmarkStart w:id="11881" w:name="_Toc58914711"/>
      <w:bookmarkStart w:id="11882" w:name="_Toc58926012"/>
      <w:bookmarkStart w:id="11883" w:name="_Toc58930079"/>
      <w:bookmarkStart w:id="11884" w:name="_Toc58938238"/>
      <w:bookmarkStart w:id="11885" w:name="_Toc59007053"/>
      <w:bookmarkStart w:id="11886" w:name="_Toc59113267"/>
      <w:bookmarkStart w:id="11887" w:name="_Toc59136987"/>
      <w:bookmarkStart w:id="11888" w:name="_Toc59361691"/>
      <w:bookmarkStart w:id="11889" w:name="_Toc59519332"/>
      <w:bookmarkStart w:id="11890" w:name="_Toc59700113"/>
      <w:bookmarkStart w:id="11891" w:name="_Toc59960766"/>
      <w:bookmarkStart w:id="11892" w:name="_Toc60086862"/>
      <w:bookmarkStart w:id="11893" w:name="_Toc60173429"/>
      <w:bookmarkStart w:id="11894" w:name="_Toc60303883"/>
      <w:bookmarkStart w:id="11895" w:name="_Toc61010733"/>
      <w:bookmarkStart w:id="11896" w:name="_Toc61200677"/>
      <w:bookmarkStart w:id="11897" w:name="_Toc61213886"/>
      <w:bookmarkStart w:id="11898" w:name="_Toc61388262"/>
      <w:bookmarkStart w:id="11899" w:name="_Toc61430923"/>
      <w:bookmarkStart w:id="11900" w:name="_Toc61433966"/>
      <w:bookmarkStart w:id="11901" w:name="_Toc61438692"/>
      <w:bookmarkStart w:id="11902" w:name="_Toc61469443"/>
      <w:bookmarkStart w:id="11903" w:name="_Toc61509821"/>
      <w:r>
        <w:rPr>
          <w:rFonts w:hint="cs"/>
          <w:rtl/>
        </w:rPr>
        <w:t>דברי רבינו יונה דבזכה המוכר בב"ד אין מוצאין מהמחזיק</w:t>
      </w:r>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p>
    <w:p w:rsidR="005306EB" w:rsidRPr="00E165DE" w:rsidRDefault="005306EB" w:rsidP="005306EB">
      <w:pPr>
        <w:pStyle w:val="a3"/>
        <w:rPr>
          <w:rtl/>
        </w:rPr>
      </w:pPr>
      <w:bookmarkStart w:id="11904" w:name="_Toc59113268"/>
      <w:bookmarkStart w:id="11905" w:name="_Toc59136988"/>
      <w:bookmarkStart w:id="11906" w:name="_Toc59361692"/>
      <w:bookmarkStart w:id="11907" w:name="_Toc59519333"/>
      <w:bookmarkStart w:id="11908" w:name="_Toc59700114"/>
      <w:bookmarkStart w:id="11909" w:name="_Toc59960767"/>
      <w:bookmarkStart w:id="11910" w:name="_Toc60086863"/>
      <w:bookmarkStart w:id="11911" w:name="_Toc60173430"/>
      <w:bookmarkStart w:id="11912" w:name="_Toc60303884"/>
      <w:bookmarkStart w:id="11913" w:name="_Toc61010734"/>
      <w:bookmarkStart w:id="11914" w:name="_Toc61200678"/>
      <w:bookmarkStart w:id="11915" w:name="_Toc61213887"/>
      <w:bookmarkStart w:id="11916" w:name="_Toc61388263"/>
      <w:bookmarkStart w:id="11917" w:name="_Toc61430924"/>
      <w:bookmarkStart w:id="11918" w:name="_Toc61433967"/>
      <w:bookmarkStart w:id="11919" w:name="_Toc61438693"/>
      <w:bookmarkStart w:id="11920" w:name="_Toc61469444"/>
      <w:bookmarkStart w:id="11921" w:name="_Toc61509822"/>
      <w:r>
        <w:rPr>
          <w:rFonts w:hint="cs"/>
          <w:rtl/>
        </w:rPr>
        <w:t>דברי רבינו יונה דרק כשזכה המוכר בדין לפני שמכר למחזיק א"א להוציא מהמחזיק אף שהודה</w:t>
      </w:r>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p>
    <w:p w:rsidR="005306EB" w:rsidRDefault="005306EB" w:rsidP="007E4E81">
      <w:pPr>
        <w:pStyle w:val="a0"/>
        <w:rPr>
          <w:rtl/>
        </w:rPr>
      </w:pPr>
      <w:bookmarkStart w:id="11922" w:name="_Ref58834112"/>
      <w:r>
        <w:rPr>
          <w:rFonts w:hint="cs"/>
          <w:rtl/>
        </w:rPr>
        <w:t xml:space="preserve">כתב </w:t>
      </w:r>
      <w:r w:rsidRPr="002F529D">
        <w:rPr>
          <w:rStyle w:val="af9"/>
          <w:rFonts w:hint="cs"/>
          <w:rtl/>
        </w:rPr>
        <w:t>רבינו יונה</w:t>
      </w:r>
      <w:r>
        <w:rPr>
          <w:rFonts w:hint="cs"/>
          <w:rtl/>
        </w:rPr>
        <w:t xml:space="preserve"> </w:t>
      </w:r>
      <w:r w:rsidRPr="002F529D">
        <w:rPr>
          <w:rStyle w:val="af7"/>
          <w:rFonts w:eastAsia="Guttman Hodes" w:hint="cs"/>
          <w:rtl/>
        </w:rPr>
        <w:t>(ד"ה עלה בידינו)</w:t>
      </w:r>
      <w:r>
        <w:rPr>
          <w:rFonts w:hint="cs"/>
          <w:rtl/>
        </w:rPr>
        <w:t xml:space="preserve"> דאם לפני שהמוכר מכר את הקרקע למחזיק, תבעו המערער לדין, ואמר המוכר למערער שדה זו שלך הייתה ולקחתיה ממך, והאמינוהו ב"ד מדין הפה שאסר, א"כ כשאח"כ מכר המוכר למחזיק אף אם המחזיק עצמו מודה למערער שהוא יודע שהייתה שלו, ואינו יודע אם המוכר קנה ממנו, ורק שמע כן מהמוכר, מ"מ מעמידים את הקרקע ביד המחזיק, כיון שכבר זכה המוכר בב"ד והאמינוהו במה שהיה יכול לטעון למערער דלא הייתה שלו מעולם.</w:t>
      </w:r>
      <w:bookmarkEnd w:id="11922"/>
    </w:p>
    <w:p w:rsidR="005306EB" w:rsidRPr="00DA2BD3" w:rsidRDefault="005306EB" w:rsidP="005306EB">
      <w:pPr>
        <w:pStyle w:val="a3"/>
        <w:rPr>
          <w:rtl/>
        </w:rPr>
      </w:pPr>
      <w:bookmarkStart w:id="11923" w:name="_Toc59113269"/>
      <w:bookmarkStart w:id="11924" w:name="_Toc59136989"/>
      <w:bookmarkStart w:id="11925" w:name="_Toc59361693"/>
      <w:bookmarkStart w:id="11926" w:name="_Toc59519334"/>
      <w:bookmarkStart w:id="11927" w:name="_Toc59700115"/>
      <w:bookmarkStart w:id="11928" w:name="_Toc59960768"/>
      <w:bookmarkStart w:id="11929" w:name="_Toc60086864"/>
      <w:bookmarkStart w:id="11930" w:name="_Toc60173431"/>
      <w:bookmarkStart w:id="11931" w:name="_Toc60303885"/>
      <w:bookmarkStart w:id="11932" w:name="_Toc61010735"/>
      <w:bookmarkStart w:id="11933" w:name="_Toc61200679"/>
      <w:bookmarkStart w:id="11934" w:name="_Toc61213888"/>
      <w:bookmarkStart w:id="11935" w:name="_Toc61388264"/>
      <w:bookmarkStart w:id="11936" w:name="_Toc61430925"/>
      <w:bookmarkStart w:id="11937" w:name="_Toc61433968"/>
      <w:bookmarkStart w:id="11938" w:name="_Toc61438694"/>
      <w:bookmarkStart w:id="11939" w:name="_Toc61469445"/>
      <w:bookmarkStart w:id="11940" w:name="_Toc61509823"/>
      <w:r>
        <w:rPr>
          <w:rFonts w:hint="cs"/>
          <w:rtl/>
        </w:rPr>
        <w:t>ביאור הגר"א ברבינו יונה דרק לאחר דנפסק הדין כמוכר א"א להוציא מהמחזיק דקם דינא</w:t>
      </w:r>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r>
        <w:rPr>
          <w:rFonts w:hint="cs"/>
          <w:rtl/>
        </w:rPr>
        <w:t xml:space="preserve"> </w:t>
      </w:r>
    </w:p>
    <w:p w:rsidR="005306EB" w:rsidRDefault="005306EB" w:rsidP="007E4E81">
      <w:pPr>
        <w:pStyle w:val="a0"/>
        <w:rPr>
          <w:rStyle w:val="afb"/>
          <w:rtl/>
        </w:rPr>
      </w:pPr>
      <w:bookmarkStart w:id="11941" w:name="_Ref58834097"/>
      <w:r>
        <w:rPr>
          <w:rFonts w:hint="cs"/>
          <w:rtl/>
        </w:rPr>
        <w:t xml:space="preserve">ועי' בדברי </w:t>
      </w:r>
      <w:r w:rsidRPr="00562A65">
        <w:rPr>
          <w:rStyle w:val="af9"/>
          <w:rFonts w:hint="cs"/>
          <w:rtl/>
        </w:rPr>
        <w:t xml:space="preserve">הגר"א </w:t>
      </w:r>
      <w:r w:rsidRPr="00562A65">
        <w:rPr>
          <w:rStyle w:val="af7"/>
          <w:rFonts w:eastAsia="Guttman Hodes" w:hint="cs"/>
          <w:rtl/>
        </w:rPr>
        <w:t>(סי' קמ"ו סקל"ח)</w:t>
      </w:r>
      <w:r>
        <w:rPr>
          <w:rFonts w:hint="cs"/>
          <w:rtl/>
        </w:rPr>
        <w:t xml:space="preserve"> דכתב בביאור דברי </w:t>
      </w:r>
      <w:r w:rsidRPr="00562A65">
        <w:rPr>
          <w:rStyle w:val="af9"/>
          <w:rFonts w:hint="cs"/>
          <w:rtl/>
        </w:rPr>
        <w:t>רבינו יונה</w:t>
      </w:r>
      <w:r>
        <w:rPr>
          <w:rFonts w:hint="cs"/>
          <w:rtl/>
        </w:rPr>
        <w:t xml:space="preserve"> דאחר שזכה המוכר בב"ד א"א להוציא מהמחזיק, כיון דכל שקם דינא בב"ד אין מוציאין מהמחזיק. </w:t>
      </w:r>
      <w:r w:rsidRPr="00302F5C">
        <w:rPr>
          <w:rStyle w:val="afb"/>
          <w:rFonts w:hint="cs"/>
          <w:rtl/>
        </w:rPr>
        <w:t xml:space="preserve">[ועי' במ"ש </w:t>
      </w:r>
      <w:r w:rsidRPr="00302F5C">
        <w:rPr>
          <w:rStyle w:val="affa"/>
          <w:rFonts w:hint="cs"/>
          <w:rtl/>
        </w:rPr>
        <w:t>בחי' רבי שמואל</w:t>
      </w:r>
      <w:r w:rsidRPr="00302F5C">
        <w:rPr>
          <w:rStyle w:val="afb"/>
          <w:rFonts w:hint="cs"/>
          <w:rtl/>
        </w:rPr>
        <w:t xml:space="preserve"> </w:t>
      </w:r>
      <w:r w:rsidRPr="003C7767">
        <w:rPr>
          <w:rStyle w:val="aff6"/>
          <w:rtl/>
        </w:rPr>
        <w:t xml:space="preserve">(סי' כ"א או' ב' ד"ה והנה) </w:t>
      </w:r>
      <w:r w:rsidRPr="00302F5C">
        <w:rPr>
          <w:rStyle w:val="afb"/>
          <w:rFonts w:hint="cs"/>
          <w:rtl/>
        </w:rPr>
        <w:t xml:space="preserve">דמבואר מדברי </w:t>
      </w:r>
      <w:r w:rsidRPr="00302F5C">
        <w:rPr>
          <w:rStyle w:val="affa"/>
          <w:rFonts w:hint="cs"/>
          <w:rtl/>
        </w:rPr>
        <w:t>הגר"א</w:t>
      </w:r>
      <w:r w:rsidRPr="00302F5C">
        <w:rPr>
          <w:rStyle w:val="afb"/>
          <w:rFonts w:hint="cs"/>
          <w:rtl/>
        </w:rPr>
        <w:t xml:space="preserve"> דא"א להוציא רק לאחר פסק ב"ד, כיון דאמרינן דקם דינא, ולא רק מחמת שהמוכר כבר זכה בקרקע</w:t>
      </w:r>
      <w:r w:rsidRPr="00D63770">
        <w:rPr>
          <w:rStyle w:val="afb"/>
          <w:rtl/>
        </w:rPr>
        <w:t xml:space="preserve">, אך יעויי"ש במה שהקשה </w:t>
      </w:r>
      <w:r w:rsidRPr="003C7767">
        <w:rPr>
          <w:rStyle w:val="affa"/>
          <w:rtl/>
        </w:rPr>
        <w:t>בחי' רבי שמואל</w:t>
      </w:r>
      <w:r w:rsidRPr="00D63770">
        <w:rPr>
          <w:rStyle w:val="afb"/>
          <w:rtl/>
        </w:rPr>
        <w:t xml:space="preserve"> </w:t>
      </w:r>
      <w:r w:rsidRPr="003C7767">
        <w:rPr>
          <w:rStyle w:val="aff6"/>
          <w:rtl/>
        </w:rPr>
        <w:t>(סי' כ"א או' ב' ד"ה אך באמת)</w:t>
      </w:r>
      <w:r w:rsidRPr="00D63770">
        <w:rPr>
          <w:rStyle w:val="afb"/>
          <w:rtl/>
        </w:rPr>
        <w:t xml:space="preserve"> על דברי </w:t>
      </w:r>
      <w:r w:rsidRPr="003C7767">
        <w:rPr>
          <w:rStyle w:val="affa"/>
          <w:rtl/>
        </w:rPr>
        <w:t>הגר"א</w:t>
      </w:r>
      <w:r w:rsidRPr="00D63770">
        <w:rPr>
          <w:rStyle w:val="afb"/>
          <w:rFonts w:hint="cs"/>
          <w:rtl/>
        </w:rPr>
        <w:t>]</w:t>
      </w:r>
      <w:r w:rsidRPr="00302F5C">
        <w:rPr>
          <w:rStyle w:val="afb"/>
          <w:rFonts w:hint="cs"/>
          <w:rtl/>
        </w:rPr>
        <w:t>.</w:t>
      </w:r>
      <w:bookmarkEnd w:id="11941"/>
    </w:p>
    <w:p w:rsidR="005306EB" w:rsidRDefault="005306EB" w:rsidP="005306EB">
      <w:pPr>
        <w:pStyle w:val="1"/>
        <w:rPr>
          <w:rtl/>
        </w:rPr>
      </w:pPr>
      <w:bookmarkStart w:id="11942" w:name="_Toc59113270"/>
      <w:bookmarkStart w:id="11943" w:name="_Toc59136990"/>
      <w:bookmarkStart w:id="11944" w:name="_Toc59361694"/>
      <w:bookmarkStart w:id="11945" w:name="_Toc59519335"/>
      <w:bookmarkStart w:id="11946" w:name="_Toc59700116"/>
      <w:bookmarkStart w:id="11947" w:name="_Toc59960769"/>
      <w:bookmarkStart w:id="11948" w:name="_Toc60086865"/>
      <w:bookmarkStart w:id="11949" w:name="_Toc60173432"/>
      <w:bookmarkStart w:id="11950" w:name="_Toc60303886"/>
      <w:bookmarkStart w:id="11951" w:name="_Toc61010736"/>
      <w:bookmarkStart w:id="11952" w:name="_Toc61200680"/>
      <w:bookmarkStart w:id="11953" w:name="_Toc61213889"/>
      <w:bookmarkStart w:id="11954" w:name="_Toc61388265"/>
      <w:bookmarkStart w:id="11955" w:name="_Toc61430926"/>
      <w:bookmarkStart w:id="11956" w:name="_Toc61433969"/>
      <w:bookmarkStart w:id="11957" w:name="_Toc61438695"/>
      <w:bookmarkStart w:id="11958" w:name="_Toc61469446"/>
      <w:bookmarkStart w:id="11959" w:name="_Toc61509824"/>
      <w:r>
        <w:rPr>
          <w:rFonts w:hint="cs"/>
          <w:rtl/>
        </w:rPr>
        <w:t>דברי הרשב"א דהמוכר יכול לדון עם המערער במקום הלוקח</w:t>
      </w:r>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p>
    <w:p w:rsidR="005306EB" w:rsidRPr="00D12B42" w:rsidRDefault="005306EB" w:rsidP="005306EB">
      <w:pPr>
        <w:pStyle w:val="a3"/>
        <w:rPr>
          <w:rtl/>
        </w:rPr>
      </w:pPr>
      <w:bookmarkStart w:id="11960" w:name="_Toc61469447"/>
      <w:bookmarkStart w:id="11961" w:name="_Toc61509825"/>
      <w:r>
        <w:rPr>
          <w:rFonts w:hint="cs"/>
          <w:rtl/>
        </w:rPr>
        <w:t>דברי הרשב"א דלפני שהודה המחזיק למערער יכול המוכר לדון עמו ואחר שיזכה זוכה המחזיק</w:t>
      </w:r>
      <w:bookmarkEnd w:id="11960"/>
      <w:bookmarkEnd w:id="11961"/>
    </w:p>
    <w:p w:rsidR="005306EB" w:rsidRDefault="005306EB" w:rsidP="007E4E81">
      <w:pPr>
        <w:pStyle w:val="a0"/>
        <w:rPr>
          <w:rStyle w:val="afb"/>
          <w:rtl/>
        </w:rPr>
      </w:pPr>
      <w:bookmarkStart w:id="11962" w:name="_Ref61457852"/>
      <w:bookmarkStart w:id="11963" w:name="_Toc58930087"/>
      <w:bookmarkStart w:id="11964" w:name="_Toc58938246"/>
      <w:bookmarkStart w:id="11965" w:name="_Toc59007061"/>
      <w:r>
        <w:rPr>
          <w:rFonts w:hint="cs"/>
          <w:rtl/>
        </w:rPr>
        <w:t>כתב</w:t>
      </w:r>
      <w:r w:rsidRPr="00FB5BF7">
        <w:rPr>
          <w:rStyle w:val="af9"/>
          <w:rFonts w:hint="cs"/>
          <w:rtl/>
        </w:rPr>
        <w:t xml:space="preserve"> </w:t>
      </w:r>
      <w:r>
        <w:rPr>
          <w:rStyle w:val="af9"/>
          <w:rFonts w:hint="cs"/>
          <w:rtl/>
        </w:rPr>
        <w:t>הרשב"א</w:t>
      </w:r>
      <w:r>
        <w:rPr>
          <w:rFonts w:hint="cs"/>
          <w:rtl/>
        </w:rPr>
        <w:t xml:space="preserve"> </w:t>
      </w:r>
      <w:r w:rsidRPr="002F529D">
        <w:rPr>
          <w:rStyle w:val="af7"/>
          <w:rFonts w:eastAsia="Guttman Hodes" w:hint="cs"/>
          <w:rtl/>
        </w:rPr>
        <w:t>(ד"ה</w:t>
      </w:r>
      <w:r>
        <w:rPr>
          <w:rStyle w:val="af7"/>
          <w:rFonts w:eastAsia="Guttman Hodes" w:hint="cs"/>
          <w:rtl/>
        </w:rPr>
        <w:t xml:space="preserve"> ומסתברא)</w:t>
      </w:r>
      <w:r>
        <w:rPr>
          <w:rFonts w:hint="cs"/>
          <w:rtl/>
        </w:rPr>
        <w:t xml:space="preserve"> דאם לפני שהודה המחזיק בב"ד, היה המוכר לפנינו, הוא יכול לדון עם המערער ולומר לו שלך הייתה ולקחתיה ממך, ונאמן כיון שהוא בעל דבר, כדאיתא בגמ' בב"ק </w:t>
      </w:r>
      <w:r w:rsidRPr="00A32533">
        <w:rPr>
          <w:rStyle w:val="af7"/>
          <w:rFonts w:eastAsia="Guttman Hodes" w:hint="cs"/>
          <w:rtl/>
        </w:rPr>
        <w:t>(ח:)</w:t>
      </w:r>
      <w:r>
        <w:rPr>
          <w:rFonts w:hint="cs"/>
          <w:rtl/>
        </w:rPr>
        <w:t xml:space="preserve"> דהמוכר שדה באחריות יכול לדון עם המערער, ואינו יכול לומר לו לאו בע"ד דידי את, כיון שהמחזיק יתבע אותו, ואף כשאין אחריות יכול לומר שאינו רוצה שיהיה ללוקח תרעומת עליו, וה"ה בסוגיין דהמוכר יכול לדון עם המערער, ואחר שיזכה המוכר בב"ד, אין המערער יכול לומר למחזיק, "לאו קא מודית", דהא כבר זכה המוכר בב"ד, </w:t>
      </w:r>
      <w:r w:rsidRPr="00320F54">
        <w:rPr>
          <w:rStyle w:val="afb"/>
          <w:rFonts w:hint="cs"/>
          <w:rtl/>
        </w:rPr>
        <w:t xml:space="preserve">[ומשמע </w:t>
      </w:r>
      <w:r w:rsidRPr="00320F54">
        <w:rPr>
          <w:rStyle w:val="affa"/>
          <w:rFonts w:hint="cs"/>
          <w:rtl/>
        </w:rPr>
        <w:t>מהרשב"א</w:t>
      </w:r>
      <w:r w:rsidRPr="00320F54">
        <w:rPr>
          <w:rStyle w:val="afb"/>
          <w:rFonts w:hint="cs"/>
          <w:rtl/>
        </w:rPr>
        <w:t xml:space="preserve"> דאף לאחר שתבע המערער את המחזיק, יכול המוכר לדון עמו, כל שעדיין לא הודה המחזיק, ולא </w:t>
      </w:r>
      <w:r w:rsidRPr="00320F54">
        <w:rPr>
          <w:rStyle w:val="affa"/>
          <w:rFonts w:hint="cs"/>
          <w:rtl/>
        </w:rPr>
        <w:t>כרבינו יונה</w:t>
      </w:r>
      <w:r w:rsidRPr="00320F54">
        <w:rPr>
          <w:rStyle w:val="afb"/>
          <w:rFonts w:hint="cs"/>
          <w:rtl/>
        </w:rPr>
        <w:t xml:space="preserve"> </w:t>
      </w:r>
      <w:r w:rsidRPr="00320F54">
        <w:rPr>
          <w:rStyle w:val="aff6"/>
          <w:rFonts w:hint="cs"/>
          <w:rtl/>
        </w:rPr>
        <w:t xml:space="preserve">(עי' אות </w:t>
      </w:r>
      <w:r w:rsidRPr="00320F54">
        <w:rPr>
          <w:rStyle w:val="aff6"/>
          <w:rtl/>
        </w:rPr>
        <w:fldChar w:fldCharType="begin"/>
      </w:r>
      <w:r w:rsidRPr="00320F54">
        <w:rPr>
          <w:rStyle w:val="aff6"/>
          <w:rtl/>
        </w:rPr>
        <w:instrText xml:space="preserve"> </w:instrText>
      </w:r>
      <w:r w:rsidRPr="00320F54">
        <w:rPr>
          <w:rStyle w:val="aff6"/>
          <w:rFonts w:hint="cs"/>
        </w:rPr>
        <w:instrText>REF</w:instrText>
      </w:r>
      <w:r w:rsidRPr="00320F54">
        <w:rPr>
          <w:rStyle w:val="aff6"/>
          <w:rFonts w:hint="cs"/>
          <w:rtl/>
        </w:rPr>
        <w:instrText xml:space="preserve"> _</w:instrText>
      </w:r>
      <w:r w:rsidRPr="00320F54">
        <w:rPr>
          <w:rStyle w:val="aff6"/>
          <w:rFonts w:hint="cs"/>
        </w:rPr>
        <w:instrText>Ref58834112 \r \h</w:instrText>
      </w:r>
      <w:r w:rsidRPr="00320F54">
        <w:rPr>
          <w:rStyle w:val="aff6"/>
          <w:rtl/>
        </w:rPr>
        <w:instrText xml:space="preserve"> </w:instrText>
      </w:r>
      <w:r w:rsidRPr="00320F54">
        <w:rPr>
          <w:rStyle w:val="aff6"/>
          <w:rtl/>
        </w:rPr>
      </w:r>
      <w:r w:rsidRPr="00320F54">
        <w:rPr>
          <w:rStyle w:val="aff6"/>
          <w:rtl/>
        </w:rPr>
        <w:fldChar w:fldCharType="separate"/>
      </w:r>
      <w:r w:rsidR="00265073">
        <w:rPr>
          <w:rStyle w:val="aff6"/>
          <w:cs/>
        </w:rPr>
        <w:t>‎</w:t>
      </w:r>
      <w:r w:rsidR="00265073">
        <w:rPr>
          <w:rStyle w:val="aff6"/>
          <w:rtl/>
        </w:rPr>
        <w:t>פ)</w:t>
      </w:r>
      <w:r w:rsidRPr="00320F54">
        <w:rPr>
          <w:rStyle w:val="aff6"/>
          <w:rtl/>
        </w:rPr>
        <w:fldChar w:fldCharType="end"/>
      </w:r>
      <w:r w:rsidRPr="00320F54">
        <w:rPr>
          <w:rStyle w:val="afb"/>
          <w:rFonts w:hint="cs"/>
          <w:rtl/>
        </w:rPr>
        <w:t xml:space="preserve"> דרק כשזכה המוכר בדין לפני שמכר למחזיק, א"א להוציא מהמחזיק]</w:t>
      </w:r>
      <w:r>
        <w:rPr>
          <w:rStyle w:val="afb"/>
          <w:rFonts w:hint="cs"/>
          <w:rtl/>
        </w:rPr>
        <w:t>,</w:t>
      </w:r>
      <w:r w:rsidRPr="00A32533">
        <w:rPr>
          <w:rFonts w:hint="cs"/>
          <w:rtl/>
        </w:rPr>
        <w:t xml:space="preserve"> </w:t>
      </w:r>
      <w:r>
        <w:rPr>
          <w:rFonts w:hint="cs"/>
          <w:rtl/>
        </w:rPr>
        <w:t xml:space="preserve">ועי' בדברי </w:t>
      </w:r>
      <w:r w:rsidRPr="00A32533">
        <w:rPr>
          <w:rStyle w:val="af9"/>
          <w:rFonts w:hint="cs"/>
          <w:rtl/>
        </w:rPr>
        <w:t>התוס' רי"ד</w:t>
      </w:r>
      <w:r>
        <w:rPr>
          <w:rFonts w:hint="cs"/>
          <w:rtl/>
        </w:rPr>
        <w:t xml:space="preserve"> </w:t>
      </w:r>
      <w:r w:rsidRPr="00A32533">
        <w:rPr>
          <w:rStyle w:val="af7"/>
          <w:rFonts w:eastAsia="Guttman Hodes" w:hint="cs"/>
          <w:rtl/>
        </w:rPr>
        <w:t xml:space="preserve">(עי' אות </w:t>
      </w:r>
      <w:r w:rsidRPr="00A32533">
        <w:rPr>
          <w:rStyle w:val="af7"/>
          <w:rFonts w:eastAsia="Guttman Hodes"/>
          <w:rtl/>
        </w:rPr>
        <w:fldChar w:fldCharType="begin"/>
      </w:r>
      <w:r w:rsidRPr="00A32533">
        <w:rPr>
          <w:rStyle w:val="af7"/>
          <w:rFonts w:eastAsia="Guttman Hodes"/>
          <w:rtl/>
        </w:rPr>
        <w:instrText xml:space="preserve"> </w:instrText>
      </w:r>
      <w:r w:rsidRPr="00A32533">
        <w:rPr>
          <w:rStyle w:val="af7"/>
          <w:rFonts w:eastAsia="Guttman Hodes" w:hint="cs"/>
        </w:rPr>
        <w:instrText>REF</w:instrText>
      </w:r>
      <w:r w:rsidRPr="00A32533">
        <w:rPr>
          <w:rStyle w:val="af7"/>
          <w:rFonts w:eastAsia="Guttman Hodes" w:hint="cs"/>
          <w:rtl/>
        </w:rPr>
        <w:instrText xml:space="preserve"> _</w:instrText>
      </w:r>
      <w:r w:rsidRPr="00A32533">
        <w:rPr>
          <w:rStyle w:val="af7"/>
          <w:rFonts w:eastAsia="Guttman Hodes" w:hint="cs"/>
        </w:rPr>
        <w:instrText>Ref59012992 \r \h</w:instrText>
      </w:r>
      <w:r w:rsidRPr="00A32533">
        <w:rPr>
          <w:rStyle w:val="af7"/>
          <w:rFonts w:eastAsia="Guttman Hodes"/>
          <w:rtl/>
        </w:rPr>
        <w:instrText xml:space="preserve"> </w:instrText>
      </w:r>
      <w:r w:rsidRPr="00A32533">
        <w:rPr>
          <w:rStyle w:val="af7"/>
          <w:rFonts w:eastAsia="Guttman Hodes"/>
          <w:rtl/>
        </w:rPr>
      </w:r>
      <w:r w:rsidRPr="00A32533">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A32533">
        <w:rPr>
          <w:rStyle w:val="af7"/>
          <w:rFonts w:eastAsia="Guttman Hodes"/>
          <w:rtl/>
        </w:rPr>
        <w:fldChar w:fldCharType="end"/>
      </w:r>
      <w:r>
        <w:rPr>
          <w:rFonts w:hint="cs"/>
          <w:rtl/>
        </w:rPr>
        <w:t>.</w:t>
      </w:r>
      <w:bookmarkEnd w:id="11962"/>
    </w:p>
    <w:p w:rsidR="005306EB" w:rsidRPr="005D32EB" w:rsidRDefault="005306EB" w:rsidP="005306EB">
      <w:pPr>
        <w:pStyle w:val="afe"/>
        <w:rPr>
          <w:rtl/>
        </w:rPr>
      </w:pPr>
      <w:bookmarkStart w:id="11966" w:name="_Toc61010737"/>
      <w:bookmarkStart w:id="11967" w:name="_Toc61200681"/>
      <w:bookmarkStart w:id="11968" w:name="_Toc61213890"/>
      <w:bookmarkStart w:id="11969" w:name="_Toc61388266"/>
      <w:bookmarkStart w:id="11970" w:name="_Toc61430927"/>
      <w:bookmarkStart w:id="11971" w:name="_Toc61433970"/>
      <w:bookmarkStart w:id="11972" w:name="_Toc61438696"/>
      <w:bookmarkStart w:id="11973" w:name="_Toc61469448"/>
      <w:bookmarkStart w:id="11974" w:name="_Toc61509826"/>
      <w:bookmarkStart w:id="11975" w:name="_Toc59113271"/>
      <w:bookmarkStart w:id="11976" w:name="_Toc59136991"/>
      <w:bookmarkStart w:id="11977" w:name="_Toc59361695"/>
      <w:bookmarkStart w:id="11978" w:name="_Toc59519336"/>
      <w:bookmarkStart w:id="11979" w:name="_Toc59700117"/>
      <w:bookmarkStart w:id="11980" w:name="_Toc59960770"/>
      <w:bookmarkStart w:id="11981" w:name="_Toc60086866"/>
      <w:bookmarkStart w:id="11982" w:name="_Toc60173433"/>
      <w:bookmarkStart w:id="11983" w:name="_Toc60303887"/>
      <w:r>
        <w:rPr>
          <w:rFonts w:hint="cs"/>
          <w:rtl/>
        </w:rPr>
        <w:t>בטענת המוכר במקום המחזיק</w:t>
      </w:r>
      <w:bookmarkEnd w:id="11966"/>
      <w:bookmarkEnd w:id="11967"/>
      <w:bookmarkEnd w:id="11968"/>
      <w:bookmarkEnd w:id="11969"/>
      <w:bookmarkEnd w:id="11970"/>
      <w:bookmarkEnd w:id="11971"/>
      <w:bookmarkEnd w:id="11972"/>
      <w:bookmarkEnd w:id="11973"/>
      <w:bookmarkEnd w:id="11974"/>
      <w:r>
        <w:rPr>
          <w:rFonts w:hint="cs"/>
          <w:rtl/>
        </w:rPr>
        <w:t xml:space="preserve"> </w:t>
      </w:r>
    </w:p>
    <w:p w:rsidR="005306EB" w:rsidRDefault="005306EB" w:rsidP="005306EB">
      <w:pPr>
        <w:pStyle w:val="1"/>
        <w:rPr>
          <w:rtl/>
        </w:rPr>
      </w:pPr>
      <w:bookmarkStart w:id="11984" w:name="_Toc61010738"/>
      <w:bookmarkStart w:id="11985" w:name="_Toc61200682"/>
      <w:bookmarkStart w:id="11986" w:name="_Toc61213891"/>
      <w:bookmarkStart w:id="11987" w:name="_Toc61388267"/>
      <w:bookmarkStart w:id="11988" w:name="_Toc61430928"/>
      <w:bookmarkStart w:id="11989" w:name="_Toc61433971"/>
      <w:bookmarkStart w:id="11990" w:name="_Toc61438697"/>
      <w:bookmarkStart w:id="11991" w:name="_Toc61469449"/>
      <w:bookmarkStart w:id="11992" w:name="_Toc61509827"/>
      <w:r>
        <w:rPr>
          <w:rFonts w:hint="cs"/>
          <w:rtl/>
        </w:rPr>
        <w:t>דברי התורי"ד</w:t>
      </w:r>
      <w:bookmarkEnd w:id="11963"/>
      <w:bookmarkEnd w:id="11964"/>
      <w:bookmarkEnd w:id="11965"/>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r>
        <w:rPr>
          <w:rFonts w:hint="cs"/>
          <w:rtl/>
        </w:rPr>
        <w:t xml:space="preserve"> אי יכול המוכר לדון עם המערער או לא</w:t>
      </w:r>
      <w:bookmarkEnd w:id="11992"/>
    </w:p>
    <w:p w:rsidR="005306EB" w:rsidRDefault="005306EB" w:rsidP="005306EB">
      <w:pPr>
        <w:pStyle w:val="a3"/>
        <w:rPr>
          <w:rtl/>
        </w:rPr>
      </w:pPr>
      <w:bookmarkStart w:id="11993" w:name="_Toc59113272"/>
      <w:bookmarkStart w:id="11994" w:name="_Toc59136992"/>
      <w:bookmarkStart w:id="11995" w:name="_Toc59361696"/>
      <w:bookmarkStart w:id="11996" w:name="_Toc59519337"/>
      <w:bookmarkStart w:id="11997" w:name="_Toc59700118"/>
      <w:bookmarkStart w:id="11998" w:name="_Toc59960771"/>
      <w:bookmarkStart w:id="11999" w:name="_Toc60086867"/>
      <w:bookmarkStart w:id="12000" w:name="_Toc60173434"/>
      <w:bookmarkStart w:id="12001" w:name="_Toc60303888"/>
      <w:bookmarkStart w:id="12002" w:name="_Toc61010739"/>
      <w:bookmarkStart w:id="12003" w:name="_Toc61200683"/>
      <w:bookmarkStart w:id="12004" w:name="_Toc61213892"/>
      <w:bookmarkStart w:id="12005" w:name="_Toc61388268"/>
      <w:bookmarkStart w:id="12006" w:name="_Toc61430929"/>
      <w:bookmarkStart w:id="12007" w:name="_Toc61433972"/>
      <w:bookmarkStart w:id="12008" w:name="_Toc61438698"/>
      <w:bookmarkStart w:id="12009" w:name="_Toc61469450"/>
      <w:bookmarkStart w:id="12010" w:name="_Toc61509828"/>
      <w:r>
        <w:rPr>
          <w:rFonts w:hint="cs"/>
          <w:rtl/>
        </w:rPr>
        <w:t>דברי התורי"ד דיכול המערער לומר דהמוכר לא היה מעיז לומר שקנה ממנו ול"מ טענת המוכר</w:t>
      </w:r>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p>
    <w:p w:rsidR="005306EB" w:rsidRDefault="005306EB" w:rsidP="007E4E81">
      <w:pPr>
        <w:pStyle w:val="a0"/>
        <w:rPr>
          <w:rtl/>
        </w:rPr>
      </w:pPr>
      <w:bookmarkStart w:id="12011" w:name="_Ref57910676"/>
      <w:r>
        <w:rPr>
          <w:rFonts w:hint="cs"/>
          <w:rtl/>
        </w:rPr>
        <w:t xml:space="preserve">כתב </w:t>
      </w:r>
      <w:r>
        <w:rPr>
          <w:rStyle w:val="af9"/>
          <w:rtl/>
        </w:rPr>
        <w:t>התוס' רי"ד</w:t>
      </w:r>
      <w:r>
        <w:rPr>
          <w:rFonts w:hint="cs"/>
          <w:rtl/>
        </w:rPr>
        <w:t xml:space="preserve"> </w:t>
      </w:r>
      <w:r>
        <w:rPr>
          <w:rStyle w:val="af7"/>
          <w:rFonts w:eastAsia="Guttman Hodes" w:hint="cs"/>
          <w:rtl/>
        </w:rPr>
        <w:t>(או' ה' ד"ה ומאי דקשיא)</w:t>
      </w:r>
      <w:r>
        <w:rPr>
          <w:rFonts w:hint="cs"/>
          <w:rtl/>
        </w:rPr>
        <w:t xml:space="preserve"> דאעפ"י שאם המערער היה מוצא את המוכר בקרקע, </w:t>
      </w:r>
      <w:r>
        <w:rPr>
          <w:rStyle w:val="afb"/>
          <w:rtl/>
        </w:rPr>
        <w:t xml:space="preserve">[ולא מכרה למחזיק], </w:t>
      </w:r>
      <w:r>
        <w:rPr>
          <w:rFonts w:hint="cs"/>
          <w:rtl/>
        </w:rPr>
        <w:t xml:space="preserve">היה המוכר נאמן בטענתו שקנה מהמערער במיגו דהיה טוען שלא הייתה של המערער מעולם, כיון שאין למערער עדים, מ"מ עכשיו כשהמחזיק יושב בקרקע, אין המחזיק נאמן באותה טענה שהיה המוכר נאמן, ויכול המערער להוציא את המחזיק אף שטוען שהוא קנה מהמוכר, דאומר המערער למחזיק, דמה שאתה טוען שהמוכר אמר לך שקנה ממני, יתכן שלא אמר לך כן, ואף אם אמר לך, יתכן שלא היה מעיז פניו לומר כן לי, כיון שהוא </w:t>
      </w:r>
      <w:r w:rsidRPr="00301E1A">
        <w:rPr>
          <w:rFonts w:hint="cs"/>
          <w:rtl/>
        </w:rPr>
        <w:t>יודע שהקרקע היא שלי, ולכן מעמידים את הקרקע ביד המערער.</w:t>
      </w:r>
      <w:bookmarkEnd w:id="12011"/>
      <w:r>
        <w:rPr>
          <w:rFonts w:hint="cs"/>
          <w:rtl/>
        </w:rPr>
        <w:t xml:space="preserve"> </w:t>
      </w:r>
    </w:p>
    <w:p w:rsidR="005306EB" w:rsidRDefault="005306EB" w:rsidP="005306EB">
      <w:pPr>
        <w:pStyle w:val="a3"/>
        <w:rPr>
          <w:rtl/>
        </w:rPr>
      </w:pPr>
      <w:bookmarkStart w:id="12012" w:name="_Toc59113273"/>
      <w:bookmarkStart w:id="12013" w:name="_Toc59136993"/>
      <w:bookmarkStart w:id="12014" w:name="_Toc59361697"/>
      <w:bookmarkStart w:id="12015" w:name="_Toc59519338"/>
      <w:bookmarkStart w:id="12016" w:name="_Toc59700119"/>
      <w:bookmarkStart w:id="12017" w:name="_Toc59960772"/>
      <w:bookmarkStart w:id="12018" w:name="_Toc60086868"/>
      <w:bookmarkStart w:id="12019" w:name="_Toc60173435"/>
      <w:bookmarkStart w:id="12020" w:name="_Toc60303889"/>
      <w:bookmarkStart w:id="12021" w:name="_Toc61010740"/>
      <w:bookmarkStart w:id="12022" w:name="_Toc61200684"/>
      <w:bookmarkStart w:id="12023" w:name="_Toc61213893"/>
      <w:bookmarkStart w:id="12024" w:name="_Toc61388269"/>
      <w:bookmarkStart w:id="12025" w:name="_Toc61430930"/>
      <w:bookmarkStart w:id="12026" w:name="_Toc61433973"/>
      <w:bookmarkStart w:id="12027" w:name="_Toc61438699"/>
      <w:bookmarkStart w:id="12028" w:name="_Toc61469451"/>
      <w:bookmarkStart w:id="12029" w:name="_Toc61509829"/>
      <w:r>
        <w:rPr>
          <w:rFonts w:hint="cs"/>
          <w:rtl/>
        </w:rPr>
        <w:t>דברי התורי"ד דבנמצא המוכר לפנינו ודאי דנאמן במיגו והכא איירי שאין המוכר לפנינו</w:t>
      </w:r>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p>
    <w:p w:rsidR="005306EB" w:rsidRDefault="005306EB" w:rsidP="007E4E81">
      <w:pPr>
        <w:pStyle w:val="a0"/>
        <w:rPr>
          <w:rtl/>
        </w:rPr>
      </w:pPr>
      <w:bookmarkStart w:id="12030" w:name="_Ref58323632"/>
      <w:r>
        <w:rPr>
          <w:rFonts w:hint="cs"/>
          <w:rtl/>
        </w:rPr>
        <w:t xml:space="preserve">וכתב </w:t>
      </w:r>
      <w:r>
        <w:rPr>
          <w:rStyle w:val="af9"/>
          <w:rtl/>
        </w:rPr>
        <w:t>התוס' רי"ד</w:t>
      </w:r>
      <w:r>
        <w:rPr>
          <w:rFonts w:hint="cs"/>
          <w:rtl/>
        </w:rPr>
        <w:t xml:space="preserve"> </w:t>
      </w:r>
      <w:r>
        <w:rPr>
          <w:rStyle w:val="af7"/>
          <w:rFonts w:eastAsia="Guttman Hodes" w:hint="cs"/>
          <w:rtl/>
        </w:rPr>
        <w:t>(או' ה' ד"ה אבל ודאי)</w:t>
      </w:r>
      <w:r>
        <w:rPr>
          <w:rFonts w:hint="cs"/>
          <w:rtl/>
        </w:rPr>
        <w:t xml:space="preserve"> דבאמת אם עכשיו נמצא המוכר לפנינו, והוא טוען למערער אני קניתי ממך ומכרתי למחזיק, ודאי דהמוכר עצמו נאמן במיגו דהיה טוען שלא הייתה של המוכר, ומעמידים את הקרקע ביד המחזיק, וכ"מ דאמר רבא דהדין עם המערער ומוציא את המחזיק, הוא באופן שהמוכר אינו לפנינו כגון שמת או הלך למדינת הים.</w:t>
      </w:r>
      <w:bookmarkEnd w:id="12030"/>
    </w:p>
    <w:p w:rsidR="005306EB" w:rsidRDefault="005306EB" w:rsidP="005306EB">
      <w:pPr>
        <w:pStyle w:val="a3"/>
        <w:rPr>
          <w:rtl/>
        </w:rPr>
      </w:pPr>
      <w:bookmarkStart w:id="12031" w:name="_Toc59113274"/>
      <w:bookmarkStart w:id="12032" w:name="_Toc59136994"/>
      <w:bookmarkStart w:id="12033" w:name="_Toc59361698"/>
      <w:bookmarkStart w:id="12034" w:name="_Toc59519339"/>
      <w:bookmarkStart w:id="12035" w:name="_Toc59700120"/>
      <w:bookmarkStart w:id="12036" w:name="_Toc59960773"/>
      <w:bookmarkStart w:id="12037" w:name="_Toc60086869"/>
      <w:bookmarkStart w:id="12038" w:name="_Toc60173436"/>
      <w:bookmarkStart w:id="12039" w:name="_Toc60303890"/>
      <w:bookmarkStart w:id="12040" w:name="_Toc61010741"/>
      <w:bookmarkStart w:id="12041" w:name="_Toc61200685"/>
      <w:bookmarkStart w:id="12042" w:name="_Toc61213894"/>
      <w:bookmarkStart w:id="12043" w:name="_Toc61388270"/>
      <w:bookmarkStart w:id="12044" w:name="_Toc61430931"/>
      <w:bookmarkStart w:id="12045" w:name="_Toc61433974"/>
      <w:bookmarkStart w:id="12046" w:name="_Toc61438700"/>
      <w:bookmarkStart w:id="12047" w:name="_Toc61469452"/>
      <w:bookmarkStart w:id="12048" w:name="_Toc61509830"/>
      <w:r>
        <w:rPr>
          <w:rFonts w:hint="cs"/>
          <w:rtl/>
        </w:rPr>
        <w:t xml:space="preserve">דחיית התורי"ד </w:t>
      </w:r>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r>
        <w:rPr>
          <w:rFonts w:hint="cs"/>
          <w:rtl/>
        </w:rPr>
        <w:t>דכשהקרקע ברשות המחזיק מוציא המערער את המחזיק אף שהמוכר לפנינו</w:t>
      </w:r>
      <w:bookmarkEnd w:id="12047"/>
      <w:bookmarkEnd w:id="12048"/>
      <w:r>
        <w:rPr>
          <w:rFonts w:hint="cs"/>
          <w:rtl/>
        </w:rPr>
        <w:t xml:space="preserve"> </w:t>
      </w:r>
    </w:p>
    <w:p w:rsidR="005306EB" w:rsidRDefault="005306EB" w:rsidP="007E4E81">
      <w:pPr>
        <w:pStyle w:val="a0"/>
        <w:rPr>
          <w:sz w:val="10"/>
          <w:szCs w:val="14"/>
          <w:rtl/>
        </w:rPr>
      </w:pPr>
      <w:bookmarkStart w:id="12049" w:name="_Ref58428647"/>
      <w:r>
        <w:rPr>
          <w:rFonts w:hint="cs"/>
          <w:rtl/>
        </w:rPr>
        <w:t xml:space="preserve">אך דחה </w:t>
      </w:r>
      <w:r>
        <w:rPr>
          <w:rStyle w:val="af9"/>
          <w:rtl/>
        </w:rPr>
        <w:t>התוס' רי"ד</w:t>
      </w:r>
      <w:r>
        <w:rPr>
          <w:rFonts w:hint="cs"/>
          <w:rtl/>
        </w:rPr>
        <w:t xml:space="preserve"> </w:t>
      </w:r>
      <w:r>
        <w:rPr>
          <w:rStyle w:val="af7"/>
          <w:rFonts w:eastAsia="Guttman Hodes" w:hint="cs"/>
          <w:rtl/>
        </w:rPr>
        <w:t>(או' ה' ד"ה וזה הפתרון)</w:t>
      </w:r>
      <w:r>
        <w:rPr>
          <w:rFonts w:hint="cs"/>
          <w:rtl/>
        </w:rPr>
        <w:t xml:space="preserve"> דודאי דאם היה המערער מוצא את המוכר בקרקע, </w:t>
      </w:r>
      <w:r>
        <w:rPr>
          <w:rStyle w:val="afb"/>
          <w:rtl/>
        </w:rPr>
        <w:t xml:space="preserve">[ולא מכרה למחזיק], </w:t>
      </w:r>
      <w:r>
        <w:rPr>
          <w:rFonts w:hint="cs"/>
          <w:rtl/>
        </w:rPr>
        <w:t>היה המוכר נאמן בטענתו שקנה מהמערער במיגו דהיה טוען שלא הייתה של המערער מעולם, כיון שאין למערער עדים, אבל עכשיו שיצאה הקרקע מהמוכר והמערער מצא את המחזיק יושב בקרקע, יכול המערער להוציא את המחזיק, אף אם המוכר עדיין נמצא לפנינו, והוא טוען למערער אני קניתי ממך ומכרתי למחזיק.</w:t>
      </w:r>
      <w:bookmarkEnd w:id="12049"/>
    </w:p>
    <w:p w:rsidR="005306EB" w:rsidRPr="00FF0FC4" w:rsidRDefault="005306EB" w:rsidP="005306EB">
      <w:pPr>
        <w:pStyle w:val="a3"/>
        <w:rPr>
          <w:rtl/>
        </w:rPr>
      </w:pPr>
    </w:p>
    <w:p w:rsidR="005306EB" w:rsidRPr="00FF0FC4" w:rsidRDefault="005306EB" w:rsidP="005306EB">
      <w:pPr>
        <w:pStyle w:val="a3"/>
        <w:rPr>
          <w:rtl/>
        </w:rPr>
      </w:pPr>
    </w:p>
    <w:p w:rsidR="005306EB" w:rsidRPr="00FF0FC4" w:rsidRDefault="005306EB" w:rsidP="005306EB">
      <w:pPr>
        <w:pStyle w:val="a3"/>
        <w:rPr>
          <w:rtl/>
        </w:rPr>
      </w:pPr>
    </w:p>
    <w:p w:rsidR="005306EB" w:rsidRDefault="005306EB" w:rsidP="005306EB">
      <w:pPr>
        <w:pStyle w:val="a3"/>
        <w:rPr>
          <w:rtl/>
        </w:rPr>
      </w:pPr>
      <w:bookmarkStart w:id="12050" w:name="_Toc61469453"/>
      <w:bookmarkStart w:id="12051" w:name="_Toc61509831"/>
      <w:r>
        <w:rPr>
          <w:rFonts w:hint="cs"/>
          <w:rtl/>
        </w:rPr>
        <w:lastRenderedPageBreak/>
        <w:t>ביאור התורי"ד דכיון שהמחזיק אינו יכול לתבוע את המוכר ל"מ המיגו של המוכר</w:t>
      </w:r>
      <w:bookmarkEnd w:id="12050"/>
      <w:bookmarkEnd w:id="12051"/>
    </w:p>
    <w:p w:rsidR="005306EB" w:rsidRPr="00557EB9" w:rsidRDefault="005306EB" w:rsidP="007E4E81">
      <w:pPr>
        <w:pStyle w:val="a0"/>
        <w:rPr>
          <w:rtl/>
        </w:rPr>
        <w:sectPr w:rsidR="005306EB" w:rsidRPr="00557EB9" w:rsidSect="005049E2">
          <w:type w:val="continuous"/>
          <w:pgSz w:w="11906" w:h="16838"/>
          <w:pgMar w:top="720" w:right="720" w:bottom="720" w:left="720" w:header="283" w:footer="283" w:gutter="0"/>
          <w:cols w:num="2" w:space="567"/>
          <w:titlePg/>
          <w:bidi/>
          <w:rtlGutter/>
          <w:docGrid w:linePitch="299"/>
        </w:sectPr>
      </w:pPr>
      <w:r>
        <w:rPr>
          <w:rFonts w:hint="cs"/>
          <w:rtl/>
        </w:rPr>
        <w:t xml:space="preserve"> </w:t>
      </w:r>
      <w:bookmarkStart w:id="12052" w:name="_Ref59012992"/>
      <w:r>
        <w:rPr>
          <w:rFonts w:hint="cs"/>
          <w:rtl/>
        </w:rPr>
        <w:t xml:space="preserve">וביאר </w:t>
      </w:r>
      <w:r>
        <w:rPr>
          <w:rStyle w:val="af9"/>
          <w:rtl/>
        </w:rPr>
        <w:t>התוס' רי"ד</w:t>
      </w:r>
      <w:r>
        <w:rPr>
          <w:rFonts w:hint="cs"/>
          <w:rtl/>
        </w:rPr>
        <w:t xml:space="preserve"> דכיון שהמחזיק עצמו אינו יכול לטעון מיגו, א"כ אף שהמוכר עצמו נמצא לפנינו והוא נאמן במיגו דהיה טוען שלא הייתה של המערער, אפ"ה לא מהני טענת המוכר למחזיק, ויכול המערער להוציא את המחזיק מהקרקע, דכיון שהמחזיק אינו </w:t>
      </w:r>
      <w:r>
        <w:rPr>
          <w:rFonts w:hint="cs"/>
          <w:rtl/>
        </w:rPr>
        <w:t xml:space="preserve">יכול לחזור למוכר ולתובעו, </w:t>
      </w:r>
      <w:r>
        <w:rPr>
          <w:rStyle w:val="afb"/>
          <w:rtl/>
        </w:rPr>
        <w:t xml:space="preserve">[כדביאר </w:t>
      </w:r>
      <w:r>
        <w:rPr>
          <w:rStyle w:val="affa"/>
          <w:rtl/>
        </w:rPr>
        <w:t>התוס' רי"ד</w:t>
      </w:r>
      <w:r>
        <w:rPr>
          <w:rStyle w:val="aff6"/>
          <w:rtl/>
        </w:rPr>
        <w:t xml:space="preserve"> </w:t>
      </w:r>
      <w:r>
        <w:rPr>
          <w:rStyle w:val="af7"/>
          <w:rFonts w:eastAsia="Guttman Hodes" w:hint="cs"/>
          <w:rtl/>
        </w:rPr>
        <w:t>(</w:t>
      </w:r>
      <w:r w:rsidRPr="00CD3FDB">
        <w:rPr>
          <w:rStyle w:val="af7"/>
          <w:rFonts w:eastAsia="Guttman Hodes" w:hint="cs"/>
          <w:rtl/>
        </w:rPr>
        <w:t xml:space="preserve">או' ה' ד"ה </w:t>
      </w:r>
      <w:r>
        <w:rPr>
          <w:rStyle w:val="af7"/>
          <w:rFonts w:eastAsia="Guttman Hodes" w:hint="cs"/>
          <w:rtl/>
        </w:rPr>
        <w:t>וזה הפ</w:t>
      </w:r>
      <w:r w:rsidRPr="007D2D41">
        <w:rPr>
          <w:rStyle w:val="aff6"/>
          <w:rFonts w:hint="cs"/>
          <w:rtl/>
        </w:rPr>
        <w:t>תרון, הובא בסימן ח' אות ע"ד)</w:t>
      </w:r>
      <w:r w:rsidRPr="007D2D41">
        <w:rPr>
          <w:rStyle w:val="aff6"/>
          <w:rtl/>
        </w:rPr>
        <w:t xml:space="preserve"> </w:t>
      </w:r>
      <w:r>
        <w:rPr>
          <w:rStyle w:val="afb"/>
          <w:rtl/>
        </w:rPr>
        <w:t xml:space="preserve">ודלא </w:t>
      </w:r>
      <w:r>
        <w:rPr>
          <w:rStyle w:val="affa"/>
          <w:rtl/>
        </w:rPr>
        <w:t>כהרשב"ם</w:t>
      </w:r>
      <w:r>
        <w:rPr>
          <w:rStyle w:val="afb"/>
          <w:rtl/>
        </w:rPr>
        <w:t xml:space="preserve"> </w:t>
      </w:r>
      <w:r w:rsidRPr="00131AED">
        <w:rPr>
          <w:rStyle w:val="aff6"/>
          <w:rtl/>
        </w:rPr>
        <w:t>(ד"ה אמר ליה</w:t>
      </w:r>
      <w:r>
        <w:rPr>
          <w:rStyle w:val="aff6"/>
          <w:rFonts w:hint="cs"/>
          <w:rtl/>
        </w:rPr>
        <w:t>, הובא בסימן ח' אות ס"ט)</w:t>
      </w:r>
      <w:r w:rsidRPr="00131AED">
        <w:rPr>
          <w:rStyle w:val="aff6"/>
          <w:rtl/>
        </w:rPr>
        <w:t xml:space="preserve"> </w:t>
      </w:r>
      <w:r w:rsidRPr="00E83585">
        <w:rPr>
          <w:rStyle w:val="afb"/>
          <w:rFonts w:hint="cs"/>
          <w:rtl/>
        </w:rPr>
        <w:t>ד</w:t>
      </w:r>
      <w:r w:rsidRPr="00E83585">
        <w:rPr>
          <w:rStyle w:val="afb"/>
          <w:rtl/>
        </w:rPr>
        <w:t xml:space="preserve">כתב דהמחזיק </w:t>
      </w:r>
      <w:r w:rsidRPr="00E83585">
        <w:rPr>
          <w:rStyle w:val="afb"/>
          <w:rFonts w:hint="cs"/>
          <w:rtl/>
        </w:rPr>
        <w:t>גובה</w:t>
      </w:r>
      <w:r>
        <w:rPr>
          <w:rStyle w:val="afb"/>
          <w:rFonts w:hint="cs"/>
          <w:rtl/>
        </w:rPr>
        <w:t xml:space="preserve"> </w:t>
      </w:r>
      <w:r w:rsidRPr="00E83585">
        <w:rPr>
          <w:rStyle w:val="afb"/>
          <w:rtl/>
        </w:rPr>
        <w:t>את מעותיו מהמוכר],</w:t>
      </w:r>
      <w:r>
        <w:rPr>
          <w:rFonts w:hint="cs"/>
          <w:rtl/>
        </w:rPr>
        <w:t xml:space="preserve"> לכן לא מהני למחזיק טענת המיגו של המוכר</w:t>
      </w:r>
      <w:r>
        <w:rPr>
          <w:rStyle w:val="af1"/>
          <w:rtl/>
        </w:rPr>
        <w:footnoteReference w:id="74"/>
      </w:r>
      <w:r>
        <w:rPr>
          <w:rFonts w:hint="cs"/>
          <w:rtl/>
        </w:rPr>
        <w:t xml:space="preserve">, ודלא </w:t>
      </w:r>
      <w:r w:rsidRPr="00533119">
        <w:rPr>
          <w:rStyle w:val="af9"/>
          <w:rFonts w:hint="cs"/>
          <w:rtl/>
        </w:rPr>
        <w:t xml:space="preserve">כהרשב"א </w:t>
      </w:r>
      <w:r w:rsidRPr="00533119">
        <w:rPr>
          <w:rStyle w:val="af7"/>
          <w:rFonts w:eastAsia="Guttman Hodes" w:hint="cs"/>
          <w:rtl/>
        </w:rPr>
        <w:t xml:space="preserve">(עי' אות </w:t>
      </w:r>
      <w:r w:rsidRPr="00533119">
        <w:rPr>
          <w:rStyle w:val="af7"/>
          <w:rFonts w:eastAsia="Guttman Hodes"/>
          <w:rtl/>
        </w:rPr>
        <w:fldChar w:fldCharType="begin"/>
      </w:r>
      <w:r w:rsidRPr="00533119">
        <w:rPr>
          <w:rStyle w:val="af7"/>
          <w:rFonts w:eastAsia="Guttman Hodes"/>
          <w:rtl/>
        </w:rPr>
        <w:instrText xml:space="preserve"> </w:instrText>
      </w:r>
      <w:r w:rsidRPr="00533119">
        <w:rPr>
          <w:rStyle w:val="af7"/>
          <w:rFonts w:eastAsia="Guttman Hodes" w:hint="cs"/>
        </w:rPr>
        <w:instrText>REF</w:instrText>
      </w:r>
      <w:r w:rsidRPr="00533119">
        <w:rPr>
          <w:rStyle w:val="af7"/>
          <w:rFonts w:eastAsia="Guttman Hodes" w:hint="cs"/>
          <w:rtl/>
        </w:rPr>
        <w:instrText xml:space="preserve"> _</w:instrText>
      </w:r>
      <w:r w:rsidRPr="00533119">
        <w:rPr>
          <w:rStyle w:val="af7"/>
          <w:rFonts w:eastAsia="Guttman Hodes" w:hint="cs"/>
        </w:rPr>
        <w:instrText>Ref61457852 \r \h</w:instrText>
      </w:r>
      <w:r w:rsidRPr="00533119">
        <w:rPr>
          <w:rStyle w:val="af7"/>
          <w:rFonts w:eastAsia="Guttman Hodes"/>
          <w:rtl/>
        </w:rPr>
        <w:instrText xml:space="preserve"> </w:instrText>
      </w:r>
      <w:r w:rsidRPr="00533119">
        <w:rPr>
          <w:rStyle w:val="af7"/>
          <w:rFonts w:eastAsia="Guttman Hodes"/>
          <w:rtl/>
        </w:rPr>
      </w:r>
      <w:r w:rsidRPr="00533119">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533119">
        <w:rPr>
          <w:rStyle w:val="af7"/>
          <w:rFonts w:eastAsia="Guttman Hodes"/>
          <w:rtl/>
        </w:rPr>
        <w:fldChar w:fldCharType="end"/>
      </w:r>
      <w:r>
        <w:rPr>
          <w:rFonts w:hint="cs"/>
          <w:rtl/>
        </w:rPr>
        <w:t>.</w:t>
      </w:r>
      <w:bookmarkEnd w:id="12052"/>
    </w:p>
    <w:p w:rsidR="005306EB" w:rsidRDefault="005306EB" w:rsidP="005306EB">
      <w:pPr>
        <w:tabs>
          <w:tab w:val="left" w:pos="1163"/>
        </w:tabs>
        <w:spacing w:after="120" w:line="240" w:lineRule="auto"/>
        <w:ind w:left="0"/>
        <w:rPr>
          <w:rFonts w:ascii="Guttman Hodes" w:eastAsia="Guttman Hodes" w:hAnsi="Guttman Hodes" w:cs="Guttman Hodes"/>
          <w:noProof/>
          <w:sz w:val="18"/>
          <w:szCs w:val="18"/>
        </w:rPr>
        <w:sectPr w:rsidR="005306EB" w:rsidSect="00AE06CB">
          <w:type w:val="continuous"/>
          <w:pgSz w:w="11906" w:h="16838"/>
          <w:pgMar w:top="720" w:right="720" w:bottom="720" w:left="720" w:header="283" w:footer="283" w:gutter="0"/>
          <w:cols w:space="567"/>
          <w:bidi/>
          <w:rtlGutter/>
          <w:docGrid w:linePitch="299"/>
        </w:sectPr>
      </w:pPr>
    </w:p>
    <w:p w:rsidR="005306EB" w:rsidRPr="00D47CE7" w:rsidRDefault="00E949D5" w:rsidP="005306EB">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5" type="#_x0000_t75" style="width:404.55pt;height:6.8pt" o:hrpct="0" o:hralign="center" o:hr="t">
            <v:imagedata r:id="rId24" o:title="BD14845_"/>
          </v:shape>
        </w:pict>
      </w:r>
      <w:r w:rsidR="005306EB" w:rsidRPr="00D47CE7">
        <w:rPr>
          <w:rFonts w:ascii="Guttman Hodes" w:eastAsia="Guttman Hodes" w:hAnsi="Guttman Hodes" w:cs="Guttman Hodes" w:hint="cs"/>
          <w:noProof/>
          <w:sz w:val="18"/>
          <w:szCs w:val="18"/>
          <w:rtl/>
        </w:rPr>
        <w:t xml:space="preserve"> </w:t>
      </w:r>
    </w:p>
    <w:p w:rsidR="005306EB" w:rsidRPr="0081356D" w:rsidRDefault="001B6519" w:rsidP="005306EB">
      <w:pPr>
        <w:pStyle w:val="afe"/>
        <w:rPr>
          <w:rtl/>
        </w:rPr>
        <w:sectPr w:rsidR="005306EB" w:rsidRPr="0081356D" w:rsidSect="00361B2E">
          <w:pgSz w:w="11906" w:h="16838"/>
          <w:pgMar w:top="720" w:right="720" w:bottom="720" w:left="720" w:header="283" w:footer="283" w:gutter="0"/>
          <w:cols w:space="567"/>
          <w:bidi/>
          <w:rtlGutter/>
          <w:docGrid w:linePitch="299"/>
        </w:sectPr>
      </w:pPr>
      <w:r>
        <w:rPr>
          <w:rFonts w:hint="cs"/>
          <w:rtl/>
        </w:rPr>
        <w:t>~~~~~~~ ביאורי ראשי הישיבות ~~~~~~~</w:t>
      </w:r>
      <w:r w:rsidR="005306EB" w:rsidRPr="0081356D">
        <w:rPr>
          <w:rFonts w:hint="cs"/>
          <w:rtl/>
        </w:rPr>
        <w:t xml:space="preserve"> </w:t>
      </w:r>
    </w:p>
    <w:p w:rsidR="005306EB" w:rsidRDefault="005306EB" w:rsidP="005306EB">
      <w:pPr>
        <w:pStyle w:val="afe"/>
        <w:rPr>
          <w:rtl/>
        </w:rPr>
      </w:pPr>
      <w:bookmarkStart w:id="12053" w:name="_Toc61469455"/>
      <w:bookmarkStart w:id="12054" w:name="_Toc61509833"/>
      <w:bookmarkStart w:id="12055" w:name="_Toc60303892"/>
      <w:bookmarkStart w:id="12056" w:name="_Toc61010743"/>
      <w:r>
        <w:rPr>
          <w:rFonts w:hint="cs"/>
          <w:rtl/>
        </w:rPr>
        <w:t>בד' תוס' דמיגו למפרע לא אמרינן</w:t>
      </w:r>
      <w:bookmarkEnd w:id="12053"/>
      <w:bookmarkEnd w:id="12054"/>
    </w:p>
    <w:p w:rsidR="005306EB" w:rsidRPr="00FA6D0C" w:rsidRDefault="005306EB" w:rsidP="005306EB">
      <w:pPr>
        <w:pStyle w:val="1"/>
        <w:rPr>
          <w:rtl/>
        </w:rPr>
      </w:pPr>
      <w:bookmarkStart w:id="12057" w:name="_Toc61469456"/>
      <w:bookmarkStart w:id="12058" w:name="_Toc61509834"/>
      <w:r>
        <w:rPr>
          <w:rFonts w:hint="cs"/>
          <w:rtl/>
        </w:rPr>
        <w:t>ביאור הגרנ"פ דבמיגו למפרע אין ראיה ואין את כח הטענה</w:t>
      </w:r>
      <w:bookmarkEnd w:id="12057"/>
      <w:bookmarkEnd w:id="12058"/>
      <w:r>
        <w:rPr>
          <w:rFonts w:hint="cs"/>
          <w:rtl/>
        </w:rPr>
        <w:t xml:space="preserve"> </w:t>
      </w:r>
    </w:p>
    <w:p w:rsidR="005306EB" w:rsidRPr="008D2ADC" w:rsidRDefault="005306EB" w:rsidP="005306EB">
      <w:pPr>
        <w:pStyle w:val="a3"/>
        <w:rPr>
          <w:rtl/>
        </w:rPr>
      </w:pPr>
      <w:bookmarkStart w:id="12059" w:name="_Toc61469457"/>
      <w:bookmarkStart w:id="12060" w:name="_Toc61509835"/>
      <w:r>
        <w:rPr>
          <w:rFonts w:hint="cs"/>
          <w:rtl/>
        </w:rPr>
        <w:t>ביאור הגרנ"פ בתוס' דהא דל"א מיגו למפרע דכיון שלא העלה בדעתו אין ראיה דמה לו לשקר</w:t>
      </w:r>
      <w:bookmarkEnd w:id="12059"/>
      <w:bookmarkEnd w:id="12060"/>
    </w:p>
    <w:p w:rsidR="005306EB" w:rsidRDefault="005306EB" w:rsidP="007E4E81">
      <w:pPr>
        <w:pStyle w:val="a0"/>
        <w:rPr>
          <w:rtl/>
        </w:rPr>
      </w:pPr>
      <w:bookmarkStart w:id="12061" w:name="_Ref61382516"/>
      <w:bookmarkEnd w:id="12055"/>
      <w:bookmarkEnd w:id="12056"/>
      <w:r>
        <w:rPr>
          <w:rFonts w:hint="cs"/>
          <w:rtl/>
        </w:rPr>
        <w:t xml:space="preserve">במ"ש </w:t>
      </w:r>
      <w:r w:rsidRPr="00DF51C0">
        <w:rPr>
          <w:rStyle w:val="af9"/>
          <w:rFonts w:hint="cs"/>
          <w:rtl/>
        </w:rPr>
        <w:t>התוס'</w:t>
      </w:r>
      <w:r>
        <w:rPr>
          <w:rFonts w:hint="cs"/>
          <w:rtl/>
        </w:rPr>
        <w:t xml:space="preserve"> </w:t>
      </w:r>
      <w:r w:rsidRPr="004D6080">
        <w:rPr>
          <w:rStyle w:val="af7"/>
          <w:rFonts w:eastAsia="Guttman Hodes" w:hint="cs"/>
          <w:rtl/>
        </w:rPr>
        <w:t xml:space="preserve">(עי' אות </w:t>
      </w:r>
      <w:r w:rsidRPr="004D6080">
        <w:rPr>
          <w:rStyle w:val="af7"/>
          <w:rFonts w:eastAsia="Guttman Hodes"/>
          <w:rtl/>
        </w:rPr>
        <w:fldChar w:fldCharType="begin"/>
      </w:r>
      <w:r w:rsidRPr="004D6080">
        <w:rPr>
          <w:rStyle w:val="af7"/>
          <w:rFonts w:eastAsia="Guttman Hodes"/>
          <w:rtl/>
        </w:rPr>
        <w:instrText xml:space="preserve"> </w:instrText>
      </w:r>
      <w:r w:rsidRPr="004D6080">
        <w:rPr>
          <w:rStyle w:val="af7"/>
          <w:rFonts w:eastAsia="Guttman Hodes" w:hint="cs"/>
        </w:rPr>
        <w:instrText>REF</w:instrText>
      </w:r>
      <w:r w:rsidRPr="004D6080">
        <w:rPr>
          <w:rStyle w:val="af7"/>
          <w:rFonts w:eastAsia="Guttman Hodes" w:hint="cs"/>
          <w:rtl/>
        </w:rPr>
        <w:instrText xml:space="preserve"> _</w:instrText>
      </w:r>
      <w:r w:rsidRPr="004D6080">
        <w:rPr>
          <w:rStyle w:val="af7"/>
          <w:rFonts w:eastAsia="Guttman Hodes" w:hint="cs"/>
        </w:rPr>
        <w:instrText>Ref61256380 \r \h</w:instrText>
      </w:r>
      <w:r w:rsidRPr="004D6080">
        <w:rPr>
          <w:rStyle w:val="af7"/>
          <w:rFonts w:eastAsia="Guttman Hodes"/>
          <w:rtl/>
        </w:rPr>
        <w:instrText xml:space="preserve"> </w:instrText>
      </w:r>
      <w:r w:rsidRPr="004D6080">
        <w:rPr>
          <w:rStyle w:val="af7"/>
          <w:rFonts w:eastAsia="Guttman Hodes"/>
          <w:rtl/>
        </w:rPr>
      </w:r>
      <w:r w:rsidRPr="004D6080">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4D6080">
        <w:rPr>
          <w:rStyle w:val="af7"/>
          <w:rFonts w:eastAsia="Guttman Hodes"/>
          <w:rtl/>
        </w:rPr>
        <w:fldChar w:fldCharType="end"/>
      </w:r>
      <w:r>
        <w:rPr>
          <w:rFonts w:hint="cs"/>
          <w:rtl/>
        </w:rPr>
        <w:t xml:space="preserve"> </w:t>
      </w:r>
      <w:r w:rsidRPr="005309A4">
        <w:rPr>
          <w:rtl/>
        </w:rPr>
        <w:t xml:space="preserve">דהא דמיגו למפרע לא אמרינן, </w:t>
      </w:r>
      <w:r>
        <w:rPr>
          <w:rFonts w:hint="cs"/>
          <w:rtl/>
        </w:rPr>
        <w:t xml:space="preserve">הוא </w:t>
      </w:r>
      <w:r w:rsidRPr="005309A4">
        <w:rPr>
          <w:rtl/>
        </w:rPr>
        <w:t xml:space="preserve">כיון </w:t>
      </w:r>
      <w:r>
        <w:rPr>
          <w:rFonts w:hint="cs"/>
          <w:rtl/>
        </w:rPr>
        <w:t>ש</w:t>
      </w:r>
      <w:r w:rsidRPr="005309A4">
        <w:rPr>
          <w:rtl/>
        </w:rPr>
        <w:t>לא העלה על דעתו שיצטרך את הטענה הזו</w:t>
      </w:r>
      <w:r>
        <w:rPr>
          <w:rFonts w:hint="cs"/>
          <w:rtl/>
        </w:rPr>
        <w:t xml:space="preserve">, ביאר </w:t>
      </w:r>
      <w:r w:rsidRPr="00AF3E98">
        <w:rPr>
          <w:rStyle w:val="af9"/>
          <w:rFonts w:hint="cs"/>
          <w:rtl/>
        </w:rPr>
        <w:t>בחי' רבי נחום</w:t>
      </w:r>
      <w:r>
        <w:rPr>
          <w:rFonts w:hint="cs"/>
          <w:rtl/>
        </w:rPr>
        <w:t xml:space="preserve"> </w:t>
      </w:r>
      <w:r w:rsidRPr="000C0F58">
        <w:rPr>
          <w:rStyle w:val="af7"/>
          <w:rFonts w:eastAsia="Guttman Hodes" w:hint="cs"/>
          <w:rtl/>
        </w:rPr>
        <w:t>(או' ס"</w:t>
      </w:r>
      <w:r>
        <w:rPr>
          <w:rStyle w:val="af7"/>
          <w:rFonts w:eastAsia="Guttman Hodes" w:hint="cs"/>
          <w:rtl/>
        </w:rPr>
        <w:t>ו</w:t>
      </w:r>
      <w:r w:rsidRPr="000C0F58">
        <w:rPr>
          <w:rStyle w:val="af7"/>
          <w:rFonts w:eastAsia="Guttman Hodes" w:hint="cs"/>
          <w:rtl/>
        </w:rPr>
        <w:t>)</w:t>
      </w:r>
      <w:r>
        <w:rPr>
          <w:rFonts w:hint="cs"/>
          <w:rtl/>
        </w:rPr>
        <w:t xml:space="preserve"> דכוונת </w:t>
      </w:r>
      <w:r w:rsidRPr="009C170C">
        <w:rPr>
          <w:rStyle w:val="af9"/>
          <w:rFonts w:hint="cs"/>
          <w:rtl/>
        </w:rPr>
        <w:t>התוס'</w:t>
      </w:r>
      <w:r>
        <w:rPr>
          <w:rFonts w:hint="cs"/>
          <w:rtl/>
        </w:rPr>
        <w:t xml:space="preserve"> לומר דכיון שלא העלה על דעתו לטעון כן, ממילא אין את הראיה של המיגו דיתכן שדעתו הייתה לשקר, רק לא חשב שיצטרך לטעון כן.</w:t>
      </w:r>
      <w:bookmarkEnd w:id="12061"/>
    </w:p>
    <w:p w:rsidR="005306EB" w:rsidRPr="005B02AD" w:rsidRDefault="005306EB" w:rsidP="005306EB">
      <w:pPr>
        <w:pStyle w:val="a3"/>
        <w:rPr>
          <w:rtl/>
        </w:rPr>
      </w:pPr>
      <w:bookmarkStart w:id="12062" w:name="_Toc61469458"/>
      <w:bookmarkStart w:id="12063" w:name="_Toc61509836"/>
      <w:r>
        <w:rPr>
          <w:rFonts w:hint="cs"/>
          <w:rtl/>
        </w:rPr>
        <w:t>דברי הגרנ"פ דמשמע בתוס' דמיגו מהני כשיש ראיה דמה לו לשקר אף כשאין את כח הטענה</w:t>
      </w:r>
      <w:bookmarkEnd w:id="12062"/>
      <w:bookmarkEnd w:id="12063"/>
    </w:p>
    <w:p w:rsidR="005306EB" w:rsidRDefault="005306EB" w:rsidP="007E4E81">
      <w:pPr>
        <w:pStyle w:val="a0"/>
        <w:rPr>
          <w:rtl/>
        </w:rPr>
      </w:pPr>
      <w:r>
        <w:rPr>
          <w:rFonts w:hint="cs"/>
          <w:rtl/>
        </w:rPr>
        <w:t xml:space="preserve">וכתב </w:t>
      </w:r>
      <w:r w:rsidRPr="00AF3E98">
        <w:rPr>
          <w:rStyle w:val="af9"/>
          <w:rFonts w:hint="cs"/>
          <w:rtl/>
        </w:rPr>
        <w:t>בחי' רבי נחום</w:t>
      </w:r>
      <w:r>
        <w:rPr>
          <w:rFonts w:hint="cs"/>
          <w:rtl/>
        </w:rPr>
        <w:t xml:space="preserve"> דלפי"ז משמע מדברי </w:t>
      </w:r>
      <w:r w:rsidRPr="006B4173">
        <w:rPr>
          <w:rStyle w:val="af9"/>
          <w:rFonts w:hint="cs"/>
          <w:rtl/>
        </w:rPr>
        <w:t xml:space="preserve">התוס' </w:t>
      </w:r>
      <w:r>
        <w:rPr>
          <w:rFonts w:hint="cs"/>
          <w:rtl/>
        </w:rPr>
        <w:t xml:space="preserve">דמיגו מהני גם כשיש רק את הראיה מדין מה לי לשקר, וא"צ את כח הטענה של הנאמנות בטענת המיגו, דהרי עכשיו ודאי שאין לו את הנאמנות לטעון מינך זבינתה, ופשיטא דל"מ המיגו, ואי בכדי שיועיל המיגו צריך גם את כח הטענה של המיגו, א"כ אמאי הוצרכו </w:t>
      </w:r>
      <w:r w:rsidRPr="009C170C">
        <w:rPr>
          <w:rStyle w:val="af9"/>
          <w:rFonts w:hint="cs"/>
          <w:rtl/>
        </w:rPr>
        <w:t>התוס'</w:t>
      </w:r>
      <w:r>
        <w:rPr>
          <w:rFonts w:hint="cs"/>
          <w:rtl/>
        </w:rPr>
        <w:t xml:space="preserve"> להוסיף דלא העלה בדעתו לטעון כן, והוסיף </w:t>
      </w:r>
      <w:r w:rsidRPr="009C170C">
        <w:rPr>
          <w:rStyle w:val="af9"/>
          <w:rFonts w:hint="cs"/>
          <w:rtl/>
        </w:rPr>
        <w:t>בחי'</w:t>
      </w:r>
      <w:r>
        <w:rPr>
          <w:rFonts w:hint="cs"/>
          <w:rtl/>
        </w:rPr>
        <w:t xml:space="preserve"> </w:t>
      </w:r>
      <w:r w:rsidRPr="009C170C">
        <w:rPr>
          <w:rStyle w:val="af9"/>
          <w:rFonts w:hint="cs"/>
          <w:rtl/>
        </w:rPr>
        <w:t>רבי</w:t>
      </w:r>
      <w:r>
        <w:rPr>
          <w:rFonts w:hint="cs"/>
          <w:rtl/>
        </w:rPr>
        <w:t xml:space="preserve"> </w:t>
      </w:r>
      <w:r w:rsidRPr="009C170C">
        <w:rPr>
          <w:rStyle w:val="af9"/>
          <w:rFonts w:hint="cs"/>
          <w:rtl/>
        </w:rPr>
        <w:t>נחום</w:t>
      </w:r>
      <w:r>
        <w:rPr>
          <w:rFonts w:hint="cs"/>
          <w:rtl/>
        </w:rPr>
        <w:t xml:space="preserve"> דכן מוכח ממה שהוכיחו </w:t>
      </w:r>
      <w:r w:rsidRPr="009C170C">
        <w:rPr>
          <w:rStyle w:val="af9"/>
          <w:rFonts w:hint="cs"/>
          <w:rtl/>
        </w:rPr>
        <w:t>התוס'</w:t>
      </w:r>
      <w:r>
        <w:rPr>
          <w:rFonts w:hint="cs"/>
          <w:rtl/>
        </w:rPr>
        <w:t xml:space="preserve"> </w:t>
      </w:r>
      <w:r w:rsidRPr="002F37A5">
        <w:rPr>
          <w:rStyle w:val="af7"/>
          <w:rFonts w:eastAsia="Guttman Hodes" w:hint="cs"/>
          <w:rtl/>
        </w:rPr>
        <w:t xml:space="preserve">(עי' אות </w:t>
      </w:r>
      <w:r w:rsidRPr="002F37A5">
        <w:rPr>
          <w:rStyle w:val="af7"/>
          <w:rFonts w:eastAsia="Guttman Hodes"/>
          <w:rtl/>
        </w:rPr>
        <w:fldChar w:fldCharType="begin"/>
      </w:r>
      <w:r w:rsidRPr="002F37A5">
        <w:rPr>
          <w:rStyle w:val="af7"/>
          <w:rFonts w:eastAsia="Guttman Hodes"/>
          <w:rtl/>
        </w:rPr>
        <w:instrText xml:space="preserve"> </w:instrText>
      </w:r>
      <w:r w:rsidRPr="002F37A5">
        <w:rPr>
          <w:rStyle w:val="af7"/>
          <w:rFonts w:eastAsia="Guttman Hodes" w:hint="cs"/>
        </w:rPr>
        <w:instrText>REF</w:instrText>
      </w:r>
      <w:r w:rsidRPr="002F37A5">
        <w:rPr>
          <w:rStyle w:val="af7"/>
          <w:rFonts w:eastAsia="Guttman Hodes" w:hint="cs"/>
          <w:rtl/>
        </w:rPr>
        <w:instrText xml:space="preserve"> _</w:instrText>
      </w:r>
      <w:r w:rsidRPr="002F37A5">
        <w:rPr>
          <w:rStyle w:val="af7"/>
          <w:rFonts w:eastAsia="Guttman Hodes" w:hint="cs"/>
        </w:rPr>
        <w:instrText>Ref61256230 \r \h</w:instrText>
      </w:r>
      <w:r w:rsidRPr="002F37A5">
        <w:rPr>
          <w:rStyle w:val="af7"/>
          <w:rFonts w:eastAsia="Guttman Hodes"/>
          <w:rtl/>
        </w:rPr>
        <w:instrText xml:space="preserve"> </w:instrText>
      </w:r>
      <w:r w:rsidRPr="002F37A5">
        <w:rPr>
          <w:rStyle w:val="af7"/>
          <w:rFonts w:eastAsia="Guttman Hodes"/>
          <w:rtl/>
        </w:rPr>
      </w:r>
      <w:r w:rsidRPr="002F37A5">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2F37A5">
        <w:rPr>
          <w:rStyle w:val="af7"/>
          <w:rFonts w:eastAsia="Guttman Hodes"/>
          <w:rtl/>
        </w:rPr>
        <w:fldChar w:fldCharType="end"/>
      </w:r>
      <w:r>
        <w:rPr>
          <w:rFonts w:hint="cs"/>
          <w:rtl/>
        </w:rPr>
        <w:t xml:space="preserve"> מהגמ' בסנהדרין דלא אמרינן מיגו למפרע, דהא במיגו דאי בעי קלתיה, ודאי שאין לה את כח הטענה דאינו כח של טענה, וכל הנאמנות היא מדין מה לי לשקר.</w:t>
      </w:r>
    </w:p>
    <w:p w:rsidR="005306EB" w:rsidRPr="00C068C4" w:rsidRDefault="005306EB" w:rsidP="005306EB">
      <w:pPr>
        <w:pStyle w:val="a3"/>
      </w:pPr>
      <w:bookmarkStart w:id="12064" w:name="_Toc61469459"/>
      <w:bookmarkStart w:id="12065" w:name="_Toc61509837"/>
      <w:r>
        <w:rPr>
          <w:rFonts w:hint="cs"/>
          <w:rtl/>
        </w:rPr>
        <w:t>דברי הגרנ"פ דמביאור התוס' בגמ' בסנהדרין משמע דלא סגי במה לי לשקר וצריך כח הטענה</w:t>
      </w:r>
      <w:bookmarkEnd w:id="12064"/>
      <w:bookmarkEnd w:id="12065"/>
    </w:p>
    <w:p w:rsidR="005306EB" w:rsidRDefault="005306EB" w:rsidP="007E4E81">
      <w:pPr>
        <w:pStyle w:val="a0"/>
        <w:rPr>
          <w:rtl/>
        </w:rPr>
      </w:pPr>
      <w:r>
        <w:rPr>
          <w:rFonts w:hint="cs"/>
          <w:rtl/>
        </w:rPr>
        <w:t xml:space="preserve">אך כתב </w:t>
      </w:r>
      <w:r w:rsidRPr="009C170C">
        <w:rPr>
          <w:rStyle w:val="af9"/>
          <w:rFonts w:hint="cs"/>
          <w:rtl/>
        </w:rPr>
        <w:t>בחי'</w:t>
      </w:r>
      <w:r>
        <w:rPr>
          <w:rFonts w:hint="cs"/>
          <w:rtl/>
        </w:rPr>
        <w:t xml:space="preserve"> </w:t>
      </w:r>
      <w:r w:rsidRPr="009C170C">
        <w:rPr>
          <w:rStyle w:val="af9"/>
          <w:rFonts w:hint="cs"/>
          <w:rtl/>
        </w:rPr>
        <w:t>רבי</w:t>
      </w:r>
      <w:r>
        <w:rPr>
          <w:rFonts w:hint="cs"/>
          <w:rtl/>
        </w:rPr>
        <w:t xml:space="preserve"> </w:t>
      </w:r>
      <w:r w:rsidRPr="009C170C">
        <w:rPr>
          <w:rStyle w:val="af9"/>
          <w:rFonts w:hint="cs"/>
          <w:rtl/>
        </w:rPr>
        <w:t>נחום</w:t>
      </w:r>
      <w:r>
        <w:rPr>
          <w:rFonts w:hint="cs"/>
          <w:rtl/>
        </w:rPr>
        <w:t xml:space="preserve"> דממה שהוסיפו </w:t>
      </w:r>
      <w:r w:rsidRPr="009C170C">
        <w:rPr>
          <w:rStyle w:val="af9"/>
          <w:rFonts w:hint="cs"/>
          <w:rtl/>
        </w:rPr>
        <w:t>התוס'</w:t>
      </w:r>
      <w:r>
        <w:rPr>
          <w:rFonts w:hint="cs"/>
          <w:rtl/>
        </w:rPr>
        <w:t xml:space="preserve"> דבגמ' בסנהדרין דאף שבתחילה היה לה מיגו, אחר שהוחזק בב"ד שראינו את השטר אינה נאמנת, משמע דלא סגי במיגו בהוכחה דמה לי לשקר, דהא ודאי דעכשיו אין לה ראיה.</w:t>
      </w:r>
    </w:p>
    <w:p w:rsidR="005306EB" w:rsidRDefault="005306EB" w:rsidP="005306EB">
      <w:pPr>
        <w:pStyle w:val="a3"/>
        <w:rPr>
          <w:rtl/>
        </w:rPr>
      </w:pPr>
      <w:bookmarkStart w:id="12066" w:name="_Toc61469460"/>
      <w:bookmarkStart w:id="12067" w:name="_Toc61509838"/>
      <w:r>
        <w:rPr>
          <w:rFonts w:hint="cs"/>
          <w:rtl/>
        </w:rPr>
        <w:t>ביאור הגרנ"פ דמספקא לתוס' אי מיגו למפרע ל"מ דאין ראיה או דאין את כח הטענה</w:t>
      </w:r>
      <w:bookmarkEnd w:id="12066"/>
      <w:bookmarkEnd w:id="12067"/>
    </w:p>
    <w:p w:rsidR="005306EB" w:rsidRDefault="005306EB" w:rsidP="007E4E81">
      <w:pPr>
        <w:pStyle w:val="a0"/>
        <w:rPr>
          <w:rtl/>
        </w:rPr>
      </w:pPr>
      <w:r>
        <w:rPr>
          <w:rFonts w:hint="cs"/>
          <w:rtl/>
        </w:rPr>
        <w:t xml:space="preserve">אלא ביאר </w:t>
      </w:r>
      <w:r w:rsidRPr="009C170C">
        <w:rPr>
          <w:rStyle w:val="af9"/>
          <w:rFonts w:hint="cs"/>
          <w:rtl/>
        </w:rPr>
        <w:t>בחי'</w:t>
      </w:r>
      <w:r>
        <w:rPr>
          <w:rFonts w:hint="cs"/>
          <w:rtl/>
        </w:rPr>
        <w:t xml:space="preserve"> </w:t>
      </w:r>
      <w:r w:rsidRPr="009C170C">
        <w:rPr>
          <w:rStyle w:val="af9"/>
          <w:rFonts w:hint="cs"/>
          <w:rtl/>
        </w:rPr>
        <w:t>רבי</w:t>
      </w:r>
      <w:r>
        <w:rPr>
          <w:rFonts w:hint="cs"/>
          <w:rtl/>
        </w:rPr>
        <w:t xml:space="preserve"> </w:t>
      </w:r>
      <w:r w:rsidRPr="009C170C">
        <w:rPr>
          <w:rStyle w:val="af9"/>
          <w:rFonts w:hint="cs"/>
          <w:rtl/>
        </w:rPr>
        <w:t>נחום</w:t>
      </w:r>
      <w:r w:rsidRPr="009C170C">
        <w:rPr>
          <w:rStyle w:val="af7"/>
          <w:rFonts w:eastAsia="Guttman Hodes" w:hint="cs"/>
          <w:rtl/>
        </w:rPr>
        <w:t xml:space="preserve"> (או' ס"ו ד"ה ונראה שמדבריהם) </w:t>
      </w:r>
      <w:r>
        <w:rPr>
          <w:rFonts w:hint="cs"/>
          <w:rtl/>
        </w:rPr>
        <w:t xml:space="preserve">דמספקא להו </w:t>
      </w:r>
      <w:r w:rsidRPr="009C170C">
        <w:rPr>
          <w:rStyle w:val="af9"/>
          <w:rFonts w:hint="cs"/>
          <w:rtl/>
        </w:rPr>
        <w:t>לתוס'</w:t>
      </w:r>
      <w:r>
        <w:rPr>
          <w:rFonts w:hint="cs"/>
          <w:rtl/>
        </w:rPr>
        <w:t xml:space="preserve"> אי מיגו למפרע לא אמרינן כיון שאין את ההוכחה דמה לו לשקר, כיון שיתכן דבתחילה לא העלה בדעתו שיצטרך לטעון כן, והוסיפו </w:t>
      </w:r>
      <w:r w:rsidRPr="009C170C">
        <w:rPr>
          <w:rStyle w:val="af9"/>
          <w:rFonts w:hint="cs"/>
          <w:rtl/>
        </w:rPr>
        <w:t>התוס'</w:t>
      </w:r>
      <w:r>
        <w:rPr>
          <w:rFonts w:hint="cs"/>
          <w:rtl/>
        </w:rPr>
        <w:t xml:space="preserve"> דלא מהני כיון שאין לו את כח הטענה של טענת המיגו, דלא נימא דכיון שהיה לו את כח הטענה של המיגו בתחילה, דנשאר לו הכח אף לאחר שבטל המיגו, ולכן כתבו </w:t>
      </w:r>
      <w:r w:rsidRPr="009C170C">
        <w:rPr>
          <w:rStyle w:val="af9"/>
          <w:rFonts w:hint="cs"/>
          <w:rtl/>
        </w:rPr>
        <w:t>התוס'</w:t>
      </w:r>
      <w:r>
        <w:rPr>
          <w:rFonts w:hint="cs"/>
          <w:rtl/>
        </w:rPr>
        <w:t xml:space="preserve"> </w:t>
      </w:r>
      <w:r w:rsidRPr="002F37A5">
        <w:rPr>
          <w:rStyle w:val="af7"/>
          <w:rFonts w:eastAsia="Guttman Hodes" w:hint="cs"/>
          <w:rtl/>
        </w:rPr>
        <w:t xml:space="preserve">(עי' אות </w:t>
      </w:r>
      <w:r w:rsidRPr="002F37A5">
        <w:rPr>
          <w:rStyle w:val="af7"/>
          <w:rFonts w:eastAsia="Guttman Hodes"/>
          <w:rtl/>
        </w:rPr>
        <w:fldChar w:fldCharType="begin"/>
      </w:r>
      <w:r w:rsidRPr="002F37A5">
        <w:rPr>
          <w:rStyle w:val="af7"/>
          <w:rFonts w:eastAsia="Guttman Hodes"/>
          <w:rtl/>
        </w:rPr>
        <w:instrText xml:space="preserve"> </w:instrText>
      </w:r>
      <w:r w:rsidRPr="002F37A5">
        <w:rPr>
          <w:rStyle w:val="af7"/>
          <w:rFonts w:eastAsia="Guttman Hodes" w:hint="cs"/>
        </w:rPr>
        <w:instrText>REF</w:instrText>
      </w:r>
      <w:r w:rsidRPr="002F37A5">
        <w:rPr>
          <w:rStyle w:val="af7"/>
          <w:rFonts w:eastAsia="Guttman Hodes" w:hint="cs"/>
          <w:rtl/>
        </w:rPr>
        <w:instrText xml:space="preserve"> _</w:instrText>
      </w:r>
      <w:r w:rsidRPr="002F37A5">
        <w:rPr>
          <w:rStyle w:val="af7"/>
          <w:rFonts w:eastAsia="Guttman Hodes" w:hint="cs"/>
        </w:rPr>
        <w:instrText>Ref61256230 \r \h</w:instrText>
      </w:r>
      <w:r w:rsidRPr="002F37A5">
        <w:rPr>
          <w:rStyle w:val="af7"/>
          <w:rFonts w:eastAsia="Guttman Hodes"/>
          <w:rtl/>
        </w:rPr>
        <w:instrText xml:space="preserve"> </w:instrText>
      </w:r>
      <w:r w:rsidRPr="002F37A5">
        <w:rPr>
          <w:rStyle w:val="af7"/>
          <w:rFonts w:eastAsia="Guttman Hodes"/>
          <w:rtl/>
        </w:rPr>
      </w:r>
      <w:r w:rsidRPr="002F37A5">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2F37A5">
        <w:rPr>
          <w:rStyle w:val="af7"/>
          <w:rFonts w:eastAsia="Guttman Hodes"/>
          <w:rtl/>
        </w:rPr>
        <w:fldChar w:fldCharType="end"/>
      </w:r>
      <w:r>
        <w:rPr>
          <w:rFonts w:hint="cs"/>
          <w:rtl/>
        </w:rPr>
        <w:t xml:space="preserve"> דאף שבתחילה היה לה מיגו, אחר שהוחזק בב"ד שראינו את השטר אינה נאמנת.</w:t>
      </w:r>
    </w:p>
    <w:p w:rsidR="005306EB" w:rsidRPr="007115BA" w:rsidRDefault="005306EB" w:rsidP="005306EB">
      <w:pPr>
        <w:pStyle w:val="1"/>
        <w:rPr>
          <w:rtl/>
        </w:rPr>
      </w:pPr>
      <w:bookmarkStart w:id="12068" w:name="_Toc61469461"/>
      <w:bookmarkStart w:id="12069" w:name="_Toc61509839"/>
      <w:r>
        <w:rPr>
          <w:rFonts w:hint="cs"/>
          <w:rtl/>
        </w:rPr>
        <w:t>ביאור הגרנ"פ דאי אמרינן מיגו למפרע הוא מדין כח הטענה</w:t>
      </w:r>
      <w:bookmarkEnd w:id="12068"/>
      <w:bookmarkEnd w:id="12069"/>
    </w:p>
    <w:p w:rsidR="005306EB" w:rsidRDefault="005306EB" w:rsidP="005306EB">
      <w:pPr>
        <w:pStyle w:val="a3"/>
        <w:rPr>
          <w:rtl/>
        </w:rPr>
      </w:pPr>
      <w:bookmarkStart w:id="12070" w:name="_Toc61469462"/>
      <w:bookmarkStart w:id="12071" w:name="_Toc61509840"/>
      <w:r>
        <w:rPr>
          <w:rFonts w:hint="cs"/>
          <w:rtl/>
        </w:rPr>
        <w:t>ביאור הגרנ"פ דלסוברים דמהני מיגו למפרע הוא אף שאין ראיה מ"מ יש את כח הטענה</w:t>
      </w:r>
      <w:bookmarkEnd w:id="12070"/>
      <w:bookmarkEnd w:id="12071"/>
    </w:p>
    <w:p w:rsidR="005306EB" w:rsidRPr="00847DAD" w:rsidRDefault="005306EB" w:rsidP="007E4E81">
      <w:pPr>
        <w:pStyle w:val="a0"/>
        <w:rPr>
          <w:rtl/>
        </w:rPr>
      </w:pPr>
      <w:r>
        <w:rPr>
          <w:rFonts w:hint="cs"/>
          <w:rtl/>
        </w:rPr>
        <w:t xml:space="preserve">וכתב </w:t>
      </w:r>
      <w:r w:rsidRPr="009C170C">
        <w:rPr>
          <w:rStyle w:val="af9"/>
          <w:rFonts w:hint="cs"/>
          <w:rtl/>
        </w:rPr>
        <w:t>בחי' רבי נחום</w:t>
      </w:r>
      <w:r>
        <w:rPr>
          <w:rFonts w:hint="cs"/>
          <w:rtl/>
        </w:rPr>
        <w:t xml:space="preserve"> דלפי"ז לדעת הסוברים דמיגו למפרע אמרינן, אפש"ל דהם מודו </w:t>
      </w:r>
      <w:r w:rsidRPr="009C170C">
        <w:rPr>
          <w:rStyle w:val="af9"/>
          <w:rFonts w:hint="cs"/>
          <w:rtl/>
        </w:rPr>
        <w:t>לתוס</w:t>
      </w:r>
      <w:r>
        <w:rPr>
          <w:rFonts w:hint="cs"/>
          <w:rtl/>
        </w:rPr>
        <w:t>' שאין שאין את ההוכחה דמה לו לשקר, כיון שיתכן דבתחילה לא העלה בדעתו שיצטרך לטעון כן, אך מ"מ ס"ל דמיגו למפרע אמרינן כיון שהיה לו את כח הטענה של המיגו בתחילה, ונשאר לו הכח אף לאחר שבטל המיגו.</w:t>
      </w:r>
    </w:p>
    <w:p w:rsidR="005306EB" w:rsidRDefault="005306EB" w:rsidP="005306EB">
      <w:pPr>
        <w:pStyle w:val="1"/>
        <w:rPr>
          <w:rtl/>
        </w:rPr>
      </w:pPr>
      <w:bookmarkStart w:id="12072" w:name="_Toc61469463"/>
      <w:bookmarkStart w:id="12073" w:name="_Toc61509841"/>
      <w:bookmarkStart w:id="12074" w:name="_Toc61200688"/>
      <w:bookmarkStart w:id="12075" w:name="_Toc61213902"/>
      <w:bookmarkStart w:id="12076" w:name="_Toc61388273"/>
      <w:bookmarkStart w:id="12077" w:name="_Toc61430934"/>
      <w:bookmarkStart w:id="12078" w:name="_Toc61433977"/>
      <w:bookmarkStart w:id="12079" w:name="_Toc61438703"/>
      <w:bookmarkStart w:id="12080" w:name="_Toc61200689"/>
      <w:bookmarkStart w:id="12081" w:name="_Toc61213903"/>
      <w:bookmarkStart w:id="12082" w:name="_Toc61388274"/>
      <w:bookmarkStart w:id="12083" w:name="_Toc61430935"/>
      <w:bookmarkStart w:id="12084" w:name="_Toc61433978"/>
      <w:bookmarkStart w:id="12085" w:name="_Toc61438704"/>
      <w:r>
        <w:rPr>
          <w:rFonts w:hint="cs"/>
          <w:rtl/>
        </w:rPr>
        <w:t>ביאור הגר"ח מטעלז דמיגו למפרע ל"מ רק במוסיף טענה חדשה</w:t>
      </w:r>
      <w:bookmarkEnd w:id="12072"/>
      <w:bookmarkEnd w:id="12073"/>
    </w:p>
    <w:p w:rsidR="005306EB" w:rsidRDefault="005306EB" w:rsidP="005306EB">
      <w:pPr>
        <w:pStyle w:val="a3"/>
      </w:pPr>
      <w:bookmarkStart w:id="12086" w:name="_Toc61469464"/>
      <w:bookmarkStart w:id="12087" w:name="_Toc61509842"/>
      <w:r>
        <w:rPr>
          <w:rFonts w:hint="cs"/>
          <w:rtl/>
        </w:rPr>
        <w:t>קושית הגר"ח מטעלז דבמפרש דבריו אי"ז מיגו למפרע ואי קמי דידי הוא טענה נאמן בלי מיגו</w:t>
      </w:r>
      <w:bookmarkEnd w:id="12086"/>
      <w:bookmarkEnd w:id="12087"/>
    </w:p>
    <w:p w:rsidR="005306EB" w:rsidRDefault="005306EB" w:rsidP="007E4E81">
      <w:pPr>
        <w:pStyle w:val="a0"/>
        <w:rPr>
          <w:rtl/>
        </w:rPr>
      </w:pPr>
      <w:bookmarkStart w:id="12088" w:name="_Ref61196567"/>
      <w:r>
        <w:rPr>
          <w:rFonts w:hint="cs"/>
          <w:rtl/>
        </w:rPr>
        <w:t xml:space="preserve">במ"ש </w:t>
      </w:r>
      <w:r w:rsidRPr="00F729BB">
        <w:rPr>
          <w:rStyle w:val="af9"/>
          <w:rFonts w:hint="cs"/>
          <w:rtl/>
        </w:rPr>
        <w:t>הנתיה"מ</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Ref61459535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Pr>
          <w:rStyle w:val="af7"/>
          <w:rFonts w:eastAsia="Guttman Hodes"/>
          <w:rtl/>
        </w:rPr>
        <w:fldChar w:fldCharType="end"/>
      </w:r>
      <w:r>
        <w:rPr>
          <w:rStyle w:val="af7"/>
          <w:rFonts w:eastAsia="Guttman Hodes" w:hint="cs"/>
          <w:rtl/>
        </w:rPr>
        <w:t xml:space="preserve"> </w:t>
      </w:r>
      <w:r>
        <w:rPr>
          <w:rFonts w:hint="cs"/>
          <w:rtl/>
        </w:rPr>
        <w:t xml:space="preserve">דכל שהטענה שטוען המחזיק אינה מכח עצמו אלא מכח המוכר, לא חשיבא טענה, ולא מהני מדין חזקה עם טענה, ונאמן רק מדין מיגו, הקשה </w:t>
      </w:r>
      <w:r w:rsidRPr="00F729BB">
        <w:rPr>
          <w:rStyle w:val="af9"/>
          <w:rFonts w:hint="cs"/>
          <w:rtl/>
        </w:rPr>
        <w:t>בחי'</w:t>
      </w:r>
      <w:r>
        <w:rPr>
          <w:rFonts w:hint="cs"/>
          <w:rtl/>
        </w:rPr>
        <w:t xml:space="preserve"> </w:t>
      </w:r>
      <w:r w:rsidRPr="00F729BB">
        <w:rPr>
          <w:rStyle w:val="af9"/>
          <w:rFonts w:hint="cs"/>
          <w:rtl/>
        </w:rPr>
        <w:t>הגר"ח</w:t>
      </w:r>
      <w:r>
        <w:rPr>
          <w:rFonts w:hint="cs"/>
          <w:rtl/>
        </w:rPr>
        <w:t xml:space="preserve"> </w:t>
      </w:r>
      <w:r w:rsidRPr="00F729BB">
        <w:rPr>
          <w:rStyle w:val="af9"/>
          <w:rFonts w:hint="cs"/>
          <w:rtl/>
        </w:rPr>
        <w:t>מטעלז</w:t>
      </w:r>
      <w:r w:rsidRPr="000C0F58">
        <w:rPr>
          <w:rStyle w:val="af7"/>
          <w:rFonts w:eastAsia="Guttman Hodes" w:hint="cs"/>
          <w:rtl/>
        </w:rPr>
        <w:t xml:space="preserve"> (סי' י"ב ד"ה ולפי דברי) </w:t>
      </w:r>
      <w:r>
        <w:rPr>
          <w:rFonts w:hint="cs"/>
          <w:rtl/>
        </w:rPr>
        <w:t xml:space="preserve">דא"כ אמאי ס"ל </w:t>
      </w:r>
      <w:r>
        <w:rPr>
          <w:rStyle w:val="af9"/>
          <w:rFonts w:hint="cs"/>
          <w:rtl/>
        </w:rPr>
        <w:t>ל</w:t>
      </w:r>
      <w:r w:rsidRPr="00F729BB">
        <w:rPr>
          <w:rStyle w:val="af9"/>
          <w:rFonts w:hint="cs"/>
          <w:rtl/>
        </w:rPr>
        <w:t>תוס'</w:t>
      </w:r>
      <w:r>
        <w:rPr>
          <w:rFonts w:hint="cs"/>
          <w:rtl/>
        </w:rPr>
        <w:t xml:space="preserve"> </w:t>
      </w:r>
      <w:r w:rsidRPr="00F5482C">
        <w:rPr>
          <w:rStyle w:val="af7"/>
          <w:rFonts w:eastAsia="Guttman Hodes" w:hint="cs"/>
          <w:rtl/>
        </w:rPr>
        <w:t xml:space="preserve">(עי' אות </w:t>
      </w:r>
      <w:r w:rsidRPr="00F5482C">
        <w:rPr>
          <w:rStyle w:val="af7"/>
          <w:rFonts w:eastAsia="Guttman Hodes"/>
          <w:rtl/>
        </w:rPr>
        <w:fldChar w:fldCharType="begin"/>
      </w:r>
      <w:r w:rsidRPr="00F5482C">
        <w:rPr>
          <w:rStyle w:val="af7"/>
          <w:rFonts w:eastAsia="Guttman Hodes"/>
          <w:rtl/>
        </w:rPr>
        <w:instrText xml:space="preserve"> </w:instrText>
      </w:r>
      <w:r w:rsidRPr="00F5482C">
        <w:rPr>
          <w:rStyle w:val="af7"/>
          <w:rFonts w:eastAsia="Guttman Hodes" w:hint="cs"/>
        </w:rPr>
        <w:instrText>REF</w:instrText>
      </w:r>
      <w:r w:rsidRPr="00F5482C">
        <w:rPr>
          <w:rStyle w:val="af7"/>
          <w:rFonts w:eastAsia="Guttman Hodes" w:hint="cs"/>
          <w:rtl/>
        </w:rPr>
        <w:instrText xml:space="preserve"> _</w:instrText>
      </w:r>
      <w:r w:rsidRPr="00F5482C">
        <w:rPr>
          <w:rStyle w:val="af7"/>
          <w:rFonts w:eastAsia="Guttman Hodes" w:hint="cs"/>
        </w:rPr>
        <w:instrText>Ref61196522 \r \h</w:instrText>
      </w:r>
      <w:r w:rsidRPr="00F5482C">
        <w:rPr>
          <w:rStyle w:val="af7"/>
          <w:rFonts w:eastAsia="Guttman Hodes"/>
          <w:rtl/>
        </w:rPr>
        <w:instrText xml:space="preserve"> </w:instrText>
      </w:r>
      <w:r w:rsidRPr="00F5482C">
        <w:rPr>
          <w:rStyle w:val="af7"/>
          <w:rFonts w:eastAsia="Guttman Hodes"/>
          <w:rtl/>
        </w:rPr>
      </w:r>
      <w:r w:rsidRPr="00F5482C">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F5482C">
        <w:rPr>
          <w:rStyle w:val="af7"/>
          <w:rFonts w:eastAsia="Guttman Hodes"/>
          <w:rtl/>
        </w:rPr>
        <w:fldChar w:fldCharType="end"/>
      </w:r>
      <w:r>
        <w:rPr>
          <w:rFonts w:hint="cs"/>
          <w:rtl/>
        </w:rPr>
        <w:t xml:space="preserve"> דמיגו למפרע לא אמרינן, והא אם הטענה שבא לטעון עכשיו דקמי דידי זבנה מינך, כוונתו לפרש את טענתו שטען בתחילה, א"כ אי"ז מיגו למפרע, כדמוכח בגמ' לקמן </w:t>
      </w:r>
      <w:r w:rsidRPr="000C0F58">
        <w:rPr>
          <w:rStyle w:val="af7"/>
          <w:rFonts w:eastAsia="Guttman Hodes" w:hint="cs"/>
          <w:rtl/>
        </w:rPr>
        <w:t>(לא.)</w:t>
      </w:r>
      <w:r>
        <w:rPr>
          <w:rFonts w:hint="cs"/>
          <w:rtl/>
        </w:rPr>
        <w:t>, [עיי"ש במה שהוכיח כן</w:t>
      </w:r>
      <w:r w:rsidRPr="00DF0F2D">
        <w:rPr>
          <w:rStyle w:val="af9"/>
          <w:rFonts w:hint="cs"/>
          <w:rtl/>
        </w:rPr>
        <w:t xml:space="preserve"> </w:t>
      </w:r>
      <w:r w:rsidRPr="00F729BB">
        <w:rPr>
          <w:rStyle w:val="af9"/>
          <w:rFonts w:hint="cs"/>
          <w:rtl/>
        </w:rPr>
        <w:t>בחי'</w:t>
      </w:r>
      <w:r>
        <w:rPr>
          <w:rFonts w:hint="cs"/>
          <w:rtl/>
        </w:rPr>
        <w:t xml:space="preserve"> </w:t>
      </w:r>
      <w:r w:rsidRPr="00F729BB">
        <w:rPr>
          <w:rStyle w:val="af9"/>
          <w:rFonts w:hint="cs"/>
          <w:rtl/>
        </w:rPr>
        <w:t>הגר"ח</w:t>
      </w:r>
      <w:r>
        <w:rPr>
          <w:rFonts w:hint="cs"/>
          <w:rtl/>
        </w:rPr>
        <w:t xml:space="preserve"> </w:t>
      </w:r>
      <w:r w:rsidRPr="00F729BB">
        <w:rPr>
          <w:rStyle w:val="af9"/>
          <w:rFonts w:hint="cs"/>
          <w:rtl/>
        </w:rPr>
        <w:t>מטעלז</w:t>
      </w:r>
      <w:r>
        <w:rPr>
          <w:rFonts w:hint="cs"/>
          <w:rtl/>
        </w:rPr>
        <w:t xml:space="preserve"> </w:t>
      </w:r>
      <w:r w:rsidRPr="000C0F58">
        <w:rPr>
          <w:rStyle w:val="af7"/>
          <w:rFonts w:eastAsia="Guttman Hodes" w:hint="cs"/>
          <w:rtl/>
        </w:rPr>
        <w:t>(סי' י"ב ד"ה ועיין)</w:t>
      </w:r>
      <w:r>
        <w:rPr>
          <w:rFonts w:hint="cs"/>
          <w:rtl/>
        </w:rPr>
        <w:t xml:space="preserve">], ואי היא טענה בפנ"ע, </w:t>
      </w:r>
      <w:r w:rsidRPr="00DC5CD9">
        <w:rPr>
          <w:rStyle w:val="afb"/>
          <w:rFonts w:hint="cs"/>
          <w:rtl/>
        </w:rPr>
        <w:t xml:space="preserve">[כדעת </w:t>
      </w:r>
      <w:r w:rsidRPr="00DC5CD9">
        <w:rPr>
          <w:rStyle w:val="affa"/>
          <w:rFonts w:hint="cs"/>
          <w:rtl/>
        </w:rPr>
        <w:t>הקצוה"ח והגרעק"א</w:t>
      </w:r>
      <w:r w:rsidRPr="00DC5CD9">
        <w:rPr>
          <w:rStyle w:val="afb"/>
          <w:rFonts w:hint="cs"/>
          <w:rtl/>
        </w:rPr>
        <w:t xml:space="preserve"> </w:t>
      </w:r>
      <w:r w:rsidRPr="00DC5CD9">
        <w:rPr>
          <w:rStyle w:val="aff6"/>
          <w:rFonts w:hint="cs"/>
          <w:rtl/>
        </w:rPr>
        <w:t xml:space="preserve">(עי' אות </w:t>
      </w:r>
      <w:r w:rsidRPr="00DC5CD9">
        <w:rPr>
          <w:rStyle w:val="aff6"/>
          <w:rtl/>
        </w:rPr>
        <w:fldChar w:fldCharType="begin"/>
      </w:r>
      <w:r w:rsidRPr="00DC5CD9">
        <w:rPr>
          <w:rStyle w:val="aff6"/>
          <w:rtl/>
        </w:rPr>
        <w:instrText xml:space="preserve"> </w:instrText>
      </w:r>
      <w:r w:rsidRPr="00DC5CD9">
        <w:rPr>
          <w:rStyle w:val="aff6"/>
          <w:rFonts w:hint="cs"/>
        </w:rPr>
        <w:instrText>REF</w:instrText>
      </w:r>
      <w:r w:rsidRPr="00DC5CD9">
        <w:rPr>
          <w:rStyle w:val="aff6"/>
          <w:rFonts w:hint="cs"/>
          <w:rtl/>
        </w:rPr>
        <w:instrText xml:space="preserve"> _</w:instrText>
      </w:r>
      <w:r w:rsidRPr="00DC5CD9">
        <w:rPr>
          <w:rStyle w:val="aff6"/>
          <w:rFonts w:hint="cs"/>
        </w:rPr>
        <w:instrText>Ref61429553 \r \h</w:instrText>
      </w:r>
      <w:r w:rsidRPr="00DC5CD9">
        <w:rPr>
          <w:rStyle w:val="aff6"/>
          <w:rtl/>
        </w:rPr>
        <w:instrText xml:space="preserve"> </w:instrText>
      </w:r>
      <w:r w:rsidRPr="00DC5CD9">
        <w:rPr>
          <w:rStyle w:val="aff6"/>
          <w:rtl/>
        </w:rPr>
      </w:r>
      <w:r w:rsidRPr="00DC5CD9">
        <w:rPr>
          <w:rStyle w:val="aff6"/>
          <w:rtl/>
        </w:rPr>
        <w:fldChar w:fldCharType="separate"/>
      </w:r>
      <w:r w:rsidR="00265073">
        <w:rPr>
          <w:rStyle w:val="aff6"/>
          <w:cs/>
        </w:rPr>
        <w:t>‎</w:t>
      </w:r>
      <w:r w:rsidR="00265073">
        <w:rPr>
          <w:rStyle w:val="aff6"/>
          <w:rtl/>
        </w:rPr>
        <w:t>כה)</w:t>
      </w:r>
      <w:r w:rsidRPr="00DC5CD9">
        <w:rPr>
          <w:rStyle w:val="aff6"/>
          <w:rtl/>
        </w:rPr>
        <w:fldChar w:fldCharType="end"/>
      </w:r>
      <w:r w:rsidRPr="00DC5CD9">
        <w:rPr>
          <w:rStyle w:val="afb"/>
          <w:rFonts w:hint="cs"/>
          <w:rtl/>
        </w:rPr>
        <w:t>],</w:t>
      </w:r>
      <w:r>
        <w:rPr>
          <w:rFonts w:hint="cs"/>
          <w:rtl/>
        </w:rPr>
        <w:t xml:space="preserve"> א"כ אף אי אמרינן מיגו למפרע, מ"מ אינו יכול לחזור מטענתו הראשונה אף ששיש לו מיגו. [עיי"ש במה שהוכיח כן</w:t>
      </w:r>
      <w:r w:rsidRPr="00DF0F2D">
        <w:rPr>
          <w:rStyle w:val="af9"/>
          <w:rFonts w:hint="cs"/>
          <w:rtl/>
        </w:rPr>
        <w:t xml:space="preserve"> </w:t>
      </w:r>
      <w:r w:rsidRPr="00F729BB">
        <w:rPr>
          <w:rStyle w:val="af9"/>
          <w:rFonts w:hint="cs"/>
          <w:rtl/>
        </w:rPr>
        <w:t>בחי'</w:t>
      </w:r>
      <w:r>
        <w:rPr>
          <w:rFonts w:hint="cs"/>
          <w:rtl/>
        </w:rPr>
        <w:t xml:space="preserve"> </w:t>
      </w:r>
      <w:r w:rsidRPr="00F729BB">
        <w:rPr>
          <w:rStyle w:val="af9"/>
          <w:rFonts w:hint="cs"/>
          <w:rtl/>
        </w:rPr>
        <w:t>הגר"ח</w:t>
      </w:r>
      <w:r>
        <w:rPr>
          <w:rFonts w:hint="cs"/>
          <w:rtl/>
        </w:rPr>
        <w:t xml:space="preserve"> </w:t>
      </w:r>
      <w:r w:rsidRPr="00F729BB">
        <w:rPr>
          <w:rStyle w:val="af9"/>
          <w:rFonts w:hint="cs"/>
          <w:rtl/>
        </w:rPr>
        <w:t>מטעלז</w:t>
      </w:r>
      <w:r w:rsidRPr="000C0F58">
        <w:rPr>
          <w:rStyle w:val="af7"/>
          <w:rFonts w:eastAsia="Guttman Hodes" w:hint="cs"/>
          <w:rtl/>
        </w:rPr>
        <w:t xml:space="preserve"> (סי' י"א ד"ה אמנם בחו"מ)</w:t>
      </w:r>
      <w:r>
        <w:rPr>
          <w:rFonts w:hint="cs"/>
          <w:rtl/>
        </w:rPr>
        <w:t>].</w:t>
      </w:r>
      <w:bookmarkEnd w:id="12088"/>
    </w:p>
    <w:p w:rsidR="005306EB" w:rsidRDefault="005306EB" w:rsidP="005306EB">
      <w:pPr>
        <w:pStyle w:val="a3"/>
      </w:pPr>
      <w:bookmarkStart w:id="12089" w:name="_Toc61469465"/>
      <w:bookmarkStart w:id="12090" w:name="_Toc61509843"/>
      <w:r>
        <w:rPr>
          <w:rFonts w:hint="cs"/>
          <w:rtl/>
        </w:rPr>
        <w:t>ביאור הגר"ח מטעלז דבטוען עכשיו קמי דידי מוסיף על טענתו ולא מפרש ולכן ל"מ מיגו למפרע</w:t>
      </w:r>
      <w:bookmarkEnd w:id="12089"/>
      <w:bookmarkEnd w:id="12090"/>
    </w:p>
    <w:p w:rsidR="005306EB" w:rsidRDefault="005306EB" w:rsidP="007E4E81">
      <w:pPr>
        <w:pStyle w:val="a0"/>
        <w:rPr>
          <w:rtl/>
        </w:rPr>
      </w:pPr>
      <w:r>
        <w:rPr>
          <w:rFonts w:hint="cs"/>
          <w:rtl/>
        </w:rPr>
        <w:t xml:space="preserve">וביאר </w:t>
      </w:r>
      <w:r w:rsidRPr="00F729BB">
        <w:rPr>
          <w:rStyle w:val="af9"/>
          <w:rFonts w:hint="cs"/>
          <w:rtl/>
        </w:rPr>
        <w:t>בחי'</w:t>
      </w:r>
      <w:r>
        <w:rPr>
          <w:rFonts w:hint="cs"/>
          <w:rtl/>
        </w:rPr>
        <w:t xml:space="preserve"> </w:t>
      </w:r>
      <w:r w:rsidRPr="00F729BB">
        <w:rPr>
          <w:rStyle w:val="af9"/>
          <w:rFonts w:hint="cs"/>
          <w:rtl/>
        </w:rPr>
        <w:t>הגר"ח</w:t>
      </w:r>
      <w:r>
        <w:rPr>
          <w:rFonts w:hint="cs"/>
          <w:rtl/>
        </w:rPr>
        <w:t xml:space="preserve"> </w:t>
      </w:r>
      <w:r w:rsidRPr="00F729BB">
        <w:rPr>
          <w:rStyle w:val="af9"/>
          <w:rFonts w:hint="cs"/>
          <w:rtl/>
        </w:rPr>
        <w:t>מטעלז</w:t>
      </w:r>
      <w:r>
        <w:rPr>
          <w:rFonts w:hint="cs"/>
          <w:rtl/>
        </w:rPr>
        <w:t xml:space="preserve"> </w:t>
      </w:r>
      <w:r w:rsidRPr="000C0F58">
        <w:rPr>
          <w:rStyle w:val="af7"/>
          <w:rFonts w:eastAsia="Guttman Hodes" w:hint="cs"/>
          <w:rtl/>
        </w:rPr>
        <w:t>(סי' י"ב ד"ה ונראה)</w:t>
      </w:r>
      <w:r>
        <w:rPr>
          <w:rFonts w:hint="cs"/>
          <w:rtl/>
        </w:rPr>
        <w:t xml:space="preserve"> דבאופן שאמר בתחילה שקנה מהמוכר שקנה מהמערער, ועכשיו הוא טוען קמי דידי זבנה מינך, אי"ז טענה חדשה שסותרת את טענתו הראשונה, אך גם א"א לומר שהוא מפרש את טענתו הראשונה, אלא כתב </w:t>
      </w:r>
      <w:r w:rsidRPr="00F729BB">
        <w:rPr>
          <w:rStyle w:val="af9"/>
          <w:rFonts w:hint="cs"/>
          <w:rtl/>
        </w:rPr>
        <w:t>הגר"ח</w:t>
      </w:r>
      <w:r>
        <w:rPr>
          <w:rFonts w:hint="cs"/>
          <w:rtl/>
        </w:rPr>
        <w:t xml:space="preserve"> </w:t>
      </w:r>
      <w:r w:rsidRPr="00F729BB">
        <w:rPr>
          <w:rStyle w:val="af9"/>
          <w:rFonts w:hint="cs"/>
          <w:rtl/>
        </w:rPr>
        <w:t>מטעלז</w:t>
      </w:r>
      <w:r>
        <w:rPr>
          <w:rFonts w:hint="cs"/>
          <w:rtl/>
        </w:rPr>
        <w:t xml:space="preserve"> דהוא מוסיף טענה נוספת שאינה סותרת לדבריו ואינה מפרשת אותם, ולכן כל הנאמנות שלו בטענה זו, היא רק מכח מיגו, ולכן כתבו </w:t>
      </w:r>
      <w:r w:rsidRPr="004E057B">
        <w:rPr>
          <w:rStyle w:val="af9"/>
          <w:rFonts w:hint="cs"/>
          <w:rtl/>
        </w:rPr>
        <w:t xml:space="preserve">התוס' </w:t>
      </w:r>
      <w:r>
        <w:rPr>
          <w:rFonts w:hint="cs"/>
          <w:rtl/>
        </w:rPr>
        <w:t>דכשאין לו עכשיו מיגו, אינו נאמן במיגו שהיה לו בתחילה, דמיגו למפרע לא אמרינן.</w:t>
      </w:r>
    </w:p>
    <w:p w:rsidR="005306EB" w:rsidRPr="00ED62F6" w:rsidRDefault="005306EB" w:rsidP="005306EB">
      <w:pPr>
        <w:pStyle w:val="afe"/>
        <w:rPr>
          <w:rtl/>
        </w:rPr>
      </w:pPr>
      <w:bookmarkStart w:id="12091" w:name="_Toc61469466"/>
      <w:bookmarkStart w:id="12092" w:name="_Toc61509844"/>
      <w:r>
        <w:rPr>
          <w:rFonts w:hint="cs"/>
          <w:rtl/>
        </w:rPr>
        <w:t>בפלוגתת תוס' והרא"ש במפרש דבריו</w:t>
      </w:r>
      <w:bookmarkEnd w:id="12091"/>
      <w:bookmarkEnd w:id="12092"/>
    </w:p>
    <w:p w:rsidR="005306EB" w:rsidRDefault="005306EB" w:rsidP="005306EB">
      <w:pPr>
        <w:pStyle w:val="1"/>
        <w:rPr>
          <w:rtl/>
        </w:rPr>
      </w:pPr>
      <w:bookmarkStart w:id="12093" w:name="_Toc61469467"/>
      <w:bookmarkStart w:id="12094" w:name="_Toc61509845"/>
      <w:r>
        <w:rPr>
          <w:rFonts w:hint="cs"/>
          <w:rtl/>
        </w:rPr>
        <w:t>ביאור הגרנ"פ דנח' התוס' והרא"ש</w:t>
      </w:r>
      <w:bookmarkEnd w:id="12074"/>
      <w:bookmarkEnd w:id="12075"/>
      <w:bookmarkEnd w:id="12076"/>
      <w:bookmarkEnd w:id="12077"/>
      <w:bookmarkEnd w:id="12078"/>
      <w:bookmarkEnd w:id="12079"/>
      <w:r>
        <w:rPr>
          <w:rFonts w:hint="cs"/>
          <w:rtl/>
        </w:rPr>
        <w:t xml:space="preserve"> בדין חוזר וטוען ולא במיגו</w:t>
      </w:r>
      <w:bookmarkEnd w:id="12093"/>
      <w:bookmarkEnd w:id="12094"/>
    </w:p>
    <w:p w:rsidR="005306EB" w:rsidRPr="009B2D9E" w:rsidRDefault="005306EB" w:rsidP="005306EB">
      <w:pPr>
        <w:pStyle w:val="a3"/>
        <w:rPr>
          <w:rtl/>
        </w:rPr>
      </w:pPr>
      <w:bookmarkStart w:id="12095" w:name="_Toc61469468"/>
      <w:bookmarkStart w:id="12096" w:name="_Toc61509846"/>
      <w:r>
        <w:rPr>
          <w:rFonts w:hint="cs"/>
          <w:rtl/>
        </w:rPr>
        <w:t>ביאור הגרנ"פ דפלוגתת התוס' והרא"ש אי נאמן לפרש דבריו הוא בדין חוזר וטוען ולא במיגו</w:t>
      </w:r>
      <w:bookmarkEnd w:id="12095"/>
      <w:bookmarkEnd w:id="12096"/>
    </w:p>
    <w:p w:rsidR="005306EB" w:rsidRDefault="005306EB" w:rsidP="007E4E81">
      <w:pPr>
        <w:pStyle w:val="a0"/>
        <w:rPr>
          <w:rtl/>
        </w:rPr>
      </w:pPr>
      <w:bookmarkStart w:id="12097" w:name="_Ref61458676"/>
      <w:r>
        <w:rPr>
          <w:rFonts w:hint="cs"/>
          <w:rtl/>
        </w:rPr>
        <w:t xml:space="preserve">במה שביארו </w:t>
      </w:r>
      <w:r w:rsidRPr="009C170C">
        <w:rPr>
          <w:rStyle w:val="af9"/>
          <w:rFonts w:hint="cs"/>
          <w:rtl/>
        </w:rPr>
        <w:t>הסמ"ע</w:t>
      </w:r>
      <w:r w:rsidRPr="00471ADE">
        <w:rPr>
          <w:rStyle w:val="af7"/>
          <w:rFonts w:eastAsia="Guttman Hodes" w:hint="cs"/>
          <w:rtl/>
        </w:rPr>
        <w:t xml:space="preserve"> (עי' אות </w:t>
      </w:r>
      <w:r w:rsidRPr="00471ADE">
        <w:rPr>
          <w:rStyle w:val="af7"/>
          <w:rFonts w:eastAsia="Guttman Hodes"/>
          <w:rtl/>
        </w:rPr>
        <w:fldChar w:fldCharType="begin"/>
      </w:r>
      <w:r w:rsidRPr="00471ADE">
        <w:rPr>
          <w:rStyle w:val="af7"/>
          <w:rFonts w:eastAsia="Guttman Hodes"/>
          <w:rtl/>
        </w:rPr>
        <w:instrText xml:space="preserve"> </w:instrText>
      </w:r>
      <w:r w:rsidRPr="00471ADE">
        <w:rPr>
          <w:rStyle w:val="af7"/>
          <w:rFonts w:eastAsia="Guttman Hodes" w:hint="cs"/>
        </w:rPr>
        <w:instrText>REF</w:instrText>
      </w:r>
      <w:r w:rsidRPr="00471ADE">
        <w:rPr>
          <w:rStyle w:val="af7"/>
          <w:rFonts w:eastAsia="Guttman Hodes" w:hint="cs"/>
          <w:rtl/>
        </w:rPr>
        <w:instrText xml:space="preserve"> _</w:instrText>
      </w:r>
      <w:r w:rsidRPr="00471ADE">
        <w:rPr>
          <w:rStyle w:val="af7"/>
          <w:rFonts w:eastAsia="Guttman Hodes" w:hint="cs"/>
        </w:rPr>
        <w:instrText>Ref60937281 \r \h</w:instrText>
      </w:r>
      <w:r w:rsidRPr="00471ADE">
        <w:rPr>
          <w:rStyle w:val="af7"/>
          <w:rFonts w:eastAsia="Guttman Hodes"/>
          <w:rtl/>
        </w:rPr>
        <w:instrText xml:space="preserve">  \* </w:instrText>
      </w:r>
      <w:r w:rsidRPr="00471ADE">
        <w:rPr>
          <w:rStyle w:val="af7"/>
          <w:rFonts w:eastAsia="Guttman Hodes"/>
        </w:rPr>
        <w:instrText>MERGEFORMAT</w:instrText>
      </w:r>
      <w:r w:rsidRPr="00471ADE">
        <w:rPr>
          <w:rStyle w:val="af7"/>
          <w:rFonts w:eastAsia="Guttman Hodes"/>
          <w:rtl/>
        </w:rPr>
        <w:instrText xml:space="preserve"> </w:instrText>
      </w:r>
      <w:r w:rsidRPr="00471ADE">
        <w:rPr>
          <w:rStyle w:val="af7"/>
          <w:rFonts w:eastAsia="Guttman Hodes"/>
          <w:rtl/>
        </w:rPr>
      </w:r>
      <w:r w:rsidRPr="00471ADE">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471ADE">
        <w:rPr>
          <w:rStyle w:val="af7"/>
          <w:rFonts w:eastAsia="Guttman Hodes"/>
          <w:rtl/>
        </w:rPr>
        <w:fldChar w:fldCharType="end"/>
      </w:r>
      <w:r w:rsidRPr="00471ADE">
        <w:rPr>
          <w:rStyle w:val="af7"/>
          <w:rFonts w:eastAsia="Guttman Hodes" w:hint="cs"/>
          <w:rtl/>
        </w:rPr>
        <w:t xml:space="preserve"> </w:t>
      </w:r>
      <w:r w:rsidRPr="009C170C">
        <w:rPr>
          <w:rStyle w:val="af9"/>
          <w:rFonts w:hint="cs"/>
          <w:rtl/>
        </w:rPr>
        <w:t>והגרעק"א</w:t>
      </w:r>
      <w:r w:rsidRPr="00471ADE">
        <w:rPr>
          <w:rStyle w:val="af7"/>
          <w:rFonts w:eastAsia="Guttman Hodes" w:hint="cs"/>
          <w:rtl/>
        </w:rPr>
        <w:t xml:space="preserve"> </w:t>
      </w:r>
      <w:r w:rsidRPr="00471ADE">
        <w:rPr>
          <w:rStyle w:val="af7"/>
          <w:rFonts w:eastAsia="Guttman Rashi" w:hint="cs"/>
          <w:rtl/>
        </w:rPr>
        <w:t xml:space="preserve">(עי' אות </w:t>
      </w:r>
      <w:r w:rsidRPr="00471ADE">
        <w:rPr>
          <w:rStyle w:val="af7"/>
          <w:rFonts w:eastAsia="Guttman Rashi"/>
          <w:rtl/>
        </w:rPr>
        <w:fldChar w:fldCharType="begin"/>
      </w:r>
      <w:r w:rsidRPr="00471ADE">
        <w:rPr>
          <w:rStyle w:val="af7"/>
          <w:rFonts w:eastAsia="Guttman Rashi"/>
          <w:rtl/>
        </w:rPr>
        <w:instrText xml:space="preserve"> </w:instrText>
      </w:r>
      <w:r w:rsidRPr="00471ADE">
        <w:rPr>
          <w:rStyle w:val="af7"/>
          <w:rFonts w:eastAsia="Guttman Rashi" w:hint="cs"/>
        </w:rPr>
        <w:instrText>REF</w:instrText>
      </w:r>
      <w:r w:rsidRPr="00471ADE">
        <w:rPr>
          <w:rStyle w:val="af7"/>
          <w:rFonts w:eastAsia="Guttman Rashi" w:hint="cs"/>
          <w:rtl/>
        </w:rPr>
        <w:instrText xml:space="preserve"> _</w:instrText>
      </w:r>
      <w:r w:rsidRPr="00471ADE">
        <w:rPr>
          <w:rStyle w:val="af7"/>
          <w:rFonts w:eastAsia="Guttman Rashi" w:hint="cs"/>
        </w:rPr>
        <w:instrText>Ref61345490 \r \h</w:instrText>
      </w:r>
      <w:r w:rsidRPr="00471ADE">
        <w:rPr>
          <w:rStyle w:val="af7"/>
          <w:rFonts w:eastAsia="Guttman Rashi"/>
          <w:rtl/>
        </w:rPr>
        <w:instrText xml:space="preserve"> </w:instrText>
      </w:r>
      <w:r w:rsidRPr="00471ADE">
        <w:rPr>
          <w:rStyle w:val="af7"/>
          <w:rFonts w:eastAsia="Guttman Rashi"/>
          <w:rtl/>
        </w:rPr>
      </w:r>
      <w:r w:rsidRPr="00471ADE">
        <w:rPr>
          <w:rStyle w:val="af7"/>
          <w:rFonts w:eastAsia="Guttman Rashi"/>
          <w:rtl/>
        </w:rPr>
        <w:fldChar w:fldCharType="separate"/>
      </w:r>
      <w:r w:rsidR="00265073">
        <w:rPr>
          <w:rStyle w:val="af7"/>
          <w:rFonts w:eastAsia="Guttman Rashi"/>
          <w:cs/>
        </w:rPr>
        <w:t>‎</w:t>
      </w:r>
      <w:r w:rsidR="00265073">
        <w:rPr>
          <w:rStyle w:val="af7"/>
          <w:rFonts w:eastAsia="Guttman Rashi"/>
          <w:rtl/>
        </w:rPr>
        <w:t>לו)</w:t>
      </w:r>
      <w:r w:rsidRPr="00471ADE">
        <w:rPr>
          <w:rStyle w:val="af7"/>
          <w:rFonts w:eastAsia="Guttman Rashi"/>
          <w:rtl/>
        </w:rPr>
        <w:fldChar w:fldCharType="end"/>
      </w:r>
      <w:r w:rsidRPr="00471ADE">
        <w:rPr>
          <w:rStyle w:val="af7"/>
          <w:rFonts w:eastAsia="Guttman Hodes" w:hint="cs"/>
          <w:rtl/>
        </w:rPr>
        <w:t xml:space="preserve"> </w:t>
      </w:r>
      <w:r>
        <w:rPr>
          <w:rFonts w:hint="cs"/>
          <w:rtl/>
        </w:rPr>
        <w:t xml:space="preserve">דנחלקו </w:t>
      </w:r>
      <w:r w:rsidRPr="006D4684">
        <w:rPr>
          <w:rStyle w:val="af9"/>
          <w:rFonts w:hint="cs"/>
          <w:rtl/>
        </w:rPr>
        <w:t>התוס'</w:t>
      </w:r>
      <w:r>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Ref61253162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ב</w:t>
      </w:r>
      <w:r w:rsidR="00265073">
        <w:rPr>
          <w:rStyle w:val="af7"/>
          <w:rFonts w:eastAsia="Guttman Hodes"/>
          <w:rtl/>
        </w:rPr>
        <w:t>)</w:t>
      </w:r>
      <w:r>
        <w:rPr>
          <w:rStyle w:val="af7"/>
          <w:rFonts w:eastAsia="Guttman Hodes" w:hint="cs"/>
          <w:rtl/>
        </w:rPr>
        <w:fldChar w:fldCharType="end"/>
      </w:r>
      <w:r>
        <w:rPr>
          <w:rtl/>
        </w:rPr>
        <w:t xml:space="preserve"> </w:t>
      </w:r>
      <w:r w:rsidRPr="006D4684">
        <w:rPr>
          <w:rStyle w:val="af9"/>
          <w:rFonts w:hint="cs"/>
          <w:rtl/>
        </w:rPr>
        <w:t>והר</w:t>
      </w:r>
      <w:r w:rsidRPr="009C170C">
        <w:rPr>
          <w:rStyle w:val="af9"/>
          <w:rFonts w:hint="cs"/>
          <w:rtl/>
        </w:rPr>
        <w:t>א"ש</w:t>
      </w:r>
      <w:r>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Ref61008990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טו</w:t>
      </w:r>
      <w:r w:rsidR="00265073">
        <w:rPr>
          <w:rStyle w:val="af7"/>
          <w:rFonts w:eastAsia="Guttman Hodes"/>
          <w:rtl/>
        </w:rPr>
        <w:t>)</w:t>
      </w:r>
      <w:r>
        <w:rPr>
          <w:rStyle w:val="af7"/>
          <w:rFonts w:eastAsia="Guttman Hodes" w:hint="cs"/>
          <w:rtl/>
        </w:rPr>
        <w:fldChar w:fldCharType="end"/>
      </w:r>
      <w:r>
        <w:rPr>
          <w:rFonts w:hint="cs"/>
          <w:rtl/>
        </w:rPr>
        <w:t xml:space="preserve"> באופן שאמר בתחילה שקנה מהמוכר שקנה מהמערער, דלדעת </w:t>
      </w:r>
      <w:r w:rsidRPr="006D4684">
        <w:rPr>
          <w:rStyle w:val="af9"/>
          <w:rFonts w:hint="cs"/>
          <w:rtl/>
        </w:rPr>
        <w:t xml:space="preserve">הרא"ש </w:t>
      </w:r>
      <w:r>
        <w:rPr>
          <w:rFonts w:hint="cs"/>
          <w:rtl/>
        </w:rPr>
        <w:t xml:space="preserve">נאמן אח"כ לפרש את דבריו, ולא חשיב כמיגו למפרע, כתב </w:t>
      </w:r>
      <w:r w:rsidRPr="009C170C">
        <w:rPr>
          <w:rStyle w:val="af9"/>
          <w:rFonts w:hint="cs"/>
          <w:rtl/>
        </w:rPr>
        <w:t>בחי' רבי נחום</w:t>
      </w:r>
      <w:r>
        <w:rPr>
          <w:rFonts w:hint="cs"/>
          <w:rtl/>
        </w:rPr>
        <w:t xml:space="preserve"> </w:t>
      </w:r>
      <w:r w:rsidRPr="000C0F58">
        <w:rPr>
          <w:rStyle w:val="af7"/>
          <w:rFonts w:eastAsia="Guttman Hodes" w:hint="cs"/>
          <w:rtl/>
        </w:rPr>
        <w:t>(או' ס"ה)</w:t>
      </w:r>
      <w:r>
        <w:rPr>
          <w:rFonts w:hint="cs"/>
          <w:rtl/>
        </w:rPr>
        <w:t xml:space="preserve"> דאפש"ל </w:t>
      </w:r>
      <w:r w:rsidRPr="009C170C">
        <w:rPr>
          <w:rStyle w:val="af9"/>
          <w:rFonts w:hint="cs"/>
          <w:rtl/>
        </w:rPr>
        <w:t>דהרא"ש</w:t>
      </w:r>
      <w:r>
        <w:rPr>
          <w:rFonts w:hint="cs"/>
          <w:rtl/>
        </w:rPr>
        <w:t xml:space="preserve"> לא פליג על </w:t>
      </w:r>
      <w:r w:rsidRPr="009C170C">
        <w:rPr>
          <w:rStyle w:val="af9"/>
          <w:rFonts w:hint="cs"/>
          <w:rtl/>
        </w:rPr>
        <w:t>התוס'</w:t>
      </w:r>
      <w:r>
        <w:rPr>
          <w:rFonts w:hint="cs"/>
          <w:rtl/>
        </w:rPr>
        <w:t xml:space="preserve"> בדין מיגו, אלא נחלקו בדין טוען וחוזר וטוען, דלדעת </w:t>
      </w:r>
      <w:r w:rsidRPr="009C170C">
        <w:rPr>
          <w:rStyle w:val="af9"/>
          <w:rFonts w:hint="cs"/>
          <w:rtl/>
        </w:rPr>
        <w:t>הרא"ש</w:t>
      </w:r>
      <w:r>
        <w:rPr>
          <w:rFonts w:hint="cs"/>
          <w:rtl/>
        </w:rPr>
        <w:t xml:space="preserve"> הוא נאמן שזו הייתה כוונתו מתחילה, וא"כ אי"ז מיגו למפרע כלל, </w:t>
      </w:r>
      <w:r w:rsidRPr="009C170C">
        <w:rPr>
          <w:rStyle w:val="af9"/>
          <w:rFonts w:hint="cs"/>
          <w:rtl/>
        </w:rPr>
        <w:t>ולהתוס'</w:t>
      </w:r>
      <w:r>
        <w:rPr>
          <w:rFonts w:hint="cs"/>
          <w:rtl/>
        </w:rPr>
        <w:t xml:space="preserve"> מה שהוא טוען עכשיו, אי"ז שייך לטענתו הראשונה, וממילא המיגו הוא מיגו למפרע.</w:t>
      </w:r>
      <w:bookmarkEnd w:id="12097"/>
    </w:p>
    <w:p w:rsidR="005306EB" w:rsidRDefault="005306EB" w:rsidP="005306EB">
      <w:pPr>
        <w:pStyle w:val="afe"/>
        <w:rPr>
          <w:rtl/>
        </w:rPr>
      </w:pPr>
      <w:bookmarkStart w:id="12098" w:name="_Toc61469469"/>
      <w:bookmarkStart w:id="12099" w:name="_Toc61509847"/>
      <w:bookmarkStart w:id="12100" w:name="_Toc59741729"/>
      <w:bookmarkStart w:id="12101" w:name="_Toc59786864"/>
      <w:bookmarkStart w:id="12102" w:name="_Toc59960779"/>
      <w:bookmarkStart w:id="12103" w:name="_Toc60086875"/>
      <w:bookmarkStart w:id="12104" w:name="_Toc60173442"/>
      <w:bookmarkStart w:id="12105" w:name="_Toc60303895"/>
      <w:bookmarkStart w:id="12106" w:name="_Toc61010746"/>
      <w:bookmarkEnd w:id="12080"/>
      <w:bookmarkEnd w:id="12081"/>
      <w:bookmarkEnd w:id="12082"/>
      <w:bookmarkEnd w:id="12083"/>
      <w:bookmarkEnd w:id="12084"/>
      <w:bookmarkEnd w:id="12085"/>
      <w:r>
        <w:rPr>
          <w:rFonts w:hint="cs"/>
          <w:rtl/>
        </w:rPr>
        <w:t>בטענת קמי דידי מדין מיגו או מדין טענה</w:t>
      </w:r>
      <w:bookmarkEnd w:id="12098"/>
      <w:bookmarkEnd w:id="12099"/>
    </w:p>
    <w:p w:rsidR="005306EB" w:rsidRDefault="005306EB" w:rsidP="005306EB">
      <w:pPr>
        <w:pStyle w:val="1"/>
        <w:rPr>
          <w:rtl/>
        </w:rPr>
      </w:pPr>
      <w:bookmarkStart w:id="12107" w:name="_Toc61200692"/>
      <w:bookmarkStart w:id="12108" w:name="_Toc61213906"/>
      <w:bookmarkStart w:id="12109" w:name="_Toc61388277"/>
      <w:bookmarkStart w:id="12110" w:name="_Toc61430938"/>
      <w:bookmarkStart w:id="12111" w:name="_Toc61433981"/>
      <w:bookmarkStart w:id="12112" w:name="_Toc61438707"/>
      <w:bookmarkStart w:id="12113" w:name="_Toc61469470"/>
      <w:bookmarkStart w:id="12114" w:name="_Toc61509848"/>
      <w:r>
        <w:rPr>
          <w:rFonts w:hint="cs"/>
          <w:rtl/>
        </w:rPr>
        <w:t>דברי הקה"י דטענת קמי דידי בלא מיגו</w:t>
      </w:r>
      <w:bookmarkEnd w:id="12107"/>
      <w:bookmarkEnd w:id="12108"/>
      <w:bookmarkEnd w:id="12109"/>
      <w:bookmarkEnd w:id="12110"/>
      <w:bookmarkEnd w:id="12111"/>
      <w:bookmarkEnd w:id="12112"/>
      <w:bookmarkEnd w:id="12113"/>
      <w:r>
        <w:rPr>
          <w:rFonts w:hint="cs"/>
          <w:rtl/>
        </w:rPr>
        <w:t xml:space="preserve"> היא טענה גרועה</w:t>
      </w:r>
      <w:bookmarkEnd w:id="12114"/>
    </w:p>
    <w:p w:rsidR="005306EB" w:rsidRPr="0078435F" w:rsidRDefault="005306EB" w:rsidP="005306EB">
      <w:pPr>
        <w:pStyle w:val="a3"/>
        <w:rPr>
          <w:rtl/>
        </w:rPr>
      </w:pPr>
      <w:bookmarkStart w:id="12115" w:name="_Toc59960780"/>
      <w:bookmarkStart w:id="12116" w:name="_Toc60086876"/>
      <w:bookmarkStart w:id="12117" w:name="_Toc60173443"/>
      <w:bookmarkStart w:id="12118" w:name="_Toc60303896"/>
      <w:bookmarkStart w:id="12119" w:name="_Toc61010747"/>
      <w:bookmarkStart w:id="12120" w:name="_Toc61200693"/>
      <w:bookmarkStart w:id="12121" w:name="_Toc61213907"/>
      <w:bookmarkStart w:id="12122" w:name="_Toc61388278"/>
      <w:bookmarkStart w:id="12123" w:name="_Toc61430939"/>
      <w:bookmarkStart w:id="12124" w:name="_Toc61433982"/>
      <w:bookmarkStart w:id="12125" w:name="_Toc61438708"/>
      <w:bookmarkStart w:id="12126" w:name="_Toc61469471"/>
      <w:bookmarkStart w:id="12127" w:name="_Toc61509849"/>
      <w:r>
        <w:rPr>
          <w:rFonts w:hint="cs"/>
          <w:rtl/>
        </w:rPr>
        <w:t>קושית הגרעק"א אמאי להתוס' קמי דידי מהני רק במיגו ואמאי לא סגי בחזקה עם טענה</w:t>
      </w:r>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p>
    <w:p w:rsidR="005306EB" w:rsidRDefault="005306EB" w:rsidP="007E4E81">
      <w:pPr>
        <w:pStyle w:val="a0"/>
      </w:pPr>
      <w:bookmarkStart w:id="12128" w:name="_Ref59724817"/>
      <w:bookmarkStart w:id="12129" w:name="_Ref61470392"/>
      <w:r>
        <w:rPr>
          <w:rFonts w:hint="cs"/>
          <w:rtl/>
        </w:rPr>
        <w:t xml:space="preserve">כתב </w:t>
      </w:r>
      <w:r w:rsidRPr="001C266F">
        <w:rPr>
          <w:rStyle w:val="af9"/>
          <w:rFonts w:hint="cs"/>
          <w:rtl/>
        </w:rPr>
        <w:t>הקה"י</w:t>
      </w:r>
      <w:r>
        <w:rPr>
          <w:rFonts w:hint="cs"/>
          <w:rtl/>
        </w:rPr>
        <w:t xml:space="preserve"> </w:t>
      </w:r>
      <w:r w:rsidRPr="00F92083">
        <w:rPr>
          <w:rStyle w:val="af7"/>
          <w:rFonts w:eastAsia="Guttman Hodes" w:hint="cs"/>
          <w:rtl/>
        </w:rPr>
        <w:t>(סי' כ"א ד"ה בעובדא)</w:t>
      </w:r>
      <w:r>
        <w:rPr>
          <w:rFonts w:hint="cs"/>
          <w:rtl/>
        </w:rPr>
        <w:t xml:space="preserve"> דבגמ' לקמן </w:t>
      </w:r>
      <w:r w:rsidRPr="00F92083">
        <w:rPr>
          <w:rStyle w:val="af7"/>
          <w:rFonts w:eastAsia="Guttman Hodes" w:hint="cs"/>
          <w:rtl/>
        </w:rPr>
        <w:t>(מא:)</w:t>
      </w:r>
      <w:r>
        <w:rPr>
          <w:rFonts w:hint="cs"/>
          <w:rtl/>
        </w:rPr>
        <w:t xml:space="preserve"> מוכח דכ"מ דנאמן המחזיק בטענת קמי דידי זבנה מינך, הוא רק במיגו דמינך זבינתה, </w:t>
      </w:r>
      <w:r>
        <w:rPr>
          <w:rFonts w:hint="cs"/>
          <w:rtl/>
        </w:rPr>
        <w:lastRenderedPageBreak/>
        <w:t xml:space="preserve">אבל בלא מיגו אינו נאמן, וכדהוכיח </w:t>
      </w:r>
      <w:r w:rsidRPr="00206A33">
        <w:rPr>
          <w:rStyle w:val="af9"/>
          <w:rFonts w:hint="cs"/>
          <w:rtl/>
        </w:rPr>
        <w:t>הקצוה"ח</w:t>
      </w:r>
      <w:r w:rsidRPr="00520622">
        <w:rPr>
          <w:rStyle w:val="af7"/>
          <w:rFonts w:eastAsia="Guttman Hodes" w:hint="cs"/>
          <w:rtl/>
        </w:rPr>
        <w:t xml:space="preserve"> (עי' אות </w:t>
      </w:r>
      <w:r w:rsidRPr="00520622">
        <w:rPr>
          <w:rStyle w:val="af7"/>
          <w:rFonts w:eastAsia="Guttman Hodes"/>
          <w:rtl/>
        </w:rPr>
        <w:fldChar w:fldCharType="begin"/>
      </w:r>
      <w:r w:rsidRPr="00520622">
        <w:rPr>
          <w:rStyle w:val="af7"/>
          <w:rFonts w:eastAsia="Guttman Hodes"/>
          <w:rtl/>
        </w:rPr>
        <w:instrText xml:space="preserve"> </w:instrText>
      </w:r>
      <w:r w:rsidRPr="00520622">
        <w:rPr>
          <w:rStyle w:val="af7"/>
          <w:rFonts w:eastAsia="Guttman Hodes" w:hint="cs"/>
        </w:rPr>
        <w:instrText>REF</w:instrText>
      </w:r>
      <w:r w:rsidRPr="00520622">
        <w:rPr>
          <w:rStyle w:val="af7"/>
          <w:rFonts w:eastAsia="Guttman Hodes" w:hint="cs"/>
          <w:rtl/>
        </w:rPr>
        <w:instrText xml:space="preserve"> _</w:instrText>
      </w:r>
      <w:r w:rsidRPr="00520622">
        <w:rPr>
          <w:rStyle w:val="af7"/>
          <w:rFonts w:eastAsia="Guttman Hodes" w:hint="cs"/>
        </w:rPr>
        <w:instrText>Ref61466985 \r \h</w:instrText>
      </w:r>
      <w:r w:rsidRPr="00520622">
        <w:rPr>
          <w:rStyle w:val="af7"/>
          <w:rFonts w:eastAsia="Guttman Hodes"/>
          <w:rtl/>
        </w:rPr>
        <w:instrText xml:space="preserve"> </w:instrText>
      </w:r>
      <w:r w:rsidRPr="00520622">
        <w:rPr>
          <w:rStyle w:val="af7"/>
          <w:rFonts w:eastAsia="Guttman Hodes"/>
          <w:rtl/>
        </w:rPr>
      </w:r>
      <w:r w:rsidRPr="00520622">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520622">
        <w:rPr>
          <w:rStyle w:val="af7"/>
          <w:rFonts w:eastAsia="Guttman Hodes"/>
          <w:rtl/>
        </w:rPr>
        <w:fldChar w:fldCharType="end"/>
      </w:r>
      <w:r w:rsidRPr="00520622">
        <w:rPr>
          <w:rStyle w:val="af7"/>
          <w:rFonts w:eastAsia="Guttman Hodes" w:hint="cs"/>
          <w:rtl/>
        </w:rPr>
        <w:t xml:space="preserve"> </w:t>
      </w:r>
      <w:r>
        <w:rPr>
          <w:rFonts w:hint="cs"/>
          <w:rtl/>
        </w:rPr>
        <w:t xml:space="preserve">מדברי </w:t>
      </w:r>
      <w:r w:rsidRPr="00D55BC8">
        <w:rPr>
          <w:rStyle w:val="af9"/>
          <w:rFonts w:hint="cs"/>
          <w:rtl/>
        </w:rPr>
        <w:t>התוס'</w:t>
      </w:r>
      <w:r>
        <w:rPr>
          <w:rFonts w:hint="cs"/>
          <w:rtl/>
        </w:rPr>
        <w:t xml:space="preserve"> </w:t>
      </w:r>
      <w:r w:rsidRPr="00F5133D">
        <w:rPr>
          <w:rStyle w:val="af7"/>
          <w:rFonts w:eastAsia="Guttman Hodes" w:hint="cs"/>
          <w:rtl/>
        </w:rPr>
        <w:t xml:space="preserve">(עי' אות </w:t>
      </w:r>
      <w:r w:rsidRPr="00F5133D">
        <w:rPr>
          <w:rStyle w:val="af7"/>
          <w:rFonts w:eastAsia="Guttman Hodes"/>
          <w:rtl/>
        </w:rPr>
        <w:fldChar w:fldCharType="begin"/>
      </w:r>
      <w:r w:rsidRPr="00F5133D">
        <w:rPr>
          <w:rStyle w:val="af7"/>
          <w:rFonts w:eastAsia="Guttman Hodes"/>
          <w:rtl/>
        </w:rPr>
        <w:instrText xml:space="preserve"> </w:instrText>
      </w:r>
      <w:r w:rsidRPr="00F5133D">
        <w:rPr>
          <w:rStyle w:val="af7"/>
          <w:rFonts w:eastAsia="Guttman Hodes" w:hint="cs"/>
        </w:rPr>
        <w:instrText>REF</w:instrText>
      </w:r>
      <w:r w:rsidRPr="00F5133D">
        <w:rPr>
          <w:rStyle w:val="af7"/>
          <w:rFonts w:eastAsia="Guttman Hodes" w:hint="cs"/>
          <w:rtl/>
        </w:rPr>
        <w:instrText xml:space="preserve"> _</w:instrText>
      </w:r>
      <w:r w:rsidRPr="00F5133D">
        <w:rPr>
          <w:rStyle w:val="af7"/>
          <w:rFonts w:eastAsia="Guttman Hodes" w:hint="cs"/>
        </w:rPr>
        <w:instrText>Ref61253162 \r \h</w:instrText>
      </w:r>
      <w:r w:rsidRPr="00F5133D">
        <w:rPr>
          <w:rStyle w:val="af7"/>
          <w:rFonts w:eastAsia="Guttman Hodes"/>
          <w:rtl/>
        </w:rPr>
        <w:instrText xml:space="preserve"> </w:instrText>
      </w:r>
      <w:r w:rsidRPr="00F5133D">
        <w:rPr>
          <w:rStyle w:val="af7"/>
          <w:rFonts w:eastAsia="Guttman Hodes"/>
          <w:rtl/>
        </w:rPr>
      </w:r>
      <w:r w:rsidRPr="00F5133D">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F5133D">
        <w:rPr>
          <w:rStyle w:val="af7"/>
          <w:rFonts w:eastAsia="Guttman Hodes"/>
          <w:rtl/>
        </w:rPr>
        <w:fldChar w:fldCharType="end"/>
      </w:r>
      <w:r>
        <w:rPr>
          <w:rFonts w:hint="cs"/>
          <w:rtl/>
        </w:rPr>
        <w:t xml:space="preserve"> דכתבו דאם לא טען כן בתחילה אינו נאמן דהוא מיגו למפרע, ומוכח דבלא מיגו אינו נאמן, והקשה </w:t>
      </w:r>
      <w:r w:rsidRPr="001C266F">
        <w:rPr>
          <w:rStyle w:val="af9"/>
          <w:rFonts w:hint="cs"/>
          <w:rtl/>
        </w:rPr>
        <w:t>הקה"י</w:t>
      </w:r>
      <w:r>
        <w:rPr>
          <w:rFonts w:hint="cs"/>
          <w:rtl/>
        </w:rPr>
        <w:t xml:space="preserve"> דכיון דבגמ' לקמן איירי שיש למחזיק חזקת ג"ש, א"כ אף בלא מיגו הוא צריך להיות נאמן בטענה עצמה שטוען קמי דידי, כמו שנאמן בטענת מינך זבינתה, דכיון שיש לו חזקת ג"ש, הוא צריך רק טענה ברורה</w:t>
      </w:r>
      <w:bookmarkEnd w:id="12128"/>
      <w:r>
        <w:rPr>
          <w:rFonts w:hint="cs"/>
          <w:rtl/>
        </w:rPr>
        <w:t>.</w:t>
      </w:r>
      <w:bookmarkEnd w:id="12129"/>
    </w:p>
    <w:p w:rsidR="005306EB" w:rsidRDefault="005306EB" w:rsidP="005306EB">
      <w:pPr>
        <w:pStyle w:val="a3"/>
        <w:rPr>
          <w:rtl/>
        </w:rPr>
      </w:pPr>
      <w:bookmarkStart w:id="12130" w:name="_Toc59960781"/>
      <w:bookmarkStart w:id="12131" w:name="_Toc60086877"/>
      <w:bookmarkStart w:id="12132" w:name="_Toc60173444"/>
      <w:bookmarkStart w:id="12133" w:name="_Toc60303897"/>
      <w:bookmarkStart w:id="12134" w:name="_Toc61010748"/>
      <w:bookmarkStart w:id="12135" w:name="_Toc61200694"/>
      <w:bookmarkStart w:id="12136" w:name="_Toc61213908"/>
      <w:bookmarkStart w:id="12137" w:name="_Toc61388279"/>
      <w:bookmarkStart w:id="12138" w:name="_Toc61430940"/>
      <w:bookmarkStart w:id="12139" w:name="_Toc61433983"/>
      <w:bookmarkStart w:id="12140" w:name="_Toc61438709"/>
      <w:bookmarkStart w:id="12141" w:name="_Toc61469472"/>
      <w:bookmarkStart w:id="12142" w:name="_Toc61509850"/>
      <w:r>
        <w:rPr>
          <w:rFonts w:hint="cs"/>
          <w:rtl/>
        </w:rPr>
        <w:t>תי' הקה"י דקמי דידי היא טענה גרועה</w:t>
      </w:r>
      <w:bookmarkEnd w:id="12130"/>
      <w:bookmarkEnd w:id="12131"/>
      <w:bookmarkEnd w:id="12132"/>
      <w:bookmarkEnd w:id="12133"/>
      <w:bookmarkEnd w:id="12134"/>
      <w:bookmarkEnd w:id="12135"/>
      <w:bookmarkEnd w:id="12136"/>
      <w:bookmarkEnd w:id="12137"/>
      <w:bookmarkEnd w:id="12138"/>
      <w:bookmarkEnd w:id="12139"/>
      <w:bookmarkEnd w:id="12140"/>
      <w:r>
        <w:rPr>
          <w:rFonts w:hint="cs"/>
          <w:rtl/>
        </w:rPr>
        <w:t xml:space="preserve"> בלא עידי חד יומא ורק ע"י המיגו חשיבא כטענה טובה</w:t>
      </w:r>
      <w:bookmarkEnd w:id="12141"/>
      <w:bookmarkEnd w:id="12142"/>
    </w:p>
    <w:p w:rsidR="005306EB" w:rsidRDefault="005306EB" w:rsidP="007E4E81">
      <w:pPr>
        <w:pStyle w:val="a0"/>
        <w:rPr>
          <w:rtl/>
        </w:rPr>
      </w:pPr>
      <w:bookmarkStart w:id="12143" w:name="_Ref59724855"/>
      <w:r>
        <w:rPr>
          <w:rFonts w:hint="cs"/>
          <w:rtl/>
        </w:rPr>
        <w:t xml:space="preserve">ותירץ </w:t>
      </w:r>
      <w:r w:rsidRPr="00556279">
        <w:rPr>
          <w:rStyle w:val="af9"/>
          <w:rFonts w:hint="cs"/>
          <w:rtl/>
        </w:rPr>
        <w:t>הקה"י</w:t>
      </w:r>
      <w:r>
        <w:rPr>
          <w:rFonts w:hint="cs"/>
          <w:rtl/>
        </w:rPr>
        <w:t xml:space="preserve"> </w:t>
      </w:r>
      <w:r w:rsidRPr="003B2E38">
        <w:rPr>
          <w:rStyle w:val="af7"/>
          <w:rFonts w:eastAsia="Guttman Hodes" w:hint="cs"/>
          <w:rtl/>
        </w:rPr>
        <w:t>(סי' כ"א ד"ה ועפ"ז מתבאר)</w:t>
      </w:r>
      <w:r>
        <w:rPr>
          <w:rFonts w:hint="cs"/>
          <w:rtl/>
        </w:rPr>
        <w:t xml:space="preserve"> דטענת קמי דידי זבנה מינך, היא טענה גרועה מצד עצמה, כיון דלא דר בה המוכר חד יומא, </w:t>
      </w:r>
      <w:r w:rsidRPr="00234E7F">
        <w:rPr>
          <w:rStyle w:val="afb"/>
          <w:rFonts w:hint="cs"/>
          <w:rtl/>
        </w:rPr>
        <w:t xml:space="preserve">[וכדביאר </w:t>
      </w:r>
      <w:r w:rsidRPr="00234E7F">
        <w:rPr>
          <w:rStyle w:val="affa"/>
          <w:rFonts w:hint="cs"/>
          <w:rtl/>
        </w:rPr>
        <w:t>הקה"י</w:t>
      </w:r>
      <w:r w:rsidRPr="00234E7F">
        <w:rPr>
          <w:rStyle w:val="afb"/>
          <w:rFonts w:hint="cs"/>
          <w:rtl/>
        </w:rPr>
        <w:t xml:space="preserve"> </w:t>
      </w:r>
      <w:r w:rsidRPr="004300EA">
        <w:rPr>
          <w:rStyle w:val="aff6"/>
          <w:rFonts w:hint="cs"/>
          <w:rtl/>
        </w:rPr>
        <w:t>(סי' כ"א ד"ה ולזאת, הובא בסימן ט' אות ק"ט)</w:t>
      </w:r>
      <w:r w:rsidRPr="00234E7F">
        <w:rPr>
          <w:rStyle w:val="afb"/>
          <w:rFonts w:hint="cs"/>
          <w:rtl/>
        </w:rPr>
        <w:t xml:space="preserve"> דכל שאין עדים דדר בה חד יומא, חשיב שיש הוכחה הפוכה, שלא קנאה המוכר מהמערער],</w:t>
      </w:r>
      <w:r>
        <w:rPr>
          <w:rFonts w:hint="cs"/>
          <w:rtl/>
        </w:rPr>
        <w:t xml:space="preserve"> וכן משמע בגמ' לקמן </w:t>
      </w:r>
      <w:r w:rsidRPr="00623B77">
        <w:rPr>
          <w:rStyle w:val="af7"/>
          <w:rFonts w:eastAsia="Guttman Hodes" w:hint="cs"/>
          <w:rtl/>
        </w:rPr>
        <w:t>(מא:)</w:t>
      </w:r>
      <w:r>
        <w:rPr>
          <w:rFonts w:hint="cs"/>
          <w:rtl/>
        </w:rPr>
        <w:t xml:space="preserve"> דלדעת רבי חייא טענת קמי דידי זבנה מינך אינה טענה, דאין אדם עשוי לקנות ולמכור לאלתר, ולכן הוא נאמן בטענה זו רק במיגו דמינך זבינתה, דאף שיש ריעותא דלא דר חד יומא, מ"מ יש לו ראיה במיגו דהוא אומר אמת שהמוכר קנה מהמערער, וע"י המיגו חשיבא טענת קמי דידי זבנה מינך, לטענה טובה, וממילא נאמן ככל חזקה שיש עמה טענה, ועיי"ש במה שביאר </w:t>
      </w:r>
      <w:r w:rsidRPr="00623B77">
        <w:rPr>
          <w:rStyle w:val="af9"/>
          <w:rFonts w:hint="cs"/>
          <w:rtl/>
        </w:rPr>
        <w:t>הקה"י</w:t>
      </w:r>
      <w:r>
        <w:rPr>
          <w:rFonts w:hint="cs"/>
          <w:rtl/>
        </w:rPr>
        <w:t xml:space="preserve"> </w:t>
      </w:r>
      <w:r w:rsidRPr="00623B77">
        <w:rPr>
          <w:rStyle w:val="af7"/>
          <w:rFonts w:eastAsia="Guttman Hodes" w:hint="cs"/>
          <w:rtl/>
        </w:rPr>
        <w:t>(סו"ס כ"א ד"ה ועפ"ז יתבאר)</w:t>
      </w:r>
      <w:r>
        <w:rPr>
          <w:rFonts w:hint="cs"/>
          <w:rtl/>
        </w:rPr>
        <w:t xml:space="preserve"> לפי"ז את דברי </w:t>
      </w:r>
      <w:r w:rsidRPr="00623B77">
        <w:rPr>
          <w:rStyle w:val="af9"/>
          <w:rFonts w:hint="cs"/>
          <w:rtl/>
        </w:rPr>
        <w:t>הרשב"ם לקמן</w:t>
      </w:r>
      <w:r>
        <w:rPr>
          <w:rFonts w:hint="cs"/>
          <w:rtl/>
        </w:rPr>
        <w:t xml:space="preserve"> </w:t>
      </w:r>
      <w:r w:rsidRPr="00623B77">
        <w:rPr>
          <w:rStyle w:val="af7"/>
          <w:rFonts w:eastAsia="Guttman Hodes" w:hint="cs"/>
          <w:rtl/>
        </w:rPr>
        <w:t>(לא: ד"ה ומודו נהרדעי)</w:t>
      </w:r>
      <w:r>
        <w:rPr>
          <w:rFonts w:hint="cs"/>
          <w:rtl/>
        </w:rPr>
        <w:t>.</w:t>
      </w:r>
      <w:bookmarkEnd w:id="12143"/>
    </w:p>
    <w:p w:rsidR="005306EB" w:rsidRPr="003379EB" w:rsidRDefault="005306EB" w:rsidP="005306EB">
      <w:pPr>
        <w:pStyle w:val="1"/>
        <w:rPr>
          <w:rtl/>
        </w:rPr>
      </w:pPr>
      <w:bookmarkStart w:id="12144" w:name="_Toc61469473"/>
      <w:bookmarkStart w:id="12145" w:name="_Toc61509851"/>
      <w:r>
        <w:rPr>
          <w:rFonts w:hint="cs"/>
          <w:rtl/>
        </w:rPr>
        <w:t>ביאור הגרש"ר בתוס' דקמי דידי מהני מדין מיגו ולא מדין טענה</w:t>
      </w:r>
      <w:bookmarkEnd w:id="12144"/>
      <w:bookmarkEnd w:id="12145"/>
    </w:p>
    <w:p w:rsidR="005306EB" w:rsidRPr="009D6188" w:rsidRDefault="005306EB" w:rsidP="005306EB">
      <w:pPr>
        <w:pStyle w:val="a3"/>
        <w:rPr>
          <w:rtl/>
        </w:rPr>
      </w:pPr>
      <w:bookmarkStart w:id="12146" w:name="_Toc61469474"/>
      <w:bookmarkStart w:id="12147" w:name="_Toc61509852"/>
      <w:r>
        <w:rPr>
          <w:rFonts w:hint="cs"/>
          <w:rtl/>
        </w:rPr>
        <w:t>ביאור הגרש"ר בתוס' דחזקה מהני להעמיד בידו וכשאין לו מיגו אינו נאמן וחסר בעיקר החזקה</w:t>
      </w:r>
      <w:bookmarkEnd w:id="12146"/>
      <w:bookmarkEnd w:id="12147"/>
    </w:p>
    <w:p w:rsidR="005306EB" w:rsidRDefault="005306EB" w:rsidP="007E4E81">
      <w:pPr>
        <w:pStyle w:val="a0"/>
        <w:rPr>
          <w:rtl/>
        </w:rPr>
      </w:pPr>
      <w:bookmarkStart w:id="12148" w:name="_Ref61470397"/>
      <w:r>
        <w:rPr>
          <w:rStyle w:val="af9"/>
          <w:rFonts w:hint="cs"/>
          <w:rtl/>
        </w:rPr>
        <w:t>ו</w:t>
      </w:r>
      <w:r w:rsidRPr="00C760F0">
        <w:rPr>
          <w:rStyle w:val="af9"/>
          <w:rFonts w:hint="cs"/>
          <w:rtl/>
        </w:rPr>
        <w:t>בחי' רבי שמואל</w:t>
      </w:r>
      <w:r>
        <w:rPr>
          <w:rFonts w:hint="cs"/>
          <w:rtl/>
        </w:rPr>
        <w:t xml:space="preserve"> </w:t>
      </w:r>
      <w:r w:rsidRPr="00C760F0">
        <w:rPr>
          <w:rStyle w:val="af7"/>
          <w:rFonts w:eastAsia="Guttman Hodes" w:hint="cs"/>
          <w:rtl/>
        </w:rPr>
        <w:t>(סי' כ"</w:t>
      </w:r>
      <w:r>
        <w:rPr>
          <w:rStyle w:val="af7"/>
          <w:rFonts w:eastAsia="Guttman Hodes" w:hint="cs"/>
          <w:rtl/>
        </w:rPr>
        <w:t>ב או' ב' ד"ה ונראה</w:t>
      </w:r>
      <w:r w:rsidRPr="00C760F0">
        <w:rPr>
          <w:rStyle w:val="af7"/>
          <w:rFonts w:eastAsia="Guttman Hodes" w:hint="cs"/>
          <w:rtl/>
        </w:rPr>
        <w:t>)</w:t>
      </w:r>
      <w:r>
        <w:rPr>
          <w:rFonts w:hint="cs"/>
          <w:rtl/>
        </w:rPr>
        <w:t xml:space="preserve"> ביאר את דברי </w:t>
      </w:r>
      <w:r w:rsidRPr="00206A33">
        <w:rPr>
          <w:rStyle w:val="af9"/>
          <w:rFonts w:hint="cs"/>
          <w:rtl/>
        </w:rPr>
        <w:t>הקצוה"ח</w:t>
      </w:r>
      <w:r w:rsidRPr="00520622">
        <w:rPr>
          <w:rStyle w:val="af7"/>
          <w:rFonts w:eastAsia="Guttman Hodes" w:hint="cs"/>
          <w:rtl/>
        </w:rPr>
        <w:t xml:space="preserve"> (עי' אות </w:t>
      </w:r>
      <w:r w:rsidRPr="00520622">
        <w:rPr>
          <w:rStyle w:val="af7"/>
          <w:rFonts w:eastAsia="Guttman Hodes"/>
          <w:rtl/>
        </w:rPr>
        <w:fldChar w:fldCharType="begin"/>
      </w:r>
      <w:r w:rsidRPr="00520622">
        <w:rPr>
          <w:rStyle w:val="af7"/>
          <w:rFonts w:eastAsia="Guttman Hodes"/>
          <w:rtl/>
        </w:rPr>
        <w:instrText xml:space="preserve"> </w:instrText>
      </w:r>
      <w:r w:rsidRPr="00520622">
        <w:rPr>
          <w:rStyle w:val="af7"/>
          <w:rFonts w:eastAsia="Guttman Hodes" w:hint="cs"/>
        </w:rPr>
        <w:instrText>REF</w:instrText>
      </w:r>
      <w:r w:rsidRPr="00520622">
        <w:rPr>
          <w:rStyle w:val="af7"/>
          <w:rFonts w:eastAsia="Guttman Hodes" w:hint="cs"/>
          <w:rtl/>
        </w:rPr>
        <w:instrText xml:space="preserve"> _</w:instrText>
      </w:r>
      <w:r w:rsidRPr="00520622">
        <w:rPr>
          <w:rStyle w:val="af7"/>
          <w:rFonts w:eastAsia="Guttman Hodes" w:hint="cs"/>
        </w:rPr>
        <w:instrText>Ref61466985 \r \h</w:instrText>
      </w:r>
      <w:r w:rsidRPr="00520622">
        <w:rPr>
          <w:rStyle w:val="af7"/>
          <w:rFonts w:eastAsia="Guttman Hodes"/>
          <w:rtl/>
        </w:rPr>
        <w:instrText xml:space="preserve"> </w:instrText>
      </w:r>
      <w:r w:rsidRPr="00520622">
        <w:rPr>
          <w:rStyle w:val="af7"/>
          <w:rFonts w:eastAsia="Guttman Hodes"/>
          <w:rtl/>
        </w:rPr>
      </w:r>
      <w:r w:rsidRPr="00520622">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520622">
        <w:rPr>
          <w:rStyle w:val="af7"/>
          <w:rFonts w:eastAsia="Guttman Hodes"/>
          <w:rtl/>
        </w:rPr>
        <w:fldChar w:fldCharType="end"/>
      </w:r>
      <w:r w:rsidRPr="00520622">
        <w:rPr>
          <w:rStyle w:val="af7"/>
          <w:rFonts w:eastAsia="Guttman Hodes" w:hint="cs"/>
          <w:rtl/>
        </w:rPr>
        <w:t xml:space="preserve"> </w:t>
      </w:r>
      <w:r>
        <w:rPr>
          <w:rFonts w:hint="cs"/>
          <w:rtl/>
        </w:rPr>
        <w:t xml:space="preserve">דלדעת </w:t>
      </w:r>
      <w:r w:rsidRPr="00D55BC8">
        <w:rPr>
          <w:rStyle w:val="af9"/>
          <w:rFonts w:hint="cs"/>
          <w:rtl/>
        </w:rPr>
        <w:t>התוס'</w:t>
      </w:r>
      <w:r w:rsidRPr="00520622">
        <w:rPr>
          <w:rStyle w:val="af7"/>
          <w:rFonts w:eastAsia="Guttman Hodes" w:hint="cs"/>
          <w:rtl/>
        </w:rPr>
        <w:t xml:space="preserve"> (עי' אות </w:t>
      </w:r>
      <w:r w:rsidRPr="00520622">
        <w:rPr>
          <w:rStyle w:val="af7"/>
          <w:rFonts w:eastAsia="Guttman Hodes"/>
          <w:rtl/>
        </w:rPr>
        <w:fldChar w:fldCharType="begin"/>
      </w:r>
      <w:r w:rsidRPr="00520622">
        <w:rPr>
          <w:rStyle w:val="af7"/>
          <w:rFonts w:eastAsia="Guttman Hodes"/>
          <w:rtl/>
        </w:rPr>
        <w:instrText xml:space="preserve"> </w:instrText>
      </w:r>
      <w:r w:rsidRPr="00520622">
        <w:rPr>
          <w:rStyle w:val="af7"/>
          <w:rFonts w:eastAsia="Guttman Hodes" w:hint="cs"/>
        </w:rPr>
        <w:instrText>REF</w:instrText>
      </w:r>
      <w:r w:rsidRPr="00520622">
        <w:rPr>
          <w:rStyle w:val="af7"/>
          <w:rFonts w:eastAsia="Guttman Hodes" w:hint="cs"/>
          <w:rtl/>
        </w:rPr>
        <w:instrText xml:space="preserve"> _</w:instrText>
      </w:r>
      <w:r w:rsidRPr="00520622">
        <w:rPr>
          <w:rStyle w:val="af7"/>
          <w:rFonts w:eastAsia="Guttman Hodes" w:hint="cs"/>
        </w:rPr>
        <w:instrText>Ref61253162 \r \h</w:instrText>
      </w:r>
      <w:r w:rsidRPr="00520622">
        <w:rPr>
          <w:rStyle w:val="af7"/>
          <w:rFonts w:eastAsia="Guttman Hodes"/>
          <w:rtl/>
        </w:rPr>
        <w:instrText xml:space="preserve"> </w:instrText>
      </w:r>
      <w:r w:rsidRPr="00520622">
        <w:rPr>
          <w:rStyle w:val="af7"/>
          <w:rFonts w:eastAsia="Guttman Hodes"/>
          <w:rtl/>
        </w:rPr>
      </w:r>
      <w:r w:rsidRPr="00520622">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520622">
        <w:rPr>
          <w:rStyle w:val="af7"/>
          <w:rFonts w:eastAsia="Guttman Hodes"/>
          <w:rtl/>
        </w:rPr>
        <w:fldChar w:fldCharType="end"/>
      </w:r>
      <w:r>
        <w:rPr>
          <w:rStyle w:val="af7"/>
          <w:rFonts w:eastAsia="Guttman Hodes" w:hint="cs"/>
          <w:rtl/>
        </w:rPr>
        <w:t xml:space="preserve"> </w:t>
      </w:r>
      <w:r>
        <w:rPr>
          <w:rFonts w:hint="cs"/>
          <w:rtl/>
        </w:rPr>
        <w:t>דהנאמנות בטענת קמי דידי זבנה מינך, היא במיגו ולא מכח חזקה עם טענה, כיון דהא דמהני חזקת ג"ש הוא רק באופן שע"י החזקה מעמידים את הקרקע בחזקת המחזיק, וא"כ כל שאין לו מיגו ואינו נאמן בטענתו, ולא מעמידים את הקרקע בידו, ממילא יש חסרון בעיקר החזקה דהיא חזקה בלא טענה.</w:t>
      </w:r>
      <w:bookmarkEnd w:id="12148"/>
    </w:p>
    <w:p w:rsidR="005306EB" w:rsidRPr="00434545" w:rsidRDefault="005306EB" w:rsidP="005306EB">
      <w:pPr>
        <w:pStyle w:val="a3"/>
      </w:pPr>
      <w:bookmarkStart w:id="12149" w:name="_Toc61469475"/>
      <w:bookmarkStart w:id="12150" w:name="_Toc61509853"/>
      <w:r>
        <w:rPr>
          <w:rFonts w:hint="cs"/>
          <w:rtl/>
        </w:rPr>
        <w:t>הביאור הב' בגרש"ר דכל שטוען רק מכח המוכר ולא מכח עצמו אין לו כח טענה וצריך מיגו</w:t>
      </w:r>
      <w:bookmarkEnd w:id="12149"/>
      <w:bookmarkEnd w:id="12150"/>
    </w:p>
    <w:p w:rsidR="005306EB" w:rsidRPr="005B73A2" w:rsidRDefault="005306EB" w:rsidP="007E4E81">
      <w:pPr>
        <w:pStyle w:val="a0"/>
        <w:rPr>
          <w:rtl/>
        </w:rPr>
      </w:pPr>
      <w:r>
        <w:rPr>
          <w:rFonts w:hint="cs"/>
          <w:rtl/>
        </w:rPr>
        <w:t xml:space="preserve">ועוד כתב </w:t>
      </w:r>
      <w:r w:rsidRPr="00C760F0">
        <w:rPr>
          <w:rStyle w:val="af9"/>
          <w:rFonts w:hint="cs"/>
          <w:rtl/>
        </w:rPr>
        <w:t>בחי' רבי שמואל</w:t>
      </w:r>
      <w:r>
        <w:rPr>
          <w:rFonts w:hint="cs"/>
          <w:rtl/>
        </w:rPr>
        <w:t xml:space="preserve"> </w:t>
      </w:r>
      <w:r w:rsidRPr="00C760F0">
        <w:rPr>
          <w:rStyle w:val="af7"/>
          <w:rFonts w:eastAsia="Guttman Hodes" w:hint="cs"/>
          <w:rtl/>
        </w:rPr>
        <w:t>(סי' כ"</w:t>
      </w:r>
      <w:r>
        <w:rPr>
          <w:rStyle w:val="af7"/>
          <w:rFonts w:eastAsia="Guttman Hodes" w:hint="cs"/>
          <w:rtl/>
        </w:rPr>
        <w:t>ב או' ג' ד"ה והיה</w:t>
      </w:r>
      <w:r w:rsidRPr="00C760F0">
        <w:rPr>
          <w:rStyle w:val="af7"/>
          <w:rFonts w:eastAsia="Guttman Hodes" w:hint="cs"/>
          <w:rtl/>
        </w:rPr>
        <w:t>)</w:t>
      </w:r>
      <w:r>
        <w:rPr>
          <w:rFonts w:hint="cs"/>
          <w:rtl/>
        </w:rPr>
        <w:t xml:space="preserve"> דאפש"ל דאי"ז חסרון בחזקה אלא בטענה, דכיון שאינו טוען מכח עצמו, אלא מכח המוכר אין לו את כח הטענה, ולכן הנאמנות היא רק מדין מיגו, אך כתב </w:t>
      </w:r>
      <w:r w:rsidRPr="00434545">
        <w:rPr>
          <w:rStyle w:val="af9"/>
          <w:rFonts w:hint="cs"/>
          <w:rtl/>
        </w:rPr>
        <w:t>בחי' רבי שמואל</w:t>
      </w:r>
      <w:r>
        <w:rPr>
          <w:rFonts w:hint="cs"/>
          <w:rtl/>
        </w:rPr>
        <w:t xml:space="preserve"> דמסתבר דהוא חסרון בחזקה ולא בטענה, עיי"ש בדבריו.</w:t>
      </w:r>
    </w:p>
    <w:p w:rsidR="005306EB" w:rsidRDefault="005306EB" w:rsidP="005306EB">
      <w:pPr>
        <w:pStyle w:val="1"/>
        <w:rPr>
          <w:rtl/>
        </w:rPr>
      </w:pPr>
      <w:bookmarkStart w:id="12151" w:name="_Toc60086878"/>
      <w:bookmarkStart w:id="12152" w:name="_Toc60173445"/>
      <w:bookmarkStart w:id="12153" w:name="_Toc60303898"/>
      <w:bookmarkStart w:id="12154" w:name="_Toc61010749"/>
      <w:bookmarkStart w:id="12155" w:name="_Toc61200695"/>
      <w:bookmarkStart w:id="12156" w:name="_Toc61213909"/>
      <w:bookmarkStart w:id="12157" w:name="_Toc61388280"/>
      <w:bookmarkStart w:id="12158" w:name="_Toc61430941"/>
      <w:bookmarkStart w:id="12159" w:name="_Toc61433984"/>
      <w:bookmarkStart w:id="12160" w:name="_Toc61438710"/>
      <w:bookmarkStart w:id="12161" w:name="_Toc61469476"/>
      <w:bookmarkStart w:id="12162" w:name="_Toc61509854"/>
      <w:bookmarkEnd w:id="12100"/>
      <w:bookmarkEnd w:id="12101"/>
      <w:bookmarkEnd w:id="12102"/>
      <w:bookmarkEnd w:id="12103"/>
      <w:bookmarkEnd w:id="12104"/>
      <w:bookmarkEnd w:id="12105"/>
      <w:bookmarkEnd w:id="12106"/>
      <w:r>
        <w:rPr>
          <w:rFonts w:hint="cs"/>
          <w:rtl/>
        </w:rPr>
        <w:t>דברי הגרנ"פ</w:t>
      </w:r>
      <w:bookmarkEnd w:id="12151"/>
      <w:bookmarkEnd w:id="12152"/>
      <w:bookmarkEnd w:id="12153"/>
      <w:bookmarkEnd w:id="12154"/>
      <w:bookmarkEnd w:id="12155"/>
      <w:bookmarkEnd w:id="12156"/>
      <w:bookmarkEnd w:id="12157"/>
      <w:bookmarkEnd w:id="12158"/>
      <w:bookmarkEnd w:id="12159"/>
      <w:bookmarkEnd w:id="12160"/>
      <w:bookmarkEnd w:id="12161"/>
      <w:r>
        <w:rPr>
          <w:rFonts w:hint="cs"/>
          <w:rtl/>
        </w:rPr>
        <w:t xml:space="preserve"> דקמי דידי בלי מיגו חסר בעיקר החזקה</w:t>
      </w:r>
      <w:bookmarkEnd w:id="12162"/>
      <w:r>
        <w:rPr>
          <w:rFonts w:hint="cs"/>
          <w:rtl/>
        </w:rPr>
        <w:t xml:space="preserve"> </w:t>
      </w:r>
    </w:p>
    <w:p w:rsidR="005306EB" w:rsidRDefault="005306EB" w:rsidP="005306EB">
      <w:pPr>
        <w:pStyle w:val="a3"/>
        <w:rPr>
          <w:rtl/>
        </w:rPr>
      </w:pPr>
      <w:bookmarkStart w:id="12163" w:name="_Toc61469477"/>
      <w:bookmarkStart w:id="12164" w:name="_Toc61509855"/>
      <w:r>
        <w:rPr>
          <w:rFonts w:hint="cs"/>
          <w:rtl/>
        </w:rPr>
        <w:t>ביאור הגרנ"פ דלתוס' חד יומא הוא דין בעיקר החזקה ובלי המיגו לא חשיב חזקה עם טענה</w:t>
      </w:r>
      <w:bookmarkEnd w:id="12163"/>
      <w:bookmarkEnd w:id="12164"/>
    </w:p>
    <w:p w:rsidR="005306EB" w:rsidRPr="00375C8F" w:rsidRDefault="005306EB" w:rsidP="007E4E81">
      <w:pPr>
        <w:pStyle w:val="a0"/>
        <w:rPr>
          <w:rStyle w:val="afb"/>
          <w:rtl/>
        </w:rPr>
      </w:pPr>
      <w:r>
        <w:rPr>
          <w:rStyle w:val="af9"/>
          <w:rFonts w:hint="cs"/>
          <w:rtl/>
        </w:rPr>
        <w:t>ו</w:t>
      </w:r>
      <w:r w:rsidRPr="008D1B15">
        <w:rPr>
          <w:rStyle w:val="af9"/>
          <w:rFonts w:hint="cs"/>
          <w:rtl/>
        </w:rPr>
        <w:t>בחי'</w:t>
      </w:r>
      <w:r>
        <w:rPr>
          <w:rFonts w:hint="cs"/>
          <w:rtl/>
        </w:rPr>
        <w:t xml:space="preserve"> </w:t>
      </w:r>
      <w:r w:rsidRPr="008D1B15">
        <w:rPr>
          <w:rStyle w:val="af9"/>
          <w:rFonts w:hint="cs"/>
          <w:rtl/>
        </w:rPr>
        <w:t>רבי</w:t>
      </w:r>
      <w:r>
        <w:rPr>
          <w:rFonts w:hint="cs"/>
          <w:rtl/>
        </w:rPr>
        <w:t xml:space="preserve"> </w:t>
      </w:r>
      <w:r w:rsidRPr="008D1B15">
        <w:rPr>
          <w:rStyle w:val="af9"/>
          <w:rFonts w:hint="cs"/>
          <w:rtl/>
        </w:rPr>
        <w:t>נחום</w:t>
      </w:r>
      <w:r>
        <w:rPr>
          <w:rFonts w:hint="cs"/>
          <w:rtl/>
        </w:rPr>
        <w:t xml:space="preserve"> </w:t>
      </w:r>
      <w:r w:rsidRPr="00375C8F">
        <w:rPr>
          <w:rStyle w:val="af7"/>
          <w:rFonts w:eastAsia="Guttman Hodes" w:hint="cs"/>
          <w:rtl/>
        </w:rPr>
        <w:t>(או' ס"ד ד"ה והנה בביאור)</w:t>
      </w:r>
      <w:r>
        <w:rPr>
          <w:rFonts w:hint="cs"/>
          <w:rtl/>
        </w:rPr>
        <w:t xml:space="preserve"> ביאר את דברי </w:t>
      </w:r>
      <w:r w:rsidRPr="00206A33">
        <w:rPr>
          <w:rStyle w:val="af9"/>
          <w:rFonts w:hint="cs"/>
          <w:rtl/>
        </w:rPr>
        <w:t>הקצוה"ח</w:t>
      </w:r>
      <w:r w:rsidRPr="00375C8F">
        <w:rPr>
          <w:rStyle w:val="af7"/>
          <w:rFonts w:eastAsia="Guttman Hodes" w:hint="cs"/>
          <w:rtl/>
        </w:rPr>
        <w:t xml:space="preserve"> (עי' אות </w:t>
      </w:r>
      <w:r w:rsidRPr="00375C8F">
        <w:rPr>
          <w:rStyle w:val="af7"/>
          <w:rFonts w:eastAsia="Guttman Hodes"/>
          <w:rtl/>
        </w:rPr>
        <w:fldChar w:fldCharType="begin"/>
      </w:r>
      <w:r w:rsidRPr="00375C8F">
        <w:rPr>
          <w:rStyle w:val="af7"/>
          <w:rFonts w:eastAsia="Guttman Hodes"/>
          <w:rtl/>
        </w:rPr>
        <w:instrText xml:space="preserve"> </w:instrText>
      </w:r>
      <w:r w:rsidRPr="00375C8F">
        <w:rPr>
          <w:rStyle w:val="af7"/>
          <w:rFonts w:eastAsia="Guttman Hodes" w:hint="cs"/>
        </w:rPr>
        <w:instrText>REF</w:instrText>
      </w:r>
      <w:r w:rsidRPr="00375C8F">
        <w:rPr>
          <w:rStyle w:val="af7"/>
          <w:rFonts w:eastAsia="Guttman Hodes" w:hint="cs"/>
          <w:rtl/>
        </w:rPr>
        <w:instrText xml:space="preserve"> _</w:instrText>
      </w:r>
      <w:r w:rsidRPr="00375C8F">
        <w:rPr>
          <w:rStyle w:val="af7"/>
          <w:rFonts w:eastAsia="Guttman Hodes" w:hint="cs"/>
        </w:rPr>
        <w:instrText>Ref61466985 \r \h</w:instrText>
      </w:r>
      <w:r w:rsidRPr="00375C8F">
        <w:rPr>
          <w:rStyle w:val="af7"/>
          <w:rFonts w:eastAsia="Guttman Hodes"/>
          <w:rtl/>
        </w:rPr>
        <w:instrText xml:space="preserve"> </w:instrText>
      </w:r>
      <w:r w:rsidRPr="00375C8F">
        <w:rPr>
          <w:rStyle w:val="af7"/>
          <w:rFonts w:eastAsia="Guttman Hodes"/>
          <w:rtl/>
        </w:rPr>
      </w:r>
      <w:r w:rsidRPr="00375C8F">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375C8F">
        <w:rPr>
          <w:rStyle w:val="af7"/>
          <w:rFonts w:eastAsia="Guttman Hodes"/>
          <w:rtl/>
        </w:rPr>
        <w:fldChar w:fldCharType="end"/>
      </w:r>
      <w:r w:rsidRPr="00375C8F">
        <w:rPr>
          <w:rStyle w:val="af7"/>
          <w:rFonts w:eastAsia="Guttman Hodes" w:hint="cs"/>
          <w:rtl/>
        </w:rPr>
        <w:t xml:space="preserve"> </w:t>
      </w:r>
      <w:r>
        <w:rPr>
          <w:rFonts w:hint="cs"/>
          <w:rtl/>
        </w:rPr>
        <w:t xml:space="preserve">דלדעת </w:t>
      </w:r>
      <w:r w:rsidRPr="00D55BC8">
        <w:rPr>
          <w:rStyle w:val="af9"/>
          <w:rFonts w:hint="cs"/>
          <w:rtl/>
        </w:rPr>
        <w:t>התוס'</w:t>
      </w:r>
      <w:r w:rsidRPr="00375C8F">
        <w:rPr>
          <w:rStyle w:val="af7"/>
          <w:rFonts w:eastAsia="Guttman Hodes" w:hint="cs"/>
          <w:rtl/>
        </w:rPr>
        <w:t xml:space="preserve"> (עי' אות </w:t>
      </w:r>
      <w:r w:rsidRPr="00375C8F">
        <w:rPr>
          <w:rStyle w:val="af7"/>
          <w:rFonts w:eastAsia="Guttman Hodes"/>
          <w:rtl/>
        </w:rPr>
        <w:fldChar w:fldCharType="begin"/>
      </w:r>
      <w:r w:rsidRPr="00375C8F">
        <w:rPr>
          <w:rStyle w:val="af7"/>
          <w:rFonts w:eastAsia="Guttman Hodes"/>
          <w:rtl/>
        </w:rPr>
        <w:instrText xml:space="preserve"> </w:instrText>
      </w:r>
      <w:r w:rsidRPr="00375C8F">
        <w:rPr>
          <w:rStyle w:val="af7"/>
          <w:rFonts w:eastAsia="Guttman Hodes" w:hint="cs"/>
        </w:rPr>
        <w:instrText>REF</w:instrText>
      </w:r>
      <w:r w:rsidRPr="00375C8F">
        <w:rPr>
          <w:rStyle w:val="af7"/>
          <w:rFonts w:eastAsia="Guttman Hodes" w:hint="cs"/>
          <w:rtl/>
        </w:rPr>
        <w:instrText xml:space="preserve"> _</w:instrText>
      </w:r>
      <w:r w:rsidRPr="00375C8F">
        <w:rPr>
          <w:rStyle w:val="af7"/>
          <w:rFonts w:eastAsia="Guttman Hodes" w:hint="cs"/>
        </w:rPr>
        <w:instrText>Ref61253162 \r \h</w:instrText>
      </w:r>
      <w:r w:rsidRPr="00375C8F">
        <w:rPr>
          <w:rStyle w:val="af7"/>
          <w:rFonts w:eastAsia="Guttman Hodes"/>
          <w:rtl/>
        </w:rPr>
        <w:instrText xml:space="preserve"> </w:instrText>
      </w:r>
      <w:r w:rsidRPr="00375C8F">
        <w:rPr>
          <w:rStyle w:val="af7"/>
          <w:rFonts w:eastAsia="Guttman Hodes"/>
          <w:rtl/>
        </w:rPr>
      </w:r>
      <w:r w:rsidRPr="00375C8F">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375C8F">
        <w:rPr>
          <w:rStyle w:val="af7"/>
          <w:rFonts w:eastAsia="Guttman Hodes"/>
          <w:rtl/>
        </w:rPr>
        <w:fldChar w:fldCharType="end"/>
      </w:r>
      <w:r w:rsidRPr="00375C8F">
        <w:rPr>
          <w:rStyle w:val="af7"/>
          <w:rFonts w:eastAsia="Guttman Hodes" w:hint="cs"/>
          <w:rtl/>
        </w:rPr>
        <w:t xml:space="preserve"> </w:t>
      </w:r>
      <w:r>
        <w:rPr>
          <w:rFonts w:hint="cs"/>
          <w:rtl/>
        </w:rPr>
        <w:t xml:space="preserve">דהנאמנות בטענת קמי דידי זבנה מינך, היא במיגו ולא מכח חזקה עם טענה, דלדעת </w:t>
      </w:r>
      <w:r w:rsidRPr="008D1B15">
        <w:rPr>
          <w:rStyle w:val="af9"/>
          <w:rFonts w:hint="cs"/>
          <w:rtl/>
        </w:rPr>
        <w:t>התוס'</w:t>
      </w:r>
      <w:r>
        <w:rPr>
          <w:rFonts w:hint="cs"/>
          <w:rtl/>
        </w:rPr>
        <w:t xml:space="preserve"> דין חד יומא, אינו דין בדין טענינן, </w:t>
      </w:r>
      <w:r w:rsidRPr="00375C8F">
        <w:rPr>
          <w:rStyle w:val="afb"/>
          <w:rFonts w:hint="cs"/>
          <w:rtl/>
        </w:rPr>
        <w:t>[</w:t>
      </w:r>
      <w:r>
        <w:rPr>
          <w:rStyle w:val="afb"/>
          <w:rFonts w:hint="cs"/>
          <w:rtl/>
        </w:rPr>
        <w:t>כדעת</w:t>
      </w:r>
      <w:r w:rsidRPr="00375C8F">
        <w:rPr>
          <w:rStyle w:val="afb"/>
          <w:rFonts w:hint="cs"/>
          <w:rtl/>
        </w:rPr>
        <w:t xml:space="preserve"> </w:t>
      </w:r>
      <w:r w:rsidRPr="00375C8F">
        <w:rPr>
          <w:rStyle w:val="affa"/>
          <w:rFonts w:hint="cs"/>
          <w:rtl/>
        </w:rPr>
        <w:t>הרמב"ן לקמן</w:t>
      </w:r>
      <w:r w:rsidRPr="00375C8F">
        <w:rPr>
          <w:rStyle w:val="afb"/>
          <w:rFonts w:hint="cs"/>
          <w:rtl/>
        </w:rPr>
        <w:t xml:space="preserve"> </w:t>
      </w:r>
      <w:r w:rsidRPr="00375C8F">
        <w:rPr>
          <w:rStyle w:val="aff6"/>
          <w:rFonts w:hint="cs"/>
          <w:rtl/>
        </w:rPr>
        <w:t>(מא: ד"ה הא, הובא בסימן י' אות כ"ה</w:t>
      </w:r>
      <w:r>
        <w:rPr>
          <w:rStyle w:val="aff6"/>
          <w:rFonts w:hint="cs"/>
          <w:rtl/>
        </w:rPr>
        <w:t>)</w:t>
      </w:r>
      <w:r w:rsidRPr="00375C8F">
        <w:rPr>
          <w:rStyle w:val="afb"/>
          <w:rFonts w:hint="cs"/>
          <w:rtl/>
        </w:rPr>
        <w:t xml:space="preserve">], </w:t>
      </w:r>
      <w:r>
        <w:rPr>
          <w:rFonts w:hint="cs"/>
          <w:rtl/>
        </w:rPr>
        <w:t xml:space="preserve">אלא הוא דין בעצם החזקה, </w:t>
      </w:r>
      <w:r w:rsidRPr="008C37FD">
        <w:rPr>
          <w:rStyle w:val="afb"/>
          <w:rFonts w:hint="cs"/>
          <w:rtl/>
        </w:rPr>
        <w:t xml:space="preserve">[כדביאר </w:t>
      </w:r>
      <w:r w:rsidRPr="00DA3F18">
        <w:rPr>
          <w:rStyle w:val="affa"/>
          <w:rFonts w:hint="cs"/>
          <w:rtl/>
        </w:rPr>
        <w:t xml:space="preserve">בחי' רבי נחום </w:t>
      </w:r>
      <w:r w:rsidRPr="00375C8F">
        <w:rPr>
          <w:rStyle w:val="af7"/>
          <w:rFonts w:eastAsia="Guttman Hodes" w:hint="cs"/>
          <w:rtl/>
        </w:rPr>
        <w:t>(או' ס"ג ד"ה ואולי, הובא בסימן י' אות קכ"ב)</w:t>
      </w:r>
      <w:r w:rsidRPr="008C37FD">
        <w:rPr>
          <w:rStyle w:val="afb"/>
          <w:rFonts w:hint="cs"/>
          <w:rtl/>
        </w:rPr>
        <w:t xml:space="preserve"> בדעת </w:t>
      </w:r>
      <w:r w:rsidRPr="00DA3F18">
        <w:rPr>
          <w:rStyle w:val="affa"/>
          <w:rFonts w:hint="cs"/>
          <w:rtl/>
        </w:rPr>
        <w:t>התוס'</w:t>
      </w:r>
      <w:r w:rsidRPr="008C37FD">
        <w:rPr>
          <w:rStyle w:val="afb"/>
          <w:rFonts w:hint="cs"/>
          <w:rtl/>
        </w:rPr>
        <w:t xml:space="preserve">, וכדהוכיח בחי' </w:t>
      </w:r>
      <w:r w:rsidRPr="005A6791">
        <w:rPr>
          <w:rStyle w:val="affa"/>
          <w:rFonts w:hint="cs"/>
          <w:rtl/>
        </w:rPr>
        <w:t>רבי נחום לעיל</w:t>
      </w:r>
      <w:r>
        <w:rPr>
          <w:rStyle w:val="afb"/>
          <w:rFonts w:hint="cs"/>
          <w:rtl/>
        </w:rPr>
        <w:t xml:space="preserve"> </w:t>
      </w:r>
      <w:r w:rsidRPr="005A6791">
        <w:rPr>
          <w:rStyle w:val="aff6"/>
          <w:rFonts w:hint="cs"/>
          <w:rtl/>
        </w:rPr>
        <w:t>(כט. או' ל"ט)</w:t>
      </w:r>
      <w:r w:rsidRPr="008C37FD">
        <w:rPr>
          <w:rStyle w:val="afb"/>
          <w:rFonts w:hint="cs"/>
          <w:rtl/>
        </w:rPr>
        <w:t xml:space="preserve"> מדברי </w:t>
      </w:r>
      <w:r w:rsidRPr="005A6791">
        <w:rPr>
          <w:rStyle w:val="affa"/>
          <w:rFonts w:hint="cs"/>
          <w:rtl/>
        </w:rPr>
        <w:t>הר"ן לעיל</w:t>
      </w:r>
      <w:r w:rsidRPr="008C37FD">
        <w:rPr>
          <w:rStyle w:val="afb"/>
          <w:rFonts w:hint="cs"/>
          <w:rtl/>
        </w:rPr>
        <w:t xml:space="preserve"> </w:t>
      </w:r>
      <w:r w:rsidRPr="005A6791">
        <w:rPr>
          <w:rStyle w:val="aff6"/>
          <w:rFonts w:hint="cs"/>
          <w:rtl/>
        </w:rPr>
        <w:t>(כט. ד"ה מי</w:t>
      </w:r>
      <w:r>
        <w:rPr>
          <w:rStyle w:val="aff6"/>
          <w:rFonts w:hint="cs"/>
          <w:rtl/>
        </w:rPr>
        <w:t>)</w:t>
      </w:r>
      <w:r w:rsidRPr="00E321A9">
        <w:rPr>
          <w:rStyle w:val="afb"/>
          <w:rFonts w:hint="cs"/>
          <w:rtl/>
        </w:rPr>
        <w:t>]</w:t>
      </w:r>
      <w:r>
        <w:rPr>
          <w:rStyle w:val="afb"/>
          <w:rFonts w:hint="cs"/>
          <w:rtl/>
        </w:rPr>
        <w:t>,</w:t>
      </w:r>
      <w:r>
        <w:rPr>
          <w:rFonts w:hint="cs"/>
          <w:rtl/>
        </w:rPr>
        <w:t xml:space="preserve"> ורק כשדר המוכר בה חד יומא, חשיבא חזקת המחזיק כהמשך לחזקת המוכר, ומהני החזקה להוכיח שהמוכר קנה מהמערער, וכתב </w:t>
      </w:r>
      <w:r w:rsidRPr="008D1B15">
        <w:rPr>
          <w:rStyle w:val="af9"/>
          <w:rFonts w:hint="cs"/>
          <w:rtl/>
        </w:rPr>
        <w:t>בחי'</w:t>
      </w:r>
      <w:r>
        <w:rPr>
          <w:rFonts w:hint="cs"/>
          <w:rtl/>
        </w:rPr>
        <w:t xml:space="preserve"> </w:t>
      </w:r>
      <w:r w:rsidRPr="008D1B15">
        <w:rPr>
          <w:rStyle w:val="af9"/>
          <w:rFonts w:hint="cs"/>
          <w:rtl/>
        </w:rPr>
        <w:t>רבי</w:t>
      </w:r>
      <w:r>
        <w:rPr>
          <w:rFonts w:hint="cs"/>
          <w:rtl/>
        </w:rPr>
        <w:t xml:space="preserve"> </w:t>
      </w:r>
      <w:r w:rsidRPr="008D1B15">
        <w:rPr>
          <w:rStyle w:val="af9"/>
          <w:rFonts w:hint="cs"/>
          <w:rtl/>
        </w:rPr>
        <w:t>נחום</w:t>
      </w:r>
      <w:r>
        <w:rPr>
          <w:rFonts w:hint="cs"/>
          <w:rtl/>
        </w:rPr>
        <w:t xml:space="preserve"> דא"כ מבואר דטענת קמי דידי דר בה חד יומא, לא מהני בלא מיגו, דהא יש חסרון בעצם החזקה של המחזיק, דבלא המיגו, אינה חזקה שמוכיחה שקנה המוכר מהמערער, וא"כ אף טענת ברי לא מהני להחשיבה כחזקה עם טענה, וכדמוכח מדברי </w:t>
      </w:r>
      <w:r w:rsidRPr="008D1B15">
        <w:rPr>
          <w:rStyle w:val="af9"/>
          <w:rFonts w:hint="cs"/>
          <w:rtl/>
        </w:rPr>
        <w:t>הר"ן לעיל</w:t>
      </w:r>
      <w:r>
        <w:rPr>
          <w:rFonts w:hint="cs"/>
          <w:rtl/>
        </w:rPr>
        <w:t xml:space="preserve"> </w:t>
      </w:r>
      <w:r w:rsidRPr="00375C8F">
        <w:rPr>
          <w:rStyle w:val="af7"/>
          <w:rFonts w:eastAsia="Guttman Hodes" w:hint="cs"/>
          <w:rtl/>
        </w:rPr>
        <w:t>(כט. ד"ה מי)</w:t>
      </w:r>
      <w:r>
        <w:rPr>
          <w:rFonts w:hint="cs"/>
          <w:rtl/>
        </w:rPr>
        <w:t xml:space="preserve"> דאף כשהמוכר עצמו לפנינו וטוען שקנה מהמערער, לא מהני החזקה בלא המיגו</w:t>
      </w:r>
      <w:r w:rsidRPr="00375C8F">
        <w:rPr>
          <w:rStyle w:val="afb"/>
          <w:rFonts w:hint="cs"/>
          <w:rtl/>
        </w:rPr>
        <w:t xml:space="preserve">. [ועיי"ש במה שהוסיף לבאר </w:t>
      </w:r>
      <w:r w:rsidRPr="00375C8F">
        <w:rPr>
          <w:rStyle w:val="affa"/>
          <w:rFonts w:hint="cs"/>
          <w:rtl/>
        </w:rPr>
        <w:t>בחי' רבי נחום</w:t>
      </w:r>
      <w:r w:rsidRPr="00375C8F">
        <w:rPr>
          <w:rStyle w:val="afb"/>
          <w:rFonts w:hint="cs"/>
          <w:rtl/>
        </w:rPr>
        <w:t xml:space="preserve"> את דברי </w:t>
      </w:r>
      <w:r w:rsidRPr="00375C8F">
        <w:rPr>
          <w:rStyle w:val="affa"/>
          <w:rFonts w:hint="cs"/>
          <w:rtl/>
        </w:rPr>
        <w:t>הרשב"ם לקמן</w:t>
      </w:r>
      <w:r w:rsidRPr="00375C8F">
        <w:rPr>
          <w:rStyle w:val="afb"/>
          <w:rFonts w:hint="cs"/>
          <w:rtl/>
        </w:rPr>
        <w:t xml:space="preserve"> </w:t>
      </w:r>
      <w:r w:rsidRPr="00375C8F">
        <w:rPr>
          <w:rStyle w:val="aff6"/>
          <w:rFonts w:hint="cs"/>
          <w:rtl/>
        </w:rPr>
        <w:t>(לא. ד"ה ומודו)</w:t>
      </w:r>
      <w:r w:rsidRPr="00375C8F">
        <w:rPr>
          <w:rStyle w:val="afb"/>
          <w:rFonts w:hint="cs"/>
          <w:rtl/>
        </w:rPr>
        <w:t xml:space="preserve"> דס"ל דהוא גם נאמנות של מיגו וגם חזקה עם טענה, בכדי שע"י המיגו יהיה לו נאמנות אף בכח הטענה].</w:t>
      </w:r>
    </w:p>
    <w:p w:rsidR="005306EB" w:rsidRDefault="005306EB" w:rsidP="005306EB">
      <w:pPr>
        <w:pStyle w:val="afe"/>
        <w:rPr>
          <w:rtl/>
        </w:rPr>
      </w:pPr>
      <w:bookmarkStart w:id="12165" w:name="_Toc61469478"/>
      <w:bookmarkStart w:id="12166" w:name="_Toc61509856"/>
      <w:bookmarkStart w:id="12167" w:name="_Toc61200698"/>
      <w:bookmarkStart w:id="12168" w:name="_Toc61213912"/>
      <w:bookmarkStart w:id="12169" w:name="_Toc61388283"/>
      <w:bookmarkStart w:id="12170" w:name="_Toc61430944"/>
      <w:bookmarkStart w:id="12171" w:name="_Toc61433987"/>
      <w:bookmarkStart w:id="12172" w:name="_Toc61438713"/>
      <w:r>
        <w:rPr>
          <w:rFonts w:hint="cs"/>
          <w:rtl/>
        </w:rPr>
        <w:t>בביאור טענות המערער לד' הרשב"ם</w:t>
      </w:r>
      <w:bookmarkEnd w:id="12165"/>
      <w:bookmarkEnd w:id="12166"/>
    </w:p>
    <w:p w:rsidR="005306EB" w:rsidRDefault="005306EB" w:rsidP="005306EB">
      <w:pPr>
        <w:pStyle w:val="1"/>
        <w:rPr>
          <w:rtl/>
        </w:rPr>
      </w:pPr>
      <w:bookmarkStart w:id="12173" w:name="_Toc61469479"/>
      <w:bookmarkStart w:id="12174" w:name="_Toc61509857"/>
      <w:r>
        <w:rPr>
          <w:rFonts w:hint="cs"/>
          <w:rtl/>
        </w:rPr>
        <w:t>דברי הגרנ"פ דמשמע ברשב"ם דכשאין חזקה אין המחזיק מוחזק</w:t>
      </w:r>
      <w:bookmarkEnd w:id="12173"/>
      <w:bookmarkEnd w:id="12174"/>
    </w:p>
    <w:p w:rsidR="005306EB" w:rsidRPr="00F40711" w:rsidRDefault="005306EB" w:rsidP="005306EB">
      <w:pPr>
        <w:pStyle w:val="a3"/>
        <w:rPr>
          <w:rtl/>
        </w:rPr>
      </w:pPr>
      <w:bookmarkStart w:id="12175" w:name="_Toc61469480"/>
      <w:bookmarkStart w:id="12176" w:name="_Toc61509858"/>
      <w:r>
        <w:rPr>
          <w:rFonts w:hint="cs"/>
          <w:rtl/>
        </w:rPr>
        <w:t>קושית הגרנ"פ דברשב"ם משמע דבטענת מינך זבינתה בלי חזקה יש חסרון בעיקר המוחזקות</w:t>
      </w:r>
      <w:bookmarkEnd w:id="12175"/>
      <w:bookmarkEnd w:id="12176"/>
      <w:r>
        <w:rPr>
          <w:rFonts w:hint="cs"/>
          <w:rtl/>
        </w:rPr>
        <w:t xml:space="preserve"> </w:t>
      </w:r>
    </w:p>
    <w:p w:rsidR="005306EB" w:rsidRDefault="005306EB" w:rsidP="007E4E81">
      <w:pPr>
        <w:pStyle w:val="a0"/>
        <w:rPr>
          <w:rtl/>
        </w:rPr>
      </w:pPr>
      <w:bookmarkStart w:id="12177" w:name="_Ref61459962"/>
      <w:r>
        <w:rPr>
          <w:rFonts w:hint="cs"/>
          <w:rtl/>
        </w:rPr>
        <w:t xml:space="preserve">במ"ש </w:t>
      </w:r>
      <w:r w:rsidRPr="00A921EB">
        <w:rPr>
          <w:rStyle w:val="af9"/>
          <w:rFonts w:hint="cs"/>
          <w:rtl/>
        </w:rPr>
        <w:t xml:space="preserve">הדרישה </w:t>
      </w:r>
      <w:r w:rsidRPr="00477AE3">
        <w:rPr>
          <w:rStyle w:val="af7"/>
          <w:rFonts w:eastAsia="Guttman Hodes" w:hint="cs"/>
          <w:rtl/>
        </w:rPr>
        <w:t xml:space="preserve">(עי' אות </w:t>
      </w:r>
      <w:r w:rsidRPr="00477AE3">
        <w:rPr>
          <w:rStyle w:val="af7"/>
          <w:rFonts w:eastAsia="Guttman Hodes"/>
          <w:rtl/>
        </w:rPr>
        <w:fldChar w:fldCharType="begin"/>
      </w:r>
      <w:r w:rsidRPr="00477AE3">
        <w:rPr>
          <w:rStyle w:val="af7"/>
          <w:rFonts w:eastAsia="Guttman Hodes"/>
          <w:rtl/>
        </w:rPr>
        <w:instrText xml:space="preserve"> </w:instrText>
      </w:r>
      <w:r w:rsidRPr="00477AE3">
        <w:rPr>
          <w:rStyle w:val="af7"/>
          <w:rFonts w:eastAsia="Guttman Hodes" w:hint="cs"/>
        </w:rPr>
        <w:instrText>REF</w:instrText>
      </w:r>
      <w:r w:rsidRPr="00477AE3">
        <w:rPr>
          <w:rStyle w:val="af7"/>
          <w:rFonts w:eastAsia="Guttman Hodes" w:hint="cs"/>
          <w:rtl/>
        </w:rPr>
        <w:instrText xml:space="preserve"> _</w:instrText>
      </w:r>
      <w:r w:rsidRPr="00477AE3">
        <w:rPr>
          <w:rStyle w:val="af7"/>
          <w:rFonts w:eastAsia="Guttman Hodes" w:hint="cs"/>
        </w:rPr>
        <w:instrText>Ref61448588 \r \h</w:instrText>
      </w:r>
      <w:r w:rsidRPr="00477AE3">
        <w:rPr>
          <w:rStyle w:val="af7"/>
          <w:rFonts w:eastAsia="Guttman Hodes"/>
          <w:rtl/>
        </w:rPr>
        <w:instrText xml:space="preserve"> </w:instrText>
      </w:r>
      <w:r w:rsidRPr="00477AE3">
        <w:rPr>
          <w:rStyle w:val="af7"/>
          <w:rFonts w:eastAsia="Guttman Hodes"/>
          <w:rtl/>
        </w:rPr>
      </w:r>
      <w:r w:rsidRPr="00477AE3">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477AE3">
        <w:rPr>
          <w:rStyle w:val="af7"/>
          <w:rFonts w:eastAsia="Guttman Hodes"/>
          <w:rtl/>
        </w:rPr>
        <w:fldChar w:fldCharType="end"/>
      </w:r>
      <w:r>
        <w:rPr>
          <w:rFonts w:hint="cs"/>
          <w:rtl/>
        </w:rPr>
        <w:t xml:space="preserve"> </w:t>
      </w:r>
      <w:r w:rsidRPr="00A921EB">
        <w:rPr>
          <w:rStyle w:val="af9"/>
          <w:rFonts w:hint="cs"/>
          <w:rtl/>
        </w:rPr>
        <w:t>והבית הלוי</w:t>
      </w:r>
      <w:r>
        <w:rPr>
          <w:rFonts w:hint="cs"/>
          <w:rtl/>
        </w:rPr>
        <w:t xml:space="preserve"> </w:t>
      </w:r>
      <w:r w:rsidRPr="00477AE3">
        <w:rPr>
          <w:rStyle w:val="af7"/>
          <w:rFonts w:eastAsia="Guttman Hodes" w:hint="cs"/>
          <w:rtl/>
        </w:rPr>
        <w:t xml:space="preserve">(עי' אות </w:t>
      </w:r>
      <w:r w:rsidRPr="00477AE3">
        <w:rPr>
          <w:rStyle w:val="af7"/>
          <w:rFonts w:eastAsia="Guttman Hodes"/>
          <w:rtl/>
        </w:rPr>
        <w:fldChar w:fldCharType="begin"/>
      </w:r>
      <w:r w:rsidRPr="00477AE3">
        <w:rPr>
          <w:rStyle w:val="af7"/>
          <w:rFonts w:eastAsia="Guttman Hodes"/>
          <w:rtl/>
        </w:rPr>
        <w:instrText xml:space="preserve"> </w:instrText>
      </w:r>
      <w:r w:rsidRPr="00477AE3">
        <w:rPr>
          <w:rStyle w:val="af7"/>
          <w:rFonts w:eastAsia="Guttman Hodes" w:hint="cs"/>
        </w:rPr>
        <w:instrText>REF</w:instrText>
      </w:r>
      <w:r w:rsidRPr="00477AE3">
        <w:rPr>
          <w:rStyle w:val="af7"/>
          <w:rFonts w:eastAsia="Guttman Hodes" w:hint="cs"/>
          <w:rtl/>
        </w:rPr>
        <w:instrText xml:space="preserve"> _</w:instrText>
      </w:r>
      <w:r w:rsidRPr="00477AE3">
        <w:rPr>
          <w:rStyle w:val="af7"/>
          <w:rFonts w:eastAsia="Guttman Hodes" w:hint="cs"/>
        </w:rPr>
        <w:instrText>Ref58091424 \r \h</w:instrText>
      </w:r>
      <w:r w:rsidRPr="00477AE3">
        <w:rPr>
          <w:rStyle w:val="af7"/>
          <w:rFonts w:eastAsia="Guttman Hodes"/>
          <w:rtl/>
        </w:rPr>
        <w:instrText xml:space="preserve"> </w:instrText>
      </w:r>
      <w:r w:rsidRPr="00477AE3">
        <w:rPr>
          <w:rStyle w:val="af7"/>
          <w:rFonts w:eastAsia="Guttman Hodes"/>
          <w:rtl/>
        </w:rPr>
      </w:r>
      <w:r w:rsidRPr="00477AE3">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477AE3">
        <w:rPr>
          <w:rStyle w:val="af7"/>
          <w:rFonts w:eastAsia="Guttman Hodes"/>
          <w:rtl/>
        </w:rPr>
        <w:fldChar w:fldCharType="end"/>
      </w:r>
      <w:r>
        <w:rPr>
          <w:rFonts w:hint="cs"/>
          <w:rtl/>
        </w:rPr>
        <w:t xml:space="preserve"> דלדעת </w:t>
      </w:r>
      <w:r w:rsidRPr="00A921EB">
        <w:rPr>
          <w:rStyle w:val="af9"/>
          <w:rFonts w:hint="cs"/>
          <w:rtl/>
        </w:rPr>
        <w:t>הרשב"ם</w:t>
      </w:r>
      <w:r>
        <w:rPr>
          <w:rFonts w:hint="cs"/>
          <w:rtl/>
        </w:rPr>
        <w:t xml:space="preserve"> לא מהני המיגו כנגד טענת אחוי שטרך, כתב </w:t>
      </w:r>
      <w:r w:rsidRPr="00A921EB">
        <w:rPr>
          <w:rStyle w:val="af9"/>
          <w:rFonts w:hint="cs"/>
          <w:rtl/>
        </w:rPr>
        <w:t>בחי' רבי נחום</w:t>
      </w:r>
      <w:r>
        <w:rPr>
          <w:rFonts w:hint="cs"/>
          <w:rtl/>
        </w:rPr>
        <w:t xml:space="preserve"> </w:t>
      </w:r>
      <w:r w:rsidRPr="00A921EB">
        <w:rPr>
          <w:rStyle w:val="af7"/>
          <w:rFonts w:eastAsia="Guttman Hodes" w:hint="cs"/>
          <w:rtl/>
        </w:rPr>
        <w:t>(או' נ"ט ד"ה אמנם מלשון)</w:t>
      </w:r>
      <w:r>
        <w:rPr>
          <w:rFonts w:hint="cs"/>
          <w:rtl/>
        </w:rPr>
        <w:t xml:space="preserve"> דלא משמע כן בדברי </w:t>
      </w:r>
      <w:r w:rsidRPr="00477AE3">
        <w:rPr>
          <w:rStyle w:val="af9"/>
          <w:rFonts w:hint="cs"/>
          <w:rtl/>
        </w:rPr>
        <w:t>הרשב"ם</w:t>
      </w:r>
      <w:r w:rsidRPr="00477AE3">
        <w:rPr>
          <w:rFonts w:hint="cs"/>
          <w:rtl/>
        </w:rPr>
        <w:t xml:space="preserve"> </w:t>
      </w:r>
      <w:r w:rsidRPr="00477AE3">
        <w:rPr>
          <w:rStyle w:val="af7"/>
          <w:rFonts w:eastAsia="Guttman Hodes" w:hint="cs"/>
          <w:rtl/>
        </w:rPr>
        <w:t xml:space="preserve">(עי' אות </w:t>
      </w:r>
      <w:r w:rsidRPr="00477AE3">
        <w:rPr>
          <w:rStyle w:val="af7"/>
          <w:rFonts w:eastAsia="Guttman Hodes"/>
          <w:rtl/>
        </w:rPr>
        <w:fldChar w:fldCharType="begin"/>
      </w:r>
      <w:r w:rsidRPr="00477AE3">
        <w:rPr>
          <w:rStyle w:val="af7"/>
          <w:rFonts w:eastAsia="Guttman Hodes"/>
          <w:rtl/>
        </w:rPr>
        <w:instrText xml:space="preserve"> </w:instrText>
      </w:r>
      <w:r w:rsidRPr="00477AE3">
        <w:rPr>
          <w:rStyle w:val="af7"/>
          <w:rFonts w:eastAsia="Guttman Hodes" w:hint="cs"/>
        </w:rPr>
        <w:instrText>REF</w:instrText>
      </w:r>
      <w:r w:rsidRPr="00477AE3">
        <w:rPr>
          <w:rStyle w:val="af7"/>
          <w:rFonts w:eastAsia="Guttman Hodes" w:hint="cs"/>
          <w:rtl/>
        </w:rPr>
        <w:instrText xml:space="preserve"> _</w:instrText>
      </w:r>
      <w:r w:rsidRPr="00477AE3">
        <w:rPr>
          <w:rStyle w:val="af7"/>
          <w:rFonts w:eastAsia="Guttman Hodes" w:hint="cs"/>
        </w:rPr>
        <w:instrText>Ref61384635 \r \h</w:instrText>
      </w:r>
      <w:r w:rsidRPr="00477AE3">
        <w:rPr>
          <w:rStyle w:val="af7"/>
          <w:rFonts w:eastAsia="Guttman Hodes"/>
          <w:rtl/>
        </w:rPr>
        <w:instrText xml:space="preserve"> </w:instrText>
      </w:r>
      <w:r w:rsidRPr="00477AE3">
        <w:rPr>
          <w:rStyle w:val="af7"/>
          <w:rFonts w:eastAsia="Guttman Hodes"/>
          <w:rtl/>
        </w:rPr>
      </w:r>
      <w:r w:rsidRPr="00477AE3">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477AE3">
        <w:rPr>
          <w:rStyle w:val="af7"/>
          <w:rFonts w:eastAsia="Guttman Hodes"/>
          <w:rtl/>
        </w:rPr>
        <w:fldChar w:fldCharType="end"/>
      </w:r>
      <w:r w:rsidRPr="00477AE3">
        <w:rPr>
          <w:rFonts w:hint="cs"/>
          <w:rtl/>
        </w:rPr>
        <w:t xml:space="preserve"> דכתב דהא דלא מהני טענת מינך זבינתה, דטוען לו המערער</w:t>
      </w:r>
      <w:r>
        <w:rPr>
          <w:rFonts w:hint="cs"/>
          <w:rtl/>
        </w:rPr>
        <w:t xml:space="preserve"> שאף אם היית טוען שקנית ממני, מ"מ אין לך לא שטר ולא חזקה, ואומר המערער למחזיק שיצא מהקרקע דלאו בע"ד דידי את, דהמערער מוחזק בקרקע יותר מהמחזיק, כיון שלמחזיק אין חזקת ג"ש, וכתב </w:t>
      </w:r>
      <w:r w:rsidRPr="00A921EB">
        <w:rPr>
          <w:rStyle w:val="af9"/>
          <w:rFonts w:hint="cs"/>
          <w:rtl/>
        </w:rPr>
        <w:t>בחי' רבי נחום</w:t>
      </w:r>
      <w:r>
        <w:rPr>
          <w:rFonts w:hint="cs"/>
          <w:rtl/>
        </w:rPr>
        <w:t xml:space="preserve"> דמשמע מדבריו דיש למחזיק חסרון בעיקר המוחזקות שלו, ולא רק דיש כנגדו טענת אחוי שטרך.</w:t>
      </w:r>
      <w:bookmarkEnd w:id="12177"/>
    </w:p>
    <w:p w:rsidR="005306EB" w:rsidRDefault="005306EB" w:rsidP="005306EB">
      <w:pPr>
        <w:pStyle w:val="a3"/>
        <w:rPr>
          <w:rtl/>
        </w:rPr>
      </w:pPr>
      <w:bookmarkStart w:id="12178" w:name="_Toc61469481"/>
      <w:bookmarkStart w:id="12179" w:name="_Toc61509859"/>
      <w:r>
        <w:rPr>
          <w:rFonts w:hint="cs"/>
          <w:rtl/>
        </w:rPr>
        <w:t>דברי הגרנ"פ דמשמע ברשב"ם דהמוכר עצמו אינו נאמן במינך זבינתה אף שיתכן שיש לו שטר</w:t>
      </w:r>
      <w:bookmarkEnd w:id="12178"/>
      <w:bookmarkEnd w:id="12179"/>
    </w:p>
    <w:p w:rsidR="005306EB" w:rsidRDefault="005306EB" w:rsidP="007E4E81">
      <w:pPr>
        <w:pStyle w:val="a0"/>
        <w:rPr>
          <w:rtl/>
        </w:rPr>
      </w:pPr>
      <w:r>
        <w:rPr>
          <w:rFonts w:hint="cs"/>
          <w:rtl/>
        </w:rPr>
        <w:t xml:space="preserve">והוסיף </w:t>
      </w:r>
      <w:r w:rsidRPr="00A921EB">
        <w:rPr>
          <w:rStyle w:val="af9"/>
          <w:rFonts w:hint="cs"/>
          <w:rtl/>
        </w:rPr>
        <w:t>בחי' רבי נחום</w:t>
      </w:r>
      <w:r>
        <w:rPr>
          <w:rFonts w:hint="cs"/>
          <w:rtl/>
        </w:rPr>
        <w:t xml:space="preserve"> דהרי כתב </w:t>
      </w:r>
      <w:r w:rsidRPr="00A921EB">
        <w:rPr>
          <w:rStyle w:val="af9"/>
          <w:rFonts w:hint="cs"/>
          <w:rtl/>
        </w:rPr>
        <w:t>הרשב"ם</w:t>
      </w:r>
      <w:r>
        <w:rPr>
          <w:rFonts w:hint="cs"/>
          <w:rtl/>
        </w:rPr>
        <w:t xml:space="preserve"> </w:t>
      </w:r>
      <w:r w:rsidRPr="00485BA9">
        <w:rPr>
          <w:rStyle w:val="af7"/>
          <w:rFonts w:eastAsia="Guttman Hodes" w:hint="cs"/>
          <w:rtl/>
        </w:rPr>
        <w:t xml:space="preserve">(ד"ה אמר ליה, הובא בסימן </w:t>
      </w:r>
      <w:r>
        <w:rPr>
          <w:rStyle w:val="af7"/>
          <w:rFonts w:eastAsia="Guttman Hodes" w:hint="cs"/>
          <w:rtl/>
        </w:rPr>
        <w:t>ט</w:t>
      </w:r>
      <w:r w:rsidRPr="00485BA9">
        <w:rPr>
          <w:rStyle w:val="af7"/>
          <w:rFonts w:eastAsia="Guttman Hodes" w:hint="cs"/>
          <w:rtl/>
        </w:rPr>
        <w:t xml:space="preserve">' אות </w:t>
      </w:r>
      <w:r>
        <w:rPr>
          <w:rStyle w:val="af7"/>
          <w:rFonts w:eastAsia="Guttman Hodes" w:hint="cs"/>
          <w:rtl/>
        </w:rPr>
        <w:t>כ"ח</w:t>
      </w:r>
      <w:r w:rsidRPr="00485BA9">
        <w:rPr>
          <w:rStyle w:val="af7"/>
          <w:rFonts w:eastAsia="Guttman Hodes" w:hint="cs"/>
          <w:rtl/>
        </w:rPr>
        <w:t>)</w:t>
      </w:r>
      <w:r w:rsidRPr="00A75CA9">
        <w:rPr>
          <w:rStyle w:val="af7"/>
          <w:rFonts w:eastAsia="Guttman Hodes" w:hint="cs"/>
          <w:rtl/>
        </w:rPr>
        <w:t xml:space="preserve"> </w:t>
      </w:r>
      <w:r>
        <w:rPr>
          <w:rFonts w:hint="cs"/>
          <w:rtl/>
        </w:rPr>
        <w:t xml:space="preserve">דאף כשיש עדים שדר המוכר חד יומא, כל שאין למחזיק חזקת ג"ש, לא טענינן ליה דהמוכר קנה מהמערער, ומשמע דס"ל דלא מהני טענת מינך זבינתה בתוך ג"ש, וא"כ אף המוכר עצמו לא היה נאמן לטעון מינך זבינתה בתוך ג"ש, וא"כ מבואר דא"א לומר </w:t>
      </w:r>
      <w:r w:rsidRPr="00B05C55">
        <w:rPr>
          <w:rStyle w:val="af9"/>
          <w:rFonts w:hint="cs"/>
          <w:rtl/>
        </w:rPr>
        <w:t xml:space="preserve">כהדרישה והבית הלוי </w:t>
      </w:r>
      <w:r>
        <w:rPr>
          <w:rFonts w:hint="cs"/>
          <w:rtl/>
        </w:rPr>
        <w:t>דהא דאינו נאמן בטענת מינך זבינתה הוא כיון שיש כנגדו טענת אחוי שטרך, דהא מנלן שלא היה למוכר שטר, הא יתכן שיש לו שטר והוא היה נאמן בטענת מינך זבינתה.</w:t>
      </w:r>
    </w:p>
    <w:p w:rsidR="005306EB" w:rsidRDefault="005306EB" w:rsidP="005306EB">
      <w:pPr>
        <w:pStyle w:val="1"/>
        <w:rPr>
          <w:rtl/>
        </w:rPr>
      </w:pPr>
      <w:bookmarkStart w:id="12180" w:name="_Toc61469482"/>
      <w:bookmarkStart w:id="12181" w:name="_Toc61509860"/>
      <w:r w:rsidRPr="00FF18BF">
        <w:rPr>
          <w:rFonts w:hint="cs"/>
          <w:rtl/>
        </w:rPr>
        <w:t xml:space="preserve">ביאור הגרנ"פ </w:t>
      </w:r>
      <w:r>
        <w:rPr>
          <w:rFonts w:hint="cs"/>
          <w:rtl/>
        </w:rPr>
        <w:t>דבלי חזקה המערער מוחזק ול"מ הפה שאסר</w:t>
      </w:r>
      <w:bookmarkEnd w:id="12180"/>
      <w:bookmarkEnd w:id="12181"/>
    </w:p>
    <w:p w:rsidR="005306EB" w:rsidRDefault="005306EB" w:rsidP="005306EB">
      <w:pPr>
        <w:pStyle w:val="a3"/>
        <w:rPr>
          <w:rtl/>
        </w:rPr>
      </w:pPr>
      <w:bookmarkStart w:id="12182" w:name="_Toc61469483"/>
      <w:bookmarkStart w:id="12183" w:name="_Toc61509861"/>
      <w:r>
        <w:rPr>
          <w:rFonts w:hint="cs"/>
          <w:rtl/>
        </w:rPr>
        <w:t>ביאור הגרנ"פ ברשב"ם דבלא חזקה אינו נעשה מוחזק בטענתו ול"מ בזה הפה שאסר</w:t>
      </w:r>
      <w:bookmarkEnd w:id="12182"/>
      <w:bookmarkEnd w:id="12183"/>
    </w:p>
    <w:p w:rsidR="005306EB" w:rsidRDefault="005306EB" w:rsidP="007E4E81">
      <w:pPr>
        <w:pStyle w:val="a0"/>
        <w:rPr>
          <w:rtl/>
        </w:rPr>
      </w:pPr>
      <w:r>
        <w:rPr>
          <w:rFonts w:hint="cs"/>
          <w:rtl/>
        </w:rPr>
        <w:t>ו</w:t>
      </w:r>
      <w:r w:rsidRPr="00215AFB">
        <w:rPr>
          <w:rFonts w:hint="cs"/>
          <w:rtl/>
        </w:rPr>
        <w:t xml:space="preserve">ביאר </w:t>
      </w:r>
      <w:r w:rsidRPr="00215AFB">
        <w:rPr>
          <w:rStyle w:val="af9"/>
          <w:rFonts w:hint="cs"/>
          <w:rtl/>
        </w:rPr>
        <w:t>בחי'</w:t>
      </w:r>
      <w:r w:rsidRPr="00215AFB">
        <w:rPr>
          <w:rFonts w:hint="cs"/>
          <w:rtl/>
        </w:rPr>
        <w:t xml:space="preserve"> </w:t>
      </w:r>
      <w:r w:rsidRPr="00215AFB">
        <w:rPr>
          <w:rStyle w:val="af9"/>
          <w:rFonts w:hint="cs"/>
          <w:rtl/>
        </w:rPr>
        <w:t>רבי</w:t>
      </w:r>
      <w:r w:rsidRPr="00215AFB">
        <w:rPr>
          <w:rFonts w:hint="cs"/>
          <w:rtl/>
        </w:rPr>
        <w:t xml:space="preserve"> </w:t>
      </w:r>
      <w:r w:rsidRPr="00215AFB">
        <w:rPr>
          <w:rStyle w:val="af9"/>
          <w:rFonts w:hint="cs"/>
          <w:rtl/>
        </w:rPr>
        <w:t>נחום</w:t>
      </w:r>
      <w:r w:rsidRPr="00215AFB">
        <w:rPr>
          <w:rFonts w:hint="cs"/>
          <w:rtl/>
        </w:rPr>
        <w:t xml:space="preserve"> </w:t>
      </w:r>
      <w:r w:rsidRPr="00215AFB">
        <w:rPr>
          <w:rStyle w:val="af7"/>
          <w:rFonts w:eastAsia="Guttman Hodes" w:hint="cs"/>
          <w:rtl/>
        </w:rPr>
        <w:t>(או' נ"ט ד"ה וע"כ נראה)</w:t>
      </w:r>
      <w:r w:rsidRPr="00215AFB">
        <w:rPr>
          <w:rFonts w:hint="cs"/>
          <w:rtl/>
        </w:rPr>
        <w:t xml:space="preserve"> דהא </w:t>
      </w:r>
      <w:r>
        <w:rPr>
          <w:rFonts w:hint="cs"/>
          <w:rtl/>
        </w:rPr>
        <w:t>ד</w:t>
      </w:r>
      <w:r w:rsidRPr="00215AFB">
        <w:rPr>
          <w:rFonts w:hint="cs"/>
          <w:rtl/>
        </w:rPr>
        <w:t xml:space="preserve">לדעת </w:t>
      </w:r>
      <w:r>
        <w:rPr>
          <w:rStyle w:val="af9"/>
          <w:rFonts w:hint="cs"/>
          <w:rtl/>
        </w:rPr>
        <w:t>ה</w:t>
      </w:r>
      <w:r w:rsidRPr="00215AFB">
        <w:rPr>
          <w:rStyle w:val="af9"/>
          <w:rFonts w:hint="cs"/>
          <w:rtl/>
        </w:rPr>
        <w:t>רשב"ם</w:t>
      </w:r>
      <w:r w:rsidRPr="00215AFB">
        <w:rPr>
          <w:rFonts w:hint="cs"/>
          <w:rtl/>
        </w:rPr>
        <w:t xml:space="preserve"> </w:t>
      </w:r>
      <w:r w:rsidRPr="00485BA9">
        <w:rPr>
          <w:rStyle w:val="af7"/>
          <w:rFonts w:eastAsia="Guttman Hodes" w:hint="cs"/>
          <w:rtl/>
        </w:rPr>
        <w:t xml:space="preserve">(ד"ה אמר ליה, הובא בסימן </w:t>
      </w:r>
      <w:r>
        <w:rPr>
          <w:rStyle w:val="af7"/>
          <w:rFonts w:eastAsia="Guttman Hodes" w:hint="cs"/>
          <w:rtl/>
        </w:rPr>
        <w:t>ט</w:t>
      </w:r>
      <w:r w:rsidRPr="00485BA9">
        <w:rPr>
          <w:rStyle w:val="af7"/>
          <w:rFonts w:eastAsia="Guttman Hodes" w:hint="cs"/>
          <w:rtl/>
        </w:rPr>
        <w:t xml:space="preserve">' אות </w:t>
      </w:r>
      <w:r>
        <w:rPr>
          <w:rStyle w:val="af7"/>
          <w:rFonts w:eastAsia="Guttman Hodes" w:hint="cs"/>
          <w:rtl/>
        </w:rPr>
        <w:t>כ"ח</w:t>
      </w:r>
      <w:r w:rsidRPr="00485BA9">
        <w:rPr>
          <w:rStyle w:val="af7"/>
          <w:rFonts w:eastAsia="Guttman Hodes" w:hint="cs"/>
          <w:rtl/>
        </w:rPr>
        <w:t>)</w:t>
      </w:r>
      <w:r w:rsidRPr="00A75CA9">
        <w:rPr>
          <w:rStyle w:val="af7"/>
          <w:rFonts w:eastAsia="Guttman Hodes" w:hint="cs"/>
          <w:rtl/>
        </w:rPr>
        <w:t xml:space="preserve"> </w:t>
      </w:r>
      <w:r w:rsidRPr="00215AFB">
        <w:rPr>
          <w:rFonts w:hint="cs"/>
          <w:rtl/>
        </w:rPr>
        <w:t xml:space="preserve">לא מהני עידי חד יומא, כשאין למחזיק חזקת ג"ש, הוא כיון דס"ל </w:t>
      </w:r>
      <w:r w:rsidRPr="00215AFB">
        <w:rPr>
          <w:rStyle w:val="af9"/>
          <w:rFonts w:hint="cs"/>
          <w:rtl/>
        </w:rPr>
        <w:t>להרשב"ם</w:t>
      </w:r>
      <w:r w:rsidRPr="00215AFB">
        <w:rPr>
          <w:rFonts w:hint="cs"/>
          <w:rtl/>
        </w:rPr>
        <w:t xml:space="preserve"> דכ"מ דמהני הפה שאסר, הוא במקום שאינו אוסר יותר ממה שהוא מתיר, וכגון בשדה זו של אביך הייתה ולקחתיה ממנו, דהוא אוסר במה שאומר שהמערער הוא המרא קמא, והקרקע הייתה בחזקת המרא קמא, והוא מתיר במה שאומר שעכשיו הקרקע</w:t>
      </w:r>
      <w:r>
        <w:rPr>
          <w:rFonts w:hint="cs"/>
          <w:rtl/>
        </w:rPr>
        <w:t xml:space="preserve"> בחזקתו, ואינה בחזקת המרא קמא, אבל במקום שאף לפי טענתו אין הקרקע עכשיו בחזקת המחזיק, א"כ הוא אסר במה שאמר שהקרקע הייתה בחזקת המערער, ולא התיר את מה שאסר, דאף לדבריו הקרקע עדיין בחזקת המרא קמא, ואינה בחזקת המחזיק, דהא אין לו חזקת ג"ש, ובכה"ג לא שייך לומר הפה שאסר, דהא לא התיר את מה שאסר. </w:t>
      </w:r>
      <w:r w:rsidRPr="007A4B8D">
        <w:rPr>
          <w:rStyle w:val="afb"/>
          <w:rFonts w:hint="cs"/>
          <w:rtl/>
        </w:rPr>
        <w:t xml:space="preserve">[ועיי"ש דציין למה שביאר כן </w:t>
      </w:r>
      <w:r w:rsidRPr="007A4B8D">
        <w:rPr>
          <w:rStyle w:val="affa"/>
          <w:rFonts w:hint="cs"/>
          <w:rtl/>
        </w:rPr>
        <w:t>בחי' רבי נחום</w:t>
      </w:r>
      <w:r>
        <w:rPr>
          <w:rStyle w:val="affa"/>
          <w:rFonts w:hint="cs"/>
          <w:rtl/>
        </w:rPr>
        <w:t xml:space="preserve"> לעיל</w:t>
      </w:r>
      <w:r w:rsidRPr="007A4B8D">
        <w:rPr>
          <w:rStyle w:val="affa"/>
          <w:rFonts w:hint="cs"/>
          <w:rtl/>
        </w:rPr>
        <w:t xml:space="preserve"> </w:t>
      </w:r>
      <w:r w:rsidRPr="007A4B8D">
        <w:rPr>
          <w:rStyle w:val="aff6"/>
          <w:rtl/>
        </w:rPr>
        <w:t>(</w:t>
      </w:r>
      <w:r w:rsidRPr="007A4B8D">
        <w:rPr>
          <w:rStyle w:val="aff6"/>
          <w:rFonts w:hint="cs"/>
          <w:rtl/>
        </w:rPr>
        <w:t xml:space="preserve">או' נ"ד ד"ה וע"כ נראה, הובא בסימן ז' אות קל"ב) </w:t>
      </w:r>
      <w:r w:rsidRPr="007A4B8D">
        <w:rPr>
          <w:rStyle w:val="afb"/>
          <w:rFonts w:hint="cs"/>
          <w:rtl/>
        </w:rPr>
        <w:t xml:space="preserve">בדעת </w:t>
      </w:r>
      <w:r w:rsidRPr="007A4B8D">
        <w:rPr>
          <w:rStyle w:val="affa"/>
          <w:rFonts w:hint="cs"/>
          <w:rtl/>
        </w:rPr>
        <w:t>הי"מ ברי"ף בפי' הא' לעיל</w:t>
      </w:r>
      <w:r w:rsidRPr="007A4B8D">
        <w:rPr>
          <w:rStyle w:val="afb"/>
          <w:rFonts w:hint="cs"/>
          <w:rtl/>
        </w:rPr>
        <w:t xml:space="preserve"> </w:t>
      </w:r>
      <w:r w:rsidRPr="007A4B8D">
        <w:rPr>
          <w:rStyle w:val="aff6"/>
          <w:rFonts w:hint="cs"/>
          <w:rtl/>
        </w:rPr>
        <w:t>(כט:, טו. מדה"ר, הובא בסימן ז' אות מ"א)</w:t>
      </w:r>
      <w:r w:rsidRPr="007A4B8D">
        <w:rPr>
          <w:rStyle w:val="afb"/>
          <w:rFonts w:hint="cs"/>
          <w:rtl/>
        </w:rPr>
        <w:t>].</w:t>
      </w:r>
    </w:p>
    <w:p w:rsidR="005306EB" w:rsidRDefault="005306EB" w:rsidP="005306EB">
      <w:pPr>
        <w:pStyle w:val="a3"/>
        <w:rPr>
          <w:rtl/>
        </w:rPr>
      </w:pPr>
      <w:bookmarkStart w:id="12184" w:name="_Toc61469484"/>
      <w:bookmarkStart w:id="12185" w:name="_Toc61509862"/>
      <w:r>
        <w:rPr>
          <w:rFonts w:hint="cs"/>
          <w:rtl/>
        </w:rPr>
        <w:t>דברי הגרנ"פ דכן מוכח ברשב"ם דאחר שהודה המחזיק נחשב המערער למוחזק יותר מהמחזיק</w:t>
      </w:r>
      <w:bookmarkEnd w:id="12184"/>
      <w:bookmarkEnd w:id="12185"/>
    </w:p>
    <w:p w:rsidR="005306EB" w:rsidRDefault="005306EB" w:rsidP="007E4E81">
      <w:pPr>
        <w:pStyle w:val="a0"/>
        <w:rPr>
          <w:rtl/>
        </w:rPr>
      </w:pPr>
      <w:bookmarkStart w:id="12186" w:name="_Ref61465953"/>
      <w:r>
        <w:rPr>
          <w:rFonts w:hint="cs"/>
          <w:rtl/>
        </w:rPr>
        <w:t xml:space="preserve">וכתב </w:t>
      </w:r>
      <w:r w:rsidRPr="001C266F">
        <w:rPr>
          <w:rStyle w:val="af9"/>
          <w:rFonts w:hint="cs"/>
          <w:rtl/>
        </w:rPr>
        <w:t>בחי' רבי נחום</w:t>
      </w:r>
      <w:r>
        <w:rPr>
          <w:rFonts w:hint="cs"/>
          <w:rtl/>
        </w:rPr>
        <w:t xml:space="preserve"> דכן מוכח בדברי </w:t>
      </w:r>
      <w:r>
        <w:rPr>
          <w:rStyle w:val="af9"/>
          <w:rtl/>
        </w:rPr>
        <w:t>הרשב"ם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Ref61446774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Pr>
          <w:rStyle w:val="af7"/>
          <w:rFonts w:eastAsia="Guttman Hodes"/>
          <w:rtl/>
        </w:rPr>
        <w:fldChar w:fldCharType="end"/>
      </w:r>
      <w:r>
        <w:rPr>
          <w:rStyle w:val="af7"/>
          <w:rFonts w:eastAsia="Guttman Hodes" w:hint="cs"/>
          <w:rtl/>
        </w:rPr>
        <w:t xml:space="preserve"> </w:t>
      </w:r>
      <w:r w:rsidRPr="00FE756E">
        <w:rPr>
          <w:rFonts w:hint="cs"/>
          <w:rtl/>
        </w:rPr>
        <w:t xml:space="preserve">דכתב דטוען המערער למחזיק שיצא מהקרקע דלאו בע"ד דידי את, </w:t>
      </w:r>
      <w:r w:rsidRPr="00FE756E">
        <w:rPr>
          <w:rFonts w:hint="cs"/>
          <w:rtl/>
        </w:rPr>
        <w:lastRenderedPageBreak/>
        <w:t>דהמערער מוחזק בקרקע יותר מהמחזיק, כיון שלמחזי</w:t>
      </w:r>
      <w:r>
        <w:rPr>
          <w:rFonts w:hint="cs"/>
          <w:rtl/>
        </w:rPr>
        <w:t xml:space="preserve">ק אין חזקת ג"ש, וביאר </w:t>
      </w:r>
      <w:r w:rsidRPr="001C266F">
        <w:rPr>
          <w:rStyle w:val="af9"/>
          <w:rFonts w:hint="cs"/>
          <w:rtl/>
        </w:rPr>
        <w:t>בחי' רבי נחום</w:t>
      </w:r>
      <w:r>
        <w:rPr>
          <w:rFonts w:hint="cs"/>
          <w:rtl/>
        </w:rPr>
        <w:t xml:space="preserve"> דכוונת </w:t>
      </w:r>
      <w:r>
        <w:rPr>
          <w:rStyle w:val="af9"/>
          <w:rtl/>
        </w:rPr>
        <w:t>הרשב"ם</w:t>
      </w:r>
      <w:r>
        <w:rPr>
          <w:rFonts w:hint="cs"/>
          <w:rtl/>
        </w:rPr>
        <w:t xml:space="preserve"> לומר דכל שאין למחזיק חזקת ג"ש, ממילא הוא מודה דהמרא קמא עדיין מוחזק, ולכן טוען לו המחזיק שיצא מהקרקע.</w:t>
      </w:r>
      <w:bookmarkEnd w:id="12186"/>
    </w:p>
    <w:p w:rsidR="005306EB" w:rsidRPr="00835709" w:rsidRDefault="005306EB" w:rsidP="005306EB">
      <w:pPr>
        <w:pStyle w:val="1"/>
        <w:rPr>
          <w:rtl/>
        </w:rPr>
      </w:pPr>
      <w:bookmarkStart w:id="12187" w:name="_Toc61469485"/>
      <w:bookmarkStart w:id="12188" w:name="_Toc61509863"/>
      <w:r>
        <w:rPr>
          <w:rFonts w:hint="cs"/>
          <w:rtl/>
        </w:rPr>
        <w:t>בתירוץ קו' הבית הלוי בסתירת דברי הרשב"ם אי צריך חזקה</w:t>
      </w:r>
      <w:bookmarkEnd w:id="12187"/>
      <w:bookmarkEnd w:id="12188"/>
    </w:p>
    <w:p w:rsidR="005306EB" w:rsidRPr="00A90874" w:rsidRDefault="005306EB" w:rsidP="005306EB">
      <w:pPr>
        <w:pStyle w:val="a3"/>
        <w:rPr>
          <w:rtl/>
        </w:rPr>
      </w:pPr>
      <w:bookmarkStart w:id="12189" w:name="_Toc61469486"/>
      <w:bookmarkStart w:id="12190" w:name="_Toc61509864"/>
      <w:r>
        <w:rPr>
          <w:rFonts w:hint="cs"/>
          <w:rtl/>
        </w:rPr>
        <w:t>תי' הגרנ"פ ברשב"ם דבמינך זבינתה לא נאמן בלי חזקה ובסוגיין אף חזקה ל"מ דאין לו טענה</w:t>
      </w:r>
      <w:bookmarkEnd w:id="12189"/>
      <w:bookmarkEnd w:id="12190"/>
    </w:p>
    <w:p w:rsidR="005306EB" w:rsidRDefault="005306EB" w:rsidP="007E4E81">
      <w:pPr>
        <w:pStyle w:val="a0"/>
        <w:rPr>
          <w:rtl/>
        </w:rPr>
      </w:pPr>
      <w:r>
        <w:rPr>
          <w:rFonts w:hint="cs"/>
          <w:rtl/>
        </w:rPr>
        <w:t xml:space="preserve">ובמה שהקשה </w:t>
      </w:r>
      <w:r w:rsidRPr="00755338">
        <w:rPr>
          <w:rStyle w:val="af9"/>
          <w:rFonts w:hint="cs"/>
          <w:rtl/>
        </w:rPr>
        <w:t>הבית הלוי</w:t>
      </w:r>
      <w:r>
        <w:rPr>
          <w:rFonts w:hint="cs"/>
          <w:rtl/>
        </w:rPr>
        <w:t xml:space="preserve"> </w:t>
      </w:r>
      <w:r w:rsidRPr="00A90874">
        <w:rPr>
          <w:rStyle w:val="af7"/>
          <w:rFonts w:eastAsia="Guttman Hodes" w:hint="cs"/>
          <w:rtl/>
        </w:rPr>
        <w:t xml:space="preserve">(עי' אות </w:t>
      </w:r>
      <w:r w:rsidRPr="00A90874">
        <w:rPr>
          <w:rStyle w:val="af7"/>
          <w:rFonts w:eastAsia="Guttman Hodes"/>
          <w:rtl/>
        </w:rPr>
        <w:fldChar w:fldCharType="begin"/>
      </w:r>
      <w:r w:rsidRPr="00A90874">
        <w:rPr>
          <w:rStyle w:val="af7"/>
          <w:rFonts w:eastAsia="Guttman Hodes"/>
          <w:rtl/>
        </w:rPr>
        <w:instrText xml:space="preserve"> </w:instrText>
      </w:r>
      <w:r w:rsidRPr="00A90874">
        <w:rPr>
          <w:rStyle w:val="af7"/>
          <w:rFonts w:eastAsia="Guttman Hodes" w:hint="cs"/>
        </w:rPr>
        <w:instrText>REF</w:instrText>
      </w:r>
      <w:r w:rsidRPr="00A90874">
        <w:rPr>
          <w:rStyle w:val="af7"/>
          <w:rFonts w:eastAsia="Guttman Hodes" w:hint="cs"/>
          <w:rtl/>
        </w:rPr>
        <w:instrText xml:space="preserve"> _</w:instrText>
      </w:r>
      <w:r w:rsidRPr="00A90874">
        <w:rPr>
          <w:rStyle w:val="af7"/>
          <w:rFonts w:eastAsia="Guttman Hodes" w:hint="cs"/>
        </w:rPr>
        <w:instrText>Ref61465968 \r \h</w:instrText>
      </w:r>
      <w:r w:rsidRPr="00A90874">
        <w:rPr>
          <w:rStyle w:val="af7"/>
          <w:rFonts w:eastAsia="Guttman Hodes"/>
          <w:rtl/>
        </w:rPr>
        <w:instrText xml:space="preserve"> </w:instrText>
      </w:r>
      <w:r w:rsidRPr="00A90874">
        <w:rPr>
          <w:rStyle w:val="af7"/>
          <w:rFonts w:eastAsia="Guttman Hodes"/>
          <w:rtl/>
        </w:rPr>
      </w:r>
      <w:r w:rsidRPr="00A90874">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A90874">
        <w:rPr>
          <w:rStyle w:val="af7"/>
          <w:rFonts w:eastAsia="Guttman Hodes"/>
          <w:rtl/>
        </w:rPr>
        <w:fldChar w:fldCharType="end"/>
      </w:r>
      <w:r>
        <w:rPr>
          <w:rFonts w:hint="cs"/>
          <w:rtl/>
        </w:rPr>
        <w:t xml:space="preserve"> בסתירת דברי </w:t>
      </w:r>
      <w:r w:rsidRPr="008B1347">
        <w:rPr>
          <w:rStyle w:val="af9"/>
          <w:rFonts w:hint="cs"/>
          <w:rtl/>
        </w:rPr>
        <w:t>הרשב"ם</w:t>
      </w:r>
      <w:r>
        <w:rPr>
          <w:rFonts w:hint="cs"/>
          <w:rtl/>
        </w:rPr>
        <w:t xml:space="preserve">, דכתב </w:t>
      </w:r>
      <w:r w:rsidRPr="00755338">
        <w:rPr>
          <w:rStyle w:val="af9"/>
          <w:rFonts w:hint="cs"/>
          <w:rtl/>
        </w:rPr>
        <w:t>הרשב"ם</w:t>
      </w:r>
      <w:r>
        <w:rPr>
          <w:rFonts w:hint="cs"/>
          <w:rtl/>
        </w:rPr>
        <w:t xml:space="preserve"> </w:t>
      </w:r>
      <w:r>
        <w:rPr>
          <w:rStyle w:val="af7"/>
          <w:rFonts w:eastAsia="Guttman Hodes" w:hint="cs"/>
          <w:rtl/>
        </w:rPr>
        <w:t xml:space="preserve">(ד"ה אמר ליה, הובא בסימן ח' אות ב') </w:t>
      </w:r>
      <w:r>
        <w:rPr>
          <w:rFonts w:hint="cs"/>
          <w:rtl/>
        </w:rPr>
        <w:t xml:space="preserve">דאף כשיש לו חזקת ג"ש, לא מהני חזקתו כיון שהיא חזקה בלי טענה, ובדברי רבא כתב </w:t>
      </w:r>
      <w:r w:rsidRPr="00755338">
        <w:rPr>
          <w:rStyle w:val="af9"/>
          <w:rFonts w:hint="cs"/>
          <w:rtl/>
        </w:rPr>
        <w:t>הרשב"ם</w:t>
      </w:r>
      <w:r>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Ref61449413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סב</w:t>
      </w:r>
      <w:r w:rsidR="00265073">
        <w:rPr>
          <w:rStyle w:val="af7"/>
          <w:rFonts w:eastAsia="Guttman Hodes"/>
          <w:rtl/>
        </w:rPr>
        <w:t>)</w:t>
      </w:r>
      <w:r>
        <w:rPr>
          <w:rStyle w:val="af7"/>
          <w:rFonts w:eastAsia="Guttman Hodes" w:hint="cs"/>
          <w:rtl/>
        </w:rPr>
        <w:fldChar w:fldCharType="end"/>
      </w:r>
      <w:r>
        <w:rPr>
          <w:rtl/>
        </w:rPr>
        <w:t xml:space="preserve"> </w:t>
      </w:r>
      <w:r>
        <w:rPr>
          <w:rFonts w:hint="cs"/>
          <w:rtl/>
        </w:rPr>
        <w:t xml:space="preserve">דרק כיון שאין לו חזקת ג"ש מוציאין אותו מהקרקע, תירץ </w:t>
      </w:r>
      <w:r w:rsidRPr="00755338">
        <w:rPr>
          <w:rStyle w:val="af9"/>
          <w:rFonts w:hint="cs"/>
          <w:rtl/>
        </w:rPr>
        <w:t>בחי' רבי נחום בביאורו הא'</w:t>
      </w:r>
      <w:r>
        <w:rPr>
          <w:rFonts w:hint="cs"/>
          <w:rtl/>
        </w:rPr>
        <w:t xml:space="preserve"> </w:t>
      </w:r>
      <w:r w:rsidRPr="004D5F51">
        <w:rPr>
          <w:rStyle w:val="af7"/>
          <w:rFonts w:eastAsia="Guttman Hodes" w:hint="cs"/>
          <w:rtl/>
        </w:rPr>
        <w:t>(או' ס"ב ד"ה וע"ד)</w:t>
      </w:r>
      <w:r>
        <w:rPr>
          <w:rFonts w:hint="cs"/>
          <w:rtl/>
        </w:rPr>
        <w:t xml:space="preserve"> </w:t>
      </w:r>
      <w:r w:rsidRPr="00755338">
        <w:rPr>
          <w:rStyle w:val="af9"/>
          <w:rFonts w:hint="cs"/>
          <w:rtl/>
        </w:rPr>
        <w:t>דהרשב"ם</w:t>
      </w:r>
      <w:r>
        <w:rPr>
          <w:rFonts w:hint="cs"/>
          <w:rtl/>
        </w:rPr>
        <w:t xml:space="preserve"> </w:t>
      </w:r>
      <w:r w:rsidRPr="008B1347">
        <w:rPr>
          <w:rStyle w:val="af7"/>
          <w:rFonts w:eastAsia="Guttman Hodes" w:hint="cs"/>
          <w:rtl/>
        </w:rPr>
        <w:t xml:space="preserve">(עי' אות </w:t>
      </w:r>
      <w:r w:rsidRPr="008B1347">
        <w:rPr>
          <w:rStyle w:val="af7"/>
          <w:rFonts w:eastAsia="Guttman Hodes"/>
          <w:rtl/>
        </w:rPr>
        <w:fldChar w:fldCharType="begin"/>
      </w:r>
      <w:r w:rsidRPr="008B1347">
        <w:rPr>
          <w:rStyle w:val="af7"/>
          <w:rFonts w:eastAsia="Guttman Hodes"/>
          <w:rtl/>
        </w:rPr>
        <w:instrText xml:space="preserve"> </w:instrText>
      </w:r>
      <w:r w:rsidRPr="008B1347">
        <w:rPr>
          <w:rStyle w:val="af7"/>
          <w:rFonts w:eastAsia="Guttman Hodes" w:hint="cs"/>
        </w:rPr>
        <w:instrText>REF</w:instrText>
      </w:r>
      <w:r w:rsidRPr="008B1347">
        <w:rPr>
          <w:rStyle w:val="af7"/>
          <w:rFonts w:eastAsia="Guttman Hodes" w:hint="cs"/>
          <w:rtl/>
        </w:rPr>
        <w:instrText xml:space="preserve"> _</w:instrText>
      </w:r>
      <w:r w:rsidRPr="008B1347">
        <w:rPr>
          <w:rStyle w:val="af7"/>
          <w:rFonts w:eastAsia="Guttman Hodes" w:hint="cs"/>
        </w:rPr>
        <w:instrText>Ref61384635 \r \h</w:instrText>
      </w:r>
      <w:r w:rsidRPr="008B1347">
        <w:rPr>
          <w:rStyle w:val="af7"/>
          <w:rFonts w:eastAsia="Guttman Hodes"/>
          <w:rtl/>
        </w:rPr>
        <w:instrText xml:space="preserve"> </w:instrText>
      </w:r>
      <w:r w:rsidRPr="008B1347">
        <w:rPr>
          <w:rStyle w:val="af7"/>
          <w:rFonts w:eastAsia="Guttman Hodes"/>
          <w:rtl/>
        </w:rPr>
      </w:r>
      <w:r w:rsidRPr="008B1347">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8B1347">
        <w:rPr>
          <w:rStyle w:val="af7"/>
          <w:rFonts w:eastAsia="Guttman Hodes"/>
          <w:rtl/>
        </w:rPr>
        <w:fldChar w:fldCharType="end"/>
      </w:r>
      <w:r>
        <w:rPr>
          <w:rFonts w:hint="cs"/>
          <w:rtl/>
        </w:rPr>
        <w:t xml:space="preserve"> ביאר את לשון הגמ' "ואת מינאי לא זבינתה" דכוונת הגמ' לומר שאף אם היית טוען מינך זבינתה לא היית נאמן, </w:t>
      </w:r>
      <w:r w:rsidRPr="00A90874">
        <w:rPr>
          <w:rStyle w:val="afb"/>
          <w:rFonts w:hint="cs"/>
          <w:rtl/>
        </w:rPr>
        <w:t xml:space="preserve">[ודלא כביאור </w:t>
      </w:r>
      <w:r w:rsidRPr="00A90874">
        <w:rPr>
          <w:rStyle w:val="affa"/>
          <w:rFonts w:hint="cs"/>
          <w:rtl/>
        </w:rPr>
        <w:t>שאר הראשונים</w:t>
      </w:r>
      <w:r w:rsidRPr="00A90874">
        <w:rPr>
          <w:rStyle w:val="afb"/>
          <w:rFonts w:hint="cs"/>
          <w:rtl/>
        </w:rPr>
        <w:t xml:space="preserve"> דאם היה טוען כן היה נאמן], </w:t>
      </w:r>
      <w:r>
        <w:rPr>
          <w:rFonts w:hint="cs"/>
          <w:rtl/>
        </w:rPr>
        <w:t xml:space="preserve">וזו כוונת </w:t>
      </w:r>
      <w:r w:rsidRPr="00755338">
        <w:rPr>
          <w:rStyle w:val="af9"/>
          <w:rFonts w:hint="cs"/>
          <w:rtl/>
        </w:rPr>
        <w:t>הרשב"ם</w:t>
      </w:r>
      <w:r>
        <w:rPr>
          <w:rFonts w:hint="cs"/>
          <w:rtl/>
        </w:rPr>
        <w:t xml:space="preserve"> </w:t>
      </w:r>
      <w:r w:rsidRPr="008B1347">
        <w:rPr>
          <w:rStyle w:val="af7"/>
          <w:rFonts w:eastAsia="Guttman Hodes" w:hint="cs"/>
          <w:rtl/>
        </w:rPr>
        <w:t xml:space="preserve">(עי' אות </w:t>
      </w:r>
      <w:r w:rsidRPr="008B1347">
        <w:rPr>
          <w:rStyle w:val="af7"/>
          <w:rFonts w:eastAsia="Guttman Hodes"/>
          <w:rtl/>
        </w:rPr>
        <w:fldChar w:fldCharType="begin"/>
      </w:r>
      <w:r w:rsidRPr="008B1347">
        <w:rPr>
          <w:rStyle w:val="af7"/>
          <w:rFonts w:eastAsia="Guttman Hodes"/>
          <w:rtl/>
        </w:rPr>
        <w:instrText xml:space="preserve"> </w:instrText>
      </w:r>
      <w:r w:rsidRPr="008B1347">
        <w:rPr>
          <w:rStyle w:val="af7"/>
          <w:rFonts w:eastAsia="Guttman Hodes" w:hint="cs"/>
        </w:rPr>
        <w:instrText>REF</w:instrText>
      </w:r>
      <w:r w:rsidRPr="008B1347">
        <w:rPr>
          <w:rStyle w:val="af7"/>
          <w:rFonts w:eastAsia="Guttman Hodes" w:hint="cs"/>
          <w:rtl/>
        </w:rPr>
        <w:instrText xml:space="preserve"> _</w:instrText>
      </w:r>
      <w:r w:rsidRPr="008B1347">
        <w:rPr>
          <w:rStyle w:val="af7"/>
          <w:rFonts w:eastAsia="Guttman Hodes" w:hint="cs"/>
        </w:rPr>
        <w:instrText>Ref61446774 \r \h</w:instrText>
      </w:r>
      <w:r w:rsidRPr="008B1347">
        <w:rPr>
          <w:rStyle w:val="af7"/>
          <w:rFonts w:eastAsia="Guttman Hodes"/>
          <w:rtl/>
        </w:rPr>
        <w:instrText xml:space="preserve"> </w:instrText>
      </w:r>
      <w:r w:rsidRPr="008B1347">
        <w:rPr>
          <w:rStyle w:val="af7"/>
          <w:rFonts w:eastAsia="Guttman Hodes"/>
          <w:rtl/>
        </w:rPr>
      </w:r>
      <w:r w:rsidRPr="008B1347">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8B1347">
        <w:rPr>
          <w:rStyle w:val="af7"/>
          <w:rFonts w:eastAsia="Guttman Hodes"/>
          <w:rtl/>
        </w:rPr>
        <w:fldChar w:fldCharType="end"/>
      </w:r>
      <w:r>
        <w:rPr>
          <w:rFonts w:hint="cs"/>
          <w:rtl/>
        </w:rPr>
        <w:t xml:space="preserve"> דביאר את טענת המערער למחזיק שאין לו חזקת ג"ש, והיינו דמה שאין המחזיק נאמן בטענת מינך זבינתה הוא כיון שאין לו חזקה, אבל עכשיו שטען שקנה מהמוכר שא"ל שקנה מהמערער, ודאי דס"ל </w:t>
      </w:r>
      <w:r w:rsidRPr="00755338">
        <w:rPr>
          <w:rStyle w:val="af9"/>
          <w:rFonts w:hint="cs"/>
          <w:rtl/>
        </w:rPr>
        <w:t>להרשב"ם</w:t>
      </w:r>
      <w:r>
        <w:rPr>
          <w:rFonts w:hint="cs"/>
          <w:rtl/>
        </w:rPr>
        <w:t xml:space="preserve"> דאף אם היה לו חזקת ג"ש ל"מ, כיון שהיא חזקה בלי טענה.</w:t>
      </w:r>
    </w:p>
    <w:p w:rsidR="005306EB" w:rsidRPr="003379EB" w:rsidRDefault="005306EB" w:rsidP="005306EB">
      <w:pPr>
        <w:pStyle w:val="a3"/>
      </w:pPr>
      <w:bookmarkStart w:id="12191" w:name="_Toc61469487"/>
      <w:bookmarkStart w:id="12192" w:name="_Toc61509865"/>
      <w:r>
        <w:rPr>
          <w:rFonts w:hint="cs"/>
          <w:rtl/>
        </w:rPr>
        <w:t>תי' הקה"י דכוונת הרשב"ם לומר דבלא חזקה אין המחזיק בע"ד של המערער כדעת ר"ח</w:t>
      </w:r>
      <w:bookmarkEnd w:id="12191"/>
      <w:bookmarkEnd w:id="12192"/>
    </w:p>
    <w:p w:rsidR="005306EB" w:rsidRDefault="005306EB" w:rsidP="007E4E81">
      <w:pPr>
        <w:pStyle w:val="a0"/>
      </w:pPr>
      <w:bookmarkStart w:id="12193" w:name="_Ref61467867"/>
      <w:r>
        <w:rPr>
          <w:rFonts w:hint="cs"/>
          <w:rtl/>
        </w:rPr>
        <w:t xml:space="preserve">ועוד תירצו </w:t>
      </w:r>
      <w:r w:rsidRPr="00410038">
        <w:rPr>
          <w:rStyle w:val="af9"/>
          <w:rFonts w:hint="cs"/>
          <w:rtl/>
        </w:rPr>
        <w:t>הקה"י</w:t>
      </w:r>
      <w:r>
        <w:rPr>
          <w:rFonts w:hint="cs"/>
          <w:rtl/>
        </w:rPr>
        <w:t xml:space="preserve"> </w:t>
      </w:r>
      <w:r w:rsidRPr="00A37B48">
        <w:rPr>
          <w:rStyle w:val="af7"/>
          <w:rFonts w:eastAsia="Guttman Hodes" w:hint="cs"/>
          <w:rtl/>
        </w:rPr>
        <w:t>(סו"ס כ' ד"ה ועפ"ז מבואר)</w:t>
      </w:r>
      <w:r>
        <w:rPr>
          <w:rFonts w:hint="cs"/>
          <w:rtl/>
        </w:rPr>
        <w:t xml:space="preserve"> </w:t>
      </w:r>
      <w:r>
        <w:rPr>
          <w:rStyle w:val="af9"/>
          <w:rFonts w:hint="cs"/>
          <w:rtl/>
        </w:rPr>
        <w:t>ו</w:t>
      </w:r>
      <w:r w:rsidRPr="00755338">
        <w:rPr>
          <w:rStyle w:val="af9"/>
          <w:rFonts w:hint="cs"/>
          <w:rtl/>
        </w:rPr>
        <w:t>בחי' רבי נחום בביאורו הב'</w:t>
      </w:r>
      <w:r w:rsidRPr="00E67223">
        <w:rPr>
          <w:rStyle w:val="af7"/>
          <w:rFonts w:eastAsia="Guttman Hodes" w:hint="cs"/>
          <w:rtl/>
        </w:rPr>
        <w:t xml:space="preserve"> (או' ס"ב ד"ה ובאופן) </w:t>
      </w:r>
      <w:r>
        <w:rPr>
          <w:rFonts w:hint="cs"/>
          <w:rtl/>
        </w:rPr>
        <w:t xml:space="preserve">דמ"ש </w:t>
      </w:r>
      <w:r w:rsidRPr="00410038">
        <w:rPr>
          <w:rStyle w:val="af9"/>
          <w:rFonts w:hint="cs"/>
          <w:rtl/>
        </w:rPr>
        <w:t xml:space="preserve">הרשב"ם </w:t>
      </w:r>
      <w:r>
        <w:rPr>
          <w:rStyle w:val="af7"/>
          <w:rFonts w:eastAsia="Guttman Hodes" w:hint="cs"/>
          <w:rtl/>
        </w:rPr>
        <w:t xml:space="preserve">(ד"ה אמר ליה, הובא בסימן ח' אות ב') </w:t>
      </w:r>
      <w:r>
        <w:rPr>
          <w:rFonts w:hint="cs"/>
          <w:rtl/>
        </w:rPr>
        <w:t xml:space="preserve">דאף כשהחזיק ג"ש לא מהני דהוא חזקה שאין עמה טענה, כוונתו לומר דלדינא החזקה לא מהני לו בלי טענה כלל, אך מ"ש </w:t>
      </w:r>
      <w:r w:rsidRPr="00410038">
        <w:rPr>
          <w:rStyle w:val="af9"/>
          <w:rFonts w:hint="cs"/>
          <w:rtl/>
        </w:rPr>
        <w:t xml:space="preserve">הרשב"ם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Ref61446774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Pr>
          <w:rStyle w:val="af7"/>
          <w:rFonts w:eastAsia="Guttman Hodes"/>
          <w:rtl/>
        </w:rPr>
        <w:fldChar w:fldCharType="end"/>
      </w:r>
      <w:r>
        <w:rPr>
          <w:rStyle w:val="af7"/>
          <w:rFonts w:eastAsia="Guttman Hodes" w:hint="cs"/>
          <w:rtl/>
        </w:rPr>
        <w:t xml:space="preserve"> </w:t>
      </w:r>
      <w:r>
        <w:rPr>
          <w:rFonts w:hint="cs"/>
          <w:rtl/>
        </w:rPr>
        <w:t xml:space="preserve">דטענת המערער שאינו בע"ד שלו כיון שלא החזיק ג"ש, כוונת </w:t>
      </w:r>
      <w:r w:rsidRPr="00410038">
        <w:rPr>
          <w:rStyle w:val="af9"/>
          <w:rFonts w:hint="cs"/>
          <w:rtl/>
        </w:rPr>
        <w:t xml:space="preserve">הרשב"ם </w:t>
      </w:r>
      <w:r>
        <w:rPr>
          <w:rFonts w:hint="cs"/>
          <w:rtl/>
        </w:rPr>
        <w:t xml:space="preserve">לומר כדברי </w:t>
      </w:r>
      <w:r w:rsidRPr="00410038">
        <w:rPr>
          <w:rStyle w:val="af9"/>
          <w:rFonts w:hint="cs"/>
          <w:rtl/>
        </w:rPr>
        <w:t xml:space="preserve">ר"ח </w:t>
      </w:r>
      <w:r w:rsidRPr="00A37B48">
        <w:rPr>
          <w:rStyle w:val="af7"/>
          <w:rFonts w:eastAsia="Guttman Hodes" w:hint="cs"/>
          <w:rtl/>
        </w:rPr>
        <w:t xml:space="preserve">(עי' אות </w:t>
      </w:r>
      <w:r w:rsidRPr="00A37B48">
        <w:rPr>
          <w:rStyle w:val="af7"/>
          <w:rFonts w:eastAsia="Guttman Hodes"/>
          <w:rtl/>
        </w:rPr>
        <w:fldChar w:fldCharType="begin"/>
      </w:r>
      <w:r w:rsidRPr="00A37B48">
        <w:rPr>
          <w:rStyle w:val="af7"/>
          <w:rFonts w:eastAsia="Guttman Hodes"/>
          <w:rtl/>
        </w:rPr>
        <w:instrText xml:space="preserve"> </w:instrText>
      </w:r>
      <w:r w:rsidRPr="00A37B48">
        <w:rPr>
          <w:rStyle w:val="af7"/>
          <w:rFonts w:eastAsia="Guttman Hodes" w:hint="cs"/>
        </w:rPr>
        <w:instrText>REF</w:instrText>
      </w:r>
      <w:r w:rsidRPr="00A37B48">
        <w:rPr>
          <w:rStyle w:val="af7"/>
          <w:rFonts w:eastAsia="Guttman Hodes" w:hint="cs"/>
          <w:rtl/>
        </w:rPr>
        <w:instrText xml:space="preserve"> _</w:instrText>
      </w:r>
      <w:r w:rsidRPr="00A37B48">
        <w:rPr>
          <w:rStyle w:val="af7"/>
          <w:rFonts w:eastAsia="Guttman Hodes" w:hint="cs"/>
        </w:rPr>
        <w:instrText>Ref61195614 \r \h</w:instrText>
      </w:r>
      <w:r w:rsidRPr="00A37B4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37B48">
        <w:rPr>
          <w:rStyle w:val="af7"/>
          <w:rFonts w:eastAsia="Guttman Hodes"/>
          <w:rtl/>
        </w:rPr>
      </w:r>
      <w:r w:rsidRPr="00A37B48">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A37B48">
        <w:rPr>
          <w:rStyle w:val="af7"/>
          <w:rFonts w:eastAsia="Guttman Hodes"/>
          <w:rtl/>
        </w:rPr>
        <w:fldChar w:fldCharType="end"/>
      </w:r>
      <w:r>
        <w:rPr>
          <w:rFonts w:hint="cs"/>
          <w:rtl/>
        </w:rPr>
        <w:t xml:space="preserve">, </w:t>
      </w:r>
      <w:r w:rsidRPr="00410038">
        <w:rPr>
          <w:rStyle w:val="afb"/>
          <w:rFonts w:hint="cs"/>
          <w:rtl/>
        </w:rPr>
        <w:t xml:space="preserve">[כדביאר </w:t>
      </w:r>
      <w:r w:rsidRPr="00410038">
        <w:rPr>
          <w:rStyle w:val="affa"/>
          <w:rFonts w:hint="cs"/>
          <w:rtl/>
        </w:rPr>
        <w:t>הקה"י</w:t>
      </w:r>
      <w:r w:rsidRPr="00410038">
        <w:rPr>
          <w:rStyle w:val="afb"/>
          <w:rFonts w:hint="cs"/>
          <w:rtl/>
        </w:rPr>
        <w:t xml:space="preserve"> </w:t>
      </w:r>
      <w:r w:rsidRPr="00410038">
        <w:rPr>
          <w:rStyle w:val="aff6"/>
          <w:rFonts w:hint="cs"/>
          <w:rtl/>
        </w:rPr>
        <w:t xml:space="preserve">(עי' אות </w:t>
      </w:r>
      <w:r w:rsidRPr="00410038">
        <w:rPr>
          <w:rStyle w:val="aff6"/>
          <w:rtl/>
        </w:rPr>
        <w:fldChar w:fldCharType="begin"/>
      </w:r>
      <w:r w:rsidRPr="00410038">
        <w:rPr>
          <w:rStyle w:val="aff6"/>
          <w:rtl/>
        </w:rPr>
        <w:instrText xml:space="preserve"> </w:instrText>
      </w:r>
      <w:r w:rsidRPr="00410038">
        <w:rPr>
          <w:rStyle w:val="aff6"/>
          <w:rFonts w:hint="cs"/>
        </w:rPr>
        <w:instrText>REF</w:instrText>
      </w:r>
      <w:r w:rsidRPr="00410038">
        <w:rPr>
          <w:rStyle w:val="aff6"/>
          <w:rFonts w:hint="cs"/>
          <w:rtl/>
        </w:rPr>
        <w:instrText xml:space="preserve"> _</w:instrText>
      </w:r>
      <w:r w:rsidRPr="00410038">
        <w:rPr>
          <w:rStyle w:val="aff6"/>
          <w:rFonts w:hint="cs"/>
        </w:rPr>
        <w:instrText>Ref61194022 \r \h</w:instrText>
      </w:r>
      <w:r w:rsidRPr="00410038">
        <w:rPr>
          <w:rStyle w:val="aff6"/>
          <w:rtl/>
        </w:rPr>
        <w:instrText xml:space="preserve"> </w:instrText>
      </w:r>
      <w:r w:rsidRPr="00410038">
        <w:rPr>
          <w:rStyle w:val="aff6"/>
          <w:rtl/>
        </w:rPr>
      </w:r>
      <w:r w:rsidRPr="00410038">
        <w:rPr>
          <w:rStyle w:val="aff6"/>
          <w:rtl/>
        </w:rPr>
        <w:fldChar w:fldCharType="separate"/>
      </w:r>
      <w:r w:rsidR="00265073">
        <w:rPr>
          <w:rStyle w:val="aff6"/>
          <w:cs/>
        </w:rPr>
        <w:t>‎</w:t>
      </w:r>
      <w:r w:rsidR="00265073">
        <w:rPr>
          <w:rStyle w:val="aff6"/>
          <w:rtl/>
        </w:rPr>
        <w:t>קח)</w:t>
      </w:r>
      <w:r w:rsidRPr="00410038">
        <w:rPr>
          <w:rStyle w:val="aff6"/>
          <w:rtl/>
        </w:rPr>
        <w:fldChar w:fldCharType="end"/>
      </w:r>
      <w:r w:rsidRPr="00410038">
        <w:rPr>
          <w:rStyle w:val="afb"/>
          <w:rFonts w:hint="cs"/>
          <w:rtl/>
        </w:rPr>
        <w:t xml:space="preserve">], </w:t>
      </w:r>
      <w:r>
        <w:rPr>
          <w:rFonts w:hint="cs"/>
          <w:rtl/>
        </w:rPr>
        <w:t xml:space="preserve">דבמקום שאין לו חזקת ג"ש, יכול המערער לומר לו שאינו בע"ד שלו ואינו רוצה לדון עמו, ולכן הוסיף </w:t>
      </w:r>
      <w:r w:rsidRPr="00410038">
        <w:rPr>
          <w:rStyle w:val="af9"/>
          <w:rFonts w:hint="cs"/>
          <w:rtl/>
        </w:rPr>
        <w:t xml:space="preserve">הרשב"ם </w:t>
      </w:r>
      <w:r>
        <w:rPr>
          <w:rFonts w:hint="cs"/>
          <w:rtl/>
        </w:rPr>
        <w:t xml:space="preserve">דטוען לו המערער שגם לא החזקת ג"ש, ואילו המערער מוחזק יותר ממנו, דהא קרקע בחזקת בעליה עומדת, אבל אם היה למחזיק חזקת ג"ש, לא היה המערער יכול לומר שאינו רוצה לדון עמו, כדהוכיחו </w:t>
      </w:r>
      <w:r w:rsidRPr="00410038">
        <w:rPr>
          <w:rStyle w:val="af9"/>
          <w:rFonts w:hint="cs"/>
          <w:rtl/>
        </w:rPr>
        <w:t>התוס'</w:t>
      </w:r>
      <w:r>
        <w:rPr>
          <w:rFonts w:hint="cs"/>
          <w:rtl/>
        </w:rPr>
        <w:t xml:space="preserve"> </w:t>
      </w:r>
      <w:r w:rsidRPr="00A37B48">
        <w:rPr>
          <w:rStyle w:val="af7"/>
          <w:rFonts w:eastAsia="Guttman Hodes" w:hint="cs"/>
          <w:rtl/>
        </w:rPr>
        <w:t>(עי'</w:t>
      </w:r>
      <w:r>
        <w:rPr>
          <w:rFonts w:hint="cs"/>
          <w:rtl/>
        </w:rPr>
        <w:t xml:space="preserve"> </w:t>
      </w:r>
      <w:r w:rsidRPr="00A37B48">
        <w:rPr>
          <w:rStyle w:val="af7"/>
          <w:rFonts w:eastAsia="Guttman Hodes" w:hint="cs"/>
          <w:rtl/>
        </w:rPr>
        <w:t xml:space="preserve">אות </w:t>
      </w:r>
      <w:r w:rsidRPr="00A37B48">
        <w:rPr>
          <w:rStyle w:val="af7"/>
          <w:rFonts w:eastAsia="Guttman Hodes"/>
          <w:rtl/>
        </w:rPr>
        <w:fldChar w:fldCharType="begin"/>
      </w:r>
      <w:r w:rsidRPr="00A37B48">
        <w:rPr>
          <w:rStyle w:val="af7"/>
          <w:rFonts w:eastAsia="Guttman Hodes"/>
          <w:rtl/>
        </w:rPr>
        <w:instrText xml:space="preserve"> </w:instrText>
      </w:r>
      <w:r w:rsidRPr="00A37B48">
        <w:rPr>
          <w:rStyle w:val="af7"/>
          <w:rFonts w:eastAsia="Guttman Hodes" w:hint="cs"/>
        </w:rPr>
        <w:instrText>REF</w:instrText>
      </w:r>
      <w:r w:rsidRPr="00A37B48">
        <w:rPr>
          <w:rStyle w:val="af7"/>
          <w:rFonts w:eastAsia="Guttman Hodes" w:hint="cs"/>
          <w:rtl/>
        </w:rPr>
        <w:instrText xml:space="preserve"> _</w:instrText>
      </w:r>
      <w:r w:rsidRPr="00A37B48">
        <w:rPr>
          <w:rStyle w:val="af7"/>
          <w:rFonts w:eastAsia="Guttman Hodes" w:hint="cs"/>
        </w:rPr>
        <w:instrText>Ref61194251 \r \h</w:instrText>
      </w:r>
      <w:r w:rsidRPr="00A37B4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37B48">
        <w:rPr>
          <w:rStyle w:val="af7"/>
          <w:rFonts w:eastAsia="Guttman Hodes"/>
          <w:rtl/>
        </w:rPr>
      </w:r>
      <w:r w:rsidRPr="00A37B48">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A37B48">
        <w:rPr>
          <w:rStyle w:val="af7"/>
          <w:rFonts w:eastAsia="Guttman Hodes"/>
          <w:rtl/>
        </w:rPr>
        <w:fldChar w:fldCharType="end"/>
      </w:r>
      <w:r>
        <w:rPr>
          <w:rFonts w:hint="cs"/>
          <w:rtl/>
        </w:rPr>
        <w:t xml:space="preserve"> מהגמ' לקמן </w:t>
      </w:r>
      <w:r w:rsidRPr="00A37B48">
        <w:rPr>
          <w:rStyle w:val="af7"/>
          <w:rFonts w:eastAsia="Guttman Hodes" w:hint="cs"/>
          <w:rtl/>
        </w:rPr>
        <w:t>(מא:)</w:t>
      </w:r>
      <w:r>
        <w:rPr>
          <w:rFonts w:hint="cs"/>
          <w:rtl/>
        </w:rPr>
        <w:t xml:space="preserve"> וכדביאר </w:t>
      </w:r>
      <w:r w:rsidRPr="00410038">
        <w:rPr>
          <w:rStyle w:val="af9"/>
          <w:rFonts w:hint="cs"/>
          <w:rtl/>
        </w:rPr>
        <w:t xml:space="preserve">הקה"י </w:t>
      </w:r>
      <w:r w:rsidR="00E32D6B" w:rsidRPr="001471A3">
        <w:rPr>
          <w:rStyle w:val="af7"/>
          <w:rFonts w:eastAsia="Guttman Hodes" w:hint="cs"/>
          <w:rtl/>
        </w:rPr>
        <w:t xml:space="preserve">(עי' אות </w:t>
      </w:r>
      <w:r w:rsidR="00E32D6B" w:rsidRPr="001471A3">
        <w:rPr>
          <w:rStyle w:val="af7"/>
          <w:rFonts w:eastAsia="Guttman Hodes"/>
          <w:rtl/>
        </w:rPr>
        <w:fldChar w:fldCharType="begin"/>
      </w:r>
      <w:r w:rsidR="00E32D6B" w:rsidRPr="001471A3">
        <w:rPr>
          <w:rStyle w:val="af7"/>
          <w:rFonts w:eastAsia="Guttman Hodes"/>
          <w:rtl/>
        </w:rPr>
        <w:instrText xml:space="preserve"> </w:instrText>
      </w:r>
      <w:r w:rsidR="00E32D6B" w:rsidRPr="001471A3">
        <w:rPr>
          <w:rStyle w:val="af7"/>
          <w:rFonts w:eastAsia="Guttman Hodes" w:hint="cs"/>
        </w:rPr>
        <w:instrText>REF</w:instrText>
      </w:r>
      <w:r w:rsidR="00E32D6B" w:rsidRPr="001471A3">
        <w:rPr>
          <w:rStyle w:val="af7"/>
          <w:rFonts w:eastAsia="Guttman Hodes" w:hint="cs"/>
          <w:rtl/>
        </w:rPr>
        <w:instrText xml:space="preserve"> _</w:instrText>
      </w:r>
      <w:r w:rsidR="00E32D6B" w:rsidRPr="001471A3">
        <w:rPr>
          <w:rStyle w:val="af7"/>
          <w:rFonts w:eastAsia="Guttman Hodes" w:hint="cs"/>
        </w:rPr>
        <w:instrText>Ref61194022 \r \h</w:instrText>
      </w:r>
      <w:r w:rsidR="00E32D6B" w:rsidRPr="001471A3">
        <w:rPr>
          <w:rStyle w:val="af7"/>
          <w:rFonts w:eastAsia="Guttman Hodes"/>
          <w:rtl/>
        </w:rPr>
        <w:instrText xml:space="preserve"> </w:instrText>
      </w:r>
      <w:r w:rsidR="00E32D6B" w:rsidRPr="001471A3">
        <w:rPr>
          <w:rStyle w:val="af7"/>
          <w:rFonts w:eastAsia="Guttman Hodes"/>
          <w:rtl/>
        </w:rPr>
      </w:r>
      <w:r w:rsidR="00E32D6B" w:rsidRPr="001471A3">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00E32D6B" w:rsidRPr="001471A3">
        <w:rPr>
          <w:rStyle w:val="af7"/>
          <w:rFonts w:eastAsia="Guttman Hodes"/>
          <w:rtl/>
        </w:rPr>
        <w:fldChar w:fldCharType="end"/>
      </w:r>
      <w:r w:rsidR="00E32D6B" w:rsidRPr="008517E7">
        <w:rPr>
          <w:rFonts w:hint="cs"/>
          <w:rtl/>
        </w:rPr>
        <w:t xml:space="preserve"> </w:t>
      </w:r>
      <w:r>
        <w:rPr>
          <w:rFonts w:hint="cs"/>
          <w:rtl/>
        </w:rPr>
        <w:t xml:space="preserve">בדעת </w:t>
      </w:r>
      <w:r w:rsidRPr="00410038">
        <w:rPr>
          <w:rStyle w:val="af9"/>
          <w:rFonts w:hint="cs"/>
          <w:rtl/>
        </w:rPr>
        <w:t>הגאונים</w:t>
      </w:r>
      <w:r>
        <w:rPr>
          <w:rFonts w:hint="cs"/>
          <w:rtl/>
        </w:rPr>
        <w:t xml:space="preserve"> דכל שיש למחזיק חזקת ג"ש, אין המערער יכול לומר לו שאינו רוצה לדון עמו.</w:t>
      </w:r>
      <w:bookmarkEnd w:id="12193"/>
    </w:p>
    <w:p w:rsidR="005306EB" w:rsidRPr="00410038" w:rsidRDefault="005306EB" w:rsidP="005306EB">
      <w:pPr>
        <w:pStyle w:val="a3"/>
        <w:rPr>
          <w:rtl/>
        </w:rPr>
      </w:pPr>
      <w:bookmarkStart w:id="12194" w:name="_Toc61469488"/>
      <w:bookmarkStart w:id="12195" w:name="_Toc61509866"/>
      <w:r>
        <w:rPr>
          <w:rFonts w:hint="cs"/>
          <w:rtl/>
        </w:rPr>
        <w:t>דברי הגרנ"פ דמ"מ מבואר דאין כוונת הרשב"ם לומר דבסוגיין מהני חזקה וכ"כ בטענת המערער</w:t>
      </w:r>
      <w:bookmarkEnd w:id="12194"/>
      <w:bookmarkEnd w:id="12195"/>
    </w:p>
    <w:p w:rsidR="005306EB" w:rsidRDefault="005306EB" w:rsidP="007E4E81">
      <w:pPr>
        <w:pStyle w:val="a0"/>
        <w:rPr>
          <w:rtl/>
        </w:rPr>
      </w:pPr>
      <w:r>
        <w:rPr>
          <w:rFonts w:hint="cs"/>
          <w:rtl/>
        </w:rPr>
        <w:t xml:space="preserve">וכתב </w:t>
      </w:r>
      <w:r w:rsidRPr="00206A33">
        <w:rPr>
          <w:rStyle w:val="af9"/>
          <w:rFonts w:hint="cs"/>
          <w:rtl/>
        </w:rPr>
        <w:t xml:space="preserve">בחי' רבי נחום </w:t>
      </w:r>
      <w:r w:rsidRPr="00E67223">
        <w:rPr>
          <w:rStyle w:val="af7"/>
          <w:rFonts w:eastAsia="Guttman Hodes" w:hint="cs"/>
          <w:rtl/>
        </w:rPr>
        <w:t xml:space="preserve">(או' ס"ב ד"ה </w:t>
      </w:r>
      <w:r>
        <w:rPr>
          <w:rStyle w:val="af7"/>
          <w:rFonts w:eastAsia="Guttman Hodes" w:hint="cs"/>
          <w:rtl/>
        </w:rPr>
        <w:t>כללו</w:t>
      </w:r>
      <w:r w:rsidRPr="00E67223">
        <w:rPr>
          <w:rStyle w:val="af7"/>
          <w:rFonts w:eastAsia="Guttman Hodes" w:hint="cs"/>
          <w:rtl/>
        </w:rPr>
        <w:t xml:space="preserve">) </w:t>
      </w:r>
      <w:r>
        <w:rPr>
          <w:rFonts w:hint="cs"/>
          <w:rtl/>
        </w:rPr>
        <w:t xml:space="preserve">דמ"מ לב' הביאורים מוכח דאין כוונת </w:t>
      </w:r>
      <w:r w:rsidRPr="00206A33">
        <w:rPr>
          <w:rStyle w:val="af9"/>
          <w:rFonts w:hint="cs"/>
          <w:rtl/>
        </w:rPr>
        <w:t xml:space="preserve">הרשב"ם </w:t>
      </w:r>
      <w:r>
        <w:rPr>
          <w:rFonts w:hint="cs"/>
          <w:rtl/>
        </w:rPr>
        <w:t>לומר דבסוגיין אין המחזיק נאמן כיון שאין לו חזקת ג"ש, דאף כשיש לו חזקה היא חזקה בלי טענה, אלא כוונתו לבאר את טענת המערער, או דאף אם יטען מינך זבינתה אינו נאמן, או דהמחזיק אינו בע"ד.</w:t>
      </w: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5306EB" w:rsidRDefault="005306EB" w:rsidP="005306EB">
      <w:pPr>
        <w:pStyle w:val="afe"/>
        <w:rPr>
          <w:rtl/>
        </w:rPr>
      </w:pPr>
      <w:bookmarkStart w:id="12196" w:name="_Toc61509867"/>
      <w:bookmarkEnd w:id="12167"/>
      <w:bookmarkEnd w:id="12168"/>
      <w:bookmarkEnd w:id="12169"/>
      <w:bookmarkEnd w:id="12170"/>
      <w:bookmarkEnd w:id="12171"/>
      <w:bookmarkEnd w:id="12172"/>
      <w:r>
        <w:rPr>
          <w:rFonts w:hint="cs"/>
          <w:rtl/>
        </w:rPr>
        <w:t>בפלוג' ר"ח והרשב"א התוס' אי הוי בע"ד</w:t>
      </w:r>
      <w:bookmarkEnd w:id="12196"/>
    </w:p>
    <w:p w:rsidR="005306EB" w:rsidRPr="00424B0D" w:rsidRDefault="005306EB" w:rsidP="005306EB">
      <w:pPr>
        <w:pStyle w:val="1"/>
        <w:rPr>
          <w:rtl/>
        </w:rPr>
      </w:pPr>
      <w:bookmarkStart w:id="12197" w:name="_Toc61200699"/>
      <w:bookmarkStart w:id="12198" w:name="_Toc61213913"/>
      <w:bookmarkStart w:id="12199" w:name="_Toc61388284"/>
      <w:bookmarkStart w:id="12200" w:name="_Toc61430945"/>
      <w:bookmarkStart w:id="12201" w:name="_Toc61433988"/>
      <w:bookmarkStart w:id="12202" w:name="_Toc61438714"/>
      <w:bookmarkStart w:id="12203" w:name="_Toc61469490"/>
      <w:bookmarkStart w:id="12204" w:name="_Toc61509868"/>
      <w:r>
        <w:rPr>
          <w:rFonts w:hint="cs"/>
          <w:rtl/>
        </w:rPr>
        <w:t>בי' הברכ"ש</w:t>
      </w:r>
      <w:bookmarkEnd w:id="12197"/>
      <w:bookmarkEnd w:id="12198"/>
      <w:bookmarkEnd w:id="12199"/>
      <w:bookmarkEnd w:id="12200"/>
      <w:bookmarkEnd w:id="12201"/>
      <w:bookmarkEnd w:id="12202"/>
      <w:bookmarkEnd w:id="12203"/>
      <w:r>
        <w:rPr>
          <w:rFonts w:hint="cs"/>
          <w:rtl/>
        </w:rPr>
        <w:t xml:space="preserve"> בר"ח דלא רואים את המחזיק בקרקע ואינו בע"ד</w:t>
      </w:r>
      <w:bookmarkEnd w:id="12204"/>
    </w:p>
    <w:p w:rsidR="005306EB" w:rsidRDefault="005306EB" w:rsidP="005306EB">
      <w:pPr>
        <w:pStyle w:val="a3"/>
      </w:pPr>
      <w:bookmarkStart w:id="12205" w:name="_Toc61469491"/>
      <w:bookmarkStart w:id="12206" w:name="_Toc61509869"/>
      <w:r>
        <w:rPr>
          <w:rFonts w:hint="cs"/>
          <w:rtl/>
        </w:rPr>
        <w:t>ביאור הברכ"ש בגאונים דבלי חד יומא לא רואים את המוכר בקרקע וממילא המחזיק לא בע"ד</w:t>
      </w:r>
      <w:bookmarkEnd w:id="12205"/>
      <w:bookmarkEnd w:id="12206"/>
    </w:p>
    <w:p w:rsidR="005306EB" w:rsidRDefault="005306EB" w:rsidP="007E4E81">
      <w:pPr>
        <w:pStyle w:val="a0"/>
        <w:rPr>
          <w:rtl/>
        </w:rPr>
      </w:pPr>
      <w:r>
        <w:rPr>
          <w:rFonts w:hint="cs"/>
          <w:rtl/>
        </w:rPr>
        <w:t xml:space="preserve">במ"ש </w:t>
      </w:r>
      <w:r w:rsidRPr="005F2313">
        <w:rPr>
          <w:rStyle w:val="af9"/>
          <w:rFonts w:hint="cs"/>
          <w:rtl/>
        </w:rPr>
        <w:t>ר"ח</w:t>
      </w:r>
      <w:r>
        <w:rPr>
          <w:rFonts w:hint="cs"/>
          <w:rtl/>
        </w:rPr>
        <w:t xml:space="preserve"> </w:t>
      </w:r>
      <w:r w:rsidRPr="00A37B48">
        <w:rPr>
          <w:rStyle w:val="af7"/>
          <w:rFonts w:eastAsia="Guttman Hodes" w:hint="cs"/>
          <w:rtl/>
        </w:rPr>
        <w:t xml:space="preserve">(עי' אות </w:t>
      </w:r>
      <w:r w:rsidRPr="00A37B48">
        <w:rPr>
          <w:rStyle w:val="af7"/>
          <w:rFonts w:eastAsia="Guttman Hodes"/>
          <w:rtl/>
        </w:rPr>
        <w:fldChar w:fldCharType="begin"/>
      </w:r>
      <w:r w:rsidRPr="00A37B48">
        <w:rPr>
          <w:rStyle w:val="af7"/>
          <w:rFonts w:eastAsia="Guttman Hodes"/>
          <w:rtl/>
        </w:rPr>
        <w:instrText xml:space="preserve"> </w:instrText>
      </w:r>
      <w:r w:rsidRPr="00A37B48">
        <w:rPr>
          <w:rStyle w:val="af7"/>
          <w:rFonts w:eastAsia="Guttman Hodes" w:hint="cs"/>
        </w:rPr>
        <w:instrText>REF</w:instrText>
      </w:r>
      <w:r w:rsidRPr="00A37B48">
        <w:rPr>
          <w:rStyle w:val="af7"/>
          <w:rFonts w:eastAsia="Guttman Hodes" w:hint="cs"/>
          <w:rtl/>
        </w:rPr>
        <w:instrText xml:space="preserve"> _</w:instrText>
      </w:r>
      <w:r w:rsidRPr="00A37B48">
        <w:rPr>
          <w:rStyle w:val="af7"/>
          <w:rFonts w:eastAsia="Guttman Hodes" w:hint="cs"/>
        </w:rPr>
        <w:instrText>Ref61193999 \r \h</w:instrText>
      </w:r>
      <w:r w:rsidRPr="00A37B4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37B48">
        <w:rPr>
          <w:rStyle w:val="af7"/>
          <w:rFonts w:eastAsia="Guttman Hodes"/>
          <w:rtl/>
        </w:rPr>
      </w:r>
      <w:r w:rsidRPr="00A37B48">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A37B48">
        <w:rPr>
          <w:rStyle w:val="af7"/>
          <w:rFonts w:eastAsia="Guttman Hodes"/>
          <w:rtl/>
        </w:rPr>
        <w:fldChar w:fldCharType="end"/>
      </w:r>
      <w:r>
        <w:rPr>
          <w:rFonts w:hint="cs"/>
          <w:rtl/>
        </w:rPr>
        <w:t xml:space="preserve"> בשם </w:t>
      </w:r>
      <w:r w:rsidRPr="00D57BED">
        <w:rPr>
          <w:rStyle w:val="af9"/>
          <w:rFonts w:hint="cs"/>
          <w:rtl/>
        </w:rPr>
        <w:t>הגאונים</w:t>
      </w:r>
      <w:r>
        <w:rPr>
          <w:rFonts w:hint="cs"/>
          <w:rtl/>
        </w:rPr>
        <w:t xml:space="preserve"> דהמחזיק אינו יכול לדון עם המערער, אלא המוכר דן עם המערער, ביאר </w:t>
      </w:r>
      <w:r w:rsidRPr="00522E96">
        <w:rPr>
          <w:rStyle w:val="af9"/>
          <w:rFonts w:hint="cs"/>
          <w:rtl/>
        </w:rPr>
        <w:t>הברכ"ש</w:t>
      </w:r>
      <w:r>
        <w:rPr>
          <w:rFonts w:hint="cs"/>
          <w:rtl/>
        </w:rPr>
        <w:t xml:space="preserve"> </w:t>
      </w:r>
      <w:r w:rsidRPr="00A37B48">
        <w:rPr>
          <w:rStyle w:val="af7"/>
          <w:rFonts w:eastAsia="Guttman Hodes" w:hint="cs"/>
          <w:rtl/>
        </w:rPr>
        <w:t xml:space="preserve">(סי' כ"ז או' ב' ד"ה ונראה) </w:t>
      </w:r>
      <w:r>
        <w:rPr>
          <w:rFonts w:hint="cs"/>
          <w:rtl/>
        </w:rPr>
        <w:t xml:space="preserve">דס"ל </w:t>
      </w:r>
      <w:r w:rsidRPr="00522E96">
        <w:rPr>
          <w:rStyle w:val="af9"/>
          <w:rFonts w:hint="cs"/>
          <w:rtl/>
        </w:rPr>
        <w:t>לר"ח</w:t>
      </w:r>
      <w:r>
        <w:rPr>
          <w:rFonts w:hint="cs"/>
          <w:rtl/>
        </w:rPr>
        <w:t xml:space="preserve"> דכל שאין אנו רואים את המוכר בקרקע, </w:t>
      </w:r>
      <w:r w:rsidRPr="00522E96">
        <w:rPr>
          <w:rStyle w:val="afb"/>
          <w:rFonts w:hint="cs"/>
          <w:rtl/>
        </w:rPr>
        <w:t xml:space="preserve">[כדביאר </w:t>
      </w:r>
      <w:r w:rsidRPr="00522E96">
        <w:rPr>
          <w:rStyle w:val="affa"/>
          <w:rFonts w:hint="cs"/>
          <w:rtl/>
        </w:rPr>
        <w:t>הברכ"ש</w:t>
      </w:r>
      <w:r>
        <w:rPr>
          <w:rStyle w:val="afb"/>
          <w:rFonts w:hint="cs"/>
          <w:rtl/>
        </w:rPr>
        <w:t xml:space="preserve"> </w:t>
      </w:r>
      <w:r w:rsidRPr="00EF6586">
        <w:rPr>
          <w:rStyle w:val="aff6"/>
          <w:rtl/>
        </w:rPr>
        <w:t>(סי' כ"ז או' ב' ד"ה ונראה</w:t>
      </w:r>
      <w:r w:rsidRPr="00EF6586">
        <w:rPr>
          <w:rStyle w:val="aff6"/>
          <w:rFonts w:hint="cs"/>
          <w:rtl/>
        </w:rPr>
        <w:t>, הובא בסימן י' אות פ"ט)</w:t>
      </w:r>
      <w:r w:rsidRPr="00522E96">
        <w:rPr>
          <w:rStyle w:val="afb"/>
          <w:rFonts w:hint="cs"/>
          <w:rtl/>
        </w:rPr>
        <w:t xml:space="preserve"> דבלא עדות דדר בה חד יומא אין הב"ד רואים את המוכר בקרקע], </w:t>
      </w:r>
      <w:r>
        <w:rPr>
          <w:rFonts w:hint="cs"/>
          <w:rtl/>
        </w:rPr>
        <w:t xml:space="preserve">א"כ אין המחזיק יכול לדון עם המערער, דהא המחזיק בא מכח המוכר, וכל שלא רואים את המוכר בקרקע, ממילא אין רואים את המחזיק בקרקע, ולכן צריך שהמוכר עצמו יבא לב"ד, והוסיף </w:t>
      </w:r>
      <w:r w:rsidRPr="0001294D">
        <w:rPr>
          <w:rStyle w:val="af9"/>
          <w:rFonts w:hint="cs"/>
          <w:rtl/>
        </w:rPr>
        <w:t>הברכ"ש</w:t>
      </w:r>
      <w:r>
        <w:rPr>
          <w:rFonts w:hint="cs"/>
          <w:rtl/>
        </w:rPr>
        <w:t xml:space="preserve"> דאף לדעת</w:t>
      </w:r>
      <w:r w:rsidRPr="0001294D">
        <w:rPr>
          <w:rStyle w:val="af9"/>
          <w:rFonts w:hint="cs"/>
          <w:rtl/>
        </w:rPr>
        <w:t xml:space="preserve"> (ר"י) הרשב"א בתוס'</w:t>
      </w:r>
      <w:r>
        <w:rPr>
          <w:rFonts w:hint="cs"/>
          <w:rtl/>
        </w:rPr>
        <w:t xml:space="preserve"> </w:t>
      </w:r>
      <w:r w:rsidRPr="00EF6586">
        <w:rPr>
          <w:rStyle w:val="af7"/>
          <w:rFonts w:eastAsia="Guttman Hodes" w:hint="cs"/>
          <w:rtl/>
        </w:rPr>
        <w:t xml:space="preserve">(עי' אות </w:t>
      </w:r>
      <w:r w:rsidRPr="00EF6586">
        <w:rPr>
          <w:rStyle w:val="af7"/>
          <w:rFonts w:eastAsia="Guttman Hodes"/>
          <w:rtl/>
        </w:rPr>
        <w:fldChar w:fldCharType="begin"/>
      </w:r>
      <w:r w:rsidRPr="00EF6586">
        <w:rPr>
          <w:rStyle w:val="af7"/>
          <w:rFonts w:eastAsia="Guttman Hodes"/>
          <w:rtl/>
        </w:rPr>
        <w:instrText xml:space="preserve"> </w:instrText>
      </w:r>
      <w:r w:rsidRPr="00EF6586">
        <w:rPr>
          <w:rStyle w:val="af7"/>
          <w:rFonts w:eastAsia="Guttman Hodes" w:hint="cs"/>
        </w:rPr>
        <w:instrText>REF</w:instrText>
      </w:r>
      <w:r w:rsidRPr="00EF6586">
        <w:rPr>
          <w:rStyle w:val="af7"/>
          <w:rFonts w:eastAsia="Guttman Hodes" w:hint="cs"/>
          <w:rtl/>
        </w:rPr>
        <w:instrText xml:space="preserve"> _</w:instrText>
      </w:r>
      <w:r w:rsidRPr="00EF6586">
        <w:rPr>
          <w:rStyle w:val="af7"/>
          <w:rFonts w:eastAsia="Guttman Hodes" w:hint="cs"/>
        </w:rPr>
        <w:instrText>Ref61194251 \r \h</w:instrText>
      </w:r>
      <w:r w:rsidRPr="00EF6586">
        <w:rPr>
          <w:rStyle w:val="af7"/>
          <w:rFonts w:eastAsia="Guttman Hodes"/>
          <w:rtl/>
        </w:rPr>
        <w:instrText xml:space="preserve"> </w:instrText>
      </w:r>
      <w:r w:rsidRPr="00EF6586">
        <w:rPr>
          <w:rStyle w:val="af7"/>
          <w:rFonts w:eastAsia="Guttman Hodes"/>
          <w:rtl/>
        </w:rPr>
      </w:r>
      <w:r w:rsidRPr="00EF6586">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EF6586">
        <w:rPr>
          <w:rStyle w:val="af7"/>
          <w:rFonts w:eastAsia="Guttman Hodes"/>
          <w:rtl/>
        </w:rPr>
        <w:fldChar w:fldCharType="end"/>
      </w:r>
      <w:r>
        <w:rPr>
          <w:rFonts w:hint="cs"/>
          <w:rtl/>
        </w:rPr>
        <w:t xml:space="preserve"> הא דהמחזיק יכול לדון עם המערער, אינו מחמת שרואים את המחזיק בקרקע, אלא רק מדין מה מכר, ולכן טענינן למחזיק אף שאין אנו רואים אותו בקרקע.</w:t>
      </w:r>
    </w:p>
    <w:p w:rsidR="005306EB" w:rsidRDefault="005306EB" w:rsidP="005306EB">
      <w:pPr>
        <w:pStyle w:val="1"/>
        <w:rPr>
          <w:rtl/>
        </w:rPr>
      </w:pPr>
      <w:bookmarkStart w:id="12207" w:name="_Toc61509870"/>
      <w:r>
        <w:rPr>
          <w:rFonts w:hint="cs"/>
          <w:rtl/>
        </w:rPr>
        <w:t>ביאור הקה"י בפלוגתת ר"ח ורשב"א בתוס' אי בחזקה הוא בע"ד</w:t>
      </w:r>
      <w:bookmarkEnd w:id="12207"/>
    </w:p>
    <w:p w:rsidR="005306EB" w:rsidRDefault="005306EB" w:rsidP="005306EB">
      <w:pPr>
        <w:pStyle w:val="a3"/>
        <w:rPr>
          <w:rtl/>
        </w:rPr>
      </w:pPr>
      <w:bookmarkStart w:id="12208" w:name="_Toc61469493"/>
      <w:bookmarkStart w:id="12209" w:name="_Toc61509871"/>
      <w:r>
        <w:rPr>
          <w:rFonts w:hint="cs"/>
          <w:rtl/>
        </w:rPr>
        <w:t>בי' הקה"י בגאונים דמבואר בטענת המערער דהנדון בסוגיין הוא דהמחזיק אינו בע"ד למערער</w:t>
      </w:r>
      <w:bookmarkEnd w:id="12208"/>
      <w:bookmarkEnd w:id="12209"/>
    </w:p>
    <w:p w:rsidR="005306EB" w:rsidRDefault="005306EB" w:rsidP="007E4E81">
      <w:pPr>
        <w:pStyle w:val="a0"/>
        <w:rPr>
          <w:rtl/>
        </w:rPr>
      </w:pPr>
      <w:bookmarkStart w:id="12210" w:name="_Ref61194022"/>
      <w:r>
        <w:rPr>
          <w:rFonts w:hint="cs"/>
          <w:rtl/>
        </w:rPr>
        <w:t xml:space="preserve">במ"ש </w:t>
      </w:r>
      <w:r w:rsidRPr="005F2313">
        <w:rPr>
          <w:rStyle w:val="af9"/>
          <w:rFonts w:hint="cs"/>
          <w:rtl/>
        </w:rPr>
        <w:t>ר"ח</w:t>
      </w:r>
      <w:r>
        <w:rPr>
          <w:rFonts w:hint="cs"/>
          <w:rtl/>
        </w:rPr>
        <w:t xml:space="preserve"> </w:t>
      </w:r>
      <w:r w:rsidRPr="00A37B48">
        <w:rPr>
          <w:rStyle w:val="af7"/>
          <w:rFonts w:eastAsia="Guttman Hodes" w:hint="cs"/>
          <w:rtl/>
        </w:rPr>
        <w:t xml:space="preserve">(עי' אות </w:t>
      </w:r>
      <w:r w:rsidRPr="00A37B48">
        <w:rPr>
          <w:rStyle w:val="af7"/>
          <w:rFonts w:eastAsia="Guttman Hodes"/>
          <w:rtl/>
        </w:rPr>
        <w:fldChar w:fldCharType="begin"/>
      </w:r>
      <w:r w:rsidRPr="00A37B48">
        <w:rPr>
          <w:rStyle w:val="af7"/>
          <w:rFonts w:eastAsia="Guttman Hodes"/>
          <w:rtl/>
        </w:rPr>
        <w:instrText xml:space="preserve"> </w:instrText>
      </w:r>
      <w:r w:rsidRPr="00A37B48">
        <w:rPr>
          <w:rStyle w:val="af7"/>
          <w:rFonts w:eastAsia="Guttman Hodes" w:hint="cs"/>
        </w:rPr>
        <w:instrText>REF</w:instrText>
      </w:r>
      <w:r w:rsidRPr="00A37B48">
        <w:rPr>
          <w:rStyle w:val="af7"/>
          <w:rFonts w:eastAsia="Guttman Hodes" w:hint="cs"/>
          <w:rtl/>
        </w:rPr>
        <w:instrText xml:space="preserve"> _</w:instrText>
      </w:r>
      <w:r w:rsidRPr="00A37B48">
        <w:rPr>
          <w:rStyle w:val="af7"/>
          <w:rFonts w:eastAsia="Guttman Hodes" w:hint="cs"/>
        </w:rPr>
        <w:instrText>Ref61193999 \r \h</w:instrText>
      </w:r>
      <w:r w:rsidRPr="00A37B4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A37B48">
        <w:rPr>
          <w:rStyle w:val="af7"/>
          <w:rFonts w:eastAsia="Guttman Hodes"/>
          <w:rtl/>
        </w:rPr>
      </w:r>
      <w:r w:rsidRPr="00A37B48">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A37B48">
        <w:rPr>
          <w:rStyle w:val="af7"/>
          <w:rFonts w:eastAsia="Guttman Hodes"/>
          <w:rtl/>
        </w:rPr>
        <w:fldChar w:fldCharType="end"/>
      </w:r>
      <w:r>
        <w:rPr>
          <w:rFonts w:hint="cs"/>
          <w:rtl/>
        </w:rPr>
        <w:t xml:space="preserve"> בשם </w:t>
      </w:r>
      <w:r w:rsidRPr="00D57BED">
        <w:rPr>
          <w:rStyle w:val="af9"/>
          <w:rFonts w:hint="cs"/>
          <w:rtl/>
        </w:rPr>
        <w:t>הגאונים</w:t>
      </w:r>
      <w:r>
        <w:rPr>
          <w:rFonts w:hint="cs"/>
          <w:rtl/>
        </w:rPr>
        <w:t xml:space="preserve"> דהמחזיק אינו יכול לדון עם המערער, אלא המוכר דן עם המערער, ביאר </w:t>
      </w:r>
      <w:r w:rsidRPr="0001294D">
        <w:rPr>
          <w:rStyle w:val="af9"/>
          <w:rFonts w:hint="cs"/>
          <w:rtl/>
        </w:rPr>
        <w:t>הקה"י</w:t>
      </w:r>
      <w:r w:rsidRPr="00A37B48">
        <w:rPr>
          <w:rStyle w:val="af7"/>
          <w:rFonts w:eastAsia="Guttman Hodes" w:hint="cs"/>
          <w:rtl/>
        </w:rPr>
        <w:t xml:space="preserve"> (סי' כ' ד"ה והנלענ"ד ברור) </w:t>
      </w:r>
      <w:r>
        <w:rPr>
          <w:rFonts w:hint="cs"/>
          <w:rtl/>
        </w:rPr>
        <w:t xml:space="preserve">דלמדו כן </w:t>
      </w:r>
      <w:r w:rsidRPr="0001294D">
        <w:rPr>
          <w:rStyle w:val="af9"/>
          <w:rFonts w:hint="cs"/>
          <w:rtl/>
        </w:rPr>
        <w:t xml:space="preserve">הגאונים </w:t>
      </w:r>
      <w:r>
        <w:rPr>
          <w:rFonts w:hint="cs"/>
          <w:rtl/>
        </w:rPr>
        <w:t xml:space="preserve">מלשון הגמ' דאמר המערער למחזיק זיל לאו בע"ד דידי את, ואמר רבא דהדין כמערער, דכוונתו לומר שאינו צריך לדון עמו בב"ד כלל, והנדון הוא רק עם המוכר, וכן מצינו לשון כזה בגמ' בב"ק </w:t>
      </w:r>
      <w:r w:rsidRPr="00A37B48">
        <w:rPr>
          <w:rStyle w:val="af7"/>
          <w:rFonts w:eastAsia="Guttman Hodes" w:hint="cs"/>
          <w:rtl/>
        </w:rPr>
        <w:t>(ח:, ע.)</w:t>
      </w:r>
      <w:r>
        <w:rPr>
          <w:rFonts w:hint="cs"/>
          <w:rtl/>
        </w:rPr>
        <w:t>, דהכוונה שאינו צריך לדון עמו.</w:t>
      </w:r>
      <w:bookmarkEnd w:id="12210"/>
    </w:p>
    <w:p w:rsidR="005306EB" w:rsidRPr="0001294D" w:rsidRDefault="005306EB" w:rsidP="005306EB">
      <w:pPr>
        <w:pStyle w:val="a3"/>
      </w:pPr>
      <w:bookmarkStart w:id="12211" w:name="_Toc61469494"/>
      <w:bookmarkStart w:id="12212" w:name="_Toc61509872"/>
      <w:r>
        <w:rPr>
          <w:rFonts w:hint="cs"/>
          <w:rtl/>
        </w:rPr>
        <w:t>ביאור הקה"י ברשב"א בתוס' דהמחזיק כשליח של המוכר וכיון שמכר לו א"צ הרשאה</w:t>
      </w:r>
      <w:bookmarkEnd w:id="12211"/>
      <w:bookmarkEnd w:id="12212"/>
    </w:p>
    <w:p w:rsidR="005306EB" w:rsidRDefault="005306EB" w:rsidP="007E4E81">
      <w:pPr>
        <w:pStyle w:val="a0"/>
        <w:rPr>
          <w:rtl/>
        </w:rPr>
      </w:pPr>
      <w:bookmarkStart w:id="12213" w:name="_Ref61194261"/>
      <w:r>
        <w:rPr>
          <w:rFonts w:hint="cs"/>
          <w:rtl/>
        </w:rPr>
        <w:t xml:space="preserve">ובדעת </w:t>
      </w:r>
      <w:r>
        <w:rPr>
          <w:rStyle w:val="af9"/>
          <w:rtl/>
        </w:rPr>
        <w:t xml:space="preserve">הרשב"א בתוס' </w:t>
      </w:r>
      <w:r w:rsidRPr="00E21B4C">
        <w:rPr>
          <w:rStyle w:val="af7"/>
          <w:rFonts w:eastAsia="Guttman Hodes" w:hint="cs"/>
          <w:rtl/>
        </w:rPr>
        <w:t xml:space="preserve">(עי' אות </w:t>
      </w:r>
      <w:r w:rsidRPr="00E21B4C">
        <w:rPr>
          <w:rStyle w:val="af7"/>
          <w:rFonts w:eastAsia="Guttman Hodes"/>
          <w:rtl/>
        </w:rPr>
        <w:fldChar w:fldCharType="begin"/>
      </w:r>
      <w:r w:rsidRPr="00E21B4C">
        <w:rPr>
          <w:rStyle w:val="af7"/>
          <w:rFonts w:eastAsia="Guttman Hodes"/>
          <w:rtl/>
        </w:rPr>
        <w:instrText xml:space="preserve"> </w:instrText>
      </w:r>
      <w:r w:rsidRPr="00E21B4C">
        <w:rPr>
          <w:rStyle w:val="af7"/>
          <w:rFonts w:eastAsia="Guttman Hodes" w:hint="cs"/>
        </w:rPr>
        <w:instrText>REF</w:instrText>
      </w:r>
      <w:r w:rsidRPr="00E21B4C">
        <w:rPr>
          <w:rStyle w:val="af7"/>
          <w:rFonts w:eastAsia="Guttman Hodes" w:hint="cs"/>
          <w:rtl/>
        </w:rPr>
        <w:instrText xml:space="preserve"> _</w:instrText>
      </w:r>
      <w:r w:rsidRPr="00E21B4C">
        <w:rPr>
          <w:rStyle w:val="af7"/>
          <w:rFonts w:eastAsia="Guttman Hodes" w:hint="cs"/>
        </w:rPr>
        <w:instrText>Ref61194251 \r \h</w:instrText>
      </w:r>
      <w:r w:rsidRPr="00E21B4C">
        <w:rPr>
          <w:rStyle w:val="af7"/>
          <w:rFonts w:eastAsia="Guttman Hodes"/>
          <w:rtl/>
        </w:rPr>
        <w:instrText xml:space="preserve"> </w:instrText>
      </w:r>
      <w:r w:rsidRPr="00E21B4C">
        <w:rPr>
          <w:rStyle w:val="af7"/>
          <w:rFonts w:eastAsia="Guttman Hodes"/>
          <w:rtl/>
        </w:rPr>
      </w:r>
      <w:r w:rsidRPr="00E21B4C">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E21B4C">
        <w:rPr>
          <w:rStyle w:val="af7"/>
          <w:rFonts w:eastAsia="Guttman Hodes"/>
          <w:rtl/>
        </w:rPr>
        <w:fldChar w:fldCharType="end"/>
      </w:r>
      <w:r>
        <w:rPr>
          <w:rFonts w:hint="cs"/>
          <w:rtl/>
        </w:rPr>
        <w:t xml:space="preserve"> דכיון דכל זכות שתבא לידו מכר הראשון לשני, וכיון דאין המערער יכול לדחות את המוכר ולומר לו לאו בע"ד דידי את, ה"ה דאינו יכול לדחות את המחזיק, ביאר </w:t>
      </w:r>
      <w:r w:rsidRPr="0001294D">
        <w:rPr>
          <w:rStyle w:val="af9"/>
          <w:rFonts w:hint="cs"/>
          <w:rtl/>
        </w:rPr>
        <w:t>הקה"י</w:t>
      </w:r>
      <w:r>
        <w:rPr>
          <w:rFonts w:hint="cs"/>
          <w:rtl/>
        </w:rPr>
        <w:t xml:space="preserve"> </w:t>
      </w:r>
      <w:r w:rsidRPr="00A37B48">
        <w:rPr>
          <w:rStyle w:val="af7"/>
          <w:rFonts w:eastAsia="Guttman Hodes" w:hint="cs"/>
          <w:rtl/>
        </w:rPr>
        <w:t>(סי' כ' ד"ה ודעת)</w:t>
      </w:r>
      <w:r>
        <w:rPr>
          <w:rFonts w:hint="cs"/>
          <w:rtl/>
        </w:rPr>
        <w:t xml:space="preserve"> דהמחזיק לא גרע משליח של המוכר כיון שהוא נתן לו את כל הכח שיש לו בקרקע הזו, וכדמצינו בגמ' בב"ק</w:t>
      </w:r>
      <w:r w:rsidRPr="00A37B48">
        <w:rPr>
          <w:rStyle w:val="af7"/>
          <w:rFonts w:eastAsia="Guttman Hodes" w:hint="cs"/>
          <w:rtl/>
        </w:rPr>
        <w:t xml:space="preserve"> (ע.)</w:t>
      </w:r>
      <w:r>
        <w:rPr>
          <w:rFonts w:hint="cs"/>
          <w:rtl/>
        </w:rPr>
        <w:t xml:space="preserve"> דשליח של המוכר הוא כמותו וצריך לדון עמו, והתם צריך הרשאה כיון שהוא שליח, אבל הכא דלדעת המחזיק הוא הבעלים לגמרי א"כ א"צ הרשאה.</w:t>
      </w:r>
      <w:bookmarkEnd w:id="12213"/>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175D46" w:rsidRPr="00175D46" w:rsidRDefault="00175D46" w:rsidP="00175D46">
      <w:pPr>
        <w:pStyle w:val="a3"/>
        <w:rPr>
          <w:rtl/>
        </w:rPr>
      </w:pPr>
    </w:p>
    <w:p w:rsidR="005306EB" w:rsidRPr="00E21B4C" w:rsidRDefault="005306EB" w:rsidP="005306EB">
      <w:pPr>
        <w:pStyle w:val="a3"/>
      </w:pPr>
      <w:bookmarkStart w:id="12214" w:name="_Toc61469495"/>
      <w:bookmarkStart w:id="12215" w:name="_Toc61509873"/>
      <w:r>
        <w:rPr>
          <w:rFonts w:hint="cs"/>
          <w:rtl/>
        </w:rPr>
        <w:lastRenderedPageBreak/>
        <w:t>תי' הקה"י דבגמ' לקמן שיש חזקה הקרקע בחזקת המחזיק ולא בחזקת המר"ק והמחזיק בע"ד</w:t>
      </w:r>
      <w:bookmarkEnd w:id="12214"/>
      <w:bookmarkEnd w:id="12215"/>
    </w:p>
    <w:p w:rsidR="005306EB" w:rsidRDefault="005306EB" w:rsidP="007E4E81">
      <w:pPr>
        <w:pStyle w:val="a0"/>
        <w:rPr>
          <w:rtl/>
        </w:rPr>
      </w:pPr>
      <w:bookmarkStart w:id="12216" w:name="_Ref61469497"/>
      <w:r>
        <w:rPr>
          <w:rFonts w:hint="cs"/>
          <w:rtl/>
        </w:rPr>
        <w:t xml:space="preserve">ובמה שהקשו </w:t>
      </w:r>
      <w:r w:rsidRPr="005F2313">
        <w:rPr>
          <w:rStyle w:val="af9"/>
          <w:rFonts w:hint="cs"/>
          <w:rtl/>
        </w:rPr>
        <w:t xml:space="preserve">התוס' </w:t>
      </w:r>
      <w:r w:rsidRPr="00E21B4C">
        <w:rPr>
          <w:rStyle w:val="af7"/>
          <w:rFonts w:eastAsia="Guttman Hodes" w:hint="cs"/>
          <w:rtl/>
        </w:rPr>
        <w:t xml:space="preserve">(עי' אות </w:t>
      </w:r>
      <w:r w:rsidRPr="00E21B4C">
        <w:rPr>
          <w:rStyle w:val="af7"/>
          <w:rFonts w:eastAsia="Guttman Hodes"/>
          <w:rtl/>
        </w:rPr>
        <w:fldChar w:fldCharType="begin"/>
      </w:r>
      <w:r w:rsidRPr="00E21B4C">
        <w:rPr>
          <w:rStyle w:val="af7"/>
          <w:rFonts w:eastAsia="Guttman Hodes"/>
          <w:rtl/>
        </w:rPr>
        <w:instrText xml:space="preserve"> </w:instrText>
      </w:r>
      <w:r w:rsidRPr="00E21B4C">
        <w:rPr>
          <w:rStyle w:val="af7"/>
          <w:rFonts w:eastAsia="Guttman Hodes" w:hint="cs"/>
        </w:rPr>
        <w:instrText>REF</w:instrText>
      </w:r>
      <w:r w:rsidRPr="00E21B4C">
        <w:rPr>
          <w:rStyle w:val="af7"/>
          <w:rFonts w:eastAsia="Guttman Hodes" w:hint="cs"/>
          <w:rtl/>
        </w:rPr>
        <w:instrText xml:space="preserve"> _</w:instrText>
      </w:r>
      <w:r w:rsidRPr="00E21B4C">
        <w:rPr>
          <w:rStyle w:val="af7"/>
          <w:rFonts w:eastAsia="Guttman Hodes" w:hint="cs"/>
        </w:rPr>
        <w:instrText>Ref61194251 \r \h</w:instrText>
      </w:r>
      <w:r w:rsidRPr="00E21B4C">
        <w:rPr>
          <w:rStyle w:val="af7"/>
          <w:rFonts w:eastAsia="Guttman Hodes"/>
          <w:rtl/>
        </w:rPr>
        <w:instrText xml:space="preserve"> </w:instrText>
      </w:r>
      <w:r w:rsidRPr="00E21B4C">
        <w:rPr>
          <w:rStyle w:val="af7"/>
          <w:rFonts w:eastAsia="Guttman Hodes"/>
          <w:rtl/>
        </w:rPr>
      </w:r>
      <w:r w:rsidRPr="00E21B4C">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E21B4C">
        <w:rPr>
          <w:rStyle w:val="af7"/>
          <w:rFonts w:eastAsia="Guttman Hodes"/>
          <w:rtl/>
        </w:rPr>
        <w:fldChar w:fldCharType="end"/>
      </w:r>
      <w:r>
        <w:rPr>
          <w:rFonts w:hint="cs"/>
          <w:rtl/>
        </w:rPr>
        <w:t xml:space="preserve"> על דעת </w:t>
      </w:r>
      <w:r w:rsidRPr="0001294D">
        <w:rPr>
          <w:rStyle w:val="af9"/>
          <w:rFonts w:hint="cs"/>
          <w:rtl/>
        </w:rPr>
        <w:t>הגאונים</w:t>
      </w:r>
      <w:r>
        <w:rPr>
          <w:rFonts w:hint="cs"/>
          <w:rtl/>
        </w:rPr>
        <w:t xml:space="preserve"> דמוכח בגמ' לקמן </w:t>
      </w:r>
      <w:r w:rsidRPr="005F2313">
        <w:rPr>
          <w:rStyle w:val="af7"/>
          <w:rFonts w:eastAsia="Guttman Hodes" w:hint="cs"/>
          <w:rtl/>
        </w:rPr>
        <w:t>(מא:)</w:t>
      </w:r>
      <w:r>
        <w:rPr>
          <w:rFonts w:hint="cs"/>
          <w:rtl/>
        </w:rPr>
        <w:t xml:space="preserve"> דכל שהמחזיק הביא עדים קמי דידי דר בה המוכר חד יומא, מעמידים בידו, ואין המערער יכול לומר לו לאו בע"ד דידי את, כתב </w:t>
      </w:r>
      <w:r w:rsidRPr="0001294D">
        <w:rPr>
          <w:rStyle w:val="af9"/>
          <w:rFonts w:hint="cs"/>
          <w:rtl/>
        </w:rPr>
        <w:t xml:space="preserve">הקה"י </w:t>
      </w:r>
      <w:r w:rsidRPr="00A37B48">
        <w:rPr>
          <w:rStyle w:val="af7"/>
          <w:rFonts w:eastAsia="Guttman Hodes" w:hint="cs"/>
          <w:rtl/>
        </w:rPr>
        <w:t>(סי' כ' ד"ה ובמה)</w:t>
      </w:r>
      <w:r>
        <w:rPr>
          <w:rFonts w:hint="cs"/>
          <w:rtl/>
        </w:rPr>
        <w:t xml:space="preserve"> דהא דקרקע בחזקת בעליה עומדת, היינו רק כשאין למחזיק חזקת ג"ש, אבל לאחר חזקת ג"ש, כל שאין ראיה למחזיק או למערער, מעמידים את הקרקע בחזקת המחזיק, עיי"ש במה שהוכיח </w:t>
      </w:r>
      <w:r w:rsidRPr="0001294D">
        <w:rPr>
          <w:rStyle w:val="af9"/>
          <w:rFonts w:hint="cs"/>
          <w:rtl/>
        </w:rPr>
        <w:t xml:space="preserve">הקה"י </w:t>
      </w:r>
      <w:r>
        <w:rPr>
          <w:rFonts w:hint="cs"/>
          <w:rtl/>
        </w:rPr>
        <w:t>כן.</w:t>
      </w:r>
      <w:bookmarkEnd w:id="12216"/>
    </w:p>
    <w:p w:rsidR="005306EB" w:rsidRPr="004113A9" w:rsidRDefault="005306EB" w:rsidP="005306EB">
      <w:pPr>
        <w:pStyle w:val="a3"/>
      </w:pPr>
      <w:bookmarkStart w:id="12217" w:name="_Toc61469496"/>
      <w:bookmarkStart w:id="12218" w:name="_Toc61509874"/>
      <w:r>
        <w:rPr>
          <w:rFonts w:hint="cs"/>
          <w:rtl/>
        </w:rPr>
        <w:t>ביאור הקה"י בגאונים דבסוגיין שאין לו חזקה אין המחזיק מוחזק יותר מהמערער ואינו בע"ד</w:t>
      </w:r>
      <w:bookmarkEnd w:id="12217"/>
      <w:bookmarkEnd w:id="12218"/>
    </w:p>
    <w:p w:rsidR="005306EB" w:rsidRDefault="005306EB" w:rsidP="007E4E81">
      <w:pPr>
        <w:pStyle w:val="a0"/>
        <w:numPr>
          <w:ilvl w:val="0"/>
          <w:numId w:val="0"/>
        </w:numPr>
        <w:rPr>
          <w:b/>
          <w:bCs/>
          <w:rtl/>
        </w:rPr>
        <w:sectPr w:rsidR="005306EB" w:rsidSect="005049E2">
          <w:footerReference w:type="default" r:id="rId98"/>
          <w:type w:val="continuous"/>
          <w:pgSz w:w="11906" w:h="16838"/>
          <w:pgMar w:top="720" w:right="720" w:bottom="720" w:left="720" w:header="283" w:footer="283" w:gutter="0"/>
          <w:cols w:num="2" w:space="567"/>
          <w:titlePg/>
          <w:bidi/>
          <w:rtlGutter/>
          <w:docGrid w:linePitch="299"/>
        </w:sectPr>
      </w:pPr>
      <w:bookmarkStart w:id="12219" w:name="_Ref61195596"/>
      <w:r>
        <w:rPr>
          <w:rFonts w:hint="cs"/>
          <w:rtl/>
        </w:rPr>
        <w:t xml:space="preserve">וכתב </w:t>
      </w:r>
      <w:r w:rsidRPr="0001294D">
        <w:rPr>
          <w:rStyle w:val="af9"/>
          <w:rFonts w:hint="cs"/>
          <w:rtl/>
        </w:rPr>
        <w:t xml:space="preserve">הקה"י </w:t>
      </w:r>
      <w:r w:rsidRPr="00595C04">
        <w:rPr>
          <w:rStyle w:val="af7"/>
          <w:rFonts w:eastAsia="Guttman Hodes" w:hint="cs"/>
          <w:rtl/>
        </w:rPr>
        <w:t>(סי' כ' ד"ה ועפ"ז אתי)</w:t>
      </w:r>
      <w:r>
        <w:rPr>
          <w:rFonts w:hint="cs"/>
          <w:rtl/>
        </w:rPr>
        <w:t xml:space="preserve"> דלפי"ז אפש"ל דלדעת </w:t>
      </w:r>
      <w:r w:rsidRPr="0001294D">
        <w:rPr>
          <w:rStyle w:val="af9"/>
          <w:rFonts w:hint="cs"/>
          <w:rtl/>
        </w:rPr>
        <w:t xml:space="preserve">הגאונים </w:t>
      </w:r>
      <w:r>
        <w:rPr>
          <w:rFonts w:hint="cs"/>
          <w:rtl/>
        </w:rPr>
        <w:t xml:space="preserve">בסוגיין המחזיק אינו בע"ד של המערער, כיון שאין לו חזקת ג"ש, וא"כ המערער הוא המוחזק בקרקע ולא המחזיק, אבל בגמ' לקמן </w:t>
      </w:r>
      <w:r w:rsidRPr="00595C04">
        <w:rPr>
          <w:rStyle w:val="af7"/>
          <w:rFonts w:eastAsia="Guttman Hodes" w:hint="cs"/>
          <w:rtl/>
        </w:rPr>
        <w:t>(מא:)</w:t>
      </w:r>
      <w:r>
        <w:rPr>
          <w:rFonts w:hint="cs"/>
          <w:rtl/>
        </w:rPr>
        <w:t xml:space="preserve"> דיש למחזיק חזקת ג"ש, והוא המוחזק בקרקע, א"כ אין המערער יכול לומר לו שאינו הבע"ד שלו, דהא הוא רוצה להוציא את הקרקע מחזקתו</w:t>
      </w:r>
      <w:bookmarkEnd w:id="12219"/>
      <w:r>
        <w:rPr>
          <w:rFonts w:hint="cs"/>
          <w:rtl/>
        </w:rPr>
        <w:t xml:space="preserve">, וכ"כ </w:t>
      </w:r>
      <w:r w:rsidRPr="001A14F1">
        <w:rPr>
          <w:rStyle w:val="af9"/>
          <w:rFonts w:hint="cs"/>
          <w:rtl/>
        </w:rPr>
        <w:t>הפני שלמה</w:t>
      </w:r>
      <w:r>
        <w:rPr>
          <w:rFonts w:hint="cs"/>
          <w:rtl/>
        </w:rPr>
        <w:t xml:space="preserve"> </w:t>
      </w:r>
      <w:r w:rsidRPr="00595C04">
        <w:rPr>
          <w:rStyle w:val="af7"/>
          <w:rFonts w:eastAsia="Guttman Hodes" w:hint="cs"/>
          <w:rtl/>
        </w:rPr>
        <w:t xml:space="preserve">(עי' אות </w:t>
      </w:r>
      <w:r w:rsidRPr="00595C04">
        <w:rPr>
          <w:rStyle w:val="af7"/>
          <w:rFonts w:eastAsia="Guttman Hodes"/>
          <w:rtl/>
        </w:rPr>
        <w:fldChar w:fldCharType="begin"/>
      </w:r>
      <w:r w:rsidRPr="00595C04">
        <w:rPr>
          <w:rStyle w:val="af7"/>
          <w:rFonts w:eastAsia="Guttman Hodes"/>
          <w:rtl/>
        </w:rPr>
        <w:instrText xml:space="preserve"> </w:instrText>
      </w:r>
      <w:r w:rsidRPr="00595C04">
        <w:rPr>
          <w:rStyle w:val="af7"/>
          <w:rFonts w:eastAsia="Guttman Hodes" w:hint="cs"/>
        </w:rPr>
        <w:instrText>REF</w:instrText>
      </w:r>
      <w:r w:rsidRPr="00595C04">
        <w:rPr>
          <w:rStyle w:val="af7"/>
          <w:rFonts w:eastAsia="Guttman Hodes" w:hint="cs"/>
          <w:rtl/>
        </w:rPr>
        <w:instrText xml:space="preserve"> _</w:instrText>
      </w:r>
      <w:r w:rsidRPr="00595C04">
        <w:rPr>
          <w:rStyle w:val="af7"/>
          <w:rFonts w:eastAsia="Guttman Hodes" w:hint="cs"/>
        </w:rPr>
        <w:instrText>Ref61446982 \r \h</w:instrText>
      </w:r>
      <w:r w:rsidRPr="00595C04">
        <w:rPr>
          <w:rStyle w:val="af7"/>
          <w:rFonts w:eastAsia="Guttman Hodes"/>
          <w:rtl/>
        </w:rPr>
        <w:instrText xml:space="preserve"> </w:instrText>
      </w:r>
      <w:r w:rsidRPr="00595C04">
        <w:rPr>
          <w:rStyle w:val="af7"/>
          <w:rFonts w:eastAsia="Guttman Hodes"/>
          <w:rtl/>
        </w:rPr>
      </w:r>
      <w:r w:rsidRPr="00595C04">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sidRPr="00595C04">
        <w:rPr>
          <w:rStyle w:val="af7"/>
          <w:rFonts w:eastAsia="Guttman Hodes"/>
          <w:rtl/>
        </w:rPr>
        <w:fldChar w:fldCharType="end"/>
      </w:r>
      <w:r>
        <w:rPr>
          <w:rFonts w:hint="cs"/>
          <w:rtl/>
        </w:rPr>
        <w:t xml:space="preserve">, ועי' </w:t>
      </w:r>
      <w:r w:rsidR="00B6247C">
        <w:rPr>
          <w:rStyle w:val="af9"/>
          <w:rFonts w:hint="cs"/>
          <w:rtl/>
        </w:rPr>
        <w:t xml:space="preserve">בגר"מ מן </w:t>
      </w:r>
      <w:r w:rsidR="00B6247C" w:rsidRPr="00834955">
        <w:rPr>
          <w:rStyle w:val="af9"/>
          <w:rFonts w:hint="cs"/>
          <w:rtl/>
        </w:rPr>
        <w:t>בדברי מרדכי</w:t>
      </w:r>
      <w:r w:rsidR="00B6247C">
        <w:rPr>
          <w:rStyle w:val="af9"/>
          <w:rFonts w:hint="cs"/>
          <w:rtl/>
        </w:rPr>
        <w:t xml:space="preserve"> </w:t>
      </w:r>
      <w:r w:rsidRPr="00595C04">
        <w:rPr>
          <w:rStyle w:val="af7"/>
          <w:rFonts w:eastAsia="Guttman Hodes" w:hint="cs"/>
          <w:rtl/>
        </w:rPr>
        <w:t xml:space="preserve">(סי' כ') </w:t>
      </w:r>
      <w:r>
        <w:rPr>
          <w:rFonts w:hint="cs"/>
          <w:rtl/>
        </w:rPr>
        <w:t xml:space="preserve">במה </w:t>
      </w:r>
      <w:r w:rsidRPr="00E176DA">
        <w:rPr>
          <w:rFonts w:hint="cs"/>
          <w:b/>
          <w:bCs/>
          <w:rtl/>
        </w:rPr>
        <w:t>שהאריך לבאר בזה.</w:t>
      </w:r>
    </w:p>
    <w:p w:rsidR="005306EB" w:rsidRPr="00E176DA" w:rsidRDefault="005306EB" w:rsidP="007E4E81">
      <w:pPr>
        <w:pStyle w:val="a0"/>
        <w:numPr>
          <w:ilvl w:val="0"/>
          <w:numId w:val="0"/>
        </w:numPr>
        <w:rPr>
          <w:rtl/>
        </w:rPr>
        <w:sectPr w:rsidR="005306EB" w:rsidRPr="00E176DA" w:rsidSect="005049E2">
          <w:type w:val="continuous"/>
          <w:pgSz w:w="11906" w:h="16838"/>
          <w:pgMar w:top="720" w:right="720" w:bottom="720" w:left="720" w:header="283" w:footer="283" w:gutter="0"/>
          <w:cols w:num="2" w:space="567"/>
          <w:titlePg/>
          <w:bidi/>
          <w:rtlGutter/>
          <w:docGrid w:linePitch="299"/>
        </w:sectPr>
      </w:pPr>
    </w:p>
    <w:p w:rsidR="00C34249" w:rsidRDefault="00C34249" w:rsidP="00C34249">
      <w:pPr>
        <w:pStyle w:val="afd"/>
        <w:rPr>
          <w:rtl/>
        </w:rPr>
      </w:pPr>
      <w:bookmarkStart w:id="12220" w:name="_Toc61542892"/>
      <w:bookmarkStart w:id="12221" w:name="_Toc61617739"/>
      <w:bookmarkStart w:id="12222" w:name="_Toc61811664"/>
      <w:bookmarkStart w:id="12223" w:name="_Toc61815333"/>
      <w:bookmarkStart w:id="12224" w:name="_Toc66209219"/>
      <w:bookmarkStart w:id="12225" w:name="_Toc61861366"/>
      <w:bookmarkStart w:id="12226" w:name="_Toc61867335"/>
      <w:bookmarkStart w:id="12227" w:name="_Toc61867441"/>
      <w:bookmarkStart w:id="12228" w:name="_Toc61887806"/>
      <w:r w:rsidRPr="00C03D92">
        <w:rPr>
          <w:rFonts w:hint="cs"/>
          <w:rtl/>
        </w:rPr>
        <w:lastRenderedPageBreak/>
        <w:t xml:space="preserve">סימן </w:t>
      </w:r>
      <w:r>
        <w:rPr>
          <w:rFonts w:hint="cs"/>
          <w:rtl/>
        </w:rPr>
        <w:t>י"ב</w:t>
      </w:r>
      <w:bookmarkEnd w:id="12220"/>
      <w:bookmarkEnd w:id="12221"/>
      <w:bookmarkEnd w:id="12222"/>
      <w:bookmarkEnd w:id="12223"/>
      <w:bookmarkEnd w:id="12224"/>
    </w:p>
    <w:p w:rsidR="00C34249" w:rsidRDefault="00C34249" w:rsidP="00C34249">
      <w:pPr>
        <w:pStyle w:val="afd"/>
        <w:rPr>
          <w:rtl/>
        </w:rPr>
      </w:pPr>
      <w:bookmarkStart w:id="12229" w:name="_Toc66209220"/>
      <w:r>
        <w:rPr>
          <w:rFonts w:hint="cs"/>
          <w:rtl/>
        </w:rPr>
        <w:t>בביאור המחלוקת אי אמרינן מיגו במקום עדים</w:t>
      </w:r>
      <w:bookmarkEnd w:id="12225"/>
      <w:bookmarkEnd w:id="12226"/>
      <w:bookmarkEnd w:id="12227"/>
      <w:bookmarkEnd w:id="12228"/>
      <w:bookmarkEnd w:id="12229"/>
    </w:p>
    <w:p w:rsidR="00C34249" w:rsidRDefault="00C34249" w:rsidP="00C34249">
      <w:pPr>
        <w:pStyle w:val="aff4"/>
        <w:rPr>
          <w:rtl/>
        </w:rPr>
      </w:pPr>
      <w:bookmarkStart w:id="12230" w:name="_Toc61542893"/>
      <w:bookmarkStart w:id="12231" w:name="_Toc61617740"/>
      <w:bookmarkStart w:id="12232" w:name="_Toc61811665"/>
      <w:bookmarkStart w:id="12233" w:name="_Toc61815334"/>
      <w:bookmarkStart w:id="12234" w:name="_Toc61861367"/>
      <w:bookmarkStart w:id="12235" w:name="_Toc61867336"/>
      <w:bookmarkStart w:id="12236" w:name="_Toc61867442"/>
      <w:bookmarkStart w:id="12237" w:name="_Toc61887807"/>
    </w:p>
    <w:p w:rsidR="00C34249" w:rsidRDefault="000B328B" w:rsidP="00C34249">
      <w:pPr>
        <w:pStyle w:val="aff4"/>
        <w:rPr>
          <w:rtl/>
        </w:rPr>
        <w:sectPr w:rsidR="00C34249" w:rsidSect="00C34249">
          <w:headerReference w:type="default" r:id="rId99"/>
          <w:headerReference w:type="first" r:id="rId100"/>
          <w:footerReference w:type="first" r:id="rId101"/>
          <w:pgSz w:w="11906" w:h="16838"/>
          <w:pgMar w:top="720" w:right="720" w:bottom="720" w:left="720" w:header="283" w:footer="283" w:gutter="0"/>
          <w:cols w:space="113"/>
          <w:bidi/>
          <w:rtlGutter/>
          <w:docGrid w:linePitch="299"/>
        </w:sectPr>
      </w:pPr>
      <w:r>
        <w:rPr>
          <w:rFonts w:hint="cs"/>
          <w:rtl/>
        </w:rPr>
        <w:t xml:space="preserve">~~~~~~~ תוכן הענינים ~~~~~~~ </w:t>
      </w:r>
      <w:bookmarkEnd w:id="12230"/>
      <w:bookmarkEnd w:id="12231"/>
      <w:bookmarkEnd w:id="12232"/>
      <w:bookmarkEnd w:id="12233"/>
      <w:bookmarkEnd w:id="12234"/>
      <w:bookmarkEnd w:id="12235"/>
      <w:bookmarkEnd w:id="12236"/>
      <w:bookmarkEnd w:id="12237"/>
    </w:p>
    <w:p w:rsidR="00C34249" w:rsidRDefault="00C34249" w:rsidP="00C34249">
      <w:pPr>
        <w:pStyle w:val="2"/>
        <w:rPr>
          <w:rFonts w:eastAsiaTheme="minorEastAsia" w:cstheme="minorBidi"/>
          <w:i/>
          <w:iCs/>
          <w:sz w:val="22"/>
          <w:szCs w:val="22"/>
          <w:rtl/>
        </w:rPr>
      </w:pPr>
      <w:r>
        <w:rPr>
          <w:i/>
          <w:i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i/>
          <w:iCs/>
          <w:rtl/>
        </w:rPr>
        <w:fldChar w:fldCharType="separate"/>
      </w:r>
      <w:r>
        <w:rPr>
          <w:rtl/>
        </w:rPr>
        <w:t>בי' הרשב"ם בר"ח דנאמן להכחיש עדים</w:t>
      </w:r>
    </w:p>
    <w:p w:rsidR="00C34249" w:rsidRDefault="00C34249" w:rsidP="00C34249">
      <w:pPr>
        <w:pStyle w:val="aff4"/>
        <w:rPr>
          <w:rFonts w:eastAsiaTheme="minorEastAsia" w:cstheme="minorBidi"/>
          <w:i/>
          <w:iCs/>
          <w:noProof/>
          <w:sz w:val="22"/>
          <w:szCs w:val="22"/>
          <w:rtl/>
        </w:rPr>
      </w:pPr>
      <w:r>
        <w:rPr>
          <w:noProof/>
          <w:rtl/>
        </w:rPr>
        <w:t>ביאור הרשב"ם בפלוגתת רבה ואביי בסוגיין במיגו במקום עדים</w:t>
      </w:r>
    </w:p>
    <w:p w:rsidR="00C34249" w:rsidRPr="007E4E81" w:rsidRDefault="00C34249" w:rsidP="00BA3263">
      <w:pPr>
        <w:pStyle w:val="a"/>
        <w:numPr>
          <w:ilvl w:val="0"/>
          <w:numId w:val="25"/>
        </w:numPr>
        <w:rPr>
          <w:rFonts w:eastAsiaTheme="minorEastAsia" w:cstheme="minorBidi"/>
          <w:sz w:val="22"/>
          <w:szCs w:val="22"/>
          <w:rtl/>
        </w:rPr>
      </w:pPr>
      <w:r>
        <w:rPr>
          <w:rtl/>
        </w:rPr>
        <w:t>דברי הרשב"ם דלרבה נאמן במיגו ולאביי דאינו נאמן במקום עדים חזקתו היא כחזקה בלא טענה</w:t>
      </w:r>
    </w:p>
    <w:p w:rsidR="00C34249" w:rsidRDefault="00C34249" w:rsidP="00C34249">
      <w:pPr>
        <w:pStyle w:val="aff4"/>
        <w:rPr>
          <w:rFonts w:eastAsiaTheme="minorEastAsia" w:cstheme="minorBidi"/>
          <w:i/>
          <w:iCs/>
          <w:noProof/>
          <w:sz w:val="22"/>
          <w:szCs w:val="22"/>
          <w:rtl/>
        </w:rPr>
      </w:pPr>
      <w:r>
        <w:rPr>
          <w:noProof/>
          <w:rtl/>
        </w:rPr>
        <w:t>דברי הרשב"ם דבגמ' לקמן טוען המערער דלא מכרוה אבותיו</w:t>
      </w:r>
    </w:p>
    <w:p w:rsidR="00C34249" w:rsidRDefault="00C34249" w:rsidP="007E4E81">
      <w:pPr>
        <w:pStyle w:val="a"/>
        <w:rPr>
          <w:rFonts w:eastAsiaTheme="minorEastAsia" w:cstheme="minorBidi"/>
          <w:sz w:val="22"/>
          <w:szCs w:val="22"/>
          <w:rtl/>
        </w:rPr>
      </w:pPr>
      <w:r>
        <w:rPr>
          <w:rtl/>
        </w:rPr>
        <w:t>דברי הרשב"ם לקמן דבגמ' לקמן טענת המערער דלא מכרו אבותיו מעולם לאבותיו של מחזיק</w:t>
      </w:r>
    </w:p>
    <w:p w:rsidR="00C34249" w:rsidRDefault="00C34249" w:rsidP="00C34249">
      <w:pPr>
        <w:pStyle w:val="aff4"/>
        <w:rPr>
          <w:rFonts w:eastAsiaTheme="minorEastAsia" w:cstheme="minorBidi"/>
          <w:i/>
          <w:iCs/>
          <w:noProof/>
          <w:sz w:val="22"/>
          <w:szCs w:val="22"/>
          <w:rtl/>
        </w:rPr>
      </w:pPr>
      <w:r>
        <w:rPr>
          <w:noProof/>
          <w:rtl/>
        </w:rPr>
        <w:t>דברי הרשב"ם דלרב חסדא לקמן דמיגו נאמן להכחיש עדים</w:t>
      </w:r>
    </w:p>
    <w:p w:rsidR="00C34249" w:rsidRDefault="00C34249" w:rsidP="007E4E81">
      <w:pPr>
        <w:pStyle w:val="a"/>
        <w:rPr>
          <w:rFonts w:eastAsiaTheme="minorEastAsia" w:cstheme="minorBidi"/>
          <w:sz w:val="22"/>
          <w:szCs w:val="22"/>
          <w:rtl/>
        </w:rPr>
      </w:pPr>
      <w:r>
        <w:rPr>
          <w:rtl/>
        </w:rPr>
        <w:t>ביאור הרשב"ם לקמן בדעת רב חסדא דנאמן במיגו אעפ"י שהוא מכחיש את העדים</w:t>
      </w:r>
    </w:p>
    <w:p w:rsidR="00C34249" w:rsidRDefault="00C34249" w:rsidP="007E4E81">
      <w:pPr>
        <w:pStyle w:val="a"/>
        <w:rPr>
          <w:rFonts w:eastAsiaTheme="minorEastAsia" w:cstheme="minorBidi"/>
          <w:sz w:val="22"/>
          <w:szCs w:val="22"/>
          <w:rtl/>
        </w:rPr>
      </w:pPr>
      <w:r>
        <w:rPr>
          <w:rtl/>
        </w:rPr>
        <w:t>ביאור הרשב"ם בדעת אביי דבמיגו א"א להאמין לטענה שמוכחשת ע"י עדים דהוא ודאי משקר</w:t>
      </w:r>
    </w:p>
    <w:p w:rsidR="00C34249" w:rsidRDefault="00C34249" w:rsidP="00C34249">
      <w:pPr>
        <w:pStyle w:val="aff4"/>
        <w:rPr>
          <w:rFonts w:eastAsiaTheme="minorEastAsia" w:cstheme="minorBidi"/>
          <w:i/>
          <w:iCs/>
          <w:noProof/>
          <w:sz w:val="22"/>
          <w:szCs w:val="22"/>
          <w:rtl/>
        </w:rPr>
      </w:pPr>
      <w:r>
        <w:rPr>
          <w:noProof/>
          <w:rtl/>
        </w:rPr>
        <w:t>בי' המהרש"א ברשב"ם דלקמן נאמן להכחיש ובסוגיין מתצרינן</w:t>
      </w:r>
    </w:p>
    <w:p w:rsidR="00C34249" w:rsidRDefault="00C34249" w:rsidP="007E4E81">
      <w:pPr>
        <w:pStyle w:val="a"/>
        <w:rPr>
          <w:rFonts w:eastAsiaTheme="minorEastAsia" w:cstheme="minorBidi"/>
          <w:sz w:val="22"/>
          <w:szCs w:val="22"/>
          <w:rtl/>
        </w:rPr>
      </w:pPr>
      <w:r>
        <w:rPr>
          <w:rtl/>
        </w:rPr>
        <w:t>ביאור המהרש"א ברשב"ם דהא דלאביי לא מתרצינן דבריו הוא כיון שהעידו דלא מכרוה מעולם</w:t>
      </w:r>
    </w:p>
    <w:p w:rsidR="00C34249" w:rsidRDefault="00C34249" w:rsidP="007E4E81">
      <w:pPr>
        <w:pStyle w:val="a"/>
        <w:rPr>
          <w:rFonts w:eastAsiaTheme="minorEastAsia" w:cstheme="minorBidi"/>
          <w:sz w:val="22"/>
          <w:szCs w:val="22"/>
          <w:rtl/>
        </w:rPr>
      </w:pPr>
      <w:r>
        <w:rPr>
          <w:rtl/>
        </w:rPr>
        <w:t>דברי המהרש"א דבסוגיין מוכח דאין עדות שהייתה של המערער מעולם והרשב"ם יבאר כשא"ר</w:t>
      </w:r>
    </w:p>
    <w:p w:rsidR="00C34249" w:rsidRDefault="00C34249" w:rsidP="007E4E81">
      <w:pPr>
        <w:pStyle w:val="a"/>
        <w:rPr>
          <w:rFonts w:eastAsiaTheme="minorEastAsia" w:cstheme="minorBidi"/>
          <w:sz w:val="22"/>
          <w:szCs w:val="22"/>
          <w:rtl/>
        </w:rPr>
      </w:pPr>
      <w:r>
        <w:rPr>
          <w:rtl/>
        </w:rPr>
        <w:t>דברי המהרש"א דלרשב"ם אפשר לגרוס בסוגיין רבא דמודה דבאפשר לתרץ מהני מיגו במק"ע</w:t>
      </w:r>
    </w:p>
    <w:p w:rsidR="00C34249" w:rsidRDefault="00C34249" w:rsidP="00C34249">
      <w:pPr>
        <w:pStyle w:val="aff4"/>
        <w:rPr>
          <w:rFonts w:eastAsiaTheme="minorEastAsia" w:cstheme="minorBidi"/>
          <w:i/>
          <w:iCs/>
          <w:noProof/>
          <w:sz w:val="22"/>
          <w:szCs w:val="22"/>
          <w:rtl/>
        </w:rPr>
      </w:pPr>
      <w:r>
        <w:rPr>
          <w:noProof/>
          <w:rtl/>
        </w:rPr>
        <w:t>דברי התורי"ד דהגמ' בסוגיין והגמ' לקמן איירי באותו אופן</w:t>
      </w:r>
    </w:p>
    <w:p w:rsidR="00C34249" w:rsidRDefault="00C34249" w:rsidP="007E4E81">
      <w:pPr>
        <w:pStyle w:val="a"/>
        <w:rPr>
          <w:rFonts w:eastAsiaTheme="minorEastAsia" w:cstheme="minorBidi"/>
          <w:sz w:val="22"/>
          <w:szCs w:val="22"/>
          <w:rtl/>
        </w:rPr>
      </w:pPr>
      <w:r>
        <w:rPr>
          <w:rtl/>
        </w:rPr>
        <w:t>קושית התורי"ד דמה חידשה הגמ' לקמן בפלו' רב חסדא ורבא הא נח' בזה רבה ואביי בסוגיין</w:t>
      </w:r>
    </w:p>
    <w:p w:rsidR="00C34249" w:rsidRDefault="00C34249" w:rsidP="00C34249">
      <w:pPr>
        <w:pStyle w:val="2"/>
        <w:rPr>
          <w:rFonts w:eastAsiaTheme="minorEastAsia" w:cstheme="minorBidi"/>
          <w:i/>
          <w:iCs/>
          <w:sz w:val="22"/>
          <w:szCs w:val="22"/>
          <w:rtl/>
        </w:rPr>
      </w:pPr>
      <w:r>
        <w:rPr>
          <w:rtl/>
        </w:rPr>
        <w:t>בי' הגרעק"א ברשב"ם דמתרצינן דבריו</w:t>
      </w:r>
    </w:p>
    <w:p w:rsidR="00C34249" w:rsidRDefault="00C34249" w:rsidP="00C34249">
      <w:pPr>
        <w:pStyle w:val="aff4"/>
        <w:rPr>
          <w:rFonts w:eastAsiaTheme="minorEastAsia" w:cstheme="minorBidi"/>
          <w:i/>
          <w:iCs/>
          <w:noProof/>
          <w:sz w:val="22"/>
          <w:szCs w:val="22"/>
          <w:rtl/>
        </w:rPr>
      </w:pPr>
      <w:r>
        <w:rPr>
          <w:noProof/>
          <w:rtl/>
        </w:rPr>
        <w:t>ביאור הגרעק"א ברשב"ם דלר"ח מהני מיגו דמתרצינן דיבוריה</w:t>
      </w:r>
    </w:p>
    <w:p w:rsidR="00C34249" w:rsidRDefault="00C34249" w:rsidP="007E4E81">
      <w:pPr>
        <w:pStyle w:val="a"/>
        <w:rPr>
          <w:rFonts w:eastAsiaTheme="minorEastAsia" w:cstheme="minorBidi"/>
          <w:sz w:val="22"/>
          <w:szCs w:val="22"/>
          <w:rtl/>
        </w:rPr>
      </w:pPr>
      <w:r>
        <w:rPr>
          <w:rtl/>
        </w:rPr>
        <w:t>ביאור הגרעק"א ברשב"ם דלר"ח במיגו מתרצינן דיבוריה אף שנראה כמכחיש ואינו מכחיש ממש</w:t>
      </w:r>
    </w:p>
    <w:p w:rsidR="00C34249" w:rsidRDefault="00C34249" w:rsidP="007E4E81">
      <w:pPr>
        <w:pStyle w:val="a"/>
        <w:rPr>
          <w:rFonts w:eastAsiaTheme="minorEastAsia" w:cstheme="minorBidi"/>
          <w:sz w:val="22"/>
          <w:szCs w:val="22"/>
          <w:rtl/>
        </w:rPr>
      </w:pPr>
      <w:r>
        <w:rPr>
          <w:rtl/>
        </w:rPr>
        <w:t>דברי הגרעק"א דמשמע ברשב"ם דמודה ר"ח דל"מ מיגו במק"ע אך אפשר לדחות דאי"ז כוונתו</w:t>
      </w:r>
    </w:p>
    <w:p w:rsidR="00C34249" w:rsidRDefault="00C34249" w:rsidP="00C34249">
      <w:pPr>
        <w:pStyle w:val="aff4"/>
        <w:rPr>
          <w:rFonts w:eastAsiaTheme="minorEastAsia" w:cstheme="minorBidi"/>
          <w:i/>
          <w:iCs/>
          <w:noProof/>
          <w:sz w:val="22"/>
          <w:szCs w:val="22"/>
          <w:rtl/>
        </w:rPr>
      </w:pPr>
      <w:r>
        <w:rPr>
          <w:noProof/>
          <w:rtl/>
        </w:rPr>
        <w:t>ביאור הנחל יצחק ברשב"ם דלכו"ע ל"מ מיגו במקום אנן סהדי</w:t>
      </w:r>
    </w:p>
    <w:p w:rsidR="00C34249" w:rsidRDefault="00C34249" w:rsidP="007E4E81">
      <w:pPr>
        <w:pStyle w:val="a"/>
        <w:rPr>
          <w:rFonts w:eastAsiaTheme="minorEastAsia" w:cstheme="minorBidi"/>
          <w:sz w:val="22"/>
          <w:szCs w:val="22"/>
          <w:rtl/>
        </w:rPr>
      </w:pPr>
      <w:r>
        <w:rPr>
          <w:rtl/>
        </w:rPr>
        <w:t>ביאור הנחל יצחק ברשב"ם לקמן דמיגו ל"מ במקום אנן סהדי אף לדעת רב חסדא</w:t>
      </w:r>
    </w:p>
    <w:p w:rsidR="00C34249" w:rsidRDefault="00C34249" w:rsidP="00C34249">
      <w:pPr>
        <w:pStyle w:val="2"/>
        <w:rPr>
          <w:rFonts w:eastAsiaTheme="minorEastAsia" w:cstheme="minorBidi"/>
          <w:i/>
          <w:iCs/>
          <w:sz w:val="22"/>
          <w:szCs w:val="22"/>
          <w:rtl/>
        </w:rPr>
      </w:pPr>
      <w:r>
        <w:rPr>
          <w:rtl/>
        </w:rPr>
        <w:t>בד' התוס' אי נאמן להכחיש את העדים</w:t>
      </w:r>
    </w:p>
    <w:p w:rsidR="00C34249" w:rsidRDefault="00C34249" w:rsidP="00C34249">
      <w:pPr>
        <w:pStyle w:val="aff4"/>
        <w:rPr>
          <w:rFonts w:eastAsiaTheme="minorEastAsia" w:cstheme="minorBidi"/>
          <w:i/>
          <w:iCs/>
          <w:noProof/>
          <w:sz w:val="22"/>
          <w:szCs w:val="22"/>
          <w:rtl/>
        </w:rPr>
      </w:pPr>
      <w:r>
        <w:rPr>
          <w:noProof/>
          <w:rtl/>
        </w:rPr>
        <w:t>דברי התוס' דגרסינן רבה דס"ל דמהני מיגו במק"ע ולא רבא</w:t>
      </w:r>
    </w:p>
    <w:p w:rsidR="00C34249" w:rsidRDefault="00C34249" w:rsidP="007E4E81">
      <w:pPr>
        <w:pStyle w:val="a"/>
        <w:rPr>
          <w:rFonts w:eastAsiaTheme="minorEastAsia" w:cstheme="minorBidi"/>
          <w:sz w:val="22"/>
          <w:szCs w:val="22"/>
          <w:rtl/>
        </w:rPr>
      </w:pPr>
      <w:r>
        <w:rPr>
          <w:rtl/>
        </w:rPr>
        <w:t>דברי התוס' והרשב"א והריטב"א דגרסינן רבה ולא רבא דס"ל לרבא דל"מ מיגו במקום עדים</w:t>
      </w:r>
    </w:p>
    <w:p w:rsidR="00C34249" w:rsidRPr="000856F2" w:rsidRDefault="00C34249" w:rsidP="007E4E81">
      <w:pPr>
        <w:pStyle w:val="a"/>
      </w:pPr>
      <w:r>
        <w:rPr>
          <w:rFonts w:hint="cs"/>
          <w:rtl/>
        </w:rPr>
        <w:t>דברי המהרש"א דלרשב"ם אפשר לגרוס רבא וכן הגירסא ברשב"ם הקצר ובראב"ן</w:t>
      </w:r>
    </w:p>
    <w:p w:rsidR="00C34249" w:rsidRDefault="00C34249" w:rsidP="00C34249">
      <w:pPr>
        <w:pStyle w:val="aff4"/>
        <w:rPr>
          <w:rFonts w:eastAsiaTheme="minorEastAsia" w:cstheme="minorBidi"/>
          <w:i/>
          <w:iCs/>
          <w:noProof/>
          <w:sz w:val="22"/>
          <w:szCs w:val="22"/>
          <w:rtl/>
        </w:rPr>
      </w:pPr>
      <w:r>
        <w:rPr>
          <w:noProof/>
          <w:rtl/>
        </w:rPr>
        <w:t>משמעות התוס' לקמן דלר"ח נאמן במיגו להכחיש העדים</w:t>
      </w:r>
    </w:p>
    <w:p w:rsidR="00C34249" w:rsidRDefault="00C34249" w:rsidP="007E4E81">
      <w:pPr>
        <w:pStyle w:val="a"/>
        <w:rPr>
          <w:rFonts w:eastAsiaTheme="minorEastAsia" w:cstheme="minorBidi"/>
          <w:sz w:val="22"/>
          <w:szCs w:val="22"/>
          <w:rtl/>
        </w:rPr>
      </w:pPr>
      <w:r>
        <w:rPr>
          <w:rtl/>
        </w:rPr>
        <w:t>דברי התוס' לקמן דלרב חסדא אמרינן מיגו במק"ע ומשמע דהוא אף כשמכחיש את העדים</w:t>
      </w:r>
    </w:p>
    <w:p w:rsidR="00C34249" w:rsidRDefault="00C34249" w:rsidP="007E4E81">
      <w:pPr>
        <w:pStyle w:val="a"/>
        <w:rPr>
          <w:rFonts w:eastAsiaTheme="minorEastAsia" w:cstheme="minorBidi"/>
          <w:sz w:val="22"/>
          <w:szCs w:val="22"/>
          <w:rtl/>
        </w:rPr>
      </w:pPr>
      <w:r>
        <w:rPr>
          <w:rtl/>
        </w:rPr>
        <w:t>קושית הפני שלמה דמוכח בתוס' בדין תו"ת דלרב חסדא ל"מ מיגו במק"ע וצ"ל דמתרצינן דבריו</w:t>
      </w:r>
    </w:p>
    <w:p w:rsidR="00C34249" w:rsidRDefault="00C34249" w:rsidP="00C34249">
      <w:pPr>
        <w:pStyle w:val="aff4"/>
        <w:rPr>
          <w:rFonts w:eastAsiaTheme="minorEastAsia" w:cstheme="minorBidi"/>
          <w:i/>
          <w:iCs/>
          <w:noProof/>
          <w:sz w:val="22"/>
          <w:szCs w:val="22"/>
          <w:rtl/>
        </w:rPr>
      </w:pPr>
      <w:r>
        <w:rPr>
          <w:noProof/>
          <w:rtl/>
        </w:rPr>
        <w:t>הוכחת הגרעק"א מתוס' דאף לר"ח ל"א מיגו במקום עדים</w:t>
      </w:r>
    </w:p>
    <w:p w:rsidR="00C34249" w:rsidRDefault="00C34249" w:rsidP="007E4E81">
      <w:pPr>
        <w:pStyle w:val="a"/>
        <w:rPr>
          <w:rFonts w:eastAsiaTheme="minorEastAsia" w:cstheme="minorBidi"/>
          <w:sz w:val="22"/>
          <w:szCs w:val="22"/>
          <w:rtl/>
        </w:rPr>
      </w:pPr>
      <w:r>
        <w:rPr>
          <w:rtl/>
        </w:rPr>
        <w:t>הוכחת הגרעק"א מדברי התוס' לקמן בדין תו"ת דאף לרב חסדא ל"מ מיגו במק"ע</w:t>
      </w:r>
    </w:p>
    <w:p w:rsidR="00C34249" w:rsidRDefault="00C34249" w:rsidP="00C34249">
      <w:pPr>
        <w:pStyle w:val="aff4"/>
        <w:rPr>
          <w:rFonts w:eastAsiaTheme="minorEastAsia" w:cstheme="minorBidi"/>
          <w:i/>
          <w:iCs/>
          <w:noProof/>
          <w:sz w:val="22"/>
          <w:szCs w:val="22"/>
          <w:rtl/>
        </w:rPr>
      </w:pPr>
      <w:r>
        <w:rPr>
          <w:noProof/>
          <w:rtl/>
        </w:rPr>
        <w:t>ביאור הגרעק"א בתוס' דלר"ח מהני מיגו דמתרצינן דיבוריה</w:t>
      </w:r>
    </w:p>
    <w:p w:rsidR="00C34249" w:rsidRDefault="00C34249" w:rsidP="007E4E81">
      <w:pPr>
        <w:pStyle w:val="a"/>
        <w:rPr>
          <w:rFonts w:eastAsiaTheme="minorEastAsia" w:cstheme="minorBidi"/>
          <w:sz w:val="22"/>
          <w:szCs w:val="22"/>
          <w:rtl/>
        </w:rPr>
      </w:pPr>
      <w:r>
        <w:rPr>
          <w:rtl/>
        </w:rPr>
        <w:t>דברי הגרעק"א דאף לר"ח ל"מ מיגו במק"ע אלא מתרצינן דיבוריה כדמוכח בתוס' לקמן</w:t>
      </w:r>
    </w:p>
    <w:p w:rsidR="00C34249" w:rsidRDefault="00C34249" w:rsidP="007E4E81">
      <w:pPr>
        <w:pStyle w:val="a"/>
        <w:rPr>
          <w:rFonts w:eastAsiaTheme="minorEastAsia" w:cstheme="minorBidi"/>
          <w:sz w:val="22"/>
          <w:szCs w:val="22"/>
          <w:rtl/>
        </w:rPr>
      </w:pPr>
      <w:r>
        <w:rPr>
          <w:rtl/>
        </w:rPr>
        <w:t>הוכחת הגרעק"א מהתוס' בב"מ דעדים עדיפי ממיגו ומשמע דלכו"ע ל"מ מיגו במקום עדים</w:t>
      </w:r>
    </w:p>
    <w:p w:rsidR="00C34249" w:rsidRDefault="00C34249" w:rsidP="007E4E81">
      <w:pPr>
        <w:pStyle w:val="a"/>
        <w:rPr>
          <w:rFonts w:eastAsiaTheme="minorEastAsia" w:cstheme="minorBidi"/>
          <w:sz w:val="22"/>
          <w:szCs w:val="22"/>
          <w:rtl/>
        </w:rPr>
      </w:pPr>
      <w:r>
        <w:rPr>
          <w:rtl/>
        </w:rPr>
        <w:t>הוכחת הגרעק"א מהתוס' בב"מ דלרבה ל"מ מיגו במק"ע וא"כ קשה דלתוס' גרסינן בסוגיין רבה</w:t>
      </w:r>
    </w:p>
    <w:p w:rsidR="00C34249" w:rsidRDefault="00C34249" w:rsidP="007E4E81">
      <w:pPr>
        <w:pStyle w:val="a"/>
        <w:rPr>
          <w:rFonts w:eastAsiaTheme="minorEastAsia" w:cstheme="minorBidi"/>
          <w:sz w:val="22"/>
          <w:szCs w:val="22"/>
          <w:rtl/>
        </w:rPr>
      </w:pPr>
      <w:r>
        <w:rPr>
          <w:rtl/>
        </w:rPr>
        <w:t>ביאור הגרעק"א בתוס' בב"מ דלרבה מהני מיגו במק"ע דמתרצינן דיבוריה אף דעדים עדיפי</w:t>
      </w:r>
    </w:p>
    <w:p w:rsidR="00C34249" w:rsidRDefault="00C34249" w:rsidP="007E4E81">
      <w:pPr>
        <w:pStyle w:val="a"/>
        <w:rPr>
          <w:rFonts w:eastAsiaTheme="minorEastAsia" w:cstheme="minorBidi"/>
          <w:sz w:val="22"/>
          <w:szCs w:val="22"/>
          <w:rtl/>
        </w:rPr>
      </w:pPr>
      <w:r>
        <w:rPr>
          <w:rtl/>
        </w:rPr>
        <w:t>קושית הגרעק"א דאי בגמ' לקמן א"א לתרץ את דבריו א"כ לר"ח מהני מיגו במק"ע להכחישם</w:t>
      </w:r>
    </w:p>
    <w:p w:rsidR="00C34249" w:rsidRDefault="00C34249" w:rsidP="007E4E81">
      <w:pPr>
        <w:pStyle w:val="a"/>
        <w:rPr>
          <w:rFonts w:eastAsiaTheme="minorEastAsia" w:cstheme="minorBidi"/>
          <w:sz w:val="22"/>
          <w:szCs w:val="22"/>
          <w:rtl/>
        </w:rPr>
      </w:pPr>
      <w:r>
        <w:rPr>
          <w:rtl/>
        </w:rPr>
        <w:t>דברי הגרעק"א דמוכח בתוס' דהגמ' בסוגיין ולקמן איירי באותו אופן ולרב ור"ח מתרצינן דבריו</w:t>
      </w:r>
    </w:p>
    <w:p w:rsidR="00C34249" w:rsidRDefault="00C34249" w:rsidP="007E4E81">
      <w:pPr>
        <w:pStyle w:val="a"/>
        <w:rPr>
          <w:rFonts w:eastAsiaTheme="minorEastAsia" w:cstheme="minorBidi"/>
          <w:sz w:val="22"/>
          <w:szCs w:val="22"/>
          <w:rtl/>
        </w:rPr>
      </w:pPr>
      <w:r>
        <w:rPr>
          <w:rtl/>
        </w:rPr>
        <w:t>ביאור הגרעק"א דלרבה חזקה עדיפא ממיגו אך מיגו בצירוף חזקת ממון אלים כמו חזקה</w:t>
      </w:r>
    </w:p>
    <w:p w:rsidR="00C34249" w:rsidRDefault="00C34249" w:rsidP="00C34249">
      <w:pPr>
        <w:pStyle w:val="aff4"/>
        <w:rPr>
          <w:rFonts w:eastAsiaTheme="minorEastAsia" w:cstheme="minorBidi"/>
          <w:i/>
          <w:iCs/>
          <w:noProof/>
          <w:sz w:val="22"/>
          <w:szCs w:val="22"/>
          <w:rtl/>
        </w:rPr>
      </w:pPr>
      <w:r>
        <w:rPr>
          <w:noProof/>
          <w:rtl/>
        </w:rPr>
        <w:t>ביאור התומים בתוס' דלר"ח אמרינן מיגו במק"ע אף במכחיש</w:t>
      </w:r>
    </w:p>
    <w:p w:rsidR="00C34249" w:rsidRDefault="00C34249" w:rsidP="007E4E81">
      <w:pPr>
        <w:pStyle w:val="a"/>
        <w:rPr>
          <w:rFonts w:eastAsiaTheme="minorEastAsia" w:cstheme="minorBidi"/>
          <w:sz w:val="22"/>
          <w:szCs w:val="22"/>
          <w:rtl/>
        </w:rPr>
      </w:pPr>
      <w:r>
        <w:rPr>
          <w:rtl/>
        </w:rPr>
        <w:t>ביאור התומים בתוס' דלר"ח במקום תו"ת ל"מ מיגו כלל אף דס"ל דמהני מיגו במקום עדים</w:t>
      </w:r>
    </w:p>
    <w:p w:rsidR="00C34249" w:rsidRDefault="00C34249" w:rsidP="007E4E81">
      <w:pPr>
        <w:pStyle w:val="a"/>
        <w:rPr>
          <w:rFonts w:eastAsiaTheme="minorEastAsia" w:cstheme="minorBidi"/>
          <w:sz w:val="22"/>
          <w:szCs w:val="22"/>
          <w:rtl/>
        </w:rPr>
      </w:pPr>
      <w:r>
        <w:rPr>
          <w:rtl/>
        </w:rPr>
        <w:t>ביאור המהרש"א בתוס' דלא תירצו ב' תירוצים דל"מ מיגו במק"ע ול"מ מיגו במקום תו"ת</w:t>
      </w:r>
    </w:p>
    <w:p w:rsidR="00C34249" w:rsidRDefault="00C34249" w:rsidP="00C34249">
      <w:pPr>
        <w:pStyle w:val="aff4"/>
        <w:rPr>
          <w:rFonts w:eastAsiaTheme="minorEastAsia" w:cstheme="minorBidi"/>
          <w:i/>
          <w:iCs/>
          <w:noProof/>
          <w:sz w:val="22"/>
          <w:szCs w:val="22"/>
          <w:rtl/>
        </w:rPr>
      </w:pPr>
      <w:r>
        <w:rPr>
          <w:noProof/>
          <w:rtl/>
        </w:rPr>
        <w:t>ביאור התומים דלר"ח ע"י המיגו אמרינן דהעדים טועים בעדותם</w:t>
      </w:r>
    </w:p>
    <w:p w:rsidR="00C34249" w:rsidRDefault="00C34249" w:rsidP="007E4E81">
      <w:pPr>
        <w:pStyle w:val="a"/>
        <w:rPr>
          <w:rFonts w:eastAsiaTheme="minorEastAsia" w:cstheme="minorBidi"/>
          <w:sz w:val="22"/>
          <w:szCs w:val="22"/>
        </w:rPr>
      </w:pPr>
      <w:r>
        <w:rPr>
          <w:rtl/>
        </w:rPr>
        <w:t>דברי התומים דלר"ח במקום מיגו אמרינן דהעדים לא דייקי והם טועים בעדותם</w:t>
      </w:r>
    </w:p>
    <w:p w:rsidR="00C34249" w:rsidRDefault="00C34249" w:rsidP="00C34249">
      <w:pPr>
        <w:pStyle w:val="2"/>
        <w:rPr>
          <w:rFonts w:eastAsiaTheme="minorEastAsia" w:cstheme="minorBidi"/>
          <w:i/>
          <w:iCs/>
          <w:sz w:val="22"/>
          <w:szCs w:val="22"/>
          <w:rtl/>
        </w:rPr>
      </w:pPr>
      <w:r>
        <w:rPr>
          <w:rtl/>
        </w:rPr>
        <w:t>ד' הסוברים דמיגו ועדים הוא ספק השקול</w:t>
      </w:r>
    </w:p>
    <w:p w:rsidR="00C34249" w:rsidRDefault="00C34249" w:rsidP="00C34249">
      <w:pPr>
        <w:pStyle w:val="aff4"/>
        <w:rPr>
          <w:rtl/>
        </w:rPr>
      </w:pPr>
      <w:r>
        <w:rPr>
          <w:rFonts w:hint="cs"/>
          <w:rtl/>
        </w:rPr>
        <w:t>דברי הראב"ן דלרבא בסוגיין מיגו במק"ע חשיב כתרי ותרי</w:t>
      </w:r>
    </w:p>
    <w:p w:rsidR="00C34249" w:rsidRDefault="00C34249" w:rsidP="007E4E81">
      <w:pPr>
        <w:pStyle w:val="a"/>
      </w:pPr>
      <w:r>
        <w:rPr>
          <w:rFonts w:hint="cs"/>
          <w:rtl/>
        </w:rPr>
        <w:t>ביאור הראב"ן דלרבא כיון שיש לו מיגו ודאי דלא משקר וחשיב תו"ת ומעמידים בחזקת המחזיק</w:t>
      </w:r>
    </w:p>
    <w:p w:rsidR="00C34249" w:rsidRDefault="00C34249" w:rsidP="00C34249">
      <w:pPr>
        <w:pStyle w:val="aff4"/>
        <w:rPr>
          <w:rFonts w:eastAsiaTheme="minorEastAsia" w:cstheme="minorBidi"/>
          <w:i/>
          <w:iCs/>
          <w:noProof/>
          <w:sz w:val="22"/>
          <w:szCs w:val="22"/>
          <w:rtl/>
        </w:rPr>
      </w:pPr>
      <w:r>
        <w:rPr>
          <w:noProof/>
          <w:rtl/>
        </w:rPr>
        <w:t>ביאור החת"ס והנחל יצחק דלר"ח מיגו ועדים הוא ספק השקול</w:t>
      </w:r>
    </w:p>
    <w:p w:rsidR="00C34249" w:rsidRDefault="00C34249" w:rsidP="007E4E81">
      <w:pPr>
        <w:pStyle w:val="a"/>
        <w:rPr>
          <w:rFonts w:eastAsiaTheme="minorEastAsia" w:cstheme="minorBidi"/>
          <w:sz w:val="22"/>
          <w:szCs w:val="22"/>
          <w:rtl/>
        </w:rPr>
      </w:pPr>
      <w:r>
        <w:rPr>
          <w:rtl/>
        </w:rPr>
        <w:t>ביאור החת"ס ברי"ף דלר"ח מיגו במק"ע ל"מ להוציא ממוחזק ומהני יחד עם חזקת ממון</w:t>
      </w:r>
    </w:p>
    <w:p w:rsidR="00C34249" w:rsidRDefault="00C34249" w:rsidP="007E4E81">
      <w:pPr>
        <w:pStyle w:val="a"/>
        <w:rPr>
          <w:rFonts w:eastAsiaTheme="minorEastAsia" w:cstheme="minorBidi"/>
          <w:sz w:val="22"/>
          <w:szCs w:val="22"/>
          <w:rtl/>
        </w:rPr>
      </w:pPr>
      <w:r>
        <w:rPr>
          <w:rtl/>
        </w:rPr>
        <w:t>ביאור הנחל יצחק בתוס' לקמן דלר"ח מיגו במק"ע הוא ספק השקול וא"א להוציא מיד המוחזק</w:t>
      </w:r>
    </w:p>
    <w:p w:rsidR="00C34249" w:rsidRDefault="00C34249" w:rsidP="00C34249">
      <w:pPr>
        <w:pStyle w:val="2"/>
        <w:rPr>
          <w:rFonts w:eastAsiaTheme="minorEastAsia" w:cstheme="minorBidi"/>
          <w:i/>
          <w:iCs/>
          <w:sz w:val="22"/>
          <w:szCs w:val="22"/>
          <w:rtl/>
        </w:rPr>
      </w:pPr>
      <w:r>
        <w:rPr>
          <w:rtl/>
        </w:rPr>
        <w:t>ד' הראשונים דע"י המיגו טענינן ליה</w:t>
      </w:r>
    </w:p>
    <w:p w:rsidR="00C34249" w:rsidRDefault="00C34249" w:rsidP="00C34249">
      <w:pPr>
        <w:pStyle w:val="aff4"/>
        <w:rPr>
          <w:rFonts w:eastAsiaTheme="minorEastAsia" w:cstheme="minorBidi"/>
          <w:i/>
          <w:iCs/>
          <w:noProof/>
          <w:sz w:val="22"/>
          <w:szCs w:val="22"/>
          <w:rtl/>
        </w:rPr>
      </w:pPr>
      <w:r>
        <w:rPr>
          <w:noProof/>
          <w:rtl/>
        </w:rPr>
        <w:t>קושיות הרמב"ן דא"א לומר דנאמן במיגו להכחיש את העדים</w:t>
      </w:r>
    </w:p>
    <w:p w:rsidR="00C34249" w:rsidRDefault="00C34249" w:rsidP="007E4E81">
      <w:pPr>
        <w:pStyle w:val="a"/>
        <w:rPr>
          <w:rFonts w:eastAsiaTheme="minorEastAsia" w:cstheme="minorBidi"/>
          <w:sz w:val="22"/>
          <w:szCs w:val="22"/>
          <w:rtl/>
        </w:rPr>
      </w:pPr>
      <w:r>
        <w:rPr>
          <w:rtl/>
        </w:rPr>
        <w:t>קושית הרמב"ן דהאיך נאמינו במיגו ונאמר שהעדים משקרים הא האמינם תורה</w:t>
      </w:r>
    </w:p>
    <w:p w:rsidR="00C34249" w:rsidRDefault="00C34249" w:rsidP="007E4E81">
      <w:pPr>
        <w:pStyle w:val="a"/>
        <w:rPr>
          <w:rFonts w:eastAsiaTheme="minorEastAsia" w:cstheme="minorBidi"/>
          <w:sz w:val="22"/>
          <w:szCs w:val="22"/>
          <w:rtl/>
        </w:rPr>
      </w:pPr>
      <w:r>
        <w:rPr>
          <w:rtl/>
        </w:rPr>
        <w:t>קושית הרמב"ן דתנן בשבועות דבהודה בפני עדים לא נאמן בלהד"ם ומוכח דל"מ מיגו במק"ע</w:t>
      </w:r>
    </w:p>
    <w:p w:rsidR="00C34249" w:rsidRDefault="00C34249" w:rsidP="007E4E81">
      <w:pPr>
        <w:pStyle w:val="a"/>
        <w:rPr>
          <w:rFonts w:eastAsiaTheme="minorEastAsia" w:cstheme="minorBidi"/>
          <w:sz w:val="22"/>
          <w:szCs w:val="22"/>
          <w:rtl/>
        </w:rPr>
      </w:pPr>
      <w:r>
        <w:rPr>
          <w:rtl/>
        </w:rPr>
        <w:t>דברי הרמב"ן דמנהרדעי מוכח דלא העידו שלא הייתה מעולם של המערער ומתו אבותיו מתוכה</w:t>
      </w:r>
    </w:p>
    <w:p w:rsidR="00C34249" w:rsidRDefault="00C34249" w:rsidP="007E4E81">
      <w:pPr>
        <w:pStyle w:val="a"/>
        <w:rPr>
          <w:rFonts w:eastAsiaTheme="minorEastAsia" w:cstheme="minorBidi"/>
          <w:sz w:val="22"/>
          <w:szCs w:val="22"/>
          <w:rtl/>
        </w:rPr>
      </w:pPr>
      <w:r>
        <w:rPr>
          <w:rtl/>
        </w:rPr>
        <w:t>קושית הרמב"ן דכיון שטוענים בסתמא של אבותי אמאי לא טענינן שלקחוה ככל טענינן ליורש</w:t>
      </w:r>
    </w:p>
    <w:p w:rsidR="00C34249" w:rsidRDefault="00C34249" w:rsidP="00C34249">
      <w:pPr>
        <w:pStyle w:val="aff4"/>
        <w:rPr>
          <w:rFonts w:eastAsiaTheme="minorEastAsia" w:cstheme="minorBidi"/>
          <w:i/>
          <w:iCs/>
          <w:noProof/>
          <w:sz w:val="22"/>
          <w:szCs w:val="22"/>
          <w:rtl/>
        </w:rPr>
      </w:pPr>
      <w:r>
        <w:rPr>
          <w:noProof/>
          <w:rtl/>
        </w:rPr>
        <w:t>ביאור הרמב"ן דלרבה ע"י המיגו טענינן דאינו מכחיש העדים</w:t>
      </w:r>
    </w:p>
    <w:p w:rsidR="00C34249" w:rsidRDefault="00C34249" w:rsidP="007E4E81">
      <w:pPr>
        <w:pStyle w:val="a"/>
        <w:rPr>
          <w:rFonts w:eastAsiaTheme="minorEastAsia" w:cstheme="minorBidi"/>
          <w:sz w:val="22"/>
          <w:szCs w:val="22"/>
          <w:rtl/>
        </w:rPr>
      </w:pPr>
      <w:r>
        <w:rPr>
          <w:rtl/>
        </w:rPr>
        <w:t>ביאור הרמב"ן דכ"א טוען ברי דהייתה רק של אבותיו ובברי ס"ל לרבה דבמיגו טענינן שלקחוה</w:t>
      </w:r>
    </w:p>
    <w:p w:rsidR="00C34249" w:rsidRDefault="00C34249" w:rsidP="007E4E81">
      <w:pPr>
        <w:pStyle w:val="a"/>
        <w:rPr>
          <w:rFonts w:eastAsiaTheme="minorEastAsia" w:cstheme="minorBidi"/>
          <w:sz w:val="22"/>
          <w:szCs w:val="22"/>
          <w:rtl/>
        </w:rPr>
      </w:pPr>
      <w:r>
        <w:rPr>
          <w:rtl/>
        </w:rPr>
        <w:t>ביאור הרמב"ן דלאביי טענת של אבותי בסתמא משמע מעולם ואי לא פירש הוא מכחיש לעדים</w:t>
      </w:r>
    </w:p>
    <w:p w:rsidR="00C34249" w:rsidRDefault="00C34249" w:rsidP="00C34249">
      <w:pPr>
        <w:pStyle w:val="aff4"/>
        <w:rPr>
          <w:rFonts w:eastAsiaTheme="minorEastAsia" w:cstheme="minorBidi"/>
          <w:i/>
          <w:iCs/>
          <w:noProof/>
          <w:sz w:val="22"/>
          <w:szCs w:val="22"/>
          <w:rtl/>
        </w:rPr>
      </w:pPr>
      <w:r>
        <w:rPr>
          <w:noProof/>
          <w:rtl/>
        </w:rPr>
        <w:t>הביאור הב' ברמב"ן דלרבה מחמת המיגו תלינן בכל טענה</w:t>
      </w:r>
    </w:p>
    <w:p w:rsidR="00C34249" w:rsidRDefault="00C34249" w:rsidP="007E4E81">
      <w:pPr>
        <w:pStyle w:val="a"/>
        <w:rPr>
          <w:rFonts w:eastAsiaTheme="minorEastAsia" w:cstheme="minorBidi"/>
          <w:sz w:val="22"/>
          <w:szCs w:val="22"/>
          <w:rtl/>
        </w:rPr>
      </w:pPr>
      <w:r>
        <w:rPr>
          <w:rtl/>
        </w:rPr>
        <w:t>בי' הרמב"ן דהעידו שמתו מתוכה ולרבה במיגו תלינן בכל טענה ואמרינן דסמוך למיתה מכרו</w:t>
      </w:r>
    </w:p>
    <w:p w:rsidR="00C34249" w:rsidRDefault="00C34249" w:rsidP="00C34249">
      <w:pPr>
        <w:pStyle w:val="aff4"/>
        <w:rPr>
          <w:rFonts w:eastAsiaTheme="minorEastAsia" w:cstheme="minorBidi"/>
          <w:i/>
          <w:iCs/>
          <w:noProof/>
          <w:sz w:val="22"/>
          <w:szCs w:val="22"/>
          <w:rtl/>
        </w:rPr>
      </w:pPr>
      <w:r>
        <w:rPr>
          <w:noProof/>
          <w:rtl/>
        </w:rPr>
        <w:t>דברי הר"ן דנח' רבה ואביי במשמעות טענתו ואי שייך לתרצה</w:t>
      </w:r>
    </w:p>
    <w:p w:rsidR="00C34249" w:rsidRDefault="00C34249" w:rsidP="007E4E81">
      <w:pPr>
        <w:pStyle w:val="a"/>
        <w:rPr>
          <w:rFonts w:eastAsiaTheme="minorEastAsia" w:cstheme="minorBidi"/>
          <w:sz w:val="22"/>
          <w:szCs w:val="22"/>
          <w:rtl/>
        </w:rPr>
      </w:pPr>
      <w:r>
        <w:rPr>
          <w:rtl/>
        </w:rPr>
        <w:t>תי' הר"ן דמודה רבה דכשהמיגו ודאי במק"א ל"מ אלא דבמיגו בסתמא מתרצינן דטענתו אמת</w:t>
      </w:r>
    </w:p>
    <w:p w:rsidR="00C34249" w:rsidRDefault="00C34249" w:rsidP="007E4E81">
      <w:pPr>
        <w:pStyle w:val="a"/>
        <w:rPr>
          <w:rFonts w:eastAsiaTheme="minorEastAsia" w:cstheme="minorBidi"/>
          <w:sz w:val="22"/>
          <w:szCs w:val="22"/>
          <w:rtl/>
        </w:rPr>
      </w:pPr>
      <w:r>
        <w:rPr>
          <w:rtl/>
        </w:rPr>
        <w:t>ביאור הר"ן באביי דמשמע שמכחיש לעדים וכשהוכחש בטל המיגו וא"א לומר דאמר אמת</w:t>
      </w:r>
    </w:p>
    <w:p w:rsidR="00C34249" w:rsidRDefault="00C34249" w:rsidP="007E4E81">
      <w:pPr>
        <w:pStyle w:val="a"/>
        <w:rPr>
          <w:rFonts w:eastAsiaTheme="minorEastAsia" w:cstheme="minorBidi"/>
          <w:sz w:val="22"/>
          <w:szCs w:val="22"/>
          <w:rtl/>
        </w:rPr>
      </w:pPr>
      <w:r>
        <w:rPr>
          <w:rtl/>
        </w:rPr>
        <w:t>דברי הר"ן דא"א לטעון לו דחשיב דהודה בהודאת בע"ד שאבותיו של מערער לא מכרו</w:t>
      </w:r>
    </w:p>
    <w:p w:rsidR="00C34249" w:rsidRDefault="00C34249" w:rsidP="00C34249">
      <w:pPr>
        <w:pStyle w:val="aff4"/>
        <w:rPr>
          <w:rFonts w:eastAsiaTheme="minorEastAsia" w:cstheme="minorBidi"/>
          <w:i/>
          <w:iCs/>
          <w:noProof/>
          <w:sz w:val="22"/>
          <w:szCs w:val="22"/>
          <w:rtl/>
        </w:rPr>
      </w:pPr>
      <w:r>
        <w:rPr>
          <w:noProof/>
          <w:rtl/>
        </w:rPr>
        <w:t>תי' הגרעק"א דבשבועות איירי דהודה בב"ד ולכו"ע ל"מ מיגו</w:t>
      </w:r>
    </w:p>
    <w:p w:rsidR="00C34249" w:rsidRDefault="00C34249" w:rsidP="007E4E81">
      <w:pPr>
        <w:pStyle w:val="a"/>
        <w:rPr>
          <w:rFonts w:eastAsiaTheme="minorEastAsia" w:cstheme="minorBidi"/>
          <w:sz w:val="22"/>
          <w:szCs w:val="22"/>
          <w:rtl/>
        </w:rPr>
      </w:pPr>
      <w:r>
        <w:rPr>
          <w:rtl/>
        </w:rPr>
        <w:t>תירוץ הגרעק"א דבגמ' בשבועות העמיד רב חסדא דאיירי שהודה בב"ד וא"א להאמינו כלל</w:t>
      </w:r>
    </w:p>
    <w:p w:rsidR="00C34249" w:rsidRDefault="00C34249" w:rsidP="00C34249">
      <w:pPr>
        <w:pStyle w:val="2"/>
        <w:rPr>
          <w:rFonts w:eastAsiaTheme="minorEastAsia" w:cstheme="minorBidi"/>
          <w:i/>
          <w:iCs/>
          <w:sz w:val="22"/>
          <w:szCs w:val="22"/>
          <w:rtl/>
        </w:rPr>
      </w:pPr>
      <w:r>
        <w:rPr>
          <w:rtl/>
        </w:rPr>
        <w:t>בי' הנחל יצחק דלכו"ע ל"מ מיגו באנ"ס</w:t>
      </w:r>
    </w:p>
    <w:p w:rsidR="00C34249" w:rsidRDefault="00C34249" w:rsidP="00C34249">
      <w:pPr>
        <w:pStyle w:val="aff4"/>
        <w:rPr>
          <w:rFonts w:eastAsiaTheme="minorEastAsia" w:cstheme="minorBidi"/>
          <w:i/>
          <w:iCs/>
          <w:noProof/>
          <w:sz w:val="22"/>
          <w:szCs w:val="22"/>
          <w:rtl/>
        </w:rPr>
      </w:pPr>
      <w:r>
        <w:rPr>
          <w:noProof/>
          <w:rtl/>
        </w:rPr>
        <w:t>תי' הנחל יצחק דלכו"ע אינו נאמן במיגו לומר דטעה כנגד אנ"ס</w:t>
      </w:r>
    </w:p>
    <w:p w:rsidR="00C34249" w:rsidRDefault="00C34249" w:rsidP="007E4E81">
      <w:pPr>
        <w:pStyle w:val="a"/>
        <w:rPr>
          <w:rFonts w:eastAsiaTheme="minorEastAsia" w:cstheme="minorBidi"/>
          <w:sz w:val="22"/>
          <w:szCs w:val="22"/>
          <w:rtl/>
        </w:rPr>
      </w:pPr>
      <w:r>
        <w:rPr>
          <w:rtl/>
        </w:rPr>
        <w:t>דברי הנחל יצחק דבתוס' בגיטין מבואר דכוונת הגמ' בשבועות דאינו נאמן לומר דטעה כשהודה</w:t>
      </w:r>
    </w:p>
    <w:p w:rsidR="00C34249" w:rsidRDefault="00C34249" w:rsidP="007E4E81">
      <w:pPr>
        <w:pStyle w:val="a"/>
        <w:rPr>
          <w:rFonts w:eastAsiaTheme="minorEastAsia" w:cstheme="minorBidi"/>
          <w:sz w:val="22"/>
          <w:szCs w:val="22"/>
          <w:rtl/>
        </w:rPr>
      </w:pPr>
      <w:r>
        <w:rPr>
          <w:rtl/>
        </w:rPr>
        <w:t>תירוץ הנחל יצחק דלרבה ורב חסדא מהני מיגו במק"ע אך לא בטענת טעיתי דהוא במקום אנ"ס</w:t>
      </w:r>
    </w:p>
    <w:p w:rsidR="00C34249" w:rsidRDefault="00C34249" w:rsidP="007E4E81">
      <w:pPr>
        <w:pStyle w:val="a"/>
        <w:rPr>
          <w:rFonts w:eastAsiaTheme="minorEastAsia" w:cstheme="minorBidi"/>
          <w:sz w:val="22"/>
          <w:szCs w:val="22"/>
          <w:rtl/>
        </w:rPr>
      </w:pPr>
      <w:r>
        <w:rPr>
          <w:rtl/>
        </w:rPr>
        <w:t>ביאור הנחל יצחק דבמק"ע אין אנו יודעים האמת אבל באנ"ס אנו יודעים שהוא משקר ול"מ מיגו</w:t>
      </w:r>
    </w:p>
    <w:p w:rsidR="00C34249" w:rsidRDefault="00C34249" w:rsidP="00C34249">
      <w:pPr>
        <w:pStyle w:val="aff4"/>
        <w:rPr>
          <w:rFonts w:eastAsiaTheme="minorEastAsia" w:cstheme="minorBidi"/>
          <w:i/>
          <w:iCs/>
          <w:noProof/>
          <w:sz w:val="22"/>
          <w:szCs w:val="22"/>
          <w:rtl/>
        </w:rPr>
      </w:pPr>
      <w:r>
        <w:rPr>
          <w:noProof/>
          <w:rtl/>
        </w:rPr>
        <w:t>קושיות רבינו יונה והרשב"א והריטב"א דא"א לומר מיגו במק"ע</w:t>
      </w:r>
    </w:p>
    <w:p w:rsidR="00C34249" w:rsidRDefault="00C34249" w:rsidP="007E4E81">
      <w:pPr>
        <w:pStyle w:val="a"/>
        <w:rPr>
          <w:rFonts w:eastAsiaTheme="minorEastAsia" w:cstheme="minorBidi"/>
          <w:sz w:val="22"/>
          <w:szCs w:val="22"/>
          <w:rtl/>
        </w:rPr>
      </w:pPr>
      <w:r>
        <w:rPr>
          <w:rtl/>
        </w:rPr>
        <w:t>קושית רבינו יונה והרשב"א דמוכח בכתובות דלא אמרינן מיגו במקום עדים</w:t>
      </w:r>
    </w:p>
    <w:p w:rsidR="00C34249" w:rsidRDefault="00C34249" w:rsidP="007E4E81">
      <w:pPr>
        <w:pStyle w:val="a"/>
        <w:rPr>
          <w:rFonts w:eastAsiaTheme="minorEastAsia" w:cstheme="minorBidi"/>
          <w:sz w:val="22"/>
          <w:szCs w:val="22"/>
          <w:rtl/>
        </w:rPr>
      </w:pPr>
      <w:r>
        <w:rPr>
          <w:rtl/>
        </w:rPr>
        <w:t>קושית הריטב"א דאי מהני מיגו במק"ע א"כ הטוען לא לויתי יהיה נאמן במיגו דלא פרע במק"ע</w:t>
      </w:r>
    </w:p>
    <w:p w:rsidR="00C34249" w:rsidRDefault="00C34249" w:rsidP="00C34249">
      <w:pPr>
        <w:pStyle w:val="aff4"/>
        <w:rPr>
          <w:rFonts w:eastAsiaTheme="minorEastAsia" w:cstheme="minorBidi"/>
          <w:i/>
          <w:iCs/>
          <w:noProof/>
          <w:sz w:val="22"/>
          <w:szCs w:val="22"/>
          <w:rtl/>
        </w:rPr>
      </w:pPr>
      <w:r>
        <w:rPr>
          <w:noProof/>
          <w:rtl/>
        </w:rPr>
        <w:t>בי' רבינו יונה והרשב"א והריטב"א דע"י המיגו טענינן שלקחוה</w:t>
      </w:r>
    </w:p>
    <w:p w:rsidR="00C34249" w:rsidRDefault="00C34249" w:rsidP="007E4E81">
      <w:pPr>
        <w:pStyle w:val="a"/>
        <w:rPr>
          <w:rFonts w:eastAsiaTheme="minorEastAsia" w:cstheme="minorBidi"/>
          <w:sz w:val="22"/>
          <w:szCs w:val="22"/>
          <w:rtl/>
        </w:rPr>
      </w:pPr>
      <w:r>
        <w:rPr>
          <w:rtl/>
        </w:rPr>
        <w:t>ביאור רבינו יונה והרשב"א דלרבה ע"י המיגו טענינן ליה דלא סותר להעדים אף שלא טען כן</w:t>
      </w:r>
    </w:p>
    <w:p w:rsidR="00C34249" w:rsidRDefault="00C34249" w:rsidP="007E4E81">
      <w:pPr>
        <w:pStyle w:val="a"/>
        <w:rPr>
          <w:rFonts w:eastAsiaTheme="minorEastAsia" w:cstheme="minorBidi"/>
          <w:sz w:val="22"/>
          <w:szCs w:val="22"/>
          <w:rtl/>
        </w:rPr>
      </w:pPr>
      <w:r>
        <w:rPr>
          <w:rtl/>
        </w:rPr>
        <w:t>דברי הרשב"א דלאביי העדים אלימי כנגד מיגו דטענינן ודברי הריטב"א דבמק"ע לא מתרצינן</w:t>
      </w:r>
    </w:p>
    <w:p w:rsidR="00C34249" w:rsidRDefault="00C34249" w:rsidP="00C34249">
      <w:pPr>
        <w:pStyle w:val="aff4"/>
        <w:rPr>
          <w:rFonts w:eastAsiaTheme="minorEastAsia" w:cstheme="minorBidi"/>
          <w:i/>
          <w:iCs/>
          <w:noProof/>
          <w:sz w:val="22"/>
          <w:szCs w:val="22"/>
          <w:rtl/>
        </w:rPr>
      </w:pPr>
      <w:r>
        <w:rPr>
          <w:noProof/>
          <w:rtl/>
        </w:rPr>
        <w:t>ביאור הרשב"א דלשון של אבותי משמע טענת ברי כנגד העדים</w:t>
      </w:r>
    </w:p>
    <w:p w:rsidR="00C34249" w:rsidRDefault="00C34249" w:rsidP="007E4E81">
      <w:pPr>
        <w:pStyle w:val="a"/>
        <w:rPr>
          <w:rFonts w:eastAsiaTheme="minorEastAsia" w:cstheme="minorBidi"/>
          <w:sz w:val="22"/>
          <w:szCs w:val="22"/>
          <w:rtl/>
        </w:rPr>
      </w:pPr>
      <w:r>
        <w:rPr>
          <w:rtl/>
        </w:rPr>
        <w:t>קושית הרשב"א דאינו במק"ע דאפש"ל דכוונתו שלקחוה אבותיו מאבותיו של המערער</w:t>
      </w:r>
    </w:p>
    <w:p w:rsidR="00C34249" w:rsidRDefault="00C34249" w:rsidP="007E4E81">
      <w:pPr>
        <w:pStyle w:val="a"/>
        <w:rPr>
          <w:rFonts w:eastAsiaTheme="minorEastAsia" w:cstheme="minorBidi"/>
          <w:sz w:val="22"/>
          <w:szCs w:val="22"/>
          <w:rtl/>
        </w:rPr>
      </w:pPr>
      <w:r>
        <w:rPr>
          <w:rtl/>
        </w:rPr>
        <w:t>תי' הרשב"א דסתם לשון של אבותי משמע מעולם וחשיב כברי דאינה של המערער ובמק"ע</w:t>
      </w:r>
    </w:p>
    <w:p w:rsidR="00C34249" w:rsidRDefault="00C34249" w:rsidP="00C34249">
      <w:pPr>
        <w:pStyle w:val="2"/>
        <w:rPr>
          <w:rFonts w:eastAsiaTheme="minorEastAsia" w:cstheme="minorBidi"/>
          <w:i/>
          <w:iCs/>
          <w:sz w:val="22"/>
          <w:szCs w:val="22"/>
          <w:rtl/>
        </w:rPr>
      </w:pPr>
      <w:r>
        <w:rPr>
          <w:rtl/>
        </w:rPr>
        <w:t>בי</w:t>
      </w:r>
      <w:r>
        <w:rPr>
          <w:rFonts w:hint="cs"/>
          <w:rtl/>
        </w:rPr>
        <w:t>אור</w:t>
      </w:r>
      <w:r>
        <w:rPr>
          <w:rtl/>
        </w:rPr>
        <w:t xml:space="preserve"> התוס' אמאי לא טענינן ליה</w:t>
      </w:r>
    </w:p>
    <w:p w:rsidR="00C34249" w:rsidRDefault="00C34249" w:rsidP="00C34249">
      <w:pPr>
        <w:pStyle w:val="aff4"/>
        <w:rPr>
          <w:rFonts w:eastAsiaTheme="minorEastAsia" w:cstheme="minorBidi"/>
          <w:i/>
          <w:iCs/>
          <w:noProof/>
          <w:sz w:val="22"/>
          <w:szCs w:val="22"/>
          <w:rtl/>
        </w:rPr>
      </w:pPr>
      <w:r>
        <w:rPr>
          <w:noProof/>
          <w:rtl/>
        </w:rPr>
        <w:t>קושיות הרשב"א בתוס' דנטען ליה דלקחוה אבותיו ואינו במק"ע</w:t>
      </w:r>
    </w:p>
    <w:p w:rsidR="00C34249" w:rsidRDefault="00C34249" w:rsidP="007E4E81">
      <w:pPr>
        <w:pStyle w:val="a"/>
        <w:rPr>
          <w:rFonts w:eastAsiaTheme="minorEastAsia" w:cstheme="minorBidi"/>
          <w:sz w:val="22"/>
          <w:szCs w:val="22"/>
          <w:rtl/>
        </w:rPr>
      </w:pPr>
      <w:r>
        <w:rPr>
          <w:rtl/>
        </w:rPr>
        <w:t>קושית הרשב"א בתוס' דאי"ז מיגו במק"ע דאפשר לתרץ דבריו ונאמן דדר בה חד יומא במיגו</w:t>
      </w:r>
    </w:p>
    <w:p w:rsidR="00C34249" w:rsidRDefault="00C34249" w:rsidP="007E4E81">
      <w:pPr>
        <w:pStyle w:val="a"/>
        <w:rPr>
          <w:rFonts w:eastAsiaTheme="minorEastAsia" w:cstheme="minorBidi"/>
          <w:sz w:val="22"/>
          <w:szCs w:val="22"/>
          <w:rtl/>
        </w:rPr>
      </w:pPr>
      <w:r>
        <w:rPr>
          <w:rtl/>
        </w:rPr>
        <w:t>קושית הרשב"א בתוס' דלנהרדעי אמאי צריך לחזור ולטעון שלקחוה ולא טענינן ליה אנן</w:t>
      </w:r>
    </w:p>
    <w:p w:rsidR="00C34249" w:rsidRDefault="00C34249" w:rsidP="00C34249">
      <w:pPr>
        <w:pStyle w:val="aff4"/>
        <w:rPr>
          <w:rFonts w:eastAsiaTheme="minorEastAsia" w:cstheme="minorBidi"/>
          <w:i/>
          <w:iCs/>
          <w:noProof/>
          <w:sz w:val="22"/>
          <w:szCs w:val="22"/>
          <w:rtl/>
        </w:rPr>
      </w:pPr>
      <w:r>
        <w:rPr>
          <w:noProof/>
          <w:rtl/>
        </w:rPr>
        <w:t>תי' ר"י דבלא פירש דבריו "של אבותי" משמע דמעולם שלהם</w:t>
      </w:r>
    </w:p>
    <w:p w:rsidR="00C34249" w:rsidRDefault="00C34249" w:rsidP="007E4E81">
      <w:pPr>
        <w:pStyle w:val="a"/>
        <w:rPr>
          <w:rFonts w:eastAsiaTheme="minorEastAsia" w:cstheme="minorBidi"/>
          <w:sz w:val="22"/>
          <w:szCs w:val="22"/>
          <w:rtl/>
        </w:rPr>
      </w:pPr>
      <w:r>
        <w:rPr>
          <w:rtl/>
        </w:rPr>
        <w:t>תירוץ ר"י דטענת המחזיק של אבותי משמע שהייתה מעולם שלהם ולא קנו מאבות המערער</w:t>
      </w:r>
    </w:p>
    <w:p w:rsidR="00C34249" w:rsidRDefault="00C34249" w:rsidP="007E4E81">
      <w:pPr>
        <w:pStyle w:val="a"/>
        <w:rPr>
          <w:rFonts w:eastAsiaTheme="minorEastAsia" w:cstheme="minorBidi"/>
          <w:sz w:val="22"/>
          <w:szCs w:val="22"/>
          <w:rtl/>
        </w:rPr>
      </w:pPr>
      <w:r>
        <w:rPr>
          <w:rtl/>
        </w:rPr>
        <w:t>דברי התוס' הרא"ש דמשמע דמעולם הייתה שלהם ולא טענינן מה שלא משמע מלשון טענתו</w:t>
      </w:r>
    </w:p>
    <w:p w:rsidR="00C34249" w:rsidRDefault="00C34249" w:rsidP="007E4E81">
      <w:pPr>
        <w:pStyle w:val="a"/>
        <w:rPr>
          <w:rFonts w:eastAsiaTheme="minorEastAsia" w:cstheme="minorBidi"/>
          <w:sz w:val="22"/>
          <w:szCs w:val="22"/>
          <w:rtl/>
        </w:rPr>
      </w:pPr>
      <w:r>
        <w:rPr>
          <w:rtl/>
        </w:rPr>
        <w:t>דברי ר"י דלנהרדעי א"צ לחזור ולטעון שלקחוה וכל שטוען קמי דידי דר חד יומא טענינן ליה</w:t>
      </w:r>
    </w:p>
    <w:p w:rsidR="00C34249" w:rsidRDefault="00C34249" w:rsidP="00C34249">
      <w:pPr>
        <w:pStyle w:val="2"/>
        <w:rPr>
          <w:rFonts w:eastAsiaTheme="minorEastAsia" w:cstheme="minorBidi"/>
          <w:i/>
          <w:iCs/>
          <w:sz w:val="22"/>
          <w:szCs w:val="22"/>
          <w:rtl/>
        </w:rPr>
      </w:pPr>
      <w:r>
        <w:rPr>
          <w:rtl/>
        </w:rPr>
        <w:t>דעת רבינו יונה דטוען בברי ול"ש טענינן</w:t>
      </w:r>
    </w:p>
    <w:p w:rsidR="00C34249" w:rsidRDefault="00C34249" w:rsidP="00C34249">
      <w:pPr>
        <w:pStyle w:val="aff4"/>
        <w:rPr>
          <w:rFonts w:eastAsiaTheme="minorEastAsia" w:cstheme="minorBidi"/>
          <w:i/>
          <w:iCs/>
          <w:noProof/>
          <w:sz w:val="22"/>
          <w:szCs w:val="22"/>
          <w:rtl/>
        </w:rPr>
      </w:pPr>
      <w:r>
        <w:rPr>
          <w:noProof/>
          <w:rtl/>
        </w:rPr>
        <w:t>קושיות רבינו יונה דאמאי לא טענינן אף כנגד טענת המחזיק</w:t>
      </w:r>
    </w:p>
    <w:p w:rsidR="00C34249" w:rsidRDefault="00C34249" w:rsidP="007E4E81">
      <w:pPr>
        <w:pStyle w:val="a"/>
        <w:rPr>
          <w:rFonts w:eastAsiaTheme="minorEastAsia" w:cstheme="minorBidi"/>
          <w:sz w:val="22"/>
          <w:szCs w:val="22"/>
          <w:rtl/>
        </w:rPr>
      </w:pPr>
      <w:r>
        <w:rPr>
          <w:rtl/>
        </w:rPr>
        <w:t>ביאור רבי יונה דטענת של אבותי משמע שלא לקחוה אבותי מאבותיו של המערער והוא במק"ע</w:t>
      </w:r>
    </w:p>
    <w:p w:rsidR="00C34249" w:rsidRDefault="00C34249" w:rsidP="007E4E81">
      <w:pPr>
        <w:pStyle w:val="a"/>
        <w:rPr>
          <w:rFonts w:eastAsiaTheme="minorEastAsia" w:cstheme="minorBidi"/>
          <w:sz w:val="22"/>
          <w:szCs w:val="22"/>
          <w:rtl/>
        </w:rPr>
      </w:pPr>
      <w:r>
        <w:rPr>
          <w:rtl/>
        </w:rPr>
        <w:t>קו' רבינו יונה דאמאי לא טענינן ליורש ומה שטוען שהייתה רק של אבותיו כיון שירשה מאביו</w:t>
      </w:r>
    </w:p>
    <w:p w:rsidR="00C34249" w:rsidRDefault="00C34249" w:rsidP="007E4E81">
      <w:pPr>
        <w:pStyle w:val="a"/>
        <w:rPr>
          <w:rFonts w:eastAsiaTheme="minorEastAsia" w:cstheme="minorBidi"/>
          <w:sz w:val="22"/>
          <w:szCs w:val="22"/>
          <w:rtl/>
        </w:rPr>
      </w:pPr>
      <w:r>
        <w:rPr>
          <w:rtl/>
        </w:rPr>
        <w:lastRenderedPageBreak/>
        <w:t>דברי רבינו יונה דמוכח דאיירי באופן דאבותיו דרו בקרקע וא"כ קשה אמאי לא טענינן ליה</w:t>
      </w:r>
    </w:p>
    <w:p w:rsidR="00C34249" w:rsidRDefault="00C34249" w:rsidP="00C34249">
      <w:pPr>
        <w:pStyle w:val="aff4"/>
        <w:rPr>
          <w:rFonts w:eastAsiaTheme="minorEastAsia" w:cstheme="minorBidi"/>
          <w:i/>
          <w:iCs/>
          <w:noProof/>
          <w:sz w:val="22"/>
          <w:szCs w:val="22"/>
          <w:rtl/>
        </w:rPr>
      </w:pPr>
      <w:r>
        <w:rPr>
          <w:noProof/>
          <w:rtl/>
        </w:rPr>
        <w:t>ביאור רבינו יונה דטוען בברי שלא לקחוה ול"ש בזה טענינן</w:t>
      </w:r>
    </w:p>
    <w:p w:rsidR="00C34249" w:rsidRDefault="00C34249" w:rsidP="007E4E81">
      <w:pPr>
        <w:pStyle w:val="a"/>
        <w:rPr>
          <w:rFonts w:eastAsiaTheme="minorEastAsia" w:cstheme="minorBidi"/>
          <w:sz w:val="22"/>
          <w:szCs w:val="22"/>
          <w:rtl/>
        </w:rPr>
      </w:pPr>
      <w:r>
        <w:rPr>
          <w:rtl/>
        </w:rPr>
        <w:t>תירוץ רבינו יונה דטוען בברי שהייתה רק של אבותיו ולא של אבות המערער וא"א לטעון לו</w:t>
      </w:r>
    </w:p>
    <w:p w:rsidR="00C34249" w:rsidRDefault="00C34249" w:rsidP="007E4E81">
      <w:pPr>
        <w:pStyle w:val="a"/>
        <w:rPr>
          <w:rFonts w:eastAsiaTheme="minorEastAsia" w:cstheme="minorBidi"/>
          <w:sz w:val="22"/>
          <w:szCs w:val="22"/>
          <w:rtl/>
        </w:rPr>
      </w:pPr>
      <w:r>
        <w:rPr>
          <w:rtl/>
        </w:rPr>
        <w:t>דברי רבינו יונה דהנדון אי חוזר וטוען היינו רק בחוזר וטוען בפירוש אבל בלא"ה לא טענינן ליה</w:t>
      </w:r>
    </w:p>
    <w:p w:rsidR="00C34249" w:rsidRDefault="00C34249" w:rsidP="00C34249">
      <w:pPr>
        <w:pStyle w:val="aff4"/>
        <w:rPr>
          <w:rFonts w:eastAsiaTheme="minorEastAsia" w:cstheme="minorBidi"/>
          <w:i/>
          <w:iCs/>
          <w:noProof/>
          <w:sz w:val="22"/>
          <w:szCs w:val="22"/>
          <w:rtl/>
        </w:rPr>
      </w:pPr>
      <w:r>
        <w:rPr>
          <w:noProof/>
          <w:rtl/>
        </w:rPr>
        <w:t>דברי הרשב"א דא"א לומר דלא דר אביו חד יומא דאינה חזקה</w:t>
      </w:r>
    </w:p>
    <w:p w:rsidR="00C34249" w:rsidRDefault="00C34249" w:rsidP="007E4E81">
      <w:pPr>
        <w:pStyle w:val="a"/>
        <w:rPr>
          <w:rFonts w:eastAsiaTheme="minorEastAsia" w:cstheme="minorBidi"/>
          <w:sz w:val="22"/>
          <w:szCs w:val="22"/>
          <w:rtl/>
        </w:rPr>
      </w:pPr>
      <w:r>
        <w:rPr>
          <w:rtl/>
        </w:rPr>
        <w:t>קושית הרשב"א דטענת של אבותי היה ככל טענת יורש ואמאי לא טענינן ליה דלקחוה אבותיו</w:t>
      </w:r>
    </w:p>
    <w:p w:rsidR="00C34249" w:rsidRDefault="00C34249" w:rsidP="007E4E81">
      <w:pPr>
        <w:pStyle w:val="a"/>
        <w:rPr>
          <w:rFonts w:eastAsiaTheme="minorEastAsia" w:cstheme="minorBidi"/>
          <w:sz w:val="22"/>
          <w:szCs w:val="22"/>
          <w:rtl/>
        </w:rPr>
      </w:pPr>
      <w:r>
        <w:rPr>
          <w:rtl/>
        </w:rPr>
        <w:t>תירוץ הרשב"א דאין עידי חד יומא ולא חשיב כיורש ואין טענינן ורק בחוזר וטוען בברי נאמן</w:t>
      </w:r>
    </w:p>
    <w:p w:rsidR="00C34249" w:rsidRDefault="00C34249" w:rsidP="007E4E81">
      <w:pPr>
        <w:pStyle w:val="a"/>
        <w:rPr>
          <w:rFonts w:eastAsiaTheme="minorEastAsia" w:cstheme="minorBidi"/>
          <w:sz w:val="22"/>
          <w:szCs w:val="22"/>
          <w:rtl/>
        </w:rPr>
      </w:pPr>
      <w:r>
        <w:rPr>
          <w:rtl/>
        </w:rPr>
        <w:t>דחיית הרשב"א דמדטען שיש לו חזקה משמע דהחזיק כדין והיינו דדר בה אביו חד יומא</w:t>
      </w:r>
    </w:p>
    <w:p w:rsidR="00C34249" w:rsidRDefault="00C34249" w:rsidP="00C34249">
      <w:pPr>
        <w:pStyle w:val="aff4"/>
        <w:rPr>
          <w:rFonts w:eastAsiaTheme="minorEastAsia" w:cstheme="minorBidi"/>
          <w:i/>
          <w:iCs/>
          <w:noProof/>
          <w:sz w:val="22"/>
          <w:szCs w:val="22"/>
          <w:rtl/>
        </w:rPr>
      </w:pPr>
      <w:r>
        <w:rPr>
          <w:noProof/>
          <w:rtl/>
        </w:rPr>
        <w:t>ביאור הרשב"א דטענינן הוא רק אחר שטען היורש טענת שמא</w:t>
      </w:r>
    </w:p>
    <w:p w:rsidR="00C34249" w:rsidRDefault="00C34249" w:rsidP="007E4E81">
      <w:pPr>
        <w:pStyle w:val="a"/>
        <w:rPr>
          <w:rFonts w:eastAsiaTheme="minorEastAsia" w:cstheme="minorBidi"/>
          <w:sz w:val="22"/>
          <w:szCs w:val="22"/>
          <w:rtl/>
        </w:rPr>
      </w:pPr>
      <w:r>
        <w:rPr>
          <w:rtl/>
        </w:rPr>
        <w:t>ביאור הרשב"א בשם רבותיו דטענינן הוא רק בשמא ולא בברי ורק אחר שטען היורש טוענים לו</w:t>
      </w:r>
    </w:p>
    <w:p w:rsidR="00C34249" w:rsidRDefault="00C34249" w:rsidP="00C34249">
      <w:pPr>
        <w:pStyle w:val="2"/>
        <w:rPr>
          <w:rFonts w:eastAsiaTheme="minorEastAsia" w:cstheme="minorBidi"/>
          <w:i/>
          <w:iCs/>
          <w:sz w:val="22"/>
          <w:szCs w:val="22"/>
          <w:rtl/>
        </w:rPr>
      </w:pPr>
      <w:r>
        <w:rPr>
          <w:rtl/>
        </w:rPr>
        <w:t>דעת הרמ"ה דבהוכחש נאמן בחד יומא</w:t>
      </w:r>
    </w:p>
    <w:p w:rsidR="00C34249" w:rsidRDefault="00C34249" w:rsidP="00C34249">
      <w:pPr>
        <w:pStyle w:val="aff4"/>
        <w:rPr>
          <w:rFonts w:eastAsiaTheme="minorEastAsia" w:cstheme="minorBidi"/>
          <w:i/>
          <w:iCs/>
          <w:noProof/>
          <w:sz w:val="22"/>
          <w:szCs w:val="22"/>
          <w:rtl/>
        </w:rPr>
      </w:pPr>
      <w:r>
        <w:rPr>
          <w:noProof/>
          <w:rtl/>
        </w:rPr>
        <w:t>ביאור היד רמ"ה דבחד יומא נאמן כיורש אף שהוכחש ע"י עדים</w:t>
      </w:r>
    </w:p>
    <w:p w:rsidR="00C34249" w:rsidRDefault="00C34249" w:rsidP="007E4E81">
      <w:pPr>
        <w:pStyle w:val="a"/>
        <w:rPr>
          <w:rFonts w:eastAsiaTheme="minorEastAsia" w:cstheme="minorBidi"/>
          <w:sz w:val="22"/>
          <w:szCs w:val="22"/>
          <w:rtl/>
        </w:rPr>
      </w:pPr>
      <w:r>
        <w:rPr>
          <w:rtl/>
        </w:rPr>
        <w:t>דברי הרמ"ה דבעידי חד יומא חשיב שיש לו ראיה וא"צ טענה ונאמן אף שהכחישו העדים טענתו</w:t>
      </w:r>
    </w:p>
    <w:p w:rsidR="00C34249" w:rsidRDefault="00C34249" w:rsidP="007E4E81">
      <w:pPr>
        <w:pStyle w:val="a"/>
        <w:rPr>
          <w:rFonts w:eastAsiaTheme="minorEastAsia" w:cstheme="minorBidi"/>
          <w:sz w:val="22"/>
          <w:szCs w:val="22"/>
          <w:rtl/>
        </w:rPr>
      </w:pPr>
      <w:r>
        <w:rPr>
          <w:rtl/>
        </w:rPr>
        <w:t>ביאור הרמ"ה דזכות יורש בחזקה וחד יומא ולא מדין טענה ומה שטען כמאן דליתיה וטענינן ליה</w:t>
      </w:r>
    </w:p>
    <w:p w:rsidR="00C34249" w:rsidRDefault="00C34249" w:rsidP="00C34249">
      <w:pPr>
        <w:pStyle w:val="aff4"/>
        <w:rPr>
          <w:rFonts w:eastAsiaTheme="minorEastAsia" w:cstheme="minorBidi"/>
          <w:i/>
          <w:iCs/>
          <w:noProof/>
          <w:sz w:val="22"/>
          <w:szCs w:val="22"/>
          <w:rtl/>
        </w:rPr>
      </w:pPr>
      <w:r>
        <w:rPr>
          <w:noProof/>
          <w:rtl/>
        </w:rPr>
        <w:t>דברי הרמ"ה דטוען ברי וכשהוכחש אין טענינן כמו בטענת שמא</w:t>
      </w:r>
    </w:p>
    <w:p w:rsidR="00C34249" w:rsidRDefault="00C34249" w:rsidP="007E4E81">
      <w:pPr>
        <w:pStyle w:val="a"/>
        <w:rPr>
          <w:rFonts w:eastAsiaTheme="minorEastAsia" w:cstheme="minorBidi"/>
          <w:sz w:val="22"/>
          <w:szCs w:val="22"/>
          <w:rtl/>
        </w:rPr>
      </w:pPr>
      <w:r>
        <w:rPr>
          <w:rtl/>
        </w:rPr>
        <w:t>ביאור הרמ"ה דטוען בברי של אבותי דאי בשמא לכו"ע ל"מ מיגו ומוכח דטוען ומכחיש לעדים</w:t>
      </w:r>
    </w:p>
    <w:p w:rsidR="00C34249" w:rsidRDefault="00C34249" w:rsidP="007E4E81">
      <w:pPr>
        <w:pStyle w:val="a"/>
        <w:rPr>
          <w:rFonts w:eastAsiaTheme="minorEastAsia" w:cstheme="minorBidi"/>
          <w:sz w:val="22"/>
          <w:szCs w:val="22"/>
          <w:rtl/>
        </w:rPr>
      </w:pPr>
      <w:r>
        <w:rPr>
          <w:rtl/>
        </w:rPr>
        <w:t>ביאור הרמ"ה דאחר שהוכחש לא טענינן דאף בשמא אין טענינן דאין לו דין יורש בלי חד יומא</w:t>
      </w:r>
    </w:p>
    <w:p w:rsidR="00C34249" w:rsidRDefault="00C34249" w:rsidP="00C34249">
      <w:pPr>
        <w:pStyle w:val="aff4"/>
        <w:rPr>
          <w:rFonts w:eastAsiaTheme="minorEastAsia" w:cstheme="minorBidi"/>
          <w:i/>
          <w:iCs/>
          <w:noProof/>
          <w:sz w:val="22"/>
          <w:szCs w:val="22"/>
          <w:rtl/>
        </w:rPr>
      </w:pPr>
      <w:r>
        <w:rPr>
          <w:noProof/>
          <w:rtl/>
        </w:rPr>
        <w:t>ביאור הרמ"ה דבמיגו אינו נאמן בשמא דל"ש נאמנות לשמא</w:t>
      </w:r>
    </w:p>
    <w:p w:rsidR="00C34249" w:rsidRDefault="00C34249" w:rsidP="007E4E81">
      <w:pPr>
        <w:pStyle w:val="a"/>
        <w:rPr>
          <w:rFonts w:eastAsiaTheme="minorEastAsia" w:cstheme="minorBidi"/>
          <w:sz w:val="22"/>
          <w:szCs w:val="22"/>
          <w:rtl/>
        </w:rPr>
      </w:pPr>
      <w:r>
        <w:rPr>
          <w:rtl/>
        </w:rPr>
        <w:t>בי' הרמ"ה דמיגו ל"מ לטענת שמא דנאמנותו היא לטענה וא"א להאמיןבשמא וכ"ש דאין טענינן</w:t>
      </w:r>
    </w:p>
    <w:p w:rsidR="00C34249" w:rsidRDefault="001B6519" w:rsidP="00C34249">
      <w:pPr>
        <w:pStyle w:val="2"/>
        <w:rPr>
          <w:rFonts w:eastAsiaTheme="minorEastAsia" w:cstheme="minorBidi"/>
          <w:i/>
          <w:iCs/>
          <w:sz w:val="22"/>
          <w:szCs w:val="22"/>
          <w:rtl/>
        </w:rPr>
      </w:pPr>
      <w:r>
        <w:rPr>
          <w:rtl/>
        </w:rPr>
        <w:t>~~~~~~~ ביאורי ראשי הישיבות ~~~~~~~</w:t>
      </w:r>
    </w:p>
    <w:p w:rsidR="00C34249" w:rsidRDefault="00C34249" w:rsidP="00C34249">
      <w:pPr>
        <w:pStyle w:val="2"/>
        <w:rPr>
          <w:rtl/>
        </w:rPr>
      </w:pPr>
      <w:r>
        <w:rPr>
          <w:rFonts w:hint="cs"/>
          <w:rtl/>
        </w:rPr>
        <w:t>ביאור הגר"ח מטעלז בקושית הרמב"ן</w:t>
      </w:r>
    </w:p>
    <w:p w:rsidR="00C34249" w:rsidRDefault="00C34249" w:rsidP="00C34249">
      <w:pPr>
        <w:pStyle w:val="aff4"/>
        <w:rPr>
          <w:rFonts w:eastAsiaTheme="minorEastAsia" w:cstheme="minorBidi"/>
          <w:i/>
          <w:iCs/>
          <w:noProof/>
          <w:sz w:val="22"/>
          <w:szCs w:val="22"/>
          <w:rtl/>
        </w:rPr>
      </w:pPr>
      <w:r>
        <w:rPr>
          <w:noProof/>
          <w:rtl/>
        </w:rPr>
        <w:t>ביאורי הגר"ח מטעלז בקושית הרמב"ן דלרבה מהני מיגו במק"ע</w:t>
      </w:r>
    </w:p>
    <w:p w:rsidR="00C34249" w:rsidRDefault="00C34249" w:rsidP="007E4E81">
      <w:pPr>
        <w:pStyle w:val="a"/>
        <w:rPr>
          <w:rFonts w:eastAsiaTheme="minorEastAsia" w:cstheme="minorBidi"/>
          <w:sz w:val="22"/>
          <w:szCs w:val="22"/>
          <w:rtl/>
        </w:rPr>
      </w:pPr>
      <w:r>
        <w:rPr>
          <w:rtl/>
        </w:rPr>
        <w:t>הביאור הא' בגר"ח מטעלז דקו' הרמב"ן דלרבה יהיה נאמן בלהד"ם להכחיש את העדים</w:t>
      </w:r>
    </w:p>
    <w:p w:rsidR="00C34249" w:rsidRDefault="00C34249" w:rsidP="007E4E81">
      <w:pPr>
        <w:pStyle w:val="a"/>
        <w:rPr>
          <w:rFonts w:eastAsiaTheme="minorEastAsia" w:cstheme="minorBidi"/>
          <w:sz w:val="22"/>
          <w:szCs w:val="22"/>
        </w:rPr>
      </w:pPr>
      <w:r>
        <w:rPr>
          <w:rtl/>
        </w:rPr>
        <w:t>הבי' הב' בגר"ח מטעלז דקו' הרמב"ן דלרבה יהיה נאמן להכחיש את הודאת עצמו דכ"ש מעדים</w:t>
      </w:r>
    </w:p>
    <w:p w:rsidR="00C34249" w:rsidRDefault="00C34249" w:rsidP="007E4E81">
      <w:pPr>
        <w:pStyle w:val="a"/>
        <w:numPr>
          <w:ilvl w:val="0"/>
          <w:numId w:val="0"/>
        </w:numPr>
        <w:rPr>
          <w:rtl/>
        </w:rPr>
      </w:pPr>
    </w:p>
    <w:p w:rsidR="00C34249" w:rsidRPr="00EA1E43" w:rsidRDefault="00C34249" w:rsidP="00C34249">
      <w:pPr>
        <w:pStyle w:val="2"/>
        <w:rPr>
          <w:rtl/>
        </w:rPr>
      </w:pPr>
      <w:r>
        <w:rPr>
          <w:rFonts w:hint="cs"/>
          <w:rtl/>
        </w:rPr>
        <w:t>ביאור הגר"ח מטעלז דמיגו עושה ריעותא</w:t>
      </w:r>
    </w:p>
    <w:p w:rsidR="00C34249" w:rsidRDefault="00C34249" w:rsidP="00C34249">
      <w:pPr>
        <w:pStyle w:val="aff4"/>
        <w:rPr>
          <w:rtl/>
        </w:rPr>
      </w:pPr>
      <w:r>
        <w:rPr>
          <w:rFonts w:hint="cs"/>
          <w:rtl/>
        </w:rPr>
        <w:t>ביאור הגר"ח מטעלז דלרבה ע"י המיגו חשיב שיש דין מרומה</w:t>
      </w:r>
    </w:p>
    <w:p w:rsidR="00C34249" w:rsidRDefault="00C34249" w:rsidP="007E4E81">
      <w:pPr>
        <w:pStyle w:val="a"/>
        <w:rPr>
          <w:rFonts w:eastAsiaTheme="minorEastAsia" w:cstheme="minorBidi"/>
          <w:sz w:val="22"/>
          <w:szCs w:val="22"/>
          <w:rtl/>
        </w:rPr>
      </w:pPr>
      <w:r>
        <w:rPr>
          <w:rtl/>
        </w:rPr>
        <w:t>דברי הגר"ח מטעלז דלרמב"ן לרבה נאמן רק לתרץ דבריו ולרשב"ם ותוס' נאמן להכחיש העדים</w:t>
      </w:r>
    </w:p>
    <w:p w:rsidR="00C34249" w:rsidRDefault="00C34249" w:rsidP="007E4E81">
      <w:pPr>
        <w:pStyle w:val="a"/>
        <w:rPr>
          <w:rFonts w:eastAsiaTheme="minorEastAsia" w:cstheme="minorBidi"/>
          <w:sz w:val="22"/>
          <w:szCs w:val="22"/>
          <w:rtl/>
        </w:rPr>
      </w:pPr>
      <w:r>
        <w:rPr>
          <w:rtl/>
        </w:rPr>
        <w:t>דברי הגר"ח מטעלז דעדות הוא גזיה"כ דנאמנים יותר מכל בירור ונאמנות מיגו היא כח הטענה</w:t>
      </w:r>
    </w:p>
    <w:p w:rsidR="00C34249" w:rsidRDefault="00C34249" w:rsidP="007E4E81">
      <w:pPr>
        <w:pStyle w:val="a"/>
        <w:rPr>
          <w:rFonts w:eastAsiaTheme="minorEastAsia" w:cstheme="minorBidi"/>
          <w:sz w:val="22"/>
          <w:szCs w:val="22"/>
          <w:rtl/>
        </w:rPr>
      </w:pPr>
      <w:r>
        <w:rPr>
          <w:rtl/>
        </w:rPr>
        <w:t>בי' הגר"ח מטעלז דלרבה מיגו שמעיז כנגד עדים מברר ועושה ריעותא וחשיב עדות מרומה</w:t>
      </w:r>
    </w:p>
    <w:p w:rsidR="00C34249" w:rsidRDefault="00C34249" w:rsidP="007E4E81">
      <w:pPr>
        <w:pStyle w:val="a"/>
        <w:rPr>
          <w:rFonts w:eastAsiaTheme="minorEastAsia" w:cstheme="minorBidi"/>
          <w:sz w:val="22"/>
          <w:szCs w:val="22"/>
          <w:rtl/>
        </w:rPr>
      </w:pPr>
      <w:r>
        <w:rPr>
          <w:rtl/>
        </w:rPr>
        <w:t>ביאור הגר"ח מטעלז דלאביי דין מרומה הוא רק כשיש רמאות בעדות עצמו ולא בדבר צדדי</w:t>
      </w:r>
    </w:p>
    <w:p w:rsidR="00C34249" w:rsidRPr="001F6F95" w:rsidRDefault="00C34249" w:rsidP="00C34249">
      <w:pPr>
        <w:pStyle w:val="aff4"/>
      </w:pPr>
      <w:r>
        <w:rPr>
          <w:rFonts w:hint="cs"/>
          <w:rtl/>
        </w:rPr>
        <w:t>ביאור הגר"ח מטעלז ברשב"ם דמיגו ל"מ כנגד הודאת בע"ד</w:t>
      </w:r>
    </w:p>
    <w:p w:rsidR="00C34249" w:rsidRDefault="00C34249" w:rsidP="007E4E81">
      <w:pPr>
        <w:pStyle w:val="a"/>
        <w:rPr>
          <w:rFonts w:eastAsiaTheme="minorEastAsia" w:cstheme="minorBidi"/>
          <w:sz w:val="22"/>
          <w:szCs w:val="22"/>
          <w:rtl/>
        </w:rPr>
      </w:pPr>
      <w:r>
        <w:rPr>
          <w:rtl/>
        </w:rPr>
        <w:t>תי' הגר"ח מטעלז על קו' הרמב"ן דלדעת הרשב"ם ותוס' טענת להד"ם היינו דחוזר מהודאתו</w:t>
      </w:r>
    </w:p>
    <w:p w:rsidR="00C34249" w:rsidRDefault="00C34249" w:rsidP="007E4E81">
      <w:pPr>
        <w:pStyle w:val="a"/>
        <w:rPr>
          <w:rFonts w:eastAsiaTheme="minorEastAsia" w:cstheme="minorBidi"/>
          <w:sz w:val="22"/>
          <w:szCs w:val="22"/>
          <w:rtl/>
        </w:rPr>
      </w:pPr>
      <w:r>
        <w:rPr>
          <w:rtl/>
        </w:rPr>
        <w:t>ביאור הגר"ח מטעלז דלרשב"ם ותוס' ל"מ מיגו כנגד הודאתו שנפסקה בב"ד ורק במק"ע מהני</w:t>
      </w:r>
    </w:p>
    <w:p w:rsidR="00C34249" w:rsidRPr="004754CE" w:rsidRDefault="00C34249" w:rsidP="00C34249">
      <w:pPr>
        <w:pStyle w:val="aff4"/>
        <w:rPr>
          <w:rtl/>
        </w:rPr>
      </w:pPr>
      <w:r>
        <w:rPr>
          <w:rFonts w:hint="cs"/>
          <w:rtl/>
        </w:rPr>
        <w:t>דברי הגר"ח מטעלז דמיגו ל"מ כנגד חזקת בירור דשטרך בידי</w:t>
      </w:r>
    </w:p>
    <w:p w:rsidR="00C34249" w:rsidRDefault="00C34249" w:rsidP="007E4E81">
      <w:pPr>
        <w:pStyle w:val="a"/>
        <w:rPr>
          <w:rFonts w:eastAsiaTheme="minorEastAsia" w:cstheme="minorBidi"/>
          <w:sz w:val="22"/>
          <w:szCs w:val="22"/>
          <w:rtl/>
        </w:rPr>
      </w:pPr>
      <w:r>
        <w:rPr>
          <w:rtl/>
        </w:rPr>
        <w:t>ביאור הגר"ח מטעלז בקו' הגמ' לקמן דלרבה ל"מ מיגו כנגד חזקת בירור דשטרך בידי מאי בעי</w:t>
      </w:r>
    </w:p>
    <w:p w:rsidR="00C34249" w:rsidRPr="008D123E" w:rsidRDefault="00C34249" w:rsidP="00C34249">
      <w:pPr>
        <w:pStyle w:val="2"/>
      </w:pPr>
      <w:r>
        <w:rPr>
          <w:rFonts w:hint="cs"/>
          <w:rtl/>
        </w:rPr>
        <w:t>בי' הגרנ"פ ברבינו יונה דמתרצים דבריו</w:t>
      </w:r>
    </w:p>
    <w:p w:rsidR="00C34249" w:rsidRPr="00EA0D37" w:rsidRDefault="00C34249" w:rsidP="00C34249">
      <w:pPr>
        <w:pStyle w:val="aff4"/>
        <w:rPr>
          <w:rtl/>
        </w:rPr>
      </w:pPr>
      <w:r>
        <w:rPr>
          <w:rFonts w:hint="cs"/>
          <w:rtl/>
        </w:rPr>
        <w:t>קושית הגרנ"פ דלרבינו יונה נח' אי מתרצינן דבריו ולא במיגו</w:t>
      </w:r>
    </w:p>
    <w:p w:rsidR="00C34249" w:rsidRDefault="00C34249" w:rsidP="007E4E81">
      <w:pPr>
        <w:pStyle w:val="a"/>
        <w:rPr>
          <w:rFonts w:eastAsiaTheme="minorEastAsia" w:cstheme="minorBidi"/>
          <w:sz w:val="22"/>
          <w:szCs w:val="22"/>
          <w:rtl/>
        </w:rPr>
      </w:pPr>
      <w:r>
        <w:rPr>
          <w:rtl/>
        </w:rPr>
        <w:t>קושית הגרנ"פ דלרמב"ן ורבינו יונה רבה ואביי פליגי אי מתרצינן דבריו ולא בדין מיגו במק"ע</w:t>
      </w:r>
    </w:p>
    <w:p w:rsidR="00C34249" w:rsidRPr="008D123E" w:rsidRDefault="00C34249" w:rsidP="00C34249">
      <w:pPr>
        <w:pStyle w:val="aff4"/>
        <w:rPr>
          <w:rFonts w:eastAsiaTheme="minorEastAsia" w:cstheme="minorBidi"/>
          <w:sz w:val="22"/>
          <w:szCs w:val="22"/>
        </w:rPr>
      </w:pPr>
      <w:r>
        <w:rPr>
          <w:rFonts w:hint="cs"/>
          <w:rtl/>
        </w:rPr>
        <w:t>ביאור הגרנ"פ ברבינו יונה דאחר שנאמן במיגו מתרצינן דבריו</w:t>
      </w:r>
    </w:p>
    <w:p w:rsidR="00C34249" w:rsidRDefault="00C34249" w:rsidP="007E4E81">
      <w:pPr>
        <w:pStyle w:val="a"/>
        <w:rPr>
          <w:rFonts w:eastAsiaTheme="minorEastAsia" w:cstheme="minorBidi"/>
          <w:sz w:val="22"/>
          <w:szCs w:val="22"/>
          <w:rtl/>
        </w:rPr>
      </w:pPr>
      <w:r>
        <w:rPr>
          <w:rtl/>
        </w:rPr>
        <w:t>דברי הגרנ"פ דמבואר ברבינו יונה וברשב"א דרק ע"י המיגו מתרצינן דבריו שלא יסתור לעדים</w:t>
      </w:r>
    </w:p>
    <w:p w:rsidR="00C34249" w:rsidRPr="008D123E" w:rsidRDefault="00C34249" w:rsidP="00C34249">
      <w:pPr>
        <w:pStyle w:val="2"/>
      </w:pPr>
      <w:r>
        <w:rPr>
          <w:rFonts w:hint="cs"/>
          <w:rtl/>
        </w:rPr>
        <w:t>בי' הגרנ"פ דבמק"ע אין טענתו טענה</w:t>
      </w:r>
    </w:p>
    <w:p w:rsidR="00C34249" w:rsidRPr="00F35CAF" w:rsidRDefault="00C34249" w:rsidP="00C34249">
      <w:pPr>
        <w:pStyle w:val="aff4"/>
        <w:rPr>
          <w:rtl/>
        </w:rPr>
      </w:pPr>
      <w:r>
        <w:rPr>
          <w:rFonts w:hint="cs"/>
          <w:rtl/>
        </w:rPr>
        <w:t>בי' הגרנ"פ דטענה שהוכחשה לגמרי ע"י עדים ל"מ לה מיגו</w:t>
      </w:r>
    </w:p>
    <w:p w:rsidR="00C34249" w:rsidRDefault="00C34249" w:rsidP="007E4E81">
      <w:pPr>
        <w:pStyle w:val="a"/>
        <w:rPr>
          <w:rFonts w:eastAsiaTheme="minorEastAsia" w:cstheme="minorBidi"/>
          <w:sz w:val="22"/>
          <w:szCs w:val="22"/>
          <w:rtl/>
        </w:rPr>
      </w:pPr>
      <w:r>
        <w:rPr>
          <w:rtl/>
        </w:rPr>
        <w:t>ביאור הגרנ"פ דבמק"ע אין דין מיגו כלל דמיגו מאלים את טענתו והיא הוכחשה כבר ע"י העדים</w:t>
      </w:r>
    </w:p>
    <w:p w:rsidR="00C34249" w:rsidRDefault="00C34249" w:rsidP="007E4E81">
      <w:pPr>
        <w:pStyle w:val="a"/>
        <w:rPr>
          <w:rFonts w:eastAsiaTheme="minorEastAsia" w:cstheme="minorBidi"/>
          <w:sz w:val="22"/>
          <w:szCs w:val="22"/>
          <w:rtl/>
        </w:rPr>
      </w:pPr>
      <w:r>
        <w:rPr>
          <w:rtl/>
        </w:rPr>
        <w:t>ביאור הגרנ"פ ברבינו יונה וברשב"א דרק כשלא הוכחשה טענתו ס"ל לרבה דשייך דין מיגו</w:t>
      </w:r>
    </w:p>
    <w:p w:rsidR="00C34249" w:rsidRPr="008D123E" w:rsidRDefault="00C34249" w:rsidP="00C34249">
      <w:pPr>
        <w:pStyle w:val="aff4"/>
        <w:rPr>
          <w:rFonts w:eastAsiaTheme="minorEastAsia" w:cstheme="minorBidi"/>
          <w:sz w:val="22"/>
          <w:szCs w:val="22"/>
        </w:rPr>
      </w:pPr>
      <w:r>
        <w:rPr>
          <w:rFonts w:hint="cs"/>
          <w:rtl/>
        </w:rPr>
        <w:t>ביאור הגרנ"פ באביי דאחר שהוכחשה הטענה ל"ש מיגו כלל</w:t>
      </w:r>
      <w:r>
        <w:rPr>
          <w:rtl/>
        </w:rPr>
        <w:t xml:space="preserve"> </w:t>
      </w:r>
    </w:p>
    <w:p w:rsidR="00C34249" w:rsidRDefault="00C34249" w:rsidP="007E4E81">
      <w:pPr>
        <w:pStyle w:val="a"/>
        <w:rPr>
          <w:rFonts w:eastAsiaTheme="minorEastAsia" w:cstheme="minorBidi"/>
          <w:sz w:val="22"/>
          <w:szCs w:val="22"/>
          <w:rtl/>
        </w:rPr>
      </w:pPr>
      <w:r>
        <w:rPr>
          <w:rtl/>
        </w:rPr>
        <w:t>ביאור הגרנ"פ דלאביי אחר שמשמעות הטענה הוכחשה אין דין מיגו וא"א לתרץ טענתו מכחו</w:t>
      </w:r>
    </w:p>
    <w:p w:rsidR="00C34249" w:rsidRDefault="00C34249" w:rsidP="007E4E81">
      <w:pPr>
        <w:pStyle w:val="a"/>
        <w:rPr>
          <w:rFonts w:eastAsiaTheme="minorEastAsia" w:cstheme="minorBidi"/>
          <w:sz w:val="22"/>
          <w:szCs w:val="22"/>
          <w:rtl/>
        </w:rPr>
      </w:pPr>
      <w:r>
        <w:rPr>
          <w:rtl/>
        </w:rPr>
        <w:t>ביאור הגרנ"פ דעיקר פלוגתת רבה ואביי אי יש מיגו במק"ע וע"י המיגו נאמן לתרץ את דבריו</w:t>
      </w:r>
    </w:p>
    <w:p w:rsidR="00C34249" w:rsidRDefault="00C34249" w:rsidP="007E4E81">
      <w:pPr>
        <w:pStyle w:val="a"/>
        <w:rPr>
          <w:rFonts w:eastAsiaTheme="minorEastAsia" w:cstheme="minorBidi"/>
          <w:sz w:val="22"/>
          <w:szCs w:val="22"/>
          <w:rtl/>
        </w:rPr>
      </w:pPr>
      <w:r>
        <w:rPr>
          <w:rtl/>
        </w:rPr>
        <w:t>ביאור הגרנ"פ דלדעת רבה עדים אלימי ממיגו ובמתרץ דבריו לא חשיב דהמיגו נגד העדים</w:t>
      </w:r>
    </w:p>
    <w:p w:rsidR="00C34249" w:rsidRDefault="00C34249" w:rsidP="00C34249">
      <w:pPr>
        <w:pStyle w:val="2"/>
        <w:rPr>
          <w:rtl/>
        </w:rPr>
      </w:pPr>
      <w:r>
        <w:rPr>
          <w:rFonts w:hint="cs"/>
          <w:rtl/>
        </w:rPr>
        <w:t>בי' הגרנ"פ ברשב"ם דמכחיש העדים</w:t>
      </w:r>
      <w:r>
        <w:rPr>
          <w:rtl/>
        </w:rPr>
        <w:t xml:space="preserve"> </w:t>
      </w:r>
    </w:p>
    <w:p w:rsidR="00C34249" w:rsidRDefault="00C34249" w:rsidP="00C34249">
      <w:pPr>
        <w:pStyle w:val="aff4"/>
        <w:rPr>
          <w:rFonts w:eastAsiaTheme="minorEastAsia" w:cstheme="minorBidi"/>
          <w:i/>
          <w:iCs/>
          <w:noProof/>
          <w:sz w:val="22"/>
          <w:szCs w:val="22"/>
          <w:rtl/>
        </w:rPr>
      </w:pPr>
      <w:r>
        <w:rPr>
          <w:noProof/>
          <w:rtl/>
        </w:rPr>
        <w:t>ביאור הגרנ"פ ברשב"ם דמיגו הוא אומדנא דהעדים משקרים</w:t>
      </w:r>
    </w:p>
    <w:p w:rsidR="00C34249" w:rsidRDefault="00C34249" w:rsidP="007E4E81">
      <w:pPr>
        <w:pStyle w:val="a"/>
        <w:rPr>
          <w:rFonts w:eastAsiaTheme="minorEastAsia" w:cstheme="minorBidi"/>
          <w:sz w:val="22"/>
          <w:szCs w:val="22"/>
          <w:rtl/>
        </w:rPr>
      </w:pPr>
      <w:r>
        <w:rPr>
          <w:rtl/>
        </w:rPr>
        <w:t>קושית הגרנ"פ על הרשב"ם אמאי לר"ח מהני מיגו במק"ע דא"א לומר דמיגו אלים מעדים</w:t>
      </w:r>
    </w:p>
    <w:p w:rsidR="00C34249" w:rsidRDefault="00C34249" w:rsidP="007E4E81">
      <w:pPr>
        <w:pStyle w:val="a"/>
        <w:rPr>
          <w:rFonts w:eastAsiaTheme="minorEastAsia" w:cstheme="minorBidi"/>
          <w:sz w:val="22"/>
          <w:szCs w:val="22"/>
          <w:rtl/>
        </w:rPr>
      </w:pPr>
      <w:r>
        <w:rPr>
          <w:rtl/>
        </w:rPr>
        <w:t>ביאור הגרנ"פ דנאמנות עדים מגזיה"כ וכשיש סברא ואומדנא ממיגו אמרינן דהם משקרים</w:t>
      </w:r>
    </w:p>
    <w:p w:rsidR="00C34249" w:rsidRDefault="00C34249" w:rsidP="007E4E81">
      <w:pPr>
        <w:pStyle w:val="a"/>
        <w:rPr>
          <w:rFonts w:eastAsiaTheme="minorEastAsia" w:cstheme="minorBidi"/>
          <w:sz w:val="22"/>
          <w:szCs w:val="22"/>
          <w:rtl/>
        </w:rPr>
      </w:pPr>
      <w:r>
        <w:rPr>
          <w:rtl/>
        </w:rPr>
        <w:t>דברי הגרנ"פ דמהא דהוצרכו הראשונים להוכיח דל"מ מיגו במק"ע משמע דמסברא מהני</w:t>
      </w:r>
    </w:p>
    <w:p w:rsidR="00C34249" w:rsidRDefault="00C34249" w:rsidP="00C34249">
      <w:pPr>
        <w:pStyle w:val="aff4"/>
        <w:rPr>
          <w:rFonts w:eastAsiaTheme="minorEastAsia" w:cstheme="minorBidi"/>
          <w:i/>
          <w:iCs/>
          <w:noProof/>
          <w:sz w:val="22"/>
          <w:szCs w:val="22"/>
          <w:rtl/>
        </w:rPr>
      </w:pPr>
      <w:r>
        <w:rPr>
          <w:noProof/>
          <w:rtl/>
        </w:rPr>
        <w:t>ביאור הגר"ח שמואלביץ ברשב"ם דנאמנות המיגו על הממון</w:t>
      </w:r>
    </w:p>
    <w:p w:rsidR="00C34249" w:rsidRDefault="00C34249" w:rsidP="007E4E81">
      <w:pPr>
        <w:pStyle w:val="a"/>
        <w:rPr>
          <w:rFonts w:eastAsiaTheme="minorEastAsia" w:cstheme="minorBidi"/>
          <w:sz w:val="22"/>
          <w:szCs w:val="22"/>
          <w:rtl/>
        </w:rPr>
        <w:sectPr w:rsidR="00C34249" w:rsidSect="00DC277F">
          <w:headerReference w:type="even" r:id="rId102"/>
          <w:headerReference w:type="default" r:id="rId103"/>
          <w:footerReference w:type="even" r:id="rId104"/>
          <w:footerReference w:type="default" r:id="rId105"/>
          <w:headerReference w:type="first" r:id="rId106"/>
          <w:footerReference w:type="first" r:id="rId107"/>
          <w:type w:val="continuous"/>
          <w:pgSz w:w="11906" w:h="16838"/>
          <w:pgMar w:top="720" w:right="720" w:bottom="720" w:left="720" w:header="283" w:footer="283" w:gutter="0"/>
          <w:cols w:num="2" w:space="113"/>
          <w:titlePg/>
          <w:bidi/>
          <w:rtlGutter/>
          <w:docGrid w:linePitch="299"/>
        </w:sectPr>
      </w:pPr>
      <w:r>
        <w:rPr>
          <w:rtl/>
        </w:rPr>
        <w:t>ביאור הגר"ח שמואלביץ ברשב"ם דלרבה אף שהטענה הוכחשה מ"מ נאמן במיגו דהממון שלו</w:t>
      </w:r>
    </w:p>
    <w:p w:rsidR="00C34249" w:rsidRDefault="00C34249" w:rsidP="007E4E81">
      <w:pPr>
        <w:pStyle w:val="a"/>
        <w:numPr>
          <w:ilvl w:val="0"/>
          <w:numId w:val="0"/>
        </w:numPr>
        <w:rPr>
          <w:rtl/>
        </w:rPr>
      </w:pPr>
    </w:p>
    <w:p w:rsidR="00C34249" w:rsidRDefault="00C34249" w:rsidP="00C34249">
      <w:pPr>
        <w:pStyle w:val="2"/>
        <w:rPr>
          <w:rtl/>
        </w:rPr>
        <w:sectPr w:rsidR="00C34249"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C34249" w:rsidRPr="00F57DBE" w:rsidRDefault="006C4F47" w:rsidP="00C34249">
      <w:pPr>
        <w:pStyle w:val="afe"/>
        <w:rPr>
          <w:rFonts w:asciiTheme="minorHAnsi" w:hAnsiTheme="minorHAnsi"/>
        </w:rPr>
        <w:sectPr w:rsidR="00C34249" w:rsidRPr="00F57DBE" w:rsidSect="00962FD5">
          <w:footerReference w:type="default" r:id="rId108"/>
          <w:pgSz w:w="11906" w:h="16838"/>
          <w:pgMar w:top="720" w:right="720" w:bottom="720" w:left="720" w:header="283" w:footer="283" w:gutter="0"/>
          <w:cols w:space="720"/>
          <w:bidi/>
          <w:rtlGutter/>
          <w:docGrid w:linePitch="299"/>
        </w:sectPr>
      </w:pPr>
      <w:r>
        <w:rPr>
          <w:rFonts w:hint="cs"/>
          <w:rtl/>
        </w:rPr>
        <w:lastRenderedPageBreak/>
        <w:t>~~~~~~~ מראי מקומות וביאורים ~~~~~~~</w:t>
      </w:r>
    </w:p>
    <w:p w:rsidR="00C34249" w:rsidRDefault="00C34249" w:rsidP="00C34249">
      <w:pPr>
        <w:pStyle w:val="afe"/>
        <w:rPr>
          <w:rtl/>
        </w:rPr>
      </w:pPr>
      <w:bookmarkStart w:id="12238" w:name="_Toc61815336"/>
      <w:bookmarkStart w:id="12239" w:name="_Toc61861369"/>
      <w:bookmarkStart w:id="12240" w:name="_Toc61867338"/>
      <w:bookmarkStart w:id="12241" w:name="_Toc61867444"/>
      <w:bookmarkStart w:id="12242" w:name="_Toc61887809"/>
      <w:r>
        <w:rPr>
          <w:rFonts w:hint="cs"/>
          <w:rtl/>
        </w:rPr>
        <w:t>בי' הרשב"ם בר"ח דנאמן להכחיש עדים</w:t>
      </w:r>
      <w:bookmarkEnd w:id="12238"/>
      <w:bookmarkEnd w:id="12239"/>
      <w:bookmarkEnd w:id="12240"/>
      <w:bookmarkEnd w:id="12241"/>
      <w:bookmarkEnd w:id="12242"/>
    </w:p>
    <w:p w:rsidR="00C34249" w:rsidRDefault="00C34249" w:rsidP="00C34249">
      <w:pPr>
        <w:pStyle w:val="1"/>
        <w:rPr>
          <w:rtl/>
        </w:rPr>
      </w:pPr>
      <w:bookmarkStart w:id="12243" w:name="_Toc61815337"/>
      <w:bookmarkStart w:id="12244" w:name="_Toc61861370"/>
      <w:bookmarkStart w:id="12245" w:name="_Toc61867339"/>
      <w:bookmarkStart w:id="12246" w:name="_Toc61867445"/>
      <w:bookmarkStart w:id="12247" w:name="_Toc61887810"/>
      <w:r>
        <w:rPr>
          <w:rFonts w:hint="cs"/>
          <w:rtl/>
        </w:rPr>
        <w:t>ביאור הרשב"ם בפלוגתת רבה ואביי בסוגיין במיגו במקום עדים</w:t>
      </w:r>
      <w:bookmarkEnd w:id="12243"/>
      <w:bookmarkEnd w:id="12244"/>
      <w:bookmarkEnd w:id="12245"/>
      <w:bookmarkEnd w:id="12246"/>
      <w:bookmarkEnd w:id="12247"/>
    </w:p>
    <w:p w:rsidR="00C34249" w:rsidRDefault="00C34249" w:rsidP="00C34249">
      <w:pPr>
        <w:pStyle w:val="a3"/>
        <w:rPr>
          <w:rtl/>
        </w:rPr>
      </w:pPr>
      <w:bookmarkStart w:id="12248" w:name="_Toc61815338"/>
      <w:bookmarkStart w:id="12249" w:name="_Toc61861371"/>
      <w:bookmarkStart w:id="12250" w:name="_Toc61867340"/>
      <w:bookmarkStart w:id="12251" w:name="_Toc61867446"/>
      <w:bookmarkStart w:id="12252" w:name="_Toc61887811"/>
      <w:r>
        <w:rPr>
          <w:rFonts w:hint="cs"/>
          <w:rtl/>
        </w:rPr>
        <w:t>דברי הרשב"ם דלרבה נאמן במיגו ולאביי דאינו נאמן במקום עדים חזקתו היא כחזקה בלא טענה</w:t>
      </w:r>
      <w:bookmarkEnd w:id="12248"/>
      <w:bookmarkEnd w:id="12249"/>
      <w:bookmarkEnd w:id="12250"/>
      <w:bookmarkEnd w:id="12251"/>
      <w:bookmarkEnd w:id="12252"/>
    </w:p>
    <w:p w:rsidR="00C34249" w:rsidRPr="00182E1B" w:rsidRDefault="00C34249" w:rsidP="00BA3263">
      <w:pPr>
        <w:pStyle w:val="a0"/>
        <w:numPr>
          <w:ilvl w:val="0"/>
          <w:numId w:val="26"/>
        </w:numPr>
        <w:rPr>
          <w:rtl/>
        </w:rPr>
      </w:pPr>
      <w:bookmarkStart w:id="12253" w:name="_Ref61814979"/>
      <w:r>
        <w:rPr>
          <w:rFonts w:hint="cs"/>
          <w:rtl/>
        </w:rPr>
        <w:t xml:space="preserve">בהא דאמר רבה דהמחזיק נאמן דמה לו לשקר, ביאר </w:t>
      </w:r>
      <w:r w:rsidRPr="00924DCD">
        <w:rPr>
          <w:rStyle w:val="af9"/>
          <w:rFonts w:hint="cs"/>
          <w:rtl/>
        </w:rPr>
        <w:t>הרשב"ם</w:t>
      </w:r>
      <w:r>
        <w:rPr>
          <w:rFonts w:hint="cs"/>
          <w:rtl/>
        </w:rPr>
        <w:t xml:space="preserve"> </w:t>
      </w:r>
      <w:r w:rsidRPr="007E4E81">
        <w:rPr>
          <w:rStyle w:val="af7"/>
          <w:rFonts w:eastAsia="Guttman Hodes" w:hint="cs"/>
          <w:rtl/>
        </w:rPr>
        <w:t>(ד"ה אמר רבה)</w:t>
      </w:r>
      <w:r>
        <w:rPr>
          <w:rFonts w:hint="cs"/>
          <w:rtl/>
        </w:rPr>
        <w:t xml:space="preserve"> דכיון שיש לו חזקה והיה יכול לטעון מינך זבינתה, לכן כשטוען שהייתה של אבותיו נאמן במיגו, ובדברי אביי דהוא מיגו במקום עדים, ביאר </w:t>
      </w:r>
      <w:r w:rsidRPr="00522E98">
        <w:rPr>
          <w:rStyle w:val="af9"/>
          <w:rFonts w:hint="cs"/>
          <w:rtl/>
        </w:rPr>
        <w:t>הרשב"ם</w:t>
      </w:r>
      <w:r>
        <w:rPr>
          <w:rFonts w:hint="cs"/>
          <w:rtl/>
        </w:rPr>
        <w:t xml:space="preserve"> </w:t>
      </w:r>
      <w:r w:rsidRPr="007E4E81">
        <w:rPr>
          <w:rStyle w:val="af7"/>
          <w:rFonts w:eastAsia="Guttman Hodes" w:hint="cs"/>
          <w:rtl/>
        </w:rPr>
        <w:t>(ד"ה אמר ליה)</w:t>
      </w:r>
      <w:r>
        <w:rPr>
          <w:rFonts w:hint="cs"/>
          <w:rtl/>
        </w:rPr>
        <w:t xml:space="preserve"> דאינו יכול לזכות במיגו דמה לו לשקר, כיון שיש עדים שמכחישים אותו דאומרים שהייתה של אבותיו של המערער, וא"כ אף חזקתו היא חזקה בלא טענה, דטענתו היא טענת שקר, וכתב </w:t>
      </w:r>
      <w:r w:rsidRPr="005E64DE">
        <w:rPr>
          <w:rStyle w:val="af9"/>
          <w:rFonts w:hint="cs"/>
          <w:rtl/>
        </w:rPr>
        <w:t>הרשב"ם</w:t>
      </w:r>
      <w:r>
        <w:rPr>
          <w:rFonts w:hint="cs"/>
          <w:rtl/>
        </w:rPr>
        <w:t xml:space="preserve"> דקיי"ל כאביי, דהא הודה לו רבה כדמוכח בהמשך הגמ'.</w:t>
      </w:r>
      <w:bookmarkEnd w:id="12253"/>
    </w:p>
    <w:p w:rsidR="00C34249" w:rsidRDefault="00C34249" w:rsidP="00C34249">
      <w:pPr>
        <w:pStyle w:val="1"/>
        <w:rPr>
          <w:rtl/>
        </w:rPr>
      </w:pPr>
      <w:bookmarkStart w:id="12254" w:name="_Toc61617751"/>
      <w:bookmarkStart w:id="12255" w:name="_Toc61811680"/>
      <w:bookmarkStart w:id="12256" w:name="_Toc61815339"/>
      <w:bookmarkStart w:id="12257" w:name="_Toc61861372"/>
      <w:bookmarkStart w:id="12258" w:name="_Toc61867341"/>
      <w:bookmarkStart w:id="12259" w:name="_Toc61867447"/>
      <w:bookmarkStart w:id="12260" w:name="_Toc61887812"/>
      <w:bookmarkStart w:id="12261" w:name="_Toc61542897"/>
      <w:bookmarkStart w:id="12262" w:name="_Toc61617745"/>
      <w:bookmarkStart w:id="12263" w:name="_Toc61811670"/>
      <w:r>
        <w:rPr>
          <w:rFonts w:hint="cs"/>
          <w:rtl/>
        </w:rPr>
        <w:t>דברי הרשב"ם דבגמ' לקמן</w:t>
      </w:r>
      <w:bookmarkEnd w:id="12254"/>
      <w:bookmarkEnd w:id="12255"/>
      <w:r>
        <w:rPr>
          <w:rFonts w:hint="cs"/>
          <w:rtl/>
        </w:rPr>
        <w:t xml:space="preserve"> טוען המערער דלא מכרוה אבותיו</w:t>
      </w:r>
      <w:bookmarkEnd w:id="12256"/>
      <w:bookmarkEnd w:id="12257"/>
      <w:bookmarkEnd w:id="12258"/>
      <w:bookmarkEnd w:id="12259"/>
      <w:bookmarkEnd w:id="12260"/>
    </w:p>
    <w:p w:rsidR="00C34249" w:rsidRDefault="00C34249" w:rsidP="00C34249">
      <w:pPr>
        <w:pStyle w:val="a3"/>
        <w:rPr>
          <w:rtl/>
        </w:rPr>
      </w:pPr>
      <w:bookmarkStart w:id="12264" w:name="_Toc61815340"/>
      <w:bookmarkStart w:id="12265" w:name="_Toc61861373"/>
      <w:bookmarkStart w:id="12266" w:name="_Toc61867342"/>
      <w:bookmarkStart w:id="12267" w:name="_Toc61867448"/>
      <w:bookmarkStart w:id="12268" w:name="_Toc61887813"/>
      <w:r>
        <w:rPr>
          <w:rFonts w:hint="cs"/>
          <w:rtl/>
        </w:rPr>
        <w:t>דברי הרשב"ם לקמן דבגמ' לקמן טענת המערער דלא מכרו אבותיו מעולם לאבותיו של מחזיק</w:t>
      </w:r>
      <w:bookmarkEnd w:id="12264"/>
      <w:bookmarkEnd w:id="12265"/>
      <w:bookmarkEnd w:id="12266"/>
      <w:bookmarkEnd w:id="12267"/>
      <w:bookmarkEnd w:id="12268"/>
    </w:p>
    <w:p w:rsidR="00C34249" w:rsidRDefault="00C34249" w:rsidP="007E4E81">
      <w:pPr>
        <w:pStyle w:val="a0"/>
        <w:rPr>
          <w:rtl/>
        </w:rPr>
      </w:pPr>
      <w:bookmarkStart w:id="12269" w:name="_Ref61812631"/>
      <w:r>
        <w:rPr>
          <w:rFonts w:hint="cs"/>
          <w:rtl/>
        </w:rPr>
        <w:t xml:space="preserve">בהא דאיתא בגמ' לקמן </w:t>
      </w:r>
      <w:r w:rsidRPr="004D5461">
        <w:rPr>
          <w:rStyle w:val="af7"/>
          <w:rFonts w:eastAsia="Guttman Hodes" w:hint="cs"/>
          <w:rtl/>
        </w:rPr>
        <w:t>(לג:)</w:t>
      </w:r>
      <w:r>
        <w:rPr>
          <w:rFonts w:hint="cs"/>
          <w:rtl/>
        </w:rPr>
        <w:t xml:space="preserve"> דזה אומר של אבותי, וזה אומר של אבותי, וזה הביא עדים דהיא של אבותיו, והשני הביא עדים שאכל שני חזקה, דלרב חסדא המחזיק נאמן במיגו דמינך זבינתה, ולאביי ורבא אינו נאמן דהוא מיגו במקום עדים, כתב </w:t>
      </w:r>
      <w:r w:rsidRPr="006C62CB">
        <w:rPr>
          <w:rStyle w:val="af9"/>
          <w:rFonts w:hint="cs"/>
          <w:rtl/>
        </w:rPr>
        <w:t>הרשב"ם לקמן</w:t>
      </w:r>
      <w:r>
        <w:rPr>
          <w:rFonts w:hint="cs"/>
          <w:rtl/>
        </w:rPr>
        <w:t xml:space="preserve"> </w:t>
      </w:r>
      <w:r w:rsidRPr="004D5461">
        <w:rPr>
          <w:rStyle w:val="af7"/>
          <w:rFonts w:eastAsia="Guttman Hodes" w:hint="cs"/>
          <w:rtl/>
        </w:rPr>
        <w:t>(לג:</w:t>
      </w:r>
      <w:r>
        <w:rPr>
          <w:rFonts w:hint="cs"/>
          <w:rtl/>
        </w:rPr>
        <w:t xml:space="preserve"> </w:t>
      </w:r>
      <w:r w:rsidRPr="004D5461">
        <w:rPr>
          <w:rStyle w:val="af7"/>
          <w:rFonts w:eastAsia="Guttman Hodes" w:hint="cs"/>
          <w:rtl/>
        </w:rPr>
        <w:t>ד"ה האי)</w:t>
      </w:r>
      <w:r>
        <w:rPr>
          <w:rFonts w:hint="cs"/>
          <w:rtl/>
        </w:rPr>
        <w:t xml:space="preserve"> דטענת המערער היא שהייתה של אבותיו מעולם עד יום מותם, והם לא מכרו לאבותיו של המחזיק.</w:t>
      </w:r>
      <w:bookmarkEnd w:id="12269"/>
    </w:p>
    <w:p w:rsidR="00C34249" w:rsidRPr="00035F37" w:rsidRDefault="00C34249" w:rsidP="00C34249">
      <w:pPr>
        <w:pStyle w:val="1"/>
        <w:rPr>
          <w:rtl/>
        </w:rPr>
      </w:pPr>
      <w:bookmarkStart w:id="12270" w:name="_Toc61815341"/>
      <w:bookmarkStart w:id="12271" w:name="_Toc61861374"/>
      <w:bookmarkStart w:id="12272" w:name="_Toc61867343"/>
      <w:bookmarkStart w:id="12273" w:name="_Toc61867449"/>
      <w:bookmarkStart w:id="12274" w:name="_Toc61887814"/>
      <w:r>
        <w:rPr>
          <w:rFonts w:hint="cs"/>
          <w:rtl/>
        </w:rPr>
        <w:t>דברי הרשב"ם דלרב חסדא לקמן דמיגו נאמן להכחיש עדים</w:t>
      </w:r>
      <w:bookmarkEnd w:id="12270"/>
      <w:bookmarkEnd w:id="12271"/>
      <w:bookmarkEnd w:id="12272"/>
      <w:bookmarkEnd w:id="12273"/>
      <w:bookmarkEnd w:id="12274"/>
    </w:p>
    <w:p w:rsidR="00C34249" w:rsidRDefault="00C34249" w:rsidP="00C34249">
      <w:pPr>
        <w:pStyle w:val="a3"/>
        <w:rPr>
          <w:rtl/>
        </w:rPr>
      </w:pPr>
      <w:bookmarkStart w:id="12275" w:name="_Toc61815342"/>
      <w:bookmarkStart w:id="12276" w:name="_Toc61861375"/>
      <w:bookmarkStart w:id="12277" w:name="_Toc61867344"/>
      <w:bookmarkStart w:id="12278" w:name="_Toc61867450"/>
      <w:bookmarkStart w:id="12279" w:name="_Toc61887815"/>
      <w:r>
        <w:rPr>
          <w:rFonts w:hint="cs"/>
          <w:rtl/>
        </w:rPr>
        <w:t>ביאור הרשב"ם לקמן בדעת רב חסדא דנאמן במיגו אעפ"י שהוא מכחיש את העדים</w:t>
      </w:r>
      <w:bookmarkEnd w:id="12275"/>
      <w:bookmarkEnd w:id="12276"/>
      <w:bookmarkEnd w:id="12277"/>
      <w:bookmarkEnd w:id="12278"/>
      <w:bookmarkEnd w:id="12279"/>
    </w:p>
    <w:p w:rsidR="00C34249" w:rsidRPr="008A490A" w:rsidRDefault="00C34249" w:rsidP="007E4E81">
      <w:pPr>
        <w:pStyle w:val="a0"/>
        <w:rPr>
          <w:rtl/>
        </w:rPr>
      </w:pPr>
      <w:bookmarkStart w:id="12280" w:name="_Ref61812478"/>
      <w:r>
        <w:rPr>
          <w:rFonts w:hint="cs"/>
          <w:rtl/>
        </w:rPr>
        <w:t xml:space="preserve">ובדעת רב חסדא בגמ' לקמן </w:t>
      </w:r>
      <w:r w:rsidRPr="004D5461">
        <w:rPr>
          <w:rStyle w:val="af7"/>
          <w:rFonts w:eastAsia="Guttman Hodes" w:hint="cs"/>
          <w:rtl/>
        </w:rPr>
        <w:t>(לג:)</w:t>
      </w:r>
      <w:r>
        <w:rPr>
          <w:rFonts w:hint="cs"/>
          <w:rtl/>
        </w:rPr>
        <w:t xml:space="preserve"> דנאמן במיגו, ביאר </w:t>
      </w:r>
      <w:r w:rsidRPr="00B64BA5">
        <w:rPr>
          <w:rStyle w:val="af9"/>
          <w:rFonts w:hint="cs"/>
          <w:rtl/>
        </w:rPr>
        <w:t>הרשב"ם לקמן</w:t>
      </w:r>
      <w:r>
        <w:rPr>
          <w:rFonts w:hint="cs"/>
          <w:rtl/>
        </w:rPr>
        <w:t xml:space="preserve"> </w:t>
      </w:r>
      <w:r w:rsidRPr="004D5461">
        <w:rPr>
          <w:rStyle w:val="af7"/>
          <w:rFonts w:eastAsia="Guttman Hodes" w:hint="cs"/>
          <w:rtl/>
        </w:rPr>
        <w:t>(לג: ד"ה אמר)</w:t>
      </w:r>
      <w:r>
        <w:rPr>
          <w:rFonts w:hint="cs"/>
          <w:rtl/>
        </w:rPr>
        <w:t xml:space="preserve"> דכיון שיש למחזיק חזקת ג"ש, והיה נאמן בטענת מינך זבינתה, לכן אמרינן דמיגו דהיה יכול לטעון כן ולזכות בטענה זו, ואפ"ה הוא לא חשש לטעון כן, לכן ס"ל לרב חסדא דהוא נאמן כשטוען שהייתה של אבותיו, אעפ"י שהוא מכחיש את העדים, עי' במה שביארו </w:t>
      </w:r>
      <w:r w:rsidRPr="00FE76BE">
        <w:rPr>
          <w:rStyle w:val="af9"/>
          <w:rFonts w:hint="cs"/>
          <w:rtl/>
        </w:rPr>
        <w:t>בחי' הגר"ח מטעלז</w:t>
      </w:r>
      <w:r>
        <w:rPr>
          <w:rFonts w:hint="cs"/>
          <w:rtl/>
        </w:rPr>
        <w:t xml:space="preserve"> </w:t>
      </w:r>
      <w:r>
        <w:rPr>
          <w:rStyle w:val="af7"/>
          <w:rFonts w:eastAsia="Guttman Hodes" w:hint="cs"/>
          <w:rtl/>
        </w:rPr>
        <w:t xml:space="preserve">(עי' </w:t>
      </w:r>
      <w:r w:rsidRPr="00603FC7">
        <w:rPr>
          <w:rStyle w:val="af7"/>
          <w:rFonts w:eastAsia="Guttman Hodes" w:hint="cs"/>
          <w:rtl/>
        </w:rPr>
        <w:t xml:space="preserve">אות </w:t>
      </w:r>
      <w:r w:rsidRPr="00603FC7">
        <w:rPr>
          <w:rStyle w:val="af7"/>
          <w:rFonts w:eastAsia="Guttman Hodes"/>
          <w:rtl/>
        </w:rPr>
        <w:fldChar w:fldCharType="begin"/>
      </w:r>
      <w:r w:rsidRPr="00603FC7">
        <w:rPr>
          <w:rStyle w:val="af7"/>
          <w:rFonts w:eastAsia="Guttman Hodes"/>
          <w:rtl/>
        </w:rPr>
        <w:instrText xml:space="preserve"> </w:instrText>
      </w:r>
      <w:r w:rsidRPr="00603FC7">
        <w:rPr>
          <w:rStyle w:val="af7"/>
          <w:rFonts w:eastAsia="Guttman Hodes" w:hint="cs"/>
        </w:rPr>
        <w:instrText>REF</w:instrText>
      </w:r>
      <w:r w:rsidRPr="00603FC7">
        <w:rPr>
          <w:rStyle w:val="af7"/>
          <w:rFonts w:eastAsia="Guttman Hodes" w:hint="cs"/>
          <w:rtl/>
        </w:rPr>
        <w:instrText xml:space="preserve"> _</w:instrText>
      </w:r>
      <w:r w:rsidRPr="00603FC7">
        <w:rPr>
          <w:rStyle w:val="af7"/>
          <w:rFonts w:eastAsia="Guttman Hodes" w:hint="cs"/>
        </w:rPr>
        <w:instrText>Ref61812514 \r \h</w:instrText>
      </w:r>
      <w:r w:rsidRPr="00603FC7">
        <w:rPr>
          <w:rStyle w:val="af7"/>
          <w:rFonts w:eastAsia="Guttman Hodes"/>
          <w:rtl/>
        </w:rPr>
        <w:instrText xml:space="preserve"> </w:instrText>
      </w:r>
      <w:r w:rsidRPr="00603FC7">
        <w:rPr>
          <w:rStyle w:val="af7"/>
          <w:rFonts w:eastAsia="Guttman Hodes"/>
          <w:rtl/>
        </w:rPr>
      </w:r>
      <w:r w:rsidRPr="00603FC7">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603FC7">
        <w:rPr>
          <w:rStyle w:val="af7"/>
          <w:rFonts w:eastAsia="Guttman Hodes"/>
          <w:rtl/>
        </w:rPr>
        <w:fldChar w:fldCharType="end"/>
      </w:r>
      <w:r>
        <w:rPr>
          <w:rStyle w:val="af9"/>
          <w:rFonts w:hint="cs"/>
          <w:rtl/>
        </w:rPr>
        <w:t xml:space="preserve"> ו</w:t>
      </w:r>
      <w:r w:rsidRPr="00A758BE">
        <w:rPr>
          <w:rStyle w:val="af9"/>
          <w:rFonts w:hint="cs"/>
          <w:rtl/>
        </w:rPr>
        <w:t>הגר"ח שמואלביץ</w:t>
      </w:r>
      <w:r>
        <w:rPr>
          <w:rFonts w:hint="cs"/>
          <w:rtl/>
        </w:rPr>
        <w:t xml:space="preserve"> </w:t>
      </w:r>
      <w:r w:rsidRPr="003924A8">
        <w:rPr>
          <w:rStyle w:val="af7"/>
          <w:rFonts w:eastAsia="Guttman Hodes" w:hint="cs"/>
          <w:rtl/>
        </w:rPr>
        <w:t xml:space="preserve">(עי' אות </w:t>
      </w:r>
      <w:r w:rsidRPr="003924A8">
        <w:rPr>
          <w:rStyle w:val="af7"/>
          <w:rFonts w:eastAsia="Guttman Hodes"/>
          <w:rtl/>
        </w:rPr>
        <w:fldChar w:fldCharType="begin"/>
      </w:r>
      <w:r w:rsidRPr="003924A8">
        <w:rPr>
          <w:rStyle w:val="af7"/>
          <w:rFonts w:eastAsia="Guttman Hodes"/>
          <w:rtl/>
        </w:rPr>
        <w:instrText xml:space="preserve"> </w:instrText>
      </w:r>
      <w:r w:rsidRPr="003924A8">
        <w:rPr>
          <w:rStyle w:val="af7"/>
          <w:rFonts w:eastAsia="Guttman Hodes" w:hint="cs"/>
        </w:rPr>
        <w:instrText>REF</w:instrText>
      </w:r>
      <w:r w:rsidRPr="003924A8">
        <w:rPr>
          <w:rStyle w:val="af7"/>
          <w:rFonts w:eastAsia="Guttman Hodes" w:hint="cs"/>
          <w:rtl/>
        </w:rPr>
        <w:instrText xml:space="preserve"> _</w:instrText>
      </w:r>
      <w:r w:rsidRPr="003924A8">
        <w:rPr>
          <w:rStyle w:val="af7"/>
          <w:rFonts w:eastAsia="Guttman Hodes" w:hint="cs"/>
        </w:rPr>
        <w:instrText>Ref61887570 \r \h</w:instrText>
      </w:r>
      <w:r w:rsidRPr="003924A8">
        <w:rPr>
          <w:rStyle w:val="af7"/>
          <w:rFonts w:eastAsia="Guttman Hodes"/>
          <w:rtl/>
        </w:rPr>
        <w:instrText xml:space="preserve"> </w:instrText>
      </w:r>
      <w:r w:rsidRPr="003924A8">
        <w:rPr>
          <w:rStyle w:val="af7"/>
          <w:rFonts w:eastAsia="Guttman Hodes"/>
          <w:rtl/>
        </w:rPr>
      </w:r>
      <w:r w:rsidRPr="003924A8">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3924A8">
        <w:rPr>
          <w:rStyle w:val="af7"/>
          <w:rFonts w:eastAsia="Guttman Hodes"/>
          <w:rtl/>
        </w:rPr>
        <w:fldChar w:fldCharType="end"/>
      </w:r>
      <w:r>
        <w:rPr>
          <w:rStyle w:val="af9"/>
          <w:rFonts w:hint="cs"/>
          <w:rtl/>
        </w:rPr>
        <w:t xml:space="preserve"> ו</w:t>
      </w:r>
      <w:r w:rsidRPr="00FE76BE">
        <w:rPr>
          <w:rStyle w:val="af9"/>
          <w:rFonts w:hint="cs"/>
          <w:rtl/>
        </w:rPr>
        <w:t xml:space="preserve">בחי' </w:t>
      </w:r>
      <w:r>
        <w:rPr>
          <w:rStyle w:val="af9"/>
          <w:rFonts w:hint="cs"/>
          <w:rtl/>
        </w:rPr>
        <w:t>רבי נחום</w:t>
      </w:r>
      <w:r>
        <w:rPr>
          <w:rFonts w:hint="cs"/>
          <w:rtl/>
        </w:rPr>
        <w:t xml:space="preserve"> </w:t>
      </w:r>
      <w:r>
        <w:rPr>
          <w:rStyle w:val="af7"/>
          <w:rFonts w:eastAsia="Guttman Hodes" w:hint="cs"/>
          <w:rtl/>
        </w:rPr>
        <w:t xml:space="preserve">(עי' </w:t>
      </w:r>
      <w:r w:rsidRPr="003924A8">
        <w:rPr>
          <w:rStyle w:val="af7"/>
          <w:rFonts w:eastAsia="Guttman Hodes" w:hint="cs"/>
          <w:rtl/>
        </w:rPr>
        <w:t xml:space="preserve">אות </w:t>
      </w:r>
      <w:r w:rsidRPr="003924A8">
        <w:rPr>
          <w:rStyle w:val="af7"/>
          <w:rFonts w:eastAsia="Guttman Hodes"/>
          <w:rtl/>
        </w:rPr>
        <w:fldChar w:fldCharType="begin"/>
      </w:r>
      <w:r w:rsidRPr="003924A8">
        <w:rPr>
          <w:rStyle w:val="af7"/>
          <w:rFonts w:eastAsia="Guttman Hodes"/>
          <w:rtl/>
        </w:rPr>
        <w:instrText xml:space="preserve"> </w:instrText>
      </w:r>
      <w:r w:rsidRPr="003924A8">
        <w:rPr>
          <w:rStyle w:val="af7"/>
          <w:rFonts w:eastAsia="Guttman Hodes" w:hint="cs"/>
        </w:rPr>
        <w:instrText>REF</w:instrText>
      </w:r>
      <w:r w:rsidRPr="003924A8">
        <w:rPr>
          <w:rStyle w:val="af7"/>
          <w:rFonts w:eastAsia="Guttman Hodes" w:hint="cs"/>
          <w:rtl/>
        </w:rPr>
        <w:instrText xml:space="preserve"> _</w:instrText>
      </w:r>
      <w:r w:rsidRPr="003924A8">
        <w:rPr>
          <w:rStyle w:val="af7"/>
          <w:rFonts w:eastAsia="Guttman Hodes" w:hint="cs"/>
        </w:rPr>
        <w:instrText>Ref61887579 \r \h</w:instrText>
      </w:r>
      <w:r w:rsidRPr="003924A8">
        <w:rPr>
          <w:rStyle w:val="af7"/>
          <w:rFonts w:eastAsia="Guttman Hodes"/>
          <w:rtl/>
        </w:rPr>
        <w:instrText xml:space="preserve"> </w:instrText>
      </w:r>
      <w:r w:rsidRPr="003924A8">
        <w:rPr>
          <w:rStyle w:val="af7"/>
          <w:rFonts w:eastAsia="Guttman Hodes"/>
          <w:rtl/>
        </w:rPr>
      </w:r>
      <w:r w:rsidRPr="003924A8">
        <w:rPr>
          <w:rStyle w:val="af7"/>
          <w:rFonts w:eastAsia="Guttman Hodes"/>
          <w:rtl/>
        </w:rPr>
        <w:fldChar w:fldCharType="separate"/>
      </w:r>
      <w:r w:rsidR="00265073">
        <w:rPr>
          <w:rStyle w:val="af7"/>
          <w:rFonts w:eastAsia="Guttman Hodes"/>
          <w:cs/>
        </w:rPr>
        <w:t>‎</w:t>
      </w:r>
      <w:r w:rsidR="00265073">
        <w:rPr>
          <w:rStyle w:val="af7"/>
          <w:rFonts w:eastAsia="Guttman Hodes"/>
          <w:rtl/>
        </w:rPr>
        <w:t>פה)</w:t>
      </w:r>
      <w:r w:rsidRPr="003924A8">
        <w:rPr>
          <w:rStyle w:val="af7"/>
          <w:rFonts w:eastAsia="Guttman Hodes"/>
          <w:rtl/>
        </w:rPr>
        <w:fldChar w:fldCharType="end"/>
      </w:r>
      <w:r>
        <w:rPr>
          <w:rFonts w:hint="cs"/>
          <w:rtl/>
        </w:rPr>
        <w:t xml:space="preserve"> בדברי </w:t>
      </w:r>
      <w:r w:rsidRPr="00EB0B9F">
        <w:rPr>
          <w:rStyle w:val="af9"/>
          <w:rFonts w:hint="cs"/>
          <w:rtl/>
        </w:rPr>
        <w:t>הרשב"ם</w:t>
      </w:r>
      <w:r>
        <w:rPr>
          <w:rFonts w:hint="cs"/>
          <w:rtl/>
        </w:rPr>
        <w:t>.</w:t>
      </w:r>
      <w:bookmarkEnd w:id="12280"/>
    </w:p>
    <w:p w:rsidR="00C34249" w:rsidRPr="00673291" w:rsidRDefault="00C34249" w:rsidP="00C34249">
      <w:pPr>
        <w:pStyle w:val="a3"/>
        <w:rPr>
          <w:rtl/>
        </w:rPr>
      </w:pPr>
      <w:bookmarkStart w:id="12281" w:name="_Toc61815343"/>
      <w:bookmarkStart w:id="12282" w:name="_Toc61861376"/>
      <w:bookmarkStart w:id="12283" w:name="_Toc61867345"/>
      <w:bookmarkStart w:id="12284" w:name="_Toc61867451"/>
      <w:bookmarkStart w:id="12285" w:name="_Toc61887816"/>
      <w:r>
        <w:rPr>
          <w:rFonts w:hint="cs"/>
          <w:rtl/>
        </w:rPr>
        <w:t>ביאור הרשב"ם בדעת אביי דבמיגו א"א להאמין לטענה שמוכחשת ע"י עדים דהוא ודאי משקר</w:t>
      </w:r>
      <w:bookmarkEnd w:id="12281"/>
      <w:bookmarkEnd w:id="12282"/>
      <w:bookmarkEnd w:id="12283"/>
      <w:bookmarkEnd w:id="12284"/>
      <w:bookmarkEnd w:id="12285"/>
    </w:p>
    <w:p w:rsidR="00C34249" w:rsidRDefault="00C34249" w:rsidP="007E4E81">
      <w:pPr>
        <w:pStyle w:val="a0"/>
        <w:rPr>
          <w:rtl/>
        </w:rPr>
      </w:pPr>
      <w:bookmarkStart w:id="12286" w:name="_Ref61812943"/>
      <w:r>
        <w:rPr>
          <w:rFonts w:hint="cs"/>
          <w:rtl/>
        </w:rPr>
        <w:t xml:space="preserve">ובדעת אביי ורבא דאינו נאמן במיגו במקום עדים, ביאר </w:t>
      </w:r>
      <w:r w:rsidRPr="00B64BA5">
        <w:rPr>
          <w:rStyle w:val="af9"/>
          <w:rFonts w:hint="cs"/>
          <w:rtl/>
        </w:rPr>
        <w:t>הרשב"ם לקמן</w:t>
      </w:r>
      <w:r>
        <w:rPr>
          <w:rFonts w:hint="cs"/>
          <w:rtl/>
        </w:rPr>
        <w:t xml:space="preserve"> </w:t>
      </w:r>
      <w:r w:rsidRPr="004D5461">
        <w:rPr>
          <w:rStyle w:val="af7"/>
          <w:rFonts w:eastAsia="Guttman Hodes" w:hint="cs"/>
          <w:rtl/>
        </w:rPr>
        <w:t>(לג: ד"ה מה)</w:t>
      </w:r>
      <w:r>
        <w:rPr>
          <w:rFonts w:hint="cs"/>
          <w:rtl/>
        </w:rPr>
        <w:t xml:space="preserve"> דכל טענה שאדם טוען, ורוצים להאמינו ע"י מיגו, והטענה מוכחשת ע"י העדים אינו נאמן, ולכן כשהוא טוען שהייתה של אבותיו, והעדים מעידים דטענתו היא טענת שקר, א"א לקיים את טענתו ע"י המיגו, דהא ודאי שהוא משקר, ואעפ"י שיש לו חזקה, אין חזקתו כלום, דהיא חזקה שאין עמה טענה, וכתב </w:t>
      </w:r>
      <w:r w:rsidRPr="00174BA6">
        <w:rPr>
          <w:rStyle w:val="af9"/>
          <w:rFonts w:hint="cs"/>
          <w:rtl/>
        </w:rPr>
        <w:t>הרשב"ם לקמן</w:t>
      </w:r>
      <w:r>
        <w:rPr>
          <w:rFonts w:hint="cs"/>
          <w:rtl/>
        </w:rPr>
        <w:t xml:space="preserve"> דכן קיי"ל, ועי' במ"ש </w:t>
      </w:r>
      <w:r w:rsidRPr="00201E06">
        <w:rPr>
          <w:rStyle w:val="af9"/>
          <w:rFonts w:hint="cs"/>
          <w:rtl/>
        </w:rPr>
        <w:t>בחי' רבי נחום</w:t>
      </w:r>
      <w:r>
        <w:rPr>
          <w:rFonts w:hint="cs"/>
          <w:rtl/>
        </w:rPr>
        <w:t xml:space="preserve"> </w:t>
      </w:r>
      <w:r w:rsidRPr="00AD5B55">
        <w:rPr>
          <w:rStyle w:val="af7"/>
          <w:rFonts w:eastAsia="Guttman Hodes" w:hint="cs"/>
          <w:rtl/>
        </w:rPr>
        <w:t xml:space="preserve">(עי' אות </w:t>
      </w:r>
      <w:r w:rsidRPr="00AD5B55">
        <w:rPr>
          <w:rStyle w:val="af7"/>
          <w:rFonts w:eastAsia="Guttman Hodes"/>
          <w:rtl/>
        </w:rPr>
        <w:fldChar w:fldCharType="begin"/>
      </w:r>
      <w:r w:rsidRPr="00AD5B55">
        <w:rPr>
          <w:rStyle w:val="af7"/>
          <w:rFonts w:eastAsia="Guttman Hodes"/>
          <w:rtl/>
        </w:rPr>
        <w:instrText xml:space="preserve"> </w:instrText>
      </w:r>
      <w:r w:rsidRPr="00AD5B55">
        <w:rPr>
          <w:rStyle w:val="af7"/>
          <w:rFonts w:eastAsia="Guttman Hodes" w:hint="cs"/>
        </w:rPr>
        <w:instrText>REF</w:instrText>
      </w:r>
      <w:r w:rsidRPr="00AD5B55">
        <w:rPr>
          <w:rStyle w:val="af7"/>
          <w:rFonts w:eastAsia="Guttman Hodes" w:hint="cs"/>
          <w:rtl/>
        </w:rPr>
        <w:instrText xml:space="preserve"> _</w:instrText>
      </w:r>
      <w:r w:rsidRPr="00AD5B55">
        <w:rPr>
          <w:rStyle w:val="af7"/>
          <w:rFonts w:eastAsia="Guttman Hodes" w:hint="cs"/>
        </w:rPr>
        <w:instrText>Ref61813007 \r \h</w:instrText>
      </w:r>
      <w:r w:rsidRPr="00AD5B55">
        <w:rPr>
          <w:rStyle w:val="af7"/>
          <w:rFonts w:eastAsia="Guttman Hodes"/>
          <w:rtl/>
        </w:rPr>
        <w:instrText xml:space="preserve"> </w:instrText>
      </w:r>
      <w:r w:rsidRPr="00AD5B55">
        <w:rPr>
          <w:rStyle w:val="af7"/>
          <w:rFonts w:eastAsia="Guttman Hodes"/>
          <w:rtl/>
        </w:rPr>
      </w:r>
      <w:r w:rsidRPr="00AD5B55">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AD5B55">
        <w:rPr>
          <w:rStyle w:val="af7"/>
          <w:rFonts w:eastAsia="Guttman Hodes"/>
          <w:rtl/>
        </w:rPr>
        <w:fldChar w:fldCharType="end"/>
      </w:r>
      <w:r>
        <w:rPr>
          <w:rFonts w:hint="cs"/>
          <w:rtl/>
        </w:rPr>
        <w:t>.</w:t>
      </w:r>
      <w:bookmarkEnd w:id="12286"/>
    </w:p>
    <w:p w:rsidR="00C34249" w:rsidRPr="00174BA6" w:rsidRDefault="00C34249" w:rsidP="00C34249">
      <w:pPr>
        <w:pStyle w:val="1"/>
        <w:rPr>
          <w:rtl/>
        </w:rPr>
      </w:pPr>
      <w:bookmarkStart w:id="12287" w:name="_Toc61815344"/>
      <w:bookmarkStart w:id="12288" w:name="_Toc61861377"/>
      <w:bookmarkStart w:id="12289" w:name="_Toc61867346"/>
      <w:bookmarkStart w:id="12290" w:name="_Toc61867452"/>
      <w:bookmarkStart w:id="12291" w:name="_Toc61887817"/>
      <w:r>
        <w:rPr>
          <w:rFonts w:hint="cs"/>
          <w:rtl/>
        </w:rPr>
        <w:t>בי' המהרש"א ברשב"ם דלקמן נאמן להכחיש ובסוגיין מתצרינן</w:t>
      </w:r>
      <w:bookmarkEnd w:id="12287"/>
      <w:bookmarkEnd w:id="12288"/>
      <w:bookmarkEnd w:id="12289"/>
      <w:bookmarkEnd w:id="12290"/>
      <w:bookmarkEnd w:id="12291"/>
    </w:p>
    <w:p w:rsidR="00C34249" w:rsidRPr="00795ECB" w:rsidRDefault="00C34249" w:rsidP="00C34249">
      <w:pPr>
        <w:pStyle w:val="a3"/>
        <w:rPr>
          <w:rtl/>
        </w:rPr>
      </w:pPr>
      <w:bookmarkStart w:id="12292" w:name="_Toc61815345"/>
      <w:bookmarkStart w:id="12293" w:name="_Toc61861378"/>
      <w:bookmarkStart w:id="12294" w:name="_Toc61867347"/>
      <w:bookmarkStart w:id="12295" w:name="_Toc61867453"/>
      <w:bookmarkStart w:id="12296" w:name="_Toc61887818"/>
      <w:r>
        <w:rPr>
          <w:rFonts w:hint="cs"/>
          <w:rtl/>
        </w:rPr>
        <w:t>ביאור המהרש"א ברשב"ם דהא דלאביי לא מתרצינן דבריו הוא כיון שהעידו דלא מכרוה מעולם</w:t>
      </w:r>
      <w:bookmarkEnd w:id="12292"/>
      <w:bookmarkEnd w:id="12293"/>
      <w:bookmarkEnd w:id="12294"/>
      <w:bookmarkEnd w:id="12295"/>
      <w:bookmarkEnd w:id="12296"/>
    </w:p>
    <w:p w:rsidR="00C34249" w:rsidRDefault="00C34249" w:rsidP="007E4E81">
      <w:pPr>
        <w:pStyle w:val="a0"/>
        <w:rPr>
          <w:rtl/>
        </w:rPr>
      </w:pPr>
      <w:bookmarkStart w:id="12297" w:name="_Ref61812662"/>
      <w:r>
        <w:rPr>
          <w:rFonts w:hint="cs"/>
          <w:rtl/>
        </w:rPr>
        <w:t xml:space="preserve">וביאר </w:t>
      </w:r>
      <w:r w:rsidRPr="00FE76BE">
        <w:rPr>
          <w:rStyle w:val="af9"/>
          <w:rFonts w:hint="cs"/>
          <w:rtl/>
        </w:rPr>
        <w:t>המה</w:t>
      </w:r>
      <w:r w:rsidRPr="00B64BA5">
        <w:rPr>
          <w:rStyle w:val="af9"/>
          <w:rFonts w:hint="cs"/>
          <w:rtl/>
        </w:rPr>
        <w:t xml:space="preserve">רש"א לקמן </w:t>
      </w:r>
      <w:r w:rsidRPr="004D5461">
        <w:rPr>
          <w:rStyle w:val="af7"/>
          <w:rFonts w:eastAsia="Guttman Hodes" w:hint="cs"/>
          <w:rtl/>
        </w:rPr>
        <w:t>(לג: על הרשב"ם ד"ה האי)</w:t>
      </w:r>
      <w:r>
        <w:rPr>
          <w:rFonts w:hint="cs"/>
          <w:rtl/>
        </w:rPr>
        <w:t xml:space="preserve"> דהוקשה </w:t>
      </w:r>
      <w:r w:rsidRPr="00FE76BE">
        <w:rPr>
          <w:rStyle w:val="af9"/>
          <w:rFonts w:hint="cs"/>
          <w:rtl/>
        </w:rPr>
        <w:t>לרשב"ם לקמן</w:t>
      </w:r>
      <w:r>
        <w:rPr>
          <w:rFonts w:hint="cs"/>
          <w:rtl/>
        </w:rPr>
        <w:t xml:space="preserve"> </w:t>
      </w:r>
      <w:r w:rsidRPr="00CD548D">
        <w:rPr>
          <w:rStyle w:val="af7"/>
          <w:rFonts w:eastAsia="Guttman Hodes" w:hint="cs"/>
          <w:rtl/>
        </w:rPr>
        <w:t xml:space="preserve">(עי' אות </w:t>
      </w:r>
      <w:r w:rsidRPr="00CD548D">
        <w:rPr>
          <w:rStyle w:val="af7"/>
          <w:rFonts w:eastAsia="Guttman Hodes"/>
          <w:rtl/>
        </w:rPr>
        <w:fldChar w:fldCharType="begin"/>
      </w:r>
      <w:r w:rsidRPr="00CD548D">
        <w:rPr>
          <w:rStyle w:val="af7"/>
          <w:rFonts w:eastAsia="Guttman Hodes"/>
          <w:rtl/>
        </w:rPr>
        <w:instrText xml:space="preserve"> </w:instrText>
      </w:r>
      <w:r w:rsidRPr="00CD548D">
        <w:rPr>
          <w:rStyle w:val="af7"/>
          <w:rFonts w:eastAsia="Guttman Hodes" w:hint="cs"/>
        </w:rPr>
        <w:instrText>REF</w:instrText>
      </w:r>
      <w:r w:rsidRPr="00CD548D">
        <w:rPr>
          <w:rStyle w:val="af7"/>
          <w:rFonts w:eastAsia="Guttman Hodes" w:hint="cs"/>
          <w:rtl/>
        </w:rPr>
        <w:instrText xml:space="preserve"> _</w:instrText>
      </w:r>
      <w:r w:rsidRPr="00CD548D">
        <w:rPr>
          <w:rStyle w:val="af7"/>
          <w:rFonts w:eastAsia="Guttman Hodes" w:hint="cs"/>
        </w:rPr>
        <w:instrText>Ref61812631 \r \h</w:instrText>
      </w:r>
      <w:r w:rsidRPr="00CD548D">
        <w:rPr>
          <w:rStyle w:val="af7"/>
          <w:rFonts w:eastAsia="Guttman Hodes"/>
          <w:rtl/>
        </w:rPr>
        <w:instrText xml:space="preserve"> </w:instrText>
      </w:r>
      <w:r w:rsidRPr="00CD548D">
        <w:rPr>
          <w:rStyle w:val="af7"/>
          <w:rFonts w:eastAsia="Guttman Hodes"/>
          <w:rtl/>
        </w:rPr>
      </w:r>
      <w:r w:rsidRPr="00CD548D">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CD548D">
        <w:rPr>
          <w:rStyle w:val="af7"/>
          <w:rFonts w:eastAsia="Guttman Hodes"/>
          <w:rtl/>
        </w:rPr>
        <w:fldChar w:fldCharType="end"/>
      </w:r>
      <w:r>
        <w:rPr>
          <w:rFonts w:hint="cs"/>
          <w:rtl/>
        </w:rPr>
        <w:t xml:space="preserve"> דאמאי מיגו בטענת "של אבותי", חשיב מיגו במקום עדים, הא אפשר לתרץ את דבריו דכוונתו לומר שהייתה של אבותיו יום אחד, והם לקחוה מאבותיו של המערער, כדהקשה </w:t>
      </w:r>
      <w:r w:rsidRPr="00FE76BE">
        <w:rPr>
          <w:rStyle w:val="af9"/>
          <w:rFonts w:hint="cs"/>
          <w:rtl/>
        </w:rPr>
        <w:t>הרשב"א בסוגיין</w:t>
      </w:r>
      <w:r>
        <w:rPr>
          <w:rFonts w:hint="cs"/>
          <w:rtl/>
        </w:rPr>
        <w:t xml:space="preserve"> </w:t>
      </w:r>
      <w:r w:rsidRPr="00CD548D">
        <w:rPr>
          <w:rStyle w:val="af7"/>
          <w:rFonts w:eastAsia="Guttman Hodes" w:hint="cs"/>
          <w:rtl/>
        </w:rPr>
        <w:t xml:space="preserve">(עי' אות </w:t>
      </w:r>
      <w:r w:rsidRPr="00CD548D">
        <w:rPr>
          <w:rStyle w:val="af7"/>
          <w:rFonts w:eastAsia="Guttman Hodes"/>
          <w:rtl/>
        </w:rPr>
        <w:fldChar w:fldCharType="begin"/>
      </w:r>
      <w:r w:rsidRPr="00CD548D">
        <w:rPr>
          <w:rStyle w:val="af7"/>
          <w:rFonts w:eastAsia="Guttman Hodes"/>
          <w:rtl/>
        </w:rPr>
        <w:instrText xml:space="preserve"> </w:instrText>
      </w:r>
      <w:r w:rsidRPr="00CD548D">
        <w:rPr>
          <w:rStyle w:val="af7"/>
          <w:rFonts w:eastAsia="Guttman Hodes" w:hint="cs"/>
        </w:rPr>
        <w:instrText>REF</w:instrText>
      </w:r>
      <w:r w:rsidRPr="00CD548D">
        <w:rPr>
          <w:rStyle w:val="af7"/>
          <w:rFonts w:eastAsia="Guttman Hodes" w:hint="cs"/>
          <w:rtl/>
        </w:rPr>
        <w:instrText xml:space="preserve"> _</w:instrText>
      </w:r>
      <w:r w:rsidRPr="00CD548D">
        <w:rPr>
          <w:rStyle w:val="af7"/>
          <w:rFonts w:eastAsia="Guttman Hodes" w:hint="cs"/>
        </w:rPr>
        <w:instrText>Ref61813820 \r \h</w:instrText>
      </w:r>
      <w:r w:rsidRPr="00CD548D">
        <w:rPr>
          <w:rStyle w:val="af7"/>
          <w:rFonts w:eastAsia="Guttman Hodes"/>
          <w:rtl/>
        </w:rPr>
        <w:instrText xml:space="preserve"> </w:instrText>
      </w:r>
      <w:r w:rsidRPr="00CD548D">
        <w:rPr>
          <w:rStyle w:val="af7"/>
          <w:rFonts w:eastAsia="Guttman Hodes"/>
          <w:rtl/>
        </w:rPr>
      </w:r>
      <w:r w:rsidRPr="00CD548D">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CD548D">
        <w:rPr>
          <w:rStyle w:val="af7"/>
          <w:rFonts w:eastAsia="Guttman Hodes"/>
          <w:rtl/>
        </w:rPr>
        <w:fldChar w:fldCharType="end"/>
      </w:r>
      <w:r>
        <w:rPr>
          <w:rFonts w:hint="cs"/>
          <w:rtl/>
        </w:rPr>
        <w:t xml:space="preserve">, ולכן ביאר </w:t>
      </w:r>
      <w:r w:rsidRPr="00FE76BE">
        <w:rPr>
          <w:rStyle w:val="af9"/>
          <w:rFonts w:hint="cs"/>
          <w:rtl/>
        </w:rPr>
        <w:t>הרשב"ם לקמן</w:t>
      </w:r>
      <w:r>
        <w:rPr>
          <w:rFonts w:hint="cs"/>
          <w:rtl/>
        </w:rPr>
        <w:t xml:space="preserve"> דטענת המערער היא שמעולם הייתה של אבותיו ולא מכרוה לאבותיו של המחזיק, ועל כך הביא המערער עדים שלא מכרוה אבותיו מעולם. [ועי' במה שביאר </w:t>
      </w:r>
      <w:r w:rsidRPr="00AA7176">
        <w:rPr>
          <w:rStyle w:val="af9"/>
          <w:rFonts w:hint="cs"/>
          <w:rtl/>
        </w:rPr>
        <w:t>הגרעק</w:t>
      </w:r>
      <w:r w:rsidRPr="00AA7176">
        <w:rPr>
          <w:rStyle w:val="af9"/>
          <w:rtl/>
        </w:rPr>
        <w:t>"</w:t>
      </w:r>
      <w:r w:rsidRPr="00AA7176">
        <w:rPr>
          <w:rStyle w:val="af9"/>
          <w:rFonts w:hint="cs"/>
          <w:rtl/>
        </w:rPr>
        <w:t>א</w:t>
      </w:r>
      <w:r>
        <w:rPr>
          <w:rFonts w:hint="cs"/>
          <w:rtl/>
        </w:rPr>
        <w:t xml:space="preserve"> </w:t>
      </w:r>
      <w:r w:rsidRPr="006C7181">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Ref61858859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ט)</w:t>
      </w:r>
      <w:r>
        <w:rPr>
          <w:rStyle w:val="af7"/>
          <w:rFonts w:eastAsia="Guttman Hodes"/>
          <w:rtl/>
        </w:rPr>
        <w:fldChar w:fldCharType="end"/>
      </w:r>
      <w:r>
        <w:rPr>
          <w:rStyle w:val="af7"/>
          <w:rFonts w:eastAsia="Guttman Hodes" w:hint="cs"/>
          <w:rtl/>
        </w:rPr>
        <w:t xml:space="preserve"> </w:t>
      </w:r>
      <w:r>
        <w:rPr>
          <w:rFonts w:hint="cs"/>
          <w:rtl/>
        </w:rPr>
        <w:t xml:space="preserve">בדעת </w:t>
      </w:r>
      <w:r w:rsidRPr="00AA7176">
        <w:rPr>
          <w:rStyle w:val="af9"/>
          <w:rFonts w:hint="cs"/>
          <w:rtl/>
        </w:rPr>
        <w:t>הרשב"ם לקמן</w:t>
      </w:r>
      <w:r>
        <w:rPr>
          <w:rFonts w:hint="cs"/>
          <w:rtl/>
        </w:rPr>
        <w:t>].</w:t>
      </w:r>
      <w:bookmarkEnd w:id="12297"/>
      <w:r>
        <w:rPr>
          <w:rFonts w:hint="cs"/>
          <w:rtl/>
        </w:rPr>
        <w:t xml:space="preserve"> </w:t>
      </w:r>
    </w:p>
    <w:p w:rsidR="00C34249" w:rsidRDefault="00C34249" w:rsidP="00C34249">
      <w:pPr>
        <w:pStyle w:val="a3"/>
        <w:rPr>
          <w:rtl/>
        </w:rPr>
      </w:pPr>
      <w:bookmarkStart w:id="12298" w:name="_Toc61815346"/>
      <w:bookmarkStart w:id="12299" w:name="_Toc61861379"/>
      <w:bookmarkStart w:id="12300" w:name="_Toc61867348"/>
      <w:bookmarkStart w:id="12301" w:name="_Toc61867454"/>
      <w:bookmarkStart w:id="12302" w:name="_Toc61887819"/>
      <w:r>
        <w:rPr>
          <w:rFonts w:hint="cs"/>
          <w:rtl/>
        </w:rPr>
        <w:t>דברי המהרש"א דבסוגיין מוכח דאין עדות שהייתה של המערער מעולם והרשב"ם יבאר כשא"ר</w:t>
      </w:r>
      <w:bookmarkEnd w:id="12298"/>
      <w:bookmarkEnd w:id="12299"/>
      <w:bookmarkEnd w:id="12300"/>
      <w:bookmarkEnd w:id="12301"/>
      <w:bookmarkEnd w:id="12302"/>
    </w:p>
    <w:p w:rsidR="00C34249" w:rsidRPr="00592A88" w:rsidRDefault="00C34249" w:rsidP="007E4E81">
      <w:pPr>
        <w:pStyle w:val="a0"/>
        <w:rPr>
          <w:rStyle w:val="afb"/>
          <w:rtl/>
        </w:rPr>
      </w:pPr>
      <w:bookmarkStart w:id="12303" w:name="_Ref61882294"/>
      <w:r>
        <w:rPr>
          <w:rFonts w:hint="cs"/>
          <w:rtl/>
        </w:rPr>
        <w:t xml:space="preserve">אך כתב </w:t>
      </w:r>
      <w:r w:rsidRPr="006C62CB">
        <w:rPr>
          <w:rStyle w:val="af9"/>
          <w:rFonts w:hint="cs"/>
          <w:rtl/>
        </w:rPr>
        <w:t>המהרש"א לקמן</w:t>
      </w:r>
      <w:r>
        <w:rPr>
          <w:rFonts w:hint="cs"/>
          <w:rtl/>
        </w:rPr>
        <w:t xml:space="preserve"> דאעפ"י שבגמ' לקמן אפשר לבאר כדברי </w:t>
      </w:r>
      <w:r w:rsidRPr="00FE76BE">
        <w:rPr>
          <w:rStyle w:val="af9"/>
          <w:rFonts w:hint="cs"/>
          <w:rtl/>
        </w:rPr>
        <w:t>הרשב"ם לקמן</w:t>
      </w:r>
      <w:r>
        <w:rPr>
          <w:rFonts w:hint="cs"/>
          <w:rtl/>
        </w:rPr>
        <w:t xml:space="preserve">, מ"מ בסוגיין מוכח דאין המערער טוען שהייתה של אבותיו מעולם, דהא מודו נהרדעי דאם חזר וטען דאבותי לקחוה מאבותיך הוא נאמן, ומוכח דאי"ז טענה כנגד העדים, וכתב </w:t>
      </w:r>
      <w:r w:rsidRPr="006C62CB">
        <w:rPr>
          <w:rStyle w:val="af9"/>
          <w:rFonts w:hint="cs"/>
          <w:rtl/>
        </w:rPr>
        <w:t>המהרש"א</w:t>
      </w:r>
      <w:r>
        <w:rPr>
          <w:rFonts w:hint="cs"/>
          <w:rtl/>
        </w:rPr>
        <w:t xml:space="preserve"> דלכן הא דבסוגיין חשיב כמיגו במקום עדים, אפשר לבאר רק כביאור </w:t>
      </w:r>
      <w:r w:rsidRPr="006C62CB">
        <w:rPr>
          <w:rStyle w:val="af9"/>
          <w:rFonts w:hint="cs"/>
          <w:rtl/>
        </w:rPr>
        <w:t>ר"י בתוס'</w:t>
      </w:r>
      <w:r>
        <w:rPr>
          <w:rFonts w:hint="cs"/>
          <w:rtl/>
        </w:rPr>
        <w:t xml:space="preserve"> </w:t>
      </w:r>
      <w:r w:rsidRPr="00592A88">
        <w:rPr>
          <w:rStyle w:val="af7"/>
          <w:rFonts w:eastAsia="Guttman Hodes" w:hint="cs"/>
          <w:rtl/>
        </w:rPr>
        <w:t xml:space="preserve">(עי' אות </w:t>
      </w:r>
      <w:r w:rsidRPr="00592A88">
        <w:rPr>
          <w:rStyle w:val="af7"/>
          <w:rFonts w:eastAsia="Guttman Hodes"/>
          <w:rtl/>
        </w:rPr>
        <w:fldChar w:fldCharType="begin"/>
      </w:r>
      <w:r w:rsidRPr="00592A88">
        <w:rPr>
          <w:rStyle w:val="af7"/>
          <w:rFonts w:eastAsia="Guttman Hodes"/>
          <w:rtl/>
        </w:rPr>
        <w:instrText xml:space="preserve"> </w:instrText>
      </w:r>
      <w:r w:rsidRPr="00592A88">
        <w:rPr>
          <w:rStyle w:val="af7"/>
          <w:rFonts w:eastAsia="Guttman Hodes" w:hint="cs"/>
        </w:rPr>
        <w:instrText>REF</w:instrText>
      </w:r>
      <w:r w:rsidRPr="00592A88">
        <w:rPr>
          <w:rStyle w:val="af7"/>
          <w:rFonts w:eastAsia="Guttman Hodes" w:hint="cs"/>
          <w:rtl/>
        </w:rPr>
        <w:instrText xml:space="preserve"> _</w:instrText>
      </w:r>
      <w:r w:rsidRPr="00592A88">
        <w:rPr>
          <w:rStyle w:val="af7"/>
          <w:rFonts w:eastAsia="Guttman Hodes" w:hint="cs"/>
        </w:rPr>
        <w:instrText>Ref61814015 \r \h</w:instrText>
      </w:r>
      <w:r w:rsidRPr="00592A88">
        <w:rPr>
          <w:rStyle w:val="af7"/>
          <w:rFonts w:eastAsia="Guttman Hodes"/>
          <w:rtl/>
        </w:rPr>
        <w:instrText xml:space="preserve"> </w:instrText>
      </w:r>
      <w:r w:rsidRPr="00592A88">
        <w:rPr>
          <w:rStyle w:val="af7"/>
          <w:rFonts w:eastAsia="Guttman Hodes"/>
          <w:rtl/>
        </w:rPr>
      </w:r>
      <w:r w:rsidRPr="00592A88">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592A88">
        <w:rPr>
          <w:rStyle w:val="af7"/>
          <w:rFonts w:eastAsia="Guttman Hodes"/>
          <w:rtl/>
        </w:rPr>
        <w:fldChar w:fldCharType="end"/>
      </w:r>
      <w:r w:rsidRPr="00592A88">
        <w:rPr>
          <w:rFonts w:hint="cs"/>
          <w:rtl/>
        </w:rPr>
        <w:t xml:space="preserve">, </w:t>
      </w:r>
      <w:r w:rsidRPr="00592A88">
        <w:rPr>
          <w:rStyle w:val="afb"/>
          <w:rFonts w:hint="cs"/>
          <w:rtl/>
        </w:rPr>
        <w:t>[דביאר דכשטען של אבותי, משמע דהייתה מעולם של אבותיו, ולא לקחו אותה מאחרים, אא"כ הוא פירש את דבריו],</w:t>
      </w:r>
      <w:r>
        <w:rPr>
          <w:rFonts w:hint="cs"/>
          <w:rtl/>
        </w:rPr>
        <w:t xml:space="preserve"> או כדברי</w:t>
      </w:r>
      <w:r w:rsidRPr="006C62CB">
        <w:rPr>
          <w:rStyle w:val="af9"/>
          <w:rFonts w:hint="cs"/>
          <w:rtl/>
        </w:rPr>
        <w:t xml:space="preserve"> והר"ן והנימוק"י</w:t>
      </w:r>
      <w:r>
        <w:rPr>
          <w:rFonts w:hint="cs"/>
          <w:rtl/>
        </w:rPr>
        <w:t xml:space="preserve"> </w:t>
      </w:r>
      <w:r w:rsidRPr="00592A88">
        <w:rPr>
          <w:rStyle w:val="af7"/>
          <w:rFonts w:eastAsia="Guttman Hodes" w:hint="cs"/>
          <w:rtl/>
        </w:rPr>
        <w:t xml:space="preserve">(עי' אות </w:t>
      </w:r>
      <w:r w:rsidRPr="00592A88">
        <w:rPr>
          <w:rStyle w:val="af7"/>
          <w:rFonts w:eastAsia="Guttman Hodes"/>
          <w:rtl/>
        </w:rPr>
        <w:fldChar w:fldCharType="begin"/>
      </w:r>
      <w:r w:rsidRPr="00592A88">
        <w:rPr>
          <w:rStyle w:val="af7"/>
          <w:rFonts w:eastAsia="Guttman Hodes"/>
          <w:rtl/>
        </w:rPr>
        <w:instrText xml:space="preserve"> </w:instrText>
      </w:r>
      <w:r w:rsidRPr="00592A88">
        <w:rPr>
          <w:rStyle w:val="af7"/>
          <w:rFonts w:eastAsia="Guttman Hodes" w:hint="cs"/>
        </w:rPr>
        <w:instrText>REF</w:instrText>
      </w:r>
      <w:r w:rsidRPr="00592A88">
        <w:rPr>
          <w:rStyle w:val="af7"/>
          <w:rFonts w:eastAsia="Guttman Hodes" w:hint="cs"/>
          <w:rtl/>
        </w:rPr>
        <w:instrText xml:space="preserve"> _</w:instrText>
      </w:r>
      <w:r w:rsidRPr="00592A88">
        <w:rPr>
          <w:rStyle w:val="af7"/>
          <w:rFonts w:eastAsia="Guttman Hodes" w:hint="cs"/>
        </w:rPr>
        <w:instrText>Ref61814066 \r \h</w:instrText>
      </w:r>
      <w:r w:rsidRPr="00592A88">
        <w:rPr>
          <w:rStyle w:val="af7"/>
          <w:rFonts w:eastAsia="Guttman Hodes"/>
          <w:rtl/>
        </w:rPr>
        <w:instrText xml:space="preserve"> </w:instrText>
      </w:r>
      <w:r w:rsidRPr="00592A88">
        <w:rPr>
          <w:rStyle w:val="af7"/>
          <w:rFonts w:eastAsia="Guttman Hodes"/>
          <w:rtl/>
        </w:rPr>
      </w:r>
      <w:r w:rsidRPr="00592A88">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592A88">
        <w:rPr>
          <w:rStyle w:val="af7"/>
          <w:rFonts w:eastAsia="Guttman Hodes"/>
          <w:rtl/>
        </w:rPr>
        <w:fldChar w:fldCharType="end"/>
      </w:r>
      <w:r>
        <w:rPr>
          <w:rFonts w:hint="cs"/>
          <w:rtl/>
        </w:rPr>
        <w:t>,</w:t>
      </w:r>
      <w:r w:rsidRPr="00592A88">
        <w:rPr>
          <w:rFonts w:hint="cs"/>
          <w:rtl/>
        </w:rPr>
        <w:t xml:space="preserve"> </w:t>
      </w:r>
      <w:r w:rsidRPr="00592A88">
        <w:rPr>
          <w:rStyle w:val="afb"/>
          <w:rFonts w:hint="cs"/>
          <w:rtl/>
        </w:rPr>
        <w:t>[דביארו דטענת המערער היא שהייתה של אבותי ולא של אבותיך, דהא אם אי"ז כוונתו, מה הוא מערער עליו, וכוונת המחזיק להשיב דהייתה רק של אבותי ולא של אבותיך, ובטענה זו הכחישוהו עידי המערער].</w:t>
      </w:r>
      <w:bookmarkEnd w:id="12303"/>
    </w:p>
    <w:p w:rsidR="00C34249" w:rsidRPr="00957283" w:rsidRDefault="00C34249" w:rsidP="00C34249">
      <w:pPr>
        <w:pStyle w:val="a3"/>
        <w:rPr>
          <w:rtl/>
        </w:rPr>
      </w:pPr>
      <w:bookmarkStart w:id="12304" w:name="_Toc61815347"/>
      <w:bookmarkStart w:id="12305" w:name="_Toc61861380"/>
      <w:bookmarkStart w:id="12306" w:name="_Toc61867349"/>
      <w:bookmarkStart w:id="12307" w:name="_Toc61867455"/>
      <w:bookmarkStart w:id="12308" w:name="_Toc61887820"/>
      <w:r>
        <w:rPr>
          <w:rFonts w:hint="cs"/>
          <w:rtl/>
        </w:rPr>
        <w:t>דברי המהרש"א דלרשב"ם אפשר לגרוס בסוגיין רבא דמודה דבאפשר לתרץ מהני מיגו במק"ע</w:t>
      </w:r>
      <w:bookmarkEnd w:id="12304"/>
      <w:bookmarkEnd w:id="12305"/>
      <w:bookmarkEnd w:id="12306"/>
      <w:bookmarkEnd w:id="12307"/>
      <w:bookmarkEnd w:id="12308"/>
    </w:p>
    <w:p w:rsidR="00C34249" w:rsidRPr="004764F7" w:rsidRDefault="00C34249" w:rsidP="007E4E81">
      <w:pPr>
        <w:pStyle w:val="a0"/>
        <w:rPr>
          <w:rStyle w:val="afb"/>
          <w:rtl/>
        </w:rPr>
      </w:pPr>
      <w:bookmarkStart w:id="12309" w:name="_Ref61814752"/>
      <w:bookmarkStart w:id="12310" w:name="_Ref61859208"/>
      <w:r>
        <w:rPr>
          <w:rFonts w:hint="cs"/>
          <w:rtl/>
        </w:rPr>
        <w:t xml:space="preserve">וכתב </w:t>
      </w:r>
      <w:r w:rsidRPr="006C62CB">
        <w:rPr>
          <w:rStyle w:val="af9"/>
          <w:rFonts w:hint="cs"/>
          <w:rtl/>
        </w:rPr>
        <w:t>המהרש"א לקמן</w:t>
      </w:r>
      <w:r>
        <w:rPr>
          <w:rFonts w:hint="cs"/>
          <w:rtl/>
        </w:rPr>
        <w:t xml:space="preserve"> דא"כ לדברי </w:t>
      </w:r>
      <w:r w:rsidRPr="00FE76BE">
        <w:rPr>
          <w:rStyle w:val="af9"/>
          <w:rFonts w:hint="cs"/>
          <w:rtl/>
        </w:rPr>
        <w:t>הרשב"ם לקמן</w:t>
      </w:r>
      <w:r>
        <w:rPr>
          <w:rFonts w:hint="cs"/>
          <w:rtl/>
        </w:rPr>
        <w:t xml:space="preserve"> הגמ' לקמן לא איירי באותו אופן דאיירי הגמ' בסוגיין, וא"כ אפש"ל דבסוגיין גרסינן רבא ולא רבה, </w:t>
      </w:r>
      <w:r w:rsidRPr="00035F37">
        <w:rPr>
          <w:rStyle w:val="afb"/>
          <w:rFonts w:hint="cs"/>
          <w:rtl/>
        </w:rPr>
        <w:t>[</w:t>
      </w:r>
      <w:r>
        <w:rPr>
          <w:rStyle w:val="afb"/>
          <w:rFonts w:hint="cs"/>
          <w:rtl/>
        </w:rPr>
        <w:t>וכן הגירסא</w:t>
      </w:r>
      <w:r>
        <w:rPr>
          <w:rFonts w:hint="cs"/>
          <w:rtl/>
        </w:rPr>
        <w:t xml:space="preserve"> </w:t>
      </w:r>
      <w:r>
        <w:rPr>
          <w:rStyle w:val="affa"/>
          <w:rFonts w:hint="cs"/>
          <w:rtl/>
        </w:rPr>
        <w:t>ב</w:t>
      </w:r>
      <w:r w:rsidRPr="00587D99">
        <w:rPr>
          <w:rStyle w:val="affa"/>
          <w:rFonts w:hint="cs"/>
          <w:rtl/>
        </w:rPr>
        <w:t>רשב"ם הקצר</w:t>
      </w:r>
      <w:r>
        <w:rPr>
          <w:rFonts w:hint="cs"/>
          <w:rtl/>
        </w:rPr>
        <w:t xml:space="preserve"> </w:t>
      </w:r>
      <w:r w:rsidRPr="00587D99">
        <w:rPr>
          <w:rStyle w:val="aff6"/>
          <w:rFonts w:hint="cs"/>
          <w:rtl/>
        </w:rPr>
        <w:t xml:space="preserve">(עי' אות </w:t>
      </w:r>
      <w:r w:rsidRPr="00587D99">
        <w:rPr>
          <w:rStyle w:val="aff6"/>
          <w:rtl/>
        </w:rPr>
        <w:fldChar w:fldCharType="begin"/>
      </w:r>
      <w:r w:rsidRPr="00587D99">
        <w:rPr>
          <w:rStyle w:val="aff6"/>
          <w:rtl/>
        </w:rPr>
        <w:instrText xml:space="preserve"> </w:instrText>
      </w:r>
      <w:r w:rsidRPr="00587D99">
        <w:rPr>
          <w:rStyle w:val="aff6"/>
          <w:rFonts w:hint="cs"/>
        </w:rPr>
        <w:instrText>REF</w:instrText>
      </w:r>
      <w:r w:rsidRPr="00587D99">
        <w:rPr>
          <w:rStyle w:val="aff6"/>
          <w:rFonts w:hint="cs"/>
          <w:rtl/>
        </w:rPr>
        <w:instrText xml:space="preserve"> _</w:instrText>
      </w:r>
      <w:r w:rsidRPr="00587D99">
        <w:rPr>
          <w:rStyle w:val="aff6"/>
          <w:rFonts w:hint="cs"/>
        </w:rPr>
        <w:instrText>Ref61899684 \r \h</w:instrText>
      </w:r>
      <w:r w:rsidRPr="00587D99">
        <w:rPr>
          <w:rStyle w:val="aff6"/>
          <w:rtl/>
        </w:rPr>
        <w:instrText xml:space="preserve"> </w:instrText>
      </w:r>
      <w:r w:rsidRPr="00587D99">
        <w:rPr>
          <w:rStyle w:val="aff6"/>
          <w:rtl/>
        </w:rPr>
      </w:r>
      <w:r w:rsidRPr="00587D99">
        <w:rPr>
          <w:rStyle w:val="aff6"/>
          <w:rtl/>
        </w:rPr>
        <w:fldChar w:fldCharType="separate"/>
      </w:r>
      <w:r w:rsidR="00265073">
        <w:rPr>
          <w:rStyle w:val="aff6"/>
          <w:cs/>
        </w:rPr>
        <w:t>‎</w:t>
      </w:r>
      <w:r w:rsidR="00265073">
        <w:rPr>
          <w:rStyle w:val="aff6"/>
          <w:rtl/>
        </w:rPr>
        <w:t>יג)</w:t>
      </w:r>
      <w:r w:rsidRPr="00587D99">
        <w:rPr>
          <w:rStyle w:val="aff6"/>
          <w:rtl/>
        </w:rPr>
        <w:fldChar w:fldCharType="end"/>
      </w:r>
      <w:r>
        <w:rPr>
          <w:rStyle w:val="afb"/>
          <w:rFonts w:hint="cs"/>
          <w:rtl/>
        </w:rPr>
        <w:t xml:space="preserve">, </w:t>
      </w:r>
      <w:r w:rsidRPr="00035F37">
        <w:rPr>
          <w:rStyle w:val="afb"/>
          <w:rFonts w:hint="cs"/>
          <w:rtl/>
        </w:rPr>
        <w:t xml:space="preserve">ודלא </w:t>
      </w:r>
      <w:r w:rsidRPr="00035F37">
        <w:rPr>
          <w:rStyle w:val="affa"/>
          <w:rFonts w:hint="cs"/>
          <w:rtl/>
        </w:rPr>
        <w:t xml:space="preserve">כתוס' </w:t>
      </w:r>
      <w:r w:rsidRPr="001A530D">
        <w:rPr>
          <w:rStyle w:val="aff6"/>
          <w:rFonts w:hint="cs"/>
          <w:rtl/>
        </w:rPr>
        <w:t xml:space="preserve">(עי' אות </w:t>
      </w:r>
      <w:r w:rsidRPr="001A530D">
        <w:rPr>
          <w:rStyle w:val="aff6"/>
          <w:rtl/>
        </w:rPr>
        <w:fldChar w:fldCharType="begin"/>
      </w:r>
      <w:r w:rsidRPr="001A530D">
        <w:rPr>
          <w:rStyle w:val="aff6"/>
          <w:rtl/>
        </w:rPr>
        <w:instrText xml:space="preserve"> </w:instrText>
      </w:r>
      <w:r w:rsidRPr="001A530D">
        <w:rPr>
          <w:rStyle w:val="aff6"/>
          <w:rFonts w:hint="cs"/>
        </w:rPr>
        <w:instrText>REF</w:instrText>
      </w:r>
      <w:r w:rsidRPr="001A530D">
        <w:rPr>
          <w:rStyle w:val="aff6"/>
          <w:rFonts w:hint="cs"/>
          <w:rtl/>
        </w:rPr>
        <w:instrText xml:space="preserve"> _</w:instrText>
      </w:r>
      <w:r w:rsidRPr="001A530D">
        <w:rPr>
          <w:rStyle w:val="aff6"/>
          <w:rFonts w:hint="cs"/>
        </w:rPr>
        <w:instrText>Ref61814779 \r \h</w:instrText>
      </w:r>
      <w:r w:rsidRPr="001A530D">
        <w:rPr>
          <w:rStyle w:val="aff6"/>
          <w:rtl/>
        </w:rPr>
        <w:instrText xml:space="preserve"> </w:instrText>
      </w:r>
      <w:r w:rsidRPr="001A530D">
        <w:rPr>
          <w:rStyle w:val="aff6"/>
          <w:rtl/>
        </w:rPr>
      </w:r>
      <w:r w:rsidRPr="001A530D">
        <w:rPr>
          <w:rStyle w:val="aff6"/>
          <w:rtl/>
        </w:rPr>
        <w:fldChar w:fldCharType="separate"/>
      </w:r>
      <w:r w:rsidR="00265073">
        <w:rPr>
          <w:rStyle w:val="aff6"/>
          <w:cs/>
        </w:rPr>
        <w:t>‎</w:t>
      </w:r>
      <w:r w:rsidR="00265073">
        <w:rPr>
          <w:rStyle w:val="aff6"/>
          <w:rtl/>
        </w:rPr>
        <w:t>יב)</w:t>
      </w:r>
      <w:r w:rsidRPr="001A530D">
        <w:rPr>
          <w:rStyle w:val="aff6"/>
          <w:rtl/>
        </w:rPr>
        <w:fldChar w:fldCharType="end"/>
      </w:r>
      <w:r>
        <w:rPr>
          <w:rStyle w:val="afb"/>
          <w:rFonts w:hint="cs"/>
          <w:rtl/>
        </w:rPr>
        <w:t>],</w:t>
      </w:r>
      <w:r>
        <w:rPr>
          <w:rFonts w:hint="cs"/>
          <w:rtl/>
        </w:rPr>
        <w:t xml:space="preserve"> דס"ל לרבא דבסוגיין אי"ז חשיב כמיגו במקום עדים כלל, כיון שאפשר לתרץ את דבריו, אבל בגמ' לקמן שהעידו עדים שלא מכרוה אבותיו מעולם, ס"ל לרבא דהוא מיגו במקום עדים.</w:t>
      </w:r>
      <w:bookmarkEnd w:id="12309"/>
      <w:r>
        <w:rPr>
          <w:rFonts w:hint="cs"/>
          <w:rtl/>
        </w:rPr>
        <w:t xml:space="preserve"> </w:t>
      </w:r>
      <w:r w:rsidRPr="004764F7">
        <w:rPr>
          <w:rStyle w:val="afb"/>
          <w:rFonts w:hint="cs"/>
          <w:rtl/>
        </w:rPr>
        <w:t xml:space="preserve">[ועוד כתב </w:t>
      </w:r>
      <w:r w:rsidRPr="004764F7">
        <w:rPr>
          <w:rStyle w:val="affa"/>
          <w:rFonts w:hint="cs"/>
          <w:rtl/>
        </w:rPr>
        <w:t>המהרש"א בסוגיין</w:t>
      </w:r>
      <w:r w:rsidRPr="004764F7">
        <w:rPr>
          <w:rStyle w:val="afb"/>
          <w:rFonts w:hint="cs"/>
          <w:rtl/>
        </w:rPr>
        <w:t xml:space="preserve"> </w:t>
      </w:r>
      <w:r w:rsidRPr="004764F7">
        <w:rPr>
          <w:rStyle w:val="aff6"/>
          <w:rFonts w:hint="cs"/>
          <w:rtl/>
        </w:rPr>
        <w:t>(על תוד"ה ואמר)</w:t>
      </w:r>
      <w:r w:rsidRPr="004764F7">
        <w:rPr>
          <w:rStyle w:val="afb"/>
          <w:rFonts w:hint="cs"/>
          <w:rtl/>
        </w:rPr>
        <w:t xml:space="preserve"> דכיון דביאר </w:t>
      </w:r>
      <w:r w:rsidRPr="004764F7">
        <w:rPr>
          <w:rStyle w:val="affa"/>
          <w:rFonts w:hint="cs"/>
          <w:rtl/>
        </w:rPr>
        <w:t>הרשב"ם</w:t>
      </w:r>
      <w:r w:rsidRPr="004764F7">
        <w:rPr>
          <w:rStyle w:val="afb"/>
          <w:rFonts w:hint="cs"/>
          <w:rtl/>
        </w:rPr>
        <w:t xml:space="preserve"> </w:t>
      </w:r>
      <w:r w:rsidRPr="004764F7">
        <w:rPr>
          <w:rStyle w:val="aff6"/>
          <w:rFonts w:hint="cs"/>
          <w:rtl/>
        </w:rPr>
        <w:t xml:space="preserve">(עי' אות </w:t>
      </w:r>
      <w:r w:rsidRPr="004764F7">
        <w:rPr>
          <w:rStyle w:val="aff6"/>
          <w:rtl/>
        </w:rPr>
        <w:fldChar w:fldCharType="begin"/>
      </w:r>
      <w:r w:rsidRPr="004764F7">
        <w:rPr>
          <w:rStyle w:val="aff6"/>
          <w:rtl/>
        </w:rPr>
        <w:instrText xml:space="preserve"> </w:instrText>
      </w:r>
      <w:r w:rsidRPr="004764F7">
        <w:rPr>
          <w:rStyle w:val="aff6"/>
          <w:rFonts w:hint="cs"/>
        </w:rPr>
        <w:instrText>REF</w:instrText>
      </w:r>
      <w:r w:rsidRPr="004764F7">
        <w:rPr>
          <w:rStyle w:val="aff6"/>
          <w:rFonts w:hint="cs"/>
          <w:rtl/>
        </w:rPr>
        <w:instrText xml:space="preserve"> _</w:instrText>
      </w:r>
      <w:r w:rsidRPr="004764F7">
        <w:rPr>
          <w:rStyle w:val="aff6"/>
          <w:rFonts w:hint="cs"/>
        </w:rPr>
        <w:instrText>Ref61814979 \r \h</w:instrText>
      </w:r>
      <w:r w:rsidRPr="004764F7">
        <w:rPr>
          <w:rStyle w:val="aff6"/>
          <w:rtl/>
        </w:rPr>
        <w:instrText xml:space="preserve"> </w:instrText>
      </w:r>
      <w:r w:rsidRPr="004764F7">
        <w:rPr>
          <w:rStyle w:val="aff6"/>
          <w:rtl/>
        </w:rPr>
      </w:r>
      <w:r w:rsidRPr="004764F7">
        <w:rPr>
          <w:rStyle w:val="aff6"/>
          <w:rtl/>
        </w:rPr>
        <w:fldChar w:fldCharType="separate"/>
      </w:r>
      <w:r w:rsidR="00265073">
        <w:rPr>
          <w:rStyle w:val="aff6"/>
          <w:cs/>
        </w:rPr>
        <w:t>‎</w:t>
      </w:r>
      <w:r w:rsidR="00265073">
        <w:rPr>
          <w:rStyle w:val="aff6"/>
          <w:rtl/>
        </w:rPr>
        <w:t>א)</w:t>
      </w:r>
      <w:r w:rsidRPr="004764F7">
        <w:rPr>
          <w:rStyle w:val="aff6"/>
          <w:rtl/>
        </w:rPr>
        <w:fldChar w:fldCharType="end"/>
      </w:r>
      <w:r w:rsidRPr="004764F7">
        <w:rPr>
          <w:rStyle w:val="afb"/>
          <w:rFonts w:hint="cs"/>
          <w:rtl/>
        </w:rPr>
        <w:t xml:space="preserve"> דרבה הדר ביה והודה לדברי אביי, א"כ אפשר לגרוס רבא, והא דאמר רבא לקמן דלא אמרינן מיגו במקום עדים, היינו לאחר שחזר בו].</w:t>
      </w:r>
      <w:bookmarkEnd w:id="12310"/>
    </w:p>
    <w:p w:rsidR="00C34249" w:rsidRDefault="00C34249" w:rsidP="00C34249">
      <w:pPr>
        <w:pStyle w:val="1"/>
        <w:rPr>
          <w:rtl/>
        </w:rPr>
      </w:pPr>
      <w:bookmarkStart w:id="12311" w:name="_Toc61815348"/>
      <w:bookmarkStart w:id="12312" w:name="_Toc61861381"/>
      <w:bookmarkStart w:id="12313" w:name="_Toc61867350"/>
      <w:bookmarkStart w:id="12314" w:name="_Toc61867456"/>
      <w:bookmarkStart w:id="12315" w:name="_Toc61887821"/>
      <w:r>
        <w:rPr>
          <w:rFonts w:hint="cs"/>
          <w:rtl/>
        </w:rPr>
        <w:t>דברי התורי"ד דהגמ' בסוגיין והגמ' לקמן איירי באותו אופן</w:t>
      </w:r>
      <w:bookmarkEnd w:id="12311"/>
      <w:bookmarkEnd w:id="12312"/>
      <w:bookmarkEnd w:id="12313"/>
      <w:bookmarkEnd w:id="12314"/>
      <w:bookmarkEnd w:id="12315"/>
    </w:p>
    <w:p w:rsidR="00C34249" w:rsidRPr="0099533E" w:rsidRDefault="00C34249" w:rsidP="00C34249">
      <w:pPr>
        <w:pStyle w:val="a3"/>
        <w:rPr>
          <w:rtl/>
        </w:rPr>
      </w:pPr>
      <w:bookmarkStart w:id="12316" w:name="_Toc61815349"/>
      <w:bookmarkStart w:id="12317" w:name="_Toc61861382"/>
      <w:bookmarkStart w:id="12318" w:name="_Toc61867351"/>
      <w:bookmarkStart w:id="12319" w:name="_Toc61867457"/>
      <w:bookmarkStart w:id="12320" w:name="_Toc61887822"/>
      <w:r>
        <w:rPr>
          <w:rFonts w:hint="cs"/>
          <w:rtl/>
        </w:rPr>
        <w:t>קושית התורי"ד דמה חידשה הגמ' לקמן בפלו' רב חסדא ורבא הא נח' בזה רבה ואביי בסוגיין</w:t>
      </w:r>
      <w:bookmarkEnd w:id="12316"/>
      <w:bookmarkEnd w:id="12317"/>
      <w:bookmarkEnd w:id="12318"/>
      <w:bookmarkEnd w:id="12319"/>
      <w:bookmarkEnd w:id="12320"/>
    </w:p>
    <w:p w:rsidR="00C34249" w:rsidRDefault="00C34249" w:rsidP="007E4E81">
      <w:pPr>
        <w:pStyle w:val="a0"/>
        <w:rPr>
          <w:rStyle w:val="afb"/>
          <w:rtl/>
        </w:rPr>
      </w:pPr>
      <w:bookmarkStart w:id="12321" w:name="_Ref61859255"/>
      <w:r>
        <w:rPr>
          <w:rFonts w:hint="cs"/>
          <w:rtl/>
        </w:rPr>
        <w:t xml:space="preserve">ועי' בדברי </w:t>
      </w:r>
      <w:r w:rsidRPr="006C62CB">
        <w:rPr>
          <w:rStyle w:val="af9"/>
          <w:rFonts w:hint="cs"/>
          <w:rtl/>
        </w:rPr>
        <w:t>התוס' רי"ד לקמן</w:t>
      </w:r>
      <w:r>
        <w:rPr>
          <w:rFonts w:hint="cs"/>
          <w:rtl/>
        </w:rPr>
        <w:t xml:space="preserve"> </w:t>
      </w:r>
      <w:r w:rsidRPr="00C86506">
        <w:rPr>
          <w:rStyle w:val="af7"/>
          <w:rFonts w:eastAsia="Guttman Hodes" w:hint="cs"/>
          <w:rtl/>
        </w:rPr>
        <w:t>(או' י"ג, לג: ד"ה פיסקא)</w:t>
      </w:r>
      <w:r>
        <w:rPr>
          <w:rFonts w:hint="cs"/>
          <w:rtl/>
        </w:rPr>
        <w:t xml:space="preserve"> דהקשה על פלוגתת רב חסדא ואביי ורבא בגמ' לקמן </w:t>
      </w:r>
      <w:r w:rsidRPr="00C86506">
        <w:rPr>
          <w:rStyle w:val="af7"/>
          <w:rFonts w:eastAsia="Guttman Hodes" w:hint="cs"/>
          <w:rtl/>
        </w:rPr>
        <w:t>(לג:)</w:t>
      </w:r>
      <w:r>
        <w:rPr>
          <w:rFonts w:hint="cs"/>
          <w:rtl/>
        </w:rPr>
        <w:t xml:space="preserve"> אי אמרינן מיגו במקום עדים, דהא כבר נחלקו בזה רבה ואביי בסוגיין, ומה הוסיפה בזה הגמ' לקמן, והיה לגמ' לומר דרב חסדא ס"ל כרבה, ורבא ס"ל כאביי, ועי' במה שביאר </w:t>
      </w:r>
      <w:r w:rsidRPr="006C62CB">
        <w:rPr>
          <w:rStyle w:val="af9"/>
          <w:rFonts w:hint="cs"/>
          <w:rtl/>
        </w:rPr>
        <w:t>התוס' רי"ד</w:t>
      </w:r>
      <w:r>
        <w:rPr>
          <w:rFonts w:hint="cs"/>
          <w:rtl/>
        </w:rPr>
        <w:t xml:space="preserve"> שיש חידוש דין בגמ' לקמן לענין קם דינא. </w:t>
      </w:r>
      <w:r w:rsidRPr="00C86506">
        <w:rPr>
          <w:rStyle w:val="afb"/>
          <w:rFonts w:hint="cs"/>
          <w:rtl/>
        </w:rPr>
        <w:t xml:space="preserve">[ומבואר מדברי </w:t>
      </w:r>
      <w:r w:rsidRPr="00C86506">
        <w:rPr>
          <w:rStyle w:val="affa"/>
          <w:rFonts w:hint="cs"/>
          <w:rtl/>
        </w:rPr>
        <w:t xml:space="preserve">התוס' רי"ד </w:t>
      </w:r>
      <w:r w:rsidRPr="00C86506">
        <w:rPr>
          <w:rStyle w:val="afb"/>
          <w:rFonts w:hint="cs"/>
          <w:rtl/>
        </w:rPr>
        <w:t xml:space="preserve">דהגמ' בסוגיין והגמ' לקמן איירי באותו האופן, ודלא כביאור </w:t>
      </w:r>
      <w:r w:rsidRPr="00C86506">
        <w:rPr>
          <w:rStyle w:val="affa"/>
          <w:rFonts w:hint="cs"/>
          <w:rtl/>
        </w:rPr>
        <w:t xml:space="preserve">המהרש"א </w:t>
      </w:r>
      <w:r w:rsidRPr="00174BA6">
        <w:rPr>
          <w:rStyle w:val="aff6"/>
          <w:rFonts w:hint="cs"/>
          <w:rtl/>
        </w:rPr>
        <w:t xml:space="preserve">(עי' אות </w:t>
      </w:r>
      <w:r w:rsidRPr="00174BA6">
        <w:rPr>
          <w:rStyle w:val="aff6"/>
          <w:rtl/>
        </w:rPr>
        <w:fldChar w:fldCharType="begin"/>
      </w:r>
      <w:r w:rsidRPr="00174BA6">
        <w:rPr>
          <w:rStyle w:val="aff6"/>
          <w:rtl/>
        </w:rPr>
        <w:instrText xml:space="preserve"> </w:instrText>
      </w:r>
      <w:r w:rsidRPr="00174BA6">
        <w:rPr>
          <w:rStyle w:val="aff6"/>
          <w:rFonts w:hint="cs"/>
        </w:rPr>
        <w:instrText>REF</w:instrText>
      </w:r>
      <w:r w:rsidRPr="00174BA6">
        <w:rPr>
          <w:rStyle w:val="aff6"/>
          <w:rFonts w:hint="cs"/>
          <w:rtl/>
        </w:rPr>
        <w:instrText xml:space="preserve"> _</w:instrText>
      </w:r>
      <w:r w:rsidRPr="00174BA6">
        <w:rPr>
          <w:rStyle w:val="aff6"/>
          <w:rFonts w:hint="cs"/>
        </w:rPr>
        <w:instrText>Ref61812662 \r \h</w:instrText>
      </w:r>
      <w:r w:rsidRPr="00174BA6">
        <w:rPr>
          <w:rStyle w:val="aff6"/>
          <w:rtl/>
        </w:rPr>
        <w:instrText xml:space="preserve"> </w:instrText>
      </w:r>
      <w:r w:rsidRPr="00174BA6">
        <w:rPr>
          <w:rStyle w:val="aff6"/>
          <w:rtl/>
        </w:rPr>
      </w:r>
      <w:r w:rsidRPr="00174BA6">
        <w:rPr>
          <w:rStyle w:val="aff6"/>
          <w:rtl/>
        </w:rPr>
        <w:fldChar w:fldCharType="separate"/>
      </w:r>
      <w:r w:rsidR="00265073">
        <w:rPr>
          <w:rStyle w:val="aff6"/>
          <w:cs/>
        </w:rPr>
        <w:t>‎</w:t>
      </w:r>
      <w:r w:rsidR="00265073">
        <w:rPr>
          <w:rStyle w:val="aff6"/>
          <w:rtl/>
        </w:rPr>
        <w:t>ה)</w:t>
      </w:r>
      <w:r w:rsidRPr="00174BA6">
        <w:rPr>
          <w:rStyle w:val="aff6"/>
          <w:rtl/>
        </w:rPr>
        <w:fldChar w:fldCharType="end"/>
      </w:r>
      <w:r w:rsidRPr="00C86506">
        <w:rPr>
          <w:rStyle w:val="afb"/>
          <w:rFonts w:hint="cs"/>
          <w:rtl/>
        </w:rPr>
        <w:t xml:space="preserve"> </w:t>
      </w:r>
      <w:r w:rsidRPr="00C86506">
        <w:rPr>
          <w:rStyle w:val="affa"/>
          <w:rFonts w:hint="cs"/>
          <w:rtl/>
        </w:rPr>
        <w:t xml:space="preserve">ברשב"ם לקמן </w:t>
      </w:r>
      <w:r w:rsidRPr="00174BA6">
        <w:rPr>
          <w:rStyle w:val="aff6"/>
          <w:rFonts w:hint="cs"/>
          <w:rtl/>
        </w:rPr>
        <w:t xml:space="preserve">(עי' אות </w:t>
      </w:r>
      <w:r w:rsidRPr="00174BA6">
        <w:rPr>
          <w:rStyle w:val="aff6"/>
          <w:rtl/>
        </w:rPr>
        <w:fldChar w:fldCharType="begin"/>
      </w:r>
      <w:r w:rsidRPr="00174BA6">
        <w:rPr>
          <w:rStyle w:val="aff6"/>
          <w:rtl/>
        </w:rPr>
        <w:instrText xml:space="preserve"> </w:instrText>
      </w:r>
      <w:r w:rsidRPr="00174BA6">
        <w:rPr>
          <w:rStyle w:val="aff6"/>
          <w:rFonts w:hint="cs"/>
        </w:rPr>
        <w:instrText>REF</w:instrText>
      </w:r>
      <w:r w:rsidRPr="00174BA6">
        <w:rPr>
          <w:rStyle w:val="aff6"/>
          <w:rFonts w:hint="cs"/>
          <w:rtl/>
        </w:rPr>
        <w:instrText xml:space="preserve"> _</w:instrText>
      </w:r>
      <w:r w:rsidRPr="00174BA6">
        <w:rPr>
          <w:rStyle w:val="aff6"/>
          <w:rFonts w:hint="cs"/>
        </w:rPr>
        <w:instrText>Ref61812631 \r \h</w:instrText>
      </w:r>
      <w:r w:rsidRPr="00174BA6">
        <w:rPr>
          <w:rStyle w:val="aff6"/>
          <w:rtl/>
        </w:rPr>
        <w:instrText xml:space="preserve"> </w:instrText>
      </w:r>
      <w:r w:rsidRPr="00174BA6">
        <w:rPr>
          <w:rStyle w:val="aff6"/>
          <w:rtl/>
        </w:rPr>
      </w:r>
      <w:r w:rsidRPr="00174BA6">
        <w:rPr>
          <w:rStyle w:val="aff6"/>
          <w:rtl/>
        </w:rPr>
        <w:fldChar w:fldCharType="separate"/>
      </w:r>
      <w:r w:rsidR="00265073">
        <w:rPr>
          <w:rStyle w:val="aff6"/>
          <w:cs/>
        </w:rPr>
        <w:t>‎</w:t>
      </w:r>
      <w:r w:rsidR="00265073">
        <w:rPr>
          <w:rStyle w:val="aff6"/>
          <w:rtl/>
        </w:rPr>
        <w:t>ב)</w:t>
      </w:r>
      <w:r w:rsidRPr="00174BA6">
        <w:rPr>
          <w:rStyle w:val="aff6"/>
          <w:rtl/>
        </w:rPr>
        <w:fldChar w:fldCharType="end"/>
      </w:r>
      <w:r>
        <w:rPr>
          <w:rStyle w:val="afb"/>
          <w:rFonts w:hint="cs"/>
          <w:rtl/>
        </w:rPr>
        <w:t xml:space="preserve">, וכן ביאר </w:t>
      </w:r>
      <w:r w:rsidRPr="00BC2217">
        <w:rPr>
          <w:rStyle w:val="affa"/>
          <w:rtl/>
        </w:rPr>
        <w:t>הגרעק"א</w:t>
      </w:r>
      <w:r w:rsidRPr="00BC2217">
        <w:rPr>
          <w:rStyle w:val="afb"/>
          <w:rtl/>
        </w:rPr>
        <w:t xml:space="preserve"> </w:t>
      </w:r>
      <w:r w:rsidRPr="00BC2217">
        <w:rPr>
          <w:rStyle w:val="aff6"/>
          <w:rFonts w:hint="cs"/>
          <w:rtl/>
        </w:rPr>
        <w:t xml:space="preserve">(עי' אות </w:t>
      </w:r>
      <w:r w:rsidRPr="00BC2217">
        <w:rPr>
          <w:rStyle w:val="aff6"/>
          <w:rtl/>
        </w:rPr>
        <w:fldChar w:fldCharType="begin"/>
      </w:r>
      <w:r w:rsidRPr="00BC2217">
        <w:rPr>
          <w:rStyle w:val="aff6"/>
          <w:rtl/>
        </w:rPr>
        <w:instrText xml:space="preserve"> </w:instrText>
      </w:r>
      <w:r w:rsidRPr="00BC2217">
        <w:rPr>
          <w:rStyle w:val="aff6"/>
          <w:rFonts w:hint="cs"/>
        </w:rPr>
        <w:instrText>REF</w:instrText>
      </w:r>
      <w:r w:rsidRPr="00BC2217">
        <w:rPr>
          <w:rStyle w:val="aff6"/>
          <w:rFonts w:hint="cs"/>
          <w:rtl/>
        </w:rPr>
        <w:instrText xml:space="preserve"> _</w:instrText>
      </w:r>
      <w:r w:rsidRPr="00BC2217">
        <w:rPr>
          <w:rStyle w:val="aff6"/>
          <w:rFonts w:hint="cs"/>
        </w:rPr>
        <w:instrText>Ref61859320 \r \h</w:instrText>
      </w:r>
      <w:r w:rsidRPr="00BC2217">
        <w:rPr>
          <w:rStyle w:val="aff6"/>
          <w:rtl/>
        </w:rPr>
        <w:instrText xml:space="preserve"> </w:instrText>
      </w:r>
      <w:r w:rsidRPr="00BC2217">
        <w:rPr>
          <w:rStyle w:val="aff6"/>
          <w:rtl/>
        </w:rPr>
      </w:r>
      <w:r w:rsidRPr="00BC2217">
        <w:rPr>
          <w:rStyle w:val="aff6"/>
          <w:rtl/>
        </w:rPr>
        <w:fldChar w:fldCharType="separate"/>
      </w:r>
      <w:r w:rsidR="00265073">
        <w:rPr>
          <w:rStyle w:val="aff6"/>
          <w:cs/>
        </w:rPr>
        <w:t>‎</w:t>
      </w:r>
      <w:r w:rsidR="00265073">
        <w:rPr>
          <w:rStyle w:val="aff6"/>
          <w:rtl/>
        </w:rPr>
        <w:t>כב)</w:t>
      </w:r>
      <w:r w:rsidRPr="00BC2217">
        <w:rPr>
          <w:rStyle w:val="aff6"/>
          <w:rtl/>
        </w:rPr>
        <w:fldChar w:fldCharType="end"/>
      </w:r>
      <w:r>
        <w:rPr>
          <w:rStyle w:val="afb"/>
          <w:rFonts w:hint="cs"/>
          <w:rtl/>
        </w:rPr>
        <w:t xml:space="preserve"> בדעת </w:t>
      </w:r>
      <w:r w:rsidRPr="00BC2217">
        <w:rPr>
          <w:rStyle w:val="affa"/>
          <w:rtl/>
        </w:rPr>
        <w:t>התוס'</w:t>
      </w:r>
      <w:r>
        <w:rPr>
          <w:rStyle w:val="afb"/>
          <w:rFonts w:hint="cs"/>
          <w:rtl/>
        </w:rPr>
        <w:t xml:space="preserve">, וכן מבואר בדברי </w:t>
      </w:r>
      <w:r w:rsidRPr="000B0DB7">
        <w:rPr>
          <w:rStyle w:val="affa"/>
          <w:rFonts w:hint="cs"/>
          <w:rtl/>
        </w:rPr>
        <w:t>הראב"ן</w:t>
      </w:r>
      <w:r>
        <w:rPr>
          <w:rFonts w:hint="cs"/>
          <w:rtl/>
        </w:rPr>
        <w:t xml:space="preserve"> </w:t>
      </w:r>
      <w:r w:rsidRPr="000B0DB7">
        <w:rPr>
          <w:rStyle w:val="aff6"/>
          <w:rFonts w:hint="cs"/>
          <w:rtl/>
        </w:rPr>
        <w:t xml:space="preserve">(עי' אות </w:t>
      </w:r>
      <w:r w:rsidRPr="000B0DB7">
        <w:rPr>
          <w:rStyle w:val="aff6"/>
          <w:rtl/>
        </w:rPr>
        <w:fldChar w:fldCharType="begin"/>
      </w:r>
      <w:r w:rsidRPr="000B0DB7">
        <w:rPr>
          <w:rStyle w:val="aff6"/>
          <w:rtl/>
        </w:rPr>
        <w:instrText xml:space="preserve"> </w:instrText>
      </w:r>
      <w:r w:rsidRPr="000B0DB7">
        <w:rPr>
          <w:rStyle w:val="aff6"/>
          <w:rFonts w:hint="cs"/>
        </w:rPr>
        <w:instrText>REF</w:instrText>
      </w:r>
      <w:r w:rsidRPr="000B0DB7">
        <w:rPr>
          <w:rStyle w:val="aff6"/>
          <w:rFonts w:hint="cs"/>
          <w:rtl/>
        </w:rPr>
        <w:instrText xml:space="preserve"> _</w:instrText>
      </w:r>
      <w:r w:rsidRPr="000B0DB7">
        <w:rPr>
          <w:rStyle w:val="aff6"/>
          <w:rFonts w:hint="cs"/>
        </w:rPr>
        <w:instrText>Ref61898576 \r \h</w:instrText>
      </w:r>
      <w:r w:rsidRPr="000B0DB7">
        <w:rPr>
          <w:rStyle w:val="aff6"/>
          <w:rtl/>
        </w:rPr>
        <w:instrText xml:space="preserve"> </w:instrText>
      </w:r>
      <w:r w:rsidRPr="000B0DB7">
        <w:rPr>
          <w:rStyle w:val="aff6"/>
          <w:rtl/>
        </w:rPr>
      </w:r>
      <w:r w:rsidRPr="000B0DB7">
        <w:rPr>
          <w:rStyle w:val="aff6"/>
          <w:rtl/>
        </w:rPr>
        <w:fldChar w:fldCharType="separate"/>
      </w:r>
      <w:r w:rsidR="00265073">
        <w:rPr>
          <w:rStyle w:val="aff6"/>
          <w:cs/>
        </w:rPr>
        <w:t>‎</w:t>
      </w:r>
      <w:r w:rsidR="00265073">
        <w:rPr>
          <w:rStyle w:val="aff6"/>
          <w:rtl/>
        </w:rPr>
        <w:t>כז)</w:t>
      </w:r>
      <w:r w:rsidRPr="000B0DB7">
        <w:rPr>
          <w:rStyle w:val="aff6"/>
          <w:rtl/>
        </w:rPr>
        <w:fldChar w:fldCharType="end"/>
      </w:r>
      <w:r w:rsidRPr="00BC2217">
        <w:rPr>
          <w:rStyle w:val="afb"/>
          <w:rFonts w:hint="cs"/>
          <w:rtl/>
        </w:rPr>
        <w:t>]</w:t>
      </w:r>
      <w:r w:rsidRPr="00C86506">
        <w:rPr>
          <w:rStyle w:val="afb"/>
          <w:rFonts w:hint="cs"/>
          <w:rtl/>
        </w:rPr>
        <w:t>.</w:t>
      </w:r>
      <w:bookmarkEnd w:id="12321"/>
    </w:p>
    <w:p w:rsidR="00C34249" w:rsidRPr="006620AC" w:rsidRDefault="00C34249" w:rsidP="00C34249">
      <w:pPr>
        <w:pStyle w:val="a3"/>
        <w:rPr>
          <w:rtl/>
        </w:rPr>
      </w:pPr>
    </w:p>
    <w:p w:rsidR="00C34249" w:rsidRPr="006620AC" w:rsidRDefault="00C34249" w:rsidP="00C34249">
      <w:pPr>
        <w:pStyle w:val="a3"/>
        <w:rPr>
          <w:rtl/>
        </w:rPr>
      </w:pPr>
    </w:p>
    <w:p w:rsidR="00C34249" w:rsidRPr="006620AC" w:rsidRDefault="00C34249" w:rsidP="00C34249">
      <w:pPr>
        <w:pStyle w:val="afe"/>
        <w:rPr>
          <w:rtl/>
        </w:rPr>
      </w:pPr>
      <w:bookmarkStart w:id="12322" w:name="_Toc61861383"/>
      <w:bookmarkStart w:id="12323" w:name="_Toc61867352"/>
      <w:bookmarkStart w:id="12324" w:name="_Toc61867458"/>
      <w:bookmarkStart w:id="12325" w:name="_Toc61887823"/>
      <w:r>
        <w:rPr>
          <w:rFonts w:hint="cs"/>
          <w:rtl/>
        </w:rPr>
        <w:lastRenderedPageBreak/>
        <w:t>בי' הגרעק"א ברשב"ם דמתרצינן דבריו</w:t>
      </w:r>
      <w:bookmarkEnd w:id="12322"/>
      <w:bookmarkEnd w:id="12323"/>
      <w:bookmarkEnd w:id="12324"/>
      <w:bookmarkEnd w:id="12325"/>
    </w:p>
    <w:p w:rsidR="00C34249" w:rsidRPr="00FE39A7" w:rsidRDefault="00C34249" w:rsidP="00C34249">
      <w:pPr>
        <w:pStyle w:val="1"/>
        <w:rPr>
          <w:rtl/>
        </w:rPr>
      </w:pPr>
      <w:bookmarkStart w:id="12326" w:name="_Toc61861384"/>
      <w:bookmarkStart w:id="12327" w:name="_Toc61867353"/>
      <w:bookmarkStart w:id="12328" w:name="_Toc61867459"/>
      <w:bookmarkStart w:id="12329" w:name="_Toc61887824"/>
      <w:bookmarkStart w:id="12330" w:name="_Toc61815350"/>
      <w:r>
        <w:rPr>
          <w:rFonts w:hint="cs"/>
          <w:rtl/>
        </w:rPr>
        <w:t>ביאור הגרעק"א ברשב"ם דלר"ח מהני מיגו דמתרצינן דיבוריה</w:t>
      </w:r>
      <w:bookmarkEnd w:id="12326"/>
      <w:bookmarkEnd w:id="12327"/>
      <w:bookmarkEnd w:id="12328"/>
      <w:bookmarkEnd w:id="12329"/>
    </w:p>
    <w:p w:rsidR="00C34249" w:rsidRPr="00862C5C" w:rsidRDefault="00C34249" w:rsidP="00C34249">
      <w:pPr>
        <w:pStyle w:val="a3"/>
        <w:rPr>
          <w:rtl/>
        </w:rPr>
      </w:pPr>
      <w:bookmarkStart w:id="12331" w:name="_Toc61861385"/>
      <w:bookmarkStart w:id="12332" w:name="_Toc61867354"/>
      <w:bookmarkStart w:id="12333" w:name="_Toc61867460"/>
      <w:bookmarkStart w:id="12334" w:name="_Toc61887825"/>
      <w:r>
        <w:rPr>
          <w:rFonts w:hint="cs"/>
          <w:rtl/>
        </w:rPr>
        <w:t>ביאור הגרעק"א ברשב"ם דלר"ח במיגו מתרצינן דיבוריה אף שנראה כמכחיש ואינו מכחיש ממש</w:t>
      </w:r>
      <w:bookmarkEnd w:id="12331"/>
      <w:bookmarkEnd w:id="12332"/>
      <w:bookmarkEnd w:id="12333"/>
      <w:bookmarkEnd w:id="12334"/>
    </w:p>
    <w:p w:rsidR="00C34249" w:rsidRDefault="00C34249" w:rsidP="007E4E81">
      <w:pPr>
        <w:pStyle w:val="a0"/>
        <w:rPr>
          <w:rtl/>
        </w:rPr>
      </w:pPr>
      <w:bookmarkStart w:id="12335" w:name="_Ref61858859"/>
      <w:r>
        <w:rPr>
          <w:rFonts w:hint="cs"/>
          <w:rtl/>
        </w:rPr>
        <w:t xml:space="preserve">עי' במה שביאר </w:t>
      </w:r>
      <w:r w:rsidRPr="00AA7176">
        <w:rPr>
          <w:rStyle w:val="af9"/>
          <w:rFonts w:hint="cs"/>
          <w:rtl/>
        </w:rPr>
        <w:t>הגרעק</w:t>
      </w:r>
      <w:r w:rsidRPr="00AA7176">
        <w:rPr>
          <w:rStyle w:val="af9"/>
          <w:rtl/>
        </w:rPr>
        <w:t>"</w:t>
      </w:r>
      <w:r w:rsidRPr="00AA7176">
        <w:rPr>
          <w:rStyle w:val="af9"/>
          <w:rFonts w:hint="cs"/>
          <w:rtl/>
        </w:rPr>
        <w:t>א</w:t>
      </w:r>
      <w:r>
        <w:rPr>
          <w:rFonts w:hint="cs"/>
          <w:rtl/>
        </w:rPr>
        <w:t xml:space="preserve"> </w:t>
      </w:r>
      <w:r w:rsidRPr="006C7181">
        <w:rPr>
          <w:rStyle w:val="af7"/>
          <w:rFonts w:eastAsia="Guttman Hodes" w:hint="cs"/>
          <w:rtl/>
        </w:rPr>
        <w:t xml:space="preserve">(עי' אות </w:t>
      </w:r>
      <w:r w:rsidRPr="006C7181">
        <w:rPr>
          <w:rStyle w:val="af7"/>
          <w:rFonts w:eastAsia="Guttman Hodes"/>
          <w:rtl/>
        </w:rPr>
        <w:fldChar w:fldCharType="begin"/>
      </w:r>
      <w:r w:rsidRPr="006C7181">
        <w:rPr>
          <w:rStyle w:val="af7"/>
          <w:rFonts w:eastAsia="Guttman Hodes"/>
          <w:rtl/>
        </w:rPr>
        <w:instrText xml:space="preserve"> </w:instrText>
      </w:r>
      <w:r w:rsidRPr="006C7181">
        <w:rPr>
          <w:rStyle w:val="af7"/>
          <w:rFonts w:eastAsia="Guttman Hodes" w:hint="cs"/>
        </w:rPr>
        <w:instrText>REF</w:instrText>
      </w:r>
      <w:r w:rsidRPr="006C7181">
        <w:rPr>
          <w:rStyle w:val="af7"/>
          <w:rFonts w:eastAsia="Guttman Hodes" w:hint="cs"/>
          <w:rtl/>
        </w:rPr>
        <w:instrText xml:space="preserve"> _</w:instrText>
      </w:r>
      <w:r w:rsidRPr="006C7181">
        <w:rPr>
          <w:rStyle w:val="af7"/>
          <w:rFonts w:eastAsia="Guttman Hodes" w:hint="cs"/>
        </w:rPr>
        <w:instrText>Ref61774223 \r \h</w:instrText>
      </w:r>
      <w:r w:rsidRPr="006C7181">
        <w:rPr>
          <w:rStyle w:val="af7"/>
          <w:rFonts w:eastAsia="Guttman Hodes"/>
          <w:rtl/>
        </w:rPr>
        <w:instrText xml:space="preserve"> </w:instrText>
      </w:r>
      <w:r w:rsidRPr="006C7181">
        <w:rPr>
          <w:rStyle w:val="af7"/>
          <w:rFonts w:eastAsia="Guttman Hodes"/>
          <w:rtl/>
        </w:rPr>
      </w:r>
      <w:r w:rsidRPr="006C7181">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6C7181">
        <w:rPr>
          <w:rStyle w:val="af7"/>
          <w:rFonts w:eastAsia="Guttman Hodes"/>
          <w:rtl/>
        </w:rPr>
        <w:fldChar w:fldCharType="end"/>
      </w:r>
      <w:r>
        <w:rPr>
          <w:rFonts w:hint="cs"/>
          <w:rtl/>
        </w:rPr>
        <w:t xml:space="preserve"> בדעת </w:t>
      </w:r>
      <w:r w:rsidRPr="006C7181">
        <w:rPr>
          <w:rStyle w:val="af9"/>
          <w:rFonts w:hint="cs"/>
          <w:rtl/>
        </w:rPr>
        <w:t>התוס'</w:t>
      </w:r>
      <w:r>
        <w:rPr>
          <w:rFonts w:hint="cs"/>
          <w:rtl/>
        </w:rPr>
        <w:t xml:space="preserve"> דלרב חסדא אמרינן מיגו במקום עדים, רק כשאפשר לתרץ את דבריו, וכתב </w:t>
      </w:r>
      <w:r w:rsidRPr="00AA7176">
        <w:rPr>
          <w:rStyle w:val="af9"/>
          <w:rFonts w:hint="cs"/>
          <w:rtl/>
        </w:rPr>
        <w:t>הגרעק</w:t>
      </w:r>
      <w:r w:rsidRPr="00AA7176">
        <w:rPr>
          <w:rStyle w:val="af9"/>
          <w:rtl/>
        </w:rPr>
        <w:t>"</w:t>
      </w:r>
      <w:r w:rsidRPr="00AA7176">
        <w:rPr>
          <w:rStyle w:val="af9"/>
          <w:rFonts w:hint="cs"/>
          <w:rtl/>
        </w:rPr>
        <w:t>א</w:t>
      </w:r>
      <w:r>
        <w:rPr>
          <w:rFonts w:hint="cs"/>
          <w:rtl/>
        </w:rPr>
        <w:t xml:space="preserve"> </w:t>
      </w:r>
      <w:r w:rsidRPr="00B030F7">
        <w:rPr>
          <w:rStyle w:val="af7"/>
          <w:rFonts w:eastAsia="Guttman Hodes" w:hint="cs"/>
          <w:rtl/>
        </w:rPr>
        <w:t xml:space="preserve">(לקמן לג: ד"ה </w:t>
      </w:r>
      <w:r w:rsidRPr="00652FFA">
        <w:rPr>
          <w:rStyle w:val="af7"/>
          <w:rFonts w:eastAsia="Guttman Hodes" w:hint="cs"/>
          <w:rtl/>
        </w:rPr>
        <w:t>ונ"ל</w:t>
      </w:r>
      <w:r w:rsidRPr="00B030F7">
        <w:rPr>
          <w:rStyle w:val="af7"/>
          <w:rFonts w:eastAsia="Guttman Hodes" w:hint="cs"/>
          <w:rtl/>
        </w:rPr>
        <w:t xml:space="preserve">, גרעק"א השלם [כחול] בסוגיין ד"ה </w:t>
      </w:r>
      <w:r w:rsidRPr="00652FFA">
        <w:rPr>
          <w:rStyle w:val="af7"/>
          <w:rFonts w:eastAsia="Guttman Hodes" w:hint="cs"/>
          <w:rtl/>
        </w:rPr>
        <w:t>ונ"ל</w:t>
      </w:r>
      <w:r w:rsidRPr="00B030F7">
        <w:rPr>
          <w:rStyle w:val="af7"/>
          <w:rFonts w:eastAsia="Guttman Hodes" w:hint="cs"/>
          <w:rtl/>
        </w:rPr>
        <w:t xml:space="preserve">, </w:t>
      </w:r>
      <w:r>
        <w:rPr>
          <w:rStyle w:val="af7"/>
          <w:rFonts w:eastAsia="Guttman Hodes" w:hint="cs"/>
          <w:rtl/>
        </w:rPr>
        <w:t>שו</w:t>
      </w:r>
      <w:r>
        <w:rPr>
          <w:rStyle w:val="af7"/>
          <w:rFonts w:eastAsia="Guttman Hodes"/>
          <w:rtl/>
        </w:rPr>
        <w:t>"</w:t>
      </w:r>
      <w:r>
        <w:rPr>
          <w:rStyle w:val="af7"/>
          <w:rFonts w:eastAsia="Guttman Hodes" w:hint="cs"/>
          <w:rtl/>
        </w:rPr>
        <w:t>ת ח</w:t>
      </w:r>
      <w:r>
        <w:rPr>
          <w:rStyle w:val="af7"/>
          <w:rFonts w:eastAsia="Guttman Hodes"/>
          <w:rtl/>
        </w:rPr>
        <w:t>"</w:t>
      </w:r>
      <w:r>
        <w:rPr>
          <w:rStyle w:val="af7"/>
          <w:rFonts w:eastAsia="Guttman Hodes" w:hint="cs"/>
          <w:rtl/>
        </w:rPr>
        <w:t>ב [מהדו</w:t>
      </w:r>
      <w:r>
        <w:rPr>
          <w:rStyle w:val="af7"/>
          <w:rFonts w:eastAsia="Guttman Hodes"/>
          <w:rtl/>
        </w:rPr>
        <w:t>"</w:t>
      </w:r>
      <w:r>
        <w:rPr>
          <w:rStyle w:val="af7"/>
          <w:rFonts w:eastAsia="Guttman Hodes" w:hint="cs"/>
          <w:rtl/>
        </w:rPr>
        <w:t xml:space="preserve">ת] </w:t>
      </w:r>
      <w:r w:rsidRPr="00B030F7">
        <w:rPr>
          <w:rStyle w:val="af7"/>
          <w:rFonts w:eastAsia="Guttman Hodes" w:hint="cs"/>
          <w:rtl/>
        </w:rPr>
        <w:t>סי' ק"ל)</w:t>
      </w:r>
      <w:r>
        <w:rPr>
          <w:rFonts w:hint="cs"/>
          <w:rtl/>
        </w:rPr>
        <w:t xml:space="preserve"> דאף בדעת </w:t>
      </w:r>
      <w:r w:rsidRPr="00AA7176">
        <w:rPr>
          <w:rStyle w:val="af9"/>
          <w:rFonts w:hint="cs"/>
          <w:rtl/>
        </w:rPr>
        <w:t>הרשב"ם</w:t>
      </w:r>
      <w:r>
        <w:rPr>
          <w:rFonts w:hint="cs"/>
          <w:rtl/>
        </w:rPr>
        <w:t xml:space="preserve"> אפשר לבאר כן, והא דכתב </w:t>
      </w:r>
      <w:r w:rsidRPr="00AA7176">
        <w:rPr>
          <w:rStyle w:val="af9"/>
          <w:rFonts w:hint="cs"/>
          <w:rtl/>
        </w:rPr>
        <w:t>הרשב"ם לקמן</w:t>
      </w:r>
      <w:r>
        <w:rPr>
          <w:rFonts w:hint="cs"/>
          <w:rtl/>
        </w:rPr>
        <w:t xml:space="preserve"> </w:t>
      </w:r>
      <w:r w:rsidRPr="005C0E31">
        <w:rPr>
          <w:rStyle w:val="af7"/>
          <w:rFonts w:eastAsia="Guttman Rashi" w:hint="cs"/>
          <w:rtl/>
        </w:rPr>
        <w:t xml:space="preserve">(עי' אות </w:t>
      </w:r>
      <w:r w:rsidRPr="005C0E31">
        <w:rPr>
          <w:rStyle w:val="af7"/>
          <w:rFonts w:eastAsia="Guttman Rashi"/>
          <w:rtl/>
        </w:rPr>
        <w:fldChar w:fldCharType="begin"/>
      </w:r>
      <w:r w:rsidRPr="005C0E31">
        <w:rPr>
          <w:rStyle w:val="af7"/>
          <w:rFonts w:eastAsia="Guttman Rashi"/>
          <w:rtl/>
        </w:rPr>
        <w:instrText xml:space="preserve"> </w:instrText>
      </w:r>
      <w:r w:rsidRPr="005C0E31">
        <w:rPr>
          <w:rStyle w:val="af7"/>
          <w:rFonts w:eastAsia="Guttman Rashi" w:hint="cs"/>
        </w:rPr>
        <w:instrText>REF</w:instrText>
      </w:r>
      <w:r w:rsidRPr="005C0E31">
        <w:rPr>
          <w:rStyle w:val="af7"/>
          <w:rFonts w:eastAsia="Guttman Rashi" w:hint="cs"/>
          <w:rtl/>
        </w:rPr>
        <w:instrText xml:space="preserve"> _</w:instrText>
      </w:r>
      <w:r w:rsidRPr="005C0E31">
        <w:rPr>
          <w:rStyle w:val="af7"/>
          <w:rFonts w:eastAsia="Guttman Rashi" w:hint="cs"/>
        </w:rPr>
        <w:instrText>Ref61812631 \r \h</w:instrText>
      </w:r>
      <w:r w:rsidRPr="005C0E31">
        <w:rPr>
          <w:rStyle w:val="af7"/>
          <w:rFonts w:eastAsia="Guttman Rashi"/>
          <w:rtl/>
        </w:rPr>
        <w:instrText xml:space="preserve"> </w:instrText>
      </w:r>
      <w:r w:rsidRPr="005C0E31">
        <w:rPr>
          <w:rStyle w:val="af7"/>
          <w:rFonts w:eastAsia="Guttman Rashi"/>
          <w:rtl/>
        </w:rPr>
      </w:r>
      <w:r w:rsidRPr="005C0E31">
        <w:rPr>
          <w:rStyle w:val="af7"/>
          <w:rFonts w:eastAsia="Guttman Rashi"/>
          <w:rtl/>
        </w:rPr>
        <w:fldChar w:fldCharType="separate"/>
      </w:r>
      <w:r w:rsidR="00265073">
        <w:rPr>
          <w:rStyle w:val="af7"/>
          <w:rFonts w:eastAsia="Guttman Rashi"/>
          <w:cs/>
        </w:rPr>
        <w:t>‎</w:t>
      </w:r>
      <w:r w:rsidR="00265073">
        <w:rPr>
          <w:rStyle w:val="af7"/>
          <w:rFonts w:eastAsia="Guttman Rashi"/>
          <w:rtl/>
        </w:rPr>
        <w:t>ב)</w:t>
      </w:r>
      <w:r w:rsidRPr="005C0E31">
        <w:rPr>
          <w:rStyle w:val="af7"/>
          <w:rFonts w:eastAsia="Guttman Rashi"/>
          <w:rtl/>
        </w:rPr>
        <w:fldChar w:fldCharType="end"/>
      </w:r>
      <w:r>
        <w:rPr>
          <w:rFonts w:hint="cs"/>
          <w:rtl/>
        </w:rPr>
        <w:t xml:space="preserve"> דס"ל לרב חסדא דהוא נאמן אעפ"י שהוא מכחיש את העדים צ"ל דכוונתו שהוא נראה כמכחיש את העדים, אך אינו מכחישם ממש, ובכה"ג ס"ל לרב חסדא דמתרצינן את דבריו,</w:t>
      </w:r>
      <w:r w:rsidRPr="00EF4A21">
        <w:rPr>
          <w:rFonts w:hint="cs"/>
          <w:rtl/>
        </w:rPr>
        <w:t xml:space="preserve"> </w:t>
      </w:r>
      <w:r w:rsidRPr="005C2011">
        <w:rPr>
          <w:rStyle w:val="afb"/>
          <w:rFonts w:hint="cs"/>
          <w:rtl/>
        </w:rPr>
        <w:t xml:space="preserve">[וכ"כ </w:t>
      </w:r>
      <w:r w:rsidRPr="005C2011">
        <w:rPr>
          <w:rStyle w:val="affa"/>
          <w:rFonts w:hint="cs"/>
          <w:rtl/>
        </w:rPr>
        <w:t xml:space="preserve">הפני שלמה לקמן </w:t>
      </w:r>
      <w:r w:rsidRPr="005C2011">
        <w:rPr>
          <w:rStyle w:val="aff6"/>
          <w:rFonts w:hint="cs"/>
          <w:rtl/>
        </w:rPr>
        <w:t>(לג: על הרשב"ם ד"ה האי)</w:t>
      </w:r>
      <w:r w:rsidRPr="005C2011">
        <w:rPr>
          <w:rStyle w:val="afb"/>
          <w:rFonts w:hint="cs"/>
          <w:rtl/>
        </w:rPr>
        <w:t xml:space="preserve">], </w:t>
      </w:r>
      <w:r>
        <w:rPr>
          <w:rFonts w:hint="cs"/>
          <w:rtl/>
        </w:rPr>
        <w:t xml:space="preserve">ודלא כדביאר </w:t>
      </w:r>
      <w:r w:rsidRPr="00AA7176">
        <w:rPr>
          <w:rStyle w:val="af9"/>
          <w:rFonts w:hint="cs"/>
          <w:rtl/>
        </w:rPr>
        <w:t>המהרש"א</w:t>
      </w:r>
      <w:r>
        <w:rPr>
          <w:rFonts w:hint="cs"/>
          <w:rtl/>
        </w:rPr>
        <w:t xml:space="preserve"> </w:t>
      </w:r>
      <w:r w:rsidRPr="005C0E31">
        <w:rPr>
          <w:rStyle w:val="af7"/>
          <w:rFonts w:eastAsia="Guttman Rashi" w:hint="cs"/>
          <w:rtl/>
        </w:rPr>
        <w:t xml:space="preserve">(עי' אות </w:t>
      </w:r>
      <w:r w:rsidRPr="005C0E31">
        <w:rPr>
          <w:rStyle w:val="af7"/>
          <w:rFonts w:eastAsia="Guttman Rashi"/>
          <w:rtl/>
        </w:rPr>
        <w:fldChar w:fldCharType="begin"/>
      </w:r>
      <w:r w:rsidRPr="005C0E31">
        <w:rPr>
          <w:rStyle w:val="af7"/>
          <w:rFonts w:eastAsia="Guttman Rashi"/>
          <w:rtl/>
        </w:rPr>
        <w:instrText xml:space="preserve"> </w:instrText>
      </w:r>
      <w:r w:rsidRPr="005C0E31">
        <w:rPr>
          <w:rStyle w:val="af7"/>
          <w:rFonts w:eastAsia="Guttman Rashi" w:hint="cs"/>
        </w:rPr>
        <w:instrText>REF</w:instrText>
      </w:r>
      <w:r w:rsidRPr="005C0E31">
        <w:rPr>
          <w:rStyle w:val="af7"/>
          <w:rFonts w:eastAsia="Guttman Rashi" w:hint="cs"/>
          <w:rtl/>
        </w:rPr>
        <w:instrText xml:space="preserve"> _</w:instrText>
      </w:r>
      <w:r w:rsidRPr="005C0E31">
        <w:rPr>
          <w:rStyle w:val="af7"/>
          <w:rFonts w:eastAsia="Guttman Rashi" w:hint="cs"/>
        </w:rPr>
        <w:instrText>Ref61812662 \r \h</w:instrText>
      </w:r>
      <w:r w:rsidRPr="005C0E31">
        <w:rPr>
          <w:rStyle w:val="af7"/>
          <w:rFonts w:eastAsia="Guttman Rashi"/>
          <w:rtl/>
        </w:rPr>
        <w:instrText xml:space="preserve"> </w:instrText>
      </w:r>
      <w:r w:rsidRPr="005C0E31">
        <w:rPr>
          <w:rStyle w:val="af7"/>
          <w:rFonts w:eastAsia="Guttman Rashi"/>
          <w:rtl/>
        </w:rPr>
      </w:r>
      <w:r w:rsidRPr="005C0E31">
        <w:rPr>
          <w:rStyle w:val="af7"/>
          <w:rFonts w:eastAsia="Guttman Rashi"/>
          <w:rtl/>
        </w:rPr>
        <w:fldChar w:fldCharType="separate"/>
      </w:r>
      <w:r w:rsidR="00265073">
        <w:rPr>
          <w:rStyle w:val="af7"/>
          <w:rFonts w:eastAsia="Guttman Rashi"/>
          <w:cs/>
        </w:rPr>
        <w:t>‎</w:t>
      </w:r>
      <w:r w:rsidR="00265073">
        <w:rPr>
          <w:rStyle w:val="af7"/>
          <w:rFonts w:eastAsia="Guttman Rashi"/>
          <w:rtl/>
        </w:rPr>
        <w:t>ה)</w:t>
      </w:r>
      <w:r w:rsidRPr="005C0E31">
        <w:rPr>
          <w:rStyle w:val="af7"/>
          <w:rFonts w:eastAsia="Guttman Rashi"/>
          <w:rtl/>
        </w:rPr>
        <w:fldChar w:fldCharType="end"/>
      </w:r>
      <w:r w:rsidRPr="005C0E31">
        <w:rPr>
          <w:rStyle w:val="af7"/>
          <w:rFonts w:eastAsia="Guttman Hodes" w:hint="cs"/>
          <w:rtl/>
        </w:rPr>
        <w:t xml:space="preserve"> </w:t>
      </w:r>
      <w:r w:rsidRPr="00AA7176">
        <w:rPr>
          <w:rStyle w:val="af9"/>
          <w:rFonts w:hint="cs"/>
          <w:rtl/>
        </w:rPr>
        <w:t>ברשב"ם</w:t>
      </w:r>
      <w:r>
        <w:rPr>
          <w:rStyle w:val="af9"/>
          <w:rFonts w:hint="cs"/>
          <w:rtl/>
        </w:rPr>
        <w:t xml:space="preserve"> </w:t>
      </w:r>
      <w:r w:rsidRPr="00AA7176">
        <w:rPr>
          <w:rStyle w:val="af9"/>
          <w:rFonts w:hint="cs"/>
          <w:rtl/>
        </w:rPr>
        <w:t>לקמן</w:t>
      </w:r>
      <w:r>
        <w:rPr>
          <w:rFonts w:hint="cs"/>
          <w:rtl/>
        </w:rPr>
        <w:t xml:space="preserve"> </w:t>
      </w:r>
      <w:r w:rsidRPr="005C0E31">
        <w:rPr>
          <w:rStyle w:val="af7"/>
          <w:rFonts w:eastAsia="Guttman Rashi" w:hint="cs"/>
          <w:rtl/>
        </w:rPr>
        <w:t xml:space="preserve">(עי' אות </w:t>
      </w:r>
      <w:r w:rsidRPr="005C0E31">
        <w:rPr>
          <w:rStyle w:val="af7"/>
          <w:rFonts w:eastAsia="Guttman Rashi"/>
          <w:rtl/>
        </w:rPr>
        <w:fldChar w:fldCharType="begin"/>
      </w:r>
      <w:r w:rsidRPr="005C0E31">
        <w:rPr>
          <w:rStyle w:val="af7"/>
          <w:rFonts w:eastAsia="Guttman Rashi"/>
          <w:rtl/>
        </w:rPr>
        <w:instrText xml:space="preserve"> </w:instrText>
      </w:r>
      <w:r w:rsidRPr="005C0E31">
        <w:rPr>
          <w:rStyle w:val="af7"/>
          <w:rFonts w:eastAsia="Guttman Rashi" w:hint="cs"/>
        </w:rPr>
        <w:instrText>REF</w:instrText>
      </w:r>
      <w:r w:rsidRPr="005C0E31">
        <w:rPr>
          <w:rStyle w:val="af7"/>
          <w:rFonts w:eastAsia="Guttman Rashi" w:hint="cs"/>
          <w:rtl/>
        </w:rPr>
        <w:instrText xml:space="preserve"> _</w:instrText>
      </w:r>
      <w:r w:rsidRPr="005C0E31">
        <w:rPr>
          <w:rStyle w:val="af7"/>
          <w:rFonts w:eastAsia="Guttman Rashi" w:hint="cs"/>
        </w:rPr>
        <w:instrText>Ref61812631 \r \h</w:instrText>
      </w:r>
      <w:r w:rsidRPr="005C0E31">
        <w:rPr>
          <w:rStyle w:val="af7"/>
          <w:rFonts w:eastAsia="Guttman Rashi"/>
          <w:rtl/>
        </w:rPr>
        <w:instrText xml:space="preserve"> </w:instrText>
      </w:r>
      <w:r w:rsidRPr="005C0E31">
        <w:rPr>
          <w:rStyle w:val="af7"/>
          <w:rFonts w:eastAsia="Guttman Rashi"/>
          <w:rtl/>
        </w:rPr>
      </w:r>
      <w:r w:rsidRPr="005C0E31">
        <w:rPr>
          <w:rStyle w:val="af7"/>
          <w:rFonts w:eastAsia="Guttman Rashi"/>
          <w:rtl/>
        </w:rPr>
        <w:fldChar w:fldCharType="separate"/>
      </w:r>
      <w:r w:rsidR="00265073">
        <w:rPr>
          <w:rStyle w:val="af7"/>
          <w:rFonts w:eastAsia="Guttman Rashi"/>
          <w:cs/>
        </w:rPr>
        <w:t>‎</w:t>
      </w:r>
      <w:r w:rsidR="00265073">
        <w:rPr>
          <w:rStyle w:val="af7"/>
          <w:rFonts w:eastAsia="Guttman Rashi"/>
          <w:rtl/>
        </w:rPr>
        <w:t>ב)</w:t>
      </w:r>
      <w:r w:rsidRPr="005C0E31">
        <w:rPr>
          <w:rStyle w:val="af7"/>
          <w:rFonts w:eastAsia="Guttman Rashi"/>
          <w:rtl/>
        </w:rPr>
        <w:fldChar w:fldCharType="end"/>
      </w:r>
      <w:r>
        <w:rPr>
          <w:rFonts w:hint="cs"/>
          <w:rtl/>
        </w:rPr>
        <w:t xml:space="preserve"> דלרב חסדא מהני המיגו להכחיש את העדים לגמרי.</w:t>
      </w:r>
      <w:bookmarkEnd w:id="12335"/>
    </w:p>
    <w:p w:rsidR="00C34249" w:rsidRDefault="00C34249" w:rsidP="00C34249">
      <w:pPr>
        <w:pStyle w:val="a3"/>
        <w:rPr>
          <w:rtl/>
        </w:rPr>
      </w:pPr>
      <w:bookmarkStart w:id="12336" w:name="_Toc61861386"/>
      <w:bookmarkStart w:id="12337" w:name="_Toc61867355"/>
      <w:bookmarkStart w:id="12338" w:name="_Toc61867461"/>
      <w:bookmarkStart w:id="12339" w:name="_Toc61887826"/>
      <w:r>
        <w:rPr>
          <w:rFonts w:hint="cs"/>
          <w:rtl/>
        </w:rPr>
        <w:t>דברי הגרעק"א דמשמע ברשב"ם דמודה ר"ח דל"מ מיגו במק"ע אך אפשר לדחות דאי"ז כוונתו</w:t>
      </w:r>
      <w:bookmarkEnd w:id="12336"/>
      <w:bookmarkEnd w:id="12337"/>
      <w:bookmarkEnd w:id="12338"/>
      <w:bookmarkEnd w:id="12339"/>
    </w:p>
    <w:p w:rsidR="00C34249" w:rsidRDefault="00C34249" w:rsidP="007E4E81">
      <w:pPr>
        <w:pStyle w:val="a0"/>
        <w:rPr>
          <w:rtl/>
        </w:rPr>
      </w:pPr>
      <w:bookmarkStart w:id="12340" w:name="_Ref61858297"/>
      <w:r>
        <w:rPr>
          <w:rFonts w:hint="cs"/>
          <w:rtl/>
        </w:rPr>
        <w:t xml:space="preserve">וכתב </w:t>
      </w:r>
      <w:r w:rsidRPr="004777E9">
        <w:rPr>
          <w:rStyle w:val="af9"/>
          <w:rFonts w:hint="cs"/>
          <w:rtl/>
        </w:rPr>
        <w:t>הגרעק"א</w:t>
      </w:r>
      <w:r>
        <w:rPr>
          <w:rFonts w:hint="cs"/>
          <w:rtl/>
        </w:rPr>
        <w:t xml:space="preserve"> דכן מוכח מדברי </w:t>
      </w:r>
      <w:r w:rsidRPr="004777E9">
        <w:rPr>
          <w:rStyle w:val="af9"/>
          <w:rFonts w:hint="cs"/>
          <w:rtl/>
        </w:rPr>
        <w:t>הרשב"ם לקמן</w:t>
      </w:r>
      <w:r>
        <w:rPr>
          <w:rFonts w:hint="cs"/>
          <w:rtl/>
        </w:rPr>
        <w:t xml:space="preserve"> </w:t>
      </w:r>
      <w:r w:rsidRPr="00652FFA">
        <w:rPr>
          <w:rStyle w:val="af7"/>
          <w:rFonts w:eastAsia="Guttman Hodes" w:hint="cs"/>
          <w:rtl/>
        </w:rPr>
        <w:t xml:space="preserve">(ע. ד"ה ולטעמיך) </w:t>
      </w:r>
      <w:r>
        <w:rPr>
          <w:rFonts w:hint="cs"/>
          <w:rtl/>
        </w:rPr>
        <w:t xml:space="preserve">דכתב בדעת רב חסדא דס"ל דבפקדון בשטר נאמן בטענת החזרתי במיגו דנאנסו, דלא חשיב מיגו במקום עדים, ומבואר מדברי </w:t>
      </w:r>
      <w:r w:rsidRPr="004777E9">
        <w:rPr>
          <w:rStyle w:val="af9"/>
          <w:rFonts w:hint="cs"/>
          <w:rtl/>
        </w:rPr>
        <w:t>הרשב"ם</w:t>
      </w:r>
      <w:r>
        <w:rPr>
          <w:rFonts w:hint="cs"/>
          <w:rtl/>
        </w:rPr>
        <w:t xml:space="preserve"> דאף רב חסדא מודה דלא אמרינן מיגו במקום עדים, אך דחה </w:t>
      </w:r>
      <w:r w:rsidRPr="004777E9">
        <w:rPr>
          <w:rStyle w:val="af9"/>
          <w:rFonts w:hint="cs"/>
          <w:rtl/>
        </w:rPr>
        <w:t>הגרעק"א</w:t>
      </w:r>
      <w:r>
        <w:rPr>
          <w:rFonts w:hint="cs"/>
          <w:rtl/>
        </w:rPr>
        <w:t xml:space="preserve"> דאפש"ל דכוונת</w:t>
      </w:r>
      <w:r w:rsidRPr="004777E9">
        <w:rPr>
          <w:rStyle w:val="af9"/>
          <w:rFonts w:hint="cs"/>
          <w:rtl/>
        </w:rPr>
        <w:t xml:space="preserve"> הרשב"ם</w:t>
      </w:r>
      <w:r>
        <w:rPr>
          <w:rFonts w:hint="cs"/>
          <w:rtl/>
        </w:rPr>
        <w:t xml:space="preserve"> לבאר לדידן דקיי"ל דנאמן בהחזרתי במיגו דנאנסו, ולדידן קיי"ל דלא אמרינן מיגו במקום עדים, אבל לרב חסדא גופיה, אפש"ל דאף אי חשיב מיגו במקום עדים היה נאמן, ועי' במה שביאר </w:t>
      </w:r>
      <w:r w:rsidRPr="00C115ED">
        <w:rPr>
          <w:rStyle w:val="af9"/>
          <w:rFonts w:hint="cs"/>
          <w:rtl/>
        </w:rPr>
        <w:t>הנחל יצחק</w:t>
      </w:r>
      <w:r>
        <w:rPr>
          <w:rFonts w:hint="cs"/>
          <w:rtl/>
        </w:rPr>
        <w:t xml:space="preserve"> </w:t>
      </w:r>
      <w:r w:rsidRPr="00C115ED">
        <w:rPr>
          <w:rStyle w:val="af7"/>
          <w:rFonts w:eastAsia="Guttman Hodes" w:hint="cs"/>
          <w:rtl/>
        </w:rPr>
        <w:t xml:space="preserve">(עי' אות </w:t>
      </w:r>
      <w:r w:rsidRPr="00C115ED">
        <w:rPr>
          <w:rStyle w:val="af7"/>
          <w:rFonts w:eastAsia="Guttman Hodes"/>
          <w:rtl/>
        </w:rPr>
        <w:fldChar w:fldCharType="begin"/>
      </w:r>
      <w:r w:rsidRPr="00C115ED">
        <w:rPr>
          <w:rStyle w:val="af7"/>
          <w:rFonts w:eastAsia="Guttman Hodes"/>
          <w:rtl/>
        </w:rPr>
        <w:instrText xml:space="preserve"> </w:instrText>
      </w:r>
      <w:r w:rsidRPr="00C115ED">
        <w:rPr>
          <w:rStyle w:val="af7"/>
          <w:rFonts w:eastAsia="Guttman Hodes" w:hint="cs"/>
        </w:rPr>
        <w:instrText>REF</w:instrText>
      </w:r>
      <w:r w:rsidRPr="00C115ED">
        <w:rPr>
          <w:rStyle w:val="af7"/>
          <w:rFonts w:eastAsia="Guttman Hodes" w:hint="cs"/>
          <w:rtl/>
        </w:rPr>
        <w:instrText xml:space="preserve"> _</w:instrText>
      </w:r>
      <w:r w:rsidRPr="00C115ED">
        <w:rPr>
          <w:rStyle w:val="af7"/>
          <w:rFonts w:eastAsia="Guttman Hodes" w:hint="cs"/>
        </w:rPr>
        <w:instrText>Ref61857809 \r \h</w:instrText>
      </w:r>
      <w:r w:rsidRPr="00C115ED">
        <w:rPr>
          <w:rStyle w:val="af7"/>
          <w:rFonts w:eastAsia="Guttman Hodes"/>
          <w:rtl/>
        </w:rPr>
        <w:instrText xml:space="preserve"> </w:instrText>
      </w:r>
      <w:r w:rsidRPr="00C115ED">
        <w:rPr>
          <w:rStyle w:val="af7"/>
          <w:rFonts w:eastAsia="Guttman Hodes"/>
          <w:rtl/>
        </w:rPr>
      </w:r>
      <w:r w:rsidRPr="00C115ED">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C115ED">
        <w:rPr>
          <w:rStyle w:val="af7"/>
          <w:rFonts w:eastAsia="Guttman Hodes"/>
          <w:rtl/>
        </w:rPr>
        <w:fldChar w:fldCharType="end"/>
      </w:r>
      <w:r>
        <w:rPr>
          <w:rFonts w:hint="cs"/>
          <w:rtl/>
        </w:rPr>
        <w:t xml:space="preserve"> בדברי </w:t>
      </w:r>
      <w:r w:rsidRPr="00C115ED">
        <w:rPr>
          <w:rStyle w:val="af9"/>
          <w:rFonts w:hint="cs"/>
          <w:rtl/>
        </w:rPr>
        <w:t>הרשב"ם לקמן</w:t>
      </w:r>
      <w:r>
        <w:rPr>
          <w:rFonts w:hint="cs"/>
          <w:rtl/>
        </w:rPr>
        <w:t>.</w:t>
      </w:r>
      <w:bookmarkEnd w:id="12340"/>
    </w:p>
    <w:p w:rsidR="00C34249" w:rsidRDefault="00C34249" w:rsidP="00C34249">
      <w:pPr>
        <w:pStyle w:val="1"/>
        <w:rPr>
          <w:rtl/>
        </w:rPr>
      </w:pPr>
      <w:bookmarkStart w:id="12341" w:name="_Toc61861387"/>
      <w:bookmarkStart w:id="12342" w:name="_Toc61867356"/>
      <w:bookmarkStart w:id="12343" w:name="_Toc61867462"/>
      <w:bookmarkStart w:id="12344" w:name="_Toc61887827"/>
      <w:r>
        <w:rPr>
          <w:rFonts w:hint="cs"/>
          <w:rtl/>
        </w:rPr>
        <w:t>ביאור הנחל יצחק ברשב"ם דלכו"ע ל"מ מיגו במקום אנן סהדי</w:t>
      </w:r>
      <w:bookmarkEnd w:id="12341"/>
      <w:bookmarkEnd w:id="12342"/>
      <w:bookmarkEnd w:id="12343"/>
      <w:bookmarkEnd w:id="12344"/>
    </w:p>
    <w:p w:rsidR="00C34249" w:rsidRPr="009244E5" w:rsidRDefault="00C34249" w:rsidP="00C34249">
      <w:pPr>
        <w:pStyle w:val="a3"/>
        <w:rPr>
          <w:rtl/>
        </w:rPr>
      </w:pPr>
      <w:bookmarkStart w:id="12345" w:name="_Toc61861388"/>
      <w:bookmarkStart w:id="12346" w:name="_Toc61867357"/>
      <w:bookmarkStart w:id="12347" w:name="_Toc61867463"/>
      <w:bookmarkStart w:id="12348" w:name="_Toc61887828"/>
      <w:r>
        <w:rPr>
          <w:rFonts w:hint="cs"/>
          <w:rtl/>
        </w:rPr>
        <w:t>ביאור הנחל יצחק ברשב"ם לקמן דמיגו ל"מ במקום אנן סהדי אף לדעת רב חסדא</w:t>
      </w:r>
      <w:bookmarkEnd w:id="12345"/>
      <w:bookmarkEnd w:id="12346"/>
      <w:bookmarkEnd w:id="12347"/>
      <w:bookmarkEnd w:id="12348"/>
    </w:p>
    <w:p w:rsidR="00C34249" w:rsidRDefault="00C34249" w:rsidP="007E4E81">
      <w:pPr>
        <w:pStyle w:val="a0"/>
        <w:rPr>
          <w:rtl/>
        </w:rPr>
      </w:pPr>
      <w:bookmarkStart w:id="12349" w:name="_Ref61857809"/>
      <w:r>
        <w:rPr>
          <w:rFonts w:hint="cs"/>
          <w:rtl/>
        </w:rPr>
        <w:t xml:space="preserve">במ"ש </w:t>
      </w:r>
      <w:r w:rsidRPr="004777E9">
        <w:rPr>
          <w:rStyle w:val="af9"/>
          <w:rFonts w:hint="cs"/>
          <w:rtl/>
        </w:rPr>
        <w:t>הגרעק"א</w:t>
      </w:r>
      <w:r>
        <w:rPr>
          <w:rFonts w:hint="cs"/>
          <w:rtl/>
        </w:rPr>
        <w:t xml:space="preserve"> </w:t>
      </w:r>
      <w:r w:rsidRPr="009244E5">
        <w:rPr>
          <w:rStyle w:val="af7"/>
          <w:rFonts w:eastAsia="Guttman Hodes" w:hint="cs"/>
          <w:rtl/>
        </w:rPr>
        <w:t xml:space="preserve">(עי' אות </w:t>
      </w:r>
      <w:r w:rsidRPr="009244E5">
        <w:rPr>
          <w:rStyle w:val="af7"/>
          <w:rFonts w:eastAsia="Guttman Hodes"/>
          <w:rtl/>
        </w:rPr>
        <w:fldChar w:fldCharType="begin"/>
      </w:r>
      <w:r w:rsidRPr="009244E5">
        <w:rPr>
          <w:rStyle w:val="af7"/>
          <w:rFonts w:eastAsia="Guttman Hodes"/>
          <w:rtl/>
        </w:rPr>
        <w:instrText xml:space="preserve"> </w:instrText>
      </w:r>
      <w:r w:rsidRPr="009244E5">
        <w:rPr>
          <w:rStyle w:val="af7"/>
          <w:rFonts w:eastAsia="Guttman Hodes" w:hint="cs"/>
        </w:rPr>
        <w:instrText>REF</w:instrText>
      </w:r>
      <w:r w:rsidRPr="009244E5">
        <w:rPr>
          <w:rStyle w:val="af7"/>
          <w:rFonts w:eastAsia="Guttman Hodes" w:hint="cs"/>
          <w:rtl/>
        </w:rPr>
        <w:instrText xml:space="preserve"> _</w:instrText>
      </w:r>
      <w:r w:rsidRPr="009244E5">
        <w:rPr>
          <w:rStyle w:val="af7"/>
          <w:rFonts w:eastAsia="Guttman Hodes" w:hint="cs"/>
        </w:rPr>
        <w:instrText>Ref61858297 \r \h</w:instrText>
      </w:r>
      <w:r w:rsidRPr="009244E5">
        <w:rPr>
          <w:rStyle w:val="af7"/>
          <w:rFonts w:eastAsia="Guttman Hodes"/>
          <w:rtl/>
        </w:rPr>
        <w:instrText xml:space="preserve"> </w:instrText>
      </w:r>
      <w:r w:rsidRPr="009244E5">
        <w:rPr>
          <w:rStyle w:val="af7"/>
          <w:rFonts w:eastAsia="Guttman Hodes"/>
          <w:rtl/>
        </w:rPr>
      </w:r>
      <w:r w:rsidRPr="009244E5">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9244E5">
        <w:rPr>
          <w:rStyle w:val="af7"/>
          <w:rFonts w:eastAsia="Guttman Hodes"/>
          <w:rtl/>
        </w:rPr>
        <w:fldChar w:fldCharType="end"/>
      </w:r>
      <w:r>
        <w:rPr>
          <w:rFonts w:hint="cs"/>
          <w:rtl/>
        </w:rPr>
        <w:t xml:space="preserve"> דמוכח מדברי </w:t>
      </w:r>
      <w:r w:rsidRPr="004777E9">
        <w:rPr>
          <w:rStyle w:val="af9"/>
          <w:rFonts w:hint="cs"/>
          <w:rtl/>
        </w:rPr>
        <w:t>הרשב"ם לקמן</w:t>
      </w:r>
      <w:r>
        <w:rPr>
          <w:rFonts w:hint="cs"/>
          <w:rtl/>
        </w:rPr>
        <w:t xml:space="preserve"> </w:t>
      </w:r>
      <w:r w:rsidRPr="00652FFA">
        <w:rPr>
          <w:rStyle w:val="af7"/>
          <w:rFonts w:eastAsia="Guttman Hodes" w:hint="cs"/>
          <w:rtl/>
        </w:rPr>
        <w:t xml:space="preserve">(ע. ד"ה ולטעמיך) </w:t>
      </w:r>
      <w:r>
        <w:rPr>
          <w:rFonts w:hint="cs"/>
          <w:rtl/>
        </w:rPr>
        <w:t xml:space="preserve">דכתב בדעת רב חסדא דס"ל דבפקדון בשטר נאמן בטענת החזרתי במיגו דנאנסו, דלא חשיב מיגו במקום עדים, דאף רב חסדא מודה דלא אמרינן מיגו במקום עדים, תירץ </w:t>
      </w:r>
      <w:r w:rsidRPr="004777E9">
        <w:rPr>
          <w:rStyle w:val="af9"/>
          <w:rFonts w:hint="cs"/>
          <w:rtl/>
        </w:rPr>
        <w:t>הנחל</w:t>
      </w:r>
      <w:r>
        <w:rPr>
          <w:rFonts w:hint="cs"/>
          <w:rtl/>
        </w:rPr>
        <w:t xml:space="preserve"> </w:t>
      </w:r>
      <w:r w:rsidRPr="004777E9">
        <w:rPr>
          <w:rStyle w:val="af9"/>
          <w:rFonts w:hint="cs"/>
          <w:rtl/>
        </w:rPr>
        <w:t>יצחק</w:t>
      </w:r>
      <w:r>
        <w:rPr>
          <w:rFonts w:hint="cs"/>
          <w:rtl/>
        </w:rPr>
        <w:t xml:space="preserve"> </w:t>
      </w:r>
      <w:r w:rsidRPr="00652FFA">
        <w:rPr>
          <w:rStyle w:val="af7"/>
          <w:rFonts w:eastAsia="Guttman Hodes" w:hint="cs"/>
          <w:rtl/>
        </w:rPr>
        <w:t>(חו"מ סי' פ"א או' ה' [סעיף כ"ג] ריש ענף א' ד"ה וראיה)</w:t>
      </w:r>
      <w:r>
        <w:rPr>
          <w:rFonts w:hint="cs"/>
          <w:rtl/>
        </w:rPr>
        <w:t xml:space="preserve"> דכוונת </w:t>
      </w:r>
      <w:r w:rsidRPr="009244E5">
        <w:rPr>
          <w:rStyle w:val="af9"/>
          <w:rFonts w:hint="cs"/>
          <w:rtl/>
        </w:rPr>
        <w:t>הרשב"ם</w:t>
      </w:r>
      <w:r>
        <w:rPr>
          <w:rFonts w:hint="cs"/>
          <w:rtl/>
        </w:rPr>
        <w:t xml:space="preserve"> לומר דהוא מיגו כנגד אנן סהדי, דטוען לו שטרך בידי מאי בעי, ואף רב חסדא מודה דלא מהני מיגו כנגד אנן סהדי, </w:t>
      </w:r>
      <w:r w:rsidRPr="00C21121">
        <w:rPr>
          <w:rStyle w:val="afb"/>
          <w:rFonts w:hint="cs"/>
          <w:rtl/>
        </w:rPr>
        <w:t xml:space="preserve">[כדביאר </w:t>
      </w:r>
      <w:r w:rsidRPr="00C21121">
        <w:rPr>
          <w:rStyle w:val="affa"/>
          <w:rFonts w:hint="cs"/>
          <w:rtl/>
        </w:rPr>
        <w:t>הנחל יצחק</w:t>
      </w:r>
      <w:r w:rsidRPr="00C21121">
        <w:rPr>
          <w:rStyle w:val="afb"/>
          <w:rFonts w:hint="cs"/>
          <w:rtl/>
        </w:rPr>
        <w:t xml:space="preserve"> </w:t>
      </w:r>
      <w:r w:rsidRPr="00C21121">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Ref61858161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מב)</w:t>
      </w:r>
      <w:r>
        <w:rPr>
          <w:rStyle w:val="aff6"/>
          <w:rtl/>
        </w:rPr>
        <w:fldChar w:fldCharType="end"/>
      </w:r>
      <w:r>
        <w:rPr>
          <w:rStyle w:val="aff6"/>
          <w:rFonts w:hint="cs"/>
          <w:rtl/>
        </w:rPr>
        <w:t xml:space="preserve"> </w:t>
      </w:r>
      <w:r>
        <w:rPr>
          <w:rStyle w:val="afb"/>
          <w:rFonts w:hint="cs"/>
          <w:rtl/>
        </w:rPr>
        <w:t>ד</w:t>
      </w:r>
      <w:r w:rsidRPr="00D47A7D">
        <w:rPr>
          <w:rStyle w:val="afb"/>
          <w:rtl/>
        </w:rPr>
        <w:t>במקום אנן סהדי דאנחנו יודעים מהי האמת, לא מהני מיגו לכו"ע</w:t>
      </w:r>
      <w:r w:rsidRPr="00D47A7D">
        <w:rPr>
          <w:rStyle w:val="afb"/>
          <w:rFonts w:hint="cs"/>
          <w:rtl/>
        </w:rPr>
        <w:t>]</w:t>
      </w:r>
      <w:r w:rsidRPr="00C21121">
        <w:rPr>
          <w:rStyle w:val="afb"/>
          <w:rFonts w:hint="cs"/>
          <w:rtl/>
        </w:rPr>
        <w:t xml:space="preserve">, </w:t>
      </w:r>
      <w:r w:rsidRPr="009244E5">
        <w:rPr>
          <w:rFonts w:hint="cs"/>
          <w:rtl/>
        </w:rPr>
        <w:t>וכעי"ז</w:t>
      </w:r>
      <w:r>
        <w:rPr>
          <w:rFonts w:hint="cs"/>
          <w:rtl/>
        </w:rPr>
        <w:t xml:space="preserve"> תירץ </w:t>
      </w:r>
      <w:r w:rsidRPr="004777E9">
        <w:rPr>
          <w:rStyle w:val="af9"/>
          <w:rFonts w:hint="cs"/>
          <w:rtl/>
        </w:rPr>
        <w:t>בחי' הגר"ח</w:t>
      </w:r>
      <w:r>
        <w:rPr>
          <w:rFonts w:hint="cs"/>
          <w:rtl/>
        </w:rPr>
        <w:t xml:space="preserve"> </w:t>
      </w:r>
      <w:r w:rsidRPr="004777E9">
        <w:rPr>
          <w:rStyle w:val="af9"/>
          <w:rFonts w:hint="cs"/>
          <w:rtl/>
        </w:rPr>
        <w:t>מטעלז</w:t>
      </w:r>
      <w:r>
        <w:rPr>
          <w:rFonts w:hint="cs"/>
          <w:rtl/>
        </w:rPr>
        <w:t xml:space="preserve"> </w:t>
      </w:r>
      <w:r w:rsidRPr="00273687">
        <w:rPr>
          <w:rStyle w:val="af7"/>
          <w:rFonts w:eastAsia="Guttman Hodes" w:hint="cs"/>
          <w:rtl/>
        </w:rPr>
        <w:t xml:space="preserve">(עי' אות </w:t>
      </w:r>
      <w:r w:rsidRPr="00273687">
        <w:rPr>
          <w:rStyle w:val="af7"/>
          <w:rFonts w:eastAsia="Guttman Hodes"/>
          <w:rtl/>
        </w:rPr>
        <w:fldChar w:fldCharType="begin"/>
      </w:r>
      <w:r w:rsidRPr="00273687">
        <w:rPr>
          <w:rStyle w:val="af7"/>
          <w:rFonts w:eastAsia="Guttman Hodes"/>
          <w:rtl/>
        </w:rPr>
        <w:instrText xml:space="preserve"> </w:instrText>
      </w:r>
      <w:r w:rsidRPr="00273687">
        <w:rPr>
          <w:rStyle w:val="af7"/>
          <w:rFonts w:eastAsia="Guttman Hodes" w:hint="cs"/>
        </w:rPr>
        <w:instrText>REF</w:instrText>
      </w:r>
      <w:r w:rsidRPr="00273687">
        <w:rPr>
          <w:rStyle w:val="af7"/>
          <w:rFonts w:eastAsia="Guttman Hodes" w:hint="cs"/>
          <w:rtl/>
        </w:rPr>
        <w:instrText xml:space="preserve"> _</w:instrText>
      </w:r>
      <w:r w:rsidRPr="00273687">
        <w:rPr>
          <w:rStyle w:val="af7"/>
          <w:rFonts w:eastAsia="Guttman Hodes" w:hint="cs"/>
        </w:rPr>
        <w:instrText>Ref61885668 \r \h</w:instrText>
      </w:r>
      <w:r w:rsidRPr="00273687">
        <w:rPr>
          <w:rStyle w:val="af7"/>
          <w:rFonts w:eastAsia="Guttman Hodes"/>
          <w:rtl/>
        </w:rPr>
        <w:instrText xml:space="preserve"> </w:instrText>
      </w:r>
      <w:r w:rsidRPr="00273687">
        <w:rPr>
          <w:rStyle w:val="af7"/>
          <w:rFonts w:eastAsia="Guttman Hodes"/>
          <w:rtl/>
        </w:rPr>
      </w:r>
      <w:r w:rsidRPr="00273687">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273687">
        <w:rPr>
          <w:rStyle w:val="af7"/>
          <w:rFonts w:eastAsia="Guttman Hodes"/>
          <w:rtl/>
        </w:rPr>
        <w:fldChar w:fldCharType="end"/>
      </w:r>
      <w:r>
        <w:rPr>
          <w:rFonts w:hint="cs"/>
          <w:rtl/>
        </w:rPr>
        <w:t>.</w:t>
      </w:r>
      <w:bookmarkEnd w:id="12349"/>
    </w:p>
    <w:p w:rsidR="00C34249" w:rsidRPr="00A3090D" w:rsidRDefault="00C34249" w:rsidP="00C34249">
      <w:pPr>
        <w:pStyle w:val="afe"/>
        <w:rPr>
          <w:rtl/>
        </w:rPr>
      </w:pPr>
      <w:bookmarkStart w:id="12350" w:name="_Toc61861397"/>
      <w:bookmarkStart w:id="12351" w:name="_Toc61867358"/>
      <w:bookmarkStart w:id="12352" w:name="_Toc61867464"/>
      <w:bookmarkStart w:id="12353" w:name="_Toc61887829"/>
      <w:bookmarkStart w:id="12354" w:name="_Toc61811681"/>
      <w:bookmarkStart w:id="12355" w:name="_Toc61815356"/>
      <w:bookmarkEnd w:id="12330"/>
      <w:r>
        <w:rPr>
          <w:rFonts w:hint="cs"/>
          <w:rtl/>
        </w:rPr>
        <w:t>בד' התוס' אי נאמן להכחיש את העדים</w:t>
      </w:r>
      <w:bookmarkEnd w:id="12350"/>
      <w:bookmarkEnd w:id="12351"/>
      <w:bookmarkEnd w:id="12352"/>
      <w:bookmarkEnd w:id="12353"/>
    </w:p>
    <w:p w:rsidR="00C34249" w:rsidRDefault="00C34249" w:rsidP="00C34249">
      <w:pPr>
        <w:pStyle w:val="1"/>
        <w:rPr>
          <w:rtl/>
        </w:rPr>
      </w:pPr>
      <w:bookmarkStart w:id="12356" w:name="_Toc61617744"/>
      <w:bookmarkStart w:id="12357" w:name="_Toc61811669"/>
      <w:bookmarkStart w:id="12358" w:name="_Toc61815351"/>
      <w:bookmarkStart w:id="12359" w:name="_Toc61861398"/>
      <w:bookmarkStart w:id="12360" w:name="_Toc61867359"/>
      <w:bookmarkStart w:id="12361" w:name="_Toc61867465"/>
      <w:bookmarkStart w:id="12362" w:name="_Toc61887830"/>
      <w:r>
        <w:rPr>
          <w:rFonts w:hint="cs"/>
          <w:rtl/>
        </w:rPr>
        <w:t>דברי התוס'</w:t>
      </w:r>
      <w:bookmarkEnd w:id="12356"/>
      <w:bookmarkEnd w:id="12357"/>
      <w:bookmarkEnd w:id="12358"/>
      <w:bookmarkEnd w:id="12359"/>
      <w:bookmarkEnd w:id="12360"/>
      <w:bookmarkEnd w:id="12361"/>
      <w:r>
        <w:rPr>
          <w:rFonts w:hint="cs"/>
          <w:rtl/>
        </w:rPr>
        <w:t xml:space="preserve"> דגרסינן רבה דס"ל דמהני מיגו במק"ע ולא רבא</w:t>
      </w:r>
      <w:bookmarkEnd w:id="12362"/>
    </w:p>
    <w:p w:rsidR="00C34249" w:rsidRDefault="00C34249" w:rsidP="00C34249">
      <w:pPr>
        <w:pStyle w:val="a3"/>
        <w:rPr>
          <w:rtl/>
        </w:rPr>
      </w:pPr>
      <w:bookmarkStart w:id="12363" w:name="_Toc61815352"/>
      <w:bookmarkStart w:id="12364" w:name="_Toc61861399"/>
      <w:bookmarkStart w:id="12365" w:name="_Toc61867360"/>
      <w:bookmarkStart w:id="12366" w:name="_Toc61867466"/>
      <w:bookmarkStart w:id="12367" w:name="_Toc61887831"/>
      <w:r>
        <w:rPr>
          <w:rFonts w:hint="cs"/>
          <w:rtl/>
        </w:rPr>
        <w:t>דברי התוס' והרשב"א והריטב"א דגרסינן רבה ולא רבא דס"ל לרבא דל"מ מיגו במקום עדים</w:t>
      </w:r>
      <w:bookmarkEnd w:id="12363"/>
      <w:bookmarkEnd w:id="12364"/>
      <w:bookmarkEnd w:id="12365"/>
      <w:bookmarkEnd w:id="12366"/>
      <w:bookmarkEnd w:id="12367"/>
    </w:p>
    <w:p w:rsidR="00C34249" w:rsidRDefault="00C34249" w:rsidP="007E4E81">
      <w:pPr>
        <w:pStyle w:val="a0"/>
        <w:rPr>
          <w:rtl/>
        </w:rPr>
      </w:pPr>
      <w:bookmarkStart w:id="12368" w:name="_Ref61814779"/>
      <w:r>
        <w:rPr>
          <w:rFonts w:hint="cs"/>
          <w:rtl/>
        </w:rPr>
        <w:t xml:space="preserve">כתבו </w:t>
      </w:r>
      <w:r w:rsidRPr="00924DCD">
        <w:rPr>
          <w:rStyle w:val="af9"/>
          <w:rFonts w:hint="cs"/>
          <w:rtl/>
        </w:rPr>
        <w:t>התוס'</w:t>
      </w:r>
      <w:r>
        <w:rPr>
          <w:rFonts w:hint="cs"/>
          <w:rtl/>
        </w:rPr>
        <w:t xml:space="preserve"> </w:t>
      </w:r>
      <w:r w:rsidRPr="001C1140">
        <w:rPr>
          <w:rStyle w:val="af7"/>
          <w:rFonts w:eastAsia="Guttman Hodes" w:hint="cs"/>
          <w:rtl/>
        </w:rPr>
        <w:t>(ד"ה אמר)</w:t>
      </w:r>
      <w:r>
        <w:rPr>
          <w:rFonts w:hint="cs"/>
          <w:rtl/>
        </w:rPr>
        <w:t xml:space="preserve"> </w:t>
      </w:r>
      <w:r w:rsidRPr="00924DCD">
        <w:rPr>
          <w:rStyle w:val="af9"/>
          <w:rFonts w:hint="cs"/>
          <w:rtl/>
        </w:rPr>
        <w:t>והרשב"א</w:t>
      </w:r>
      <w:r>
        <w:rPr>
          <w:rFonts w:hint="cs"/>
          <w:rtl/>
        </w:rPr>
        <w:t xml:space="preserve"> </w:t>
      </w:r>
      <w:r w:rsidRPr="001C1140">
        <w:rPr>
          <w:rStyle w:val="af7"/>
          <w:rFonts w:eastAsia="Guttman Hodes" w:hint="cs"/>
          <w:rtl/>
        </w:rPr>
        <w:t xml:space="preserve">(ד"ה אמר) </w:t>
      </w:r>
      <w:r w:rsidRPr="00924DCD">
        <w:rPr>
          <w:rStyle w:val="af9"/>
          <w:rFonts w:hint="cs"/>
          <w:rtl/>
        </w:rPr>
        <w:t>והריטב"א</w:t>
      </w:r>
      <w:r>
        <w:rPr>
          <w:rFonts w:hint="cs"/>
          <w:rtl/>
        </w:rPr>
        <w:t xml:space="preserve"> </w:t>
      </w:r>
      <w:r w:rsidRPr="001C1140">
        <w:rPr>
          <w:rStyle w:val="af7"/>
          <w:rFonts w:eastAsia="Guttman Hodes" w:hint="cs"/>
          <w:rtl/>
        </w:rPr>
        <w:t>(ד"ה ה"ג)</w:t>
      </w:r>
      <w:r>
        <w:rPr>
          <w:rFonts w:hint="cs"/>
          <w:rtl/>
        </w:rPr>
        <w:t xml:space="preserve"> דהגירסא היא דרבה אמר שיש לו מיגו, ולא רבא, דהא בגמ' לקמן </w:t>
      </w:r>
      <w:r w:rsidRPr="001C1140">
        <w:rPr>
          <w:rStyle w:val="af7"/>
          <w:rFonts w:eastAsia="Guttman Hodes" w:hint="cs"/>
          <w:rtl/>
        </w:rPr>
        <w:t>(לג:)</w:t>
      </w:r>
      <w:r>
        <w:rPr>
          <w:rFonts w:hint="cs"/>
          <w:rtl/>
        </w:rPr>
        <w:t xml:space="preserve"> ס"ל לאביי ורבא, דלא אמרינן מיגו במקום עדים.</w:t>
      </w:r>
    </w:p>
    <w:p w:rsidR="00C34249" w:rsidRPr="000856F2" w:rsidRDefault="00C34249" w:rsidP="00C34249">
      <w:pPr>
        <w:pStyle w:val="a3"/>
      </w:pPr>
      <w:r>
        <w:rPr>
          <w:rFonts w:hint="cs"/>
          <w:rtl/>
        </w:rPr>
        <w:t>דברי המהרש"א דלרשב"ם אפשר לגרוס רבא וכן הגירסא ברשב"ם הקצר ובראב"ן</w:t>
      </w:r>
    </w:p>
    <w:p w:rsidR="00C34249" w:rsidRDefault="00C34249" w:rsidP="007E4E81">
      <w:pPr>
        <w:pStyle w:val="a0"/>
        <w:rPr>
          <w:rtl/>
        </w:rPr>
      </w:pPr>
      <w:bookmarkStart w:id="12369" w:name="_Ref61899684"/>
      <w:r>
        <w:rPr>
          <w:rFonts w:hint="cs"/>
          <w:rtl/>
        </w:rPr>
        <w:t xml:space="preserve">ועי' </w:t>
      </w:r>
      <w:r w:rsidRPr="001A530D">
        <w:rPr>
          <w:rStyle w:val="af9"/>
          <w:rFonts w:hint="cs"/>
          <w:rtl/>
        </w:rPr>
        <w:t>במהרש"א</w:t>
      </w:r>
      <w:r>
        <w:rPr>
          <w:rFonts w:hint="cs"/>
          <w:rtl/>
        </w:rPr>
        <w:t xml:space="preserve"> </w:t>
      </w:r>
      <w:r w:rsidRPr="001A530D">
        <w:rPr>
          <w:rStyle w:val="af7"/>
          <w:rFonts w:eastAsia="Guttman Hodes" w:hint="cs"/>
          <w:rtl/>
        </w:rPr>
        <w:t xml:space="preserve">(עי' אות </w:t>
      </w:r>
      <w:r w:rsidRPr="001A530D">
        <w:rPr>
          <w:rStyle w:val="af7"/>
          <w:rFonts w:eastAsia="Guttman Hodes"/>
          <w:rtl/>
        </w:rPr>
        <w:fldChar w:fldCharType="begin"/>
      </w:r>
      <w:r w:rsidRPr="001A530D">
        <w:rPr>
          <w:rStyle w:val="af7"/>
          <w:rFonts w:eastAsia="Guttman Hodes"/>
          <w:rtl/>
        </w:rPr>
        <w:instrText xml:space="preserve"> </w:instrText>
      </w:r>
      <w:r w:rsidRPr="001A530D">
        <w:rPr>
          <w:rStyle w:val="af7"/>
          <w:rFonts w:eastAsia="Guttman Hodes" w:hint="cs"/>
        </w:rPr>
        <w:instrText>REF</w:instrText>
      </w:r>
      <w:r w:rsidRPr="001A530D">
        <w:rPr>
          <w:rStyle w:val="af7"/>
          <w:rFonts w:eastAsia="Guttman Hodes" w:hint="cs"/>
          <w:rtl/>
        </w:rPr>
        <w:instrText xml:space="preserve"> _</w:instrText>
      </w:r>
      <w:r w:rsidRPr="001A530D">
        <w:rPr>
          <w:rStyle w:val="af7"/>
          <w:rFonts w:eastAsia="Guttman Hodes" w:hint="cs"/>
        </w:rPr>
        <w:instrText>Ref61814752 \r \h</w:instrText>
      </w:r>
      <w:r w:rsidRPr="001A530D">
        <w:rPr>
          <w:rStyle w:val="af7"/>
          <w:rFonts w:eastAsia="Guttman Hodes"/>
          <w:rtl/>
        </w:rPr>
        <w:instrText xml:space="preserve"> </w:instrText>
      </w:r>
      <w:r w:rsidRPr="001A530D">
        <w:rPr>
          <w:rStyle w:val="af7"/>
          <w:rFonts w:eastAsia="Guttman Hodes"/>
          <w:rtl/>
        </w:rPr>
      </w:r>
      <w:r w:rsidRPr="001A530D">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1A530D">
        <w:rPr>
          <w:rStyle w:val="af7"/>
          <w:rFonts w:eastAsia="Guttman Hodes"/>
          <w:rtl/>
        </w:rPr>
        <w:fldChar w:fldCharType="end"/>
      </w:r>
      <w:r>
        <w:rPr>
          <w:rFonts w:hint="cs"/>
          <w:rtl/>
        </w:rPr>
        <w:t xml:space="preserve"> דכתב דלדעת </w:t>
      </w:r>
      <w:r w:rsidRPr="001A530D">
        <w:rPr>
          <w:rStyle w:val="af9"/>
          <w:rFonts w:hint="cs"/>
          <w:rtl/>
        </w:rPr>
        <w:t>הרשב"ם לקמן</w:t>
      </w:r>
      <w:r>
        <w:rPr>
          <w:rFonts w:hint="cs"/>
          <w:rtl/>
        </w:rPr>
        <w:t xml:space="preserve"> </w:t>
      </w:r>
      <w:r w:rsidRPr="001A530D">
        <w:rPr>
          <w:rStyle w:val="af7"/>
          <w:rFonts w:eastAsia="Guttman Hodes" w:hint="cs"/>
          <w:rtl/>
        </w:rPr>
        <w:t xml:space="preserve">(עי' אות </w:t>
      </w:r>
      <w:r w:rsidRPr="001A530D">
        <w:rPr>
          <w:rStyle w:val="af7"/>
          <w:rFonts w:eastAsia="Guttman Hodes"/>
          <w:rtl/>
        </w:rPr>
        <w:fldChar w:fldCharType="begin"/>
      </w:r>
      <w:r w:rsidRPr="001A530D">
        <w:rPr>
          <w:rStyle w:val="af7"/>
          <w:rFonts w:eastAsia="Guttman Hodes"/>
          <w:rtl/>
        </w:rPr>
        <w:instrText xml:space="preserve"> </w:instrText>
      </w:r>
      <w:r w:rsidRPr="001A530D">
        <w:rPr>
          <w:rStyle w:val="af7"/>
          <w:rFonts w:eastAsia="Guttman Hodes" w:hint="cs"/>
        </w:rPr>
        <w:instrText>REF</w:instrText>
      </w:r>
      <w:r w:rsidRPr="001A530D">
        <w:rPr>
          <w:rStyle w:val="af7"/>
          <w:rFonts w:eastAsia="Guttman Hodes" w:hint="cs"/>
          <w:rtl/>
        </w:rPr>
        <w:instrText xml:space="preserve"> _</w:instrText>
      </w:r>
      <w:r w:rsidRPr="001A530D">
        <w:rPr>
          <w:rStyle w:val="af7"/>
          <w:rFonts w:eastAsia="Guttman Hodes" w:hint="cs"/>
        </w:rPr>
        <w:instrText>Ref61812631 \r \h</w:instrText>
      </w:r>
      <w:r w:rsidRPr="001A530D">
        <w:rPr>
          <w:rStyle w:val="af7"/>
          <w:rFonts w:eastAsia="Guttman Hodes"/>
          <w:rtl/>
        </w:rPr>
        <w:instrText xml:space="preserve"> </w:instrText>
      </w:r>
      <w:r w:rsidRPr="001A530D">
        <w:rPr>
          <w:rStyle w:val="af7"/>
          <w:rFonts w:eastAsia="Guttman Hodes"/>
          <w:rtl/>
        </w:rPr>
      </w:r>
      <w:r w:rsidRPr="001A530D">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1A530D">
        <w:rPr>
          <w:rStyle w:val="af7"/>
          <w:rFonts w:eastAsia="Guttman Hodes"/>
          <w:rtl/>
        </w:rPr>
        <w:fldChar w:fldCharType="end"/>
      </w:r>
      <w:r>
        <w:rPr>
          <w:rFonts w:hint="cs"/>
          <w:rtl/>
        </w:rPr>
        <w:t xml:space="preserve"> אפשר לגרוס רבא, וכן הגירסא בדברי </w:t>
      </w:r>
      <w:r>
        <w:rPr>
          <w:rStyle w:val="af9"/>
          <w:rFonts w:hint="cs"/>
          <w:rtl/>
        </w:rPr>
        <w:t>ב</w:t>
      </w:r>
      <w:r w:rsidRPr="000856F2">
        <w:rPr>
          <w:rStyle w:val="af9"/>
          <w:rFonts w:hint="cs"/>
          <w:rtl/>
        </w:rPr>
        <w:t>רשב"ם הקצר</w:t>
      </w:r>
      <w:r>
        <w:rPr>
          <w:rFonts w:hint="cs"/>
          <w:rtl/>
        </w:rPr>
        <w:t xml:space="preserve"> </w:t>
      </w:r>
      <w:r w:rsidRPr="000856F2">
        <w:rPr>
          <w:rStyle w:val="af7"/>
          <w:rFonts w:eastAsia="Guttman Hodes" w:hint="cs"/>
          <w:rtl/>
        </w:rPr>
        <w:t>(ד"ה מה)</w:t>
      </w:r>
      <w:r>
        <w:rPr>
          <w:rFonts w:hint="cs"/>
          <w:rtl/>
        </w:rPr>
        <w:t xml:space="preserve">, וכן מבואר </w:t>
      </w:r>
      <w:r>
        <w:rPr>
          <w:rStyle w:val="af9"/>
          <w:rFonts w:hint="cs"/>
          <w:rtl/>
        </w:rPr>
        <w:t>ב</w:t>
      </w:r>
      <w:r w:rsidRPr="001D7DD8">
        <w:rPr>
          <w:rStyle w:val="af9"/>
          <w:rFonts w:hint="cs"/>
          <w:rtl/>
        </w:rPr>
        <w:t>ראב"ן</w:t>
      </w:r>
      <w:r>
        <w:rPr>
          <w:rFonts w:hint="cs"/>
          <w:rtl/>
        </w:rPr>
        <w:t xml:space="preserve"> </w:t>
      </w:r>
      <w:r w:rsidRPr="001D7DD8">
        <w:rPr>
          <w:rStyle w:val="af7"/>
          <w:rFonts w:eastAsia="Guttman Hodes" w:hint="cs"/>
          <w:rtl/>
        </w:rPr>
        <w:t xml:space="preserve">(עי' אות </w:t>
      </w:r>
      <w:r w:rsidRPr="001D7DD8">
        <w:rPr>
          <w:rStyle w:val="af7"/>
          <w:rFonts w:eastAsia="Guttman Hodes"/>
          <w:rtl/>
        </w:rPr>
        <w:fldChar w:fldCharType="begin"/>
      </w:r>
      <w:r w:rsidRPr="001D7DD8">
        <w:rPr>
          <w:rStyle w:val="af7"/>
          <w:rFonts w:eastAsia="Guttman Hodes"/>
          <w:rtl/>
        </w:rPr>
        <w:instrText xml:space="preserve"> </w:instrText>
      </w:r>
      <w:r w:rsidRPr="001D7DD8">
        <w:rPr>
          <w:rStyle w:val="af7"/>
          <w:rFonts w:eastAsia="Guttman Hodes" w:hint="cs"/>
        </w:rPr>
        <w:instrText>REF</w:instrText>
      </w:r>
      <w:r w:rsidRPr="001D7DD8">
        <w:rPr>
          <w:rStyle w:val="af7"/>
          <w:rFonts w:eastAsia="Guttman Hodes" w:hint="cs"/>
          <w:rtl/>
        </w:rPr>
        <w:instrText xml:space="preserve"> _</w:instrText>
      </w:r>
      <w:r w:rsidRPr="001D7DD8">
        <w:rPr>
          <w:rStyle w:val="af7"/>
          <w:rFonts w:eastAsia="Guttman Hodes" w:hint="cs"/>
        </w:rPr>
        <w:instrText>Ref61898576 \r \h</w:instrText>
      </w:r>
      <w:r w:rsidRPr="001D7DD8">
        <w:rPr>
          <w:rStyle w:val="af7"/>
          <w:rFonts w:eastAsia="Guttman Hodes"/>
          <w:rtl/>
        </w:rPr>
        <w:instrText xml:space="preserve"> </w:instrText>
      </w:r>
      <w:r w:rsidRPr="001D7DD8">
        <w:rPr>
          <w:rStyle w:val="af7"/>
          <w:rFonts w:eastAsia="Guttman Hodes"/>
          <w:rtl/>
        </w:rPr>
      </w:r>
      <w:r w:rsidRPr="001D7DD8">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sidRPr="001D7DD8">
        <w:rPr>
          <w:rStyle w:val="af7"/>
          <w:rFonts w:eastAsia="Guttman Hodes"/>
          <w:rtl/>
        </w:rPr>
        <w:fldChar w:fldCharType="end"/>
      </w:r>
      <w:r>
        <w:rPr>
          <w:rFonts w:hint="cs"/>
          <w:rtl/>
        </w:rPr>
        <w:t xml:space="preserve"> דכתב דקיי"ל כאביי דלא אמרינן מיגו במקום </w:t>
      </w:r>
      <w:r>
        <w:rPr>
          <w:rFonts w:hint="cs"/>
          <w:rtl/>
        </w:rPr>
        <w:t xml:space="preserve">עדים, כיון שרבא בגמ' לקמן </w:t>
      </w:r>
      <w:r w:rsidRPr="000856F2">
        <w:rPr>
          <w:rStyle w:val="af7"/>
          <w:rFonts w:eastAsia="Guttman Hodes" w:hint="cs"/>
          <w:rtl/>
        </w:rPr>
        <w:t>(לג:)</w:t>
      </w:r>
      <w:r>
        <w:rPr>
          <w:rFonts w:hint="cs"/>
          <w:rtl/>
        </w:rPr>
        <w:t xml:space="preserve"> חזר בו והודה לאביי, ומוכח דגרסי רבא ולא רבה.</w:t>
      </w:r>
      <w:bookmarkEnd w:id="12368"/>
      <w:bookmarkEnd w:id="12369"/>
    </w:p>
    <w:p w:rsidR="00C34249" w:rsidRDefault="00C34249" w:rsidP="00C34249">
      <w:pPr>
        <w:pStyle w:val="1"/>
        <w:rPr>
          <w:rtl/>
        </w:rPr>
      </w:pPr>
      <w:bookmarkStart w:id="12370" w:name="_Toc61861400"/>
      <w:bookmarkStart w:id="12371" w:name="_Toc61867361"/>
      <w:bookmarkStart w:id="12372" w:name="_Toc61867467"/>
      <w:bookmarkStart w:id="12373" w:name="_Toc61887832"/>
      <w:r>
        <w:rPr>
          <w:rFonts w:hint="cs"/>
          <w:rtl/>
        </w:rPr>
        <w:t>משמעות התוס' לקמן</w:t>
      </w:r>
      <w:bookmarkEnd w:id="12354"/>
      <w:bookmarkEnd w:id="12355"/>
      <w:bookmarkEnd w:id="12370"/>
      <w:bookmarkEnd w:id="12371"/>
      <w:bookmarkEnd w:id="12372"/>
      <w:r>
        <w:rPr>
          <w:rFonts w:hint="cs"/>
          <w:rtl/>
        </w:rPr>
        <w:t xml:space="preserve"> דלר"ח נאמן במיגו להכחיש העדים</w:t>
      </w:r>
      <w:bookmarkEnd w:id="12373"/>
    </w:p>
    <w:p w:rsidR="00C34249" w:rsidRPr="006866E5" w:rsidRDefault="00C34249" w:rsidP="00C34249">
      <w:pPr>
        <w:pStyle w:val="a3"/>
        <w:rPr>
          <w:rtl/>
        </w:rPr>
      </w:pPr>
      <w:bookmarkStart w:id="12374" w:name="_Toc61861401"/>
      <w:bookmarkStart w:id="12375" w:name="_Toc61867362"/>
      <w:bookmarkStart w:id="12376" w:name="_Toc61867468"/>
      <w:bookmarkStart w:id="12377" w:name="_Toc61887833"/>
      <w:r>
        <w:rPr>
          <w:rFonts w:hint="cs"/>
          <w:rtl/>
        </w:rPr>
        <w:t>דברי התוס' לקמן דלרב חסדא אמרינן מיגו במק"ע ומשמע דהוא אף כשמכחיש את העדים</w:t>
      </w:r>
      <w:bookmarkEnd w:id="12374"/>
      <w:bookmarkEnd w:id="12375"/>
      <w:bookmarkEnd w:id="12376"/>
      <w:bookmarkEnd w:id="12377"/>
    </w:p>
    <w:p w:rsidR="00C34249" w:rsidRDefault="00C34249" w:rsidP="007E4E81">
      <w:pPr>
        <w:pStyle w:val="a0"/>
        <w:rPr>
          <w:rtl/>
        </w:rPr>
      </w:pPr>
      <w:bookmarkStart w:id="12378" w:name="_Ref61883976"/>
      <w:r>
        <w:rPr>
          <w:rFonts w:hint="cs"/>
          <w:rtl/>
        </w:rPr>
        <w:t xml:space="preserve">במעשה דקריביה דרב אידי בגמ' לקמן </w:t>
      </w:r>
      <w:r w:rsidRPr="00B43309">
        <w:rPr>
          <w:rStyle w:val="af7"/>
          <w:rFonts w:eastAsia="Guttman Hodes" w:hint="cs"/>
          <w:rtl/>
        </w:rPr>
        <w:t>(לג.)</w:t>
      </w:r>
      <w:r>
        <w:rPr>
          <w:rFonts w:hint="cs"/>
          <w:rtl/>
        </w:rPr>
        <w:t xml:space="preserve"> כתבו </w:t>
      </w:r>
      <w:r w:rsidRPr="00B64BA5">
        <w:rPr>
          <w:rStyle w:val="af9"/>
          <w:rFonts w:hint="cs"/>
          <w:rtl/>
        </w:rPr>
        <w:t>התוס'</w:t>
      </w:r>
      <w:r>
        <w:rPr>
          <w:rFonts w:hint="cs"/>
          <w:rtl/>
        </w:rPr>
        <w:t xml:space="preserve"> </w:t>
      </w:r>
      <w:r w:rsidRPr="00B64BA5">
        <w:rPr>
          <w:rStyle w:val="af9"/>
          <w:rFonts w:hint="cs"/>
          <w:rtl/>
        </w:rPr>
        <w:t>לקמן</w:t>
      </w:r>
      <w:r>
        <w:rPr>
          <w:rFonts w:hint="cs"/>
          <w:rtl/>
        </w:rPr>
        <w:t xml:space="preserve"> </w:t>
      </w:r>
      <w:r w:rsidRPr="004D5461">
        <w:rPr>
          <w:rStyle w:val="af7"/>
          <w:rFonts w:eastAsia="Guttman Hodes" w:hint="cs"/>
          <w:rtl/>
        </w:rPr>
        <w:t>(לג. ד"ה ה</w:t>
      </w:r>
      <w:r w:rsidRPr="0027675D">
        <w:rPr>
          <w:rStyle w:val="af7"/>
          <w:rFonts w:eastAsia="Guttman Hodes" w:hint="cs"/>
          <w:rtl/>
        </w:rPr>
        <w:t>"ג)</w:t>
      </w:r>
      <w:r>
        <w:rPr>
          <w:rFonts w:hint="cs"/>
          <w:rtl/>
        </w:rPr>
        <w:t xml:space="preserve"> דהיה אפשר לבאר את הגמ', דאיירי קריביה דרב אידי טען שלא אכל פירות, והביא רב אידי עדים דהוא אכל פירות, וס"ל רב חסדא דהוא נאמן שלא אכל פירות במיגו, </w:t>
      </w:r>
      <w:r w:rsidRPr="00B43309">
        <w:rPr>
          <w:rStyle w:val="afb"/>
          <w:rFonts w:hint="cs"/>
          <w:rtl/>
        </w:rPr>
        <w:t xml:space="preserve">[דלא היה מודה דרב אידי קרוב יותר ממנו], </w:t>
      </w:r>
      <w:r>
        <w:rPr>
          <w:rFonts w:hint="cs"/>
          <w:rtl/>
        </w:rPr>
        <w:t xml:space="preserve">אף כנגד העדים, וכדס"ל לרב חסדא </w:t>
      </w:r>
      <w:r w:rsidRPr="00B43309">
        <w:rPr>
          <w:rStyle w:val="af7"/>
          <w:rFonts w:eastAsia="Guttman Hodes" w:hint="cs"/>
          <w:rtl/>
        </w:rPr>
        <w:t>(לג:)</w:t>
      </w:r>
      <w:r>
        <w:rPr>
          <w:rFonts w:hint="cs"/>
          <w:rtl/>
        </w:rPr>
        <w:t xml:space="preserve"> דאמרינן מיגו במקום עדים, ובזה נחלקו עליו אביי ורבא דלא אמרינן מיגו במקום עדים, וכתב </w:t>
      </w:r>
      <w:r w:rsidRPr="00B64BA5">
        <w:rPr>
          <w:rStyle w:val="af9"/>
          <w:rFonts w:hint="cs"/>
          <w:rtl/>
        </w:rPr>
        <w:t>הפני</w:t>
      </w:r>
      <w:r>
        <w:rPr>
          <w:rFonts w:hint="cs"/>
          <w:rtl/>
        </w:rPr>
        <w:t xml:space="preserve"> </w:t>
      </w:r>
      <w:r w:rsidRPr="00B64BA5">
        <w:rPr>
          <w:rStyle w:val="af9"/>
          <w:rFonts w:hint="cs"/>
          <w:rtl/>
        </w:rPr>
        <w:t>שלמה</w:t>
      </w:r>
      <w:r>
        <w:rPr>
          <w:rFonts w:hint="cs"/>
          <w:rtl/>
        </w:rPr>
        <w:t xml:space="preserve"> </w:t>
      </w:r>
      <w:r w:rsidRPr="004D5461">
        <w:rPr>
          <w:rStyle w:val="af7"/>
          <w:rFonts w:eastAsia="Guttman Hodes" w:hint="cs"/>
          <w:rtl/>
        </w:rPr>
        <w:t>(לג. על תוד"ה ה"ג)</w:t>
      </w:r>
      <w:r>
        <w:rPr>
          <w:rFonts w:hint="cs"/>
          <w:rtl/>
        </w:rPr>
        <w:t xml:space="preserve"> דמבואר מדברי </w:t>
      </w:r>
      <w:r w:rsidRPr="00B64BA5">
        <w:rPr>
          <w:rStyle w:val="af9"/>
          <w:rFonts w:hint="cs"/>
          <w:rtl/>
        </w:rPr>
        <w:t>התוס'</w:t>
      </w:r>
      <w:r>
        <w:rPr>
          <w:rFonts w:hint="cs"/>
          <w:rtl/>
        </w:rPr>
        <w:t xml:space="preserve"> דלרב חסדא אמרינן מיגו במקום עדים, אף כשהעדים מכחישים את טענתו לגמרי.</w:t>
      </w:r>
      <w:bookmarkEnd w:id="12378"/>
    </w:p>
    <w:p w:rsidR="00C34249" w:rsidRPr="009310BA" w:rsidRDefault="00C34249" w:rsidP="00C34249">
      <w:pPr>
        <w:pStyle w:val="a3"/>
        <w:rPr>
          <w:rtl/>
        </w:rPr>
      </w:pPr>
      <w:bookmarkStart w:id="12379" w:name="_Toc61861402"/>
      <w:bookmarkStart w:id="12380" w:name="_Toc61867363"/>
      <w:bookmarkStart w:id="12381" w:name="_Toc61867469"/>
      <w:bookmarkStart w:id="12382" w:name="_Toc61887834"/>
      <w:r>
        <w:rPr>
          <w:rFonts w:hint="cs"/>
          <w:rtl/>
        </w:rPr>
        <w:t>קושית הפני שלמה דמוכח בתוס' בדין תו"ת דלרב חסדא ל"מ מיגו במק"ע וצ"ל דמתרצינן דבריו</w:t>
      </w:r>
      <w:bookmarkEnd w:id="12379"/>
      <w:bookmarkEnd w:id="12380"/>
      <w:bookmarkEnd w:id="12381"/>
      <w:bookmarkEnd w:id="12382"/>
    </w:p>
    <w:p w:rsidR="00C34249" w:rsidRDefault="00C34249" w:rsidP="007E4E81">
      <w:pPr>
        <w:pStyle w:val="a0"/>
        <w:rPr>
          <w:rtl/>
        </w:rPr>
      </w:pPr>
      <w:r>
        <w:rPr>
          <w:rFonts w:hint="cs"/>
          <w:rtl/>
        </w:rPr>
        <w:t xml:space="preserve">והקשה </w:t>
      </w:r>
      <w:r w:rsidRPr="00B64BA5">
        <w:rPr>
          <w:rStyle w:val="af9"/>
          <w:rFonts w:hint="cs"/>
          <w:rtl/>
        </w:rPr>
        <w:t>הפני</w:t>
      </w:r>
      <w:r>
        <w:rPr>
          <w:rFonts w:hint="cs"/>
          <w:rtl/>
        </w:rPr>
        <w:t xml:space="preserve"> </w:t>
      </w:r>
      <w:r w:rsidRPr="00B64BA5">
        <w:rPr>
          <w:rStyle w:val="af9"/>
          <w:rFonts w:hint="cs"/>
          <w:rtl/>
        </w:rPr>
        <w:t>שלמה</w:t>
      </w:r>
      <w:r>
        <w:rPr>
          <w:rFonts w:hint="cs"/>
          <w:rtl/>
        </w:rPr>
        <w:t xml:space="preserve"> דהא </w:t>
      </w:r>
      <w:r w:rsidRPr="00B64BA5">
        <w:rPr>
          <w:rStyle w:val="af9"/>
          <w:rFonts w:hint="cs"/>
          <w:rtl/>
        </w:rPr>
        <w:t>בתוס'</w:t>
      </w:r>
      <w:r>
        <w:rPr>
          <w:rFonts w:hint="cs"/>
          <w:rtl/>
        </w:rPr>
        <w:t xml:space="preserve"> </w:t>
      </w:r>
      <w:r w:rsidRPr="00B64BA5">
        <w:rPr>
          <w:rStyle w:val="af9"/>
          <w:rFonts w:hint="cs"/>
          <w:rtl/>
        </w:rPr>
        <w:t>ל</w:t>
      </w:r>
      <w:r>
        <w:rPr>
          <w:rStyle w:val="af9"/>
          <w:rFonts w:hint="cs"/>
          <w:rtl/>
        </w:rPr>
        <w:t>קמן</w:t>
      </w:r>
      <w:r>
        <w:rPr>
          <w:rFonts w:hint="cs"/>
          <w:rtl/>
        </w:rPr>
        <w:t xml:space="preserve"> </w:t>
      </w:r>
      <w:r>
        <w:rPr>
          <w:rStyle w:val="af7"/>
          <w:rFonts w:eastAsia="Guttman Hodes" w:hint="cs"/>
          <w:rtl/>
        </w:rPr>
        <w:t xml:space="preserve">(עי' </w:t>
      </w:r>
      <w:r w:rsidRPr="00A432B3">
        <w:rPr>
          <w:rStyle w:val="af7"/>
          <w:rFonts w:eastAsia="Guttman Hodes" w:hint="cs"/>
          <w:rtl/>
        </w:rPr>
        <w:t xml:space="preserve">אות </w:t>
      </w:r>
      <w:r w:rsidRPr="00A432B3">
        <w:rPr>
          <w:rStyle w:val="af7"/>
          <w:rFonts w:eastAsia="Guttman Hodes"/>
          <w:rtl/>
        </w:rPr>
        <w:fldChar w:fldCharType="begin"/>
      </w:r>
      <w:r w:rsidRPr="00A432B3">
        <w:rPr>
          <w:rStyle w:val="af7"/>
          <w:rFonts w:eastAsia="Guttman Hodes"/>
          <w:rtl/>
        </w:rPr>
        <w:instrText xml:space="preserve"> </w:instrText>
      </w:r>
      <w:r w:rsidRPr="00A432B3">
        <w:rPr>
          <w:rStyle w:val="af7"/>
          <w:rFonts w:eastAsia="Guttman Hodes" w:hint="cs"/>
        </w:rPr>
        <w:instrText>REF</w:instrText>
      </w:r>
      <w:r w:rsidRPr="00A432B3">
        <w:rPr>
          <w:rStyle w:val="af7"/>
          <w:rFonts w:eastAsia="Guttman Hodes" w:hint="cs"/>
          <w:rtl/>
        </w:rPr>
        <w:instrText xml:space="preserve"> _</w:instrText>
      </w:r>
      <w:r w:rsidRPr="00A432B3">
        <w:rPr>
          <w:rStyle w:val="af7"/>
          <w:rFonts w:eastAsia="Guttman Hodes" w:hint="cs"/>
        </w:rPr>
        <w:instrText>Ref61858566 \r \h</w:instrText>
      </w:r>
      <w:r w:rsidRPr="00A432B3">
        <w:rPr>
          <w:rStyle w:val="af7"/>
          <w:rFonts w:eastAsia="Guttman Hodes"/>
          <w:rtl/>
        </w:rPr>
        <w:instrText xml:space="preserve"> </w:instrText>
      </w:r>
      <w:r w:rsidRPr="00A432B3">
        <w:rPr>
          <w:rStyle w:val="af7"/>
          <w:rFonts w:eastAsia="Guttman Hodes"/>
          <w:rtl/>
        </w:rPr>
      </w:r>
      <w:r w:rsidRPr="00A432B3">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A432B3">
        <w:rPr>
          <w:rStyle w:val="af7"/>
          <w:rFonts w:eastAsia="Guttman Hodes"/>
          <w:rtl/>
        </w:rPr>
        <w:fldChar w:fldCharType="end"/>
      </w:r>
      <w:r>
        <w:rPr>
          <w:rFonts w:hint="cs"/>
          <w:rtl/>
        </w:rPr>
        <w:t xml:space="preserve"> מוכח דאף לרב חסדא לא אמרינן מיגו במקום עדים, </w:t>
      </w:r>
      <w:r w:rsidRPr="00A25FA5">
        <w:rPr>
          <w:rStyle w:val="afb"/>
          <w:rFonts w:hint="cs"/>
          <w:rtl/>
        </w:rPr>
        <w:t xml:space="preserve">[וכדהוכיח </w:t>
      </w:r>
      <w:r w:rsidRPr="00A432B3">
        <w:rPr>
          <w:rStyle w:val="affa"/>
          <w:rFonts w:hint="cs"/>
          <w:rtl/>
        </w:rPr>
        <w:t xml:space="preserve">הגרעק"א </w:t>
      </w:r>
      <w:r w:rsidRPr="00A25FA5">
        <w:rPr>
          <w:rStyle w:val="afb"/>
          <w:rFonts w:hint="cs"/>
          <w:rtl/>
        </w:rPr>
        <w:t xml:space="preserve">מדברי </w:t>
      </w:r>
      <w:r w:rsidRPr="00A432B3">
        <w:rPr>
          <w:rStyle w:val="affa"/>
          <w:rFonts w:hint="cs"/>
          <w:rtl/>
        </w:rPr>
        <w:t>התוס'</w:t>
      </w:r>
      <w:r w:rsidRPr="00A25FA5">
        <w:rPr>
          <w:rStyle w:val="afb"/>
          <w:rFonts w:hint="cs"/>
          <w:rtl/>
        </w:rPr>
        <w:t xml:space="preserve">, ועי' </w:t>
      </w:r>
      <w:r w:rsidRPr="00A432B3">
        <w:rPr>
          <w:rStyle w:val="affa"/>
          <w:rFonts w:hint="cs"/>
          <w:rtl/>
        </w:rPr>
        <w:t>בתומים</w:t>
      </w:r>
      <w:r w:rsidRPr="00A25FA5">
        <w:rPr>
          <w:rStyle w:val="afb"/>
          <w:rFonts w:hint="cs"/>
          <w:rtl/>
        </w:rPr>
        <w:t xml:space="preserve"> </w:t>
      </w:r>
      <w:r w:rsidRPr="00A432B3">
        <w:rPr>
          <w:rStyle w:val="aff6"/>
          <w:rFonts w:hint="cs"/>
          <w:rtl/>
        </w:rPr>
        <w:t xml:space="preserve">(עי' אות </w:t>
      </w:r>
      <w:r w:rsidRPr="00A432B3">
        <w:rPr>
          <w:rStyle w:val="aff6"/>
          <w:rtl/>
        </w:rPr>
        <w:fldChar w:fldCharType="begin"/>
      </w:r>
      <w:r w:rsidRPr="00A432B3">
        <w:rPr>
          <w:rStyle w:val="aff6"/>
          <w:rtl/>
        </w:rPr>
        <w:instrText xml:space="preserve"> </w:instrText>
      </w:r>
      <w:r w:rsidRPr="00A432B3">
        <w:rPr>
          <w:rStyle w:val="aff6"/>
          <w:rFonts w:hint="cs"/>
        </w:rPr>
        <w:instrText>REF</w:instrText>
      </w:r>
      <w:r w:rsidRPr="00A432B3">
        <w:rPr>
          <w:rStyle w:val="aff6"/>
          <w:rFonts w:hint="cs"/>
          <w:rtl/>
        </w:rPr>
        <w:instrText xml:space="preserve"> _</w:instrText>
      </w:r>
      <w:r w:rsidRPr="00A432B3">
        <w:rPr>
          <w:rStyle w:val="aff6"/>
          <w:rFonts w:hint="cs"/>
        </w:rPr>
        <w:instrText>Ref61774213 \r \h</w:instrText>
      </w:r>
      <w:r w:rsidRPr="00A432B3">
        <w:rPr>
          <w:rStyle w:val="aff6"/>
          <w:rtl/>
        </w:rPr>
        <w:instrText xml:space="preserve">  \* </w:instrText>
      </w:r>
      <w:r w:rsidRPr="00A432B3">
        <w:rPr>
          <w:rStyle w:val="aff6"/>
        </w:rPr>
        <w:instrText>MERGEFORMAT</w:instrText>
      </w:r>
      <w:r w:rsidRPr="00A432B3">
        <w:rPr>
          <w:rStyle w:val="aff6"/>
          <w:rtl/>
        </w:rPr>
        <w:instrText xml:space="preserve"> </w:instrText>
      </w:r>
      <w:r w:rsidRPr="00A432B3">
        <w:rPr>
          <w:rStyle w:val="aff6"/>
          <w:rtl/>
        </w:rPr>
      </w:r>
      <w:r w:rsidRPr="00A432B3">
        <w:rPr>
          <w:rStyle w:val="aff6"/>
          <w:rtl/>
        </w:rPr>
        <w:fldChar w:fldCharType="separate"/>
      </w:r>
      <w:r w:rsidR="00265073">
        <w:rPr>
          <w:rStyle w:val="aff6"/>
          <w:cs/>
        </w:rPr>
        <w:t>‎</w:t>
      </w:r>
      <w:r w:rsidR="00265073">
        <w:rPr>
          <w:rStyle w:val="aff6"/>
          <w:rtl/>
        </w:rPr>
        <w:t>כד)</w:t>
      </w:r>
      <w:r w:rsidRPr="00A432B3">
        <w:rPr>
          <w:rStyle w:val="aff6"/>
          <w:rtl/>
        </w:rPr>
        <w:fldChar w:fldCharType="end"/>
      </w:r>
      <w:r w:rsidRPr="00A25FA5">
        <w:rPr>
          <w:rStyle w:val="afb"/>
          <w:rFonts w:hint="cs"/>
          <w:rtl/>
        </w:rPr>
        <w:t>],</w:t>
      </w:r>
      <w:r>
        <w:rPr>
          <w:rFonts w:hint="cs"/>
          <w:rtl/>
        </w:rPr>
        <w:t xml:space="preserve"> וכן קשה על </w:t>
      </w:r>
      <w:r w:rsidRPr="00B64BA5">
        <w:rPr>
          <w:rStyle w:val="af9"/>
          <w:rFonts w:hint="cs"/>
          <w:rtl/>
        </w:rPr>
        <w:t>התוס'</w:t>
      </w:r>
      <w:r>
        <w:rPr>
          <w:rFonts w:hint="cs"/>
          <w:rtl/>
        </w:rPr>
        <w:t xml:space="preserve"> קושיות </w:t>
      </w:r>
      <w:r w:rsidRPr="00B64BA5">
        <w:rPr>
          <w:rStyle w:val="af9"/>
          <w:rFonts w:hint="cs"/>
          <w:rtl/>
        </w:rPr>
        <w:t>הרמב"ן</w:t>
      </w:r>
      <w:r>
        <w:rPr>
          <w:rFonts w:hint="cs"/>
          <w:rtl/>
        </w:rPr>
        <w:t xml:space="preserve"> </w:t>
      </w:r>
      <w:r w:rsidRPr="00A432B3">
        <w:rPr>
          <w:rStyle w:val="af7"/>
          <w:rFonts w:eastAsia="Guttman Hodes" w:hint="cs"/>
          <w:rtl/>
        </w:rPr>
        <w:t>(עי'</w:t>
      </w:r>
      <w:r>
        <w:rPr>
          <w:rFonts w:hint="cs"/>
          <w:rtl/>
        </w:rPr>
        <w:t xml:space="preserve"> </w:t>
      </w:r>
      <w:r w:rsidRPr="00A432B3">
        <w:rPr>
          <w:rStyle w:val="af7"/>
          <w:rFonts w:eastAsia="Guttman Hodes" w:hint="cs"/>
          <w:rtl/>
        </w:rPr>
        <w:t xml:space="preserve">אות </w:t>
      </w:r>
      <w:r w:rsidRPr="00A432B3">
        <w:rPr>
          <w:rStyle w:val="af7"/>
          <w:rFonts w:eastAsia="Guttman Hodes"/>
          <w:rtl/>
        </w:rPr>
        <w:fldChar w:fldCharType="begin"/>
      </w:r>
      <w:r w:rsidRPr="00A432B3">
        <w:rPr>
          <w:rStyle w:val="af7"/>
          <w:rFonts w:eastAsia="Guttman Hodes"/>
          <w:rtl/>
        </w:rPr>
        <w:instrText xml:space="preserve"> </w:instrText>
      </w:r>
      <w:r w:rsidRPr="00A432B3">
        <w:rPr>
          <w:rStyle w:val="af7"/>
          <w:rFonts w:eastAsia="Guttman Hodes" w:hint="cs"/>
        </w:rPr>
        <w:instrText>REF</w:instrText>
      </w:r>
      <w:r w:rsidRPr="00A432B3">
        <w:rPr>
          <w:rStyle w:val="af7"/>
          <w:rFonts w:eastAsia="Guttman Hodes" w:hint="cs"/>
          <w:rtl/>
        </w:rPr>
        <w:instrText xml:space="preserve"> _</w:instrText>
      </w:r>
      <w:r w:rsidRPr="00A432B3">
        <w:rPr>
          <w:rStyle w:val="af7"/>
          <w:rFonts w:eastAsia="Guttman Hodes" w:hint="cs"/>
        </w:rPr>
        <w:instrText>Ref61883989 \r \h</w:instrText>
      </w:r>
      <w:r w:rsidRPr="00A432B3">
        <w:rPr>
          <w:rStyle w:val="af7"/>
          <w:rFonts w:eastAsia="Guttman Hodes"/>
          <w:rtl/>
        </w:rPr>
        <w:instrText xml:space="preserve"> </w:instrText>
      </w:r>
      <w:r w:rsidRPr="00A432B3">
        <w:rPr>
          <w:rStyle w:val="af7"/>
          <w:rFonts w:eastAsia="Guttman Hodes"/>
          <w:rtl/>
        </w:rPr>
      </w:r>
      <w:r w:rsidRPr="00A432B3">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A432B3">
        <w:rPr>
          <w:rStyle w:val="af7"/>
          <w:rFonts w:eastAsia="Guttman Hodes"/>
          <w:rtl/>
        </w:rPr>
        <w:fldChar w:fldCharType="end"/>
      </w:r>
      <w:r>
        <w:rPr>
          <w:rFonts w:hint="cs"/>
          <w:rtl/>
        </w:rPr>
        <w:t xml:space="preserve"> </w:t>
      </w:r>
      <w:r w:rsidRPr="00B64BA5">
        <w:rPr>
          <w:rStyle w:val="af9"/>
          <w:rFonts w:hint="cs"/>
          <w:rtl/>
        </w:rPr>
        <w:t>ורבינו</w:t>
      </w:r>
      <w:r>
        <w:rPr>
          <w:rFonts w:hint="cs"/>
          <w:rtl/>
        </w:rPr>
        <w:t xml:space="preserve"> </w:t>
      </w:r>
      <w:r w:rsidRPr="00B64BA5">
        <w:rPr>
          <w:rStyle w:val="af9"/>
          <w:rFonts w:hint="cs"/>
          <w:rtl/>
        </w:rPr>
        <w:t>יונה</w:t>
      </w:r>
      <w:r>
        <w:rPr>
          <w:rFonts w:hint="cs"/>
          <w:rtl/>
        </w:rPr>
        <w:t xml:space="preserve"> </w:t>
      </w:r>
      <w:r w:rsidRPr="00A432B3">
        <w:rPr>
          <w:rStyle w:val="af7"/>
          <w:rFonts w:eastAsia="Guttman Hodes" w:hint="cs"/>
          <w:rtl/>
        </w:rPr>
        <w:t xml:space="preserve">(עי' אות </w:t>
      </w:r>
      <w:r w:rsidRPr="00A432B3">
        <w:rPr>
          <w:rStyle w:val="af7"/>
          <w:rFonts w:eastAsia="Guttman Hodes"/>
          <w:rtl/>
        </w:rPr>
        <w:fldChar w:fldCharType="begin"/>
      </w:r>
      <w:r w:rsidRPr="00A432B3">
        <w:rPr>
          <w:rStyle w:val="af7"/>
          <w:rFonts w:eastAsia="Guttman Hodes"/>
          <w:rtl/>
        </w:rPr>
        <w:instrText xml:space="preserve"> </w:instrText>
      </w:r>
      <w:r w:rsidRPr="00A432B3">
        <w:rPr>
          <w:rStyle w:val="af7"/>
          <w:rFonts w:eastAsia="Guttman Hodes" w:hint="cs"/>
        </w:rPr>
        <w:instrText>REF</w:instrText>
      </w:r>
      <w:r w:rsidRPr="00A432B3">
        <w:rPr>
          <w:rStyle w:val="af7"/>
          <w:rFonts w:eastAsia="Guttman Hodes" w:hint="cs"/>
          <w:rtl/>
        </w:rPr>
        <w:instrText xml:space="preserve"> _</w:instrText>
      </w:r>
      <w:r w:rsidRPr="00A432B3">
        <w:rPr>
          <w:rStyle w:val="af7"/>
          <w:rFonts w:eastAsia="Guttman Hodes" w:hint="cs"/>
        </w:rPr>
        <w:instrText>Ref61865688 \r \h</w:instrText>
      </w:r>
      <w:r w:rsidRPr="00A432B3">
        <w:rPr>
          <w:rStyle w:val="af7"/>
          <w:rFonts w:eastAsia="Guttman Hodes"/>
          <w:rtl/>
        </w:rPr>
        <w:instrText xml:space="preserve"> </w:instrText>
      </w:r>
      <w:r w:rsidRPr="00A432B3">
        <w:rPr>
          <w:rStyle w:val="af7"/>
          <w:rFonts w:eastAsia="Guttman Hodes"/>
          <w:rtl/>
        </w:rPr>
      </w:r>
      <w:r w:rsidRPr="00A432B3">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A432B3">
        <w:rPr>
          <w:rStyle w:val="af7"/>
          <w:rFonts w:eastAsia="Guttman Hodes"/>
          <w:rtl/>
        </w:rPr>
        <w:fldChar w:fldCharType="end"/>
      </w:r>
      <w:r>
        <w:rPr>
          <w:rFonts w:hint="cs"/>
          <w:rtl/>
        </w:rPr>
        <w:t xml:space="preserve"> דמוכח בכמה משניות דלא אמרינן מיגו במקום עדים, וכתב </w:t>
      </w:r>
      <w:r w:rsidRPr="00B64BA5">
        <w:rPr>
          <w:rStyle w:val="af9"/>
          <w:rFonts w:hint="cs"/>
          <w:rtl/>
        </w:rPr>
        <w:t>הפני</w:t>
      </w:r>
      <w:r>
        <w:rPr>
          <w:rFonts w:hint="cs"/>
          <w:rtl/>
        </w:rPr>
        <w:t xml:space="preserve"> </w:t>
      </w:r>
      <w:r w:rsidRPr="00B64BA5">
        <w:rPr>
          <w:rStyle w:val="af9"/>
          <w:rFonts w:hint="cs"/>
          <w:rtl/>
        </w:rPr>
        <w:t>שלמה</w:t>
      </w:r>
      <w:r>
        <w:rPr>
          <w:rFonts w:hint="cs"/>
          <w:rtl/>
        </w:rPr>
        <w:t xml:space="preserve"> דאפשר לדחוק דכוונת </w:t>
      </w:r>
      <w:r w:rsidRPr="00B64BA5">
        <w:rPr>
          <w:rStyle w:val="af9"/>
          <w:rFonts w:hint="cs"/>
          <w:rtl/>
        </w:rPr>
        <w:t>התוס'</w:t>
      </w:r>
      <w:r>
        <w:rPr>
          <w:rFonts w:hint="cs"/>
          <w:rtl/>
        </w:rPr>
        <w:t xml:space="preserve"> דלרב חסדא מתרצינן דיבוריה, ועי' במה שתירץ </w:t>
      </w:r>
      <w:r w:rsidRPr="00B64BA5">
        <w:rPr>
          <w:rStyle w:val="af9"/>
          <w:rFonts w:hint="cs"/>
          <w:rtl/>
        </w:rPr>
        <w:t>הגר"ח מטעלז</w:t>
      </w:r>
      <w:r>
        <w:rPr>
          <w:rFonts w:hint="cs"/>
          <w:rtl/>
        </w:rPr>
        <w:t xml:space="preserve"> </w:t>
      </w:r>
      <w:r w:rsidRPr="00A432B3">
        <w:rPr>
          <w:rStyle w:val="af7"/>
          <w:rFonts w:eastAsia="Guttman Hodes" w:hint="cs"/>
          <w:rtl/>
        </w:rPr>
        <w:t xml:space="preserve">(עי' אות </w:t>
      </w:r>
      <w:r w:rsidRPr="00A432B3">
        <w:rPr>
          <w:rStyle w:val="af7"/>
          <w:rFonts w:eastAsia="Guttman Hodes"/>
          <w:rtl/>
        </w:rPr>
        <w:fldChar w:fldCharType="begin"/>
      </w:r>
      <w:r w:rsidRPr="00A432B3">
        <w:rPr>
          <w:rStyle w:val="af7"/>
          <w:rFonts w:eastAsia="Guttman Hodes"/>
          <w:rtl/>
        </w:rPr>
        <w:instrText xml:space="preserve"> </w:instrText>
      </w:r>
      <w:r w:rsidRPr="00A432B3">
        <w:rPr>
          <w:rStyle w:val="af7"/>
          <w:rFonts w:eastAsia="Guttman Hodes" w:hint="cs"/>
        </w:rPr>
        <w:instrText>REF</w:instrText>
      </w:r>
      <w:r w:rsidRPr="00A432B3">
        <w:rPr>
          <w:rStyle w:val="af7"/>
          <w:rFonts w:eastAsia="Guttman Hodes" w:hint="cs"/>
          <w:rtl/>
        </w:rPr>
        <w:instrText xml:space="preserve"> _</w:instrText>
      </w:r>
      <w:r w:rsidRPr="00A432B3">
        <w:rPr>
          <w:rStyle w:val="af7"/>
          <w:rFonts w:eastAsia="Guttman Hodes" w:hint="cs"/>
        </w:rPr>
        <w:instrText>Ref61884465 \r \h</w:instrText>
      </w:r>
      <w:r w:rsidRPr="00A432B3">
        <w:rPr>
          <w:rStyle w:val="af7"/>
          <w:rFonts w:eastAsia="Guttman Hodes"/>
          <w:rtl/>
        </w:rPr>
        <w:instrText xml:space="preserve"> </w:instrText>
      </w:r>
      <w:r w:rsidRPr="00A432B3">
        <w:rPr>
          <w:rStyle w:val="af7"/>
          <w:rFonts w:eastAsia="Guttman Hodes"/>
          <w:rtl/>
        </w:rPr>
      </w:r>
      <w:r w:rsidRPr="00A432B3">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A432B3">
        <w:rPr>
          <w:rStyle w:val="af7"/>
          <w:rFonts w:eastAsia="Guttman Hodes"/>
          <w:rtl/>
        </w:rPr>
        <w:fldChar w:fldCharType="end"/>
      </w:r>
      <w:r>
        <w:rPr>
          <w:rFonts w:hint="cs"/>
          <w:rtl/>
        </w:rPr>
        <w:t xml:space="preserve"> בדעת </w:t>
      </w:r>
      <w:r w:rsidRPr="00B64BA5">
        <w:rPr>
          <w:rStyle w:val="af9"/>
          <w:rFonts w:hint="cs"/>
          <w:rtl/>
        </w:rPr>
        <w:t>התוס'</w:t>
      </w:r>
      <w:r>
        <w:rPr>
          <w:rFonts w:hint="cs"/>
          <w:rtl/>
        </w:rPr>
        <w:t xml:space="preserve"> </w:t>
      </w:r>
      <w:r w:rsidRPr="00B64BA5">
        <w:rPr>
          <w:rStyle w:val="af9"/>
          <w:rFonts w:hint="cs"/>
          <w:rtl/>
        </w:rPr>
        <w:t>לקמן</w:t>
      </w:r>
      <w:r>
        <w:rPr>
          <w:rFonts w:hint="cs"/>
          <w:rtl/>
        </w:rPr>
        <w:t>.</w:t>
      </w:r>
    </w:p>
    <w:p w:rsidR="00C34249" w:rsidRDefault="00C34249" w:rsidP="00C34249">
      <w:pPr>
        <w:pStyle w:val="1"/>
        <w:rPr>
          <w:rtl/>
        </w:rPr>
      </w:pPr>
      <w:bookmarkStart w:id="12383" w:name="_Toc61861403"/>
      <w:bookmarkStart w:id="12384" w:name="_Toc61867364"/>
      <w:bookmarkStart w:id="12385" w:name="_Toc61867470"/>
      <w:bookmarkStart w:id="12386" w:name="_Toc61887835"/>
      <w:r>
        <w:rPr>
          <w:rFonts w:hint="cs"/>
          <w:rtl/>
        </w:rPr>
        <w:t>הוכחת הגרעק"א מתוס' דאף לר"ח ל"א מיגו במקום עדים</w:t>
      </w:r>
      <w:bookmarkEnd w:id="12383"/>
      <w:bookmarkEnd w:id="12384"/>
      <w:bookmarkEnd w:id="12385"/>
      <w:bookmarkEnd w:id="12386"/>
    </w:p>
    <w:p w:rsidR="00C34249" w:rsidRPr="007272DA" w:rsidRDefault="00C34249" w:rsidP="00C34249">
      <w:pPr>
        <w:pStyle w:val="a3"/>
        <w:rPr>
          <w:rtl/>
        </w:rPr>
      </w:pPr>
      <w:bookmarkStart w:id="12387" w:name="_Toc61861404"/>
      <w:bookmarkStart w:id="12388" w:name="_Toc61867365"/>
      <w:bookmarkStart w:id="12389" w:name="_Toc61867471"/>
      <w:bookmarkStart w:id="12390" w:name="_Toc61887836"/>
      <w:r>
        <w:rPr>
          <w:rFonts w:hint="cs"/>
          <w:rtl/>
        </w:rPr>
        <w:t>הוכחת הגרעק"א מדברי התוס' לקמן בדין תו"ת דאף לרב חסדא ל"מ מיגו במק"ע</w:t>
      </w:r>
      <w:bookmarkEnd w:id="12387"/>
      <w:bookmarkEnd w:id="12388"/>
      <w:bookmarkEnd w:id="12389"/>
      <w:bookmarkEnd w:id="12390"/>
      <w:r>
        <w:rPr>
          <w:rFonts w:hint="cs"/>
          <w:rtl/>
        </w:rPr>
        <w:t xml:space="preserve"> </w:t>
      </w:r>
    </w:p>
    <w:p w:rsidR="00C34249" w:rsidRDefault="00C34249" w:rsidP="007E4E81">
      <w:pPr>
        <w:pStyle w:val="a0"/>
      </w:pPr>
      <w:bookmarkStart w:id="12391" w:name="_Ref61858566"/>
      <w:r>
        <w:rPr>
          <w:rFonts w:hint="cs"/>
          <w:rtl/>
        </w:rPr>
        <w:t xml:space="preserve">בדברי רב חסדא דאמר בגמ' לקמן </w:t>
      </w:r>
      <w:r w:rsidRPr="008B5F94">
        <w:rPr>
          <w:rStyle w:val="af7"/>
          <w:rFonts w:eastAsia="Guttman Hodes" w:hint="cs"/>
          <w:rtl/>
        </w:rPr>
        <w:t>(לא:)</w:t>
      </w:r>
      <w:r>
        <w:rPr>
          <w:rFonts w:hint="cs"/>
          <w:rtl/>
        </w:rPr>
        <w:t xml:space="preserve"> דאמר דבתרי ותרי אין המחזיק נאמן, הקשו </w:t>
      </w:r>
      <w:r w:rsidRPr="003479B8">
        <w:rPr>
          <w:rStyle w:val="af9"/>
          <w:rFonts w:hint="cs"/>
          <w:rtl/>
        </w:rPr>
        <w:t>התוס'</w:t>
      </w:r>
      <w:r>
        <w:rPr>
          <w:rFonts w:hint="cs"/>
          <w:rtl/>
        </w:rPr>
        <w:t xml:space="preserve"> </w:t>
      </w:r>
      <w:r w:rsidRPr="003479B8">
        <w:rPr>
          <w:rStyle w:val="af9"/>
          <w:rFonts w:hint="cs"/>
          <w:rtl/>
        </w:rPr>
        <w:t>לקמן</w:t>
      </w:r>
      <w:r>
        <w:rPr>
          <w:rFonts w:hint="cs"/>
          <w:rtl/>
        </w:rPr>
        <w:t xml:space="preserve"> </w:t>
      </w:r>
      <w:r w:rsidRPr="00B030F7">
        <w:rPr>
          <w:rStyle w:val="af7"/>
          <w:rFonts w:eastAsia="Guttman Hodes" w:hint="cs"/>
          <w:rtl/>
        </w:rPr>
        <w:t>(לא: ד"ה וזו)</w:t>
      </w:r>
      <w:r>
        <w:rPr>
          <w:rFonts w:hint="cs"/>
          <w:rtl/>
        </w:rPr>
        <w:t xml:space="preserve"> דאמאי אינו נאמן במיגו שהיה פוסל את העדים, ותירצו </w:t>
      </w:r>
      <w:r w:rsidRPr="003479B8">
        <w:rPr>
          <w:rStyle w:val="af9"/>
          <w:rFonts w:hint="cs"/>
          <w:rtl/>
        </w:rPr>
        <w:t>התוס'</w:t>
      </w:r>
      <w:r>
        <w:rPr>
          <w:rFonts w:hint="cs"/>
          <w:rtl/>
        </w:rPr>
        <w:t xml:space="preserve"> </w:t>
      </w:r>
      <w:r w:rsidRPr="003479B8">
        <w:rPr>
          <w:rStyle w:val="af9"/>
          <w:rFonts w:hint="cs"/>
          <w:rtl/>
        </w:rPr>
        <w:t>לקמן</w:t>
      </w:r>
      <w:r>
        <w:rPr>
          <w:rFonts w:hint="cs"/>
          <w:rtl/>
        </w:rPr>
        <w:t xml:space="preserve"> דהוא מיגו במקום עדים, וכתב </w:t>
      </w:r>
      <w:r w:rsidRPr="00EE39AB">
        <w:rPr>
          <w:rStyle w:val="af9"/>
          <w:rFonts w:hint="cs"/>
          <w:rtl/>
        </w:rPr>
        <w:t>הגרעק"א</w:t>
      </w:r>
      <w:r>
        <w:rPr>
          <w:rFonts w:hint="cs"/>
          <w:rtl/>
        </w:rPr>
        <w:t xml:space="preserve"> </w:t>
      </w:r>
      <w:r>
        <w:rPr>
          <w:rStyle w:val="af7"/>
          <w:rFonts w:eastAsia="Guttman Hodes" w:hint="cs"/>
          <w:rtl/>
        </w:rPr>
        <w:t>(</w:t>
      </w:r>
      <w:r w:rsidRPr="00B030F7">
        <w:rPr>
          <w:rStyle w:val="af7"/>
          <w:rFonts w:eastAsia="Guttman Hodes" w:hint="cs"/>
          <w:rtl/>
        </w:rPr>
        <w:t xml:space="preserve">לקמן לג: ד"ה </w:t>
      </w:r>
      <w:r w:rsidRPr="00DF2AF1">
        <w:rPr>
          <w:rStyle w:val="af7"/>
          <w:rFonts w:eastAsia="Guttman Hodes" w:hint="cs"/>
          <w:rtl/>
        </w:rPr>
        <w:t>וביותר</w:t>
      </w:r>
      <w:r w:rsidRPr="00B030F7">
        <w:rPr>
          <w:rStyle w:val="af7"/>
          <w:rFonts w:eastAsia="Guttman Hodes" w:hint="cs"/>
          <w:rtl/>
        </w:rPr>
        <w:t xml:space="preserve">, גרעק"א השלם [כחול] בסוגיין ד"ה </w:t>
      </w:r>
      <w:r w:rsidRPr="00DF2AF1">
        <w:rPr>
          <w:rStyle w:val="af7"/>
          <w:rFonts w:eastAsia="Guttman Hodes" w:hint="cs"/>
          <w:rtl/>
        </w:rPr>
        <w:t>וביותר</w:t>
      </w:r>
      <w:r w:rsidRPr="00B030F7">
        <w:rPr>
          <w:rStyle w:val="af7"/>
          <w:rFonts w:eastAsia="Guttman Hodes" w:hint="cs"/>
          <w:rtl/>
        </w:rPr>
        <w:t xml:space="preserve">, </w:t>
      </w:r>
      <w:r>
        <w:rPr>
          <w:rStyle w:val="af7"/>
          <w:rFonts w:eastAsia="Guttman Hodes" w:hint="cs"/>
          <w:rtl/>
        </w:rPr>
        <w:t>שו</w:t>
      </w:r>
      <w:r>
        <w:rPr>
          <w:rStyle w:val="af7"/>
          <w:rFonts w:eastAsia="Guttman Hodes"/>
          <w:rtl/>
        </w:rPr>
        <w:t>"</w:t>
      </w:r>
      <w:r>
        <w:rPr>
          <w:rStyle w:val="af7"/>
          <w:rFonts w:eastAsia="Guttman Hodes" w:hint="cs"/>
          <w:rtl/>
        </w:rPr>
        <w:t>ת ח</w:t>
      </w:r>
      <w:r>
        <w:rPr>
          <w:rStyle w:val="af7"/>
          <w:rFonts w:eastAsia="Guttman Hodes"/>
          <w:rtl/>
        </w:rPr>
        <w:t>"</w:t>
      </w:r>
      <w:r>
        <w:rPr>
          <w:rStyle w:val="af7"/>
          <w:rFonts w:eastAsia="Guttman Hodes" w:hint="cs"/>
          <w:rtl/>
        </w:rPr>
        <w:t>ב [מהדו</w:t>
      </w:r>
      <w:r>
        <w:rPr>
          <w:rStyle w:val="af7"/>
          <w:rFonts w:eastAsia="Guttman Hodes"/>
          <w:rtl/>
        </w:rPr>
        <w:t>"</w:t>
      </w:r>
      <w:r>
        <w:rPr>
          <w:rStyle w:val="af7"/>
          <w:rFonts w:eastAsia="Guttman Hodes" w:hint="cs"/>
          <w:rtl/>
        </w:rPr>
        <w:t xml:space="preserve">ת] </w:t>
      </w:r>
      <w:r w:rsidRPr="00B030F7">
        <w:rPr>
          <w:rStyle w:val="af7"/>
          <w:rFonts w:eastAsia="Guttman Hodes" w:hint="cs"/>
          <w:rtl/>
        </w:rPr>
        <w:t>סי' ק"ל)</w:t>
      </w:r>
      <w:r>
        <w:rPr>
          <w:rFonts w:hint="cs"/>
          <w:rtl/>
        </w:rPr>
        <w:t xml:space="preserve"> דמבואר דאף בדעת רב חסדא ביארו </w:t>
      </w:r>
      <w:r w:rsidRPr="00EE39AB">
        <w:rPr>
          <w:rStyle w:val="af9"/>
          <w:rFonts w:hint="cs"/>
          <w:rtl/>
        </w:rPr>
        <w:t>התוס'</w:t>
      </w:r>
      <w:r>
        <w:rPr>
          <w:rFonts w:hint="cs"/>
          <w:rtl/>
        </w:rPr>
        <w:t xml:space="preserve"> דלא אמרינן מיגו במקום עדים.</w:t>
      </w:r>
      <w:bookmarkEnd w:id="12391"/>
    </w:p>
    <w:p w:rsidR="00C34249" w:rsidRPr="00FE39A7" w:rsidRDefault="00C34249" w:rsidP="00C34249">
      <w:pPr>
        <w:pStyle w:val="1"/>
        <w:rPr>
          <w:rtl/>
        </w:rPr>
      </w:pPr>
      <w:bookmarkStart w:id="12392" w:name="_Toc61861405"/>
      <w:bookmarkStart w:id="12393" w:name="_Toc61867366"/>
      <w:bookmarkStart w:id="12394" w:name="_Toc61867472"/>
      <w:bookmarkStart w:id="12395" w:name="_Toc61887837"/>
      <w:r>
        <w:rPr>
          <w:rFonts w:hint="cs"/>
          <w:rtl/>
        </w:rPr>
        <w:t>ביאור הגרעק"א בתוס' דלר"ח מהני מיגו דמתרצינן דיבוריה</w:t>
      </w:r>
      <w:bookmarkEnd w:id="12392"/>
      <w:bookmarkEnd w:id="12393"/>
      <w:bookmarkEnd w:id="12394"/>
      <w:bookmarkEnd w:id="12395"/>
    </w:p>
    <w:p w:rsidR="00C34249" w:rsidRPr="00F33A62" w:rsidRDefault="00C34249" w:rsidP="00C34249">
      <w:pPr>
        <w:pStyle w:val="a3"/>
        <w:rPr>
          <w:rtl/>
        </w:rPr>
      </w:pPr>
      <w:bookmarkStart w:id="12396" w:name="_Toc61861406"/>
      <w:bookmarkStart w:id="12397" w:name="_Toc61867367"/>
      <w:bookmarkStart w:id="12398" w:name="_Toc61867473"/>
      <w:bookmarkStart w:id="12399" w:name="_Toc61887838"/>
      <w:r>
        <w:rPr>
          <w:rFonts w:hint="cs"/>
          <w:rtl/>
        </w:rPr>
        <w:t>דברי הגרעק"א דאף לר"ח ל"מ מיגו במק"ע אלא מתרצינן דיבוריה כדמוכח בתוס' לקמן</w:t>
      </w:r>
      <w:bookmarkEnd w:id="12396"/>
      <w:bookmarkEnd w:id="12397"/>
      <w:bookmarkEnd w:id="12398"/>
      <w:bookmarkEnd w:id="12399"/>
    </w:p>
    <w:p w:rsidR="00C34249" w:rsidRDefault="00C34249" w:rsidP="007E4E81">
      <w:pPr>
        <w:pStyle w:val="a0"/>
        <w:rPr>
          <w:rtl/>
        </w:rPr>
      </w:pPr>
      <w:bookmarkStart w:id="12400" w:name="_Ref61774223"/>
      <w:r>
        <w:rPr>
          <w:rFonts w:hint="cs"/>
          <w:rtl/>
        </w:rPr>
        <w:t xml:space="preserve">אלא כתב </w:t>
      </w:r>
      <w:r w:rsidRPr="00EE39AB">
        <w:rPr>
          <w:rStyle w:val="af9"/>
          <w:rFonts w:hint="cs"/>
          <w:rtl/>
        </w:rPr>
        <w:t>הגרעק"א</w:t>
      </w:r>
      <w:r>
        <w:rPr>
          <w:rFonts w:hint="cs"/>
          <w:rtl/>
        </w:rPr>
        <w:t xml:space="preserve"> </w:t>
      </w:r>
      <w:r>
        <w:rPr>
          <w:rStyle w:val="af7"/>
          <w:rFonts w:eastAsia="Guttman Hodes" w:hint="cs"/>
          <w:rtl/>
        </w:rPr>
        <w:t>(</w:t>
      </w:r>
      <w:r w:rsidRPr="00B030F7">
        <w:rPr>
          <w:rStyle w:val="af7"/>
          <w:rFonts w:eastAsia="Guttman Hodes" w:hint="cs"/>
          <w:rtl/>
        </w:rPr>
        <w:t xml:space="preserve">לקמן לג: ד"ה </w:t>
      </w:r>
      <w:r w:rsidRPr="00DF2AF1">
        <w:rPr>
          <w:rStyle w:val="af7"/>
          <w:rFonts w:eastAsia="Guttman Hodes" w:hint="cs"/>
          <w:rtl/>
        </w:rPr>
        <w:t>וביותר</w:t>
      </w:r>
      <w:r w:rsidRPr="00B030F7">
        <w:rPr>
          <w:rStyle w:val="af7"/>
          <w:rFonts w:eastAsia="Guttman Hodes" w:hint="cs"/>
          <w:rtl/>
        </w:rPr>
        <w:t xml:space="preserve">, גרעק"א השלם [כחול] בסוגיין ד"ה </w:t>
      </w:r>
      <w:r w:rsidRPr="00DF2AF1">
        <w:rPr>
          <w:rStyle w:val="af7"/>
          <w:rFonts w:eastAsia="Guttman Hodes" w:hint="cs"/>
          <w:rtl/>
        </w:rPr>
        <w:t>וביותר</w:t>
      </w:r>
      <w:r w:rsidRPr="00B030F7">
        <w:rPr>
          <w:rStyle w:val="af7"/>
          <w:rFonts w:eastAsia="Guttman Hodes" w:hint="cs"/>
          <w:rtl/>
        </w:rPr>
        <w:t xml:space="preserve">, </w:t>
      </w:r>
      <w:r>
        <w:rPr>
          <w:rStyle w:val="af7"/>
          <w:rFonts w:eastAsia="Guttman Hodes" w:hint="cs"/>
          <w:rtl/>
        </w:rPr>
        <w:t>שו</w:t>
      </w:r>
      <w:r>
        <w:rPr>
          <w:rStyle w:val="af7"/>
          <w:rFonts w:eastAsia="Guttman Hodes"/>
          <w:rtl/>
        </w:rPr>
        <w:t>"</w:t>
      </w:r>
      <w:r>
        <w:rPr>
          <w:rStyle w:val="af7"/>
          <w:rFonts w:eastAsia="Guttman Hodes" w:hint="cs"/>
          <w:rtl/>
        </w:rPr>
        <w:t>ת ח</w:t>
      </w:r>
      <w:r>
        <w:rPr>
          <w:rStyle w:val="af7"/>
          <w:rFonts w:eastAsia="Guttman Hodes"/>
          <w:rtl/>
        </w:rPr>
        <w:t>"</w:t>
      </w:r>
      <w:r>
        <w:rPr>
          <w:rStyle w:val="af7"/>
          <w:rFonts w:eastAsia="Guttman Hodes" w:hint="cs"/>
          <w:rtl/>
        </w:rPr>
        <w:t>ב [מהדו</w:t>
      </w:r>
      <w:r>
        <w:rPr>
          <w:rStyle w:val="af7"/>
          <w:rFonts w:eastAsia="Guttman Hodes"/>
          <w:rtl/>
        </w:rPr>
        <w:t>"</w:t>
      </w:r>
      <w:r>
        <w:rPr>
          <w:rStyle w:val="af7"/>
          <w:rFonts w:eastAsia="Guttman Hodes" w:hint="cs"/>
          <w:rtl/>
        </w:rPr>
        <w:t xml:space="preserve">ת] </w:t>
      </w:r>
      <w:r w:rsidRPr="00B030F7">
        <w:rPr>
          <w:rStyle w:val="af7"/>
          <w:rFonts w:eastAsia="Guttman Hodes" w:hint="cs"/>
          <w:rtl/>
        </w:rPr>
        <w:t>סי' ק"ל)</w:t>
      </w:r>
      <w:r>
        <w:rPr>
          <w:rFonts w:hint="cs"/>
          <w:rtl/>
        </w:rPr>
        <w:t xml:space="preserve"> דמבואר מדברי </w:t>
      </w:r>
      <w:r w:rsidRPr="003479B8">
        <w:rPr>
          <w:rStyle w:val="af9"/>
          <w:rFonts w:hint="cs"/>
          <w:rtl/>
        </w:rPr>
        <w:t>התוס'</w:t>
      </w:r>
      <w:r>
        <w:rPr>
          <w:rFonts w:hint="cs"/>
          <w:rtl/>
        </w:rPr>
        <w:t xml:space="preserve"> </w:t>
      </w:r>
      <w:r w:rsidRPr="00100779">
        <w:rPr>
          <w:rStyle w:val="af7"/>
          <w:rFonts w:eastAsia="Guttman Hodes" w:hint="cs"/>
          <w:rtl/>
        </w:rPr>
        <w:t xml:space="preserve">לקמן (עי' אות </w:t>
      </w:r>
      <w:r w:rsidRPr="00100779">
        <w:rPr>
          <w:rStyle w:val="af7"/>
          <w:rFonts w:eastAsia="Guttman Hodes"/>
          <w:rtl/>
        </w:rPr>
        <w:fldChar w:fldCharType="begin"/>
      </w:r>
      <w:r w:rsidRPr="00100779">
        <w:rPr>
          <w:rStyle w:val="af7"/>
          <w:rFonts w:eastAsia="Guttman Hodes"/>
          <w:rtl/>
        </w:rPr>
        <w:instrText xml:space="preserve"> </w:instrText>
      </w:r>
      <w:r w:rsidRPr="00100779">
        <w:rPr>
          <w:rStyle w:val="af7"/>
          <w:rFonts w:eastAsia="Guttman Hodes" w:hint="cs"/>
        </w:rPr>
        <w:instrText>REF</w:instrText>
      </w:r>
      <w:r w:rsidRPr="00100779">
        <w:rPr>
          <w:rStyle w:val="af7"/>
          <w:rFonts w:eastAsia="Guttman Hodes" w:hint="cs"/>
          <w:rtl/>
        </w:rPr>
        <w:instrText xml:space="preserve"> _</w:instrText>
      </w:r>
      <w:r w:rsidRPr="00100779">
        <w:rPr>
          <w:rStyle w:val="af7"/>
          <w:rFonts w:eastAsia="Guttman Hodes" w:hint="cs"/>
        </w:rPr>
        <w:instrText>Ref61858566 \r \h</w:instrText>
      </w:r>
      <w:r w:rsidRPr="00100779">
        <w:rPr>
          <w:rStyle w:val="af7"/>
          <w:rFonts w:eastAsia="Guttman Hodes"/>
          <w:rtl/>
        </w:rPr>
        <w:instrText xml:space="preserve"> </w:instrText>
      </w:r>
      <w:r w:rsidRPr="00100779">
        <w:rPr>
          <w:rStyle w:val="af7"/>
          <w:rFonts w:eastAsia="Guttman Hodes"/>
          <w:rtl/>
        </w:rPr>
      </w:r>
      <w:r w:rsidRPr="00100779">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100779">
        <w:rPr>
          <w:rStyle w:val="af7"/>
          <w:rFonts w:eastAsia="Guttman Hodes"/>
          <w:rtl/>
        </w:rPr>
        <w:fldChar w:fldCharType="end"/>
      </w:r>
      <w:r>
        <w:rPr>
          <w:rFonts w:hint="cs"/>
          <w:rtl/>
        </w:rPr>
        <w:t xml:space="preserve"> דאף בדעת רב חסדא לא אמרינן מיגו במקום עדים, והא דס"ל לרב חסדא לקמן </w:t>
      </w:r>
      <w:r w:rsidRPr="00B030F7">
        <w:rPr>
          <w:rStyle w:val="af7"/>
          <w:rFonts w:eastAsia="Guttman Hodes" w:hint="cs"/>
          <w:rtl/>
        </w:rPr>
        <w:t>(לג:)</w:t>
      </w:r>
      <w:r>
        <w:rPr>
          <w:rFonts w:hint="cs"/>
          <w:rtl/>
        </w:rPr>
        <w:t xml:space="preserve"> דמהני המיגו היינו דמתרצינן את דבריו שאינו כנגד העדים, ועי' במה שדחה </w:t>
      </w:r>
      <w:r w:rsidRPr="00EE39AB">
        <w:rPr>
          <w:rStyle w:val="af9"/>
          <w:rFonts w:hint="cs"/>
          <w:rtl/>
        </w:rPr>
        <w:t>התומים</w:t>
      </w:r>
      <w:r>
        <w:rPr>
          <w:rFonts w:hint="cs"/>
          <w:rtl/>
        </w:rPr>
        <w:t xml:space="preserve"> </w:t>
      </w:r>
      <w:r w:rsidRPr="00B030F7">
        <w:rPr>
          <w:rStyle w:val="af7"/>
          <w:rFonts w:eastAsia="Guttman Hodes" w:hint="cs"/>
          <w:rtl/>
        </w:rPr>
        <w:t xml:space="preserve">(עי' אות </w:t>
      </w:r>
      <w:r w:rsidRPr="00B030F7">
        <w:rPr>
          <w:rStyle w:val="af7"/>
          <w:rFonts w:eastAsia="Guttman Hodes"/>
          <w:rtl/>
        </w:rPr>
        <w:fldChar w:fldCharType="begin"/>
      </w:r>
      <w:r w:rsidRPr="00B030F7">
        <w:rPr>
          <w:rStyle w:val="af7"/>
          <w:rFonts w:eastAsia="Guttman Hodes"/>
          <w:rtl/>
        </w:rPr>
        <w:instrText xml:space="preserve"> </w:instrText>
      </w:r>
      <w:r w:rsidRPr="00B030F7">
        <w:rPr>
          <w:rStyle w:val="af7"/>
          <w:rFonts w:eastAsia="Guttman Hodes" w:hint="cs"/>
        </w:rPr>
        <w:instrText>REF</w:instrText>
      </w:r>
      <w:r w:rsidRPr="00B030F7">
        <w:rPr>
          <w:rStyle w:val="af7"/>
          <w:rFonts w:eastAsia="Guttman Hodes" w:hint="cs"/>
          <w:rtl/>
        </w:rPr>
        <w:instrText xml:space="preserve"> _</w:instrText>
      </w:r>
      <w:r w:rsidRPr="00B030F7">
        <w:rPr>
          <w:rStyle w:val="af7"/>
          <w:rFonts w:eastAsia="Guttman Hodes" w:hint="cs"/>
        </w:rPr>
        <w:instrText>Ref61774213 \r \h</w:instrText>
      </w:r>
      <w:r w:rsidRPr="00B030F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030F7">
        <w:rPr>
          <w:rStyle w:val="af7"/>
          <w:rFonts w:eastAsia="Guttman Hodes"/>
          <w:rtl/>
        </w:rPr>
      </w:r>
      <w:r w:rsidRPr="00B030F7">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B030F7">
        <w:rPr>
          <w:rStyle w:val="af7"/>
          <w:rFonts w:eastAsia="Guttman Hodes"/>
          <w:rtl/>
        </w:rPr>
        <w:fldChar w:fldCharType="end"/>
      </w:r>
      <w:r>
        <w:rPr>
          <w:rFonts w:hint="cs"/>
          <w:rtl/>
        </w:rPr>
        <w:t xml:space="preserve"> את ראיית </w:t>
      </w:r>
      <w:r w:rsidRPr="00EE39AB">
        <w:rPr>
          <w:rStyle w:val="af9"/>
          <w:rFonts w:hint="cs"/>
          <w:rtl/>
        </w:rPr>
        <w:t>הגרעק"א מהתוס' לקמן</w:t>
      </w:r>
      <w:r>
        <w:rPr>
          <w:rFonts w:hint="cs"/>
          <w:rtl/>
        </w:rPr>
        <w:t xml:space="preserve">, ובמה שביאר </w:t>
      </w:r>
      <w:r w:rsidRPr="00AA7176">
        <w:rPr>
          <w:rStyle w:val="af9"/>
          <w:rFonts w:hint="cs"/>
          <w:rtl/>
        </w:rPr>
        <w:t>הנחל</w:t>
      </w:r>
      <w:r>
        <w:rPr>
          <w:rFonts w:hint="cs"/>
          <w:rtl/>
        </w:rPr>
        <w:t xml:space="preserve"> </w:t>
      </w:r>
      <w:r w:rsidRPr="00AA7176">
        <w:rPr>
          <w:rStyle w:val="af9"/>
          <w:rFonts w:hint="cs"/>
          <w:rtl/>
        </w:rPr>
        <w:t>יצחק</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Ref61780595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Pr>
          <w:rStyle w:val="af7"/>
          <w:rFonts w:eastAsia="Guttman Hodes"/>
          <w:rtl/>
        </w:rPr>
        <w:fldChar w:fldCharType="end"/>
      </w:r>
      <w:r>
        <w:rPr>
          <w:rFonts w:hint="cs"/>
          <w:rtl/>
        </w:rPr>
        <w:t xml:space="preserve"> בדעת </w:t>
      </w:r>
      <w:r w:rsidRPr="00AA7176">
        <w:rPr>
          <w:rStyle w:val="af9"/>
          <w:rFonts w:hint="cs"/>
          <w:rtl/>
        </w:rPr>
        <w:t>התוס'</w:t>
      </w:r>
      <w:r>
        <w:rPr>
          <w:rFonts w:hint="cs"/>
          <w:rtl/>
        </w:rPr>
        <w:t xml:space="preserve"> </w:t>
      </w:r>
      <w:r w:rsidRPr="00AA7176">
        <w:rPr>
          <w:rStyle w:val="af9"/>
          <w:rFonts w:hint="cs"/>
          <w:rtl/>
        </w:rPr>
        <w:t>לקמן</w:t>
      </w:r>
      <w:r>
        <w:rPr>
          <w:rFonts w:hint="cs"/>
          <w:rtl/>
        </w:rPr>
        <w:t>.</w:t>
      </w:r>
      <w:bookmarkEnd w:id="12400"/>
    </w:p>
    <w:p w:rsidR="00C34249" w:rsidRPr="001B446D" w:rsidRDefault="00C34249" w:rsidP="00C34249">
      <w:pPr>
        <w:pStyle w:val="a3"/>
        <w:rPr>
          <w:rtl/>
        </w:rPr>
      </w:pPr>
      <w:bookmarkStart w:id="12401" w:name="_Toc61861407"/>
      <w:bookmarkStart w:id="12402" w:name="_Toc61867368"/>
      <w:bookmarkStart w:id="12403" w:name="_Toc61867474"/>
      <w:bookmarkStart w:id="12404" w:name="_Toc61887839"/>
      <w:r>
        <w:rPr>
          <w:rFonts w:hint="cs"/>
          <w:rtl/>
        </w:rPr>
        <w:t>הוכחת הגרעק"א מהתוס' בב"מ דעדים עדיפי ממיגו ומשמע דלכו"ע ל"מ מיגו במקום עדים</w:t>
      </w:r>
      <w:bookmarkEnd w:id="12401"/>
      <w:bookmarkEnd w:id="12402"/>
      <w:bookmarkEnd w:id="12403"/>
      <w:bookmarkEnd w:id="12404"/>
    </w:p>
    <w:p w:rsidR="00C34249" w:rsidRDefault="00C34249" w:rsidP="007E4E81">
      <w:pPr>
        <w:pStyle w:val="a0"/>
        <w:rPr>
          <w:rtl/>
        </w:rPr>
      </w:pPr>
      <w:bookmarkStart w:id="12405" w:name="_Ref61772657"/>
      <w:r>
        <w:rPr>
          <w:rFonts w:hint="cs"/>
          <w:rtl/>
        </w:rPr>
        <w:t xml:space="preserve">והביא </w:t>
      </w:r>
      <w:r w:rsidRPr="00EE39AB">
        <w:rPr>
          <w:rStyle w:val="af9"/>
          <w:rFonts w:hint="cs"/>
          <w:rtl/>
        </w:rPr>
        <w:t>הגרעק</w:t>
      </w:r>
      <w:r w:rsidRPr="00EE39AB">
        <w:rPr>
          <w:rStyle w:val="af9"/>
          <w:rtl/>
        </w:rPr>
        <w:t>"</w:t>
      </w:r>
      <w:r w:rsidRPr="00EE39AB">
        <w:rPr>
          <w:rStyle w:val="af9"/>
          <w:rFonts w:hint="cs"/>
          <w:rtl/>
        </w:rPr>
        <w:t>א</w:t>
      </w:r>
      <w:r>
        <w:rPr>
          <w:rFonts w:hint="cs"/>
          <w:rtl/>
        </w:rPr>
        <w:t xml:space="preserve"> </w:t>
      </w:r>
      <w:r w:rsidRPr="00B030F7">
        <w:rPr>
          <w:rStyle w:val="af7"/>
          <w:rFonts w:eastAsia="Guttman Hodes" w:hint="cs"/>
          <w:rtl/>
        </w:rPr>
        <w:t>(ד"ה עוד)</w:t>
      </w:r>
      <w:r>
        <w:rPr>
          <w:rFonts w:hint="cs"/>
          <w:rtl/>
        </w:rPr>
        <w:t xml:space="preserve"> את דברי </w:t>
      </w:r>
      <w:r w:rsidRPr="00EE39AB">
        <w:rPr>
          <w:rStyle w:val="af9"/>
          <w:rFonts w:hint="cs"/>
          <w:rtl/>
        </w:rPr>
        <w:t>התוס'</w:t>
      </w:r>
      <w:r>
        <w:rPr>
          <w:rFonts w:hint="cs"/>
          <w:rtl/>
        </w:rPr>
        <w:t xml:space="preserve"> </w:t>
      </w:r>
      <w:r w:rsidRPr="00FE39A7">
        <w:rPr>
          <w:rStyle w:val="af9"/>
          <w:rFonts w:hint="cs"/>
          <w:rtl/>
        </w:rPr>
        <w:t>בב"מ</w:t>
      </w:r>
      <w:r>
        <w:rPr>
          <w:rFonts w:hint="cs"/>
          <w:rtl/>
        </w:rPr>
        <w:t xml:space="preserve"> </w:t>
      </w:r>
      <w:r w:rsidRPr="00B030F7">
        <w:rPr>
          <w:rStyle w:val="af7"/>
          <w:rFonts w:eastAsia="Guttman Hodes" w:hint="cs"/>
          <w:rtl/>
        </w:rPr>
        <w:t>(ב. ד"ה וזה)</w:t>
      </w:r>
      <w:r>
        <w:rPr>
          <w:rFonts w:hint="cs"/>
          <w:rtl/>
        </w:rPr>
        <w:t xml:space="preserve"> דהקשו על דברי הגמ' שם אמאי לא מהני מיגו להוציא, ותירצו דמיגו להוציא לא אמרינן, וכתב </w:t>
      </w:r>
      <w:r w:rsidRPr="00453A0E">
        <w:rPr>
          <w:rStyle w:val="af9"/>
          <w:rFonts w:hint="cs"/>
          <w:rtl/>
        </w:rPr>
        <w:t>הגרעק"א</w:t>
      </w:r>
      <w:r>
        <w:rPr>
          <w:rFonts w:hint="cs"/>
          <w:rtl/>
        </w:rPr>
        <w:t xml:space="preserve"> דמבואר מדברי </w:t>
      </w:r>
      <w:r w:rsidRPr="00453A0E">
        <w:rPr>
          <w:rStyle w:val="af9"/>
          <w:rFonts w:hint="cs"/>
          <w:rtl/>
        </w:rPr>
        <w:t>התוס' בב"מ</w:t>
      </w:r>
      <w:r>
        <w:rPr>
          <w:rFonts w:hint="cs"/>
          <w:rtl/>
        </w:rPr>
        <w:t xml:space="preserve"> דעדים עדיפי ממיגו, דהא עדים מהני להוציא ממון ומיגו לא מהני, וא"כ אי ס"ל </w:t>
      </w:r>
      <w:r w:rsidRPr="00DF2AF1">
        <w:rPr>
          <w:rStyle w:val="af9"/>
          <w:rFonts w:hint="cs"/>
          <w:rtl/>
        </w:rPr>
        <w:t xml:space="preserve">להתוס' </w:t>
      </w:r>
      <w:r>
        <w:rPr>
          <w:rFonts w:hint="cs"/>
          <w:rtl/>
        </w:rPr>
        <w:t xml:space="preserve">דלדעת רב חסדא אמרינן מיגו במקום עדים, א"כ מהני אף מיגו להוציא, והיה </w:t>
      </w:r>
      <w:r w:rsidRPr="00EE39AB">
        <w:rPr>
          <w:rStyle w:val="af9"/>
          <w:rFonts w:hint="cs"/>
          <w:rtl/>
        </w:rPr>
        <w:t>להתוס'</w:t>
      </w:r>
      <w:r>
        <w:rPr>
          <w:rFonts w:hint="cs"/>
          <w:rtl/>
        </w:rPr>
        <w:t xml:space="preserve"> בב"מ להקשות כן לדעת רב חסדא.</w:t>
      </w:r>
      <w:bookmarkEnd w:id="12405"/>
    </w:p>
    <w:p w:rsidR="00C34249" w:rsidRDefault="00C34249" w:rsidP="00C34249">
      <w:pPr>
        <w:pStyle w:val="a3"/>
        <w:rPr>
          <w:rtl/>
        </w:rPr>
      </w:pPr>
      <w:bookmarkStart w:id="12406" w:name="_Toc61861408"/>
      <w:bookmarkStart w:id="12407" w:name="_Toc61867369"/>
      <w:bookmarkStart w:id="12408" w:name="_Toc61867475"/>
      <w:bookmarkStart w:id="12409" w:name="_Toc61887840"/>
      <w:r>
        <w:rPr>
          <w:rFonts w:hint="cs"/>
          <w:rtl/>
        </w:rPr>
        <w:lastRenderedPageBreak/>
        <w:t>הוכחת הגרעק"א מהתוס' בב"מ דלרבה ל"מ מיגו במק"ע וא"כ קשה דלתוס' גרסינן בסוגיין רבה</w:t>
      </w:r>
      <w:bookmarkEnd w:id="12406"/>
      <w:bookmarkEnd w:id="12407"/>
      <w:bookmarkEnd w:id="12408"/>
      <w:bookmarkEnd w:id="12409"/>
      <w:r>
        <w:rPr>
          <w:rFonts w:hint="cs"/>
          <w:rtl/>
        </w:rPr>
        <w:t xml:space="preserve"> </w:t>
      </w:r>
    </w:p>
    <w:p w:rsidR="00C34249" w:rsidRDefault="00C34249" w:rsidP="007E4E81">
      <w:pPr>
        <w:pStyle w:val="a0"/>
        <w:rPr>
          <w:rtl/>
        </w:rPr>
      </w:pPr>
      <w:r>
        <w:rPr>
          <w:rFonts w:hint="cs"/>
          <w:rtl/>
        </w:rPr>
        <w:t xml:space="preserve">והוסיף </w:t>
      </w:r>
      <w:r w:rsidRPr="00EE39AB">
        <w:rPr>
          <w:rStyle w:val="af9"/>
          <w:rFonts w:hint="cs"/>
          <w:rtl/>
        </w:rPr>
        <w:t>הגרעק"א דהתוס' בב"מ</w:t>
      </w:r>
      <w:r>
        <w:rPr>
          <w:rFonts w:hint="cs"/>
          <w:rtl/>
        </w:rPr>
        <w:t xml:space="preserve"> כתבו דאף לדעת רבה דלא אמרינן מיגו להוציא, וא"כ מוכח דס"ל לרבה דעדים עדיפי ממיגו, דהא עדים מהני להוציא ממון ומיגו לא, ומוכח דמודה רבה דלא אמרינן מיגו במקום עדים, והא </w:t>
      </w:r>
      <w:r w:rsidRPr="00371186">
        <w:rPr>
          <w:rStyle w:val="af9"/>
          <w:rFonts w:hint="cs"/>
          <w:rtl/>
        </w:rPr>
        <w:t>התוס' בסוגיין</w:t>
      </w:r>
      <w:r>
        <w:rPr>
          <w:rFonts w:hint="cs"/>
          <w:rtl/>
        </w:rPr>
        <w:t xml:space="preserve"> </w:t>
      </w:r>
      <w:r w:rsidRPr="000466B7">
        <w:rPr>
          <w:rStyle w:val="af7"/>
          <w:rFonts w:eastAsia="Guttman Hodes" w:hint="cs"/>
          <w:rtl/>
        </w:rPr>
        <w:t xml:space="preserve">(עי' אות </w:t>
      </w:r>
      <w:r w:rsidRPr="000466B7">
        <w:rPr>
          <w:rStyle w:val="af7"/>
          <w:rFonts w:eastAsia="Guttman Hodes"/>
          <w:rtl/>
        </w:rPr>
        <w:fldChar w:fldCharType="begin"/>
      </w:r>
      <w:r w:rsidRPr="000466B7">
        <w:rPr>
          <w:rStyle w:val="af7"/>
          <w:rFonts w:eastAsia="Guttman Hodes"/>
          <w:rtl/>
        </w:rPr>
        <w:instrText xml:space="preserve"> </w:instrText>
      </w:r>
      <w:r w:rsidRPr="000466B7">
        <w:rPr>
          <w:rStyle w:val="af7"/>
          <w:rFonts w:eastAsia="Guttman Hodes" w:hint="cs"/>
        </w:rPr>
        <w:instrText>REF</w:instrText>
      </w:r>
      <w:r w:rsidRPr="000466B7">
        <w:rPr>
          <w:rStyle w:val="af7"/>
          <w:rFonts w:eastAsia="Guttman Hodes" w:hint="cs"/>
          <w:rtl/>
        </w:rPr>
        <w:instrText xml:space="preserve"> _</w:instrText>
      </w:r>
      <w:r w:rsidRPr="000466B7">
        <w:rPr>
          <w:rStyle w:val="af7"/>
          <w:rFonts w:eastAsia="Guttman Hodes" w:hint="cs"/>
        </w:rPr>
        <w:instrText>Ref61814779 \r \h</w:instrText>
      </w:r>
      <w:r w:rsidRPr="000466B7">
        <w:rPr>
          <w:rStyle w:val="af7"/>
          <w:rFonts w:eastAsia="Guttman Hodes"/>
          <w:rtl/>
        </w:rPr>
        <w:instrText xml:space="preserve"> </w:instrText>
      </w:r>
      <w:r w:rsidRPr="000466B7">
        <w:rPr>
          <w:rStyle w:val="af7"/>
          <w:rFonts w:eastAsia="Guttman Hodes"/>
          <w:rtl/>
        </w:rPr>
      </w:r>
      <w:r w:rsidRPr="000466B7">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0466B7">
        <w:rPr>
          <w:rStyle w:val="af7"/>
          <w:rFonts w:eastAsia="Guttman Hodes"/>
          <w:rtl/>
        </w:rPr>
        <w:fldChar w:fldCharType="end"/>
      </w:r>
      <w:r w:rsidRPr="000466B7">
        <w:rPr>
          <w:rStyle w:val="af7"/>
          <w:rFonts w:eastAsia="Guttman Hodes" w:hint="cs"/>
          <w:rtl/>
        </w:rPr>
        <w:t xml:space="preserve"> </w:t>
      </w:r>
      <w:r>
        <w:rPr>
          <w:rFonts w:hint="cs"/>
          <w:rtl/>
        </w:rPr>
        <w:t xml:space="preserve">כתבו דלא גרסינן בגמ' בסוגיין רבא אלא רבה, כיון דרבא ס"ל בגמ' לקמן </w:t>
      </w:r>
      <w:r w:rsidRPr="00B030F7">
        <w:rPr>
          <w:rStyle w:val="af7"/>
          <w:rFonts w:eastAsia="Guttman Hodes" w:hint="cs"/>
          <w:rtl/>
        </w:rPr>
        <w:t>(לג:)</w:t>
      </w:r>
      <w:r>
        <w:rPr>
          <w:rFonts w:hint="cs"/>
          <w:rtl/>
        </w:rPr>
        <w:t xml:space="preserve"> דלא אמרינן מיגו במקום עדים, והקשה </w:t>
      </w:r>
      <w:r w:rsidRPr="000466B7">
        <w:rPr>
          <w:rStyle w:val="af9"/>
          <w:rFonts w:hint="cs"/>
          <w:rtl/>
        </w:rPr>
        <w:t xml:space="preserve">הגרעק"א </w:t>
      </w:r>
      <w:r>
        <w:rPr>
          <w:rFonts w:hint="cs"/>
          <w:rtl/>
        </w:rPr>
        <w:t xml:space="preserve">דא"כ בגמ' בסוגיין מבואר דלדעת רבה אמרינן מיגו במקום עדים, ודלא כמבואר </w:t>
      </w:r>
      <w:r w:rsidRPr="000466B7">
        <w:rPr>
          <w:rStyle w:val="af9"/>
          <w:rFonts w:hint="cs"/>
          <w:rtl/>
        </w:rPr>
        <w:t>בתוס' בב"מ</w:t>
      </w:r>
      <w:r>
        <w:rPr>
          <w:rFonts w:hint="cs"/>
          <w:rtl/>
        </w:rPr>
        <w:t>.</w:t>
      </w:r>
    </w:p>
    <w:p w:rsidR="00C34249" w:rsidRDefault="00C34249" w:rsidP="00C34249">
      <w:pPr>
        <w:pStyle w:val="a3"/>
        <w:rPr>
          <w:rtl/>
        </w:rPr>
      </w:pPr>
      <w:bookmarkStart w:id="12410" w:name="_Toc61861409"/>
      <w:bookmarkStart w:id="12411" w:name="_Toc61867370"/>
      <w:bookmarkStart w:id="12412" w:name="_Toc61867476"/>
      <w:bookmarkStart w:id="12413" w:name="_Toc61887841"/>
      <w:r>
        <w:rPr>
          <w:rFonts w:hint="cs"/>
          <w:rtl/>
        </w:rPr>
        <w:t>ביאור הגרעק"א בתוס' בב"מ דלרבה מהני מיגו במק"ע דמתרצינן דיבוריה אף דעדים עדיפי</w:t>
      </w:r>
      <w:bookmarkEnd w:id="12410"/>
      <w:bookmarkEnd w:id="12411"/>
      <w:bookmarkEnd w:id="12412"/>
      <w:bookmarkEnd w:id="12413"/>
    </w:p>
    <w:p w:rsidR="00C34249" w:rsidRDefault="00C34249" w:rsidP="007E4E81">
      <w:pPr>
        <w:pStyle w:val="a0"/>
        <w:rPr>
          <w:rtl/>
        </w:rPr>
      </w:pPr>
      <w:bookmarkStart w:id="12414" w:name="_Ref61772666"/>
      <w:r>
        <w:rPr>
          <w:rFonts w:hint="cs"/>
          <w:rtl/>
        </w:rPr>
        <w:t xml:space="preserve">אלא כתב </w:t>
      </w:r>
      <w:r w:rsidRPr="00EE39AB">
        <w:rPr>
          <w:rStyle w:val="af9"/>
          <w:rFonts w:hint="cs"/>
          <w:rtl/>
        </w:rPr>
        <w:t>הגרעק"א</w:t>
      </w:r>
      <w:r>
        <w:rPr>
          <w:rFonts w:hint="cs"/>
          <w:rtl/>
        </w:rPr>
        <w:t xml:space="preserve"> דמוכח מדברי </w:t>
      </w:r>
      <w:r w:rsidRPr="00EE39AB">
        <w:rPr>
          <w:rStyle w:val="af9"/>
          <w:rFonts w:hint="cs"/>
          <w:rtl/>
        </w:rPr>
        <w:t>הת</w:t>
      </w:r>
      <w:r w:rsidRPr="00BA7444">
        <w:rPr>
          <w:rStyle w:val="af9"/>
          <w:rFonts w:hint="cs"/>
          <w:rtl/>
        </w:rPr>
        <w:t>וס' בב"מ</w:t>
      </w:r>
      <w:r>
        <w:rPr>
          <w:rFonts w:hint="cs"/>
          <w:rtl/>
        </w:rPr>
        <w:t xml:space="preserve"> </w:t>
      </w:r>
      <w:r w:rsidRPr="00BA7444">
        <w:rPr>
          <w:rStyle w:val="af7"/>
          <w:rFonts w:eastAsia="Guttman Hodes" w:hint="cs"/>
          <w:rtl/>
        </w:rPr>
        <w:t xml:space="preserve">(עי' אות </w:t>
      </w:r>
      <w:r w:rsidRPr="00BA7444">
        <w:rPr>
          <w:rStyle w:val="af7"/>
          <w:rFonts w:eastAsia="Guttman Hodes"/>
          <w:rtl/>
        </w:rPr>
        <w:fldChar w:fldCharType="begin"/>
      </w:r>
      <w:r w:rsidRPr="00BA7444">
        <w:rPr>
          <w:rStyle w:val="af7"/>
          <w:rFonts w:eastAsia="Guttman Hodes"/>
          <w:rtl/>
        </w:rPr>
        <w:instrText xml:space="preserve"> </w:instrText>
      </w:r>
      <w:r w:rsidRPr="00BA7444">
        <w:rPr>
          <w:rStyle w:val="af7"/>
          <w:rFonts w:eastAsia="Guttman Hodes" w:hint="cs"/>
        </w:rPr>
        <w:instrText>REF</w:instrText>
      </w:r>
      <w:r w:rsidRPr="00BA7444">
        <w:rPr>
          <w:rStyle w:val="af7"/>
          <w:rFonts w:eastAsia="Guttman Hodes" w:hint="cs"/>
          <w:rtl/>
        </w:rPr>
        <w:instrText xml:space="preserve"> _</w:instrText>
      </w:r>
      <w:r w:rsidRPr="00BA7444">
        <w:rPr>
          <w:rStyle w:val="af7"/>
          <w:rFonts w:eastAsia="Guttman Hodes" w:hint="cs"/>
        </w:rPr>
        <w:instrText>Ref61772657 \r \h</w:instrText>
      </w:r>
      <w:r w:rsidRPr="00BA744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7444">
        <w:rPr>
          <w:rStyle w:val="af7"/>
          <w:rFonts w:eastAsia="Guttman Hodes"/>
          <w:rtl/>
        </w:rPr>
      </w:r>
      <w:r w:rsidRPr="00BA7444">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BA7444">
        <w:rPr>
          <w:rStyle w:val="af7"/>
          <w:rFonts w:eastAsia="Guttman Hodes"/>
          <w:rtl/>
        </w:rPr>
        <w:fldChar w:fldCharType="end"/>
      </w:r>
      <w:r>
        <w:rPr>
          <w:rFonts w:hint="cs"/>
          <w:rtl/>
        </w:rPr>
        <w:t xml:space="preserve"> דהא דאמר רבה בגמ' לקמן דאמרינן מיגו במקום עדים, היינו דמתרצינן את דבריו, דאיירי באופן שהעדים מעידים רק שהייתה של אבותיו של המערער, ואינם מעידים שלא מכרו לאבותיו של המחזיק, וא"כ אפש"ל דאעפ"י דס"ל לרבה דעדים עדיפי ממיגו, ולא אמרינן מיגו להוציא ומיגו במקום עדים, אלא דבגמ' לקמן ס"ל לרבה דבגמ' בסוגיין מתרצינן את דבריו שאינו סותר את העדים, אבל בגמ' לקמן הא ביאר </w:t>
      </w:r>
      <w:r w:rsidRPr="00EE39AB">
        <w:rPr>
          <w:rStyle w:val="af9"/>
          <w:rFonts w:hint="cs"/>
          <w:rtl/>
        </w:rPr>
        <w:t>הרשב"ם לקמן</w:t>
      </w:r>
      <w:r>
        <w:rPr>
          <w:rFonts w:hint="cs"/>
          <w:rtl/>
        </w:rPr>
        <w:t xml:space="preserve"> </w:t>
      </w:r>
      <w:r w:rsidRPr="00D85CC8">
        <w:rPr>
          <w:rStyle w:val="af7"/>
          <w:rFonts w:eastAsia="Guttman Hodes" w:hint="cs"/>
          <w:rtl/>
        </w:rPr>
        <w:t xml:space="preserve">(עי' אות </w:t>
      </w:r>
      <w:r w:rsidRPr="00D85CC8">
        <w:rPr>
          <w:rStyle w:val="af7"/>
          <w:rFonts w:eastAsia="Guttman Hodes"/>
          <w:rtl/>
        </w:rPr>
        <w:fldChar w:fldCharType="begin"/>
      </w:r>
      <w:r w:rsidRPr="00D85CC8">
        <w:rPr>
          <w:rStyle w:val="af7"/>
          <w:rFonts w:eastAsia="Guttman Hodes"/>
          <w:rtl/>
        </w:rPr>
        <w:instrText xml:space="preserve"> </w:instrText>
      </w:r>
      <w:r w:rsidRPr="00D85CC8">
        <w:rPr>
          <w:rStyle w:val="af7"/>
          <w:rFonts w:eastAsia="Guttman Hodes" w:hint="cs"/>
        </w:rPr>
        <w:instrText>REF</w:instrText>
      </w:r>
      <w:r w:rsidRPr="00D85CC8">
        <w:rPr>
          <w:rStyle w:val="af7"/>
          <w:rFonts w:eastAsia="Guttman Hodes" w:hint="cs"/>
          <w:rtl/>
        </w:rPr>
        <w:instrText xml:space="preserve"> _</w:instrText>
      </w:r>
      <w:r w:rsidRPr="00D85CC8">
        <w:rPr>
          <w:rStyle w:val="af7"/>
          <w:rFonts w:eastAsia="Guttman Hodes" w:hint="cs"/>
        </w:rPr>
        <w:instrText>Ref61812631 \r \h</w:instrText>
      </w:r>
      <w:r w:rsidRPr="00D85CC8">
        <w:rPr>
          <w:rStyle w:val="af7"/>
          <w:rFonts w:eastAsia="Guttman Hodes"/>
          <w:rtl/>
        </w:rPr>
        <w:instrText xml:space="preserve"> </w:instrText>
      </w:r>
      <w:r w:rsidRPr="00D85CC8">
        <w:rPr>
          <w:rStyle w:val="af7"/>
          <w:rFonts w:eastAsia="Guttman Hodes"/>
          <w:rtl/>
        </w:rPr>
      </w:r>
      <w:r w:rsidRPr="00D85CC8">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D85CC8">
        <w:rPr>
          <w:rStyle w:val="af7"/>
          <w:rFonts w:eastAsia="Guttman Hodes"/>
          <w:rtl/>
        </w:rPr>
        <w:fldChar w:fldCharType="end"/>
      </w:r>
      <w:r>
        <w:rPr>
          <w:rFonts w:hint="cs"/>
          <w:rtl/>
        </w:rPr>
        <w:t xml:space="preserve"> דאיירי באופן שהעדים מעידים שאבותיו של המערער לא מכרו לאבותיו של המחזיק, וא"א לתרץ את דבריו, ובזה מודה רבה דלא אמרינן מיגו במקום עדים, ולכן כתבו</w:t>
      </w:r>
      <w:r w:rsidRPr="00D85CC8">
        <w:rPr>
          <w:rStyle w:val="af9"/>
          <w:rFonts w:hint="cs"/>
          <w:rtl/>
        </w:rPr>
        <w:t xml:space="preserve"> </w:t>
      </w:r>
      <w:r w:rsidRPr="00371186">
        <w:rPr>
          <w:rStyle w:val="af9"/>
          <w:rFonts w:hint="cs"/>
          <w:rtl/>
        </w:rPr>
        <w:t>התוס' בסוגיין</w:t>
      </w:r>
      <w:r>
        <w:rPr>
          <w:rFonts w:hint="cs"/>
          <w:rtl/>
        </w:rPr>
        <w:t xml:space="preserve"> </w:t>
      </w:r>
      <w:r w:rsidRPr="000466B7">
        <w:rPr>
          <w:rStyle w:val="af7"/>
          <w:rFonts w:eastAsia="Guttman Hodes" w:hint="cs"/>
          <w:rtl/>
        </w:rPr>
        <w:t xml:space="preserve">(עי' אות </w:t>
      </w:r>
      <w:r w:rsidRPr="000466B7">
        <w:rPr>
          <w:rStyle w:val="af7"/>
          <w:rFonts w:eastAsia="Guttman Hodes"/>
          <w:rtl/>
        </w:rPr>
        <w:fldChar w:fldCharType="begin"/>
      </w:r>
      <w:r w:rsidRPr="000466B7">
        <w:rPr>
          <w:rStyle w:val="af7"/>
          <w:rFonts w:eastAsia="Guttman Hodes"/>
          <w:rtl/>
        </w:rPr>
        <w:instrText xml:space="preserve"> </w:instrText>
      </w:r>
      <w:r w:rsidRPr="000466B7">
        <w:rPr>
          <w:rStyle w:val="af7"/>
          <w:rFonts w:eastAsia="Guttman Hodes" w:hint="cs"/>
        </w:rPr>
        <w:instrText>REF</w:instrText>
      </w:r>
      <w:r w:rsidRPr="000466B7">
        <w:rPr>
          <w:rStyle w:val="af7"/>
          <w:rFonts w:eastAsia="Guttman Hodes" w:hint="cs"/>
          <w:rtl/>
        </w:rPr>
        <w:instrText xml:space="preserve"> _</w:instrText>
      </w:r>
      <w:r w:rsidRPr="000466B7">
        <w:rPr>
          <w:rStyle w:val="af7"/>
          <w:rFonts w:eastAsia="Guttman Hodes" w:hint="cs"/>
        </w:rPr>
        <w:instrText>Ref61814779 \r \h</w:instrText>
      </w:r>
      <w:r w:rsidRPr="000466B7">
        <w:rPr>
          <w:rStyle w:val="af7"/>
          <w:rFonts w:eastAsia="Guttman Hodes"/>
          <w:rtl/>
        </w:rPr>
        <w:instrText xml:space="preserve"> </w:instrText>
      </w:r>
      <w:r w:rsidRPr="000466B7">
        <w:rPr>
          <w:rStyle w:val="af7"/>
          <w:rFonts w:eastAsia="Guttman Hodes"/>
          <w:rtl/>
        </w:rPr>
      </w:r>
      <w:r w:rsidRPr="000466B7">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0466B7">
        <w:rPr>
          <w:rStyle w:val="af7"/>
          <w:rFonts w:eastAsia="Guttman Hodes"/>
          <w:rtl/>
        </w:rPr>
        <w:fldChar w:fldCharType="end"/>
      </w:r>
      <w:r w:rsidRPr="000466B7">
        <w:rPr>
          <w:rStyle w:val="af7"/>
          <w:rFonts w:eastAsia="Guttman Hodes" w:hint="cs"/>
          <w:rtl/>
        </w:rPr>
        <w:t xml:space="preserve"> </w:t>
      </w:r>
      <w:r>
        <w:rPr>
          <w:rFonts w:hint="cs"/>
          <w:rtl/>
        </w:rPr>
        <w:t>דלא גרסינן בגמ' בסוגיין רבא אלא רבה.</w:t>
      </w:r>
      <w:bookmarkEnd w:id="12414"/>
      <w:r>
        <w:rPr>
          <w:rFonts w:hint="cs"/>
          <w:rtl/>
        </w:rPr>
        <w:t xml:space="preserve"> </w:t>
      </w:r>
    </w:p>
    <w:p w:rsidR="00C34249" w:rsidRPr="008D7D8C" w:rsidRDefault="00C34249" w:rsidP="00C34249">
      <w:pPr>
        <w:pStyle w:val="a3"/>
      </w:pPr>
      <w:bookmarkStart w:id="12415" w:name="_Toc61861410"/>
      <w:bookmarkStart w:id="12416" w:name="_Toc61867371"/>
      <w:bookmarkStart w:id="12417" w:name="_Toc61867477"/>
      <w:bookmarkStart w:id="12418" w:name="_Toc61887842"/>
      <w:r>
        <w:rPr>
          <w:rFonts w:hint="cs"/>
          <w:rtl/>
        </w:rPr>
        <w:t>קושית הגרעק"א דאי בגמ' לקמן א"א לתרץ את דבריו א"כ לר"ח מהני מיגו במק"ע להכחישם</w:t>
      </w:r>
      <w:bookmarkEnd w:id="12415"/>
      <w:bookmarkEnd w:id="12416"/>
      <w:bookmarkEnd w:id="12417"/>
      <w:bookmarkEnd w:id="12418"/>
    </w:p>
    <w:p w:rsidR="00C34249" w:rsidRPr="00C33BBB" w:rsidRDefault="00C34249" w:rsidP="007E4E81">
      <w:pPr>
        <w:pStyle w:val="a0"/>
        <w:rPr>
          <w:rtl/>
        </w:rPr>
      </w:pPr>
      <w:r>
        <w:rPr>
          <w:rFonts w:hint="cs"/>
          <w:rtl/>
        </w:rPr>
        <w:t xml:space="preserve">אך הקשה </w:t>
      </w:r>
      <w:r w:rsidRPr="00EE39AB">
        <w:rPr>
          <w:rStyle w:val="af9"/>
          <w:rFonts w:hint="cs"/>
          <w:rtl/>
        </w:rPr>
        <w:t>הגרעק"א</w:t>
      </w:r>
      <w:r>
        <w:rPr>
          <w:rFonts w:hint="cs"/>
          <w:rtl/>
        </w:rPr>
        <w:t xml:space="preserve"> דכיון דביאר </w:t>
      </w:r>
      <w:r w:rsidRPr="00EE39AB">
        <w:rPr>
          <w:rStyle w:val="af9"/>
          <w:rFonts w:hint="cs"/>
          <w:rtl/>
        </w:rPr>
        <w:t>הרשב"ם לקמן</w:t>
      </w:r>
      <w:r>
        <w:rPr>
          <w:rFonts w:hint="cs"/>
          <w:rtl/>
        </w:rPr>
        <w:t xml:space="preserve"> </w:t>
      </w:r>
      <w:r w:rsidRPr="00D85CC8">
        <w:rPr>
          <w:rStyle w:val="af7"/>
          <w:rFonts w:eastAsia="Guttman Hodes" w:hint="cs"/>
          <w:rtl/>
        </w:rPr>
        <w:t xml:space="preserve">(עי' אות </w:t>
      </w:r>
      <w:r w:rsidRPr="00D85CC8">
        <w:rPr>
          <w:rStyle w:val="af7"/>
          <w:rFonts w:eastAsia="Guttman Hodes"/>
          <w:rtl/>
        </w:rPr>
        <w:fldChar w:fldCharType="begin"/>
      </w:r>
      <w:r w:rsidRPr="00D85CC8">
        <w:rPr>
          <w:rStyle w:val="af7"/>
          <w:rFonts w:eastAsia="Guttman Hodes"/>
          <w:rtl/>
        </w:rPr>
        <w:instrText xml:space="preserve"> </w:instrText>
      </w:r>
      <w:r w:rsidRPr="00D85CC8">
        <w:rPr>
          <w:rStyle w:val="af7"/>
          <w:rFonts w:eastAsia="Guttman Hodes" w:hint="cs"/>
        </w:rPr>
        <w:instrText>REF</w:instrText>
      </w:r>
      <w:r w:rsidRPr="00D85CC8">
        <w:rPr>
          <w:rStyle w:val="af7"/>
          <w:rFonts w:eastAsia="Guttman Hodes" w:hint="cs"/>
          <w:rtl/>
        </w:rPr>
        <w:instrText xml:space="preserve"> _</w:instrText>
      </w:r>
      <w:r w:rsidRPr="00D85CC8">
        <w:rPr>
          <w:rStyle w:val="af7"/>
          <w:rFonts w:eastAsia="Guttman Hodes" w:hint="cs"/>
        </w:rPr>
        <w:instrText>Ref61812631 \r \h</w:instrText>
      </w:r>
      <w:r w:rsidRPr="00D85CC8">
        <w:rPr>
          <w:rStyle w:val="af7"/>
          <w:rFonts w:eastAsia="Guttman Hodes"/>
          <w:rtl/>
        </w:rPr>
        <w:instrText xml:space="preserve"> </w:instrText>
      </w:r>
      <w:r w:rsidRPr="00D85CC8">
        <w:rPr>
          <w:rStyle w:val="af7"/>
          <w:rFonts w:eastAsia="Guttman Hodes"/>
          <w:rtl/>
        </w:rPr>
      </w:r>
      <w:r w:rsidRPr="00D85CC8">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D85CC8">
        <w:rPr>
          <w:rStyle w:val="af7"/>
          <w:rFonts w:eastAsia="Guttman Hodes"/>
          <w:rtl/>
        </w:rPr>
        <w:fldChar w:fldCharType="end"/>
      </w:r>
      <w:r>
        <w:rPr>
          <w:rFonts w:hint="cs"/>
          <w:rtl/>
        </w:rPr>
        <w:t xml:space="preserve"> דאיירי באופן שהעדים מעידים שאבותיו של המערער לא מכרו לאבותיו של המחזיק, א"כ מבואר דלדעת רב חסדא בגמ' לקמן אמרינן מיגו במקום עדים אף באופן שא"א לתרץ את דבריו.</w:t>
      </w:r>
    </w:p>
    <w:p w:rsidR="00C34249" w:rsidRPr="00C41639" w:rsidRDefault="00C34249" w:rsidP="00C34249">
      <w:pPr>
        <w:pStyle w:val="a3"/>
        <w:rPr>
          <w:rtl/>
        </w:rPr>
      </w:pPr>
      <w:bookmarkStart w:id="12419" w:name="_Toc61861411"/>
      <w:bookmarkStart w:id="12420" w:name="_Toc61867372"/>
      <w:bookmarkStart w:id="12421" w:name="_Toc61867478"/>
      <w:bookmarkStart w:id="12422" w:name="_Toc61887843"/>
      <w:r>
        <w:rPr>
          <w:rFonts w:hint="cs"/>
          <w:rtl/>
        </w:rPr>
        <w:t>דברי הגרעק"א דמוכח בתוס' דהגמ' בסוגיין ולקמן איירי באותו אופן ולרב ור"ח מתרצינן דבריו</w:t>
      </w:r>
      <w:bookmarkEnd w:id="12419"/>
      <w:bookmarkEnd w:id="12420"/>
      <w:bookmarkEnd w:id="12421"/>
      <w:bookmarkEnd w:id="12422"/>
    </w:p>
    <w:p w:rsidR="00C34249" w:rsidRDefault="00C34249" w:rsidP="007E4E81">
      <w:pPr>
        <w:pStyle w:val="a0"/>
        <w:rPr>
          <w:rtl/>
        </w:rPr>
      </w:pPr>
      <w:bookmarkStart w:id="12423" w:name="_Ref61859320"/>
      <w:r>
        <w:rPr>
          <w:rFonts w:hint="cs"/>
          <w:rtl/>
        </w:rPr>
        <w:t xml:space="preserve">ותירץ </w:t>
      </w:r>
      <w:r w:rsidRPr="00EE39AB">
        <w:rPr>
          <w:rStyle w:val="af9"/>
          <w:rFonts w:hint="cs"/>
          <w:rtl/>
        </w:rPr>
        <w:t xml:space="preserve">הגרעק"א </w:t>
      </w:r>
      <w:r>
        <w:rPr>
          <w:rFonts w:hint="cs"/>
          <w:rtl/>
        </w:rPr>
        <w:t xml:space="preserve">דמדכתבו </w:t>
      </w:r>
      <w:r w:rsidRPr="00EE39AB">
        <w:rPr>
          <w:rStyle w:val="af9"/>
          <w:rFonts w:hint="cs"/>
          <w:rtl/>
        </w:rPr>
        <w:t>התוס'</w:t>
      </w:r>
      <w:r>
        <w:rPr>
          <w:rFonts w:hint="cs"/>
          <w:rtl/>
        </w:rPr>
        <w:t xml:space="preserve"> </w:t>
      </w:r>
      <w:r w:rsidRPr="00EE39AB">
        <w:rPr>
          <w:rStyle w:val="af9"/>
          <w:rFonts w:hint="cs"/>
          <w:rtl/>
        </w:rPr>
        <w:t>בסוגיין</w:t>
      </w:r>
      <w:r>
        <w:rPr>
          <w:rFonts w:hint="cs"/>
          <w:rtl/>
        </w:rPr>
        <w:t xml:space="preserve"> </w:t>
      </w:r>
      <w:r w:rsidRPr="000466B7">
        <w:rPr>
          <w:rStyle w:val="af7"/>
          <w:rFonts w:eastAsia="Guttman Hodes" w:hint="cs"/>
          <w:rtl/>
        </w:rPr>
        <w:t xml:space="preserve">(עי' אות </w:t>
      </w:r>
      <w:r w:rsidRPr="000466B7">
        <w:rPr>
          <w:rStyle w:val="af7"/>
          <w:rFonts w:eastAsia="Guttman Hodes"/>
          <w:rtl/>
        </w:rPr>
        <w:fldChar w:fldCharType="begin"/>
      </w:r>
      <w:r w:rsidRPr="000466B7">
        <w:rPr>
          <w:rStyle w:val="af7"/>
          <w:rFonts w:eastAsia="Guttman Hodes"/>
          <w:rtl/>
        </w:rPr>
        <w:instrText xml:space="preserve"> </w:instrText>
      </w:r>
      <w:r w:rsidRPr="000466B7">
        <w:rPr>
          <w:rStyle w:val="af7"/>
          <w:rFonts w:eastAsia="Guttman Hodes" w:hint="cs"/>
        </w:rPr>
        <w:instrText>REF</w:instrText>
      </w:r>
      <w:r w:rsidRPr="000466B7">
        <w:rPr>
          <w:rStyle w:val="af7"/>
          <w:rFonts w:eastAsia="Guttman Hodes" w:hint="cs"/>
          <w:rtl/>
        </w:rPr>
        <w:instrText xml:space="preserve"> _</w:instrText>
      </w:r>
      <w:r w:rsidRPr="000466B7">
        <w:rPr>
          <w:rStyle w:val="af7"/>
          <w:rFonts w:eastAsia="Guttman Hodes" w:hint="cs"/>
        </w:rPr>
        <w:instrText>Ref61814779 \r \h</w:instrText>
      </w:r>
      <w:r w:rsidRPr="000466B7">
        <w:rPr>
          <w:rStyle w:val="af7"/>
          <w:rFonts w:eastAsia="Guttman Hodes"/>
          <w:rtl/>
        </w:rPr>
        <w:instrText xml:space="preserve"> </w:instrText>
      </w:r>
      <w:r w:rsidRPr="000466B7">
        <w:rPr>
          <w:rStyle w:val="af7"/>
          <w:rFonts w:eastAsia="Guttman Hodes"/>
          <w:rtl/>
        </w:rPr>
      </w:r>
      <w:r w:rsidRPr="000466B7">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0466B7">
        <w:rPr>
          <w:rStyle w:val="af7"/>
          <w:rFonts w:eastAsia="Guttman Hodes"/>
          <w:rtl/>
        </w:rPr>
        <w:fldChar w:fldCharType="end"/>
      </w:r>
      <w:r w:rsidRPr="000466B7">
        <w:rPr>
          <w:rStyle w:val="af7"/>
          <w:rFonts w:eastAsia="Guttman Hodes" w:hint="cs"/>
          <w:rtl/>
        </w:rPr>
        <w:t xml:space="preserve"> </w:t>
      </w:r>
      <w:r>
        <w:rPr>
          <w:rFonts w:hint="cs"/>
          <w:rtl/>
        </w:rPr>
        <w:t xml:space="preserve">דגרסינן רבה ולא רבא, א"כ מוכח דס"ל </w:t>
      </w:r>
      <w:r w:rsidRPr="0062008B">
        <w:rPr>
          <w:rStyle w:val="af9"/>
          <w:rFonts w:hint="cs"/>
          <w:rtl/>
        </w:rPr>
        <w:t>להתוס'</w:t>
      </w:r>
      <w:r>
        <w:rPr>
          <w:rFonts w:hint="cs"/>
          <w:rtl/>
        </w:rPr>
        <w:t xml:space="preserve"> דהגמ' בסוגיין והגמ' לקמן איירי באותו האופן, דהא אי ס"ל </w:t>
      </w:r>
      <w:r w:rsidRPr="00EE39AB">
        <w:rPr>
          <w:rStyle w:val="af9"/>
          <w:rFonts w:hint="cs"/>
          <w:rtl/>
        </w:rPr>
        <w:t>כרשב"ם לקמן</w:t>
      </w:r>
      <w:r>
        <w:rPr>
          <w:rFonts w:hint="cs"/>
          <w:rtl/>
        </w:rPr>
        <w:t xml:space="preserve"> </w:t>
      </w:r>
      <w:r w:rsidRPr="00D85CC8">
        <w:rPr>
          <w:rStyle w:val="af7"/>
          <w:rFonts w:eastAsia="Guttman Hodes" w:hint="cs"/>
          <w:rtl/>
        </w:rPr>
        <w:t xml:space="preserve">(עי' אות </w:t>
      </w:r>
      <w:r w:rsidRPr="00D85CC8">
        <w:rPr>
          <w:rStyle w:val="af7"/>
          <w:rFonts w:eastAsia="Guttman Hodes"/>
          <w:rtl/>
        </w:rPr>
        <w:fldChar w:fldCharType="begin"/>
      </w:r>
      <w:r w:rsidRPr="00D85CC8">
        <w:rPr>
          <w:rStyle w:val="af7"/>
          <w:rFonts w:eastAsia="Guttman Hodes"/>
          <w:rtl/>
        </w:rPr>
        <w:instrText xml:space="preserve"> </w:instrText>
      </w:r>
      <w:r w:rsidRPr="00D85CC8">
        <w:rPr>
          <w:rStyle w:val="af7"/>
          <w:rFonts w:eastAsia="Guttman Hodes" w:hint="cs"/>
        </w:rPr>
        <w:instrText>REF</w:instrText>
      </w:r>
      <w:r w:rsidRPr="00D85CC8">
        <w:rPr>
          <w:rStyle w:val="af7"/>
          <w:rFonts w:eastAsia="Guttman Hodes" w:hint="cs"/>
          <w:rtl/>
        </w:rPr>
        <w:instrText xml:space="preserve"> _</w:instrText>
      </w:r>
      <w:r w:rsidRPr="00D85CC8">
        <w:rPr>
          <w:rStyle w:val="af7"/>
          <w:rFonts w:eastAsia="Guttman Hodes" w:hint="cs"/>
        </w:rPr>
        <w:instrText>Ref61812631 \r \h</w:instrText>
      </w:r>
      <w:r w:rsidRPr="00D85CC8">
        <w:rPr>
          <w:rStyle w:val="af7"/>
          <w:rFonts w:eastAsia="Guttman Hodes"/>
          <w:rtl/>
        </w:rPr>
        <w:instrText xml:space="preserve"> </w:instrText>
      </w:r>
      <w:r w:rsidRPr="00D85CC8">
        <w:rPr>
          <w:rStyle w:val="af7"/>
          <w:rFonts w:eastAsia="Guttman Hodes"/>
          <w:rtl/>
        </w:rPr>
      </w:r>
      <w:r w:rsidRPr="00D85CC8">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D85CC8">
        <w:rPr>
          <w:rStyle w:val="af7"/>
          <w:rFonts w:eastAsia="Guttman Hodes"/>
          <w:rtl/>
        </w:rPr>
        <w:fldChar w:fldCharType="end"/>
      </w:r>
      <w:r>
        <w:rPr>
          <w:rFonts w:hint="cs"/>
          <w:rtl/>
        </w:rPr>
        <w:t xml:space="preserve"> דלקמן איירי באופן שא"א לתרץ את דבריו, הא ביאר </w:t>
      </w:r>
      <w:r w:rsidRPr="00EE39AB">
        <w:rPr>
          <w:rStyle w:val="af9"/>
          <w:rFonts w:hint="cs"/>
          <w:rtl/>
        </w:rPr>
        <w:t>המהרש"א</w:t>
      </w:r>
      <w:r>
        <w:rPr>
          <w:rFonts w:hint="cs"/>
          <w:rtl/>
        </w:rPr>
        <w:t xml:space="preserve"> </w:t>
      </w:r>
      <w:r w:rsidRPr="00BC2217">
        <w:rPr>
          <w:rStyle w:val="af7"/>
          <w:rFonts w:eastAsia="Guttman Hodes" w:hint="cs"/>
          <w:rtl/>
        </w:rPr>
        <w:t xml:space="preserve">(עי' אות </w:t>
      </w:r>
      <w:r w:rsidRPr="00BC2217">
        <w:rPr>
          <w:rStyle w:val="af7"/>
          <w:rFonts w:eastAsia="Guttman Hodes"/>
          <w:rtl/>
        </w:rPr>
        <w:fldChar w:fldCharType="begin"/>
      </w:r>
      <w:r w:rsidRPr="00BC2217">
        <w:rPr>
          <w:rStyle w:val="af7"/>
          <w:rFonts w:eastAsia="Guttman Hodes"/>
          <w:rtl/>
        </w:rPr>
        <w:instrText xml:space="preserve"> </w:instrText>
      </w:r>
      <w:r w:rsidRPr="00BC2217">
        <w:rPr>
          <w:rStyle w:val="af7"/>
          <w:rFonts w:eastAsia="Guttman Hodes" w:hint="cs"/>
        </w:rPr>
        <w:instrText>REF</w:instrText>
      </w:r>
      <w:r w:rsidRPr="00BC2217">
        <w:rPr>
          <w:rStyle w:val="af7"/>
          <w:rFonts w:eastAsia="Guttman Hodes" w:hint="cs"/>
          <w:rtl/>
        </w:rPr>
        <w:instrText xml:space="preserve"> _</w:instrText>
      </w:r>
      <w:r w:rsidRPr="00BC2217">
        <w:rPr>
          <w:rStyle w:val="af7"/>
          <w:rFonts w:eastAsia="Guttman Hodes" w:hint="cs"/>
        </w:rPr>
        <w:instrText>Ref61859208 \r \h</w:instrText>
      </w:r>
      <w:r w:rsidRPr="00BC2217">
        <w:rPr>
          <w:rStyle w:val="af7"/>
          <w:rFonts w:eastAsia="Guttman Hodes"/>
          <w:rtl/>
        </w:rPr>
        <w:instrText xml:space="preserve"> </w:instrText>
      </w:r>
      <w:r w:rsidRPr="00BC2217">
        <w:rPr>
          <w:rStyle w:val="af7"/>
          <w:rFonts w:eastAsia="Guttman Hodes"/>
          <w:rtl/>
        </w:rPr>
      </w:r>
      <w:r w:rsidRPr="00BC2217">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BC2217">
        <w:rPr>
          <w:rStyle w:val="af7"/>
          <w:rFonts w:eastAsia="Guttman Hodes"/>
          <w:rtl/>
        </w:rPr>
        <w:fldChar w:fldCharType="end"/>
      </w:r>
      <w:r>
        <w:rPr>
          <w:rFonts w:hint="cs"/>
          <w:rtl/>
        </w:rPr>
        <w:t xml:space="preserve"> דלפי"ז אפשר לגרוס בגמ' בסוגיין רבא, וא"צ לגרוס רבה, </w:t>
      </w:r>
      <w:r w:rsidRPr="00BA7444">
        <w:rPr>
          <w:rStyle w:val="afb"/>
          <w:rFonts w:hint="cs"/>
          <w:rtl/>
        </w:rPr>
        <w:t>[והיינו דרבא בסוגיין אמר דבמקום שאפשר לתרץ את דבריו אמרינן מיגו במקום עדים, ורבא בגמ' לקמן אמר דבמאום שא"א לתרץ את דבריו, לא אמרינן מיגו במקום עדים],</w:t>
      </w:r>
      <w:r>
        <w:rPr>
          <w:rFonts w:hint="cs"/>
          <w:rtl/>
        </w:rPr>
        <w:t xml:space="preserve"> וכתב </w:t>
      </w:r>
      <w:r w:rsidRPr="00AA7176">
        <w:rPr>
          <w:rStyle w:val="af9"/>
          <w:rFonts w:hint="cs"/>
          <w:rtl/>
        </w:rPr>
        <w:t>הגרעק"א</w:t>
      </w:r>
      <w:r>
        <w:rPr>
          <w:rFonts w:hint="cs"/>
          <w:rtl/>
        </w:rPr>
        <w:t xml:space="preserve"> דכיון דהגמ' בסוגיין ולקמן איירי באותו אופן, </w:t>
      </w:r>
      <w:r w:rsidRPr="00BC2217">
        <w:rPr>
          <w:rStyle w:val="afb"/>
          <w:rFonts w:hint="cs"/>
          <w:rtl/>
        </w:rPr>
        <w:t xml:space="preserve">[וכ"כ </w:t>
      </w:r>
      <w:r w:rsidRPr="00BC2217">
        <w:rPr>
          <w:rStyle w:val="affa"/>
          <w:rFonts w:hint="cs"/>
          <w:rtl/>
        </w:rPr>
        <w:t>התוס' רי"ד</w:t>
      </w:r>
      <w:r w:rsidRPr="00BC2217">
        <w:rPr>
          <w:rStyle w:val="afb"/>
          <w:rFonts w:hint="cs"/>
          <w:rtl/>
        </w:rPr>
        <w:t xml:space="preserve"> </w:t>
      </w:r>
      <w:r w:rsidRPr="00BC2217">
        <w:rPr>
          <w:rStyle w:val="aff6"/>
          <w:rFonts w:hint="cs"/>
          <w:rtl/>
        </w:rPr>
        <w:t xml:space="preserve">(עי' אות </w:t>
      </w:r>
      <w:r w:rsidRPr="00BC2217">
        <w:rPr>
          <w:rStyle w:val="aff6"/>
          <w:rtl/>
        </w:rPr>
        <w:fldChar w:fldCharType="begin"/>
      </w:r>
      <w:r w:rsidRPr="00BC2217">
        <w:rPr>
          <w:rStyle w:val="aff6"/>
          <w:rtl/>
        </w:rPr>
        <w:instrText xml:space="preserve"> </w:instrText>
      </w:r>
      <w:r w:rsidRPr="00BC2217">
        <w:rPr>
          <w:rStyle w:val="aff6"/>
          <w:rFonts w:hint="cs"/>
        </w:rPr>
        <w:instrText>REF</w:instrText>
      </w:r>
      <w:r w:rsidRPr="00BC2217">
        <w:rPr>
          <w:rStyle w:val="aff6"/>
          <w:rFonts w:hint="cs"/>
          <w:rtl/>
        </w:rPr>
        <w:instrText xml:space="preserve"> _</w:instrText>
      </w:r>
      <w:r w:rsidRPr="00BC2217">
        <w:rPr>
          <w:rStyle w:val="aff6"/>
          <w:rFonts w:hint="cs"/>
        </w:rPr>
        <w:instrText>Ref61859255 \r \h</w:instrText>
      </w:r>
      <w:r w:rsidRPr="00BC2217">
        <w:rPr>
          <w:rStyle w:val="aff6"/>
          <w:rtl/>
        </w:rPr>
        <w:instrText xml:space="preserve"> </w:instrText>
      </w:r>
      <w:r w:rsidRPr="00BC2217">
        <w:rPr>
          <w:rStyle w:val="aff6"/>
          <w:rtl/>
        </w:rPr>
      </w:r>
      <w:r w:rsidRPr="00BC2217">
        <w:rPr>
          <w:rStyle w:val="aff6"/>
          <w:rtl/>
        </w:rPr>
        <w:fldChar w:fldCharType="separate"/>
      </w:r>
      <w:r w:rsidR="00265073">
        <w:rPr>
          <w:rStyle w:val="aff6"/>
          <w:cs/>
        </w:rPr>
        <w:t>‎</w:t>
      </w:r>
      <w:r w:rsidR="00265073">
        <w:rPr>
          <w:rStyle w:val="aff6"/>
          <w:rtl/>
        </w:rPr>
        <w:t>ח)</w:t>
      </w:r>
      <w:r w:rsidRPr="00BC2217">
        <w:rPr>
          <w:rStyle w:val="aff6"/>
          <w:rtl/>
        </w:rPr>
        <w:fldChar w:fldCharType="end"/>
      </w:r>
      <w:r w:rsidRPr="00BC2217">
        <w:rPr>
          <w:rStyle w:val="aff6"/>
          <w:rFonts w:hint="cs"/>
          <w:rtl/>
        </w:rPr>
        <w:t>],</w:t>
      </w:r>
      <w:r w:rsidRPr="00BC2217">
        <w:rPr>
          <w:rStyle w:val="afb"/>
          <w:rFonts w:hint="cs"/>
          <w:rtl/>
        </w:rPr>
        <w:t xml:space="preserve"> </w:t>
      </w:r>
      <w:r>
        <w:rPr>
          <w:rFonts w:hint="cs"/>
          <w:rtl/>
        </w:rPr>
        <w:t xml:space="preserve">א"כ כיון דמוכח מדברי </w:t>
      </w:r>
      <w:r w:rsidRPr="000E5F34">
        <w:rPr>
          <w:rStyle w:val="af9"/>
          <w:rFonts w:hint="cs"/>
          <w:rtl/>
        </w:rPr>
        <w:t>התוס' בב"מ</w:t>
      </w:r>
      <w:r>
        <w:rPr>
          <w:rFonts w:hint="cs"/>
          <w:rtl/>
        </w:rPr>
        <w:t xml:space="preserve"> </w:t>
      </w:r>
      <w:r w:rsidRPr="00BA7444">
        <w:rPr>
          <w:rStyle w:val="af7"/>
          <w:rFonts w:eastAsia="Guttman Hodes" w:hint="cs"/>
          <w:rtl/>
        </w:rPr>
        <w:t xml:space="preserve">(עי' אות </w:t>
      </w:r>
      <w:r w:rsidRPr="00BA7444">
        <w:rPr>
          <w:rStyle w:val="af7"/>
          <w:rFonts w:eastAsia="Guttman Hodes"/>
          <w:rtl/>
        </w:rPr>
        <w:fldChar w:fldCharType="begin"/>
      </w:r>
      <w:r w:rsidRPr="00BA7444">
        <w:rPr>
          <w:rStyle w:val="af7"/>
          <w:rFonts w:eastAsia="Guttman Hodes"/>
          <w:rtl/>
        </w:rPr>
        <w:instrText xml:space="preserve"> </w:instrText>
      </w:r>
      <w:r w:rsidRPr="00BA7444">
        <w:rPr>
          <w:rStyle w:val="af7"/>
          <w:rFonts w:eastAsia="Guttman Hodes" w:hint="cs"/>
        </w:rPr>
        <w:instrText>REF</w:instrText>
      </w:r>
      <w:r w:rsidRPr="00BA7444">
        <w:rPr>
          <w:rStyle w:val="af7"/>
          <w:rFonts w:eastAsia="Guttman Hodes" w:hint="cs"/>
          <w:rtl/>
        </w:rPr>
        <w:instrText xml:space="preserve"> _</w:instrText>
      </w:r>
      <w:r w:rsidRPr="00BA7444">
        <w:rPr>
          <w:rStyle w:val="af7"/>
          <w:rFonts w:eastAsia="Guttman Hodes" w:hint="cs"/>
        </w:rPr>
        <w:instrText>Ref61772666 \r \h</w:instrText>
      </w:r>
      <w:r w:rsidRPr="00BA744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7444">
        <w:rPr>
          <w:rStyle w:val="af7"/>
          <w:rFonts w:eastAsia="Guttman Hodes"/>
          <w:rtl/>
        </w:rPr>
      </w:r>
      <w:r w:rsidRPr="00BA7444">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BA7444">
        <w:rPr>
          <w:rStyle w:val="af7"/>
          <w:rFonts w:eastAsia="Guttman Hodes"/>
          <w:rtl/>
        </w:rPr>
        <w:fldChar w:fldCharType="end"/>
      </w:r>
      <w:r>
        <w:rPr>
          <w:rFonts w:hint="cs"/>
          <w:rtl/>
        </w:rPr>
        <w:t xml:space="preserve"> דלדעת רבה לא אמרינן מיגו במקום עדים, ורק מתרצינן את דבריו, א"כ ה"ה דצריך לבאר כן אף בדעת רב חסדא בגמ' לקמן </w:t>
      </w:r>
      <w:r w:rsidRPr="00BA7444">
        <w:rPr>
          <w:rStyle w:val="af7"/>
          <w:rFonts w:eastAsia="Guttman Hodes" w:hint="cs"/>
          <w:rtl/>
        </w:rPr>
        <w:t>(לג:)</w:t>
      </w:r>
      <w:r>
        <w:rPr>
          <w:rFonts w:hint="cs"/>
          <w:rtl/>
        </w:rPr>
        <w:t>.</w:t>
      </w:r>
      <w:bookmarkEnd w:id="12423"/>
    </w:p>
    <w:p w:rsidR="00C34249" w:rsidRPr="00807A06" w:rsidRDefault="00C34249" w:rsidP="00C34249">
      <w:pPr>
        <w:pStyle w:val="a3"/>
        <w:rPr>
          <w:rtl/>
        </w:rPr>
      </w:pPr>
      <w:bookmarkStart w:id="12424" w:name="_Toc61861412"/>
      <w:bookmarkStart w:id="12425" w:name="_Toc61867373"/>
      <w:bookmarkStart w:id="12426" w:name="_Toc61867479"/>
      <w:bookmarkStart w:id="12427" w:name="_Toc61887844"/>
      <w:r>
        <w:rPr>
          <w:rFonts w:hint="cs"/>
          <w:rtl/>
        </w:rPr>
        <w:t>ביאור הגרעק"א דלרבה חזקה עדיפא ממיגו אך מיגו בצירוף חזקת ממון אלים כמו חזקה</w:t>
      </w:r>
      <w:bookmarkEnd w:id="12424"/>
      <w:bookmarkEnd w:id="12425"/>
      <w:bookmarkEnd w:id="12426"/>
      <w:bookmarkEnd w:id="12427"/>
    </w:p>
    <w:p w:rsidR="00C34249" w:rsidRDefault="00C34249" w:rsidP="007E4E81">
      <w:pPr>
        <w:pStyle w:val="a0"/>
        <w:rPr>
          <w:rtl/>
        </w:rPr>
      </w:pPr>
      <w:bookmarkStart w:id="12428" w:name="_Ref61859969"/>
      <w:r w:rsidRPr="003A5DC8">
        <w:rPr>
          <w:rFonts w:hint="cs"/>
          <w:rtl/>
        </w:rPr>
        <w:t xml:space="preserve">אך הקשה </w:t>
      </w:r>
      <w:r w:rsidRPr="004777E9">
        <w:rPr>
          <w:rStyle w:val="af9"/>
          <w:rFonts w:hint="cs"/>
          <w:rtl/>
        </w:rPr>
        <w:t>הגרעק"א</w:t>
      </w:r>
      <w:r w:rsidRPr="003A5DC8">
        <w:rPr>
          <w:rFonts w:hint="cs"/>
          <w:rtl/>
        </w:rPr>
        <w:t xml:space="preserve"> </w:t>
      </w:r>
      <w:r w:rsidRPr="00B030F7">
        <w:rPr>
          <w:rStyle w:val="af7"/>
          <w:rFonts w:eastAsia="Guttman Hodes" w:hint="cs"/>
          <w:rtl/>
        </w:rPr>
        <w:t xml:space="preserve">(לקמן לג: ד"ה </w:t>
      </w:r>
      <w:r w:rsidRPr="00652FFA">
        <w:rPr>
          <w:rStyle w:val="af7"/>
          <w:rFonts w:eastAsia="Guttman Hodes" w:hint="cs"/>
          <w:rtl/>
        </w:rPr>
        <w:t>והנה</w:t>
      </w:r>
      <w:r w:rsidRPr="00B030F7">
        <w:rPr>
          <w:rStyle w:val="af7"/>
          <w:rFonts w:eastAsia="Guttman Hodes" w:hint="cs"/>
          <w:rtl/>
        </w:rPr>
        <w:t xml:space="preserve">, גרעק"א השלם [כחול] בסוגיין ד"ה </w:t>
      </w:r>
      <w:r w:rsidRPr="00652FFA">
        <w:rPr>
          <w:rStyle w:val="af7"/>
          <w:rFonts w:eastAsia="Guttman Hodes" w:hint="cs"/>
          <w:rtl/>
        </w:rPr>
        <w:t>והנה</w:t>
      </w:r>
      <w:r w:rsidRPr="00B030F7">
        <w:rPr>
          <w:rStyle w:val="af7"/>
          <w:rFonts w:eastAsia="Guttman Hodes" w:hint="cs"/>
          <w:rtl/>
        </w:rPr>
        <w:t xml:space="preserve">, </w:t>
      </w:r>
      <w:r>
        <w:rPr>
          <w:rStyle w:val="af7"/>
          <w:rFonts w:eastAsia="Guttman Hodes" w:hint="cs"/>
          <w:rtl/>
        </w:rPr>
        <w:t>שו</w:t>
      </w:r>
      <w:r>
        <w:rPr>
          <w:rStyle w:val="af7"/>
          <w:rFonts w:eastAsia="Guttman Hodes"/>
          <w:rtl/>
        </w:rPr>
        <w:t>"</w:t>
      </w:r>
      <w:r>
        <w:rPr>
          <w:rStyle w:val="af7"/>
          <w:rFonts w:eastAsia="Guttman Hodes" w:hint="cs"/>
          <w:rtl/>
        </w:rPr>
        <w:t>ת ח</w:t>
      </w:r>
      <w:r>
        <w:rPr>
          <w:rStyle w:val="af7"/>
          <w:rFonts w:eastAsia="Guttman Hodes"/>
          <w:rtl/>
        </w:rPr>
        <w:t>"</w:t>
      </w:r>
      <w:r>
        <w:rPr>
          <w:rStyle w:val="af7"/>
          <w:rFonts w:eastAsia="Guttman Hodes" w:hint="cs"/>
          <w:rtl/>
        </w:rPr>
        <w:t>ב [מהדו</w:t>
      </w:r>
      <w:r>
        <w:rPr>
          <w:rStyle w:val="af7"/>
          <w:rFonts w:eastAsia="Guttman Hodes"/>
          <w:rtl/>
        </w:rPr>
        <w:t>"</w:t>
      </w:r>
      <w:r>
        <w:rPr>
          <w:rStyle w:val="af7"/>
          <w:rFonts w:eastAsia="Guttman Hodes" w:hint="cs"/>
          <w:rtl/>
        </w:rPr>
        <w:t xml:space="preserve">ת] </w:t>
      </w:r>
      <w:r w:rsidRPr="00B030F7">
        <w:rPr>
          <w:rStyle w:val="af7"/>
          <w:rFonts w:eastAsia="Guttman Hodes" w:hint="cs"/>
          <w:rtl/>
        </w:rPr>
        <w:t>סי' ק"ל)</w:t>
      </w:r>
      <w:r w:rsidRPr="003A5DC8">
        <w:rPr>
          <w:rFonts w:hint="cs"/>
          <w:rtl/>
        </w:rPr>
        <w:t xml:space="preserve"> דהא כיון דמוכח </w:t>
      </w:r>
      <w:r w:rsidRPr="004777E9">
        <w:rPr>
          <w:rStyle w:val="af9"/>
          <w:rFonts w:hint="cs"/>
          <w:rtl/>
        </w:rPr>
        <w:t>בתוס' בב"מ</w:t>
      </w:r>
      <w:r w:rsidRPr="003A5DC8">
        <w:rPr>
          <w:rFonts w:hint="cs"/>
          <w:rtl/>
        </w:rPr>
        <w:t xml:space="preserve"> </w:t>
      </w:r>
      <w:r w:rsidRPr="00C33BBB">
        <w:rPr>
          <w:rStyle w:val="af7"/>
          <w:rFonts w:eastAsia="Guttman Hodes" w:hint="cs"/>
          <w:rtl/>
        </w:rPr>
        <w:t xml:space="preserve">(עי' אות </w:t>
      </w:r>
      <w:r w:rsidRPr="00C33BBB">
        <w:rPr>
          <w:rStyle w:val="af7"/>
          <w:rFonts w:eastAsia="Guttman Hodes"/>
          <w:rtl/>
        </w:rPr>
        <w:fldChar w:fldCharType="begin"/>
      </w:r>
      <w:r w:rsidRPr="00C33BBB">
        <w:rPr>
          <w:rStyle w:val="af7"/>
          <w:rFonts w:eastAsia="Guttman Hodes"/>
          <w:rtl/>
        </w:rPr>
        <w:instrText xml:space="preserve"> </w:instrText>
      </w:r>
      <w:r w:rsidRPr="00C33BBB">
        <w:rPr>
          <w:rStyle w:val="af7"/>
          <w:rFonts w:eastAsia="Guttman Hodes" w:hint="cs"/>
        </w:rPr>
        <w:instrText>REF</w:instrText>
      </w:r>
      <w:r w:rsidRPr="00C33BBB">
        <w:rPr>
          <w:rStyle w:val="af7"/>
          <w:rFonts w:eastAsia="Guttman Hodes" w:hint="cs"/>
          <w:rtl/>
        </w:rPr>
        <w:instrText xml:space="preserve"> _</w:instrText>
      </w:r>
      <w:r w:rsidRPr="00C33BBB">
        <w:rPr>
          <w:rStyle w:val="af7"/>
          <w:rFonts w:eastAsia="Guttman Hodes" w:hint="cs"/>
        </w:rPr>
        <w:instrText>Ref61772657 \r \h</w:instrText>
      </w:r>
      <w:r w:rsidRPr="00C33BBB">
        <w:rPr>
          <w:rStyle w:val="af7"/>
          <w:rFonts w:eastAsia="Guttman Hodes"/>
          <w:rtl/>
        </w:rPr>
        <w:instrText xml:space="preserve"> </w:instrText>
      </w:r>
      <w:r w:rsidRPr="00C33BBB">
        <w:rPr>
          <w:rStyle w:val="af7"/>
          <w:rFonts w:eastAsia="Guttman Hodes"/>
          <w:rtl/>
        </w:rPr>
      </w:r>
      <w:r w:rsidRPr="00C33BBB">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C33BBB">
        <w:rPr>
          <w:rStyle w:val="af7"/>
          <w:rFonts w:eastAsia="Guttman Hodes"/>
          <w:rtl/>
        </w:rPr>
        <w:fldChar w:fldCharType="end"/>
      </w:r>
      <w:r w:rsidRPr="003A5DC8">
        <w:rPr>
          <w:rFonts w:hint="cs"/>
          <w:rtl/>
        </w:rPr>
        <w:t xml:space="preserve"> דעדים עדיפי ממיגו, דעדים מהני להוציא ממון ומיגו לא מהני להוציא, ומוכח דלא אמרינן מיגו במקום עדים, א"כ </w:t>
      </w:r>
      <w:r>
        <w:rPr>
          <w:rFonts w:hint="cs"/>
          <w:rtl/>
        </w:rPr>
        <w:t xml:space="preserve">קשה דמה הספק בגמ' לקמן </w:t>
      </w:r>
      <w:r w:rsidRPr="00652FFA">
        <w:rPr>
          <w:rStyle w:val="af7"/>
          <w:rFonts w:eastAsia="Guttman Hodes" w:hint="cs"/>
          <w:rtl/>
        </w:rPr>
        <w:t xml:space="preserve">(ע.) </w:t>
      </w:r>
      <w:r>
        <w:rPr>
          <w:rFonts w:hint="cs"/>
          <w:rtl/>
        </w:rPr>
        <w:t xml:space="preserve">אי מהני מיגו במקום חזקה </w:t>
      </w:r>
      <w:r w:rsidRPr="007E526F">
        <w:rPr>
          <w:rStyle w:val="afb"/>
          <w:rFonts w:hint="cs"/>
          <w:rtl/>
        </w:rPr>
        <w:t>[דשטרך בידי מאי בעית],</w:t>
      </w:r>
      <w:r>
        <w:rPr>
          <w:rFonts w:hint="cs"/>
          <w:rtl/>
        </w:rPr>
        <w:t xml:space="preserve"> הא מצינו דבחזקה </w:t>
      </w:r>
      <w:r w:rsidRPr="003A5DC8">
        <w:rPr>
          <w:rFonts w:hint="cs"/>
          <w:rtl/>
        </w:rPr>
        <w:t xml:space="preserve">דאין אדם פורע תוך זמנו מוציאין ממון, ומכח מיגו אין מוציאין ממון, </w:t>
      </w:r>
      <w:r w:rsidRPr="007E526F">
        <w:rPr>
          <w:rStyle w:val="afb"/>
          <w:rFonts w:hint="cs"/>
          <w:rtl/>
        </w:rPr>
        <w:t xml:space="preserve">[עי' </w:t>
      </w:r>
      <w:r w:rsidRPr="007E526F">
        <w:rPr>
          <w:rStyle w:val="affa"/>
          <w:rFonts w:hint="cs"/>
          <w:rtl/>
        </w:rPr>
        <w:t>ברמב"ן</w:t>
      </w:r>
      <w:r w:rsidRPr="007E526F">
        <w:rPr>
          <w:rStyle w:val="afb"/>
          <w:rFonts w:hint="cs"/>
          <w:rtl/>
        </w:rPr>
        <w:t xml:space="preserve"> </w:t>
      </w:r>
      <w:r w:rsidRPr="003924A8">
        <w:rPr>
          <w:rStyle w:val="aff6"/>
          <w:rFonts w:hint="cs"/>
          <w:rtl/>
        </w:rPr>
        <w:t xml:space="preserve">(עי' אות </w:t>
      </w:r>
      <w:r w:rsidRPr="003924A8">
        <w:rPr>
          <w:rStyle w:val="aff6"/>
          <w:rtl/>
        </w:rPr>
        <w:fldChar w:fldCharType="begin"/>
      </w:r>
      <w:r w:rsidRPr="003924A8">
        <w:rPr>
          <w:rStyle w:val="aff6"/>
          <w:rtl/>
        </w:rPr>
        <w:instrText xml:space="preserve"> </w:instrText>
      </w:r>
      <w:r w:rsidRPr="003924A8">
        <w:rPr>
          <w:rStyle w:val="aff6"/>
          <w:rFonts w:hint="cs"/>
        </w:rPr>
        <w:instrText>REF</w:instrText>
      </w:r>
      <w:r w:rsidRPr="003924A8">
        <w:rPr>
          <w:rStyle w:val="aff6"/>
          <w:rFonts w:hint="cs"/>
          <w:rtl/>
        </w:rPr>
        <w:instrText xml:space="preserve"> _</w:instrText>
      </w:r>
      <w:r w:rsidRPr="003924A8">
        <w:rPr>
          <w:rStyle w:val="aff6"/>
          <w:rFonts w:hint="cs"/>
        </w:rPr>
        <w:instrText>Ref61771465 \r \h</w:instrText>
      </w:r>
      <w:r w:rsidRPr="003924A8">
        <w:rPr>
          <w:rStyle w:val="aff6"/>
          <w:rtl/>
        </w:rPr>
        <w:instrText xml:space="preserve"> </w:instrText>
      </w:r>
      <w:r w:rsidRPr="003924A8">
        <w:rPr>
          <w:rStyle w:val="aff6"/>
          <w:rtl/>
        </w:rPr>
      </w:r>
      <w:r w:rsidRPr="003924A8">
        <w:rPr>
          <w:rStyle w:val="aff6"/>
          <w:rtl/>
        </w:rPr>
        <w:fldChar w:fldCharType="separate"/>
      </w:r>
      <w:r w:rsidR="00265073">
        <w:rPr>
          <w:rStyle w:val="aff6"/>
          <w:cs/>
        </w:rPr>
        <w:t>‎</w:t>
      </w:r>
      <w:r w:rsidR="00265073">
        <w:rPr>
          <w:rStyle w:val="aff6"/>
          <w:rtl/>
        </w:rPr>
        <w:t>לא)</w:t>
      </w:r>
      <w:r w:rsidRPr="003924A8">
        <w:rPr>
          <w:rStyle w:val="aff6"/>
          <w:rtl/>
        </w:rPr>
        <w:fldChar w:fldCharType="end"/>
      </w:r>
      <w:r w:rsidRPr="007E526F">
        <w:rPr>
          <w:rStyle w:val="afb"/>
          <w:rFonts w:hint="cs"/>
          <w:rtl/>
        </w:rPr>
        <w:t>],</w:t>
      </w:r>
      <w:r w:rsidRPr="003A5DC8">
        <w:rPr>
          <w:rFonts w:hint="cs"/>
          <w:rtl/>
        </w:rPr>
        <w:t xml:space="preserve"> ומוכח דחזקה עדיפא ממיגו</w:t>
      </w:r>
      <w:r>
        <w:rPr>
          <w:rFonts w:hint="cs"/>
          <w:rtl/>
        </w:rPr>
        <w:t xml:space="preserve">, ותירץ </w:t>
      </w:r>
      <w:r w:rsidRPr="004777E9">
        <w:rPr>
          <w:rStyle w:val="af9"/>
          <w:rFonts w:hint="cs"/>
          <w:rtl/>
        </w:rPr>
        <w:t>הגרעק"א</w:t>
      </w:r>
      <w:r>
        <w:rPr>
          <w:rFonts w:hint="cs"/>
          <w:rtl/>
        </w:rPr>
        <w:t xml:space="preserve"> דאפש"ל דלרבה ורב חסדא באמת חזקה עדיפא ממיגו לבדו, וכן עדיפא מחזקת ממון לבדה, אבל כשיש גם מיגו וגם חזקת ממון, אלים המיגו כמו החזקה, עיי"ש בדבריו.</w:t>
      </w:r>
      <w:bookmarkEnd w:id="12428"/>
    </w:p>
    <w:p w:rsidR="00C34249" w:rsidRPr="00C30B4C" w:rsidRDefault="00C34249" w:rsidP="00C34249">
      <w:pPr>
        <w:pStyle w:val="a3"/>
        <w:rPr>
          <w:rtl/>
        </w:rPr>
      </w:pPr>
    </w:p>
    <w:p w:rsidR="00C34249" w:rsidRPr="007F2639" w:rsidRDefault="00C34249" w:rsidP="00C34249">
      <w:pPr>
        <w:pStyle w:val="1"/>
        <w:rPr>
          <w:rtl/>
        </w:rPr>
      </w:pPr>
      <w:bookmarkStart w:id="12429" w:name="_Toc61861413"/>
      <w:bookmarkStart w:id="12430" w:name="_Toc61867374"/>
      <w:bookmarkStart w:id="12431" w:name="_Toc61867480"/>
      <w:bookmarkStart w:id="12432" w:name="_Toc61887845"/>
      <w:r>
        <w:rPr>
          <w:rFonts w:hint="cs"/>
          <w:rtl/>
        </w:rPr>
        <w:t>ביאור התומים בתוס' דלר"ח אמרינן מיגו במק"ע אף במכחיש</w:t>
      </w:r>
      <w:bookmarkEnd w:id="12429"/>
      <w:bookmarkEnd w:id="12430"/>
      <w:bookmarkEnd w:id="12431"/>
      <w:bookmarkEnd w:id="12432"/>
    </w:p>
    <w:p w:rsidR="00C34249" w:rsidRDefault="00C34249" w:rsidP="00C34249">
      <w:pPr>
        <w:pStyle w:val="a3"/>
        <w:rPr>
          <w:rtl/>
        </w:rPr>
      </w:pPr>
      <w:bookmarkStart w:id="12433" w:name="_Toc61861414"/>
      <w:bookmarkStart w:id="12434" w:name="_Toc61867375"/>
      <w:bookmarkStart w:id="12435" w:name="_Toc61867481"/>
      <w:bookmarkStart w:id="12436" w:name="_Toc61887846"/>
      <w:r>
        <w:rPr>
          <w:rFonts w:hint="cs"/>
          <w:rtl/>
        </w:rPr>
        <w:t>ביאור התומים בתוס' דלר"ח במקום תו"ת ל"מ מיגו כלל אף דס"ל דמהני מיגו במקום עדים</w:t>
      </w:r>
      <w:bookmarkEnd w:id="12433"/>
      <w:bookmarkEnd w:id="12434"/>
      <w:bookmarkEnd w:id="12435"/>
      <w:bookmarkEnd w:id="12436"/>
    </w:p>
    <w:p w:rsidR="00C34249" w:rsidRDefault="00C34249" w:rsidP="007E4E81">
      <w:pPr>
        <w:pStyle w:val="a0"/>
        <w:rPr>
          <w:rtl/>
        </w:rPr>
      </w:pPr>
      <w:bookmarkStart w:id="12437" w:name="_Ref61774213"/>
      <w:r>
        <w:rPr>
          <w:rFonts w:hint="cs"/>
          <w:rtl/>
        </w:rPr>
        <w:t xml:space="preserve">במה שהוכיח </w:t>
      </w:r>
      <w:r w:rsidRPr="00EE39AB">
        <w:rPr>
          <w:rStyle w:val="af9"/>
          <w:rFonts w:hint="cs"/>
          <w:rtl/>
        </w:rPr>
        <w:t>הגרעק"א</w:t>
      </w:r>
      <w:r>
        <w:rPr>
          <w:rFonts w:hint="cs"/>
          <w:rtl/>
        </w:rPr>
        <w:t xml:space="preserve"> </w:t>
      </w:r>
      <w:r w:rsidRPr="00BA7444">
        <w:rPr>
          <w:rStyle w:val="af7"/>
          <w:rFonts w:eastAsia="Guttman Hodes" w:hint="cs"/>
          <w:rtl/>
        </w:rPr>
        <w:t xml:space="preserve">(עי' אות </w:t>
      </w:r>
      <w:r w:rsidRPr="00BA7444">
        <w:rPr>
          <w:rStyle w:val="af7"/>
          <w:rFonts w:eastAsia="Guttman Hodes"/>
          <w:rtl/>
        </w:rPr>
        <w:fldChar w:fldCharType="begin"/>
      </w:r>
      <w:r w:rsidRPr="00BA7444">
        <w:rPr>
          <w:rStyle w:val="af7"/>
          <w:rFonts w:eastAsia="Guttman Hodes"/>
          <w:rtl/>
        </w:rPr>
        <w:instrText xml:space="preserve"> </w:instrText>
      </w:r>
      <w:r w:rsidRPr="00BA7444">
        <w:rPr>
          <w:rStyle w:val="af7"/>
          <w:rFonts w:eastAsia="Guttman Hodes" w:hint="cs"/>
        </w:rPr>
        <w:instrText>REF</w:instrText>
      </w:r>
      <w:r w:rsidRPr="00BA7444">
        <w:rPr>
          <w:rStyle w:val="af7"/>
          <w:rFonts w:eastAsia="Guttman Hodes" w:hint="cs"/>
          <w:rtl/>
        </w:rPr>
        <w:instrText xml:space="preserve"> _</w:instrText>
      </w:r>
      <w:r w:rsidRPr="00BA7444">
        <w:rPr>
          <w:rStyle w:val="af7"/>
          <w:rFonts w:eastAsia="Guttman Hodes" w:hint="cs"/>
        </w:rPr>
        <w:instrText>Ref61774223 \r \h</w:instrText>
      </w:r>
      <w:r w:rsidRPr="00BA744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7444">
        <w:rPr>
          <w:rStyle w:val="af7"/>
          <w:rFonts w:eastAsia="Guttman Hodes"/>
          <w:rtl/>
        </w:rPr>
      </w:r>
      <w:r w:rsidRPr="00BA7444">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BA7444">
        <w:rPr>
          <w:rStyle w:val="af7"/>
          <w:rFonts w:eastAsia="Guttman Hodes"/>
          <w:rtl/>
        </w:rPr>
        <w:fldChar w:fldCharType="end"/>
      </w:r>
      <w:r>
        <w:rPr>
          <w:rFonts w:hint="cs"/>
          <w:rtl/>
        </w:rPr>
        <w:t xml:space="preserve"> מדברי </w:t>
      </w:r>
      <w:r w:rsidRPr="00EE39AB">
        <w:rPr>
          <w:rStyle w:val="af9"/>
          <w:rFonts w:hint="cs"/>
          <w:rtl/>
        </w:rPr>
        <w:t>התוס'</w:t>
      </w:r>
      <w:r>
        <w:rPr>
          <w:rFonts w:hint="cs"/>
          <w:rtl/>
        </w:rPr>
        <w:t xml:space="preserve"> </w:t>
      </w:r>
      <w:r w:rsidRPr="00EE39AB">
        <w:rPr>
          <w:rStyle w:val="af9"/>
          <w:rFonts w:hint="cs"/>
          <w:rtl/>
        </w:rPr>
        <w:t>לקמן</w:t>
      </w:r>
      <w:r>
        <w:rPr>
          <w:rFonts w:hint="cs"/>
          <w:rtl/>
        </w:rPr>
        <w:t xml:space="preserve"> </w:t>
      </w:r>
      <w:r w:rsidRPr="00BA7444">
        <w:rPr>
          <w:rStyle w:val="af7"/>
          <w:rFonts w:eastAsia="Guttman Hodes" w:hint="cs"/>
          <w:rtl/>
        </w:rPr>
        <w:t>(לא: ד"ה וזו)</w:t>
      </w:r>
      <w:r>
        <w:rPr>
          <w:rFonts w:hint="cs"/>
          <w:rtl/>
        </w:rPr>
        <w:t xml:space="preserve"> דכתבו בדעת רב חסדא דהא דלא מהני מיגו בתרי ותרי, כיון דלא אמרינן מיגו במקום עדים, דחה </w:t>
      </w:r>
      <w:r w:rsidRPr="00EE39AB">
        <w:rPr>
          <w:rStyle w:val="af9"/>
          <w:rFonts w:hint="cs"/>
          <w:rtl/>
        </w:rPr>
        <w:t>התומים</w:t>
      </w:r>
      <w:r>
        <w:rPr>
          <w:rFonts w:hint="cs"/>
          <w:rtl/>
        </w:rPr>
        <w:t xml:space="preserve"> </w:t>
      </w:r>
      <w:r w:rsidRPr="00EE39AB">
        <w:rPr>
          <w:rStyle w:val="af9"/>
          <w:rFonts w:hint="cs"/>
          <w:rtl/>
        </w:rPr>
        <w:t>בכללי</w:t>
      </w:r>
      <w:r>
        <w:rPr>
          <w:rFonts w:hint="cs"/>
          <w:rtl/>
        </w:rPr>
        <w:t xml:space="preserve"> </w:t>
      </w:r>
      <w:r w:rsidRPr="00EE39AB">
        <w:rPr>
          <w:rStyle w:val="af9"/>
          <w:rFonts w:hint="cs"/>
          <w:rtl/>
        </w:rPr>
        <w:t>מיגו</w:t>
      </w:r>
      <w:r>
        <w:rPr>
          <w:rFonts w:hint="cs"/>
          <w:rtl/>
        </w:rPr>
        <w:t xml:space="preserve"> </w:t>
      </w:r>
      <w:r w:rsidRPr="00BA7444">
        <w:rPr>
          <w:rStyle w:val="af7"/>
          <w:rFonts w:eastAsia="Guttman Hodes" w:hint="cs"/>
          <w:rtl/>
        </w:rPr>
        <w:t>(סו"ס פ"ב או' ט"ז ד"ה אך באמת וכו' ולכן היה נראה)</w:t>
      </w:r>
      <w:r>
        <w:rPr>
          <w:rFonts w:hint="cs"/>
          <w:rtl/>
        </w:rPr>
        <w:t xml:space="preserve"> דהא הוסיפו </w:t>
      </w:r>
      <w:r w:rsidRPr="00EE39AB">
        <w:rPr>
          <w:rStyle w:val="af9"/>
          <w:rFonts w:hint="cs"/>
          <w:rtl/>
        </w:rPr>
        <w:t>התוס'</w:t>
      </w:r>
      <w:r>
        <w:rPr>
          <w:rFonts w:hint="cs"/>
          <w:rtl/>
        </w:rPr>
        <w:t xml:space="preserve"> לתרץ דהמיגו לא מהני במקום תרי ותרי, כיון שאינו עדיף מהעדים ותרי כמאה, וביאר </w:t>
      </w:r>
      <w:r w:rsidRPr="00EE39AB">
        <w:rPr>
          <w:rStyle w:val="af9"/>
          <w:rFonts w:hint="cs"/>
          <w:rtl/>
        </w:rPr>
        <w:t>התומים</w:t>
      </w:r>
      <w:r>
        <w:rPr>
          <w:rFonts w:hint="cs"/>
          <w:rtl/>
        </w:rPr>
        <w:t xml:space="preserve"> דלמ"ד דלא אמרינן מיגו במקום עדים, א"צ לתרץ כן, אלא דכוונת </w:t>
      </w:r>
      <w:r w:rsidRPr="00EE39AB">
        <w:rPr>
          <w:rStyle w:val="af9"/>
          <w:rFonts w:hint="cs"/>
          <w:rtl/>
        </w:rPr>
        <w:t>התוס'</w:t>
      </w:r>
      <w:r>
        <w:rPr>
          <w:rFonts w:hint="cs"/>
          <w:rtl/>
        </w:rPr>
        <w:t xml:space="preserve"> לומר דאף לדעת רב חסדא בגמ' לקמן </w:t>
      </w:r>
      <w:r w:rsidRPr="00BA7444">
        <w:rPr>
          <w:rStyle w:val="af7"/>
          <w:rFonts w:eastAsia="Guttman Hodes" w:hint="cs"/>
          <w:rtl/>
        </w:rPr>
        <w:t>(לג:)</w:t>
      </w:r>
      <w:r>
        <w:rPr>
          <w:rFonts w:hint="cs"/>
          <w:rtl/>
        </w:rPr>
        <w:t xml:space="preserve"> דס"ל דאמרינן מיגו במקום עדים, אף במקום שהוא מכחיש את העדים, מ"מ במקום תרי ותרי לא מהני מיגו.</w:t>
      </w:r>
      <w:bookmarkEnd w:id="12437"/>
    </w:p>
    <w:p w:rsidR="00C34249" w:rsidRPr="00EB788D" w:rsidRDefault="00C34249" w:rsidP="00C34249">
      <w:pPr>
        <w:pStyle w:val="a3"/>
        <w:rPr>
          <w:rtl/>
        </w:rPr>
      </w:pPr>
      <w:bookmarkStart w:id="12438" w:name="_Toc61861415"/>
      <w:bookmarkStart w:id="12439" w:name="_Toc61867376"/>
      <w:bookmarkStart w:id="12440" w:name="_Toc61867482"/>
      <w:bookmarkStart w:id="12441" w:name="_Toc61887847"/>
      <w:r>
        <w:rPr>
          <w:rFonts w:hint="cs"/>
          <w:rtl/>
        </w:rPr>
        <w:t>ביאור המהרש"א בתוס' דלא תירצו ב' תירוצים דל"מ מיגו במק"ע ול"מ מיגו במקום תו"ת</w:t>
      </w:r>
      <w:bookmarkEnd w:id="12438"/>
      <w:bookmarkEnd w:id="12439"/>
      <w:bookmarkEnd w:id="12440"/>
      <w:bookmarkEnd w:id="12441"/>
    </w:p>
    <w:p w:rsidR="00C34249" w:rsidRDefault="00C34249" w:rsidP="007E4E81">
      <w:pPr>
        <w:pStyle w:val="a0"/>
        <w:rPr>
          <w:rtl/>
        </w:rPr>
      </w:pPr>
      <w:bookmarkStart w:id="12442" w:name="_Ref61854555"/>
      <w:r>
        <w:rPr>
          <w:rFonts w:hint="cs"/>
          <w:rtl/>
        </w:rPr>
        <w:t xml:space="preserve">אמנם יעוי' </w:t>
      </w:r>
      <w:r w:rsidRPr="00AA7176">
        <w:rPr>
          <w:rStyle w:val="af9"/>
          <w:rFonts w:hint="cs"/>
          <w:rtl/>
        </w:rPr>
        <w:t>במהרש"א</w:t>
      </w:r>
      <w:r>
        <w:rPr>
          <w:rFonts w:hint="cs"/>
          <w:rtl/>
        </w:rPr>
        <w:t xml:space="preserve"> </w:t>
      </w:r>
      <w:r w:rsidRPr="00BA7444">
        <w:rPr>
          <w:rStyle w:val="af7"/>
          <w:rFonts w:eastAsia="Guttman Hodes" w:hint="cs"/>
          <w:rtl/>
        </w:rPr>
        <w:t>(לא: על תוד"ה וזו)</w:t>
      </w:r>
      <w:r>
        <w:rPr>
          <w:rFonts w:hint="cs"/>
          <w:rtl/>
        </w:rPr>
        <w:t xml:space="preserve"> דכתב דלא גרסינן </w:t>
      </w:r>
      <w:r w:rsidRPr="00AA7176">
        <w:rPr>
          <w:rStyle w:val="af9"/>
          <w:rFonts w:hint="cs"/>
          <w:rtl/>
        </w:rPr>
        <w:t>בתוס'</w:t>
      </w:r>
      <w:r>
        <w:rPr>
          <w:rFonts w:hint="cs"/>
          <w:rtl/>
        </w:rPr>
        <w:t xml:space="preserve"> </w:t>
      </w:r>
      <w:r w:rsidRPr="00AA7176">
        <w:rPr>
          <w:rStyle w:val="af9"/>
          <w:rFonts w:hint="cs"/>
          <w:rtl/>
        </w:rPr>
        <w:t>לקמן</w:t>
      </w:r>
      <w:r>
        <w:rPr>
          <w:rFonts w:hint="cs"/>
          <w:rtl/>
        </w:rPr>
        <w:t xml:space="preserve"> </w:t>
      </w:r>
      <w:r w:rsidRPr="00BA7444">
        <w:rPr>
          <w:rStyle w:val="af7"/>
          <w:rFonts w:eastAsia="Guttman Hodes" w:hint="cs"/>
          <w:rtl/>
        </w:rPr>
        <w:t>(לא: ד"ה וזו)</w:t>
      </w:r>
      <w:r>
        <w:rPr>
          <w:rFonts w:hint="cs"/>
          <w:rtl/>
        </w:rPr>
        <w:t xml:space="preserve"> "ועוד", והיינו דאין כוונתם לתרץ תירוץ נוסף, אחר דתירצו דהוא מיגו במקום עדים, אלא הוא המשך לתירוצם הראשון, וכתב </w:t>
      </w:r>
      <w:r w:rsidRPr="00AA7176">
        <w:rPr>
          <w:rStyle w:val="af9"/>
          <w:rFonts w:hint="cs"/>
          <w:rtl/>
        </w:rPr>
        <w:t>המהרש"א</w:t>
      </w:r>
      <w:r>
        <w:rPr>
          <w:rFonts w:hint="cs"/>
          <w:rtl/>
        </w:rPr>
        <w:t xml:space="preserve"> דכן מוכח </w:t>
      </w:r>
      <w:r w:rsidRPr="00AA7176">
        <w:rPr>
          <w:rStyle w:val="af9"/>
          <w:rFonts w:hint="cs"/>
          <w:rtl/>
        </w:rPr>
        <w:t>בתוס' בב"ק</w:t>
      </w:r>
      <w:r>
        <w:rPr>
          <w:rFonts w:hint="cs"/>
          <w:rtl/>
        </w:rPr>
        <w:t xml:space="preserve"> </w:t>
      </w:r>
      <w:r w:rsidRPr="00BA7444">
        <w:rPr>
          <w:rStyle w:val="af7"/>
          <w:rFonts w:eastAsia="Guttman Hodes" w:hint="cs"/>
          <w:rtl/>
        </w:rPr>
        <w:t>(עב: ד"</w:t>
      </w:r>
      <w:r w:rsidRPr="00E032E3">
        <w:rPr>
          <w:rStyle w:val="aff6"/>
          <w:rFonts w:hint="cs"/>
          <w:rtl/>
        </w:rPr>
        <w:t>ה אין)</w:t>
      </w:r>
      <w:r w:rsidRPr="00BA7444">
        <w:rPr>
          <w:rStyle w:val="afb"/>
          <w:rFonts w:hint="cs"/>
          <w:rtl/>
        </w:rPr>
        <w:t xml:space="preserve">, [ולפי"ז נדחית ראיית </w:t>
      </w:r>
      <w:r w:rsidRPr="00BA7444">
        <w:rPr>
          <w:rStyle w:val="affa"/>
          <w:rFonts w:hint="cs"/>
          <w:rtl/>
        </w:rPr>
        <w:t xml:space="preserve">התומים </w:t>
      </w:r>
      <w:r w:rsidRPr="00646190">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Ref61774213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כד)</w:t>
      </w:r>
      <w:r>
        <w:rPr>
          <w:rStyle w:val="aff6"/>
          <w:rtl/>
        </w:rPr>
        <w:fldChar w:fldCharType="end"/>
      </w:r>
      <w:r w:rsidRPr="00646190">
        <w:rPr>
          <w:rStyle w:val="aff6"/>
          <w:rFonts w:hint="cs"/>
          <w:rtl/>
        </w:rPr>
        <w:t xml:space="preserve"> </w:t>
      </w:r>
      <w:r w:rsidRPr="00BA7444">
        <w:rPr>
          <w:rStyle w:val="afb"/>
          <w:rFonts w:hint="cs"/>
          <w:rtl/>
        </w:rPr>
        <w:t xml:space="preserve">מדברי </w:t>
      </w:r>
      <w:r w:rsidRPr="00BA7444">
        <w:rPr>
          <w:rStyle w:val="affa"/>
          <w:rFonts w:hint="cs"/>
          <w:rtl/>
        </w:rPr>
        <w:t>התוס'</w:t>
      </w:r>
      <w:r w:rsidRPr="00BA7444">
        <w:rPr>
          <w:rStyle w:val="afb"/>
          <w:rFonts w:hint="cs"/>
          <w:rtl/>
        </w:rPr>
        <w:t xml:space="preserve"> דלרב חסדא מהני מיגו במקום עדים], </w:t>
      </w:r>
      <w:r>
        <w:rPr>
          <w:rFonts w:hint="cs"/>
          <w:rtl/>
        </w:rPr>
        <w:t>אמנם יעוי' במ"</w:t>
      </w:r>
      <w:r w:rsidRPr="00BA7444">
        <w:rPr>
          <w:rFonts w:hint="cs"/>
          <w:rtl/>
        </w:rPr>
        <w:t>ש</w:t>
      </w:r>
      <w:r w:rsidRPr="00AA7176">
        <w:rPr>
          <w:rStyle w:val="af9"/>
          <w:rFonts w:hint="cs"/>
          <w:rtl/>
        </w:rPr>
        <w:t xml:space="preserve"> בחי' רבי נחום</w:t>
      </w:r>
      <w:r>
        <w:rPr>
          <w:rFonts w:hint="cs"/>
          <w:rtl/>
        </w:rPr>
        <w:t xml:space="preserve"> </w:t>
      </w:r>
      <w:r w:rsidRPr="00652FFA">
        <w:rPr>
          <w:rStyle w:val="af7"/>
          <w:rFonts w:eastAsia="Guttman Hodes" w:hint="cs"/>
          <w:rtl/>
        </w:rPr>
        <w:t>(לא: או' ק"ז ד"ה ונראה)</w:t>
      </w:r>
      <w:r>
        <w:rPr>
          <w:rFonts w:hint="cs"/>
          <w:rtl/>
        </w:rPr>
        <w:t xml:space="preserve"> דמדברי </w:t>
      </w:r>
      <w:r w:rsidRPr="00AA7176">
        <w:rPr>
          <w:rStyle w:val="af9"/>
          <w:rFonts w:hint="cs"/>
          <w:rtl/>
        </w:rPr>
        <w:t>הראשונים</w:t>
      </w:r>
      <w:r>
        <w:rPr>
          <w:rFonts w:hint="cs"/>
          <w:rtl/>
        </w:rPr>
        <w:t xml:space="preserve"> משמע דכוונת </w:t>
      </w:r>
      <w:r w:rsidRPr="00AA7176">
        <w:rPr>
          <w:rStyle w:val="af9"/>
          <w:rFonts w:hint="cs"/>
          <w:rtl/>
        </w:rPr>
        <w:t>התוס'</w:t>
      </w:r>
      <w:r>
        <w:rPr>
          <w:rFonts w:hint="cs"/>
          <w:rtl/>
        </w:rPr>
        <w:t xml:space="preserve"> </w:t>
      </w:r>
      <w:r w:rsidRPr="00AA7176">
        <w:rPr>
          <w:rStyle w:val="af9"/>
          <w:rFonts w:hint="cs"/>
          <w:rtl/>
        </w:rPr>
        <w:t>לקמן</w:t>
      </w:r>
      <w:r>
        <w:rPr>
          <w:rFonts w:hint="cs"/>
          <w:rtl/>
        </w:rPr>
        <w:t xml:space="preserve"> לתרץ ב' תירוצים, עיי"ש במה שביאר בזה.</w:t>
      </w:r>
      <w:bookmarkEnd w:id="12442"/>
    </w:p>
    <w:p w:rsidR="00C34249" w:rsidRDefault="00C34249" w:rsidP="00C34249">
      <w:pPr>
        <w:pStyle w:val="1"/>
        <w:rPr>
          <w:rtl/>
        </w:rPr>
      </w:pPr>
      <w:bookmarkStart w:id="12443" w:name="_Toc61861416"/>
      <w:bookmarkStart w:id="12444" w:name="_Toc61867377"/>
      <w:bookmarkStart w:id="12445" w:name="_Toc61867483"/>
      <w:bookmarkStart w:id="12446" w:name="_Toc61887848"/>
      <w:r>
        <w:rPr>
          <w:rFonts w:hint="cs"/>
          <w:rtl/>
        </w:rPr>
        <w:t>ביאור התומים דלר"ח ע"י המיגו אמרינן דהעדים טועים בעדותם</w:t>
      </w:r>
      <w:bookmarkEnd w:id="12443"/>
      <w:bookmarkEnd w:id="12444"/>
      <w:bookmarkEnd w:id="12445"/>
      <w:bookmarkEnd w:id="12446"/>
    </w:p>
    <w:p w:rsidR="00C34249" w:rsidRPr="00BD6B96" w:rsidRDefault="00C34249" w:rsidP="00C34249">
      <w:pPr>
        <w:pStyle w:val="a3"/>
        <w:rPr>
          <w:rtl/>
        </w:rPr>
      </w:pPr>
      <w:bookmarkStart w:id="12447" w:name="_Toc61861417"/>
      <w:bookmarkStart w:id="12448" w:name="_Toc61867378"/>
      <w:bookmarkStart w:id="12449" w:name="_Toc61867484"/>
      <w:bookmarkStart w:id="12450" w:name="_Toc61887849"/>
      <w:r>
        <w:rPr>
          <w:rFonts w:hint="cs"/>
          <w:rtl/>
        </w:rPr>
        <w:t>דברי התומים דלר"ח במקום מיגו אמרינן דהעדים לא דייקי והם טועים בעדותם</w:t>
      </w:r>
      <w:bookmarkEnd w:id="12447"/>
      <w:bookmarkEnd w:id="12448"/>
      <w:bookmarkEnd w:id="12449"/>
      <w:bookmarkEnd w:id="12450"/>
    </w:p>
    <w:p w:rsidR="00C34249" w:rsidRDefault="00C34249" w:rsidP="007E4E81">
      <w:pPr>
        <w:pStyle w:val="a0"/>
        <w:rPr>
          <w:rtl/>
        </w:rPr>
      </w:pPr>
      <w:r>
        <w:rPr>
          <w:rFonts w:hint="cs"/>
          <w:rtl/>
        </w:rPr>
        <w:t xml:space="preserve">וביאר </w:t>
      </w:r>
      <w:r w:rsidRPr="00BA7444">
        <w:rPr>
          <w:rStyle w:val="af9"/>
          <w:rFonts w:hint="cs"/>
          <w:rtl/>
        </w:rPr>
        <w:t>התומים בכללי מיגו</w:t>
      </w:r>
      <w:r>
        <w:rPr>
          <w:rFonts w:hint="cs"/>
          <w:rtl/>
        </w:rPr>
        <w:t xml:space="preserve"> </w:t>
      </w:r>
      <w:r w:rsidRPr="00BA7444">
        <w:rPr>
          <w:rStyle w:val="af7"/>
          <w:rFonts w:eastAsia="Guttman Hodes" w:hint="cs"/>
          <w:rtl/>
        </w:rPr>
        <w:t>(סו"ס פ"ב או' ט"ז ד"ה אך באמת וכו' ולכן היה נראה)</w:t>
      </w:r>
      <w:r>
        <w:rPr>
          <w:rFonts w:hint="cs"/>
          <w:rtl/>
        </w:rPr>
        <w:t xml:space="preserve"> דלדעת רב חסדא הא דמהני מיגו במקום עדים, אף במקום שהוא מחכיש את העדים, הוא כיון דאמרינן דהעדים טועים בעדותם, ולא דייקי היטב בעדותם.</w:t>
      </w:r>
    </w:p>
    <w:p w:rsidR="00C34249" w:rsidRDefault="00C34249" w:rsidP="00C34249">
      <w:pPr>
        <w:pStyle w:val="afe"/>
        <w:rPr>
          <w:rtl/>
        </w:rPr>
      </w:pPr>
      <w:bookmarkStart w:id="12451" w:name="_Toc61861418"/>
      <w:bookmarkStart w:id="12452" w:name="_Toc61867379"/>
      <w:bookmarkStart w:id="12453" w:name="_Toc61867485"/>
      <w:bookmarkStart w:id="12454" w:name="_Toc61887850"/>
      <w:r>
        <w:rPr>
          <w:rFonts w:hint="cs"/>
          <w:rtl/>
        </w:rPr>
        <w:t>ד' הסוברים דמיגו ועדים הוא ספק השקול</w:t>
      </w:r>
      <w:bookmarkEnd w:id="12451"/>
      <w:bookmarkEnd w:id="12452"/>
      <w:bookmarkEnd w:id="12453"/>
      <w:bookmarkEnd w:id="12454"/>
    </w:p>
    <w:p w:rsidR="00C34249" w:rsidRDefault="00C34249" w:rsidP="00C34249">
      <w:pPr>
        <w:pStyle w:val="1"/>
        <w:rPr>
          <w:rtl/>
        </w:rPr>
      </w:pPr>
      <w:r>
        <w:rPr>
          <w:rFonts w:hint="cs"/>
          <w:rtl/>
        </w:rPr>
        <w:t>דברי הראב"ן דלרבא בסוגיין מיגו במק"ע חשיב כתרי ותרי</w:t>
      </w:r>
    </w:p>
    <w:p w:rsidR="00C34249" w:rsidRDefault="00C34249" w:rsidP="00C34249">
      <w:pPr>
        <w:pStyle w:val="a3"/>
        <w:rPr>
          <w:rtl/>
        </w:rPr>
      </w:pPr>
      <w:r>
        <w:rPr>
          <w:rFonts w:hint="cs"/>
          <w:rtl/>
        </w:rPr>
        <w:t>ביאור הראב"ן דלרבא כיון שיש לו מיגו ודאי דלא משקר וחשיב תו"ת ומעמידים בחזקת המחזיק</w:t>
      </w:r>
    </w:p>
    <w:p w:rsidR="00C34249" w:rsidRPr="008A4341" w:rsidRDefault="00C34249" w:rsidP="007E4E81">
      <w:pPr>
        <w:pStyle w:val="a0"/>
        <w:rPr>
          <w:rStyle w:val="afb"/>
          <w:rtl/>
        </w:rPr>
      </w:pPr>
      <w:bookmarkStart w:id="12455" w:name="_Ref61898576"/>
      <w:r>
        <w:rPr>
          <w:rFonts w:hint="cs"/>
          <w:rtl/>
        </w:rPr>
        <w:t xml:space="preserve">כתב </w:t>
      </w:r>
      <w:r w:rsidRPr="008A4341">
        <w:rPr>
          <w:rStyle w:val="af9"/>
          <w:rFonts w:hint="cs"/>
          <w:rtl/>
        </w:rPr>
        <w:t>הראב"ן בסוגיין</w:t>
      </w:r>
      <w:r w:rsidRPr="008A4341">
        <w:rPr>
          <w:rStyle w:val="af7"/>
          <w:rFonts w:eastAsia="Guttman Hodes" w:hint="cs"/>
          <w:rtl/>
        </w:rPr>
        <w:t xml:space="preserve"> (ד"ה זה אומר, הועתק בקובץ שיטות קמאי ב"ב ח"א עמ' </w:t>
      </w:r>
      <w:r w:rsidRPr="008A4341">
        <w:rPr>
          <w:rStyle w:val="af7"/>
          <w:rFonts w:eastAsia="Guttman Hodes"/>
          <w:rtl/>
        </w:rPr>
        <w:t>תשכ</w:t>
      </w:r>
      <w:r w:rsidRPr="008A4341">
        <w:rPr>
          <w:rStyle w:val="af7"/>
          <w:rFonts w:eastAsia="Guttman Hodes" w:hint="cs"/>
          <w:rtl/>
        </w:rPr>
        <w:t>"</w:t>
      </w:r>
      <w:r w:rsidRPr="008A4341">
        <w:rPr>
          <w:rStyle w:val="af7"/>
          <w:rFonts w:eastAsia="Guttman Hodes"/>
          <w:rtl/>
        </w:rPr>
        <w:t>ג</w:t>
      </w:r>
      <w:r w:rsidRPr="008A4341">
        <w:rPr>
          <w:rStyle w:val="af7"/>
          <w:rFonts w:eastAsia="Guttman Hodes" w:hint="cs"/>
          <w:rtl/>
        </w:rPr>
        <w:t>)</w:t>
      </w:r>
      <w:r>
        <w:rPr>
          <w:rFonts w:hint="cs"/>
          <w:rtl/>
        </w:rPr>
        <w:t xml:space="preserve"> דלדעת רבא בסוגיין דאמרינן מיגו במקום עדים, דכיון שיש למחזיק מיגו אמרינן דודאי אינו משקר במה שטוען של אבותי, וחשיב שהביא המחזיק עדים דהייתה של אבותיו, והוא כתרי ותרי דמעמידים את הקרקע בחזקת המחזיק, דהיכא דקיימא ארעא תיקום, אך כתב </w:t>
      </w:r>
      <w:r w:rsidRPr="008A4341">
        <w:rPr>
          <w:rStyle w:val="af9"/>
          <w:rFonts w:hint="cs"/>
          <w:rtl/>
        </w:rPr>
        <w:t>הראב"ן</w:t>
      </w:r>
      <w:r>
        <w:rPr>
          <w:rFonts w:hint="cs"/>
          <w:rtl/>
        </w:rPr>
        <w:t xml:space="preserve"> דכיון דרבא בגמ' לקמן </w:t>
      </w:r>
      <w:r w:rsidRPr="008A4341">
        <w:rPr>
          <w:rStyle w:val="af7"/>
          <w:rFonts w:eastAsia="Guttman Hodes" w:hint="cs"/>
          <w:rtl/>
        </w:rPr>
        <w:t>(לג:)</w:t>
      </w:r>
      <w:r>
        <w:rPr>
          <w:rFonts w:hint="cs"/>
          <w:rtl/>
        </w:rPr>
        <w:t xml:space="preserve"> חזר בו לכן קיי"ל כאביי דלא אמרינן מיגו במקום עדים. </w:t>
      </w:r>
      <w:r w:rsidRPr="008A4341">
        <w:rPr>
          <w:rStyle w:val="afb"/>
          <w:rFonts w:hint="cs"/>
          <w:rtl/>
        </w:rPr>
        <w:t xml:space="preserve">[והיינו דגרס בסוגיין רבא ולא רבה, ודלא </w:t>
      </w:r>
      <w:r w:rsidRPr="008A4341">
        <w:rPr>
          <w:rStyle w:val="affa"/>
          <w:rFonts w:hint="cs"/>
          <w:rtl/>
        </w:rPr>
        <w:t xml:space="preserve">כתוס' </w:t>
      </w:r>
      <w:r w:rsidRPr="008A4341">
        <w:rPr>
          <w:rStyle w:val="aff6"/>
          <w:rFonts w:hint="cs"/>
          <w:rtl/>
        </w:rPr>
        <w:t xml:space="preserve">(עי' אות </w:t>
      </w:r>
      <w:r w:rsidRPr="008A4341">
        <w:rPr>
          <w:rStyle w:val="aff6"/>
          <w:rtl/>
        </w:rPr>
        <w:fldChar w:fldCharType="begin"/>
      </w:r>
      <w:r w:rsidRPr="008A4341">
        <w:rPr>
          <w:rStyle w:val="aff6"/>
          <w:rtl/>
        </w:rPr>
        <w:instrText xml:space="preserve"> </w:instrText>
      </w:r>
      <w:r w:rsidRPr="008A4341">
        <w:rPr>
          <w:rStyle w:val="aff6"/>
          <w:rFonts w:hint="cs"/>
        </w:rPr>
        <w:instrText>REF</w:instrText>
      </w:r>
      <w:r w:rsidRPr="008A4341">
        <w:rPr>
          <w:rStyle w:val="aff6"/>
          <w:rFonts w:hint="cs"/>
          <w:rtl/>
        </w:rPr>
        <w:instrText xml:space="preserve"> _</w:instrText>
      </w:r>
      <w:r w:rsidRPr="008A4341">
        <w:rPr>
          <w:rStyle w:val="aff6"/>
          <w:rFonts w:hint="cs"/>
        </w:rPr>
        <w:instrText>Ref61814779 \r \h</w:instrText>
      </w:r>
      <w:r w:rsidRPr="008A4341">
        <w:rPr>
          <w:rStyle w:val="aff6"/>
          <w:rtl/>
        </w:rPr>
        <w:instrText xml:space="preserve"> </w:instrText>
      </w:r>
      <w:r w:rsidRPr="008A4341">
        <w:rPr>
          <w:rStyle w:val="aff6"/>
          <w:rtl/>
        </w:rPr>
      </w:r>
      <w:r w:rsidRPr="008A4341">
        <w:rPr>
          <w:rStyle w:val="aff6"/>
          <w:rtl/>
        </w:rPr>
        <w:fldChar w:fldCharType="separate"/>
      </w:r>
      <w:r w:rsidR="00265073">
        <w:rPr>
          <w:rStyle w:val="aff6"/>
          <w:cs/>
        </w:rPr>
        <w:t>‎</w:t>
      </w:r>
      <w:r w:rsidR="00265073">
        <w:rPr>
          <w:rStyle w:val="aff6"/>
          <w:rtl/>
        </w:rPr>
        <w:t>יב)</w:t>
      </w:r>
      <w:r w:rsidRPr="008A4341">
        <w:rPr>
          <w:rStyle w:val="aff6"/>
          <w:rtl/>
        </w:rPr>
        <w:fldChar w:fldCharType="end"/>
      </w:r>
      <w:r w:rsidRPr="008A4341">
        <w:rPr>
          <w:rStyle w:val="afb"/>
          <w:rFonts w:hint="cs"/>
          <w:rtl/>
        </w:rPr>
        <w:t>].</w:t>
      </w:r>
      <w:bookmarkEnd w:id="12455"/>
    </w:p>
    <w:p w:rsidR="00C34249" w:rsidRDefault="00C34249" w:rsidP="00C34249">
      <w:pPr>
        <w:pStyle w:val="1"/>
        <w:rPr>
          <w:rtl/>
        </w:rPr>
      </w:pPr>
      <w:bookmarkStart w:id="12456" w:name="_Toc61861419"/>
      <w:bookmarkStart w:id="12457" w:name="_Toc61867380"/>
      <w:bookmarkStart w:id="12458" w:name="_Toc61867486"/>
      <w:bookmarkStart w:id="12459" w:name="_Toc61887851"/>
      <w:r>
        <w:rPr>
          <w:rFonts w:hint="cs"/>
          <w:rtl/>
        </w:rPr>
        <w:t>ביאור החת"ס והנחל יצחק דלר"ח מיגו ועדים הוא ספק השקול</w:t>
      </w:r>
      <w:bookmarkEnd w:id="12456"/>
      <w:bookmarkEnd w:id="12457"/>
      <w:bookmarkEnd w:id="12458"/>
      <w:bookmarkEnd w:id="12459"/>
    </w:p>
    <w:p w:rsidR="00C34249" w:rsidRDefault="00C34249" w:rsidP="00C34249">
      <w:pPr>
        <w:pStyle w:val="a3"/>
        <w:rPr>
          <w:rtl/>
        </w:rPr>
      </w:pPr>
      <w:bookmarkStart w:id="12460" w:name="_Toc61861420"/>
      <w:bookmarkStart w:id="12461" w:name="_Toc61867381"/>
      <w:bookmarkStart w:id="12462" w:name="_Toc61867487"/>
      <w:bookmarkStart w:id="12463" w:name="_Toc61887852"/>
      <w:r>
        <w:rPr>
          <w:rFonts w:hint="cs"/>
          <w:rtl/>
        </w:rPr>
        <w:t>ביאור החת"ס ברי"ף דלר"ח מיגו במק"ע ל"מ להוציא ממוחזק ומהני יחד עם חזקת ממון</w:t>
      </w:r>
      <w:bookmarkEnd w:id="12460"/>
      <w:bookmarkEnd w:id="12461"/>
      <w:bookmarkEnd w:id="12462"/>
      <w:bookmarkEnd w:id="12463"/>
    </w:p>
    <w:p w:rsidR="00C34249" w:rsidRDefault="00C34249" w:rsidP="007E4E81">
      <w:pPr>
        <w:pStyle w:val="a0"/>
        <w:rPr>
          <w:rtl/>
        </w:rPr>
      </w:pPr>
      <w:bookmarkStart w:id="12464" w:name="_Ref61780586"/>
      <w:r>
        <w:rPr>
          <w:rFonts w:hint="cs"/>
          <w:rtl/>
        </w:rPr>
        <w:t xml:space="preserve">כתב </w:t>
      </w:r>
      <w:r>
        <w:rPr>
          <w:rStyle w:val="af9"/>
          <w:rFonts w:hint="cs"/>
          <w:rtl/>
        </w:rPr>
        <w:t>ה</w:t>
      </w:r>
      <w:r w:rsidRPr="00B64BA5">
        <w:rPr>
          <w:rStyle w:val="af9"/>
          <w:rFonts w:hint="cs"/>
          <w:rtl/>
        </w:rPr>
        <w:t>חת"ס לקמן</w:t>
      </w:r>
      <w:r>
        <w:rPr>
          <w:rFonts w:hint="cs"/>
          <w:rtl/>
        </w:rPr>
        <w:t xml:space="preserve"> </w:t>
      </w:r>
      <w:r w:rsidRPr="004D5461">
        <w:rPr>
          <w:rStyle w:val="af7"/>
          <w:rFonts w:eastAsia="Guttman Hodes" w:hint="cs"/>
          <w:rtl/>
        </w:rPr>
        <w:t>(לג: ד"ה מה)</w:t>
      </w:r>
      <w:r>
        <w:rPr>
          <w:rFonts w:hint="cs"/>
          <w:rtl/>
        </w:rPr>
        <w:t xml:space="preserve"> דמדברי </w:t>
      </w:r>
      <w:r w:rsidRPr="00C86506">
        <w:rPr>
          <w:rStyle w:val="af9"/>
          <w:rFonts w:hint="cs"/>
          <w:rtl/>
        </w:rPr>
        <w:t xml:space="preserve">הרי"ף </w:t>
      </w:r>
      <w:r w:rsidRPr="004D5461">
        <w:rPr>
          <w:rStyle w:val="af7"/>
          <w:rFonts w:eastAsia="Guttman Hodes" w:hint="cs"/>
          <w:rtl/>
        </w:rPr>
        <w:t>(יד. מדה"ר)</w:t>
      </w:r>
      <w:r>
        <w:rPr>
          <w:rFonts w:hint="cs"/>
          <w:rtl/>
        </w:rPr>
        <w:t xml:space="preserve"> משמע דאפשר לבאר דאף רב חסדא מודה דמיגו במקום עדים לא מהני להוציא, ולענין הקרקע עצמה ודאי דאינו נאמן, אלא דס"ל לרב חסדא דלענין הפירות שאכל דהוא מוחזק בהם, מהני המיגו להחזיק </w:t>
      </w:r>
      <w:r>
        <w:rPr>
          <w:rFonts w:hint="cs"/>
          <w:rtl/>
        </w:rPr>
        <w:lastRenderedPageBreak/>
        <w:t xml:space="preserve">יחד עם חזקת הממון, אף כנגד העדים, ובזה נחלקו עליו אביי ורבא, ועי' בדברי </w:t>
      </w:r>
      <w:r w:rsidRPr="004777E9">
        <w:rPr>
          <w:rStyle w:val="af9"/>
          <w:rFonts w:hint="cs"/>
          <w:rtl/>
        </w:rPr>
        <w:t>הגרעק"א</w:t>
      </w:r>
      <w:r w:rsidRPr="003A5DC8">
        <w:rPr>
          <w:rFonts w:hint="cs"/>
          <w:rtl/>
        </w:rPr>
        <w:t xml:space="preserve"> </w:t>
      </w:r>
      <w:r w:rsidRPr="009029C0">
        <w:rPr>
          <w:rStyle w:val="af7"/>
          <w:rFonts w:eastAsia="Guttman Hodes" w:hint="cs"/>
          <w:rtl/>
        </w:rPr>
        <w:t xml:space="preserve">(עי' אות </w:t>
      </w:r>
      <w:r w:rsidRPr="009029C0">
        <w:rPr>
          <w:rStyle w:val="af7"/>
          <w:rFonts w:eastAsia="Guttman Hodes"/>
          <w:rtl/>
        </w:rPr>
        <w:fldChar w:fldCharType="begin"/>
      </w:r>
      <w:r w:rsidRPr="009029C0">
        <w:rPr>
          <w:rStyle w:val="af7"/>
          <w:rFonts w:eastAsia="Guttman Hodes"/>
          <w:rtl/>
        </w:rPr>
        <w:instrText xml:space="preserve"> </w:instrText>
      </w:r>
      <w:r w:rsidRPr="009029C0">
        <w:rPr>
          <w:rStyle w:val="af7"/>
          <w:rFonts w:eastAsia="Guttman Hodes" w:hint="cs"/>
        </w:rPr>
        <w:instrText>REF</w:instrText>
      </w:r>
      <w:r w:rsidRPr="009029C0">
        <w:rPr>
          <w:rStyle w:val="af7"/>
          <w:rFonts w:eastAsia="Guttman Hodes" w:hint="cs"/>
          <w:rtl/>
        </w:rPr>
        <w:instrText xml:space="preserve"> _</w:instrText>
      </w:r>
      <w:r w:rsidRPr="009029C0">
        <w:rPr>
          <w:rStyle w:val="af7"/>
          <w:rFonts w:eastAsia="Guttman Hodes" w:hint="cs"/>
        </w:rPr>
        <w:instrText>Ref61859969 \r \h</w:instrText>
      </w:r>
      <w:r w:rsidRPr="009029C0">
        <w:rPr>
          <w:rStyle w:val="af7"/>
          <w:rFonts w:eastAsia="Guttman Hodes"/>
          <w:rtl/>
        </w:rPr>
        <w:instrText xml:space="preserve"> </w:instrText>
      </w:r>
      <w:r w:rsidRPr="009029C0">
        <w:rPr>
          <w:rStyle w:val="af7"/>
          <w:rFonts w:eastAsia="Guttman Hodes"/>
          <w:rtl/>
        </w:rPr>
      </w:r>
      <w:r w:rsidRPr="009029C0">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9029C0">
        <w:rPr>
          <w:rStyle w:val="af7"/>
          <w:rFonts w:eastAsia="Guttman Hodes"/>
          <w:rtl/>
        </w:rPr>
        <w:fldChar w:fldCharType="end"/>
      </w:r>
      <w:r>
        <w:rPr>
          <w:rFonts w:hint="cs"/>
          <w:rtl/>
        </w:rPr>
        <w:t>.</w:t>
      </w:r>
      <w:bookmarkEnd w:id="12464"/>
    </w:p>
    <w:p w:rsidR="00C34249" w:rsidRDefault="00C34249" w:rsidP="00C34249">
      <w:pPr>
        <w:pStyle w:val="a3"/>
        <w:rPr>
          <w:rtl/>
        </w:rPr>
      </w:pPr>
      <w:bookmarkStart w:id="12465" w:name="_Toc61861421"/>
      <w:bookmarkStart w:id="12466" w:name="_Toc61867382"/>
      <w:bookmarkStart w:id="12467" w:name="_Toc61867488"/>
      <w:bookmarkStart w:id="12468" w:name="_Toc61887853"/>
      <w:r>
        <w:rPr>
          <w:rFonts w:hint="cs"/>
          <w:rtl/>
        </w:rPr>
        <w:t>ביאור הנחל יצחק בתוס' לקמן דלר"ח מיגו במק"ע הוא ספק השקול וא"א להוציא מיד המוחזק</w:t>
      </w:r>
      <w:bookmarkEnd w:id="12465"/>
      <w:bookmarkEnd w:id="12466"/>
      <w:bookmarkEnd w:id="12467"/>
      <w:bookmarkEnd w:id="12468"/>
    </w:p>
    <w:p w:rsidR="00C34249" w:rsidRDefault="00C34249" w:rsidP="007E4E81">
      <w:pPr>
        <w:pStyle w:val="a0"/>
        <w:rPr>
          <w:rtl/>
        </w:rPr>
      </w:pPr>
      <w:bookmarkStart w:id="12469" w:name="_Ref61780595"/>
      <w:r>
        <w:rPr>
          <w:rFonts w:hint="cs"/>
          <w:rtl/>
        </w:rPr>
        <w:t xml:space="preserve">וכן ביאר </w:t>
      </w:r>
      <w:r w:rsidRPr="00AA7176">
        <w:rPr>
          <w:rStyle w:val="af9"/>
          <w:rFonts w:hint="cs"/>
          <w:rtl/>
        </w:rPr>
        <w:t>הנחל</w:t>
      </w:r>
      <w:r>
        <w:rPr>
          <w:rFonts w:hint="cs"/>
          <w:rtl/>
        </w:rPr>
        <w:t xml:space="preserve"> </w:t>
      </w:r>
      <w:r w:rsidRPr="00AA7176">
        <w:rPr>
          <w:rStyle w:val="af9"/>
          <w:rFonts w:hint="cs"/>
          <w:rtl/>
        </w:rPr>
        <w:t>יצחק</w:t>
      </w:r>
      <w:r>
        <w:rPr>
          <w:rFonts w:hint="cs"/>
          <w:rtl/>
        </w:rPr>
        <w:t xml:space="preserve"> </w:t>
      </w:r>
      <w:r w:rsidRPr="00652FFA">
        <w:rPr>
          <w:rStyle w:val="af7"/>
          <w:rFonts w:eastAsia="Guttman Hodes" w:hint="cs"/>
          <w:rtl/>
        </w:rPr>
        <w:t>(חו"מ סי' פ"א או' ה' [סעיף כ"ג] סוף ענף ב' ד"ה גם יש לומר)</w:t>
      </w:r>
      <w:r>
        <w:rPr>
          <w:rFonts w:hint="cs"/>
          <w:rtl/>
        </w:rPr>
        <w:t xml:space="preserve"> בדעת </w:t>
      </w:r>
      <w:r w:rsidRPr="00AA7176">
        <w:rPr>
          <w:rStyle w:val="af9"/>
          <w:rFonts w:hint="cs"/>
          <w:rtl/>
        </w:rPr>
        <w:t>התוס'</w:t>
      </w:r>
      <w:r>
        <w:rPr>
          <w:rFonts w:hint="cs"/>
          <w:rtl/>
        </w:rPr>
        <w:t xml:space="preserve"> </w:t>
      </w:r>
      <w:r w:rsidRPr="00AA7176">
        <w:rPr>
          <w:rStyle w:val="af9"/>
          <w:rFonts w:hint="cs"/>
          <w:rtl/>
        </w:rPr>
        <w:t>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Ref61858566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Pr>
          <w:rStyle w:val="af7"/>
          <w:rFonts w:eastAsia="Guttman Hodes"/>
          <w:rtl/>
        </w:rPr>
        <w:fldChar w:fldCharType="end"/>
      </w:r>
      <w:r>
        <w:rPr>
          <w:rStyle w:val="af7"/>
          <w:rFonts w:eastAsia="Guttman Hodes" w:hint="cs"/>
          <w:rtl/>
        </w:rPr>
        <w:t xml:space="preserve"> </w:t>
      </w:r>
      <w:r>
        <w:rPr>
          <w:rFonts w:hint="cs"/>
          <w:rtl/>
        </w:rPr>
        <w:t xml:space="preserve">דלרב חסדא מיגו במקום עדים הוא ספק, והם שקולים, ואין כח ביד העדים להוציא ממוחזק, כשיש לו מיגו, ולכן ס"ל לרב חסדא בגמ' לקמן </w:t>
      </w:r>
      <w:r w:rsidRPr="00652FFA">
        <w:rPr>
          <w:rStyle w:val="af7"/>
          <w:rFonts w:eastAsia="Guttman Hodes" w:hint="cs"/>
          <w:rtl/>
        </w:rPr>
        <w:t>(לג:)</w:t>
      </w:r>
      <w:r>
        <w:rPr>
          <w:rFonts w:hint="cs"/>
          <w:rtl/>
        </w:rPr>
        <w:t xml:space="preserve"> דאין מוציאין מהמחזיק כיון שיש לו חזקת ג"ש, והוא ספיקא דדינא ומהני בכה"ג תפיסה בקרקע.</w:t>
      </w:r>
      <w:bookmarkEnd w:id="12469"/>
    </w:p>
    <w:p w:rsidR="00C34249" w:rsidRPr="00A25FA5" w:rsidRDefault="00C34249" w:rsidP="00C34249">
      <w:pPr>
        <w:pStyle w:val="afe"/>
      </w:pPr>
      <w:bookmarkStart w:id="12470" w:name="_Toc61861422"/>
      <w:bookmarkStart w:id="12471" w:name="_Toc61867383"/>
      <w:bookmarkStart w:id="12472" w:name="_Toc61867489"/>
      <w:bookmarkStart w:id="12473" w:name="_Toc61887854"/>
      <w:r>
        <w:rPr>
          <w:rFonts w:hint="cs"/>
          <w:rtl/>
        </w:rPr>
        <w:t>ד' הראשונים דע"י המיגו טענינן ליה</w:t>
      </w:r>
      <w:bookmarkEnd w:id="12470"/>
      <w:bookmarkEnd w:id="12471"/>
      <w:bookmarkEnd w:id="12472"/>
      <w:bookmarkEnd w:id="12473"/>
    </w:p>
    <w:p w:rsidR="00C34249" w:rsidRDefault="00C34249" w:rsidP="00C34249">
      <w:pPr>
        <w:pStyle w:val="1"/>
        <w:rPr>
          <w:rtl/>
        </w:rPr>
      </w:pPr>
      <w:bookmarkStart w:id="12474" w:name="_Toc61815357"/>
      <w:bookmarkStart w:id="12475" w:name="_Toc61861423"/>
      <w:bookmarkStart w:id="12476" w:name="_Toc61867384"/>
      <w:bookmarkStart w:id="12477" w:name="_Toc61867490"/>
      <w:bookmarkStart w:id="12478" w:name="_Toc61887855"/>
      <w:r>
        <w:rPr>
          <w:rFonts w:hint="cs"/>
          <w:rtl/>
        </w:rPr>
        <w:t>קושיות הרמב"ן</w:t>
      </w:r>
      <w:bookmarkEnd w:id="12261"/>
      <w:bookmarkEnd w:id="12262"/>
      <w:bookmarkEnd w:id="12263"/>
      <w:bookmarkEnd w:id="12474"/>
      <w:r>
        <w:rPr>
          <w:rFonts w:hint="cs"/>
          <w:rtl/>
        </w:rPr>
        <w:t xml:space="preserve"> דא"א לומר דנאמן במיגו להכחיש את העדים</w:t>
      </w:r>
      <w:bookmarkEnd w:id="12475"/>
      <w:bookmarkEnd w:id="12476"/>
      <w:bookmarkEnd w:id="12477"/>
      <w:bookmarkEnd w:id="12478"/>
    </w:p>
    <w:p w:rsidR="00C34249" w:rsidRDefault="00C34249" w:rsidP="00C34249">
      <w:pPr>
        <w:pStyle w:val="a3"/>
        <w:rPr>
          <w:rtl/>
        </w:rPr>
      </w:pPr>
      <w:bookmarkStart w:id="12479" w:name="_Toc61861424"/>
      <w:bookmarkStart w:id="12480" w:name="_Toc61867385"/>
      <w:bookmarkStart w:id="12481" w:name="_Toc61867491"/>
      <w:bookmarkStart w:id="12482" w:name="_Toc61887856"/>
      <w:r>
        <w:rPr>
          <w:rFonts w:hint="cs"/>
          <w:rtl/>
        </w:rPr>
        <w:t>קושית הרמב"ן דהאיך נאמינו במיגו ונאמר שהעדים משקרים הא האמינם תורה</w:t>
      </w:r>
      <w:bookmarkEnd w:id="12479"/>
      <w:bookmarkEnd w:id="12480"/>
      <w:bookmarkEnd w:id="12481"/>
      <w:bookmarkEnd w:id="12482"/>
    </w:p>
    <w:p w:rsidR="00C34249" w:rsidRDefault="00C34249" w:rsidP="007E4E81">
      <w:pPr>
        <w:pStyle w:val="a0"/>
        <w:rPr>
          <w:rtl/>
        </w:rPr>
      </w:pPr>
      <w:bookmarkStart w:id="12483" w:name="_Ref61883989"/>
      <w:r>
        <w:rPr>
          <w:rFonts w:hint="cs"/>
          <w:rtl/>
        </w:rPr>
        <w:t xml:space="preserve">בדברי רבה דנאמן המחזיק במיגו, הקשה </w:t>
      </w:r>
      <w:r w:rsidRPr="003479B8">
        <w:rPr>
          <w:rStyle w:val="af9"/>
          <w:rFonts w:hint="cs"/>
          <w:rtl/>
        </w:rPr>
        <w:t>הרמב"ן</w:t>
      </w:r>
      <w:r w:rsidRPr="00B030F7">
        <w:rPr>
          <w:rStyle w:val="af7"/>
          <w:rFonts w:eastAsia="Guttman Hodes" w:hint="cs"/>
          <w:rtl/>
        </w:rPr>
        <w:t xml:space="preserve"> (ד"ה אמר) </w:t>
      </w:r>
      <w:r>
        <w:rPr>
          <w:rFonts w:hint="cs"/>
          <w:rtl/>
        </w:rPr>
        <w:t>דהא אי יש למערער עדים שהייתה של אבותיו של המערער מעולם, ולא הייתה של אבותיו של המחזיק כלל, א"כ אין לו כל טענה שיכול לשקר ולהכחיש את העדים, והאיך נאמן לטעון שהם משקרים, הא האמינתם תורה.</w:t>
      </w:r>
      <w:bookmarkEnd w:id="12483"/>
    </w:p>
    <w:p w:rsidR="00C34249" w:rsidRDefault="00C34249" w:rsidP="00C34249">
      <w:pPr>
        <w:pStyle w:val="a3"/>
        <w:rPr>
          <w:rtl/>
        </w:rPr>
      </w:pPr>
      <w:bookmarkStart w:id="12484" w:name="_Toc61861425"/>
      <w:bookmarkStart w:id="12485" w:name="_Toc61867386"/>
      <w:bookmarkStart w:id="12486" w:name="_Toc61867492"/>
      <w:bookmarkStart w:id="12487" w:name="_Toc61887857"/>
      <w:r>
        <w:rPr>
          <w:rFonts w:hint="cs"/>
          <w:rtl/>
        </w:rPr>
        <w:t>קושית הרמב"ן דתנן בשבועות דבהודה בפני עדים לא נאמן בלהד"ם ומוכח דל"מ מיגו במק"ע</w:t>
      </w:r>
      <w:bookmarkEnd w:id="12484"/>
      <w:bookmarkEnd w:id="12485"/>
      <w:bookmarkEnd w:id="12486"/>
      <w:bookmarkEnd w:id="12487"/>
    </w:p>
    <w:p w:rsidR="00C34249" w:rsidRDefault="00C34249" w:rsidP="007E4E81">
      <w:pPr>
        <w:pStyle w:val="a0"/>
        <w:rPr>
          <w:rtl/>
        </w:rPr>
      </w:pPr>
      <w:bookmarkStart w:id="12488" w:name="_Ref61771465"/>
      <w:r>
        <w:rPr>
          <w:rFonts w:hint="cs"/>
          <w:rtl/>
        </w:rPr>
        <w:t xml:space="preserve">ועוד הקשה </w:t>
      </w:r>
      <w:r w:rsidRPr="003479B8">
        <w:rPr>
          <w:rStyle w:val="af9"/>
          <w:rFonts w:hint="cs"/>
          <w:rtl/>
        </w:rPr>
        <w:t>הרמב"ן</w:t>
      </w:r>
      <w:r>
        <w:rPr>
          <w:rFonts w:hint="cs"/>
          <w:rtl/>
        </w:rPr>
        <w:t xml:space="preserve"> דהא תנן בשבועות </w:t>
      </w:r>
      <w:r w:rsidRPr="00B030F7">
        <w:rPr>
          <w:rStyle w:val="af7"/>
          <w:rFonts w:eastAsia="Guttman Hodes" w:hint="cs"/>
          <w:rtl/>
        </w:rPr>
        <w:t>(לח:)</w:t>
      </w:r>
      <w:r>
        <w:rPr>
          <w:rFonts w:hint="cs"/>
          <w:rtl/>
        </w:rPr>
        <w:t xml:space="preserve"> ולעיל </w:t>
      </w:r>
      <w:r w:rsidRPr="00B030F7">
        <w:rPr>
          <w:rStyle w:val="af7"/>
          <w:rFonts w:eastAsia="Guttman Hodes" w:hint="cs"/>
          <w:rtl/>
        </w:rPr>
        <w:t>(ו.)</w:t>
      </w:r>
      <w:r>
        <w:rPr>
          <w:rFonts w:hint="cs"/>
          <w:rtl/>
        </w:rPr>
        <w:t xml:space="preserve"> דהאומר לחבירו מנה לי בידך וא"ל שיפרע לו למחר, ולמחר טען אין לך בידי כלום חייב, דאמרינן דכוונתו לטעון להד"ם, ואי ס"ל לרבה דמיגו במקום עדים</w:t>
      </w:r>
      <w:r w:rsidRPr="002061D4">
        <w:rPr>
          <w:rFonts w:hint="cs"/>
          <w:rtl/>
        </w:rPr>
        <w:t xml:space="preserve"> </w:t>
      </w:r>
      <w:r>
        <w:rPr>
          <w:rFonts w:hint="cs"/>
          <w:rtl/>
        </w:rPr>
        <w:t xml:space="preserve">מהני, א"כ אמאי לא נאמן כשטוען להד"ם, במיגו שהיה טוען שפרעו לאחר זמן הפרעון, דאי מיגו מהני אף במקום עדים, כ"ש דמהני מיגו במקום חזקה דאין אדם פורע בתוך זמנו. [ועי' במה שתירץ </w:t>
      </w:r>
      <w:r w:rsidRPr="003479B8">
        <w:rPr>
          <w:rStyle w:val="af9"/>
          <w:rFonts w:hint="cs"/>
          <w:rtl/>
        </w:rPr>
        <w:t>הגרעק"א</w:t>
      </w:r>
      <w:r w:rsidRPr="00B030F7">
        <w:rPr>
          <w:rStyle w:val="af7"/>
          <w:rFonts w:eastAsia="Guttman Hodes" w:hint="cs"/>
          <w:rtl/>
        </w:rPr>
        <w:t xml:space="preserve"> (עי' אות </w:t>
      </w:r>
      <w:r w:rsidRPr="00B030F7">
        <w:rPr>
          <w:rStyle w:val="af7"/>
          <w:rFonts w:eastAsia="Guttman Hodes"/>
          <w:rtl/>
        </w:rPr>
        <w:fldChar w:fldCharType="begin"/>
      </w:r>
      <w:r w:rsidRPr="00B030F7">
        <w:rPr>
          <w:rStyle w:val="af7"/>
          <w:rFonts w:eastAsia="Guttman Hodes"/>
          <w:rtl/>
        </w:rPr>
        <w:instrText xml:space="preserve"> </w:instrText>
      </w:r>
      <w:r w:rsidRPr="00B030F7">
        <w:rPr>
          <w:rStyle w:val="af7"/>
          <w:rFonts w:eastAsia="Guttman Hodes" w:hint="cs"/>
        </w:rPr>
        <w:instrText>REF</w:instrText>
      </w:r>
      <w:r w:rsidRPr="00B030F7">
        <w:rPr>
          <w:rStyle w:val="af7"/>
          <w:rFonts w:eastAsia="Guttman Hodes" w:hint="cs"/>
          <w:rtl/>
        </w:rPr>
        <w:instrText xml:space="preserve"> _</w:instrText>
      </w:r>
      <w:r w:rsidRPr="00B030F7">
        <w:rPr>
          <w:rStyle w:val="af7"/>
          <w:rFonts w:eastAsia="Guttman Hodes" w:hint="cs"/>
        </w:rPr>
        <w:instrText>Ref61771457 \r \h</w:instrText>
      </w:r>
      <w:r w:rsidRPr="00B030F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030F7">
        <w:rPr>
          <w:rStyle w:val="af7"/>
          <w:rFonts w:eastAsia="Guttman Hodes"/>
          <w:rtl/>
        </w:rPr>
      </w:r>
      <w:r w:rsidRPr="00B030F7">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B030F7">
        <w:rPr>
          <w:rStyle w:val="af7"/>
          <w:rFonts w:eastAsia="Guttman Hodes"/>
          <w:rtl/>
        </w:rPr>
        <w:fldChar w:fldCharType="end"/>
      </w:r>
      <w:r w:rsidRPr="00913C2A">
        <w:rPr>
          <w:rFonts w:hint="cs"/>
          <w:rtl/>
        </w:rPr>
        <w:t xml:space="preserve"> </w:t>
      </w:r>
      <w:r>
        <w:rPr>
          <w:rFonts w:hint="cs"/>
          <w:rtl/>
        </w:rPr>
        <w:t xml:space="preserve">ומה שתירץ </w:t>
      </w:r>
      <w:r w:rsidRPr="00AA7176">
        <w:rPr>
          <w:rStyle w:val="af9"/>
          <w:rFonts w:hint="cs"/>
          <w:rtl/>
        </w:rPr>
        <w:t>הנחל</w:t>
      </w:r>
      <w:r>
        <w:rPr>
          <w:rFonts w:hint="cs"/>
          <w:rtl/>
        </w:rPr>
        <w:t xml:space="preserve"> </w:t>
      </w:r>
      <w:r w:rsidRPr="00AA7176">
        <w:rPr>
          <w:rStyle w:val="af9"/>
          <w:rFonts w:hint="cs"/>
          <w:rtl/>
        </w:rPr>
        <w:t>יצחק</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Ref61861028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Pr>
          <w:rStyle w:val="af7"/>
          <w:rFonts w:eastAsia="Guttman Hodes"/>
          <w:rtl/>
        </w:rPr>
        <w:fldChar w:fldCharType="end"/>
      </w:r>
      <w:r>
        <w:rPr>
          <w:rFonts w:hint="cs"/>
          <w:rtl/>
        </w:rPr>
        <w:t xml:space="preserve"> עפי"ד</w:t>
      </w:r>
      <w:r w:rsidRPr="006E546C">
        <w:rPr>
          <w:rStyle w:val="af9"/>
          <w:rFonts w:hint="cs"/>
          <w:rtl/>
        </w:rPr>
        <w:t xml:space="preserve"> התוס' בגיטין</w:t>
      </w:r>
      <w:r w:rsidRPr="00F14DA7">
        <w:rPr>
          <w:rFonts w:hint="cs"/>
          <w:rtl/>
        </w:rPr>
        <w:t>, וע"ע במה שהקשו</w:t>
      </w:r>
      <w:r>
        <w:rPr>
          <w:rStyle w:val="af9"/>
          <w:rFonts w:hint="cs"/>
          <w:rtl/>
        </w:rPr>
        <w:t xml:space="preserve"> </w:t>
      </w:r>
      <w:r w:rsidRPr="004777E9">
        <w:rPr>
          <w:rStyle w:val="af9"/>
          <w:rFonts w:hint="cs"/>
          <w:rtl/>
        </w:rPr>
        <w:t>רבינו</w:t>
      </w:r>
      <w:r>
        <w:rPr>
          <w:rFonts w:hint="cs"/>
          <w:rtl/>
        </w:rPr>
        <w:t xml:space="preserve"> </w:t>
      </w:r>
      <w:r w:rsidRPr="004777E9">
        <w:rPr>
          <w:rStyle w:val="af9"/>
          <w:rFonts w:hint="cs"/>
          <w:rtl/>
        </w:rPr>
        <w:t>יונה</w:t>
      </w:r>
      <w:r>
        <w:rPr>
          <w:rFonts w:hint="cs"/>
          <w:rtl/>
        </w:rPr>
        <w:t xml:space="preserve"> </w:t>
      </w:r>
      <w:r w:rsidRPr="004777E9">
        <w:rPr>
          <w:rStyle w:val="af9"/>
          <w:rFonts w:hint="cs"/>
          <w:rtl/>
        </w:rPr>
        <w:t>והרשב"א</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Ref61865688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Pr>
          <w:rStyle w:val="af7"/>
          <w:rFonts w:eastAsia="Guttman Hodes"/>
          <w:rtl/>
        </w:rPr>
        <w:fldChar w:fldCharType="end"/>
      </w:r>
      <w:r>
        <w:rPr>
          <w:rFonts w:hint="cs"/>
          <w:rtl/>
        </w:rPr>
        <w:t xml:space="preserve">, ועי' במה שביאר </w:t>
      </w:r>
      <w:r w:rsidRPr="00A03C92">
        <w:rPr>
          <w:rStyle w:val="af9"/>
          <w:rFonts w:hint="cs"/>
          <w:rtl/>
        </w:rPr>
        <w:t>הגר"ח מטעלז</w:t>
      </w:r>
      <w:r>
        <w:rPr>
          <w:rFonts w:hint="cs"/>
          <w:rtl/>
        </w:rPr>
        <w:t xml:space="preserve"> </w:t>
      </w:r>
      <w:r w:rsidRPr="00D110E3">
        <w:rPr>
          <w:rStyle w:val="af7"/>
          <w:rFonts w:eastAsia="Guttman Hodes" w:hint="cs"/>
          <w:rtl/>
        </w:rPr>
        <w:t xml:space="preserve">(עי' אות </w:t>
      </w:r>
      <w:r w:rsidRPr="00D110E3">
        <w:rPr>
          <w:rStyle w:val="af7"/>
          <w:rFonts w:eastAsia="Guttman Hodes"/>
          <w:rtl/>
        </w:rPr>
        <w:fldChar w:fldCharType="begin"/>
      </w:r>
      <w:r w:rsidRPr="00D110E3">
        <w:rPr>
          <w:rStyle w:val="af7"/>
          <w:rFonts w:eastAsia="Guttman Hodes"/>
          <w:rtl/>
        </w:rPr>
        <w:instrText xml:space="preserve"> </w:instrText>
      </w:r>
      <w:r w:rsidRPr="00D110E3">
        <w:rPr>
          <w:rStyle w:val="af7"/>
          <w:rFonts w:eastAsia="Guttman Hodes" w:hint="cs"/>
        </w:rPr>
        <w:instrText>REF</w:instrText>
      </w:r>
      <w:r w:rsidRPr="00D110E3">
        <w:rPr>
          <w:rStyle w:val="af7"/>
          <w:rFonts w:eastAsia="Guttman Hodes" w:hint="cs"/>
          <w:rtl/>
        </w:rPr>
        <w:instrText xml:space="preserve"> _</w:instrText>
      </w:r>
      <w:r w:rsidRPr="00D110E3">
        <w:rPr>
          <w:rStyle w:val="af7"/>
          <w:rFonts w:eastAsia="Guttman Hodes" w:hint="cs"/>
        </w:rPr>
        <w:instrText>Ref61883676 \r \h</w:instrText>
      </w:r>
      <w:r w:rsidRPr="00D110E3">
        <w:rPr>
          <w:rStyle w:val="af7"/>
          <w:rFonts w:eastAsia="Guttman Hodes"/>
          <w:rtl/>
        </w:rPr>
        <w:instrText xml:space="preserve"> </w:instrText>
      </w:r>
      <w:r w:rsidRPr="00D110E3">
        <w:rPr>
          <w:rStyle w:val="af7"/>
          <w:rFonts w:eastAsia="Guttman Hodes"/>
          <w:rtl/>
        </w:rPr>
      </w:r>
      <w:r w:rsidRPr="00D110E3">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D110E3">
        <w:rPr>
          <w:rStyle w:val="af7"/>
          <w:rFonts w:eastAsia="Guttman Hodes"/>
          <w:rtl/>
        </w:rPr>
        <w:fldChar w:fldCharType="end"/>
      </w:r>
      <w:r>
        <w:rPr>
          <w:rFonts w:hint="cs"/>
          <w:rtl/>
        </w:rPr>
        <w:t xml:space="preserve"> בקושית </w:t>
      </w:r>
      <w:r w:rsidRPr="00A03C92">
        <w:rPr>
          <w:rStyle w:val="af9"/>
          <w:rFonts w:hint="cs"/>
          <w:rtl/>
        </w:rPr>
        <w:t>הרמב"ן</w:t>
      </w:r>
      <w:r>
        <w:rPr>
          <w:rFonts w:hint="cs"/>
          <w:rtl/>
        </w:rPr>
        <w:t xml:space="preserve">, ובמה שתירץ </w:t>
      </w:r>
      <w:r w:rsidRPr="00A03C92">
        <w:rPr>
          <w:rStyle w:val="af9"/>
          <w:rFonts w:hint="cs"/>
          <w:rtl/>
        </w:rPr>
        <w:t>הגר"ח מטעלז</w:t>
      </w:r>
      <w:r>
        <w:rPr>
          <w:rFonts w:hint="cs"/>
          <w:rtl/>
        </w:rPr>
        <w:t xml:space="preserve"> </w:t>
      </w:r>
      <w:r w:rsidRPr="00D110E3">
        <w:rPr>
          <w:rStyle w:val="af7"/>
          <w:rFonts w:eastAsia="Guttman Hodes" w:hint="cs"/>
          <w:rtl/>
        </w:rPr>
        <w:t xml:space="preserve">(עי' אות </w:t>
      </w:r>
      <w:r w:rsidRPr="00D110E3">
        <w:rPr>
          <w:rStyle w:val="af7"/>
          <w:rFonts w:eastAsia="Guttman Hodes"/>
          <w:rtl/>
        </w:rPr>
        <w:fldChar w:fldCharType="begin"/>
      </w:r>
      <w:r w:rsidRPr="00D110E3">
        <w:rPr>
          <w:rStyle w:val="af7"/>
          <w:rFonts w:eastAsia="Guttman Hodes"/>
          <w:rtl/>
        </w:rPr>
        <w:instrText xml:space="preserve"> </w:instrText>
      </w:r>
      <w:r w:rsidRPr="00D110E3">
        <w:rPr>
          <w:rStyle w:val="af7"/>
          <w:rFonts w:eastAsia="Guttman Hodes" w:hint="cs"/>
        </w:rPr>
        <w:instrText>REF</w:instrText>
      </w:r>
      <w:r w:rsidRPr="00D110E3">
        <w:rPr>
          <w:rStyle w:val="af7"/>
          <w:rFonts w:eastAsia="Guttman Hodes" w:hint="cs"/>
          <w:rtl/>
        </w:rPr>
        <w:instrText xml:space="preserve"> _</w:instrText>
      </w:r>
      <w:r w:rsidRPr="00D110E3">
        <w:rPr>
          <w:rStyle w:val="af7"/>
          <w:rFonts w:eastAsia="Guttman Hodes" w:hint="cs"/>
        </w:rPr>
        <w:instrText>Ref61812514 \r \h</w:instrText>
      </w:r>
      <w:r w:rsidRPr="00D110E3">
        <w:rPr>
          <w:rStyle w:val="af7"/>
          <w:rFonts w:eastAsia="Guttman Hodes"/>
          <w:rtl/>
        </w:rPr>
        <w:instrText xml:space="preserve"> </w:instrText>
      </w:r>
      <w:r w:rsidRPr="00D110E3">
        <w:rPr>
          <w:rStyle w:val="af7"/>
          <w:rFonts w:eastAsia="Guttman Hodes"/>
          <w:rtl/>
        </w:rPr>
      </w:r>
      <w:r w:rsidRPr="00D110E3">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D110E3">
        <w:rPr>
          <w:rStyle w:val="af7"/>
          <w:rFonts w:eastAsia="Guttman Hodes"/>
          <w:rtl/>
        </w:rPr>
        <w:fldChar w:fldCharType="end"/>
      </w:r>
      <w:r>
        <w:rPr>
          <w:rFonts w:hint="cs"/>
          <w:rtl/>
        </w:rPr>
        <w:t xml:space="preserve"> לדעת </w:t>
      </w:r>
      <w:r w:rsidRPr="00A03C92">
        <w:rPr>
          <w:rStyle w:val="af9"/>
          <w:rFonts w:hint="cs"/>
          <w:rtl/>
        </w:rPr>
        <w:t>הרשב"ם והתוס'</w:t>
      </w:r>
      <w:r>
        <w:rPr>
          <w:rFonts w:hint="cs"/>
          <w:rtl/>
        </w:rPr>
        <w:t>].</w:t>
      </w:r>
      <w:bookmarkEnd w:id="12488"/>
    </w:p>
    <w:p w:rsidR="00C34249" w:rsidRDefault="00C34249" w:rsidP="00C34249">
      <w:pPr>
        <w:pStyle w:val="a3"/>
        <w:rPr>
          <w:rtl/>
        </w:rPr>
      </w:pPr>
      <w:bookmarkStart w:id="12489" w:name="_Toc61861426"/>
      <w:bookmarkStart w:id="12490" w:name="_Toc61867387"/>
      <w:bookmarkStart w:id="12491" w:name="_Toc61867493"/>
      <w:bookmarkStart w:id="12492" w:name="_Toc61887858"/>
      <w:r>
        <w:rPr>
          <w:rFonts w:hint="cs"/>
          <w:rtl/>
        </w:rPr>
        <w:t>דברי הרמב"ן דמנהרדעי מוכח דלא העידו שלא הייתה מעולם של המערער ומתו אבותיו מתוכה</w:t>
      </w:r>
      <w:bookmarkEnd w:id="12489"/>
      <w:bookmarkEnd w:id="12490"/>
      <w:bookmarkEnd w:id="12491"/>
      <w:bookmarkEnd w:id="12492"/>
    </w:p>
    <w:p w:rsidR="00C34249" w:rsidRDefault="00C34249" w:rsidP="007E4E81">
      <w:pPr>
        <w:pStyle w:val="a0"/>
        <w:rPr>
          <w:rtl/>
        </w:rPr>
      </w:pPr>
      <w:r>
        <w:rPr>
          <w:rFonts w:hint="cs"/>
          <w:rtl/>
        </w:rPr>
        <w:t xml:space="preserve">ועוד כתב </w:t>
      </w:r>
      <w:r w:rsidRPr="003479B8">
        <w:rPr>
          <w:rStyle w:val="af9"/>
          <w:rFonts w:hint="cs"/>
          <w:rtl/>
        </w:rPr>
        <w:t>הרמב"ן</w:t>
      </w:r>
      <w:r>
        <w:rPr>
          <w:rFonts w:hint="cs"/>
          <w:rtl/>
        </w:rPr>
        <w:t xml:space="preserve"> דמהא דאמרינן דמודו נהרדעי במקום שחזר וטען דהייתה של אבותיו שלקחוה מאבותיו של המערער, א"כ משמע דהעדים לא העידו שהייתה מעולם של אבותיו של המערער, ומתו אבותיו מתוכה, והוסיף </w:t>
      </w:r>
      <w:r w:rsidRPr="00EE39AB">
        <w:rPr>
          <w:rStyle w:val="af9"/>
          <w:rFonts w:hint="cs"/>
          <w:rtl/>
        </w:rPr>
        <w:t>הרמב"ן</w:t>
      </w:r>
      <w:r>
        <w:rPr>
          <w:rFonts w:hint="cs"/>
          <w:rtl/>
        </w:rPr>
        <w:t xml:space="preserve"> דאף דברי הגמ' בהמשך הסוגיא בנהרדעי הם על המעשה שאיירי בו בתחילת הסוגיא, וכ"כ</w:t>
      </w:r>
      <w:r w:rsidRPr="0018180C">
        <w:rPr>
          <w:rStyle w:val="af9"/>
          <w:rFonts w:hint="cs"/>
          <w:rtl/>
        </w:rPr>
        <w:t xml:space="preserve"> </w:t>
      </w:r>
      <w:r w:rsidRPr="003A3768">
        <w:rPr>
          <w:rStyle w:val="af9"/>
          <w:rFonts w:hint="cs"/>
          <w:rtl/>
        </w:rPr>
        <w:t>הר"ן</w:t>
      </w:r>
      <w:r>
        <w:rPr>
          <w:rFonts w:hint="cs"/>
          <w:rtl/>
        </w:rPr>
        <w:t xml:space="preserve"> </w:t>
      </w:r>
      <w:r w:rsidRPr="00652FFA">
        <w:rPr>
          <w:rStyle w:val="af7"/>
          <w:rFonts w:eastAsia="Guttman Hodes" w:hint="cs"/>
          <w:rtl/>
        </w:rPr>
        <w:t>(ד"ה אמר)</w:t>
      </w:r>
      <w:r>
        <w:rPr>
          <w:rFonts w:hint="cs"/>
          <w:rtl/>
        </w:rPr>
        <w:t>.</w:t>
      </w:r>
    </w:p>
    <w:p w:rsidR="00C34249" w:rsidRPr="00796988" w:rsidRDefault="00C34249" w:rsidP="00C34249">
      <w:pPr>
        <w:pStyle w:val="a3"/>
      </w:pPr>
      <w:bookmarkStart w:id="12493" w:name="_Toc61861427"/>
      <w:bookmarkStart w:id="12494" w:name="_Toc61867388"/>
      <w:bookmarkStart w:id="12495" w:name="_Toc61867494"/>
      <w:bookmarkStart w:id="12496" w:name="_Toc61887859"/>
      <w:r>
        <w:rPr>
          <w:rFonts w:hint="cs"/>
          <w:rtl/>
        </w:rPr>
        <w:t>קושית הרמב"ן דכיון שטוענים בסתמא של אבותי אמאי לא טענינן שלקחוה ככל טענינן ליורש</w:t>
      </w:r>
      <w:bookmarkEnd w:id="12493"/>
      <w:bookmarkEnd w:id="12494"/>
      <w:bookmarkEnd w:id="12495"/>
      <w:bookmarkEnd w:id="12496"/>
    </w:p>
    <w:p w:rsidR="00C34249" w:rsidRDefault="00C34249" w:rsidP="007E4E81">
      <w:pPr>
        <w:pStyle w:val="a0"/>
        <w:rPr>
          <w:rtl/>
        </w:rPr>
      </w:pPr>
      <w:bookmarkStart w:id="12497" w:name="_Ref61865494"/>
      <w:r>
        <w:rPr>
          <w:rFonts w:hint="cs"/>
          <w:rtl/>
        </w:rPr>
        <w:t xml:space="preserve">והקשו </w:t>
      </w:r>
      <w:r w:rsidRPr="00EE39AB">
        <w:rPr>
          <w:rStyle w:val="af9"/>
          <w:rFonts w:hint="cs"/>
          <w:rtl/>
        </w:rPr>
        <w:t>הרמב"ן</w:t>
      </w:r>
      <w:r>
        <w:rPr>
          <w:rFonts w:hint="cs"/>
          <w:rtl/>
        </w:rPr>
        <w:t xml:space="preserve"> </w:t>
      </w:r>
      <w:r w:rsidRPr="003A3768">
        <w:rPr>
          <w:rStyle w:val="af9"/>
          <w:rFonts w:hint="cs"/>
          <w:rtl/>
        </w:rPr>
        <w:t>והר"ן</w:t>
      </w:r>
      <w:r>
        <w:rPr>
          <w:rFonts w:hint="cs"/>
          <w:rtl/>
        </w:rPr>
        <w:t xml:space="preserve"> דא"כ אם כ"א מהם טוען בסתמא שהייתה של אבותיו, אמאי לא טענינן להו, דהא בכל טענינן ליורש כך הוא שטוען שהייתה של אבותיו, ואינו יודע היאך הייתה שלהם, ויתכן שהם לקחוה מאבותיו של המערער, ועי' בדברי </w:t>
      </w:r>
      <w:r>
        <w:rPr>
          <w:rStyle w:val="af9"/>
          <w:rFonts w:hint="cs"/>
          <w:rtl/>
        </w:rPr>
        <w:t xml:space="preserve">הרשב"א בתוס' </w:t>
      </w:r>
      <w:r w:rsidRPr="00951D29">
        <w:rPr>
          <w:rStyle w:val="af7"/>
          <w:rFonts w:eastAsia="Guttman Hodes" w:hint="cs"/>
          <w:rtl/>
        </w:rPr>
        <w:t xml:space="preserve">(עי' אות </w:t>
      </w:r>
      <w:r w:rsidRPr="00951D29">
        <w:rPr>
          <w:rStyle w:val="af7"/>
          <w:rFonts w:eastAsia="Guttman Hodes"/>
          <w:rtl/>
        </w:rPr>
        <w:fldChar w:fldCharType="begin"/>
      </w:r>
      <w:r w:rsidRPr="00951D29">
        <w:rPr>
          <w:rStyle w:val="af7"/>
          <w:rFonts w:eastAsia="Guttman Hodes"/>
          <w:rtl/>
        </w:rPr>
        <w:instrText xml:space="preserve"> </w:instrText>
      </w:r>
      <w:r w:rsidRPr="00951D29">
        <w:rPr>
          <w:rStyle w:val="af7"/>
          <w:rFonts w:eastAsia="Guttman Hodes" w:hint="cs"/>
        </w:rPr>
        <w:instrText>REF</w:instrText>
      </w:r>
      <w:r w:rsidRPr="00951D29">
        <w:rPr>
          <w:rStyle w:val="af7"/>
          <w:rFonts w:eastAsia="Guttman Hodes" w:hint="cs"/>
          <w:rtl/>
        </w:rPr>
        <w:instrText xml:space="preserve"> _</w:instrText>
      </w:r>
      <w:r w:rsidRPr="00951D29">
        <w:rPr>
          <w:rStyle w:val="af7"/>
          <w:rFonts w:eastAsia="Guttman Hodes" w:hint="cs"/>
        </w:rPr>
        <w:instrText>Ref61813820 \r \h</w:instrText>
      </w:r>
      <w:r w:rsidRPr="00951D29">
        <w:rPr>
          <w:rStyle w:val="af7"/>
          <w:rFonts w:eastAsia="Guttman Hodes"/>
          <w:rtl/>
        </w:rPr>
        <w:instrText xml:space="preserve"> </w:instrText>
      </w:r>
      <w:r w:rsidRPr="00951D29">
        <w:rPr>
          <w:rStyle w:val="af7"/>
          <w:rFonts w:eastAsia="Guttman Hodes"/>
          <w:rtl/>
        </w:rPr>
      </w:r>
      <w:r w:rsidRPr="00951D29">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951D29">
        <w:rPr>
          <w:rStyle w:val="af7"/>
          <w:rFonts w:eastAsia="Guttman Hodes"/>
          <w:rtl/>
        </w:rPr>
        <w:fldChar w:fldCharType="end"/>
      </w:r>
      <w:r>
        <w:rPr>
          <w:rStyle w:val="af9"/>
          <w:rFonts w:hint="cs"/>
          <w:rtl/>
        </w:rPr>
        <w:t xml:space="preserve"> ורבינו יונה </w:t>
      </w:r>
      <w:r w:rsidRPr="00951D29">
        <w:rPr>
          <w:rStyle w:val="af7"/>
          <w:rFonts w:eastAsia="Guttman Hodes" w:hint="cs"/>
          <w:rtl/>
        </w:rPr>
        <w:t xml:space="preserve">(עי' אות </w:t>
      </w:r>
      <w:r w:rsidRPr="00951D29">
        <w:rPr>
          <w:rStyle w:val="af7"/>
          <w:rFonts w:eastAsia="Guttman Hodes"/>
          <w:rtl/>
        </w:rPr>
        <w:fldChar w:fldCharType="begin"/>
      </w:r>
      <w:r w:rsidRPr="00951D29">
        <w:rPr>
          <w:rStyle w:val="af7"/>
          <w:rFonts w:eastAsia="Guttman Hodes"/>
          <w:rtl/>
        </w:rPr>
        <w:instrText xml:space="preserve"> </w:instrText>
      </w:r>
      <w:r w:rsidRPr="00951D29">
        <w:rPr>
          <w:rStyle w:val="af7"/>
          <w:rFonts w:eastAsia="Guttman Hodes" w:hint="cs"/>
        </w:rPr>
        <w:instrText>REF</w:instrText>
      </w:r>
      <w:r w:rsidRPr="00951D29">
        <w:rPr>
          <w:rStyle w:val="af7"/>
          <w:rFonts w:eastAsia="Guttman Hodes" w:hint="cs"/>
          <w:rtl/>
        </w:rPr>
        <w:instrText xml:space="preserve"> _</w:instrText>
      </w:r>
      <w:r w:rsidRPr="00951D29">
        <w:rPr>
          <w:rStyle w:val="af7"/>
          <w:rFonts w:eastAsia="Guttman Hodes" w:hint="cs"/>
        </w:rPr>
        <w:instrText>Ref61865417 \r \h</w:instrText>
      </w:r>
      <w:r w:rsidRPr="00951D29">
        <w:rPr>
          <w:rStyle w:val="af7"/>
          <w:rFonts w:eastAsia="Guttman Hodes"/>
          <w:rtl/>
        </w:rPr>
        <w:instrText xml:space="preserve"> </w:instrText>
      </w:r>
      <w:r w:rsidRPr="00951D29">
        <w:rPr>
          <w:rStyle w:val="af7"/>
          <w:rFonts w:eastAsia="Guttman Hodes"/>
          <w:rtl/>
        </w:rPr>
      </w:r>
      <w:r w:rsidRPr="00951D29">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951D29">
        <w:rPr>
          <w:rStyle w:val="af7"/>
          <w:rFonts w:eastAsia="Guttman Hodes"/>
          <w:rtl/>
        </w:rPr>
        <w:fldChar w:fldCharType="end"/>
      </w:r>
      <w:r w:rsidRPr="00951D29">
        <w:rPr>
          <w:rStyle w:val="af7"/>
          <w:rFonts w:eastAsia="Guttman Hodes" w:hint="cs"/>
          <w:rtl/>
        </w:rPr>
        <w:t xml:space="preserve"> </w:t>
      </w:r>
      <w:r>
        <w:rPr>
          <w:rStyle w:val="af9"/>
          <w:rFonts w:hint="cs"/>
          <w:rtl/>
        </w:rPr>
        <w:t>ו</w:t>
      </w:r>
      <w:r w:rsidRPr="003A3768">
        <w:rPr>
          <w:rStyle w:val="af9"/>
          <w:rFonts w:hint="cs"/>
          <w:rtl/>
        </w:rPr>
        <w:t>הרשב"א</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Ref61866105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w:t>
      </w:r>
      <w:r>
        <w:rPr>
          <w:rStyle w:val="af7"/>
          <w:rFonts w:eastAsia="Guttman Hodes"/>
          <w:rtl/>
        </w:rPr>
        <w:fldChar w:fldCharType="end"/>
      </w:r>
      <w:r w:rsidRPr="00C134C3">
        <w:rPr>
          <w:rStyle w:val="af9"/>
          <w:rFonts w:hint="cs"/>
          <w:rtl/>
        </w:rPr>
        <w:t xml:space="preserve"> </w:t>
      </w:r>
      <w:r>
        <w:rPr>
          <w:rStyle w:val="af9"/>
          <w:rFonts w:hint="cs"/>
          <w:rtl/>
        </w:rPr>
        <w:t xml:space="preserve">והיד רמ"ה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Ref61883135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915FFC">
        <w:rPr>
          <w:rStyle w:val="af7"/>
          <w:rFonts w:eastAsia="Guttman Hodes"/>
          <w:rtl/>
        </w:rPr>
        <w:fldChar w:fldCharType="end"/>
      </w:r>
      <w:r>
        <w:rPr>
          <w:rStyle w:val="af9"/>
          <w:rFonts w:hint="cs"/>
          <w:rtl/>
        </w:rPr>
        <w:t xml:space="preserve"> וה</w:t>
      </w:r>
      <w:r w:rsidRPr="00EE39AB">
        <w:rPr>
          <w:rStyle w:val="af9"/>
          <w:rFonts w:hint="cs"/>
          <w:rtl/>
        </w:rPr>
        <w:t>ר"ן</w:t>
      </w:r>
      <w:r>
        <w:rPr>
          <w:rFonts w:hint="cs"/>
          <w:rtl/>
        </w:rPr>
        <w:t xml:space="preserve">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Ref61883164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915FFC">
        <w:rPr>
          <w:rStyle w:val="af7"/>
          <w:rFonts w:eastAsia="Guttman Hodes"/>
          <w:rtl/>
        </w:rPr>
        <w:fldChar w:fldCharType="end"/>
      </w:r>
      <w:r>
        <w:rPr>
          <w:rFonts w:hint="cs"/>
          <w:rtl/>
        </w:rPr>
        <w:t>.</w:t>
      </w:r>
      <w:bookmarkEnd w:id="12497"/>
    </w:p>
    <w:p w:rsidR="00C34249" w:rsidRPr="00486386" w:rsidRDefault="00C34249" w:rsidP="00C34249">
      <w:pPr>
        <w:pStyle w:val="a3"/>
        <w:rPr>
          <w:rtl/>
        </w:rPr>
      </w:pPr>
    </w:p>
    <w:p w:rsidR="00C34249" w:rsidRDefault="00C34249" w:rsidP="00C34249">
      <w:pPr>
        <w:pStyle w:val="1"/>
        <w:rPr>
          <w:rtl/>
        </w:rPr>
      </w:pPr>
      <w:bookmarkStart w:id="12498" w:name="_Toc61542898"/>
      <w:bookmarkStart w:id="12499" w:name="_Toc61617746"/>
      <w:bookmarkStart w:id="12500" w:name="_Toc61811671"/>
      <w:bookmarkStart w:id="12501" w:name="_Toc61815358"/>
      <w:bookmarkStart w:id="12502" w:name="_Toc61861428"/>
      <w:bookmarkStart w:id="12503" w:name="_Toc61867389"/>
      <w:bookmarkStart w:id="12504" w:name="_Toc61867495"/>
      <w:bookmarkStart w:id="12505" w:name="_Toc61887860"/>
      <w:r>
        <w:rPr>
          <w:rFonts w:hint="cs"/>
          <w:rtl/>
        </w:rPr>
        <w:t>ביאור הרמב"ן</w:t>
      </w:r>
      <w:bookmarkEnd w:id="12498"/>
      <w:bookmarkEnd w:id="12499"/>
      <w:bookmarkEnd w:id="12500"/>
      <w:bookmarkEnd w:id="12501"/>
      <w:r>
        <w:rPr>
          <w:rFonts w:hint="cs"/>
          <w:rtl/>
        </w:rPr>
        <w:t xml:space="preserve"> דלרבה ע"י המיגו טענינן דאינו מכחיש העדים</w:t>
      </w:r>
      <w:bookmarkEnd w:id="12502"/>
      <w:bookmarkEnd w:id="12503"/>
      <w:bookmarkEnd w:id="12504"/>
      <w:bookmarkEnd w:id="12505"/>
    </w:p>
    <w:p w:rsidR="00C34249" w:rsidRDefault="00C34249" w:rsidP="00C34249">
      <w:pPr>
        <w:pStyle w:val="a3"/>
        <w:rPr>
          <w:rtl/>
        </w:rPr>
      </w:pPr>
      <w:bookmarkStart w:id="12506" w:name="_Toc61861429"/>
      <w:bookmarkStart w:id="12507" w:name="_Toc61867390"/>
      <w:bookmarkStart w:id="12508" w:name="_Toc61867496"/>
      <w:bookmarkStart w:id="12509" w:name="_Toc61887861"/>
      <w:r>
        <w:rPr>
          <w:rFonts w:hint="cs"/>
          <w:rtl/>
        </w:rPr>
        <w:t>ביאור הרמב"ן דכ"א טוען ברי דהייתה רק של אבותיו ובברי ס"ל לרבה דבמיגו טענינן שלקחוה</w:t>
      </w:r>
      <w:bookmarkEnd w:id="12506"/>
      <w:bookmarkEnd w:id="12507"/>
      <w:bookmarkEnd w:id="12508"/>
      <w:bookmarkEnd w:id="12509"/>
    </w:p>
    <w:p w:rsidR="00C34249" w:rsidRDefault="00C34249" w:rsidP="007E4E81">
      <w:pPr>
        <w:pStyle w:val="a0"/>
        <w:rPr>
          <w:rStyle w:val="afb"/>
          <w:rtl/>
        </w:rPr>
      </w:pPr>
      <w:bookmarkStart w:id="12510" w:name="_Ref61851387"/>
      <w:r>
        <w:rPr>
          <w:rFonts w:hint="cs"/>
          <w:rtl/>
        </w:rPr>
        <w:t xml:space="preserve">אלא ביאר </w:t>
      </w:r>
      <w:r w:rsidRPr="00EE39AB">
        <w:rPr>
          <w:rStyle w:val="af9"/>
          <w:rFonts w:hint="cs"/>
          <w:rtl/>
        </w:rPr>
        <w:t>הרמב"ן</w:t>
      </w:r>
      <w:r w:rsidRPr="00B030F7">
        <w:rPr>
          <w:rStyle w:val="af7"/>
          <w:rFonts w:eastAsia="Guttman Hodes" w:hint="cs"/>
          <w:rtl/>
        </w:rPr>
        <w:t xml:space="preserve"> (ד"ה אמר) </w:t>
      </w:r>
      <w:r>
        <w:rPr>
          <w:rFonts w:hint="cs"/>
          <w:rtl/>
        </w:rPr>
        <w:t xml:space="preserve">דבמעשה בסוגיין כ"א מהם טוען טענת ברי, שהייתה רק של אבותיו, ולא דרו בה אבותיו של השני אף לא חד יומא, ולכן אם היה בא בטענת שמא, אין דין טענינן לכו"ע, </w:t>
      </w:r>
      <w:r w:rsidRPr="00140ADE">
        <w:rPr>
          <w:rStyle w:val="afb"/>
          <w:rFonts w:hint="cs"/>
          <w:rtl/>
        </w:rPr>
        <w:t xml:space="preserve">[ויש שגרסו </w:t>
      </w:r>
      <w:r w:rsidRPr="00140ADE">
        <w:rPr>
          <w:rStyle w:val="affa"/>
          <w:rFonts w:hint="cs"/>
          <w:rtl/>
        </w:rPr>
        <w:t>ברמב"ן</w:t>
      </w:r>
      <w:r w:rsidRPr="00140ADE">
        <w:rPr>
          <w:rStyle w:val="afb"/>
          <w:rFonts w:hint="cs"/>
          <w:rtl/>
        </w:rPr>
        <w:t xml:space="preserve"> </w:t>
      </w:r>
      <w:r w:rsidRPr="00140ADE">
        <w:rPr>
          <w:rStyle w:val="aff6"/>
          <w:rFonts w:hint="cs"/>
          <w:rtl/>
        </w:rPr>
        <w:t>(עי' הערה</w:t>
      </w:r>
      <w:r>
        <w:rPr>
          <w:rStyle w:val="af1"/>
          <w:rtl/>
        </w:rPr>
        <w:footnoteReference w:id="75"/>
      </w:r>
      <w:r w:rsidRPr="00140ADE">
        <w:rPr>
          <w:rStyle w:val="aff6"/>
          <w:rFonts w:hint="cs"/>
          <w:rtl/>
        </w:rPr>
        <w:t>)</w:t>
      </w:r>
      <w:r>
        <w:rPr>
          <w:rStyle w:val="afb"/>
          <w:rFonts w:hint="cs"/>
          <w:rtl/>
        </w:rPr>
        <w:t xml:space="preserve"> </w:t>
      </w:r>
      <w:r w:rsidRPr="00140ADE">
        <w:rPr>
          <w:rStyle w:val="afb"/>
          <w:rFonts w:hint="cs"/>
          <w:rtl/>
        </w:rPr>
        <w:t>דבטענת שמא טענינן ליה, ורק בטענת ברי לא טענינן ליה],</w:t>
      </w:r>
      <w:r>
        <w:rPr>
          <w:rFonts w:hint="cs"/>
          <w:rtl/>
        </w:rPr>
        <w:t xml:space="preserve"> ואחר שהביא המערער עדים שדרו בה אבותיו כמה שנים, בחזקת שהקרקע שלהם, ולכן ס"ל לרבה ולרב חסדא, דכיון שהמחזיק טוען טענת ברי שהייתה של אבותיו, הוא נאמן, דאמרינן דאבותיו של המחזיק לקחוה מאבותיו של המערער,</w:t>
      </w:r>
      <w:r w:rsidRPr="00AC1DBF">
        <w:rPr>
          <w:rStyle w:val="afb"/>
          <w:rFonts w:hint="cs"/>
          <w:rtl/>
        </w:rPr>
        <w:t xml:space="preserve"> </w:t>
      </w:r>
      <w:r w:rsidRPr="001469AC">
        <w:rPr>
          <w:rStyle w:val="afb"/>
          <w:rFonts w:hint="cs"/>
          <w:rtl/>
        </w:rPr>
        <w:t>[ואי"ז הכחשה של העדים]</w:t>
      </w:r>
      <w:r>
        <w:rPr>
          <w:rStyle w:val="afb"/>
          <w:rFonts w:hint="cs"/>
          <w:rtl/>
        </w:rPr>
        <w:t>,</w:t>
      </w:r>
      <w:r>
        <w:rPr>
          <w:rFonts w:hint="cs"/>
          <w:rtl/>
        </w:rPr>
        <w:t xml:space="preserve"> ועי' בדברי </w:t>
      </w:r>
      <w:r>
        <w:rPr>
          <w:rStyle w:val="af9"/>
          <w:rFonts w:hint="cs"/>
          <w:rtl/>
        </w:rPr>
        <w:t>הרשב"א</w:t>
      </w:r>
      <w:r>
        <w:rPr>
          <w:rFonts w:hint="cs"/>
          <w:rtl/>
        </w:rPr>
        <w:t xml:space="preserve"> </w:t>
      </w:r>
      <w:r>
        <w:rPr>
          <w:rStyle w:val="af9"/>
          <w:rFonts w:hint="cs"/>
          <w:rtl/>
        </w:rPr>
        <w:t>ב</w:t>
      </w:r>
      <w:r w:rsidRPr="00522E98">
        <w:rPr>
          <w:rStyle w:val="af9"/>
          <w:rFonts w:hint="cs"/>
          <w:rtl/>
        </w:rPr>
        <w:t>תוס'</w:t>
      </w:r>
      <w:r>
        <w:rPr>
          <w:rFonts w:hint="cs"/>
          <w:rtl/>
        </w:rPr>
        <w:t xml:space="preserve"> </w:t>
      </w:r>
      <w:r w:rsidRPr="00AC1DBF">
        <w:rPr>
          <w:rStyle w:val="af7"/>
          <w:rFonts w:eastAsia="Guttman Hodes" w:hint="cs"/>
          <w:rtl/>
        </w:rPr>
        <w:t xml:space="preserve">(עי' אות </w:t>
      </w:r>
      <w:r w:rsidRPr="00AC1DBF">
        <w:rPr>
          <w:rStyle w:val="af7"/>
          <w:rFonts w:eastAsia="Guttman Hodes"/>
          <w:rtl/>
        </w:rPr>
        <w:fldChar w:fldCharType="begin"/>
      </w:r>
      <w:r w:rsidRPr="00AC1DBF">
        <w:rPr>
          <w:rStyle w:val="af7"/>
          <w:rFonts w:eastAsia="Guttman Hodes"/>
          <w:rtl/>
        </w:rPr>
        <w:instrText xml:space="preserve"> </w:instrText>
      </w:r>
      <w:r w:rsidRPr="00AC1DBF">
        <w:rPr>
          <w:rStyle w:val="af7"/>
          <w:rFonts w:eastAsia="Guttman Hodes" w:hint="cs"/>
        </w:rPr>
        <w:instrText>REF</w:instrText>
      </w:r>
      <w:r w:rsidRPr="00AC1DBF">
        <w:rPr>
          <w:rStyle w:val="af7"/>
          <w:rFonts w:eastAsia="Guttman Hodes" w:hint="cs"/>
          <w:rtl/>
        </w:rPr>
        <w:instrText xml:space="preserve"> _</w:instrText>
      </w:r>
      <w:r w:rsidRPr="00AC1DBF">
        <w:rPr>
          <w:rStyle w:val="af7"/>
          <w:rFonts w:eastAsia="Guttman Hodes" w:hint="cs"/>
        </w:rPr>
        <w:instrText>Ref61813820 \r \h</w:instrText>
      </w:r>
      <w:r w:rsidRPr="00AC1DBF">
        <w:rPr>
          <w:rStyle w:val="af7"/>
          <w:rFonts w:eastAsia="Guttman Hodes"/>
          <w:rtl/>
        </w:rPr>
        <w:instrText xml:space="preserve"> </w:instrText>
      </w:r>
      <w:r w:rsidRPr="00AC1DBF">
        <w:rPr>
          <w:rStyle w:val="af7"/>
          <w:rFonts w:eastAsia="Guttman Hodes"/>
          <w:rtl/>
        </w:rPr>
      </w:r>
      <w:r w:rsidRPr="00AC1DBF">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AC1DBF">
        <w:rPr>
          <w:rStyle w:val="af7"/>
          <w:rFonts w:eastAsia="Guttman Hodes"/>
          <w:rtl/>
        </w:rPr>
        <w:fldChar w:fldCharType="end"/>
      </w:r>
      <w:r w:rsidRPr="004C7683">
        <w:rPr>
          <w:rFonts w:hint="cs"/>
          <w:rtl/>
        </w:rPr>
        <w:t xml:space="preserve"> ובדברי </w:t>
      </w:r>
      <w:r w:rsidRPr="004C7683">
        <w:rPr>
          <w:rStyle w:val="af9"/>
          <w:rFonts w:hint="cs"/>
          <w:rtl/>
        </w:rPr>
        <w:t>רב</w:t>
      </w:r>
      <w:r w:rsidRPr="004777E9">
        <w:rPr>
          <w:rStyle w:val="af9"/>
          <w:rFonts w:hint="cs"/>
          <w:rtl/>
        </w:rPr>
        <w:t>ינו</w:t>
      </w:r>
      <w:r>
        <w:rPr>
          <w:rFonts w:hint="cs"/>
          <w:rtl/>
        </w:rPr>
        <w:t xml:space="preserve"> </w:t>
      </w:r>
      <w:r w:rsidRPr="004777E9">
        <w:rPr>
          <w:rStyle w:val="af9"/>
          <w:rFonts w:hint="cs"/>
          <w:rtl/>
        </w:rPr>
        <w:t>יונה</w:t>
      </w:r>
      <w:r>
        <w:rPr>
          <w:rFonts w:hint="cs"/>
          <w:rtl/>
        </w:rPr>
        <w:t xml:space="preserve"> </w:t>
      </w:r>
      <w:r w:rsidRPr="004777E9">
        <w:rPr>
          <w:rStyle w:val="af9"/>
          <w:rFonts w:hint="cs"/>
          <w:rtl/>
        </w:rPr>
        <w:t>והרשב"א</w:t>
      </w:r>
      <w:r w:rsidRPr="00652FFA">
        <w:rPr>
          <w:rStyle w:val="af7"/>
          <w:rFonts w:eastAsia="Guttman Hodes" w:hint="cs"/>
          <w:rtl/>
        </w:rPr>
        <w:t xml:space="preserve"> </w:t>
      </w:r>
      <w:r w:rsidRPr="004777E9">
        <w:rPr>
          <w:rStyle w:val="af9"/>
          <w:rFonts w:hint="cs"/>
          <w:rtl/>
        </w:rPr>
        <w:t>והריטב"א</w:t>
      </w:r>
      <w:r>
        <w:rPr>
          <w:rFonts w:hint="cs"/>
          <w:rtl/>
        </w:rPr>
        <w:t xml:space="preserve"> </w:t>
      </w:r>
      <w:r>
        <w:rPr>
          <w:rStyle w:val="af7"/>
          <w:rFonts w:eastAsia="Guttman Hodes" w:hint="cs"/>
          <w:rtl/>
        </w:rPr>
        <w:t xml:space="preserve">(עי' </w:t>
      </w:r>
      <w:r w:rsidRPr="004C7683">
        <w:rPr>
          <w:rStyle w:val="af7"/>
          <w:rFonts w:eastAsia="Guttman Hodes" w:hint="cs"/>
          <w:rtl/>
        </w:rPr>
        <w:t xml:space="preserve">אות </w:t>
      </w:r>
      <w:r w:rsidRPr="004C7683">
        <w:rPr>
          <w:rStyle w:val="af7"/>
          <w:rFonts w:eastAsia="Guttman Hodes"/>
          <w:rtl/>
        </w:rPr>
        <w:fldChar w:fldCharType="begin"/>
      </w:r>
      <w:r w:rsidRPr="004C7683">
        <w:rPr>
          <w:rStyle w:val="af7"/>
          <w:rFonts w:eastAsia="Guttman Hodes"/>
          <w:rtl/>
        </w:rPr>
        <w:instrText xml:space="preserve"> </w:instrText>
      </w:r>
      <w:r w:rsidRPr="004C7683">
        <w:rPr>
          <w:rStyle w:val="af7"/>
          <w:rFonts w:eastAsia="Guttman Hodes" w:hint="cs"/>
        </w:rPr>
        <w:instrText>REF</w:instrText>
      </w:r>
      <w:r w:rsidRPr="004C7683">
        <w:rPr>
          <w:rStyle w:val="af7"/>
          <w:rFonts w:eastAsia="Guttman Hodes" w:hint="cs"/>
          <w:rtl/>
        </w:rPr>
        <w:instrText xml:space="preserve"> _</w:instrText>
      </w:r>
      <w:r w:rsidRPr="004C7683">
        <w:rPr>
          <w:rStyle w:val="af7"/>
          <w:rFonts w:eastAsia="Guttman Hodes" w:hint="cs"/>
        </w:rPr>
        <w:instrText>Ref61866447 \r \h</w:instrText>
      </w:r>
      <w:r w:rsidRPr="004C7683">
        <w:rPr>
          <w:rStyle w:val="af7"/>
          <w:rFonts w:eastAsia="Guttman Hodes"/>
          <w:rtl/>
        </w:rPr>
        <w:instrText xml:space="preserve"> </w:instrText>
      </w:r>
      <w:r w:rsidRPr="004C7683">
        <w:rPr>
          <w:rStyle w:val="af7"/>
          <w:rFonts w:eastAsia="Guttman Hodes"/>
          <w:rtl/>
        </w:rPr>
      </w:r>
      <w:r w:rsidRPr="004C7683">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4C7683">
        <w:rPr>
          <w:rStyle w:val="af7"/>
          <w:rFonts w:eastAsia="Guttman Hodes"/>
          <w:rtl/>
        </w:rPr>
        <w:fldChar w:fldCharType="end"/>
      </w:r>
      <w:r>
        <w:rPr>
          <w:rFonts w:hint="cs"/>
          <w:rtl/>
        </w:rPr>
        <w:t>.</w:t>
      </w:r>
      <w:bookmarkEnd w:id="12510"/>
      <w:r>
        <w:rPr>
          <w:rFonts w:hint="cs"/>
          <w:rtl/>
        </w:rPr>
        <w:t xml:space="preserve"> </w:t>
      </w:r>
    </w:p>
    <w:p w:rsidR="00C34249" w:rsidRDefault="00C34249" w:rsidP="00C34249">
      <w:pPr>
        <w:pStyle w:val="a3"/>
        <w:rPr>
          <w:rtl/>
        </w:rPr>
      </w:pPr>
      <w:bookmarkStart w:id="12511" w:name="_Toc61861430"/>
      <w:bookmarkStart w:id="12512" w:name="_Toc61867391"/>
      <w:bookmarkStart w:id="12513" w:name="_Toc61867497"/>
      <w:bookmarkStart w:id="12514" w:name="_Toc61887862"/>
      <w:r>
        <w:rPr>
          <w:rFonts w:hint="cs"/>
          <w:rtl/>
        </w:rPr>
        <w:t>ביאור הרמב"ן דלאביי טענת של אבותי בסתמא משמע מעולם ואי לא פירש הוא מכחיש לעדים</w:t>
      </w:r>
      <w:bookmarkEnd w:id="12511"/>
      <w:bookmarkEnd w:id="12512"/>
      <w:bookmarkEnd w:id="12513"/>
      <w:bookmarkEnd w:id="12514"/>
    </w:p>
    <w:p w:rsidR="00C34249" w:rsidRPr="006317CE" w:rsidRDefault="00C34249" w:rsidP="007E4E81">
      <w:pPr>
        <w:pStyle w:val="a0"/>
        <w:rPr>
          <w:rtl/>
        </w:rPr>
      </w:pPr>
      <w:bookmarkStart w:id="12515" w:name="_Ref61851247"/>
      <w:r>
        <w:rPr>
          <w:rFonts w:hint="cs"/>
          <w:rtl/>
        </w:rPr>
        <w:t xml:space="preserve">ובדעת רבא ואביי ביאר </w:t>
      </w:r>
      <w:r w:rsidRPr="00EE39AB">
        <w:rPr>
          <w:rStyle w:val="af9"/>
          <w:rFonts w:hint="cs"/>
          <w:rtl/>
        </w:rPr>
        <w:t>הרמב"ן</w:t>
      </w:r>
      <w:r>
        <w:rPr>
          <w:rFonts w:hint="cs"/>
          <w:rtl/>
        </w:rPr>
        <w:t xml:space="preserve"> דס"ל דכיון דאמר בסתמא שהייתה של אבותיו, משמע דכוונתו לומר שלא הייתה של אבותיו של המערער, וא"כ העדים מכחישים אותו, ולכן אינו נאמן, אא"כ יחזור ויטען שהייתה של אבותיו שלקחוה מאבותיו של המערער, או שיחזור ויטען דכוונתו הייתה לומר </w:t>
      </w:r>
      <w:r>
        <w:rPr>
          <w:rtl/>
        </w:rPr>
        <w:t>דסמיך עלה כדאבהתי</w:t>
      </w:r>
      <w:r>
        <w:rPr>
          <w:rFonts w:hint="cs"/>
          <w:rtl/>
        </w:rPr>
        <w:t xml:space="preserve">, ועי' בדברי </w:t>
      </w:r>
      <w:r w:rsidRPr="00522E98">
        <w:rPr>
          <w:rStyle w:val="af9"/>
          <w:rFonts w:hint="cs"/>
          <w:rtl/>
        </w:rPr>
        <w:t>ר"י</w:t>
      </w:r>
      <w:r>
        <w:rPr>
          <w:rFonts w:hint="cs"/>
          <w:rtl/>
        </w:rPr>
        <w:t xml:space="preserve"> </w:t>
      </w:r>
      <w:r>
        <w:rPr>
          <w:rStyle w:val="af9"/>
          <w:rFonts w:hint="cs"/>
          <w:rtl/>
        </w:rPr>
        <w:t>ב</w:t>
      </w:r>
      <w:r w:rsidRPr="00522E98">
        <w:rPr>
          <w:rStyle w:val="af9"/>
          <w:rFonts w:hint="cs"/>
          <w:rtl/>
        </w:rPr>
        <w:t>תוס'</w:t>
      </w:r>
      <w:bookmarkEnd w:id="12515"/>
      <w:r>
        <w:rPr>
          <w:rFonts w:hint="cs"/>
          <w:rtl/>
        </w:rPr>
        <w:t xml:space="preserve"> </w:t>
      </w:r>
      <w:r w:rsidRPr="00AC1DBF">
        <w:rPr>
          <w:rStyle w:val="af7"/>
          <w:rFonts w:eastAsia="Guttman Hodes" w:hint="cs"/>
          <w:rtl/>
        </w:rPr>
        <w:t xml:space="preserve">(עי' אות </w:t>
      </w:r>
      <w:r w:rsidRPr="006317CE">
        <w:rPr>
          <w:rStyle w:val="af7"/>
          <w:rFonts w:eastAsia="Guttman Hodes"/>
          <w:rtl/>
        </w:rPr>
        <w:fldChar w:fldCharType="begin"/>
      </w:r>
      <w:r w:rsidRPr="006317CE">
        <w:rPr>
          <w:rStyle w:val="af7"/>
          <w:rFonts w:eastAsia="Guttman Hodes"/>
          <w:rtl/>
        </w:rPr>
        <w:instrText xml:space="preserve"> </w:instrText>
      </w:r>
      <w:r w:rsidRPr="006317CE">
        <w:rPr>
          <w:rStyle w:val="af7"/>
          <w:rFonts w:eastAsia="Guttman Hodes" w:hint="cs"/>
        </w:rPr>
        <w:instrText>REF</w:instrText>
      </w:r>
      <w:r w:rsidRPr="006317CE">
        <w:rPr>
          <w:rStyle w:val="af7"/>
          <w:rFonts w:eastAsia="Guttman Hodes" w:hint="cs"/>
          <w:rtl/>
        </w:rPr>
        <w:instrText xml:space="preserve"> _</w:instrText>
      </w:r>
      <w:r w:rsidRPr="006317CE">
        <w:rPr>
          <w:rStyle w:val="af7"/>
          <w:rFonts w:eastAsia="Guttman Hodes" w:hint="cs"/>
        </w:rPr>
        <w:instrText>Ref61851282 \r \h</w:instrText>
      </w:r>
      <w:r w:rsidRPr="006317C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317CE">
        <w:rPr>
          <w:rStyle w:val="af7"/>
          <w:rFonts w:eastAsia="Guttman Hodes"/>
          <w:rtl/>
        </w:rPr>
      </w:r>
      <w:r w:rsidRPr="006317CE">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6317CE">
        <w:rPr>
          <w:rStyle w:val="af7"/>
          <w:rFonts w:eastAsia="Guttman Hodes"/>
          <w:rtl/>
        </w:rPr>
        <w:fldChar w:fldCharType="end"/>
      </w:r>
      <w:r w:rsidRPr="006317CE">
        <w:rPr>
          <w:rFonts w:hint="cs"/>
          <w:rtl/>
        </w:rPr>
        <w:t xml:space="preserve"> </w:t>
      </w:r>
      <w:r w:rsidRPr="006317CE">
        <w:rPr>
          <w:rStyle w:val="af9"/>
          <w:rFonts w:hint="cs"/>
          <w:rtl/>
        </w:rPr>
        <w:t>ורבינו יונה והרשב"א והריטב"א</w:t>
      </w:r>
      <w:r w:rsidRPr="006317CE">
        <w:rPr>
          <w:rFonts w:hint="cs"/>
          <w:rtl/>
        </w:rPr>
        <w:t xml:space="preserve"> </w:t>
      </w:r>
      <w:r w:rsidRPr="006317CE">
        <w:rPr>
          <w:rStyle w:val="af7"/>
          <w:rFonts w:eastAsia="Guttman Hodes" w:hint="cs"/>
          <w:rtl/>
        </w:rPr>
        <w:t xml:space="preserve">(עי' אות </w:t>
      </w:r>
      <w:r w:rsidRPr="006317CE">
        <w:rPr>
          <w:rStyle w:val="af7"/>
          <w:rFonts w:eastAsia="Guttman Hodes"/>
          <w:rtl/>
        </w:rPr>
        <w:fldChar w:fldCharType="begin"/>
      </w:r>
      <w:r w:rsidRPr="006317CE">
        <w:rPr>
          <w:rStyle w:val="af7"/>
          <w:rFonts w:eastAsia="Guttman Hodes"/>
          <w:rtl/>
        </w:rPr>
        <w:instrText xml:space="preserve"> </w:instrText>
      </w:r>
      <w:r w:rsidRPr="006317CE">
        <w:rPr>
          <w:rStyle w:val="af7"/>
          <w:rFonts w:eastAsia="Guttman Hodes" w:hint="cs"/>
        </w:rPr>
        <w:instrText>REF</w:instrText>
      </w:r>
      <w:r w:rsidRPr="006317CE">
        <w:rPr>
          <w:rStyle w:val="af7"/>
          <w:rFonts w:eastAsia="Guttman Hodes" w:hint="cs"/>
          <w:rtl/>
        </w:rPr>
        <w:instrText xml:space="preserve"> _</w:instrText>
      </w:r>
      <w:r w:rsidRPr="006317CE">
        <w:rPr>
          <w:rStyle w:val="af7"/>
          <w:rFonts w:eastAsia="Guttman Hodes" w:hint="cs"/>
        </w:rPr>
        <w:instrText>Ref61866447 \r \h</w:instrText>
      </w:r>
      <w:r w:rsidRPr="006317CE">
        <w:rPr>
          <w:rStyle w:val="af7"/>
          <w:rFonts w:eastAsia="Guttman Hodes"/>
          <w:rtl/>
        </w:rPr>
        <w:instrText xml:space="preserve">  \* </w:instrText>
      </w:r>
      <w:r w:rsidRPr="006317CE">
        <w:rPr>
          <w:rStyle w:val="af7"/>
          <w:rFonts w:eastAsia="Guttman Hodes"/>
        </w:rPr>
        <w:instrText>MERGEFORMAT</w:instrText>
      </w:r>
      <w:r w:rsidRPr="006317CE">
        <w:rPr>
          <w:rStyle w:val="af7"/>
          <w:rFonts w:eastAsia="Guttman Hodes"/>
          <w:rtl/>
        </w:rPr>
        <w:instrText xml:space="preserve"> </w:instrText>
      </w:r>
      <w:r w:rsidRPr="006317CE">
        <w:rPr>
          <w:rStyle w:val="af7"/>
          <w:rFonts w:eastAsia="Guttman Hodes"/>
          <w:rtl/>
        </w:rPr>
      </w:r>
      <w:r w:rsidRPr="006317CE">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6317CE">
        <w:rPr>
          <w:rStyle w:val="af7"/>
          <w:rFonts w:eastAsia="Guttman Hodes"/>
          <w:rtl/>
        </w:rPr>
        <w:fldChar w:fldCharType="end"/>
      </w:r>
      <w:r w:rsidRPr="006317CE">
        <w:rPr>
          <w:rFonts w:hint="cs"/>
          <w:rtl/>
        </w:rPr>
        <w:t>.</w:t>
      </w:r>
    </w:p>
    <w:p w:rsidR="00C34249" w:rsidRPr="00AC1DBF" w:rsidRDefault="00C34249" w:rsidP="00C34249">
      <w:pPr>
        <w:pStyle w:val="1"/>
        <w:rPr>
          <w:rtl/>
        </w:rPr>
      </w:pPr>
      <w:bookmarkStart w:id="12516" w:name="_Toc61861431"/>
      <w:bookmarkStart w:id="12517" w:name="_Toc61867392"/>
      <w:bookmarkStart w:id="12518" w:name="_Toc61867498"/>
      <w:bookmarkStart w:id="12519" w:name="_Toc61887863"/>
      <w:r>
        <w:rPr>
          <w:rFonts w:hint="cs"/>
          <w:rtl/>
        </w:rPr>
        <w:t>הביאור הב' ברמב"ן דלרבה מחמת המיגו תלינן בכל טענה</w:t>
      </w:r>
      <w:bookmarkEnd w:id="12516"/>
      <w:bookmarkEnd w:id="12517"/>
      <w:bookmarkEnd w:id="12518"/>
      <w:bookmarkEnd w:id="12519"/>
    </w:p>
    <w:p w:rsidR="00C34249" w:rsidRDefault="00C34249" w:rsidP="00C34249">
      <w:pPr>
        <w:pStyle w:val="a3"/>
        <w:rPr>
          <w:rtl/>
        </w:rPr>
      </w:pPr>
      <w:bookmarkStart w:id="12520" w:name="_Toc61861432"/>
      <w:bookmarkStart w:id="12521" w:name="_Toc61867393"/>
      <w:bookmarkStart w:id="12522" w:name="_Toc61867499"/>
      <w:bookmarkStart w:id="12523" w:name="_Toc61887864"/>
      <w:r>
        <w:rPr>
          <w:rFonts w:hint="cs"/>
          <w:rtl/>
        </w:rPr>
        <w:t>בי' הרמב"ן דהעידו שמתו מתוכה ולרבה במיגו תלינן בכל טענה ואמרינן דסמוך למיתה מכרו</w:t>
      </w:r>
      <w:bookmarkEnd w:id="12520"/>
      <w:bookmarkEnd w:id="12521"/>
      <w:bookmarkEnd w:id="12522"/>
      <w:bookmarkEnd w:id="12523"/>
    </w:p>
    <w:p w:rsidR="00C34249" w:rsidRDefault="00C34249" w:rsidP="007E4E81">
      <w:pPr>
        <w:pStyle w:val="a0"/>
        <w:rPr>
          <w:rtl/>
        </w:rPr>
      </w:pPr>
      <w:r>
        <w:rPr>
          <w:rFonts w:hint="cs"/>
          <w:rtl/>
        </w:rPr>
        <w:t xml:space="preserve">והוסיף </w:t>
      </w:r>
      <w:r w:rsidRPr="00EE39AB">
        <w:rPr>
          <w:rStyle w:val="af9"/>
          <w:rFonts w:hint="cs"/>
          <w:rtl/>
        </w:rPr>
        <w:t>הרמב"ן</w:t>
      </w:r>
      <w:r>
        <w:rPr>
          <w:rFonts w:hint="cs"/>
          <w:rtl/>
        </w:rPr>
        <w:t xml:space="preserve"> דאפש"ל דבמעשה בסוגיין איירי אף באופן שהעדים מעידים, שאבותיו של המערער מתו מתוך הקרקע, ואפ"ה ס"ל לרבא דאפשר להאמין לטענת המחזיק, דיתכן שסמוך למיתתם מכרו אבותיו של המערער למחזיק, כיון שיש לו מיגו דהיה יכול לטעון מינך זבינתה, ובמיגו תלינן בכל טענה שאפשר לתלות, וכתב הרמב"ן דכן מבואר בגמ' בב"מ </w:t>
      </w:r>
      <w:r w:rsidRPr="00BA7444">
        <w:rPr>
          <w:rStyle w:val="af7"/>
          <w:rFonts w:eastAsia="Guttman Hodes" w:hint="cs"/>
          <w:rtl/>
        </w:rPr>
        <w:t>(פא:)</w:t>
      </w:r>
      <w:r>
        <w:rPr>
          <w:rFonts w:hint="cs"/>
          <w:rtl/>
        </w:rPr>
        <w:t xml:space="preserve"> דכשיש לו מיגו, אף תלינן בכל טענה שאפשר לתלות.</w:t>
      </w:r>
    </w:p>
    <w:p w:rsidR="00C34249" w:rsidRDefault="00C34249" w:rsidP="00C34249">
      <w:pPr>
        <w:pStyle w:val="1"/>
        <w:rPr>
          <w:rtl/>
        </w:rPr>
      </w:pPr>
      <w:bookmarkStart w:id="12524" w:name="_Toc61617749"/>
      <w:bookmarkStart w:id="12525" w:name="_Toc61811678"/>
      <w:bookmarkStart w:id="12526" w:name="_Toc61815365"/>
      <w:bookmarkStart w:id="12527" w:name="_Toc61861443"/>
      <w:bookmarkStart w:id="12528" w:name="_Toc61867411"/>
      <w:bookmarkStart w:id="12529" w:name="_Toc61867517"/>
      <w:bookmarkStart w:id="12530" w:name="_Toc61887865"/>
      <w:bookmarkStart w:id="12531" w:name="_Toc61861433"/>
      <w:bookmarkStart w:id="12532" w:name="_Toc61867394"/>
      <w:bookmarkStart w:id="12533" w:name="_Toc61867500"/>
      <w:bookmarkStart w:id="12534" w:name="_Toc61617747"/>
      <w:r>
        <w:rPr>
          <w:rFonts w:hint="cs"/>
          <w:rtl/>
        </w:rPr>
        <w:t>דברי הר"ן</w:t>
      </w:r>
      <w:bookmarkEnd w:id="12524"/>
      <w:bookmarkEnd w:id="12525"/>
      <w:bookmarkEnd w:id="12526"/>
      <w:bookmarkEnd w:id="12527"/>
      <w:bookmarkEnd w:id="12528"/>
      <w:bookmarkEnd w:id="12529"/>
      <w:r>
        <w:rPr>
          <w:rFonts w:hint="cs"/>
          <w:rtl/>
        </w:rPr>
        <w:t xml:space="preserve"> דנח' רבה ואביי במשמעות טענתו ואי שייך לתרצה</w:t>
      </w:r>
      <w:bookmarkEnd w:id="12530"/>
    </w:p>
    <w:p w:rsidR="00C34249" w:rsidRDefault="00C34249" w:rsidP="00C34249">
      <w:pPr>
        <w:pStyle w:val="a3"/>
        <w:rPr>
          <w:rtl/>
        </w:rPr>
      </w:pPr>
      <w:bookmarkStart w:id="12535" w:name="_Toc61887866"/>
      <w:r>
        <w:rPr>
          <w:rFonts w:hint="cs"/>
          <w:rtl/>
        </w:rPr>
        <w:t>תי' הר"ן דמודה רבה דכשהמיגו ודאי במק"א ל"מ אלא דבמיגו בסתמא מתרצינן דטענתו אמת</w:t>
      </w:r>
      <w:bookmarkEnd w:id="12535"/>
    </w:p>
    <w:p w:rsidR="00C34249" w:rsidRDefault="00C34249" w:rsidP="007E4E81">
      <w:pPr>
        <w:pStyle w:val="a0"/>
        <w:rPr>
          <w:rtl/>
        </w:rPr>
      </w:pPr>
      <w:r>
        <w:rPr>
          <w:rStyle w:val="af9"/>
          <w:rFonts w:hint="cs"/>
          <w:rtl/>
        </w:rPr>
        <w:t>ו</w:t>
      </w:r>
      <w:r w:rsidRPr="003A3768">
        <w:rPr>
          <w:rStyle w:val="af9"/>
          <w:rFonts w:hint="cs"/>
          <w:rtl/>
        </w:rPr>
        <w:t xml:space="preserve">הר"ן </w:t>
      </w:r>
      <w:r w:rsidRPr="00652FFA">
        <w:rPr>
          <w:rStyle w:val="af7"/>
          <w:rFonts w:eastAsia="Guttman Hodes" w:hint="cs"/>
          <w:rtl/>
        </w:rPr>
        <w:t xml:space="preserve">(ד"ה אמר) </w:t>
      </w:r>
      <w:r w:rsidRPr="003A3768">
        <w:rPr>
          <w:rStyle w:val="af9"/>
          <w:rFonts w:hint="cs"/>
          <w:rtl/>
        </w:rPr>
        <w:t>והנימוק"י</w:t>
      </w:r>
      <w:r>
        <w:rPr>
          <w:rFonts w:hint="cs"/>
          <w:rtl/>
        </w:rPr>
        <w:t xml:space="preserve"> </w:t>
      </w:r>
      <w:r w:rsidRPr="00652FFA">
        <w:rPr>
          <w:rStyle w:val="af7"/>
          <w:rFonts w:eastAsia="Guttman Hodes" w:hint="cs"/>
          <w:rtl/>
        </w:rPr>
        <w:t>(טז. מדה"ר ד"ה זה)</w:t>
      </w:r>
      <w:r>
        <w:rPr>
          <w:rFonts w:hint="cs"/>
          <w:rtl/>
        </w:rPr>
        <w:t xml:space="preserve"> תירצו דמודה רבא [רבה] שאם המיגו הוא ודאי במקום עדים דאינו נאמן, אלא דס"ל דכיון שהעדים העידו בסתמא, ואפשר לתרץ את דבריו, כיון שיש לו מיגו מתרצינן דטענתו אמת, ואינה סותרת את טענת העדים.</w:t>
      </w:r>
    </w:p>
    <w:p w:rsidR="00C34249" w:rsidRDefault="00C34249" w:rsidP="00C34249">
      <w:pPr>
        <w:pStyle w:val="a3"/>
        <w:rPr>
          <w:rtl/>
        </w:rPr>
      </w:pPr>
      <w:bookmarkStart w:id="12536" w:name="_Toc61887867"/>
      <w:r>
        <w:rPr>
          <w:rFonts w:hint="cs"/>
          <w:rtl/>
        </w:rPr>
        <w:t>ביאור הר"ן באביי דמשמע שמכחיש לעדים וכשהוכחש בטל המיגו וא"א לומר דאמר אמת</w:t>
      </w:r>
      <w:bookmarkEnd w:id="12536"/>
    </w:p>
    <w:p w:rsidR="00C34249" w:rsidRDefault="00C34249" w:rsidP="007E4E81">
      <w:pPr>
        <w:pStyle w:val="a0"/>
        <w:rPr>
          <w:rtl/>
        </w:rPr>
      </w:pPr>
      <w:bookmarkStart w:id="12537" w:name="_Ref61814066"/>
      <w:r>
        <w:rPr>
          <w:rFonts w:hint="cs"/>
          <w:rtl/>
        </w:rPr>
        <w:t xml:space="preserve">ובדעת אביי ביארו </w:t>
      </w:r>
      <w:r w:rsidRPr="003A3768">
        <w:rPr>
          <w:rStyle w:val="af9"/>
          <w:rFonts w:hint="cs"/>
          <w:rtl/>
        </w:rPr>
        <w:t>הר"ן והנימוק"י</w:t>
      </w:r>
      <w:r>
        <w:rPr>
          <w:rFonts w:hint="cs"/>
          <w:rtl/>
        </w:rPr>
        <w:t xml:space="preserve"> דמ"מ חשיב מיגו במקום עדים, דטענת המערער היא שהייתה של אבותי ולא של אבותיך, דהא אם אי"ז כוונתו, מה הוא מערער עליו, וא"כ כשהשיב לו המחזיק "של אבותי" כוונתו להשיב על טענת המערער, ולומר דהייתה רק של אבותי ולא של אבותיך, ובטענה זו הכחישוהו עידי </w:t>
      </w:r>
      <w:r>
        <w:rPr>
          <w:rFonts w:hint="cs"/>
          <w:rtl/>
        </w:rPr>
        <w:lastRenderedPageBreak/>
        <w:t>המערער, ואחר שהוכחש א"כ לסמוך על המיגו ולומר דטענתו היא טענת אמת.</w:t>
      </w:r>
    </w:p>
    <w:p w:rsidR="00C34249" w:rsidRPr="007F2A26" w:rsidRDefault="00C34249" w:rsidP="00C34249">
      <w:pPr>
        <w:pStyle w:val="a3"/>
      </w:pPr>
      <w:bookmarkStart w:id="12538" w:name="_Toc61887868"/>
      <w:r>
        <w:rPr>
          <w:rFonts w:hint="cs"/>
          <w:rtl/>
        </w:rPr>
        <w:t>דברי הר"ן דא"א לטעון לו דחשיב דהודה בהודאת בע"ד שאבותיו של מערער לא מכרו</w:t>
      </w:r>
      <w:bookmarkEnd w:id="12538"/>
    </w:p>
    <w:p w:rsidR="00C34249" w:rsidRPr="00E3520A" w:rsidRDefault="00C34249" w:rsidP="007E4E81">
      <w:pPr>
        <w:pStyle w:val="a0"/>
        <w:rPr>
          <w:rStyle w:val="afb"/>
          <w:rtl/>
        </w:rPr>
      </w:pPr>
      <w:bookmarkStart w:id="12539" w:name="_Ref61883164"/>
      <w:r>
        <w:rPr>
          <w:rFonts w:hint="cs"/>
          <w:rtl/>
        </w:rPr>
        <w:t xml:space="preserve">וכתבו </w:t>
      </w:r>
      <w:r w:rsidRPr="003A3768">
        <w:rPr>
          <w:rStyle w:val="af9"/>
          <w:rFonts w:hint="cs"/>
          <w:rtl/>
        </w:rPr>
        <w:t>הר"ן והנימוק"י</w:t>
      </w:r>
      <w:r>
        <w:rPr>
          <w:rFonts w:hint="cs"/>
          <w:rtl/>
        </w:rPr>
        <w:t xml:space="preserve"> דאין להקשות דאנן נטען לו ונפרש את דבריו שאינו מכחיש את העדים, דכיון דמשמעות דבריו היא של אבותי ולא של אבותיך, א"כ הוא הודה דאבותיו של המערער לא מכרוה מעולם, דהא טען שלא הייתה שלהם, ואין אדם מוכר דבר שאינו שלו, והודאת בע"ד כמאה עדים דמי</w:t>
      </w:r>
      <w:bookmarkEnd w:id="12537"/>
      <w:r>
        <w:rPr>
          <w:rStyle w:val="af1"/>
          <w:rtl/>
        </w:rPr>
        <w:footnoteReference w:id="76"/>
      </w:r>
      <w:r>
        <w:rPr>
          <w:rFonts w:hint="cs"/>
          <w:rtl/>
        </w:rPr>
        <w:t xml:space="preserve">, </w:t>
      </w:r>
      <w:bookmarkEnd w:id="12539"/>
      <w:r>
        <w:rPr>
          <w:rFonts w:hint="cs"/>
          <w:rtl/>
        </w:rPr>
        <w:t xml:space="preserve">ועי' בדברי </w:t>
      </w:r>
      <w:r>
        <w:rPr>
          <w:rStyle w:val="af9"/>
          <w:rFonts w:hint="cs"/>
          <w:rtl/>
        </w:rPr>
        <w:t xml:space="preserve">הרשב"א בתוס' </w:t>
      </w:r>
      <w:r w:rsidRPr="00951D29">
        <w:rPr>
          <w:rStyle w:val="af7"/>
          <w:rFonts w:eastAsia="Guttman Hodes" w:hint="cs"/>
          <w:rtl/>
        </w:rPr>
        <w:t xml:space="preserve">(עי' אות </w:t>
      </w:r>
      <w:r w:rsidRPr="00951D29">
        <w:rPr>
          <w:rStyle w:val="af7"/>
          <w:rFonts w:eastAsia="Guttman Hodes"/>
          <w:rtl/>
        </w:rPr>
        <w:fldChar w:fldCharType="begin"/>
      </w:r>
      <w:r w:rsidRPr="00951D29">
        <w:rPr>
          <w:rStyle w:val="af7"/>
          <w:rFonts w:eastAsia="Guttman Hodes"/>
          <w:rtl/>
        </w:rPr>
        <w:instrText xml:space="preserve"> </w:instrText>
      </w:r>
      <w:r w:rsidRPr="00951D29">
        <w:rPr>
          <w:rStyle w:val="af7"/>
          <w:rFonts w:eastAsia="Guttman Hodes" w:hint="cs"/>
        </w:rPr>
        <w:instrText>REF</w:instrText>
      </w:r>
      <w:r w:rsidRPr="00951D29">
        <w:rPr>
          <w:rStyle w:val="af7"/>
          <w:rFonts w:eastAsia="Guttman Hodes" w:hint="cs"/>
          <w:rtl/>
        </w:rPr>
        <w:instrText xml:space="preserve"> _</w:instrText>
      </w:r>
      <w:r w:rsidRPr="00951D29">
        <w:rPr>
          <w:rStyle w:val="af7"/>
          <w:rFonts w:eastAsia="Guttman Hodes" w:hint="cs"/>
        </w:rPr>
        <w:instrText>Ref61813820 \r \h</w:instrText>
      </w:r>
      <w:r w:rsidRPr="00951D29">
        <w:rPr>
          <w:rStyle w:val="af7"/>
          <w:rFonts w:eastAsia="Guttman Hodes"/>
          <w:rtl/>
        </w:rPr>
        <w:instrText xml:space="preserve"> </w:instrText>
      </w:r>
      <w:r w:rsidRPr="00951D29">
        <w:rPr>
          <w:rStyle w:val="af7"/>
          <w:rFonts w:eastAsia="Guttman Hodes"/>
          <w:rtl/>
        </w:rPr>
      </w:r>
      <w:r w:rsidRPr="00951D29">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951D29">
        <w:rPr>
          <w:rStyle w:val="af7"/>
          <w:rFonts w:eastAsia="Guttman Hodes"/>
          <w:rtl/>
        </w:rPr>
        <w:fldChar w:fldCharType="end"/>
      </w:r>
      <w:r>
        <w:rPr>
          <w:rStyle w:val="af9"/>
          <w:rFonts w:hint="cs"/>
          <w:rtl/>
        </w:rPr>
        <w:t xml:space="preserve"> והרמב"ן </w:t>
      </w:r>
      <w:r w:rsidRPr="00951D2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Ref61865494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Pr>
          <w:rStyle w:val="af7"/>
          <w:rFonts w:eastAsia="Guttman Hodes"/>
          <w:rtl/>
        </w:rPr>
        <w:fldChar w:fldCharType="end"/>
      </w:r>
      <w:r w:rsidRPr="00951D29">
        <w:rPr>
          <w:rStyle w:val="af7"/>
          <w:rFonts w:eastAsia="Guttman Hodes" w:hint="cs"/>
          <w:rtl/>
        </w:rPr>
        <w:t xml:space="preserve"> </w:t>
      </w:r>
      <w:r>
        <w:rPr>
          <w:rStyle w:val="af9"/>
          <w:rFonts w:hint="cs"/>
          <w:rtl/>
        </w:rPr>
        <w:t xml:space="preserve">ורבינו יונה </w:t>
      </w:r>
      <w:r w:rsidRPr="00951D29">
        <w:rPr>
          <w:rStyle w:val="af7"/>
          <w:rFonts w:eastAsia="Guttman Hodes" w:hint="cs"/>
          <w:rtl/>
        </w:rPr>
        <w:t xml:space="preserve">(עי' אות </w:t>
      </w:r>
      <w:r w:rsidRPr="00951D29">
        <w:rPr>
          <w:rStyle w:val="af7"/>
          <w:rFonts w:eastAsia="Guttman Hodes"/>
          <w:rtl/>
        </w:rPr>
        <w:fldChar w:fldCharType="begin"/>
      </w:r>
      <w:r w:rsidRPr="00951D29">
        <w:rPr>
          <w:rStyle w:val="af7"/>
          <w:rFonts w:eastAsia="Guttman Hodes"/>
          <w:rtl/>
        </w:rPr>
        <w:instrText xml:space="preserve"> </w:instrText>
      </w:r>
      <w:r w:rsidRPr="00951D29">
        <w:rPr>
          <w:rStyle w:val="af7"/>
          <w:rFonts w:eastAsia="Guttman Hodes" w:hint="cs"/>
        </w:rPr>
        <w:instrText>REF</w:instrText>
      </w:r>
      <w:r w:rsidRPr="00951D29">
        <w:rPr>
          <w:rStyle w:val="af7"/>
          <w:rFonts w:eastAsia="Guttman Hodes" w:hint="cs"/>
          <w:rtl/>
        </w:rPr>
        <w:instrText xml:space="preserve"> _</w:instrText>
      </w:r>
      <w:r w:rsidRPr="00951D29">
        <w:rPr>
          <w:rStyle w:val="af7"/>
          <w:rFonts w:eastAsia="Guttman Hodes" w:hint="cs"/>
        </w:rPr>
        <w:instrText>Ref61865417 \r \h</w:instrText>
      </w:r>
      <w:r w:rsidRPr="00951D29">
        <w:rPr>
          <w:rStyle w:val="af7"/>
          <w:rFonts w:eastAsia="Guttman Hodes"/>
          <w:rtl/>
        </w:rPr>
        <w:instrText xml:space="preserve"> </w:instrText>
      </w:r>
      <w:r w:rsidRPr="00951D29">
        <w:rPr>
          <w:rStyle w:val="af7"/>
          <w:rFonts w:eastAsia="Guttman Hodes"/>
          <w:rtl/>
        </w:rPr>
      </w:r>
      <w:r w:rsidRPr="00951D29">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951D29">
        <w:rPr>
          <w:rStyle w:val="af7"/>
          <w:rFonts w:eastAsia="Guttman Hodes"/>
          <w:rtl/>
        </w:rPr>
        <w:fldChar w:fldCharType="end"/>
      </w:r>
      <w:r w:rsidRPr="00951D29">
        <w:rPr>
          <w:rStyle w:val="af7"/>
          <w:rFonts w:eastAsia="Guttman Hodes" w:hint="cs"/>
          <w:rtl/>
        </w:rPr>
        <w:t xml:space="preserve"> </w:t>
      </w:r>
      <w:r>
        <w:rPr>
          <w:rStyle w:val="af9"/>
          <w:rFonts w:hint="cs"/>
          <w:rtl/>
        </w:rPr>
        <w:t>ו</w:t>
      </w:r>
      <w:r w:rsidRPr="003A3768">
        <w:rPr>
          <w:rStyle w:val="af9"/>
          <w:rFonts w:hint="cs"/>
          <w:rtl/>
        </w:rPr>
        <w:t>הרשב"א</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Ref61866105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w:t>
      </w:r>
      <w:r>
        <w:rPr>
          <w:rStyle w:val="af7"/>
          <w:rFonts w:eastAsia="Guttman Hodes"/>
          <w:rtl/>
        </w:rPr>
        <w:fldChar w:fldCharType="end"/>
      </w:r>
      <w:r w:rsidRPr="00C134C3">
        <w:rPr>
          <w:rStyle w:val="af9"/>
          <w:rFonts w:hint="cs"/>
          <w:rtl/>
        </w:rPr>
        <w:t xml:space="preserve"> </w:t>
      </w:r>
      <w:r>
        <w:rPr>
          <w:rStyle w:val="af9"/>
          <w:rFonts w:hint="cs"/>
          <w:rtl/>
        </w:rPr>
        <w:t xml:space="preserve">והיד רמ"ה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Ref61883135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915FFC">
        <w:rPr>
          <w:rStyle w:val="af7"/>
          <w:rFonts w:eastAsia="Guttman Hodes"/>
          <w:rtl/>
        </w:rPr>
        <w:fldChar w:fldCharType="end"/>
      </w:r>
      <w:r>
        <w:rPr>
          <w:rStyle w:val="af9"/>
          <w:rFonts w:hint="cs"/>
          <w:rtl/>
        </w:rPr>
        <w:t>.</w:t>
      </w:r>
    </w:p>
    <w:p w:rsidR="00C34249" w:rsidRDefault="00C34249" w:rsidP="00C34249">
      <w:pPr>
        <w:pStyle w:val="1"/>
        <w:rPr>
          <w:rtl/>
        </w:rPr>
      </w:pPr>
      <w:bookmarkStart w:id="12540" w:name="_Toc61887869"/>
      <w:r>
        <w:rPr>
          <w:rFonts w:hint="cs"/>
          <w:rtl/>
        </w:rPr>
        <w:t>תי' הגרעק"א דבשבועות איירי דהודה בב"ד ולכו"ע ל"מ מיגו</w:t>
      </w:r>
      <w:bookmarkEnd w:id="12531"/>
      <w:bookmarkEnd w:id="12532"/>
      <w:bookmarkEnd w:id="12533"/>
      <w:bookmarkEnd w:id="12540"/>
    </w:p>
    <w:p w:rsidR="00C34249" w:rsidRDefault="00C34249" w:rsidP="00C34249">
      <w:pPr>
        <w:pStyle w:val="a3"/>
        <w:rPr>
          <w:rtl/>
        </w:rPr>
      </w:pPr>
      <w:bookmarkStart w:id="12541" w:name="_Toc61861434"/>
      <w:bookmarkStart w:id="12542" w:name="_Toc61867395"/>
      <w:bookmarkStart w:id="12543" w:name="_Toc61867501"/>
      <w:bookmarkStart w:id="12544" w:name="_Toc61887870"/>
      <w:r>
        <w:rPr>
          <w:rFonts w:hint="cs"/>
          <w:rtl/>
        </w:rPr>
        <w:t>תירוץ הגרעק"א דבגמ' בשבועות העמיד רב חסדא דאיירי שהודה בב"ד וא"א להאמינו כלל</w:t>
      </w:r>
      <w:bookmarkEnd w:id="12541"/>
      <w:bookmarkEnd w:id="12542"/>
      <w:bookmarkEnd w:id="12543"/>
      <w:bookmarkEnd w:id="12544"/>
    </w:p>
    <w:p w:rsidR="00C34249" w:rsidRDefault="00C34249" w:rsidP="007E4E81">
      <w:pPr>
        <w:pStyle w:val="a0"/>
        <w:rPr>
          <w:rtl/>
        </w:rPr>
      </w:pPr>
      <w:bookmarkStart w:id="12545" w:name="_Ref61771457"/>
      <w:r w:rsidRPr="003479B8">
        <w:rPr>
          <w:rStyle w:val="af9"/>
          <w:rFonts w:hint="cs"/>
          <w:rtl/>
        </w:rPr>
        <w:t>והגרעק</w:t>
      </w:r>
      <w:r w:rsidRPr="003479B8">
        <w:rPr>
          <w:rStyle w:val="af9"/>
          <w:rtl/>
        </w:rPr>
        <w:t>"</w:t>
      </w:r>
      <w:r w:rsidRPr="003479B8">
        <w:rPr>
          <w:rStyle w:val="af9"/>
          <w:rFonts w:hint="cs"/>
          <w:rtl/>
        </w:rPr>
        <w:t>א</w:t>
      </w:r>
      <w:r>
        <w:rPr>
          <w:rFonts w:hint="cs"/>
          <w:rtl/>
        </w:rPr>
        <w:t xml:space="preserve"> </w:t>
      </w:r>
      <w:r w:rsidRPr="00B030F7">
        <w:rPr>
          <w:rStyle w:val="af7"/>
          <w:rFonts w:eastAsia="Guttman Hodes" w:hint="cs"/>
          <w:rtl/>
        </w:rPr>
        <w:t xml:space="preserve">(לקמן לג: ד"ה הקשה רומ"פ, גרעק"א השלם [כחול] בסוגיין ד"ה מה דהקשה רומ"פ, </w:t>
      </w:r>
      <w:r>
        <w:rPr>
          <w:rStyle w:val="af7"/>
          <w:rFonts w:eastAsia="Guttman Hodes" w:hint="cs"/>
          <w:rtl/>
        </w:rPr>
        <w:t>שו</w:t>
      </w:r>
      <w:r>
        <w:rPr>
          <w:rStyle w:val="af7"/>
          <w:rFonts w:eastAsia="Guttman Hodes"/>
          <w:rtl/>
        </w:rPr>
        <w:t>"</w:t>
      </w:r>
      <w:r>
        <w:rPr>
          <w:rStyle w:val="af7"/>
          <w:rFonts w:eastAsia="Guttman Hodes" w:hint="cs"/>
          <w:rtl/>
        </w:rPr>
        <w:t>ת ח</w:t>
      </w:r>
      <w:r>
        <w:rPr>
          <w:rStyle w:val="af7"/>
          <w:rFonts w:eastAsia="Guttman Hodes"/>
          <w:rtl/>
        </w:rPr>
        <w:t>"</w:t>
      </w:r>
      <w:r>
        <w:rPr>
          <w:rStyle w:val="af7"/>
          <w:rFonts w:eastAsia="Guttman Hodes" w:hint="cs"/>
          <w:rtl/>
        </w:rPr>
        <w:t>ב [מהדו</w:t>
      </w:r>
      <w:r>
        <w:rPr>
          <w:rStyle w:val="af7"/>
          <w:rFonts w:eastAsia="Guttman Hodes"/>
          <w:rtl/>
        </w:rPr>
        <w:t>"</w:t>
      </w:r>
      <w:r>
        <w:rPr>
          <w:rStyle w:val="af7"/>
          <w:rFonts w:eastAsia="Guttman Hodes" w:hint="cs"/>
          <w:rtl/>
        </w:rPr>
        <w:t xml:space="preserve">ת] </w:t>
      </w:r>
      <w:r w:rsidRPr="00B030F7">
        <w:rPr>
          <w:rStyle w:val="af7"/>
          <w:rFonts w:eastAsia="Guttman Hodes" w:hint="cs"/>
          <w:rtl/>
        </w:rPr>
        <w:t>סי' ק"ל)</w:t>
      </w:r>
      <w:r>
        <w:rPr>
          <w:rFonts w:hint="cs"/>
          <w:rtl/>
        </w:rPr>
        <w:t xml:space="preserve"> הקשה על דברי רב חסדא בגמ' לקמן </w:t>
      </w:r>
      <w:r w:rsidRPr="00B030F7">
        <w:rPr>
          <w:rStyle w:val="af7"/>
          <w:rFonts w:eastAsia="Guttman Hodes" w:hint="cs"/>
          <w:rtl/>
        </w:rPr>
        <w:t>(לג:)</w:t>
      </w:r>
      <w:r>
        <w:rPr>
          <w:rFonts w:hint="cs"/>
          <w:rtl/>
        </w:rPr>
        <w:t xml:space="preserve"> דס"ל דאמרינן מיגו במקום עדים, כקושית </w:t>
      </w:r>
      <w:r w:rsidRPr="003479B8">
        <w:rPr>
          <w:rStyle w:val="af9"/>
          <w:rFonts w:hint="cs"/>
          <w:rtl/>
        </w:rPr>
        <w:t>הרמב"ן</w:t>
      </w:r>
      <w:r>
        <w:rPr>
          <w:rFonts w:hint="cs"/>
          <w:rtl/>
        </w:rPr>
        <w:t xml:space="preserve"> </w:t>
      </w:r>
      <w:r w:rsidRPr="00B030F7">
        <w:rPr>
          <w:rStyle w:val="af7"/>
          <w:rFonts w:eastAsia="Guttman Hodes" w:hint="cs"/>
          <w:rtl/>
        </w:rPr>
        <w:t xml:space="preserve">(עי' אות </w:t>
      </w:r>
      <w:r w:rsidRPr="00B030F7">
        <w:rPr>
          <w:rStyle w:val="af7"/>
          <w:rFonts w:eastAsia="Guttman Hodes"/>
          <w:rtl/>
        </w:rPr>
        <w:fldChar w:fldCharType="begin"/>
      </w:r>
      <w:r w:rsidRPr="00B030F7">
        <w:rPr>
          <w:rStyle w:val="af7"/>
          <w:rFonts w:eastAsia="Guttman Hodes"/>
          <w:rtl/>
        </w:rPr>
        <w:instrText xml:space="preserve"> </w:instrText>
      </w:r>
      <w:r w:rsidRPr="00B030F7">
        <w:rPr>
          <w:rStyle w:val="af7"/>
          <w:rFonts w:eastAsia="Guttman Hodes" w:hint="cs"/>
        </w:rPr>
        <w:instrText>REF</w:instrText>
      </w:r>
      <w:r w:rsidRPr="00B030F7">
        <w:rPr>
          <w:rStyle w:val="af7"/>
          <w:rFonts w:eastAsia="Guttman Hodes" w:hint="cs"/>
          <w:rtl/>
        </w:rPr>
        <w:instrText xml:space="preserve"> _</w:instrText>
      </w:r>
      <w:r w:rsidRPr="00B030F7">
        <w:rPr>
          <w:rStyle w:val="af7"/>
          <w:rFonts w:eastAsia="Guttman Hodes" w:hint="cs"/>
        </w:rPr>
        <w:instrText>Ref61771465 \r \h</w:instrText>
      </w:r>
      <w:r w:rsidRPr="00B030F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030F7">
        <w:rPr>
          <w:rStyle w:val="af7"/>
          <w:rFonts w:eastAsia="Guttman Hodes"/>
          <w:rtl/>
        </w:rPr>
      </w:r>
      <w:r w:rsidRPr="00B030F7">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B030F7">
        <w:rPr>
          <w:rStyle w:val="af7"/>
          <w:rFonts w:eastAsia="Guttman Hodes"/>
          <w:rtl/>
        </w:rPr>
        <w:fldChar w:fldCharType="end"/>
      </w:r>
      <w:r>
        <w:rPr>
          <w:rFonts w:hint="cs"/>
          <w:rtl/>
        </w:rPr>
        <w:t xml:space="preserve"> מהמשנה בשבועות </w:t>
      </w:r>
      <w:r w:rsidRPr="00B030F7">
        <w:rPr>
          <w:rStyle w:val="af7"/>
          <w:rFonts w:eastAsia="Guttman Hodes" w:hint="cs"/>
          <w:rtl/>
        </w:rPr>
        <w:t>(לח:)</w:t>
      </w:r>
      <w:r>
        <w:rPr>
          <w:rFonts w:hint="cs"/>
          <w:rtl/>
        </w:rPr>
        <w:t xml:space="preserve"> ולעיל </w:t>
      </w:r>
      <w:r w:rsidRPr="00371186">
        <w:rPr>
          <w:rStyle w:val="af7"/>
          <w:rFonts w:eastAsia="Guttman Hodes" w:hint="cs"/>
          <w:rtl/>
        </w:rPr>
        <w:t>(ו.)</w:t>
      </w:r>
      <w:r>
        <w:rPr>
          <w:rFonts w:hint="cs"/>
          <w:rtl/>
        </w:rPr>
        <w:t xml:space="preserve"> דהאומר לחבירו מנה לי בידך וא"ל שיפרע לו למחר, </w:t>
      </w:r>
      <w:r w:rsidRPr="00371186">
        <w:rPr>
          <w:rStyle w:val="afb"/>
          <w:rFonts w:hint="cs"/>
          <w:rtl/>
        </w:rPr>
        <w:t xml:space="preserve">[והיינו דהודה לו בפני עדים, כדמשמע בגמ' בשבועות </w:t>
      </w:r>
      <w:r w:rsidRPr="00DB616A">
        <w:rPr>
          <w:rStyle w:val="aff6"/>
          <w:rFonts w:hint="cs"/>
          <w:rtl/>
        </w:rPr>
        <w:t>(מא.)</w:t>
      </w:r>
      <w:r w:rsidRPr="00371186">
        <w:rPr>
          <w:rStyle w:val="afb"/>
          <w:rFonts w:hint="cs"/>
          <w:rtl/>
        </w:rPr>
        <w:t>],</w:t>
      </w:r>
      <w:r>
        <w:rPr>
          <w:rFonts w:hint="cs"/>
          <w:rtl/>
        </w:rPr>
        <w:t xml:space="preserve"> ולמחר טען אין לך בידי כלום דחייב, דאמרינן דכוונתו לטעון להד"ם, ולרב חסדא דאמרינן מיגו במקום עדים, אמאי אינו נאמן בטענת להד"ם, דהיינו שטוען שלא הודה בפני העדים,</w:t>
      </w:r>
      <w:r w:rsidRPr="0064225B">
        <w:rPr>
          <w:rFonts w:hint="cs"/>
          <w:rtl/>
        </w:rPr>
        <w:t xml:space="preserve"> </w:t>
      </w:r>
      <w:r>
        <w:rPr>
          <w:rFonts w:hint="cs"/>
          <w:rtl/>
        </w:rPr>
        <w:t xml:space="preserve">אף שהעדים מעידים שהודה בפניהם שחייב, ותירץ </w:t>
      </w:r>
      <w:r w:rsidRPr="003479B8">
        <w:rPr>
          <w:rStyle w:val="af9"/>
          <w:rFonts w:hint="cs"/>
          <w:rtl/>
        </w:rPr>
        <w:t>הגרעק"א</w:t>
      </w:r>
      <w:r>
        <w:rPr>
          <w:rFonts w:hint="cs"/>
          <w:rtl/>
        </w:rPr>
        <w:t xml:space="preserve"> דהתם איירי שהודה בפני ב"ד ולא בפני עדים, ולכן הב"ד דנים על מה שהם ראו לפניהם, ולא שייך להאמינו שלא הודה, כשב"ד עצמם יודעים שהוא משקר</w:t>
      </w:r>
      <w:r>
        <w:rPr>
          <w:rStyle w:val="af1"/>
          <w:rtl/>
        </w:rPr>
        <w:footnoteReference w:id="77"/>
      </w:r>
      <w:r>
        <w:rPr>
          <w:rFonts w:hint="cs"/>
          <w:rtl/>
        </w:rPr>
        <w:t xml:space="preserve">. </w:t>
      </w:r>
      <w:r w:rsidRPr="00BF24E1">
        <w:rPr>
          <w:rStyle w:val="afb"/>
          <w:rFonts w:hint="cs"/>
          <w:rtl/>
        </w:rPr>
        <w:t xml:space="preserve">[וכתב </w:t>
      </w:r>
      <w:r w:rsidRPr="00BF24E1">
        <w:rPr>
          <w:rStyle w:val="affa"/>
          <w:rFonts w:hint="cs"/>
          <w:rtl/>
        </w:rPr>
        <w:t>הגרעק"א</w:t>
      </w:r>
      <w:r w:rsidRPr="00BF24E1">
        <w:rPr>
          <w:rStyle w:val="afb"/>
          <w:rFonts w:hint="cs"/>
          <w:rtl/>
        </w:rPr>
        <w:t xml:space="preserve"> דאעפ"י דמשמע בגמ' בשבועות </w:t>
      </w:r>
      <w:r w:rsidRPr="00DB616A">
        <w:rPr>
          <w:rStyle w:val="aff6"/>
          <w:rFonts w:hint="cs"/>
          <w:rtl/>
        </w:rPr>
        <w:t>(מא.)</w:t>
      </w:r>
      <w:r w:rsidRPr="00BF24E1">
        <w:rPr>
          <w:rStyle w:val="afb"/>
          <w:rFonts w:hint="cs"/>
          <w:rtl/>
        </w:rPr>
        <w:t xml:space="preserve"> דאיירי בהודה בפני עדים, מ"מ רב חסדא מעמיד את המשנה בהודה בפני ב"ד, ולכן אינו נאמן]</w:t>
      </w:r>
      <w:r>
        <w:rPr>
          <w:rStyle w:val="afb"/>
          <w:rFonts w:hint="cs"/>
          <w:rtl/>
        </w:rPr>
        <w:t>.</w:t>
      </w:r>
      <w:bookmarkEnd w:id="12545"/>
    </w:p>
    <w:p w:rsidR="00C34249" w:rsidRPr="00B13F20" w:rsidRDefault="00C34249" w:rsidP="00C34249">
      <w:pPr>
        <w:pStyle w:val="afe"/>
        <w:rPr>
          <w:rtl/>
        </w:rPr>
      </w:pPr>
      <w:bookmarkStart w:id="12546" w:name="_Toc61861435"/>
      <w:bookmarkStart w:id="12547" w:name="_Toc61867396"/>
      <w:bookmarkStart w:id="12548" w:name="_Toc61867502"/>
      <w:bookmarkStart w:id="12549" w:name="_Toc61887871"/>
      <w:r>
        <w:rPr>
          <w:rFonts w:hint="cs"/>
          <w:rtl/>
        </w:rPr>
        <w:t>בי' הנחל יצחק דלכו"ע ל"מ מיגו באנ"ס</w:t>
      </w:r>
      <w:bookmarkEnd w:id="12546"/>
      <w:bookmarkEnd w:id="12547"/>
      <w:bookmarkEnd w:id="12548"/>
      <w:bookmarkEnd w:id="12549"/>
    </w:p>
    <w:p w:rsidR="00C34249" w:rsidRDefault="00C34249" w:rsidP="00C34249">
      <w:pPr>
        <w:pStyle w:val="1"/>
        <w:rPr>
          <w:rtl/>
        </w:rPr>
      </w:pPr>
      <w:bookmarkStart w:id="12550" w:name="_Toc61811674"/>
      <w:bookmarkStart w:id="12551" w:name="_Toc61815361"/>
      <w:bookmarkStart w:id="12552" w:name="_Toc61861436"/>
      <w:bookmarkStart w:id="12553" w:name="_Toc61867397"/>
      <w:bookmarkStart w:id="12554" w:name="_Toc61867503"/>
      <w:bookmarkStart w:id="12555" w:name="_Toc61887872"/>
      <w:r>
        <w:rPr>
          <w:rFonts w:hint="cs"/>
          <w:rtl/>
        </w:rPr>
        <w:t>תי' הנחל יצחק</w:t>
      </w:r>
      <w:bookmarkEnd w:id="12550"/>
      <w:bookmarkEnd w:id="12551"/>
      <w:r>
        <w:rPr>
          <w:rFonts w:hint="cs"/>
          <w:rtl/>
        </w:rPr>
        <w:t xml:space="preserve"> דלכו"ע אינו נאמן במיגו לומר דטעה כנגד אנ"ס</w:t>
      </w:r>
      <w:bookmarkEnd w:id="12552"/>
      <w:bookmarkEnd w:id="12553"/>
      <w:bookmarkEnd w:id="12554"/>
      <w:bookmarkEnd w:id="12555"/>
    </w:p>
    <w:p w:rsidR="00C34249" w:rsidRPr="00183A5C" w:rsidRDefault="00C34249" w:rsidP="00C34249">
      <w:pPr>
        <w:pStyle w:val="a3"/>
        <w:rPr>
          <w:rtl/>
        </w:rPr>
      </w:pPr>
      <w:bookmarkStart w:id="12556" w:name="_Toc61861437"/>
      <w:bookmarkStart w:id="12557" w:name="_Toc61867398"/>
      <w:bookmarkStart w:id="12558" w:name="_Toc61867504"/>
      <w:bookmarkStart w:id="12559" w:name="_Toc61887873"/>
      <w:r>
        <w:rPr>
          <w:rFonts w:hint="cs"/>
          <w:rtl/>
        </w:rPr>
        <w:t>דברי הנחל יצחק דבתוס' בגיטין מבואר דכוונת הגמ' בשבועות דאינו נאמן לומר דטעה כשהודה</w:t>
      </w:r>
      <w:bookmarkEnd w:id="12556"/>
      <w:bookmarkEnd w:id="12557"/>
      <w:bookmarkEnd w:id="12558"/>
      <w:bookmarkEnd w:id="12559"/>
    </w:p>
    <w:p w:rsidR="00C34249" w:rsidRPr="009A5C26" w:rsidRDefault="00C34249" w:rsidP="007E4E81">
      <w:pPr>
        <w:pStyle w:val="a0"/>
        <w:rPr>
          <w:rStyle w:val="afb"/>
          <w:rtl/>
        </w:rPr>
      </w:pPr>
      <w:bookmarkStart w:id="12560" w:name="_Ref61861028"/>
      <w:r>
        <w:rPr>
          <w:rFonts w:hint="cs"/>
          <w:rtl/>
        </w:rPr>
        <w:t xml:space="preserve">במה שהקשה </w:t>
      </w:r>
      <w:r w:rsidRPr="00AA7176">
        <w:rPr>
          <w:rStyle w:val="af9"/>
          <w:rFonts w:hint="cs"/>
          <w:rtl/>
        </w:rPr>
        <w:t>הרמב"ן</w:t>
      </w:r>
      <w:r>
        <w:rPr>
          <w:rFonts w:hint="cs"/>
          <w:rtl/>
        </w:rPr>
        <w:t xml:space="preserve"> </w:t>
      </w:r>
      <w:r w:rsidRPr="00B030F7">
        <w:rPr>
          <w:rStyle w:val="af7"/>
          <w:rFonts w:eastAsia="Guttman Hodes" w:hint="cs"/>
          <w:rtl/>
        </w:rPr>
        <w:t xml:space="preserve">(עי' אות </w:t>
      </w:r>
      <w:r w:rsidRPr="00B030F7">
        <w:rPr>
          <w:rStyle w:val="af7"/>
          <w:rFonts w:eastAsia="Guttman Hodes"/>
          <w:rtl/>
        </w:rPr>
        <w:fldChar w:fldCharType="begin"/>
      </w:r>
      <w:r w:rsidRPr="00B030F7">
        <w:rPr>
          <w:rStyle w:val="af7"/>
          <w:rFonts w:eastAsia="Guttman Hodes"/>
          <w:rtl/>
        </w:rPr>
        <w:instrText xml:space="preserve"> </w:instrText>
      </w:r>
      <w:r w:rsidRPr="00B030F7">
        <w:rPr>
          <w:rStyle w:val="af7"/>
          <w:rFonts w:eastAsia="Guttman Hodes" w:hint="cs"/>
        </w:rPr>
        <w:instrText>REF</w:instrText>
      </w:r>
      <w:r w:rsidRPr="00B030F7">
        <w:rPr>
          <w:rStyle w:val="af7"/>
          <w:rFonts w:eastAsia="Guttman Hodes" w:hint="cs"/>
          <w:rtl/>
        </w:rPr>
        <w:instrText xml:space="preserve"> _</w:instrText>
      </w:r>
      <w:r w:rsidRPr="00B030F7">
        <w:rPr>
          <w:rStyle w:val="af7"/>
          <w:rFonts w:eastAsia="Guttman Hodes" w:hint="cs"/>
        </w:rPr>
        <w:instrText>Ref61771465 \r \h</w:instrText>
      </w:r>
      <w:r w:rsidRPr="00B030F7">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030F7">
        <w:rPr>
          <w:rStyle w:val="af7"/>
          <w:rFonts w:eastAsia="Guttman Hodes"/>
          <w:rtl/>
        </w:rPr>
      </w:r>
      <w:r w:rsidRPr="00B030F7">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B030F7">
        <w:rPr>
          <w:rStyle w:val="af7"/>
          <w:rFonts w:eastAsia="Guttman Hodes"/>
          <w:rtl/>
        </w:rPr>
        <w:fldChar w:fldCharType="end"/>
      </w:r>
      <w:r>
        <w:rPr>
          <w:rFonts w:hint="cs"/>
          <w:rtl/>
        </w:rPr>
        <w:t xml:space="preserve"> דבמשנה בשבועות </w:t>
      </w:r>
      <w:r w:rsidRPr="00652FFA">
        <w:rPr>
          <w:rStyle w:val="af7"/>
          <w:rFonts w:eastAsia="Guttman Hodes" w:hint="cs"/>
          <w:rtl/>
        </w:rPr>
        <w:t>(לח:)</w:t>
      </w:r>
      <w:r>
        <w:rPr>
          <w:rFonts w:hint="cs"/>
          <w:rtl/>
        </w:rPr>
        <w:t xml:space="preserve"> מוכח דלא מהני מיגו במקום עדים, דתנן התם דהמודה שחייב לחבירו, אינו נאמן אח"כ לטעון להד"ם במיגו דהיה טוען פרעתי, הביא </w:t>
      </w:r>
      <w:r w:rsidRPr="00AA7176">
        <w:rPr>
          <w:rStyle w:val="af9"/>
          <w:rFonts w:hint="cs"/>
          <w:rtl/>
        </w:rPr>
        <w:t>הנחל</w:t>
      </w:r>
      <w:r>
        <w:rPr>
          <w:rFonts w:hint="cs"/>
          <w:rtl/>
        </w:rPr>
        <w:t xml:space="preserve"> </w:t>
      </w:r>
      <w:r w:rsidRPr="00AA7176">
        <w:rPr>
          <w:rStyle w:val="af9"/>
          <w:rFonts w:hint="cs"/>
          <w:rtl/>
        </w:rPr>
        <w:t>יצחק</w:t>
      </w:r>
      <w:r>
        <w:rPr>
          <w:rFonts w:hint="cs"/>
          <w:rtl/>
        </w:rPr>
        <w:t xml:space="preserve"> </w:t>
      </w:r>
      <w:r w:rsidRPr="00652FFA">
        <w:rPr>
          <w:rStyle w:val="af7"/>
          <w:rFonts w:eastAsia="Guttman Hodes" w:hint="cs"/>
          <w:rtl/>
        </w:rPr>
        <w:t>(חו"מ סי' פ"א או' ה' [סעיף כ"ג] ריש ענף א')</w:t>
      </w:r>
      <w:r>
        <w:rPr>
          <w:rFonts w:hint="cs"/>
          <w:rtl/>
        </w:rPr>
        <w:t xml:space="preserve"> את </w:t>
      </w:r>
      <w:r w:rsidRPr="006E546C">
        <w:rPr>
          <w:rStyle w:val="af9"/>
          <w:rFonts w:hint="cs"/>
          <w:rtl/>
        </w:rPr>
        <w:t xml:space="preserve">דברי התוס' בגיטין </w:t>
      </w:r>
      <w:r w:rsidRPr="00652FFA">
        <w:rPr>
          <w:rStyle w:val="af7"/>
          <w:rFonts w:eastAsia="Guttman Hodes" w:hint="cs"/>
          <w:rtl/>
        </w:rPr>
        <w:t>(יד. ד"ה</w:t>
      </w:r>
      <w:r>
        <w:rPr>
          <w:rFonts w:hint="cs"/>
          <w:rtl/>
        </w:rPr>
        <w:t xml:space="preserve"> </w:t>
      </w:r>
      <w:r w:rsidRPr="00652FFA">
        <w:rPr>
          <w:rStyle w:val="af7"/>
          <w:rFonts w:eastAsia="Guttman Hodes" w:hint="cs"/>
          <w:rtl/>
        </w:rPr>
        <w:t>ולא)</w:t>
      </w:r>
      <w:r>
        <w:rPr>
          <w:rFonts w:hint="cs"/>
          <w:rtl/>
        </w:rPr>
        <w:t xml:space="preserve"> דכתבו דהא דאינו נאמן לטעון להד"ם היינו דאינו נאמן לטעון טעיתי. </w:t>
      </w:r>
      <w:r w:rsidRPr="009A5C26">
        <w:rPr>
          <w:rStyle w:val="afb"/>
          <w:rFonts w:hint="cs"/>
          <w:rtl/>
        </w:rPr>
        <w:t xml:space="preserve">[ולא כדביאר </w:t>
      </w:r>
      <w:r w:rsidRPr="009A5C26">
        <w:rPr>
          <w:rStyle w:val="affa"/>
          <w:rFonts w:hint="cs"/>
          <w:rtl/>
        </w:rPr>
        <w:t>הגרעק"א</w:t>
      </w:r>
      <w:r w:rsidRPr="009A5C26">
        <w:rPr>
          <w:rStyle w:val="afb"/>
          <w:rFonts w:hint="cs"/>
          <w:rtl/>
        </w:rPr>
        <w:t xml:space="preserve"> </w:t>
      </w:r>
      <w:r w:rsidRPr="00C0523A">
        <w:rPr>
          <w:rStyle w:val="aff6"/>
          <w:rFonts w:hint="cs"/>
          <w:rtl/>
        </w:rPr>
        <w:t xml:space="preserve">(עי' אות </w:t>
      </w:r>
      <w:r w:rsidRPr="00C0523A">
        <w:rPr>
          <w:rStyle w:val="aff6"/>
          <w:rtl/>
        </w:rPr>
        <w:fldChar w:fldCharType="begin"/>
      </w:r>
      <w:r w:rsidRPr="00C0523A">
        <w:rPr>
          <w:rStyle w:val="aff6"/>
          <w:rtl/>
        </w:rPr>
        <w:instrText xml:space="preserve"> </w:instrText>
      </w:r>
      <w:r w:rsidRPr="00C0523A">
        <w:rPr>
          <w:rStyle w:val="aff6"/>
          <w:rFonts w:hint="cs"/>
        </w:rPr>
        <w:instrText>REF</w:instrText>
      </w:r>
      <w:r w:rsidRPr="00C0523A">
        <w:rPr>
          <w:rStyle w:val="aff6"/>
          <w:rFonts w:hint="cs"/>
          <w:rtl/>
        </w:rPr>
        <w:instrText xml:space="preserve"> _</w:instrText>
      </w:r>
      <w:r w:rsidRPr="00C0523A">
        <w:rPr>
          <w:rStyle w:val="aff6"/>
          <w:rFonts w:hint="cs"/>
        </w:rPr>
        <w:instrText>Ref61771457 \r \h</w:instrText>
      </w:r>
      <w:r w:rsidRPr="00C0523A">
        <w:rPr>
          <w:rStyle w:val="aff6"/>
          <w:rtl/>
        </w:rPr>
        <w:instrText xml:space="preserve"> </w:instrText>
      </w:r>
      <w:r w:rsidRPr="00C0523A">
        <w:rPr>
          <w:rStyle w:val="aff6"/>
          <w:rtl/>
        </w:rPr>
      </w:r>
      <w:r w:rsidRPr="00C0523A">
        <w:rPr>
          <w:rStyle w:val="aff6"/>
          <w:rtl/>
        </w:rPr>
        <w:fldChar w:fldCharType="separate"/>
      </w:r>
      <w:r w:rsidR="00265073">
        <w:rPr>
          <w:rStyle w:val="aff6"/>
          <w:cs/>
        </w:rPr>
        <w:t>‎</w:t>
      </w:r>
      <w:r w:rsidR="00265073">
        <w:rPr>
          <w:rStyle w:val="aff6"/>
          <w:rtl/>
        </w:rPr>
        <w:t>מ)</w:t>
      </w:r>
      <w:r w:rsidRPr="00C0523A">
        <w:rPr>
          <w:rStyle w:val="aff6"/>
          <w:rtl/>
        </w:rPr>
        <w:fldChar w:fldCharType="end"/>
      </w:r>
      <w:r w:rsidRPr="009A5C26">
        <w:rPr>
          <w:rStyle w:val="afb"/>
          <w:rFonts w:hint="cs"/>
          <w:rtl/>
        </w:rPr>
        <w:t xml:space="preserve"> דאינו נאמן לטעון שלא הודה כלל</w:t>
      </w:r>
      <w:r>
        <w:rPr>
          <w:rStyle w:val="afb"/>
          <w:rFonts w:hint="cs"/>
          <w:rtl/>
        </w:rPr>
        <w:t>, ולא כד</w:t>
      </w:r>
      <w:r w:rsidRPr="00BF24E1">
        <w:rPr>
          <w:rStyle w:val="afb"/>
          <w:rFonts w:hint="cs"/>
          <w:rtl/>
        </w:rPr>
        <w:t xml:space="preserve">ביאר </w:t>
      </w:r>
      <w:r w:rsidRPr="00BF24E1">
        <w:rPr>
          <w:rStyle w:val="affa"/>
          <w:rFonts w:hint="cs"/>
          <w:rtl/>
        </w:rPr>
        <w:t>הגר"ח מטעלז</w:t>
      </w:r>
      <w:r w:rsidRPr="00BF24E1">
        <w:rPr>
          <w:rStyle w:val="afb"/>
          <w:rFonts w:hint="cs"/>
          <w:rtl/>
        </w:rPr>
        <w:t xml:space="preserve"> </w:t>
      </w:r>
      <w:r w:rsidRPr="00DB616A">
        <w:rPr>
          <w:rStyle w:val="aff6"/>
          <w:rFonts w:hint="cs"/>
          <w:rtl/>
        </w:rPr>
        <w:t>(עי' או</w:t>
      </w:r>
      <w:r w:rsidRPr="00830480">
        <w:rPr>
          <w:rStyle w:val="aff6"/>
          <w:rFonts w:hint="cs"/>
          <w:rtl/>
        </w:rPr>
        <w:t xml:space="preserve">ת </w:t>
      </w:r>
      <w:r w:rsidRPr="00830480">
        <w:rPr>
          <w:rStyle w:val="aff6"/>
          <w:rtl/>
        </w:rPr>
        <w:fldChar w:fldCharType="begin"/>
      </w:r>
      <w:r w:rsidRPr="00830480">
        <w:rPr>
          <w:rStyle w:val="aff6"/>
          <w:rtl/>
        </w:rPr>
        <w:instrText xml:space="preserve"> </w:instrText>
      </w:r>
      <w:r w:rsidRPr="00830480">
        <w:rPr>
          <w:rStyle w:val="aff6"/>
          <w:rFonts w:hint="cs"/>
        </w:rPr>
        <w:instrText>REF</w:instrText>
      </w:r>
      <w:r w:rsidRPr="00830480">
        <w:rPr>
          <w:rStyle w:val="aff6"/>
          <w:rFonts w:hint="cs"/>
          <w:rtl/>
        </w:rPr>
        <w:instrText xml:space="preserve"> _</w:instrText>
      </w:r>
      <w:r w:rsidRPr="00830480">
        <w:rPr>
          <w:rStyle w:val="aff6"/>
          <w:rFonts w:hint="cs"/>
        </w:rPr>
        <w:instrText>Ref61885229 \r \h</w:instrText>
      </w:r>
      <w:r w:rsidRPr="00830480">
        <w:rPr>
          <w:rStyle w:val="aff6"/>
          <w:rtl/>
        </w:rPr>
        <w:instrText xml:space="preserve"> </w:instrText>
      </w:r>
      <w:r w:rsidRPr="00830480">
        <w:rPr>
          <w:rStyle w:val="aff6"/>
          <w:rtl/>
        </w:rPr>
      </w:r>
      <w:r w:rsidRPr="00830480">
        <w:rPr>
          <w:rStyle w:val="aff6"/>
          <w:rtl/>
        </w:rPr>
        <w:fldChar w:fldCharType="separate"/>
      </w:r>
      <w:r w:rsidR="00265073">
        <w:rPr>
          <w:rStyle w:val="aff6"/>
          <w:cs/>
        </w:rPr>
        <w:t>‎</w:t>
      </w:r>
      <w:r w:rsidR="00265073">
        <w:rPr>
          <w:rStyle w:val="aff6"/>
          <w:rtl/>
        </w:rPr>
        <w:t>עה)</w:t>
      </w:r>
      <w:r w:rsidRPr="00830480">
        <w:rPr>
          <w:rStyle w:val="aff6"/>
          <w:rtl/>
        </w:rPr>
        <w:fldChar w:fldCharType="end"/>
      </w:r>
      <w:r>
        <w:rPr>
          <w:rStyle w:val="aff6"/>
          <w:rFonts w:hint="cs"/>
          <w:rtl/>
        </w:rPr>
        <w:t xml:space="preserve"> </w:t>
      </w:r>
      <w:r w:rsidRPr="00830480">
        <w:rPr>
          <w:rStyle w:val="afb"/>
          <w:rFonts w:hint="cs"/>
          <w:rtl/>
        </w:rPr>
        <w:t xml:space="preserve">בדעת </w:t>
      </w:r>
      <w:r>
        <w:rPr>
          <w:rStyle w:val="affa"/>
          <w:rFonts w:hint="cs"/>
          <w:rtl/>
        </w:rPr>
        <w:t>הרשב"ם ותוס'</w:t>
      </w:r>
      <w:r w:rsidRPr="00BF24E1">
        <w:rPr>
          <w:rStyle w:val="afb"/>
          <w:rFonts w:hint="cs"/>
          <w:rtl/>
        </w:rPr>
        <w:t xml:space="preserve"> </w:t>
      </w:r>
      <w:r>
        <w:rPr>
          <w:rStyle w:val="afb"/>
          <w:rFonts w:hint="cs"/>
          <w:rtl/>
        </w:rPr>
        <w:t xml:space="preserve">דטוען </w:t>
      </w:r>
      <w:r w:rsidRPr="00BF24E1">
        <w:rPr>
          <w:rStyle w:val="afb"/>
          <w:rFonts w:hint="cs"/>
          <w:rtl/>
        </w:rPr>
        <w:t>שהיה משטה בו במה שהודה</w:t>
      </w:r>
      <w:r w:rsidRPr="009A5C26">
        <w:rPr>
          <w:rStyle w:val="afb"/>
          <w:rFonts w:hint="cs"/>
          <w:rtl/>
        </w:rPr>
        <w:t>].</w:t>
      </w:r>
      <w:bookmarkEnd w:id="12560"/>
    </w:p>
    <w:p w:rsidR="00C34249" w:rsidRPr="008014AD" w:rsidRDefault="00C34249" w:rsidP="00C34249">
      <w:pPr>
        <w:pStyle w:val="a3"/>
        <w:rPr>
          <w:rtl/>
        </w:rPr>
      </w:pPr>
      <w:bookmarkStart w:id="12561" w:name="_Toc61861438"/>
      <w:bookmarkStart w:id="12562" w:name="_Toc61867399"/>
      <w:bookmarkStart w:id="12563" w:name="_Toc61867505"/>
      <w:bookmarkStart w:id="12564" w:name="_Toc61887874"/>
      <w:r>
        <w:rPr>
          <w:rFonts w:hint="cs"/>
          <w:rtl/>
        </w:rPr>
        <w:t>תירוץ הנחל יצחק דלרבה ורב חסדא מהני מיגו במק"ע אך לא בטענת טעיתי דהוא במקום אנ"ס</w:t>
      </w:r>
      <w:bookmarkEnd w:id="12561"/>
      <w:bookmarkEnd w:id="12562"/>
      <w:bookmarkEnd w:id="12563"/>
      <w:bookmarkEnd w:id="12564"/>
    </w:p>
    <w:p w:rsidR="00C34249" w:rsidRDefault="00C34249" w:rsidP="007E4E81">
      <w:pPr>
        <w:pStyle w:val="a0"/>
        <w:rPr>
          <w:rtl/>
        </w:rPr>
      </w:pPr>
      <w:bookmarkStart w:id="12565" w:name="_Ref61858161"/>
      <w:r>
        <w:rPr>
          <w:rFonts w:hint="cs"/>
          <w:rtl/>
        </w:rPr>
        <w:t xml:space="preserve">וכתב </w:t>
      </w:r>
      <w:r w:rsidRPr="004777E9">
        <w:rPr>
          <w:rStyle w:val="af9"/>
          <w:rFonts w:hint="cs"/>
          <w:rtl/>
        </w:rPr>
        <w:t>הנחל</w:t>
      </w:r>
      <w:r>
        <w:rPr>
          <w:rFonts w:hint="cs"/>
          <w:rtl/>
        </w:rPr>
        <w:t xml:space="preserve"> </w:t>
      </w:r>
      <w:r w:rsidRPr="004777E9">
        <w:rPr>
          <w:rStyle w:val="af9"/>
          <w:rFonts w:hint="cs"/>
          <w:rtl/>
        </w:rPr>
        <w:t>יצחק</w:t>
      </w:r>
      <w:r>
        <w:rPr>
          <w:rFonts w:hint="cs"/>
          <w:rtl/>
        </w:rPr>
        <w:t xml:space="preserve"> </w:t>
      </w:r>
      <w:r w:rsidRPr="00652FFA">
        <w:rPr>
          <w:rStyle w:val="af7"/>
          <w:rFonts w:eastAsia="Guttman Hodes" w:hint="cs"/>
          <w:rtl/>
        </w:rPr>
        <w:t>(חו"מ סי' פ"א או' ה' [סעיף כ"ג] ריש ענף א' ד"ה ויש ליישב)</w:t>
      </w:r>
      <w:r>
        <w:rPr>
          <w:rFonts w:hint="cs"/>
          <w:rtl/>
        </w:rPr>
        <w:t xml:space="preserve"> דלפי"ז אפשר לתרץ דלדעת רבה ורב חסדא דס"ל דאמרינן מיגו במקום </w:t>
      </w:r>
      <w:r>
        <w:rPr>
          <w:rFonts w:hint="cs"/>
          <w:rtl/>
        </w:rPr>
        <w:t>עדים, היינו דדוקא כנגד עדים מהני מיגו, אבל כנגד אנן סהדי כו"ע מודו דלא מהני מיגו, ובאומר טעיתי אנן סהדי דאינו נאמן לומר כן דהוא דבר גלוי לכל שלא טעה, ולכן בגמ' בשבועות אינו נאמן לטעון להד"ם דהיינו טעיתי במיגו דפרעתי, כיון שהוא נגד אנן סהדי.</w:t>
      </w:r>
      <w:bookmarkEnd w:id="12565"/>
    </w:p>
    <w:p w:rsidR="00C34249" w:rsidRPr="00A6375B" w:rsidRDefault="00C34249" w:rsidP="00C34249">
      <w:pPr>
        <w:pStyle w:val="a3"/>
        <w:rPr>
          <w:rtl/>
        </w:rPr>
      </w:pPr>
      <w:bookmarkStart w:id="12566" w:name="_Toc61861439"/>
      <w:bookmarkStart w:id="12567" w:name="_Toc61867400"/>
      <w:bookmarkStart w:id="12568" w:name="_Toc61867506"/>
      <w:bookmarkStart w:id="12569" w:name="_Toc61887875"/>
      <w:r>
        <w:rPr>
          <w:rFonts w:hint="cs"/>
          <w:rtl/>
        </w:rPr>
        <w:t>ביאור הנחל יצחק דבמק"ע אין אנו יודעים האמת אבל באנ"ס אנו יודעים שהוא משקר ול"מ מיגו</w:t>
      </w:r>
      <w:bookmarkEnd w:id="12566"/>
      <w:bookmarkEnd w:id="12567"/>
      <w:bookmarkEnd w:id="12568"/>
      <w:bookmarkEnd w:id="12569"/>
    </w:p>
    <w:p w:rsidR="00C34249" w:rsidRPr="003924A8" w:rsidRDefault="00C34249" w:rsidP="007E4E81">
      <w:pPr>
        <w:pStyle w:val="a0"/>
        <w:rPr>
          <w:rtl/>
        </w:rPr>
      </w:pPr>
      <w:r>
        <w:rPr>
          <w:rFonts w:hint="cs"/>
          <w:rtl/>
        </w:rPr>
        <w:t xml:space="preserve">וביאר </w:t>
      </w:r>
      <w:r w:rsidRPr="004777E9">
        <w:rPr>
          <w:rStyle w:val="af9"/>
          <w:rFonts w:hint="cs"/>
          <w:rtl/>
        </w:rPr>
        <w:t>הנחל</w:t>
      </w:r>
      <w:r>
        <w:rPr>
          <w:rFonts w:hint="cs"/>
          <w:rtl/>
        </w:rPr>
        <w:t xml:space="preserve"> </w:t>
      </w:r>
      <w:r w:rsidRPr="004777E9">
        <w:rPr>
          <w:rStyle w:val="af9"/>
          <w:rFonts w:hint="cs"/>
          <w:rtl/>
        </w:rPr>
        <w:t>יצחק</w:t>
      </w:r>
      <w:r w:rsidRPr="00652FFA">
        <w:rPr>
          <w:rStyle w:val="af7"/>
          <w:rFonts w:eastAsia="Guttman Hodes" w:hint="cs"/>
          <w:rtl/>
        </w:rPr>
        <w:t xml:space="preserve"> (חו"מ סי' פ"א או' ה' [סעיף כ"ג] ריש ענף א' ד"ה וראיה) </w:t>
      </w:r>
      <w:r>
        <w:rPr>
          <w:rFonts w:hint="cs"/>
          <w:rtl/>
        </w:rPr>
        <w:t>דבמקום שאנחנו לא יודעים מה האמת, אלא שיש עדות שכך היה, בכה"ג ס"ל לרבה ורב חסדא דנאמן במיגו</w:t>
      </w:r>
      <w:r w:rsidRPr="003924A8">
        <w:rPr>
          <w:rFonts w:hint="cs"/>
          <w:rtl/>
        </w:rPr>
        <w:t xml:space="preserve">, אבל במקום אנן סהדי דאנחנו יודעים מהי האמת, לא מהני מיגו לכו"ע, וכן ביאר </w:t>
      </w:r>
      <w:r w:rsidRPr="003924A8">
        <w:rPr>
          <w:rStyle w:val="af9"/>
          <w:rFonts w:hint="cs"/>
          <w:rtl/>
        </w:rPr>
        <w:t>הנחל יצחק</w:t>
      </w:r>
      <w:r w:rsidRPr="003924A8">
        <w:rPr>
          <w:rFonts w:hint="cs"/>
          <w:rtl/>
        </w:rPr>
        <w:t xml:space="preserve"> </w:t>
      </w:r>
      <w:r w:rsidRPr="003924A8">
        <w:rPr>
          <w:rStyle w:val="af7"/>
          <w:rFonts w:eastAsia="Guttman Hodes" w:hint="cs"/>
          <w:rtl/>
        </w:rPr>
        <w:t xml:space="preserve">(עי' אות </w:t>
      </w:r>
      <w:r w:rsidRPr="003924A8">
        <w:rPr>
          <w:rStyle w:val="af7"/>
          <w:rFonts w:eastAsia="Guttman Hodes"/>
          <w:rtl/>
        </w:rPr>
        <w:fldChar w:fldCharType="begin"/>
      </w:r>
      <w:r w:rsidRPr="003924A8">
        <w:rPr>
          <w:rStyle w:val="af7"/>
          <w:rFonts w:eastAsia="Guttman Hodes"/>
          <w:rtl/>
        </w:rPr>
        <w:instrText xml:space="preserve"> </w:instrText>
      </w:r>
      <w:r w:rsidRPr="003924A8">
        <w:rPr>
          <w:rStyle w:val="af7"/>
          <w:rFonts w:eastAsia="Guttman Hodes" w:hint="cs"/>
        </w:rPr>
        <w:instrText>REF</w:instrText>
      </w:r>
      <w:r w:rsidRPr="003924A8">
        <w:rPr>
          <w:rStyle w:val="af7"/>
          <w:rFonts w:eastAsia="Guttman Hodes" w:hint="cs"/>
          <w:rtl/>
        </w:rPr>
        <w:instrText xml:space="preserve"> _</w:instrText>
      </w:r>
      <w:r w:rsidRPr="003924A8">
        <w:rPr>
          <w:rStyle w:val="af7"/>
          <w:rFonts w:eastAsia="Guttman Hodes" w:hint="cs"/>
        </w:rPr>
        <w:instrText>Ref61857809 \r \h</w:instrText>
      </w:r>
      <w:r w:rsidRPr="003924A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924A8">
        <w:rPr>
          <w:rStyle w:val="af7"/>
          <w:rFonts w:eastAsia="Guttman Hodes"/>
          <w:rtl/>
        </w:rPr>
      </w:r>
      <w:r w:rsidRPr="003924A8">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3924A8">
        <w:rPr>
          <w:rStyle w:val="af7"/>
          <w:rFonts w:eastAsia="Guttman Hodes"/>
          <w:rtl/>
        </w:rPr>
        <w:fldChar w:fldCharType="end"/>
      </w:r>
      <w:r w:rsidRPr="003924A8">
        <w:rPr>
          <w:rFonts w:hint="cs"/>
          <w:rtl/>
        </w:rPr>
        <w:t xml:space="preserve"> בדברי </w:t>
      </w:r>
      <w:r w:rsidRPr="003924A8">
        <w:rPr>
          <w:rStyle w:val="af9"/>
          <w:rFonts w:hint="cs"/>
          <w:rtl/>
        </w:rPr>
        <w:t>הרשב"ם לקמן</w:t>
      </w:r>
      <w:r w:rsidRPr="003924A8">
        <w:rPr>
          <w:rFonts w:hint="cs"/>
          <w:rtl/>
        </w:rPr>
        <w:t xml:space="preserve">, וע"ע במ"ש בזה </w:t>
      </w:r>
      <w:r w:rsidRPr="003924A8">
        <w:rPr>
          <w:rStyle w:val="af9"/>
          <w:rFonts w:hint="cs"/>
          <w:rtl/>
        </w:rPr>
        <w:t>בחי' הגר"ח מטעלז</w:t>
      </w:r>
      <w:r w:rsidRPr="003924A8">
        <w:rPr>
          <w:rFonts w:hint="cs"/>
          <w:rtl/>
        </w:rPr>
        <w:t xml:space="preserve"> </w:t>
      </w:r>
      <w:r w:rsidRPr="003924A8">
        <w:rPr>
          <w:rStyle w:val="af7"/>
          <w:rFonts w:eastAsia="Guttman Hodes" w:hint="cs"/>
          <w:rtl/>
        </w:rPr>
        <w:t xml:space="preserve">(עי' אות </w:t>
      </w:r>
      <w:r w:rsidRPr="003924A8">
        <w:rPr>
          <w:rStyle w:val="af7"/>
          <w:rFonts w:eastAsia="Guttman Hodes"/>
          <w:rtl/>
        </w:rPr>
        <w:fldChar w:fldCharType="begin"/>
      </w:r>
      <w:r w:rsidRPr="003924A8">
        <w:rPr>
          <w:rStyle w:val="af7"/>
          <w:rFonts w:eastAsia="Guttman Hodes"/>
          <w:rtl/>
        </w:rPr>
        <w:instrText xml:space="preserve"> </w:instrText>
      </w:r>
      <w:r w:rsidRPr="003924A8">
        <w:rPr>
          <w:rStyle w:val="af7"/>
          <w:rFonts w:eastAsia="Guttman Hodes" w:hint="cs"/>
        </w:rPr>
        <w:instrText>REF</w:instrText>
      </w:r>
      <w:r w:rsidRPr="003924A8">
        <w:rPr>
          <w:rStyle w:val="af7"/>
          <w:rFonts w:eastAsia="Guttman Hodes" w:hint="cs"/>
          <w:rtl/>
        </w:rPr>
        <w:instrText xml:space="preserve"> _</w:instrText>
      </w:r>
      <w:r w:rsidRPr="003924A8">
        <w:rPr>
          <w:rStyle w:val="af7"/>
          <w:rFonts w:eastAsia="Guttman Hodes" w:hint="cs"/>
        </w:rPr>
        <w:instrText>Ref61884465 \r \h</w:instrText>
      </w:r>
      <w:r w:rsidRPr="003924A8">
        <w:rPr>
          <w:rStyle w:val="af7"/>
          <w:rFonts w:eastAsia="Guttman Hodes"/>
          <w:rtl/>
        </w:rPr>
        <w:instrText xml:space="preserve"> </w:instrText>
      </w:r>
      <w:r w:rsidRPr="003924A8">
        <w:rPr>
          <w:rStyle w:val="af7"/>
          <w:rFonts w:eastAsia="Guttman Hodes"/>
          <w:rtl/>
        </w:rPr>
      </w:r>
      <w:r w:rsidRPr="003924A8">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3924A8">
        <w:rPr>
          <w:rStyle w:val="af7"/>
          <w:rFonts w:eastAsia="Guttman Hodes"/>
          <w:rtl/>
        </w:rPr>
        <w:fldChar w:fldCharType="end"/>
      </w:r>
      <w:r w:rsidRPr="003924A8">
        <w:rPr>
          <w:rFonts w:hint="cs"/>
          <w:rtl/>
        </w:rPr>
        <w:t xml:space="preserve"> </w:t>
      </w:r>
      <w:r w:rsidRPr="003924A8">
        <w:rPr>
          <w:rStyle w:val="af9"/>
          <w:rFonts w:hint="cs"/>
          <w:rtl/>
        </w:rPr>
        <w:t>ובחי' רבי נחום</w:t>
      </w:r>
      <w:r w:rsidRPr="003924A8">
        <w:rPr>
          <w:rFonts w:hint="cs"/>
          <w:rtl/>
        </w:rPr>
        <w:t xml:space="preserve"> </w:t>
      </w:r>
      <w:r w:rsidRPr="003924A8">
        <w:rPr>
          <w:rStyle w:val="af7"/>
          <w:rFonts w:eastAsia="Guttman Hodes" w:hint="cs"/>
          <w:rtl/>
        </w:rPr>
        <w:t xml:space="preserve">(עי' אות </w:t>
      </w:r>
      <w:r w:rsidRPr="003924A8">
        <w:rPr>
          <w:rStyle w:val="af7"/>
          <w:rFonts w:eastAsia="Guttman Hodes"/>
          <w:rtl/>
        </w:rPr>
        <w:fldChar w:fldCharType="begin"/>
      </w:r>
      <w:r w:rsidRPr="003924A8">
        <w:rPr>
          <w:rStyle w:val="af7"/>
          <w:rFonts w:eastAsia="Guttman Hodes"/>
          <w:rtl/>
        </w:rPr>
        <w:instrText xml:space="preserve"> </w:instrText>
      </w:r>
      <w:r w:rsidRPr="003924A8">
        <w:rPr>
          <w:rStyle w:val="af7"/>
          <w:rFonts w:eastAsia="Guttman Hodes" w:hint="cs"/>
        </w:rPr>
        <w:instrText>REF</w:instrText>
      </w:r>
      <w:r w:rsidRPr="003924A8">
        <w:rPr>
          <w:rStyle w:val="af7"/>
          <w:rFonts w:eastAsia="Guttman Hodes" w:hint="cs"/>
          <w:rtl/>
        </w:rPr>
        <w:instrText xml:space="preserve"> _</w:instrText>
      </w:r>
      <w:r w:rsidRPr="003924A8">
        <w:rPr>
          <w:rStyle w:val="af7"/>
          <w:rFonts w:eastAsia="Guttman Hodes" w:hint="cs"/>
        </w:rPr>
        <w:instrText>Ref61887767 \r \h</w:instrText>
      </w:r>
      <w:r w:rsidRPr="003924A8">
        <w:rPr>
          <w:rStyle w:val="af7"/>
          <w:rFonts w:eastAsia="Guttman Hodes"/>
          <w:rtl/>
        </w:rPr>
        <w:instrText xml:space="preserve"> </w:instrText>
      </w:r>
      <w:r w:rsidRPr="003924A8">
        <w:rPr>
          <w:rStyle w:val="af7"/>
          <w:rFonts w:eastAsia="Guttman Hodes"/>
          <w:rtl/>
        </w:rPr>
      </w:r>
      <w:r w:rsidRPr="003924A8">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3924A8">
        <w:rPr>
          <w:rStyle w:val="af7"/>
          <w:rFonts w:eastAsia="Guttman Hodes"/>
          <w:rtl/>
        </w:rPr>
        <w:fldChar w:fldCharType="end"/>
      </w:r>
      <w:r w:rsidRPr="003924A8">
        <w:rPr>
          <w:rFonts w:hint="cs"/>
          <w:rtl/>
        </w:rPr>
        <w:t>.</w:t>
      </w:r>
    </w:p>
    <w:p w:rsidR="00C34249" w:rsidRPr="00F14DA7" w:rsidRDefault="00C34249" w:rsidP="00C34249">
      <w:pPr>
        <w:pStyle w:val="1"/>
        <w:rPr>
          <w:rtl/>
        </w:rPr>
      </w:pPr>
      <w:bookmarkStart w:id="12570" w:name="_Toc61867402"/>
      <w:bookmarkStart w:id="12571" w:name="_Toc61867508"/>
      <w:bookmarkStart w:id="12572" w:name="_Toc61887876"/>
      <w:bookmarkStart w:id="12573" w:name="_Toc61861440"/>
      <w:r>
        <w:rPr>
          <w:rFonts w:hint="cs"/>
          <w:rtl/>
        </w:rPr>
        <w:t>קושיות רבינו יונה והרשב"א</w:t>
      </w:r>
      <w:bookmarkEnd w:id="12570"/>
      <w:bookmarkEnd w:id="12571"/>
      <w:r>
        <w:rPr>
          <w:rFonts w:hint="cs"/>
          <w:rtl/>
        </w:rPr>
        <w:t xml:space="preserve"> והריטב"א דא"א לומר מיגו במק"ע</w:t>
      </w:r>
      <w:bookmarkEnd w:id="12572"/>
    </w:p>
    <w:p w:rsidR="00C34249" w:rsidRPr="00A220D7" w:rsidRDefault="00C34249" w:rsidP="00C34249">
      <w:pPr>
        <w:pStyle w:val="a3"/>
        <w:rPr>
          <w:rtl/>
        </w:rPr>
      </w:pPr>
      <w:bookmarkStart w:id="12574" w:name="_Toc61867403"/>
      <w:bookmarkStart w:id="12575" w:name="_Toc61867509"/>
      <w:bookmarkStart w:id="12576" w:name="_Toc61887877"/>
      <w:r>
        <w:rPr>
          <w:rFonts w:hint="cs"/>
          <w:rtl/>
        </w:rPr>
        <w:t>קושית רבינו יונה והרשב"א דמוכח בכתובות דלא אמרינן מיגו במקום עדים</w:t>
      </w:r>
      <w:bookmarkEnd w:id="12574"/>
      <w:bookmarkEnd w:id="12575"/>
      <w:bookmarkEnd w:id="12576"/>
    </w:p>
    <w:p w:rsidR="00C34249" w:rsidRDefault="00C34249" w:rsidP="007E4E81">
      <w:pPr>
        <w:pStyle w:val="a0"/>
        <w:rPr>
          <w:rtl/>
        </w:rPr>
      </w:pPr>
      <w:bookmarkStart w:id="12577" w:name="_Ref61865688"/>
      <w:r>
        <w:rPr>
          <w:rFonts w:hint="cs"/>
          <w:rtl/>
        </w:rPr>
        <w:t xml:space="preserve">הקשו </w:t>
      </w:r>
      <w:r w:rsidRPr="004777E9">
        <w:rPr>
          <w:rStyle w:val="af9"/>
          <w:rFonts w:hint="cs"/>
          <w:rtl/>
        </w:rPr>
        <w:t>רבינו</w:t>
      </w:r>
      <w:r>
        <w:rPr>
          <w:rFonts w:hint="cs"/>
          <w:rtl/>
        </w:rPr>
        <w:t xml:space="preserve"> </w:t>
      </w:r>
      <w:r w:rsidRPr="004777E9">
        <w:rPr>
          <w:rStyle w:val="af9"/>
          <w:rFonts w:hint="cs"/>
          <w:rtl/>
        </w:rPr>
        <w:t>יונה</w:t>
      </w:r>
      <w:r>
        <w:rPr>
          <w:rFonts w:hint="cs"/>
          <w:rtl/>
        </w:rPr>
        <w:t xml:space="preserve"> </w:t>
      </w:r>
      <w:r w:rsidRPr="00652FFA">
        <w:rPr>
          <w:rStyle w:val="af7"/>
          <w:rFonts w:eastAsia="Guttman Hodes" w:hint="cs"/>
          <w:rtl/>
        </w:rPr>
        <w:t>(סוד"ה זה)</w:t>
      </w:r>
      <w:r>
        <w:rPr>
          <w:rFonts w:hint="cs"/>
          <w:rtl/>
        </w:rPr>
        <w:t xml:space="preserve"> </w:t>
      </w:r>
      <w:r w:rsidRPr="004777E9">
        <w:rPr>
          <w:rStyle w:val="af9"/>
          <w:rFonts w:hint="cs"/>
          <w:rtl/>
        </w:rPr>
        <w:t>והרשב"א</w:t>
      </w:r>
      <w:r>
        <w:rPr>
          <w:rFonts w:hint="cs"/>
          <w:rtl/>
        </w:rPr>
        <w:t xml:space="preserve"> </w:t>
      </w:r>
      <w:r w:rsidRPr="00652FFA">
        <w:rPr>
          <w:rStyle w:val="af7"/>
          <w:rFonts w:eastAsia="Guttman Hodes" w:hint="cs"/>
          <w:rtl/>
        </w:rPr>
        <w:t>(ד"ה אמר)</w:t>
      </w:r>
      <w:r>
        <w:rPr>
          <w:rFonts w:hint="cs"/>
          <w:rtl/>
        </w:rPr>
        <w:t xml:space="preserve"> דהיאך סבר רבה בהו"א דנאמן במיגו במקום עדים, והא תנן בכתובות </w:t>
      </w:r>
      <w:r w:rsidRPr="00652FFA">
        <w:rPr>
          <w:rStyle w:val="af7"/>
          <w:rFonts w:eastAsia="Guttman Hodes" w:hint="cs"/>
          <w:rtl/>
        </w:rPr>
        <w:t>(יז:)</w:t>
      </w:r>
      <w:r>
        <w:rPr>
          <w:rFonts w:hint="cs"/>
          <w:rtl/>
        </w:rPr>
        <w:t xml:space="preserve"> דאם יש עדים שיצאה בהינומא וראשה פרוע, כתובתה מאתיים, ואינו נאמן שנשאה אלמנה וכתובתה מנה, במיגו שהיה יכול לטעון שפרע את כתובתה, ועי' במה שהקשה </w:t>
      </w:r>
      <w:r w:rsidRPr="00F14DA7">
        <w:rPr>
          <w:rStyle w:val="af9"/>
          <w:rFonts w:hint="cs"/>
          <w:rtl/>
        </w:rPr>
        <w:t>הרמב"ן</w:t>
      </w:r>
      <w:r>
        <w:rPr>
          <w:rFonts w:hint="cs"/>
          <w:rtl/>
        </w:rPr>
        <w:t xml:space="preserve"> </w:t>
      </w:r>
      <w:r w:rsidRPr="00F14DA7">
        <w:rPr>
          <w:rStyle w:val="af7"/>
          <w:rFonts w:eastAsia="Guttman Hodes" w:hint="cs"/>
          <w:rtl/>
        </w:rPr>
        <w:t xml:space="preserve">(עי' אות </w:t>
      </w:r>
      <w:r w:rsidRPr="00F14DA7">
        <w:rPr>
          <w:rStyle w:val="af7"/>
          <w:rFonts w:eastAsia="Guttman Hodes"/>
          <w:rtl/>
        </w:rPr>
        <w:fldChar w:fldCharType="begin"/>
      </w:r>
      <w:r w:rsidRPr="00F14DA7">
        <w:rPr>
          <w:rStyle w:val="af7"/>
          <w:rFonts w:eastAsia="Guttman Hodes"/>
          <w:rtl/>
        </w:rPr>
        <w:instrText xml:space="preserve"> </w:instrText>
      </w:r>
      <w:r w:rsidRPr="00F14DA7">
        <w:rPr>
          <w:rStyle w:val="af7"/>
          <w:rFonts w:eastAsia="Guttman Hodes" w:hint="cs"/>
        </w:rPr>
        <w:instrText>REF</w:instrText>
      </w:r>
      <w:r w:rsidRPr="00F14DA7">
        <w:rPr>
          <w:rStyle w:val="af7"/>
          <w:rFonts w:eastAsia="Guttman Hodes" w:hint="cs"/>
          <w:rtl/>
        </w:rPr>
        <w:instrText xml:space="preserve"> _</w:instrText>
      </w:r>
      <w:r w:rsidRPr="00F14DA7">
        <w:rPr>
          <w:rStyle w:val="af7"/>
          <w:rFonts w:eastAsia="Guttman Hodes" w:hint="cs"/>
        </w:rPr>
        <w:instrText>Ref61771465 \r \h</w:instrText>
      </w:r>
      <w:r w:rsidRPr="00F14DA7">
        <w:rPr>
          <w:rStyle w:val="af7"/>
          <w:rFonts w:eastAsia="Guttman Hodes"/>
          <w:rtl/>
        </w:rPr>
        <w:instrText xml:space="preserve"> </w:instrText>
      </w:r>
      <w:r w:rsidRPr="00F14DA7">
        <w:rPr>
          <w:rStyle w:val="af7"/>
          <w:rFonts w:eastAsia="Guttman Hodes"/>
          <w:rtl/>
        </w:rPr>
      </w:r>
      <w:r w:rsidRPr="00F14DA7">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F14DA7">
        <w:rPr>
          <w:rStyle w:val="af7"/>
          <w:rFonts w:eastAsia="Guttman Hodes"/>
          <w:rtl/>
        </w:rPr>
        <w:fldChar w:fldCharType="end"/>
      </w:r>
      <w:r>
        <w:rPr>
          <w:rFonts w:hint="cs"/>
          <w:rtl/>
        </w:rPr>
        <w:t>.</w:t>
      </w:r>
      <w:bookmarkEnd w:id="12577"/>
    </w:p>
    <w:p w:rsidR="00C34249" w:rsidRPr="00F46033" w:rsidRDefault="00C34249" w:rsidP="00C34249">
      <w:pPr>
        <w:pStyle w:val="a3"/>
        <w:rPr>
          <w:rtl/>
        </w:rPr>
      </w:pPr>
      <w:bookmarkStart w:id="12578" w:name="_Toc61867404"/>
      <w:bookmarkStart w:id="12579" w:name="_Toc61867510"/>
      <w:bookmarkStart w:id="12580" w:name="_Toc61887878"/>
      <w:r>
        <w:rPr>
          <w:rFonts w:hint="cs"/>
          <w:rtl/>
        </w:rPr>
        <w:t>קושית הריטב"א דאי מהני מיגו במק"ע א"כ הטוען לא לויתי יהיה נאמן במיגו דלא פרע במק"ע</w:t>
      </w:r>
      <w:bookmarkEnd w:id="12578"/>
      <w:bookmarkEnd w:id="12579"/>
      <w:bookmarkEnd w:id="12580"/>
    </w:p>
    <w:p w:rsidR="00C34249" w:rsidRDefault="00C34249" w:rsidP="007E4E81">
      <w:pPr>
        <w:pStyle w:val="a0"/>
        <w:rPr>
          <w:rtl/>
        </w:rPr>
      </w:pPr>
      <w:r w:rsidRPr="004777E9">
        <w:rPr>
          <w:rStyle w:val="af9"/>
          <w:rFonts w:hint="cs"/>
          <w:rtl/>
        </w:rPr>
        <w:t>והריטב"א</w:t>
      </w:r>
      <w:r>
        <w:rPr>
          <w:rFonts w:hint="cs"/>
          <w:rtl/>
        </w:rPr>
        <w:t xml:space="preserve"> </w:t>
      </w:r>
      <w:r w:rsidRPr="00652FFA">
        <w:rPr>
          <w:rStyle w:val="af7"/>
          <w:rFonts w:eastAsia="Guttman Hodes" w:hint="cs"/>
          <w:rtl/>
        </w:rPr>
        <w:t>(ד"ה ה"ג)</w:t>
      </w:r>
      <w:r>
        <w:rPr>
          <w:rFonts w:hint="cs"/>
          <w:rtl/>
        </w:rPr>
        <w:t xml:space="preserve"> הקשה דמה ההו"א של רבה שיש אדם שיהיה נאמן במיגו, במקום שיש עדים שמכחישים את טענתו, דאי מהני מיגו במקום עדים, א"כ הטוען לא לויתי יהיה נאמן במיגו דלא פרעתי, אעפ"י שיש עדים שהוא לוה, וזה לא יתכן.</w:t>
      </w:r>
    </w:p>
    <w:p w:rsidR="00C34249" w:rsidRPr="00A324EF" w:rsidRDefault="00C34249" w:rsidP="00C34249">
      <w:pPr>
        <w:pStyle w:val="1"/>
        <w:rPr>
          <w:rtl/>
        </w:rPr>
      </w:pPr>
      <w:bookmarkStart w:id="12581" w:name="_Toc61867405"/>
      <w:bookmarkStart w:id="12582" w:name="_Toc61867511"/>
      <w:bookmarkStart w:id="12583" w:name="_Toc61887879"/>
      <w:r>
        <w:rPr>
          <w:rFonts w:hint="cs"/>
          <w:rtl/>
        </w:rPr>
        <w:t>בי' רבינו יונה והרשב"א והריטב"א דע"י המיגו טענינן שלקחוה</w:t>
      </w:r>
      <w:bookmarkEnd w:id="12581"/>
      <w:bookmarkEnd w:id="12582"/>
      <w:bookmarkEnd w:id="12583"/>
    </w:p>
    <w:p w:rsidR="00C34249" w:rsidRDefault="00C34249" w:rsidP="00C34249">
      <w:pPr>
        <w:pStyle w:val="a3"/>
        <w:rPr>
          <w:rtl/>
        </w:rPr>
      </w:pPr>
      <w:bookmarkStart w:id="12584" w:name="_Toc61867406"/>
      <w:bookmarkStart w:id="12585" w:name="_Toc61867512"/>
      <w:bookmarkStart w:id="12586" w:name="_Toc61887880"/>
      <w:r>
        <w:rPr>
          <w:rFonts w:hint="cs"/>
          <w:rtl/>
        </w:rPr>
        <w:t>ביאור רבינו יונה והרשב"א דלרבה ע"י המיגו טענינן ליה דלא סותר להעדים אף שלא טען כן</w:t>
      </w:r>
      <w:bookmarkEnd w:id="12584"/>
      <w:bookmarkEnd w:id="12585"/>
      <w:bookmarkEnd w:id="12586"/>
    </w:p>
    <w:p w:rsidR="00C34249" w:rsidRDefault="00C34249" w:rsidP="007E4E81">
      <w:pPr>
        <w:pStyle w:val="a0"/>
        <w:rPr>
          <w:rtl/>
        </w:rPr>
      </w:pPr>
      <w:bookmarkStart w:id="12587" w:name="_Ref61866447"/>
      <w:r>
        <w:rPr>
          <w:rFonts w:hint="cs"/>
          <w:rtl/>
        </w:rPr>
        <w:t xml:space="preserve">ותירצו </w:t>
      </w:r>
      <w:r w:rsidRPr="004777E9">
        <w:rPr>
          <w:rStyle w:val="af9"/>
          <w:rFonts w:hint="cs"/>
          <w:rtl/>
        </w:rPr>
        <w:t>רבינו</w:t>
      </w:r>
      <w:r>
        <w:rPr>
          <w:rFonts w:hint="cs"/>
          <w:rtl/>
        </w:rPr>
        <w:t xml:space="preserve"> </w:t>
      </w:r>
      <w:r w:rsidRPr="004777E9">
        <w:rPr>
          <w:rStyle w:val="af9"/>
          <w:rFonts w:hint="cs"/>
          <w:rtl/>
        </w:rPr>
        <w:t>יונה</w:t>
      </w:r>
      <w:r>
        <w:rPr>
          <w:rFonts w:hint="cs"/>
          <w:rtl/>
        </w:rPr>
        <w:t xml:space="preserve"> </w:t>
      </w:r>
      <w:r w:rsidRPr="00652FFA">
        <w:rPr>
          <w:rStyle w:val="af7"/>
          <w:rFonts w:eastAsia="Guttman Hodes" w:hint="cs"/>
          <w:rtl/>
        </w:rPr>
        <w:t>(סוד"ה זה)</w:t>
      </w:r>
      <w:r>
        <w:rPr>
          <w:rFonts w:hint="cs"/>
          <w:rtl/>
        </w:rPr>
        <w:t xml:space="preserve"> </w:t>
      </w:r>
      <w:r w:rsidRPr="004777E9">
        <w:rPr>
          <w:rStyle w:val="af9"/>
          <w:rFonts w:hint="cs"/>
          <w:rtl/>
        </w:rPr>
        <w:t>והרשב"א</w:t>
      </w:r>
      <w:r>
        <w:rPr>
          <w:rFonts w:hint="cs"/>
          <w:rtl/>
        </w:rPr>
        <w:t xml:space="preserve"> </w:t>
      </w:r>
      <w:r w:rsidRPr="00652FFA">
        <w:rPr>
          <w:rStyle w:val="af7"/>
          <w:rFonts w:eastAsia="Guttman Hodes" w:hint="cs"/>
          <w:rtl/>
        </w:rPr>
        <w:t xml:space="preserve">(ד"ה אמר) </w:t>
      </w:r>
      <w:r w:rsidRPr="004777E9">
        <w:rPr>
          <w:rStyle w:val="af9"/>
          <w:rFonts w:hint="cs"/>
          <w:rtl/>
        </w:rPr>
        <w:t>והריטב"א</w:t>
      </w:r>
      <w:r>
        <w:rPr>
          <w:rFonts w:hint="cs"/>
          <w:rtl/>
        </w:rPr>
        <w:t xml:space="preserve"> </w:t>
      </w:r>
      <w:r w:rsidRPr="00652FFA">
        <w:rPr>
          <w:rStyle w:val="af7"/>
          <w:rFonts w:eastAsia="Guttman Hodes" w:hint="cs"/>
          <w:rtl/>
        </w:rPr>
        <w:t>(ד"ה ה"ג)</w:t>
      </w:r>
      <w:r>
        <w:rPr>
          <w:rFonts w:hint="cs"/>
          <w:rtl/>
        </w:rPr>
        <w:t xml:space="preserve"> דמודה רבה לאביי דלא מהני מיגו במקום עדים, אלא דסבר רבה בהו"א דע"י המיגו טענינן ליה אנן, דמה שטען של אבותי, כוונתו דסמיך עלה כדאבהתי, או שאבותי לקוחה מאבותיך, אעפ"י שהוא עצמו לא טען כן, ועי' בדברי </w:t>
      </w:r>
      <w:r w:rsidRPr="004C7683">
        <w:rPr>
          <w:rStyle w:val="af9"/>
          <w:rFonts w:hint="cs"/>
          <w:rtl/>
        </w:rPr>
        <w:t>הרמב"ן</w:t>
      </w:r>
      <w:r>
        <w:rPr>
          <w:rFonts w:hint="cs"/>
          <w:rtl/>
        </w:rPr>
        <w:t xml:space="preserve"> </w:t>
      </w:r>
      <w:r w:rsidRPr="004C7683">
        <w:rPr>
          <w:rStyle w:val="af7"/>
          <w:rFonts w:eastAsia="Guttman Hodes" w:hint="cs"/>
          <w:rtl/>
        </w:rPr>
        <w:t xml:space="preserve">(עי' אות </w:t>
      </w:r>
      <w:r w:rsidRPr="004C7683">
        <w:rPr>
          <w:rStyle w:val="af7"/>
          <w:rFonts w:eastAsia="Guttman Hodes"/>
          <w:rtl/>
        </w:rPr>
        <w:fldChar w:fldCharType="begin"/>
      </w:r>
      <w:r w:rsidRPr="004C7683">
        <w:rPr>
          <w:rStyle w:val="af7"/>
          <w:rFonts w:eastAsia="Guttman Hodes"/>
          <w:rtl/>
        </w:rPr>
        <w:instrText xml:space="preserve"> </w:instrText>
      </w:r>
      <w:r w:rsidRPr="004C7683">
        <w:rPr>
          <w:rStyle w:val="af7"/>
          <w:rFonts w:eastAsia="Guttman Hodes" w:hint="cs"/>
        </w:rPr>
        <w:instrText>REF</w:instrText>
      </w:r>
      <w:r w:rsidRPr="004C7683">
        <w:rPr>
          <w:rStyle w:val="af7"/>
          <w:rFonts w:eastAsia="Guttman Hodes" w:hint="cs"/>
          <w:rtl/>
        </w:rPr>
        <w:instrText xml:space="preserve"> _</w:instrText>
      </w:r>
      <w:r w:rsidRPr="004C7683">
        <w:rPr>
          <w:rStyle w:val="af7"/>
          <w:rFonts w:eastAsia="Guttman Hodes" w:hint="cs"/>
        </w:rPr>
        <w:instrText>Ref61851387 \r \h</w:instrText>
      </w:r>
      <w:r w:rsidRPr="004C7683">
        <w:rPr>
          <w:rStyle w:val="af7"/>
          <w:rFonts w:eastAsia="Guttman Hodes"/>
          <w:rtl/>
        </w:rPr>
        <w:instrText xml:space="preserve"> </w:instrText>
      </w:r>
      <w:r w:rsidRPr="004C7683">
        <w:rPr>
          <w:rStyle w:val="af7"/>
          <w:rFonts w:eastAsia="Guttman Hodes"/>
          <w:rtl/>
        </w:rPr>
      </w:r>
      <w:r w:rsidRPr="004C7683">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4C7683">
        <w:rPr>
          <w:rStyle w:val="af7"/>
          <w:rFonts w:eastAsia="Guttman Hodes"/>
          <w:rtl/>
        </w:rPr>
        <w:fldChar w:fldCharType="end"/>
      </w:r>
      <w:r>
        <w:rPr>
          <w:rFonts w:hint="cs"/>
          <w:rtl/>
        </w:rPr>
        <w:t>.</w:t>
      </w:r>
      <w:bookmarkEnd w:id="12587"/>
    </w:p>
    <w:p w:rsidR="00C34249" w:rsidRPr="00BE7EEF" w:rsidRDefault="00C34249" w:rsidP="00C34249">
      <w:pPr>
        <w:pStyle w:val="a3"/>
      </w:pPr>
      <w:bookmarkStart w:id="12588" w:name="_Toc61867407"/>
      <w:bookmarkStart w:id="12589" w:name="_Toc61867513"/>
      <w:bookmarkStart w:id="12590" w:name="_Toc61887881"/>
      <w:r>
        <w:rPr>
          <w:rFonts w:hint="cs"/>
          <w:rtl/>
        </w:rPr>
        <w:t>דברי הרשב"א דלאביי העדים אלימי כנגד מיגו דטענינן ודברי הריטב"א דבמק"ע לא מתרצינן</w:t>
      </w:r>
      <w:bookmarkEnd w:id="12588"/>
      <w:bookmarkEnd w:id="12589"/>
      <w:bookmarkEnd w:id="12590"/>
    </w:p>
    <w:p w:rsidR="00C34249" w:rsidRDefault="00C34249" w:rsidP="007E4E81">
      <w:pPr>
        <w:pStyle w:val="a0"/>
        <w:rPr>
          <w:rtl/>
        </w:rPr>
      </w:pPr>
      <w:r>
        <w:rPr>
          <w:rFonts w:hint="cs"/>
          <w:rtl/>
        </w:rPr>
        <w:t xml:space="preserve">וכתב </w:t>
      </w:r>
      <w:r w:rsidRPr="003A3768">
        <w:rPr>
          <w:rStyle w:val="af9"/>
          <w:rFonts w:hint="cs"/>
          <w:rtl/>
        </w:rPr>
        <w:t>הרשב"א</w:t>
      </w:r>
      <w:r>
        <w:rPr>
          <w:rFonts w:hint="cs"/>
          <w:rtl/>
        </w:rPr>
        <w:t xml:space="preserve"> דדחה אביי את דברי רבה, דאף מיגו כזה לא אמרינן במקום עדים, דעדות העדים היא אלימתא, </w:t>
      </w:r>
      <w:r w:rsidRPr="003A3768">
        <w:rPr>
          <w:rStyle w:val="af9"/>
          <w:rFonts w:hint="cs"/>
          <w:rtl/>
        </w:rPr>
        <w:t>והריטב"א</w:t>
      </w:r>
      <w:r>
        <w:rPr>
          <w:rFonts w:hint="cs"/>
          <w:rtl/>
        </w:rPr>
        <w:t xml:space="preserve"> כתב דס"ל לאביי דאף כשטען טענה סתומה שאפשר לפרש את דבריו בפירוש דחוק, מ"מ במקום עדים לא מתרצינן את דבריו, אלא אמרינן דכוונתו היא כמשמעות הפשוטה של לשונו, ואינו נאמן.</w:t>
      </w:r>
    </w:p>
    <w:p w:rsidR="002823A9" w:rsidRPr="002823A9" w:rsidRDefault="002823A9" w:rsidP="002823A9">
      <w:pPr>
        <w:pStyle w:val="a3"/>
        <w:rPr>
          <w:rtl/>
        </w:rPr>
      </w:pPr>
    </w:p>
    <w:p w:rsidR="00C34249" w:rsidRPr="00745BE7" w:rsidRDefault="00C34249" w:rsidP="00C34249">
      <w:pPr>
        <w:pStyle w:val="1"/>
        <w:rPr>
          <w:rtl/>
        </w:rPr>
      </w:pPr>
      <w:bookmarkStart w:id="12591" w:name="_Toc61867408"/>
      <w:bookmarkStart w:id="12592" w:name="_Toc61867514"/>
      <w:bookmarkStart w:id="12593" w:name="_Toc61887882"/>
      <w:r>
        <w:rPr>
          <w:rFonts w:hint="cs"/>
          <w:rtl/>
        </w:rPr>
        <w:lastRenderedPageBreak/>
        <w:t>ביאור הרשב"א דלשון של אבותי משמע טענת ברי כנגד העדים</w:t>
      </w:r>
      <w:bookmarkEnd w:id="12591"/>
      <w:bookmarkEnd w:id="12592"/>
      <w:bookmarkEnd w:id="12593"/>
    </w:p>
    <w:p w:rsidR="00C34249" w:rsidRPr="003132A5" w:rsidRDefault="00C34249" w:rsidP="00C34249">
      <w:pPr>
        <w:pStyle w:val="a3"/>
        <w:rPr>
          <w:rtl/>
        </w:rPr>
      </w:pPr>
      <w:bookmarkStart w:id="12594" w:name="_Toc61867409"/>
      <w:bookmarkStart w:id="12595" w:name="_Toc61867515"/>
      <w:bookmarkStart w:id="12596" w:name="_Toc61887883"/>
      <w:r>
        <w:rPr>
          <w:rFonts w:hint="cs"/>
          <w:rtl/>
        </w:rPr>
        <w:t>קושית הרשב"א דאינו במק"ע דאפש"ל דכוונתו שלקחוה אבותיו מאבותיו של המערער</w:t>
      </w:r>
      <w:bookmarkEnd w:id="12594"/>
      <w:bookmarkEnd w:id="12595"/>
      <w:bookmarkEnd w:id="12596"/>
    </w:p>
    <w:p w:rsidR="00C34249" w:rsidRDefault="00C34249" w:rsidP="007E4E81">
      <w:pPr>
        <w:pStyle w:val="a0"/>
        <w:rPr>
          <w:rtl/>
        </w:rPr>
      </w:pPr>
      <w:r>
        <w:rPr>
          <w:rFonts w:hint="cs"/>
          <w:rtl/>
        </w:rPr>
        <w:t xml:space="preserve">ועוד הקשה </w:t>
      </w:r>
      <w:r w:rsidRPr="003A3768">
        <w:rPr>
          <w:rStyle w:val="af9"/>
          <w:rFonts w:hint="cs"/>
          <w:rtl/>
        </w:rPr>
        <w:t>הרשב"א</w:t>
      </w:r>
      <w:r>
        <w:rPr>
          <w:rFonts w:hint="cs"/>
          <w:rtl/>
        </w:rPr>
        <w:t xml:space="preserve"> </w:t>
      </w:r>
      <w:r w:rsidRPr="00652FFA">
        <w:rPr>
          <w:rStyle w:val="af7"/>
          <w:rFonts w:eastAsia="Guttman Hodes" w:hint="cs"/>
          <w:rtl/>
        </w:rPr>
        <w:t>(ד"ה אמר)</w:t>
      </w:r>
      <w:r>
        <w:rPr>
          <w:rFonts w:hint="cs"/>
          <w:rtl/>
        </w:rPr>
        <w:t xml:space="preserve"> דאינו מיגו במקום עדים, דהא יתכן דבאמת כוונתו לומר דהיא של אבותיו, ע"י שלקחוה מאבותיו של המערער, וכנגד טענה זו אין כל הכחשה של העדים, וכדמוכח מהא דאם חזר וטען כן נאמן.</w:t>
      </w:r>
    </w:p>
    <w:p w:rsidR="00C34249" w:rsidRDefault="00C34249" w:rsidP="00C34249">
      <w:pPr>
        <w:pStyle w:val="a3"/>
        <w:rPr>
          <w:rtl/>
        </w:rPr>
      </w:pPr>
      <w:bookmarkStart w:id="12597" w:name="_Toc61867410"/>
      <w:bookmarkStart w:id="12598" w:name="_Toc61867516"/>
      <w:bookmarkStart w:id="12599" w:name="_Toc61887884"/>
      <w:r>
        <w:rPr>
          <w:rFonts w:hint="cs"/>
          <w:rtl/>
        </w:rPr>
        <w:t>תי' הרשב"א דסתם לשון של אבותי משמע מעולם וחשיב כברי דאינה של המערער ובמק"ע</w:t>
      </w:r>
      <w:bookmarkEnd w:id="12597"/>
      <w:bookmarkEnd w:id="12598"/>
      <w:bookmarkEnd w:id="12599"/>
    </w:p>
    <w:p w:rsidR="00C34249" w:rsidRDefault="00C34249" w:rsidP="007E4E81">
      <w:pPr>
        <w:pStyle w:val="a0"/>
        <w:rPr>
          <w:rtl/>
        </w:rPr>
      </w:pPr>
      <w:r>
        <w:rPr>
          <w:rFonts w:hint="cs"/>
          <w:rtl/>
        </w:rPr>
        <w:t xml:space="preserve">ותירץ </w:t>
      </w:r>
      <w:r w:rsidRPr="003A3768">
        <w:rPr>
          <w:rStyle w:val="af9"/>
          <w:rFonts w:hint="cs"/>
          <w:rtl/>
        </w:rPr>
        <w:t>הרשב"א</w:t>
      </w:r>
      <w:r>
        <w:rPr>
          <w:rFonts w:hint="cs"/>
          <w:rtl/>
        </w:rPr>
        <w:t xml:space="preserve"> דכיון דאמר לשון "של אבותי", ולא אמר שירש מאבותיו, משמע בסתמא דכוונתו לומר שהייתה של אבותיו משנים קדמוניות, ולכן בסתמא אנן לא מתרצינן את דיבוריה, וחשיב שטוען טענת ברי דהייתה של אבותי ולא של אבותיו המערער, ולכן חשיב מיגו במקום עדים, ורק אם הוא עצמו חזר וטען דאבותי לקחוה מאבותיך, או </w:t>
      </w:r>
      <w:r>
        <w:rPr>
          <w:rtl/>
        </w:rPr>
        <w:t>דסמיך עלה כדאבהתי</w:t>
      </w:r>
      <w:r>
        <w:rPr>
          <w:rFonts w:hint="cs"/>
          <w:rtl/>
        </w:rPr>
        <w:t>, לא חשיב שמכחיש את העדים.</w:t>
      </w:r>
    </w:p>
    <w:p w:rsidR="00C34249" w:rsidRDefault="00C34249" w:rsidP="00C34249">
      <w:pPr>
        <w:pStyle w:val="afe"/>
        <w:rPr>
          <w:rtl/>
        </w:rPr>
      </w:pPr>
      <w:bookmarkStart w:id="12600" w:name="_Toc61867412"/>
      <w:bookmarkStart w:id="12601" w:name="_Toc61867518"/>
      <w:bookmarkStart w:id="12602" w:name="_Toc61887885"/>
      <w:r>
        <w:rPr>
          <w:rFonts w:hint="cs"/>
          <w:rtl/>
        </w:rPr>
        <w:t>ביאור התוס' אמאי לא טענינן ליה</w:t>
      </w:r>
      <w:bookmarkEnd w:id="12600"/>
      <w:bookmarkEnd w:id="12601"/>
      <w:bookmarkEnd w:id="12602"/>
    </w:p>
    <w:p w:rsidR="00C34249" w:rsidRPr="000C514D" w:rsidRDefault="00C34249" w:rsidP="00C34249">
      <w:pPr>
        <w:pStyle w:val="1"/>
        <w:rPr>
          <w:rtl/>
        </w:rPr>
      </w:pPr>
      <w:bookmarkStart w:id="12603" w:name="_Toc61867413"/>
      <w:bookmarkStart w:id="12604" w:name="_Toc61867519"/>
      <w:bookmarkStart w:id="12605" w:name="_Toc61887886"/>
      <w:r>
        <w:rPr>
          <w:rFonts w:hint="cs"/>
          <w:rtl/>
        </w:rPr>
        <w:t>קושיות הרשב"א בתוס' דנטען ליה דלקחוה אבותיו ואינו במק"ע</w:t>
      </w:r>
      <w:bookmarkEnd w:id="12603"/>
      <w:bookmarkEnd w:id="12604"/>
      <w:bookmarkEnd w:id="12605"/>
    </w:p>
    <w:p w:rsidR="00C34249" w:rsidRPr="00B35FBC" w:rsidRDefault="00C34249" w:rsidP="00C34249">
      <w:pPr>
        <w:pStyle w:val="a3"/>
        <w:rPr>
          <w:rtl/>
        </w:rPr>
      </w:pPr>
      <w:bookmarkStart w:id="12606" w:name="_Toc61815353"/>
      <w:bookmarkStart w:id="12607" w:name="_Toc61861391"/>
      <w:bookmarkStart w:id="12608" w:name="_Toc61867414"/>
      <w:bookmarkStart w:id="12609" w:name="_Toc61867520"/>
      <w:bookmarkStart w:id="12610" w:name="_Toc61887887"/>
      <w:r>
        <w:rPr>
          <w:rFonts w:hint="cs"/>
          <w:rtl/>
        </w:rPr>
        <w:t>קושית הרשב"א בתוס' דאי"ז מיגו במק"ע דאפשר לתרץ דבריו ונאמן דדר בה חד יומא במיגו</w:t>
      </w:r>
      <w:bookmarkEnd w:id="12606"/>
      <w:bookmarkEnd w:id="12607"/>
      <w:bookmarkEnd w:id="12608"/>
      <w:bookmarkEnd w:id="12609"/>
      <w:bookmarkEnd w:id="12610"/>
      <w:r>
        <w:rPr>
          <w:rFonts w:hint="cs"/>
          <w:rtl/>
        </w:rPr>
        <w:t xml:space="preserve"> </w:t>
      </w:r>
    </w:p>
    <w:p w:rsidR="00C34249" w:rsidRDefault="00C34249" w:rsidP="007E4E81">
      <w:pPr>
        <w:pStyle w:val="a0"/>
        <w:rPr>
          <w:rtl/>
        </w:rPr>
      </w:pPr>
      <w:bookmarkStart w:id="12611" w:name="_Ref61813820"/>
      <w:r>
        <w:rPr>
          <w:rFonts w:hint="cs"/>
          <w:rtl/>
        </w:rPr>
        <w:t xml:space="preserve">בדברי אביי דהוא מיגו במקום עדים, הקשה </w:t>
      </w:r>
      <w:r w:rsidRPr="00924DCD">
        <w:rPr>
          <w:rStyle w:val="af9"/>
          <w:rFonts w:hint="cs"/>
          <w:rtl/>
        </w:rPr>
        <w:t>הרשב"א בתוס'</w:t>
      </w:r>
      <w:r>
        <w:rPr>
          <w:rFonts w:hint="cs"/>
          <w:rtl/>
        </w:rPr>
        <w:t xml:space="preserve"> </w:t>
      </w:r>
      <w:r w:rsidRPr="001C1140">
        <w:rPr>
          <w:rStyle w:val="af7"/>
          <w:rFonts w:eastAsia="Guttman Hodes" w:hint="cs"/>
          <w:rtl/>
        </w:rPr>
        <w:t>(ד"ה</w:t>
      </w:r>
      <w:r>
        <w:rPr>
          <w:rFonts w:hint="cs"/>
          <w:rtl/>
        </w:rPr>
        <w:t xml:space="preserve"> </w:t>
      </w:r>
      <w:r w:rsidRPr="001C1140">
        <w:rPr>
          <w:rStyle w:val="af7"/>
          <w:rFonts w:eastAsia="Guttman Hodes" w:hint="cs"/>
          <w:rtl/>
        </w:rPr>
        <w:t>מה לי)</w:t>
      </w:r>
      <w:r>
        <w:rPr>
          <w:rFonts w:hint="cs"/>
          <w:rtl/>
        </w:rPr>
        <w:t xml:space="preserve"> דאמאי חשיב המיגו במקום עדים, הא אפש"ל דהייתה של אבותיו של המחזיק יום אחד, ונאמר דלקחוה מאבותיו של המערער, דכיון דטענינן ליורש, </w:t>
      </w:r>
      <w:r w:rsidRPr="001C1140">
        <w:rPr>
          <w:rStyle w:val="afb"/>
          <w:rFonts w:hint="cs"/>
          <w:rtl/>
        </w:rPr>
        <w:t xml:space="preserve">[וכתב </w:t>
      </w:r>
      <w:r w:rsidRPr="005E64DE">
        <w:rPr>
          <w:rStyle w:val="affa"/>
          <w:rFonts w:hint="cs"/>
          <w:rtl/>
        </w:rPr>
        <w:t xml:space="preserve">החת"ס </w:t>
      </w:r>
      <w:r w:rsidRPr="00371186">
        <w:rPr>
          <w:rStyle w:val="aff6"/>
          <w:rFonts w:hint="cs"/>
          <w:rtl/>
        </w:rPr>
        <w:t>(ד"ה מה)</w:t>
      </w:r>
      <w:r w:rsidRPr="001C1140">
        <w:rPr>
          <w:rStyle w:val="afb"/>
          <w:rFonts w:hint="cs"/>
          <w:rtl/>
        </w:rPr>
        <w:t xml:space="preserve"> דכקושית </w:t>
      </w:r>
      <w:r w:rsidRPr="005E64DE">
        <w:rPr>
          <w:rStyle w:val="affa"/>
          <w:rFonts w:hint="cs"/>
          <w:rtl/>
        </w:rPr>
        <w:t>התוס'</w:t>
      </w:r>
      <w:r w:rsidRPr="001C1140">
        <w:rPr>
          <w:rStyle w:val="afb"/>
          <w:rFonts w:hint="cs"/>
          <w:rtl/>
        </w:rPr>
        <w:t xml:space="preserve"> כן ביאר</w:t>
      </w:r>
      <w:r w:rsidRPr="005E64DE">
        <w:rPr>
          <w:rStyle w:val="affa"/>
          <w:rFonts w:hint="cs"/>
          <w:rtl/>
        </w:rPr>
        <w:t xml:space="preserve"> הרמב"ן </w:t>
      </w:r>
      <w:r w:rsidRPr="00AC1DBF">
        <w:rPr>
          <w:rStyle w:val="aff6"/>
          <w:rFonts w:hint="cs"/>
          <w:rtl/>
        </w:rPr>
        <w:t xml:space="preserve">(עי' אות </w:t>
      </w:r>
      <w:r w:rsidRPr="00AC1DBF">
        <w:rPr>
          <w:rStyle w:val="aff6"/>
          <w:rtl/>
        </w:rPr>
        <w:fldChar w:fldCharType="begin"/>
      </w:r>
      <w:r w:rsidRPr="00AC1DBF">
        <w:rPr>
          <w:rStyle w:val="aff6"/>
          <w:rtl/>
        </w:rPr>
        <w:instrText xml:space="preserve"> </w:instrText>
      </w:r>
      <w:r w:rsidRPr="00AC1DBF">
        <w:rPr>
          <w:rStyle w:val="aff6"/>
          <w:rFonts w:hint="cs"/>
        </w:rPr>
        <w:instrText>REF</w:instrText>
      </w:r>
      <w:r w:rsidRPr="00AC1DBF">
        <w:rPr>
          <w:rStyle w:val="aff6"/>
          <w:rFonts w:hint="cs"/>
          <w:rtl/>
        </w:rPr>
        <w:instrText xml:space="preserve"> _</w:instrText>
      </w:r>
      <w:r w:rsidRPr="00AC1DBF">
        <w:rPr>
          <w:rStyle w:val="aff6"/>
          <w:rFonts w:hint="cs"/>
        </w:rPr>
        <w:instrText>Ref61851387 \r \h</w:instrText>
      </w:r>
      <w:r w:rsidRPr="00AC1DBF">
        <w:rPr>
          <w:rStyle w:val="aff6"/>
          <w:rtl/>
        </w:rPr>
        <w:instrText xml:space="preserve"> </w:instrText>
      </w:r>
      <w:r w:rsidRPr="00AC1DBF">
        <w:rPr>
          <w:rStyle w:val="aff6"/>
          <w:rtl/>
        </w:rPr>
      </w:r>
      <w:r w:rsidRPr="00AC1DBF">
        <w:rPr>
          <w:rStyle w:val="aff6"/>
          <w:rtl/>
        </w:rPr>
        <w:fldChar w:fldCharType="separate"/>
      </w:r>
      <w:r w:rsidR="00265073">
        <w:rPr>
          <w:rStyle w:val="aff6"/>
          <w:cs/>
        </w:rPr>
        <w:t>‎</w:t>
      </w:r>
      <w:r w:rsidR="00265073">
        <w:rPr>
          <w:rStyle w:val="aff6"/>
          <w:rtl/>
        </w:rPr>
        <w:t>לד)</w:t>
      </w:r>
      <w:r w:rsidRPr="00AC1DBF">
        <w:rPr>
          <w:rStyle w:val="aff6"/>
          <w:rtl/>
        </w:rPr>
        <w:fldChar w:fldCharType="end"/>
      </w:r>
      <w:r w:rsidRPr="00AC1DBF">
        <w:rPr>
          <w:rStyle w:val="aff6"/>
          <w:rFonts w:hint="cs"/>
          <w:rtl/>
        </w:rPr>
        <w:t xml:space="preserve"> </w:t>
      </w:r>
      <w:r w:rsidRPr="001C1140">
        <w:rPr>
          <w:rStyle w:val="afb"/>
          <w:rFonts w:hint="cs"/>
          <w:rtl/>
        </w:rPr>
        <w:t>בדעת רבה, ולא ס"ל דמהני מיגו במקום עדים, אלא דמתרצינן דיבוריה, עיי"ש בדבריו],</w:t>
      </w:r>
      <w:r>
        <w:rPr>
          <w:rFonts w:hint="cs"/>
          <w:rtl/>
        </w:rPr>
        <w:t xml:space="preserve"> וביארו </w:t>
      </w:r>
      <w:r w:rsidRPr="00522E98">
        <w:rPr>
          <w:rStyle w:val="af9"/>
          <w:rFonts w:hint="cs"/>
          <w:rtl/>
        </w:rPr>
        <w:t>התוס'</w:t>
      </w:r>
      <w:r>
        <w:rPr>
          <w:rFonts w:hint="cs"/>
          <w:rtl/>
        </w:rPr>
        <w:t xml:space="preserve"> דהוא נאמן לומר דאבותיו דרו בה חד יומא, במיגו דהיה טוען מינך זבינתה. </w:t>
      </w:r>
      <w:r w:rsidRPr="00BB76CA">
        <w:rPr>
          <w:rStyle w:val="afb"/>
          <w:rFonts w:hint="cs"/>
          <w:rtl/>
        </w:rPr>
        <w:t xml:space="preserve">[ועי' במה שביארו </w:t>
      </w:r>
      <w:r w:rsidRPr="005E64DE">
        <w:rPr>
          <w:rStyle w:val="affa"/>
          <w:rFonts w:hint="cs"/>
          <w:rtl/>
        </w:rPr>
        <w:t xml:space="preserve">הש"ך </w:t>
      </w:r>
      <w:r w:rsidRPr="005E64DE">
        <w:rPr>
          <w:rStyle w:val="aff6"/>
          <w:rFonts w:hint="cs"/>
          <w:rtl/>
        </w:rPr>
        <w:t>(סי' קמ"ו סקכ"ג)</w:t>
      </w:r>
      <w:r w:rsidRPr="00BB76CA">
        <w:rPr>
          <w:rStyle w:val="afb"/>
          <w:rFonts w:hint="cs"/>
          <w:rtl/>
        </w:rPr>
        <w:t xml:space="preserve"> </w:t>
      </w:r>
      <w:r w:rsidRPr="005E64DE">
        <w:rPr>
          <w:rStyle w:val="affa"/>
          <w:rFonts w:hint="cs"/>
          <w:rtl/>
        </w:rPr>
        <w:t xml:space="preserve">והתומים </w:t>
      </w:r>
      <w:r w:rsidRPr="005E64DE">
        <w:rPr>
          <w:rStyle w:val="aff6"/>
          <w:rFonts w:hint="cs"/>
          <w:rtl/>
        </w:rPr>
        <w:t>(סי' קמ"ו סקכ"ה)</w:t>
      </w:r>
      <w:r w:rsidRPr="00BB76CA">
        <w:rPr>
          <w:rStyle w:val="afb"/>
          <w:rFonts w:hint="cs"/>
          <w:rtl/>
        </w:rPr>
        <w:t xml:space="preserve"> </w:t>
      </w:r>
      <w:r w:rsidRPr="005E64DE">
        <w:rPr>
          <w:rStyle w:val="affa"/>
          <w:rFonts w:hint="cs"/>
          <w:rtl/>
        </w:rPr>
        <w:t xml:space="preserve">והנתיה"מ </w:t>
      </w:r>
      <w:r w:rsidRPr="005E64DE">
        <w:rPr>
          <w:rStyle w:val="aff6"/>
          <w:rFonts w:hint="cs"/>
          <w:rtl/>
        </w:rPr>
        <w:t>(סי' קמ"ו סקכ"ט)</w:t>
      </w:r>
      <w:r w:rsidRPr="00BB76CA">
        <w:rPr>
          <w:rStyle w:val="afb"/>
          <w:rFonts w:hint="cs"/>
          <w:rtl/>
        </w:rPr>
        <w:t xml:space="preserve"> </w:t>
      </w:r>
      <w:r>
        <w:rPr>
          <w:rStyle w:val="afb"/>
          <w:rFonts w:hint="cs"/>
          <w:rtl/>
        </w:rPr>
        <w:t xml:space="preserve">במ"ש אי </w:t>
      </w:r>
      <w:r w:rsidRPr="00BB76CA">
        <w:rPr>
          <w:rStyle w:val="afb"/>
          <w:rFonts w:hint="cs"/>
          <w:rtl/>
        </w:rPr>
        <w:t>נאמן לטעון דדרו בה חד יומא].</w:t>
      </w:r>
      <w:bookmarkEnd w:id="12611"/>
    </w:p>
    <w:p w:rsidR="00C34249" w:rsidRPr="00A61145" w:rsidRDefault="00C34249" w:rsidP="00C34249">
      <w:pPr>
        <w:pStyle w:val="a3"/>
        <w:rPr>
          <w:rtl/>
        </w:rPr>
      </w:pPr>
      <w:bookmarkStart w:id="12612" w:name="_Toc61815354"/>
      <w:bookmarkStart w:id="12613" w:name="_Toc61861392"/>
      <w:bookmarkStart w:id="12614" w:name="_Toc61867415"/>
      <w:bookmarkStart w:id="12615" w:name="_Toc61867521"/>
      <w:bookmarkStart w:id="12616" w:name="_Toc61887888"/>
      <w:r>
        <w:rPr>
          <w:rFonts w:hint="cs"/>
          <w:rtl/>
        </w:rPr>
        <w:t>קושית הרשב"א בתוס' דלנהרדעי אמאי צריך לחזור ולטעון שלקחוה ולא טענינן ליה אנן</w:t>
      </w:r>
      <w:bookmarkEnd w:id="12612"/>
      <w:bookmarkEnd w:id="12613"/>
      <w:bookmarkEnd w:id="12614"/>
      <w:bookmarkEnd w:id="12615"/>
      <w:bookmarkEnd w:id="12616"/>
    </w:p>
    <w:p w:rsidR="00C34249" w:rsidRDefault="00C34249" w:rsidP="007E4E81">
      <w:pPr>
        <w:pStyle w:val="a0"/>
        <w:rPr>
          <w:rtl/>
        </w:rPr>
      </w:pPr>
      <w:r>
        <w:rPr>
          <w:rFonts w:hint="cs"/>
          <w:rtl/>
        </w:rPr>
        <w:t xml:space="preserve">ועוד הקשה </w:t>
      </w:r>
      <w:r w:rsidRPr="00522E98">
        <w:rPr>
          <w:rStyle w:val="af9"/>
          <w:rFonts w:hint="cs"/>
          <w:rtl/>
        </w:rPr>
        <w:t>הרשב"א בתוס'</w:t>
      </w:r>
      <w:r>
        <w:rPr>
          <w:rFonts w:hint="cs"/>
          <w:rtl/>
        </w:rPr>
        <w:t xml:space="preserve"> דאף בהא דמודו נהרדעי דנאמן לחזור ולטעון של אבותי שלקחוה מאבותיך, אמאי צריך לחזור ולטעון, הא אף אם טען רק שאבותיו דרו בה חד יומא, טענינן ליה אנן, של אבותי שלקחוה מאבותיך, ועי' בדברי </w:t>
      </w:r>
      <w:r>
        <w:rPr>
          <w:rStyle w:val="af9"/>
          <w:rFonts w:hint="cs"/>
          <w:rtl/>
        </w:rPr>
        <w:t xml:space="preserve">הרמב"ן </w:t>
      </w:r>
      <w:r w:rsidRPr="00951D2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Ref61865494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Pr>
          <w:rStyle w:val="af7"/>
          <w:rFonts w:eastAsia="Guttman Hodes"/>
          <w:rtl/>
        </w:rPr>
        <w:fldChar w:fldCharType="end"/>
      </w:r>
      <w:r w:rsidRPr="00951D29">
        <w:rPr>
          <w:rStyle w:val="af7"/>
          <w:rFonts w:eastAsia="Guttman Hodes" w:hint="cs"/>
          <w:rtl/>
        </w:rPr>
        <w:t xml:space="preserve"> </w:t>
      </w:r>
      <w:r>
        <w:rPr>
          <w:rStyle w:val="af9"/>
          <w:rFonts w:hint="cs"/>
          <w:rtl/>
        </w:rPr>
        <w:t xml:space="preserve">ורבינו יונה </w:t>
      </w:r>
      <w:r w:rsidRPr="00951D29">
        <w:rPr>
          <w:rStyle w:val="af7"/>
          <w:rFonts w:eastAsia="Guttman Hodes" w:hint="cs"/>
          <w:rtl/>
        </w:rPr>
        <w:t xml:space="preserve">(עי' אות </w:t>
      </w:r>
      <w:r w:rsidRPr="00951D29">
        <w:rPr>
          <w:rStyle w:val="af7"/>
          <w:rFonts w:eastAsia="Guttman Hodes"/>
          <w:rtl/>
        </w:rPr>
        <w:fldChar w:fldCharType="begin"/>
      </w:r>
      <w:r w:rsidRPr="00951D29">
        <w:rPr>
          <w:rStyle w:val="af7"/>
          <w:rFonts w:eastAsia="Guttman Hodes"/>
          <w:rtl/>
        </w:rPr>
        <w:instrText xml:space="preserve"> </w:instrText>
      </w:r>
      <w:r w:rsidRPr="00951D29">
        <w:rPr>
          <w:rStyle w:val="af7"/>
          <w:rFonts w:eastAsia="Guttman Hodes" w:hint="cs"/>
        </w:rPr>
        <w:instrText>REF</w:instrText>
      </w:r>
      <w:r w:rsidRPr="00951D29">
        <w:rPr>
          <w:rStyle w:val="af7"/>
          <w:rFonts w:eastAsia="Guttman Hodes" w:hint="cs"/>
          <w:rtl/>
        </w:rPr>
        <w:instrText xml:space="preserve"> _</w:instrText>
      </w:r>
      <w:r w:rsidRPr="00951D29">
        <w:rPr>
          <w:rStyle w:val="af7"/>
          <w:rFonts w:eastAsia="Guttman Hodes" w:hint="cs"/>
        </w:rPr>
        <w:instrText>Ref61865417 \r \h</w:instrText>
      </w:r>
      <w:r w:rsidRPr="00951D29">
        <w:rPr>
          <w:rStyle w:val="af7"/>
          <w:rFonts w:eastAsia="Guttman Hodes"/>
          <w:rtl/>
        </w:rPr>
        <w:instrText xml:space="preserve"> </w:instrText>
      </w:r>
      <w:r w:rsidRPr="00951D29">
        <w:rPr>
          <w:rStyle w:val="af7"/>
          <w:rFonts w:eastAsia="Guttman Hodes"/>
          <w:rtl/>
        </w:rPr>
      </w:r>
      <w:r w:rsidRPr="00951D29">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951D29">
        <w:rPr>
          <w:rStyle w:val="af7"/>
          <w:rFonts w:eastAsia="Guttman Hodes"/>
          <w:rtl/>
        </w:rPr>
        <w:fldChar w:fldCharType="end"/>
      </w:r>
      <w:r w:rsidRPr="00951D29">
        <w:rPr>
          <w:rStyle w:val="af7"/>
          <w:rFonts w:eastAsia="Guttman Hodes" w:hint="cs"/>
          <w:rtl/>
        </w:rPr>
        <w:t xml:space="preserve"> </w:t>
      </w:r>
      <w:r>
        <w:rPr>
          <w:rStyle w:val="af9"/>
          <w:rFonts w:hint="cs"/>
          <w:rtl/>
        </w:rPr>
        <w:t>ו</w:t>
      </w:r>
      <w:r w:rsidRPr="003A3768">
        <w:rPr>
          <w:rStyle w:val="af9"/>
          <w:rFonts w:hint="cs"/>
          <w:rtl/>
        </w:rPr>
        <w:t>הרשב"א</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Ref61866105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w:t>
      </w:r>
      <w:r>
        <w:rPr>
          <w:rStyle w:val="af7"/>
          <w:rFonts w:eastAsia="Guttman Hodes"/>
          <w:rtl/>
        </w:rPr>
        <w:fldChar w:fldCharType="end"/>
      </w:r>
      <w:r>
        <w:rPr>
          <w:rStyle w:val="af7"/>
          <w:rFonts w:eastAsia="Guttman Hodes" w:hint="cs"/>
          <w:rtl/>
        </w:rPr>
        <w:t xml:space="preserve"> </w:t>
      </w:r>
      <w:r>
        <w:rPr>
          <w:rStyle w:val="af9"/>
          <w:rFonts w:hint="cs"/>
          <w:rtl/>
        </w:rPr>
        <w:t xml:space="preserve">והיד רמ"ה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Ref61883135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915FFC">
        <w:rPr>
          <w:rStyle w:val="af7"/>
          <w:rFonts w:eastAsia="Guttman Hodes"/>
          <w:rtl/>
        </w:rPr>
        <w:fldChar w:fldCharType="end"/>
      </w:r>
      <w:r>
        <w:rPr>
          <w:rStyle w:val="af9"/>
          <w:rFonts w:hint="cs"/>
          <w:rtl/>
        </w:rPr>
        <w:t xml:space="preserve"> וה</w:t>
      </w:r>
      <w:r w:rsidRPr="00EE39AB">
        <w:rPr>
          <w:rStyle w:val="af9"/>
          <w:rFonts w:hint="cs"/>
          <w:rtl/>
        </w:rPr>
        <w:t>ר"ן</w:t>
      </w:r>
      <w:r>
        <w:rPr>
          <w:rFonts w:hint="cs"/>
          <w:rtl/>
        </w:rPr>
        <w:t xml:space="preserve">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Ref61883164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915FFC">
        <w:rPr>
          <w:rStyle w:val="af7"/>
          <w:rFonts w:eastAsia="Guttman Hodes"/>
          <w:rtl/>
        </w:rPr>
        <w:fldChar w:fldCharType="end"/>
      </w:r>
      <w:r>
        <w:rPr>
          <w:rFonts w:hint="cs"/>
          <w:rtl/>
        </w:rPr>
        <w:t>.</w:t>
      </w:r>
      <w:r w:rsidRPr="00CD1928">
        <w:rPr>
          <w:rFonts w:hint="cs"/>
          <w:rtl/>
        </w:rPr>
        <w:t xml:space="preserve"> </w:t>
      </w:r>
    </w:p>
    <w:p w:rsidR="00C34249" w:rsidRPr="00C46FBC" w:rsidRDefault="00C34249" w:rsidP="00C34249">
      <w:pPr>
        <w:pStyle w:val="1"/>
        <w:rPr>
          <w:rtl/>
        </w:rPr>
      </w:pPr>
      <w:bookmarkStart w:id="12617" w:name="_Toc61815355"/>
      <w:bookmarkStart w:id="12618" w:name="_Toc61861393"/>
      <w:bookmarkStart w:id="12619" w:name="_Toc61867416"/>
      <w:bookmarkStart w:id="12620" w:name="_Toc61867522"/>
      <w:bookmarkStart w:id="12621" w:name="_Toc61887889"/>
      <w:r>
        <w:rPr>
          <w:rFonts w:hint="cs"/>
          <w:rtl/>
        </w:rPr>
        <w:t>תי' ר"י דבלא פירש דבריו "של אבותי" משמע דמעולם שלהם</w:t>
      </w:r>
      <w:bookmarkEnd w:id="12617"/>
      <w:bookmarkEnd w:id="12618"/>
      <w:bookmarkEnd w:id="12619"/>
      <w:bookmarkEnd w:id="12620"/>
      <w:bookmarkEnd w:id="12621"/>
    </w:p>
    <w:p w:rsidR="00C34249" w:rsidRDefault="00C34249" w:rsidP="00C34249">
      <w:pPr>
        <w:pStyle w:val="a3"/>
        <w:rPr>
          <w:rtl/>
        </w:rPr>
      </w:pPr>
      <w:bookmarkStart w:id="12622" w:name="_Toc61861394"/>
      <w:bookmarkStart w:id="12623" w:name="_Toc61867417"/>
      <w:bookmarkStart w:id="12624" w:name="_Toc61867523"/>
      <w:bookmarkStart w:id="12625" w:name="_Toc61887890"/>
      <w:r>
        <w:rPr>
          <w:rFonts w:hint="cs"/>
          <w:rtl/>
        </w:rPr>
        <w:t>תירוץ ר"י דטענת המחזיק של אבותי משמע שהייתה מעולם שלהם ולא קנו מאבות המערער</w:t>
      </w:r>
      <w:bookmarkEnd w:id="12622"/>
      <w:bookmarkEnd w:id="12623"/>
      <w:bookmarkEnd w:id="12624"/>
      <w:bookmarkEnd w:id="12625"/>
    </w:p>
    <w:p w:rsidR="00C34249" w:rsidRPr="00443F8D" w:rsidRDefault="00C34249" w:rsidP="007E4E81">
      <w:pPr>
        <w:pStyle w:val="a0"/>
        <w:rPr>
          <w:rStyle w:val="afb"/>
          <w:rtl/>
        </w:rPr>
      </w:pPr>
      <w:bookmarkStart w:id="12626" w:name="_Ref61814015"/>
      <w:bookmarkStart w:id="12627" w:name="_Ref61851282"/>
      <w:r>
        <w:rPr>
          <w:rFonts w:hint="cs"/>
          <w:rtl/>
        </w:rPr>
        <w:t xml:space="preserve">ותירץ </w:t>
      </w:r>
      <w:r w:rsidRPr="00522E98">
        <w:rPr>
          <w:rStyle w:val="af9"/>
          <w:rFonts w:hint="cs"/>
          <w:rtl/>
        </w:rPr>
        <w:t>ר"י</w:t>
      </w:r>
      <w:r>
        <w:rPr>
          <w:rFonts w:hint="cs"/>
          <w:rtl/>
        </w:rPr>
        <w:t xml:space="preserve"> </w:t>
      </w:r>
      <w:r>
        <w:rPr>
          <w:rStyle w:val="af9"/>
          <w:rFonts w:hint="cs"/>
          <w:rtl/>
        </w:rPr>
        <w:t>ב</w:t>
      </w:r>
      <w:r w:rsidRPr="00522E98">
        <w:rPr>
          <w:rStyle w:val="af9"/>
          <w:rFonts w:hint="cs"/>
          <w:rtl/>
        </w:rPr>
        <w:t>תוס'</w:t>
      </w:r>
      <w:r>
        <w:rPr>
          <w:rFonts w:hint="cs"/>
          <w:rtl/>
        </w:rPr>
        <w:t xml:space="preserve"> דכשטען של אבותי, משמע דהייתה מעולם של אבותיו, ולא לקחו אותה מאחרים, אא"כ הוא פירש את דבריו,</w:t>
      </w:r>
      <w:r w:rsidRPr="00286477">
        <w:rPr>
          <w:rFonts w:hint="cs"/>
          <w:rtl/>
        </w:rPr>
        <w:t xml:space="preserve"> </w:t>
      </w:r>
      <w:r w:rsidRPr="00371186">
        <w:rPr>
          <w:rStyle w:val="afb"/>
          <w:rFonts w:hint="cs"/>
          <w:rtl/>
        </w:rPr>
        <w:t xml:space="preserve">[וכתב </w:t>
      </w:r>
      <w:r w:rsidRPr="00371186">
        <w:rPr>
          <w:rStyle w:val="affa"/>
          <w:rFonts w:hint="cs"/>
          <w:rtl/>
        </w:rPr>
        <w:t>החת"ס</w:t>
      </w:r>
      <w:r w:rsidRPr="00371186">
        <w:rPr>
          <w:rStyle w:val="afb"/>
          <w:rFonts w:hint="cs"/>
          <w:rtl/>
        </w:rPr>
        <w:t xml:space="preserve"> </w:t>
      </w:r>
      <w:r w:rsidRPr="00371186">
        <w:rPr>
          <w:rStyle w:val="aff6"/>
          <w:rFonts w:hint="cs"/>
          <w:rtl/>
        </w:rPr>
        <w:t>(ד"ה מה)</w:t>
      </w:r>
      <w:r w:rsidRPr="00371186">
        <w:rPr>
          <w:rStyle w:val="afb"/>
          <w:rFonts w:hint="cs"/>
          <w:rtl/>
        </w:rPr>
        <w:t xml:space="preserve"> דכתירוץ </w:t>
      </w:r>
      <w:r w:rsidRPr="00753C33">
        <w:rPr>
          <w:rStyle w:val="affa"/>
          <w:rFonts w:hint="cs"/>
          <w:rtl/>
        </w:rPr>
        <w:t xml:space="preserve">התוס' </w:t>
      </w:r>
      <w:r w:rsidRPr="00371186">
        <w:rPr>
          <w:rStyle w:val="afb"/>
          <w:rFonts w:hint="cs"/>
          <w:rtl/>
        </w:rPr>
        <w:t xml:space="preserve">כן ביאר </w:t>
      </w:r>
      <w:r w:rsidRPr="00371186">
        <w:rPr>
          <w:rStyle w:val="affa"/>
          <w:rFonts w:hint="cs"/>
          <w:rtl/>
        </w:rPr>
        <w:t>הרמב"ן</w:t>
      </w:r>
      <w:r w:rsidRPr="00371186">
        <w:rPr>
          <w:rStyle w:val="afb"/>
          <w:rFonts w:hint="cs"/>
          <w:rtl/>
        </w:rPr>
        <w:t xml:space="preserve"> </w:t>
      </w:r>
      <w:r w:rsidRPr="00AC1DBF">
        <w:rPr>
          <w:rStyle w:val="aff6"/>
          <w:rFonts w:hint="cs"/>
          <w:rtl/>
        </w:rPr>
        <w:t xml:space="preserve">(עי' אות </w:t>
      </w:r>
      <w:r w:rsidRPr="00AC1DBF">
        <w:rPr>
          <w:rStyle w:val="aff6"/>
          <w:rtl/>
        </w:rPr>
        <w:fldChar w:fldCharType="begin"/>
      </w:r>
      <w:r w:rsidRPr="00AC1DBF">
        <w:rPr>
          <w:rStyle w:val="aff6"/>
          <w:rtl/>
        </w:rPr>
        <w:instrText xml:space="preserve"> </w:instrText>
      </w:r>
      <w:r w:rsidRPr="00AC1DBF">
        <w:rPr>
          <w:rStyle w:val="aff6"/>
          <w:rFonts w:hint="cs"/>
        </w:rPr>
        <w:instrText>REF</w:instrText>
      </w:r>
      <w:r w:rsidRPr="00AC1DBF">
        <w:rPr>
          <w:rStyle w:val="aff6"/>
          <w:rFonts w:hint="cs"/>
          <w:rtl/>
        </w:rPr>
        <w:instrText xml:space="preserve"> _</w:instrText>
      </w:r>
      <w:r w:rsidRPr="00AC1DBF">
        <w:rPr>
          <w:rStyle w:val="aff6"/>
          <w:rFonts w:hint="cs"/>
        </w:rPr>
        <w:instrText>Ref61851247 \r \h</w:instrText>
      </w:r>
      <w:r w:rsidRPr="00AC1DBF">
        <w:rPr>
          <w:rStyle w:val="aff6"/>
          <w:rtl/>
        </w:rPr>
        <w:instrText xml:space="preserve"> </w:instrText>
      </w:r>
      <w:r w:rsidRPr="00AC1DBF">
        <w:rPr>
          <w:rStyle w:val="aff6"/>
          <w:rtl/>
        </w:rPr>
      </w:r>
      <w:r w:rsidRPr="00AC1DBF">
        <w:rPr>
          <w:rStyle w:val="aff6"/>
          <w:rtl/>
        </w:rPr>
        <w:fldChar w:fldCharType="separate"/>
      </w:r>
      <w:r w:rsidR="00265073">
        <w:rPr>
          <w:rStyle w:val="aff6"/>
          <w:cs/>
        </w:rPr>
        <w:t>‎</w:t>
      </w:r>
      <w:r w:rsidR="00265073">
        <w:rPr>
          <w:rStyle w:val="aff6"/>
          <w:rtl/>
        </w:rPr>
        <w:t>לה)</w:t>
      </w:r>
      <w:r w:rsidRPr="00AC1DBF">
        <w:rPr>
          <w:rStyle w:val="aff6"/>
          <w:rtl/>
        </w:rPr>
        <w:fldChar w:fldCharType="end"/>
      </w:r>
      <w:r w:rsidRPr="00371186">
        <w:rPr>
          <w:rStyle w:val="afb"/>
          <w:rFonts w:hint="cs"/>
          <w:rtl/>
        </w:rPr>
        <w:t xml:space="preserve"> בדעת אביי, דס"ל דלא מתרצינן דיבוריה, דאל משמע כן בלשון "של אבותי", עיי"ש בדבריו</w:t>
      </w:r>
      <w:r w:rsidRPr="00443F8D">
        <w:rPr>
          <w:rStyle w:val="afb"/>
          <w:rFonts w:hint="cs"/>
          <w:rtl/>
        </w:rPr>
        <w:t>]</w:t>
      </w:r>
      <w:bookmarkEnd w:id="12626"/>
      <w:r w:rsidRPr="00443F8D">
        <w:rPr>
          <w:rStyle w:val="afb"/>
          <w:rFonts w:hint="cs"/>
          <w:rtl/>
        </w:rPr>
        <w:t>,</w:t>
      </w:r>
      <w:r w:rsidRPr="00443F8D">
        <w:rPr>
          <w:rFonts w:hint="cs"/>
          <w:rtl/>
        </w:rPr>
        <w:t xml:space="preserve"> </w:t>
      </w:r>
      <w:r>
        <w:rPr>
          <w:rFonts w:hint="cs"/>
          <w:rtl/>
        </w:rPr>
        <w:t xml:space="preserve">ועי' בדברי </w:t>
      </w:r>
      <w:r w:rsidRPr="005A24B5">
        <w:rPr>
          <w:rStyle w:val="af9"/>
          <w:rFonts w:hint="cs"/>
          <w:rtl/>
        </w:rPr>
        <w:t>רבינו יונה</w:t>
      </w:r>
      <w:r w:rsidRPr="00443F8D">
        <w:rPr>
          <w:rFonts w:hint="cs"/>
          <w:rtl/>
        </w:rPr>
        <w:t xml:space="preserve"> </w:t>
      </w:r>
      <w:r w:rsidRPr="005A24B5">
        <w:rPr>
          <w:rStyle w:val="af7"/>
          <w:rFonts w:eastAsia="Guttman Hodes" w:hint="cs"/>
          <w:rtl/>
        </w:rPr>
        <w:t xml:space="preserve">(עי' אות </w:t>
      </w:r>
      <w:r w:rsidRPr="005A24B5">
        <w:rPr>
          <w:rStyle w:val="af7"/>
          <w:rFonts w:eastAsia="Guttman Hodes"/>
          <w:rtl/>
        </w:rPr>
        <w:fldChar w:fldCharType="begin"/>
      </w:r>
      <w:r w:rsidRPr="005A24B5">
        <w:rPr>
          <w:rStyle w:val="af7"/>
          <w:rFonts w:eastAsia="Guttman Hodes"/>
          <w:rtl/>
        </w:rPr>
        <w:instrText xml:space="preserve"> </w:instrText>
      </w:r>
      <w:r w:rsidRPr="005A24B5">
        <w:rPr>
          <w:rStyle w:val="af7"/>
          <w:rFonts w:eastAsia="Guttman Hodes" w:hint="cs"/>
        </w:rPr>
        <w:instrText>REF</w:instrText>
      </w:r>
      <w:r w:rsidRPr="005A24B5">
        <w:rPr>
          <w:rStyle w:val="af7"/>
          <w:rFonts w:eastAsia="Guttman Hodes" w:hint="cs"/>
          <w:rtl/>
        </w:rPr>
        <w:instrText xml:space="preserve"> _</w:instrText>
      </w:r>
      <w:r w:rsidRPr="005A24B5">
        <w:rPr>
          <w:rStyle w:val="af7"/>
          <w:rFonts w:eastAsia="Guttman Hodes" w:hint="cs"/>
        </w:rPr>
        <w:instrText>Ref61882294 \r \h</w:instrText>
      </w:r>
      <w:r w:rsidRPr="005A24B5">
        <w:rPr>
          <w:rStyle w:val="af7"/>
          <w:rFonts w:eastAsia="Guttman Hodes"/>
          <w:rtl/>
        </w:rPr>
        <w:instrText xml:space="preserve"> </w:instrText>
      </w:r>
      <w:r w:rsidRPr="005A24B5">
        <w:rPr>
          <w:rStyle w:val="af7"/>
          <w:rFonts w:eastAsia="Guttman Hodes"/>
          <w:rtl/>
        </w:rPr>
      </w:r>
      <w:r w:rsidRPr="005A24B5">
        <w:rPr>
          <w:rStyle w:val="af7"/>
          <w:rFonts w:eastAsia="Guttman Hodes"/>
          <w:rtl/>
        </w:rPr>
        <w:fldChar w:fldCharType="separate"/>
      </w:r>
      <w:r w:rsidR="00265073">
        <w:rPr>
          <w:rStyle w:val="af7"/>
          <w:rFonts w:eastAsia="Guttman Hodes"/>
          <w:cs/>
        </w:rPr>
        <w:t>‎</w:t>
      </w:r>
      <w:r w:rsidR="00265073">
        <w:rPr>
          <w:rStyle w:val="af7"/>
          <w:rFonts w:eastAsia="Guttman Hodes"/>
          <w:rtl/>
        </w:rPr>
        <w:t>ו)</w:t>
      </w:r>
      <w:r w:rsidRPr="005A24B5">
        <w:rPr>
          <w:rStyle w:val="af7"/>
          <w:rFonts w:eastAsia="Guttman Hodes"/>
          <w:rtl/>
        </w:rPr>
        <w:fldChar w:fldCharType="end"/>
      </w:r>
      <w:r>
        <w:rPr>
          <w:rFonts w:hint="cs"/>
          <w:rtl/>
        </w:rPr>
        <w:t xml:space="preserve"> </w:t>
      </w:r>
      <w:r>
        <w:rPr>
          <w:rStyle w:val="af9"/>
          <w:rFonts w:hint="cs"/>
          <w:rtl/>
        </w:rPr>
        <w:t>ו</w:t>
      </w:r>
      <w:r w:rsidRPr="003A3768">
        <w:rPr>
          <w:rStyle w:val="af9"/>
          <w:rFonts w:hint="cs"/>
          <w:rtl/>
        </w:rPr>
        <w:t>הרשב"א</w:t>
      </w:r>
      <w:r>
        <w:rPr>
          <w:rFonts w:hint="cs"/>
          <w:rtl/>
        </w:rPr>
        <w:t xml:space="preserve"> </w:t>
      </w:r>
      <w:r w:rsidRPr="001B1A3C">
        <w:rPr>
          <w:rStyle w:val="af7"/>
          <w:rFonts w:eastAsia="Guttman Hodes" w:hint="cs"/>
          <w:rtl/>
        </w:rPr>
        <w:t xml:space="preserve">(עי' אות </w:t>
      </w:r>
      <w:r w:rsidRPr="001B1A3C">
        <w:rPr>
          <w:rStyle w:val="af7"/>
          <w:rFonts w:eastAsia="Guttman Hodes"/>
          <w:rtl/>
        </w:rPr>
        <w:fldChar w:fldCharType="begin"/>
      </w:r>
      <w:r w:rsidRPr="001B1A3C">
        <w:rPr>
          <w:rStyle w:val="af7"/>
          <w:rFonts w:eastAsia="Guttman Hodes"/>
          <w:rtl/>
        </w:rPr>
        <w:instrText xml:space="preserve"> </w:instrText>
      </w:r>
      <w:r w:rsidRPr="001B1A3C">
        <w:rPr>
          <w:rStyle w:val="af7"/>
          <w:rFonts w:eastAsia="Guttman Hodes" w:hint="cs"/>
        </w:rPr>
        <w:instrText>REF</w:instrText>
      </w:r>
      <w:r w:rsidRPr="001B1A3C">
        <w:rPr>
          <w:rStyle w:val="af7"/>
          <w:rFonts w:eastAsia="Guttman Hodes" w:hint="cs"/>
          <w:rtl/>
        </w:rPr>
        <w:instrText xml:space="preserve"> _</w:instrText>
      </w:r>
      <w:r w:rsidRPr="001B1A3C">
        <w:rPr>
          <w:rStyle w:val="af7"/>
          <w:rFonts w:eastAsia="Guttman Hodes" w:hint="cs"/>
        </w:rPr>
        <w:instrText>Ref61867265 \r \h</w:instrText>
      </w:r>
      <w:r w:rsidRPr="001B1A3C">
        <w:rPr>
          <w:rStyle w:val="af7"/>
          <w:rFonts w:eastAsia="Guttman Hodes"/>
          <w:rtl/>
        </w:rPr>
        <w:instrText xml:space="preserve"> </w:instrText>
      </w:r>
      <w:r w:rsidRPr="001B1A3C">
        <w:rPr>
          <w:rStyle w:val="af7"/>
          <w:rFonts w:eastAsia="Guttman Hodes"/>
          <w:rtl/>
        </w:rPr>
      </w:r>
      <w:r w:rsidRPr="001B1A3C">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1B1A3C">
        <w:rPr>
          <w:rStyle w:val="af7"/>
          <w:rFonts w:eastAsia="Guttman Hodes"/>
          <w:rtl/>
        </w:rPr>
        <w:fldChar w:fldCharType="end"/>
      </w:r>
      <w:r w:rsidRPr="00443F8D">
        <w:rPr>
          <w:rFonts w:hint="cs"/>
          <w:rtl/>
        </w:rPr>
        <w:t>.</w:t>
      </w:r>
      <w:bookmarkEnd w:id="12627"/>
    </w:p>
    <w:p w:rsidR="00C34249" w:rsidRPr="00286477" w:rsidRDefault="00C34249" w:rsidP="00C34249">
      <w:pPr>
        <w:pStyle w:val="a3"/>
      </w:pPr>
      <w:bookmarkStart w:id="12628" w:name="_Toc61861395"/>
      <w:bookmarkStart w:id="12629" w:name="_Toc61867418"/>
      <w:bookmarkStart w:id="12630" w:name="_Toc61867524"/>
      <w:bookmarkStart w:id="12631" w:name="_Toc61887891"/>
      <w:r>
        <w:rPr>
          <w:rFonts w:hint="cs"/>
          <w:rtl/>
        </w:rPr>
        <w:t>דברי התוס' הרא"ש דמשמע דמעולם הייתה שלהם ולא טענינן מה שלא משמע מלשון טענתו</w:t>
      </w:r>
      <w:bookmarkEnd w:id="12628"/>
      <w:bookmarkEnd w:id="12629"/>
      <w:bookmarkEnd w:id="12630"/>
      <w:bookmarkEnd w:id="12631"/>
    </w:p>
    <w:p w:rsidR="00C34249" w:rsidRDefault="00C34249" w:rsidP="007E4E81">
      <w:pPr>
        <w:pStyle w:val="a0"/>
        <w:rPr>
          <w:rtl/>
        </w:rPr>
      </w:pPr>
      <w:r>
        <w:rPr>
          <w:rFonts w:hint="cs"/>
          <w:rtl/>
        </w:rPr>
        <w:t xml:space="preserve">והוסיף </w:t>
      </w:r>
      <w:r w:rsidRPr="00522E98">
        <w:rPr>
          <w:rStyle w:val="af9"/>
          <w:rFonts w:hint="cs"/>
          <w:rtl/>
        </w:rPr>
        <w:t>התוס' הרא"ש בשיטמ"ק</w:t>
      </w:r>
      <w:r>
        <w:rPr>
          <w:rFonts w:hint="cs"/>
          <w:rtl/>
        </w:rPr>
        <w:t xml:space="preserve"> </w:t>
      </w:r>
      <w:r w:rsidRPr="001C1140">
        <w:rPr>
          <w:rStyle w:val="af7"/>
          <w:rFonts w:eastAsia="Guttman Hodes" w:hint="cs"/>
          <w:rtl/>
        </w:rPr>
        <w:t xml:space="preserve">(ד"ה על מה) </w:t>
      </w:r>
      <w:r>
        <w:rPr>
          <w:rFonts w:hint="cs"/>
          <w:rtl/>
        </w:rPr>
        <w:t xml:space="preserve">דכיון דשל אבותי משמע דהייתה מעולם שלהם, לכן לא טענינן דבר שאינו משמע מתוך לשון טענתו, ואעפ"י שהמחזיק עצמו יכול לתקן את טענתו, </w:t>
      </w:r>
      <w:r>
        <w:rPr>
          <w:rFonts w:hint="cs"/>
          <w:rtl/>
        </w:rPr>
        <w:t xml:space="preserve">מ"מ אנן לא טענינן ליה, כדאיתא לקמן </w:t>
      </w:r>
      <w:r w:rsidRPr="001C1140">
        <w:rPr>
          <w:rStyle w:val="af7"/>
          <w:rFonts w:eastAsia="Guttman Hodes" w:hint="cs"/>
          <w:rtl/>
        </w:rPr>
        <w:t>(ע.)</w:t>
      </w:r>
      <w:r>
        <w:rPr>
          <w:rFonts w:hint="cs"/>
          <w:rtl/>
        </w:rPr>
        <w:t xml:space="preserve"> דלא טענינן ליתמי נאנסו, כיון שהוא לא שכיח, אעפ"י שהיתומים עצמם נאמנים לטעון כן.</w:t>
      </w:r>
    </w:p>
    <w:p w:rsidR="00C34249" w:rsidRPr="00A61145" w:rsidRDefault="00C34249" w:rsidP="00C34249">
      <w:pPr>
        <w:pStyle w:val="a3"/>
      </w:pPr>
      <w:bookmarkStart w:id="12632" w:name="_Toc61861396"/>
      <w:bookmarkStart w:id="12633" w:name="_Toc61867419"/>
      <w:bookmarkStart w:id="12634" w:name="_Toc61867525"/>
      <w:bookmarkStart w:id="12635" w:name="_Toc61887892"/>
      <w:r>
        <w:rPr>
          <w:rFonts w:hint="cs"/>
          <w:rtl/>
        </w:rPr>
        <w:t>דברי ר"י דלנהרדעי א"צ לחזור ולטעון שלקחוה וכל שטוען קמי דידי דר חד יומא טענינן ליה</w:t>
      </w:r>
      <w:bookmarkEnd w:id="12632"/>
      <w:bookmarkEnd w:id="12633"/>
      <w:bookmarkEnd w:id="12634"/>
      <w:bookmarkEnd w:id="12635"/>
    </w:p>
    <w:p w:rsidR="00C34249" w:rsidRDefault="00C34249" w:rsidP="007E4E81">
      <w:pPr>
        <w:pStyle w:val="a0"/>
        <w:rPr>
          <w:rtl/>
        </w:rPr>
      </w:pPr>
      <w:r>
        <w:rPr>
          <w:rFonts w:hint="cs"/>
          <w:rtl/>
        </w:rPr>
        <w:t xml:space="preserve">ובדברי נהרדעי דחוזר וטוען של אבותי שלקחוה מאבותיך, תירץ </w:t>
      </w:r>
      <w:r w:rsidRPr="00522E98">
        <w:rPr>
          <w:rStyle w:val="af9"/>
          <w:rFonts w:hint="cs"/>
          <w:rtl/>
        </w:rPr>
        <w:t>ר"י בתוס'</w:t>
      </w:r>
      <w:r>
        <w:rPr>
          <w:rFonts w:hint="cs"/>
          <w:rtl/>
        </w:rPr>
        <w:t xml:space="preserve"> דאין הכוונה שהוא צריך לטעון שיודע כן בודאי, אלא כל שטען קמי דידי דרו בה אבותי חד יומא, ולכן הוא רוצה לזכות בקרקע, בטענת שמא, דיתכן שאבותיו לקחוה מאבותיו של המערער, ובכה"ג טעינינן ליורש.</w:t>
      </w:r>
    </w:p>
    <w:p w:rsidR="00C34249" w:rsidRDefault="00C34249" w:rsidP="00C34249">
      <w:pPr>
        <w:pStyle w:val="afe"/>
        <w:rPr>
          <w:rtl/>
        </w:rPr>
      </w:pPr>
      <w:bookmarkStart w:id="12636" w:name="_Toc61867420"/>
      <w:bookmarkStart w:id="12637" w:name="_Toc61867526"/>
      <w:bookmarkStart w:id="12638" w:name="_Toc61887893"/>
      <w:bookmarkEnd w:id="12534"/>
      <w:bookmarkEnd w:id="12573"/>
      <w:r>
        <w:rPr>
          <w:rtl/>
        </w:rPr>
        <w:t>דעת רבינו יונה דטוען בברי ול</w:t>
      </w:r>
      <w:r>
        <w:rPr>
          <w:rFonts w:hint="cs"/>
          <w:rtl/>
        </w:rPr>
        <w:t>"</w:t>
      </w:r>
      <w:r>
        <w:rPr>
          <w:rtl/>
        </w:rPr>
        <w:t>ש טענינן</w:t>
      </w:r>
      <w:bookmarkEnd w:id="12636"/>
      <w:bookmarkEnd w:id="12637"/>
      <w:bookmarkEnd w:id="12638"/>
    </w:p>
    <w:p w:rsidR="00C34249" w:rsidRDefault="00C34249" w:rsidP="00C34249">
      <w:pPr>
        <w:pStyle w:val="1"/>
        <w:rPr>
          <w:rtl/>
        </w:rPr>
      </w:pPr>
      <w:bookmarkStart w:id="12639" w:name="_Toc61867421"/>
      <w:bookmarkStart w:id="12640" w:name="_Toc61867527"/>
      <w:bookmarkStart w:id="12641" w:name="_Toc61887894"/>
      <w:r>
        <w:rPr>
          <w:rFonts w:hint="cs"/>
          <w:rtl/>
        </w:rPr>
        <w:t>קושיות רבינו יונה דאמאי לא טענינן אף כנגד טענת המחזיק</w:t>
      </w:r>
      <w:bookmarkEnd w:id="12639"/>
      <w:bookmarkEnd w:id="12640"/>
      <w:bookmarkEnd w:id="12641"/>
    </w:p>
    <w:p w:rsidR="00C34249" w:rsidRPr="008B436F" w:rsidRDefault="00C34249" w:rsidP="00C34249">
      <w:pPr>
        <w:pStyle w:val="a3"/>
        <w:rPr>
          <w:rtl/>
        </w:rPr>
      </w:pPr>
      <w:bookmarkStart w:id="12642" w:name="_Toc61867422"/>
      <w:bookmarkStart w:id="12643" w:name="_Toc61867528"/>
      <w:bookmarkStart w:id="12644" w:name="_Toc61887895"/>
      <w:r>
        <w:rPr>
          <w:rFonts w:hint="cs"/>
          <w:rtl/>
        </w:rPr>
        <w:t>ביאור רבי יונה דטענת של אבותי משמע שלא לקחוה אבותי מאבותיו של המערער והוא במק"ע</w:t>
      </w:r>
      <w:bookmarkEnd w:id="12642"/>
      <w:bookmarkEnd w:id="12643"/>
      <w:bookmarkEnd w:id="12644"/>
    </w:p>
    <w:p w:rsidR="00C34249" w:rsidRDefault="00C34249" w:rsidP="007E4E81">
      <w:pPr>
        <w:pStyle w:val="a0"/>
        <w:rPr>
          <w:rtl/>
        </w:rPr>
      </w:pPr>
      <w:bookmarkStart w:id="12645" w:name="_Ref61886313"/>
      <w:r>
        <w:rPr>
          <w:rFonts w:hint="cs"/>
          <w:rtl/>
        </w:rPr>
        <w:t xml:space="preserve">בדברי אביי דהוא מיגו במקום עדים, כתב </w:t>
      </w:r>
      <w:r w:rsidRPr="004777E9">
        <w:rPr>
          <w:rStyle w:val="af9"/>
          <w:rFonts w:hint="cs"/>
          <w:rtl/>
        </w:rPr>
        <w:t>רבינו</w:t>
      </w:r>
      <w:r>
        <w:rPr>
          <w:rFonts w:hint="cs"/>
          <w:rtl/>
        </w:rPr>
        <w:t xml:space="preserve"> </w:t>
      </w:r>
      <w:r w:rsidRPr="004777E9">
        <w:rPr>
          <w:rStyle w:val="af9"/>
          <w:rFonts w:hint="cs"/>
          <w:rtl/>
        </w:rPr>
        <w:t>יונה</w:t>
      </w:r>
      <w:r>
        <w:rPr>
          <w:rFonts w:hint="cs"/>
          <w:rtl/>
        </w:rPr>
        <w:t xml:space="preserve"> </w:t>
      </w:r>
      <w:r w:rsidRPr="00652FFA">
        <w:rPr>
          <w:rStyle w:val="af7"/>
          <w:rFonts w:eastAsia="Guttman Hodes" w:hint="cs"/>
          <w:rtl/>
        </w:rPr>
        <w:t>(ד"ה זה)</w:t>
      </w:r>
      <w:r>
        <w:rPr>
          <w:rFonts w:hint="cs"/>
          <w:rtl/>
        </w:rPr>
        <w:t xml:space="preserve"> דכיון שטען של אבותי, משמע דכוונתו לומר של אבותי ולא של אבותיך, וחשיב כאומר שהיא של אבותיו לגמרי, ולא לקחוה אבותי מאבותיו של המערער, דלא הייתה של אבותיו של המערער, ולכן אינו נאמן במיגו כנגד העדים שהייתה של אבותיו של המערער.</w:t>
      </w:r>
      <w:bookmarkEnd w:id="12645"/>
    </w:p>
    <w:p w:rsidR="00C34249" w:rsidRDefault="00C34249" w:rsidP="00C34249">
      <w:pPr>
        <w:pStyle w:val="a3"/>
        <w:rPr>
          <w:rtl/>
        </w:rPr>
      </w:pPr>
      <w:bookmarkStart w:id="12646" w:name="_Toc61867423"/>
      <w:bookmarkStart w:id="12647" w:name="_Toc61867529"/>
      <w:bookmarkStart w:id="12648" w:name="_Toc61887896"/>
      <w:r>
        <w:rPr>
          <w:rFonts w:hint="cs"/>
          <w:rtl/>
        </w:rPr>
        <w:t>קו' רבינו יונה דאמאי לא טענינן ליורש</w:t>
      </w:r>
      <w:r w:rsidRPr="0044451E">
        <w:rPr>
          <w:rFonts w:hint="cs"/>
          <w:rtl/>
        </w:rPr>
        <w:t xml:space="preserve"> </w:t>
      </w:r>
      <w:r>
        <w:rPr>
          <w:rFonts w:hint="cs"/>
          <w:rtl/>
        </w:rPr>
        <w:t>ומה שטוען שהייתה רק של אבותיו כיון שירשה מאביו</w:t>
      </w:r>
      <w:bookmarkEnd w:id="12646"/>
      <w:bookmarkEnd w:id="12647"/>
      <w:bookmarkEnd w:id="12648"/>
    </w:p>
    <w:p w:rsidR="00C34249" w:rsidRDefault="00C34249" w:rsidP="007E4E81">
      <w:pPr>
        <w:pStyle w:val="a0"/>
        <w:rPr>
          <w:rtl/>
        </w:rPr>
      </w:pPr>
      <w:bookmarkStart w:id="12649" w:name="_Ref61865417"/>
      <w:r>
        <w:rPr>
          <w:rFonts w:hint="cs"/>
          <w:rtl/>
        </w:rPr>
        <w:t xml:space="preserve">והקשה </w:t>
      </w:r>
      <w:r w:rsidRPr="004777E9">
        <w:rPr>
          <w:rStyle w:val="af9"/>
          <w:rFonts w:hint="cs"/>
          <w:rtl/>
        </w:rPr>
        <w:t>רבינו</w:t>
      </w:r>
      <w:r>
        <w:rPr>
          <w:rFonts w:hint="cs"/>
          <w:rtl/>
        </w:rPr>
        <w:t xml:space="preserve"> </w:t>
      </w:r>
      <w:r w:rsidRPr="004777E9">
        <w:rPr>
          <w:rStyle w:val="af9"/>
          <w:rFonts w:hint="cs"/>
          <w:rtl/>
        </w:rPr>
        <w:t>יונה</w:t>
      </w:r>
      <w:r>
        <w:rPr>
          <w:rFonts w:hint="cs"/>
          <w:rtl/>
        </w:rPr>
        <w:t xml:space="preserve"> דאמאי לא טענינן ליה של אבותי שלקחוה מאבותיך, ומה שהוא טוען שהייתה של אבותיו, </w:t>
      </w:r>
      <w:r w:rsidRPr="00253C9E">
        <w:rPr>
          <w:rStyle w:val="afb"/>
          <w:rFonts w:hint="cs"/>
          <w:rtl/>
        </w:rPr>
        <w:t>[ומשמע מדבריו דכוונתו לומר של של אבותי ולא של אבותיך, וחשיב כאומר שהיא של אבותיו לגמרי],</w:t>
      </w:r>
      <w:r>
        <w:rPr>
          <w:rFonts w:hint="cs"/>
          <w:rtl/>
        </w:rPr>
        <w:t xml:space="preserve"> הוא כיון שירש את הקרקע מאביו, והרי תנן לקמן </w:t>
      </w:r>
      <w:r w:rsidRPr="00652FFA">
        <w:rPr>
          <w:rStyle w:val="af7"/>
          <w:rFonts w:eastAsia="Guttman Hodes" w:hint="cs"/>
          <w:rtl/>
        </w:rPr>
        <w:t>(מא.)</w:t>
      </w:r>
      <w:r>
        <w:rPr>
          <w:rFonts w:hint="cs"/>
          <w:rtl/>
        </w:rPr>
        <w:t xml:space="preserve"> דהבא משום ירושה א"צ טענה, וא"כ אף שיש למערער עדים שהייתה של אבותיו, מ"מ כיון שהמחזיק טוען שירש את הקרקע מאביו, טענינן ליה דאביו קנה מהמערער או מאבותיו, ועי' בדברי </w:t>
      </w:r>
      <w:r>
        <w:rPr>
          <w:rStyle w:val="af9"/>
          <w:rFonts w:hint="cs"/>
          <w:rtl/>
        </w:rPr>
        <w:t>הרשב"א בתוס'</w:t>
      </w:r>
      <w:r>
        <w:rPr>
          <w:rStyle w:val="af7"/>
          <w:rFonts w:eastAsia="Guttman Hodes" w:hint="cs"/>
          <w:rtl/>
        </w:rPr>
        <w:t xml:space="preserve"> </w:t>
      </w:r>
      <w:r w:rsidRPr="00951D29">
        <w:rPr>
          <w:rStyle w:val="af7"/>
          <w:rFonts w:eastAsia="Guttman Hodes" w:hint="cs"/>
          <w:rtl/>
        </w:rPr>
        <w:t xml:space="preserve">(עי' אות </w:t>
      </w:r>
      <w:r w:rsidRPr="00951D29">
        <w:rPr>
          <w:rStyle w:val="af7"/>
          <w:rFonts w:eastAsia="Guttman Hodes"/>
          <w:rtl/>
        </w:rPr>
        <w:fldChar w:fldCharType="begin"/>
      </w:r>
      <w:r w:rsidRPr="00951D29">
        <w:rPr>
          <w:rStyle w:val="af7"/>
          <w:rFonts w:eastAsia="Guttman Hodes"/>
          <w:rtl/>
        </w:rPr>
        <w:instrText xml:space="preserve"> </w:instrText>
      </w:r>
      <w:r w:rsidRPr="00951D29">
        <w:rPr>
          <w:rStyle w:val="af7"/>
          <w:rFonts w:eastAsia="Guttman Hodes" w:hint="cs"/>
        </w:rPr>
        <w:instrText>REF</w:instrText>
      </w:r>
      <w:r w:rsidRPr="00951D29">
        <w:rPr>
          <w:rStyle w:val="af7"/>
          <w:rFonts w:eastAsia="Guttman Hodes" w:hint="cs"/>
          <w:rtl/>
        </w:rPr>
        <w:instrText xml:space="preserve"> _</w:instrText>
      </w:r>
      <w:r w:rsidRPr="00951D29">
        <w:rPr>
          <w:rStyle w:val="af7"/>
          <w:rFonts w:eastAsia="Guttman Hodes" w:hint="cs"/>
        </w:rPr>
        <w:instrText>Ref61813820 \r \h</w:instrText>
      </w:r>
      <w:r w:rsidRPr="00951D29">
        <w:rPr>
          <w:rStyle w:val="af7"/>
          <w:rFonts w:eastAsia="Guttman Hodes"/>
          <w:rtl/>
        </w:rPr>
        <w:instrText xml:space="preserve"> </w:instrText>
      </w:r>
      <w:r w:rsidRPr="00951D29">
        <w:rPr>
          <w:rStyle w:val="af7"/>
          <w:rFonts w:eastAsia="Guttman Hodes"/>
          <w:rtl/>
        </w:rPr>
      </w:r>
      <w:r w:rsidRPr="00951D29">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951D29">
        <w:rPr>
          <w:rStyle w:val="af7"/>
          <w:rFonts w:eastAsia="Guttman Hodes"/>
          <w:rtl/>
        </w:rPr>
        <w:fldChar w:fldCharType="end"/>
      </w:r>
      <w:r>
        <w:rPr>
          <w:rStyle w:val="af9"/>
          <w:rFonts w:hint="cs"/>
          <w:rtl/>
        </w:rPr>
        <w:t xml:space="preserve"> והרמב"ן </w:t>
      </w:r>
      <w:r w:rsidRPr="00951D2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Ref61865494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Pr>
          <w:rStyle w:val="af7"/>
          <w:rFonts w:eastAsia="Guttman Hodes"/>
          <w:rtl/>
        </w:rPr>
        <w:fldChar w:fldCharType="end"/>
      </w:r>
      <w:r w:rsidRPr="00951D29">
        <w:rPr>
          <w:rStyle w:val="af7"/>
          <w:rFonts w:eastAsia="Guttman Hodes" w:hint="cs"/>
          <w:rtl/>
        </w:rPr>
        <w:t xml:space="preserve"> </w:t>
      </w:r>
      <w:r>
        <w:rPr>
          <w:rStyle w:val="af9"/>
          <w:rFonts w:hint="cs"/>
          <w:rtl/>
        </w:rPr>
        <w:t>ו</w:t>
      </w:r>
      <w:r w:rsidRPr="003A3768">
        <w:rPr>
          <w:rStyle w:val="af9"/>
          <w:rFonts w:hint="cs"/>
          <w:rtl/>
        </w:rPr>
        <w:t>הרשב"א</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Ref61866105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w:t>
      </w:r>
      <w:r>
        <w:rPr>
          <w:rStyle w:val="af7"/>
          <w:rFonts w:eastAsia="Guttman Hodes"/>
          <w:rtl/>
        </w:rPr>
        <w:fldChar w:fldCharType="end"/>
      </w:r>
      <w:r>
        <w:rPr>
          <w:rStyle w:val="af9"/>
          <w:rFonts w:hint="cs"/>
          <w:rtl/>
        </w:rPr>
        <w:t xml:space="preserve"> והיד רמ"ה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Ref61883135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915FFC">
        <w:rPr>
          <w:rStyle w:val="af7"/>
          <w:rFonts w:eastAsia="Guttman Hodes"/>
          <w:rtl/>
        </w:rPr>
        <w:fldChar w:fldCharType="end"/>
      </w:r>
      <w:r>
        <w:rPr>
          <w:rStyle w:val="af9"/>
          <w:rFonts w:hint="cs"/>
          <w:rtl/>
        </w:rPr>
        <w:t xml:space="preserve"> וה</w:t>
      </w:r>
      <w:r w:rsidRPr="00EE39AB">
        <w:rPr>
          <w:rStyle w:val="af9"/>
          <w:rFonts w:hint="cs"/>
          <w:rtl/>
        </w:rPr>
        <w:t>ר"ן</w:t>
      </w:r>
      <w:r>
        <w:rPr>
          <w:rFonts w:hint="cs"/>
          <w:rtl/>
        </w:rPr>
        <w:t xml:space="preserve">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Ref61883164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915FFC">
        <w:rPr>
          <w:rStyle w:val="af7"/>
          <w:rFonts w:eastAsia="Guttman Hodes"/>
          <w:rtl/>
        </w:rPr>
        <w:fldChar w:fldCharType="end"/>
      </w:r>
      <w:r>
        <w:rPr>
          <w:rFonts w:hint="cs"/>
          <w:rtl/>
        </w:rPr>
        <w:t>.</w:t>
      </w:r>
      <w:bookmarkEnd w:id="12649"/>
    </w:p>
    <w:p w:rsidR="00C34249" w:rsidRPr="00100ED9" w:rsidRDefault="00C34249" w:rsidP="00C34249">
      <w:pPr>
        <w:pStyle w:val="a3"/>
        <w:rPr>
          <w:rtl/>
        </w:rPr>
      </w:pPr>
      <w:bookmarkStart w:id="12650" w:name="_Toc61867424"/>
      <w:bookmarkStart w:id="12651" w:name="_Toc61867530"/>
      <w:bookmarkStart w:id="12652" w:name="_Toc61887897"/>
      <w:r>
        <w:rPr>
          <w:rFonts w:hint="cs"/>
          <w:rtl/>
        </w:rPr>
        <w:t>דברי רבינו יונה דמוכח דאיירי באופן דאבותיו דרו בקרקע וא"כ קשה אמאי לא טענינן ליה</w:t>
      </w:r>
      <w:bookmarkEnd w:id="12650"/>
      <w:bookmarkEnd w:id="12651"/>
      <w:bookmarkEnd w:id="12652"/>
    </w:p>
    <w:p w:rsidR="00C34249" w:rsidRDefault="00C34249" w:rsidP="007E4E81">
      <w:pPr>
        <w:pStyle w:val="a0"/>
        <w:rPr>
          <w:rtl/>
        </w:rPr>
      </w:pPr>
      <w:r>
        <w:rPr>
          <w:rFonts w:hint="cs"/>
          <w:rtl/>
        </w:rPr>
        <w:t xml:space="preserve">וכתב </w:t>
      </w:r>
      <w:r w:rsidRPr="003A3768">
        <w:rPr>
          <w:rStyle w:val="af9"/>
          <w:rFonts w:hint="cs"/>
          <w:rtl/>
        </w:rPr>
        <w:t>רבינו</w:t>
      </w:r>
      <w:r>
        <w:rPr>
          <w:rFonts w:hint="cs"/>
          <w:rtl/>
        </w:rPr>
        <w:t xml:space="preserve"> </w:t>
      </w:r>
      <w:r w:rsidRPr="003A3768">
        <w:rPr>
          <w:rStyle w:val="af9"/>
          <w:rFonts w:hint="cs"/>
          <w:rtl/>
        </w:rPr>
        <w:t>יונה</w:t>
      </w:r>
      <w:r>
        <w:rPr>
          <w:rFonts w:hint="cs"/>
          <w:rtl/>
        </w:rPr>
        <w:t xml:space="preserve"> </w:t>
      </w:r>
      <w:r w:rsidRPr="00652FFA">
        <w:rPr>
          <w:rStyle w:val="af7"/>
          <w:rFonts w:eastAsia="Guttman Hodes" w:hint="cs"/>
          <w:rtl/>
        </w:rPr>
        <w:t>(ד"ה זה)</w:t>
      </w:r>
      <w:r>
        <w:rPr>
          <w:rFonts w:hint="cs"/>
          <w:rtl/>
        </w:rPr>
        <w:t xml:space="preserve"> דא"א לתרץ שהמעשה היה דלא דרו אבותיו של המחזיק בקרקע, דהא מודו נהרדעי דחוזר וטוען במקום שחזר וטען דהייתה של אבותיו שלקחוה מאבותיו של המערער, ומוכח דאיירי באופן דאבותיו של המחזיק דרו בה, ואפ"ה מבואר בגמ' דרק אם המחזיק עצמו חוזר וטוען הוא נאמן, אבל אנן לא טענינן ליה, והוסיף </w:t>
      </w:r>
      <w:r w:rsidRPr="009B789D">
        <w:rPr>
          <w:rStyle w:val="af9"/>
          <w:rFonts w:hint="cs"/>
          <w:rtl/>
        </w:rPr>
        <w:t>רבינו יונה</w:t>
      </w:r>
      <w:r>
        <w:rPr>
          <w:rFonts w:hint="cs"/>
          <w:rtl/>
        </w:rPr>
        <w:t xml:space="preserve"> דמסתימת דברי הגמ' משמע דאף אם דרו בה אבותיו חד יומא לא טענינן ליה.</w:t>
      </w:r>
    </w:p>
    <w:p w:rsidR="00C34249" w:rsidRDefault="00C34249" w:rsidP="00C34249">
      <w:pPr>
        <w:pStyle w:val="1"/>
        <w:rPr>
          <w:rtl/>
        </w:rPr>
      </w:pPr>
      <w:bookmarkStart w:id="12653" w:name="_Toc61867425"/>
      <w:bookmarkStart w:id="12654" w:name="_Toc61867531"/>
      <w:bookmarkStart w:id="12655" w:name="_Toc61887898"/>
      <w:r>
        <w:rPr>
          <w:rFonts w:hint="cs"/>
          <w:rtl/>
        </w:rPr>
        <w:t>ביאור רבינו יונה דטוען בברי שלא לקחוה ול"ש בזה טענינן</w:t>
      </w:r>
      <w:bookmarkEnd w:id="12653"/>
      <w:bookmarkEnd w:id="12654"/>
      <w:bookmarkEnd w:id="12655"/>
    </w:p>
    <w:p w:rsidR="00C34249" w:rsidRPr="00DD1C64" w:rsidRDefault="00C34249" w:rsidP="00C34249">
      <w:pPr>
        <w:pStyle w:val="a3"/>
        <w:rPr>
          <w:rtl/>
        </w:rPr>
      </w:pPr>
      <w:bookmarkStart w:id="12656" w:name="_Toc61867426"/>
      <w:bookmarkStart w:id="12657" w:name="_Toc61867532"/>
      <w:bookmarkStart w:id="12658" w:name="_Toc61887899"/>
      <w:r>
        <w:rPr>
          <w:rFonts w:hint="cs"/>
          <w:rtl/>
        </w:rPr>
        <w:t>תירוץ רבינו יונה דטוען בברי שהייתה רק של אבותיו ולא של אבות המערער וא"א לטעון לו</w:t>
      </w:r>
      <w:bookmarkEnd w:id="12656"/>
      <w:bookmarkEnd w:id="12657"/>
      <w:bookmarkEnd w:id="12658"/>
    </w:p>
    <w:p w:rsidR="00C34249" w:rsidRDefault="00C34249" w:rsidP="007E4E81">
      <w:pPr>
        <w:pStyle w:val="a0"/>
        <w:rPr>
          <w:rtl/>
        </w:rPr>
      </w:pPr>
      <w:bookmarkStart w:id="12659" w:name="_Ref61867117"/>
      <w:r>
        <w:rPr>
          <w:rFonts w:hint="cs"/>
          <w:rtl/>
        </w:rPr>
        <w:t xml:space="preserve">ותירץ </w:t>
      </w:r>
      <w:r w:rsidRPr="003A3768">
        <w:rPr>
          <w:rStyle w:val="af9"/>
          <w:rFonts w:hint="cs"/>
          <w:rtl/>
        </w:rPr>
        <w:t>רבינו</w:t>
      </w:r>
      <w:r>
        <w:rPr>
          <w:rFonts w:hint="cs"/>
          <w:rtl/>
        </w:rPr>
        <w:t xml:space="preserve"> </w:t>
      </w:r>
      <w:r w:rsidRPr="003A3768">
        <w:rPr>
          <w:rStyle w:val="af9"/>
          <w:rFonts w:hint="cs"/>
          <w:rtl/>
        </w:rPr>
        <w:t>יונה</w:t>
      </w:r>
      <w:r>
        <w:rPr>
          <w:rFonts w:hint="cs"/>
          <w:rtl/>
        </w:rPr>
        <w:t xml:space="preserve"> דאם היה טוען שירש את הקרקע מאביו, טענינן ליה דאביו קנה מהמערער או מאבותיו, אבל כיון שטען שהייתה של אביו, משמע דהוא יודע בודאי שהייתה של אבותיו, וכוונתו לטעון טענה כגון קמי דידי לקחוה אבותי, ולא טען דאביו קנאה מהמערער או מפלוני, ומשמע מסוף דברי המחזיק, דעל טענת המערער שטען שהייתה של אבותיו, כוונת המחזיק להשיב דהייתה רק של אבותיו של המחזיק, ולא הייתה של אבותיו של המערער, וא"כ הוא טוען שלא לקחוה אבותי מאבותיו של המערער, ולכן לא טענינן ליה. </w:t>
      </w:r>
      <w:r w:rsidRPr="00A13F50">
        <w:rPr>
          <w:rStyle w:val="afb"/>
          <w:rFonts w:hint="cs"/>
          <w:rtl/>
        </w:rPr>
        <w:t xml:space="preserve">[וע"ע בדברי </w:t>
      </w:r>
      <w:r w:rsidRPr="00A13F50">
        <w:rPr>
          <w:rStyle w:val="affa"/>
          <w:rFonts w:hint="cs"/>
          <w:rtl/>
        </w:rPr>
        <w:t xml:space="preserve">הרשב"א </w:t>
      </w:r>
      <w:r w:rsidRPr="00A13F50">
        <w:rPr>
          <w:rStyle w:val="aff6"/>
          <w:rFonts w:hint="cs"/>
          <w:rtl/>
        </w:rPr>
        <w:t xml:space="preserve">(עי' אות </w:t>
      </w:r>
      <w:r w:rsidRPr="00A13F50">
        <w:rPr>
          <w:rStyle w:val="aff6"/>
          <w:rtl/>
        </w:rPr>
        <w:fldChar w:fldCharType="begin"/>
      </w:r>
      <w:r w:rsidRPr="00A13F50">
        <w:rPr>
          <w:rStyle w:val="aff6"/>
          <w:rtl/>
        </w:rPr>
        <w:instrText xml:space="preserve"> </w:instrText>
      </w:r>
      <w:r w:rsidRPr="00A13F50">
        <w:rPr>
          <w:rStyle w:val="aff6"/>
          <w:rFonts w:hint="cs"/>
        </w:rPr>
        <w:instrText>REF</w:instrText>
      </w:r>
      <w:r w:rsidRPr="00A13F50">
        <w:rPr>
          <w:rStyle w:val="aff6"/>
          <w:rFonts w:hint="cs"/>
          <w:rtl/>
        </w:rPr>
        <w:instrText xml:space="preserve"> _</w:instrText>
      </w:r>
      <w:r w:rsidRPr="00A13F50">
        <w:rPr>
          <w:rStyle w:val="aff6"/>
          <w:rFonts w:hint="cs"/>
        </w:rPr>
        <w:instrText>Ref61867265 \r \h</w:instrText>
      </w:r>
      <w:r w:rsidRPr="00A13F50">
        <w:rPr>
          <w:rStyle w:val="aff6"/>
          <w:rtl/>
        </w:rPr>
        <w:instrText xml:space="preserve"> </w:instrText>
      </w:r>
      <w:r w:rsidRPr="00A13F50">
        <w:rPr>
          <w:rStyle w:val="aff6"/>
          <w:rtl/>
        </w:rPr>
      </w:r>
      <w:r w:rsidRPr="00A13F50">
        <w:rPr>
          <w:rStyle w:val="aff6"/>
          <w:rtl/>
        </w:rPr>
        <w:fldChar w:fldCharType="separate"/>
      </w:r>
      <w:r w:rsidR="00265073">
        <w:rPr>
          <w:rStyle w:val="aff6"/>
          <w:cs/>
        </w:rPr>
        <w:t>‎</w:t>
      </w:r>
      <w:r w:rsidR="00265073">
        <w:rPr>
          <w:rStyle w:val="aff6"/>
          <w:rtl/>
        </w:rPr>
        <w:t>סג)</w:t>
      </w:r>
      <w:r w:rsidRPr="00A13F50">
        <w:rPr>
          <w:rStyle w:val="aff6"/>
          <w:rtl/>
        </w:rPr>
        <w:fldChar w:fldCharType="end"/>
      </w:r>
      <w:r w:rsidRPr="00A13F50">
        <w:rPr>
          <w:rStyle w:val="afb"/>
          <w:rFonts w:hint="cs"/>
          <w:rtl/>
        </w:rPr>
        <w:t xml:space="preserve"> בשם </w:t>
      </w:r>
      <w:r w:rsidRPr="00A13F50">
        <w:rPr>
          <w:rStyle w:val="affa"/>
          <w:rFonts w:hint="cs"/>
          <w:rtl/>
        </w:rPr>
        <w:t>רבותיו</w:t>
      </w:r>
      <w:r w:rsidRPr="00A13F50">
        <w:rPr>
          <w:rStyle w:val="afb"/>
          <w:rFonts w:hint="cs"/>
          <w:rtl/>
        </w:rPr>
        <w:t>].</w:t>
      </w:r>
      <w:bookmarkEnd w:id="12659"/>
    </w:p>
    <w:p w:rsidR="00C34249" w:rsidRPr="001D3197" w:rsidRDefault="00C34249" w:rsidP="00C34249">
      <w:pPr>
        <w:pStyle w:val="a3"/>
        <w:rPr>
          <w:rtl/>
        </w:rPr>
      </w:pPr>
      <w:bookmarkStart w:id="12660" w:name="_Toc61867427"/>
      <w:bookmarkStart w:id="12661" w:name="_Toc61867533"/>
      <w:bookmarkStart w:id="12662" w:name="_Toc61887900"/>
      <w:r>
        <w:rPr>
          <w:rFonts w:hint="cs"/>
          <w:rtl/>
        </w:rPr>
        <w:lastRenderedPageBreak/>
        <w:t>דברי רבינו יונה דהנדון אי חוזר וטוען היינו רק בחוזר וטוען בפירוש אבל בלא"ה לא טענינן ליה</w:t>
      </w:r>
      <w:bookmarkEnd w:id="12660"/>
      <w:bookmarkEnd w:id="12661"/>
      <w:bookmarkEnd w:id="12662"/>
    </w:p>
    <w:p w:rsidR="00C34249" w:rsidRDefault="00C34249" w:rsidP="007E4E81">
      <w:pPr>
        <w:pStyle w:val="a0"/>
        <w:rPr>
          <w:rtl/>
        </w:rPr>
      </w:pPr>
      <w:r>
        <w:rPr>
          <w:rFonts w:hint="cs"/>
          <w:rtl/>
        </w:rPr>
        <w:t xml:space="preserve">והוסיף </w:t>
      </w:r>
      <w:r w:rsidRPr="004777E9">
        <w:rPr>
          <w:rStyle w:val="af9"/>
          <w:rFonts w:hint="cs"/>
          <w:rtl/>
        </w:rPr>
        <w:t>רבינו</w:t>
      </w:r>
      <w:r>
        <w:rPr>
          <w:rFonts w:hint="cs"/>
          <w:rtl/>
        </w:rPr>
        <w:t xml:space="preserve"> </w:t>
      </w:r>
      <w:r w:rsidRPr="004777E9">
        <w:rPr>
          <w:rStyle w:val="af9"/>
          <w:rFonts w:hint="cs"/>
          <w:rtl/>
        </w:rPr>
        <w:t>יונה</w:t>
      </w:r>
      <w:r>
        <w:rPr>
          <w:rFonts w:hint="cs"/>
          <w:rtl/>
        </w:rPr>
        <w:t xml:space="preserve"> </w:t>
      </w:r>
      <w:r w:rsidRPr="001578AF">
        <w:rPr>
          <w:rStyle w:val="af7"/>
          <w:rFonts w:eastAsia="Guttman Hodes" w:hint="cs"/>
          <w:rtl/>
        </w:rPr>
        <w:t>(סוד"ה זה)</w:t>
      </w:r>
      <w:r>
        <w:rPr>
          <w:rFonts w:hint="cs"/>
          <w:rtl/>
        </w:rPr>
        <w:t xml:space="preserve"> דהא דמספקא לגמ' אי יכול לחזור ולטעון של אבותי שלקחוה מאבותיך, היינו רק באופן שטוען כן בפירוש, אבל אם לא טען כן, משמע דכוונתו הייתה לומר של אבותי ולא של אבותיך, ולכן לא טענינן ליה, והביא </w:t>
      </w:r>
      <w:r w:rsidRPr="004777E9">
        <w:rPr>
          <w:rStyle w:val="af9"/>
          <w:rFonts w:hint="cs"/>
          <w:rtl/>
        </w:rPr>
        <w:t>רבינו</w:t>
      </w:r>
      <w:r>
        <w:rPr>
          <w:rFonts w:hint="cs"/>
          <w:rtl/>
        </w:rPr>
        <w:t xml:space="preserve"> </w:t>
      </w:r>
      <w:r w:rsidRPr="004777E9">
        <w:rPr>
          <w:rStyle w:val="af9"/>
          <w:rFonts w:hint="cs"/>
          <w:rtl/>
        </w:rPr>
        <w:t>יונה</w:t>
      </w:r>
      <w:r>
        <w:rPr>
          <w:rFonts w:hint="cs"/>
          <w:rtl/>
        </w:rPr>
        <w:t xml:space="preserve"> בשם </w:t>
      </w:r>
      <w:r w:rsidRPr="00652FFA">
        <w:rPr>
          <w:rStyle w:val="af9"/>
          <w:rFonts w:hint="cs"/>
          <w:rtl/>
        </w:rPr>
        <w:t>י"מ</w:t>
      </w:r>
      <w:r>
        <w:rPr>
          <w:rFonts w:hint="cs"/>
          <w:rtl/>
        </w:rPr>
        <w:t xml:space="preserve"> [</w:t>
      </w:r>
      <w:r w:rsidRPr="00522E98">
        <w:rPr>
          <w:rStyle w:val="af9"/>
          <w:rFonts w:hint="cs"/>
          <w:rtl/>
        </w:rPr>
        <w:t>ר"י</w:t>
      </w:r>
      <w:r>
        <w:rPr>
          <w:rFonts w:hint="cs"/>
          <w:rtl/>
        </w:rPr>
        <w:t xml:space="preserve"> </w:t>
      </w:r>
      <w:r>
        <w:rPr>
          <w:rStyle w:val="af9"/>
          <w:rFonts w:hint="cs"/>
          <w:rtl/>
        </w:rPr>
        <w:t>ב</w:t>
      </w:r>
      <w:r w:rsidRPr="00522E98">
        <w:rPr>
          <w:rStyle w:val="af9"/>
          <w:rFonts w:hint="cs"/>
          <w:rtl/>
        </w:rPr>
        <w:t>תוס'</w:t>
      </w:r>
      <w:r>
        <w:rPr>
          <w:rFonts w:hint="cs"/>
          <w:rtl/>
        </w:rPr>
        <w:t xml:space="preserve"> </w:t>
      </w:r>
      <w:r w:rsidRPr="001578AF">
        <w:rPr>
          <w:rStyle w:val="af7"/>
          <w:rFonts w:eastAsia="Guttman Hodes" w:hint="cs"/>
          <w:rtl/>
        </w:rPr>
        <w:t xml:space="preserve">(עי' אות </w:t>
      </w:r>
      <w:r w:rsidRPr="001578AF">
        <w:rPr>
          <w:rStyle w:val="af7"/>
          <w:rFonts w:eastAsia="Guttman Hodes"/>
          <w:rtl/>
        </w:rPr>
        <w:fldChar w:fldCharType="begin"/>
      </w:r>
      <w:r w:rsidRPr="001578AF">
        <w:rPr>
          <w:rStyle w:val="af7"/>
          <w:rFonts w:eastAsia="Guttman Hodes"/>
          <w:rtl/>
        </w:rPr>
        <w:instrText xml:space="preserve"> </w:instrText>
      </w:r>
      <w:r w:rsidRPr="001578AF">
        <w:rPr>
          <w:rStyle w:val="af7"/>
          <w:rFonts w:eastAsia="Guttman Hodes" w:hint="cs"/>
        </w:rPr>
        <w:instrText>REF</w:instrText>
      </w:r>
      <w:r w:rsidRPr="001578AF">
        <w:rPr>
          <w:rStyle w:val="af7"/>
          <w:rFonts w:eastAsia="Guttman Hodes" w:hint="cs"/>
          <w:rtl/>
        </w:rPr>
        <w:instrText xml:space="preserve"> _</w:instrText>
      </w:r>
      <w:r w:rsidRPr="001578AF">
        <w:rPr>
          <w:rStyle w:val="af7"/>
          <w:rFonts w:eastAsia="Guttman Hodes" w:hint="cs"/>
        </w:rPr>
        <w:instrText>Ref61851282 \r \h</w:instrText>
      </w:r>
      <w:r w:rsidRPr="001578AF">
        <w:rPr>
          <w:rStyle w:val="af7"/>
          <w:rFonts w:eastAsia="Guttman Hodes"/>
          <w:rtl/>
        </w:rPr>
        <w:instrText xml:space="preserve"> </w:instrText>
      </w:r>
      <w:r w:rsidRPr="001578AF">
        <w:rPr>
          <w:rStyle w:val="af7"/>
          <w:rFonts w:eastAsia="Guttman Hodes"/>
          <w:rtl/>
        </w:rPr>
      </w:r>
      <w:r w:rsidRPr="001578AF">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1578AF">
        <w:rPr>
          <w:rStyle w:val="af7"/>
          <w:rFonts w:eastAsia="Guttman Hodes"/>
          <w:rtl/>
        </w:rPr>
        <w:fldChar w:fldCharType="end"/>
      </w:r>
      <w:r>
        <w:rPr>
          <w:rFonts w:hint="cs"/>
          <w:rtl/>
        </w:rPr>
        <w:t>] דבלשון שאמר המחזיק "של אבותי", משמע דהייתה של אבותי מעולם, ולא לקחוה מאחרים, אא"כ פירש את דבריו דכוונתו הייתה לומר שאבותיו לקחוה מאבותיו של המערער.</w:t>
      </w:r>
    </w:p>
    <w:p w:rsidR="00C34249" w:rsidRDefault="00C34249" w:rsidP="00C34249">
      <w:pPr>
        <w:pStyle w:val="1"/>
        <w:rPr>
          <w:rtl/>
        </w:rPr>
      </w:pPr>
      <w:bookmarkStart w:id="12663" w:name="_Toc61617748"/>
      <w:bookmarkStart w:id="12664" w:name="_Toc61811677"/>
      <w:bookmarkStart w:id="12665" w:name="_Toc61815364"/>
      <w:bookmarkStart w:id="12666" w:name="_Toc61861442"/>
      <w:bookmarkStart w:id="12667" w:name="_Toc61867428"/>
      <w:bookmarkStart w:id="12668" w:name="_Toc61867534"/>
      <w:bookmarkStart w:id="12669" w:name="_Toc61887901"/>
      <w:bookmarkStart w:id="12670" w:name="_Toc61617750"/>
      <w:bookmarkStart w:id="12671" w:name="_Toc61811679"/>
      <w:bookmarkStart w:id="12672" w:name="_Toc61815367"/>
      <w:bookmarkStart w:id="12673" w:name="_Toc61861444"/>
      <w:r>
        <w:rPr>
          <w:rFonts w:hint="cs"/>
          <w:rtl/>
        </w:rPr>
        <w:t>דברי הרשב"א</w:t>
      </w:r>
      <w:bookmarkEnd w:id="12663"/>
      <w:bookmarkEnd w:id="12664"/>
      <w:bookmarkEnd w:id="12665"/>
      <w:bookmarkEnd w:id="12666"/>
      <w:r>
        <w:rPr>
          <w:rFonts w:hint="cs"/>
          <w:rtl/>
        </w:rPr>
        <w:t xml:space="preserve"> דא"א לומר דלא דר אביו חד יומא דאינה חזקה</w:t>
      </w:r>
      <w:bookmarkEnd w:id="12667"/>
      <w:bookmarkEnd w:id="12668"/>
      <w:bookmarkEnd w:id="12669"/>
    </w:p>
    <w:p w:rsidR="00C34249" w:rsidRPr="00927FC8" w:rsidRDefault="00C34249" w:rsidP="00C34249">
      <w:pPr>
        <w:pStyle w:val="a3"/>
        <w:rPr>
          <w:rtl/>
        </w:rPr>
      </w:pPr>
      <w:bookmarkStart w:id="12674" w:name="_Toc61867429"/>
      <w:bookmarkStart w:id="12675" w:name="_Toc61867535"/>
      <w:bookmarkStart w:id="12676" w:name="_Toc61887902"/>
      <w:r>
        <w:rPr>
          <w:rFonts w:hint="cs"/>
          <w:rtl/>
        </w:rPr>
        <w:t>קושית הרשב"א דטענת של אבותי היה ככל טענת יורש ואמאי לא טענינן ליה דלקחוה אבותיו</w:t>
      </w:r>
      <w:bookmarkEnd w:id="12674"/>
      <w:bookmarkEnd w:id="12675"/>
      <w:bookmarkEnd w:id="12676"/>
    </w:p>
    <w:p w:rsidR="00C34249" w:rsidRDefault="00C34249" w:rsidP="007E4E81">
      <w:pPr>
        <w:pStyle w:val="a0"/>
        <w:rPr>
          <w:rtl/>
        </w:rPr>
      </w:pPr>
      <w:bookmarkStart w:id="12677" w:name="_Ref61866105"/>
      <w:r>
        <w:rPr>
          <w:rFonts w:hint="cs"/>
          <w:rtl/>
        </w:rPr>
        <w:t xml:space="preserve">הקשה </w:t>
      </w:r>
      <w:r w:rsidRPr="003A3768">
        <w:rPr>
          <w:rStyle w:val="af9"/>
          <w:rFonts w:hint="cs"/>
          <w:rtl/>
        </w:rPr>
        <w:t>הרשב"א</w:t>
      </w:r>
      <w:r>
        <w:rPr>
          <w:rFonts w:hint="cs"/>
          <w:rtl/>
        </w:rPr>
        <w:t xml:space="preserve"> </w:t>
      </w:r>
      <w:r w:rsidRPr="00C86506">
        <w:rPr>
          <w:rStyle w:val="af7"/>
          <w:rFonts w:eastAsia="Guttman Hodes" w:hint="cs"/>
          <w:rtl/>
        </w:rPr>
        <w:t>(ד"ה ומעשה)</w:t>
      </w:r>
      <w:r>
        <w:rPr>
          <w:rFonts w:hint="cs"/>
          <w:rtl/>
        </w:rPr>
        <w:t xml:space="preserve"> דטענתו שהייתה של אבותיו, היא ככל טענת יורש, וא"כ אף שהמערער הביא עדים שהייתה של אבותיו, אמאי לא טענינן ליה, דאבותיו </w:t>
      </w:r>
      <w:r>
        <w:rPr>
          <w:rtl/>
        </w:rPr>
        <w:t>לקחוה</w:t>
      </w:r>
      <w:r>
        <w:rPr>
          <w:rFonts w:hint="cs"/>
          <w:rtl/>
        </w:rPr>
        <w:t xml:space="preserve"> מאבותיו של המערער, דהא קיי"ל דטענינן ליורש, ועי' בדברי </w:t>
      </w:r>
      <w:r>
        <w:rPr>
          <w:rStyle w:val="af9"/>
          <w:rFonts w:hint="cs"/>
          <w:rtl/>
        </w:rPr>
        <w:t>הרשב"א בתוס'</w:t>
      </w:r>
      <w:r>
        <w:rPr>
          <w:rStyle w:val="af7"/>
          <w:rFonts w:eastAsia="Guttman Hodes" w:hint="cs"/>
          <w:rtl/>
        </w:rPr>
        <w:t xml:space="preserve"> </w:t>
      </w:r>
      <w:r w:rsidRPr="00951D29">
        <w:rPr>
          <w:rStyle w:val="af7"/>
          <w:rFonts w:eastAsia="Guttman Hodes" w:hint="cs"/>
          <w:rtl/>
        </w:rPr>
        <w:t xml:space="preserve">(עי' אות </w:t>
      </w:r>
      <w:r w:rsidRPr="00951D29">
        <w:rPr>
          <w:rStyle w:val="af7"/>
          <w:rFonts w:eastAsia="Guttman Hodes"/>
          <w:rtl/>
        </w:rPr>
        <w:fldChar w:fldCharType="begin"/>
      </w:r>
      <w:r w:rsidRPr="00951D29">
        <w:rPr>
          <w:rStyle w:val="af7"/>
          <w:rFonts w:eastAsia="Guttman Hodes"/>
          <w:rtl/>
        </w:rPr>
        <w:instrText xml:space="preserve"> </w:instrText>
      </w:r>
      <w:r w:rsidRPr="00951D29">
        <w:rPr>
          <w:rStyle w:val="af7"/>
          <w:rFonts w:eastAsia="Guttman Hodes" w:hint="cs"/>
        </w:rPr>
        <w:instrText>REF</w:instrText>
      </w:r>
      <w:r w:rsidRPr="00951D29">
        <w:rPr>
          <w:rStyle w:val="af7"/>
          <w:rFonts w:eastAsia="Guttman Hodes" w:hint="cs"/>
          <w:rtl/>
        </w:rPr>
        <w:instrText xml:space="preserve"> _</w:instrText>
      </w:r>
      <w:r w:rsidRPr="00951D29">
        <w:rPr>
          <w:rStyle w:val="af7"/>
          <w:rFonts w:eastAsia="Guttman Hodes" w:hint="cs"/>
        </w:rPr>
        <w:instrText>Ref61813820 \r \h</w:instrText>
      </w:r>
      <w:r w:rsidRPr="00951D29">
        <w:rPr>
          <w:rStyle w:val="af7"/>
          <w:rFonts w:eastAsia="Guttman Hodes"/>
          <w:rtl/>
        </w:rPr>
        <w:instrText xml:space="preserve"> </w:instrText>
      </w:r>
      <w:r w:rsidRPr="00951D29">
        <w:rPr>
          <w:rStyle w:val="af7"/>
          <w:rFonts w:eastAsia="Guttman Hodes"/>
          <w:rtl/>
        </w:rPr>
      </w:r>
      <w:r w:rsidRPr="00951D29">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951D29">
        <w:rPr>
          <w:rStyle w:val="af7"/>
          <w:rFonts w:eastAsia="Guttman Hodes"/>
          <w:rtl/>
        </w:rPr>
        <w:fldChar w:fldCharType="end"/>
      </w:r>
      <w:r>
        <w:rPr>
          <w:rStyle w:val="af9"/>
          <w:rFonts w:hint="cs"/>
          <w:rtl/>
        </w:rPr>
        <w:t xml:space="preserve"> והרמב"ן </w:t>
      </w:r>
      <w:r w:rsidRPr="00951D2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Ref61865494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Pr>
          <w:rStyle w:val="af7"/>
          <w:rFonts w:eastAsia="Guttman Hodes"/>
          <w:rtl/>
        </w:rPr>
        <w:fldChar w:fldCharType="end"/>
      </w:r>
      <w:r w:rsidRPr="00951D29">
        <w:rPr>
          <w:rStyle w:val="af7"/>
          <w:rFonts w:eastAsia="Guttman Hodes" w:hint="cs"/>
          <w:rtl/>
        </w:rPr>
        <w:t xml:space="preserve"> </w:t>
      </w:r>
      <w:r>
        <w:rPr>
          <w:rStyle w:val="af9"/>
          <w:rFonts w:hint="cs"/>
          <w:rtl/>
        </w:rPr>
        <w:t xml:space="preserve">ורבינו יונה </w:t>
      </w:r>
      <w:r w:rsidRPr="00951D29">
        <w:rPr>
          <w:rStyle w:val="af7"/>
          <w:rFonts w:eastAsia="Guttman Hodes" w:hint="cs"/>
          <w:rtl/>
        </w:rPr>
        <w:t xml:space="preserve">(עי' אות </w:t>
      </w:r>
      <w:r w:rsidRPr="00951D29">
        <w:rPr>
          <w:rStyle w:val="af7"/>
          <w:rFonts w:eastAsia="Guttman Hodes"/>
          <w:rtl/>
        </w:rPr>
        <w:fldChar w:fldCharType="begin"/>
      </w:r>
      <w:r w:rsidRPr="00951D29">
        <w:rPr>
          <w:rStyle w:val="af7"/>
          <w:rFonts w:eastAsia="Guttman Hodes"/>
          <w:rtl/>
        </w:rPr>
        <w:instrText xml:space="preserve"> </w:instrText>
      </w:r>
      <w:r w:rsidRPr="00951D29">
        <w:rPr>
          <w:rStyle w:val="af7"/>
          <w:rFonts w:eastAsia="Guttman Hodes" w:hint="cs"/>
        </w:rPr>
        <w:instrText>REF</w:instrText>
      </w:r>
      <w:r w:rsidRPr="00951D29">
        <w:rPr>
          <w:rStyle w:val="af7"/>
          <w:rFonts w:eastAsia="Guttman Hodes" w:hint="cs"/>
          <w:rtl/>
        </w:rPr>
        <w:instrText xml:space="preserve"> _</w:instrText>
      </w:r>
      <w:r w:rsidRPr="00951D29">
        <w:rPr>
          <w:rStyle w:val="af7"/>
          <w:rFonts w:eastAsia="Guttman Hodes" w:hint="cs"/>
        </w:rPr>
        <w:instrText>Ref61865417 \r \h</w:instrText>
      </w:r>
      <w:r w:rsidRPr="00951D29">
        <w:rPr>
          <w:rStyle w:val="af7"/>
          <w:rFonts w:eastAsia="Guttman Hodes"/>
          <w:rtl/>
        </w:rPr>
        <w:instrText xml:space="preserve"> </w:instrText>
      </w:r>
      <w:r w:rsidRPr="00951D29">
        <w:rPr>
          <w:rStyle w:val="af7"/>
          <w:rFonts w:eastAsia="Guttman Hodes"/>
          <w:rtl/>
        </w:rPr>
      </w:r>
      <w:r w:rsidRPr="00951D29">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951D29">
        <w:rPr>
          <w:rStyle w:val="af7"/>
          <w:rFonts w:eastAsia="Guttman Hodes"/>
          <w:rtl/>
        </w:rPr>
        <w:fldChar w:fldCharType="end"/>
      </w:r>
      <w:r>
        <w:rPr>
          <w:rStyle w:val="af7"/>
          <w:rFonts w:eastAsia="Guttman Hodes" w:hint="cs"/>
          <w:rtl/>
        </w:rPr>
        <w:t xml:space="preserve"> </w:t>
      </w:r>
      <w:r>
        <w:rPr>
          <w:rStyle w:val="af9"/>
          <w:rFonts w:hint="cs"/>
          <w:rtl/>
        </w:rPr>
        <w:t xml:space="preserve">והיד רמ"ה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Ref61883135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915FFC">
        <w:rPr>
          <w:rStyle w:val="af7"/>
          <w:rFonts w:eastAsia="Guttman Hodes"/>
          <w:rtl/>
        </w:rPr>
        <w:fldChar w:fldCharType="end"/>
      </w:r>
      <w:r>
        <w:rPr>
          <w:rStyle w:val="af9"/>
          <w:rFonts w:hint="cs"/>
          <w:rtl/>
        </w:rPr>
        <w:t xml:space="preserve"> וה</w:t>
      </w:r>
      <w:r w:rsidRPr="00EE39AB">
        <w:rPr>
          <w:rStyle w:val="af9"/>
          <w:rFonts w:hint="cs"/>
          <w:rtl/>
        </w:rPr>
        <w:t>ר"ן</w:t>
      </w:r>
      <w:r>
        <w:rPr>
          <w:rFonts w:hint="cs"/>
          <w:rtl/>
        </w:rPr>
        <w:t xml:space="preserve">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Ref61883164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915FFC">
        <w:rPr>
          <w:rStyle w:val="af7"/>
          <w:rFonts w:eastAsia="Guttman Hodes"/>
          <w:rtl/>
        </w:rPr>
        <w:fldChar w:fldCharType="end"/>
      </w:r>
      <w:r>
        <w:rPr>
          <w:rFonts w:hint="cs"/>
          <w:rtl/>
        </w:rPr>
        <w:t>.</w:t>
      </w:r>
      <w:bookmarkEnd w:id="12677"/>
    </w:p>
    <w:p w:rsidR="00C34249" w:rsidRDefault="00C34249" w:rsidP="00C34249">
      <w:pPr>
        <w:pStyle w:val="a3"/>
        <w:rPr>
          <w:rtl/>
        </w:rPr>
      </w:pPr>
      <w:bookmarkStart w:id="12678" w:name="_Toc61867430"/>
      <w:bookmarkStart w:id="12679" w:name="_Toc61867536"/>
      <w:bookmarkStart w:id="12680" w:name="_Toc61887903"/>
      <w:r>
        <w:rPr>
          <w:rFonts w:hint="cs"/>
          <w:rtl/>
        </w:rPr>
        <w:t>תירוץ הרשב"א דאין עידי חד יומא ולא חשיב כיורש ואין טענינן ורק בחוזר וטוען בברי נאמן</w:t>
      </w:r>
      <w:bookmarkEnd w:id="12678"/>
      <w:bookmarkEnd w:id="12679"/>
      <w:bookmarkEnd w:id="12680"/>
    </w:p>
    <w:p w:rsidR="00C34249" w:rsidRPr="004D7BAA" w:rsidRDefault="00C34249" w:rsidP="007E4E81">
      <w:pPr>
        <w:pStyle w:val="a0"/>
        <w:rPr>
          <w:rStyle w:val="afb"/>
          <w:rtl/>
        </w:rPr>
      </w:pPr>
      <w:r>
        <w:rPr>
          <w:rFonts w:hint="cs"/>
          <w:rtl/>
        </w:rPr>
        <w:t xml:space="preserve">ותירץ </w:t>
      </w:r>
      <w:r w:rsidRPr="003A3768">
        <w:rPr>
          <w:rStyle w:val="af9"/>
          <w:rFonts w:hint="cs"/>
          <w:rtl/>
        </w:rPr>
        <w:t>הרשב"א</w:t>
      </w:r>
      <w:r w:rsidRPr="00C86506">
        <w:rPr>
          <w:rStyle w:val="af7"/>
          <w:rFonts w:eastAsia="Guttman Hodes" w:hint="cs"/>
          <w:rtl/>
        </w:rPr>
        <w:t xml:space="preserve"> (ד"ה ומעשה) </w:t>
      </w:r>
      <w:r>
        <w:rPr>
          <w:rFonts w:hint="cs"/>
          <w:rtl/>
        </w:rPr>
        <w:t xml:space="preserve">דאיירי שאין למחזיק עדים דדרו בה אבותיו חד יומא, ולכן אינו נחשב ליורש ולא טענינן ליה, כדאיתא לקמן </w:t>
      </w:r>
      <w:r w:rsidRPr="00C86506">
        <w:rPr>
          <w:rStyle w:val="af7"/>
          <w:rFonts w:eastAsia="Guttman Hodes" w:hint="cs"/>
          <w:rtl/>
        </w:rPr>
        <w:t>(מא:)</w:t>
      </w:r>
      <w:r>
        <w:rPr>
          <w:rFonts w:hint="cs"/>
          <w:rtl/>
        </w:rPr>
        <w:t xml:space="preserve">, והקשה </w:t>
      </w:r>
      <w:r w:rsidRPr="003A3768">
        <w:rPr>
          <w:rStyle w:val="af9"/>
          <w:rFonts w:hint="cs"/>
          <w:rtl/>
        </w:rPr>
        <w:t>הרשב"א</w:t>
      </w:r>
      <w:r>
        <w:rPr>
          <w:rFonts w:hint="cs"/>
          <w:rtl/>
        </w:rPr>
        <w:t xml:space="preserve"> דאי לא חשיב כיורש, א"כ אמאי נאמן כשחוזר וטוען </w:t>
      </w:r>
      <w:r>
        <w:rPr>
          <w:rtl/>
        </w:rPr>
        <w:t>של אבותי שלקחוה מאבותיך</w:t>
      </w:r>
      <w:r>
        <w:rPr>
          <w:rFonts w:hint="cs"/>
          <w:rtl/>
        </w:rPr>
        <w:t>,</w:t>
      </w:r>
      <w:r w:rsidRPr="009D38E5">
        <w:rPr>
          <w:rFonts w:hint="cs"/>
          <w:rtl/>
        </w:rPr>
        <w:t xml:space="preserve"> </w:t>
      </w:r>
      <w:r>
        <w:rPr>
          <w:rFonts w:hint="cs"/>
          <w:rtl/>
        </w:rPr>
        <w:t xml:space="preserve">ותירץ </w:t>
      </w:r>
      <w:r w:rsidRPr="004D7BAA">
        <w:rPr>
          <w:rStyle w:val="af9"/>
          <w:rFonts w:hint="cs"/>
          <w:rtl/>
        </w:rPr>
        <w:t>הרשב"א</w:t>
      </w:r>
      <w:r>
        <w:rPr>
          <w:rFonts w:hint="cs"/>
          <w:rtl/>
        </w:rPr>
        <w:t xml:space="preserve"> דאיירי שטוען טענת ברי דקמי דידי לקוחה אבותי מאבותיך. </w:t>
      </w:r>
      <w:r w:rsidRPr="004D7BAA">
        <w:rPr>
          <w:rStyle w:val="afb"/>
          <w:rFonts w:hint="cs"/>
          <w:rtl/>
        </w:rPr>
        <w:t>[וא"צ לדין טענינן].</w:t>
      </w:r>
    </w:p>
    <w:p w:rsidR="00C34249" w:rsidRDefault="00C34249" w:rsidP="00C34249">
      <w:pPr>
        <w:pStyle w:val="a3"/>
        <w:rPr>
          <w:rtl/>
        </w:rPr>
      </w:pPr>
      <w:bookmarkStart w:id="12681" w:name="_Toc61867431"/>
      <w:bookmarkStart w:id="12682" w:name="_Toc61867537"/>
      <w:bookmarkStart w:id="12683" w:name="_Toc61887904"/>
      <w:r>
        <w:rPr>
          <w:rFonts w:hint="cs"/>
          <w:rtl/>
        </w:rPr>
        <w:t>דחיית הרשב"א דמדטען שיש לו חזקה משמע דהחזיק כדין והיינו דדר בה אביו חד יומא</w:t>
      </w:r>
      <w:bookmarkEnd w:id="12681"/>
      <w:bookmarkEnd w:id="12682"/>
      <w:bookmarkEnd w:id="12683"/>
    </w:p>
    <w:p w:rsidR="00C34249" w:rsidRDefault="00C34249" w:rsidP="007E4E81">
      <w:pPr>
        <w:pStyle w:val="a0"/>
        <w:rPr>
          <w:rtl/>
        </w:rPr>
      </w:pPr>
      <w:r>
        <w:rPr>
          <w:rFonts w:hint="cs"/>
          <w:rtl/>
        </w:rPr>
        <w:t xml:space="preserve">אך דחה </w:t>
      </w:r>
      <w:r w:rsidRPr="003A3768">
        <w:rPr>
          <w:rStyle w:val="af9"/>
          <w:rFonts w:hint="cs"/>
          <w:rtl/>
        </w:rPr>
        <w:t>הרשב"א</w:t>
      </w:r>
      <w:r>
        <w:rPr>
          <w:rFonts w:hint="cs"/>
          <w:rtl/>
        </w:rPr>
        <w:t xml:space="preserve"> דא"א לומר דלא דרו בה אבותיו חד יומא, דהא טען המחזיק שיש לו חזקת ג"ש, ומשמע דיש לו חזקה כדין, והיינו רק באופן דדר בה האב חד יומא.</w:t>
      </w:r>
    </w:p>
    <w:p w:rsidR="00C34249" w:rsidRPr="001B1A3C" w:rsidRDefault="00C34249" w:rsidP="00C34249">
      <w:pPr>
        <w:pStyle w:val="1"/>
        <w:rPr>
          <w:rtl/>
        </w:rPr>
      </w:pPr>
      <w:bookmarkStart w:id="12684" w:name="_Toc61867432"/>
      <w:bookmarkStart w:id="12685" w:name="_Toc61867538"/>
      <w:bookmarkStart w:id="12686" w:name="_Toc61887905"/>
      <w:r>
        <w:rPr>
          <w:rFonts w:hint="cs"/>
          <w:rtl/>
        </w:rPr>
        <w:t>ביאור הרשב"א דטענינן הוא רק אחר שטען היורש טענת שמא</w:t>
      </w:r>
      <w:bookmarkEnd w:id="12684"/>
      <w:bookmarkEnd w:id="12685"/>
      <w:bookmarkEnd w:id="12686"/>
    </w:p>
    <w:p w:rsidR="00C34249" w:rsidRDefault="00C34249" w:rsidP="00C34249">
      <w:pPr>
        <w:pStyle w:val="a3"/>
        <w:rPr>
          <w:rtl/>
        </w:rPr>
      </w:pPr>
      <w:bookmarkStart w:id="12687" w:name="_Toc61867433"/>
      <w:bookmarkStart w:id="12688" w:name="_Toc61867539"/>
      <w:bookmarkStart w:id="12689" w:name="_Toc61887906"/>
      <w:r>
        <w:rPr>
          <w:rFonts w:hint="cs"/>
          <w:rtl/>
        </w:rPr>
        <w:t>ביאור הרשב"א בשם רבותיו דטענינן הוא רק בשמא ולא בברי ורק אחר שטען היורש טוענים לו</w:t>
      </w:r>
      <w:bookmarkEnd w:id="12687"/>
      <w:bookmarkEnd w:id="12688"/>
      <w:bookmarkEnd w:id="12689"/>
    </w:p>
    <w:p w:rsidR="00C34249" w:rsidRDefault="00C34249" w:rsidP="007E4E81">
      <w:pPr>
        <w:pStyle w:val="a0"/>
        <w:rPr>
          <w:rtl/>
        </w:rPr>
      </w:pPr>
      <w:bookmarkStart w:id="12690" w:name="_Ref61867265"/>
      <w:r>
        <w:rPr>
          <w:rFonts w:hint="cs"/>
          <w:rtl/>
        </w:rPr>
        <w:t xml:space="preserve">אלא ביאר </w:t>
      </w:r>
      <w:r w:rsidRPr="003A3768">
        <w:rPr>
          <w:rStyle w:val="af9"/>
          <w:rFonts w:hint="cs"/>
          <w:rtl/>
        </w:rPr>
        <w:t>הרשב"א</w:t>
      </w:r>
      <w:r>
        <w:rPr>
          <w:rFonts w:hint="cs"/>
          <w:rtl/>
        </w:rPr>
        <w:t xml:space="preserve"> בשם </w:t>
      </w:r>
      <w:r w:rsidRPr="007B465E">
        <w:rPr>
          <w:rStyle w:val="af9"/>
          <w:rFonts w:hint="cs"/>
          <w:rtl/>
        </w:rPr>
        <w:t>רבותיו</w:t>
      </w:r>
      <w:r w:rsidRPr="007B465E">
        <w:rPr>
          <w:rFonts w:hint="cs"/>
          <w:rtl/>
        </w:rPr>
        <w:t xml:space="preserve"> </w:t>
      </w:r>
      <w:r w:rsidRPr="00A13F50">
        <w:rPr>
          <w:rStyle w:val="afb"/>
          <w:rFonts w:hint="cs"/>
          <w:rtl/>
        </w:rPr>
        <w:t xml:space="preserve">[עי' בדברי </w:t>
      </w:r>
      <w:r w:rsidRPr="00A13F50">
        <w:rPr>
          <w:rStyle w:val="affa"/>
          <w:rFonts w:hint="cs"/>
          <w:rtl/>
        </w:rPr>
        <w:t>רבינו יונה</w:t>
      </w:r>
      <w:r w:rsidRPr="007B465E">
        <w:rPr>
          <w:rFonts w:hint="cs"/>
          <w:rtl/>
        </w:rPr>
        <w:t xml:space="preserve"> </w:t>
      </w:r>
      <w:r w:rsidRPr="00A13F50">
        <w:rPr>
          <w:rStyle w:val="aff6"/>
          <w:rFonts w:hint="cs"/>
          <w:rtl/>
        </w:rPr>
        <w:t xml:space="preserve">(עי' אות </w:t>
      </w:r>
      <w:r w:rsidRPr="00A13F50">
        <w:rPr>
          <w:rStyle w:val="aff6"/>
          <w:rtl/>
        </w:rPr>
        <w:fldChar w:fldCharType="begin"/>
      </w:r>
      <w:r w:rsidRPr="00A13F50">
        <w:rPr>
          <w:rStyle w:val="aff6"/>
          <w:rtl/>
        </w:rPr>
        <w:instrText xml:space="preserve"> </w:instrText>
      </w:r>
      <w:r w:rsidRPr="00A13F50">
        <w:rPr>
          <w:rStyle w:val="aff6"/>
          <w:rFonts w:hint="cs"/>
        </w:rPr>
        <w:instrText>REF</w:instrText>
      </w:r>
      <w:r w:rsidRPr="00A13F50">
        <w:rPr>
          <w:rStyle w:val="aff6"/>
          <w:rFonts w:hint="cs"/>
          <w:rtl/>
        </w:rPr>
        <w:instrText xml:space="preserve"> _</w:instrText>
      </w:r>
      <w:r w:rsidRPr="00A13F50">
        <w:rPr>
          <w:rStyle w:val="aff6"/>
          <w:rFonts w:hint="cs"/>
        </w:rPr>
        <w:instrText>Ref61867117 \r \h</w:instrText>
      </w:r>
      <w:r w:rsidRPr="00A13F50">
        <w:rPr>
          <w:rStyle w:val="aff6"/>
          <w:rtl/>
        </w:rPr>
        <w:instrText xml:space="preserve">  \* </w:instrText>
      </w:r>
      <w:r w:rsidRPr="00A13F50">
        <w:rPr>
          <w:rStyle w:val="aff6"/>
        </w:rPr>
        <w:instrText>MERGEFORMAT</w:instrText>
      </w:r>
      <w:r w:rsidRPr="00A13F50">
        <w:rPr>
          <w:rStyle w:val="aff6"/>
          <w:rtl/>
        </w:rPr>
        <w:instrText xml:space="preserve"> </w:instrText>
      </w:r>
      <w:r w:rsidRPr="00A13F50">
        <w:rPr>
          <w:rStyle w:val="aff6"/>
          <w:rtl/>
        </w:rPr>
      </w:r>
      <w:r w:rsidRPr="00A13F50">
        <w:rPr>
          <w:rStyle w:val="aff6"/>
          <w:rtl/>
        </w:rPr>
        <w:fldChar w:fldCharType="separate"/>
      </w:r>
      <w:r w:rsidR="00265073">
        <w:rPr>
          <w:rStyle w:val="aff6"/>
          <w:cs/>
        </w:rPr>
        <w:t>‎</w:t>
      </w:r>
      <w:r w:rsidR="00265073">
        <w:rPr>
          <w:rStyle w:val="aff6"/>
          <w:rtl/>
        </w:rPr>
        <w:t>נח)</w:t>
      </w:r>
      <w:r w:rsidRPr="00A13F50">
        <w:rPr>
          <w:rStyle w:val="aff6"/>
          <w:rtl/>
        </w:rPr>
        <w:fldChar w:fldCharType="end"/>
      </w:r>
      <w:r w:rsidRPr="007B465E">
        <w:rPr>
          <w:rStyle w:val="af1"/>
          <w:rtl/>
        </w:rPr>
        <w:footnoteReference w:id="78"/>
      </w:r>
      <w:r w:rsidRPr="00A13F50">
        <w:rPr>
          <w:rStyle w:val="afb"/>
          <w:rFonts w:hint="cs"/>
          <w:rtl/>
        </w:rPr>
        <w:t xml:space="preserve">] </w:t>
      </w:r>
      <w:r w:rsidRPr="007B465E">
        <w:rPr>
          <w:rFonts w:hint="cs"/>
          <w:rtl/>
        </w:rPr>
        <w:t>דכיון שהמחזיק טוען טענת ברי, שהייתה</w:t>
      </w:r>
      <w:r>
        <w:rPr>
          <w:rFonts w:hint="cs"/>
          <w:rtl/>
        </w:rPr>
        <w:t xml:space="preserve"> של אבותיו, לא טענינן ליה אנן, דדין טענינן ביורש ובלוקח, הוא רק כשטוענים שמא ולא בטענת ברי, ורק אם היה המחזיק טוען שירש מאבותיו טענינן ליה, והוסיף </w:t>
      </w:r>
      <w:r w:rsidRPr="006C62CB">
        <w:rPr>
          <w:rStyle w:val="af9"/>
          <w:rFonts w:hint="cs"/>
          <w:rtl/>
        </w:rPr>
        <w:t>הרשב"א</w:t>
      </w:r>
      <w:r>
        <w:rPr>
          <w:rFonts w:hint="cs"/>
          <w:rtl/>
        </w:rPr>
        <w:t xml:space="preserve"> על ביאור </w:t>
      </w:r>
      <w:r w:rsidRPr="006C62CB">
        <w:rPr>
          <w:rStyle w:val="af9"/>
          <w:rFonts w:hint="cs"/>
          <w:rtl/>
        </w:rPr>
        <w:t>רבותיו</w:t>
      </w:r>
      <w:r>
        <w:rPr>
          <w:rFonts w:hint="cs"/>
          <w:rtl/>
        </w:rPr>
        <w:t xml:space="preserve"> דכל דין טענינן הוא רק לאחר ששאלו את היורש והלוקח מה הם טוענים, שמא יטענו טענת ברי, ודנים בטענתם, ורק כשטענו שמא טענינן להו, וכתב </w:t>
      </w:r>
      <w:r w:rsidRPr="006C62CB">
        <w:rPr>
          <w:rStyle w:val="af9"/>
          <w:rFonts w:hint="cs"/>
          <w:rtl/>
        </w:rPr>
        <w:t>הרשב"א</w:t>
      </w:r>
      <w:r>
        <w:rPr>
          <w:rFonts w:hint="cs"/>
          <w:rtl/>
        </w:rPr>
        <w:t xml:space="preserve"> דכן מוכח בגמ' בכתובות</w:t>
      </w:r>
      <w:r w:rsidRPr="00C86506">
        <w:rPr>
          <w:rStyle w:val="af7"/>
          <w:rFonts w:eastAsia="Guttman Hodes" w:hint="cs"/>
          <w:rtl/>
        </w:rPr>
        <w:t xml:space="preserve"> (קט:)</w:t>
      </w:r>
      <w:r>
        <w:rPr>
          <w:rFonts w:hint="cs"/>
          <w:rtl/>
        </w:rPr>
        <w:t xml:space="preserve">, וציין </w:t>
      </w:r>
      <w:r w:rsidRPr="006C62CB">
        <w:rPr>
          <w:rStyle w:val="af9"/>
          <w:rFonts w:hint="cs"/>
          <w:rtl/>
        </w:rPr>
        <w:t>הרשב"א</w:t>
      </w:r>
      <w:r>
        <w:rPr>
          <w:rFonts w:hint="cs"/>
          <w:rtl/>
        </w:rPr>
        <w:t xml:space="preserve"> למה שביאר בכתובות, עי' </w:t>
      </w:r>
      <w:r w:rsidRPr="006C62CB">
        <w:rPr>
          <w:rStyle w:val="af9"/>
          <w:rFonts w:hint="cs"/>
          <w:rtl/>
        </w:rPr>
        <w:t>ברשב"א בשיטמ"ק בכתובות</w:t>
      </w:r>
      <w:r>
        <w:rPr>
          <w:rFonts w:hint="cs"/>
          <w:rtl/>
        </w:rPr>
        <w:t xml:space="preserve"> </w:t>
      </w:r>
      <w:r w:rsidRPr="00C86506">
        <w:rPr>
          <w:rStyle w:val="af7"/>
          <w:rFonts w:eastAsia="Guttman Hodes" w:hint="cs"/>
          <w:rtl/>
        </w:rPr>
        <w:t>(קט: ד"ה עוד כתב הרשב"א)</w:t>
      </w:r>
      <w:r>
        <w:rPr>
          <w:rFonts w:hint="cs"/>
          <w:rtl/>
        </w:rPr>
        <w:t>.</w:t>
      </w:r>
      <w:bookmarkEnd w:id="12690"/>
    </w:p>
    <w:p w:rsidR="00C34249" w:rsidRPr="00C34249" w:rsidRDefault="00C34249" w:rsidP="00C34249">
      <w:pPr>
        <w:pStyle w:val="a3"/>
        <w:rPr>
          <w:rtl/>
        </w:rPr>
      </w:pPr>
    </w:p>
    <w:p w:rsidR="00C34249" w:rsidRPr="00C34249" w:rsidRDefault="00C34249" w:rsidP="00C34249">
      <w:pPr>
        <w:pStyle w:val="a3"/>
        <w:rPr>
          <w:rtl/>
        </w:rPr>
      </w:pPr>
    </w:p>
    <w:p w:rsidR="00C34249" w:rsidRPr="00C34249" w:rsidRDefault="00C34249" w:rsidP="00C34249">
      <w:pPr>
        <w:pStyle w:val="a3"/>
        <w:rPr>
          <w:rtl/>
        </w:rPr>
      </w:pPr>
    </w:p>
    <w:p w:rsidR="00C34249" w:rsidRPr="00C34249" w:rsidRDefault="00C34249" w:rsidP="00C34249">
      <w:pPr>
        <w:pStyle w:val="a3"/>
        <w:rPr>
          <w:rtl/>
        </w:rPr>
      </w:pPr>
    </w:p>
    <w:p w:rsidR="00C34249" w:rsidRPr="0066660D" w:rsidRDefault="00C34249" w:rsidP="00C34249">
      <w:pPr>
        <w:pStyle w:val="afe"/>
        <w:rPr>
          <w:rtl/>
        </w:rPr>
      </w:pPr>
      <w:bookmarkStart w:id="12691" w:name="_Toc61887907"/>
      <w:r>
        <w:rPr>
          <w:rFonts w:hint="cs"/>
          <w:rtl/>
        </w:rPr>
        <w:t>דעת הרמ"ה דבהוכחש</w:t>
      </w:r>
      <w:r w:rsidRPr="001C528B">
        <w:rPr>
          <w:rFonts w:hint="cs"/>
          <w:rtl/>
        </w:rPr>
        <w:t xml:space="preserve"> </w:t>
      </w:r>
      <w:r>
        <w:rPr>
          <w:rFonts w:hint="cs"/>
          <w:rtl/>
        </w:rPr>
        <w:t>נאמן בחד יומא</w:t>
      </w:r>
      <w:bookmarkEnd w:id="12691"/>
    </w:p>
    <w:p w:rsidR="00C34249" w:rsidRDefault="00C34249" w:rsidP="00C34249">
      <w:pPr>
        <w:pStyle w:val="1"/>
        <w:rPr>
          <w:rtl/>
        </w:rPr>
      </w:pPr>
      <w:bookmarkStart w:id="12692" w:name="_Toc61867434"/>
      <w:bookmarkStart w:id="12693" w:name="_Toc61867540"/>
      <w:bookmarkStart w:id="12694" w:name="_Toc61887908"/>
      <w:r>
        <w:rPr>
          <w:rFonts w:hint="cs"/>
          <w:rtl/>
        </w:rPr>
        <w:t>ביאור היד רמ"ה</w:t>
      </w:r>
      <w:bookmarkEnd w:id="12670"/>
      <w:bookmarkEnd w:id="12671"/>
      <w:bookmarkEnd w:id="12672"/>
      <w:bookmarkEnd w:id="12673"/>
      <w:bookmarkEnd w:id="12692"/>
      <w:bookmarkEnd w:id="12693"/>
      <w:r>
        <w:rPr>
          <w:rFonts w:hint="cs"/>
          <w:rtl/>
        </w:rPr>
        <w:t xml:space="preserve"> דבחד יומא נאמן כיורש אף שהוכחש ע"י עדים</w:t>
      </w:r>
      <w:bookmarkEnd w:id="12694"/>
    </w:p>
    <w:p w:rsidR="00C34249" w:rsidRDefault="00C34249" w:rsidP="00C34249">
      <w:pPr>
        <w:pStyle w:val="a3"/>
        <w:rPr>
          <w:rtl/>
        </w:rPr>
      </w:pPr>
      <w:bookmarkStart w:id="12695" w:name="_Toc61887909"/>
      <w:r>
        <w:rPr>
          <w:rFonts w:hint="cs"/>
          <w:rtl/>
        </w:rPr>
        <w:t>דברי הרמ"ה דבעידי חד יומא חשיב שיש לו ראיה וא"צ טענה ונאמן אף שהכחישו העדים טענתו</w:t>
      </w:r>
      <w:bookmarkEnd w:id="12695"/>
    </w:p>
    <w:p w:rsidR="00C34249" w:rsidRDefault="00C34249" w:rsidP="007E4E81">
      <w:pPr>
        <w:pStyle w:val="a0"/>
        <w:rPr>
          <w:rtl/>
        </w:rPr>
      </w:pPr>
      <w:r>
        <w:rPr>
          <w:rFonts w:hint="cs"/>
          <w:rtl/>
        </w:rPr>
        <w:t xml:space="preserve">כתב </w:t>
      </w:r>
      <w:r w:rsidRPr="006C62CB">
        <w:rPr>
          <w:rStyle w:val="af9"/>
          <w:rFonts w:hint="cs"/>
          <w:rtl/>
        </w:rPr>
        <w:t>היד רמ"ה</w:t>
      </w:r>
      <w:r>
        <w:rPr>
          <w:rFonts w:hint="cs"/>
          <w:rtl/>
        </w:rPr>
        <w:t xml:space="preserve"> </w:t>
      </w:r>
      <w:r w:rsidRPr="00C86506">
        <w:rPr>
          <w:rStyle w:val="af7"/>
          <w:rFonts w:eastAsia="Guttman Hodes" w:hint="cs"/>
          <w:rtl/>
        </w:rPr>
        <w:t>(או' ל"ז ד"ה והלכתא</w:t>
      </w:r>
      <w:r>
        <w:rPr>
          <w:rStyle w:val="af7"/>
          <w:rFonts w:eastAsia="Guttman Hodes" w:hint="cs"/>
          <w:rtl/>
        </w:rPr>
        <w:t>, או' ל"ט ד"ה וש"מ</w:t>
      </w:r>
      <w:r w:rsidRPr="00C86506">
        <w:rPr>
          <w:rStyle w:val="af7"/>
          <w:rFonts w:eastAsia="Guttman Hodes" w:hint="cs"/>
          <w:rtl/>
        </w:rPr>
        <w:t>)</w:t>
      </w:r>
      <w:r>
        <w:rPr>
          <w:rFonts w:hint="cs"/>
          <w:rtl/>
        </w:rPr>
        <w:t xml:space="preserve"> דכיון שאין למחזיק עדים דדר בה אביו חד יומא, א"כ כל שאין המחזיק חוזר וטוען טענת ברי, שאינה מוכחשת ע"י העדים, חזקתו היא כחזקה שאין עמה טענה, דטענתו שהייתה של אבותיו הוכחשה ע"י העדים, ורק אם יש לו עדים דדר בה אביו חד יומא, טענינן ליה אנן טענה שאינה מוכחשת ע"י העדים, וכדתנן במתני' לקמן </w:t>
      </w:r>
      <w:r w:rsidRPr="00C86506">
        <w:rPr>
          <w:rStyle w:val="af7"/>
          <w:rFonts w:eastAsia="Guttman Hodes" w:hint="cs"/>
          <w:rtl/>
        </w:rPr>
        <w:t>(מא.)</w:t>
      </w:r>
      <w:r>
        <w:rPr>
          <w:rFonts w:hint="cs"/>
          <w:rtl/>
        </w:rPr>
        <w:t xml:space="preserve"> דהבא משום ירושה א"צ טענה, אך הוא צריך ראיה דדר בה חד יומא, וכל שיש לו ראיה, כיוון שאינו צריך טענה, א"כ אף שהוא טען מתחילה דהייתה של אבותיו ולא הייתה של אבותיו של המערער, והוכחשה טענתו ע"י העדים, מ"מ כיון שיש לו ראיה שהוא יורש ע"י דדר בה אביו חד יומא, לא הפסיד את זכותו בזה.</w:t>
      </w:r>
    </w:p>
    <w:p w:rsidR="00C34249" w:rsidRPr="00E23849" w:rsidRDefault="00C34249" w:rsidP="00C34249">
      <w:pPr>
        <w:pStyle w:val="a3"/>
        <w:rPr>
          <w:rtl/>
        </w:rPr>
      </w:pPr>
      <w:bookmarkStart w:id="12696" w:name="_Toc61887910"/>
      <w:r>
        <w:rPr>
          <w:rFonts w:hint="cs"/>
          <w:rtl/>
        </w:rPr>
        <w:t>ביאור הרמ"ה דזכות יורש בחזקה וחד יומא ולא מדין טענה ומה שטען כמאן דליתיה וטענינן ליה</w:t>
      </w:r>
      <w:bookmarkEnd w:id="12696"/>
    </w:p>
    <w:p w:rsidR="00C34249" w:rsidRDefault="00C34249" w:rsidP="007E4E81">
      <w:pPr>
        <w:pStyle w:val="a0"/>
        <w:rPr>
          <w:rtl/>
        </w:rPr>
      </w:pPr>
      <w:r>
        <w:rPr>
          <w:rFonts w:hint="cs"/>
          <w:rtl/>
        </w:rPr>
        <w:t xml:space="preserve">וביאר </w:t>
      </w:r>
      <w:r w:rsidRPr="006C62CB">
        <w:rPr>
          <w:rStyle w:val="af9"/>
          <w:rFonts w:hint="cs"/>
          <w:rtl/>
        </w:rPr>
        <w:t>היד רמ"ה</w:t>
      </w:r>
      <w:r>
        <w:rPr>
          <w:rFonts w:hint="cs"/>
          <w:rtl/>
        </w:rPr>
        <w:t xml:space="preserve"> דכיון דהזכות של היורש בקרקע אינה מדין טענה, אלא מכח החזקה שלו ודירת חד יומא של אביו, א"כ מה שטען בתחילה, חשיב שלא טען כל טענה, ולכן טענינן ליה אנן דיתכן שאבותיו</w:t>
      </w:r>
      <w:r w:rsidRPr="0019023B">
        <w:rPr>
          <w:rFonts w:hint="cs"/>
          <w:rtl/>
        </w:rPr>
        <w:t xml:space="preserve"> </w:t>
      </w:r>
      <w:r>
        <w:rPr>
          <w:rFonts w:hint="cs"/>
          <w:rtl/>
        </w:rPr>
        <w:t>לקחוה מאבותיו של המערער, והמחזיק לא ידע מזה, כיון דכל דין טענינן ליורש, הוא מחמת דיתכן שאינו יודע מה הזכויות של אביו בנכסיו.</w:t>
      </w:r>
    </w:p>
    <w:p w:rsidR="00C34249" w:rsidRPr="0066660D" w:rsidRDefault="00C34249" w:rsidP="00C34249">
      <w:pPr>
        <w:pStyle w:val="1"/>
        <w:rPr>
          <w:rtl/>
        </w:rPr>
      </w:pPr>
      <w:bookmarkStart w:id="12697" w:name="_Toc61887911"/>
      <w:r>
        <w:rPr>
          <w:rFonts w:hint="cs"/>
          <w:rtl/>
        </w:rPr>
        <w:t>דברי הרמ"ה דטוען ברי וכשהוכחש אין טענינן כמו בטענת שמא</w:t>
      </w:r>
      <w:bookmarkEnd w:id="12697"/>
    </w:p>
    <w:p w:rsidR="00C34249" w:rsidRPr="00735DDB" w:rsidRDefault="00C34249" w:rsidP="00C34249">
      <w:pPr>
        <w:pStyle w:val="a3"/>
        <w:rPr>
          <w:rtl/>
        </w:rPr>
      </w:pPr>
      <w:bookmarkStart w:id="12698" w:name="_Toc61887912"/>
      <w:r>
        <w:rPr>
          <w:rFonts w:hint="cs"/>
          <w:rtl/>
        </w:rPr>
        <w:t>ביאור הרמ"ה דטוען בברי של אבותי דאי בשמא לכו"ע ל"מ מיגו ומוכח דטוען ומכחיש לעדים</w:t>
      </w:r>
      <w:bookmarkEnd w:id="12698"/>
    </w:p>
    <w:p w:rsidR="00C34249" w:rsidRDefault="00C34249" w:rsidP="007E4E81">
      <w:pPr>
        <w:pStyle w:val="a0"/>
        <w:rPr>
          <w:rtl/>
        </w:rPr>
      </w:pPr>
      <w:bookmarkStart w:id="12699" w:name="_Ref61883135"/>
      <w:r>
        <w:rPr>
          <w:rFonts w:hint="cs"/>
          <w:rtl/>
        </w:rPr>
        <w:t xml:space="preserve">וביאר </w:t>
      </w:r>
      <w:r w:rsidRPr="006C62CB">
        <w:rPr>
          <w:rStyle w:val="af9"/>
          <w:rFonts w:hint="cs"/>
          <w:rtl/>
        </w:rPr>
        <w:t>היד רמ"ה</w:t>
      </w:r>
      <w:r>
        <w:rPr>
          <w:rFonts w:hint="cs"/>
          <w:rtl/>
        </w:rPr>
        <w:t xml:space="preserve"> </w:t>
      </w:r>
      <w:r w:rsidRPr="00C86506">
        <w:rPr>
          <w:rStyle w:val="af7"/>
          <w:rFonts w:eastAsia="Guttman Hodes" w:hint="cs"/>
          <w:rtl/>
        </w:rPr>
        <w:t>(או' ל"ז ד"ה והוא)</w:t>
      </w:r>
      <w:r>
        <w:rPr>
          <w:rFonts w:hint="cs"/>
          <w:rtl/>
        </w:rPr>
        <w:t xml:space="preserve"> דטענת המחזיק "של אבותי" היא טענת ברי, דהא אי טוען טענת שמא, אף רבה היה מודה דאין לו מיגו, ומוכח דכוונתו לומר דמתחילה ועד סוף הייתה רק של אבותיו, דהא כשהביא המערער שהייתה של אבותיו, לא פירש המחזיק את טענתו באופן שאינה מכחישה את העדים, א"כ מוכח דכוונתו מתחילה הייתה לטעון של אבותי ולא של אבותיך.</w:t>
      </w:r>
      <w:bookmarkEnd w:id="12699"/>
    </w:p>
    <w:p w:rsidR="00C34249" w:rsidRPr="00C766BC" w:rsidRDefault="00C34249" w:rsidP="00C34249">
      <w:pPr>
        <w:pStyle w:val="a3"/>
        <w:rPr>
          <w:rtl/>
        </w:rPr>
      </w:pPr>
      <w:bookmarkStart w:id="12700" w:name="_Toc61887913"/>
      <w:r>
        <w:rPr>
          <w:rFonts w:hint="cs"/>
          <w:rtl/>
        </w:rPr>
        <w:t>ביאור הרמ"ה דאחר שהוכחש לא טענינן דאף בשמא אין טענינן דאין לו דין יורש בלי חד יומא</w:t>
      </w:r>
      <w:bookmarkEnd w:id="12700"/>
    </w:p>
    <w:p w:rsidR="00C34249" w:rsidRDefault="00C34249" w:rsidP="007E4E81">
      <w:pPr>
        <w:pStyle w:val="a0"/>
        <w:rPr>
          <w:rtl/>
        </w:rPr>
      </w:pPr>
      <w:r>
        <w:rPr>
          <w:rFonts w:hint="cs"/>
          <w:rtl/>
        </w:rPr>
        <w:t xml:space="preserve">וביאר </w:t>
      </w:r>
      <w:r w:rsidRPr="006C62CB">
        <w:rPr>
          <w:rStyle w:val="af9"/>
          <w:rFonts w:hint="cs"/>
          <w:rtl/>
        </w:rPr>
        <w:t>היד רמ"ה</w:t>
      </w:r>
      <w:r>
        <w:rPr>
          <w:rFonts w:hint="cs"/>
          <w:rtl/>
        </w:rPr>
        <w:t xml:space="preserve"> דאחר שהוכחש ע"י העדים, לא טענינן ליה אנן, דהא אף אם הוא עצמו היה טוען טענת שמא, דאבותיו לקחוה מאבותיו של המערער, לא היה נאמן, דהא אין לו דין יורש, כיון שאין לו עדים דדר בה אביו חד יומא, ועי' בדברי </w:t>
      </w:r>
      <w:r>
        <w:rPr>
          <w:rStyle w:val="af9"/>
          <w:rFonts w:hint="cs"/>
          <w:rtl/>
        </w:rPr>
        <w:t>הרשב"א בתוס'</w:t>
      </w:r>
      <w:r>
        <w:rPr>
          <w:rStyle w:val="af7"/>
          <w:rFonts w:eastAsia="Guttman Hodes" w:hint="cs"/>
          <w:rtl/>
        </w:rPr>
        <w:t xml:space="preserve"> </w:t>
      </w:r>
      <w:r w:rsidRPr="00951D29">
        <w:rPr>
          <w:rStyle w:val="af7"/>
          <w:rFonts w:eastAsia="Guttman Hodes" w:hint="cs"/>
          <w:rtl/>
        </w:rPr>
        <w:t xml:space="preserve">(עי' אות </w:t>
      </w:r>
      <w:r w:rsidRPr="00951D29">
        <w:rPr>
          <w:rStyle w:val="af7"/>
          <w:rFonts w:eastAsia="Guttman Hodes"/>
          <w:rtl/>
        </w:rPr>
        <w:fldChar w:fldCharType="begin"/>
      </w:r>
      <w:r w:rsidRPr="00951D29">
        <w:rPr>
          <w:rStyle w:val="af7"/>
          <w:rFonts w:eastAsia="Guttman Hodes"/>
          <w:rtl/>
        </w:rPr>
        <w:instrText xml:space="preserve"> </w:instrText>
      </w:r>
      <w:r w:rsidRPr="00951D29">
        <w:rPr>
          <w:rStyle w:val="af7"/>
          <w:rFonts w:eastAsia="Guttman Hodes" w:hint="cs"/>
        </w:rPr>
        <w:instrText>REF</w:instrText>
      </w:r>
      <w:r w:rsidRPr="00951D29">
        <w:rPr>
          <w:rStyle w:val="af7"/>
          <w:rFonts w:eastAsia="Guttman Hodes" w:hint="cs"/>
          <w:rtl/>
        </w:rPr>
        <w:instrText xml:space="preserve"> _</w:instrText>
      </w:r>
      <w:r w:rsidRPr="00951D29">
        <w:rPr>
          <w:rStyle w:val="af7"/>
          <w:rFonts w:eastAsia="Guttman Hodes" w:hint="cs"/>
        </w:rPr>
        <w:instrText>Ref61813820 \r \h</w:instrText>
      </w:r>
      <w:r w:rsidRPr="00951D29">
        <w:rPr>
          <w:rStyle w:val="af7"/>
          <w:rFonts w:eastAsia="Guttman Hodes"/>
          <w:rtl/>
        </w:rPr>
        <w:instrText xml:space="preserve"> </w:instrText>
      </w:r>
      <w:r w:rsidRPr="00951D29">
        <w:rPr>
          <w:rStyle w:val="af7"/>
          <w:rFonts w:eastAsia="Guttman Hodes"/>
          <w:rtl/>
        </w:rPr>
      </w:r>
      <w:r w:rsidRPr="00951D29">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951D29">
        <w:rPr>
          <w:rStyle w:val="af7"/>
          <w:rFonts w:eastAsia="Guttman Hodes"/>
          <w:rtl/>
        </w:rPr>
        <w:fldChar w:fldCharType="end"/>
      </w:r>
      <w:r>
        <w:rPr>
          <w:rStyle w:val="af9"/>
          <w:rFonts w:hint="cs"/>
          <w:rtl/>
        </w:rPr>
        <w:t xml:space="preserve"> והרמב"ן </w:t>
      </w:r>
      <w:r w:rsidRPr="00951D29">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Ref61865494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Pr>
          <w:rStyle w:val="af7"/>
          <w:rFonts w:eastAsia="Guttman Hodes"/>
          <w:rtl/>
        </w:rPr>
        <w:fldChar w:fldCharType="end"/>
      </w:r>
      <w:r w:rsidRPr="00951D29">
        <w:rPr>
          <w:rStyle w:val="af7"/>
          <w:rFonts w:eastAsia="Guttman Hodes" w:hint="cs"/>
          <w:rtl/>
        </w:rPr>
        <w:t xml:space="preserve"> </w:t>
      </w:r>
      <w:r>
        <w:rPr>
          <w:rStyle w:val="af9"/>
          <w:rFonts w:hint="cs"/>
          <w:rtl/>
        </w:rPr>
        <w:t xml:space="preserve">ורבינו יונה </w:t>
      </w:r>
      <w:r w:rsidRPr="00915FF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Ref61865417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Pr>
          <w:rStyle w:val="af7"/>
          <w:rFonts w:eastAsia="Guttman Hodes"/>
          <w:rtl/>
        </w:rPr>
        <w:fldChar w:fldCharType="end"/>
      </w:r>
      <w:r>
        <w:rPr>
          <w:rStyle w:val="af7"/>
          <w:rFonts w:eastAsia="Guttman Hodes" w:hint="cs"/>
          <w:rtl/>
        </w:rPr>
        <w:t xml:space="preserve"> </w:t>
      </w:r>
      <w:r>
        <w:rPr>
          <w:rStyle w:val="af9"/>
          <w:rFonts w:hint="cs"/>
          <w:rtl/>
        </w:rPr>
        <w:t>ו</w:t>
      </w:r>
      <w:r w:rsidRPr="003A3768">
        <w:rPr>
          <w:rStyle w:val="af9"/>
          <w:rFonts w:hint="cs"/>
          <w:rtl/>
        </w:rPr>
        <w:t>הרשב"א</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Ref61866105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w:t>
      </w:r>
      <w:r>
        <w:rPr>
          <w:rStyle w:val="af7"/>
          <w:rFonts w:eastAsia="Guttman Hodes"/>
          <w:rtl/>
        </w:rPr>
        <w:fldChar w:fldCharType="end"/>
      </w:r>
      <w:r>
        <w:rPr>
          <w:rStyle w:val="af9"/>
          <w:rFonts w:hint="cs"/>
          <w:rtl/>
        </w:rPr>
        <w:t xml:space="preserve"> וה</w:t>
      </w:r>
      <w:r w:rsidRPr="00EE39AB">
        <w:rPr>
          <w:rStyle w:val="af9"/>
          <w:rFonts w:hint="cs"/>
          <w:rtl/>
        </w:rPr>
        <w:t>ר"ן</w:t>
      </w:r>
      <w:r>
        <w:rPr>
          <w:rFonts w:hint="cs"/>
          <w:rtl/>
        </w:rPr>
        <w:t xml:space="preserve"> </w:t>
      </w:r>
      <w:r w:rsidRPr="00915FFC">
        <w:rPr>
          <w:rStyle w:val="af7"/>
          <w:rFonts w:eastAsia="Guttman Hodes" w:hint="cs"/>
          <w:rtl/>
        </w:rPr>
        <w:t xml:space="preserve">(עי' אות </w:t>
      </w:r>
      <w:r w:rsidRPr="00915FFC">
        <w:rPr>
          <w:rStyle w:val="af7"/>
          <w:rFonts w:eastAsia="Guttman Hodes"/>
          <w:rtl/>
        </w:rPr>
        <w:fldChar w:fldCharType="begin"/>
      </w:r>
      <w:r w:rsidRPr="00915FFC">
        <w:rPr>
          <w:rStyle w:val="af7"/>
          <w:rFonts w:eastAsia="Guttman Hodes"/>
          <w:rtl/>
        </w:rPr>
        <w:instrText xml:space="preserve"> </w:instrText>
      </w:r>
      <w:r w:rsidRPr="00915FFC">
        <w:rPr>
          <w:rStyle w:val="af7"/>
          <w:rFonts w:eastAsia="Guttman Hodes" w:hint="cs"/>
        </w:rPr>
        <w:instrText>REF</w:instrText>
      </w:r>
      <w:r w:rsidRPr="00915FFC">
        <w:rPr>
          <w:rStyle w:val="af7"/>
          <w:rFonts w:eastAsia="Guttman Hodes" w:hint="cs"/>
          <w:rtl/>
        </w:rPr>
        <w:instrText xml:space="preserve"> _</w:instrText>
      </w:r>
      <w:r w:rsidRPr="00915FFC">
        <w:rPr>
          <w:rStyle w:val="af7"/>
          <w:rFonts w:eastAsia="Guttman Hodes" w:hint="cs"/>
        </w:rPr>
        <w:instrText>Ref61883164 \r \h</w:instrText>
      </w:r>
      <w:r w:rsidRPr="00915FFC">
        <w:rPr>
          <w:rStyle w:val="af7"/>
          <w:rFonts w:eastAsia="Guttman Hodes"/>
          <w:rtl/>
        </w:rPr>
        <w:instrText xml:space="preserve"> </w:instrText>
      </w:r>
      <w:r w:rsidRPr="00915FFC">
        <w:rPr>
          <w:rStyle w:val="af7"/>
          <w:rFonts w:eastAsia="Guttman Hodes"/>
          <w:rtl/>
        </w:rPr>
      </w:r>
      <w:r w:rsidRPr="00915FFC">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915FFC">
        <w:rPr>
          <w:rStyle w:val="af7"/>
          <w:rFonts w:eastAsia="Guttman Hodes"/>
          <w:rtl/>
        </w:rPr>
        <w:fldChar w:fldCharType="end"/>
      </w:r>
      <w:r>
        <w:rPr>
          <w:rFonts w:hint="cs"/>
          <w:rtl/>
        </w:rPr>
        <w:t>.</w:t>
      </w:r>
    </w:p>
    <w:p w:rsidR="002823A9" w:rsidRPr="002823A9" w:rsidRDefault="002823A9" w:rsidP="002823A9">
      <w:pPr>
        <w:pStyle w:val="a3"/>
        <w:rPr>
          <w:rtl/>
        </w:rPr>
      </w:pPr>
    </w:p>
    <w:p w:rsidR="002823A9" w:rsidRPr="002823A9" w:rsidRDefault="002823A9" w:rsidP="002823A9">
      <w:pPr>
        <w:pStyle w:val="a3"/>
        <w:rPr>
          <w:rtl/>
        </w:rPr>
      </w:pPr>
    </w:p>
    <w:p w:rsidR="00C34249" w:rsidRPr="00D44200" w:rsidRDefault="00C34249" w:rsidP="00C34249">
      <w:pPr>
        <w:pStyle w:val="1"/>
        <w:rPr>
          <w:rtl/>
        </w:rPr>
      </w:pPr>
      <w:bookmarkStart w:id="12701" w:name="_Toc61887914"/>
      <w:r>
        <w:rPr>
          <w:rFonts w:hint="cs"/>
          <w:rtl/>
        </w:rPr>
        <w:lastRenderedPageBreak/>
        <w:t>ביאור הרמ"ה דבמיגו אינו נאמן בשמא דל"ש נאמנות לשמא</w:t>
      </w:r>
      <w:bookmarkEnd w:id="12701"/>
    </w:p>
    <w:p w:rsidR="00C34249" w:rsidRPr="00A05503" w:rsidRDefault="00C34249" w:rsidP="00C34249">
      <w:pPr>
        <w:pStyle w:val="a3"/>
      </w:pPr>
      <w:bookmarkStart w:id="12702" w:name="_Toc61887915"/>
      <w:r>
        <w:rPr>
          <w:rFonts w:hint="cs"/>
          <w:rtl/>
        </w:rPr>
        <w:t>בי' הרמ"ה דמיגו ל"מ לטענת שמא דנאמנותו היא לטענה וא"א להאמיןבשמא וכ"ש דאין טענינן</w:t>
      </w:r>
      <w:bookmarkEnd w:id="12702"/>
    </w:p>
    <w:p w:rsidR="00547756" w:rsidRDefault="00C34249" w:rsidP="007E4E81">
      <w:pPr>
        <w:pStyle w:val="a0"/>
        <w:rPr>
          <w:rtl/>
        </w:rPr>
        <w:sectPr w:rsidR="00547756" w:rsidSect="005049E2">
          <w:type w:val="continuous"/>
          <w:pgSz w:w="11906" w:h="16838"/>
          <w:pgMar w:top="720" w:right="720" w:bottom="720" w:left="720" w:header="283" w:footer="283" w:gutter="0"/>
          <w:cols w:num="2" w:space="567"/>
          <w:titlePg/>
          <w:bidi/>
          <w:rtlGutter/>
          <w:docGrid w:linePitch="299"/>
        </w:sectPr>
      </w:pPr>
      <w:r>
        <w:rPr>
          <w:rFonts w:hint="cs"/>
          <w:rtl/>
        </w:rPr>
        <w:t xml:space="preserve">וביאר </w:t>
      </w:r>
      <w:r w:rsidRPr="006C62CB">
        <w:rPr>
          <w:rStyle w:val="af9"/>
          <w:rFonts w:hint="cs"/>
          <w:rtl/>
        </w:rPr>
        <w:t>היד רמ"ה</w:t>
      </w:r>
      <w:r>
        <w:rPr>
          <w:rFonts w:hint="cs"/>
          <w:rtl/>
        </w:rPr>
        <w:t xml:space="preserve"> דמדין מיגו אינו נאמן, דלא מהני מיגו לטענת שמא, כיון דכל הנאמנות של המיגו היא לטענה שהוא טוען, ולא </w:t>
      </w:r>
      <w:r>
        <w:rPr>
          <w:rFonts w:hint="cs"/>
          <w:rtl/>
        </w:rPr>
        <w:t xml:space="preserve">שייך להאמין לטענת שמא, דהא אף הוא עצמו אינו יודע, והיאך אנו נאמין לו, וכתב </w:t>
      </w:r>
      <w:r w:rsidRPr="006C62CB">
        <w:rPr>
          <w:rStyle w:val="af9"/>
          <w:rFonts w:hint="cs"/>
          <w:rtl/>
        </w:rPr>
        <w:t>היד רמ"ה</w:t>
      </w:r>
      <w:r>
        <w:rPr>
          <w:rFonts w:hint="cs"/>
          <w:rtl/>
        </w:rPr>
        <w:t xml:space="preserve"> דכיון שהוא עצמו לא היה נאמן בטענת שמא, כ"ש דאנן </w:t>
      </w:r>
      <w:r w:rsidR="00547756">
        <w:rPr>
          <w:rFonts w:hint="cs"/>
          <w:rtl/>
        </w:rPr>
        <w:t>לא טענינן ליה</w:t>
      </w:r>
    </w:p>
    <w:p w:rsidR="00547756" w:rsidRDefault="00547756" w:rsidP="007E4E81">
      <w:pPr>
        <w:pStyle w:val="a0"/>
        <w:rPr>
          <w:rtl/>
        </w:rPr>
        <w:sectPr w:rsidR="00547756" w:rsidSect="005049E2">
          <w:type w:val="continuous"/>
          <w:pgSz w:w="11906" w:h="16838"/>
          <w:pgMar w:top="720" w:right="720" w:bottom="720" w:left="720" w:header="283" w:footer="283" w:gutter="0"/>
          <w:cols w:num="2" w:space="567"/>
          <w:titlePg/>
          <w:bidi/>
          <w:rtlGutter/>
          <w:docGrid w:linePitch="299"/>
        </w:sectPr>
      </w:pPr>
    </w:p>
    <w:p w:rsidR="00C34249" w:rsidRPr="00D47CE7" w:rsidRDefault="00E949D5" w:rsidP="00C34249">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6" type="#_x0000_t75" style="width:404.55pt;height:6.8pt" o:hrpct="0" o:hralign="center" o:hr="t">
            <v:imagedata r:id="rId24" o:title="BD14845_"/>
          </v:shape>
        </w:pict>
      </w:r>
      <w:r w:rsidR="00C34249" w:rsidRPr="00D47CE7">
        <w:rPr>
          <w:rFonts w:ascii="Guttman Hodes" w:eastAsia="Guttman Hodes" w:hAnsi="Guttman Hodes" w:cs="Guttman Hodes" w:hint="cs"/>
          <w:noProof/>
          <w:sz w:val="18"/>
          <w:szCs w:val="18"/>
          <w:rtl/>
        </w:rPr>
        <w:t xml:space="preserve"> </w:t>
      </w:r>
    </w:p>
    <w:p w:rsidR="00C34249" w:rsidRPr="0081356D" w:rsidRDefault="001B6519" w:rsidP="00C34249">
      <w:pPr>
        <w:pStyle w:val="afe"/>
        <w:rPr>
          <w:rtl/>
        </w:rPr>
        <w:sectPr w:rsidR="00C34249" w:rsidRPr="0081356D" w:rsidSect="00361B2E">
          <w:pgSz w:w="11906" w:h="16838"/>
          <w:pgMar w:top="720" w:right="720" w:bottom="720" w:left="720" w:header="283" w:footer="283" w:gutter="0"/>
          <w:cols w:space="567"/>
          <w:bidi/>
          <w:rtlGutter/>
          <w:docGrid w:linePitch="299"/>
        </w:sectPr>
      </w:pPr>
      <w:r>
        <w:rPr>
          <w:rFonts w:hint="cs"/>
          <w:rtl/>
        </w:rPr>
        <w:t>~~~~~~~ ביאורי ראשי הישיבות ~~~~~~~</w:t>
      </w:r>
      <w:r w:rsidR="00C34249" w:rsidRPr="0081356D">
        <w:rPr>
          <w:rFonts w:hint="cs"/>
          <w:rtl/>
        </w:rPr>
        <w:t xml:space="preserve"> </w:t>
      </w:r>
    </w:p>
    <w:p w:rsidR="00C34249" w:rsidRDefault="00C34249" w:rsidP="00C34249">
      <w:pPr>
        <w:pStyle w:val="afe"/>
        <w:rPr>
          <w:rtl/>
        </w:rPr>
      </w:pPr>
      <w:r>
        <w:rPr>
          <w:rFonts w:hint="cs"/>
          <w:rtl/>
        </w:rPr>
        <w:t>ביאור הגר"ח מטעלז בקושית הרמב"ן</w:t>
      </w:r>
    </w:p>
    <w:p w:rsidR="00C34249" w:rsidRDefault="00C34249" w:rsidP="00C34249">
      <w:pPr>
        <w:pStyle w:val="1"/>
        <w:rPr>
          <w:rtl/>
        </w:rPr>
      </w:pPr>
      <w:bookmarkStart w:id="12703" w:name="_Toc61811684"/>
      <w:bookmarkStart w:id="12704" w:name="_Toc61815370"/>
      <w:bookmarkStart w:id="12705" w:name="_Toc61861447"/>
      <w:bookmarkStart w:id="12706" w:name="_Toc61867437"/>
      <w:bookmarkStart w:id="12707" w:name="_Toc61867543"/>
      <w:bookmarkStart w:id="12708" w:name="_Toc61887918"/>
      <w:r>
        <w:rPr>
          <w:rFonts w:hint="cs"/>
          <w:rtl/>
        </w:rPr>
        <w:t>ביאורי הגר"ח מטעלז בקושית הרמב"ן דלרבה מהני מיגו במק"ע</w:t>
      </w:r>
      <w:bookmarkEnd w:id="12703"/>
      <w:bookmarkEnd w:id="12704"/>
      <w:bookmarkEnd w:id="12705"/>
      <w:bookmarkEnd w:id="12706"/>
      <w:bookmarkEnd w:id="12707"/>
      <w:bookmarkEnd w:id="12708"/>
    </w:p>
    <w:p w:rsidR="00C34249" w:rsidRDefault="00C34249" w:rsidP="00C34249">
      <w:pPr>
        <w:pStyle w:val="a3"/>
        <w:rPr>
          <w:rtl/>
        </w:rPr>
      </w:pPr>
      <w:bookmarkStart w:id="12709" w:name="_Toc61887919"/>
      <w:r>
        <w:rPr>
          <w:rFonts w:hint="cs"/>
          <w:rtl/>
        </w:rPr>
        <w:t>הביאור הא' בגר"ח מטעלז דקו' הרמב"ן דלרבה יהיה נאמן בלהד"ם להכחיש את העדים</w:t>
      </w:r>
      <w:bookmarkEnd w:id="12709"/>
    </w:p>
    <w:p w:rsidR="00C34249" w:rsidRPr="00A03C92" w:rsidRDefault="00C34249" w:rsidP="007E4E81">
      <w:pPr>
        <w:pStyle w:val="a0"/>
        <w:rPr>
          <w:rStyle w:val="afb"/>
          <w:rtl/>
        </w:rPr>
      </w:pPr>
      <w:bookmarkStart w:id="12710" w:name="_Ref61883676"/>
      <w:r>
        <w:rPr>
          <w:rFonts w:hint="cs"/>
          <w:rtl/>
        </w:rPr>
        <w:t xml:space="preserve">במה שהקשה </w:t>
      </w:r>
      <w:r w:rsidRPr="00FE76BE">
        <w:rPr>
          <w:rStyle w:val="af9"/>
          <w:rFonts w:hint="cs"/>
          <w:rtl/>
        </w:rPr>
        <w:t>הרמב"ן</w:t>
      </w:r>
      <w:r>
        <w:rPr>
          <w:rFonts w:hint="cs"/>
          <w:rtl/>
        </w:rPr>
        <w:t xml:space="preserve"> </w:t>
      </w:r>
      <w:r w:rsidRPr="00A03C92">
        <w:rPr>
          <w:rStyle w:val="af7"/>
          <w:rFonts w:eastAsia="Guttman Hodes" w:hint="cs"/>
          <w:rtl/>
        </w:rPr>
        <w:t xml:space="preserve">(עי' אות </w:t>
      </w:r>
      <w:r w:rsidRPr="00A03C92">
        <w:rPr>
          <w:rStyle w:val="af7"/>
          <w:rFonts w:eastAsia="Guttman Hodes"/>
          <w:rtl/>
        </w:rPr>
        <w:fldChar w:fldCharType="begin"/>
      </w:r>
      <w:r w:rsidRPr="00A03C92">
        <w:rPr>
          <w:rStyle w:val="af7"/>
          <w:rFonts w:eastAsia="Guttman Hodes"/>
          <w:rtl/>
        </w:rPr>
        <w:instrText xml:space="preserve"> </w:instrText>
      </w:r>
      <w:r w:rsidRPr="00A03C92">
        <w:rPr>
          <w:rStyle w:val="af7"/>
          <w:rFonts w:eastAsia="Guttman Hodes" w:hint="cs"/>
        </w:rPr>
        <w:instrText>REF</w:instrText>
      </w:r>
      <w:r w:rsidRPr="00A03C92">
        <w:rPr>
          <w:rStyle w:val="af7"/>
          <w:rFonts w:eastAsia="Guttman Hodes" w:hint="cs"/>
          <w:rtl/>
        </w:rPr>
        <w:instrText xml:space="preserve"> _</w:instrText>
      </w:r>
      <w:r w:rsidRPr="00A03C92">
        <w:rPr>
          <w:rStyle w:val="af7"/>
          <w:rFonts w:eastAsia="Guttman Hodes" w:hint="cs"/>
        </w:rPr>
        <w:instrText>Ref61771465 \r \h</w:instrText>
      </w:r>
      <w:r w:rsidRPr="00A03C92">
        <w:rPr>
          <w:rStyle w:val="af7"/>
          <w:rFonts w:eastAsia="Guttman Hodes"/>
          <w:rtl/>
        </w:rPr>
        <w:instrText xml:space="preserve"> </w:instrText>
      </w:r>
      <w:r w:rsidRPr="00A03C92">
        <w:rPr>
          <w:rStyle w:val="af7"/>
          <w:rFonts w:eastAsia="Guttman Hodes"/>
          <w:rtl/>
        </w:rPr>
      </w:r>
      <w:r w:rsidRPr="00A03C92">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A03C92">
        <w:rPr>
          <w:rStyle w:val="af7"/>
          <w:rFonts w:eastAsia="Guttman Hodes"/>
          <w:rtl/>
        </w:rPr>
        <w:fldChar w:fldCharType="end"/>
      </w:r>
      <w:r>
        <w:rPr>
          <w:rFonts w:hint="cs"/>
          <w:rtl/>
        </w:rPr>
        <w:t xml:space="preserve"> דהא תנן בשבועות </w:t>
      </w:r>
      <w:r w:rsidRPr="004D5461">
        <w:rPr>
          <w:rStyle w:val="af7"/>
          <w:rFonts w:eastAsia="Guttman Hodes" w:hint="cs"/>
          <w:rtl/>
        </w:rPr>
        <w:t>(לח:)</w:t>
      </w:r>
      <w:r>
        <w:rPr>
          <w:rFonts w:hint="cs"/>
          <w:rtl/>
        </w:rPr>
        <w:t xml:space="preserve"> ולעיל </w:t>
      </w:r>
      <w:r w:rsidRPr="004D5461">
        <w:rPr>
          <w:rStyle w:val="af7"/>
          <w:rFonts w:eastAsia="Guttman Hodes" w:hint="cs"/>
          <w:rtl/>
        </w:rPr>
        <w:t>(ו.)</w:t>
      </w:r>
      <w:r>
        <w:rPr>
          <w:rFonts w:hint="cs"/>
          <w:rtl/>
        </w:rPr>
        <w:t xml:space="preserve"> דהאומר לחבירו מנה לי בידך וא"ל שיפרע לו למחר, ולמחר טען אין לך בידי כלום חייב, דאמרינן דכוונתו לטעון להד"ם, ואי ס"ל לרבה דמיגו במקום עדים מהני, א"כ אמאי לא נאמן כשטוען להד"ם, במיגו דפרעתי, כתב </w:t>
      </w:r>
      <w:r w:rsidRPr="00FE76BE">
        <w:rPr>
          <w:rStyle w:val="af9"/>
          <w:rFonts w:hint="cs"/>
          <w:rtl/>
        </w:rPr>
        <w:t xml:space="preserve">בחי' הגר"ח מטעלז </w:t>
      </w:r>
      <w:r w:rsidRPr="004D5461">
        <w:rPr>
          <w:rStyle w:val="af7"/>
          <w:rFonts w:eastAsia="Guttman Hodes" w:hint="cs"/>
          <w:rtl/>
        </w:rPr>
        <w:t>(סי' י"א ד"ה והנה בקושית)</w:t>
      </w:r>
      <w:r>
        <w:rPr>
          <w:rFonts w:hint="cs"/>
          <w:rtl/>
        </w:rPr>
        <w:t xml:space="preserve"> דאפשר לבאר את קושית </w:t>
      </w:r>
      <w:r w:rsidRPr="00FE76BE">
        <w:rPr>
          <w:rStyle w:val="af9"/>
          <w:rFonts w:hint="cs"/>
          <w:rtl/>
        </w:rPr>
        <w:t>הרמב"ן</w:t>
      </w:r>
      <w:r>
        <w:rPr>
          <w:rFonts w:hint="cs"/>
          <w:rtl/>
        </w:rPr>
        <w:t xml:space="preserve"> דטענת להד"ם היינו דמכחיש את העדים, וטוען שלא הודה מעולם, </w:t>
      </w:r>
      <w:r w:rsidRPr="00BF24E1">
        <w:rPr>
          <w:rStyle w:val="afb"/>
          <w:rFonts w:hint="cs"/>
          <w:rtl/>
        </w:rPr>
        <w:t xml:space="preserve">[וכן ביאר </w:t>
      </w:r>
      <w:r w:rsidRPr="00BF24E1">
        <w:rPr>
          <w:rStyle w:val="affa"/>
          <w:rFonts w:hint="cs"/>
          <w:rtl/>
        </w:rPr>
        <w:t>הגרעק"א</w:t>
      </w:r>
      <w:r w:rsidRPr="00BF24E1">
        <w:rPr>
          <w:rStyle w:val="afb"/>
          <w:rFonts w:hint="cs"/>
          <w:rtl/>
        </w:rPr>
        <w:t xml:space="preserve"> </w:t>
      </w:r>
      <w:r w:rsidRPr="00BF24E1">
        <w:rPr>
          <w:rStyle w:val="aff6"/>
          <w:rFonts w:hint="cs"/>
          <w:rtl/>
        </w:rPr>
        <w:t xml:space="preserve">(עי' אות </w:t>
      </w:r>
      <w:r w:rsidRPr="00BF24E1">
        <w:rPr>
          <w:rStyle w:val="aff6"/>
          <w:rtl/>
        </w:rPr>
        <w:fldChar w:fldCharType="begin"/>
      </w:r>
      <w:r w:rsidRPr="00BF24E1">
        <w:rPr>
          <w:rStyle w:val="aff6"/>
          <w:rtl/>
        </w:rPr>
        <w:instrText xml:space="preserve"> </w:instrText>
      </w:r>
      <w:r w:rsidRPr="00BF24E1">
        <w:rPr>
          <w:rStyle w:val="aff6"/>
          <w:rFonts w:hint="cs"/>
        </w:rPr>
        <w:instrText>REF</w:instrText>
      </w:r>
      <w:r w:rsidRPr="00BF24E1">
        <w:rPr>
          <w:rStyle w:val="aff6"/>
          <w:rFonts w:hint="cs"/>
          <w:rtl/>
        </w:rPr>
        <w:instrText xml:space="preserve"> _</w:instrText>
      </w:r>
      <w:r w:rsidRPr="00BF24E1">
        <w:rPr>
          <w:rStyle w:val="aff6"/>
          <w:rFonts w:hint="cs"/>
        </w:rPr>
        <w:instrText>Ref61771457 \r \h</w:instrText>
      </w:r>
      <w:r w:rsidRPr="00BF24E1">
        <w:rPr>
          <w:rStyle w:val="aff6"/>
          <w:rtl/>
        </w:rPr>
        <w:instrText xml:space="preserve"> </w:instrText>
      </w:r>
      <w:r w:rsidRPr="00BF24E1">
        <w:rPr>
          <w:rStyle w:val="aff6"/>
          <w:rtl/>
        </w:rPr>
      </w:r>
      <w:r w:rsidRPr="00BF24E1">
        <w:rPr>
          <w:rStyle w:val="aff6"/>
          <w:rtl/>
        </w:rPr>
        <w:fldChar w:fldCharType="separate"/>
      </w:r>
      <w:r w:rsidR="00265073">
        <w:rPr>
          <w:rStyle w:val="aff6"/>
          <w:cs/>
        </w:rPr>
        <w:t>‎</w:t>
      </w:r>
      <w:r w:rsidR="00265073">
        <w:rPr>
          <w:rStyle w:val="aff6"/>
          <w:rtl/>
        </w:rPr>
        <w:t>מ)</w:t>
      </w:r>
      <w:r w:rsidRPr="00BF24E1">
        <w:rPr>
          <w:rStyle w:val="aff6"/>
          <w:rtl/>
        </w:rPr>
        <w:fldChar w:fldCharType="end"/>
      </w:r>
      <w:r w:rsidRPr="00BF24E1">
        <w:rPr>
          <w:rStyle w:val="afb"/>
          <w:rFonts w:hint="cs"/>
          <w:rtl/>
        </w:rPr>
        <w:t xml:space="preserve"> דזו הכוונה בטענת להד"ם],</w:t>
      </w:r>
      <w:r>
        <w:rPr>
          <w:rFonts w:hint="cs"/>
          <w:rtl/>
        </w:rPr>
        <w:t xml:space="preserve"> וכתב </w:t>
      </w:r>
      <w:r w:rsidRPr="00FE76BE">
        <w:rPr>
          <w:rStyle w:val="af9"/>
          <w:rFonts w:hint="cs"/>
          <w:rtl/>
        </w:rPr>
        <w:t>בחי' הגר"ח מטעלז</w:t>
      </w:r>
      <w:r>
        <w:rPr>
          <w:rFonts w:hint="cs"/>
          <w:rtl/>
        </w:rPr>
        <w:t xml:space="preserve"> דלפי"ז קושית </w:t>
      </w:r>
      <w:r w:rsidRPr="00A03C92">
        <w:rPr>
          <w:rStyle w:val="af9"/>
          <w:rFonts w:hint="cs"/>
          <w:rtl/>
        </w:rPr>
        <w:t>הרמב"ן</w:t>
      </w:r>
      <w:r>
        <w:rPr>
          <w:rFonts w:hint="cs"/>
          <w:rtl/>
        </w:rPr>
        <w:t xml:space="preserve"> היא דלרבה צריך להיות נאמן במה שטוען עכשיו ומכחיש את העדים, ומ"ש </w:t>
      </w:r>
      <w:r w:rsidRPr="00FE76BE">
        <w:rPr>
          <w:rStyle w:val="af9"/>
          <w:rFonts w:hint="cs"/>
          <w:rtl/>
        </w:rPr>
        <w:t>הרמב"ן</w:t>
      </w:r>
      <w:r>
        <w:rPr>
          <w:rFonts w:hint="cs"/>
          <w:rtl/>
        </w:rPr>
        <w:t xml:space="preserve"> דכיון דמיגו מהני במקום עדים א"כ כ"ש דמהני במקום חזקה, היינו כנגד החזקה דאינו פורע תוך זמנו, ועיי"ש במה שהוכיח </w:t>
      </w:r>
      <w:r w:rsidRPr="00160D75">
        <w:rPr>
          <w:rStyle w:val="af9"/>
          <w:rFonts w:hint="cs"/>
          <w:rtl/>
        </w:rPr>
        <w:t>בחי' הגר"ח מטעלז</w:t>
      </w:r>
      <w:r w:rsidRPr="0025156F">
        <w:rPr>
          <w:rStyle w:val="af7"/>
          <w:rFonts w:eastAsia="Guttman Hodes" w:hint="cs"/>
          <w:rtl/>
        </w:rPr>
        <w:t xml:space="preserve"> (סי' י"א ד"ה אמנם לפי) </w:t>
      </w:r>
      <w:r>
        <w:rPr>
          <w:rFonts w:hint="cs"/>
          <w:rtl/>
        </w:rPr>
        <w:t xml:space="preserve">מדברי </w:t>
      </w:r>
      <w:r w:rsidRPr="00160D75">
        <w:rPr>
          <w:rStyle w:val="af9"/>
          <w:rFonts w:hint="cs"/>
          <w:rtl/>
        </w:rPr>
        <w:t>הרמב"ן לקמן</w:t>
      </w:r>
      <w:r>
        <w:rPr>
          <w:rFonts w:hint="cs"/>
          <w:rtl/>
        </w:rPr>
        <w:t xml:space="preserve"> </w:t>
      </w:r>
      <w:r w:rsidRPr="0025156F">
        <w:rPr>
          <w:rStyle w:val="af7"/>
          <w:rFonts w:eastAsia="Guttman Hodes" w:hint="cs"/>
          <w:rtl/>
        </w:rPr>
        <w:t>(לג: ד"ה אמר)</w:t>
      </w:r>
      <w:r>
        <w:rPr>
          <w:rFonts w:hint="cs"/>
          <w:rtl/>
        </w:rPr>
        <w:t xml:space="preserve"> דכוונתו להקשות דלרבה יועיל מיגו להכחיש את העדים. </w:t>
      </w:r>
      <w:r w:rsidRPr="00A03C92">
        <w:rPr>
          <w:rStyle w:val="afb"/>
          <w:rFonts w:hint="cs"/>
          <w:rtl/>
        </w:rPr>
        <w:t>[ועי' במה ש</w:t>
      </w:r>
      <w:r>
        <w:rPr>
          <w:rStyle w:val="afb"/>
          <w:rFonts w:hint="cs"/>
          <w:rtl/>
        </w:rPr>
        <w:t>הביא</w:t>
      </w:r>
      <w:r w:rsidRPr="00A03C92">
        <w:rPr>
          <w:rStyle w:val="afb"/>
          <w:rFonts w:hint="cs"/>
          <w:rtl/>
        </w:rPr>
        <w:t xml:space="preserve"> </w:t>
      </w:r>
      <w:r w:rsidRPr="00A03C92">
        <w:rPr>
          <w:rStyle w:val="affa"/>
          <w:rFonts w:hint="cs"/>
          <w:rtl/>
        </w:rPr>
        <w:t>הנחל יצחק</w:t>
      </w:r>
      <w:r w:rsidRPr="00A03C92">
        <w:rPr>
          <w:rStyle w:val="afb"/>
          <w:rFonts w:hint="cs"/>
          <w:rtl/>
        </w:rPr>
        <w:t xml:space="preserve"> </w:t>
      </w:r>
      <w:r w:rsidRPr="00A03C92">
        <w:rPr>
          <w:rStyle w:val="aff6"/>
          <w:rFonts w:hint="cs"/>
          <w:rtl/>
        </w:rPr>
        <w:t xml:space="preserve">(עי' אות </w:t>
      </w:r>
      <w:r w:rsidRPr="00A03C92">
        <w:rPr>
          <w:rStyle w:val="aff6"/>
          <w:rtl/>
        </w:rPr>
        <w:fldChar w:fldCharType="begin"/>
      </w:r>
      <w:r w:rsidRPr="00A03C92">
        <w:rPr>
          <w:rStyle w:val="aff6"/>
          <w:rtl/>
        </w:rPr>
        <w:instrText xml:space="preserve"> </w:instrText>
      </w:r>
      <w:r w:rsidRPr="00A03C92">
        <w:rPr>
          <w:rStyle w:val="aff6"/>
          <w:rFonts w:hint="cs"/>
        </w:rPr>
        <w:instrText>REF</w:instrText>
      </w:r>
      <w:r w:rsidRPr="00A03C92">
        <w:rPr>
          <w:rStyle w:val="aff6"/>
          <w:rFonts w:hint="cs"/>
          <w:rtl/>
        </w:rPr>
        <w:instrText xml:space="preserve"> _</w:instrText>
      </w:r>
      <w:r w:rsidRPr="00A03C92">
        <w:rPr>
          <w:rStyle w:val="aff6"/>
          <w:rFonts w:hint="cs"/>
        </w:rPr>
        <w:instrText>Ref61861028 \r \h</w:instrText>
      </w:r>
      <w:r w:rsidRPr="00A03C92">
        <w:rPr>
          <w:rStyle w:val="aff6"/>
          <w:rtl/>
        </w:rPr>
        <w:instrText xml:space="preserve"> </w:instrText>
      </w:r>
      <w:r w:rsidRPr="00A03C92">
        <w:rPr>
          <w:rStyle w:val="aff6"/>
          <w:rtl/>
        </w:rPr>
      </w:r>
      <w:r w:rsidRPr="00A03C92">
        <w:rPr>
          <w:rStyle w:val="aff6"/>
          <w:rtl/>
        </w:rPr>
        <w:fldChar w:fldCharType="separate"/>
      </w:r>
      <w:r w:rsidR="00265073">
        <w:rPr>
          <w:rStyle w:val="aff6"/>
          <w:cs/>
        </w:rPr>
        <w:t>‎</w:t>
      </w:r>
      <w:r w:rsidR="00265073">
        <w:rPr>
          <w:rStyle w:val="aff6"/>
          <w:rtl/>
        </w:rPr>
        <w:t>מא)</w:t>
      </w:r>
      <w:r w:rsidRPr="00A03C92">
        <w:rPr>
          <w:rStyle w:val="aff6"/>
          <w:rtl/>
        </w:rPr>
        <w:fldChar w:fldCharType="end"/>
      </w:r>
      <w:r w:rsidRPr="00A03C92">
        <w:rPr>
          <w:rStyle w:val="afb"/>
          <w:rFonts w:hint="cs"/>
          <w:rtl/>
        </w:rPr>
        <w:t xml:space="preserve"> </w:t>
      </w:r>
      <w:r>
        <w:rPr>
          <w:rStyle w:val="afb"/>
          <w:rFonts w:hint="cs"/>
          <w:rtl/>
        </w:rPr>
        <w:t>את ביאור</w:t>
      </w:r>
      <w:r w:rsidRPr="00A03C92">
        <w:rPr>
          <w:rStyle w:val="afb"/>
          <w:rFonts w:hint="cs"/>
          <w:rtl/>
        </w:rPr>
        <w:t xml:space="preserve"> </w:t>
      </w:r>
      <w:r w:rsidRPr="00A03C92">
        <w:rPr>
          <w:rStyle w:val="affa"/>
          <w:rFonts w:hint="cs"/>
          <w:rtl/>
        </w:rPr>
        <w:t>התוס' בגיטין</w:t>
      </w:r>
      <w:r>
        <w:rPr>
          <w:rStyle w:val="afb"/>
          <w:rFonts w:hint="cs"/>
          <w:rtl/>
        </w:rPr>
        <w:t xml:space="preserve"> דלהד"ם היינו דטוען שטעה בהודאתו</w:t>
      </w:r>
      <w:r w:rsidRPr="00A03C92">
        <w:rPr>
          <w:rStyle w:val="afb"/>
          <w:rFonts w:hint="cs"/>
          <w:rtl/>
        </w:rPr>
        <w:t>].</w:t>
      </w:r>
      <w:bookmarkEnd w:id="12710"/>
    </w:p>
    <w:p w:rsidR="00C34249" w:rsidRPr="00695E02" w:rsidRDefault="00C34249" w:rsidP="00C34249">
      <w:pPr>
        <w:pStyle w:val="a3"/>
        <w:rPr>
          <w:rtl/>
        </w:rPr>
      </w:pPr>
      <w:bookmarkStart w:id="12711" w:name="_Toc61887920"/>
      <w:r>
        <w:rPr>
          <w:rFonts w:hint="cs"/>
          <w:rtl/>
        </w:rPr>
        <w:t>הבי' הב' בגר"ח מטעלז דקו' הרמב"ן דלרבה יהיה נאמן להכחיש את הודאת עצמו דכ"ש מעדים</w:t>
      </w:r>
      <w:bookmarkEnd w:id="12711"/>
    </w:p>
    <w:p w:rsidR="00C34249" w:rsidRDefault="00C34249" w:rsidP="007E4E81">
      <w:pPr>
        <w:pStyle w:val="a0"/>
        <w:rPr>
          <w:rStyle w:val="afb"/>
          <w:rtl/>
        </w:rPr>
      </w:pPr>
      <w:bookmarkStart w:id="12712" w:name="_Ref61851726"/>
      <w:r>
        <w:rPr>
          <w:rFonts w:hint="cs"/>
          <w:rtl/>
        </w:rPr>
        <w:t xml:space="preserve">אך כתב </w:t>
      </w:r>
      <w:r w:rsidRPr="00FE76BE">
        <w:rPr>
          <w:rStyle w:val="af9"/>
          <w:rFonts w:hint="cs"/>
          <w:rtl/>
        </w:rPr>
        <w:t>בחי' הגר"ח מטעלז</w:t>
      </w:r>
      <w:r>
        <w:rPr>
          <w:rFonts w:hint="cs"/>
          <w:rtl/>
        </w:rPr>
        <w:t xml:space="preserve"> דעוד אפשר לבאר את קושית </w:t>
      </w:r>
      <w:r w:rsidRPr="00FE76BE">
        <w:rPr>
          <w:rStyle w:val="af9"/>
          <w:rFonts w:hint="cs"/>
          <w:rtl/>
        </w:rPr>
        <w:t>הרמב"ן</w:t>
      </w:r>
      <w:r>
        <w:rPr>
          <w:rFonts w:hint="cs"/>
          <w:rtl/>
        </w:rPr>
        <w:t xml:space="preserve">, דטענת להד"ם היינו דאעפ"י דמודה שהודה בפני העדים, מ"מ טוען דמה שהודה בתחילה היה משטה בו, ובאמת לא היה חייב לו, וכתב </w:t>
      </w:r>
      <w:r w:rsidRPr="00532D48">
        <w:rPr>
          <w:rStyle w:val="af9"/>
          <w:rFonts w:hint="cs"/>
          <w:rtl/>
        </w:rPr>
        <w:t>בחי' הגר"ח מטעלז</w:t>
      </w:r>
      <w:r>
        <w:rPr>
          <w:rFonts w:hint="cs"/>
          <w:rtl/>
        </w:rPr>
        <w:t xml:space="preserve"> דלפי"ז קושית </w:t>
      </w:r>
      <w:r w:rsidRPr="00532D48">
        <w:rPr>
          <w:rStyle w:val="af9"/>
          <w:rFonts w:hint="cs"/>
          <w:rtl/>
        </w:rPr>
        <w:t xml:space="preserve">הרמב"ן </w:t>
      </w:r>
      <w:r>
        <w:rPr>
          <w:rFonts w:hint="cs"/>
          <w:rtl/>
        </w:rPr>
        <w:t xml:space="preserve">היא דלרבה צריך להיות נאמן במה שטוען עכשיו כנגד ההודאה שהודה בתחילה, דכיון דס"ל לרבה דמיגו נאמן כנגד עדים, א"כ כ"ש דנאמן כנגד הודאת בע"ד, וזו כוונת </w:t>
      </w:r>
      <w:r w:rsidRPr="00160D75">
        <w:rPr>
          <w:rStyle w:val="af9"/>
          <w:rFonts w:hint="cs"/>
          <w:rtl/>
        </w:rPr>
        <w:t>הרמב"ן</w:t>
      </w:r>
      <w:r>
        <w:rPr>
          <w:rFonts w:hint="cs"/>
          <w:rtl/>
        </w:rPr>
        <w:t xml:space="preserve"> דכתב דכיון דמיגו מהני במקום עדים, א"כ כ"ש דמהני במקום חזקה, דהיינו כנגד הודאת בע"ד.</w:t>
      </w:r>
      <w:bookmarkEnd w:id="12712"/>
    </w:p>
    <w:p w:rsidR="00C34249" w:rsidRPr="00EA1E43" w:rsidRDefault="00C34249" w:rsidP="00C34249">
      <w:pPr>
        <w:pStyle w:val="afe"/>
        <w:rPr>
          <w:rtl/>
        </w:rPr>
      </w:pPr>
      <w:r>
        <w:rPr>
          <w:rFonts w:hint="cs"/>
          <w:rtl/>
        </w:rPr>
        <w:t>ביאור הגר"ח מטעלז דמיגו עושה ריעותא</w:t>
      </w:r>
    </w:p>
    <w:p w:rsidR="00C34249" w:rsidRDefault="00C34249" w:rsidP="00C34249">
      <w:pPr>
        <w:pStyle w:val="1"/>
        <w:rPr>
          <w:rtl/>
        </w:rPr>
      </w:pPr>
      <w:bookmarkStart w:id="12713" w:name="_Toc61811685"/>
      <w:bookmarkStart w:id="12714" w:name="_Toc61815371"/>
      <w:bookmarkStart w:id="12715" w:name="_Toc61861448"/>
      <w:bookmarkStart w:id="12716" w:name="_Toc61867438"/>
      <w:bookmarkStart w:id="12717" w:name="_Toc61867544"/>
      <w:bookmarkStart w:id="12718" w:name="_Toc61887921"/>
      <w:r>
        <w:rPr>
          <w:rFonts w:hint="cs"/>
          <w:rtl/>
        </w:rPr>
        <w:t>ביאור הגר"ח מטעלז</w:t>
      </w:r>
      <w:bookmarkEnd w:id="12713"/>
      <w:bookmarkEnd w:id="12714"/>
      <w:bookmarkEnd w:id="12715"/>
      <w:bookmarkEnd w:id="12716"/>
      <w:bookmarkEnd w:id="12717"/>
      <w:bookmarkEnd w:id="12718"/>
      <w:r>
        <w:rPr>
          <w:rFonts w:hint="cs"/>
          <w:rtl/>
        </w:rPr>
        <w:t xml:space="preserve"> דלרבה ע"י המיגו חשיב שיש דין מרומה</w:t>
      </w:r>
    </w:p>
    <w:p w:rsidR="00C34249" w:rsidRDefault="00C34249" w:rsidP="00C34249">
      <w:pPr>
        <w:pStyle w:val="a3"/>
        <w:rPr>
          <w:rtl/>
        </w:rPr>
      </w:pPr>
      <w:bookmarkStart w:id="12719" w:name="_Toc61887922"/>
      <w:r>
        <w:rPr>
          <w:rFonts w:hint="cs"/>
          <w:rtl/>
        </w:rPr>
        <w:t>דברי הגר"ח מטעלז דלרמב"ן לרבה נאמן רק לתרץ דבריו ולרשב"ם ותוס' נאמן להכחיש העדים</w:t>
      </w:r>
      <w:bookmarkEnd w:id="12719"/>
    </w:p>
    <w:p w:rsidR="00C34249" w:rsidRDefault="00C34249" w:rsidP="007E4E81">
      <w:pPr>
        <w:pStyle w:val="a0"/>
        <w:rPr>
          <w:rtl/>
        </w:rPr>
      </w:pPr>
      <w:r>
        <w:rPr>
          <w:rFonts w:hint="cs"/>
          <w:rtl/>
        </w:rPr>
        <w:t xml:space="preserve">ובמה שתירץ </w:t>
      </w:r>
      <w:r w:rsidRPr="00160D75">
        <w:rPr>
          <w:rStyle w:val="af9"/>
          <w:rFonts w:hint="cs"/>
          <w:rtl/>
        </w:rPr>
        <w:t>הרמב"ן</w:t>
      </w:r>
      <w:r>
        <w:rPr>
          <w:rFonts w:hint="cs"/>
          <w:rtl/>
        </w:rPr>
        <w:t xml:space="preserve"> </w:t>
      </w:r>
      <w:r w:rsidRPr="00D110E3">
        <w:rPr>
          <w:rStyle w:val="af7"/>
          <w:rFonts w:eastAsia="Guttman Hodes" w:hint="cs"/>
          <w:rtl/>
        </w:rPr>
        <w:t xml:space="preserve">(עי' אות </w:t>
      </w:r>
      <w:r w:rsidRPr="00D110E3">
        <w:rPr>
          <w:rStyle w:val="af7"/>
          <w:rFonts w:eastAsia="Guttman Rashi"/>
          <w:rtl/>
        </w:rPr>
        <w:fldChar w:fldCharType="begin"/>
      </w:r>
      <w:r w:rsidRPr="00D110E3">
        <w:rPr>
          <w:rStyle w:val="af7"/>
          <w:rFonts w:eastAsia="Guttman Hodes"/>
          <w:rtl/>
        </w:rPr>
        <w:instrText xml:space="preserve"> </w:instrText>
      </w:r>
      <w:r w:rsidRPr="00D110E3">
        <w:rPr>
          <w:rStyle w:val="af7"/>
          <w:rFonts w:eastAsia="Guttman Hodes" w:hint="cs"/>
        </w:rPr>
        <w:instrText>REF</w:instrText>
      </w:r>
      <w:r w:rsidRPr="00D110E3">
        <w:rPr>
          <w:rStyle w:val="af7"/>
          <w:rFonts w:eastAsia="Guttman Hodes" w:hint="cs"/>
          <w:rtl/>
        </w:rPr>
        <w:instrText xml:space="preserve"> _</w:instrText>
      </w:r>
      <w:r w:rsidRPr="00D110E3">
        <w:rPr>
          <w:rStyle w:val="af7"/>
          <w:rFonts w:eastAsia="Guttman Hodes" w:hint="cs"/>
        </w:rPr>
        <w:instrText>Ref61851387 \r \h</w:instrText>
      </w:r>
      <w:r w:rsidRPr="00D110E3">
        <w:rPr>
          <w:rStyle w:val="af7"/>
          <w:rFonts w:eastAsia="Guttman Hodes"/>
          <w:rtl/>
        </w:rPr>
        <w:instrText xml:space="preserve"> </w:instrText>
      </w:r>
      <w:r w:rsidRPr="00D110E3">
        <w:rPr>
          <w:rStyle w:val="af7"/>
          <w:rFonts w:eastAsia="Guttman Rashi"/>
          <w:rtl/>
        </w:rPr>
      </w:r>
      <w:r w:rsidRPr="00D110E3">
        <w:rPr>
          <w:rStyle w:val="af7"/>
          <w:rFonts w:eastAsia="Guttman Rashi"/>
          <w:rtl/>
        </w:rPr>
        <w:fldChar w:fldCharType="separate"/>
      </w:r>
      <w:r w:rsidR="00265073">
        <w:rPr>
          <w:rStyle w:val="af7"/>
          <w:rFonts w:eastAsia="Guttman Hodes"/>
          <w:cs/>
        </w:rPr>
        <w:t>‎</w:t>
      </w:r>
      <w:r w:rsidR="00265073">
        <w:rPr>
          <w:rStyle w:val="af7"/>
          <w:rFonts w:eastAsia="Guttman Hodes"/>
          <w:rtl/>
        </w:rPr>
        <w:t>לד)</w:t>
      </w:r>
      <w:r w:rsidRPr="00D110E3">
        <w:rPr>
          <w:rStyle w:val="af7"/>
          <w:rFonts w:eastAsia="Guttman Rashi"/>
          <w:rtl/>
        </w:rPr>
        <w:fldChar w:fldCharType="end"/>
      </w:r>
      <w:r>
        <w:rPr>
          <w:rFonts w:hint="cs"/>
          <w:rtl/>
        </w:rPr>
        <w:t xml:space="preserve"> דלרבה ולרב חסדא, דמתרצינן את דברי המחזיק דאבותיו לקחוה מאבותיו של המערער, כתב </w:t>
      </w:r>
      <w:r w:rsidRPr="00160D75">
        <w:rPr>
          <w:rStyle w:val="af9"/>
          <w:rFonts w:hint="cs"/>
          <w:rtl/>
        </w:rPr>
        <w:t>בחי' הגר"ח מטעלז</w:t>
      </w:r>
      <w:r>
        <w:rPr>
          <w:rFonts w:hint="cs"/>
          <w:rtl/>
        </w:rPr>
        <w:t xml:space="preserve"> </w:t>
      </w:r>
      <w:r w:rsidRPr="00D110E3">
        <w:rPr>
          <w:rStyle w:val="af7"/>
          <w:rFonts w:eastAsia="Guttman Hodes" w:hint="cs"/>
          <w:rtl/>
        </w:rPr>
        <w:t>(סי' י"א ד"ה והנה הרמב"ן)</w:t>
      </w:r>
      <w:r>
        <w:rPr>
          <w:rFonts w:hint="cs"/>
          <w:rtl/>
        </w:rPr>
        <w:t xml:space="preserve"> דמבואר מדברי </w:t>
      </w:r>
      <w:r w:rsidRPr="00160D75">
        <w:rPr>
          <w:rStyle w:val="af9"/>
          <w:rFonts w:hint="cs"/>
          <w:rtl/>
        </w:rPr>
        <w:t>הרמב"ן</w:t>
      </w:r>
      <w:r>
        <w:rPr>
          <w:rFonts w:hint="cs"/>
          <w:rtl/>
        </w:rPr>
        <w:t xml:space="preserve"> דבאופן שהעדים מכחישים לגמרי את טענתו, ומעידים דהקרקע היא של אבותיו של המערער, ולא של אבותיו של המחזיק, כו"ע מודו דלא אמרינן מיגו במקום עדים, וכתב </w:t>
      </w:r>
      <w:r w:rsidRPr="00160D75">
        <w:rPr>
          <w:rStyle w:val="af9"/>
          <w:rFonts w:hint="cs"/>
          <w:rtl/>
        </w:rPr>
        <w:t>בחי' הגר"ח מטעלז</w:t>
      </w:r>
      <w:r>
        <w:rPr>
          <w:rFonts w:hint="cs"/>
          <w:rtl/>
        </w:rPr>
        <w:t xml:space="preserve"> דמדברי </w:t>
      </w:r>
      <w:r w:rsidRPr="00160D75">
        <w:rPr>
          <w:rStyle w:val="af9"/>
          <w:rFonts w:hint="cs"/>
          <w:rtl/>
        </w:rPr>
        <w:t xml:space="preserve">הרשב"ם לקמן </w:t>
      </w:r>
      <w:r w:rsidRPr="00A7649C">
        <w:rPr>
          <w:rStyle w:val="af7"/>
          <w:rFonts w:eastAsia="Guttman Hodes" w:hint="cs"/>
          <w:rtl/>
        </w:rPr>
        <w:t xml:space="preserve">(עי' אות </w:t>
      </w:r>
      <w:r w:rsidRPr="00A7649C">
        <w:rPr>
          <w:rStyle w:val="af7"/>
          <w:rFonts w:eastAsia="Guttman Hodes"/>
          <w:rtl/>
        </w:rPr>
        <w:fldChar w:fldCharType="begin"/>
      </w:r>
      <w:r w:rsidRPr="00A7649C">
        <w:rPr>
          <w:rStyle w:val="af7"/>
          <w:rFonts w:eastAsia="Guttman Hodes"/>
          <w:rtl/>
        </w:rPr>
        <w:instrText xml:space="preserve"> </w:instrText>
      </w:r>
      <w:r w:rsidRPr="00A7649C">
        <w:rPr>
          <w:rStyle w:val="af7"/>
          <w:rFonts w:eastAsia="Guttman Hodes" w:hint="cs"/>
        </w:rPr>
        <w:instrText>REF</w:instrText>
      </w:r>
      <w:r w:rsidRPr="00A7649C">
        <w:rPr>
          <w:rStyle w:val="af7"/>
          <w:rFonts w:eastAsia="Guttman Hodes" w:hint="cs"/>
          <w:rtl/>
        </w:rPr>
        <w:instrText xml:space="preserve"> _</w:instrText>
      </w:r>
      <w:r w:rsidRPr="00A7649C">
        <w:rPr>
          <w:rStyle w:val="af7"/>
          <w:rFonts w:eastAsia="Guttman Hodes" w:hint="cs"/>
        </w:rPr>
        <w:instrText>Ref61812631 \r \h</w:instrText>
      </w:r>
      <w:r w:rsidRPr="00A7649C">
        <w:rPr>
          <w:rStyle w:val="af7"/>
          <w:rFonts w:eastAsia="Guttman Hodes"/>
          <w:rtl/>
        </w:rPr>
        <w:instrText xml:space="preserve"> </w:instrText>
      </w:r>
      <w:r w:rsidRPr="00A7649C">
        <w:rPr>
          <w:rStyle w:val="af7"/>
          <w:rFonts w:eastAsia="Guttman Hodes"/>
          <w:rtl/>
        </w:rPr>
      </w:r>
      <w:r w:rsidRPr="00A7649C">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7649C">
        <w:rPr>
          <w:rStyle w:val="af7"/>
          <w:rFonts w:eastAsia="Guttman Hodes"/>
          <w:rtl/>
        </w:rPr>
        <w:fldChar w:fldCharType="end"/>
      </w:r>
      <w:r>
        <w:rPr>
          <w:rFonts w:hint="cs"/>
          <w:rtl/>
        </w:rPr>
        <w:t xml:space="preserve"> </w:t>
      </w:r>
      <w:r w:rsidRPr="00160D75">
        <w:rPr>
          <w:rStyle w:val="af9"/>
          <w:rFonts w:hint="cs"/>
          <w:rtl/>
        </w:rPr>
        <w:t>והתוס' לקמן</w:t>
      </w:r>
      <w:r>
        <w:rPr>
          <w:rFonts w:hint="cs"/>
          <w:rtl/>
        </w:rPr>
        <w:t xml:space="preserve"> </w:t>
      </w:r>
      <w:r w:rsidRPr="00A7649C">
        <w:rPr>
          <w:rStyle w:val="af7"/>
          <w:rFonts w:eastAsia="Guttman Hodes" w:hint="cs"/>
          <w:rtl/>
        </w:rPr>
        <w:t xml:space="preserve">(עי' אות </w:t>
      </w:r>
      <w:r w:rsidRPr="00A7649C">
        <w:rPr>
          <w:rStyle w:val="af7"/>
          <w:rFonts w:eastAsia="Guttman Hodes"/>
          <w:rtl/>
        </w:rPr>
        <w:fldChar w:fldCharType="begin"/>
      </w:r>
      <w:r w:rsidRPr="00A7649C">
        <w:rPr>
          <w:rStyle w:val="af7"/>
          <w:rFonts w:eastAsia="Guttman Hodes"/>
          <w:rtl/>
        </w:rPr>
        <w:instrText xml:space="preserve"> </w:instrText>
      </w:r>
      <w:r w:rsidRPr="00A7649C">
        <w:rPr>
          <w:rStyle w:val="af7"/>
          <w:rFonts w:eastAsia="Guttman Hodes" w:hint="cs"/>
        </w:rPr>
        <w:instrText>REF</w:instrText>
      </w:r>
      <w:r w:rsidRPr="00A7649C">
        <w:rPr>
          <w:rStyle w:val="af7"/>
          <w:rFonts w:eastAsia="Guttman Hodes" w:hint="cs"/>
          <w:rtl/>
        </w:rPr>
        <w:instrText xml:space="preserve"> _</w:instrText>
      </w:r>
      <w:r w:rsidRPr="00A7649C">
        <w:rPr>
          <w:rStyle w:val="af7"/>
          <w:rFonts w:eastAsia="Guttman Hodes" w:hint="cs"/>
        </w:rPr>
        <w:instrText>Ref61883976 \r \h</w:instrText>
      </w:r>
      <w:r w:rsidRPr="00A7649C">
        <w:rPr>
          <w:rStyle w:val="af7"/>
          <w:rFonts w:eastAsia="Guttman Hodes"/>
          <w:rtl/>
        </w:rPr>
        <w:instrText xml:space="preserve"> </w:instrText>
      </w:r>
      <w:r w:rsidRPr="00A7649C">
        <w:rPr>
          <w:rStyle w:val="af7"/>
          <w:rFonts w:eastAsia="Guttman Hodes"/>
          <w:rtl/>
        </w:rPr>
      </w:r>
      <w:r w:rsidRPr="00A7649C">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A7649C">
        <w:rPr>
          <w:rStyle w:val="af7"/>
          <w:rFonts w:eastAsia="Guttman Hodes"/>
          <w:rtl/>
        </w:rPr>
        <w:fldChar w:fldCharType="end"/>
      </w:r>
      <w:r>
        <w:rPr>
          <w:rFonts w:hint="cs"/>
          <w:rtl/>
        </w:rPr>
        <w:t xml:space="preserve"> מבואר דלרב חסדא נאמן אף להכחיש את העדים לגמרי, וכתב </w:t>
      </w:r>
      <w:r w:rsidRPr="00FE76BE">
        <w:rPr>
          <w:rStyle w:val="af9"/>
          <w:rFonts w:hint="cs"/>
          <w:rtl/>
        </w:rPr>
        <w:t>הגר"ח מטעלז</w:t>
      </w:r>
      <w:r>
        <w:rPr>
          <w:rFonts w:hint="cs"/>
          <w:rtl/>
        </w:rPr>
        <w:t xml:space="preserve"> דא"כ לדעת </w:t>
      </w:r>
      <w:r w:rsidRPr="00FE76BE">
        <w:rPr>
          <w:rStyle w:val="af9"/>
          <w:rFonts w:hint="cs"/>
          <w:rtl/>
        </w:rPr>
        <w:t>התוס' והרשב"ם</w:t>
      </w:r>
      <w:r>
        <w:rPr>
          <w:rFonts w:hint="cs"/>
          <w:rtl/>
        </w:rPr>
        <w:t xml:space="preserve"> קשה הקושיות שהקשה </w:t>
      </w:r>
      <w:r w:rsidRPr="00FE76BE">
        <w:rPr>
          <w:rStyle w:val="af9"/>
          <w:rFonts w:hint="cs"/>
          <w:rtl/>
        </w:rPr>
        <w:t>הרמב"ן</w:t>
      </w:r>
      <w:r>
        <w:rPr>
          <w:rFonts w:hint="cs"/>
          <w:rtl/>
        </w:rPr>
        <w:t xml:space="preserve"> </w:t>
      </w:r>
      <w:r w:rsidRPr="00A7649C">
        <w:rPr>
          <w:rStyle w:val="af7"/>
          <w:rFonts w:eastAsia="Guttman Hodes" w:hint="cs"/>
          <w:rtl/>
        </w:rPr>
        <w:t xml:space="preserve">(עי' אות </w:t>
      </w:r>
      <w:r w:rsidRPr="00A7649C">
        <w:rPr>
          <w:rStyle w:val="af7"/>
          <w:rFonts w:eastAsia="Guttman Hodes"/>
          <w:rtl/>
        </w:rPr>
        <w:fldChar w:fldCharType="begin"/>
      </w:r>
      <w:r w:rsidRPr="00A7649C">
        <w:rPr>
          <w:rStyle w:val="af7"/>
          <w:rFonts w:eastAsia="Guttman Hodes"/>
          <w:rtl/>
        </w:rPr>
        <w:instrText xml:space="preserve"> </w:instrText>
      </w:r>
      <w:r w:rsidRPr="00A7649C">
        <w:rPr>
          <w:rStyle w:val="af7"/>
          <w:rFonts w:eastAsia="Guttman Hodes" w:hint="cs"/>
        </w:rPr>
        <w:instrText>REF</w:instrText>
      </w:r>
      <w:r w:rsidRPr="00A7649C">
        <w:rPr>
          <w:rStyle w:val="af7"/>
          <w:rFonts w:eastAsia="Guttman Hodes" w:hint="cs"/>
          <w:rtl/>
        </w:rPr>
        <w:instrText xml:space="preserve"> _</w:instrText>
      </w:r>
      <w:r w:rsidRPr="00A7649C">
        <w:rPr>
          <w:rStyle w:val="af7"/>
          <w:rFonts w:eastAsia="Guttman Hodes" w:hint="cs"/>
        </w:rPr>
        <w:instrText>Ref61883989 \r \h</w:instrText>
      </w:r>
      <w:r w:rsidRPr="00A7649C">
        <w:rPr>
          <w:rStyle w:val="af7"/>
          <w:rFonts w:eastAsia="Guttman Hodes"/>
          <w:rtl/>
        </w:rPr>
        <w:instrText xml:space="preserve"> </w:instrText>
      </w:r>
      <w:r w:rsidRPr="00A7649C">
        <w:rPr>
          <w:rStyle w:val="af7"/>
          <w:rFonts w:eastAsia="Guttman Hodes"/>
          <w:rtl/>
        </w:rPr>
      </w:r>
      <w:r w:rsidRPr="00A7649C">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A7649C">
        <w:rPr>
          <w:rStyle w:val="af7"/>
          <w:rFonts w:eastAsia="Guttman Hodes"/>
          <w:rtl/>
        </w:rPr>
        <w:fldChar w:fldCharType="end"/>
      </w:r>
      <w:r>
        <w:rPr>
          <w:rFonts w:hint="cs"/>
          <w:rtl/>
        </w:rPr>
        <w:t>.</w:t>
      </w:r>
    </w:p>
    <w:p w:rsidR="00C34249" w:rsidRPr="00C30B4C" w:rsidRDefault="00C34249" w:rsidP="00C34249">
      <w:pPr>
        <w:pStyle w:val="a3"/>
        <w:rPr>
          <w:rtl/>
        </w:rPr>
      </w:pPr>
    </w:p>
    <w:p w:rsidR="00C34249" w:rsidRPr="00A7649C" w:rsidRDefault="00C34249" w:rsidP="00C34249">
      <w:pPr>
        <w:pStyle w:val="a3"/>
      </w:pPr>
      <w:bookmarkStart w:id="12720" w:name="_Toc61887923"/>
      <w:r>
        <w:rPr>
          <w:rFonts w:hint="cs"/>
          <w:rtl/>
        </w:rPr>
        <w:t>דברי הגר"ח מטעלז דעדות הוא גזיה"כ דנאמנים יותר מכל בירור ונאמנות מיגו היא כח הטענה</w:t>
      </w:r>
      <w:bookmarkEnd w:id="12720"/>
    </w:p>
    <w:p w:rsidR="00C34249" w:rsidRDefault="00C34249" w:rsidP="007E4E81">
      <w:pPr>
        <w:pStyle w:val="a0"/>
        <w:rPr>
          <w:sz w:val="10"/>
          <w:szCs w:val="14"/>
          <w:rtl/>
        </w:rPr>
      </w:pPr>
      <w:bookmarkStart w:id="12721" w:name="_Ref61884465"/>
      <w:bookmarkStart w:id="12722" w:name="_Ref61812514"/>
      <w:r>
        <w:rPr>
          <w:rFonts w:hint="cs"/>
          <w:rtl/>
        </w:rPr>
        <w:t xml:space="preserve">וכתב </w:t>
      </w:r>
      <w:r w:rsidRPr="00FE76BE">
        <w:rPr>
          <w:rStyle w:val="af9"/>
          <w:rFonts w:hint="cs"/>
          <w:rtl/>
        </w:rPr>
        <w:t>בחי' הגר"ח מטעלז</w:t>
      </w:r>
      <w:r>
        <w:rPr>
          <w:rFonts w:hint="cs"/>
          <w:rtl/>
        </w:rPr>
        <w:t xml:space="preserve"> </w:t>
      </w:r>
      <w:r w:rsidRPr="00603FC7">
        <w:rPr>
          <w:rStyle w:val="af7"/>
          <w:rFonts w:eastAsia="Guttman Hodes" w:hint="cs"/>
          <w:rtl/>
        </w:rPr>
        <w:t xml:space="preserve">(סי' י"א ד"ה ונראה לפרש) </w:t>
      </w:r>
      <w:r>
        <w:rPr>
          <w:rFonts w:hint="cs"/>
          <w:rtl/>
        </w:rPr>
        <w:t>דהנאמנות של העדים, אינה מחמת דמסברא יש לנו בירור שהאמת היא כדברי העדים, דהא אף משה ואהרן הם כב' עדים מהשוק, אלא דדין התורה להאמין לעדות עדים, יותר מכל בירור אחר שבתורה, אבל במיגו סתם הנאמנות היא מחמת כח הטענה, ואינו בירור.</w:t>
      </w:r>
      <w:bookmarkEnd w:id="12721"/>
    </w:p>
    <w:p w:rsidR="00C34249" w:rsidRPr="00CE6915" w:rsidRDefault="00C34249" w:rsidP="00C34249">
      <w:pPr>
        <w:pStyle w:val="a3"/>
      </w:pPr>
      <w:bookmarkStart w:id="12723" w:name="_Toc61887924"/>
      <w:r>
        <w:rPr>
          <w:rFonts w:hint="cs"/>
          <w:rtl/>
        </w:rPr>
        <w:t>בי' הגר"ח מטעלז דלרבה מיגו שמעיז כנגד עדים מברר ועושה ריעותא וחשיב עדות מרומה</w:t>
      </w:r>
      <w:bookmarkEnd w:id="12723"/>
    </w:p>
    <w:p w:rsidR="00C34249" w:rsidRPr="00603FC7" w:rsidRDefault="00C34249" w:rsidP="007E4E81">
      <w:pPr>
        <w:pStyle w:val="a0"/>
        <w:rPr>
          <w:rStyle w:val="afb"/>
          <w:rtl/>
        </w:rPr>
      </w:pPr>
      <w:r>
        <w:rPr>
          <w:rFonts w:hint="cs"/>
          <w:rtl/>
        </w:rPr>
        <w:t xml:space="preserve">ולפי"ז תירץ </w:t>
      </w:r>
      <w:r w:rsidRPr="00FE76BE">
        <w:rPr>
          <w:rStyle w:val="af9"/>
          <w:rFonts w:hint="cs"/>
          <w:rtl/>
        </w:rPr>
        <w:t>הגר"ח מטעלז</w:t>
      </w:r>
      <w:r>
        <w:rPr>
          <w:rFonts w:hint="cs"/>
          <w:rtl/>
        </w:rPr>
        <w:t xml:space="preserve"> דלדעת </w:t>
      </w:r>
      <w:r w:rsidRPr="00FE76BE">
        <w:rPr>
          <w:rStyle w:val="af9"/>
          <w:rFonts w:hint="cs"/>
          <w:rtl/>
        </w:rPr>
        <w:t xml:space="preserve">הרשב"ם </w:t>
      </w:r>
      <w:r w:rsidRPr="00160D75">
        <w:rPr>
          <w:rStyle w:val="af9"/>
          <w:rFonts w:hint="cs"/>
          <w:rtl/>
        </w:rPr>
        <w:t xml:space="preserve">לקמן </w:t>
      </w:r>
      <w:r w:rsidRPr="00A7649C">
        <w:rPr>
          <w:rStyle w:val="af7"/>
          <w:rFonts w:eastAsia="Guttman Hodes" w:hint="cs"/>
          <w:rtl/>
        </w:rPr>
        <w:t xml:space="preserve">(עי' אות </w:t>
      </w:r>
      <w:r w:rsidRPr="00A7649C">
        <w:rPr>
          <w:rStyle w:val="af7"/>
          <w:rFonts w:eastAsia="Guttman Hodes"/>
          <w:rtl/>
        </w:rPr>
        <w:fldChar w:fldCharType="begin"/>
      </w:r>
      <w:r w:rsidRPr="00A7649C">
        <w:rPr>
          <w:rStyle w:val="af7"/>
          <w:rFonts w:eastAsia="Guttman Hodes"/>
          <w:rtl/>
        </w:rPr>
        <w:instrText xml:space="preserve"> </w:instrText>
      </w:r>
      <w:r w:rsidRPr="00A7649C">
        <w:rPr>
          <w:rStyle w:val="af7"/>
          <w:rFonts w:eastAsia="Guttman Hodes" w:hint="cs"/>
        </w:rPr>
        <w:instrText>REF</w:instrText>
      </w:r>
      <w:r w:rsidRPr="00A7649C">
        <w:rPr>
          <w:rStyle w:val="af7"/>
          <w:rFonts w:eastAsia="Guttman Hodes" w:hint="cs"/>
          <w:rtl/>
        </w:rPr>
        <w:instrText xml:space="preserve"> _</w:instrText>
      </w:r>
      <w:r w:rsidRPr="00A7649C">
        <w:rPr>
          <w:rStyle w:val="af7"/>
          <w:rFonts w:eastAsia="Guttman Hodes" w:hint="cs"/>
        </w:rPr>
        <w:instrText>Ref61812631 \r \h</w:instrText>
      </w:r>
      <w:r w:rsidRPr="00A7649C">
        <w:rPr>
          <w:rStyle w:val="af7"/>
          <w:rFonts w:eastAsia="Guttman Hodes"/>
          <w:rtl/>
        </w:rPr>
        <w:instrText xml:space="preserve"> </w:instrText>
      </w:r>
      <w:r w:rsidRPr="00A7649C">
        <w:rPr>
          <w:rStyle w:val="af7"/>
          <w:rFonts w:eastAsia="Guttman Hodes"/>
          <w:rtl/>
        </w:rPr>
      </w:r>
      <w:r w:rsidRPr="00A7649C">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7649C">
        <w:rPr>
          <w:rStyle w:val="af7"/>
          <w:rFonts w:eastAsia="Guttman Hodes"/>
          <w:rtl/>
        </w:rPr>
        <w:fldChar w:fldCharType="end"/>
      </w:r>
      <w:r>
        <w:rPr>
          <w:rFonts w:hint="cs"/>
          <w:rtl/>
        </w:rPr>
        <w:t xml:space="preserve"> </w:t>
      </w:r>
      <w:r w:rsidRPr="00160D75">
        <w:rPr>
          <w:rStyle w:val="af9"/>
          <w:rFonts w:hint="cs"/>
          <w:rtl/>
        </w:rPr>
        <w:t>והתוס' לקמן</w:t>
      </w:r>
      <w:r>
        <w:rPr>
          <w:rFonts w:hint="cs"/>
          <w:rtl/>
        </w:rPr>
        <w:t xml:space="preserve"> </w:t>
      </w:r>
      <w:r w:rsidRPr="00A7649C">
        <w:rPr>
          <w:rStyle w:val="af7"/>
          <w:rFonts w:eastAsia="Guttman Hodes" w:hint="cs"/>
          <w:rtl/>
        </w:rPr>
        <w:t xml:space="preserve">(עי' אות </w:t>
      </w:r>
      <w:r w:rsidRPr="00A7649C">
        <w:rPr>
          <w:rStyle w:val="af7"/>
          <w:rFonts w:eastAsia="Guttman Hodes"/>
          <w:rtl/>
        </w:rPr>
        <w:fldChar w:fldCharType="begin"/>
      </w:r>
      <w:r w:rsidRPr="00A7649C">
        <w:rPr>
          <w:rStyle w:val="af7"/>
          <w:rFonts w:eastAsia="Guttman Hodes"/>
          <w:rtl/>
        </w:rPr>
        <w:instrText xml:space="preserve"> </w:instrText>
      </w:r>
      <w:r w:rsidRPr="00A7649C">
        <w:rPr>
          <w:rStyle w:val="af7"/>
          <w:rFonts w:eastAsia="Guttman Hodes" w:hint="cs"/>
        </w:rPr>
        <w:instrText>REF</w:instrText>
      </w:r>
      <w:r w:rsidRPr="00A7649C">
        <w:rPr>
          <w:rStyle w:val="af7"/>
          <w:rFonts w:eastAsia="Guttman Hodes" w:hint="cs"/>
          <w:rtl/>
        </w:rPr>
        <w:instrText xml:space="preserve"> _</w:instrText>
      </w:r>
      <w:r w:rsidRPr="00A7649C">
        <w:rPr>
          <w:rStyle w:val="af7"/>
          <w:rFonts w:eastAsia="Guttman Hodes" w:hint="cs"/>
        </w:rPr>
        <w:instrText>Ref61883976 \r \h</w:instrText>
      </w:r>
      <w:r w:rsidRPr="00A7649C">
        <w:rPr>
          <w:rStyle w:val="af7"/>
          <w:rFonts w:eastAsia="Guttman Hodes"/>
          <w:rtl/>
        </w:rPr>
        <w:instrText xml:space="preserve"> </w:instrText>
      </w:r>
      <w:r w:rsidRPr="00A7649C">
        <w:rPr>
          <w:rStyle w:val="af7"/>
          <w:rFonts w:eastAsia="Guttman Hodes"/>
          <w:rtl/>
        </w:rPr>
      </w:r>
      <w:r w:rsidRPr="00A7649C">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A7649C">
        <w:rPr>
          <w:rStyle w:val="af7"/>
          <w:rFonts w:eastAsia="Guttman Hodes"/>
          <w:rtl/>
        </w:rPr>
        <w:fldChar w:fldCharType="end"/>
      </w:r>
      <w:r>
        <w:rPr>
          <w:rFonts w:hint="cs"/>
          <w:rtl/>
        </w:rPr>
        <w:t xml:space="preserve"> ס"ל לרבה ורב חסדא דמיגו במקום עדים הוא בירור גמור, דהא ודאי שלא יטען טענה כנגד עדים, כשיש לו טענה אחרת שאין העדים מכחישים אותה, ולכן כל שטוען להכחיש את העדים, הוא בירור דאומר אמת, ולכן ס"ל לרבה ורב חסדא דהנאמנות של מיגו כזה עושה ריעותא בנאמנות שהאמינה תורה לעדים, וחשיב כדין מרומה דהב"ד מסתלקים ממנו, ונשאר הממון ביד המוחזק. </w:t>
      </w:r>
      <w:r w:rsidRPr="00603FC7">
        <w:rPr>
          <w:rStyle w:val="afb"/>
          <w:rFonts w:hint="cs"/>
          <w:rtl/>
        </w:rPr>
        <w:t xml:space="preserve">[עי' בדברי </w:t>
      </w:r>
      <w:r w:rsidRPr="00603FC7">
        <w:rPr>
          <w:rStyle w:val="affa"/>
          <w:rFonts w:hint="cs"/>
          <w:rtl/>
        </w:rPr>
        <w:t>הרשב"ם לקמן</w:t>
      </w:r>
      <w:r w:rsidRPr="00603FC7">
        <w:rPr>
          <w:rStyle w:val="afb"/>
          <w:rFonts w:hint="cs"/>
          <w:rtl/>
        </w:rPr>
        <w:t xml:space="preserve"> </w:t>
      </w:r>
      <w:r w:rsidRPr="00603FC7">
        <w:rPr>
          <w:rStyle w:val="aff6"/>
          <w:rFonts w:hint="cs"/>
          <w:rtl/>
        </w:rPr>
        <w:t xml:space="preserve">(עי' אות </w:t>
      </w:r>
      <w:r w:rsidRPr="00603FC7">
        <w:rPr>
          <w:rStyle w:val="aff6"/>
          <w:rtl/>
        </w:rPr>
        <w:fldChar w:fldCharType="begin"/>
      </w:r>
      <w:r w:rsidRPr="00603FC7">
        <w:rPr>
          <w:rStyle w:val="aff6"/>
          <w:rtl/>
        </w:rPr>
        <w:instrText xml:space="preserve"> </w:instrText>
      </w:r>
      <w:r w:rsidRPr="00603FC7">
        <w:rPr>
          <w:rStyle w:val="aff6"/>
          <w:rFonts w:hint="cs"/>
        </w:rPr>
        <w:instrText>REF</w:instrText>
      </w:r>
      <w:r w:rsidRPr="00603FC7">
        <w:rPr>
          <w:rStyle w:val="aff6"/>
          <w:rFonts w:hint="cs"/>
          <w:rtl/>
        </w:rPr>
        <w:instrText xml:space="preserve"> _</w:instrText>
      </w:r>
      <w:r w:rsidRPr="00603FC7">
        <w:rPr>
          <w:rStyle w:val="aff6"/>
          <w:rFonts w:hint="cs"/>
        </w:rPr>
        <w:instrText>Ref61812478 \r \h</w:instrText>
      </w:r>
      <w:r w:rsidRPr="00603FC7">
        <w:rPr>
          <w:rStyle w:val="aff6"/>
          <w:rtl/>
        </w:rPr>
        <w:instrText xml:space="preserve"> </w:instrText>
      </w:r>
      <w:r w:rsidRPr="00603FC7">
        <w:rPr>
          <w:rStyle w:val="aff6"/>
          <w:rtl/>
        </w:rPr>
      </w:r>
      <w:r w:rsidRPr="00603FC7">
        <w:rPr>
          <w:rStyle w:val="aff6"/>
          <w:rtl/>
        </w:rPr>
        <w:fldChar w:fldCharType="separate"/>
      </w:r>
      <w:r w:rsidR="00265073">
        <w:rPr>
          <w:rStyle w:val="aff6"/>
          <w:cs/>
        </w:rPr>
        <w:t>‎</w:t>
      </w:r>
      <w:r w:rsidR="00265073">
        <w:rPr>
          <w:rStyle w:val="aff6"/>
          <w:rtl/>
        </w:rPr>
        <w:t>ג)</w:t>
      </w:r>
      <w:r w:rsidRPr="00603FC7">
        <w:rPr>
          <w:rStyle w:val="aff6"/>
          <w:rtl/>
        </w:rPr>
        <w:fldChar w:fldCharType="end"/>
      </w:r>
      <w:r w:rsidRPr="00603FC7">
        <w:rPr>
          <w:rStyle w:val="afb"/>
          <w:rFonts w:hint="cs"/>
          <w:rtl/>
        </w:rPr>
        <w:t xml:space="preserve"> דביאר בדעת רב חסדא דנאמן במיגו להכחיש את העדים, כיון שהיה יכול לטעון מינך זבינתה ולזכות בטענה זו, ואפ"ה הוא לא חשש לטעון כן, ומשמע כדברי </w:t>
      </w:r>
      <w:r w:rsidRPr="00603FC7">
        <w:rPr>
          <w:rStyle w:val="affa"/>
          <w:rFonts w:hint="cs"/>
          <w:rtl/>
        </w:rPr>
        <w:t>הגר"ח מטעלז</w:t>
      </w:r>
      <w:r w:rsidRPr="00603FC7">
        <w:rPr>
          <w:rStyle w:val="afb"/>
          <w:rFonts w:hint="cs"/>
          <w:rtl/>
        </w:rPr>
        <w:t xml:space="preserve"> דהבירור של המיגו הוא מדלא חשש להכחיש את העדים].</w:t>
      </w:r>
      <w:bookmarkEnd w:id="12722"/>
    </w:p>
    <w:p w:rsidR="00C34249" w:rsidRDefault="00C34249" w:rsidP="00C34249">
      <w:pPr>
        <w:pStyle w:val="a3"/>
        <w:rPr>
          <w:rtl/>
        </w:rPr>
      </w:pPr>
      <w:bookmarkStart w:id="12724" w:name="_Toc61887925"/>
      <w:r>
        <w:rPr>
          <w:rFonts w:hint="cs"/>
          <w:rtl/>
        </w:rPr>
        <w:t>ביאור הגר"ח מטעלז דלאביי דין מרומה הוא רק כשיש רמאות בעדות עצמו ולא בדבר צדדי</w:t>
      </w:r>
      <w:bookmarkEnd w:id="12724"/>
    </w:p>
    <w:p w:rsidR="00C34249" w:rsidRDefault="00C34249" w:rsidP="007E4E81">
      <w:pPr>
        <w:pStyle w:val="a0"/>
        <w:rPr>
          <w:rtl/>
        </w:rPr>
      </w:pPr>
      <w:r>
        <w:rPr>
          <w:rFonts w:hint="cs"/>
          <w:rtl/>
        </w:rPr>
        <w:t xml:space="preserve">ובדעת אביי ורבא דס"ל דלא אמרינן מיגו במקום עדים, ביאר </w:t>
      </w:r>
      <w:r w:rsidRPr="00FE76BE">
        <w:rPr>
          <w:rStyle w:val="af9"/>
          <w:rFonts w:hint="cs"/>
          <w:rtl/>
        </w:rPr>
        <w:t>בחי' הגר"ח מטעלז</w:t>
      </w:r>
      <w:r>
        <w:rPr>
          <w:rFonts w:hint="cs"/>
          <w:rtl/>
        </w:rPr>
        <w:t xml:space="preserve"> דס"ל דדין מרומה היינו דוקא כשהב"ד רואים הערמה בדברי העדים עצמם, אבל כשיש בירור צדדי דמחמתו נראים דברי העדים כדין מרומה, לא חשיב כדין מרומה, והעדים נאמנים לגמרי.</w:t>
      </w:r>
    </w:p>
    <w:p w:rsidR="00C34249" w:rsidRPr="001F6F95" w:rsidRDefault="00C34249" w:rsidP="00C34249">
      <w:pPr>
        <w:pStyle w:val="1"/>
      </w:pPr>
      <w:r>
        <w:rPr>
          <w:rFonts w:hint="cs"/>
          <w:rtl/>
        </w:rPr>
        <w:t>ביאור הגר"ח מטעלז ברשב"ם דמיגו ל"מ כנגד הודאת בע"ד</w:t>
      </w:r>
    </w:p>
    <w:p w:rsidR="00C34249" w:rsidRDefault="00C34249" w:rsidP="00C34249">
      <w:pPr>
        <w:pStyle w:val="a3"/>
      </w:pPr>
      <w:bookmarkStart w:id="12725" w:name="_Toc61887926"/>
      <w:r>
        <w:rPr>
          <w:rFonts w:hint="cs"/>
          <w:rtl/>
        </w:rPr>
        <w:t>תי' הגר"ח מטעלז על קו' הרמב"ן דלדעת הרשב"ם ותוס' טענת להד"ם היינו דחוזר מהודאתו</w:t>
      </w:r>
      <w:bookmarkEnd w:id="12725"/>
    </w:p>
    <w:p w:rsidR="00C34249" w:rsidRPr="00A550A9" w:rsidRDefault="00C34249" w:rsidP="007E4E81">
      <w:pPr>
        <w:pStyle w:val="a0"/>
        <w:rPr>
          <w:rStyle w:val="afb"/>
          <w:rtl/>
        </w:rPr>
      </w:pPr>
      <w:bookmarkStart w:id="12726" w:name="_Ref61885229"/>
      <w:r>
        <w:rPr>
          <w:rFonts w:hint="cs"/>
          <w:rtl/>
        </w:rPr>
        <w:t xml:space="preserve">וכתב </w:t>
      </w:r>
      <w:r w:rsidRPr="00FE76BE">
        <w:rPr>
          <w:rStyle w:val="af9"/>
          <w:rFonts w:hint="cs"/>
          <w:rtl/>
        </w:rPr>
        <w:t>בחי' הגר"ח מטעלז</w:t>
      </w:r>
      <w:r>
        <w:rPr>
          <w:rFonts w:hint="cs"/>
          <w:rtl/>
        </w:rPr>
        <w:t xml:space="preserve"> </w:t>
      </w:r>
      <w:r w:rsidRPr="00A550A9">
        <w:rPr>
          <w:rStyle w:val="af7"/>
          <w:rFonts w:eastAsia="Guttman Hodes" w:hint="cs"/>
          <w:rtl/>
        </w:rPr>
        <w:t xml:space="preserve">(סי' י"א ד"ה ולפ"ז יש) </w:t>
      </w:r>
      <w:r>
        <w:rPr>
          <w:rFonts w:hint="cs"/>
          <w:rtl/>
        </w:rPr>
        <w:t xml:space="preserve">דלפי"ז אפשר לתרץ לדעת </w:t>
      </w:r>
      <w:r w:rsidRPr="003967B0">
        <w:rPr>
          <w:rStyle w:val="af9"/>
          <w:rFonts w:hint="cs"/>
          <w:rtl/>
        </w:rPr>
        <w:t xml:space="preserve">הרשב"ם </w:t>
      </w:r>
      <w:r w:rsidRPr="00160D75">
        <w:rPr>
          <w:rStyle w:val="af9"/>
          <w:rFonts w:hint="cs"/>
          <w:rtl/>
        </w:rPr>
        <w:t xml:space="preserve">לקמן </w:t>
      </w:r>
      <w:r w:rsidRPr="00A7649C">
        <w:rPr>
          <w:rStyle w:val="af7"/>
          <w:rFonts w:eastAsia="Guttman Hodes" w:hint="cs"/>
          <w:rtl/>
        </w:rPr>
        <w:t xml:space="preserve">(עי' אות </w:t>
      </w:r>
      <w:r w:rsidRPr="00A7649C">
        <w:rPr>
          <w:rStyle w:val="af7"/>
          <w:rFonts w:eastAsia="Guttman Hodes"/>
          <w:rtl/>
        </w:rPr>
        <w:fldChar w:fldCharType="begin"/>
      </w:r>
      <w:r w:rsidRPr="00A7649C">
        <w:rPr>
          <w:rStyle w:val="af7"/>
          <w:rFonts w:eastAsia="Guttman Hodes"/>
          <w:rtl/>
        </w:rPr>
        <w:instrText xml:space="preserve"> </w:instrText>
      </w:r>
      <w:r w:rsidRPr="00A7649C">
        <w:rPr>
          <w:rStyle w:val="af7"/>
          <w:rFonts w:eastAsia="Guttman Hodes" w:hint="cs"/>
        </w:rPr>
        <w:instrText>REF</w:instrText>
      </w:r>
      <w:r w:rsidRPr="00A7649C">
        <w:rPr>
          <w:rStyle w:val="af7"/>
          <w:rFonts w:eastAsia="Guttman Hodes" w:hint="cs"/>
          <w:rtl/>
        </w:rPr>
        <w:instrText xml:space="preserve"> _</w:instrText>
      </w:r>
      <w:r w:rsidRPr="00A7649C">
        <w:rPr>
          <w:rStyle w:val="af7"/>
          <w:rFonts w:eastAsia="Guttman Hodes" w:hint="cs"/>
        </w:rPr>
        <w:instrText>Ref61812631 \r \h</w:instrText>
      </w:r>
      <w:r w:rsidRPr="00A7649C">
        <w:rPr>
          <w:rStyle w:val="af7"/>
          <w:rFonts w:eastAsia="Guttman Hodes"/>
          <w:rtl/>
        </w:rPr>
        <w:instrText xml:space="preserve"> </w:instrText>
      </w:r>
      <w:r w:rsidRPr="00A7649C">
        <w:rPr>
          <w:rStyle w:val="af7"/>
          <w:rFonts w:eastAsia="Guttman Hodes"/>
          <w:rtl/>
        </w:rPr>
      </w:r>
      <w:r w:rsidRPr="00A7649C">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7649C">
        <w:rPr>
          <w:rStyle w:val="af7"/>
          <w:rFonts w:eastAsia="Guttman Hodes"/>
          <w:rtl/>
        </w:rPr>
        <w:fldChar w:fldCharType="end"/>
      </w:r>
      <w:r>
        <w:rPr>
          <w:rFonts w:hint="cs"/>
          <w:rtl/>
        </w:rPr>
        <w:t xml:space="preserve"> </w:t>
      </w:r>
      <w:r w:rsidRPr="00160D75">
        <w:rPr>
          <w:rStyle w:val="af9"/>
          <w:rFonts w:hint="cs"/>
          <w:rtl/>
        </w:rPr>
        <w:t>והתוס' לקמן</w:t>
      </w:r>
      <w:r>
        <w:rPr>
          <w:rFonts w:hint="cs"/>
          <w:rtl/>
        </w:rPr>
        <w:t xml:space="preserve"> </w:t>
      </w:r>
      <w:r w:rsidRPr="00A7649C">
        <w:rPr>
          <w:rStyle w:val="af7"/>
          <w:rFonts w:eastAsia="Guttman Hodes" w:hint="cs"/>
          <w:rtl/>
        </w:rPr>
        <w:t xml:space="preserve">(עי' אות </w:t>
      </w:r>
      <w:r w:rsidRPr="00A7649C">
        <w:rPr>
          <w:rStyle w:val="af7"/>
          <w:rFonts w:eastAsia="Guttman Hodes"/>
          <w:rtl/>
        </w:rPr>
        <w:fldChar w:fldCharType="begin"/>
      </w:r>
      <w:r w:rsidRPr="00A7649C">
        <w:rPr>
          <w:rStyle w:val="af7"/>
          <w:rFonts w:eastAsia="Guttman Hodes"/>
          <w:rtl/>
        </w:rPr>
        <w:instrText xml:space="preserve"> </w:instrText>
      </w:r>
      <w:r w:rsidRPr="00A7649C">
        <w:rPr>
          <w:rStyle w:val="af7"/>
          <w:rFonts w:eastAsia="Guttman Hodes" w:hint="cs"/>
        </w:rPr>
        <w:instrText>REF</w:instrText>
      </w:r>
      <w:r w:rsidRPr="00A7649C">
        <w:rPr>
          <w:rStyle w:val="af7"/>
          <w:rFonts w:eastAsia="Guttman Hodes" w:hint="cs"/>
          <w:rtl/>
        </w:rPr>
        <w:instrText xml:space="preserve"> _</w:instrText>
      </w:r>
      <w:r w:rsidRPr="00A7649C">
        <w:rPr>
          <w:rStyle w:val="af7"/>
          <w:rFonts w:eastAsia="Guttman Hodes" w:hint="cs"/>
        </w:rPr>
        <w:instrText>Ref61883976 \r \h</w:instrText>
      </w:r>
      <w:r w:rsidRPr="00A7649C">
        <w:rPr>
          <w:rStyle w:val="af7"/>
          <w:rFonts w:eastAsia="Guttman Hodes"/>
          <w:rtl/>
        </w:rPr>
        <w:instrText xml:space="preserve"> </w:instrText>
      </w:r>
      <w:r w:rsidRPr="00A7649C">
        <w:rPr>
          <w:rStyle w:val="af7"/>
          <w:rFonts w:eastAsia="Guttman Hodes"/>
          <w:rtl/>
        </w:rPr>
      </w:r>
      <w:r w:rsidRPr="00A7649C">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A7649C">
        <w:rPr>
          <w:rStyle w:val="af7"/>
          <w:rFonts w:eastAsia="Guttman Hodes"/>
          <w:rtl/>
        </w:rPr>
        <w:fldChar w:fldCharType="end"/>
      </w:r>
      <w:r>
        <w:rPr>
          <w:rFonts w:hint="cs"/>
          <w:rtl/>
        </w:rPr>
        <w:t xml:space="preserve"> את הקושיה שהקשה </w:t>
      </w:r>
      <w:r w:rsidRPr="003967B0">
        <w:rPr>
          <w:rStyle w:val="af9"/>
          <w:rFonts w:hint="cs"/>
          <w:rtl/>
        </w:rPr>
        <w:t>הרמב"ן</w:t>
      </w:r>
      <w:r>
        <w:rPr>
          <w:rFonts w:hint="cs"/>
          <w:rtl/>
        </w:rPr>
        <w:t xml:space="preserve"> </w:t>
      </w:r>
      <w:r w:rsidRPr="009A5088">
        <w:rPr>
          <w:rStyle w:val="af7"/>
          <w:rFonts w:eastAsia="Guttman Hodes" w:hint="cs"/>
          <w:rtl/>
        </w:rPr>
        <w:t xml:space="preserve">(עי' אות </w:t>
      </w:r>
      <w:r w:rsidRPr="009A5088">
        <w:rPr>
          <w:rStyle w:val="af7"/>
          <w:rFonts w:eastAsia="Guttman Hodes"/>
          <w:rtl/>
        </w:rPr>
        <w:fldChar w:fldCharType="begin"/>
      </w:r>
      <w:r w:rsidRPr="009A5088">
        <w:rPr>
          <w:rStyle w:val="af7"/>
          <w:rFonts w:eastAsia="Guttman Hodes"/>
          <w:rtl/>
        </w:rPr>
        <w:instrText xml:space="preserve"> </w:instrText>
      </w:r>
      <w:r w:rsidRPr="009A5088">
        <w:rPr>
          <w:rStyle w:val="af7"/>
          <w:rFonts w:eastAsia="Guttman Hodes" w:hint="cs"/>
        </w:rPr>
        <w:instrText>REF</w:instrText>
      </w:r>
      <w:r w:rsidRPr="009A5088">
        <w:rPr>
          <w:rStyle w:val="af7"/>
          <w:rFonts w:eastAsia="Guttman Hodes" w:hint="cs"/>
          <w:rtl/>
        </w:rPr>
        <w:instrText xml:space="preserve"> _</w:instrText>
      </w:r>
      <w:r w:rsidRPr="009A5088">
        <w:rPr>
          <w:rStyle w:val="af7"/>
          <w:rFonts w:eastAsia="Guttman Hodes" w:hint="cs"/>
        </w:rPr>
        <w:instrText>Ref61771465 \r \h</w:instrText>
      </w:r>
      <w:r w:rsidRPr="009A5088">
        <w:rPr>
          <w:rStyle w:val="af7"/>
          <w:rFonts w:eastAsia="Guttman Hodes"/>
          <w:rtl/>
        </w:rPr>
        <w:instrText xml:space="preserve"> </w:instrText>
      </w:r>
      <w:r w:rsidRPr="009A5088">
        <w:rPr>
          <w:rStyle w:val="af7"/>
          <w:rFonts w:eastAsia="Guttman Hodes"/>
          <w:rtl/>
        </w:rPr>
      </w:r>
      <w:r w:rsidRPr="009A5088">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9A5088">
        <w:rPr>
          <w:rStyle w:val="af7"/>
          <w:rFonts w:eastAsia="Guttman Hodes"/>
          <w:rtl/>
        </w:rPr>
        <w:fldChar w:fldCharType="end"/>
      </w:r>
      <w:r>
        <w:rPr>
          <w:rFonts w:hint="cs"/>
          <w:rtl/>
        </w:rPr>
        <w:t xml:space="preserve"> מהגמ' בשבועות, דס"ל דהא דאינו נאמן לטעון להד"ם, אין הכוונה דבטענת להד"ם הוא בא להכחיש את העדים, וטוען שלא הודה בפניהם, כדביאר </w:t>
      </w:r>
      <w:r w:rsidRPr="003967B0">
        <w:rPr>
          <w:rStyle w:val="af9"/>
          <w:rFonts w:hint="cs"/>
          <w:rtl/>
        </w:rPr>
        <w:t>הגר"ח</w:t>
      </w:r>
      <w:r>
        <w:rPr>
          <w:rFonts w:hint="cs"/>
          <w:rtl/>
        </w:rPr>
        <w:t xml:space="preserve"> </w:t>
      </w:r>
      <w:r w:rsidRPr="003967B0">
        <w:rPr>
          <w:rStyle w:val="af9"/>
          <w:rFonts w:hint="cs"/>
          <w:rtl/>
        </w:rPr>
        <w:t>מטעלז</w:t>
      </w:r>
      <w:r>
        <w:rPr>
          <w:rFonts w:hint="cs"/>
          <w:rtl/>
        </w:rPr>
        <w:t xml:space="preserve"> </w:t>
      </w:r>
      <w:r w:rsidRPr="00B41696">
        <w:rPr>
          <w:rStyle w:val="af7"/>
          <w:rFonts w:eastAsia="Guttman Hodes" w:hint="cs"/>
          <w:rtl/>
        </w:rPr>
        <w:t xml:space="preserve">(עי' אות </w:t>
      </w:r>
      <w:r w:rsidRPr="00B41696">
        <w:rPr>
          <w:rStyle w:val="af7"/>
          <w:rFonts w:eastAsia="Guttman Hodes"/>
          <w:rtl/>
        </w:rPr>
        <w:fldChar w:fldCharType="begin"/>
      </w:r>
      <w:r w:rsidRPr="00B41696">
        <w:rPr>
          <w:rStyle w:val="af7"/>
          <w:rFonts w:eastAsia="Guttman Hodes"/>
          <w:rtl/>
        </w:rPr>
        <w:instrText xml:space="preserve"> </w:instrText>
      </w:r>
      <w:r w:rsidRPr="00B41696">
        <w:rPr>
          <w:rStyle w:val="af7"/>
          <w:rFonts w:eastAsia="Guttman Hodes" w:hint="cs"/>
        </w:rPr>
        <w:instrText>REF</w:instrText>
      </w:r>
      <w:r w:rsidRPr="00B41696">
        <w:rPr>
          <w:rStyle w:val="af7"/>
          <w:rFonts w:eastAsia="Guttman Hodes" w:hint="cs"/>
          <w:rtl/>
        </w:rPr>
        <w:instrText xml:space="preserve"> _</w:instrText>
      </w:r>
      <w:r w:rsidRPr="00B41696">
        <w:rPr>
          <w:rStyle w:val="af7"/>
          <w:rFonts w:eastAsia="Guttman Hodes" w:hint="cs"/>
        </w:rPr>
        <w:instrText>Ref61883676 \r \h</w:instrText>
      </w:r>
      <w:r w:rsidRPr="00B41696">
        <w:rPr>
          <w:rStyle w:val="af7"/>
          <w:rFonts w:eastAsia="Guttman Hodes"/>
          <w:rtl/>
        </w:rPr>
        <w:instrText xml:space="preserve"> </w:instrText>
      </w:r>
      <w:r w:rsidRPr="00B41696">
        <w:rPr>
          <w:rStyle w:val="af7"/>
          <w:rFonts w:eastAsia="Guttman Hodes"/>
          <w:rtl/>
        </w:rPr>
      </w:r>
      <w:r w:rsidRPr="00B41696">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B41696">
        <w:rPr>
          <w:rStyle w:val="af7"/>
          <w:rFonts w:eastAsia="Guttman Hodes"/>
          <w:rtl/>
        </w:rPr>
        <w:fldChar w:fldCharType="end"/>
      </w:r>
      <w:r>
        <w:rPr>
          <w:rStyle w:val="af7"/>
          <w:rFonts w:eastAsia="Guttman Hode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Ref61851726 \r \h</w:instrText>
      </w:r>
      <w:r>
        <w:rPr>
          <w:rtl/>
        </w:rPr>
        <w:instrText xml:space="preserve"> </w:instrText>
      </w:r>
      <w:r>
        <w:rPr>
          <w:rtl/>
        </w:rPr>
      </w:r>
      <w:r>
        <w:rPr>
          <w:rtl/>
        </w:rPr>
        <w:fldChar w:fldCharType="separate"/>
      </w:r>
      <w:r w:rsidR="00265073">
        <w:rPr>
          <w:cs/>
        </w:rPr>
        <w:t>‎</w:t>
      </w:r>
      <w:r w:rsidR="00265073">
        <w:rPr>
          <w:rtl/>
        </w:rPr>
        <w:t>ע)</w:t>
      </w:r>
      <w:r>
        <w:rPr>
          <w:rtl/>
        </w:rPr>
        <w:fldChar w:fldCharType="end"/>
      </w:r>
      <w:r>
        <w:rPr>
          <w:rFonts w:hint="cs"/>
          <w:rtl/>
        </w:rPr>
        <w:t xml:space="preserve">בקושית </w:t>
      </w:r>
      <w:r w:rsidRPr="003967B0">
        <w:rPr>
          <w:rStyle w:val="af9"/>
          <w:rFonts w:hint="cs"/>
          <w:rtl/>
        </w:rPr>
        <w:t>הרמב"ן</w:t>
      </w:r>
      <w:r>
        <w:rPr>
          <w:rFonts w:hint="cs"/>
          <w:rtl/>
        </w:rPr>
        <w:t xml:space="preserve">, אלא דבטענת להד"ם הוא בא לסתור את ההודאה שהודה בפני העדים, וטוען שכשהודה היה משטה בחבירו. </w:t>
      </w:r>
      <w:r w:rsidRPr="00A550A9">
        <w:rPr>
          <w:rStyle w:val="afb"/>
          <w:rFonts w:hint="cs"/>
          <w:rtl/>
        </w:rPr>
        <w:t xml:space="preserve">[כדביאר </w:t>
      </w:r>
      <w:r w:rsidRPr="00A550A9">
        <w:rPr>
          <w:rStyle w:val="affa"/>
          <w:rFonts w:hint="cs"/>
          <w:rtl/>
        </w:rPr>
        <w:t>הגר"ח מטעלז</w:t>
      </w:r>
      <w:r w:rsidRPr="00A550A9">
        <w:rPr>
          <w:rStyle w:val="afb"/>
          <w:rFonts w:hint="cs"/>
          <w:rtl/>
        </w:rPr>
        <w:t xml:space="preserve"> </w:t>
      </w:r>
      <w:r w:rsidRPr="00A550A9">
        <w:rPr>
          <w:rStyle w:val="affa"/>
          <w:rFonts w:hint="cs"/>
          <w:rtl/>
        </w:rPr>
        <w:t>בביאורו ה</w:t>
      </w:r>
      <w:r>
        <w:rPr>
          <w:rStyle w:val="affa"/>
          <w:rFonts w:hint="cs"/>
          <w:rtl/>
        </w:rPr>
        <w:t>ב</w:t>
      </w:r>
      <w:r w:rsidRPr="00A550A9">
        <w:rPr>
          <w:rStyle w:val="affa"/>
          <w:rFonts w:hint="cs"/>
          <w:rtl/>
        </w:rPr>
        <w:t xml:space="preserve">' </w:t>
      </w:r>
      <w:r w:rsidRPr="00B41696">
        <w:rPr>
          <w:rStyle w:val="aff6"/>
          <w:rFonts w:hint="cs"/>
          <w:rtl/>
        </w:rPr>
        <w:t xml:space="preserve">(עי' אות </w:t>
      </w:r>
      <w:r w:rsidRPr="00B41696">
        <w:rPr>
          <w:rStyle w:val="aff6"/>
          <w:rtl/>
        </w:rPr>
        <w:fldChar w:fldCharType="begin"/>
      </w:r>
      <w:r w:rsidRPr="00B41696">
        <w:rPr>
          <w:rStyle w:val="aff6"/>
          <w:rtl/>
        </w:rPr>
        <w:instrText xml:space="preserve"> </w:instrText>
      </w:r>
      <w:r w:rsidRPr="00B41696">
        <w:rPr>
          <w:rStyle w:val="aff6"/>
          <w:rFonts w:hint="cs"/>
        </w:rPr>
        <w:instrText>REF</w:instrText>
      </w:r>
      <w:r w:rsidRPr="00B41696">
        <w:rPr>
          <w:rStyle w:val="aff6"/>
          <w:rFonts w:hint="cs"/>
          <w:rtl/>
        </w:rPr>
        <w:instrText xml:space="preserve"> _</w:instrText>
      </w:r>
      <w:r w:rsidRPr="00B41696">
        <w:rPr>
          <w:rStyle w:val="aff6"/>
          <w:rFonts w:hint="cs"/>
        </w:rPr>
        <w:instrText>Ref61851726 \r \h</w:instrText>
      </w:r>
      <w:r w:rsidRPr="00B41696">
        <w:rPr>
          <w:rStyle w:val="aff6"/>
          <w:rtl/>
        </w:rPr>
        <w:instrText xml:space="preserve"> </w:instrText>
      </w:r>
      <w:r w:rsidRPr="00B41696">
        <w:rPr>
          <w:rStyle w:val="aff6"/>
          <w:rtl/>
        </w:rPr>
      </w:r>
      <w:r w:rsidRPr="00B41696">
        <w:rPr>
          <w:rStyle w:val="aff6"/>
          <w:rtl/>
        </w:rPr>
        <w:fldChar w:fldCharType="separate"/>
      </w:r>
      <w:r w:rsidR="00265073">
        <w:rPr>
          <w:rStyle w:val="aff6"/>
          <w:cs/>
        </w:rPr>
        <w:t>‎</w:t>
      </w:r>
      <w:r w:rsidR="00265073">
        <w:rPr>
          <w:rStyle w:val="aff6"/>
          <w:rtl/>
        </w:rPr>
        <w:t>ע)</w:t>
      </w:r>
      <w:r w:rsidRPr="00B41696">
        <w:rPr>
          <w:rStyle w:val="aff6"/>
          <w:rtl/>
        </w:rPr>
        <w:fldChar w:fldCharType="end"/>
      </w:r>
      <w:r w:rsidRPr="00A550A9">
        <w:rPr>
          <w:rStyle w:val="afb"/>
          <w:rFonts w:hint="cs"/>
          <w:rtl/>
        </w:rPr>
        <w:t xml:space="preserve"> בקושית </w:t>
      </w:r>
      <w:r w:rsidRPr="00A550A9">
        <w:rPr>
          <w:rStyle w:val="affa"/>
          <w:rFonts w:hint="cs"/>
          <w:rtl/>
        </w:rPr>
        <w:t>הרמב"ן</w:t>
      </w:r>
      <w:r w:rsidRPr="00A550A9">
        <w:rPr>
          <w:rStyle w:val="afb"/>
          <w:rFonts w:hint="cs"/>
          <w:rtl/>
        </w:rPr>
        <w:t>].</w:t>
      </w:r>
      <w:bookmarkEnd w:id="12726"/>
    </w:p>
    <w:p w:rsidR="00C34249" w:rsidRPr="003C713B" w:rsidRDefault="00C34249" w:rsidP="00C34249">
      <w:pPr>
        <w:pStyle w:val="a3"/>
        <w:rPr>
          <w:rtl/>
        </w:rPr>
      </w:pPr>
      <w:bookmarkStart w:id="12727" w:name="_Toc61887927"/>
      <w:r>
        <w:rPr>
          <w:rFonts w:hint="cs"/>
          <w:rtl/>
        </w:rPr>
        <w:t>ביאור הגר"ח מטעלז דלרשב"ם ותוס' ל"מ מיגו כנגד הודאתו שנפסקה בב"ד ורק במק"ע מהני</w:t>
      </w:r>
      <w:bookmarkEnd w:id="12727"/>
    </w:p>
    <w:p w:rsidR="00C34249" w:rsidRDefault="00C34249" w:rsidP="007E4E81">
      <w:pPr>
        <w:pStyle w:val="a0"/>
        <w:rPr>
          <w:rtl/>
        </w:rPr>
      </w:pPr>
      <w:r>
        <w:rPr>
          <w:rFonts w:hint="cs"/>
          <w:rtl/>
        </w:rPr>
        <w:t xml:space="preserve">וביאר </w:t>
      </w:r>
      <w:r w:rsidRPr="00FE76BE">
        <w:rPr>
          <w:rStyle w:val="af9"/>
          <w:rFonts w:hint="cs"/>
          <w:rtl/>
        </w:rPr>
        <w:t>בחי' הגר"ח מטעלז</w:t>
      </w:r>
      <w:r>
        <w:rPr>
          <w:rFonts w:hint="cs"/>
          <w:rtl/>
        </w:rPr>
        <w:t xml:space="preserve"> דלדעת </w:t>
      </w:r>
      <w:r w:rsidRPr="0067411E">
        <w:rPr>
          <w:rStyle w:val="af9"/>
          <w:rFonts w:hint="cs"/>
          <w:rtl/>
        </w:rPr>
        <w:t>הרשב"ם לקמן והתוס' לקמן</w:t>
      </w:r>
      <w:r>
        <w:rPr>
          <w:rFonts w:hint="cs"/>
          <w:rtl/>
        </w:rPr>
        <w:t xml:space="preserve"> כ"מ דס"ל לרבה ורב חסדא דמהני מיגו במקום עדים, היינו במקום שהעדים לפנינו, דע"י המיגו אמרינן דעדות העדים הוא דין מרומה, אבל בהודאת בע"ד שהודה כבר, ובשעה שהודה לא היה כל מיגו נגד הודאתו, וקיבלו ב"ד את הודאתו לגמרי, ופסקו לפי הודאתו, א"כ אינו יכול אח"כ לבטל למפרע את פסק הב"ד, ע"י המיגו, דמיגו מהני רק שב"ד יסתלקו מלפסוק, אך אין כח במיגו לסתור פסק שפסקו הב"ד. </w:t>
      </w:r>
    </w:p>
    <w:p w:rsidR="00C34249" w:rsidRPr="004754CE" w:rsidRDefault="00C34249" w:rsidP="00C34249">
      <w:pPr>
        <w:pStyle w:val="1"/>
        <w:rPr>
          <w:rtl/>
        </w:rPr>
      </w:pPr>
      <w:r>
        <w:rPr>
          <w:rFonts w:hint="cs"/>
          <w:rtl/>
        </w:rPr>
        <w:lastRenderedPageBreak/>
        <w:t>דברי הגר"ח מטעלז דמיגו ל"מ כנגד חזקת בירור דשטרך בידי</w:t>
      </w:r>
    </w:p>
    <w:p w:rsidR="00C34249" w:rsidRPr="008B29C6" w:rsidRDefault="00C34249" w:rsidP="00C34249">
      <w:pPr>
        <w:pStyle w:val="a3"/>
      </w:pPr>
      <w:bookmarkStart w:id="12728" w:name="_Toc61887928"/>
      <w:r>
        <w:rPr>
          <w:rFonts w:hint="cs"/>
          <w:rtl/>
        </w:rPr>
        <w:t>ביאור הגר"ח מטעלז בקו' הגמ' לקמן דלרבה ל"מ מיגו כנגד חזקת בירור דשטרך בידי מאי בעי</w:t>
      </w:r>
      <w:bookmarkEnd w:id="12728"/>
    </w:p>
    <w:p w:rsidR="00C34249" w:rsidRDefault="00C34249" w:rsidP="007E4E81">
      <w:pPr>
        <w:pStyle w:val="a0"/>
        <w:rPr>
          <w:rtl/>
        </w:rPr>
      </w:pPr>
      <w:bookmarkStart w:id="12729" w:name="_Ref61885668"/>
      <w:r>
        <w:rPr>
          <w:rFonts w:hint="cs"/>
          <w:rtl/>
        </w:rPr>
        <w:t xml:space="preserve">וכתב </w:t>
      </w:r>
      <w:r w:rsidRPr="00160D75">
        <w:rPr>
          <w:rStyle w:val="af9"/>
          <w:rFonts w:hint="cs"/>
          <w:rtl/>
        </w:rPr>
        <w:t>בחי' הגר"ח מטעלז</w:t>
      </w:r>
      <w:r>
        <w:rPr>
          <w:rFonts w:hint="cs"/>
          <w:rtl/>
        </w:rPr>
        <w:t xml:space="preserve"> </w:t>
      </w:r>
      <w:r w:rsidRPr="00A550A9">
        <w:rPr>
          <w:rStyle w:val="af7"/>
          <w:rFonts w:eastAsia="Guttman Hodes" w:hint="cs"/>
          <w:rtl/>
        </w:rPr>
        <w:t>(סי' י"א ד"ה ויובן)</w:t>
      </w:r>
      <w:r>
        <w:rPr>
          <w:rFonts w:hint="cs"/>
          <w:rtl/>
        </w:rPr>
        <w:t xml:space="preserve"> דלפי"ז מבוארת הגמ' לקמן </w:t>
      </w:r>
      <w:r w:rsidRPr="00A550A9">
        <w:rPr>
          <w:rStyle w:val="af7"/>
          <w:rFonts w:eastAsia="Guttman Hodes" w:hint="cs"/>
          <w:rtl/>
        </w:rPr>
        <w:t>(ע.)</w:t>
      </w:r>
      <w:r>
        <w:rPr>
          <w:rFonts w:hint="cs"/>
          <w:rtl/>
        </w:rPr>
        <w:t xml:space="preserve"> דמקשה על רב חסדא אי מהני מיגו כנגד חזקה דשטרך בידי מאי בעי, </w:t>
      </w:r>
      <w:r w:rsidRPr="00A550A9">
        <w:rPr>
          <w:rStyle w:val="afb"/>
          <w:rFonts w:hint="cs"/>
          <w:rtl/>
        </w:rPr>
        <w:t xml:space="preserve">[וכדהוכיח </w:t>
      </w:r>
      <w:r w:rsidRPr="00A550A9">
        <w:rPr>
          <w:rStyle w:val="affa"/>
          <w:rFonts w:hint="cs"/>
          <w:rtl/>
        </w:rPr>
        <w:t>הגרעק"א</w:t>
      </w:r>
      <w:r w:rsidRPr="00273687">
        <w:rPr>
          <w:rStyle w:val="aff6"/>
          <w:rFonts w:hint="cs"/>
          <w:rtl/>
        </w:rPr>
        <w:t xml:space="preserve"> (עי' אות </w:t>
      </w:r>
      <w:r w:rsidRPr="00273687">
        <w:rPr>
          <w:rStyle w:val="aff6"/>
          <w:rtl/>
        </w:rPr>
        <w:fldChar w:fldCharType="begin"/>
      </w:r>
      <w:r w:rsidRPr="00273687">
        <w:rPr>
          <w:rStyle w:val="aff6"/>
          <w:rtl/>
        </w:rPr>
        <w:instrText xml:space="preserve"> </w:instrText>
      </w:r>
      <w:r w:rsidRPr="00273687">
        <w:rPr>
          <w:rStyle w:val="aff6"/>
          <w:rFonts w:hint="cs"/>
        </w:rPr>
        <w:instrText>REF</w:instrText>
      </w:r>
      <w:r w:rsidRPr="00273687">
        <w:rPr>
          <w:rStyle w:val="aff6"/>
          <w:rFonts w:hint="cs"/>
          <w:rtl/>
        </w:rPr>
        <w:instrText xml:space="preserve"> _</w:instrText>
      </w:r>
      <w:r w:rsidRPr="00273687">
        <w:rPr>
          <w:rStyle w:val="aff6"/>
          <w:rFonts w:hint="cs"/>
        </w:rPr>
        <w:instrText>Ref61858297 \r \h</w:instrText>
      </w:r>
      <w:r w:rsidRPr="00273687">
        <w:rPr>
          <w:rStyle w:val="aff6"/>
          <w:rtl/>
        </w:rPr>
        <w:instrText xml:space="preserve"> </w:instrText>
      </w:r>
      <w:r w:rsidRPr="00273687">
        <w:rPr>
          <w:rStyle w:val="aff6"/>
          <w:rtl/>
        </w:rPr>
      </w:r>
      <w:r w:rsidRPr="00273687">
        <w:rPr>
          <w:rStyle w:val="aff6"/>
          <w:rtl/>
        </w:rPr>
        <w:fldChar w:fldCharType="separate"/>
      </w:r>
      <w:r w:rsidR="00265073">
        <w:rPr>
          <w:rStyle w:val="aff6"/>
          <w:cs/>
        </w:rPr>
        <w:t>‎</w:t>
      </w:r>
      <w:r w:rsidR="00265073">
        <w:rPr>
          <w:rStyle w:val="aff6"/>
          <w:rtl/>
        </w:rPr>
        <w:t>י)</w:t>
      </w:r>
      <w:r w:rsidRPr="00273687">
        <w:rPr>
          <w:rStyle w:val="aff6"/>
          <w:rtl/>
        </w:rPr>
        <w:fldChar w:fldCharType="end"/>
      </w:r>
      <w:r>
        <w:rPr>
          <w:rFonts w:hint="cs"/>
          <w:rtl/>
        </w:rPr>
        <w:t xml:space="preserve"> </w:t>
      </w:r>
      <w:r w:rsidRPr="00A550A9">
        <w:rPr>
          <w:rStyle w:val="afb"/>
          <w:rFonts w:hint="cs"/>
          <w:rtl/>
        </w:rPr>
        <w:t xml:space="preserve">מדברי </w:t>
      </w:r>
      <w:r w:rsidRPr="00A550A9">
        <w:rPr>
          <w:rStyle w:val="affa"/>
          <w:rFonts w:hint="cs"/>
          <w:rtl/>
        </w:rPr>
        <w:t>הרשב"ם לקמן</w:t>
      </w:r>
      <w:r w:rsidRPr="00A550A9">
        <w:rPr>
          <w:rStyle w:val="afb"/>
          <w:rFonts w:hint="cs"/>
          <w:rtl/>
        </w:rPr>
        <w:t xml:space="preserve"> דאף רב חסדא מודה דלא אמרינן מיגו במקום עדים],</w:t>
      </w:r>
      <w:r>
        <w:rPr>
          <w:rFonts w:hint="cs"/>
          <w:rtl/>
        </w:rPr>
        <w:t xml:space="preserve"> דאעפ"י דס"ל לרב חסדא דמיגו מהני במקום עדים, היינו דוקא כנגד עדים, שנאמנותם היא מדין תורה ואינו בירור מסברא, אבל כנגד חזקה דשטרך בידי מאי בעי, אף לרב חסדא לא מהני מיגו, וכעי"ז תירץ </w:t>
      </w:r>
      <w:r w:rsidRPr="00273687">
        <w:rPr>
          <w:rStyle w:val="af9"/>
          <w:rFonts w:hint="cs"/>
          <w:rtl/>
        </w:rPr>
        <w:t>הנחל יצחק</w:t>
      </w:r>
      <w:r>
        <w:rPr>
          <w:rFonts w:hint="cs"/>
          <w:rtl/>
        </w:rPr>
        <w:t xml:space="preserve"> </w:t>
      </w:r>
      <w:r w:rsidRPr="00273687">
        <w:rPr>
          <w:rStyle w:val="af7"/>
          <w:rFonts w:eastAsia="Guttman Hodes" w:hint="cs"/>
          <w:rtl/>
        </w:rPr>
        <w:t xml:space="preserve">(עי' אות </w:t>
      </w:r>
      <w:r w:rsidRPr="00273687">
        <w:rPr>
          <w:rStyle w:val="af7"/>
          <w:rFonts w:eastAsia="Guttman Hodes"/>
          <w:rtl/>
        </w:rPr>
        <w:fldChar w:fldCharType="begin"/>
      </w:r>
      <w:r w:rsidRPr="00273687">
        <w:rPr>
          <w:rStyle w:val="af7"/>
          <w:rFonts w:eastAsia="Guttman Hodes"/>
          <w:rtl/>
        </w:rPr>
        <w:instrText xml:space="preserve"> </w:instrText>
      </w:r>
      <w:r w:rsidRPr="00273687">
        <w:rPr>
          <w:rStyle w:val="af7"/>
          <w:rFonts w:eastAsia="Guttman Hodes" w:hint="cs"/>
        </w:rPr>
        <w:instrText>REF</w:instrText>
      </w:r>
      <w:r w:rsidRPr="00273687">
        <w:rPr>
          <w:rStyle w:val="af7"/>
          <w:rFonts w:eastAsia="Guttman Hodes" w:hint="cs"/>
          <w:rtl/>
        </w:rPr>
        <w:instrText xml:space="preserve"> _</w:instrText>
      </w:r>
      <w:r w:rsidRPr="00273687">
        <w:rPr>
          <w:rStyle w:val="af7"/>
          <w:rFonts w:eastAsia="Guttman Hodes" w:hint="cs"/>
        </w:rPr>
        <w:instrText>Ref61857809 \r \h</w:instrText>
      </w:r>
      <w:r w:rsidRPr="00273687">
        <w:rPr>
          <w:rStyle w:val="af7"/>
          <w:rFonts w:eastAsia="Guttman Hodes"/>
          <w:rtl/>
        </w:rPr>
        <w:instrText xml:space="preserve"> </w:instrText>
      </w:r>
      <w:r w:rsidRPr="00273687">
        <w:rPr>
          <w:rStyle w:val="af7"/>
          <w:rFonts w:eastAsia="Guttman Hodes"/>
          <w:rtl/>
        </w:rPr>
      </w:r>
      <w:r w:rsidRPr="00273687">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273687">
        <w:rPr>
          <w:rStyle w:val="af7"/>
          <w:rFonts w:eastAsia="Guttman Hodes"/>
          <w:rtl/>
        </w:rPr>
        <w:fldChar w:fldCharType="end"/>
      </w:r>
      <w:r>
        <w:rPr>
          <w:rFonts w:hint="cs"/>
          <w:rtl/>
        </w:rPr>
        <w:t>.</w:t>
      </w:r>
      <w:bookmarkEnd w:id="12729"/>
    </w:p>
    <w:p w:rsidR="00C34249" w:rsidRPr="008D123E" w:rsidRDefault="00C34249" w:rsidP="00C34249">
      <w:pPr>
        <w:pStyle w:val="afe"/>
      </w:pPr>
      <w:r>
        <w:rPr>
          <w:rFonts w:hint="cs"/>
          <w:rtl/>
        </w:rPr>
        <w:t>בי' הגרנ"פ ברבינו יונה דמתרצים דבריו</w:t>
      </w:r>
    </w:p>
    <w:p w:rsidR="00C34249" w:rsidRPr="00EA0D37" w:rsidRDefault="00C34249" w:rsidP="00C34249">
      <w:pPr>
        <w:pStyle w:val="1"/>
        <w:rPr>
          <w:rtl/>
        </w:rPr>
      </w:pPr>
      <w:r>
        <w:rPr>
          <w:rFonts w:hint="cs"/>
          <w:rtl/>
        </w:rPr>
        <w:t>קושית הגרנ"פ דלרבינו יונה נח' אי מתרצינן דבריו ולא במיגו</w:t>
      </w:r>
    </w:p>
    <w:p w:rsidR="00C34249" w:rsidRDefault="00C34249" w:rsidP="00C34249">
      <w:pPr>
        <w:pStyle w:val="a3"/>
        <w:rPr>
          <w:rtl/>
        </w:rPr>
      </w:pPr>
      <w:bookmarkStart w:id="12730" w:name="_Toc61887930"/>
      <w:r>
        <w:rPr>
          <w:rFonts w:hint="cs"/>
          <w:rtl/>
        </w:rPr>
        <w:t>קושית הגרנ"פ דלרמב"ן ורבינו יונה רבה ואביי פליגי אי מתרצינן דבריו ולא בדין מיגו במק"ע</w:t>
      </w:r>
      <w:bookmarkEnd w:id="12730"/>
    </w:p>
    <w:p w:rsidR="00C34249" w:rsidRDefault="00C34249" w:rsidP="007E4E81">
      <w:pPr>
        <w:pStyle w:val="a0"/>
        <w:rPr>
          <w:rtl/>
        </w:rPr>
      </w:pPr>
      <w:bookmarkStart w:id="12731" w:name="_Ref61800689"/>
      <w:r>
        <w:rPr>
          <w:rFonts w:hint="cs"/>
          <w:rtl/>
        </w:rPr>
        <w:t xml:space="preserve">במה שביארו </w:t>
      </w:r>
      <w:r w:rsidRPr="00160D75">
        <w:rPr>
          <w:rStyle w:val="af9"/>
          <w:rFonts w:hint="cs"/>
          <w:rtl/>
        </w:rPr>
        <w:t>הרמב"ן</w:t>
      </w:r>
      <w:r>
        <w:rPr>
          <w:rFonts w:hint="cs"/>
          <w:rtl/>
        </w:rPr>
        <w:t xml:space="preserve"> </w:t>
      </w:r>
      <w:r w:rsidRPr="004C7683">
        <w:rPr>
          <w:rStyle w:val="af7"/>
          <w:rFonts w:eastAsia="Guttman Hodes" w:hint="cs"/>
          <w:rtl/>
        </w:rPr>
        <w:t xml:space="preserve">(עי' אות </w:t>
      </w:r>
      <w:r w:rsidRPr="004C7683">
        <w:rPr>
          <w:rStyle w:val="af7"/>
          <w:rFonts w:eastAsia="Guttman Hodes"/>
          <w:rtl/>
        </w:rPr>
        <w:fldChar w:fldCharType="begin"/>
      </w:r>
      <w:r w:rsidRPr="004C7683">
        <w:rPr>
          <w:rStyle w:val="af7"/>
          <w:rFonts w:eastAsia="Guttman Hodes"/>
          <w:rtl/>
        </w:rPr>
        <w:instrText xml:space="preserve"> </w:instrText>
      </w:r>
      <w:r w:rsidRPr="004C7683">
        <w:rPr>
          <w:rStyle w:val="af7"/>
          <w:rFonts w:eastAsia="Guttman Hodes" w:hint="cs"/>
        </w:rPr>
        <w:instrText>REF</w:instrText>
      </w:r>
      <w:r w:rsidRPr="004C7683">
        <w:rPr>
          <w:rStyle w:val="af7"/>
          <w:rFonts w:eastAsia="Guttman Hodes" w:hint="cs"/>
          <w:rtl/>
        </w:rPr>
        <w:instrText xml:space="preserve"> _</w:instrText>
      </w:r>
      <w:r w:rsidRPr="004C7683">
        <w:rPr>
          <w:rStyle w:val="af7"/>
          <w:rFonts w:eastAsia="Guttman Hodes" w:hint="cs"/>
        </w:rPr>
        <w:instrText>Ref61851387 \r \h</w:instrText>
      </w:r>
      <w:r w:rsidRPr="004C7683">
        <w:rPr>
          <w:rStyle w:val="af7"/>
          <w:rFonts w:eastAsia="Guttman Hodes"/>
          <w:rtl/>
        </w:rPr>
        <w:instrText xml:space="preserve"> </w:instrText>
      </w:r>
      <w:r w:rsidRPr="004C7683">
        <w:rPr>
          <w:rStyle w:val="af7"/>
          <w:rFonts w:eastAsia="Guttman Hodes"/>
          <w:rtl/>
        </w:rPr>
      </w:r>
      <w:r w:rsidRPr="004C7683">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4C7683">
        <w:rPr>
          <w:rStyle w:val="af7"/>
          <w:rFonts w:eastAsia="Guttman Hodes"/>
          <w:rtl/>
        </w:rPr>
        <w:fldChar w:fldCharType="end"/>
      </w:r>
      <w:r>
        <w:rPr>
          <w:rStyle w:val="af9"/>
          <w:rFonts w:hint="cs"/>
          <w:rtl/>
        </w:rPr>
        <w:t xml:space="preserve"> </w:t>
      </w:r>
      <w:r w:rsidRPr="00160D75">
        <w:rPr>
          <w:rStyle w:val="af9"/>
          <w:rFonts w:hint="cs"/>
          <w:rtl/>
        </w:rPr>
        <w:t>ורבינו</w:t>
      </w:r>
      <w:r>
        <w:rPr>
          <w:rFonts w:hint="cs"/>
          <w:rtl/>
        </w:rPr>
        <w:t xml:space="preserve"> </w:t>
      </w:r>
      <w:r w:rsidRPr="00160D75">
        <w:rPr>
          <w:rStyle w:val="af9"/>
          <w:rFonts w:hint="cs"/>
          <w:rtl/>
        </w:rPr>
        <w:t>יונה</w:t>
      </w:r>
      <w:r>
        <w:rPr>
          <w:rFonts w:hint="cs"/>
          <w:rtl/>
        </w:rPr>
        <w:t xml:space="preserve"> </w:t>
      </w:r>
      <w:r w:rsidRPr="00160D75">
        <w:rPr>
          <w:rStyle w:val="af9"/>
          <w:rFonts w:hint="cs"/>
          <w:rtl/>
        </w:rPr>
        <w:t>והרשב"א</w:t>
      </w:r>
      <w:r>
        <w:rPr>
          <w:rFonts w:hint="cs"/>
          <w:rtl/>
        </w:rPr>
        <w:t xml:space="preserve"> </w:t>
      </w:r>
      <w:r w:rsidRPr="00273687">
        <w:rPr>
          <w:rStyle w:val="af7"/>
          <w:rFonts w:eastAsia="Guttman Hodes" w:hint="cs"/>
          <w:rtl/>
        </w:rPr>
        <w:t xml:space="preserve">(עי' אות </w:t>
      </w:r>
      <w:r w:rsidRPr="00273687">
        <w:rPr>
          <w:rStyle w:val="af7"/>
          <w:rFonts w:eastAsia="Guttman Hodes"/>
          <w:rtl/>
        </w:rPr>
        <w:fldChar w:fldCharType="begin"/>
      </w:r>
      <w:r w:rsidRPr="00273687">
        <w:rPr>
          <w:rStyle w:val="af7"/>
          <w:rFonts w:eastAsia="Guttman Hodes"/>
          <w:rtl/>
        </w:rPr>
        <w:instrText xml:space="preserve"> </w:instrText>
      </w:r>
      <w:r w:rsidRPr="00273687">
        <w:rPr>
          <w:rStyle w:val="af7"/>
          <w:rFonts w:eastAsia="Guttman Hodes" w:hint="cs"/>
        </w:rPr>
        <w:instrText>REF</w:instrText>
      </w:r>
      <w:r w:rsidRPr="00273687">
        <w:rPr>
          <w:rStyle w:val="af7"/>
          <w:rFonts w:eastAsia="Guttman Hodes" w:hint="cs"/>
          <w:rtl/>
        </w:rPr>
        <w:instrText xml:space="preserve"> _</w:instrText>
      </w:r>
      <w:r w:rsidRPr="00273687">
        <w:rPr>
          <w:rStyle w:val="af7"/>
          <w:rFonts w:eastAsia="Guttman Hodes" w:hint="cs"/>
        </w:rPr>
        <w:instrText>Ref61866447 \r \h</w:instrText>
      </w:r>
      <w:r w:rsidRPr="00273687">
        <w:rPr>
          <w:rStyle w:val="af7"/>
          <w:rFonts w:eastAsia="Guttman Hodes"/>
          <w:rtl/>
        </w:rPr>
        <w:instrText xml:space="preserve"> </w:instrText>
      </w:r>
      <w:r w:rsidRPr="00273687">
        <w:rPr>
          <w:rStyle w:val="af7"/>
          <w:rFonts w:eastAsia="Guttman Hodes"/>
          <w:rtl/>
        </w:rPr>
      </w:r>
      <w:r w:rsidRPr="00273687">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273687">
        <w:rPr>
          <w:rStyle w:val="af7"/>
          <w:rFonts w:eastAsia="Guttman Hodes"/>
          <w:rtl/>
        </w:rPr>
        <w:fldChar w:fldCharType="end"/>
      </w:r>
      <w:r>
        <w:rPr>
          <w:rFonts w:hint="cs"/>
          <w:rtl/>
        </w:rPr>
        <w:t xml:space="preserve"> דלרבה מתרצינן דיבוריה דכוונתו לומר שאבותי לקחוה מאבותיך, או דסמיך עלה כדאבהתי, כתב </w:t>
      </w:r>
      <w:r w:rsidRPr="00A758BE">
        <w:rPr>
          <w:rStyle w:val="af9"/>
          <w:rFonts w:hint="cs"/>
          <w:rtl/>
        </w:rPr>
        <w:t>בחי' רבי נחום</w:t>
      </w:r>
      <w:r>
        <w:rPr>
          <w:rFonts w:hint="cs"/>
          <w:rtl/>
        </w:rPr>
        <w:t xml:space="preserve"> </w:t>
      </w:r>
      <w:r w:rsidRPr="00A758BE">
        <w:rPr>
          <w:rStyle w:val="af7"/>
          <w:rFonts w:eastAsia="Guttman Hodes" w:hint="cs"/>
          <w:rtl/>
        </w:rPr>
        <w:t xml:space="preserve">(או' פ"ב ד"ה וזה) </w:t>
      </w:r>
      <w:r>
        <w:rPr>
          <w:rFonts w:hint="cs"/>
          <w:rtl/>
        </w:rPr>
        <w:t xml:space="preserve">דמשמע דכוונתם לומר דמחלוקת אינה במיגו במקום עדים, אלא האם ע"י מיגו מתרצינן את דבריו או לא, והקשה </w:t>
      </w:r>
      <w:r w:rsidRPr="00273687">
        <w:rPr>
          <w:rStyle w:val="af9"/>
          <w:rFonts w:hint="cs"/>
          <w:rtl/>
        </w:rPr>
        <w:t>בחי' רבי נחום</w:t>
      </w:r>
      <w:r>
        <w:rPr>
          <w:rFonts w:hint="cs"/>
          <w:rtl/>
        </w:rPr>
        <w:t xml:space="preserve"> דא"כ אמאי אמר אביי לרבה דהוא מיגו במקום עדים, הא אף רבה מודה דלא מהני המיגו כנגד העדים, והיה לאביי להקשות דלא מהני המיגו לתרץ דבריו, ועיקר קושיתו חסרה מן הספר.</w:t>
      </w:r>
      <w:bookmarkEnd w:id="12731"/>
    </w:p>
    <w:p w:rsidR="00C34249" w:rsidRPr="00C00CB5" w:rsidRDefault="00C34249" w:rsidP="00C34249">
      <w:pPr>
        <w:pStyle w:val="1"/>
        <w:rPr>
          <w:rtl/>
        </w:rPr>
      </w:pPr>
      <w:r>
        <w:rPr>
          <w:rFonts w:hint="cs"/>
          <w:rtl/>
        </w:rPr>
        <w:t>ביאור הגרנ"פ ברבינו יונה דאחר שנאמן במיגו מתרצינן דבריו</w:t>
      </w:r>
    </w:p>
    <w:p w:rsidR="00C34249" w:rsidRDefault="00C34249" w:rsidP="00C34249">
      <w:pPr>
        <w:pStyle w:val="a3"/>
        <w:rPr>
          <w:rtl/>
        </w:rPr>
      </w:pPr>
      <w:bookmarkStart w:id="12732" w:name="_Toc61887931"/>
      <w:r>
        <w:rPr>
          <w:rFonts w:hint="cs"/>
          <w:rtl/>
        </w:rPr>
        <w:t>דברי הגרנ"פ דמבואר ברבינו יונה וברשב"א דרק ע"י המיגו מתרצינן דבריו שלא יסתור לעדים</w:t>
      </w:r>
      <w:bookmarkEnd w:id="12732"/>
    </w:p>
    <w:p w:rsidR="00C34249" w:rsidRDefault="00C34249" w:rsidP="007E4E81">
      <w:pPr>
        <w:pStyle w:val="a0"/>
        <w:rPr>
          <w:rtl/>
        </w:rPr>
      </w:pPr>
      <w:r>
        <w:rPr>
          <w:rFonts w:hint="cs"/>
          <w:rtl/>
        </w:rPr>
        <w:t xml:space="preserve">וכתב </w:t>
      </w:r>
      <w:r w:rsidRPr="00A758BE">
        <w:rPr>
          <w:rStyle w:val="af9"/>
          <w:rFonts w:hint="cs"/>
          <w:rtl/>
        </w:rPr>
        <w:t>בחי' רבי נחום</w:t>
      </w:r>
      <w:r>
        <w:rPr>
          <w:rFonts w:hint="cs"/>
          <w:rtl/>
        </w:rPr>
        <w:t xml:space="preserve"> </w:t>
      </w:r>
      <w:r w:rsidRPr="00A758BE">
        <w:rPr>
          <w:rStyle w:val="af7"/>
          <w:rFonts w:eastAsia="Guttman Hodes" w:hint="cs"/>
          <w:rtl/>
        </w:rPr>
        <w:t xml:space="preserve">(או' פ"ב ד"ה ולפני) </w:t>
      </w:r>
      <w:r>
        <w:rPr>
          <w:rFonts w:hint="cs"/>
          <w:rtl/>
        </w:rPr>
        <w:t xml:space="preserve">דמדברי </w:t>
      </w:r>
      <w:r w:rsidRPr="00A758BE">
        <w:rPr>
          <w:rStyle w:val="af9"/>
          <w:rFonts w:hint="cs"/>
          <w:rtl/>
        </w:rPr>
        <w:t xml:space="preserve">רבינו </w:t>
      </w:r>
      <w:r w:rsidRPr="00160D75">
        <w:rPr>
          <w:rStyle w:val="af9"/>
          <w:rFonts w:hint="cs"/>
          <w:rtl/>
        </w:rPr>
        <w:t>יונה</w:t>
      </w:r>
      <w:r>
        <w:rPr>
          <w:rFonts w:hint="cs"/>
          <w:rtl/>
        </w:rPr>
        <w:t xml:space="preserve"> </w:t>
      </w:r>
      <w:r w:rsidRPr="00160D75">
        <w:rPr>
          <w:rStyle w:val="af9"/>
          <w:rFonts w:hint="cs"/>
          <w:rtl/>
        </w:rPr>
        <w:t>והרשב"א</w:t>
      </w:r>
      <w:r>
        <w:rPr>
          <w:rFonts w:hint="cs"/>
          <w:rtl/>
        </w:rPr>
        <w:t xml:space="preserve"> </w:t>
      </w:r>
      <w:r w:rsidRPr="00273687">
        <w:rPr>
          <w:rStyle w:val="af7"/>
          <w:rFonts w:eastAsia="Guttman Hodes" w:hint="cs"/>
          <w:rtl/>
        </w:rPr>
        <w:t xml:space="preserve">(עי' אות </w:t>
      </w:r>
      <w:r w:rsidRPr="00273687">
        <w:rPr>
          <w:rStyle w:val="af7"/>
          <w:rFonts w:eastAsia="Guttman Hodes"/>
          <w:rtl/>
        </w:rPr>
        <w:fldChar w:fldCharType="begin"/>
      </w:r>
      <w:r w:rsidRPr="00273687">
        <w:rPr>
          <w:rStyle w:val="af7"/>
          <w:rFonts w:eastAsia="Guttman Hodes"/>
          <w:rtl/>
        </w:rPr>
        <w:instrText xml:space="preserve"> </w:instrText>
      </w:r>
      <w:r w:rsidRPr="00273687">
        <w:rPr>
          <w:rStyle w:val="af7"/>
          <w:rFonts w:eastAsia="Guttman Hodes" w:hint="cs"/>
        </w:rPr>
        <w:instrText>REF</w:instrText>
      </w:r>
      <w:r w:rsidRPr="00273687">
        <w:rPr>
          <w:rStyle w:val="af7"/>
          <w:rFonts w:eastAsia="Guttman Hodes" w:hint="cs"/>
          <w:rtl/>
        </w:rPr>
        <w:instrText xml:space="preserve"> _</w:instrText>
      </w:r>
      <w:r w:rsidRPr="00273687">
        <w:rPr>
          <w:rStyle w:val="af7"/>
          <w:rFonts w:eastAsia="Guttman Hodes" w:hint="cs"/>
        </w:rPr>
        <w:instrText>Ref61866447 \r \h</w:instrText>
      </w:r>
      <w:r w:rsidRPr="00273687">
        <w:rPr>
          <w:rStyle w:val="af7"/>
          <w:rFonts w:eastAsia="Guttman Hodes"/>
          <w:rtl/>
        </w:rPr>
        <w:instrText xml:space="preserve"> </w:instrText>
      </w:r>
      <w:r w:rsidRPr="00273687">
        <w:rPr>
          <w:rStyle w:val="af7"/>
          <w:rFonts w:eastAsia="Guttman Hodes"/>
          <w:rtl/>
        </w:rPr>
      </w:r>
      <w:r w:rsidRPr="00273687">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273687">
        <w:rPr>
          <w:rStyle w:val="af7"/>
          <w:rFonts w:eastAsia="Guttman Hodes"/>
          <w:rtl/>
        </w:rPr>
        <w:fldChar w:fldCharType="end"/>
      </w:r>
      <w:r>
        <w:rPr>
          <w:rFonts w:hint="cs"/>
          <w:rtl/>
        </w:rPr>
        <w:t xml:space="preserve"> מבואר דהא דמתרצינן דיבוריה, היינו כיון שיש לו מיגו, ובלא שהיה נאמן מחמת המיגו, לא היינו מתרצים את דבריו כלל, וביאר </w:t>
      </w:r>
      <w:r w:rsidRPr="00A758BE">
        <w:rPr>
          <w:rStyle w:val="af9"/>
          <w:rFonts w:hint="cs"/>
          <w:rtl/>
        </w:rPr>
        <w:t>בחי' רבי נחום</w:t>
      </w:r>
      <w:r>
        <w:rPr>
          <w:rFonts w:hint="cs"/>
          <w:rtl/>
        </w:rPr>
        <w:t xml:space="preserve"> דהיינו כיון דמשמעות הפשוטה של טענת "של אבותי", היינו של אבותי ולא של אבותיך, ורק כיון שיש לו מיגו, אנו מוכרחים לתרץ דכוונתו של אבותי שלקחוה מאבותיך, בכדי שטענתו תהיה טענת אמת ולא יוכחש ע"י העדים.</w:t>
      </w:r>
    </w:p>
    <w:p w:rsidR="00C34249" w:rsidRPr="008D123E" w:rsidRDefault="00C34249" w:rsidP="00C34249">
      <w:pPr>
        <w:pStyle w:val="afe"/>
      </w:pPr>
      <w:r>
        <w:rPr>
          <w:rFonts w:hint="cs"/>
          <w:rtl/>
        </w:rPr>
        <w:t>בי' הגרנ"פ דבמק"ע אין טענתו טענה</w:t>
      </w:r>
    </w:p>
    <w:p w:rsidR="00C34249" w:rsidRPr="00F35CAF" w:rsidRDefault="00C34249" w:rsidP="00C34249">
      <w:pPr>
        <w:pStyle w:val="1"/>
        <w:rPr>
          <w:rtl/>
        </w:rPr>
      </w:pPr>
      <w:r>
        <w:rPr>
          <w:rFonts w:hint="cs"/>
          <w:rtl/>
        </w:rPr>
        <w:t>בי' הגרנ"פ דטענה שהוכחשה לגמרי ע"י עדים ל"מ לה מיגו</w:t>
      </w:r>
    </w:p>
    <w:p w:rsidR="00C34249" w:rsidRPr="00263717" w:rsidRDefault="00C34249" w:rsidP="00C34249">
      <w:pPr>
        <w:pStyle w:val="a3"/>
        <w:rPr>
          <w:rtl/>
        </w:rPr>
      </w:pPr>
      <w:bookmarkStart w:id="12733" w:name="_Toc61887932"/>
      <w:r>
        <w:rPr>
          <w:rFonts w:hint="cs"/>
          <w:rtl/>
        </w:rPr>
        <w:t>ביאור הגרנ"פ דבמק"ע אין דין מיגו כלל דמיגו מאלים את טענתו והיא הוכחשה כבר ע"י העדים</w:t>
      </w:r>
      <w:bookmarkEnd w:id="12733"/>
    </w:p>
    <w:p w:rsidR="00C34249" w:rsidRDefault="00C34249" w:rsidP="007E4E81">
      <w:pPr>
        <w:pStyle w:val="a0"/>
        <w:rPr>
          <w:rtl/>
        </w:rPr>
      </w:pPr>
      <w:bookmarkStart w:id="12734" w:name="_Ref61887235"/>
      <w:r>
        <w:rPr>
          <w:rFonts w:hint="cs"/>
          <w:rtl/>
        </w:rPr>
        <w:t xml:space="preserve">וכתב </w:t>
      </w:r>
      <w:r w:rsidRPr="0003102F">
        <w:rPr>
          <w:rStyle w:val="af9"/>
          <w:rFonts w:hint="cs"/>
          <w:rtl/>
        </w:rPr>
        <w:t>בחי' רבי נחום</w:t>
      </w:r>
      <w:r>
        <w:rPr>
          <w:rFonts w:hint="cs"/>
          <w:rtl/>
        </w:rPr>
        <w:t xml:space="preserve"> </w:t>
      </w:r>
      <w:r w:rsidRPr="00A558A3">
        <w:rPr>
          <w:rStyle w:val="af7"/>
          <w:rFonts w:eastAsia="Guttman Hodes" w:hint="cs"/>
          <w:rtl/>
        </w:rPr>
        <w:t>(או' פ"ב ד"ה ולפי"ז נבא)</w:t>
      </w:r>
      <w:r>
        <w:rPr>
          <w:rFonts w:hint="cs"/>
          <w:rtl/>
        </w:rPr>
        <w:t xml:space="preserve"> דבפשטות הא דלא אמרינן מיגו במקום עדים, הוא כיון דהנאמנות של העדים אלימא מהנאמנות של המיגו, אך כתב </w:t>
      </w:r>
      <w:r w:rsidRPr="0003102F">
        <w:rPr>
          <w:rStyle w:val="af9"/>
          <w:rFonts w:hint="cs"/>
          <w:rtl/>
        </w:rPr>
        <w:t>בחי' רבי נחום</w:t>
      </w:r>
      <w:r>
        <w:rPr>
          <w:rFonts w:hint="cs"/>
          <w:rtl/>
        </w:rPr>
        <w:t xml:space="preserve"> דאפשר לבאר דבמקום עדים אין דין מיגו כלל, כיון דכל הנאמנות של המיגו, היא להאלים את טענתו, דכשטוען טענה טובה ויש ריעותא בטענתו, הכח של המיגו מאלים את טענתו דהוא נאמן בטענה, אבל במקום שאין טענתו טענה, דהוכחשה ע"י העדים, א"כ ודאי דהמיגו לא יכול להאלים את הטענה.</w:t>
      </w:r>
      <w:bookmarkEnd w:id="12734"/>
    </w:p>
    <w:p w:rsidR="00C34249" w:rsidRPr="002E037F" w:rsidRDefault="00C34249" w:rsidP="00C34249">
      <w:pPr>
        <w:pStyle w:val="a3"/>
      </w:pPr>
      <w:bookmarkStart w:id="12735" w:name="_Toc61887933"/>
      <w:r>
        <w:rPr>
          <w:rFonts w:hint="cs"/>
          <w:rtl/>
        </w:rPr>
        <w:t>ביאור הגרנ"פ ברבינו יונה וברשב"א דרק כשלא הוכחשה טענתו ס"ל לרבה דשייך דין מיגו</w:t>
      </w:r>
      <w:bookmarkEnd w:id="12735"/>
    </w:p>
    <w:p w:rsidR="00C34249" w:rsidRDefault="00C34249" w:rsidP="007E4E81">
      <w:pPr>
        <w:pStyle w:val="a0"/>
        <w:rPr>
          <w:rtl/>
        </w:rPr>
      </w:pPr>
      <w:r>
        <w:rPr>
          <w:rFonts w:hint="cs"/>
          <w:rtl/>
        </w:rPr>
        <w:t xml:space="preserve">וביאר </w:t>
      </w:r>
      <w:r w:rsidRPr="0003102F">
        <w:rPr>
          <w:rStyle w:val="af9"/>
          <w:rFonts w:hint="cs"/>
          <w:rtl/>
        </w:rPr>
        <w:t>בחי' רבי נחום</w:t>
      </w:r>
      <w:r>
        <w:rPr>
          <w:rFonts w:hint="cs"/>
          <w:rtl/>
        </w:rPr>
        <w:t xml:space="preserve"> דלכן במקום שהעדים מכחישים את טענתו לגמרי, ס"ל </w:t>
      </w:r>
      <w:r w:rsidRPr="0003102F">
        <w:rPr>
          <w:rStyle w:val="af9"/>
          <w:rFonts w:hint="cs"/>
          <w:rtl/>
        </w:rPr>
        <w:t>לרבינו יונה והרשב"א</w:t>
      </w:r>
      <w:r>
        <w:rPr>
          <w:rFonts w:hint="cs"/>
          <w:rtl/>
        </w:rPr>
        <w:t xml:space="preserve"> דלכו"ע לא מהני מיגו כנגד עדים, דהא טענתו הוכחשה ע"י העדים, ואין לו טענה כלל, ולא יכול המיגו להאלים טענה מוכחשת, ורק כשאפשר לתרץ את דבריו ס"ל לרבה דיש דין מיגו, ויש כח במיגו לתרץ את דבריו שלא יסתור את העדים.</w:t>
      </w:r>
    </w:p>
    <w:p w:rsidR="00C34249" w:rsidRPr="00C00CB5" w:rsidRDefault="00C34249" w:rsidP="00C34249">
      <w:pPr>
        <w:pStyle w:val="1"/>
        <w:rPr>
          <w:rtl/>
        </w:rPr>
      </w:pPr>
      <w:bookmarkStart w:id="12736" w:name="_Toc61887934"/>
      <w:r>
        <w:rPr>
          <w:rFonts w:hint="cs"/>
          <w:rtl/>
        </w:rPr>
        <w:t>ביאור הגרנ"פ באביי דאחר שהוכחשה הטענה ל"ש מיגו כלל</w:t>
      </w:r>
    </w:p>
    <w:p w:rsidR="00C34249" w:rsidRPr="00A558A3" w:rsidRDefault="00C34249" w:rsidP="00C34249">
      <w:pPr>
        <w:pStyle w:val="a3"/>
        <w:rPr>
          <w:rtl/>
        </w:rPr>
      </w:pPr>
      <w:r>
        <w:rPr>
          <w:rFonts w:hint="cs"/>
          <w:rtl/>
        </w:rPr>
        <w:t>ביאור הגרנ"פ דלאביי אחר שמשמעות הטענה הוכחשה אין דין מיגו וא"א לתרץ טענתו מכחו</w:t>
      </w:r>
      <w:bookmarkEnd w:id="12736"/>
    </w:p>
    <w:p w:rsidR="00C34249" w:rsidRPr="00A558A3" w:rsidRDefault="00C34249" w:rsidP="007E4E81">
      <w:pPr>
        <w:pStyle w:val="a0"/>
        <w:rPr>
          <w:rStyle w:val="afb"/>
          <w:rtl/>
        </w:rPr>
      </w:pPr>
      <w:bookmarkStart w:id="12737" w:name="_Ref61813007"/>
      <w:r>
        <w:rPr>
          <w:rFonts w:hint="cs"/>
          <w:rtl/>
        </w:rPr>
        <w:t xml:space="preserve">ובדעת אביי כתב </w:t>
      </w:r>
      <w:r w:rsidRPr="0003102F">
        <w:rPr>
          <w:rStyle w:val="af9"/>
          <w:rFonts w:hint="cs"/>
          <w:rtl/>
        </w:rPr>
        <w:t>בחי' רבי נחום</w:t>
      </w:r>
      <w:r>
        <w:rPr>
          <w:rFonts w:hint="cs"/>
          <w:rtl/>
        </w:rPr>
        <w:t xml:space="preserve"> דס"ל דאף במקום שאפשר לתרץ את טענתו, מ"מ לא חשיב שיש לו מיגו כלל, כיון שעיקר טענתו הוכחשה ע"י העדים, ממילא אין לו מיגו, ולא שייך לומר דיש לו נאמנות דמחמתה נתרץ את דבריו, שלא יסתור את העדים, וביאר </w:t>
      </w:r>
      <w:r w:rsidRPr="00A758BE">
        <w:rPr>
          <w:rStyle w:val="af9"/>
          <w:rFonts w:hint="cs"/>
          <w:rtl/>
        </w:rPr>
        <w:t>רבי</w:t>
      </w:r>
      <w:r>
        <w:rPr>
          <w:rFonts w:hint="cs"/>
          <w:rtl/>
        </w:rPr>
        <w:t xml:space="preserve"> </w:t>
      </w:r>
      <w:r w:rsidRPr="00A758BE">
        <w:rPr>
          <w:rStyle w:val="af9"/>
          <w:rFonts w:hint="cs"/>
          <w:rtl/>
        </w:rPr>
        <w:t>נחום</w:t>
      </w:r>
      <w:r>
        <w:rPr>
          <w:rFonts w:hint="cs"/>
          <w:rtl/>
        </w:rPr>
        <w:t xml:space="preserve"> דאעפ"י שאם בתחילה נקבל את המיגו, ונתרץ את דבריו, ממילא טענתו תהיה טענה דאינה סותרת לעדים, מ"מ כיון שלפני המיגו אין לו טענה כלל, ממילא לא שייך כאן התחלת דין מיגו, ואין לנו כל סיבה לתרץ את דבריו.</w:t>
      </w:r>
      <w:r w:rsidRPr="00201E06">
        <w:rPr>
          <w:rStyle w:val="afb"/>
          <w:rFonts w:hint="cs"/>
          <w:rtl/>
        </w:rPr>
        <w:t xml:space="preserve"> </w:t>
      </w:r>
      <w:r w:rsidRPr="00A558A3">
        <w:rPr>
          <w:rStyle w:val="afb"/>
          <w:rFonts w:hint="cs"/>
          <w:rtl/>
        </w:rPr>
        <w:t xml:space="preserve">[ועי' בדברי </w:t>
      </w:r>
      <w:r w:rsidRPr="00201E06">
        <w:rPr>
          <w:rStyle w:val="affa"/>
          <w:rFonts w:hint="cs"/>
          <w:rtl/>
        </w:rPr>
        <w:t>הרשב"ם לקמן</w:t>
      </w:r>
      <w:r w:rsidRPr="00A558A3">
        <w:rPr>
          <w:rStyle w:val="afb"/>
          <w:rFonts w:hint="cs"/>
          <w:rtl/>
        </w:rPr>
        <w:t xml:space="preserve"> </w:t>
      </w:r>
      <w:r w:rsidRPr="00201E06">
        <w:rPr>
          <w:rStyle w:val="af7"/>
          <w:rFonts w:eastAsia="Guttman Hodes" w:hint="cs"/>
          <w:rtl/>
        </w:rPr>
        <w:t xml:space="preserve">(עי' אות </w:t>
      </w:r>
      <w:r w:rsidRPr="00201E06">
        <w:rPr>
          <w:rStyle w:val="af7"/>
          <w:rFonts w:eastAsia="Guttman Hodes"/>
          <w:rtl/>
        </w:rPr>
        <w:fldChar w:fldCharType="begin"/>
      </w:r>
      <w:r w:rsidRPr="00201E06">
        <w:rPr>
          <w:rStyle w:val="af7"/>
          <w:rFonts w:eastAsia="Guttman Hodes"/>
          <w:rtl/>
        </w:rPr>
        <w:instrText xml:space="preserve"> </w:instrText>
      </w:r>
      <w:r w:rsidRPr="00201E06">
        <w:rPr>
          <w:rStyle w:val="af7"/>
          <w:rFonts w:eastAsia="Guttman Hodes" w:hint="cs"/>
        </w:rPr>
        <w:instrText>REF</w:instrText>
      </w:r>
      <w:r w:rsidRPr="00201E06">
        <w:rPr>
          <w:rStyle w:val="af7"/>
          <w:rFonts w:eastAsia="Guttman Hodes" w:hint="cs"/>
          <w:rtl/>
        </w:rPr>
        <w:instrText xml:space="preserve"> _</w:instrText>
      </w:r>
      <w:r w:rsidRPr="00201E06">
        <w:rPr>
          <w:rStyle w:val="af7"/>
          <w:rFonts w:eastAsia="Guttman Hodes" w:hint="cs"/>
        </w:rPr>
        <w:instrText>Ref61812943 \r \h</w:instrText>
      </w:r>
      <w:r w:rsidRPr="00201E06">
        <w:rPr>
          <w:rStyle w:val="af7"/>
          <w:rFonts w:eastAsia="Guttman Hodes"/>
          <w:rtl/>
        </w:rPr>
        <w:instrText xml:space="preserve"> </w:instrText>
      </w:r>
      <w:r w:rsidRPr="00201E06">
        <w:rPr>
          <w:rStyle w:val="af7"/>
          <w:rFonts w:eastAsia="Guttman Hodes"/>
          <w:rtl/>
        </w:rPr>
      </w:r>
      <w:r w:rsidRPr="00201E06">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201E06">
        <w:rPr>
          <w:rStyle w:val="af7"/>
          <w:rFonts w:eastAsia="Guttman Hodes"/>
          <w:rtl/>
        </w:rPr>
        <w:fldChar w:fldCharType="end"/>
      </w:r>
      <w:r w:rsidRPr="00A558A3">
        <w:rPr>
          <w:rStyle w:val="afb"/>
          <w:rFonts w:hint="cs"/>
          <w:rtl/>
        </w:rPr>
        <w:t xml:space="preserve"> דביאר בדעת אביי ורבא דאינו נאמן במיגו במקום עדים, דכל טענה שאדם טוען, ורוצים להאמינו ע"י מיגו, והטענה מוכחשת ע"י העדים אינו נאמן, דא"א לקיים את טענתו ע"י המיגו, דהא ודאי שהוא משקר, ומשמע כביאור </w:t>
      </w:r>
      <w:r w:rsidRPr="00201E06">
        <w:rPr>
          <w:rStyle w:val="affa"/>
          <w:rFonts w:hint="cs"/>
          <w:rtl/>
        </w:rPr>
        <w:t xml:space="preserve">רבי נחום </w:t>
      </w:r>
      <w:r w:rsidRPr="00A558A3">
        <w:rPr>
          <w:rStyle w:val="afb"/>
          <w:rFonts w:hint="cs"/>
          <w:rtl/>
        </w:rPr>
        <w:t>דכשטענתו מוכחשת אין דין מיגו כלל].</w:t>
      </w:r>
      <w:bookmarkEnd w:id="12737"/>
    </w:p>
    <w:p w:rsidR="00C34249" w:rsidRDefault="00C34249" w:rsidP="00C34249">
      <w:pPr>
        <w:pStyle w:val="a3"/>
        <w:rPr>
          <w:rtl/>
        </w:rPr>
      </w:pPr>
      <w:bookmarkStart w:id="12738" w:name="_Toc61887935"/>
      <w:r>
        <w:rPr>
          <w:rFonts w:hint="cs"/>
          <w:rtl/>
        </w:rPr>
        <w:t>ביאור הגרנ"פ דעיקר פלוגתת רבה ואביי אי יש מיגו במק"ע וע"י המיגו נאמן לתרץ את דבריו</w:t>
      </w:r>
      <w:bookmarkEnd w:id="12738"/>
    </w:p>
    <w:p w:rsidR="00C34249" w:rsidRDefault="00C34249" w:rsidP="007E4E81">
      <w:pPr>
        <w:pStyle w:val="a0"/>
        <w:rPr>
          <w:rtl/>
        </w:rPr>
      </w:pPr>
      <w:r>
        <w:rPr>
          <w:rFonts w:hint="cs"/>
          <w:rtl/>
        </w:rPr>
        <w:t xml:space="preserve">ובזה תירץ </w:t>
      </w:r>
      <w:r w:rsidRPr="00201E06">
        <w:rPr>
          <w:rStyle w:val="af9"/>
          <w:rFonts w:hint="cs"/>
          <w:rtl/>
        </w:rPr>
        <w:t xml:space="preserve">בחי' רבי נחום </w:t>
      </w:r>
      <w:r>
        <w:rPr>
          <w:rFonts w:hint="cs"/>
          <w:rtl/>
        </w:rPr>
        <w:t xml:space="preserve">את מה שהקשה </w:t>
      </w:r>
      <w:r w:rsidRPr="00201E06">
        <w:rPr>
          <w:rStyle w:val="af7"/>
          <w:rFonts w:eastAsia="Guttman Hodes" w:hint="cs"/>
          <w:rtl/>
        </w:rPr>
        <w:t xml:space="preserve">(עי' אות </w:t>
      </w:r>
      <w:r w:rsidRPr="00201E06">
        <w:rPr>
          <w:rStyle w:val="af7"/>
          <w:rFonts w:eastAsia="Guttman Hodes"/>
          <w:rtl/>
        </w:rPr>
        <w:fldChar w:fldCharType="begin"/>
      </w:r>
      <w:r w:rsidRPr="00201E06">
        <w:rPr>
          <w:rStyle w:val="af7"/>
          <w:rFonts w:eastAsia="Guttman Hodes"/>
          <w:rtl/>
        </w:rPr>
        <w:instrText xml:space="preserve"> </w:instrText>
      </w:r>
      <w:r w:rsidRPr="00201E06">
        <w:rPr>
          <w:rStyle w:val="af7"/>
          <w:rFonts w:eastAsia="Guttman Hodes" w:hint="cs"/>
        </w:rPr>
        <w:instrText>REF</w:instrText>
      </w:r>
      <w:r w:rsidRPr="00201E06">
        <w:rPr>
          <w:rStyle w:val="af7"/>
          <w:rFonts w:eastAsia="Guttman Hodes" w:hint="cs"/>
          <w:rtl/>
        </w:rPr>
        <w:instrText xml:space="preserve"> _</w:instrText>
      </w:r>
      <w:r w:rsidRPr="00201E06">
        <w:rPr>
          <w:rStyle w:val="af7"/>
          <w:rFonts w:eastAsia="Guttman Hodes" w:hint="cs"/>
        </w:rPr>
        <w:instrText>Ref61800689 \r \h</w:instrText>
      </w:r>
      <w:r w:rsidRPr="00201E06">
        <w:rPr>
          <w:rStyle w:val="af7"/>
          <w:rFonts w:eastAsia="Guttman Hodes"/>
          <w:rtl/>
        </w:rPr>
        <w:instrText xml:space="preserve"> </w:instrText>
      </w:r>
      <w:r w:rsidRPr="00201E06">
        <w:rPr>
          <w:rStyle w:val="af7"/>
          <w:rFonts w:eastAsia="Guttman Hodes"/>
          <w:rtl/>
        </w:rPr>
      </w:r>
      <w:r w:rsidRPr="00201E06">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sidRPr="00201E06">
        <w:rPr>
          <w:rStyle w:val="af7"/>
          <w:rFonts w:eastAsia="Guttman Hodes"/>
          <w:rtl/>
        </w:rPr>
        <w:fldChar w:fldCharType="end"/>
      </w:r>
      <w:r>
        <w:rPr>
          <w:rFonts w:hint="cs"/>
          <w:rtl/>
        </w:rPr>
        <w:t xml:space="preserve"> דפלוגתת רבה ואביי אינה במיגו במקום עדים, אלא האם ע"י מיגו מתרצינן את דבריו או לא, דבאמת עיקר המחלוקת היא בדין מיגו במקום עדים אי כדא"ל אביי לרבה, וביאר </w:t>
      </w:r>
      <w:r w:rsidRPr="00160D75">
        <w:rPr>
          <w:rStyle w:val="af9"/>
          <w:rFonts w:hint="cs"/>
          <w:rtl/>
        </w:rPr>
        <w:t>בחי' רבי נחום</w:t>
      </w:r>
      <w:r>
        <w:rPr>
          <w:rFonts w:hint="cs"/>
          <w:rtl/>
        </w:rPr>
        <w:t xml:space="preserve"> דלדעת אביי הטעם דלא מהני מיגו במקום עדים, הוא כיון דבכה"ד אין דין מיגו כלל.</w:t>
      </w:r>
    </w:p>
    <w:p w:rsidR="00C34249" w:rsidRPr="009B38E0" w:rsidRDefault="00C34249" w:rsidP="00C34249">
      <w:pPr>
        <w:pStyle w:val="1"/>
        <w:rPr>
          <w:rtl/>
        </w:rPr>
      </w:pPr>
      <w:r>
        <w:rPr>
          <w:rFonts w:hint="cs"/>
          <w:rtl/>
        </w:rPr>
        <w:t>ביאור הגרנ"פ ברבה דרק בהכחשה גמורה עדים אלימי ממיגו</w:t>
      </w:r>
    </w:p>
    <w:p w:rsidR="00C34249" w:rsidRDefault="00C34249" w:rsidP="00C34249">
      <w:pPr>
        <w:pStyle w:val="a3"/>
        <w:rPr>
          <w:rtl/>
        </w:rPr>
      </w:pPr>
      <w:bookmarkStart w:id="12739" w:name="_Toc61887936"/>
      <w:r>
        <w:rPr>
          <w:rFonts w:hint="cs"/>
          <w:rtl/>
        </w:rPr>
        <w:t>ביאור הגרנ"פ דלדעת רבה עדים אלימי ממיגו ובמתרץ דבריו לא חשיב דהמיגו נגד העדים</w:t>
      </w:r>
      <w:bookmarkEnd w:id="12739"/>
    </w:p>
    <w:p w:rsidR="00C34249" w:rsidRDefault="00C34249" w:rsidP="007E4E81">
      <w:pPr>
        <w:pStyle w:val="a0"/>
        <w:rPr>
          <w:rtl/>
        </w:rPr>
      </w:pPr>
      <w:r>
        <w:rPr>
          <w:rFonts w:hint="cs"/>
          <w:rtl/>
        </w:rPr>
        <w:t xml:space="preserve">ובדעת רבה ביאר </w:t>
      </w:r>
      <w:r w:rsidRPr="00160D75">
        <w:rPr>
          <w:rStyle w:val="af9"/>
          <w:rFonts w:hint="cs"/>
          <w:rtl/>
        </w:rPr>
        <w:t>בחי'</w:t>
      </w:r>
      <w:r>
        <w:rPr>
          <w:rFonts w:hint="cs"/>
          <w:rtl/>
        </w:rPr>
        <w:t xml:space="preserve"> </w:t>
      </w:r>
      <w:r w:rsidRPr="00160D75">
        <w:rPr>
          <w:rStyle w:val="af9"/>
          <w:rFonts w:hint="cs"/>
          <w:rtl/>
        </w:rPr>
        <w:t>רבי</w:t>
      </w:r>
      <w:r>
        <w:rPr>
          <w:rFonts w:hint="cs"/>
          <w:rtl/>
        </w:rPr>
        <w:t xml:space="preserve"> </w:t>
      </w:r>
      <w:r w:rsidRPr="00160D75">
        <w:rPr>
          <w:rStyle w:val="af9"/>
          <w:rFonts w:hint="cs"/>
          <w:rtl/>
        </w:rPr>
        <w:t>נחום</w:t>
      </w:r>
      <w:r>
        <w:rPr>
          <w:rFonts w:hint="cs"/>
          <w:rtl/>
        </w:rPr>
        <w:t xml:space="preserve"> דלא דס"ל דהא דלא מהני מיגו להכחיש את העדים לגמרי, אינו כיון דהנאמנות של המיגו, היא בטענה, וכשהוכחשה טענתו ע"י העדים, ממילא לא שייך מיגו, </w:t>
      </w:r>
      <w:r w:rsidRPr="00B45ACF">
        <w:rPr>
          <w:rStyle w:val="afb"/>
          <w:rFonts w:hint="cs"/>
          <w:rtl/>
        </w:rPr>
        <w:t xml:space="preserve">[כדביאר </w:t>
      </w:r>
      <w:r w:rsidRPr="00B45ACF">
        <w:rPr>
          <w:rStyle w:val="affa"/>
          <w:rFonts w:hint="cs"/>
          <w:rtl/>
        </w:rPr>
        <w:t>בחי' רבי נחום</w:t>
      </w:r>
      <w:r w:rsidRPr="00B45ACF">
        <w:rPr>
          <w:rStyle w:val="afb"/>
          <w:rFonts w:hint="cs"/>
          <w:rtl/>
        </w:rPr>
        <w:t xml:space="preserve"> </w:t>
      </w:r>
      <w:r w:rsidRPr="00B45ACF">
        <w:rPr>
          <w:rStyle w:val="aff6"/>
          <w:rFonts w:hint="cs"/>
          <w:rtl/>
        </w:rPr>
        <w:t xml:space="preserve">(עי' אות </w:t>
      </w:r>
      <w:r w:rsidRPr="00B45ACF">
        <w:rPr>
          <w:rStyle w:val="aff6"/>
          <w:rtl/>
        </w:rPr>
        <w:fldChar w:fldCharType="begin"/>
      </w:r>
      <w:r w:rsidRPr="00B45ACF">
        <w:rPr>
          <w:rStyle w:val="aff6"/>
          <w:rtl/>
        </w:rPr>
        <w:instrText xml:space="preserve"> </w:instrText>
      </w:r>
      <w:r w:rsidRPr="00B45ACF">
        <w:rPr>
          <w:rStyle w:val="aff6"/>
          <w:rFonts w:hint="cs"/>
        </w:rPr>
        <w:instrText>REF</w:instrText>
      </w:r>
      <w:r w:rsidRPr="00B45ACF">
        <w:rPr>
          <w:rStyle w:val="aff6"/>
          <w:rFonts w:hint="cs"/>
          <w:rtl/>
        </w:rPr>
        <w:instrText xml:space="preserve"> _</w:instrText>
      </w:r>
      <w:r w:rsidRPr="00B45ACF">
        <w:rPr>
          <w:rStyle w:val="aff6"/>
          <w:rFonts w:hint="cs"/>
        </w:rPr>
        <w:instrText>Ref61887235 \r \h</w:instrText>
      </w:r>
      <w:r w:rsidRPr="00B45ACF">
        <w:rPr>
          <w:rStyle w:val="aff6"/>
          <w:rtl/>
        </w:rPr>
        <w:instrText xml:space="preserve"> </w:instrText>
      </w:r>
      <w:r w:rsidRPr="00B45ACF">
        <w:rPr>
          <w:rStyle w:val="aff6"/>
          <w:rtl/>
        </w:rPr>
      </w:r>
      <w:r w:rsidRPr="00B45ACF">
        <w:rPr>
          <w:rStyle w:val="aff6"/>
          <w:rtl/>
        </w:rPr>
        <w:fldChar w:fldCharType="separate"/>
      </w:r>
      <w:r w:rsidR="00265073">
        <w:rPr>
          <w:rStyle w:val="aff6"/>
          <w:cs/>
        </w:rPr>
        <w:t>‎</w:t>
      </w:r>
      <w:r w:rsidR="00265073">
        <w:rPr>
          <w:rStyle w:val="aff6"/>
          <w:rtl/>
        </w:rPr>
        <w:t>פ)</w:t>
      </w:r>
      <w:r w:rsidRPr="00B45ACF">
        <w:rPr>
          <w:rStyle w:val="aff6"/>
          <w:rtl/>
        </w:rPr>
        <w:fldChar w:fldCharType="end"/>
      </w:r>
      <w:r w:rsidRPr="00B45ACF">
        <w:rPr>
          <w:rStyle w:val="afb"/>
          <w:rFonts w:hint="cs"/>
          <w:rtl/>
        </w:rPr>
        <w:t xml:space="preserve"> בדעת אביי], </w:t>
      </w:r>
      <w:r>
        <w:rPr>
          <w:rFonts w:hint="cs"/>
          <w:rtl/>
        </w:rPr>
        <w:t>אלא דמיגו לא מהני להכחיש את העדים, כיון שהנאמנות של העדים אלימא מהנאמנות של המיגו, ולכן ס"ל לרבה דבמקום שאפשר להאמין למיגו ולתרץ את דבריו שלא תסתור טענתו לדברי העדים, הוא נאמן במיגו, ולא חשיב כנגד העדים.</w:t>
      </w:r>
    </w:p>
    <w:p w:rsidR="00C34249" w:rsidRPr="00C30B4C" w:rsidRDefault="00C34249" w:rsidP="00C34249">
      <w:pPr>
        <w:pStyle w:val="afe"/>
        <w:rPr>
          <w:rtl/>
        </w:rPr>
      </w:pPr>
      <w:r>
        <w:rPr>
          <w:rFonts w:hint="cs"/>
          <w:rtl/>
        </w:rPr>
        <w:t>בי' הגרנ"פ ברשב"ם דמכחיש העדים</w:t>
      </w:r>
    </w:p>
    <w:p w:rsidR="00C34249" w:rsidRDefault="00C34249" w:rsidP="00C34249">
      <w:pPr>
        <w:pStyle w:val="1"/>
        <w:rPr>
          <w:rtl/>
        </w:rPr>
      </w:pPr>
      <w:bookmarkStart w:id="12740" w:name="_Toc61811687"/>
      <w:bookmarkStart w:id="12741" w:name="_Toc61815373"/>
      <w:bookmarkStart w:id="12742" w:name="_Toc61861450"/>
      <w:bookmarkStart w:id="12743" w:name="_Toc61867440"/>
      <w:bookmarkStart w:id="12744" w:name="_Toc61867546"/>
      <w:bookmarkStart w:id="12745" w:name="_Toc61887937"/>
      <w:r>
        <w:rPr>
          <w:rFonts w:hint="cs"/>
          <w:rtl/>
        </w:rPr>
        <w:t xml:space="preserve">ביאור הגרנ"פ ברשב"ם </w:t>
      </w:r>
      <w:bookmarkEnd w:id="12740"/>
      <w:bookmarkEnd w:id="12741"/>
      <w:bookmarkEnd w:id="12742"/>
      <w:bookmarkEnd w:id="12743"/>
      <w:bookmarkEnd w:id="12744"/>
      <w:r>
        <w:rPr>
          <w:rFonts w:hint="cs"/>
          <w:rtl/>
        </w:rPr>
        <w:t>דמיגו הוא אומדנא דהעדים משקרים</w:t>
      </w:r>
      <w:bookmarkEnd w:id="12745"/>
    </w:p>
    <w:p w:rsidR="00C34249" w:rsidRPr="00EE30FC" w:rsidRDefault="00C34249" w:rsidP="00C34249">
      <w:pPr>
        <w:pStyle w:val="a3"/>
        <w:rPr>
          <w:rtl/>
        </w:rPr>
      </w:pPr>
      <w:bookmarkStart w:id="12746" w:name="_Toc61887938"/>
      <w:r>
        <w:rPr>
          <w:rFonts w:hint="cs"/>
          <w:rtl/>
        </w:rPr>
        <w:t>קושית הגרנ"פ על הרשב"ם אמאי לר"ח מהני מיגו במק"ע דא"א לומר דמיגו אלים מעדים</w:t>
      </w:r>
      <w:bookmarkEnd w:id="12746"/>
    </w:p>
    <w:p w:rsidR="00C34249" w:rsidRDefault="00C34249" w:rsidP="007E4E81">
      <w:pPr>
        <w:pStyle w:val="a0"/>
        <w:rPr>
          <w:rtl/>
        </w:rPr>
      </w:pPr>
      <w:bookmarkStart w:id="12747" w:name="_Ref61887579"/>
      <w:r>
        <w:rPr>
          <w:rFonts w:hint="cs"/>
          <w:rtl/>
        </w:rPr>
        <w:t xml:space="preserve">במ"ש </w:t>
      </w:r>
      <w:r w:rsidRPr="00160D75">
        <w:rPr>
          <w:rStyle w:val="af9"/>
          <w:rFonts w:hint="cs"/>
          <w:rtl/>
        </w:rPr>
        <w:t>הרשב"ם לקמן</w:t>
      </w:r>
      <w:r>
        <w:rPr>
          <w:rFonts w:hint="cs"/>
          <w:rtl/>
        </w:rPr>
        <w:t xml:space="preserve"> </w:t>
      </w:r>
      <w:r w:rsidRPr="00061EB8">
        <w:rPr>
          <w:rStyle w:val="af7"/>
          <w:rFonts w:eastAsia="Guttman Hodes" w:hint="cs"/>
          <w:rtl/>
        </w:rPr>
        <w:t xml:space="preserve">(עי' אות </w:t>
      </w:r>
      <w:r w:rsidRPr="00061EB8">
        <w:rPr>
          <w:rStyle w:val="af7"/>
          <w:rFonts w:eastAsia="Guttman Hodes"/>
          <w:rtl/>
        </w:rPr>
        <w:fldChar w:fldCharType="begin"/>
      </w:r>
      <w:r w:rsidRPr="00061EB8">
        <w:rPr>
          <w:rStyle w:val="af7"/>
          <w:rFonts w:eastAsia="Guttman Hodes"/>
          <w:rtl/>
        </w:rPr>
        <w:instrText xml:space="preserve"> </w:instrText>
      </w:r>
      <w:r w:rsidRPr="00061EB8">
        <w:rPr>
          <w:rStyle w:val="af7"/>
          <w:rFonts w:eastAsia="Guttman Hodes" w:hint="cs"/>
        </w:rPr>
        <w:instrText>REF</w:instrText>
      </w:r>
      <w:r w:rsidRPr="00061EB8">
        <w:rPr>
          <w:rStyle w:val="af7"/>
          <w:rFonts w:eastAsia="Guttman Hodes" w:hint="cs"/>
          <w:rtl/>
        </w:rPr>
        <w:instrText xml:space="preserve"> _</w:instrText>
      </w:r>
      <w:r w:rsidRPr="00061EB8">
        <w:rPr>
          <w:rStyle w:val="af7"/>
          <w:rFonts w:eastAsia="Guttman Hodes" w:hint="cs"/>
        </w:rPr>
        <w:instrText>Ref61812631 \r \h</w:instrText>
      </w:r>
      <w:r w:rsidRPr="00061EB8">
        <w:rPr>
          <w:rStyle w:val="af7"/>
          <w:rFonts w:eastAsia="Guttman Hodes"/>
          <w:rtl/>
        </w:rPr>
        <w:instrText xml:space="preserve"> </w:instrText>
      </w:r>
      <w:r w:rsidRPr="00061EB8">
        <w:rPr>
          <w:rStyle w:val="af7"/>
          <w:rFonts w:eastAsia="Guttman Hodes"/>
          <w:rtl/>
        </w:rPr>
      </w:r>
      <w:r w:rsidRPr="00061EB8">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061EB8">
        <w:rPr>
          <w:rStyle w:val="af7"/>
          <w:rFonts w:eastAsia="Guttman Hodes"/>
          <w:rtl/>
        </w:rPr>
        <w:fldChar w:fldCharType="end"/>
      </w:r>
      <w:r>
        <w:rPr>
          <w:rFonts w:hint="cs"/>
          <w:rtl/>
        </w:rPr>
        <w:t xml:space="preserve"> דטענת המערער היא שהייתה של אבותיו מעולם עד יום מותם, והם לא מכרו לאבותיו של המחזיק, </w:t>
      </w:r>
      <w:r>
        <w:rPr>
          <w:rFonts w:hint="cs"/>
          <w:rtl/>
        </w:rPr>
        <w:lastRenderedPageBreak/>
        <w:t xml:space="preserve">וס"ל לרב חסדא דנאמן אעפ"י שהוא מכחיש את העדים, כתב </w:t>
      </w:r>
      <w:r w:rsidRPr="00160D75">
        <w:rPr>
          <w:rStyle w:val="af9"/>
          <w:rFonts w:hint="cs"/>
          <w:rtl/>
        </w:rPr>
        <w:t>בחי' רבי נחום</w:t>
      </w:r>
      <w:r>
        <w:rPr>
          <w:rFonts w:hint="cs"/>
          <w:rtl/>
        </w:rPr>
        <w:t xml:space="preserve"> </w:t>
      </w:r>
      <w:r w:rsidRPr="00A758BE">
        <w:rPr>
          <w:rStyle w:val="af7"/>
          <w:rFonts w:eastAsia="Guttman Hodes" w:hint="cs"/>
          <w:rtl/>
        </w:rPr>
        <w:t>(או' פ"ג ד"ה והנה כל)</w:t>
      </w:r>
      <w:r>
        <w:rPr>
          <w:rFonts w:hint="cs"/>
          <w:rtl/>
        </w:rPr>
        <w:t xml:space="preserve"> דמבואר </w:t>
      </w:r>
      <w:r w:rsidRPr="00160D75">
        <w:rPr>
          <w:rStyle w:val="af9"/>
          <w:rFonts w:hint="cs"/>
          <w:rtl/>
        </w:rPr>
        <w:t>דהרשב"ם</w:t>
      </w:r>
      <w:r>
        <w:rPr>
          <w:rFonts w:hint="cs"/>
          <w:rtl/>
        </w:rPr>
        <w:t xml:space="preserve"> פליג על </w:t>
      </w:r>
      <w:r w:rsidRPr="00160D75">
        <w:rPr>
          <w:rStyle w:val="af9"/>
          <w:rFonts w:hint="cs"/>
          <w:rtl/>
        </w:rPr>
        <w:t>הרמב"ן</w:t>
      </w:r>
      <w:r>
        <w:rPr>
          <w:rFonts w:hint="cs"/>
          <w:rtl/>
        </w:rPr>
        <w:t xml:space="preserve"> </w:t>
      </w:r>
      <w:r w:rsidRPr="004C7683">
        <w:rPr>
          <w:rStyle w:val="af7"/>
          <w:rFonts w:eastAsia="Guttman Hodes" w:hint="cs"/>
          <w:rtl/>
        </w:rPr>
        <w:t xml:space="preserve">(עי' אות </w:t>
      </w:r>
      <w:r w:rsidRPr="004C7683">
        <w:rPr>
          <w:rStyle w:val="af7"/>
          <w:rFonts w:eastAsia="Guttman Hodes"/>
          <w:rtl/>
        </w:rPr>
        <w:fldChar w:fldCharType="begin"/>
      </w:r>
      <w:r w:rsidRPr="004C7683">
        <w:rPr>
          <w:rStyle w:val="af7"/>
          <w:rFonts w:eastAsia="Guttman Hodes"/>
          <w:rtl/>
        </w:rPr>
        <w:instrText xml:space="preserve"> </w:instrText>
      </w:r>
      <w:r w:rsidRPr="004C7683">
        <w:rPr>
          <w:rStyle w:val="af7"/>
          <w:rFonts w:eastAsia="Guttman Hodes" w:hint="cs"/>
        </w:rPr>
        <w:instrText>REF</w:instrText>
      </w:r>
      <w:r w:rsidRPr="004C7683">
        <w:rPr>
          <w:rStyle w:val="af7"/>
          <w:rFonts w:eastAsia="Guttman Hodes" w:hint="cs"/>
          <w:rtl/>
        </w:rPr>
        <w:instrText xml:space="preserve"> _</w:instrText>
      </w:r>
      <w:r w:rsidRPr="004C7683">
        <w:rPr>
          <w:rStyle w:val="af7"/>
          <w:rFonts w:eastAsia="Guttman Hodes" w:hint="cs"/>
        </w:rPr>
        <w:instrText>Ref61851387 \r \h</w:instrText>
      </w:r>
      <w:r w:rsidRPr="004C7683">
        <w:rPr>
          <w:rStyle w:val="af7"/>
          <w:rFonts w:eastAsia="Guttman Hodes"/>
          <w:rtl/>
        </w:rPr>
        <w:instrText xml:space="preserve"> </w:instrText>
      </w:r>
      <w:r w:rsidRPr="004C7683">
        <w:rPr>
          <w:rStyle w:val="af7"/>
          <w:rFonts w:eastAsia="Guttman Hodes"/>
          <w:rtl/>
        </w:rPr>
      </w:r>
      <w:r w:rsidRPr="004C7683">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4C7683">
        <w:rPr>
          <w:rStyle w:val="af7"/>
          <w:rFonts w:eastAsia="Guttman Hodes"/>
          <w:rtl/>
        </w:rPr>
        <w:fldChar w:fldCharType="end"/>
      </w:r>
      <w:r>
        <w:rPr>
          <w:rStyle w:val="af9"/>
          <w:rFonts w:hint="cs"/>
          <w:rtl/>
        </w:rPr>
        <w:t xml:space="preserve"> </w:t>
      </w:r>
      <w:r w:rsidRPr="00160D75">
        <w:rPr>
          <w:rStyle w:val="af9"/>
          <w:rFonts w:hint="cs"/>
          <w:rtl/>
        </w:rPr>
        <w:t>ורבינו</w:t>
      </w:r>
      <w:r>
        <w:rPr>
          <w:rFonts w:hint="cs"/>
          <w:rtl/>
        </w:rPr>
        <w:t xml:space="preserve"> </w:t>
      </w:r>
      <w:r w:rsidRPr="00160D75">
        <w:rPr>
          <w:rStyle w:val="af9"/>
          <w:rFonts w:hint="cs"/>
          <w:rtl/>
        </w:rPr>
        <w:t>יונה</w:t>
      </w:r>
      <w:r>
        <w:rPr>
          <w:rFonts w:hint="cs"/>
          <w:rtl/>
        </w:rPr>
        <w:t xml:space="preserve"> </w:t>
      </w:r>
      <w:r w:rsidRPr="00160D75">
        <w:rPr>
          <w:rStyle w:val="af9"/>
          <w:rFonts w:hint="cs"/>
          <w:rtl/>
        </w:rPr>
        <w:t>והרשב"א</w:t>
      </w:r>
      <w:r>
        <w:rPr>
          <w:rFonts w:hint="cs"/>
          <w:rtl/>
        </w:rPr>
        <w:t xml:space="preserve"> </w:t>
      </w:r>
      <w:r w:rsidRPr="00273687">
        <w:rPr>
          <w:rStyle w:val="af7"/>
          <w:rFonts w:eastAsia="Guttman Hodes" w:hint="cs"/>
          <w:rtl/>
        </w:rPr>
        <w:t xml:space="preserve">(עי' אות </w:t>
      </w:r>
      <w:r w:rsidRPr="00273687">
        <w:rPr>
          <w:rStyle w:val="af7"/>
          <w:rFonts w:eastAsia="Guttman Hodes"/>
          <w:rtl/>
        </w:rPr>
        <w:fldChar w:fldCharType="begin"/>
      </w:r>
      <w:r w:rsidRPr="00273687">
        <w:rPr>
          <w:rStyle w:val="af7"/>
          <w:rFonts w:eastAsia="Guttman Hodes"/>
          <w:rtl/>
        </w:rPr>
        <w:instrText xml:space="preserve"> </w:instrText>
      </w:r>
      <w:r w:rsidRPr="00273687">
        <w:rPr>
          <w:rStyle w:val="af7"/>
          <w:rFonts w:eastAsia="Guttman Hodes" w:hint="cs"/>
        </w:rPr>
        <w:instrText>REF</w:instrText>
      </w:r>
      <w:r w:rsidRPr="00273687">
        <w:rPr>
          <w:rStyle w:val="af7"/>
          <w:rFonts w:eastAsia="Guttman Hodes" w:hint="cs"/>
          <w:rtl/>
        </w:rPr>
        <w:instrText xml:space="preserve"> _</w:instrText>
      </w:r>
      <w:r w:rsidRPr="00273687">
        <w:rPr>
          <w:rStyle w:val="af7"/>
          <w:rFonts w:eastAsia="Guttman Hodes" w:hint="cs"/>
        </w:rPr>
        <w:instrText>Ref61866447 \r \h</w:instrText>
      </w:r>
      <w:r w:rsidRPr="00273687">
        <w:rPr>
          <w:rStyle w:val="af7"/>
          <w:rFonts w:eastAsia="Guttman Hodes"/>
          <w:rtl/>
        </w:rPr>
        <w:instrText xml:space="preserve"> </w:instrText>
      </w:r>
      <w:r w:rsidRPr="00273687">
        <w:rPr>
          <w:rStyle w:val="af7"/>
          <w:rFonts w:eastAsia="Guttman Hodes"/>
          <w:rtl/>
        </w:rPr>
      </w:r>
      <w:r w:rsidRPr="00273687">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273687">
        <w:rPr>
          <w:rStyle w:val="af7"/>
          <w:rFonts w:eastAsia="Guttman Hodes"/>
          <w:rtl/>
        </w:rPr>
        <w:fldChar w:fldCharType="end"/>
      </w:r>
      <w:r>
        <w:rPr>
          <w:rFonts w:hint="cs"/>
          <w:rtl/>
        </w:rPr>
        <w:t xml:space="preserve"> וס"ל דלרב חסדא הוא נאמן במיגו אף שא"א לתרץ את דבריו, </w:t>
      </w:r>
      <w:r w:rsidRPr="008D6040">
        <w:rPr>
          <w:rStyle w:val="afb"/>
          <w:rFonts w:hint="cs"/>
          <w:rtl/>
        </w:rPr>
        <w:t xml:space="preserve">[וכדביאר </w:t>
      </w:r>
      <w:r w:rsidRPr="008D6040">
        <w:rPr>
          <w:rStyle w:val="affa"/>
          <w:rFonts w:hint="cs"/>
          <w:rtl/>
        </w:rPr>
        <w:t>המהרש"א</w:t>
      </w:r>
      <w:r w:rsidRPr="008D6040">
        <w:rPr>
          <w:rStyle w:val="afb"/>
          <w:rFonts w:hint="cs"/>
          <w:rtl/>
        </w:rPr>
        <w:t xml:space="preserve"> </w:t>
      </w:r>
      <w:r w:rsidRPr="007E22AE">
        <w:rPr>
          <w:rStyle w:val="aff6"/>
          <w:rFonts w:hint="cs"/>
          <w:rtl/>
        </w:rPr>
        <w:t>(עי' אות</w:t>
      </w:r>
      <w:r w:rsidRPr="008D6040">
        <w:rPr>
          <w:rStyle w:val="afb"/>
          <w:rFonts w:hint="cs"/>
          <w:rtl/>
        </w:rPr>
        <w:t xml:space="preserve"> </w:t>
      </w:r>
      <w:r w:rsidRPr="007E22AE">
        <w:rPr>
          <w:rStyle w:val="aff6"/>
          <w:rtl/>
        </w:rPr>
        <w:fldChar w:fldCharType="begin"/>
      </w:r>
      <w:r w:rsidRPr="007E22AE">
        <w:rPr>
          <w:rStyle w:val="aff6"/>
          <w:rtl/>
        </w:rPr>
        <w:instrText xml:space="preserve"> </w:instrText>
      </w:r>
      <w:r w:rsidRPr="007E22AE">
        <w:rPr>
          <w:rStyle w:val="aff6"/>
          <w:rFonts w:hint="cs"/>
        </w:rPr>
        <w:instrText>REF</w:instrText>
      </w:r>
      <w:r w:rsidRPr="007E22AE">
        <w:rPr>
          <w:rStyle w:val="aff6"/>
          <w:rFonts w:hint="cs"/>
          <w:rtl/>
        </w:rPr>
        <w:instrText xml:space="preserve"> _</w:instrText>
      </w:r>
      <w:r w:rsidRPr="007E22AE">
        <w:rPr>
          <w:rStyle w:val="aff6"/>
          <w:rFonts w:hint="cs"/>
        </w:rPr>
        <w:instrText>Ref61812662 \r \h</w:instrText>
      </w:r>
      <w:r w:rsidRPr="007E22AE">
        <w:rPr>
          <w:rStyle w:val="aff6"/>
          <w:rtl/>
        </w:rPr>
        <w:instrText xml:space="preserve"> </w:instrText>
      </w:r>
      <w:r w:rsidRPr="007E22AE">
        <w:rPr>
          <w:rStyle w:val="aff6"/>
          <w:rtl/>
        </w:rPr>
      </w:r>
      <w:r w:rsidRPr="007E22AE">
        <w:rPr>
          <w:rStyle w:val="aff6"/>
          <w:rtl/>
        </w:rPr>
        <w:fldChar w:fldCharType="separate"/>
      </w:r>
      <w:r w:rsidR="00265073">
        <w:rPr>
          <w:rStyle w:val="aff6"/>
          <w:cs/>
        </w:rPr>
        <w:t>‎</w:t>
      </w:r>
      <w:r w:rsidR="00265073">
        <w:rPr>
          <w:rStyle w:val="aff6"/>
          <w:rtl/>
        </w:rPr>
        <w:t>ה)</w:t>
      </w:r>
      <w:r w:rsidRPr="007E22AE">
        <w:rPr>
          <w:rStyle w:val="aff6"/>
          <w:rtl/>
        </w:rPr>
        <w:fldChar w:fldCharType="end"/>
      </w:r>
      <w:r w:rsidRPr="008D6040">
        <w:rPr>
          <w:rStyle w:val="afb"/>
          <w:rFonts w:hint="cs"/>
          <w:rtl/>
        </w:rPr>
        <w:t>],</w:t>
      </w:r>
      <w:r>
        <w:rPr>
          <w:rFonts w:hint="cs"/>
          <w:rtl/>
        </w:rPr>
        <w:t xml:space="preserve"> וא"כ מוכח דלרבה ורב חסדא מיגו עדיף מעדים, אך כתב </w:t>
      </w:r>
      <w:r w:rsidRPr="0003102F">
        <w:rPr>
          <w:rStyle w:val="af9"/>
          <w:rFonts w:hint="cs"/>
          <w:rtl/>
        </w:rPr>
        <w:t>בחי' רבי נחום</w:t>
      </w:r>
      <w:r w:rsidRPr="00A758BE">
        <w:rPr>
          <w:rStyle w:val="af7"/>
          <w:rFonts w:eastAsia="Guttman Hodes" w:hint="cs"/>
          <w:b/>
          <w:bCs/>
          <w:rtl/>
        </w:rPr>
        <w:t xml:space="preserve"> </w:t>
      </w:r>
      <w:r w:rsidRPr="00A758BE">
        <w:rPr>
          <w:rStyle w:val="af7"/>
          <w:rFonts w:eastAsia="Guttman Hodes" w:hint="cs"/>
          <w:rtl/>
        </w:rPr>
        <w:t xml:space="preserve">(או' פ"ג ד"ה ואשר) </w:t>
      </w:r>
      <w:r>
        <w:rPr>
          <w:rFonts w:hint="cs"/>
          <w:rtl/>
        </w:rPr>
        <w:t xml:space="preserve">דא"א לומר </w:t>
      </w:r>
      <w:r w:rsidRPr="0003102F">
        <w:rPr>
          <w:rStyle w:val="af9"/>
          <w:rFonts w:hint="cs"/>
          <w:rtl/>
        </w:rPr>
        <w:t>דלרשב"ם</w:t>
      </w:r>
      <w:r>
        <w:rPr>
          <w:rFonts w:hint="cs"/>
          <w:rtl/>
        </w:rPr>
        <w:t xml:space="preserve"> ס"ל לרבה ורב חסדא דעדים אלימי ממיגו.</w:t>
      </w:r>
      <w:bookmarkEnd w:id="12747"/>
    </w:p>
    <w:p w:rsidR="00C34249" w:rsidRPr="00EF7682" w:rsidRDefault="00C34249" w:rsidP="00C34249">
      <w:pPr>
        <w:pStyle w:val="a3"/>
        <w:rPr>
          <w:rtl/>
        </w:rPr>
      </w:pPr>
      <w:bookmarkStart w:id="12748" w:name="_Toc61887939"/>
      <w:r>
        <w:rPr>
          <w:rFonts w:hint="cs"/>
          <w:rtl/>
        </w:rPr>
        <w:t>ביאור הגרנ"פ דנאמנות עדים מגזיה"כ וכשיש סברא ואומדנא ממיגו אמרינן דהם משקרים</w:t>
      </w:r>
      <w:bookmarkEnd w:id="12748"/>
    </w:p>
    <w:p w:rsidR="00C34249" w:rsidRPr="008D6040" w:rsidRDefault="00C34249" w:rsidP="007E4E81">
      <w:pPr>
        <w:pStyle w:val="a0"/>
        <w:rPr>
          <w:rStyle w:val="afb"/>
          <w:rtl/>
        </w:rPr>
      </w:pPr>
      <w:bookmarkStart w:id="12749" w:name="_Ref61887767"/>
      <w:r>
        <w:rPr>
          <w:rFonts w:hint="cs"/>
          <w:rtl/>
        </w:rPr>
        <w:t xml:space="preserve">אלא ביאר </w:t>
      </w:r>
      <w:r w:rsidRPr="0003102F">
        <w:rPr>
          <w:rStyle w:val="af9"/>
          <w:rFonts w:hint="cs"/>
          <w:rtl/>
        </w:rPr>
        <w:t>בחי'</w:t>
      </w:r>
      <w:r>
        <w:rPr>
          <w:rFonts w:hint="cs"/>
          <w:rtl/>
        </w:rPr>
        <w:t xml:space="preserve"> </w:t>
      </w:r>
      <w:r w:rsidRPr="0003102F">
        <w:rPr>
          <w:rStyle w:val="af9"/>
          <w:rFonts w:hint="cs"/>
          <w:rtl/>
        </w:rPr>
        <w:t>רבי</w:t>
      </w:r>
      <w:r>
        <w:rPr>
          <w:rFonts w:hint="cs"/>
          <w:rtl/>
        </w:rPr>
        <w:t xml:space="preserve"> </w:t>
      </w:r>
      <w:r w:rsidRPr="0003102F">
        <w:rPr>
          <w:rStyle w:val="af9"/>
          <w:rFonts w:hint="cs"/>
          <w:rtl/>
        </w:rPr>
        <w:t>נחום</w:t>
      </w:r>
      <w:r>
        <w:rPr>
          <w:rFonts w:hint="cs"/>
          <w:rtl/>
        </w:rPr>
        <w:t xml:space="preserve"> דס"ל דכיון דהנאמנות של העדים, אינה מסברא אלא הוא גזיה"כ, ואילו הנאמנות של המיגו היא מסברא ואומדנא, א"כ במקום שיש סברא כמיגו, אמרינן שהעדים משקרים, ואזלינן בתר הנאמנות של המיגו. </w:t>
      </w:r>
      <w:r w:rsidRPr="008D6040">
        <w:rPr>
          <w:rStyle w:val="afb"/>
          <w:rFonts w:hint="cs"/>
          <w:rtl/>
        </w:rPr>
        <w:t xml:space="preserve">[כדמצינו בגמ' בכתובות </w:t>
      </w:r>
      <w:r w:rsidRPr="008D6040">
        <w:rPr>
          <w:rStyle w:val="aff6"/>
          <w:rFonts w:hint="cs"/>
          <w:rtl/>
        </w:rPr>
        <w:t>(טז:)</w:t>
      </w:r>
      <w:r w:rsidRPr="008D6040">
        <w:rPr>
          <w:rStyle w:val="afb"/>
          <w:rFonts w:hint="cs"/>
          <w:rtl/>
        </w:rPr>
        <w:t xml:space="preserve"> דאי לכל בתולה יש קול, א"כ כל שאין כל ויש עדים דנשאת בתולה, אמרינן שהם משקרים].</w:t>
      </w:r>
      <w:bookmarkEnd w:id="12749"/>
    </w:p>
    <w:p w:rsidR="00C34249" w:rsidRDefault="00C34249" w:rsidP="00C34249">
      <w:pPr>
        <w:pStyle w:val="a3"/>
        <w:rPr>
          <w:rtl/>
        </w:rPr>
      </w:pPr>
      <w:bookmarkStart w:id="12750" w:name="_Toc61887940"/>
      <w:r>
        <w:rPr>
          <w:rFonts w:hint="cs"/>
          <w:rtl/>
        </w:rPr>
        <w:t>דברי הגרנ"פ דמהא דהוצרכו הראשונים להוכיח דל"מ מיגו במק"ע משמע דמסברא מהני</w:t>
      </w:r>
      <w:bookmarkEnd w:id="12750"/>
    </w:p>
    <w:p w:rsidR="00C34249" w:rsidRDefault="00C34249" w:rsidP="007E4E81">
      <w:pPr>
        <w:pStyle w:val="a0"/>
        <w:rPr>
          <w:rtl/>
        </w:rPr>
      </w:pPr>
      <w:r>
        <w:rPr>
          <w:rFonts w:hint="cs"/>
          <w:rtl/>
        </w:rPr>
        <w:t xml:space="preserve">וכתב </w:t>
      </w:r>
      <w:r w:rsidRPr="0003102F">
        <w:rPr>
          <w:rStyle w:val="af9"/>
          <w:rFonts w:hint="cs"/>
          <w:rtl/>
        </w:rPr>
        <w:t>בחי'</w:t>
      </w:r>
      <w:r>
        <w:rPr>
          <w:rFonts w:hint="cs"/>
          <w:rtl/>
        </w:rPr>
        <w:t xml:space="preserve"> רבי </w:t>
      </w:r>
      <w:r w:rsidRPr="0003102F">
        <w:rPr>
          <w:rStyle w:val="af9"/>
          <w:rFonts w:hint="cs"/>
          <w:rtl/>
        </w:rPr>
        <w:t>נחום</w:t>
      </w:r>
      <w:r>
        <w:rPr>
          <w:rFonts w:hint="cs"/>
          <w:rtl/>
        </w:rPr>
        <w:t xml:space="preserve"> דמהא דהביאו </w:t>
      </w:r>
      <w:r w:rsidRPr="0003102F">
        <w:rPr>
          <w:rStyle w:val="af9"/>
          <w:rFonts w:hint="cs"/>
          <w:rtl/>
        </w:rPr>
        <w:t>הרמב"</w:t>
      </w:r>
      <w:r>
        <w:rPr>
          <w:rFonts w:hint="cs"/>
          <w:rtl/>
        </w:rPr>
        <w:t xml:space="preserve">ן </w:t>
      </w:r>
      <w:r w:rsidRPr="008D6040">
        <w:rPr>
          <w:rStyle w:val="af7"/>
          <w:rFonts w:eastAsia="Guttman Hodes" w:hint="cs"/>
          <w:rtl/>
        </w:rPr>
        <w:t xml:space="preserve">(עי' אות </w:t>
      </w:r>
      <w:r w:rsidRPr="008D6040">
        <w:rPr>
          <w:rStyle w:val="af7"/>
          <w:rFonts w:eastAsia="Guttman Hodes"/>
          <w:rtl/>
        </w:rPr>
        <w:fldChar w:fldCharType="begin"/>
      </w:r>
      <w:r w:rsidRPr="008D6040">
        <w:rPr>
          <w:rStyle w:val="af7"/>
          <w:rFonts w:eastAsia="Guttman Hodes"/>
          <w:rtl/>
        </w:rPr>
        <w:instrText xml:space="preserve"> </w:instrText>
      </w:r>
      <w:r w:rsidRPr="008D6040">
        <w:rPr>
          <w:rStyle w:val="af7"/>
          <w:rFonts w:eastAsia="Guttman Hodes" w:hint="cs"/>
        </w:rPr>
        <w:instrText>REF</w:instrText>
      </w:r>
      <w:r w:rsidRPr="008D6040">
        <w:rPr>
          <w:rStyle w:val="af7"/>
          <w:rFonts w:eastAsia="Guttman Hodes" w:hint="cs"/>
          <w:rtl/>
        </w:rPr>
        <w:instrText xml:space="preserve"> _</w:instrText>
      </w:r>
      <w:r w:rsidRPr="008D6040">
        <w:rPr>
          <w:rStyle w:val="af7"/>
          <w:rFonts w:eastAsia="Guttman Hodes" w:hint="cs"/>
        </w:rPr>
        <w:instrText>Ref61771465 \r \h</w:instrText>
      </w:r>
      <w:r w:rsidRPr="008D6040">
        <w:rPr>
          <w:rStyle w:val="af7"/>
          <w:rFonts w:eastAsia="Guttman Hodes"/>
          <w:rtl/>
        </w:rPr>
        <w:instrText xml:space="preserve"> </w:instrText>
      </w:r>
      <w:r w:rsidRPr="008D6040">
        <w:rPr>
          <w:rStyle w:val="af7"/>
          <w:rFonts w:eastAsia="Guttman Hodes"/>
          <w:rtl/>
        </w:rPr>
      </w:r>
      <w:r w:rsidRPr="008D6040">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8D6040">
        <w:rPr>
          <w:rStyle w:val="af7"/>
          <w:rFonts w:eastAsia="Guttman Hodes"/>
          <w:rtl/>
        </w:rPr>
        <w:fldChar w:fldCharType="end"/>
      </w:r>
      <w:r w:rsidRPr="0003102F">
        <w:rPr>
          <w:rStyle w:val="af9"/>
          <w:rFonts w:hint="cs"/>
          <w:rtl/>
        </w:rPr>
        <w:t xml:space="preserve"> ורבינו יונה והרשב"א </w:t>
      </w:r>
      <w:r w:rsidRPr="008D6040">
        <w:rPr>
          <w:rStyle w:val="af7"/>
          <w:rFonts w:eastAsia="Guttman Hodes" w:hint="cs"/>
          <w:rtl/>
        </w:rPr>
        <w:t xml:space="preserve">(עי' אות </w:t>
      </w:r>
      <w:r w:rsidRPr="008D6040">
        <w:rPr>
          <w:rStyle w:val="af7"/>
          <w:rFonts w:eastAsia="Guttman Hodes"/>
          <w:rtl/>
        </w:rPr>
        <w:fldChar w:fldCharType="begin"/>
      </w:r>
      <w:r w:rsidRPr="008D6040">
        <w:rPr>
          <w:rStyle w:val="af7"/>
          <w:rFonts w:eastAsia="Guttman Hodes"/>
          <w:rtl/>
        </w:rPr>
        <w:instrText xml:space="preserve"> </w:instrText>
      </w:r>
      <w:r w:rsidRPr="008D6040">
        <w:rPr>
          <w:rStyle w:val="af7"/>
          <w:rFonts w:eastAsia="Guttman Hodes" w:hint="cs"/>
        </w:rPr>
        <w:instrText>REF</w:instrText>
      </w:r>
      <w:r w:rsidRPr="008D6040">
        <w:rPr>
          <w:rStyle w:val="af7"/>
          <w:rFonts w:eastAsia="Guttman Hodes" w:hint="cs"/>
          <w:rtl/>
        </w:rPr>
        <w:instrText xml:space="preserve"> _</w:instrText>
      </w:r>
      <w:r w:rsidRPr="008D6040">
        <w:rPr>
          <w:rStyle w:val="af7"/>
          <w:rFonts w:eastAsia="Guttman Hodes" w:hint="cs"/>
        </w:rPr>
        <w:instrText>Ref61865688 \r \h</w:instrText>
      </w:r>
      <w:r w:rsidRPr="008D6040">
        <w:rPr>
          <w:rStyle w:val="af7"/>
          <w:rFonts w:eastAsia="Guttman Hodes"/>
          <w:rtl/>
        </w:rPr>
        <w:instrText xml:space="preserve"> </w:instrText>
      </w:r>
      <w:r w:rsidRPr="008D6040">
        <w:rPr>
          <w:rStyle w:val="af7"/>
          <w:rFonts w:eastAsia="Guttman Hodes"/>
          <w:rtl/>
        </w:rPr>
      </w:r>
      <w:r w:rsidRPr="008D6040">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8D6040">
        <w:rPr>
          <w:rStyle w:val="af7"/>
          <w:rFonts w:eastAsia="Guttman Hodes"/>
          <w:rtl/>
        </w:rPr>
        <w:fldChar w:fldCharType="end"/>
      </w:r>
      <w:r>
        <w:rPr>
          <w:rFonts w:hint="cs"/>
          <w:rtl/>
        </w:rPr>
        <w:t xml:space="preserve"> ראיות דלא אמרינן מיגו במקום עדים, ולא הקשו </w:t>
      </w:r>
      <w:r>
        <w:rPr>
          <w:rFonts w:hint="cs"/>
          <w:rtl/>
        </w:rPr>
        <w:t>דמסברא לא שייך שלמיגו יהיה נאמנות יותר מלעדים, משמע דמסברא מודו הראשונים דשייך להאמין למיגו דנאמנותו היא מסברא, אלא דהביאו ראיות דלא אמרינן כן.</w:t>
      </w:r>
    </w:p>
    <w:p w:rsidR="00C34249" w:rsidRDefault="00C34249" w:rsidP="00C34249">
      <w:pPr>
        <w:pStyle w:val="1"/>
        <w:rPr>
          <w:rtl/>
        </w:rPr>
      </w:pPr>
      <w:bookmarkStart w:id="12751" w:name="_Toc61887941"/>
      <w:r>
        <w:rPr>
          <w:rFonts w:hint="cs"/>
          <w:rtl/>
        </w:rPr>
        <w:t>ביאור הגר"ח שמואלביץ ברשב"ם דנאמנות המיגו על הממון</w:t>
      </w:r>
      <w:bookmarkEnd w:id="12751"/>
    </w:p>
    <w:p w:rsidR="00C34249" w:rsidRPr="001A0DE8" w:rsidRDefault="00C34249" w:rsidP="00C34249">
      <w:pPr>
        <w:pStyle w:val="a3"/>
        <w:rPr>
          <w:rtl/>
        </w:rPr>
      </w:pPr>
      <w:bookmarkStart w:id="12752" w:name="_Toc61887942"/>
      <w:r>
        <w:rPr>
          <w:rFonts w:hint="cs"/>
          <w:rtl/>
        </w:rPr>
        <w:t>ביאור הגר"ח שמואלביץ ברשב"ם דלרבה אף שהטענה הוכחשה מ"מ נאמן במיגו דהממון שלו</w:t>
      </w:r>
      <w:bookmarkEnd w:id="12752"/>
    </w:p>
    <w:p w:rsidR="00547756" w:rsidRDefault="00C34249" w:rsidP="007E4E81">
      <w:pPr>
        <w:pStyle w:val="a0"/>
        <w:rPr>
          <w:rtl/>
        </w:rPr>
        <w:sectPr w:rsidR="00547756" w:rsidSect="005049E2">
          <w:footerReference w:type="default" r:id="rId109"/>
          <w:type w:val="continuous"/>
          <w:pgSz w:w="11906" w:h="16838"/>
          <w:pgMar w:top="720" w:right="720" w:bottom="720" w:left="720" w:header="283" w:footer="283" w:gutter="0"/>
          <w:cols w:num="2" w:space="567"/>
          <w:titlePg/>
          <w:bidi/>
          <w:rtlGutter/>
          <w:docGrid w:linePitch="299"/>
        </w:sectPr>
      </w:pPr>
      <w:bookmarkStart w:id="12753" w:name="_Ref61887570"/>
      <w:r>
        <w:rPr>
          <w:rFonts w:hint="cs"/>
          <w:rtl/>
        </w:rPr>
        <w:t xml:space="preserve">ועוד הביא </w:t>
      </w:r>
      <w:r w:rsidRPr="00A758BE">
        <w:rPr>
          <w:rStyle w:val="af9"/>
          <w:rFonts w:hint="cs"/>
          <w:rtl/>
        </w:rPr>
        <w:t>בחי' רבי נחום</w:t>
      </w:r>
      <w:r>
        <w:rPr>
          <w:rFonts w:hint="cs"/>
          <w:rtl/>
        </w:rPr>
        <w:t xml:space="preserve"> </w:t>
      </w:r>
      <w:r w:rsidRPr="00A758BE">
        <w:rPr>
          <w:rStyle w:val="af7"/>
          <w:rFonts w:eastAsia="Guttman Hodes" w:hint="cs"/>
          <w:rtl/>
        </w:rPr>
        <w:t>(או' פ"ד)</w:t>
      </w:r>
      <w:r>
        <w:rPr>
          <w:rFonts w:hint="cs"/>
          <w:rtl/>
        </w:rPr>
        <w:t xml:space="preserve"> את דברי </w:t>
      </w:r>
      <w:r w:rsidRPr="00A758BE">
        <w:rPr>
          <w:rStyle w:val="af9"/>
          <w:rFonts w:hint="cs"/>
          <w:rtl/>
        </w:rPr>
        <w:t>הגר"ח שמואלביץ</w:t>
      </w:r>
      <w:r>
        <w:rPr>
          <w:rFonts w:hint="cs"/>
          <w:rtl/>
        </w:rPr>
        <w:t xml:space="preserve"> </w:t>
      </w:r>
      <w:r>
        <w:rPr>
          <w:rStyle w:val="af9"/>
          <w:rFonts w:hint="cs"/>
          <w:rtl/>
        </w:rPr>
        <w:t xml:space="preserve">בשערי חיים </w:t>
      </w:r>
      <w:r w:rsidRPr="00A336F2">
        <w:rPr>
          <w:rStyle w:val="af7"/>
          <w:rFonts w:eastAsia="Guttman Hodes" w:hint="cs"/>
          <w:rtl/>
        </w:rPr>
        <w:t xml:space="preserve">(כתובות סי' נ"ט או' ד') </w:t>
      </w:r>
      <w:r>
        <w:rPr>
          <w:rFonts w:hint="cs"/>
          <w:rtl/>
        </w:rPr>
        <w:t xml:space="preserve">דביאר בדעת </w:t>
      </w:r>
      <w:r w:rsidRPr="00A758BE">
        <w:rPr>
          <w:rStyle w:val="af9"/>
          <w:rFonts w:hint="cs"/>
          <w:rtl/>
        </w:rPr>
        <w:t>הרשב"ם לקמן</w:t>
      </w:r>
      <w:r>
        <w:rPr>
          <w:rFonts w:hint="cs"/>
          <w:rtl/>
        </w:rPr>
        <w:t xml:space="preserve"> </w:t>
      </w:r>
      <w:r w:rsidRPr="00490BDD">
        <w:rPr>
          <w:rStyle w:val="af7"/>
          <w:rFonts w:eastAsia="Guttman Hodes" w:hint="cs"/>
          <w:rtl/>
        </w:rPr>
        <w:t xml:space="preserve">(עי' אות </w:t>
      </w:r>
      <w:r w:rsidRPr="00490BDD">
        <w:rPr>
          <w:rStyle w:val="af7"/>
          <w:rFonts w:eastAsia="Guttman Hodes"/>
          <w:rtl/>
        </w:rPr>
        <w:fldChar w:fldCharType="begin"/>
      </w:r>
      <w:r w:rsidRPr="00490BDD">
        <w:rPr>
          <w:rStyle w:val="af7"/>
          <w:rFonts w:eastAsia="Guttman Hodes"/>
          <w:rtl/>
        </w:rPr>
        <w:instrText xml:space="preserve"> </w:instrText>
      </w:r>
      <w:r w:rsidRPr="00490BDD">
        <w:rPr>
          <w:rStyle w:val="af7"/>
          <w:rFonts w:eastAsia="Guttman Hodes" w:hint="cs"/>
        </w:rPr>
        <w:instrText>REF</w:instrText>
      </w:r>
      <w:r w:rsidRPr="00490BDD">
        <w:rPr>
          <w:rStyle w:val="af7"/>
          <w:rFonts w:eastAsia="Guttman Hodes" w:hint="cs"/>
          <w:rtl/>
        </w:rPr>
        <w:instrText xml:space="preserve"> _</w:instrText>
      </w:r>
      <w:r w:rsidRPr="00490BDD">
        <w:rPr>
          <w:rStyle w:val="af7"/>
          <w:rFonts w:eastAsia="Guttman Hodes" w:hint="cs"/>
        </w:rPr>
        <w:instrText>Ref61812631 \r \h</w:instrText>
      </w:r>
      <w:r w:rsidRPr="00490BDD">
        <w:rPr>
          <w:rStyle w:val="af7"/>
          <w:rFonts w:eastAsia="Guttman Hodes"/>
          <w:rtl/>
        </w:rPr>
        <w:instrText xml:space="preserve"> </w:instrText>
      </w:r>
      <w:r w:rsidRPr="00490BDD">
        <w:rPr>
          <w:rStyle w:val="af7"/>
          <w:rFonts w:eastAsia="Guttman Hodes"/>
          <w:rtl/>
        </w:rPr>
      </w:r>
      <w:r w:rsidRPr="00490BDD">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490BDD">
        <w:rPr>
          <w:rStyle w:val="af7"/>
          <w:rFonts w:eastAsia="Guttman Hodes"/>
          <w:rtl/>
        </w:rPr>
        <w:fldChar w:fldCharType="end"/>
      </w:r>
      <w:r w:rsidRPr="00490BDD">
        <w:rPr>
          <w:rStyle w:val="af7"/>
          <w:rFonts w:eastAsia="Guttman Hodes" w:hint="cs"/>
          <w:rtl/>
        </w:rPr>
        <w:t xml:space="preserve"> </w:t>
      </w:r>
      <w:r>
        <w:rPr>
          <w:rFonts w:hint="cs"/>
          <w:rtl/>
        </w:rPr>
        <w:t xml:space="preserve">דמיגו אינו נאמנות על סיפור הדברים שלו, אלא על עצם הממון, דכלול בטענתו שהממון הוא שלו, וא"כ אעפ"י דמודו רבה ורב חסדא דעדים אלימי ממיגו, מ"מ אפשר להאמין למיגו דהממון שלו מצד אחר, באופן שאינו סותר את העדים, עיי"ש </w:t>
      </w:r>
      <w:r>
        <w:rPr>
          <w:rStyle w:val="af9"/>
          <w:rFonts w:hint="cs"/>
          <w:rtl/>
        </w:rPr>
        <w:t xml:space="preserve">בשערי חיים </w:t>
      </w:r>
      <w:r>
        <w:rPr>
          <w:rFonts w:hint="cs"/>
          <w:rtl/>
        </w:rPr>
        <w:t xml:space="preserve">במה שהאריך בזה טובא, וכתב </w:t>
      </w:r>
      <w:r w:rsidRPr="00A758BE">
        <w:rPr>
          <w:rStyle w:val="af9"/>
          <w:rFonts w:hint="cs"/>
          <w:rtl/>
        </w:rPr>
        <w:t>בחי' רבי נחום</w:t>
      </w:r>
      <w:r>
        <w:rPr>
          <w:rFonts w:hint="cs"/>
          <w:rtl/>
        </w:rPr>
        <w:t xml:space="preserve"> דלפי"ז אביי ס"ל דבמקום עדים לא שייך דין מיגו כלל, כדביאר </w:t>
      </w:r>
      <w:r w:rsidRPr="00A758BE">
        <w:rPr>
          <w:rStyle w:val="af9"/>
          <w:rFonts w:hint="cs"/>
          <w:rtl/>
        </w:rPr>
        <w:t xml:space="preserve">בחי' רבי נחום </w:t>
      </w:r>
      <w:r w:rsidRPr="00490BDD">
        <w:rPr>
          <w:rStyle w:val="af7"/>
          <w:rFonts w:eastAsia="Guttman Hodes" w:hint="cs"/>
          <w:rtl/>
        </w:rPr>
        <w:t xml:space="preserve">(עי' אות </w:t>
      </w:r>
      <w:r w:rsidRPr="00490BDD">
        <w:rPr>
          <w:rStyle w:val="af7"/>
          <w:rFonts w:eastAsia="Guttman Hodes"/>
          <w:rtl/>
        </w:rPr>
        <w:fldChar w:fldCharType="begin"/>
      </w:r>
      <w:r w:rsidRPr="00490BDD">
        <w:rPr>
          <w:rStyle w:val="af7"/>
          <w:rFonts w:eastAsia="Guttman Hodes"/>
          <w:rtl/>
        </w:rPr>
        <w:instrText xml:space="preserve"> </w:instrText>
      </w:r>
      <w:r w:rsidRPr="00490BDD">
        <w:rPr>
          <w:rStyle w:val="af7"/>
          <w:rFonts w:eastAsia="Guttman Hodes"/>
        </w:rPr>
        <w:instrText>REF</w:instrText>
      </w:r>
      <w:r w:rsidRPr="00490BDD">
        <w:rPr>
          <w:rStyle w:val="af7"/>
          <w:rFonts w:eastAsia="Guttman Hodes"/>
          <w:rtl/>
        </w:rPr>
        <w:instrText xml:space="preserve"> _</w:instrText>
      </w:r>
      <w:r w:rsidRPr="00490BDD">
        <w:rPr>
          <w:rStyle w:val="af7"/>
          <w:rFonts w:eastAsia="Guttman Hodes"/>
        </w:rPr>
        <w:instrText>Ref61813007 \r \h</w:instrText>
      </w:r>
      <w:r w:rsidRPr="00490BDD">
        <w:rPr>
          <w:rStyle w:val="af7"/>
          <w:rFonts w:eastAsia="Guttman Hodes"/>
          <w:rtl/>
        </w:rPr>
        <w:instrText xml:space="preserve"> </w:instrText>
      </w:r>
      <w:r w:rsidRPr="00490BDD">
        <w:rPr>
          <w:rStyle w:val="af7"/>
          <w:rFonts w:eastAsia="Guttman Hodes"/>
          <w:rtl/>
        </w:rPr>
      </w:r>
      <w:r w:rsidRPr="00490BDD">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490BDD">
        <w:rPr>
          <w:rStyle w:val="af7"/>
          <w:rFonts w:eastAsia="Guttman Hodes"/>
          <w:rtl/>
        </w:rPr>
        <w:fldChar w:fldCharType="end"/>
      </w:r>
      <w:r>
        <w:rPr>
          <w:rFonts w:hint="cs"/>
          <w:rtl/>
        </w:rPr>
        <w:t>.</w:t>
      </w:r>
      <w:bookmarkEnd w:id="12753"/>
    </w:p>
    <w:p w:rsidR="00C34249" w:rsidRDefault="00C34249" w:rsidP="007E4E81">
      <w:pPr>
        <w:pStyle w:val="a0"/>
        <w:rPr>
          <w:rtl/>
        </w:rPr>
        <w:sectPr w:rsidR="00C34249" w:rsidSect="005049E2">
          <w:type w:val="continuous"/>
          <w:pgSz w:w="11906" w:h="16838"/>
          <w:pgMar w:top="720" w:right="720" w:bottom="720" w:left="720" w:header="283" w:footer="283" w:gutter="0"/>
          <w:cols w:num="2" w:space="567"/>
          <w:titlePg/>
          <w:bidi/>
          <w:rtlGutter/>
          <w:docGrid w:linePitch="299"/>
        </w:sectPr>
      </w:pPr>
    </w:p>
    <w:p w:rsidR="00EC445E" w:rsidRPr="006B75B8" w:rsidRDefault="00EC445E" w:rsidP="00EC445E">
      <w:pPr>
        <w:pStyle w:val="afd"/>
        <w:spacing w:before="0"/>
        <w:rPr>
          <w:rtl/>
        </w:rPr>
      </w:pPr>
      <w:bookmarkStart w:id="12754" w:name="_Toc61947152"/>
      <w:bookmarkStart w:id="12755" w:name="_Toc62074356"/>
      <w:bookmarkStart w:id="12756" w:name="_Toc62160795"/>
      <w:bookmarkStart w:id="12757" w:name="_Toc62385946"/>
      <w:bookmarkStart w:id="12758" w:name="_Toc62420062"/>
      <w:bookmarkStart w:id="12759" w:name="_Toc62452522"/>
      <w:bookmarkStart w:id="12760" w:name="_Toc62453793"/>
      <w:bookmarkStart w:id="12761" w:name="_Toc62485505"/>
      <w:bookmarkStart w:id="12762" w:name="_Toc66209221"/>
      <w:bookmarkStart w:id="12763" w:name="_Toc61947154"/>
      <w:bookmarkStart w:id="12764" w:name="_Toc62074358"/>
      <w:bookmarkStart w:id="12765" w:name="_Toc62160797"/>
      <w:bookmarkStart w:id="12766" w:name="_Toc62385948"/>
      <w:bookmarkStart w:id="12767" w:name="_Toc62420064"/>
      <w:bookmarkStart w:id="12768" w:name="_Toc62452524"/>
      <w:bookmarkStart w:id="12769" w:name="_Toc62453795"/>
      <w:bookmarkStart w:id="12770" w:name="_Toc62485507"/>
      <w:r w:rsidRPr="006B75B8">
        <w:rPr>
          <w:rFonts w:hint="cs"/>
          <w:rtl/>
        </w:rPr>
        <w:lastRenderedPageBreak/>
        <w:t>סימן י"ג</w:t>
      </w:r>
      <w:bookmarkEnd w:id="12754"/>
      <w:bookmarkEnd w:id="12755"/>
      <w:bookmarkEnd w:id="12756"/>
      <w:bookmarkEnd w:id="12757"/>
      <w:bookmarkEnd w:id="12758"/>
      <w:bookmarkEnd w:id="12759"/>
      <w:bookmarkEnd w:id="12760"/>
      <w:bookmarkEnd w:id="12761"/>
      <w:bookmarkEnd w:id="12762"/>
    </w:p>
    <w:p w:rsidR="00EC445E" w:rsidRPr="006B75B8" w:rsidRDefault="00EC445E" w:rsidP="00EC445E">
      <w:pPr>
        <w:pStyle w:val="afd"/>
        <w:spacing w:before="0"/>
        <w:rPr>
          <w:noProof/>
          <w:rtl/>
        </w:rPr>
      </w:pPr>
      <w:bookmarkStart w:id="12771" w:name="_Toc61947153"/>
      <w:bookmarkStart w:id="12772" w:name="_Toc62074357"/>
      <w:bookmarkStart w:id="12773" w:name="_Toc62160796"/>
      <w:bookmarkStart w:id="12774" w:name="_Toc62385947"/>
      <w:bookmarkStart w:id="12775" w:name="_Toc62420063"/>
      <w:bookmarkStart w:id="12776" w:name="_Toc62452523"/>
      <w:bookmarkStart w:id="12777" w:name="_Toc62453794"/>
      <w:bookmarkStart w:id="12778" w:name="_Toc62485506"/>
      <w:bookmarkStart w:id="12779" w:name="_Toc66209222"/>
      <w:r w:rsidRPr="006B75B8">
        <w:rPr>
          <w:rFonts w:hint="cs"/>
          <w:noProof/>
          <w:rtl/>
        </w:rPr>
        <w:t>ב</w:t>
      </w:r>
      <w:r>
        <w:rPr>
          <w:rFonts w:hint="cs"/>
          <w:noProof/>
          <w:rtl/>
        </w:rPr>
        <w:t>פלוגתת עולא ונהרדעי ב</w:t>
      </w:r>
      <w:r w:rsidRPr="006B75B8">
        <w:rPr>
          <w:rFonts w:hint="cs"/>
          <w:noProof/>
          <w:rtl/>
        </w:rPr>
        <w:t>טוען וחוזר וטוען</w:t>
      </w:r>
      <w:bookmarkEnd w:id="12771"/>
      <w:bookmarkEnd w:id="12772"/>
      <w:bookmarkEnd w:id="12773"/>
      <w:bookmarkEnd w:id="12774"/>
      <w:bookmarkEnd w:id="12775"/>
      <w:bookmarkEnd w:id="12776"/>
      <w:bookmarkEnd w:id="12777"/>
      <w:bookmarkEnd w:id="12778"/>
      <w:r>
        <w:rPr>
          <w:rFonts w:hint="cs"/>
          <w:noProof/>
          <w:rtl/>
        </w:rPr>
        <w:t xml:space="preserve"> ובדין חוזר וטוען מפטור לפטור</w:t>
      </w:r>
      <w:bookmarkEnd w:id="12779"/>
    </w:p>
    <w:p w:rsidR="00EC445E" w:rsidRDefault="000B328B" w:rsidP="00EC445E">
      <w:pPr>
        <w:pStyle w:val="aff4"/>
        <w:rPr>
          <w:rtl/>
        </w:rPr>
        <w:sectPr w:rsidR="00EC445E" w:rsidSect="00EC445E">
          <w:headerReference w:type="default" r:id="rId110"/>
          <w:headerReference w:type="first" r:id="rId111"/>
          <w:footerReference w:type="first" r:id="rId112"/>
          <w:pgSz w:w="11906" w:h="16838"/>
          <w:pgMar w:top="720" w:right="720" w:bottom="720" w:left="720" w:header="283" w:footer="283" w:gutter="0"/>
          <w:cols w:space="113"/>
          <w:bidi/>
          <w:rtlGutter/>
          <w:docGrid w:linePitch="299"/>
        </w:sectPr>
      </w:pPr>
      <w:r>
        <w:rPr>
          <w:rFonts w:hint="cs"/>
          <w:rtl/>
        </w:rPr>
        <w:t xml:space="preserve">~~~~~~~ תוכן הענינים ~~~~~~~ </w:t>
      </w:r>
      <w:bookmarkEnd w:id="12763"/>
      <w:bookmarkEnd w:id="12764"/>
      <w:bookmarkEnd w:id="12765"/>
      <w:bookmarkEnd w:id="12766"/>
      <w:bookmarkEnd w:id="12767"/>
      <w:bookmarkEnd w:id="12768"/>
      <w:bookmarkEnd w:id="12769"/>
      <w:bookmarkEnd w:id="12770"/>
    </w:p>
    <w:p w:rsidR="00EC445E" w:rsidRDefault="00EC445E" w:rsidP="00EC445E">
      <w:pPr>
        <w:pStyle w:val="2"/>
        <w:rPr>
          <w:rFonts w:eastAsiaTheme="minorEastAsia" w:cstheme="minorBidi"/>
          <w:i/>
          <w:iCs/>
          <w:sz w:val="22"/>
          <w:szCs w:val="22"/>
          <w:rtl/>
        </w:rPr>
      </w:pPr>
      <w:r>
        <w:rPr>
          <w:rFonts w:asciiTheme="minorHAnsi" w:eastAsiaTheme="minorHAnsi" w:hAnsiTheme="minorHAnsi" w:cstheme="minorHAnsi"/>
          <w:i/>
          <w:iCs/>
          <w:sz w:val="20"/>
          <w:szCs w:val="20"/>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Theme="minorHAnsi" w:eastAsiaTheme="minorHAnsi" w:hAnsiTheme="minorHAnsi" w:cstheme="minorHAnsi"/>
          <w:i/>
          <w:iCs/>
          <w:sz w:val="20"/>
          <w:szCs w:val="20"/>
          <w:rtl/>
        </w:rPr>
        <w:fldChar w:fldCharType="separate"/>
      </w:r>
      <w:r>
        <w:rPr>
          <w:rtl/>
        </w:rPr>
        <w:t>בפלוגתת עולא ונהרדעי בחוזר וטוען</w:t>
      </w:r>
    </w:p>
    <w:p w:rsidR="00EC445E" w:rsidRDefault="00EC445E" w:rsidP="00EC445E">
      <w:pPr>
        <w:pStyle w:val="aff4"/>
        <w:rPr>
          <w:rFonts w:eastAsiaTheme="minorEastAsia" w:cstheme="minorBidi"/>
          <w:i/>
          <w:iCs/>
          <w:noProof/>
          <w:sz w:val="22"/>
          <w:szCs w:val="22"/>
          <w:rtl/>
        </w:rPr>
      </w:pPr>
      <w:r>
        <w:rPr>
          <w:noProof/>
          <w:rtl/>
        </w:rPr>
        <w:t>דברי הרשב"ם והרא"ש דאחר שהפסיד כאביי חזר וטען</w:t>
      </w:r>
    </w:p>
    <w:p w:rsidR="00EC445E" w:rsidRPr="007E4E81" w:rsidRDefault="00EC445E" w:rsidP="00BA3263">
      <w:pPr>
        <w:pStyle w:val="a"/>
        <w:numPr>
          <w:ilvl w:val="0"/>
          <w:numId w:val="27"/>
        </w:numPr>
        <w:rPr>
          <w:rFonts w:eastAsiaTheme="minorEastAsia" w:cstheme="minorBidi"/>
          <w:sz w:val="22"/>
          <w:szCs w:val="22"/>
          <w:rtl/>
        </w:rPr>
      </w:pPr>
      <w:r>
        <w:rPr>
          <w:rtl/>
        </w:rPr>
        <w:t>דברי הרשב"ם והרא"ש דאחר שהפסיד המחזיק כדברי אביי חזר וטען דסמיך עלה כדאבהתי</w:t>
      </w:r>
    </w:p>
    <w:p w:rsidR="00EC445E" w:rsidRDefault="00EC445E" w:rsidP="00EC445E">
      <w:pPr>
        <w:pStyle w:val="aff4"/>
        <w:rPr>
          <w:rFonts w:eastAsiaTheme="minorEastAsia" w:cstheme="minorBidi"/>
          <w:i/>
          <w:iCs/>
          <w:noProof/>
          <w:sz w:val="22"/>
          <w:szCs w:val="22"/>
          <w:rtl/>
        </w:rPr>
      </w:pPr>
      <w:r>
        <w:rPr>
          <w:noProof/>
          <w:rtl/>
        </w:rPr>
        <w:t>דברי הרשב"ם דלעולא חוזר במכחיש קצת ואינו עוקר טענתו</w:t>
      </w:r>
    </w:p>
    <w:p w:rsidR="00EC445E" w:rsidRDefault="00EC445E" w:rsidP="007E4E81">
      <w:pPr>
        <w:pStyle w:val="a"/>
        <w:rPr>
          <w:rFonts w:eastAsiaTheme="minorEastAsia" w:cstheme="minorBidi"/>
          <w:sz w:val="22"/>
          <w:szCs w:val="22"/>
          <w:rtl/>
        </w:rPr>
      </w:pPr>
      <w:r>
        <w:rPr>
          <w:rtl/>
        </w:rPr>
        <w:t>ביאור הרשב"ם דסמיך עלה כדאבהתי היינו כיון שהחזיקה בשופי ומספקא לן אי חוזר וטוען</w:t>
      </w:r>
    </w:p>
    <w:p w:rsidR="00EC445E" w:rsidRDefault="00EC445E" w:rsidP="007E4E81">
      <w:pPr>
        <w:pStyle w:val="a"/>
        <w:rPr>
          <w:rFonts w:eastAsiaTheme="minorEastAsia" w:cstheme="minorBidi"/>
          <w:sz w:val="22"/>
          <w:szCs w:val="22"/>
          <w:rtl/>
        </w:rPr>
      </w:pPr>
      <w:r>
        <w:rPr>
          <w:rtl/>
        </w:rPr>
        <w:t>בי' הרשב"ם בעולא דכשחזר ותירץ דבריו ומכחיש קצת את טענתו הראשונה ואינו עוקרם נאמן</w:t>
      </w:r>
    </w:p>
    <w:p w:rsidR="00EC445E" w:rsidRDefault="00EC445E" w:rsidP="007E4E81">
      <w:pPr>
        <w:pStyle w:val="a"/>
        <w:rPr>
          <w:rFonts w:eastAsiaTheme="minorEastAsia" w:cstheme="minorBidi"/>
          <w:sz w:val="22"/>
          <w:szCs w:val="22"/>
          <w:rtl/>
        </w:rPr>
      </w:pPr>
      <w:r>
        <w:rPr>
          <w:rtl/>
        </w:rPr>
        <w:t>דברי הרשב"ם דכשעוקר את טענתו הראשונה לגמרי אינו נאמן אף לעולא לחזור ולטעון</w:t>
      </w:r>
    </w:p>
    <w:p w:rsidR="00EC445E" w:rsidRDefault="00EC445E" w:rsidP="00EC445E">
      <w:pPr>
        <w:pStyle w:val="aff4"/>
        <w:rPr>
          <w:rFonts w:eastAsiaTheme="minorEastAsia" w:cstheme="minorBidi"/>
          <w:i/>
          <w:iCs/>
          <w:noProof/>
          <w:sz w:val="22"/>
          <w:szCs w:val="22"/>
          <w:rtl/>
        </w:rPr>
      </w:pPr>
      <w:r>
        <w:rPr>
          <w:noProof/>
          <w:rtl/>
        </w:rPr>
        <w:t>דברי רבינו יונה דלעולא חוזר באמתלא אף שהוא פירוש רחוק</w:t>
      </w:r>
    </w:p>
    <w:p w:rsidR="00EC445E" w:rsidRDefault="00EC445E" w:rsidP="007E4E81">
      <w:pPr>
        <w:pStyle w:val="a"/>
        <w:rPr>
          <w:rFonts w:eastAsiaTheme="minorEastAsia" w:cstheme="minorBidi"/>
          <w:sz w:val="22"/>
          <w:szCs w:val="22"/>
          <w:rtl/>
        </w:rPr>
      </w:pPr>
      <w:r>
        <w:rPr>
          <w:rtl/>
        </w:rPr>
        <w:t>ביאור רבינו יונה דלעולא נאמן כשחוזר ונותן אמתלא לטענתו ואינו סותר אותה לגמרי</w:t>
      </w:r>
    </w:p>
    <w:p w:rsidR="00EC445E" w:rsidRDefault="00EC445E" w:rsidP="007E4E81">
      <w:pPr>
        <w:pStyle w:val="a"/>
        <w:rPr>
          <w:rFonts w:eastAsiaTheme="minorEastAsia" w:cstheme="minorBidi"/>
          <w:sz w:val="22"/>
          <w:szCs w:val="22"/>
          <w:rtl/>
        </w:rPr>
      </w:pPr>
      <w:r>
        <w:rPr>
          <w:rtl/>
        </w:rPr>
        <w:t>בי' רבינו יונה דאף דסמיך עלה כדאבהתי הוא פירוש רחוק מ"מ נאמן דיכל לטעון מינך זבינתה</w:t>
      </w:r>
    </w:p>
    <w:p w:rsidR="00EC445E" w:rsidRDefault="00EC445E" w:rsidP="00EC445E">
      <w:pPr>
        <w:pStyle w:val="aff4"/>
        <w:rPr>
          <w:rFonts w:eastAsiaTheme="minorEastAsia" w:cstheme="minorBidi"/>
          <w:i/>
          <w:iCs/>
          <w:noProof/>
          <w:sz w:val="22"/>
          <w:szCs w:val="22"/>
          <w:rtl/>
        </w:rPr>
      </w:pPr>
      <w:r>
        <w:rPr>
          <w:noProof/>
          <w:rtl/>
        </w:rPr>
        <w:t>בי' הר"י מגאש והריטב"א דנח' עולא ונהרדעי אי חוזר באמתלא</w:t>
      </w:r>
    </w:p>
    <w:p w:rsidR="00EC445E" w:rsidRDefault="00EC445E" w:rsidP="007E4E81">
      <w:pPr>
        <w:pStyle w:val="a"/>
        <w:rPr>
          <w:rFonts w:eastAsiaTheme="minorEastAsia" w:cstheme="minorBidi"/>
          <w:sz w:val="22"/>
          <w:szCs w:val="22"/>
          <w:rtl/>
        </w:rPr>
      </w:pPr>
      <w:r>
        <w:rPr>
          <w:rtl/>
        </w:rPr>
        <w:t>דברי הר"י מגאש והריטב"א דהנדון בחוזר וטוען הוא כשאחר הטענה הראשונה הכחישוהו עדים</w:t>
      </w:r>
    </w:p>
    <w:p w:rsidR="00EC445E" w:rsidRDefault="00EC445E" w:rsidP="007E4E81">
      <w:pPr>
        <w:pStyle w:val="a"/>
        <w:rPr>
          <w:rFonts w:eastAsiaTheme="minorEastAsia" w:cstheme="minorBidi"/>
          <w:sz w:val="22"/>
          <w:szCs w:val="22"/>
          <w:rtl/>
        </w:rPr>
      </w:pPr>
      <w:r>
        <w:rPr>
          <w:rtl/>
        </w:rPr>
        <w:t>ביאור הר"י מגאש דלעולא חוזר וטוען כשנותן אמתלא ולנהרדעי אינו נאמן דעוקר את טענתו</w:t>
      </w:r>
    </w:p>
    <w:p w:rsidR="00EC445E" w:rsidRDefault="00EC445E" w:rsidP="00EC445E">
      <w:pPr>
        <w:pStyle w:val="2"/>
        <w:rPr>
          <w:rFonts w:eastAsiaTheme="minorEastAsia" w:cstheme="minorBidi"/>
          <w:i/>
          <w:iCs/>
          <w:sz w:val="22"/>
          <w:szCs w:val="22"/>
          <w:rtl/>
        </w:rPr>
      </w:pPr>
      <w:r>
        <w:rPr>
          <w:rtl/>
        </w:rPr>
        <w:t>בחוזר וטוען שאבותי לקחוה מאבותיך</w:t>
      </w:r>
    </w:p>
    <w:p w:rsidR="00EC445E" w:rsidRDefault="00EC445E" w:rsidP="00EC445E">
      <w:pPr>
        <w:pStyle w:val="aff4"/>
        <w:rPr>
          <w:rFonts w:eastAsiaTheme="minorEastAsia" w:cstheme="minorBidi"/>
          <w:i/>
          <w:iCs/>
          <w:noProof/>
          <w:sz w:val="22"/>
          <w:szCs w:val="22"/>
          <w:rtl/>
        </w:rPr>
      </w:pPr>
      <w:r>
        <w:rPr>
          <w:noProof/>
          <w:rtl/>
        </w:rPr>
        <w:t>דברי הרשב"ם ורבינו יונה דבלקחוה מאבותיך נאמן בחזקה ומיגו</w:t>
      </w:r>
    </w:p>
    <w:p w:rsidR="00EC445E" w:rsidRDefault="00EC445E" w:rsidP="007E4E81">
      <w:pPr>
        <w:pStyle w:val="a"/>
        <w:rPr>
          <w:rFonts w:eastAsiaTheme="minorEastAsia" w:cstheme="minorBidi"/>
          <w:sz w:val="22"/>
          <w:szCs w:val="22"/>
          <w:rtl/>
        </w:rPr>
      </w:pPr>
      <w:r>
        <w:rPr>
          <w:rtl/>
        </w:rPr>
        <w:t>דברי הרשב"ם דבלקחוה מאבותיך אינו עוקר טענתו אלא מוסיף ונאמן במיגו דמינך זבינתה</w:t>
      </w:r>
    </w:p>
    <w:p w:rsidR="00EC445E" w:rsidRDefault="00EC445E" w:rsidP="007E4E81">
      <w:pPr>
        <w:pStyle w:val="a"/>
        <w:rPr>
          <w:rFonts w:eastAsiaTheme="minorEastAsia" w:cstheme="minorBidi"/>
          <w:sz w:val="22"/>
          <w:szCs w:val="22"/>
          <w:rtl/>
        </w:rPr>
      </w:pPr>
      <w:r>
        <w:rPr>
          <w:rtl/>
        </w:rPr>
        <w:t>ביאור רבינו יונה דבלקחוה טוען קמי דידי לקחוה במיגו דמינך זבינתה ודברי הרמ"ה דטוען בברי</w:t>
      </w:r>
    </w:p>
    <w:p w:rsidR="00EC445E" w:rsidRDefault="00EC445E" w:rsidP="007E4E81">
      <w:pPr>
        <w:pStyle w:val="a"/>
        <w:rPr>
          <w:rFonts w:eastAsiaTheme="minorEastAsia" w:cstheme="minorBidi"/>
          <w:sz w:val="22"/>
          <w:szCs w:val="22"/>
          <w:rtl/>
        </w:rPr>
      </w:pPr>
      <w:r>
        <w:rPr>
          <w:rtl/>
        </w:rPr>
        <w:t>דברי הרשב"ם דאף שיורש צריך ראיה וא"צ טענה כשיש לו טענה גמורה א"צ ראיה דחד יומא</w:t>
      </w:r>
    </w:p>
    <w:p w:rsidR="00EC445E" w:rsidRDefault="00EC445E" w:rsidP="00EC445E">
      <w:pPr>
        <w:pStyle w:val="aff4"/>
        <w:rPr>
          <w:rFonts w:eastAsiaTheme="minorEastAsia" w:cstheme="minorBidi"/>
          <w:i/>
          <w:iCs/>
          <w:noProof/>
          <w:sz w:val="22"/>
          <w:szCs w:val="22"/>
          <w:rtl/>
        </w:rPr>
      </w:pPr>
      <w:r>
        <w:rPr>
          <w:noProof/>
          <w:rtl/>
        </w:rPr>
        <w:t>בי' הר"י מגאש והריטב"א דלקחוה מאבותיך הוא אמתלא טובה</w:t>
      </w:r>
    </w:p>
    <w:p w:rsidR="00EC445E" w:rsidRDefault="00EC445E" w:rsidP="007E4E81">
      <w:pPr>
        <w:pStyle w:val="a"/>
        <w:rPr>
          <w:rFonts w:eastAsiaTheme="minorEastAsia" w:cstheme="minorBidi"/>
          <w:sz w:val="22"/>
          <w:szCs w:val="22"/>
          <w:rtl/>
        </w:rPr>
      </w:pPr>
      <w:r>
        <w:rPr>
          <w:rtl/>
        </w:rPr>
        <w:t>ביאור הר"י מגאש והריטב"א דבלקחוה מאבותיך הוא אמתלא טובה דמקיים טענתו הראשונה</w:t>
      </w:r>
    </w:p>
    <w:p w:rsidR="00EC445E" w:rsidRDefault="00EC445E" w:rsidP="007E4E81">
      <w:pPr>
        <w:pStyle w:val="a"/>
        <w:rPr>
          <w:rFonts w:eastAsiaTheme="minorEastAsia" w:cstheme="minorBidi"/>
          <w:sz w:val="22"/>
          <w:szCs w:val="22"/>
          <w:rtl/>
        </w:rPr>
      </w:pPr>
      <w:r>
        <w:rPr>
          <w:rtl/>
        </w:rPr>
        <w:t>דברי הרשב"א דבלקוחה מאבותיך הוא מקיים את כל דבריו בטענה הראשונה ולכן נאמן</w:t>
      </w:r>
    </w:p>
    <w:p w:rsidR="00EC445E" w:rsidRDefault="00EC445E" w:rsidP="00EC445E">
      <w:pPr>
        <w:pStyle w:val="2"/>
        <w:rPr>
          <w:rFonts w:eastAsiaTheme="minorEastAsia" w:cstheme="minorBidi"/>
          <w:i/>
          <w:iCs/>
          <w:sz w:val="22"/>
          <w:szCs w:val="22"/>
          <w:rtl/>
        </w:rPr>
      </w:pPr>
      <w:r>
        <w:rPr>
          <w:rtl/>
        </w:rPr>
        <w:t>ביצא מב"ד דאינו חוזר וטוען</w:t>
      </w:r>
    </w:p>
    <w:p w:rsidR="00EC445E" w:rsidRDefault="00EC445E" w:rsidP="00EC445E">
      <w:pPr>
        <w:pStyle w:val="aff4"/>
        <w:rPr>
          <w:rFonts w:eastAsiaTheme="minorEastAsia" w:cstheme="minorBidi"/>
          <w:i/>
          <w:iCs/>
          <w:noProof/>
          <w:sz w:val="22"/>
          <w:szCs w:val="22"/>
          <w:rtl/>
        </w:rPr>
      </w:pPr>
      <w:r>
        <w:rPr>
          <w:noProof/>
          <w:rtl/>
        </w:rPr>
        <w:t>דברי הרשב"ם דביצא מב"ד אינו חוזר במכחיש במקצת</w:t>
      </w:r>
    </w:p>
    <w:p w:rsidR="00EC445E" w:rsidRDefault="00EC445E" w:rsidP="007E4E81">
      <w:pPr>
        <w:pStyle w:val="a"/>
        <w:rPr>
          <w:rFonts w:eastAsiaTheme="minorEastAsia" w:cstheme="minorBidi"/>
          <w:sz w:val="22"/>
          <w:szCs w:val="22"/>
          <w:rtl/>
        </w:rPr>
      </w:pPr>
      <w:r>
        <w:rPr>
          <w:rtl/>
        </w:rPr>
        <w:t>דברי הרשב"ם דכשיצא מב"ד אינו נאמן לחזור אף במכחיש במקצת שמא לימדוהו לטעון כן</w:t>
      </w:r>
    </w:p>
    <w:p w:rsidR="00EC445E" w:rsidRDefault="00EC445E" w:rsidP="00EC445E">
      <w:pPr>
        <w:pStyle w:val="aff4"/>
        <w:rPr>
          <w:rFonts w:eastAsiaTheme="minorEastAsia" w:cstheme="minorBidi"/>
          <w:i/>
          <w:iCs/>
          <w:noProof/>
          <w:sz w:val="22"/>
          <w:szCs w:val="22"/>
          <w:rtl/>
        </w:rPr>
      </w:pPr>
      <w:r>
        <w:rPr>
          <w:noProof/>
          <w:rtl/>
        </w:rPr>
        <w:t>ספק התוס' בחוזר וטוען שלקחוה מאבותי אי נאמן חוץ לב"ד</w:t>
      </w:r>
    </w:p>
    <w:p w:rsidR="00EC445E" w:rsidRDefault="00EC445E" w:rsidP="007E4E81">
      <w:pPr>
        <w:pStyle w:val="a"/>
        <w:rPr>
          <w:rFonts w:eastAsiaTheme="minorEastAsia" w:cstheme="minorBidi"/>
          <w:sz w:val="22"/>
          <w:szCs w:val="22"/>
          <w:rtl/>
        </w:rPr>
      </w:pPr>
      <w:r>
        <w:rPr>
          <w:rtl/>
        </w:rPr>
        <w:t>ספק ר"י בתוס' אי בטענת לקחוה מאבותיך נאמן לחזור אחר שיצא מב"ד או שאינו נאמן</w:t>
      </w:r>
    </w:p>
    <w:p w:rsidR="00EC445E" w:rsidRDefault="00EC445E" w:rsidP="00EC445E">
      <w:pPr>
        <w:pStyle w:val="aff4"/>
        <w:rPr>
          <w:rFonts w:eastAsiaTheme="minorEastAsia" w:cstheme="minorBidi"/>
          <w:i/>
          <w:iCs/>
          <w:noProof/>
          <w:sz w:val="22"/>
          <w:szCs w:val="22"/>
          <w:rtl/>
        </w:rPr>
      </w:pPr>
      <w:r>
        <w:rPr>
          <w:noProof/>
          <w:rtl/>
        </w:rPr>
        <w:t>ביאור הגרעק"א ברשב"ם דבלקוחה מאבותיך נאמן ביצא מב"ד</w:t>
      </w:r>
    </w:p>
    <w:p w:rsidR="00EC445E" w:rsidRDefault="00EC445E" w:rsidP="007E4E81">
      <w:pPr>
        <w:pStyle w:val="a"/>
        <w:rPr>
          <w:rFonts w:eastAsiaTheme="minorEastAsia" w:cstheme="minorBidi"/>
          <w:sz w:val="22"/>
          <w:szCs w:val="22"/>
          <w:rtl/>
        </w:rPr>
      </w:pPr>
      <w:r>
        <w:rPr>
          <w:rtl/>
        </w:rPr>
        <w:t>דברי הגרעק"א דמבואר ברשב"ם דבטענת לקחוה מאבותיך נאמן אף לאחר שיצא מב"ד</w:t>
      </w:r>
    </w:p>
    <w:p w:rsidR="00EC445E" w:rsidRDefault="00EC445E" w:rsidP="00EC445E">
      <w:pPr>
        <w:pStyle w:val="aff4"/>
        <w:rPr>
          <w:rFonts w:eastAsiaTheme="minorEastAsia" w:cstheme="minorBidi"/>
          <w:i/>
          <w:iCs/>
          <w:noProof/>
          <w:sz w:val="22"/>
          <w:szCs w:val="22"/>
          <w:rtl/>
        </w:rPr>
      </w:pPr>
      <w:r>
        <w:rPr>
          <w:noProof/>
          <w:rtl/>
        </w:rPr>
        <w:t>ביאור התומים בריב"ש דבלקוחה מאבותיך נאמן ביצא מב"ד</w:t>
      </w:r>
    </w:p>
    <w:p w:rsidR="00EC445E" w:rsidRDefault="00EC445E" w:rsidP="007E4E81">
      <w:pPr>
        <w:pStyle w:val="a"/>
        <w:rPr>
          <w:rFonts w:eastAsiaTheme="minorEastAsia" w:cstheme="minorBidi"/>
          <w:sz w:val="22"/>
          <w:szCs w:val="22"/>
          <w:rtl/>
        </w:rPr>
      </w:pPr>
      <w:r>
        <w:rPr>
          <w:rtl/>
        </w:rPr>
        <w:t>דברי הריב"ש דבטוען בפירוש רחוק דסמיך עלה כשיצא חוץ לב"ד חיישינן שלימדוהו לשקר</w:t>
      </w:r>
    </w:p>
    <w:p w:rsidR="00EC445E" w:rsidRDefault="00EC445E" w:rsidP="007E4E81">
      <w:pPr>
        <w:pStyle w:val="a"/>
        <w:rPr>
          <w:rFonts w:eastAsiaTheme="minorEastAsia" w:cstheme="minorBidi"/>
          <w:sz w:val="22"/>
          <w:szCs w:val="22"/>
          <w:rtl/>
        </w:rPr>
      </w:pPr>
      <w:r>
        <w:rPr>
          <w:rtl/>
        </w:rPr>
        <w:t>ביאור התומים בריב"ש דבלקחוה שהוא פירוש קרוב לטענתו נאמן אף לאחר שיצא מב"ד</w:t>
      </w:r>
    </w:p>
    <w:p w:rsidR="00EC445E" w:rsidRDefault="00EC445E" w:rsidP="007E4E81">
      <w:pPr>
        <w:pStyle w:val="a"/>
        <w:rPr>
          <w:rFonts w:eastAsiaTheme="minorEastAsia" w:cstheme="minorBidi"/>
          <w:sz w:val="22"/>
          <w:szCs w:val="22"/>
          <w:rtl/>
        </w:rPr>
      </w:pPr>
      <w:r>
        <w:rPr>
          <w:rtl/>
        </w:rPr>
        <w:t>דברי התומים דברי"ף וברא"ש דפסקו דנאמן בלקחוה משמע דנאמן אף לאחר שיצא מב"ד</w:t>
      </w:r>
    </w:p>
    <w:p w:rsidR="00EC445E" w:rsidRDefault="00EC445E" w:rsidP="00EC445E">
      <w:pPr>
        <w:pStyle w:val="aff4"/>
        <w:rPr>
          <w:rFonts w:eastAsiaTheme="minorEastAsia" w:cstheme="minorBidi"/>
          <w:i/>
          <w:iCs/>
          <w:noProof/>
          <w:sz w:val="22"/>
          <w:szCs w:val="22"/>
          <w:rtl/>
        </w:rPr>
      </w:pPr>
      <w:r>
        <w:rPr>
          <w:noProof/>
          <w:rtl/>
        </w:rPr>
        <w:t>ד' רבינו יונה והרשב"א והרמ"ה דבלקחוה לא נאמן ביצא מב"ד</w:t>
      </w:r>
    </w:p>
    <w:p w:rsidR="00EC445E" w:rsidRDefault="00EC445E" w:rsidP="007E4E81">
      <w:pPr>
        <w:pStyle w:val="a"/>
        <w:rPr>
          <w:rFonts w:eastAsiaTheme="minorEastAsia" w:cstheme="minorBidi"/>
          <w:sz w:val="22"/>
          <w:szCs w:val="22"/>
          <w:rtl/>
        </w:rPr>
      </w:pPr>
      <w:r>
        <w:rPr>
          <w:rtl/>
        </w:rPr>
        <w:t>דברי הרמ"ה ורבינו יונה דבלקחוה נאמן [במיגו] רק בב"ד וכשיצא חוץ לב"ד אינו נאמן אף בברי</w:t>
      </w:r>
    </w:p>
    <w:p w:rsidR="00EC445E" w:rsidRDefault="00EC445E" w:rsidP="007E4E81">
      <w:pPr>
        <w:pStyle w:val="a"/>
        <w:rPr>
          <w:rFonts w:eastAsiaTheme="minorEastAsia" w:cstheme="minorBidi"/>
          <w:sz w:val="22"/>
          <w:szCs w:val="22"/>
          <w:rtl/>
        </w:rPr>
      </w:pPr>
      <w:r>
        <w:rPr>
          <w:rtl/>
        </w:rPr>
        <w:t>הוכחת הרמ"ה דאינו נאמן חוץ לב"ד דאל"ה הוא טענה אחת ואמאי לא טענינן ליה אנן</w:t>
      </w:r>
    </w:p>
    <w:p w:rsidR="00EC445E" w:rsidRDefault="00EC445E" w:rsidP="007E4E81">
      <w:pPr>
        <w:pStyle w:val="a"/>
        <w:rPr>
          <w:rFonts w:eastAsiaTheme="minorEastAsia" w:cstheme="minorBidi"/>
          <w:sz w:val="22"/>
          <w:szCs w:val="22"/>
          <w:rtl/>
        </w:rPr>
      </w:pPr>
      <w:r>
        <w:rPr>
          <w:rtl/>
        </w:rPr>
        <w:t>דברי הרשב"א דביצא חוץ לב"ד אינו נאמן אף בטענת לקחוה דאף בזה חיישינן שלימדוהו לטעון</w:t>
      </w:r>
    </w:p>
    <w:p w:rsidR="00EC445E" w:rsidRDefault="00EC445E" w:rsidP="007E4E81">
      <w:pPr>
        <w:pStyle w:val="a"/>
        <w:rPr>
          <w:rFonts w:eastAsiaTheme="minorEastAsia" w:cstheme="minorBidi"/>
          <w:sz w:val="22"/>
          <w:szCs w:val="22"/>
          <w:rtl/>
        </w:rPr>
      </w:pPr>
      <w:r>
        <w:rPr>
          <w:rtl/>
        </w:rPr>
        <w:t>דברי הגרעק"א דמבואר בשו"ע דבין בטענת סמיך עלה ובין בלקחוה לא נאמן ביצא מב"ד</w:t>
      </w:r>
    </w:p>
    <w:p w:rsidR="00EC445E" w:rsidRDefault="00EC445E" w:rsidP="00EC445E">
      <w:pPr>
        <w:pStyle w:val="2"/>
        <w:rPr>
          <w:rFonts w:eastAsiaTheme="minorEastAsia" w:cstheme="minorBidi"/>
          <w:i/>
          <w:iCs/>
          <w:sz w:val="22"/>
          <w:szCs w:val="22"/>
          <w:rtl/>
        </w:rPr>
      </w:pPr>
      <w:r>
        <w:rPr>
          <w:rtl/>
        </w:rPr>
        <w:t>בטעמא דאינו נאמן בחוזר וטוען</w:t>
      </w:r>
    </w:p>
    <w:p w:rsidR="00EC445E" w:rsidRDefault="00EC445E" w:rsidP="00EC445E">
      <w:pPr>
        <w:pStyle w:val="aff4"/>
        <w:rPr>
          <w:rtl/>
        </w:rPr>
      </w:pPr>
      <w:r>
        <w:rPr>
          <w:rFonts w:hint="cs"/>
          <w:rtl/>
        </w:rPr>
        <w:t>משמעות הרשב"ם דחוזר וטוען לא נאמן דהודה בהודאת בע"ד</w:t>
      </w:r>
    </w:p>
    <w:p w:rsidR="00EC445E" w:rsidRPr="00203269" w:rsidRDefault="00EC445E" w:rsidP="007E4E81">
      <w:pPr>
        <w:pStyle w:val="a"/>
        <w:rPr>
          <w:rtl/>
        </w:rPr>
      </w:pPr>
      <w:r>
        <w:rPr>
          <w:rFonts w:hint="cs"/>
          <w:rtl/>
        </w:rPr>
        <w:t>דברי הרשב"ם לעיל דהחוזר וטוען אינו נאמן אף כשיש עדים כטענתו כיון דהודאתו כמאה עדים</w:t>
      </w:r>
    </w:p>
    <w:p w:rsidR="00EC445E" w:rsidRDefault="00EC445E" w:rsidP="00EC445E">
      <w:pPr>
        <w:pStyle w:val="aff4"/>
        <w:rPr>
          <w:rFonts w:eastAsiaTheme="minorEastAsia" w:cstheme="minorBidi"/>
          <w:i/>
          <w:iCs/>
          <w:noProof/>
          <w:sz w:val="22"/>
          <w:szCs w:val="22"/>
          <w:rtl/>
        </w:rPr>
      </w:pPr>
      <w:r>
        <w:rPr>
          <w:noProof/>
          <w:rtl/>
        </w:rPr>
        <w:t>בי' המאירי והש"ך בר"י מגאש דחוזר וטוען נראה כמשקר</w:t>
      </w:r>
    </w:p>
    <w:p w:rsidR="00EC445E" w:rsidRDefault="00EC445E" w:rsidP="007E4E81">
      <w:pPr>
        <w:pStyle w:val="a"/>
        <w:rPr>
          <w:rFonts w:eastAsiaTheme="minorEastAsia" w:cstheme="minorBidi"/>
          <w:sz w:val="22"/>
          <w:szCs w:val="22"/>
          <w:rtl/>
        </w:rPr>
      </w:pPr>
      <w:r>
        <w:rPr>
          <w:rtl/>
        </w:rPr>
        <w:t>משמעות המאירי דלר"י מגאש בחוזר וטוען נראה כמשקר ודברי הש"ך דהוא טענה גרועה</w:t>
      </w:r>
    </w:p>
    <w:p w:rsidR="00EC445E" w:rsidRDefault="00EC445E" w:rsidP="00EC445E">
      <w:pPr>
        <w:pStyle w:val="2"/>
        <w:rPr>
          <w:rFonts w:eastAsiaTheme="minorEastAsia" w:cstheme="minorBidi"/>
          <w:i/>
          <w:iCs/>
          <w:sz w:val="22"/>
          <w:szCs w:val="22"/>
          <w:rtl/>
        </w:rPr>
      </w:pPr>
      <w:r>
        <w:rPr>
          <w:rtl/>
        </w:rPr>
        <w:t>בטען חוץ לב"ד דנאמן לחזור בב"ד</w:t>
      </w:r>
    </w:p>
    <w:p w:rsidR="00EC445E" w:rsidRDefault="00EC445E" w:rsidP="00EC445E">
      <w:pPr>
        <w:pStyle w:val="aff4"/>
        <w:rPr>
          <w:rFonts w:eastAsiaTheme="minorEastAsia" w:cstheme="minorBidi"/>
          <w:i/>
          <w:iCs/>
          <w:noProof/>
          <w:sz w:val="22"/>
          <w:szCs w:val="22"/>
          <w:rtl/>
        </w:rPr>
      </w:pPr>
      <w:r>
        <w:rPr>
          <w:noProof/>
          <w:rtl/>
        </w:rPr>
        <w:t>דברי הרשב"ם דבטען חוץ לב"ד נאמן לעקור טענותיו</w:t>
      </w:r>
    </w:p>
    <w:p w:rsidR="00EC445E" w:rsidRDefault="00EC445E" w:rsidP="007E4E81">
      <w:pPr>
        <w:pStyle w:val="a"/>
        <w:rPr>
          <w:rFonts w:eastAsiaTheme="minorEastAsia" w:cstheme="minorBidi"/>
          <w:sz w:val="22"/>
          <w:szCs w:val="22"/>
          <w:rtl/>
        </w:rPr>
      </w:pPr>
      <w:r>
        <w:rPr>
          <w:rtl/>
        </w:rPr>
        <w:t>ביאור הרשב"ם דכשטען חוץ לב"ד נאמן לעקור טענותיו דאינו רוצה שידע בע"ד מה טענותיו</w:t>
      </w:r>
    </w:p>
    <w:p w:rsidR="00EC445E" w:rsidRDefault="00EC445E" w:rsidP="007E4E81">
      <w:pPr>
        <w:pStyle w:val="a"/>
        <w:rPr>
          <w:rFonts w:eastAsiaTheme="minorEastAsia" w:cstheme="minorBidi"/>
          <w:sz w:val="22"/>
          <w:szCs w:val="22"/>
          <w:rtl/>
        </w:rPr>
      </w:pPr>
      <w:r>
        <w:rPr>
          <w:rtl/>
        </w:rPr>
        <w:t>דברי הרשב"ם דדוקא בטענות בעלמא נאמן חוץ לב"ד ולא בהודה בפירוש בפני עדים שחייב</w:t>
      </w:r>
    </w:p>
    <w:p w:rsidR="00EC445E" w:rsidRDefault="00EC445E" w:rsidP="00EC445E">
      <w:pPr>
        <w:pStyle w:val="aff4"/>
        <w:rPr>
          <w:rFonts w:eastAsiaTheme="minorEastAsia" w:cstheme="minorBidi"/>
          <w:i/>
          <w:iCs/>
          <w:noProof/>
          <w:sz w:val="22"/>
          <w:szCs w:val="22"/>
          <w:rtl/>
        </w:rPr>
      </w:pPr>
      <w:r>
        <w:rPr>
          <w:noProof/>
          <w:rtl/>
        </w:rPr>
        <w:t>דברי הר"י מגאש והרשב"ם והיד רמ"ה דאף בסותר דבריו נאמן</w:t>
      </w:r>
    </w:p>
    <w:p w:rsidR="00EC445E" w:rsidRDefault="00EC445E" w:rsidP="007E4E81">
      <w:pPr>
        <w:pStyle w:val="a"/>
        <w:rPr>
          <w:rFonts w:eastAsiaTheme="minorEastAsia" w:cstheme="minorBidi"/>
          <w:sz w:val="22"/>
          <w:szCs w:val="22"/>
          <w:rtl/>
        </w:rPr>
      </w:pPr>
      <w:r>
        <w:rPr>
          <w:rtl/>
        </w:rPr>
        <w:t>דברי הר"י מגאש דבטען חוץ לב"ד נאמן לעקור טענותיו אף שאינו נותן כל אמתלא לטענתו</w:t>
      </w:r>
    </w:p>
    <w:p w:rsidR="00EC445E" w:rsidRDefault="00EC445E" w:rsidP="007E4E81">
      <w:pPr>
        <w:pStyle w:val="a"/>
        <w:rPr>
          <w:rFonts w:eastAsiaTheme="minorEastAsia" w:cstheme="minorBidi"/>
          <w:sz w:val="22"/>
          <w:szCs w:val="22"/>
          <w:rtl/>
        </w:rPr>
      </w:pPr>
      <w:r>
        <w:rPr>
          <w:rtl/>
        </w:rPr>
        <w:t>ביאור רבינו יונה ברשב"ם דבטען של אבותי ולא של אבותיך נאמן לטעון בב"ד שלקחוה</w:t>
      </w:r>
    </w:p>
    <w:p w:rsidR="00EC445E" w:rsidRDefault="00EC445E" w:rsidP="007E4E81">
      <w:pPr>
        <w:pStyle w:val="a"/>
        <w:rPr>
          <w:rFonts w:eastAsiaTheme="minorEastAsia" w:cstheme="minorBidi"/>
          <w:sz w:val="22"/>
          <w:szCs w:val="22"/>
          <w:rtl/>
        </w:rPr>
      </w:pPr>
      <w:r w:rsidRPr="009F6072">
        <w:rPr>
          <w:rtl/>
        </w:rPr>
        <w:t>דברי הרמ"ה דמהא דלא מגלה טענותיו חוץ לב"ד א"כ אף סותר לגמרי נאמן לומר משטה הייתי</w:t>
      </w:r>
    </w:p>
    <w:p w:rsidR="00EC445E" w:rsidRDefault="00EC445E" w:rsidP="007E4E81">
      <w:pPr>
        <w:pStyle w:val="a"/>
        <w:rPr>
          <w:rFonts w:eastAsiaTheme="minorEastAsia" w:cstheme="minorBidi"/>
          <w:sz w:val="22"/>
          <w:szCs w:val="22"/>
          <w:rtl/>
        </w:rPr>
      </w:pPr>
      <w:r>
        <w:rPr>
          <w:rtl/>
        </w:rPr>
        <w:t>דברי הריטב"א דאף בטען בב"ד טענה שמחייבתו שלא בדרך הודאה נאמן לחזור בב"ד</w:t>
      </w:r>
    </w:p>
    <w:p w:rsidR="00EC445E" w:rsidRDefault="00EC445E" w:rsidP="00EC445E">
      <w:pPr>
        <w:pStyle w:val="aff4"/>
        <w:rPr>
          <w:rFonts w:eastAsiaTheme="minorEastAsia" w:cstheme="minorBidi"/>
          <w:i/>
          <w:iCs/>
          <w:noProof/>
          <w:sz w:val="22"/>
          <w:szCs w:val="22"/>
          <w:rtl/>
        </w:rPr>
      </w:pPr>
      <w:r>
        <w:rPr>
          <w:noProof/>
          <w:rtl/>
        </w:rPr>
        <w:t>ד' רבינו יונה דבטען חוץ לב"ד ולא של אבותיך לא נאמן לחזור</w:t>
      </w:r>
    </w:p>
    <w:p w:rsidR="00EC445E" w:rsidRDefault="00EC445E" w:rsidP="007E4E81">
      <w:pPr>
        <w:pStyle w:val="a"/>
        <w:rPr>
          <w:rFonts w:eastAsiaTheme="minorEastAsia" w:cstheme="minorBidi"/>
          <w:sz w:val="22"/>
          <w:szCs w:val="22"/>
          <w:rtl/>
        </w:rPr>
      </w:pPr>
      <w:r>
        <w:rPr>
          <w:rtl/>
        </w:rPr>
        <w:t>דברי רבינו יונה דבטען חוץ לב"ד של אבותי ולא של אבותיך חשיב הודאה ואינו נאמן לחזור בו</w:t>
      </w:r>
    </w:p>
    <w:p w:rsidR="00EC445E" w:rsidRDefault="00EC445E" w:rsidP="007E4E81">
      <w:pPr>
        <w:pStyle w:val="a"/>
        <w:rPr>
          <w:rFonts w:eastAsiaTheme="minorEastAsia" w:cstheme="minorBidi"/>
          <w:sz w:val="22"/>
          <w:szCs w:val="22"/>
          <w:rtl/>
        </w:rPr>
      </w:pPr>
      <w:r>
        <w:rPr>
          <w:rtl/>
        </w:rPr>
        <w:t>ביאור רבינו יונה דטוענן חוץ לב"ד הם בכדי לפוטרו וכשחייב עצמו אינו נאמן לומר משטה הייתי</w:t>
      </w:r>
    </w:p>
    <w:p w:rsidR="00EC445E" w:rsidRDefault="00EC445E" w:rsidP="007E4E81">
      <w:pPr>
        <w:pStyle w:val="a"/>
        <w:rPr>
          <w:rFonts w:eastAsiaTheme="minorEastAsia" w:cstheme="minorBidi"/>
          <w:sz w:val="22"/>
          <w:szCs w:val="22"/>
          <w:rtl/>
        </w:rPr>
      </w:pPr>
      <w:r>
        <w:rPr>
          <w:rtl/>
        </w:rPr>
        <w:t>דברי רבינו יונה דכיון דטענת של אבותי ולא של אבותיך היא לזכותו חשיבא כהודאת בע"ד</w:t>
      </w:r>
    </w:p>
    <w:p w:rsidR="00EC445E" w:rsidRDefault="00EC445E" w:rsidP="007E4E81">
      <w:pPr>
        <w:pStyle w:val="a"/>
        <w:rPr>
          <w:rFonts w:eastAsiaTheme="minorEastAsia" w:cstheme="minorBidi"/>
          <w:sz w:val="22"/>
          <w:szCs w:val="22"/>
          <w:rtl/>
        </w:rPr>
      </w:pPr>
      <w:r>
        <w:rPr>
          <w:rtl/>
        </w:rPr>
        <w:t>דברי רבינו יונה דלראב"ד האומר לא לויתי חוץ לב"ד חשיב הודאה וה"ה ולא של אבותיך</w:t>
      </w:r>
    </w:p>
    <w:p w:rsidR="00EC445E" w:rsidRDefault="00EC445E" w:rsidP="007E4E81">
      <w:pPr>
        <w:pStyle w:val="a"/>
        <w:rPr>
          <w:rFonts w:eastAsiaTheme="minorEastAsia" w:cstheme="minorBidi"/>
          <w:sz w:val="22"/>
          <w:szCs w:val="22"/>
          <w:rtl/>
        </w:rPr>
      </w:pPr>
      <w:r>
        <w:rPr>
          <w:rtl/>
        </w:rPr>
        <w:t>דברי הראב"ד דהאומר לא לויתי חוץ לב"ד אף דלא הוחזק כפרן חייב מחמת שהודה שלא פרע</w:t>
      </w:r>
    </w:p>
    <w:p w:rsidR="00EC445E" w:rsidRDefault="00EC445E" w:rsidP="007E4E81">
      <w:pPr>
        <w:pStyle w:val="a"/>
        <w:rPr>
          <w:rFonts w:eastAsiaTheme="minorEastAsia" w:cstheme="minorBidi"/>
          <w:sz w:val="22"/>
          <w:szCs w:val="22"/>
          <w:rtl/>
        </w:rPr>
      </w:pPr>
      <w:r>
        <w:rPr>
          <w:rtl/>
        </w:rPr>
        <w:t>דברי סה"ת דנחלקו בזה אי טענת להד"ם חוץ לב"ד חשיב טענה ונאמן לחזור או דחשיב הודאה</w:t>
      </w:r>
    </w:p>
    <w:p w:rsidR="00EC445E" w:rsidRDefault="00EC445E" w:rsidP="00EC445E">
      <w:pPr>
        <w:pStyle w:val="2"/>
        <w:rPr>
          <w:rFonts w:eastAsiaTheme="minorEastAsia" w:cstheme="minorBidi"/>
          <w:i/>
          <w:iCs/>
          <w:sz w:val="22"/>
          <w:szCs w:val="22"/>
          <w:rtl/>
        </w:rPr>
      </w:pPr>
      <w:r>
        <w:rPr>
          <w:rtl/>
        </w:rPr>
        <w:t>ד' הר"י מגאש דחוזר מפטור לפטור נאמן</w:t>
      </w:r>
    </w:p>
    <w:p w:rsidR="00EC445E" w:rsidRDefault="00EC445E" w:rsidP="00EC445E">
      <w:pPr>
        <w:pStyle w:val="aff4"/>
        <w:rPr>
          <w:rFonts w:eastAsiaTheme="minorEastAsia" w:cstheme="minorBidi"/>
          <w:i/>
          <w:iCs/>
          <w:noProof/>
          <w:sz w:val="22"/>
          <w:szCs w:val="22"/>
          <w:rtl/>
        </w:rPr>
      </w:pPr>
      <w:r>
        <w:rPr>
          <w:noProof/>
          <w:rtl/>
        </w:rPr>
        <w:t>דברי הר"י מגאש דהנדון בסוגיין כשחזר אחר הכחשת העדים</w:t>
      </w:r>
    </w:p>
    <w:p w:rsidR="00EC445E" w:rsidRDefault="00EC445E" w:rsidP="007E4E81">
      <w:pPr>
        <w:pStyle w:val="a"/>
        <w:rPr>
          <w:rFonts w:eastAsiaTheme="minorEastAsia" w:cstheme="minorBidi"/>
          <w:sz w:val="22"/>
          <w:szCs w:val="22"/>
          <w:rtl/>
        </w:rPr>
      </w:pPr>
      <w:r>
        <w:rPr>
          <w:rtl/>
        </w:rPr>
        <w:t>דברי הר"י מגאש דעולא ונהרדעי פליגי כשבאו עדים ואח"כ חזר וטען ונותן אמתלא לדבריו</w:t>
      </w:r>
    </w:p>
    <w:p w:rsidR="00EC445E" w:rsidRDefault="00EC445E" w:rsidP="007E4E81">
      <w:pPr>
        <w:pStyle w:val="a"/>
        <w:rPr>
          <w:rFonts w:eastAsiaTheme="minorEastAsia" w:cstheme="minorBidi"/>
          <w:sz w:val="22"/>
          <w:szCs w:val="22"/>
          <w:rtl/>
        </w:rPr>
      </w:pPr>
      <w:r>
        <w:rPr>
          <w:rtl/>
        </w:rPr>
        <w:t>ביאור הר"י מגאש דכיון שחזר אחר שהכחישוהו העדים ודאי דחזר מחמת העדים ואינו נאמן</w:t>
      </w:r>
    </w:p>
    <w:p w:rsidR="00EC445E" w:rsidRDefault="00EC445E" w:rsidP="007E4E81">
      <w:pPr>
        <w:pStyle w:val="a"/>
        <w:rPr>
          <w:rFonts w:eastAsiaTheme="minorEastAsia" w:cstheme="minorBidi"/>
          <w:sz w:val="22"/>
          <w:szCs w:val="22"/>
          <w:rtl/>
        </w:rPr>
      </w:pPr>
      <w:r>
        <w:rPr>
          <w:rtl/>
        </w:rPr>
        <w:t>בי' המאירי בר"י מגאש דחזר אחר הכחשת העדים נראה כמשקר ודברי הש"ך דהוא טענה גרועה</w:t>
      </w:r>
    </w:p>
    <w:p w:rsidR="00EC445E" w:rsidRDefault="00EC445E" w:rsidP="00EC445E">
      <w:pPr>
        <w:pStyle w:val="aff4"/>
        <w:rPr>
          <w:rFonts w:eastAsiaTheme="minorEastAsia" w:cstheme="minorBidi"/>
          <w:i/>
          <w:iCs/>
          <w:noProof/>
          <w:sz w:val="22"/>
          <w:szCs w:val="22"/>
          <w:rtl/>
        </w:rPr>
      </w:pPr>
      <w:r>
        <w:rPr>
          <w:noProof/>
          <w:rtl/>
        </w:rPr>
        <w:t>דברי הר"י מגאש דבחוזר מפטור לפטור נאמן אף בלי אמתלא</w:t>
      </w:r>
    </w:p>
    <w:p w:rsidR="00EC445E" w:rsidRDefault="00EC445E" w:rsidP="007E4E81">
      <w:pPr>
        <w:pStyle w:val="a"/>
        <w:rPr>
          <w:rFonts w:eastAsiaTheme="minorEastAsia" w:cstheme="minorBidi"/>
          <w:sz w:val="22"/>
          <w:szCs w:val="22"/>
          <w:rtl/>
        </w:rPr>
      </w:pPr>
      <w:r>
        <w:rPr>
          <w:rtl/>
        </w:rPr>
        <w:t>דברי הר"י מגאש דבחוזר מפטור לפטור אחר הכחשת העדים נאמן אף בלא אמתלא וביצא מב"ד</w:t>
      </w:r>
    </w:p>
    <w:p w:rsidR="00EC445E" w:rsidRDefault="00EC445E" w:rsidP="007E4E81">
      <w:pPr>
        <w:pStyle w:val="a"/>
        <w:rPr>
          <w:rFonts w:eastAsiaTheme="minorEastAsia" w:cstheme="minorBidi"/>
          <w:sz w:val="22"/>
          <w:szCs w:val="22"/>
          <w:rtl/>
        </w:rPr>
      </w:pPr>
      <w:r>
        <w:rPr>
          <w:rtl/>
        </w:rPr>
        <w:t>ביאור הר"י מגאש דבחוזר וטוען מפטור לפטור נאמן במיגו דהיה עומד בטענתו הראשונה</w:t>
      </w:r>
    </w:p>
    <w:p w:rsidR="00EC445E" w:rsidRDefault="00EC445E" w:rsidP="007E4E81">
      <w:pPr>
        <w:pStyle w:val="a"/>
        <w:rPr>
          <w:rFonts w:eastAsiaTheme="minorEastAsia" w:cstheme="minorBidi"/>
          <w:sz w:val="22"/>
          <w:szCs w:val="22"/>
          <w:rtl/>
        </w:rPr>
      </w:pPr>
      <w:r>
        <w:rPr>
          <w:rtl/>
        </w:rPr>
        <w:t>הוכחת הר"י מגאש מלשון הגמ' דחזר אחר הכחשת העדים ודברי הגר"א דכ"כ הרשב"ם והרא"ש</w:t>
      </w:r>
    </w:p>
    <w:p w:rsidR="00EC445E" w:rsidRDefault="00EC445E" w:rsidP="007E4E81">
      <w:pPr>
        <w:pStyle w:val="a"/>
        <w:rPr>
          <w:rFonts w:eastAsiaTheme="minorEastAsia" w:cstheme="minorBidi"/>
          <w:sz w:val="22"/>
          <w:szCs w:val="22"/>
          <w:rtl/>
        </w:rPr>
      </w:pPr>
      <w:r>
        <w:rPr>
          <w:rtl/>
        </w:rPr>
        <w:t>דברי הנימוק"י בשם הר"י מגאש דבלא לויתי נאמן לחזור ולטעון לא פרעתי דהוא פטור לפטור</w:t>
      </w:r>
    </w:p>
    <w:p w:rsidR="00EC445E" w:rsidRDefault="00EC445E" w:rsidP="00EC445E">
      <w:pPr>
        <w:pStyle w:val="aff4"/>
        <w:rPr>
          <w:rFonts w:eastAsiaTheme="minorEastAsia" w:cstheme="minorBidi"/>
          <w:i/>
          <w:iCs/>
          <w:noProof/>
          <w:sz w:val="22"/>
          <w:szCs w:val="22"/>
          <w:rtl/>
        </w:rPr>
      </w:pPr>
      <w:r>
        <w:rPr>
          <w:noProof/>
          <w:rtl/>
        </w:rPr>
        <w:t>בי' הר"י מגאש בשבועות דלא הודה בטענה הראשונה והאחרונה</w:t>
      </w:r>
    </w:p>
    <w:p w:rsidR="00EC445E" w:rsidRDefault="00EC445E" w:rsidP="007E4E81">
      <w:pPr>
        <w:pStyle w:val="a"/>
        <w:rPr>
          <w:rFonts w:eastAsiaTheme="minorEastAsia" w:cstheme="minorBidi"/>
          <w:sz w:val="22"/>
          <w:szCs w:val="22"/>
          <w:rtl/>
        </w:rPr>
      </w:pPr>
      <w:r>
        <w:rPr>
          <w:rtl/>
        </w:rPr>
        <w:t>דברי הר"י מגאש בשבועות דבחזר מחמת עצמו נאמן במיגו כיון שלא הודה בתחילה ובסוף</w:t>
      </w:r>
    </w:p>
    <w:p w:rsidR="00EC445E" w:rsidRDefault="00EC445E" w:rsidP="00EC445E">
      <w:pPr>
        <w:pStyle w:val="aff4"/>
        <w:rPr>
          <w:rFonts w:eastAsiaTheme="minorEastAsia" w:cstheme="minorBidi"/>
          <w:i/>
          <w:iCs/>
          <w:noProof/>
          <w:sz w:val="22"/>
          <w:szCs w:val="22"/>
          <w:rtl/>
        </w:rPr>
      </w:pPr>
      <w:r>
        <w:rPr>
          <w:noProof/>
          <w:rtl/>
        </w:rPr>
        <w:t>דברי הרמב"ם דחוזר מפטור לפטור בלא אמתלא וביצא מב"ד</w:t>
      </w:r>
    </w:p>
    <w:p w:rsidR="00EC445E" w:rsidRDefault="00EC445E" w:rsidP="007E4E81">
      <w:pPr>
        <w:pStyle w:val="a"/>
        <w:rPr>
          <w:rFonts w:eastAsiaTheme="minorEastAsia" w:cstheme="minorBidi"/>
          <w:sz w:val="22"/>
          <w:szCs w:val="22"/>
          <w:rtl/>
        </w:rPr>
      </w:pPr>
      <w:r>
        <w:rPr>
          <w:rtl/>
        </w:rPr>
        <w:t>דברי הרמב"ם דבלא באו עדים והפך טענתו נאמן בטענתו האחרונה בלא אמתלא וכשיצא מב"ד</w:t>
      </w:r>
    </w:p>
    <w:p w:rsidR="00EC445E" w:rsidRDefault="00EC445E" w:rsidP="007E4E81">
      <w:pPr>
        <w:pStyle w:val="a"/>
        <w:rPr>
          <w:rFonts w:eastAsiaTheme="minorEastAsia" w:cstheme="minorBidi"/>
          <w:sz w:val="22"/>
          <w:szCs w:val="22"/>
          <w:rtl/>
        </w:rPr>
      </w:pPr>
      <w:r>
        <w:rPr>
          <w:rtl/>
        </w:rPr>
        <w:t>דברי הרמב"ם דבחוזר וטוען אחר שהכחישו עדים את הטענה שאמר נאמן רק באמתלא ובב"ד</w:t>
      </w:r>
    </w:p>
    <w:p w:rsidR="00EC445E" w:rsidRDefault="00EC445E" w:rsidP="007E4E81">
      <w:pPr>
        <w:pStyle w:val="a"/>
        <w:rPr>
          <w:rFonts w:eastAsiaTheme="minorEastAsia" w:cstheme="minorBidi"/>
          <w:sz w:val="22"/>
          <w:szCs w:val="22"/>
          <w:rtl/>
        </w:rPr>
      </w:pPr>
      <w:r>
        <w:rPr>
          <w:rtl/>
        </w:rPr>
        <w:t>ביאור המ"מ והר"ן והטור דהרמב"ם ס"ל כר"י מגאש ודברי המ"מ דכן היה המעשה בסוגיין</w:t>
      </w:r>
    </w:p>
    <w:p w:rsidR="00EC445E" w:rsidRDefault="00EC445E" w:rsidP="007E4E81">
      <w:pPr>
        <w:pStyle w:val="a"/>
        <w:rPr>
          <w:rFonts w:eastAsiaTheme="minorEastAsia" w:cstheme="minorBidi"/>
          <w:sz w:val="22"/>
          <w:szCs w:val="22"/>
          <w:rtl/>
        </w:rPr>
      </w:pPr>
      <w:r>
        <w:rPr>
          <w:rtl/>
        </w:rPr>
        <w:t>דברי הכס"מ בשם תשו' הרשב"א דאין לטעות דלהרמב"ם נאמן בחוזר וטוען אף מחיוב לפטור</w:t>
      </w:r>
    </w:p>
    <w:p w:rsidR="00EC445E" w:rsidRDefault="00EC445E" w:rsidP="00EC445E">
      <w:pPr>
        <w:pStyle w:val="aff4"/>
        <w:rPr>
          <w:rFonts w:eastAsiaTheme="minorEastAsia" w:cstheme="minorBidi"/>
          <w:i/>
          <w:iCs/>
          <w:noProof/>
          <w:sz w:val="22"/>
          <w:szCs w:val="22"/>
          <w:rtl/>
        </w:rPr>
      </w:pPr>
      <w:r>
        <w:rPr>
          <w:noProof/>
          <w:rtl/>
        </w:rPr>
        <w:t>דברי הרשב"א דבחוזר מפטור לפטור אין לך מיגו חשוב מזה</w:t>
      </w:r>
    </w:p>
    <w:p w:rsidR="00EC445E" w:rsidRDefault="00EC445E" w:rsidP="007E4E81">
      <w:pPr>
        <w:pStyle w:val="a"/>
        <w:rPr>
          <w:rFonts w:eastAsiaTheme="minorEastAsia" w:cstheme="minorBidi"/>
          <w:sz w:val="22"/>
          <w:szCs w:val="22"/>
          <w:rtl/>
        </w:rPr>
      </w:pPr>
      <w:r>
        <w:rPr>
          <w:rtl/>
        </w:rPr>
        <w:t>דברי הרשב"א בתשו' דבחוזר מפטור לפטור אין מיגו גדול מזה ואינו מוחזק כפרן שלא בעדים</w:t>
      </w:r>
    </w:p>
    <w:p w:rsidR="00EC445E" w:rsidRDefault="00EC445E" w:rsidP="00EC445E">
      <w:pPr>
        <w:pStyle w:val="aff4"/>
        <w:rPr>
          <w:rFonts w:eastAsiaTheme="minorEastAsia" w:cstheme="minorBidi"/>
          <w:i/>
          <w:iCs/>
          <w:noProof/>
          <w:sz w:val="22"/>
          <w:szCs w:val="22"/>
          <w:rtl/>
        </w:rPr>
      </w:pPr>
      <w:r>
        <w:rPr>
          <w:noProof/>
          <w:rtl/>
        </w:rPr>
        <w:t>דברי המרדכי וההג"א דנאמן במודה ששיקר בטענה הראשונה</w:t>
      </w:r>
    </w:p>
    <w:p w:rsidR="00EC445E" w:rsidRDefault="00EC445E" w:rsidP="007E4E81">
      <w:pPr>
        <w:pStyle w:val="a"/>
        <w:rPr>
          <w:rFonts w:eastAsiaTheme="minorEastAsia" w:cstheme="minorBidi"/>
          <w:sz w:val="22"/>
          <w:szCs w:val="22"/>
          <w:rtl/>
        </w:rPr>
      </w:pPr>
      <w:r>
        <w:rPr>
          <w:rtl/>
        </w:rPr>
        <w:t>דברי המרדכי וההג"א דמפטור לפטור נאמן במיגו אף כשמודה ששיקר בטענתו הראשונה</w:t>
      </w:r>
    </w:p>
    <w:p w:rsidR="00EC445E" w:rsidRDefault="00EC445E" w:rsidP="00EC445E">
      <w:pPr>
        <w:pStyle w:val="aff4"/>
        <w:rPr>
          <w:rFonts w:eastAsiaTheme="minorEastAsia" w:cstheme="minorBidi"/>
          <w:i/>
          <w:iCs/>
          <w:noProof/>
          <w:sz w:val="22"/>
          <w:szCs w:val="22"/>
          <w:rtl/>
        </w:rPr>
      </w:pPr>
      <w:r>
        <w:rPr>
          <w:noProof/>
          <w:rtl/>
        </w:rPr>
        <w:t>דברי רבינו יונה דנאמן מפטור לפטור אף בטען בתחילה להד"ם</w:t>
      </w:r>
    </w:p>
    <w:p w:rsidR="00EC445E" w:rsidRDefault="00EC445E" w:rsidP="007E4E81">
      <w:pPr>
        <w:pStyle w:val="a"/>
        <w:rPr>
          <w:rFonts w:eastAsiaTheme="minorEastAsia" w:cstheme="minorBidi"/>
          <w:sz w:val="22"/>
          <w:szCs w:val="22"/>
          <w:rtl/>
        </w:rPr>
      </w:pPr>
      <w:r>
        <w:rPr>
          <w:rtl/>
        </w:rPr>
        <w:t>דברי רבינו יונה דבלא טען טענה מחייבת נאמן לחזור אף בטען להד"ם וחוזר וטוען לויתי ופרעתי</w:t>
      </w:r>
    </w:p>
    <w:p w:rsidR="00EC445E" w:rsidRDefault="00EC445E" w:rsidP="00EC445E">
      <w:pPr>
        <w:pStyle w:val="aff4"/>
        <w:rPr>
          <w:rFonts w:eastAsiaTheme="minorEastAsia" w:cstheme="minorBidi"/>
          <w:i/>
          <w:iCs/>
          <w:noProof/>
          <w:sz w:val="22"/>
          <w:szCs w:val="22"/>
          <w:rtl/>
        </w:rPr>
      </w:pPr>
      <w:r>
        <w:rPr>
          <w:noProof/>
          <w:rtl/>
        </w:rPr>
        <w:t>דברי הריטב"א דחוזר מפטור לפטור נאמן רק כשלא יצא מב"ד</w:t>
      </w:r>
    </w:p>
    <w:p w:rsidR="00EC445E" w:rsidRDefault="00EC445E" w:rsidP="007E4E81">
      <w:pPr>
        <w:pStyle w:val="a"/>
        <w:rPr>
          <w:rFonts w:eastAsiaTheme="minorEastAsia" w:cstheme="minorBidi"/>
          <w:sz w:val="22"/>
          <w:szCs w:val="22"/>
          <w:rtl/>
        </w:rPr>
      </w:pPr>
      <w:r>
        <w:rPr>
          <w:rtl/>
        </w:rPr>
        <w:t>דברי הריטב"א דחוזר מפטור לפטור נאמן בלא אמתלא אך אינו נאמן לאחר שיצא מב"ד</w:t>
      </w:r>
    </w:p>
    <w:p w:rsidR="00EC445E" w:rsidRDefault="00EC445E" w:rsidP="007E4E81">
      <w:pPr>
        <w:pStyle w:val="a"/>
        <w:rPr>
          <w:rFonts w:eastAsiaTheme="minorEastAsia" w:cstheme="minorBidi"/>
          <w:sz w:val="22"/>
          <w:szCs w:val="22"/>
          <w:rtl/>
        </w:rPr>
      </w:pPr>
      <w:r>
        <w:rPr>
          <w:rtl/>
        </w:rPr>
        <w:t>דברי הריטב"א דהחוזר וטוען מחיוב לפטור כטען לויתי ופרעתי וחזר וטען לא לויתי אינו נאמן</w:t>
      </w:r>
    </w:p>
    <w:p w:rsidR="00EC445E" w:rsidRDefault="00EC445E" w:rsidP="00EC445E">
      <w:pPr>
        <w:pStyle w:val="aff4"/>
        <w:rPr>
          <w:rFonts w:eastAsiaTheme="minorEastAsia" w:cstheme="minorBidi"/>
          <w:i/>
          <w:iCs/>
          <w:noProof/>
          <w:sz w:val="22"/>
          <w:szCs w:val="22"/>
          <w:rtl/>
        </w:rPr>
      </w:pPr>
      <w:r>
        <w:rPr>
          <w:noProof/>
          <w:rtl/>
        </w:rPr>
        <w:t>דברי הריטב"א בשם הרא"ה דבלהד"ם לא נאמן בלויתי ופרעתי</w:t>
      </w:r>
    </w:p>
    <w:p w:rsidR="00EC445E" w:rsidRDefault="00EC445E" w:rsidP="007E4E81">
      <w:pPr>
        <w:pStyle w:val="a"/>
        <w:rPr>
          <w:rFonts w:eastAsiaTheme="minorEastAsia" w:cstheme="minorBidi"/>
          <w:sz w:val="22"/>
          <w:szCs w:val="22"/>
          <w:rtl/>
        </w:rPr>
      </w:pPr>
      <w:r>
        <w:rPr>
          <w:rtl/>
        </w:rPr>
        <w:t>דברי הריטב"א בשבועות דמדינא דכל האומר לא לויתי וכו' מוכח דנאמן לחזור מפטור לפטור</w:t>
      </w:r>
    </w:p>
    <w:p w:rsidR="00EC445E" w:rsidRDefault="00EC445E" w:rsidP="007E4E81">
      <w:pPr>
        <w:pStyle w:val="a"/>
        <w:rPr>
          <w:rFonts w:eastAsiaTheme="minorEastAsia" w:cstheme="minorBidi"/>
          <w:sz w:val="22"/>
          <w:szCs w:val="22"/>
          <w:rtl/>
        </w:rPr>
      </w:pPr>
      <w:r>
        <w:rPr>
          <w:rtl/>
        </w:rPr>
        <w:t>דברי הריטב"א בשבועות בשם הרא"ה דבלהד"ם לא נאמן לטעון לויתי ופרעתי דהוא חיוב לפטור</w:t>
      </w:r>
    </w:p>
    <w:p w:rsidR="00EC445E" w:rsidRDefault="00EC445E" w:rsidP="00EC445E">
      <w:pPr>
        <w:pStyle w:val="2"/>
        <w:rPr>
          <w:rFonts w:eastAsiaTheme="minorEastAsia" w:cstheme="minorBidi"/>
          <w:i/>
          <w:iCs/>
          <w:sz w:val="22"/>
          <w:szCs w:val="22"/>
          <w:rtl/>
        </w:rPr>
      </w:pPr>
      <w:r>
        <w:rPr>
          <w:rtl/>
        </w:rPr>
        <w:t>דעת הרמ"ה דבבאו עדים אח"כ לא נאמן</w:t>
      </w:r>
    </w:p>
    <w:p w:rsidR="00EC445E" w:rsidRDefault="00EC445E" w:rsidP="00EC445E">
      <w:pPr>
        <w:pStyle w:val="aff4"/>
        <w:rPr>
          <w:rFonts w:eastAsiaTheme="minorEastAsia" w:cstheme="minorBidi"/>
          <w:i/>
          <w:iCs/>
          <w:noProof/>
          <w:sz w:val="22"/>
          <w:szCs w:val="22"/>
          <w:rtl/>
        </w:rPr>
      </w:pPr>
      <w:r>
        <w:rPr>
          <w:noProof/>
          <w:rtl/>
        </w:rPr>
        <w:t>דברי הרמ"ה דבלא באו עדים חוזר וטוען מפטור לפטור</w:t>
      </w:r>
    </w:p>
    <w:p w:rsidR="00EC445E" w:rsidRDefault="00EC445E" w:rsidP="007E4E81">
      <w:pPr>
        <w:pStyle w:val="a"/>
        <w:rPr>
          <w:rFonts w:eastAsiaTheme="minorEastAsia" w:cstheme="minorBidi"/>
          <w:sz w:val="22"/>
          <w:szCs w:val="22"/>
          <w:rtl/>
        </w:rPr>
      </w:pPr>
      <w:r>
        <w:rPr>
          <w:rtl/>
        </w:rPr>
        <w:t>דברי הרמ"ה דבחוזר וטוען ולא באו עדים נאמן אף בלא אמתלא ואף כשיצא חוץ לב"ד</w:t>
      </w:r>
    </w:p>
    <w:p w:rsidR="00EC445E" w:rsidRDefault="00EC445E" w:rsidP="007E4E81">
      <w:pPr>
        <w:pStyle w:val="a"/>
        <w:rPr>
          <w:rFonts w:eastAsiaTheme="minorEastAsia" w:cstheme="minorBidi"/>
          <w:sz w:val="22"/>
          <w:szCs w:val="22"/>
          <w:rtl/>
        </w:rPr>
      </w:pPr>
      <w:r>
        <w:rPr>
          <w:rtl/>
        </w:rPr>
        <w:t>ביאור הרמ"ה דכל שלא הוכחשה בעדים טענתו הראשונה בעדים יש לו מיגו דעומד בטענתו</w:t>
      </w:r>
    </w:p>
    <w:p w:rsidR="00EC445E" w:rsidRDefault="00EC445E" w:rsidP="007E4E81">
      <w:pPr>
        <w:pStyle w:val="a"/>
        <w:rPr>
          <w:rFonts w:eastAsiaTheme="minorEastAsia" w:cstheme="minorBidi"/>
          <w:sz w:val="22"/>
          <w:szCs w:val="22"/>
          <w:rtl/>
        </w:rPr>
      </w:pPr>
      <w:r>
        <w:rPr>
          <w:rtl/>
        </w:rPr>
        <w:t>דברי הרמ"ה דבטען להד"ם נאמן לטעון לויתי ופרעתי ואם יש חיוב שבועה ישבע ויפטר</w:t>
      </w:r>
    </w:p>
    <w:p w:rsidR="00EC445E" w:rsidRDefault="00EC445E" w:rsidP="00EC445E">
      <w:pPr>
        <w:pStyle w:val="aff4"/>
        <w:rPr>
          <w:rFonts w:eastAsiaTheme="minorEastAsia" w:cstheme="minorBidi"/>
          <w:i/>
          <w:iCs/>
          <w:noProof/>
          <w:sz w:val="22"/>
          <w:szCs w:val="22"/>
          <w:rtl/>
        </w:rPr>
      </w:pPr>
      <w:r>
        <w:rPr>
          <w:noProof/>
          <w:rtl/>
        </w:rPr>
        <w:t>דברי הרמ"ה דבבאו עדים אחר שחזר אינו נאמן מפטור לפטור</w:t>
      </w:r>
    </w:p>
    <w:p w:rsidR="00EC445E" w:rsidRDefault="00EC445E" w:rsidP="007E4E81">
      <w:pPr>
        <w:pStyle w:val="a"/>
        <w:rPr>
          <w:rFonts w:eastAsiaTheme="minorEastAsia" w:cstheme="minorBidi"/>
          <w:sz w:val="22"/>
          <w:szCs w:val="22"/>
          <w:rtl/>
        </w:rPr>
      </w:pPr>
      <w:r>
        <w:rPr>
          <w:rtl/>
        </w:rPr>
        <w:t>דברי הרמ"ה דבבאו עדים אחר שחזר וטען והכחישו את טענתו הראשונה לא נאמן דאין לו מיגו</w:t>
      </w:r>
    </w:p>
    <w:p w:rsidR="00EC445E" w:rsidRDefault="00EC445E" w:rsidP="007E4E81">
      <w:pPr>
        <w:pStyle w:val="a"/>
        <w:rPr>
          <w:rFonts w:eastAsiaTheme="minorEastAsia" w:cstheme="minorBidi"/>
          <w:sz w:val="22"/>
          <w:szCs w:val="22"/>
          <w:rtl/>
        </w:rPr>
      </w:pPr>
      <w:r>
        <w:rPr>
          <w:rtl/>
        </w:rPr>
        <w:t>דברי הרמ"ה דבטען להד"ם וחזר וטען לויתי ופרעתי ואח"כ באו עדים שלוה אינו נאמן דפרע</w:t>
      </w:r>
    </w:p>
    <w:p w:rsidR="00EC445E" w:rsidRDefault="00EC445E" w:rsidP="007E4E81">
      <w:pPr>
        <w:pStyle w:val="a"/>
        <w:rPr>
          <w:rFonts w:eastAsiaTheme="minorEastAsia" w:cstheme="minorBidi"/>
          <w:sz w:val="22"/>
          <w:szCs w:val="22"/>
          <w:rtl/>
        </w:rPr>
      </w:pPr>
      <w:r>
        <w:rPr>
          <w:rtl/>
        </w:rPr>
        <w:t>דברי הרמ"ה דבחזר וטען בתוך כדי דיבור נאמן אף כשבאו עדים אח"כ דחשיב שלא טען כלל</w:t>
      </w:r>
    </w:p>
    <w:p w:rsidR="00EC445E" w:rsidRDefault="00EC445E" w:rsidP="00EC445E">
      <w:pPr>
        <w:pStyle w:val="2"/>
        <w:rPr>
          <w:rFonts w:eastAsiaTheme="minorEastAsia" w:cstheme="minorBidi"/>
          <w:i/>
          <w:iCs/>
          <w:sz w:val="22"/>
          <w:szCs w:val="22"/>
          <w:rtl/>
        </w:rPr>
      </w:pPr>
      <w:r>
        <w:rPr>
          <w:rtl/>
        </w:rPr>
        <w:t>ד' הר"י מגאש דנאמן בבאו עדים אח"כ</w:t>
      </w:r>
    </w:p>
    <w:p w:rsidR="00EC445E" w:rsidRDefault="00EC445E" w:rsidP="00EC445E">
      <w:pPr>
        <w:pStyle w:val="aff4"/>
        <w:rPr>
          <w:rFonts w:eastAsiaTheme="minorEastAsia" w:cstheme="minorBidi"/>
          <w:i/>
          <w:iCs/>
          <w:noProof/>
          <w:sz w:val="22"/>
          <w:szCs w:val="22"/>
          <w:rtl/>
        </w:rPr>
      </w:pPr>
      <w:r>
        <w:rPr>
          <w:noProof/>
          <w:rtl/>
        </w:rPr>
        <w:t>דברי הטור דלר"י מגאש ולרמב"ם נאמן אף בבאו עדים אח"כ</w:t>
      </w:r>
    </w:p>
    <w:p w:rsidR="00EC445E" w:rsidRDefault="00EC445E" w:rsidP="007E4E81">
      <w:pPr>
        <w:pStyle w:val="a"/>
        <w:rPr>
          <w:rFonts w:eastAsiaTheme="minorEastAsia" w:cstheme="minorBidi"/>
          <w:sz w:val="22"/>
          <w:szCs w:val="22"/>
          <w:rtl/>
        </w:rPr>
      </w:pPr>
      <w:r>
        <w:rPr>
          <w:rtl/>
        </w:rPr>
        <w:t>דברי הטור דלדעת הר"י מגאש והרמב"ם כשחזר וטען ואח"כ באו עדים נאמן ודלא כרמ"ה</w:t>
      </w:r>
    </w:p>
    <w:p w:rsidR="00EC445E" w:rsidRDefault="00EC445E" w:rsidP="007E4E81">
      <w:pPr>
        <w:pStyle w:val="a"/>
        <w:rPr>
          <w:rFonts w:eastAsiaTheme="minorEastAsia" w:cstheme="minorBidi"/>
          <w:sz w:val="22"/>
          <w:szCs w:val="22"/>
          <w:rtl/>
        </w:rPr>
      </w:pPr>
      <w:r>
        <w:rPr>
          <w:rtl/>
        </w:rPr>
        <w:lastRenderedPageBreak/>
        <w:t>ביאור הב"י והב"ח ברמ"ה דבבאו עדים אח"כ חיישינן שידע שיבואו וחזר בו מחמת העדים</w:t>
      </w:r>
    </w:p>
    <w:p w:rsidR="00EC445E" w:rsidRDefault="00EC445E" w:rsidP="007E4E81">
      <w:pPr>
        <w:pStyle w:val="a"/>
        <w:rPr>
          <w:rFonts w:eastAsiaTheme="minorEastAsia" w:cstheme="minorBidi"/>
          <w:sz w:val="22"/>
          <w:szCs w:val="22"/>
          <w:rtl/>
        </w:rPr>
      </w:pPr>
      <w:r>
        <w:rPr>
          <w:rtl/>
        </w:rPr>
        <w:t>דברי המאירי דלדעת הר"י מגאש כל שראה שהעדים באים חשיב שחזר אחר הכחשת העדים</w:t>
      </w:r>
    </w:p>
    <w:p w:rsidR="00EC445E" w:rsidRDefault="00EC445E" w:rsidP="00EC445E">
      <w:pPr>
        <w:pStyle w:val="aff4"/>
        <w:rPr>
          <w:rFonts w:eastAsiaTheme="minorEastAsia" w:cstheme="minorBidi"/>
          <w:i/>
          <w:iCs/>
          <w:noProof/>
          <w:sz w:val="22"/>
          <w:szCs w:val="22"/>
          <w:rtl/>
        </w:rPr>
      </w:pPr>
      <w:r>
        <w:rPr>
          <w:noProof/>
          <w:rtl/>
        </w:rPr>
        <w:t>דברי החת"ס דמשמע ברשב"ם ובמ"מ כדעת היד רמ"ה</w:t>
      </w:r>
    </w:p>
    <w:p w:rsidR="00EC445E" w:rsidRDefault="00EC445E" w:rsidP="007E4E81">
      <w:pPr>
        <w:pStyle w:val="a"/>
        <w:rPr>
          <w:rFonts w:eastAsiaTheme="minorEastAsia" w:cstheme="minorBidi"/>
          <w:sz w:val="22"/>
          <w:szCs w:val="22"/>
          <w:rtl/>
        </w:rPr>
      </w:pPr>
      <w:r>
        <w:rPr>
          <w:rtl/>
        </w:rPr>
        <w:t>דברי החת"ס דכוונת המ"מ לומר דבסוגיין איירי שבאו עדים קודם וה"ה בבאו אח"כ דלא נאמן</w:t>
      </w:r>
    </w:p>
    <w:p w:rsidR="00EC445E" w:rsidRDefault="00EC445E" w:rsidP="007E4E81">
      <w:pPr>
        <w:pStyle w:val="a"/>
        <w:rPr>
          <w:rFonts w:eastAsiaTheme="minorEastAsia" w:cstheme="minorBidi"/>
          <w:sz w:val="22"/>
          <w:szCs w:val="22"/>
          <w:rtl/>
        </w:rPr>
      </w:pPr>
      <w:r>
        <w:rPr>
          <w:rtl/>
        </w:rPr>
        <w:t>ביאור החת"ס ברשב"ם דהמעשה בסוגיין איירי בבאו עדים קודם וה"ה בבאו אח"כ דלא נאמן</w:t>
      </w:r>
    </w:p>
    <w:p w:rsidR="00EC445E" w:rsidRDefault="00EC445E" w:rsidP="00EC445E">
      <w:pPr>
        <w:pStyle w:val="2"/>
        <w:rPr>
          <w:rFonts w:eastAsiaTheme="minorEastAsia" w:cstheme="minorBidi"/>
          <w:i/>
          <w:iCs/>
          <w:sz w:val="22"/>
          <w:szCs w:val="22"/>
          <w:rtl/>
        </w:rPr>
      </w:pPr>
      <w:r>
        <w:rPr>
          <w:rtl/>
        </w:rPr>
        <w:t>ד' התוס' לקמן דאינו חוזר מפטור לפטור</w:t>
      </w:r>
    </w:p>
    <w:p w:rsidR="00EC445E" w:rsidRDefault="00EC445E" w:rsidP="00EC445E">
      <w:pPr>
        <w:pStyle w:val="aff4"/>
        <w:rPr>
          <w:rFonts w:eastAsiaTheme="minorEastAsia" w:cstheme="minorBidi"/>
          <w:i/>
          <w:iCs/>
          <w:noProof/>
          <w:sz w:val="22"/>
          <w:szCs w:val="22"/>
          <w:rtl/>
        </w:rPr>
      </w:pPr>
      <w:r>
        <w:rPr>
          <w:noProof/>
          <w:rtl/>
        </w:rPr>
        <w:t>משמעות התוס' לקמן דחוזר וטוען הוא אף מפטור לפטור</w:t>
      </w:r>
    </w:p>
    <w:p w:rsidR="00EC445E" w:rsidRDefault="00EC445E" w:rsidP="007E4E81">
      <w:pPr>
        <w:pStyle w:val="a"/>
        <w:rPr>
          <w:rFonts w:eastAsiaTheme="minorEastAsia" w:cstheme="minorBidi"/>
          <w:sz w:val="22"/>
          <w:szCs w:val="22"/>
          <w:rtl/>
        </w:rPr>
      </w:pPr>
      <w:r>
        <w:rPr>
          <w:rtl/>
        </w:rPr>
        <w:t>משמעות דברי התוס' לקמן דאף בחוזר מפטור לפטור חשיב חוזר וטוען ואינו נאמן</w:t>
      </w:r>
    </w:p>
    <w:p w:rsidR="00EC445E" w:rsidRDefault="00EC445E" w:rsidP="00EC445E">
      <w:pPr>
        <w:pStyle w:val="2"/>
        <w:rPr>
          <w:rFonts w:eastAsiaTheme="minorEastAsia" w:cstheme="minorBidi"/>
          <w:i/>
          <w:iCs/>
          <w:sz w:val="22"/>
          <w:szCs w:val="22"/>
          <w:rtl/>
        </w:rPr>
      </w:pPr>
      <w:r>
        <w:rPr>
          <w:rtl/>
        </w:rPr>
        <w:t>ביאורי האחרונים בדעת הר"י מגאש</w:t>
      </w:r>
    </w:p>
    <w:p w:rsidR="00EC445E" w:rsidRDefault="00EC445E" w:rsidP="00EC445E">
      <w:pPr>
        <w:pStyle w:val="aff4"/>
        <w:rPr>
          <w:rFonts w:eastAsiaTheme="minorEastAsia" w:cstheme="minorBidi"/>
          <w:i/>
          <w:iCs/>
          <w:noProof/>
          <w:sz w:val="22"/>
          <w:szCs w:val="22"/>
          <w:rtl/>
        </w:rPr>
      </w:pPr>
      <w:r>
        <w:rPr>
          <w:noProof/>
          <w:rtl/>
        </w:rPr>
        <w:t>בי' הטור והש"ך בר"י מגאש דבחוזר מפטור לפטור נאמן במיגו</w:t>
      </w:r>
    </w:p>
    <w:p w:rsidR="00EC445E" w:rsidRDefault="00EC445E" w:rsidP="007E4E81">
      <w:pPr>
        <w:pStyle w:val="a"/>
        <w:rPr>
          <w:rFonts w:eastAsiaTheme="minorEastAsia" w:cstheme="minorBidi"/>
          <w:sz w:val="22"/>
          <w:szCs w:val="22"/>
          <w:rtl/>
        </w:rPr>
      </w:pPr>
      <w:r>
        <w:rPr>
          <w:rtl/>
        </w:rPr>
        <w:t>ביאור הש"ך בר"י מגאש דכל שחוזר מטענתו חשיב טענה גרועה ומפטור לפטור נאמן במיגו</w:t>
      </w:r>
    </w:p>
    <w:p w:rsidR="00EC445E" w:rsidRDefault="00EC445E" w:rsidP="00EC445E">
      <w:pPr>
        <w:pStyle w:val="aff4"/>
        <w:rPr>
          <w:rFonts w:eastAsiaTheme="minorEastAsia" w:cstheme="minorBidi"/>
          <w:i/>
          <w:iCs/>
          <w:noProof/>
          <w:sz w:val="22"/>
          <w:szCs w:val="22"/>
          <w:rtl/>
        </w:rPr>
      </w:pPr>
      <w:r>
        <w:rPr>
          <w:noProof/>
          <w:rtl/>
        </w:rPr>
        <w:t>קושית הקצוה"ח דאחר שבאו עדים בטל המיגו ואמאי נאמן</w:t>
      </w:r>
    </w:p>
    <w:p w:rsidR="00EC445E" w:rsidRDefault="00EC445E" w:rsidP="007E4E81">
      <w:pPr>
        <w:pStyle w:val="a"/>
        <w:rPr>
          <w:rFonts w:eastAsiaTheme="minorEastAsia" w:cstheme="minorBidi"/>
          <w:sz w:val="22"/>
          <w:szCs w:val="22"/>
          <w:rtl/>
        </w:rPr>
      </w:pPr>
      <w:r>
        <w:rPr>
          <w:rtl/>
        </w:rPr>
        <w:t>קושית הקצוה"ח על הר"י מגאש דאי נאמן מפטור לפטור במיגו כשבאו עדים אח"כ בטל המיגו</w:t>
      </w:r>
    </w:p>
    <w:p w:rsidR="00EC445E" w:rsidRDefault="00EC445E" w:rsidP="00EC445E">
      <w:pPr>
        <w:pStyle w:val="aff4"/>
        <w:rPr>
          <w:rFonts w:eastAsiaTheme="minorEastAsia" w:cstheme="minorBidi"/>
          <w:i/>
          <w:iCs/>
          <w:noProof/>
          <w:sz w:val="22"/>
          <w:szCs w:val="22"/>
          <w:rtl/>
        </w:rPr>
      </w:pPr>
      <w:r>
        <w:rPr>
          <w:noProof/>
          <w:rtl/>
        </w:rPr>
        <w:t>ביאור הקצוה"ח דמפטור לפטור נאמן דטענתו אינה הודאת בע"ד</w:t>
      </w:r>
    </w:p>
    <w:p w:rsidR="00EC445E" w:rsidRDefault="00EC445E" w:rsidP="007E4E81">
      <w:pPr>
        <w:pStyle w:val="a"/>
        <w:rPr>
          <w:rFonts w:eastAsiaTheme="minorEastAsia" w:cstheme="minorBidi"/>
          <w:sz w:val="22"/>
          <w:szCs w:val="22"/>
          <w:rtl/>
        </w:rPr>
      </w:pPr>
      <w:r>
        <w:rPr>
          <w:rtl/>
        </w:rPr>
        <w:t>ביאור הקצוה"ח דבטען טענת פטור לא חשיבא טענתו כהודאת בע"ד ולכן נאמן לחזור ולטעון</w:t>
      </w:r>
    </w:p>
    <w:p w:rsidR="00EC445E" w:rsidRDefault="00EC445E" w:rsidP="007E4E81">
      <w:pPr>
        <w:pStyle w:val="a"/>
        <w:rPr>
          <w:rFonts w:eastAsiaTheme="minorEastAsia" w:cstheme="minorBidi"/>
          <w:sz w:val="22"/>
          <w:szCs w:val="22"/>
          <w:rtl/>
        </w:rPr>
      </w:pPr>
      <w:r>
        <w:rPr>
          <w:rtl/>
        </w:rPr>
        <w:t>ביאור הקצוה"ח בר"י מגאש דאין כוונתו דנאמן במיגו דמה לי לשקר אלא דלא התחייב בטענתו</w:t>
      </w:r>
    </w:p>
    <w:p w:rsidR="00EC445E" w:rsidRDefault="00EC445E" w:rsidP="00EC445E">
      <w:pPr>
        <w:pStyle w:val="aff4"/>
        <w:rPr>
          <w:rFonts w:eastAsiaTheme="minorEastAsia" w:cstheme="minorBidi"/>
          <w:i/>
          <w:iCs/>
          <w:noProof/>
          <w:sz w:val="22"/>
          <w:szCs w:val="22"/>
          <w:rtl/>
        </w:rPr>
      </w:pPr>
      <w:r>
        <w:rPr>
          <w:noProof/>
          <w:rtl/>
        </w:rPr>
        <w:t>תירוצי המחנ"א לקושית הקצוה"ח על הר"י מגאש דנאמן במיגו</w:t>
      </w:r>
    </w:p>
    <w:p w:rsidR="00EC445E" w:rsidRDefault="00EC445E" w:rsidP="007E4E81">
      <w:pPr>
        <w:pStyle w:val="a"/>
        <w:rPr>
          <w:rFonts w:eastAsiaTheme="minorEastAsia" w:cstheme="minorBidi"/>
          <w:sz w:val="22"/>
          <w:szCs w:val="22"/>
          <w:rtl/>
        </w:rPr>
      </w:pPr>
      <w:r>
        <w:rPr>
          <w:rtl/>
        </w:rPr>
        <w:t>תי' המחנ"א בשם הפני משה דבחוזר וטוען נאמן בטענתו השניה בלא מיגו ולכן נאמן אף בעדים</w:t>
      </w:r>
    </w:p>
    <w:p w:rsidR="00EC445E" w:rsidRDefault="00EC445E" w:rsidP="007E4E81">
      <w:pPr>
        <w:pStyle w:val="a"/>
        <w:rPr>
          <w:rFonts w:eastAsiaTheme="minorEastAsia" w:cstheme="minorBidi"/>
          <w:sz w:val="22"/>
          <w:szCs w:val="22"/>
          <w:rtl/>
        </w:rPr>
      </w:pPr>
      <w:r>
        <w:rPr>
          <w:rtl/>
        </w:rPr>
        <w:t>תי' המחנ"א והאמרי ברוך דבחוזר וטוען מוכח מטענתו הראשונה שלא ידע שיש עדים ולכן נאמן</w:t>
      </w:r>
    </w:p>
    <w:p w:rsidR="00EC445E" w:rsidRDefault="00EC445E" w:rsidP="007E4E81">
      <w:pPr>
        <w:pStyle w:val="a"/>
        <w:rPr>
          <w:rFonts w:eastAsiaTheme="minorEastAsia" w:cstheme="minorBidi"/>
          <w:sz w:val="22"/>
          <w:szCs w:val="22"/>
          <w:rtl/>
        </w:rPr>
      </w:pPr>
      <w:r>
        <w:rPr>
          <w:rtl/>
        </w:rPr>
        <w:t>דברי האמרי ברוך דרק כבטענה הראשונה לא ידע מהעדים ואח"כ שמע עליהם אין לו מיגו</w:t>
      </w:r>
    </w:p>
    <w:p w:rsidR="00EC445E" w:rsidRDefault="00EC445E" w:rsidP="00EC445E">
      <w:pPr>
        <w:pStyle w:val="aff4"/>
        <w:rPr>
          <w:rFonts w:eastAsiaTheme="minorEastAsia" w:cstheme="minorBidi"/>
          <w:i/>
          <w:iCs/>
          <w:noProof/>
          <w:sz w:val="22"/>
          <w:szCs w:val="22"/>
          <w:rtl/>
        </w:rPr>
      </w:pPr>
      <w:r>
        <w:rPr>
          <w:noProof/>
          <w:rtl/>
        </w:rPr>
        <w:t>ביאור המהריב"ל בר"י מגאש דמיגו מהני כנגד הודאת בע"ד</w:t>
      </w:r>
    </w:p>
    <w:p w:rsidR="00EC445E" w:rsidRDefault="00EC445E" w:rsidP="007E4E81">
      <w:pPr>
        <w:pStyle w:val="a"/>
        <w:rPr>
          <w:rFonts w:eastAsiaTheme="minorEastAsia" w:cstheme="minorBidi"/>
          <w:sz w:val="22"/>
          <w:szCs w:val="22"/>
          <w:rtl/>
        </w:rPr>
      </w:pPr>
      <w:r>
        <w:rPr>
          <w:rtl/>
        </w:rPr>
        <w:t>ביאור המהריב"ל בר"י מגאש דמהני מיגו אף כנגד הודאת בע"ד ואינו כמיגו במקום עדים</w:t>
      </w:r>
    </w:p>
    <w:p w:rsidR="00EC445E" w:rsidRDefault="00EC445E" w:rsidP="00EC445E">
      <w:pPr>
        <w:pStyle w:val="aff4"/>
        <w:rPr>
          <w:rFonts w:eastAsiaTheme="minorEastAsia" w:cstheme="minorBidi"/>
          <w:i/>
          <w:iCs/>
          <w:noProof/>
          <w:sz w:val="22"/>
          <w:szCs w:val="22"/>
          <w:rtl/>
        </w:rPr>
      </w:pPr>
      <w:r>
        <w:rPr>
          <w:noProof/>
          <w:rtl/>
        </w:rPr>
        <w:t>ביאור הכנה"ג דנח' הנימוק"י והריב"ש במיגו שסותר טענתו</w:t>
      </w:r>
    </w:p>
    <w:p w:rsidR="00EC445E" w:rsidRDefault="00EC445E" w:rsidP="007E4E81">
      <w:pPr>
        <w:pStyle w:val="a"/>
        <w:rPr>
          <w:rFonts w:eastAsiaTheme="minorEastAsia" w:cstheme="minorBidi"/>
          <w:sz w:val="22"/>
          <w:szCs w:val="22"/>
          <w:rtl/>
        </w:rPr>
      </w:pPr>
      <w:r>
        <w:rPr>
          <w:rtl/>
        </w:rPr>
        <w:t>דברי הכנה"ג דלנימוק"י ולמרדכי מהני מיגו לסתור טענתו ולריב"ש ל"מ מיגו לסתור טענתו</w:t>
      </w:r>
    </w:p>
    <w:p w:rsidR="00EC445E" w:rsidRDefault="00EC445E" w:rsidP="007E4E81">
      <w:pPr>
        <w:pStyle w:val="a"/>
        <w:rPr>
          <w:rFonts w:eastAsiaTheme="minorEastAsia" w:cstheme="minorBidi"/>
          <w:sz w:val="22"/>
          <w:szCs w:val="22"/>
          <w:rtl/>
        </w:rPr>
      </w:pPr>
      <w:r>
        <w:rPr>
          <w:rtl/>
        </w:rPr>
        <w:t>הוכחת הריב"ש דל"מ מיגו לסתור טענתו מהאומר זה עבדי דאינו נאמן במיגו לומר זה בני</w:t>
      </w:r>
    </w:p>
    <w:p w:rsidR="00EC445E" w:rsidRDefault="00EC445E" w:rsidP="00EC445E">
      <w:pPr>
        <w:pStyle w:val="aff4"/>
        <w:rPr>
          <w:rFonts w:eastAsiaTheme="minorEastAsia" w:cstheme="minorBidi"/>
          <w:i/>
          <w:iCs/>
          <w:noProof/>
          <w:sz w:val="22"/>
          <w:szCs w:val="22"/>
          <w:rtl/>
        </w:rPr>
      </w:pPr>
      <w:r>
        <w:rPr>
          <w:noProof/>
          <w:rtl/>
        </w:rPr>
        <w:t>בי' התומים דמפטור לפטור אינו מדקדק בדבריו ולכן מהני מיגו</w:t>
      </w:r>
    </w:p>
    <w:p w:rsidR="00EC445E" w:rsidRDefault="00EC445E" w:rsidP="007E4E81">
      <w:pPr>
        <w:pStyle w:val="a"/>
        <w:rPr>
          <w:rFonts w:eastAsiaTheme="minorEastAsia" w:cstheme="minorBidi"/>
          <w:sz w:val="22"/>
          <w:szCs w:val="22"/>
          <w:rtl/>
        </w:rPr>
      </w:pPr>
      <w:r>
        <w:rPr>
          <w:rtl/>
        </w:rPr>
        <w:t>ביאור התומים בר"י מגאש דבחוזר מפטור לפטור לא דייק בטענתו דבשניהם טוען שאינו חייב</w:t>
      </w:r>
    </w:p>
    <w:p w:rsidR="00EC445E" w:rsidRDefault="00EC445E" w:rsidP="007E4E81">
      <w:pPr>
        <w:pStyle w:val="a"/>
        <w:rPr>
          <w:rFonts w:eastAsiaTheme="minorEastAsia" w:cstheme="minorBidi"/>
          <w:sz w:val="22"/>
          <w:szCs w:val="22"/>
          <w:rtl/>
        </w:rPr>
      </w:pPr>
      <w:r>
        <w:rPr>
          <w:rtl/>
        </w:rPr>
        <w:t>ביאור התומים בריב"ש דכשעוקר בטענתו השניה את טענתו הראשונה לגמרי אינו נאמן במיגו</w:t>
      </w:r>
    </w:p>
    <w:p w:rsidR="00EC445E" w:rsidRDefault="00EC445E" w:rsidP="007E4E81">
      <w:pPr>
        <w:pStyle w:val="a"/>
        <w:rPr>
          <w:rFonts w:eastAsiaTheme="minorEastAsia" w:cstheme="minorBidi"/>
          <w:sz w:val="22"/>
          <w:szCs w:val="22"/>
          <w:rtl/>
        </w:rPr>
      </w:pPr>
      <w:r>
        <w:rPr>
          <w:rtl/>
        </w:rPr>
        <w:t>דברי התומים דמודה הריב"ש דבאופן שאין נ"מ לדינא בין הטענות נאמן במיגו לחזור מטענתו</w:t>
      </w:r>
    </w:p>
    <w:p w:rsidR="00EC445E" w:rsidRDefault="00EC445E" w:rsidP="007E4E81">
      <w:pPr>
        <w:pStyle w:val="a"/>
        <w:rPr>
          <w:rFonts w:eastAsiaTheme="minorEastAsia" w:cstheme="minorBidi"/>
          <w:sz w:val="22"/>
          <w:szCs w:val="22"/>
          <w:rtl/>
        </w:rPr>
      </w:pPr>
      <w:r>
        <w:rPr>
          <w:rtl/>
        </w:rPr>
        <w:t>ביאור הנתיה"מ בר"י מגאש דטענתו הראשונה אינה הודאה כיון דאינו מדייק בטענת פטור</w:t>
      </w:r>
    </w:p>
    <w:p w:rsidR="00EC445E" w:rsidRDefault="00EC445E" w:rsidP="007E4E81">
      <w:pPr>
        <w:pStyle w:val="a"/>
        <w:rPr>
          <w:rFonts w:eastAsiaTheme="minorEastAsia" w:cstheme="minorBidi"/>
          <w:sz w:val="22"/>
          <w:szCs w:val="22"/>
          <w:rtl/>
        </w:rPr>
      </w:pPr>
      <w:r>
        <w:rPr>
          <w:rtl/>
        </w:rPr>
        <w:t>הוכחת הנתיה"מ דאין כוונת הר"י מגאש למיגו דא"כ אמאי אינו חוזר כשכתבו את הטענות</w:t>
      </w:r>
    </w:p>
    <w:p w:rsidR="00EC445E" w:rsidRDefault="00EC445E" w:rsidP="00EC445E">
      <w:pPr>
        <w:pStyle w:val="2"/>
        <w:rPr>
          <w:rFonts w:eastAsiaTheme="minorEastAsia" w:cstheme="minorBidi"/>
          <w:i/>
          <w:iCs/>
          <w:sz w:val="22"/>
          <w:szCs w:val="22"/>
          <w:rtl/>
        </w:rPr>
      </w:pPr>
      <w:r>
        <w:rPr>
          <w:rtl/>
        </w:rPr>
        <w:t>בחוזר מחיוב לפטור וחשב שטוען פטור</w:t>
      </w:r>
    </w:p>
    <w:p w:rsidR="00EC445E" w:rsidRDefault="00EC445E" w:rsidP="00EC445E">
      <w:pPr>
        <w:pStyle w:val="aff4"/>
        <w:rPr>
          <w:rFonts w:eastAsiaTheme="minorEastAsia" w:cstheme="minorBidi"/>
          <w:i/>
          <w:iCs/>
          <w:noProof/>
          <w:sz w:val="22"/>
          <w:szCs w:val="22"/>
          <w:rtl/>
        </w:rPr>
      </w:pPr>
      <w:r>
        <w:rPr>
          <w:noProof/>
          <w:rtl/>
        </w:rPr>
        <w:t>פלוג' הדברי ריבות והקצוה"ח בסבר שטוען לפטור וטען לחיוב</w:t>
      </w:r>
    </w:p>
    <w:p w:rsidR="00EC445E" w:rsidRDefault="00EC445E" w:rsidP="007E4E81">
      <w:pPr>
        <w:pStyle w:val="a"/>
        <w:rPr>
          <w:rFonts w:eastAsiaTheme="minorEastAsia" w:cstheme="minorBidi"/>
          <w:sz w:val="22"/>
          <w:szCs w:val="22"/>
          <w:rtl/>
        </w:rPr>
      </w:pPr>
      <w:r>
        <w:rPr>
          <w:rtl/>
        </w:rPr>
        <w:t>דברי הכנה"ג בשם הדברי ריבות דכשטען חיוב וסבר שטוען טענת פטור נאמן לחזור ולטעון</w:t>
      </w:r>
    </w:p>
    <w:p w:rsidR="00EC445E" w:rsidRDefault="00EC445E" w:rsidP="007E4E81">
      <w:pPr>
        <w:pStyle w:val="a"/>
        <w:rPr>
          <w:rFonts w:eastAsiaTheme="minorEastAsia" w:cstheme="minorBidi"/>
          <w:sz w:val="22"/>
          <w:szCs w:val="22"/>
          <w:rtl/>
        </w:rPr>
      </w:pPr>
      <w:r>
        <w:rPr>
          <w:rtl/>
        </w:rPr>
        <w:t>דברי הקצוה"ח דאי דטוען מפטור לפטור אינה הודאת בע"ד א"כ בסבר שטוען פטור אינו חוזר</w:t>
      </w:r>
    </w:p>
    <w:p w:rsidR="00EC445E" w:rsidRDefault="00EC445E" w:rsidP="007E4E81">
      <w:pPr>
        <w:pStyle w:val="a"/>
        <w:rPr>
          <w:rFonts w:eastAsiaTheme="minorEastAsia" w:cstheme="minorBidi"/>
          <w:sz w:val="22"/>
          <w:szCs w:val="22"/>
          <w:rtl/>
        </w:rPr>
      </w:pPr>
      <w:r>
        <w:rPr>
          <w:rtl/>
        </w:rPr>
        <w:t>דברי הקצוה"ח דלביאור הטור בר"י מגאש דבפטור לפטור נאמן במיגו ה"ה בסבר שטוען פטור</w:t>
      </w:r>
    </w:p>
    <w:p w:rsidR="00EC445E" w:rsidRDefault="00EC445E" w:rsidP="00EC445E">
      <w:pPr>
        <w:pStyle w:val="2"/>
        <w:rPr>
          <w:rFonts w:eastAsiaTheme="minorEastAsia" w:cstheme="minorBidi"/>
          <w:i/>
          <w:iCs/>
          <w:sz w:val="22"/>
          <w:szCs w:val="22"/>
          <w:rtl/>
        </w:rPr>
      </w:pPr>
      <w:r>
        <w:rPr>
          <w:rtl/>
        </w:rPr>
        <w:t>אי נאמן כשיש עדים כטענתו האחרונה</w:t>
      </w:r>
    </w:p>
    <w:p w:rsidR="00EC445E" w:rsidRDefault="00EC445E" w:rsidP="00EC445E">
      <w:pPr>
        <w:pStyle w:val="aff4"/>
        <w:rPr>
          <w:rFonts w:eastAsiaTheme="minorEastAsia" w:cstheme="minorBidi"/>
          <w:i/>
          <w:iCs/>
          <w:noProof/>
          <w:sz w:val="22"/>
          <w:szCs w:val="22"/>
          <w:rtl/>
        </w:rPr>
      </w:pPr>
      <w:r>
        <w:rPr>
          <w:noProof/>
          <w:rtl/>
        </w:rPr>
        <w:t>דעת המבי"ט דנאמן בחוזר וטוען והביא עדים כטענתו האחרונה</w:t>
      </w:r>
    </w:p>
    <w:p w:rsidR="00EC445E" w:rsidRDefault="00EC445E" w:rsidP="007E4E81">
      <w:pPr>
        <w:pStyle w:val="a"/>
        <w:rPr>
          <w:rFonts w:eastAsiaTheme="minorEastAsia" w:cstheme="minorBidi"/>
          <w:sz w:val="22"/>
          <w:szCs w:val="22"/>
          <w:rtl/>
        </w:rPr>
      </w:pPr>
      <w:r>
        <w:rPr>
          <w:rtl/>
        </w:rPr>
        <w:t>דברי המבי"ט דבטוען להד"ם והביא עדים שלוה וחזר וטען פרעתי והביא עדים שפרע נאמן</w:t>
      </w:r>
    </w:p>
    <w:p w:rsidR="00EC445E" w:rsidRDefault="00EC445E" w:rsidP="007E4E81">
      <w:pPr>
        <w:pStyle w:val="a"/>
        <w:rPr>
          <w:rFonts w:eastAsiaTheme="minorEastAsia" w:cstheme="minorBidi"/>
          <w:sz w:val="22"/>
          <w:szCs w:val="22"/>
          <w:rtl/>
        </w:rPr>
      </w:pPr>
      <w:r>
        <w:rPr>
          <w:rtl/>
        </w:rPr>
        <w:t>דברי המבי"ט דכן משמע ברמב"ם ובמ"מ דבחוזר וטוען לא מקבלים את טענתו אך עדים נאמנים</w:t>
      </w:r>
    </w:p>
    <w:p w:rsidR="00EC445E" w:rsidRDefault="00EC445E" w:rsidP="007E4E81">
      <w:pPr>
        <w:pStyle w:val="a"/>
        <w:rPr>
          <w:rFonts w:eastAsiaTheme="minorEastAsia" w:cstheme="minorBidi"/>
          <w:sz w:val="22"/>
          <w:szCs w:val="22"/>
          <w:rtl/>
        </w:rPr>
      </w:pPr>
      <w:r>
        <w:rPr>
          <w:rtl/>
        </w:rPr>
        <w:t>דברי המבי"ט דבאומר לא לויתי דלא נאמן בעידי פרעון היינו כשעדיין כופר בעדים וטוען להד"ם</w:t>
      </w:r>
    </w:p>
    <w:p w:rsidR="00EC445E" w:rsidRDefault="00EC445E" w:rsidP="007E4E81">
      <w:pPr>
        <w:pStyle w:val="a"/>
        <w:rPr>
          <w:rFonts w:eastAsiaTheme="minorEastAsia" w:cstheme="minorBidi"/>
          <w:sz w:val="22"/>
          <w:szCs w:val="22"/>
          <w:rtl/>
        </w:rPr>
      </w:pPr>
      <w:r>
        <w:rPr>
          <w:rtl/>
        </w:rPr>
        <w:t>הוכחת המבי"ט מהרמ"ה דבהוכחש בעדים אינו נאמן עד שיביא ראיה ומוכח דעדים נאמנים</w:t>
      </w:r>
    </w:p>
    <w:p w:rsidR="00EC445E" w:rsidRDefault="00EC445E" w:rsidP="007E4E81">
      <w:pPr>
        <w:pStyle w:val="a"/>
        <w:rPr>
          <w:rFonts w:eastAsiaTheme="minorEastAsia" w:cstheme="minorBidi"/>
          <w:sz w:val="22"/>
          <w:szCs w:val="22"/>
          <w:rtl/>
        </w:rPr>
      </w:pPr>
      <w:r>
        <w:rPr>
          <w:rtl/>
        </w:rPr>
        <w:t>ביאור המבי"ט בריב"ש דרק באמר נזכרתי דהודה שסבר שלא לוה אינו נאמן בעידי פרעון</w:t>
      </w:r>
    </w:p>
    <w:p w:rsidR="00EC445E" w:rsidRPr="0063366E" w:rsidRDefault="00EC445E" w:rsidP="00EC445E">
      <w:pPr>
        <w:pStyle w:val="aff4"/>
        <w:rPr>
          <w:rFonts w:eastAsiaTheme="minorEastAsia" w:cstheme="minorBidi"/>
          <w:sz w:val="22"/>
          <w:szCs w:val="22"/>
        </w:rPr>
      </w:pPr>
      <w:r w:rsidRPr="0063366E">
        <w:rPr>
          <w:rtl/>
        </w:rPr>
        <w:t>דברי הש"ך דבחוזר וטוען והוכחש לא מהני עדים דפרע</w:t>
      </w:r>
    </w:p>
    <w:p w:rsidR="00EC445E" w:rsidRDefault="00EC445E" w:rsidP="007E4E81">
      <w:pPr>
        <w:pStyle w:val="a"/>
        <w:rPr>
          <w:rFonts w:eastAsiaTheme="minorEastAsia" w:cstheme="minorBidi"/>
          <w:sz w:val="22"/>
          <w:szCs w:val="22"/>
          <w:rtl/>
        </w:rPr>
      </w:pPr>
      <w:r>
        <w:rPr>
          <w:rtl/>
        </w:rPr>
        <w:t>דברי הש"ך דבטען להד"ם והוכחש בעדים אינו נאמן לומר פרעתי אף כשיש לו עדים שפרע</w:t>
      </w:r>
    </w:p>
    <w:p w:rsidR="00EC445E" w:rsidRDefault="00EC445E" w:rsidP="007E4E81">
      <w:pPr>
        <w:pStyle w:val="a"/>
        <w:rPr>
          <w:rFonts w:eastAsiaTheme="minorEastAsia" w:cstheme="minorBidi"/>
          <w:sz w:val="22"/>
          <w:szCs w:val="22"/>
          <w:rtl/>
        </w:rPr>
      </w:pPr>
      <w:r>
        <w:rPr>
          <w:rtl/>
        </w:rPr>
        <w:t>ביאור הש"ך ברמ"ה דרק אם לאחר שחזר וטען פרעתי באו עדים שלוה נאמן בעידי פרעון</w:t>
      </w:r>
    </w:p>
    <w:p w:rsidR="00EC445E" w:rsidRDefault="00EC445E" w:rsidP="007E4E81">
      <w:pPr>
        <w:pStyle w:val="a"/>
        <w:rPr>
          <w:rFonts w:eastAsiaTheme="minorEastAsia" w:cstheme="minorBidi"/>
          <w:sz w:val="22"/>
          <w:szCs w:val="22"/>
          <w:rtl/>
        </w:rPr>
      </w:pPr>
      <w:r>
        <w:rPr>
          <w:rtl/>
        </w:rPr>
        <w:t>דברי הש"ך דבפוסקים משמע דבאומר לא לויתי לא נאמן בעידי פרעון בטוען שלוה ופרע</w:t>
      </w:r>
    </w:p>
    <w:p w:rsidR="00EC445E" w:rsidRDefault="001B6519" w:rsidP="00EC445E">
      <w:pPr>
        <w:pStyle w:val="2"/>
        <w:rPr>
          <w:rFonts w:eastAsiaTheme="minorEastAsia" w:cstheme="minorBidi"/>
          <w:i/>
          <w:iCs/>
          <w:sz w:val="22"/>
          <w:szCs w:val="22"/>
          <w:rtl/>
        </w:rPr>
      </w:pPr>
      <w:r>
        <w:rPr>
          <w:rtl/>
        </w:rPr>
        <w:t>~~~~~~~ ביאורי ראשי הישיבות ~~~~~~~</w:t>
      </w:r>
    </w:p>
    <w:p w:rsidR="00EC445E" w:rsidRDefault="00EC445E" w:rsidP="00EC445E">
      <w:pPr>
        <w:pStyle w:val="2"/>
        <w:rPr>
          <w:rFonts w:eastAsiaTheme="minorEastAsia" w:cstheme="minorBidi"/>
          <w:i/>
          <w:iCs/>
          <w:sz w:val="22"/>
          <w:szCs w:val="22"/>
          <w:rtl/>
        </w:rPr>
      </w:pPr>
      <w:r>
        <w:rPr>
          <w:rtl/>
        </w:rPr>
        <w:t>בפלוג' תוס' ורשב"ם במפרש חוץ לב"ד</w:t>
      </w:r>
    </w:p>
    <w:p w:rsidR="00EC445E" w:rsidRDefault="00EC445E" w:rsidP="00EC445E">
      <w:pPr>
        <w:pStyle w:val="aff4"/>
        <w:rPr>
          <w:rFonts w:eastAsiaTheme="minorEastAsia" w:cstheme="minorBidi"/>
          <w:i/>
          <w:iCs/>
          <w:noProof/>
          <w:sz w:val="22"/>
          <w:szCs w:val="22"/>
          <w:rtl/>
        </w:rPr>
      </w:pPr>
      <w:r>
        <w:rPr>
          <w:noProof/>
          <w:rtl/>
        </w:rPr>
        <w:t>בי' הגרנ"פ בפלוג' הראשונים בלקחוה מאבותיך חוץ לב"ד</w:t>
      </w:r>
    </w:p>
    <w:p w:rsidR="00EC445E" w:rsidRDefault="00EC445E" w:rsidP="007E4E81">
      <w:pPr>
        <w:pStyle w:val="a"/>
        <w:rPr>
          <w:rFonts w:eastAsiaTheme="minorEastAsia" w:cstheme="minorBidi"/>
          <w:sz w:val="22"/>
          <w:szCs w:val="22"/>
          <w:rtl/>
        </w:rPr>
      </w:pPr>
      <w:r>
        <w:rPr>
          <w:rtl/>
        </w:rPr>
        <w:t>דברי הגרנ"פ דלרשב"ם נאמן לחזור חוץ לב"ד בלקחוה ולרבינו יונה ולרשב"א ולרמב"ם לא נמן</w:t>
      </w:r>
    </w:p>
    <w:p w:rsidR="00EC445E" w:rsidRDefault="00EC445E" w:rsidP="007E4E81">
      <w:pPr>
        <w:pStyle w:val="a"/>
        <w:rPr>
          <w:rFonts w:eastAsiaTheme="minorEastAsia" w:cstheme="minorBidi"/>
          <w:sz w:val="22"/>
          <w:szCs w:val="22"/>
          <w:rtl/>
        </w:rPr>
      </w:pPr>
      <w:r>
        <w:rPr>
          <w:rtl/>
        </w:rPr>
        <w:t>ביאור הגרנ"פ דר"י והרשב"ם נחלקו אי טענת של אבותי משמע שמעולם הייתה שלהם</w:t>
      </w:r>
    </w:p>
    <w:p w:rsidR="00EC445E" w:rsidRDefault="00EC445E" w:rsidP="00EC445E">
      <w:pPr>
        <w:pStyle w:val="2"/>
        <w:rPr>
          <w:rFonts w:eastAsiaTheme="minorEastAsia" w:cstheme="minorBidi"/>
          <w:i/>
          <w:iCs/>
          <w:sz w:val="22"/>
          <w:szCs w:val="22"/>
          <w:rtl/>
        </w:rPr>
      </w:pPr>
      <w:r>
        <w:rPr>
          <w:rtl/>
        </w:rPr>
        <w:t>בפלוגתת הרשב"ם והי"מ בדין חוזר וטוען</w:t>
      </w:r>
    </w:p>
    <w:p w:rsidR="00EC445E" w:rsidRDefault="00EC445E" w:rsidP="00EC445E">
      <w:pPr>
        <w:pStyle w:val="aff4"/>
        <w:rPr>
          <w:rFonts w:eastAsiaTheme="minorEastAsia" w:cstheme="minorBidi"/>
          <w:i/>
          <w:iCs/>
          <w:noProof/>
          <w:sz w:val="22"/>
          <w:szCs w:val="22"/>
          <w:rtl/>
        </w:rPr>
      </w:pPr>
      <w:r>
        <w:rPr>
          <w:noProof/>
          <w:rtl/>
        </w:rPr>
        <w:t>משמעות פלוגתת הרשב"ם והי"מ ברשב"ם בגדר חוזר וטוען</w:t>
      </w:r>
    </w:p>
    <w:p w:rsidR="00EC445E" w:rsidRDefault="00EC445E" w:rsidP="007E4E81">
      <w:pPr>
        <w:pStyle w:val="a"/>
        <w:rPr>
          <w:rFonts w:eastAsiaTheme="minorEastAsia" w:cstheme="minorBidi"/>
          <w:sz w:val="22"/>
          <w:szCs w:val="22"/>
          <w:rtl/>
        </w:rPr>
      </w:pPr>
      <w:r>
        <w:rPr>
          <w:rtl/>
        </w:rPr>
        <w:t>דברי הרשב"ם לעיל דבחוזר וטוען ומכחיש טענותיו פוסקים את הדין כפי הטענות הראשונות</w:t>
      </w:r>
    </w:p>
    <w:p w:rsidR="00EC445E" w:rsidRDefault="00EC445E" w:rsidP="007E4E81">
      <w:pPr>
        <w:pStyle w:val="a"/>
        <w:rPr>
          <w:rFonts w:eastAsiaTheme="minorEastAsia" w:cstheme="minorBidi"/>
          <w:sz w:val="22"/>
          <w:szCs w:val="22"/>
          <w:rtl/>
        </w:rPr>
      </w:pPr>
      <w:r>
        <w:rPr>
          <w:rtl/>
        </w:rPr>
        <w:t>משמעות הי"מ ברשב"ם לעיל דהא דאינו חוזר וטוען אינו מחמת דטענתו כהודאת בע"ד</w:t>
      </w:r>
    </w:p>
    <w:p w:rsidR="00EC445E" w:rsidRDefault="00EC445E" w:rsidP="007E4E81">
      <w:pPr>
        <w:pStyle w:val="a"/>
        <w:rPr>
          <w:rFonts w:eastAsiaTheme="minorEastAsia" w:cstheme="minorBidi"/>
          <w:sz w:val="22"/>
          <w:szCs w:val="22"/>
          <w:rtl/>
        </w:rPr>
      </w:pPr>
      <w:r>
        <w:rPr>
          <w:rtl/>
        </w:rPr>
        <w:t>דברי הרשב"ם והתוס' לעיל דבחוזר וטוען אינו נאמן דהא הודאת בע"ד כמאה עדים</w:t>
      </w:r>
    </w:p>
    <w:p w:rsidR="00EC445E" w:rsidRDefault="00EC445E" w:rsidP="00EC445E">
      <w:pPr>
        <w:pStyle w:val="aff4"/>
        <w:rPr>
          <w:rFonts w:eastAsiaTheme="minorEastAsia" w:cstheme="minorBidi"/>
          <w:i/>
          <w:iCs/>
          <w:noProof/>
          <w:sz w:val="22"/>
          <w:szCs w:val="22"/>
          <w:rtl/>
        </w:rPr>
      </w:pPr>
      <w:r>
        <w:rPr>
          <w:noProof/>
          <w:rtl/>
        </w:rPr>
        <w:t>ביאור הגרנ"פ דנח' הרשב"ם והי"מ לעיל בטעם דאינו חוזר וטוען</w:t>
      </w:r>
    </w:p>
    <w:p w:rsidR="00EC445E" w:rsidRDefault="00EC445E" w:rsidP="007E4E81">
      <w:pPr>
        <w:pStyle w:val="a"/>
        <w:rPr>
          <w:rFonts w:eastAsiaTheme="minorEastAsia" w:cstheme="minorBidi"/>
          <w:sz w:val="22"/>
          <w:szCs w:val="22"/>
          <w:rtl/>
        </w:rPr>
      </w:pPr>
      <w:r>
        <w:rPr>
          <w:rtl/>
        </w:rPr>
        <w:t>ביאור הגרנ"פ ברשב"ם ובתוס' לעיל דאינו חוזר וטוען דטענתו הראשונה כהודאת בע"ד</w:t>
      </w:r>
    </w:p>
    <w:p w:rsidR="00EC445E" w:rsidRDefault="00EC445E" w:rsidP="007E4E81">
      <w:pPr>
        <w:pStyle w:val="a"/>
        <w:rPr>
          <w:rFonts w:eastAsiaTheme="minorEastAsia" w:cstheme="minorBidi"/>
          <w:sz w:val="22"/>
          <w:szCs w:val="22"/>
          <w:rtl/>
        </w:rPr>
      </w:pPr>
      <w:r>
        <w:rPr>
          <w:rtl/>
        </w:rPr>
        <w:t>ביאור הגרנ"פ בי"מ ברשב"ם לעיל דאינו חוזר וטעון דבדיני טענות אינו נאמן לסתור טענתו</w:t>
      </w:r>
    </w:p>
    <w:p w:rsidR="00EC445E" w:rsidRDefault="00EC445E" w:rsidP="007E4E81">
      <w:pPr>
        <w:pStyle w:val="a"/>
        <w:rPr>
          <w:rFonts w:eastAsiaTheme="minorEastAsia" w:cstheme="minorBidi"/>
          <w:sz w:val="22"/>
          <w:szCs w:val="22"/>
          <w:rtl/>
        </w:rPr>
      </w:pPr>
      <w:r>
        <w:rPr>
          <w:rtl/>
        </w:rPr>
        <w:t>דחיית הגרנ"פ דמסוף דברי הרשב"ם משמע דלא רק מחמת שהודה אלא דבדיני טענות לא נאמן</w:t>
      </w:r>
    </w:p>
    <w:p w:rsidR="00EC445E" w:rsidRDefault="00EC445E" w:rsidP="00EC445E">
      <w:pPr>
        <w:pStyle w:val="2"/>
        <w:rPr>
          <w:rFonts w:eastAsiaTheme="minorEastAsia" w:cstheme="minorBidi"/>
          <w:i/>
          <w:iCs/>
          <w:sz w:val="22"/>
          <w:szCs w:val="22"/>
          <w:rtl/>
        </w:rPr>
      </w:pPr>
      <w:r>
        <w:rPr>
          <w:rtl/>
        </w:rPr>
        <w:t>בפלוגתת עולא ונהרדעי בחוזר וטוען</w:t>
      </w:r>
    </w:p>
    <w:p w:rsidR="00EC445E" w:rsidRDefault="00EC445E" w:rsidP="00EC445E">
      <w:pPr>
        <w:pStyle w:val="aff4"/>
        <w:rPr>
          <w:rFonts w:eastAsiaTheme="minorEastAsia" w:cstheme="minorBidi"/>
          <w:i/>
          <w:iCs/>
          <w:noProof/>
          <w:sz w:val="22"/>
          <w:szCs w:val="22"/>
          <w:rtl/>
        </w:rPr>
      </w:pPr>
      <w:r w:rsidRPr="00DB6090">
        <w:rPr>
          <w:noProof/>
          <w:rtl/>
        </w:rPr>
        <w:t>דברי הגר"ח מטעלז אי מהני מיגו לסתור טענתו</w:t>
      </w:r>
    </w:p>
    <w:p w:rsidR="00EC445E" w:rsidRDefault="00EC445E" w:rsidP="007E4E81">
      <w:pPr>
        <w:pStyle w:val="a"/>
        <w:rPr>
          <w:rFonts w:eastAsiaTheme="minorEastAsia" w:cstheme="minorBidi"/>
          <w:sz w:val="22"/>
          <w:szCs w:val="22"/>
          <w:rtl/>
        </w:rPr>
      </w:pPr>
      <w:r>
        <w:rPr>
          <w:rtl/>
        </w:rPr>
        <w:t>דברי הגר"ח מטעלז דבפשטות הא דאינו חוזר וטוען דל"מ מיגו לסתור טענתו הראשונה</w:t>
      </w:r>
    </w:p>
    <w:p w:rsidR="00EC445E" w:rsidRDefault="00EC445E" w:rsidP="007E4E81">
      <w:pPr>
        <w:pStyle w:val="a"/>
        <w:rPr>
          <w:rFonts w:eastAsiaTheme="minorEastAsia" w:cstheme="minorBidi"/>
          <w:sz w:val="22"/>
          <w:szCs w:val="22"/>
          <w:rtl/>
        </w:rPr>
      </w:pPr>
      <w:r>
        <w:rPr>
          <w:rtl/>
        </w:rPr>
        <w:t>דברי הגר"ח מטעלז דבש"ך מבואר דנאמן במיגו לסתור טענתו ואינו נאמן במיגו מחיוב לפטור</w:t>
      </w:r>
    </w:p>
    <w:p w:rsidR="00EC445E" w:rsidRDefault="00EC445E" w:rsidP="007E4E81">
      <w:pPr>
        <w:pStyle w:val="a"/>
        <w:rPr>
          <w:rFonts w:eastAsiaTheme="minorEastAsia" w:cstheme="minorBidi"/>
          <w:sz w:val="22"/>
          <w:szCs w:val="22"/>
          <w:rtl/>
        </w:rPr>
      </w:pPr>
      <w:r>
        <w:rPr>
          <w:rtl/>
        </w:rPr>
        <w:t>הביאור הב' בגר"ח מטעלז דרק במיגו דאי בעי שתיק נאמן לסתור טענתו הראשונה ולא במוסיף</w:t>
      </w:r>
    </w:p>
    <w:p w:rsidR="00EC445E" w:rsidRDefault="00EC445E" w:rsidP="00EC445E">
      <w:pPr>
        <w:pStyle w:val="2"/>
        <w:rPr>
          <w:rFonts w:eastAsiaTheme="minorEastAsia" w:cstheme="minorBidi"/>
          <w:i/>
          <w:iCs/>
          <w:sz w:val="22"/>
          <w:szCs w:val="22"/>
          <w:rtl/>
        </w:rPr>
      </w:pPr>
      <w:r>
        <w:rPr>
          <w:rtl/>
        </w:rPr>
        <w:t>בד' הקצוה"ח דטענת פטור אינה הודאה</w:t>
      </w:r>
    </w:p>
    <w:p w:rsidR="00EC445E" w:rsidRDefault="00EC445E" w:rsidP="00EC445E">
      <w:pPr>
        <w:pStyle w:val="aff4"/>
        <w:rPr>
          <w:rFonts w:eastAsiaTheme="minorEastAsia" w:cstheme="minorBidi"/>
          <w:i/>
          <w:iCs/>
          <w:noProof/>
          <w:sz w:val="22"/>
          <w:szCs w:val="22"/>
          <w:rtl/>
        </w:rPr>
      </w:pPr>
      <w:r>
        <w:rPr>
          <w:noProof/>
          <w:rtl/>
        </w:rPr>
        <w:t>בביאור דברי הקצוה"ח דטענתו הראשונה אינה כהודאת בע"ד</w:t>
      </w:r>
    </w:p>
    <w:p w:rsidR="00EC445E" w:rsidRDefault="00EC445E" w:rsidP="007E4E81">
      <w:pPr>
        <w:pStyle w:val="a"/>
        <w:rPr>
          <w:rFonts w:eastAsiaTheme="minorEastAsia" w:cstheme="minorBidi"/>
          <w:sz w:val="22"/>
          <w:szCs w:val="22"/>
          <w:rtl/>
        </w:rPr>
      </w:pPr>
      <w:r>
        <w:rPr>
          <w:rtl/>
        </w:rPr>
        <w:t>ביאור הגר"ח מטעלז בקצוה"ח דטענת חיוב היא כנחקרה בב"ד אך טענת פטור לא נחקרה</w:t>
      </w:r>
    </w:p>
    <w:p w:rsidR="00EC445E" w:rsidRDefault="00EC445E" w:rsidP="007E4E81">
      <w:pPr>
        <w:pStyle w:val="a"/>
        <w:rPr>
          <w:rFonts w:eastAsiaTheme="minorEastAsia" w:cstheme="minorBidi"/>
          <w:sz w:val="22"/>
          <w:szCs w:val="22"/>
          <w:rtl/>
        </w:rPr>
      </w:pPr>
      <w:r>
        <w:rPr>
          <w:rtl/>
        </w:rPr>
        <w:t>קושית הגר"ח מטעלז על הנתיה"מ דאי אינו מדקרק בפטור אמאי בלא לויתי לא נאמן לחזור</w:t>
      </w:r>
    </w:p>
    <w:p w:rsidR="00EC445E" w:rsidRDefault="00EC445E" w:rsidP="007E4E81">
      <w:pPr>
        <w:pStyle w:val="a"/>
        <w:rPr>
          <w:rFonts w:eastAsiaTheme="minorEastAsia" w:cstheme="minorBidi"/>
          <w:sz w:val="22"/>
          <w:szCs w:val="22"/>
          <w:rtl/>
        </w:rPr>
      </w:pPr>
      <w:r>
        <w:rPr>
          <w:rtl/>
        </w:rPr>
        <w:t>ביאור הגרש"ר בקצוה"ח דאעפ"י דטענת פטור כהודאה מ"מ לא חשיבא כמאה עדים</w:t>
      </w:r>
    </w:p>
    <w:p w:rsidR="00EC445E" w:rsidRDefault="00EC445E" w:rsidP="007E4E81">
      <w:pPr>
        <w:pStyle w:val="a"/>
        <w:rPr>
          <w:rFonts w:eastAsiaTheme="minorEastAsia" w:cstheme="minorBidi"/>
          <w:sz w:val="22"/>
          <w:szCs w:val="22"/>
          <w:rtl/>
        </w:rPr>
      </w:pPr>
      <w:r>
        <w:rPr>
          <w:rtl/>
        </w:rPr>
        <w:t>הוכחת הגרנ"פ לדברי הקצוה"ח דאי טענת פטור כהודאה א"כ הודה ששאר הטענות אינם אמת</w:t>
      </w:r>
    </w:p>
    <w:p w:rsidR="00EC445E" w:rsidRDefault="00EC445E" w:rsidP="00EC445E">
      <w:pPr>
        <w:pStyle w:val="2"/>
        <w:rPr>
          <w:rFonts w:eastAsiaTheme="minorEastAsia" w:cstheme="minorBidi"/>
          <w:i/>
          <w:iCs/>
          <w:sz w:val="22"/>
          <w:szCs w:val="22"/>
          <w:rtl/>
        </w:rPr>
      </w:pPr>
      <w:r>
        <w:rPr>
          <w:rtl/>
        </w:rPr>
        <w:t>בישוב קו' הקצוה"ח על הר"י מגאש</w:t>
      </w:r>
    </w:p>
    <w:p w:rsidR="00EC445E" w:rsidRDefault="00EC445E" w:rsidP="00EC445E">
      <w:pPr>
        <w:pStyle w:val="aff4"/>
        <w:rPr>
          <w:rFonts w:eastAsiaTheme="minorEastAsia" w:cstheme="minorBidi"/>
          <w:i/>
          <w:iCs/>
          <w:noProof/>
          <w:sz w:val="22"/>
          <w:szCs w:val="22"/>
          <w:rtl/>
        </w:rPr>
      </w:pPr>
      <w:r>
        <w:rPr>
          <w:rFonts w:hint="cs"/>
          <w:noProof/>
          <w:rtl/>
        </w:rPr>
        <w:t>ביאור הקוב"ש דבפטור סגי בנאמנות מיגו אף כשיש עדים</w:t>
      </w:r>
    </w:p>
    <w:p w:rsidR="00EC445E" w:rsidRDefault="00EC445E" w:rsidP="007E4E81">
      <w:pPr>
        <w:pStyle w:val="a"/>
        <w:rPr>
          <w:rFonts w:eastAsiaTheme="minorEastAsia" w:cstheme="minorBidi"/>
          <w:sz w:val="22"/>
          <w:szCs w:val="22"/>
          <w:rtl/>
        </w:rPr>
      </w:pPr>
      <w:r>
        <w:rPr>
          <w:rtl/>
        </w:rPr>
        <w:t>קושית הקוב"ש והגרנ"פ והגרש"ר דבר"י מגאש וברמ"ה וברשב"א כתבו דנאמן במיגו</w:t>
      </w:r>
    </w:p>
    <w:p w:rsidR="00EC445E" w:rsidRDefault="00EC445E" w:rsidP="007E4E81">
      <w:pPr>
        <w:pStyle w:val="a"/>
        <w:rPr>
          <w:rFonts w:eastAsiaTheme="minorEastAsia" w:cstheme="minorBidi"/>
          <w:sz w:val="22"/>
          <w:szCs w:val="22"/>
          <w:rtl/>
        </w:rPr>
      </w:pPr>
      <w:r>
        <w:rPr>
          <w:rtl/>
        </w:rPr>
        <w:t>תי' הקוב"ש דרק בהפה שאסר וכח הטענה אין מיגו אחר שבאו עדים ובמה לי לשקר נאמן</w:t>
      </w:r>
    </w:p>
    <w:p w:rsidR="00EC445E" w:rsidRDefault="00EC445E" w:rsidP="007E4E81">
      <w:pPr>
        <w:pStyle w:val="a"/>
        <w:rPr>
          <w:rFonts w:eastAsiaTheme="minorEastAsia" w:cstheme="minorBidi"/>
          <w:sz w:val="22"/>
          <w:szCs w:val="22"/>
          <w:rtl/>
        </w:rPr>
      </w:pPr>
      <w:r>
        <w:rPr>
          <w:rtl/>
        </w:rPr>
        <w:t>ביאור הקוב"ש דבפטור לפטור סגי בנאמנות מיגו דמה לי לשקר דנאמן אף אחר שבאו עדים</w:t>
      </w:r>
    </w:p>
    <w:p w:rsidR="00EC445E" w:rsidRDefault="00EC445E" w:rsidP="007E4E81">
      <w:pPr>
        <w:pStyle w:val="a"/>
        <w:rPr>
          <w:rFonts w:eastAsiaTheme="minorEastAsia" w:cstheme="minorBidi"/>
          <w:sz w:val="22"/>
          <w:szCs w:val="22"/>
          <w:rtl/>
        </w:rPr>
      </w:pPr>
      <w:r>
        <w:rPr>
          <w:rtl/>
        </w:rPr>
        <w:t>קושית הגרנ"פ על הקוב"ש דבמ"מ מבואר דבפטור לפטור נאמן מדין הפה שאסר ולא במיגו</w:t>
      </w:r>
    </w:p>
    <w:p w:rsidR="00EC445E" w:rsidRDefault="00EC445E" w:rsidP="00EC445E">
      <w:pPr>
        <w:pStyle w:val="aff4"/>
        <w:rPr>
          <w:rFonts w:eastAsiaTheme="minorEastAsia" w:cstheme="minorBidi"/>
          <w:i/>
          <w:iCs/>
          <w:noProof/>
          <w:sz w:val="22"/>
          <w:szCs w:val="22"/>
          <w:rtl/>
        </w:rPr>
      </w:pPr>
      <w:r>
        <w:rPr>
          <w:noProof/>
          <w:rtl/>
        </w:rPr>
        <w:t>ביאור רבי נחום דבפטור לפטור נאמן דאינה הודאה ויש מיגו</w:t>
      </w:r>
    </w:p>
    <w:p w:rsidR="00EC445E" w:rsidRDefault="00EC445E" w:rsidP="007E4E81">
      <w:pPr>
        <w:pStyle w:val="a"/>
        <w:rPr>
          <w:rFonts w:eastAsiaTheme="minorEastAsia" w:cstheme="minorBidi"/>
          <w:sz w:val="22"/>
          <w:szCs w:val="22"/>
          <w:rtl/>
        </w:rPr>
      </w:pPr>
      <w:r>
        <w:rPr>
          <w:rtl/>
        </w:rPr>
        <w:t>ביאור הגרנ"פ דאין הודאת בע"ד ולכן נאמן כנגד טענתו הראשונה וע"י המיגו אין חשש משקר</w:t>
      </w:r>
    </w:p>
    <w:p w:rsidR="00EC445E" w:rsidRDefault="00EC445E" w:rsidP="00EC445E">
      <w:pPr>
        <w:pStyle w:val="aff4"/>
        <w:rPr>
          <w:rFonts w:eastAsiaTheme="minorEastAsia" w:cstheme="minorBidi"/>
          <w:i/>
          <w:iCs/>
          <w:noProof/>
          <w:sz w:val="22"/>
          <w:szCs w:val="22"/>
          <w:rtl/>
        </w:rPr>
      </w:pPr>
      <w:r>
        <w:rPr>
          <w:noProof/>
          <w:rtl/>
        </w:rPr>
        <w:t>בי' הגרנ"פ דהטענה השניה התקבלה כבר ע"י המיגו ולא בטלה</w:t>
      </w:r>
    </w:p>
    <w:p w:rsidR="00EC445E" w:rsidRDefault="00EC445E" w:rsidP="007E4E81">
      <w:pPr>
        <w:pStyle w:val="a"/>
        <w:rPr>
          <w:rFonts w:eastAsiaTheme="minorEastAsia" w:cstheme="minorBidi"/>
          <w:sz w:val="22"/>
          <w:szCs w:val="22"/>
          <w:rtl/>
        </w:rPr>
      </w:pPr>
      <w:r>
        <w:rPr>
          <w:rtl/>
        </w:rPr>
        <w:t>תירוץ הגרנ"פ על קו' הקצוה"ח דצריך מיגו רק כיון שחזר בו ולכן הטענה השניה התקבלה כבר</w:t>
      </w:r>
    </w:p>
    <w:p w:rsidR="00EC445E" w:rsidRDefault="00EC445E" w:rsidP="007E4E81">
      <w:pPr>
        <w:pStyle w:val="a"/>
        <w:rPr>
          <w:rFonts w:eastAsiaTheme="minorEastAsia" w:cstheme="minorBidi"/>
          <w:sz w:val="22"/>
          <w:szCs w:val="22"/>
          <w:rtl/>
        </w:rPr>
      </w:pPr>
      <w:r>
        <w:rPr>
          <w:rtl/>
        </w:rPr>
        <w:t>ביאור הגרנ"פ דכיון שהטענה השניה טובה בעצמה לא בטלה הראיה של המיגו</w:t>
      </w:r>
    </w:p>
    <w:p w:rsidR="00EC445E" w:rsidRDefault="00EC445E" w:rsidP="00EC445E">
      <w:pPr>
        <w:pStyle w:val="aff4"/>
        <w:rPr>
          <w:rFonts w:eastAsiaTheme="minorEastAsia" w:cstheme="minorBidi"/>
          <w:i/>
          <w:iCs/>
          <w:noProof/>
          <w:sz w:val="22"/>
          <w:szCs w:val="22"/>
          <w:rtl/>
        </w:rPr>
      </w:pPr>
      <w:r>
        <w:rPr>
          <w:noProof/>
          <w:rtl/>
        </w:rPr>
        <w:t>בי' הגרנ"פ דנח' הר"י מגאש והרמ"ה אי בפטור חשיב חוזר וטוען</w:t>
      </w:r>
    </w:p>
    <w:p w:rsidR="00EC445E" w:rsidRDefault="00EC445E" w:rsidP="007E4E81">
      <w:pPr>
        <w:pStyle w:val="a"/>
        <w:rPr>
          <w:rFonts w:eastAsiaTheme="minorEastAsia" w:cstheme="minorBidi"/>
          <w:sz w:val="22"/>
          <w:szCs w:val="22"/>
          <w:rtl/>
        </w:rPr>
      </w:pPr>
      <w:r>
        <w:rPr>
          <w:rtl/>
        </w:rPr>
        <w:t>ביאור הגרנ"פ דלר"י מגאש בפטור לפטור אינו חשיב כחוזר וטוען ולרמ"ה נאמן רק מחמת מיגו</w:t>
      </w:r>
    </w:p>
    <w:p w:rsidR="00EC445E" w:rsidRDefault="00EC445E" w:rsidP="007E4E81">
      <w:pPr>
        <w:pStyle w:val="a"/>
        <w:rPr>
          <w:rFonts w:eastAsiaTheme="minorEastAsia" w:cstheme="minorBidi"/>
          <w:sz w:val="22"/>
          <w:szCs w:val="22"/>
          <w:rtl/>
        </w:rPr>
      </w:pPr>
      <w:r>
        <w:rPr>
          <w:rtl/>
        </w:rPr>
        <w:t>ביאור הגרנ"פ דכשבאו עדים לר"י מגאש נשאר מיגו דלא משקר ולרמ"ה בטלה עיקר הנאמנות</w:t>
      </w:r>
    </w:p>
    <w:p w:rsidR="00EC445E" w:rsidRDefault="00EC445E" w:rsidP="00EC445E">
      <w:pPr>
        <w:pStyle w:val="aff4"/>
        <w:rPr>
          <w:rFonts w:eastAsiaTheme="minorEastAsia" w:cstheme="minorBidi"/>
          <w:i/>
          <w:iCs/>
          <w:noProof/>
          <w:sz w:val="22"/>
          <w:szCs w:val="22"/>
          <w:rtl/>
        </w:rPr>
      </w:pPr>
      <w:r w:rsidRPr="00DB6090">
        <w:rPr>
          <w:noProof/>
          <w:rtl/>
        </w:rPr>
        <w:t>ביאור הגרש"ר בר"י מגאש דלא הודה והמיגו כיון דסתר טענתו</w:t>
      </w:r>
    </w:p>
    <w:p w:rsidR="00EC445E" w:rsidRDefault="00EC445E" w:rsidP="007E4E81">
      <w:pPr>
        <w:pStyle w:val="a"/>
        <w:rPr>
          <w:rFonts w:eastAsiaTheme="minorEastAsia" w:cstheme="minorBidi"/>
          <w:sz w:val="22"/>
          <w:szCs w:val="22"/>
          <w:rtl/>
        </w:rPr>
      </w:pPr>
      <w:r>
        <w:rPr>
          <w:rtl/>
        </w:rPr>
        <w:t>ביאור הגרש"ר דחוזר מחיוב לפטור אינו נאמן גם כיון שהודה וגם כיון שסתר את טענתו</w:t>
      </w:r>
    </w:p>
    <w:p w:rsidR="00EC445E" w:rsidRDefault="00EC445E" w:rsidP="007E4E81">
      <w:pPr>
        <w:pStyle w:val="a"/>
        <w:rPr>
          <w:rFonts w:eastAsiaTheme="minorEastAsia" w:cstheme="minorBidi"/>
          <w:sz w:val="22"/>
          <w:szCs w:val="22"/>
          <w:rtl/>
        </w:rPr>
      </w:pPr>
      <w:r>
        <w:rPr>
          <w:rtl/>
        </w:rPr>
        <w:t>ביאור הגרש"ר בר"י מגאש דטענת פטור ל"ה הודאה וצריך מיגו דמה לי לשקר כיון דסותר טענתו</w:t>
      </w:r>
    </w:p>
    <w:p w:rsidR="00EC445E" w:rsidRDefault="00EC445E" w:rsidP="007E4E81">
      <w:pPr>
        <w:pStyle w:val="a"/>
        <w:rPr>
          <w:rFonts w:eastAsiaTheme="minorEastAsia" w:cstheme="minorBidi"/>
          <w:sz w:val="22"/>
          <w:szCs w:val="22"/>
          <w:rtl/>
        </w:rPr>
      </w:pPr>
      <w:r>
        <w:rPr>
          <w:rtl/>
        </w:rPr>
        <w:t>ביאור הגרש"ר דבכל מיגו צריך נאמנות דכח הטענה ובחוזר וטוען סגי במה לי לשקר</w:t>
      </w:r>
    </w:p>
    <w:p w:rsidR="00EC445E" w:rsidRDefault="00EC445E" w:rsidP="00EC445E">
      <w:pPr>
        <w:pStyle w:val="aff4"/>
        <w:rPr>
          <w:rFonts w:eastAsiaTheme="minorEastAsia" w:cstheme="minorBidi"/>
          <w:i/>
          <w:iCs/>
          <w:noProof/>
          <w:sz w:val="22"/>
          <w:szCs w:val="22"/>
          <w:rtl/>
        </w:rPr>
      </w:pPr>
      <w:r>
        <w:rPr>
          <w:noProof/>
          <w:rtl/>
        </w:rPr>
        <w:t>בי' האבי עזרי דנאמן בעיקר הטענה אף אחר שבאו עדים</w:t>
      </w:r>
    </w:p>
    <w:p w:rsidR="00EC445E" w:rsidRDefault="00EC445E" w:rsidP="007E4E81">
      <w:pPr>
        <w:pStyle w:val="a"/>
        <w:rPr>
          <w:rFonts w:eastAsiaTheme="minorEastAsia" w:cstheme="minorBidi"/>
          <w:sz w:val="22"/>
          <w:szCs w:val="22"/>
          <w:rtl/>
        </w:rPr>
      </w:pPr>
      <w:r>
        <w:rPr>
          <w:rtl/>
        </w:rPr>
        <w:t>ביאור האבי עזרי דמפטור לפטור נאמן בעיקר טענתו ולכן לא בטל המיגו אף כשבאו עדים</w:t>
      </w:r>
    </w:p>
    <w:p w:rsidR="00EC445E" w:rsidRDefault="00EC445E" w:rsidP="00EC445E">
      <w:pPr>
        <w:pStyle w:val="aff4"/>
        <w:rPr>
          <w:rFonts w:eastAsiaTheme="minorEastAsia" w:cstheme="minorBidi"/>
          <w:i/>
          <w:iCs/>
          <w:noProof/>
          <w:sz w:val="22"/>
          <w:szCs w:val="22"/>
          <w:rtl/>
        </w:rPr>
      </w:pPr>
      <w:r>
        <w:rPr>
          <w:noProof/>
          <w:rtl/>
        </w:rPr>
        <w:t>בי' האבי עזרי בנתיה"מ דאי דייק ל"מ מיגו כנגד הודאת בע"ד</w:t>
      </w:r>
    </w:p>
    <w:p w:rsidR="00EC445E" w:rsidRDefault="00EC445E" w:rsidP="007E4E81">
      <w:pPr>
        <w:pStyle w:val="a"/>
        <w:rPr>
          <w:rFonts w:eastAsiaTheme="minorEastAsia" w:cstheme="minorBidi"/>
          <w:sz w:val="22"/>
          <w:szCs w:val="22"/>
          <w:rtl/>
        </w:rPr>
      </w:pPr>
      <w:r>
        <w:rPr>
          <w:rtl/>
        </w:rPr>
        <w:t>ביאור האבי עזרי בנתיה"מ דמוכח דלא דייק בטענתו דאל"ה לא נאמן במיגו כנגד הודאת בע"ד</w:t>
      </w:r>
    </w:p>
    <w:p w:rsidR="00EC445E" w:rsidRDefault="00EC445E" w:rsidP="00EC445E">
      <w:pPr>
        <w:pStyle w:val="2"/>
        <w:rPr>
          <w:rFonts w:eastAsiaTheme="minorEastAsia" w:cstheme="minorBidi"/>
          <w:i/>
          <w:iCs/>
          <w:sz w:val="22"/>
          <w:szCs w:val="22"/>
          <w:rtl/>
        </w:rPr>
      </w:pPr>
      <w:r>
        <w:rPr>
          <w:rFonts w:hint="cs"/>
          <w:rtl/>
        </w:rPr>
        <w:t>בבי' דברי הריטב"א בחוזר מפטור לפטור</w:t>
      </w:r>
    </w:p>
    <w:p w:rsidR="00EC445E" w:rsidRDefault="00EC445E" w:rsidP="00EC445E">
      <w:pPr>
        <w:pStyle w:val="aff4"/>
        <w:rPr>
          <w:rFonts w:eastAsiaTheme="minorEastAsia" w:cstheme="minorBidi"/>
          <w:i/>
          <w:iCs/>
          <w:noProof/>
          <w:sz w:val="22"/>
          <w:szCs w:val="22"/>
          <w:rtl/>
        </w:rPr>
      </w:pPr>
      <w:r>
        <w:rPr>
          <w:noProof/>
          <w:rtl/>
        </w:rPr>
        <w:t>ביאור הגרנ"פ בריטב"א</w:t>
      </w:r>
      <w:r>
        <w:rPr>
          <w:rFonts w:hint="cs"/>
          <w:noProof/>
          <w:rtl/>
        </w:rPr>
        <w:t xml:space="preserve"> דרק בטענה שפוטרת לגמרי נאמן</w:t>
      </w:r>
    </w:p>
    <w:p w:rsidR="00EC445E" w:rsidRDefault="00EC445E" w:rsidP="007E4E81">
      <w:pPr>
        <w:pStyle w:val="a"/>
        <w:rPr>
          <w:rFonts w:eastAsiaTheme="minorEastAsia" w:cstheme="minorBidi"/>
          <w:sz w:val="22"/>
          <w:szCs w:val="22"/>
          <w:rtl/>
        </w:rPr>
      </w:pPr>
      <w:r>
        <w:rPr>
          <w:rtl/>
        </w:rPr>
        <w:t>ביאור הגרנ"פ בריטב"א דטענה שהייתה פטור ואחר שחזר וטען מחייבתו חשיב מחיוב לפטור</w:t>
      </w:r>
    </w:p>
    <w:p w:rsidR="00EC445E" w:rsidRDefault="00EC445E" w:rsidP="007E4E81">
      <w:pPr>
        <w:pStyle w:val="a"/>
        <w:rPr>
          <w:rFonts w:eastAsiaTheme="minorEastAsia" w:cstheme="minorBidi"/>
          <w:sz w:val="22"/>
          <w:szCs w:val="22"/>
          <w:rtl/>
        </w:rPr>
      </w:pPr>
      <w:r>
        <w:rPr>
          <w:rtl/>
        </w:rPr>
        <w:t>ביאור הגרנ"פ בריטב"א דבפטור לפטור לא חשיב חוזר וטוען אבל טענת לויתי חשיבא כחיוב</w:t>
      </w:r>
    </w:p>
    <w:p w:rsidR="00EC445E" w:rsidRDefault="00EC445E" w:rsidP="00EC445E">
      <w:pPr>
        <w:pStyle w:val="2"/>
        <w:rPr>
          <w:rFonts w:eastAsiaTheme="minorEastAsia" w:cstheme="minorBidi"/>
          <w:i/>
          <w:iCs/>
          <w:sz w:val="22"/>
          <w:szCs w:val="22"/>
          <w:rtl/>
        </w:rPr>
      </w:pPr>
      <w:r>
        <w:rPr>
          <w:rtl/>
        </w:rPr>
        <w:t>בדעת התוס' לקמן בחוזר מפטור לפטור</w:t>
      </w:r>
    </w:p>
    <w:p w:rsidR="00EC445E" w:rsidRDefault="00EC445E" w:rsidP="00EC445E">
      <w:pPr>
        <w:pStyle w:val="aff4"/>
        <w:rPr>
          <w:rFonts w:eastAsiaTheme="minorEastAsia" w:cstheme="minorBidi"/>
          <w:i/>
          <w:iCs/>
          <w:noProof/>
          <w:sz w:val="22"/>
          <w:szCs w:val="22"/>
          <w:rtl/>
        </w:rPr>
      </w:pPr>
      <w:r>
        <w:rPr>
          <w:noProof/>
          <w:rtl/>
        </w:rPr>
        <w:t>ביאור</w:t>
      </w:r>
      <w:r>
        <w:rPr>
          <w:rFonts w:hint="cs"/>
          <w:noProof/>
          <w:rtl/>
        </w:rPr>
        <w:t>י הגר"ח מטעלז והגרנ"פ בתוס' אי נאמן מפטור לפטור</w:t>
      </w:r>
    </w:p>
    <w:p w:rsidR="00EC445E" w:rsidRPr="00FC5685" w:rsidRDefault="00EC445E" w:rsidP="007E4E81">
      <w:pPr>
        <w:pStyle w:val="a"/>
      </w:pPr>
      <w:r>
        <w:rPr>
          <w:rFonts w:hint="cs"/>
          <w:rtl/>
        </w:rPr>
        <w:t>קושית האחרונים על התוס' לקמן דאמאי לרב יוסף לא נאמן במיגו בחוזר וטוען מפטור לפטור</w:t>
      </w:r>
    </w:p>
    <w:p w:rsidR="00EC445E" w:rsidRDefault="00EC445E" w:rsidP="007E4E81">
      <w:pPr>
        <w:pStyle w:val="a"/>
        <w:rPr>
          <w:rFonts w:eastAsiaTheme="minorEastAsia" w:cstheme="minorBidi"/>
          <w:sz w:val="22"/>
          <w:szCs w:val="22"/>
          <w:rtl/>
        </w:rPr>
      </w:pPr>
      <w:r>
        <w:rPr>
          <w:rtl/>
        </w:rPr>
        <w:t>קושית הגר"ח מטעלז דיש ספק בגמ' לקמן אי קיי"ל כרבה או רב יוסף והאיך פסק הש"ך דמהני</w:t>
      </w:r>
    </w:p>
    <w:p w:rsidR="00EC445E" w:rsidRDefault="00EC445E" w:rsidP="007E4E81">
      <w:pPr>
        <w:pStyle w:val="a"/>
        <w:rPr>
          <w:rFonts w:eastAsiaTheme="minorEastAsia" w:cstheme="minorBidi"/>
          <w:sz w:val="22"/>
          <w:szCs w:val="22"/>
          <w:rtl/>
        </w:rPr>
      </w:pPr>
      <w:r>
        <w:rPr>
          <w:rtl/>
        </w:rPr>
        <w:t>דברי הגר"ח מטעלז דאי בפטור לא חשיב חוזר וטוען ל"ק מתוס' אבל לש"ך דנאמן במיגו קשה</w:t>
      </w:r>
    </w:p>
    <w:p w:rsidR="00EC445E" w:rsidRDefault="00EC445E" w:rsidP="007E4E81">
      <w:pPr>
        <w:pStyle w:val="a"/>
        <w:rPr>
          <w:rFonts w:eastAsiaTheme="minorEastAsia" w:cstheme="minorBidi"/>
          <w:sz w:val="22"/>
          <w:szCs w:val="22"/>
          <w:rtl/>
        </w:rPr>
      </w:pPr>
      <w:r>
        <w:rPr>
          <w:rtl/>
        </w:rPr>
        <w:t>ביאור הגר"ח מטעלז בתוס' לקמן דלמסקנת הגמ' לקמן רבה ורב יוסף לא נחלקו בחוזר וטוען</w:t>
      </w:r>
    </w:p>
    <w:p w:rsidR="00EC445E" w:rsidRPr="00644C52" w:rsidRDefault="00EC445E" w:rsidP="007E4E81">
      <w:pPr>
        <w:pStyle w:val="a"/>
        <w:rPr>
          <w:rFonts w:eastAsiaTheme="minorEastAsia" w:cstheme="minorBidi"/>
          <w:sz w:val="22"/>
          <w:szCs w:val="22"/>
        </w:rPr>
      </w:pPr>
      <w:r>
        <w:rPr>
          <w:rtl/>
        </w:rPr>
        <w:t>דברי הגרנ"פ דמשמע בתוס' לקמן דס"ל דאף מפטור לפטור אינו חוזר וטוע</w:t>
      </w:r>
    </w:p>
    <w:p w:rsidR="00EC445E" w:rsidRPr="00644C52" w:rsidRDefault="00EC445E" w:rsidP="007E4E81">
      <w:pPr>
        <w:pStyle w:val="a"/>
        <w:rPr>
          <w:rFonts w:eastAsiaTheme="minorEastAsia" w:cstheme="minorBidi"/>
          <w:sz w:val="22"/>
          <w:szCs w:val="22"/>
          <w:rtl/>
        </w:rPr>
      </w:pPr>
      <w:r>
        <w:rPr>
          <w:rFonts w:hint="cs"/>
          <w:rtl/>
        </w:rPr>
        <w:t>תירוץ האבי עזרי דבתוס' לקמן איירי באופן שאינו יכול לומר דלא דייק בטענתו</w:t>
      </w:r>
    </w:p>
    <w:p w:rsidR="00EC445E" w:rsidRDefault="00EC445E" w:rsidP="00EC445E">
      <w:pPr>
        <w:pStyle w:val="2"/>
        <w:rPr>
          <w:rtl/>
        </w:rPr>
        <w:sectPr w:rsidR="00EC445E" w:rsidSect="00DC277F">
          <w:headerReference w:type="even" r:id="rId113"/>
          <w:footerReference w:type="even" r:id="rId114"/>
          <w:footerReference w:type="default" r:id="rId115"/>
          <w:headerReference w:type="first" r:id="rId116"/>
          <w:footerReference w:type="first" r:id="rId117"/>
          <w:type w:val="continuous"/>
          <w:pgSz w:w="11906" w:h="16838"/>
          <w:pgMar w:top="720" w:right="720" w:bottom="720" w:left="720" w:header="283" w:footer="283" w:gutter="0"/>
          <w:cols w:num="2" w:space="113"/>
          <w:titlePg/>
          <w:bidi/>
          <w:rtlGutter/>
          <w:docGrid w:linePitch="299"/>
        </w:sectPr>
      </w:pPr>
      <w:r>
        <w:rPr>
          <w:rtl/>
        </w:rPr>
        <w:fldChar w:fldCharType="end"/>
      </w:r>
    </w:p>
    <w:p w:rsidR="00EC445E" w:rsidRPr="0081356D" w:rsidRDefault="006C4F47" w:rsidP="00EC445E">
      <w:pPr>
        <w:pStyle w:val="afe"/>
        <w:rPr>
          <w:rtl/>
        </w:rPr>
      </w:pPr>
      <w:r>
        <w:rPr>
          <w:rFonts w:hint="cs"/>
          <w:rtl/>
        </w:rPr>
        <w:lastRenderedPageBreak/>
        <w:t>~~~~~~~ מראי מקומות וביאורים ~~~~~~~</w:t>
      </w:r>
    </w:p>
    <w:p w:rsidR="00EC445E" w:rsidRPr="00B21444" w:rsidRDefault="00EC445E" w:rsidP="00EC445E">
      <w:pPr>
        <w:pStyle w:val="2"/>
        <w:bidi w:val="0"/>
        <w:rPr>
          <w:rtl/>
        </w:rPr>
        <w:sectPr w:rsidR="00EC445E" w:rsidRPr="00B21444" w:rsidSect="00962FD5">
          <w:footerReference w:type="default" r:id="rId118"/>
          <w:pgSz w:w="11906" w:h="16838"/>
          <w:pgMar w:top="720" w:right="720" w:bottom="720" w:left="720" w:header="283" w:footer="283" w:gutter="0"/>
          <w:cols w:space="720"/>
          <w:bidi/>
          <w:rtlGutter/>
          <w:docGrid w:linePitch="299"/>
        </w:sectPr>
      </w:pPr>
    </w:p>
    <w:p w:rsidR="00EC445E" w:rsidRDefault="00EC445E" w:rsidP="00EC445E">
      <w:pPr>
        <w:pStyle w:val="afe"/>
        <w:rPr>
          <w:rtl/>
        </w:rPr>
      </w:pPr>
      <w:bookmarkStart w:id="12780" w:name="_Toc62420066"/>
      <w:bookmarkStart w:id="12781" w:name="_Toc62452526"/>
      <w:bookmarkStart w:id="12782" w:name="_Toc62453797"/>
      <w:bookmarkStart w:id="12783" w:name="_Toc62485509"/>
      <w:bookmarkStart w:id="12784" w:name="_Toc61947157"/>
      <w:bookmarkStart w:id="12785" w:name="_Toc62074361"/>
      <w:bookmarkStart w:id="12786" w:name="_Toc62160800"/>
      <w:bookmarkStart w:id="12787" w:name="_Toc62385950"/>
      <w:r>
        <w:rPr>
          <w:rFonts w:hint="cs"/>
          <w:rtl/>
        </w:rPr>
        <w:t>בפלוגתת עולא ונהרדעי בחוזר וטוען</w:t>
      </w:r>
      <w:bookmarkEnd w:id="12780"/>
      <w:bookmarkEnd w:id="12781"/>
      <w:bookmarkEnd w:id="12782"/>
      <w:bookmarkEnd w:id="12783"/>
    </w:p>
    <w:p w:rsidR="00EC445E" w:rsidRDefault="00EC445E" w:rsidP="00EC445E">
      <w:pPr>
        <w:pStyle w:val="1"/>
        <w:rPr>
          <w:rtl/>
        </w:rPr>
      </w:pPr>
      <w:bookmarkStart w:id="12788" w:name="_Toc62420067"/>
      <w:bookmarkStart w:id="12789" w:name="_Toc62452527"/>
      <w:bookmarkStart w:id="12790" w:name="_Toc62453798"/>
      <w:bookmarkStart w:id="12791" w:name="_Toc62485510"/>
      <w:r>
        <w:rPr>
          <w:rFonts w:hint="cs"/>
          <w:rtl/>
        </w:rPr>
        <w:t>דברי הרשב"ם</w:t>
      </w:r>
      <w:bookmarkEnd w:id="12784"/>
      <w:bookmarkEnd w:id="12785"/>
      <w:bookmarkEnd w:id="12786"/>
      <w:r>
        <w:rPr>
          <w:rFonts w:hint="cs"/>
          <w:rtl/>
        </w:rPr>
        <w:t xml:space="preserve"> והרא"ש</w:t>
      </w:r>
      <w:bookmarkEnd w:id="12787"/>
      <w:bookmarkEnd w:id="12788"/>
      <w:bookmarkEnd w:id="12789"/>
      <w:bookmarkEnd w:id="12790"/>
      <w:r>
        <w:rPr>
          <w:rFonts w:hint="cs"/>
          <w:rtl/>
        </w:rPr>
        <w:t xml:space="preserve"> דאחר שהפסיד כאביי חזר וטען</w:t>
      </w:r>
      <w:bookmarkEnd w:id="12791"/>
    </w:p>
    <w:p w:rsidR="00EC445E" w:rsidRDefault="00EC445E" w:rsidP="00EC445E">
      <w:pPr>
        <w:pStyle w:val="a3"/>
        <w:rPr>
          <w:rtl/>
        </w:rPr>
      </w:pPr>
      <w:bookmarkStart w:id="12792" w:name="_Toc62420068"/>
      <w:bookmarkStart w:id="12793" w:name="_Toc62452528"/>
      <w:bookmarkStart w:id="12794" w:name="_Toc62453799"/>
      <w:bookmarkStart w:id="12795" w:name="_Toc62485511"/>
      <w:r>
        <w:rPr>
          <w:rFonts w:hint="cs"/>
          <w:rtl/>
        </w:rPr>
        <w:t>דברי הרשב"ם והרא"ש דאחר שהפסיד המחזיק כדברי אביי חזר וטען דסמיך עלה כדאבהתי</w:t>
      </w:r>
      <w:bookmarkEnd w:id="12792"/>
      <w:bookmarkEnd w:id="12793"/>
      <w:bookmarkEnd w:id="12794"/>
      <w:bookmarkEnd w:id="12795"/>
    </w:p>
    <w:p w:rsidR="00EC445E" w:rsidRDefault="00EC445E" w:rsidP="00BA3263">
      <w:pPr>
        <w:pStyle w:val="a0"/>
        <w:numPr>
          <w:ilvl w:val="0"/>
          <w:numId w:val="28"/>
        </w:numPr>
        <w:rPr>
          <w:rtl/>
        </w:rPr>
      </w:pPr>
      <w:bookmarkStart w:id="12796" w:name="_Ref62036903"/>
      <w:r>
        <w:rPr>
          <w:rFonts w:hint="cs"/>
          <w:rtl/>
        </w:rPr>
        <w:t xml:space="preserve">בהא דחזר המחזיק והודה שהייתה של אבותיו וטען שקנה ממנו דסמיך עלה כדאבהתי, ביארו </w:t>
      </w:r>
      <w:r w:rsidRPr="00522E98">
        <w:rPr>
          <w:rStyle w:val="af9"/>
          <w:rFonts w:hint="cs"/>
          <w:rtl/>
        </w:rPr>
        <w:t>הרשב"ם</w:t>
      </w:r>
      <w:r>
        <w:rPr>
          <w:rFonts w:hint="cs"/>
          <w:rtl/>
        </w:rPr>
        <w:t xml:space="preserve"> </w:t>
      </w:r>
      <w:r w:rsidRPr="007E4E81">
        <w:rPr>
          <w:rStyle w:val="af7"/>
          <w:rFonts w:eastAsia="Guttman Hodes" w:hint="cs"/>
          <w:rtl/>
        </w:rPr>
        <w:t>(ד"ה הדר)</w:t>
      </w:r>
      <w:r>
        <w:rPr>
          <w:rFonts w:hint="cs"/>
          <w:rtl/>
        </w:rPr>
        <w:t xml:space="preserve"> </w:t>
      </w:r>
      <w:r w:rsidRPr="000A7F12">
        <w:rPr>
          <w:rStyle w:val="af9"/>
          <w:rFonts w:hint="cs"/>
          <w:rtl/>
        </w:rPr>
        <w:t>והרא"ש</w:t>
      </w:r>
      <w:r w:rsidRPr="004D033F">
        <w:rPr>
          <w:rFonts w:hint="cs"/>
          <w:rtl/>
        </w:rPr>
        <w:t xml:space="preserve"> </w:t>
      </w:r>
      <w:r w:rsidRPr="007E4E81">
        <w:rPr>
          <w:rStyle w:val="af7"/>
          <w:rFonts w:eastAsia="Guttman Hodes" w:hint="cs"/>
          <w:rtl/>
        </w:rPr>
        <w:t>(סי' ט')</w:t>
      </w:r>
      <w:r w:rsidRPr="004D033F">
        <w:rPr>
          <w:rFonts w:hint="cs"/>
          <w:rtl/>
        </w:rPr>
        <w:t xml:space="preserve"> </w:t>
      </w:r>
      <w:r>
        <w:rPr>
          <w:rFonts w:hint="cs"/>
          <w:rtl/>
        </w:rPr>
        <w:t xml:space="preserve">דאחר </w:t>
      </w:r>
      <w:r w:rsidRPr="004D033F">
        <w:rPr>
          <w:rFonts w:hint="cs"/>
          <w:rtl/>
        </w:rPr>
        <w:t>שראה המחזיק שהוא מפסיד את הקרקע, כדס"ל לאביי דאין לו מיגו, לכן חזר המחזיק וטען דסמיך עליה כדאבהתי</w:t>
      </w:r>
      <w:r>
        <w:rPr>
          <w:rFonts w:hint="cs"/>
          <w:rtl/>
        </w:rPr>
        <w:t xml:space="preserve">, </w:t>
      </w:r>
      <w:r w:rsidRPr="004D033F">
        <w:rPr>
          <w:rFonts w:hint="cs"/>
          <w:rtl/>
        </w:rPr>
        <w:t xml:space="preserve">וכתב </w:t>
      </w:r>
      <w:r w:rsidRPr="004D033F">
        <w:rPr>
          <w:rStyle w:val="af9"/>
          <w:rFonts w:hint="cs"/>
          <w:rtl/>
        </w:rPr>
        <w:t>הרשב"ם</w:t>
      </w:r>
      <w:r w:rsidRPr="004D033F">
        <w:rPr>
          <w:rFonts w:hint="cs"/>
          <w:rtl/>
        </w:rPr>
        <w:t xml:space="preserve"> דכן מדוייק בלשון הגמ' דאמרינן א"ל אביי, ולא אמרינן דאביי אמר</w:t>
      </w:r>
      <w:r>
        <w:rPr>
          <w:rFonts w:hint="cs"/>
          <w:rtl/>
        </w:rPr>
        <w:t>,</w:t>
      </w:r>
      <w:r w:rsidRPr="004D033F">
        <w:rPr>
          <w:rStyle w:val="afb"/>
          <w:rFonts w:hint="cs"/>
          <w:rtl/>
        </w:rPr>
        <w:t xml:space="preserve"> [</w:t>
      </w:r>
      <w:r>
        <w:rPr>
          <w:rStyle w:val="afb"/>
          <w:rFonts w:hint="cs"/>
          <w:rtl/>
        </w:rPr>
        <w:t xml:space="preserve">ומשמע דאחר שא"ל אביי לרבה דאינו נאמן, וקיבל רבה את דבריו וקיי"ל כאביי, ולכן הוצרך המחזיק לחזור ולטעון, ואינו מחלוקת של רבה ואביי, עי' במה שביאר </w:t>
      </w:r>
      <w:r w:rsidRPr="00EB6CBC">
        <w:rPr>
          <w:rStyle w:val="affa"/>
          <w:rFonts w:hint="cs"/>
          <w:rtl/>
        </w:rPr>
        <w:t>הגר"א</w:t>
      </w:r>
      <w:r>
        <w:rPr>
          <w:rStyle w:val="afb"/>
          <w:rFonts w:hint="cs"/>
          <w:rtl/>
        </w:rPr>
        <w:t xml:space="preserve"> </w:t>
      </w:r>
      <w:r w:rsidRPr="00EB6CBC">
        <w:rPr>
          <w:rStyle w:val="aff6"/>
          <w:rFonts w:hint="cs"/>
          <w:rtl/>
        </w:rPr>
        <w:t xml:space="preserve">(עי' אות </w:t>
      </w:r>
      <w:r w:rsidRPr="00EB6CBC">
        <w:rPr>
          <w:rStyle w:val="aff6"/>
          <w:rtl/>
        </w:rPr>
        <w:fldChar w:fldCharType="begin"/>
      </w:r>
      <w:r w:rsidRPr="00EB6CBC">
        <w:rPr>
          <w:rStyle w:val="aff6"/>
          <w:rtl/>
        </w:rPr>
        <w:instrText xml:space="preserve"> </w:instrText>
      </w:r>
      <w:r w:rsidRPr="00EB6CBC">
        <w:rPr>
          <w:rStyle w:val="aff6"/>
          <w:rFonts w:hint="cs"/>
        </w:rPr>
        <w:instrText>REF</w:instrText>
      </w:r>
      <w:r w:rsidRPr="00EB6CBC">
        <w:rPr>
          <w:rStyle w:val="aff6"/>
          <w:rFonts w:hint="cs"/>
          <w:rtl/>
        </w:rPr>
        <w:instrText xml:space="preserve"> _</w:instrText>
      </w:r>
      <w:r w:rsidRPr="00EB6CBC">
        <w:rPr>
          <w:rStyle w:val="aff6"/>
          <w:rFonts w:hint="cs"/>
        </w:rPr>
        <w:instrText>Ref62036991 \r \h</w:instrText>
      </w:r>
      <w:r w:rsidRPr="00EB6CBC">
        <w:rPr>
          <w:rStyle w:val="aff6"/>
          <w:rtl/>
        </w:rPr>
        <w:instrText xml:space="preserve"> </w:instrText>
      </w:r>
      <w:r w:rsidRPr="00EB6CBC">
        <w:rPr>
          <w:rStyle w:val="aff6"/>
          <w:rtl/>
        </w:rPr>
      </w:r>
      <w:r w:rsidRPr="00EB6CBC">
        <w:rPr>
          <w:rStyle w:val="aff6"/>
          <w:rtl/>
        </w:rPr>
        <w:fldChar w:fldCharType="separate"/>
      </w:r>
      <w:r w:rsidR="00265073">
        <w:rPr>
          <w:rStyle w:val="aff6"/>
          <w:cs/>
        </w:rPr>
        <w:t>‎</w:t>
      </w:r>
      <w:r w:rsidR="00265073">
        <w:rPr>
          <w:rStyle w:val="aff6"/>
          <w:rtl/>
        </w:rPr>
        <w:t>מג)</w:t>
      </w:r>
      <w:r w:rsidRPr="00EB6CBC">
        <w:rPr>
          <w:rStyle w:val="aff6"/>
          <w:rtl/>
        </w:rPr>
        <w:fldChar w:fldCharType="end"/>
      </w:r>
      <w:r w:rsidRPr="004D033F">
        <w:rPr>
          <w:rStyle w:val="afb"/>
          <w:rFonts w:hint="cs"/>
          <w:rtl/>
        </w:rPr>
        <w:t xml:space="preserve">], </w:t>
      </w:r>
      <w:r w:rsidRPr="004D033F">
        <w:rPr>
          <w:rFonts w:hint="cs"/>
          <w:rtl/>
        </w:rPr>
        <w:t xml:space="preserve">ועי' במה שהוכיח </w:t>
      </w:r>
      <w:r w:rsidRPr="00EB6CBC">
        <w:rPr>
          <w:rStyle w:val="af9"/>
          <w:rFonts w:hint="cs"/>
          <w:rtl/>
        </w:rPr>
        <w:t>הגר"א</w:t>
      </w:r>
      <w:r w:rsidRPr="004D033F">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Ref62036991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Pr="007E4E81">
        <w:rPr>
          <w:rStyle w:val="af7"/>
          <w:rFonts w:eastAsia="Guttman Hodes"/>
          <w:rtl/>
        </w:rPr>
        <w:fldChar w:fldCharType="end"/>
      </w:r>
      <w:r w:rsidRPr="007E4E81">
        <w:rPr>
          <w:rStyle w:val="af7"/>
          <w:rFonts w:eastAsia="Guttman Hodes" w:hint="cs"/>
          <w:rtl/>
        </w:rPr>
        <w:t xml:space="preserve"> </w:t>
      </w:r>
      <w:r w:rsidRPr="004D033F">
        <w:rPr>
          <w:rFonts w:hint="cs"/>
          <w:rtl/>
        </w:rPr>
        <w:t xml:space="preserve">מדברי </w:t>
      </w:r>
      <w:r w:rsidRPr="00EB6CBC">
        <w:rPr>
          <w:rStyle w:val="af9"/>
          <w:rFonts w:hint="cs"/>
          <w:rtl/>
        </w:rPr>
        <w:t>הרשב"ם והרא"ש</w:t>
      </w:r>
      <w:r w:rsidRPr="004D033F">
        <w:rPr>
          <w:rFonts w:hint="cs"/>
          <w:rtl/>
        </w:rPr>
        <w:t>.</w:t>
      </w:r>
      <w:bookmarkEnd w:id="12796"/>
    </w:p>
    <w:p w:rsidR="00EC445E" w:rsidRPr="00C84BF0" w:rsidRDefault="00EC445E" w:rsidP="00EC445E">
      <w:pPr>
        <w:pStyle w:val="1"/>
        <w:rPr>
          <w:rtl/>
        </w:rPr>
      </w:pPr>
      <w:bookmarkStart w:id="12797" w:name="_Toc62385951"/>
      <w:bookmarkStart w:id="12798" w:name="_Toc62420069"/>
      <w:bookmarkStart w:id="12799" w:name="_Toc62452529"/>
      <w:bookmarkStart w:id="12800" w:name="_Toc62453800"/>
      <w:bookmarkStart w:id="12801" w:name="_Toc62485512"/>
      <w:r>
        <w:rPr>
          <w:rFonts w:hint="cs"/>
          <w:rtl/>
        </w:rPr>
        <w:t>דברי הרשב"ם</w:t>
      </w:r>
      <w:bookmarkEnd w:id="12797"/>
      <w:bookmarkEnd w:id="12798"/>
      <w:bookmarkEnd w:id="12799"/>
      <w:bookmarkEnd w:id="12800"/>
      <w:r>
        <w:rPr>
          <w:rFonts w:hint="cs"/>
          <w:rtl/>
        </w:rPr>
        <w:t xml:space="preserve"> דלעולא חוזר במכחיש קצת ואינו עוקר טענתו</w:t>
      </w:r>
      <w:bookmarkEnd w:id="12801"/>
    </w:p>
    <w:p w:rsidR="00EC445E" w:rsidRPr="003D3121" w:rsidRDefault="00EC445E" w:rsidP="00EC445E">
      <w:pPr>
        <w:pStyle w:val="a3"/>
        <w:rPr>
          <w:rtl/>
        </w:rPr>
      </w:pPr>
      <w:bookmarkStart w:id="12802" w:name="_Toc62420070"/>
      <w:bookmarkStart w:id="12803" w:name="_Toc62452530"/>
      <w:bookmarkStart w:id="12804" w:name="_Toc62453801"/>
      <w:bookmarkStart w:id="12805" w:name="_Toc62485513"/>
      <w:r>
        <w:rPr>
          <w:rFonts w:hint="cs"/>
          <w:rtl/>
        </w:rPr>
        <w:t>ביאור הרשב"ם דסמיך עלה כדאבהתי היינו כיון שהחזיקה בשופי ומספקא לן אי חוזר וטוען</w:t>
      </w:r>
      <w:bookmarkEnd w:id="12802"/>
      <w:bookmarkEnd w:id="12803"/>
      <w:bookmarkEnd w:id="12804"/>
      <w:bookmarkEnd w:id="12805"/>
    </w:p>
    <w:p w:rsidR="00EC445E" w:rsidRDefault="00EC445E" w:rsidP="007E4E81">
      <w:pPr>
        <w:pStyle w:val="a0"/>
        <w:rPr>
          <w:rtl/>
        </w:rPr>
      </w:pPr>
      <w:r>
        <w:rPr>
          <w:rFonts w:hint="cs"/>
          <w:rtl/>
        </w:rPr>
        <w:t xml:space="preserve">ובטענת דסמיך עלה כדאבהתי, ביאר </w:t>
      </w:r>
      <w:r w:rsidRPr="00522E98">
        <w:rPr>
          <w:rStyle w:val="af9"/>
          <w:rFonts w:hint="cs"/>
          <w:rtl/>
        </w:rPr>
        <w:t>הרשב"ם</w:t>
      </w:r>
      <w:r>
        <w:rPr>
          <w:rFonts w:hint="cs"/>
          <w:rtl/>
        </w:rPr>
        <w:t xml:space="preserve"> </w:t>
      </w:r>
      <w:r w:rsidRPr="001C1140">
        <w:rPr>
          <w:rStyle w:val="af7"/>
          <w:rFonts w:eastAsia="Guttman Hodes" w:hint="cs"/>
          <w:rtl/>
        </w:rPr>
        <w:t>(ד"ה דסמיך)</w:t>
      </w:r>
      <w:r>
        <w:rPr>
          <w:rFonts w:hint="cs"/>
          <w:rtl/>
        </w:rPr>
        <w:t xml:space="preserve"> דלטענת המחזיק הוא סמך על קרקע זו כקרקע של אבותיו, כיון שהחזיק בה בשופי, וקנאה בעדים מאבותיו של המערער, ובזה מספקא לן אי יכול לטעון בב"ד טענה אחת, ואח"כ לחזור ולטעון ולתקן את מה שטען בתחילה.</w:t>
      </w:r>
    </w:p>
    <w:p w:rsidR="00EC445E" w:rsidRPr="003D3121" w:rsidRDefault="00EC445E" w:rsidP="00EC445E">
      <w:pPr>
        <w:pStyle w:val="a3"/>
        <w:rPr>
          <w:rtl/>
        </w:rPr>
      </w:pPr>
      <w:bookmarkStart w:id="12806" w:name="_Toc62420071"/>
      <w:bookmarkStart w:id="12807" w:name="_Toc62452531"/>
      <w:bookmarkStart w:id="12808" w:name="_Toc62453802"/>
      <w:bookmarkStart w:id="12809" w:name="_Toc62485514"/>
      <w:r>
        <w:rPr>
          <w:rFonts w:hint="cs"/>
          <w:rtl/>
        </w:rPr>
        <w:t>בי' הרשב"ם בעולא דכשחזר ותירץ דבריו ומכחיש קצת את טענתו הראשונה ואינו עוקרם נאמן</w:t>
      </w:r>
      <w:bookmarkEnd w:id="12806"/>
      <w:bookmarkEnd w:id="12807"/>
      <w:bookmarkEnd w:id="12808"/>
      <w:bookmarkEnd w:id="12809"/>
    </w:p>
    <w:p w:rsidR="00EC445E" w:rsidRDefault="00EC445E" w:rsidP="007E4E81">
      <w:pPr>
        <w:pStyle w:val="a0"/>
        <w:rPr>
          <w:rtl/>
        </w:rPr>
      </w:pPr>
      <w:bookmarkStart w:id="12810" w:name="_Ref62144130"/>
      <w:r>
        <w:rPr>
          <w:rFonts w:hint="cs"/>
          <w:rtl/>
        </w:rPr>
        <w:t xml:space="preserve">בדברי עולא דבטוען דסמיך עלה כדאבהתי חוזר וטוען, ביאר </w:t>
      </w:r>
      <w:r w:rsidRPr="00522E98">
        <w:rPr>
          <w:rStyle w:val="af9"/>
          <w:rFonts w:hint="cs"/>
          <w:rtl/>
        </w:rPr>
        <w:t>הרשב"ם</w:t>
      </w:r>
      <w:r>
        <w:rPr>
          <w:rFonts w:hint="cs"/>
          <w:rtl/>
        </w:rPr>
        <w:t xml:space="preserve"> </w:t>
      </w:r>
      <w:r w:rsidRPr="001C1140">
        <w:rPr>
          <w:rStyle w:val="af7"/>
          <w:rFonts w:eastAsia="Guttman Hodes" w:hint="cs"/>
          <w:rtl/>
        </w:rPr>
        <w:t xml:space="preserve">(ד"ה עולא) </w:t>
      </w:r>
      <w:r>
        <w:rPr>
          <w:rFonts w:hint="cs"/>
          <w:rtl/>
        </w:rPr>
        <w:t>דאדם יכול לטעון בב"ד מה שהוא רוצה, ואח"כ לטעון טענה אחרת לתרץ את מה שאמר בתחילה, אעפ"י שבטענה שחוזר וטוען הוא מכחיש קצת את טענתו הראשונה, כשאומר דכוונתו הייתה דסמיך עלה כדאבהתי,</w:t>
      </w:r>
      <w:r w:rsidRPr="00305DAB">
        <w:rPr>
          <w:rFonts w:hint="cs"/>
          <w:rtl/>
        </w:rPr>
        <w:t xml:space="preserve"> </w:t>
      </w:r>
      <w:r>
        <w:rPr>
          <w:rFonts w:hint="cs"/>
          <w:rtl/>
        </w:rPr>
        <w:t xml:space="preserve">ובמסקנת הגמ' דאמרינן דהלכתא דחוזר וטוען, ביאר </w:t>
      </w:r>
      <w:r w:rsidRPr="00AB5776">
        <w:rPr>
          <w:rStyle w:val="af9"/>
          <w:rFonts w:hint="cs"/>
          <w:rtl/>
        </w:rPr>
        <w:t>הרשב"ם</w:t>
      </w:r>
      <w:r>
        <w:rPr>
          <w:rFonts w:hint="cs"/>
          <w:rtl/>
        </w:rPr>
        <w:t xml:space="preserve"> </w:t>
      </w:r>
      <w:r w:rsidRPr="00AB5776">
        <w:rPr>
          <w:rStyle w:val="af7"/>
          <w:rFonts w:eastAsia="Guttman Hodes" w:hint="cs"/>
          <w:rtl/>
        </w:rPr>
        <w:t>(ד"ה והלכתא)</w:t>
      </w:r>
      <w:r>
        <w:rPr>
          <w:rFonts w:hint="cs"/>
          <w:rtl/>
        </w:rPr>
        <w:t xml:space="preserve"> דהיינו כשמתקן את דבריו הראשונים, אף שמכחישם קצת, אבל אינו עוקר את דבריו הראשונים לגמרי.</w:t>
      </w:r>
      <w:bookmarkEnd w:id="12810"/>
    </w:p>
    <w:p w:rsidR="00EC445E" w:rsidRPr="00D04A1B" w:rsidRDefault="00EC445E" w:rsidP="00EC445E">
      <w:pPr>
        <w:pStyle w:val="a3"/>
        <w:rPr>
          <w:rtl/>
        </w:rPr>
      </w:pPr>
      <w:bookmarkStart w:id="12811" w:name="_Toc62420072"/>
      <w:bookmarkStart w:id="12812" w:name="_Toc62452532"/>
      <w:bookmarkStart w:id="12813" w:name="_Toc62453803"/>
      <w:bookmarkStart w:id="12814" w:name="_Toc62485515"/>
      <w:r>
        <w:rPr>
          <w:rFonts w:hint="cs"/>
          <w:rtl/>
        </w:rPr>
        <w:t>דברי הרשב"ם דכשעוקר את טענתו הראשונה לגמרי אינו נאמן אף לעולא לחזור ולטעון</w:t>
      </w:r>
      <w:bookmarkEnd w:id="12811"/>
      <w:bookmarkEnd w:id="12812"/>
      <w:bookmarkEnd w:id="12813"/>
      <w:bookmarkEnd w:id="12814"/>
    </w:p>
    <w:p w:rsidR="00EC445E" w:rsidRDefault="00EC445E" w:rsidP="007E4E81">
      <w:pPr>
        <w:pStyle w:val="a0"/>
        <w:rPr>
          <w:rtl/>
        </w:rPr>
      </w:pPr>
      <w:bookmarkStart w:id="12815" w:name="_Ref61545632"/>
      <w:r>
        <w:rPr>
          <w:rFonts w:hint="cs"/>
          <w:rtl/>
        </w:rPr>
        <w:t xml:space="preserve">ובהא דמודה עולא דכשטען של אבותי ולא שלא אבותיך דאינו חוזר וטוען, ביאר </w:t>
      </w:r>
      <w:r w:rsidRPr="003479B8">
        <w:rPr>
          <w:rStyle w:val="af9"/>
          <w:rFonts w:hint="cs"/>
          <w:rtl/>
        </w:rPr>
        <w:t>הרשב"ם</w:t>
      </w:r>
      <w:r>
        <w:rPr>
          <w:rFonts w:hint="cs"/>
          <w:rtl/>
        </w:rPr>
        <w:t xml:space="preserve"> </w:t>
      </w:r>
      <w:r w:rsidRPr="00B030F7">
        <w:rPr>
          <w:rStyle w:val="af7"/>
          <w:rFonts w:eastAsia="Guttman Hodes" w:hint="cs"/>
          <w:rtl/>
        </w:rPr>
        <w:t>(ד"ה ומודי עולא)</w:t>
      </w:r>
      <w:r>
        <w:rPr>
          <w:rFonts w:hint="cs"/>
          <w:rtl/>
        </w:rPr>
        <w:t xml:space="preserve"> דכ"מ שהוא נאמן לחזור ולטעון, היינו רק כשמכחיש קצת את דבריו הראשונים, ומתרץ אותם, אבל כשעוקר את דבריו הראשונים לגמרי, אינו נאמן, וכתב </w:t>
      </w:r>
      <w:r w:rsidRPr="003479B8">
        <w:rPr>
          <w:rStyle w:val="af9"/>
          <w:rFonts w:hint="cs"/>
          <w:rtl/>
        </w:rPr>
        <w:t>הרשב"ם</w:t>
      </w:r>
      <w:r>
        <w:rPr>
          <w:rFonts w:hint="cs"/>
          <w:rtl/>
        </w:rPr>
        <w:t xml:space="preserve"> דקיי"ל כעולא.</w:t>
      </w:r>
      <w:bookmarkEnd w:id="12815"/>
    </w:p>
    <w:p w:rsidR="00EC445E" w:rsidRPr="001C6DA4" w:rsidRDefault="00EC445E" w:rsidP="00EC445E">
      <w:pPr>
        <w:pStyle w:val="1"/>
        <w:rPr>
          <w:rtl/>
        </w:rPr>
      </w:pPr>
      <w:bookmarkStart w:id="12816" w:name="_Toc61947160"/>
      <w:bookmarkStart w:id="12817" w:name="_Toc62074367"/>
      <w:bookmarkStart w:id="12818" w:name="_Toc62160806"/>
      <w:bookmarkStart w:id="12819" w:name="_Toc62385952"/>
      <w:bookmarkStart w:id="12820" w:name="_Toc62420073"/>
      <w:bookmarkStart w:id="12821" w:name="_Toc62452533"/>
      <w:bookmarkStart w:id="12822" w:name="_Toc62453804"/>
      <w:bookmarkStart w:id="12823" w:name="_Toc62485516"/>
      <w:r>
        <w:rPr>
          <w:rFonts w:hint="cs"/>
          <w:rtl/>
        </w:rPr>
        <w:t>דברי רבינו יונה</w:t>
      </w:r>
      <w:bookmarkEnd w:id="12816"/>
      <w:bookmarkEnd w:id="12817"/>
      <w:bookmarkEnd w:id="12818"/>
      <w:bookmarkEnd w:id="12819"/>
      <w:bookmarkEnd w:id="12820"/>
      <w:bookmarkEnd w:id="12821"/>
      <w:bookmarkEnd w:id="12822"/>
      <w:r>
        <w:rPr>
          <w:rFonts w:hint="cs"/>
          <w:rtl/>
        </w:rPr>
        <w:t xml:space="preserve"> דלעולא חוזר באמתלא אף שהוא פירוש רחוק</w:t>
      </w:r>
      <w:bookmarkEnd w:id="12823"/>
    </w:p>
    <w:p w:rsidR="00EC445E" w:rsidRDefault="00EC445E" w:rsidP="00EC445E">
      <w:pPr>
        <w:pStyle w:val="a3"/>
        <w:rPr>
          <w:rtl/>
        </w:rPr>
      </w:pPr>
      <w:bookmarkStart w:id="12824" w:name="_Toc62420074"/>
      <w:bookmarkStart w:id="12825" w:name="_Toc62452534"/>
      <w:bookmarkStart w:id="12826" w:name="_Toc62453805"/>
      <w:bookmarkStart w:id="12827" w:name="_Toc62485517"/>
      <w:r>
        <w:rPr>
          <w:rFonts w:hint="cs"/>
          <w:rtl/>
        </w:rPr>
        <w:t>ביאור רבינו יונה דלעולא נאמן כשחוזר ונותן אמתלא לטענתו ואינו סותר אותה לגמרי</w:t>
      </w:r>
      <w:bookmarkEnd w:id="12824"/>
      <w:bookmarkEnd w:id="12825"/>
      <w:bookmarkEnd w:id="12826"/>
      <w:bookmarkEnd w:id="12827"/>
    </w:p>
    <w:p w:rsidR="00EC445E" w:rsidRDefault="00EC445E" w:rsidP="007E4E81">
      <w:pPr>
        <w:pStyle w:val="a0"/>
        <w:rPr>
          <w:rtl/>
        </w:rPr>
      </w:pPr>
      <w:bookmarkStart w:id="12828" w:name="_Ref61545660"/>
      <w:r>
        <w:rPr>
          <w:rFonts w:hint="cs"/>
          <w:rtl/>
        </w:rPr>
        <w:t xml:space="preserve">וכן ביאר </w:t>
      </w:r>
      <w:r w:rsidRPr="003A3768">
        <w:rPr>
          <w:rStyle w:val="af9"/>
          <w:rFonts w:hint="cs"/>
          <w:rtl/>
        </w:rPr>
        <w:t>רבינו</w:t>
      </w:r>
      <w:r>
        <w:rPr>
          <w:rFonts w:hint="cs"/>
          <w:rtl/>
        </w:rPr>
        <w:t xml:space="preserve"> </w:t>
      </w:r>
      <w:r w:rsidRPr="003A3768">
        <w:rPr>
          <w:rStyle w:val="af9"/>
          <w:rFonts w:hint="cs"/>
          <w:rtl/>
        </w:rPr>
        <w:t>יונה</w:t>
      </w:r>
      <w:r>
        <w:rPr>
          <w:rFonts w:hint="cs"/>
          <w:rtl/>
        </w:rPr>
        <w:t xml:space="preserve"> </w:t>
      </w:r>
      <w:r w:rsidRPr="00652FFA">
        <w:rPr>
          <w:rStyle w:val="af7"/>
          <w:rFonts w:eastAsia="Guttman Hodes" w:hint="cs"/>
          <w:rtl/>
        </w:rPr>
        <w:t>(ד"ה עולא)</w:t>
      </w:r>
      <w:r>
        <w:rPr>
          <w:rFonts w:hint="cs"/>
          <w:rtl/>
        </w:rPr>
        <w:t xml:space="preserve"> דהא דאמר עולא דטוען וחוזר וטוען, היינו באופן שנותן טעם ואמתלא למה שטען בתחילה, ואינו סותר לגמרי את טענתו הראשונה.</w:t>
      </w:r>
      <w:bookmarkEnd w:id="12828"/>
    </w:p>
    <w:p w:rsidR="00EC445E" w:rsidRPr="00C348DB" w:rsidRDefault="00EC445E" w:rsidP="00EC445E">
      <w:pPr>
        <w:pStyle w:val="a3"/>
        <w:rPr>
          <w:rtl/>
        </w:rPr>
      </w:pPr>
    </w:p>
    <w:p w:rsidR="00EC445E" w:rsidRDefault="00EC445E" w:rsidP="00EC445E">
      <w:pPr>
        <w:pStyle w:val="a3"/>
      </w:pPr>
      <w:bookmarkStart w:id="12829" w:name="_Toc62420075"/>
      <w:bookmarkStart w:id="12830" w:name="_Toc62452535"/>
      <w:bookmarkStart w:id="12831" w:name="_Toc62453806"/>
      <w:bookmarkStart w:id="12832" w:name="_Toc62485518"/>
      <w:r>
        <w:rPr>
          <w:rFonts w:hint="cs"/>
          <w:rtl/>
        </w:rPr>
        <w:t>בי' רבינו יונה דאף דסמיך עלה כדאבהתי הוא פירוש רחוק מ"מ נאמן דיכל לטעון מינך זבינתה</w:t>
      </w:r>
      <w:bookmarkEnd w:id="12829"/>
      <w:bookmarkEnd w:id="12830"/>
      <w:bookmarkEnd w:id="12831"/>
      <w:bookmarkEnd w:id="12832"/>
    </w:p>
    <w:p w:rsidR="00EC445E" w:rsidRDefault="00EC445E" w:rsidP="007E4E81">
      <w:pPr>
        <w:pStyle w:val="a0"/>
        <w:rPr>
          <w:rtl/>
        </w:rPr>
      </w:pPr>
      <w:r>
        <w:rPr>
          <w:rFonts w:hint="cs"/>
          <w:rtl/>
        </w:rPr>
        <w:t xml:space="preserve">והוסיף </w:t>
      </w:r>
      <w:r w:rsidRPr="001C4033">
        <w:rPr>
          <w:rStyle w:val="af9"/>
          <w:rFonts w:hint="cs"/>
          <w:rtl/>
        </w:rPr>
        <w:t>רבינו יונה</w:t>
      </w:r>
      <w:r>
        <w:rPr>
          <w:rFonts w:hint="cs"/>
          <w:rtl/>
        </w:rPr>
        <w:t xml:space="preserve"> </w:t>
      </w:r>
      <w:r w:rsidRPr="001C4033">
        <w:rPr>
          <w:rStyle w:val="af7"/>
          <w:rFonts w:eastAsia="Guttman Hodes" w:hint="cs"/>
          <w:rtl/>
        </w:rPr>
        <w:t>(ד"ה עלה בידינו)</w:t>
      </w:r>
      <w:r>
        <w:rPr>
          <w:rFonts w:hint="cs"/>
          <w:rtl/>
        </w:rPr>
        <w:t xml:space="preserve"> דאעפ"י דכשחוזר וטוען מינך זבינתה וסמיך עליה כדאבהתי, היא פירוש רחוק לדבריו הראשונים, דאמר של אבותי, מ"מ הוא נאמן כיון שבתחילה היה נאמן בטענת מינך זבינתה, דהא יש לו חזקה, ועי' במ"ש </w:t>
      </w:r>
      <w:r w:rsidRPr="00BE7472">
        <w:rPr>
          <w:rStyle w:val="af9"/>
          <w:rFonts w:hint="cs"/>
          <w:rtl/>
        </w:rPr>
        <w:t>הריב"ש</w:t>
      </w:r>
      <w:r>
        <w:rPr>
          <w:rFonts w:hint="cs"/>
          <w:rtl/>
        </w:rPr>
        <w:t xml:space="preserve"> </w:t>
      </w:r>
      <w:r w:rsidRPr="00BE7472">
        <w:rPr>
          <w:rStyle w:val="af7"/>
          <w:rFonts w:eastAsia="Guttman Hodes" w:hint="cs"/>
          <w:rtl/>
        </w:rPr>
        <w:t xml:space="preserve">(עי' אות </w:t>
      </w:r>
      <w:r w:rsidRPr="00BE7472">
        <w:rPr>
          <w:rStyle w:val="af7"/>
          <w:rFonts w:eastAsia="Guttman Hodes"/>
          <w:rtl/>
        </w:rPr>
        <w:fldChar w:fldCharType="begin"/>
      </w:r>
      <w:r w:rsidRPr="00BE7472">
        <w:rPr>
          <w:rStyle w:val="af7"/>
          <w:rFonts w:eastAsia="Guttman Hodes"/>
          <w:rtl/>
        </w:rPr>
        <w:instrText xml:space="preserve"> </w:instrText>
      </w:r>
      <w:r w:rsidRPr="00BE7472">
        <w:rPr>
          <w:rStyle w:val="af7"/>
          <w:rFonts w:eastAsia="Guttman Hodes" w:hint="cs"/>
        </w:rPr>
        <w:instrText>REF</w:instrText>
      </w:r>
      <w:r w:rsidRPr="00BE7472">
        <w:rPr>
          <w:rStyle w:val="af7"/>
          <w:rFonts w:eastAsia="Guttman Hodes" w:hint="cs"/>
          <w:rtl/>
        </w:rPr>
        <w:instrText xml:space="preserve"> _</w:instrText>
      </w:r>
      <w:r w:rsidRPr="00BE7472">
        <w:rPr>
          <w:rStyle w:val="af7"/>
          <w:rFonts w:eastAsia="Guttman Hodes" w:hint="cs"/>
        </w:rPr>
        <w:instrText>Ref62400558 \r \h</w:instrText>
      </w:r>
      <w:r w:rsidRPr="00BE7472">
        <w:rPr>
          <w:rStyle w:val="af7"/>
          <w:rFonts w:eastAsia="Guttman Hodes"/>
          <w:rtl/>
        </w:rPr>
        <w:instrText xml:space="preserve"> </w:instrText>
      </w:r>
      <w:r w:rsidRPr="00BE7472">
        <w:rPr>
          <w:rStyle w:val="af7"/>
          <w:rFonts w:eastAsia="Guttman Hodes"/>
          <w:rtl/>
        </w:rPr>
      </w:r>
      <w:r w:rsidRPr="00BE7472">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BE7472">
        <w:rPr>
          <w:rStyle w:val="af7"/>
          <w:rFonts w:eastAsia="Guttman Hodes"/>
          <w:rtl/>
        </w:rPr>
        <w:fldChar w:fldCharType="end"/>
      </w:r>
      <w:r>
        <w:rPr>
          <w:rFonts w:hint="cs"/>
          <w:rtl/>
        </w:rPr>
        <w:t>.</w:t>
      </w:r>
    </w:p>
    <w:p w:rsidR="00EC445E" w:rsidRDefault="00EC445E" w:rsidP="00EC445E">
      <w:pPr>
        <w:pStyle w:val="1"/>
        <w:rPr>
          <w:rtl/>
        </w:rPr>
      </w:pPr>
      <w:bookmarkStart w:id="12833" w:name="_Toc62385953"/>
      <w:bookmarkStart w:id="12834" w:name="_Toc62420076"/>
      <w:bookmarkStart w:id="12835" w:name="_Toc62452536"/>
      <w:bookmarkStart w:id="12836" w:name="_Toc62453807"/>
      <w:bookmarkStart w:id="12837" w:name="_Toc62485519"/>
      <w:r>
        <w:rPr>
          <w:rFonts w:hint="cs"/>
          <w:rtl/>
        </w:rPr>
        <w:t>בי' הר"י מגאש</w:t>
      </w:r>
      <w:bookmarkEnd w:id="12833"/>
      <w:r>
        <w:rPr>
          <w:rFonts w:hint="cs"/>
          <w:rtl/>
        </w:rPr>
        <w:t xml:space="preserve"> והריטב"א</w:t>
      </w:r>
      <w:bookmarkEnd w:id="12834"/>
      <w:bookmarkEnd w:id="12835"/>
      <w:bookmarkEnd w:id="12836"/>
      <w:r>
        <w:rPr>
          <w:rFonts w:hint="cs"/>
          <w:rtl/>
        </w:rPr>
        <w:t xml:space="preserve"> דנח' עולא ונהרדעי אי חוזר באמתלא</w:t>
      </w:r>
      <w:bookmarkEnd w:id="12837"/>
    </w:p>
    <w:p w:rsidR="00EC445E" w:rsidRPr="001D1854" w:rsidRDefault="00EC445E" w:rsidP="00EC445E">
      <w:pPr>
        <w:pStyle w:val="a3"/>
        <w:rPr>
          <w:rtl/>
        </w:rPr>
      </w:pPr>
      <w:bookmarkStart w:id="12838" w:name="_Toc62420077"/>
      <w:bookmarkStart w:id="12839" w:name="_Toc62452537"/>
      <w:bookmarkStart w:id="12840" w:name="_Toc62453808"/>
      <w:bookmarkStart w:id="12841" w:name="_Toc62485520"/>
      <w:r>
        <w:rPr>
          <w:rFonts w:hint="cs"/>
          <w:rtl/>
        </w:rPr>
        <w:t>דברי הר"י מגאש והריטב"א דהנדון בחוזר וטוען הוא כשאחר הטענה הראשונה הכחישוהו עדים</w:t>
      </w:r>
      <w:bookmarkEnd w:id="12838"/>
      <w:bookmarkEnd w:id="12839"/>
      <w:bookmarkEnd w:id="12840"/>
      <w:bookmarkEnd w:id="12841"/>
    </w:p>
    <w:p w:rsidR="00EC445E" w:rsidRDefault="00EC445E" w:rsidP="007E4E81">
      <w:pPr>
        <w:pStyle w:val="a0"/>
        <w:rPr>
          <w:rtl/>
        </w:rPr>
      </w:pPr>
      <w:r>
        <w:rPr>
          <w:rFonts w:hint="cs"/>
          <w:rtl/>
        </w:rPr>
        <w:t xml:space="preserve">כתבו </w:t>
      </w:r>
      <w:r w:rsidRPr="00B51321">
        <w:rPr>
          <w:rStyle w:val="af9"/>
          <w:rFonts w:hint="cs"/>
          <w:rtl/>
        </w:rPr>
        <w:t>הר"י מגאש</w:t>
      </w:r>
      <w:r>
        <w:rPr>
          <w:rFonts w:hint="cs"/>
          <w:rtl/>
        </w:rPr>
        <w:t xml:space="preserve"> </w:t>
      </w:r>
      <w:r w:rsidRPr="00FF31E5">
        <w:rPr>
          <w:rStyle w:val="af7"/>
          <w:rFonts w:eastAsia="Guttman Hodes" w:hint="cs"/>
          <w:rtl/>
        </w:rPr>
        <w:t>(ד"ה הדר אמר)</w:t>
      </w:r>
      <w:r>
        <w:rPr>
          <w:rFonts w:hint="cs"/>
          <w:rtl/>
        </w:rPr>
        <w:t xml:space="preserve"> </w:t>
      </w:r>
      <w:r w:rsidRPr="00F12EF5">
        <w:rPr>
          <w:rStyle w:val="af9"/>
          <w:rFonts w:hint="cs"/>
          <w:rtl/>
        </w:rPr>
        <w:t>וה</w:t>
      </w:r>
      <w:r w:rsidRPr="005C6514">
        <w:rPr>
          <w:rStyle w:val="af9"/>
          <w:rFonts w:hint="cs"/>
          <w:rtl/>
        </w:rPr>
        <w:t>ריטב"א</w:t>
      </w:r>
      <w:r>
        <w:rPr>
          <w:rFonts w:hint="cs"/>
          <w:rtl/>
        </w:rPr>
        <w:t xml:space="preserve"> </w:t>
      </w:r>
      <w:r w:rsidRPr="00B43337">
        <w:rPr>
          <w:rStyle w:val="af7"/>
          <w:rFonts w:eastAsia="Guttman Hodes" w:hint="cs"/>
          <w:rtl/>
        </w:rPr>
        <w:t>(ד"ה טוען)</w:t>
      </w:r>
      <w:r>
        <w:rPr>
          <w:rFonts w:hint="cs"/>
          <w:rtl/>
        </w:rPr>
        <w:t xml:space="preserve"> דהנדון בחוזר וטוען, הוא אחר שבאו עדים דהייתה של אבותיו של מערער, חזר וטען דהאמת היא כמו העדים, ומינך זבינתה וסמיך עלה כדאבהתי, והספק בגמ' הוא האם נאמן לחזור בו כשנותן אמתלא לדבריו.</w:t>
      </w:r>
    </w:p>
    <w:p w:rsidR="00EC445E" w:rsidRPr="00CF191C" w:rsidRDefault="00EC445E" w:rsidP="00EC445E">
      <w:pPr>
        <w:pStyle w:val="a3"/>
      </w:pPr>
      <w:bookmarkStart w:id="12842" w:name="_Toc62420078"/>
      <w:bookmarkStart w:id="12843" w:name="_Toc62452538"/>
      <w:bookmarkStart w:id="12844" w:name="_Toc62453809"/>
      <w:bookmarkStart w:id="12845" w:name="_Toc62485521"/>
      <w:r>
        <w:rPr>
          <w:rFonts w:hint="cs"/>
          <w:rtl/>
        </w:rPr>
        <w:t>ביאור הר"י מגאש דלעולא חוזר וטוען כשנותן אמתלא ולנהרדעי אינו נאמן דעוקר את טענתו</w:t>
      </w:r>
      <w:bookmarkEnd w:id="12842"/>
      <w:bookmarkEnd w:id="12843"/>
      <w:bookmarkEnd w:id="12844"/>
      <w:bookmarkEnd w:id="12845"/>
    </w:p>
    <w:p w:rsidR="00EC445E" w:rsidRDefault="00EC445E" w:rsidP="007E4E81">
      <w:pPr>
        <w:pStyle w:val="a0"/>
        <w:rPr>
          <w:rtl/>
        </w:rPr>
      </w:pPr>
      <w:bookmarkStart w:id="12846" w:name="_Ref62488084"/>
      <w:r>
        <w:rPr>
          <w:rFonts w:hint="cs"/>
          <w:rtl/>
        </w:rPr>
        <w:t xml:space="preserve">וביאר </w:t>
      </w:r>
      <w:r w:rsidRPr="00B51321">
        <w:rPr>
          <w:rStyle w:val="af9"/>
          <w:rFonts w:hint="cs"/>
          <w:rtl/>
        </w:rPr>
        <w:t>הר"י מגאש</w:t>
      </w:r>
      <w:r>
        <w:rPr>
          <w:rFonts w:hint="cs"/>
          <w:rtl/>
        </w:rPr>
        <w:t xml:space="preserve"> דלעולא חוזר וטוען כיון שנתן אמתלא לטענתו הראשונה, ולנהרדעי אינו נאמן כיון דאחר שהכחישוהו העדים, חזר ועקר את טענתו הראשונה, שבתחילה טען של אבותי, ועכשיו הוא טוען של אבותיך ולא של אבותי, </w:t>
      </w:r>
      <w:bookmarkStart w:id="12847" w:name="_Ref62033402"/>
      <w:r>
        <w:rPr>
          <w:rFonts w:hint="cs"/>
          <w:rtl/>
        </w:rPr>
        <w:t xml:space="preserve">וכתבו </w:t>
      </w:r>
      <w:r w:rsidRPr="00855F74">
        <w:rPr>
          <w:rStyle w:val="af9"/>
          <w:rFonts w:hint="cs"/>
          <w:rtl/>
        </w:rPr>
        <w:t>הר"י מגאש</w:t>
      </w:r>
      <w:r>
        <w:rPr>
          <w:rFonts w:hint="cs"/>
          <w:rtl/>
        </w:rPr>
        <w:t xml:space="preserve"> </w:t>
      </w:r>
      <w:r w:rsidRPr="001D1854">
        <w:rPr>
          <w:rStyle w:val="af7"/>
          <w:rFonts w:eastAsia="Guttman Hodes" w:hint="cs"/>
          <w:rtl/>
        </w:rPr>
        <w:t>(ד"ה אמר אמימר)</w:t>
      </w:r>
      <w:r>
        <w:rPr>
          <w:rFonts w:hint="cs"/>
          <w:rtl/>
        </w:rPr>
        <w:t xml:space="preserve"> </w:t>
      </w:r>
      <w:r>
        <w:rPr>
          <w:rStyle w:val="af9"/>
          <w:rFonts w:hint="cs"/>
          <w:rtl/>
        </w:rPr>
        <w:t>ו</w:t>
      </w:r>
      <w:r w:rsidRPr="00F12EF5">
        <w:rPr>
          <w:rStyle w:val="af9"/>
          <w:rFonts w:hint="cs"/>
          <w:rtl/>
        </w:rPr>
        <w:t>ה</w:t>
      </w:r>
      <w:r w:rsidRPr="005C6514">
        <w:rPr>
          <w:rStyle w:val="af9"/>
          <w:rFonts w:hint="cs"/>
          <w:rtl/>
        </w:rPr>
        <w:t>ריטב"א</w:t>
      </w:r>
      <w:r>
        <w:rPr>
          <w:rFonts w:hint="cs"/>
          <w:rtl/>
        </w:rPr>
        <w:t xml:space="preserve"> </w:t>
      </w:r>
      <w:r w:rsidRPr="001D1854">
        <w:rPr>
          <w:rStyle w:val="af7"/>
          <w:rFonts w:eastAsia="Guttman Hodes" w:hint="cs"/>
          <w:rtl/>
        </w:rPr>
        <w:t>(ד"ה טוען)</w:t>
      </w:r>
      <w:r>
        <w:rPr>
          <w:rFonts w:hint="cs"/>
          <w:rtl/>
        </w:rPr>
        <w:t xml:space="preserve"> דקיי"ל דחוזר וטוען רק במקום שנותן אמתלא לטענתו הראשונה, שטענתו האחרונה אינה סותרת את טענתו הראשונה, אבל כשאינו נותן אמלתא, דהטענה האחרונה סותרת את הראשונה, לכו"ע אינו חוזר וטוען, וביאר </w:t>
      </w:r>
      <w:r w:rsidRPr="00A32F88">
        <w:rPr>
          <w:rStyle w:val="af9"/>
          <w:rFonts w:hint="cs"/>
          <w:rtl/>
        </w:rPr>
        <w:t>הריטב"א</w:t>
      </w:r>
      <w:r>
        <w:rPr>
          <w:rFonts w:hint="cs"/>
          <w:rtl/>
        </w:rPr>
        <w:t xml:space="preserve"> דאינו נאמן כיון שהוכחשה טענתו הראשונה ע"י העדים, אף כשלא יצא מהב"ד, וכתב </w:t>
      </w:r>
      <w:r w:rsidRPr="00BE7472">
        <w:rPr>
          <w:rStyle w:val="af9"/>
          <w:rFonts w:hint="cs"/>
          <w:rtl/>
        </w:rPr>
        <w:t>הר"י מגאש</w:t>
      </w:r>
      <w:r>
        <w:rPr>
          <w:rFonts w:hint="cs"/>
          <w:rtl/>
        </w:rPr>
        <w:t xml:space="preserve"> דכן מוכח מהא דאמרינן דמודה עולא דבטען של אבותי ולא של אבותיך, דאינו חוזר וטוען, כיון שאינו יכול לתת אמתלא לטענתו הראשונה</w:t>
      </w:r>
      <w:bookmarkStart w:id="12848" w:name="_Toc62385954"/>
      <w:bookmarkEnd w:id="12847"/>
      <w:r>
        <w:rPr>
          <w:rFonts w:hint="cs"/>
          <w:rtl/>
        </w:rPr>
        <w:t>.</w:t>
      </w:r>
      <w:bookmarkEnd w:id="12846"/>
    </w:p>
    <w:p w:rsidR="00EC445E" w:rsidRDefault="00EC445E" w:rsidP="00EC445E">
      <w:pPr>
        <w:pStyle w:val="afe"/>
        <w:rPr>
          <w:rtl/>
        </w:rPr>
      </w:pPr>
      <w:bookmarkStart w:id="12849" w:name="_Toc62420079"/>
      <w:bookmarkStart w:id="12850" w:name="_Toc62452539"/>
      <w:bookmarkStart w:id="12851" w:name="_Toc62453810"/>
      <w:bookmarkStart w:id="12852" w:name="_Toc62485522"/>
      <w:r>
        <w:rPr>
          <w:rFonts w:hint="cs"/>
          <w:rtl/>
        </w:rPr>
        <w:t>בחוזר וטוען שאבותי לקחוה מאבותיך</w:t>
      </w:r>
      <w:bookmarkEnd w:id="12848"/>
      <w:bookmarkEnd w:id="12849"/>
      <w:bookmarkEnd w:id="12850"/>
      <w:bookmarkEnd w:id="12851"/>
      <w:bookmarkEnd w:id="12852"/>
    </w:p>
    <w:p w:rsidR="00EC445E" w:rsidRPr="00C84BF0" w:rsidRDefault="00EC445E" w:rsidP="00EC445E">
      <w:pPr>
        <w:pStyle w:val="1"/>
        <w:rPr>
          <w:rtl/>
        </w:rPr>
      </w:pPr>
      <w:bookmarkStart w:id="12853" w:name="_Toc62385955"/>
      <w:bookmarkStart w:id="12854" w:name="_Toc62420080"/>
      <w:bookmarkStart w:id="12855" w:name="_Toc62452540"/>
      <w:bookmarkStart w:id="12856" w:name="_Toc62453811"/>
      <w:bookmarkStart w:id="12857" w:name="_Toc62485523"/>
      <w:r>
        <w:rPr>
          <w:rFonts w:hint="cs"/>
          <w:rtl/>
        </w:rPr>
        <w:t>דברי הרשב"ם</w:t>
      </w:r>
      <w:bookmarkEnd w:id="12853"/>
      <w:r w:rsidRPr="00184156">
        <w:rPr>
          <w:rFonts w:hint="cs"/>
          <w:rtl/>
        </w:rPr>
        <w:t xml:space="preserve"> </w:t>
      </w:r>
      <w:r>
        <w:rPr>
          <w:rFonts w:hint="cs"/>
          <w:rtl/>
        </w:rPr>
        <w:t>ורבינו יונה דבלקחוה מאבותיך נאמן בחזקה ומיגו</w:t>
      </w:r>
      <w:bookmarkEnd w:id="12854"/>
      <w:bookmarkEnd w:id="12855"/>
      <w:bookmarkEnd w:id="12856"/>
      <w:bookmarkEnd w:id="12857"/>
    </w:p>
    <w:p w:rsidR="00EC445E" w:rsidRDefault="00EC445E" w:rsidP="00EC445E">
      <w:pPr>
        <w:pStyle w:val="a3"/>
        <w:rPr>
          <w:rtl/>
        </w:rPr>
      </w:pPr>
      <w:bookmarkStart w:id="12858" w:name="_Toc62420081"/>
      <w:bookmarkStart w:id="12859" w:name="_Toc62452541"/>
      <w:bookmarkStart w:id="12860" w:name="_Toc62453812"/>
      <w:bookmarkStart w:id="12861" w:name="_Toc62485524"/>
      <w:r>
        <w:rPr>
          <w:rFonts w:hint="cs"/>
          <w:rtl/>
        </w:rPr>
        <w:t>דברי הרשב"ם דבלקחוה מאבותיך אינו עוקר טענתו אלא מוסיף ונאמן במיגו דמינך זבינתה</w:t>
      </w:r>
      <w:bookmarkEnd w:id="12858"/>
      <w:bookmarkEnd w:id="12859"/>
      <w:bookmarkEnd w:id="12860"/>
      <w:bookmarkEnd w:id="12861"/>
    </w:p>
    <w:p w:rsidR="00EC445E" w:rsidRDefault="00EC445E" w:rsidP="007E4E81">
      <w:pPr>
        <w:pStyle w:val="a0"/>
        <w:rPr>
          <w:rtl/>
        </w:rPr>
      </w:pPr>
      <w:bookmarkStart w:id="12862" w:name="_Ref62417963"/>
      <w:r>
        <w:rPr>
          <w:rFonts w:hint="cs"/>
          <w:rtl/>
        </w:rPr>
        <w:t>בהא דמודו נהרדעי</w:t>
      </w:r>
      <w:r w:rsidRPr="00D34DF3">
        <w:rPr>
          <w:rFonts w:hint="cs"/>
          <w:rtl/>
        </w:rPr>
        <w:t xml:space="preserve"> </w:t>
      </w:r>
      <w:r>
        <w:rPr>
          <w:rFonts w:hint="cs"/>
          <w:rtl/>
        </w:rPr>
        <w:t xml:space="preserve">דנאמן לחזור ולטעון, של אבותי שלקחוה מאבותיך, ביאר </w:t>
      </w:r>
      <w:r w:rsidRPr="00AB5776">
        <w:rPr>
          <w:rStyle w:val="af9"/>
          <w:rFonts w:hint="cs"/>
          <w:rtl/>
        </w:rPr>
        <w:t>הרשב"ם</w:t>
      </w:r>
      <w:r>
        <w:rPr>
          <w:rFonts w:hint="cs"/>
          <w:rtl/>
        </w:rPr>
        <w:t xml:space="preserve"> </w:t>
      </w:r>
      <w:r w:rsidRPr="00AB5776">
        <w:rPr>
          <w:rStyle w:val="af7"/>
          <w:rFonts w:eastAsia="Guttman Hodes" w:hint="cs"/>
          <w:rtl/>
        </w:rPr>
        <w:t>(ד"ה ומודו נהרדעי)</w:t>
      </w:r>
      <w:r>
        <w:rPr>
          <w:rFonts w:hint="cs"/>
          <w:rtl/>
        </w:rPr>
        <w:t xml:space="preserve"> דכיון שטען המחזיק בתחילה של אבותי, א"כ כשחוזר וטוען של אבותי שלקחוה מאבותיך, אינו עוקר את דבריו הראשונים אלא מוסיף עליהם, וכיון שיש לו חזקת ג"ש מעמידים בידו, דחשיב כחזקה שיש עמה טענה, דהא יש לו מיגו שיכול לומר מינך זבינתה ואכלתיה שני חזקה, לכן נאמן אף כשטוען של אבותי שלקחוה מאבותיך.</w:t>
      </w:r>
      <w:bookmarkEnd w:id="12862"/>
    </w:p>
    <w:p w:rsidR="00EC445E" w:rsidRPr="00E92DFC" w:rsidRDefault="00EC445E" w:rsidP="00EC445E">
      <w:pPr>
        <w:pStyle w:val="a3"/>
        <w:rPr>
          <w:rtl/>
        </w:rPr>
      </w:pPr>
      <w:bookmarkStart w:id="12863" w:name="_Toc62420082"/>
      <w:bookmarkStart w:id="12864" w:name="_Toc62452542"/>
      <w:bookmarkStart w:id="12865" w:name="_Toc62453813"/>
      <w:bookmarkStart w:id="12866" w:name="_Toc62485525"/>
      <w:r>
        <w:rPr>
          <w:rFonts w:hint="cs"/>
          <w:rtl/>
        </w:rPr>
        <w:t>ביאור רבינו יונה דבלקחוה טוען קמי דידי לקחוה במיגו דמינך זבינתה ודברי</w:t>
      </w:r>
      <w:r w:rsidRPr="00CE4BC4">
        <w:rPr>
          <w:rFonts w:hint="cs"/>
          <w:rtl/>
        </w:rPr>
        <w:t xml:space="preserve"> </w:t>
      </w:r>
      <w:r>
        <w:rPr>
          <w:rFonts w:hint="cs"/>
          <w:rtl/>
        </w:rPr>
        <w:t>הרמ"ה דטוען בברי</w:t>
      </w:r>
      <w:bookmarkEnd w:id="12863"/>
      <w:bookmarkEnd w:id="12864"/>
      <w:bookmarkEnd w:id="12865"/>
      <w:bookmarkEnd w:id="12866"/>
      <w:r>
        <w:rPr>
          <w:rFonts w:hint="cs"/>
          <w:rtl/>
        </w:rPr>
        <w:t xml:space="preserve"> </w:t>
      </w:r>
    </w:p>
    <w:p w:rsidR="00EC445E" w:rsidRDefault="00EC445E" w:rsidP="007E4E81">
      <w:pPr>
        <w:pStyle w:val="a0"/>
        <w:rPr>
          <w:rtl/>
        </w:rPr>
      </w:pPr>
      <w:r>
        <w:rPr>
          <w:rStyle w:val="af9"/>
          <w:rFonts w:hint="cs"/>
          <w:rtl/>
        </w:rPr>
        <w:t>ו</w:t>
      </w:r>
      <w:r w:rsidRPr="003A3768">
        <w:rPr>
          <w:rStyle w:val="af9"/>
          <w:rFonts w:hint="cs"/>
          <w:rtl/>
        </w:rPr>
        <w:t>רבינו</w:t>
      </w:r>
      <w:r>
        <w:rPr>
          <w:rFonts w:hint="cs"/>
          <w:rtl/>
        </w:rPr>
        <w:t xml:space="preserve"> </w:t>
      </w:r>
      <w:r w:rsidRPr="003A3768">
        <w:rPr>
          <w:rStyle w:val="af9"/>
          <w:rFonts w:hint="cs"/>
          <w:rtl/>
        </w:rPr>
        <w:t>יונה</w:t>
      </w:r>
      <w:r>
        <w:rPr>
          <w:rFonts w:hint="cs"/>
          <w:rtl/>
        </w:rPr>
        <w:t xml:space="preserve"> </w:t>
      </w:r>
      <w:r w:rsidRPr="00652FFA">
        <w:rPr>
          <w:rStyle w:val="af7"/>
          <w:rFonts w:eastAsia="Guttman Hodes" w:hint="cs"/>
          <w:rtl/>
        </w:rPr>
        <w:t>(ד"ה ומודו)</w:t>
      </w:r>
      <w:r>
        <w:rPr>
          <w:rFonts w:hint="cs"/>
          <w:rtl/>
        </w:rPr>
        <w:t xml:space="preserve"> ביאר דהא דמודו נהרדעי בחוזר וטוען של אבותי שלקחוה מאבותיך, דכוונתו לטעון דקמי דידי לקחוה אבותי מאבותיך, ולכן הוא נאמן במיגו דהיה יכול לטעון מינך זבנתיה ואכלתיה שני חזקה, וכ"כ</w:t>
      </w:r>
      <w:r w:rsidRPr="00CE75EB">
        <w:rPr>
          <w:rFonts w:hint="cs"/>
          <w:rtl/>
        </w:rPr>
        <w:t xml:space="preserve"> </w:t>
      </w:r>
      <w:r w:rsidRPr="00CE75EB">
        <w:rPr>
          <w:rStyle w:val="af9"/>
          <w:rFonts w:hint="cs"/>
          <w:rtl/>
        </w:rPr>
        <w:t xml:space="preserve">היד רמ"ה </w:t>
      </w:r>
      <w:r w:rsidRPr="00CE75EB">
        <w:rPr>
          <w:rStyle w:val="af7"/>
          <w:rFonts w:eastAsia="Guttman Hodes" w:hint="cs"/>
          <w:rtl/>
        </w:rPr>
        <w:t>(או' ל"ט ד"ה ודוקא דקא)</w:t>
      </w:r>
      <w:r w:rsidRPr="00CE75EB">
        <w:rPr>
          <w:rFonts w:hint="cs"/>
          <w:rtl/>
        </w:rPr>
        <w:t xml:space="preserve"> דהא דמודו נהרדעי דנאמן לחזור ולטעון, של אבותי שלקחוה מאבותיך, היינו </w:t>
      </w:r>
      <w:r w:rsidRPr="00CE75EB">
        <w:rPr>
          <w:rFonts w:hint="cs"/>
          <w:rtl/>
        </w:rPr>
        <w:lastRenderedPageBreak/>
        <w:t>דוקא כשחוזר וטוען כן בטענת ברי</w:t>
      </w:r>
      <w:r>
        <w:rPr>
          <w:rFonts w:hint="cs"/>
          <w:rtl/>
        </w:rPr>
        <w:t xml:space="preserve">, ועי' במה שהאריך </w:t>
      </w:r>
      <w:r w:rsidRPr="005A4F09">
        <w:rPr>
          <w:rStyle w:val="af9"/>
          <w:rFonts w:hint="cs"/>
          <w:rtl/>
        </w:rPr>
        <w:t>הקצוה"ח</w:t>
      </w:r>
      <w:r>
        <w:rPr>
          <w:rFonts w:hint="cs"/>
          <w:rtl/>
        </w:rPr>
        <w:t xml:space="preserve"> </w:t>
      </w:r>
      <w:r w:rsidRPr="005A4F09">
        <w:rPr>
          <w:rStyle w:val="af7"/>
          <w:rFonts w:eastAsia="Guttman Hodes" w:hint="cs"/>
          <w:rtl/>
        </w:rPr>
        <w:t>(סי' קמ"ו סקי"ב)</w:t>
      </w:r>
      <w:r>
        <w:rPr>
          <w:rFonts w:hint="cs"/>
          <w:rtl/>
        </w:rPr>
        <w:t xml:space="preserve"> דאיירי בטוען קמי דידי לקחוה.</w:t>
      </w:r>
    </w:p>
    <w:p w:rsidR="00EC445E" w:rsidRDefault="00EC445E" w:rsidP="00EC445E">
      <w:pPr>
        <w:pStyle w:val="a3"/>
        <w:rPr>
          <w:rtl/>
        </w:rPr>
      </w:pPr>
      <w:bookmarkStart w:id="12867" w:name="_Toc62420083"/>
      <w:bookmarkStart w:id="12868" w:name="_Toc62452543"/>
      <w:bookmarkStart w:id="12869" w:name="_Toc62453814"/>
      <w:bookmarkStart w:id="12870" w:name="_Toc62485526"/>
      <w:r>
        <w:rPr>
          <w:rFonts w:hint="cs"/>
          <w:rtl/>
        </w:rPr>
        <w:t>דברי הרשב"ם דאף שיורש צריך ראיה וא"צ טענה כשיש לו טענה גמורה א"צ ראיה דחד יומא</w:t>
      </w:r>
      <w:bookmarkEnd w:id="12867"/>
      <w:bookmarkEnd w:id="12868"/>
      <w:bookmarkEnd w:id="12869"/>
      <w:bookmarkEnd w:id="12870"/>
    </w:p>
    <w:p w:rsidR="00EC445E" w:rsidRDefault="00EC445E" w:rsidP="007E4E81">
      <w:pPr>
        <w:pStyle w:val="a0"/>
        <w:rPr>
          <w:rtl/>
        </w:rPr>
      </w:pPr>
      <w:r>
        <w:rPr>
          <w:rFonts w:hint="cs"/>
          <w:rtl/>
        </w:rPr>
        <w:t xml:space="preserve">וכתב </w:t>
      </w:r>
      <w:r w:rsidRPr="00AB5776">
        <w:rPr>
          <w:rStyle w:val="af9"/>
          <w:rFonts w:hint="cs"/>
          <w:rtl/>
        </w:rPr>
        <w:t>הרשב"ם</w:t>
      </w:r>
      <w:r>
        <w:rPr>
          <w:rFonts w:hint="cs"/>
          <w:rtl/>
        </w:rPr>
        <w:t xml:space="preserve"> דאעפ"י דאיתא בגמ' לקמן </w:t>
      </w:r>
      <w:r w:rsidRPr="00AB5776">
        <w:rPr>
          <w:rStyle w:val="af7"/>
          <w:rFonts w:eastAsia="Guttman Hodes" w:hint="cs"/>
          <w:rtl/>
        </w:rPr>
        <w:t>(מא:)</w:t>
      </w:r>
      <w:r>
        <w:rPr>
          <w:rFonts w:hint="cs"/>
          <w:rtl/>
        </w:rPr>
        <w:t xml:space="preserve"> דיורש צריך להביא ראיה, דדר בה אביו חד יומא, ורק טענה אינו צריך לטעון</w:t>
      </w:r>
      <w:r w:rsidRPr="00F42A7F">
        <w:rPr>
          <w:rFonts w:hint="cs"/>
          <w:rtl/>
        </w:rPr>
        <w:t xml:space="preserve"> </w:t>
      </w:r>
      <w:r>
        <w:rPr>
          <w:rFonts w:hint="cs"/>
          <w:rtl/>
        </w:rPr>
        <w:t>היאך הייתה השדה של אביו, כיון שיש לו חזקת ג"ש, מ"מ הכא שטוען של אבותי שלקחוה מאבותיך, אינו צריך להביא עדים דדר בה אביו חד יומא, כיון שטוען טענה גמורה, והיא חזקה שיש עמה טענה.</w:t>
      </w:r>
    </w:p>
    <w:p w:rsidR="00EC445E" w:rsidRDefault="00EC445E" w:rsidP="00EC445E">
      <w:pPr>
        <w:pStyle w:val="1"/>
        <w:rPr>
          <w:rtl/>
        </w:rPr>
      </w:pPr>
      <w:bookmarkStart w:id="12871" w:name="_Toc62385958"/>
      <w:bookmarkStart w:id="12872" w:name="_Toc62420084"/>
      <w:bookmarkStart w:id="12873" w:name="_Toc62452544"/>
      <w:bookmarkStart w:id="12874" w:name="_Toc62453815"/>
      <w:bookmarkStart w:id="12875" w:name="_Toc62485527"/>
      <w:bookmarkStart w:id="12876" w:name="_Toc61947158"/>
      <w:bookmarkStart w:id="12877" w:name="_Toc62074362"/>
      <w:bookmarkStart w:id="12878" w:name="_Toc62160801"/>
      <w:bookmarkStart w:id="12879" w:name="_Toc62074365"/>
      <w:bookmarkStart w:id="12880" w:name="_Toc62160804"/>
      <w:r>
        <w:rPr>
          <w:rFonts w:hint="cs"/>
          <w:rtl/>
        </w:rPr>
        <w:t>בי' הר"י מגאש</w:t>
      </w:r>
      <w:bookmarkEnd w:id="12871"/>
      <w:r>
        <w:rPr>
          <w:rFonts w:hint="cs"/>
          <w:rtl/>
        </w:rPr>
        <w:t xml:space="preserve"> והריטב"א דלקחוה מאבותיך הוא אמתלא טובה</w:t>
      </w:r>
      <w:bookmarkEnd w:id="12872"/>
      <w:bookmarkEnd w:id="12873"/>
      <w:bookmarkEnd w:id="12874"/>
      <w:bookmarkEnd w:id="12875"/>
    </w:p>
    <w:p w:rsidR="00EC445E" w:rsidRDefault="00EC445E" w:rsidP="00EC445E">
      <w:pPr>
        <w:pStyle w:val="a3"/>
      </w:pPr>
      <w:bookmarkStart w:id="12881" w:name="_Toc62420085"/>
      <w:bookmarkStart w:id="12882" w:name="_Toc62452545"/>
      <w:bookmarkStart w:id="12883" w:name="_Toc62453816"/>
      <w:bookmarkStart w:id="12884" w:name="_Toc62485528"/>
      <w:r>
        <w:rPr>
          <w:rFonts w:hint="cs"/>
          <w:rtl/>
        </w:rPr>
        <w:t>ביאור הר"י מגאש והריטב"א דבלקחוה מאבותיך הוא אמתלא טובה דמקיים טענתו הראשונה</w:t>
      </w:r>
      <w:bookmarkEnd w:id="12881"/>
      <w:bookmarkEnd w:id="12882"/>
      <w:bookmarkEnd w:id="12883"/>
      <w:bookmarkEnd w:id="12884"/>
    </w:p>
    <w:p w:rsidR="00EC445E" w:rsidRPr="00CA1CC6" w:rsidRDefault="00EC445E" w:rsidP="007E4E81">
      <w:pPr>
        <w:pStyle w:val="a0"/>
        <w:rPr>
          <w:rStyle w:val="afb"/>
        </w:rPr>
      </w:pPr>
      <w:r>
        <w:rPr>
          <w:rFonts w:hint="cs"/>
          <w:rtl/>
        </w:rPr>
        <w:t xml:space="preserve">בהא דמודו נהרדעי דנאמן בחוזר וטוען של אבותי שלקחוה מאבותיך, ביאר </w:t>
      </w:r>
      <w:r w:rsidRPr="00B51321">
        <w:rPr>
          <w:rStyle w:val="af9"/>
          <w:rFonts w:hint="cs"/>
          <w:rtl/>
        </w:rPr>
        <w:t>הר"י מגאש</w:t>
      </w:r>
      <w:r>
        <w:rPr>
          <w:rFonts w:hint="cs"/>
          <w:rtl/>
        </w:rPr>
        <w:t xml:space="preserve"> </w:t>
      </w:r>
      <w:r w:rsidRPr="0007730B">
        <w:rPr>
          <w:rStyle w:val="af7"/>
          <w:rFonts w:eastAsia="Guttman Hodes" w:hint="cs"/>
          <w:rtl/>
        </w:rPr>
        <w:t>(ד"ה הדר אמר)</w:t>
      </w:r>
      <w:r>
        <w:rPr>
          <w:rFonts w:hint="cs"/>
          <w:rtl/>
        </w:rPr>
        <w:t xml:space="preserve"> דבכה"ג יש לו ודאי אמתלא כיון שאינו משנה את דבריו, דתחילה טען של אבותי, וגם עכשיו טוען של אבותי, וכ"כ </w:t>
      </w:r>
      <w:r w:rsidRPr="005C6514">
        <w:rPr>
          <w:rStyle w:val="af9"/>
          <w:rFonts w:hint="cs"/>
          <w:rtl/>
        </w:rPr>
        <w:t>הריטב"א</w:t>
      </w:r>
      <w:r>
        <w:rPr>
          <w:rFonts w:hint="cs"/>
          <w:rtl/>
        </w:rPr>
        <w:t xml:space="preserve"> </w:t>
      </w:r>
      <w:r w:rsidRPr="00376D90">
        <w:rPr>
          <w:rStyle w:val="af7"/>
          <w:rFonts w:eastAsia="Guttman Hodes" w:hint="cs"/>
          <w:rtl/>
        </w:rPr>
        <w:t>(ד"ה והא)</w:t>
      </w:r>
      <w:r>
        <w:rPr>
          <w:rFonts w:hint="cs"/>
          <w:rtl/>
        </w:rPr>
        <w:t xml:space="preserve"> ביאר דכשחוזר וטוען של אבותי שלקוחה מאבותיך, יש לו אמתלא נכונה יותר, והוא מקיים בזה יותר את טענתו הראשונה, דטען של אבותי. </w:t>
      </w:r>
      <w:r w:rsidRPr="00CA1CC6">
        <w:rPr>
          <w:rStyle w:val="afb"/>
          <w:rFonts w:hint="cs"/>
          <w:rtl/>
        </w:rPr>
        <w:t xml:space="preserve">[וכדביארו </w:t>
      </w:r>
      <w:r w:rsidRPr="00CA1CC6">
        <w:rPr>
          <w:rStyle w:val="affa"/>
          <w:rFonts w:hint="cs"/>
          <w:rtl/>
        </w:rPr>
        <w:t xml:space="preserve">הר"י מגאש והריטב"א </w:t>
      </w:r>
      <w:r w:rsidRPr="009E05F4">
        <w:rPr>
          <w:rStyle w:val="aff6"/>
          <w:rFonts w:hint="cs"/>
          <w:rtl/>
        </w:rPr>
        <w:t xml:space="preserve">(עי' אות </w:t>
      </w:r>
      <w:r w:rsidRPr="009E05F4">
        <w:rPr>
          <w:rStyle w:val="aff6"/>
          <w:rtl/>
        </w:rPr>
        <w:fldChar w:fldCharType="begin"/>
      </w:r>
      <w:r w:rsidRPr="009E05F4">
        <w:rPr>
          <w:rStyle w:val="aff6"/>
          <w:rtl/>
        </w:rPr>
        <w:instrText xml:space="preserve"> </w:instrText>
      </w:r>
      <w:r w:rsidRPr="009E05F4">
        <w:rPr>
          <w:rStyle w:val="aff6"/>
          <w:rFonts w:hint="cs"/>
        </w:rPr>
        <w:instrText>REF</w:instrText>
      </w:r>
      <w:r w:rsidRPr="009E05F4">
        <w:rPr>
          <w:rStyle w:val="aff6"/>
          <w:rFonts w:hint="cs"/>
          <w:rtl/>
        </w:rPr>
        <w:instrText xml:space="preserve"> _</w:instrText>
      </w:r>
      <w:r w:rsidRPr="009E05F4">
        <w:rPr>
          <w:rStyle w:val="aff6"/>
          <w:rFonts w:hint="cs"/>
        </w:rPr>
        <w:instrText>Ref62488084 \r \h</w:instrText>
      </w:r>
      <w:r w:rsidRPr="009E05F4">
        <w:rPr>
          <w:rStyle w:val="aff6"/>
          <w:rtl/>
        </w:rPr>
        <w:instrText xml:space="preserve"> </w:instrText>
      </w:r>
      <w:r w:rsidRPr="009E05F4">
        <w:rPr>
          <w:rStyle w:val="aff6"/>
          <w:rtl/>
        </w:rPr>
      </w:r>
      <w:r w:rsidRPr="009E05F4">
        <w:rPr>
          <w:rStyle w:val="aff6"/>
          <w:rtl/>
        </w:rPr>
        <w:fldChar w:fldCharType="separate"/>
      </w:r>
      <w:r w:rsidR="00265073">
        <w:rPr>
          <w:rStyle w:val="aff6"/>
          <w:cs/>
        </w:rPr>
        <w:t>‎</w:t>
      </w:r>
      <w:r w:rsidR="00265073">
        <w:rPr>
          <w:rStyle w:val="aff6"/>
          <w:rtl/>
        </w:rPr>
        <w:t>ח)</w:t>
      </w:r>
      <w:r w:rsidRPr="009E05F4">
        <w:rPr>
          <w:rStyle w:val="aff6"/>
          <w:rtl/>
        </w:rPr>
        <w:fldChar w:fldCharType="end"/>
      </w:r>
      <w:r w:rsidRPr="00CA1CC6">
        <w:rPr>
          <w:rStyle w:val="afb"/>
          <w:rFonts w:hint="cs"/>
          <w:rtl/>
        </w:rPr>
        <w:t xml:space="preserve"> דעולא ונהרדעי נחלקו אי חוזר וטוען כשנותן אמתלא לדבריו].</w:t>
      </w:r>
    </w:p>
    <w:p w:rsidR="00EC445E" w:rsidRDefault="00EC445E" w:rsidP="00EC445E">
      <w:pPr>
        <w:pStyle w:val="a3"/>
        <w:rPr>
          <w:rtl/>
        </w:rPr>
      </w:pPr>
      <w:bookmarkStart w:id="12885" w:name="_Toc62420086"/>
      <w:bookmarkStart w:id="12886" w:name="_Toc62452546"/>
      <w:bookmarkStart w:id="12887" w:name="_Toc62453817"/>
      <w:bookmarkStart w:id="12888" w:name="_Toc62485529"/>
      <w:r>
        <w:rPr>
          <w:rFonts w:hint="cs"/>
          <w:rtl/>
        </w:rPr>
        <w:t>דברי הרשב"א דבלקוחה מאבותיך הוא מקיים את כל דבריו בטענה הראשונה ולכן נאמן</w:t>
      </w:r>
      <w:bookmarkEnd w:id="12885"/>
      <w:bookmarkEnd w:id="12886"/>
      <w:bookmarkEnd w:id="12887"/>
      <w:bookmarkEnd w:id="12888"/>
    </w:p>
    <w:p w:rsidR="00EC445E" w:rsidRPr="002F090C" w:rsidRDefault="00EC445E" w:rsidP="007E4E81">
      <w:pPr>
        <w:pStyle w:val="a0"/>
        <w:rPr>
          <w:rStyle w:val="afb"/>
          <w:rtl/>
        </w:rPr>
      </w:pPr>
      <w:r>
        <w:rPr>
          <w:rStyle w:val="af9"/>
          <w:rFonts w:hint="cs"/>
          <w:rtl/>
        </w:rPr>
        <w:t>ו</w:t>
      </w:r>
      <w:r w:rsidRPr="005C6514">
        <w:rPr>
          <w:rStyle w:val="af9"/>
          <w:rFonts w:hint="cs"/>
          <w:rtl/>
        </w:rPr>
        <w:t>הרשב"א</w:t>
      </w:r>
      <w:r>
        <w:rPr>
          <w:rFonts w:hint="cs"/>
          <w:rtl/>
        </w:rPr>
        <w:t xml:space="preserve"> </w:t>
      </w:r>
      <w:r w:rsidRPr="00376D90">
        <w:rPr>
          <w:rStyle w:val="af7"/>
          <w:rFonts w:eastAsia="Guttman Hodes" w:hint="cs"/>
          <w:rtl/>
        </w:rPr>
        <w:t>(ד"ה ומודו)</w:t>
      </w:r>
      <w:r>
        <w:rPr>
          <w:rFonts w:hint="cs"/>
          <w:rtl/>
        </w:rPr>
        <w:t xml:space="preserve"> ביאר דכשחוזר וטוען של אבותי שלקוחה מאבותיך, הוא מקיים את כל דבריו, ולכן הוא נאמן.</w:t>
      </w:r>
    </w:p>
    <w:p w:rsidR="00EC445E" w:rsidRDefault="00EC445E" w:rsidP="00EC445E">
      <w:pPr>
        <w:pStyle w:val="afe"/>
        <w:rPr>
          <w:rtl/>
        </w:rPr>
      </w:pPr>
      <w:bookmarkStart w:id="12889" w:name="_Toc62385963"/>
      <w:bookmarkStart w:id="12890" w:name="_Toc62420087"/>
      <w:bookmarkStart w:id="12891" w:name="_Toc62452547"/>
      <w:bookmarkStart w:id="12892" w:name="_Toc62453818"/>
      <w:bookmarkStart w:id="12893" w:name="_Toc62485530"/>
      <w:bookmarkEnd w:id="12876"/>
      <w:bookmarkEnd w:id="12877"/>
      <w:bookmarkEnd w:id="12878"/>
      <w:bookmarkEnd w:id="12879"/>
      <w:bookmarkEnd w:id="12880"/>
      <w:r>
        <w:rPr>
          <w:rFonts w:hint="cs"/>
          <w:rtl/>
        </w:rPr>
        <w:t>ביצא מב"ד דאינו חוזר וטוען</w:t>
      </w:r>
      <w:bookmarkEnd w:id="12889"/>
      <w:bookmarkEnd w:id="12890"/>
      <w:bookmarkEnd w:id="12891"/>
      <w:bookmarkEnd w:id="12892"/>
      <w:bookmarkEnd w:id="12893"/>
    </w:p>
    <w:p w:rsidR="00EC445E" w:rsidRPr="00C84BF0" w:rsidRDefault="00EC445E" w:rsidP="00EC445E">
      <w:pPr>
        <w:pStyle w:val="1"/>
        <w:rPr>
          <w:rtl/>
        </w:rPr>
      </w:pPr>
      <w:bookmarkStart w:id="12894" w:name="_Toc62385964"/>
      <w:bookmarkStart w:id="12895" w:name="_Toc62420088"/>
      <w:bookmarkStart w:id="12896" w:name="_Toc62452548"/>
      <w:bookmarkStart w:id="12897" w:name="_Toc62453819"/>
      <w:bookmarkStart w:id="12898" w:name="_Toc62485531"/>
      <w:r>
        <w:rPr>
          <w:rFonts w:hint="cs"/>
          <w:rtl/>
        </w:rPr>
        <w:t>דברי הרשב"ם</w:t>
      </w:r>
      <w:bookmarkEnd w:id="12894"/>
      <w:bookmarkEnd w:id="12895"/>
      <w:bookmarkEnd w:id="12896"/>
      <w:bookmarkEnd w:id="12897"/>
      <w:r>
        <w:rPr>
          <w:rFonts w:hint="cs"/>
          <w:rtl/>
        </w:rPr>
        <w:t xml:space="preserve"> דביצא מב"ד אינו חוזר במכחיש במקצת</w:t>
      </w:r>
      <w:bookmarkEnd w:id="12898"/>
    </w:p>
    <w:p w:rsidR="00EC445E" w:rsidRPr="00B3207F" w:rsidRDefault="00EC445E" w:rsidP="00EC445E">
      <w:pPr>
        <w:pStyle w:val="a3"/>
        <w:rPr>
          <w:rtl/>
        </w:rPr>
      </w:pPr>
      <w:bookmarkStart w:id="12899" w:name="_Toc62420089"/>
      <w:bookmarkStart w:id="12900" w:name="_Toc62452549"/>
      <w:bookmarkStart w:id="12901" w:name="_Toc62453820"/>
      <w:bookmarkStart w:id="12902" w:name="_Toc62485532"/>
      <w:r>
        <w:rPr>
          <w:rFonts w:hint="cs"/>
          <w:rtl/>
        </w:rPr>
        <w:t>דברי הרשב"ם דכשיצא מב"ד אינו נאמן לחזור אף במכחיש במקצת שמא לימדוהו לטעון כן</w:t>
      </w:r>
      <w:bookmarkEnd w:id="12899"/>
      <w:bookmarkEnd w:id="12900"/>
      <w:bookmarkEnd w:id="12901"/>
      <w:bookmarkEnd w:id="12902"/>
    </w:p>
    <w:p w:rsidR="00EC445E" w:rsidRDefault="00EC445E" w:rsidP="007E4E81">
      <w:pPr>
        <w:pStyle w:val="a0"/>
        <w:rPr>
          <w:rtl/>
        </w:rPr>
      </w:pPr>
      <w:bookmarkStart w:id="12903" w:name="_Ref62035828"/>
      <w:r>
        <w:rPr>
          <w:rFonts w:hint="cs"/>
          <w:rtl/>
        </w:rPr>
        <w:t xml:space="preserve">ובהא דאינו נאמן לחזור ולטעון אחר שיצא מב"ד, ביאר </w:t>
      </w:r>
      <w:r w:rsidRPr="003479B8">
        <w:rPr>
          <w:rStyle w:val="af9"/>
          <w:rFonts w:hint="cs"/>
          <w:rtl/>
        </w:rPr>
        <w:t>הרשב"ם</w:t>
      </w:r>
      <w:r>
        <w:rPr>
          <w:rFonts w:hint="cs"/>
          <w:rtl/>
        </w:rPr>
        <w:t xml:space="preserve"> </w:t>
      </w:r>
      <w:r w:rsidRPr="00B030F7">
        <w:rPr>
          <w:rStyle w:val="af7"/>
          <w:rFonts w:eastAsia="Guttman Hodes" w:hint="cs"/>
          <w:rtl/>
        </w:rPr>
        <w:t>(ד"ה ומודי נמי)</w:t>
      </w:r>
      <w:r>
        <w:rPr>
          <w:rFonts w:hint="cs"/>
          <w:rtl/>
        </w:rPr>
        <w:t xml:space="preserve"> דאף בזה מודה עולא דאינו נאמן לחזור ולטעון, דכיון שבב"ד לא חזר לתקן את דבריו הראשונים ע"י שהכחישם במקצת, אינו נאמן לחזור ולתקן את דבריו, במקום שהוא מכחישם במקצת, דחיישינן שקרוביו ואוהביו לימדוהו לטעון כן.</w:t>
      </w:r>
      <w:bookmarkEnd w:id="12903"/>
    </w:p>
    <w:p w:rsidR="00730F4A" w:rsidRPr="00730F4A" w:rsidRDefault="00730F4A" w:rsidP="00730F4A">
      <w:pPr>
        <w:pStyle w:val="a3"/>
        <w:rPr>
          <w:rtl/>
        </w:rPr>
      </w:pPr>
    </w:p>
    <w:p w:rsidR="00730F4A" w:rsidRPr="00730F4A" w:rsidRDefault="00730F4A" w:rsidP="00730F4A">
      <w:pPr>
        <w:pStyle w:val="a3"/>
        <w:rPr>
          <w:rtl/>
        </w:rPr>
      </w:pPr>
    </w:p>
    <w:p w:rsidR="00EC445E" w:rsidRDefault="00EC445E" w:rsidP="00EC445E">
      <w:pPr>
        <w:pStyle w:val="1"/>
        <w:rPr>
          <w:rtl/>
        </w:rPr>
      </w:pPr>
      <w:bookmarkStart w:id="12904" w:name="_Toc62385965"/>
      <w:bookmarkStart w:id="12905" w:name="_Toc62420090"/>
      <w:bookmarkStart w:id="12906" w:name="_Toc62452550"/>
      <w:bookmarkStart w:id="12907" w:name="_Toc62453821"/>
      <w:bookmarkStart w:id="12908" w:name="_Toc62485533"/>
      <w:r>
        <w:rPr>
          <w:rFonts w:hint="cs"/>
          <w:rtl/>
        </w:rPr>
        <w:t>ספק התוס'</w:t>
      </w:r>
      <w:bookmarkEnd w:id="12904"/>
      <w:bookmarkEnd w:id="12905"/>
      <w:bookmarkEnd w:id="12906"/>
      <w:bookmarkEnd w:id="12907"/>
      <w:r>
        <w:rPr>
          <w:rFonts w:hint="cs"/>
          <w:rtl/>
        </w:rPr>
        <w:t xml:space="preserve"> בחוזר וטוען שלקחוה מאבותי אי נאמן חוץ לב"ד</w:t>
      </w:r>
      <w:bookmarkEnd w:id="12908"/>
    </w:p>
    <w:p w:rsidR="00EC445E" w:rsidRDefault="00EC445E" w:rsidP="00EC445E">
      <w:pPr>
        <w:pStyle w:val="a3"/>
        <w:rPr>
          <w:rtl/>
        </w:rPr>
      </w:pPr>
      <w:bookmarkStart w:id="12909" w:name="_Toc62420091"/>
      <w:bookmarkStart w:id="12910" w:name="_Toc62452551"/>
      <w:bookmarkStart w:id="12911" w:name="_Toc62453822"/>
      <w:bookmarkStart w:id="12912" w:name="_Toc62485534"/>
      <w:r>
        <w:rPr>
          <w:rFonts w:hint="cs"/>
          <w:rtl/>
        </w:rPr>
        <w:t>ספק ר"י בתוס' אי בטענת לקחוה מאבותיך נאמן לחזור אחר שיצא מב"ד או שאינו נאמן</w:t>
      </w:r>
      <w:bookmarkEnd w:id="12909"/>
      <w:bookmarkEnd w:id="12910"/>
      <w:bookmarkEnd w:id="12911"/>
      <w:bookmarkEnd w:id="12912"/>
    </w:p>
    <w:p w:rsidR="00EC445E" w:rsidRDefault="00EC445E" w:rsidP="007E4E81">
      <w:pPr>
        <w:pStyle w:val="a0"/>
        <w:rPr>
          <w:rtl/>
        </w:rPr>
      </w:pPr>
      <w:bookmarkStart w:id="12913" w:name="_Ref62403787"/>
      <w:r>
        <w:rPr>
          <w:rFonts w:hint="cs"/>
          <w:rtl/>
        </w:rPr>
        <w:t xml:space="preserve">בהא דמודו נהרדעי בחוזר וטוען של אבותי שלקחוה מאבותיך, כתב </w:t>
      </w:r>
      <w:r w:rsidRPr="00AB5776">
        <w:rPr>
          <w:rStyle w:val="af9"/>
          <w:rFonts w:hint="cs"/>
          <w:rtl/>
        </w:rPr>
        <w:t>ר"י בתוס'</w:t>
      </w:r>
      <w:r>
        <w:rPr>
          <w:rFonts w:hint="cs"/>
          <w:rtl/>
        </w:rPr>
        <w:t xml:space="preserve"> </w:t>
      </w:r>
      <w:r w:rsidRPr="00AB5776">
        <w:rPr>
          <w:rStyle w:val="af7"/>
          <w:rFonts w:eastAsia="Guttman Hodes" w:hint="cs"/>
          <w:rtl/>
        </w:rPr>
        <w:t>(ד"ה ומודו)</w:t>
      </w:r>
      <w:r>
        <w:rPr>
          <w:rFonts w:hint="cs"/>
          <w:rtl/>
        </w:rPr>
        <w:t xml:space="preserve"> דיש להסתפק אי מודו נהרדעי אף באופן שיצא חוץ לב"ד, וחזר לב"ד, אי יכול לחזור ולטעון או לא, ועי' במה שביארו </w:t>
      </w:r>
      <w:r w:rsidRPr="00E866A4">
        <w:rPr>
          <w:rStyle w:val="af9"/>
          <w:rFonts w:hint="cs"/>
          <w:rtl/>
        </w:rPr>
        <w:t xml:space="preserve">בחי' הגר"ח מטעלז </w:t>
      </w:r>
      <w:r w:rsidRPr="00E866A4">
        <w:rPr>
          <w:rStyle w:val="af7"/>
          <w:rFonts w:eastAsia="Guttman Hodes" w:hint="cs"/>
          <w:rtl/>
        </w:rPr>
        <w:t>(עי' הערה</w:t>
      </w:r>
      <w:r>
        <w:rPr>
          <w:rStyle w:val="af1"/>
          <w:rtl/>
        </w:rPr>
        <w:footnoteReference w:id="79"/>
      </w:r>
      <w:r w:rsidRPr="00E866A4">
        <w:rPr>
          <w:rStyle w:val="af7"/>
          <w:rFonts w:eastAsia="Guttman Hodes" w:hint="cs"/>
          <w:rtl/>
        </w:rPr>
        <w:t>)</w:t>
      </w:r>
      <w:r>
        <w:rPr>
          <w:rFonts w:hint="cs"/>
          <w:rtl/>
        </w:rPr>
        <w:t xml:space="preserve"> </w:t>
      </w:r>
      <w:r>
        <w:rPr>
          <w:rStyle w:val="af9"/>
          <w:rFonts w:hint="cs"/>
          <w:rtl/>
        </w:rPr>
        <w:t>ו</w:t>
      </w:r>
      <w:r w:rsidRPr="004C4C9F">
        <w:rPr>
          <w:rStyle w:val="af9"/>
          <w:rFonts w:hint="cs"/>
          <w:rtl/>
        </w:rPr>
        <w:t>בחי' רבי נחום</w:t>
      </w:r>
      <w:r>
        <w:rPr>
          <w:rFonts w:hint="cs"/>
          <w:rtl/>
        </w:rPr>
        <w:t xml:space="preserve"> </w:t>
      </w:r>
      <w:r w:rsidRPr="0085139E">
        <w:rPr>
          <w:rStyle w:val="af7"/>
          <w:rFonts w:eastAsia="Guttman Hodes" w:hint="cs"/>
          <w:rtl/>
        </w:rPr>
        <w:t xml:space="preserve">(עי' אות </w:t>
      </w:r>
      <w:r w:rsidRPr="0085139E">
        <w:rPr>
          <w:rStyle w:val="af7"/>
          <w:rFonts w:eastAsia="Guttman Hodes"/>
          <w:rtl/>
        </w:rPr>
        <w:fldChar w:fldCharType="begin"/>
      </w:r>
      <w:r w:rsidRPr="0085139E">
        <w:rPr>
          <w:rStyle w:val="af7"/>
          <w:rFonts w:eastAsia="Guttman Hodes"/>
          <w:rtl/>
        </w:rPr>
        <w:instrText xml:space="preserve"> </w:instrText>
      </w:r>
      <w:r w:rsidRPr="0085139E">
        <w:rPr>
          <w:rStyle w:val="af7"/>
          <w:rFonts w:eastAsia="Guttman Hodes" w:hint="cs"/>
        </w:rPr>
        <w:instrText>REF</w:instrText>
      </w:r>
      <w:r w:rsidRPr="0085139E">
        <w:rPr>
          <w:rStyle w:val="af7"/>
          <w:rFonts w:eastAsia="Guttman Hodes" w:hint="cs"/>
          <w:rtl/>
        </w:rPr>
        <w:instrText xml:space="preserve"> _</w:instrText>
      </w:r>
      <w:r w:rsidRPr="0085139E">
        <w:rPr>
          <w:rStyle w:val="af7"/>
          <w:rFonts w:eastAsia="Guttman Hodes" w:hint="cs"/>
        </w:rPr>
        <w:instrText>Ref62469382 \r \h</w:instrText>
      </w:r>
      <w:r w:rsidRPr="0085139E">
        <w:rPr>
          <w:rStyle w:val="af7"/>
          <w:rFonts w:eastAsia="Guttman Hodes"/>
          <w:rtl/>
        </w:rPr>
        <w:instrText xml:space="preserve"> </w:instrText>
      </w:r>
      <w:r w:rsidRPr="0085139E">
        <w:rPr>
          <w:rStyle w:val="af7"/>
          <w:rFonts w:eastAsia="Guttman Hodes"/>
          <w:rtl/>
        </w:rPr>
      </w:r>
      <w:r w:rsidRPr="0085139E">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85139E">
        <w:rPr>
          <w:rStyle w:val="af7"/>
          <w:rFonts w:eastAsia="Guttman Hodes"/>
          <w:rtl/>
        </w:rPr>
        <w:fldChar w:fldCharType="end"/>
      </w:r>
      <w:r>
        <w:rPr>
          <w:rFonts w:hint="cs"/>
          <w:rtl/>
        </w:rPr>
        <w:t xml:space="preserve"> בדברי </w:t>
      </w:r>
      <w:r w:rsidRPr="00E866A4">
        <w:rPr>
          <w:rStyle w:val="af9"/>
          <w:rFonts w:hint="cs"/>
          <w:rtl/>
        </w:rPr>
        <w:t>התוס'</w:t>
      </w:r>
      <w:r>
        <w:rPr>
          <w:rFonts w:hint="cs"/>
          <w:rtl/>
        </w:rPr>
        <w:t>.</w:t>
      </w:r>
      <w:bookmarkEnd w:id="12913"/>
    </w:p>
    <w:p w:rsidR="00EC445E" w:rsidRDefault="00EC445E" w:rsidP="00EC445E">
      <w:pPr>
        <w:pStyle w:val="1"/>
        <w:rPr>
          <w:rtl/>
        </w:rPr>
      </w:pPr>
      <w:bookmarkStart w:id="12914" w:name="_Toc62420092"/>
      <w:bookmarkStart w:id="12915" w:name="_Toc62452552"/>
      <w:bookmarkStart w:id="12916" w:name="_Toc62453823"/>
      <w:bookmarkStart w:id="12917" w:name="_Toc62485535"/>
      <w:r>
        <w:rPr>
          <w:rFonts w:hint="cs"/>
          <w:rtl/>
        </w:rPr>
        <w:t>ביאור הגרעק"א ברשב"ם דבלקוחה מאבותיך נאמן ביצא מב"ד</w:t>
      </w:r>
      <w:bookmarkEnd w:id="12914"/>
      <w:bookmarkEnd w:id="12915"/>
      <w:bookmarkEnd w:id="12916"/>
      <w:bookmarkEnd w:id="12917"/>
    </w:p>
    <w:p w:rsidR="00EC445E" w:rsidRPr="00E866A4" w:rsidRDefault="00EC445E" w:rsidP="00EC445E">
      <w:pPr>
        <w:pStyle w:val="a3"/>
        <w:rPr>
          <w:rtl/>
        </w:rPr>
      </w:pPr>
      <w:bookmarkStart w:id="12918" w:name="_Toc62420093"/>
      <w:bookmarkStart w:id="12919" w:name="_Toc62452553"/>
      <w:bookmarkStart w:id="12920" w:name="_Toc62453824"/>
      <w:bookmarkStart w:id="12921" w:name="_Toc62485536"/>
      <w:r>
        <w:rPr>
          <w:rFonts w:hint="cs"/>
          <w:rtl/>
        </w:rPr>
        <w:t>דברי הגרעק"א דמבואר ברשב"ם דבטענת לקחוה מאבותיך נאמן אף לאחר שיצא מב"ד</w:t>
      </w:r>
      <w:bookmarkEnd w:id="12918"/>
      <w:bookmarkEnd w:id="12919"/>
      <w:bookmarkEnd w:id="12920"/>
      <w:bookmarkEnd w:id="12921"/>
    </w:p>
    <w:p w:rsidR="00EC445E" w:rsidRDefault="00EC445E" w:rsidP="007E4E81">
      <w:pPr>
        <w:pStyle w:val="a0"/>
        <w:rPr>
          <w:rtl/>
        </w:rPr>
      </w:pPr>
      <w:bookmarkStart w:id="12922" w:name="_Ref62469333"/>
      <w:r>
        <w:rPr>
          <w:rFonts w:hint="cs"/>
          <w:rtl/>
        </w:rPr>
        <w:t xml:space="preserve">וכתב </w:t>
      </w:r>
      <w:r w:rsidRPr="005C6514">
        <w:rPr>
          <w:rStyle w:val="af9"/>
          <w:rFonts w:hint="cs"/>
          <w:rtl/>
        </w:rPr>
        <w:t>הגרעק"א</w:t>
      </w:r>
      <w:r>
        <w:rPr>
          <w:rFonts w:hint="cs"/>
          <w:rtl/>
        </w:rPr>
        <w:t xml:space="preserve"> </w:t>
      </w:r>
      <w:r w:rsidRPr="00A4667E">
        <w:rPr>
          <w:rStyle w:val="af7"/>
          <w:rFonts w:eastAsia="Guttman Hodes" w:hint="cs"/>
          <w:rtl/>
        </w:rPr>
        <w:t>(על תוד"ה ומודו, על השו"ע סי' קמ"ו כ"ד)</w:t>
      </w:r>
      <w:r>
        <w:rPr>
          <w:rFonts w:hint="cs"/>
          <w:rtl/>
        </w:rPr>
        <w:t xml:space="preserve"> דמדברי </w:t>
      </w:r>
      <w:r w:rsidRPr="005C6514">
        <w:rPr>
          <w:rStyle w:val="af9"/>
          <w:rFonts w:hint="cs"/>
          <w:rtl/>
        </w:rPr>
        <w:t>הרשב"ם</w:t>
      </w:r>
      <w:r>
        <w:rPr>
          <w:rFonts w:hint="cs"/>
          <w:rtl/>
        </w:rPr>
        <w:t xml:space="preserve"> משמע דבטענת של אבותי שלקחוה מאבותיך, הוא נאמן אף לאחר שיצא מב"ד, וביאר </w:t>
      </w:r>
      <w:r w:rsidRPr="000A1C5D">
        <w:rPr>
          <w:rStyle w:val="af9"/>
          <w:rFonts w:hint="cs"/>
          <w:rtl/>
        </w:rPr>
        <w:t>בחי'</w:t>
      </w:r>
      <w:r w:rsidRPr="008055F3">
        <w:rPr>
          <w:rFonts w:hint="cs"/>
          <w:rtl/>
        </w:rPr>
        <w:t xml:space="preserve"> </w:t>
      </w:r>
      <w:r w:rsidRPr="000A1C5D">
        <w:rPr>
          <w:rStyle w:val="af9"/>
          <w:rFonts w:hint="cs"/>
          <w:rtl/>
        </w:rPr>
        <w:t>רבי</w:t>
      </w:r>
      <w:r w:rsidRPr="008055F3">
        <w:rPr>
          <w:rFonts w:hint="cs"/>
          <w:rtl/>
        </w:rPr>
        <w:t xml:space="preserve"> </w:t>
      </w:r>
      <w:r w:rsidRPr="000A1C5D">
        <w:rPr>
          <w:rStyle w:val="af9"/>
          <w:rFonts w:hint="cs"/>
          <w:rtl/>
        </w:rPr>
        <w:t>נחום</w:t>
      </w:r>
      <w:r>
        <w:rPr>
          <w:rFonts w:hint="cs"/>
          <w:rtl/>
        </w:rPr>
        <w:t xml:space="preserve"> </w:t>
      </w:r>
      <w:r w:rsidRPr="0085139E">
        <w:rPr>
          <w:rStyle w:val="af7"/>
          <w:rFonts w:eastAsia="Guttman Hodes" w:hint="cs"/>
          <w:rtl/>
        </w:rPr>
        <w:t xml:space="preserve">(עי' אות </w:t>
      </w:r>
      <w:r w:rsidRPr="0085139E">
        <w:rPr>
          <w:rStyle w:val="af7"/>
          <w:rFonts w:eastAsia="Guttman Hodes"/>
          <w:rtl/>
        </w:rPr>
        <w:fldChar w:fldCharType="begin"/>
      </w:r>
      <w:r w:rsidRPr="0085139E">
        <w:rPr>
          <w:rStyle w:val="af7"/>
          <w:rFonts w:eastAsia="Guttman Hodes"/>
          <w:rtl/>
        </w:rPr>
        <w:instrText xml:space="preserve"> </w:instrText>
      </w:r>
      <w:r w:rsidRPr="0085139E">
        <w:rPr>
          <w:rStyle w:val="af7"/>
          <w:rFonts w:eastAsia="Guttman Hodes" w:hint="cs"/>
        </w:rPr>
        <w:instrText>REF</w:instrText>
      </w:r>
      <w:r w:rsidRPr="0085139E">
        <w:rPr>
          <w:rStyle w:val="af7"/>
          <w:rFonts w:eastAsia="Guttman Hodes" w:hint="cs"/>
          <w:rtl/>
        </w:rPr>
        <w:instrText xml:space="preserve"> _</w:instrText>
      </w:r>
      <w:r w:rsidRPr="0085139E">
        <w:rPr>
          <w:rStyle w:val="af7"/>
          <w:rFonts w:eastAsia="Guttman Hodes" w:hint="cs"/>
        </w:rPr>
        <w:instrText>Ref62469382 \r \h</w:instrText>
      </w:r>
      <w:r w:rsidRPr="0085139E">
        <w:rPr>
          <w:rStyle w:val="af7"/>
          <w:rFonts w:eastAsia="Guttman Hodes"/>
          <w:rtl/>
        </w:rPr>
        <w:instrText xml:space="preserve"> </w:instrText>
      </w:r>
      <w:r w:rsidRPr="0085139E">
        <w:rPr>
          <w:rStyle w:val="af7"/>
          <w:rFonts w:eastAsia="Guttman Hodes"/>
          <w:rtl/>
        </w:rPr>
      </w:r>
      <w:r w:rsidRPr="0085139E">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85139E">
        <w:rPr>
          <w:rStyle w:val="af7"/>
          <w:rFonts w:eastAsia="Guttman Hodes"/>
          <w:rtl/>
        </w:rPr>
        <w:fldChar w:fldCharType="end"/>
      </w:r>
      <w:r>
        <w:rPr>
          <w:rFonts w:hint="cs"/>
          <w:rtl/>
        </w:rPr>
        <w:t xml:space="preserve">דמדכתב </w:t>
      </w:r>
      <w:r w:rsidRPr="008545C2">
        <w:rPr>
          <w:rStyle w:val="af9"/>
          <w:rFonts w:eastAsia="Guttman Adii-Light" w:hint="cs"/>
          <w:rtl/>
        </w:rPr>
        <w:t>הרשב"ם</w:t>
      </w:r>
      <w:r w:rsidRPr="00903CB3">
        <w:rPr>
          <w:rStyle w:val="afb"/>
          <w:rFonts w:hint="cs"/>
          <w:rtl/>
        </w:rPr>
        <w:t xml:space="preserve"> </w:t>
      </w:r>
      <w:r w:rsidRPr="008545C2">
        <w:rPr>
          <w:rStyle w:val="af7"/>
          <w:rFonts w:eastAsia="Guttman Hodes" w:hint="cs"/>
          <w:rtl/>
        </w:rPr>
        <w:t xml:space="preserve">(עי' אות </w:t>
      </w:r>
      <w:r w:rsidRPr="008545C2">
        <w:rPr>
          <w:rStyle w:val="af7"/>
          <w:rFonts w:eastAsia="Guttman Hodes"/>
          <w:rtl/>
        </w:rPr>
        <w:fldChar w:fldCharType="begin"/>
      </w:r>
      <w:r w:rsidRPr="008545C2">
        <w:rPr>
          <w:rStyle w:val="af7"/>
          <w:rFonts w:eastAsia="Guttman Hodes"/>
          <w:rtl/>
        </w:rPr>
        <w:instrText xml:space="preserve"> </w:instrText>
      </w:r>
      <w:r w:rsidRPr="008545C2">
        <w:rPr>
          <w:rStyle w:val="af7"/>
          <w:rFonts w:eastAsia="Guttman Hodes" w:hint="cs"/>
        </w:rPr>
        <w:instrText>REF</w:instrText>
      </w:r>
      <w:r w:rsidRPr="008545C2">
        <w:rPr>
          <w:rStyle w:val="af7"/>
          <w:rFonts w:eastAsia="Guttman Hodes" w:hint="cs"/>
          <w:rtl/>
        </w:rPr>
        <w:instrText xml:space="preserve"> _</w:instrText>
      </w:r>
      <w:r w:rsidRPr="008545C2">
        <w:rPr>
          <w:rStyle w:val="af7"/>
          <w:rFonts w:eastAsia="Guttman Hodes" w:hint="cs"/>
        </w:rPr>
        <w:instrText>Ref62035828 \r \h</w:instrText>
      </w:r>
      <w:r w:rsidRPr="008545C2">
        <w:rPr>
          <w:rStyle w:val="af7"/>
          <w:rFonts w:eastAsia="Guttman Hodes"/>
          <w:rtl/>
        </w:rPr>
        <w:instrText xml:space="preserve"> </w:instrText>
      </w:r>
      <w:r w:rsidRPr="008545C2">
        <w:rPr>
          <w:rStyle w:val="af7"/>
          <w:rFonts w:eastAsia="Guttman Hodes"/>
          <w:rtl/>
        </w:rPr>
      </w:r>
      <w:r w:rsidRPr="008545C2">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8545C2">
        <w:rPr>
          <w:rStyle w:val="af7"/>
          <w:rFonts w:eastAsia="Guttman Hodes"/>
          <w:rtl/>
        </w:rPr>
        <w:fldChar w:fldCharType="end"/>
      </w:r>
      <w:r>
        <w:rPr>
          <w:rStyle w:val="afb"/>
          <w:rFonts w:hint="cs"/>
          <w:rtl/>
        </w:rPr>
        <w:t xml:space="preserve"> </w:t>
      </w:r>
      <w:r w:rsidRPr="008545C2">
        <w:rPr>
          <w:rFonts w:hint="cs"/>
          <w:rtl/>
        </w:rPr>
        <w:t>דאינו נאמן לחזור ולטעון אחר שיצא מב"ד, כיון שהוא מכחיש את דבריו הראשונים במקצת,</w:t>
      </w:r>
      <w:r>
        <w:rPr>
          <w:rFonts w:hint="cs"/>
          <w:rtl/>
        </w:rPr>
        <w:t xml:space="preserve"> א"כ משמע דכבחוזר וטוען של אבותי שלקחוה מאבותיך נאמן, ועי' במה שביאר </w:t>
      </w:r>
      <w:r w:rsidRPr="004C4C9F">
        <w:rPr>
          <w:rStyle w:val="af9"/>
          <w:rFonts w:hint="cs"/>
          <w:rtl/>
        </w:rPr>
        <w:t>בחי' רבי נחום</w:t>
      </w:r>
      <w:r>
        <w:rPr>
          <w:rFonts w:hint="cs"/>
          <w:rtl/>
        </w:rPr>
        <w:t xml:space="preserve"> </w:t>
      </w:r>
      <w:r w:rsidRPr="0085139E">
        <w:rPr>
          <w:rStyle w:val="af7"/>
          <w:rFonts w:eastAsia="Guttman Hodes" w:hint="cs"/>
          <w:rtl/>
        </w:rPr>
        <w:t xml:space="preserve">(עי' אות </w:t>
      </w:r>
      <w:r w:rsidRPr="0085139E">
        <w:rPr>
          <w:rStyle w:val="af7"/>
          <w:rFonts w:eastAsia="Guttman Hodes"/>
          <w:rtl/>
        </w:rPr>
        <w:fldChar w:fldCharType="begin"/>
      </w:r>
      <w:r w:rsidRPr="0085139E">
        <w:rPr>
          <w:rStyle w:val="af7"/>
          <w:rFonts w:eastAsia="Guttman Hodes"/>
          <w:rtl/>
        </w:rPr>
        <w:instrText xml:space="preserve"> </w:instrText>
      </w:r>
      <w:r w:rsidRPr="0085139E">
        <w:rPr>
          <w:rStyle w:val="af7"/>
          <w:rFonts w:eastAsia="Guttman Hodes" w:hint="cs"/>
        </w:rPr>
        <w:instrText>REF</w:instrText>
      </w:r>
      <w:r w:rsidRPr="0085139E">
        <w:rPr>
          <w:rStyle w:val="af7"/>
          <w:rFonts w:eastAsia="Guttman Hodes" w:hint="cs"/>
          <w:rtl/>
        </w:rPr>
        <w:instrText xml:space="preserve"> _</w:instrText>
      </w:r>
      <w:r w:rsidRPr="0085139E">
        <w:rPr>
          <w:rStyle w:val="af7"/>
          <w:rFonts w:eastAsia="Guttman Hodes" w:hint="cs"/>
        </w:rPr>
        <w:instrText>Ref62469382 \r \h</w:instrText>
      </w:r>
      <w:r w:rsidRPr="0085139E">
        <w:rPr>
          <w:rStyle w:val="af7"/>
          <w:rFonts w:eastAsia="Guttman Hodes"/>
          <w:rtl/>
        </w:rPr>
        <w:instrText xml:space="preserve"> </w:instrText>
      </w:r>
      <w:r w:rsidRPr="0085139E">
        <w:rPr>
          <w:rStyle w:val="af7"/>
          <w:rFonts w:eastAsia="Guttman Hodes"/>
          <w:rtl/>
        </w:rPr>
      </w:r>
      <w:r w:rsidRPr="0085139E">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85139E">
        <w:rPr>
          <w:rStyle w:val="af7"/>
          <w:rFonts w:eastAsia="Guttman Hodes"/>
          <w:rtl/>
        </w:rPr>
        <w:fldChar w:fldCharType="end"/>
      </w:r>
      <w:r>
        <w:rPr>
          <w:rFonts w:hint="cs"/>
          <w:rtl/>
        </w:rPr>
        <w:t xml:space="preserve"> בדברי </w:t>
      </w:r>
      <w:r w:rsidRPr="0085139E">
        <w:rPr>
          <w:rStyle w:val="af9"/>
          <w:rFonts w:hint="cs"/>
          <w:rtl/>
        </w:rPr>
        <w:t>התוס'</w:t>
      </w:r>
      <w:r>
        <w:rPr>
          <w:rFonts w:hint="cs"/>
          <w:rtl/>
        </w:rPr>
        <w:t xml:space="preserve">. </w:t>
      </w:r>
      <w:r w:rsidRPr="00903CB3">
        <w:rPr>
          <w:rStyle w:val="afb"/>
          <w:rFonts w:hint="cs"/>
          <w:rtl/>
        </w:rPr>
        <w:t xml:space="preserve">[עי' בדברי </w:t>
      </w:r>
      <w:r w:rsidRPr="00903CB3">
        <w:rPr>
          <w:rStyle w:val="affa"/>
          <w:rFonts w:hint="cs"/>
          <w:rtl/>
        </w:rPr>
        <w:t>הרשב"ם</w:t>
      </w:r>
      <w:r w:rsidRPr="00903CB3">
        <w:rPr>
          <w:rStyle w:val="afb"/>
          <w:rFonts w:hint="cs"/>
          <w:rtl/>
        </w:rPr>
        <w:t xml:space="preserve"> </w:t>
      </w:r>
      <w:r w:rsidRPr="000E5F04">
        <w:rPr>
          <w:rStyle w:val="aff6"/>
          <w:rFonts w:hint="cs"/>
          <w:rtl/>
        </w:rPr>
        <w:t xml:space="preserve">(עי' אות </w:t>
      </w:r>
      <w:r w:rsidRPr="000E5F04">
        <w:rPr>
          <w:rStyle w:val="aff6"/>
          <w:rtl/>
        </w:rPr>
        <w:fldChar w:fldCharType="begin"/>
      </w:r>
      <w:r w:rsidRPr="000E5F04">
        <w:rPr>
          <w:rStyle w:val="aff6"/>
          <w:rtl/>
        </w:rPr>
        <w:instrText xml:space="preserve"> </w:instrText>
      </w:r>
      <w:r w:rsidRPr="000E5F04">
        <w:rPr>
          <w:rStyle w:val="aff6"/>
          <w:rFonts w:hint="cs"/>
        </w:rPr>
        <w:instrText>REF</w:instrText>
      </w:r>
      <w:r w:rsidRPr="000E5F04">
        <w:rPr>
          <w:rStyle w:val="aff6"/>
          <w:rFonts w:hint="cs"/>
          <w:rtl/>
        </w:rPr>
        <w:instrText xml:space="preserve"> _</w:instrText>
      </w:r>
      <w:r w:rsidRPr="000E5F04">
        <w:rPr>
          <w:rStyle w:val="aff6"/>
          <w:rFonts w:hint="cs"/>
        </w:rPr>
        <w:instrText>Ref62144130 \r \h</w:instrText>
      </w:r>
      <w:r w:rsidRPr="000E5F04">
        <w:rPr>
          <w:rStyle w:val="aff6"/>
          <w:rtl/>
        </w:rPr>
        <w:instrText xml:space="preserve"> </w:instrText>
      </w:r>
      <w:r w:rsidRPr="000E5F04">
        <w:rPr>
          <w:rStyle w:val="aff6"/>
          <w:rtl/>
        </w:rPr>
      </w:r>
      <w:r w:rsidRPr="000E5F04">
        <w:rPr>
          <w:rStyle w:val="aff6"/>
          <w:rtl/>
        </w:rPr>
        <w:fldChar w:fldCharType="separate"/>
      </w:r>
      <w:r w:rsidR="00265073">
        <w:rPr>
          <w:rStyle w:val="aff6"/>
          <w:cs/>
        </w:rPr>
        <w:t>‎</w:t>
      </w:r>
      <w:r w:rsidR="00265073">
        <w:rPr>
          <w:rStyle w:val="aff6"/>
          <w:rtl/>
        </w:rPr>
        <w:t>ג)</w:t>
      </w:r>
      <w:r w:rsidRPr="000E5F04">
        <w:rPr>
          <w:rStyle w:val="aff6"/>
          <w:rtl/>
        </w:rPr>
        <w:fldChar w:fldCharType="end"/>
      </w:r>
      <w:r w:rsidRPr="00903CB3">
        <w:rPr>
          <w:rStyle w:val="afb"/>
          <w:rFonts w:hint="cs"/>
          <w:rtl/>
        </w:rPr>
        <w:t xml:space="preserve"> דכתב דבטענת דסמיך עלה כדאבהתי, הוא מכחיש קצת את טענתו הראשונה, </w:t>
      </w:r>
      <w:r>
        <w:rPr>
          <w:rStyle w:val="afb"/>
          <w:rFonts w:hint="cs"/>
          <w:rtl/>
        </w:rPr>
        <w:t>ובה</w:t>
      </w:r>
      <w:r w:rsidRPr="00903CB3">
        <w:rPr>
          <w:rStyle w:val="afb"/>
          <w:rFonts w:hint="cs"/>
          <w:rtl/>
        </w:rPr>
        <w:t>א ד</w:t>
      </w:r>
      <w:r>
        <w:rPr>
          <w:rStyle w:val="afb"/>
          <w:rFonts w:hint="cs"/>
          <w:rtl/>
        </w:rPr>
        <w:t>מודה עולא ד</w:t>
      </w:r>
      <w:r w:rsidRPr="00903CB3">
        <w:rPr>
          <w:rStyle w:val="afb"/>
          <w:rFonts w:hint="cs"/>
          <w:rtl/>
        </w:rPr>
        <w:t xml:space="preserve">אינו נאמן לחזור ולטעון אחר שיצא מב"ד, כתב </w:t>
      </w:r>
      <w:r w:rsidRPr="00903CB3">
        <w:rPr>
          <w:rStyle w:val="affa"/>
          <w:rFonts w:hint="cs"/>
          <w:rtl/>
        </w:rPr>
        <w:t>הרשב"ם</w:t>
      </w:r>
      <w:r w:rsidRPr="00903CB3">
        <w:rPr>
          <w:rStyle w:val="afb"/>
          <w:rFonts w:hint="cs"/>
          <w:rtl/>
        </w:rPr>
        <w:t xml:space="preserve"> </w:t>
      </w:r>
      <w:r w:rsidRPr="000E5F04">
        <w:rPr>
          <w:rStyle w:val="aff6"/>
          <w:rFonts w:hint="cs"/>
          <w:rtl/>
        </w:rPr>
        <w:t xml:space="preserve">(עי' אות </w:t>
      </w:r>
      <w:r w:rsidRPr="000E5F04">
        <w:rPr>
          <w:rStyle w:val="aff6"/>
          <w:rtl/>
        </w:rPr>
        <w:fldChar w:fldCharType="begin"/>
      </w:r>
      <w:r w:rsidRPr="000E5F04">
        <w:rPr>
          <w:rStyle w:val="aff6"/>
          <w:rtl/>
        </w:rPr>
        <w:instrText xml:space="preserve"> </w:instrText>
      </w:r>
      <w:r w:rsidRPr="000E5F04">
        <w:rPr>
          <w:rStyle w:val="aff6"/>
          <w:rFonts w:hint="cs"/>
        </w:rPr>
        <w:instrText>REF</w:instrText>
      </w:r>
      <w:r w:rsidRPr="000E5F04">
        <w:rPr>
          <w:rStyle w:val="aff6"/>
          <w:rFonts w:hint="cs"/>
          <w:rtl/>
        </w:rPr>
        <w:instrText xml:space="preserve"> _</w:instrText>
      </w:r>
      <w:r w:rsidRPr="000E5F04">
        <w:rPr>
          <w:rStyle w:val="aff6"/>
          <w:rFonts w:hint="cs"/>
        </w:rPr>
        <w:instrText>Ref62035828 \r \h</w:instrText>
      </w:r>
      <w:r w:rsidRPr="000E5F04">
        <w:rPr>
          <w:rStyle w:val="aff6"/>
          <w:rtl/>
        </w:rPr>
        <w:instrText xml:space="preserve"> </w:instrText>
      </w:r>
      <w:r w:rsidRPr="000E5F04">
        <w:rPr>
          <w:rStyle w:val="aff6"/>
          <w:rtl/>
        </w:rPr>
      </w:r>
      <w:r w:rsidRPr="000E5F04">
        <w:rPr>
          <w:rStyle w:val="aff6"/>
          <w:rtl/>
        </w:rPr>
        <w:fldChar w:fldCharType="separate"/>
      </w:r>
      <w:r w:rsidR="00265073">
        <w:rPr>
          <w:rStyle w:val="aff6"/>
          <w:cs/>
        </w:rPr>
        <w:t>‎</w:t>
      </w:r>
      <w:r w:rsidR="00265073">
        <w:rPr>
          <w:rStyle w:val="aff6"/>
          <w:rtl/>
        </w:rPr>
        <w:t>יד)</w:t>
      </w:r>
      <w:r w:rsidRPr="000E5F04">
        <w:rPr>
          <w:rStyle w:val="aff6"/>
          <w:rtl/>
        </w:rPr>
        <w:fldChar w:fldCharType="end"/>
      </w:r>
      <w:r>
        <w:rPr>
          <w:rStyle w:val="afb"/>
          <w:rFonts w:hint="cs"/>
          <w:rtl/>
        </w:rPr>
        <w:t xml:space="preserve"> דהיינו</w:t>
      </w:r>
      <w:r w:rsidRPr="00903CB3">
        <w:rPr>
          <w:rStyle w:val="afb"/>
          <w:rFonts w:hint="cs"/>
          <w:rtl/>
        </w:rPr>
        <w:t xml:space="preserve"> </w:t>
      </w:r>
      <w:r>
        <w:rPr>
          <w:rStyle w:val="afb"/>
          <w:rFonts w:hint="cs"/>
          <w:rtl/>
        </w:rPr>
        <w:t>כיון</w:t>
      </w:r>
      <w:r w:rsidRPr="00903CB3">
        <w:rPr>
          <w:rStyle w:val="afb"/>
          <w:rFonts w:hint="cs"/>
          <w:rtl/>
        </w:rPr>
        <w:t xml:space="preserve"> שהוא מכחיש את דבריו הראשונים במקצת, ובהא דמודו נהרדעי בטען של אבותי שלקחוה מאבותיך, ביאר </w:t>
      </w:r>
      <w:r w:rsidRPr="00903CB3">
        <w:rPr>
          <w:rStyle w:val="affa"/>
          <w:rFonts w:hint="cs"/>
          <w:rtl/>
        </w:rPr>
        <w:t>הרשב"ם</w:t>
      </w:r>
      <w:r w:rsidRPr="00903CB3">
        <w:rPr>
          <w:rStyle w:val="afb"/>
          <w:rFonts w:hint="cs"/>
          <w:rtl/>
        </w:rPr>
        <w:t xml:space="preserve"> </w:t>
      </w:r>
      <w:r w:rsidRPr="000E5F04">
        <w:rPr>
          <w:rStyle w:val="aff6"/>
          <w:rFonts w:hint="cs"/>
          <w:rtl/>
        </w:rPr>
        <w:t xml:space="preserve">(עי' אות </w:t>
      </w:r>
      <w:r w:rsidRPr="000E5F04">
        <w:rPr>
          <w:rStyle w:val="aff6"/>
          <w:rtl/>
        </w:rPr>
        <w:fldChar w:fldCharType="begin"/>
      </w:r>
      <w:r w:rsidRPr="000E5F04">
        <w:rPr>
          <w:rStyle w:val="aff6"/>
          <w:rtl/>
        </w:rPr>
        <w:instrText xml:space="preserve"> </w:instrText>
      </w:r>
      <w:r w:rsidRPr="000E5F04">
        <w:rPr>
          <w:rStyle w:val="aff6"/>
          <w:rFonts w:hint="cs"/>
        </w:rPr>
        <w:instrText>REF</w:instrText>
      </w:r>
      <w:r w:rsidRPr="000E5F04">
        <w:rPr>
          <w:rStyle w:val="aff6"/>
          <w:rFonts w:hint="cs"/>
          <w:rtl/>
        </w:rPr>
        <w:instrText xml:space="preserve"> _</w:instrText>
      </w:r>
      <w:r w:rsidRPr="000E5F04">
        <w:rPr>
          <w:rStyle w:val="aff6"/>
          <w:rFonts w:hint="cs"/>
        </w:rPr>
        <w:instrText>Ref62144147 \r \h</w:instrText>
      </w:r>
      <w:r w:rsidRPr="000E5F04">
        <w:rPr>
          <w:rStyle w:val="aff6"/>
          <w:rtl/>
        </w:rPr>
        <w:instrText xml:space="preserve"> </w:instrText>
      </w:r>
      <w:r w:rsidRPr="000E5F04">
        <w:rPr>
          <w:rStyle w:val="aff6"/>
          <w:rtl/>
        </w:rPr>
      </w:r>
      <w:r w:rsidRPr="000E5F04">
        <w:rPr>
          <w:rStyle w:val="aff6"/>
          <w:rtl/>
        </w:rPr>
        <w:fldChar w:fldCharType="separate"/>
      </w:r>
      <w:r w:rsidR="00265073">
        <w:rPr>
          <w:rStyle w:val="aff6"/>
          <w:cs/>
        </w:rPr>
        <w:t>‎</w:t>
      </w:r>
      <w:r w:rsidR="00265073">
        <w:rPr>
          <w:rStyle w:val="aff6"/>
          <w:rtl/>
        </w:rPr>
        <w:t>כו)</w:t>
      </w:r>
      <w:r w:rsidRPr="000E5F04">
        <w:rPr>
          <w:rStyle w:val="aff6"/>
          <w:rtl/>
        </w:rPr>
        <w:fldChar w:fldCharType="end"/>
      </w:r>
      <w:r>
        <w:rPr>
          <w:rStyle w:val="afb"/>
          <w:rFonts w:hint="cs"/>
          <w:rtl/>
        </w:rPr>
        <w:t xml:space="preserve"> </w:t>
      </w:r>
      <w:r w:rsidRPr="00903CB3">
        <w:rPr>
          <w:rStyle w:val="afb"/>
          <w:rFonts w:hint="cs"/>
          <w:rtl/>
        </w:rPr>
        <w:t>ד</w:t>
      </w:r>
      <w:r>
        <w:rPr>
          <w:rStyle w:val="afb"/>
          <w:rFonts w:hint="cs"/>
          <w:rtl/>
        </w:rPr>
        <w:t xml:space="preserve">נאמן </w:t>
      </w:r>
      <w:r w:rsidRPr="00903CB3">
        <w:rPr>
          <w:rStyle w:val="afb"/>
          <w:rFonts w:hint="cs"/>
          <w:rtl/>
        </w:rPr>
        <w:t xml:space="preserve">כיון שאינו עוקר את דבריו הראשונים אלא מוסיף עליהם, ומשמע דאי"ז </w:t>
      </w:r>
      <w:r w:rsidRPr="00CE75EB">
        <w:rPr>
          <w:rStyle w:val="afb"/>
          <w:rFonts w:hint="cs"/>
          <w:rtl/>
        </w:rPr>
        <w:t>הכחשה אף במקצת, וא"כ אף כשיצא מב"ד נאמן].</w:t>
      </w:r>
      <w:bookmarkEnd w:id="12922"/>
    </w:p>
    <w:p w:rsidR="00EC445E" w:rsidRPr="004E3D93" w:rsidRDefault="00EC445E" w:rsidP="00EC445E">
      <w:pPr>
        <w:pStyle w:val="1"/>
        <w:rPr>
          <w:rtl/>
        </w:rPr>
      </w:pPr>
      <w:bookmarkStart w:id="12923" w:name="_Toc62420094"/>
      <w:bookmarkStart w:id="12924" w:name="_Toc62452554"/>
      <w:bookmarkStart w:id="12925" w:name="_Toc62453825"/>
      <w:bookmarkStart w:id="12926" w:name="_Toc62485537"/>
      <w:r>
        <w:rPr>
          <w:rFonts w:hint="cs"/>
          <w:rtl/>
        </w:rPr>
        <w:t>ביאור התומים בריב"ש דבלקוחה מאבותיך נאמן ביצא מב"ד</w:t>
      </w:r>
      <w:bookmarkEnd w:id="12923"/>
      <w:bookmarkEnd w:id="12924"/>
      <w:bookmarkEnd w:id="12925"/>
      <w:bookmarkEnd w:id="12926"/>
    </w:p>
    <w:p w:rsidR="00EC445E" w:rsidRPr="00247A1A" w:rsidRDefault="00EC445E" w:rsidP="00EC445E">
      <w:pPr>
        <w:pStyle w:val="a3"/>
        <w:rPr>
          <w:rtl/>
        </w:rPr>
      </w:pPr>
      <w:bookmarkStart w:id="12927" w:name="_Toc62420095"/>
      <w:bookmarkStart w:id="12928" w:name="_Toc62452555"/>
      <w:bookmarkStart w:id="12929" w:name="_Toc62453826"/>
      <w:bookmarkStart w:id="12930" w:name="_Toc62485538"/>
      <w:r>
        <w:rPr>
          <w:rFonts w:hint="cs"/>
          <w:rtl/>
        </w:rPr>
        <w:t>דברי הריב"ש דבטוען בפירוש רחוק דסמיך עלה כשיצא חוץ לב"ד חיישינן שלימדוהו לשקר</w:t>
      </w:r>
      <w:bookmarkEnd w:id="12927"/>
      <w:bookmarkEnd w:id="12928"/>
      <w:bookmarkEnd w:id="12929"/>
      <w:bookmarkEnd w:id="12930"/>
    </w:p>
    <w:p w:rsidR="00EC445E" w:rsidRDefault="00EC445E" w:rsidP="007E4E81">
      <w:pPr>
        <w:pStyle w:val="a0"/>
        <w:rPr>
          <w:rtl/>
        </w:rPr>
      </w:pPr>
      <w:bookmarkStart w:id="12931" w:name="_Ref62400558"/>
      <w:r>
        <w:rPr>
          <w:rFonts w:hint="cs"/>
          <w:rtl/>
        </w:rPr>
        <w:t xml:space="preserve">כתב </w:t>
      </w:r>
      <w:r w:rsidRPr="005C6514">
        <w:rPr>
          <w:rStyle w:val="af9"/>
          <w:rFonts w:hint="cs"/>
          <w:rtl/>
        </w:rPr>
        <w:t>הריב"ש</w:t>
      </w:r>
      <w:r>
        <w:rPr>
          <w:rFonts w:hint="cs"/>
          <w:rtl/>
        </w:rPr>
        <w:t xml:space="preserve"> </w:t>
      </w:r>
      <w:r w:rsidRPr="00A4667E">
        <w:rPr>
          <w:rStyle w:val="af7"/>
          <w:rFonts w:eastAsia="Guttman Hodes" w:hint="cs"/>
          <w:rtl/>
        </w:rPr>
        <w:t>(סו"ס שצ"ב ד"ה ועוד נראה לומר)</w:t>
      </w:r>
      <w:r>
        <w:rPr>
          <w:rFonts w:hint="cs"/>
          <w:rtl/>
        </w:rPr>
        <w:t xml:space="preserve"> דהא נאמן לחזור ולטעון רק כשלא יצא מב"ד, היינו דוקא כשמפרש את טענתו הראשונה בפירוש רחוק, כדברי עולא דחוזר וטוען מינך זבינתה וסמיך עלה כדאבהתי, דהוא סותר ממש את פשטות דבריו הראשונים שטען של אבותי, ומשמעות דבריו שהודה שלא לקחתיה ממך, ולכן אם יצא חוץ לב"ד אינו נאמן, דכיון שמפרש את דבריו בפירוש זר ולא כפשטות דבריו, חיישינן שלימדו אותו לטעון טענות שקר</w:t>
      </w:r>
      <w:bookmarkEnd w:id="12931"/>
      <w:r>
        <w:rPr>
          <w:rFonts w:hint="cs"/>
          <w:rtl/>
        </w:rPr>
        <w:t>.</w:t>
      </w:r>
    </w:p>
    <w:p w:rsidR="00EC445E" w:rsidRPr="006A7978" w:rsidRDefault="00EC445E" w:rsidP="00EC445E">
      <w:pPr>
        <w:pStyle w:val="a3"/>
        <w:rPr>
          <w:rtl/>
        </w:rPr>
      </w:pPr>
      <w:bookmarkStart w:id="12932" w:name="_Toc62420096"/>
      <w:bookmarkStart w:id="12933" w:name="_Toc62452556"/>
      <w:bookmarkStart w:id="12934" w:name="_Toc62453827"/>
      <w:bookmarkStart w:id="12935" w:name="_Toc62485539"/>
      <w:r>
        <w:rPr>
          <w:rFonts w:hint="cs"/>
          <w:rtl/>
        </w:rPr>
        <w:t>ביאור התומים בריב"ש דבלקחוה שהוא פירוש קרוב לטענתו נאמן אף לאחר שיצא מב"ד</w:t>
      </w:r>
      <w:bookmarkEnd w:id="12932"/>
      <w:bookmarkEnd w:id="12933"/>
      <w:bookmarkEnd w:id="12934"/>
      <w:bookmarkEnd w:id="12935"/>
    </w:p>
    <w:p w:rsidR="00EC445E" w:rsidRDefault="00EC445E" w:rsidP="007E4E81">
      <w:pPr>
        <w:pStyle w:val="a0"/>
        <w:rPr>
          <w:rtl/>
        </w:rPr>
      </w:pPr>
      <w:bookmarkStart w:id="12936" w:name="_Ref62419513"/>
      <w:r>
        <w:rPr>
          <w:rFonts w:hint="cs"/>
          <w:rtl/>
        </w:rPr>
        <w:t xml:space="preserve">אבל בחוזר וטוען ומפרש את דבריו בפירוש קרוב, כתב </w:t>
      </w:r>
      <w:r w:rsidRPr="005C6514">
        <w:rPr>
          <w:rStyle w:val="af9"/>
          <w:rFonts w:hint="cs"/>
          <w:rtl/>
        </w:rPr>
        <w:t>הריב"ש</w:t>
      </w:r>
      <w:r>
        <w:rPr>
          <w:rFonts w:hint="cs"/>
          <w:rtl/>
        </w:rPr>
        <w:t xml:space="preserve"> דנאמן לעולם לפרש את דבריו, אף שהם סתומים במקצת, ואף בחוזר וטוען לאחר שיצא מב"ד נאמן, כתב </w:t>
      </w:r>
      <w:r w:rsidRPr="003A671A">
        <w:rPr>
          <w:rStyle w:val="af9"/>
          <w:rFonts w:hint="cs"/>
          <w:rtl/>
        </w:rPr>
        <w:t>התומים</w:t>
      </w:r>
      <w:r>
        <w:rPr>
          <w:rFonts w:hint="cs"/>
          <w:rtl/>
        </w:rPr>
        <w:t xml:space="preserve"> </w:t>
      </w:r>
      <w:r w:rsidRPr="00A4667E">
        <w:rPr>
          <w:rStyle w:val="af7"/>
          <w:rFonts w:eastAsia="Guttman Hodes" w:hint="cs"/>
          <w:rtl/>
        </w:rPr>
        <w:t>(סי' פ"ב סק"ב)</w:t>
      </w:r>
      <w:r>
        <w:rPr>
          <w:rFonts w:hint="cs"/>
          <w:rtl/>
        </w:rPr>
        <w:t xml:space="preserve"> דמבואר מדברי </w:t>
      </w:r>
      <w:r w:rsidRPr="003A671A">
        <w:rPr>
          <w:rStyle w:val="af9"/>
          <w:rFonts w:hint="cs"/>
          <w:rtl/>
        </w:rPr>
        <w:t>הריב"ש</w:t>
      </w:r>
      <w:r>
        <w:rPr>
          <w:rFonts w:hint="cs"/>
          <w:rtl/>
        </w:rPr>
        <w:t xml:space="preserve"> דס"ל דבטענת של אבותי של</w:t>
      </w:r>
      <w:r w:rsidRPr="00B20359">
        <w:rPr>
          <w:rFonts w:hint="cs"/>
          <w:rtl/>
        </w:rPr>
        <w:t xml:space="preserve">קחוה מאבותיך, שהוא פירוש קרוב, </w:t>
      </w:r>
      <w:r w:rsidRPr="00426C82">
        <w:rPr>
          <w:rStyle w:val="afb"/>
          <w:rFonts w:hint="cs"/>
          <w:rtl/>
        </w:rPr>
        <w:t>[</w:t>
      </w:r>
      <w:r>
        <w:rPr>
          <w:rStyle w:val="afb"/>
          <w:rFonts w:hint="cs"/>
          <w:rtl/>
        </w:rPr>
        <w:t xml:space="preserve">וכתב </w:t>
      </w:r>
      <w:r w:rsidRPr="00426C82">
        <w:rPr>
          <w:rStyle w:val="affa"/>
          <w:rFonts w:hint="cs"/>
          <w:rtl/>
        </w:rPr>
        <w:t>התומים</w:t>
      </w:r>
      <w:r>
        <w:rPr>
          <w:rStyle w:val="afb"/>
          <w:rFonts w:hint="cs"/>
          <w:rtl/>
        </w:rPr>
        <w:t xml:space="preserve"> דכן מבואר בדברי </w:t>
      </w:r>
      <w:r w:rsidRPr="00426C82">
        <w:rPr>
          <w:rStyle w:val="affa"/>
          <w:rFonts w:hint="cs"/>
          <w:rtl/>
        </w:rPr>
        <w:t xml:space="preserve">הרשב"ם </w:t>
      </w:r>
      <w:r w:rsidRPr="00426C82">
        <w:rPr>
          <w:rStyle w:val="aff6"/>
          <w:rFonts w:hint="cs"/>
          <w:rtl/>
        </w:rPr>
        <w:t xml:space="preserve">(עי' אות </w:t>
      </w:r>
      <w:r w:rsidRPr="00426C82">
        <w:rPr>
          <w:rStyle w:val="aff6"/>
          <w:rtl/>
        </w:rPr>
        <w:fldChar w:fldCharType="begin"/>
      </w:r>
      <w:r w:rsidRPr="00426C82">
        <w:rPr>
          <w:rStyle w:val="aff6"/>
          <w:rtl/>
        </w:rPr>
        <w:instrText xml:space="preserve"> </w:instrText>
      </w:r>
      <w:r w:rsidRPr="00426C82">
        <w:rPr>
          <w:rStyle w:val="aff6"/>
          <w:rFonts w:hint="cs"/>
        </w:rPr>
        <w:instrText>REF</w:instrText>
      </w:r>
      <w:r w:rsidRPr="00426C82">
        <w:rPr>
          <w:rStyle w:val="aff6"/>
          <w:rFonts w:hint="cs"/>
          <w:rtl/>
        </w:rPr>
        <w:instrText xml:space="preserve"> _</w:instrText>
      </w:r>
      <w:r w:rsidRPr="00426C82">
        <w:rPr>
          <w:rStyle w:val="aff6"/>
          <w:rFonts w:hint="cs"/>
        </w:rPr>
        <w:instrText>Ref62144147 \r \h</w:instrText>
      </w:r>
      <w:r w:rsidRPr="00426C82">
        <w:rPr>
          <w:rStyle w:val="aff6"/>
          <w:rtl/>
        </w:rPr>
        <w:instrText xml:space="preserve"> </w:instrText>
      </w:r>
      <w:r w:rsidRPr="00426C82">
        <w:rPr>
          <w:rStyle w:val="aff6"/>
          <w:rtl/>
        </w:rPr>
      </w:r>
      <w:r w:rsidRPr="00426C82">
        <w:rPr>
          <w:rStyle w:val="aff6"/>
          <w:rtl/>
        </w:rPr>
        <w:fldChar w:fldCharType="separate"/>
      </w:r>
      <w:r w:rsidR="00265073">
        <w:rPr>
          <w:rStyle w:val="aff6"/>
          <w:cs/>
        </w:rPr>
        <w:t>‎</w:t>
      </w:r>
      <w:r w:rsidR="00265073">
        <w:rPr>
          <w:rStyle w:val="aff6"/>
          <w:rtl/>
        </w:rPr>
        <w:t>כו)</w:t>
      </w:r>
      <w:r w:rsidRPr="00426C82">
        <w:rPr>
          <w:rStyle w:val="aff6"/>
          <w:rtl/>
        </w:rPr>
        <w:fldChar w:fldCharType="end"/>
      </w:r>
      <w:r w:rsidRPr="00426C82">
        <w:rPr>
          <w:rStyle w:val="afb"/>
          <w:rFonts w:hint="cs"/>
          <w:rtl/>
        </w:rPr>
        <w:t xml:space="preserve"> דכתב דהוא נאמן </w:t>
      </w:r>
      <w:r w:rsidRPr="00426C82">
        <w:rPr>
          <w:rStyle w:val="afb"/>
          <w:rFonts w:hint="cs"/>
          <w:rtl/>
        </w:rPr>
        <w:lastRenderedPageBreak/>
        <w:t xml:space="preserve">כיון שאינו עוקר את דבריו הראשונים אלא מוסיף עליהם], </w:t>
      </w:r>
      <w:r>
        <w:rPr>
          <w:rFonts w:hint="cs"/>
          <w:rtl/>
        </w:rPr>
        <w:t xml:space="preserve">א"כ מבואר </w:t>
      </w:r>
      <w:r w:rsidRPr="00B20359">
        <w:rPr>
          <w:rFonts w:hint="cs"/>
          <w:rtl/>
        </w:rPr>
        <w:t>נאמן</w:t>
      </w:r>
      <w:r>
        <w:rPr>
          <w:rFonts w:hint="cs"/>
          <w:rtl/>
        </w:rPr>
        <w:t xml:space="preserve"> אף לאחר שיצא מב"ד.</w:t>
      </w:r>
      <w:bookmarkEnd w:id="12936"/>
    </w:p>
    <w:p w:rsidR="00EC445E" w:rsidRPr="00426C82" w:rsidRDefault="00EC445E" w:rsidP="00EC445E">
      <w:pPr>
        <w:pStyle w:val="a3"/>
        <w:rPr>
          <w:rtl/>
        </w:rPr>
      </w:pPr>
      <w:bookmarkStart w:id="12937" w:name="_Toc62420097"/>
      <w:bookmarkStart w:id="12938" w:name="_Toc62452557"/>
      <w:bookmarkStart w:id="12939" w:name="_Toc62453828"/>
      <w:bookmarkStart w:id="12940" w:name="_Toc62485540"/>
      <w:r>
        <w:rPr>
          <w:rFonts w:hint="cs"/>
          <w:rtl/>
        </w:rPr>
        <w:t>דברי התומים דברי"ף וברא"ש דפסקו דנאמן בלקחוה משמע דנאמן אף לאחר שיצא מב"ד</w:t>
      </w:r>
      <w:bookmarkEnd w:id="12937"/>
      <w:bookmarkEnd w:id="12938"/>
      <w:bookmarkEnd w:id="12939"/>
      <w:bookmarkEnd w:id="12940"/>
    </w:p>
    <w:p w:rsidR="00EC445E" w:rsidRDefault="00EC445E" w:rsidP="007E4E81">
      <w:pPr>
        <w:pStyle w:val="a0"/>
        <w:rPr>
          <w:rtl/>
        </w:rPr>
      </w:pPr>
      <w:r>
        <w:rPr>
          <w:rFonts w:hint="cs"/>
          <w:rtl/>
        </w:rPr>
        <w:t xml:space="preserve">והוסיף </w:t>
      </w:r>
      <w:r w:rsidRPr="003A671A">
        <w:rPr>
          <w:rStyle w:val="af9"/>
          <w:rFonts w:hint="cs"/>
          <w:rtl/>
        </w:rPr>
        <w:t>התומים</w:t>
      </w:r>
      <w:r>
        <w:rPr>
          <w:rFonts w:hint="cs"/>
          <w:rtl/>
        </w:rPr>
        <w:t xml:space="preserve"> דכן משמע מדברי </w:t>
      </w:r>
      <w:r w:rsidRPr="003A671A">
        <w:rPr>
          <w:rStyle w:val="af9"/>
          <w:rFonts w:hint="cs"/>
          <w:rtl/>
        </w:rPr>
        <w:t>הרי"ף</w:t>
      </w:r>
      <w:r>
        <w:rPr>
          <w:rFonts w:hint="cs"/>
          <w:rtl/>
        </w:rPr>
        <w:t xml:space="preserve"> </w:t>
      </w:r>
      <w:r w:rsidRPr="00A4667E">
        <w:rPr>
          <w:rStyle w:val="af7"/>
          <w:rFonts w:eastAsia="Guttman Hodes" w:hint="cs"/>
          <w:rtl/>
        </w:rPr>
        <w:t>(טז. מדה"ר)</w:t>
      </w:r>
      <w:r>
        <w:rPr>
          <w:rFonts w:hint="cs"/>
          <w:rtl/>
        </w:rPr>
        <w:t xml:space="preserve"> </w:t>
      </w:r>
      <w:r w:rsidRPr="003A671A">
        <w:rPr>
          <w:rStyle w:val="af9"/>
          <w:rFonts w:hint="cs"/>
          <w:rtl/>
        </w:rPr>
        <w:t>והרא"ש</w:t>
      </w:r>
      <w:r>
        <w:rPr>
          <w:rFonts w:hint="cs"/>
          <w:rtl/>
        </w:rPr>
        <w:t xml:space="preserve"> </w:t>
      </w:r>
      <w:r w:rsidRPr="00A4667E">
        <w:rPr>
          <w:rStyle w:val="af7"/>
          <w:rFonts w:eastAsia="Guttman Hodes" w:hint="cs"/>
          <w:rtl/>
        </w:rPr>
        <w:t>(סי'</w:t>
      </w:r>
      <w:r>
        <w:rPr>
          <w:rFonts w:hint="cs"/>
          <w:rtl/>
        </w:rPr>
        <w:t xml:space="preserve"> </w:t>
      </w:r>
      <w:r w:rsidRPr="00A4667E">
        <w:rPr>
          <w:rStyle w:val="af7"/>
          <w:rFonts w:eastAsia="Guttman Hodes" w:hint="cs"/>
          <w:rtl/>
        </w:rPr>
        <w:t>ט')</w:t>
      </w:r>
      <w:r>
        <w:rPr>
          <w:rFonts w:hint="cs"/>
          <w:rtl/>
        </w:rPr>
        <w:t xml:space="preserve"> דכתבו דמודו נהרדעי דנאמן בחוזר וטוען של אבותי שלקחוה מאבותיך, והקשה ה</w:t>
      </w:r>
      <w:r w:rsidRPr="003A671A">
        <w:rPr>
          <w:rStyle w:val="af9"/>
          <w:rFonts w:hint="cs"/>
          <w:rtl/>
        </w:rPr>
        <w:t>תומים</w:t>
      </w:r>
      <w:r>
        <w:rPr>
          <w:rFonts w:hint="cs"/>
          <w:rtl/>
        </w:rPr>
        <w:t xml:space="preserve"> דהא קיי"ל כעולא דנאמן אף בסמיך עלה כדאבהתי, וא"כ אמאי הוצרכו </w:t>
      </w:r>
      <w:r w:rsidRPr="003A671A">
        <w:rPr>
          <w:rStyle w:val="af9"/>
          <w:rFonts w:hint="cs"/>
          <w:rtl/>
        </w:rPr>
        <w:t>הרי"ף והרא"ש</w:t>
      </w:r>
      <w:r>
        <w:rPr>
          <w:rFonts w:hint="cs"/>
          <w:rtl/>
        </w:rPr>
        <w:t xml:space="preserve"> לומר דמודו נהרדעי בזה, וכתב </w:t>
      </w:r>
      <w:r w:rsidRPr="003A671A">
        <w:rPr>
          <w:rStyle w:val="af9"/>
          <w:rFonts w:hint="cs"/>
          <w:rtl/>
        </w:rPr>
        <w:t>התומים</w:t>
      </w:r>
      <w:r>
        <w:rPr>
          <w:rFonts w:hint="cs"/>
          <w:rtl/>
        </w:rPr>
        <w:t xml:space="preserve"> דמוכח דכוונתם לומר </w:t>
      </w:r>
      <w:r w:rsidRPr="003A671A">
        <w:rPr>
          <w:rStyle w:val="af9"/>
          <w:rFonts w:hint="cs"/>
          <w:rtl/>
        </w:rPr>
        <w:t>כריב"ש</w:t>
      </w:r>
      <w:r>
        <w:rPr>
          <w:rFonts w:hint="cs"/>
          <w:rtl/>
        </w:rPr>
        <w:t xml:space="preserve"> </w:t>
      </w:r>
      <w:r w:rsidRPr="001555D2">
        <w:rPr>
          <w:rStyle w:val="af7"/>
          <w:rFonts w:eastAsia="Guttman Hodes" w:hint="cs"/>
          <w:rtl/>
        </w:rPr>
        <w:t xml:space="preserve">(עי' אות </w:t>
      </w:r>
      <w:r w:rsidRPr="001555D2">
        <w:rPr>
          <w:rStyle w:val="af7"/>
          <w:rFonts w:eastAsia="Guttman Hodes"/>
          <w:rtl/>
        </w:rPr>
        <w:fldChar w:fldCharType="begin"/>
      </w:r>
      <w:r w:rsidRPr="001555D2">
        <w:rPr>
          <w:rStyle w:val="af7"/>
          <w:rFonts w:eastAsia="Guttman Hodes"/>
          <w:rtl/>
        </w:rPr>
        <w:instrText xml:space="preserve"> </w:instrText>
      </w:r>
      <w:r w:rsidRPr="001555D2">
        <w:rPr>
          <w:rStyle w:val="af7"/>
          <w:rFonts w:eastAsia="Guttman Hodes" w:hint="cs"/>
        </w:rPr>
        <w:instrText>REF</w:instrText>
      </w:r>
      <w:r w:rsidRPr="001555D2">
        <w:rPr>
          <w:rStyle w:val="af7"/>
          <w:rFonts w:eastAsia="Guttman Hodes" w:hint="cs"/>
          <w:rtl/>
        </w:rPr>
        <w:instrText xml:space="preserve"> _</w:instrText>
      </w:r>
      <w:r w:rsidRPr="001555D2">
        <w:rPr>
          <w:rStyle w:val="af7"/>
          <w:rFonts w:eastAsia="Guttman Hodes" w:hint="cs"/>
        </w:rPr>
        <w:instrText>Ref62419513 \r \h</w:instrText>
      </w:r>
      <w:r w:rsidRPr="001555D2">
        <w:rPr>
          <w:rStyle w:val="af7"/>
          <w:rFonts w:eastAsia="Guttman Hodes"/>
          <w:rtl/>
        </w:rPr>
        <w:instrText xml:space="preserve"> </w:instrText>
      </w:r>
      <w:r w:rsidRPr="001555D2">
        <w:rPr>
          <w:rStyle w:val="af7"/>
          <w:rFonts w:eastAsia="Guttman Hodes"/>
          <w:rtl/>
        </w:rPr>
      </w:r>
      <w:r w:rsidRPr="001555D2">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1555D2">
        <w:rPr>
          <w:rStyle w:val="af7"/>
          <w:rFonts w:eastAsia="Guttman Hodes"/>
          <w:rtl/>
        </w:rPr>
        <w:fldChar w:fldCharType="end"/>
      </w:r>
      <w:r>
        <w:rPr>
          <w:rFonts w:hint="cs"/>
          <w:rtl/>
        </w:rPr>
        <w:t xml:space="preserve"> דבכה"ג חשיב פירוש קרוב ונאמן אף אחר שיצא מב"ד.</w:t>
      </w:r>
    </w:p>
    <w:p w:rsidR="00EC445E" w:rsidRPr="00B07CF4" w:rsidRDefault="00EC445E" w:rsidP="00EC445E">
      <w:pPr>
        <w:pStyle w:val="1"/>
        <w:rPr>
          <w:rtl/>
        </w:rPr>
      </w:pPr>
      <w:bookmarkStart w:id="12941" w:name="_Toc62420098"/>
      <w:bookmarkStart w:id="12942" w:name="_Toc62452558"/>
      <w:bookmarkStart w:id="12943" w:name="_Toc62453829"/>
      <w:bookmarkStart w:id="12944" w:name="_Toc62485541"/>
      <w:r>
        <w:rPr>
          <w:rFonts w:hint="cs"/>
          <w:rtl/>
        </w:rPr>
        <w:t>ד' רבינו יונה והרשב"א והרמ"ה דבלקחוה לא נאמן ביצא מב"ד</w:t>
      </w:r>
      <w:bookmarkEnd w:id="12941"/>
      <w:bookmarkEnd w:id="12942"/>
      <w:bookmarkEnd w:id="12943"/>
      <w:bookmarkEnd w:id="12944"/>
    </w:p>
    <w:p w:rsidR="00EC445E" w:rsidRPr="006F0F2B" w:rsidRDefault="00EC445E" w:rsidP="00EC445E">
      <w:pPr>
        <w:pStyle w:val="a3"/>
        <w:rPr>
          <w:rtl/>
        </w:rPr>
      </w:pPr>
      <w:bookmarkStart w:id="12945" w:name="_Toc62420099"/>
      <w:bookmarkStart w:id="12946" w:name="_Toc62452559"/>
      <w:bookmarkStart w:id="12947" w:name="_Toc62453830"/>
      <w:bookmarkStart w:id="12948" w:name="_Toc62485542"/>
      <w:r>
        <w:rPr>
          <w:rFonts w:hint="cs"/>
          <w:rtl/>
        </w:rPr>
        <w:t>דברי הרמ"ה ורבינו יונה דבלקחוה נאמן [במיגו] רק בב"ד וכשיצא חוץ לב"ד אינו נאמן אף בברי</w:t>
      </w:r>
      <w:bookmarkEnd w:id="12945"/>
      <w:bookmarkEnd w:id="12946"/>
      <w:bookmarkEnd w:id="12947"/>
      <w:bookmarkEnd w:id="12948"/>
    </w:p>
    <w:p w:rsidR="00EC445E" w:rsidRDefault="00EC445E" w:rsidP="007E4E81">
      <w:pPr>
        <w:pStyle w:val="a0"/>
        <w:rPr>
          <w:rtl/>
        </w:rPr>
      </w:pPr>
      <w:bookmarkStart w:id="12949" w:name="_Ref62467679"/>
      <w:r>
        <w:rPr>
          <w:rFonts w:hint="cs"/>
          <w:rtl/>
        </w:rPr>
        <w:t>אבל</w:t>
      </w:r>
      <w:r w:rsidRPr="00CE75EB">
        <w:rPr>
          <w:rFonts w:hint="cs"/>
          <w:rtl/>
        </w:rPr>
        <w:t xml:space="preserve"> </w:t>
      </w:r>
      <w:r w:rsidRPr="00CE75EB">
        <w:rPr>
          <w:rStyle w:val="af9"/>
          <w:rFonts w:hint="cs"/>
          <w:rtl/>
        </w:rPr>
        <w:t>רבינו</w:t>
      </w:r>
      <w:r w:rsidRPr="00CE75EB">
        <w:rPr>
          <w:rFonts w:hint="cs"/>
          <w:rtl/>
        </w:rPr>
        <w:t xml:space="preserve"> </w:t>
      </w:r>
      <w:r w:rsidRPr="00CE75EB">
        <w:rPr>
          <w:rStyle w:val="af9"/>
          <w:rFonts w:hint="cs"/>
          <w:rtl/>
        </w:rPr>
        <w:t>יונה</w:t>
      </w:r>
      <w:r w:rsidRPr="00CE75EB">
        <w:rPr>
          <w:rFonts w:hint="cs"/>
          <w:rtl/>
        </w:rPr>
        <w:t xml:space="preserve"> </w:t>
      </w:r>
      <w:r w:rsidRPr="00F44B4B">
        <w:rPr>
          <w:rStyle w:val="af7"/>
          <w:rFonts w:eastAsia="Guttman Hodes" w:hint="cs"/>
          <w:rtl/>
        </w:rPr>
        <w:t>(ד"ה ומודו)</w:t>
      </w:r>
      <w:r w:rsidRPr="00CE75EB">
        <w:rPr>
          <w:rFonts w:hint="cs"/>
          <w:rtl/>
        </w:rPr>
        <w:t xml:space="preserve"> </w:t>
      </w:r>
      <w:r>
        <w:rPr>
          <w:rFonts w:hint="cs"/>
          <w:rtl/>
        </w:rPr>
        <w:t>כתב</w:t>
      </w:r>
      <w:r w:rsidRPr="00E340B7">
        <w:rPr>
          <w:rFonts w:hint="cs"/>
          <w:rtl/>
        </w:rPr>
        <w:t xml:space="preserve"> דהא דמודו נהרדעי בחוזר וטוען של אבותי שלקחוה מאבותיך, דכוונתו לטעון דקמי דידי לקחוה אבותי מאבותיך, ולכן הוא נאמן במיגו דהיה יכול לטעון מינך זבנתיה ואכלתיה שני חזקה, אבל כשיצא חוץ לב"ד ולא חזר וטען בב"ד אינו יכול לחזור ולטעון</w:t>
      </w:r>
      <w:r>
        <w:rPr>
          <w:rFonts w:hint="cs"/>
          <w:rtl/>
        </w:rPr>
        <w:t>,</w:t>
      </w:r>
      <w:r w:rsidRPr="00E340B7">
        <w:rPr>
          <w:rFonts w:hint="cs"/>
          <w:rtl/>
        </w:rPr>
        <w:t xml:space="preserve"> אף </w:t>
      </w:r>
      <w:r>
        <w:rPr>
          <w:rFonts w:hint="cs"/>
          <w:rtl/>
        </w:rPr>
        <w:t xml:space="preserve">את </w:t>
      </w:r>
      <w:r w:rsidRPr="00E340B7">
        <w:rPr>
          <w:rFonts w:hint="cs"/>
          <w:rtl/>
        </w:rPr>
        <w:t>טענת קמי דידי לקחוה אבותי מאבותיך</w:t>
      </w:r>
      <w:r>
        <w:rPr>
          <w:rFonts w:hint="cs"/>
          <w:rtl/>
        </w:rPr>
        <w:t>, וכ"כ</w:t>
      </w:r>
      <w:r w:rsidRPr="00CE75EB">
        <w:rPr>
          <w:rFonts w:hint="cs"/>
          <w:rtl/>
        </w:rPr>
        <w:t xml:space="preserve"> </w:t>
      </w:r>
      <w:r w:rsidRPr="00CE75EB">
        <w:rPr>
          <w:rStyle w:val="af9"/>
          <w:rFonts w:hint="cs"/>
          <w:rtl/>
        </w:rPr>
        <w:t xml:space="preserve">היד רמ"ה </w:t>
      </w:r>
      <w:r w:rsidRPr="00F44B4B">
        <w:rPr>
          <w:rStyle w:val="af7"/>
          <w:rFonts w:eastAsia="Guttman Hodes" w:hint="cs"/>
          <w:rtl/>
        </w:rPr>
        <w:t>(או' ל"ט ד"ה ודוקא דקא)</w:t>
      </w:r>
      <w:r w:rsidRPr="00CE75EB">
        <w:rPr>
          <w:rFonts w:hint="cs"/>
          <w:rtl/>
        </w:rPr>
        <w:t xml:space="preserve"> דהא דמודו נהרדעי דנאמן לחזור ולטעון, של אבותי שלקחוה מאבותיך, היינו דוקא כשחוזר וטוען כן בטענת ברי, וטען לפני שיצא מב"ד, אבל אחר ש</w:t>
      </w:r>
      <w:r>
        <w:rPr>
          <w:rFonts w:hint="cs"/>
          <w:rtl/>
        </w:rPr>
        <w:t xml:space="preserve">יצא מב"ד אינו נאמן אף בטענת של אבותי שלקחוה מאבותיך, וכתב </w:t>
      </w:r>
      <w:r w:rsidRPr="004C4C9F">
        <w:rPr>
          <w:rStyle w:val="af9"/>
          <w:rFonts w:hint="cs"/>
          <w:rtl/>
        </w:rPr>
        <w:t>בחי' רבי</w:t>
      </w:r>
      <w:r>
        <w:rPr>
          <w:rFonts w:hint="cs"/>
          <w:rtl/>
        </w:rPr>
        <w:t xml:space="preserve"> </w:t>
      </w:r>
      <w:r w:rsidRPr="004C4C9F">
        <w:rPr>
          <w:rStyle w:val="af9"/>
          <w:rFonts w:hint="cs"/>
          <w:rtl/>
        </w:rPr>
        <w:t>נחום</w:t>
      </w:r>
      <w:r>
        <w:rPr>
          <w:rFonts w:hint="cs"/>
          <w:rtl/>
        </w:rPr>
        <w:t xml:space="preserve"> </w:t>
      </w:r>
      <w:r w:rsidRPr="00573FC7">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Ref62467737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צה)</w:t>
      </w:r>
      <w:r>
        <w:rPr>
          <w:rStyle w:val="af7"/>
          <w:rFonts w:eastAsia="Guttman Hodes"/>
          <w:rtl/>
        </w:rPr>
        <w:fldChar w:fldCharType="end"/>
      </w:r>
      <w:r w:rsidRPr="00573FC7">
        <w:rPr>
          <w:rStyle w:val="af7"/>
          <w:rFonts w:eastAsia="Guttman Hodes" w:hint="cs"/>
          <w:rtl/>
        </w:rPr>
        <w:t xml:space="preserve"> </w:t>
      </w:r>
      <w:r>
        <w:rPr>
          <w:rFonts w:hint="cs"/>
          <w:rtl/>
        </w:rPr>
        <w:t xml:space="preserve">דכן משמע מדברי </w:t>
      </w:r>
      <w:r>
        <w:rPr>
          <w:rStyle w:val="af9"/>
          <w:rFonts w:hint="cs"/>
          <w:rtl/>
        </w:rPr>
        <w:t xml:space="preserve">הרמב"ם </w:t>
      </w:r>
      <w:r w:rsidRPr="00796504">
        <w:rPr>
          <w:rStyle w:val="af7"/>
          <w:rFonts w:eastAsia="Guttman Hodes" w:hint="cs"/>
          <w:rtl/>
        </w:rPr>
        <w:t xml:space="preserve">(עי' אות </w:t>
      </w:r>
      <w:r w:rsidRPr="00796504">
        <w:rPr>
          <w:rStyle w:val="af7"/>
          <w:rFonts w:eastAsia="Guttman Hodes"/>
          <w:rtl/>
        </w:rPr>
        <w:fldChar w:fldCharType="begin"/>
      </w:r>
      <w:r w:rsidRPr="00796504">
        <w:rPr>
          <w:rStyle w:val="af7"/>
          <w:rFonts w:eastAsia="Guttman Hodes"/>
          <w:rtl/>
        </w:rPr>
        <w:instrText xml:space="preserve"> </w:instrText>
      </w:r>
      <w:r w:rsidRPr="00796504">
        <w:rPr>
          <w:rStyle w:val="af7"/>
          <w:rFonts w:eastAsia="Guttman Hodes" w:hint="cs"/>
        </w:rPr>
        <w:instrText>REF</w:instrText>
      </w:r>
      <w:r w:rsidRPr="00796504">
        <w:rPr>
          <w:rStyle w:val="af7"/>
          <w:rFonts w:eastAsia="Guttman Hodes" w:hint="cs"/>
          <w:rtl/>
        </w:rPr>
        <w:instrText xml:space="preserve"> _</w:instrText>
      </w:r>
      <w:r w:rsidRPr="00796504">
        <w:rPr>
          <w:rStyle w:val="af7"/>
          <w:rFonts w:eastAsia="Guttman Hodes" w:hint="cs"/>
        </w:rPr>
        <w:instrText>Ref62467766 \r \h</w:instrText>
      </w:r>
      <w:r w:rsidRPr="00796504">
        <w:rPr>
          <w:rStyle w:val="af7"/>
          <w:rFonts w:eastAsia="Guttman Hodes"/>
          <w:rtl/>
        </w:rPr>
        <w:instrText xml:space="preserve"> </w:instrText>
      </w:r>
      <w:r w:rsidRPr="00796504">
        <w:rPr>
          <w:rStyle w:val="af7"/>
          <w:rFonts w:eastAsia="Guttman Hodes"/>
          <w:rtl/>
        </w:rPr>
      </w:r>
      <w:r w:rsidRPr="00796504">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796504">
        <w:rPr>
          <w:rStyle w:val="af7"/>
          <w:rFonts w:eastAsia="Guttman Hodes"/>
          <w:rtl/>
        </w:rPr>
        <w:fldChar w:fldCharType="end"/>
      </w:r>
      <w:r>
        <w:rPr>
          <w:rFonts w:hint="cs"/>
          <w:rtl/>
        </w:rPr>
        <w:t>.</w:t>
      </w:r>
      <w:bookmarkEnd w:id="12949"/>
    </w:p>
    <w:p w:rsidR="00EC445E" w:rsidRPr="00AA602D" w:rsidRDefault="00EC445E" w:rsidP="00EC445E">
      <w:pPr>
        <w:pStyle w:val="a3"/>
      </w:pPr>
      <w:bookmarkStart w:id="12950" w:name="_Toc62420100"/>
      <w:bookmarkStart w:id="12951" w:name="_Toc62452560"/>
      <w:bookmarkStart w:id="12952" w:name="_Toc62453831"/>
      <w:bookmarkStart w:id="12953" w:name="_Toc62485543"/>
      <w:r>
        <w:rPr>
          <w:rFonts w:hint="cs"/>
          <w:rtl/>
        </w:rPr>
        <w:t>הוכחת הרמ"ה דאינו נאמן חוץ לב"ד דאל"ה הוא טענה אחת ואמאי לא טענינן ליה אנן</w:t>
      </w:r>
      <w:bookmarkEnd w:id="12950"/>
      <w:bookmarkEnd w:id="12951"/>
      <w:bookmarkEnd w:id="12952"/>
      <w:bookmarkEnd w:id="12953"/>
    </w:p>
    <w:p w:rsidR="00EC445E" w:rsidRPr="00860FC0" w:rsidRDefault="00EC445E" w:rsidP="007E4E81">
      <w:pPr>
        <w:pStyle w:val="a0"/>
        <w:rPr>
          <w:rtl/>
        </w:rPr>
      </w:pPr>
      <w:r>
        <w:rPr>
          <w:rFonts w:hint="cs"/>
          <w:rtl/>
        </w:rPr>
        <w:t xml:space="preserve">וכתב </w:t>
      </w:r>
      <w:r w:rsidRPr="00A4667E">
        <w:rPr>
          <w:rStyle w:val="af9"/>
          <w:rFonts w:hint="cs"/>
          <w:rtl/>
        </w:rPr>
        <w:t>היד רמ"ה</w:t>
      </w:r>
      <w:r>
        <w:rPr>
          <w:rFonts w:hint="cs"/>
          <w:rtl/>
        </w:rPr>
        <w:t xml:space="preserve"> דמוכח דאינו נאמן</w:t>
      </w:r>
      <w:r w:rsidRPr="00453F77">
        <w:rPr>
          <w:rFonts w:hint="cs"/>
          <w:rtl/>
        </w:rPr>
        <w:t xml:space="preserve"> </w:t>
      </w:r>
      <w:r>
        <w:rPr>
          <w:rFonts w:hint="cs"/>
          <w:rtl/>
        </w:rPr>
        <w:t xml:space="preserve">אחר שיצא מב"ד, דהא אי נאמן א"כ אינו נחשב לחוזר וטוען, והיא טענה אחת, וא"כ אמאי נאמן רק כשהוא עצמו חזר וטען, ולא טענינן ליה אנן, דמה שטען בתחילה של אבותי כוונתו של אבותי שלקחוה מאבותיך, וא"כ אינו מיגו במקום עדים, אלא כתב </w:t>
      </w:r>
      <w:r w:rsidRPr="00A4667E">
        <w:rPr>
          <w:rStyle w:val="af9"/>
          <w:rFonts w:hint="cs"/>
          <w:rtl/>
        </w:rPr>
        <w:t>היד רמ"ה</w:t>
      </w:r>
      <w:r>
        <w:rPr>
          <w:rFonts w:hint="cs"/>
          <w:rtl/>
        </w:rPr>
        <w:t xml:space="preserve"> דמוכח דכשטען בתחילה של אבותי, משמע דכוונתו של אבותי ולא של אבותיך, וכשחזר וטען של אבותי שלקחוה מאבותיך, אינה אותה טענה, אלא הוא חוזר וטוען, ולכן נאמן רק כשחזר וטען כן לפני שיצא מחוץ לב"ד.</w:t>
      </w:r>
    </w:p>
    <w:p w:rsidR="00EC445E" w:rsidRPr="00CE75EB" w:rsidRDefault="00EC445E" w:rsidP="00EC445E">
      <w:pPr>
        <w:pStyle w:val="a3"/>
        <w:rPr>
          <w:rtl/>
        </w:rPr>
      </w:pPr>
      <w:bookmarkStart w:id="12954" w:name="_Toc62420101"/>
      <w:bookmarkStart w:id="12955" w:name="_Toc62452561"/>
      <w:bookmarkStart w:id="12956" w:name="_Toc62453832"/>
      <w:bookmarkStart w:id="12957" w:name="_Toc62485544"/>
      <w:r>
        <w:rPr>
          <w:rFonts w:hint="cs"/>
          <w:rtl/>
        </w:rPr>
        <w:t>דברי הרשב"א דביצא חוץ לב"ד אינו נאמן אף בטענת לקחוה דאף בזה חיישינן שלימדוהו לטעון</w:t>
      </w:r>
      <w:bookmarkEnd w:id="12954"/>
      <w:bookmarkEnd w:id="12955"/>
      <w:bookmarkEnd w:id="12956"/>
      <w:bookmarkEnd w:id="12957"/>
    </w:p>
    <w:p w:rsidR="00EC445E" w:rsidRDefault="00EC445E" w:rsidP="007E4E81">
      <w:pPr>
        <w:pStyle w:val="a0"/>
      </w:pPr>
      <w:bookmarkStart w:id="12958" w:name="_Ref62467686"/>
      <w:r>
        <w:rPr>
          <w:rFonts w:hint="cs"/>
          <w:rtl/>
        </w:rPr>
        <w:t xml:space="preserve">כתב </w:t>
      </w:r>
      <w:r w:rsidRPr="003D7ECB">
        <w:rPr>
          <w:rStyle w:val="af9"/>
          <w:rFonts w:hint="cs"/>
          <w:rtl/>
        </w:rPr>
        <w:t>הרשב"א</w:t>
      </w:r>
      <w:r>
        <w:rPr>
          <w:rFonts w:hint="cs"/>
          <w:rtl/>
        </w:rPr>
        <w:t xml:space="preserve"> </w:t>
      </w:r>
      <w:r w:rsidRPr="003D7ECB">
        <w:rPr>
          <w:rStyle w:val="af7"/>
          <w:rFonts w:eastAsia="Guttman Hodes" w:hint="cs"/>
          <w:rtl/>
        </w:rPr>
        <w:t>(ד"ה ומודו)</w:t>
      </w:r>
      <w:r>
        <w:rPr>
          <w:rFonts w:hint="cs"/>
          <w:rtl/>
        </w:rPr>
        <w:t xml:space="preserve"> ד</w:t>
      </w:r>
      <w:r w:rsidRPr="00CE75EB">
        <w:rPr>
          <w:rFonts w:hint="cs"/>
          <w:rtl/>
        </w:rPr>
        <w:t xml:space="preserve">כשיצא חוץ לב"ד ולא חזר וטען בב"ד אינו יכול לחזור </w:t>
      </w:r>
      <w:r>
        <w:rPr>
          <w:rFonts w:hint="cs"/>
          <w:rtl/>
        </w:rPr>
        <w:t>ד</w:t>
      </w:r>
      <w:r w:rsidRPr="00CE75EB">
        <w:rPr>
          <w:rFonts w:hint="cs"/>
          <w:rtl/>
        </w:rPr>
        <w:t>לקחוה אבותי מאבותיך</w:t>
      </w:r>
      <w:r>
        <w:rPr>
          <w:rFonts w:hint="cs"/>
          <w:rtl/>
        </w:rPr>
        <w:t xml:space="preserve"> דאף בכה"ג חיישינן שמא לימדוהו לטעון כן</w:t>
      </w:r>
      <w:r w:rsidRPr="00CE75EB">
        <w:rPr>
          <w:rFonts w:hint="cs"/>
          <w:rtl/>
        </w:rPr>
        <w:t>.</w:t>
      </w:r>
      <w:bookmarkEnd w:id="12958"/>
    </w:p>
    <w:p w:rsidR="00EC445E" w:rsidRDefault="00EC445E" w:rsidP="00EC445E">
      <w:pPr>
        <w:pStyle w:val="a3"/>
        <w:rPr>
          <w:rtl/>
        </w:rPr>
      </w:pPr>
      <w:bookmarkStart w:id="12959" w:name="_Toc62420102"/>
      <w:bookmarkStart w:id="12960" w:name="_Toc62452562"/>
      <w:bookmarkStart w:id="12961" w:name="_Toc62453833"/>
      <w:bookmarkStart w:id="12962" w:name="_Toc62485545"/>
      <w:r>
        <w:rPr>
          <w:rFonts w:hint="cs"/>
          <w:rtl/>
        </w:rPr>
        <w:t>דברי הגרעק"א דמבואר בשו"ע דבין בטענת סמיך עלה ובין בלקחוה לא נאמן ביצא מב"ד</w:t>
      </w:r>
      <w:bookmarkEnd w:id="12959"/>
      <w:bookmarkEnd w:id="12960"/>
      <w:bookmarkEnd w:id="12961"/>
      <w:bookmarkEnd w:id="12962"/>
    </w:p>
    <w:p w:rsidR="00EC445E" w:rsidRDefault="00EC445E" w:rsidP="007E4E81">
      <w:pPr>
        <w:pStyle w:val="a0"/>
        <w:rPr>
          <w:rtl/>
        </w:rPr>
      </w:pPr>
      <w:r>
        <w:rPr>
          <w:rFonts w:hint="cs"/>
          <w:rtl/>
        </w:rPr>
        <w:t xml:space="preserve">כתב </w:t>
      </w:r>
      <w:r w:rsidRPr="005C6514">
        <w:rPr>
          <w:rStyle w:val="af9"/>
          <w:rFonts w:hint="cs"/>
          <w:rtl/>
        </w:rPr>
        <w:t>השו"ע</w:t>
      </w:r>
      <w:r>
        <w:rPr>
          <w:rFonts w:hint="cs"/>
          <w:rtl/>
        </w:rPr>
        <w:t xml:space="preserve"> </w:t>
      </w:r>
      <w:r w:rsidRPr="00A4667E">
        <w:rPr>
          <w:rStyle w:val="af7"/>
          <w:rFonts w:eastAsia="Guttman Hodes" w:hint="cs"/>
          <w:rtl/>
        </w:rPr>
        <w:t>(סי' קמ"ו כ"ד)</w:t>
      </w:r>
      <w:r>
        <w:rPr>
          <w:rFonts w:hint="cs"/>
          <w:rtl/>
        </w:rPr>
        <w:t xml:space="preserve"> דהא דנאמן לחזור ולטעון דסמיך עלה כדאבהתי, או של אבותי שלקחוה מאבותיך, היינו כשלא יצא מב"ד, וכתבו </w:t>
      </w:r>
      <w:r w:rsidRPr="005C6514">
        <w:rPr>
          <w:rStyle w:val="af9"/>
          <w:rFonts w:hint="cs"/>
          <w:rtl/>
        </w:rPr>
        <w:t>הגרעק"א</w:t>
      </w:r>
      <w:r>
        <w:rPr>
          <w:rFonts w:hint="cs"/>
          <w:rtl/>
        </w:rPr>
        <w:t xml:space="preserve"> </w:t>
      </w:r>
      <w:r w:rsidRPr="00A4667E">
        <w:rPr>
          <w:rStyle w:val="af7"/>
          <w:rFonts w:eastAsia="Guttman Hodes" w:hint="cs"/>
          <w:rtl/>
        </w:rPr>
        <w:t>(על תוד"ה ומודו, על השו"ע סי' קמ"ו כ"ד)</w:t>
      </w:r>
      <w:r>
        <w:rPr>
          <w:rFonts w:hint="cs"/>
          <w:rtl/>
        </w:rPr>
        <w:t xml:space="preserve"> </w:t>
      </w:r>
      <w:r w:rsidRPr="00716E7E">
        <w:rPr>
          <w:rStyle w:val="af9"/>
          <w:rFonts w:hint="cs"/>
          <w:rtl/>
        </w:rPr>
        <w:t>וה</w:t>
      </w:r>
      <w:r w:rsidRPr="003A671A">
        <w:rPr>
          <w:rStyle w:val="af9"/>
          <w:rFonts w:hint="cs"/>
          <w:rtl/>
        </w:rPr>
        <w:t>תומים</w:t>
      </w:r>
      <w:r>
        <w:rPr>
          <w:rFonts w:hint="cs"/>
          <w:rtl/>
        </w:rPr>
        <w:t xml:space="preserve"> </w:t>
      </w:r>
      <w:r w:rsidRPr="00A4667E">
        <w:rPr>
          <w:rStyle w:val="af7"/>
          <w:rFonts w:eastAsia="Guttman Hodes" w:hint="cs"/>
          <w:rtl/>
        </w:rPr>
        <w:t>(סי' פ"ב סק"ב)</w:t>
      </w:r>
      <w:r>
        <w:rPr>
          <w:rFonts w:hint="cs"/>
          <w:rtl/>
        </w:rPr>
        <w:t xml:space="preserve"> דמבואר מדברי </w:t>
      </w:r>
      <w:r w:rsidRPr="005C6514">
        <w:rPr>
          <w:rStyle w:val="af9"/>
          <w:rFonts w:hint="cs"/>
          <w:rtl/>
        </w:rPr>
        <w:t>השו"ע</w:t>
      </w:r>
      <w:r>
        <w:rPr>
          <w:rFonts w:hint="cs"/>
          <w:rtl/>
        </w:rPr>
        <w:t xml:space="preserve"> דכלל את טענת של אבותי שלקחוה מאבותיך יחד עם טענת דסמיך עלה כדאבהתי, דס"ל דבב' הטענות לתרץ דבריו אינו נאמן אחר שיצא מב"ד.</w:t>
      </w:r>
    </w:p>
    <w:p w:rsidR="00730F4A" w:rsidRPr="00730F4A" w:rsidRDefault="00730F4A" w:rsidP="00730F4A">
      <w:pPr>
        <w:pStyle w:val="a3"/>
        <w:rPr>
          <w:rtl/>
        </w:rPr>
      </w:pPr>
    </w:p>
    <w:p w:rsidR="00730F4A" w:rsidRPr="00730F4A" w:rsidRDefault="00730F4A" w:rsidP="00730F4A">
      <w:pPr>
        <w:pStyle w:val="a3"/>
        <w:rPr>
          <w:rtl/>
        </w:rPr>
      </w:pPr>
    </w:p>
    <w:p w:rsidR="00730F4A" w:rsidRPr="00730F4A" w:rsidRDefault="00730F4A" w:rsidP="00730F4A">
      <w:pPr>
        <w:pStyle w:val="a3"/>
        <w:rPr>
          <w:rtl/>
        </w:rPr>
      </w:pPr>
    </w:p>
    <w:p w:rsidR="00730F4A" w:rsidRPr="00730F4A" w:rsidRDefault="00730F4A" w:rsidP="00730F4A">
      <w:pPr>
        <w:pStyle w:val="a3"/>
        <w:rPr>
          <w:rtl/>
        </w:rPr>
      </w:pPr>
    </w:p>
    <w:p w:rsidR="00EC445E" w:rsidRDefault="00EC445E" w:rsidP="00EC445E">
      <w:pPr>
        <w:pStyle w:val="afe"/>
        <w:rPr>
          <w:rtl/>
        </w:rPr>
      </w:pPr>
      <w:bookmarkStart w:id="12963" w:name="_Toc62385960"/>
      <w:bookmarkStart w:id="12964" w:name="_Toc62420103"/>
      <w:bookmarkStart w:id="12965" w:name="_Toc62452563"/>
      <w:bookmarkStart w:id="12966" w:name="_Toc62453834"/>
      <w:bookmarkStart w:id="12967" w:name="_Toc62485546"/>
      <w:bookmarkStart w:id="12968" w:name="_Toc62385966"/>
      <w:r>
        <w:rPr>
          <w:rFonts w:hint="cs"/>
          <w:rtl/>
        </w:rPr>
        <w:t>בטעמא דאינו נאמן בחוזר וטוען</w:t>
      </w:r>
      <w:bookmarkEnd w:id="12963"/>
      <w:bookmarkEnd w:id="12964"/>
      <w:bookmarkEnd w:id="12965"/>
      <w:bookmarkEnd w:id="12966"/>
      <w:bookmarkEnd w:id="12967"/>
    </w:p>
    <w:p w:rsidR="00EC445E" w:rsidRDefault="00EC445E" w:rsidP="00EC445E">
      <w:pPr>
        <w:pStyle w:val="1"/>
        <w:rPr>
          <w:rtl/>
        </w:rPr>
      </w:pPr>
      <w:r>
        <w:rPr>
          <w:rFonts w:hint="cs"/>
          <w:rtl/>
        </w:rPr>
        <w:t>משמעות הרשב"ם דחוזר וטוען לא נאמן דהודה בהודאת בע"ד</w:t>
      </w:r>
    </w:p>
    <w:p w:rsidR="00EC445E" w:rsidRPr="00203269" w:rsidRDefault="00EC445E" w:rsidP="00EC445E">
      <w:pPr>
        <w:pStyle w:val="a3"/>
        <w:rPr>
          <w:rtl/>
        </w:rPr>
      </w:pPr>
      <w:r>
        <w:rPr>
          <w:rFonts w:hint="cs"/>
          <w:rtl/>
        </w:rPr>
        <w:t>דברי הרשב"ם לעיל דהחוזר וטוען אינו נאמן אף כשיש עדים כטענתו כיון דהודאתו כמאה עדים</w:t>
      </w:r>
    </w:p>
    <w:p w:rsidR="00EC445E" w:rsidRPr="009E7205" w:rsidRDefault="00EC445E" w:rsidP="007E4E81">
      <w:pPr>
        <w:pStyle w:val="a0"/>
        <w:rPr>
          <w:rStyle w:val="afb"/>
          <w:rtl/>
        </w:rPr>
      </w:pPr>
      <w:bookmarkStart w:id="12969" w:name="_Toc62485547"/>
      <w:r>
        <w:rPr>
          <w:rFonts w:hint="cs"/>
          <w:rtl/>
        </w:rPr>
        <w:t xml:space="preserve">כתב </w:t>
      </w:r>
      <w:r w:rsidRPr="007D4BB7">
        <w:rPr>
          <w:rStyle w:val="af9"/>
          <w:rFonts w:hint="cs"/>
          <w:rtl/>
        </w:rPr>
        <w:t>הרשב"ם לעיל</w:t>
      </w:r>
      <w:r>
        <w:rPr>
          <w:rFonts w:hint="cs"/>
          <w:rtl/>
        </w:rPr>
        <w:t xml:space="preserve"> </w:t>
      </w:r>
      <w:r w:rsidRPr="001E106B">
        <w:rPr>
          <w:rStyle w:val="af7"/>
          <w:rFonts w:eastAsia="Guttman Hodes" w:hint="cs"/>
          <w:rtl/>
        </w:rPr>
        <w:t>(ל: ד"ה אמר רבא עביד)</w:t>
      </w:r>
      <w:r>
        <w:rPr>
          <w:rFonts w:hint="cs"/>
          <w:rtl/>
        </w:rPr>
        <w:t xml:space="preserve"> דקיי"ל בסוגיין דאין אדם טוען בב"ד טענות, וחוזר וטוען טענות אחרות שמכחישות את טענותיו הראשונות, ופוסקים את הדין כמו הטענות הראשונות,</w:t>
      </w:r>
      <w:r w:rsidRPr="0069379D">
        <w:rPr>
          <w:rFonts w:hint="cs"/>
          <w:rtl/>
        </w:rPr>
        <w:t xml:space="preserve"> </w:t>
      </w:r>
      <w:r w:rsidRPr="001E2D4F">
        <w:rPr>
          <w:rStyle w:val="afb"/>
          <w:rFonts w:hint="cs"/>
          <w:rtl/>
        </w:rPr>
        <w:t xml:space="preserve">[עי' בדברי </w:t>
      </w:r>
      <w:r w:rsidRPr="001E2D4F">
        <w:rPr>
          <w:rStyle w:val="affa"/>
          <w:rFonts w:hint="cs"/>
          <w:rtl/>
        </w:rPr>
        <w:t>הרשב"ם</w:t>
      </w:r>
      <w:r w:rsidRPr="001E2D4F">
        <w:rPr>
          <w:rStyle w:val="afb"/>
          <w:rFonts w:hint="cs"/>
          <w:rtl/>
        </w:rPr>
        <w:t xml:space="preserve"> </w:t>
      </w:r>
      <w:r w:rsidRPr="001E2D4F">
        <w:rPr>
          <w:rStyle w:val="aff6"/>
          <w:rFonts w:hint="cs"/>
          <w:rtl/>
        </w:rPr>
        <w:t xml:space="preserve">(עי' אות </w:t>
      </w:r>
      <w:r w:rsidRPr="001E2D4F">
        <w:rPr>
          <w:rStyle w:val="aff6"/>
          <w:rtl/>
        </w:rPr>
        <w:fldChar w:fldCharType="begin"/>
      </w:r>
      <w:r w:rsidRPr="001E2D4F">
        <w:rPr>
          <w:rStyle w:val="aff6"/>
          <w:rtl/>
        </w:rPr>
        <w:instrText xml:space="preserve"> </w:instrText>
      </w:r>
      <w:r w:rsidRPr="001E2D4F">
        <w:rPr>
          <w:rStyle w:val="aff6"/>
          <w:rFonts w:hint="cs"/>
        </w:rPr>
        <w:instrText>REF</w:instrText>
      </w:r>
      <w:r w:rsidRPr="001E2D4F">
        <w:rPr>
          <w:rStyle w:val="aff6"/>
          <w:rFonts w:hint="cs"/>
          <w:rtl/>
        </w:rPr>
        <w:instrText xml:space="preserve"> _</w:instrText>
      </w:r>
      <w:r w:rsidRPr="001E2D4F">
        <w:rPr>
          <w:rStyle w:val="aff6"/>
          <w:rFonts w:hint="cs"/>
        </w:rPr>
        <w:instrText>Ref62467737 \r \h</w:instrText>
      </w:r>
      <w:r w:rsidRPr="001E2D4F">
        <w:rPr>
          <w:rStyle w:val="aff6"/>
          <w:rtl/>
        </w:rPr>
        <w:instrText xml:space="preserve"> </w:instrText>
      </w:r>
      <w:r w:rsidRPr="001E2D4F">
        <w:rPr>
          <w:rStyle w:val="aff6"/>
          <w:rtl/>
        </w:rPr>
      </w:r>
      <w:r w:rsidRPr="001E2D4F">
        <w:rPr>
          <w:rStyle w:val="aff6"/>
          <w:rtl/>
        </w:rPr>
        <w:fldChar w:fldCharType="separate"/>
      </w:r>
      <w:r w:rsidR="00265073">
        <w:rPr>
          <w:rStyle w:val="aff6"/>
          <w:cs/>
        </w:rPr>
        <w:t>‎</w:t>
      </w:r>
      <w:r w:rsidR="00265073">
        <w:rPr>
          <w:rStyle w:val="aff6"/>
          <w:rtl/>
        </w:rPr>
        <w:t>צה)</w:t>
      </w:r>
      <w:r w:rsidRPr="001E2D4F">
        <w:rPr>
          <w:rStyle w:val="aff6"/>
          <w:rtl/>
        </w:rPr>
        <w:fldChar w:fldCharType="end"/>
      </w:r>
      <w:r w:rsidRPr="001E2D4F">
        <w:rPr>
          <w:rStyle w:val="afb"/>
          <w:rFonts w:hint="cs"/>
          <w:rtl/>
        </w:rPr>
        <w:t xml:space="preserve"> באריכות],</w:t>
      </w:r>
      <w:r w:rsidRPr="001E106B">
        <w:rPr>
          <w:rStyle w:val="afb"/>
          <w:rFonts w:hint="cs"/>
          <w:rtl/>
        </w:rPr>
        <w:t xml:space="preserve"> </w:t>
      </w:r>
      <w:r>
        <w:rPr>
          <w:rFonts w:hint="cs"/>
          <w:rtl/>
        </w:rPr>
        <w:t xml:space="preserve"> והוסיף </w:t>
      </w:r>
      <w:r w:rsidRPr="007D4BB7">
        <w:rPr>
          <w:rStyle w:val="af9"/>
          <w:rFonts w:hint="cs"/>
          <w:rtl/>
        </w:rPr>
        <w:t>הרשב"ם לעיל</w:t>
      </w:r>
      <w:r>
        <w:rPr>
          <w:rFonts w:hint="cs"/>
          <w:rtl/>
        </w:rPr>
        <w:t xml:space="preserve"> </w:t>
      </w:r>
      <w:r w:rsidRPr="001E106B">
        <w:rPr>
          <w:rStyle w:val="af7"/>
          <w:rFonts w:eastAsia="Guttman Hodes" w:hint="cs"/>
          <w:rtl/>
        </w:rPr>
        <w:t>(ל: סוד"ה והני מילי)</w:t>
      </w:r>
      <w:r>
        <w:rPr>
          <w:rFonts w:hint="cs"/>
          <w:rtl/>
        </w:rPr>
        <w:t xml:space="preserve"> דכשחוזר וטוען ומכחיש את טענותיו הראשונות, אף אם הביא אח"כ עדים כטענותיו האחרונות אינו נאמן, דהודאת בע"ד כמאה עדים, ואזלינן בתר הטענות שטען בתחילה.</w:t>
      </w:r>
      <w:r w:rsidRPr="001E106B">
        <w:rPr>
          <w:rStyle w:val="afb"/>
          <w:rFonts w:hint="cs"/>
          <w:rtl/>
        </w:rPr>
        <w:t xml:space="preserve"> </w:t>
      </w:r>
      <w:r w:rsidRPr="009E7205">
        <w:rPr>
          <w:rStyle w:val="afb"/>
          <w:rFonts w:hint="cs"/>
          <w:rtl/>
        </w:rPr>
        <w:t>[</w:t>
      </w:r>
      <w:r w:rsidRPr="001E2D4F">
        <w:rPr>
          <w:rStyle w:val="afb"/>
          <w:rFonts w:hint="cs"/>
          <w:rtl/>
        </w:rPr>
        <w:t xml:space="preserve">עי' בדברי </w:t>
      </w:r>
      <w:r w:rsidRPr="001E2D4F">
        <w:rPr>
          <w:rStyle w:val="affa"/>
          <w:rFonts w:hint="cs"/>
          <w:rtl/>
        </w:rPr>
        <w:t>הרשב"ם</w:t>
      </w:r>
      <w:r w:rsidRPr="001E2D4F">
        <w:rPr>
          <w:rStyle w:val="afb"/>
          <w:rFonts w:hint="cs"/>
          <w:rtl/>
        </w:rPr>
        <w:t xml:space="preserve"> </w:t>
      </w:r>
      <w:r w:rsidRPr="001E2D4F">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Ref62468405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צח)</w:t>
      </w:r>
      <w:r>
        <w:rPr>
          <w:rStyle w:val="aff6"/>
          <w:rtl/>
        </w:rPr>
        <w:fldChar w:fldCharType="end"/>
      </w:r>
      <w:r>
        <w:rPr>
          <w:rStyle w:val="aff6"/>
          <w:rFonts w:hint="cs"/>
          <w:rtl/>
        </w:rPr>
        <w:t xml:space="preserve"> </w:t>
      </w:r>
      <w:r w:rsidRPr="001E2D4F">
        <w:rPr>
          <w:rStyle w:val="afb"/>
          <w:rFonts w:hint="cs"/>
          <w:rtl/>
        </w:rPr>
        <w:t>באריכות</w:t>
      </w:r>
      <w:r>
        <w:rPr>
          <w:rStyle w:val="afb"/>
          <w:rFonts w:hint="cs"/>
          <w:rtl/>
        </w:rPr>
        <w:t>,</w:t>
      </w:r>
      <w:r w:rsidRPr="009E7205">
        <w:rPr>
          <w:rStyle w:val="afb"/>
          <w:rFonts w:hint="cs"/>
          <w:rtl/>
        </w:rPr>
        <w:t xml:space="preserve"> ועי' במה שביאר </w:t>
      </w:r>
      <w:r w:rsidRPr="009E7205">
        <w:rPr>
          <w:rStyle w:val="affa"/>
          <w:rFonts w:hint="cs"/>
          <w:rtl/>
        </w:rPr>
        <w:t xml:space="preserve">בחי' רבי נחום </w:t>
      </w:r>
      <w:r w:rsidRPr="00885C63">
        <w:rPr>
          <w:rStyle w:val="aff6"/>
          <w:rFonts w:hint="cs"/>
          <w:rtl/>
        </w:rPr>
        <w:t xml:space="preserve">(עי' אות </w:t>
      </w:r>
      <w:r w:rsidRPr="00885C63">
        <w:rPr>
          <w:rStyle w:val="aff6"/>
          <w:rtl/>
        </w:rPr>
        <w:fldChar w:fldCharType="begin"/>
      </w:r>
      <w:r w:rsidRPr="00885C63">
        <w:rPr>
          <w:rStyle w:val="aff6"/>
          <w:rtl/>
        </w:rPr>
        <w:instrText xml:space="preserve"> </w:instrText>
      </w:r>
      <w:r w:rsidRPr="00885C63">
        <w:rPr>
          <w:rStyle w:val="aff6"/>
          <w:rFonts w:hint="cs"/>
        </w:rPr>
        <w:instrText>REF</w:instrText>
      </w:r>
      <w:r w:rsidRPr="00885C63">
        <w:rPr>
          <w:rStyle w:val="aff6"/>
          <w:rFonts w:hint="cs"/>
          <w:rtl/>
        </w:rPr>
        <w:instrText xml:space="preserve"> _</w:instrText>
      </w:r>
      <w:r w:rsidRPr="00885C63">
        <w:rPr>
          <w:rStyle w:val="aff6"/>
          <w:rFonts w:hint="cs"/>
        </w:rPr>
        <w:instrText>Ref62468379 \r \h</w:instrText>
      </w:r>
      <w:r w:rsidRPr="00885C63">
        <w:rPr>
          <w:rStyle w:val="aff6"/>
          <w:rtl/>
        </w:rPr>
        <w:instrText xml:space="preserve"> </w:instrText>
      </w:r>
      <w:r w:rsidRPr="00885C63">
        <w:rPr>
          <w:rStyle w:val="aff6"/>
          <w:rtl/>
        </w:rPr>
      </w:r>
      <w:r w:rsidRPr="00885C63">
        <w:rPr>
          <w:rStyle w:val="aff6"/>
          <w:rtl/>
        </w:rPr>
        <w:fldChar w:fldCharType="separate"/>
      </w:r>
      <w:r w:rsidR="00265073">
        <w:rPr>
          <w:rStyle w:val="aff6"/>
          <w:cs/>
        </w:rPr>
        <w:t>‎</w:t>
      </w:r>
      <w:r w:rsidR="00265073">
        <w:rPr>
          <w:rStyle w:val="aff6"/>
          <w:rtl/>
        </w:rPr>
        <w:t>ק)</w:t>
      </w:r>
      <w:r w:rsidRPr="00885C63">
        <w:rPr>
          <w:rStyle w:val="aff6"/>
          <w:rtl/>
        </w:rPr>
        <w:fldChar w:fldCharType="end"/>
      </w:r>
      <w:r w:rsidRPr="009E7205">
        <w:rPr>
          <w:rStyle w:val="afb"/>
          <w:rFonts w:hint="cs"/>
          <w:rtl/>
        </w:rPr>
        <w:t xml:space="preserve"> דס"ל </w:t>
      </w:r>
      <w:r w:rsidRPr="009E7205">
        <w:rPr>
          <w:rStyle w:val="affa"/>
          <w:rFonts w:hint="cs"/>
          <w:rtl/>
        </w:rPr>
        <w:t xml:space="preserve">להרשב"ם </w:t>
      </w:r>
      <w:r>
        <w:rPr>
          <w:rStyle w:val="affa"/>
          <w:rFonts w:hint="cs"/>
          <w:rtl/>
        </w:rPr>
        <w:t>לעיל</w:t>
      </w:r>
      <w:r w:rsidRPr="009E7205">
        <w:rPr>
          <w:rStyle w:val="affa"/>
          <w:rFonts w:hint="cs"/>
          <w:rtl/>
        </w:rPr>
        <w:t xml:space="preserve"> </w:t>
      </w:r>
      <w:r w:rsidRPr="009E7205">
        <w:rPr>
          <w:rStyle w:val="afb"/>
          <w:rFonts w:hint="cs"/>
          <w:rtl/>
        </w:rPr>
        <w:t>דהא דחוזר וטוען אינו נאמן, הוא מדין הודאת בע"ד דבטענתו הראשונה הודה ששאר הטענות אינם נכונות</w:t>
      </w:r>
      <w:r>
        <w:rPr>
          <w:rStyle w:val="afb"/>
          <w:rFonts w:hint="cs"/>
          <w:rtl/>
        </w:rPr>
        <w:t xml:space="preserve">, וע"ע </w:t>
      </w:r>
      <w:r w:rsidRPr="009E7205">
        <w:rPr>
          <w:rStyle w:val="afb"/>
          <w:rFonts w:hint="cs"/>
          <w:rtl/>
        </w:rPr>
        <w:t xml:space="preserve">ועי' במה </w:t>
      </w:r>
      <w:r>
        <w:rPr>
          <w:rStyle w:val="afb"/>
          <w:rFonts w:hint="cs"/>
          <w:rtl/>
        </w:rPr>
        <w:t xml:space="preserve">שהביא </w:t>
      </w:r>
      <w:r w:rsidRPr="009E7205">
        <w:rPr>
          <w:rStyle w:val="affa"/>
          <w:rFonts w:hint="cs"/>
          <w:rtl/>
        </w:rPr>
        <w:t xml:space="preserve">הרשב"ם </w:t>
      </w:r>
      <w:r>
        <w:rPr>
          <w:rStyle w:val="affa"/>
          <w:rFonts w:hint="cs"/>
          <w:rtl/>
        </w:rPr>
        <w:t>לעיל</w:t>
      </w:r>
      <w:r w:rsidRPr="009E7205">
        <w:rPr>
          <w:rStyle w:val="affa"/>
          <w:rFonts w:hint="cs"/>
          <w:rtl/>
        </w:rPr>
        <w:t xml:space="preserve"> </w:t>
      </w:r>
      <w:r>
        <w:rPr>
          <w:rStyle w:val="afb"/>
          <w:rFonts w:hint="cs"/>
          <w:rtl/>
        </w:rPr>
        <w:t xml:space="preserve">בשם </w:t>
      </w:r>
      <w:r w:rsidRPr="009E7205">
        <w:rPr>
          <w:rStyle w:val="affa"/>
          <w:rFonts w:hint="cs"/>
          <w:rtl/>
        </w:rPr>
        <w:t xml:space="preserve">י"מ </w:t>
      </w:r>
      <w:r w:rsidRPr="00203269">
        <w:rPr>
          <w:rStyle w:val="aff6"/>
          <w:rFonts w:hint="cs"/>
          <w:rtl/>
        </w:rPr>
        <w:t xml:space="preserve">(עי' אות </w:t>
      </w:r>
      <w:r w:rsidRPr="00203269">
        <w:rPr>
          <w:rStyle w:val="aff6"/>
          <w:rtl/>
        </w:rPr>
        <w:fldChar w:fldCharType="begin"/>
      </w:r>
      <w:r w:rsidRPr="00203269">
        <w:rPr>
          <w:rStyle w:val="aff6"/>
          <w:rtl/>
        </w:rPr>
        <w:instrText xml:space="preserve"> </w:instrText>
      </w:r>
      <w:r w:rsidRPr="00203269">
        <w:rPr>
          <w:rStyle w:val="aff6"/>
          <w:rFonts w:hint="cs"/>
        </w:rPr>
        <w:instrText>REF</w:instrText>
      </w:r>
      <w:r w:rsidRPr="00203269">
        <w:rPr>
          <w:rStyle w:val="aff6"/>
          <w:rFonts w:hint="cs"/>
          <w:rtl/>
        </w:rPr>
        <w:instrText xml:space="preserve"> _</w:instrText>
      </w:r>
      <w:r w:rsidRPr="00203269">
        <w:rPr>
          <w:rStyle w:val="aff6"/>
          <w:rFonts w:hint="cs"/>
        </w:rPr>
        <w:instrText>Ref62468405 \r \h</w:instrText>
      </w:r>
      <w:r w:rsidRPr="00203269">
        <w:rPr>
          <w:rStyle w:val="aff6"/>
          <w:rtl/>
        </w:rPr>
        <w:instrText xml:space="preserve"> </w:instrText>
      </w:r>
      <w:r w:rsidRPr="00203269">
        <w:rPr>
          <w:rStyle w:val="aff6"/>
          <w:rtl/>
        </w:rPr>
      </w:r>
      <w:r w:rsidRPr="00203269">
        <w:rPr>
          <w:rStyle w:val="aff6"/>
          <w:rtl/>
        </w:rPr>
        <w:fldChar w:fldCharType="separate"/>
      </w:r>
      <w:r w:rsidR="00265073">
        <w:rPr>
          <w:rStyle w:val="aff6"/>
          <w:cs/>
        </w:rPr>
        <w:t>‎</w:t>
      </w:r>
      <w:r w:rsidR="00265073">
        <w:rPr>
          <w:rStyle w:val="aff6"/>
          <w:rtl/>
        </w:rPr>
        <w:t>צח)</w:t>
      </w:r>
      <w:r w:rsidRPr="00203269">
        <w:rPr>
          <w:rStyle w:val="aff6"/>
          <w:rtl/>
        </w:rPr>
        <w:fldChar w:fldCharType="end"/>
      </w:r>
      <w:r>
        <w:rPr>
          <w:rStyle w:val="afb"/>
          <w:rFonts w:hint="cs"/>
          <w:rtl/>
        </w:rPr>
        <w:t xml:space="preserve">, </w:t>
      </w:r>
      <w:r w:rsidRPr="009E7205">
        <w:rPr>
          <w:rStyle w:val="afb"/>
          <w:rFonts w:hint="cs"/>
          <w:rtl/>
        </w:rPr>
        <w:t>ועי'</w:t>
      </w:r>
      <w:r>
        <w:rPr>
          <w:rStyle w:val="afb"/>
          <w:rFonts w:hint="cs"/>
          <w:rtl/>
        </w:rPr>
        <w:t xml:space="preserve"> </w:t>
      </w:r>
      <w:r w:rsidRPr="009E7205">
        <w:rPr>
          <w:rStyle w:val="afb"/>
          <w:rFonts w:hint="cs"/>
          <w:rtl/>
        </w:rPr>
        <w:t xml:space="preserve">שביאר </w:t>
      </w:r>
      <w:r w:rsidRPr="009E7205">
        <w:rPr>
          <w:rStyle w:val="affa"/>
          <w:rFonts w:hint="cs"/>
          <w:rtl/>
        </w:rPr>
        <w:t xml:space="preserve">בחי' רבי נחום </w:t>
      </w:r>
      <w:r w:rsidRPr="00885C63">
        <w:rPr>
          <w:rStyle w:val="aff6"/>
          <w:rFonts w:hint="cs"/>
          <w:rtl/>
        </w:rPr>
        <w:t xml:space="preserve">(עי' אות </w:t>
      </w:r>
      <w:r w:rsidRPr="00885C63">
        <w:rPr>
          <w:rStyle w:val="aff6"/>
          <w:rtl/>
        </w:rPr>
        <w:fldChar w:fldCharType="begin"/>
      </w:r>
      <w:r w:rsidRPr="00885C63">
        <w:rPr>
          <w:rStyle w:val="aff6"/>
          <w:rtl/>
        </w:rPr>
        <w:instrText xml:space="preserve"> </w:instrText>
      </w:r>
      <w:r w:rsidRPr="00885C63">
        <w:rPr>
          <w:rStyle w:val="aff6"/>
          <w:rFonts w:hint="cs"/>
        </w:rPr>
        <w:instrText>REF</w:instrText>
      </w:r>
      <w:r w:rsidRPr="00885C63">
        <w:rPr>
          <w:rStyle w:val="aff6"/>
          <w:rFonts w:hint="cs"/>
          <w:rtl/>
        </w:rPr>
        <w:instrText xml:space="preserve"> _</w:instrText>
      </w:r>
      <w:r w:rsidRPr="00885C63">
        <w:rPr>
          <w:rStyle w:val="aff6"/>
          <w:rFonts w:hint="cs"/>
        </w:rPr>
        <w:instrText>Ref62385703 \r \h</w:instrText>
      </w:r>
      <w:r w:rsidRPr="00885C63">
        <w:rPr>
          <w:rStyle w:val="aff6"/>
          <w:rtl/>
        </w:rPr>
        <w:instrText xml:space="preserve"> </w:instrText>
      </w:r>
      <w:r w:rsidRPr="00885C63">
        <w:rPr>
          <w:rStyle w:val="aff6"/>
          <w:rtl/>
        </w:rPr>
      </w:r>
      <w:r w:rsidRPr="00885C63">
        <w:rPr>
          <w:rStyle w:val="aff6"/>
          <w:rtl/>
        </w:rPr>
        <w:fldChar w:fldCharType="separate"/>
      </w:r>
      <w:r w:rsidR="00265073">
        <w:rPr>
          <w:rStyle w:val="aff6"/>
          <w:cs/>
        </w:rPr>
        <w:t>‎</w:t>
      </w:r>
      <w:r w:rsidR="00265073">
        <w:rPr>
          <w:rStyle w:val="aff6"/>
          <w:rtl/>
        </w:rPr>
        <w:t>קא)</w:t>
      </w:r>
      <w:r w:rsidRPr="00885C63">
        <w:rPr>
          <w:rStyle w:val="aff6"/>
          <w:rtl/>
        </w:rPr>
        <w:fldChar w:fldCharType="end"/>
      </w:r>
      <w:r w:rsidRPr="009E7205">
        <w:rPr>
          <w:rStyle w:val="afb"/>
          <w:rFonts w:hint="cs"/>
          <w:rtl/>
        </w:rPr>
        <w:t xml:space="preserve"> </w:t>
      </w:r>
      <w:r w:rsidRPr="009E7205">
        <w:rPr>
          <w:rStyle w:val="affa"/>
          <w:rFonts w:hint="cs"/>
          <w:rtl/>
        </w:rPr>
        <w:t xml:space="preserve">ברשב"ם </w:t>
      </w:r>
      <w:r w:rsidRPr="009E7205">
        <w:rPr>
          <w:rStyle w:val="afb"/>
          <w:rFonts w:hint="cs"/>
          <w:rtl/>
        </w:rPr>
        <w:t>דהא דחוזר וטוען אינו נאמן, אינו מדין הודאת בע"ד, אלא הוא דין בדיני טענות, דכל שטענתו השניה סותרת לטענתו הראשונה אינו נאמן בטענתו השניה].</w:t>
      </w:r>
    </w:p>
    <w:p w:rsidR="00EC445E" w:rsidRDefault="00EC445E" w:rsidP="00EC445E">
      <w:pPr>
        <w:pStyle w:val="1"/>
        <w:rPr>
          <w:rtl/>
        </w:rPr>
      </w:pPr>
      <w:bookmarkStart w:id="12970" w:name="_Toc62385962"/>
      <w:bookmarkStart w:id="12971" w:name="_Toc62420108"/>
      <w:bookmarkStart w:id="12972" w:name="_Toc62452568"/>
      <w:bookmarkStart w:id="12973" w:name="_Toc62453839"/>
      <w:bookmarkStart w:id="12974" w:name="_Toc62485551"/>
      <w:bookmarkEnd w:id="12969"/>
      <w:r>
        <w:rPr>
          <w:rFonts w:hint="cs"/>
          <w:rtl/>
        </w:rPr>
        <w:t>בי' המאירי והש"ך בר"י מגאש</w:t>
      </w:r>
      <w:bookmarkEnd w:id="12970"/>
      <w:bookmarkEnd w:id="12971"/>
      <w:bookmarkEnd w:id="12972"/>
      <w:bookmarkEnd w:id="12973"/>
      <w:r>
        <w:rPr>
          <w:rFonts w:hint="cs"/>
          <w:rtl/>
        </w:rPr>
        <w:t xml:space="preserve"> דחוזר וטוען נראה כמשקר</w:t>
      </w:r>
      <w:bookmarkEnd w:id="12974"/>
    </w:p>
    <w:p w:rsidR="00EC445E" w:rsidRPr="005F3AA6" w:rsidRDefault="00EC445E" w:rsidP="00EC445E">
      <w:pPr>
        <w:pStyle w:val="a3"/>
        <w:rPr>
          <w:rtl/>
        </w:rPr>
      </w:pPr>
      <w:bookmarkStart w:id="12975" w:name="_Toc62420109"/>
      <w:bookmarkStart w:id="12976" w:name="_Toc62452569"/>
      <w:bookmarkStart w:id="12977" w:name="_Toc62453840"/>
      <w:bookmarkStart w:id="12978" w:name="_Toc62485552"/>
      <w:r>
        <w:rPr>
          <w:rFonts w:hint="cs"/>
          <w:rtl/>
        </w:rPr>
        <w:t>משמעות המאירי דלר"י מגאש בחוזר וטוען נראה כמשקר ודברי הש"ך דהוא טענה גרועה</w:t>
      </w:r>
      <w:bookmarkEnd w:id="12975"/>
      <w:bookmarkEnd w:id="12976"/>
      <w:bookmarkEnd w:id="12977"/>
      <w:bookmarkEnd w:id="12978"/>
    </w:p>
    <w:p w:rsidR="00EC445E" w:rsidRDefault="00EC445E" w:rsidP="007E4E81">
      <w:pPr>
        <w:pStyle w:val="a0"/>
        <w:rPr>
          <w:rStyle w:val="afb"/>
          <w:rtl/>
        </w:rPr>
      </w:pPr>
      <w:r>
        <w:rPr>
          <w:rFonts w:hint="cs"/>
          <w:rtl/>
        </w:rPr>
        <w:t xml:space="preserve">ועי' במ"ש </w:t>
      </w:r>
      <w:r w:rsidRPr="00463428">
        <w:rPr>
          <w:rStyle w:val="af9"/>
          <w:rFonts w:hint="cs"/>
          <w:rtl/>
        </w:rPr>
        <w:t>הר"י מגאש</w:t>
      </w:r>
      <w:r>
        <w:rPr>
          <w:rFonts w:hint="cs"/>
          <w:rtl/>
        </w:rPr>
        <w:t xml:space="preserve"> </w:t>
      </w:r>
      <w:r w:rsidRPr="00753D8F">
        <w:rPr>
          <w:rStyle w:val="af7"/>
          <w:rFonts w:eastAsia="Guttman Hodes" w:hint="cs"/>
          <w:rtl/>
        </w:rPr>
        <w:t>(עי'</w:t>
      </w:r>
      <w:r>
        <w:rPr>
          <w:rFonts w:hint="cs"/>
          <w:rtl/>
        </w:rPr>
        <w:t xml:space="preserve"> </w:t>
      </w:r>
      <w:r w:rsidRPr="00753D8F">
        <w:rPr>
          <w:rStyle w:val="af7"/>
          <w:rFonts w:eastAsia="Guttman Hodes" w:hint="cs"/>
          <w:rtl/>
        </w:rPr>
        <w:t xml:space="preserve">אות </w:t>
      </w:r>
      <w:r w:rsidRPr="00753D8F">
        <w:rPr>
          <w:rStyle w:val="af7"/>
          <w:rFonts w:eastAsia="Guttman Hodes"/>
          <w:rtl/>
        </w:rPr>
        <w:fldChar w:fldCharType="begin"/>
      </w:r>
      <w:r w:rsidRPr="00753D8F">
        <w:rPr>
          <w:rStyle w:val="af7"/>
          <w:rFonts w:eastAsia="Guttman Hodes"/>
          <w:rtl/>
        </w:rPr>
        <w:instrText xml:space="preserve"> </w:instrText>
      </w:r>
      <w:r w:rsidRPr="00753D8F">
        <w:rPr>
          <w:rStyle w:val="af7"/>
          <w:rFonts w:eastAsia="Guttman Hodes" w:hint="cs"/>
        </w:rPr>
        <w:instrText>REF</w:instrText>
      </w:r>
      <w:r w:rsidRPr="00753D8F">
        <w:rPr>
          <w:rStyle w:val="af7"/>
          <w:rFonts w:eastAsia="Guttman Hodes" w:hint="cs"/>
          <w:rtl/>
        </w:rPr>
        <w:instrText xml:space="preserve"> _</w:instrText>
      </w:r>
      <w:r w:rsidRPr="00753D8F">
        <w:rPr>
          <w:rStyle w:val="af7"/>
          <w:rFonts w:eastAsia="Guttman Hodes" w:hint="cs"/>
        </w:rPr>
        <w:instrText>Ref61987752 \r \h</w:instrText>
      </w:r>
      <w:r w:rsidRPr="00753D8F">
        <w:rPr>
          <w:rStyle w:val="af7"/>
          <w:rFonts w:eastAsia="Guttman Hodes"/>
          <w:rtl/>
        </w:rPr>
        <w:instrText xml:space="preserve"> </w:instrText>
      </w:r>
      <w:r w:rsidRPr="00753D8F">
        <w:rPr>
          <w:rStyle w:val="af7"/>
          <w:rFonts w:eastAsia="Guttman Hodes"/>
          <w:rtl/>
        </w:rPr>
      </w:r>
      <w:r w:rsidRPr="00753D8F">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753D8F">
        <w:rPr>
          <w:rStyle w:val="af7"/>
          <w:rFonts w:eastAsia="Guttman Hodes"/>
          <w:rtl/>
        </w:rPr>
        <w:fldChar w:fldCharType="end"/>
      </w:r>
      <w:r>
        <w:rPr>
          <w:rFonts w:hint="cs"/>
          <w:rtl/>
        </w:rPr>
        <w:t xml:space="preserve"> דהא דהחוזר וטוען אינו נאמן היינו רק כשחזר וטען לאחר שהכחישוהו העדים, </w:t>
      </w:r>
      <w:r w:rsidRPr="004E2D61">
        <w:rPr>
          <w:rFonts w:hint="cs"/>
          <w:rtl/>
        </w:rPr>
        <w:t xml:space="preserve">דודאי שמחמת עדות העדים הוא חוזר בו ממה שטען בתחילה, וטוען טענה אחרת, </w:t>
      </w:r>
      <w:r>
        <w:rPr>
          <w:rFonts w:hint="cs"/>
          <w:rtl/>
        </w:rPr>
        <w:t xml:space="preserve">וביאר </w:t>
      </w:r>
      <w:r w:rsidRPr="00463428">
        <w:rPr>
          <w:rStyle w:val="af9"/>
          <w:rFonts w:hint="cs"/>
          <w:rtl/>
        </w:rPr>
        <w:t>המאירי</w:t>
      </w:r>
      <w:r>
        <w:rPr>
          <w:rFonts w:hint="cs"/>
          <w:rtl/>
        </w:rPr>
        <w:t xml:space="preserve"> </w:t>
      </w:r>
      <w:r>
        <w:rPr>
          <w:rStyle w:val="af7"/>
          <w:rFonts w:eastAsia="Guttman Hodes" w:hint="cs"/>
          <w:rtl/>
        </w:rPr>
        <w:t xml:space="preserve">(ד"ה זה) </w:t>
      </w:r>
      <w:r>
        <w:rPr>
          <w:rFonts w:hint="cs"/>
          <w:rtl/>
        </w:rPr>
        <w:t xml:space="preserve">דבכה"ג ודאי נראה שהוא משקר, וטוען כן מחמת שהכחישוהו העדים, </w:t>
      </w:r>
      <w:r w:rsidRPr="004E2D61">
        <w:rPr>
          <w:rStyle w:val="afb"/>
          <w:rFonts w:hint="cs"/>
          <w:rtl/>
        </w:rPr>
        <w:t xml:space="preserve">[ומשמע דהא דאינו חוזר וטוען הוא כיון דנראה כמשקר], </w:t>
      </w:r>
      <w:r>
        <w:rPr>
          <w:rFonts w:hint="cs"/>
          <w:rtl/>
        </w:rPr>
        <w:t xml:space="preserve">וע"ע בדברי </w:t>
      </w:r>
      <w:bookmarkStart w:id="12979" w:name="_Ref62156163"/>
      <w:r w:rsidRPr="001422B9">
        <w:rPr>
          <w:rStyle w:val="af9"/>
          <w:rFonts w:hint="cs"/>
          <w:rtl/>
        </w:rPr>
        <w:t xml:space="preserve">הש"ך </w:t>
      </w:r>
      <w:r>
        <w:rPr>
          <w:rStyle w:val="af7"/>
          <w:rFonts w:eastAsia="Guttman Hodes" w:hint="cs"/>
          <w:rtl/>
        </w:rPr>
        <w:t xml:space="preserve">(עי' </w:t>
      </w:r>
      <w:r w:rsidRPr="00DD5090">
        <w:rPr>
          <w:rStyle w:val="af7"/>
          <w:rFonts w:eastAsia="Guttman Hodes" w:hint="cs"/>
          <w:rtl/>
        </w:rPr>
        <w:t xml:space="preserve">אות </w:t>
      </w:r>
      <w:r w:rsidRPr="00DD5090">
        <w:rPr>
          <w:rStyle w:val="af7"/>
          <w:rFonts w:eastAsia="Guttman Hodes"/>
          <w:rtl/>
        </w:rPr>
        <w:fldChar w:fldCharType="begin"/>
      </w:r>
      <w:r w:rsidRPr="00DD5090">
        <w:rPr>
          <w:rStyle w:val="af7"/>
          <w:rFonts w:eastAsia="Guttman Hodes"/>
          <w:rtl/>
        </w:rPr>
        <w:instrText xml:space="preserve"> </w:instrText>
      </w:r>
      <w:r w:rsidRPr="00DD5090">
        <w:rPr>
          <w:rStyle w:val="af7"/>
          <w:rFonts w:eastAsia="Guttman Hodes" w:hint="cs"/>
        </w:rPr>
        <w:instrText>REF</w:instrText>
      </w:r>
      <w:r w:rsidRPr="00DD5090">
        <w:rPr>
          <w:rStyle w:val="af7"/>
          <w:rFonts w:eastAsia="Guttman Hodes" w:hint="cs"/>
          <w:rtl/>
        </w:rPr>
        <w:instrText xml:space="preserve"> _</w:instrText>
      </w:r>
      <w:r w:rsidRPr="00DD5090">
        <w:rPr>
          <w:rStyle w:val="af7"/>
          <w:rFonts w:eastAsia="Guttman Hodes" w:hint="cs"/>
        </w:rPr>
        <w:instrText>Ref62407179 \r \h</w:instrText>
      </w:r>
      <w:r w:rsidRPr="00DD5090">
        <w:rPr>
          <w:rStyle w:val="af7"/>
          <w:rFonts w:eastAsia="Guttman Hodes"/>
          <w:rtl/>
        </w:rPr>
        <w:instrText xml:space="preserve"> </w:instrText>
      </w:r>
      <w:r w:rsidRPr="00DD5090">
        <w:rPr>
          <w:rStyle w:val="af7"/>
          <w:rFonts w:eastAsia="Guttman Hodes"/>
          <w:rtl/>
        </w:rPr>
      </w:r>
      <w:r w:rsidRPr="00DD5090">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DD5090">
        <w:rPr>
          <w:rStyle w:val="af7"/>
          <w:rFonts w:eastAsia="Guttman Hodes"/>
          <w:rtl/>
        </w:rPr>
        <w:fldChar w:fldCharType="end"/>
      </w:r>
      <w:r>
        <w:rPr>
          <w:rFonts w:hint="cs"/>
          <w:rtl/>
        </w:rPr>
        <w:t xml:space="preserve"> דביאר בדעת </w:t>
      </w:r>
      <w:r w:rsidRPr="00463428">
        <w:rPr>
          <w:rStyle w:val="af9"/>
          <w:rFonts w:hint="cs"/>
          <w:rtl/>
        </w:rPr>
        <w:t>הר"י מגאש</w:t>
      </w:r>
      <w:r>
        <w:rPr>
          <w:rFonts w:hint="cs"/>
          <w:rtl/>
        </w:rPr>
        <w:t xml:space="preserve"> </w:t>
      </w:r>
      <w:r w:rsidRPr="00753D8F">
        <w:rPr>
          <w:rStyle w:val="af7"/>
          <w:rFonts w:eastAsia="Guttman Hodes" w:hint="cs"/>
          <w:rtl/>
        </w:rPr>
        <w:t>(עי'</w:t>
      </w:r>
      <w:r>
        <w:rPr>
          <w:rFonts w:hint="cs"/>
          <w:rtl/>
        </w:rPr>
        <w:t xml:space="preserve"> </w:t>
      </w:r>
      <w:r w:rsidRPr="00753D8F">
        <w:rPr>
          <w:rStyle w:val="af7"/>
          <w:rFonts w:eastAsia="Guttman Hodes" w:hint="cs"/>
          <w:rtl/>
        </w:rPr>
        <w:t xml:space="preserve">אות </w:t>
      </w:r>
      <w:r w:rsidRPr="00753D8F">
        <w:rPr>
          <w:rStyle w:val="af7"/>
          <w:rFonts w:eastAsia="Guttman Hodes"/>
          <w:rtl/>
        </w:rPr>
        <w:fldChar w:fldCharType="begin"/>
      </w:r>
      <w:r w:rsidRPr="00753D8F">
        <w:rPr>
          <w:rStyle w:val="af7"/>
          <w:rFonts w:eastAsia="Guttman Hodes"/>
          <w:rtl/>
        </w:rPr>
        <w:instrText xml:space="preserve"> </w:instrText>
      </w:r>
      <w:r w:rsidRPr="00753D8F">
        <w:rPr>
          <w:rStyle w:val="af7"/>
          <w:rFonts w:eastAsia="Guttman Hodes" w:hint="cs"/>
        </w:rPr>
        <w:instrText>REF</w:instrText>
      </w:r>
      <w:r w:rsidRPr="00753D8F">
        <w:rPr>
          <w:rStyle w:val="af7"/>
          <w:rFonts w:eastAsia="Guttman Hodes" w:hint="cs"/>
          <w:rtl/>
        </w:rPr>
        <w:instrText xml:space="preserve"> _</w:instrText>
      </w:r>
      <w:r w:rsidRPr="00753D8F">
        <w:rPr>
          <w:rStyle w:val="af7"/>
          <w:rFonts w:eastAsia="Guttman Hodes" w:hint="cs"/>
        </w:rPr>
        <w:instrText>Ref61987752 \r \h</w:instrText>
      </w:r>
      <w:r w:rsidRPr="00753D8F">
        <w:rPr>
          <w:rStyle w:val="af7"/>
          <w:rFonts w:eastAsia="Guttman Hodes"/>
          <w:rtl/>
        </w:rPr>
        <w:instrText xml:space="preserve"> </w:instrText>
      </w:r>
      <w:r w:rsidRPr="00753D8F">
        <w:rPr>
          <w:rStyle w:val="af7"/>
          <w:rFonts w:eastAsia="Guttman Hodes"/>
          <w:rtl/>
        </w:rPr>
      </w:r>
      <w:r w:rsidRPr="00753D8F">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753D8F">
        <w:rPr>
          <w:rStyle w:val="af7"/>
          <w:rFonts w:eastAsia="Guttman Hodes"/>
          <w:rtl/>
        </w:rPr>
        <w:fldChar w:fldCharType="end"/>
      </w:r>
      <w:r>
        <w:rPr>
          <w:rFonts w:hint="cs"/>
          <w:rtl/>
        </w:rPr>
        <w:t xml:space="preserve"> דכל שהוא חוזר וטוען, כיון שחזר בו ממה שטען בתחילה, חשיב שטענתו היא טענה גרועה. </w:t>
      </w:r>
      <w:r w:rsidRPr="000C57C5">
        <w:rPr>
          <w:rStyle w:val="afb"/>
          <w:rFonts w:hint="cs"/>
          <w:rtl/>
        </w:rPr>
        <w:t xml:space="preserve">[וכתב </w:t>
      </w:r>
      <w:r w:rsidRPr="000B292C">
        <w:rPr>
          <w:rStyle w:val="affa"/>
          <w:rFonts w:hint="cs"/>
          <w:rtl/>
        </w:rPr>
        <w:t>הש"ך</w:t>
      </w:r>
      <w:r w:rsidRPr="000C57C5">
        <w:rPr>
          <w:rStyle w:val="afb"/>
          <w:rFonts w:hint="cs"/>
          <w:rtl/>
        </w:rPr>
        <w:t xml:space="preserve"> דלכן אף מפטור לפטור אינו צריך להיות נאמן, אלא ס"ל </w:t>
      </w:r>
      <w:r w:rsidRPr="000B292C">
        <w:rPr>
          <w:rStyle w:val="affa"/>
          <w:rFonts w:hint="cs"/>
          <w:rtl/>
        </w:rPr>
        <w:t>להר"י מגאש</w:t>
      </w:r>
      <w:r>
        <w:rPr>
          <w:rStyle w:val="afb"/>
          <w:rFonts w:hint="cs"/>
          <w:rtl/>
        </w:rPr>
        <w:t xml:space="preserve"> </w:t>
      </w:r>
      <w:r w:rsidRPr="00DD5090">
        <w:rPr>
          <w:rStyle w:val="aff6"/>
          <w:rFonts w:hint="cs"/>
          <w:rtl/>
        </w:rPr>
        <w:t xml:space="preserve">(עי' אות </w:t>
      </w:r>
      <w:r w:rsidRPr="00DD5090">
        <w:rPr>
          <w:rStyle w:val="aff6"/>
          <w:rtl/>
        </w:rPr>
        <w:fldChar w:fldCharType="begin"/>
      </w:r>
      <w:r w:rsidRPr="00DD5090">
        <w:rPr>
          <w:rStyle w:val="aff6"/>
          <w:rtl/>
        </w:rPr>
        <w:instrText xml:space="preserve"> </w:instrText>
      </w:r>
      <w:r w:rsidRPr="00DD5090">
        <w:rPr>
          <w:rStyle w:val="aff6"/>
          <w:rFonts w:hint="cs"/>
        </w:rPr>
        <w:instrText>REF</w:instrText>
      </w:r>
      <w:r w:rsidRPr="00DD5090">
        <w:rPr>
          <w:rStyle w:val="aff6"/>
          <w:rFonts w:hint="cs"/>
          <w:rtl/>
        </w:rPr>
        <w:instrText xml:space="preserve"> _</w:instrText>
      </w:r>
      <w:r w:rsidRPr="00DD5090">
        <w:rPr>
          <w:rStyle w:val="aff6"/>
          <w:rFonts w:hint="cs"/>
        </w:rPr>
        <w:instrText>Ref62461880 \r \h</w:instrText>
      </w:r>
      <w:r w:rsidRPr="00DD5090">
        <w:rPr>
          <w:rStyle w:val="aff6"/>
          <w:rtl/>
        </w:rPr>
        <w:instrText xml:space="preserve"> </w:instrText>
      </w:r>
      <w:r w:rsidRPr="00DD5090">
        <w:rPr>
          <w:rStyle w:val="aff6"/>
          <w:rtl/>
        </w:rPr>
      </w:r>
      <w:r w:rsidRPr="00DD5090">
        <w:rPr>
          <w:rStyle w:val="aff6"/>
          <w:rtl/>
        </w:rPr>
        <w:fldChar w:fldCharType="separate"/>
      </w:r>
      <w:r w:rsidR="00265073">
        <w:rPr>
          <w:rStyle w:val="aff6"/>
          <w:cs/>
        </w:rPr>
        <w:t>‎</w:t>
      </w:r>
      <w:r w:rsidR="00265073">
        <w:rPr>
          <w:rStyle w:val="aff6"/>
          <w:rtl/>
        </w:rPr>
        <w:t>מא)</w:t>
      </w:r>
      <w:r w:rsidRPr="00DD5090">
        <w:rPr>
          <w:rStyle w:val="aff6"/>
          <w:rtl/>
        </w:rPr>
        <w:fldChar w:fldCharType="end"/>
      </w:r>
      <w:r w:rsidRPr="000C57C5">
        <w:rPr>
          <w:rStyle w:val="afb"/>
          <w:rFonts w:hint="cs"/>
          <w:rtl/>
        </w:rPr>
        <w:t xml:space="preserve"> דמפטור לפטור הוא נאמן כיון שיש לו מיגו שהיה יכול לעמוד בטענתו הראשונה</w:t>
      </w:r>
      <w:bookmarkEnd w:id="12979"/>
      <w:r w:rsidRPr="000C57C5">
        <w:rPr>
          <w:rStyle w:val="afb"/>
          <w:rFonts w:hint="cs"/>
          <w:rtl/>
        </w:rPr>
        <w:t>, ומשמע דבחוזר וטוען מחיוב לפטור שאין לו מיגו, אינו נאמן כיון דחיישינן שהוא משקר, וכן מבואר</w:t>
      </w:r>
      <w:r w:rsidRPr="007435F8">
        <w:rPr>
          <w:rStyle w:val="afb"/>
          <w:rFonts w:hint="cs"/>
          <w:rtl/>
        </w:rPr>
        <w:t xml:space="preserve"> במ"ש </w:t>
      </w:r>
      <w:r w:rsidRPr="00C837B3">
        <w:rPr>
          <w:rStyle w:val="affa"/>
          <w:rFonts w:hint="cs"/>
          <w:rtl/>
        </w:rPr>
        <w:t>הקוב"ש</w:t>
      </w:r>
      <w:r w:rsidRPr="007435F8">
        <w:rPr>
          <w:rStyle w:val="afb"/>
          <w:rFonts w:hint="cs"/>
          <w:rtl/>
        </w:rPr>
        <w:t xml:space="preserve"> </w:t>
      </w:r>
      <w:r w:rsidRPr="008534FA">
        <w:rPr>
          <w:rStyle w:val="aff6"/>
          <w:rFonts w:hint="cs"/>
          <w:rtl/>
        </w:rPr>
        <w:t xml:space="preserve">(עי' אות </w:t>
      </w:r>
      <w:r w:rsidRPr="008534FA">
        <w:rPr>
          <w:rStyle w:val="aff6"/>
          <w:rFonts w:hint="cs"/>
          <w:rtl/>
        </w:rPr>
        <w:fldChar w:fldCharType="begin"/>
      </w:r>
      <w:r w:rsidRPr="008534FA">
        <w:rPr>
          <w:rStyle w:val="aff6"/>
          <w:rFonts w:hint="cs"/>
          <w:rtl/>
        </w:rPr>
        <w:instrText xml:space="preserve"> </w:instrText>
      </w:r>
      <w:r w:rsidRPr="008534FA">
        <w:rPr>
          <w:rStyle w:val="aff6"/>
        </w:rPr>
        <w:instrText>REF</w:instrText>
      </w:r>
      <w:r w:rsidRPr="008534FA">
        <w:rPr>
          <w:rStyle w:val="aff6"/>
          <w:rFonts w:hint="cs"/>
          <w:rtl/>
        </w:rPr>
        <w:instrText xml:space="preserve"> _</w:instrText>
      </w:r>
      <w:r w:rsidRPr="008534FA">
        <w:rPr>
          <w:rStyle w:val="aff6"/>
        </w:rPr>
        <w:instrText>Ref62471537 \r \h</w:instrText>
      </w:r>
      <w:r w:rsidRPr="008534FA">
        <w:rPr>
          <w:rStyle w:val="aff6"/>
          <w:rFonts w:hint="cs"/>
          <w:rtl/>
        </w:rPr>
        <w:instrText xml:space="preserve"> </w:instrText>
      </w:r>
      <w:r w:rsidRPr="008534FA">
        <w:rPr>
          <w:rStyle w:val="aff6"/>
          <w:rFonts w:hint="cs"/>
          <w:rtl/>
        </w:rPr>
      </w:r>
      <w:r w:rsidRPr="008534FA">
        <w:rPr>
          <w:rStyle w:val="aff6"/>
          <w:rFonts w:hint="cs"/>
          <w:rtl/>
        </w:rPr>
        <w:fldChar w:fldCharType="separate"/>
      </w:r>
      <w:r w:rsidR="00265073">
        <w:rPr>
          <w:rStyle w:val="aff6"/>
          <w:rFonts w:hint="eastAsia"/>
          <w:cs/>
        </w:rPr>
        <w:t>‎</w:t>
      </w:r>
      <w:r w:rsidR="00265073">
        <w:rPr>
          <w:rStyle w:val="aff6"/>
          <w:rFonts w:hint="eastAsia"/>
          <w:rtl/>
        </w:rPr>
        <w:t>קיא</w:t>
      </w:r>
      <w:r w:rsidR="00265073">
        <w:rPr>
          <w:rStyle w:val="aff6"/>
          <w:rtl/>
        </w:rPr>
        <w:t>)</w:t>
      </w:r>
      <w:r w:rsidRPr="008534FA">
        <w:rPr>
          <w:rStyle w:val="aff6"/>
          <w:rFonts w:hint="cs"/>
          <w:rtl/>
        </w:rPr>
        <w:fldChar w:fldCharType="end"/>
      </w:r>
      <w:r>
        <w:rPr>
          <w:rStyle w:val="affa"/>
          <w:rFonts w:hint="cs"/>
          <w:rtl/>
        </w:rPr>
        <w:t xml:space="preserve"> </w:t>
      </w:r>
      <w:r w:rsidRPr="00C837B3">
        <w:rPr>
          <w:rStyle w:val="affa"/>
          <w:rFonts w:hint="cs"/>
          <w:rtl/>
        </w:rPr>
        <w:t>ובחי' רבי שמואל</w:t>
      </w:r>
      <w:r w:rsidRPr="007435F8">
        <w:rPr>
          <w:rStyle w:val="afb"/>
          <w:rFonts w:hint="cs"/>
          <w:rtl/>
        </w:rPr>
        <w:t xml:space="preserve"> </w:t>
      </w:r>
      <w:r w:rsidRPr="008534FA">
        <w:rPr>
          <w:rStyle w:val="aff6"/>
          <w:rFonts w:hint="cs"/>
          <w:rtl/>
        </w:rPr>
        <w:t xml:space="preserve">(עי' אות  </w:t>
      </w:r>
      <w:r w:rsidRPr="008534FA">
        <w:rPr>
          <w:rStyle w:val="aff6"/>
          <w:rFonts w:hint="cs"/>
          <w:rtl/>
        </w:rPr>
        <w:fldChar w:fldCharType="begin"/>
      </w:r>
      <w:r w:rsidRPr="008534FA">
        <w:rPr>
          <w:rStyle w:val="aff6"/>
          <w:rFonts w:hint="cs"/>
          <w:rtl/>
        </w:rPr>
        <w:instrText xml:space="preserve"> </w:instrText>
      </w:r>
      <w:r w:rsidRPr="008534FA">
        <w:rPr>
          <w:rStyle w:val="aff6"/>
        </w:rPr>
        <w:instrText>REF</w:instrText>
      </w:r>
      <w:r w:rsidRPr="008534FA">
        <w:rPr>
          <w:rStyle w:val="aff6"/>
          <w:rFonts w:hint="cs"/>
          <w:rtl/>
        </w:rPr>
        <w:instrText xml:space="preserve"> _</w:instrText>
      </w:r>
      <w:r w:rsidRPr="008534FA">
        <w:rPr>
          <w:rStyle w:val="aff6"/>
        </w:rPr>
        <w:instrText>Ref62483734 \r \h</w:instrText>
      </w:r>
      <w:r w:rsidRPr="008534FA">
        <w:rPr>
          <w:rStyle w:val="aff6"/>
          <w:rFonts w:hint="cs"/>
          <w:rtl/>
        </w:rPr>
        <w:instrText xml:space="preserve"> </w:instrText>
      </w:r>
      <w:r w:rsidRPr="008534FA">
        <w:rPr>
          <w:rStyle w:val="aff6"/>
          <w:rFonts w:hint="cs"/>
          <w:rtl/>
        </w:rPr>
      </w:r>
      <w:r w:rsidRPr="008534FA">
        <w:rPr>
          <w:rStyle w:val="aff6"/>
          <w:rFonts w:hint="cs"/>
          <w:rtl/>
        </w:rPr>
        <w:fldChar w:fldCharType="separate"/>
      </w:r>
      <w:r w:rsidR="00265073">
        <w:rPr>
          <w:rStyle w:val="aff6"/>
          <w:rFonts w:hint="eastAsia"/>
          <w:cs/>
        </w:rPr>
        <w:t>‎</w:t>
      </w:r>
      <w:r w:rsidR="00265073">
        <w:rPr>
          <w:rStyle w:val="aff6"/>
          <w:rFonts w:hint="eastAsia"/>
          <w:rtl/>
        </w:rPr>
        <w:t>קכ</w:t>
      </w:r>
      <w:r w:rsidR="00265073">
        <w:rPr>
          <w:rStyle w:val="aff6"/>
          <w:rtl/>
        </w:rPr>
        <w:t>)</w:t>
      </w:r>
      <w:r w:rsidRPr="008534FA">
        <w:rPr>
          <w:rStyle w:val="aff6"/>
          <w:rFonts w:hint="cs"/>
          <w:rtl/>
        </w:rPr>
        <w:fldChar w:fldCharType="end"/>
      </w:r>
      <w:r>
        <w:rPr>
          <w:rStyle w:val="affa"/>
          <w:rFonts w:hint="cs"/>
          <w:rtl/>
        </w:rPr>
        <w:t xml:space="preserve"> </w:t>
      </w:r>
      <w:r w:rsidRPr="00C837B3">
        <w:rPr>
          <w:rStyle w:val="affa"/>
          <w:rFonts w:hint="cs"/>
          <w:rtl/>
        </w:rPr>
        <w:t>ובחי' רבי נחום</w:t>
      </w:r>
      <w:r w:rsidRPr="007435F8">
        <w:rPr>
          <w:rStyle w:val="afb"/>
          <w:rFonts w:hint="cs"/>
          <w:rtl/>
        </w:rPr>
        <w:t xml:space="preserve"> </w:t>
      </w:r>
      <w:r w:rsidRPr="008534FA">
        <w:rPr>
          <w:rStyle w:val="aff6"/>
          <w:rFonts w:hint="cs"/>
          <w:rtl/>
        </w:rPr>
        <w:t xml:space="preserve">(עי' אות </w:t>
      </w:r>
      <w:r w:rsidRPr="008534FA">
        <w:rPr>
          <w:rStyle w:val="aff6"/>
          <w:rFonts w:hint="cs"/>
          <w:rtl/>
        </w:rPr>
        <w:fldChar w:fldCharType="begin"/>
      </w:r>
      <w:r w:rsidRPr="008534FA">
        <w:rPr>
          <w:rStyle w:val="aff6"/>
          <w:rFonts w:hint="cs"/>
          <w:rtl/>
        </w:rPr>
        <w:instrText xml:space="preserve"> </w:instrText>
      </w:r>
      <w:r w:rsidRPr="008534FA">
        <w:rPr>
          <w:rStyle w:val="aff6"/>
        </w:rPr>
        <w:instrText>REF</w:instrText>
      </w:r>
      <w:r w:rsidRPr="008534FA">
        <w:rPr>
          <w:rStyle w:val="aff6"/>
          <w:rFonts w:hint="cs"/>
          <w:rtl/>
        </w:rPr>
        <w:instrText xml:space="preserve"> _</w:instrText>
      </w:r>
      <w:r w:rsidRPr="008534FA">
        <w:rPr>
          <w:rStyle w:val="aff6"/>
        </w:rPr>
        <w:instrText>Ref62483672 \r \h</w:instrText>
      </w:r>
      <w:r w:rsidRPr="008534FA">
        <w:rPr>
          <w:rStyle w:val="aff6"/>
          <w:rFonts w:hint="cs"/>
          <w:rtl/>
        </w:rPr>
        <w:instrText xml:space="preserve"> </w:instrText>
      </w:r>
      <w:r w:rsidRPr="008534FA">
        <w:rPr>
          <w:rStyle w:val="aff6"/>
          <w:rFonts w:hint="cs"/>
          <w:rtl/>
        </w:rPr>
      </w:r>
      <w:r w:rsidRPr="008534FA">
        <w:rPr>
          <w:rStyle w:val="aff6"/>
          <w:rFonts w:hint="cs"/>
          <w:rtl/>
        </w:rPr>
        <w:fldChar w:fldCharType="separate"/>
      </w:r>
      <w:r w:rsidR="00265073">
        <w:rPr>
          <w:rStyle w:val="aff6"/>
          <w:rFonts w:hint="eastAsia"/>
          <w:cs/>
        </w:rPr>
        <w:t>‎</w:t>
      </w:r>
      <w:r w:rsidR="00265073">
        <w:rPr>
          <w:rStyle w:val="aff6"/>
          <w:rFonts w:hint="eastAsia"/>
          <w:rtl/>
        </w:rPr>
        <w:t>קטז</w:t>
      </w:r>
      <w:r w:rsidR="00265073">
        <w:rPr>
          <w:rStyle w:val="aff6"/>
          <w:rtl/>
        </w:rPr>
        <w:t>)</w:t>
      </w:r>
      <w:r w:rsidRPr="008534FA">
        <w:rPr>
          <w:rStyle w:val="aff6"/>
          <w:rFonts w:hint="cs"/>
          <w:rtl/>
        </w:rPr>
        <w:fldChar w:fldCharType="end"/>
      </w:r>
      <w:r>
        <w:rPr>
          <w:rStyle w:val="affa"/>
          <w:rFonts w:hint="cs"/>
          <w:rtl/>
        </w:rPr>
        <w:t xml:space="preserve"> </w:t>
      </w:r>
      <w:r w:rsidRPr="00C837B3">
        <w:rPr>
          <w:rStyle w:val="affa"/>
          <w:rFonts w:hint="cs"/>
          <w:rtl/>
        </w:rPr>
        <w:t>ובאבי עזרי</w:t>
      </w:r>
      <w:r w:rsidRPr="007435F8">
        <w:rPr>
          <w:rStyle w:val="afb"/>
          <w:rFonts w:hint="cs"/>
          <w:rtl/>
        </w:rPr>
        <w:t xml:space="preserve"> </w:t>
      </w:r>
      <w:r w:rsidRPr="008534FA">
        <w:rPr>
          <w:rStyle w:val="aff6"/>
          <w:rFonts w:hint="cs"/>
          <w:rtl/>
        </w:rPr>
        <w:t xml:space="preserve">(עי' אות </w:t>
      </w:r>
      <w:r w:rsidRPr="008534FA">
        <w:rPr>
          <w:rStyle w:val="aff6"/>
          <w:rFonts w:hint="cs"/>
          <w:rtl/>
        </w:rPr>
        <w:fldChar w:fldCharType="begin"/>
      </w:r>
      <w:r w:rsidRPr="008534FA">
        <w:rPr>
          <w:rStyle w:val="aff6"/>
          <w:rFonts w:hint="cs"/>
          <w:rtl/>
        </w:rPr>
        <w:instrText xml:space="preserve"> </w:instrText>
      </w:r>
      <w:r w:rsidRPr="008534FA">
        <w:rPr>
          <w:rStyle w:val="aff6"/>
        </w:rPr>
        <w:instrText>REF</w:instrText>
      </w:r>
      <w:r w:rsidRPr="008534FA">
        <w:rPr>
          <w:rStyle w:val="aff6"/>
          <w:rFonts w:hint="cs"/>
          <w:rtl/>
        </w:rPr>
        <w:instrText xml:space="preserve"> _</w:instrText>
      </w:r>
      <w:r w:rsidRPr="008534FA">
        <w:rPr>
          <w:rStyle w:val="aff6"/>
        </w:rPr>
        <w:instrText>Ref62484130 \r \h</w:instrText>
      </w:r>
      <w:r w:rsidRPr="008534FA">
        <w:rPr>
          <w:rStyle w:val="aff6"/>
          <w:rFonts w:hint="cs"/>
          <w:rtl/>
        </w:rPr>
        <w:instrText xml:space="preserve"> </w:instrText>
      </w:r>
      <w:r w:rsidRPr="008534FA">
        <w:rPr>
          <w:rStyle w:val="aff6"/>
          <w:rFonts w:hint="cs"/>
          <w:rtl/>
        </w:rPr>
      </w:r>
      <w:r w:rsidRPr="008534FA">
        <w:rPr>
          <w:rStyle w:val="aff6"/>
          <w:rFonts w:hint="cs"/>
          <w:rtl/>
        </w:rPr>
        <w:fldChar w:fldCharType="separate"/>
      </w:r>
      <w:r w:rsidR="00265073">
        <w:rPr>
          <w:rStyle w:val="aff6"/>
          <w:rFonts w:hint="eastAsia"/>
          <w:cs/>
        </w:rPr>
        <w:t>‎</w:t>
      </w:r>
      <w:r w:rsidR="00265073">
        <w:rPr>
          <w:rStyle w:val="aff6"/>
          <w:rFonts w:hint="eastAsia"/>
          <w:rtl/>
        </w:rPr>
        <w:t>קכב</w:t>
      </w:r>
      <w:r w:rsidR="00265073">
        <w:rPr>
          <w:rStyle w:val="aff6"/>
          <w:rtl/>
        </w:rPr>
        <w:t>)</w:t>
      </w:r>
      <w:r w:rsidRPr="008534FA">
        <w:rPr>
          <w:rStyle w:val="aff6"/>
          <w:rFonts w:hint="cs"/>
          <w:rtl/>
        </w:rPr>
        <w:fldChar w:fldCharType="end"/>
      </w:r>
      <w:r w:rsidRPr="007435F8">
        <w:rPr>
          <w:rStyle w:val="afb"/>
          <w:rFonts w:hint="cs"/>
          <w:rtl/>
        </w:rPr>
        <w:t>]</w:t>
      </w:r>
      <w:r>
        <w:rPr>
          <w:rStyle w:val="afb"/>
          <w:rFonts w:hint="cs"/>
          <w:rtl/>
        </w:rPr>
        <w:t>.</w:t>
      </w:r>
    </w:p>
    <w:p w:rsidR="00EC445E" w:rsidRDefault="00EC445E" w:rsidP="00EC445E">
      <w:pPr>
        <w:pStyle w:val="afe"/>
        <w:rPr>
          <w:rtl/>
        </w:rPr>
      </w:pPr>
      <w:bookmarkStart w:id="12980" w:name="_Toc62420110"/>
      <w:bookmarkStart w:id="12981" w:name="_Toc62452570"/>
      <w:bookmarkStart w:id="12982" w:name="_Toc62453841"/>
      <w:bookmarkStart w:id="12983" w:name="_Toc62485553"/>
      <w:r>
        <w:rPr>
          <w:rFonts w:hint="cs"/>
          <w:rtl/>
        </w:rPr>
        <w:t>בטען חוץ לב"ד דנאמן לחזור בב"ד</w:t>
      </w:r>
      <w:bookmarkEnd w:id="12968"/>
      <w:bookmarkEnd w:id="12980"/>
      <w:bookmarkEnd w:id="12981"/>
      <w:bookmarkEnd w:id="12982"/>
      <w:bookmarkEnd w:id="12983"/>
    </w:p>
    <w:p w:rsidR="00EC445E" w:rsidRDefault="00EC445E" w:rsidP="00EC445E">
      <w:pPr>
        <w:pStyle w:val="1"/>
        <w:rPr>
          <w:rtl/>
        </w:rPr>
      </w:pPr>
      <w:bookmarkStart w:id="12984" w:name="_Toc62385967"/>
      <w:bookmarkStart w:id="12985" w:name="_Toc62420111"/>
      <w:bookmarkStart w:id="12986" w:name="_Toc62452571"/>
      <w:bookmarkStart w:id="12987" w:name="_Toc62453842"/>
      <w:bookmarkStart w:id="12988" w:name="_Toc62485554"/>
      <w:r>
        <w:rPr>
          <w:rFonts w:hint="cs"/>
          <w:rtl/>
        </w:rPr>
        <w:t>דברי הרשב"ם</w:t>
      </w:r>
      <w:bookmarkEnd w:id="12984"/>
      <w:bookmarkEnd w:id="12985"/>
      <w:r>
        <w:rPr>
          <w:rFonts w:hint="cs"/>
          <w:rtl/>
        </w:rPr>
        <w:t xml:space="preserve"> דבטען חוץ לב"ד נאמן לעקור טענותיו</w:t>
      </w:r>
      <w:bookmarkEnd w:id="12986"/>
      <w:bookmarkEnd w:id="12987"/>
      <w:bookmarkEnd w:id="12988"/>
    </w:p>
    <w:p w:rsidR="00EC445E" w:rsidRPr="00305DAB" w:rsidRDefault="00EC445E" w:rsidP="00EC445E">
      <w:pPr>
        <w:pStyle w:val="a3"/>
        <w:rPr>
          <w:rtl/>
        </w:rPr>
      </w:pPr>
      <w:bookmarkStart w:id="12989" w:name="_Toc62452572"/>
      <w:bookmarkStart w:id="12990" w:name="_Toc62453843"/>
      <w:bookmarkStart w:id="12991" w:name="_Toc62485555"/>
      <w:r>
        <w:rPr>
          <w:rFonts w:hint="cs"/>
          <w:rtl/>
        </w:rPr>
        <w:t>ביאור הרשב"ם דכשטען חוץ לב"ד נאמן לעקור טענותיו דאינו רוצה שידע בע"ד מה טענותיו</w:t>
      </w:r>
      <w:bookmarkEnd w:id="12989"/>
      <w:bookmarkEnd w:id="12990"/>
      <w:bookmarkEnd w:id="12991"/>
    </w:p>
    <w:p w:rsidR="00EC445E" w:rsidRPr="00EA28E3" w:rsidRDefault="00EC445E" w:rsidP="007E4E81">
      <w:pPr>
        <w:pStyle w:val="a0"/>
        <w:rPr>
          <w:rStyle w:val="afb"/>
          <w:rtl/>
        </w:rPr>
      </w:pPr>
      <w:bookmarkStart w:id="12992" w:name="_Ref62144147"/>
      <w:r>
        <w:rPr>
          <w:rFonts w:hint="cs"/>
          <w:rtl/>
        </w:rPr>
        <w:t xml:space="preserve">בהא דמודו נהרדעי בטען חוץ לב"ד, דנאמן לחזור ולטעון, ביאר </w:t>
      </w:r>
      <w:r w:rsidRPr="00AB5776">
        <w:rPr>
          <w:rStyle w:val="af9"/>
          <w:rFonts w:hint="cs"/>
          <w:rtl/>
        </w:rPr>
        <w:t>הרשב"ם</w:t>
      </w:r>
      <w:r w:rsidRPr="00AB5776">
        <w:rPr>
          <w:rStyle w:val="af7"/>
          <w:rFonts w:eastAsia="Guttman Hodes" w:hint="cs"/>
          <w:rtl/>
        </w:rPr>
        <w:t xml:space="preserve"> (ד"ה ומודו נמי, ד"ה דלא מגלי)</w:t>
      </w:r>
      <w:r>
        <w:rPr>
          <w:rFonts w:hint="cs"/>
          <w:rtl/>
        </w:rPr>
        <w:t xml:space="preserve"> דכשטען בב"ד טענות אחרות ממה שטען קודם לכן חוץ לב"ד, הוא נאמן לחזור ולטעון אעפ"י שעוקר את טענותיו הראשונות לגמרי, כיון שאינו רוצה שבעל דינו ילמד מה טענותיו, ויחשוב מה להשיב לו בב"ד, וכתב </w:t>
      </w:r>
      <w:r w:rsidRPr="00AB5776">
        <w:rPr>
          <w:rStyle w:val="af9"/>
          <w:rFonts w:hint="cs"/>
          <w:rtl/>
        </w:rPr>
        <w:t>הרשב"ם</w:t>
      </w:r>
      <w:r>
        <w:rPr>
          <w:rFonts w:hint="cs"/>
          <w:rtl/>
        </w:rPr>
        <w:t xml:space="preserve"> דכן קיי"ל.</w:t>
      </w:r>
      <w:bookmarkEnd w:id="12992"/>
      <w:r>
        <w:rPr>
          <w:rFonts w:hint="cs"/>
          <w:rtl/>
        </w:rPr>
        <w:t xml:space="preserve"> </w:t>
      </w:r>
      <w:r w:rsidRPr="00EA28E3">
        <w:rPr>
          <w:rStyle w:val="afb"/>
          <w:rFonts w:hint="cs"/>
          <w:rtl/>
        </w:rPr>
        <w:t xml:space="preserve">[ועי' במ"ש </w:t>
      </w:r>
      <w:r w:rsidRPr="00EA28E3">
        <w:rPr>
          <w:rStyle w:val="affa"/>
          <w:rFonts w:hint="cs"/>
          <w:rtl/>
        </w:rPr>
        <w:t>בשיעורי רבי שמואל לעיל</w:t>
      </w:r>
      <w:r w:rsidRPr="00EA28E3">
        <w:rPr>
          <w:rStyle w:val="afb"/>
          <w:rFonts w:hint="cs"/>
          <w:rtl/>
        </w:rPr>
        <w:t xml:space="preserve"> </w:t>
      </w:r>
      <w:r w:rsidRPr="00EA28E3">
        <w:rPr>
          <w:rStyle w:val="aff6"/>
          <w:rFonts w:hint="cs"/>
          <w:rtl/>
        </w:rPr>
        <w:t>(ו. או' קל"ט סוד"ה ואמנם)</w:t>
      </w:r>
      <w:r w:rsidRPr="00EA28E3">
        <w:rPr>
          <w:rStyle w:val="afb"/>
          <w:rFonts w:hint="cs"/>
          <w:rtl/>
        </w:rPr>
        <w:t xml:space="preserve"> על דברי </w:t>
      </w:r>
      <w:r w:rsidRPr="00EA28E3">
        <w:rPr>
          <w:rStyle w:val="affa"/>
          <w:rFonts w:hint="cs"/>
          <w:rtl/>
        </w:rPr>
        <w:t>הרשב"ם</w:t>
      </w:r>
      <w:r w:rsidRPr="00EA28E3">
        <w:rPr>
          <w:rStyle w:val="afb"/>
          <w:rFonts w:hint="cs"/>
          <w:rtl/>
        </w:rPr>
        <w:t>].</w:t>
      </w:r>
    </w:p>
    <w:p w:rsidR="00EC445E" w:rsidRPr="00226C7C" w:rsidRDefault="00EC445E" w:rsidP="00EC445E">
      <w:pPr>
        <w:pStyle w:val="a3"/>
      </w:pPr>
      <w:bookmarkStart w:id="12993" w:name="_Toc62452573"/>
      <w:bookmarkStart w:id="12994" w:name="_Toc62453844"/>
      <w:bookmarkStart w:id="12995" w:name="_Toc62485556"/>
      <w:r>
        <w:rPr>
          <w:rFonts w:hint="cs"/>
          <w:rtl/>
        </w:rPr>
        <w:t>דברי הרשב"ם דדוקא בטענות בעלמא נאמן חוץ לב"ד ולא בהודה בפירוש בפני עדים שחייב</w:t>
      </w:r>
      <w:bookmarkEnd w:id="12993"/>
      <w:bookmarkEnd w:id="12994"/>
      <w:bookmarkEnd w:id="12995"/>
    </w:p>
    <w:p w:rsidR="00EC445E" w:rsidRDefault="00EC445E" w:rsidP="007E4E81">
      <w:pPr>
        <w:pStyle w:val="a0"/>
        <w:rPr>
          <w:rtl/>
        </w:rPr>
      </w:pPr>
      <w:bookmarkStart w:id="12996" w:name="_Ref62035949"/>
      <w:r>
        <w:rPr>
          <w:rFonts w:hint="cs"/>
          <w:rtl/>
        </w:rPr>
        <w:t xml:space="preserve">אך כתב </w:t>
      </w:r>
      <w:r w:rsidRPr="00226C7C">
        <w:rPr>
          <w:rStyle w:val="af9"/>
          <w:rFonts w:hint="cs"/>
          <w:rtl/>
        </w:rPr>
        <w:t>הרשב"ם</w:t>
      </w:r>
      <w:r>
        <w:rPr>
          <w:rFonts w:hint="cs"/>
          <w:rtl/>
        </w:rPr>
        <w:t xml:space="preserve"> דהיינו דוקא בטען מחוץ לב"ד טענות בעלמא, אבל דאם טען בפירוש בפני עדים חוץ לב"ד דהוא חייב מנה לפלוני, </w:t>
      </w:r>
      <w:r>
        <w:rPr>
          <w:rFonts w:hint="cs"/>
          <w:rtl/>
        </w:rPr>
        <w:lastRenderedPageBreak/>
        <w:t xml:space="preserve">חשיב הודאה ואינו יכול לכפור בב"ד ולומר שאינו חייב לו, ועי' במה שדחה </w:t>
      </w:r>
      <w:r w:rsidRPr="0087340D">
        <w:rPr>
          <w:rStyle w:val="af9"/>
          <w:rFonts w:hint="cs"/>
          <w:rtl/>
        </w:rPr>
        <w:t>רבינו</w:t>
      </w:r>
      <w:r>
        <w:rPr>
          <w:rFonts w:hint="cs"/>
          <w:rtl/>
        </w:rPr>
        <w:t xml:space="preserve"> </w:t>
      </w:r>
      <w:r w:rsidRPr="0087340D">
        <w:rPr>
          <w:rStyle w:val="af9"/>
          <w:rFonts w:hint="cs"/>
          <w:rtl/>
        </w:rPr>
        <w:t>יונה</w:t>
      </w:r>
      <w:r>
        <w:rPr>
          <w:rFonts w:hint="cs"/>
          <w:rtl/>
        </w:rPr>
        <w:t xml:space="preserve"> </w:t>
      </w:r>
      <w:r>
        <w:rPr>
          <w:rStyle w:val="af7"/>
          <w:rFonts w:eastAsia="Guttman Hodes" w:hint="cs"/>
          <w:rtl/>
        </w:rPr>
        <w:t xml:space="preserve">(עי' </w:t>
      </w:r>
      <w:r w:rsidRPr="00302839">
        <w:rPr>
          <w:rStyle w:val="af7"/>
          <w:rFonts w:eastAsia="Guttman Hodes" w:hint="cs"/>
          <w:rtl/>
        </w:rPr>
        <w:t xml:space="preserve">אות </w:t>
      </w:r>
      <w:r w:rsidRPr="00302839">
        <w:rPr>
          <w:rStyle w:val="af7"/>
          <w:rFonts w:eastAsia="Guttman Hodes"/>
          <w:rtl/>
        </w:rPr>
        <w:fldChar w:fldCharType="begin"/>
      </w:r>
      <w:r w:rsidRPr="00302839">
        <w:rPr>
          <w:rStyle w:val="af7"/>
          <w:rFonts w:eastAsia="Guttman Hodes"/>
          <w:rtl/>
        </w:rPr>
        <w:instrText xml:space="preserve"> </w:instrText>
      </w:r>
      <w:r w:rsidRPr="00302839">
        <w:rPr>
          <w:rStyle w:val="af7"/>
          <w:rFonts w:eastAsia="Guttman Hodes" w:hint="cs"/>
        </w:rPr>
        <w:instrText>REF</w:instrText>
      </w:r>
      <w:r w:rsidRPr="00302839">
        <w:rPr>
          <w:rStyle w:val="af7"/>
          <w:rFonts w:eastAsia="Guttman Hodes" w:hint="cs"/>
          <w:rtl/>
        </w:rPr>
        <w:instrText xml:space="preserve"> _</w:instrText>
      </w:r>
      <w:r w:rsidRPr="00302839">
        <w:rPr>
          <w:rStyle w:val="af7"/>
          <w:rFonts w:eastAsia="Guttman Hodes" w:hint="cs"/>
        </w:rPr>
        <w:instrText>Ref61947708 \r \h</w:instrText>
      </w:r>
      <w:r w:rsidRPr="00302839">
        <w:rPr>
          <w:rStyle w:val="af7"/>
          <w:rFonts w:eastAsia="Guttman Hodes"/>
          <w:rtl/>
        </w:rPr>
        <w:instrText xml:space="preserve"> </w:instrText>
      </w:r>
      <w:r w:rsidRPr="00302839">
        <w:rPr>
          <w:rStyle w:val="af7"/>
          <w:rFonts w:eastAsia="Guttman Hodes"/>
          <w:rtl/>
        </w:rPr>
      </w:r>
      <w:r w:rsidRPr="00302839">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302839">
        <w:rPr>
          <w:rStyle w:val="af7"/>
          <w:rFonts w:eastAsia="Guttman Hodes"/>
          <w:rtl/>
        </w:rPr>
        <w:fldChar w:fldCharType="end"/>
      </w:r>
      <w:r>
        <w:rPr>
          <w:rFonts w:hint="cs"/>
          <w:rtl/>
        </w:rPr>
        <w:t xml:space="preserve"> את דברי </w:t>
      </w:r>
      <w:r w:rsidRPr="0087340D">
        <w:rPr>
          <w:rStyle w:val="af9"/>
          <w:rFonts w:hint="cs"/>
          <w:rtl/>
        </w:rPr>
        <w:t>הרשב"ם</w:t>
      </w:r>
      <w:r>
        <w:rPr>
          <w:rFonts w:hint="cs"/>
          <w:rtl/>
        </w:rPr>
        <w:t>.</w:t>
      </w:r>
      <w:bookmarkEnd w:id="12996"/>
    </w:p>
    <w:p w:rsidR="00EC445E" w:rsidRDefault="00EC445E" w:rsidP="00EC445E">
      <w:pPr>
        <w:pStyle w:val="1"/>
        <w:rPr>
          <w:rtl/>
        </w:rPr>
      </w:pPr>
      <w:bookmarkStart w:id="12997" w:name="_Toc62385968"/>
      <w:bookmarkStart w:id="12998" w:name="_Toc62420112"/>
      <w:bookmarkStart w:id="12999" w:name="_Toc62452574"/>
      <w:bookmarkStart w:id="13000" w:name="_Toc62453845"/>
      <w:bookmarkStart w:id="13001" w:name="_Toc62485557"/>
      <w:bookmarkStart w:id="13002" w:name="_Toc61947159"/>
      <w:bookmarkStart w:id="13003" w:name="_Toc62074366"/>
      <w:bookmarkStart w:id="13004" w:name="_Toc62160805"/>
      <w:r>
        <w:rPr>
          <w:rFonts w:hint="cs"/>
          <w:rtl/>
        </w:rPr>
        <w:t>דברי הר"י מגאש</w:t>
      </w:r>
      <w:bookmarkEnd w:id="12997"/>
      <w:r>
        <w:rPr>
          <w:rFonts w:hint="cs"/>
          <w:rtl/>
        </w:rPr>
        <w:t xml:space="preserve"> והרשב"ם והיד רמ"ה דאף בסותר דבריו נאמן</w:t>
      </w:r>
      <w:bookmarkEnd w:id="12998"/>
      <w:bookmarkEnd w:id="12999"/>
      <w:bookmarkEnd w:id="13000"/>
      <w:bookmarkEnd w:id="13001"/>
    </w:p>
    <w:p w:rsidR="00EC445E" w:rsidRDefault="00EC445E" w:rsidP="00EC445E">
      <w:pPr>
        <w:pStyle w:val="a3"/>
      </w:pPr>
      <w:bookmarkStart w:id="13005" w:name="_Toc62452575"/>
      <w:bookmarkStart w:id="13006" w:name="_Toc62453846"/>
      <w:bookmarkStart w:id="13007" w:name="_Toc62485558"/>
      <w:r>
        <w:rPr>
          <w:rFonts w:hint="cs"/>
          <w:rtl/>
        </w:rPr>
        <w:t>דברי הר"י מגאש דבטען חוץ לב"ד נאמן לעקור טענותיו אף שאינו נותן כל אמתלא לטענתו</w:t>
      </w:r>
      <w:bookmarkEnd w:id="13005"/>
      <w:bookmarkEnd w:id="13006"/>
      <w:bookmarkEnd w:id="13007"/>
    </w:p>
    <w:p w:rsidR="00EC445E" w:rsidRDefault="00EC445E" w:rsidP="007E4E81">
      <w:pPr>
        <w:pStyle w:val="a0"/>
        <w:rPr>
          <w:rtl/>
        </w:rPr>
      </w:pPr>
      <w:r>
        <w:rPr>
          <w:rFonts w:hint="cs"/>
          <w:rtl/>
        </w:rPr>
        <w:t xml:space="preserve">וכתב </w:t>
      </w:r>
      <w:r w:rsidRPr="00B51321">
        <w:rPr>
          <w:rStyle w:val="af9"/>
          <w:rFonts w:hint="cs"/>
          <w:rtl/>
        </w:rPr>
        <w:t>הר"י מגאש</w:t>
      </w:r>
      <w:r>
        <w:rPr>
          <w:rFonts w:hint="cs"/>
          <w:rtl/>
        </w:rPr>
        <w:t xml:space="preserve"> </w:t>
      </w:r>
      <w:r w:rsidRPr="0007730B">
        <w:rPr>
          <w:rStyle w:val="af7"/>
          <w:rFonts w:eastAsia="Guttman Hodes" w:hint="cs"/>
          <w:rtl/>
        </w:rPr>
        <w:t>(סוד"ה הדר אמר)</w:t>
      </w:r>
      <w:r>
        <w:rPr>
          <w:rFonts w:hint="cs"/>
          <w:rtl/>
        </w:rPr>
        <w:t xml:space="preserve"> דהא דבטען חוץ לב"ד, נאמן לחזור ולטעון בב"ד, היינו אף כשהוא עוקר את טענתו שטען חוץ לב"ד לגמרי, ואינו נותן כל אמתלא לדבריו, כיון דעביד איניש דלא מגלי טענתיה אלא לב"ד.</w:t>
      </w:r>
    </w:p>
    <w:p w:rsidR="00EC445E" w:rsidRDefault="00EC445E" w:rsidP="00EC445E">
      <w:pPr>
        <w:pStyle w:val="a3"/>
        <w:rPr>
          <w:rtl/>
        </w:rPr>
      </w:pPr>
      <w:bookmarkStart w:id="13008" w:name="_Toc62452576"/>
      <w:bookmarkStart w:id="13009" w:name="_Toc62453847"/>
      <w:bookmarkStart w:id="13010" w:name="_Toc62485559"/>
      <w:bookmarkEnd w:id="13002"/>
      <w:bookmarkEnd w:id="13003"/>
      <w:bookmarkEnd w:id="13004"/>
      <w:r>
        <w:rPr>
          <w:rFonts w:hint="cs"/>
          <w:rtl/>
        </w:rPr>
        <w:t>ביאור רבינו יונה ברשב"ם דבטען של אבותי ולא של אבותיך נאמן לטעון בב"ד שלקחוה</w:t>
      </w:r>
      <w:bookmarkEnd w:id="13008"/>
      <w:bookmarkEnd w:id="13009"/>
      <w:bookmarkEnd w:id="13010"/>
    </w:p>
    <w:p w:rsidR="00EC445E" w:rsidRDefault="00EC445E" w:rsidP="007E4E81">
      <w:pPr>
        <w:pStyle w:val="a0"/>
        <w:rPr>
          <w:rtl/>
        </w:rPr>
      </w:pPr>
      <w:bookmarkStart w:id="13011" w:name="_Ref62059263"/>
      <w:bookmarkStart w:id="13012" w:name="_Ref62574746"/>
      <w:r>
        <w:rPr>
          <w:rFonts w:hint="cs"/>
          <w:rtl/>
        </w:rPr>
        <w:t xml:space="preserve">במ"ש </w:t>
      </w:r>
      <w:r w:rsidRPr="0087340D">
        <w:rPr>
          <w:rStyle w:val="af9"/>
          <w:rFonts w:hint="cs"/>
          <w:rtl/>
        </w:rPr>
        <w:t>הרשב"ם</w:t>
      </w:r>
      <w:r>
        <w:rPr>
          <w:rFonts w:hint="cs"/>
          <w:rtl/>
        </w:rPr>
        <w:t xml:space="preserve"> </w:t>
      </w:r>
      <w:r w:rsidRPr="00302839">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Ref62035949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כז)</w:t>
      </w:r>
      <w:r>
        <w:rPr>
          <w:rStyle w:val="af7"/>
          <w:rFonts w:eastAsia="Guttman Hodes"/>
          <w:rtl/>
        </w:rPr>
        <w:fldChar w:fldCharType="end"/>
      </w:r>
      <w:r>
        <w:rPr>
          <w:rStyle w:val="af7"/>
          <w:rFonts w:eastAsia="Guttman Hodes" w:hint="cs"/>
          <w:rtl/>
        </w:rPr>
        <w:t xml:space="preserve"> </w:t>
      </w:r>
      <w:r>
        <w:rPr>
          <w:rFonts w:hint="cs"/>
          <w:rtl/>
        </w:rPr>
        <w:t>דבטוען חוץ לב"ד, נאמן לחזור ולטעון בב"ד אעפ"י שעוקר את טענותיו</w:t>
      </w:r>
      <w:r w:rsidRPr="00251848">
        <w:rPr>
          <w:rFonts w:hint="cs"/>
          <w:rtl/>
        </w:rPr>
        <w:t xml:space="preserve"> </w:t>
      </w:r>
      <w:r>
        <w:rPr>
          <w:rFonts w:hint="cs"/>
          <w:rtl/>
        </w:rPr>
        <w:t xml:space="preserve">הראשונות לגמרי, כתב </w:t>
      </w:r>
      <w:r w:rsidRPr="0087340D">
        <w:rPr>
          <w:rStyle w:val="af9"/>
          <w:rFonts w:hint="cs"/>
          <w:rtl/>
        </w:rPr>
        <w:t>רבינו</w:t>
      </w:r>
      <w:r>
        <w:rPr>
          <w:rFonts w:hint="cs"/>
          <w:rtl/>
        </w:rPr>
        <w:t xml:space="preserve"> </w:t>
      </w:r>
      <w:r w:rsidRPr="0087340D">
        <w:rPr>
          <w:rStyle w:val="af9"/>
          <w:rFonts w:hint="cs"/>
          <w:rtl/>
        </w:rPr>
        <w:t>יונה</w:t>
      </w:r>
      <w:r>
        <w:rPr>
          <w:rFonts w:hint="cs"/>
          <w:rtl/>
        </w:rPr>
        <w:t xml:space="preserve"> </w:t>
      </w:r>
      <w:r w:rsidRPr="0087340D">
        <w:rPr>
          <w:rStyle w:val="af7"/>
          <w:rFonts w:eastAsia="Guttman Hodes" w:hint="cs"/>
          <w:rtl/>
        </w:rPr>
        <w:t>(ד"ה ומודו)</w:t>
      </w:r>
      <w:r>
        <w:rPr>
          <w:rFonts w:hint="cs"/>
          <w:rtl/>
        </w:rPr>
        <w:t xml:space="preserve"> דמשמע מדברי </w:t>
      </w:r>
      <w:r w:rsidRPr="0087340D">
        <w:rPr>
          <w:rStyle w:val="af9"/>
          <w:rFonts w:hint="cs"/>
          <w:rtl/>
        </w:rPr>
        <w:t>הרשב"ם</w:t>
      </w:r>
      <w:r>
        <w:rPr>
          <w:rFonts w:hint="cs"/>
          <w:rtl/>
        </w:rPr>
        <w:t xml:space="preserve"> דאף כשטען מחוץ לב"ד של אבותי ולא של אבותיך, נאמן לחזור ולטעון בב"ד שלקחוה מאבותיך, או מינך זבינתה ואכלתיה שני חזקה</w:t>
      </w:r>
      <w:bookmarkStart w:id="13013" w:name="_Ref62574703"/>
      <w:bookmarkEnd w:id="13011"/>
      <w:r>
        <w:rPr>
          <w:rStyle w:val="af1"/>
          <w:rtl/>
        </w:rPr>
        <w:footnoteReference w:id="80"/>
      </w:r>
      <w:bookmarkEnd w:id="13013"/>
      <w:r>
        <w:rPr>
          <w:rFonts w:hint="cs"/>
          <w:rtl/>
        </w:rPr>
        <w:t>.</w:t>
      </w:r>
      <w:bookmarkEnd w:id="13012"/>
    </w:p>
    <w:p w:rsidR="00EC445E" w:rsidRDefault="00EC445E" w:rsidP="00EC445E">
      <w:pPr>
        <w:pStyle w:val="a3"/>
        <w:rPr>
          <w:rtl/>
        </w:rPr>
      </w:pPr>
      <w:bookmarkStart w:id="13014" w:name="_Toc62452577"/>
      <w:bookmarkStart w:id="13015" w:name="_Toc62453848"/>
      <w:bookmarkStart w:id="13016" w:name="_Toc62485560"/>
      <w:r>
        <w:rPr>
          <w:rFonts w:hint="cs"/>
          <w:rtl/>
        </w:rPr>
        <w:t>דברי הרמ"ה דמהא דלא מגלה טענותיו חוץ לב"ד א"כ אף סותר לגמרי נאמן לומר משטה הייתי</w:t>
      </w:r>
    </w:p>
    <w:p w:rsidR="00EC445E" w:rsidRDefault="00EC445E" w:rsidP="007E4E81">
      <w:pPr>
        <w:pStyle w:val="a0"/>
        <w:rPr>
          <w:rtl/>
        </w:rPr>
      </w:pPr>
      <w:bookmarkStart w:id="13017" w:name="_Ref62574916"/>
      <w:bookmarkStart w:id="13018" w:name="_Toc62452578"/>
      <w:bookmarkStart w:id="13019" w:name="_Toc62453849"/>
      <w:bookmarkStart w:id="13020" w:name="_Toc62485561"/>
      <w:bookmarkStart w:id="13021" w:name="_Toc62385969"/>
      <w:bookmarkStart w:id="13022" w:name="_Toc62420113"/>
      <w:bookmarkEnd w:id="13014"/>
      <w:bookmarkEnd w:id="13015"/>
      <w:bookmarkEnd w:id="13016"/>
      <w:r>
        <w:rPr>
          <w:rFonts w:hint="cs"/>
          <w:rtl/>
        </w:rPr>
        <w:t xml:space="preserve">כתב </w:t>
      </w:r>
      <w:r w:rsidRPr="003A671A">
        <w:rPr>
          <w:rStyle w:val="af9"/>
          <w:rFonts w:hint="cs"/>
          <w:rtl/>
        </w:rPr>
        <w:t>היד רמ"ה</w:t>
      </w:r>
      <w:r>
        <w:rPr>
          <w:rFonts w:hint="cs"/>
          <w:rtl/>
        </w:rPr>
        <w:t xml:space="preserve"> </w:t>
      </w:r>
      <w:r w:rsidRPr="00A4667E">
        <w:rPr>
          <w:rStyle w:val="af7"/>
          <w:rFonts w:eastAsia="Guttman Hodes" w:hint="cs"/>
          <w:rtl/>
        </w:rPr>
        <w:t>(או' ל"ט ד"ה והיכא דאישתעי)</w:t>
      </w:r>
      <w:r>
        <w:rPr>
          <w:rFonts w:hint="cs"/>
          <w:rtl/>
        </w:rPr>
        <w:t xml:space="preserve"> דכל שטען חוץ לב"ד של אבותי, מודו נהרדעי דנאמן לחזור ולטעון בב"ד, מינך זבינתה וסמיך עלה כדאבהתי, כיון שאדם אינו מגלה טענותיו חוץ לב"ד, וכתב </w:t>
      </w:r>
      <w:r w:rsidRPr="00EB148C">
        <w:rPr>
          <w:rStyle w:val="af9"/>
          <w:rFonts w:hint="cs"/>
          <w:rtl/>
        </w:rPr>
        <w:t>היד רמ"ה</w:t>
      </w:r>
      <w:r>
        <w:rPr>
          <w:rFonts w:hint="cs"/>
          <w:rtl/>
        </w:rPr>
        <w:t xml:space="preserve"> דכיון דאמרינן דטוען חוץ לב"ד נאמן לחזור ולטעון, כיון דאינו מגלה טענותיו, א"כ מסתבר לומר דאף כשטען חוץ לב"ד של אבותי ולא של אבותיך, והביא המערער עדים שהיא של אבותיו, דנאמן לחזור ולטעון בב"ד מינך זבינתה, כשיש לו עידי חזקת ג"ש, דאומר למחזיק דהא דטענתי חוץ לב"ד דאינה של אבותיך, משטה הייתי בכך כדי שלא תגלה מה טענתי</w:t>
      </w:r>
      <w:r w:rsidRPr="009F6072">
        <w:rPr>
          <w:vertAlign w:val="superscript"/>
          <w:rtl/>
        </w:rPr>
        <w:fldChar w:fldCharType="begin"/>
      </w:r>
      <w:r w:rsidRPr="009F6072">
        <w:rPr>
          <w:vertAlign w:val="superscript"/>
          <w:rtl/>
        </w:rPr>
        <w:instrText xml:space="preserve"> </w:instrText>
      </w:r>
      <w:r w:rsidRPr="009F6072">
        <w:rPr>
          <w:rFonts w:hint="cs"/>
          <w:vertAlign w:val="superscript"/>
        </w:rPr>
        <w:instrText>NOTEREF</w:instrText>
      </w:r>
      <w:r w:rsidRPr="009F6072">
        <w:rPr>
          <w:rFonts w:hint="cs"/>
          <w:vertAlign w:val="superscript"/>
          <w:rtl/>
        </w:rPr>
        <w:instrText xml:space="preserve"> _</w:instrText>
      </w:r>
      <w:r w:rsidRPr="009F6072">
        <w:rPr>
          <w:rFonts w:hint="cs"/>
          <w:vertAlign w:val="superscript"/>
        </w:rPr>
        <w:instrText>Ref62574703 \h</w:instrText>
      </w:r>
      <w:r w:rsidRPr="009F607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9F6072">
        <w:rPr>
          <w:vertAlign w:val="superscript"/>
          <w:rtl/>
        </w:rPr>
      </w:r>
      <w:r w:rsidRPr="009F6072">
        <w:rPr>
          <w:vertAlign w:val="superscript"/>
          <w:rtl/>
        </w:rPr>
        <w:fldChar w:fldCharType="separate"/>
      </w:r>
      <w:r w:rsidR="00265073">
        <w:rPr>
          <w:vertAlign w:val="superscript"/>
          <w:rtl/>
        </w:rPr>
        <w:t>80</w:t>
      </w:r>
      <w:r w:rsidRPr="009F6072">
        <w:rPr>
          <w:vertAlign w:val="superscript"/>
          <w:rtl/>
        </w:rPr>
        <w:fldChar w:fldCharType="end"/>
      </w:r>
      <w:r>
        <w:rPr>
          <w:rFonts w:hint="cs"/>
          <w:rtl/>
        </w:rPr>
        <w:t>.</w:t>
      </w:r>
      <w:bookmarkEnd w:id="13017"/>
    </w:p>
    <w:p w:rsidR="00EC445E" w:rsidRDefault="00EC445E" w:rsidP="00EC445E">
      <w:pPr>
        <w:pStyle w:val="a3"/>
        <w:rPr>
          <w:rtl/>
        </w:rPr>
      </w:pPr>
      <w:r>
        <w:rPr>
          <w:rFonts w:hint="cs"/>
          <w:rtl/>
        </w:rPr>
        <w:t>דברי הריטב"א דאף בטען בב"ד טענה שמחייבתו שלא בדרך הודאה נאמן לחזור בב"ד</w:t>
      </w:r>
      <w:bookmarkEnd w:id="13018"/>
      <w:bookmarkEnd w:id="13019"/>
      <w:bookmarkEnd w:id="13020"/>
    </w:p>
    <w:p w:rsidR="00EC445E" w:rsidRPr="00B928EC" w:rsidRDefault="00EC445E" w:rsidP="007E4E81">
      <w:pPr>
        <w:pStyle w:val="a0"/>
        <w:rPr>
          <w:rtl/>
        </w:rPr>
      </w:pPr>
      <w:r>
        <w:rPr>
          <w:rFonts w:hint="cs"/>
          <w:rtl/>
        </w:rPr>
        <w:t xml:space="preserve">כתב </w:t>
      </w:r>
      <w:r w:rsidRPr="003A671A">
        <w:rPr>
          <w:rStyle w:val="af9"/>
          <w:rFonts w:hint="cs"/>
          <w:rtl/>
        </w:rPr>
        <w:t>הריטב"א</w:t>
      </w:r>
      <w:r>
        <w:rPr>
          <w:rStyle w:val="af9"/>
          <w:rFonts w:hint="cs"/>
          <w:rtl/>
        </w:rPr>
        <w:t xml:space="preserve"> </w:t>
      </w:r>
      <w:r w:rsidRPr="00111536">
        <w:rPr>
          <w:rStyle w:val="af7"/>
          <w:rFonts w:eastAsia="Guttman Hodes" w:hint="cs"/>
          <w:rtl/>
        </w:rPr>
        <w:t>(ד"ה טוען)</w:t>
      </w:r>
      <w:r>
        <w:rPr>
          <w:rFonts w:hint="cs"/>
          <w:rtl/>
        </w:rPr>
        <w:t xml:space="preserve"> דכל טענה שאדם טוען חוץ לב"ד, שאינה בדרך של הודאה, נאמן לחזור ולטעון בב"ד כל מה שירצה, ואף מחיוב לפטור, ואף לאחר שהכחישוהו עדים, כיון דלא מגלה איניש טענתו אלא בב"ד.</w:t>
      </w:r>
    </w:p>
    <w:p w:rsidR="00EC445E" w:rsidRPr="001C6DA4" w:rsidRDefault="00EC445E" w:rsidP="00EC445E">
      <w:pPr>
        <w:pStyle w:val="1"/>
        <w:rPr>
          <w:rtl/>
        </w:rPr>
      </w:pPr>
      <w:bookmarkStart w:id="13023" w:name="_Toc62452579"/>
      <w:bookmarkStart w:id="13024" w:name="_Toc62453850"/>
      <w:bookmarkStart w:id="13025" w:name="_Toc62485562"/>
      <w:r>
        <w:rPr>
          <w:rFonts w:hint="cs"/>
          <w:rtl/>
        </w:rPr>
        <w:t>ד' רבינו יונה</w:t>
      </w:r>
      <w:bookmarkEnd w:id="13021"/>
      <w:bookmarkEnd w:id="13022"/>
      <w:r>
        <w:rPr>
          <w:rFonts w:hint="cs"/>
          <w:rtl/>
        </w:rPr>
        <w:t xml:space="preserve"> דבטען חוץ לב"ד ולא של אבותיך לא נאמן לחזור</w:t>
      </w:r>
      <w:bookmarkEnd w:id="13023"/>
      <w:bookmarkEnd w:id="13024"/>
      <w:bookmarkEnd w:id="13025"/>
    </w:p>
    <w:p w:rsidR="00EC445E" w:rsidRDefault="00EC445E" w:rsidP="00EC445E">
      <w:pPr>
        <w:pStyle w:val="a3"/>
        <w:rPr>
          <w:rtl/>
        </w:rPr>
      </w:pPr>
      <w:bookmarkStart w:id="13026" w:name="_Toc62452580"/>
      <w:bookmarkStart w:id="13027" w:name="_Toc62453851"/>
      <w:bookmarkStart w:id="13028" w:name="_Toc62485563"/>
      <w:r>
        <w:rPr>
          <w:rFonts w:hint="cs"/>
          <w:rtl/>
        </w:rPr>
        <w:t>דברי רבינו יונה דבטען חוץ לב"ד של אבותי ולא של אבותיך חשיב הודאה ואינו נאמן לחזור בו</w:t>
      </w:r>
      <w:bookmarkEnd w:id="13026"/>
      <w:bookmarkEnd w:id="13027"/>
      <w:bookmarkEnd w:id="13028"/>
    </w:p>
    <w:p w:rsidR="00EC445E" w:rsidRDefault="00EC445E" w:rsidP="007E4E81">
      <w:pPr>
        <w:pStyle w:val="a0"/>
        <w:rPr>
          <w:sz w:val="10"/>
          <w:szCs w:val="14"/>
          <w:rtl/>
        </w:rPr>
      </w:pPr>
      <w:bookmarkStart w:id="13029" w:name="_Ref61947708"/>
      <w:r>
        <w:rPr>
          <w:rFonts w:hint="cs"/>
          <w:rtl/>
        </w:rPr>
        <w:t xml:space="preserve">אך דחה </w:t>
      </w:r>
      <w:r w:rsidRPr="0087340D">
        <w:rPr>
          <w:rStyle w:val="af9"/>
          <w:rFonts w:hint="cs"/>
          <w:rtl/>
        </w:rPr>
        <w:t>רבינו יונה</w:t>
      </w:r>
      <w:r>
        <w:rPr>
          <w:rFonts w:hint="cs"/>
          <w:rtl/>
        </w:rPr>
        <w:t xml:space="preserve"> </w:t>
      </w:r>
      <w:r w:rsidRPr="0087340D">
        <w:rPr>
          <w:rStyle w:val="af7"/>
          <w:rFonts w:eastAsia="Guttman Hodes" w:hint="cs"/>
          <w:rtl/>
        </w:rPr>
        <w:t>(ד"ה ומודו)</w:t>
      </w:r>
      <w:r>
        <w:rPr>
          <w:rFonts w:hint="cs"/>
          <w:rtl/>
        </w:rPr>
        <w:t xml:space="preserve"> את דברי </w:t>
      </w:r>
      <w:r w:rsidRPr="0087340D">
        <w:rPr>
          <w:rStyle w:val="af9"/>
          <w:rFonts w:hint="cs"/>
          <w:rtl/>
        </w:rPr>
        <w:t>הרשב"ם</w:t>
      </w:r>
      <w:r>
        <w:rPr>
          <w:rStyle w:val="af9"/>
          <w:rFonts w:hint="cs"/>
          <w:rtl/>
        </w:rPr>
        <w:t xml:space="preserve"> </w:t>
      </w:r>
      <w:r w:rsidRPr="0079058C">
        <w:rPr>
          <w:rStyle w:val="af7"/>
          <w:rFonts w:eastAsia="Guttman Hodes" w:hint="cs"/>
          <w:rtl/>
        </w:rPr>
        <w:t xml:space="preserve">(עי' אות </w:t>
      </w:r>
      <w:r w:rsidRPr="0079058C">
        <w:rPr>
          <w:rStyle w:val="af7"/>
          <w:rFonts w:eastAsia="Guttman Hodes"/>
          <w:rtl/>
        </w:rPr>
        <w:fldChar w:fldCharType="begin"/>
      </w:r>
      <w:r w:rsidRPr="0079058C">
        <w:rPr>
          <w:rStyle w:val="af7"/>
          <w:rFonts w:eastAsia="Guttman Hodes"/>
          <w:rtl/>
        </w:rPr>
        <w:instrText xml:space="preserve"> </w:instrText>
      </w:r>
      <w:r w:rsidRPr="0079058C">
        <w:rPr>
          <w:rStyle w:val="af7"/>
          <w:rFonts w:eastAsia="Guttman Hodes" w:hint="cs"/>
        </w:rPr>
        <w:instrText>REF</w:instrText>
      </w:r>
      <w:r w:rsidRPr="0079058C">
        <w:rPr>
          <w:rStyle w:val="af7"/>
          <w:rFonts w:eastAsia="Guttman Hodes" w:hint="cs"/>
          <w:rtl/>
        </w:rPr>
        <w:instrText xml:space="preserve"> _</w:instrText>
      </w:r>
      <w:r w:rsidRPr="0079058C">
        <w:rPr>
          <w:rStyle w:val="af7"/>
          <w:rFonts w:eastAsia="Guttman Hodes" w:hint="cs"/>
        </w:rPr>
        <w:instrText>Ref62059263 \r \h</w:instrText>
      </w:r>
      <w:r w:rsidRPr="0079058C">
        <w:rPr>
          <w:rStyle w:val="af7"/>
          <w:rFonts w:eastAsia="Guttman Hodes"/>
          <w:rtl/>
        </w:rPr>
        <w:instrText xml:space="preserve"> </w:instrText>
      </w:r>
      <w:r w:rsidRPr="0079058C">
        <w:rPr>
          <w:rStyle w:val="af7"/>
          <w:rFonts w:eastAsia="Guttman Hodes"/>
          <w:rtl/>
        </w:rPr>
      </w:r>
      <w:r w:rsidRPr="0079058C">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79058C">
        <w:rPr>
          <w:rStyle w:val="af7"/>
          <w:rFonts w:eastAsia="Guttman Hodes"/>
          <w:rtl/>
        </w:rPr>
        <w:fldChar w:fldCharType="end"/>
      </w:r>
      <w:r>
        <w:rPr>
          <w:rFonts w:hint="cs"/>
          <w:rtl/>
        </w:rPr>
        <w:t xml:space="preserve">, וכתב </w:t>
      </w:r>
      <w:r w:rsidRPr="0087340D">
        <w:rPr>
          <w:rStyle w:val="af9"/>
          <w:rFonts w:hint="cs"/>
          <w:rtl/>
        </w:rPr>
        <w:t>רבינו יונה</w:t>
      </w:r>
      <w:r>
        <w:rPr>
          <w:rFonts w:hint="cs"/>
          <w:rtl/>
        </w:rPr>
        <w:t xml:space="preserve"> דאי טען חוץ לב"ד של אבותי ולא של אבותיך, חשיב כאומר לא לקחתיה מעולם ממך, ודמי להא דקיי"ל בגמ' לעיל </w:t>
      </w:r>
      <w:r w:rsidRPr="0087340D">
        <w:rPr>
          <w:rStyle w:val="af7"/>
          <w:rFonts w:eastAsia="Guttman Hodes" w:hint="cs"/>
          <w:rtl/>
        </w:rPr>
        <w:t>(ו.)</w:t>
      </w:r>
      <w:r>
        <w:rPr>
          <w:rFonts w:hint="cs"/>
          <w:rtl/>
        </w:rPr>
        <w:t xml:space="preserve"> דהאומר לא לויתי כאומר לא פרעתי דמי, דאחר שהודה שלא קנה ממנו אינו יכול לחזור בו, אעפ"י שהודה חוץ לב"ד, ואינו יכול לטעון משטה הייתי בך, אף כשלא אמר אתם עידי</w:t>
      </w:r>
      <w:bookmarkEnd w:id="13029"/>
      <w:r>
        <w:rPr>
          <w:rFonts w:hint="cs"/>
          <w:rtl/>
        </w:rPr>
        <w:t>.</w:t>
      </w:r>
      <w:r>
        <w:rPr>
          <w:rFonts w:hint="cs"/>
          <w:sz w:val="10"/>
          <w:szCs w:val="14"/>
          <w:rtl/>
        </w:rPr>
        <w:t xml:space="preserve"> [ועי' במה שהאריך </w:t>
      </w:r>
      <w:r w:rsidRPr="00A324BA">
        <w:rPr>
          <w:rStyle w:val="affa"/>
          <w:rFonts w:hint="cs"/>
          <w:rtl/>
        </w:rPr>
        <w:t>האבי עזרי</w:t>
      </w:r>
      <w:r>
        <w:rPr>
          <w:rFonts w:hint="cs"/>
          <w:sz w:val="10"/>
          <w:szCs w:val="14"/>
          <w:rtl/>
        </w:rPr>
        <w:t xml:space="preserve"> </w:t>
      </w:r>
      <w:r w:rsidRPr="00A324BA">
        <w:rPr>
          <w:rStyle w:val="aff6"/>
          <w:rFonts w:hint="cs"/>
          <w:rtl/>
        </w:rPr>
        <w:t>(טו"נ פ"ו ה"ג או' א')</w:t>
      </w:r>
      <w:r>
        <w:rPr>
          <w:rFonts w:hint="cs"/>
          <w:sz w:val="10"/>
          <w:szCs w:val="14"/>
          <w:rtl/>
        </w:rPr>
        <w:t xml:space="preserve"> בדברי </w:t>
      </w:r>
      <w:r w:rsidRPr="00A324BA">
        <w:rPr>
          <w:rStyle w:val="affa"/>
          <w:rFonts w:hint="cs"/>
          <w:rtl/>
        </w:rPr>
        <w:t>רבינו יונה</w:t>
      </w:r>
      <w:r>
        <w:rPr>
          <w:rFonts w:hint="cs"/>
          <w:sz w:val="10"/>
          <w:szCs w:val="14"/>
          <w:rtl/>
        </w:rPr>
        <w:t>].</w:t>
      </w:r>
    </w:p>
    <w:p w:rsidR="00730F4A" w:rsidRPr="00730F4A" w:rsidRDefault="00730F4A" w:rsidP="00730F4A">
      <w:pPr>
        <w:pStyle w:val="a3"/>
        <w:rPr>
          <w:rtl/>
        </w:rPr>
      </w:pPr>
    </w:p>
    <w:p w:rsidR="00730F4A" w:rsidRPr="00730F4A" w:rsidRDefault="00730F4A" w:rsidP="00730F4A">
      <w:pPr>
        <w:pStyle w:val="a3"/>
        <w:rPr>
          <w:rtl/>
        </w:rPr>
      </w:pPr>
    </w:p>
    <w:p w:rsidR="00EC445E" w:rsidRDefault="00EC445E" w:rsidP="00EC445E">
      <w:pPr>
        <w:pStyle w:val="a3"/>
        <w:rPr>
          <w:rtl/>
        </w:rPr>
      </w:pPr>
      <w:bookmarkStart w:id="13030" w:name="_Toc62452581"/>
      <w:bookmarkStart w:id="13031" w:name="_Toc62453852"/>
      <w:bookmarkStart w:id="13032" w:name="_Toc62485564"/>
      <w:r>
        <w:rPr>
          <w:rFonts w:hint="cs"/>
          <w:rtl/>
        </w:rPr>
        <w:t>ביאור רבינו יונה דטוענן חוץ לב"ד הם בכדי לפוטרו וכשחייב עצמו אינו נאמן לומר משטה הייתי</w:t>
      </w:r>
      <w:bookmarkEnd w:id="13030"/>
      <w:bookmarkEnd w:id="13031"/>
      <w:bookmarkEnd w:id="13032"/>
    </w:p>
    <w:p w:rsidR="00EC445E" w:rsidRDefault="00EC445E" w:rsidP="007E4E81">
      <w:pPr>
        <w:pStyle w:val="a0"/>
        <w:rPr>
          <w:rtl/>
        </w:rPr>
      </w:pPr>
      <w:r>
        <w:rPr>
          <w:rFonts w:hint="cs"/>
          <w:rtl/>
        </w:rPr>
        <w:t xml:space="preserve">וביאר </w:t>
      </w:r>
      <w:r w:rsidRPr="0087340D">
        <w:rPr>
          <w:rStyle w:val="af9"/>
          <w:rFonts w:hint="cs"/>
          <w:rtl/>
        </w:rPr>
        <w:t>רבינו יונה</w:t>
      </w:r>
      <w:r>
        <w:rPr>
          <w:rFonts w:hint="cs"/>
          <w:rtl/>
        </w:rPr>
        <w:t xml:space="preserve"> דכיון דכל מה שהוא רצה לטעון חוץ לב"ד, הוא בכדי לפטור את עצמו, א"כ אינו נאמן לומר משטה הייתי, כשהודה וחייב את עצמו, </w:t>
      </w:r>
      <w:r w:rsidRPr="0087340D">
        <w:rPr>
          <w:rStyle w:val="afb"/>
          <w:rFonts w:hint="cs"/>
          <w:rtl/>
        </w:rPr>
        <w:t xml:space="preserve">[וציין </w:t>
      </w:r>
      <w:r w:rsidRPr="0087340D">
        <w:rPr>
          <w:rStyle w:val="affa"/>
          <w:rFonts w:hint="cs"/>
          <w:rtl/>
        </w:rPr>
        <w:t>רבינו יונה</w:t>
      </w:r>
      <w:r w:rsidRPr="0087340D">
        <w:rPr>
          <w:rStyle w:val="afb"/>
          <w:rFonts w:hint="cs"/>
          <w:rtl/>
        </w:rPr>
        <w:t xml:space="preserve"> לדבריו דכ"כ לעיל </w:t>
      </w:r>
      <w:r w:rsidRPr="0087340D">
        <w:rPr>
          <w:rStyle w:val="aff6"/>
          <w:rFonts w:hint="cs"/>
          <w:rtl/>
        </w:rPr>
        <w:t>(ה: ד"ה ולענין)</w:t>
      </w:r>
      <w:r>
        <w:rPr>
          <w:rStyle w:val="afb"/>
          <w:rFonts w:hint="cs"/>
          <w:rtl/>
        </w:rPr>
        <w:t>],</w:t>
      </w:r>
      <w:r w:rsidRPr="009A10D9">
        <w:rPr>
          <w:rFonts w:hint="cs"/>
          <w:rtl/>
        </w:rPr>
        <w:t xml:space="preserve"> </w:t>
      </w:r>
      <w:r>
        <w:rPr>
          <w:rFonts w:hint="cs"/>
          <w:rtl/>
        </w:rPr>
        <w:t xml:space="preserve">והוסיף </w:t>
      </w:r>
      <w:r w:rsidRPr="007B0B3F">
        <w:rPr>
          <w:rStyle w:val="af9"/>
          <w:rFonts w:hint="cs"/>
          <w:rtl/>
        </w:rPr>
        <w:t>רבינו יונה</w:t>
      </w:r>
      <w:r>
        <w:rPr>
          <w:rFonts w:hint="cs"/>
          <w:rtl/>
        </w:rPr>
        <w:t xml:space="preserve"> דכן מדוייק בלשון הגמ' דלא מגלה טענתיה. </w:t>
      </w:r>
      <w:r w:rsidRPr="007B0B3F">
        <w:rPr>
          <w:rStyle w:val="afb"/>
          <w:rFonts w:hint="cs"/>
          <w:rtl/>
        </w:rPr>
        <w:t>[והיינו דאינו מגלה מה טענתו להפטר חוץ לב"ד, אך אי הודה חוץ לב"ד, הוי הודאה].</w:t>
      </w:r>
    </w:p>
    <w:p w:rsidR="00EC445E" w:rsidRDefault="00EC445E" w:rsidP="00EC445E">
      <w:pPr>
        <w:pStyle w:val="a3"/>
        <w:rPr>
          <w:rtl/>
        </w:rPr>
      </w:pPr>
      <w:bookmarkStart w:id="13033" w:name="_Toc62452582"/>
      <w:bookmarkStart w:id="13034" w:name="_Toc62453853"/>
      <w:bookmarkStart w:id="13035" w:name="_Toc62485565"/>
      <w:r>
        <w:rPr>
          <w:rFonts w:hint="cs"/>
          <w:rtl/>
        </w:rPr>
        <w:t>דברי רבינו יונה דכיון דטענת של אבותי ולא של אבותיך היא לזכותו חשיבא כהודאת בע"ד</w:t>
      </w:r>
      <w:bookmarkEnd w:id="13033"/>
      <w:bookmarkEnd w:id="13034"/>
      <w:bookmarkEnd w:id="13035"/>
    </w:p>
    <w:p w:rsidR="00EC445E" w:rsidRDefault="00EC445E" w:rsidP="007E4E81">
      <w:pPr>
        <w:pStyle w:val="a0"/>
        <w:rPr>
          <w:rtl/>
        </w:rPr>
      </w:pPr>
      <w:r>
        <w:rPr>
          <w:rFonts w:hint="cs"/>
          <w:rtl/>
        </w:rPr>
        <w:t xml:space="preserve">והוסיף </w:t>
      </w:r>
      <w:r w:rsidRPr="005C6514">
        <w:rPr>
          <w:rStyle w:val="af9"/>
          <w:rFonts w:hint="cs"/>
          <w:rtl/>
        </w:rPr>
        <w:t>רבינו יונה</w:t>
      </w:r>
      <w:r>
        <w:rPr>
          <w:rFonts w:hint="cs"/>
          <w:rtl/>
        </w:rPr>
        <w:t xml:space="preserve"> </w:t>
      </w:r>
      <w:r w:rsidRPr="00996292">
        <w:rPr>
          <w:rStyle w:val="af7"/>
          <w:rFonts w:eastAsia="Guttman Hodes" w:hint="cs"/>
          <w:rtl/>
        </w:rPr>
        <w:t>(ד"ה עלה בידינו)</w:t>
      </w:r>
      <w:r>
        <w:rPr>
          <w:rFonts w:hint="cs"/>
          <w:rtl/>
        </w:rPr>
        <w:t xml:space="preserve"> דהודאתו מחוץ לב"ד לחובתו, חשיבא כהודאת בע"ד, ואעפ"י דהמודה לחבירו חוץ לב"ד דחייב לו מנה, ולא אמר אתם עידי, יכול לומר משטה הייתי בך, הכא דטען של אבותי אינו יכול לומר משטה הייתי, כיון דטען כן לזכותו, ובכלל הטענה שטען לזכותו כלולה הודאה לחובתו</w:t>
      </w:r>
      <w:bookmarkStart w:id="13036" w:name="_Ref61970936"/>
      <w:r>
        <w:rPr>
          <w:rFonts w:hint="cs"/>
          <w:rtl/>
        </w:rPr>
        <w:t>.</w:t>
      </w:r>
    </w:p>
    <w:p w:rsidR="00EC445E" w:rsidRPr="00A5586B" w:rsidRDefault="00EC445E" w:rsidP="00EC445E">
      <w:pPr>
        <w:pStyle w:val="a3"/>
      </w:pPr>
      <w:bookmarkStart w:id="13037" w:name="_Toc62452583"/>
      <w:bookmarkStart w:id="13038" w:name="_Toc62453854"/>
      <w:bookmarkStart w:id="13039" w:name="_Toc62485566"/>
      <w:r>
        <w:rPr>
          <w:rFonts w:hint="cs"/>
          <w:rtl/>
        </w:rPr>
        <w:t>דברי רבינו יונה דלראב"ד האומר לא לויתי חוץ לב"ד חשיב הודאה וה"ה ולא של אבותיך</w:t>
      </w:r>
      <w:bookmarkEnd w:id="13037"/>
      <w:bookmarkEnd w:id="13038"/>
      <w:bookmarkEnd w:id="13039"/>
    </w:p>
    <w:p w:rsidR="00EC445E" w:rsidRDefault="00EC445E" w:rsidP="007E4E81">
      <w:pPr>
        <w:pStyle w:val="a0"/>
        <w:rPr>
          <w:rtl/>
        </w:rPr>
      </w:pPr>
      <w:r w:rsidRPr="004E2D61">
        <w:rPr>
          <w:rFonts w:hint="cs"/>
          <w:rtl/>
        </w:rPr>
        <w:t xml:space="preserve">וכן הביא </w:t>
      </w:r>
      <w:r w:rsidRPr="004E2D61">
        <w:rPr>
          <w:rStyle w:val="af9"/>
          <w:rFonts w:hint="cs"/>
          <w:rtl/>
        </w:rPr>
        <w:t>רבינו</w:t>
      </w:r>
      <w:r w:rsidRPr="00071EEF">
        <w:rPr>
          <w:rStyle w:val="af9"/>
          <w:rFonts w:hint="cs"/>
          <w:rtl/>
        </w:rPr>
        <w:t xml:space="preserve"> יונה</w:t>
      </w:r>
      <w:r>
        <w:rPr>
          <w:rFonts w:hint="cs"/>
          <w:rtl/>
        </w:rPr>
        <w:t xml:space="preserve"> </w:t>
      </w:r>
      <w:r w:rsidRPr="00996292">
        <w:rPr>
          <w:rStyle w:val="af7"/>
          <w:rFonts w:eastAsia="Guttman Hodes" w:hint="cs"/>
          <w:rtl/>
        </w:rPr>
        <w:t>(סוד"ה ומודו)</w:t>
      </w:r>
      <w:r>
        <w:rPr>
          <w:rFonts w:hint="cs"/>
          <w:rtl/>
        </w:rPr>
        <w:t xml:space="preserve"> בשם </w:t>
      </w:r>
      <w:r w:rsidRPr="00071EEF">
        <w:rPr>
          <w:rStyle w:val="af9"/>
          <w:rFonts w:hint="cs"/>
          <w:rtl/>
        </w:rPr>
        <w:t>הראב"ד</w:t>
      </w:r>
      <w:r w:rsidRPr="00996292">
        <w:rPr>
          <w:rStyle w:val="af7"/>
          <w:rFonts w:eastAsia="Guttman Hodes" w:hint="cs"/>
          <w:rtl/>
        </w:rPr>
        <w:t xml:space="preserve"> (עי' אות </w:t>
      </w:r>
      <w:r w:rsidRPr="00996292">
        <w:rPr>
          <w:rStyle w:val="af7"/>
          <w:rFonts w:eastAsia="Guttman Hodes"/>
          <w:rtl/>
        </w:rPr>
        <w:fldChar w:fldCharType="begin"/>
      </w:r>
      <w:r w:rsidRPr="00996292">
        <w:rPr>
          <w:rStyle w:val="af7"/>
          <w:rFonts w:eastAsia="Guttman Hodes"/>
          <w:rtl/>
        </w:rPr>
        <w:instrText xml:space="preserve"> </w:instrText>
      </w:r>
      <w:r w:rsidRPr="00996292">
        <w:rPr>
          <w:rStyle w:val="af7"/>
          <w:rFonts w:eastAsia="Guttman Hodes" w:hint="cs"/>
        </w:rPr>
        <w:instrText>REF</w:instrText>
      </w:r>
      <w:r w:rsidRPr="00996292">
        <w:rPr>
          <w:rStyle w:val="af7"/>
          <w:rFonts w:eastAsia="Guttman Hodes" w:hint="cs"/>
          <w:rtl/>
        </w:rPr>
        <w:instrText xml:space="preserve"> _</w:instrText>
      </w:r>
      <w:r w:rsidRPr="00996292">
        <w:rPr>
          <w:rStyle w:val="af7"/>
          <w:rFonts w:eastAsia="Guttman Hodes" w:hint="cs"/>
        </w:rPr>
        <w:instrText>Ref61970944 \r \h</w:instrText>
      </w:r>
      <w:r w:rsidRPr="00996292">
        <w:rPr>
          <w:rStyle w:val="af7"/>
          <w:rFonts w:eastAsia="Guttman Hodes"/>
          <w:rtl/>
        </w:rPr>
        <w:instrText xml:space="preserve">  \* </w:instrText>
      </w:r>
      <w:r w:rsidRPr="00996292">
        <w:rPr>
          <w:rStyle w:val="af7"/>
          <w:rFonts w:eastAsia="Guttman Hodes"/>
        </w:rPr>
        <w:instrText>MERGEFORMAT</w:instrText>
      </w:r>
      <w:r w:rsidRPr="00996292">
        <w:rPr>
          <w:rStyle w:val="af7"/>
          <w:rFonts w:eastAsia="Guttman Hodes"/>
          <w:rtl/>
        </w:rPr>
        <w:instrText xml:space="preserve"> </w:instrText>
      </w:r>
      <w:r w:rsidRPr="00996292">
        <w:rPr>
          <w:rStyle w:val="af7"/>
          <w:rFonts w:eastAsia="Guttman Hodes"/>
          <w:rtl/>
        </w:rPr>
      </w:r>
      <w:r w:rsidRPr="00996292">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996292">
        <w:rPr>
          <w:rStyle w:val="af7"/>
          <w:rFonts w:eastAsia="Guttman Hodes"/>
          <w:rtl/>
        </w:rPr>
        <w:fldChar w:fldCharType="end"/>
      </w:r>
      <w:r>
        <w:rPr>
          <w:rFonts w:hint="cs"/>
          <w:rtl/>
        </w:rPr>
        <w:t xml:space="preserve"> דפשיטא ליה דהאומר לא לויתי, אף שהוא מחוץ לב"ד, כאומר לא פרעתי, וכתב </w:t>
      </w:r>
      <w:r w:rsidRPr="00071EEF">
        <w:rPr>
          <w:rStyle w:val="af9"/>
          <w:rFonts w:hint="cs"/>
          <w:rtl/>
        </w:rPr>
        <w:t>רבינו יונה</w:t>
      </w:r>
      <w:r>
        <w:rPr>
          <w:rFonts w:hint="cs"/>
          <w:rtl/>
        </w:rPr>
        <w:t xml:space="preserve"> דה"ה בסוגיין כשאומר של אבותי ולא של אבותיך.</w:t>
      </w:r>
      <w:bookmarkEnd w:id="13036"/>
      <w:r w:rsidRPr="007A5DCD">
        <w:rPr>
          <w:rFonts w:hint="cs"/>
          <w:rtl/>
        </w:rPr>
        <w:t xml:space="preserve"> </w:t>
      </w:r>
      <w:r>
        <w:rPr>
          <w:rFonts w:hint="cs"/>
          <w:rtl/>
        </w:rPr>
        <w:t xml:space="preserve">[וע"ע בדברי </w:t>
      </w:r>
      <w:r>
        <w:rPr>
          <w:rStyle w:val="af9"/>
          <w:rFonts w:hint="cs"/>
          <w:rtl/>
        </w:rPr>
        <w:t>ה</w:t>
      </w:r>
      <w:r w:rsidRPr="00071EEF">
        <w:rPr>
          <w:rStyle w:val="af9"/>
          <w:rFonts w:hint="cs"/>
          <w:rtl/>
        </w:rPr>
        <w:t>ראב"ד בהשג'</w:t>
      </w:r>
      <w:r>
        <w:rPr>
          <w:rFonts w:hint="cs"/>
          <w:rtl/>
        </w:rPr>
        <w:t xml:space="preserve"> </w:t>
      </w:r>
      <w:r w:rsidRPr="00996292">
        <w:rPr>
          <w:rStyle w:val="af7"/>
          <w:rFonts w:eastAsia="Guttman Hodes" w:hint="cs"/>
          <w:rtl/>
        </w:rPr>
        <w:t>(טו"נ פ"ו ה"ה)</w:t>
      </w:r>
      <w:r>
        <w:rPr>
          <w:rFonts w:hint="cs"/>
          <w:rtl/>
        </w:rPr>
        <w:t>].</w:t>
      </w:r>
    </w:p>
    <w:p w:rsidR="00EC445E" w:rsidRDefault="00EC445E" w:rsidP="00EC445E">
      <w:pPr>
        <w:pStyle w:val="a3"/>
        <w:rPr>
          <w:rtl/>
        </w:rPr>
      </w:pPr>
      <w:bookmarkStart w:id="13040" w:name="_Toc62452584"/>
      <w:bookmarkStart w:id="13041" w:name="_Toc62453855"/>
      <w:bookmarkStart w:id="13042" w:name="_Toc62485567"/>
      <w:r>
        <w:rPr>
          <w:rFonts w:hint="cs"/>
          <w:rtl/>
        </w:rPr>
        <w:t>דברי הראב"ד דהאומר לא לויתי חוץ לב"ד אף דלא הוחזק כפרן חייב מחמת שהודה שלא פרע</w:t>
      </w:r>
      <w:bookmarkEnd w:id="13040"/>
      <w:bookmarkEnd w:id="13041"/>
      <w:bookmarkEnd w:id="13042"/>
    </w:p>
    <w:p w:rsidR="00EC445E" w:rsidRDefault="00EC445E" w:rsidP="007E4E81">
      <w:pPr>
        <w:pStyle w:val="a0"/>
      </w:pPr>
      <w:bookmarkStart w:id="13043" w:name="_Ref61970944"/>
      <w:r>
        <w:rPr>
          <w:rFonts w:hint="cs"/>
          <w:rtl/>
        </w:rPr>
        <w:t xml:space="preserve">כתב </w:t>
      </w:r>
      <w:r w:rsidRPr="00067BE1">
        <w:rPr>
          <w:rStyle w:val="af9"/>
          <w:rFonts w:hint="cs"/>
          <w:rtl/>
        </w:rPr>
        <w:t>הראב"ד בשיטמ"ק לעיל</w:t>
      </w:r>
      <w:r>
        <w:rPr>
          <w:rFonts w:hint="cs"/>
          <w:rtl/>
        </w:rPr>
        <w:t xml:space="preserve"> </w:t>
      </w:r>
      <w:r w:rsidRPr="004E2D61">
        <w:rPr>
          <w:rStyle w:val="af7"/>
          <w:rFonts w:eastAsia="Guttman Hodes" w:hint="cs"/>
          <w:rtl/>
        </w:rPr>
        <w:t>(ו. ד"ה דאמר)</w:t>
      </w:r>
      <w:r>
        <w:rPr>
          <w:rFonts w:hint="cs"/>
          <w:rtl/>
        </w:rPr>
        <w:t xml:space="preserve"> בשם </w:t>
      </w:r>
      <w:r w:rsidRPr="00067BE1">
        <w:rPr>
          <w:rStyle w:val="af9"/>
          <w:rFonts w:hint="cs"/>
          <w:rtl/>
        </w:rPr>
        <w:t>י"א</w:t>
      </w:r>
      <w:r>
        <w:rPr>
          <w:rFonts w:hint="cs"/>
          <w:rtl/>
        </w:rPr>
        <w:t xml:space="preserve"> דהא דהאומר לא לויתי ויש עדים שלוה חייב, כיון שהוא כאומר לא פרעתי, ולא מחמת שהוחזק כפרן לאותו ממון, הוא כיון דהוחזק כפרן הוא רק בכופר בב"ד, והכחישוהו עדים, אבל בכפר חוץ לב"ד לא הוחזק כפרן, כיון דעביד איניש דאינו אומר את כל טענתו חוץ לב"ד, ולכן הוא חייב רק מחמת דכל האומר לא לויתי כאומר לא פרעתי דמי, וכתב </w:t>
      </w:r>
      <w:r w:rsidRPr="00C06B19">
        <w:rPr>
          <w:rStyle w:val="af9"/>
          <w:rFonts w:hint="cs"/>
          <w:rtl/>
        </w:rPr>
        <w:t>הראב"ד</w:t>
      </w:r>
      <w:r>
        <w:rPr>
          <w:rFonts w:hint="cs"/>
          <w:rtl/>
        </w:rPr>
        <w:t xml:space="preserve"> דאפשר לפרש כן. [ומבואר דאף שטען חוץ לב"ד, מ"מ חייב בהודאת בע"ד שהודה שלא פרע, וכדביאר </w:t>
      </w:r>
      <w:r w:rsidRPr="00C06B19">
        <w:rPr>
          <w:rStyle w:val="af9"/>
          <w:rFonts w:hint="cs"/>
          <w:rtl/>
        </w:rPr>
        <w:t>רבינו יונה</w:t>
      </w:r>
      <w:r>
        <w:rPr>
          <w:rFonts w:hint="cs"/>
          <w:rtl/>
        </w:rPr>
        <w:t xml:space="preserve"> </w:t>
      </w:r>
      <w:r w:rsidRPr="004E2D61">
        <w:rPr>
          <w:rStyle w:val="af7"/>
          <w:rFonts w:eastAsia="Guttman Hodes" w:hint="cs"/>
          <w:rtl/>
        </w:rPr>
        <w:t xml:space="preserve">(עי' אות </w:t>
      </w:r>
      <w:r w:rsidRPr="004E2D61">
        <w:rPr>
          <w:rStyle w:val="af7"/>
          <w:rFonts w:eastAsia="Guttman Hodes"/>
          <w:rtl/>
        </w:rPr>
        <w:fldChar w:fldCharType="begin"/>
      </w:r>
      <w:r w:rsidRPr="004E2D61">
        <w:rPr>
          <w:rStyle w:val="af7"/>
          <w:rFonts w:eastAsia="Guttman Hodes"/>
          <w:rtl/>
        </w:rPr>
        <w:instrText xml:space="preserve"> </w:instrText>
      </w:r>
      <w:r w:rsidRPr="004E2D61">
        <w:rPr>
          <w:rStyle w:val="af7"/>
          <w:rFonts w:eastAsia="Guttman Hodes" w:hint="cs"/>
        </w:rPr>
        <w:instrText>REF</w:instrText>
      </w:r>
      <w:r w:rsidRPr="004E2D61">
        <w:rPr>
          <w:rStyle w:val="af7"/>
          <w:rFonts w:eastAsia="Guttman Hodes" w:hint="cs"/>
          <w:rtl/>
        </w:rPr>
        <w:instrText xml:space="preserve"> _</w:instrText>
      </w:r>
      <w:r w:rsidRPr="004E2D61">
        <w:rPr>
          <w:rStyle w:val="af7"/>
          <w:rFonts w:eastAsia="Guttman Hodes" w:hint="cs"/>
        </w:rPr>
        <w:instrText>Ref61970936 \r \h</w:instrText>
      </w:r>
      <w:r w:rsidRPr="004E2D61">
        <w:rPr>
          <w:rStyle w:val="af7"/>
          <w:rFonts w:eastAsia="Guttman Hodes"/>
          <w:rtl/>
        </w:rPr>
        <w:instrText xml:space="preserve">  \* </w:instrText>
      </w:r>
      <w:r w:rsidRPr="004E2D61">
        <w:rPr>
          <w:rStyle w:val="af7"/>
          <w:rFonts w:eastAsia="Guttman Hodes"/>
        </w:rPr>
        <w:instrText>MERGEFORMAT</w:instrText>
      </w:r>
      <w:r w:rsidRPr="004E2D61">
        <w:rPr>
          <w:rStyle w:val="af7"/>
          <w:rFonts w:eastAsia="Guttman Hodes"/>
          <w:rtl/>
        </w:rPr>
        <w:instrText xml:space="preserve"> </w:instrText>
      </w:r>
      <w:r w:rsidRPr="004E2D61">
        <w:rPr>
          <w:rStyle w:val="af7"/>
          <w:rFonts w:eastAsia="Guttman Hodes"/>
          <w:rtl/>
        </w:rPr>
      </w:r>
      <w:r w:rsidRPr="004E2D61">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4E2D61">
        <w:rPr>
          <w:rStyle w:val="af7"/>
          <w:rFonts w:eastAsia="Guttman Hodes"/>
          <w:rtl/>
        </w:rPr>
        <w:fldChar w:fldCharType="end"/>
      </w:r>
      <w:r>
        <w:rPr>
          <w:rFonts w:hint="cs"/>
          <w:rtl/>
        </w:rPr>
        <w:t xml:space="preserve"> בדברי </w:t>
      </w:r>
      <w:r w:rsidRPr="00C06B19">
        <w:rPr>
          <w:rStyle w:val="af9"/>
          <w:rFonts w:hint="cs"/>
          <w:rtl/>
        </w:rPr>
        <w:t>הראב"ד</w:t>
      </w:r>
      <w:r>
        <w:rPr>
          <w:rFonts w:hint="cs"/>
          <w:rtl/>
        </w:rPr>
        <w:t>].</w:t>
      </w:r>
      <w:bookmarkStart w:id="13044" w:name="_Toc62074377"/>
      <w:bookmarkStart w:id="13045" w:name="_Toc62160816"/>
      <w:bookmarkStart w:id="13046" w:name="_Toc62385977"/>
      <w:bookmarkEnd w:id="13043"/>
    </w:p>
    <w:p w:rsidR="00EC445E" w:rsidRDefault="00EC445E" w:rsidP="00EC445E">
      <w:pPr>
        <w:pStyle w:val="a3"/>
        <w:rPr>
          <w:rtl/>
        </w:rPr>
      </w:pPr>
      <w:bookmarkStart w:id="13047" w:name="_Toc62452585"/>
      <w:bookmarkStart w:id="13048" w:name="_Toc62453856"/>
      <w:bookmarkStart w:id="13049" w:name="_Toc62485568"/>
      <w:bookmarkStart w:id="13050" w:name="_Toc62420114"/>
      <w:r>
        <w:rPr>
          <w:rFonts w:hint="cs"/>
          <w:rtl/>
        </w:rPr>
        <w:t>דברי סה"ת דנחלקו בזה אי טענת להד"ם חוץ לב"ד חשיב טענה ונאמן לחזור או דחשיב הודאה</w:t>
      </w:r>
      <w:bookmarkEnd w:id="13047"/>
      <w:bookmarkEnd w:id="13048"/>
      <w:bookmarkEnd w:id="13049"/>
    </w:p>
    <w:p w:rsidR="00EC445E" w:rsidRDefault="00EC445E" w:rsidP="007E4E81">
      <w:pPr>
        <w:pStyle w:val="a0"/>
        <w:rPr>
          <w:rtl/>
        </w:rPr>
      </w:pPr>
      <w:r>
        <w:rPr>
          <w:rFonts w:hint="cs"/>
          <w:rtl/>
        </w:rPr>
        <w:t xml:space="preserve">כתב </w:t>
      </w:r>
      <w:r w:rsidRPr="005C6514">
        <w:rPr>
          <w:rStyle w:val="af9"/>
          <w:rFonts w:hint="cs"/>
          <w:rtl/>
        </w:rPr>
        <w:t>בספר התרומות</w:t>
      </w:r>
      <w:r>
        <w:rPr>
          <w:rFonts w:hint="cs"/>
          <w:rtl/>
        </w:rPr>
        <w:t xml:space="preserve"> </w:t>
      </w:r>
      <w:r w:rsidRPr="00A4667E">
        <w:rPr>
          <w:rStyle w:val="af7"/>
          <w:rFonts w:eastAsia="Guttman Hodes" w:hint="cs"/>
          <w:rtl/>
        </w:rPr>
        <w:t>(שער מ"ב ח"ז סי' א')</w:t>
      </w:r>
      <w:r>
        <w:rPr>
          <w:rFonts w:hint="cs"/>
          <w:rtl/>
        </w:rPr>
        <w:t xml:space="preserve"> בשם </w:t>
      </w:r>
      <w:r w:rsidRPr="005C6514">
        <w:rPr>
          <w:rStyle w:val="af9"/>
          <w:rFonts w:hint="cs"/>
          <w:rtl/>
        </w:rPr>
        <w:t xml:space="preserve">י"א </w:t>
      </w:r>
      <w:r>
        <w:rPr>
          <w:rFonts w:hint="cs"/>
          <w:rtl/>
        </w:rPr>
        <w:t xml:space="preserve">דאף כשטען חוץ לב"ד בפני עדים להד"ם, ואמר התובע אתם עידי, ואח"כ באו עדים שלוה, דנאמן לחזור ולטעון בב"ד שלוה ופרע, ולא הוחזק כפרן, כיון שמה שהודה חוץ לב"ד לא חשיב הודאה אלא טענה, ועביד איניש דלא מגלי טענתיה אלא בב"ד, ולכן הוא נאמן לטעון פרעתי, בין אם טען שפרע לפני שהודה לו, ובין אם טען שפרע אח"כ, אך הביא </w:t>
      </w:r>
      <w:r w:rsidRPr="005C6514">
        <w:rPr>
          <w:rStyle w:val="af9"/>
          <w:rFonts w:hint="cs"/>
          <w:rtl/>
        </w:rPr>
        <w:t>בספר התרומות די"א</w:t>
      </w:r>
      <w:r>
        <w:rPr>
          <w:rFonts w:hint="cs"/>
          <w:rtl/>
        </w:rPr>
        <w:t xml:space="preserve"> דכיון שטען שלא לוה ואמר התובע אתם עידי, אף מחוץ לב"ד חשיב שהודה שלא פרע לו, ואינו נאמן לטעון פרעתי, ורק אם טען שפרע לאחר שתבעו נאמן, ועיי"ש במ"ש </w:t>
      </w:r>
      <w:r w:rsidRPr="005C6514">
        <w:rPr>
          <w:rStyle w:val="af9"/>
          <w:rFonts w:hint="cs"/>
          <w:rtl/>
        </w:rPr>
        <w:t>בספר התרומות</w:t>
      </w:r>
      <w:r>
        <w:rPr>
          <w:rFonts w:hint="cs"/>
          <w:rtl/>
        </w:rPr>
        <w:t xml:space="preserve"> כן מוכח מהגמ' בב"מ </w:t>
      </w:r>
      <w:r w:rsidRPr="00A4667E">
        <w:rPr>
          <w:rStyle w:val="af7"/>
          <w:rFonts w:eastAsia="Guttman Hodes" w:hint="cs"/>
          <w:rtl/>
        </w:rPr>
        <w:t>(יז.)</w:t>
      </w:r>
      <w:r>
        <w:rPr>
          <w:rFonts w:hint="cs"/>
          <w:rtl/>
        </w:rPr>
        <w:t xml:space="preserve">, וכתב </w:t>
      </w:r>
      <w:r w:rsidRPr="003A671A">
        <w:rPr>
          <w:rStyle w:val="af9"/>
          <w:rFonts w:hint="cs"/>
          <w:rtl/>
        </w:rPr>
        <w:t>בספר התרומות</w:t>
      </w:r>
      <w:r>
        <w:rPr>
          <w:rFonts w:hint="cs"/>
          <w:rtl/>
        </w:rPr>
        <w:t xml:space="preserve"> דכן דעת </w:t>
      </w:r>
      <w:r w:rsidRPr="005C6514">
        <w:rPr>
          <w:rStyle w:val="af9"/>
          <w:rFonts w:hint="cs"/>
          <w:rtl/>
        </w:rPr>
        <w:t>הראב"ד</w:t>
      </w:r>
      <w:r>
        <w:rPr>
          <w:rStyle w:val="af9"/>
          <w:rFonts w:hint="cs"/>
          <w:rtl/>
        </w:rPr>
        <w:t xml:space="preserve"> </w:t>
      </w:r>
      <w:r w:rsidRPr="00067BE1">
        <w:rPr>
          <w:rStyle w:val="af7"/>
          <w:rFonts w:eastAsia="Guttman Hodes" w:hint="cs"/>
          <w:rtl/>
        </w:rPr>
        <w:t xml:space="preserve">(עי' אות </w:t>
      </w:r>
      <w:r w:rsidRPr="00067BE1">
        <w:rPr>
          <w:rStyle w:val="af7"/>
          <w:rFonts w:eastAsia="Guttman Hodes"/>
          <w:rtl/>
        </w:rPr>
        <w:fldChar w:fldCharType="begin"/>
      </w:r>
      <w:r w:rsidRPr="00067BE1">
        <w:rPr>
          <w:rStyle w:val="af7"/>
          <w:rFonts w:eastAsia="Guttman Hodes"/>
          <w:rtl/>
        </w:rPr>
        <w:instrText xml:space="preserve"> </w:instrText>
      </w:r>
      <w:r w:rsidRPr="00067BE1">
        <w:rPr>
          <w:rStyle w:val="af7"/>
          <w:rFonts w:eastAsia="Guttman Hodes" w:hint="cs"/>
        </w:rPr>
        <w:instrText>REF</w:instrText>
      </w:r>
      <w:r w:rsidRPr="00067BE1">
        <w:rPr>
          <w:rStyle w:val="af7"/>
          <w:rFonts w:eastAsia="Guttman Hodes" w:hint="cs"/>
          <w:rtl/>
        </w:rPr>
        <w:instrText xml:space="preserve"> _</w:instrText>
      </w:r>
      <w:r w:rsidRPr="00067BE1">
        <w:rPr>
          <w:rStyle w:val="af7"/>
          <w:rFonts w:eastAsia="Guttman Hodes" w:hint="cs"/>
        </w:rPr>
        <w:instrText>Ref61970944 \r \h</w:instrText>
      </w:r>
      <w:r w:rsidRPr="00067BE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67BE1">
        <w:rPr>
          <w:rStyle w:val="af7"/>
          <w:rFonts w:eastAsia="Guttman Hodes"/>
          <w:rtl/>
        </w:rPr>
      </w:r>
      <w:r w:rsidRPr="00067BE1">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067BE1">
        <w:rPr>
          <w:rStyle w:val="af7"/>
          <w:rFonts w:eastAsia="Guttman Hodes"/>
          <w:rtl/>
        </w:rPr>
        <w:fldChar w:fldCharType="end"/>
      </w:r>
      <w:r>
        <w:rPr>
          <w:rFonts w:hint="cs"/>
          <w:rtl/>
        </w:rPr>
        <w:t>.</w:t>
      </w:r>
    </w:p>
    <w:p w:rsidR="00730F4A" w:rsidRPr="00730F4A" w:rsidRDefault="00730F4A" w:rsidP="00730F4A">
      <w:pPr>
        <w:pStyle w:val="a3"/>
        <w:rPr>
          <w:rtl/>
        </w:rPr>
      </w:pPr>
    </w:p>
    <w:p w:rsidR="00730F4A" w:rsidRPr="00730F4A" w:rsidRDefault="00730F4A" w:rsidP="00730F4A">
      <w:pPr>
        <w:pStyle w:val="a3"/>
        <w:rPr>
          <w:rtl/>
        </w:rPr>
      </w:pPr>
    </w:p>
    <w:p w:rsidR="00730F4A" w:rsidRPr="00730F4A" w:rsidRDefault="00730F4A" w:rsidP="00730F4A">
      <w:pPr>
        <w:pStyle w:val="a3"/>
        <w:rPr>
          <w:rtl/>
        </w:rPr>
      </w:pPr>
    </w:p>
    <w:p w:rsidR="00EC445E" w:rsidRDefault="00EC445E" w:rsidP="00EC445E">
      <w:pPr>
        <w:pStyle w:val="afe"/>
        <w:rPr>
          <w:rtl/>
        </w:rPr>
      </w:pPr>
      <w:bookmarkStart w:id="13051" w:name="_Toc62452586"/>
      <w:bookmarkStart w:id="13052" w:name="_Toc62453857"/>
      <w:bookmarkStart w:id="13053" w:name="_Toc62485569"/>
      <w:r>
        <w:rPr>
          <w:rFonts w:hint="cs"/>
          <w:rtl/>
        </w:rPr>
        <w:lastRenderedPageBreak/>
        <w:t>ד' הר"י מגאש דחוזר מפטור לפטור</w:t>
      </w:r>
      <w:bookmarkEnd w:id="13044"/>
      <w:bookmarkEnd w:id="13045"/>
      <w:bookmarkEnd w:id="13046"/>
      <w:bookmarkEnd w:id="13050"/>
      <w:r>
        <w:rPr>
          <w:rFonts w:hint="cs"/>
          <w:rtl/>
        </w:rPr>
        <w:t xml:space="preserve"> נאמן</w:t>
      </w:r>
      <w:bookmarkEnd w:id="13051"/>
      <w:bookmarkEnd w:id="13052"/>
      <w:bookmarkEnd w:id="13053"/>
    </w:p>
    <w:p w:rsidR="00EC445E" w:rsidRDefault="00EC445E" w:rsidP="00EC445E">
      <w:pPr>
        <w:pStyle w:val="1"/>
        <w:rPr>
          <w:rtl/>
        </w:rPr>
      </w:pPr>
      <w:bookmarkStart w:id="13054" w:name="_Toc62074378"/>
      <w:bookmarkStart w:id="13055" w:name="_Toc62160817"/>
      <w:bookmarkStart w:id="13056" w:name="_Toc62385978"/>
      <w:bookmarkStart w:id="13057" w:name="_Toc62420115"/>
      <w:bookmarkStart w:id="13058" w:name="_Toc62452587"/>
      <w:bookmarkStart w:id="13059" w:name="_Toc62453858"/>
      <w:bookmarkStart w:id="13060" w:name="_Toc62485570"/>
      <w:r>
        <w:rPr>
          <w:rFonts w:hint="cs"/>
          <w:rtl/>
        </w:rPr>
        <w:t>דברי הר"י מגאש</w:t>
      </w:r>
      <w:bookmarkEnd w:id="13054"/>
      <w:bookmarkEnd w:id="13055"/>
      <w:bookmarkEnd w:id="13056"/>
      <w:bookmarkEnd w:id="13057"/>
      <w:r>
        <w:rPr>
          <w:rFonts w:hint="cs"/>
          <w:rtl/>
        </w:rPr>
        <w:t xml:space="preserve"> דהנדון בסוגיין כשחזר אחר הכחשת העדים</w:t>
      </w:r>
      <w:bookmarkEnd w:id="13058"/>
      <w:bookmarkEnd w:id="13059"/>
      <w:bookmarkEnd w:id="13060"/>
    </w:p>
    <w:p w:rsidR="00EC445E" w:rsidRDefault="00EC445E" w:rsidP="00EC445E">
      <w:pPr>
        <w:pStyle w:val="a3"/>
      </w:pPr>
      <w:bookmarkStart w:id="13061" w:name="_Toc62452588"/>
      <w:bookmarkStart w:id="13062" w:name="_Toc62453859"/>
      <w:bookmarkStart w:id="13063" w:name="_Toc62485571"/>
      <w:r>
        <w:rPr>
          <w:rFonts w:hint="cs"/>
          <w:rtl/>
        </w:rPr>
        <w:t>דברי הר"י מגאש דעולא ונהרדעי פליגי כשבאו עדים ואח"כ חזר וטען ונותן אמתלא לדבריו</w:t>
      </w:r>
      <w:bookmarkEnd w:id="13061"/>
      <w:bookmarkEnd w:id="13062"/>
      <w:bookmarkEnd w:id="13063"/>
    </w:p>
    <w:p w:rsidR="00EC445E" w:rsidRDefault="00EC445E" w:rsidP="007E4E81">
      <w:pPr>
        <w:pStyle w:val="a0"/>
        <w:rPr>
          <w:rtl/>
        </w:rPr>
      </w:pPr>
      <w:bookmarkStart w:id="13064" w:name="_Ref62449923"/>
      <w:r w:rsidRPr="004E2D61">
        <w:rPr>
          <w:rFonts w:hint="cs"/>
          <w:rtl/>
        </w:rPr>
        <w:t xml:space="preserve">כתב </w:t>
      </w:r>
      <w:r w:rsidRPr="004E2D61">
        <w:rPr>
          <w:rStyle w:val="af9"/>
          <w:rtl/>
        </w:rPr>
        <w:t>הר"י מגאש</w:t>
      </w:r>
      <w:r w:rsidRPr="004E2D61">
        <w:rPr>
          <w:rFonts w:hint="cs"/>
          <w:rtl/>
        </w:rPr>
        <w:t xml:space="preserve"> </w:t>
      </w:r>
      <w:r w:rsidRPr="00D11282">
        <w:rPr>
          <w:rStyle w:val="af7"/>
          <w:rFonts w:eastAsia="Guttman Hodes" w:hint="cs"/>
          <w:rtl/>
        </w:rPr>
        <w:t>(ד"ה הדר אמר)</w:t>
      </w:r>
      <w:r w:rsidRPr="004E2D61">
        <w:rPr>
          <w:rFonts w:hint="cs"/>
          <w:rtl/>
        </w:rPr>
        <w:t xml:space="preserve"> דהנדון בחוזר וטוען,</w:t>
      </w:r>
      <w:r>
        <w:rPr>
          <w:rFonts w:hint="cs"/>
          <w:rtl/>
        </w:rPr>
        <w:t xml:space="preserve"> </w:t>
      </w:r>
      <w:r w:rsidRPr="00333576">
        <w:rPr>
          <w:rStyle w:val="afb"/>
          <w:rFonts w:hint="cs"/>
          <w:rtl/>
        </w:rPr>
        <w:t xml:space="preserve">[מטענת חיוב לטענת פטור], </w:t>
      </w:r>
      <w:r w:rsidRPr="004E2D61">
        <w:rPr>
          <w:rFonts w:hint="cs"/>
          <w:rtl/>
        </w:rPr>
        <w:t>הוא אחר שבאו עדים דהייתה של אבותיו של מערער, חזר וטען דהאמת היא כמו העדים, ומינך זבינתה וסמיך עלה כדאבהתי</w:t>
      </w:r>
      <w:r>
        <w:rPr>
          <w:rFonts w:hint="cs"/>
          <w:rtl/>
        </w:rPr>
        <w:t xml:space="preserve">, ובזה נחלקו עולא ונהרדעי אי חוזר וטוען כיון שנתן אמתלא לטענתו הראשונה, </w:t>
      </w:r>
      <w:r w:rsidRPr="004E2D61">
        <w:rPr>
          <w:rFonts w:hint="cs"/>
          <w:rtl/>
        </w:rPr>
        <w:t xml:space="preserve">וכתב </w:t>
      </w:r>
      <w:r w:rsidRPr="004E2D61">
        <w:rPr>
          <w:rStyle w:val="af9"/>
          <w:rtl/>
        </w:rPr>
        <w:t>הר"י מגאש</w:t>
      </w:r>
      <w:r w:rsidRPr="004E2D61">
        <w:rPr>
          <w:rFonts w:hint="cs"/>
          <w:rtl/>
        </w:rPr>
        <w:t xml:space="preserve"> </w:t>
      </w:r>
      <w:r w:rsidRPr="00D11282">
        <w:rPr>
          <w:rStyle w:val="af7"/>
          <w:rFonts w:eastAsia="Guttman Hodes" w:hint="cs"/>
          <w:rtl/>
        </w:rPr>
        <w:t>(ד"ה אמר אמימר)</w:t>
      </w:r>
      <w:r w:rsidRPr="004E2D61">
        <w:rPr>
          <w:rFonts w:hint="cs"/>
          <w:rtl/>
        </w:rPr>
        <w:t xml:space="preserve"> </w:t>
      </w:r>
      <w:r>
        <w:rPr>
          <w:rFonts w:hint="cs"/>
          <w:rtl/>
        </w:rPr>
        <w:t>ד</w:t>
      </w:r>
      <w:r w:rsidRPr="004E2D61">
        <w:rPr>
          <w:rFonts w:hint="cs"/>
          <w:rtl/>
        </w:rPr>
        <w:t>כשאינו נותן אמלתא, לכו"ע אינו חוזר וטוען</w:t>
      </w:r>
      <w:r>
        <w:rPr>
          <w:rFonts w:hint="cs"/>
          <w:rtl/>
        </w:rPr>
        <w:t>.</w:t>
      </w:r>
      <w:bookmarkEnd w:id="13064"/>
    </w:p>
    <w:p w:rsidR="00EC445E" w:rsidRPr="00396674" w:rsidRDefault="00EC445E" w:rsidP="00EC445E">
      <w:pPr>
        <w:pStyle w:val="a3"/>
        <w:rPr>
          <w:rtl/>
        </w:rPr>
      </w:pPr>
      <w:bookmarkStart w:id="13065" w:name="_Toc62452589"/>
      <w:bookmarkStart w:id="13066" w:name="_Toc62453860"/>
      <w:bookmarkStart w:id="13067" w:name="_Toc62485572"/>
      <w:r>
        <w:rPr>
          <w:rFonts w:hint="cs"/>
          <w:rtl/>
        </w:rPr>
        <w:t>ביאור הר"י מגאש דכיון שחזר אחר שהכחישוהו העדים ודאי דחזר מחמת העדים ואינו נאמן</w:t>
      </w:r>
      <w:bookmarkEnd w:id="13065"/>
      <w:bookmarkEnd w:id="13066"/>
      <w:bookmarkEnd w:id="13067"/>
    </w:p>
    <w:p w:rsidR="00EC445E" w:rsidRDefault="00EC445E" w:rsidP="007E4E81">
      <w:pPr>
        <w:pStyle w:val="a0"/>
        <w:rPr>
          <w:rtl/>
        </w:rPr>
      </w:pPr>
      <w:r>
        <w:rPr>
          <w:rFonts w:hint="cs"/>
          <w:rtl/>
        </w:rPr>
        <w:t>וביאר</w:t>
      </w:r>
      <w:r w:rsidRPr="004E2D61">
        <w:rPr>
          <w:rFonts w:hint="cs"/>
          <w:rtl/>
        </w:rPr>
        <w:t xml:space="preserve"> </w:t>
      </w:r>
      <w:r w:rsidRPr="004E2D61">
        <w:rPr>
          <w:rStyle w:val="af9"/>
          <w:rFonts w:hint="cs"/>
          <w:rtl/>
        </w:rPr>
        <w:t>הר"י</w:t>
      </w:r>
      <w:r w:rsidRPr="004E2D61">
        <w:rPr>
          <w:rFonts w:hint="cs"/>
          <w:rtl/>
        </w:rPr>
        <w:t xml:space="preserve"> </w:t>
      </w:r>
      <w:r w:rsidRPr="004E2D61">
        <w:rPr>
          <w:rStyle w:val="af9"/>
          <w:rFonts w:hint="cs"/>
          <w:rtl/>
        </w:rPr>
        <w:t>מגאש</w:t>
      </w:r>
      <w:r w:rsidRPr="004E2D61">
        <w:rPr>
          <w:rFonts w:hint="cs"/>
          <w:rtl/>
        </w:rPr>
        <w:t xml:space="preserve"> </w:t>
      </w:r>
      <w:r w:rsidRPr="00243CE6">
        <w:rPr>
          <w:rStyle w:val="af7"/>
          <w:rFonts w:eastAsia="Guttman Hodes" w:hint="cs"/>
          <w:rtl/>
        </w:rPr>
        <w:t>(ד"ה אינו חוזר)</w:t>
      </w:r>
      <w:r w:rsidRPr="004E2D61">
        <w:rPr>
          <w:rFonts w:hint="cs"/>
          <w:rtl/>
        </w:rPr>
        <w:t xml:space="preserve"> דהא דחוזר וטוען אינו נאמן, היינו דוקא כשחזר בו לאחר שהכחישו העדים את טענתו הראשונה, דודאי שמחמת עדות העדים הוא חוזר בו ממה שטען בתחילה, וטוען טענה אחרת</w:t>
      </w:r>
      <w:r>
        <w:rPr>
          <w:rFonts w:hint="cs"/>
          <w:rtl/>
        </w:rPr>
        <w:t>.</w:t>
      </w:r>
    </w:p>
    <w:p w:rsidR="00EC445E" w:rsidRPr="002228B9" w:rsidRDefault="00EC445E" w:rsidP="00EC445E">
      <w:pPr>
        <w:pStyle w:val="a3"/>
        <w:rPr>
          <w:rtl/>
        </w:rPr>
      </w:pPr>
      <w:r>
        <w:rPr>
          <w:rFonts w:hint="cs"/>
          <w:rtl/>
        </w:rPr>
        <w:t>:</w:t>
      </w:r>
    </w:p>
    <w:p w:rsidR="00EC445E" w:rsidRPr="00623C42" w:rsidRDefault="00EC445E" w:rsidP="00EC445E">
      <w:pPr>
        <w:pStyle w:val="a3"/>
      </w:pPr>
      <w:bookmarkStart w:id="13068" w:name="_Toc62452590"/>
      <w:bookmarkStart w:id="13069" w:name="_Toc62453861"/>
      <w:bookmarkStart w:id="13070" w:name="_Toc62485573"/>
      <w:r>
        <w:rPr>
          <w:rFonts w:hint="cs"/>
          <w:rtl/>
        </w:rPr>
        <w:t>בי' המאירי בר"י מגאש דחזר אחר הכחשת העדים נראה כמשקר ודברי הש"ך דהוא טענה גרועה</w:t>
      </w:r>
      <w:bookmarkEnd w:id="13068"/>
      <w:bookmarkEnd w:id="13069"/>
      <w:bookmarkEnd w:id="13070"/>
    </w:p>
    <w:p w:rsidR="00EC445E" w:rsidRDefault="00EC445E" w:rsidP="007E4E81">
      <w:pPr>
        <w:pStyle w:val="a0"/>
        <w:rPr>
          <w:rtl/>
        </w:rPr>
      </w:pPr>
      <w:r>
        <w:rPr>
          <w:rFonts w:hint="cs"/>
          <w:rtl/>
        </w:rPr>
        <w:t>ו</w:t>
      </w:r>
      <w:r w:rsidRPr="004E2D61">
        <w:rPr>
          <w:rFonts w:hint="cs"/>
          <w:rtl/>
        </w:rPr>
        <w:t xml:space="preserve">ביאר </w:t>
      </w:r>
      <w:r w:rsidRPr="004E2D61">
        <w:rPr>
          <w:rStyle w:val="af9"/>
          <w:rFonts w:hint="cs"/>
          <w:rtl/>
        </w:rPr>
        <w:t>המאירי</w:t>
      </w:r>
      <w:r w:rsidRPr="004E2D61">
        <w:rPr>
          <w:rFonts w:hint="cs"/>
          <w:rtl/>
        </w:rPr>
        <w:t xml:space="preserve"> </w:t>
      </w:r>
      <w:r w:rsidRPr="00D11282">
        <w:rPr>
          <w:rStyle w:val="af7"/>
          <w:rFonts w:eastAsia="Guttman Hodes" w:hint="cs"/>
          <w:rtl/>
        </w:rPr>
        <w:t>(ד"ה זה)</w:t>
      </w:r>
      <w:r w:rsidRPr="004E2D61">
        <w:rPr>
          <w:rFonts w:hint="cs"/>
          <w:rtl/>
        </w:rPr>
        <w:t xml:space="preserve"> </w:t>
      </w:r>
      <w:r>
        <w:rPr>
          <w:rFonts w:hint="cs"/>
          <w:rtl/>
        </w:rPr>
        <w:t>את דברי</w:t>
      </w:r>
      <w:r w:rsidRPr="004E2D61">
        <w:rPr>
          <w:rFonts w:hint="cs"/>
          <w:rtl/>
        </w:rPr>
        <w:t xml:space="preserve"> </w:t>
      </w:r>
      <w:r w:rsidRPr="004E2D61">
        <w:rPr>
          <w:rStyle w:val="af9"/>
          <w:rFonts w:hint="cs"/>
          <w:rtl/>
        </w:rPr>
        <w:t>הר"י מגאש</w:t>
      </w:r>
      <w:r w:rsidRPr="004E2D61">
        <w:rPr>
          <w:rFonts w:hint="cs"/>
          <w:rtl/>
        </w:rPr>
        <w:t xml:space="preserve"> [</w:t>
      </w:r>
      <w:r w:rsidRPr="004E2D61">
        <w:rPr>
          <w:rStyle w:val="af9"/>
          <w:rFonts w:hint="cs"/>
          <w:rtl/>
        </w:rPr>
        <w:t>גאוני</w:t>
      </w:r>
      <w:r w:rsidRPr="004E2D61">
        <w:rPr>
          <w:rFonts w:hint="cs"/>
          <w:rtl/>
        </w:rPr>
        <w:t xml:space="preserve"> </w:t>
      </w:r>
      <w:r w:rsidRPr="004E2D61">
        <w:rPr>
          <w:rStyle w:val="af9"/>
          <w:rFonts w:hint="cs"/>
          <w:rtl/>
        </w:rPr>
        <w:t>ספרד</w:t>
      </w:r>
      <w:r w:rsidRPr="004E2D61">
        <w:rPr>
          <w:rFonts w:hint="cs"/>
          <w:rtl/>
        </w:rPr>
        <w:t>]</w:t>
      </w:r>
      <w:r w:rsidRPr="00D11282">
        <w:rPr>
          <w:rStyle w:val="af7"/>
          <w:rFonts w:eastAsia="Guttman Hodes" w:hint="cs"/>
          <w:rtl/>
        </w:rPr>
        <w:t xml:space="preserve"> </w:t>
      </w:r>
      <w:r w:rsidRPr="004E2D61">
        <w:rPr>
          <w:rFonts w:hint="cs"/>
          <w:rtl/>
        </w:rPr>
        <w:t xml:space="preserve">דהחוזר וטוען אינו נאמן לאחר שהכחישוהו העדים, ודאי </w:t>
      </w:r>
      <w:r>
        <w:rPr>
          <w:rFonts w:hint="cs"/>
          <w:rtl/>
        </w:rPr>
        <w:t xml:space="preserve">שהוא </w:t>
      </w:r>
      <w:r w:rsidRPr="004E2D61">
        <w:rPr>
          <w:rFonts w:hint="cs"/>
          <w:rtl/>
        </w:rPr>
        <w:t xml:space="preserve">נראה </w:t>
      </w:r>
      <w:r>
        <w:rPr>
          <w:rFonts w:hint="cs"/>
          <w:rtl/>
        </w:rPr>
        <w:t>כ</w:t>
      </w:r>
      <w:r w:rsidRPr="004E2D61">
        <w:rPr>
          <w:rFonts w:hint="cs"/>
          <w:rtl/>
        </w:rPr>
        <w:t>משקר, וטוען כן מחמת שהכחישוהו העדים</w:t>
      </w:r>
      <w:r>
        <w:rPr>
          <w:rFonts w:hint="cs"/>
          <w:rtl/>
        </w:rPr>
        <w:t xml:space="preserve">, וע"ע במה שביאר </w:t>
      </w:r>
      <w:r w:rsidRPr="00243CE6">
        <w:rPr>
          <w:rStyle w:val="af9"/>
          <w:rFonts w:hint="cs"/>
          <w:rtl/>
        </w:rPr>
        <w:t>הש"ך</w:t>
      </w:r>
      <w:r>
        <w:rPr>
          <w:rFonts w:hint="cs"/>
          <w:rtl/>
        </w:rPr>
        <w:t xml:space="preserve"> </w:t>
      </w:r>
      <w:r w:rsidRPr="00D11282">
        <w:rPr>
          <w:rStyle w:val="af7"/>
          <w:rFonts w:eastAsia="Guttman Hodes" w:hint="cs"/>
          <w:rtl/>
        </w:rPr>
        <w:t xml:space="preserve">(עי' אות </w:t>
      </w:r>
      <w:r w:rsidRPr="00D11282">
        <w:rPr>
          <w:rStyle w:val="af7"/>
          <w:rFonts w:eastAsia="Guttman Hodes"/>
          <w:rtl/>
        </w:rPr>
        <w:fldChar w:fldCharType="begin"/>
      </w:r>
      <w:r w:rsidRPr="00D11282">
        <w:rPr>
          <w:rStyle w:val="af7"/>
          <w:rFonts w:eastAsia="Guttman Hodes"/>
          <w:rtl/>
        </w:rPr>
        <w:instrText xml:space="preserve"> </w:instrText>
      </w:r>
      <w:r w:rsidRPr="00D11282">
        <w:rPr>
          <w:rStyle w:val="af7"/>
          <w:rFonts w:eastAsia="Guttman Hodes" w:hint="cs"/>
        </w:rPr>
        <w:instrText>REF</w:instrText>
      </w:r>
      <w:r w:rsidRPr="00D11282">
        <w:rPr>
          <w:rStyle w:val="af7"/>
          <w:rFonts w:eastAsia="Guttman Hodes" w:hint="cs"/>
          <w:rtl/>
        </w:rPr>
        <w:instrText xml:space="preserve"> _</w:instrText>
      </w:r>
      <w:r w:rsidRPr="00D11282">
        <w:rPr>
          <w:rStyle w:val="af7"/>
          <w:rFonts w:eastAsia="Guttman Hodes" w:hint="cs"/>
        </w:rPr>
        <w:instrText>Ref62407179 \r \h</w:instrText>
      </w:r>
      <w:r w:rsidRPr="00D11282">
        <w:rPr>
          <w:rStyle w:val="af7"/>
          <w:rFonts w:eastAsia="Guttman Hodes"/>
          <w:rtl/>
        </w:rPr>
        <w:instrText xml:space="preserve"> </w:instrText>
      </w:r>
      <w:r w:rsidRPr="00D11282">
        <w:rPr>
          <w:rStyle w:val="af7"/>
          <w:rFonts w:eastAsia="Guttman Hodes"/>
          <w:rtl/>
        </w:rPr>
      </w:r>
      <w:r w:rsidRPr="00D11282">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D11282">
        <w:rPr>
          <w:rStyle w:val="af7"/>
          <w:rFonts w:eastAsia="Guttman Hodes"/>
          <w:rtl/>
        </w:rPr>
        <w:fldChar w:fldCharType="end"/>
      </w:r>
      <w:r>
        <w:rPr>
          <w:rFonts w:hint="cs"/>
          <w:rtl/>
        </w:rPr>
        <w:t xml:space="preserve"> את דברי</w:t>
      </w:r>
      <w:r w:rsidRPr="004E2D61">
        <w:rPr>
          <w:rFonts w:hint="cs"/>
          <w:rtl/>
        </w:rPr>
        <w:t xml:space="preserve"> </w:t>
      </w:r>
      <w:r w:rsidRPr="004E2D61">
        <w:rPr>
          <w:rStyle w:val="af9"/>
          <w:rFonts w:hint="cs"/>
          <w:rtl/>
        </w:rPr>
        <w:t>הר"י מגאש</w:t>
      </w:r>
      <w:r w:rsidRPr="004E2D61">
        <w:rPr>
          <w:rFonts w:hint="cs"/>
          <w:rtl/>
        </w:rPr>
        <w:t xml:space="preserve"> דכל שהוא חוזר וטוען, כיון שחזר בו ממה שטען בתחילה, חשיב שטענתו היא טענה גרועה.</w:t>
      </w:r>
    </w:p>
    <w:p w:rsidR="00EC445E" w:rsidRDefault="00EC445E" w:rsidP="00EC445E">
      <w:pPr>
        <w:pStyle w:val="1"/>
        <w:rPr>
          <w:rtl/>
        </w:rPr>
      </w:pPr>
      <w:bookmarkStart w:id="13071" w:name="_Toc62452591"/>
      <w:bookmarkStart w:id="13072" w:name="_Toc62453862"/>
      <w:bookmarkStart w:id="13073" w:name="_Toc62485574"/>
      <w:r>
        <w:rPr>
          <w:rFonts w:hint="cs"/>
          <w:rtl/>
        </w:rPr>
        <w:t>דברי הר"י מגאש דבחוזר מפטור לפטור נאמן אף בלי אמתלא</w:t>
      </w:r>
      <w:bookmarkEnd w:id="13071"/>
      <w:bookmarkEnd w:id="13072"/>
      <w:bookmarkEnd w:id="13073"/>
    </w:p>
    <w:p w:rsidR="00EC445E" w:rsidRPr="004E2D61" w:rsidRDefault="00EC445E" w:rsidP="00EC445E">
      <w:pPr>
        <w:pStyle w:val="a3"/>
      </w:pPr>
      <w:bookmarkStart w:id="13074" w:name="_Toc62452592"/>
      <w:bookmarkStart w:id="13075" w:name="_Toc62453863"/>
      <w:bookmarkStart w:id="13076" w:name="_Toc62485575"/>
      <w:r>
        <w:rPr>
          <w:rFonts w:hint="cs"/>
          <w:rtl/>
        </w:rPr>
        <w:t>דברי הר"י מגאש דבחוזר מפטור לפטור אחר הכחשת העדים נאמן אף בלא אמתלא וביצא מב"ד</w:t>
      </w:r>
      <w:bookmarkEnd w:id="13074"/>
      <w:bookmarkEnd w:id="13075"/>
      <w:bookmarkEnd w:id="13076"/>
    </w:p>
    <w:p w:rsidR="00EC445E" w:rsidRDefault="00EC445E" w:rsidP="007E4E81">
      <w:pPr>
        <w:pStyle w:val="a0"/>
        <w:rPr>
          <w:rtl/>
        </w:rPr>
      </w:pPr>
      <w:bookmarkStart w:id="13077" w:name="_Ref61987752"/>
      <w:bookmarkStart w:id="13078" w:name="_Ref62461880"/>
      <w:r w:rsidRPr="004E2D61">
        <w:rPr>
          <w:rFonts w:hint="cs"/>
          <w:rtl/>
        </w:rPr>
        <w:t xml:space="preserve">כתב </w:t>
      </w:r>
      <w:r w:rsidRPr="004E2D61">
        <w:rPr>
          <w:rStyle w:val="af9"/>
          <w:rFonts w:hint="cs"/>
          <w:rtl/>
        </w:rPr>
        <w:t>הר"י</w:t>
      </w:r>
      <w:r w:rsidRPr="004E2D61">
        <w:rPr>
          <w:rFonts w:hint="cs"/>
          <w:rtl/>
        </w:rPr>
        <w:t xml:space="preserve"> </w:t>
      </w:r>
      <w:r w:rsidRPr="004E2D61">
        <w:rPr>
          <w:rStyle w:val="af9"/>
          <w:rFonts w:hint="cs"/>
          <w:rtl/>
        </w:rPr>
        <w:t>מגאש</w:t>
      </w:r>
      <w:r w:rsidRPr="004E2D61">
        <w:rPr>
          <w:rFonts w:hint="cs"/>
          <w:rtl/>
        </w:rPr>
        <w:t xml:space="preserve"> </w:t>
      </w:r>
      <w:r w:rsidRPr="00243CE6">
        <w:rPr>
          <w:rStyle w:val="af7"/>
          <w:rFonts w:eastAsia="Guttman Hodes" w:hint="cs"/>
          <w:rtl/>
        </w:rPr>
        <w:t>(ד"ה אינו חוזר)</w:t>
      </w:r>
      <w:r w:rsidRPr="004E2D61">
        <w:rPr>
          <w:rFonts w:hint="cs"/>
          <w:rtl/>
        </w:rPr>
        <w:t xml:space="preserve"> דהא דחוזר וטוען אינו נאמן, היינו דוקא כשחזר בו לאחר שהכחישו העדים את טענתו הראשונה, דודאי שמחמת עדות העדים הוא חוזר בו ממה שטען בתחילה, וטוען טענה אחרת, אבל במקום ולא באו עדים והכחישוהו, נאמן לחזור ולטעון טענה אחרת, </w:t>
      </w:r>
      <w:r w:rsidRPr="004E2D61">
        <w:rPr>
          <w:rStyle w:val="afb"/>
          <w:rFonts w:hint="cs"/>
          <w:rtl/>
        </w:rPr>
        <w:t>[בטוען מפטור לפטור]</w:t>
      </w:r>
      <w:bookmarkEnd w:id="13077"/>
      <w:r w:rsidRPr="004E2D61">
        <w:rPr>
          <w:rStyle w:val="afb"/>
          <w:rFonts w:hint="cs"/>
          <w:rtl/>
        </w:rPr>
        <w:t xml:space="preserve">, </w:t>
      </w:r>
      <w:r w:rsidRPr="004E2D61">
        <w:rPr>
          <w:rFonts w:hint="cs"/>
          <w:rtl/>
        </w:rPr>
        <w:t xml:space="preserve">והוסיף </w:t>
      </w:r>
      <w:r w:rsidRPr="004E2D61">
        <w:rPr>
          <w:rStyle w:val="af9"/>
          <w:rFonts w:hint="cs"/>
          <w:rtl/>
        </w:rPr>
        <w:t>הר"י מגאש</w:t>
      </w:r>
      <w:r w:rsidRPr="004E2D61">
        <w:rPr>
          <w:rFonts w:hint="cs"/>
          <w:rtl/>
        </w:rPr>
        <w:t xml:space="preserve"> דאף כשאינו נותן אמתלא לטענתו הראשונה, וחוזר וטוען טענה אחרת, ואף כשיצא חוץ לב"ד ואח"כ חזר וטען נאמן, וכ"כ </w:t>
      </w:r>
      <w:r w:rsidRPr="004E2D61">
        <w:rPr>
          <w:rStyle w:val="af9"/>
          <w:rFonts w:hint="cs"/>
          <w:rtl/>
        </w:rPr>
        <w:t>הרמב"ם</w:t>
      </w:r>
      <w:r w:rsidRPr="004E2D61">
        <w:rPr>
          <w:rFonts w:hint="cs"/>
          <w:rtl/>
        </w:rPr>
        <w:t xml:space="preserve"> </w:t>
      </w:r>
      <w:r w:rsidRPr="00243CE6">
        <w:rPr>
          <w:rStyle w:val="af7"/>
          <w:rFonts w:eastAsia="Guttman Hodes" w:hint="cs"/>
          <w:rtl/>
        </w:rPr>
        <w:t xml:space="preserve">(עי' אות </w:t>
      </w:r>
      <w:r w:rsidRPr="00243CE6">
        <w:rPr>
          <w:rStyle w:val="af7"/>
          <w:rFonts w:eastAsia="Guttman Hodes"/>
          <w:rtl/>
        </w:rPr>
        <w:fldChar w:fldCharType="begin"/>
      </w:r>
      <w:r w:rsidRPr="00243CE6">
        <w:rPr>
          <w:rStyle w:val="af7"/>
          <w:rFonts w:eastAsia="Guttman Hodes"/>
          <w:rtl/>
        </w:rPr>
        <w:instrText xml:space="preserve"> </w:instrText>
      </w:r>
      <w:r w:rsidRPr="00243CE6">
        <w:rPr>
          <w:rStyle w:val="af7"/>
          <w:rFonts w:eastAsia="Guttman Hodes" w:hint="cs"/>
        </w:rPr>
        <w:instrText>REF</w:instrText>
      </w:r>
      <w:r w:rsidRPr="00243CE6">
        <w:rPr>
          <w:rStyle w:val="af7"/>
          <w:rFonts w:eastAsia="Guttman Hodes" w:hint="cs"/>
          <w:rtl/>
        </w:rPr>
        <w:instrText xml:space="preserve"> _</w:instrText>
      </w:r>
      <w:r w:rsidRPr="00243CE6">
        <w:rPr>
          <w:rStyle w:val="af7"/>
          <w:rFonts w:eastAsia="Guttman Hodes" w:hint="cs"/>
        </w:rPr>
        <w:instrText>Ref62124167 \r \h</w:instrText>
      </w:r>
      <w:r w:rsidRPr="00243CE6">
        <w:rPr>
          <w:rStyle w:val="af7"/>
          <w:rFonts w:eastAsia="Guttman Hodes"/>
          <w:rtl/>
        </w:rPr>
        <w:instrText xml:space="preserve">  \* </w:instrText>
      </w:r>
      <w:r w:rsidRPr="00243CE6">
        <w:rPr>
          <w:rStyle w:val="af7"/>
          <w:rFonts w:eastAsia="Guttman Hodes"/>
        </w:rPr>
        <w:instrText>MERGEFORMAT</w:instrText>
      </w:r>
      <w:r w:rsidRPr="00243CE6">
        <w:rPr>
          <w:rStyle w:val="af7"/>
          <w:rFonts w:eastAsia="Guttman Hodes"/>
          <w:rtl/>
        </w:rPr>
        <w:instrText xml:space="preserve"> </w:instrText>
      </w:r>
      <w:r w:rsidRPr="00243CE6">
        <w:rPr>
          <w:rStyle w:val="af7"/>
          <w:rFonts w:eastAsia="Guttman Hodes"/>
          <w:rtl/>
        </w:rPr>
      </w:r>
      <w:r w:rsidRPr="00243CE6">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243CE6">
        <w:rPr>
          <w:rStyle w:val="af7"/>
          <w:rFonts w:eastAsia="Guttman Hodes"/>
          <w:rtl/>
        </w:rPr>
        <w:fldChar w:fldCharType="end"/>
      </w:r>
      <w:bookmarkStart w:id="13079" w:name="_Ref61987421"/>
      <w:r>
        <w:rPr>
          <w:rFonts w:hint="cs"/>
          <w:rtl/>
        </w:rPr>
        <w:t xml:space="preserve"> </w:t>
      </w:r>
      <w:r w:rsidRPr="005A4412">
        <w:rPr>
          <w:rStyle w:val="af9"/>
          <w:rFonts w:hint="cs"/>
          <w:rtl/>
        </w:rPr>
        <w:t>והיד רמ"ה</w:t>
      </w:r>
      <w:r>
        <w:rPr>
          <w:rFonts w:hint="cs"/>
          <w:rtl/>
        </w:rPr>
        <w:t xml:space="preserve"> </w:t>
      </w:r>
      <w:r w:rsidRPr="005A4412">
        <w:rPr>
          <w:rStyle w:val="af7"/>
          <w:rFonts w:eastAsia="Guttman Hodes" w:hint="cs"/>
          <w:rtl/>
        </w:rPr>
        <w:t xml:space="preserve">(עי' אות </w:t>
      </w:r>
      <w:r w:rsidRPr="005A4412">
        <w:rPr>
          <w:rStyle w:val="af7"/>
          <w:rFonts w:eastAsia="Guttman Hodes"/>
          <w:rtl/>
        </w:rPr>
        <w:fldChar w:fldCharType="begin"/>
      </w:r>
      <w:r w:rsidRPr="005A4412">
        <w:rPr>
          <w:rStyle w:val="af7"/>
          <w:rFonts w:eastAsia="Guttman Hodes"/>
          <w:rtl/>
        </w:rPr>
        <w:instrText xml:space="preserve"> </w:instrText>
      </w:r>
      <w:r w:rsidRPr="005A4412">
        <w:rPr>
          <w:rStyle w:val="af7"/>
          <w:rFonts w:eastAsia="Guttman Hodes" w:hint="cs"/>
        </w:rPr>
        <w:instrText>REF</w:instrText>
      </w:r>
      <w:r w:rsidRPr="005A4412">
        <w:rPr>
          <w:rStyle w:val="af7"/>
          <w:rFonts w:eastAsia="Guttman Hodes" w:hint="cs"/>
          <w:rtl/>
        </w:rPr>
        <w:instrText xml:space="preserve"> _</w:instrText>
      </w:r>
      <w:r w:rsidRPr="005A4412">
        <w:rPr>
          <w:rStyle w:val="af7"/>
          <w:rFonts w:eastAsia="Guttman Hodes" w:hint="cs"/>
        </w:rPr>
        <w:instrText>Ref62452833 \r \h</w:instrText>
      </w:r>
      <w:r w:rsidRPr="005A4412">
        <w:rPr>
          <w:rStyle w:val="af7"/>
          <w:rFonts w:eastAsia="Guttman Hodes"/>
          <w:rtl/>
        </w:rPr>
        <w:instrText xml:space="preserve"> </w:instrText>
      </w:r>
      <w:r w:rsidRPr="005A4412">
        <w:rPr>
          <w:rStyle w:val="af7"/>
          <w:rFonts w:eastAsia="Guttman Hodes"/>
          <w:rtl/>
        </w:rPr>
      </w:r>
      <w:r w:rsidRPr="005A4412">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5A4412">
        <w:rPr>
          <w:rStyle w:val="af7"/>
          <w:rFonts w:eastAsia="Guttman Hodes"/>
          <w:rtl/>
        </w:rPr>
        <w:fldChar w:fldCharType="end"/>
      </w:r>
      <w:r>
        <w:rPr>
          <w:rFonts w:hint="cs"/>
          <w:rtl/>
        </w:rPr>
        <w:t>.</w:t>
      </w:r>
      <w:bookmarkEnd w:id="13078"/>
    </w:p>
    <w:p w:rsidR="00EC445E" w:rsidRPr="00840595" w:rsidRDefault="00EC445E" w:rsidP="00EC445E">
      <w:pPr>
        <w:pStyle w:val="a3"/>
      </w:pPr>
      <w:bookmarkStart w:id="13080" w:name="_Toc62452593"/>
      <w:bookmarkStart w:id="13081" w:name="_Toc62453864"/>
      <w:bookmarkStart w:id="13082" w:name="_Toc62485576"/>
      <w:r>
        <w:rPr>
          <w:rFonts w:hint="cs"/>
          <w:rtl/>
        </w:rPr>
        <w:t>ביאור הר"י מגאש דבחוזר וטוען מפטור לפטור נאמן במיגו דהיה עומד בטענתו הראשונה</w:t>
      </w:r>
      <w:bookmarkEnd w:id="13080"/>
      <w:bookmarkEnd w:id="13081"/>
      <w:bookmarkEnd w:id="13082"/>
    </w:p>
    <w:p w:rsidR="00EC445E" w:rsidRPr="004E2D61" w:rsidRDefault="00EC445E" w:rsidP="007E4E81">
      <w:pPr>
        <w:pStyle w:val="a0"/>
        <w:rPr>
          <w:rtl/>
        </w:rPr>
      </w:pPr>
      <w:bookmarkStart w:id="13083" w:name="_Ref62452796"/>
      <w:r w:rsidRPr="004E2D61">
        <w:rPr>
          <w:rFonts w:hint="cs"/>
          <w:rtl/>
        </w:rPr>
        <w:t xml:space="preserve">וביאר </w:t>
      </w:r>
      <w:r w:rsidRPr="004E2D61">
        <w:rPr>
          <w:rStyle w:val="af9"/>
          <w:rFonts w:hint="cs"/>
          <w:rtl/>
        </w:rPr>
        <w:t>הר"י מגאש</w:t>
      </w:r>
      <w:r w:rsidRPr="004E2D61">
        <w:rPr>
          <w:rFonts w:hint="cs"/>
          <w:rtl/>
        </w:rPr>
        <w:t xml:space="preserve"> דהוא נאמן במיגו, דכיון שהיה יכול לעמוד בטענתו הראשונה ולהפטר, דהא אין עדים שמכחישים אותו, לכן נאמן אף כשעוקר את טענתו הראשונה וטוען טענה אחרת שפוטרתו</w:t>
      </w:r>
      <w:r>
        <w:rPr>
          <w:rFonts w:hint="cs"/>
          <w:rtl/>
        </w:rPr>
        <w:t xml:space="preserve">, וכ"כ </w:t>
      </w:r>
      <w:r w:rsidRPr="005A4412">
        <w:rPr>
          <w:rStyle w:val="af9"/>
          <w:rFonts w:hint="cs"/>
          <w:rtl/>
        </w:rPr>
        <w:t>היד רמ"ה</w:t>
      </w:r>
      <w:r>
        <w:rPr>
          <w:rFonts w:hint="cs"/>
          <w:rtl/>
        </w:rPr>
        <w:t xml:space="preserve"> </w:t>
      </w:r>
      <w:r w:rsidRPr="005A4412">
        <w:rPr>
          <w:rStyle w:val="af7"/>
          <w:rFonts w:eastAsia="Guttman Hodes" w:hint="cs"/>
          <w:rtl/>
        </w:rPr>
        <w:t xml:space="preserve">(עי' אות </w:t>
      </w:r>
      <w:r w:rsidRPr="005A4412">
        <w:rPr>
          <w:rStyle w:val="af7"/>
          <w:rFonts w:eastAsia="Guttman Hodes"/>
          <w:rtl/>
        </w:rPr>
        <w:fldChar w:fldCharType="begin"/>
      </w:r>
      <w:r w:rsidRPr="005A4412">
        <w:rPr>
          <w:rStyle w:val="af7"/>
          <w:rFonts w:eastAsia="Guttman Hodes"/>
          <w:rtl/>
        </w:rPr>
        <w:instrText xml:space="preserve"> </w:instrText>
      </w:r>
      <w:r w:rsidRPr="005A4412">
        <w:rPr>
          <w:rStyle w:val="af7"/>
          <w:rFonts w:eastAsia="Guttman Hodes" w:hint="cs"/>
        </w:rPr>
        <w:instrText>REF</w:instrText>
      </w:r>
      <w:r w:rsidRPr="005A4412">
        <w:rPr>
          <w:rStyle w:val="af7"/>
          <w:rFonts w:eastAsia="Guttman Hodes" w:hint="cs"/>
          <w:rtl/>
        </w:rPr>
        <w:instrText xml:space="preserve"> _</w:instrText>
      </w:r>
      <w:r w:rsidRPr="005A4412">
        <w:rPr>
          <w:rStyle w:val="af7"/>
          <w:rFonts w:eastAsia="Guttman Hodes" w:hint="cs"/>
        </w:rPr>
        <w:instrText>Ref62452841 \r \h</w:instrText>
      </w:r>
      <w:r w:rsidRPr="005A4412">
        <w:rPr>
          <w:rStyle w:val="af7"/>
          <w:rFonts w:eastAsia="Guttman Hodes"/>
          <w:rtl/>
        </w:rPr>
        <w:instrText xml:space="preserve"> </w:instrText>
      </w:r>
      <w:r w:rsidRPr="005A4412">
        <w:rPr>
          <w:rStyle w:val="af7"/>
          <w:rFonts w:eastAsia="Guttman Hodes"/>
          <w:rtl/>
        </w:rPr>
      </w:r>
      <w:r w:rsidRPr="005A4412">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5A4412">
        <w:rPr>
          <w:rStyle w:val="af7"/>
          <w:rFonts w:eastAsia="Guttman Hodes"/>
          <w:rtl/>
        </w:rPr>
        <w:fldChar w:fldCharType="end"/>
      </w:r>
      <w:r>
        <w:rPr>
          <w:rFonts w:hint="cs"/>
          <w:rtl/>
        </w:rPr>
        <w:t xml:space="preserve">, ועי' במה שביארו </w:t>
      </w:r>
      <w:r w:rsidRPr="00E9783E">
        <w:rPr>
          <w:rStyle w:val="af9"/>
          <w:rFonts w:hint="cs"/>
          <w:rtl/>
        </w:rPr>
        <w:t>הש"ך</w:t>
      </w:r>
      <w:r>
        <w:rPr>
          <w:rFonts w:hint="cs"/>
          <w:rtl/>
        </w:rPr>
        <w:t xml:space="preserve"> </w:t>
      </w:r>
      <w:r w:rsidRPr="00045A22">
        <w:rPr>
          <w:rStyle w:val="af7"/>
          <w:rFonts w:eastAsia="Guttman Hodes" w:hint="cs"/>
          <w:rtl/>
        </w:rPr>
        <w:t>(עי' אות</w:t>
      </w:r>
      <w:r>
        <w:rPr>
          <w:rFonts w:hint="cs"/>
          <w:rtl/>
        </w:rPr>
        <w:t xml:space="preserve"> </w:t>
      </w:r>
      <w:r w:rsidRPr="00045A22">
        <w:rPr>
          <w:rStyle w:val="af7"/>
          <w:rFonts w:eastAsia="Guttman Hodes"/>
          <w:rtl/>
        </w:rPr>
        <w:fldChar w:fldCharType="begin"/>
      </w:r>
      <w:r w:rsidRPr="00045A22">
        <w:rPr>
          <w:rStyle w:val="af7"/>
          <w:rFonts w:eastAsia="Guttman Hodes"/>
          <w:rtl/>
        </w:rPr>
        <w:instrText xml:space="preserve"> </w:instrText>
      </w:r>
      <w:r w:rsidRPr="00045A22">
        <w:rPr>
          <w:rStyle w:val="af7"/>
          <w:rFonts w:eastAsia="Guttman Hodes" w:hint="cs"/>
        </w:rPr>
        <w:instrText>REF</w:instrText>
      </w:r>
      <w:r w:rsidRPr="00045A22">
        <w:rPr>
          <w:rStyle w:val="af7"/>
          <w:rFonts w:eastAsia="Guttman Hodes" w:hint="cs"/>
          <w:rtl/>
        </w:rPr>
        <w:instrText xml:space="preserve"> _</w:instrText>
      </w:r>
      <w:r w:rsidRPr="00045A22">
        <w:rPr>
          <w:rStyle w:val="af7"/>
          <w:rFonts w:eastAsia="Guttman Hodes" w:hint="cs"/>
        </w:rPr>
        <w:instrText>Ref62407179 \r \h</w:instrText>
      </w:r>
      <w:r w:rsidRPr="00045A22">
        <w:rPr>
          <w:rStyle w:val="af7"/>
          <w:rFonts w:eastAsia="Guttman Hodes"/>
          <w:rtl/>
        </w:rPr>
        <w:instrText xml:space="preserve"> </w:instrText>
      </w:r>
      <w:r w:rsidRPr="00045A22">
        <w:rPr>
          <w:rStyle w:val="af7"/>
          <w:rFonts w:eastAsia="Guttman Hodes"/>
          <w:rtl/>
        </w:rPr>
      </w:r>
      <w:r w:rsidRPr="00045A22">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045A22">
        <w:rPr>
          <w:rStyle w:val="af7"/>
          <w:rFonts w:eastAsia="Guttman Hodes"/>
          <w:rtl/>
        </w:rPr>
        <w:fldChar w:fldCharType="end"/>
      </w:r>
      <w:r>
        <w:rPr>
          <w:rFonts w:hint="cs"/>
          <w:rtl/>
        </w:rPr>
        <w:t xml:space="preserve"> </w:t>
      </w:r>
      <w:r w:rsidRPr="00E9783E">
        <w:rPr>
          <w:rStyle w:val="af9"/>
          <w:rFonts w:hint="cs"/>
          <w:rtl/>
        </w:rPr>
        <w:t xml:space="preserve">והמהר"י </w:t>
      </w:r>
      <w:r w:rsidRPr="00ED766D">
        <w:rPr>
          <w:rStyle w:val="af9"/>
          <w:rFonts w:hint="cs"/>
          <w:rtl/>
        </w:rPr>
        <w:t>בן לב</w:t>
      </w:r>
      <w:r>
        <w:rPr>
          <w:rFonts w:hint="cs"/>
          <w:rtl/>
        </w:rPr>
        <w:t xml:space="preserve"> </w:t>
      </w:r>
      <w:r w:rsidRPr="00ED766D">
        <w:rPr>
          <w:rStyle w:val="af7"/>
          <w:rFonts w:eastAsia="Guttman Hodes" w:hint="cs"/>
          <w:rtl/>
        </w:rPr>
        <w:t xml:space="preserve">(עי' אות </w:t>
      </w:r>
      <w:r w:rsidRPr="00ED766D">
        <w:rPr>
          <w:rStyle w:val="af7"/>
          <w:rFonts w:eastAsia="Guttman Hodes"/>
          <w:rtl/>
        </w:rPr>
        <w:fldChar w:fldCharType="begin"/>
      </w:r>
      <w:r w:rsidRPr="00ED766D">
        <w:rPr>
          <w:rStyle w:val="af7"/>
          <w:rFonts w:eastAsia="Guttman Hodes"/>
          <w:rtl/>
        </w:rPr>
        <w:instrText xml:space="preserve"> </w:instrText>
      </w:r>
      <w:r w:rsidRPr="00ED766D">
        <w:rPr>
          <w:rStyle w:val="af7"/>
          <w:rFonts w:eastAsia="Guttman Hodes" w:hint="cs"/>
        </w:rPr>
        <w:instrText>REF</w:instrText>
      </w:r>
      <w:r w:rsidRPr="00ED766D">
        <w:rPr>
          <w:rStyle w:val="af7"/>
          <w:rFonts w:eastAsia="Guttman Hodes" w:hint="cs"/>
          <w:rtl/>
        </w:rPr>
        <w:instrText xml:space="preserve"> _</w:instrText>
      </w:r>
      <w:r w:rsidRPr="00ED766D">
        <w:rPr>
          <w:rStyle w:val="af7"/>
          <w:rFonts w:eastAsia="Guttman Hodes" w:hint="cs"/>
        </w:rPr>
        <w:instrText>Ref62402139 \r \h</w:instrText>
      </w:r>
      <w:r w:rsidRPr="00ED766D">
        <w:rPr>
          <w:rStyle w:val="af7"/>
          <w:rFonts w:eastAsia="Guttman Hodes"/>
          <w:rtl/>
        </w:rPr>
        <w:instrText xml:space="preserve"> </w:instrText>
      </w:r>
      <w:r w:rsidRPr="00ED766D">
        <w:rPr>
          <w:rStyle w:val="af7"/>
          <w:rFonts w:eastAsia="Guttman Hodes"/>
          <w:rtl/>
        </w:rPr>
      </w:r>
      <w:r w:rsidRPr="00ED766D">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D766D">
        <w:rPr>
          <w:rStyle w:val="af7"/>
          <w:rFonts w:eastAsia="Guttman Hodes"/>
          <w:rtl/>
        </w:rPr>
        <w:fldChar w:fldCharType="end"/>
      </w:r>
      <w:r>
        <w:rPr>
          <w:rFonts w:hint="cs"/>
          <w:rtl/>
        </w:rPr>
        <w:t xml:space="preserve"> </w:t>
      </w:r>
      <w:r w:rsidRPr="00E9783E">
        <w:rPr>
          <w:rStyle w:val="af9"/>
          <w:rFonts w:hint="cs"/>
          <w:rtl/>
        </w:rPr>
        <w:t>והקצוה"ח</w:t>
      </w:r>
      <w:r>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Ref62462034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עא</w:t>
      </w:r>
      <w:r w:rsidR="00265073">
        <w:rPr>
          <w:rStyle w:val="af7"/>
          <w:rFonts w:eastAsia="Guttman Hodes"/>
          <w:rtl/>
        </w:rPr>
        <w:t>)</w:t>
      </w:r>
      <w:r>
        <w:rPr>
          <w:rStyle w:val="af7"/>
          <w:rFonts w:eastAsia="Guttman Hodes" w:hint="cs"/>
          <w:rtl/>
        </w:rPr>
        <w:fldChar w:fldCharType="end"/>
      </w:r>
      <w:r>
        <w:rPr>
          <w:rtl/>
        </w:rPr>
        <w:t xml:space="preserve"> </w:t>
      </w:r>
      <w:r>
        <w:rPr>
          <w:rFonts w:hint="cs"/>
          <w:rtl/>
        </w:rPr>
        <w:t>ו</w:t>
      </w:r>
      <w:r w:rsidRPr="00E9783E">
        <w:rPr>
          <w:rStyle w:val="af9"/>
          <w:rFonts w:hint="cs"/>
          <w:rtl/>
        </w:rPr>
        <w:t>התומים</w:t>
      </w:r>
      <w:r>
        <w:rPr>
          <w:rFonts w:hint="cs"/>
          <w:rtl/>
        </w:rPr>
        <w:t xml:space="preserve"> </w:t>
      </w:r>
      <w:r w:rsidRPr="00045A22">
        <w:rPr>
          <w:rStyle w:val="af7"/>
          <w:rFonts w:eastAsia="Guttman Hodes" w:hint="cs"/>
          <w:rtl/>
        </w:rPr>
        <w:t>(עי' אות</w:t>
      </w:r>
      <w:r>
        <w:rPr>
          <w:rFonts w:hint="cs"/>
          <w:rtl/>
        </w:rPr>
        <w:t xml:space="preserve"> </w:t>
      </w:r>
      <w:r w:rsidRPr="00045A22">
        <w:rPr>
          <w:rStyle w:val="af7"/>
          <w:rFonts w:eastAsia="Guttman Hodes"/>
          <w:rtl/>
        </w:rPr>
        <w:fldChar w:fldCharType="begin"/>
      </w:r>
      <w:r w:rsidRPr="00045A22">
        <w:rPr>
          <w:rStyle w:val="af7"/>
          <w:rFonts w:eastAsia="Guttman Hodes"/>
          <w:rtl/>
        </w:rPr>
        <w:instrText xml:space="preserve"> </w:instrText>
      </w:r>
      <w:r w:rsidRPr="00045A22">
        <w:rPr>
          <w:rStyle w:val="af7"/>
          <w:rFonts w:eastAsia="Guttman Hodes" w:hint="cs"/>
        </w:rPr>
        <w:instrText>REF</w:instrText>
      </w:r>
      <w:r w:rsidRPr="00045A22">
        <w:rPr>
          <w:rStyle w:val="af7"/>
          <w:rFonts w:eastAsia="Guttman Hodes" w:hint="cs"/>
          <w:rtl/>
        </w:rPr>
        <w:instrText xml:space="preserve"> _</w:instrText>
      </w:r>
      <w:r w:rsidRPr="00045A22">
        <w:rPr>
          <w:rStyle w:val="af7"/>
          <w:rFonts w:eastAsia="Guttman Hodes" w:hint="cs"/>
        </w:rPr>
        <w:instrText>Ref62465084 \r \h</w:instrText>
      </w:r>
      <w:r w:rsidRPr="00045A22">
        <w:rPr>
          <w:rStyle w:val="af7"/>
          <w:rFonts w:eastAsia="Guttman Hodes"/>
          <w:rtl/>
        </w:rPr>
        <w:instrText xml:space="preserve"> </w:instrText>
      </w:r>
      <w:r w:rsidRPr="00045A22">
        <w:rPr>
          <w:rStyle w:val="af7"/>
          <w:rFonts w:eastAsia="Guttman Hodes"/>
          <w:rtl/>
        </w:rPr>
      </w:r>
      <w:r w:rsidRPr="00045A22">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045A22">
        <w:rPr>
          <w:rStyle w:val="af7"/>
          <w:rFonts w:eastAsia="Guttman Hodes"/>
          <w:rtl/>
        </w:rPr>
        <w:fldChar w:fldCharType="end"/>
      </w:r>
      <w:r>
        <w:rPr>
          <w:rFonts w:hint="cs"/>
          <w:rtl/>
        </w:rPr>
        <w:t xml:space="preserve"> </w:t>
      </w:r>
      <w:r w:rsidRPr="00E9783E">
        <w:rPr>
          <w:rStyle w:val="af9"/>
          <w:rFonts w:hint="cs"/>
          <w:rtl/>
        </w:rPr>
        <w:t>והנתיה"מ</w:t>
      </w:r>
      <w:r>
        <w:rPr>
          <w:rFonts w:hint="cs"/>
          <w:rtl/>
        </w:rPr>
        <w:t xml:space="preserve"> </w:t>
      </w:r>
      <w:r w:rsidRPr="00045A22">
        <w:rPr>
          <w:rStyle w:val="af7"/>
          <w:rFonts w:eastAsia="Guttman Hodes" w:hint="cs"/>
          <w:rtl/>
        </w:rPr>
        <w:t xml:space="preserve">(עי' אות </w:t>
      </w:r>
      <w:r w:rsidRPr="00045A22">
        <w:rPr>
          <w:rStyle w:val="af7"/>
          <w:rFonts w:eastAsia="Guttman Hodes"/>
          <w:rtl/>
        </w:rPr>
        <w:fldChar w:fldCharType="begin"/>
      </w:r>
      <w:r w:rsidRPr="00045A22">
        <w:rPr>
          <w:rStyle w:val="af7"/>
          <w:rFonts w:eastAsia="Guttman Hodes"/>
          <w:rtl/>
        </w:rPr>
        <w:instrText xml:space="preserve"> </w:instrText>
      </w:r>
      <w:r w:rsidRPr="00045A22">
        <w:rPr>
          <w:rStyle w:val="af7"/>
          <w:rFonts w:eastAsia="Guttman Hodes" w:hint="cs"/>
        </w:rPr>
        <w:instrText>REF</w:instrText>
      </w:r>
      <w:r w:rsidRPr="00045A22">
        <w:rPr>
          <w:rStyle w:val="af7"/>
          <w:rFonts w:eastAsia="Guttman Hodes" w:hint="cs"/>
          <w:rtl/>
        </w:rPr>
        <w:instrText xml:space="preserve"> _</w:instrText>
      </w:r>
      <w:r w:rsidRPr="00045A22">
        <w:rPr>
          <w:rStyle w:val="af7"/>
          <w:rFonts w:eastAsia="Guttman Hodes" w:hint="cs"/>
        </w:rPr>
        <w:instrText>Ref62470047 \r \h</w:instrText>
      </w:r>
      <w:r w:rsidRPr="00045A22">
        <w:rPr>
          <w:rStyle w:val="af7"/>
          <w:rFonts w:eastAsia="Guttman Hodes"/>
          <w:rtl/>
        </w:rPr>
        <w:instrText xml:space="preserve"> </w:instrText>
      </w:r>
      <w:r w:rsidRPr="00045A22">
        <w:rPr>
          <w:rStyle w:val="af7"/>
          <w:rFonts w:eastAsia="Guttman Hodes"/>
          <w:rtl/>
        </w:rPr>
      </w:r>
      <w:r w:rsidRPr="00045A22">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045A22">
        <w:rPr>
          <w:rStyle w:val="af7"/>
          <w:rFonts w:eastAsia="Guttman Hodes"/>
          <w:rtl/>
        </w:rPr>
        <w:fldChar w:fldCharType="end"/>
      </w:r>
      <w:r>
        <w:rPr>
          <w:rFonts w:hint="cs"/>
          <w:rtl/>
        </w:rPr>
        <w:t xml:space="preserve"> בדעת </w:t>
      </w:r>
      <w:r w:rsidRPr="00E9783E">
        <w:rPr>
          <w:rStyle w:val="af9"/>
          <w:rFonts w:hint="cs"/>
          <w:rtl/>
        </w:rPr>
        <w:t>הר"י מגאש</w:t>
      </w:r>
      <w:r w:rsidRPr="004E2D61">
        <w:rPr>
          <w:rFonts w:hint="cs"/>
          <w:rtl/>
        </w:rPr>
        <w:t>.</w:t>
      </w:r>
      <w:bookmarkEnd w:id="13079"/>
      <w:bookmarkEnd w:id="13083"/>
    </w:p>
    <w:p w:rsidR="00EC445E" w:rsidRPr="004E2D61" w:rsidRDefault="00EC445E" w:rsidP="00EC445E">
      <w:pPr>
        <w:pStyle w:val="a3"/>
      </w:pPr>
      <w:bookmarkStart w:id="13084" w:name="_Toc62452594"/>
      <w:bookmarkStart w:id="13085" w:name="_Toc62453865"/>
      <w:bookmarkStart w:id="13086" w:name="_Toc62485577"/>
      <w:r>
        <w:rPr>
          <w:rFonts w:hint="cs"/>
          <w:rtl/>
        </w:rPr>
        <w:t>הוכחת הר"י מגאש מלשון הגמ' דחזר אחר הכחשת העדים ודברי הגר"א דכ"כ הרשב"ם והרא"ש</w:t>
      </w:r>
      <w:bookmarkEnd w:id="13084"/>
      <w:bookmarkEnd w:id="13085"/>
      <w:bookmarkEnd w:id="13086"/>
    </w:p>
    <w:p w:rsidR="00EC445E" w:rsidRPr="004D6F21" w:rsidRDefault="00EC445E" w:rsidP="007E4E81">
      <w:pPr>
        <w:pStyle w:val="a0"/>
        <w:rPr>
          <w:rStyle w:val="afb"/>
          <w:rtl/>
        </w:rPr>
      </w:pPr>
      <w:bookmarkStart w:id="13087" w:name="_Ref62036991"/>
      <w:r w:rsidRPr="004E2D61">
        <w:rPr>
          <w:rFonts w:hint="cs"/>
          <w:rtl/>
        </w:rPr>
        <w:t xml:space="preserve">וכתב </w:t>
      </w:r>
      <w:r w:rsidRPr="004E2D61">
        <w:rPr>
          <w:rStyle w:val="af9"/>
          <w:rFonts w:hint="cs"/>
          <w:rtl/>
        </w:rPr>
        <w:t>הר"י מגאש</w:t>
      </w:r>
      <w:r w:rsidRPr="004E2D61">
        <w:rPr>
          <w:rFonts w:hint="cs"/>
          <w:rtl/>
        </w:rPr>
        <w:t xml:space="preserve"> דכן מדוייק מלשון הגמ' "הדר אמר ליה אין דאבהתך היא", ומוכח דבסוגיין איירי דרק לאחר שבאו העדים והעידו שהקרקע של אבותיו של המערער, חזר בו המחזיק, וביאר </w:t>
      </w:r>
      <w:r w:rsidRPr="004E2D61">
        <w:rPr>
          <w:rStyle w:val="af9"/>
          <w:rFonts w:hint="cs"/>
          <w:rtl/>
        </w:rPr>
        <w:t>הגר"א</w:t>
      </w:r>
      <w:r w:rsidRPr="004E2D61">
        <w:rPr>
          <w:rFonts w:hint="cs"/>
          <w:rtl/>
        </w:rPr>
        <w:t xml:space="preserve"> </w:t>
      </w:r>
      <w:r w:rsidRPr="004E2D61">
        <w:rPr>
          <w:rStyle w:val="af7"/>
          <w:rFonts w:eastAsia="Guttman Hodes" w:hint="cs"/>
          <w:rtl/>
        </w:rPr>
        <w:t xml:space="preserve">(סי' פ' ס"ק ה') </w:t>
      </w:r>
      <w:r w:rsidRPr="004E2D61">
        <w:rPr>
          <w:rFonts w:hint="cs"/>
          <w:rtl/>
        </w:rPr>
        <w:t xml:space="preserve">דתיבת "הדר" מיותרת. </w:t>
      </w:r>
      <w:r w:rsidRPr="004E2D61">
        <w:rPr>
          <w:rStyle w:val="afb"/>
          <w:rFonts w:hint="cs"/>
          <w:rtl/>
        </w:rPr>
        <w:t xml:space="preserve">[וכתב </w:t>
      </w:r>
      <w:r w:rsidRPr="004E2D61">
        <w:rPr>
          <w:rStyle w:val="affa"/>
          <w:rFonts w:hint="cs"/>
          <w:rtl/>
        </w:rPr>
        <w:t>הגר"א</w:t>
      </w:r>
      <w:r w:rsidRPr="004E2D61">
        <w:rPr>
          <w:rStyle w:val="afb"/>
          <w:rFonts w:hint="cs"/>
          <w:rtl/>
        </w:rPr>
        <w:t xml:space="preserve"> דא"א לומר דכוונת הגמ' לומר הדר א"ל בכדי להשמיע לנו דרבה קיבל את דברי אביי, ולכן הוצרך המחזיק לחזור בו, דהא בלא"ה מוכח כן מלשון הגמ' דאמרינן א"ל אביי ולא אמרינן אביי אמר, כדביאר </w:t>
      </w:r>
      <w:r w:rsidRPr="004E2D61">
        <w:rPr>
          <w:rStyle w:val="affa"/>
          <w:rFonts w:hint="cs"/>
          <w:rtl/>
        </w:rPr>
        <w:t>הרשב"ם</w:t>
      </w:r>
      <w:r w:rsidRPr="004E2D61">
        <w:rPr>
          <w:rStyle w:val="afb"/>
          <w:rFonts w:hint="cs"/>
          <w:rtl/>
        </w:rPr>
        <w:t xml:space="preserve"> </w:t>
      </w:r>
      <w:r w:rsidRPr="004E2D61">
        <w:rPr>
          <w:rStyle w:val="aff6"/>
          <w:rFonts w:hint="cs"/>
          <w:rtl/>
        </w:rPr>
        <w:t xml:space="preserve">(עי' אות </w:t>
      </w:r>
      <w:r w:rsidRPr="004E2D61">
        <w:rPr>
          <w:rStyle w:val="aff6"/>
          <w:rtl/>
        </w:rPr>
        <w:fldChar w:fldCharType="begin"/>
      </w:r>
      <w:r w:rsidRPr="004E2D61">
        <w:rPr>
          <w:rStyle w:val="aff6"/>
          <w:rtl/>
        </w:rPr>
        <w:instrText xml:space="preserve"> </w:instrText>
      </w:r>
      <w:r w:rsidRPr="004E2D61">
        <w:rPr>
          <w:rStyle w:val="aff6"/>
          <w:rFonts w:hint="cs"/>
        </w:rPr>
        <w:instrText>REF</w:instrText>
      </w:r>
      <w:r w:rsidRPr="004E2D61">
        <w:rPr>
          <w:rStyle w:val="aff6"/>
          <w:rFonts w:hint="cs"/>
          <w:rtl/>
        </w:rPr>
        <w:instrText xml:space="preserve"> _</w:instrText>
      </w:r>
      <w:r w:rsidRPr="004E2D61">
        <w:rPr>
          <w:rStyle w:val="aff6"/>
          <w:rFonts w:hint="cs"/>
        </w:rPr>
        <w:instrText>Ref62036903 \r \h</w:instrText>
      </w:r>
      <w:r w:rsidRPr="004E2D61">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4E2D61">
        <w:rPr>
          <w:rStyle w:val="aff6"/>
          <w:rtl/>
        </w:rPr>
      </w:r>
      <w:r w:rsidRPr="004E2D61">
        <w:rPr>
          <w:rStyle w:val="aff6"/>
          <w:rtl/>
        </w:rPr>
        <w:fldChar w:fldCharType="separate"/>
      </w:r>
      <w:r w:rsidR="00265073">
        <w:rPr>
          <w:rStyle w:val="aff6"/>
          <w:cs/>
        </w:rPr>
        <w:t>‎</w:t>
      </w:r>
      <w:r w:rsidR="00265073">
        <w:rPr>
          <w:rStyle w:val="aff6"/>
          <w:rtl/>
        </w:rPr>
        <w:t>א)</w:t>
      </w:r>
      <w:r w:rsidRPr="004E2D61">
        <w:rPr>
          <w:rStyle w:val="aff6"/>
          <w:rtl/>
        </w:rPr>
        <w:fldChar w:fldCharType="end"/>
      </w:r>
      <w:r w:rsidRPr="004E2D61">
        <w:rPr>
          <w:rStyle w:val="afb"/>
          <w:rFonts w:hint="cs"/>
          <w:rtl/>
        </w:rPr>
        <w:t xml:space="preserve">, והוסיף </w:t>
      </w:r>
      <w:r w:rsidRPr="004E2D61">
        <w:rPr>
          <w:rStyle w:val="affa"/>
          <w:rFonts w:hint="cs"/>
          <w:rtl/>
        </w:rPr>
        <w:t>הגר"א</w:t>
      </w:r>
      <w:r w:rsidRPr="004E2D61">
        <w:rPr>
          <w:rStyle w:val="afb"/>
          <w:rFonts w:hint="cs"/>
          <w:rtl/>
        </w:rPr>
        <w:t xml:space="preserve"> דכן מוכח בגמ' לקמן </w:t>
      </w:r>
      <w:r w:rsidRPr="004E2D61">
        <w:rPr>
          <w:rStyle w:val="aff6"/>
          <w:rFonts w:hint="cs"/>
          <w:rtl/>
        </w:rPr>
        <w:t>(לג:)</w:t>
      </w:r>
      <w:r w:rsidRPr="004E2D61">
        <w:rPr>
          <w:rStyle w:val="afb"/>
          <w:rFonts w:hint="cs"/>
          <w:rtl/>
        </w:rPr>
        <w:t xml:space="preserve"> דקיי"ל </w:t>
      </w:r>
      <w:r w:rsidRPr="004D6F21">
        <w:rPr>
          <w:rStyle w:val="afb"/>
          <w:rFonts w:hint="cs"/>
          <w:rtl/>
        </w:rPr>
        <w:t xml:space="preserve">כאביי, וכתב </w:t>
      </w:r>
      <w:r w:rsidRPr="004D6F21">
        <w:rPr>
          <w:rStyle w:val="affa"/>
          <w:rFonts w:hint="cs"/>
          <w:rtl/>
        </w:rPr>
        <w:t>הגר"א</w:t>
      </w:r>
      <w:r w:rsidRPr="004D6F21">
        <w:rPr>
          <w:rStyle w:val="afb"/>
          <w:rFonts w:hint="cs"/>
          <w:rtl/>
        </w:rPr>
        <w:t xml:space="preserve"> </w:t>
      </w:r>
      <w:r w:rsidRPr="004D6F21">
        <w:rPr>
          <w:rStyle w:val="aff6"/>
          <w:rFonts w:hint="cs"/>
          <w:rtl/>
        </w:rPr>
        <w:t>(סי' פ' ס"ק ה')</w:t>
      </w:r>
      <w:r w:rsidRPr="004D6F21">
        <w:rPr>
          <w:rStyle w:val="afb"/>
          <w:rFonts w:hint="cs"/>
          <w:rtl/>
        </w:rPr>
        <w:t xml:space="preserve"> דכן משמע מדברי </w:t>
      </w:r>
      <w:r w:rsidRPr="004D6F21">
        <w:rPr>
          <w:rStyle w:val="affa"/>
          <w:rFonts w:hint="cs"/>
          <w:rtl/>
        </w:rPr>
        <w:t>הרשב"ם והרא"ש</w:t>
      </w:r>
      <w:r w:rsidRPr="004D6F21">
        <w:rPr>
          <w:rStyle w:val="afb"/>
          <w:rFonts w:hint="cs"/>
          <w:rtl/>
        </w:rPr>
        <w:t xml:space="preserve"> </w:t>
      </w:r>
      <w:r w:rsidRPr="004D6F21">
        <w:rPr>
          <w:rStyle w:val="aff6"/>
          <w:rFonts w:hint="cs"/>
          <w:rtl/>
        </w:rPr>
        <w:t xml:space="preserve">(עי' אות </w:t>
      </w:r>
      <w:r w:rsidRPr="004D6F21">
        <w:rPr>
          <w:rStyle w:val="aff6"/>
          <w:rtl/>
        </w:rPr>
        <w:fldChar w:fldCharType="begin"/>
      </w:r>
      <w:r w:rsidRPr="004D6F21">
        <w:rPr>
          <w:rStyle w:val="aff6"/>
          <w:rtl/>
        </w:rPr>
        <w:instrText xml:space="preserve"> </w:instrText>
      </w:r>
      <w:r w:rsidRPr="004D6F21">
        <w:rPr>
          <w:rStyle w:val="aff6"/>
          <w:rFonts w:hint="cs"/>
        </w:rPr>
        <w:instrText>REF</w:instrText>
      </w:r>
      <w:r w:rsidRPr="004D6F21">
        <w:rPr>
          <w:rStyle w:val="aff6"/>
          <w:rFonts w:hint="cs"/>
          <w:rtl/>
        </w:rPr>
        <w:instrText xml:space="preserve"> _</w:instrText>
      </w:r>
      <w:r w:rsidRPr="004D6F21">
        <w:rPr>
          <w:rStyle w:val="aff6"/>
          <w:rFonts w:hint="cs"/>
        </w:rPr>
        <w:instrText>Ref62036903 \r \h</w:instrText>
      </w:r>
      <w:r w:rsidRPr="004D6F21">
        <w:rPr>
          <w:rStyle w:val="aff6"/>
          <w:rtl/>
        </w:rPr>
        <w:instrText xml:space="preserve">  \* </w:instrText>
      </w:r>
      <w:r w:rsidRPr="004D6F21">
        <w:rPr>
          <w:rStyle w:val="aff6"/>
        </w:rPr>
        <w:instrText>MERGEFORMAT</w:instrText>
      </w:r>
      <w:r w:rsidRPr="004D6F21">
        <w:rPr>
          <w:rStyle w:val="aff6"/>
          <w:rtl/>
        </w:rPr>
        <w:instrText xml:space="preserve"> </w:instrText>
      </w:r>
      <w:r w:rsidRPr="004D6F21">
        <w:rPr>
          <w:rStyle w:val="aff6"/>
          <w:rtl/>
        </w:rPr>
      </w:r>
      <w:r w:rsidRPr="004D6F21">
        <w:rPr>
          <w:rStyle w:val="aff6"/>
          <w:rtl/>
        </w:rPr>
        <w:fldChar w:fldCharType="separate"/>
      </w:r>
      <w:r w:rsidR="00265073">
        <w:rPr>
          <w:rStyle w:val="aff6"/>
          <w:cs/>
        </w:rPr>
        <w:t>‎</w:t>
      </w:r>
      <w:r w:rsidR="00265073">
        <w:rPr>
          <w:rStyle w:val="aff6"/>
          <w:rtl/>
        </w:rPr>
        <w:t>א)</w:t>
      </w:r>
      <w:r w:rsidRPr="004D6F21">
        <w:rPr>
          <w:rStyle w:val="aff6"/>
          <w:rtl/>
        </w:rPr>
        <w:fldChar w:fldCharType="end"/>
      </w:r>
      <w:r w:rsidRPr="004D6F21">
        <w:rPr>
          <w:rStyle w:val="afb"/>
          <w:rFonts w:hint="cs"/>
          <w:rtl/>
        </w:rPr>
        <w:t xml:space="preserve"> דכתבו דאחר שראה המחזיק שהוא מפסיד את הקרקע, כדס"ל לאביי דאין לו מיגו, לכן חזר המחזיק וטען כן].</w:t>
      </w:r>
      <w:bookmarkEnd w:id="13087"/>
    </w:p>
    <w:p w:rsidR="00EC445E" w:rsidRPr="004E2D61" w:rsidRDefault="00EC445E" w:rsidP="00EC445E">
      <w:pPr>
        <w:pStyle w:val="a3"/>
        <w:rPr>
          <w:rtl/>
        </w:rPr>
      </w:pPr>
      <w:bookmarkStart w:id="13088" w:name="_Toc62452596"/>
      <w:bookmarkStart w:id="13089" w:name="_Toc62453867"/>
      <w:bookmarkStart w:id="13090" w:name="_Toc62485578"/>
      <w:bookmarkStart w:id="13091" w:name="_Toc62452595"/>
      <w:bookmarkStart w:id="13092" w:name="_Toc62453866"/>
      <w:r>
        <w:rPr>
          <w:rFonts w:hint="cs"/>
          <w:rtl/>
        </w:rPr>
        <w:t>דברי הנימוק"י בשם הר"י מגאש דבלא לויתי נאמן לחזור ולטעון לא פרעתי דהוא פטור לפטור</w:t>
      </w:r>
      <w:bookmarkEnd w:id="13088"/>
      <w:bookmarkEnd w:id="13089"/>
      <w:bookmarkEnd w:id="13090"/>
    </w:p>
    <w:p w:rsidR="00EC445E" w:rsidRDefault="00EC445E" w:rsidP="007E4E81">
      <w:pPr>
        <w:pStyle w:val="a0"/>
        <w:rPr>
          <w:rtl/>
        </w:rPr>
      </w:pPr>
      <w:bookmarkStart w:id="13093" w:name="_Ref62463717"/>
      <w:r w:rsidRPr="004E2D61">
        <w:rPr>
          <w:rFonts w:hint="cs"/>
          <w:rtl/>
        </w:rPr>
        <w:t xml:space="preserve">והוסיף </w:t>
      </w:r>
      <w:r w:rsidRPr="004E2D61">
        <w:rPr>
          <w:rStyle w:val="af9"/>
          <w:rFonts w:hint="cs"/>
          <w:rtl/>
        </w:rPr>
        <w:t>הנימוק"י</w:t>
      </w:r>
      <w:r w:rsidRPr="004E2D61">
        <w:rPr>
          <w:rFonts w:hint="cs"/>
          <w:rtl/>
        </w:rPr>
        <w:t xml:space="preserve"> </w:t>
      </w:r>
      <w:r w:rsidRPr="004E2D61">
        <w:rPr>
          <w:rStyle w:val="af7"/>
          <w:rFonts w:eastAsia="Guttman Hodes" w:hint="cs"/>
          <w:rtl/>
        </w:rPr>
        <w:t>(טז. מדה"ר ד"ה עולא)</w:t>
      </w:r>
      <w:r w:rsidRPr="004E2D61">
        <w:rPr>
          <w:rFonts w:hint="cs"/>
          <w:rtl/>
        </w:rPr>
        <w:t xml:space="preserve"> בשם </w:t>
      </w:r>
      <w:r w:rsidRPr="004E2D61">
        <w:rPr>
          <w:rStyle w:val="af9"/>
          <w:rFonts w:hint="cs"/>
          <w:rtl/>
        </w:rPr>
        <w:t>הר"י מגאש</w:t>
      </w:r>
      <w:r w:rsidRPr="004E2D61">
        <w:rPr>
          <w:rFonts w:hint="cs"/>
          <w:rtl/>
        </w:rPr>
        <w:t xml:space="preserve"> </w:t>
      </w:r>
      <w:r w:rsidRPr="004E2D61">
        <w:rPr>
          <w:rStyle w:val="af7"/>
          <w:rFonts w:eastAsia="Guttman Hodes" w:hint="cs"/>
          <w:rtl/>
        </w:rPr>
        <w:t>(עי'</w:t>
      </w:r>
      <w:r w:rsidRPr="004E2D61">
        <w:rPr>
          <w:rFonts w:hint="cs"/>
          <w:rtl/>
        </w:rPr>
        <w:t xml:space="preserve"> </w:t>
      </w:r>
      <w:r w:rsidRPr="00333576">
        <w:rPr>
          <w:rStyle w:val="af7"/>
          <w:rFonts w:eastAsia="Guttman Hodes" w:hint="cs"/>
          <w:rtl/>
        </w:rPr>
        <w:t xml:space="preserve">אות </w:t>
      </w:r>
      <w:r w:rsidRPr="00333576">
        <w:rPr>
          <w:rStyle w:val="af7"/>
          <w:rFonts w:eastAsia="Guttman Hodes"/>
          <w:rtl/>
        </w:rPr>
        <w:fldChar w:fldCharType="begin"/>
      </w:r>
      <w:r w:rsidRPr="00333576">
        <w:rPr>
          <w:rStyle w:val="af7"/>
          <w:rFonts w:eastAsia="Guttman Hodes"/>
          <w:rtl/>
        </w:rPr>
        <w:instrText xml:space="preserve"> </w:instrText>
      </w:r>
      <w:r w:rsidRPr="00333576">
        <w:rPr>
          <w:rStyle w:val="af7"/>
          <w:rFonts w:eastAsia="Guttman Hodes" w:hint="cs"/>
        </w:rPr>
        <w:instrText>REF</w:instrText>
      </w:r>
      <w:r w:rsidRPr="00333576">
        <w:rPr>
          <w:rStyle w:val="af7"/>
          <w:rFonts w:eastAsia="Guttman Hodes" w:hint="cs"/>
          <w:rtl/>
        </w:rPr>
        <w:instrText xml:space="preserve"> _</w:instrText>
      </w:r>
      <w:r w:rsidRPr="00333576">
        <w:rPr>
          <w:rStyle w:val="af7"/>
          <w:rFonts w:eastAsia="Guttman Hodes" w:hint="cs"/>
        </w:rPr>
        <w:instrText>Ref62449923 \r \h</w:instrText>
      </w:r>
      <w:r w:rsidRPr="00333576">
        <w:rPr>
          <w:rStyle w:val="af7"/>
          <w:rFonts w:eastAsia="Guttman Hodes"/>
          <w:rtl/>
        </w:rPr>
        <w:instrText xml:space="preserve"> </w:instrText>
      </w:r>
      <w:r w:rsidRPr="00333576">
        <w:rPr>
          <w:rStyle w:val="af7"/>
          <w:rFonts w:eastAsia="Guttman Hodes"/>
          <w:rtl/>
        </w:rPr>
      </w:r>
      <w:r w:rsidRPr="00333576">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333576">
        <w:rPr>
          <w:rStyle w:val="af7"/>
          <w:rFonts w:eastAsia="Guttman Hodes"/>
          <w:rtl/>
        </w:rPr>
        <w:fldChar w:fldCharType="end"/>
      </w:r>
      <w:r w:rsidRPr="004E2D61">
        <w:rPr>
          <w:rFonts w:hint="cs"/>
          <w:rtl/>
        </w:rPr>
        <w:t xml:space="preserve"> דאף דקיי"ל כאמימר דאינו נאמן</w:t>
      </w:r>
      <w:r>
        <w:rPr>
          <w:rFonts w:hint="cs"/>
          <w:rtl/>
        </w:rPr>
        <w:t xml:space="preserve"> </w:t>
      </w:r>
      <w:r w:rsidRPr="004E2D61">
        <w:rPr>
          <w:rFonts w:hint="cs"/>
          <w:rtl/>
        </w:rPr>
        <w:t xml:space="preserve">לחזור ולטעון כשסותר את טענתו, מ"מ כתב </w:t>
      </w:r>
      <w:r w:rsidRPr="004E2D61">
        <w:rPr>
          <w:rStyle w:val="af9"/>
          <w:rFonts w:hint="cs"/>
          <w:rtl/>
        </w:rPr>
        <w:t>הר"י מגאש</w:t>
      </w:r>
      <w:r>
        <w:rPr>
          <w:rFonts w:hint="cs"/>
          <w:rtl/>
        </w:rPr>
        <w:t xml:space="preserve"> </w:t>
      </w:r>
      <w:r w:rsidRPr="00EB6CBC">
        <w:rPr>
          <w:rStyle w:val="af7"/>
          <w:rFonts w:eastAsia="Guttman Hodes" w:hint="cs"/>
          <w:rtl/>
        </w:rPr>
        <w:t xml:space="preserve">(עי' אות </w:t>
      </w:r>
      <w:r w:rsidRPr="00EB6CBC">
        <w:rPr>
          <w:rStyle w:val="af7"/>
          <w:rFonts w:eastAsia="Guttman Hodes"/>
          <w:rtl/>
        </w:rPr>
        <w:fldChar w:fldCharType="begin"/>
      </w:r>
      <w:r w:rsidRPr="00EB6CBC">
        <w:rPr>
          <w:rStyle w:val="af7"/>
          <w:rFonts w:eastAsia="Guttman Hodes"/>
          <w:rtl/>
        </w:rPr>
        <w:instrText xml:space="preserve"> </w:instrText>
      </w:r>
      <w:r w:rsidRPr="00EB6CBC">
        <w:rPr>
          <w:rStyle w:val="af7"/>
          <w:rFonts w:eastAsia="Guttman Hodes" w:hint="cs"/>
        </w:rPr>
        <w:instrText>REF</w:instrText>
      </w:r>
      <w:r w:rsidRPr="00EB6CBC">
        <w:rPr>
          <w:rStyle w:val="af7"/>
          <w:rFonts w:eastAsia="Guttman Hodes" w:hint="cs"/>
          <w:rtl/>
        </w:rPr>
        <w:instrText xml:space="preserve"> _</w:instrText>
      </w:r>
      <w:r w:rsidRPr="00EB6CBC">
        <w:rPr>
          <w:rStyle w:val="af7"/>
          <w:rFonts w:eastAsia="Guttman Hodes" w:hint="cs"/>
        </w:rPr>
        <w:instrText>Ref61987752 \r \h</w:instrText>
      </w:r>
      <w:r w:rsidRPr="00EB6CBC">
        <w:rPr>
          <w:rStyle w:val="af7"/>
          <w:rFonts w:eastAsia="Guttman Hodes"/>
          <w:rtl/>
        </w:rPr>
        <w:instrText xml:space="preserve"> </w:instrText>
      </w:r>
      <w:r w:rsidRPr="00EB6CBC">
        <w:rPr>
          <w:rStyle w:val="af7"/>
          <w:rFonts w:eastAsia="Guttman Hodes"/>
          <w:rtl/>
        </w:rPr>
      </w:r>
      <w:r w:rsidRPr="00EB6CB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B6CBC">
        <w:rPr>
          <w:rStyle w:val="af7"/>
          <w:rFonts w:eastAsia="Guttman Hodes"/>
          <w:rtl/>
        </w:rPr>
        <w:fldChar w:fldCharType="end"/>
      </w:r>
      <w:r>
        <w:rPr>
          <w:rFonts w:hint="cs"/>
          <w:rtl/>
        </w:rPr>
        <w:t xml:space="preserve"> דהיינו דוקא כשבאו עדים לפני שחזר וטען, כמדוייק מלשון הגמ' דהדר אמר, דבכה"ג אף מפטור לפטור אינו חוזר וטוען, אבל כשלא באו עדים, יכול להפוך את טענתו מפטור לפטור, כגון שבתחילה טען לא לויתי, ואח"כ טען לויתי ופרעתי נאמן, אעפ"י שמכחיש את דבריו הראשונים, וכתב </w:t>
      </w:r>
      <w:r w:rsidRPr="00EB6CBC">
        <w:rPr>
          <w:rStyle w:val="af9"/>
          <w:rFonts w:hint="cs"/>
          <w:rtl/>
        </w:rPr>
        <w:t>הנימוק"י</w:t>
      </w:r>
      <w:r>
        <w:rPr>
          <w:rFonts w:hint="cs"/>
          <w:rtl/>
        </w:rPr>
        <w:t xml:space="preserve"> דכן דעת </w:t>
      </w:r>
      <w:r w:rsidRPr="004E2D61">
        <w:rPr>
          <w:rStyle w:val="af9"/>
          <w:rFonts w:hint="cs"/>
          <w:rtl/>
        </w:rPr>
        <w:t>הרמב"ם</w:t>
      </w:r>
      <w:r w:rsidRPr="004E2D61">
        <w:rPr>
          <w:rFonts w:hint="cs"/>
          <w:rtl/>
        </w:rPr>
        <w:t xml:space="preserve"> </w:t>
      </w:r>
      <w:r w:rsidRPr="00243CE6">
        <w:rPr>
          <w:rStyle w:val="af7"/>
          <w:rFonts w:eastAsia="Guttman Hodes" w:hint="cs"/>
          <w:rtl/>
        </w:rPr>
        <w:t xml:space="preserve">(עי' אות </w:t>
      </w:r>
      <w:r w:rsidRPr="00243CE6">
        <w:rPr>
          <w:rStyle w:val="af7"/>
          <w:rFonts w:eastAsia="Guttman Hodes"/>
          <w:rtl/>
        </w:rPr>
        <w:fldChar w:fldCharType="begin"/>
      </w:r>
      <w:r w:rsidRPr="00243CE6">
        <w:rPr>
          <w:rStyle w:val="af7"/>
          <w:rFonts w:eastAsia="Guttman Hodes"/>
          <w:rtl/>
        </w:rPr>
        <w:instrText xml:space="preserve"> </w:instrText>
      </w:r>
      <w:r w:rsidRPr="00243CE6">
        <w:rPr>
          <w:rStyle w:val="af7"/>
          <w:rFonts w:eastAsia="Guttman Hodes" w:hint="cs"/>
        </w:rPr>
        <w:instrText>REF</w:instrText>
      </w:r>
      <w:r w:rsidRPr="00243CE6">
        <w:rPr>
          <w:rStyle w:val="af7"/>
          <w:rFonts w:eastAsia="Guttman Hodes" w:hint="cs"/>
          <w:rtl/>
        </w:rPr>
        <w:instrText xml:space="preserve"> _</w:instrText>
      </w:r>
      <w:r w:rsidRPr="00243CE6">
        <w:rPr>
          <w:rStyle w:val="af7"/>
          <w:rFonts w:eastAsia="Guttman Hodes" w:hint="cs"/>
        </w:rPr>
        <w:instrText>Ref62124167 \r \h</w:instrText>
      </w:r>
      <w:r w:rsidRPr="00243CE6">
        <w:rPr>
          <w:rStyle w:val="af7"/>
          <w:rFonts w:eastAsia="Guttman Hodes"/>
          <w:rtl/>
        </w:rPr>
        <w:instrText xml:space="preserve">  \* </w:instrText>
      </w:r>
      <w:r w:rsidRPr="00243CE6">
        <w:rPr>
          <w:rStyle w:val="af7"/>
          <w:rFonts w:eastAsia="Guttman Hodes"/>
        </w:rPr>
        <w:instrText>MERGEFORMAT</w:instrText>
      </w:r>
      <w:r w:rsidRPr="00243CE6">
        <w:rPr>
          <w:rStyle w:val="af7"/>
          <w:rFonts w:eastAsia="Guttman Hodes"/>
          <w:rtl/>
        </w:rPr>
        <w:instrText xml:space="preserve"> </w:instrText>
      </w:r>
      <w:r w:rsidRPr="00243CE6">
        <w:rPr>
          <w:rStyle w:val="af7"/>
          <w:rFonts w:eastAsia="Guttman Hodes"/>
          <w:rtl/>
        </w:rPr>
      </w:r>
      <w:r w:rsidRPr="00243CE6">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243CE6">
        <w:rPr>
          <w:rStyle w:val="af7"/>
          <w:rFonts w:eastAsia="Guttman Hodes"/>
          <w:rtl/>
        </w:rPr>
        <w:fldChar w:fldCharType="end"/>
      </w:r>
      <w:r>
        <w:rPr>
          <w:rFonts w:hint="cs"/>
          <w:rtl/>
        </w:rPr>
        <w:t>.</w:t>
      </w:r>
      <w:bookmarkEnd w:id="13093"/>
    </w:p>
    <w:p w:rsidR="00EC445E" w:rsidRDefault="00EC445E" w:rsidP="00EC445E">
      <w:pPr>
        <w:pStyle w:val="1"/>
        <w:rPr>
          <w:rtl/>
        </w:rPr>
      </w:pPr>
      <w:bookmarkStart w:id="13094" w:name="_Toc62485579"/>
      <w:r>
        <w:rPr>
          <w:rFonts w:hint="cs"/>
          <w:rtl/>
        </w:rPr>
        <w:t>בי' הר"י מגאש בשבועות דלא הודה בטענה הראשונה והאחרונה</w:t>
      </w:r>
      <w:bookmarkEnd w:id="13094"/>
    </w:p>
    <w:p w:rsidR="00EC445E" w:rsidRPr="009903BC" w:rsidRDefault="00EC445E" w:rsidP="00EC445E">
      <w:pPr>
        <w:pStyle w:val="a3"/>
        <w:rPr>
          <w:rtl/>
        </w:rPr>
      </w:pPr>
      <w:bookmarkStart w:id="13095" w:name="_Toc62485580"/>
      <w:r>
        <w:rPr>
          <w:rFonts w:hint="cs"/>
          <w:rtl/>
        </w:rPr>
        <w:t xml:space="preserve">דברי הר"י מגאש בשבועות דבחזר מחמת עצמו </w:t>
      </w:r>
      <w:bookmarkEnd w:id="13091"/>
      <w:bookmarkEnd w:id="13092"/>
      <w:r>
        <w:rPr>
          <w:rFonts w:hint="cs"/>
          <w:rtl/>
        </w:rPr>
        <w:t>נאמן במיגו כיון שלא הודה בתחילה ובסוף</w:t>
      </w:r>
      <w:bookmarkEnd w:id="13095"/>
    </w:p>
    <w:p w:rsidR="00EC445E" w:rsidRDefault="00EC445E" w:rsidP="007E4E81">
      <w:pPr>
        <w:pStyle w:val="a0"/>
        <w:rPr>
          <w:rtl/>
        </w:rPr>
      </w:pPr>
      <w:bookmarkStart w:id="13096" w:name="_Ref62462156"/>
      <w:r>
        <w:rPr>
          <w:rFonts w:hint="cs"/>
          <w:rtl/>
        </w:rPr>
        <w:t xml:space="preserve">כתב </w:t>
      </w:r>
      <w:r w:rsidRPr="00E275D2">
        <w:rPr>
          <w:rStyle w:val="af9"/>
          <w:rFonts w:hint="cs"/>
          <w:rtl/>
        </w:rPr>
        <w:t>הר"י מגאש בשבועות</w:t>
      </w:r>
      <w:r>
        <w:rPr>
          <w:rFonts w:hint="cs"/>
          <w:rtl/>
        </w:rPr>
        <w:t xml:space="preserve"> </w:t>
      </w:r>
      <w:r w:rsidRPr="00AB15A1">
        <w:rPr>
          <w:rStyle w:val="af7"/>
          <w:rFonts w:eastAsia="Guttman Hodes" w:hint="cs"/>
          <w:rtl/>
        </w:rPr>
        <w:t>(לד. סוד"ה ונקטינן)</w:t>
      </w:r>
      <w:r>
        <w:rPr>
          <w:rFonts w:hint="cs"/>
          <w:rtl/>
        </w:rPr>
        <w:t xml:space="preserve"> דהא דאינו נאמן בחוזר וטוען, היינו דוקא כשחזר בו מחמת שהכחישוהו עדים, אבל כשחזר וטען מחמת עצמו, ואין בטענתו הראשונה הודאה לטענת התובע, ולא טען בטענתו הראשונה טענה שמחייבתו ממון, ואף בטענתו האחרונה אין הודאה לטענת התובע, וביאר </w:t>
      </w:r>
      <w:r w:rsidRPr="00E275D2">
        <w:rPr>
          <w:rStyle w:val="af9"/>
          <w:rFonts w:hint="cs"/>
          <w:rtl/>
        </w:rPr>
        <w:t>הר"י מגאש בשבועות</w:t>
      </w:r>
      <w:r>
        <w:rPr>
          <w:rFonts w:hint="cs"/>
          <w:rtl/>
        </w:rPr>
        <w:t xml:space="preserve"> דהוא נאמן כיון שאם היה רוצה לא היה צריך לחזור בו מטענתו הראשונה, דהא אין עדים שמכחישים לא את טענתו הראשונה, ולא את טענתו האחרונה, לכן נאמן דהא היה יכול שלא לחזור בו מטענתו הראשונה, וציין </w:t>
      </w:r>
      <w:r w:rsidRPr="00E275D2">
        <w:rPr>
          <w:rStyle w:val="af9"/>
          <w:rFonts w:hint="cs"/>
          <w:rtl/>
        </w:rPr>
        <w:t>הר"י מגאש בשבועות</w:t>
      </w:r>
      <w:r>
        <w:rPr>
          <w:rFonts w:hint="cs"/>
          <w:rtl/>
        </w:rPr>
        <w:t xml:space="preserve"> לדבריו בסוגיין</w:t>
      </w:r>
      <w:r>
        <w:rPr>
          <w:rStyle w:val="af1"/>
          <w:rtl/>
        </w:rPr>
        <w:footnoteReference w:id="81"/>
      </w:r>
      <w:r>
        <w:rPr>
          <w:rFonts w:hint="cs"/>
          <w:rtl/>
        </w:rPr>
        <w:t xml:space="preserve">. </w:t>
      </w:r>
      <w:r w:rsidRPr="000723BA">
        <w:rPr>
          <w:rStyle w:val="afb"/>
          <w:rFonts w:hint="cs"/>
          <w:rtl/>
        </w:rPr>
        <w:t xml:space="preserve">[ומשמע מדברי </w:t>
      </w:r>
      <w:r w:rsidRPr="000723BA">
        <w:rPr>
          <w:rStyle w:val="affa"/>
          <w:rFonts w:hint="cs"/>
          <w:rtl/>
        </w:rPr>
        <w:t>הר"י מגאש בשבועות</w:t>
      </w:r>
      <w:r w:rsidRPr="000723BA">
        <w:rPr>
          <w:rStyle w:val="afb"/>
          <w:rFonts w:hint="cs"/>
          <w:rtl/>
        </w:rPr>
        <w:t xml:space="preserve"> כסברת </w:t>
      </w:r>
      <w:r w:rsidRPr="000723BA">
        <w:rPr>
          <w:rStyle w:val="affa"/>
          <w:rFonts w:hint="cs"/>
          <w:rtl/>
        </w:rPr>
        <w:t>הקצוה"ח</w:t>
      </w:r>
      <w:r w:rsidRPr="000723BA">
        <w:rPr>
          <w:rStyle w:val="afb"/>
          <w:rFonts w:hint="cs"/>
          <w:rtl/>
        </w:rPr>
        <w:t xml:space="preserve"> </w:t>
      </w:r>
      <w:r w:rsidRPr="000723BA">
        <w:rPr>
          <w:rStyle w:val="aff6"/>
          <w:rFonts w:hint="cs"/>
          <w:rtl/>
        </w:rPr>
        <w:t xml:space="preserve">(עי' אות </w:t>
      </w:r>
      <w:r w:rsidRPr="000723BA">
        <w:rPr>
          <w:rStyle w:val="aff6"/>
          <w:rtl/>
        </w:rPr>
        <w:fldChar w:fldCharType="begin"/>
      </w:r>
      <w:r w:rsidRPr="000723BA">
        <w:rPr>
          <w:rStyle w:val="aff6"/>
          <w:rtl/>
        </w:rPr>
        <w:instrText xml:space="preserve"> </w:instrText>
      </w:r>
      <w:r w:rsidRPr="000723BA">
        <w:rPr>
          <w:rStyle w:val="aff6"/>
          <w:rFonts w:hint="cs"/>
        </w:rPr>
        <w:instrText>REF</w:instrText>
      </w:r>
      <w:r w:rsidRPr="000723BA">
        <w:rPr>
          <w:rStyle w:val="aff6"/>
          <w:rFonts w:hint="cs"/>
          <w:rtl/>
        </w:rPr>
        <w:instrText xml:space="preserve"> _</w:instrText>
      </w:r>
      <w:r w:rsidRPr="000723BA">
        <w:rPr>
          <w:rStyle w:val="aff6"/>
          <w:rFonts w:hint="cs"/>
        </w:rPr>
        <w:instrText>Ref62462034 \r \h</w:instrText>
      </w:r>
      <w:r w:rsidRPr="000723BA">
        <w:rPr>
          <w:rStyle w:val="aff6"/>
          <w:rtl/>
        </w:rPr>
        <w:instrText xml:space="preserve"> </w:instrText>
      </w:r>
      <w:r w:rsidRPr="000723BA">
        <w:rPr>
          <w:rStyle w:val="aff6"/>
          <w:rtl/>
        </w:rPr>
      </w:r>
      <w:r w:rsidRPr="000723BA">
        <w:rPr>
          <w:rStyle w:val="aff6"/>
          <w:rtl/>
        </w:rPr>
        <w:fldChar w:fldCharType="separate"/>
      </w:r>
      <w:r w:rsidR="00265073">
        <w:rPr>
          <w:rStyle w:val="aff6"/>
          <w:cs/>
        </w:rPr>
        <w:t>‎</w:t>
      </w:r>
      <w:r w:rsidR="00265073">
        <w:rPr>
          <w:rStyle w:val="aff6"/>
          <w:rtl/>
        </w:rPr>
        <w:t>עא)</w:t>
      </w:r>
      <w:r w:rsidRPr="000723BA">
        <w:rPr>
          <w:rStyle w:val="aff6"/>
          <w:rtl/>
        </w:rPr>
        <w:fldChar w:fldCharType="end"/>
      </w:r>
      <w:r w:rsidRPr="000723BA">
        <w:rPr>
          <w:rStyle w:val="afb"/>
          <w:rFonts w:hint="cs"/>
          <w:rtl/>
        </w:rPr>
        <w:t xml:space="preserve"> דהטענה הראשונה אינה הודאת בע"ד, אך מ"מ כתב </w:t>
      </w:r>
      <w:r w:rsidRPr="000723BA">
        <w:rPr>
          <w:rStyle w:val="affa"/>
          <w:rFonts w:hint="cs"/>
          <w:rtl/>
        </w:rPr>
        <w:t>הר"י מגאש בשבועות</w:t>
      </w:r>
      <w:r w:rsidRPr="000723BA">
        <w:rPr>
          <w:rStyle w:val="afb"/>
          <w:rFonts w:hint="cs"/>
          <w:rtl/>
        </w:rPr>
        <w:t xml:space="preserve"> דהנאמנות שלו היא כיון שהיה יכול לעמוד בטענתו הראשונה, והיינו במיגו כדביאר </w:t>
      </w:r>
      <w:r w:rsidRPr="000723BA">
        <w:rPr>
          <w:rStyle w:val="affa"/>
          <w:rFonts w:hint="cs"/>
          <w:rtl/>
        </w:rPr>
        <w:t>הר"י מגאש בסוגיין</w:t>
      </w:r>
      <w:r w:rsidRPr="000723BA">
        <w:rPr>
          <w:rStyle w:val="afb"/>
          <w:rFonts w:hint="cs"/>
          <w:rtl/>
        </w:rPr>
        <w:t xml:space="preserve"> </w:t>
      </w:r>
      <w:r w:rsidRPr="000723BA">
        <w:rPr>
          <w:rStyle w:val="aff6"/>
          <w:rFonts w:hint="cs"/>
          <w:rtl/>
        </w:rPr>
        <w:t xml:space="preserve">(עי' אות </w:t>
      </w:r>
      <w:r w:rsidRPr="000723BA">
        <w:rPr>
          <w:rStyle w:val="aff6"/>
          <w:rtl/>
        </w:rPr>
        <w:fldChar w:fldCharType="begin"/>
      </w:r>
      <w:r w:rsidRPr="000723BA">
        <w:rPr>
          <w:rStyle w:val="aff6"/>
          <w:rtl/>
        </w:rPr>
        <w:instrText xml:space="preserve"> </w:instrText>
      </w:r>
      <w:r w:rsidRPr="000723BA">
        <w:rPr>
          <w:rStyle w:val="aff6"/>
          <w:rFonts w:hint="cs"/>
        </w:rPr>
        <w:instrText>REF</w:instrText>
      </w:r>
      <w:r w:rsidRPr="000723BA">
        <w:rPr>
          <w:rStyle w:val="aff6"/>
          <w:rFonts w:hint="cs"/>
          <w:rtl/>
        </w:rPr>
        <w:instrText xml:space="preserve"> _</w:instrText>
      </w:r>
      <w:r w:rsidRPr="000723BA">
        <w:rPr>
          <w:rStyle w:val="aff6"/>
          <w:rFonts w:hint="cs"/>
        </w:rPr>
        <w:instrText>Ref62452796 \r \h</w:instrText>
      </w:r>
      <w:r w:rsidRPr="000723BA">
        <w:rPr>
          <w:rStyle w:val="aff6"/>
          <w:rtl/>
        </w:rPr>
        <w:instrText xml:space="preserve"> </w:instrText>
      </w:r>
      <w:r w:rsidRPr="000723BA">
        <w:rPr>
          <w:rStyle w:val="aff6"/>
          <w:rtl/>
        </w:rPr>
      </w:r>
      <w:r w:rsidRPr="000723BA">
        <w:rPr>
          <w:rStyle w:val="aff6"/>
          <w:rtl/>
        </w:rPr>
        <w:fldChar w:fldCharType="separate"/>
      </w:r>
      <w:r w:rsidR="00265073">
        <w:rPr>
          <w:rStyle w:val="aff6"/>
          <w:cs/>
        </w:rPr>
        <w:t>‎</w:t>
      </w:r>
      <w:r w:rsidR="00265073">
        <w:rPr>
          <w:rStyle w:val="aff6"/>
          <w:rtl/>
        </w:rPr>
        <w:t>מב)</w:t>
      </w:r>
      <w:r w:rsidRPr="000723BA">
        <w:rPr>
          <w:rStyle w:val="aff6"/>
          <w:rtl/>
        </w:rPr>
        <w:fldChar w:fldCharType="end"/>
      </w:r>
      <w:r>
        <w:rPr>
          <w:rStyle w:val="afb"/>
          <w:rFonts w:hint="cs"/>
          <w:rtl/>
        </w:rPr>
        <w:t xml:space="preserve">, ודלא </w:t>
      </w:r>
      <w:r w:rsidRPr="000723BA">
        <w:rPr>
          <w:rStyle w:val="affa"/>
          <w:rFonts w:hint="cs"/>
          <w:rtl/>
        </w:rPr>
        <w:t>כהקצוה"ח</w:t>
      </w:r>
      <w:r>
        <w:rPr>
          <w:rStyle w:val="afb"/>
          <w:rFonts w:hint="cs"/>
          <w:rtl/>
        </w:rPr>
        <w:t xml:space="preserve"> </w:t>
      </w:r>
      <w:r w:rsidRPr="000723BA">
        <w:rPr>
          <w:rStyle w:val="aff6"/>
          <w:rFonts w:hint="cs"/>
          <w:rtl/>
        </w:rPr>
        <w:t xml:space="preserve">(עי' אות </w:t>
      </w:r>
      <w:r w:rsidRPr="000723BA">
        <w:rPr>
          <w:rStyle w:val="aff6"/>
          <w:rtl/>
        </w:rPr>
        <w:fldChar w:fldCharType="begin"/>
      </w:r>
      <w:r w:rsidRPr="000723BA">
        <w:rPr>
          <w:rStyle w:val="aff6"/>
          <w:rtl/>
        </w:rPr>
        <w:instrText xml:space="preserve"> </w:instrText>
      </w:r>
      <w:r w:rsidRPr="000723BA">
        <w:rPr>
          <w:rStyle w:val="aff6"/>
          <w:rFonts w:hint="cs"/>
        </w:rPr>
        <w:instrText>REF</w:instrText>
      </w:r>
      <w:r w:rsidRPr="000723BA">
        <w:rPr>
          <w:rStyle w:val="aff6"/>
          <w:rFonts w:hint="cs"/>
          <w:rtl/>
        </w:rPr>
        <w:instrText xml:space="preserve"> _</w:instrText>
      </w:r>
      <w:r w:rsidRPr="000723BA">
        <w:rPr>
          <w:rStyle w:val="aff6"/>
          <w:rFonts w:hint="cs"/>
        </w:rPr>
        <w:instrText>Ref62158350 \r \h</w:instrText>
      </w:r>
      <w:r w:rsidRPr="000723BA">
        <w:rPr>
          <w:rStyle w:val="aff6"/>
          <w:rtl/>
        </w:rPr>
        <w:instrText xml:space="preserve"> </w:instrText>
      </w:r>
      <w:r w:rsidRPr="000723BA">
        <w:rPr>
          <w:rStyle w:val="aff6"/>
          <w:rtl/>
        </w:rPr>
      </w:r>
      <w:r w:rsidRPr="000723BA">
        <w:rPr>
          <w:rStyle w:val="aff6"/>
          <w:rtl/>
        </w:rPr>
        <w:fldChar w:fldCharType="separate"/>
      </w:r>
      <w:r w:rsidR="00265073">
        <w:rPr>
          <w:rStyle w:val="aff6"/>
          <w:cs/>
        </w:rPr>
        <w:t>‎</w:t>
      </w:r>
      <w:r w:rsidR="00265073">
        <w:rPr>
          <w:rStyle w:val="aff6"/>
          <w:rtl/>
        </w:rPr>
        <w:t>ע)</w:t>
      </w:r>
      <w:r w:rsidRPr="000723BA">
        <w:rPr>
          <w:rStyle w:val="aff6"/>
          <w:rtl/>
        </w:rPr>
        <w:fldChar w:fldCharType="end"/>
      </w:r>
      <w:r w:rsidRPr="000723BA">
        <w:rPr>
          <w:rStyle w:val="afb"/>
          <w:rFonts w:hint="cs"/>
          <w:rtl/>
        </w:rPr>
        <w:t>].</w:t>
      </w:r>
      <w:bookmarkEnd w:id="13096"/>
    </w:p>
    <w:p w:rsidR="00730F4A" w:rsidRPr="00730F4A" w:rsidRDefault="00730F4A" w:rsidP="00730F4A">
      <w:pPr>
        <w:pStyle w:val="a3"/>
        <w:rPr>
          <w:rtl/>
        </w:rPr>
      </w:pPr>
    </w:p>
    <w:p w:rsidR="00730F4A" w:rsidRPr="00730F4A" w:rsidRDefault="00730F4A" w:rsidP="00730F4A">
      <w:pPr>
        <w:pStyle w:val="a3"/>
        <w:rPr>
          <w:rtl/>
        </w:rPr>
      </w:pPr>
    </w:p>
    <w:p w:rsidR="00EC445E" w:rsidRDefault="00EC445E" w:rsidP="00EC445E">
      <w:pPr>
        <w:pStyle w:val="1"/>
        <w:rPr>
          <w:rtl/>
        </w:rPr>
      </w:pPr>
      <w:bookmarkStart w:id="13097" w:name="_Toc62160818"/>
      <w:bookmarkStart w:id="13098" w:name="_Toc62385979"/>
      <w:bookmarkStart w:id="13099" w:name="_Toc62420116"/>
      <w:bookmarkStart w:id="13100" w:name="_Toc62452599"/>
      <w:bookmarkStart w:id="13101" w:name="_Toc62453868"/>
      <w:bookmarkStart w:id="13102" w:name="_Toc62485581"/>
      <w:r>
        <w:rPr>
          <w:rFonts w:hint="cs"/>
          <w:rtl/>
        </w:rPr>
        <w:lastRenderedPageBreak/>
        <w:t>דברי הרמב"ם</w:t>
      </w:r>
      <w:bookmarkEnd w:id="13097"/>
      <w:bookmarkEnd w:id="13098"/>
      <w:bookmarkEnd w:id="13099"/>
      <w:r>
        <w:rPr>
          <w:rFonts w:hint="cs"/>
          <w:rtl/>
        </w:rPr>
        <w:t xml:space="preserve"> דחוזר מפטור לפטור בלא אמתלא וביצא מב"ד</w:t>
      </w:r>
      <w:bookmarkEnd w:id="13100"/>
      <w:bookmarkEnd w:id="13101"/>
      <w:bookmarkEnd w:id="13102"/>
    </w:p>
    <w:p w:rsidR="00EC445E" w:rsidRPr="00807FDD" w:rsidRDefault="00EC445E" w:rsidP="00EC445E">
      <w:pPr>
        <w:pStyle w:val="a3"/>
        <w:rPr>
          <w:rtl/>
        </w:rPr>
      </w:pPr>
      <w:bookmarkStart w:id="13103" w:name="_Toc62452600"/>
      <w:bookmarkStart w:id="13104" w:name="_Toc62453869"/>
      <w:bookmarkStart w:id="13105" w:name="_Toc62485582"/>
      <w:r>
        <w:rPr>
          <w:rFonts w:hint="cs"/>
          <w:rtl/>
        </w:rPr>
        <w:t>דברי הרמב"ם דבלא באו עדים והפך טענתו נאמן בטענתו האחרונה בלא אמתלא וכשיצא מב"ד</w:t>
      </w:r>
      <w:bookmarkEnd w:id="13103"/>
      <w:bookmarkEnd w:id="13104"/>
      <w:bookmarkEnd w:id="13105"/>
      <w:r>
        <w:rPr>
          <w:rFonts w:hint="cs"/>
          <w:rtl/>
        </w:rPr>
        <w:t xml:space="preserve"> </w:t>
      </w:r>
    </w:p>
    <w:p w:rsidR="00EC445E" w:rsidRDefault="00EC445E" w:rsidP="007E4E81">
      <w:pPr>
        <w:pStyle w:val="a0"/>
        <w:rPr>
          <w:rtl/>
        </w:rPr>
      </w:pPr>
      <w:bookmarkStart w:id="13106" w:name="_Ref62124167"/>
      <w:bookmarkStart w:id="13107" w:name="_Toc62074379"/>
      <w:r>
        <w:rPr>
          <w:rFonts w:hint="cs"/>
          <w:rtl/>
        </w:rPr>
        <w:t xml:space="preserve">כתב </w:t>
      </w:r>
      <w:r w:rsidRPr="006B571D">
        <w:rPr>
          <w:rStyle w:val="af9"/>
          <w:rFonts w:hint="cs"/>
          <w:rtl/>
        </w:rPr>
        <w:t>הרמב"ם</w:t>
      </w:r>
      <w:r>
        <w:rPr>
          <w:rFonts w:hint="cs"/>
          <w:rtl/>
        </w:rPr>
        <w:t xml:space="preserve"> </w:t>
      </w:r>
      <w:r w:rsidRPr="006B571D">
        <w:rPr>
          <w:rStyle w:val="af7"/>
          <w:rFonts w:eastAsia="Guttman Hodes" w:hint="cs"/>
          <w:rtl/>
        </w:rPr>
        <w:t>(טו"נ פ"ז ה"ח)</w:t>
      </w:r>
      <w:r>
        <w:rPr>
          <w:rFonts w:hint="cs"/>
          <w:rtl/>
        </w:rPr>
        <w:t xml:space="preserve"> דהטוען בב"ד יכול לחזור ולטעון טענה אחרת, שמכחישה את טענתו הראשונה, וסומכים על טענתו האחרונה שטען, ואף שלא נתן כל אמתלא לטענתו הראשונה, ואף כשיצא מב"ד וחזר, הוא יכול לחזור ולטעון ולהפוך את כל הטענות שטען בתחילה, עד שיבואו עדים.</w:t>
      </w:r>
      <w:bookmarkEnd w:id="13106"/>
    </w:p>
    <w:p w:rsidR="00EC445E" w:rsidRPr="00B72AEE" w:rsidRDefault="00EC445E" w:rsidP="00EC445E">
      <w:pPr>
        <w:pStyle w:val="a3"/>
        <w:rPr>
          <w:rtl/>
        </w:rPr>
      </w:pPr>
      <w:bookmarkStart w:id="13108" w:name="_Toc62452601"/>
      <w:bookmarkStart w:id="13109" w:name="_Toc62453870"/>
      <w:bookmarkStart w:id="13110" w:name="_Toc62485583"/>
      <w:r>
        <w:rPr>
          <w:rFonts w:hint="cs"/>
          <w:rtl/>
        </w:rPr>
        <w:t>דברי הרמב"ם דבחוזר וטוען אחר שהכחישו עדים את הטענה שאמר נאמן רק באמתלא ובב"ד</w:t>
      </w:r>
      <w:bookmarkEnd w:id="13108"/>
      <w:bookmarkEnd w:id="13109"/>
      <w:bookmarkEnd w:id="13110"/>
    </w:p>
    <w:p w:rsidR="00EC445E" w:rsidRDefault="00EC445E" w:rsidP="007E4E81">
      <w:pPr>
        <w:pStyle w:val="a0"/>
        <w:rPr>
          <w:rtl/>
        </w:rPr>
      </w:pPr>
      <w:bookmarkStart w:id="13111" w:name="_Ref62467766"/>
      <w:r>
        <w:rPr>
          <w:rFonts w:hint="cs"/>
          <w:rtl/>
        </w:rPr>
        <w:t xml:space="preserve">אך כתב </w:t>
      </w:r>
      <w:r w:rsidRPr="006B571D">
        <w:rPr>
          <w:rStyle w:val="af9"/>
          <w:rFonts w:hint="cs"/>
          <w:rtl/>
        </w:rPr>
        <w:t>הרמב"ם</w:t>
      </w:r>
      <w:r>
        <w:rPr>
          <w:rFonts w:hint="cs"/>
          <w:rtl/>
        </w:rPr>
        <w:t xml:space="preserve"> דאחר שבאו עדים והכחישו את טענתו האחרונה שהוא נשאר בה, אינו יכול לחזור ולטע</w:t>
      </w:r>
      <w:r w:rsidR="00871C13">
        <w:rPr>
          <w:rFonts w:hint="cs"/>
          <w:rtl/>
        </w:rPr>
        <w:t>ו</w:t>
      </w:r>
      <w:r>
        <w:rPr>
          <w:rFonts w:hint="cs"/>
          <w:rtl/>
        </w:rPr>
        <w:t>ן טענה אחרת, אא"כ נתן אמתלא לטענה שנשאר בה, ויש במשמעות הטענה שנשאר בה, כמו הטענה שטוען עכשיו, אך כ"ז שלא יצא מב"ד, אבל אם יצא מב"ד אינו יכול לחזור ולטען אחר שבאו העדים, שמא אנשים רעים לימדוהו לטעון טענות של שקר.</w:t>
      </w:r>
      <w:bookmarkEnd w:id="13111"/>
    </w:p>
    <w:p w:rsidR="00EC445E" w:rsidRPr="00974A4D" w:rsidRDefault="00EC445E" w:rsidP="00EC445E">
      <w:pPr>
        <w:pStyle w:val="a3"/>
        <w:rPr>
          <w:rtl/>
        </w:rPr>
      </w:pPr>
      <w:bookmarkStart w:id="13112" w:name="_Toc62452602"/>
      <w:bookmarkStart w:id="13113" w:name="_Toc62453871"/>
      <w:bookmarkStart w:id="13114" w:name="_Toc62485584"/>
      <w:r>
        <w:rPr>
          <w:rFonts w:hint="cs"/>
          <w:rtl/>
        </w:rPr>
        <w:t>ביאור המ"מ והר"ן והטור דהרמב"ם ס"ל כר"י מגאש ודברי המ"מ דכן היה המעשה בסוגיין</w:t>
      </w:r>
      <w:bookmarkEnd w:id="13112"/>
      <w:bookmarkEnd w:id="13113"/>
      <w:bookmarkEnd w:id="13114"/>
    </w:p>
    <w:p w:rsidR="00EC445E" w:rsidRDefault="00EC445E" w:rsidP="007E4E81">
      <w:pPr>
        <w:pStyle w:val="a0"/>
        <w:rPr>
          <w:rtl/>
        </w:rPr>
      </w:pPr>
      <w:bookmarkStart w:id="13115" w:name="_Ref62125009"/>
      <w:r>
        <w:rPr>
          <w:rFonts w:hint="cs"/>
          <w:rtl/>
        </w:rPr>
        <w:t xml:space="preserve">וכתבו </w:t>
      </w:r>
      <w:r>
        <w:rPr>
          <w:rStyle w:val="af9"/>
          <w:rFonts w:hint="cs"/>
          <w:rtl/>
        </w:rPr>
        <w:t xml:space="preserve">המ"מ </w:t>
      </w:r>
      <w:r w:rsidRPr="006B571D">
        <w:rPr>
          <w:rStyle w:val="af7"/>
          <w:rFonts w:eastAsia="Guttman Hodes" w:hint="cs"/>
          <w:rtl/>
        </w:rPr>
        <w:t>(טו"נ פ"ז ה"ח)</w:t>
      </w:r>
      <w:r>
        <w:rPr>
          <w:rFonts w:hint="cs"/>
          <w:rtl/>
        </w:rPr>
        <w:t xml:space="preserve"> </w:t>
      </w:r>
      <w:r>
        <w:rPr>
          <w:rStyle w:val="af9"/>
          <w:rFonts w:hint="cs"/>
          <w:rtl/>
        </w:rPr>
        <w:t xml:space="preserve">והר"ן </w:t>
      </w:r>
      <w:r w:rsidRPr="007B4DC3">
        <w:rPr>
          <w:rStyle w:val="af7"/>
          <w:rFonts w:eastAsia="Guttman Hodes" w:hint="cs"/>
          <w:rtl/>
        </w:rPr>
        <w:t>(ד"ה והלכתא)</w:t>
      </w:r>
      <w:r>
        <w:rPr>
          <w:rStyle w:val="af9"/>
          <w:rFonts w:hint="cs"/>
          <w:rtl/>
        </w:rPr>
        <w:t xml:space="preserve"> ו</w:t>
      </w:r>
      <w:r w:rsidRPr="00EB6CBC">
        <w:rPr>
          <w:rStyle w:val="af9"/>
          <w:rFonts w:hint="cs"/>
          <w:rtl/>
        </w:rPr>
        <w:t>הנימוק"י</w:t>
      </w:r>
      <w:r>
        <w:rPr>
          <w:rFonts w:hint="cs"/>
          <w:rtl/>
        </w:rPr>
        <w:t xml:space="preserve"> </w:t>
      </w:r>
      <w:r w:rsidRPr="00EB6CBC">
        <w:rPr>
          <w:rStyle w:val="af7"/>
          <w:rFonts w:eastAsia="Guttman Hodes" w:hint="cs"/>
          <w:rtl/>
        </w:rPr>
        <w:t>(טז. מדה"ר ד"ה עולא)</w:t>
      </w:r>
      <w:r>
        <w:rPr>
          <w:rFonts w:hint="cs"/>
          <w:rtl/>
        </w:rPr>
        <w:t xml:space="preserve"> </w:t>
      </w:r>
      <w:r>
        <w:rPr>
          <w:rStyle w:val="af9"/>
          <w:rFonts w:hint="cs"/>
          <w:rtl/>
        </w:rPr>
        <w:t xml:space="preserve">והטור </w:t>
      </w:r>
      <w:r w:rsidRPr="007B4DC3">
        <w:rPr>
          <w:rStyle w:val="af7"/>
          <w:rFonts w:eastAsia="Guttman Hodes" w:hint="cs"/>
          <w:rtl/>
        </w:rPr>
        <w:t>(סי' פ')</w:t>
      </w:r>
      <w:r>
        <w:rPr>
          <w:rStyle w:val="af9"/>
          <w:rFonts w:hint="cs"/>
          <w:rtl/>
        </w:rPr>
        <w:t xml:space="preserve"> דהרמב"ם</w:t>
      </w:r>
      <w:r>
        <w:rPr>
          <w:rFonts w:hint="cs"/>
          <w:rtl/>
        </w:rPr>
        <w:t xml:space="preserve"> ס"ל כדעת </w:t>
      </w:r>
      <w:r w:rsidRPr="00EB6CBC">
        <w:rPr>
          <w:rStyle w:val="af9"/>
          <w:rFonts w:hint="cs"/>
          <w:rtl/>
        </w:rPr>
        <w:t>הר"י מגאש</w:t>
      </w:r>
      <w:r>
        <w:rPr>
          <w:rFonts w:hint="cs"/>
          <w:rtl/>
        </w:rPr>
        <w:t xml:space="preserve"> </w:t>
      </w:r>
      <w:r w:rsidRPr="00EB6CBC">
        <w:rPr>
          <w:rStyle w:val="af7"/>
          <w:rFonts w:eastAsia="Guttman Hodes" w:hint="cs"/>
          <w:rtl/>
        </w:rPr>
        <w:t xml:space="preserve">(עי' אות </w:t>
      </w:r>
      <w:r w:rsidRPr="00EB6CBC">
        <w:rPr>
          <w:rStyle w:val="af7"/>
          <w:rFonts w:eastAsia="Guttman Hodes"/>
          <w:rtl/>
        </w:rPr>
        <w:fldChar w:fldCharType="begin"/>
      </w:r>
      <w:r w:rsidRPr="00EB6CBC">
        <w:rPr>
          <w:rStyle w:val="af7"/>
          <w:rFonts w:eastAsia="Guttman Hodes"/>
          <w:rtl/>
        </w:rPr>
        <w:instrText xml:space="preserve"> </w:instrText>
      </w:r>
      <w:r w:rsidRPr="00EB6CBC">
        <w:rPr>
          <w:rStyle w:val="af7"/>
          <w:rFonts w:eastAsia="Guttman Hodes" w:hint="cs"/>
        </w:rPr>
        <w:instrText>REF</w:instrText>
      </w:r>
      <w:r w:rsidRPr="00EB6CBC">
        <w:rPr>
          <w:rStyle w:val="af7"/>
          <w:rFonts w:eastAsia="Guttman Hodes" w:hint="cs"/>
          <w:rtl/>
        </w:rPr>
        <w:instrText xml:space="preserve"> _</w:instrText>
      </w:r>
      <w:r w:rsidRPr="00EB6CBC">
        <w:rPr>
          <w:rStyle w:val="af7"/>
          <w:rFonts w:eastAsia="Guttman Hodes" w:hint="cs"/>
        </w:rPr>
        <w:instrText>Ref61987752 \r \h</w:instrText>
      </w:r>
      <w:r w:rsidRPr="00EB6CBC">
        <w:rPr>
          <w:rStyle w:val="af7"/>
          <w:rFonts w:eastAsia="Guttman Hodes"/>
          <w:rtl/>
        </w:rPr>
        <w:instrText xml:space="preserve"> </w:instrText>
      </w:r>
      <w:r w:rsidRPr="00EB6CBC">
        <w:rPr>
          <w:rStyle w:val="af7"/>
          <w:rFonts w:eastAsia="Guttman Hodes"/>
          <w:rtl/>
        </w:rPr>
      </w:r>
      <w:r w:rsidRPr="00EB6CB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B6CBC">
        <w:rPr>
          <w:rStyle w:val="af7"/>
          <w:rFonts w:eastAsia="Guttman Hodes"/>
          <w:rtl/>
        </w:rPr>
        <w:fldChar w:fldCharType="end"/>
      </w:r>
      <w:r>
        <w:rPr>
          <w:rFonts w:hint="cs"/>
          <w:rtl/>
        </w:rPr>
        <w:t xml:space="preserve"> דמפטור לפטור חוזר וטוען, וביאר </w:t>
      </w:r>
      <w:r>
        <w:rPr>
          <w:rStyle w:val="af9"/>
          <w:rFonts w:hint="cs"/>
          <w:rtl/>
        </w:rPr>
        <w:t xml:space="preserve">המ"מ </w:t>
      </w:r>
      <w:r>
        <w:rPr>
          <w:rFonts w:hint="cs"/>
          <w:rtl/>
        </w:rPr>
        <w:t xml:space="preserve">דהמעשה בגמ' בסוגיין הוא כשבאו העדים לאחר שחזר וטען, ועל זה אמרינן בגמ', את התנאים שהזכיר </w:t>
      </w:r>
      <w:r w:rsidRPr="00974A4D">
        <w:rPr>
          <w:rStyle w:val="af9"/>
          <w:rFonts w:hint="cs"/>
          <w:rtl/>
        </w:rPr>
        <w:t>הרמב"ם</w:t>
      </w:r>
      <w:r>
        <w:rPr>
          <w:rFonts w:hint="cs"/>
          <w:rtl/>
        </w:rPr>
        <w:t xml:space="preserve">, </w:t>
      </w:r>
      <w:r w:rsidRPr="00974A4D">
        <w:rPr>
          <w:rStyle w:val="afb"/>
          <w:rFonts w:hint="cs"/>
          <w:rtl/>
        </w:rPr>
        <w:t>[דנתן אמתלא ולא יצא חוץ לב"ד],</w:t>
      </w:r>
      <w:r>
        <w:rPr>
          <w:rFonts w:hint="cs"/>
          <w:rtl/>
        </w:rPr>
        <w:t xml:space="preserve"> אבל אם חזר וטען לפני שבאו העדים, הוא נאמן מדין הפה שאסר, ועי' במה שביארו </w:t>
      </w:r>
      <w:r w:rsidRPr="00974A4D">
        <w:rPr>
          <w:rStyle w:val="af9"/>
          <w:rFonts w:hint="cs"/>
          <w:rtl/>
        </w:rPr>
        <w:t>החת"ס</w:t>
      </w:r>
      <w:r w:rsidRPr="00974A4D">
        <w:rPr>
          <w:rStyle w:val="af7"/>
          <w:rFonts w:eastAsia="Guttman Hodes" w:hint="cs"/>
          <w:rtl/>
        </w:rPr>
        <w:t xml:space="preserve"> (עי' אות </w:t>
      </w:r>
      <w:r w:rsidRPr="00974A4D">
        <w:rPr>
          <w:rStyle w:val="af7"/>
          <w:rFonts w:eastAsia="Guttman Hodes"/>
          <w:rtl/>
        </w:rPr>
        <w:fldChar w:fldCharType="begin"/>
      </w:r>
      <w:r w:rsidRPr="00974A4D">
        <w:rPr>
          <w:rStyle w:val="af7"/>
          <w:rFonts w:eastAsia="Guttman Hodes"/>
          <w:rtl/>
        </w:rPr>
        <w:instrText xml:space="preserve"> </w:instrText>
      </w:r>
      <w:r w:rsidRPr="00974A4D">
        <w:rPr>
          <w:rStyle w:val="af7"/>
          <w:rFonts w:eastAsia="Guttman Hodes" w:hint="cs"/>
        </w:rPr>
        <w:instrText>REF</w:instrText>
      </w:r>
      <w:r w:rsidRPr="00974A4D">
        <w:rPr>
          <w:rStyle w:val="af7"/>
          <w:rFonts w:eastAsia="Guttman Hodes" w:hint="cs"/>
          <w:rtl/>
        </w:rPr>
        <w:instrText xml:space="preserve"> _</w:instrText>
      </w:r>
      <w:r w:rsidRPr="00974A4D">
        <w:rPr>
          <w:rStyle w:val="af7"/>
          <w:rFonts w:eastAsia="Guttman Hodes" w:hint="cs"/>
        </w:rPr>
        <w:instrText>Ref62124995 \r \h</w:instrText>
      </w:r>
      <w:r w:rsidRPr="00974A4D">
        <w:rPr>
          <w:rStyle w:val="af7"/>
          <w:rFonts w:eastAsia="Guttman Hodes"/>
          <w:rtl/>
        </w:rPr>
        <w:instrText xml:space="preserve"> </w:instrText>
      </w:r>
      <w:r w:rsidRPr="00974A4D">
        <w:rPr>
          <w:rStyle w:val="af7"/>
          <w:rFonts w:eastAsia="Guttman Hodes"/>
          <w:rtl/>
        </w:rPr>
      </w:r>
      <w:r w:rsidRPr="00974A4D">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974A4D">
        <w:rPr>
          <w:rStyle w:val="af7"/>
          <w:rFonts w:eastAsia="Guttman Hodes"/>
          <w:rtl/>
        </w:rPr>
        <w:fldChar w:fldCharType="end"/>
      </w:r>
      <w:r w:rsidRPr="00974A4D">
        <w:rPr>
          <w:rStyle w:val="af7"/>
          <w:rFonts w:eastAsia="Guttman Hodes" w:hint="cs"/>
          <w:rtl/>
        </w:rPr>
        <w:t xml:space="preserve"> </w:t>
      </w:r>
      <w:r w:rsidRPr="00E81F10">
        <w:rPr>
          <w:rStyle w:val="af9"/>
          <w:rFonts w:hint="cs"/>
          <w:rtl/>
        </w:rPr>
        <w:t>ובחי' רבי נחום</w:t>
      </w:r>
      <w:r>
        <w:rPr>
          <w:rFonts w:hint="cs"/>
          <w:rtl/>
        </w:rPr>
        <w:t xml:space="preserve"> </w:t>
      </w:r>
      <w:r w:rsidRPr="00244F6D">
        <w:rPr>
          <w:rStyle w:val="af7"/>
          <w:rFonts w:eastAsia="Guttman Hodes" w:hint="cs"/>
          <w:rtl/>
        </w:rPr>
        <w:t>(או' פ"ט ד"ה ובעיקר)</w:t>
      </w:r>
      <w:r>
        <w:rPr>
          <w:rFonts w:hint="cs"/>
          <w:rtl/>
        </w:rPr>
        <w:t xml:space="preserve"> בדברי </w:t>
      </w:r>
      <w:r w:rsidRPr="00974A4D">
        <w:rPr>
          <w:rStyle w:val="af9"/>
          <w:rFonts w:hint="cs"/>
          <w:rtl/>
        </w:rPr>
        <w:t>המ"מ</w:t>
      </w:r>
      <w:r>
        <w:rPr>
          <w:rFonts w:hint="cs"/>
          <w:rtl/>
        </w:rPr>
        <w:t>.</w:t>
      </w:r>
      <w:bookmarkEnd w:id="13115"/>
    </w:p>
    <w:p w:rsidR="00EC445E" w:rsidRPr="00C01DF5" w:rsidRDefault="00EC445E" w:rsidP="00EC445E">
      <w:pPr>
        <w:pStyle w:val="a3"/>
        <w:rPr>
          <w:rtl/>
        </w:rPr>
      </w:pPr>
      <w:bookmarkStart w:id="13116" w:name="_Toc62452603"/>
      <w:bookmarkStart w:id="13117" w:name="_Toc62453872"/>
      <w:bookmarkStart w:id="13118" w:name="_Toc62485585"/>
      <w:r>
        <w:rPr>
          <w:rFonts w:hint="cs"/>
          <w:rtl/>
        </w:rPr>
        <w:t>דברי הכס"מ בשם תשו' הרשב"א דאין לטעות דלהרמב"ם נאמן בחוזר וטוען אף מחיוב לפטור</w:t>
      </w:r>
      <w:bookmarkEnd w:id="13116"/>
      <w:bookmarkEnd w:id="13117"/>
      <w:bookmarkEnd w:id="13118"/>
      <w:r>
        <w:rPr>
          <w:rFonts w:hint="cs"/>
          <w:rtl/>
        </w:rPr>
        <w:t xml:space="preserve"> </w:t>
      </w:r>
    </w:p>
    <w:p w:rsidR="00EC445E" w:rsidRDefault="00EC445E" w:rsidP="007E4E81">
      <w:pPr>
        <w:pStyle w:val="a0"/>
        <w:rPr>
          <w:rtl/>
        </w:rPr>
      </w:pPr>
      <w:bookmarkStart w:id="13119" w:name="_Ref62464272"/>
      <w:r>
        <w:rPr>
          <w:rFonts w:hint="cs"/>
          <w:rtl/>
        </w:rPr>
        <w:t xml:space="preserve">והביא </w:t>
      </w:r>
      <w:r w:rsidRPr="00F93436">
        <w:rPr>
          <w:rStyle w:val="af9"/>
          <w:rFonts w:hint="cs"/>
          <w:rtl/>
        </w:rPr>
        <w:t>הכס"מ</w:t>
      </w:r>
      <w:r>
        <w:rPr>
          <w:rStyle w:val="af7"/>
          <w:rFonts w:eastAsia="Guttman Hodes" w:hint="cs"/>
          <w:rtl/>
        </w:rPr>
        <w:t xml:space="preserve"> </w:t>
      </w:r>
      <w:r w:rsidRPr="006B571D">
        <w:rPr>
          <w:rStyle w:val="af7"/>
          <w:rFonts w:eastAsia="Guttman Hodes" w:hint="cs"/>
          <w:rtl/>
        </w:rPr>
        <w:t>(טו"נ פ"ז ה"ח)</w:t>
      </w:r>
      <w:r>
        <w:rPr>
          <w:rFonts w:hint="cs"/>
          <w:rtl/>
        </w:rPr>
        <w:t xml:space="preserve"> </w:t>
      </w:r>
      <w:r w:rsidRPr="00F93436">
        <w:rPr>
          <w:rStyle w:val="af9"/>
          <w:rFonts w:hint="cs"/>
          <w:rtl/>
        </w:rPr>
        <w:t>והב"י</w:t>
      </w:r>
      <w:r>
        <w:rPr>
          <w:rFonts w:hint="cs"/>
          <w:rtl/>
        </w:rPr>
        <w:t xml:space="preserve"> </w:t>
      </w:r>
      <w:r w:rsidRPr="00F93436">
        <w:rPr>
          <w:rStyle w:val="af7"/>
          <w:rFonts w:eastAsia="Guttman Hodes" w:hint="cs"/>
          <w:rtl/>
        </w:rPr>
        <w:t>(סי' פ' א')</w:t>
      </w:r>
      <w:r>
        <w:rPr>
          <w:rFonts w:hint="cs"/>
          <w:rtl/>
        </w:rPr>
        <w:t xml:space="preserve"> את דברי </w:t>
      </w:r>
      <w:r w:rsidRPr="00C01DF5">
        <w:rPr>
          <w:rStyle w:val="af9"/>
          <w:rFonts w:hint="cs"/>
          <w:rtl/>
        </w:rPr>
        <w:t>הרשב"א בתשו'</w:t>
      </w:r>
      <w:r>
        <w:rPr>
          <w:rFonts w:hint="cs"/>
          <w:rtl/>
        </w:rPr>
        <w:t xml:space="preserve"> </w:t>
      </w:r>
      <w:r w:rsidRPr="00C01DF5">
        <w:rPr>
          <w:rStyle w:val="af7"/>
          <w:rFonts w:eastAsia="Guttman Hodes" w:hint="cs"/>
          <w:rtl/>
        </w:rPr>
        <w:t>(ח"ב סי'</w:t>
      </w:r>
      <w:r>
        <w:rPr>
          <w:rFonts w:hint="cs"/>
          <w:rtl/>
        </w:rPr>
        <w:t xml:space="preserve"> </w:t>
      </w:r>
      <w:r w:rsidRPr="00C01DF5">
        <w:rPr>
          <w:rStyle w:val="af7"/>
          <w:rFonts w:eastAsia="Guttman Hodes" w:hint="cs"/>
          <w:rtl/>
        </w:rPr>
        <w:t>של"ה ד"ה ומפני)</w:t>
      </w:r>
      <w:r>
        <w:rPr>
          <w:rFonts w:hint="cs"/>
          <w:rtl/>
        </w:rPr>
        <w:t xml:space="preserve"> דכתב דאין לטעות דכוונת </w:t>
      </w:r>
      <w:r w:rsidRPr="00C01DF5">
        <w:rPr>
          <w:rStyle w:val="af9"/>
          <w:rFonts w:hint="cs"/>
          <w:rtl/>
        </w:rPr>
        <w:t>הרמב"ם</w:t>
      </w:r>
      <w:r>
        <w:rPr>
          <w:rFonts w:hint="cs"/>
          <w:rtl/>
        </w:rPr>
        <w:t xml:space="preserve"> </w:t>
      </w:r>
      <w:r w:rsidRPr="00C01DF5">
        <w:rPr>
          <w:rStyle w:val="af7"/>
          <w:rFonts w:eastAsia="Guttman Hodes" w:hint="cs"/>
          <w:rtl/>
        </w:rPr>
        <w:t xml:space="preserve">(עי' אות </w:t>
      </w:r>
      <w:r w:rsidRPr="00C01DF5">
        <w:rPr>
          <w:rStyle w:val="af7"/>
          <w:rFonts w:eastAsia="Guttman Hodes"/>
          <w:rtl/>
        </w:rPr>
        <w:fldChar w:fldCharType="begin"/>
      </w:r>
      <w:r w:rsidRPr="00C01DF5">
        <w:rPr>
          <w:rStyle w:val="af7"/>
          <w:rFonts w:eastAsia="Guttman Hodes"/>
          <w:rtl/>
        </w:rPr>
        <w:instrText xml:space="preserve"> </w:instrText>
      </w:r>
      <w:r w:rsidRPr="00C01DF5">
        <w:rPr>
          <w:rStyle w:val="af7"/>
          <w:rFonts w:eastAsia="Guttman Hodes" w:hint="cs"/>
        </w:rPr>
        <w:instrText>REF</w:instrText>
      </w:r>
      <w:r w:rsidRPr="00C01DF5">
        <w:rPr>
          <w:rStyle w:val="af7"/>
          <w:rFonts w:eastAsia="Guttman Hodes" w:hint="cs"/>
          <w:rtl/>
        </w:rPr>
        <w:instrText xml:space="preserve"> _</w:instrText>
      </w:r>
      <w:r w:rsidRPr="00C01DF5">
        <w:rPr>
          <w:rStyle w:val="af7"/>
          <w:rFonts w:eastAsia="Guttman Hodes" w:hint="cs"/>
        </w:rPr>
        <w:instrText>Ref62124167 \r \h</w:instrText>
      </w:r>
      <w:r w:rsidRPr="00C01DF5">
        <w:rPr>
          <w:rStyle w:val="af7"/>
          <w:rFonts w:eastAsia="Guttman Hodes"/>
          <w:rtl/>
        </w:rPr>
        <w:instrText xml:space="preserve"> </w:instrText>
      </w:r>
      <w:r w:rsidRPr="00C01DF5">
        <w:rPr>
          <w:rStyle w:val="af7"/>
          <w:rFonts w:eastAsia="Guttman Hodes"/>
          <w:rtl/>
        </w:rPr>
      </w:r>
      <w:r w:rsidRPr="00C01DF5">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C01DF5">
        <w:rPr>
          <w:rStyle w:val="af7"/>
          <w:rFonts w:eastAsia="Guttman Hodes"/>
          <w:rtl/>
        </w:rPr>
        <w:fldChar w:fldCharType="end"/>
      </w:r>
      <w:r>
        <w:rPr>
          <w:rFonts w:hint="cs"/>
          <w:rtl/>
        </w:rPr>
        <w:t xml:space="preserve"> לומר דאף במקום שהודה הנתבע לטענת התובע, נאמן לחזור ולטעון כל זמן שלא באו עדים, דהא ודאי דאינו חוזר וטוען מחיוב לפטור, ורק מפטור לפטור ס"ל </w:t>
      </w:r>
      <w:r w:rsidRPr="00C01DF5">
        <w:rPr>
          <w:rStyle w:val="af9"/>
          <w:rFonts w:hint="cs"/>
          <w:rtl/>
        </w:rPr>
        <w:t>להרמב"ם</w:t>
      </w:r>
      <w:r>
        <w:rPr>
          <w:rFonts w:hint="cs"/>
          <w:rtl/>
        </w:rPr>
        <w:t xml:space="preserve"> דנאמן לחזור ולטעון, כל שלא באו עדים והכחישוהו.</w:t>
      </w:r>
      <w:bookmarkEnd w:id="13119"/>
      <w:r>
        <w:rPr>
          <w:rFonts w:hint="cs"/>
          <w:rtl/>
        </w:rPr>
        <w:t xml:space="preserve"> </w:t>
      </w:r>
    </w:p>
    <w:p w:rsidR="00EC445E" w:rsidRPr="00671CFB" w:rsidRDefault="00EC445E" w:rsidP="00EC445E">
      <w:pPr>
        <w:pStyle w:val="1"/>
        <w:rPr>
          <w:rtl/>
        </w:rPr>
      </w:pPr>
      <w:bookmarkStart w:id="13120" w:name="_Toc62160819"/>
      <w:bookmarkStart w:id="13121" w:name="_Toc62385980"/>
      <w:bookmarkStart w:id="13122" w:name="_Toc62420117"/>
      <w:bookmarkStart w:id="13123" w:name="_Toc62452604"/>
      <w:bookmarkStart w:id="13124" w:name="_Toc62453873"/>
      <w:bookmarkStart w:id="13125" w:name="_Toc62485586"/>
      <w:r>
        <w:rPr>
          <w:rFonts w:hint="cs"/>
          <w:rtl/>
        </w:rPr>
        <w:t>דברי הרשב"א דבחוזר מפטור לפטור אין לך מיגו חשוב מזה</w:t>
      </w:r>
      <w:bookmarkEnd w:id="13107"/>
      <w:bookmarkEnd w:id="13120"/>
      <w:bookmarkEnd w:id="13121"/>
      <w:bookmarkEnd w:id="13122"/>
      <w:bookmarkEnd w:id="13123"/>
      <w:bookmarkEnd w:id="13124"/>
      <w:bookmarkEnd w:id="13125"/>
    </w:p>
    <w:p w:rsidR="00EC445E" w:rsidRDefault="00EC445E" w:rsidP="00EC445E">
      <w:pPr>
        <w:pStyle w:val="a3"/>
        <w:rPr>
          <w:rtl/>
        </w:rPr>
      </w:pPr>
      <w:bookmarkStart w:id="13126" w:name="_Toc62452605"/>
      <w:bookmarkStart w:id="13127" w:name="_Toc62453874"/>
      <w:bookmarkStart w:id="13128" w:name="_Toc62485587"/>
      <w:r>
        <w:rPr>
          <w:rFonts w:hint="cs"/>
          <w:rtl/>
        </w:rPr>
        <w:t>דברי הרשב"א בתשו' דבחוזר מפטור לפטור אין מיגו גדול מזה ואינו מוחזק כפרן שלא בעדים</w:t>
      </w:r>
      <w:bookmarkEnd w:id="13126"/>
      <w:bookmarkEnd w:id="13127"/>
      <w:bookmarkEnd w:id="13128"/>
    </w:p>
    <w:p w:rsidR="00EC445E" w:rsidRDefault="00EC445E" w:rsidP="007E4E81">
      <w:pPr>
        <w:pStyle w:val="a0"/>
        <w:rPr>
          <w:rtl/>
        </w:rPr>
      </w:pPr>
      <w:bookmarkStart w:id="13129" w:name="_Ref62464279"/>
      <w:r>
        <w:rPr>
          <w:rFonts w:hint="cs"/>
          <w:rtl/>
        </w:rPr>
        <w:t xml:space="preserve">כתב </w:t>
      </w:r>
      <w:r w:rsidRPr="00C11FBF">
        <w:rPr>
          <w:rStyle w:val="af9"/>
          <w:rFonts w:hint="cs"/>
          <w:rtl/>
        </w:rPr>
        <w:t>הרשב"א בתשו'</w:t>
      </w:r>
      <w:r>
        <w:rPr>
          <w:rFonts w:hint="cs"/>
          <w:rtl/>
        </w:rPr>
        <w:t xml:space="preserve"> </w:t>
      </w:r>
      <w:r w:rsidRPr="00C11FBF">
        <w:rPr>
          <w:rStyle w:val="af7"/>
          <w:rFonts w:eastAsia="Guttman Hodes" w:hint="cs"/>
          <w:rtl/>
        </w:rPr>
        <w:t>(ח"ו סי' רל"ח)</w:t>
      </w:r>
      <w:r>
        <w:rPr>
          <w:rFonts w:hint="cs"/>
          <w:rtl/>
        </w:rPr>
        <w:t xml:space="preserve"> דאף הכופר בב"ד וטען לא לויתי, וחזר ואמר לויתי ופרעתי, נאמן במיגו שהיה עומד בטענתו, והוסיף </w:t>
      </w:r>
      <w:r w:rsidRPr="00C11FBF">
        <w:rPr>
          <w:rStyle w:val="af9"/>
          <w:rFonts w:hint="cs"/>
          <w:rtl/>
        </w:rPr>
        <w:t>הרשב"א</w:t>
      </w:r>
      <w:r>
        <w:rPr>
          <w:rFonts w:hint="cs"/>
          <w:rtl/>
        </w:rPr>
        <w:t xml:space="preserve"> דאין לך מיגו חשוב ממנו, וביאר </w:t>
      </w:r>
      <w:r w:rsidRPr="00C11FBF">
        <w:rPr>
          <w:rStyle w:val="af9"/>
          <w:rFonts w:hint="cs"/>
          <w:rtl/>
        </w:rPr>
        <w:t>הרשב"א</w:t>
      </w:r>
      <w:r>
        <w:rPr>
          <w:rFonts w:hint="cs"/>
          <w:rtl/>
        </w:rPr>
        <w:t xml:space="preserve"> דהוחזק כפרן היינו רק כשבאו עדים לפני שחזר וטען לויתי ופרעתי, אבל עפ"י עצמו אינו מוחזק כפרן, וכדמוכח בגמ' בב"מ </w:t>
      </w:r>
      <w:r w:rsidRPr="00C11FBF">
        <w:rPr>
          <w:rStyle w:val="af7"/>
          <w:rFonts w:eastAsia="Guttman Hodes" w:hint="cs"/>
          <w:rtl/>
        </w:rPr>
        <w:t>(ד.)</w:t>
      </w:r>
      <w:r>
        <w:rPr>
          <w:rFonts w:hint="cs"/>
          <w:rtl/>
        </w:rPr>
        <w:t xml:space="preserve"> דרק בעדים מוחזק כפרן.</w:t>
      </w:r>
      <w:bookmarkEnd w:id="13129"/>
    </w:p>
    <w:p w:rsidR="00730F4A" w:rsidRPr="00730F4A" w:rsidRDefault="00730F4A" w:rsidP="00730F4A">
      <w:pPr>
        <w:pStyle w:val="a3"/>
        <w:rPr>
          <w:rtl/>
        </w:rPr>
      </w:pPr>
    </w:p>
    <w:p w:rsidR="00730F4A" w:rsidRPr="00730F4A" w:rsidRDefault="00730F4A" w:rsidP="00730F4A">
      <w:pPr>
        <w:pStyle w:val="a3"/>
        <w:rPr>
          <w:rtl/>
        </w:rPr>
      </w:pPr>
    </w:p>
    <w:p w:rsidR="00EC445E" w:rsidRPr="00FB6B6A" w:rsidRDefault="00EC445E" w:rsidP="00EC445E">
      <w:pPr>
        <w:pStyle w:val="1"/>
        <w:rPr>
          <w:rtl/>
        </w:rPr>
      </w:pPr>
      <w:bookmarkStart w:id="13130" w:name="_Toc62074380"/>
      <w:bookmarkStart w:id="13131" w:name="_Toc62160820"/>
      <w:bookmarkStart w:id="13132" w:name="_Toc62385981"/>
      <w:bookmarkStart w:id="13133" w:name="_Toc62420118"/>
      <w:bookmarkStart w:id="13134" w:name="_Toc62452606"/>
      <w:bookmarkStart w:id="13135" w:name="_Toc62453875"/>
      <w:bookmarkStart w:id="13136" w:name="_Toc62485588"/>
      <w:r>
        <w:rPr>
          <w:rFonts w:hint="cs"/>
          <w:rtl/>
        </w:rPr>
        <w:t>דברי המרדכי וההג"א דנאמן במודה ששיקר בטענה הראשונה</w:t>
      </w:r>
      <w:bookmarkEnd w:id="13130"/>
      <w:bookmarkEnd w:id="13131"/>
      <w:bookmarkEnd w:id="13132"/>
      <w:bookmarkEnd w:id="13133"/>
      <w:bookmarkEnd w:id="13134"/>
      <w:bookmarkEnd w:id="13135"/>
      <w:bookmarkEnd w:id="13136"/>
    </w:p>
    <w:p w:rsidR="00EC445E" w:rsidRPr="003D10DD" w:rsidRDefault="00EC445E" w:rsidP="00EC445E">
      <w:pPr>
        <w:pStyle w:val="a3"/>
        <w:rPr>
          <w:rtl/>
        </w:rPr>
      </w:pPr>
      <w:bookmarkStart w:id="13137" w:name="_Toc62074381"/>
      <w:bookmarkStart w:id="13138" w:name="_Toc62160821"/>
      <w:bookmarkStart w:id="13139" w:name="_Toc62385982"/>
      <w:bookmarkStart w:id="13140" w:name="_Toc62420119"/>
      <w:bookmarkStart w:id="13141" w:name="_Toc62452607"/>
      <w:bookmarkStart w:id="13142" w:name="_Toc62453876"/>
      <w:bookmarkStart w:id="13143" w:name="_Toc62485589"/>
      <w:r>
        <w:rPr>
          <w:rFonts w:hint="cs"/>
          <w:rtl/>
        </w:rPr>
        <w:t xml:space="preserve">דברי </w:t>
      </w:r>
      <w:r w:rsidRPr="00313871">
        <w:rPr>
          <w:rtl/>
        </w:rPr>
        <w:t>המרדכי וההג"א</w:t>
      </w:r>
      <w:r w:rsidRPr="00313871">
        <w:rPr>
          <w:rFonts w:hint="cs"/>
          <w:rtl/>
        </w:rPr>
        <w:t xml:space="preserve"> </w:t>
      </w:r>
      <w:r>
        <w:rPr>
          <w:rFonts w:hint="cs"/>
          <w:rtl/>
        </w:rPr>
        <w:t>דמפטור לפטור נאמן במיגו אף כשמודה ששיקר בטענתו הראשונה</w:t>
      </w:r>
      <w:bookmarkEnd w:id="13137"/>
      <w:bookmarkEnd w:id="13138"/>
      <w:bookmarkEnd w:id="13139"/>
      <w:bookmarkEnd w:id="13140"/>
      <w:bookmarkEnd w:id="13141"/>
      <w:bookmarkEnd w:id="13142"/>
      <w:bookmarkEnd w:id="13143"/>
    </w:p>
    <w:p w:rsidR="00EC445E" w:rsidRPr="00AF1EE5" w:rsidRDefault="00EC445E" w:rsidP="007E4E81">
      <w:pPr>
        <w:pStyle w:val="a0"/>
        <w:rPr>
          <w:rtl/>
        </w:rPr>
      </w:pPr>
      <w:bookmarkStart w:id="13144" w:name="_Ref62454143"/>
      <w:r>
        <w:rPr>
          <w:rFonts w:hint="cs"/>
          <w:rtl/>
        </w:rPr>
        <w:t xml:space="preserve">כתבו </w:t>
      </w:r>
      <w:r>
        <w:rPr>
          <w:rStyle w:val="af9"/>
          <w:rFonts w:hint="cs"/>
          <w:rtl/>
        </w:rPr>
        <w:t xml:space="preserve">המרדכי </w:t>
      </w:r>
      <w:r w:rsidRPr="00313871">
        <w:rPr>
          <w:rStyle w:val="af7"/>
          <w:rFonts w:eastAsia="Guttman Hodes" w:hint="cs"/>
          <w:rtl/>
        </w:rPr>
        <w:t>(</w:t>
      </w:r>
      <w:r w:rsidRPr="00313871">
        <w:rPr>
          <w:rStyle w:val="af7"/>
          <w:rFonts w:eastAsia="Guttman Hodes"/>
          <w:rtl/>
        </w:rPr>
        <w:t>רמז תקכ</w:t>
      </w:r>
      <w:r>
        <w:rPr>
          <w:rStyle w:val="af7"/>
          <w:rFonts w:eastAsia="Guttman Hodes" w:hint="cs"/>
          <w:rtl/>
        </w:rPr>
        <w:t>"</w:t>
      </w:r>
      <w:r w:rsidRPr="00313871">
        <w:rPr>
          <w:rStyle w:val="af7"/>
          <w:rFonts w:eastAsia="Guttman Hodes"/>
          <w:rtl/>
        </w:rPr>
        <w:t>ה</w:t>
      </w:r>
      <w:r w:rsidRPr="00313871">
        <w:rPr>
          <w:rStyle w:val="af7"/>
          <w:rFonts w:eastAsia="Guttman Hodes" w:hint="cs"/>
          <w:rtl/>
        </w:rPr>
        <w:t>)</w:t>
      </w:r>
      <w:r>
        <w:rPr>
          <w:rStyle w:val="af9"/>
          <w:rFonts w:hint="cs"/>
          <w:rtl/>
        </w:rPr>
        <w:t xml:space="preserve"> ו</w:t>
      </w:r>
      <w:r w:rsidRPr="000C0DC5">
        <w:rPr>
          <w:rStyle w:val="af9"/>
          <w:rFonts w:hint="cs"/>
          <w:rtl/>
        </w:rPr>
        <w:t>ההג' אשר"י</w:t>
      </w:r>
      <w:r>
        <w:rPr>
          <w:rFonts w:hint="cs"/>
          <w:rtl/>
        </w:rPr>
        <w:t xml:space="preserve"> </w:t>
      </w:r>
      <w:r w:rsidRPr="000C0DC5">
        <w:rPr>
          <w:rStyle w:val="af7"/>
          <w:rFonts w:eastAsia="Guttman Hodes" w:hint="cs"/>
          <w:rtl/>
        </w:rPr>
        <w:t>(על הרא"ש סי' ט')</w:t>
      </w:r>
      <w:r>
        <w:rPr>
          <w:rFonts w:hint="cs"/>
          <w:rtl/>
        </w:rPr>
        <w:t xml:space="preserve"> דכל שלא הוכחש בעדים, ומעצמו חוזר בו מפטור לפטור, ומודה ששיקר בטענתו הראשונה, וטוען שהוא פטור מחמת טענתו האחרונה, דהוא נאמן לכו"ע, כיון שיש לו מיגו, דהיה יכול לעמוד בטענתו הראשונה</w:t>
      </w:r>
      <w:r>
        <w:rPr>
          <w:rStyle w:val="af1"/>
          <w:rtl/>
        </w:rPr>
        <w:footnoteReference w:id="82"/>
      </w:r>
      <w:r>
        <w:rPr>
          <w:rFonts w:hint="cs"/>
          <w:rtl/>
        </w:rPr>
        <w:t xml:space="preserve">. </w:t>
      </w:r>
      <w:r w:rsidRPr="00AF1EE5">
        <w:rPr>
          <w:rStyle w:val="afb"/>
          <w:rFonts w:hint="cs"/>
          <w:rtl/>
        </w:rPr>
        <w:t xml:space="preserve">[ועי' במה שביאר </w:t>
      </w:r>
      <w:r w:rsidRPr="00AF1EE5">
        <w:rPr>
          <w:rStyle w:val="affa"/>
          <w:rFonts w:hint="cs"/>
          <w:rtl/>
        </w:rPr>
        <w:t>האמרי ברוך</w:t>
      </w:r>
      <w:r w:rsidRPr="00AF1EE5">
        <w:rPr>
          <w:rStyle w:val="afb"/>
          <w:rFonts w:hint="cs"/>
          <w:rtl/>
        </w:rPr>
        <w:t xml:space="preserve"> </w:t>
      </w:r>
      <w:r w:rsidRPr="00AF1EE5">
        <w:rPr>
          <w:rStyle w:val="aff6"/>
          <w:rFonts w:hint="cs"/>
          <w:rtl/>
        </w:rPr>
        <w:t xml:space="preserve">(עי' אות </w:t>
      </w:r>
      <w:r w:rsidRPr="00AF1EE5">
        <w:rPr>
          <w:rStyle w:val="aff6"/>
          <w:rtl/>
        </w:rPr>
        <w:fldChar w:fldCharType="begin"/>
      </w:r>
      <w:r w:rsidRPr="00AF1EE5">
        <w:rPr>
          <w:rStyle w:val="aff6"/>
          <w:rtl/>
        </w:rPr>
        <w:instrText xml:space="preserve"> </w:instrText>
      </w:r>
      <w:r w:rsidRPr="00AF1EE5">
        <w:rPr>
          <w:rStyle w:val="aff6"/>
          <w:rFonts w:hint="cs"/>
        </w:rPr>
        <w:instrText>REF</w:instrText>
      </w:r>
      <w:r w:rsidRPr="00AF1EE5">
        <w:rPr>
          <w:rStyle w:val="aff6"/>
          <w:rFonts w:hint="cs"/>
          <w:rtl/>
        </w:rPr>
        <w:instrText xml:space="preserve"> _</w:instrText>
      </w:r>
      <w:r w:rsidRPr="00AF1EE5">
        <w:rPr>
          <w:rStyle w:val="aff6"/>
          <w:rFonts w:hint="cs"/>
        </w:rPr>
        <w:instrText>Ref62454214 \r \h</w:instrText>
      </w:r>
      <w:r w:rsidRPr="00AF1EE5">
        <w:rPr>
          <w:rStyle w:val="aff6"/>
          <w:rtl/>
        </w:rPr>
        <w:instrText xml:space="preserve"> </w:instrText>
      </w:r>
      <w:r w:rsidRPr="00AF1EE5">
        <w:rPr>
          <w:rStyle w:val="aff6"/>
          <w:rtl/>
        </w:rPr>
      </w:r>
      <w:r w:rsidRPr="00AF1EE5">
        <w:rPr>
          <w:rStyle w:val="aff6"/>
          <w:rtl/>
        </w:rPr>
        <w:fldChar w:fldCharType="separate"/>
      </w:r>
      <w:r w:rsidR="00265073">
        <w:rPr>
          <w:rStyle w:val="aff6"/>
          <w:cs/>
        </w:rPr>
        <w:t>‎</w:t>
      </w:r>
      <w:r w:rsidR="00265073">
        <w:rPr>
          <w:rStyle w:val="aff6"/>
          <w:rtl/>
        </w:rPr>
        <w:t>עב)</w:t>
      </w:r>
      <w:r w:rsidRPr="00AF1EE5">
        <w:rPr>
          <w:rStyle w:val="aff6"/>
          <w:rtl/>
        </w:rPr>
        <w:fldChar w:fldCharType="end"/>
      </w:r>
      <w:r w:rsidRPr="00AF1EE5">
        <w:rPr>
          <w:rStyle w:val="afb"/>
          <w:rFonts w:hint="cs"/>
          <w:rtl/>
        </w:rPr>
        <w:t xml:space="preserve"> דס"ל </w:t>
      </w:r>
      <w:r w:rsidRPr="00AF1EE5">
        <w:rPr>
          <w:rStyle w:val="affa"/>
          <w:rFonts w:hint="cs"/>
          <w:rtl/>
        </w:rPr>
        <w:t>לההג' אשר"י</w:t>
      </w:r>
      <w:r w:rsidRPr="00AF1EE5">
        <w:rPr>
          <w:rStyle w:val="afb"/>
          <w:rFonts w:hint="cs"/>
          <w:rtl/>
        </w:rPr>
        <w:t xml:space="preserve"> כדעת </w:t>
      </w:r>
      <w:r w:rsidRPr="00AF1EE5">
        <w:rPr>
          <w:rStyle w:val="affa"/>
          <w:rFonts w:hint="cs"/>
          <w:rtl/>
        </w:rPr>
        <w:t>היד רמ"ה</w:t>
      </w:r>
      <w:r w:rsidRPr="00AF1EE5">
        <w:rPr>
          <w:rStyle w:val="afb"/>
          <w:rFonts w:hint="cs"/>
          <w:rtl/>
        </w:rPr>
        <w:t xml:space="preserve"> </w:t>
      </w:r>
      <w:r w:rsidRPr="00AF1EE5">
        <w:rPr>
          <w:rStyle w:val="aff6"/>
          <w:rFonts w:hint="cs"/>
          <w:rtl/>
        </w:rPr>
        <w:t xml:space="preserve">(עי' אות </w:t>
      </w:r>
      <w:r w:rsidRPr="00AF1EE5">
        <w:rPr>
          <w:rStyle w:val="aff6"/>
          <w:rtl/>
        </w:rPr>
        <w:fldChar w:fldCharType="begin"/>
      </w:r>
      <w:r w:rsidRPr="00AF1EE5">
        <w:rPr>
          <w:rStyle w:val="aff6"/>
          <w:rtl/>
        </w:rPr>
        <w:instrText xml:space="preserve"> </w:instrText>
      </w:r>
      <w:r w:rsidRPr="00AF1EE5">
        <w:rPr>
          <w:rStyle w:val="aff6"/>
          <w:rFonts w:hint="cs"/>
        </w:rPr>
        <w:instrText>REF</w:instrText>
      </w:r>
      <w:r w:rsidRPr="00AF1EE5">
        <w:rPr>
          <w:rStyle w:val="aff6"/>
          <w:rFonts w:hint="cs"/>
          <w:rtl/>
        </w:rPr>
        <w:instrText xml:space="preserve"> _</w:instrText>
      </w:r>
      <w:r w:rsidRPr="00AF1EE5">
        <w:rPr>
          <w:rStyle w:val="aff6"/>
          <w:rFonts w:hint="cs"/>
        </w:rPr>
        <w:instrText>Ref62454151 \r \h</w:instrText>
      </w:r>
      <w:r w:rsidRPr="00AF1EE5">
        <w:rPr>
          <w:rStyle w:val="aff6"/>
          <w:rtl/>
        </w:rPr>
        <w:instrText xml:space="preserve"> </w:instrText>
      </w:r>
      <w:r w:rsidRPr="00AF1EE5">
        <w:rPr>
          <w:rStyle w:val="aff6"/>
          <w:rtl/>
        </w:rPr>
      </w:r>
      <w:r w:rsidRPr="00AF1EE5">
        <w:rPr>
          <w:rStyle w:val="aff6"/>
          <w:rtl/>
        </w:rPr>
        <w:fldChar w:fldCharType="separate"/>
      </w:r>
      <w:r w:rsidR="00265073">
        <w:rPr>
          <w:rStyle w:val="aff6"/>
          <w:cs/>
        </w:rPr>
        <w:t>‎</w:t>
      </w:r>
      <w:r w:rsidR="00265073">
        <w:rPr>
          <w:rStyle w:val="aff6"/>
          <w:rtl/>
        </w:rPr>
        <w:t>סב)</w:t>
      </w:r>
      <w:r w:rsidRPr="00AF1EE5">
        <w:rPr>
          <w:rStyle w:val="aff6"/>
          <w:rtl/>
        </w:rPr>
        <w:fldChar w:fldCharType="end"/>
      </w:r>
      <w:r w:rsidRPr="00AF1EE5">
        <w:rPr>
          <w:rStyle w:val="afb"/>
          <w:rtl/>
        </w:rPr>
        <w:t xml:space="preserve"> דאף אם באו עדים אח"כ אינו נאמן</w:t>
      </w:r>
      <w:r w:rsidRPr="00AF1EE5">
        <w:rPr>
          <w:rStyle w:val="afb"/>
          <w:rFonts w:hint="cs"/>
          <w:rtl/>
        </w:rPr>
        <w:t>].</w:t>
      </w:r>
      <w:bookmarkEnd w:id="13144"/>
    </w:p>
    <w:p w:rsidR="00EC445E" w:rsidRDefault="00EC445E" w:rsidP="00EC445E">
      <w:pPr>
        <w:pStyle w:val="1"/>
        <w:rPr>
          <w:rtl/>
        </w:rPr>
      </w:pPr>
      <w:bookmarkStart w:id="13146" w:name="_Toc62074383"/>
      <w:bookmarkStart w:id="13147" w:name="_Toc62160823"/>
      <w:bookmarkStart w:id="13148" w:name="_Toc62385984"/>
      <w:bookmarkStart w:id="13149" w:name="_Toc62420121"/>
      <w:bookmarkStart w:id="13150" w:name="_Toc62452609"/>
      <w:bookmarkStart w:id="13151" w:name="_Toc62453878"/>
      <w:bookmarkStart w:id="13152" w:name="_Toc62485590"/>
      <w:r>
        <w:rPr>
          <w:rFonts w:hint="cs"/>
          <w:rtl/>
        </w:rPr>
        <w:t>דברי רבינו יונה</w:t>
      </w:r>
      <w:bookmarkEnd w:id="13146"/>
      <w:bookmarkEnd w:id="13147"/>
      <w:bookmarkEnd w:id="13148"/>
      <w:bookmarkEnd w:id="13149"/>
      <w:r>
        <w:rPr>
          <w:rFonts w:hint="cs"/>
          <w:rtl/>
        </w:rPr>
        <w:t xml:space="preserve"> דנאמן מפטור לפטור אף בטען בתחילה להד"ם</w:t>
      </w:r>
      <w:bookmarkEnd w:id="13150"/>
      <w:bookmarkEnd w:id="13151"/>
      <w:bookmarkEnd w:id="13152"/>
    </w:p>
    <w:p w:rsidR="00EC445E" w:rsidRDefault="00EC445E" w:rsidP="00EC445E">
      <w:pPr>
        <w:pStyle w:val="a3"/>
        <w:rPr>
          <w:rtl/>
        </w:rPr>
      </w:pPr>
      <w:bookmarkStart w:id="13153" w:name="_Toc62452610"/>
      <w:bookmarkStart w:id="13154" w:name="_Toc62453879"/>
      <w:bookmarkStart w:id="13155" w:name="_Toc62485591"/>
      <w:r>
        <w:rPr>
          <w:rFonts w:hint="cs"/>
          <w:rtl/>
        </w:rPr>
        <w:t>דברי רבינו יונה דבלא טען טענה מחייבת נאמן לחזור אף בטען להד"ם וחוזר וטוען לויתי ופרעתי</w:t>
      </w:r>
      <w:bookmarkEnd w:id="13153"/>
      <w:bookmarkEnd w:id="13154"/>
      <w:bookmarkEnd w:id="13155"/>
    </w:p>
    <w:p w:rsidR="00EC445E" w:rsidRPr="007054F1" w:rsidRDefault="00EC445E" w:rsidP="007E4E81">
      <w:pPr>
        <w:pStyle w:val="a0"/>
        <w:rPr>
          <w:rStyle w:val="afb"/>
          <w:rtl/>
        </w:rPr>
      </w:pPr>
      <w:bookmarkStart w:id="13156" w:name="_Ref62452162"/>
      <w:r>
        <w:rPr>
          <w:rFonts w:hint="cs"/>
          <w:rtl/>
        </w:rPr>
        <w:t xml:space="preserve">כתב </w:t>
      </w:r>
      <w:r w:rsidRPr="00463428">
        <w:rPr>
          <w:rStyle w:val="af9"/>
          <w:rFonts w:hint="cs"/>
          <w:rtl/>
        </w:rPr>
        <w:t>רבינו</w:t>
      </w:r>
      <w:r>
        <w:rPr>
          <w:rFonts w:hint="cs"/>
          <w:rtl/>
        </w:rPr>
        <w:t xml:space="preserve"> </w:t>
      </w:r>
      <w:r w:rsidRPr="00463428">
        <w:rPr>
          <w:rStyle w:val="af9"/>
          <w:rFonts w:hint="cs"/>
          <w:rtl/>
        </w:rPr>
        <w:t>יונה</w:t>
      </w:r>
      <w:r>
        <w:rPr>
          <w:rFonts w:hint="cs"/>
          <w:rtl/>
        </w:rPr>
        <w:t xml:space="preserve"> </w:t>
      </w:r>
      <w:r w:rsidRPr="00855F74">
        <w:rPr>
          <w:rStyle w:val="af7"/>
          <w:rFonts w:eastAsia="Guttman Hodes" w:hint="cs"/>
          <w:rtl/>
        </w:rPr>
        <w:t>(</w:t>
      </w:r>
      <w:r>
        <w:rPr>
          <w:rStyle w:val="af7"/>
          <w:rFonts w:eastAsia="Guttman Hodes" w:hint="cs"/>
          <w:rtl/>
        </w:rPr>
        <w:t>סו</w:t>
      </w:r>
      <w:r w:rsidRPr="00855F74">
        <w:rPr>
          <w:rStyle w:val="af7"/>
          <w:rFonts w:eastAsia="Guttman Hodes" w:hint="cs"/>
          <w:rtl/>
        </w:rPr>
        <w:t>ד"ה עלה בידינו)</w:t>
      </w:r>
      <w:r>
        <w:rPr>
          <w:rFonts w:hint="cs"/>
          <w:rtl/>
        </w:rPr>
        <w:t xml:space="preserve"> דהא דבחוזר וטוען וסותר דבריו הראשונים אינו נאמן, היינו דוקא כשהוא מתחייב בטענה הראשונה שטען, אבל אם אינו מתחייב בטענתו הראשונה, הוא יכול לחזור ולטעון טענה אחרת שמזכה אותו, כגון שתבעו חבירו שחייב לו, וטען בתחילה להד"ם, ואין לתובע עדים על ההלואה, דיכול הנתבע לחזור ולטעון לויתי ופרעתי, ולא אמרינן דכיון שכל האומר לא לויתי כאומר לא פרעתי, וא"כ הודה בתחילה שלא פרע ועכשיו הוא מודה שלוה, ויתחייב בזה, אלא דכיון שהיה פטור אף אם היה נשאר בטענתו דלהד"ם, </w:t>
      </w:r>
      <w:r w:rsidRPr="007054F1">
        <w:rPr>
          <w:rStyle w:val="afb"/>
          <w:rFonts w:hint="cs"/>
          <w:rtl/>
        </w:rPr>
        <w:t>[דהא לא באו עדים והעידו שלוה],</w:t>
      </w:r>
      <w:r>
        <w:rPr>
          <w:rFonts w:hint="cs"/>
          <w:rtl/>
        </w:rPr>
        <w:t xml:space="preserve"> לכן הוא נאמן לזכות את עצמו אף בטענת פרעתי.</w:t>
      </w:r>
      <w:bookmarkEnd w:id="13156"/>
      <w:r>
        <w:rPr>
          <w:rFonts w:hint="cs"/>
          <w:rtl/>
        </w:rPr>
        <w:t xml:space="preserve"> </w:t>
      </w:r>
      <w:r w:rsidRPr="007054F1">
        <w:rPr>
          <w:rStyle w:val="afb"/>
          <w:rFonts w:hint="cs"/>
          <w:rtl/>
        </w:rPr>
        <w:t>[והא דאמרינן שכל האומר לא לויתי כאומר לא פרעתי, היינו כשאחר שטען לא לויתי באו עדים שלוה].</w:t>
      </w:r>
    </w:p>
    <w:p w:rsidR="00EC445E" w:rsidRDefault="00EC445E" w:rsidP="00EC445E">
      <w:pPr>
        <w:pStyle w:val="1"/>
        <w:rPr>
          <w:rtl/>
        </w:rPr>
      </w:pPr>
      <w:bookmarkStart w:id="13157" w:name="_Toc62385985"/>
      <w:bookmarkStart w:id="13158" w:name="_Toc62420122"/>
      <w:bookmarkStart w:id="13159" w:name="_Toc62452611"/>
      <w:bookmarkStart w:id="13160" w:name="_Toc62453880"/>
      <w:bookmarkStart w:id="13161" w:name="_Toc62485592"/>
      <w:bookmarkStart w:id="13162" w:name="_Toc62160824"/>
      <w:r>
        <w:rPr>
          <w:rFonts w:hint="cs"/>
          <w:rtl/>
        </w:rPr>
        <w:t>דברי הריטב"א</w:t>
      </w:r>
      <w:bookmarkEnd w:id="13157"/>
      <w:bookmarkEnd w:id="13158"/>
      <w:r>
        <w:rPr>
          <w:rFonts w:hint="cs"/>
          <w:rtl/>
        </w:rPr>
        <w:t xml:space="preserve"> דחוזר מפטור לפטור נאמן רק כשלא יצא מב"ד</w:t>
      </w:r>
      <w:bookmarkEnd w:id="13159"/>
      <w:bookmarkEnd w:id="13160"/>
      <w:bookmarkEnd w:id="13161"/>
    </w:p>
    <w:p w:rsidR="00EC445E" w:rsidRDefault="00EC445E" w:rsidP="00EC445E">
      <w:pPr>
        <w:pStyle w:val="a3"/>
        <w:rPr>
          <w:rtl/>
        </w:rPr>
      </w:pPr>
      <w:bookmarkStart w:id="13163" w:name="_Toc62452612"/>
      <w:bookmarkStart w:id="13164" w:name="_Toc62453881"/>
      <w:bookmarkStart w:id="13165" w:name="_Toc62485593"/>
      <w:r>
        <w:rPr>
          <w:rFonts w:hint="cs"/>
          <w:rtl/>
        </w:rPr>
        <w:t>דברי הריטב"א דחוזר מפטור לפטור נאמן בלא אמתלא אך אינו נאמן לאחר שיצא מב"ד</w:t>
      </w:r>
      <w:bookmarkEnd w:id="13163"/>
      <w:bookmarkEnd w:id="13164"/>
      <w:bookmarkEnd w:id="13165"/>
    </w:p>
    <w:p w:rsidR="00EC445E" w:rsidRDefault="00EC445E" w:rsidP="007E4E81">
      <w:pPr>
        <w:pStyle w:val="a0"/>
        <w:rPr>
          <w:rtl/>
        </w:rPr>
      </w:pPr>
      <w:r>
        <w:rPr>
          <w:rFonts w:hint="cs"/>
          <w:rtl/>
        </w:rPr>
        <w:t xml:space="preserve">כתב </w:t>
      </w:r>
      <w:r w:rsidRPr="005C6514">
        <w:rPr>
          <w:rStyle w:val="af9"/>
          <w:rFonts w:hint="cs"/>
          <w:rtl/>
        </w:rPr>
        <w:t>הריטב"א</w:t>
      </w:r>
      <w:r>
        <w:rPr>
          <w:rFonts w:hint="cs"/>
          <w:rtl/>
        </w:rPr>
        <w:t xml:space="preserve"> </w:t>
      </w:r>
      <w:r w:rsidRPr="00111536">
        <w:rPr>
          <w:rStyle w:val="af7"/>
          <w:rFonts w:eastAsia="Guttman Hodes" w:hint="cs"/>
          <w:rtl/>
        </w:rPr>
        <w:t>(ד"ה טוען)</w:t>
      </w:r>
      <w:r>
        <w:rPr>
          <w:rFonts w:hint="cs"/>
          <w:rtl/>
        </w:rPr>
        <w:t xml:space="preserve"> דמפטור לפטור הוא נאמן לחזור ולטעון, כל שלא הוכחש ע"י העדים, אף כשאין לו שום אמתלא, כ"ז שלא יצא מהב"ד, כדעת </w:t>
      </w:r>
      <w:r w:rsidRPr="00EB6CBC">
        <w:rPr>
          <w:rStyle w:val="af9"/>
          <w:rFonts w:hint="cs"/>
          <w:rtl/>
        </w:rPr>
        <w:t>הר"י מגאש</w:t>
      </w:r>
      <w:r>
        <w:rPr>
          <w:rFonts w:hint="cs"/>
          <w:rtl/>
        </w:rPr>
        <w:t xml:space="preserve"> </w:t>
      </w:r>
      <w:r w:rsidRPr="00EB6CBC">
        <w:rPr>
          <w:rStyle w:val="af7"/>
          <w:rFonts w:eastAsia="Guttman Hodes" w:hint="cs"/>
          <w:rtl/>
        </w:rPr>
        <w:t xml:space="preserve">(עי' אות </w:t>
      </w:r>
      <w:r w:rsidRPr="00EB6CBC">
        <w:rPr>
          <w:rStyle w:val="af7"/>
          <w:rFonts w:eastAsia="Guttman Hodes"/>
          <w:rtl/>
        </w:rPr>
        <w:fldChar w:fldCharType="begin"/>
      </w:r>
      <w:r w:rsidRPr="00EB6CBC">
        <w:rPr>
          <w:rStyle w:val="af7"/>
          <w:rFonts w:eastAsia="Guttman Hodes"/>
          <w:rtl/>
        </w:rPr>
        <w:instrText xml:space="preserve"> </w:instrText>
      </w:r>
      <w:r w:rsidRPr="00EB6CBC">
        <w:rPr>
          <w:rStyle w:val="af7"/>
          <w:rFonts w:eastAsia="Guttman Hodes" w:hint="cs"/>
        </w:rPr>
        <w:instrText>REF</w:instrText>
      </w:r>
      <w:r w:rsidRPr="00EB6CBC">
        <w:rPr>
          <w:rStyle w:val="af7"/>
          <w:rFonts w:eastAsia="Guttman Hodes" w:hint="cs"/>
          <w:rtl/>
        </w:rPr>
        <w:instrText xml:space="preserve"> _</w:instrText>
      </w:r>
      <w:r w:rsidRPr="00EB6CBC">
        <w:rPr>
          <w:rStyle w:val="af7"/>
          <w:rFonts w:eastAsia="Guttman Hodes" w:hint="cs"/>
        </w:rPr>
        <w:instrText>Ref61987752 \r \h</w:instrText>
      </w:r>
      <w:r w:rsidRPr="00EB6CBC">
        <w:rPr>
          <w:rStyle w:val="af7"/>
          <w:rFonts w:eastAsia="Guttman Hodes"/>
          <w:rtl/>
        </w:rPr>
        <w:instrText xml:space="preserve"> </w:instrText>
      </w:r>
      <w:r w:rsidRPr="00EB6CBC">
        <w:rPr>
          <w:rStyle w:val="af7"/>
          <w:rFonts w:eastAsia="Guttman Hodes"/>
          <w:rtl/>
        </w:rPr>
      </w:r>
      <w:r w:rsidRPr="00EB6CB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B6CBC">
        <w:rPr>
          <w:rStyle w:val="af7"/>
          <w:rFonts w:eastAsia="Guttman Hodes"/>
          <w:rtl/>
        </w:rPr>
        <w:fldChar w:fldCharType="end"/>
      </w:r>
      <w:r>
        <w:rPr>
          <w:rStyle w:val="af9"/>
          <w:rFonts w:hint="cs"/>
          <w:rtl/>
        </w:rPr>
        <w:t xml:space="preserve"> ו</w:t>
      </w:r>
      <w:r w:rsidRPr="00C01DF5">
        <w:rPr>
          <w:rStyle w:val="af9"/>
          <w:rFonts w:hint="cs"/>
          <w:rtl/>
        </w:rPr>
        <w:t>הרמב"ם</w:t>
      </w:r>
      <w:r>
        <w:rPr>
          <w:rFonts w:hint="cs"/>
          <w:rtl/>
        </w:rPr>
        <w:t xml:space="preserve"> </w:t>
      </w:r>
      <w:r w:rsidRPr="00C01DF5">
        <w:rPr>
          <w:rStyle w:val="af7"/>
          <w:rFonts w:eastAsia="Guttman Hodes" w:hint="cs"/>
          <w:rtl/>
        </w:rPr>
        <w:t xml:space="preserve">(עי' אות </w:t>
      </w:r>
      <w:r w:rsidRPr="00C01DF5">
        <w:rPr>
          <w:rStyle w:val="af7"/>
          <w:rFonts w:eastAsia="Guttman Hodes"/>
          <w:rtl/>
        </w:rPr>
        <w:fldChar w:fldCharType="begin"/>
      </w:r>
      <w:r w:rsidRPr="00C01DF5">
        <w:rPr>
          <w:rStyle w:val="af7"/>
          <w:rFonts w:eastAsia="Guttman Hodes"/>
          <w:rtl/>
        </w:rPr>
        <w:instrText xml:space="preserve"> </w:instrText>
      </w:r>
      <w:r w:rsidRPr="00C01DF5">
        <w:rPr>
          <w:rStyle w:val="af7"/>
          <w:rFonts w:eastAsia="Guttman Hodes" w:hint="cs"/>
        </w:rPr>
        <w:instrText>REF</w:instrText>
      </w:r>
      <w:r w:rsidRPr="00C01DF5">
        <w:rPr>
          <w:rStyle w:val="af7"/>
          <w:rFonts w:eastAsia="Guttman Hodes" w:hint="cs"/>
          <w:rtl/>
        </w:rPr>
        <w:instrText xml:space="preserve"> _</w:instrText>
      </w:r>
      <w:r w:rsidRPr="00C01DF5">
        <w:rPr>
          <w:rStyle w:val="af7"/>
          <w:rFonts w:eastAsia="Guttman Hodes" w:hint="cs"/>
        </w:rPr>
        <w:instrText>Ref62124167 \r \h</w:instrText>
      </w:r>
      <w:r w:rsidRPr="00C01DF5">
        <w:rPr>
          <w:rStyle w:val="af7"/>
          <w:rFonts w:eastAsia="Guttman Hodes"/>
          <w:rtl/>
        </w:rPr>
        <w:instrText xml:space="preserve"> </w:instrText>
      </w:r>
      <w:r w:rsidRPr="00C01DF5">
        <w:rPr>
          <w:rStyle w:val="af7"/>
          <w:rFonts w:eastAsia="Guttman Hodes"/>
          <w:rtl/>
        </w:rPr>
      </w:r>
      <w:r w:rsidRPr="00C01DF5">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C01DF5">
        <w:rPr>
          <w:rStyle w:val="af7"/>
          <w:rFonts w:eastAsia="Guttman Hodes"/>
          <w:rtl/>
        </w:rPr>
        <w:fldChar w:fldCharType="end"/>
      </w:r>
      <w:r>
        <w:rPr>
          <w:rFonts w:hint="cs"/>
          <w:rtl/>
        </w:rPr>
        <w:t xml:space="preserve">, אך כתב </w:t>
      </w:r>
      <w:r w:rsidRPr="003A671A">
        <w:rPr>
          <w:rStyle w:val="af9"/>
          <w:rFonts w:hint="cs"/>
          <w:rtl/>
        </w:rPr>
        <w:t>הריטב"א</w:t>
      </w:r>
      <w:r>
        <w:rPr>
          <w:rFonts w:hint="cs"/>
          <w:rtl/>
        </w:rPr>
        <w:t xml:space="preserve"> דאף מפטור לפטור אינו חוזר וטוען כשיצא מב"ד, אף שלא הוכחש ע"י עדים, ואף כשיש לו אמתלא, דחיישינן שלימדוהו לטעון כן, ודלא </w:t>
      </w:r>
      <w:r w:rsidRPr="009C12E6">
        <w:rPr>
          <w:rStyle w:val="af9"/>
          <w:rFonts w:hint="cs"/>
          <w:rtl/>
        </w:rPr>
        <w:t>כהר</w:t>
      </w:r>
      <w:r>
        <w:rPr>
          <w:rStyle w:val="af9"/>
          <w:rFonts w:hint="cs"/>
          <w:rtl/>
        </w:rPr>
        <w:t xml:space="preserve">"י </w:t>
      </w:r>
      <w:r w:rsidRPr="00EB6CBC">
        <w:rPr>
          <w:rStyle w:val="af9"/>
          <w:rFonts w:hint="cs"/>
          <w:rtl/>
        </w:rPr>
        <w:t>מגאש</w:t>
      </w:r>
      <w:r>
        <w:rPr>
          <w:rFonts w:hint="cs"/>
          <w:rtl/>
        </w:rPr>
        <w:t xml:space="preserve"> </w:t>
      </w:r>
      <w:r w:rsidRPr="00EB6CBC">
        <w:rPr>
          <w:rStyle w:val="af7"/>
          <w:rFonts w:eastAsia="Guttman Hodes" w:hint="cs"/>
          <w:rtl/>
        </w:rPr>
        <w:t xml:space="preserve">(עי' אות </w:t>
      </w:r>
      <w:r w:rsidRPr="00EB6CBC">
        <w:rPr>
          <w:rStyle w:val="af7"/>
          <w:rFonts w:eastAsia="Guttman Hodes"/>
          <w:rtl/>
        </w:rPr>
        <w:fldChar w:fldCharType="begin"/>
      </w:r>
      <w:r w:rsidRPr="00EB6CBC">
        <w:rPr>
          <w:rStyle w:val="af7"/>
          <w:rFonts w:eastAsia="Guttman Hodes"/>
          <w:rtl/>
        </w:rPr>
        <w:instrText xml:space="preserve"> </w:instrText>
      </w:r>
      <w:r w:rsidRPr="00EB6CBC">
        <w:rPr>
          <w:rStyle w:val="af7"/>
          <w:rFonts w:eastAsia="Guttman Hodes" w:hint="cs"/>
        </w:rPr>
        <w:instrText>REF</w:instrText>
      </w:r>
      <w:r w:rsidRPr="00EB6CBC">
        <w:rPr>
          <w:rStyle w:val="af7"/>
          <w:rFonts w:eastAsia="Guttman Hodes" w:hint="cs"/>
          <w:rtl/>
        </w:rPr>
        <w:instrText xml:space="preserve"> _</w:instrText>
      </w:r>
      <w:r w:rsidRPr="00EB6CBC">
        <w:rPr>
          <w:rStyle w:val="af7"/>
          <w:rFonts w:eastAsia="Guttman Hodes" w:hint="cs"/>
        </w:rPr>
        <w:instrText>Ref61987752 \r \h</w:instrText>
      </w:r>
      <w:r w:rsidRPr="00EB6CBC">
        <w:rPr>
          <w:rStyle w:val="af7"/>
          <w:rFonts w:eastAsia="Guttman Hodes"/>
          <w:rtl/>
        </w:rPr>
        <w:instrText xml:space="preserve"> </w:instrText>
      </w:r>
      <w:r w:rsidRPr="00EB6CBC">
        <w:rPr>
          <w:rStyle w:val="af7"/>
          <w:rFonts w:eastAsia="Guttman Hodes"/>
          <w:rtl/>
        </w:rPr>
      </w:r>
      <w:r w:rsidRPr="00EB6CB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B6CBC">
        <w:rPr>
          <w:rStyle w:val="af7"/>
          <w:rFonts w:eastAsia="Guttman Hodes"/>
          <w:rtl/>
        </w:rPr>
        <w:fldChar w:fldCharType="end"/>
      </w:r>
      <w:r>
        <w:rPr>
          <w:rStyle w:val="af9"/>
          <w:rFonts w:hint="cs"/>
          <w:rtl/>
        </w:rPr>
        <w:t xml:space="preserve"> ו</w:t>
      </w:r>
      <w:r w:rsidRPr="00C01DF5">
        <w:rPr>
          <w:rStyle w:val="af9"/>
          <w:rFonts w:hint="cs"/>
          <w:rtl/>
        </w:rPr>
        <w:t>הרמב"ם</w:t>
      </w:r>
      <w:r>
        <w:rPr>
          <w:rFonts w:hint="cs"/>
          <w:rtl/>
        </w:rPr>
        <w:t xml:space="preserve"> </w:t>
      </w:r>
      <w:r w:rsidRPr="00C01DF5">
        <w:rPr>
          <w:rStyle w:val="af7"/>
          <w:rFonts w:eastAsia="Guttman Hodes" w:hint="cs"/>
          <w:rtl/>
        </w:rPr>
        <w:t xml:space="preserve">(עי' אות </w:t>
      </w:r>
      <w:r w:rsidRPr="00C01DF5">
        <w:rPr>
          <w:rStyle w:val="af7"/>
          <w:rFonts w:eastAsia="Guttman Hodes"/>
          <w:rtl/>
        </w:rPr>
        <w:fldChar w:fldCharType="begin"/>
      </w:r>
      <w:r w:rsidRPr="00C01DF5">
        <w:rPr>
          <w:rStyle w:val="af7"/>
          <w:rFonts w:eastAsia="Guttman Hodes"/>
          <w:rtl/>
        </w:rPr>
        <w:instrText xml:space="preserve"> </w:instrText>
      </w:r>
      <w:r w:rsidRPr="00C01DF5">
        <w:rPr>
          <w:rStyle w:val="af7"/>
          <w:rFonts w:eastAsia="Guttman Hodes" w:hint="cs"/>
        </w:rPr>
        <w:instrText>REF</w:instrText>
      </w:r>
      <w:r w:rsidRPr="00C01DF5">
        <w:rPr>
          <w:rStyle w:val="af7"/>
          <w:rFonts w:eastAsia="Guttman Hodes" w:hint="cs"/>
          <w:rtl/>
        </w:rPr>
        <w:instrText xml:space="preserve"> _</w:instrText>
      </w:r>
      <w:r w:rsidRPr="00C01DF5">
        <w:rPr>
          <w:rStyle w:val="af7"/>
          <w:rFonts w:eastAsia="Guttman Hodes" w:hint="cs"/>
        </w:rPr>
        <w:instrText>Ref62124167 \r \h</w:instrText>
      </w:r>
      <w:r w:rsidRPr="00C01DF5">
        <w:rPr>
          <w:rStyle w:val="af7"/>
          <w:rFonts w:eastAsia="Guttman Hodes"/>
          <w:rtl/>
        </w:rPr>
        <w:instrText xml:space="preserve"> </w:instrText>
      </w:r>
      <w:r w:rsidRPr="00C01DF5">
        <w:rPr>
          <w:rStyle w:val="af7"/>
          <w:rFonts w:eastAsia="Guttman Hodes"/>
          <w:rtl/>
        </w:rPr>
      </w:r>
      <w:r w:rsidRPr="00C01DF5">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C01DF5">
        <w:rPr>
          <w:rStyle w:val="af7"/>
          <w:rFonts w:eastAsia="Guttman Hodes"/>
          <w:rtl/>
        </w:rPr>
        <w:fldChar w:fldCharType="end"/>
      </w:r>
      <w:r>
        <w:rPr>
          <w:rFonts w:hint="cs"/>
          <w:rtl/>
        </w:rPr>
        <w:t>.</w:t>
      </w:r>
    </w:p>
    <w:p w:rsidR="00EC445E" w:rsidRDefault="00EC445E" w:rsidP="00EC445E">
      <w:pPr>
        <w:pStyle w:val="a3"/>
        <w:rPr>
          <w:rtl/>
        </w:rPr>
      </w:pPr>
      <w:bookmarkStart w:id="13166" w:name="_Toc62452613"/>
      <w:bookmarkStart w:id="13167" w:name="_Toc62453882"/>
      <w:bookmarkStart w:id="13168" w:name="_Toc62485594"/>
      <w:r>
        <w:rPr>
          <w:rFonts w:hint="cs"/>
          <w:rtl/>
        </w:rPr>
        <w:t>דברי הריטב"א דהחוזר וטוען מחיוב לפטור כטען לויתי ופרעתי וחזר וטען לא לויתי אינו נאמן</w:t>
      </w:r>
      <w:bookmarkEnd w:id="13166"/>
      <w:bookmarkEnd w:id="13167"/>
      <w:bookmarkEnd w:id="13168"/>
    </w:p>
    <w:p w:rsidR="00EC445E" w:rsidRDefault="00EC445E" w:rsidP="007E4E81">
      <w:pPr>
        <w:pStyle w:val="a0"/>
        <w:rPr>
          <w:rtl/>
        </w:rPr>
      </w:pPr>
      <w:bookmarkStart w:id="13169" w:name="_Ref62484545"/>
      <w:r>
        <w:rPr>
          <w:rFonts w:hint="cs"/>
          <w:rtl/>
        </w:rPr>
        <w:t xml:space="preserve">אבל כתב </w:t>
      </w:r>
      <w:r w:rsidRPr="003A671A">
        <w:rPr>
          <w:rStyle w:val="af9"/>
          <w:rFonts w:hint="cs"/>
          <w:rtl/>
        </w:rPr>
        <w:t>הריטב"א</w:t>
      </w:r>
      <w:r>
        <w:rPr>
          <w:rFonts w:hint="cs"/>
          <w:rtl/>
        </w:rPr>
        <w:t xml:space="preserve"> דמחיוב לפטור אינו נאמן לחזור ולטעון, אף שלא יצא מב"ד, ולא הוכחש ע"י עדים, כגון שהודה בתחילה למערער שהייתה שלו וטען מינך זבינתה, דאינו נאמן לחזור ולטעון שהייתה של פלוני וקנה ממנו, ולא מהמערער, וכן כשטען לויתי ופרעתי אינו נאמן לטעון לא לויתי, וכתב </w:t>
      </w:r>
      <w:r w:rsidRPr="003A671A">
        <w:rPr>
          <w:rStyle w:val="af9"/>
          <w:rFonts w:hint="cs"/>
          <w:rtl/>
        </w:rPr>
        <w:t>הריטב"א</w:t>
      </w:r>
      <w:r>
        <w:rPr>
          <w:rFonts w:hint="cs"/>
          <w:rtl/>
        </w:rPr>
        <w:t xml:space="preserve"> דכ"כ </w:t>
      </w:r>
      <w:r w:rsidRPr="003A671A">
        <w:rPr>
          <w:rStyle w:val="af9"/>
          <w:rFonts w:hint="cs"/>
          <w:rtl/>
        </w:rPr>
        <w:t>הרא"ם</w:t>
      </w:r>
      <w:r>
        <w:rPr>
          <w:rFonts w:hint="cs"/>
          <w:rtl/>
        </w:rPr>
        <w:t xml:space="preserve"> [</w:t>
      </w:r>
      <w:r w:rsidRPr="003A671A">
        <w:rPr>
          <w:rStyle w:val="af9"/>
          <w:rFonts w:hint="cs"/>
          <w:rtl/>
        </w:rPr>
        <w:t>הר"י מגאש</w:t>
      </w:r>
      <w:r>
        <w:rPr>
          <w:rFonts w:hint="cs"/>
          <w:rtl/>
        </w:rPr>
        <w:t xml:space="preserve"> </w:t>
      </w:r>
      <w:r w:rsidRPr="00EB6CBC">
        <w:rPr>
          <w:rStyle w:val="af7"/>
          <w:rFonts w:eastAsia="Guttman Hodes" w:hint="cs"/>
          <w:rtl/>
        </w:rPr>
        <w:t xml:space="preserve">(עי' אות </w:t>
      </w:r>
      <w:r w:rsidRPr="00EB6CBC">
        <w:rPr>
          <w:rStyle w:val="af7"/>
          <w:rFonts w:eastAsia="Guttman Hodes"/>
          <w:rtl/>
        </w:rPr>
        <w:fldChar w:fldCharType="begin"/>
      </w:r>
      <w:r w:rsidRPr="00EB6CBC">
        <w:rPr>
          <w:rStyle w:val="af7"/>
          <w:rFonts w:eastAsia="Guttman Hodes"/>
          <w:rtl/>
        </w:rPr>
        <w:instrText xml:space="preserve"> </w:instrText>
      </w:r>
      <w:r w:rsidRPr="00EB6CBC">
        <w:rPr>
          <w:rStyle w:val="af7"/>
          <w:rFonts w:eastAsia="Guttman Hodes" w:hint="cs"/>
        </w:rPr>
        <w:instrText>REF</w:instrText>
      </w:r>
      <w:r w:rsidRPr="00EB6CBC">
        <w:rPr>
          <w:rStyle w:val="af7"/>
          <w:rFonts w:eastAsia="Guttman Hodes" w:hint="cs"/>
          <w:rtl/>
        </w:rPr>
        <w:instrText xml:space="preserve"> _</w:instrText>
      </w:r>
      <w:r w:rsidRPr="00EB6CBC">
        <w:rPr>
          <w:rStyle w:val="af7"/>
          <w:rFonts w:eastAsia="Guttman Hodes" w:hint="cs"/>
        </w:rPr>
        <w:instrText>Ref61987752 \r \h</w:instrText>
      </w:r>
      <w:r w:rsidRPr="00EB6CBC">
        <w:rPr>
          <w:rStyle w:val="af7"/>
          <w:rFonts w:eastAsia="Guttman Hodes"/>
          <w:rtl/>
        </w:rPr>
        <w:instrText xml:space="preserve"> </w:instrText>
      </w:r>
      <w:r w:rsidRPr="00EB6CBC">
        <w:rPr>
          <w:rStyle w:val="af7"/>
          <w:rFonts w:eastAsia="Guttman Hodes"/>
          <w:rtl/>
        </w:rPr>
      </w:r>
      <w:r w:rsidRPr="00EB6CB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B6CBC">
        <w:rPr>
          <w:rStyle w:val="af7"/>
          <w:rFonts w:eastAsia="Guttman Hodes"/>
          <w:rtl/>
        </w:rPr>
        <w:fldChar w:fldCharType="end"/>
      </w:r>
      <w:r>
        <w:rPr>
          <w:rFonts w:hint="cs"/>
          <w:rtl/>
        </w:rPr>
        <w:t xml:space="preserve">], ועי' במה שביאר </w:t>
      </w:r>
      <w:r w:rsidRPr="00DD03B3">
        <w:rPr>
          <w:rStyle w:val="af9"/>
          <w:rFonts w:hint="cs"/>
          <w:rtl/>
        </w:rPr>
        <w:t>בחי' רבי נחום</w:t>
      </w:r>
      <w:r>
        <w:rPr>
          <w:rFonts w:hint="cs"/>
          <w:rtl/>
        </w:rPr>
        <w:t xml:space="preserve"> </w:t>
      </w:r>
      <w:r w:rsidRPr="00DD03B3">
        <w:rPr>
          <w:rStyle w:val="af7"/>
          <w:rFonts w:eastAsia="Guttman Hodes" w:hint="cs"/>
          <w:rtl/>
        </w:rPr>
        <w:t xml:space="preserve">(עי' אות </w:t>
      </w:r>
      <w:r w:rsidRPr="00DD03B3">
        <w:rPr>
          <w:rStyle w:val="af7"/>
          <w:rFonts w:eastAsia="Guttman Hodes"/>
          <w:rtl/>
        </w:rPr>
        <w:fldChar w:fldCharType="begin"/>
      </w:r>
      <w:r w:rsidRPr="00DD03B3">
        <w:rPr>
          <w:rStyle w:val="af7"/>
          <w:rFonts w:eastAsia="Guttman Hodes"/>
          <w:rtl/>
        </w:rPr>
        <w:instrText xml:space="preserve"> </w:instrText>
      </w:r>
      <w:r w:rsidRPr="00DD03B3">
        <w:rPr>
          <w:rStyle w:val="af7"/>
          <w:rFonts w:eastAsia="Guttman Hodes" w:hint="cs"/>
        </w:rPr>
        <w:instrText>REF</w:instrText>
      </w:r>
      <w:r w:rsidRPr="00DD03B3">
        <w:rPr>
          <w:rStyle w:val="af7"/>
          <w:rFonts w:eastAsia="Guttman Hodes" w:hint="cs"/>
          <w:rtl/>
        </w:rPr>
        <w:instrText xml:space="preserve"> _</w:instrText>
      </w:r>
      <w:r w:rsidRPr="00DD03B3">
        <w:rPr>
          <w:rStyle w:val="af7"/>
          <w:rFonts w:eastAsia="Guttman Hodes" w:hint="cs"/>
        </w:rPr>
        <w:instrText>Ref62451789 \r \h</w:instrText>
      </w:r>
      <w:r w:rsidRPr="00DD03B3">
        <w:rPr>
          <w:rStyle w:val="af7"/>
          <w:rFonts w:eastAsia="Guttman Hodes"/>
          <w:rtl/>
        </w:rPr>
        <w:instrText xml:space="preserve"> </w:instrText>
      </w:r>
      <w:r w:rsidRPr="00DD03B3">
        <w:rPr>
          <w:rStyle w:val="af7"/>
          <w:rFonts w:eastAsia="Guttman Hodes"/>
          <w:rtl/>
        </w:rPr>
      </w:r>
      <w:r w:rsidRPr="00DD03B3">
        <w:rPr>
          <w:rStyle w:val="af7"/>
          <w:rFonts w:eastAsia="Guttman Hodes"/>
          <w:rtl/>
        </w:rPr>
        <w:fldChar w:fldCharType="separate"/>
      </w:r>
      <w:r w:rsidR="00265073">
        <w:rPr>
          <w:rStyle w:val="af7"/>
          <w:rFonts w:eastAsia="Guttman Hodes"/>
          <w:cs/>
        </w:rPr>
        <w:t>‎</w:t>
      </w:r>
      <w:r w:rsidR="00265073">
        <w:rPr>
          <w:rStyle w:val="af7"/>
          <w:rFonts w:eastAsia="Guttman Hodes"/>
          <w:rtl/>
        </w:rPr>
        <w:t>קכד)</w:t>
      </w:r>
      <w:r w:rsidRPr="00DD03B3">
        <w:rPr>
          <w:rStyle w:val="af7"/>
          <w:rFonts w:eastAsia="Guttman Hodes"/>
          <w:rtl/>
        </w:rPr>
        <w:fldChar w:fldCharType="end"/>
      </w:r>
      <w:r>
        <w:rPr>
          <w:rFonts w:hint="cs"/>
          <w:rtl/>
        </w:rPr>
        <w:t xml:space="preserve"> אמאי חשיב בכה"ג חוזר מחיוב לפטור.</w:t>
      </w:r>
      <w:bookmarkEnd w:id="13169"/>
    </w:p>
    <w:p w:rsidR="00730F4A" w:rsidRPr="00730F4A" w:rsidRDefault="00730F4A" w:rsidP="00730F4A">
      <w:pPr>
        <w:pStyle w:val="a3"/>
        <w:rPr>
          <w:rtl/>
        </w:rPr>
      </w:pPr>
    </w:p>
    <w:p w:rsidR="00EC445E" w:rsidRDefault="00EC445E" w:rsidP="00EC445E">
      <w:pPr>
        <w:pStyle w:val="1"/>
        <w:rPr>
          <w:rtl/>
        </w:rPr>
      </w:pPr>
      <w:bookmarkStart w:id="13170" w:name="_Toc62385986"/>
      <w:bookmarkStart w:id="13171" w:name="_Toc62420123"/>
      <w:bookmarkStart w:id="13172" w:name="_Toc62485595"/>
      <w:bookmarkStart w:id="13173" w:name="_Toc62452614"/>
      <w:bookmarkStart w:id="13174" w:name="_Toc62453883"/>
      <w:r>
        <w:rPr>
          <w:rFonts w:hint="cs"/>
          <w:rtl/>
        </w:rPr>
        <w:lastRenderedPageBreak/>
        <w:t>דברי הריטב"א ב</w:t>
      </w:r>
      <w:bookmarkEnd w:id="13162"/>
      <w:bookmarkEnd w:id="13170"/>
      <w:bookmarkEnd w:id="13171"/>
      <w:r>
        <w:rPr>
          <w:rFonts w:hint="cs"/>
          <w:rtl/>
        </w:rPr>
        <w:t>שם הרא"ה דבלהד"ם לא נאמן בלויתי ופרעתי</w:t>
      </w:r>
      <w:bookmarkEnd w:id="13172"/>
      <w:r>
        <w:rPr>
          <w:rFonts w:hint="cs"/>
          <w:rtl/>
        </w:rPr>
        <w:t xml:space="preserve"> </w:t>
      </w:r>
      <w:bookmarkEnd w:id="13173"/>
      <w:bookmarkEnd w:id="13174"/>
    </w:p>
    <w:p w:rsidR="00EC445E" w:rsidRDefault="00EC445E" w:rsidP="00EC445E">
      <w:pPr>
        <w:pStyle w:val="a3"/>
        <w:rPr>
          <w:rtl/>
        </w:rPr>
      </w:pPr>
      <w:bookmarkStart w:id="13175" w:name="_Toc62452615"/>
      <w:bookmarkStart w:id="13176" w:name="_Toc62453884"/>
      <w:bookmarkStart w:id="13177" w:name="_Toc62485596"/>
      <w:r>
        <w:rPr>
          <w:rFonts w:hint="cs"/>
          <w:rtl/>
        </w:rPr>
        <w:t>דברי הריטב"א בשבועות דמדינא דכל האומר לא לויתי וכו' מוכח דנאמן לחזור מפטור לפטור</w:t>
      </w:r>
      <w:bookmarkEnd w:id="13175"/>
      <w:bookmarkEnd w:id="13176"/>
      <w:bookmarkEnd w:id="13177"/>
    </w:p>
    <w:p w:rsidR="00EC445E" w:rsidRPr="008E75DB" w:rsidRDefault="00EC445E" w:rsidP="007E4E81">
      <w:pPr>
        <w:pStyle w:val="a0"/>
        <w:rPr>
          <w:rtl/>
        </w:rPr>
      </w:pPr>
      <w:bookmarkStart w:id="13178" w:name="_Ref62463269"/>
      <w:r>
        <w:rPr>
          <w:rFonts w:hint="cs"/>
          <w:rtl/>
        </w:rPr>
        <w:t xml:space="preserve">כתב </w:t>
      </w:r>
      <w:r w:rsidRPr="00813C43">
        <w:rPr>
          <w:rStyle w:val="af9"/>
          <w:rFonts w:hint="cs"/>
          <w:rtl/>
        </w:rPr>
        <w:t>הריטב"א בשבועות</w:t>
      </w:r>
      <w:r>
        <w:rPr>
          <w:rFonts w:hint="cs"/>
          <w:rtl/>
        </w:rPr>
        <w:t xml:space="preserve"> </w:t>
      </w:r>
      <w:r w:rsidRPr="002C02E6">
        <w:rPr>
          <w:rStyle w:val="af7"/>
          <w:rFonts w:eastAsia="Guttman Hodes" w:hint="cs"/>
          <w:rtl/>
        </w:rPr>
        <w:t>(מ: ד"ה ואיכא)</w:t>
      </w:r>
      <w:r>
        <w:rPr>
          <w:rFonts w:hint="cs"/>
          <w:rtl/>
        </w:rPr>
        <w:t xml:space="preserve"> דמהא דקיי"ל בגמ' לעיל </w:t>
      </w:r>
      <w:r w:rsidRPr="002C02E6">
        <w:rPr>
          <w:rStyle w:val="af7"/>
          <w:rFonts w:eastAsia="Guttman Hodes" w:hint="cs"/>
          <w:rtl/>
        </w:rPr>
        <w:t>(ו.)</w:t>
      </w:r>
      <w:r>
        <w:rPr>
          <w:rFonts w:hint="cs"/>
          <w:rtl/>
        </w:rPr>
        <w:t xml:space="preserve"> דכל האומר לא לויתי כאומר לא פרעתי דמי, מוכח דאדם מוחזק כפרן עפ"י הודאת עצמו, ואילו בגמ' בב"מ </w:t>
      </w:r>
      <w:r w:rsidRPr="002C02E6">
        <w:rPr>
          <w:rStyle w:val="af7"/>
          <w:rFonts w:eastAsia="Guttman Hodes" w:hint="cs"/>
          <w:rtl/>
        </w:rPr>
        <w:t>(ד.)</w:t>
      </w:r>
      <w:r w:rsidRPr="007F2561">
        <w:rPr>
          <w:rStyle w:val="aff6"/>
          <w:rFonts w:hint="cs"/>
          <w:rtl/>
        </w:rPr>
        <w:t xml:space="preserve"> </w:t>
      </w:r>
      <w:r>
        <w:rPr>
          <w:rFonts w:hint="cs"/>
          <w:rtl/>
        </w:rPr>
        <w:t xml:space="preserve">מבואר דהוחזק כפרן הוא רק עפ"י עדים, ותירץ </w:t>
      </w:r>
      <w:r w:rsidRPr="00AE7AA8">
        <w:rPr>
          <w:rStyle w:val="af9"/>
          <w:rFonts w:hint="cs"/>
          <w:rtl/>
        </w:rPr>
        <w:t>הריטב"א בשבועות</w:t>
      </w:r>
      <w:r>
        <w:rPr>
          <w:rFonts w:hint="cs"/>
          <w:rtl/>
        </w:rPr>
        <w:t xml:space="preserve"> דבכל האומר לא לויתי, איירי שיש עדים שלוה, וא"כ הוא מוחזק</w:t>
      </w:r>
      <w:r w:rsidRPr="00EE1C22">
        <w:rPr>
          <w:rFonts w:hint="cs"/>
          <w:rtl/>
        </w:rPr>
        <w:t xml:space="preserve"> </w:t>
      </w:r>
      <w:r>
        <w:rPr>
          <w:rFonts w:hint="cs"/>
          <w:rtl/>
        </w:rPr>
        <w:t>כפרן עפ"י עדותם</w:t>
      </w:r>
      <w:r>
        <w:rPr>
          <w:rStyle w:val="af1"/>
          <w:rtl/>
        </w:rPr>
        <w:footnoteReference w:id="83"/>
      </w:r>
      <w:r>
        <w:rPr>
          <w:rFonts w:hint="cs"/>
          <w:rtl/>
        </w:rPr>
        <w:t xml:space="preserve">, וכתב </w:t>
      </w:r>
      <w:r w:rsidRPr="00AE7AA8">
        <w:rPr>
          <w:rStyle w:val="af9"/>
          <w:rFonts w:hint="cs"/>
          <w:rtl/>
        </w:rPr>
        <w:t>הריטב"א בשבועות</w:t>
      </w:r>
      <w:r>
        <w:rPr>
          <w:rFonts w:hint="cs"/>
          <w:rtl/>
        </w:rPr>
        <w:t xml:space="preserve"> דא"כ אפשר ללמוד מזה דהטוען וחוזר וטוען מפטור לפטור נאמן, כל זמן שלא הוכחש על טענתו הראשונה, ואם טען לא לויתי וחזר וטען לויתי ופרעתי, דכ"ז שלא באו עדים שהכחישו את טענתו הראשונה, הוא נאמן לחזור ולטעון, דהא על פי עצמו אינו מוחזק כפרן, והביא </w:t>
      </w:r>
      <w:r w:rsidRPr="00AE7AA8">
        <w:rPr>
          <w:rStyle w:val="af9"/>
          <w:rFonts w:hint="cs"/>
          <w:rtl/>
        </w:rPr>
        <w:t>הריטב"א בשבועות</w:t>
      </w:r>
      <w:r>
        <w:rPr>
          <w:rFonts w:hint="cs"/>
          <w:rtl/>
        </w:rPr>
        <w:t xml:space="preserve"> דכן מבואר מדברי </w:t>
      </w:r>
      <w:r w:rsidRPr="00AE7AA8">
        <w:rPr>
          <w:rStyle w:val="af9"/>
          <w:rFonts w:hint="cs"/>
          <w:rtl/>
        </w:rPr>
        <w:t>רבינו יונה בסוגיין</w:t>
      </w:r>
      <w:r>
        <w:rPr>
          <w:rFonts w:hint="cs"/>
          <w:rtl/>
        </w:rPr>
        <w:t xml:space="preserve"> </w:t>
      </w:r>
      <w:r w:rsidRPr="003F3085">
        <w:rPr>
          <w:rStyle w:val="af7"/>
          <w:rFonts w:eastAsia="Guttman Hodes" w:hint="cs"/>
          <w:rtl/>
        </w:rPr>
        <w:t xml:space="preserve">(עי' אות </w:t>
      </w:r>
      <w:r w:rsidRPr="003F3085">
        <w:rPr>
          <w:rStyle w:val="af7"/>
          <w:rFonts w:eastAsia="Guttman Hodes"/>
          <w:rtl/>
        </w:rPr>
        <w:fldChar w:fldCharType="begin"/>
      </w:r>
      <w:r w:rsidRPr="003F3085">
        <w:rPr>
          <w:rStyle w:val="af7"/>
          <w:rFonts w:eastAsia="Guttman Hodes"/>
          <w:rtl/>
        </w:rPr>
        <w:instrText xml:space="preserve"> </w:instrText>
      </w:r>
      <w:r w:rsidRPr="003F3085">
        <w:rPr>
          <w:rStyle w:val="af7"/>
          <w:rFonts w:eastAsia="Guttman Hodes" w:hint="cs"/>
        </w:rPr>
        <w:instrText>REF</w:instrText>
      </w:r>
      <w:r w:rsidRPr="003F3085">
        <w:rPr>
          <w:rStyle w:val="af7"/>
          <w:rFonts w:eastAsia="Guttman Hodes" w:hint="cs"/>
          <w:rtl/>
        </w:rPr>
        <w:instrText xml:space="preserve"> _</w:instrText>
      </w:r>
      <w:r w:rsidRPr="003F3085">
        <w:rPr>
          <w:rStyle w:val="af7"/>
          <w:rFonts w:eastAsia="Guttman Hodes" w:hint="cs"/>
        </w:rPr>
        <w:instrText>Ref62452162 \r \h</w:instrText>
      </w:r>
      <w:r w:rsidRPr="003F3085">
        <w:rPr>
          <w:rStyle w:val="af7"/>
          <w:rFonts w:eastAsia="Guttman Hodes"/>
          <w:rtl/>
        </w:rPr>
        <w:instrText xml:space="preserve"> </w:instrText>
      </w:r>
      <w:r w:rsidRPr="003F3085">
        <w:rPr>
          <w:rStyle w:val="af7"/>
          <w:rFonts w:eastAsia="Guttman Hodes"/>
          <w:rtl/>
        </w:rPr>
      </w:r>
      <w:r w:rsidRPr="003F3085">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3F3085">
        <w:rPr>
          <w:rStyle w:val="af7"/>
          <w:rFonts w:eastAsia="Guttman Hodes"/>
          <w:rtl/>
        </w:rPr>
        <w:fldChar w:fldCharType="end"/>
      </w:r>
      <w:r>
        <w:rPr>
          <w:rFonts w:hint="cs"/>
          <w:rtl/>
        </w:rPr>
        <w:t xml:space="preserve">, והוסיף </w:t>
      </w:r>
      <w:r w:rsidRPr="00AE7AA8">
        <w:rPr>
          <w:rStyle w:val="af9"/>
          <w:rFonts w:hint="cs"/>
          <w:rtl/>
        </w:rPr>
        <w:t>הריטב"א</w:t>
      </w:r>
      <w:r>
        <w:rPr>
          <w:rFonts w:hint="cs"/>
          <w:rtl/>
        </w:rPr>
        <w:t xml:space="preserve"> דכן שמע </w:t>
      </w:r>
      <w:r w:rsidRPr="00AE7AA8">
        <w:rPr>
          <w:rStyle w:val="af9"/>
          <w:rFonts w:hint="cs"/>
          <w:rtl/>
        </w:rPr>
        <w:t>מהרשב"א</w:t>
      </w:r>
      <w:r>
        <w:rPr>
          <w:rFonts w:hint="cs"/>
          <w:rtl/>
        </w:rPr>
        <w:t>.</w:t>
      </w:r>
      <w:bookmarkEnd w:id="13178"/>
    </w:p>
    <w:p w:rsidR="00EC445E" w:rsidRDefault="00EC445E" w:rsidP="00EC445E">
      <w:pPr>
        <w:pStyle w:val="a3"/>
      </w:pPr>
      <w:bookmarkStart w:id="13179" w:name="_Toc62452616"/>
      <w:bookmarkStart w:id="13180" w:name="_Toc62453885"/>
      <w:bookmarkStart w:id="13181" w:name="_Toc62485597"/>
      <w:r>
        <w:rPr>
          <w:rFonts w:hint="cs"/>
          <w:rtl/>
        </w:rPr>
        <w:t>דברי הריטב"א בשבועות בשם הרא"ה דבלהד"ם לא נאמן לטעון לויתי ופרעתי דהוא חיוב לפטור</w:t>
      </w:r>
      <w:bookmarkEnd w:id="13179"/>
      <w:bookmarkEnd w:id="13180"/>
      <w:bookmarkEnd w:id="13181"/>
    </w:p>
    <w:p w:rsidR="00EC445E" w:rsidRDefault="00EC445E" w:rsidP="007E4E81">
      <w:pPr>
        <w:pStyle w:val="a0"/>
        <w:rPr>
          <w:rStyle w:val="afb"/>
          <w:rtl/>
        </w:rPr>
      </w:pPr>
      <w:r>
        <w:rPr>
          <w:rFonts w:hint="cs"/>
          <w:rtl/>
        </w:rPr>
        <w:t xml:space="preserve">אך הביא </w:t>
      </w:r>
      <w:r w:rsidRPr="00AE7AA8">
        <w:rPr>
          <w:rStyle w:val="af9"/>
          <w:rFonts w:hint="cs"/>
          <w:rtl/>
        </w:rPr>
        <w:t>הריטב"א בשבועות</w:t>
      </w:r>
      <w:r>
        <w:rPr>
          <w:rFonts w:hint="cs"/>
          <w:rtl/>
        </w:rPr>
        <w:t xml:space="preserve"> </w:t>
      </w:r>
      <w:r w:rsidRPr="00616A8B">
        <w:rPr>
          <w:rStyle w:val="af7"/>
          <w:rFonts w:eastAsia="Guttman Hodes" w:hint="cs"/>
          <w:rtl/>
        </w:rPr>
        <w:t xml:space="preserve">(מ: ד"ה </w:t>
      </w:r>
      <w:r w:rsidRPr="00616A8B">
        <w:rPr>
          <w:rStyle w:val="af7"/>
          <w:rFonts w:eastAsia="Guttman Hodes"/>
          <w:rtl/>
        </w:rPr>
        <w:t>אבל מורי</w:t>
      </w:r>
      <w:r w:rsidRPr="00616A8B">
        <w:rPr>
          <w:rStyle w:val="af7"/>
          <w:rFonts w:eastAsia="Guttman Hodes" w:hint="cs"/>
          <w:rtl/>
        </w:rPr>
        <w:t>)</w:t>
      </w:r>
      <w:r>
        <w:rPr>
          <w:rFonts w:hint="cs"/>
          <w:rtl/>
        </w:rPr>
        <w:t xml:space="preserve"> בשם </w:t>
      </w:r>
      <w:r w:rsidRPr="00AE7AA8">
        <w:rPr>
          <w:rStyle w:val="af9"/>
          <w:rFonts w:hint="cs"/>
          <w:rtl/>
        </w:rPr>
        <w:t>הרא"ה</w:t>
      </w:r>
      <w:r>
        <w:rPr>
          <w:rFonts w:hint="cs"/>
          <w:rtl/>
        </w:rPr>
        <w:t xml:space="preserve"> דכתב דכשטען לא לויתי אינו נאמן לחזור ולטעון פרעתי, </w:t>
      </w:r>
      <w:r w:rsidRPr="000253E9">
        <w:rPr>
          <w:rStyle w:val="afb"/>
          <w:rFonts w:hint="cs"/>
          <w:rtl/>
        </w:rPr>
        <w:t xml:space="preserve">[ולכאורה כוונתו לומר </w:t>
      </w:r>
      <w:r w:rsidRPr="000253E9">
        <w:rPr>
          <w:rStyle w:val="affa"/>
          <w:rFonts w:hint="cs"/>
          <w:rtl/>
        </w:rPr>
        <w:t>דהרא"ה</w:t>
      </w:r>
      <w:r w:rsidRPr="000253E9">
        <w:rPr>
          <w:rStyle w:val="afb"/>
          <w:rFonts w:hint="cs"/>
          <w:rtl/>
        </w:rPr>
        <w:t xml:space="preserve"> פליג על</w:t>
      </w:r>
      <w:r>
        <w:rPr>
          <w:rStyle w:val="afb"/>
          <w:rFonts w:hint="cs"/>
          <w:rtl/>
        </w:rPr>
        <w:t xml:space="preserve"> מ"ש </w:t>
      </w:r>
      <w:r w:rsidRPr="00410F3A">
        <w:rPr>
          <w:rStyle w:val="affa"/>
          <w:rFonts w:hint="cs"/>
          <w:rtl/>
        </w:rPr>
        <w:t>הריטב"א בשבועות</w:t>
      </w:r>
      <w:r>
        <w:rPr>
          <w:rStyle w:val="afb"/>
          <w:rFonts w:hint="cs"/>
          <w:rtl/>
        </w:rPr>
        <w:t xml:space="preserve"> </w:t>
      </w:r>
      <w:r w:rsidRPr="00410F3A">
        <w:rPr>
          <w:rStyle w:val="aff6"/>
          <w:rFonts w:hint="cs"/>
          <w:rtl/>
        </w:rPr>
        <w:t xml:space="preserve">(עי' אות </w:t>
      </w:r>
      <w:r w:rsidRPr="00410F3A">
        <w:rPr>
          <w:rStyle w:val="aff6"/>
          <w:rtl/>
        </w:rPr>
        <w:fldChar w:fldCharType="begin"/>
      </w:r>
      <w:r w:rsidRPr="00410F3A">
        <w:rPr>
          <w:rStyle w:val="aff6"/>
          <w:rtl/>
        </w:rPr>
        <w:instrText xml:space="preserve"> </w:instrText>
      </w:r>
      <w:r w:rsidRPr="00410F3A">
        <w:rPr>
          <w:rStyle w:val="aff6"/>
          <w:rFonts w:hint="cs"/>
        </w:rPr>
        <w:instrText>REF</w:instrText>
      </w:r>
      <w:r w:rsidRPr="00410F3A">
        <w:rPr>
          <w:rStyle w:val="aff6"/>
          <w:rFonts w:hint="cs"/>
          <w:rtl/>
        </w:rPr>
        <w:instrText xml:space="preserve"> _</w:instrText>
      </w:r>
      <w:r w:rsidRPr="00410F3A">
        <w:rPr>
          <w:rStyle w:val="aff6"/>
          <w:rFonts w:hint="cs"/>
        </w:rPr>
        <w:instrText>Ref62463269 \r \h</w:instrText>
      </w:r>
      <w:r w:rsidRPr="00410F3A">
        <w:rPr>
          <w:rStyle w:val="aff6"/>
          <w:rtl/>
        </w:rPr>
        <w:instrText xml:space="preserve"> </w:instrText>
      </w:r>
      <w:r w:rsidRPr="00410F3A">
        <w:rPr>
          <w:rStyle w:val="aff6"/>
          <w:rtl/>
        </w:rPr>
      </w:r>
      <w:r w:rsidRPr="00410F3A">
        <w:rPr>
          <w:rStyle w:val="aff6"/>
          <w:rtl/>
        </w:rPr>
        <w:fldChar w:fldCharType="separate"/>
      </w:r>
      <w:r w:rsidR="00265073">
        <w:rPr>
          <w:rStyle w:val="aff6"/>
          <w:cs/>
        </w:rPr>
        <w:t>‎</w:t>
      </w:r>
      <w:r w:rsidR="00265073">
        <w:rPr>
          <w:rStyle w:val="aff6"/>
          <w:rtl/>
        </w:rPr>
        <w:t>נה)</w:t>
      </w:r>
      <w:r w:rsidRPr="00410F3A">
        <w:rPr>
          <w:rStyle w:val="aff6"/>
          <w:rtl/>
        </w:rPr>
        <w:fldChar w:fldCharType="end"/>
      </w:r>
      <w:r>
        <w:rPr>
          <w:rStyle w:val="afb"/>
          <w:rFonts w:hint="cs"/>
          <w:rtl/>
        </w:rPr>
        <w:t xml:space="preserve"> בשם</w:t>
      </w:r>
      <w:r w:rsidRPr="000253E9">
        <w:rPr>
          <w:rStyle w:val="afb"/>
          <w:rFonts w:hint="cs"/>
          <w:rtl/>
        </w:rPr>
        <w:t xml:space="preserve"> </w:t>
      </w:r>
      <w:r w:rsidRPr="000253E9">
        <w:rPr>
          <w:rStyle w:val="affa"/>
          <w:rFonts w:hint="cs"/>
          <w:rtl/>
        </w:rPr>
        <w:t>רבינו יונה בסוגיין</w:t>
      </w:r>
      <w:r w:rsidRPr="000253E9">
        <w:rPr>
          <w:rStyle w:val="afb"/>
          <w:rFonts w:hint="cs"/>
          <w:rtl/>
        </w:rPr>
        <w:t xml:space="preserve"> </w:t>
      </w:r>
      <w:r w:rsidRPr="000253E9">
        <w:rPr>
          <w:rStyle w:val="aff6"/>
          <w:rFonts w:hint="cs"/>
          <w:rtl/>
        </w:rPr>
        <w:t xml:space="preserve">(עי' אות </w:t>
      </w:r>
      <w:r w:rsidRPr="000253E9">
        <w:rPr>
          <w:rStyle w:val="aff6"/>
          <w:rtl/>
        </w:rPr>
        <w:fldChar w:fldCharType="begin"/>
      </w:r>
      <w:r w:rsidRPr="000253E9">
        <w:rPr>
          <w:rStyle w:val="aff6"/>
          <w:rtl/>
        </w:rPr>
        <w:instrText xml:space="preserve"> </w:instrText>
      </w:r>
      <w:r w:rsidRPr="000253E9">
        <w:rPr>
          <w:rStyle w:val="aff6"/>
          <w:rFonts w:hint="cs"/>
        </w:rPr>
        <w:instrText>REF</w:instrText>
      </w:r>
      <w:r w:rsidRPr="000253E9">
        <w:rPr>
          <w:rStyle w:val="aff6"/>
          <w:rFonts w:hint="cs"/>
          <w:rtl/>
        </w:rPr>
        <w:instrText xml:space="preserve"> _</w:instrText>
      </w:r>
      <w:r w:rsidRPr="000253E9">
        <w:rPr>
          <w:rStyle w:val="aff6"/>
          <w:rFonts w:hint="cs"/>
        </w:rPr>
        <w:instrText>Ref62452162 \r \h</w:instrText>
      </w:r>
      <w:r w:rsidRPr="000253E9">
        <w:rPr>
          <w:rStyle w:val="aff6"/>
          <w:rtl/>
        </w:rPr>
        <w:instrText xml:space="preserve"> </w:instrText>
      </w:r>
      <w:r w:rsidRPr="000253E9">
        <w:rPr>
          <w:rStyle w:val="aff6"/>
          <w:rtl/>
        </w:rPr>
      </w:r>
      <w:r w:rsidRPr="000253E9">
        <w:rPr>
          <w:rStyle w:val="aff6"/>
          <w:rtl/>
        </w:rPr>
        <w:fldChar w:fldCharType="separate"/>
      </w:r>
      <w:r w:rsidR="00265073">
        <w:rPr>
          <w:rStyle w:val="aff6"/>
          <w:cs/>
        </w:rPr>
        <w:t>‎</w:t>
      </w:r>
      <w:r w:rsidR="00265073">
        <w:rPr>
          <w:rStyle w:val="aff6"/>
          <w:rtl/>
        </w:rPr>
        <w:t>נב)</w:t>
      </w:r>
      <w:r w:rsidRPr="000253E9">
        <w:rPr>
          <w:rStyle w:val="aff6"/>
          <w:rtl/>
        </w:rPr>
        <w:fldChar w:fldCharType="end"/>
      </w:r>
      <w:r w:rsidRPr="000253E9">
        <w:rPr>
          <w:rStyle w:val="afb"/>
          <w:rFonts w:hint="cs"/>
          <w:rtl/>
        </w:rPr>
        <w:t>],</w:t>
      </w:r>
      <w:r>
        <w:rPr>
          <w:rFonts w:hint="cs"/>
          <w:rtl/>
        </w:rPr>
        <w:t xml:space="preserve"> וביאר </w:t>
      </w:r>
      <w:r w:rsidRPr="00AE7AA8">
        <w:rPr>
          <w:rStyle w:val="af9"/>
          <w:rFonts w:hint="cs"/>
          <w:rtl/>
        </w:rPr>
        <w:t>הרא"ה</w:t>
      </w:r>
      <w:r>
        <w:rPr>
          <w:rFonts w:hint="cs"/>
          <w:rtl/>
        </w:rPr>
        <w:t xml:space="preserve"> דכיון דקיי"ל דכל האומר לא לויתי כאומר לא פרעתי דמי, א"כ כשהוא חוזר וטוען לויתי ופרעתי, חשיב שחוזר מטענת חיוב לטענת פטור, דהא בטענתו הראשונה שלא לוה כלולה הודאה שלא פרע, וכתב </w:t>
      </w:r>
      <w:r w:rsidRPr="00AE7AA8">
        <w:rPr>
          <w:rStyle w:val="af9"/>
          <w:rFonts w:hint="cs"/>
          <w:rtl/>
        </w:rPr>
        <w:t>הריטב"א בשבועות</w:t>
      </w:r>
      <w:r>
        <w:rPr>
          <w:rFonts w:hint="cs"/>
          <w:rtl/>
        </w:rPr>
        <w:t xml:space="preserve"> דכן נראה, והוסיף דדן בזה הרבה לפני </w:t>
      </w:r>
      <w:r w:rsidRPr="00AE7AA8">
        <w:rPr>
          <w:rStyle w:val="af9"/>
          <w:rFonts w:hint="cs"/>
          <w:rtl/>
        </w:rPr>
        <w:t>הרשב"א</w:t>
      </w:r>
      <w:r>
        <w:rPr>
          <w:rFonts w:hint="cs"/>
          <w:rtl/>
        </w:rPr>
        <w:t xml:space="preserve">. </w:t>
      </w:r>
      <w:r w:rsidRPr="00600D1A">
        <w:rPr>
          <w:rStyle w:val="afb"/>
          <w:rFonts w:hint="cs"/>
          <w:rtl/>
        </w:rPr>
        <w:t xml:space="preserve">[ועי' בדברי </w:t>
      </w:r>
      <w:r w:rsidRPr="00600D1A">
        <w:rPr>
          <w:rStyle w:val="affa"/>
          <w:rFonts w:hint="cs"/>
          <w:rtl/>
        </w:rPr>
        <w:t>הרשב"א בתשו'</w:t>
      </w:r>
      <w:r w:rsidRPr="00600D1A">
        <w:rPr>
          <w:rStyle w:val="afb"/>
          <w:rFonts w:hint="cs"/>
          <w:rtl/>
        </w:rPr>
        <w:t xml:space="preserve"> </w:t>
      </w:r>
      <w:r w:rsidRPr="00600D1A">
        <w:rPr>
          <w:rStyle w:val="aff6"/>
          <w:rFonts w:hint="cs"/>
          <w:rtl/>
        </w:rPr>
        <w:t xml:space="preserve">(עי' אות </w:t>
      </w:r>
      <w:r w:rsidRPr="00600D1A">
        <w:rPr>
          <w:rStyle w:val="aff6"/>
          <w:rtl/>
        </w:rPr>
        <w:fldChar w:fldCharType="begin"/>
      </w:r>
      <w:r w:rsidRPr="00600D1A">
        <w:rPr>
          <w:rStyle w:val="aff6"/>
          <w:rtl/>
        </w:rPr>
        <w:instrText xml:space="preserve"> </w:instrText>
      </w:r>
      <w:r w:rsidRPr="00600D1A">
        <w:rPr>
          <w:rStyle w:val="aff6"/>
          <w:rFonts w:hint="cs"/>
        </w:rPr>
        <w:instrText>REF</w:instrText>
      </w:r>
      <w:r w:rsidRPr="00600D1A">
        <w:rPr>
          <w:rStyle w:val="aff6"/>
          <w:rFonts w:hint="cs"/>
          <w:rtl/>
        </w:rPr>
        <w:instrText xml:space="preserve"> _</w:instrText>
      </w:r>
      <w:r w:rsidRPr="00600D1A">
        <w:rPr>
          <w:rStyle w:val="aff6"/>
          <w:rFonts w:hint="cs"/>
        </w:rPr>
        <w:instrText>Ref62464272 \r \h</w:instrText>
      </w:r>
      <w:r w:rsidRPr="00600D1A">
        <w:rPr>
          <w:rStyle w:val="aff6"/>
          <w:rtl/>
        </w:rPr>
        <w:instrText xml:space="preserve"> </w:instrText>
      </w:r>
      <w:r w:rsidRPr="00600D1A">
        <w:rPr>
          <w:rStyle w:val="aff6"/>
          <w:rtl/>
        </w:rPr>
      </w:r>
      <w:r w:rsidRPr="00600D1A">
        <w:rPr>
          <w:rStyle w:val="aff6"/>
          <w:rtl/>
        </w:rPr>
        <w:fldChar w:fldCharType="separate"/>
      </w:r>
      <w:r w:rsidR="00265073">
        <w:rPr>
          <w:rStyle w:val="aff6"/>
          <w:cs/>
        </w:rPr>
        <w:t>‎</w:t>
      </w:r>
      <w:r w:rsidR="00265073">
        <w:rPr>
          <w:rStyle w:val="aff6"/>
          <w:rtl/>
        </w:rPr>
        <w:t>מט)</w:t>
      </w:r>
      <w:r w:rsidRPr="00600D1A">
        <w:rPr>
          <w:rStyle w:val="aff6"/>
          <w:rtl/>
        </w:rPr>
        <w:fldChar w:fldCharType="end"/>
      </w:r>
      <w:r w:rsidRPr="00600D1A">
        <w:rPr>
          <w:rStyle w:val="afb"/>
          <w:rFonts w:hint="cs"/>
          <w:rtl/>
        </w:rPr>
        <w:t xml:space="preserve"> דכתב דבחוזרמפטור לפטור נאמן, ובמה שביאר </w:t>
      </w:r>
      <w:r w:rsidRPr="00600D1A">
        <w:rPr>
          <w:rStyle w:val="affa"/>
          <w:rFonts w:hint="cs"/>
          <w:rtl/>
        </w:rPr>
        <w:t>הרשב"א בתשו'</w:t>
      </w:r>
      <w:r w:rsidRPr="00600D1A">
        <w:rPr>
          <w:rStyle w:val="afb"/>
          <w:rFonts w:hint="cs"/>
          <w:rtl/>
        </w:rPr>
        <w:t xml:space="preserve"> </w:t>
      </w:r>
      <w:r w:rsidRPr="00600D1A">
        <w:rPr>
          <w:rStyle w:val="aff6"/>
          <w:rFonts w:hint="cs"/>
          <w:rtl/>
        </w:rPr>
        <w:t xml:space="preserve">(עי' אות </w:t>
      </w:r>
      <w:r w:rsidRPr="00600D1A">
        <w:rPr>
          <w:rStyle w:val="aff6"/>
          <w:rtl/>
        </w:rPr>
        <w:fldChar w:fldCharType="begin"/>
      </w:r>
      <w:r w:rsidRPr="00600D1A">
        <w:rPr>
          <w:rStyle w:val="aff6"/>
          <w:rtl/>
        </w:rPr>
        <w:instrText xml:space="preserve"> </w:instrText>
      </w:r>
      <w:r w:rsidRPr="00600D1A">
        <w:rPr>
          <w:rStyle w:val="aff6"/>
          <w:rFonts w:hint="cs"/>
        </w:rPr>
        <w:instrText>REF</w:instrText>
      </w:r>
      <w:r w:rsidRPr="00600D1A">
        <w:rPr>
          <w:rStyle w:val="aff6"/>
          <w:rFonts w:hint="cs"/>
          <w:rtl/>
        </w:rPr>
        <w:instrText xml:space="preserve"> _</w:instrText>
      </w:r>
      <w:r w:rsidRPr="00600D1A">
        <w:rPr>
          <w:rStyle w:val="aff6"/>
          <w:rFonts w:hint="cs"/>
        </w:rPr>
        <w:instrText>Ref62464279 \r \h</w:instrText>
      </w:r>
      <w:r w:rsidRPr="00600D1A">
        <w:rPr>
          <w:rStyle w:val="aff6"/>
          <w:rtl/>
        </w:rPr>
        <w:instrText xml:space="preserve"> </w:instrText>
      </w:r>
      <w:r w:rsidRPr="00600D1A">
        <w:rPr>
          <w:rStyle w:val="aff6"/>
          <w:rtl/>
        </w:rPr>
      </w:r>
      <w:r w:rsidRPr="00600D1A">
        <w:rPr>
          <w:rStyle w:val="aff6"/>
          <w:rtl/>
        </w:rPr>
        <w:fldChar w:fldCharType="separate"/>
      </w:r>
      <w:r w:rsidR="00265073">
        <w:rPr>
          <w:rStyle w:val="aff6"/>
          <w:cs/>
        </w:rPr>
        <w:t>‎</w:t>
      </w:r>
      <w:r w:rsidR="00265073">
        <w:rPr>
          <w:rStyle w:val="aff6"/>
          <w:rtl/>
        </w:rPr>
        <w:t>נ)</w:t>
      </w:r>
      <w:r w:rsidRPr="00600D1A">
        <w:rPr>
          <w:rStyle w:val="aff6"/>
          <w:rtl/>
        </w:rPr>
        <w:fldChar w:fldCharType="end"/>
      </w:r>
      <w:r w:rsidRPr="00600D1A">
        <w:rPr>
          <w:rStyle w:val="afb"/>
          <w:rFonts w:hint="cs"/>
          <w:rtl/>
        </w:rPr>
        <w:t xml:space="preserve"> בדעת </w:t>
      </w:r>
      <w:r w:rsidRPr="00600D1A">
        <w:rPr>
          <w:rStyle w:val="affa"/>
          <w:rFonts w:hint="cs"/>
          <w:rtl/>
        </w:rPr>
        <w:t>הרמב"ם</w:t>
      </w:r>
      <w:r w:rsidRPr="00600D1A">
        <w:rPr>
          <w:rStyle w:val="afb"/>
          <w:rFonts w:hint="cs"/>
          <w:rtl/>
        </w:rPr>
        <w:t xml:space="preserve"> דנאמן].</w:t>
      </w:r>
    </w:p>
    <w:p w:rsidR="00EC445E" w:rsidRDefault="00EC445E" w:rsidP="00EC445E">
      <w:pPr>
        <w:pStyle w:val="afe"/>
        <w:rPr>
          <w:rtl/>
        </w:rPr>
      </w:pPr>
      <w:bookmarkStart w:id="13182" w:name="_Toc62074384"/>
      <w:bookmarkStart w:id="13183" w:name="_Toc62160825"/>
      <w:bookmarkStart w:id="13184" w:name="_Toc62385987"/>
      <w:bookmarkStart w:id="13185" w:name="_Toc62420124"/>
      <w:bookmarkStart w:id="13186" w:name="_Toc62452617"/>
      <w:bookmarkStart w:id="13187" w:name="_Toc62453886"/>
      <w:bookmarkStart w:id="13188" w:name="_Toc62485598"/>
      <w:r>
        <w:rPr>
          <w:rFonts w:hint="cs"/>
          <w:rtl/>
        </w:rPr>
        <w:t>דעת הרמ"ה</w:t>
      </w:r>
      <w:bookmarkEnd w:id="13182"/>
      <w:bookmarkEnd w:id="13183"/>
      <w:bookmarkEnd w:id="13184"/>
      <w:bookmarkEnd w:id="13185"/>
      <w:r>
        <w:rPr>
          <w:rFonts w:hint="cs"/>
          <w:rtl/>
        </w:rPr>
        <w:t xml:space="preserve"> דבבאו עדים אח"כ לא נאמן</w:t>
      </w:r>
      <w:bookmarkEnd w:id="13186"/>
      <w:bookmarkEnd w:id="13187"/>
      <w:bookmarkEnd w:id="13188"/>
    </w:p>
    <w:p w:rsidR="00EC445E" w:rsidRDefault="00EC445E" w:rsidP="00EC445E">
      <w:pPr>
        <w:pStyle w:val="1"/>
        <w:rPr>
          <w:rtl/>
        </w:rPr>
      </w:pPr>
      <w:bookmarkStart w:id="13189" w:name="_Toc62074385"/>
      <w:bookmarkStart w:id="13190" w:name="_Toc62160826"/>
      <w:bookmarkStart w:id="13191" w:name="_Toc62385988"/>
      <w:bookmarkStart w:id="13192" w:name="_Toc62420125"/>
      <w:bookmarkStart w:id="13193" w:name="_Toc62452618"/>
      <w:bookmarkStart w:id="13194" w:name="_Toc62453887"/>
      <w:bookmarkStart w:id="13195" w:name="_Toc62485599"/>
      <w:r>
        <w:rPr>
          <w:rFonts w:hint="cs"/>
          <w:rtl/>
        </w:rPr>
        <w:t>דברי הרמ"ה</w:t>
      </w:r>
      <w:bookmarkEnd w:id="13189"/>
      <w:bookmarkEnd w:id="13190"/>
      <w:bookmarkEnd w:id="13191"/>
      <w:bookmarkEnd w:id="13192"/>
      <w:bookmarkEnd w:id="13193"/>
      <w:r>
        <w:rPr>
          <w:rFonts w:hint="cs"/>
          <w:rtl/>
        </w:rPr>
        <w:t xml:space="preserve"> דבלא באו עדים חוזר וטוען מפטור לפטור</w:t>
      </w:r>
      <w:bookmarkEnd w:id="13194"/>
      <w:bookmarkEnd w:id="13195"/>
    </w:p>
    <w:p w:rsidR="00EC445E" w:rsidRPr="00246A86" w:rsidRDefault="00EC445E" w:rsidP="00EC445E">
      <w:pPr>
        <w:pStyle w:val="a3"/>
        <w:rPr>
          <w:rtl/>
        </w:rPr>
      </w:pPr>
      <w:bookmarkStart w:id="13196" w:name="_Toc62453888"/>
      <w:bookmarkStart w:id="13197" w:name="_Toc62485600"/>
      <w:r>
        <w:rPr>
          <w:rFonts w:hint="cs"/>
          <w:rtl/>
        </w:rPr>
        <w:t>דברי הרמ"ה דבחוזר וטוען ולא באו עדים נאמן אף בלא אמתלא ואף כשיצא חוץ לב"ד</w:t>
      </w:r>
      <w:bookmarkEnd w:id="13196"/>
      <w:bookmarkEnd w:id="13197"/>
    </w:p>
    <w:p w:rsidR="00EC445E" w:rsidRPr="00D2614B" w:rsidRDefault="00EC445E" w:rsidP="007E4E81">
      <w:pPr>
        <w:pStyle w:val="a0"/>
        <w:rPr>
          <w:rtl/>
        </w:rPr>
      </w:pPr>
      <w:bookmarkStart w:id="13198" w:name="_Ref62452833"/>
      <w:r w:rsidRPr="00D2614B">
        <w:rPr>
          <w:rFonts w:hint="cs"/>
          <w:rtl/>
        </w:rPr>
        <w:t xml:space="preserve">כתב </w:t>
      </w:r>
      <w:r w:rsidRPr="00AE7AA8">
        <w:rPr>
          <w:rStyle w:val="af9"/>
          <w:rFonts w:hint="cs"/>
          <w:rtl/>
        </w:rPr>
        <w:t>היד רמ"ה</w:t>
      </w:r>
      <w:r w:rsidRPr="00D2614B">
        <w:rPr>
          <w:rFonts w:hint="cs"/>
          <w:rtl/>
        </w:rPr>
        <w:t xml:space="preserve"> </w:t>
      </w:r>
      <w:r w:rsidRPr="00616A8B">
        <w:rPr>
          <w:rStyle w:val="af7"/>
          <w:rFonts w:eastAsia="Guttman Hodes" w:hint="cs"/>
          <w:rtl/>
        </w:rPr>
        <w:t>(או' ל"ט ד"ה ודוקא היכא)</w:t>
      </w:r>
      <w:r w:rsidRPr="00D2614B">
        <w:rPr>
          <w:rFonts w:hint="cs"/>
          <w:rtl/>
        </w:rPr>
        <w:t xml:space="preserve"> דהא דאינו נאמן בחוזר וטוען, היינו דוקא כשחזר בו אחר שהוכחש ע"י העדים, דמוכח דהוא חזר בו מחמת עדותם, ולכן טוען טענה אחרת, אבל כשחזר בו </w:t>
      </w:r>
      <w:r>
        <w:rPr>
          <w:rFonts w:hint="cs"/>
          <w:rtl/>
        </w:rPr>
        <w:t xml:space="preserve">ולא </w:t>
      </w:r>
      <w:r w:rsidRPr="00D2614B">
        <w:rPr>
          <w:rFonts w:hint="cs"/>
          <w:rtl/>
        </w:rPr>
        <w:t>באו עדים, וטען טענה אחרת הוא נאמן, אף שאינו נותן כל אמתלא לטענתו הראשונה, ואף כשיצא חוץ לב"ד וחזר וטען את טענתו האחרונה הוא נאמן</w:t>
      </w:r>
      <w:r>
        <w:rPr>
          <w:rFonts w:hint="cs"/>
          <w:rtl/>
        </w:rPr>
        <w:t xml:space="preserve">, וכ"כ </w:t>
      </w:r>
      <w:r w:rsidRPr="00EB6CBC">
        <w:rPr>
          <w:rStyle w:val="af9"/>
          <w:rFonts w:hint="cs"/>
          <w:rtl/>
        </w:rPr>
        <w:t>הר"י מגאש</w:t>
      </w:r>
      <w:r>
        <w:rPr>
          <w:rFonts w:hint="cs"/>
          <w:rtl/>
        </w:rPr>
        <w:t xml:space="preserve"> </w:t>
      </w:r>
      <w:r w:rsidRPr="00EB6CBC">
        <w:rPr>
          <w:rStyle w:val="af7"/>
          <w:rFonts w:eastAsia="Guttman Hodes" w:hint="cs"/>
          <w:rtl/>
        </w:rPr>
        <w:t xml:space="preserve">(עי' אות </w:t>
      </w:r>
      <w:r w:rsidRPr="00EB6CBC">
        <w:rPr>
          <w:rStyle w:val="af7"/>
          <w:rFonts w:eastAsia="Guttman Hodes"/>
          <w:rtl/>
        </w:rPr>
        <w:fldChar w:fldCharType="begin"/>
      </w:r>
      <w:r w:rsidRPr="00EB6CBC">
        <w:rPr>
          <w:rStyle w:val="af7"/>
          <w:rFonts w:eastAsia="Guttman Hodes"/>
          <w:rtl/>
        </w:rPr>
        <w:instrText xml:space="preserve"> </w:instrText>
      </w:r>
      <w:r w:rsidRPr="00EB6CBC">
        <w:rPr>
          <w:rStyle w:val="af7"/>
          <w:rFonts w:eastAsia="Guttman Hodes" w:hint="cs"/>
        </w:rPr>
        <w:instrText>REF</w:instrText>
      </w:r>
      <w:r w:rsidRPr="00EB6CBC">
        <w:rPr>
          <w:rStyle w:val="af7"/>
          <w:rFonts w:eastAsia="Guttman Hodes" w:hint="cs"/>
          <w:rtl/>
        </w:rPr>
        <w:instrText xml:space="preserve"> _</w:instrText>
      </w:r>
      <w:r w:rsidRPr="00EB6CBC">
        <w:rPr>
          <w:rStyle w:val="af7"/>
          <w:rFonts w:eastAsia="Guttman Hodes" w:hint="cs"/>
        </w:rPr>
        <w:instrText>Ref61987752 \r \h</w:instrText>
      </w:r>
      <w:r w:rsidRPr="00EB6CBC">
        <w:rPr>
          <w:rStyle w:val="af7"/>
          <w:rFonts w:eastAsia="Guttman Hodes"/>
          <w:rtl/>
        </w:rPr>
        <w:instrText xml:space="preserve"> </w:instrText>
      </w:r>
      <w:r w:rsidRPr="00EB6CBC">
        <w:rPr>
          <w:rStyle w:val="af7"/>
          <w:rFonts w:eastAsia="Guttman Hodes"/>
          <w:rtl/>
        </w:rPr>
      </w:r>
      <w:r w:rsidRPr="00EB6CB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B6CBC">
        <w:rPr>
          <w:rStyle w:val="af7"/>
          <w:rFonts w:eastAsia="Guttman Hodes"/>
          <w:rtl/>
        </w:rPr>
        <w:fldChar w:fldCharType="end"/>
      </w:r>
      <w:r>
        <w:rPr>
          <w:rStyle w:val="af9"/>
          <w:rFonts w:hint="cs"/>
          <w:rtl/>
        </w:rPr>
        <w:t xml:space="preserve"> ו</w:t>
      </w:r>
      <w:r w:rsidRPr="00C01DF5">
        <w:rPr>
          <w:rStyle w:val="af9"/>
          <w:rFonts w:hint="cs"/>
          <w:rtl/>
        </w:rPr>
        <w:t>הרמב"ם</w:t>
      </w:r>
      <w:r>
        <w:rPr>
          <w:rFonts w:hint="cs"/>
          <w:rtl/>
        </w:rPr>
        <w:t xml:space="preserve"> </w:t>
      </w:r>
      <w:r w:rsidRPr="00C01DF5">
        <w:rPr>
          <w:rStyle w:val="af7"/>
          <w:rFonts w:eastAsia="Guttman Hodes" w:hint="cs"/>
          <w:rtl/>
        </w:rPr>
        <w:t xml:space="preserve">(עי' אות </w:t>
      </w:r>
      <w:r w:rsidRPr="00C01DF5">
        <w:rPr>
          <w:rStyle w:val="af7"/>
          <w:rFonts w:eastAsia="Guttman Hodes"/>
          <w:rtl/>
        </w:rPr>
        <w:fldChar w:fldCharType="begin"/>
      </w:r>
      <w:r w:rsidRPr="00C01DF5">
        <w:rPr>
          <w:rStyle w:val="af7"/>
          <w:rFonts w:eastAsia="Guttman Hodes"/>
          <w:rtl/>
        </w:rPr>
        <w:instrText xml:space="preserve"> </w:instrText>
      </w:r>
      <w:r w:rsidRPr="00C01DF5">
        <w:rPr>
          <w:rStyle w:val="af7"/>
          <w:rFonts w:eastAsia="Guttman Hodes" w:hint="cs"/>
        </w:rPr>
        <w:instrText>REF</w:instrText>
      </w:r>
      <w:r w:rsidRPr="00C01DF5">
        <w:rPr>
          <w:rStyle w:val="af7"/>
          <w:rFonts w:eastAsia="Guttman Hodes" w:hint="cs"/>
          <w:rtl/>
        </w:rPr>
        <w:instrText xml:space="preserve"> _</w:instrText>
      </w:r>
      <w:r w:rsidRPr="00C01DF5">
        <w:rPr>
          <w:rStyle w:val="af7"/>
          <w:rFonts w:eastAsia="Guttman Hodes" w:hint="cs"/>
        </w:rPr>
        <w:instrText>Ref62124167 \r \h</w:instrText>
      </w:r>
      <w:r w:rsidRPr="00C01DF5">
        <w:rPr>
          <w:rStyle w:val="af7"/>
          <w:rFonts w:eastAsia="Guttman Hodes"/>
          <w:rtl/>
        </w:rPr>
        <w:instrText xml:space="preserve"> </w:instrText>
      </w:r>
      <w:r w:rsidRPr="00C01DF5">
        <w:rPr>
          <w:rStyle w:val="af7"/>
          <w:rFonts w:eastAsia="Guttman Hodes"/>
          <w:rtl/>
        </w:rPr>
      </w:r>
      <w:r w:rsidRPr="00C01DF5">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C01DF5">
        <w:rPr>
          <w:rStyle w:val="af7"/>
          <w:rFonts w:eastAsia="Guttman Hodes"/>
          <w:rtl/>
        </w:rPr>
        <w:fldChar w:fldCharType="end"/>
      </w:r>
      <w:r w:rsidRPr="00D2614B">
        <w:rPr>
          <w:rFonts w:hint="cs"/>
          <w:rtl/>
        </w:rPr>
        <w:t>.</w:t>
      </w:r>
      <w:bookmarkEnd w:id="13198"/>
    </w:p>
    <w:p w:rsidR="00EC445E" w:rsidRDefault="00EC445E" w:rsidP="00EC445E">
      <w:pPr>
        <w:pStyle w:val="a3"/>
        <w:rPr>
          <w:rtl/>
        </w:rPr>
      </w:pPr>
      <w:bookmarkStart w:id="13199" w:name="_Toc62453889"/>
      <w:bookmarkStart w:id="13200" w:name="_Toc62485601"/>
      <w:r>
        <w:rPr>
          <w:rFonts w:hint="cs"/>
          <w:rtl/>
        </w:rPr>
        <w:t>ביאור הרמ"ה דכל שלא הוכחשה בעדים טענתו הראשונה בעדים יש לו מיגו דעומד בטענתו</w:t>
      </w:r>
      <w:bookmarkEnd w:id="13199"/>
      <w:bookmarkEnd w:id="13200"/>
    </w:p>
    <w:p w:rsidR="00EC445E" w:rsidRDefault="00EC445E" w:rsidP="007E4E81">
      <w:pPr>
        <w:pStyle w:val="a0"/>
        <w:rPr>
          <w:rtl/>
        </w:rPr>
      </w:pPr>
      <w:bookmarkStart w:id="13201" w:name="_Ref62452841"/>
      <w:r>
        <w:rPr>
          <w:rFonts w:hint="cs"/>
          <w:rtl/>
        </w:rPr>
        <w:t xml:space="preserve">וביאר </w:t>
      </w:r>
      <w:r w:rsidRPr="00AE7AA8">
        <w:rPr>
          <w:rStyle w:val="af9"/>
          <w:rFonts w:hint="cs"/>
          <w:rtl/>
        </w:rPr>
        <w:t>היד רמ"ה</w:t>
      </w:r>
      <w:r>
        <w:rPr>
          <w:rFonts w:hint="cs"/>
          <w:rtl/>
        </w:rPr>
        <w:t xml:space="preserve"> דכיון שלא באו עדים והכחישו את טענתו הראשונה, יש לו מיגו שהיה עומדת בטענתו הראשונה והיה נפטר בה, דהא אין עדים שמכחישים את טענתו, ולכן אף כשחוזר וטוען טענה אחרת שנפטר בה, נאמן אעפ"י שהוא עוקר את טענתו הראשונה, וכ"כ </w:t>
      </w:r>
      <w:r w:rsidRPr="00EB6CBC">
        <w:rPr>
          <w:rStyle w:val="af9"/>
          <w:rFonts w:hint="cs"/>
          <w:rtl/>
        </w:rPr>
        <w:t>הר"י מגאש</w:t>
      </w:r>
      <w:r>
        <w:rPr>
          <w:rFonts w:hint="cs"/>
          <w:rtl/>
        </w:rPr>
        <w:t xml:space="preserve"> </w:t>
      </w:r>
      <w:r w:rsidRPr="00EB6CB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Ref62452796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Pr>
          <w:rStyle w:val="af7"/>
          <w:rFonts w:eastAsia="Guttman Hodes"/>
          <w:rtl/>
        </w:rPr>
        <w:fldChar w:fldCharType="end"/>
      </w:r>
      <w:r>
        <w:rPr>
          <w:rFonts w:hint="cs"/>
          <w:rtl/>
        </w:rPr>
        <w:t>.</w:t>
      </w:r>
      <w:bookmarkEnd w:id="13201"/>
    </w:p>
    <w:p w:rsidR="00730F4A" w:rsidRPr="00730F4A" w:rsidRDefault="00730F4A" w:rsidP="00730F4A">
      <w:pPr>
        <w:pStyle w:val="a3"/>
        <w:rPr>
          <w:rtl/>
        </w:rPr>
      </w:pPr>
    </w:p>
    <w:p w:rsidR="00EC445E" w:rsidRDefault="00EC445E" w:rsidP="00EC445E">
      <w:pPr>
        <w:pStyle w:val="a3"/>
        <w:rPr>
          <w:rtl/>
        </w:rPr>
      </w:pPr>
      <w:bookmarkStart w:id="13202" w:name="_Toc62453890"/>
      <w:bookmarkStart w:id="13203" w:name="_Toc62485602"/>
      <w:r>
        <w:rPr>
          <w:rFonts w:hint="cs"/>
          <w:rtl/>
        </w:rPr>
        <w:t>דברי הרמ"ה דבטען להד"ם נאמן לטעון לויתי ופרעתי ואם יש חיוב שבועה ישבע ויפטר</w:t>
      </w:r>
      <w:bookmarkEnd w:id="13202"/>
      <w:bookmarkEnd w:id="13203"/>
    </w:p>
    <w:p w:rsidR="00EC445E" w:rsidRDefault="00EC445E" w:rsidP="007E4E81">
      <w:pPr>
        <w:pStyle w:val="a0"/>
        <w:rPr>
          <w:rtl/>
        </w:rPr>
      </w:pPr>
      <w:r>
        <w:rPr>
          <w:rFonts w:hint="cs"/>
          <w:rtl/>
        </w:rPr>
        <w:t xml:space="preserve">וכתב </w:t>
      </w:r>
      <w:r w:rsidRPr="00AE7AA8">
        <w:rPr>
          <w:rStyle w:val="af9"/>
          <w:rFonts w:hint="cs"/>
          <w:rtl/>
        </w:rPr>
        <w:t>היד רמ"ה</w:t>
      </w:r>
      <w:r>
        <w:rPr>
          <w:rFonts w:hint="cs"/>
          <w:rtl/>
        </w:rPr>
        <w:t xml:space="preserve"> דלכן אם טען בתחילה לא לויתי, וחזר וטען לויתי ופרעתי, דאי סבירא לן דאף מפטור לפטור אינו נאמן לחזור ולטעון, היה נחשב שהודה שלא פרע, כיון שכל האומר לא לויתי כאומר לא פרעתי דמי, וכשחזר וטען לויתי ופרעתי נאמן שלוה ולא נאמן שפרע, וחייב לשלם, </w:t>
      </w:r>
      <w:r w:rsidRPr="007F2561">
        <w:rPr>
          <w:rStyle w:val="afb"/>
          <w:rFonts w:hint="cs"/>
          <w:rtl/>
        </w:rPr>
        <w:t>[אי אינו נאמן בחוזר וטוען],</w:t>
      </w:r>
      <w:r>
        <w:rPr>
          <w:rFonts w:hint="cs"/>
          <w:rtl/>
        </w:rPr>
        <w:t xml:space="preserve"> וכתב </w:t>
      </w:r>
      <w:r w:rsidRPr="006B3295">
        <w:rPr>
          <w:rStyle w:val="af9"/>
          <w:rFonts w:hint="cs"/>
          <w:rtl/>
        </w:rPr>
        <w:t>היד רמ"ה</w:t>
      </w:r>
      <w:r>
        <w:rPr>
          <w:rFonts w:hint="cs"/>
          <w:rtl/>
        </w:rPr>
        <w:t xml:space="preserve"> דכיון דקיי"ל דמפטור לפטור נאמן לחזור ולטעון לכן הוא נשבע ונפטר, </w:t>
      </w:r>
      <w:r w:rsidRPr="00660C05">
        <w:rPr>
          <w:rFonts w:hint="cs"/>
          <w:rtl/>
        </w:rPr>
        <w:t xml:space="preserve">וכתב </w:t>
      </w:r>
      <w:r w:rsidRPr="007F2561">
        <w:rPr>
          <w:rStyle w:val="af9"/>
          <w:rFonts w:hint="cs"/>
          <w:rtl/>
        </w:rPr>
        <w:t>היד רמ"ה</w:t>
      </w:r>
      <w:r w:rsidRPr="00660C05">
        <w:rPr>
          <w:rFonts w:hint="cs"/>
          <w:rtl/>
        </w:rPr>
        <w:t xml:space="preserve"> </w:t>
      </w:r>
      <w:r w:rsidRPr="00616A8B">
        <w:rPr>
          <w:rStyle w:val="af7"/>
          <w:rFonts w:eastAsia="Guttman Hodes" w:hint="cs"/>
          <w:rtl/>
        </w:rPr>
        <w:t>(או' ל"ט ד"ה והוא הדין)</w:t>
      </w:r>
      <w:r w:rsidRPr="00660C05">
        <w:rPr>
          <w:rFonts w:hint="cs"/>
          <w:rtl/>
        </w:rPr>
        <w:t xml:space="preserve"> דה"ה במקום שאין חיוב שבועה, </w:t>
      </w:r>
      <w:r>
        <w:rPr>
          <w:rFonts w:hint="cs"/>
          <w:rtl/>
        </w:rPr>
        <w:t xml:space="preserve">דאי סבירא לן דאינו נאמן לחזור ולטעון, א"כ הוא היה </w:t>
      </w:r>
      <w:r w:rsidRPr="00660C05">
        <w:rPr>
          <w:rFonts w:hint="cs"/>
          <w:rtl/>
        </w:rPr>
        <w:t xml:space="preserve">נאמן בשבועה רק על טענתו הראשונה, </w:t>
      </w:r>
      <w:r>
        <w:rPr>
          <w:rFonts w:hint="cs"/>
          <w:rtl/>
        </w:rPr>
        <w:t xml:space="preserve">אבל כיון </w:t>
      </w:r>
      <w:r w:rsidRPr="00660C05">
        <w:rPr>
          <w:rFonts w:hint="cs"/>
          <w:rtl/>
        </w:rPr>
        <w:t xml:space="preserve">דקיי"ל </w:t>
      </w:r>
      <w:r>
        <w:rPr>
          <w:rFonts w:hint="cs"/>
          <w:rtl/>
        </w:rPr>
        <w:t>דמפטור לפטור נאמן לחזור ולטעון,</w:t>
      </w:r>
      <w:r w:rsidRPr="00660C05">
        <w:rPr>
          <w:rFonts w:hint="cs"/>
          <w:rtl/>
        </w:rPr>
        <w:t xml:space="preserve"> צריך להשבע על טענתו האחרונה ונפטר.</w:t>
      </w:r>
    </w:p>
    <w:p w:rsidR="00EC445E" w:rsidRPr="00187C06" w:rsidRDefault="00EC445E" w:rsidP="00EC445E">
      <w:pPr>
        <w:pStyle w:val="1"/>
        <w:rPr>
          <w:rtl/>
        </w:rPr>
      </w:pPr>
      <w:bookmarkStart w:id="13204" w:name="_Toc62453891"/>
      <w:bookmarkStart w:id="13205" w:name="_Toc62485603"/>
      <w:r>
        <w:rPr>
          <w:rFonts w:hint="cs"/>
          <w:rtl/>
        </w:rPr>
        <w:t>דברי הרמ"ה דבבאו עדים אחר שחזר אינו נאמן מפטור לפטור</w:t>
      </w:r>
      <w:bookmarkEnd w:id="13204"/>
      <w:bookmarkEnd w:id="13205"/>
    </w:p>
    <w:p w:rsidR="00EC445E" w:rsidRDefault="00EC445E" w:rsidP="00EC445E">
      <w:pPr>
        <w:pStyle w:val="a3"/>
        <w:rPr>
          <w:rtl/>
        </w:rPr>
      </w:pPr>
      <w:bookmarkStart w:id="13206" w:name="_Toc62453892"/>
      <w:bookmarkStart w:id="13207" w:name="_Toc62485604"/>
      <w:r>
        <w:rPr>
          <w:rFonts w:hint="cs"/>
          <w:rtl/>
        </w:rPr>
        <w:t>דברי הרמ"ה דבבאו עדים אחר שחזר וטען והכחישו את טענתו הראשונה לא נאמן דאין לו מיגו</w:t>
      </w:r>
      <w:bookmarkEnd w:id="13206"/>
      <w:bookmarkEnd w:id="13207"/>
    </w:p>
    <w:p w:rsidR="00EC445E" w:rsidRDefault="00EC445E" w:rsidP="007E4E81">
      <w:pPr>
        <w:pStyle w:val="a0"/>
        <w:rPr>
          <w:rtl/>
        </w:rPr>
      </w:pPr>
      <w:bookmarkStart w:id="13208" w:name="_Ref62324951"/>
      <w:r>
        <w:rPr>
          <w:rFonts w:hint="cs"/>
          <w:rtl/>
        </w:rPr>
        <w:t xml:space="preserve">אך כתב </w:t>
      </w:r>
      <w:r w:rsidRPr="00AE7AA8">
        <w:rPr>
          <w:rStyle w:val="af9"/>
          <w:rFonts w:hint="cs"/>
          <w:rtl/>
        </w:rPr>
        <w:t>היד רמ"ה</w:t>
      </w:r>
      <w:r>
        <w:rPr>
          <w:rFonts w:hint="cs"/>
          <w:rtl/>
        </w:rPr>
        <w:t xml:space="preserve"> </w:t>
      </w:r>
      <w:r w:rsidRPr="00616A8B">
        <w:rPr>
          <w:rStyle w:val="af7"/>
          <w:rFonts w:eastAsia="Guttman Hodes" w:hint="cs"/>
          <w:rtl/>
        </w:rPr>
        <w:t>(או' ל"ט ד"ה והוא דלא)</w:t>
      </w:r>
      <w:r>
        <w:rPr>
          <w:rFonts w:hint="cs"/>
          <w:rtl/>
        </w:rPr>
        <w:t xml:space="preserve"> דהא דנאמן לחזור ולטעון מפטור לפטור, </w:t>
      </w:r>
      <w:r w:rsidRPr="0037784A">
        <w:rPr>
          <w:rFonts w:hint="cs"/>
          <w:rtl/>
        </w:rPr>
        <w:t>היינו דוקא כשלא באו עדים אח"כ, אבל אם אח"כ באו עדים והכחישו את טענתו הראשונה, אינו נאמן בטענתו האחרונה עד שיביא ראיה ויפטר</w:t>
      </w:r>
      <w:r>
        <w:rPr>
          <w:rStyle w:val="af1"/>
          <w:rtl/>
        </w:rPr>
        <w:footnoteReference w:id="84"/>
      </w:r>
      <w:r>
        <w:rPr>
          <w:rFonts w:hint="cs"/>
          <w:rtl/>
        </w:rPr>
        <w:t>,</w:t>
      </w:r>
      <w:r w:rsidRPr="00844D72">
        <w:rPr>
          <w:rStyle w:val="afb"/>
          <w:rtl/>
        </w:rPr>
        <w:t xml:space="preserve"> </w:t>
      </w:r>
      <w:r>
        <w:rPr>
          <w:rFonts w:hint="cs"/>
          <w:rtl/>
        </w:rPr>
        <w:t xml:space="preserve">וביאר </w:t>
      </w:r>
      <w:r w:rsidRPr="002B6A02">
        <w:rPr>
          <w:rStyle w:val="af9"/>
          <w:rFonts w:hint="cs"/>
          <w:rtl/>
        </w:rPr>
        <w:t>היד רמ"ה</w:t>
      </w:r>
      <w:r>
        <w:rPr>
          <w:rFonts w:hint="cs"/>
          <w:rtl/>
        </w:rPr>
        <w:t xml:space="preserve"> דכיון שהוכחש ע"י העדים, א"כ אין לו מיגו דהיה יכול לעמוד בטענתו הראשונה ולהפטר, דהא אנן סהדי שהיה מתחייב בטענתו הראשונה, דהא באו עדים והכחישוהו, וא"כ אין לו מיגו כלל.</w:t>
      </w:r>
      <w:bookmarkEnd w:id="13208"/>
      <w:r>
        <w:rPr>
          <w:rFonts w:hint="cs"/>
          <w:rtl/>
        </w:rPr>
        <w:t xml:space="preserve"> </w:t>
      </w:r>
    </w:p>
    <w:p w:rsidR="00EC445E" w:rsidRDefault="00EC445E" w:rsidP="00EC445E">
      <w:pPr>
        <w:pStyle w:val="a3"/>
        <w:rPr>
          <w:rtl/>
        </w:rPr>
      </w:pPr>
      <w:bookmarkStart w:id="13209" w:name="_Toc62453893"/>
      <w:bookmarkStart w:id="13210" w:name="_Toc62485605"/>
      <w:r>
        <w:rPr>
          <w:rFonts w:hint="cs"/>
          <w:rtl/>
        </w:rPr>
        <w:t>דברי הרמ"ה דבטען להד"ם וחזר וטען לויתי ופרעתי ואח"כ באו עדים שלוה אינו נאמן דפרע</w:t>
      </w:r>
      <w:bookmarkEnd w:id="13209"/>
      <w:bookmarkEnd w:id="13210"/>
    </w:p>
    <w:p w:rsidR="00EC445E" w:rsidRDefault="00EC445E" w:rsidP="007E4E81">
      <w:pPr>
        <w:pStyle w:val="a0"/>
        <w:rPr>
          <w:rtl/>
        </w:rPr>
      </w:pPr>
      <w:r>
        <w:rPr>
          <w:rFonts w:hint="cs"/>
          <w:rtl/>
        </w:rPr>
        <w:t xml:space="preserve">וביאר </w:t>
      </w:r>
      <w:r w:rsidRPr="00AE7AA8">
        <w:rPr>
          <w:rStyle w:val="af9"/>
          <w:rFonts w:hint="cs"/>
          <w:rtl/>
        </w:rPr>
        <w:t>היד רמ"ה</w:t>
      </w:r>
      <w:r>
        <w:rPr>
          <w:rFonts w:hint="cs"/>
          <w:rtl/>
        </w:rPr>
        <w:t xml:space="preserve"> דאם טען בתחילה לא לויתי, ואח"כ טען לויתי ופרעתי, דקיי"ל לעיל </w:t>
      </w:r>
      <w:r w:rsidRPr="00CD5CEF">
        <w:rPr>
          <w:rStyle w:val="af7"/>
          <w:rFonts w:eastAsia="Guttman Hodes" w:hint="cs"/>
          <w:rtl/>
        </w:rPr>
        <w:t>(ו.)</w:t>
      </w:r>
      <w:r>
        <w:rPr>
          <w:rFonts w:hint="cs"/>
          <w:rtl/>
        </w:rPr>
        <w:t xml:space="preserve"> דכל האומר לא לויתי כאומר לא פרעתי דמי, וחשיב שהודה בתחילה שלא פרע, א"כ כשחוזר וטוען אח"כ לויתי ופרעתי, כל מה שהוא נאמן במיגו, הוא דוקא במקום שלא באו עדים שהכחישוהו, אבל כשבאו עדים והכחישו את טענתו הראשונה, אינו נאמן, אף אם בתחילה חזר וטען לויתי ופרעתי, ואח"כ באו העדים אינו נאמן, דהא כלפי העדים שהכחישוהו חשיב שבטענתו הראשונה הודה שלא פרע, וכמו שאם טען בתחילה טענה שמחייבתו ממון, ואח"כ חזר וטען טענה שפוטרתו, דאינו נאמן לחזור ולטעון בלא ראיה, ה"ה כשבאו עדים אח"כ, דאינו נאמן, כיון שאין לו מיגו כלל.</w:t>
      </w:r>
    </w:p>
    <w:p w:rsidR="00EC445E" w:rsidRPr="00FB43D1" w:rsidRDefault="00EC445E" w:rsidP="00EC445E">
      <w:pPr>
        <w:pStyle w:val="a3"/>
        <w:rPr>
          <w:rtl/>
        </w:rPr>
      </w:pPr>
      <w:bookmarkStart w:id="13211" w:name="_Toc62453894"/>
      <w:bookmarkStart w:id="13212" w:name="_Toc62485606"/>
      <w:r>
        <w:rPr>
          <w:rFonts w:hint="cs"/>
          <w:rtl/>
        </w:rPr>
        <w:t>דברי הרמ"ה דבחזר וטען בתוך כדי דיבור נאמן אף כשבאו עדים אח"כ דחשיב שלא טען כלל</w:t>
      </w:r>
      <w:bookmarkEnd w:id="13211"/>
      <w:bookmarkEnd w:id="13212"/>
    </w:p>
    <w:p w:rsidR="00EC445E" w:rsidRDefault="00EC445E" w:rsidP="007E4E81">
      <w:pPr>
        <w:pStyle w:val="a0"/>
        <w:rPr>
          <w:rtl/>
        </w:rPr>
      </w:pPr>
      <w:bookmarkStart w:id="13213" w:name="_Ref62454151"/>
      <w:r>
        <w:rPr>
          <w:rFonts w:hint="cs"/>
          <w:rtl/>
        </w:rPr>
        <w:t xml:space="preserve">אך כתב </w:t>
      </w:r>
      <w:r w:rsidRPr="00AE7AA8">
        <w:rPr>
          <w:rStyle w:val="af9"/>
          <w:rFonts w:hint="cs"/>
          <w:rtl/>
        </w:rPr>
        <w:t>היד רמ"ה</w:t>
      </w:r>
      <w:r>
        <w:rPr>
          <w:rFonts w:hint="cs"/>
          <w:rtl/>
        </w:rPr>
        <w:t xml:space="preserve"> </w:t>
      </w:r>
      <w:r w:rsidRPr="00616A8B">
        <w:rPr>
          <w:rStyle w:val="af7"/>
          <w:rFonts w:eastAsia="Guttman Hodes" w:hint="cs"/>
          <w:rtl/>
        </w:rPr>
        <w:t xml:space="preserve">(או' ל"ט ד"ה וכולהו) </w:t>
      </w:r>
      <w:r>
        <w:rPr>
          <w:rFonts w:hint="cs"/>
          <w:rtl/>
        </w:rPr>
        <w:t>דכ"מ דאינו נאמן בחוזר וטוען, היינו דוקא כשחזר בו לאחר כדי דיבור, אבל בתוך כדי דיבור נאמן לחזור ולטעון, אף שאינו נותן אמתלא כלל לטענתו הראשונה, ואף אם באו אח"כ עדים והכחישו את טענתו הראשונה, דלא חשיב הכחשה, דכיון שחזר בו בתוך כדי דיבור, חשיב שלא טען את הטענה הראשונה כלל, דהא קיי"ל דתוך כדי דיבור כדיבור דמי.</w:t>
      </w:r>
      <w:bookmarkEnd w:id="13213"/>
    </w:p>
    <w:p w:rsidR="00730F4A" w:rsidRPr="00730F4A" w:rsidRDefault="00730F4A" w:rsidP="00730F4A">
      <w:pPr>
        <w:pStyle w:val="a3"/>
        <w:rPr>
          <w:rtl/>
        </w:rPr>
      </w:pPr>
    </w:p>
    <w:p w:rsidR="00730F4A" w:rsidRPr="00730F4A" w:rsidRDefault="00730F4A" w:rsidP="00730F4A">
      <w:pPr>
        <w:pStyle w:val="a3"/>
        <w:rPr>
          <w:rtl/>
        </w:rPr>
      </w:pPr>
    </w:p>
    <w:p w:rsidR="00EC445E" w:rsidRDefault="00EC445E" w:rsidP="00EC445E">
      <w:pPr>
        <w:pStyle w:val="afe"/>
        <w:rPr>
          <w:rtl/>
        </w:rPr>
      </w:pPr>
      <w:bookmarkStart w:id="13214" w:name="_Toc62453895"/>
      <w:bookmarkStart w:id="13215" w:name="_Toc62485607"/>
      <w:r>
        <w:rPr>
          <w:rFonts w:hint="cs"/>
          <w:rtl/>
        </w:rPr>
        <w:lastRenderedPageBreak/>
        <w:t>ד' הר"י מגאש דנאמן בבאו עדים אח"כ</w:t>
      </w:r>
      <w:bookmarkEnd w:id="13214"/>
      <w:bookmarkEnd w:id="13215"/>
    </w:p>
    <w:p w:rsidR="00EC445E" w:rsidRPr="00FC5C36" w:rsidRDefault="00EC445E" w:rsidP="00EC445E">
      <w:pPr>
        <w:pStyle w:val="1"/>
        <w:rPr>
          <w:rtl/>
        </w:rPr>
      </w:pPr>
      <w:bookmarkStart w:id="13216" w:name="_Toc62453896"/>
      <w:bookmarkStart w:id="13217" w:name="_Toc62485608"/>
      <w:r>
        <w:rPr>
          <w:rFonts w:hint="cs"/>
          <w:rtl/>
        </w:rPr>
        <w:t>דברי הטור דלר"י מגאש ולרמב"ם נאמן אף בבאו עדים אח"כ</w:t>
      </w:r>
      <w:bookmarkEnd w:id="13216"/>
      <w:bookmarkEnd w:id="13217"/>
    </w:p>
    <w:p w:rsidR="00EC445E" w:rsidRDefault="00EC445E" w:rsidP="00EC445E">
      <w:pPr>
        <w:pStyle w:val="a3"/>
        <w:rPr>
          <w:rtl/>
        </w:rPr>
      </w:pPr>
      <w:bookmarkStart w:id="13218" w:name="_Toc62453897"/>
      <w:bookmarkStart w:id="13219" w:name="_Toc62485609"/>
      <w:r>
        <w:rPr>
          <w:rFonts w:hint="cs"/>
          <w:rtl/>
        </w:rPr>
        <w:t>דברי הטור דלדעת הר"י מגאש והרמב"ם כשחזר וטען ואח"כ באו עדים נאמן ודלא כרמ"ה</w:t>
      </w:r>
      <w:bookmarkEnd w:id="13218"/>
      <w:bookmarkEnd w:id="13219"/>
    </w:p>
    <w:p w:rsidR="00EC445E" w:rsidRPr="007435F8" w:rsidRDefault="00EC445E" w:rsidP="007E4E81">
      <w:pPr>
        <w:pStyle w:val="a0"/>
        <w:rPr>
          <w:rStyle w:val="afb"/>
          <w:rtl/>
        </w:rPr>
      </w:pPr>
      <w:bookmarkStart w:id="13220" w:name="_Ref62462385"/>
      <w:r>
        <w:rPr>
          <w:rFonts w:hint="cs"/>
          <w:rtl/>
        </w:rPr>
        <w:t xml:space="preserve">כתב </w:t>
      </w:r>
      <w:r w:rsidRPr="00AE7AA8">
        <w:rPr>
          <w:rStyle w:val="af9"/>
          <w:rFonts w:hint="cs"/>
          <w:rtl/>
        </w:rPr>
        <w:t>הטור</w:t>
      </w:r>
      <w:r>
        <w:rPr>
          <w:rFonts w:hint="cs"/>
          <w:rtl/>
        </w:rPr>
        <w:t xml:space="preserve"> </w:t>
      </w:r>
      <w:r w:rsidRPr="00616A8B">
        <w:rPr>
          <w:rStyle w:val="af7"/>
          <w:rFonts w:eastAsia="Guttman Hodes" w:hint="cs"/>
          <w:rtl/>
        </w:rPr>
        <w:t>(סי' פ')</w:t>
      </w:r>
      <w:r>
        <w:rPr>
          <w:rFonts w:hint="cs"/>
          <w:rtl/>
        </w:rPr>
        <w:t xml:space="preserve"> </w:t>
      </w:r>
      <w:r w:rsidRPr="00AE7AA8">
        <w:rPr>
          <w:rStyle w:val="af9"/>
          <w:rFonts w:hint="cs"/>
          <w:rtl/>
        </w:rPr>
        <w:t xml:space="preserve">דהר"י </w:t>
      </w:r>
      <w:r w:rsidRPr="00EB6CBC">
        <w:rPr>
          <w:rStyle w:val="af9"/>
          <w:rFonts w:hint="cs"/>
          <w:rtl/>
        </w:rPr>
        <w:t>מגאש</w:t>
      </w:r>
      <w:r>
        <w:rPr>
          <w:rFonts w:hint="cs"/>
          <w:rtl/>
        </w:rPr>
        <w:t xml:space="preserve"> </w:t>
      </w:r>
      <w:r w:rsidRPr="00EB6CBC">
        <w:rPr>
          <w:rStyle w:val="af7"/>
          <w:rFonts w:eastAsia="Guttman Hodes" w:hint="cs"/>
          <w:rtl/>
        </w:rPr>
        <w:t xml:space="preserve">(עי' אות </w:t>
      </w:r>
      <w:r w:rsidRPr="00EB6CBC">
        <w:rPr>
          <w:rStyle w:val="af7"/>
          <w:rFonts w:eastAsia="Guttman Hodes"/>
          <w:rtl/>
        </w:rPr>
        <w:fldChar w:fldCharType="begin"/>
      </w:r>
      <w:r w:rsidRPr="00EB6CBC">
        <w:rPr>
          <w:rStyle w:val="af7"/>
          <w:rFonts w:eastAsia="Guttman Hodes"/>
          <w:rtl/>
        </w:rPr>
        <w:instrText xml:space="preserve"> </w:instrText>
      </w:r>
      <w:r w:rsidRPr="00EB6CBC">
        <w:rPr>
          <w:rStyle w:val="af7"/>
          <w:rFonts w:eastAsia="Guttman Hodes" w:hint="cs"/>
        </w:rPr>
        <w:instrText>REF</w:instrText>
      </w:r>
      <w:r w:rsidRPr="00EB6CBC">
        <w:rPr>
          <w:rStyle w:val="af7"/>
          <w:rFonts w:eastAsia="Guttman Hodes" w:hint="cs"/>
          <w:rtl/>
        </w:rPr>
        <w:instrText xml:space="preserve"> _</w:instrText>
      </w:r>
      <w:r w:rsidRPr="00EB6CBC">
        <w:rPr>
          <w:rStyle w:val="af7"/>
          <w:rFonts w:eastAsia="Guttman Hodes" w:hint="cs"/>
        </w:rPr>
        <w:instrText>Ref61987752 \r \h</w:instrText>
      </w:r>
      <w:r w:rsidRPr="00EB6CBC">
        <w:rPr>
          <w:rStyle w:val="af7"/>
          <w:rFonts w:eastAsia="Guttman Hodes"/>
          <w:rtl/>
        </w:rPr>
        <w:instrText xml:space="preserve"> </w:instrText>
      </w:r>
      <w:r w:rsidRPr="00EB6CBC">
        <w:rPr>
          <w:rStyle w:val="af7"/>
          <w:rFonts w:eastAsia="Guttman Hodes"/>
          <w:rtl/>
        </w:rPr>
      </w:r>
      <w:r w:rsidRPr="00EB6CB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B6CBC">
        <w:rPr>
          <w:rStyle w:val="af7"/>
          <w:rFonts w:eastAsia="Guttman Hodes"/>
          <w:rtl/>
        </w:rPr>
        <w:fldChar w:fldCharType="end"/>
      </w:r>
      <w:r>
        <w:rPr>
          <w:rStyle w:val="af9"/>
          <w:rFonts w:hint="cs"/>
          <w:rtl/>
        </w:rPr>
        <w:t xml:space="preserve"> ו</w:t>
      </w:r>
      <w:r w:rsidRPr="00C01DF5">
        <w:rPr>
          <w:rStyle w:val="af9"/>
          <w:rFonts w:hint="cs"/>
          <w:rtl/>
        </w:rPr>
        <w:t>הרמב"ם</w:t>
      </w:r>
      <w:r>
        <w:rPr>
          <w:rFonts w:hint="cs"/>
          <w:rtl/>
        </w:rPr>
        <w:t xml:space="preserve"> </w:t>
      </w:r>
      <w:r w:rsidRPr="00C01DF5">
        <w:rPr>
          <w:rStyle w:val="af7"/>
          <w:rFonts w:eastAsia="Guttman Hodes" w:hint="cs"/>
          <w:rtl/>
        </w:rPr>
        <w:t xml:space="preserve">(עי' אות </w:t>
      </w:r>
      <w:r w:rsidRPr="00C01DF5">
        <w:rPr>
          <w:rStyle w:val="af7"/>
          <w:rFonts w:eastAsia="Guttman Hodes"/>
          <w:rtl/>
        </w:rPr>
        <w:fldChar w:fldCharType="begin"/>
      </w:r>
      <w:r w:rsidRPr="00C01DF5">
        <w:rPr>
          <w:rStyle w:val="af7"/>
          <w:rFonts w:eastAsia="Guttman Hodes"/>
          <w:rtl/>
        </w:rPr>
        <w:instrText xml:space="preserve"> </w:instrText>
      </w:r>
      <w:r w:rsidRPr="00C01DF5">
        <w:rPr>
          <w:rStyle w:val="af7"/>
          <w:rFonts w:eastAsia="Guttman Hodes" w:hint="cs"/>
        </w:rPr>
        <w:instrText>REF</w:instrText>
      </w:r>
      <w:r w:rsidRPr="00C01DF5">
        <w:rPr>
          <w:rStyle w:val="af7"/>
          <w:rFonts w:eastAsia="Guttman Hodes" w:hint="cs"/>
          <w:rtl/>
        </w:rPr>
        <w:instrText xml:space="preserve"> _</w:instrText>
      </w:r>
      <w:r w:rsidRPr="00C01DF5">
        <w:rPr>
          <w:rStyle w:val="af7"/>
          <w:rFonts w:eastAsia="Guttman Hodes" w:hint="cs"/>
        </w:rPr>
        <w:instrText>Ref62124167 \r \h</w:instrText>
      </w:r>
      <w:r w:rsidRPr="00C01DF5">
        <w:rPr>
          <w:rStyle w:val="af7"/>
          <w:rFonts w:eastAsia="Guttman Hodes"/>
          <w:rtl/>
        </w:rPr>
        <w:instrText xml:space="preserve"> </w:instrText>
      </w:r>
      <w:r w:rsidRPr="00C01DF5">
        <w:rPr>
          <w:rStyle w:val="af7"/>
          <w:rFonts w:eastAsia="Guttman Hodes"/>
          <w:rtl/>
        </w:rPr>
      </w:r>
      <w:r w:rsidRPr="00C01DF5">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C01DF5">
        <w:rPr>
          <w:rStyle w:val="af7"/>
          <w:rFonts w:eastAsia="Guttman Hodes"/>
          <w:rtl/>
        </w:rPr>
        <w:fldChar w:fldCharType="end"/>
      </w:r>
      <w:r>
        <w:rPr>
          <w:rFonts w:hint="cs"/>
          <w:rtl/>
        </w:rPr>
        <w:t xml:space="preserve"> פליגי על </w:t>
      </w:r>
      <w:r w:rsidRPr="00AE7AA8">
        <w:rPr>
          <w:rStyle w:val="af9"/>
          <w:rFonts w:hint="cs"/>
          <w:rtl/>
        </w:rPr>
        <w:t>היד רמ"ה</w:t>
      </w:r>
      <w:r>
        <w:rPr>
          <w:rFonts w:hint="cs"/>
          <w:rtl/>
        </w:rPr>
        <w:t xml:space="preserve"> </w:t>
      </w:r>
      <w:r w:rsidRPr="00473693">
        <w:rPr>
          <w:rStyle w:val="af7"/>
          <w:rFonts w:eastAsia="Guttman Hodes" w:hint="cs"/>
          <w:rtl/>
        </w:rPr>
        <w:t xml:space="preserve">(עי' אות </w:t>
      </w:r>
      <w:r w:rsidRPr="00473693">
        <w:rPr>
          <w:rStyle w:val="af7"/>
          <w:rFonts w:eastAsia="Guttman Hodes"/>
          <w:rtl/>
        </w:rPr>
        <w:fldChar w:fldCharType="begin"/>
      </w:r>
      <w:r w:rsidRPr="00473693">
        <w:rPr>
          <w:rStyle w:val="af7"/>
          <w:rFonts w:eastAsia="Guttman Hodes"/>
          <w:rtl/>
        </w:rPr>
        <w:instrText xml:space="preserve"> </w:instrText>
      </w:r>
      <w:r w:rsidRPr="00473693">
        <w:rPr>
          <w:rStyle w:val="af7"/>
          <w:rFonts w:eastAsia="Guttman Hodes" w:hint="cs"/>
        </w:rPr>
        <w:instrText>REF</w:instrText>
      </w:r>
      <w:r w:rsidRPr="00473693">
        <w:rPr>
          <w:rStyle w:val="af7"/>
          <w:rFonts w:eastAsia="Guttman Hodes" w:hint="cs"/>
          <w:rtl/>
        </w:rPr>
        <w:instrText xml:space="preserve"> _</w:instrText>
      </w:r>
      <w:r w:rsidRPr="00473693">
        <w:rPr>
          <w:rStyle w:val="af7"/>
          <w:rFonts w:eastAsia="Guttman Hodes" w:hint="cs"/>
        </w:rPr>
        <w:instrText>Ref62324951 \r \h</w:instrText>
      </w:r>
      <w:r w:rsidRPr="00473693">
        <w:rPr>
          <w:rStyle w:val="af7"/>
          <w:rFonts w:eastAsia="Guttman Hodes"/>
          <w:rtl/>
        </w:rPr>
        <w:instrText xml:space="preserve"> </w:instrText>
      </w:r>
      <w:r w:rsidRPr="00473693">
        <w:rPr>
          <w:rStyle w:val="af7"/>
          <w:rFonts w:eastAsia="Guttman Hodes"/>
          <w:rtl/>
        </w:rPr>
      </w:r>
      <w:r w:rsidRPr="00473693">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473693">
        <w:rPr>
          <w:rStyle w:val="af7"/>
          <w:rFonts w:eastAsia="Guttman Hodes"/>
          <w:rtl/>
        </w:rPr>
        <w:fldChar w:fldCharType="end"/>
      </w:r>
      <w:r>
        <w:rPr>
          <w:rFonts w:hint="cs"/>
          <w:rtl/>
        </w:rPr>
        <w:t>, וס"ל דכל שחזר וטען לפני שבאו העדים נאמן, ורק לאחר שהכחישוהו העדים אינו נאמן לחזור ולטעון,</w:t>
      </w:r>
      <w:r w:rsidRPr="00E34D16">
        <w:rPr>
          <w:rFonts w:hint="cs"/>
          <w:rtl/>
        </w:rPr>
        <w:t xml:space="preserve"> </w:t>
      </w:r>
      <w:r>
        <w:rPr>
          <w:rFonts w:hint="cs"/>
          <w:rtl/>
        </w:rPr>
        <w:t xml:space="preserve">ועי' במה שביארו </w:t>
      </w:r>
      <w:r w:rsidRPr="002A7EAC">
        <w:rPr>
          <w:rStyle w:val="af9"/>
          <w:rFonts w:hint="cs"/>
          <w:rtl/>
        </w:rPr>
        <w:t>הקוב"ש</w:t>
      </w:r>
      <w:r>
        <w:rPr>
          <w:rFonts w:hint="cs"/>
          <w:rtl/>
        </w:rPr>
        <w:t xml:space="preserve"> </w:t>
      </w:r>
      <w:r w:rsidRPr="00C657B4">
        <w:rPr>
          <w:rStyle w:val="af7"/>
          <w:rFonts w:eastAsia="Guttman Hodes" w:hint="cs"/>
          <w:rtl/>
        </w:rPr>
        <w:t xml:space="preserve">(עי' אות </w:t>
      </w:r>
      <w:r w:rsidRPr="00C657B4">
        <w:rPr>
          <w:rStyle w:val="af7"/>
          <w:rFonts w:eastAsia="Guttman Hodes"/>
          <w:rtl/>
        </w:rPr>
        <w:fldChar w:fldCharType="begin"/>
      </w:r>
      <w:r w:rsidRPr="00C657B4">
        <w:rPr>
          <w:rStyle w:val="af7"/>
          <w:rFonts w:eastAsia="Guttman Hodes"/>
          <w:rtl/>
        </w:rPr>
        <w:instrText xml:space="preserve"> </w:instrText>
      </w:r>
      <w:r w:rsidRPr="00C657B4">
        <w:rPr>
          <w:rStyle w:val="af7"/>
          <w:rFonts w:eastAsia="Guttman Hodes" w:hint="cs"/>
        </w:rPr>
        <w:instrText>REF</w:instrText>
      </w:r>
      <w:r w:rsidRPr="00C657B4">
        <w:rPr>
          <w:rStyle w:val="af7"/>
          <w:rFonts w:eastAsia="Guttman Hodes" w:hint="cs"/>
          <w:rtl/>
        </w:rPr>
        <w:instrText xml:space="preserve"> _</w:instrText>
      </w:r>
      <w:r w:rsidRPr="00C657B4">
        <w:rPr>
          <w:rStyle w:val="af7"/>
          <w:rFonts w:eastAsia="Guttman Hodes" w:hint="cs"/>
        </w:rPr>
        <w:instrText>Ref62471537 \r \h</w:instrText>
      </w:r>
      <w:r w:rsidRPr="00C657B4">
        <w:rPr>
          <w:rStyle w:val="af7"/>
          <w:rFonts w:eastAsia="Guttman Hodes"/>
          <w:rtl/>
        </w:rPr>
        <w:instrText xml:space="preserve"> </w:instrText>
      </w:r>
      <w:r w:rsidRPr="00C657B4">
        <w:rPr>
          <w:rStyle w:val="af7"/>
          <w:rFonts w:eastAsia="Guttman Hodes"/>
          <w:rtl/>
        </w:rPr>
      </w:r>
      <w:r w:rsidRPr="00C657B4">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C657B4">
        <w:rPr>
          <w:rStyle w:val="af7"/>
          <w:rFonts w:eastAsia="Guttman Hodes"/>
          <w:rtl/>
        </w:rPr>
        <w:fldChar w:fldCharType="end"/>
      </w:r>
      <w:r w:rsidRPr="00C657B4">
        <w:rPr>
          <w:rStyle w:val="af7"/>
          <w:rFonts w:eastAsia="Guttman Hodes" w:hint="cs"/>
          <w:rtl/>
        </w:rPr>
        <w:t xml:space="preserve"> </w:t>
      </w:r>
      <w:r>
        <w:rPr>
          <w:rStyle w:val="af9"/>
          <w:rFonts w:hint="cs"/>
          <w:rtl/>
        </w:rPr>
        <w:t>ו</w:t>
      </w:r>
      <w:r w:rsidRPr="00E34D16">
        <w:rPr>
          <w:rStyle w:val="af9"/>
          <w:rFonts w:hint="cs"/>
          <w:rtl/>
        </w:rPr>
        <w:t>בחי' רבי נחום</w:t>
      </w:r>
      <w:r>
        <w:rPr>
          <w:rFonts w:hint="cs"/>
          <w:rtl/>
        </w:rPr>
        <w:t xml:space="preserve"> </w:t>
      </w:r>
      <w:r w:rsidRPr="008534FA">
        <w:rPr>
          <w:rStyle w:val="af7"/>
          <w:rFonts w:eastAsia="Guttman Hodes" w:hint="cs"/>
          <w:rtl/>
        </w:rPr>
        <w:t xml:space="preserve">(עי' אות </w:t>
      </w:r>
      <w:r w:rsidRPr="008534FA">
        <w:rPr>
          <w:rStyle w:val="af7"/>
          <w:rFonts w:eastAsia="Guttman Hodes"/>
          <w:rtl/>
        </w:rPr>
        <w:fldChar w:fldCharType="begin"/>
      </w:r>
      <w:r w:rsidRPr="008534FA">
        <w:rPr>
          <w:rStyle w:val="af7"/>
          <w:rFonts w:eastAsia="Guttman Hodes"/>
          <w:rtl/>
        </w:rPr>
        <w:instrText xml:space="preserve"> </w:instrText>
      </w:r>
      <w:r w:rsidRPr="008534FA">
        <w:rPr>
          <w:rStyle w:val="af7"/>
          <w:rFonts w:eastAsia="Guttman Hodes" w:hint="cs"/>
        </w:rPr>
        <w:instrText>REF</w:instrText>
      </w:r>
      <w:r w:rsidRPr="008534FA">
        <w:rPr>
          <w:rStyle w:val="af7"/>
          <w:rFonts w:eastAsia="Guttman Hodes" w:hint="cs"/>
          <w:rtl/>
        </w:rPr>
        <w:instrText xml:space="preserve"> _</w:instrText>
      </w:r>
      <w:r w:rsidRPr="008534FA">
        <w:rPr>
          <w:rStyle w:val="af7"/>
          <w:rFonts w:eastAsia="Guttman Hodes" w:hint="cs"/>
        </w:rPr>
        <w:instrText>Ref62471919 \r \h</w:instrText>
      </w:r>
      <w:r w:rsidRPr="008534FA">
        <w:rPr>
          <w:rStyle w:val="af7"/>
          <w:rFonts w:eastAsia="Guttman Hodes"/>
          <w:rtl/>
        </w:rPr>
        <w:instrText xml:space="preserve"> </w:instrText>
      </w:r>
      <w:r w:rsidRPr="008534FA">
        <w:rPr>
          <w:rStyle w:val="af7"/>
          <w:rFonts w:eastAsia="Guttman Hodes"/>
          <w:rtl/>
        </w:rPr>
      </w:r>
      <w:r w:rsidRPr="008534FA">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sidRPr="008534FA">
        <w:rPr>
          <w:rStyle w:val="af7"/>
          <w:rFonts w:eastAsia="Guttman Hodes"/>
          <w:rtl/>
        </w:rPr>
        <w:fldChar w:fldCharType="end"/>
      </w:r>
      <w:r w:rsidRPr="008534FA">
        <w:rPr>
          <w:rStyle w:val="af7"/>
          <w:rFonts w:eastAsia="Guttman Hodes" w:hint="cs"/>
          <w:rtl/>
        </w:rPr>
        <w:t xml:space="preserve"> </w:t>
      </w:r>
      <w:r w:rsidRPr="008534FA">
        <w:rPr>
          <w:rStyle w:val="af9"/>
          <w:rFonts w:hint="cs"/>
          <w:rtl/>
        </w:rPr>
        <w:t>ובחי' רבי שמואל</w:t>
      </w:r>
      <w:r w:rsidRPr="008534FA">
        <w:rPr>
          <w:rStyle w:val="af7"/>
          <w:rFonts w:eastAsia="Guttman Hodes" w:hint="cs"/>
          <w:rtl/>
        </w:rPr>
        <w:t xml:space="preserve"> (עי' אות  </w:t>
      </w:r>
      <w:r w:rsidRPr="008534FA">
        <w:rPr>
          <w:rStyle w:val="af7"/>
          <w:rFonts w:eastAsia="Guttman Hodes" w:hint="cs"/>
          <w:rtl/>
        </w:rPr>
        <w:fldChar w:fldCharType="begin"/>
      </w:r>
      <w:r w:rsidRPr="008534FA">
        <w:rPr>
          <w:rStyle w:val="af7"/>
          <w:rFonts w:eastAsia="Guttman Hodes" w:hint="cs"/>
          <w:rtl/>
        </w:rPr>
        <w:instrText xml:space="preserve"> </w:instrText>
      </w:r>
      <w:r w:rsidRPr="008534FA">
        <w:rPr>
          <w:rStyle w:val="af7"/>
          <w:rFonts w:eastAsia="Guttman Hodes"/>
        </w:rPr>
        <w:instrText>REF</w:instrText>
      </w:r>
      <w:r w:rsidRPr="008534FA">
        <w:rPr>
          <w:rStyle w:val="af7"/>
          <w:rFonts w:eastAsia="Guttman Hodes" w:hint="cs"/>
          <w:rtl/>
        </w:rPr>
        <w:instrText xml:space="preserve"> _</w:instrText>
      </w:r>
      <w:r w:rsidRPr="008534FA">
        <w:rPr>
          <w:rStyle w:val="af7"/>
          <w:rFonts w:eastAsia="Guttman Hodes"/>
        </w:rPr>
        <w:instrText>Ref62483734 \r \h</w:instrText>
      </w:r>
      <w:r w:rsidRPr="008534FA">
        <w:rPr>
          <w:rStyle w:val="af7"/>
          <w:rFonts w:eastAsia="Guttman Hodes" w:hint="cs"/>
          <w:rtl/>
        </w:rPr>
        <w:instrText xml:space="preserve"> </w:instrText>
      </w:r>
      <w:r w:rsidRPr="008534FA">
        <w:rPr>
          <w:rStyle w:val="af7"/>
          <w:rFonts w:eastAsia="Guttman Hodes" w:hint="cs"/>
          <w:rtl/>
        </w:rPr>
      </w:r>
      <w:r w:rsidRPr="008534FA">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קכ</w:t>
      </w:r>
      <w:r w:rsidR="00265073">
        <w:rPr>
          <w:rStyle w:val="af7"/>
          <w:rFonts w:eastAsia="Guttman Hodes"/>
          <w:rtl/>
        </w:rPr>
        <w:t>)</w:t>
      </w:r>
      <w:r w:rsidRPr="008534FA">
        <w:rPr>
          <w:rStyle w:val="af7"/>
          <w:rFonts w:eastAsia="Guttman Hodes" w:hint="cs"/>
          <w:rtl/>
        </w:rPr>
        <w:fldChar w:fldCharType="end"/>
      </w:r>
      <w:r w:rsidRPr="008534FA">
        <w:rPr>
          <w:rStyle w:val="af7"/>
          <w:rFonts w:eastAsia="Guttman Hodes" w:hint="cs"/>
          <w:rtl/>
        </w:rPr>
        <w:t xml:space="preserve"> </w:t>
      </w:r>
      <w:r w:rsidRPr="008534FA">
        <w:rPr>
          <w:rStyle w:val="af9"/>
          <w:rFonts w:hint="cs"/>
          <w:rtl/>
        </w:rPr>
        <w:t>ובאבי עזרי</w:t>
      </w:r>
      <w:r>
        <w:rPr>
          <w:rFonts w:hint="cs"/>
          <w:rtl/>
        </w:rPr>
        <w:t xml:space="preserve"> </w:t>
      </w:r>
      <w:r w:rsidRPr="008534FA">
        <w:rPr>
          <w:rStyle w:val="af7"/>
          <w:rFonts w:eastAsiaTheme="minorHAnsi" w:hint="cs"/>
          <w:rtl/>
        </w:rPr>
        <w:t xml:space="preserve">(עי' אות </w:t>
      </w:r>
      <w:r w:rsidRPr="008534FA">
        <w:rPr>
          <w:rStyle w:val="af7"/>
          <w:rFonts w:eastAsiaTheme="minorHAnsi" w:hint="cs"/>
          <w:rtl/>
        </w:rPr>
        <w:fldChar w:fldCharType="begin"/>
      </w:r>
      <w:r w:rsidRPr="008534FA">
        <w:rPr>
          <w:rStyle w:val="af7"/>
          <w:rFonts w:eastAsiaTheme="minorHAnsi" w:hint="cs"/>
          <w:rtl/>
        </w:rPr>
        <w:instrText xml:space="preserve"> </w:instrText>
      </w:r>
      <w:r w:rsidRPr="008534FA">
        <w:rPr>
          <w:rStyle w:val="af7"/>
          <w:rFonts w:eastAsiaTheme="minorHAnsi"/>
        </w:rPr>
        <w:instrText>REF</w:instrText>
      </w:r>
      <w:r w:rsidRPr="008534FA">
        <w:rPr>
          <w:rStyle w:val="af7"/>
          <w:rFonts w:eastAsiaTheme="minorHAnsi" w:hint="cs"/>
          <w:rtl/>
        </w:rPr>
        <w:instrText xml:space="preserve"> _</w:instrText>
      </w:r>
      <w:r w:rsidRPr="008534FA">
        <w:rPr>
          <w:rStyle w:val="af7"/>
          <w:rFonts w:eastAsiaTheme="minorHAnsi"/>
        </w:rPr>
        <w:instrText>Ref62484130 \r \h</w:instrText>
      </w:r>
      <w:r w:rsidRPr="008534FA">
        <w:rPr>
          <w:rStyle w:val="af7"/>
          <w:rFonts w:eastAsiaTheme="minorHAnsi" w:hint="cs"/>
          <w:rtl/>
        </w:rPr>
        <w:instrText xml:space="preserve"> </w:instrText>
      </w:r>
      <w:r w:rsidRPr="008534FA">
        <w:rPr>
          <w:rStyle w:val="af7"/>
          <w:rFonts w:eastAsiaTheme="minorHAnsi" w:hint="cs"/>
          <w:rtl/>
        </w:rPr>
      </w:r>
      <w:r w:rsidRPr="008534FA">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קכב</w:t>
      </w:r>
      <w:r w:rsidR="00265073">
        <w:rPr>
          <w:rStyle w:val="af7"/>
          <w:rFonts w:eastAsiaTheme="minorHAnsi"/>
          <w:rtl/>
        </w:rPr>
        <w:t>)</w:t>
      </w:r>
      <w:r w:rsidRPr="008534FA">
        <w:rPr>
          <w:rStyle w:val="af7"/>
          <w:rFonts w:eastAsiaTheme="minorHAnsi" w:hint="cs"/>
          <w:rtl/>
        </w:rPr>
        <w:fldChar w:fldCharType="end"/>
      </w:r>
      <w:r>
        <w:rPr>
          <w:rFonts w:hint="cs"/>
          <w:rtl/>
        </w:rPr>
        <w:t xml:space="preserve"> בפלוגתת </w:t>
      </w:r>
      <w:r w:rsidRPr="00E34D16">
        <w:rPr>
          <w:rStyle w:val="af9"/>
          <w:rFonts w:hint="cs"/>
          <w:rtl/>
        </w:rPr>
        <w:t>הר"י מגאש והיד רמ"ה</w:t>
      </w:r>
      <w:r>
        <w:rPr>
          <w:rFonts w:hint="cs"/>
          <w:rtl/>
        </w:rPr>
        <w:t xml:space="preserve">, וע"ע במה שהוסיף לבאר </w:t>
      </w:r>
      <w:r w:rsidRPr="00E6246F">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Ref62472483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Pr>
          <w:rStyle w:val="af7"/>
          <w:rFonts w:eastAsia="Guttman Hodes"/>
          <w:rtl/>
        </w:rPr>
        <w:fldChar w:fldCharType="end"/>
      </w:r>
      <w:r>
        <w:rPr>
          <w:rStyle w:val="af7"/>
          <w:rFonts w:eastAsia="Guttman Hodes" w:hint="cs"/>
          <w:rtl/>
        </w:rPr>
        <w:t xml:space="preserve"> </w:t>
      </w:r>
      <w:r>
        <w:rPr>
          <w:rFonts w:hint="cs"/>
          <w:rtl/>
        </w:rPr>
        <w:t>דנחלקו בגדר חוזר וטוען מפטור לפטור.</w:t>
      </w:r>
      <w:bookmarkEnd w:id="13220"/>
    </w:p>
    <w:p w:rsidR="00EC445E" w:rsidRPr="002A61AB" w:rsidRDefault="00EC445E" w:rsidP="00EC445E">
      <w:pPr>
        <w:pStyle w:val="a3"/>
        <w:rPr>
          <w:rtl/>
        </w:rPr>
      </w:pPr>
      <w:bookmarkStart w:id="13221" w:name="_Toc62453898"/>
      <w:bookmarkStart w:id="13222" w:name="_Toc62485610"/>
      <w:r>
        <w:rPr>
          <w:rFonts w:hint="cs"/>
          <w:rtl/>
        </w:rPr>
        <w:t>ביאור הב"י והב"ח ברמ"ה דבבאו עדים אח"כ חיישינן שידע שיבואו וחזר בו מחמת העדים</w:t>
      </w:r>
      <w:bookmarkEnd w:id="13221"/>
      <w:bookmarkEnd w:id="13222"/>
    </w:p>
    <w:p w:rsidR="00EC445E" w:rsidRPr="00D73A6E" w:rsidRDefault="00EC445E" w:rsidP="007E4E81">
      <w:pPr>
        <w:pStyle w:val="a0"/>
        <w:rPr>
          <w:rStyle w:val="afb"/>
          <w:rtl/>
        </w:rPr>
      </w:pPr>
      <w:bookmarkStart w:id="13223" w:name="_Ref62464629"/>
      <w:bookmarkStart w:id="13224" w:name="_Toc62074386"/>
      <w:bookmarkStart w:id="13225" w:name="_Toc62160827"/>
      <w:r>
        <w:rPr>
          <w:rFonts w:hint="cs"/>
          <w:rtl/>
        </w:rPr>
        <w:t xml:space="preserve">וביארו </w:t>
      </w:r>
      <w:r w:rsidRPr="00AE7AA8">
        <w:rPr>
          <w:rStyle w:val="af9"/>
          <w:rFonts w:hint="cs"/>
          <w:rtl/>
        </w:rPr>
        <w:t>הב"י</w:t>
      </w:r>
      <w:r w:rsidRPr="00616A8B">
        <w:rPr>
          <w:rStyle w:val="af7"/>
          <w:rFonts w:eastAsia="Guttman Hodes" w:hint="cs"/>
          <w:rtl/>
        </w:rPr>
        <w:t xml:space="preserve"> (סי' פ' א') </w:t>
      </w:r>
      <w:r w:rsidRPr="00AE7AA8">
        <w:rPr>
          <w:rStyle w:val="af9"/>
          <w:rFonts w:hint="cs"/>
          <w:rtl/>
        </w:rPr>
        <w:t>והב"ח</w:t>
      </w:r>
      <w:r>
        <w:rPr>
          <w:rFonts w:hint="cs"/>
          <w:rtl/>
        </w:rPr>
        <w:t xml:space="preserve"> </w:t>
      </w:r>
      <w:r w:rsidRPr="00616A8B">
        <w:rPr>
          <w:rStyle w:val="af7"/>
          <w:rFonts w:eastAsia="Guttman Hodes" w:hint="cs"/>
          <w:rtl/>
        </w:rPr>
        <w:t>(סי' פ' ד')</w:t>
      </w:r>
      <w:r>
        <w:rPr>
          <w:rFonts w:hint="cs"/>
          <w:rtl/>
        </w:rPr>
        <w:t xml:space="preserve"> את דברי </w:t>
      </w:r>
      <w:r w:rsidRPr="00AE7AA8">
        <w:rPr>
          <w:rStyle w:val="af9"/>
          <w:rFonts w:hint="cs"/>
          <w:rtl/>
        </w:rPr>
        <w:t>הטור</w:t>
      </w:r>
      <w:r>
        <w:rPr>
          <w:rFonts w:hint="cs"/>
          <w:rtl/>
        </w:rPr>
        <w:t xml:space="preserve"> </w:t>
      </w:r>
      <w:r w:rsidRPr="00616A8B">
        <w:rPr>
          <w:rStyle w:val="af7"/>
          <w:rFonts w:eastAsia="Guttman Hodes" w:hint="cs"/>
          <w:rtl/>
        </w:rPr>
        <w:t>(סי' פ')</w:t>
      </w:r>
      <w:r>
        <w:rPr>
          <w:rFonts w:hint="cs"/>
          <w:rtl/>
        </w:rPr>
        <w:t xml:space="preserve"> בשם </w:t>
      </w:r>
      <w:r w:rsidRPr="00AE7AA8">
        <w:rPr>
          <w:rStyle w:val="af9"/>
          <w:rFonts w:hint="cs"/>
          <w:rtl/>
        </w:rPr>
        <w:t>הרמ"ה</w:t>
      </w:r>
      <w:r>
        <w:rPr>
          <w:rFonts w:hint="cs"/>
          <w:rtl/>
        </w:rPr>
        <w:t xml:space="preserve"> דכל שבאו עדים אח"כ, חיישינן שהוא חזר מטענתו הראשונה כיון שיודע שיש עדים, ויבואו ויכחישו אותו. </w:t>
      </w:r>
      <w:r w:rsidRPr="00D73A6E">
        <w:rPr>
          <w:rStyle w:val="afb"/>
          <w:rFonts w:hint="cs"/>
          <w:rtl/>
        </w:rPr>
        <w:t xml:space="preserve">[ועי' </w:t>
      </w:r>
      <w:r w:rsidRPr="00616A8B">
        <w:rPr>
          <w:rStyle w:val="affa"/>
          <w:rFonts w:hint="cs"/>
          <w:rtl/>
        </w:rPr>
        <w:t>בקוב"ש</w:t>
      </w:r>
      <w:r w:rsidRPr="00D73A6E">
        <w:rPr>
          <w:rStyle w:val="afb"/>
          <w:rFonts w:hint="cs"/>
          <w:rtl/>
        </w:rPr>
        <w:t xml:space="preserve"> </w:t>
      </w:r>
      <w:r w:rsidRPr="00616A8B">
        <w:rPr>
          <w:rStyle w:val="aff6"/>
          <w:rFonts w:hint="cs"/>
          <w:rtl/>
        </w:rPr>
        <w:t>(או' קי"א)</w:t>
      </w:r>
      <w:r w:rsidRPr="00D73A6E">
        <w:rPr>
          <w:rStyle w:val="afb"/>
          <w:rFonts w:hint="cs"/>
          <w:rtl/>
        </w:rPr>
        <w:t xml:space="preserve"> דכתב דלפני </w:t>
      </w:r>
      <w:r w:rsidRPr="00616A8B">
        <w:rPr>
          <w:rStyle w:val="affa"/>
          <w:rFonts w:hint="cs"/>
          <w:rtl/>
        </w:rPr>
        <w:t>הב"י והב"ח</w:t>
      </w:r>
      <w:r>
        <w:rPr>
          <w:rStyle w:val="afb"/>
          <w:rFonts w:hint="cs"/>
          <w:rtl/>
        </w:rPr>
        <w:t xml:space="preserve"> </w:t>
      </w:r>
      <w:r w:rsidRPr="00D73A6E">
        <w:rPr>
          <w:rStyle w:val="afb"/>
          <w:rFonts w:hint="cs"/>
          <w:rtl/>
        </w:rPr>
        <w:t xml:space="preserve">לא היו דברי </w:t>
      </w:r>
      <w:r w:rsidRPr="00616A8B">
        <w:rPr>
          <w:rStyle w:val="affa"/>
          <w:rFonts w:hint="cs"/>
          <w:rtl/>
        </w:rPr>
        <w:t>היד רמ"ה</w:t>
      </w:r>
      <w:r w:rsidRPr="00D73A6E">
        <w:rPr>
          <w:rStyle w:val="afb"/>
          <w:rFonts w:hint="cs"/>
          <w:rtl/>
        </w:rPr>
        <w:t xml:space="preserve"> </w:t>
      </w:r>
      <w:r w:rsidRPr="00616A8B">
        <w:rPr>
          <w:rStyle w:val="aff6"/>
          <w:rFonts w:hint="cs"/>
          <w:rtl/>
        </w:rPr>
        <w:t xml:space="preserve">(עי' אות </w:t>
      </w:r>
      <w:r w:rsidRPr="00616A8B">
        <w:rPr>
          <w:rStyle w:val="aff6"/>
          <w:rtl/>
        </w:rPr>
        <w:fldChar w:fldCharType="begin"/>
      </w:r>
      <w:r w:rsidRPr="00616A8B">
        <w:rPr>
          <w:rStyle w:val="aff6"/>
          <w:rtl/>
        </w:rPr>
        <w:instrText xml:space="preserve"> </w:instrText>
      </w:r>
      <w:r w:rsidRPr="00616A8B">
        <w:rPr>
          <w:rStyle w:val="aff6"/>
          <w:rFonts w:hint="cs"/>
        </w:rPr>
        <w:instrText>REF</w:instrText>
      </w:r>
      <w:r w:rsidRPr="00616A8B">
        <w:rPr>
          <w:rStyle w:val="aff6"/>
          <w:rFonts w:hint="cs"/>
          <w:rtl/>
        </w:rPr>
        <w:instrText xml:space="preserve"> _</w:instrText>
      </w:r>
      <w:r w:rsidRPr="00616A8B">
        <w:rPr>
          <w:rStyle w:val="aff6"/>
          <w:rFonts w:hint="cs"/>
        </w:rPr>
        <w:instrText>Ref62324951 \r \h</w:instrText>
      </w:r>
      <w:r w:rsidRPr="00616A8B">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616A8B">
        <w:rPr>
          <w:rStyle w:val="aff6"/>
          <w:rtl/>
        </w:rPr>
      </w:r>
      <w:r w:rsidRPr="00616A8B">
        <w:rPr>
          <w:rStyle w:val="aff6"/>
          <w:rtl/>
        </w:rPr>
        <w:fldChar w:fldCharType="separate"/>
      </w:r>
      <w:r w:rsidR="00265073">
        <w:rPr>
          <w:rStyle w:val="aff6"/>
          <w:cs/>
        </w:rPr>
        <w:t>‎</w:t>
      </w:r>
      <w:r w:rsidR="00265073">
        <w:rPr>
          <w:rStyle w:val="aff6"/>
          <w:rtl/>
        </w:rPr>
        <w:t>ס)</w:t>
      </w:r>
      <w:r w:rsidRPr="00616A8B">
        <w:rPr>
          <w:rStyle w:val="aff6"/>
          <w:rtl/>
        </w:rPr>
        <w:fldChar w:fldCharType="end"/>
      </w:r>
      <w:r w:rsidRPr="00D73A6E">
        <w:rPr>
          <w:rStyle w:val="afb"/>
          <w:rFonts w:hint="cs"/>
          <w:rtl/>
        </w:rPr>
        <w:t xml:space="preserve"> שכתב דאינו נאמן דכיון שהוכחש ע"י העדים, א"כ אין לו מיגו דהיה יכול לעמוד בטענתו הראשונה ולהפטר, דהא אנן סהדי שהיה מתחייב בטענתו הראשונה, דהא באו עדים והכחישוהו, וא"כ אין לו מיגו כלל, וכתב </w:t>
      </w:r>
      <w:r w:rsidRPr="00616A8B">
        <w:rPr>
          <w:rStyle w:val="affa"/>
          <w:rFonts w:hint="cs"/>
          <w:rtl/>
        </w:rPr>
        <w:t>הקוב"ש</w:t>
      </w:r>
      <w:r w:rsidRPr="00D73A6E">
        <w:rPr>
          <w:rStyle w:val="afb"/>
          <w:rFonts w:hint="cs"/>
          <w:rtl/>
        </w:rPr>
        <w:t xml:space="preserve"> דזו קושית </w:t>
      </w:r>
      <w:r w:rsidRPr="00616A8B">
        <w:rPr>
          <w:rStyle w:val="affa"/>
          <w:rFonts w:hint="cs"/>
          <w:rtl/>
        </w:rPr>
        <w:t>הקצוה"ח</w:t>
      </w:r>
      <w:r>
        <w:rPr>
          <w:rFonts w:hint="cs"/>
          <w:rtl/>
        </w:rPr>
        <w:t xml:space="preserve"> </w:t>
      </w:r>
      <w:r w:rsidRPr="009B5801">
        <w:rPr>
          <w:rStyle w:val="aff6"/>
          <w:rFonts w:hint="cs"/>
          <w:rtl/>
        </w:rPr>
        <w:t xml:space="preserve">(עי' אות </w:t>
      </w:r>
      <w:r w:rsidRPr="009B5801">
        <w:rPr>
          <w:rStyle w:val="aff6"/>
          <w:rtl/>
        </w:rPr>
        <w:fldChar w:fldCharType="begin"/>
      </w:r>
      <w:r w:rsidRPr="009B5801">
        <w:rPr>
          <w:rStyle w:val="aff6"/>
          <w:rtl/>
        </w:rPr>
        <w:instrText xml:space="preserve"> </w:instrText>
      </w:r>
      <w:r w:rsidRPr="009B5801">
        <w:rPr>
          <w:rStyle w:val="aff6"/>
          <w:rFonts w:hint="cs"/>
        </w:rPr>
        <w:instrText>REF</w:instrText>
      </w:r>
      <w:r w:rsidRPr="009B5801">
        <w:rPr>
          <w:rStyle w:val="aff6"/>
          <w:rFonts w:hint="cs"/>
          <w:rtl/>
        </w:rPr>
        <w:instrText xml:space="preserve"> _</w:instrText>
      </w:r>
      <w:r w:rsidRPr="009B5801">
        <w:rPr>
          <w:rStyle w:val="aff6"/>
          <w:rFonts w:hint="cs"/>
        </w:rPr>
        <w:instrText>Ref62158350 \r \h</w:instrText>
      </w:r>
      <w:r w:rsidRPr="009B5801">
        <w:rPr>
          <w:rStyle w:val="aff6"/>
          <w:rtl/>
        </w:rPr>
        <w:instrText xml:space="preserve"> </w:instrText>
      </w:r>
      <w:r w:rsidRPr="009B5801">
        <w:rPr>
          <w:rStyle w:val="aff6"/>
          <w:rtl/>
        </w:rPr>
      </w:r>
      <w:r w:rsidRPr="009B5801">
        <w:rPr>
          <w:rStyle w:val="aff6"/>
          <w:rtl/>
        </w:rPr>
        <w:fldChar w:fldCharType="separate"/>
      </w:r>
      <w:r w:rsidR="00265073">
        <w:rPr>
          <w:rStyle w:val="aff6"/>
          <w:cs/>
        </w:rPr>
        <w:t>‎</w:t>
      </w:r>
      <w:r w:rsidR="00265073">
        <w:rPr>
          <w:rStyle w:val="aff6"/>
          <w:rtl/>
        </w:rPr>
        <w:t>ע)</w:t>
      </w:r>
      <w:r w:rsidRPr="009B5801">
        <w:rPr>
          <w:rStyle w:val="aff6"/>
          <w:rtl/>
        </w:rPr>
        <w:fldChar w:fldCharType="end"/>
      </w:r>
      <w:r>
        <w:rPr>
          <w:rFonts w:hint="cs"/>
          <w:rtl/>
        </w:rPr>
        <w:t xml:space="preserve"> </w:t>
      </w:r>
      <w:r w:rsidRPr="00D73A6E">
        <w:rPr>
          <w:rStyle w:val="afb"/>
          <w:rFonts w:hint="cs"/>
          <w:rtl/>
        </w:rPr>
        <w:t xml:space="preserve">על </w:t>
      </w:r>
      <w:r w:rsidRPr="00616A8B">
        <w:rPr>
          <w:rStyle w:val="affa"/>
          <w:rFonts w:hint="cs"/>
          <w:rtl/>
        </w:rPr>
        <w:t>הר"י מגאש</w:t>
      </w:r>
      <w:r>
        <w:rPr>
          <w:rStyle w:val="afb"/>
          <w:rFonts w:hint="cs"/>
          <w:rtl/>
        </w:rPr>
        <w:t xml:space="preserve">, ועי' במה שביאר </w:t>
      </w:r>
      <w:r w:rsidRPr="00222D7E">
        <w:rPr>
          <w:rStyle w:val="affa"/>
          <w:rtl/>
        </w:rPr>
        <w:t>בחי' רבי שמואל</w:t>
      </w:r>
      <w:r w:rsidRPr="005B3DBF">
        <w:rPr>
          <w:rStyle w:val="af7"/>
          <w:rFonts w:eastAsia="Guttman Hodes"/>
          <w:rtl/>
        </w:rPr>
        <w:t xml:space="preserve"> </w:t>
      </w:r>
      <w:r w:rsidRPr="008534FA">
        <w:rPr>
          <w:rStyle w:val="aff6"/>
          <w:rtl/>
        </w:rPr>
        <w:t xml:space="preserve">(סי' ח' או' </w:t>
      </w:r>
      <w:r w:rsidRPr="008534FA">
        <w:rPr>
          <w:rStyle w:val="aff6"/>
          <w:rFonts w:hint="cs"/>
          <w:rtl/>
        </w:rPr>
        <w:t>ו'</w:t>
      </w:r>
      <w:r w:rsidRPr="008534FA">
        <w:rPr>
          <w:rStyle w:val="aff6"/>
          <w:rtl/>
        </w:rPr>
        <w:t>)</w:t>
      </w:r>
      <w:r>
        <w:rPr>
          <w:rStyle w:val="afb"/>
          <w:rFonts w:hint="cs"/>
          <w:rtl/>
        </w:rPr>
        <w:t xml:space="preserve"> את דברי </w:t>
      </w:r>
      <w:r w:rsidRPr="00616A8B">
        <w:rPr>
          <w:rStyle w:val="affa"/>
          <w:rFonts w:hint="cs"/>
          <w:rtl/>
        </w:rPr>
        <w:t>הב"י</w:t>
      </w:r>
      <w:r w:rsidRPr="00D73A6E">
        <w:rPr>
          <w:rStyle w:val="afb"/>
          <w:rFonts w:hint="cs"/>
          <w:rtl/>
        </w:rPr>
        <w:t>].</w:t>
      </w:r>
      <w:bookmarkEnd w:id="13223"/>
    </w:p>
    <w:p w:rsidR="00EC445E" w:rsidRDefault="00EC445E" w:rsidP="00EC445E">
      <w:pPr>
        <w:pStyle w:val="1"/>
      </w:pPr>
      <w:bookmarkStart w:id="13226" w:name="_Toc62420120"/>
      <w:bookmarkStart w:id="13227" w:name="_Toc62452597"/>
      <w:bookmarkStart w:id="13228" w:name="_Toc62453899"/>
      <w:bookmarkStart w:id="13229" w:name="_Toc62485611"/>
      <w:bookmarkStart w:id="13230" w:name="_Toc62385989"/>
      <w:bookmarkStart w:id="13231" w:name="_Toc62420126"/>
      <w:bookmarkStart w:id="13232" w:name="_Toc62452619"/>
      <w:r>
        <w:rPr>
          <w:rFonts w:hint="cs"/>
          <w:rtl/>
        </w:rPr>
        <w:t xml:space="preserve">דברי המאירי דלדעת הר"י מגאש </w:t>
      </w:r>
      <w:bookmarkEnd w:id="13226"/>
      <w:r>
        <w:rPr>
          <w:rFonts w:hint="cs"/>
          <w:rtl/>
        </w:rPr>
        <w:t>בראה עדים באים לא נאמן</w:t>
      </w:r>
      <w:bookmarkEnd w:id="13227"/>
      <w:bookmarkEnd w:id="13228"/>
      <w:bookmarkEnd w:id="13229"/>
    </w:p>
    <w:p w:rsidR="00EC445E" w:rsidRPr="0002519A" w:rsidRDefault="00EC445E" w:rsidP="00EC445E">
      <w:pPr>
        <w:pStyle w:val="a3"/>
        <w:rPr>
          <w:rtl/>
        </w:rPr>
      </w:pPr>
      <w:bookmarkStart w:id="13233" w:name="_Toc62452598"/>
      <w:bookmarkStart w:id="13234" w:name="_Toc62453900"/>
      <w:bookmarkStart w:id="13235" w:name="_Toc62485612"/>
      <w:r>
        <w:rPr>
          <w:rFonts w:hint="cs"/>
          <w:rtl/>
        </w:rPr>
        <w:t>דברי המאירי דלדעת הר"י מגאש כל שראה שהעדים באים חשיב שחזר אחר הכחשת העדים</w:t>
      </w:r>
      <w:bookmarkEnd w:id="13233"/>
      <w:bookmarkEnd w:id="13234"/>
      <w:bookmarkEnd w:id="13235"/>
    </w:p>
    <w:p w:rsidR="00EC445E" w:rsidRDefault="00EC445E" w:rsidP="007E4E81">
      <w:pPr>
        <w:pStyle w:val="a0"/>
        <w:rPr>
          <w:rtl/>
        </w:rPr>
      </w:pPr>
      <w:bookmarkStart w:id="13236" w:name="_Ref62464131"/>
      <w:r>
        <w:rPr>
          <w:rFonts w:hint="cs"/>
          <w:rtl/>
        </w:rPr>
        <w:t xml:space="preserve">הביא </w:t>
      </w:r>
      <w:r w:rsidRPr="00463428">
        <w:rPr>
          <w:rStyle w:val="af9"/>
          <w:rFonts w:hint="cs"/>
          <w:rtl/>
        </w:rPr>
        <w:t>המאירי</w:t>
      </w:r>
      <w:r>
        <w:rPr>
          <w:rFonts w:hint="cs"/>
          <w:rtl/>
        </w:rPr>
        <w:t xml:space="preserve"> </w:t>
      </w:r>
      <w:r w:rsidRPr="00855F74">
        <w:rPr>
          <w:rStyle w:val="af7"/>
          <w:rFonts w:eastAsia="Guttman Hodes" w:hint="cs"/>
          <w:rtl/>
        </w:rPr>
        <w:t>(ד"ה זה)</w:t>
      </w:r>
      <w:r w:rsidRPr="00616A8B">
        <w:rPr>
          <w:rStyle w:val="af7"/>
          <w:rFonts w:eastAsia="Guttman Hodes" w:hint="cs"/>
          <w:rtl/>
        </w:rPr>
        <w:t xml:space="preserve"> </w:t>
      </w:r>
      <w:r>
        <w:rPr>
          <w:rFonts w:hint="cs"/>
          <w:rtl/>
        </w:rPr>
        <w:t xml:space="preserve">את דברי </w:t>
      </w:r>
      <w:r w:rsidRPr="00463428">
        <w:rPr>
          <w:rStyle w:val="af9"/>
          <w:rFonts w:hint="cs"/>
          <w:rtl/>
        </w:rPr>
        <w:t>הר"י מגאש</w:t>
      </w:r>
      <w:r>
        <w:rPr>
          <w:rFonts w:hint="cs"/>
          <w:rtl/>
        </w:rPr>
        <w:t xml:space="preserve"> [</w:t>
      </w:r>
      <w:r w:rsidRPr="00463428">
        <w:rPr>
          <w:rStyle w:val="af9"/>
          <w:rFonts w:hint="cs"/>
          <w:rtl/>
        </w:rPr>
        <w:t>גאוני</w:t>
      </w:r>
      <w:r>
        <w:rPr>
          <w:rFonts w:hint="cs"/>
          <w:rtl/>
        </w:rPr>
        <w:t xml:space="preserve"> </w:t>
      </w:r>
      <w:r w:rsidRPr="00463428">
        <w:rPr>
          <w:rStyle w:val="af9"/>
          <w:rFonts w:hint="cs"/>
          <w:rtl/>
        </w:rPr>
        <w:t>ספרד</w:t>
      </w:r>
      <w:r>
        <w:rPr>
          <w:rFonts w:hint="cs"/>
          <w:rtl/>
        </w:rPr>
        <w:t>]</w:t>
      </w:r>
      <w:r w:rsidRPr="00855F74">
        <w:rPr>
          <w:rStyle w:val="af7"/>
          <w:rFonts w:eastAsia="Guttman Hodes" w:hint="cs"/>
          <w:rtl/>
        </w:rPr>
        <w:t xml:space="preserve"> (עי'</w:t>
      </w:r>
      <w:r w:rsidRPr="00616A8B">
        <w:rPr>
          <w:rStyle w:val="af7"/>
          <w:rFonts w:eastAsia="Guttman Hodes" w:hint="cs"/>
          <w:rtl/>
        </w:rPr>
        <w:t xml:space="preserve"> </w:t>
      </w:r>
      <w:r w:rsidRPr="00855F74">
        <w:rPr>
          <w:rStyle w:val="af7"/>
          <w:rFonts w:eastAsia="Guttman Hodes" w:hint="cs"/>
          <w:rtl/>
        </w:rPr>
        <w:t xml:space="preserve">אות </w:t>
      </w:r>
      <w:r w:rsidRPr="00855F74">
        <w:rPr>
          <w:rStyle w:val="af7"/>
          <w:rFonts w:eastAsia="Guttman Hodes"/>
          <w:rtl/>
        </w:rPr>
        <w:fldChar w:fldCharType="begin"/>
      </w:r>
      <w:r w:rsidRPr="00855F74">
        <w:rPr>
          <w:rStyle w:val="af7"/>
          <w:rFonts w:eastAsia="Guttman Hodes"/>
          <w:rtl/>
        </w:rPr>
        <w:instrText xml:space="preserve"> </w:instrText>
      </w:r>
      <w:r w:rsidRPr="00855F74">
        <w:rPr>
          <w:rStyle w:val="af7"/>
          <w:rFonts w:eastAsia="Guttman Hodes" w:hint="cs"/>
        </w:rPr>
        <w:instrText>REF</w:instrText>
      </w:r>
      <w:r w:rsidRPr="00855F74">
        <w:rPr>
          <w:rStyle w:val="af7"/>
          <w:rFonts w:eastAsia="Guttman Hodes" w:hint="cs"/>
          <w:rtl/>
        </w:rPr>
        <w:instrText xml:space="preserve"> _</w:instrText>
      </w:r>
      <w:r w:rsidRPr="00855F74">
        <w:rPr>
          <w:rStyle w:val="af7"/>
          <w:rFonts w:eastAsia="Guttman Hodes" w:hint="cs"/>
        </w:rPr>
        <w:instrText>Ref61987752 \r \h</w:instrText>
      </w:r>
      <w:r w:rsidRPr="00855F7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55F74">
        <w:rPr>
          <w:rStyle w:val="af7"/>
          <w:rFonts w:eastAsia="Guttman Hodes"/>
          <w:rtl/>
        </w:rPr>
      </w:r>
      <w:r w:rsidRPr="00855F74">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855F74">
        <w:rPr>
          <w:rStyle w:val="af7"/>
          <w:rFonts w:eastAsia="Guttman Hodes"/>
          <w:rtl/>
        </w:rPr>
        <w:fldChar w:fldCharType="end"/>
      </w:r>
      <w:r w:rsidRPr="00616A8B">
        <w:rPr>
          <w:rStyle w:val="af7"/>
          <w:rFonts w:eastAsia="Guttman Hodes" w:hint="cs"/>
          <w:rtl/>
        </w:rPr>
        <w:t xml:space="preserve"> </w:t>
      </w:r>
      <w:r>
        <w:rPr>
          <w:rFonts w:hint="cs"/>
          <w:rtl/>
        </w:rPr>
        <w:t xml:space="preserve">דאם לא הכחישוהו עדים נאמן לחזור ולטעון, וכתב </w:t>
      </w:r>
      <w:r w:rsidRPr="00463428">
        <w:rPr>
          <w:rStyle w:val="af9"/>
          <w:rFonts w:hint="cs"/>
          <w:rtl/>
        </w:rPr>
        <w:t>המאירי</w:t>
      </w:r>
      <w:r>
        <w:rPr>
          <w:rFonts w:hint="cs"/>
          <w:rtl/>
        </w:rPr>
        <w:t xml:space="preserve"> דמ"מ אם ראה את העדים ממשמשין ובאים, וחזר וטען, חשיב כמי שטען לאחר שהכחישוהו העדים.</w:t>
      </w:r>
      <w:bookmarkEnd w:id="13236"/>
    </w:p>
    <w:p w:rsidR="00EC445E" w:rsidRDefault="00EC445E" w:rsidP="00EC445E">
      <w:pPr>
        <w:pStyle w:val="1"/>
        <w:rPr>
          <w:rtl/>
        </w:rPr>
      </w:pPr>
      <w:bookmarkStart w:id="13237" w:name="_Toc62485613"/>
      <w:bookmarkStart w:id="13238" w:name="_Toc62453901"/>
      <w:r>
        <w:rPr>
          <w:rFonts w:hint="cs"/>
          <w:rtl/>
        </w:rPr>
        <w:t>דברי החת"ס דמשמע ברשב"ם ובמ"מ כדעת היד רמ"ה</w:t>
      </w:r>
      <w:bookmarkEnd w:id="13237"/>
    </w:p>
    <w:p w:rsidR="00EC445E" w:rsidRDefault="00EC445E" w:rsidP="00EC445E">
      <w:pPr>
        <w:pStyle w:val="a3"/>
        <w:rPr>
          <w:rtl/>
        </w:rPr>
      </w:pPr>
      <w:bookmarkStart w:id="13239" w:name="_Toc62485614"/>
      <w:r>
        <w:rPr>
          <w:rFonts w:hint="cs"/>
          <w:rtl/>
        </w:rPr>
        <w:t>דברי החת"ס דכוונת המ"מ לומר דבסוגיין איירי שבאו עדים קודם וה"ה בבאו אח"כ דלא נאמן</w:t>
      </w:r>
      <w:bookmarkEnd w:id="13239"/>
    </w:p>
    <w:p w:rsidR="00EC445E" w:rsidRDefault="00EC445E" w:rsidP="007E4E81">
      <w:pPr>
        <w:pStyle w:val="a0"/>
        <w:rPr>
          <w:rtl/>
        </w:rPr>
      </w:pPr>
      <w:bookmarkStart w:id="13240" w:name="_Ref62124995"/>
      <w:r>
        <w:rPr>
          <w:rFonts w:hint="cs"/>
          <w:rtl/>
        </w:rPr>
        <w:t xml:space="preserve">במ"ש </w:t>
      </w:r>
      <w:r w:rsidRPr="00EC5CF1">
        <w:rPr>
          <w:rStyle w:val="af9"/>
          <w:rFonts w:hint="cs"/>
          <w:rtl/>
        </w:rPr>
        <w:t>המ"מ</w:t>
      </w:r>
      <w:r>
        <w:rPr>
          <w:rFonts w:hint="cs"/>
          <w:rtl/>
        </w:rPr>
        <w:t xml:space="preserve"> </w:t>
      </w:r>
      <w:r w:rsidRPr="00EC5CF1">
        <w:rPr>
          <w:rStyle w:val="af7"/>
          <w:rFonts w:eastAsia="Guttman Hodes" w:hint="cs"/>
          <w:rtl/>
        </w:rPr>
        <w:t xml:space="preserve">(עי' אות </w:t>
      </w:r>
      <w:r w:rsidRPr="00EC5CF1">
        <w:rPr>
          <w:rStyle w:val="af7"/>
          <w:rFonts w:eastAsia="Guttman Hodes"/>
          <w:rtl/>
        </w:rPr>
        <w:fldChar w:fldCharType="begin"/>
      </w:r>
      <w:r w:rsidRPr="00EC5CF1">
        <w:rPr>
          <w:rStyle w:val="af7"/>
          <w:rFonts w:eastAsia="Guttman Hodes"/>
          <w:rtl/>
        </w:rPr>
        <w:instrText xml:space="preserve"> </w:instrText>
      </w:r>
      <w:r w:rsidRPr="00EC5CF1">
        <w:rPr>
          <w:rStyle w:val="af7"/>
          <w:rFonts w:eastAsia="Guttman Hodes" w:hint="cs"/>
        </w:rPr>
        <w:instrText>REF</w:instrText>
      </w:r>
      <w:r w:rsidRPr="00EC5CF1">
        <w:rPr>
          <w:rStyle w:val="af7"/>
          <w:rFonts w:eastAsia="Guttman Hodes" w:hint="cs"/>
          <w:rtl/>
        </w:rPr>
        <w:instrText xml:space="preserve"> _</w:instrText>
      </w:r>
      <w:r w:rsidRPr="00EC5CF1">
        <w:rPr>
          <w:rStyle w:val="af7"/>
          <w:rFonts w:eastAsia="Guttman Hodes" w:hint="cs"/>
        </w:rPr>
        <w:instrText>Ref62125009 \r \h</w:instrText>
      </w:r>
      <w:r w:rsidRPr="00EC5CF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EC5CF1">
        <w:rPr>
          <w:rStyle w:val="af7"/>
          <w:rFonts w:eastAsia="Guttman Hodes"/>
          <w:rtl/>
        </w:rPr>
      </w:r>
      <w:r w:rsidRPr="00EC5CF1">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EC5CF1">
        <w:rPr>
          <w:rStyle w:val="af7"/>
          <w:rFonts w:eastAsia="Guttman Hodes"/>
          <w:rtl/>
        </w:rPr>
        <w:fldChar w:fldCharType="end"/>
      </w:r>
      <w:r>
        <w:rPr>
          <w:rFonts w:hint="cs"/>
          <w:rtl/>
        </w:rPr>
        <w:t xml:space="preserve"> דהמעשה בסוגיין איירי באופן שאחר טענתו הראשונה, באו העדים אחר והכחישוהו, ואח"כ חזר וטען, ביאר </w:t>
      </w:r>
      <w:r w:rsidRPr="00EC5CF1">
        <w:rPr>
          <w:rStyle w:val="af9"/>
          <w:rFonts w:hint="cs"/>
          <w:rtl/>
        </w:rPr>
        <w:t>החת"ס</w:t>
      </w:r>
      <w:r>
        <w:rPr>
          <w:rFonts w:hint="cs"/>
          <w:rtl/>
        </w:rPr>
        <w:t xml:space="preserve"> </w:t>
      </w:r>
      <w:r w:rsidRPr="00EC5CF1">
        <w:rPr>
          <w:rStyle w:val="af7"/>
          <w:rFonts w:eastAsia="Guttman Hodes" w:hint="cs"/>
          <w:rtl/>
        </w:rPr>
        <w:t>(ד"ה והלכתא)</w:t>
      </w:r>
      <w:r>
        <w:rPr>
          <w:rFonts w:hint="cs"/>
          <w:rtl/>
        </w:rPr>
        <w:t xml:space="preserve"> דכוונתו לומר דאפש"ל דכך היה המעשה, אך ה"ה אם באו העדים אח"כ דאינו נאמן לחזור ולטעון</w:t>
      </w:r>
      <w:r>
        <w:rPr>
          <w:rStyle w:val="af1"/>
          <w:rtl/>
        </w:rPr>
        <w:footnoteReference w:id="85"/>
      </w:r>
      <w:r>
        <w:rPr>
          <w:rFonts w:hint="cs"/>
          <w:rtl/>
        </w:rPr>
        <w:t xml:space="preserve">, וכדעת </w:t>
      </w:r>
      <w:r w:rsidRPr="00EC5CF1">
        <w:rPr>
          <w:rStyle w:val="af9"/>
          <w:rFonts w:hint="cs"/>
          <w:rtl/>
        </w:rPr>
        <w:t>היד רמ"ה</w:t>
      </w:r>
      <w:r>
        <w:rPr>
          <w:rFonts w:hint="cs"/>
          <w:rtl/>
        </w:rPr>
        <w:t xml:space="preserve"> </w:t>
      </w:r>
      <w:r w:rsidRPr="004C5502">
        <w:rPr>
          <w:rStyle w:val="af7"/>
          <w:rFonts w:eastAsia="Guttman Hodes" w:hint="cs"/>
          <w:rtl/>
        </w:rPr>
        <w:t xml:space="preserve">(עי' אות </w:t>
      </w:r>
      <w:r w:rsidRPr="004C5502">
        <w:rPr>
          <w:rStyle w:val="af7"/>
          <w:rFonts w:eastAsia="Guttman Hodes"/>
          <w:rtl/>
        </w:rPr>
        <w:fldChar w:fldCharType="begin"/>
      </w:r>
      <w:r w:rsidRPr="004C5502">
        <w:rPr>
          <w:rStyle w:val="af7"/>
          <w:rFonts w:eastAsia="Guttman Hodes"/>
          <w:rtl/>
        </w:rPr>
        <w:instrText xml:space="preserve"> </w:instrText>
      </w:r>
      <w:r w:rsidRPr="004C5502">
        <w:rPr>
          <w:rStyle w:val="af7"/>
          <w:rFonts w:eastAsia="Guttman Hodes" w:hint="cs"/>
        </w:rPr>
        <w:instrText>REF</w:instrText>
      </w:r>
      <w:r w:rsidRPr="004C5502">
        <w:rPr>
          <w:rStyle w:val="af7"/>
          <w:rFonts w:eastAsia="Guttman Hodes" w:hint="cs"/>
          <w:rtl/>
        </w:rPr>
        <w:instrText xml:space="preserve"> _</w:instrText>
      </w:r>
      <w:r w:rsidRPr="004C5502">
        <w:rPr>
          <w:rStyle w:val="af7"/>
          <w:rFonts w:eastAsia="Guttman Hodes" w:hint="cs"/>
        </w:rPr>
        <w:instrText>Ref62324951 \r \h</w:instrText>
      </w:r>
      <w:r w:rsidRPr="004C5502">
        <w:rPr>
          <w:rStyle w:val="af7"/>
          <w:rFonts w:eastAsia="Guttman Hodes"/>
          <w:rtl/>
        </w:rPr>
        <w:instrText xml:space="preserve"> </w:instrText>
      </w:r>
      <w:r w:rsidRPr="004C5502">
        <w:rPr>
          <w:rStyle w:val="af7"/>
          <w:rFonts w:eastAsia="Guttman Hodes"/>
          <w:rtl/>
        </w:rPr>
      </w:r>
      <w:r w:rsidRPr="004C5502">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4C5502">
        <w:rPr>
          <w:rStyle w:val="af7"/>
          <w:rFonts w:eastAsia="Guttman Hodes"/>
          <w:rtl/>
        </w:rPr>
        <w:fldChar w:fldCharType="end"/>
      </w:r>
      <w:r>
        <w:rPr>
          <w:rFonts w:hint="cs"/>
          <w:rtl/>
        </w:rPr>
        <w:t xml:space="preserve"> ודלא </w:t>
      </w:r>
      <w:r w:rsidRPr="00EC5CF1">
        <w:rPr>
          <w:rStyle w:val="af9"/>
          <w:rFonts w:hint="cs"/>
          <w:rtl/>
        </w:rPr>
        <w:t>כהר"י מגאש</w:t>
      </w:r>
      <w:r>
        <w:rPr>
          <w:rFonts w:hint="cs"/>
          <w:rtl/>
        </w:rPr>
        <w:t xml:space="preserve"> </w:t>
      </w:r>
      <w:r w:rsidRPr="00FA0A5B">
        <w:rPr>
          <w:rStyle w:val="af7"/>
          <w:rFonts w:eastAsia="Guttman Hodes" w:hint="cs"/>
          <w:rtl/>
        </w:rPr>
        <w:t xml:space="preserve">(עי' אות </w:t>
      </w:r>
      <w:r w:rsidRPr="00FA0A5B">
        <w:rPr>
          <w:rStyle w:val="af7"/>
          <w:rFonts w:eastAsia="Guttman Hodes"/>
          <w:rtl/>
        </w:rPr>
        <w:fldChar w:fldCharType="begin"/>
      </w:r>
      <w:r w:rsidRPr="00FA0A5B">
        <w:rPr>
          <w:rStyle w:val="af7"/>
          <w:rFonts w:eastAsia="Guttman Hodes"/>
          <w:rtl/>
        </w:rPr>
        <w:instrText xml:space="preserve"> </w:instrText>
      </w:r>
      <w:r w:rsidRPr="00FA0A5B">
        <w:rPr>
          <w:rStyle w:val="af7"/>
          <w:rFonts w:eastAsia="Guttman Hodes" w:hint="cs"/>
        </w:rPr>
        <w:instrText>REF</w:instrText>
      </w:r>
      <w:r w:rsidRPr="00FA0A5B">
        <w:rPr>
          <w:rStyle w:val="af7"/>
          <w:rFonts w:eastAsia="Guttman Hodes" w:hint="cs"/>
          <w:rtl/>
        </w:rPr>
        <w:instrText xml:space="preserve"> _</w:instrText>
      </w:r>
      <w:r w:rsidRPr="00FA0A5B">
        <w:rPr>
          <w:rStyle w:val="af7"/>
          <w:rFonts w:eastAsia="Guttman Hodes" w:hint="cs"/>
        </w:rPr>
        <w:instrText>Ref62462385 \r \h</w:instrText>
      </w:r>
      <w:r w:rsidRPr="00FA0A5B">
        <w:rPr>
          <w:rStyle w:val="af7"/>
          <w:rFonts w:eastAsia="Guttman Hodes"/>
          <w:rtl/>
        </w:rPr>
        <w:instrText xml:space="preserve"> </w:instrText>
      </w:r>
      <w:r w:rsidRPr="00FA0A5B">
        <w:rPr>
          <w:rStyle w:val="af7"/>
          <w:rFonts w:eastAsia="Guttman Hodes"/>
          <w:rtl/>
        </w:rPr>
      </w:r>
      <w:r w:rsidRPr="00FA0A5B">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FA0A5B">
        <w:rPr>
          <w:rStyle w:val="af7"/>
          <w:rFonts w:eastAsia="Guttman Hodes"/>
          <w:rtl/>
        </w:rPr>
        <w:fldChar w:fldCharType="end"/>
      </w:r>
      <w:r>
        <w:rPr>
          <w:rFonts w:hint="cs"/>
          <w:rtl/>
        </w:rPr>
        <w:t>, אלא דבסוגיין איירי באופן שבאו העדים לפני שחזר וטען.</w:t>
      </w:r>
      <w:bookmarkEnd w:id="13240"/>
      <w:r w:rsidRPr="006D4A51">
        <w:rPr>
          <w:rStyle w:val="afb"/>
          <w:rFonts w:hint="cs"/>
          <w:rtl/>
        </w:rPr>
        <w:t xml:space="preserve"> </w:t>
      </w:r>
    </w:p>
    <w:p w:rsidR="00EC445E" w:rsidRDefault="00EC445E" w:rsidP="00EC445E">
      <w:pPr>
        <w:pStyle w:val="a3"/>
        <w:rPr>
          <w:rtl/>
        </w:rPr>
      </w:pPr>
      <w:bookmarkStart w:id="13241" w:name="_Toc62485615"/>
      <w:r>
        <w:rPr>
          <w:rFonts w:hint="cs"/>
          <w:rtl/>
        </w:rPr>
        <w:t>ביאור החת"ס ברשב"ם דהמעשה בסוגיין איירי בבאו עדים קודם</w:t>
      </w:r>
      <w:r w:rsidRPr="00562CC7">
        <w:rPr>
          <w:rFonts w:hint="cs"/>
          <w:rtl/>
        </w:rPr>
        <w:t xml:space="preserve"> </w:t>
      </w:r>
      <w:r>
        <w:rPr>
          <w:rFonts w:hint="cs"/>
          <w:rtl/>
        </w:rPr>
        <w:t>וה"ה בבאו אח"כ דלא נאמן</w:t>
      </w:r>
      <w:bookmarkEnd w:id="13241"/>
    </w:p>
    <w:p w:rsidR="00EC445E" w:rsidRDefault="00EC445E" w:rsidP="007E4E81">
      <w:pPr>
        <w:pStyle w:val="a0"/>
        <w:rPr>
          <w:rtl/>
        </w:rPr>
      </w:pPr>
      <w:r>
        <w:rPr>
          <w:rFonts w:hint="cs"/>
          <w:rtl/>
        </w:rPr>
        <w:t xml:space="preserve">וכתב </w:t>
      </w:r>
      <w:r w:rsidRPr="00EC5CF1">
        <w:rPr>
          <w:rStyle w:val="af9"/>
          <w:rFonts w:hint="cs"/>
          <w:rtl/>
        </w:rPr>
        <w:t>החת"ס</w:t>
      </w:r>
      <w:r>
        <w:rPr>
          <w:rFonts w:hint="cs"/>
          <w:rtl/>
        </w:rPr>
        <w:t xml:space="preserve"> דאפש"ל דזו כוונת </w:t>
      </w:r>
      <w:r w:rsidRPr="00EC5CF1">
        <w:rPr>
          <w:rStyle w:val="af9"/>
          <w:rFonts w:hint="cs"/>
          <w:rtl/>
        </w:rPr>
        <w:t>הרשב"ם</w:t>
      </w:r>
      <w:r>
        <w:rPr>
          <w:rFonts w:hint="cs"/>
          <w:rtl/>
        </w:rPr>
        <w:t xml:space="preserve"> </w:t>
      </w:r>
      <w:r w:rsidRPr="009F28B1">
        <w:rPr>
          <w:rStyle w:val="af7"/>
          <w:rFonts w:eastAsia="Guttman Hodes" w:hint="cs"/>
          <w:rtl/>
        </w:rPr>
        <w:t>(ד"ה זה אומר)</w:t>
      </w:r>
      <w:r>
        <w:rPr>
          <w:rFonts w:hint="cs"/>
          <w:rtl/>
        </w:rPr>
        <w:t xml:space="preserve"> בתחילת הסוגיא</w:t>
      </w:r>
      <w:r w:rsidRPr="00344B40">
        <w:rPr>
          <w:rFonts w:hint="cs"/>
          <w:rtl/>
        </w:rPr>
        <w:t xml:space="preserve"> </w:t>
      </w:r>
      <w:r>
        <w:rPr>
          <w:rFonts w:hint="cs"/>
          <w:rtl/>
        </w:rPr>
        <w:t xml:space="preserve">דכתב דזה אומר של אבותי וכו' עובדא הוה כדמוכח בהמשך </w:t>
      </w:r>
      <w:r>
        <w:rPr>
          <w:rFonts w:hint="cs"/>
          <w:rtl/>
        </w:rPr>
        <w:t xml:space="preserve">הגמ', וכוונת </w:t>
      </w:r>
      <w:r w:rsidRPr="00EC5CF1">
        <w:rPr>
          <w:rStyle w:val="af9"/>
          <w:rFonts w:hint="cs"/>
          <w:rtl/>
        </w:rPr>
        <w:t xml:space="preserve">הרשב"ם </w:t>
      </w:r>
      <w:r>
        <w:rPr>
          <w:rFonts w:hint="cs"/>
          <w:rtl/>
        </w:rPr>
        <w:t xml:space="preserve">לומר דאף אם באו עדים לאחר שחזר וטען אינו נאמן, וכדעת </w:t>
      </w:r>
      <w:r w:rsidRPr="00EC5CF1">
        <w:rPr>
          <w:rStyle w:val="af9"/>
          <w:rFonts w:hint="cs"/>
          <w:rtl/>
        </w:rPr>
        <w:t>היד רמ"ה</w:t>
      </w:r>
      <w:r>
        <w:rPr>
          <w:rFonts w:hint="cs"/>
          <w:rtl/>
        </w:rPr>
        <w:t xml:space="preserve"> </w:t>
      </w:r>
      <w:r w:rsidRPr="004C5502">
        <w:rPr>
          <w:rStyle w:val="af7"/>
          <w:rFonts w:eastAsia="Guttman Hodes" w:hint="cs"/>
          <w:rtl/>
        </w:rPr>
        <w:t xml:space="preserve">(עי' אות </w:t>
      </w:r>
      <w:r w:rsidRPr="004C5502">
        <w:rPr>
          <w:rStyle w:val="af7"/>
          <w:rFonts w:eastAsia="Guttman Hodes"/>
          <w:rtl/>
        </w:rPr>
        <w:fldChar w:fldCharType="begin"/>
      </w:r>
      <w:r w:rsidRPr="004C5502">
        <w:rPr>
          <w:rStyle w:val="af7"/>
          <w:rFonts w:eastAsia="Guttman Hodes"/>
          <w:rtl/>
        </w:rPr>
        <w:instrText xml:space="preserve"> </w:instrText>
      </w:r>
      <w:r w:rsidRPr="004C5502">
        <w:rPr>
          <w:rStyle w:val="af7"/>
          <w:rFonts w:eastAsia="Guttman Hodes" w:hint="cs"/>
        </w:rPr>
        <w:instrText>REF</w:instrText>
      </w:r>
      <w:r w:rsidRPr="004C5502">
        <w:rPr>
          <w:rStyle w:val="af7"/>
          <w:rFonts w:eastAsia="Guttman Hodes" w:hint="cs"/>
          <w:rtl/>
        </w:rPr>
        <w:instrText xml:space="preserve"> _</w:instrText>
      </w:r>
      <w:r w:rsidRPr="004C5502">
        <w:rPr>
          <w:rStyle w:val="af7"/>
          <w:rFonts w:eastAsia="Guttman Hodes" w:hint="cs"/>
        </w:rPr>
        <w:instrText>Ref62324951 \r \h</w:instrText>
      </w:r>
      <w:r w:rsidRPr="004C5502">
        <w:rPr>
          <w:rStyle w:val="af7"/>
          <w:rFonts w:eastAsia="Guttman Hodes"/>
          <w:rtl/>
        </w:rPr>
        <w:instrText xml:space="preserve"> </w:instrText>
      </w:r>
      <w:r w:rsidRPr="004C5502">
        <w:rPr>
          <w:rStyle w:val="af7"/>
          <w:rFonts w:eastAsia="Guttman Hodes"/>
          <w:rtl/>
        </w:rPr>
      </w:r>
      <w:r w:rsidRPr="004C5502">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4C5502">
        <w:rPr>
          <w:rStyle w:val="af7"/>
          <w:rFonts w:eastAsia="Guttman Hodes"/>
          <w:rtl/>
        </w:rPr>
        <w:fldChar w:fldCharType="end"/>
      </w:r>
      <w:r>
        <w:rPr>
          <w:rFonts w:hint="cs"/>
          <w:rtl/>
        </w:rPr>
        <w:t xml:space="preserve">, והא דבסוגיין איירי באופן שאחר טענתו הראשונה, באו העדים אחר והכחישוהו, ואח"כ חזר וטען, הוא כיון שכך היה המעשה, אבל לדינא אין נ"מ מתי באו העדים, אמנם יעוי' במה שביאר </w:t>
      </w:r>
      <w:r w:rsidRPr="00EB6CBC">
        <w:rPr>
          <w:rStyle w:val="af9"/>
          <w:rFonts w:hint="cs"/>
          <w:rtl/>
        </w:rPr>
        <w:t>הגר"א</w:t>
      </w:r>
      <w:r w:rsidRPr="004D033F">
        <w:rPr>
          <w:rFonts w:hint="cs"/>
          <w:rtl/>
        </w:rPr>
        <w:t xml:space="preserve"> </w:t>
      </w:r>
      <w:r w:rsidRPr="00EB6CB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Ref62036991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Pr>
          <w:rStyle w:val="af7"/>
          <w:rFonts w:eastAsia="Guttman Hodes"/>
          <w:rtl/>
        </w:rPr>
        <w:fldChar w:fldCharType="end"/>
      </w:r>
      <w:r>
        <w:rPr>
          <w:rStyle w:val="af7"/>
          <w:rFonts w:eastAsia="Guttman Hodes" w:hint="cs"/>
          <w:rtl/>
        </w:rPr>
        <w:t xml:space="preserve"> </w:t>
      </w:r>
      <w:r w:rsidRPr="00562CC7">
        <w:rPr>
          <w:rFonts w:hint="cs"/>
          <w:rtl/>
        </w:rPr>
        <w:t>בדעת</w:t>
      </w:r>
      <w:r>
        <w:rPr>
          <w:rStyle w:val="af7"/>
          <w:rFonts w:eastAsia="Guttman Hodes" w:hint="cs"/>
          <w:rtl/>
        </w:rPr>
        <w:t xml:space="preserve"> </w:t>
      </w:r>
      <w:r w:rsidRPr="00EC5CF1">
        <w:rPr>
          <w:rStyle w:val="af9"/>
          <w:rFonts w:hint="cs"/>
          <w:rtl/>
        </w:rPr>
        <w:t>הרשב"ם</w:t>
      </w:r>
      <w:r>
        <w:rPr>
          <w:rFonts w:hint="cs"/>
          <w:rtl/>
        </w:rPr>
        <w:t xml:space="preserve"> דס"ל </w:t>
      </w:r>
      <w:r w:rsidRPr="00FA0A5B">
        <w:rPr>
          <w:rStyle w:val="af9"/>
          <w:rFonts w:hint="cs"/>
          <w:rtl/>
        </w:rPr>
        <w:t>כר"י מגאש</w:t>
      </w:r>
      <w:r>
        <w:rPr>
          <w:rFonts w:hint="cs"/>
          <w:rtl/>
        </w:rPr>
        <w:t xml:space="preserve"> </w:t>
      </w:r>
      <w:r w:rsidRPr="00FA0A5B">
        <w:rPr>
          <w:rStyle w:val="af7"/>
          <w:rFonts w:eastAsia="Guttman Hodes" w:hint="cs"/>
          <w:rtl/>
        </w:rPr>
        <w:t xml:space="preserve">(עי' אות </w:t>
      </w:r>
      <w:r w:rsidRPr="00FA0A5B">
        <w:rPr>
          <w:rStyle w:val="af7"/>
          <w:rFonts w:eastAsia="Guttman Hodes"/>
          <w:rtl/>
        </w:rPr>
        <w:fldChar w:fldCharType="begin"/>
      </w:r>
      <w:r w:rsidRPr="00FA0A5B">
        <w:rPr>
          <w:rStyle w:val="af7"/>
          <w:rFonts w:eastAsia="Guttman Hodes"/>
          <w:rtl/>
        </w:rPr>
        <w:instrText xml:space="preserve"> </w:instrText>
      </w:r>
      <w:r w:rsidRPr="00FA0A5B">
        <w:rPr>
          <w:rStyle w:val="af7"/>
          <w:rFonts w:eastAsia="Guttman Hodes" w:hint="cs"/>
        </w:rPr>
        <w:instrText>REF</w:instrText>
      </w:r>
      <w:r w:rsidRPr="00FA0A5B">
        <w:rPr>
          <w:rStyle w:val="af7"/>
          <w:rFonts w:eastAsia="Guttman Hodes" w:hint="cs"/>
          <w:rtl/>
        </w:rPr>
        <w:instrText xml:space="preserve"> _</w:instrText>
      </w:r>
      <w:r w:rsidRPr="00FA0A5B">
        <w:rPr>
          <w:rStyle w:val="af7"/>
          <w:rFonts w:eastAsia="Guttman Hodes" w:hint="cs"/>
        </w:rPr>
        <w:instrText>Ref62461880 \r \h</w:instrText>
      </w:r>
      <w:r w:rsidRPr="00FA0A5B">
        <w:rPr>
          <w:rStyle w:val="af7"/>
          <w:rFonts w:eastAsia="Guttman Hodes"/>
          <w:rtl/>
        </w:rPr>
        <w:instrText xml:space="preserve"> </w:instrText>
      </w:r>
      <w:r w:rsidRPr="00FA0A5B">
        <w:rPr>
          <w:rStyle w:val="af7"/>
          <w:rFonts w:eastAsia="Guttman Hodes"/>
          <w:rtl/>
        </w:rPr>
      </w:r>
      <w:r w:rsidRPr="00FA0A5B">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FA0A5B">
        <w:rPr>
          <w:rStyle w:val="af7"/>
          <w:rFonts w:eastAsia="Guttman Hodes"/>
          <w:rtl/>
        </w:rPr>
        <w:fldChar w:fldCharType="end"/>
      </w:r>
      <w:r>
        <w:rPr>
          <w:rFonts w:hint="cs"/>
          <w:rtl/>
        </w:rPr>
        <w:t>.</w:t>
      </w:r>
    </w:p>
    <w:p w:rsidR="00EC445E" w:rsidRDefault="00EC445E" w:rsidP="00EC445E">
      <w:pPr>
        <w:pStyle w:val="afe"/>
        <w:rPr>
          <w:rtl/>
        </w:rPr>
      </w:pPr>
      <w:bookmarkStart w:id="13242" w:name="_Toc62485616"/>
      <w:r>
        <w:rPr>
          <w:rFonts w:hint="cs"/>
          <w:rtl/>
        </w:rPr>
        <w:t>ד' התוס' לקמן דאינו חוזר מפטור לפטור</w:t>
      </w:r>
      <w:bookmarkEnd w:id="13238"/>
      <w:bookmarkEnd w:id="13242"/>
    </w:p>
    <w:p w:rsidR="00EC445E" w:rsidRDefault="00EC445E" w:rsidP="00EC445E">
      <w:pPr>
        <w:pStyle w:val="1"/>
        <w:rPr>
          <w:rtl/>
        </w:rPr>
      </w:pPr>
      <w:bookmarkStart w:id="13243" w:name="_Toc62453902"/>
      <w:bookmarkStart w:id="13244" w:name="_Toc62485617"/>
      <w:r>
        <w:rPr>
          <w:rFonts w:hint="cs"/>
          <w:rtl/>
        </w:rPr>
        <w:t>משמעות התוס' לקמן</w:t>
      </w:r>
      <w:bookmarkEnd w:id="13224"/>
      <w:bookmarkEnd w:id="13225"/>
      <w:bookmarkEnd w:id="13230"/>
      <w:bookmarkEnd w:id="13231"/>
      <w:bookmarkEnd w:id="13232"/>
      <w:r>
        <w:rPr>
          <w:rFonts w:hint="cs"/>
          <w:rtl/>
        </w:rPr>
        <w:t xml:space="preserve"> דחוזר וטוען הוא אף מפטור לפטור</w:t>
      </w:r>
      <w:bookmarkEnd w:id="13243"/>
      <w:bookmarkEnd w:id="13244"/>
    </w:p>
    <w:p w:rsidR="00EC445E" w:rsidRDefault="00EC445E" w:rsidP="00EC445E">
      <w:pPr>
        <w:pStyle w:val="a3"/>
        <w:rPr>
          <w:rtl/>
        </w:rPr>
      </w:pPr>
      <w:bookmarkStart w:id="13245" w:name="_Toc62453903"/>
      <w:bookmarkStart w:id="13246" w:name="_Toc62485618"/>
      <w:r>
        <w:rPr>
          <w:rFonts w:hint="cs"/>
          <w:rtl/>
        </w:rPr>
        <w:t>משמעות דברי התוס' לקמן דאף בחוזר מפטור לפטור חשיב חוזר וטוען ואינו נאמן</w:t>
      </w:r>
      <w:bookmarkEnd w:id="13245"/>
      <w:bookmarkEnd w:id="13246"/>
    </w:p>
    <w:p w:rsidR="00EC445E" w:rsidRDefault="00EC445E" w:rsidP="007E4E81">
      <w:pPr>
        <w:pStyle w:val="a0"/>
      </w:pPr>
      <w:bookmarkStart w:id="13247" w:name="_Ref62472626"/>
      <w:r>
        <w:rPr>
          <w:rFonts w:hint="cs"/>
          <w:rtl/>
        </w:rPr>
        <w:t xml:space="preserve">בהא דאיתא לקמן </w:t>
      </w:r>
      <w:r w:rsidRPr="008E1DDA">
        <w:rPr>
          <w:rStyle w:val="af7"/>
          <w:rFonts w:eastAsia="Guttman Hodes" w:hint="cs"/>
          <w:rtl/>
        </w:rPr>
        <w:t>(לב.)</w:t>
      </w:r>
      <w:r>
        <w:rPr>
          <w:rFonts w:hint="cs"/>
          <w:rtl/>
        </w:rPr>
        <w:t xml:space="preserve"> דבטוען המחזיק מינך זבינתה והא שטרא, ואח"כ הודה המחזיק דהוא שטרא זייפא, והיה לו שטר אחר שאבד לו, ואמר רבה דנאמן במיגו דלא היה מודה שהשטר מזוייף, ורב יוסף אמר דאינו נאמן במיגו כיון שא"א לסמוך על השטר המזוייף, וביאר </w:t>
      </w:r>
      <w:r>
        <w:rPr>
          <w:rStyle w:val="af9"/>
          <w:rFonts w:hint="cs"/>
          <w:rtl/>
        </w:rPr>
        <w:t>ר"י ב</w:t>
      </w:r>
      <w:r w:rsidRPr="008E1DDA">
        <w:rPr>
          <w:rStyle w:val="af9"/>
          <w:rFonts w:hint="cs"/>
          <w:rtl/>
        </w:rPr>
        <w:t>תוס' לקמן בתירוצ</w:t>
      </w:r>
      <w:r>
        <w:rPr>
          <w:rStyle w:val="af9"/>
          <w:rFonts w:hint="cs"/>
          <w:rtl/>
        </w:rPr>
        <w:t>ו</w:t>
      </w:r>
      <w:r w:rsidRPr="008E1DDA">
        <w:rPr>
          <w:rStyle w:val="af9"/>
          <w:rFonts w:hint="cs"/>
          <w:rtl/>
        </w:rPr>
        <w:t xml:space="preserve"> הב'</w:t>
      </w:r>
      <w:r>
        <w:rPr>
          <w:rFonts w:hint="cs"/>
          <w:rtl/>
        </w:rPr>
        <w:t xml:space="preserve"> </w:t>
      </w:r>
      <w:r w:rsidRPr="008E1DDA">
        <w:rPr>
          <w:rStyle w:val="af7"/>
          <w:rFonts w:eastAsia="Guttman Hodes" w:hint="cs"/>
          <w:rtl/>
        </w:rPr>
        <w:t>(סוד"ה אמאי)</w:t>
      </w:r>
      <w:r>
        <w:rPr>
          <w:rFonts w:hint="cs"/>
          <w:rtl/>
        </w:rPr>
        <w:t xml:space="preserve"> דלרב יוסף אינו נאמן במיגו כיון שכל שהוא חוזר וטוען, דבתחילה טען והא שטרא, ועכשיו חזר בו מטענתו והודה </w:t>
      </w:r>
      <w:r w:rsidRPr="008055F3">
        <w:rPr>
          <w:rFonts w:hint="cs"/>
          <w:rtl/>
        </w:rPr>
        <w:t>שהשטר הוא חספא בעלמא, והיה לו שטר אחר שאבד לו</w:t>
      </w:r>
      <w:r w:rsidRPr="008055F3">
        <w:rPr>
          <w:rStyle w:val="af1"/>
          <w:rtl/>
        </w:rPr>
        <w:footnoteReference w:id="86"/>
      </w:r>
      <w:r w:rsidRPr="008055F3">
        <w:rPr>
          <w:rFonts w:hint="cs"/>
          <w:rtl/>
        </w:rPr>
        <w:t xml:space="preserve">, </w:t>
      </w:r>
      <w:r>
        <w:rPr>
          <w:rFonts w:hint="cs"/>
          <w:rtl/>
        </w:rPr>
        <w:t xml:space="preserve">והקשה </w:t>
      </w:r>
      <w:r w:rsidRPr="00442ED9">
        <w:rPr>
          <w:rStyle w:val="af9"/>
          <w:rFonts w:hint="cs"/>
          <w:rtl/>
        </w:rPr>
        <w:t>החת"ס לקמן</w:t>
      </w:r>
      <w:r>
        <w:rPr>
          <w:rFonts w:hint="cs"/>
          <w:rtl/>
        </w:rPr>
        <w:t xml:space="preserve"> </w:t>
      </w:r>
      <w:r w:rsidRPr="00442ED9">
        <w:rPr>
          <w:rStyle w:val="af7"/>
          <w:rFonts w:eastAsia="Guttman Hodes" w:hint="cs"/>
          <w:rtl/>
        </w:rPr>
        <w:t>(לב. ד"ה אמאי)</w:t>
      </w:r>
      <w:r>
        <w:rPr>
          <w:rFonts w:hint="cs"/>
          <w:rtl/>
        </w:rPr>
        <w:t xml:space="preserve"> דהוא חוזר וטוען מפטור לפטור דנאמן, </w:t>
      </w:r>
      <w:r w:rsidRPr="00442ED9">
        <w:rPr>
          <w:rStyle w:val="afb"/>
          <w:rFonts w:hint="cs"/>
          <w:rtl/>
        </w:rPr>
        <w:t xml:space="preserve">[עיי"ש במה שתירץ], </w:t>
      </w:r>
      <w:r>
        <w:rPr>
          <w:rFonts w:hint="cs"/>
          <w:rtl/>
        </w:rPr>
        <w:t>ועי' במ"ש</w:t>
      </w:r>
      <w:r w:rsidRPr="00B13648">
        <w:rPr>
          <w:rFonts w:hint="cs"/>
          <w:rtl/>
        </w:rPr>
        <w:t xml:space="preserve"> </w:t>
      </w:r>
      <w:r w:rsidRPr="00950809">
        <w:rPr>
          <w:rStyle w:val="af9"/>
          <w:rFonts w:hint="cs"/>
          <w:rtl/>
        </w:rPr>
        <w:t>בחי' הגר"ח מטעלז</w:t>
      </w:r>
      <w:r w:rsidRPr="008055F3">
        <w:rPr>
          <w:rFonts w:hint="cs"/>
          <w:rtl/>
        </w:rPr>
        <w:t xml:space="preserve">  </w:t>
      </w:r>
      <w:r w:rsidRPr="00950809">
        <w:rPr>
          <w:rStyle w:val="af9"/>
          <w:rFonts w:hint="cs"/>
          <w:rtl/>
        </w:rPr>
        <w:t>והקוב"ש</w:t>
      </w:r>
      <w:r w:rsidRPr="008055F3">
        <w:rPr>
          <w:rFonts w:hint="cs"/>
          <w:rtl/>
        </w:rPr>
        <w:t xml:space="preserve"> </w:t>
      </w:r>
      <w:r>
        <w:rPr>
          <w:rFonts w:hint="cs"/>
          <w:rtl/>
        </w:rPr>
        <w:t xml:space="preserve"> </w:t>
      </w:r>
      <w:r w:rsidRPr="00950809">
        <w:rPr>
          <w:rStyle w:val="af9"/>
          <w:rFonts w:hint="cs"/>
          <w:rtl/>
        </w:rPr>
        <w:t>ובחי' רבי נחום</w:t>
      </w:r>
      <w:r w:rsidRPr="008055F3">
        <w:rPr>
          <w:rFonts w:hint="cs"/>
          <w:rtl/>
        </w:rPr>
        <w:t xml:space="preserve"> </w:t>
      </w:r>
      <w:r>
        <w:rPr>
          <w:rStyle w:val="af9"/>
          <w:rFonts w:hint="cs"/>
          <w:rtl/>
        </w:rPr>
        <w:t>ו</w:t>
      </w:r>
      <w:r w:rsidRPr="008D2AAB">
        <w:rPr>
          <w:rStyle w:val="af9"/>
          <w:rFonts w:hint="cs"/>
          <w:rtl/>
        </w:rPr>
        <w:t>האבי עזרי</w:t>
      </w:r>
      <w:r w:rsidRPr="005C5449">
        <w:rPr>
          <w:rFonts w:hint="cs"/>
          <w:rtl/>
        </w:rPr>
        <w:t xml:space="preserve"> </w:t>
      </w:r>
      <w:r w:rsidRPr="00950809">
        <w:rPr>
          <w:rStyle w:val="af7"/>
          <w:rFonts w:eastAsia="Guttman Hodes" w:hint="cs"/>
          <w:rtl/>
        </w:rPr>
        <w:t xml:space="preserve">(עי' אות </w:t>
      </w:r>
      <w:r w:rsidRPr="00950809">
        <w:rPr>
          <w:rStyle w:val="af7"/>
          <w:rFonts w:eastAsia="Guttman Hodes"/>
          <w:rtl/>
        </w:rPr>
        <w:fldChar w:fldCharType="begin"/>
      </w:r>
      <w:r w:rsidRPr="00950809">
        <w:rPr>
          <w:rStyle w:val="af7"/>
          <w:rFonts w:eastAsia="Guttman Hodes"/>
          <w:rtl/>
        </w:rPr>
        <w:instrText xml:space="preserve"> </w:instrText>
      </w:r>
      <w:r w:rsidRPr="00950809">
        <w:rPr>
          <w:rStyle w:val="af7"/>
          <w:rFonts w:eastAsia="Guttman Hodes" w:hint="cs"/>
        </w:rPr>
        <w:instrText>REF</w:instrText>
      </w:r>
      <w:r w:rsidRPr="00950809">
        <w:rPr>
          <w:rStyle w:val="af7"/>
          <w:rFonts w:eastAsia="Guttman Hodes" w:hint="cs"/>
          <w:rtl/>
        </w:rPr>
        <w:instrText xml:space="preserve"> _</w:instrText>
      </w:r>
      <w:r w:rsidRPr="00950809">
        <w:rPr>
          <w:rStyle w:val="af7"/>
          <w:rFonts w:eastAsia="Guttman Hodes" w:hint="cs"/>
        </w:rPr>
        <w:instrText>Ref62057624 \r \h</w:instrText>
      </w:r>
      <w:r w:rsidRPr="00950809">
        <w:rPr>
          <w:rStyle w:val="af7"/>
          <w:rFonts w:eastAsia="Guttman Hodes"/>
          <w:rtl/>
        </w:rPr>
        <w:instrText xml:space="preserve">  \* </w:instrText>
      </w:r>
      <w:r w:rsidRPr="00950809">
        <w:rPr>
          <w:rStyle w:val="af7"/>
          <w:rFonts w:eastAsia="Guttman Hodes"/>
        </w:rPr>
        <w:instrText>MERGEFORMAT</w:instrText>
      </w:r>
      <w:r w:rsidRPr="00950809">
        <w:rPr>
          <w:rStyle w:val="af7"/>
          <w:rFonts w:eastAsia="Guttman Hodes"/>
          <w:rtl/>
        </w:rPr>
        <w:instrText xml:space="preserve"> </w:instrText>
      </w:r>
      <w:r w:rsidRPr="00950809">
        <w:rPr>
          <w:rStyle w:val="af7"/>
          <w:rFonts w:eastAsia="Guttman Hodes"/>
          <w:rtl/>
        </w:rPr>
      </w:r>
      <w:r w:rsidRPr="00950809">
        <w:rPr>
          <w:rStyle w:val="af7"/>
          <w:rFonts w:eastAsia="Guttman Hodes"/>
          <w:rtl/>
        </w:rPr>
        <w:fldChar w:fldCharType="separate"/>
      </w:r>
      <w:r w:rsidR="00265073">
        <w:rPr>
          <w:rStyle w:val="af7"/>
          <w:rFonts w:eastAsia="Guttman Hodes"/>
          <w:cs/>
        </w:rPr>
        <w:t>‎</w:t>
      </w:r>
      <w:r w:rsidR="00265073">
        <w:rPr>
          <w:rStyle w:val="af7"/>
          <w:rFonts w:eastAsia="Guttman Hodes"/>
          <w:rtl/>
        </w:rPr>
        <w:t>קכו)</w:t>
      </w:r>
      <w:r w:rsidRPr="00950809">
        <w:rPr>
          <w:rStyle w:val="af7"/>
          <w:rFonts w:eastAsia="Guttman Hodes"/>
          <w:rtl/>
        </w:rPr>
        <w:fldChar w:fldCharType="end"/>
      </w:r>
      <w:r>
        <w:rPr>
          <w:rFonts w:hint="cs"/>
          <w:rtl/>
        </w:rPr>
        <w:t xml:space="preserve"> </w:t>
      </w:r>
      <w:r w:rsidRPr="008055F3">
        <w:rPr>
          <w:rFonts w:hint="cs"/>
          <w:rtl/>
        </w:rPr>
        <w:t xml:space="preserve">דמשמע מדברי </w:t>
      </w:r>
      <w:r w:rsidRPr="00950809">
        <w:rPr>
          <w:rStyle w:val="af9"/>
          <w:rFonts w:hint="cs"/>
          <w:rtl/>
        </w:rPr>
        <w:t>התוס'</w:t>
      </w:r>
      <w:r>
        <w:rPr>
          <w:rStyle w:val="af9"/>
          <w:rFonts w:hint="cs"/>
          <w:rtl/>
        </w:rPr>
        <w:t xml:space="preserve"> לקמן</w:t>
      </w:r>
      <w:r w:rsidRPr="008055F3">
        <w:rPr>
          <w:rFonts w:hint="cs"/>
          <w:rtl/>
        </w:rPr>
        <w:t xml:space="preserve"> דרבה ורב יוסף נחלקו אי בחוזר וטוען מפטור לפטור</w:t>
      </w:r>
      <w:r>
        <w:rPr>
          <w:rFonts w:hint="cs"/>
          <w:rtl/>
        </w:rPr>
        <w:t>, נאמן במיגו או לא.</w:t>
      </w:r>
      <w:bookmarkEnd w:id="13247"/>
    </w:p>
    <w:p w:rsidR="00EC445E" w:rsidRDefault="00EC445E" w:rsidP="00EC445E">
      <w:pPr>
        <w:pStyle w:val="afe"/>
        <w:rPr>
          <w:rtl/>
        </w:rPr>
      </w:pPr>
      <w:bookmarkStart w:id="13248" w:name="_Toc62452620"/>
      <w:bookmarkStart w:id="13249" w:name="_Toc62453904"/>
      <w:bookmarkStart w:id="13250" w:name="_Toc62485619"/>
      <w:bookmarkStart w:id="13251" w:name="_Toc62160828"/>
      <w:bookmarkStart w:id="13252" w:name="_Toc62385990"/>
      <w:bookmarkStart w:id="13253" w:name="_Toc62420127"/>
      <w:r>
        <w:rPr>
          <w:rFonts w:hint="cs"/>
          <w:rtl/>
        </w:rPr>
        <w:t>ביאורי האחרונים בדעת הר"י מגאש</w:t>
      </w:r>
      <w:bookmarkEnd w:id="13248"/>
      <w:bookmarkEnd w:id="13249"/>
      <w:bookmarkEnd w:id="13250"/>
    </w:p>
    <w:p w:rsidR="00EC445E" w:rsidRDefault="00EC445E" w:rsidP="00EC445E">
      <w:pPr>
        <w:pStyle w:val="1"/>
        <w:rPr>
          <w:rtl/>
        </w:rPr>
      </w:pPr>
      <w:bookmarkStart w:id="13254" w:name="_Toc62453905"/>
      <w:bookmarkStart w:id="13255" w:name="_Toc62485620"/>
      <w:r>
        <w:rPr>
          <w:rFonts w:hint="cs"/>
          <w:rtl/>
        </w:rPr>
        <w:t>בי' הטור והש"ך בר"י מגאש דבחוזר מפטור לפטור נאמן במיגו</w:t>
      </w:r>
      <w:bookmarkEnd w:id="13254"/>
      <w:bookmarkEnd w:id="13255"/>
    </w:p>
    <w:p w:rsidR="00EC445E" w:rsidRPr="00226688" w:rsidRDefault="00EC445E" w:rsidP="00EC445E">
      <w:pPr>
        <w:pStyle w:val="a3"/>
      </w:pPr>
      <w:bookmarkStart w:id="13256" w:name="_Toc62453906"/>
      <w:bookmarkStart w:id="13257" w:name="_Toc62485621"/>
      <w:r>
        <w:rPr>
          <w:rFonts w:hint="cs"/>
          <w:rtl/>
        </w:rPr>
        <w:t>ביאור הש"ך בר"י מגאש דכל שחוזר מטענתו חשיב טענה גרועה ומפטור לפטור נאמן במיגו</w:t>
      </w:r>
      <w:bookmarkEnd w:id="13256"/>
      <w:bookmarkEnd w:id="13257"/>
    </w:p>
    <w:p w:rsidR="00EC445E" w:rsidRDefault="00EC445E" w:rsidP="007E4E81">
      <w:pPr>
        <w:pStyle w:val="a0"/>
      </w:pPr>
      <w:bookmarkStart w:id="13258" w:name="_Ref62407179"/>
      <w:r w:rsidRPr="004E2D61">
        <w:rPr>
          <w:rFonts w:hint="cs"/>
          <w:rtl/>
        </w:rPr>
        <w:t xml:space="preserve">כתב </w:t>
      </w:r>
      <w:r w:rsidRPr="00EF3C37">
        <w:rPr>
          <w:rStyle w:val="af9"/>
          <w:rFonts w:hint="cs"/>
          <w:rtl/>
        </w:rPr>
        <w:t>הטור</w:t>
      </w:r>
      <w:r w:rsidRPr="004E2D61">
        <w:rPr>
          <w:rFonts w:hint="cs"/>
          <w:rtl/>
        </w:rPr>
        <w:t xml:space="preserve"> </w:t>
      </w:r>
      <w:r w:rsidRPr="00EF3C37">
        <w:rPr>
          <w:rStyle w:val="af7"/>
          <w:rFonts w:eastAsia="Guttman Hodes" w:hint="cs"/>
          <w:rtl/>
        </w:rPr>
        <w:t>(סי' פ')</w:t>
      </w:r>
      <w:r w:rsidRPr="004E2D61">
        <w:rPr>
          <w:rFonts w:hint="cs"/>
          <w:rtl/>
        </w:rPr>
        <w:t xml:space="preserve"> בשם </w:t>
      </w:r>
      <w:r w:rsidRPr="00623C42">
        <w:rPr>
          <w:rStyle w:val="af9"/>
          <w:rFonts w:hint="cs"/>
          <w:rtl/>
        </w:rPr>
        <w:t xml:space="preserve">הר"י </w:t>
      </w:r>
      <w:r w:rsidRPr="004E2D61">
        <w:rPr>
          <w:rStyle w:val="af9"/>
          <w:rFonts w:hint="cs"/>
          <w:rtl/>
        </w:rPr>
        <w:t>מגאש</w:t>
      </w:r>
      <w:r>
        <w:rPr>
          <w:rFonts w:hint="cs"/>
          <w:rtl/>
        </w:rPr>
        <w:t xml:space="preserve"> </w:t>
      </w:r>
      <w:r w:rsidRPr="00EB6CBC">
        <w:rPr>
          <w:rStyle w:val="af7"/>
          <w:rFonts w:eastAsia="Guttman Hodes" w:hint="cs"/>
          <w:rtl/>
        </w:rPr>
        <w:t xml:space="preserve">(עי' אות </w:t>
      </w:r>
      <w:r w:rsidRPr="00EB6CBC">
        <w:rPr>
          <w:rStyle w:val="af7"/>
          <w:rFonts w:eastAsia="Guttman Hodes"/>
          <w:rtl/>
        </w:rPr>
        <w:fldChar w:fldCharType="begin"/>
      </w:r>
      <w:r w:rsidRPr="00EB6CBC">
        <w:rPr>
          <w:rStyle w:val="af7"/>
          <w:rFonts w:eastAsia="Guttman Hodes"/>
          <w:rtl/>
        </w:rPr>
        <w:instrText xml:space="preserve"> </w:instrText>
      </w:r>
      <w:r w:rsidRPr="00EB6CBC">
        <w:rPr>
          <w:rStyle w:val="af7"/>
          <w:rFonts w:eastAsia="Guttman Hodes" w:hint="cs"/>
        </w:rPr>
        <w:instrText>REF</w:instrText>
      </w:r>
      <w:r w:rsidRPr="00EB6CBC">
        <w:rPr>
          <w:rStyle w:val="af7"/>
          <w:rFonts w:eastAsia="Guttman Hodes" w:hint="cs"/>
          <w:rtl/>
        </w:rPr>
        <w:instrText xml:space="preserve"> _</w:instrText>
      </w:r>
      <w:r w:rsidRPr="00EB6CBC">
        <w:rPr>
          <w:rStyle w:val="af7"/>
          <w:rFonts w:eastAsia="Guttman Hodes" w:hint="cs"/>
        </w:rPr>
        <w:instrText>Ref61987752 \r \h</w:instrText>
      </w:r>
      <w:r w:rsidRPr="00EB6CBC">
        <w:rPr>
          <w:rStyle w:val="af7"/>
          <w:rFonts w:eastAsia="Guttman Hodes"/>
          <w:rtl/>
        </w:rPr>
        <w:instrText xml:space="preserve"> </w:instrText>
      </w:r>
      <w:r w:rsidRPr="00EB6CBC">
        <w:rPr>
          <w:rStyle w:val="af7"/>
          <w:rFonts w:eastAsia="Guttman Hodes"/>
          <w:rtl/>
        </w:rPr>
      </w:r>
      <w:r w:rsidRPr="00EB6CB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B6CBC">
        <w:rPr>
          <w:rStyle w:val="af7"/>
          <w:rFonts w:eastAsia="Guttman Hodes"/>
          <w:rtl/>
        </w:rPr>
        <w:fldChar w:fldCharType="end"/>
      </w:r>
      <w:r>
        <w:rPr>
          <w:rFonts w:hint="cs"/>
          <w:rtl/>
        </w:rPr>
        <w:t xml:space="preserve"> </w:t>
      </w:r>
      <w:r w:rsidRPr="004E2D61">
        <w:rPr>
          <w:rFonts w:hint="cs"/>
          <w:rtl/>
        </w:rPr>
        <w:t>דמפטור לפטור הוא נאמן כיון שיש לו מיגו שהיה יכול לעמוד בטענתו הראשונה</w:t>
      </w:r>
      <w:r>
        <w:rPr>
          <w:rFonts w:hint="cs"/>
          <w:rtl/>
        </w:rPr>
        <w:t xml:space="preserve">, </w:t>
      </w:r>
      <w:r w:rsidRPr="00547CFE">
        <w:rPr>
          <w:rStyle w:val="afb"/>
          <w:rFonts w:hint="cs"/>
          <w:rtl/>
        </w:rPr>
        <w:t xml:space="preserve">[וכן מפורש </w:t>
      </w:r>
      <w:r w:rsidRPr="00547CFE">
        <w:rPr>
          <w:rStyle w:val="affa"/>
          <w:rFonts w:hint="cs"/>
          <w:rtl/>
        </w:rPr>
        <w:t>בר"י מגאש</w:t>
      </w:r>
      <w:r w:rsidRPr="00547CFE">
        <w:rPr>
          <w:rStyle w:val="afb"/>
          <w:rFonts w:hint="cs"/>
          <w:rtl/>
        </w:rPr>
        <w:t xml:space="preserve"> </w:t>
      </w:r>
      <w:r w:rsidRPr="00547CFE">
        <w:rPr>
          <w:rStyle w:val="aff6"/>
          <w:rFonts w:hint="cs"/>
          <w:rtl/>
        </w:rPr>
        <w:t xml:space="preserve">(עי' אות </w:t>
      </w:r>
      <w:r w:rsidRPr="00547CFE">
        <w:rPr>
          <w:rStyle w:val="aff6"/>
          <w:rtl/>
        </w:rPr>
        <w:fldChar w:fldCharType="begin"/>
      </w:r>
      <w:r w:rsidRPr="00547CFE">
        <w:rPr>
          <w:rStyle w:val="aff6"/>
          <w:rtl/>
        </w:rPr>
        <w:instrText xml:space="preserve"> </w:instrText>
      </w:r>
      <w:r w:rsidRPr="00547CFE">
        <w:rPr>
          <w:rStyle w:val="aff6"/>
          <w:rFonts w:hint="cs"/>
        </w:rPr>
        <w:instrText>REF</w:instrText>
      </w:r>
      <w:r w:rsidRPr="00547CFE">
        <w:rPr>
          <w:rStyle w:val="aff6"/>
          <w:rFonts w:hint="cs"/>
          <w:rtl/>
        </w:rPr>
        <w:instrText xml:space="preserve"> _</w:instrText>
      </w:r>
      <w:r w:rsidRPr="00547CFE">
        <w:rPr>
          <w:rStyle w:val="aff6"/>
          <w:rFonts w:hint="cs"/>
        </w:rPr>
        <w:instrText>Ref62452796 \r \h</w:instrText>
      </w:r>
      <w:r w:rsidRPr="00547CFE">
        <w:rPr>
          <w:rStyle w:val="aff6"/>
          <w:rtl/>
        </w:rPr>
        <w:instrText xml:space="preserve"> </w:instrText>
      </w:r>
      <w:r w:rsidRPr="00547CFE">
        <w:rPr>
          <w:rStyle w:val="aff6"/>
          <w:rtl/>
        </w:rPr>
      </w:r>
      <w:r w:rsidRPr="00547CFE">
        <w:rPr>
          <w:rStyle w:val="aff6"/>
          <w:rtl/>
        </w:rPr>
        <w:fldChar w:fldCharType="separate"/>
      </w:r>
      <w:r w:rsidR="00265073">
        <w:rPr>
          <w:rStyle w:val="aff6"/>
          <w:cs/>
        </w:rPr>
        <w:t>‎</w:t>
      </w:r>
      <w:r w:rsidR="00265073">
        <w:rPr>
          <w:rStyle w:val="aff6"/>
          <w:rtl/>
        </w:rPr>
        <w:t>מב)</w:t>
      </w:r>
      <w:r w:rsidRPr="00547CFE">
        <w:rPr>
          <w:rStyle w:val="aff6"/>
          <w:rtl/>
        </w:rPr>
        <w:fldChar w:fldCharType="end"/>
      </w:r>
      <w:r w:rsidRPr="00547CFE">
        <w:rPr>
          <w:rStyle w:val="aff6"/>
          <w:rFonts w:hint="cs"/>
          <w:rtl/>
        </w:rPr>
        <w:t xml:space="preserve"> </w:t>
      </w:r>
      <w:r w:rsidRPr="00547CFE">
        <w:rPr>
          <w:rStyle w:val="afb"/>
          <w:rFonts w:hint="cs"/>
          <w:rtl/>
        </w:rPr>
        <w:t>לפנינו],</w:t>
      </w:r>
      <w:r>
        <w:rPr>
          <w:rFonts w:hint="cs"/>
          <w:rtl/>
        </w:rPr>
        <w:t xml:space="preserve"> ו</w:t>
      </w:r>
      <w:r w:rsidRPr="004E2D61">
        <w:rPr>
          <w:rFonts w:hint="cs"/>
          <w:rtl/>
        </w:rPr>
        <w:t xml:space="preserve">ביאר </w:t>
      </w:r>
      <w:r w:rsidRPr="004E2D61">
        <w:rPr>
          <w:rStyle w:val="af9"/>
          <w:rFonts w:hint="cs"/>
          <w:rtl/>
        </w:rPr>
        <w:t xml:space="preserve">הש"ך </w:t>
      </w:r>
      <w:r w:rsidRPr="004E2D61">
        <w:rPr>
          <w:rStyle w:val="af7"/>
          <w:rFonts w:eastAsia="Guttman Hodes" w:hint="cs"/>
          <w:rtl/>
        </w:rPr>
        <w:t>(סי' ע"ט סקכ"ג)</w:t>
      </w:r>
      <w:r w:rsidRPr="004E2D61">
        <w:rPr>
          <w:rFonts w:hint="cs"/>
          <w:rtl/>
        </w:rPr>
        <w:t xml:space="preserve"> </w:t>
      </w:r>
      <w:r>
        <w:rPr>
          <w:rFonts w:hint="cs"/>
          <w:rtl/>
        </w:rPr>
        <w:t>את דברי</w:t>
      </w:r>
      <w:r w:rsidRPr="004E2D61">
        <w:rPr>
          <w:rFonts w:hint="cs"/>
          <w:rtl/>
        </w:rPr>
        <w:t xml:space="preserve"> </w:t>
      </w:r>
      <w:r w:rsidRPr="004E2D61">
        <w:rPr>
          <w:rStyle w:val="af9"/>
          <w:rFonts w:hint="cs"/>
          <w:rtl/>
        </w:rPr>
        <w:t>הר"י מגאש</w:t>
      </w:r>
      <w:r>
        <w:rPr>
          <w:rFonts w:hint="cs"/>
          <w:rtl/>
        </w:rPr>
        <w:t xml:space="preserve"> </w:t>
      </w:r>
      <w:r w:rsidRPr="004E2D61">
        <w:rPr>
          <w:rFonts w:hint="cs"/>
          <w:rtl/>
        </w:rPr>
        <w:t>דכל שהוא חוזר וטוען, כיון שחזר בו ממה שטען בתחילה, חשיב שטענתו היא טענה גרועה</w:t>
      </w:r>
      <w:r>
        <w:rPr>
          <w:rFonts w:hint="cs"/>
          <w:rtl/>
        </w:rPr>
        <w:t>,</w:t>
      </w:r>
      <w:r w:rsidRPr="004E2D61">
        <w:rPr>
          <w:rFonts w:hint="cs"/>
          <w:rtl/>
        </w:rPr>
        <w:t xml:space="preserve"> ולכן אף מפטור לפטור אינו</w:t>
      </w:r>
      <w:r>
        <w:rPr>
          <w:rFonts w:hint="cs"/>
          <w:rtl/>
        </w:rPr>
        <w:t xml:space="preserve"> </w:t>
      </w:r>
      <w:r w:rsidRPr="004E2D61">
        <w:rPr>
          <w:rFonts w:hint="cs"/>
          <w:rtl/>
        </w:rPr>
        <w:t>צריך להיות נאמן, אלא דמ"מ</w:t>
      </w:r>
      <w:r>
        <w:rPr>
          <w:rFonts w:hint="cs"/>
          <w:rtl/>
        </w:rPr>
        <w:t xml:space="preserve"> כיון שיש לו מיגו נאמן</w:t>
      </w:r>
      <w:r w:rsidRPr="004E2D61">
        <w:rPr>
          <w:rFonts w:hint="cs"/>
          <w:rtl/>
        </w:rPr>
        <w:t>.</w:t>
      </w:r>
      <w:bookmarkEnd w:id="13258"/>
    </w:p>
    <w:p w:rsidR="00EC445E" w:rsidRDefault="00EC445E" w:rsidP="00EC445E">
      <w:pPr>
        <w:pStyle w:val="1"/>
        <w:rPr>
          <w:rtl/>
        </w:rPr>
      </w:pPr>
      <w:bookmarkStart w:id="13259" w:name="_Toc62485622"/>
      <w:bookmarkEnd w:id="13251"/>
      <w:bookmarkEnd w:id="13252"/>
      <w:bookmarkEnd w:id="13253"/>
      <w:r>
        <w:rPr>
          <w:rFonts w:hint="cs"/>
          <w:rtl/>
        </w:rPr>
        <w:t>קושית הקצוה"ח דאחר שבאו עדים בטל המיגו ואמאי נאמן</w:t>
      </w:r>
      <w:bookmarkEnd w:id="13259"/>
    </w:p>
    <w:p w:rsidR="00EC445E" w:rsidRDefault="00EC445E" w:rsidP="00EC445E">
      <w:pPr>
        <w:pStyle w:val="a3"/>
        <w:rPr>
          <w:rtl/>
        </w:rPr>
      </w:pPr>
      <w:bookmarkStart w:id="13260" w:name="_Toc62485623"/>
      <w:r>
        <w:rPr>
          <w:rFonts w:hint="cs"/>
          <w:rtl/>
        </w:rPr>
        <w:t>קושית הקצוה"ח על הר"י מגאש דאי נאמן מפטור לפטור במיגו כשבאו עדים אח"כ בטל המיגו</w:t>
      </w:r>
      <w:bookmarkEnd w:id="13260"/>
    </w:p>
    <w:p w:rsidR="00EC445E" w:rsidRDefault="00EC445E" w:rsidP="007E4E81">
      <w:pPr>
        <w:pStyle w:val="a0"/>
        <w:rPr>
          <w:rtl/>
        </w:rPr>
      </w:pPr>
      <w:bookmarkStart w:id="13261" w:name="_Ref62158350"/>
      <w:r>
        <w:rPr>
          <w:rFonts w:hint="cs"/>
          <w:rtl/>
        </w:rPr>
        <w:t xml:space="preserve">הביא </w:t>
      </w:r>
      <w:r w:rsidRPr="00950809">
        <w:rPr>
          <w:rStyle w:val="af9"/>
          <w:rFonts w:hint="cs"/>
          <w:rtl/>
        </w:rPr>
        <w:t>הקצוה"ח</w:t>
      </w:r>
      <w:r>
        <w:rPr>
          <w:rFonts w:hint="cs"/>
          <w:rtl/>
        </w:rPr>
        <w:t xml:space="preserve"> </w:t>
      </w:r>
      <w:r w:rsidRPr="00F05FFD">
        <w:rPr>
          <w:rStyle w:val="af7"/>
          <w:rFonts w:eastAsia="Guttman Hodes" w:hint="cs"/>
          <w:rtl/>
        </w:rPr>
        <w:t>(סי' פ' סק"ג)</w:t>
      </w:r>
      <w:r>
        <w:rPr>
          <w:rFonts w:hint="cs"/>
          <w:rtl/>
        </w:rPr>
        <w:t xml:space="preserve"> את דברי </w:t>
      </w:r>
      <w:r w:rsidRPr="00E66A42">
        <w:rPr>
          <w:rStyle w:val="af9"/>
          <w:rFonts w:hint="cs"/>
          <w:rtl/>
        </w:rPr>
        <w:t>הטור והש"ך</w:t>
      </w:r>
      <w:r>
        <w:rPr>
          <w:rFonts w:hint="cs"/>
          <w:rtl/>
        </w:rPr>
        <w:t xml:space="preserve"> </w:t>
      </w:r>
      <w:r w:rsidRPr="00E66A42">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Ref62407179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Pr>
          <w:rStyle w:val="af7"/>
          <w:rFonts w:eastAsia="Guttman Hodes"/>
          <w:rtl/>
        </w:rPr>
        <w:fldChar w:fldCharType="end"/>
      </w:r>
      <w:r>
        <w:rPr>
          <w:rStyle w:val="af7"/>
          <w:rFonts w:eastAsia="Guttman Hodes" w:hint="cs"/>
          <w:rtl/>
        </w:rPr>
        <w:t xml:space="preserve"> </w:t>
      </w:r>
      <w:r>
        <w:rPr>
          <w:rFonts w:hint="cs"/>
          <w:rtl/>
        </w:rPr>
        <w:t xml:space="preserve">דכתבו בשם </w:t>
      </w:r>
      <w:r w:rsidRPr="00950809">
        <w:rPr>
          <w:rStyle w:val="af9"/>
          <w:rFonts w:hint="cs"/>
          <w:rtl/>
        </w:rPr>
        <w:t>הר"י מגאש</w:t>
      </w:r>
      <w:r>
        <w:rPr>
          <w:rFonts w:hint="cs"/>
          <w:rtl/>
        </w:rPr>
        <w:t xml:space="preserve"> </w:t>
      </w:r>
      <w:r w:rsidRPr="00A02E2D">
        <w:rPr>
          <w:rStyle w:val="af7"/>
          <w:rFonts w:eastAsia="Guttman Hodes" w:hint="cs"/>
          <w:rtl/>
        </w:rPr>
        <w:t xml:space="preserve">(עי' אות </w:t>
      </w:r>
      <w:r w:rsidRPr="00A02E2D">
        <w:rPr>
          <w:rStyle w:val="af7"/>
          <w:rFonts w:eastAsia="Guttman Hodes"/>
          <w:rtl/>
        </w:rPr>
        <w:fldChar w:fldCharType="begin"/>
      </w:r>
      <w:r w:rsidRPr="00A02E2D">
        <w:rPr>
          <w:rStyle w:val="af7"/>
          <w:rFonts w:eastAsia="Guttman Hodes"/>
          <w:rtl/>
        </w:rPr>
        <w:instrText xml:space="preserve"> </w:instrText>
      </w:r>
      <w:r w:rsidRPr="00A02E2D">
        <w:rPr>
          <w:rStyle w:val="af7"/>
          <w:rFonts w:eastAsia="Guttman Hodes" w:hint="cs"/>
        </w:rPr>
        <w:instrText>REF</w:instrText>
      </w:r>
      <w:r w:rsidRPr="00A02E2D">
        <w:rPr>
          <w:rStyle w:val="af7"/>
          <w:rFonts w:eastAsia="Guttman Hodes" w:hint="cs"/>
          <w:rtl/>
        </w:rPr>
        <w:instrText xml:space="preserve"> _</w:instrText>
      </w:r>
      <w:r w:rsidRPr="00A02E2D">
        <w:rPr>
          <w:rStyle w:val="af7"/>
          <w:rFonts w:eastAsia="Guttman Hodes" w:hint="cs"/>
        </w:rPr>
        <w:instrText>Ref62452796 \r \h</w:instrText>
      </w:r>
      <w:r w:rsidRPr="00A02E2D">
        <w:rPr>
          <w:rStyle w:val="af7"/>
          <w:rFonts w:eastAsia="Guttman Hodes"/>
          <w:rtl/>
        </w:rPr>
        <w:instrText xml:space="preserve"> </w:instrText>
      </w:r>
      <w:r w:rsidRPr="00A02E2D">
        <w:rPr>
          <w:rStyle w:val="af7"/>
          <w:rFonts w:eastAsia="Guttman Hodes"/>
          <w:rtl/>
        </w:rPr>
      </w:r>
      <w:r w:rsidRPr="00A02E2D">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A02E2D">
        <w:rPr>
          <w:rStyle w:val="af7"/>
          <w:rFonts w:eastAsia="Guttman Hodes"/>
          <w:rtl/>
        </w:rPr>
        <w:fldChar w:fldCharType="end"/>
      </w:r>
      <w:r w:rsidRPr="00A02E2D">
        <w:rPr>
          <w:rStyle w:val="af7"/>
          <w:rFonts w:eastAsia="Guttman Hodes" w:hint="cs"/>
          <w:rtl/>
        </w:rPr>
        <w:t xml:space="preserve"> </w:t>
      </w:r>
      <w:r>
        <w:rPr>
          <w:rFonts w:hint="cs"/>
          <w:rtl/>
        </w:rPr>
        <w:t xml:space="preserve">דהא דנאמן בחוזר וטוען מפטור לפטור הוא כיון שיש לו מיגו שהיה יכול לעמוד בטענתו הראשונה, והקשה </w:t>
      </w:r>
      <w:r w:rsidRPr="00950809">
        <w:rPr>
          <w:rStyle w:val="af9"/>
          <w:rFonts w:hint="cs"/>
          <w:rtl/>
        </w:rPr>
        <w:lastRenderedPageBreak/>
        <w:t>הקצוה"ח</w:t>
      </w:r>
      <w:r>
        <w:rPr>
          <w:rFonts w:hint="cs"/>
          <w:rtl/>
        </w:rPr>
        <w:t xml:space="preserve"> דא"כ אמאי ביאר </w:t>
      </w:r>
      <w:r w:rsidRPr="00950809">
        <w:rPr>
          <w:rStyle w:val="af9"/>
          <w:rFonts w:hint="cs"/>
          <w:rtl/>
        </w:rPr>
        <w:t>הטור</w:t>
      </w:r>
      <w:r>
        <w:rPr>
          <w:rFonts w:hint="cs"/>
          <w:rtl/>
        </w:rPr>
        <w:t xml:space="preserve"> </w:t>
      </w:r>
      <w:r w:rsidRPr="00A02E2D">
        <w:rPr>
          <w:rStyle w:val="af7"/>
          <w:rFonts w:eastAsia="Guttman Hodes" w:hint="cs"/>
          <w:rtl/>
        </w:rPr>
        <w:t xml:space="preserve">(עי' אות </w:t>
      </w:r>
      <w:r w:rsidRPr="00A02E2D">
        <w:rPr>
          <w:rStyle w:val="af7"/>
          <w:rFonts w:eastAsia="Guttman Hodes"/>
          <w:rtl/>
        </w:rPr>
        <w:fldChar w:fldCharType="begin"/>
      </w:r>
      <w:r w:rsidRPr="00A02E2D">
        <w:rPr>
          <w:rStyle w:val="af7"/>
          <w:rFonts w:eastAsia="Guttman Hodes"/>
          <w:rtl/>
        </w:rPr>
        <w:instrText xml:space="preserve"> </w:instrText>
      </w:r>
      <w:r w:rsidRPr="00A02E2D">
        <w:rPr>
          <w:rStyle w:val="af7"/>
          <w:rFonts w:eastAsia="Guttman Hodes" w:hint="cs"/>
        </w:rPr>
        <w:instrText>REF</w:instrText>
      </w:r>
      <w:r w:rsidRPr="00A02E2D">
        <w:rPr>
          <w:rStyle w:val="af7"/>
          <w:rFonts w:eastAsia="Guttman Hodes" w:hint="cs"/>
          <w:rtl/>
        </w:rPr>
        <w:instrText xml:space="preserve"> _</w:instrText>
      </w:r>
      <w:r w:rsidRPr="00A02E2D">
        <w:rPr>
          <w:rStyle w:val="af7"/>
          <w:rFonts w:eastAsia="Guttman Hodes" w:hint="cs"/>
        </w:rPr>
        <w:instrText>Ref62462385 \r \h</w:instrText>
      </w:r>
      <w:r w:rsidRPr="00A02E2D">
        <w:rPr>
          <w:rStyle w:val="af7"/>
          <w:rFonts w:eastAsia="Guttman Hodes"/>
          <w:rtl/>
        </w:rPr>
        <w:instrText xml:space="preserve"> </w:instrText>
      </w:r>
      <w:r w:rsidRPr="00A02E2D">
        <w:rPr>
          <w:rStyle w:val="af7"/>
          <w:rFonts w:eastAsia="Guttman Hodes"/>
          <w:rtl/>
        </w:rPr>
      </w:r>
      <w:r w:rsidRPr="00A02E2D">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A02E2D">
        <w:rPr>
          <w:rStyle w:val="af7"/>
          <w:rFonts w:eastAsia="Guttman Hodes"/>
          <w:rtl/>
        </w:rPr>
        <w:fldChar w:fldCharType="end"/>
      </w:r>
      <w:r w:rsidRPr="00A02E2D">
        <w:rPr>
          <w:rStyle w:val="af7"/>
          <w:rFonts w:eastAsia="Guttman Hodes" w:hint="cs"/>
          <w:rtl/>
        </w:rPr>
        <w:t xml:space="preserve"> </w:t>
      </w:r>
      <w:r>
        <w:rPr>
          <w:rFonts w:hint="cs"/>
          <w:rtl/>
        </w:rPr>
        <w:t xml:space="preserve">בדעת </w:t>
      </w:r>
      <w:r w:rsidRPr="00950809">
        <w:rPr>
          <w:rStyle w:val="af9"/>
          <w:rFonts w:hint="cs"/>
          <w:rtl/>
        </w:rPr>
        <w:t>הר"י מגאש</w:t>
      </w:r>
      <w:r>
        <w:rPr>
          <w:rFonts w:hint="cs"/>
          <w:rtl/>
        </w:rPr>
        <w:t xml:space="preserve"> דנאמן אף כשבאו עדים אחר שחזר וטען והכחישו את טענתו הראשונה, הא איתא בכתובות </w:t>
      </w:r>
      <w:r w:rsidRPr="00F05FFD">
        <w:rPr>
          <w:rStyle w:val="af7"/>
          <w:rFonts w:eastAsia="Guttman Hodes" w:hint="cs"/>
          <w:rtl/>
        </w:rPr>
        <w:t>(כב.)</w:t>
      </w:r>
      <w:r>
        <w:rPr>
          <w:rFonts w:hint="cs"/>
          <w:rtl/>
        </w:rPr>
        <w:t xml:space="preserve"> דאשה שאמרה אשת איש הייתי וגרושה אני, נאמנת מדין הפה שאסר, אך אם באו העדים אח"כ שהיא א"א אינה נאמנת, וכן בהא דפסק </w:t>
      </w:r>
      <w:r w:rsidRPr="00950809">
        <w:rPr>
          <w:rStyle w:val="af9"/>
          <w:rFonts w:hint="cs"/>
          <w:rtl/>
        </w:rPr>
        <w:t>השו"ע</w:t>
      </w:r>
      <w:r>
        <w:rPr>
          <w:rFonts w:hint="cs"/>
          <w:rtl/>
        </w:rPr>
        <w:t xml:space="preserve"> </w:t>
      </w:r>
      <w:r w:rsidRPr="00F05FFD">
        <w:rPr>
          <w:rStyle w:val="af7"/>
          <w:rFonts w:eastAsia="Guttman Hodes" w:hint="cs"/>
          <w:rtl/>
        </w:rPr>
        <w:t>(פ"ב א')</w:t>
      </w:r>
      <w:r>
        <w:rPr>
          <w:rFonts w:hint="cs"/>
          <w:rtl/>
        </w:rPr>
        <w:t xml:space="preserve"> דשטר שאינו מקוים והודה הלוה וטוען פרוע נאמן, אך אם באו עדים לבסוף אינו נאמן, ולא אמרינן דכיון שהיה להם מיגו, נאמנים אף לאחר שבאו העדים, וא"כ אף החוזר וטוען מפטור לפטור אמאי נאמן כשהכחישוהו העדים אח"כ הא אין לו מיגו, דלא היה יכול לעמוד בטענתו הראשונה שהוכחשה, ועי' במה שתירצו את קושית </w:t>
      </w:r>
      <w:r w:rsidRPr="00A02E2D">
        <w:rPr>
          <w:rStyle w:val="af9"/>
          <w:rFonts w:hint="cs"/>
          <w:rtl/>
        </w:rPr>
        <w:t>הקצוה"ח</w:t>
      </w:r>
      <w:r>
        <w:rPr>
          <w:rFonts w:hint="cs"/>
          <w:rtl/>
        </w:rPr>
        <w:t xml:space="preserve">, </w:t>
      </w:r>
      <w:r w:rsidRPr="00A02E2D">
        <w:rPr>
          <w:rStyle w:val="af9"/>
          <w:rFonts w:hint="cs"/>
          <w:rtl/>
        </w:rPr>
        <w:t>המחנ"א</w:t>
      </w:r>
      <w:r>
        <w:rPr>
          <w:rFonts w:hint="cs"/>
          <w:rtl/>
        </w:rPr>
        <w:t xml:space="preserve"> בשם </w:t>
      </w:r>
      <w:r w:rsidRPr="00A02E2D">
        <w:rPr>
          <w:rStyle w:val="af9"/>
          <w:rFonts w:hint="cs"/>
          <w:rtl/>
        </w:rPr>
        <w:t>הפני משה</w:t>
      </w:r>
      <w:r>
        <w:rPr>
          <w:rFonts w:hint="cs"/>
          <w:rtl/>
        </w:rPr>
        <w:t xml:space="preserve"> </w:t>
      </w:r>
      <w:r w:rsidRPr="00A02E2D">
        <w:rPr>
          <w:rStyle w:val="af7"/>
          <w:rFonts w:eastAsia="Guttman Hodes" w:hint="cs"/>
          <w:rtl/>
        </w:rPr>
        <w:t xml:space="preserve">(עי' אות </w:t>
      </w:r>
      <w:r w:rsidRPr="00A02E2D">
        <w:rPr>
          <w:rStyle w:val="af7"/>
          <w:rFonts w:eastAsia="Guttman Hodes"/>
          <w:rtl/>
        </w:rPr>
        <w:fldChar w:fldCharType="begin"/>
      </w:r>
      <w:r w:rsidRPr="00A02E2D">
        <w:rPr>
          <w:rStyle w:val="af7"/>
          <w:rFonts w:eastAsia="Guttman Hodes"/>
          <w:rtl/>
        </w:rPr>
        <w:instrText xml:space="preserve"> </w:instrText>
      </w:r>
      <w:r w:rsidRPr="00A02E2D">
        <w:rPr>
          <w:rStyle w:val="af7"/>
          <w:rFonts w:eastAsia="Guttman Hodes" w:hint="cs"/>
        </w:rPr>
        <w:instrText>REF</w:instrText>
      </w:r>
      <w:r w:rsidRPr="00A02E2D">
        <w:rPr>
          <w:rStyle w:val="af7"/>
          <w:rFonts w:eastAsia="Guttman Hodes" w:hint="cs"/>
          <w:rtl/>
        </w:rPr>
        <w:instrText xml:space="preserve"> _</w:instrText>
      </w:r>
      <w:r w:rsidRPr="00A02E2D">
        <w:rPr>
          <w:rStyle w:val="af7"/>
          <w:rFonts w:eastAsia="Guttman Hodes" w:hint="cs"/>
        </w:rPr>
        <w:instrText>Ref62462498 \r \h</w:instrText>
      </w:r>
      <w:r w:rsidRPr="00A02E2D">
        <w:rPr>
          <w:rStyle w:val="af7"/>
          <w:rFonts w:eastAsia="Guttman Hodes"/>
          <w:rtl/>
        </w:rPr>
        <w:instrText xml:space="preserve"> </w:instrText>
      </w:r>
      <w:r w:rsidRPr="00A02E2D">
        <w:rPr>
          <w:rStyle w:val="af7"/>
          <w:rFonts w:eastAsia="Guttman Hodes"/>
          <w:rtl/>
        </w:rPr>
      </w:r>
      <w:r w:rsidRPr="00A02E2D">
        <w:rPr>
          <w:rStyle w:val="af7"/>
          <w:rFonts w:eastAsia="Guttman Hodes"/>
          <w:rtl/>
        </w:rPr>
        <w:fldChar w:fldCharType="separate"/>
      </w:r>
      <w:r w:rsidR="00265073">
        <w:rPr>
          <w:rStyle w:val="af7"/>
          <w:rFonts w:eastAsia="Guttman Hodes"/>
          <w:cs/>
        </w:rPr>
        <w:t>‎</w:t>
      </w:r>
      <w:r w:rsidR="00265073">
        <w:rPr>
          <w:rStyle w:val="af7"/>
          <w:rFonts w:eastAsia="Guttman Hodes"/>
          <w:rtl/>
        </w:rPr>
        <w:t>עג)</w:t>
      </w:r>
      <w:r w:rsidRPr="00A02E2D">
        <w:rPr>
          <w:rStyle w:val="af7"/>
          <w:rFonts w:eastAsia="Guttman Hodes"/>
          <w:rtl/>
        </w:rPr>
        <w:fldChar w:fldCharType="end"/>
      </w:r>
      <w:r>
        <w:rPr>
          <w:rFonts w:hint="cs"/>
          <w:rtl/>
        </w:rPr>
        <w:t xml:space="preserve"> </w:t>
      </w:r>
      <w:r w:rsidRPr="00A02E2D">
        <w:rPr>
          <w:rStyle w:val="af9"/>
          <w:rFonts w:hint="cs"/>
          <w:rtl/>
        </w:rPr>
        <w:t>והמחנ"א והאמרי</w:t>
      </w:r>
      <w:r>
        <w:rPr>
          <w:rFonts w:hint="cs"/>
          <w:rtl/>
        </w:rPr>
        <w:t xml:space="preserve"> </w:t>
      </w:r>
      <w:r w:rsidRPr="00A02E2D">
        <w:rPr>
          <w:rStyle w:val="af9"/>
          <w:rFonts w:hint="cs"/>
          <w:rtl/>
        </w:rPr>
        <w:t>ברוך</w:t>
      </w:r>
      <w:r>
        <w:rPr>
          <w:rFonts w:hint="cs"/>
          <w:rtl/>
        </w:rPr>
        <w:t xml:space="preserve"> </w:t>
      </w:r>
      <w:r w:rsidRPr="00A02E2D">
        <w:rPr>
          <w:rStyle w:val="af7"/>
          <w:rFonts w:eastAsia="Guttman Hodes" w:hint="cs"/>
          <w:rtl/>
        </w:rPr>
        <w:t xml:space="preserve">(עי' אות </w:t>
      </w:r>
      <w:r w:rsidRPr="00A02E2D">
        <w:rPr>
          <w:rStyle w:val="af7"/>
          <w:rFonts w:eastAsia="Guttman Hodes"/>
          <w:rtl/>
        </w:rPr>
        <w:fldChar w:fldCharType="begin"/>
      </w:r>
      <w:r w:rsidRPr="00A02E2D">
        <w:rPr>
          <w:rStyle w:val="af7"/>
          <w:rFonts w:eastAsia="Guttman Hodes"/>
          <w:rtl/>
        </w:rPr>
        <w:instrText xml:space="preserve"> </w:instrText>
      </w:r>
      <w:r w:rsidRPr="00A02E2D">
        <w:rPr>
          <w:rStyle w:val="af7"/>
          <w:rFonts w:eastAsia="Guttman Hodes" w:hint="cs"/>
        </w:rPr>
        <w:instrText>REF</w:instrText>
      </w:r>
      <w:r w:rsidRPr="00A02E2D">
        <w:rPr>
          <w:rStyle w:val="af7"/>
          <w:rFonts w:eastAsia="Guttman Hodes" w:hint="cs"/>
          <w:rtl/>
        </w:rPr>
        <w:instrText xml:space="preserve"> _</w:instrText>
      </w:r>
      <w:r w:rsidRPr="00A02E2D">
        <w:rPr>
          <w:rStyle w:val="af7"/>
          <w:rFonts w:eastAsia="Guttman Hodes" w:hint="cs"/>
        </w:rPr>
        <w:instrText>Ref62462507 \r \h</w:instrText>
      </w:r>
      <w:r w:rsidRPr="00A02E2D">
        <w:rPr>
          <w:rStyle w:val="af7"/>
          <w:rFonts w:eastAsia="Guttman Hodes"/>
          <w:rtl/>
        </w:rPr>
        <w:instrText xml:space="preserve"> </w:instrText>
      </w:r>
      <w:r w:rsidRPr="00A02E2D">
        <w:rPr>
          <w:rStyle w:val="af7"/>
          <w:rFonts w:eastAsia="Guttman Hodes"/>
          <w:rtl/>
        </w:rPr>
      </w:r>
      <w:r w:rsidRPr="00A02E2D">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A02E2D">
        <w:rPr>
          <w:rStyle w:val="af7"/>
          <w:rFonts w:eastAsia="Guttman Hodes"/>
          <w:rtl/>
        </w:rPr>
        <w:fldChar w:fldCharType="end"/>
      </w:r>
      <w:r>
        <w:rPr>
          <w:rFonts w:hint="cs"/>
          <w:rtl/>
        </w:rPr>
        <w:t xml:space="preserve"> </w:t>
      </w:r>
      <w:r w:rsidRPr="00A02E2D">
        <w:rPr>
          <w:rStyle w:val="af9"/>
          <w:rFonts w:hint="cs"/>
          <w:rtl/>
        </w:rPr>
        <w:t>ובקוב"ש</w:t>
      </w:r>
      <w:r>
        <w:rPr>
          <w:rFonts w:hint="cs"/>
          <w:rtl/>
        </w:rPr>
        <w:t xml:space="preserve"> </w:t>
      </w:r>
      <w:r w:rsidRPr="00CB5D40">
        <w:rPr>
          <w:rStyle w:val="af7"/>
          <w:rFonts w:eastAsia="Guttman Hodes" w:hint="cs"/>
          <w:rtl/>
        </w:rPr>
        <w:t xml:space="preserve">(עי' אות </w:t>
      </w:r>
      <w:r w:rsidRPr="00CB5D40">
        <w:rPr>
          <w:rStyle w:val="af7"/>
          <w:rFonts w:eastAsia="Guttman Hodes"/>
          <w:rtl/>
        </w:rPr>
        <w:fldChar w:fldCharType="begin"/>
      </w:r>
      <w:r w:rsidRPr="00CB5D40">
        <w:rPr>
          <w:rStyle w:val="af7"/>
          <w:rFonts w:eastAsia="Guttman Hodes"/>
          <w:rtl/>
        </w:rPr>
        <w:instrText xml:space="preserve"> </w:instrText>
      </w:r>
      <w:r w:rsidRPr="00CB5D40">
        <w:rPr>
          <w:rStyle w:val="af7"/>
          <w:rFonts w:eastAsia="Guttman Hodes" w:hint="cs"/>
        </w:rPr>
        <w:instrText>REF</w:instrText>
      </w:r>
      <w:r w:rsidRPr="00CB5D40">
        <w:rPr>
          <w:rStyle w:val="af7"/>
          <w:rFonts w:eastAsia="Guttman Hodes" w:hint="cs"/>
          <w:rtl/>
        </w:rPr>
        <w:instrText xml:space="preserve"> _</w:instrText>
      </w:r>
      <w:r w:rsidRPr="00CB5D40">
        <w:rPr>
          <w:rStyle w:val="af7"/>
          <w:rFonts w:eastAsia="Guttman Hodes" w:hint="cs"/>
        </w:rPr>
        <w:instrText>Ref62471537 \r \h</w:instrText>
      </w:r>
      <w:r w:rsidRPr="00CB5D40">
        <w:rPr>
          <w:rStyle w:val="af7"/>
          <w:rFonts w:eastAsia="Guttman Hodes"/>
          <w:rtl/>
        </w:rPr>
        <w:instrText xml:space="preserve"> </w:instrText>
      </w:r>
      <w:r w:rsidRPr="00CB5D40">
        <w:rPr>
          <w:rStyle w:val="af7"/>
          <w:rFonts w:eastAsia="Guttman Hodes"/>
          <w:rtl/>
        </w:rPr>
      </w:r>
      <w:r w:rsidRPr="00CB5D40">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CB5D40">
        <w:rPr>
          <w:rStyle w:val="af7"/>
          <w:rFonts w:eastAsia="Guttman Hodes"/>
          <w:rtl/>
        </w:rPr>
        <w:fldChar w:fldCharType="end"/>
      </w:r>
      <w:r>
        <w:rPr>
          <w:rFonts w:hint="cs"/>
          <w:rtl/>
        </w:rPr>
        <w:t xml:space="preserve"> </w:t>
      </w:r>
      <w:r w:rsidRPr="00A02E2D">
        <w:rPr>
          <w:rStyle w:val="af9"/>
          <w:rFonts w:hint="cs"/>
          <w:rtl/>
        </w:rPr>
        <w:t>ובחי' רבי נחום</w:t>
      </w:r>
      <w:r>
        <w:rPr>
          <w:rFonts w:hint="cs"/>
          <w:rtl/>
        </w:rPr>
        <w:t xml:space="preserve"> </w:t>
      </w:r>
      <w:r w:rsidRPr="007325FC">
        <w:rPr>
          <w:rStyle w:val="af7"/>
          <w:rFonts w:eastAsia="Guttman Hodes" w:hint="cs"/>
          <w:rtl/>
        </w:rPr>
        <w:t xml:space="preserve">(עי' אות </w:t>
      </w:r>
      <w:r w:rsidRPr="007325FC">
        <w:rPr>
          <w:rStyle w:val="af7"/>
          <w:rFonts w:eastAsia="Guttman Hodes"/>
          <w:rtl/>
        </w:rPr>
        <w:fldChar w:fldCharType="begin"/>
      </w:r>
      <w:r w:rsidRPr="007325FC">
        <w:rPr>
          <w:rStyle w:val="af7"/>
          <w:rFonts w:eastAsia="Guttman Hodes"/>
          <w:rtl/>
        </w:rPr>
        <w:instrText xml:space="preserve"> </w:instrText>
      </w:r>
      <w:r w:rsidRPr="007325FC">
        <w:rPr>
          <w:rStyle w:val="af7"/>
          <w:rFonts w:eastAsia="Guttman Hodes" w:hint="cs"/>
        </w:rPr>
        <w:instrText>REF</w:instrText>
      </w:r>
      <w:r w:rsidRPr="007325FC">
        <w:rPr>
          <w:rStyle w:val="af7"/>
          <w:rFonts w:eastAsia="Guttman Hodes" w:hint="cs"/>
          <w:rtl/>
        </w:rPr>
        <w:instrText xml:space="preserve"> _</w:instrText>
      </w:r>
      <w:r w:rsidRPr="007325FC">
        <w:rPr>
          <w:rStyle w:val="af7"/>
          <w:rFonts w:eastAsia="Guttman Hodes" w:hint="cs"/>
        </w:rPr>
        <w:instrText>Ref62472096 \r \h</w:instrText>
      </w:r>
      <w:r w:rsidRPr="007325FC">
        <w:rPr>
          <w:rStyle w:val="af7"/>
          <w:rFonts w:eastAsia="Guttman Hodes"/>
          <w:rtl/>
        </w:rPr>
        <w:instrText xml:space="preserve"> </w:instrText>
      </w:r>
      <w:r w:rsidRPr="007325FC">
        <w:rPr>
          <w:rStyle w:val="af7"/>
          <w:rFonts w:eastAsia="Guttman Hodes"/>
          <w:rtl/>
        </w:rPr>
      </w:r>
      <w:r w:rsidRPr="007325FC">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sidRPr="007325FC">
        <w:rPr>
          <w:rStyle w:val="af7"/>
          <w:rFonts w:eastAsia="Guttman Hodes"/>
          <w:rtl/>
        </w:rPr>
        <w:fldChar w:fldCharType="end"/>
      </w:r>
      <w:r>
        <w:rPr>
          <w:rFonts w:hint="cs"/>
          <w:rtl/>
        </w:rPr>
        <w:t xml:space="preserve"> </w:t>
      </w:r>
      <w:r w:rsidRPr="00A02E2D">
        <w:rPr>
          <w:rStyle w:val="af9"/>
          <w:rFonts w:hint="cs"/>
          <w:rtl/>
        </w:rPr>
        <w:t>ובחי' רבי שמואל</w:t>
      </w:r>
      <w:r>
        <w:rPr>
          <w:rFonts w:hint="cs"/>
          <w:rtl/>
        </w:rPr>
        <w:t xml:space="preserve"> </w:t>
      </w:r>
      <w:r>
        <w:rPr>
          <w:rStyle w:val="af7"/>
          <w:rFonts w:eastAsia="Guttman Hodes" w:hint="cs"/>
          <w:rtl/>
        </w:rPr>
        <w:t>(עי' אות</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Ref62483734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קכ</w:t>
      </w:r>
      <w:r w:rsidR="00265073">
        <w:rPr>
          <w:rStyle w:val="af7"/>
          <w:rFonts w:eastAsia="Guttman Hodes"/>
          <w:rtl/>
        </w:rPr>
        <w:t>)</w:t>
      </w:r>
      <w:r>
        <w:rPr>
          <w:rStyle w:val="af7"/>
          <w:rFonts w:eastAsia="Guttman Hodes" w:hint="cs"/>
          <w:rtl/>
        </w:rPr>
        <w:fldChar w:fldCharType="end"/>
      </w:r>
      <w:r>
        <w:rPr>
          <w:rStyle w:val="af9"/>
          <w:rtl/>
        </w:rPr>
        <w:t xml:space="preserve"> </w:t>
      </w:r>
      <w:r w:rsidRPr="007F75BC">
        <w:rPr>
          <w:rStyle w:val="af9"/>
          <w:rFonts w:hint="cs"/>
          <w:rtl/>
        </w:rPr>
        <w:t>ובאבי עזרי</w:t>
      </w:r>
      <w:r>
        <w:rPr>
          <w:rFonts w:hint="cs"/>
          <w:rtl/>
        </w:rPr>
        <w:t xml:space="preserve"> </w:t>
      </w:r>
      <w:r w:rsidRPr="007F75BC">
        <w:rPr>
          <w:rStyle w:val="af7"/>
          <w:rFonts w:eastAsia="Guttman Hodes" w:hint="cs"/>
          <w:rtl/>
        </w:rPr>
        <w:t xml:space="preserve">(עי' אות </w:t>
      </w:r>
      <w:r w:rsidRPr="007F75BC">
        <w:rPr>
          <w:rStyle w:val="af7"/>
          <w:rFonts w:eastAsia="Guttman Hodes"/>
          <w:rtl/>
        </w:rPr>
        <w:fldChar w:fldCharType="begin"/>
      </w:r>
      <w:r w:rsidRPr="007F75BC">
        <w:rPr>
          <w:rStyle w:val="af7"/>
          <w:rFonts w:eastAsia="Guttman Hodes"/>
          <w:rtl/>
        </w:rPr>
        <w:instrText xml:space="preserve"> </w:instrText>
      </w:r>
      <w:r w:rsidRPr="007F75BC">
        <w:rPr>
          <w:rStyle w:val="af7"/>
          <w:rFonts w:eastAsia="Guttman Hodes" w:hint="cs"/>
        </w:rPr>
        <w:instrText>REF</w:instrText>
      </w:r>
      <w:r w:rsidRPr="007F75BC">
        <w:rPr>
          <w:rStyle w:val="af7"/>
          <w:rFonts w:eastAsia="Guttman Hodes" w:hint="cs"/>
          <w:rtl/>
        </w:rPr>
        <w:instrText xml:space="preserve"> _</w:instrText>
      </w:r>
      <w:r w:rsidRPr="007F75BC">
        <w:rPr>
          <w:rStyle w:val="af7"/>
          <w:rFonts w:eastAsia="Guttman Hodes" w:hint="cs"/>
        </w:rPr>
        <w:instrText>Ref62484130 \r \h</w:instrText>
      </w:r>
      <w:r w:rsidRPr="007F75BC">
        <w:rPr>
          <w:rStyle w:val="af7"/>
          <w:rFonts w:eastAsia="Guttman Hodes"/>
          <w:rtl/>
        </w:rPr>
        <w:instrText xml:space="preserve"> </w:instrText>
      </w:r>
      <w:r w:rsidRPr="007F75BC">
        <w:rPr>
          <w:rStyle w:val="af7"/>
          <w:rFonts w:eastAsia="Guttman Hodes"/>
          <w:rtl/>
        </w:rPr>
      </w:r>
      <w:r w:rsidRPr="007F75BC">
        <w:rPr>
          <w:rStyle w:val="af7"/>
          <w:rFonts w:eastAsia="Guttman Hodes"/>
          <w:rtl/>
        </w:rPr>
        <w:fldChar w:fldCharType="separate"/>
      </w:r>
      <w:r w:rsidR="00265073">
        <w:rPr>
          <w:rStyle w:val="af7"/>
          <w:rFonts w:eastAsia="Guttman Hodes"/>
          <w:cs/>
        </w:rPr>
        <w:t>‎</w:t>
      </w:r>
      <w:r w:rsidR="00265073">
        <w:rPr>
          <w:rStyle w:val="af7"/>
          <w:rFonts w:eastAsia="Guttman Hodes"/>
          <w:rtl/>
        </w:rPr>
        <w:t>קכב)</w:t>
      </w:r>
      <w:r w:rsidRPr="007F75BC">
        <w:rPr>
          <w:rStyle w:val="af7"/>
          <w:rFonts w:eastAsia="Guttman Hodes"/>
          <w:rtl/>
        </w:rPr>
        <w:fldChar w:fldCharType="end"/>
      </w:r>
      <w:r>
        <w:rPr>
          <w:rFonts w:hint="cs"/>
          <w:rtl/>
        </w:rPr>
        <w:t>.</w:t>
      </w:r>
      <w:bookmarkEnd w:id="13261"/>
    </w:p>
    <w:p w:rsidR="00EC445E" w:rsidRDefault="00EC445E" w:rsidP="00EC445E">
      <w:pPr>
        <w:pStyle w:val="1"/>
        <w:rPr>
          <w:rtl/>
        </w:rPr>
      </w:pPr>
      <w:bookmarkStart w:id="13262" w:name="_Toc62485624"/>
      <w:r>
        <w:rPr>
          <w:rFonts w:hint="cs"/>
          <w:rtl/>
        </w:rPr>
        <w:t>ביאור הקצוה"ח דמפטור לפטור נאמן דטענתו אינה הודאת בע"ד</w:t>
      </w:r>
      <w:bookmarkEnd w:id="13262"/>
    </w:p>
    <w:p w:rsidR="00EC445E" w:rsidRPr="00A02E2D" w:rsidRDefault="00EC445E" w:rsidP="00EC445E">
      <w:pPr>
        <w:pStyle w:val="a3"/>
        <w:rPr>
          <w:rtl/>
        </w:rPr>
      </w:pPr>
      <w:bookmarkStart w:id="13263" w:name="_Toc62485625"/>
      <w:r>
        <w:rPr>
          <w:rFonts w:hint="cs"/>
          <w:rtl/>
        </w:rPr>
        <w:t>ביאור הקצוה"ח דבטען טענת פטור לא חשיבא טענתו כהודאת בע"ד ולכן נאמן לחזור ולטעון</w:t>
      </w:r>
      <w:bookmarkEnd w:id="13263"/>
    </w:p>
    <w:p w:rsidR="00EC445E" w:rsidRPr="00A63020" w:rsidRDefault="00EC445E" w:rsidP="007E4E81">
      <w:pPr>
        <w:pStyle w:val="a0"/>
        <w:rPr>
          <w:rStyle w:val="afb"/>
          <w:rtl/>
        </w:rPr>
      </w:pPr>
      <w:bookmarkStart w:id="13264" w:name="_Ref62462034"/>
      <w:bookmarkStart w:id="13265" w:name="_Ref62463813"/>
      <w:r>
        <w:rPr>
          <w:rFonts w:hint="cs"/>
          <w:rtl/>
        </w:rPr>
        <w:t xml:space="preserve">אלא ביאר </w:t>
      </w:r>
      <w:r w:rsidRPr="00950809">
        <w:rPr>
          <w:rStyle w:val="af9"/>
          <w:rFonts w:hint="cs"/>
          <w:rtl/>
        </w:rPr>
        <w:t>הקצוה"ח</w:t>
      </w:r>
      <w:r>
        <w:rPr>
          <w:rFonts w:hint="cs"/>
          <w:rtl/>
        </w:rPr>
        <w:t xml:space="preserve"> </w:t>
      </w:r>
      <w:r w:rsidRPr="00F05FFD">
        <w:rPr>
          <w:rStyle w:val="af7"/>
          <w:rFonts w:eastAsia="Guttman Hodes" w:hint="cs"/>
          <w:rtl/>
        </w:rPr>
        <w:t>(סי' פ' סק"ג ד"ה ולכן)</w:t>
      </w:r>
      <w:r>
        <w:rPr>
          <w:rFonts w:hint="cs"/>
          <w:rtl/>
        </w:rPr>
        <w:t xml:space="preserve"> דהא דחוזר מפטור לפטור נאמן, הוא כיון דכל שלא התחייב בטענתו הראשונה, לא שייך לומר דהיא הודאת בע"ד, והוא כעד שלא נחקרה עדותו בב"ד דיכול לחזור בו, ועי' במה שביארו </w:t>
      </w:r>
      <w:r w:rsidRPr="00950809">
        <w:rPr>
          <w:rStyle w:val="af9"/>
          <w:rFonts w:hint="cs"/>
          <w:rtl/>
        </w:rPr>
        <w:t>בחי' הגר"ח מטעלז</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Ref62469590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F13805">
        <w:rPr>
          <w:rStyle w:val="af7"/>
          <w:rFonts w:eastAsia="Guttman Hodes"/>
          <w:rtl/>
        </w:rPr>
        <w:fldChar w:fldCharType="end"/>
      </w:r>
      <w:r>
        <w:rPr>
          <w:rFonts w:hint="cs"/>
          <w:rtl/>
        </w:rPr>
        <w:t xml:space="preserve"> </w:t>
      </w:r>
      <w:r w:rsidRPr="00950809">
        <w:rPr>
          <w:rStyle w:val="af9"/>
          <w:rFonts w:hint="cs"/>
          <w:rtl/>
        </w:rPr>
        <w:t>ובחי' רבי שמואל</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Ref62469598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F13805">
        <w:rPr>
          <w:rStyle w:val="af7"/>
          <w:rFonts w:eastAsia="Guttman Hodes"/>
          <w:rtl/>
        </w:rPr>
        <w:fldChar w:fldCharType="end"/>
      </w:r>
      <w:r>
        <w:rPr>
          <w:rFonts w:hint="cs"/>
          <w:rtl/>
        </w:rPr>
        <w:t xml:space="preserve"> </w:t>
      </w:r>
      <w:r w:rsidRPr="00950809">
        <w:rPr>
          <w:rStyle w:val="af9"/>
          <w:rFonts w:hint="cs"/>
          <w:rtl/>
        </w:rPr>
        <w:t xml:space="preserve">ובחי' רבי </w:t>
      </w:r>
      <w:r>
        <w:rPr>
          <w:rStyle w:val="af9"/>
          <w:rFonts w:hint="cs"/>
          <w:rtl/>
        </w:rPr>
        <w:t>נחום</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Ref62469606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F13805">
        <w:rPr>
          <w:rStyle w:val="af7"/>
          <w:rFonts w:eastAsia="Guttman Hodes"/>
          <w:rtl/>
        </w:rPr>
        <w:fldChar w:fldCharType="end"/>
      </w:r>
      <w:r>
        <w:rPr>
          <w:rFonts w:hint="cs"/>
          <w:rtl/>
        </w:rPr>
        <w:t xml:space="preserve"> בדברי </w:t>
      </w:r>
      <w:r w:rsidRPr="00950809">
        <w:rPr>
          <w:rStyle w:val="af9"/>
          <w:rFonts w:hint="cs"/>
          <w:rtl/>
        </w:rPr>
        <w:t>הקצוה"ח</w:t>
      </w:r>
      <w:r>
        <w:rPr>
          <w:rFonts w:hint="cs"/>
          <w:rtl/>
        </w:rPr>
        <w:t xml:space="preserve">, וע"ע במה שביאר </w:t>
      </w:r>
      <w:r w:rsidRPr="00ED766D">
        <w:rPr>
          <w:rStyle w:val="af9"/>
          <w:rFonts w:hint="cs"/>
          <w:rtl/>
        </w:rPr>
        <w:t>המהר"י בן לב</w:t>
      </w:r>
      <w:r>
        <w:rPr>
          <w:rFonts w:hint="cs"/>
          <w:rtl/>
        </w:rPr>
        <w:t xml:space="preserve"> </w:t>
      </w:r>
      <w:r w:rsidRPr="00ED766D">
        <w:rPr>
          <w:rStyle w:val="af7"/>
          <w:rFonts w:eastAsia="Guttman Hodes" w:hint="cs"/>
          <w:rtl/>
        </w:rPr>
        <w:t xml:space="preserve">(עי' אות </w:t>
      </w:r>
      <w:r w:rsidRPr="00ED766D">
        <w:rPr>
          <w:rStyle w:val="af7"/>
          <w:rFonts w:eastAsia="Guttman Hodes"/>
          <w:rtl/>
        </w:rPr>
        <w:fldChar w:fldCharType="begin"/>
      </w:r>
      <w:r w:rsidRPr="00ED766D">
        <w:rPr>
          <w:rStyle w:val="af7"/>
          <w:rFonts w:eastAsia="Guttman Hodes"/>
          <w:rtl/>
        </w:rPr>
        <w:instrText xml:space="preserve"> </w:instrText>
      </w:r>
      <w:r w:rsidRPr="00ED766D">
        <w:rPr>
          <w:rStyle w:val="af7"/>
          <w:rFonts w:eastAsia="Guttman Hodes" w:hint="cs"/>
        </w:rPr>
        <w:instrText>REF</w:instrText>
      </w:r>
      <w:r w:rsidRPr="00ED766D">
        <w:rPr>
          <w:rStyle w:val="af7"/>
          <w:rFonts w:eastAsia="Guttman Hodes" w:hint="cs"/>
          <w:rtl/>
        </w:rPr>
        <w:instrText xml:space="preserve"> _</w:instrText>
      </w:r>
      <w:r w:rsidRPr="00ED766D">
        <w:rPr>
          <w:rStyle w:val="af7"/>
          <w:rFonts w:eastAsia="Guttman Hodes" w:hint="cs"/>
        </w:rPr>
        <w:instrText>Ref62402139 \r \h</w:instrText>
      </w:r>
      <w:r w:rsidRPr="00ED766D">
        <w:rPr>
          <w:rStyle w:val="af7"/>
          <w:rFonts w:eastAsia="Guttman Hodes"/>
          <w:rtl/>
        </w:rPr>
        <w:instrText xml:space="preserve"> </w:instrText>
      </w:r>
      <w:r w:rsidRPr="00ED766D">
        <w:rPr>
          <w:rStyle w:val="af7"/>
          <w:rFonts w:eastAsia="Guttman Hodes"/>
          <w:rtl/>
        </w:rPr>
      </w:r>
      <w:r w:rsidRPr="00ED766D">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D766D">
        <w:rPr>
          <w:rStyle w:val="af7"/>
          <w:rFonts w:eastAsia="Guttman Hodes"/>
          <w:rtl/>
        </w:rPr>
        <w:fldChar w:fldCharType="end"/>
      </w:r>
      <w:r>
        <w:rPr>
          <w:rFonts w:hint="cs"/>
          <w:rtl/>
        </w:rPr>
        <w:t xml:space="preserve"> בדברי </w:t>
      </w:r>
      <w:r w:rsidRPr="00ED766D">
        <w:rPr>
          <w:rStyle w:val="af9"/>
          <w:rFonts w:hint="cs"/>
          <w:rtl/>
        </w:rPr>
        <w:t>הר"י</w:t>
      </w:r>
      <w:r>
        <w:rPr>
          <w:rFonts w:hint="cs"/>
          <w:rtl/>
        </w:rPr>
        <w:t xml:space="preserve"> </w:t>
      </w:r>
      <w:r w:rsidRPr="00ED766D">
        <w:rPr>
          <w:rStyle w:val="af9"/>
          <w:rFonts w:hint="cs"/>
          <w:rtl/>
        </w:rPr>
        <w:t>מגאש</w:t>
      </w:r>
      <w:bookmarkEnd w:id="13264"/>
      <w:r>
        <w:rPr>
          <w:rFonts w:hint="cs"/>
          <w:rtl/>
        </w:rPr>
        <w:t>.</w:t>
      </w:r>
      <w:r w:rsidRPr="00B52BE9">
        <w:rPr>
          <w:rFonts w:hint="cs"/>
          <w:rtl/>
        </w:rPr>
        <w:t xml:space="preserve"> </w:t>
      </w:r>
      <w:r w:rsidRPr="007C1851">
        <w:rPr>
          <w:rStyle w:val="afb"/>
          <w:rFonts w:hint="cs"/>
          <w:rtl/>
        </w:rPr>
        <w:t>[</w:t>
      </w:r>
      <w:r w:rsidRPr="00A63020">
        <w:rPr>
          <w:rStyle w:val="afb"/>
          <w:rFonts w:hint="cs"/>
          <w:rtl/>
        </w:rPr>
        <w:t xml:space="preserve">יעוי' במה שהקשו </w:t>
      </w:r>
      <w:r w:rsidRPr="005D4052">
        <w:rPr>
          <w:rStyle w:val="affa"/>
          <w:rFonts w:hint="cs"/>
          <w:rtl/>
        </w:rPr>
        <w:t>הקוב"ש ובחי' רבי שמואל ובחי' רבי נחום</w:t>
      </w:r>
      <w:r w:rsidRPr="00A63020">
        <w:rPr>
          <w:rStyle w:val="afb"/>
          <w:rFonts w:hint="cs"/>
          <w:rtl/>
        </w:rPr>
        <w:t xml:space="preserve"> </w:t>
      </w:r>
      <w:r w:rsidRPr="005D4052">
        <w:rPr>
          <w:rStyle w:val="aff6"/>
          <w:rFonts w:hint="cs"/>
          <w:rtl/>
        </w:rPr>
        <w:t xml:space="preserve">(עי' אות </w:t>
      </w:r>
      <w:r w:rsidRPr="005D4052">
        <w:rPr>
          <w:rStyle w:val="aff6"/>
          <w:rtl/>
        </w:rPr>
        <w:fldChar w:fldCharType="begin"/>
      </w:r>
      <w:r w:rsidRPr="005D4052">
        <w:rPr>
          <w:rStyle w:val="aff6"/>
          <w:rtl/>
        </w:rPr>
        <w:instrText xml:space="preserve"> </w:instrText>
      </w:r>
      <w:r w:rsidRPr="005D4052">
        <w:rPr>
          <w:rStyle w:val="aff6"/>
          <w:rFonts w:hint="cs"/>
        </w:rPr>
        <w:instrText>REF</w:instrText>
      </w:r>
      <w:r w:rsidRPr="005D4052">
        <w:rPr>
          <w:rStyle w:val="aff6"/>
          <w:rFonts w:hint="cs"/>
          <w:rtl/>
        </w:rPr>
        <w:instrText xml:space="preserve"> _</w:instrText>
      </w:r>
      <w:r w:rsidRPr="005D4052">
        <w:rPr>
          <w:rStyle w:val="aff6"/>
          <w:rFonts w:hint="cs"/>
        </w:rPr>
        <w:instrText>Ref62385729 \r \h</w:instrText>
      </w:r>
      <w:r w:rsidRPr="005D4052">
        <w:rPr>
          <w:rStyle w:val="aff6"/>
          <w:rtl/>
        </w:rPr>
        <w:instrText xml:space="preserve"> </w:instrText>
      </w:r>
      <w:r w:rsidRPr="005D4052">
        <w:rPr>
          <w:rStyle w:val="aff6"/>
          <w:rtl/>
        </w:rPr>
      </w:r>
      <w:r w:rsidRPr="005D4052">
        <w:rPr>
          <w:rStyle w:val="aff6"/>
          <w:rtl/>
        </w:rPr>
        <w:fldChar w:fldCharType="separate"/>
      </w:r>
      <w:r w:rsidR="00265073">
        <w:rPr>
          <w:rStyle w:val="aff6"/>
          <w:cs/>
        </w:rPr>
        <w:t>‎</w:t>
      </w:r>
      <w:r w:rsidR="00265073">
        <w:rPr>
          <w:rStyle w:val="aff6"/>
          <w:rtl/>
        </w:rPr>
        <w:t>קי)</w:t>
      </w:r>
      <w:r w:rsidRPr="005D4052">
        <w:rPr>
          <w:rStyle w:val="aff6"/>
          <w:rtl/>
        </w:rPr>
        <w:fldChar w:fldCharType="end"/>
      </w:r>
      <w:r w:rsidRPr="00A63020">
        <w:rPr>
          <w:rStyle w:val="afb"/>
          <w:rFonts w:hint="cs"/>
          <w:rtl/>
        </w:rPr>
        <w:t xml:space="preserve"> דבדברי </w:t>
      </w:r>
      <w:r w:rsidRPr="005D4052">
        <w:rPr>
          <w:rStyle w:val="affa"/>
          <w:rFonts w:hint="cs"/>
          <w:rtl/>
        </w:rPr>
        <w:t>הר"י מגאש</w:t>
      </w:r>
      <w:r w:rsidRPr="00A63020">
        <w:rPr>
          <w:rStyle w:val="afb"/>
          <w:rFonts w:hint="cs"/>
          <w:rtl/>
        </w:rPr>
        <w:t xml:space="preserve"> </w:t>
      </w:r>
      <w:r w:rsidRPr="005D4052">
        <w:rPr>
          <w:rStyle w:val="aff6"/>
          <w:rFonts w:hint="cs"/>
          <w:rtl/>
        </w:rPr>
        <w:t>(עי' אות</w:t>
      </w:r>
      <w:r w:rsidRPr="00A63020">
        <w:rPr>
          <w:rStyle w:val="afb"/>
          <w:rFonts w:hint="cs"/>
          <w:rtl/>
        </w:rPr>
        <w:t xml:space="preserve"> </w:t>
      </w:r>
      <w:r w:rsidRPr="005D4052">
        <w:rPr>
          <w:rStyle w:val="aff6"/>
          <w:rtl/>
        </w:rPr>
        <w:fldChar w:fldCharType="begin"/>
      </w:r>
      <w:r w:rsidRPr="005D4052">
        <w:rPr>
          <w:rStyle w:val="aff6"/>
          <w:rtl/>
        </w:rPr>
        <w:instrText xml:space="preserve"> </w:instrText>
      </w:r>
      <w:r w:rsidRPr="005D4052">
        <w:rPr>
          <w:rStyle w:val="aff6"/>
          <w:rFonts w:hint="cs"/>
        </w:rPr>
        <w:instrText>REF</w:instrText>
      </w:r>
      <w:r w:rsidRPr="005D4052">
        <w:rPr>
          <w:rStyle w:val="aff6"/>
          <w:rFonts w:hint="cs"/>
          <w:rtl/>
        </w:rPr>
        <w:instrText xml:space="preserve"> _</w:instrText>
      </w:r>
      <w:r w:rsidRPr="005D4052">
        <w:rPr>
          <w:rStyle w:val="aff6"/>
          <w:rFonts w:hint="cs"/>
        </w:rPr>
        <w:instrText>Ref62452796 \r \h</w:instrText>
      </w:r>
      <w:r w:rsidRPr="005D4052">
        <w:rPr>
          <w:rStyle w:val="aff6"/>
          <w:rtl/>
        </w:rPr>
        <w:instrText xml:space="preserve"> </w:instrText>
      </w:r>
      <w:r w:rsidRPr="005D4052">
        <w:rPr>
          <w:rStyle w:val="aff6"/>
          <w:rtl/>
        </w:rPr>
      </w:r>
      <w:r w:rsidRPr="005D4052">
        <w:rPr>
          <w:rStyle w:val="aff6"/>
          <w:rtl/>
        </w:rPr>
        <w:fldChar w:fldCharType="separate"/>
      </w:r>
      <w:r w:rsidR="00265073">
        <w:rPr>
          <w:rStyle w:val="aff6"/>
          <w:cs/>
        </w:rPr>
        <w:t>‎</w:t>
      </w:r>
      <w:r w:rsidR="00265073">
        <w:rPr>
          <w:rStyle w:val="aff6"/>
          <w:rtl/>
        </w:rPr>
        <w:t>מב)</w:t>
      </w:r>
      <w:r w:rsidRPr="005D4052">
        <w:rPr>
          <w:rStyle w:val="aff6"/>
          <w:rtl/>
        </w:rPr>
        <w:fldChar w:fldCharType="end"/>
      </w:r>
      <w:r w:rsidRPr="00A63020">
        <w:rPr>
          <w:rStyle w:val="afb"/>
          <w:rFonts w:hint="cs"/>
          <w:rtl/>
        </w:rPr>
        <w:t xml:space="preserve"> </w:t>
      </w:r>
      <w:r w:rsidRPr="005D4052">
        <w:rPr>
          <w:rStyle w:val="affa"/>
          <w:rFonts w:hint="cs"/>
          <w:rtl/>
        </w:rPr>
        <w:t>והיד רמ"ה</w:t>
      </w:r>
      <w:r w:rsidRPr="00A63020">
        <w:rPr>
          <w:rStyle w:val="afb"/>
          <w:rFonts w:hint="cs"/>
          <w:rtl/>
        </w:rPr>
        <w:t xml:space="preserve"> </w:t>
      </w:r>
      <w:r w:rsidRPr="005D4052">
        <w:rPr>
          <w:rStyle w:val="aff6"/>
          <w:rFonts w:hint="cs"/>
          <w:rtl/>
        </w:rPr>
        <w:t xml:space="preserve">(עי' אות </w:t>
      </w:r>
      <w:r w:rsidRPr="005D4052">
        <w:rPr>
          <w:rStyle w:val="aff6"/>
          <w:rtl/>
        </w:rPr>
        <w:fldChar w:fldCharType="begin"/>
      </w:r>
      <w:r w:rsidRPr="005D4052">
        <w:rPr>
          <w:rStyle w:val="aff6"/>
          <w:rtl/>
        </w:rPr>
        <w:instrText xml:space="preserve"> </w:instrText>
      </w:r>
      <w:r w:rsidRPr="005D4052">
        <w:rPr>
          <w:rStyle w:val="aff6"/>
          <w:rFonts w:hint="cs"/>
        </w:rPr>
        <w:instrText>REF</w:instrText>
      </w:r>
      <w:r w:rsidRPr="005D4052">
        <w:rPr>
          <w:rStyle w:val="aff6"/>
          <w:rFonts w:hint="cs"/>
          <w:rtl/>
        </w:rPr>
        <w:instrText xml:space="preserve"> _</w:instrText>
      </w:r>
      <w:r w:rsidRPr="005D4052">
        <w:rPr>
          <w:rStyle w:val="aff6"/>
          <w:rFonts w:hint="cs"/>
        </w:rPr>
        <w:instrText>Ref62324951 \r \h</w:instrText>
      </w:r>
      <w:r w:rsidRPr="005D4052">
        <w:rPr>
          <w:rStyle w:val="aff6"/>
          <w:rtl/>
        </w:rPr>
        <w:instrText xml:space="preserve"> </w:instrText>
      </w:r>
      <w:r w:rsidRPr="005D4052">
        <w:rPr>
          <w:rStyle w:val="aff6"/>
          <w:rtl/>
        </w:rPr>
      </w:r>
      <w:r w:rsidRPr="005D4052">
        <w:rPr>
          <w:rStyle w:val="aff6"/>
          <w:rtl/>
        </w:rPr>
        <w:fldChar w:fldCharType="separate"/>
      </w:r>
      <w:r w:rsidR="00265073">
        <w:rPr>
          <w:rStyle w:val="aff6"/>
          <w:cs/>
        </w:rPr>
        <w:t>‎</w:t>
      </w:r>
      <w:r w:rsidR="00265073">
        <w:rPr>
          <w:rStyle w:val="aff6"/>
          <w:rtl/>
        </w:rPr>
        <w:t>ס)</w:t>
      </w:r>
      <w:r w:rsidRPr="005D4052">
        <w:rPr>
          <w:rStyle w:val="aff6"/>
          <w:rtl/>
        </w:rPr>
        <w:fldChar w:fldCharType="end"/>
      </w:r>
      <w:r w:rsidRPr="00A63020">
        <w:rPr>
          <w:rStyle w:val="afb"/>
          <w:rFonts w:hint="cs"/>
          <w:rtl/>
        </w:rPr>
        <w:t xml:space="preserve"> </w:t>
      </w:r>
      <w:r w:rsidRPr="005D4052">
        <w:rPr>
          <w:rStyle w:val="affa"/>
          <w:rFonts w:hint="cs"/>
          <w:rtl/>
        </w:rPr>
        <w:t>והרשב"א בתשו'</w:t>
      </w:r>
      <w:r w:rsidRPr="00A63020">
        <w:rPr>
          <w:rStyle w:val="afb"/>
          <w:rFonts w:hint="cs"/>
          <w:rtl/>
        </w:rPr>
        <w:t xml:space="preserve"> </w:t>
      </w:r>
      <w:r w:rsidRPr="005D4052">
        <w:rPr>
          <w:rStyle w:val="aff6"/>
          <w:rFonts w:hint="cs"/>
          <w:rtl/>
        </w:rPr>
        <w:t xml:space="preserve">(עי' אות </w:t>
      </w:r>
      <w:r w:rsidRPr="005D4052">
        <w:rPr>
          <w:rStyle w:val="aff6"/>
          <w:rtl/>
        </w:rPr>
        <w:fldChar w:fldCharType="begin"/>
      </w:r>
      <w:r w:rsidRPr="005D4052">
        <w:rPr>
          <w:rStyle w:val="aff6"/>
          <w:rtl/>
        </w:rPr>
        <w:instrText xml:space="preserve"> </w:instrText>
      </w:r>
      <w:r w:rsidRPr="005D4052">
        <w:rPr>
          <w:rStyle w:val="aff6"/>
          <w:rFonts w:hint="cs"/>
        </w:rPr>
        <w:instrText>REF</w:instrText>
      </w:r>
      <w:r w:rsidRPr="005D4052">
        <w:rPr>
          <w:rStyle w:val="aff6"/>
          <w:rFonts w:hint="cs"/>
          <w:rtl/>
        </w:rPr>
        <w:instrText xml:space="preserve"> _</w:instrText>
      </w:r>
      <w:r w:rsidRPr="005D4052">
        <w:rPr>
          <w:rStyle w:val="aff6"/>
          <w:rFonts w:hint="cs"/>
        </w:rPr>
        <w:instrText>Ref62464279 \r \h</w:instrText>
      </w:r>
      <w:r w:rsidRPr="005D4052">
        <w:rPr>
          <w:rStyle w:val="aff6"/>
          <w:rtl/>
        </w:rPr>
        <w:instrText xml:space="preserve"> </w:instrText>
      </w:r>
      <w:r w:rsidRPr="005D4052">
        <w:rPr>
          <w:rStyle w:val="aff6"/>
          <w:rtl/>
        </w:rPr>
      </w:r>
      <w:r w:rsidRPr="005D4052">
        <w:rPr>
          <w:rStyle w:val="aff6"/>
          <w:rtl/>
        </w:rPr>
        <w:fldChar w:fldCharType="separate"/>
      </w:r>
      <w:r w:rsidR="00265073">
        <w:rPr>
          <w:rStyle w:val="aff6"/>
          <w:cs/>
        </w:rPr>
        <w:t>‎</w:t>
      </w:r>
      <w:r w:rsidR="00265073">
        <w:rPr>
          <w:rStyle w:val="aff6"/>
          <w:rtl/>
        </w:rPr>
        <w:t>נ)</w:t>
      </w:r>
      <w:r w:rsidRPr="005D4052">
        <w:rPr>
          <w:rStyle w:val="aff6"/>
          <w:rtl/>
        </w:rPr>
        <w:fldChar w:fldCharType="end"/>
      </w:r>
      <w:r w:rsidRPr="00A63020">
        <w:rPr>
          <w:rStyle w:val="afb"/>
          <w:rFonts w:hint="cs"/>
          <w:rtl/>
        </w:rPr>
        <w:t xml:space="preserve"> מפורש שהוא מדין מיגו</w:t>
      </w:r>
      <w:r>
        <w:rPr>
          <w:rStyle w:val="afb"/>
          <w:rFonts w:hint="cs"/>
          <w:rtl/>
        </w:rPr>
        <w:t>,</w:t>
      </w:r>
      <w:r w:rsidRPr="007C1851">
        <w:rPr>
          <w:rStyle w:val="afb"/>
          <w:rFonts w:hint="cs"/>
          <w:rtl/>
        </w:rPr>
        <w:t xml:space="preserve"> </w:t>
      </w:r>
      <w:r>
        <w:rPr>
          <w:rStyle w:val="afb"/>
          <w:rFonts w:hint="cs"/>
          <w:rtl/>
        </w:rPr>
        <w:t>וע"ע בדברי</w:t>
      </w:r>
      <w:r w:rsidRPr="007C1851">
        <w:rPr>
          <w:rStyle w:val="afb"/>
          <w:rFonts w:hint="cs"/>
          <w:rtl/>
        </w:rPr>
        <w:t xml:space="preserve"> </w:t>
      </w:r>
      <w:r>
        <w:rPr>
          <w:rStyle w:val="affa"/>
          <w:rFonts w:hint="cs"/>
          <w:rtl/>
        </w:rPr>
        <w:t>ה</w:t>
      </w:r>
      <w:r w:rsidRPr="007C1851">
        <w:rPr>
          <w:rStyle w:val="affa"/>
          <w:rFonts w:hint="cs"/>
          <w:rtl/>
        </w:rPr>
        <w:t>ר"י מגאש בשבועות</w:t>
      </w:r>
      <w:r w:rsidRPr="007C1851">
        <w:rPr>
          <w:rStyle w:val="afb"/>
          <w:rFonts w:hint="cs"/>
          <w:rtl/>
        </w:rPr>
        <w:t xml:space="preserve"> </w:t>
      </w:r>
      <w:r w:rsidRPr="007C1851">
        <w:rPr>
          <w:rStyle w:val="aff6"/>
          <w:rFonts w:hint="cs"/>
          <w:rtl/>
        </w:rPr>
        <w:t xml:space="preserve">(עי' אות </w:t>
      </w:r>
      <w:r w:rsidRPr="007C1851">
        <w:rPr>
          <w:rStyle w:val="aff6"/>
          <w:rtl/>
        </w:rPr>
        <w:fldChar w:fldCharType="begin"/>
      </w:r>
      <w:r w:rsidRPr="007C1851">
        <w:rPr>
          <w:rStyle w:val="aff6"/>
          <w:rtl/>
        </w:rPr>
        <w:instrText xml:space="preserve"> </w:instrText>
      </w:r>
      <w:r w:rsidRPr="007C1851">
        <w:rPr>
          <w:rStyle w:val="aff6"/>
          <w:rFonts w:hint="cs"/>
        </w:rPr>
        <w:instrText>REF</w:instrText>
      </w:r>
      <w:r w:rsidRPr="007C1851">
        <w:rPr>
          <w:rStyle w:val="aff6"/>
          <w:rFonts w:hint="cs"/>
          <w:rtl/>
        </w:rPr>
        <w:instrText xml:space="preserve"> _</w:instrText>
      </w:r>
      <w:r w:rsidRPr="007C1851">
        <w:rPr>
          <w:rStyle w:val="aff6"/>
          <w:rFonts w:hint="cs"/>
        </w:rPr>
        <w:instrText>Ref62462156 \r \h</w:instrText>
      </w:r>
      <w:r w:rsidRPr="007C1851">
        <w:rPr>
          <w:rStyle w:val="aff6"/>
          <w:rtl/>
        </w:rPr>
        <w:instrText xml:space="preserve"> </w:instrText>
      </w:r>
      <w:r w:rsidRPr="007C1851">
        <w:rPr>
          <w:rStyle w:val="aff6"/>
          <w:rtl/>
        </w:rPr>
      </w:r>
      <w:r w:rsidRPr="007C1851">
        <w:rPr>
          <w:rStyle w:val="aff6"/>
          <w:rtl/>
        </w:rPr>
        <w:fldChar w:fldCharType="separate"/>
      </w:r>
      <w:r w:rsidR="00265073">
        <w:rPr>
          <w:rStyle w:val="aff6"/>
          <w:cs/>
        </w:rPr>
        <w:t>‎</w:t>
      </w:r>
      <w:r w:rsidR="00265073">
        <w:rPr>
          <w:rStyle w:val="aff6"/>
          <w:rtl/>
        </w:rPr>
        <w:t>מה)</w:t>
      </w:r>
      <w:r w:rsidRPr="007C1851">
        <w:rPr>
          <w:rStyle w:val="aff6"/>
          <w:rtl/>
        </w:rPr>
        <w:fldChar w:fldCharType="end"/>
      </w:r>
      <w:r>
        <w:rPr>
          <w:rStyle w:val="afb"/>
          <w:rFonts w:hint="cs"/>
          <w:rtl/>
        </w:rPr>
        <w:t xml:space="preserve"> דמשמע דס"ל </w:t>
      </w:r>
      <w:r w:rsidRPr="007C1851">
        <w:rPr>
          <w:rStyle w:val="afb"/>
          <w:rFonts w:hint="cs"/>
          <w:rtl/>
        </w:rPr>
        <w:t xml:space="preserve">כדברי </w:t>
      </w:r>
      <w:r w:rsidRPr="007C1851">
        <w:rPr>
          <w:rStyle w:val="affa"/>
          <w:rFonts w:hint="cs"/>
          <w:rtl/>
        </w:rPr>
        <w:t>הקצוה"ח</w:t>
      </w:r>
      <w:r w:rsidRPr="007C1851">
        <w:rPr>
          <w:rStyle w:val="afb"/>
          <w:rFonts w:hint="cs"/>
          <w:rtl/>
        </w:rPr>
        <w:t xml:space="preserve"> ד</w:t>
      </w:r>
      <w:r>
        <w:rPr>
          <w:rStyle w:val="afb"/>
          <w:rFonts w:hint="cs"/>
          <w:rtl/>
        </w:rPr>
        <w:t xml:space="preserve">טענתו הראשונה </w:t>
      </w:r>
      <w:r w:rsidRPr="007C1851">
        <w:rPr>
          <w:rStyle w:val="afb"/>
          <w:rFonts w:hint="cs"/>
          <w:rtl/>
        </w:rPr>
        <w:t xml:space="preserve">אינה הודאת בע"ד, אך הוסיף </w:t>
      </w:r>
      <w:r w:rsidRPr="007C1851">
        <w:rPr>
          <w:rStyle w:val="affa"/>
          <w:rFonts w:hint="cs"/>
          <w:rtl/>
        </w:rPr>
        <w:t>הר"י מגאש בשבועות</w:t>
      </w:r>
      <w:r w:rsidRPr="007C1851">
        <w:rPr>
          <w:rStyle w:val="afb"/>
          <w:rFonts w:hint="cs"/>
          <w:rtl/>
        </w:rPr>
        <w:t xml:space="preserve"> דנאמן שהיה יכול לעמוד בטענתו הראשונה</w:t>
      </w:r>
      <w:r>
        <w:rPr>
          <w:rStyle w:val="afb"/>
          <w:rFonts w:hint="cs"/>
          <w:rtl/>
        </w:rPr>
        <w:t>,</w:t>
      </w:r>
      <w:r w:rsidRPr="007C1851">
        <w:rPr>
          <w:rStyle w:val="afb"/>
          <w:rFonts w:hint="cs"/>
          <w:rtl/>
        </w:rPr>
        <w:t xml:space="preserve"> והיינו במיגו כדביאר </w:t>
      </w:r>
      <w:r w:rsidRPr="007C1851">
        <w:rPr>
          <w:rStyle w:val="affa"/>
          <w:rFonts w:hint="cs"/>
          <w:rtl/>
        </w:rPr>
        <w:t>הר"י מגאש בסוגיין</w:t>
      </w:r>
      <w:r w:rsidRPr="007C1851">
        <w:rPr>
          <w:rStyle w:val="afb"/>
          <w:rFonts w:hint="cs"/>
          <w:rtl/>
        </w:rPr>
        <w:t xml:space="preserve"> </w:t>
      </w:r>
      <w:r w:rsidRPr="007C1851">
        <w:rPr>
          <w:rStyle w:val="aff6"/>
          <w:rFonts w:hint="cs"/>
          <w:rtl/>
        </w:rPr>
        <w:t xml:space="preserve">(עי' אות </w:t>
      </w:r>
      <w:r w:rsidRPr="007C1851">
        <w:rPr>
          <w:rStyle w:val="aff6"/>
          <w:rtl/>
        </w:rPr>
        <w:fldChar w:fldCharType="begin"/>
      </w:r>
      <w:r w:rsidRPr="007C1851">
        <w:rPr>
          <w:rStyle w:val="aff6"/>
          <w:rtl/>
        </w:rPr>
        <w:instrText xml:space="preserve"> </w:instrText>
      </w:r>
      <w:r w:rsidRPr="007C1851">
        <w:rPr>
          <w:rStyle w:val="aff6"/>
          <w:rFonts w:hint="cs"/>
        </w:rPr>
        <w:instrText>REF</w:instrText>
      </w:r>
      <w:r w:rsidRPr="007C1851">
        <w:rPr>
          <w:rStyle w:val="aff6"/>
          <w:rFonts w:hint="cs"/>
          <w:rtl/>
        </w:rPr>
        <w:instrText xml:space="preserve"> _</w:instrText>
      </w:r>
      <w:r w:rsidRPr="007C1851">
        <w:rPr>
          <w:rStyle w:val="aff6"/>
          <w:rFonts w:hint="cs"/>
        </w:rPr>
        <w:instrText>Ref62452796 \r \h</w:instrText>
      </w:r>
      <w:r w:rsidRPr="007C1851">
        <w:rPr>
          <w:rStyle w:val="aff6"/>
          <w:rtl/>
        </w:rPr>
        <w:instrText xml:space="preserve"> </w:instrText>
      </w:r>
      <w:r w:rsidRPr="007C1851">
        <w:rPr>
          <w:rStyle w:val="aff6"/>
          <w:rtl/>
        </w:rPr>
      </w:r>
      <w:r w:rsidRPr="007C1851">
        <w:rPr>
          <w:rStyle w:val="aff6"/>
          <w:rtl/>
        </w:rPr>
        <w:fldChar w:fldCharType="separate"/>
      </w:r>
      <w:r w:rsidR="00265073">
        <w:rPr>
          <w:rStyle w:val="aff6"/>
          <w:cs/>
        </w:rPr>
        <w:t>‎</w:t>
      </w:r>
      <w:r w:rsidR="00265073">
        <w:rPr>
          <w:rStyle w:val="aff6"/>
          <w:rtl/>
        </w:rPr>
        <w:t>מב)</w:t>
      </w:r>
      <w:r w:rsidRPr="007C1851">
        <w:rPr>
          <w:rStyle w:val="aff6"/>
          <w:rtl/>
        </w:rPr>
        <w:fldChar w:fldCharType="end"/>
      </w:r>
      <w:bookmarkEnd w:id="13265"/>
      <w:r>
        <w:rPr>
          <w:rStyle w:val="afb"/>
          <w:rFonts w:hint="cs"/>
          <w:rtl/>
        </w:rPr>
        <w:t>]</w:t>
      </w:r>
      <w:r w:rsidRPr="00A63020">
        <w:rPr>
          <w:rStyle w:val="afb"/>
          <w:rFonts w:hint="cs"/>
          <w:rtl/>
        </w:rPr>
        <w:t>.</w:t>
      </w:r>
    </w:p>
    <w:p w:rsidR="00EC445E" w:rsidRDefault="00EC445E" w:rsidP="00EC445E">
      <w:pPr>
        <w:pStyle w:val="a3"/>
        <w:rPr>
          <w:rtl/>
        </w:rPr>
      </w:pPr>
      <w:bookmarkStart w:id="13266" w:name="_Toc62485626"/>
      <w:r>
        <w:rPr>
          <w:rFonts w:hint="cs"/>
          <w:rtl/>
        </w:rPr>
        <w:t>ביאור הקצוה"ח בר"י מגאש דאין כוונתו דנאמן במיגו דמה לי לשקר אלא דלא התחייב בטענתו</w:t>
      </w:r>
      <w:bookmarkEnd w:id="13266"/>
    </w:p>
    <w:p w:rsidR="00EC445E" w:rsidRDefault="00EC445E" w:rsidP="007E4E81">
      <w:pPr>
        <w:pStyle w:val="a0"/>
        <w:rPr>
          <w:rStyle w:val="afb"/>
          <w:rtl/>
        </w:rPr>
      </w:pPr>
      <w:bookmarkStart w:id="13267" w:name="_Ref62454214"/>
      <w:r>
        <w:rPr>
          <w:rFonts w:hint="cs"/>
          <w:rtl/>
        </w:rPr>
        <w:t xml:space="preserve">וכתב </w:t>
      </w:r>
      <w:r w:rsidRPr="00950809">
        <w:rPr>
          <w:rStyle w:val="af9"/>
          <w:rFonts w:hint="cs"/>
          <w:rtl/>
        </w:rPr>
        <w:t>הקצוה"ח</w:t>
      </w:r>
      <w:r>
        <w:rPr>
          <w:rFonts w:hint="cs"/>
          <w:rtl/>
        </w:rPr>
        <w:t xml:space="preserve"> דצ"ל דמ"ש </w:t>
      </w:r>
      <w:r w:rsidRPr="00E66A42">
        <w:rPr>
          <w:rStyle w:val="af9"/>
          <w:rFonts w:hint="cs"/>
          <w:rtl/>
        </w:rPr>
        <w:t>הטור והש"ך</w:t>
      </w:r>
      <w:r>
        <w:rPr>
          <w:rFonts w:hint="cs"/>
          <w:rtl/>
        </w:rPr>
        <w:t xml:space="preserve"> </w:t>
      </w:r>
      <w:r w:rsidRPr="00E66A42">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Ref62407179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Pr>
          <w:rStyle w:val="af7"/>
          <w:rFonts w:eastAsia="Guttman Hodes"/>
          <w:rtl/>
        </w:rPr>
        <w:fldChar w:fldCharType="end"/>
      </w:r>
      <w:r>
        <w:rPr>
          <w:rStyle w:val="af7"/>
          <w:rFonts w:eastAsia="Guttman Hodes" w:hint="cs"/>
          <w:rtl/>
        </w:rPr>
        <w:t xml:space="preserve"> </w:t>
      </w:r>
      <w:r>
        <w:rPr>
          <w:rFonts w:hint="cs"/>
          <w:rtl/>
        </w:rPr>
        <w:t xml:space="preserve">בשם </w:t>
      </w:r>
      <w:r w:rsidRPr="00950809">
        <w:rPr>
          <w:rStyle w:val="af9"/>
          <w:rFonts w:hint="cs"/>
          <w:rtl/>
        </w:rPr>
        <w:t>הר"י מגאש</w:t>
      </w:r>
      <w:r>
        <w:rPr>
          <w:rFonts w:hint="cs"/>
          <w:rtl/>
        </w:rPr>
        <w:t xml:space="preserve"> </w:t>
      </w:r>
      <w:r w:rsidRPr="00A02E2D">
        <w:rPr>
          <w:rStyle w:val="af7"/>
          <w:rFonts w:eastAsia="Guttman Hodes" w:hint="cs"/>
          <w:rtl/>
        </w:rPr>
        <w:t xml:space="preserve">(עי' אות </w:t>
      </w:r>
      <w:r w:rsidRPr="00A02E2D">
        <w:rPr>
          <w:rStyle w:val="af7"/>
          <w:rFonts w:eastAsia="Guttman Hodes"/>
          <w:rtl/>
        </w:rPr>
        <w:fldChar w:fldCharType="begin"/>
      </w:r>
      <w:r w:rsidRPr="00A02E2D">
        <w:rPr>
          <w:rStyle w:val="af7"/>
          <w:rFonts w:eastAsia="Guttman Hodes"/>
          <w:rtl/>
        </w:rPr>
        <w:instrText xml:space="preserve"> </w:instrText>
      </w:r>
      <w:r w:rsidRPr="00A02E2D">
        <w:rPr>
          <w:rStyle w:val="af7"/>
          <w:rFonts w:eastAsia="Guttman Hodes" w:hint="cs"/>
        </w:rPr>
        <w:instrText>REF</w:instrText>
      </w:r>
      <w:r w:rsidRPr="00A02E2D">
        <w:rPr>
          <w:rStyle w:val="af7"/>
          <w:rFonts w:eastAsia="Guttman Hodes" w:hint="cs"/>
          <w:rtl/>
        </w:rPr>
        <w:instrText xml:space="preserve"> _</w:instrText>
      </w:r>
      <w:r w:rsidRPr="00A02E2D">
        <w:rPr>
          <w:rStyle w:val="af7"/>
          <w:rFonts w:eastAsia="Guttman Hodes" w:hint="cs"/>
        </w:rPr>
        <w:instrText>Ref62452796 \r \h</w:instrText>
      </w:r>
      <w:r w:rsidRPr="00A02E2D">
        <w:rPr>
          <w:rStyle w:val="af7"/>
          <w:rFonts w:eastAsia="Guttman Hodes"/>
          <w:rtl/>
        </w:rPr>
        <w:instrText xml:space="preserve"> </w:instrText>
      </w:r>
      <w:r w:rsidRPr="00A02E2D">
        <w:rPr>
          <w:rStyle w:val="af7"/>
          <w:rFonts w:eastAsia="Guttman Hodes"/>
          <w:rtl/>
        </w:rPr>
      </w:r>
      <w:r w:rsidRPr="00A02E2D">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A02E2D">
        <w:rPr>
          <w:rStyle w:val="af7"/>
          <w:rFonts w:eastAsia="Guttman Hodes"/>
          <w:rtl/>
        </w:rPr>
        <w:fldChar w:fldCharType="end"/>
      </w:r>
      <w:r>
        <w:rPr>
          <w:rFonts w:hint="cs"/>
          <w:rtl/>
        </w:rPr>
        <w:t xml:space="preserve"> דנאמן במיגו שהיה יכול לעמוד בטענתו הראשונה, אין כוונתם מדין מיגו דמה לי לשקר, אלא דכיון שהיה יכול לעמוד בטענתו, א"כ עדיין לא התחייב בטענה הזו, ולא שייך לומר שהיא הודאת בע"ד כמאה עדים, ועיי"ש במה שהביא </w:t>
      </w:r>
      <w:r w:rsidRPr="00950809">
        <w:rPr>
          <w:rStyle w:val="af9"/>
          <w:rFonts w:hint="cs"/>
          <w:rtl/>
        </w:rPr>
        <w:t>הקצוה"ח</w:t>
      </w:r>
      <w:r>
        <w:rPr>
          <w:rFonts w:hint="cs"/>
          <w:rtl/>
        </w:rPr>
        <w:t xml:space="preserve"> ראיה לדבריו מדברי </w:t>
      </w:r>
      <w:r w:rsidRPr="00950809">
        <w:rPr>
          <w:rStyle w:val="af9"/>
          <w:rFonts w:hint="cs"/>
          <w:rtl/>
        </w:rPr>
        <w:t>היש"ש בב"ק</w:t>
      </w:r>
      <w:r>
        <w:rPr>
          <w:rFonts w:hint="cs"/>
          <w:rtl/>
        </w:rPr>
        <w:t xml:space="preserve"> </w:t>
      </w:r>
      <w:r w:rsidRPr="00F05FFD">
        <w:rPr>
          <w:rStyle w:val="af7"/>
          <w:rFonts w:eastAsia="Guttman Hodes" w:hint="cs"/>
          <w:rtl/>
        </w:rPr>
        <w:t>(פ"ט סי' נ"ה)</w:t>
      </w:r>
      <w:r>
        <w:rPr>
          <w:rStyle w:val="af1"/>
          <w:rtl/>
        </w:rPr>
        <w:footnoteReference w:id="87"/>
      </w:r>
      <w:r>
        <w:rPr>
          <w:rFonts w:hint="cs"/>
          <w:rtl/>
        </w:rPr>
        <w:t>.</w:t>
      </w:r>
      <w:r w:rsidRPr="00C06BE0">
        <w:rPr>
          <w:rFonts w:hint="cs"/>
          <w:rtl/>
        </w:rPr>
        <w:t xml:space="preserve"> </w:t>
      </w:r>
      <w:r w:rsidRPr="00C06BE0">
        <w:rPr>
          <w:rStyle w:val="afb"/>
          <w:rFonts w:hint="cs"/>
          <w:rtl/>
        </w:rPr>
        <w:t>[והביא</w:t>
      </w:r>
      <w:r>
        <w:rPr>
          <w:rFonts w:hint="cs"/>
          <w:rtl/>
        </w:rPr>
        <w:t xml:space="preserve"> </w:t>
      </w:r>
      <w:r w:rsidRPr="00C06BE0">
        <w:rPr>
          <w:rStyle w:val="affa"/>
          <w:rFonts w:hint="cs"/>
          <w:rtl/>
        </w:rPr>
        <w:t>בהג' אמרי ברוך על הקצוה"ח</w:t>
      </w:r>
      <w:r>
        <w:rPr>
          <w:rFonts w:hint="cs"/>
          <w:rtl/>
        </w:rPr>
        <w:t xml:space="preserve"> </w:t>
      </w:r>
      <w:r w:rsidRPr="00C06BE0">
        <w:rPr>
          <w:rStyle w:val="aff6"/>
          <w:rFonts w:hint="cs"/>
          <w:rtl/>
        </w:rPr>
        <w:t>(סי' פ' סק"ג ד"ה וקשה, ד"ה לאו, נד' בשו"ע מהדו' פרידמן, ובמהדו' צורת הדף נדפס בסופו בשם גליונות ברוך טעם)</w:t>
      </w:r>
      <w:r>
        <w:rPr>
          <w:rFonts w:hint="cs"/>
          <w:rtl/>
        </w:rPr>
        <w:t xml:space="preserve"> </w:t>
      </w:r>
      <w:r w:rsidRPr="00C06BE0">
        <w:rPr>
          <w:rStyle w:val="afb"/>
          <w:rFonts w:hint="cs"/>
          <w:rtl/>
        </w:rPr>
        <w:t>את דברי</w:t>
      </w:r>
      <w:r>
        <w:rPr>
          <w:rFonts w:hint="cs"/>
          <w:rtl/>
        </w:rPr>
        <w:t xml:space="preserve"> </w:t>
      </w:r>
      <w:r w:rsidRPr="00C06BE0">
        <w:rPr>
          <w:rStyle w:val="affa"/>
          <w:rFonts w:hint="cs"/>
          <w:rtl/>
        </w:rPr>
        <w:t>ההג' אשר"י</w:t>
      </w:r>
      <w:r>
        <w:rPr>
          <w:rFonts w:hint="cs"/>
          <w:rtl/>
        </w:rPr>
        <w:t xml:space="preserve"> </w:t>
      </w:r>
      <w:r w:rsidRPr="00AF1EE5">
        <w:rPr>
          <w:rStyle w:val="aff6"/>
          <w:rFonts w:hint="cs"/>
          <w:rtl/>
        </w:rPr>
        <w:t xml:space="preserve">(עי' אות </w:t>
      </w:r>
      <w:r w:rsidRPr="00AF1EE5">
        <w:rPr>
          <w:rStyle w:val="aff6"/>
          <w:rtl/>
        </w:rPr>
        <w:fldChar w:fldCharType="begin"/>
      </w:r>
      <w:r w:rsidRPr="00AF1EE5">
        <w:rPr>
          <w:rStyle w:val="aff6"/>
          <w:rtl/>
        </w:rPr>
        <w:instrText xml:space="preserve"> </w:instrText>
      </w:r>
      <w:r w:rsidRPr="00AF1EE5">
        <w:rPr>
          <w:rStyle w:val="aff6"/>
          <w:rFonts w:hint="cs"/>
        </w:rPr>
        <w:instrText>REF</w:instrText>
      </w:r>
      <w:r w:rsidRPr="00AF1EE5">
        <w:rPr>
          <w:rStyle w:val="aff6"/>
          <w:rFonts w:hint="cs"/>
          <w:rtl/>
        </w:rPr>
        <w:instrText xml:space="preserve"> _</w:instrText>
      </w:r>
      <w:r w:rsidRPr="00AF1EE5">
        <w:rPr>
          <w:rStyle w:val="aff6"/>
          <w:rFonts w:hint="cs"/>
        </w:rPr>
        <w:instrText>Ref62454143 \r \h</w:instrText>
      </w:r>
      <w:r w:rsidRPr="00AF1EE5">
        <w:rPr>
          <w:rStyle w:val="aff6"/>
          <w:rtl/>
        </w:rPr>
        <w:instrText xml:space="preserve"> </w:instrText>
      </w:r>
      <w:r w:rsidRPr="00AF1EE5">
        <w:rPr>
          <w:rStyle w:val="aff6"/>
          <w:rtl/>
        </w:rPr>
      </w:r>
      <w:r w:rsidRPr="00AF1EE5">
        <w:rPr>
          <w:rStyle w:val="aff6"/>
          <w:rtl/>
        </w:rPr>
        <w:fldChar w:fldCharType="separate"/>
      </w:r>
      <w:r w:rsidR="00265073">
        <w:rPr>
          <w:rStyle w:val="aff6"/>
          <w:cs/>
        </w:rPr>
        <w:t>‎</w:t>
      </w:r>
      <w:r w:rsidR="00265073">
        <w:rPr>
          <w:rStyle w:val="aff6"/>
          <w:rtl/>
        </w:rPr>
        <w:t>נא)</w:t>
      </w:r>
      <w:r w:rsidRPr="00AF1EE5">
        <w:rPr>
          <w:rStyle w:val="aff6"/>
          <w:rtl/>
        </w:rPr>
        <w:fldChar w:fldCharType="end"/>
      </w:r>
      <w:r w:rsidRPr="00C06BE0">
        <w:rPr>
          <w:rStyle w:val="afb"/>
          <w:rFonts w:hint="cs"/>
          <w:rtl/>
        </w:rPr>
        <w:t xml:space="preserve"> דכתב להדיא דנאמן מדין מה לי לשקר, וכתב</w:t>
      </w:r>
      <w:r>
        <w:rPr>
          <w:rFonts w:hint="cs"/>
          <w:rtl/>
        </w:rPr>
        <w:t xml:space="preserve"> </w:t>
      </w:r>
      <w:r w:rsidRPr="00C06BE0">
        <w:rPr>
          <w:rStyle w:val="affa"/>
          <w:rFonts w:hint="cs"/>
          <w:rtl/>
        </w:rPr>
        <w:t>האמרי ברוך</w:t>
      </w:r>
      <w:r>
        <w:rPr>
          <w:rFonts w:hint="cs"/>
          <w:rtl/>
        </w:rPr>
        <w:t xml:space="preserve"> </w:t>
      </w:r>
      <w:r w:rsidRPr="00C06BE0">
        <w:rPr>
          <w:rStyle w:val="afb"/>
          <w:rFonts w:hint="cs"/>
          <w:rtl/>
        </w:rPr>
        <w:t>דצ"ל דס"ל</w:t>
      </w:r>
      <w:r>
        <w:rPr>
          <w:rFonts w:hint="cs"/>
          <w:rtl/>
        </w:rPr>
        <w:t xml:space="preserve"> </w:t>
      </w:r>
      <w:r w:rsidRPr="00C06BE0">
        <w:rPr>
          <w:rStyle w:val="affa"/>
          <w:rFonts w:hint="cs"/>
          <w:rtl/>
        </w:rPr>
        <w:t>לההג' אשר"י</w:t>
      </w:r>
      <w:r>
        <w:rPr>
          <w:rFonts w:hint="cs"/>
          <w:rtl/>
        </w:rPr>
        <w:t xml:space="preserve"> </w:t>
      </w:r>
      <w:r w:rsidRPr="00C06BE0">
        <w:rPr>
          <w:rStyle w:val="afb"/>
          <w:rFonts w:hint="cs"/>
          <w:rtl/>
        </w:rPr>
        <w:t xml:space="preserve">כדעת </w:t>
      </w:r>
      <w:r w:rsidRPr="00C06BE0">
        <w:rPr>
          <w:rStyle w:val="affa"/>
          <w:rFonts w:hint="cs"/>
          <w:rtl/>
        </w:rPr>
        <w:t>היד רמ"ה</w:t>
      </w:r>
      <w:r w:rsidRPr="00C06BE0">
        <w:rPr>
          <w:rStyle w:val="afb"/>
          <w:rFonts w:hint="cs"/>
          <w:rtl/>
        </w:rPr>
        <w:t xml:space="preserve"> </w:t>
      </w:r>
      <w:r w:rsidRPr="00AF1EE5">
        <w:rPr>
          <w:rStyle w:val="aff6"/>
          <w:rFonts w:hint="cs"/>
          <w:rtl/>
        </w:rPr>
        <w:t xml:space="preserve">(עי' אות </w:t>
      </w:r>
      <w:r w:rsidRPr="00AF1EE5">
        <w:rPr>
          <w:rStyle w:val="aff6"/>
          <w:rtl/>
        </w:rPr>
        <w:fldChar w:fldCharType="begin"/>
      </w:r>
      <w:r w:rsidRPr="00AF1EE5">
        <w:rPr>
          <w:rStyle w:val="aff6"/>
          <w:rtl/>
        </w:rPr>
        <w:instrText xml:space="preserve"> </w:instrText>
      </w:r>
      <w:r w:rsidRPr="00AF1EE5">
        <w:rPr>
          <w:rStyle w:val="aff6"/>
          <w:rFonts w:hint="cs"/>
        </w:rPr>
        <w:instrText>REF</w:instrText>
      </w:r>
      <w:r w:rsidRPr="00AF1EE5">
        <w:rPr>
          <w:rStyle w:val="aff6"/>
          <w:rFonts w:hint="cs"/>
          <w:rtl/>
        </w:rPr>
        <w:instrText xml:space="preserve"> _</w:instrText>
      </w:r>
      <w:r w:rsidRPr="00AF1EE5">
        <w:rPr>
          <w:rStyle w:val="aff6"/>
          <w:rFonts w:hint="cs"/>
        </w:rPr>
        <w:instrText>Ref62454151 \r \h</w:instrText>
      </w:r>
      <w:r w:rsidRPr="00AF1EE5">
        <w:rPr>
          <w:rStyle w:val="aff6"/>
          <w:rtl/>
        </w:rPr>
        <w:instrText xml:space="preserve"> </w:instrText>
      </w:r>
      <w:r w:rsidRPr="00AF1EE5">
        <w:rPr>
          <w:rStyle w:val="aff6"/>
          <w:rtl/>
        </w:rPr>
      </w:r>
      <w:r w:rsidRPr="00AF1EE5">
        <w:rPr>
          <w:rStyle w:val="aff6"/>
          <w:rtl/>
        </w:rPr>
        <w:fldChar w:fldCharType="separate"/>
      </w:r>
      <w:r w:rsidR="00265073">
        <w:rPr>
          <w:rStyle w:val="aff6"/>
          <w:cs/>
        </w:rPr>
        <w:t>‎</w:t>
      </w:r>
      <w:r w:rsidR="00265073">
        <w:rPr>
          <w:rStyle w:val="aff6"/>
          <w:rtl/>
        </w:rPr>
        <w:t>סב)</w:t>
      </w:r>
      <w:r w:rsidRPr="00AF1EE5">
        <w:rPr>
          <w:rStyle w:val="aff6"/>
          <w:rtl/>
        </w:rPr>
        <w:fldChar w:fldCharType="end"/>
      </w:r>
      <w:r w:rsidRPr="00C06BE0">
        <w:rPr>
          <w:rStyle w:val="afb"/>
          <w:rFonts w:hint="cs"/>
          <w:rtl/>
        </w:rPr>
        <w:t xml:space="preserve"> דאף אם באו עדים אח"כ אינו נאמן, וא"כ כל שלא באו עדים כלל יש לו מיגו גמור</w:t>
      </w:r>
      <w:r>
        <w:rPr>
          <w:rStyle w:val="afb"/>
          <w:rFonts w:hint="cs"/>
          <w:rtl/>
        </w:rPr>
        <w:t xml:space="preserve">, ולא קשה עליו קושית </w:t>
      </w:r>
      <w:r w:rsidRPr="009B5801">
        <w:rPr>
          <w:rStyle w:val="affa"/>
          <w:rFonts w:hint="cs"/>
          <w:rtl/>
        </w:rPr>
        <w:t>הקצוה"ח</w:t>
      </w:r>
      <w:r>
        <w:rPr>
          <w:rStyle w:val="afb"/>
          <w:rFonts w:hint="cs"/>
          <w:rtl/>
        </w:rPr>
        <w:t xml:space="preserve"> </w:t>
      </w:r>
      <w:r w:rsidRPr="009B5801">
        <w:rPr>
          <w:rStyle w:val="aff6"/>
          <w:rFonts w:hint="cs"/>
          <w:rtl/>
        </w:rPr>
        <w:t xml:space="preserve">(עי' אות </w:t>
      </w:r>
      <w:r w:rsidRPr="009B5801">
        <w:rPr>
          <w:rStyle w:val="aff6"/>
          <w:rtl/>
        </w:rPr>
        <w:fldChar w:fldCharType="begin"/>
      </w:r>
      <w:r w:rsidRPr="009B5801">
        <w:rPr>
          <w:rStyle w:val="aff6"/>
          <w:rtl/>
        </w:rPr>
        <w:instrText xml:space="preserve"> </w:instrText>
      </w:r>
      <w:r w:rsidRPr="009B5801">
        <w:rPr>
          <w:rStyle w:val="aff6"/>
          <w:rFonts w:hint="cs"/>
        </w:rPr>
        <w:instrText>REF</w:instrText>
      </w:r>
      <w:r w:rsidRPr="009B5801">
        <w:rPr>
          <w:rStyle w:val="aff6"/>
          <w:rFonts w:hint="cs"/>
          <w:rtl/>
        </w:rPr>
        <w:instrText xml:space="preserve"> _</w:instrText>
      </w:r>
      <w:r w:rsidRPr="009B5801">
        <w:rPr>
          <w:rStyle w:val="aff6"/>
          <w:rFonts w:hint="cs"/>
        </w:rPr>
        <w:instrText>Ref62158350 \r \h</w:instrText>
      </w:r>
      <w:r w:rsidRPr="009B5801">
        <w:rPr>
          <w:rStyle w:val="aff6"/>
          <w:rtl/>
        </w:rPr>
        <w:instrText xml:space="preserve"> </w:instrText>
      </w:r>
      <w:r w:rsidRPr="009B5801">
        <w:rPr>
          <w:rStyle w:val="aff6"/>
          <w:rtl/>
        </w:rPr>
      </w:r>
      <w:r w:rsidRPr="009B5801">
        <w:rPr>
          <w:rStyle w:val="aff6"/>
          <w:rtl/>
        </w:rPr>
        <w:fldChar w:fldCharType="separate"/>
      </w:r>
      <w:r w:rsidR="00265073">
        <w:rPr>
          <w:rStyle w:val="aff6"/>
          <w:cs/>
        </w:rPr>
        <w:t>‎</w:t>
      </w:r>
      <w:r w:rsidR="00265073">
        <w:rPr>
          <w:rStyle w:val="aff6"/>
          <w:rtl/>
        </w:rPr>
        <w:t>ע)</w:t>
      </w:r>
      <w:r w:rsidRPr="009B5801">
        <w:rPr>
          <w:rStyle w:val="aff6"/>
          <w:rtl/>
        </w:rPr>
        <w:fldChar w:fldCharType="end"/>
      </w:r>
      <w:r w:rsidRPr="00C06BE0">
        <w:rPr>
          <w:rStyle w:val="afb"/>
          <w:rFonts w:hint="cs"/>
          <w:rtl/>
        </w:rPr>
        <w:t>].</w:t>
      </w:r>
      <w:bookmarkEnd w:id="13267"/>
    </w:p>
    <w:p w:rsidR="00EC445E" w:rsidRPr="00600D1A" w:rsidRDefault="00EC445E" w:rsidP="00EC445E">
      <w:pPr>
        <w:pStyle w:val="1"/>
      </w:pPr>
      <w:bookmarkStart w:id="13268" w:name="_Toc62485627"/>
      <w:r>
        <w:rPr>
          <w:rFonts w:hint="cs"/>
          <w:rtl/>
        </w:rPr>
        <w:t>תירוצי המחנ"א לקושית הקצוה"ח על הר"י מגאש דנאמן במיגו</w:t>
      </w:r>
      <w:bookmarkEnd w:id="13268"/>
    </w:p>
    <w:p w:rsidR="00EC445E" w:rsidRDefault="00EC445E" w:rsidP="00EC445E">
      <w:pPr>
        <w:pStyle w:val="a3"/>
        <w:rPr>
          <w:rtl/>
        </w:rPr>
      </w:pPr>
      <w:bookmarkStart w:id="13269" w:name="_Toc62485628"/>
      <w:r>
        <w:rPr>
          <w:rFonts w:hint="cs"/>
          <w:rtl/>
        </w:rPr>
        <w:t>תי' המחנ"א בשם הפני משה דבחוזר וטוען נאמן בטענתו השניה בלא מיגו ולכן נאמן אף בעדים</w:t>
      </w:r>
      <w:bookmarkEnd w:id="13269"/>
    </w:p>
    <w:p w:rsidR="00EC445E" w:rsidRDefault="00EC445E" w:rsidP="007E4E81">
      <w:pPr>
        <w:pStyle w:val="a0"/>
        <w:rPr>
          <w:rtl/>
        </w:rPr>
      </w:pPr>
      <w:bookmarkStart w:id="13270" w:name="_Ref62462498"/>
      <w:r>
        <w:rPr>
          <w:rFonts w:hint="cs"/>
          <w:rtl/>
        </w:rPr>
        <w:t xml:space="preserve">במה שהקשה </w:t>
      </w:r>
      <w:r w:rsidRPr="00BF121C">
        <w:rPr>
          <w:rStyle w:val="af9"/>
          <w:rFonts w:hint="cs"/>
          <w:rtl/>
        </w:rPr>
        <w:t>הקצוה"ח</w:t>
      </w:r>
      <w:r w:rsidRPr="00950809">
        <w:rPr>
          <w:rStyle w:val="af7"/>
          <w:rFonts w:eastAsia="Guttman Hodes" w:hint="cs"/>
          <w:rtl/>
        </w:rPr>
        <w:t xml:space="preserve"> (עי' אות </w:t>
      </w:r>
      <w:r w:rsidRPr="00950809">
        <w:rPr>
          <w:rStyle w:val="af7"/>
          <w:rFonts w:eastAsia="Guttman Hodes"/>
          <w:rtl/>
        </w:rPr>
        <w:fldChar w:fldCharType="begin"/>
      </w:r>
      <w:r w:rsidRPr="00950809">
        <w:rPr>
          <w:rStyle w:val="af7"/>
          <w:rFonts w:eastAsia="Guttman Hodes"/>
          <w:rtl/>
        </w:rPr>
        <w:instrText xml:space="preserve"> </w:instrText>
      </w:r>
      <w:r w:rsidRPr="00950809">
        <w:rPr>
          <w:rStyle w:val="af7"/>
          <w:rFonts w:eastAsia="Guttman Hodes" w:hint="cs"/>
        </w:rPr>
        <w:instrText>REF</w:instrText>
      </w:r>
      <w:r w:rsidRPr="00950809">
        <w:rPr>
          <w:rStyle w:val="af7"/>
          <w:rFonts w:eastAsia="Guttman Hodes" w:hint="cs"/>
          <w:rtl/>
        </w:rPr>
        <w:instrText xml:space="preserve"> _</w:instrText>
      </w:r>
      <w:r w:rsidRPr="00950809">
        <w:rPr>
          <w:rStyle w:val="af7"/>
          <w:rFonts w:eastAsia="Guttman Hodes" w:hint="cs"/>
        </w:rPr>
        <w:instrText>Ref62158350 \r \h</w:instrText>
      </w:r>
      <w:r w:rsidRPr="0095080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950809">
        <w:rPr>
          <w:rStyle w:val="af7"/>
          <w:rFonts w:eastAsia="Guttman Hodes"/>
          <w:rtl/>
        </w:rPr>
      </w:r>
      <w:r w:rsidRPr="00950809">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950809">
        <w:rPr>
          <w:rStyle w:val="af7"/>
          <w:rFonts w:eastAsia="Guttman Hodes"/>
          <w:rtl/>
        </w:rPr>
        <w:fldChar w:fldCharType="end"/>
      </w:r>
      <w:r w:rsidRPr="00950809">
        <w:rPr>
          <w:rStyle w:val="af7"/>
          <w:rFonts w:eastAsia="Guttman Hodes" w:hint="cs"/>
          <w:rtl/>
        </w:rPr>
        <w:t xml:space="preserve"> </w:t>
      </w:r>
      <w:r>
        <w:rPr>
          <w:rFonts w:hint="cs"/>
          <w:rtl/>
        </w:rPr>
        <w:t xml:space="preserve">מהא דבאשת איש הייתי וגרושה אני, אינה נאמנת כשבאו עדים לבסוף, וכן במודה בשטר, הביא </w:t>
      </w:r>
      <w:r w:rsidRPr="00210A12">
        <w:rPr>
          <w:rStyle w:val="af9"/>
          <w:rFonts w:hint="cs"/>
          <w:rtl/>
        </w:rPr>
        <w:t xml:space="preserve">המחנ"א </w:t>
      </w:r>
      <w:r w:rsidRPr="00EF0B4B">
        <w:rPr>
          <w:rStyle w:val="af7"/>
          <w:rFonts w:eastAsia="Guttman Hodes" w:hint="cs"/>
          <w:rtl/>
        </w:rPr>
        <w:t>(על הרמב"ם איסו"ב פי"ח הט"ו ד"ה ועוד בה)</w:t>
      </w:r>
      <w:r>
        <w:rPr>
          <w:rFonts w:hint="cs"/>
          <w:rtl/>
        </w:rPr>
        <w:t xml:space="preserve"> בשם </w:t>
      </w:r>
      <w:r w:rsidRPr="00210A12">
        <w:rPr>
          <w:rStyle w:val="af9"/>
          <w:rFonts w:hint="cs"/>
          <w:rtl/>
        </w:rPr>
        <w:t>הפני משה</w:t>
      </w:r>
      <w:r>
        <w:rPr>
          <w:rFonts w:hint="cs"/>
          <w:rtl/>
        </w:rPr>
        <w:t xml:space="preserve"> שתירץ דבאשת איש המיגו שלה הוא גרוע, כיון שכל אשת איש אינה נאמנת לטעון גרושה אני, בלא מיגו, אבל בטוען וחוזר וטוען הוא נאמן בטענה האחרונה שטוען אף בלא מיגו, וכ"מ שהוא צריך מיגו הוא כיון שטען בתחילה טענה אחרת, ולכן ס"ל </w:t>
      </w:r>
      <w:r w:rsidRPr="00600D1A">
        <w:rPr>
          <w:rStyle w:val="af9"/>
          <w:rFonts w:hint="cs"/>
          <w:rtl/>
        </w:rPr>
        <w:t>להר"י מגאש</w:t>
      </w:r>
      <w:r>
        <w:rPr>
          <w:rFonts w:hint="cs"/>
          <w:rtl/>
        </w:rPr>
        <w:t xml:space="preserve"> דהוא נאמן אף שבאו עדים לבסוף, אך דחה </w:t>
      </w:r>
      <w:r w:rsidRPr="00210A12">
        <w:rPr>
          <w:rStyle w:val="af9"/>
          <w:rFonts w:hint="cs"/>
          <w:rtl/>
        </w:rPr>
        <w:t xml:space="preserve">המחנ"א </w:t>
      </w:r>
      <w:r>
        <w:rPr>
          <w:rFonts w:hint="cs"/>
          <w:rtl/>
        </w:rPr>
        <w:t xml:space="preserve">דהא מדברי </w:t>
      </w:r>
      <w:r w:rsidRPr="00210A12">
        <w:rPr>
          <w:rStyle w:val="af9"/>
          <w:rFonts w:hint="cs"/>
          <w:rtl/>
        </w:rPr>
        <w:t>הפוסקים</w:t>
      </w:r>
      <w:r>
        <w:rPr>
          <w:rFonts w:hint="cs"/>
          <w:rtl/>
        </w:rPr>
        <w:t xml:space="preserve"> [</w:t>
      </w:r>
      <w:r w:rsidRPr="00E66A42">
        <w:rPr>
          <w:rStyle w:val="af9"/>
          <w:rFonts w:hint="cs"/>
          <w:rtl/>
        </w:rPr>
        <w:t>הטור וה</w:t>
      </w:r>
      <w:r w:rsidRPr="00CE15F1">
        <w:rPr>
          <w:rStyle w:val="af9"/>
          <w:rFonts w:hint="cs"/>
          <w:rtl/>
        </w:rPr>
        <w:t>ש"ך</w:t>
      </w:r>
      <w:r w:rsidRPr="00CE15F1">
        <w:rPr>
          <w:rFonts w:hint="cs"/>
          <w:rtl/>
        </w:rPr>
        <w:t xml:space="preserve"> </w:t>
      </w:r>
      <w:r w:rsidRPr="00CE15F1">
        <w:rPr>
          <w:rStyle w:val="af7"/>
          <w:rFonts w:eastAsia="Guttman Hodes" w:hint="cs"/>
          <w:rtl/>
        </w:rPr>
        <w:t xml:space="preserve">(עי' אות </w:t>
      </w:r>
      <w:r w:rsidRPr="00CE15F1">
        <w:rPr>
          <w:rStyle w:val="af7"/>
          <w:rFonts w:eastAsia="Guttman Hodes"/>
          <w:rtl/>
        </w:rPr>
        <w:fldChar w:fldCharType="begin"/>
      </w:r>
      <w:r w:rsidRPr="00CE15F1">
        <w:rPr>
          <w:rStyle w:val="af7"/>
          <w:rFonts w:eastAsia="Guttman Hodes"/>
          <w:rtl/>
        </w:rPr>
        <w:instrText xml:space="preserve"> </w:instrText>
      </w:r>
      <w:r w:rsidRPr="00CE15F1">
        <w:rPr>
          <w:rStyle w:val="af7"/>
          <w:rFonts w:eastAsia="Guttman Hodes" w:hint="cs"/>
        </w:rPr>
        <w:instrText>REF</w:instrText>
      </w:r>
      <w:r w:rsidRPr="00CE15F1">
        <w:rPr>
          <w:rStyle w:val="af7"/>
          <w:rFonts w:eastAsia="Guttman Hodes" w:hint="cs"/>
          <w:rtl/>
        </w:rPr>
        <w:instrText xml:space="preserve"> _</w:instrText>
      </w:r>
      <w:r w:rsidRPr="00CE15F1">
        <w:rPr>
          <w:rStyle w:val="af7"/>
          <w:rFonts w:eastAsia="Guttman Hodes" w:hint="cs"/>
        </w:rPr>
        <w:instrText>Ref62407179 \r \h</w:instrText>
      </w:r>
      <w:r w:rsidRPr="00CE15F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CE15F1">
        <w:rPr>
          <w:rStyle w:val="af7"/>
          <w:rFonts w:eastAsia="Guttman Hodes"/>
          <w:rtl/>
        </w:rPr>
      </w:r>
      <w:r w:rsidRPr="00CE15F1">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CE15F1">
        <w:rPr>
          <w:rStyle w:val="af7"/>
          <w:rFonts w:eastAsia="Guttman Hodes"/>
          <w:rtl/>
        </w:rPr>
        <w:fldChar w:fldCharType="end"/>
      </w:r>
      <w:r w:rsidRPr="00CE15F1">
        <w:rPr>
          <w:rFonts w:hint="cs"/>
          <w:rtl/>
        </w:rPr>
        <w:t xml:space="preserve">] שהביאו את דברי </w:t>
      </w:r>
      <w:r w:rsidRPr="00CE15F1">
        <w:rPr>
          <w:rStyle w:val="af9"/>
          <w:rFonts w:hint="cs"/>
          <w:rtl/>
        </w:rPr>
        <w:t xml:space="preserve">הר"י מגאש </w:t>
      </w:r>
      <w:r w:rsidRPr="00CE15F1">
        <w:rPr>
          <w:rFonts w:hint="cs"/>
          <w:rtl/>
        </w:rPr>
        <w:t xml:space="preserve">משמע שיש לו מיגו גמור, </w:t>
      </w:r>
      <w:r>
        <w:rPr>
          <w:rFonts w:hint="cs"/>
          <w:rtl/>
        </w:rPr>
        <w:t>ועי' במה ש</w:t>
      </w:r>
      <w:r w:rsidRPr="00CE15F1">
        <w:rPr>
          <w:rtl/>
        </w:rPr>
        <w:t>ביארו</w:t>
      </w:r>
      <w:r>
        <w:rPr>
          <w:rtl/>
        </w:rPr>
        <w:t xml:space="preserve"> </w:t>
      </w:r>
      <w:r>
        <w:rPr>
          <w:rStyle w:val="af9"/>
          <w:rtl/>
        </w:rPr>
        <w:t>הקוב"ש</w:t>
      </w:r>
      <w:r>
        <w:rPr>
          <w:rtl/>
        </w:rPr>
        <w:t xml:space="preserve">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Ref62471537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קיא</w:t>
      </w:r>
      <w:r w:rsidR="00265073">
        <w:rPr>
          <w:rStyle w:val="af7"/>
          <w:rFonts w:eastAsiaTheme="minorHAnsi"/>
          <w:rtl/>
        </w:rPr>
        <w:t>)</w:t>
      </w:r>
      <w:r>
        <w:rPr>
          <w:rStyle w:val="af7"/>
          <w:rFonts w:eastAsiaTheme="minorHAnsi" w:hint="cs"/>
          <w:rtl/>
        </w:rPr>
        <w:fldChar w:fldCharType="end"/>
      </w:r>
      <w:r>
        <w:rPr>
          <w:rtl/>
        </w:rPr>
        <w:t xml:space="preserve"> </w:t>
      </w:r>
      <w:r>
        <w:rPr>
          <w:rStyle w:val="af9"/>
          <w:rtl/>
        </w:rPr>
        <w:t>ובחי' רבי שמואל</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Ref62483734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קכ</w:t>
      </w:r>
      <w:r w:rsidR="00265073">
        <w:rPr>
          <w:rStyle w:val="af7"/>
          <w:rFonts w:eastAsia="Guttman Hodes"/>
          <w:rtl/>
        </w:rPr>
        <w:t>)</w:t>
      </w:r>
      <w:r>
        <w:rPr>
          <w:rStyle w:val="af7"/>
          <w:rFonts w:eastAsia="Guttman Hodes" w:hint="cs"/>
          <w:rtl/>
        </w:rPr>
        <w:fldChar w:fldCharType="end"/>
      </w:r>
      <w:r>
        <w:rPr>
          <w:rStyle w:val="af9"/>
          <w:rtl/>
        </w:rPr>
        <w:t xml:space="preserve"> ובחי' רבי נחום</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Ref62483672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קטז</w:t>
      </w:r>
      <w:r w:rsidR="00265073">
        <w:rPr>
          <w:rStyle w:val="af7"/>
          <w:rFonts w:eastAsia="Guttman Hodes"/>
          <w:rtl/>
        </w:rPr>
        <w:t>)</w:t>
      </w:r>
      <w:r>
        <w:rPr>
          <w:rStyle w:val="af7"/>
          <w:rFonts w:eastAsia="Guttman Hodes" w:hint="cs"/>
          <w:rtl/>
        </w:rPr>
        <w:fldChar w:fldCharType="end"/>
      </w:r>
      <w:r>
        <w:rPr>
          <w:rFonts w:hint="cs"/>
          <w:rtl/>
        </w:rPr>
        <w:t xml:space="preserve"> </w:t>
      </w:r>
      <w:r w:rsidRPr="007F75BC">
        <w:rPr>
          <w:rStyle w:val="af9"/>
          <w:rFonts w:hint="cs"/>
          <w:rtl/>
        </w:rPr>
        <w:t>ובאבי עזרי</w:t>
      </w:r>
      <w:r>
        <w:rPr>
          <w:rFonts w:hint="cs"/>
          <w:rtl/>
        </w:rPr>
        <w:t xml:space="preserve"> </w:t>
      </w:r>
      <w:r w:rsidRPr="007F75BC">
        <w:rPr>
          <w:rStyle w:val="af7"/>
          <w:rFonts w:eastAsia="Guttman Hodes" w:hint="cs"/>
          <w:rtl/>
        </w:rPr>
        <w:t xml:space="preserve">(עי' אות </w:t>
      </w:r>
      <w:r w:rsidRPr="007F75BC">
        <w:rPr>
          <w:rStyle w:val="af7"/>
          <w:rFonts w:eastAsia="Guttman Hodes"/>
          <w:rtl/>
        </w:rPr>
        <w:fldChar w:fldCharType="begin"/>
      </w:r>
      <w:r w:rsidRPr="007F75BC">
        <w:rPr>
          <w:rStyle w:val="af7"/>
          <w:rFonts w:eastAsia="Guttman Hodes"/>
          <w:rtl/>
        </w:rPr>
        <w:instrText xml:space="preserve"> </w:instrText>
      </w:r>
      <w:r w:rsidRPr="007F75BC">
        <w:rPr>
          <w:rStyle w:val="af7"/>
          <w:rFonts w:eastAsia="Guttman Hodes" w:hint="cs"/>
        </w:rPr>
        <w:instrText>REF</w:instrText>
      </w:r>
      <w:r w:rsidRPr="007F75BC">
        <w:rPr>
          <w:rStyle w:val="af7"/>
          <w:rFonts w:eastAsia="Guttman Hodes" w:hint="cs"/>
          <w:rtl/>
        </w:rPr>
        <w:instrText xml:space="preserve"> _</w:instrText>
      </w:r>
      <w:r w:rsidRPr="007F75BC">
        <w:rPr>
          <w:rStyle w:val="af7"/>
          <w:rFonts w:eastAsia="Guttman Hodes" w:hint="cs"/>
        </w:rPr>
        <w:instrText>Ref62484130 \r \h</w:instrText>
      </w:r>
      <w:r w:rsidRPr="007F75BC">
        <w:rPr>
          <w:rStyle w:val="af7"/>
          <w:rFonts w:eastAsia="Guttman Hodes"/>
          <w:rtl/>
        </w:rPr>
        <w:instrText xml:space="preserve"> </w:instrText>
      </w:r>
      <w:r w:rsidRPr="007F75BC">
        <w:rPr>
          <w:rStyle w:val="af7"/>
          <w:rFonts w:eastAsia="Guttman Hodes"/>
          <w:rtl/>
        </w:rPr>
      </w:r>
      <w:r w:rsidRPr="007F75BC">
        <w:rPr>
          <w:rStyle w:val="af7"/>
          <w:rFonts w:eastAsia="Guttman Hodes"/>
          <w:rtl/>
        </w:rPr>
        <w:fldChar w:fldCharType="separate"/>
      </w:r>
      <w:r w:rsidR="00265073">
        <w:rPr>
          <w:rStyle w:val="af7"/>
          <w:rFonts w:eastAsia="Guttman Hodes"/>
          <w:cs/>
        </w:rPr>
        <w:t>‎</w:t>
      </w:r>
      <w:r w:rsidR="00265073">
        <w:rPr>
          <w:rStyle w:val="af7"/>
          <w:rFonts w:eastAsia="Guttman Hodes"/>
          <w:rtl/>
        </w:rPr>
        <w:t>קכב)</w:t>
      </w:r>
      <w:r w:rsidRPr="007F75BC">
        <w:rPr>
          <w:rStyle w:val="af7"/>
          <w:rFonts w:eastAsia="Guttman Hodes"/>
          <w:rtl/>
        </w:rPr>
        <w:fldChar w:fldCharType="end"/>
      </w:r>
      <w:r>
        <w:rPr>
          <w:rFonts w:hint="cs"/>
          <w:rtl/>
        </w:rPr>
        <w:t>.</w:t>
      </w:r>
      <w:bookmarkEnd w:id="13270"/>
    </w:p>
    <w:p w:rsidR="00EC445E" w:rsidRPr="009D6CC0" w:rsidRDefault="00EC445E" w:rsidP="00EC445E">
      <w:pPr>
        <w:pStyle w:val="a3"/>
        <w:rPr>
          <w:rtl/>
        </w:rPr>
      </w:pPr>
      <w:bookmarkStart w:id="13271" w:name="_Toc62485629"/>
      <w:r>
        <w:rPr>
          <w:rFonts w:hint="cs"/>
          <w:rtl/>
        </w:rPr>
        <w:t>תי' המחנ"א והאמרי ברוך דבחוזר וטוען מוכח מטענתו הראשונה שלא ידע שיש עדים ולכן נאמן</w:t>
      </w:r>
      <w:bookmarkEnd w:id="13271"/>
    </w:p>
    <w:p w:rsidR="00EC445E" w:rsidRPr="007D5D6C" w:rsidRDefault="00EC445E" w:rsidP="007E4E81">
      <w:pPr>
        <w:pStyle w:val="a0"/>
        <w:rPr>
          <w:rStyle w:val="afb"/>
          <w:rtl/>
        </w:rPr>
      </w:pPr>
      <w:bookmarkStart w:id="13272" w:name="_Ref62462507"/>
      <w:r>
        <w:rPr>
          <w:rFonts w:hint="cs"/>
          <w:rtl/>
        </w:rPr>
        <w:t xml:space="preserve">אלא תירצו </w:t>
      </w:r>
      <w:r w:rsidRPr="00315EF4">
        <w:rPr>
          <w:rStyle w:val="af9"/>
          <w:rFonts w:hint="cs"/>
          <w:rtl/>
        </w:rPr>
        <w:t>המחנ"א ובהג'</w:t>
      </w:r>
      <w:r w:rsidRPr="00BF121C">
        <w:rPr>
          <w:rStyle w:val="af9"/>
          <w:rFonts w:hint="cs"/>
          <w:rtl/>
        </w:rPr>
        <w:t xml:space="preserve"> אמרי ברוך על הקצוה"ח</w:t>
      </w:r>
      <w:r>
        <w:rPr>
          <w:rFonts w:hint="cs"/>
          <w:rtl/>
        </w:rPr>
        <w:t xml:space="preserve"> </w:t>
      </w:r>
      <w:r w:rsidRPr="00315EF4">
        <w:rPr>
          <w:rStyle w:val="af7"/>
          <w:rFonts w:eastAsia="Guttman Hodes" w:hint="cs"/>
          <w:rtl/>
        </w:rPr>
        <w:t>(סי' פ' סק"ג ד"ה וקשה, נד' בשו"ע מהדו' פרידמן, ובמהדו' צורת הדף נדפס בסופו בשם גליונות ברוך טעם)</w:t>
      </w:r>
      <w:r>
        <w:rPr>
          <w:rFonts w:hint="cs"/>
          <w:rtl/>
        </w:rPr>
        <w:t xml:space="preserve"> דבאשת איש ומודה בשטר, הא דאינם נאמנים הוא כיון דתלינן שידעו שיש עדים, ולכן אחר שבאו העדים התברר למפרע שאין להם מיגו, אבל בטוען וחוזר וטוען, אף שבאו עדים לבסוף יש לו מיגו, דהא מוכח שלא חזר מטענתו הראשונה מחמת העדים, דהא אי ידע שיש עדים, א"כ אמאי טען בתחילה טענה שתוכחש ע"י העדים, ולכן כ"ז שלא באו עדים וחזר וטען יש לו מיגו, דהוא בטוח שאין עדים שיכחישוהו.</w:t>
      </w:r>
      <w:bookmarkEnd w:id="13272"/>
      <w:r>
        <w:rPr>
          <w:rFonts w:hint="cs"/>
          <w:rtl/>
        </w:rPr>
        <w:t xml:space="preserve"> </w:t>
      </w:r>
      <w:r w:rsidRPr="007D5D6C">
        <w:rPr>
          <w:rStyle w:val="afb"/>
          <w:rFonts w:hint="cs"/>
          <w:rtl/>
        </w:rPr>
        <w:t xml:space="preserve">[והיינו </w:t>
      </w:r>
      <w:r>
        <w:rPr>
          <w:rStyle w:val="afb"/>
          <w:rFonts w:hint="cs"/>
          <w:rtl/>
        </w:rPr>
        <w:t>לפי ביאור</w:t>
      </w:r>
      <w:r w:rsidRPr="007D5D6C">
        <w:rPr>
          <w:rStyle w:val="afb"/>
          <w:rFonts w:hint="cs"/>
          <w:rtl/>
        </w:rPr>
        <w:t xml:space="preserve"> </w:t>
      </w:r>
      <w:r w:rsidRPr="00E95AE0">
        <w:rPr>
          <w:rStyle w:val="affa"/>
          <w:rFonts w:hint="cs"/>
          <w:rtl/>
        </w:rPr>
        <w:t>הב"י והב"ח</w:t>
      </w:r>
      <w:r w:rsidRPr="007D5D6C">
        <w:rPr>
          <w:rStyle w:val="afb"/>
          <w:rFonts w:hint="cs"/>
          <w:rtl/>
        </w:rPr>
        <w:t xml:space="preserve"> </w:t>
      </w:r>
      <w:r w:rsidRPr="00E95AE0">
        <w:rPr>
          <w:rStyle w:val="aff6"/>
          <w:rFonts w:hint="cs"/>
          <w:rtl/>
        </w:rPr>
        <w:t xml:space="preserve">(עי' אות </w:t>
      </w:r>
      <w:r w:rsidRPr="00E95AE0">
        <w:rPr>
          <w:rStyle w:val="aff6"/>
          <w:rtl/>
        </w:rPr>
        <w:fldChar w:fldCharType="begin"/>
      </w:r>
      <w:r w:rsidRPr="00E95AE0">
        <w:rPr>
          <w:rStyle w:val="aff6"/>
          <w:rtl/>
        </w:rPr>
        <w:instrText xml:space="preserve"> </w:instrText>
      </w:r>
      <w:r w:rsidRPr="00E95AE0">
        <w:rPr>
          <w:rStyle w:val="aff6"/>
          <w:rFonts w:hint="cs"/>
        </w:rPr>
        <w:instrText>REF</w:instrText>
      </w:r>
      <w:r w:rsidRPr="00E95AE0">
        <w:rPr>
          <w:rStyle w:val="aff6"/>
          <w:rFonts w:hint="cs"/>
          <w:rtl/>
        </w:rPr>
        <w:instrText xml:space="preserve"> _</w:instrText>
      </w:r>
      <w:r w:rsidRPr="00E95AE0">
        <w:rPr>
          <w:rStyle w:val="aff6"/>
          <w:rFonts w:hint="cs"/>
        </w:rPr>
        <w:instrText>Ref62464629 \r \h</w:instrText>
      </w:r>
      <w:r w:rsidRPr="00E95AE0">
        <w:rPr>
          <w:rStyle w:val="aff6"/>
          <w:rtl/>
        </w:rPr>
        <w:instrText xml:space="preserve"> </w:instrText>
      </w:r>
      <w:r w:rsidRPr="00E95AE0">
        <w:rPr>
          <w:rStyle w:val="aff6"/>
          <w:rtl/>
        </w:rPr>
      </w:r>
      <w:r w:rsidRPr="00E95AE0">
        <w:rPr>
          <w:rStyle w:val="aff6"/>
          <w:rtl/>
        </w:rPr>
        <w:fldChar w:fldCharType="separate"/>
      </w:r>
      <w:r w:rsidR="00265073">
        <w:rPr>
          <w:rStyle w:val="aff6"/>
          <w:cs/>
        </w:rPr>
        <w:t>‎</w:t>
      </w:r>
      <w:r w:rsidR="00265073">
        <w:rPr>
          <w:rStyle w:val="aff6"/>
          <w:rtl/>
        </w:rPr>
        <w:t>סד)</w:t>
      </w:r>
      <w:r w:rsidRPr="00E95AE0">
        <w:rPr>
          <w:rStyle w:val="aff6"/>
          <w:rtl/>
        </w:rPr>
        <w:fldChar w:fldCharType="end"/>
      </w:r>
      <w:r w:rsidRPr="007D5D6C">
        <w:rPr>
          <w:rStyle w:val="afb"/>
          <w:rFonts w:hint="cs"/>
          <w:rtl/>
        </w:rPr>
        <w:t xml:space="preserve"> בדעת </w:t>
      </w:r>
      <w:r w:rsidRPr="00E95AE0">
        <w:rPr>
          <w:rStyle w:val="affa"/>
          <w:rFonts w:hint="cs"/>
          <w:rtl/>
        </w:rPr>
        <w:t>הרמ"ה</w:t>
      </w:r>
      <w:r w:rsidRPr="007D5D6C">
        <w:rPr>
          <w:rStyle w:val="afb"/>
          <w:rFonts w:hint="cs"/>
          <w:rtl/>
        </w:rPr>
        <w:t xml:space="preserve"> </w:t>
      </w:r>
      <w:r w:rsidRPr="00E95AE0">
        <w:rPr>
          <w:rStyle w:val="aff6"/>
          <w:rFonts w:hint="cs"/>
          <w:rtl/>
        </w:rPr>
        <w:t xml:space="preserve">(עי' אות </w:t>
      </w:r>
      <w:r w:rsidRPr="00E95AE0">
        <w:rPr>
          <w:rStyle w:val="aff6"/>
          <w:rtl/>
        </w:rPr>
        <w:fldChar w:fldCharType="begin"/>
      </w:r>
      <w:r w:rsidRPr="00E95AE0">
        <w:rPr>
          <w:rStyle w:val="aff6"/>
          <w:rtl/>
        </w:rPr>
        <w:instrText xml:space="preserve"> </w:instrText>
      </w:r>
      <w:r w:rsidRPr="00E95AE0">
        <w:rPr>
          <w:rStyle w:val="aff6"/>
          <w:rFonts w:hint="cs"/>
        </w:rPr>
        <w:instrText>REF</w:instrText>
      </w:r>
      <w:r w:rsidRPr="00E95AE0">
        <w:rPr>
          <w:rStyle w:val="aff6"/>
          <w:rFonts w:hint="cs"/>
          <w:rtl/>
        </w:rPr>
        <w:instrText xml:space="preserve"> _</w:instrText>
      </w:r>
      <w:r w:rsidRPr="00E95AE0">
        <w:rPr>
          <w:rStyle w:val="aff6"/>
          <w:rFonts w:hint="cs"/>
        </w:rPr>
        <w:instrText>Ref62324951 \r \h</w:instrText>
      </w:r>
      <w:r w:rsidRPr="00E95AE0">
        <w:rPr>
          <w:rStyle w:val="aff6"/>
          <w:rtl/>
        </w:rPr>
        <w:instrText xml:space="preserve"> </w:instrText>
      </w:r>
      <w:r w:rsidRPr="00E95AE0">
        <w:rPr>
          <w:rStyle w:val="aff6"/>
          <w:rtl/>
        </w:rPr>
      </w:r>
      <w:r w:rsidRPr="00E95AE0">
        <w:rPr>
          <w:rStyle w:val="aff6"/>
          <w:rtl/>
        </w:rPr>
        <w:fldChar w:fldCharType="separate"/>
      </w:r>
      <w:r w:rsidR="00265073">
        <w:rPr>
          <w:rStyle w:val="aff6"/>
          <w:cs/>
        </w:rPr>
        <w:t>‎</w:t>
      </w:r>
      <w:r w:rsidR="00265073">
        <w:rPr>
          <w:rStyle w:val="aff6"/>
          <w:rtl/>
        </w:rPr>
        <w:t>ס)</w:t>
      </w:r>
      <w:r w:rsidRPr="00E95AE0">
        <w:rPr>
          <w:rStyle w:val="aff6"/>
          <w:rtl/>
        </w:rPr>
        <w:fldChar w:fldCharType="end"/>
      </w:r>
      <w:r>
        <w:rPr>
          <w:rStyle w:val="afb"/>
          <w:rFonts w:hint="cs"/>
          <w:rtl/>
        </w:rPr>
        <w:t xml:space="preserve"> </w:t>
      </w:r>
      <w:r w:rsidRPr="007D5D6C">
        <w:rPr>
          <w:rStyle w:val="afb"/>
          <w:rFonts w:hint="cs"/>
          <w:rtl/>
        </w:rPr>
        <w:t xml:space="preserve">דהא דלא מהני מיגו אחר שבאו עדים, </w:t>
      </w:r>
      <w:r>
        <w:rPr>
          <w:rStyle w:val="afb"/>
          <w:rFonts w:hint="cs"/>
          <w:rtl/>
        </w:rPr>
        <w:t xml:space="preserve">הוא כיון </w:t>
      </w:r>
      <w:r w:rsidRPr="007D5D6C">
        <w:rPr>
          <w:rStyle w:val="afb"/>
          <w:rFonts w:hint="cs"/>
          <w:rtl/>
        </w:rPr>
        <w:t>דחיישינן שטען כן מחמת שידע שיבואו עדים].</w:t>
      </w:r>
    </w:p>
    <w:p w:rsidR="00EC445E" w:rsidRPr="00EE5741" w:rsidRDefault="00EC445E" w:rsidP="00EC445E">
      <w:pPr>
        <w:pStyle w:val="a3"/>
        <w:rPr>
          <w:rtl/>
        </w:rPr>
      </w:pPr>
      <w:bookmarkStart w:id="13273" w:name="_Toc62485630"/>
      <w:r>
        <w:rPr>
          <w:rFonts w:hint="cs"/>
          <w:rtl/>
        </w:rPr>
        <w:t>דברי האמרי ברוך דרק כבטענה הראשונה לא ידע מהעדים ואח"כ שמע עליהם אין לו מיגו</w:t>
      </w:r>
      <w:bookmarkEnd w:id="13273"/>
    </w:p>
    <w:p w:rsidR="00EC445E" w:rsidRDefault="00EC445E" w:rsidP="007E4E81">
      <w:pPr>
        <w:pStyle w:val="a0"/>
        <w:rPr>
          <w:rStyle w:val="afb"/>
          <w:rtl/>
        </w:rPr>
      </w:pPr>
      <w:r>
        <w:rPr>
          <w:rFonts w:hint="cs"/>
          <w:rtl/>
        </w:rPr>
        <w:t xml:space="preserve">וכתב </w:t>
      </w:r>
      <w:r w:rsidRPr="00BF121C">
        <w:rPr>
          <w:rStyle w:val="af9"/>
          <w:rFonts w:hint="cs"/>
          <w:rtl/>
        </w:rPr>
        <w:t>בהג' אמרי ברוך על הקצוה"ח</w:t>
      </w:r>
      <w:r>
        <w:rPr>
          <w:rFonts w:hint="cs"/>
          <w:rtl/>
        </w:rPr>
        <w:t xml:space="preserve"> דכ"מ שאפש"ל שאין לו מיגו, הוא אם נחשוש שבשעת הטענה הראשונה לא ידע שיש עדים, ולפני שחזר נודע לו שיש עדים ולכך חזר בו, וציין </w:t>
      </w:r>
      <w:r w:rsidRPr="00E95AE0">
        <w:rPr>
          <w:rStyle w:val="af9"/>
          <w:rFonts w:hint="cs"/>
          <w:rtl/>
        </w:rPr>
        <w:t>האמרי ברוך</w:t>
      </w:r>
      <w:r>
        <w:rPr>
          <w:rFonts w:hint="cs"/>
          <w:rtl/>
        </w:rPr>
        <w:t xml:space="preserve"> לדברי </w:t>
      </w:r>
      <w:r w:rsidRPr="00D471AA">
        <w:rPr>
          <w:rStyle w:val="af9"/>
          <w:rFonts w:hint="cs"/>
          <w:rtl/>
        </w:rPr>
        <w:t>הרמ"א</w:t>
      </w:r>
      <w:r>
        <w:rPr>
          <w:rFonts w:hint="cs"/>
          <w:rtl/>
        </w:rPr>
        <w:t xml:space="preserve"> </w:t>
      </w:r>
      <w:r w:rsidRPr="00D471AA">
        <w:rPr>
          <w:rStyle w:val="af7"/>
          <w:rFonts w:eastAsia="Guttman Hodes" w:hint="cs"/>
          <w:rtl/>
        </w:rPr>
        <w:t>(סי' ע"ט ט')</w:t>
      </w:r>
      <w:r>
        <w:rPr>
          <w:rFonts w:hint="cs"/>
          <w:rtl/>
        </w:rPr>
        <w:t xml:space="preserve"> דאף במקום שרואה שהעדים באים, אינו מוחזק לכפרן, אם הודה לפני שבאו העדים. </w:t>
      </w:r>
      <w:r w:rsidRPr="00AB6ACE">
        <w:rPr>
          <w:rStyle w:val="afb"/>
          <w:rFonts w:hint="cs"/>
          <w:rtl/>
        </w:rPr>
        <w:t xml:space="preserve">[ועי' בדברי </w:t>
      </w:r>
      <w:r w:rsidRPr="00AB6ACE">
        <w:rPr>
          <w:rStyle w:val="affa"/>
          <w:rFonts w:hint="cs"/>
          <w:rtl/>
        </w:rPr>
        <w:t>המאירי</w:t>
      </w:r>
      <w:r w:rsidRPr="00AB6ACE">
        <w:rPr>
          <w:rStyle w:val="afb"/>
          <w:rFonts w:hint="cs"/>
          <w:rtl/>
        </w:rPr>
        <w:t xml:space="preserve"> </w:t>
      </w:r>
      <w:r w:rsidRPr="00106E9E">
        <w:rPr>
          <w:rStyle w:val="aff6"/>
          <w:rFonts w:hint="cs"/>
          <w:rtl/>
        </w:rPr>
        <w:t xml:space="preserve">(עי' אות </w:t>
      </w:r>
      <w:r w:rsidRPr="00106E9E">
        <w:rPr>
          <w:rStyle w:val="aff6"/>
          <w:rtl/>
        </w:rPr>
        <w:fldChar w:fldCharType="begin"/>
      </w:r>
      <w:r w:rsidRPr="00106E9E">
        <w:rPr>
          <w:rStyle w:val="aff6"/>
          <w:rtl/>
        </w:rPr>
        <w:instrText xml:space="preserve"> </w:instrText>
      </w:r>
      <w:r w:rsidRPr="00106E9E">
        <w:rPr>
          <w:rStyle w:val="aff6"/>
          <w:rFonts w:hint="cs"/>
        </w:rPr>
        <w:instrText>REF</w:instrText>
      </w:r>
      <w:r w:rsidRPr="00106E9E">
        <w:rPr>
          <w:rStyle w:val="aff6"/>
          <w:rFonts w:hint="cs"/>
          <w:rtl/>
        </w:rPr>
        <w:instrText xml:space="preserve"> _</w:instrText>
      </w:r>
      <w:r w:rsidRPr="00106E9E">
        <w:rPr>
          <w:rStyle w:val="aff6"/>
          <w:rFonts w:hint="cs"/>
        </w:rPr>
        <w:instrText>Ref62464131 \r \h</w:instrText>
      </w:r>
      <w:r w:rsidRPr="00106E9E">
        <w:rPr>
          <w:rStyle w:val="aff6"/>
          <w:rtl/>
        </w:rPr>
        <w:instrText xml:space="preserve"> </w:instrText>
      </w:r>
      <w:r w:rsidRPr="00106E9E">
        <w:rPr>
          <w:rStyle w:val="aff6"/>
          <w:rtl/>
        </w:rPr>
      </w:r>
      <w:r w:rsidRPr="00106E9E">
        <w:rPr>
          <w:rStyle w:val="aff6"/>
          <w:rtl/>
        </w:rPr>
        <w:fldChar w:fldCharType="separate"/>
      </w:r>
      <w:r w:rsidR="00265073">
        <w:rPr>
          <w:rStyle w:val="aff6"/>
          <w:cs/>
        </w:rPr>
        <w:t>‎</w:t>
      </w:r>
      <w:r w:rsidR="00265073">
        <w:rPr>
          <w:rStyle w:val="aff6"/>
          <w:rtl/>
        </w:rPr>
        <w:t>סה)</w:t>
      </w:r>
      <w:r w:rsidRPr="00106E9E">
        <w:rPr>
          <w:rStyle w:val="aff6"/>
          <w:rtl/>
        </w:rPr>
        <w:fldChar w:fldCharType="end"/>
      </w:r>
      <w:r w:rsidRPr="00AB6ACE">
        <w:rPr>
          <w:rStyle w:val="afb"/>
          <w:rFonts w:hint="cs"/>
          <w:rtl/>
        </w:rPr>
        <w:t xml:space="preserve"> ד</w:t>
      </w:r>
      <w:r>
        <w:rPr>
          <w:rStyle w:val="afb"/>
          <w:rFonts w:hint="cs"/>
          <w:rtl/>
        </w:rPr>
        <w:t>ב</w:t>
      </w:r>
      <w:r w:rsidRPr="00AB6ACE">
        <w:rPr>
          <w:rStyle w:val="afb"/>
          <w:rFonts w:hint="cs"/>
          <w:rtl/>
        </w:rPr>
        <w:t xml:space="preserve">ראה עדים ממשמשים ובאים אינו נאמן אף לדעת </w:t>
      </w:r>
      <w:r w:rsidRPr="00AB6ACE">
        <w:rPr>
          <w:rStyle w:val="affa"/>
          <w:rFonts w:hint="cs"/>
          <w:rtl/>
        </w:rPr>
        <w:t>הר"י מגאש</w:t>
      </w:r>
      <w:r w:rsidRPr="00AB6ACE">
        <w:rPr>
          <w:rStyle w:val="afb"/>
          <w:rFonts w:hint="cs"/>
          <w:rtl/>
        </w:rPr>
        <w:t>].</w:t>
      </w:r>
    </w:p>
    <w:p w:rsidR="00EC445E" w:rsidRDefault="00EC445E" w:rsidP="00EC445E">
      <w:pPr>
        <w:pStyle w:val="1"/>
        <w:rPr>
          <w:rtl/>
        </w:rPr>
      </w:pPr>
      <w:bookmarkStart w:id="13274" w:name="_Toc62485631"/>
      <w:r>
        <w:rPr>
          <w:rFonts w:hint="cs"/>
          <w:rtl/>
        </w:rPr>
        <w:t>ביאור המהריב"ל בר"י מגאש דמיגו מהני כנגד הודאת בע"ד</w:t>
      </w:r>
      <w:bookmarkEnd w:id="13274"/>
    </w:p>
    <w:p w:rsidR="00EC445E" w:rsidRPr="00B743ED" w:rsidRDefault="00EC445E" w:rsidP="00EC445E">
      <w:pPr>
        <w:pStyle w:val="a3"/>
        <w:rPr>
          <w:rtl/>
        </w:rPr>
      </w:pPr>
      <w:bookmarkStart w:id="13275" w:name="_Toc62485632"/>
      <w:r>
        <w:rPr>
          <w:rFonts w:hint="cs"/>
          <w:rtl/>
        </w:rPr>
        <w:t>ביאור המהריב"ל בר"י מגאש דמהני מיגו אף כנגד הודאת בע"ד ואינו כמיגו במקום עדים</w:t>
      </w:r>
      <w:bookmarkEnd w:id="13275"/>
    </w:p>
    <w:p w:rsidR="00EC445E" w:rsidRPr="00AB6ACE" w:rsidRDefault="00EC445E" w:rsidP="007E4E81">
      <w:pPr>
        <w:pStyle w:val="a0"/>
        <w:rPr>
          <w:rStyle w:val="afb"/>
          <w:rtl/>
        </w:rPr>
      </w:pPr>
      <w:bookmarkStart w:id="13276" w:name="_Ref62402139"/>
      <w:r>
        <w:rPr>
          <w:rFonts w:hint="cs"/>
          <w:rtl/>
        </w:rPr>
        <w:t xml:space="preserve">כתב </w:t>
      </w:r>
      <w:r w:rsidRPr="00D63BA2">
        <w:rPr>
          <w:rStyle w:val="af9"/>
          <w:rFonts w:hint="cs"/>
          <w:rtl/>
        </w:rPr>
        <w:t xml:space="preserve">המהר"י בן לב </w:t>
      </w:r>
      <w:r w:rsidRPr="00F05FFD">
        <w:rPr>
          <w:rStyle w:val="af7"/>
          <w:rFonts w:eastAsia="Guttman Hodes" w:hint="cs"/>
          <w:rtl/>
        </w:rPr>
        <w:t xml:space="preserve">(ח"ג </w:t>
      </w:r>
      <w:r>
        <w:rPr>
          <w:rStyle w:val="af7"/>
          <w:rFonts w:eastAsia="Guttman Hodes" w:hint="cs"/>
          <w:rtl/>
        </w:rPr>
        <w:t>סו"ס</w:t>
      </w:r>
      <w:r w:rsidRPr="00F05FFD">
        <w:rPr>
          <w:rStyle w:val="af7"/>
          <w:rFonts w:eastAsia="Guttman Hodes" w:hint="cs"/>
          <w:rtl/>
        </w:rPr>
        <w:t xml:space="preserve"> ע"ט ד"ה ובמאי דכתבינן)</w:t>
      </w:r>
      <w:r>
        <w:rPr>
          <w:rFonts w:hint="cs"/>
          <w:rtl/>
        </w:rPr>
        <w:t xml:space="preserve"> דבדברי </w:t>
      </w:r>
      <w:r w:rsidRPr="00D63BA2">
        <w:rPr>
          <w:rStyle w:val="af9"/>
          <w:rFonts w:hint="cs"/>
          <w:rtl/>
        </w:rPr>
        <w:t>הנימוק"י</w:t>
      </w:r>
      <w:r>
        <w:rPr>
          <w:rFonts w:hint="cs"/>
          <w:rtl/>
        </w:rPr>
        <w:t xml:space="preserve"> </w:t>
      </w:r>
      <w:r w:rsidRPr="007C1ABA">
        <w:rPr>
          <w:rStyle w:val="af7"/>
          <w:rFonts w:eastAsia="Guttman Hodes" w:hint="cs"/>
          <w:rtl/>
        </w:rPr>
        <w:t>(עי'</w:t>
      </w:r>
      <w:r>
        <w:rPr>
          <w:rFonts w:hint="cs"/>
          <w:rtl/>
        </w:rPr>
        <w:t xml:space="preserve"> </w:t>
      </w:r>
      <w:r w:rsidRPr="007C1ABA">
        <w:rPr>
          <w:rStyle w:val="af7"/>
          <w:rFonts w:eastAsia="Guttman Hodes" w:hint="cs"/>
          <w:rtl/>
        </w:rPr>
        <w:t xml:space="preserve">אות </w:t>
      </w:r>
      <w:r w:rsidRPr="007C1ABA">
        <w:rPr>
          <w:rStyle w:val="af7"/>
          <w:rFonts w:eastAsia="Guttman Hodes"/>
          <w:rtl/>
        </w:rPr>
        <w:fldChar w:fldCharType="begin"/>
      </w:r>
      <w:r w:rsidRPr="007C1ABA">
        <w:rPr>
          <w:rStyle w:val="af7"/>
          <w:rFonts w:eastAsia="Guttman Hodes"/>
          <w:rtl/>
        </w:rPr>
        <w:instrText xml:space="preserve"> </w:instrText>
      </w:r>
      <w:r w:rsidRPr="007C1ABA">
        <w:rPr>
          <w:rStyle w:val="af7"/>
          <w:rFonts w:eastAsia="Guttman Hodes" w:hint="cs"/>
        </w:rPr>
        <w:instrText>REF</w:instrText>
      </w:r>
      <w:r w:rsidRPr="007C1ABA">
        <w:rPr>
          <w:rStyle w:val="af7"/>
          <w:rFonts w:eastAsia="Guttman Hodes" w:hint="cs"/>
          <w:rtl/>
        </w:rPr>
        <w:instrText xml:space="preserve"> _</w:instrText>
      </w:r>
      <w:r w:rsidRPr="007C1ABA">
        <w:rPr>
          <w:rStyle w:val="af7"/>
          <w:rFonts w:eastAsia="Guttman Hodes" w:hint="cs"/>
        </w:rPr>
        <w:instrText>Ref62463717 \r \h</w:instrText>
      </w:r>
      <w:r w:rsidRPr="007C1ABA">
        <w:rPr>
          <w:rStyle w:val="af7"/>
          <w:rFonts w:eastAsia="Guttman Hodes"/>
          <w:rtl/>
        </w:rPr>
        <w:instrText xml:space="preserve"> </w:instrText>
      </w:r>
      <w:r w:rsidRPr="007C1ABA">
        <w:rPr>
          <w:rStyle w:val="af7"/>
          <w:rFonts w:eastAsia="Guttman Hodes"/>
          <w:rtl/>
        </w:rPr>
      </w:r>
      <w:r w:rsidRPr="007C1ABA">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7C1ABA">
        <w:rPr>
          <w:rStyle w:val="af7"/>
          <w:rFonts w:eastAsia="Guttman Hodes"/>
          <w:rtl/>
        </w:rPr>
        <w:fldChar w:fldCharType="end"/>
      </w:r>
      <w:r>
        <w:rPr>
          <w:rFonts w:hint="cs"/>
          <w:rtl/>
        </w:rPr>
        <w:t xml:space="preserve"> בשם </w:t>
      </w:r>
      <w:r w:rsidRPr="00D63BA2">
        <w:rPr>
          <w:rStyle w:val="af9"/>
          <w:rFonts w:hint="cs"/>
          <w:rtl/>
        </w:rPr>
        <w:t>הר"י מגאש</w:t>
      </w:r>
      <w:r>
        <w:rPr>
          <w:rFonts w:hint="cs"/>
          <w:rtl/>
        </w:rPr>
        <w:t xml:space="preserve"> </w:t>
      </w:r>
      <w:r w:rsidRPr="007C1ABA">
        <w:rPr>
          <w:rStyle w:val="af7"/>
          <w:rFonts w:eastAsia="Guttman Hodes" w:hint="cs"/>
          <w:rtl/>
        </w:rPr>
        <w:t xml:space="preserve">(עי' אות </w:t>
      </w:r>
      <w:r w:rsidRPr="007C1ABA">
        <w:rPr>
          <w:rStyle w:val="af7"/>
          <w:rFonts w:eastAsia="Guttman Hodes"/>
          <w:rtl/>
        </w:rPr>
        <w:fldChar w:fldCharType="begin"/>
      </w:r>
      <w:r w:rsidRPr="007C1ABA">
        <w:rPr>
          <w:rStyle w:val="af7"/>
          <w:rFonts w:eastAsia="Guttman Hodes"/>
          <w:rtl/>
        </w:rPr>
        <w:instrText xml:space="preserve"> </w:instrText>
      </w:r>
      <w:r w:rsidRPr="007C1ABA">
        <w:rPr>
          <w:rStyle w:val="af7"/>
          <w:rFonts w:eastAsia="Guttman Hodes" w:hint="cs"/>
        </w:rPr>
        <w:instrText>REF</w:instrText>
      </w:r>
      <w:r w:rsidRPr="007C1ABA">
        <w:rPr>
          <w:rStyle w:val="af7"/>
          <w:rFonts w:eastAsia="Guttman Hodes" w:hint="cs"/>
          <w:rtl/>
        </w:rPr>
        <w:instrText xml:space="preserve"> _</w:instrText>
      </w:r>
      <w:r w:rsidRPr="007C1ABA">
        <w:rPr>
          <w:rStyle w:val="af7"/>
          <w:rFonts w:eastAsia="Guttman Hodes" w:hint="cs"/>
        </w:rPr>
        <w:instrText>Ref62452796 \r \h</w:instrText>
      </w:r>
      <w:r w:rsidRPr="007C1ABA">
        <w:rPr>
          <w:rStyle w:val="af7"/>
          <w:rFonts w:eastAsia="Guttman Hodes"/>
          <w:rtl/>
        </w:rPr>
        <w:instrText xml:space="preserve"> </w:instrText>
      </w:r>
      <w:r w:rsidRPr="007C1ABA">
        <w:rPr>
          <w:rStyle w:val="af7"/>
          <w:rFonts w:eastAsia="Guttman Hodes"/>
          <w:rtl/>
        </w:rPr>
      </w:r>
      <w:r w:rsidRPr="007C1ABA">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7C1ABA">
        <w:rPr>
          <w:rStyle w:val="af7"/>
          <w:rFonts w:eastAsia="Guttman Hodes"/>
          <w:rtl/>
        </w:rPr>
        <w:fldChar w:fldCharType="end"/>
      </w:r>
      <w:r>
        <w:rPr>
          <w:rFonts w:hint="cs"/>
          <w:rtl/>
        </w:rPr>
        <w:t xml:space="preserve"> </w:t>
      </w:r>
      <w:r w:rsidRPr="00D63BA2">
        <w:rPr>
          <w:rStyle w:val="af9"/>
          <w:rFonts w:hint="cs"/>
          <w:rtl/>
        </w:rPr>
        <w:t>והמרדכי</w:t>
      </w:r>
      <w:r>
        <w:rPr>
          <w:rFonts w:hint="cs"/>
          <w:rtl/>
        </w:rPr>
        <w:t xml:space="preserve"> </w:t>
      </w:r>
      <w:r w:rsidRPr="007C1ABA">
        <w:rPr>
          <w:rStyle w:val="af7"/>
          <w:rFonts w:eastAsia="Guttman Hodes" w:hint="cs"/>
          <w:rtl/>
        </w:rPr>
        <w:t xml:space="preserve">(עי' אות </w:t>
      </w:r>
      <w:r w:rsidRPr="007C1ABA">
        <w:rPr>
          <w:rStyle w:val="af7"/>
          <w:rFonts w:eastAsia="Guttman Hodes"/>
          <w:rtl/>
        </w:rPr>
        <w:fldChar w:fldCharType="begin"/>
      </w:r>
      <w:r w:rsidRPr="007C1ABA">
        <w:rPr>
          <w:rStyle w:val="af7"/>
          <w:rFonts w:eastAsia="Guttman Hodes"/>
          <w:rtl/>
        </w:rPr>
        <w:instrText xml:space="preserve"> </w:instrText>
      </w:r>
      <w:r w:rsidRPr="007C1ABA">
        <w:rPr>
          <w:rStyle w:val="af7"/>
          <w:rFonts w:eastAsia="Guttman Hodes" w:hint="cs"/>
        </w:rPr>
        <w:instrText>REF</w:instrText>
      </w:r>
      <w:r w:rsidRPr="007C1ABA">
        <w:rPr>
          <w:rStyle w:val="af7"/>
          <w:rFonts w:eastAsia="Guttman Hodes" w:hint="cs"/>
          <w:rtl/>
        </w:rPr>
        <w:instrText xml:space="preserve"> _</w:instrText>
      </w:r>
      <w:r w:rsidRPr="007C1ABA">
        <w:rPr>
          <w:rStyle w:val="af7"/>
          <w:rFonts w:eastAsia="Guttman Hodes" w:hint="cs"/>
        </w:rPr>
        <w:instrText>Ref62454143 \r \h</w:instrText>
      </w:r>
      <w:r w:rsidRPr="007C1ABA">
        <w:rPr>
          <w:rStyle w:val="af7"/>
          <w:rFonts w:eastAsia="Guttman Hodes"/>
          <w:rtl/>
        </w:rPr>
        <w:instrText xml:space="preserve"> </w:instrText>
      </w:r>
      <w:r w:rsidRPr="007C1ABA">
        <w:rPr>
          <w:rStyle w:val="af7"/>
          <w:rFonts w:eastAsia="Guttman Hodes"/>
          <w:rtl/>
        </w:rPr>
      </w:r>
      <w:r w:rsidRPr="007C1ABA">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7C1ABA">
        <w:rPr>
          <w:rStyle w:val="af7"/>
          <w:rFonts w:eastAsia="Guttman Hodes"/>
          <w:rtl/>
        </w:rPr>
        <w:fldChar w:fldCharType="end"/>
      </w:r>
      <w:r>
        <w:rPr>
          <w:rFonts w:hint="cs"/>
          <w:rtl/>
        </w:rPr>
        <w:t xml:space="preserve"> דכתבו דהחוזר וטוען מפטור לפטור נאמן במיגו דהיה עומד בטענתו הראשונה, מבואר חידוש גדול, דמהני מיגו אף להכחיש את דבריו הראשונים, ולא אמרינן דכל שמכחיש את דבריו הראשונים אינו נאמן, כמו דלא מהני מיגו במקום עדים</w:t>
      </w:r>
      <w:r>
        <w:rPr>
          <w:rStyle w:val="af1"/>
          <w:rtl/>
        </w:rPr>
        <w:footnoteReference w:id="88"/>
      </w:r>
      <w:r>
        <w:rPr>
          <w:rFonts w:hint="cs"/>
          <w:rtl/>
        </w:rPr>
        <w:t>.</w:t>
      </w:r>
      <w:bookmarkEnd w:id="13276"/>
    </w:p>
    <w:p w:rsidR="00EC445E" w:rsidRPr="007B6B09" w:rsidRDefault="00EC445E" w:rsidP="00EC445E">
      <w:pPr>
        <w:pStyle w:val="1"/>
        <w:rPr>
          <w:rtl/>
        </w:rPr>
      </w:pPr>
      <w:bookmarkStart w:id="13277" w:name="_Toc62385992"/>
      <w:bookmarkStart w:id="13278" w:name="_Toc62420129"/>
      <w:bookmarkStart w:id="13279" w:name="_Toc62452622"/>
      <w:bookmarkStart w:id="13280" w:name="_Toc62453909"/>
      <w:bookmarkStart w:id="13281" w:name="_Toc62485633"/>
      <w:r>
        <w:rPr>
          <w:rFonts w:hint="cs"/>
          <w:rtl/>
        </w:rPr>
        <w:t xml:space="preserve">ביאור הכנה"ג </w:t>
      </w:r>
      <w:bookmarkEnd w:id="13277"/>
      <w:bookmarkEnd w:id="13278"/>
      <w:bookmarkEnd w:id="13279"/>
      <w:bookmarkEnd w:id="13280"/>
      <w:r>
        <w:rPr>
          <w:rFonts w:hint="cs"/>
          <w:rtl/>
        </w:rPr>
        <w:t>דנח' הנימוק"י והריב"ש במיגו שסותר טענתו</w:t>
      </w:r>
      <w:bookmarkEnd w:id="13281"/>
      <w:r>
        <w:rPr>
          <w:rFonts w:hint="cs"/>
          <w:rtl/>
        </w:rPr>
        <w:t xml:space="preserve"> </w:t>
      </w:r>
    </w:p>
    <w:p w:rsidR="00EC445E" w:rsidRDefault="00EC445E" w:rsidP="00EC445E">
      <w:pPr>
        <w:pStyle w:val="a3"/>
        <w:rPr>
          <w:rtl/>
        </w:rPr>
      </w:pPr>
      <w:bookmarkStart w:id="13282" w:name="_Toc62485634"/>
      <w:r>
        <w:rPr>
          <w:rFonts w:hint="cs"/>
          <w:rtl/>
        </w:rPr>
        <w:t>דברי הכנה"ג דלנימוק"י ולמרדכי מהני מיגו לסתור טענתו ולריב"ש ל"מ מיגו לסתור טענתו</w:t>
      </w:r>
      <w:bookmarkEnd w:id="13282"/>
    </w:p>
    <w:p w:rsidR="00EC445E" w:rsidRDefault="00EC445E" w:rsidP="007E4E81">
      <w:pPr>
        <w:pStyle w:val="a0"/>
        <w:rPr>
          <w:szCs w:val="14"/>
          <w:rtl/>
        </w:rPr>
      </w:pPr>
      <w:bookmarkStart w:id="13283" w:name="_Ref62464042"/>
      <w:r>
        <w:rPr>
          <w:rFonts w:hint="cs"/>
          <w:rtl/>
        </w:rPr>
        <w:t xml:space="preserve">והביא </w:t>
      </w:r>
      <w:r w:rsidRPr="00EC5CF1">
        <w:rPr>
          <w:rStyle w:val="af9"/>
          <w:rFonts w:hint="cs"/>
          <w:rtl/>
        </w:rPr>
        <w:t>הכנה"ג</w:t>
      </w:r>
      <w:r>
        <w:rPr>
          <w:rFonts w:hint="cs"/>
          <w:rtl/>
        </w:rPr>
        <w:t xml:space="preserve"> </w:t>
      </w:r>
      <w:r w:rsidRPr="00EC5CF1">
        <w:rPr>
          <w:rStyle w:val="af7"/>
          <w:rFonts w:eastAsia="Guttman Hodes" w:hint="cs"/>
          <w:rtl/>
        </w:rPr>
        <w:t>(סי' פ"ב הג' לטור כללי מיגו קצ"ב)</w:t>
      </w:r>
      <w:r>
        <w:rPr>
          <w:rFonts w:hint="cs"/>
          <w:rtl/>
        </w:rPr>
        <w:t xml:space="preserve"> את דברי </w:t>
      </w:r>
      <w:r w:rsidRPr="00D63BA2">
        <w:rPr>
          <w:rStyle w:val="af9"/>
          <w:rFonts w:hint="cs"/>
          <w:rtl/>
        </w:rPr>
        <w:t xml:space="preserve">המהר"י בן לב </w:t>
      </w:r>
      <w:r w:rsidRPr="00414622">
        <w:rPr>
          <w:rStyle w:val="af7"/>
          <w:rFonts w:eastAsia="Guttman Hodes" w:hint="cs"/>
          <w:rtl/>
        </w:rPr>
        <w:t xml:space="preserve">(עי' אות </w:t>
      </w:r>
      <w:r w:rsidRPr="00414622">
        <w:rPr>
          <w:rStyle w:val="af7"/>
          <w:rFonts w:eastAsia="Guttman Hodes"/>
          <w:rtl/>
        </w:rPr>
        <w:fldChar w:fldCharType="begin"/>
      </w:r>
      <w:r w:rsidRPr="00414622">
        <w:rPr>
          <w:rStyle w:val="af7"/>
          <w:rFonts w:eastAsia="Guttman Hodes"/>
          <w:rtl/>
        </w:rPr>
        <w:instrText xml:space="preserve"> </w:instrText>
      </w:r>
      <w:r w:rsidRPr="00414622">
        <w:rPr>
          <w:rStyle w:val="af7"/>
          <w:rFonts w:eastAsia="Guttman Hodes" w:hint="cs"/>
        </w:rPr>
        <w:instrText>REF</w:instrText>
      </w:r>
      <w:r w:rsidRPr="00414622">
        <w:rPr>
          <w:rStyle w:val="af7"/>
          <w:rFonts w:eastAsia="Guttman Hodes" w:hint="cs"/>
          <w:rtl/>
        </w:rPr>
        <w:instrText xml:space="preserve"> _</w:instrText>
      </w:r>
      <w:r w:rsidRPr="00414622">
        <w:rPr>
          <w:rStyle w:val="af7"/>
          <w:rFonts w:eastAsia="Guttman Hodes" w:hint="cs"/>
        </w:rPr>
        <w:instrText>Ref62402139 \r \h</w:instrText>
      </w:r>
      <w:r w:rsidRPr="00414622">
        <w:rPr>
          <w:rStyle w:val="af7"/>
          <w:rFonts w:eastAsia="Guttman Hodes"/>
          <w:rtl/>
        </w:rPr>
        <w:instrText xml:space="preserve"> </w:instrText>
      </w:r>
      <w:r w:rsidRPr="00414622">
        <w:rPr>
          <w:rStyle w:val="af7"/>
          <w:rFonts w:eastAsia="Guttman Hodes"/>
          <w:rtl/>
        </w:rPr>
      </w:r>
      <w:r w:rsidRPr="00414622">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414622">
        <w:rPr>
          <w:rStyle w:val="af7"/>
          <w:rFonts w:eastAsia="Guttman Hodes"/>
          <w:rtl/>
        </w:rPr>
        <w:fldChar w:fldCharType="end"/>
      </w:r>
      <w:r>
        <w:rPr>
          <w:rFonts w:hint="cs"/>
          <w:rtl/>
        </w:rPr>
        <w:t xml:space="preserve"> דכתב דמבואר מדברי </w:t>
      </w:r>
      <w:r w:rsidRPr="00EC5CF1">
        <w:rPr>
          <w:rStyle w:val="af9"/>
          <w:rFonts w:hint="cs"/>
          <w:rtl/>
        </w:rPr>
        <w:t>הנימוק"י והמרדכי</w:t>
      </w:r>
      <w:r>
        <w:rPr>
          <w:rFonts w:hint="cs"/>
          <w:rtl/>
        </w:rPr>
        <w:t xml:space="preserve"> דממהני מיגו לסתור </w:t>
      </w:r>
      <w:r>
        <w:rPr>
          <w:rFonts w:hint="cs"/>
          <w:rtl/>
        </w:rPr>
        <w:lastRenderedPageBreak/>
        <w:t xml:space="preserve">את טענתו, וכתב </w:t>
      </w:r>
      <w:r w:rsidRPr="00EC5CF1">
        <w:rPr>
          <w:rStyle w:val="af9"/>
          <w:rFonts w:hint="cs"/>
          <w:rtl/>
        </w:rPr>
        <w:t>הכנה"ג</w:t>
      </w:r>
      <w:r>
        <w:rPr>
          <w:rStyle w:val="af1"/>
          <w:rtl/>
        </w:rPr>
        <w:footnoteReference w:id="89"/>
      </w:r>
      <w:r>
        <w:rPr>
          <w:rFonts w:hint="cs"/>
          <w:rtl/>
        </w:rPr>
        <w:t xml:space="preserve"> </w:t>
      </w:r>
      <w:r w:rsidRPr="00EC5CF1">
        <w:rPr>
          <w:rStyle w:val="af7"/>
          <w:rFonts w:eastAsia="Guttman Hodes" w:hint="cs"/>
          <w:rtl/>
        </w:rPr>
        <w:t>(סי' פ"ב הג' לטור כללי מיגו קצ"ב, תומים סו"ס פ"ב קיצור כללי מיגו</w:t>
      </w:r>
      <w:r>
        <w:rPr>
          <w:rStyle w:val="af7"/>
          <w:rFonts w:eastAsia="Guttman Hodes" w:hint="cs"/>
          <w:rtl/>
        </w:rPr>
        <w:t xml:space="preserve"> </w:t>
      </w:r>
      <w:r w:rsidRPr="00EC5CF1">
        <w:rPr>
          <w:rStyle w:val="af7"/>
          <w:rFonts w:eastAsia="Guttman Hodes" w:hint="cs"/>
          <w:rtl/>
        </w:rPr>
        <w:t>לכנה"ג קל"ג)</w:t>
      </w:r>
      <w:r>
        <w:rPr>
          <w:rFonts w:hint="cs"/>
          <w:rtl/>
        </w:rPr>
        <w:t xml:space="preserve"> </w:t>
      </w:r>
      <w:r w:rsidRPr="00EC5CF1">
        <w:rPr>
          <w:rStyle w:val="af9"/>
          <w:rFonts w:hint="cs"/>
          <w:rtl/>
        </w:rPr>
        <w:t>דהריב"ש</w:t>
      </w:r>
      <w:r>
        <w:rPr>
          <w:rFonts w:hint="cs"/>
          <w:rtl/>
        </w:rPr>
        <w:t xml:space="preserve"> </w:t>
      </w:r>
      <w:r w:rsidRPr="00EC5CF1">
        <w:rPr>
          <w:rStyle w:val="af7"/>
          <w:rFonts w:eastAsia="Guttman Hodes" w:hint="cs"/>
          <w:rtl/>
        </w:rPr>
        <w:t>(סי' קצ"ג ד"ה וא"ת מ"מ)</w:t>
      </w:r>
      <w:r>
        <w:rPr>
          <w:rFonts w:hint="cs"/>
          <w:rtl/>
        </w:rPr>
        <w:t xml:space="preserve"> פליג על ביאור </w:t>
      </w:r>
      <w:r w:rsidRPr="00EC5CF1">
        <w:rPr>
          <w:rStyle w:val="af9"/>
          <w:rFonts w:hint="cs"/>
          <w:rtl/>
        </w:rPr>
        <w:t>המהר"י בן לב</w:t>
      </w:r>
      <w:r>
        <w:rPr>
          <w:rFonts w:hint="cs"/>
          <w:rtl/>
        </w:rPr>
        <w:t xml:space="preserve"> בדברי </w:t>
      </w:r>
      <w:r w:rsidRPr="00EC5CF1">
        <w:rPr>
          <w:rStyle w:val="af9"/>
          <w:rFonts w:hint="cs"/>
          <w:rtl/>
        </w:rPr>
        <w:t>המרדכי והנימוק"י</w:t>
      </w:r>
      <w:r>
        <w:rPr>
          <w:rFonts w:hint="cs"/>
          <w:rtl/>
        </w:rPr>
        <w:t xml:space="preserve">, וס"ל </w:t>
      </w:r>
      <w:r w:rsidRPr="00EC5CF1">
        <w:rPr>
          <w:rStyle w:val="af9"/>
          <w:rFonts w:hint="cs"/>
          <w:rtl/>
        </w:rPr>
        <w:t>להריב"ש</w:t>
      </w:r>
      <w:r>
        <w:rPr>
          <w:rFonts w:hint="cs"/>
          <w:rtl/>
        </w:rPr>
        <w:t xml:space="preserve"> דכל שהוא מכחיש את דבריו הראשונים, אינו נאמן במיגו, דהא כתב כתב </w:t>
      </w:r>
      <w:r w:rsidRPr="00EC5CF1">
        <w:rPr>
          <w:rStyle w:val="af9"/>
          <w:rFonts w:hint="cs"/>
          <w:rtl/>
        </w:rPr>
        <w:t>הריב"ש</w:t>
      </w:r>
      <w:r>
        <w:rPr>
          <w:rFonts w:hint="cs"/>
          <w:rtl/>
        </w:rPr>
        <w:t xml:space="preserve"> דאב שטען בתחילה שהוא מחה בקידושי בתו קטנה, ואח"כ חזר האב וטען שהתרצה לקידושין, דאינו נאמן להפוך את דבריו, כיון שלטענתו הראשונה הודה שלא התרצה כלל לקידושין, ולא חלו קידושיה, וכתב </w:t>
      </w:r>
      <w:r w:rsidRPr="00DB6090">
        <w:rPr>
          <w:rStyle w:val="af9"/>
          <w:rFonts w:hint="cs"/>
          <w:rtl/>
        </w:rPr>
        <w:t xml:space="preserve">הריב"ש </w:t>
      </w:r>
      <w:r>
        <w:rPr>
          <w:rFonts w:hint="cs"/>
          <w:rtl/>
        </w:rPr>
        <w:t xml:space="preserve">דאינו נאמן במיגו דבידו לקדשה, ועי' במ"ש </w:t>
      </w:r>
      <w:r w:rsidRPr="00AE58E7">
        <w:rPr>
          <w:rStyle w:val="af9"/>
          <w:rFonts w:hint="cs"/>
          <w:rtl/>
        </w:rPr>
        <w:t>בחי' הגר"ח מטעלז</w:t>
      </w:r>
      <w:r>
        <w:rPr>
          <w:rFonts w:hint="cs"/>
          <w:rtl/>
        </w:rPr>
        <w:t xml:space="preserve"> </w:t>
      </w:r>
      <w:r w:rsidRPr="0085139E">
        <w:rPr>
          <w:rStyle w:val="af7"/>
          <w:rFonts w:eastAsia="Guttman Hodes" w:hint="cs"/>
          <w:rtl/>
        </w:rPr>
        <w:t xml:space="preserve">(עי' אות </w:t>
      </w:r>
      <w:r w:rsidRPr="0085139E">
        <w:rPr>
          <w:rStyle w:val="af7"/>
          <w:rFonts w:eastAsia="Guttman Hodes"/>
          <w:rtl/>
        </w:rPr>
        <w:fldChar w:fldCharType="begin"/>
      </w:r>
      <w:r w:rsidRPr="0085139E">
        <w:rPr>
          <w:rStyle w:val="af7"/>
          <w:rFonts w:eastAsia="Guttman Hodes"/>
          <w:rtl/>
        </w:rPr>
        <w:instrText xml:space="preserve"> </w:instrText>
      </w:r>
      <w:r w:rsidRPr="0085139E">
        <w:rPr>
          <w:rStyle w:val="af7"/>
          <w:rFonts w:eastAsia="Guttman Hodes" w:hint="cs"/>
        </w:rPr>
        <w:instrText>REF</w:instrText>
      </w:r>
      <w:r w:rsidRPr="0085139E">
        <w:rPr>
          <w:rStyle w:val="af7"/>
          <w:rFonts w:eastAsia="Guttman Hodes" w:hint="cs"/>
          <w:rtl/>
        </w:rPr>
        <w:instrText xml:space="preserve"> _</w:instrText>
      </w:r>
      <w:r w:rsidRPr="0085139E">
        <w:rPr>
          <w:rStyle w:val="af7"/>
          <w:rFonts w:eastAsia="Guttman Hodes" w:hint="cs"/>
        </w:rPr>
        <w:instrText>Ref62469532 \r \h</w:instrText>
      </w:r>
      <w:r w:rsidRPr="0085139E">
        <w:rPr>
          <w:rStyle w:val="af7"/>
          <w:rFonts w:eastAsia="Guttman Hodes"/>
          <w:rtl/>
        </w:rPr>
        <w:instrText xml:space="preserve"> </w:instrText>
      </w:r>
      <w:r w:rsidRPr="0085139E">
        <w:rPr>
          <w:rStyle w:val="af7"/>
          <w:rFonts w:eastAsia="Guttman Hodes"/>
          <w:rtl/>
        </w:rPr>
      </w:r>
      <w:r w:rsidRPr="0085139E">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sidRPr="0085139E">
        <w:rPr>
          <w:rStyle w:val="af7"/>
          <w:rFonts w:eastAsia="Guttman Hodes"/>
          <w:rtl/>
        </w:rPr>
        <w:fldChar w:fldCharType="end"/>
      </w:r>
      <w:r>
        <w:rPr>
          <w:rFonts w:hint="cs"/>
          <w:rtl/>
        </w:rPr>
        <w:t>.</w:t>
      </w:r>
      <w:bookmarkEnd w:id="13283"/>
    </w:p>
    <w:p w:rsidR="00EC445E" w:rsidRPr="00057564" w:rsidRDefault="00EC445E" w:rsidP="00EC445E">
      <w:pPr>
        <w:pStyle w:val="a3"/>
      </w:pPr>
      <w:bookmarkStart w:id="13284" w:name="_Toc62485635"/>
      <w:r>
        <w:rPr>
          <w:rFonts w:hint="cs"/>
          <w:rtl/>
        </w:rPr>
        <w:t>הוכחת הריב"ש דל"מ מיגו לסתור טענתו מהאומר זה עבדי דאינו נאמן במיגו לומר זה בני</w:t>
      </w:r>
      <w:bookmarkEnd w:id="13284"/>
    </w:p>
    <w:p w:rsidR="00EC445E" w:rsidRPr="00AA2400" w:rsidRDefault="00EC445E" w:rsidP="007E4E81">
      <w:pPr>
        <w:pStyle w:val="a0"/>
        <w:rPr>
          <w:rStyle w:val="afb"/>
          <w:rtl/>
        </w:rPr>
      </w:pPr>
      <w:r>
        <w:rPr>
          <w:rFonts w:hint="cs"/>
          <w:rtl/>
        </w:rPr>
        <w:t xml:space="preserve"> והביא </w:t>
      </w:r>
      <w:r w:rsidRPr="00D63BA2">
        <w:rPr>
          <w:rStyle w:val="af9"/>
          <w:rFonts w:hint="cs"/>
          <w:rtl/>
        </w:rPr>
        <w:t>הריב"ש</w:t>
      </w:r>
      <w:r>
        <w:rPr>
          <w:rFonts w:hint="cs"/>
          <w:rtl/>
        </w:rPr>
        <w:t xml:space="preserve"> ראיה דכל שהוא סותר את דבריו הראשונים ואינו מפרש אותם, אינו נאמן במיגו, מהא דאיתא בב"ב </w:t>
      </w:r>
      <w:r w:rsidRPr="00F05FFD">
        <w:rPr>
          <w:rStyle w:val="af7"/>
          <w:rFonts w:eastAsia="Guttman Hodes" w:hint="cs"/>
          <w:rtl/>
        </w:rPr>
        <w:t>(קכז:)</w:t>
      </w:r>
      <w:r>
        <w:rPr>
          <w:rFonts w:hint="cs"/>
          <w:rtl/>
        </w:rPr>
        <w:t xml:space="preserve"> דהאומר זה עבדי, וחזר ואמר בני הוא דאינו נאמן במיגו, דהיה יכול לתת לו את כל נכסיו במתנה, כיון שלא נאמן במיגו, כשהוא סותר את דבריו הראשונים. </w:t>
      </w:r>
      <w:r w:rsidRPr="00AA2400">
        <w:rPr>
          <w:rStyle w:val="afb"/>
          <w:rFonts w:hint="cs"/>
          <w:rtl/>
        </w:rPr>
        <w:t xml:space="preserve">[אך כתב </w:t>
      </w:r>
      <w:r w:rsidRPr="00AB6ACE">
        <w:rPr>
          <w:rStyle w:val="affa"/>
          <w:rFonts w:hint="cs"/>
          <w:rtl/>
        </w:rPr>
        <w:t>הריב"ש</w:t>
      </w:r>
      <w:r w:rsidRPr="00AA2400">
        <w:rPr>
          <w:rStyle w:val="afb"/>
          <w:rFonts w:hint="cs"/>
          <w:rtl/>
        </w:rPr>
        <w:t xml:space="preserve"> דאם היה האב נותן אמתלא טובה לדבריו הראשונים היה נאמן, וכדאיתא בכתובות </w:t>
      </w:r>
      <w:r w:rsidRPr="00AB6ACE">
        <w:rPr>
          <w:rStyle w:val="aff6"/>
          <w:rFonts w:hint="cs"/>
          <w:rtl/>
        </w:rPr>
        <w:t>(כב.)</w:t>
      </w:r>
      <w:r w:rsidRPr="00AA2400">
        <w:rPr>
          <w:rStyle w:val="afb"/>
          <w:rFonts w:hint="cs"/>
          <w:rtl/>
        </w:rPr>
        <w:t xml:space="preserve"> דאשה שאמרה אשת איש אני, וחזרה ואמרה פנויה אני, ונתנה אמתלא לדבריה שבתחילה היו בנ"א שאינם מהוגנים שרצו לקדשה, דהיא נאמנת, דכך דרך אשה צנועה, וכן ידוע שכך היה בתחילה, ולכן נאמנת שהיא נותנת אמתלא טובה לדבריה].</w:t>
      </w:r>
    </w:p>
    <w:p w:rsidR="00EC445E" w:rsidRDefault="00EC445E" w:rsidP="00EC445E">
      <w:pPr>
        <w:pStyle w:val="1"/>
        <w:rPr>
          <w:rtl/>
        </w:rPr>
      </w:pPr>
      <w:bookmarkStart w:id="13285" w:name="_Toc62385993"/>
      <w:bookmarkStart w:id="13286" w:name="_Toc62420130"/>
      <w:bookmarkStart w:id="13287" w:name="_Toc62452623"/>
      <w:bookmarkStart w:id="13288" w:name="_Toc62453910"/>
      <w:bookmarkStart w:id="13289" w:name="_Toc62485636"/>
      <w:r>
        <w:rPr>
          <w:rFonts w:hint="cs"/>
          <w:rtl/>
        </w:rPr>
        <w:t>בי' התומים דמפטור לפטור אינו מדקדק בדבריו ולכן מהני מיגו</w:t>
      </w:r>
      <w:bookmarkEnd w:id="13285"/>
      <w:bookmarkEnd w:id="13286"/>
      <w:bookmarkEnd w:id="13287"/>
      <w:bookmarkEnd w:id="13288"/>
      <w:bookmarkEnd w:id="13289"/>
    </w:p>
    <w:p w:rsidR="00EC445E" w:rsidRDefault="00EC445E" w:rsidP="00EC445E">
      <w:pPr>
        <w:pStyle w:val="a3"/>
        <w:rPr>
          <w:rtl/>
        </w:rPr>
      </w:pPr>
      <w:bookmarkStart w:id="13290" w:name="_Toc62485637"/>
      <w:r>
        <w:rPr>
          <w:rFonts w:hint="cs"/>
          <w:rtl/>
        </w:rPr>
        <w:t>ביאור התומים בר"י מגאש דבחוזר מפטור לפטור לא דייק בטענתו דבשניהם טוען שאינו חייב</w:t>
      </w:r>
      <w:bookmarkEnd w:id="13290"/>
    </w:p>
    <w:p w:rsidR="00EC445E" w:rsidRDefault="00EC445E" w:rsidP="007E4E81">
      <w:pPr>
        <w:pStyle w:val="a0"/>
        <w:rPr>
          <w:rtl/>
        </w:rPr>
      </w:pPr>
      <w:bookmarkStart w:id="13291" w:name="_Ref62465084"/>
      <w:r>
        <w:rPr>
          <w:rFonts w:hint="cs"/>
          <w:rtl/>
        </w:rPr>
        <w:t xml:space="preserve">ודחה </w:t>
      </w:r>
      <w:r w:rsidRPr="00D63BA2">
        <w:rPr>
          <w:rStyle w:val="af9"/>
          <w:rFonts w:hint="cs"/>
          <w:rtl/>
        </w:rPr>
        <w:t>התומים</w:t>
      </w:r>
      <w:r>
        <w:rPr>
          <w:rFonts w:hint="cs"/>
          <w:rtl/>
        </w:rPr>
        <w:t xml:space="preserve"> </w:t>
      </w:r>
      <w:r w:rsidRPr="00D63BA2">
        <w:rPr>
          <w:rStyle w:val="af9"/>
          <w:rFonts w:hint="cs"/>
          <w:rtl/>
        </w:rPr>
        <w:t>בכללי</w:t>
      </w:r>
      <w:r>
        <w:rPr>
          <w:rFonts w:hint="cs"/>
          <w:rtl/>
        </w:rPr>
        <w:t xml:space="preserve"> </w:t>
      </w:r>
      <w:r w:rsidRPr="00D63BA2">
        <w:rPr>
          <w:rStyle w:val="af9"/>
          <w:rFonts w:hint="cs"/>
          <w:rtl/>
        </w:rPr>
        <w:t>מיגו</w:t>
      </w:r>
      <w:r>
        <w:rPr>
          <w:rFonts w:hint="cs"/>
          <w:rtl/>
        </w:rPr>
        <w:t xml:space="preserve"> </w:t>
      </w:r>
      <w:r w:rsidRPr="00F05FFD">
        <w:rPr>
          <w:rStyle w:val="af7"/>
          <w:rFonts w:eastAsia="Guttman Hodes" w:hint="cs"/>
          <w:rtl/>
        </w:rPr>
        <w:t xml:space="preserve">(סו"ס פ"ב </w:t>
      </w:r>
      <w:r w:rsidRPr="00AB6ACE">
        <w:rPr>
          <w:rStyle w:val="af7"/>
          <w:rFonts w:eastAsia="Guttman Hodes" w:hint="cs"/>
          <w:rtl/>
        </w:rPr>
        <w:t>קל"ג)</w:t>
      </w:r>
      <w:r>
        <w:rPr>
          <w:rFonts w:hint="cs"/>
          <w:rtl/>
        </w:rPr>
        <w:t xml:space="preserve"> את דברי </w:t>
      </w:r>
      <w:r w:rsidRPr="00D63BA2">
        <w:rPr>
          <w:rStyle w:val="af9"/>
          <w:rFonts w:hint="cs"/>
          <w:rtl/>
        </w:rPr>
        <w:t>הכנה"ג</w:t>
      </w:r>
      <w:r w:rsidRPr="00B715B4">
        <w:rPr>
          <w:rStyle w:val="af7"/>
          <w:rFonts w:eastAsia="Guttman Hodes" w:hint="cs"/>
          <w:rtl/>
        </w:rPr>
        <w:t xml:space="preserve"> (עי' אות </w:t>
      </w:r>
      <w:r w:rsidRPr="00B715B4">
        <w:rPr>
          <w:rStyle w:val="af7"/>
          <w:rFonts w:eastAsia="Guttman Hodes"/>
          <w:rtl/>
        </w:rPr>
        <w:fldChar w:fldCharType="begin"/>
      </w:r>
      <w:r w:rsidRPr="00B715B4">
        <w:rPr>
          <w:rStyle w:val="af7"/>
          <w:rFonts w:eastAsia="Guttman Hodes"/>
          <w:rtl/>
        </w:rPr>
        <w:instrText xml:space="preserve"> </w:instrText>
      </w:r>
      <w:r w:rsidRPr="00B715B4">
        <w:rPr>
          <w:rStyle w:val="af7"/>
          <w:rFonts w:eastAsia="Guttman Hodes" w:hint="cs"/>
        </w:rPr>
        <w:instrText>REF</w:instrText>
      </w:r>
      <w:r w:rsidRPr="00B715B4">
        <w:rPr>
          <w:rStyle w:val="af7"/>
          <w:rFonts w:eastAsia="Guttman Hodes" w:hint="cs"/>
          <w:rtl/>
        </w:rPr>
        <w:instrText xml:space="preserve"> _</w:instrText>
      </w:r>
      <w:r w:rsidRPr="00B715B4">
        <w:rPr>
          <w:rStyle w:val="af7"/>
          <w:rFonts w:eastAsia="Guttman Hodes" w:hint="cs"/>
        </w:rPr>
        <w:instrText>Ref62464042 \r \h</w:instrText>
      </w:r>
      <w:r w:rsidRPr="00B715B4">
        <w:rPr>
          <w:rStyle w:val="af7"/>
          <w:rFonts w:eastAsia="Guttman Hodes"/>
          <w:rtl/>
        </w:rPr>
        <w:instrText xml:space="preserve"> </w:instrText>
      </w:r>
      <w:r w:rsidRPr="00B715B4">
        <w:rPr>
          <w:rStyle w:val="af7"/>
          <w:rFonts w:eastAsia="Guttman Hodes"/>
          <w:rtl/>
        </w:rPr>
      </w:r>
      <w:r w:rsidRPr="00B715B4">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B715B4">
        <w:rPr>
          <w:rStyle w:val="af7"/>
          <w:rFonts w:eastAsia="Guttman Hodes"/>
          <w:rtl/>
        </w:rPr>
        <w:fldChar w:fldCharType="end"/>
      </w:r>
      <w:r>
        <w:rPr>
          <w:rFonts w:hint="cs"/>
          <w:rtl/>
        </w:rPr>
        <w:t xml:space="preserve"> דמ"ש </w:t>
      </w:r>
      <w:r w:rsidRPr="00D63BA2">
        <w:rPr>
          <w:rStyle w:val="af9"/>
          <w:rFonts w:hint="cs"/>
          <w:rtl/>
        </w:rPr>
        <w:t>הנימוק"י</w:t>
      </w:r>
      <w:r>
        <w:rPr>
          <w:rFonts w:hint="cs"/>
          <w:rtl/>
        </w:rPr>
        <w:t xml:space="preserve"> </w:t>
      </w:r>
      <w:r w:rsidRPr="007C1ABA">
        <w:rPr>
          <w:rStyle w:val="af7"/>
          <w:rFonts w:eastAsia="Guttman Hodes" w:hint="cs"/>
          <w:rtl/>
        </w:rPr>
        <w:t>(עי'</w:t>
      </w:r>
      <w:r>
        <w:rPr>
          <w:rFonts w:hint="cs"/>
          <w:rtl/>
        </w:rPr>
        <w:t xml:space="preserve"> </w:t>
      </w:r>
      <w:r w:rsidRPr="007C1ABA">
        <w:rPr>
          <w:rStyle w:val="af7"/>
          <w:rFonts w:eastAsia="Guttman Hodes" w:hint="cs"/>
          <w:rtl/>
        </w:rPr>
        <w:t xml:space="preserve">אות </w:t>
      </w:r>
      <w:r w:rsidRPr="007C1ABA">
        <w:rPr>
          <w:rStyle w:val="af7"/>
          <w:rFonts w:eastAsia="Guttman Hodes"/>
          <w:rtl/>
        </w:rPr>
        <w:fldChar w:fldCharType="begin"/>
      </w:r>
      <w:r w:rsidRPr="007C1ABA">
        <w:rPr>
          <w:rStyle w:val="af7"/>
          <w:rFonts w:eastAsia="Guttman Hodes"/>
          <w:rtl/>
        </w:rPr>
        <w:instrText xml:space="preserve"> </w:instrText>
      </w:r>
      <w:r w:rsidRPr="007C1ABA">
        <w:rPr>
          <w:rStyle w:val="af7"/>
          <w:rFonts w:eastAsia="Guttman Hodes" w:hint="cs"/>
        </w:rPr>
        <w:instrText>REF</w:instrText>
      </w:r>
      <w:r w:rsidRPr="007C1ABA">
        <w:rPr>
          <w:rStyle w:val="af7"/>
          <w:rFonts w:eastAsia="Guttman Hodes" w:hint="cs"/>
          <w:rtl/>
        </w:rPr>
        <w:instrText xml:space="preserve"> _</w:instrText>
      </w:r>
      <w:r w:rsidRPr="007C1ABA">
        <w:rPr>
          <w:rStyle w:val="af7"/>
          <w:rFonts w:eastAsia="Guttman Hodes" w:hint="cs"/>
        </w:rPr>
        <w:instrText>Ref62463717 \r \h</w:instrText>
      </w:r>
      <w:r w:rsidRPr="007C1ABA">
        <w:rPr>
          <w:rStyle w:val="af7"/>
          <w:rFonts w:eastAsia="Guttman Hodes"/>
          <w:rtl/>
        </w:rPr>
        <w:instrText xml:space="preserve"> </w:instrText>
      </w:r>
      <w:r w:rsidRPr="007C1ABA">
        <w:rPr>
          <w:rStyle w:val="af7"/>
          <w:rFonts w:eastAsia="Guttman Hodes"/>
          <w:rtl/>
        </w:rPr>
      </w:r>
      <w:r w:rsidRPr="007C1ABA">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7C1ABA">
        <w:rPr>
          <w:rStyle w:val="af7"/>
          <w:rFonts w:eastAsia="Guttman Hodes"/>
          <w:rtl/>
        </w:rPr>
        <w:fldChar w:fldCharType="end"/>
      </w:r>
      <w:r>
        <w:rPr>
          <w:rFonts w:hint="cs"/>
          <w:rtl/>
        </w:rPr>
        <w:t xml:space="preserve"> בשם </w:t>
      </w:r>
      <w:r w:rsidRPr="00D63BA2">
        <w:rPr>
          <w:rStyle w:val="af9"/>
          <w:rFonts w:hint="cs"/>
          <w:rtl/>
        </w:rPr>
        <w:t>הר"י מגאש</w:t>
      </w:r>
      <w:r>
        <w:rPr>
          <w:rFonts w:hint="cs"/>
          <w:rtl/>
        </w:rPr>
        <w:t xml:space="preserve"> </w:t>
      </w:r>
      <w:r w:rsidRPr="007C1ABA">
        <w:rPr>
          <w:rStyle w:val="af7"/>
          <w:rFonts w:eastAsia="Guttman Hodes" w:hint="cs"/>
          <w:rtl/>
        </w:rPr>
        <w:t xml:space="preserve">(עי' אות </w:t>
      </w:r>
      <w:r w:rsidRPr="007C1ABA">
        <w:rPr>
          <w:rStyle w:val="af7"/>
          <w:rFonts w:eastAsia="Guttman Hodes"/>
          <w:rtl/>
        </w:rPr>
        <w:fldChar w:fldCharType="begin"/>
      </w:r>
      <w:r w:rsidRPr="007C1ABA">
        <w:rPr>
          <w:rStyle w:val="af7"/>
          <w:rFonts w:eastAsia="Guttman Hodes"/>
          <w:rtl/>
        </w:rPr>
        <w:instrText xml:space="preserve"> </w:instrText>
      </w:r>
      <w:r w:rsidRPr="007C1ABA">
        <w:rPr>
          <w:rStyle w:val="af7"/>
          <w:rFonts w:eastAsia="Guttman Hodes" w:hint="cs"/>
        </w:rPr>
        <w:instrText>REF</w:instrText>
      </w:r>
      <w:r w:rsidRPr="007C1ABA">
        <w:rPr>
          <w:rStyle w:val="af7"/>
          <w:rFonts w:eastAsia="Guttman Hodes" w:hint="cs"/>
          <w:rtl/>
        </w:rPr>
        <w:instrText xml:space="preserve"> _</w:instrText>
      </w:r>
      <w:r w:rsidRPr="007C1ABA">
        <w:rPr>
          <w:rStyle w:val="af7"/>
          <w:rFonts w:eastAsia="Guttman Hodes" w:hint="cs"/>
        </w:rPr>
        <w:instrText>Ref62452796 \r \h</w:instrText>
      </w:r>
      <w:r w:rsidRPr="007C1ABA">
        <w:rPr>
          <w:rStyle w:val="af7"/>
          <w:rFonts w:eastAsia="Guttman Hodes"/>
          <w:rtl/>
        </w:rPr>
        <w:instrText xml:space="preserve"> </w:instrText>
      </w:r>
      <w:r w:rsidRPr="007C1ABA">
        <w:rPr>
          <w:rStyle w:val="af7"/>
          <w:rFonts w:eastAsia="Guttman Hodes"/>
          <w:rtl/>
        </w:rPr>
      </w:r>
      <w:r w:rsidRPr="007C1ABA">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7C1ABA">
        <w:rPr>
          <w:rStyle w:val="af7"/>
          <w:rFonts w:eastAsia="Guttman Hodes"/>
          <w:rtl/>
        </w:rPr>
        <w:fldChar w:fldCharType="end"/>
      </w:r>
      <w:r>
        <w:rPr>
          <w:rFonts w:hint="cs"/>
          <w:rtl/>
        </w:rPr>
        <w:t xml:space="preserve"> </w:t>
      </w:r>
      <w:r w:rsidRPr="00D63BA2">
        <w:rPr>
          <w:rStyle w:val="af9"/>
          <w:rFonts w:hint="cs"/>
          <w:rtl/>
        </w:rPr>
        <w:t>והמרדכי</w:t>
      </w:r>
      <w:r>
        <w:rPr>
          <w:rFonts w:hint="cs"/>
          <w:rtl/>
        </w:rPr>
        <w:t xml:space="preserve"> </w:t>
      </w:r>
      <w:r w:rsidRPr="007C1ABA">
        <w:rPr>
          <w:rStyle w:val="af7"/>
          <w:rFonts w:eastAsia="Guttman Hodes" w:hint="cs"/>
          <w:rtl/>
        </w:rPr>
        <w:t xml:space="preserve">(עי' אות </w:t>
      </w:r>
      <w:r w:rsidRPr="007C1ABA">
        <w:rPr>
          <w:rStyle w:val="af7"/>
          <w:rFonts w:eastAsia="Guttman Hodes"/>
          <w:rtl/>
        </w:rPr>
        <w:fldChar w:fldCharType="begin"/>
      </w:r>
      <w:r w:rsidRPr="007C1ABA">
        <w:rPr>
          <w:rStyle w:val="af7"/>
          <w:rFonts w:eastAsia="Guttman Hodes"/>
          <w:rtl/>
        </w:rPr>
        <w:instrText xml:space="preserve"> </w:instrText>
      </w:r>
      <w:r w:rsidRPr="007C1ABA">
        <w:rPr>
          <w:rStyle w:val="af7"/>
          <w:rFonts w:eastAsia="Guttman Hodes" w:hint="cs"/>
        </w:rPr>
        <w:instrText>REF</w:instrText>
      </w:r>
      <w:r w:rsidRPr="007C1ABA">
        <w:rPr>
          <w:rStyle w:val="af7"/>
          <w:rFonts w:eastAsia="Guttman Hodes" w:hint="cs"/>
          <w:rtl/>
        </w:rPr>
        <w:instrText xml:space="preserve"> _</w:instrText>
      </w:r>
      <w:r w:rsidRPr="007C1ABA">
        <w:rPr>
          <w:rStyle w:val="af7"/>
          <w:rFonts w:eastAsia="Guttman Hodes" w:hint="cs"/>
        </w:rPr>
        <w:instrText>Ref62454143 \r \h</w:instrText>
      </w:r>
      <w:r w:rsidRPr="007C1ABA">
        <w:rPr>
          <w:rStyle w:val="af7"/>
          <w:rFonts w:eastAsia="Guttman Hodes"/>
          <w:rtl/>
        </w:rPr>
        <w:instrText xml:space="preserve"> </w:instrText>
      </w:r>
      <w:r w:rsidRPr="007C1ABA">
        <w:rPr>
          <w:rStyle w:val="af7"/>
          <w:rFonts w:eastAsia="Guttman Hodes"/>
          <w:rtl/>
        </w:rPr>
      </w:r>
      <w:r w:rsidRPr="007C1ABA">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7C1ABA">
        <w:rPr>
          <w:rStyle w:val="af7"/>
          <w:rFonts w:eastAsia="Guttman Hodes"/>
          <w:rtl/>
        </w:rPr>
        <w:fldChar w:fldCharType="end"/>
      </w:r>
      <w:r>
        <w:rPr>
          <w:rFonts w:hint="cs"/>
          <w:rtl/>
        </w:rPr>
        <w:t xml:space="preserve"> דנאמן להכחיש את דבריו הראשונים, היינו דוקא בחוזר וטוען מפטור לפטור, כגון כשטען בתחילה להד"ם, וחזר וטען לויתי ופרעתי, שיש לו מיגו שיכול לעמוד בטענתו הראשונה, ולכן אעפ"י שטענתו האחרונה סותרת את טענתו הראשונה נאמן, וביאר </w:t>
      </w:r>
      <w:r w:rsidRPr="00D63BA2">
        <w:rPr>
          <w:rStyle w:val="af9"/>
          <w:rFonts w:hint="cs"/>
          <w:rtl/>
        </w:rPr>
        <w:t>התומים</w:t>
      </w:r>
      <w:r>
        <w:rPr>
          <w:rFonts w:hint="cs"/>
          <w:rtl/>
        </w:rPr>
        <w:t xml:space="preserve"> דהנאמנות שלו היא דכיון שבב' הטענות הוא פטור לכן לא דקדק בטענתו הראשונה כ"כ, דאין לו כל נ"מ אי לא לוה כלל או לוה ופרע, דלפי ב' הטענות אינו חייב לשלם, ולכן נאמן לומר שלא דקדק בדבריו, כשיש לו מיגו שיכול לעמוד בטענתו הראשונה.</w:t>
      </w:r>
      <w:bookmarkEnd w:id="13291"/>
    </w:p>
    <w:p w:rsidR="00EC445E" w:rsidRDefault="00EC445E" w:rsidP="00EC445E">
      <w:pPr>
        <w:pStyle w:val="a3"/>
        <w:rPr>
          <w:rtl/>
        </w:rPr>
      </w:pPr>
      <w:bookmarkStart w:id="13292" w:name="_Toc62485638"/>
      <w:r>
        <w:rPr>
          <w:rFonts w:hint="cs"/>
          <w:rtl/>
        </w:rPr>
        <w:t>ביאור התומים בריב"ש דכשעוקר בטענתו השניה את טענתו הראשונה לגמרי אינו נאמן במיגו</w:t>
      </w:r>
      <w:bookmarkEnd w:id="13292"/>
    </w:p>
    <w:p w:rsidR="00EC445E" w:rsidRDefault="00EC445E" w:rsidP="007E4E81">
      <w:pPr>
        <w:pStyle w:val="a0"/>
        <w:rPr>
          <w:rtl/>
        </w:rPr>
      </w:pPr>
      <w:r>
        <w:rPr>
          <w:rFonts w:hint="cs"/>
          <w:rtl/>
        </w:rPr>
        <w:t xml:space="preserve">אבל בדברי </w:t>
      </w:r>
      <w:r w:rsidRPr="00D63BA2">
        <w:rPr>
          <w:rStyle w:val="af9"/>
          <w:rFonts w:hint="cs"/>
          <w:rtl/>
        </w:rPr>
        <w:t>הריב"ש</w:t>
      </w:r>
      <w:r>
        <w:rPr>
          <w:rFonts w:hint="cs"/>
          <w:rtl/>
        </w:rPr>
        <w:t xml:space="preserve"> </w:t>
      </w:r>
      <w:r w:rsidRPr="00B715B4">
        <w:rPr>
          <w:rStyle w:val="af7"/>
          <w:rFonts w:eastAsia="Guttman Hodes" w:hint="cs"/>
          <w:rtl/>
        </w:rPr>
        <w:t xml:space="preserve">(עי' אות </w:t>
      </w:r>
      <w:r w:rsidRPr="00B715B4">
        <w:rPr>
          <w:rStyle w:val="af7"/>
          <w:rFonts w:eastAsia="Guttman Hodes"/>
          <w:rtl/>
        </w:rPr>
        <w:fldChar w:fldCharType="begin"/>
      </w:r>
      <w:r w:rsidRPr="00B715B4">
        <w:rPr>
          <w:rStyle w:val="af7"/>
          <w:rFonts w:eastAsia="Guttman Hodes"/>
          <w:rtl/>
        </w:rPr>
        <w:instrText xml:space="preserve"> </w:instrText>
      </w:r>
      <w:r w:rsidRPr="00B715B4">
        <w:rPr>
          <w:rStyle w:val="af7"/>
          <w:rFonts w:eastAsia="Guttman Hodes" w:hint="cs"/>
        </w:rPr>
        <w:instrText>REF</w:instrText>
      </w:r>
      <w:r w:rsidRPr="00B715B4">
        <w:rPr>
          <w:rStyle w:val="af7"/>
          <w:rFonts w:eastAsia="Guttman Hodes" w:hint="cs"/>
          <w:rtl/>
        </w:rPr>
        <w:instrText xml:space="preserve"> _</w:instrText>
      </w:r>
      <w:r w:rsidRPr="00B715B4">
        <w:rPr>
          <w:rStyle w:val="af7"/>
          <w:rFonts w:eastAsia="Guttman Hodes" w:hint="cs"/>
        </w:rPr>
        <w:instrText>Ref62464042 \r \h</w:instrText>
      </w:r>
      <w:r w:rsidRPr="00B715B4">
        <w:rPr>
          <w:rStyle w:val="af7"/>
          <w:rFonts w:eastAsia="Guttman Hodes"/>
          <w:rtl/>
        </w:rPr>
        <w:instrText xml:space="preserve"> </w:instrText>
      </w:r>
      <w:r w:rsidRPr="00B715B4">
        <w:rPr>
          <w:rStyle w:val="af7"/>
          <w:rFonts w:eastAsia="Guttman Hodes"/>
          <w:rtl/>
        </w:rPr>
      </w:r>
      <w:r w:rsidRPr="00B715B4">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B715B4">
        <w:rPr>
          <w:rStyle w:val="af7"/>
          <w:rFonts w:eastAsia="Guttman Hodes"/>
          <w:rtl/>
        </w:rPr>
        <w:fldChar w:fldCharType="end"/>
      </w:r>
      <w:r>
        <w:rPr>
          <w:rFonts w:hint="cs"/>
          <w:rtl/>
        </w:rPr>
        <w:t xml:space="preserve"> כתב </w:t>
      </w:r>
      <w:r w:rsidRPr="00D63BA2">
        <w:rPr>
          <w:rStyle w:val="af9"/>
          <w:rFonts w:hint="cs"/>
          <w:rtl/>
        </w:rPr>
        <w:t>התומים</w:t>
      </w:r>
      <w:r>
        <w:rPr>
          <w:rFonts w:hint="cs"/>
          <w:rtl/>
        </w:rPr>
        <w:t xml:space="preserve"> דלא איירי בחוזר וטוען מפטור לפטור, אלא דכיון דלטענתו הראשונה שלא התרצה לקידושי בתו קטנה, א"כ אין קידושיה קידושין והיא פנויה, ואילו לטענתו השניה שטען שהתרצה לקידושין, א"כ חלו הקידושין והיא אשת איש, ובכה"ג הוא עוקר את דבריו הראשונים לגמרי, ולא שייך לומר דלא דקדק בדבריו, כיון שיש נ"מ גדולה בין הטענות, אם בתו פנויה או אשת איש ולא דמי לחוזר וטוען מפטור לפטור, דלפי ב' הטענות אינו חייב לשלם, ולכן כתב </w:t>
      </w:r>
      <w:r w:rsidRPr="00D63BA2">
        <w:rPr>
          <w:rStyle w:val="af9"/>
          <w:rFonts w:hint="cs"/>
          <w:rtl/>
        </w:rPr>
        <w:t>הריב"ש</w:t>
      </w:r>
      <w:r>
        <w:rPr>
          <w:rFonts w:hint="cs"/>
          <w:rtl/>
        </w:rPr>
        <w:t xml:space="preserve"> דאינו נאמן במיגו, דפשיטא שיש סתירה בין ב' הטענות.</w:t>
      </w:r>
    </w:p>
    <w:p w:rsidR="00730F4A" w:rsidRPr="00730F4A" w:rsidRDefault="00730F4A" w:rsidP="00730F4A">
      <w:pPr>
        <w:pStyle w:val="a3"/>
        <w:rPr>
          <w:rtl/>
        </w:rPr>
      </w:pPr>
    </w:p>
    <w:p w:rsidR="00EC445E" w:rsidRDefault="00EC445E" w:rsidP="00EC445E">
      <w:pPr>
        <w:pStyle w:val="a3"/>
        <w:rPr>
          <w:rtl/>
        </w:rPr>
      </w:pPr>
      <w:bookmarkStart w:id="13293" w:name="_Toc62485639"/>
      <w:r>
        <w:rPr>
          <w:rFonts w:hint="cs"/>
          <w:rtl/>
        </w:rPr>
        <w:t>דברי התומים דמודה הריב"ש דבאופן שאין נ"מ לדינא בין הטענות נאמן במיגו לחזור מטענתו</w:t>
      </w:r>
      <w:bookmarkEnd w:id="13293"/>
    </w:p>
    <w:p w:rsidR="00EC445E" w:rsidRPr="000A1D0E" w:rsidRDefault="00EC445E" w:rsidP="007E4E81">
      <w:pPr>
        <w:pStyle w:val="a0"/>
        <w:rPr>
          <w:rtl/>
        </w:rPr>
      </w:pPr>
      <w:r>
        <w:rPr>
          <w:rFonts w:hint="cs"/>
          <w:rtl/>
        </w:rPr>
        <w:t xml:space="preserve">וכתב </w:t>
      </w:r>
      <w:r w:rsidRPr="00EC5CF1">
        <w:rPr>
          <w:rStyle w:val="af9"/>
          <w:rFonts w:hint="cs"/>
          <w:rtl/>
        </w:rPr>
        <w:t>התומים</w:t>
      </w:r>
      <w:r>
        <w:rPr>
          <w:rFonts w:hint="cs"/>
          <w:rtl/>
        </w:rPr>
        <w:t xml:space="preserve"> דאם היה האב טוען שבתחילה לא התרצה כלל לקידושין, ואח"כ חזר וטען שהתרצה לקידושין, אך היה בהם תנאי ולא התקיים התנאי, מודה הריב"ש דנאמן במיגו, כיון שלפי ב' הטענות היא פנויה, ואין סתירה בין ב' הטענות, ולכן יכול האב לומר שלא דקדק בטענתו, כי אין לו כל נ"מ ביניהם דבין כך ובין כך טוען שהיא פנויה.</w:t>
      </w:r>
    </w:p>
    <w:p w:rsidR="00EC445E" w:rsidRDefault="00EC445E" w:rsidP="00EC445E">
      <w:pPr>
        <w:pStyle w:val="1"/>
        <w:rPr>
          <w:rtl/>
        </w:rPr>
      </w:pPr>
      <w:bookmarkStart w:id="13294" w:name="_Toc62485640"/>
      <w:bookmarkStart w:id="13295" w:name="_Toc62160830"/>
      <w:r>
        <w:rPr>
          <w:rFonts w:hint="cs"/>
          <w:rtl/>
        </w:rPr>
        <w:t>ביאור הנתיה"מ בר"י מגאש דלא דייק ולכן אינה הודאת בע"ד</w:t>
      </w:r>
      <w:bookmarkEnd w:id="13294"/>
    </w:p>
    <w:p w:rsidR="00EC445E" w:rsidRPr="00717684" w:rsidRDefault="00EC445E" w:rsidP="00EC445E">
      <w:pPr>
        <w:pStyle w:val="a3"/>
        <w:rPr>
          <w:rtl/>
        </w:rPr>
      </w:pPr>
      <w:bookmarkStart w:id="13296" w:name="_Toc62485641"/>
      <w:r>
        <w:rPr>
          <w:rFonts w:hint="cs"/>
          <w:rtl/>
        </w:rPr>
        <w:t>ביאור הנתיה"מ בר"י מגאש דטענתו הראשונה אינה הודאה כיון דאינו מדייק בטענת פטור</w:t>
      </w:r>
      <w:bookmarkEnd w:id="13296"/>
    </w:p>
    <w:p w:rsidR="00EC445E" w:rsidRDefault="00EC445E" w:rsidP="007E4E81">
      <w:pPr>
        <w:pStyle w:val="a0"/>
      </w:pPr>
      <w:bookmarkStart w:id="13297" w:name="_Ref62470047"/>
      <w:bookmarkStart w:id="13298" w:name="_Ref62469718"/>
      <w:r>
        <w:rPr>
          <w:rFonts w:hint="cs"/>
          <w:rtl/>
        </w:rPr>
        <w:t xml:space="preserve">הביא </w:t>
      </w:r>
      <w:r w:rsidRPr="00EC5CF1">
        <w:rPr>
          <w:rStyle w:val="af9"/>
          <w:rFonts w:hint="cs"/>
          <w:rtl/>
        </w:rPr>
        <w:t>הנתיה"מ</w:t>
      </w:r>
      <w:r>
        <w:rPr>
          <w:rFonts w:hint="cs"/>
          <w:rtl/>
        </w:rPr>
        <w:t xml:space="preserve"> </w:t>
      </w:r>
      <w:r w:rsidRPr="000A7775">
        <w:rPr>
          <w:rStyle w:val="af7"/>
          <w:rFonts w:eastAsia="Guttman Hodes" w:hint="cs"/>
          <w:rtl/>
        </w:rPr>
        <w:t>(סי' ע"ב סקל"ד)</w:t>
      </w:r>
      <w:r>
        <w:rPr>
          <w:rFonts w:hint="cs"/>
          <w:rtl/>
        </w:rPr>
        <w:t xml:space="preserve"> את דברי </w:t>
      </w:r>
      <w:r w:rsidRPr="00EC5CF1">
        <w:rPr>
          <w:rStyle w:val="af9"/>
          <w:rFonts w:hint="cs"/>
          <w:rtl/>
        </w:rPr>
        <w:t>הקצוה"ח</w:t>
      </w:r>
      <w:r>
        <w:rPr>
          <w:rFonts w:hint="cs"/>
          <w:rtl/>
        </w:rPr>
        <w:t xml:space="preserve"> </w:t>
      </w:r>
      <w:r w:rsidRPr="000A7775">
        <w:rPr>
          <w:rStyle w:val="af7"/>
          <w:rFonts w:eastAsia="Guttman Hodes" w:hint="cs"/>
          <w:rtl/>
        </w:rPr>
        <w:t xml:space="preserve">(עי' אות </w:t>
      </w:r>
      <w:r w:rsidRPr="000A7775">
        <w:rPr>
          <w:rStyle w:val="af7"/>
          <w:rFonts w:eastAsia="Guttman Hodes"/>
          <w:rtl/>
        </w:rPr>
        <w:fldChar w:fldCharType="begin"/>
      </w:r>
      <w:r w:rsidRPr="000A7775">
        <w:rPr>
          <w:rStyle w:val="af7"/>
          <w:rFonts w:eastAsia="Guttman Hodes"/>
          <w:rtl/>
        </w:rPr>
        <w:instrText xml:space="preserve"> </w:instrText>
      </w:r>
      <w:r w:rsidRPr="000A7775">
        <w:rPr>
          <w:rStyle w:val="af7"/>
          <w:rFonts w:eastAsia="Guttman Hodes" w:hint="cs"/>
        </w:rPr>
        <w:instrText>REF</w:instrText>
      </w:r>
      <w:r w:rsidRPr="000A7775">
        <w:rPr>
          <w:rStyle w:val="af7"/>
          <w:rFonts w:eastAsia="Guttman Hodes" w:hint="cs"/>
          <w:rtl/>
        </w:rPr>
        <w:instrText xml:space="preserve"> _</w:instrText>
      </w:r>
      <w:r w:rsidRPr="000A7775">
        <w:rPr>
          <w:rStyle w:val="af7"/>
          <w:rFonts w:eastAsia="Guttman Hodes" w:hint="cs"/>
        </w:rPr>
        <w:instrText>Ref62463813 \r \h</w:instrText>
      </w:r>
      <w:r w:rsidRPr="000A7775">
        <w:rPr>
          <w:rStyle w:val="af7"/>
          <w:rFonts w:eastAsia="Guttman Hodes"/>
          <w:rtl/>
        </w:rPr>
        <w:instrText xml:space="preserve">  \* </w:instrText>
      </w:r>
      <w:r w:rsidRPr="000A7775">
        <w:rPr>
          <w:rStyle w:val="af7"/>
          <w:rFonts w:eastAsia="Guttman Hodes"/>
        </w:rPr>
        <w:instrText>MERGEFORMAT</w:instrText>
      </w:r>
      <w:r w:rsidRPr="000A7775">
        <w:rPr>
          <w:rStyle w:val="af7"/>
          <w:rFonts w:eastAsia="Guttman Hodes"/>
          <w:rtl/>
        </w:rPr>
        <w:instrText xml:space="preserve"> </w:instrText>
      </w:r>
      <w:r w:rsidRPr="000A7775">
        <w:rPr>
          <w:rStyle w:val="af7"/>
          <w:rFonts w:eastAsia="Guttman Hodes"/>
          <w:rtl/>
        </w:rPr>
      </w:r>
      <w:r w:rsidRPr="000A7775">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0A7775">
        <w:rPr>
          <w:rStyle w:val="af7"/>
          <w:rFonts w:eastAsia="Guttman Hodes"/>
          <w:rtl/>
        </w:rPr>
        <w:fldChar w:fldCharType="end"/>
      </w:r>
      <w:r>
        <w:rPr>
          <w:rFonts w:hint="cs"/>
          <w:rtl/>
        </w:rPr>
        <w:t xml:space="preserve"> דביאר דמ"ש</w:t>
      </w:r>
      <w:r w:rsidRPr="00AF016D">
        <w:rPr>
          <w:rStyle w:val="af9"/>
          <w:rFonts w:hint="cs"/>
          <w:rtl/>
        </w:rPr>
        <w:t xml:space="preserve"> </w:t>
      </w:r>
      <w:r>
        <w:rPr>
          <w:rStyle w:val="af9"/>
          <w:rtl/>
        </w:rPr>
        <w:t>הטור והש"ך</w:t>
      </w:r>
      <w:r>
        <w:rPr>
          <w:rtl/>
        </w:rPr>
        <w:t xml:space="preserve"> </w:t>
      </w:r>
      <w:r w:rsidRPr="000A7775">
        <w:rPr>
          <w:rStyle w:val="af7"/>
          <w:rFonts w:eastAsia="Guttman Hodes" w:hint="cs"/>
          <w:rtl/>
        </w:rPr>
        <w:t xml:space="preserve">(עי' אות </w:t>
      </w:r>
      <w:r w:rsidRPr="000A7775">
        <w:rPr>
          <w:rStyle w:val="af7"/>
          <w:rFonts w:eastAsia="Guttman Hodes" w:hint="cs"/>
          <w:rtl/>
        </w:rPr>
        <w:fldChar w:fldCharType="begin"/>
      </w:r>
      <w:r w:rsidRPr="000A7775">
        <w:rPr>
          <w:rStyle w:val="af7"/>
          <w:rFonts w:eastAsia="Guttman Hodes" w:hint="cs"/>
          <w:rtl/>
        </w:rPr>
        <w:instrText xml:space="preserve"> </w:instrText>
      </w:r>
      <w:r w:rsidRPr="000A7775">
        <w:rPr>
          <w:rStyle w:val="af7"/>
          <w:rFonts w:eastAsia="Guttman Hodes"/>
        </w:rPr>
        <w:instrText>REF</w:instrText>
      </w:r>
      <w:r w:rsidRPr="000A7775">
        <w:rPr>
          <w:rStyle w:val="af7"/>
          <w:rFonts w:eastAsia="Guttman Hodes" w:hint="cs"/>
          <w:rtl/>
        </w:rPr>
        <w:instrText xml:space="preserve"> _</w:instrText>
      </w:r>
      <w:r w:rsidRPr="000A7775">
        <w:rPr>
          <w:rStyle w:val="af7"/>
          <w:rFonts w:eastAsia="Guttman Hodes"/>
        </w:rPr>
        <w:instrText>Ref62407179 \r \h</w:instrText>
      </w:r>
      <w:r w:rsidRPr="000A7775">
        <w:rPr>
          <w:rStyle w:val="af7"/>
          <w:rFonts w:eastAsia="Guttman Hodes" w:hint="cs"/>
          <w:rtl/>
        </w:rPr>
        <w:instrText xml:space="preserve"> </w:instrText>
      </w:r>
      <w:r w:rsidRPr="000A7775">
        <w:rPr>
          <w:rStyle w:val="af7"/>
          <w:rFonts w:eastAsia="Guttman Hodes" w:hint="cs"/>
          <w:rtl/>
        </w:rPr>
      </w:r>
      <w:r w:rsidRPr="000A7775">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סט</w:t>
      </w:r>
      <w:r w:rsidR="00265073">
        <w:rPr>
          <w:rStyle w:val="af7"/>
          <w:rFonts w:eastAsia="Guttman Hodes"/>
          <w:rtl/>
        </w:rPr>
        <w:t>)</w:t>
      </w:r>
      <w:r w:rsidRPr="000A7775">
        <w:rPr>
          <w:rStyle w:val="af7"/>
          <w:rFonts w:eastAsia="Guttman Hodes" w:hint="cs"/>
          <w:rtl/>
        </w:rPr>
        <w:fldChar w:fldCharType="end"/>
      </w:r>
      <w:r w:rsidRPr="000A7775">
        <w:rPr>
          <w:rStyle w:val="af7"/>
          <w:rFonts w:eastAsia="Guttman Hodes" w:hint="cs"/>
          <w:rtl/>
        </w:rPr>
        <w:t xml:space="preserve"> </w:t>
      </w:r>
      <w:r>
        <w:rPr>
          <w:rFonts w:hint="cs"/>
          <w:rtl/>
        </w:rPr>
        <w:t xml:space="preserve">בשם </w:t>
      </w:r>
      <w:r w:rsidRPr="00EC5CF1">
        <w:rPr>
          <w:rStyle w:val="af9"/>
          <w:rFonts w:hint="cs"/>
          <w:rtl/>
        </w:rPr>
        <w:t>הר"י מגאש</w:t>
      </w:r>
      <w:r>
        <w:rPr>
          <w:rFonts w:hint="cs"/>
          <w:rtl/>
        </w:rPr>
        <w:t xml:space="preserve"> </w:t>
      </w:r>
      <w:r w:rsidRPr="000A7775">
        <w:rPr>
          <w:rStyle w:val="af7"/>
          <w:rFonts w:eastAsia="Guttman Hodes" w:hint="cs"/>
          <w:rtl/>
        </w:rPr>
        <w:t xml:space="preserve">(עי' אות </w:t>
      </w:r>
      <w:r w:rsidRPr="000A7775">
        <w:rPr>
          <w:rStyle w:val="af7"/>
          <w:rFonts w:eastAsia="Guttman Hodes"/>
          <w:rtl/>
        </w:rPr>
        <w:fldChar w:fldCharType="begin"/>
      </w:r>
      <w:r w:rsidRPr="000A7775">
        <w:rPr>
          <w:rStyle w:val="af7"/>
          <w:rFonts w:eastAsia="Guttman Hodes"/>
          <w:rtl/>
        </w:rPr>
        <w:instrText xml:space="preserve"> </w:instrText>
      </w:r>
      <w:r w:rsidRPr="000A7775">
        <w:rPr>
          <w:rStyle w:val="af7"/>
          <w:rFonts w:eastAsia="Guttman Hodes" w:hint="cs"/>
        </w:rPr>
        <w:instrText>REF</w:instrText>
      </w:r>
      <w:r w:rsidRPr="000A7775">
        <w:rPr>
          <w:rStyle w:val="af7"/>
          <w:rFonts w:eastAsia="Guttman Hodes" w:hint="cs"/>
          <w:rtl/>
        </w:rPr>
        <w:instrText xml:space="preserve"> _</w:instrText>
      </w:r>
      <w:r w:rsidRPr="000A7775">
        <w:rPr>
          <w:rStyle w:val="af7"/>
          <w:rFonts w:eastAsia="Guttman Hodes" w:hint="cs"/>
        </w:rPr>
        <w:instrText>Ref62452796 \r \h</w:instrText>
      </w:r>
      <w:r w:rsidRPr="000A7775">
        <w:rPr>
          <w:rStyle w:val="af7"/>
          <w:rFonts w:eastAsia="Guttman Hodes"/>
          <w:rtl/>
        </w:rPr>
        <w:instrText xml:space="preserve">  \* </w:instrText>
      </w:r>
      <w:r w:rsidRPr="000A7775">
        <w:rPr>
          <w:rStyle w:val="af7"/>
          <w:rFonts w:eastAsia="Guttman Hodes"/>
        </w:rPr>
        <w:instrText>MERGEFORMAT</w:instrText>
      </w:r>
      <w:r w:rsidRPr="000A7775">
        <w:rPr>
          <w:rStyle w:val="af7"/>
          <w:rFonts w:eastAsia="Guttman Hodes"/>
          <w:rtl/>
        </w:rPr>
        <w:instrText xml:space="preserve"> </w:instrText>
      </w:r>
      <w:r w:rsidRPr="000A7775">
        <w:rPr>
          <w:rStyle w:val="af7"/>
          <w:rFonts w:eastAsia="Guttman Hodes"/>
          <w:rtl/>
        </w:rPr>
      </w:r>
      <w:r w:rsidRPr="000A7775">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0A7775">
        <w:rPr>
          <w:rStyle w:val="af7"/>
          <w:rFonts w:eastAsia="Guttman Hodes"/>
          <w:rtl/>
        </w:rPr>
        <w:fldChar w:fldCharType="end"/>
      </w:r>
      <w:r>
        <w:rPr>
          <w:rFonts w:hint="cs"/>
          <w:rtl/>
        </w:rPr>
        <w:t xml:space="preserve"> דהא דחוזר וטוען מפטור לפטור נאמן במיגו דהיה עומד בטענתו הראשונה, הוא לאו דוקא, והוסיף </w:t>
      </w:r>
      <w:r w:rsidRPr="00EC5CF1">
        <w:rPr>
          <w:rStyle w:val="af9"/>
          <w:rFonts w:hint="cs"/>
          <w:rtl/>
        </w:rPr>
        <w:t>הנתיה"מ</w:t>
      </w:r>
      <w:r>
        <w:rPr>
          <w:rFonts w:hint="cs"/>
          <w:rtl/>
        </w:rPr>
        <w:t xml:space="preserve"> דכן מבואר מדברי </w:t>
      </w:r>
      <w:r w:rsidRPr="00EC5CF1">
        <w:rPr>
          <w:rStyle w:val="af9"/>
          <w:rFonts w:hint="cs"/>
          <w:rtl/>
        </w:rPr>
        <w:t>הכנה"ג</w:t>
      </w:r>
      <w:r>
        <w:rPr>
          <w:rFonts w:hint="cs"/>
          <w:rtl/>
        </w:rPr>
        <w:t xml:space="preserve"> </w:t>
      </w:r>
      <w:r w:rsidRPr="000A7775">
        <w:rPr>
          <w:rStyle w:val="af7"/>
          <w:rFonts w:eastAsia="Guttman Hodes" w:hint="cs"/>
          <w:rtl/>
        </w:rPr>
        <w:t xml:space="preserve">(עי' אות </w:t>
      </w:r>
      <w:r w:rsidRPr="000A7775">
        <w:rPr>
          <w:rStyle w:val="af7"/>
          <w:rFonts w:eastAsia="Guttman Hodes"/>
          <w:rtl/>
        </w:rPr>
        <w:fldChar w:fldCharType="begin"/>
      </w:r>
      <w:r w:rsidRPr="000A7775">
        <w:rPr>
          <w:rStyle w:val="af7"/>
          <w:rFonts w:eastAsia="Guttman Hodes"/>
          <w:rtl/>
        </w:rPr>
        <w:instrText xml:space="preserve"> </w:instrText>
      </w:r>
      <w:r w:rsidRPr="000A7775">
        <w:rPr>
          <w:rStyle w:val="af7"/>
          <w:rFonts w:eastAsia="Guttman Hodes" w:hint="cs"/>
        </w:rPr>
        <w:instrText>REF</w:instrText>
      </w:r>
      <w:r w:rsidRPr="000A7775">
        <w:rPr>
          <w:rStyle w:val="af7"/>
          <w:rFonts w:eastAsia="Guttman Hodes" w:hint="cs"/>
          <w:rtl/>
        </w:rPr>
        <w:instrText xml:space="preserve"> _</w:instrText>
      </w:r>
      <w:r w:rsidRPr="000A7775">
        <w:rPr>
          <w:rStyle w:val="af7"/>
          <w:rFonts w:eastAsia="Guttman Hodes" w:hint="cs"/>
        </w:rPr>
        <w:instrText>Ref62464042 \r \h</w:instrText>
      </w:r>
      <w:r w:rsidRPr="000A7775">
        <w:rPr>
          <w:rStyle w:val="af7"/>
          <w:rFonts w:eastAsia="Guttman Hodes"/>
          <w:rtl/>
        </w:rPr>
        <w:instrText xml:space="preserve">  \* </w:instrText>
      </w:r>
      <w:r w:rsidRPr="000A7775">
        <w:rPr>
          <w:rStyle w:val="af7"/>
          <w:rFonts w:eastAsia="Guttman Hodes"/>
        </w:rPr>
        <w:instrText>MERGEFORMAT</w:instrText>
      </w:r>
      <w:r w:rsidRPr="000A7775">
        <w:rPr>
          <w:rStyle w:val="af7"/>
          <w:rFonts w:eastAsia="Guttman Hodes"/>
          <w:rtl/>
        </w:rPr>
        <w:instrText xml:space="preserve"> </w:instrText>
      </w:r>
      <w:r w:rsidRPr="000A7775">
        <w:rPr>
          <w:rStyle w:val="af7"/>
          <w:rFonts w:eastAsia="Guttman Hodes"/>
          <w:rtl/>
        </w:rPr>
      </w:r>
      <w:r w:rsidRPr="000A7775">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0A7775">
        <w:rPr>
          <w:rStyle w:val="af7"/>
          <w:rFonts w:eastAsia="Guttman Hodes"/>
          <w:rtl/>
        </w:rPr>
        <w:fldChar w:fldCharType="end"/>
      </w:r>
      <w:r>
        <w:rPr>
          <w:rFonts w:hint="cs"/>
          <w:rtl/>
        </w:rPr>
        <w:t xml:space="preserve"> בשם </w:t>
      </w:r>
      <w:r w:rsidRPr="00EC5CF1">
        <w:rPr>
          <w:rStyle w:val="af9"/>
          <w:rFonts w:hint="cs"/>
          <w:rtl/>
        </w:rPr>
        <w:t>הריב"ש</w:t>
      </w:r>
      <w:r>
        <w:rPr>
          <w:rFonts w:hint="cs"/>
          <w:rtl/>
        </w:rPr>
        <w:t xml:space="preserve">, דלא מהני מיגו לסתור את דבריו הראשונים, והביא </w:t>
      </w:r>
      <w:r w:rsidRPr="00EC5CF1">
        <w:rPr>
          <w:rStyle w:val="af9"/>
          <w:rFonts w:hint="cs"/>
          <w:rtl/>
        </w:rPr>
        <w:t>הנתיה"מ</w:t>
      </w:r>
      <w:r>
        <w:rPr>
          <w:rFonts w:hint="cs"/>
          <w:rtl/>
        </w:rPr>
        <w:t xml:space="preserve"> את דברי </w:t>
      </w:r>
      <w:r w:rsidRPr="00EC5CF1">
        <w:rPr>
          <w:rStyle w:val="af9"/>
          <w:rFonts w:hint="cs"/>
          <w:rtl/>
        </w:rPr>
        <w:t>התומים</w:t>
      </w:r>
      <w:r>
        <w:rPr>
          <w:rFonts w:hint="cs"/>
          <w:rtl/>
        </w:rPr>
        <w:t xml:space="preserve"> </w:t>
      </w:r>
      <w:r w:rsidRPr="000A7775">
        <w:rPr>
          <w:rStyle w:val="af7"/>
          <w:rFonts w:eastAsia="Guttman Hodes" w:hint="cs"/>
          <w:rtl/>
        </w:rPr>
        <w:t xml:space="preserve">(עי' אות </w:t>
      </w:r>
      <w:r w:rsidRPr="000A7775">
        <w:rPr>
          <w:rStyle w:val="af7"/>
          <w:rFonts w:eastAsia="Guttman Hodes"/>
          <w:rtl/>
        </w:rPr>
        <w:fldChar w:fldCharType="begin"/>
      </w:r>
      <w:r w:rsidRPr="000A7775">
        <w:rPr>
          <w:rStyle w:val="af7"/>
          <w:rFonts w:eastAsia="Guttman Hodes"/>
          <w:rtl/>
        </w:rPr>
        <w:instrText xml:space="preserve"> </w:instrText>
      </w:r>
      <w:r w:rsidRPr="000A7775">
        <w:rPr>
          <w:rStyle w:val="af7"/>
          <w:rFonts w:eastAsia="Guttman Hodes" w:hint="cs"/>
        </w:rPr>
        <w:instrText>REF</w:instrText>
      </w:r>
      <w:r w:rsidRPr="000A7775">
        <w:rPr>
          <w:rStyle w:val="af7"/>
          <w:rFonts w:eastAsia="Guttman Hodes" w:hint="cs"/>
          <w:rtl/>
        </w:rPr>
        <w:instrText xml:space="preserve"> _</w:instrText>
      </w:r>
      <w:r w:rsidRPr="000A7775">
        <w:rPr>
          <w:rStyle w:val="af7"/>
          <w:rFonts w:eastAsia="Guttman Hodes" w:hint="cs"/>
        </w:rPr>
        <w:instrText>Ref62465084 \r \h</w:instrText>
      </w:r>
      <w:r w:rsidRPr="000A7775">
        <w:rPr>
          <w:rStyle w:val="af7"/>
          <w:rFonts w:eastAsia="Guttman Hodes"/>
          <w:rtl/>
        </w:rPr>
        <w:instrText xml:space="preserve">  \* </w:instrText>
      </w:r>
      <w:r w:rsidRPr="000A7775">
        <w:rPr>
          <w:rStyle w:val="af7"/>
          <w:rFonts w:eastAsia="Guttman Hodes"/>
        </w:rPr>
        <w:instrText>MERGEFORMAT</w:instrText>
      </w:r>
      <w:r w:rsidRPr="000A7775">
        <w:rPr>
          <w:rStyle w:val="af7"/>
          <w:rFonts w:eastAsia="Guttman Hodes"/>
          <w:rtl/>
        </w:rPr>
        <w:instrText xml:space="preserve"> </w:instrText>
      </w:r>
      <w:r w:rsidRPr="000A7775">
        <w:rPr>
          <w:rStyle w:val="af7"/>
          <w:rFonts w:eastAsia="Guttman Hodes"/>
          <w:rtl/>
        </w:rPr>
      </w:r>
      <w:r w:rsidRPr="000A7775">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0A7775">
        <w:rPr>
          <w:rStyle w:val="af7"/>
          <w:rFonts w:eastAsia="Guttman Hodes"/>
          <w:rtl/>
        </w:rPr>
        <w:fldChar w:fldCharType="end"/>
      </w:r>
      <w:r>
        <w:rPr>
          <w:rFonts w:hint="cs"/>
          <w:rtl/>
        </w:rPr>
        <w:t xml:space="preserve"> דביאר דבחוזר וטוען מפטור לפטור נאמן כיון שלא דקדק בדבריו הראשונים, </w:t>
      </w:r>
      <w:r w:rsidRPr="009F28B1">
        <w:rPr>
          <w:rStyle w:val="afb"/>
          <w:rFonts w:hint="cs"/>
          <w:rtl/>
        </w:rPr>
        <w:t xml:space="preserve">[ודלא </w:t>
      </w:r>
      <w:r w:rsidRPr="009F28B1">
        <w:rPr>
          <w:rStyle w:val="affa"/>
          <w:rFonts w:hint="cs"/>
          <w:rtl/>
        </w:rPr>
        <w:t>כהכנה"ג</w:t>
      </w:r>
      <w:r w:rsidRPr="009F28B1">
        <w:rPr>
          <w:rStyle w:val="afb"/>
          <w:rFonts w:hint="cs"/>
          <w:rtl/>
        </w:rPr>
        <w:t xml:space="preserve"> </w:t>
      </w:r>
      <w:r w:rsidRPr="0073094F">
        <w:rPr>
          <w:rStyle w:val="aff6"/>
          <w:rFonts w:hint="cs"/>
          <w:rtl/>
        </w:rPr>
        <w:t xml:space="preserve">(עי' אות </w:t>
      </w:r>
      <w:r w:rsidRPr="0073094F">
        <w:rPr>
          <w:rStyle w:val="aff6"/>
          <w:rtl/>
        </w:rPr>
        <w:fldChar w:fldCharType="begin"/>
      </w:r>
      <w:r w:rsidRPr="0073094F">
        <w:rPr>
          <w:rStyle w:val="aff6"/>
          <w:rtl/>
        </w:rPr>
        <w:instrText xml:space="preserve"> </w:instrText>
      </w:r>
      <w:r w:rsidRPr="0073094F">
        <w:rPr>
          <w:rStyle w:val="aff6"/>
          <w:rFonts w:hint="cs"/>
        </w:rPr>
        <w:instrText>REF</w:instrText>
      </w:r>
      <w:r w:rsidRPr="0073094F">
        <w:rPr>
          <w:rStyle w:val="aff6"/>
          <w:rFonts w:hint="cs"/>
          <w:rtl/>
        </w:rPr>
        <w:instrText xml:space="preserve"> _</w:instrText>
      </w:r>
      <w:r w:rsidRPr="0073094F">
        <w:rPr>
          <w:rStyle w:val="aff6"/>
          <w:rFonts w:hint="cs"/>
        </w:rPr>
        <w:instrText>Ref62464042 \r \h</w:instrText>
      </w:r>
      <w:r w:rsidRPr="0073094F">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73094F">
        <w:rPr>
          <w:rStyle w:val="aff6"/>
          <w:rtl/>
        </w:rPr>
      </w:r>
      <w:r w:rsidRPr="0073094F">
        <w:rPr>
          <w:rStyle w:val="aff6"/>
          <w:rtl/>
        </w:rPr>
        <w:fldChar w:fldCharType="separate"/>
      </w:r>
      <w:r w:rsidR="00265073">
        <w:rPr>
          <w:rStyle w:val="aff6"/>
          <w:cs/>
        </w:rPr>
        <w:t>‎</w:t>
      </w:r>
      <w:r w:rsidR="00265073">
        <w:rPr>
          <w:rStyle w:val="aff6"/>
          <w:rtl/>
        </w:rPr>
        <w:t>עז)</w:t>
      </w:r>
      <w:r w:rsidRPr="0073094F">
        <w:rPr>
          <w:rStyle w:val="aff6"/>
          <w:rtl/>
        </w:rPr>
        <w:fldChar w:fldCharType="end"/>
      </w:r>
      <w:r>
        <w:rPr>
          <w:rStyle w:val="afb"/>
          <w:rFonts w:hint="cs"/>
          <w:rtl/>
        </w:rPr>
        <w:t xml:space="preserve"> </w:t>
      </w:r>
      <w:r w:rsidRPr="009F28B1">
        <w:rPr>
          <w:rStyle w:val="afb"/>
          <w:rFonts w:hint="cs"/>
          <w:rtl/>
        </w:rPr>
        <w:t xml:space="preserve">דכתב </w:t>
      </w:r>
      <w:r w:rsidRPr="009F28B1">
        <w:rPr>
          <w:rStyle w:val="affa"/>
          <w:rFonts w:hint="cs"/>
          <w:rtl/>
        </w:rPr>
        <w:t>דהמרדכי והנימוק"י</w:t>
      </w:r>
      <w:r w:rsidRPr="009F28B1">
        <w:rPr>
          <w:rStyle w:val="afb"/>
          <w:rFonts w:hint="cs"/>
          <w:rtl/>
        </w:rPr>
        <w:t xml:space="preserve"> פליגי על </w:t>
      </w:r>
      <w:r w:rsidRPr="009F28B1">
        <w:rPr>
          <w:rStyle w:val="affa"/>
          <w:rFonts w:hint="cs"/>
          <w:rtl/>
        </w:rPr>
        <w:t>הריב"ש</w:t>
      </w:r>
      <w:r w:rsidRPr="009F28B1">
        <w:rPr>
          <w:rStyle w:val="afb"/>
          <w:rFonts w:hint="cs"/>
          <w:rtl/>
        </w:rPr>
        <w:t>]</w:t>
      </w:r>
      <w:r>
        <w:rPr>
          <w:rStyle w:val="afb"/>
          <w:rFonts w:hint="cs"/>
          <w:rtl/>
        </w:rPr>
        <w:t>,</w:t>
      </w:r>
      <w:r>
        <w:rPr>
          <w:rFonts w:hint="cs"/>
          <w:rtl/>
        </w:rPr>
        <w:t xml:space="preserve"> ועי' במה שהקשה </w:t>
      </w:r>
      <w:r w:rsidRPr="005B3DBF">
        <w:rPr>
          <w:rStyle w:val="af9"/>
          <w:rFonts w:hint="cs"/>
          <w:rtl/>
        </w:rPr>
        <w:t>בחי' הגר"ח מטעלז</w:t>
      </w:r>
      <w:r>
        <w:rPr>
          <w:rFonts w:hint="cs"/>
          <w:rtl/>
        </w:rPr>
        <w:t xml:space="preserve"> </w:t>
      </w:r>
      <w:r w:rsidRPr="000A7775">
        <w:rPr>
          <w:rStyle w:val="af7"/>
          <w:rFonts w:eastAsia="Guttman Hodes" w:hint="cs"/>
          <w:rtl/>
        </w:rPr>
        <w:t xml:space="preserve">(עי' אות </w:t>
      </w:r>
      <w:r w:rsidRPr="000A7775">
        <w:rPr>
          <w:rStyle w:val="af7"/>
          <w:rFonts w:eastAsia="Guttman Hodes"/>
          <w:rtl/>
        </w:rPr>
        <w:fldChar w:fldCharType="begin"/>
      </w:r>
      <w:r w:rsidRPr="000A7775">
        <w:rPr>
          <w:rStyle w:val="af7"/>
          <w:rFonts w:eastAsia="Guttman Hodes"/>
          <w:rtl/>
        </w:rPr>
        <w:instrText xml:space="preserve"> </w:instrText>
      </w:r>
      <w:r w:rsidRPr="000A7775">
        <w:rPr>
          <w:rStyle w:val="af7"/>
          <w:rFonts w:eastAsia="Guttman Hodes" w:hint="cs"/>
        </w:rPr>
        <w:instrText>REF</w:instrText>
      </w:r>
      <w:r w:rsidRPr="000A7775">
        <w:rPr>
          <w:rStyle w:val="af7"/>
          <w:rFonts w:eastAsia="Guttman Hodes" w:hint="cs"/>
          <w:rtl/>
        </w:rPr>
        <w:instrText xml:space="preserve"> _</w:instrText>
      </w:r>
      <w:r w:rsidRPr="000A7775">
        <w:rPr>
          <w:rStyle w:val="af7"/>
          <w:rFonts w:eastAsia="Guttman Hodes" w:hint="cs"/>
        </w:rPr>
        <w:instrText>Ref62469874 \r \h</w:instrText>
      </w:r>
      <w:r w:rsidRPr="000A7775">
        <w:rPr>
          <w:rStyle w:val="af7"/>
          <w:rFonts w:eastAsia="Guttman Hodes"/>
          <w:rtl/>
        </w:rPr>
        <w:instrText xml:space="preserve"> </w:instrText>
      </w:r>
      <w:r w:rsidRPr="000A7775">
        <w:rPr>
          <w:rStyle w:val="af7"/>
          <w:rFonts w:eastAsia="Guttman Hodes"/>
          <w:rtl/>
        </w:rPr>
      </w:r>
      <w:r w:rsidRPr="000A7775">
        <w:rPr>
          <w:rStyle w:val="af7"/>
          <w:rFonts w:eastAsia="Guttman Hodes"/>
          <w:rtl/>
        </w:rPr>
        <w:fldChar w:fldCharType="separate"/>
      </w:r>
      <w:r w:rsidR="00265073">
        <w:rPr>
          <w:rStyle w:val="af7"/>
          <w:rFonts w:eastAsia="Guttman Hodes"/>
          <w:cs/>
        </w:rPr>
        <w:t>‎</w:t>
      </w:r>
      <w:r w:rsidR="00265073">
        <w:rPr>
          <w:rStyle w:val="af7"/>
          <w:rFonts w:eastAsia="Guttman Hodes"/>
          <w:rtl/>
        </w:rPr>
        <w:t>קז)</w:t>
      </w:r>
      <w:r w:rsidRPr="000A7775">
        <w:rPr>
          <w:rStyle w:val="af7"/>
          <w:rFonts w:eastAsia="Guttman Hodes"/>
          <w:rtl/>
        </w:rPr>
        <w:fldChar w:fldCharType="end"/>
      </w:r>
      <w:r>
        <w:rPr>
          <w:rFonts w:hint="cs"/>
          <w:rtl/>
        </w:rPr>
        <w:t xml:space="preserve"> על דברי </w:t>
      </w:r>
      <w:r w:rsidRPr="005B3DBF">
        <w:rPr>
          <w:rStyle w:val="af9"/>
          <w:rFonts w:hint="cs"/>
          <w:rtl/>
        </w:rPr>
        <w:t>הנתיה"מ</w:t>
      </w:r>
      <w:r>
        <w:rPr>
          <w:rFonts w:hint="cs"/>
          <w:rtl/>
        </w:rPr>
        <w:t xml:space="preserve">, ובמה שביאר </w:t>
      </w:r>
      <w:r w:rsidRPr="000A7775">
        <w:rPr>
          <w:rStyle w:val="af9"/>
          <w:rFonts w:hint="cs"/>
          <w:rtl/>
        </w:rPr>
        <w:t>האבי עזרי</w:t>
      </w:r>
      <w:r>
        <w:rPr>
          <w:rFonts w:hint="cs"/>
          <w:rtl/>
        </w:rPr>
        <w:t xml:space="preserve"> </w:t>
      </w:r>
      <w:r w:rsidRPr="00001524">
        <w:rPr>
          <w:rStyle w:val="af7"/>
          <w:rFonts w:eastAsia="Guttman Hodes" w:hint="cs"/>
          <w:rtl/>
        </w:rPr>
        <w:t xml:space="preserve">(עי' אות </w:t>
      </w:r>
      <w:r w:rsidRPr="00001524">
        <w:rPr>
          <w:rStyle w:val="af7"/>
          <w:rFonts w:eastAsia="Guttman Hodes"/>
          <w:rtl/>
        </w:rPr>
        <w:fldChar w:fldCharType="begin"/>
      </w:r>
      <w:r w:rsidRPr="00001524">
        <w:rPr>
          <w:rStyle w:val="af7"/>
          <w:rFonts w:eastAsia="Guttman Hodes"/>
          <w:rtl/>
        </w:rPr>
        <w:instrText xml:space="preserve"> </w:instrText>
      </w:r>
      <w:r w:rsidRPr="00001524">
        <w:rPr>
          <w:rStyle w:val="af7"/>
          <w:rFonts w:eastAsia="Guttman Hodes" w:hint="cs"/>
        </w:rPr>
        <w:instrText>REF</w:instrText>
      </w:r>
      <w:r w:rsidRPr="00001524">
        <w:rPr>
          <w:rStyle w:val="af7"/>
          <w:rFonts w:eastAsia="Guttman Hodes" w:hint="cs"/>
          <w:rtl/>
        </w:rPr>
        <w:instrText xml:space="preserve"> _</w:instrText>
      </w:r>
      <w:r w:rsidRPr="00001524">
        <w:rPr>
          <w:rStyle w:val="af7"/>
          <w:rFonts w:eastAsia="Guttman Hodes" w:hint="cs"/>
        </w:rPr>
        <w:instrText>Ref62484503 \r \h</w:instrText>
      </w:r>
      <w:r w:rsidRPr="00001524">
        <w:rPr>
          <w:rStyle w:val="af7"/>
          <w:rFonts w:eastAsia="Guttman Hodes"/>
          <w:rtl/>
        </w:rPr>
        <w:instrText xml:space="preserve"> </w:instrText>
      </w:r>
      <w:r w:rsidRPr="00001524">
        <w:rPr>
          <w:rStyle w:val="af7"/>
          <w:rFonts w:eastAsia="Guttman Hodes"/>
          <w:rtl/>
        </w:rPr>
      </w:r>
      <w:r w:rsidRPr="00001524">
        <w:rPr>
          <w:rStyle w:val="af7"/>
          <w:rFonts w:eastAsia="Guttman Hodes"/>
          <w:rtl/>
        </w:rPr>
        <w:fldChar w:fldCharType="separate"/>
      </w:r>
      <w:r w:rsidR="00265073">
        <w:rPr>
          <w:rStyle w:val="af7"/>
          <w:rFonts w:eastAsia="Guttman Hodes"/>
          <w:cs/>
        </w:rPr>
        <w:t>‎</w:t>
      </w:r>
      <w:r w:rsidR="00265073">
        <w:rPr>
          <w:rStyle w:val="af7"/>
          <w:rFonts w:eastAsia="Guttman Hodes"/>
          <w:rtl/>
        </w:rPr>
        <w:t>קכג)</w:t>
      </w:r>
      <w:r w:rsidRPr="00001524">
        <w:rPr>
          <w:rStyle w:val="af7"/>
          <w:rFonts w:eastAsia="Guttman Hodes"/>
          <w:rtl/>
        </w:rPr>
        <w:fldChar w:fldCharType="end"/>
      </w:r>
      <w:r w:rsidRPr="00001524">
        <w:rPr>
          <w:rStyle w:val="af7"/>
          <w:rFonts w:eastAsia="Guttman Hodes" w:hint="cs"/>
          <w:rtl/>
        </w:rPr>
        <w:t xml:space="preserve"> </w:t>
      </w:r>
      <w:r>
        <w:rPr>
          <w:rFonts w:hint="cs"/>
          <w:rtl/>
        </w:rPr>
        <w:t xml:space="preserve">בדברי </w:t>
      </w:r>
      <w:r w:rsidRPr="005B3DBF">
        <w:rPr>
          <w:rStyle w:val="af9"/>
          <w:rFonts w:hint="cs"/>
          <w:rtl/>
        </w:rPr>
        <w:t>הנתיה"מ</w:t>
      </w:r>
      <w:r>
        <w:rPr>
          <w:rFonts w:hint="cs"/>
          <w:rtl/>
        </w:rPr>
        <w:t>.</w:t>
      </w:r>
      <w:bookmarkEnd w:id="13297"/>
      <w:r>
        <w:rPr>
          <w:rFonts w:hint="cs"/>
          <w:rtl/>
        </w:rPr>
        <w:t xml:space="preserve"> </w:t>
      </w:r>
      <w:bookmarkEnd w:id="13298"/>
    </w:p>
    <w:p w:rsidR="00EC445E" w:rsidRPr="00BB4FBC" w:rsidRDefault="00EC445E" w:rsidP="00EC445E">
      <w:pPr>
        <w:pStyle w:val="a3"/>
        <w:rPr>
          <w:rtl/>
        </w:rPr>
      </w:pPr>
      <w:bookmarkStart w:id="13299" w:name="_Toc62485642"/>
      <w:r>
        <w:rPr>
          <w:rFonts w:hint="cs"/>
          <w:rtl/>
        </w:rPr>
        <w:t>הוכחת הנתיה"מ דאין כוונת הר"י מגאש למיגו דא"כ אמאי אינו חוזר כשכתבו את הטענות</w:t>
      </w:r>
      <w:bookmarkEnd w:id="13299"/>
    </w:p>
    <w:p w:rsidR="00EC445E" w:rsidRDefault="00EC445E" w:rsidP="007E4E81">
      <w:pPr>
        <w:pStyle w:val="a0"/>
        <w:rPr>
          <w:rtl/>
        </w:rPr>
      </w:pPr>
      <w:r>
        <w:rPr>
          <w:rFonts w:hint="cs"/>
          <w:rtl/>
        </w:rPr>
        <w:t xml:space="preserve">והביא </w:t>
      </w:r>
      <w:r w:rsidRPr="00AF5C4D">
        <w:rPr>
          <w:rStyle w:val="af9"/>
          <w:rFonts w:hint="cs"/>
          <w:rtl/>
        </w:rPr>
        <w:t>הנתיה"מ</w:t>
      </w:r>
      <w:r>
        <w:rPr>
          <w:rFonts w:hint="cs"/>
          <w:rtl/>
        </w:rPr>
        <w:t xml:space="preserve"> ראיה לדברי </w:t>
      </w:r>
      <w:r w:rsidRPr="00EC5CF1">
        <w:rPr>
          <w:rStyle w:val="af9"/>
          <w:rFonts w:hint="cs"/>
          <w:rtl/>
        </w:rPr>
        <w:t>התומים</w:t>
      </w:r>
      <w:r>
        <w:rPr>
          <w:rFonts w:hint="cs"/>
          <w:rtl/>
        </w:rPr>
        <w:t xml:space="preserve"> מהא דכתב </w:t>
      </w:r>
      <w:r w:rsidRPr="00EC5CF1">
        <w:rPr>
          <w:rStyle w:val="af9"/>
          <w:rFonts w:hint="cs"/>
          <w:rtl/>
        </w:rPr>
        <w:t>השו"ע</w:t>
      </w:r>
      <w:r>
        <w:rPr>
          <w:rFonts w:hint="cs"/>
          <w:rtl/>
        </w:rPr>
        <w:t xml:space="preserve"> </w:t>
      </w:r>
      <w:r w:rsidRPr="00AF5C4D">
        <w:rPr>
          <w:rStyle w:val="af7"/>
          <w:rFonts w:eastAsia="Guttman Hodes" w:hint="cs"/>
          <w:rtl/>
        </w:rPr>
        <w:t>(סי' פ' ב')</w:t>
      </w:r>
      <w:r>
        <w:rPr>
          <w:rFonts w:hint="cs"/>
          <w:rtl/>
        </w:rPr>
        <w:t xml:space="preserve"> דאחר שכתבו את הטענות, אינו נאמן לחזור ולטעון אף מפטור לפטור, </w:t>
      </w:r>
      <w:r w:rsidRPr="009F28B1">
        <w:rPr>
          <w:rStyle w:val="afb"/>
          <w:rFonts w:hint="cs"/>
          <w:rtl/>
        </w:rPr>
        <w:t xml:space="preserve">[וביאר </w:t>
      </w:r>
      <w:r w:rsidRPr="009F28B1">
        <w:rPr>
          <w:rStyle w:val="affa"/>
          <w:rFonts w:hint="cs"/>
          <w:rtl/>
        </w:rPr>
        <w:t>הסמ"ע</w:t>
      </w:r>
      <w:r w:rsidRPr="009F28B1">
        <w:rPr>
          <w:rStyle w:val="afb"/>
          <w:rFonts w:hint="cs"/>
          <w:rtl/>
        </w:rPr>
        <w:t xml:space="preserve"> </w:t>
      </w:r>
      <w:r w:rsidRPr="009F28B1">
        <w:rPr>
          <w:rStyle w:val="aff6"/>
          <w:rFonts w:hint="cs"/>
          <w:rtl/>
        </w:rPr>
        <w:t>(סי' פ' סק"י)</w:t>
      </w:r>
      <w:r w:rsidRPr="009F28B1">
        <w:rPr>
          <w:rStyle w:val="afb"/>
          <w:rFonts w:hint="cs"/>
          <w:rtl/>
        </w:rPr>
        <w:t xml:space="preserve"> דכשנכתבו הטענות ודאי דייק בטענתו],</w:t>
      </w:r>
      <w:r>
        <w:rPr>
          <w:rFonts w:hint="cs"/>
          <w:rtl/>
        </w:rPr>
        <w:t xml:space="preserve"> וכתב </w:t>
      </w:r>
      <w:r w:rsidRPr="00EC5CF1">
        <w:rPr>
          <w:rStyle w:val="af9"/>
          <w:rFonts w:hint="cs"/>
          <w:rtl/>
        </w:rPr>
        <w:t>הנתיה"מ</w:t>
      </w:r>
      <w:r>
        <w:rPr>
          <w:rFonts w:hint="cs"/>
          <w:rtl/>
        </w:rPr>
        <w:t xml:space="preserve"> דאי הנאמנות בחוזר מפטור לפטור היא מדין מיגו, כדביארו </w:t>
      </w:r>
      <w:r>
        <w:rPr>
          <w:rStyle w:val="af9"/>
          <w:rtl/>
        </w:rPr>
        <w:t>הטור והש"ך</w:t>
      </w:r>
      <w:r>
        <w:rPr>
          <w:rtl/>
        </w:rPr>
        <w:t xml:space="preserve"> </w:t>
      </w:r>
      <w:r w:rsidRPr="00AF5C4D">
        <w:rPr>
          <w:rStyle w:val="af7"/>
          <w:rFonts w:eastAsia="Guttman Hodes" w:hint="cs"/>
          <w:rtl/>
        </w:rPr>
        <w:t xml:space="preserve">(עי' אות </w:t>
      </w:r>
      <w:r w:rsidRPr="00AF5C4D">
        <w:rPr>
          <w:rStyle w:val="af7"/>
          <w:rFonts w:eastAsia="Guttman Hodes" w:hint="cs"/>
          <w:rtl/>
        </w:rPr>
        <w:fldChar w:fldCharType="begin"/>
      </w:r>
      <w:r w:rsidRPr="00AF5C4D">
        <w:rPr>
          <w:rStyle w:val="af7"/>
          <w:rFonts w:eastAsia="Guttman Hodes" w:hint="cs"/>
          <w:rtl/>
        </w:rPr>
        <w:instrText xml:space="preserve"> </w:instrText>
      </w:r>
      <w:r w:rsidRPr="00AF5C4D">
        <w:rPr>
          <w:rStyle w:val="af7"/>
          <w:rFonts w:eastAsia="Guttman Hodes"/>
        </w:rPr>
        <w:instrText>REF</w:instrText>
      </w:r>
      <w:r w:rsidRPr="00AF5C4D">
        <w:rPr>
          <w:rStyle w:val="af7"/>
          <w:rFonts w:eastAsia="Guttman Hodes" w:hint="cs"/>
          <w:rtl/>
        </w:rPr>
        <w:instrText xml:space="preserve"> _</w:instrText>
      </w:r>
      <w:r w:rsidRPr="00AF5C4D">
        <w:rPr>
          <w:rStyle w:val="af7"/>
          <w:rFonts w:eastAsia="Guttman Hodes"/>
        </w:rPr>
        <w:instrText>Ref62407179 \r \h</w:instrText>
      </w:r>
      <w:r w:rsidRPr="00AF5C4D">
        <w:rPr>
          <w:rStyle w:val="af7"/>
          <w:rFonts w:eastAsia="Guttman Hodes" w:hint="cs"/>
          <w:rtl/>
        </w:rPr>
        <w:instrText xml:space="preserve"> </w:instrText>
      </w:r>
      <w:r w:rsidRPr="00AF5C4D">
        <w:rPr>
          <w:rStyle w:val="af7"/>
          <w:rFonts w:eastAsia="Guttman Hodes" w:hint="cs"/>
          <w:rtl/>
        </w:rPr>
      </w:r>
      <w:r w:rsidRPr="00AF5C4D">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סט</w:t>
      </w:r>
      <w:r w:rsidR="00265073">
        <w:rPr>
          <w:rStyle w:val="af7"/>
          <w:rFonts w:eastAsia="Guttman Hodes"/>
          <w:rtl/>
        </w:rPr>
        <w:t>)</w:t>
      </w:r>
      <w:r w:rsidRPr="00AF5C4D">
        <w:rPr>
          <w:rStyle w:val="af7"/>
          <w:rFonts w:eastAsia="Guttman Hodes" w:hint="cs"/>
          <w:rtl/>
        </w:rPr>
        <w:fldChar w:fldCharType="end"/>
      </w:r>
      <w:r>
        <w:rPr>
          <w:rFonts w:hint="cs"/>
          <w:rtl/>
        </w:rPr>
        <w:t xml:space="preserve">, א"כ אף כשנכתבו הטענות עדיין יש לו מיגו, אלא כתב </w:t>
      </w:r>
      <w:r w:rsidRPr="00EC5CF1">
        <w:rPr>
          <w:rStyle w:val="af9"/>
          <w:rFonts w:hint="cs"/>
          <w:rtl/>
        </w:rPr>
        <w:t>הנתיה"מ</w:t>
      </w:r>
      <w:r>
        <w:rPr>
          <w:rFonts w:hint="cs"/>
          <w:rtl/>
        </w:rPr>
        <w:t xml:space="preserve"> דמוכח כדברי </w:t>
      </w:r>
      <w:r w:rsidRPr="00EC5CF1">
        <w:rPr>
          <w:rStyle w:val="af9"/>
          <w:rFonts w:hint="cs"/>
          <w:rtl/>
        </w:rPr>
        <w:t>התומים</w:t>
      </w:r>
      <w:r>
        <w:rPr>
          <w:rFonts w:hint="cs"/>
          <w:rtl/>
        </w:rPr>
        <w:t xml:space="preserve"> דבאופן שכתבו את הטענות ודאי דקדק בדבריו, ולכן אינו יכול לחזור בו, וכתב </w:t>
      </w:r>
      <w:r w:rsidRPr="00EC5CF1">
        <w:rPr>
          <w:rStyle w:val="af9"/>
          <w:rFonts w:hint="cs"/>
          <w:rtl/>
        </w:rPr>
        <w:t>הנתיה"מ</w:t>
      </w:r>
      <w:r>
        <w:rPr>
          <w:rFonts w:hint="cs"/>
          <w:rtl/>
        </w:rPr>
        <w:t xml:space="preserve"> דמוכח כדברי </w:t>
      </w:r>
      <w:r w:rsidRPr="00EC5CF1">
        <w:rPr>
          <w:rStyle w:val="af9"/>
          <w:rFonts w:hint="cs"/>
          <w:rtl/>
        </w:rPr>
        <w:t>הכנה"ג</w:t>
      </w:r>
      <w:r>
        <w:rPr>
          <w:rFonts w:hint="cs"/>
          <w:rtl/>
        </w:rPr>
        <w:t xml:space="preserve"> </w:t>
      </w:r>
      <w:r w:rsidRPr="0073094F">
        <w:rPr>
          <w:rStyle w:val="af7"/>
          <w:rFonts w:eastAsia="Guttman Hodes" w:hint="cs"/>
          <w:rtl/>
        </w:rPr>
        <w:t xml:space="preserve">(עי' אות </w:t>
      </w:r>
      <w:r w:rsidRPr="0073094F">
        <w:rPr>
          <w:rStyle w:val="af7"/>
          <w:rFonts w:eastAsia="Guttman Hodes"/>
          <w:rtl/>
        </w:rPr>
        <w:fldChar w:fldCharType="begin"/>
      </w:r>
      <w:r w:rsidRPr="0073094F">
        <w:rPr>
          <w:rStyle w:val="af7"/>
          <w:rFonts w:eastAsia="Guttman Hodes"/>
          <w:rtl/>
        </w:rPr>
        <w:instrText xml:space="preserve"> </w:instrText>
      </w:r>
      <w:r w:rsidRPr="0073094F">
        <w:rPr>
          <w:rStyle w:val="af7"/>
          <w:rFonts w:eastAsia="Guttman Hodes" w:hint="cs"/>
        </w:rPr>
        <w:instrText>REF</w:instrText>
      </w:r>
      <w:r w:rsidRPr="0073094F">
        <w:rPr>
          <w:rStyle w:val="af7"/>
          <w:rFonts w:eastAsia="Guttman Hodes" w:hint="cs"/>
          <w:rtl/>
        </w:rPr>
        <w:instrText xml:space="preserve"> _</w:instrText>
      </w:r>
      <w:r w:rsidRPr="0073094F">
        <w:rPr>
          <w:rStyle w:val="af7"/>
          <w:rFonts w:eastAsia="Guttman Hodes" w:hint="cs"/>
        </w:rPr>
        <w:instrText>Ref62464042 \r \h</w:instrText>
      </w:r>
      <w:r w:rsidRPr="0073094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3094F">
        <w:rPr>
          <w:rStyle w:val="af7"/>
          <w:rFonts w:eastAsia="Guttman Hodes"/>
          <w:rtl/>
        </w:rPr>
      </w:r>
      <w:r w:rsidRPr="0073094F">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73094F">
        <w:rPr>
          <w:rStyle w:val="af7"/>
          <w:rFonts w:eastAsia="Guttman Hodes"/>
          <w:rtl/>
        </w:rPr>
        <w:fldChar w:fldCharType="end"/>
      </w:r>
      <w:r>
        <w:rPr>
          <w:rFonts w:hint="cs"/>
          <w:rtl/>
        </w:rPr>
        <w:t xml:space="preserve"> בשם </w:t>
      </w:r>
      <w:r w:rsidRPr="00EC5CF1">
        <w:rPr>
          <w:rStyle w:val="af9"/>
          <w:rFonts w:hint="cs"/>
          <w:rtl/>
        </w:rPr>
        <w:t>הריב"ש</w:t>
      </w:r>
      <w:r>
        <w:rPr>
          <w:rFonts w:hint="cs"/>
          <w:rtl/>
        </w:rPr>
        <w:t xml:space="preserve"> דלא מהני מיגו לסתור את דבריו הראשונים, והא דחוזר וטוען מפטור לפטור, הוא רק כיון דחשיב שטענתו הראשונה לא טען אותה כלל, כיון שלא דקדק באמירתה, או חשיב שהטענה שטוען עכשיו, היא הטענה שטען בתחילה.</w:t>
      </w:r>
    </w:p>
    <w:p w:rsidR="00EC445E" w:rsidRPr="0073094F" w:rsidRDefault="00EC445E" w:rsidP="00EC445E">
      <w:pPr>
        <w:pStyle w:val="afe"/>
        <w:rPr>
          <w:rtl/>
        </w:rPr>
      </w:pPr>
      <w:bookmarkStart w:id="13300" w:name="_Toc62485643"/>
      <w:r>
        <w:rPr>
          <w:rFonts w:hint="cs"/>
          <w:rtl/>
        </w:rPr>
        <w:t>בחוזר מחיוב לפטור וחשב שטוען פטור</w:t>
      </w:r>
      <w:bookmarkEnd w:id="13300"/>
    </w:p>
    <w:p w:rsidR="00EC445E" w:rsidRDefault="00EC445E" w:rsidP="00EC445E">
      <w:pPr>
        <w:pStyle w:val="1"/>
        <w:rPr>
          <w:rtl/>
        </w:rPr>
      </w:pPr>
      <w:bookmarkStart w:id="13301" w:name="_Toc62160829"/>
      <w:bookmarkStart w:id="13302" w:name="_Toc62385991"/>
      <w:bookmarkStart w:id="13303" w:name="_Toc62420128"/>
      <w:bookmarkStart w:id="13304" w:name="_Toc62452621"/>
      <w:bookmarkStart w:id="13305" w:name="_Toc62453908"/>
      <w:bookmarkStart w:id="13306" w:name="_Toc62485644"/>
      <w:bookmarkStart w:id="13307" w:name="_Toc62385995"/>
      <w:bookmarkStart w:id="13308" w:name="_Toc62420132"/>
      <w:bookmarkStart w:id="13309" w:name="_Toc62452625"/>
      <w:bookmarkStart w:id="13310" w:name="_Toc62453912"/>
      <w:r>
        <w:rPr>
          <w:rFonts w:hint="cs"/>
          <w:rtl/>
        </w:rPr>
        <w:t>פלוג' הדברי ריבות והקצוה"ח</w:t>
      </w:r>
      <w:bookmarkEnd w:id="13301"/>
      <w:bookmarkEnd w:id="13302"/>
      <w:bookmarkEnd w:id="13303"/>
      <w:bookmarkEnd w:id="13304"/>
      <w:bookmarkEnd w:id="13305"/>
      <w:r>
        <w:rPr>
          <w:rFonts w:hint="cs"/>
          <w:rtl/>
        </w:rPr>
        <w:t xml:space="preserve"> בסבר שטוען לפטור וטען לחיוב</w:t>
      </w:r>
      <w:bookmarkEnd w:id="13306"/>
    </w:p>
    <w:p w:rsidR="00EC445E" w:rsidRPr="00233BD1" w:rsidRDefault="00EC445E" w:rsidP="00EC445E">
      <w:pPr>
        <w:pStyle w:val="a3"/>
        <w:rPr>
          <w:rtl/>
        </w:rPr>
      </w:pPr>
      <w:bookmarkStart w:id="13311" w:name="_Toc62485645"/>
      <w:r>
        <w:rPr>
          <w:rFonts w:hint="cs"/>
          <w:rtl/>
        </w:rPr>
        <w:t>דברי הכנה"ג בשם הדברי ריבות דכשטען חיוב וסבר שטוען טענת פטור נאמן לחזור ולטעון</w:t>
      </w:r>
      <w:bookmarkEnd w:id="13311"/>
    </w:p>
    <w:p w:rsidR="00EC445E" w:rsidRDefault="00EC445E" w:rsidP="007E4E81">
      <w:pPr>
        <w:pStyle w:val="a0"/>
        <w:rPr>
          <w:rtl/>
        </w:rPr>
      </w:pPr>
      <w:bookmarkStart w:id="13312" w:name="_Ref62147056"/>
      <w:r>
        <w:rPr>
          <w:rFonts w:hint="cs"/>
          <w:rtl/>
        </w:rPr>
        <w:t xml:space="preserve">כתב </w:t>
      </w:r>
      <w:r w:rsidRPr="00597F0E">
        <w:rPr>
          <w:rStyle w:val="af9"/>
          <w:rFonts w:hint="cs"/>
          <w:rtl/>
        </w:rPr>
        <w:t>הכנה"ג</w:t>
      </w:r>
      <w:r>
        <w:rPr>
          <w:rFonts w:hint="cs"/>
          <w:rtl/>
        </w:rPr>
        <w:t xml:space="preserve"> </w:t>
      </w:r>
      <w:r w:rsidRPr="00F05FFD">
        <w:rPr>
          <w:rStyle w:val="af7"/>
          <w:rFonts w:eastAsia="Guttman Hodes" w:hint="cs"/>
          <w:rtl/>
        </w:rPr>
        <w:t>(סי' פ' הג' ב"י ה')</w:t>
      </w:r>
      <w:r>
        <w:rPr>
          <w:rFonts w:hint="cs"/>
          <w:rtl/>
        </w:rPr>
        <w:t xml:space="preserve"> בשם </w:t>
      </w:r>
      <w:r w:rsidRPr="00597F0E">
        <w:rPr>
          <w:rStyle w:val="af9"/>
          <w:rtl/>
        </w:rPr>
        <w:t xml:space="preserve">מהר"י אדרבי </w:t>
      </w:r>
      <w:r w:rsidRPr="00597F0E">
        <w:rPr>
          <w:rStyle w:val="af9"/>
          <w:rFonts w:hint="cs"/>
          <w:rtl/>
        </w:rPr>
        <w:t>בשו"ת דברי ריבות</w:t>
      </w:r>
      <w:r>
        <w:rPr>
          <w:rFonts w:hint="cs"/>
          <w:rtl/>
        </w:rPr>
        <w:t xml:space="preserve"> </w:t>
      </w:r>
      <w:r w:rsidRPr="00F05FFD">
        <w:rPr>
          <w:rStyle w:val="af7"/>
          <w:rFonts w:eastAsia="Guttman Hodes" w:hint="cs"/>
          <w:rtl/>
        </w:rPr>
        <w:t>(סי' קמ"ט ד"ה ויש לומר)</w:t>
      </w:r>
      <w:r>
        <w:rPr>
          <w:rFonts w:hint="cs"/>
          <w:rtl/>
        </w:rPr>
        <w:t xml:space="preserve"> דאעפ"י דכתב </w:t>
      </w:r>
      <w:r w:rsidRPr="00C01DF5">
        <w:rPr>
          <w:rStyle w:val="af9"/>
          <w:rFonts w:hint="cs"/>
          <w:rtl/>
        </w:rPr>
        <w:t>הרשב"א בתשו'</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Ref62464272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Pr>
          <w:rStyle w:val="af7"/>
          <w:rFonts w:eastAsia="Guttman Hodes"/>
          <w:rtl/>
        </w:rPr>
        <w:fldChar w:fldCharType="end"/>
      </w:r>
      <w:r>
        <w:rPr>
          <w:rStyle w:val="af7"/>
          <w:rFonts w:eastAsia="Guttman Hodes" w:hint="cs"/>
          <w:rtl/>
        </w:rPr>
        <w:t xml:space="preserve"> </w:t>
      </w:r>
      <w:r>
        <w:rPr>
          <w:rFonts w:hint="cs"/>
          <w:rtl/>
        </w:rPr>
        <w:t xml:space="preserve">דמודה </w:t>
      </w:r>
      <w:r w:rsidRPr="00597F0E">
        <w:rPr>
          <w:rStyle w:val="af9"/>
          <w:rFonts w:hint="cs"/>
          <w:rtl/>
        </w:rPr>
        <w:t>הרמב"ם</w:t>
      </w:r>
      <w:r>
        <w:rPr>
          <w:rFonts w:hint="cs"/>
          <w:rtl/>
        </w:rPr>
        <w:t xml:space="preserve"> </w:t>
      </w:r>
      <w:r w:rsidRPr="00C01DF5">
        <w:rPr>
          <w:rStyle w:val="af7"/>
          <w:rFonts w:eastAsia="Guttman Hodes" w:hint="cs"/>
          <w:rtl/>
        </w:rPr>
        <w:t xml:space="preserve">(עי' אות </w:t>
      </w:r>
      <w:r w:rsidRPr="00C01DF5">
        <w:rPr>
          <w:rStyle w:val="af7"/>
          <w:rFonts w:eastAsia="Guttman Hodes"/>
          <w:rtl/>
        </w:rPr>
        <w:fldChar w:fldCharType="begin"/>
      </w:r>
      <w:r w:rsidRPr="00C01DF5">
        <w:rPr>
          <w:rStyle w:val="af7"/>
          <w:rFonts w:eastAsia="Guttman Hodes"/>
          <w:rtl/>
        </w:rPr>
        <w:instrText xml:space="preserve"> </w:instrText>
      </w:r>
      <w:r w:rsidRPr="00C01DF5">
        <w:rPr>
          <w:rStyle w:val="af7"/>
          <w:rFonts w:eastAsia="Guttman Hodes" w:hint="cs"/>
        </w:rPr>
        <w:instrText>REF</w:instrText>
      </w:r>
      <w:r w:rsidRPr="00C01DF5">
        <w:rPr>
          <w:rStyle w:val="af7"/>
          <w:rFonts w:eastAsia="Guttman Hodes" w:hint="cs"/>
          <w:rtl/>
        </w:rPr>
        <w:instrText xml:space="preserve"> _</w:instrText>
      </w:r>
      <w:r w:rsidRPr="00C01DF5">
        <w:rPr>
          <w:rStyle w:val="af7"/>
          <w:rFonts w:eastAsia="Guttman Hodes" w:hint="cs"/>
        </w:rPr>
        <w:instrText>Ref62124167 \r \h</w:instrText>
      </w:r>
      <w:r w:rsidRPr="00C01DF5">
        <w:rPr>
          <w:rStyle w:val="af7"/>
          <w:rFonts w:eastAsia="Guttman Hodes"/>
          <w:rtl/>
        </w:rPr>
        <w:instrText xml:space="preserve"> </w:instrText>
      </w:r>
      <w:r w:rsidRPr="00C01DF5">
        <w:rPr>
          <w:rStyle w:val="af7"/>
          <w:rFonts w:eastAsia="Guttman Hodes"/>
          <w:rtl/>
        </w:rPr>
      </w:r>
      <w:r w:rsidRPr="00C01DF5">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C01DF5">
        <w:rPr>
          <w:rStyle w:val="af7"/>
          <w:rFonts w:eastAsia="Guttman Hodes"/>
          <w:rtl/>
        </w:rPr>
        <w:fldChar w:fldCharType="end"/>
      </w:r>
      <w:r>
        <w:rPr>
          <w:rFonts w:hint="cs"/>
          <w:rtl/>
        </w:rPr>
        <w:t xml:space="preserve"> דאינו נאמן לחזור ולטעון מחיוב לפטור, אף שלא באו עדים והכיחשוהו, היינו דוקא כשידע הטוען שהטענה מחייבתו, </w:t>
      </w:r>
      <w:r>
        <w:rPr>
          <w:rFonts w:hint="cs"/>
          <w:rtl/>
        </w:rPr>
        <w:lastRenderedPageBreak/>
        <w:t xml:space="preserve">אבל אם טען טענה שסובר שהיא פוטרתו, נאמן לחזור ולטעון, אעפ"י שבאמת הוא חוזר מחיוב לפטור, וכתב </w:t>
      </w:r>
      <w:r w:rsidRPr="00597F0E">
        <w:rPr>
          <w:rStyle w:val="af9"/>
          <w:rFonts w:hint="cs"/>
          <w:rtl/>
        </w:rPr>
        <w:t>הדברי ריבות</w:t>
      </w:r>
      <w:r>
        <w:rPr>
          <w:rFonts w:hint="cs"/>
          <w:rtl/>
        </w:rPr>
        <w:t xml:space="preserve"> דכן משמע מלשון </w:t>
      </w:r>
      <w:r w:rsidRPr="00AB6ACE">
        <w:rPr>
          <w:rStyle w:val="af9"/>
          <w:rFonts w:hint="cs"/>
          <w:rtl/>
        </w:rPr>
        <w:t>הרשב"א בתשו'</w:t>
      </w:r>
      <w:r>
        <w:rPr>
          <w:rFonts w:hint="cs"/>
          <w:rtl/>
        </w:rPr>
        <w:t xml:space="preserve"> דכתב "</w:t>
      </w:r>
      <w:r>
        <w:rPr>
          <w:rtl/>
        </w:rPr>
        <w:t>שלא נאמרו דברים הללו במה שמודה הנטען לטוען, ושמחייב עצמו בב"ד מחיו</w:t>
      </w:r>
      <w:r>
        <w:rPr>
          <w:rFonts w:hint="cs"/>
          <w:rtl/>
        </w:rPr>
        <w:t>ב</w:t>
      </w:r>
      <w:r>
        <w:rPr>
          <w:rtl/>
        </w:rPr>
        <w:t xml:space="preserve"> לפטור</w:t>
      </w:r>
      <w:r>
        <w:rPr>
          <w:rFonts w:hint="cs"/>
          <w:rtl/>
        </w:rPr>
        <w:t>", ומשמע דדוקא אם הטוען מודה דידע שהטענה מחייבתו דאינו נאמן לחזור ולטעון.</w:t>
      </w:r>
      <w:bookmarkEnd w:id="13312"/>
    </w:p>
    <w:p w:rsidR="00EC445E" w:rsidRDefault="00EC445E" w:rsidP="00EC445E">
      <w:pPr>
        <w:pStyle w:val="a3"/>
        <w:rPr>
          <w:rtl/>
        </w:rPr>
      </w:pPr>
      <w:bookmarkStart w:id="13313" w:name="_Toc62485646"/>
      <w:r>
        <w:rPr>
          <w:rFonts w:hint="cs"/>
          <w:rtl/>
        </w:rPr>
        <w:t>דברי הקצוה"ח דאי דטוען מפטור לפטור אינה הודאת בע"ד א"כ בסבר שטוען פטור אינו חוזר</w:t>
      </w:r>
      <w:bookmarkEnd w:id="13313"/>
    </w:p>
    <w:p w:rsidR="00EC445E" w:rsidRPr="00AB6ACE" w:rsidRDefault="00EC445E" w:rsidP="007E4E81">
      <w:pPr>
        <w:pStyle w:val="a0"/>
        <w:rPr>
          <w:rStyle w:val="afb"/>
          <w:rtl/>
        </w:rPr>
      </w:pPr>
      <w:bookmarkStart w:id="13314" w:name="_Ref62675299"/>
      <w:r>
        <w:rPr>
          <w:rFonts w:hint="cs"/>
          <w:rtl/>
        </w:rPr>
        <w:t xml:space="preserve">וכתב </w:t>
      </w:r>
      <w:r w:rsidRPr="00D63BA2">
        <w:rPr>
          <w:rStyle w:val="af9"/>
          <w:rFonts w:hint="cs"/>
          <w:rtl/>
        </w:rPr>
        <w:t>הקצוה"ח</w:t>
      </w:r>
      <w:r>
        <w:rPr>
          <w:rFonts w:hint="cs"/>
          <w:rtl/>
        </w:rPr>
        <w:t xml:space="preserve"> </w:t>
      </w:r>
      <w:r w:rsidRPr="00F05FFD">
        <w:rPr>
          <w:rStyle w:val="af7"/>
          <w:rFonts w:eastAsia="Guttman Hodes" w:hint="cs"/>
          <w:rtl/>
        </w:rPr>
        <w:t>(ס' פ' סק"ב)</w:t>
      </w:r>
      <w:r>
        <w:rPr>
          <w:rFonts w:hint="cs"/>
          <w:rtl/>
        </w:rPr>
        <w:t xml:space="preserve"> דלפי מה שביאר </w:t>
      </w:r>
      <w:r w:rsidRPr="00D63BA2">
        <w:rPr>
          <w:rStyle w:val="af9"/>
          <w:rFonts w:hint="cs"/>
          <w:rtl/>
        </w:rPr>
        <w:t>הקצוה"ח</w:t>
      </w:r>
      <w:r>
        <w:rPr>
          <w:rFonts w:hint="cs"/>
          <w:rtl/>
        </w:rPr>
        <w:t xml:space="preserve"> </w:t>
      </w:r>
      <w:r w:rsidRPr="00B844EB">
        <w:rPr>
          <w:rStyle w:val="af7"/>
          <w:rFonts w:eastAsia="Guttman Hodes" w:hint="cs"/>
          <w:rtl/>
        </w:rPr>
        <w:t xml:space="preserve">(עי' אות </w:t>
      </w:r>
      <w:r w:rsidRPr="00B844EB">
        <w:rPr>
          <w:rStyle w:val="af7"/>
          <w:rFonts w:eastAsia="Guttman Hodes"/>
          <w:rtl/>
        </w:rPr>
        <w:fldChar w:fldCharType="begin"/>
      </w:r>
      <w:r w:rsidRPr="00B844EB">
        <w:rPr>
          <w:rStyle w:val="af7"/>
          <w:rFonts w:eastAsia="Guttman Hodes"/>
          <w:rtl/>
        </w:rPr>
        <w:instrText xml:space="preserve"> </w:instrText>
      </w:r>
      <w:r w:rsidRPr="00B844EB">
        <w:rPr>
          <w:rStyle w:val="af7"/>
          <w:rFonts w:eastAsia="Guttman Hodes" w:hint="cs"/>
        </w:rPr>
        <w:instrText>REF</w:instrText>
      </w:r>
      <w:r w:rsidRPr="00B844EB">
        <w:rPr>
          <w:rStyle w:val="af7"/>
          <w:rFonts w:eastAsia="Guttman Hodes" w:hint="cs"/>
          <w:rtl/>
        </w:rPr>
        <w:instrText xml:space="preserve"> _</w:instrText>
      </w:r>
      <w:r w:rsidRPr="00B844EB">
        <w:rPr>
          <w:rStyle w:val="af7"/>
          <w:rFonts w:eastAsia="Guttman Hodes" w:hint="cs"/>
        </w:rPr>
        <w:instrText>Ref62463813 \r \h</w:instrText>
      </w:r>
      <w:r w:rsidRPr="00B844E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844EB">
        <w:rPr>
          <w:rStyle w:val="af7"/>
          <w:rFonts w:eastAsia="Guttman Hodes"/>
          <w:rtl/>
        </w:rPr>
      </w:r>
      <w:r w:rsidRPr="00B844EB">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B844EB">
        <w:rPr>
          <w:rStyle w:val="af7"/>
          <w:rFonts w:eastAsia="Guttman Hodes"/>
          <w:rtl/>
        </w:rPr>
        <w:fldChar w:fldCharType="end"/>
      </w:r>
      <w:r w:rsidRPr="00B844EB">
        <w:rPr>
          <w:rStyle w:val="af7"/>
          <w:rFonts w:eastAsia="Guttman Hodes" w:hint="cs"/>
          <w:rtl/>
        </w:rPr>
        <w:t xml:space="preserve"> </w:t>
      </w:r>
      <w:r>
        <w:rPr>
          <w:rFonts w:hint="cs"/>
          <w:rtl/>
        </w:rPr>
        <w:t xml:space="preserve">דהא דאינו נאמן לחזור ולטעון מחיוב לפטור, הוא כיון שכשטען טענה שמחייבתו, חשיבא כהודאת בע"ד, א"כ א"א לומר כדברי </w:t>
      </w:r>
      <w:r w:rsidRPr="00D63BA2">
        <w:rPr>
          <w:rStyle w:val="af9"/>
          <w:rFonts w:hint="cs"/>
          <w:rtl/>
        </w:rPr>
        <w:t>הכנה"ג</w:t>
      </w:r>
      <w:r>
        <w:rPr>
          <w:rFonts w:hint="cs"/>
          <w:rtl/>
        </w:rPr>
        <w:t xml:space="preserve"> </w:t>
      </w:r>
      <w:r w:rsidRPr="00F05FFD">
        <w:rPr>
          <w:rStyle w:val="af7"/>
          <w:rFonts w:eastAsia="Guttman Hodes" w:hint="cs"/>
          <w:rtl/>
        </w:rPr>
        <w:t xml:space="preserve">(עי' אות </w:t>
      </w:r>
      <w:r w:rsidRPr="00F05FFD">
        <w:rPr>
          <w:rStyle w:val="af7"/>
          <w:rFonts w:eastAsia="Guttman Hodes"/>
          <w:rtl/>
        </w:rPr>
        <w:fldChar w:fldCharType="begin"/>
      </w:r>
      <w:r w:rsidRPr="00F05FFD">
        <w:rPr>
          <w:rStyle w:val="af7"/>
          <w:rFonts w:eastAsia="Guttman Hodes"/>
          <w:rtl/>
        </w:rPr>
        <w:instrText xml:space="preserve"> </w:instrText>
      </w:r>
      <w:r w:rsidRPr="00F05FFD">
        <w:rPr>
          <w:rStyle w:val="af7"/>
          <w:rFonts w:eastAsia="Guttman Hodes" w:hint="cs"/>
        </w:rPr>
        <w:instrText>REF</w:instrText>
      </w:r>
      <w:r w:rsidRPr="00F05FFD">
        <w:rPr>
          <w:rStyle w:val="af7"/>
          <w:rFonts w:eastAsia="Guttman Hodes" w:hint="cs"/>
          <w:rtl/>
        </w:rPr>
        <w:instrText xml:space="preserve"> _</w:instrText>
      </w:r>
      <w:r w:rsidRPr="00F05FFD">
        <w:rPr>
          <w:rStyle w:val="af7"/>
          <w:rFonts w:eastAsia="Guttman Hodes" w:hint="cs"/>
        </w:rPr>
        <w:instrText>Ref62147056 \r \h</w:instrText>
      </w:r>
      <w:r w:rsidRPr="00F05FFD">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05FFD">
        <w:rPr>
          <w:rStyle w:val="af7"/>
          <w:rFonts w:eastAsia="Guttman Hodes"/>
          <w:rtl/>
        </w:rPr>
      </w:r>
      <w:r w:rsidRPr="00F05FFD">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sidRPr="00F05FFD">
        <w:rPr>
          <w:rStyle w:val="af7"/>
          <w:rFonts w:eastAsia="Guttman Hodes"/>
          <w:rtl/>
        </w:rPr>
        <w:fldChar w:fldCharType="end"/>
      </w:r>
      <w:r>
        <w:rPr>
          <w:rFonts w:hint="cs"/>
          <w:rtl/>
        </w:rPr>
        <w:t xml:space="preserve"> בשם </w:t>
      </w:r>
      <w:r w:rsidRPr="00597F0E">
        <w:rPr>
          <w:rStyle w:val="af9"/>
          <w:rtl/>
        </w:rPr>
        <w:t xml:space="preserve">מהר"י אדרבי </w:t>
      </w:r>
      <w:r w:rsidRPr="00597F0E">
        <w:rPr>
          <w:rStyle w:val="af9"/>
          <w:rFonts w:hint="cs"/>
          <w:rtl/>
        </w:rPr>
        <w:t>בשו"ת דברי ריבות</w:t>
      </w:r>
      <w:r>
        <w:rPr>
          <w:rFonts w:hint="cs"/>
          <w:rtl/>
        </w:rPr>
        <w:t xml:space="preserve"> בטען טענה שסובר שהיא פוטרתו, נאמן לחזור ולטעון, דהא אף כשלא ידע שהתחייב בטענתו, מ"מ כיון שטען טענה שמחייבתו, אינו חוזר וטוען, דאף שהוא לא ידע שמתחייב בה, מ"מ חשיבא הודאת בע"ד, ואינו נאמן לחזור ולטעון טענת פטור, </w:t>
      </w:r>
      <w:r w:rsidRPr="00AB6ACE">
        <w:rPr>
          <w:rStyle w:val="afb"/>
          <w:rFonts w:hint="cs"/>
          <w:rtl/>
        </w:rPr>
        <w:t xml:space="preserve">[אך כתב </w:t>
      </w:r>
      <w:r w:rsidRPr="00AB6ACE">
        <w:rPr>
          <w:rStyle w:val="affa"/>
          <w:rFonts w:hint="cs"/>
          <w:rtl/>
        </w:rPr>
        <w:t>הקצוה"ח</w:t>
      </w:r>
      <w:r w:rsidRPr="00AB6ACE">
        <w:rPr>
          <w:rStyle w:val="afb"/>
          <w:rFonts w:hint="cs"/>
          <w:rtl/>
        </w:rPr>
        <w:t xml:space="preserve"> דאי החיוב בהודאת בע"ד הוא מתורת חיוב ומתנה, כדעת </w:t>
      </w:r>
      <w:r w:rsidRPr="00AB6ACE">
        <w:rPr>
          <w:rStyle w:val="affa"/>
          <w:rFonts w:hint="cs"/>
          <w:rtl/>
        </w:rPr>
        <w:t>המהר"י בן לב</w:t>
      </w:r>
      <w:r w:rsidRPr="00AB6ACE">
        <w:rPr>
          <w:rStyle w:val="afb"/>
          <w:rFonts w:hint="cs"/>
          <w:rtl/>
        </w:rPr>
        <w:t xml:space="preserve"> </w:t>
      </w:r>
      <w:r w:rsidRPr="00AB6ACE">
        <w:rPr>
          <w:rStyle w:val="aff6"/>
          <w:rFonts w:hint="cs"/>
          <w:rtl/>
        </w:rPr>
        <w:t xml:space="preserve">(ח"א סי' י"ח ד"ה נדרשתי) </w:t>
      </w:r>
      <w:r w:rsidRPr="00AB6ACE">
        <w:rPr>
          <w:rStyle w:val="afb"/>
          <w:rFonts w:hint="cs"/>
          <w:rtl/>
        </w:rPr>
        <w:t xml:space="preserve">א"כ אפש"ל דכיון שלא ידע שמתחייב בה, אינה הודעת בע"ד, אבל לפי ביאור </w:t>
      </w:r>
      <w:r w:rsidRPr="00AB6ACE">
        <w:rPr>
          <w:rStyle w:val="affa"/>
          <w:rFonts w:hint="cs"/>
          <w:rtl/>
        </w:rPr>
        <w:t>הקצוה"ח</w:t>
      </w:r>
      <w:r w:rsidRPr="00AB6ACE">
        <w:rPr>
          <w:rStyle w:val="afb"/>
          <w:rFonts w:hint="cs"/>
          <w:rtl/>
        </w:rPr>
        <w:t xml:space="preserve"> </w:t>
      </w:r>
      <w:r w:rsidRPr="00AB6ACE">
        <w:rPr>
          <w:rStyle w:val="aff6"/>
          <w:rFonts w:hint="cs"/>
          <w:rtl/>
        </w:rPr>
        <w:t xml:space="preserve">(סי' ל"ד סק"ד ד"ה לכן) </w:t>
      </w:r>
      <w:r w:rsidRPr="00AB6ACE">
        <w:rPr>
          <w:rStyle w:val="afb"/>
          <w:rFonts w:hint="cs"/>
          <w:rtl/>
        </w:rPr>
        <w:t>דחיוב הודאת בע"ד הוא נאמנות שהאמינתו תורה על עצמו, א"כ אף כשלא ידע שמתחייב חשיב הודאת בע"ד]</w:t>
      </w:r>
      <w:r>
        <w:rPr>
          <w:rStyle w:val="afb"/>
          <w:rFonts w:hint="cs"/>
          <w:rtl/>
        </w:rPr>
        <w:t>,</w:t>
      </w:r>
      <w:r w:rsidRPr="00DC1B63">
        <w:rPr>
          <w:rFonts w:hint="cs"/>
          <w:rtl/>
        </w:rPr>
        <w:t xml:space="preserve"> </w:t>
      </w:r>
      <w:r>
        <w:rPr>
          <w:rFonts w:hint="cs"/>
          <w:rtl/>
        </w:rPr>
        <w:t xml:space="preserve">ועי' במה שביאר </w:t>
      </w:r>
      <w:r w:rsidRPr="00266716">
        <w:rPr>
          <w:rStyle w:val="af9"/>
          <w:rFonts w:hint="cs"/>
          <w:rtl/>
        </w:rPr>
        <w:t>בחי' רבי שמואל</w:t>
      </w:r>
      <w:r>
        <w:rPr>
          <w:rFonts w:hint="cs"/>
          <w:rtl/>
        </w:rPr>
        <w:t xml:space="preserve"> </w:t>
      </w:r>
      <w:r w:rsidRPr="002A7EAC">
        <w:rPr>
          <w:rStyle w:val="af7"/>
          <w:rFonts w:eastAsia="Guttman Hodes" w:hint="cs"/>
          <w:rtl/>
        </w:rPr>
        <w:t xml:space="preserve">(סי' ח' או' </w:t>
      </w:r>
      <w:r>
        <w:rPr>
          <w:rStyle w:val="af7"/>
          <w:rFonts w:eastAsia="Guttman Hodes" w:hint="cs"/>
          <w:rtl/>
        </w:rPr>
        <w:t>ז</w:t>
      </w:r>
      <w:r w:rsidRPr="002A7EAC">
        <w:rPr>
          <w:rStyle w:val="af7"/>
          <w:rFonts w:eastAsia="Guttman Hodes" w:hint="cs"/>
          <w:rtl/>
        </w:rPr>
        <w:t>'</w:t>
      </w:r>
      <w:r>
        <w:rPr>
          <w:rStyle w:val="af7"/>
          <w:rFonts w:eastAsia="Guttman Hodes" w:hint="cs"/>
          <w:rtl/>
        </w:rPr>
        <w:t xml:space="preserve"> ד"ה ואולם)</w:t>
      </w:r>
      <w:r>
        <w:rPr>
          <w:rFonts w:hint="cs"/>
          <w:rtl/>
        </w:rPr>
        <w:t xml:space="preserve"> דאף לסברת </w:t>
      </w:r>
      <w:r w:rsidRPr="00DC1B63">
        <w:rPr>
          <w:rStyle w:val="af9"/>
          <w:rFonts w:hint="cs"/>
          <w:rtl/>
        </w:rPr>
        <w:t>הקצוה"ח</w:t>
      </w:r>
      <w:r>
        <w:rPr>
          <w:rFonts w:hint="cs"/>
          <w:rtl/>
        </w:rPr>
        <w:t xml:space="preserve"> מבוארים דברי </w:t>
      </w:r>
      <w:r w:rsidRPr="00597F0E">
        <w:rPr>
          <w:rStyle w:val="af9"/>
          <w:rtl/>
        </w:rPr>
        <w:t xml:space="preserve">מהר"י אדרבי </w:t>
      </w:r>
      <w:r w:rsidRPr="00597F0E">
        <w:rPr>
          <w:rStyle w:val="af9"/>
          <w:rFonts w:hint="cs"/>
          <w:rtl/>
        </w:rPr>
        <w:t>בשו"ת דברי ריבות</w:t>
      </w:r>
      <w:r>
        <w:rPr>
          <w:rFonts w:hint="cs"/>
          <w:rtl/>
        </w:rPr>
        <w:t>.</w:t>
      </w:r>
      <w:bookmarkEnd w:id="13314"/>
    </w:p>
    <w:p w:rsidR="00EC445E" w:rsidRPr="00495332" w:rsidRDefault="00EC445E" w:rsidP="00EC445E">
      <w:pPr>
        <w:pStyle w:val="a3"/>
        <w:rPr>
          <w:rtl/>
        </w:rPr>
      </w:pPr>
      <w:bookmarkStart w:id="13315" w:name="_Toc62485647"/>
      <w:r>
        <w:rPr>
          <w:rFonts w:hint="cs"/>
          <w:rtl/>
        </w:rPr>
        <w:t>דברי הקצוה"ח דלביאור הטור בר"י מגאש דבפטור לפטור נאמן במיגו ה"ה בסבר שטוען פטור</w:t>
      </w:r>
      <w:bookmarkEnd w:id="13315"/>
    </w:p>
    <w:p w:rsidR="00EC445E" w:rsidRDefault="00EC445E" w:rsidP="007E4E81">
      <w:pPr>
        <w:pStyle w:val="a0"/>
        <w:rPr>
          <w:rtl/>
        </w:rPr>
      </w:pPr>
      <w:r>
        <w:rPr>
          <w:rFonts w:hint="cs"/>
          <w:rtl/>
        </w:rPr>
        <w:t xml:space="preserve">וכתב </w:t>
      </w:r>
      <w:r w:rsidRPr="00D63BA2">
        <w:rPr>
          <w:rStyle w:val="af9"/>
          <w:rFonts w:hint="cs"/>
          <w:rtl/>
        </w:rPr>
        <w:t>הקצוה"ח</w:t>
      </w:r>
      <w:r>
        <w:rPr>
          <w:rFonts w:hint="cs"/>
          <w:rtl/>
        </w:rPr>
        <w:t xml:space="preserve"> </w:t>
      </w:r>
      <w:r w:rsidRPr="00F05FFD">
        <w:rPr>
          <w:rStyle w:val="af7"/>
          <w:rFonts w:eastAsia="Guttman Hodes" w:hint="cs"/>
          <w:rtl/>
        </w:rPr>
        <w:t>(סי' פ' סוס"ק ב')</w:t>
      </w:r>
      <w:r>
        <w:rPr>
          <w:rFonts w:hint="cs"/>
          <w:rtl/>
        </w:rPr>
        <w:t xml:space="preserve"> דלביאור </w:t>
      </w:r>
      <w:r>
        <w:rPr>
          <w:rStyle w:val="af9"/>
          <w:rtl/>
        </w:rPr>
        <w:t>הטור והש"ך</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Ref62407179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סט</w:t>
      </w:r>
      <w:r w:rsidR="00265073">
        <w:rPr>
          <w:rStyle w:val="af7"/>
          <w:rFonts w:eastAsia="Guttman Hodes"/>
          <w:rtl/>
        </w:rPr>
        <w:t>)</w:t>
      </w:r>
      <w:r>
        <w:rPr>
          <w:rStyle w:val="af7"/>
          <w:rFonts w:eastAsia="Guttman Hodes" w:hint="cs"/>
          <w:rtl/>
        </w:rPr>
        <w:fldChar w:fldCharType="end"/>
      </w:r>
      <w:r>
        <w:rPr>
          <w:rStyle w:val="af7"/>
          <w:rFonts w:eastAsia="Guttman Hodes" w:hint="cs"/>
          <w:rtl/>
        </w:rPr>
        <w:t xml:space="preserve"> </w:t>
      </w:r>
      <w:r>
        <w:rPr>
          <w:rFonts w:hint="cs"/>
          <w:rtl/>
        </w:rPr>
        <w:t xml:space="preserve">בשם </w:t>
      </w:r>
      <w:r w:rsidRPr="00D63BA2">
        <w:rPr>
          <w:rStyle w:val="af9"/>
          <w:rFonts w:hint="cs"/>
          <w:rtl/>
        </w:rPr>
        <w:t>הר"י מגאש</w:t>
      </w:r>
      <w:r w:rsidRPr="00603A39">
        <w:rPr>
          <w:rStyle w:val="af7"/>
          <w:rFonts w:eastAsia="Guttman Hodes" w:hint="cs"/>
          <w:rtl/>
        </w:rPr>
        <w:t xml:space="preserve"> (עי' אות </w:t>
      </w:r>
      <w:r w:rsidRPr="00603A39">
        <w:rPr>
          <w:rStyle w:val="af7"/>
          <w:rFonts w:eastAsia="Guttman Hodes"/>
          <w:rtl/>
        </w:rPr>
        <w:fldChar w:fldCharType="begin"/>
      </w:r>
      <w:r w:rsidRPr="00603A39">
        <w:rPr>
          <w:rStyle w:val="af7"/>
          <w:rFonts w:eastAsia="Guttman Hodes"/>
          <w:rtl/>
        </w:rPr>
        <w:instrText xml:space="preserve"> </w:instrText>
      </w:r>
      <w:r w:rsidRPr="00603A39">
        <w:rPr>
          <w:rStyle w:val="af7"/>
          <w:rFonts w:eastAsia="Guttman Hodes" w:hint="cs"/>
        </w:rPr>
        <w:instrText>REF</w:instrText>
      </w:r>
      <w:r w:rsidRPr="00603A39">
        <w:rPr>
          <w:rStyle w:val="af7"/>
          <w:rFonts w:eastAsia="Guttman Hodes" w:hint="cs"/>
          <w:rtl/>
        </w:rPr>
        <w:instrText xml:space="preserve"> _</w:instrText>
      </w:r>
      <w:r w:rsidRPr="00603A39">
        <w:rPr>
          <w:rStyle w:val="af7"/>
          <w:rFonts w:eastAsia="Guttman Hodes" w:hint="cs"/>
        </w:rPr>
        <w:instrText>Ref62452796 \r \h</w:instrText>
      </w:r>
      <w:r w:rsidRPr="00603A39">
        <w:rPr>
          <w:rStyle w:val="af7"/>
          <w:rFonts w:eastAsia="Guttman Hodes"/>
          <w:rtl/>
        </w:rPr>
        <w:instrText xml:space="preserve"> </w:instrText>
      </w:r>
      <w:r w:rsidRPr="00603A39">
        <w:rPr>
          <w:rStyle w:val="af7"/>
          <w:rFonts w:eastAsia="Guttman Hodes"/>
          <w:rtl/>
        </w:rPr>
      </w:r>
      <w:r w:rsidRPr="00603A39">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603A39">
        <w:rPr>
          <w:rStyle w:val="af7"/>
          <w:rFonts w:eastAsia="Guttman Hodes"/>
          <w:rtl/>
        </w:rPr>
        <w:fldChar w:fldCharType="end"/>
      </w:r>
      <w:r>
        <w:rPr>
          <w:rFonts w:hint="cs"/>
          <w:rtl/>
        </w:rPr>
        <w:t xml:space="preserve"> דהנאמנות בחוזר מפטור לפטור היא מדין מיגו, א"כ אפשר לבאר את דברי </w:t>
      </w:r>
      <w:r w:rsidRPr="00D63BA2">
        <w:rPr>
          <w:rStyle w:val="af9"/>
          <w:rFonts w:hint="cs"/>
          <w:rtl/>
        </w:rPr>
        <w:t>הכנה"ג</w:t>
      </w:r>
      <w:r>
        <w:rPr>
          <w:rFonts w:hint="cs"/>
          <w:rtl/>
        </w:rPr>
        <w:t xml:space="preserve"> </w:t>
      </w:r>
      <w:r w:rsidRPr="00603A39">
        <w:rPr>
          <w:rStyle w:val="af7"/>
          <w:rFonts w:eastAsia="Guttman Hodes" w:hint="cs"/>
          <w:rtl/>
        </w:rPr>
        <w:t xml:space="preserve">(עי' אות </w:t>
      </w:r>
      <w:r w:rsidRPr="00603A39">
        <w:rPr>
          <w:rStyle w:val="af7"/>
          <w:rFonts w:eastAsia="Guttman Hodes"/>
          <w:rtl/>
        </w:rPr>
        <w:fldChar w:fldCharType="begin"/>
      </w:r>
      <w:r w:rsidRPr="00603A39">
        <w:rPr>
          <w:rStyle w:val="af7"/>
          <w:rFonts w:eastAsia="Guttman Hodes"/>
          <w:rtl/>
        </w:rPr>
        <w:instrText xml:space="preserve"> </w:instrText>
      </w:r>
      <w:r w:rsidRPr="00603A39">
        <w:rPr>
          <w:rStyle w:val="af7"/>
          <w:rFonts w:eastAsia="Guttman Hodes" w:hint="cs"/>
        </w:rPr>
        <w:instrText>REF</w:instrText>
      </w:r>
      <w:r w:rsidRPr="00603A39">
        <w:rPr>
          <w:rStyle w:val="af7"/>
          <w:rFonts w:eastAsia="Guttman Hodes" w:hint="cs"/>
          <w:rtl/>
        </w:rPr>
        <w:instrText xml:space="preserve"> _</w:instrText>
      </w:r>
      <w:r w:rsidRPr="00603A39">
        <w:rPr>
          <w:rStyle w:val="af7"/>
          <w:rFonts w:eastAsia="Guttman Hodes" w:hint="cs"/>
        </w:rPr>
        <w:instrText>Ref62147056 \r \h</w:instrText>
      </w:r>
      <w:r w:rsidRPr="00603A39">
        <w:rPr>
          <w:rStyle w:val="af7"/>
          <w:rFonts w:eastAsia="Guttman Hodes"/>
          <w:rtl/>
        </w:rPr>
        <w:instrText xml:space="preserve"> </w:instrText>
      </w:r>
      <w:r w:rsidRPr="00603A39">
        <w:rPr>
          <w:rStyle w:val="af7"/>
          <w:rFonts w:eastAsia="Guttman Hodes"/>
          <w:rtl/>
        </w:rPr>
      </w:r>
      <w:r w:rsidRPr="00603A39">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sidRPr="00603A39">
        <w:rPr>
          <w:rStyle w:val="af7"/>
          <w:rFonts w:eastAsia="Guttman Hodes"/>
          <w:rtl/>
        </w:rPr>
        <w:fldChar w:fldCharType="end"/>
      </w:r>
      <w:r w:rsidRPr="00603A39">
        <w:rPr>
          <w:rStyle w:val="af7"/>
          <w:rFonts w:eastAsia="Guttman Hodes" w:hint="cs"/>
          <w:rtl/>
        </w:rPr>
        <w:t xml:space="preserve"> </w:t>
      </w:r>
      <w:r>
        <w:rPr>
          <w:rFonts w:hint="cs"/>
          <w:rtl/>
        </w:rPr>
        <w:t xml:space="preserve">בשם </w:t>
      </w:r>
      <w:r w:rsidRPr="00D63BA2">
        <w:rPr>
          <w:rStyle w:val="af9"/>
          <w:rFonts w:hint="cs"/>
          <w:rtl/>
        </w:rPr>
        <w:t>הדברי ריבות</w:t>
      </w:r>
      <w:r>
        <w:rPr>
          <w:rFonts w:hint="cs"/>
          <w:rtl/>
        </w:rPr>
        <w:t xml:space="preserve">, דאף שטען טענה שמחייבתו, מ"מ כיון שאינו יודע שהתחייב בה, ואפ"ה חזר וטען נאמן, יש לו מיגו דהיה יכול לעמוד בטענתו, דהא הוא סובר שטען טענת פטור. </w:t>
      </w:r>
    </w:p>
    <w:p w:rsidR="00EC445E" w:rsidRDefault="00EC445E" w:rsidP="00EC445E">
      <w:pPr>
        <w:pStyle w:val="afe"/>
        <w:rPr>
          <w:rtl/>
        </w:rPr>
      </w:pPr>
      <w:bookmarkStart w:id="13316" w:name="_Toc62385996"/>
      <w:bookmarkStart w:id="13317" w:name="_Toc62420133"/>
      <w:bookmarkStart w:id="13318" w:name="_Toc62452626"/>
      <w:bookmarkStart w:id="13319" w:name="_Toc62453913"/>
      <w:bookmarkStart w:id="13320" w:name="_Toc62485648"/>
      <w:bookmarkEnd w:id="13295"/>
      <w:bookmarkEnd w:id="13307"/>
      <w:bookmarkEnd w:id="13308"/>
      <w:bookmarkEnd w:id="13309"/>
      <w:bookmarkEnd w:id="13310"/>
      <w:r>
        <w:rPr>
          <w:rFonts w:hint="cs"/>
          <w:rtl/>
        </w:rPr>
        <w:t>אי נאמן כשיש עדים כטענתו האחרונה</w:t>
      </w:r>
      <w:bookmarkEnd w:id="13316"/>
      <w:bookmarkEnd w:id="13317"/>
      <w:bookmarkEnd w:id="13318"/>
      <w:bookmarkEnd w:id="13319"/>
      <w:bookmarkEnd w:id="13320"/>
      <w:r>
        <w:rPr>
          <w:rFonts w:hint="cs"/>
          <w:rtl/>
        </w:rPr>
        <w:t xml:space="preserve"> </w:t>
      </w:r>
    </w:p>
    <w:p w:rsidR="00EC445E" w:rsidRDefault="00EC445E" w:rsidP="00EC445E">
      <w:pPr>
        <w:pStyle w:val="1"/>
        <w:rPr>
          <w:rtl/>
        </w:rPr>
      </w:pPr>
      <w:bookmarkStart w:id="13321" w:name="_Toc62385997"/>
      <w:bookmarkStart w:id="13322" w:name="_Toc62420134"/>
      <w:bookmarkStart w:id="13323" w:name="_Toc62452627"/>
      <w:bookmarkStart w:id="13324" w:name="_Toc62453914"/>
      <w:bookmarkStart w:id="13325" w:name="_Toc62485649"/>
      <w:r>
        <w:rPr>
          <w:rFonts w:hint="cs"/>
          <w:rtl/>
        </w:rPr>
        <w:t>דעת המבי"ט דנאמן בחוזר וטוען והביא עדים כטענתו האחרונה</w:t>
      </w:r>
      <w:bookmarkEnd w:id="13321"/>
      <w:bookmarkEnd w:id="13322"/>
      <w:bookmarkEnd w:id="13323"/>
      <w:bookmarkEnd w:id="13324"/>
      <w:bookmarkEnd w:id="13325"/>
    </w:p>
    <w:p w:rsidR="00EC445E" w:rsidRPr="001A0A4C" w:rsidRDefault="00EC445E" w:rsidP="00EC445E">
      <w:pPr>
        <w:pStyle w:val="a3"/>
      </w:pPr>
      <w:bookmarkStart w:id="13326" w:name="_Toc62485650"/>
      <w:r>
        <w:rPr>
          <w:rFonts w:hint="cs"/>
          <w:rtl/>
        </w:rPr>
        <w:t>דברי המבי"ט דבטוען להד"ם והביא עדים שלוה וחזר וטען פרעתי והביא עדים שפרע נאמן</w:t>
      </w:r>
      <w:bookmarkEnd w:id="13326"/>
    </w:p>
    <w:p w:rsidR="00EC445E" w:rsidRDefault="00EC445E" w:rsidP="007E4E81">
      <w:pPr>
        <w:pStyle w:val="a0"/>
        <w:rPr>
          <w:rtl/>
        </w:rPr>
      </w:pPr>
      <w:bookmarkStart w:id="13327" w:name="_Ref62465518"/>
      <w:bookmarkStart w:id="13328" w:name="_Toc62485651"/>
      <w:r>
        <w:rPr>
          <w:rFonts w:hint="cs"/>
          <w:rtl/>
        </w:rPr>
        <w:t xml:space="preserve">כתב </w:t>
      </w:r>
      <w:r w:rsidRPr="00B51321">
        <w:rPr>
          <w:rStyle w:val="af9"/>
          <w:rFonts w:hint="cs"/>
          <w:rtl/>
        </w:rPr>
        <w:t>המבי"ט</w:t>
      </w:r>
      <w:r>
        <w:rPr>
          <w:rFonts w:hint="cs"/>
          <w:rtl/>
        </w:rPr>
        <w:t xml:space="preserve"> </w:t>
      </w:r>
      <w:r w:rsidRPr="003709D2">
        <w:rPr>
          <w:rStyle w:val="af7"/>
          <w:rFonts w:eastAsia="Guttman Hodes" w:hint="cs"/>
          <w:rtl/>
        </w:rPr>
        <w:t>(ח"א סי' ט"ז)</w:t>
      </w:r>
      <w:r>
        <w:rPr>
          <w:rFonts w:hint="cs"/>
          <w:rtl/>
        </w:rPr>
        <w:t xml:space="preserve"> דהאומר לחבירו מנה לי בידך, וטען הלוה להד"ם, והביא המלוה עדים שלוה ממנו, שהוא הוחזק כפרן באותו ממון, אם חזר וטען פרעתי, והביא עדים שפרע נאמן, כיון שעידי הפרעון אינם מכחישים את עידי ההלואה, וכתב </w:t>
      </w:r>
      <w:r w:rsidRPr="00B51321">
        <w:rPr>
          <w:rStyle w:val="af9"/>
          <w:rFonts w:hint="cs"/>
          <w:rtl/>
        </w:rPr>
        <w:t>המבי"ט</w:t>
      </w:r>
      <w:r>
        <w:rPr>
          <w:rFonts w:hint="cs"/>
          <w:rtl/>
        </w:rPr>
        <w:t xml:space="preserve"> דכמו שאם אחר שהוחזק כפרן והתחייב בב"ד אינו נאמן לטעון אח"כ פרעתי, דהוחזק כפרן לאותו ממון,</w:t>
      </w:r>
      <w:r w:rsidRPr="00EB47E3">
        <w:rPr>
          <w:rFonts w:hint="cs"/>
          <w:rtl/>
        </w:rPr>
        <w:t xml:space="preserve"> </w:t>
      </w:r>
      <w:r>
        <w:rPr>
          <w:rFonts w:hint="cs"/>
          <w:rtl/>
        </w:rPr>
        <w:t>ומ"מ אם הביא עדים הוא נאמן, אעפ"י שהוחזק כפרן, וה"ה בטוען וחוזר וטוען בב"ד דאף דאינו נאמן, ממ/מ אם הביא עדים כטענתו האחרונה נאמן, דאין כל חילוק בין אם הוחזק כפרן, לבין חוזר וטוען.</w:t>
      </w:r>
      <w:bookmarkEnd w:id="13327"/>
    </w:p>
    <w:p w:rsidR="00F522E6" w:rsidRPr="00F522E6" w:rsidRDefault="00F522E6" w:rsidP="00F522E6">
      <w:pPr>
        <w:pStyle w:val="a3"/>
        <w:rPr>
          <w:rtl/>
        </w:rPr>
      </w:pPr>
    </w:p>
    <w:p w:rsidR="00F522E6" w:rsidRPr="00F522E6" w:rsidRDefault="00F522E6" w:rsidP="00F522E6">
      <w:pPr>
        <w:pStyle w:val="a3"/>
        <w:rPr>
          <w:rtl/>
        </w:rPr>
      </w:pPr>
    </w:p>
    <w:p w:rsidR="00F522E6" w:rsidRPr="00F522E6" w:rsidRDefault="00F522E6" w:rsidP="00F522E6">
      <w:pPr>
        <w:pStyle w:val="a3"/>
        <w:rPr>
          <w:rtl/>
        </w:rPr>
      </w:pPr>
    </w:p>
    <w:p w:rsidR="00F522E6" w:rsidRPr="00F522E6" w:rsidRDefault="00F522E6" w:rsidP="00F522E6">
      <w:pPr>
        <w:pStyle w:val="a3"/>
        <w:rPr>
          <w:rtl/>
        </w:rPr>
      </w:pPr>
    </w:p>
    <w:p w:rsidR="00F522E6" w:rsidRPr="00F522E6" w:rsidRDefault="00F522E6" w:rsidP="00F522E6">
      <w:pPr>
        <w:pStyle w:val="a3"/>
        <w:rPr>
          <w:rtl/>
        </w:rPr>
      </w:pPr>
    </w:p>
    <w:p w:rsidR="00EC445E" w:rsidRPr="00841D83" w:rsidRDefault="00EC445E" w:rsidP="00EC445E">
      <w:pPr>
        <w:pStyle w:val="a3"/>
        <w:rPr>
          <w:rtl/>
        </w:rPr>
      </w:pPr>
      <w:r>
        <w:rPr>
          <w:rFonts w:hint="cs"/>
          <w:rtl/>
        </w:rPr>
        <w:t>דברי המבי"ט דכן משמע ברמב"ם ובמ"מ דבחוזר וטוען לא מקבלים את טענתו אך עדים נאמנים</w:t>
      </w:r>
      <w:bookmarkEnd w:id="13328"/>
    </w:p>
    <w:p w:rsidR="00EC445E" w:rsidRPr="00AF2F95" w:rsidRDefault="00EC445E" w:rsidP="007E4E81">
      <w:pPr>
        <w:pStyle w:val="a0"/>
        <w:rPr>
          <w:rStyle w:val="afb"/>
          <w:rtl/>
        </w:rPr>
      </w:pPr>
      <w:bookmarkStart w:id="13329" w:name="_Ref62465531"/>
      <w:r>
        <w:rPr>
          <w:rFonts w:hint="cs"/>
          <w:rtl/>
        </w:rPr>
        <w:t xml:space="preserve">וכתב </w:t>
      </w:r>
      <w:r w:rsidRPr="00B51321">
        <w:rPr>
          <w:rStyle w:val="af9"/>
          <w:rFonts w:hint="cs"/>
          <w:rtl/>
        </w:rPr>
        <w:t>המבי"ט</w:t>
      </w:r>
      <w:r>
        <w:rPr>
          <w:rFonts w:hint="cs"/>
          <w:rtl/>
        </w:rPr>
        <w:t xml:space="preserve"> דכן מבואר בדברי </w:t>
      </w:r>
      <w:r w:rsidRPr="00B51321">
        <w:rPr>
          <w:rStyle w:val="af9"/>
          <w:rFonts w:hint="cs"/>
          <w:rtl/>
        </w:rPr>
        <w:t>הרמב"ם</w:t>
      </w:r>
      <w:r>
        <w:rPr>
          <w:rFonts w:hint="cs"/>
          <w:rtl/>
        </w:rPr>
        <w:t xml:space="preserve"> </w:t>
      </w:r>
      <w:r w:rsidRPr="00555BB9">
        <w:rPr>
          <w:rStyle w:val="af7"/>
          <w:rFonts w:eastAsia="Guttman Hodes" w:hint="cs"/>
          <w:rtl/>
        </w:rPr>
        <w:t>(טו"נ פ"ו ה"א)</w:t>
      </w:r>
      <w:r>
        <w:rPr>
          <w:rFonts w:hint="cs"/>
          <w:rtl/>
        </w:rPr>
        <w:t xml:space="preserve"> דכתב דבאמר לו מנה לי בידך וטען להד"ם, ובאו עדים שלוה וחזר וטען לויתי ופרעתי, דאין מקבלים ממנו את טענת פרעתי, וכתב </w:t>
      </w:r>
      <w:r w:rsidRPr="00B51321">
        <w:rPr>
          <w:rStyle w:val="af9"/>
          <w:rFonts w:hint="cs"/>
          <w:rtl/>
        </w:rPr>
        <w:t>המבי"ט</w:t>
      </w:r>
      <w:r>
        <w:rPr>
          <w:rFonts w:hint="cs"/>
          <w:rtl/>
        </w:rPr>
        <w:t xml:space="preserve"> דמשמע מדברי </w:t>
      </w:r>
      <w:r w:rsidRPr="00B51321">
        <w:rPr>
          <w:rStyle w:val="af9"/>
          <w:rFonts w:hint="cs"/>
          <w:rtl/>
        </w:rPr>
        <w:t>הרמב"ם</w:t>
      </w:r>
      <w:r>
        <w:rPr>
          <w:rFonts w:hint="cs"/>
          <w:rtl/>
        </w:rPr>
        <w:t xml:space="preserve"> דדוקא את טענתו אין מקבלים, אבל אם הביא עדים שפרע נאמן, אעפ"י שהוחזק כפרן, והוסיף </w:t>
      </w:r>
      <w:r w:rsidRPr="00B51321">
        <w:rPr>
          <w:rStyle w:val="af9"/>
          <w:rFonts w:hint="cs"/>
          <w:rtl/>
        </w:rPr>
        <w:t>המבי"ט</w:t>
      </w:r>
      <w:r>
        <w:rPr>
          <w:rFonts w:hint="cs"/>
          <w:rtl/>
        </w:rPr>
        <w:t xml:space="preserve"> דכן מבואר </w:t>
      </w:r>
      <w:r w:rsidRPr="00B51321">
        <w:rPr>
          <w:rStyle w:val="af9"/>
          <w:rFonts w:hint="cs"/>
          <w:rtl/>
        </w:rPr>
        <w:t>במ"מ</w:t>
      </w:r>
      <w:r>
        <w:rPr>
          <w:rFonts w:hint="cs"/>
          <w:rtl/>
        </w:rPr>
        <w:t xml:space="preserve"> </w:t>
      </w:r>
      <w:r w:rsidRPr="00555BB9">
        <w:rPr>
          <w:rStyle w:val="af7"/>
          <w:rFonts w:eastAsia="Guttman Hodes" w:hint="cs"/>
          <w:rtl/>
        </w:rPr>
        <w:t>(טו"נ פ"ו ה"א)</w:t>
      </w:r>
      <w:r>
        <w:rPr>
          <w:rFonts w:hint="cs"/>
          <w:rtl/>
        </w:rPr>
        <w:t xml:space="preserve"> דכתב דכשטוען פרעתי אינו נאמן עד שיברר בעדים, ומשמע שאם הביא עדים שפרע נאמן. </w:t>
      </w:r>
      <w:r w:rsidRPr="00AF2F95">
        <w:rPr>
          <w:rStyle w:val="afb"/>
          <w:rFonts w:hint="cs"/>
          <w:rtl/>
        </w:rPr>
        <w:t xml:space="preserve">[וכתב </w:t>
      </w:r>
      <w:r w:rsidRPr="00AF2F95">
        <w:rPr>
          <w:rStyle w:val="affa"/>
          <w:rFonts w:hint="cs"/>
          <w:rtl/>
        </w:rPr>
        <w:t xml:space="preserve">המבי"ט </w:t>
      </w:r>
      <w:r w:rsidRPr="00AF2F95">
        <w:rPr>
          <w:rStyle w:val="afb"/>
          <w:rFonts w:hint="cs"/>
          <w:rtl/>
        </w:rPr>
        <w:t xml:space="preserve">דאף דאפשר לדחות דכוונת </w:t>
      </w:r>
      <w:r w:rsidRPr="00AF2F95">
        <w:rPr>
          <w:rStyle w:val="affa"/>
          <w:rFonts w:hint="cs"/>
          <w:rtl/>
        </w:rPr>
        <w:t xml:space="preserve">המ"מ </w:t>
      </w:r>
      <w:r w:rsidRPr="00AF2F95">
        <w:rPr>
          <w:rStyle w:val="afb"/>
          <w:rFonts w:hint="cs"/>
          <w:rtl/>
        </w:rPr>
        <w:t xml:space="preserve">לומר דאחר שהתחייב בב"ד אינו נאמן אח"כ כשטוען פרעתי, בלא שיביא עדים שפרע אחר שהתחייב בב"ד, מ"מ היינו באופן שאיירי </w:t>
      </w:r>
      <w:r w:rsidRPr="00AF2F95">
        <w:rPr>
          <w:rStyle w:val="affa"/>
          <w:rFonts w:hint="cs"/>
          <w:rtl/>
        </w:rPr>
        <w:t xml:space="preserve">המ"מ </w:t>
      </w:r>
      <w:r w:rsidRPr="00AF2F95">
        <w:rPr>
          <w:rStyle w:val="afb"/>
          <w:rFonts w:hint="cs"/>
          <w:rtl/>
        </w:rPr>
        <w:t>שהעדים מעידים שעדיין חייב לו, ולכן אינו נאמן בעדים שפרע, כיון שהם מכחישים את העדים הראשונים</w:t>
      </w:r>
      <w:r>
        <w:rPr>
          <w:rStyle w:val="afb"/>
          <w:rFonts w:hint="cs"/>
          <w:rtl/>
        </w:rPr>
        <w:t>, עיי"ש בדבריו</w:t>
      </w:r>
      <w:r w:rsidRPr="00AF2F95">
        <w:rPr>
          <w:rStyle w:val="afb"/>
          <w:rFonts w:hint="cs"/>
          <w:rtl/>
        </w:rPr>
        <w:t>].</w:t>
      </w:r>
      <w:bookmarkEnd w:id="13329"/>
    </w:p>
    <w:p w:rsidR="00EC445E" w:rsidRPr="00E94E42" w:rsidRDefault="00EC445E" w:rsidP="00EC445E">
      <w:pPr>
        <w:pStyle w:val="a3"/>
        <w:rPr>
          <w:rtl/>
        </w:rPr>
      </w:pPr>
      <w:bookmarkStart w:id="13330" w:name="_Toc62485652"/>
      <w:r>
        <w:rPr>
          <w:rFonts w:hint="cs"/>
          <w:rtl/>
        </w:rPr>
        <w:t>דברי המבי"ט דבאומר לא לויתי דלא נאמן בעידי פרעון היינו כשעדיין כופר בעדים וטוען להד"ם</w:t>
      </w:r>
      <w:bookmarkEnd w:id="13330"/>
    </w:p>
    <w:p w:rsidR="00EC445E" w:rsidRDefault="00EC445E" w:rsidP="007E4E81">
      <w:pPr>
        <w:pStyle w:val="a0"/>
        <w:rPr>
          <w:rtl/>
        </w:rPr>
      </w:pPr>
      <w:bookmarkStart w:id="13331" w:name="_Ref62382800"/>
      <w:r>
        <w:rPr>
          <w:rFonts w:hint="cs"/>
          <w:rtl/>
        </w:rPr>
        <w:t xml:space="preserve">וכתב </w:t>
      </w:r>
      <w:r w:rsidRPr="00B51321">
        <w:rPr>
          <w:rStyle w:val="af9"/>
          <w:rFonts w:hint="cs"/>
          <w:rtl/>
        </w:rPr>
        <w:t>המבי"ט</w:t>
      </w:r>
      <w:r>
        <w:rPr>
          <w:rFonts w:hint="cs"/>
          <w:rtl/>
        </w:rPr>
        <w:t xml:space="preserve"> דלא דמי למה שכתב </w:t>
      </w:r>
      <w:r w:rsidRPr="00B51321">
        <w:rPr>
          <w:rStyle w:val="af9"/>
          <w:rFonts w:hint="cs"/>
          <w:rtl/>
        </w:rPr>
        <w:t>הרמב"ם</w:t>
      </w:r>
      <w:r>
        <w:rPr>
          <w:rFonts w:hint="cs"/>
          <w:rtl/>
        </w:rPr>
        <w:t xml:space="preserve"> </w:t>
      </w:r>
      <w:r w:rsidRPr="0007730B">
        <w:rPr>
          <w:rStyle w:val="af7"/>
          <w:rFonts w:eastAsia="Guttman Hodes" w:hint="cs"/>
          <w:rtl/>
        </w:rPr>
        <w:t>(טו"נ פ"ו ה"ג)</w:t>
      </w:r>
      <w:r>
        <w:rPr>
          <w:rFonts w:hint="cs"/>
          <w:rtl/>
        </w:rPr>
        <w:t xml:space="preserve"> דהאומר לא לויתי, ובאו עדים שלוה ופרע, והמלוה אמר שלא פרע לו, דחייב הלוה לשלם, דהאומר לא לויתי כאומר לא פרעתי דמי, וחשיב שהודה בהודאת בע"ד שלא פרע, ואף שהביא עדים שפרע חייב, וביאר </w:t>
      </w:r>
      <w:r w:rsidRPr="004006C5">
        <w:rPr>
          <w:rStyle w:val="af9"/>
          <w:rFonts w:hint="cs"/>
          <w:rtl/>
        </w:rPr>
        <w:t>המבי"ט</w:t>
      </w:r>
      <w:r>
        <w:rPr>
          <w:rFonts w:hint="cs"/>
          <w:rtl/>
        </w:rPr>
        <w:t xml:space="preserve"> דכיון שהלוה עדיין טוען שלא לוה, ולא חזר וטען לויתי ופרעתי, לכן לא מהני לו עדות העדים שפרע, אבל במקום שחזר וטען שלוה ופרע, ויש לו עדים שפרע נאמן, ועיי"ש במה שהאריך </w:t>
      </w:r>
      <w:r w:rsidRPr="00153EF0">
        <w:rPr>
          <w:rStyle w:val="af9"/>
          <w:rFonts w:hint="cs"/>
          <w:rtl/>
        </w:rPr>
        <w:t>המבי"ט</w:t>
      </w:r>
      <w:r>
        <w:rPr>
          <w:rFonts w:hint="cs"/>
          <w:rtl/>
        </w:rPr>
        <w:t xml:space="preserve"> להוכיח כדבריו.</w:t>
      </w:r>
      <w:bookmarkEnd w:id="13331"/>
    </w:p>
    <w:p w:rsidR="00EC445E" w:rsidRDefault="00EC445E" w:rsidP="00EC445E">
      <w:pPr>
        <w:pStyle w:val="a3"/>
        <w:rPr>
          <w:rtl/>
        </w:rPr>
      </w:pPr>
      <w:bookmarkStart w:id="13332" w:name="_Toc62485653"/>
      <w:r>
        <w:rPr>
          <w:rFonts w:hint="cs"/>
          <w:rtl/>
        </w:rPr>
        <w:t>הוכחת המבי"ט מהרמ"ה דבהוכחש בעדים אינו נאמן עד שיביא ראיה ומוכח דעדים נאמנים</w:t>
      </w:r>
      <w:bookmarkEnd w:id="13332"/>
    </w:p>
    <w:p w:rsidR="00EC445E" w:rsidRDefault="00EC445E" w:rsidP="007E4E81">
      <w:pPr>
        <w:pStyle w:val="a0"/>
        <w:rPr>
          <w:rtl/>
        </w:rPr>
      </w:pPr>
      <w:bookmarkStart w:id="13333" w:name="_Ref62465543"/>
      <w:r>
        <w:rPr>
          <w:rFonts w:hint="cs"/>
          <w:rtl/>
        </w:rPr>
        <w:t xml:space="preserve">וכתב </w:t>
      </w:r>
      <w:r w:rsidRPr="00B51321">
        <w:rPr>
          <w:rStyle w:val="af9"/>
          <w:rFonts w:hint="cs"/>
          <w:rtl/>
        </w:rPr>
        <w:t>המבי"ט</w:t>
      </w:r>
      <w:r>
        <w:rPr>
          <w:rFonts w:hint="cs"/>
          <w:rtl/>
        </w:rPr>
        <w:t xml:space="preserve"> </w:t>
      </w:r>
      <w:r w:rsidRPr="00B51321">
        <w:rPr>
          <w:rStyle w:val="af7"/>
          <w:rFonts w:eastAsia="Guttman Hodes" w:hint="cs"/>
          <w:rtl/>
        </w:rPr>
        <w:t xml:space="preserve">(ח"א </w:t>
      </w:r>
      <w:r>
        <w:rPr>
          <w:rStyle w:val="af7"/>
          <w:rFonts w:eastAsia="Guttman Hodes" w:hint="cs"/>
          <w:rtl/>
        </w:rPr>
        <w:t>סו"ס</w:t>
      </w:r>
      <w:r w:rsidRPr="00B51321">
        <w:rPr>
          <w:rStyle w:val="af7"/>
          <w:rFonts w:eastAsia="Guttman Hodes" w:hint="cs"/>
          <w:rtl/>
        </w:rPr>
        <w:t xml:space="preserve"> ט"ז)</w:t>
      </w:r>
      <w:r>
        <w:rPr>
          <w:rFonts w:hint="cs"/>
          <w:rtl/>
        </w:rPr>
        <w:t xml:space="preserve"> דכן מוכח מדברי </w:t>
      </w:r>
      <w:r w:rsidRPr="001422B9">
        <w:rPr>
          <w:rStyle w:val="af9"/>
          <w:rFonts w:hint="cs"/>
          <w:rtl/>
        </w:rPr>
        <w:t>היד רמ"ה</w:t>
      </w:r>
      <w:r>
        <w:rPr>
          <w:rFonts w:hint="cs"/>
          <w:rtl/>
        </w:rPr>
        <w:t xml:space="preserve"> </w:t>
      </w:r>
      <w:r w:rsidRPr="003709D2">
        <w:rPr>
          <w:rStyle w:val="af7"/>
          <w:rFonts w:eastAsia="Guttman Hodes" w:hint="cs"/>
          <w:rtl/>
        </w:rPr>
        <w:t xml:space="preserve">(עי' אות </w:t>
      </w:r>
      <w:r w:rsidRPr="003709D2">
        <w:rPr>
          <w:rStyle w:val="af7"/>
          <w:rFonts w:eastAsia="Guttman Hodes"/>
          <w:rtl/>
        </w:rPr>
        <w:fldChar w:fldCharType="begin"/>
      </w:r>
      <w:r w:rsidRPr="003709D2">
        <w:rPr>
          <w:rStyle w:val="af7"/>
          <w:rFonts w:eastAsia="Guttman Hodes"/>
          <w:rtl/>
        </w:rPr>
        <w:instrText xml:space="preserve"> </w:instrText>
      </w:r>
      <w:r w:rsidRPr="003709D2">
        <w:rPr>
          <w:rStyle w:val="af7"/>
          <w:rFonts w:eastAsia="Guttman Hodes" w:hint="cs"/>
        </w:rPr>
        <w:instrText>REF</w:instrText>
      </w:r>
      <w:r w:rsidRPr="003709D2">
        <w:rPr>
          <w:rStyle w:val="af7"/>
          <w:rFonts w:eastAsia="Guttman Hodes" w:hint="cs"/>
          <w:rtl/>
        </w:rPr>
        <w:instrText xml:space="preserve"> _</w:instrText>
      </w:r>
      <w:r w:rsidRPr="003709D2">
        <w:rPr>
          <w:rStyle w:val="af7"/>
          <w:rFonts w:eastAsia="Guttman Hodes" w:hint="cs"/>
        </w:rPr>
        <w:instrText>Ref62324951 \r \h</w:instrText>
      </w:r>
      <w:r w:rsidRPr="003709D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709D2">
        <w:rPr>
          <w:rStyle w:val="af7"/>
          <w:rFonts w:eastAsia="Guttman Hodes"/>
          <w:rtl/>
        </w:rPr>
      </w:r>
      <w:r w:rsidRPr="003709D2">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3709D2">
        <w:rPr>
          <w:rStyle w:val="af7"/>
          <w:rFonts w:eastAsia="Guttman Hodes"/>
          <w:rtl/>
        </w:rPr>
        <w:fldChar w:fldCharType="end"/>
      </w:r>
      <w:r>
        <w:rPr>
          <w:rFonts w:hint="cs"/>
          <w:rtl/>
        </w:rPr>
        <w:t xml:space="preserve"> דכתב ד</w:t>
      </w:r>
      <w:r w:rsidRPr="0037784A">
        <w:rPr>
          <w:rFonts w:hint="cs"/>
          <w:rtl/>
        </w:rPr>
        <w:t>אם באו עדים והכחישו את טענתו הראשונה, אינו נאמן בטענתו האחרונה עד שיביא ראיה ויפטר</w:t>
      </w:r>
      <w:r>
        <w:rPr>
          <w:rFonts w:hint="cs"/>
          <w:rtl/>
        </w:rPr>
        <w:t xml:space="preserve">, ומשמע מדברי </w:t>
      </w:r>
      <w:r w:rsidRPr="001422B9">
        <w:rPr>
          <w:rStyle w:val="af9"/>
          <w:rFonts w:hint="cs"/>
          <w:rtl/>
        </w:rPr>
        <w:t>היד רמ"ה</w:t>
      </w:r>
      <w:r>
        <w:rPr>
          <w:rFonts w:hint="cs"/>
          <w:rtl/>
        </w:rPr>
        <w:t xml:space="preserve"> שאם הביא ראיה לטענתו האחרונה, הוא נאמן בטענתו האחרונה, אעפ"י שהוחזק כפרן בטענה הראשונה שהכחישוהו העדים.</w:t>
      </w:r>
      <w:bookmarkEnd w:id="13333"/>
    </w:p>
    <w:p w:rsidR="00EC445E" w:rsidRPr="004A5C1F" w:rsidRDefault="00EC445E" w:rsidP="00EC445E">
      <w:pPr>
        <w:pStyle w:val="a3"/>
        <w:rPr>
          <w:rtl/>
        </w:rPr>
      </w:pPr>
      <w:bookmarkStart w:id="13334" w:name="_Toc62485654"/>
      <w:r>
        <w:rPr>
          <w:rFonts w:hint="cs"/>
          <w:rtl/>
        </w:rPr>
        <w:t>ביאור המבי"ט בריב"ש דרק באמר נזכרתי דהודה שסבר שלא לוה אינו נאמן בעידי פרעון</w:t>
      </w:r>
      <w:bookmarkEnd w:id="13334"/>
    </w:p>
    <w:p w:rsidR="00EC445E" w:rsidRDefault="00EC445E" w:rsidP="007E4E81">
      <w:pPr>
        <w:pStyle w:val="a0"/>
        <w:rPr>
          <w:rtl/>
        </w:rPr>
      </w:pPr>
      <w:bookmarkStart w:id="13335" w:name="_Ref62465586"/>
      <w:r>
        <w:rPr>
          <w:rFonts w:hint="cs"/>
          <w:rtl/>
        </w:rPr>
        <w:t xml:space="preserve">אך הקשה </w:t>
      </w:r>
      <w:r w:rsidRPr="001422B9">
        <w:rPr>
          <w:rStyle w:val="af9"/>
          <w:rFonts w:hint="cs"/>
          <w:rtl/>
        </w:rPr>
        <w:t>המבי"ט</w:t>
      </w:r>
      <w:r>
        <w:rPr>
          <w:rFonts w:hint="cs"/>
          <w:rtl/>
        </w:rPr>
        <w:t xml:space="preserve"> דהא כתב </w:t>
      </w:r>
      <w:r w:rsidRPr="001422B9">
        <w:rPr>
          <w:rStyle w:val="af9"/>
          <w:rFonts w:hint="cs"/>
          <w:rtl/>
        </w:rPr>
        <w:t>הריב"ש</w:t>
      </w:r>
      <w:r>
        <w:rPr>
          <w:rFonts w:hint="cs"/>
          <w:rtl/>
        </w:rPr>
        <w:t xml:space="preserve"> </w:t>
      </w:r>
      <w:r w:rsidRPr="002A2B4C">
        <w:rPr>
          <w:rStyle w:val="af7"/>
          <w:rFonts w:eastAsia="Guttman Hodes" w:hint="cs"/>
          <w:rtl/>
        </w:rPr>
        <w:t>(סי' שצ"ב ד"ה סוף דבר)</w:t>
      </w:r>
      <w:r>
        <w:rPr>
          <w:rFonts w:hint="cs"/>
          <w:rtl/>
        </w:rPr>
        <w:t xml:space="preserve"> דאי טען להד"ם, ואח"כ הכחישוהו עדים, וחזר וטען נזכרתי שלויתי ופרעתי, דאינו נאמן אף כשיש לו עדים שלוה ופרע, ותירץ </w:t>
      </w:r>
      <w:r w:rsidRPr="001422B9">
        <w:rPr>
          <w:rStyle w:val="af9"/>
          <w:rFonts w:hint="cs"/>
          <w:rtl/>
        </w:rPr>
        <w:t>המבי"ט</w:t>
      </w:r>
      <w:r>
        <w:rPr>
          <w:rFonts w:hint="cs"/>
          <w:rtl/>
        </w:rPr>
        <w:t xml:space="preserve"> דכיון שאמר נזכרתי אינו נאמן אף שיש לו עדים, </w:t>
      </w:r>
      <w:r w:rsidRPr="009F28B1">
        <w:rPr>
          <w:rStyle w:val="afb"/>
          <w:rFonts w:hint="cs"/>
          <w:rtl/>
        </w:rPr>
        <w:t xml:space="preserve">[כיון שאף לדבריו בטענתו הראשונה הוא הודה שלא פרע], </w:t>
      </w:r>
      <w:r>
        <w:rPr>
          <w:rFonts w:hint="cs"/>
          <w:rtl/>
        </w:rPr>
        <w:t xml:space="preserve">ורק כשחזר וטען שמתחילה ידע שלוה ופרע, ומה שטען לא לויתי הוא כיון שרצה להפטר בטענה זו, </w:t>
      </w:r>
      <w:r w:rsidRPr="009F28B1">
        <w:rPr>
          <w:rStyle w:val="afb"/>
          <w:rFonts w:hint="cs"/>
          <w:rtl/>
        </w:rPr>
        <w:t xml:space="preserve">[וא"כ לטענתו הוא לא התכוון מעולם להודות שלא פרע], </w:t>
      </w:r>
      <w:r>
        <w:rPr>
          <w:rFonts w:hint="cs"/>
          <w:rtl/>
        </w:rPr>
        <w:t>לכן נאמן כשיש לו עדים שלוה ופרע.</w:t>
      </w:r>
      <w:bookmarkEnd w:id="13335"/>
    </w:p>
    <w:p w:rsidR="00EC445E" w:rsidRPr="00013B59" w:rsidRDefault="00EC445E" w:rsidP="00EC445E">
      <w:pPr>
        <w:pStyle w:val="1"/>
        <w:rPr>
          <w:rtl/>
        </w:rPr>
      </w:pPr>
      <w:bookmarkStart w:id="13336" w:name="_Toc62074364"/>
      <w:bookmarkStart w:id="13337" w:name="_Toc62160803"/>
      <w:bookmarkStart w:id="13338" w:name="_Toc62385998"/>
      <w:bookmarkStart w:id="13339" w:name="_Toc62420135"/>
      <w:bookmarkStart w:id="13340" w:name="_Toc62452628"/>
      <w:bookmarkStart w:id="13341" w:name="_Toc62453915"/>
      <w:bookmarkStart w:id="13342" w:name="_Toc62485655"/>
      <w:r>
        <w:rPr>
          <w:rFonts w:hint="cs"/>
          <w:rtl/>
        </w:rPr>
        <w:t>דברי הש"ך</w:t>
      </w:r>
      <w:bookmarkEnd w:id="13336"/>
      <w:bookmarkEnd w:id="13337"/>
      <w:bookmarkEnd w:id="13338"/>
      <w:bookmarkEnd w:id="13339"/>
      <w:bookmarkEnd w:id="13340"/>
      <w:bookmarkEnd w:id="13341"/>
      <w:bookmarkEnd w:id="13342"/>
      <w:r>
        <w:rPr>
          <w:rFonts w:hint="cs"/>
          <w:rtl/>
        </w:rPr>
        <w:t xml:space="preserve"> דבחוזר וטוען והוכחש לא מהני עדים דפרע</w:t>
      </w:r>
    </w:p>
    <w:p w:rsidR="00EC445E" w:rsidRDefault="00EC445E" w:rsidP="00EC445E">
      <w:pPr>
        <w:pStyle w:val="a3"/>
        <w:rPr>
          <w:rtl/>
        </w:rPr>
      </w:pPr>
      <w:bookmarkStart w:id="13343" w:name="_Toc62485656"/>
      <w:r>
        <w:rPr>
          <w:rFonts w:hint="cs"/>
          <w:rtl/>
        </w:rPr>
        <w:t>דברי הש"ך דבטען להד"ם והוכחש בעדים אינו נאמן לומר פרעתי אף כשיש לו עדים שפרע</w:t>
      </w:r>
      <w:bookmarkEnd w:id="13343"/>
    </w:p>
    <w:p w:rsidR="00EC445E" w:rsidRDefault="00EC445E" w:rsidP="007E4E81">
      <w:pPr>
        <w:pStyle w:val="a0"/>
        <w:rPr>
          <w:rtl/>
        </w:rPr>
      </w:pPr>
      <w:r>
        <w:rPr>
          <w:rFonts w:hint="cs"/>
          <w:rtl/>
        </w:rPr>
        <w:t xml:space="preserve">אבל </w:t>
      </w:r>
      <w:r w:rsidRPr="001422B9">
        <w:rPr>
          <w:rStyle w:val="af9"/>
          <w:rFonts w:hint="cs"/>
          <w:rtl/>
        </w:rPr>
        <w:t xml:space="preserve">הש"ך </w:t>
      </w:r>
      <w:r w:rsidRPr="00A4667E">
        <w:rPr>
          <w:rStyle w:val="af7"/>
          <w:rFonts w:eastAsia="Guttman Hodes" w:hint="cs"/>
          <w:rtl/>
        </w:rPr>
        <w:t>(סי' ע"ט סק"ב)</w:t>
      </w:r>
      <w:r>
        <w:rPr>
          <w:rFonts w:hint="cs"/>
          <w:rtl/>
        </w:rPr>
        <w:t xml:space="preserve"> דחה את דברי </w:t>
      </w:r>
      <w:r w:rsidRPr="001422B9">
        <w:rPr>
          <w:rStyle w:val="af9"/>
          <w:rFonts w:hint="cs"/>
          <w:rtl/>
        </w:rPr>
        <w:t>המבי"ט</w:t>
      </w:r>
      <w:r>
        <w:rPr>
          <w:rFonts w:hint="cs"/>
          <w:rtl/>
        </w:rPr>
        <w:t xml:space="preserve"> </w:t>
      </w:r>
      <w:r w:rsidRPr="003709D2">
        <w:rPr>
          <w:rStyle w:val="af7"/>
          <w:rFonts w:eastAsia="Guttman Hodes" w:hint="cs"/>
          <w:rtl/>
        </w:rPr>
        <w:t xml:space="preserve">(עי' אות </w:t>
      </w:r>
      <w:r w:rsidRPr="003709D2">
        <w:rPr>
          <w:rStyle w:val="af7"/>
          <w:rFonts w:eastAsia="Guttman Hodes"/>
          <w:rtl/>
        </w:rPr>
        <w:fldChar w:fldCharType="begin"/>
      </w:r>
      <w:r w:rsidRPr="003709D2">
        <w:rPr>
          <w:rStyle w:val="af7"/>
          <w:rFonts w:eastAsia="Guttman Hodes"/>
          <w:rtl/>
        </w:rPr>
        <w:instrText xml:space="preserve"> </w:instrText>
      </w:r>
      <w:r w:rsidRPr="003709D2">
        <w:rPr>
          <w:rStyle w:val="af7"/>
          <w:rFonts w:eastAsia="Guttman Hodes" w:hint="cs"/>
        </w:rPr>
        <w:instrText>REF</w:instrText>
      </w:r>
      <w:r w:rsidRPr="003709D2">
        <w:rPr>
          <w:rStyle w:val="af7"/>
          <w:rFonts w:eastAsia="Guttman Hodes" w:hint="cs"/>
          <w:rtl/>
        </w:rPr>
        <w:instrText xml:space="preserve"> _</w:instrText>
      </w:r>
      <w:r w:rsidRPr="003709D2">
        <w:rPr>
          <w:rStyle w:val="af7"/>
          <w:rFonts w:eastAsia="Guttman Hodes" w:hint="cs"/>
        </w:rPr>
        <w:instrText>Ref62465518 \r \h</w:instrText>
      </w:r>
      <w:r w:rsidRPr="003709D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709D2">
        <w:rPr>
          <w:rStyle w:val="af7"/>
          <w:rFonts w:eastAsia="Guttman Hodes"/>
          <w:rtl/>
        </w:rPr>
      </w:r>
      <w:r w:rsidRPr="003709D2">
        <w:rPr>
          <w:rStyle w:val="af7"/>
          <w:rFonts w:eastAsia="Guttman Hodes"/>
          <w:rtl/>
        </w:rPr>
        <w:fldChar w:fldCharType="separate"/>
      </w:r>
      <w:r w:rsidR="00265073">
        <w:rPr>
          <w:rStyle w:val="af7"/>
          <w:rFonts w:eastAsia="Guttman Hodes"/>
          <w:cs/>
        </w:rPr>
        <w:t>‎</w:t>
      </w:r>
      <w:r w:rsidR="00265073">
        <w:rPr>
          <w:rStyle w:val="af7"/>
          <w:rFonts w:eastAsia="Guttman Hodes"/>
          <w:rtl/>
        </w:rPr>
        <w:t>פז)</w:t>
      </w:r>
      <w:r w:rsidRPr="003709D2">
        <w:rPr>
          <w:rStyle w:val="af7"/>
          <w:rFonts w:eastAsia="Guttman Hodes"/>
          <w:rtl/>
        </w:rPr>
        <w:fldChar w:fldCharType="end"/>
      </w:r>
      <w:r>
        <w:rPr>
          <w:rFonts w:hint="cs"/>
          <w:rtl/>
        </w:rPr>
        <w:t xml:space="preserve"> וכתב דבטען להד"ם והוכחש ע"י עדים שלוה, דאינו נאמן לטעון לויתי ופרעתי, אף כשיש עדים שמעידים כדבריו, וכתב </w:t>
      </w:r>
      <w:r w:rsidRPr="001422B9">
        <w:rPr>
          <w:rStyle w:val="af9"/>
          <w:rFonts w:hint="cs"/>
          <w:rtl/>
        </w:rPr>
        <w:t xml:space="preserve">הש"ך דבפוסקים </w:t>
      </w:r>
      <w:r>
        <w:rPr>
          <w:rFonts w:hint="cs"/>
          <w:rtl/>
        </w:rPr>
        <w:t xml:space="preserve">לא משמע </w:t>
      </w:r>
      <w:r w:rsidRPr="001422B9">
        <w:rPr>
          <w:rStyle w:val="af9"/>
          <w:rFonts w:hint="cs"/>
          <w:rtl/>
        </w:rPr>
        <w:t>כמבי"ט</w:t>
      </w:r>
      <w:r>
        <w:rPr>
          <w:rFonts w:hint="cs"/>
          <w:rtl/>
        </w:rPr>
        <w:t xml:space="preserve">, וכתב </w:t>
      </w:r>
      <w:r w:rsidRPr="001422B9">
        <w:rPr>
          <w:rStyle w:val="af9"/>
          <w:rFonts w:hint="cs"/>
          <w:rtl/>
        </w:rPr>
        <w:t>הש"ך</w:t>
      </w:r>
      <w:r>
        <w:rPr>
          <w:rFonts w:hint="cs"/>
          <w:rtl/>
        </w:rPr>
        <w:t xml:space="preserve"> דמה שהביא </w:t>
      </w:r>
      <w:r w:rsidRPr="001422B9">
        <w:rPr>
          <w:rStyle w:val="af9"/>
          <w:rFonts w:hint="cs"/>
          <w:rtl/>
        </w:rPr>
        <w:t>המבי"ט</w:t>
      </w:r>
      <w:r>
        <w:rPr>
          <w:rFonts w:hint="cs"/>
          <w:rtl/>
        </w:rPr>
        <w:t xml:space="preserve"> </w:t>
      </w:r>
      <w:r w:rsidRPr="003709D2">
        <w:rPr>
          <w:rStyle w:val="af7"/>
          <w:rFonts w:eastAsia="Guttman Hodes" w:hint="cs"/>
          <w:rtl/>
        </w:rPr>
        <w:t xml:space="preserve">(עי' אות </w:t>
      </w:r>
      <w:r w:rsidRPr="003709D2">
        <w:rPr>
          <w:rStyle w:val="af7"/>
          <w:rFonts w:eastAsia="Guttman Hodes"/>
          <w:rtl/>
        </w:rPr>
        <w:fldChar w:fldCharType="begin"/>
      </w:r>
      <w:r w:rsidRPr="003709D2">
        <w:rPr>
          <w:rStyle w:val="af7"/>
          <w:rFonts w:eastAsia="Guttman Hodes"/>
          <w:rtl/>
        </w:rPr>
        <w:instrText xml:space="preserve"> </w:instrText>
      </w:r>
      <w:r w:rsidRPr="003709D2">
        <w:rPr>
          <w:rStyle w:val="af7"/>
          <w:rFonts w:eastAsia="Guttman Hodes" w:hint="cs"/>
        </w:rPr>
        <w:instrText>REF</w:instrText>
      </w:r>
      <w:r w:rsidRPr="003709D2">
        <w:rPr>
          <w:rStyle w:val="af7"/>
          <w:rFonts w:eastAsia="Guttman Hodes" w:hint="cs"/>
          <w:rtl/>
        </w:rPr>
        <w:instrText xml:space="preserve"> _</w:instrText>
      </w:r>
      <w:r w:rsidRPr="003709D2">
        <w:rPr>
          <w:rStyle w:val="af7"/>
          <w:rFonts w:eastAsia="Guttman Hodes" w:hint="cs"/>
        </w:rPr>
        <w:instrText>Ref62465531 \r \h</w:instrText>
      </w:r>
      <w:r w:rsidRPr="003709D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709D2">
        <w:rPr>
          <w:rStyle w:val="af7"/>
          <w:rFonts w:eastAsia="Guttman Hodes"/>
          <w:rtl/>
        </w:rPr>
      </w:r>
      <w:r w:rsidRPr="003709D2">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3709D2">
        <w:rPr>
          <w:rStyle w:val="af7"/>
          <w:rFonts w:eastAsia="Guttman Hodes"/>
          <w:rtl/>
        </w:rPr>
        <w:fldChar w:fldCharType="end"/>
      </w:r>
      <w:r>
        <w:rPr>
          <w:rFonts w:hint="cs"/>
          <w:rtl/>
        </w:rPr>
        <w:t xml:space="preserve"> ראיה מדברי </w:t>
      </w:r>
      <w:r w:rsidRPr="001422B9">
        <w:rPr>
          <w:rStyle w:val="af9"/>
          <w:rFonts w:hint="cs"/>
          <w:rtl/>
        </w:rPr>
        <w:t>המ"מ</w:t>
      </w:r>
      <w:r>
        <w:rPr>
          <w:rFonts w:hint="cs"/>
          <w:rtl/>
        </w:rPr>
        <w:t xml:space="preserve">, כבר דחה </w:t>
      </w:r>
      <w:r w:rsidRPr="001422B9">
        <w:rPr>
          <w:rStyle w:val="af9"/>
          <w:rFonts w:hint="cs"/>
          <w:rtl/>
        </w:rPr>
        <w:t>המבי"ט</w:t>
      </w:r>
      <w:r>
        <w:rPr>
          <w:rFonts w:hint="cs"/>
          <w:rtl/>
        </w:rPr>
        <w:t xml:space="preserve"> עצמו </w:t>
      </w:r>
      <w:r w:rsidRPr="00D4130E">
        <w:rPr>
          <w:rtl/>
        </w:rPr>
        <w:t xml:space="preserve">דכוונת </w:t>
      </w:r>
      <w:r w:rsidRPr="001422B9">
        <w:rPr>
          <w:rStyle w:val="af9"/>
          <w:rtl/>
        </w:rPr>
        <w:t>המ"מ</w:t>
      </w:r>
      <w:r w:rsidRPr="00D4130E">
        <w:rPr>
          <w:rtl/>
        </w:rPr>
        <w:t xml:space="preserve"> לומר דאחר שהתחייב בב"ד אינו נאמן אח"כ כשטוען פרעתי</w:t>
      </w:r>
      <w:r>
        <w:rPr>
          <w:rFonts w:hint="cs"/>
          <w:rtl/>
        </w:rPr>
        <w:t xml:space="preserve"> </w:t>
      </w:r>
      <w:r w:rsidRPr="00D4130E">
        <w:rPr>
          <w:rtl/>
        </w:rPr>
        <w:t>בלא עדים</w:t>
      </w:r>
      <w:r>
        <w:rPr>
          <w:rFonts w:hint="cs"/>
          <w:rtl/>
        </w:rPr>
        <w:t>.</w:t>
      </w:r>
    </w:p>
    <w:p w:rsidR="00F522E6" w:rsidRPr="00F522E6" w:rsidRDefault="00F522E6" w:rsidP="00F522E6">
      <w:pPr>
        <w:pStyle w:val="a3"/>
        <w:rPr>
          <w:rtl/>
        </w:rPr>
      </w:pPr>
    </w:p>
    <w:p w:rsidR="00F522E6" w:rsidRPr="00F522E6" w:rsidRDefault="00F522E6" w:rsidP="00F522E6">
      <w:pPr>
        <w:pStyle w:val="a3"/>
        <w:rPr>
          <w:rtl/>
        </w:rPr>
      </w:pPr>
    </w:p>
    <w:p w:rsidR="00F522E6" w:rsidRPr="00F522E6" w:rsidRDefault="00F522E6" w:rsidP="00F522E6">
      <w:pPr>
        <w:pStyle w:val="a3"/>
        <w:rPr>
          <w:rtl/>
        </w:rPr>
      </w:pPr>
    </w:p>
    <w:p w:rsidR="00EC445E" w:rsidRDefault="00EC445E" w:rsidP="00EC445E">
      <w:pPr>
        <w:pStyle w:val="a3"/>
        <w:rPr>
          <w:rtl/>
        </w:rPr>
      </w:pPr>
      <w:bookmarkStart w:id="13344" w:name="_Toc62485657"/>
      <w:r>
        <w:rPr>
          <w:rFonts w:hint="cs"/>
          <w:rtl/>
        </w:rPr>
        <w:lastRenderedPageBreak/>
        <w:t>ביאור הש"ך ברמ"ה דרק אם לאחר שחזר וטען פרעתי באו עדים שלוה נאמן בעידי פרעון</w:t>
      </w:r>
      <w:bookmarkEnd w:id="13344"/>
    </w:p>
    <w:p w:rsidR="00EC445E" w:rsidRDefault="00EC445E" w:rsidP="007E4E81">
      <w:pPr>
        <w:pStyle w:val="a0"/>
        <w:rPr>
          <w:rStyle w:val="afb"/>
          <w:rtl/>
        </w:rPr>
      </w:pPr>
      <w:bookmarkStart w:id="13345" w:name="_Ref62637730"/>
      <w:r>
        <w:rPr>
          <w:rFonts w:hint="cs"/>
          <w:rtl/>
        </w:rPr>
        <w:t xml:space="preserve">ובמה שהביא </w:t>
      </w:r>
      <w:r w:rsidRPr="001422B9">
        <w:rPr>
          <w:rStyle w:val="af9"/>
          <w:rFonts w:hint="cs"/>
          <w:rtl/>
        </w:rPr>
        <w:t>המבי"ט</w:t>
      </w:r>
      <w:r>
        <w:rPr>
          <w:rFonts w:hint="cs"/>
          <w:rtl/>
        </w:rPr>
        <w:t xml:space="preserve"> </w:t>
      </w:r>
      <w:r w:rsidRPr="003709D2">
        <w:rPr>
          <w:rStyle w:val="af7"/>
          <w:rFonts w:eastAsia="Guttman Hodes" w:hint="cs"/>
          <w:rtl/>
        </w:rPr>
        <w:t xml:space="preserve">(עי' אות </w:t>
      </w:r>
      <w:r w:rsidRPr="003709D2">
        <w:rPr>
          <w:rStyle w:val="af7"/>
          <w:rFonts w:eastAsia="Guttman Hodes"/>
          <w:rtl/>
        </w:rPr>
        <w:fldChar w:fldCharType="begin"/>
      </w:r>
      <w:r w:rsidRPr="003709D2">
        <w:rPr>
          <w:rStyle w:val="af7"/>
          <w:rFonts w:eastAsia="Guttman Hodes"/>
          <w:rtl/>
        </w:rPr>
        <w:instrText xml:space="preserve"> </w:instrText>
      </w:r>
      <w:r w:rsidRPr="003709D2">
        <w:rPr>
          <w:rStyle w:val="af7"/>
          <w:rFonts w:eastAsia="Guttman Hodes" w:hint="cs"/>
        </w:rPr>
        <w:instrText>REF</w:instrText>
      </w:r>
      <w:r w:rsidRPr="003709D2">
        <w:rPr>
          <w:rStyle w:val="af7"/>
          <w:rFonts w:eastAsia="Guttman Hodes" w:hint="cs"/>
          <w:rtl/>
        </w:rPr>
        <w:instrText xml:space="preserve"> _</w:instrText>
      </w:r>
      <w:r w:rsidRPr="003709D2">
        <w:rPr>
          <w:rStyle w:val="af7"/>
          <w:rFonts w:eastAsia="Guttman Hodes" w:hint="cs"/>
        </w:rPr>
        <w:instrText>Ref62465543 \r \h</w:instrText>
      </w:r>
      <w:r w:rsidRPr="003709D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709D2">
        <w:rPr>
          <w:rStyle w:val="af7"/>
          <w:rFonts w:eastAsia="Guttman Hodes"/>
          <w:rtl/>
        </w:rPr>
      </w:r>
      <w:r w:rsidRPr="003709D2">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3709D2">
        <w:rPr>
          <w:rStyle w:val="af7"/>
          <w:rFonts w:eastAsia="Guttman Hodes"/>
          <w:rtl/>
        </w:rPr>
        <w:fldChar w:fldCharType="end"/>
      </w:r>
      <w:r>
        <w:rPr>
          <w:rFonts w:hint="cs"/>
          <w:rtl/>
        </w:rPr>
        <w:t xml:space="preserve"> ראיה מדברי </w:t>
      </w:r>
      <w:r w:rsidRPr="00426C82">
        <w:rPr>
          <w:rStyle w:val="af9"/>
          <w:rFonts w:hint="cs"/>
          <w:rtl/>
        </w:rPr>
        <w:t>היד רמ"ה</w:t>
      </w:r>
      <w:r>
        <w:rPr>
          <w:rFonts w:hint="cs"/>
          <w:rtl/>
        </w:rPr>
        <w:t xml:space="preserve"> </w:t>
      </w:r>
      <w:r w:rsidRPr="003709D2">
        <w:rPr>
          <w:rStyle w:val="af7"/>
          <w:rFonts w:eastAsia="Guttman Hodes" w:hint="cs"/>
          <w:rtl/>
        </w:rPr>
        <w:t>(עי' אות</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Ref62324951 \r \h</w:instrText>
      </w:r>
      <w:r>
        <w:rPr>
          <w:rtl/>
        </w:rPr>
        <w:instrText xml:space="preserve">  \* </w:instrText>
      </w:r>
      <w:r>
        <w:instrText>MERGEFORMAT</w:instrText>
      </w:r>
      <w:r>
        <w:rPr>
          <w:rtl/>
        </w:rPr>
        <w:instrText xml:space="preserve"> </w:instrText>
      </w:r>
      <w:r>
        <w:rPr>
          <w:rtl/>
        </w:rPr>
      </w:r>
      <w:r>
        <w:rPr>
          <w:rtl/>
        </w:rPr>
        <w:fldChar w:fldCharType="separate"/>
      </w:r>
      <w:r w:rsidR="00265073">
        <w:rPr>
          <w:cs/>
        </w:rPr>
        <w:t>‎</w:t>
      </w:r>
      <w:r w:rsidR="00265073" w:rsidRPr="00265073">
        <w:rPr>
          <w:rStyle w:val="af7"/>
          <w:rFonts w:eastAsia="Guttman Hodes"/>
          <w:rtl/>
        </w:rPr>
        <w:t>ס)</w:t>
      </w:r>
      <w:r>
        <w:rPr>
          <w:rtl/>
        </w:rPr>
        <w:fldChar w:fldCharType="end"/>
      </w:r>
      <w:r>
        <w:rPr>
          <w:rFonts w:hint="cs"/>
          <w:rtl/>
        </w:rPr>
        <w:t xml:space="preserve">, דחה </w:t>
      </w:r>
      <w:r w:rsidRPr="001422B9">
        <w:rPr>
          <w:rStyle w:val="af9"/>
          <w:rFonts w:hint="cs"/>
          <w:rtl/>
        </w:rPr>
        <w:t>הש"ך</w:t>
      </w:r>
      <w:r>
        <w:rPr>
          <w:rFonts w:hint="cs"/>
          <w:rtl/>
        </w:rPr>
        <w:t xml:space="preserve"> דבדברי </w:t>
      </w:r>
      <w:r w:rsidRPr="001422B9">
        <w:rPr>
          <w:rStyle w:val="af9"/>
          <w:rFonts w:hint="cs"/>
          <w:rtl/>
        </w:rPr>
        <w:t>הטור</w:t>
      </w:r>
      <w:r>
        <w:rPr>
          <w:rFonts w:hint="cs"/>
          <w:rtl/>
        </w:rPr>
        <w:t xml:space="preserve"> </w:t>
      </w:r>
      <w:r w:rsidRPr="001422B9">
        <w:rPr>
          <w:rStyle w:val="af7"/>
          <w:rFonts w:eastAsia="Guttman Hodes" w:hint="cs"/>
          <w:rtl/>
        </w:rPr>
        <w:t>(סי' פ')</w:t>
      </w:r>
      <w:r>
        <w:rPr>
          <w:rFonts w:hint="cs"/>
          <w:rtl/>
        </w:rPr>
        <w:t xml:space="preserve"> מוכח דכ"מ דכתב </w:t>
      </w:r>
      <w:r w:rsidRPr="001422B9">
        <w:rPr>
          <w:rStyle w:val="af9"/>
          <w:rFonts w:hint="cs"/>
          <w:rtl/>
        </w:rPr>
        <w:t>הרמ"ה</w:t>
      </w:r>
      <w:r>
        <w:rPr>
          <w:rFonts w:hint="cs"/>
          <w:rtl/>
        </w:rPr>
        <w:t xml:space="preserve"> דהוא נאמן בראיה על טענתו האחרונה, היינו דוקא באופן שהעדים באו אחר שחזר וטען</w:t>
      </w:r>
      <w:r w:rsidRPr="007B613A">
        <w:rPr>
          <w:rFonts w:hint="cs"/>
          <w:rtl/>
        </w:rPr>
        <w:t>, אבל אם אחר טענתו הראשונה הכחישוהו העדים, ואח"כ חזר וטען, אינו נאמן אף אם הביא עדים שמעידים כטענתו האחרונה,</w:t>
      </w:r>
      <w:r w:rsidRPr="007B613A">
        <w:rPr>
          <w:rStyle w:val="afb"/>
          <w:rFonts w:hint="cs"/>
          <w:rtl/>
        </w:rPr>
        <w:t xml:space="preserve"> [דהא הוא הוחזק כפרן לאותו ממון], </w:t>
      </w:r>
      <w:r w:rsidRPr="007B613A">
        <w:rPr>
          <w:rFonts w:hint="cs"/>
          <w:rtl/>
        </w:rPr>
        <w:t xml:space="preserve">וכדהביא </w:t>
      </w:r>
      <w:r w:rsidRPr="007B613A">
        <w:rPr>
          <w:rStyle w:val="af9"/>
          <w:rFonts w:hint="cs"/>
          <w:rtl/>
        </w:rPr>
        <w:t>המבי"ט</w:t>
      </w:r>
      <w:r w:rsidRPr="007B613A">
        <w:rPr>
          <w:rFonts w:hint="cs"/>
          <w:rtl/>
        </w:rPr>
        <w:t xml:space="preserve"> </w:t>
      </w:r>
      <w:r w:rsidRPr="007B613A">
        <w:rPr>
          <w:rStyle w:val="af7"/>
          <w:rFonts w:eastAsia="Guttman Hodes" w:hint="cs"/>
          <w:rtl/>
        </w:rPr>
        <w:t xml:space="preserve">(עי' אות </w:t>
      </w:r>
      <w:r w:rsidRPr="007B613A">
        <w:rPr>
          <w:rStyle w:val="af7"/>
          <w:rFonts w:eastAsia="Guttman Hodes"/>
          <w:rtl/>
        </w:rPr>
        <w:fldChar w:fldCharType="begin"/>
      </w:r>
      <w:r w:rsidRPr="007B613A">
        <w:rPr>
          <w:rStyle w:val="af7"/>
          <w:rFonts w:eastAsia="Guttman Hodes"/>
          <w:rtl/>
        </w:rPr>
        <w:instrText xml:space="preserve"> </w:instrText>
      </w:r>
      <w:r w:rsidRPr="007B613A">
        <w:rPr>
          <w:rStyle w:val="af7"/>
          <w:rFonts w:eastAsia="Guttman Hodes" w:hint="cs"/>
        </w:rPr>
        <w:instrText>REF</w:instrText>
      </w:r>
      <w:r w:rsidRPr="007B613A">
        <w:rPr>
          <w:rStyle w:val="af7"/>
          <w:rFonts w:eastAsia="Guttman Hodes" w:hint="cs"/>
          <w:rtl/>
        </w:rPr>
        <w:instrText xml:space="preserve"> _</w:instrText>
      </w:r>
      <w:r w:rsidRPr="007B613A">
        <w:rPr>
          <w:rStyle w:val="af7"/>
          <w:rFonts w:eastAsia="Guttman Hodes" w:hint="cs"/>
        </w:rPr>
        <w:instrText>Ref62465586 \r \h</w:instrText>
      </w:r>
      <w:r w:rsidRPr="007B613A">
        <w:rPr>
          <w:rStyle w:val="af7"/>
          <w:rFonts w:eastAsia="Guttman Hodes"/>
          <w:rtl/>
        </w:rPr>
        <w:instrText xml:space="preserve">  \* </w:instrText>
      </w:r>
      <w:r w:rsidRPr="007B613A">
        <w:rPr>
          <w:rStyle w:val="af7"/>
          <w:rFonts w:eastAsia="Guttman Hodes"/>
        </w:rPr>
        <w:instrText>MERGEFORMAT</w:instrText>
      </w:r>
      <w:r w:rsidRPr="007B613A">
        <w:rPr>
          <w:rStyle w:val="af7"/>
          <w:rFonts w:eastAsia="Guttman Hodes"/>
          <w:rtl/>
        </w:rPr>
        <w:instrText xml:space="preserve"> </w:instrText>
      </w:r>
      <w:r w:rsidRPr="007B613A">
        <w:rPr>
          <w:rStyle w:val="af7"/>
          <w:rFonts w:eastAsia="Guttman Hodes"/>
          <w:rtl/>
        </w:rPr>
      </w:r>
      <w:r w:rsidRPr="007B613A">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7B613A">
        <w:rPr>
          <w:rStyle w:val="af7"/>
          <w:rFonts w:eastAsia="Guttman Hodes"/>
          <w:rtl/>
        </w:rPr>
        <w:fldChar w:fldCharType="end"/>
      </w:r>
      <w:r w:rsidRPr="007B613A">
        <w:rPr>
          <w:rFonts w:hint="cs"/>
          <w:rtl/>
        </w:rPr>
        <w:t xml:space="preserve"> דכ"כ </w:t>
      </w:r>
      <w:r w:rsidRPr="007B613A">
        <w:rPr>
          <w:rStyle w:val="af9"/>
          <w:rFonts w:hint="cs"/>
          <w:rtl/>
        </w:rPr>
        <w:t>הריב"ש</w:t>
      </w:r>
      <w:r w:rsidRPr="007B613A">
        <w:rPr>
          <w:rFonts w:hint="cs"/>
          <w:rtl/>
        </w:rPr>
        <w:t>, וא"צ לדחוק דכוונת</w:t>
      </w:r>
      <w:r>
        <w:rPr>
          <w:rFonts w:hint="cs"/>
          <w:rtl/>
        </w:rPr>
        <w:t xml:space="preserve"> </w:t>
      </w:r>
      <w:r w:rsidRPr="007B613A">
        <w:rPr>
          <w:rStyle w:val="af9"/>
          <w:rFonts w:hint="cs"/>
          <w:rtl/>
        </w:rPr>
        <w:t>הריב"ש</w:t>
      </w:r>
      <w:r w:rsidRPr="007B613A">
        <w:rPr>
          <w:rFonts w:hint="cs"/>
          <w:rtl/>
        </w:rPr>
        <w:t xml:space="preserve"> רק בטוען נזכרתי. </w:t>
      </w:r>
      <w:r w:rsidRPr="007B613A">
        <w:rPr>
          <w:rStyle w:val="afb"/>
          <w:rFonts w:hint="cs"/>
          <w:rtl/>
        </w:rPr>
        <w:t xml:space="preserve">[והוסיף </w:t>
      </w:r>
      <w:r w:rsidRPr="007B613A">
        <w:rPr>
          <w:rStyle w:val="affa"/>
          <w:rFonts w:hint="cs"/>
          <w:rtl/>
        </w:rPr>
        <w:t>הש"ך</w:t>
      </w:r>
      <w:r w:rsidRPr="007B613A">
        <w:rPr>
          <w:rStyle w:val="afb"/>
          <w:rFonts w:hint="cs"/>
          <w:rtl/>
        </w:rPr>
        <w:t xml:space="preserve"> דהא כתב </w:t>
      </w:r>
      <w:r w:rsidRPr="007B613A">
        <w:rPr>
          <w:rStyle w:val="affa"/>
          <w:rFonts w:hint="cs"/>
          <w:rtl/>
        </w:rPr>
        <w:t>הטור</w:t>
      </w:r>
      <w:r w:rsidRPr="007B613A">
        <w:rPr>
          <w:rStyle w:val="afb"/>
          <w:rFonts w:hint="cs"/>
          <w:rtl/>
        </w:rPr>
        <w:t xml:space="preserve"> </w:t>
      </w:r>
      <w:r w:rsidRPr="00211F85">
        <w:rPr>
          <w:rStyle w:val="aff6"/>
          <w:rFonts w:hint="cs"/>
          <w:rtl/>
        </w:rPr>
        <w:t xml:space="preserve">(עי' אות </w:t>
      </w:r>
      <w:r w:rsidRPr="00211F85">
        <w:rPr>
          <w:rStyle w:val="aff6"/>
          <w:rtl/>
        </w:rPr>
        <w:fldChar w:fldCharType="begin"/>
      </w:r>
      <w:r w:rsidRPr="00211F85">
        <w:rPr>
          <w:rStyle w:val="aff6"/>
          <w:rtl/>
        </w:rPr>
        <w:instrText xml:space="preserve"> </w:instrText>
      </w:r>
      <w:r w:rsidRPr="00211F85">
        <w:rPr>
          <w:rStyle w:val="aff6"/>
          <w:rFonts w:hint="cs"/>
        </w:rPr>
        <w:instrText>REF</w:instrText>
      </w:r>
      <w:r w:rsidRPr="00211F85">
        <w:rPr>
          <w:rStyle w:val="aff6"/>
          <w:rFonts w:hint="cs"/>
          <w:rtl/>
        </w:rPr>
        <w:instrText xml:space="preserve"> _</w:instrText>
      </w:r>
      <w:r w:rsidRPr="00211F85">
        <w:rPr>
          <w:rStyle w:val="aff6"/>
          <w:rFonts w:hint="cs"/>
        </w:rPr>
        <w:instrText>Ref62462385 \r \h</w:instrText>
      </w:r>
      <w:r w:rsidRPr="00211F85">
        <w:rPr>
          <w:rStyle w:val="aff6"/>
          <w:rtl/>
        </w:rPr>
        <w:instrText xml:space="preserve"> </w:instrText>
      </w:r>
      <w:r w:rsidRPr="00211F85">
        <w:rPr>
          <w:rStyle w:val="aff6"/>
          <w:rtl/>
        </w:rPr>
      </w:r>
      <w:r w:rsidRPr="00211F85">
        <w:rPr>
          <w:rStyle w:val="aff6"/>
          <w:rtl/>
        </w:rPr>
        <w:fldChar w:fldCharType="separate"/>
      </w:r>
      <w:r w:rsidR="00265073">
        <w:rPr>
          <w:rStyle w:val="aff6"/>
          <w:cs/>
        </w:rPr>
        <w:t>‎</w:t>
      </w:r>
      <w:r w:rsidR="00265073">
        <w:rPr>
          <w:rStyle w:val="aff6"/>
          <w:rtl/>
        </w:rPr>
        <w:t>סג)</w:t>
      </w:r>
      <w:r w:rsidRPr="00211F85">
        <w:rPr>
          <w:rStyle w:val="aff6"/>
          <w:rtl/>
        </w:rPr>
        <w:fldChar w:fldCharType="end"/>
      </w:r>
      <w:r w:rsidRPr="00890FA2">
        <w:rPr>
          <w:rStyle w:val="afb"/>
          <w:rFonts w:hint="cs"/>
          <w:rtl/>
        </w:rPr>
        <w:t xml:space="preserve"> </w:t>
      </w:r>
      <w:r w:rsidRPr="00211F85">
        <w:rPr>
          <w:rStyle w:val="affa"/>
          <w:rFonts w:hint="cs"/>
          <w:rtl/>
        </w:rPr>
        <w:t>דהר"י מגאש</w:t>
      </w:r>
      <w:r>
        <w:rPr>
          <w:rFonts w:hint="cs"/>
          <w:rtl/>
        </w:rPr>
        <w:t xml:space="preserve"> </w:t>
      </w:r>
      <w:r w:rsidRPr="00211F85">
        <w:rPr>
          <w:rStyle w:val="aff6"/>
          <w:rFonts w:hint="cs"/>
          <w:rtl/>
        </w:rPr>
        <w:t xml:space="preserve">(עי' אות </w:t>
      </w:r>
      <w:r w:rsidRPr="00211F85">
        <w:rPr>
          <w:rStyle w:val="aff6"/>
          <w:rtl/>
        </w:rPr>
        <w:fldChar w:fldCharType="begin"/>
      </w:r>
      <w:r w:rsidRPr="00211F85">
        <w:rPr>
          <w:rStyle w:val="aff6"/>
          <w:rtl/>
        </w:rPr>
        <w:instrText xml:space="preserve"> </w:instrText>
      </w:r>
      <w:r w:rsidRPr="00211F85">
        <w:rPr>
          <w:rStyle w:val="aff6"/>
          <w:rFonts w:hint="cs"/>
        </w:rPr>
        <w:instrText>REF</w:instrText>
      </w:r>
      <w:r w:rsidRPr="00211F85">
        <w:rPr>
          <w:rStyle w:val="aff6"/>
          <w:rFonts w:hint="cs"/>
          <w:rtl/>
        </w:rPr>
        <w:instrText xml:space="preserve"> _</w:instrText>
      </w:r>
      <w:r w:rsidRPr="00211F85">
        <w:rPr>
          <w:rStyle w:val="aff6"/>
          <w:rFonts w:hint="cs"/>
        </w:rPr>
        <w:instrText>Ref61987752 \r \h</w:instrText>
      </w:r>
      <w:r w:rsidRPr="00211F85">
        <w:rPr>
          <w:rStyle w:val="aff6"/>
          <w:rtl/>
        </w:rPr>
        <w:instrText xml:space="preserve"> </w:instrText>
      </w:r>
      <w:r w:rsidRPr="00211F85">
        <w:rPr>
          <w:rStyle w:val="aff6"/>
          <w:rtl/>
        </w:rPr>
      </w:r>
      <w:r w:rsidRPr="00211F85">
        <w:rPr>
          <w:rStyle w:val="aff6"/>
          <w:rtl/>
        </w:rPr>
        <w:fldChar w:fldCharType="separate"/>
      </w:r>
      <w:r w:rsidR="00265073">
        <w:rPr>
          <w:rStyle w:val="aff6"/>
          <w:cs/>
        </w:rPr>
        <w:t>‎</w:t>
      </w:r>
      <w:r w:rsidR="00265073">
        <w:rPr>
          <w:rStyle w:val="aff6"/>
          <w:rtl/>
        </w:rPr>
        <w:t>מא)</w:t>
      </w:r>
      <w:r w:rsidRPr="00211F85">
        <w:rPr>
          <w:rStyle w:val="aff6"/>
          <w:rtl/>
        </w:rPr>
        <w:fldChar w:fldCharType="end"/>
      </w:r>
      <w:r>
        <w:rPr>
          <w:rStyle w:val="af9"/>
          <w:rFonts w:hint="cs"/>
          <w:rtl/>
        </w:rPr>
        <w:t xml:space="preserve"> </w:t>
      </w:r>
      <w:r w:rsidRPr="00211F85">
        <w:rPr>
          <w:rStyle w:val="affa"/>
          <w:rFonts w:hint="cs"/>
          <w:rtl/>
        </w:rPr>
        <w:t>והרמב"ם</w:t>
      </w:r>
      <w:r>
        <w:rPr>
          <w:rFonts w:hint="cs"/>
          <w:rtl/>
        </w:rPr>
        <w:t xml:space="preserve"> </w:t>
      </w:r>
      <w:r w:rsidRPr="00211F85">
        <w:rPr>
          <w:rStyle w:val="aff6"/>
          <w:rFonts w:hint="cs"/>
          <w:rtl/>
        </w:rPr>
        <w:t xml:space="preserve">(עי' אות </w:t>
      </w:r>
      <w:r w:rsidRPr="00211F85">
        <w:rPr>
          <w:rStyle w:val="aff6"/>
          <w:rtl/>
        </w:rPr>
        <w:fldChar w:fldCharType="begin"/>
      </w:r>
      <w:r w:rsidRPr="00211F85">
        <w:rPr>
          <w:rStyle w:val="aff6"/>
          <w:rtl/>
        </w:rPr>
        <w:instrText xml:space="preserve"> </w:instrText>
      </w:r>
      <w:r w:rsidRPr="00211F85">
        <w:rPr>
          <w:rStyle w:val="aff6"/>
          <w:rFonts w:hint="cs"/>
        </w:rPr>
        <w:instrText>REF</w:instrText>
      </w:r>
      <w:r w:rsidRPr="00211F85">
        <w:rPr>
          <w:rStyle w:val="aff6"/>
          <w:rFonts w:hint="cs"/>
          <w:rtl/>
        </w:rPr>
        <w:instrText xml:space="preserve"> _</w:instrText>
      </w:r>
      <w:r w:rsidRPr="00211F85">
        <w:rPr>
          <w:rStyle w:val="aff6"/>
          <w:rFonts w:hint="cs"/>
        </w:rPr>
        <w:instrText>Ref62124167 \r \h</w:instrText>
      </w:r>
      <w:r w:rsidRPr="00211F85">
        <w:rPr>
          <w:rStyle w:val="aff6"/>
          <w:rtl/>
        </w:rPr>
        <w:instrText xml:space="preserve"> </w:instrText>
      </w:r>
      <w:r w:rsidRPr="00211F85">
        <w:rPr>
          <w:rStyle w:val="aff6"/>
          <w:rtl/>
        </w:rPr>
      </w:r>
      <w:r w:rsidRPr="00211F85">
        <w:rPr>
          <w:rStyle w:val="aff6"/>
          <w:rtl/>
        </w:rPr>
        <w:fldChar w:fldCharType="separate"/>
      </w:r>
      <w:r w:rsidR="00265073">
        <w:rPr>
          <w:rStyle w:val="aff6"/>
          <w:cs/>
        </w:rPr>
        <w:t>‎</w:t>
      </w:r>
      <w:r w:rsidR="00265073">
        <w:rPr>
          <w:rStyle w:val="aff6"/>
          <w:rtl/>
        </w:rPr>
        <w:t>מו)</w:t>
      </w:r>
      <w:r w:rsidRPr="00211F85">
        <w:rPr>
          <w:rStyle w:val="aff6"/>
          <w:rtl/>
        </w:rPr>
        <w:fldChar w:fldCharType="end"/>
      </w:r>
      <w:r>
        <w:rPr>
          <w:rStyle w:val="aff6"/>
          <w:rFonts w:hint="cs"/>
          <w:rtl/>
        </w:rPr>
        <w:t xml:space="preserve"> </w:t>
      </w:r>
      <w:r w:rsidRPr="00890FA2">
        <w:rPr>
          <w:rStyle w:val="afb"/>
          <w:rFonts w:hint="cs"/>
          <w:rtl/>
        </w:rPr>
        <w:t xml:space="preserve">פליגי על </w:t>
      </w:r>
      <w:r w:rsidRPr="00426C82">
        <w:rPr>
          <w:rStyle w:val="affa"/>
          <w:rFonts w:hint="cs"/>
          <w:rtl/>
        </w:rPr>
        <w:t>הרמ"ה</w:t>
      </w:r>
      <w:r w:rsidRPr="00890FA2">
        <w:rPr>
          <w:rStyle w:val="afb"/>
          <w:rFonts w:hint="cs"/>
          <w:rtl/>
        </w:rPr>
        <w:t xml:space="preserve">, וס"ל דאף כשאין לו עדים שמעידים כטענתו האחרונה, הוא נאמן לטעון את </w:t>
      </w:r>
      <w:r w:rsidRPr="00890FA2">
        <w:rPr>
          <w:rStyle w:val="afb"/>
          <w:rFonts w:hint="cs"/>
          <w:rtl/>
        </w:rPr>
        <w:t xml:space="preserve">טענתו האחרונה, אעפ"י שיש עדים שהכחישו את טענתו הראשונה, ומוכח דאיירי באופן שבאו העדים אחר שחזר וטען, וא"כ אף </w:t>
      </w:r>
      <w:r w:rsidRPr="00426C82">
        <w:rPr>
          <w:rStyle w:val="affa"/>
          <w:rFonts w:hint="cs"/>
          <w:rtl/>
        </w:rPr>
        <w:t>הרמ"ה</w:t>
      </w:r>
      <w:r w:rsidRPr="00890FA2">
        <w:rPr>
          <w:rStyle w:val="afb"/>
          <w:rFonts w:hint="cs"/>
          <w:rtl/>
        </w:rPr>
        <w:t xml:space="preserve"> דכתב דמהני ראיה, היינו דוקא באופן שבאו העדים אחר שחזר וטען].</w:t>
      </w:r>
      <w:bookmarkEnd w:id="13345"/>
    </w:p>
    <w:p w:rsidR="00EC445E" w:rsidRPr="004C5B75" w:rsidRDefault="00EC445E" w:rsidP="00EC445E">
      <w:pPr>
        <w:pStyle w:val="a3"/>
        <w:rPr>
          <w:rtl/>
        </w:rPr>
      </w:pPr>
      <w:bookmarkStart w:id="13346" w:name="_Toc62485658"/>
      <w:r>
        <w:rPr>
          <w:rFonts w:hint="cs"/>
          <w:rtl/>
        </w:rPr>
        <w:t>דברי הש"ך דבפוסקים משמע דבאומר לא לויתי לא נאמן בעידי פרעון בטוען שלוה ופרע</w:t>
      </w:r>
      <w:bookmarkEnd w:id="13346"/>
    </w:p>
    <w:p w:rsidR="00EC445E" w:rsidRDefault="00EC445E" w:rsidP="007E4E81">
      <w:pPr>
        <w:pStyle w:val="a0"/>
        <w:rPr>
          <w:rtl/>
        </w:rPr>
      </w:pPr>
      <w:bookmarkStart w:id="13347" w:name="_Ref62382855"/>
      <w:r>
        <w:rPr>
          <w:rFonts w:hint="cs"/>
          <w:rtl/>
        </w:rPr>
        <w:t xml:space="preserve">ובמ"ש </w:t>
      </w:r>
      <w:r w:rsidRPr="00B51321">
        <w:rPr>
          <w:rStyle w:val="af9"/>
          <w:rFonts w:hint="cs"/>
          <w:rtl/>
        </w:rPr>
        <w:t>המבי"ט</w:t>
      </w:r>
      <w:r>
        <w:rPr>
          <w:rFonts w:hint="cs"/>
          <w:rtl/>
        </w:rPr>
        <w:t xml:space="preserve"> </w:t>
      </w:r>
      <w:r w:rsidRPr="009E24DA">
        <w:rPr>
          <w:rStyle w:val="af7"/>
          <w:rFonts w:eastAsia="Guttman Hodes" w:hint="cs"/>
          <w:rtl/>
        </w:rPr>
        <w:t xml:space="preserve">(עי' אות </w:t>
      </w:r>
      <w:r w:rsidRPr="009E24DA">
        <w:rPr>
          <w:rStyle w:val="af7"/>
          <w:rFonts w:eastAsia="Guttman Hodes"/>
          <w:rtl/>
        </w:rPr>
        <w:fldChar w:fldCharType="begin"/>
      </w:r>
      <w:r w:rsidRPr="009E24DA">
        <w:rPr>
          <w:rStyle w:val="af7"/>
          <w:rFonts w:eastAsia="Guttman Hodes"/>
          <w:rtl/>
        </w:rPr>
        <w:instrText xml:space="preserve"> </w:instrText>
      </w:r>
      <w:r w:rsidRPr="009E24DA">
        <w:rPr>
          <w:rStyle w:val="af7"/>
          <w:rFonts w:eastAsia="Guttman Hodes" w:hint="cs"/>
        </w:rPr>
        <w:instrText>REF</w:instrText>
      </w:r>
      <w:r w:rsidRPr="009E24DA">
        <w:rPr>
          <w:rStyle w:val="af7"/>
          <w:rFonts w:eastAsia="Guttman Hodes" w:hint="cs"/>
          <w:rtl/>
        </w:rPr>
        <w:instrText xml:space="preserve"> _</w:instrText>
      </w:r>
      <w:r w:rsidRPr="009E24DA">
        <w:rPr>
          <w:rStyle w:val="af7"/>
          <w:rFonts w:eastAsia="Guttman Hodes" w:hint="cs"/>
        </w:rPr>
        <w:instrText>Ref62382800 \r \h</w:instrText>
      </w:r>
      <w:r w:rsidRPr="009E24DA">
        <w:rPr>
          <w:rStyle w:val="af7"/>
          <w:rFonts w:eastAsia="Guttman Hodes"/>
          <w:rtl/>
        </w:rPr>
        <w:instrText xml:space="preserve"> </w:instrText>
      </w:r>
      <w:r w:rsidRPr="009E24DA">
        <w:rPr>
          <w:rStyle w:val="af7"/>
          <w:rFonts w:eastAsia="Guttman Hodes"/>
          <w:rtl/>
        </w:rPr>
      </w:r>
      <w:r w:rsidRPr="009E24DA">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sidRPr="009E24DA">
        <w:rPr>
          <w:rStyle w:val="af7"/>
          <w:rFonts w:eastAsia="Guttman Hodes"/>
          <w:rtl/>
        </w:rPr>
        <w:fldChar w:fldCharType="end"/>
      </w:r>
      <w:r>
        <w:rPr>
          <w:rFonts w:hint="cs"/>
          <w:rtl/>
        </w:rPr>
        <w:t xml:space="preserve"> דמ"ש </w:t>
      </w:r>
      <w:r w:rsidRPr="00B51321">
        <w:rPr>
          <w:rStyle w:val="af9"/>
          <w:rFonts w:hint="cs"/>
          <w:rtl/>
        </w:rPr>
        <w:t>הרמב"ם</w:t>
      </w:r>
      <w:r>
        <w:rPr>
          <w:rFonts w:hint="cs"/>
          <w:rtl/>
        </w:rPr>
        <w:t xml:space="preserve"> דהאומר לא לויתי, ובאו עדים שלוה ופרע, דחייב הלוה לשלם, איירי דוקא באופן שהלוה עדיין טוען שלא לוה, ולא חזר וטען לויתי ופרעתי, דחה </w:t>
      </w:r>
      <w:r w:rsidRPr="001422B9">
        <w:rPr>
          <w:rStyle w:val="af9"/>
          <w:rFonts w:hint="cs"/>
          <w:rtl/>
        </w:rPr>
        <w:t>הש"ך</w:t>
      </w:r>
      <w:r>
        <w:rPr>
          <w:rFonts w:hint="cs"/>
          <w:rtl/>
        </w:rPr>
        <w:t xml:space="preserve"> דמסתימת </w:t>
      </w:r>
      <w:r w:rsidRPr="001422B9">
        <w:rPr>
          <w:rStyle w:val="af9"/>
          <w:rFonts w:hint="cs"/>
          <w:rtl/>
        </w:rPr>
        <w:t>כל הפוסקים</w:t>
      </w:r>
      <w:r>
        <w:rPr>
          <w:rFonts w:hint="cs"/>
          <w:rtl/>
        </w:rPr>
        <w:t xml:space="preserve"> לא משמע כן, וכתב </w:t>
      </w:r>
      <w:r w:rsidRPr="001422B9">
        <w:rPr>
          <w:rStyle w:val="af9"/>
          <w:rFonts w:hint="cs"/>
          <w:rtl/>
        </w:rPr>
        <w:t>הש"ך</w:t>
      </w:r>
      <w:r>
        <w:rPr>
          <w:rFonts w:hint="cs"/>
          <w:rtl/>
        </w:rPr>
        <w:t xml:space="preserve"> דכן מוכח </w:t>
      </w:r>
      <w:r w:rsidRPr="001422B9">
        <w:rPr>
          <w:rStyle w:val="af9"/>
          <w:rFonts w:hint="cs"/>
          <w:rtl/>
        </w:rPr>
        <w:t>בספר התרומות</w:t>
      </w:r>
      <w:r>
        <w:rPr>
          <w:rFonts w:hint="cs"/>
          <w:rtl/>
        </w:rPr>
        <w:t xml:space="preserve"> </w:t>
      </w:r>
      <w:r w:rsidRPr="001422B9">
        <w:rPr>
          <w:rStyle w:val="af7"/>
          <w:rFonts w:eastAsia="Guttman Hodes" w:hint="cs"/>
          <w:rtl/>
        </w:rPr>
        <w:t>(שער י"א ח"א סי' ב')</w:t>
      </w:r>
      <w:r>
        <w:rPr>
          <w:rFonts w:hint="cs"/>
          <w:rtl/>
        </w:rPr>
        <w:t xml:space="preserve"> </w:t>
      </w:r>
      <w:r w:rsidRPr="001422B9">
        <w:rPr>
          <w:rStyle w:val="af9"/>
          <w:rFonts w:hint="cs"/>
          <w:rtl/>
        </w:rPr>
        <w:t>ובנימוק"י לקמן</w:t>
      </w:r>
      <w:r>
        <w:rPr>
          <w:rFonts w:hint="cs"/>
          <w:rtl/>
        </w:rPr>
        <w:t xml:space="preserve"> </w:t>
      </w:r>
      <w:r w:rsidRPr="001422B9">
        <w:rPr>
          <w:rStyle w:val="af7"/>
          <w:rFonts w:eastAsia="Guttman Hodes" w:hint="cs"/>
          <w:rtl/>
        </w:rPr>
        <w:t>(פב. מדה"ר)</w:t>
      </w:r>
      <w:r>
        <w:rPr>
          <w:rFonts w:hint="cs"/>
          <w:rtl/>
        </w:rPr>
        <w:t xml:space="preserve"> עיי"ש בדבריו.</w:t>
      </w:r>
      <w:bookmarkEnd w:id="13347"/>
    </w:p>
    <w:p w:rsidR="00EC445E" w:rsidRPr="00DB2EE4" w:rsidRDefault="00EC445E" w:rsidP="007E4E81">
      <w:pPr>
        <w:pStyle w:val="a0"/>
        <w:rPr>
          <w:rtl/>
        </w:rPr>
        <w:sectPr w:rsidR="00EC445E" w:rsidRPr="00DB2EE4" w:rsidSect="005049E2">
          <w:type w:val="continuous"/>
          <w:pgSz w:w="11906" w:h="16838"/>
          <w:pgMar w:top="720" w:right="720" w:bottom="720" w:left="720" w:header="283" w:footer="283" w:gutter="0"/>
          <w:cols w:num="2" w:space="567"/>
          <w:titlePg/>
          <w:bidi/>
          <w:rtlGutter/>
          <w:docGrid w:linePitch="299"/>
        </w:sectPr>
      </w:pPr>
    </w:p>
    <w:p w:rsidR="00EC445E" w:rsidRDefault="00EC445E" w:rsidP="00EC445E">
      <w:pPr>
        <w:tabs>
          <w:tab w:val="left" w:pos="1163"/>
        </w:tabs>
        <w:spacing w:after="120" w:line="240" w:lineRule="auto"/>
        <w:ind w:left="0"/>
        <w:rPr>
          <w:rFonts w:ascii="Guttman Hodes" w:eastAsia="Guttman Hodes" w:hAnsi="Guttman Hodes" w:cs="Guttman Hodes"/>
          <w:noProof/>
          <w:sz w:val="18"/>
          <w:szCs w:val="18"/>
        </w:rPr>
        <w:sectPr w:rsidR="00EC445E" w:rsidSect="00AE06CB">
          <w:type w:val="continuous"/>
          <w:pgSz w:w="11906" w:h="16838"/>
          <w:pgMar w:top="720" w:right="720" w:bottom="720" w:left="720" w:header="283" w:footer="283" w:gutter="0"/>
          <w:cols w:space="567"/>
          <w:bidi/>
          <w:rtlGutter/>
          <w:docGrid w:linePitch="299"/>
        </w:sectPr>
      </w:pPr>
    </w:p>
    <w:p w:rsidR="00EC445E" w:rsidRPr="00D47CE7" w:rsidRDefault="00E949D5" w:rsidP="00EC445E">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7" type="#_x0000_t75" style="width:404.55pt;height:6.8pt" o:hrpct="0" o:hralign="center" o:hr="t">
            <v:imagedata r:id="rId24" o:title="BD14845_"/>
          </v:shape>
        </w:pict>
      </w:r>
      <w:r w:rsidR="00EC445E" w:rsidRPr="00D47CE7">
        <w:rPr>
          <w:rFonts w:ascii="Guttman Hodes" w:eastAsia="Guttman Hodes" w:hAnsi="Guttman Hodes" w:cs="Guttman Hodes" w:hint="cs"/>
          <w:noProof/>
          <w:sz w:val="18"/>
          <w:szCs w:val="18"/>
          <w:rtl/>
        </w:rPr>
        <w:t xml:space="preserve"> </w:t>
      </w:r>
    </w:p>
    <w:p w:rsidR="00EC445E" w:rsidRPr="0081356D" w:rsidRDefault="001B6519" w:rsidP="00EC445E">
      <w:pPr>
        <w:pStyle w:val="afe"/>
        <w:rPr>
          <w:rtl/>
        </w:rPr>
        <w:sectPr w:rsidR="00EC445E" w:rsidRPr="0081356D" w:rsidSect="00361B2E">
          <w:pgSz w:w="11906" w:h="16838"/>
          <w:pgMar w:top="720" w:right="720" w:bottom="720" w:left="720" w:header="283" w:footer="283" w:gutter="0"/>
          <w:cols w:space="567"/>
          <w:bidi/>
          <w:rtlGutter/>
          <w:docGrid w:linePitch="299"/>
        </w:sectPr>
      </w:pPr>
      <w:r>
        <w:rPr>
          <w:rFonts w:hint="cs"/>
          <w:rtl/>
        </w:rPr>
        <w:t>~~~~~~~ ביאורי ראשי הישיבות ~~~~~~~</w:t>
      </w:r>
      <w:r w:rsidR="00EC445E" w:rsidRPr="0081356D">
        <w:rPr>
          <w:rFonts w:hint="cs"/>
          <w:rtl/>
        </w:rPr>
        <w:t xml:space="preserve"> </w:t>
      </w:r>
    </w:p>
    <w:p w:rsidR="00EC445E" w:rsidRDefault="00EC445E" w:rsidP="00EC445E">
      <w:pPr>
        <w:pStyle w:val="afe"/>
        <w:rPr>
          <w:rtl/>
        </w:rPr>
      </w:pPr>
      <w:bookmarkStart w:id="13348" w:name="_Toc62485660"/>
      <w:bookmarkStart w:id="13349" w:name="_Toc61947162"/>
      <w:bookmarkStart w:id="13350" w:name="_Toc62074388"/>
      <w:bookmarkStart w:id="13351" w:name="_Toc62160832"/>
      <w:bookmarkStart w:id="13352" w:name="_Toc62386000"/>
      <w:bookmarkStart w:id="13353" w:name="_Toc62420137"/>
      <w:bookmarkStart w:id="13354" w:name="_Toc62452630"/>
      <w:bookmarkStart w:id="13355" w:name="_Toc62453917"/>
      <w:r>
        <w:rPr>
          <w:rFonts w:hint="cs"/>
          <w:rtl/>
        </w:rPr>
        <w:t>בפלוג' תוס' ורשב"ם במפרש חוץ לב"ד</w:t>
      </w:r>
      <w:bookmarkEnd w:id="13348"/>
    </w:p>
    <w:p w:rsidR="00EC445E" w:rsidRDefault="00EC445E" w:rsidP="00EC445E">
      <w:pPr>
        <w:pStyle w:val="1"/>
        <w:rPr>
          <w:rtl/>
        </w:rPr>
      </w:pPr>
      <w:bookmarkStart w:id="13356" w:name="_Toc62485661"/>
      <w:r>
        <w:rPr>
          <w:rFonts w:hint="cs"/>
          <w:rtl/>
        </w:rPr>
        <w:t>בי' הגרנ"פ בפלוג' הראשונים בלקחוה מאבותיך חוץ לב"ד</w:t>
      </w:r>
      <w:bookmarkEnd w:id="13356"/>
    </w:p>
    <w:p w:rsidR="00EC445E" w:rsidRDefault="00EC445E" w:rsidP="00EC445E">
      <w:pPr>
        <w:pStyle w:val="a3"/>
        <w:rPr>
          <w:rtl/>
        </w:rPr>
      </w:pPr>
      <w:bookmarkStart w:id="13357" w:name="_Toc62485662"/>
      <w:r>
        <w:rPr>
          <w:rFonts w:hint="cs"/>
          <w:rtl/>
        </w:rPr>
        <w:t>דברי הגרנ"פ דלרשב"ם נאמן לחזור חוץ לב"ד בלקחוה ולרבינו יונה ולרשב"א ולרמב"ם לא נמן</w:t>
      </w:r>
      <w:bookmarkEnd w:id="13357"/>
    </w:p>
    <w:p w:rsidR="00EC445E" w:rsidRDefault="00EC445E" w:rsidP="007E4E81">
      <w:pPr>
        <w:pStyle w:val="a0"/>
      </w:pPr>
      <w:bookmarkStart w:id="13358" w:name="_Ref62467737"/>
      <w:r>
        <w:rPr>
          <w:rFonts w:hint="cs"/>
          <w:rtl/>
        </w:rPr>
        <w:t xml:space="preserve">במ"ש </w:t>
      </w:r>
      <w:r>
        <w:rPr>
          <w:rStyle w:val="af9"/>
          <w:rtl/>
        </w:rPr>
        <w:t>ר"י בתוס'</w:t>
      </w:r>
      <w:r>
        <w:rPr>
          <w:rFonts w:hint="cs"/>
          <w:rtl/>
        </w:rPr>
        <w:t xml:space="preserve"> </w:t>
      </w:r>
      <w:r w:rsidRPr="001A041B">
        <w:rPr>
          <w:rStyle w:val="af7"/>
          <w:rFonts w:eastAsia="Guttman Hodes" w:hint="cs"/>
          <w:rtl/>
        </w:rPr>
        <w:t xml:space="preserve">(עי' אות </w:t>
      </w:r>
      <w:r w:rsidRPr="001A041B">
        <w:rPr>
          <w:rStyle w:val="af7"/>
          <w:rFonts w:eastAsia="Guttman Hodes"/>
          <w:rtl/>
        </w:rPr>
        <w:fldChar w:fldCharType="begin"/>
      </w:r>
      <w:r w:rsidRPr="001A041B">
        <w:rPr>
          <w:rStyle w:val="af7"/>
          <w:rFonts w:eastAsia="Guttman Hodes"/>
          <w:rtl/>
        </w:rPr>
        <w:instrText xml:space="preserve"> </w:instrText>
      </w:r>
      <w:r w:rsidRPr="001A041B">
        <w:rPr>
          <w:rStyle w:val="af7"/>
          <w:rFonts w:eastAsia="Guttman Hodes" w:hint="cs"/>
        </w:rPr>
        <w:instrText>REF</w:instrText>
      </w:r>
      <w:r w:rsidRPr="001A041B">
        <w:rPr>
          <w:rStyle w:val="af7"/>
          <w:rFonts w:eastAsia="Guttman Hodes" w:hint="cs"/>
          <w:rtl/>
        </w:rPr>
        <w:instrText xml:space="preserve"> _</w:instrText>
      </w:r>
      <w:r w:rsidRPr="001A041B">
        <w:rPr>
          <w:rStyle w:val="af7"/>
          <w:rFonts w:eastAsia="Guttman Hodes" w:hint="cs"/>
        </w:rPr>
        <w:instrText>Ref62403787 \r \h</w:instrText>
      </w:r>
      <w:r w:rsidRPr="001A041B">
        <w:rPr>
          <w:rStyle w:val="af7"/>
          <w:rFonts w:eastAsia="Guttman Hodes"/>
          <w:rtl/>
        </w:rPr>
        <w:instrText xml:space="preserve"> </w:instrText>
      </w:r>
      <w:r w:rsidRPr="001A041B">
        <w:rPr>
          <w:rStyle w:val="af7"/>
          <w:rFonts w:eastAsia="Guttman Hodes"/>
          <w:rtl/>
        </w:rPr>
      </w:r>
      <w:r w:rsidRPr="001A041B">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1A041B">
        <w:rPr>
          <w:rStyle w:val="af7"/>
          <w:rFonts w:eastAsia="Guttman Hodes"/>
          <w:rtl/>
        </w:rPr>
        <w:fldChar w:fldCharType="end"/>
      </w:r>
      <w:r>
        <w:rPr>
          <w:rFonts w:hint="cs"/>
          <w:rtl/>
        </w:rPr>
        <w:t xml:space="preserve"> דיש להסתפק אי מודו נהרדעי אף באופן שיצא חוץ לב"ד, וחזר לב"ד, אי יכול לחזור ולטעון או לא, כתב </w:t>
      </w:r>
      <w:r>
        <w:rPr>
          <w:rStyle w:val="af9"/>
          <w:rtl/>
        </w:rPr>
        <w:t>בחי'</w:t>
      </w:r>
      <w:r>
        <w:rPr>
          <w:rFonts w:hint="cs"/>
          <w:rtl/>
        </w:rPr>
        <w:t xml:space="preserve"> </w:t>
      </w:r>
      <w:r>
        <w:rPr>
          <w:rStyle w:val="af9"/>
          <w:rtl/>
        </w:rPr>
        <w:t>רבי</w:t>
      </w:r>
      <w:r>
        <w:rPr>
          <w:rFonts w:hint="cs"/>
          <w:rtl/>
        </w:rPr>
        <w:t xml:space="preserve"> </w:t>
      </w:r>
      <w:r>
        <w:rPr>
          <w:rStyle w:val="af9"/>
          <w:rtl/>
        </w:rPr>
        <w:t>נחום</w:t>
      </w:r>
      <w:r>
        <w:rPr>
          <w:rFonts w:hint="cs"/>
          <w:rtl/>
        </w:rPr>
        <w:t xml:space="preserve"> </w:t>
      </w:r>
      <w:r>
        <w:rPr>
          <w:rStyle w:val="af7"/>
          <w:rFonts w:eastAsia="Guttman Hodes" w:hint="cs"/>
          <w:rtl/>
        </w:rPr>
        <w:t>(או' פ"ח)</w:t>
      </w:r>
      <w:r>
        <w:rPr>
          <w:rFonts w:hint="cs"/>
          <w:rtl/>
        </w:rPr>
        <w:t xml:space="preserve"> דמדכתב </w:t>
      </w:r>
      <w:r>
        <w:rPr>
          <w:rStyle w:val="af9"/>
          <w:rtl/>
        </w:rPr>
        <w:t>הרשב"ם</w:t>
      </w:r>
      <w:r>
        <w:rPr>
          <w:rStyle w:val="afb"/>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Ref62035828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יד</w:t>
      </w:r>
      <w:r w:rsidR="00265073">
        <w:rPr>
          <w:rStyle w:val="af7"/>
          <w:rFonts w:eastAsia="Guttman Hodes"/>
          <w:rtl/>
        </w:rPr>
        <w:t>)</w:t>
      </w:r>
      <w:r>
        <w:rPr>
          <w:rStyle w:val="af7"/>
          <w:rFonts w:eastAsia="Guttman Hodes" w:hint="cs"/>
          <w:rtl/>
        </w:rPr>
        <w:fldChar w:fldCharType="end"/>
      </w:r>
      <w:r>
        <w:rPr>
          <w:rStyle w:val="afb"/>
          <w:rtl/>
        </w:rPr>
        <w:t xml:space="preserve"> </w:t>
      </w:r>
      <w:r>
        <w:rPr>
          <w:rFonts w:hint="cs"/>
          <w:rtl/>
        </w:rPr>
        <w:t xml:space="preserve">דאינו נאמן לחזור ולטעון אחר שיצא מב"ד, כיון שהוא מכחיש את דבריו הראשונים במקצת, א"כ משמע דכבחוזר וטוען של אבותי שלקחוה מאבותיך נאמן, </w:t>
      </w:r>
      <w:r w:rsidRPr="0036179D">
        <w:rPr>
          <w:rStyle w:val="afb"/>
          <w:rFonts w:hint="cs"/>
          <w:rtl/>
        </w:rPr>
        <w:t xml:space="preserve">[וכ"כ </w:t>
      </w:r>
      <w:r w:rsidRPr="0085139E">
        <w:rPr>
          <w:rStyle w:val="affa"/>
          <w:rFonts w:hint="cs"/>
          <w:rtl/>
        </w:rPr>
        <w:t>הגרעק"א</w:t>
      </w:r>
      <w:r w:rsidRPr="0036179D">
        <w:rPr>
          <w:rStyle w:val="afb"/>
          <w:rFonts w:hint="cs"/>
          <w:rtl/>
        </w:rPr>
        <w:t xml:space="preserve"> </w:t>
      </w:r>
      <w:r w:rsidRPr="0085139E">
        <w:rPr>
          <w:rStyle w:val="aff6"/>
          <w:rFonts w:hint="cs"/>
          <w:rtl/>
        </w:rPr>
        <w:t xml:space="preserve">(עי' אות </w:t>
      </w:r>
      <w:r w:rsidRPr="0085139E">
        <w:rPr>
          <w:rStyle w:val="aff6"/>
          <w:rtl/>
        </w:rPr>
        <w:fldChar w:fldCharType="begin"/>
      </w:r>
      <w:r w:rsidRPr="0085139E">
        <w:rPr>
          <w:rStyle w:val="aff6"/>
          <w:rtl/>
        </w:rPr>
        <w:instrText xml:space="preserve"> </w:instrText>
      </w:r>
      <w:r w:rsidRPr="0085139E">
        <w:rPr>
          <w:rStyle w:val="aff6"/>
          <w:rFonts w:hint="cs"/>
        </w:rPr>
        <w:instrText>REF</w:instrText>
      </w:r>
      <w:r w:rsidRPr="0085139E">
        <w:rPr>
          <w:rStyle w:val="aff6"/>
          <w:rFonts w:hint="cs"/>
          <w:rtl/>
        </w:rPr>
        <w:instrText xml:space="preserve"> _</w:instrText>
      </w:r>
      <w:r w:rsidRPr="0085139E">
        <w:rPr>
          <w:rStyle w:val="aff6"/>
          <w:rFonts w:hint="cs"/>
        </w:rPr>
        <w:instrText>Ref62469333 \r \h</w:instrText>
      </w:r>
      <w:r w:rsidRPr="0085139E">
        <w:rPr>
          <w:rStyle w:val="aff6"/>
          <w:rtl/>
        </w:rPr>
        <w:instrText xml:space="preserve"> </w:instrText>
      </w:r>
      <w:r w:rsidRPr="0085139E">
        <w:rPr>
          <w:rStyle w:val="aff6"/>
          <w:rtl/>
        </w:rPr>
      </w:r>
      <w:r w:rsidRPr="0085139E">
        <w:rPr>
          <w:rStyle w:val="aff6"/>
          <w:rtl/>
        </w:rPr>
        <w:fldChar w:fldCharType="separate"/>
      </w:r>
      <w:r w:rsidR="00265073">
        <w:rPr>
          <w:rStyle w:val="aff6"/>
          <w:cs/>
        </w:rPr>
        <w:t>‎</w:t>
      </w:r>
      <w:r w:rsidR="00265073">
        <w:rPr>
          <w:rStyle w:val="aff6"/>
          <w:rtl/>
        </w:rPr>
        <w:t>טז)</w:t>
      </w:r>
      <w:r w:rsidRPr="0085139E">
        <w:rPr>
          <w:rStyle w:val="aff6"/>
          <w:rtl/>
        </w:rPr>
        <w:fldChar w:fldCharType="end"/>
      </w:r>
      <w:r w:rsidRPr="0036179D">
        <w:rPr>
          <w:rStyle w:val="afb"/>
          <w:rFonts w:hint="cs"/>
          <w:rtl/>
        </w:rPr>
        <w:t>],</w:t>
      </w:r>
      <w:r>
        <w:rPr>
          <w:rFonts w:hint="cs"/>
          <w:rtl/>
        </w:rPr>
        <w:t xml:space="preserve"> אך כתב </w:t>
      </w:r>
      <w:r w:rsidRPr="004C4C9F">
        <w:rPr>
          <w:rStyle w:val="af9"/>
          <w:rFonts w:hint="cs"/>
          <w:rtl/>
        </w:rPr>
        <w:t>בחי' רבי</w:t>
      </w:r>
      <w:r>
        <w:rPr>
          <w:rFonts w:hint="cs"/>
          <w:rtl/>
        </w:rPr>
        <w:t xml:space="preserve"> </w:t>
      </w:r>
      <w:r w:rsidRPr="004C4C9F">
        <w:rPr>
          <w:rStyle w:val="af9"/>
          <w:rFonts w:hint="cs"/>
          <w:rtl/>
        </w:rPr>
        <w:t>נחום</w:t>
      </w:r>
      <w:r>
        <w:rPr>
          <w:rFonts w:hint="cs"/>
          <w:rtl/>
        </w:rPr>
        <w:t xml:space="preserve"> דמדברי </w:t>
      </w:r>
      <w:r>
        <w:rPr>
          <w:rStyle w:val="af9"/>
          <w:rFonts w:hint="cs"/>
          <w:rtl/>
        </w:rPr>
        <w:t>ד</w:t>
      </w:r>
      <w:r w:rsidRPr="004C4C9F">
        <w:rPr>
          <w:rStyle w:val="af9"/>
          <w:rFonts w:hint="cs"/>
          <w:rtl/>
        </w:rPr>
        <w:t>רבינו יונה</w:t>
      </w:r>
      <w:r>
        <w:rPr>
          <w:rFonts w:hint="cs"/>
          <w:rtl/>
        </w:rPr>
        <w:t xml:space="preserve"> </w:t>
      </w:r>
      <w:r w:rsidRPr="00573FC7">
        <w:rPr>
          <w:rStyle w:val="af7"/>
          <w:rFonts w:eastAsia="Guttman Hodes" w:hint="cs"/>
          <w:rtl/>
        </w:rPr>
        <w:t xml:space="preserve">(עי' אות </w:t>
      </w:r>
      <w:r w:rsidRPr="00573FC7">
        <w:rPr>
          <w:rStyle w:val="af7"/>
          <w:rFonts w:eastAsia="Guttman Hodes"/>
          <w:rtl/>
        </w:rPr>
        <w:fldChar w:fldCharType="begin"/>
      </w:r>
      <w:r w:rsidRPr="00573FC7">
        <w:rPr>
          <w:rStyle w:val="af7"/>
          <w:rFonts w:eastAsia="Guttman Hodes"/>
          <w:rtl/>
        </w:rPr>
        <w:instrText xml:space="preserve"> </w:instrText>
      </w:r>
      <w:r w:rsidRPr="00573FC7">
        <w:rPr>
          <w:rStyle w:val="af7"/>
          <w:rFonts w:eastAsia="Guttman Hodes" w:hint="cs"/>
        </w:rPr>
        <w:instrText>REF</w:instrText>
      </w:r>
      <w:r w:rsidRPr="00573FC7">
        <w:rPr>
          <w:rStyle w:val="af7"/>
          <w:rFonts w:eastAsia="Guttman Hodes" w:hint="cs"/>
          <w:rtl/>
        </w:rPr>
        <w:instrText xml:space="preserve"> _</w:instrText>
      </w:r>
      <w:r w:rsidRPr="00573FC7">
        <w:rPr>
          <w:rStyle w:val="af7"/>
          <w:rFonts w:eastAsia="Guttman Hodes" w:hint="cs"/>
        </w:rPr>
        <w:instrText>Ref62467679 \r \h</w:instrText>
      </w:r>
      <w:r w:rsidRPr="00573FC7">
        <w:rPr>
          <w:rStyle w:val="af7"/>
          <w:rFonts w:eastAsia="Guttman Hodes"/>
          <w:rtl/>
        </w:rPr>
        <w:instrText xml:space="preserve"> </w:instrText>
      </w:r>
      <w:r w:rsidRPr="00573FC7">
        <w:rPr>
          <w:rStyle w:val="af7"/>
          <w:rFonts w:eastAsia="Guttman Hodes"/>
          <w:rtl/>
        </w:rPr>
      </w:r>
      <w:r w:rsidRPr="00573FC7">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573FC7">
        <w:rPr>
          <w:rStyle w:val="af7"/>
          <w:rFonts w:eastAsia="Guttman Hodes"/>
          <w:rtl/>
        </w:rPr>
        <w:fldChar w:fldCharType="end"/>
      </w:r>
      <w:r>
        <w:rPr>
          <w:rFonts w:hint="cs"/>
          <w:rtl/>
        </w:rPr>
        <w:t xml:space="preserve"> </w:t>
      </w:r>
      <w:r w:rsidRPr="004C4C9F">
        <w:rPr>
          <w:rStyle w:val="af9"/>
          <w:rFonts w:hint="cs"/>
          <w:rtl/>
        </w:rPr>
        <w:t>והרשב"א</w:t>
      </w:r>
      <w:r>
        <w:rPr>
          <w:rFonts w:hint="cs"/>
          <w:rtl/>
        </w:rPr>
        <w:t xml:space="preserve"> </w:t>
      </w:r>
      <w:r w:rsidRPr="00573FC7">
        <w:rPr>
          <w:rStyle w:val="af7"/>
          <w:rFonts w:eastAsia="Guttman Hodes" w:hint="cs"/>
          <w:rtl/>
        </w:rPr>
        <w:t xml:space="preserve">(עי' אות </w:t>
      </w:r>
      <w:r w:rsidRPr="00573FC7">
        <w:rPr>
          <w:rStyle w:val="af7"/>
          <w:rFonts w:eastAsia="Guttman Hodes"/>
          <w:rtl/>
        </w:rPr>
        <w:fldChar w:fldCharType="begin"/>
      </w:r>
      <w:r w:rsidRPr="00573FC7">
        <w:rPr>
          <w:rStyle w:val="af7"/>
          <w:rFonts w:eastAsia="Guttman Hodes"/>
          <w:rtl/>
        </w:rPr>
        <w:instrText xml:space="preserve"> </w:instrText>
      </w:r>
      <w:r w:rsidRPr="00573FC7">
        <w:rPr>
          <w:rStyle w:val="af7"/>
          <w:rFonts w:eastAsia="Guttman Hodes" w:hint="cs"/>
        </w:rPr>
        <w:instrText>REF</w:instrText>
      </w:r>
      <w:r w:rsidRPr="00573FC7">
        <w:rPr>
          <w:rStyle w:val="af7"/>
          <w:rFonts w:eastAsia="Guttman Hodes" w:hint="cs"/>
          <w:rtl/>
        </w:rPr>
        <w:instrText xml:space="preserve"> _</w:instrText>
      </w:r>
      <w:r w:rsidRPr="00573FC7">
        <w:rPr>
          <w:rStyle w:val="af7"/>
          <w:rFonts w:eastAsia="Guttman Hodes" w:hint="cs"/>
        </w:rPr>
        <w:instrText>Ref62467686 \r \h</w:instrText>
      </w:r>
      <w:r w:rsidRPr="00573FC7">
        <w:rPr>
          <w:rStyle w:val="af7"/>
          <w:rFonts w:eastAsia="Guttman Hodes"/>
          <w:rtl/>
        </w:rPr>
        <w:instrText xml:space="preserve"> </w:instrText>
      </w:r>
      <w:r w:rsidRPr="00573FC7">
        <w:rPr>
          <w:rStyle w:val="af7"/>
          <w:rFonts w:eastAsia="Guttman Hodes"/>
          <w:rtl/>
        </w:rPr>
      </w:r>
      <w:r w:rsidRPr="00573FC7">
        <w:rPr>
          <w:rStyle w:val="af7"/>
          <w:rFonts w:eastAsia="Guttman Hodes"/>
          <w:rtl/>
        </w:rPr>
        <w:fldChar w:fldCharType="separate"/>
      </w:r>
      <w:r w:rsidR="00265073">
        <w:rPr>
          <w:rStyle w:val="af7"/>
          <w:rFonts w:eastAsia="Guttman Hodes"/>
          <w:cs/>
        </w:rPr>
        <w:t>‎</w:t>
      </w:r>
      <w:r w:rsidR="00265073">
        <w:rPr>
          <w:rStyle w:val="af7"/>
          <w:rFonts w:eastAsia="Guttman Hodes"/>
          <w:rtl/>
        </w:rPr>
        <w:t>כב)</w:t>
      </w:r>
      <w:r w:rsidRPr="00573FC7">
        <w:rPr>
          <w:rStyle w:val="af7"/>
          <w:rFonts w:eastAsia="Guttman Hodes"/>
          <w:rtl/>
        </w:rPr>
        <w:fldChar w:fldCharType="end"/>
      </w:r>
      <w:r>
        <w:rPr>
          <w:rFonts w:hint="cs"/>
          <w:rtl/>
        </w:rPr>
        <w:t xml:space="preserve"> כתבו דאינו נאמן, וכן משמע מדברי </w:t>
      </w:r>
      <w:r w:rsidRPr="004C4C9F">
        <w:rPr>
          <w:rStyle w:val="af9"/>
          <w:rFonts w:hint="cs"/>
          <w:rtl/>
        </w:rPr>
        <w:t>הרמב"ם</w:t>
      </w:r>
      <w:r w:rsidRPr="0036179D">
        <w:rPr>
          <w:rStyle w:val="af7"/>
          <w:rFonts w:eastAsia="Guttman Hodes" w:hint="cs"/>
          <w:rtl/>
        </w:rPr>
        <w:t xml:space="preserve"> (טו"נ פט"ו ה"ו) </w:t>
      </w:r>
      <w:r>
        <w:rPr>
          <w:rFonts w:hint="cs"/>
          <w:rtl/>
        </w:rPr>
        <w:t xml:space="preserve">דכתב דנאמן לחזור ולטעון דסמיך עלה כדאבהתי, וכן של אבותי שלקחוה מאבותיך, וכתב </w:t>
      </w:r>
      <w:r w:rsidRPr="004C4C9F">
        <w:rPr>
          <w:rStyle w:val="af9"/>
          <w:rFonts w:hint="cs"/>
          <w:rtl/>
        </w:rPr>
        <w:t>הרמב"ם</w:t>
      </w:r>
      <w:r>
        <w:rPr>
          <w:rFonts w:hint="cs"/>
          <w:rtl/>
        </w:rPr>
        <w:t xml:space="preserve"> </w:t>
      </w:r>
      <w:r w:rsidRPr="00796504">
        <w:rPr>
          <w:rStyle w:val="af7"/>
          <w:rFonts w:eastAsia="Guttman Hodes" w:hint="cs"/>
          <w:rtl/>
        </w:rPr>
        <w:t xml:space="preserve">(עי' אות </w:t>
      </w:r>
      <w:r w:rsidRPr="00796504">
        <w:rPr>
          <w:rStyle w:val="af7"/>
          <w:rFonts w:eastAsia="Guttman Hodes"/>
          <w:rtl/>
        </w:rPr>
        <w:fldChar w:fldCharType="begin"/>
      </w:r>
      <w:r w:rsidRPr="00796504">
        <w:rPr>
          <w:rStyle w:val="af7"/>
          <w:rFonts w:eastAsia="Guttman Hodes"/>
          <w:rtl/>
        </w:rPr>
        <w:instrText xml:space="preserve"> </w:instrText>
      </w:r>
      <w:r w:rsidRPr="00796504">
        <w:rPr>
          <w:rStyle w:val="af7"/>
          <w:rFonts w:eastAsia="Guttman Hodes" w:hint="cs"/>
        </w:rPr>
        <w:instrText>REF</w:instrText>
      </w:r>
      <w:r w:rsidRPr="00796504">
        <w:rPr>
          <w:rStyle w:val="af7"/>
          <w:rFonts w:eastAsia="Guttman Hodes" w:hint="cs"/>
          <w:rtl/>
        </w:rPr>
        <w:instrText xml:space="preserve"> _</w:instrText>
      </w:r>
      <w:r w:rsidRPr="00796504">
        <w:rPr>
          <w:rStyle w:val="af7"/>
          <w:rFonts w:eastAsia="Guttman Hodes" w:hint="cs"/>
        </w:rPr>
        <w:instrText>Ref62467766 \r \h</w:instrText>
      </w:r>
      <w:r w:rsidRPr="00796504">
        <w:rPr>
          <w:rStyle w:val="af7"/>
          <w:rFonts w:eastAsia="Guttman Hodes"/>
          <w:rtl/>
        </w:rPr>
        <w:instrText xml:space="preserve"> </w:instrText>
      </w:r>
      <w:r w:rsidRPr="00796504">
        <w:rPr>
          <w:rStyle w:val="af7"/>
          <w:rFonts w:eastAsia="Guttman Hodes"/>
          <w:rtl/>
        </w:rPr>
      </w:r>
      <w:r w:rsidRPr="00796504">
        <w:rPr>
          <w:rStyle w:val="af7"/>
          <w:rFonts w:eastAsia="Guttman Hodes"/>
          <w:rtl/>
        </w:rPr>
        <w:fldChar w:fldCharType="separate"/>
      </w:r>
      <w:r w:rsidR="00265073">
        <w:rPr>
          <w:rStyle w:val="af7"/>
          <w:rFonts w:eastAsia="Guttman Hodes"/>
          <w:cs/>
        </w:rPr>
        <w:t>‎</w:t>
      </w:r>
      <w:r w:rsidR="00265073">
        <w:rPr>
          <w:rStyle w:val="af7"/>
          <w:rFonts w:eastAsia="Guttman Hodes"/>
          <w:rtl/>
        </w:rPr>
        <w:t>מז)</w:t>
      </w:r>
      <w:r w:rsidRPr="00796504">
        <w:rPr>
          <w:rStyle w:val="af7"/>
          <w:rFonts w:eastAsia="Guttman Hodes"/>
          <w:rtl/>
        </w:rPr>
        <w:fldChar w:fldCharType="end"/>
      </w:r>
      <w:r>
        <w:rPr>
          <w:rFonts w:hint="cs"/>
          <w:rtl/>
        </w:rPr>
        <w:t xml:space="preserve"> בסתמא דכל שיצא מב"ד אינו נאמן לחזור ולטעון, ומשמע דבב' הטענות שנאמן לחזור, אינו נאמן אחר שיצא מב"ד.</w:t>
      </w:r>
      <w:bookmarkEnd w:id="13358"/>
    </w:p>
    <w:p w:rsidR="00EC445E" w:rsidRDefault="00EC445E" w:rsidP="00EC445E">
      <w:pPr>
        <w:pStyle w:val="a3"/>
        <w:rPr>
          <w:rtl/>
        </w:rPr>
      </w:pPr>
      <w:bookmarkStart w:id="13359" w:name="_Toc62485663"/>
      <w:r>
        <w:rPr>
          <w:rFonts w:hint="cs"/>
          <w:rtl/>
        </w:rPr>
        <w:t>ביאור הגרנ"פ דר"י והרשב"ם נחלקו אי טענת של אבותי משמע שמעולם הייתה שלהם</w:t>
      </w:r>
      <w:bookmarkEnd w:id="13359"/>
    </w:p>
    <w:p w:rsidR="00EC445E" w:rsidRDefault="00EC445E" w:rsidP="007E4E81">
      <w:pPr>
        <w:pStyle w:val="a0"/>
        <w:rPr>
          <w:rtl/>
        </w:rPr>
      </w:pPr>
      <w:bookmarkStart w:id="13360" w:name="_Ref62469382"/>
      <w:r>
        <w:rPr>
          <w:rFonts w:hint="cs"/>
          <w:rtl/>
        </w:rPr>
        <w:t xml:space="preserve">וביאר </w:t>
      </w:r>
      <w:r w:rsidRPr="004C4C9F">
        <w:rPr>
          <w:rStyle w:val="af9"/>
          <w:rFonts w:hint="cs"/>
          <w:rtl/>
        </w:rPr>
        <w:t>בחי' רבי נחום</w:t>
      </w:r>
      <w:r>
        <w:rPr>
          <w:rFonts w:hint="cs"/>
          <w:rtl/>
        </w:rPr>
        <w:t xml:space="preserve"> דדעת </w:t>
      </w:r>
      <w:r>
        <w:rPr>
          <w:rStyle w:val="af9"/>
          <w:rtl/>
        </w:rPr>
        <w:t>ר"י בתוס'</w:t>
      </w:r>
      <w:r>
        <w:rPr>
          <w:rFonts w:hint="cs"/>
          <w:rtl/>
        </w:rPr>
        <w:t xml:space="preserve"> </w:t>
      </w:r>
      <w:r w:rsidRPr="001A041B">
        <w:rPr>
          <w:rStyle w:val="af7"/>
          <w:rFonts w:eastAsia="Guttman Hodes" w:hint="cs"/>
          <w:rtl/>
        </w:rPr>
        <w:t xml:space="preserve">(עי' אות </w:t>
      </w:r>
      <w:r w:rsidRPr="001A041B">
        <w:rPr>
          <w:rStyle w:val="af7"/>
          <w:rFonts w:eastAsia="Guttman Hodes"/>
          <w:rtl/>
        </w:rPr>
        <w:fldChar w:fldCharType="begin"/>
      </w:r>
      <w:r w:rsidRPr="001A041B">
        <w:rPr>
          <w:rStyle w:val="af7"/>
          <w:rFonts w:eastAsia="Guttman Hodes"/>
          <w:rtl/>
        </w:rPr>
        <w:instrText xml:space="preserve"> </w:instrText>
      </w:r>
      <w:r w:rsidRPr="001A041B">
        <w:rPr>
          <w:rStyle w:val="af7"/>
          <w:rFonts w:eastAsia="Guttman Hodes" w:hint="cs"/>
        </w:rPr>
        <w:instrText>REF</w:instrText>
      </w:r>
      <w:r w:rsidRPr="001A041B">
        <w:rPr>
          <w:rStyle w:val="af7"/>
          <w:rFonts w:eastAsia="Guttman Hodes" w:hint="cs"/>
          <w:rtl/>
        </w:rPr>
        <w:instrText xml:space="preserve"> _</w:instrText>
      </w:r>
      <w:r w:rsidRPr="001A041B">
        <w:rPr>
          <w:rStyle w:val="af7"/>
          <w:rFonts w:eastAsia="Guttman Hodes" w:hint="cs"/>
        </w:rPr>
        <w:instrText>Ref62403787 \r \h</w:instrText>
      </w:r>
      <w:r w:rsidRPr="001A041B">
        <w:rPr>
          <w:rStyle w:val="af7"/>
          <w:rFonts w:eastAsia="Guttman Hodes"/>
          <w:rtl/>
        </w:rPr>
        <w:instrText xml:space="preserve"> </w:instrText>
      </w:r>
      <w:r w:rsidRPr="001A041B">
        <w:rPr>
          <w:rStyle w:val="af7"/>
          <w:rFonts w:eastAsia="Guttman Hodes"/>
          <w:rtl/>
        </w:rPr>
      </w:r>
      <w:r w:rsidRPr="001A041B">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1A041B">
        <w:rPr>
          <w:rStyle w:val="af7"/>
          <w:rFonts w:eastAsia="Guttman Hodes"/>
          <w:rtl/>
        </w:rPr>
        <w:fldChar w:fldCharType="end"/>
      </w:r>
      <w:r>
        <w:rPr>
          <w:rFonts w:hint="cs"/>
          <w:rtl/>
        </w:rPr>
        <w:t xml:space="preserve"> דטענת "של אבותי", משמע בפשטות שכוונתו לומר של אבותי הייתה מעולם, ולכן כשחוזר וטוען של אבותי שלקחוה מאבותיך, הוא מכחיש קצת את דבריו הראשונים, ולכן מספקא ליה אי נאמן אחר שיצא מב"ד, אבל לדעת </w:t>
      </w:r>
      <w:r w:rsidRPr="004C4C9F">
        <w:rPr>
          <w:rStyle w:val="af9"/>
          <w:rFonts w:hint="cs"/>
          <w:rtl/>
        </w:rPr>
        <w:t>הרשב"ם</w:t>
      </w:r>
      <w:r>
        <w:rPr>
          <w:rFonts w:hint="cs"/>
          <w:rtl/>
        </w:rPr>
        <w:t xml:space="preserve"> טענת של אבותי לא משמע דהייתה של אבותיו מעולם, וביאר </w:t>
      </w:r>
      <w:r w:rsidRPr="004C4C9F">
        <w:rPr>
          <w:rStyle w:val="af9"/>
          <w:rFonts w:hint="cs"/>
          <w:rtl/>
        </w:rPr>
        <w:t>בחי' רבי נחום</w:t>
      </w:r>
      <w:r>
        <w:rPr>
          <w:rFonts w:hint="cs"/>
          <w:rtl/>
        </w:rPr>
        <w:t xml:space="preserve"> דכ"מ דהוצרך </w:t>
      </w:r>
      <w:r w:rsidRPr="00F54826">
        <w:rPr>
          <w:rStyle w:val="af9"/>
          <w:rFonts w:hint="cs"/>
          <w:rtl/>
        </w:rPr>
        <w:t xml:space="preserve">ר"י </w:t>
      </w:r>
      <w:r>
        <w:rPr>
          <w:rFonts w:hint="cs"/>
          <w:rtl/>
        </w:rPr>
        <w:t xml:space="preserve">לבאר כן הוא כיון דתירץ </w:t>
      </w:r>
      <w:r>
        <w:rPr>
          <w:rStyle w:val="af9"/>
          <w:rtl/>
        </w:rPr>
        <w:t>ר"י בתוס'</w:t>
      </w:r>
      <w:r>
        <w:rPr>
          <w:rFonts w:hint="cs"/>
          <w:rtl/>
        </w:rPr>
        <w:t xml:space="preserve"> </w:t>
      </w:r>
      <w:r>
        <w:rPr>
          <w:rStyle w:val="af7"/>
          <w:rFonts w:eastAsia="Guttman Hodes" w:hint="cs"/>
          <w:rtl/>
        </w:rPr>
        <w:t>(ד"ה</w:t>
      </w:r>
      <w:r>
        <w:rPr>
          <w:rFonts w:hint="cs"/>
          <w:rtl/>
        </w:rPr>
        <w:t xml:space="preserve"> </w:t>
      </w:r>
      <w:r>
        <w:rPr>
          <w:rStyle w:val="af7"/>
          <w:rFonts w:eastAsia="Guttman Hodes" w:hint="cs"/>
          <w:rtl/>
        </w:rPr>
        <w:t>מה לי, הובא בסימן י"ב אות נ"ב)</w:t>
      </w:r>
      <w:r>
        <w:rPr>
          <w:rFonts w:hint="cs"/>
          <w:rtl/>
        </w:rPr>
        <w:t xml:space="preserve"> דהא דלא נאמן במיגו דדר בה אביו חד יומא, וא"כ טענינן ליה של אבותי שלקחוה מאבותיך, הוא כיון שמשמע מדבריו שכוונתו לומר של אבותי הייתה מעולם, אבל לדעת </w:t>
      </w:r>
      <w:r w:rsidRPr="004C4C9F">
        <w:rPr>
          <w:rStyle w:val="af9"/>
          <w:rFonts w:hint="cs"/>
          <w:rtl/>
        </w:rPr>
        <w:t>הרשב"ם לעיל</w:t>
      </w:r>
      <w:r>
        <w:rPr>
          <w:rFonts w:hint="cs"/>
          <w:rtl/>
        </w:rPr>
        <w:t xml:space="preserve"> </w:t>
      </w:r>
      <w:r w:rsidRPr="008D28C4">
        <w:rPr>
          <w:rStyle w:val="af7"/>
          <w:rFonts w:eastAsia="Guttman Hodes" w:hint="cs"/>
          <w:rtl/>
        </w:rPr>
        <w:t>(ל: ד"ה א"ל, הובא בסימן י' אות א')</w:t>
      </w:r>
      <w:r>
        <w:rPr>
          <w:rFonts w:hint="cs"/>
          <w:rtl/>
        </w:rPr>
        <w:t xml:space="preserve"> דס"ל דלא טענינן ליה במקום שאין לו עדים דדר בה אביו חד יומא, א"כ א"צ לבאר דטענת של אבותי משמע שהייתה שלהם מעולם.</w:t>
      </w:r>
      <w:bookmarkEnd w:id="13360"/>
    </w:p>
    <w:p w:rsidR="00EC445E" w:rsidRDefault="00EC445E" w:rsidP="00EC445E">
      <w:pPr>
        <w:pStyle w:val="afe"/>
        <w:rPr>
          <w:rtl/>
        </w:rPr>
      </w:pPr>
      <w:bookmarkStart w:id="13361" w:name="_Toc62386007"/>
      <w:bookmarkStart w:id="13362" w:name="_Toc62420149"/>
      <w:bookmarkStart w:id="13363" w:name="_Toc62452642"/>
      <w:bookmarkStart w:id="13364" w:name="_Toc62453929"/>
      <w:bookmarkStart w:id="13365" w:name="_Toc62485664"/>
      <w:r>
        <w:rPr>
          <w:rFonts w:hint="cs"/>
          <w:rtl/>
        </w:rPr>
        <w:t>בפלוגתת הרשב"ם והי"מ בדין חוזר וטוען</w:t>
      </w:r>
      <w:bookmarkEnd w:id="13361"/>
      <w:bookmarkEnd w:id="13362"/>
      <w:bookmarkEnd w:id="13363"/>
      <w:bookmarkEnd w:id="13364"/>
      <w:bookmarkEnd w:id="13365"/>
    </w:p>
    <w:p w:rsidR="00EC445E" w:rsidRDefault="00EC445E" w:rsidP="00EC445E">
      <w:pPr>
        <w:pStyle w:val="1"/>
        <w:rPr>
          <w:rtl/>
        </w:rPr>
      </w:pPr>
      <w:bookmarkStart w:id="13366" w:name="_Toc62386008"/>
      <w:bookmarkStart w:id="13367" w:name="_Toc62420150"/>
      <w:bookmarkStart w:id="13368" w:name="_Toc62452643"/>
      <w:bookmarkStart w:id="13369" w:name="_Toc62453930"/>
      <w:bookmarkStart w:id="13370" w:name="_Toc62485665"/>
      <w:r>
        <w:rPr>
          <w:rFonts w:hint="cs"/>
          <w:rtl/>
        </w:rPr>
        <w:t>משמעות פלוגתת הרשב"ם והי"מ ברשב"ם בגדר חוזר וטוען</w:t>
      </w:r>
    </w:p>
    <w:p w:rsidR="00EC445E" w:rsidRDefault="00EC445E" w:rsidP="00EC445E">
      <w:pPr>
        <w:pStyle w:val="a3"/>
        <w:rPr>
          <w:rtl/>
        </w:rPr>
      </w:pPr>
      <w:bookmarkStart w:id="13371" w:name="_Toc62420105"/>
      <w:bookmarkStart w:id="13372" w:name="_Toc62452565"/>
      <w:bookmarkStart w:id="13373" w:name="_Toc62453836"/>
      <w:bookmarkStart w:id="13374" w:name="_Toc62485548"/>
      <w:r>
        <w:rPr>
          <w:rFonts w:hint="cs"/>
          <w:rtl/>
        </w:rPr>
        <w:t>דברי הרשב"ם לעיל דבחוזר וטוען ומכחיש טענותיו פוסקים את הדין כפי הטענות הראשונות</w:t>
      </w:r>
      <w:bookmarkEnd w:id="13371"/>
      <w:bookmarkEnd w:id="13372"/>
      <w:bookmarkEnd w:id="13373"/>
      <w:bookmarkEnd w:id="13374"/>
      <w:r>
        <w:rPr>
          <w:rFonts w:hint="cs"/>
          <w:rtl/>
        </w:rPr>
        <w:t xml:space="preserve"> </w:t>
      </w:r>
    </w:p>
    <w:p w:rsidR="00EC445E" w:rsidRDefault="00EC445E" w:rsidP="007E4E81">
      <w:pPr>
        <w:pStyle w:val="a0"/>
        <w:rPr>
          <w:rtl/>
        </w:rPr>
      </w:pPr>
      <w:r>
        <w:rPr>
          <w:rFonts w:hint="cs"/>
          <w:rtl/>
        </w:rPr>
        <w:t xml:space="preserve">בהא דאיתא בגמ' לעיל </w:t>
      </w:r>
      <w:r w:rsidRPr="00A327C4">
        <w:rPr>
          <w:rStyle w:val="af7"/>
          <w:rFonts w:eastAsia="Guttman Hodes" w:hint="cs"/>
          <w:rtl/>
        </w:rPr>
        <w:t xml:space="preserve">(ל.) </w:t>
      </w:r>
      <w:r>
        <w:rPr>
          <w:rFonts w:hint="cs"/>
          <w:rtl/>
        </w:rPr>
        <w:t xml:space="preserve">דבטען המחזיק שאכלה שני חזקה, והוציא המערער שטר שהמרא קמא מכר לו את השדה לפני ד' שנים, וטען המחזיק דכשטען שני חזקה, כוונתו לשני חזקה טובא ואכלה כבר ז' שנים, וקדמה חזקתו לשטר, ואמר רבא דנאמן כיון דעביד איניש דקרי לשני טובא שני חזקה, כתב </w:t>
      </w:r>
      <w:r w:rsidRPr="007D4BB7">
        <w:rPr>
          <w:rStyle w:val="af9"/>
          <w:rFonts w:hint="cs"/>
          <w:rtl/>
        </w:rPr>
        <w:t>הרשב"ם לעיל</w:t>
      </w:r>
      <w:r>
        <w:rPr>
          <w:rFonts w:hint="cs"/>
          <w:rtl/>
        </w:rPr>
        <w:t xml:space="preserve"> </w:t>
      </w:r>
      <w:r w:rsidRPr="0021000A">
        <w:rPr>
          <w:rStyle w:val="af7"/>
          <w:rFonts w:eastAsia="Guttman Hodes" w:hint="cs"/>
          <w:rtl/>
        </w:rPr>
        <w:t>(ל: ד"ה אמר רבא עביד)</w:t>
      </w:r>
      <w:r>
        <w:rPr>
          <w:rFonts w:hint="cs"/>
          <w:rtl/>
        </w:rPr>
        <w:t xml:space="preserve"> דכיון שבטענה הראשונה שטען שני חזקה, יתכן כוונתו הייתה לשני חזקה טובא, לכן כשחוזר וטוען שאכלה יותר מג' שנים, אינו נחשב חוזר וטוען, שאינו מכחיש את הטענה הראשונה שטען, ולכן אעפ"י דקיי"ל בסוגיין דאין אדם טוען בב"ד טענות, וחוזר וטוען </w:t>
      </w:r>
      <w:r>
        <w:rPr>
          <w:rFonts w:hint="cs"/>
          <w:rtl/>
        </w:rPr>
        <w:t>טענות אחרות שמכחישות את טענותיו הראשונות, ופוסקים את הדין כמו הטענות הראשונות, מ"מ כל שהביא עדים שהחזיק ז' שנים הוא נאמן, דהא אינו חוזר וטוען.</w:t>
      </w:r>
    </w:p>
    <w:p w:rsidR="00EC445E" w:rsidRPr="00DA2C97" w:rsidRDefault="00EC445E" w:rsidP="00EC445E">
      <w:pPr>
        <w:pStyle w:val="a3"/>
        <w:rPr>
          <w:rtl/>
        </w:rPr>
      </w:pPr>
      <w:bookmarkStart w:id="13375" w:name="_Toc62420106"/>
      <w:bookmarkStart w:id="13376" w:name="_Toc62452566"/>
      <w:bookmarkStart w:id="13377" w:name="_Toc62453837"/>
      <w:bookmarkStart w:id="13378" w:name="_Toc62485549"/>
      <w:r>
        <w:rPr>
          <w:rFonts w:hint="cs"/>
          <w:rtl/>
        </w:rPr>
        <w:t>משמעות הי"מ ברשב"ם לעיל דהא דאינו חוזר וטוען אינו מחמת דטענתו כהודאת בע"ד</w:t>
      </w:r>
      <w:bookmarkEnd w:id="13375"/>
      <w:bookmarkEnd w:id="13376"/>
      <w:bookmarkEnd w:id="13377"/>
      <w:bookmarkEnd w:id="13378"/>
      <w:r>
        <w:rPr>
          <w:rFonts w:hint="cs"/>
          <w:rtl/>
        </w:rPr>
        <w:t xml:space="preserve"> </w:t>
      </w:r>
    </w:p>
    <w:p w:rsidR="00EC445E" w:rsidRPr="009E7205" w:rsidRDefault="00EC445E" w:rsidP="007E4E81">
      <w:pPr>
        <w:pStyle w:val="a0"/>
        <w:rPr>
          <w:rStyle w:val="afb"/>
          <w:rtl/>
        </w:rPr>
      </w:pPr>
      <w:bookmarkStart w:id="13379" w:name="_Ref62468405"/>
      <w:r>
        <w:rPr>
          <w:rFonts w:hint="cs"/>
          <w:rtl/>
        </w:rPr>
        <w:t xml:space="preserve">והביא </w:t>
      </w:r>
      <w:r w:rsidRPr="007D4BB7">
        <w:rPr>
          <w:rStyle w:val="af9"/>
          <w:rFonts w:hint="cs"/>
          <w:rtl/>
        </w:rPr>
        <w:t>הרשב"ם לעיל</w:t>
      </w:r>
      <w:r>
        <w:rPr>
          <w:rFonts w:hint="cs"/>
          <w:rtl/>
        </w:rPr>
        <w:t xml:space="preserve"> </w:t>
      </w:r>
      <w:r w:rsidRPr="007D4BB7">
        <w:rPr>
          <w:rStyle w:val="af7"/>
          <w:rFonts w:eastAsia="Guttman Hodes" w:hint="cs"/>
          <w:rtl/>
        </w:rPr>
        <w:t>(ל: ד"ה</w:t>
      </w:r>
      <w:r>
        <w:rPr>
          <w:rStyle w:val="af7"/>
          <w:rFonts w:eastAsia="Guttman Hodes" w:hint="cs"/>
          <w:rtl/>
        </w:rPr>
        <w:t xml:space="preserve"> והני מילי)</w:t>
      </w:r>
      <w:r>
        <w:rPr>
          <w:rFonts w:hint="cs"/>
          <w:rtl/>
        </w:rPr>
        <w:t xml:space="preserve"> בשם </w:t>
      </w:r>
      <w:r w:rsidRPr="00084FD6">
        <w:rPr>
          <w:rStyle w:val="af9"/>
          <w:rFonts w:hint="cs"/>
          <w:rtl/>
        </w:rPr>
        <w:t xml:space="preserve">י"מ </w:t>
      </w:r>
      <w:r>
        <w:rPr>
          <w:rFonts w:hint="cs"/>
          <w:rtl/>
        </w:rPr>
        <w:t>דהוא נאמן לחזור ולטעון שאכלה ז' שנים, אף אם יש לו עדים רק על הג"ש האחרונות, ואינו צריך להביא עדים לכל הז' שנים, דכיון דעביד איניש דקרי לשני טובא שני חזקה, א"כ הוא נאמן שזו הייתה כוונתו בתחילה.</w:t>
      </w:r>
      <w:bookmarkEnd w:id="13379"/>
    </w:p>
    <w:p w:rsidR="00EC445E" w:rsidRDefault="00EC445E" w:rsidP="00EC445E">
      <w:pPr>
        <w:pStyle w:val="a3"/>
        <w:rPr>
          <w:rtl/>
        </w:rPr>
      </w:pPr>
      <w:bookmarkStart w:id="13380" w:name="_Toc62420107"/>
      <w:bookmarkStart w:id="13381" w:name="_Toc62452567"/>
      <w:bookmarkStart w:id="13382" w:name="_Toc62453838"/>
      <w:bookmarkStart w:id="13383" w:name="_Toc62485550"/>
      <w:r>
        <w:rPr>
          <w:rFonts w:hint="cs"/>
          <w:rtl/>
        </w:rPr>
        <w:t>דברי הרשב"ם והתוס' לעיל דבחוזר וטוען אינו נאמן דהא הודאת בע"ד כמאה עדים</w:t>
      </w:r>
      <w:bookmarkEnd w:id="13380"/>
      <w:bookmarkEnd w:id="13381"/>
      <w:bookmarkEnd w:id="13382"/>
      <w:bookmarkEnd w:id="13383"/>
    </w:p>
    <w:p w:rsidR="00EC445E" w:rsidRDefault="00EC445E" w:rsidP="007E4E81">
      <w:pPr>
        <w:pStyle w:val="a0"/>
      </w:pPr>
      <w:bookmarkStart w:id="13384" w:name="_Ref62468420"/>
      <w:r>
        <w:rPr>
          <w:rFonts w:hint="cs"/>
          <w:rtl/>
        </w:rPr>
        <w:t xml:space="preserve">ודחה </w:t>
      </w:r>
      <w:r w:rsidRPr="007D4BB7">
        <w:rPr>
          <w:rStyle w:val="af9"/>
          <w:rFonts w:hint="cs"/>
          <w:rtl/>
        </w:rPr>
        <w:t>הרשב"ם לעיל</w:t>
      </w:r>
      <w:r>
        <w:rPr>
          <w:rFonts w:hint="cs"/>
          <w:rtl/>
        </w:rPr>
        <w:t xml:space="preserve"> את דעת </w:t>
      </w:r>
      <w:r w:rsidRPr="00694335">
        <w:rPr>
          <w:rStyle w:val="af9"/>
          <w:rFonts w:hint="cs"/>
          <w:rtl/>
        </w:rPr>
        <w:t>הי"מ</w:t>
      </w:r>
      <w:r>
        <w:rPr>
          <w:rFonts w:hint="cs"/>
          <w:rtl/>
        </w:rPr>
        <w:t xml:space="preserve"> דהא דמהני לו חזקת ג"ש, הוא כמו שיש לו שטר על ג"ש, וכיון שיש למערער שטר שקדם לו, לא מהני לו הזקה כלל, וכתב </w:t>
      </w:r>
      <w:r w:rsidRPr="00694335">
        <w:rPr>
          <w:rStyle w:val="af9"/>
          <w:rFonts w:hint="cs"/>
          <w:rtl/>
        </w:rPr>
        <w:t>הרשב"ם</w:t>
      </w:r>
      <w:r>
        <w:rPr>
          <w:rFonts w:hint="cs"/>
          <w:rtl/>
        </w:rPr>
        <w:t xml:space="preserve"> דהא דאמר רבא דעביד איניש דקרי לשני טובא שני חזקה, כוונתו לומר דאינו נחשב בזה כחוזר וטוען, כשאמר שכוונתו הייתה לשני חזקה טובא, וביאר </w:t>
      </w:r>
      <w:r w:rsidRPr="007D4BB7">
        <w:rPr>
          <w:rStyle w:val="af9"/>
          <w:rFonts w:hint="cs"/>
          <w:rtl/>
        </w:rPr>
        <w:t>הרשב"ם לעיל</w:t>
      </w:r>
      <w:r>
        <w:rPr>
          <w:rFonts w:hint="cs"/>
          <w:rtl/>
        </w:rPr>
        <w:t xml:space="preserve"> דאם היה חוזר וטוען ומכחיש את טענותיו הראשונות, אף אם הביא אח"כ היה מביא עדים כטענותיו האחרונות אינו נאמן, דהודאת בע"ד כמאה עדים, ואזלינן בתר הטענות שטען בתחילה</w:t>
      </w:r>
      <w:bookmarkStart w:id="13385" w:name="_Ref61947663"/>
      <w:r>
        <w:rPr>
          <w:rFonts w:hint="cs"/>
          <w:rtl/>
        </w:rPr>
        <w:t>,</w:t>
      </w:r>
      <w:r w:rsidRPr="00704DA0">
        <w:rPr>
          <w:rFonts w:hint="cs"/>
          <w:rtl/>
        </w:rPr>
        <w:t xml:space="preserve"> </w:t>
      </w:r>
      <w:r>
        <w:rPr>
          <w:rFonts w:hint="cs"/>
          <w:rtl/>
        </w:rPr>
        <w:t xml:space="preserve">וכ"כ </w:t>
      </w:r>
      <w:r w:rsidRPr="003D7ECB">
        <w:rPr>
          <w:rStyle w:val="af9"/>
          <w:rFonts w:hint="cs"/>
          <w:rtl/>
        </w:rPr>
        <w:t>התוס' לעיל</w:t>
      </w:r>
      <w:r>
        <w:rPr>
          <w:rFonts w:hint="cs"/>
          <w:rtl/>
        </w:rPr>
        <w:t xml:space="preserve"> </w:t>
      </w:r>
      <w:r w:rsidRPr="001E106B">
        <w:rPr>
          <w:rStyle w:val="af7"/>
          <w:rFonts w:eastAsia="Guttman Hodes" w:hint="cs"/>
          <w:rtl/>
        </w:rPr>
        <w:t>(ל: ד"ה עביד)</w:t>
      </w:r>
      <w:r>
        <w:rPr>
          <w:rFonts w:hint="cs"/>
          <w:rtl/>
        </w:rPr>
        <w:t xml:space="preserve"> דאף שיש לו עדים שאכלה ז' שנין, מ"מ אינו נאמן בטענה זו, כיון שהוא הכחישם במה שהודה בתחילה שאכל רק שני חזקה, דהם ג"ש ולא יותר.</w:t>
      </w:r>
      <w:bookmarkEnd w:id="13384"/>
      <w:bookmarkEnd w:id="13385"/>
    </w:p>
    <w:p w:rsidR="00EC445E" w:rsidRDefault="00EC445E" w:rsidP="00EC445E">
      <w:pPr>
        <w:pStyle w:val="1"/>
        <w:rPr>
          <w:rtl/>
        </w:rPr>
      </w:pPr>
      <w:r>
        <w:rPr>
          <w:rFonts w:hint="cs"/>
          <w:rtl/>
        </w:rPr>
        <w:t>ביאור הגרנ"פ</w:t>
      </w:r>
      <w:bookmarkEnd w:id="13366"/>
      <w:bookmarkEnd w:id="13367"/>
      <w:bookmarkEnd w:id="13368"/>
      <w:bookmarkEnd w:id="13369"/>
      <w:r>
        <w:rPr>
          <w:rFonts w:hint="cs"/>
          <w:rtl/>
        </w:rPr>
        <w:t xml:space="preserve"> דנח' הרשב"ם והי"מ לעיל בטעם דאינו חוזר וטוען</w:t>
      </w:r>
      <w:bookmarkEnd w:id="13370"/>
    </w:p>
    <w:p w:rsidR="00EC445E" w:rsidRPr="001054CC" w:rsidRDefault="00EC445E" w:rsidP="00EC445E">
      <w:pPr>
        <w:pStyle w:val="a3"/>
        <w:rPr>
          <w:rtl/>
        </w:rPr>
      </w:pPr>
      <w:bookmarkStart w:id="13386" w:name="_Toc62485666"/>
      <w:r>
        <w:rPr>
          <w:rFonts w:hint="cs"/>
          <w:rtl/>
        </w:rPr>
        <w:t>ביאור הגרנ"פ ברשב"ם ובתוס' לעיל דאינו חוזר וטוען דטענתו הראשונה כהודאת בע"ד</w:t>
      </w:r>
      <w:bookmarkEnd w:id="13386"/>
    </w:p>
    <w:p w:rsidR="00EC445E" w:rsidRDefault="00EC445E" w:rsidP="007E4E81">
      <w:pPr>
        <w:pStyle w:val="a0"/>
        <w:rPr>
          <w:rtl/>
        </w:rPr>
      </w:pPr>
      <w:bookmarkStart w:id="13387" w:name="_Ref62468379"/>
      <w:r>
        <w:rPr>
          <w:rFonts w:hint="cs"/>
          <w:rtl/>
        </w:rPr>
        <w:t xml:space="preserve">וכתב </w:t>
      </w:r>
      <w:r w:rsidRPr="008D28C4">
        <w:rPr>
          <w:rStyle w:val="af9"/>
          <w:rFonts w:hint="cs"/>
          <w:rtl/>
        </w:rPr>
        <w:t>בחי' רבי נחום לעיל</w:t>
      </w:r>
      <w:r>
        <w:rPr>
          <w:rFonts w:hint="cs"/>
          <w:rtl/>
        </w:rPr>
        <w:t xml:space="preserve"> </w:t>
      </w:r>
      <w:r w:rsidRPr="008D28C4">
        <w:rPr>
          <w:rStyle w:val="af7"/>
          <w:rFonts w:eastAsia="Guttman Hodes" w:hint="cs"/>
          <w:rtl/>
        </w:rPr>
        <w:t>(ל: או' ע"ט)</w:t>
      </w:r>
      <w:r>
        <w:rPr>
          <w:rFonts w:hint="cs"/>
          <w:rtl/>
        </w:rPr>
        <w:t xml:space="preserve"> דמהא דכתב </w:t>
      </w:r>
      <w:r w:rsidRPr="008D28C4">
        <w:rPr>
          <w:rStyle w:val="af9"/>
          <w:rFonts w:hint="cs"/>
          <w:rtl/>
        </w:rPr>
        <w:t>הרשב"ם לעיל</w:t>
      </w:r>
      <w:r>
        <w:rPr>
          <w:rFonts w:hint="cs"/>
          <w:rtl/>
        </w:rPr>
        <w:t xml:space="preserve"> </w:t>
      </w:r>
      <w:r w:rsidRPr="00885C63">
        <w:rPr>
          <w:rStyle w:val="af7"/>
          <w:rFonts w:eastAsia="Guttman Hodes" w:hint="cs"/>
          <w:rtl/>
        </w:rPr>
        <w:t xml:space="preserve">(עי' אות </w:t>
      </w:r>
      <w:r w:rsidRPr="00885C63">
        <w:rPr>
          <w:rStyle w:val="af7"/>
          <w:rFonts w:eastAsia="Guttman Hodes"/>
          <w:rtl/>
        </w:rPr>
        <w:fldChar w:fldCharType="begin"/>
      </w:r>
      <w:r w:rsidRPr="00885C63">
        <w:rPr>
          <w:rStyle w:val="af7"/>
          <w:rFonts w:eastAsia="Guttman Hodes"/>
          <w:rtl/>
        </w:rPr>
        <w:instrText xml:space="preserve"> </w:instrText>
      </w:r>
      <w:r w:rsidRPr="00885C63">
        <w:rPr>
          <w:rStyle w:val="af7"/>
          <w:rFonts w:eastAsia="Guttman Hodes" w:hint="cs"/>
        </w:rPr>
        <w:instrText>REF</w:instrText>
      </w:r>
      <w:r w:rsidRPr="00885C63">
        <w:rPr>
          <w:rStyle w:val="af7"/>
          <w:rFonts w:eastAsia="Guttman Hodes" w:hint="cs"/>
          <w:rtl/>
        </w:rPr>
        <w:instrText xml:space="preserve"> _</w:instrText>
      </w:r>
      <w:r w:rsidRPr="00885C63">
        <w:rPr>
          <w:rStyle w:val="af7"/>
          <w:rFonts w:eastAsia="Guttman Hodes" w:hint="cs"/>
        </w:rPr>
        <w:instrText>Ref62468420 \r \h</w:instrText>
      </w:r>
      <w:r w:rsidRPr="00885C63">
        <w:rPr>
          <w:rStyle w:val="af7"/>
          <w:rFonts w:eastAsia="Guttman Hodes"/>
          <w:rtl/>
        </w:rPr>
        <w:instrText xml:space="preserve"> </w:instrText>
      </w:r>
      <w:r w:rsidRPr="00885C63">
        <w:rPr>
          <w:rStyle w:val="af7"/>
          <w:rFonts w:eastAsia="Guttman Hodes"/>
          <w:rtl/>
        </w:rPr>
      </w:r>
      <w:r w:rsidRPr="00885C63">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885C63">
        <w:rPr>
          <w:rStyle w:val="af7"/>
          <w:rFonts w:eastAsia="Guttman Hodes"/>
          <w:rtl/>
        </w:rPr>
        <w:fldChar w:fldCharType="end"/>
      </w:r>
      <w:r>
        <w:rPr>
          <w:rFonts w:hint="cs"/>
          <w:rtl/>
        </w:rPr>
        <w:t xml:space="preserve"> דאף אם הביא אח"כ היה מביא עדים כטענותיו האחרונות אינו נאמן, דהודאת בע"ד כמאה עדים, משמע דלדעת </w:t>
      </w:r>
      <w:r w:rsidRPr="008D28C4">
        <w:rPr>
          <w:rStyle w:val="af9"/>
          <w:rFonts w:hint="cs"/>
          <w:rtl/>
        </w:rPr>
        <w:t xml:space="preserve">הרשב"ם </w:t>
      </w:r>
      <w:r>
        <w:rPr>
          <w:rFonts w:hint="cs"/>
          <w:rtl/>
        </w:rPr>
        <w:t xml:space="preserve">הא דבטוען וחוזר וטוען אינו נאמן, הוא מחמת שטענתו הראשונה, היא כהודאת בע"ד דשאר הטענות אינם אמת, וכתב </w:t>
      </w:r>
      <w:r w:rsidRPr="008D28C4">
        <w:rPr>
          <w:rStyle w:val="af9"/>
          <w:rFonts w:hint="cs"/>
          <w:rtl/>
        </w:rPr>
        <w:t>בחי' רבי נחום</w:t>
      </w:r>
      <w:r>
        <w:rPr>
          <w:rFonts w:hint="cs"/>
          <w:rtl/>
        </w:rPr>
        <w:t xml:space="preserve"> וכן משמע </w:t>
      </w:r>
      <w:r w:rsidRPr="008D28C4">
        <w:rPr>
          <w:rStyle w:val="af9"/>
          <w:rFonts w:hint="cs"/>
          <w:rtl/>
        </w:rPr>
        <w:t>בתוס' לעיל</w:t>
      </w:r>
      <w:r>
        <w:rPr>
          <w:rFonts w:hint="cs"/>
          <w:rtl/>
        </w:rPr>
        <w:t xml:space="preserve"> </w:t>
      </w:r>
      <w:r w:rsidRPr="00885C63">
        <w:rPr>
          <w:rStyle w:val="af7"/>
          <w:rFonts w:eastAsia="Guttman Hodes" w:hint="cs"/>
          <w:rtl/>
        </w:rPr>
        <w:t xml:space="preserve">(עי' אות </w:t>
      </w:r>
      <w:r w:rsidRPr="00885C63">
        <w:rPr>
          <w:rStyle w:val="af7"/>
          <w:rFonts w:eastAsia="Guttman Hodes"/>
          <w:rtl/>
        </w:rPr>
        <w:fldChar w:fldCharType="begin"/>
      </w:r>
      <w:r w:rsidRPr="00885C63">
        <w:rPr>
          <w:rStyle w:val="af7"/>
          <w:rFonts w:eastAsia="Guttman Hodes"/>
          <w:rtl/>
        </w:rPr>
        <w:instrText xml:space="preserve"> </w:instrText>
      </w:r>
      <w:r w:rsidRPr="00885C63">
        <w:rPr>
          <w:rStyle w:val="af7"/>
          <w:rFonts w:eastAsia="Guttman Hodes" w:hint="cs"/>
        </w:rPr>
        <w:instrText>REF</w:instrText>
      </w:r>
      <w:r w:rsidRPr="00885C63">
        <w:rPr>
          <w:rStyle w:val="af7"/>
          <w:rFonts w:eastAsia="Guttman Hodes" w:hint="cs"/>
          <w:rtl/>
        </w:rPr>
        <w:instrText xml:space="preserve"> _</w:instrText>
      </w:r>
      <w:r w:rsidRPr="00885C63">
        <w:rPr>
          <w:rStyle w:val="af7"/>
          <w:rFonts w:eastAsia="Guttman Hodes" w:hint="cs"/>
        </w:rPr>
        <w:instrText>Ref62468420 \r \h</w:instrText>
      </w:r>
      <w:r w:rsidRPr="00885C63">
        <w:rPr>
          <w:rStyle w:val="af7"/>
          <w:rFonts w:eastAsia="Guttman Hodes"/>
          <w:rtl/>
        </w:rPr>
        <w:instrText xml:space="preserve"> </w:instrText>
      </w:r>
      <w:r w:rsidRPr="00885C63">
        <w:rPr>
          <w:rStyle w:val="af7"/>
          <w:rFonts w:eastAsia="Guttman Hodes"/>
          <w:rtl/>
        </w:rPr>
      </w:r>
      <w:r w:rsidRPr="00885C63">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885C63">
        <w:rPr>
          <w:rStyle w:val="af7"/>
          <w:rFonts w:eastAsia="Guttman Hodes"/>
          <w:rtl/>
        </w:rPr>
        <w:fldChar w:fldCharType="end"/>
      </w:r>
      <w:r>
        <w:rPr>
          <w:rFonts w:hint="cs"/>
          <w:rtl/>
        </w:rPr>
        <w:t xml:space="preserve"> .</w:t>
      </w:r>
      <w:bookmarkEnd w:id="13387"/>
    </w:p>
    <w:p w:rsidR="00EC445E" w:rsidRPr="00DC2C55" w:rsidRDefault="00EC445E" w:rsidP="00EC445E">
      <w:pPr>
        <w:pStyle w:val="a3"/>
        <w:rPr>
          <w:rtl/>
        </w:rPr>
      </w:pPr>
      <w:bookmarkStart w:id="13388" w:name="_Toc62485667"/>
      <w:r>
        <w:rPr>
          <w:rFonts w:hint="cs"/>
          <w:rtl/>
        </w:rPr>
        <w:t>ביאור הגרנ"פ בי"מ ברשב"ם לעיל דאינו חוזר וטעון דבדיני טענות אינו נאמן לסתור טענתו</w:t>
      </w:r>
      <w:bookmarkEnd w:id="13388"/>
    </w:p>
    <w:p w:rsidR="00EC445E" w:rsidRDefault="00EC445E" w:rsidP="007E4E81">
      <w:pPr>
        <w:pStyle w:val="a0"/>
        <w:rPr>
          <w:rtl/>
        </w:rPr>
      </w:pPr>
      <w:bookmarkStart w:id="13389" w:name="_Ref62385703"/>
      <w:r>
        <w:rPr>
          <w:rFonts w:hint="cs"/>
          <w:rtl/>
        </w:rPr>
        <w:t xml:space="preserve">ובדעת </w:t>
      </w:r>
      <w:r w:rsidRPr="008D28C4">
        <w:rPr>
          <w:rStyle w:val="af9"/>
          <w:rFonts w:hint="cs"/>
          <w:rtl/>
        </w:rPr>
        <w:t>הי"מ ברשב"ם לעיל</w:t>
      </w:r>
      <w:r>
        <w:rPr>
          <w:rFonts w:hint="cs"/>
          <w:rtl/>
        </w:rPr>
        <w:t xml:space="preserve"> </w:t>
      </w:r>
      <w:r w:rsidRPr="00885C63">
        <w:rPr>
          <w:rStyle w:val="af7"/>
          <w:rFonts w:eastAsia="Guttman Hodes" w:hint="cs"/>
          <w:rtl/>
        </w:rPr>
        <w:t xml:space="preserve">(עי' אות </w:t>
      </w:r>
      <w:r w:rsidRPr="00885C63">
        <w:rPr>
          <w:rStyle w:val="af7"/>
          <w:rFonts w:eastAsia="Guttman Hodes"/>
          <w:rtl/>
        </w:rPr>
        <w:fldChar w:fldCharType="begin"/>
      </w:r>
      <w:r w:rsidRPr="00885C63">
        <w:rPr>
          <w:rStyle w:val="af7"/>
          <w:rFonts w:eastAsia="Guttman Hodes"/>
          <w:rtl/>
        </w:rPr>
        <w:instrText xml:space="preserve"> </w:instrText>
      </w:r>
      <w:r w:rsidRPr="00885C63">
        <w:rPr>
          <w:rStyle w:val="af7"/>
          <w:rFonts w:eastAsia="Guttman Hodes" w:hint="cs"/>
        </w:rPr>
        <w:instrText>REF</w:instrText>
      </w:r>
      <w:r w:rsidRPr="00885C63">
        <w:rPr>
          <w:rStyle w:val="af7"/>
          <w:rFonts w:eastAsia="Guttman Hodes" w:hint="cs"/>
          <w:rtl/>
        </w:rPr>
        <w:instrText xml:space="preserve"> _</w:instrText>
      </w:r>
      <w:r w:rsidRPr="00885C63">
        <w:rPr>
          <w:rStyle w:val="af7"/>
          <w:rFonts w:eastAsia="Guttman Hodes" w:hint="cs"/>
        </w:rPr>
        <w:instrText>Ref62468405 \r \h</w:instrText>
      </w:r>
      <w:r w:rsidRPr="00885C63">
        <w:rPr>
          <w:rStyle w:val="af7"/>
          <w:rFonts w:eastAsia="Guttman Hodes"/>
          <w:rtl/>
        </w:rPr>
        <w:instrText xml:space="preserve"> </w:instrText>
      </w:r>
      <w:r w:rsidRPr="00885C63">
        <w:rPr>
          <w:rStyle w:val="af7"/>
          <w:rFonts w:eastAsia="Guttman Hodes"/>
          <w:rtl/>
        </w:rPr>
      </w:r>
      <w:r w:rsidRPr="00885C63">
        <w:rPr>
          <w:rStyle w:val="af7"/>
          <w:rFonts w:eastAsia="Guttman Hodes"/>
          <w:rtl/>
        </w:rPr>
        <w:fldChar w:fldCharType="separate"/>
      </w:r>
      <w:r w:rsidR="00265073">
        <w:rPr>
          <w:rStyle w:val="af7"/>
          <w:rFonts w:eastAsia="Guttman Hodes"/>
          <w:cs/>
        </w:rPr>
        <w:t>‎</w:t>
      </w:r>
      <w:r w:rsidR="00265073">
        <w:rPr>
          <w:rStyle w:val="af7"/>
          <w:rFonts w:eastAsia="Guttman Hodes"/>
          <w:rtl/>
        </w:rPr>
        <w:t>צח)</w:t>
      </w:r>
      <w:r w:rsidRPr="00885C63">
        <w:rPr>
          <w:rStyle w:val="af7"/>
          <w:rFonts w:eastAsia="Guttman Hodes"/>
          <w:rtl/>
        </w:rPr>
        <w:fldChar w:fldCharType="end"/>
      </w:r>
      <w:r>
        <w:rPr>
          <w:rFonts w:hint="cs"/>
          <w:rtl/>
        </w:rPr>
        <w:t xml:space="preserve"> דכל שנאמן בטענתו האחרונה, אינו צריך להביא עדים כטענתו האחרונה, דהוא נאמן שזו הייתה כוונתו בתחילה, ביאר </w:t>
      </w:r>
      <w:r w:rsidRPr="008D28C4">
        <w:rPr>
          <w:rStyle w:val="af9"/>
          <w:rFonts w:hint="cs"/>
          <w:rtl/>
        </w:rPr>
        <w:t>בחי' רבי נחום</w:t>
      </w:r>
      <w:r>
        <w:rPr>
          <w:rFonts w:hint="cs"/>
          <w:rtl/>
        </w:rPr>
        <w:t xml:space="preserve"> דהא דבטוען וחוזר וטוען אינו נאמן, אינו מדין הודאת בע"ד, אלא הוא דין בדיני טענות, דכל שטענתו השניה סותרת לטענתו הראשונה אינו נאמן בטענתו השניה, וכדמשמע מפשטות לשון הגמ', "אינו טוען וחוזר וטוען", ולכן ס"ל </w:t>
      </w:r>
      <w:r w:rsidRPr="00885C63">
        <w:rPr>
          <w:rStyle w:val="af9"/>
          <w:rFonts w:hint="cs"/>
          <w:rtl/>
        </w:rPr>
        <w:t>להי"מ ברשב"ם</w:t>
      </w:r>
      <w:r>
        <w:rPr>
          <w:rFonts w:hint="cs"/>
          <w:rtl/>
        </w:rPr>
        <w:t xml:space="preserve"> דכל שבאו אח"כ עדים שהעידו כטענתו השניה הם נאמנים, דא"צ להאמין לטענתו השניה מדין טענה, אלא מכח עדות העדים, וא"כ אי"ז שייך כלל לדין חוזר וטוען.</w:t>
      </w:r>
      <w:bookmarkEnd w:id="13389"/>
    </w:p>
    <w:p w:rsidR="00EC445E" w:rsidRDefault="00EC445E" w:rsidP="00EC445E">
      <w:pPr>
        <w:pStyle w:val="a3"/>
        <w:rPr>
          <w:rtl/>
        </w:rPr>
      </w:pPr>
      <w:bookmarkStart w:id="13390" w:name="_Toc62485668"/>
      <w:r>
        <w:rPr>
          <w:rFonts w:hint="cs"/>
          <w:rtl/>
        </w:rPr>
        <w:t>דחיית הגרנ"פ דמסוף דברי הרשב"ם משמע דלא רק מחמת שהודה אלא דבדיני טענות לא נאמן</w:t>
      </w:r>
      <w:bookmarkEnd w:id="13390"/>
    </w:p>
    <w:p w:rsidR="00EC445E" w:rsidRDefault="00EC445E" w:rsidP="007E4E81">
      <w:pPr>
        <w:pStyle w:val="a0"/>
        <w:rPr>
          <w:rtl/>
        </w:rPr>
      </w:pPr>
      <w:r>
        <w:rPr>
          <w:rFonts w:hint="cs"/>
          <w:rtl/>
        </w:rPr>
        <w:t xml:space="preserve">אך כתב </w:t>
      </w:r>
      <w:r w:rsidRPr="008D28C4">
        <w:rPr>
          <w:rStyle w:val="af9"/>
          <w:rFonts w:hint="cs"/>
          <w:rtl/>
        </w:rPr>
        <w:t>בחי' רבי נחום</w:t>
      </w:r>
      <w:r>
        <w:rPr>
          <w:rFonts w:hint="cs"/>
          <w:rtl/>
        </w:rPr>
        <w:t xml:space="preserve"> דמהא דכתב </w:t>
      </w:r>
      <w:r w:rsidRPr="008D28C4">
        <w:rPr>
          <w:rStyle w:val="af9"/>
          <w:rFonts w:hint="cs"/>
          <w:rtl/>
        </w:rPr>
        <w:t>הרשב"ם</w:t>
      </w:r>
      <w:r>
        <w:rPr>
          <w:rStyle w:val="af9"/>
          <w:rFonts w:hint="cs"/>
          <w:rtl/>
        </w:rPr>
        <w:t xml:space="preserve"> לעיל</w:t>
      </w:r>
      <w:r>
        <w:rPr>
          <w:rFonts w:hint="cs"/>
          <w:rtl/>
        </w:rPr>
        <w:t xml:space="preserve"> </w:t>
      </w:r>
      <w:r w:rsidRPr="00885C63">
        <w:rPr>
          <w:rStyle w:val="af7"/>
          <w:rFonts w:eastAsia="Guttman Hodes" w:hint="cs"/>
          <w:rtl/>
        </w:rPr>
        <w:t xml:space="preserve">(עי' אות </w:t>
      </w:r>
      <w:r w:rsidRPr="00885C63">
        <w:rPr>
          <w:rStyle w:val="af7"/>
          <w:rFonts w:eastAsia="Guttman Hodes"/>
          <w:rtl/>
        </w:rPr>
        <w:fldChar w:fldCharType="begin"/>
      </w:r>
      <w:r w:rsidRPr="00885C63">
        <w:rPr>
          <w:rStyle w:val="af7"/>
          <w:rFonts w:eastAsia="Guttman Hodes"/>
          <w:rtl/>
        </w:rPr>
        <w:instrText xml:space="preserve"> </w:instrText>
      </w:r>
      <w:r w:rsidRPr="00885C63">
        <w:rPr>
          <w:rStyle w:val="af7"/>
          <w:rFonts w:eastAsia="Guttman Hodes" w:hint="cs"/>
        </w:rPr>
        <w:instrText>REF</w:instrText>
      </w:r>
      <w:r w:rsidRPr="00885C63">
        <w:rPr>
          <w:rStyle w:val="af7"/>
          <w:rFonts w:eastAsia="Guttman Hodes" w:hint="cs"/>
          <w:rtl/>
        </w:rPr>
        <w:instrText xml:space="preserve"> _</w:instrText>
      </w:r>
      <w:r w:rsidRPr="00885C63">
        <w:rPr>
          <w:rStyle w:val="af7"/>
          <w:rFonts w:eastAsia="Guttman Hodes" w:hint="cs"/>
        </w:rPr>
        <w:instrText>Ref62468420 \r \h</w:instrText>
      </w:r>
      <w:r w:rsidRPr="00885C63">
        <w:rPr>
          <w:rStyle w:val="af7"/>
          <w:rFonts w:eastAsia="Guttman Hodes"/>
          <w:rtl/>
        </w:rPr>
        <w:instrText xml:space="preserve"> </w:instrText>
      </w:r>
      <w:r w:rsidRPr="00885C63">
        <w:rPr>
          <w:rStyle w:val="af7"/>
          <w:rFonts w:eastAsia="Guttman Hodes"/>
          <w:rtl/>
        </w:rPr>
      </w:r>
      <w:r w:rsidRPr="00885C63">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885C63">
        <w:rPr>
          <w:rStyle w:val="af7"/>
          <w:rFonts w:eastAsia="Guttman Hodes"/>
          <w:rtl/>
        </w:rPr>
        <w:fldChar w:fldCharType="end"/>
      </w:r>
      <w:r>
        <w:rPr>
          <w:rFonts w:hint="cs"/>
          <w:rtl/>
        </w:rPr>
        <w:t xml:space="preserve"> בסוף דבריו דאינו נאמן כיון דהודאת בע"ד כמאה עדים, ואזלינן בתר הטענות שטען בתחילה, משמע דאי"ז רק מחמת דהודה בטענתו </w:t>
      </w:r>
      <w:r>
        <w:rPr>
          <w:rFonts w:hint="cs"/>
          <w:rtl/>
        </w:rPr>
        <w:lastRenderedPageBreak/>
        <w:t>הראשונה, וחשיב הודאת בע"ד, אלא הוא דין בדיני טענתו דאינו יכול לחזור ולטעון, ולכן אזלינן בתר טענתו הראשונה.</w:t>
      </w:r>
    </w:p>
    <w:p w:rsidR="00EC445E" w:rsidRDefault="00EC445E" w:rsidP="00EC445E">
      <w:pPr>
        <w:pStyle w:val="afe"/>
        <w:rPr>
          <w:rtl/>
        </w:rPr>
      </w:pPr>
      <w:bookmarkStart w:id="13391" w:name="_Toc62485669"/>
      <w:bookmarkEnd w:id="13349"/>
      <w:bookmarkEnd w:id="13350"/>
      <w:bookmarkEnd w:id="13351"/>
      <w:bookmarkEnd w:id="13352"/>
      <w:bookmarkEnd w:id="13353"/>
      <w:bookmarkEnd w:id="13354"/>
      <w:bookmarkEnd w:id="13355"/>
      <w:r>
        <w:rPr>
          <w:rFonts w:hint="cs"/>
          <w:rtl/>
        </w:rPr>
        <w:t>בפלוגתת עולא ונהרדעי בחוזר וטוען</w:t>
      </w:r>
      <w:bookmarkEnd w:id="13391"/>
    </w:p>
    <w:p w:rsidR="00EC445E" w:rsidRDefault="00EC445E" w:rsidP="00EC445E">
      <w:pPr>
        <w:pStyle w:val="1"/>
        <w:rPr>
          <w:rtl/>
        </w:rPr>
      </w:pPr>
      <w:bookmarkStart w:id="13392" w:name="_Toc61947163"/>
      <w:bookmarkStart w:id="13393" w:name="_Toc62074389"/>
      <w:bookmarkStart w:id="13394" w:name="_Toc62160833"/>
      <w:bookmarkStart w:id="13395" w:name="_Toc62386001"/>
      <w:bookmarkStart w:id="13396" w:name="_Toc62420138"/>
      <w:bookmarkStart w:id="13397" w:name="_Toc62452631"/>
      <w:bookmarkStart w:id="13398" w:name="_Toc62453918"/>
      <w:bookmarkStart w:id="13399" w:name="_Toc62485670"/>
      <w:r>
        <w:rPr>
          <w:rFonts w:hint="cs"/>
          <w:rtl/>
        </w:rPr>
        <w:t>דברי</w:t>
      </w:r>
      <w:bookmarkEnd w:id="13392"/>
      <w:r>
        <w:rPr>
          <w:rFonts w:hint="cs"/>
          <w:rtl/>
        </w:rPr>
        <w:t xml:space="preserve"> הגר"ח מטעלז</w:t>
      </w:r>
      <w:bookmarkEnd w:id="13393"/>
      <w:bookmarkEnd w:id="13394"/>
      <w:bookmarkEnd w:id="13395"/>
      <w:bookmarkEnd w:id="13396"/>
      <w:bookmarkEnd w:id="13397"/>
      <w:bookmarkEnd w:id="13398"/>
      <w:bookmarkEnd w:id="13399"/>
      <w:r>
        <w:rPr>
          <w:rFonts w:hint="cs"/>
          <w:rtl/>
        </w:rPr>
        <w:t xml:space="preserve"> אי מהני מיגו לסתור טענתו</w:t>
      </w:r>
    </w:p>
    <w:p w:rsidR="00EC445E" w:rsidRDefault="00EC445E" w:rsidP="00EC445E">
      <w:pPr>
        <w:pStyle w:val="a3"/>
        <w:rPr>
          <w:rtl/>
        </w:rPr>
      </w:pPr>
      <w:bookmarkStart w:id="13400" w:name="_Toc62485671"/>
      <w:r>
        <w:rPr>
          <w:rFonts w:hint="cs"/>
          <w:rtl/>
        </w:rPr>
        <w:t>דברי הגר"ח מטעלז דבפשטות הא דאינו חוזר וטוען דל"מ מיגו לסתור טענתו הראשונה</w:t>
      </w:r>
      <w:bookmarkEnd w:id="13400"/>
    </w:p>
    <w:p w:rsidR="00EC445E" w:rsidRDefault="00EC445E" w:rsidP="007E4E81">
      <w:pPr>
        <w:pStyle w:val="a0"/>
      </w:pPr>
      <w:bookmarkStart w:id="13401" w:name="_Ref62469532"/>
      <w:r>
        <w:rPr>
          <w:rFonts w:hint="cs"/>
          <w:rtl/>
        </w:rPr>
        <w:t xml:space="preserve">כתב </w:t>
      </w:r>
      <w:r w:rsidRPr="00AE58E7">
        <w:rPr>
          <w:rStyle w:val="af9"/>
          <w:rFonts w:hint="cs"/>
          <w:rtl/>
        </w:rPr>
        <w:t xml:space="preserve">בחי' הגר"ח מטעלז </w:t>
      </w:r>
      <w:r w:rsidRPr="00A531F0">
        <w:rPr>
          <w:rStyle w:val="af7"/>
          <w:rFonts w:eastAsia="Guttman Hodes" w:hint="cs"/>
          <w:rtl/>
        </w:rPr>
        <w:t>(ריש סי' י"ב)</w:t>
      </w:r>
      <w:r>
        <w:rPr>
          <w:rFonts w:hint="cs"/>
          <w:rtl/>
        </w:rPr>
        <w:t xml:space="preserve"> דבפשטות הא דלדעת נהרדעי אינו נאמן לחזור ולטעון דסמיך עלה כדאבהתי, הוא כיון דאין אדם נאמן לטעון טענה שסותרת את דבריו הראשונים, אף כשיש לו מיגו, דהיה יכול לחזור ולטעון של אבותי שלקחוה מאבותיך, כיון שסותר את טענתו הראשונה, והודאת בע"ד כמאה עדים, ואף עולא מודה דאינו נאמן לסתור, אלא דס"ל לעולא דכיון שהוא נותן אמלתא לטענתו הראשונה נאמן. </w:t>
      </w:r>
      <w:r w:rsidRPr="00FC54AD">
        <w:rPr>
          <w:rStyle w:val="afb"/>
          <w:rFonts w:hint="cs"/>
          <w:rtl/>
        </w:rPr>
        <w:t xml:space="preserve">[ועי' במ"ש </w:t>
      </w:r>
      <w:r w:rsidRPr="00FC54AD">
        <w:rPr>
          <w:rStyle w:val="affa"/>
          <w:rFonts w:hint="cs"/>
          <w:rtl/>
        </w:rPr>
        <w:t>הכנה"ג</w:t>
      </w:r>
      <w:r w:rsidRPr="00FC54AD">
        <w:rPr>
          <w:rStyle w:val="afb"/>
          <w:rFonts w:hint="cs"/>
          <w:rtl/>
        </w:rPr>
        <w:t xml:space="preserve"> </w:t>
      </w:r>
      <w:r w:rsidRPr="00FC54AD">
        <w:rPr>
          <w:rStyle w:val="aff6"/>
          <w:rFonts w:hint="cs"/>
          <w:rtl/>
        </w:rPr>
        <w:t xml:space="preserve">(עי' אות </w:t>
      </w:r>
      <w:r w:rsidRPr="00FC54AD">
        <w:rPr>
          <w:rStyle w:val="aff6"/>
          <w:rtl/>
        </w:rPr>
        <w:fldChar w:fldCharType="begin"/>
      </w:r>
      <w:r w:rsidRPr="00FC54AD">
        <w:rPr>
          <w:rStyle w:val="aff6"/>
          <w:rtl/>
        </w:rPr>
        <w:instrText xml:space="preserve"> </w:instrText>
      </w:r>
      <w:r w:rsidRPr="00FC54AD">
        <w:rPr>
          <w:rStyle w:val="aff6"/>
          <w:rFonts w:hint="cs"/>
        </w:rPr>
        <w:instrText>REF</w:instrText>
      </w:r>
      <w:r w:rsidRPr="00FC54AD">
        <w:rPr>
          <w:rStyle w:val="aff6"/>
          <w:rFonts w:hint="cs"/>
          <w:rtl/>
        </w:rPr>
        <w:instrText xml:space="preserve"> _</w:instrText>
      </w:r>
      <w:r w:rsidRPr="00FC54AD">
        <w:rPr>
          <w:rStyle w:val="aff6"/>
          <w:rFonts w:hint="cs"/>
        </w:rPr>
        <w:instrText>Ref62464042 \r \h</w:instrText>
      </w:r>
      <w:r w:rsidRPr="00FC54AD">
        <w:rPr>
          <w:rStyle w:val="aff6"/>
          <w:rtl/>
        </w:rPr>
        <w:instrText xml:space="preserve"> </w:instrText>
      </w:r>
      <w:r w:rsidRPr="00FC54AD">
        <w:rPr>
          <w:rStyle w:val="aff6"/>
          <w:rtl/>
        </w:rPr>
      </w:r>
      <w:r w:rsidRPr="00FC54AD">
        <w:rPr>
          <w:rStyle w:val="aff6"/>
          <w:rtl/>
        </w:rPr>
        <w:fldChar w:fldCharType="separate"/>
      </w:r>
      <w:r w:rsidR="00265073">
        <w:rPr>
          <w:rStyle w:val="aff6"/>
          <w:cs/>
        </w:rPr>
        <w:t>‎</w:t>
      </w:r>
      <w:r w:rsidR="00265073">
        <w:rPr>
          <w:rStyle w:val="aff6"/>
          <w:rtl/>
        </w:rPr>
        <w:t>עז)</w:t>
      </w:r>
      <w:r w:rsidRPr="00FC54AD">
        <w:rPr>
          <w:rStyle w:val="aff6"/>
          <w:rtl/>
        </w:rPr>
        <w:fldChar w:fldCharType="end"/>
      </w:r>
      <w:r w:rsidRPr="00FC54AD">
        <w:rPr>
          <w:rStyle w:val="afb"/>
          <w:rFonts w:hint="cs"/>
          <w:rtl/>
        </w:rPr>
        <w:t xml:space="preserve"> דנחלקו בזה </w:t>
      </w:r>
      <w:r w:rsidRPr="00FC54AD">
        <w:rPr>
          <w:rStyle w:val="affa"/>
          <w:rFonts w:hint="cs"/>
          <w:rtl/>
        </w:rPr>
        <w:t>הנימוק"י</w:t>
      </w:r>
      <w:r w:rsidRPr="00FC54AD">
        <w:rPr>
          <w:rStyle w:val="afb"/>
          <w:rFonts w:hint="cs"/>
          <w:rtl/>
        </w:rPr>
        <w:t xml:space="preserve"> </w:t>
      </w:r>
      <w:r>
        <w:rPr>
          <w:rStyle w:val="afb"/>
          <w:rFonts w:hint="cs"/>
          <w:rtl/>
        </w:rPr>
        <w:t xml:space="preserve">בשם </w:t>
      </w:r>
      <w:r w:rsidRPr="00FC54AD">
        <w:rPr>
          <w:rStyle w:val="affa"/>
          <w:rFonts w:hint="cs"/>
          <w:rtl/>
        </w:rPr>
        <w:t>הר"י מגאש</w:t>
      </w:r>
      <w:r>
        <w:rPr>
          <w:rStyle w:val="afb"/>
          <w:rFonts w:hint="cs"/>
          <w:rtl/>
        </w:rPr>
        <w:t xml:space="preserve"> עם </w:t>
      </w:r>
      <w:r w:rsidRPr="00FC54AD">
        <w:rPr>
          <w:rStyle w:val="affa"/>
          <w:rFonts w:hint="cs"/>
          <w:rtl/>
        </w:rPr>
        <w:t>הריב"ש</w:t>
      </w:r>
      <w:r w:rsidRPr="00FC54AD">
        <w:rPr>
          <w:rStyle w:val="afb"/>
          <w:rFonts w:hint="cs"/>
          <w:rtl/>
        </w:rPr>
        <w:t xml:space="preserve">, ובמה שדחה </w:t>
      </w:r>
      <w:r w:rsidRPr="00FC54AD">
        <w:rPr>
          <w:rStyle w:val="affa"/>
          <w:rFonts w:hint="cs"/>
          <w:rtl/>
        </w:rPr>
        <w:t>התומים</w:t>
      </w:r>
      <w:r w:rsidRPr="00FC54AD">
        <w:rPr>
          <w:rStyle w:val="afb"/>
          <w:rFonts w:hint="cs"/>
          <w:rtl/>
        </w:rPr>
        <w:t xml:space="preserve"> </w:t>
      </w:r>
      <w:r w:rsidRPr="00FC54AD">
        <w:rPr>
          <w:rStyle w:val="aff6"/>
          <w:rFonts w:hint="cs"/>
          <w:rtl/>
        </w:rPr>
        <w:t xml:space="preserve">(עי' אות </w:t>
      </w:r>
      <w:r w:rsidRPr="00FC54AD">
        <w:rPr>
          <w:rStyle w:val="aff6"/>
          <w:rtl/>
        </w:rPr>
        <w:fldChar w:fldCharType="begin"/>
      </w:r>
      <w:r w:rsidRPr="00FC54AD">
        <w:rPr>
          <w:rStyle w:val="aff6"/>
          <w:rtl/>
        </w:rPr>
        <w:instrText xml:space="preserve"> </w:instrText>
      </w:r>
      <w:r w:rsidRPr="00FC54AD">
        <w:rPr>
          <w:rStyle w:val="aff6"/>
          <w:rFonts w:hint="cs"/>
        </w:rPr>
        <w:instrText>REF</w:instrText>
      </w:r>
      <w:r w:rsidRPr="00FC54AD">
        <w:rPr>
          <w:rStyle w:val="aff6"/>
          <w:rFonts w:hint="cs"/>
          <w:rtl/>
        </w:rPr>
        <w:instrText xml:space="preserve"> _</w:instrText>
      </w:r>
      <w:r w:rsidRPr="00FC54AD">
        <w:rPr>
          <w:rStyle w:val="aff6"/>
          <w:rFonts w:hint="cs"/>
        </w:rPr>
        <w:instrText>Ref62465084 \r \h</w:instrText>
      </w:r>
      <w:r w:rsidRPr="00FC54AD">
        <w:rPr>
          <w:rStyle w:val="aff6"/>
          <w:rtl/>
        </w:rPr>
        <w:instrText xml:space="preserve"> </w:instrText>
      </w:r>
      <w:r w:rsidRPr="00FC54AD">
        <w:rPr>
          <w:rStyle w:val="aff6"/>
          <w:rtl/>
        </w:rPr>
      </w:r>
      <w:r w:rsidRPr="00FC54AD">
        <w:rPr>
          <w:rStyle w:val="aff6"/>
          <w:rtl/>
        </w:rPr>
        <w:fldChar w:fldCharType="separate"/>
      </w:r>
      <w:r w:rsidR="00265073">
        <w:rPr>
          <w:rStyle w:val="aff6"/>
          <w:cs/>
        </w:rPr>
        <w:t>‎</w:t>
      </w:r>
      <w:r w:rsidR="00265073">
        <w:rPr>
          <w:rStyle w:val="aff6"/>
          <w:rtl/>
        </w:rPr>
        <w:t>עט)</w:t>
      </w:r>
      <w:r w:rsidRPr="00FC54AD">
        <w:rPr>
          <w:rStyle w:val="aff6"/>
          <w:rtl/>
        </w:rPr>
        <w:fldChar w:fldCharType="end"/>
      </w:r>
      <w:r w:rsidRPr="00FC54AD">
        <w:rPr>
          <w:rStyle w:val="afb"/>
          <w:rFonts w:hint="cs"/>
          <w:rtl/>
        </w:rPr>
        <w:t xml:space="preserve"> את דבריו].</w:t>
      </w:r>
      <w:bookmarkEnd w:id="13401"/>
    </w:p>
    <w:p w:rsidR="00EC445E" w:rsidRDefault="00EC445E" w:rsidP="00EC445E">
      <w:pPr>
        <w:pStyle w:val="a3"/>
      </w:pPr>
      <w:bookmarkStart w:id="13402" w:name="_Toc62485672"/>
      <w:r>
        <w:rPr>
          <w:rFonts w:hint="cs"/>
          <w:rtl/>
        </w:rPr>
        <w:t>דברי הגר"ח מטעלז דבש"ך מבואר דנאמן במיגו לסתור טענתו ואינו נאמן במיגו מחיוב לפטור</w:t>
      </w:r>
      <w:bookmarkEnd w:id="13402"/>
    </w:p>
    <w:p w:rsidR="00EC445E" w:rsidRDefault="00EC445E" w:rsidP="007E4E81">
      <w:pPr>
        <w:pStyle w:val="a0"/>
      </w:pPr>
      <w:r>
        <w:rPr>
          <w:rFonts w:hint="cs"/>
          <w:rtl/>
        </w:rPr>
        <w:t xml:space="preserve">אך דחה </w:t>
      </w:r>
      <w:r w:rsidRPr="00AE58E7">
        <w:rPr>
          <w:rStyle w:val="af9"/>
          <w:rFonts w:hint="cs"/>
          <w:rtl/>
        </w:rPr>
        <w:t xml:space="preserve">בחי' הגר"ח מטעלז </w:t>
      </w:r>
      <w:r w:rsidRPr="00FC54AD">
        <w:rPr>
          <w:rStyle w:val="af7"/>
          <w:rFonts w:eastAsia="Guttman Hodes" w:hint="cs"/>
          <w:rtl/>
        </w:rPr>
        <w:t>(סי' י"ב ד"ה אמנם בש"ך)</w:t>
      </w:r>
      <w:r>
        <w:rPr>
          <w:rFonts w:hint="cs"/>
          <w:rtl/>
        </w:rPr>
        <w:t xml:space="preserve"> דהא כתב </w:t>
      </w:r>
      <w:r w:rsidRPr="00E66A42">
        <w:rPr>
          <w:rStyle w:val="af9"/>
          <w:rFonts w:hint="cs"/>
          <w:rtl/>
        </w:rPr>
        <w:t>הש"ך</w:t>
      </w:r>
      <w:r>
        <w:rPr>
          <w:rFonts w:hint="cs"/>
          <w:rtl/>
        </w:rPr>
        <w:t xml:space="preserve"> </w:t>
      </w:r>
      <w:r w:rsidRPr="00FC54AD">
        <w:rPr>
          <w:rStyle w:val="af7"/>
          <w:rFonts w:eastAsia="Guttman Hodes" w:hint="cs"/>
          <w:rtl/>
        </w:rPr>
        <w:t xml:space="preserve">(עי' אות </w:t>
      </w:r>
      <w:r w:rsidRPr="00FC54AD">
        <w:rPr>
          <w:rStyle w:val="af7"/>
          <w:rFonts w:eastAsia="Guttman Hodes"/>
          <w:rtl/>
        </w:rPr>
        <w:fldChar w:fldCharType="begin"/>
      </w:r>
      <w:r w:rsidRPr="00FC54AD">
        <w:rPr>
          <w:rStyle w:val="af7"/>
          <w:rFonts w:eastAsia="Guttman Hodes"/>
          <w:rtl/>
        </w:rPr>
        <w:instrText xml:space="preserve"> </w:instrText>
      </w:r>
      <w:r w:rsidRPr="00FC54AD">
        <w:rPr>
          <w:rStyle w:val="af7"/>
          <w:rFonts w:eastAsia="Guttman Hodes" w:hint="cs"/>
        </w:rPr>
        <w:instrText>REF</w:instrText>
      </w:r>
      <w:r w:rsidRPr="00FC54AD">
        <w:rPr>
          <w:rStyle w:val="af7"/>
          <w:rFonts w:eastAsia="Guttman Hodes" w:hint="cs"/>
          <w:rtl/>
        </w:rPr>
        <w:instrText xml:space="preserve"> _</w:instrText>
      </w:r>
      <w:r w:rsidRPr="00FC54AD">
        <w:rPr>
          <w:rStyle w:val="af7"/>
          <w:rFonts w:eastAsia="Guttman Hodes" w:hint="cs"/>
        </w:rPr>
        <w:instrText>Ref62407179 \r \h</w:instrText>
      </w:r>
      <w:r w:rsidRPr="00FC54AD">
        <w:rPr>
          <w:rStyle w:val="af7"/>
          <w:rFonts w:eastAsia="Guttman Hodes"/>
          <w:rtl/>
        </w:rPr>
        <w:instrText xml:space="preserve"> </w:instrText>
      </w:r>
      <w:r w:rsidRPr="00FC54AD">
        <w:rPr>
          <w:rStyle w:val="af7"/>
          <w:rFonts w:eastAsia="Guttman Hodes"/>
          <w:rtl/>
        </w:rPr>
      </w:r>
      <w:r w:rsidRPr="00FC54AD">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FC54AD">
        <w:rPr>
          <w:rStyle w:val="af7"/>
          <w:rFonts w:eastAsia="Guttman Hodes"/>
          <w:rtl/>
        </w:rPr>
        <w:fldChar w:fldCharType="end"/>
      </w:r>
      <w:r w:rsidRPr="00FC54AD">
        <w:rPr>
          <w:rStyle w:val="af7"/>
          <w:rFonts w:eastAsia="Guttman Hodes" w:hint="cs"/>
          <w:rtl/>
        </w:rPr>
        <w:t xml:space="preserve"> </w:t>
      </w:r>
      <w:r>
        <w:rPr>
          <w:rFonts w:hint="cs"/>
          <w:rtl/>
        </w:rPr>
        <w:t xml:space="preserve">בשם </w:t>
      </w:r>
      <w:r w:rsidRPr="00A531F0">
        <w:rPr>
          <w:rStyle w:val="af9"/>
          <w:rFonts w:hint="cs"/>
          <w:rtl/>
        </w:rPr>
        <w:t>הר"י מגאש</w:t>
      </w:r>
      <w:r>
        <w:rPr>
          <w:rFonts w:hint="cs"/>
          <w:rtl/>
        </w:rPr>
        <w:t xml:space="preserve"> </w:t>
      </w:r>
      <w:r w:rsidRPr="00FC54AD">
        <w:rPr>
          <w:rStyle w:val="af7"/>
          <w:rFonts w:eastAsia="Guttman Hodes" w:hint="cs"/>
          <w:rtl/>
        </w:rPr>
        <w:t xml:space="preserve">(עי' אות </w:t>
      </w:r>
      <w:r w:rsidRPr="00FC54AD">
        <w:rPr>
          <w:rStyle w:val="af7"/>
          <w:rFonts w:eastAsia="Guttman Hodes"/>
          <w:rtl/>
        </w:rPr>
        <w:fldChar w:fldCharType="begin"/>
      </w:r>
      <w:r w:rsidRPr="00FC54AD">
        <w:rPr>
          <w:rStyle w:val="af7"/>
          <w:rFonts w:eastAsia="Guttman Hodes"/>
          <w:rtl/>
        </w:rPr>
        <w:instrText xml:space="preserve"> </w:instrText>
      </w:r>
      <w:r w:rsidRPr="00FC54AD">
        <w:rPr>
          <w:rStyle w:val="af7"/>
          <w:rFonts w:eastAsia="Guttman Hodes" w:hint="cs"/>
        </w:rPr>
        <w:instrText>REF</w:instrText>
      </w:r>
      <w:r w:rsidRPr="00FC54AD">
        <w:rPr>
          <w:rStyle w:val="af7"/>
          <w:rFonts w:eastAsia="Guttman Hodes" w:hint="cs"/>
          <w:rtl/>
        </w:rPr>
        <w:instrText xml:space="preserve"> _</w:instrText>
      </w:r>
      <w:r w:rsidRPr="00FC54AD">
        <w:rPr>
          <w:rStyle w:val="af7"/>
          <w:rFonts w:eastAsia="Guttman Hodes" w:hint="cs"/>
        </w:rPr>
        <w:instrText>Ref62452796 \r \h</w:instrText>
      </w:r>
      <w:r w:rsidRPr="00FC54AD">
        <w:rPr>
          <w:rStyle w:val="af7"/>
          <w:rFonts w:eastAsia="Guttman Hodes"/>
          <w:rtl/>
        </w:rPr>
        <w:instrText xml:space="preserve"> </w:instrText>
      </w:r>
      <w:r w:rsidRPr="00FC54AD">
        <w:rPr>
          <w:rStyle w:val="af7"/>
          <w:rFonts w:eastAsia="Guttman Hodes"/>
          <w:rtl/>
        </w:rPr>
      </w:r>
      <w:r w:rsidRPr="00FC54AD">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FC54AD">
        <w:rPr>
          <w:rStyle w:val="af7"/>
          <w:rFonts w:eastAsia="Guttman Hodes"/>
          <w:rtl/>
        </w:rPr>
        <w:fldChar w:fldCharType="end"/>
      </w:r>
      <w:r>
        <w:rPr>
          <w:rFonts w:hint="cs"/>
          <w:rtl/>
        </w:rPr>
        <w:t xml:space="preserve"> דהא דנאמן לחזור מפטור לפטור, הוא כיון שיש לו מיגו דהיה יכול לעמוד בטענתו הראשונה, ומשמע דנאמן במיגו אף שהוא סותר את טענתו, וכתב </w:t>
      </w:r>
      <w:r w:rsidRPr="00AE58E7">
        <w:rPr>
          <w:rStyle w:val="af9"/>
          <w:rFonts w:hint="cs"/>
          <w:rtl/>
        </w:rPr>
        <w:t xml:space="preserve">בחי' הגר"ח מטעלז </w:t>
      </w:r>
      <w:r>
        <w:rPr>
          <w:rFonts w:hint="cs"/>
          <w:rtl/>
        </w:rPr>
        <w:t xml:space="preserve">דא"כ צריך לדחוק דהא דבסוגיין אינו נאמן בחוזר וטוען, הוא כיון שחוזר מחיוב לפטור, </w:t>
      </w:r>
      <w:r w:rsidRPr="00A531F0">
        <w:rPr>
          <w:rStyle w:val="afb"/>
          <w:rFonts w:hint="cs"/>
          <w:rtl/>
        </w:rPr>
        <w:t xml:space="preserve">[וכן מבואר להדיא </w:t>
      </w:r>
      <w:r w:rsidRPr="00E42B6F">
        <w:rPr>
          <w:rStyle w:val="affa"/>
          <w:rFonts w:hint="cs"/>
          <w:rtl/>
        </w:rPr>
        <w:t xml:space="preserve">בר"י מגאש </w:t>
      </w:r>
      <w:r w:rsidRPr="00E42B6F">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Ref62461880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מא)</w:t>
      </w:r>
      <w:r>
        <w:rPr>
          <w:rStyle w:val="aff6"/>
          <w:rtl/>
        </w:rPr>
        <w:fldChar w:fldCharType="end"/>
      </w:r>
      <w:r w:rsidRPr="00E42B6F">
        <w:rPr>
          <w:rStyle w:val="aff6"/>
          <w:rFonts w:hint="cs"/>
          <w:rtl/>
        </w:rPr>
        <w:t xml:space="preserve"> </w:t>
      </w:r>
      <w:r w:rsidRPr="00A531F0">
        <w:rPr>
          <w:rStyle w:val="afb"/>
          <w:rFonts w:hint="cs"/>
          <w:rtl/>
        </w:rPr>
        <w:t>לפנינו],</w:t>
      </w:r>
      <w:r>
        <w:rPr>
          <w:rFonts w:hint="cs"/>
          <w:rtl/>
        </w:rPr>
        <w:t xml:space="preserve"> וביאר </w:t>
      </w:r>
      <w:r w:rsidRPr="00A531F0">
        <w:rPr>
          <w:rStyle w:val="af9"/>
          <w:rFonts w:hint="cs"/>
          <w:rtl/>
        </w:rPr>
        <w:t>הגר"ח מטעלז</w:t>
      </w:r>
      <w:r>
        <w:rPr>
          <w:rFonts w:hint="cs"/>
          <w:rtl/>
        </w:rPr>
        <w:t xml:space="preserve"> דאחר שהתחייב אינו יכול להפטר ע"י המיגו, ורק מפטור לפטור יכול המיגו למנוע ממנו להתחייב.</w:t>
      </w:r>
    </w:p>
    <w:p w:rsidR="00EC445E" w:rsidRDefault="00EC445E" w:rsidP="00EC445E">
      <w:pPr>
        <w:pStyle w:val="a3"/>
      </w:pPr>
      <w:bookmarkStart w:id="13403" w:name="_Toc62485673"/>
      <w:r>
        <w:rPr>
          <w:rFonts w:hint="cs"/>
          <w:rtl/>
        </w:rPr>
        <w:t>הביאור הב' בגר"ח מטעלז דרק במיגו דאי בעי שתיק נאמן לסתור טענתו הראשונה ולא במוסיף</w:t>
      </w:r>
      <w:bookmarkEnd w:id="13403"/>
    </w:p>
    <w:p w:rsidR="00EC445E" w:rsidRDefault="00EC445E" w:rsidP="007E4E81">
      <w:pPr>
        <w:pStyle w:val="a0"/>
        <w:rPr>
          <w:rStyle w:val="afb"/>
          <w:rtl/>
        </w:rPr>
      </w:pPr>
      <w:bookmarkStart w:id="13404" w:name="_Ref62484933"/>
      <w:r>
        <w:rPr>
          <w:rFonts w:hint="cs"/>
          <w:rtl/>
        </w:rPr>
        <w:t xml:space="preserve">ועוד ביאר </w:t>
      </w:r>
      <w:r w:rsidRPr="00AE58E7">
        <w:rPr>
          <w:rStyle w:val="af9"/>
          <w:rFonts w:hint="cs"/>
          <w:rtl/>
        </w:rPr>
        <w:t xml:space="preserve">בחי' הגר"ח מטעלז </w:t>
      </w:r>
      <w:r>
        <w:rPr>
          <w:rFonts w:hint="cs"/>
          <w:rtl/>
        </w:rPr>
        <w:t>דבמיגו שצריך להוסיף על דבריו, ולומר דכוונתו הייתה של אבותי שלקחוה מאבותיך, אינו נאמן לסתור את טענתו הראשונה, אבל במיגו דאי בעי שתיק שהיה עומד בטענתו הראשונה, נאמן אף לסתור טענתו.</w:t>
      </w:r>
      <w:r w:rsidRPr="002C2358">
        <w:rPr>
          <w:rFonts w:hint="cs"/>
          <w:rtl/>
        </w:rPr>
        <w:t xml:space="preserve"> </w:t>
      </w:r>
      <w:r w:rsidRPr="00FC54AD">
        <w:rPr>
          <w:rStyle w:val="afb"/>
          <w:rFonts w:hint="cs"/>
          <w:rtl/>
        </w:rPr>
        <w:t>[</w:t>
      </w:r>
      <w:r>
        <w:rPr>
          <w:rStyle w:val="afb"/>
          <w:rFonts w:hint="cs"/>
          <w:rtl/>
        </w:rPr>
        <w:t>ועי' בדברי</w:t>
      </w:r>
      <w:r w:rsidRPr="00FC54AD">
        <w:rPr>
          <w:rStyle w:val="afb"/>
          <w:rFonts w:hint="cs"/>
          <w:rtl/>
        </w:rPr>
        <w:t xml:space="preserve"> </w:t>
      </w:r>
      <w:r>
        <w:rPr>
          <w:rStyle w:val="affa"/>
          <w:rFonts w:hint="cs"/>
          <w:rtl/>
        </w:rPr>
        <w:t>ה</w:t>
      </w:r>
      <w:r w:rsidRPr="00FC54AD">
        <w:rPr>
          <w:rStyle w:val="affa"/>
          <w:rFonts w:hint="cs"/>
          <w:rtl/>
        </w:rPr>
        <w:t>ר"י מגאש</w:t>
      </w:r>
      <w:r w:rsidRPr="00FC54AD">
        <w:rPr>
          <w:rStyle w:val="afb"/>
          <w:rFonts w:hint="cs"/>
          <w:rtl/>
        </w:rPr>
        <w:t xml:space="preserve"> </w:t>
      </w:r>
      <w:r w:rsidRPr="00FC54AD">
        <w:rPr>
          <w:rStyle w:val="aff6"/>
          <w:rFonts w:hint="cs"/>
          <w:rtl/>
        </w:rPr>
        <w:t xml:space="preserve">(עי' אות </w:t>
      </w:r>
      <w:r w:rsidRPr="00FC54AD">
        <w:rPr>
          <w:rStyle w:val="aff6"/>
          <w:rtl/>
        </w:rPr>
        <w:fldChar w:fldCharType="begin"/>
      </w:r>
      <w:r w:rsidRPr="00FC54AD">
        <w:rPr>
          <w:rStyle w:val="aff6"/>
          <w:rtl/>
        </w:rPr>
        <w:instrText xml:space="preserve"> </w:instrText>
      </w:r>
      <w:r w:rsidRPr="00FC54AD">
        <w:rPr>
          <w:rStyle w:val="aff6"/>
          <w:rFonts w:hint="cs"/>
        </w:rPr>
        <w:instrText>REF</w:instrText>
      </w:r>
      <w:r w:rsidRPr="00FC54AD">
        <w:rPr>
          <w:rStyle w:val="aff6"/>
          <w:rFonts w:hint="cs"/>
          <w:rtl/>
        </w:rPr>
        <w:instrText xml:space="preserve"> _</w:instrText>
      </w:r>
      <w:r w:rsidRPr="00FC54AD">
        <w:rPr>
          <w:rStyle w:val="aff6"/>
          <w:rFonts w:hint="cs"/>
        </w:rPr>
        <w:instrText>Ref62452796 \r \h</w:instrText>
      </w:r>
      <w:r w:rsidRPr="00FC54AD">
        <w:rPr>
          <w:rStyle w:val="aff6"/>
          <w:rtl/>
        </w:rPr>
        <w:instrText xml:space="preserve"> </w:instrText>
      </w:r>
      <w:r w:rsidRPr="00FC54AD">
        <w:rPr>
          <w:rStyle w:val="aff6"/>
          <w:rtl/>
        </w:rPr>
      </w:r>
      <w:r w:rsidRPr="00FC54AD">
        <w:rPr>
          <w:rStyle w:val="aff6"/>
          <w:rtl/>
        </w:rPr>
        <w:fldChar w:fldCharType="separate"/>
      </w:r>
      <w:r w:rsidR="00265073">
        <w:rPr>
          <w:rStyle w:val="aff6"/>
          <w:cs/>
        </w:rPr>
        <w:t>‎</w:t>
      </w:r>
      <w:r w:rsidR="00265073">
        <w:rPr>
          <w:rStyle w:val="aff6"/>
          <w:rtl/>
        </w:rPr>
        <w:t>מב)</w:t>
      </w:r>
      <w:r w:rsidRPr="00FC54AD">
        <w:rPr>
          <w:rStyle w:val="aff6"/>
          <w:rtl/>
        </w:rPr>
        <w:fldChar w:fldCharType="end"/>
      </w:r>
      <w:r w:rsidRPr="00FC54AD">
        <w:rPr>
          <w:rStyle w:val="afb"/>
          <w:rFonts w:hint="cs"/>
          <w:rtl/>
        </w:rPr>
        <w:t>].</w:t>
      </w:r>
      <w:bookmarkEnd w:id="13404"/>
    </w:p>
    <w:p w:rsidR="00EC445E" w:rsidRPr="002226E4" w:rsidRDefault="00EC445E" w:rsidP="00EC445E">
      <w:pPr>
        <w:pStyle w:val="afe"/>
        <w:rPr>
          <w:rtl/>
        </w:rPr>
      </w:pPr>
      <w:bookmarkStart w:id="13405" w:name="_Toc62485674"/>
      <w:r>
        <w:rPr>
          <w:rFonts w:hint="cs"/>
          <w:rtl/>
        </w:rPr>
        <w:t>בד' הקצוה"ח דטענת פטור אינה הודאה</w:t>
      </w:r>
      <w:bookmarkEnd w:id="13405"/>
    </w:p>
    <w:p w:rsidR="00EC445E" w:rsidRDefault="00EC445E" w:rsidP="00EC445E">
      <w:pPr>
        <w:pStyle w:val="1"/>
        <w:rPr>
          <w:rtl/>
        </w:rPr>
      </w:pPr>
      <w:bookmarkStart w:id="13406" w:name="_Toc62485675"/>
      <w:bookmarkStart w:id="13407" w:name="_Toc62386002"/>
      <w:r>
        <w:rPr>
          <w:rFonts w:hint="cs"/>
          <w:rtl/>
        </w:rPr>
        <w:t>בביאור דברי הקצוה"ח דטענתו הראשונה אינה כהודאת בע"ד</w:t>
      </w:r>
      <w:bookmarkEnd w:id="13406"/>
    </w:p>
    <w:p w:rsidR="00EC445E" w:rsidRDefault="00EC445E" w:rsidP="00EC445E">
      <w:pPr>
        <w:pStyle w:val="a3"/>
        <w:rPr>
          <w:rtl/>
        </w:rPr>
      </w:pPr>
      <w:bookmarkStart w:id="13408" w:name="_Toc62485676"/>
      <w:r>
        <w:rPr>
          <w:rFonts w:hint="cs"/>
          <w:rtl/>
        </w:rPr>
        <w:t>ביאור הגר"ח מטעלז בקצוה"ח דטענת חיוב היא כנחקרה בב"ד אך טענת פטור לא נחקרה</w:t>
      </w:r>
      <w:bookmarkEnd w:id="13408"/>
    </w:p>
    <w:p w:rsidR="00EC445E" w:rsidRDefault="00EC445E" w:rsidP="007E4E81">
      <w:pPr>
        <w:pStyle w:val="a0"/>
        <w:rPr>
          <w:rtl/>
        </w:rPr>
      </w:pPr>
      <w:bookmarkStart w:id="13409" w:name="_Ref62469590"/>
      <w:r>
        <w:rPr>
          <w:rFonts w:hint="cs"/>
          <w:rtl/>
        </w:rPr>
        <w:t xml:space="preserve">במ"ש </w:t>
      </w:r>
      <w:r w:rsidRPr="004C4C9F">
        <w:rPr>
          <w:rStyle w:val="af9"/>
          <w:rFonts w:hint="cs"/>
          <w:rtl/>
        </w:rPr>
        <w:t>הקצוה"ח</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Ref62462034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F13805">
        <w:rPr>
          <w:rStyle w:val="af7"/>
          <w:rFonts w:eastAsia="Guttman Hodes"/>
          <w:rtl/>
        </w:rPr>
        <w:fldChar w:fldCharType="end"/>
      </w:r>
      <w:r>
        <w:rPr>
          <w:rFonts w:hint="cs"/>
          <w:rtl/>
        </w:rPr>
        <w:t xml:space="preserve"> דהנאמנות בחוזר וטוען מפטור לפטור, היא כיון דטענתו הראשונה לא חשיבא כהודאת בע"ד, </w:t>
      </w:r>
      <w:r w:rsidRPr="00844D72">
        <w:rPr>
          <w:rtl/>
        </w:rPr>
        <w:t xml:space="preserve">ביאר </w:t>
      </w:r>
      <w:r w:rsidRPr="005B3DBF">
        <w:rPr>
          <w:rStyle w:val="af9"/>
          <w:rFonts w:hint="cs"/>
          <w:rtl/>
        </w:rPr>
        <w:t>בחי' הגר"ח מטעלז</w:t>
      </w:r>
      <w:r>
        <w:rPr>
          <w:rFonts w:hint="cs"/>
          <w:rtl/>
        </w:rPr>
        <w:t xml:space="preserve"> </w:t>
      </w:r>
      <w:r w:rsidRPr="00F13805">
        <w:rPr>
          <w:rStyle w:val="af7"/>
          <w:rFonts w:eastAsia="Guttman Hodes" w:hint="cs"/>
          <w:rtl/>
        </w:rPr>
        <w:t>(סי' י"ב ד"ה ובקצוה"ח)</w:t>
      </w:r>
      <w:r>
        <w:rPr>
          <w:rFonts w:hint="cs"/>
          <w:rtl/>
        </w:rPr>
        <w:t xml:space="preserve"> דהא דבחוזר וטוען מחיוב לפטור אינו נאמן, הוא כיון דאחר שהתחייב בב"ד, חשיבא טענתו כמי שנחקרה בב"ד, אבל בחוזר וטוען מפטור לפטור, כיון שלא נתחייב מחמת טענתו, אינה כמי שנחקרה בב"ד, ולכן לא חשיבא כהודאת בע"ד</w:t>
      </w:r>
      <w:bookmarkEnd w:id="13409"/>
      <w:r>
        <w:rPr>
          <w:rFonts w:hint="cs"/>
          <w:rtl/>
        </w:rPr>
        <w:t>,.</w:t>
      </w:r>
    </w:p>
    <w:p w:rsidR="00EC445E" w:rsidRPr="005B3DBF" w:rsidRDefault="00EC445E" w:rsidP="00EC445E">
      <w:pPr>
        <w:pStyle w:val="a3"/>
        <w:rPr>
          <w:rtl/>
        </w:rPr>
      </w:pPr>
      <w:bookmarkStart w:id="13410" w:name="_Toc62485677"/>
      <w:r>
        <w:rPr>
          <w:rFonts w:hint="cs"/>
          <w:rtl/>
        </w:rPr>
        <w:t>קושית הגר"ח מטעלז על הנתיה"מ דאי אינו מדקרק בפטור אמאי בלא לויתי לא נאמן לחזור</w:t>
      </w:r>
      <w:bookmarkEnd w:id="13410"/>
    </w:p>
    <w:p w:rsidR="00EC445E" w:rsidRDefault="00EC445E" w:rsidP="007E4E81">
      <w:pPr>
        <w:pStyle w:val="a0"/>
        <w:rPr>
          <w:rtl/>
        </w:rPr>
      </w:pPr>
      <w:bookmarkStart w:id="13411" w:name="_Ref62469874"/>
      <w:r>
        <w:rPr>
          <w:rFonts w:hint="cs"/>
          <w:rtl/>
        </w:rPr>
        <w:t xml:space="preserve">והוסיף </w:t>
      </w:r>
      <w:r w:rsidRPr="005B3DBF">
        <w:rPr>
          <w:rStyle w:val="af9"/>
          <w:rFonts w:hint="cs"/>
          <w:rtl/>
        </w:rPr>
        <w:t>בחי' הגר"ח מטעלז</w:t>
      </w:r>
      <w:r>
        <w:rPr>
          <w:rFonts w:hint="cs"/>
          <w:rtl/>
        </w:rPr>
        <w:t xml:space="preserve"> דכן מוכח מהא מהאומר לא לויתי ובאו עדים שלוה וחזר וטען לויתי ופרעתי דאינו נאמן, והיינו דאחר שהוכחש ע"י העדים, ממילא הוא מתחייב בטענתו דכל האומר לא לויתי כאומר לא פרעתי דמי, וחשיב שטענתו נחקרה בב"ד, אך </w:t>
      </w:r>
      <w:r>
        <w:rPr>
          <w:rFonts w:hint="cs"/>
          <w:rtl/>
        </w:rPr>
        <w:t xml:space="preserve">הקשה </w:t>
      </w:r>
      <w:r w:rsidRPr="005B3DBF">
        <w:rPr>
          <w:rStyle w:val="af9"/>
          <w:rFonts w:hint="cs"/>
          <w:rtl/>
        </w:rPr>
        <w:t>בחי' הגר"ח מטעלז</w:t>
      </w:r>
      <w:r>
        <w:rPr>
          <w:rFonts w:hint="cs"/>
          <w:rtl/>
        </w:rPr>
        <w:t xml:space="preserve"> על דברי </w:t>
      </w:r>
      <w:r w:rsidRPr="005B3DBF">
        <w:rPr>
          <w:rStyle w:val="af9"/>
          <w:rFonts w:hint="cs"/>
          <w:rtl/>
        </w:rPr>
        <w:t>הנתיה"מ</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Ref62469718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F13805">
        <w:rPr>
          <w:rStyle w:val="af7"/>
          <w:rFonts w:eastAsia="Guttman Hodes"/>
          <w:rtl/>
        </w:rPr>
        <w:fldChar w:fldCharType="end"/>
      </w:r>
      <w:r>
        <w:rPr>
          <w:rFonts w:hint="cs"/>
          <w:rtl/>
        </w:rPr>
        <w:t xml:space="preserve"> דביאר דהא דהחוזר וטוען מפטור לפטור נאמן הוא כיון שאינו מדקדק בטענת פטור, דא"כ אף כשהכחישוהו העדים שלוה, עדיין יכול לומר דלא דקדק בטענתו, כיון שלא ידע שיבואו עדים, ואמאי אינו נאמן.</w:t>
      </w:r>
      <w:bookmarkEnd w:id="13411"/>
    </w:p>
    <w:p w:rsidR="00EC445E" w:rsidRPr="005B3DBF" w:rsidRDefault="00EC445E" w:rsidP="00EC445E">
      <w:pPr>
        <w:pStyle w:val="a3"/>
        <w:rPr>
          <w:rtl/>
        </w:rPr>
      </w:pPr>
      <w:bookmarkStart w:id="13412" w:name="_Toc62485678"/>
      <w:r>
        <w:rPr>
          <w:rFonts w:hint="cs"/>
          <w:rtl/>
        </w:rPr>
        <w:t>ביאור הגרש"ר בקצוה"ח דאעפ"י דטענת פטור כהודאה מ"מ לא חשיבא כמאה עדים</w:t>
      </w:r>
      <w:bookmarkEnd w:id="13412"/>
    </w:p>
    <w:p w:rsidR="00EC445E" w:rsidRPr="00076CC0" w:rsidRDefault="00EC445E" w:rsidP="007E4E81">
      <w:pPr>
        <w:pStyle w:val="a0"/>
        <w:rPr>
          <w:rtl/>
        </w:rPr>
      </w:pPr>
      <w:bookmarkStart w:id="13413" w:name="_Ref62469598"/>
      <w:bookmarkStart w:id="13414" w:name="_Ref62637524"/>
      <w:r w:rsidRPr="005B3DBF">
        <w:rPr>
          <w:rStyle w:val="af9"/>
          <w:rFonts w:eastAsia="Guttman Adii-Light" w:hint="cs"/>
          <w:rtl/>
        </w:rPr>
        <w:t>ו</w:t>
      </w:r>
      <w:r w:rsidRPr="005B3DBF">
        <w:rPr>
          <w:rStyle w:val="af9"/>
          <w:rFonts w:eastAsia="Guttman Adii-Light"/>
          <w:rtl/>
        </w:rPr>
        <w:t>בחי' רבי שמואל</w:t>
      </w:r>
      <w:r w:rsidRPr="005B3DBF">
        <w:rPr>
          <w:rStyle w:val="af7"/>
          <w:rFonts w:eastAsia="Guttman Hodes"/>
          <w:rtl/>
        </w:rPr>
        <w:t xml:space="preserve"> (סי' ח' או' ב' ד"ה ובקצה"ח) </w:t>
      </w:r>
      <w:r w:rsidRPr="00844D72">
        <w:rPr>
          <w:rtl/>
        </w:rPr>
        <w:t>ביאר</w:t>
      </w:r>
      <w:r>
        <w:rPr>
          <w:rFonts w:hint="cs"/>
          <w:rtl/>
        </w:rPr>
        <w:t xml:space="preserve"> את דברי </w:t>
      </w:r>
      <w:r w:rsidRPr="005B3DBF">
        <w:rPr>
          <w:rStyle w:val="af9"/>
          <w:rFonts w:eastAsia="Guttman Adii-Light" w:hint="cs"/>
          <w:rtl/>
        </w:rPr>
        <w:t>הקצוה"ח</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Ref62462034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F13805">
        <w:rPr>
          <w:rStyle w:val="af7"/>
          <w:rFonts w:eastAsia="Guttman Hodes"/>
          <w:rtl/>
        </w:rPr>
        <w:fldChar w:fldCharType="end"/>
      </w:r>
      <w:r>
        <w:rPr>
          <w:rFonts w:hint="cs"/>
          <w:rtl/>
        </w:rPr>
        <w:t xml:space="preserve"> </w:t>
      </w:r>
      <w:r w:rsidRPr="00844D72">
        <w:rPr>
          <w:rtl/>
        </w:rPr>
        <w:t xml:space="preserve">דאעפ"י שודאי שיש לטענתו הראשונה שם של הודאה, ולכן אם באו עדים אינו נאמן לחזור בו, </w:t>
      </w:r>
      <w:r w:rsidRPr="00844D72">
        <w:rPr>
          <w:rStyle w:val="afb"/>
          <w:rtl/>
        </w:rPr>
        <w:t xml:space="preserve">[לדעת </w:t>
      </w:r>
      <w:r w:rsidRPr="00844D72">
        <w:rPr>
          <w:rStyle w:val="affa"/>
          <w:rtl/>
        </w:rPr>
        <w:t>הש"ך</w:t>
      </w:r>
      <w:r w:rsidRPr="00844D72">
        <w:rPr>
          <w:rStyle w:val="afb"/>
          <w:rtl/>
        </w:rPr>
        <w:t xml:space="preserve"> </w:t>
      </w:r>
      <w:r w:rsidRPr="00844D72">
        <w:rPr>
          <w:rStyle w:val="aff6"/>
          <w:rtl/>
        </w:rPr>
        <w:t xml:space="preserve">(עי' אות </w:t>
      </w:r>
      <w:r w:rsidRPr="00844D72">
        <w:rPr>
          <w:rStyle w:val="aff6"/>
          <w:rtl/>
        </w:rPr>
        <w:fldChar w:fldCharType="begin"/>
      </w:r>
      <w:r w:rsidRPr="00844D72">
        <w:rPr>
          <w:rStyle w:val="aff6"/>
          <w:rtl/>
        </w:rPr>
        <w:instrText xml:space="preserve"> </w:instrText>
      </w:r>
      <w:r w:rsidRPr="00844D72">
        <w:rPr>
          <w:rStyle w:val="aff6"/>
        </w:rPr>
        <w:instrText>REF</w:instrText>
      </w:r>
      <w:r w:rsidRPr="00844D72">
        <w:rPr>
          <w:rStyle w:val="aff6"/>
          <w:rtl/>
        </w:rPr>
        <w:instrText xml:space="preserve"> _</w:instrText>
      </w:r>
      <w:r w:rsidRPr="00844D72">
        <w:rPr>
          <w:rStyle w:val="aff6"/>
        </w:rPr>
        <w:instrText>Ref62382855 \r \h</w:instrText>
      </w:r>
      <w:r w:rsidRPr="00844D72">
        <w:rPr>
          <w:rStyle w:val="aff6"/>
          <w:rtl/>
        </w:rPr>
        <w:instrText xml:space="preserve"> </w:instrText>
      </w:r>
      <w:r w:rsidRPr="00844D72">
        <w:rPr>
          <w:rStyle w:val="aff6"/>
          <w:rtl/>
        </w:rPr>
      </w:r>
      <w:r w:rsidRPr="00844D72">
        <w:rPr>
          <w:rStyle w:val="aff6"/>
          <w:rtl/>
        </w:rPr>
        <w:fldChar w:fldCharType="separate"/>
      </w:r>
      <w:r w:rsidR="00265073">
        <w:rPr>
          <w:rStyle w:val="aff6"/>
          <w:cs/>
        </w:rPr>
        <w:t>‎</w:t>
      </w:r>
      <w:r w:rsidR="00265073">
        <w:rPr>
          <w:rStyle w:val="aff6"/>
          <w:rtl/>
        </w:rPr>
        <w:t>צד)</w:t>
      </w:r>
      <w:r w:rsidRPr="00844D72">
        <w:rPr>
          <w:rStyle w:val="aff6"/>
          <w:rtl/>
        </w:rPr>
        <w:fldChar w:fldCharType="end"/>
      </w:r>
      <w:r w:rsidRPr="00844D72">
        <w:rPr>
          <w:rStyle w:val="afb"/>
          <w:rtl/>
        </w:rPr>
        <w:t xml:space="preserve"> דפליג על </w:t>
      </w:r>
      <w:r w:rsidRPr="00844D72">
        <w:rPr>
          <w:rStyle w:val="affa"/>
          <w:rtl/>
        </w:rPr>
        <w:t>המבי"ט</w:t>
      </w:r>
      <w:r w:rsidRPr="00844D72">
        <w:rPr>
          <w:rStyle w:val="afb"/>
          <w:rtl/>
        </w:rPr>
        <w:t xml:space="preserve"> </w:t>
      </w:r>
      <w:r w:rsidRPr="00844D72">
        <w:rPr>
          <w:rStyle w:val="aff6"/>
          <w:rtl/>
        </w:rPr>
        <w:t xml:space="preserve">(עי' אות </w:t>
      </w:r>
      <w:r w:rsidRPr="00844D72">
        <w:rPr>
          <w:rStyle w:val="aff6"/>
          <w:rtl/>
        </w:rPr>
        <w:fldChar w:fldCharType="begin"/>
      </w:r>
      <w:r w:rsidRPr="00844D72">
        <w:rPr>
          <w:rStyle w:val="aff6"/>
          <w:rtl/>
        </w:rPr>
        <w:instrText xml:space="preserve"> </w:instrText>
      </w:r>
      <w:r w:rsidRPr="00844D72">
        <w:rPr>
          <w:rStyle w:val="aff6"/>
        </w:rPr>
        <w:instrText>REF</w:instrText>
      </w:r>
      <w:r w:rsidRPr="00844D72">
        <w:rPr>
          <w:rStyle w:val="aff6"/>
          <w:rtl/>
        </w:rPr>
        <w:instrText xml:space="preserve"> _</w:instrText>
      </w:r>
      <w:r w:rsidRPr="00844D72">
        <w:rPr>
          <w:rStyle w:val="aff6"/>
        </w:rPr>
        <w:instrText>Ref62382800 \r \h</w:instrText>
      </w:r>
      <w:r w:rsidRPr="00844D72">
        <w:rPr>
          <w:rStyle w:val="aff6"/>
          <w:rtl/>
        </w:rPr>
        <w:instrText xml:space="preserve"> </w:instrText>
      </w:r>
      <w:r w:rsidRPr="00844D72">
        <w:rPr>
          <w:rStyle w:val="aff6"/>
          <w:rtl/>
        </w:rPr>
      </w:r>
      <w:r w:rsidRPr="00844D72">
        <w:rPr>
          <w:rStyle w:val="aff6"/>
          <w:rtl/>
        </w:rPr>
        <w:fldChar w:fldCharType="separate"/>
      </w:r>
      <w:r w:rsidR="00265073">
        <w:rPr>
          <w:rStyle w:val="aff6"/>
          <w:cs/>
        </w:rPr>
        <w:t>‎</w:t>
      </w:r>
      <w:r w:rsidR="00265073">
        <w:rPr>
          <w:rStyle w:val="aff6"/>
          <w:rtl/>
        </w:rPr>
        <w:t>פט)</w:t>
      </w:r>
      <w:r w:rsidRPr="00844D72">
        <w:rPr>
          <w:rStyle w:val="aff6"/>
          <w:rtl/>
        </w:rPr>
        <w:fldChar w:fldCharType="end"/>
      </w:r>
      <w:r w:rsidRPr="00844D72">
        <w:rPr>
          <w:rStyle w:val="afb"/>
          <w:rtl/>
        </w:rPr>
        <w:t xml:space="preserve">], </w:t>
      </w:r>
      <w:r w:rsidRPr="00844D72">
        <w:rPr>
          <w:rtl/>
        </w:rPr>
        <w:t>כיון שהודה בתחילה חייב, מ"מ אין להודאתו נאמנות כמאה עדים, ולכן אם לא באו עדים וחזר וטען, אין נאמנות להודאת בע"ד שלו ויכול לחזור בו.</w:t>
      </w:r>
      <w:bookmarkEnd w:id="13413"/>
      <w:r w:rsidRPr="00045A22">
        <w:rPr>
          <w:rStyle w:val="afb"/>
          <w:rFonts w:hint="cs"/>
          <w:rtl/>
        </w:rPr>
        <w:t xml:space="preserve"> [עי' בדברי </w:t>
      </w:r>
      <w:r w:rsidRPr="00045A22">
        <w:rPr>
          <w:rStyle w:val="affa"/>
          <w:rtl/>
        </w:rPr>
        <w:t>המהר"י בן לב</w:t>
      </w:r>
      <w:r w:rsidRPr="00045A22">
        <w:rPr>
          <w:rStyle w:val="afb"/>
          <w:rtl/>
        </w:rPr>
        <w:t xml:space="preserve"> </w:t>
      </w:r>
      <w:r w:rsidRPr="00045A22">
        <w:rPr>
          <w:rStyle w:val="aff6"/>
          <w:rFonts w:hint="cs"/>
          <w:rtl/>
        </w:rPr>
        <w:t xml:space="preserve">(עי' אות </w:t>
      </w:r>
      <w:r w:rsidRPr="00045A22">
        <w:rPr>
          <w:rStyle w:val="aff6"/>
          <w:rFonts w:hint="cs"/>
          <w:rtl/>
        </w:rPr>
        <w:fldChar w:fldCharType="begin"/>
      </w:r>
      <w:r w:rsidRPr="00045A22">
        <w:rPr>
          <w:rStyle w:val="aff6"/>
          <w:rFonts w:hint="cs"/>
          <w:rtl/>
        </w:rPr>
        <w:instrText xml:space="preserve"> </w:instrText>
      </w:r>
      <w:r w:rsidRPr="00045A22">
        <w:rPr>
          <w:rStyle w:val="aff6"/>
        </w:rPr>
        <w:instrText>REF</w:instrText>
      </w:r>
      <w:r w:rsidRPr="00045A22">
        <w:rPr>
          <w:rStyle w:val="aff6"/>
          <w:rFonts w:hint="cs"/>
          <w:rtl/>
        </w:rPr>
        <w:instrText xml:space="preserve"> _</w:instrText>
      </w:r>
      <w:r w:rsidRPr="00045A22">
        <w:rPr>
          <w:rStyle w:val="aff6"/>
        </w:rPr>
        <w:instrText>Ref62402139 \r \h</w:instrText>
      </w:r>
      <w:r w:rsidRPr="00045A22">
        <w:rPr>
          <w:rStyle w:val="aff6"/>
          <w:rFonts w:hint="cs"/>
          <w:rtl/>
        </w:rPr>
        <w:instrText xml:space="preserve"> </w:instrText>
      </w:r>
      <w:r w:rsidRPr="00045A22">
        <w:rPr>
          <w:rStyle w:val="aff6"/>
          <w:rFonts w:hint="cs"/>
          <w:rtl/>
        </w:rPr>
      </w:r>
      <w:r w:rsidRPr="00045A22">
        <w:rPr>
          <w:rStyle w:val="aff6"/>
          <w:rFonts w:hint="cs"/>
          <w:rtl/>
        </w:rPr>
        <w:fldChar w:fldCharType="separate"/>
      </w:r>
      <w:r w:rsidR="00265073">
        <w:rPr>
          <w:rStyle w:val="aff6"/>
          <w:rFonts w:hint="eastAsia"/>
          <w:cs/>
        </w:rPr>
        <w:t>‎</w:t>
      </w:r>
      <w:r w:rsidR="00265073">
        <w:rPr>
          <w:rStyle w:val="aff6"/>
          <w:rFonts w:hint="eastAsia"/>
          <w:rtl/>
        </w:rPr>
        <w:t>עו</w:t>
      </w:r>
      <w:r w:rsidR="00265073">
        <w:rPr>
          <w:rStyle w:val="aff6"/>
          <w:rtl/>
        </w:rPr>
        <w:t>)</w:t>
      </w:r>
      <w:r w:rsidRPr="00045A22">
        <w:rPr>
          <w:rStyle w:val="aff6"/>
          <w:rFonts w:hint="cs"/>
          <w:rtl/>
        </w:rPr>
        <w:fldChar w:fldCharType="end"/>
      </w:r>
      <w:r w:rsidRPr="00045A22">
        <w:rPr>
          <w:rStyle w:val="afb"/>
          <w:rFonts w:hint="cs"/>
          <w:rtl/>
        </w:rPr>
        <w:t>]</w:t>
      </w:r>
      <w:r>
        <w:rPr>
          <w:rStyle w:val="afb"/>
          <w:rFonts w:hint="cs"/>
          <w:rtl/>
        </w:rPr>
        <w:t>.</w:t>
      </w:r>
      <w:bookmarkEnd w:id="13414"/>
      <w:r>
        <w:rPr>
          <w:rFonts w:hint="cs"/>
          <w:rtl/>
        </w:rPr>
        <w:t xml:space="preserve"> </w:t>
      </w:r>
    </w:p>
    <w:p w:rsidR="00EC445E" w:rsidRDefault="00EC445E" w:rsidP="00EC445E">
      <w:pPr>
        <w:pStyle w:val="a3"/>
        <w:rPr>
          <w:rtl/>
        </w:rPr>
      </w:pPr>
      <w:bookmarkStart w:id="13415" w:name="_Toc62485679"/>
      <w:bookmarkStart w:id="13416" w:name="_Toc62420140"/>
      <w:bookmarkStart w:id="13417" w:name="_Toc62452633"/>
      <w:bookmarkStart w:id="13418" w:name="_Toc62453920"/>
      <w:r>
        <w:rPr>
          <w:rFonts w:hint="cs"/>
          <w:rtl/>
        </w:rPr>
        <w:t>הוכחת הגרנ"פ לדברי הקצוה"ח דאי טענת פטור כהודאה א"כ הודה ששאר הטענות אינם אמת</w:t>
      </w:r>
      <w:bookmarkEnd w:id="13415"/>
    </w:p>
    <w:p w:rsidR="00EC445E" w:rsidRDefault="00EC445E" w:rsidP="007E4E81">
      <w:pPr>
        <w:pStyle w:val="a0"/>
        <w:rPr>
          <w:rtl/>
        </w:rPr>
      </w:pPr>
      <w:bookmarkStart w:id="13419" w:name="_Ref62469606"/>
      <w:r>
        <w:rPr>
          <w:rFonts w:hint="cs"/>
          <w:rtl/>
        </w:rPr>
        <w:t xml:space="preserve">כתב </w:t>
      </w:r>
      <w:r w:rsidRPr="004C4C9F">
        <w:rPr>
          <w:rStyle w:val="af9"/>
          <w:rFonts w:hint="cs"/>
          <w:rtl/>
        </w:rPr>
        <w:t>בחי' רבי נחום</w:t>
      </w:r>
      <w:r>
        <w:rPr>
          <w:rFonts w:hint="cs"/>
          <w:rtl/>
        </w:rPr>
        <w:t xml:space="preserve"> </w:t>
      </w:r>
      <w:r w:rsidRPr="00F13805">
        <w:rPr>
          <w:rStyle w:val="af7"/>
          <w:rFonts w:eastAsia="Guttman Hodes" w:hint="cs"/>
          <w:rtl/>
        </w:rPr>
        <w:t>(או' פ"ט ד"ה ולפי"ד)</w:t>
      </w:r>
      <w:r>
        <w:rPr>
          <w:rFonts w:hint="cs"/>
          <w:rtl/>
        </w:rPr>
        <w:t xml:space="preserve"> דלפי דברי </w:t>
      </w:r>
      <w:r w:rsidRPr="005B3DBF">
        <w:rPr>
          <w:rStyle w:val="af9"/>
          <w:rFonts w:eastAsia="Guttman Adii-Light" w:hint="cs"/>
          <w:rtl/>
        </w:rPr>
        <w:t>הקצוה"ח</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Ref62462034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F13805">
        <w:rPr>
          <w:rStyle w:val="af7"/>
          <w:rFonts w:eastAsia="Guttman Hodes"/>
          <w:rtl/>
        </w:rPr>
        <w:fldChar w:fldCharType="end"/>
      </w:r>
      <w:r>
        <w:rPr>
          <w:rStyle w:val="af7"/>
          <w:rFonts w:eastAsia="Guttman Hodes" w:hint="cs"/>
          <w:rtl/>
        </w:rPr>
        <w:t xml:space="preserve"> </w:t>
      </w:r>
      <w:r>
        <w:rPr>
          <w:rFonts w:hint="cs"/>
          <w:rtl/>
        </w:rPr>
        <w:t xml:space="preserve">מיושב אמאי נאמן להכחיש את טענתו הראשונה, הא כל שטען טענה אחת אף שהוא מפטור לפטור, מ"מ הוא מודה ששאר הטענות אינם אמת, ומוכח כדברי </w:t>
      </w:r>
      <w:r w:rsidRPr="004C4C9F">
        <w:rPr>
          <w:rStyle w:val="af9"/>
          <w:rFonts w:hint="cs"/>
          <w:rtl/>
        </w:rPr>
        <w:t>הקצוה"ח</w:t>
      </w:r>
      <w:r>
        <w:rPr>
          <w:rFonts w:hint="cs"/>
          <w:rtl/>
        </w:rPr>
        <w:t xml:space="preserve"> דטענת פטור לא חשיבא הודאה.</w:t>
      </w:r>
      <w:bookmarkEnd w:id="13419"/>
    </w:p>
    <w:p w:rsidR="00EC445E" w:rsidRDefault="00EC445E" w:rsidP="00EC445E">
      <w:pPr>
        <w:pStyle w:val="afe"/>
        <w:rPr>
          <w:rtl/>
        </w:rPr>
      </w:pPr>
      <w:bookmarkStart w:id="13420" w:name="_Toc62485680"/>
      <w:r>
        <w:rPr>
          <w:rFonts w:hint="cs"/>
          <w:rtl/>
        </w:rPr>
        <w:t>בישוב קו' הקצוה"ח על הר"י מגאש</w:t>
      </w:r>
      <w:bookmarkEnd w:id="13420"/>
    </w:p>
    <w:p w:rsidR="00EC445E" w:rsidRDefault="00EC445E" w:rsidP="00EC445E">
      <w:pPr>
        <w:pStyle w:val="1"/>
        <w:rPr>
          <w:rtl/>
        </w:rPr>
      </w:pPr>
      <w:bookmarkStart w:id="13421" w:name="_Toc62485682"/>
      <w:bookmarkEnd w:id="13407"/>
      <w:bookmarkEnd w:id="13416"/>
      <w:bookmarkEnd w:id="13417"/>
      <w:bookmarkEnd w:id="13418"/>
      <w:r>
        <w:rPr>
          <w:rFonts w:hint="cs"/>
          <w:noProof/>
          <w:rtl/>
        </w:rPr>
        <w:t>ביאור הקוב"ש דבפטור סגי בנאמנות מיגו אף כשיש עדים</w:t>
      </w:r>
      <w:r>
        <w:rPr>
          <w:rFonts w:hint="cs"/>
          <w:rtl/>
        </w:rPr>
        <w:t xml:space="preserve"> </w:t>
      </w:r>
    </w:p>
    <w:p w:rsidR="00EC445E" w:rsidRPr="000F096B" w:rsidRDefault="00EC445E" w:rsidP="00EC445E">
      <w:pPr>
        <w:pStyle w:val="a3"/>
        <w:rPr>
          <w:rtl/>
        </w:rPr>
      </w:pPr>
      <w:r>
        <w:rPr>
          <w:rFonts w:hint="cs"/>
          <w:rtl/>
        </w:rPr>
        <w:t>קושית הקוב"ש והגרנ"פ והגרש"ר דבר"י מגאש וברמ"ה וברשב"א כתבו דנאמן במיגו</w:t>
      </w:r>
      <w:bookmarkEnd w:id="13421"/>
    </w:p>
    <w:p w:rsidR="00EC445E" w:rsidRDefault="00EC445E" w:rsidP="007E4E81">
      <w:pPr>
        <w:pStyle w:val="a0"/>
        <w:rPr>
          <w:rtl/>
        </w:rPr>
      </w:pPr>
      <w:bookmarkStart w:id="13422" w:name="_Ref62385729"/>
      <w:r>
        <w:rPr>
          <w:rFonts w:hint="cs"/>
          <w:rtl/>
        </w:rPr>
        <w:t xml:space="preserve">במ"ש </w:t>
      </w:r>
      <w:r w:rsidRPr="005B3DBF">
        <w:rPr>
          <w:rStyle w:val="af9"/>
          <w:rFonts w:eastAsia="Guttman Adii-Light" w:hint="cs"/>
          <w:rtl/>
        </w:rPr>
        <w:t>הקצוה"ח</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Ref62462034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F13805">
        <w:rPr>
          <w:rStyle w:val="af7"/>
          <w:rFonts w:eastAsia="Guttman Hodes"/>
          <w:rtl/>
        </w:rPr>
        <w:fldChar w:fldCharType="end"/>
      </w:r>
      <w:r>
        <w:rPr>
          <w:rStyle w:val="af7"/>
          <w:rFonts w:eastAsia="Guttman Hodes" w:hint="cs"/>
          <w:rtl/>
        </w:rPr>
        <w:t xml:space="preserve"> </w:t>
      </w:r>
      <w:r>
        <w:rPr>
          <w:rFonts w:hint="cs"/>
          <w:rtl/>
        </w:rPr>
        <w:t xml:space="preserve">דהנאמנות בחוזר וטוען מפטור לפטור, אינה מדין מיגו, אלא כיון דטענתו הראשונה לא חשיבא כהודאת בע"ד, הקשו </w:t>
      </w:r>
      <w:r w:rsidRPr="00266716">
        <w:rPr>
          <w:rStyle w:val="af9"/>
          <w:rFonts w:hint="cs"/>
          <w:rtl/>
        </w:rPr>
        <w:t>הקוב"ש</w:t>
      </w:r>
      <w:r>
        <w:rPr>
          <w:rFonts w:hint="cs"/>
          <w:rtl/>
        </w:rPr>
        <w:t xml:space="preserve"> </w:t>
      </w:r>
      <w:r w:rsidRPr="002A7EAC">
        <w:rPr>
          <w:rStyle w:val="af7"/>
          <w:rFonts w:eastAsia="Guttman Hodes" w:hint="cs"/>
          <w:rtl/>
        </w:rPr>
        <w:t>(או' קי"א)</w:t>
      </w:r>
      <w:r>
        <w:rPr>
          <w:rFonts w:hint="cs"/>
          <w:rtl/>
        </w:rPr>
        <w:t xml:space="preserve"> </w:t>
      </w:r>
      <w:r w:rsidRPr="00266716">
        <w:rPr>
          <w:rStyle w:val="af9"/>
          <w:rFonts w:hint="cs"/>
          <w:rtl/>
        </w:rPr>
        <w:t>ובחי' רבי שמואל</w:t>
      </w:r>
      <w:r>
        <w:rPr>
          <w:rFonts w:hint="cs"/>
          <w:rtl/>
        </w:rPr>
        <w:t xml:space="preserve"> </w:t>
      </w:r>
      <w:r w:rsidRPr="002A7EAC">
        <w:rPr>
          <w:rStyle w:val="af7"/>
          <w:rFonts w:eastAsia="Guttman Hodes" w:hint="cs"/>
          <w:rtl/>
        </w:rPr>
        <w:t>(סי' ח' או' ב' ד"ה</w:t>
      </w:r>
      <w:r>
        <w:rPr>
          <w:rFonts w:hint="cs"/>
          <w:rtl/>
        </w:rPr>
        <w:t xml:space="preserve"> </w:t>
      </w:r>
      <w:r w:rsidRPr="002A7EAC">
        <w:rPr>
          <w:rStyle w:val="af7"/>
          <w:rFonts w:eastAsia="Guttman Hodes" w:hint="cs"/>
          <w:rtl/>
        </w:rPr>
        <w:t>אולם)</w:t>
      </w:r>
      <w:r>
        <w:rPr>
          <w:rFonts w:hint="cs"/>
          <w:rtl/>
        </w:rPr>
        <w:t xml:space="preserve"> </w:t>
      </w:r>
      <w:r w:rsidRPr="004C4C9F">
        <w:rPr>
          <w:rStyle w:val="af9"/>
          <w:rFonts w:hint="cs"/>
          <w:rtl/>
        </w:rPr>
        <w:t>בחי' רבי נחום</w:t>
      </w:r>
      <w:r>
        <w:rPr>
          <w:rFonts w:hint="cs"/>
          <w:rtl/>
        </w:rPr>
        <w:t xml:space="preserve"> </w:t>
      </w:r>
      <w:r w:rsidRPr="002A7EAC">
        <w:rPr>
          <w:rStyle w:val="af7"/>
          <w:rFonts w:eastAsia="Guttman Hodes" w:hint="cs"/>
          <w:rtl/>
        </w:rPr>
        <w:t>(או' פ"ט ד"ה אמנם)</w:t>
      </w:r>
      <w:r>
        <w:rPr>
          <w:rFonts w:hint="cs"/>
          <w:rtl/>
        </w:rPr>
        <w:t xml:space="preserve"> דבדברי </w:t>
      </w:r>
      <w:r w:rsidRPr="005D4052">
        <w:rPr>
          <w:rStyle w:val="af9"/>
          <w:rFonts w:hint="cs"/>
          <w:rtl/>
        </w:rPr>
        <w:t>הר"י מגאש</w:t>
      </w:r>
      <w:r w:rsidRPr="00A63020">
        <w:rPr>
          <w:rStyle w:val="afb"/>
          <w:rFonts w:hint="cs"/>
          <w:rtl/>
        </w:rPr>
        <w:t xml:space="preserve"> </w:t>
      </w:r>
      <w:r w:rsidRPr="005D4052">
        <w:rPr>
          <w:rStyle w:val="af7"/>
          <w:rFonts w:eastAsia="Guttman Hodes" w:hint="cs"/>
          <w:rtl/>
        </w:rPr>
        <w:t xml:space="preserve">(עי' אות </w:t>
      </w:r>
      <w:r w:rsidRPr="005D4052">
        <w:rPr>
          <w:rStyle w:val="af7"/>
          <w:rFonts w:eastAsia="Guttman Hodes"/>
          <w:rtl/>
        </w:rPr>
        <w:fldChar w:fldCharType="begin"/>
      </w:r>
      <w:r w:rsidRPr="005D4052">
        <w:rPr>
          <w:rStyle w:val="af7"/>
          <w:rFonts w:eastAsia="Guttman Hodes"/>
          <w:rtl/>
        </w:rPr>
        <w:instrText xml:space="preserve"> </w:instrText>
      </w:r>
      <w:r w:rsidRPr="005D4052">
        <w:rPr>
          <w:rStyle w:val="af7"/>
          <w:rFonts w:eastAsia="Guttman Hodes" w:hint="cs"/>
        </w:rPr>
        <w:instrText>REF</w:instrText>
      </w:r>
      <w:r w:rsidRPr="005D4052">
        <w:rPr>
          <w:rStyle w:val="af7"/>
          <w:rFonts w:eastAsia="Guttman Hodes" w:hint="cs"/>
          <w:rtl/>
        </w:rPr>
        <w:instrText xml:space="preserve"> _</w:instrText>
      </w:r>
      <w:r w:rsidRPr="005D4052">
        <w:rPr>
          <w:rStyle w:val="af7"/>
          <w:rFonts w:eastAsia="Guttman Hodes" w:hint="cs"/>
        </w:rPr>
        <w:instrText>Ref62452796 \r \h</w:instrText>
      </w:r>
      <w:r w:rsidRPr="005D4052">
        <w:rPr>
          <w:rStyle w:val="af7"/>
          <w:rFonts w:eastAsia="Guttman Hodes"/>
          <w:rtl/>
        </w:rPr>
        <w:instrText xml:space="preserve"> </w:instrText>
      </w:r>
      <w:r w:rsidRPr="005D4052">
        <w:rPr>
          <w:rStyle w:val="af7"/>
          <w:rFonts w:eastAsia="Guttman Hodes"/>
          <w:rtl/>
        </w:rPr>
      </w:r>
      <w:r w:rsidRPr="005D4052">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5D4052">
        <w:rPr>
          <w:rStyle w:val="af7"/>
          <w:rFonts w:eastAsia="Guttman Hodes"/>
          <w:rtl/>
        </w:rPr>
        <w:fldChar w:fldCharType="end"/>
      </w:r>
      <w:r w:rsidRPr="00A63020">
        <w:rPr>
          <w:rStyle w:val="afb"/>
          <w:rFonts w:hint="cs"/>
          <w:rtl/>
        </w:rPr>
        <w:t xml:space="preserve"> </w:t>
      </w:r>
      <w:r w:rsidRPr="005D4052">
        <w:rPr>
          <w:rStyle w:val="af9"/>
          <w:rFonts w:hint="cs"/>
          <w:rtl/>
        </w:rPr>
        <w:t>והיד רמ"ה</w:t>
      </w:r>
      <w:r w:rsidRPr="00A63020">
        <w:rPr>
          <w:rStyle w:val="afb"/>
          <w:rFonts w:hint="cs"/>
          <w:rtl/>
        </w:rPr>
        <w:t xml:space="preserve"> </w:t>
      </w:r>
      <w:r w:rsidRPr="005D4052">
        <w:rPr>
          <w:rStyle w:val="af7"/>
          <w:rFonts w:eastAsia="Guttman Hodes" w:hint="cs"/>
          <w:rtl/>
        </w:rPr>
        <w:t xml:space="preserve">(עי' אות </w:t>
      </w:r>
      <w:r w:rsidRPr="005D4052">
        <w:rPr>
          <w:rStyle w:val="af7"/>
          <w:rFonts w:eastAsia="Guttman Hodes"/>
          <w:rtl/>
        </w:rPr>
        <w:fldChar w:fldCharType="begin"/>
      </w:r>
      <w:r w:rsidRPr="005D4052">
        <w:rPr>
          <w:rStyle w:val="af7"/>
          <w:rFonts w:eastAsia="Guttman Hodes"/>
          <w:rtl/>
        </w:rPr>
        <w:instrText xml:space="preserve"> </w:instrText>
      </w:r>
      <w:r w:rsidRPr="005D4052">
        <w:rPr>
          <w:rStyle w:val="af7"/>
          <w:rFonts w:eastAsia="Guttman Hodes" w:hint="cs"/>
        </w:rPr>
        <w:instrText>REF</w:instrText>
      </w:r>
      <w:r w:rsidRPr="005D4052">
        <w:rPr>
          <w:rStyle w:val="af7"/>
          <w:rFonts w:eastAsia="Guttman Hodes" w:hint="cs"/>
          <w:rtl/>
        </w:rPr>
        <w:instrText xml:space="preserve"> _</w:instrText>
      </w:r>
      <w:r w:rsidRPr="005D4052">
        <w:rPr>
          <w:rStyle w:val="af7"/>
          <w:rFonts w:eastAsia="Guttman Hodes" w:hint="cs"/>
        </w:rPr>
        <w:instrText>Ref62324951 \r \h</w:instrText>
      </w:r>
      <w:r w:rsidRPr="005D4052">
        <w:rPr>
          <w:rStyle w:val="af7"/>
          <w:rFonts w:eastAsia="Guttman Hodes"/>
          <w:rtl/>
        </w:rPr>
        <w:instrText xml:space="preserve"> </w:instrText>
      </w:r>
      <w:r w:rsidRPr="005D4052">
        <w:rPr>
          <w:rStyle w:val="af7"/>
          <w:rFonts w:eastAsia="Guttman Hodes"/>
          <w:rtl/>
        </w:rPr>
      </w:r>
      <w:r w:rsidRPr="005D4052">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5D4052">
        <w:rPr>
          <w:rStyle w:val="af7"/>
          <w:rFonts w:eastAsia="Guttman Hodes"/>
          <w:rtl/>
        </w:rPr>
        <w:fldChar w:fldCharType="end"/>
      </w:r>
      <w:r w:rsidRPr="00A63020">
        <w:rPr>
          <w:rStyle w:val="afb"/>
          <w:rFonts w:hint="cs"/>
          <w:rtl/>
        </w:rPr>
        <w:t xml:space="preserve"> </w:t>
      </w:r>
      <w:r w:rsidRPr="005D4052">
        <w:rPr>
          <w:rStyle w:val="af9"/>
          <w:rFonts w:hint="cs"/>
          <w:rtl/>
        </w:rPr>
        <w:t>והרשב"א בתשו'</w:t>
      </w:r>
      <w:r w:rsidRPr="00A63020">
        <w:rPr>
          <w:rStyle w:val="afb"/>
          <w:rFonts w:hint="cs"/>
          <w:rtl/>
        </w:rPr>
        <w:t xml:space="preserve"> </w:t>
      </w:r>
      <w:r w:rsidRPr="005D4052">
        <w:rPr>
          <w:rStyle w:val="af7"/>
          <w:rFonts w:eastAsia="Guttman Hodes" w:hint="cs"/>
          <w:rtl/>
        </w:rPr>
        <w:t xml:space="preserve">(עי' אות </w:t>
      </w:r>
      <w:r w:rsidRPr="005D4052">
        <w:rPr>
          <w:rStyle w:val="af7"/>
          <w:rFonts w:eastAsia="Guttman Hodes"/>
          <w:rtl/>
        </w:rPr>
        <w:fldChar w:fldCharType="begin"/>
      </w:r>
      <w:r w:rsidRPr="005D4052">
        <w:rPr>
          <w:rStyle w:val="af7"/>
          <w:rFonts w:eastAsia="Guttman Hodes"/>
          <w:rtl/>
        </w:rPr>
        <w:instrText xml:space="preserve"> </w:instrText>
      </w:r>
      <w:r w:rsidRPr="005D4052">
        <w:rPr>
          <w:rStyle w:val="af7"/>
          <w:rFonts w:eastAsia="Guttman Hodes" w:hint="cs"/>
        </w:rPr>
        <w:instrText>REF</w:instrText>
      </w:r>
      <w:r w:rsidRPr="005D4052">
        <w:rPr>
          <w:rStyle w:val="af7"/>
          <w:rFonts w:eastAsia="Guttman Hodes" w:hint="cs"/>
          <w:rtl/>
        </w:rPr>
        <w:instrText xml:space="preserve"> _</w:instrText>
      </w:r>
      <w:r w:rsidRPr="005D4052">
        <w:rPr>
          <w:rStyle w:val="af7"/>
          <w:rFonts w:eastAsia="Guttman Hodes" w:hint="cs"/>
        </w:rPr>
        <w:instrText>Ref62464279 \r \h</w:instrText>
      </w:r>
      <w:r w:rsidRPr="005D4052">
        <w:rPr>
          <w:rStyle w:val="af7"/>
          <w:rFonts w:eastAsia="Guttman Hodes"/>
          <w:rtl/>
        </w:rPr>
        <w:instrText xml:space="preserve"> </w:instrText>
      </w:r>
      <w:r w:rsidRPr="005D4052">
        <w:rPr>
          <w:rStyle w:val="af7"/>
          <w:rFonts w:eastAsia="Guttman Hodes"/>
          <w:rtl/>
        </w:rPr>
      </w:r>
      <w:r w:rsidRPr="005D4052">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5D4052">
        <w:rPr>
          <w:rStyle w:val="af7"/>
          <w:rFonts w:eastAsia="Guttman Hodes"/>
          <w:rtl/>
        </w:rPr>
        <w:fldChar w:fldCharType="end"/>
      </w:r>
      <w:r w:rsidRPr="00A63020">
        <w:rPr>
          <w:rStyle w:val="afb"/>
          <w:rFonts w:hint="cs"/>
          <w:rtl/>
        </w:rPr>
        <w:t xml:space="preserve"> </w:t>
      </w:r>
      <w:r>
        <w:rPr>
          <w:rFonts w:hint="cs"/>
          <w:rtl/>
        </w:rPr>
        <w:t xml:space="preserve">מפורש שהוא מדין מיגו, והוסיף </w:t>
      </w:r>
      <w:r w:rsidRPr="004C4C9F">
        <w:rPr>
          <w:rStyle w:val="af9"/>
          <w:rFonts w:hint="cs"/>
          <w:rtl/>
        </w:rPr>
        <w:t>בחי' רבי נחום</w:t>
      </w:r>
      <w:r>
        <w:rPr>
          <w:rFonts w:hint="cs"/>
          <w:rtl/>
        </w:rPr>
        <w:t xml:space="preserve"> </w:t>
      </w:r>
      <w:r>
        <w:rPr>
          <w:rStyle w:val="af9"/>
          <w:rFonts w:hint="cs"/>
          <w:rtl/>
        </w:rPr>
        <w:t>דה</w:t>
      </w:r>
      <w:r w:rsidRPr="004C4C9F">
        <w:rPr>
          <w:rStyle w:val="af9"/>
          <w:rFonts w:hint="cs"/>
          <w:rtl/>
        </w:rPr>
        <w:t>מ"מ</w:t>
      </w:r>
      <w:r>
        <w:rPr>
          <w:rFonts w:hint="cs"/>
          <w:rtl/>
        </w:rPr>
        <w:t xml:space="preserve"> </w:t>
      </w:r>
      <w:r w:rsidRPr="005D4052">
        <w:rPr>
          <w:rStyle w:val="af7"/>
          <w:rFonts w:eastAsia="Guttman Hodes" w:hint="cs"/>
          <w:rtl/>
        </w:rPr>
        <w:t xml:space="preserve">(עי' אות </w:t>
      </w:r>
      <w:r w:rsidRPr="005D4052">
        <w:rPr>
          <w:rStyle w:val="af7"/>
          <w:rFonts w:eastAsia="Guttman Hodes"/>
          <w:rtl/>
        </w:rPr>
        <w:fldChar w:fldCharType="begin"/>
      </w:r>
      <w:r w:rsidRPr="005D4052">
        <w:rPr>
          <w:rStyle w:val="af7"/>
          <w:rFonts w:eastAsia="Guttman Hodes"/>
          <w:rtl/>
        </w:rPr>
        <w:instrText xml:space="preserve"> </w:instrText>
      </w:r>
      <w:r w:rsidRPr="005D4052">
        <w:rPr>
          <w:rStyle w:val="af7"/>
          <w:rFonts w:eastAsia="Guttman Hodes" w:hint="cs"/>
        </w:rPr>
        <w:instrText>REF</w:instrText>
      </w:r>
      <w:r w:rsidRPr="005D4052">
        <w:rPr>
          <w:rStyle w:val="af7"/>
          <w:rFonts w:eastAsia="Guttman Hodes" w:hint="cs"/>
          <w:rtl/>
        </w:rPr>
        <w:instrText xml:space="preserve"> _</w:instrText>
      </w:r>
      <w:r w:rsidRPr="005D4052">
        <w:rPr>
          <w:rStyle w:val="af7"/>
          <w:rFonts w:eastAsia="Guttman Hodes" w:hint="cs"/>
        </w:rPr>
        <w:instrText>Ref62125009 \r \h</w:instrText>
      </w:r>
      <w:r w:rsidRPr="005D4052">
        <w:rPr>
          <w:rStyle w:val="af7"/>
          <w:rFonts w:eastAsia="Guttman Hodes"/>
          <w:rtl/>
        </w:rPr>
        <w:instrText xml:space="preserve"> </w:instrText>
      </w:r>
      <w:r w:rsidRPr="005D4052">
        <w:rPr>
          <w:rStyle w:val="af7"/>
          <w:rFonts w:eastAsia="Guttman Hodes"/>
          <w:rtl/>
        </w:rPr>
      </w:r>
      <w:r w:rsidRPr="005D4052">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5D4052">
        <w:rPr>
          <w:rStyle w:val="af7"/>
          <w:rFonts w:eastAsia="Guttman Hodes"/>
          <w:rtl/>
        </w:rPr>
        <w:fldChar w:fldCharType="end"/>
      </w:r>
      <w:r>
        <w:rPr>
          <w:rFonts w:hint="cs"/>
          <w:rtl/>
        </w:rPr>
        <w:t xml:space="preserve"> כתב יותר דנאמן מדין הפה שאסר. </w:t>
      </w:r>
      <w:r w:rsidRPr="00D37EF5">
        <w:rPr>
          <w:rStyle w:val="afb"/>
          <w:rFonts w:hint="cs"/>
          <w:rtl/>
        </w:rPr>
        <w:t xml:space="preserve">[ועי' במה שביאר </w:t>
      </w:r>
      <w:r w:rsidRPr="000F096B">
        <w:rPr>
          <w:rStyle w:val="affa"/>
          <w:rFonts w:hint="cs"/>
          <w:rtl/>
        </w:rPr>
        <w:t>בחי' רבי נחום</w:t>
      </w:r>
      <w:r w:rsidRPr="00D37EF5">
        <w:rPr>
          <w:rStyle w:val="afb"/>
          <w:rFonts w:hint="cs"/>
          <w:rtl/>
        </w:rPr>
        <w:t xml:space="preserve"> </w:t>
      </w:r>
      <w:r w:rsidRPr="000F096B">
        <w:rPr>
          <w:rStyle w:val="aff6"/>
          <w:rFonts w:hint="cs"/>
          <w:rtl/>
        </w:rPr>
        <w:t>(או' פ"ט ד"ה ובעיקר)</w:t>
      </w:r>
      <w:r w:rsidRPr="00D37EF5">
        <w:rPr>
          <w:rStyle w:val="afb"/>
          <w:rFonts w:hint="cs"/>
          <w:rtl/>
        </w:rPr>
        <w:t xml:space="preserve"> בדברי </w:t>
      </w:r>
      <w:r w:rsidRPr="000F096B">
        <w:rPr>
          <w:rStyle w:val="affa"/>
          <w:rFonts w:hint="cs"/>
          <w:rtl/>
        </w:rPr>
        <w:t>המ"מ</w:t>
      </w:r>
      <w:r w:rsidRPr="00D37EF5">
        <w:rPr>
          <w:rStyle w:val="afb"/>
          <w:rFonts w:hint="cs"/>
          <w:rtl/>
        </w:rPr>
        <w:t>].</w:t>
      </w:r>
      <w:bookmarkEnd w:id="13422"/>
    </w:p>
    <w:p w:rsidR="00EC445E" w:rsidRPr="000B670A" w:rsidRDefault="00EC445E" w:rsidP="00EC445E">
      <w:pPr>
        <w:pStyle w:val="a3"/>
        <w:rPr>
          <w:rtl/>
        </w:rPr>
      </w:pPr>
      <w:bookmarkStart w:id="13423" w:name="_Toc62485683"/>
      <w:r>
        <w:rPr>
          <w:rFonts w:hint="cs"/>
          <w:rtl/>
        </w:rPr>
        <w:t>תי' הקוב"ש דרק בהפה שאסר וכח הטענה אין מיגו אחר שבאו עדים ובמה לי לשקר נאמן</w:t>
      </w:r>
      <w:bookmarkEnd w:id="13423"/>
    </w:p>
    <w:p w:rsidR="00EC445E" w:rsidRDefault="00EC445E" w:rsidP="007E4E81">
      <w:pPr>
        <w:pStyle w:val="a0"/>
        <w:rPr>
          <w:rStyle w:val="afb"/>
          <w:sz w:val="18"/>
          <w:szCs w:val="18"/>
          <w:rtl/>
        </w:rPr>
      </w:pPr>
      <w:bookmarkStart w:id="13424" w:name="_Ref62469048"/>
      <w:bookmarkStart w:id="13425" w:name="_Ref62471537"/>
      <w:r>
        <w:rPr>
          <w:rFonts w:hint="cs"/>
          <w:rtl/>
        </w:rPr>
        <w:t xml:space="preserve">במה שהקשה </w:t>
      </w:r>
      <w:r w:rsidRPr="00BF121C">
        <w:rPr>
          <w:rStyle w:val="af9"/>
          <w:rFonts w:hint="cs"/>
          <w:rtl/>
        </w:rPr>
        <w:t>הקצוה"ח</w:t>
      </w:r>
      <w:r w:rsidRPr="00C657B4">
        <w:rPr>
          <w:rStyle w:val="af7"/>
          <w:rFonts w:eastAsia="Guttman Hodes" w:hint="cs"/>
          <w:rtl/>
        </w:rPr>
        <w:t xml:space="preserve"> </w:t>
      </w:r>
      <w:r w:rsidRPr="00C657B4">
        <w:rPr>
          <w:rStyle w:val="af7"/>
          <w:rFonts w:eastAsia="Guttman Rashi" w:hint="cs"/>
          <w:rtl/>
        </w:rPr>
        <w:t xml:space="preserve">(עי' אות </w:t>
      </w:r>
      <w:r w:rsidRPr="00C657B4">
        <w:rPr>
          <w:rStyle w:val="af7"/>
          <w:rFonts w:eastAsia="Guttman Rashi"/>
          <w:rtl/>
        </w:rPr>
        <w:fldChar w:fldCharType="begin"/>
      </w:r>
      <w:r w:rsidRPr="00C657B4">
        <w:rPr>
          <w:rStyle w:val="af7"/>
          <w:rFonts w:eastAsia="Guttman Rashi"/>
          <w:rtl/>
        </w:rPr>
        <w:instrText xml:space="preserve"> </w:instrText>
      </w:r>
      <w:r w:rsidRPr="00C657B4">
        <w:rPr>
          <w:rStyle w:val="af7"/>
          <w:rFonts w:eastAsia="Guttman Rashi" w:hint="cs"/>
        </w:rPr>
        <w:instrText>REF</w:instrText>
      </w:r>
      <w:r w:rsidRPr="00C657B4">
        <w:rPr>
          <w:rStyle w:val="af7"/>
          <w:rFonts w:eastAsia="Guttman Rashi" w:hint="cs"/>
          <w:rtl/>
        </w:rPr>
        <w:instrText xml:space="preserve"> _</w:instrText>
      </w:r>
      <w:r w:rsidRPr="00C657B4">
        <w:rPr>
          <w:rStyle w:val="af7"/>
          <w:rFonts w:eastAsia="Guttman Rashi" w:hint="cs"/>
        </w:rPr>
        <w:instrText>Ref62158350 \r \h</w:instrText>
      </w:r>
      <w:r w:rsidRPr="00C657B4">
        <w:rPr>
          <w:rStyle w:val="af7"/>
          <w:rFonts w:eastAsia="Guttman Rashi"/>
          <w:rtl/>
        </w:rPr>
        <w:instrText xml:space="preserve"> </w:instrText>
      </w:r>
      <w:r w:rsidRPr="00C657B4">
        <w:rPr>
          <w:rStyle w:val="af7"/>
          <w:rFonts w:eastAsia="Guttman Rashi"/>
          <w:rtl/>
        </w:rPr>
      </w:r>
      <w:r w:rsidRPr="00C657B4">
        <w:rPr>
          <w:rStyle w:val="af7"/>
          <w:rFonts w:eastAsia="Guttman Rashi"/>
          <w:rtl/>
        </w:rPr>
        <w:fldChar w:fldCharType="separate"/>
      </w:r>
      <w:r w:rsidR="00265073">
        <w:rPr>
          <w:rStyle w:val="af7"/>
          <w:rFonts w:eastAsia="Guttman Rashi"/>
          <w:cs/>
        </w:rPr>
        <w:t>‎</w:t>
      </w:r>
      <w:r w:rsidR="00265073">
        <w:rPr>
          <w:rStyle w:val="af7"/>
          <w:rFonts w:eastAsia="Guttman Rashi"/>
          <w:rtl/>
        </w:rPr>
        <w:t>ע)</w:t>
      </w:r>
      <w:r w:rsidRPr="00C657B4">
        <w:rPr>
          <w:rStyle w:val="af7"/>
          <w:rFonts w:eastAsia="Guttman Rashi"/>
          <w:rtl/>
        </w:rPr>
        <w:fldChar w:fldCharType="end"/>
      </w:r>
      <w:r w:rsidRPr="00C657B4">
        <w:rPr>
          <w:rStyle w:val="af7"/>
          <w:rFonts w:eastAsia="Guttman Hodes" w:hint="cs"/>
          <w:rtl/>
        </w:rPr>
        <w:t xml:space="preserve"> </w:t>
      </w:r>
      <w:r>
        <w:rPr>
          <w:rFonts w:hint="cs"/>
          <w:rtl/>
        </w:rPr>
        <w:t xml:space="preserve">על </w:t>
      </w:r>
      <w:r w:rsidRPr="00A531F0">
        <w:rPr>
          <w:rStyle w:val="af9"/>
          <w:rFonts w:hint="cs"/>
          <w:rtl/>
        </w:rPr>
        <w:t>הר"י מגאש</w:t>
      </w:r>
      <w:r>
        <w:rPr>
          <w:rFonts w:hint="cs"/>
          <w:rtl/>
        </w:rPr>
        <w:t xml:space="preserve"> </w:t>
      </w:r>
      <w:r w:rsidRPr="0093765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Ref62462385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Pr>
          <w:rStyle w:val="af7"/>
          <w:rFonts w:eastAsia="Guttman Hodes"/>
          <w:rtl/>
        </w:rPr>
        <w:fldChar w:fldCharType="end"/>
      </w:r>
      <w:r w:rsidRPr="00937650">
        <w:rPr>
          <w:rStyle w:val="af7"/>
          <w:rFonts w:eastAsia="Guttman Hodes" w:hint="cs"/>
          <w:rtl/>
        </w:rPr>
        <w:t xml:space="preserve"> </w:t>
      </w:r>
      <w:r>
        <w:rPr>
          <w:rFonts w:hint="cs"/>
          <w:rtl/>
        </w:rPr>
        <w:t xml:space="preserve">מהא דבאשת איש הייתי וגרושה אני, אינה נאמנת כשבאו עדים לבסוף, וכן במודה בשטר, כתב </w:t>
      </w:r>
      <w:r w:rsidRPr="000F096B">
        <w:rPr>
          <w:rStyle w:val="af9"/>
          <w:rFonts w:hint="cs"/>
          <w:rtl/>
        </w:rPr>
        <w:t>הקוב"ש</w:t>
      </w:r>
      <w:r>
        <w:rPr>
          <w:rFonts w:hint="cs"/>
          <w:rtl/>
        </w:rPr>
        <w:t xml:space="preserve"> </w:t>
      </w:r>
      <w:r w:rsidRPr="00A444A2">
        <w:rPr>
          <w:rStyle w:val="af7"/>
          <w:rFonts w:eastAsia="Guttman Hodes" w:hint="cs"/>
          <w:rtl/>
        </w:rPr>
        <w:t>(או' קי"ב)</w:t>
      </w:r>
      <w:r>
        <w:rPr>
          <w:rFonts w:hint="cs"/>
          <w:rtl/>
        </w:rPr>
        <w:t xml:space="preserve"> דאי הנאמנות של מיגו, היא מדין מה לשקר, </w:t>
      </w:r>
      <w:r w:rsidRPr="000F096B">
        <w:rPr>
          <w:rStyle w:val="afb"/>
          <w:rFonts w:hint="cs"/>
          <w:rtl/>
        </w:rPr>
        <w:t>[ולא מחמת כח הטענה],</w:t>
      </w:r>
      <w:r>
        <w:rPr>
          <w:rFonts w:hint="cs"/>
          <w:rtl/>
        </w:rPr>
        <w:t xml:space="preserve"> א"כ אנן סהדי דטענתו היא אמת, אף כשבאו עדים אח"כ, דהא בשעת הטענה היה מוכח שטוען אמת, ולא נעקרה ההוכחה הזו למפרע, והביא </w:t>
      </w:r>
      <w:r w:rsidRPr="000B670A">
        <w:rPr>
          <w:rStyle w:val="af9"/>
          <w:rFonts w:hint="cs"/>
          <w:rtl/>
        </w:rPr>
        <w:t>הקוב"ש</w:t>
      </w:r>
      <w:r>
        <w:rPr>
          <w:rFonts w:hint="cs"/>
          <w:rtl/>
        </w:rPr>
        <w:t xml:space="preserve"> את דברי </w:t>
      </w:r>
      <w:r w:rsidRPr="00572280">
        <w:rPr>
          <w:rStyle w:val="af9"/>
          <w:rFonts w:hint="cs"/>
          <w:rtl/>
        </w:rPr>
        <w:t>הרמב"ן בב"ב</w:t>
      </w:r>
      <w:r>
        <w:rPr>
          <w:rFonts w:hint="cs"/>
          <w:rtl/>
        </w:rPr>
        <w:t xml:space="preserve"> </w:t>
      </w:r>
      <w:r w:rsidRPr="00A444A2">
        <w:rPr>
          <w:rStyle w:val="af7"/>
          <w:rFonts w:eastAsia="Guttman Hodes" w:hint="cs"/>
          <w:rtl/>
        </w:rPr>
        <w:t>(ע: ד"ה או)</w:t>
      </w:r>
      <w:r>
        <w:rPr>
          <w:rFonts w:hint="cs"/>
          <w:rtl/>
        </w:rPr>
        <w:t xml:space="preserve"> דכתב דהנאמנות במודה בשטר אינה מדין מיגו, אלא מדין הפה שאסר, וא"כ כל שבאו עדים אח"כ אין לו את דין הפה שאסר כלל, וכן באשת איש הייתי וגרושה אני, דהנאמנות שלה היא מדין הפה שאסר, ולכן אינה נאמנת כשבאו עדים אח"כ</w:t>
      </w:r>
      <w:bookmarkEnd w:id="13424"/>
      <w:r>
        <w:rPr>
          <w:rFonts w:hint="cs"/>
          <w:rtl/>
        </w:rPr>
        <w:t xml:space="preserve">, אך כתב </w:t>
      </w:r>
      <w:r w:rsidRPr="00A531F0">
        <w:rPr>
          <w:rStyle w:val="af9"/>
          <w:rFonts w:hint="cs"/>
          <w:rtl/>
        </w:rPr>
        <w:t>הקוב"ש</w:t>
      </w:r>
      <w:r>
        <w:rPr>
          <w:rFonts w:hint="cs"/>
          <w:rtl/>
        </w:rPr>
        <w:t xml:space="preserve"> דמ"מ נאמן במיגו דמה לי לשקר. </w:t>
      </w:r>
      <w:r w:rsidRPr="00AA0A47">
        <w:rPr>
          <w:rStyle w:val="afb"/>
          <w:rFonts w:hint="cs"/>
          <w:rtl/>
        </w:rPr>
        <w:t xml:space="preserve">[אלא דלא מהני באשת איש נאמנות של מיגו, </w:t>
      </w:r>
      <w:r>
        <w:rPr>
          <w:rStyle w:val="afb"/>
          <w:rFonts w:hint="cs"/>
          <w:rtl/>
        </w:rPr>
        <w:t xml:space="preserve">כיון </w:t>
      </w:r>
      <w:r w:rsidRPr="00AA0A47">
        <w:rPr>
          <w:rStyle w:val="afb"/>
          <w:rFonts w:hint="cs"/>
          <w:rtl/>
        </w:rPr>
        <w:t>שהיא דבר שבערוה, וכן</w:t>
      </w:r>
      <w:r w:rsidRPr="0098113E">
        <w:rPr>
          <w:rStyle w:val="afb"/>
          <w:rFonts w:hint="cs"/>
          <w:rtl/>
        </w:rPr>
        <w:t xml:space="preserve"> </w:t>
      </w:r>
      <w:r>
        <w:rPr>
          <w:rStyle w:val="afb"/>
          <w:rFonts w:hint="cs"/>
          <w:rtl/>
        </w:rPr>
        <w:t xml:space="preserve">לא מהני </w:t>
      </w:r>
      <w:r w:rsidRPr="0098113E">
        <w:rPr>
          <w:rStyle w:val="afb"/>
          <w:rFonts w:hint="cs"/>
          <w:rtl/>
        </w:rPr>
        <w:t xml:space="preserve">בשטר כדביאר </w:t>
      </w:r>
      <w:r w:rsidRPr="0098113E">
        <w:rPr>
          <w:rStyle w:val="affa"/>
          <w:rFonts w:hint="cs"/>
          <w:rtl/>
        </w:rPr>
        <w:t>הרמב"ן בב"ב</w:t>
      </w:r>
      <w:r w:rsidRPr="0098113E">
        <w:rPr>
          <w:rStyle w:val="afb"/>
          <w:rFonts w:hint="cs"/>
          <w:rtl/>
        </w:rPr>
        <w:t>]</w:t>
      </w:r>
      <w:r>
        <w:rPr>
          <w:rStyle w:val="afb"/>
          <w:rFonts w:hint="cs"/>
          <w:rtl/>
        </w:rPr>
        <w:t>.</w:t>
      </w:r>
      <w:bookmarkEnd w:id="13425"/>
      <w:r w:rsidRPr="0098113E">
        <w:rPr>
          <w:rStyle w:val="afb"/>
          <w:rFonts w:hint="cs"/>
          <w:rtl/>
        </w:rPr>
        <w:t xml:space="preserve"> </w:t>
      </w:r>
    </w:p>
    <w:p w:rsidR="00EC445E" w:rsidRPr="00AA0A47" w:rsidRDefault="00EC445E" w:rsidP="00EC445E">
      <w:pPr>
        <w:pStyle w:val="a3"/>
      </w:pPr>
      <w:bookmarkStart w:id="13426" w:name="_Toc62485684"/>
      <w:r>
        <w:rPr>
          <w:rFonts w:hint="cs"/>
          <w:rtl/>
        </w:rPr>
        <w:t>ביאור הקוב"ש דבפטור לפטור סגי בנאמנות מיגו דמה לי לשקר דנאמן אף אחר שבאו עדים</w:t>
      </w:r>
      <w:bookmarkEnd w:id="13426"/>
    </w:p>
    <w:p w:rsidR="00EC445E" w:rsidRDefault="00EC445E" w:rsidP="007E4E81">
      <w:pPr>
        <w:pStyle w:val="a0"/>
        <w:rPr>
          <w:rtl/>
        </w:rPr>
      </w:pPr>
      <w:r>
        <w:rPr>
          <w:rFonts w:hint="cs"/>
          <w:rtl/>
        </w:rPr>
        <w:t xml:space="preserve">ובחוזר וטוען מפטור לפטור, ביאר </w:t>
      </w:r>
      <w:r w:rsidRPr="00A531F0">
        <w:rPr>
          <w:rStyle w:val="af9"/>
          <w:rFonts w:hint="cs"/>
          <w:rtl/>
        </w:rPr>
        <w:t>הקוב"ש</w:t>
      </w:r>
      <w:r>
        <w:rPr>
          <w:rFonts w:hint="cs"/>
          <w:rtl/>
        </w:rPr>
        <w:t xml:space="preserve"> דס"ל </w:t>
      </w:r>
      <w:r w:rsidRPr="00A531F0">
        <w:rPr>
          <w:rStyle w:val="af9"/>
          <w:rFonts w:hint="cs"/>
          <w:rtl/>
        </w:rPr>
        <w:t>להר"י מגאש</w:t>
      </w:r>
      <w:r>
        <w:rPr>
          <w:rFonts w:hint="cs"/>
          <w:rtl/>
        </w:rPr>
        <w:t xml:space="preserve"> </w:t>
      </w:r>
      <w:r w:rsidRPr="0093765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Ref62462385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Pr>
          <w:rStyle w:val="af7"/>
          <w:rFonts w:eastAsia="Guttman Hodes"/>
          <w:rtl/>
        </w:rPr>
        <w:fldChar w:fldCharType="end"/>
      </w:r>
      <w:r w:rsidRPr="00937650">
        <w:rPr>
          <w:rStyle w:val="af7"/>
          <w:rFonts w:eastAsia="Guttman Hodes" w:hint="cs"/>
          <w:rtl/>
        </w:rPr>
        <w:t xml:space="preserve"> </w:t>
      </w:r>
      <w:r>
        <w:rPr>
          <w:rFonts w:hint="cs"/>
          <w:rtl/>
        </w:rPr>
        <w:t>דאף שאחר שבאו עדים, בטל דין הפה שאסר, מ"מ סגי בנאמנות מדין מיגו של מה לי לשקר, אף כשבאו עדים אח"כ והכחישו את טענתו הראשונה,</w:t>
      </w:r>
      <w:r w:rsidRPr="007F6AEC">
        <w:rPr>
          <w:rFonts w:hint="cs"/>
          <w:rtl/>
        </w:rPr>
        <w:t xml:space="preserve"> </w:t>
      </w:r>
      <w:r>
        <w:rPr>
          <w:rFonts w:hint="cs"/>
          <w:rtl/>
        </w:rPr>
        <w:t xml:space="preserve">וכן ביארו </w:t>
      </w:r>
      <w:r w:rsidRPr="009E4C2B">
        <w:rPr>
          <w:rStyle w:val="af9"/>
          <w:rFonts w:hint="cs"/>
          <w:rtl/>
        </w:rPr>
        <w:t xml:space="preserve">בחי' רבי </w:t>
      </w:r>
      <w:r>
        <w:rPr>
          <w:rStyle w:val="af9"/>
          <w:rFonts w:hint="cs"/>
          <w:rtl/>
        </w:rPr>
        <w:t>שמואל</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Ref62483734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Pr>
          <w:rStyle w:val="af7"/>
          <w:rFonts w:eastAsia="Guttman Hodes"/>
          <w:rtl/>
        </w:rPr>
        <w:fldChar w:fldCharType="end"/>
      </w:r>
      <w:r>
        <w:rPr>
          <w:rStyle w:val="af9"/>
          <w:rFonts w:hint="cs"/>
          <w:rtl/>
        </w:rPr>
        <w:t xml:space="preserve"> </w:t>
      </w:r>
      <w:r>
        <w:rPr>
          <w:rStyle w:val="af9"/>
          <w:rFonts w:hint="cs"/>
          <w:rtl/>
        </w:rPr>
        <w:lastRenderedPageBreak/>
        <w:t>ו</w:t>
      </w:r>
      <w:r w:rsidRPr="009E4C2B">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Ref62483672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קטז)</w:t>
      </w:r>
      <w:r>
        <w:rPr>
          <w:rStyle w:val="af7"/>
          <w:rFonts w:eastAsia="Guttman Hodes"/>
          <w:rtl/>
        </w:rPr>
        <w:fldChar w:fldCharType="end"/>
      </w:r>
      <w:r w:rsidRPr="007F75BC">
        <w:rPr>
          <w:rStyle w:val="af9"/>
          <w:rtl/>
        </w:rPr>
        <w:t xml:space="preserve"> </w:t>
      </w:r>
      <w:r>
        <w:rPr>
          <w:rStyle w:val="af9"/>
          <w:rtl/>
        </w:rPr>
        <w:t>ובאבי עזרי</w:t>
      </w:r>
      <w:r>
        <w:rPr>
          <w:rtl/>
        </w:rPr>
        <w:t xml:space="preserve">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Ref62484130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קכב</w:t>
      </w:r>
      <w:r w:rsidR="00265073">
        <w:rPr>
          <w:rStyle w:val="af7"/>
          <w:rFonts w:eastAsiaTheme="minorHAnsi"/>
          <w:rtl/>
        </w:rPr>
        <w:t>)</w:t>
      </w:r>
      <w:r>
        <w:rPr>
          <w:rStyle w:val="af7"/>
          <w:rFonts w:eastAsiaTheme="minorHAnsi" w:hint="cs"/>
          <w:rtl/>
        </w:rPr>
        <w:fldChar w:fldCharType="end"/>
      </w:r>
      <w:r>
        <w:rPr>
          <w:rFonts w:hint="cs"/>
          <w:rtl/>
        </w:rPr>
        <w:t xml:space="preserve">, ועי' במ"ש </w:t>
      </w:r>
      <w:r>
        <w:rPr>
          <w:rStyle w:val="af9"/>
          <w:rtl/>
        </w:rPr>
        <w:t>המחנ"א</w:t>
      </w:r>
      <w:r>
        <w:rPr>
          <w:rtl/>
        </w:rPr>
        <w:t xml:space="preserve"> בשם </w:t>
      </w:r>
      <w:r>
        <w:rPr>
          <w:rStyle w:val="af9"/>
          <w:rtl/>
        </w:rPr>
        <w:t>הפני משה</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Ref62462498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עג</w:t>
      </w:r>
      <w:r w:rsidR="00265073">
        <w:rPr>
          <w:rStyle w:val="af7"/>
          <w:rFonts w:eastAsia="Guttman Hodes"/>
          <w:rtl/>
        </w:rPr>
        <w:t>)</w:t>
      </w:r>
      <w:r>
        <w:rPr>
          <w:rStyle w:val="af7"/>
          <w:rFonts w:eastAsia="Guttman Hodes" w:hint="cs"/>
          <w:rtl/>
        </w:rPr>
        <w:fldChar w:fldCharType="end"/>
      </w:r>
      <w:r>
        <w:rPr>
          <w:rStyle w:val="af1"/>
          <w:rtl/>
        </w:rPr>
        <w:footnoteReference w:id="90"/>
      </w:r>
      <w:r>
        <w:rPr>
          <w:rFonts w:hint="cs"/>
          <w:rtl/>
        </w:rPr>
        <w:t xml:space="preserve">. </w:t>
      </w:r>
    </w:p>
    <w:p w:rsidR="00EC445E" w:rsidRPr="00E224FE" w:rsidRDefault="00EC445E" w:rsidP="00EC445E">
      <w:pPr>
        <w:pStyle w:val="a3"/>
        <w:rPr>
          <w:rtl/>
        </w:rPr>
      </w:pPr>
      <w:bookmarkStart w:id="13427" w:name="_Toc62485685"/>
      <w:r>
        <w:rPr>
          <w:rFonts w:hint="cs"/>
          <w:rtl/>
        </w:rPr>
        <w:t>קושית הגרנ"פ על הקוב"ש דבמ"מ מבואר דבפטור לפטור נאמן מדין הפה שאסר ולא במיגו</w:t>
      </w:r>
      <w:bookmarkEnd w:id="13427"/>
    </w:p>
    <w:p w:rsidR="00EC445E" w:rsidRDefault="00EC445E" w:rsidP="007E4E81">
      <w:pPr>
        <w:pStyle w:val="a0"/>
        <w:rPr>
          <w:rtl/>
        </w:rPr>
      </w:pPr>
      <w:r>
        <w:rPr>
          <w:rFonts w:hint="cs"/>
          <w:rtl/>
        </w:rPr>
        <w:t xml:space="preserve">אך הקשה </w:t>
      </w:r>
      <w:r w:rsidRPr="00266716">
        <w:rPr>
          <w:rStyle w:val="af9"/>
          <w:rFonts w:hint="cs"/>
          <w:rtl/>
        </w:rPr>
        <w:t>בחי' רבי נחום</w:t>
      </w:r>
      <w:r>
        <w:rPr>
          <w:rFonts w:hint="cs"/>
          <w:rtl/>
        </w:rPr>
        <w:t xml:space="preserve"> </w:t>
      </w:r>
      <w:r w:rsidRPr="002A7EAC">
        <w:rPr>
          <w:rStyle w:val="af7"/>
          <w:rFonts w:eastAsia="Guttman Hodes" w:hint="cs"/>
          <w:rtl/>
        </w:rPr>
        <w:t>(או' פ"ט ד"ה והנה)</w:t>
      </w:r>
      <w:r>
        <w:rPr>
          <w:rFonts w:hint="cs"/>
          <w:rtl/>
        </w:rPr>
        <w:t xml:space="preserve"> על ביאור </w:t>
      </w:r>
      <w:r w:rsidRPr="002A7EAC">
        <w:rPr>
          <w:rStyle w:val="af9"/>
          <w:rFonts w:hint="cs"/>
          <w:rtl/>
        </w:rPr>
        <w:t>הקוב"ש</w:t>
      </w:r>
      <w:r>
        <w:rPr>
          <w:rFonts w:hint="cs"/>
          <w:rtl/>
        </w:rPr>
        <w:t xml:space="preserve"> </w:t>
      </w:r>
      <w:r w:rsidRPr="00C657B4">
        <w:rPr>
          <w:rStyle w:val="af7"/>
          <w:rFonts w:eastAsia="Guttman Hodes" w:hint="cs"/>
          <w:rtl/>
        </w:rPr>
        <w:t xml:space="preserve">(עי' אות </w:t>
      </w:r>
      <w:r w:rsidRPr="00C657B4">
        <w:rPr>
          <w:rStyle w:val="af7"/>
          <w:rFonts w:eastAsia="Guttman Hodes"/>
          <w:rtl/>
        </w:rPr>
        <w:fldChar w:fldCharType="begin"/>
      </w:r>
      <w:r w:rsidRPr="00C657B4">
        <w:rPr>
          <w:rStyle w:val="af7"/>
          <w:rFonts w:eastAsia="Guttman Hodes"/>
          <w:rtl/>
        </w:rPr>
        <w:instrText xml:space="preserve"> </w:instrText>
      </w:r>
      <w:r w:rsidRPr="00C657B4">
        <w:rPr>
          <w:rStyle w:val="af7"/>
          <w:rFonts w:eastAsia="Guttman Hodes" w:hint="cs"/>
        </w:rPr>
        <w:instrText>REF</w:instrText>
      </w:r>
      <w:r w:rsidRPr="00C657B4">
        <w:rPr>
          <w:rStyle w:val="af7"/>
          <w:rFonts w:eastAsia="Guttman Hodes" w:hint="cs"/>
          <w:rtl/>
        </w:rPr>
        <w:instrText xml:space="preserve"> _</w:instrText>
      </w:r>
      <w:r w:rsidRPr="00C657B4">
        <w:rPr>
          <w:rStyle w:val="af7"/>
          <w:rFonts w:eastAsia="Guttman Hodes" w:hint="cs"/>
        </w:rPr>
        <w:instrText>Ref62471537 \r \h</w:instrText>
      </w:r>
      <w:r w:rsidRPr="00C657B4">
        <w:rPr>
          <w:rStyle w:val="af7"/>
          <w:rFonts w:eastAsia="Guttman Hodes"/>
          <w:rtl/>
        </w:rPr>
        <w:instrText xml:space="preserve"> </w:instrText>
      </w:r>
      <w:r w:rsidRPr="00C657B4">
        <w:rPr>
          <w:rStyle w:val="af7"/>
          <w:rFonts w:eastAsia="Guttman Hodes"/>
          <w:rtl/>
        </w:rPr>
      </w:r>
      <w:r w:rsidRPr="00C657B4">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C657B4">
        <w:rPr>
          <w:rStyle w:val="af7"/>
          <w:rFonts w:eastAsia="Guttman Hodes"/>
          <w:rtl/>
        </w:rPr>
        <w:fldChar w:fldCharType="end"/>
      </w:r>
      <w:r w:rsidRPr="00C657B4">
        <w:rPr>
          <w:rStyle w:val="af7"/>
          <w:rFonts w:eastAsia="Guttman Hodes" w:hint="cs"/>
          <w:rtl/>
        </w:rPr>
        <w:t xml:space="preserve"> </w:t>
      </w:r>
      <w:r>
        <w:rPr>
          <w:rFonts w:hint="cs"/>
          <w:rtl/>
        </w:rPr>
        <w:t xml:space="preserve">דהא ביאר </w:t>
      </w:r>
      <w:r w:rsidRPr="002A7EAC">
        <w:rPr>
          <w:rStyle w:val="af9"/>
          <w:rFonts w:hint="cs"/>
          <w:rtl/>
        </w:rPr>
        <w:t>המ"מ</w:t>
      </w:r>
      <w:r>
        <w:rPr>
          <w:rFonts w:hint="cs"/>
          <w:rtl/>
        </w:rPr>
        <w:t xml:space="preserve"> </w:t>
      </w:r>
      <w:r w:rsidRPr="005D4052">
        <w:rPr>
          <w:rStyle w:val="af7"/>
          <w:rFonts w:eastAsia="Guttman Hodes" w:hint="cs"/>
          <w:rtl/>
        </w:rPr>
        <w:t xml:space="preserve">(עי' אות </w:t>
      </w:r>
      <w:r w:rsidRPr="005D4052">
        <w:rPr>
          <w:rStyle w:val="af7"/>
          <w:rFonts w:eastAsia="Guttman Hodes"/>
          <w:rtl/>
        </w:rPr>
        <w:fldChar w:fldCharType="begin"/>
      </w:r>
      <w:r w:rsidRPr="005D4052">
        <w:rPr>
          <w:rStyle w:val="af7"/>
          <w:rFonts w:eastAsia="Guttman Hodes"/>
          <w:rtl/>
        </w:rPr>
        <w:instrText xml:space="preserve"> </w:instrText>
      </w:r>
      <w:r w:rsidRPr="005D4052">
        <w:rPr>
          <w:rStyle w:val="af7"/>
          <w:rFonts w:eastAsia="Guttman Hodes" w:hint="cs"/>
        </w:rPr>
        <w:instrText>REF</w:instrText>
      </w:r>
      <w:r w:rsidRPr="005D4052">
        <w:rPr>
          <w:rStyle w:val="af7"/>
          <w:rFonts w:eastAsia="Guttman Hodes" w:hint="cs"/>
          <w:rtl/>
        </w:rPr>
        <w:instrText xml:space="preserve"> _</w:instrText>
      </w:r>
      <w:r w:rsidRPr="005D4052">
        <w:rPr>
          <w:rStyle w:val="af7"/>
          <w:rFonts w:eastAsia="Guttman Hodes" w:hint="cs"/>
        </w:rPr>
        <w:instrText>Ref62125009 \r \h</w:instrText>
      </w:r>
      <w:r w:rsidRPr="005D4052">
        <w:rPr>
          <w:rStyle w:val="af7"/>
          <w:rFonts w:eastAsia="Guttman Hodes"/>
          <w:rtl/>
        </w:rPr>
        <w:instrText xml:space="preserve"> </w:instrText>
      </w:r>
      <w:r w:rsidRPr="005D4052">
        <w:rPr>
          <w:rStyle w:val="af7"/>
          <w:rFonts w:eastAsia="Guttman Hodes"/>
          <w:rtl/>
        </w:rPr>
      </w:r>
      <w:r w:rsidRPr="005D4052">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5D4052">
        <w:rPr>
          <w:rStyle w:val="af7"/>
          <w:rFonts w:eastAsia="Guttman Hodes"/>
          <w:rtl/>
        </w:rPr>
        <w:fldChar w:fldCharType="end"/>
      </w:r>
      <w:r>
        <w:rPr>
          <w:rFonts w:hint="cs"/>
          <w:rtl/>
        </w:rPr>
        <w:t xml:space="preserve"> דהנאמנות בחוזר וטוען מפטור לפטור היא מדין הפה שאסר, וא"כ לביאור </w:t>
      </w:r>
      <w:r w:rsidRPr="002A7EAC">
        <w:rPr>
          <w:rStyle w:val="af9"/>
          <w:rFonts w:hint="cs"/>
          <w:rtl/>
        </w:rPr>
        <w:t>המ"מ</w:t>
      </w:r>
      <w:r>
        <w:rPr>
          <w:rFonts w:hint="cs"/>
          <w:rtl/>
        </w:rPr>
        <w:t xml:space="preserve"> עדיין קשה היאך נאמן כשבאו עדים.</w:t>
      </w:r>
    </w:p>
    <w:p w:rsidR="00EC445E" w:rsidRPr="00345E3B" w:rsidRDefault="00EC445E" w:rsidP="00EC445E">
      <w:pPr>
        <w:pStyle w:val="1"/>
        <w:rPr>
          <w:rtl/>
        </w:rPr>
      </w:pPr>
      <w:bookmarkStart w:id="13428" w:name="_Toc62386003"/>
      <w:bookmarkStart w:id="13429" w:name="_Toc62420141"/>
      <w:bookmarkStart w:id="13430" w:name="_Toc62452634"/>
      <w:bookmarkStart w:id="13431" w:name="_Toc62453921"/>
      <w:bookmarkStart w:id="13432" w:name="_Toc62485686"/>
      <w:r>
        <w:rPr>
          <w:rFonts w:hint="cs"/>
          <w:rtl/>
        </w:rPr>
        <w:t>ביאור רבי נחום</w:t>
      </w:r>
      <w:bookmarkEnd w:id="13428"/>
      <w:bookmarkEnd w:id="13429"/>
      <w:bookmarkEnd w:id="13430"/>
      <w:bookmarkEnd w:id="13431"/>
      <w:r>
        <w:rPr>
          <w:rFonts w:hint="cs"/>
          <w:rtl/>
        </w:rPr>
        <w:t xml:space="preserve"> דבפטור לפטור נאמן דאינה הודאה ויש מיגו</w:t>
      </w:r>
      <w:bookmarkEnd w:id="13432"/>
    </w:p>
    <w:p w:rsidR="00EC445E" w:rsidRPr="00902D5D" w:rsidRDefault="00EC445E" w:rsidP="00EC445E">
      <w:pPr>
        <w:pStyle w:val="a3"/>
        <w:rPr>
          <w:rtl/>
        </w:rPr>
      </w:pPr>
      <w:bookmarkStart w:id="13433" w:name="_Toc62485687"/>
      <w:r>
        <w:rPr>
          <w:rFonts w:hint="cs"/>
          <w:rtl/>
        </w:rPr>
        <w:t>ביאור הגרנ"פ דאין הודאת בע"ד ולכן נאמן כנגד טענתו הראשונה וע"י המיגו אין חשש משקר</w:t>
      </w:r>
      <w:bookmarkEnd w:id="13433"/>
    </w:p>
    <w:p w:rsidR="00EC445E" w:rsidRPr="005971EF" w:rsidRDefault="00EC445E" w:rsidP="007E4E81">
      <w:pPr>
        <w:pStyle w:val="a0"/>
        <w:rPr>
          <w:rStyle w:val="afb"/>
          <w:rtl/>
        </w:rPr>
      </w:pPr>
      <w:bookmarkStart w:id="13434" w:name="_Ref62471919"/>
      <w:r>
        <w:rPr>
          <w:rFonts w:hint="cs"/>
          <w:rtl/>
        </w:rPr>
        <w:t xml:space="preserve">אלא כתב </w:t>
      </w:r>
      <w:r w:rsidRPr="00266716">
        <w:rPr>
          <w:rStyle w:val="af9"/>
          <w:rFonts w:hint="cs"/>
          <w:rtl/>
        </w:rPr>
        <w:t>בחי' רבי נחום</w:t>
      </w:r>
      <w:r>
        <w:rPr>
          <w:rFonts w:hint="cs"/>
          <w:rtl/>
        </w:rPr>
        <w:t xml:space="preserve"> </w:t>
      </w:r>
      <w:r w:rsidRPr="002A7EAC">
        <w:rPr>
          <w:rStyle w:val="af7"/>
          <w:rFonts w:eastAsia="Guttman Hodes" w:hint="cs"/>
          <w:rtl/>
        </w:rPr>
        <w:t>(או' פ"ט ד"ה וע"כ נראה)</w:t>
      </w:r>
      <w:r>
        <w:rPr>
          <w:rFonts w:hint="cs"/>
          <w:rtl/>
        </w:rPr>
        <w:t xml:space="preserve"> דהא דבטוען של אבותי ולא של אבותיך, דלכו"ע אינו נאמן לחזור ולטעון שלקחוה מאבותיך, דהוא מכחיש את דבריו הראשונים, אפש"ל דאינו נאמן מחמת ב' טעמים, הא' שהוא כנגד הודאתו שהודה שלא לקוחה מאבותיך, והטעם הב' דכיון שסותר את דבריו הראשונים, חיישינן שהוא משקר, ולכן אינו נאמן בטענתו השניה, וכתב </w:t>
      </w:r>
      <w:r w:rsidRPr="00266716">
        <w:rPr>
          <w:rStyle w:val="af9"/>
          <w:rFonts w:hint="cs"/>
          <w:rtl/>
        </w:rPr>
        <w:t>בחי' רבי</w:t>
      </w:r>
      <w:r>
        <w:rPr>
          <w:rFonts w:hint="cs"/>
          <w:rtl/>
        </w:rPr>
        <w:t xml:space="preserve"> </w:t>
      </w:r>
      <w:r w:rsidRPr="00266716">
        <w:rPr>
          <w:rStyle w:val="af9"/>
          <w:rFonts w:hint="cs"/>
          <w:rtl/>
        </w:rPr>
        <w:t>נחום</w:t>
      </w:r>
      <w:r>
        <w:rPr>
          <w:rFonts w:hint="cs"/>
          <w:rtl/>
        </w:rPr>
        <w:t xml:space="preserve"> דא"כ בחוזר וטוען מפטור לפטור, מבואר כדברי </w:t>
      </w:r>
      <w:r w:rsidRPr="005B3DBF">
        <w:rPr>
          <w:rStyle w:val="af9"/>
          <w:rFonts w:eastAsia="Guttman Adii-Light" w:hint="cs"/>
          <w:rtl/>
        </w:rPr>
        <w:t>הקצוה"ח</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Ref62462034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F13805">
        <w:rPr>
          <w:rStyle w:val="af7"/>
          <w:rFonts w:eastAsia="Guttman Hodes"/>
          <w:rtl/>
        </w:rPr>
        <w:fldChar w:fldCharType="end"/>
      </w:r>
      <w:r>
        <w:rPr>
          <w:rFonts w:hint="cs"/>
          <w:rtl/>
        </w:rPr>
        <w:t xml:space="preserve">דטענתו הראשונה לא חשיבא כהודאת בע"ד, אך מ"מ ביאר </w:t>
      </w:r>
      <w:r w:rsidRPr="00266716">
        <w:rPr>
          <w:rStyle w:val="af9"/>
          <w:rFonts w:hint="cs"/>
          <w:rtl/>
        </w:rPr>
        <w:t xml:space="preserve">הר"י </w:t>
      </w:r>
      <w:r w:rsidRPr="005D4052">
        <w:rPr>
          <w:rStyle w:val="af9"/>
          <w:rFonts w:hint="cs"/>
          <w:rtl/>
        </w:rPr>
        <w:t>מגאש</w:t>
      </w:r>
      <w:r w:rsidRPr="00A63020">
        <w:rPr>
          <w:rStyle w:val="afb"/>
          <w:rFonts w:hint="cs"/>
          <w:rtl/>
        </w:rPr>
        <w:t xml:space="preserve"> </w:t>
      </w:r>
      <w:r w:rsidRPr="005D4052">
        <w:rPr>
          <w:rStyle w:val="af7"/>
          <w:rFonts w:eastAsia="Guttman Hodes" w:hint="cs"/>
          <w:rtl/>
        </w:rPr>
        <w:t xml:space="preserve">(עי' אות </w:t>
      </w:r>
      <w:r w:rsidRPr="005D4052">
        <w:rPr>
          <w:rStyle w:val="af7"/>
          <w:rFonts w:eastAsia="Guttman Hodes"/>
          <w:rtl/>
        </w:rPr>
        <w:fldChar w:fldCharType="begin"/>
      </w:r>
      <w:r w:rsidRPr="005D4052">
        <w:rPr>
          <w:rStyle w:val="af7"/>
          <w:rFonts w:eastAsia="Guttman Hodes"/>
          <w:rtl/>
        </w:rPr>
        <w:instrText xml:space="preserve"> </w:instrText>
      </w:r>
      <w:r w:rsidRPr="005D4052">
        <w:rPr>
          <w:rStyle w:val="af7"/>
          <w:rFonts w:eastAsia="Guttman Hodes" w:hint="cs"/>
        </w:rPr>
        <w:instrText>REF</w:instrText>
      </w:r>
      <w:r w:rsidRPr="005D4052">
        <w:rPr>
          <w:rStyle w:val="af7"/>
          <w:rFonts w:eastAsia="Guttman Hodes" w:hint="cs"/>
          <w:rtl/>
        </w:rPr>
        <w:instrText xml:space="preserve"> _</w:instrText>
      </w:r>
      <w:r w:rsidRPr="005D4052">
        <w:rPr>
          <w:rStyle w:val="af7"/>
          <w:rFonts w:eastAsia="Guttman Hodes" w:hint="cs"/>
        </w:rPr>
        <w:instrText>Ref62452796 \r \h</w:instrText>
      </w:r>
      <w:r w:rsidRPr="005D4052">
        <w:rPr>
          <w:rStyle w:val="af7"/>
          <w:rFonts w:eastAsia="Guttman Hodes"/>
          <w:rtl/>
        </w:rPr>
        <w:instrText xml:space="preserve"> </w:instrText>
      </w:r>
      <w:r w:rsidRPr="005D4052">
        <w:rPr>
          <w:rStyle w:val="af7"/>
          <w:rFonts w:eastAsia="Guttman Hodes"/>
          <w:rtl/>
        </w:rPr>
      </w:r>
      <w:r w:rsidRPr="005D4052">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5D4052">
        <w:rPr>
          <w:rStyle w:val="af7"/>
          <w:rFonts w:eastAsia="Guttman Hodes"/>
          <w:rtl/>
        </w:rPr>
        <w:fldChar w:fldCharType="end"/>
      </w:r>
      <w:r w:rsidRPr="00A63020">
        <w:rPr>
          <w:rStyle w:val="afb"/>
          <w:rFonts w:hint="cs"/>
          <w:rtl/>
        </w:rPr>
        <w:t xml:space="preserve"> </w:t>
      </w:r>
      <w:r>
        <w:rPr>
          <w:rFonts w:hint="cs"/>
          <w:rtl/>
        </w:rPr>
        <w:t xml:space="preserve">דנאמן מדין מיגו, מחמת הטעם הב', דכיון שחזר בו נראה כמשקר, וע"ז מהני המיגו. </w:t>
      </w:r>
      <w:r w:rsidRPr="005971EF">
        <w:rPr>
          <w:rStyle w:val="afb"/>
          <w:rFonts w:hint="cs"/>
          <w:rtl/>
        </w:rPr>
        <w:t xml:space="preserve">[וכתב </w:t>
      </w:r>
      <w:r w:rsidRPr="005971EF">
        <w:rPr>
          <w:rStyle w:val="affa"/>
          <w:rFonts w:hint="cs"/>
          <w:rtl/>
        </w:rPr>
        <w:t>בחי' רבי נחום</w:t>
      </w:r>
      <w:r w:rsidRPr="005971EF">
        <w:rPr>
          <w:rStyle w:val="afb"/>
          <w:rFonts w:hint="cs"/>
          <w:rtl/>
        </w:rPr>
        <w:t xml:space="preserve"> דא"כ מבואר דל"מ המיגו כנגד הודאת בע"ד, אלא דלא חשיב הודאת בע"ד כלל כדברי </w:t>
      </w:r>
      <w:r w:rsidRPr="005971EF">
        <w:rPr>
          <w:rStyle w:val="affa"/>
          <w:rFonts w:hint="cs"/>
          <w:rtl/>
        </w:rPr>
        <w:t>הקצוה"ח</w:t>
      </w:r>
      <w:r>
        <w:rPr>
          <w:rStyle w:val="afb"/>
          <w:rFonts w:hint="cs"/>
          <w:rtl/>
        </w:rPr>
        <w:t xml:space="preserve">, </w:t>
      </w:r>
      <w:r w:rsidRPr="005971EF">
        <w:rPr>
          <w:rStyle w:val="afb"/>
          <w:rFonts w:hint="cs"/>
          <w:rtl/>
        </w:rPr>
        <w:t>ומ"מ עדיין צריך נאמנות של מיגו].</w:t>
      </w:r>
      <w:bookmarkEnd w:id="13434"/>
    </w:p>
    <w:p w:rsidR="00EC445E" w:rsidRPr="00452E73" w:rsidRDefault="00EC445E" w:rsidP="00EC445E">
      <w:pPr>
        <w:pStyle w:val="1"/>
        <w:rPr>
          <w:rtl/>
        </w:rPr>
      </w:pPr>
      <w:bookmarkStart w:id="13435" w:name="_Toc62485688"/>
      <w:r>
        <w:rPr>
          <w:rFonts w:hint="cs"/>
          <w:rtl/>
        </w:rPr>
        <w:t>בי' הגרנ"פ דהטענה השניה התקבלה כבר ע"י המיגו ולא בטלה</w:t>
      </w:r>
      <w:bookmarkEnd w:id="13435"/>
    </w:p>
    <w:p w:rsidR="00EC445E" w:rsidRDefault="00EC445E" w:rsidP="00EC445E">
      <w:pPr>
        <w:pStyle w:val="a3"/>
        <w:rPr>
          <w:rtl/>
        </w:rPr>
      </w:pPr>
      <w:bookmarkStart w:id="13436" w:name="_Toc62485689"/>
      <w:r>
        <w:rPr>
          <w:rFonts w:hint="cs"/>
          <w:rtl/>
        </w:rPr>
        <w:t>תירוץ הגרנ"פ על קו' הקצוה"ח דצריך מיגו רק כיון שחזר בו ולכן הטענה השניה התקבלה כבר</w:t>
      </w:r>
      <w:bookmarkEnd w:id="13436"/>
      <w:r>
        <w:rPr>
          <w:rFonts w:hint="cs"/>
          <w:rtl/>
        </w:rPr>
        <w:t xml:space="preserve"> </w:t>
      </w:r>
    </w:p>
    <w:p w:rsidR="00EC445E" w:rsidRPr="009E4C2B" w:rsidRDefault="00EC445E" w:rsidP="007E4E81">
      <w:pPr>
        <w:pStyle w:val="a0"/>
        <w:rPr>
          <w:rStyle w:val="afb"/>
          <w:rtl/>
        </w:rPr>
      </w:pPr>
      <w:bookmarkStart w:id="13437" w:name="_Ref62472096"/>
      <w:r>
        <w:rPr>
          <w:rFonts w:hint="cs"/>
          <w:rtl/>
        </w:rPr>
        <w:t xml:space="preserve">ובמה שהקשה </w:t>
      </w:r>
      <w:r w:rsidRPr="00BF121C">
        <w:rPr>
          <w:rStyle w:val="af9"/>
          <w:rFonts w:hint="cs"/>
          <w:rtl/>
        </w:rPr>
        <w:t>הקצוה"ח</w:t>
      </w:r>
      <w:r>
        <w:rPr>
          <w:rFonts w:hint="cs"/>
          <w:rtl/>
        </w:rPr>
        <w:t xml:space="preserve"> </w:t>
      </w:r>
      <w:r w:rsidRPr="00295FB5">
        <w:rPr>
          <w:rStyle w:val="af7"/>
          <w:rFonts w:eastAsia="Guttman Rashi" w:hint="cs"/>
          <w:rtl/>
        </w:rPr>
        <w:t xml:space="preserve">(עי' אות </w:t>
      </w:r>
      <w:r w:rsidRPr="00295FB5">
        <w:rPr>
          <w:rStyle w:val="af7"/>
          <w:rFonts w:eastAsia="Guttman Rashi"/>
          <w:rtl/>
        </w:rPr>
        <w:fldChar w:fldCharType="begin"/>
      </w:r>
      <w:r w:rsidRPr="00295FB5">
        <w:rPr>
          <w:rStyle w:val="af7"/>
          <w:rFonts w:eastAsia="Guttman Rashi"/>
          <w:rtl/>
        </w:rPr>
        <w:instrText xml:space="preserve"> </w:instrText>
      </w:r>
      <w:r w:rsidRPr="00295FB5">
        <w:rPr>
          <w:rStyle w:val="af7"/>
          <w:rFonts w:eastAsia="Guttman Rashi" w:hint="cs"/>
        </w:rPr>
        <w:instrText>REF</w:instrText>
      </w:r>
      <w:r w:rsidRPr="00295FB5">
        <w:rPr>
          <w:rStyle w:val="af7"/>
          <w:rFonts w:eastAsia="Guttman Rashi" w:hint="cs"/>
          <w:rtl/>
        </w:rPr>
        <w:instrText xml:space="preserve"> _</w:instrText>
      </w:r>
      <w:r w:rsidRPr="00295FB5">
        <w:rPr>
          <w:rStyle w:val="af7"/>
          <w:rFonts w:eastAsia="Guttman Rashi" w:hint="cs"/>
        </w:rPr>
        <w:instrText>Ref62158350 \r \h</w:instrText>
      </w:r>
      <w:r w:rsidRPr="00295FB5">
        <w:rPr>
          <w:rStyle w:val="af7"/>
          <w:rFonts w:eastAsia="Guttman Rashi"/>
          <w:rtl/>
        </w:rPr>
        <w:instrText xml:space="preserve"> </w:instrText>
      </w:r>
      <w:r w:rsidRPr="00295FB5">
        <w:rPr>
          <w:rStyle w:val="af7"/>
          <w:rFonts w:eastAsia="Guttman Rashi"/>
          <w:rtl/>
        </w:rPr>
      </w:r>
      <w:r w:rsidRPr="00295FB5">
        <w:rPr>
          <w:rStyle w:val="af7"/>
          <w:rFonts w:eastAsia="Guttman Rashi"/>
          <w:rtl/>
        </w:rPr>
        <w:fldChar w:fldCharType="separate"/>
      </w:r>
      <w:r w:rsidR="00265073">
        <w:rPr>
          <w:rStyle w:val="af7"/>
          <w:rFonts w:eastAsia="Guttman Rashi"/>
          <w:cs/>
        </w:rPr>
        <w:t>‎</w:t>
      </w:r>
      <w:r w:rsidR="00265073">
        <w:rPr>
          <w:rStyle w:val="af7"/>
          <w:rFonts w:eastAsia="Guttman Rashi"/>
          <w:rtl/>
        </w:rPr>
        <w:t>ע)</w:t>
      </w:r>
      <w:r w:rsidRPr="00295FB5">
        <w:rPr>
          <w:rStyle w:val="af7"/>
          <w:rFonts w:eastAsia="Guttman Rashi"/>
          <w:rtl/>
        </w:rPr>
        <w:fldChar w:fldCharType="end"/>
      </w:r>
      <w:r>
        <w:rPr>
          <w:rFonts w:hint="cs"/>
          <w:rtl/>
        </w:rPr>
        <w:t xml:space="preserve"> על </w:t>
      </w:r>
      <w:r w:rsidRPr="00E6246F">
        <w:rPr>
          <w:rStyle w:val="af9"/>
          <w:rFonts w:hint="cs"/>
          <w:rtl/>
        </w:rPr>
        <w:t xml:space="preserve">הר"י </w:t>
      </w:r>
      <w:r w:rsidRPr="00A531F0">
        <w:rPr>
          <w:rStyle w:val="af9"/>
          <w:rFonts w:hint="cs"/>
          <w:rtl/>
        </w:rPr>
        <w:t>מגאש</w:t>
      </w:r>
      <w:r>
        <w:rPr>
          <w:rFonts w:hint="cs"/>
          <w:rtl/>
        </w:rPr>
        <w:t xml:space="preserve"> </w:t>
      </w:r>
      <w:r w:rsidRPr="0093765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Ref62462385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Pr>
          <w:rStyle w:val="af7"/>
          <w:rFonts w:eastAsia="Guttman Hodes"/>
          <w:rtl/>
        </w:rPr>
        <w:fldChar w:fldCharType="end"/>
      </w:r>
      <w:r>
        <w:rPr>
          <w:rFonts w:hint="cs"/>
          <w:rtl/>
        </w:rPr>
        <w:t xml:space="preserve"> מהא דבאשת איש הייתי וגרושה אני, אינה נאמנת כשבאו עדים לבסוף, וכן במודה בשטר, תירץ </w:t>
      </w:r>
      <w:r w:rsidRPr="00E6246F">
        <w:rPr>
          <w:rStyle w:val="af9"/>
          <w:rFonts w:hint="cs"/>
          <w:rtl/>
        </w:rPr>
        <w:t>בחי' רבי נחום</w:t>
      </w:r>
      <w:r>
        <w:rPr>
          <w:rFonts w:hint="cs"/>
          <w:rtl/>
        </w:rPr>
        <w:t xml:space="preserve"> </w:t>
      </w:r>
      <w:r w:rsidRPr="009E4C2B">
        <w:rPr>
          <w:rStyle w:val="af7"/>
          <w:rFonts w:eastAsia="Guttman Hodes" w:hint="cs"/>
          <w:rtl/>
        </w:rPr>
        <w:t>(או' פ"ט ד"ה ובישוב)</w:t>
      </w:r>
      <w:r>
        <w:rPr>
          <w:rFonts w:hint="cs"/>
          <w:rtl/>
        </w:rPr>
        <w:t xml:space="preserve"> דבכל דין מיגו והפה שאסר, הנאמנות במיגו על עיקר הטענה שוטען, דהטענה מצד עצמה היא טענה גרועה, ולכן כל שבאו אח"כ עדים אין לו נאמנות על עיקר טענתו, אבל בחוזר וטוען מפטור לפטור, עיקר הטענה השניה היא טענה טובה, שהוא נאמן בה מחמת עצמה, וכ"מ שהוא צריך מיגו, הוא כיון שחזר מטענתו הראשונה והוא נראה כמשקר, ולכן ס"ל </w:t>
      </w:r>
      <w:r w:rsidRPr="00E6246F">
        <w:rPr>
          <w:rStyle w:val="af9"/>
          <w:rFonts w:hint="cs"/>
          <w:rtl/>
        </w:rPr>
        <w:t>להר"י מגאש</w:t>
      </w:r>
      <w:r>
        <w:rPr>
          <w:rFonts w:hint="cs"/>
          <w:rtl/>
        </w:rPr>
        <w:t xml:space="preserve"> כל שחזר וטען לפני שבאו העדים, ובשעת הטענה היה לו מיגו והתקבלה טענתו, א"כ אף כשבאו אח"כ עדים והתבטל המיגו, מ"מ הטענה עצמה כבר התקבלה והיא מצד עצמה טענה טובה, ויש לו נאמנות בעצם הטענה ולא רק מכח המיגו. </w:t>
      </w:r>
      <w:r w:rsidRPr="009E4C2B">
        <w:rPr>
          <w:rStyle w:val="afb"/>
          <w:rFonts w:hint="cs"/>
          <w:rtl/>
        </w:rPr>
        <w:t xml:space="preserve">[וכ"כ </w:t>
      </w:r>
      <w:r w:rsidRPr="009E4C2B">
        <w:rPr>
          <w:rStyle w:val="affa"/>
          <w:rFonts w:hint="cs"/>
          <w:rtl/>
        </w:rPr>
        <w:t>בהג' הגרמ"ש שפירא על הר"י מגאש</w:t>
      </w:r>
      <w:r w:rsidRPr="009E4C2B">
        <w:rPr>
          <w:rStyle w:val="afb"/>
          <w:rFonts w:hint="cs"/>
          <w:rtl/>
        </w:rPr>
        <w:t xml:space="preserve"> </w:t>
      </w:r>
      <w:r w:rsidRPr="009E4C2B">
        <w:rPr>
          <w:rStyle w:val="aff6"/>
          <w:rFonts w:hint="cs"/>
          <w:rtl/>
        </w:rPr>
        <w:t>(או' ו')</w:t>
      </w:r>
      <w:r w:rsidRPr="009E4C2B">
        <w:rPr>
          <w:rStyle w:val="afb"/>
          <w:rFonts w:hint="cs"/>
          <w:rtl/>
        </w:rPr>
        <w:t>].</w:t>
      </w:r>
      <w:bookmarkEnd w:id="13437"/>
    </w:p>
    <w:p w:rsidR="00EC445E" w:rsidRDefault="00EC445E" w:rsidP="00EC445E">
      <w:pPr>
        <w:pStyle w:val="a3"/>
        <w:rPr>
          <w:rtl/>
        </w:rPr>
      </w:pPr>
      <w:bookmarkStart w:id="13438" w:name="_Toc62485690"/>
      <w:r>
        <w:rPr>
          <w:rFonts w:hint="cs"/>
          <w:rtl/>
        </w:rPr>
        <w:t>ביאור הגרנ"פ דכיון שהטענה השניה טובה בעצמה לא בטלה הראיה של המיגו</w:t>
      </w:r>
      <w:bookmarkEnd w:id="13438"/>
    </w:p>
    <w:p w:rsidR="00EC445E" w:rsidRDefault="00EC445E" w:rsidP="007E4E81">
      <w:pPr>
        <w:pStyle w:val="a0"/>
        <w:rPr>
          <w:rtl/>
        </w:rPr>
      </w:pPr>
      <w:bookmarkStart w:id="13439" w:name="_Ref62483672"/>
      <w:r>
        <w:rPr>
          <w:rFonts w:hint="cs"/>
          <w:rtl/>
        </w:rPr>
        <w:t xml:space="preserve">והוסיף </w:t>
      </w:r>
      <w:r w:rsidRPr="009E4C2B">
        <w:rPr>
          <w:rStyle w:val="af9"/>
          <w:rFonts w:hint="cs"/>
          <w:rtl/>
        </w:rPr>
        <w:t>בחי' רבי נחום</w:t>
      </w:r>
      <w:r>
        <w:rPr>
          <w:rFonts w:hint="cs"/>
          <w:rtl/>
        </w:rPr>
        <w:t xml:space="preserve"> דאפש"ל דכ"מ שהמיגו מתבטל לאחר שבאו עדים, היינו לענין כח הטענה של המיגו, אבל לענין הראיה דמה לי לשקר, אף לאחר שבאו עדים עדיין נשארה הראיה כיון </w:t>
      </w:r>
      <w:r>
        <w:rPr>
          <w:rFonts w:hint="cs"/>
          <w:rtl/>
        </w:rPr>
        <w:t xml:space="preserve">דבשעת הטענה היה לנו הוכחה שאינו משקר, וא"כ בכל דין מיגו שהטענה מצד עצמה היא טענה גרועה, וכל הנאמנות שלו במיגו היא מכח הטענה שהיה יכול לטעון, לכן כשבאו עדים אח"כ בטל כח הטענה של המיגו, אבל בחוזר וטוען דהטענה מצד עצמה היא טענה טובה, והוא צריך מיגו רק כיון שהוא נראה כמשקר כשחזר וטען, לכן אף כשבאו עדים אח"כ לא התבטלה הראיה של המיגו שאינו משקר, וכן ביארו </w:t>
      </w:r>
      <w:r>
        <w:rPr>
          <w:rStyle w:val="af9"/>
          <w:rtl/>
        </w:rPr>
        <w:t>הקוב"ש</w:t>
      </w:r>
      <w:r>
        <w:rPr>
          <w:rtl/>
        </w:rPr>
        <w:t xml:space="preserve">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Ref62471537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קיא</w:t>
      </w:r>
      <w:r w:rsidR="00265073">
        <w:rPr>
          <w:rStyle w:val="af7"/>
          <w:rFonts w:eastAsiaTheme="minorHAnsi"/>
          <w:rtl/>
        </w:rPr>
        <w:t>)</w:t>
      </w:r>
      <w:r>
        <w:rPr>
          <w:rStyle w:val="af7"/>
          <w:rFonts w:eastAsiaTheme="minorHAnsi" w:hint="cs"/>
          <w:rtl/>
        </w:rPr>
        <w:fldChar w:fldCharType="end"/>
      </w:r>
      <w:r w:rsidRPr="007F6AEC">
        <w:rPr>
          <w:rFonts w:hint="cs"/>
          <w:rtl/>
        </w:rPr>
        <w:t xml:space="preserve"> </w:t>
      </w:r>
      <w:r>
        <w:rPr>
          <w:rStyle w:val="af9"/>
          <w:rFonts w:hint="cs"/>
          <w:rtl/>
        </w:rPr>
        <w:t>ו</w:t>
      </w:r>
      <w:r w:rsidRPr="009E4C2B">
        <w:rPr>
          <w:rStyle w:val="af9"/>
          <w:rFonts w:hint="cs"/>
          <w:rtl/>
        </w:rPr>
        <w:t xml:space="preserve">בחי' רבי </w:t>
      </w:r>
      <w:r>
        <w:rPr>
          <w:rStyle w:val="af9"/>
          <w:rFonts w:hint="cs"/>
          <w:rtl/>
        </w:rPr>
        <w:t>שמואל</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Ref62483734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Pr>
          <w:rStyle w:val="af7"/>
          <w:rFonts w:eastAsia="Guttman Hodes"/>
          <w:rtl/>
        </w:rPr>
        <w:fldChar w:fldCharType="end"/>
      </w:r>
      <w:r w:rsidRPr="007F75BC">
        <w:rPr>
          <w:rStyle w:val="af9"/>
          <w:rtl/>
        </w:rPr>
        <w:t xml:space="preserve"> </w:t>
      </w:r>
      <w:r>
        <w:rPr>
          <w:rStyle w:val="af9"/>
          <w:rtl/>
        </w:rPr>
        <w:t>ובאבי עזרי</w:t>
      </w:r>
      <w:r>
        <w:rPr>
          <w:rtl/>
        </w:rPr>
        <w:t xml:space="preserve">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Ref62484130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קכב</w:t>
      </w:r>
      <w:r w:rsidR="00265073">
        <w:rPr>
          <w:rStyle w:val="af7"/>
          <w:rFonts w:eastAsiaTheme="minorHAnsi"/>
          <w:rtl/>
        </w:rPr>
        <w:t>)</w:t>
      </w:r>
      <w:r>
        <w:rPr>
          <w:rStyle w:val="af7"/>
          <w:rFonts w:eastAsiaTheme="minorHAnsi" w:hint="cs"/>
          <w:rtl/>
        </w:rPr>
        <w:fldChar w:fldCharType="end"/>
      </w:r>
      <w:r>
        <w:rPr>
          <w:rFonts w:hint="cs"/>
          <w:rtl/>
        </w:rPr>
        <w:t xml:space="preserve">, ועי' במ"ש </w:t>
      </w:r>
      <w:r>
        <w:rPr>
          <w:rStyle w:val="af9"/>
          <w:rtl/>
        </w:rPr>
        <w:t>המחנ"א</w:t>
      </w:r>
      <w:r>
        <w:rPr>
          <w:rtl/>
        </w:rPr>
        <w:t xml:space="preserve"> בשם </w:t>
      </w:r>
      <w:r>
        <w:rPr>
          <w:rStyle w:val="af9"/>
          <w:rtl/>
        </w:rPr>
        <w:t>הפני משה</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Ref62462498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עג</w:t>
      </w:r>
      <w:r w:rsidR="00265073">
        <w:rPr>
          <w:rStyle w:val="af7"/>
          <w:rFonts w:eastAsia="Guttman Hodes"/>
          <w:rtl/>
        </w:rPr>
        <w:t>)</w:t>
      </w:r>
      <w:r>
        <w:rPr>
          <w:rStyle w:val="af7"/>
          <w:rFonts w:eastAsia="Guttman Hodes" w:hint="cs"/>
          <w:rtl/>
        </w:rPr>
        <w:fldChar w:fldCharType="end"/>
      </w:r>
      <w:r>
        <w:rPr>
          <w:rFonts w:hint="cs"/>
          <w:rtl/>
        </w:rPr>
        <w:t xml:space="preserve">, ועיי"ש במה שהוסיף </w:t>
      </w:r>
      <w:r w:rsidRPr="009E4C2B">
        <w:rPr>
          <w:rStyle w:val="af9"/>
          <w:rFonts w:hint="cs"/>
          <w:rtl/>
        </w:rPr>
        <w:t>בחי' רבי נחום</w:t>
      </w:r>
      <w:r>
        <w:rPr>
          <w:rFonts w:hint="cs"/>
          <w:rtl/>
        </w:rPr>
        <w:t xml:space="preserve"> </w:t>
      </w:r>
      <w:r w:rsidRPr="009E4C2B">
        <w:rPr>
          <w:rStyle w:val="af7"/>
          <w:rFonts w:eastAsia="Guttman Hodes" w:hint="cs"/>
          <w:rtl/>
        </w:rPr>
        <w:t xml:space="preserve">(או' פ"ט ד"ה ובאופן) </w:t>
      </w:r>
      <w:r>
        <w:rPr>
          <w:rFonts w:hint="cs"/>
          <w:rtl/>
        </w:rPr>
        <w:t xml:space="preserve">תירוץ נוסף על קושית </w:t>
      </w:r>
      <w:r w:rsidRPr="009E4C2B">
        <w:rPr>
          <w:rStyle w:val="af9"/>
          <w:rFonts w:hint="cs"/>
          <w:rtl/>
        </w:rPr>
        <w:t>הקצוה"ח</w:t>
      </w:r>
      <w:r>
        <w:rPr>
          <w:rFonts w:hint="cs"/>
          <w:rtl/>
        </w:rPr>
        <w:t>.</w:t>
      </w:r>
      <w:bookmarkEnd w:id="13439"/>
    </w:p>
    <w:p w:rsidR="00EC445E" w:rsidRDefault="00EC445E" w:rsidP="00EC445E">
      <w:pPr>
        <w:pStyle w:val="1"/>
        <w:rPr>
          <w:rtl/>
        </w:rPr>
      </w:pPr>
      <w:bookmarkStart w:id="13440" w:name="_Toc62420143"/>
      <w:bookmarkStart w:id="13441" w:name="_Toc62452636"/>
      <w:bookmarkStart w:id="13442" w:name="_Toc62453923"/>
      <w:bookmarkStart w:id="13443" w:name="_Toc62485691"/>
      <w:r>
        <w:rPr>
          <w:rFonts w:hint="cs"/>
          <w:rtl/>
        </w:rPr>
        <w:t>בי' הגרנ"פ</w:t>
      </w:r>
      <w:bookmarkEnd w:id="13440"/>
      <w:bookmarkEnd w:id="13441"/>
      <w:bookmarkEnd w:id="13442"/>
      <w:r>
        <w:rPr>
          <w:rFonts w:hint="cs"/>
          <w:rtl/>
        </w:rPr>
        <w:t xml:space="preserve"> דנח' הר"י מגאש והרמ"ה אי בפטור חשיב חוזר וטוען</w:t>
      </w:r>
      <w:bookmarkEnd w:id="13443"/>
    </w:p>
    <w:p w:rsidR="00EC445E" w:rsidRDefault="00EC445E" w:rsidP="00EC445E">
      <w:pPr>
        <w:pStyle w:val="a3"/>
        <w:rPr>
          <w:rtl/>
        </w:rPr>
      </w:pPr>
      <w:bookmarkStart w:id="13444" w:name="_Toc62485692"/>
      <w:r>
        <w:rPr>
          <w:rFonts w:hint="cs"/>
          <w:rtl/>
        </w:rPr>
        <w:t>ביאור הגרנ"פ דלר"י מגאש בפטור לפטור אינו חשיב כחוזר וטוען ולרמ"ה נאמן רק מחמת מיגו</w:t>
      </w:r>
      <w:bookmarkEnd w:id="13444"/>
    </w:p>
    <w:p w:rsidR="00EC445E" w:rsidRDefault="00EC445E" w:rsidP="007E4E81">
      <w:pPr>
        <w:pStyle w:val="a0"/>
        <w:rPr>
          <w:rtl/>
        </w:rPr>
      </w:pPr>
      <w:bookmarkStart w:id="13445" w:name="_Ref62472483"/>
      <w:r>
        <w:rPr>
          <w:rFonts w:hint="cs"/>
          <w:rtl/>
        </w:rPr>
        <w:t xml:space="preserve">אך כתב </w:t>
      </w:r>
      <w:r w:rsidRPr="00E6246F">
        <w:rPr>
          <w:rStyle w:val="af9"/>
          <w:rFonts w:hint="cs"/>
          <w:rtl/>
        </w:rPr>
        <w:t>בחי' רבי נחום</w:t>
      </w:r>
      <w:r>
        <w:rPr>
          <w:rFonts w:hint="cs"/>
          <w:rtl/>
        </w:rPr>
        <w:t xml:space="preserve"> </w:t>
      </w:r>
      <w:r w:rsidRPr="00395EC0">
        <w:rPr>
          <w:rStyle w:val="af7"/>
          <w:rFonts w:eastAsia="Guttman Hodes" w:hint="cs"/>
          <w:rtl/>
        </w:rPr>
        <w:t>(או' צ"א)</w:t>
      </w:r>
      <w:r>
        <w:rPr>
          <w:rFonts w:hint="cs"/>
          <w:rtl/>
        </w:rPr>
        <w:t xml:space="preserve"> דרק בדעת </w:t>
      </w:r>
      <w:r w:rsidRPr="00E6246F">
        <w:rPr>
          <w:rStyle w:val="af9"/>
          <w:rFonts w:hint="cs"/>
          <w:rtl/>
        </w:rPr>
        <w:t xml:space="preserve">הר"י </w:t>
      </w:r>
      <w:r w:rsidRPr="00A531F0">
        <w:rPr>
          <w:rStyle w:val="af9"/>
          <w:rFonts w:hint="cs"/>
          <w:rtl/>
        </w:rPr>
        <w:t>מגאש</w:t>
      </w:r>
      <w:r>
        <w:rPr>
          <w:rFonts w:hint="cs"/>
          <w:rtl/>
        </w:rPr>
        <w:t xml:space="preserve"> </w:t>
      </w:r>
      <w:r w:rsidRPr="0093765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Ref62462385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Pr>
          <w:rStyle w:val="af7"/>
          <w:rFonts w:eastAsia="Guttman Hodes"/>
          <w:rtl/>
        </w:rPr>
        <w:fldChar w:fldCharType="end"/>
      </w:r>
      <w:r>
        <w:rPr>
          <w:rFonts w:hint="cs"/>
          <w:rtl/>
        </w:rPr>
        <w:t xml:space="preserve"> אפשר לבאר דכיון שהמיגו הוא רק בכדי לבטל את החשש משקר, לכן נאמן אף כשבאו העדים לאחר שחזר וטען, אך לפי"ז לא מבואר במה נחלק עליו </w:t>
      </w:r>
      <w:r w:rsidRPr="00E6246F">
        <w:rPr>
          <w:rStyle w:val="af9"/>
          <w:rFonts w:hint="cs"/>
          <w:rtl/>
        </w:rPr>
        <w:t>היד רמ"ה</w:t>
      </w:r>
      <w:r>
        <w:rPr>
          <w:rFonts w:hint="cs"/>
          <w:rtl/>
        </w:rPr>
        <w:t xml:space="preserve"> </w:t>
      </w:r>
      <w:r w:rsidRPr="007325FC">
        <w:rPr>
          <w:rStyle w:val="af7"/>
          <w:rFonts w:eastAsia="Guttman Hodes" w:hint="cs"/>
          <w:rtl/>
        </w:rPr>
        <w:t xml:space="preserve">(עי' אות </w:t>
      </w:r>
      <w:r w:rsidRPr="007325FC">
        <w:rPr>
          <w:rStyle w:val="af7"/>
          <w:rFonts w:eastAsia="Guttman Hodes"/>
          <w:rtl/>
        </w:rPr>
        <w:fldChar w:fldCharType="begin"/>
      </w:r>
      <w:r w:rsidRPr="007325FC">
        <w:rPr>
          <w:rStyle w:val="af7"/>
          <w:rFonts w:eastAsia="Guttman Hodes"/>
          <w:rtl/>
        </w:rPr>
        <w:instrText xml:space="preserve"> </w:instrText>
      </w:r>
      <w:r w:rsidRPr="007325FC">
        <w:rPr>
          <w:rStyle w:val="af7"/>
          <w:rFonts w:eastAsia="Guttman Hodes" w:hint="cs"/>
        </w:rPr>
        <w:instrText>REF</w:instrText>
      </w:r>
      <w:r w:rsidRPr="007325FC">
        <w:rPr>
          <w:rStyle w:val="af7"/>
          <w:rFonts w:eastAsia="Guttman Hodes" w:hint="cs"/>
          <w:rtl/>
        </w:rPr>
        <w:instrText xml:space="preserve"> _</w:instrText>
      </w:r>
      <w:r w:rsidRPr="007325FC">
        <w:rPr>
          <w:rStyle w:val="af7"/>
          <w:rFonts w:eastAsia="Guttman Hodes" w:hint="cs"/>
        </w:rPr>
        <w:instrText>Ref62324951 \r \h</w:instrText>
      </w:r>
      <w:r w:rsidRPr="007325FC">
        <w:rPr>
          <w:rStyle w:val="af7"/>
          <w:rFonts w:eastAsia="Guttman Hodes"/>
          <w:rtl/>
        </w:rPr>
        <w:instrText xml:space="preserve"> </w:instrText>
      </w:r>
      <w:r w:rsidRPr="007325FC">
        <w:rPr>
          <w:rStyle w:val="af7"/>
          <w:rFonts w:eastAsia="Guttman Hodes"/>
          <w:rtl/>
        </w:rPr>
      </w:r>
      <w:r w:rsidRPr="007325FC">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7325FC">
        <w:rPr>
          <w:rStyle w:val="af7"/>
          <w:rFonts w:eastAsia="Guttman Hodes"/>
          <w:rtl/>
        </w:rPr>
        <w:fldChar w:fldCharType="end"/>
      </w:r>
      <w:r>
        <w:rPr>
          <w:rFonts w:hint="cs"/>
          <w:rtl/>
        </w:rPr>
        <w:t xml:space="preserve"> דס"ל דאף כשבאו העדים לאחר שחזר וטען אינו נאמן, ולכן ביאר </w:t>
      </w:r>
      <w:r w:rsidRPr="007325FC">
        <w:rPr>
          <w:rStyle w:val="af9"/>
          <w:rFonts w:hint="cs"/>
          <w:rtl/>
        </w:rPr>
        <w:t xml:space="preserve">בחי' רבי נחום דהר"י מגאש </w:t>
      </w:r>
      <w:r>
        <w:rPr>
          <w:rFonts w:hint="cs"/>
          <w:rtl/>
        </w:rPr>
        <w:t xml:space="preserve">ס"ל דבחוזר מפטור לפטור, לא חשיב כחוזר וטוען כלל, ומדיני טענות באמת א"צ כל נאמנות, ורק כיון שיש חשש משקר צריך מיגו, </w:t>
      </w:r>
      <w:r w:rsidRPr="00CE15F1">
        <w:rPr>
          <w:rStyle w:val="afb"/>
          <w:rFonts w:hint="cs"/>
          <w:rtl/>
        </w:rPr>
        <w:t>[</w:t>
      </w:r>
      <w:r>
        <w:rPr>
          <w:rStyle w:val="afb"/>
          <w:rFonts w:hint="cs"/>
          <w:rtl/>
        </w:rPr>
        <w:t xml:space="preserve">וכן </w:t>
      </w:r>
      <w:r w:rsidRPr="00CE15F1">
        <w:rPr>
          <w:rStyle w:val="afb"/>
          <w:rFonts w:hint="cs"/>
          <w:rtl/>
        </w:rPr>
        <w:t xml:space="preserve">ביאר </w:t>
      </w:r>
      <w:r w:rsidRPr="00CE15F1">
        <w:rPr>
          <w:rStyle w:val="affa"/>
          <w:rFonts w:hint="cs"/>
          <w:rtl/>
        </w:rPr>
        <w:t xml:space="preserve">בחי' רבי נחום </w:t>
      </w:r>
      <w:r w:rsidRPr="00197718">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Ref62484832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קכה)</w:t>
      </w:r>
      <w:r>
        <w:rPr>
          <w:rStyle w:val="aff6"/>
          <w:rtl/>
        </w:rPr>
        <w:fldChar w:fldCharType="end"/>
      </w:r>
      <w:r>
        <w:rPr>
          <w:rStyle w:val="aff6"/>
          <w:rFonts w:hint="cs"/>
          <w:rtl/>
        </w:rPr>
        <w:t xml:space="preserve"> </w:t>
      </w:r>
      <w:r w:rsidRPr="00CE15F1">
        <w:rPr>
          <w:rStyle w:val="afb"/>
          <w:rFonts w:hint="cs"/>
          <w:rtl/>
        </w:rPr>
        <w:t xml:space="preserve">בדעת </w:t>
      </w:r>
      <w:r>
        <w:rPr>
          <w:rStyle w:val="affa"/>
          <w:rFonts w:hint="cs"/>
          <w:rtl/>
        </w:rPr>
        <w:t>הריטב"א</w:t>
      </w:r>
      <w:r w:rsidRPr="00197718">
        <w:rPr>
          <w:rStyle w:val="afb"/>
          <w:rFonts w:hint="cs"/>
          <w:rtl/>
        </w:rPr>
        <w:t>]</w:t>
      </w:r>
      <w:r>
        <w:rPr>
          <w:rStyle w:val="afb"/>
          <w:rFonts w:hint="cs"/>
          <w:rtl/>
        </w:rPr>
        <w:t>,</w:t>
      </w:r>
      <w:r>
        <w:rPr>
          <w:rFonts w:hint="cs"/>
          <w:rtl/>
        </w:rPr>
        <w:t xml:space="preserve"> אבל בדעת </w:t>
      </w:r>
      <w:r w:rsidRPr="007325FC">
        <w:rPr>
          <w:rStyle w:val="af9"/>
          <w:rFonts w:hint="cs"/>
          <w:rtl/>
        </w:rPr>
        <w:t xml:space="preserve">היד רמ"ה </w:t>
      </w:r>
      <w:r>
        <w:rPr>
          <w:rFonts w:hint="cs"/>
          <w:rtl/>
        </w:rPr>
        <w:t xml:space="preserve">ביאר </w:t>
      </w:r>
      <w:r w:rsidRPr="007325FC">
        <w:rPr>
          <w:rStyle w:val="af9"/>
          <w:rFonts w:hint="cs"/>
          <w:rtl/>
        </w:rPr>
        <w:t xml:space="preserve">בחי' רבי נחום </w:t>
      </w:r>
      <w:r>
        <w:rPr>
          <w:rFonts w:hint="cs"/>
          <w:rtl/>
        </w:rPr>
        <w:t>דס"ל דאף בחוזר וטוען מפטור לפטור, חשיב כחוזר וטוען, ורק מחמת שיש לו מיגו הוא נאמן בטענתו השניה.</w:t>
      </w:r>
      <w:bookmarkEnd w:id="13445"/>
    </w:p>
    <w:p w:rsidR="00EC445E" w:rsidRPr="00835D17" w:rsidRDefault="00EC445E" w:rsidP="00EC445E">
      <w:pPr>
        <w:pStyle w:val="a3"/>
        <w:rPr>
          <w:rtl/>
        </w:rPr>
      </w:pPr>
      <w:bookmarkStart w:id="13446" w:name="_Toc62485693"/>
      <w:r>
        <w:rPr>
          <w:rFonts w:hint="cs"/>
          <w:rtl/>
        </w:rPr>
        <w:t>ביאור הגרנ"פ דכשבאו עדים לר"י מגאש נשאר מיגו דלא משקר ולרמ"ה בטלה עיקר הנאמנות</w:t>
      </w:r>
      <w:bookmarkEnd w:id="13446"/>
    </w:p>
    <w:p w:rsidR="00EC445E" w:rsidRPr="002A7EAC" w:rsidRDefault="00EC445E" w:rsidP="007E4E81">
      <w:pPr>
        <w:pStyle w:val="a0"/>
        <w:rPr>
          <w:rStyle w:val="afb"/>
          <w:rtl/>
        </w:rPr>
      </w:pPr>
      <w:r>
        <w:rPr>
          <w:rFonts w:hint="cs"/>
          <w:rtl/>
        </w:rPr>
        <w:t xml:space="preserve">וכתב </w:t>
      </w:r>
      <w:r w:rsidRPr="00266716">
        <w:rPr>
          <w:rStyle w:val="af9"/>
          <w:rFonts w:hint="cs"/>
          <w:rtl/>
        </w:rPr>
        <w:t>בחי' רבי נחום</w:t>
      </w:r>
      <w:r>
        <w:rPr>
          <w:rFonts w:hint="cs"/>
          <w:rtl/>
        </w:rPr>
        <w:t xml:space="preserve"> דלכן כשבאו עדים לאחר המיגו, לדעת </w:t>
      </w:r>
      <w:r w:rsidRPr="00266716">
        <w:rPr>
          <w:rStyle w:val="af9"/>
          <w:rFonts w:hint="cs"/>
          <w:rtl/>
        </w:rPr>
        <w:t>הר"י מגאש</w:t>
      </w:r>
      <w:r>
        <w:rPr>
          <w:rFonts w:hint="cs"/>
          <w:rtl/>
        </w:rPr>
        <w:t xml:space="preserve"> דצריך את הנאמנות של המיגו רק לענין החשש משקר, א"כ כיון שבשעת הטענה היה נאמן במיגו והתקבלה טענתו, א"כ אף כשבאו אח"כ עדים והתבטל המיגו, מ"מ הטענה עצמה כבר התקבלה, אבל לדעת </w:t>
      </w:r>
      <w:r w:rsidRPr="007E5D24">
        <w:rPr>
          <w:rStyle w:val="af9"/>
          <w:rFonts w:hint="cs"/>
          <w:rtl/>
        </w:rPr>
        <w:t>היד רמ"ה</w:t>
      </w:r>
      <w:r>
        <w:rPr>
          <w:rFonts w:hint="cs"/>
          <w:rtl/>
        </w:rPr>
        <w:t xml:space="preserve"> כל שבטל המיגו אין לו נאמנות בעיקר הטענה שטוען, ודמי למה שהקשה </w:t>
      </w:r>
      <w:r w:rsidRPr="00E6246F">
        <w:rPr>
          <w:rStyle w:val="af9"/>
          <w:rFonts w:hint="cs"/>
          <w:rtl/>
        </w:rPr>
        <w:t>הקצוה"ח</w:t>
      </w:r>
      <w:r>
        <w:rPr>
          <w:rFonts w:hint="cs"/>
          <w:rtl/>
        </w:rPr>
        <w:t xml:space="preserve"> </w:t>
      </w:r>
      <w:r w:rsidRPr="007325FC">
        <w:rPr>
          <w:rStyle w:val="af7"/>
          <w:rFonts w:eastAsia="Guttman Rashi" w:hint="cs"/>
          <w:rtl/>
        </w:rPr>
        <w:t xml:space="preserve">(עי' אות </w:t>
      </w:r>
      <w:r w:rsidRPr="007325FC">
        <w:rPr>
          <w:rStyle w:val="af7"/>
          <w:rFonts w:eastAsia="Guttman Rashi"/>
          <w:rtl/>
        </w:rPr>
        <w:fldChar w:fldCharType="begin"/>
      </w:r>
      <w:r w:rsidRPr="007325FC">
        <w:rPr>
          <w:rStyle w:val="af7"/>
          <w:rFonts w:eastAsia="Guttman Rashi"/>
          <w:rtl/>
        </w:rPr>
        <w:instrText xml:space="preserve"> </w:instrText>
      </w:r>
      <w:r w:rsidRPr="007325FC">
        <w:rPr>
          <w:rStyle w:val="af7"/>
          <w:rFonts w:eastAsia="Guttman Rashi" w:hint="cs"/>
        </w:rPr>
        <w:instrText>REF</w:instrText>
      </w:r>
      <w:r w:rsidRPr="007325FC">
        <w:rPr>
          <w:rStyle w:val="af7"/>
          <w:rFonts w:eastAsia="Guttman Rashi" w:hint="cs"/>
          <w:rtl/>
        </w:rPr>
        <w:instrText xml:space="preserve"> _</w:instrText>
      </w:r>
      <w:r w:rsidRPr="007325FC">
        <w:rPr>
          <w:rStyle w:val="af7"/>
          <w:rFonts w:eastAsia="Guttman Rashi" w:hint="cs"/>
        </w:rPr>
        <w:instrText>Ref62158350 \r \h</w:instrText>
      </w:r>
      <w:r w:rsidRPr="007325FC">
        <w:rPr>
          <w:rStyle w:val="af7"/>
          <w:rFonts w:eastAsia="Guttman Rashi"/>
          <w:rtl/>
        </w:rPr>
        <w:instrText xml:space="preserve"> </w:instrText>
      </w:r>
      <w:r w:rsidRPr="007325FC">
        <w:rPr>
          <w:rStyle w:val="af7"/>
          <w:rFonts w:eastAsia="Guttman Rashi"/>
          <w:rtl/>
        </w:rPr>
      </w:r>
      <w:r w:rsidRPr="007325FC">
        <w:rPr>
          <w:rStyle w:val="af7"/>
          <w:rFonts w:eastAsia="Guttman Rashi"/>
          <w:rtl/>
        </w:rPr>
        <w:fldChar w:fldCharType="separate"/>
      </w:r>
      <w:r w:rsidR="00265073">
        <w:rPr>
          <w:rStyle w:val="af7"/>
          <w:rFonts w:eastAsia="Guttman Rashi"/>
          <w:cs/>
        </w:rPr>
        <w:t>‎</w:t>
      </w:r>
      <w:r w:rsidR="00265073">
        <w:rPr>
          <w:rStyle w:val="af7"/>
          <w:rFonts w:eastAsia="Guttman Rashi"/>
          <w:rtl/>
        </w:rPr>
        <w:t>ע)</w:t>
      </w:r>
      <w:r w:rsidRPr="007325FC">
        <w:rPr>
          <w:rStyle w:val="af7"/>
          <w:rFonts w:eastAsia="Guttman Rashi"/>
          <w:rtl/>
        </w:rPr>
        <w:fldChar w:fldCharType="end"/>
      </w:r>
      <w:r>
        <w:rPr>
          <w:rFonts w:hint="cs"/>
          <w:rtl/>
        </w:rPr>
        <w:t xml:space="preserve"> מאשת איש הייתי וגרושה אני. </w:t>
      </w:r>
      <w:r w:rsidRPr="002A7EAC">
        <w:rPr>
          <w:rStyle w:val="afb"/>
          <w:rFonts w:hint="cs"/>
          <w:rtl/>
        </w:rPr>
        <w:t xml:space="preserve">[וכתב </w:t>
      </w:r>
      <w:r w:rsidRPr="002A7EAC">
        <w:rPr>
          <w:rStyle w:val="affa"/>
          <w:rFonts w:hint="cs"/>
          <w:rtl/>
        </w:rPr>
        <w:t>בחי' רבי נחום</w:t>
      </w:r>
      <w:r w:rsidRPr="002A7EAC">
        <w:rPr>
          <w:rStyle w:val="afb"/>
          <w:rFonts w:hint="cs"/>
          <w:rtl/>
        </w:rPr>
        <w:t xml:space="preserve"> דא"כ פלוגתת </w:t>
      </w:r>
      <w:r w:rsidRPr="002A7EAC">
        <w:rPr>
          <w:rStyle w:val="affa"/>
          <w:rFonts w:hint="cs"/>
          <w:rtl/>
        </w:rPr>
        <w:t>הר"י מגאש והיד רמ"ה</w:t>
      </w:r>
      <w:r w:rsidRPr="002A7EAC">
        <w:rPr>
          <w:rStyle w:val="afb"/>
          <w:rFonts w:hint="cs"/>
          <w:rtl/>
        </w:rPr>
        <w:t xml:space="preserve"> אינה בדין מיגו, דלכו"ע מהני המיגו אף לאחר שבאו עדים, במקום שצריך רק ראיה שאינו משקר, אלא </w:t>
      </w:r>
      <w:r w:rsidRPr="002A7EAC">
        <w:rPr>
          <w:rStyle w:val="affa"/>
          <w:rFonts w:hint="cs"/>
          <w:rtl/>
        </w:rPr>
        <w:t>דלהרמ"ה</w:t>
      </w:r>
      <w:r w:rsidRPr="002A7EAC">
        <w:rPr>
          <w:rStyle w:val="afb"/>
          <w:rFonts w:hint="cs"/>
          <w:rtl/>
        </w:rPr>
        <w:t xml:space="preserve"> לא סגי הכא במיגו של מה לי לשקר, ועיי"ש במה שהקשה </w:t>
      </w:r>
      <w:r w:rsidRPr="002A7EAC">
        <w:rPr>
          <w:rStyle w:val="affa"/>
          <w:rFonts w:hint="cs"/>
          <w:rtl/>
        </w:rPr>
        <w:t>בחי' רבי נחום</w:t>
      </w:r>
      <w:r w:rsidRPr="002A7EAC">
        <w:rPr>
          <w:rStyle w:val="afb"/>
          <w:rFonts w:hint="cs"/>
          <w:rtl/>
        </w:rPr>
        <w:t xml:space="preserve"> על ביאורו בדברי </w:t>
      </w:r>
      <w:r w:rsidRPr="002A7EAC">
        <w:rPr>
          <w:rStyle w:val="affa"/>
          <w:rFonts w:hint="cs"/>
          <w:rtl/>
        </w:rPr>
        <w:t>היד רמ"ה</w:t>
      </w:r>
      <w:r w:rsidRPr="002A7EAC">
        <w:rPr>
          <w:rStyle w:val="afb"/>
          <w:rFonts w:hint="cs"/>
          <w:rtl/>
        </w:rPr>
        <w:t>].</w:t>
      </w:r>
    </w:p>
    <w:p w:rsidR="00EC445E" w:rsidRDefault="00EC445E" w:rsidP="00EC445E">
      <w:pPr>
        <w:pStyle w:val="1"/>
        <w:rPr>
          <w:rtl/>
        </w:rPr>
      </w:pPr>
      <w:bookmarkStart w:id="13447" w:name="_Toc62386005"/>
      <w:bookmarkStart w:id="13448" w:name="_Toc62420146"/>
      <w:bookmarkStart w:id="13449" w:name="_Toc62452639"/>
      <w:bookmarkStart w:id="13450" w:name="_Toc62453926"/>
      <w:bookmarkStart w:id="13451" w:name="_Toc62485694"/>
      <w:r>
        <w:rPr>
          <w:rFonts w:hint="cs"/>
          <w:rtl/>
        </w:rPr>
        <w:t>ביאור הגרש"ר</w:t>
      </w:r>
      <w:bookmarkEnd w:id="13447"/>
      <w:bookmarkEnd w:id="13448"/>
      <w:bookmarkEnd w:id="13449"/>
      <w:bookmarkEnd w:id="13450"/>
      <w:bookmarkEnd w:id="13451"/>
      <w:r>
        <w:rPr>
          <w:rFonts w:hint="cs"/>
          <w:rtl/>
        </w:rPr>
        <w:t xml:space="preserve"> בר"י מגאש דלא הודה והמיגו כיון דסתר טענתו</w:t>
      </w:r>
    </w:p>
    <w:p w:rsidR="00EC445E" w:rsidRPr="004A79A3" w:rsidRDefault="00EC445E" w:rsidP="00EC445E">
      <w:pPr>
        <w:pStyle w:val="a3"/>
        <w:rPr>
          <w:rtl/>
        </w:rPr>
      </w:pPr>
      <w:bookmarkStart w:id="13452" w:name="_Toc62485695"/>
      <w:r>
        <w:rPr>
          <w:rFonts w:hint="cs"/>
          <w:rtl/>
        </w:rPr>
        <w:t>ביאור הגרש"ר דחוזר מחיוב לפטור אינו נאמן גם כיון שהודה וגם כיון שסתר את טענתו</w:t>
      </w:r>
      <w:bookmarkEnd w:id="13452"/>
    </w:p>
    <w:p w:rsidR="00EC445E" w:rsidRDefault="00EC445E" w:rsidP="007E4E81">
      <w:pPr>
        <w:pStyle w:val="a0"/>
        <w:rPr>
          <w:rtl/>
        </w:rPr>
      </w:pPr>
      <w:r>
        <w:rPr>
          <w:rFonts w:hint="cs"/>
          <w:rtl/>
        </w:rPr>
        <w:t xml:space="preserve">במה שביאר </w:t>
      </w:r>
      <w:r>
        <w:rPr>
          <w:rStyle w:val="af9"/>
          <w:rtl/>
        </w:rPr>
        <w:t>הקצוה"ח</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Ref62462034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F13805">
        <w:rPr>
          <w:rStyle w:val="af7"/>
          <w:rFonts w:eastAsia="Guttman Hodes"/>
          <w:rtl/>
        </w:rPr>
        <w:fldChar w:fldCharType="end"/>
      </w:r>
      <w:r>
        <w:rPr>
          <w:rStyle w:val="af7"/>
          <w:rFonts w:eastAsia="Guttman Hodes" w:hint="cs"/>
          <w:rtl/>
        </w:rPr>
        <w:t xml:space="preserve"> </w:t>
      </w:r>
      <w:r>
        <w:rPr>
          <w:rFonts w:hint="cs"/>
          <w:rtl/>
        </w:rPr>
        <w:t xml:space="preserve">דהא דחוזר מפטור לפטור נאמן, הוא דטענתו הראשונה אינה הודאת בע"ד, כתב </w:t>
      </w:r>
      <w:r w:rsidRPr="008D2AAB">
        <w:rPr>
          <w:rStyle w:val="af9"/>
          <w:rFonts w:hint="cs"/>
          <w:rtl/>
        </w:rPr>
        <w:t>בחי' רבי שמואל</w:t>
      </w:r>
      <w:r>
        <w:rPr>
          <w:rFonts w:hint="cs"/>
          <w:rtl/>
        </w:rPr>
        <w:t xml:space="preserve"> </w:t>
      </w:r>
      <w:r w:rsidRPr="00395EC0">
        <w:rPr>
          <w:rStyle w:val="af7"/>
          <w:rFonts w:eastAsia="Guttman Hodes" w:hint="cs"/>
          <w:rtl/>
        </w:rPr>
        <w:t>(סי' ח' או' ג')</w:t>
      </w:r>
      <w:r>
        <w:rPr>
          <w:rFonts w:hint="cs"/>
          <w:rtl/>
        </w:rPr>
        <w:t xml:space="preserve"> דאעפ"י דמדברי כל </w:t>
      </w:r>
      <w:r w:rsidRPr="008D2AAB">
        <w:rPr>
          <w:rStyle w:val="af9"/>
          <w:rFonts w:hint="cs"/>
          <w:rtl/>
        </w:rPr>
        <w:t xml:space="preserve">הראשונים </w:t>
      </w:r>
      <w:r w:rsidRPr="00395EC0">
        <w:rPr>
          <w:rStyle w:val="af7"/>
          <w:rFonts w:eastAsia="Guttman Hodes" w:hint="cs"/>
          <w:rtl/>
        </w:rPr>
        <w:t xml:space="preserve">(עי' אות </w:t>
      </w:r>
      <w:r w:rsidRPr="00395EC0">
        <w:rPr>
          <w:rStyle w:val="af7"/>
          <w:rFonts w:eastAsia="Guttman Hodes"/>
          <w:rtl/>
        </w:rPr>
        <w:fldChar w:fldCharType="begin"/>
      </w:r>
      <w:r w:rsidRPr="00395EC0">
        <w:rPr>
          <w:rStyle w:val="af7"/>
          <w:rFonts w:eastAsia="Guttman Hodes"/>
          <w:rtl/>
        </w:rPr>
        <w:instrText xml:space="preserve"> </w:instrText>
      </w:r>
      <w:r w:rsidRPr="00395EC0">
        <w:rPr>
          <w:rStyle w:val="af7"/>
          <w:rFonts w:eastAsia="Guttman Hodes" w:hint="cs"/>
        </w:rPr>
        <w:instrText>REF</w:instrText>
      </w:r>
      <w:r w:rsidRPr="00395EC0">
        <w:rPr>
          <w:rStyle w:val="af7"/>
          <w:rFonts w:eastAsia="Guttman Hodes" w:hint="cs"/>
          <w:rtl/>
        </w:rPr>
        <w:instrText xml:space="preserve"> _</w:instrText>
      </w:r>
      <w:r w:rsidRPr="00395EC0">
        <w:rPr>
          <w:rStyle w:val="af7"/>
          <w:rFonts w:eastAsia="Guttman Hodes" w:hint="cs"/>
        </w:rPr>
        <w:instrText>Ref62385729 \r \h</w:instrText>
      </w:r>
      <w:r w:rsidRPr="00395EC0">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395EC0">
        <w:rPr>
          <w:rStyle w:val="af7"/>
          <w:rFonts w:eastAsia="Guttman Hodes"/>
          <w:rtl/>
        </w:rPr>
      </w:r>
      <w:r w:rsidRPr="00395EC0">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395EC0">
        <w:rPr>
          <w:rStyle w:val="af7"/>
          <w:rFonts w:eastAsia="Guttman Hodes"/>
          <w:rtl/>
        </w:rPr>
        <w:fldChar w:fldCharType="end"/>
      </w:r>
      <w:r>
        <w:rPr>
          <w:rFonts w:hint="cs"/>
          <w:rtl/>
        </w:rPr>
        <w:t xml:space="preserve"> מבואר דהנאמנות היא מדין מיגו, היינו כיון דאעפ"י דטענתו השניה לא חשיבא כנגד הודאת בע"ד, מ"מ דהא דחוזר וטוען</w:t>
      </w:r>
      <w:r w:rsidRPr="00AC4704">
        <w:rPr>
          <w:rFonts w:hint="cs"/>
          <w:rtl/>
        </w:rPr>
        <w:t xml:space="preserve"> </w:t>
      </w:r>
      <w:r>
        <w:rPr>
          <w:rFonts w:hint="cs"/>
          <w:rtl/>
        </w:rPr>
        <w:t xml:space="preserve">מחיוב לפטור ס"ל לנהרדעי דאינו נאמן, אינו רק כיון שהוא כנגד טענתו הראשונה שהיא </w:t>
      </w:r>
      <w:r>
        <w:rPr>
          <w:rFonts w:hint="cs"/>
          <w:rtl/>
        </w:rPr>
        <w:lastRenderedPageBreak/>
        <w:t xml:space="preserve">כהודאת בע"ד, אלא הוא דין בדיני טענות, דכל שטענתו השניה סותרת לטענתו הראשונה, לכו"ע אינו נאמן בטענתו השניה, וכדמשמע מפשטות לשון הגמ', "אינו טוען וחוזר וטוען", </w:t>
      </w:r>
      <w:r w:rsidRPr="00970F85">
        <w:rPr>
          <w:rStyle w:val="afb"/>
          <w:rFonts w:hint="cs"/>
          <w:rtl/>
        </w:rPr>
        <w:t xml:space="preserve">[עי' במ"ש בזה </w:t>
      </w:r>
      <w:r w:rsidRPr="008C535D">
        <w:rPr>
          <w:rStyle w:val="affa"/>
          <w:rFonts w:hint="cs"/>
          <w:rtl/>
        </w:rPr>
        <w:t>בחי' רבי נחום</w:t>
      </w:r>
      <w:r w:rsidRPr="00970F85">
        <w:rPr>
          <w:rStyle w:val="afb"/>
          <w:rFonts w:hint="cs"/>
          <w:rtl/>
        </w:rPr>
        <w:t xml:space="preserve"> </w:t>
      </w:r>
      <w:r w:rsidRPr="008C535D">
        <w:rPr>
          <w:rStyle w:val="aff6"/>
          <w:rFonts w:hint="cs"/>
          <w:rtl/>
        </w:rPr>
        <w:t xml:space="preserve">(עי' אות </w:t>
      </w:r>
      <w:r w:rsidRPr="008C535D">
        <w:rPr>
          <w:rStyle w:val="aff6"/>
          <w:rtl/>
        </w:rPr>
        <w:fldChar w:fldCharType="begin"/>
      </w:r>
      <w:r w:rsidRPr="008C535D">
        <w:rPr>
          <w:rStyle w:val="aff6"/>
          <w:rtl/>
        </w:rPr>
        <w:instrText xml:space="preserve"> </w:instrText>
      </w:r>
      <w:r w:rsidRPr="008C535D">
        <w:rPr>
          <w:rStyle w:val="aff6"/>
          <w:rFonts w:hint="cs"/>
        </w:rPr>
        <w:instrText>REF</w:instrText>
      </w:r>
      <w:r w:rsidRPr="008C535D">
        <w:rPr>
          <w:rStyle w:val="aff6"/>
          <w:rFonts w:hint="cs"/>
          <w:rtl/>
        </w:rPr>
        <w:instrText xml:space="preserve"> _</w:instrText>
      </w:r>
      <w:r w:rsidRPr="008C535D">
        <w:rPr>
          <w:rStyle w:val="aff6"/>
          <w:rFonts w:hint="cs"/>
        </w:rPr>
        <w:instrText>Ref62385703 \r \h</w:instrText>
      </w:r>
      <w:r w:rsidRPr="008C535D">
        <w:rPr>
          <w:rStyle w:val="aff6"/>
          <w:rtl/>
        </w:rPr>
        <w:instrText xml:space="preserve"> </w:instrText>
      </w:r>
      <w:r w:rsidRPr="008C535D">
        <w:rPr>
          <w:rStyle w:val="aff6"/>
          <w:rtl/>
        </w:rPr>
      </w:r>
      <w:r w:rsidRPr="008C535D">
        <w:rPr>
          <w:rStyle w:val="aff6"/>
          <w:rtl/>
        </w:rPr>
        <w:fldChar w:fldCharType="separate"/>
      </w:r>
      <w:r w:rsidR="00265073">
        <w:rPr>
          <w:rStyle w:val="aff6"/>
          <w:cs/>
        </w:rPr>
        <w:t>‎</w:t>
      </w:r>
      <w:r w:rsidR="00265073">
        <w:rPr>
          <w:rStyle w:val="aff6"/>
          <w:rtl/>
        </w:rPr>
        <w:t>קא)</w:t>
      </w:r>
      <w:r w:rsidRPr="008C535D">
        <w:rPr>
          <w:rStyle w:val="aff6"/>
          <w:rtl/>
        </w:rPr>
        <w:fldChar w:fldCharType="end"/>
      </w:r>
      <w:r w:rsidRPr="00970F85">
        <w:rPr>
          <w:rStyle w:val="afb"/>
          <w:rFonts w:hint="cs"/>
          <w:rtl/>
        </w:rPr>
        <w:t xml:space="preserve">], </w:t>
      </w:r>
      <w:r>
        <w:rPr>
          <w:rFonts w:hint="cs"/>
          <w:rtl/>
        </w:rPr>
        <w:t xml:space="preserve">ונחלקו עולא ונהרדעי במקום שמפרש את דבריו הראשונים, וא"כ בחוזר וטוען מפטור לפטור דהוא סותר לגמרי את טענתו הראשונה, אף שעדיין לא חלה על טענתו הראשונה דין הודאת בע"ד, מ"מ מדין טענות אינו נאמן, דהוא סותר את טענתו הראשונה, ולכן כתבו הראשונים דנאמן במיגו שהיה עומד בטענתו הראשונה, ועיי"ש במה שהוכיח כן </w:t>
      </w:r>
      <w:r w:rsidRPr="008D2AAB">
        <w:rPr>
          <w:rStyle w:val="af9"/>
          <w:rFonts w:hint="cs"/>
          <w:rtl/>
        </w:rPr>
        <w:t>בחי' רבי שמואל</w:t>
      </w:r>
      <w:r>
        <w:rPr>
          <w:rFonts w:hint="cs"/>
          <w:rtl/>
        </w:rPr>
        <w:t xml:space="preserve"> </w:t>
      </w:r>
      <w:r w:rsidRPr="00395EC0">
        <w:rPr>
          <w:rStyle w:val="af7"/>
          <w:rFonts w:eastAsia="Guttman Hodes" w:hint="cs"/>
          <w:rtl/>
        </w:rPr>
        <w:t>(סי' ח' או' ד')</w:t>
      </w:r>
      <w:r>
        <w:rPr>
          <w:rFonts w:hint="cs"/>
          <w:rtl/>
        </w:rPr>
        <w:t xml:space="preserve"> מדברי </w:t>
      </w:r>
      <w:r w:rsidRPr="008D2AAB">
        <w:rPr>
          <w:rStyle w:val="af9"/>
          <w:rFonts w:hint="cs"/>
          <w:rtl/>
        </w:rPr>
        <w:t>הרמב"ן לעיל</w:t>
      </w:r>
      <w:r>
        <w:rPr>
          <w:rFonts w:hint="cs"/>
          <w:rtl/>
        </w:rPr>
        <w:t xml:space="preserve"> </w:t>
      </w:r>
      <w:r w:rsidRPr="00395EC0">
        <w:rPr>
          <w:rStyle w:val="af7"/>
          <w:rFonts w:eastAsia="Guttman Hodes" w:hint="cs"/>
          <w:rtl/>
        </w:rPr>
        <w:t>(ו. ד"ה דאמר מר)</w:t>
      </w:r>
      <w:r>
        <w:rPr>
          <w:rFonts w:hint="cs"/>
          <w:rtl/>
        </w:rPr>
        <w:t>.</w:t>
      </w:r>
    </w:p>
    <w:p w:rsidR="00EC445E" w:rsidRDefault="00EC445E" w:rsidP="00EC445E">
      <w:pPr>
        <w:pStyle w:val="a3"/>
        <w:rPr>
          <w:rtl/>
        </w:rPr>
      </w:pPr>
      <w:bookmarkStart w:id="13453" w:name="_Toc62485696"/>
      <w:bookmarkStart w:id="13454" w:name="_Toc62386006"/>
      <w:r>
        <w:rPr>
          <w:rFonts w:hint="cs"/>
          <w:rtl/>
        </w:rPr>
        <w:t>ביאור הגרש"ר בר"י מגאש דטענת פטור ל"ה הודאה וצריך מיגו דמה לי לשקר כיון דסותר טענתו</w:t>
      </w:r>
      <w:bookmarkEnd w:id="13453"/>
    </w:p>
    <w:p w:rsidR="00EC445E" w:rsidRDefault="00EC445E" w:rsidP="007E4E81">
      <w:pPr>
        <w:pStyle w:val="a0"/>
        <w:rPr>
          <w:rtl/>
        </w:rPr>
      </w:pPr>
      <w:bookmarkStart w:id="13455" w:name="_Ref62483734"/>
      <w:r>
        <w:rPr>
          <w:rFonts w:hint="cs"/>
          <w:rtl/>
        </w:rPr>
        <w:t xml:space="preserve">ולפי"ז ביאר </w:t>
      </w:r>
      <w:r w:rsidRPr="008D2AAB">
        <w:rPr>
          <w:rStyle w:val="af9"/>
          <w:rFonts w:hint="cs"/>
          <w:rtl/>
        </w:rPr>
        <w:t>בחי' רבי שמואל</w:t>
      </w:r>
      <w:r>
        <w:rPr>
          <w:rFonts w:hint="cs"/>
          <w:rtl/>
        </w:rPr>
        <w:t xml:space="preserve"> </w:t>
      </w:r>
      <w:r w:rsidRPr="00395EC0">
        <w:rPr>
          <w:rStyle w:val="af7"/>
          <w:rFonts w:eastAsia="Guttman Hodes" w:hint="cs"/>
          <w:rtl/>
        </w:rPr>
        <w:t xml:space="preserve">(סי' ח' או' ה' ד"ה ומעתה) </w:t>
      </w:r>
      <w:r>
        <w:rPr>
          <w:rFonts w:hint="cs"/>
          <w:rtl/>
        </w:rPr>
        <w:t xml:space="preserve">את דברי </w:t>
      </w:r>
      <w:r w:rsidRPr="00EB6CBC">
        <w:rPr>
          <w:rStyle w:val="af9"/>
          <w:rFonts w:hint="cs"/>
          <w:rtl/>
        </w:rPr>
        <w:t>הר"י מגאש</w:t>
      </w:r>
      <w:r>
        <w:rPr>
          <w:rFonts w:hint="cs"/>
          <w:rtl/>
        </w:rPr>
        <w:t xml:space="preserve"> </w:t>
      </w:r>
      <w:r w:rsidRPr="00EB6CBC">
        <w:rPr>
          <w:rStyle w:val="af7"/>
          <w:rFonts w:eastAsia="Guttman Hodes" w:hint="cs"/>
          <w:rtl/>
        </w:rPr>
        <w:t xml:space="preserve">(עי' אות </w:t>
      </w:r>
      <w:r w:rsidRPr="00EB6CBC">
        <w:rPr>
          <w:rStyle w:val="af7"/>
          <w:rFonts w:eastAsia="Guttman Hodes"/>
          <w:rtl/>
        </w:rPr>
        <w:fldChar w:fldCharType="begin"/>
      </w:r>
      <w:r w:rsidRPr="00EB6CBC">
        <w:rPr>
          <w:rStyle w:val="af7"/>
          <w:rFonts w:eastAsia="Guttman Hodes"/>
          <w:rtl/>
        </w:rPr>
        <w:instrText xml:space="preserve"> </w:instrText>
      </w:r>
      <w:r w:rsidRPr="00EB6CBC">
        <w:rPr>
          <w:rStyle w:val="af7"/>
          <w:rFonts w:eastAsia="Guttman Hodes" w:hint="cs"/>
        </w:rPr>
        <w:instrText>REF</w:instrText>
      </w:r>
      <w:r w:rsidRPr="00EB6CBC">
        <w:rPr>
          <w:rStyle w:val="af7"/>
          <w:rFonts w:eastAsia="Guttman Hodes" w:hint="cs"/>
          <w:rtl/>
        </w:rPr>
        <w:instrText xml:space="preserve"> _</w:instrText>
      </w:r>
      <w:r w:rsidRPr="00EB6CBC">
        <w:rPr>
          <w:rStyle w:val="af7"/>
          <w:rFonts w:eastAsia="Guttman Hodes" w:hint="cs"/>
        </w:rPr>
        <w:instrText>Ref61987752 \r \h</w:instrText>
      </w:r>
      <w:r w:rsidRPr="00EB6CBC">
        <w:rPr>
          <w:rStyle w:val="af7"/>
          <w:rFonts w:eastAsia="Guttman Hodes"/>
          <w:rtl/>
        </w:rPr>
        <w:instrText xml:space="preserve"> </w:instrText>
      </w:r>
      <w:r w:rsidRPr="00EB6CBC">
        <w:rPr>
          <w:rStyle w:val="af7"/>
          <w:rFonts w:eastAsia="Guttman Hodes"/>
          <w:rtl/>
        </w:rPr>
      </w:r>
      <w:r w:rsidRPr="00EB6CBC">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B6CBC">
        <w:rPr>
          <w:rStyle w:val="af7"/>
          <w:rFonts w:eastAsia="Guttman Hodes"/>
          <w:rtl/>
        </w:rPr>
        <w:fldChar w:fldCharType="end"/>
      </w:r>
      <w:r>
        <w:rPr>
          <w:rStyle w:val="af9"/>
          <w:rFonts w:hint="cs"/>
          <w:rtl/>
        </w:rPr>
        <w:t xml:space="preserve"> ו</w:t>
      </w:r>
      <w:r w:rsidRPr="00C01DF5">
        <w:rPr>
          <w:rStyle w:val="af9"/>
          <w:rFonts w:hint="cs"/>
          <w:rtl/>
        </w:rPr>
        <w:t>הרמב"ם</w:t>
      </w:r>
      <w:r>
        <w:rPr>
          <w:rFonts w:hint="cs"/>
          <w:rtl/>
        </w:rPr>
        <w:t xml:space="preserve"> </w:t>
      </w:r>
      <w:r w:rsidRPr="00C01DF5">
        <w:rPr>
          <w:rStyle w:val="af7"/>
          <w:rFonts w:eastAsia="Guttman Hodes" w:hint="cs"/>
          <w:rtl/>
        </w:rPr>
        <w:t xml:space="preserve">(עי' אות </w:t>
      </w:r>
      <w:r w:rsidRPr="00C01DF5">
        <w:rPr>
          <w:rStyle w:val="af7"/>
          <w:rFonts w:eastAsia="Guttman Hodes"/>
          <w:rtl/>
        </w:rPr>
        <w:fldChar w:fldCharType="begin"/>
      </w:r>
      <w:r w:rsidRPr="00C01DF5">
        <w:rPr>
          <w:rStyle w:val="af7"/>
          <w:rFonts w:eastAsia="Guttman Hodes"/>
          <w:rtl/>
        </w:rPr>
        <w:instrText xml:space="preserve"> </w:instrText>
      </w:r>
      <w:r w:rsidRPr="00C01DF5">
        <w:rPr>
          <w:rStyle w:val="af7"/>
          <w:rFonts w:eastAsia="Guttman Hodes" w:hint="cs"/>
        </w:rPr>
        <w:instrText>REF</w:instrText>
      </w:r>
      <w:r w:rsidRPr="00C01DF5">
        <w:rPr>
          <w:rStyle w:val="af7"/>
          <w:rFonts w:eastAsia="Guttman Hodes" w:hint="cs"/>
          <w:rtl/>
        </w:rPr>
        <w:instrText xml:space="preserve"> _</w:instrText>
      </w:r>
      <w:r w:rsidRPr="00C01DF5">
        <w:rPr>
          <w:rStyle w:val="af7"/>
          <w:rFonts w:eastAsia="Guttman Hodes" w:hint="cs"/>
        </w:rPr>
        <w:instrText>Ref62124167 \r \h</w:instrText>
      </w:r>
      <w:r w:rsidRPr="00C01DF5">
        <w:rPr>
          <w:rStyle w:val="af7"/>
          <w:rFonts w:eastAsia="Guttman Hodes"/>
          <w:rtl/>
        </w:rPr>
        <w:instrText xml:space="preserve"> </w:instrText>
      </w:r>
      <w:r w:rsidRPr="00C01DF5">
        <w:rPr>
          <w:rStyle w:val="af7"/>
          <w:rFonts w:eastAsia="Guttman Hodes"/>
          <w:rtl/>
        </w:rPr>
      </w:r>
      <w:r w:rsidRPr="00C01DF5">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C01DF5">
        <w:rPr>
          <w:rStyle w:val="af7"/>
          <w:rFonts w:eastAsia="Guttman Hodes"/>
          <w:rtl/>
        </w:rPr>
        <w:fldChar w:fldCharType="end"/>
      </w:r>
      <w:r>
        <w:rPr>
          <w:rFonts w:hint="cs"/>
          <w:rtl/>
        </w:rPr>
        <w:t xml:space="preserve"> דנאמן במיגו אף אם לאחר שחזר וטען באו עדים, דכיון שלא התחייב בטענתו לא חשיב כהודאת בע"ד, וכדביאר </w:t>
      </w:r>
      <w:r>
        <w:rPr>
          <w:rStyle w:val="af9"/>
          <w:rtl/>
        </w:rPr>
        <w:t>הקצוה"ח</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Ref62462034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F13805">
        <w:rPr>
          <w:rStyle w:val="af7"/>
          <w:rFonts w:eastAsia="Guttman Hodes"/>
          <w:rtl/>
        </w:rPr>
        <w:fldChar w:fldCharType="end"/>
      </w:r>
      <w:r>
        <w:rPr>
          <w:rFonts w:hint="cs"/>
          <w:rtl/>
        </w:rPr>
        <w:t xml:space="preserve"> אלא דמ"מ מדיני טענות הוא צריך מיגו שיהיה נאמן להכחיש את טענתו הראשונה, וכדביאר </w:t>
      </w:r>
      <w:r w:rsidRPr="008D2AAB">
        <w:rPr>
          <w:rStyle w:val="af9"/>
          <w:rFonts w:hint="cs"/>
          <w:rtl/>
        </w:rPr>
        <w:t>הש"ך</w:t>
      </w:r>
      <w:r>
        <w:rPr>
          <w:rFonts w:hint="cs"/>
          <w:rtl/>
        </w:rPr>
        <w:t xml:space="preserve"> </w:t>
      </w:r>
      <w:r w:rsidRPr="0007347D">
        <w:rPr>
          <w:rStyle w:val="af7"/>
          <w:rFonts w:eastAsia="Guttman Hodes" w:hint="cs"/>
          <w:rtl/>
        </w:rPr>
        <w:t xml:space="preserve">(עי' אות </w:t>
      </w:r>
      <w:r w:rsidRPr="0007347D">
        <w:rPr>
          <w:rStyle w:val="af7"/>
          <w:rFonts w:eastAsia="Guttman Hodes"/>
          <w:rtl/>
        </w:rPr>
        <w:fldChar w:fldCharType="begin"/>
      </w:r>
      <w:r w:rsidRPr="0007347D">
        <w:rPr>
          <w:rStyle w:val="af7"/>
          <w:rFonts w:eastAsia="Guttman Hodes"/>
          <w:rtl/>
        </w:rPr>
        <w:instrText xml:space="preserve"> </w:instrText>
      </w:r>
      <w:r w:rsidRPr="0007347D">
        <w:rPr>
          <w:rStyle w:val="af7"/>
          <w:rFonts w:eastAsia="Guttman Hodes" w:hint="cs"/>
        </w:rPr>
        <w:instrText>REF</w:instrText>
      </w:r>
      <w:r w:rsidRPr="0007347D">
        <w:rPr>
          <w:rStyle w:val="af7"/>
          <w:rFonts w:eastAsia="Guttman Hodes" w:hint="cs"/>
          <w:rtl/>
        </w:rPr>
        <w:instrText xml:space="preserve"> _</w:instrText>
      </w:r>
      <w:r w:rsidRPr="0007347D">
        <w:rPr>
          <w:rStyle w:val="af7"/>
          <w:rFonts w:eastAsia="Guttman Hodes" w:hint="cs"/>
        </w:rPr>
        <w:instrText>Ref62407179 \r \h</w:instrText>
      </w:r>
      <w:r w:rsidRPr="0007347D">
        <w:rPr>
          <w:rStyle w:val="af7"/>
          <w:rFonts w:eastAsia="Guttman Hodes"/>
          <w:rtl/>
        </w:rPr>
        <w:instrText xml:space="preserve"> </w:instrText>
      </w:r>
      <w:r w:rsidRPr="0007347D">
        <w:rPr>
          <w:rStyle w:val="af7"/>
          <w:rFonts w:eastAsia="Guttman Hodes"/>
          <w:rtl/>
        </w:rPr>
      </w:r>
      <w:r w:rsidRPr="0007347D">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07347D">
        <w:rPr>
          <w:rStyle w:val="af7"/>
          <w:rFonts w:eastAsia="Guttman Hodes"/>
          <w:rtl/>
        </w:rPr>
        <w:fldChar w:fldCharType="end"/>
      </w:r>
      <w:r w:rsidRPr="0007347D">
        <w:rPr>
          <w:rStyle w:val="af7"/>
          <w:rFonts w:eastAsia="Guttman Hodes" w:hint="cs"/>
          <w:rtl/>
        </w:rPr>
        <w:t xml:space="preserve"> </w:t>
      </w:r>
      <w:r>
        <w:rPr>
          <w:rFonts w:hint="cs"/>
          <w:rtl/>
        </w:rPr>
        <w:t xml:space="preserve">דכל שהוא סותר את טענתו הראשונה, חשיבא טענתו השניה כטענה גרועה, וכתב </w:t>
      </w:r>
      <w:r w:rsidRPr="008D2AAB">
        <w:rPr>
          <w:rStyle w:val="af9"/>
          <w:rFonts w:hint="cs"/>
          <w:rtl/>
        </w:rPr>
        <w:t xml:space="preserve">בחי' רבי שמואל </w:t>
      </w:r>
      <w:r>
        <w:rPr>
          <w:rFonts w:hint="cs"/>
          <w:rtl/>
        </w:rPr>
        <w:t>דהכא א"צ מיגו מדין כח הטענה, כיון שהטענה עצמה שטוען היא טענה טובה, וכ"מ שהיא טענה גרועה הוא מחמת דחיישינן שמשקר כשסתר את טענתו הראשונה, ובזה סגי במיגו דמה לי לשקר, ואף לאחר שבאו עדים דאין לו את כח הטענה שבמיגו, כיון שהכחישו העדים את טענתו הראשונה, מ"מ עדיין יש לו את הנאמנות של מיגו דמה לי לשקר, דאין לנו כל סברא לומר שחזר וטען מחמת שידע שיבואו עדים.</w:t>
      </w:r>
      <w:bookmarkEnd w:id="13455"/>
    </w:p>
    <w:p w:rsidR="00EC445E" w:rsidRPr="00EC50C0" w:rsidRDefault="00EC445E" w:rsidP="00EC445E">
      <w:pPr>
        <w:pStyle w:val="a3"/>
        <w:rPr>
          <w:rtl/>
        </w:rPr>
      </w:pPr>
      <w:bookmarkStart w:id="13456" w:name="_Toc62485697"/>
      <w:r>
        <w:rPr>
          <w:rFonts w:hint="cs"/>
          <w:rtl/>
        </w:rPr>
        <w:t>ביאור הגרש"ר דבכל מיגו צריך נאמנות דכח הטענה ובחוזר וטוען סגי במה לי לשקר</w:t>
      </w:r>
      <w:bookmarkEnd w:id="13456"/>
    </w:p>
    <w:p w:rsidR="00EC445E" w:rsidRPr="008F132B" w:rsidRDefault="00EC445E" w:rsidP="007E4E81">
      <w:pPr>
        <w:pStyle w:val="a0"/>
        <w:rPr>
          <w:rtl/>
        </w:rPr>
      </w:pPr>
      <w:r>
        <w:rPr>
          <w:rFonts w:hint="cs"/>
          <w:rtl/>
        </w:rPr>
        <w:t xml:space="preserve">וביאר </w:t>
      </w:r>
      <w:r w:rsidRPr="008D2AAB">
        <w:rPr>
          <w:rStyle w:val="af9"/>
          <w:rFonts w:hint="cs"/>
          <w:rtl/>
        </w:rPr>
        <w:t>בחי' רבי שמואל</w:t>
      </w:r>
      <w:r>
        <w:rPr>
          <w:rFonts w:hint="cs"/>
          <w:rtl/>
        </w:rPr>
        <w:t xml:space="preserve"> דלכן ס"ל </w:t>
      </w:r>
      <w:r w:rsidRPr="008D2AAB">
        <w:rPr>
          <w:rStyle w:val="af9"/>
          <w:rFonts w:hint="cs"/>
          <w:rtl/>
        </w:rPr>
        <w:t>להר"י מגאש</w:t>
      </w:r>
      <w:r>
        <w:rPr>
          <w:rFonts w:hint="cs"/>
          <w:rtl/>
        </w:rPr>
        <w:t xml:space="preserve"> דאעפ"י דבכל מיגו אחר שבאו עדים אינו נאמן, כיון שעיקר הטענה שטוען היא טענה גרועה, ולכן צריך מיגו, ובזה לא סגי במיגו דמה לי לשקר, וצריך גם את הנאמנות של כח הטענה של המיגו, אבל בחוזר וטוען שהטענה השניה מצד עצמה היא טענה טובה, וא"צ מיגו בכדי שיהיה נאמן בה, וכל מה שצריך מיגו הוא מחשש משקר כיון שסתר טענתו, לכן סגי במיגו דמה לי לשקר, ואף שבאו עדים אח"כ לא בטלה הראיה של המיגו דמה לי לשקר, וכן ביארו </w:t>
      </w:r>
      <w:r>
        <w:rPr>
          <w:rStyle w:val="af9"/>
          <w:rtl/>
        </w:rPr>
        <w:t>הקוב"ש</w:t>
      </w:r>
      <w:r>
        <w:rPr>
          <w:rtl/>
        </w:rPr>
        <w:t xml:space="preserve">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Ref62471537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קיא</w:t>
      </w:r>
      <w:r w:rsidR="00265073">
        <w:rPr>
          <w:rStyle w:val="af7"/>
          <w:rFonts w:eastAsiaTheme="minorHAnsi"/>
          <w:rtl/>
        </w:rPr>
        <w:t>)</w:t>
      </w:r>
      <w:r>
        <w:rPr>
          <w:rStyle w:val="af7"/>
          <w:rFonts w:eastAsiaTheme="minorHAnsi" w:hint="cs"/>
          <w:rtl/>
        </w:rPr>
        <w:fldChar w:fldCharType="end"/>
      </w:r>
      <w:r>
        <w:rPr>
          <w:rFonts w:hint="cs"/>
          <w:rtl/>
        </w:rPr>
        <w:t xml:space="preserve">, </w:t>
      </w:r>
      <w:r>
        <w:rPr>
          <w:rStyle w:val="af9"/>
          <w:rFonts w:hint="cs"/>
          <w:rtl/>
        </w:rPr>
        <w:t>ו</w:t>
      </w:r>
      <w:r w:rsidRPr="009E4C2B">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Ref62483672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קטז)</w:t>
      </w:r>
      <w:r>
        <w:rPr>
          <w:rStyle w:val="af7"/>
          <w:rFonts w:eastAsia="Guttman Hodes"/>
          <w:rtl/>
        </w:rPr>
        <w:fldChar w:fldCharType="end"/>
      </w:r>
      <w:r w:rsidRPr="007F75BC">
        <w:rPr>
          <w:rStyle w:val="af9"/>
          <w:rtl/>
        </w:rPr>
        <w:t xml:space="preserve"> </w:t>
      </w:r>
      <w:r>
        <w:rPr>
          <w:rStyle w:val="af9"/>
          <w:rtl/>
        </w:rPr>
        <w:t>ובאבי עזרי</w:t>
      </w:r>
      <w:r>
        <w:rPr>
          <w:rtl/>
        </w:rPr>
        <w:t xml:space="preserve">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Ref62484130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קכב</w:t>
      </w:r>
      <w:r w:rsidR="00265073">
        <w:rPr>
          <w:rStyle w:val="af7"/>
          <w:rFonts w:eastAsiaTheme="minorHAnsi"/>
          <w:rtl/>
        </w:rPr>
        <w:t>)</w:t>
      </w:r>
      <w:r>
        <w:rPr>
          <w:rStyle w:val="af7"/>
          <w:rFonts w:eastAsiaTheme="minorHAnsi" w:hint="cs"/>
          <w:rtl/>
        </w:rPr>
        <w:fldChar w:fldCharType="end"/>
      </w:r>
      <w:r>
        <w:rPr>
          <w:rFonts w:hint="cs"/>
          <w:rtl/>
        </w:rPr>
        <w:t xml:space="preserve">, ועי' במ"ש </w:t>
      </w:r>
      <w:r>
        <w:rPr>
          <w:rStyle w:val="af9"/>
          <w:rtl/>
        </w:rPr>
        <w:t>המחנ"א</w:t>
      </w:r>
      <w:r>
        <w:rPr>
          <w:rtl/>
        </w:rPr>
        <w:t xml:space="preserve"> בשם </w:t>
      </w:r>
      <w:r>
        <w:rPr>
          <w:rStyle w:val="af9"/>
          <w:rtl/>
        </w:rPr>
        <w:t>הפני משה</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Ref62462498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עג</w:t>
      </w:r>
      <w:r w:rsidR="00265073">
        <w:rPr>
          <w:rStyle w:val="af7"/>
          <w:rFonts w:eastAsia="Guttman Hodes"/>
          <w:rtl/>
        </w:rPr>
        <w:t>)</w:t>
      </w:r>
      <w:r>
        <w:rPr>
          <w:rStyle w:val="af7"/>
          <w:rFonts w:eastAsia="Guttman Hodes" w:hint="cs"/>
          <w:rtl/>
        </w:rPr>
        <w:fldChar w:fldCharType="end"/>
      </w:r>
      <w:r>
        <w:rPr>
          <w:rFonts w:hint="cs"/>
          <w:rtl/>
        </w:rPr>
        <w:t>.</w:t>
      </w:r>
    </w:p>
    <w:p w:rsidR="00EC445E" w:rsidRDefault="00EC445E" w:rsidP="00EC445E">
      <w:pPr>
        <w:pStyle w:val="1"/>
        <w:rPr>
          <w:rtl/>
        </w:rPr>
      </w:pPr>
      <w:bookmarkStart w:id="13457" w:name="_Toc62485698"/>
      <w:bookmarkStart w:id="13458" w:name="_Toc62420147"/>
      <w:bookmarkStart w:id="13459" w:name="_Toc62452640"/>
      <w:bookmarkStart w:id="13460" w:name="_Toc62453927"/>
      <w:r>
        <w:rPr>
          <w:rFonts w:hint="cs"/>
          <w:rtl/>
        </w:rPr>
        <w:t>בי' האבי עזרי דנאמן בעיקר הטענה אף אחר שבאו עדים</w:t>
      </w:r>
      <w:bookmarkEnd w:id="13457"/>
    </w:p>
    <w:p w:rsidR="00EC445E" w:rsidRDefault="00EC445E" w:rsidP="00EC445E">
      <w:pPr>
        <w:pStyle w:val="a3"/>
      </w:pPr>
      <w:bookmarkStart w:id="13461" w:name="_Toc62485699"/>
      <w:r>
        <w:rPr>
          <w:rFonts w:hint="cs"/>
          <w:rtl/>
        </w:rPr>
        <w:t>ביאור האבי עזרי דמפטור לפטור נאמן בעיקר טענתו ולכן לא בטל המיגו אף כשבאו עדים</w:t>
      </w:r>
      <w:bookmarkEnd w:id="13461"/>
    </w:p>
    <w:p w:rsidR="00EC445E" w:rsidRPr="00B810A7" w:rsidRDefault="00EC445E" w:rsidP="007E4E81">
      <w:pPr>
        <w:pStyle w:val="a0"/>
        <w:rPr>
          <w:rtl/>
        </w:rPr>
      </w:pPr>
      <w:bookmarkStart w:id="13462" w:name="_Ref62484130"/>
      <w:r>
        <w:rPr>
          <w:rFonts w:hint="cs"/>
          <w:rtl/>
        </w:rPr>
        <w:t xml:space="preserve">במה שהקשה </w:t>
      </w:r>
      <w:r w:rsidRPr="00BF121C">
        <w:rPr>
          <w:rStyle w:val="af9"/>
          <w:rFonts w:hint="cs"/>
          <w:rtl/>
        </w:rPr>
        <w:t>הקצוה"ח</w:t>
      </w:r>
      <w:r>
        <w:rPr>
          <w:rFonts w:hint="cs"/>
          <w:rtl/>
        </w:rPr>
        <w:t xml:space="preserve"> </w:t>
      </w:r>
      <w:r w:rsidRPr="007325FC">
        <w:rPr>
          <w:rStyle w:val="af7"/>
          <w:rFonts w:eastAsia="Guttman Rashi" w:hint="cs"/>
          <w:rtl/>
        </w:rPr>
        <w:t xml:space="preserve">(עי' אות </w:t>
      </w:r>
      <w:r w:rsidRPr="007325FC">
        <w:rPr>
          <w:rStyle w:val="af7"/>
          <w:rFonts w:eastAsia="Guttman Rashi"/>
          <w:rtl/>
        </w:rPr>
        <w:fldChar w:fldCharType="begin"/>
      </w:r>
      <w:r w:rsidRPr="007325FC">
        <w:rPr>
          <w:rStyle w:val="af7"/>
          <w:rFonts w:eastAsia="Guttman Rashi"/>
          <w:rtl/>
        </w:rPr>
        <w:instrText xml:space="preserve"> </w:instrText>
      </w:r>
      <w:r w:rsidRPr="007325FC">
        <w:rPr>
          <w:rStyle w:val="af7"/>
          <w:rFonts w:eastAsia="Guttman Rashi" w:hint="cs"/>
        </w:rPr>
        <w:instrText>REF</w:instrText>
      </w:r>
      <w:r w:rsidRPr="007325FC">
        <w:rPr>
          <w:rStyle w:val="af7"/>
          <w:rFonts w:eastAsia="Guttman Rashi" w:hint="cs"/>
          <w:rtl/>
        </w:rPr>
        <w:instrText xml:space="preserve"> _</w:instrText>
      </w:r>
      <w:r w:rsidRPr="007325FC">
        <w:rPr>
          <w:rStyle w:val="af7"/>
          <w:rFonts w:eastAsia="Guttman Rashi" w:hint="cs"/>
        </w:rPr>
        <w:instrText>Ref62158350 \r \h</w:instrText>
      </w:r>
      <w:r w:rsidRPr="007325FC">
        <w:rPr>
          <w:rStyle w:val="af7"/>
          <w:rFonts w:eastAsia="Guttman Rashi"/>
          <w:rtl/>
        </w:rPr>
        <w:instrText xml:space="preserve"> </w:instrText>
      </w:r>
      <w:r w:rsidRPr="007325FC">
        <w:rPr>
          <w:rStyle w:val="af7"/>
          <w:rFonts w:eastAsia="Guttman Rashi"/>
          <w:rtl/>
        </w:rPr>
      </w:r>
      <w:r w:rsidRPr="007325FC">
        <w:rPr>
          <w:rStyle w:val="af7"/>
          <w:rFonts w:eastAsia="Guttman Rashi"/>
          <w:rtl/>
        </w:rPr>
        <w:fldChar w:fldCharType="separate"/>
      </w:r>
      <w:r w:rsidR="00265073">
        <w:rPr>
          <w:rStyle w:val="af7"/>
          <w:rFonts w:eastAsia="Guttman Rashi"/>
          <w:cs/>
        </w:rPr>
        <w:t>‎</w:t>
      </w:r>
      <w:r w:rsidR="00265073">
        <w:rPr>
          <w:rStyle w:val="af7"/>
          <w:rFonts w:eastAsia="Guttman Rashi"/>
          <w:rtl/>
        </w:rPr>
        <w:t>ע)</w:t>
      </w:r>
      <w:r w:rsidRPr="007325FC">
        <w:rPr>
          <w:rStyle w:val="af7"/>
          <w:rFonts w:eastAsia="Guttman Rashi"/>
          <w:rtl/>
        </w:rPr>
        <w:fldChar w:fldCharType="end"/>
      </w:r>
      <w:r>
        <w:rPr>
          <w:rFonts w:hint="cs"/>
          <w:rtl/>
        </w:rPr>
        <w:t xml:space="preserve"> מהא דבאשת איש הייתי וגרושה אני, אינה נאמנת כשבאו עדים לבסוף, וכן במודה בשטר, תירץ </w:t>
      </w:r>
      <w:r w:rsidRPr="00E6246F">
        <w:rPr>
          <w:rStyle w:val="af9"/>
          <w:rFonts w:hint="cs"/>
          <w:rtl/>
        </w:rPr>
        <w:t>האבי עזרי</w:t>
      </w:r>
      <w:r>
        <w:rPr>
          <w:rFonts w:hint="cs"/>
          <w:rtl/>
        </w:rPr>
        <w:t xml:space="preserve"> </w:t>
      </w:r>
      <w:r w:rsidRPr="00395EC0">
        <w:rPr>
          <w:rStyle w:val="af7"/>
          <w:rFonts w:eastAsia="Guttman Hodes" w:hint="cs"/>
          <w:rtl/>
        </w:rPr>
        <w:t xml:space="preserve">(טו"נ פ"ו ה"ג או' ד') </w:t>
      </w:r>
      <w:r>
        <w:rPr>
          <w:rFonts w:hint="cs"/>
          <w:rtl/>
        </w:rPr>
        <w:t xml:space="preserve">דבאשת איש בלא המיגו, אין לה כל נאמנות בטענת גרושה, וכן במודה בשטר דכל שהוא מקויים אינו נאמן כלל כנגד השטר, ולכן אף שבאו עדים אחר המיגו, בטל המיגו, כיון שבלא המיגו לא הייתה לו כל נאמנות, אבל בחוזר מפטור לפטור, בטען לא לויתי וחזר וטען פרעתי, בעיקר הטענה השניה שטוען פרעתי יש לו נאמנות, ורק כיון שהוא הודה בתחילה שלא פרע, כשטען לא לויתי הוא צריך מיגו, ולכן כל שהיה לו מיגו לפני שבאו העדים, והיה נאמן על טענתו השניה, אף שבאו אח"כ עדים, לא התבטלה הנאמנות שהייתה לו, דהעדים אינם מכחישים את טענתו שפרע, והוא מוכחש רק מחמת שהודה בתחילה שלא פרע </w:t>
      </w:r>
      <w:r>
        <w:rPr>
          <w:rFonts w:hint="cs"/>
          <w:rtl/>
        </w:rPr>
        <w:t>כשטען לא לויתי, ועל הטענה הזו היה לו מיגו בתחילה, ואף שהמיגו התבטל, מ"מ נאמנותו לא בטלה</w:t>
      </w:r>
      <w:r>
        <w:rPr>
          <w:rtl/>
        </w:rPr>
        <w:t xml:space="preserve">ועי' במה שביארו </w:t>
      </w:r>
      <w:r>
        <w:rPr>
          <w:rStyle w:val="af9"/>
          <w:rtl/>
        </w:rPr>
        <w:t>המחנ"א</w:t>
      </w:r>
      <w:r>
        <w:rPr>
          <w:rtl/>
        </w:rPr>
        <w:t xml:space="preserve"> בשם </w:t>
      </w:r>
      <w:r>
        <w:rPr>
          <w:rStyle w:val="af9"/>
          <w:rtl/>
        </w:rPr>
        <w:t>הפני משה</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Ref62462498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עג</w:t>
      </w:r>
      <w:r w:rsidR="00265073">
        <w:rPr>
          <w:rStyle w:val="af7"/>
          <w:rFonts w:eastAsia="Guttman Hodes"/>
          <w:rtl/>
        </w:rPr>
        <w:t>)</w:t>
      </w:r>
      <w:r>
        <w:rPr>
          <w:rStyle w:val="af7"/>
          <w:rFonts w:eastAsia="Guttman Hodes" w:hint="cs"/>
          <w:rtl/>
        </w:rPr>
        <w:fldChar w:fldCharType="end"/>
      </w:r>
      <w:r>
        <w:rPr>
          <w:rtl/>
        </w:rPr>
        <w:t xml:space="preserve"> </w:t>
      </w:r>
      <w:r>
        <w:rPr>
          <w:rStyle w:val="af9"/>
          <w:rFonts w:hint="cs"/>
          <w:rtl/>
        </w:rPr>
        <w:t>ו</w:t>
      </w:r>
      <w:r>
        <w:rPr>
          <w:rStyle w:val="af9"/>
          <w:rtl/>
        </w:rPr>
        <w:t>הקוב"ש</w:t>
      </w:r>
      <w:r>
        <w:rPr>
          <w:rtl/>
        </w:rPr>
        <w:t xml:space="preserve">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Ref62471537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קיא</w:t>
      </w:r>
      <w:r w:rsidR="00265073">
        <w:rPr>
          <w:rStyle w:val="af7"/>
          <w:rFonts w:eastAsiaTheme="minorHAnsi"/>
          <w:rtl/>
        </w:rPr>
        <w:t>)</w:t>
      </w:r>
      <w:r>
        <w:rPr>
          <w:rStyle w:val="af7"/>
          <w:rFonts w:eastAsiaTheme="minorHAnsi" w:hint="cs"/>
          <w:rtl/>
        </w:rPr>
        <w:fldChar w:fldCharType="end"/>
      </w:r>
      <w:r>
        <w:rPr>
          <w:rtl/>
        </w:rPr>
        <w:t xml:space="preserve"> </w:t>
      </w:r>
      <w:r>
        <w:rPr>
          <w:rStyle w:val="af9"/>
          <w:rtl/>
        </w:rPr>
        <w:t>ובחי' רבי שמואל</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Ref62483734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קכ</w:t>
      </w:r>
      <w:r w:rsidR="00265073">
        <w:rPr>
          <w:rStyle w:val="af7"/>
          <w:rFonts w:eastAsia="Guttman Hodes"/>
          <w:rtl/>
        </w:rPr>
        <w:t>)</w:t>
      </w:r>
      <w:r>
        <w:rPr>
          <w:rStyle w:val="af7"/>
          <w:rFonts w:eastAsia="Guttman Hodes" w:hint="cs"/>
          <w:rtl/>
        </w:rPr>
        <w:fldChar w:fldCharType="end"/>
      </w:r>
      <w:r>
        <w:rPr>
          <w:rStyle w:val="af9"/>
          <w:rtl/>
        </w:rPr>
        <w:t xml:space="preserve"> ובחי' רבי נחום</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Ref62483672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קטז</w:t>
      </w:r>
      <w:r w:rsidR="00265073">
        <w:rPr>
          <w:rStyle w:val="af7"/>
          <w:rFonts w:eastAsia="Guttman Hodes"/>
          <w:rtl/>
        </w:rPr>
        <w:t>)</w:t>
      </w:r>
      <w:r>
        <w:rPr>
          <w:rStyle w:val="af7"/>
          <w:rFonts w:eastAsia="Guttman Hodes" w:hint="cs"/>
          <w:rtl/>
        </w:rPr>
        <w:fldChar w:fldCharType="end"/>
      </w:r>
      <w:r>
        <w:rPr>
          <w:rFonts w:hint="cs"/>
          <w:rtl/>
        </w:rPr>
        <w:t xml:space="preserve">. </w:t>
      </w:r>
      <w:bookmarkEnd w:id="13462"/>
    </w:p>
    <w:p w:rsidR="00EC445E" w:rsidRDefault="00EC445E" w:rsidP="00EC445E">
      <w:pPr>
        <w:pStyle w:val="1"/>
        <w:rPr>
          <w:rtl/>
        </w:rPr>
      </w:pPr>
      <w:bookmarkStart w:id="13463" w:name="_Toc62485700"/>
      <w:r>
        <w:rPr>
          <w:rFonts w:hint="cs"/>
          <w:rtl/>
        </w:rPr>
        <w:t>בי' האבי עזרי בנתיה"מ</w:t>
      </w:r>
      <w:bookmarkEnd w:id="13458"/>
      <w:bookmarkEnd w:id="13459"/>
      <w:bookmarkEnd w:id="13460"/>
      <w:r>
        <w:rPr>
          <w:rFonts w:hint="cs"/>
          <w:rtl/>
        </w:rPr>
        <w:t xml:space="preserve"> דאי דייק ל"מ מיגו כנגד הודאת בע"ד</w:t>
      </w:r>
      <w:bookmarkEnd w:id="13463"/>
    </w:p>
    <w:p w:rsidR="00EC445E" w:rsidRDefault="00EC445E" w:rsidP="00EC445E">
      <w:pPr>
        <w:pStyle w:val="a3"/>
        <w:rPr>
          <w:rtl/>
        </w:rPr>
      </w:pPr>
      <w:bookmarkStart w:id="13464" w:name="_Toc62485701"/>
      <w:r>
        <w:rPr>
          <w:rFonts w:hint="cs"/>
          <w:rtl/>
        </w:rPr>
        <w:t>ביאור האבי עזרי בנתיה"מ דמוכח דלא דייק בטענתו דאל"ה לא נאמן במיגו כנגד הודאת בע"ד</w:t>
      </w:r>
      <w:bookmarkEnd w:id="13464"/>
    </w:p>
    <w:p w:rsidR="00EC445E" w:rsidRDefault="00EC445E" w:rsidP="007E4E81">
      <w:pPr>
        <w:pStyle w:val="a0"/>
      </w:pPr>
      <w:bookmarkStart w:id="13465" w:name="_Ref62484503"/>
      <w:r>
        <w:rPr>
          <w:rFonts w:hint="cs"/>
          <w:rtl/>
        </w:rPr>
        <w:t xml:space="preserve">במ"ש </w:t>
      </w:r>
      <w:r w:rsidRPr="008D2AAB">
        <w:rPr>
          <w:rStyle w:val="af9"/>
          <w:rFonts w:hint="cs"/>
          <w:rtl/>
        </w:rPr>
        <w:t>הנתיה"מ</w:t>
      </w:r>
      <w:r w:rsidRPr="005C5449">
        <w:rPr>
          <w:rFonts w:hint="cs"/>
          <w:rtl/>
        </w:rPr>
        <w:t xml:space="preserve"> </w:t>
      </w:r>
      <w:r w:rsidRPr="00CE15F1">
        <w:rPr>
          <w:rStyle w:val="af7"/>
          <w:rFonts w:eastAsia="Guttman Hodes" w:hint="cs"/>
          <w:rtl/>
        </w:rPr>
        <w:t xml:space="preserve">(עי' אות </w:t>
      </w:r>
      <w:r w:rsidRPr="00CE15F1">
        <w:rPr>
          <w:rStyle w:val="af7"/>
          <w:rFonts w:eastAsia="Guttman Hodes"/>
          <w:rtl/>
        </w:rPr>
        <w:fldChar w:fldCharType="begin"/>
      </w:r>
      <w:r w:rsidRPr="00CE15F1">
        <w:rPr>
          <w:rStyle w:val="af7"/>
          <w:rFonts w:eastAsia="Guttman Hodes"/>
          <w:rtl/>
        </w:rPr>
        <w:instrText xml:space="preserve"> </w:instrText>
      </w:r>
      <w:r w:rsidRPr="00CE15F1">
        <w:rPr>
          <w:rStyle w:val="af7"/>
          <w:rFonts w:eastAsia="Guttman Hodes" w:hint="cs"/>
        </w:rPr>
        <w:instrText>REF</w:instrText>
      </w:r>
      <w:r w:rsidRPr="00CE15F1">
        <w:rPr>
          <w:rStyle w:val="af7"/>
          <w:rFonts w:eastAsia="Guttman Hodes" w:hint="cs"/>
          <w:rtl/>
        </w:rPr>
        <w:instrText xml:space="preserve"> _</w:instrText>
      </w:r>
      <w:r w:rsidRPr="00CE15F1">
        <w:rPr>
          <w:rStyle w:val="af7"/>
          <w:rFonts w:eastAsia="Guttman Hodes" w:hint="cs"/>
        </w:rPr>
        <w:instrText>Ref62470047 \r \h</w:instrText>
      </w:r>
      <w:r w:rsidRPr="00CE15F1">
        <w:rPr>
          <w:rStyle w:val="af7"/>
          <w:rFonts w:eastAsia="Guttman Hodes"/>
          <w:rtl/>
        </w:rPr>
        <w:instrText xml:space="preserve"> </w:instrText>
      </w:r>
      <w:r w:rsidRPr="00CE15F1">
        <w:rPr>
          <w:rStyle w:val="af7"/>
          <w:rFonts w:eastAsia="Guttman Hodes"/>
          <w:rtl/>
        </w:rPr>
      </w:r>
      <w:r w:rsidRPr="00CE15F1">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CE15F1">
        <w:rPr>
          <w:rStyle w:val="af7"/>
          <w:rFonts w:eastAsia="Guttman Hodes"/>
          <w:rtl/>
        </w:rPr>
        <w:fldChar w:fldCharType="end"/>
      </w:r>
      <w:r>
        <w:rPr>
          <w:rFonts w:hint="cs"/>
          <w:rtl/>
        </w:rPr>
        <w:t xml:space="preserve"> דהא דהחוזר וטוען מפטור לפטור נאמן הוא כיון שאינו מדקדק בטענת פטור, כתב </w:t>
      </w:r>
      <w:r w:rsidRPr="008D2AAB">
        <w:rPr>
          <w:rStyle w:val="af9"/>
          <w:rFonts w:hint="cs"/>
          <w:rtl/>
        </w:rPr>
        <w:t>האבי עזרי</w:t>
      </w:r>
      <w:r w:rsidRPr="005C5449">
        <w:rPr>
          <w:rFonts w:hint="cs"/>
          <w:rtl/>
        </w:rPr>
        <w:t xml:space="preserve"> </w:t>
      </w:r>
      <w:r w:rsidRPr="00395EC0">
        <w:rPr>
          <w:rStyle w:val="af7"/>
          <w:rFonts w:eastAsia="Guttman Hodes" w:hint="cs"/>
          <w:rtl/>
        </w:rPr>
        <w:t>(טו"נ פ"ו</w:t>
      </w:r>
      <w:r w:rsidRPr="005C5449">
        <w:rPr>
          <w:rFonts w:hint="cs"/>
          <w:rtl/>
        </w:rPr>
        <w:t xml:space="preserve"> </w:t>
      </w:r>
      <w:r w:rsidRPr="00395EC0">
        <w:rPr>
          <w:rStyle w:val="af7"/>
          <w:rFonts w:eastAsia="Guttman Hodes" w:hint="cs"/>
          <w:rtl/>
        </w:rPr>
        <w:t>ה"ג או' ה')</w:t>
      </w:r>
      <w:r>
        <w:rPr>
          <w:rFonts w:hint="cs"/>
          <w:rtl/>
        </w:rPr>
        <w:t xml:space="preserve"> דהטעם שכתב </w:t>
      </w:r>
      <w:r w:rsidRPr="008D2AAB">
        <w:rPr>
          <w:rStyle w:val="af9"/>
          <w:rFonts w:hint="cs"/>
          <w:rtl/>
        </w:rPr>
        <w:t>הר"י מגאש</w:t>
      </w:r>
      <w:r>
        <w:rPr>
          <w:rFonts w:hint="cs"/>
          <w:rtl/>
        </w:rPr>
        <w:t xml:space="preserve"> </w:t>
      </w:r>
      <w:r w:rsidRPr="0004167C">
        <w:rPr>
          <w:rStyle w:val="af7"/>
          <w:rFonts w:eastAsia="Guttman Hodes" w:hint="cs"/>
          <w:rtl/>
        </w:rPr>
        <w:t xml:space="preserve">(עי' אות </w:t>
      </w:r>
      <w:r w:rsidRPr="0004167C">
        <w:rPr>
          <w:rStyle w:val="af7"/>
          <w:rFonts w:eastAsia="Guttman Hodes"/>
          <w:rtl/>
        </w:rPr>
        <w:fldChar w:fldCharType="begin"/>
      </w:r>
      <w:r w:rsidRPr="0004167C">
        <w:rPr>
          <w:rStyle w:val="af7"/>
          <w:rFonts w:eastAsia="Guttman Hodes"/>
          <w:rtl/>
        </w:rPr>
        <w:instrText xml:space="preserve"> </w:instrText>
      </w:r>
      <w:r w:rsidRPr="0004167C">
        <w:rPr>
          <w:rStyle w:val="af7"/>
          <w:rFonts w:eastAsia="Guttman Hodes" w:hint="cs"/>
        </w:rPr>
        <w:instrText>REF</w:instrText>
      </w:r>
      <w:r w:rsidRPr="0004167C">
        <w:rPr>
          <w:rStyle w:val="af7"/>
          <w:rFonts w:eastAsia="Guttman Hodes" w:hint="cs"/>
          <w:rtl/>
        </w:rPr>
        <w:instrText xml:space="preserve"> _</w:instrText>
      </w:r>
      <w:r w:rsidRPr="0004167C">
        <w:rPr>
          <w:rStyle w:val="af7"/>
          <w:rFonts w:eastAsia="Guttman Hodes" w:hint="cs"/>
        </w:rPr>
        <w:instrText>Ref62452796 \r \h</w:instrText>
      </w:r>
      <w:r w:rsidRPr="0004167C">
        <w:rPr>
          <w:rStyle w:val="af7"/>
          <w:rFonts w:eastAsia="Guttman Hodes"/>
          <w:rtl/>
        </w:rPr>
        <w:instrText xml:space="preserve"> </w:instrText>
      </w:r>
      <w:r w:rsidRPr="0004167C">
        <w:rPr>
          <w:rStyle w:val="af7"/>
          <w:rFonts w:eastAsia="Guttman Hodes"/>
          <w:rtl/>
        </w:rPr>
      </w:r>
      <w:r w:rsidRPr="0004167C">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04167C">
        <w:rPr>
          <w:rStyle w:val="af7"/>
          <w:rFonts w:eastAsia="Guttman Hodes"/>
          <w:rtl/>
        </w:rPr>
        <w:fldChar w:fldCharType="end"/>
      </w:r>
      <w:r>
        <w:rPr>
          <w:rFonts w:hint="cs"/>
          <w:rtl/>
        </w:rPr>
        <w:t xml:space="preserve"> דהוא נאמן במיגו, הוא אותו הטעם שכתב </w:t>
      </w:r>
      <w:r w:rsidRPr="008D2AAB">
        <w:rPr>
          <w:rStyle w:val="af9"/>
          <w:rFonts w:hint="cs"/>
          <w:rtl/>
        </w:rPr>
        <w:t>הנתיה"מ</w:t>
      </w:r>
      <w:r>
        <w:rPr>
          <w:rFonts w:hint="cs"/>
          <w:rtl/>
        </w:rPr>
        <w:t xml:space="preserve">, וביאר </w:t>
      </w:r>
      <w:r w:rsidRPr="008D2AAB">
        <w:rPr>
          <w:rStyle w:val="af9"/>
          <w:rFonts w:hint="cs"/>
          <w:rtl/>
        </w:rPr>
        <w:t>האבי עזרי</w:t>
      </w:r>
      <w:r>
        <w:rPr>
          <w:rFonts w:hint="cs"/>
          <w:rtl/>
        </w:rPr>
        <w:t xml:space="preserve"> דאף דכתב </w:t>
      </w:r>
      <w:r w:rsidRPr="007F75BC">
        <w:rPr>
          <w:rStyle w:val="af9"/>
          <w:rFonts w:hint="cs"/>
          <w:rtl/>
        </w:rPr>
        <w:t>הר"י מגאש</w:t>
      </w:r>
      <w:r>
        <w:rPr>
          <w:rFonts w:hint="cs"/>
          <w:rtl/>
        </w:rPr>
        <w:t xml:space="preserve"> שיש לו מיגו, מ"מ עדיין קשה האיך נאמן במיגו כנגד הודאת בע"ד, שהודה בתחילה כשטען לא לויתי, דכל האומר לא לויתי כאומר לא פרעתי דמי, </w:t>
      </w:r>
      <w:r w:rsidRPr="00045A22">
        <w:rPr>
          <w:rStyle w:val="afb"/>
          <w:rFonts w:hint="cs"/>
          <w:rtl/>
        </w:rPr>
        <w:t xml:space="preserve">[עי' בדברי </w:t>
      </w:r>
      <w:r w:rsidRPr="00045A22">
        <w:rPr>
          <w:rStyle w:val="affa"/>
          <w:rtl/>
        </w:rPr>
        <w:t>המהר"י בן לב</w:t>
      </w:r>
      <w:r w:rsidRPr="00045A22">
        <w:rPr>
          <w:rStyle w:val="afb"/>
          <w:rtl/>
        </w:rPr>
        <w:t xml:space="preserve"> </w:t>
      </w:r>
      <w:r w:rsidRPr="00045A22">
        <w:rPr>
          <w:rStyle w:val="aff6"/>
          <w:rFonts w:hint="cs"/>
          <w:rtl/>
        </w:rPr>
        <w:t xml:space="preserve">(עי' אות </w:t>
      </w:r>
      <w:r w:rsidRPr="00045A22">
        <w:rPr>
          <w:rStyle w:val="aff6"/>
          <w:rFonts w:hint="cs"/>
          <w:rtl/>
        </w:rPr>
        <w:fldChar w:fldCharType="begin"/>
      </w:r>
      <w:r w:rsidRPr="00045A22">
        <w:rPr>
          <w:rStyle w:val="aff6"/>
          <w:rFonts w:hint="cs"/>
          <w:rtl/>
        </w:rPr>
        <w:instrText xml:space="preserve"> </w:instrText>
      </w:r>
      <w:r w:rsidRPr="00045A22">
        <w:rPr>
          <w:rStyle w:val="aff6"/>
        </w:rPr>
        <w:instrText>REF</w:instrText>
      </w:r>
      <w:r w:rsidRPr="00045A22">
        <w:rPr>
          <w:rStyle w:val="aff6"/>
          <w:rFonts w:hint="cs"/>
          <w:rtl/>
        </w:rPr>
        <w:instrText xml:space="preserve"> _</w:instrText>
      </w:r>
      <w:r w:rsidRPr="00045A22">
        <w:rPr>
          <w:rStyle w:val="aff6"/>
        </w:rPr>
        <w:instrText>Ref62402139 \r \h</w:instrText>
      </w:r>
      <w:r w:rsidRPr="00045A22">
        <w:rPr>
          <w:rStyle w:val="aff6"/>
          <w:rFonts w:hint="cs"/>
          <w:rtl/>
        </w:rPr>
        <w:instrText xml:space="preserve"> </w:instrText>
      </w:r>
      <w:r w:rsidRPr="00045A22">
        <w:rPr>
          <w:rStyle w:val="aff6"/>
          <w:rFonts w:hint="cs"/>
          <w:rtl/>
        </w:rPr>
      </w:r>
      <w:r w:rsidRPr="00045A22">
        <w:rPr>
          <w:rStyle w:val="aff6"/>
          <w:rFonts w:hint="cs"/>
          <w:rtl/>
        </w:rPr>
        <w:fldChar w:fldCharType="separate"/>
      </w:r>
      <w:r w:rsidR="00265073">
        <w:rPr>
          <w:rStyle w:val="aff6"/>
          <w:rFonts w:hint="eastAsia"/>
          <w:cs/>
        </w:rPr>
        <w:t>‎</w:t>
      </w:r>
      <w:r w:rsidR="00265073">
        <w:rPr>
          <w:rStyle w:val="aff6"/>
          <w:rFonts w:hint="eastAsia"/>
          <w:rtl/>
        </w:rPr>
        <w:t>עו</w:t>
      </w:r>
      <w:r w:rsidR="00265073">
        <w:rPr>
          <w:rStyle w:val="aff6"/>
          <w:rtl/>
        </w:rPr>
        <w:t>)</w:t>
      </w:r>
      <w:r w:rsidRPr="00045A22">
        <w:rPr>
          <w:rStyle w:val="aff6"/>
          <w:rFonts w:hint="cs"/>
          <w:rtl/>
        </w:rPr>
        <w:fldChar w:fldCharType="end"/>
      </w:r>
      <w:r w:rsidRPr="00045A22">
        <w:rPr>
          <w:rStyle w:val="afb"/>
          <w:rFonts w:hint="cs"/>
          <w:rtl/>
        </w:rPr>
        <w:t>],</w:t>
      </w:r>
      <w:r>
        <w:rPr>
          <w:rFonts w:hint="cs"/>
          <w:rtl/>
        </w:rPr>
        <w:t xml:space="preserve"> אלא מוכח דאי"ז נחשב כהודאת בע"ד כדברי </w:t>
      </w:r>
      <w:r w:rsidRPr="0004167C">
        <w:rPr>
          <w:rStyle w:val="af9"/>
          <w:rFonts w:hint="cs"/>
          <w:rtl/>
        </w:rPr>
        <w:t>הנתיה"מ</w:t>
      </w:r>
      <w:r>
        <w:rPr>
          <w:rFonts w:hint="cs"/>
          <w:rtl/>
        </w:rPr>
        <w:t xml:space="preserve"> דלא דקדק בטענתו הראשונה כיון שהיא טענת פטור, אך מ"מ בלא מיגו אינו נאמן דהא אין לנו כל הוכחה שלא דקדק בטענתו הראשונה, ורק כיון שיש לו מיגו כדכתב הר"י מגאש, א"כ מוכח שהוא נאמן בטענתו הראשונה, ולכן אמרינן דלא דקדק בטענתו, ולא חשיבא כהודאת בע"ד.</w:t>
      </w:r>
      <w:bookmarkEnd w:id="13465"/>
    </w:p>
    <w:p w:rsidR="00EC445E" w:rsidRDefault="00EC445E" w:rsidP="00EC445E">
      <w:pPr>
        <w:pStyle w:val="afe"/>
        <w:rPr>
          <w:rFonts w:eastAsiaTheme="minorEastAsia" w:cstheme="minorBidi"/>
          <w:i/>
          <w:iCs/>
          <w:noProof/>
          <w:szCs w:val="22"/>
          <w:rtl/>
        </w:rPr>
      </w:pPr>
      <w:bookmarkStart w:id="13466" w:name="_Toc62485704"/>
      <w:bookmarkStart w:id="13467" w:name="_Toc62420148"/>
      <w:bookmarkStart w:id="13468" w:name="_Toc62452641"/>
      <w:bookmarkStart w:id="13469" w:name="_Toc62453928"/>
      <w:r>
        <w:rPr>
          <w:rFonts w:hint="cs"/>
          <w:rtl/>
        </w:rPr>
        <w:t>בבי' דברי הריטב"א בחוזר מפטור לפטור</w:t>
      </w:r>
    </w:p>
    <w:p w:rsidR="00EC445E" w:rsidRDefault="00EC445E" w:rsidP="00EC445E">
      <w:pPr>
        <w:pStyle w:val="1"/>
        <w:rPr>
          <w:rFonts w:eastAsiaTheme="minorEastAsia" w:cstheme="minorBidi"/>
          <w:i/>
          <w:iCs/>
          <w:noProof/>
          <w:sz w:val="22"/>
          <w:szCs w:val="22"/>
          <w:rtl/>
        </w:rPr>
      </w:pPr>
      <w:r>
        <w:rPr>
          <w:noProof/>
          <w:rtl/>
        </w:rPr>
        <w:t>ביאור הגרנ"פ בריטב"א</w:t>
      </w:r>
      <w:r>
        <w:rPr>
          <w:rFonts w:hint="cs"/>
          <w:noProof/>
          <w:rtl/>
        </w:rPr>
        <w:t xml:space="preserve"> דרק בטענה שפוטרת לגמרי נאמן</w:t>
      </w:r>
    </w:p>
    <w:p w:rsidR="00EC445E" w:rsidRPr="00E13CDE" w:rsidRDefault="00EC445E" w:rsidP="00EC445E">
      <w:pPr>
        <w:pStyle w:val="a3"/>
        <w:rPr>
          <w:rtl/>
        </w:rPr>
      </w:pPr>
      <w:r>
        <w:rPr>
          <w:rFonts w:hint="cs"/>
          <w:rtl/>
        </w:rPr>
        <w:t>ביאור הגרנ"פ בריטב"א דטענה שהייתה פטור ואחר שחזר וטען מחייבתו חשיב מחיוב לפטור</w:t>
      </w:r>
      <w:bookmarkEnd w:id="13466"/>
    </w:p>
    <w:p w:rsidR="00EC445E" w:rsidRDefault="00EC445E" w:rsidP="007E4E81">
      <w:pPr>
        <w:pStyle w:val="a0"/>
        <w:rPr>
          <w:rtl/>
        </w:rPr>
      </w:pPr>
      <w:bookmarkStart w:id="13470" w:name="_Ref62451789"/>
      <w:r>
        <w:rPr>
          <w:rFonts w:hint="cs"/>
          <w:rtl/>
        </w:rPr>
        <w:t xml:space="preserve">במ"ש </w:t>
      </w:r>
      <w:r w:rsidRPr="003A671A">
        <w:rPr>
          <w:rStyle w:val="af9"/>
          <w:rFonts w:hint="cs"/>
          <w:rtl/>
        </w:rPr>
        <w:t>הריטב"א</w:t>
      </w:r>
      <w:r>
        <w:rPr>
          <w:rFonts w:hint="cs"/>
          <w:rtl/>
        </w:rPr>
        <w:t xml:space="preserve"> </w:t>
      </w:r>
      <w:r w:rsidRPr="00001524">
        <w:rPr>
          <w:rStyle w:val="af7"/>
          <w:rFonts w:eastAsia="Guttman Hodes" w:hint="cs"/>
          <w:rtl/>
        </w:rPr>
        <w:t xml:space="preserve">(עי' אות </w:t>
      </w:r>
      <w:r w:rsidRPr="00001524">
        <w:rPr>
          <w:rStyle w:val="af7"/>
          <w:rFonts w:eastAsia="Guttman Hodes"/>
          <w:rtl/>
        </w:rPr>
        <w:fldChar w:fldCharType="begin"/>
      </w:r>
      <w:r w:rsidRPr="00001524">
        <w:rPr>
          <w:rStyle w:val="af7"/>
          <w:rFonts w:eastAsia="Guttman Hodes"/>
          <w:rtl/>
        </w:rPr>
        <w:instrText xml:space="preserve"> </w:instrText>
      </w:r>
      <w:r w:rsidRPr="00001524">
        <w:rPr>
          <w:rStyle w:val="af7"/>
          <w:rFonts w:eastAsia="Guttman Hodes" w:hint="cs"/>
        </w:rPr>
        <w:instrText>REF</w:instrText>
      </w:r>
      <w:r w:rsidRPr="00001524">
        <w:rPr>
          <w:rStyle w:val="af7"/>
          <w:rFonts w:eastAsia="Guttman Hodes" w:hint="cs"/>
          <w:rtl/>
        </w:rPr>
        <w:instrText xml:space="preserve"> _</w:instrText>
      </w:r>
      <w:r w:rsidRPr="00001524">
        <w:rPr>
          <w:rStyle w:val="af7"/>
          <w:rFonts w:eastAsia="Guttman Hodes" w:hint="cs"/>
        </w:rPr>
        <w:instrText>Ref62484545 \r \h</w:instrText>
      </w:r>
      <w:r w:rsidRPr="00001524">
        <w:rPr>
          <w:rStyle w:val="af7"/>
          <w:rFonts w:eastAsia="Guttman Hodes"/>
          <w:rtl/>
        </w:rPr>
        <w:instrText xml:space="preserve"> </w:instrText>
      </w:r>
      <w:r w:rsidRPr="00001524">
        <w:rPr>
          <w:rStyle w:val="af7"/>
          <w:rFonts w:eastAsia="Guttman Hodes"/>
          <w:rtl/>
        </w:rPr>
      </w:r>
      <w:r w:rsidRPr="00001524">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001524">
        <w:rPr>
          <w:rStyle w:val="af7"/>
          <w:rFonts w:eastAsia="Guttman Hodes"/>
          <w:rtl/>
        </w:rPr>
        <w:fldChar w:fldCharType="end"/>
      </w:r>
      <w:r>
        <w:rPr>
          <w:rFonts w:hint="cs"/>
          <w:rtl/>
        </w:rPr>
        <w:t xml:space="preserve"> דאף דנאמן בחוזר וטוען מפטור לפטור, מ"מ בחוזר וטוען מחיוב לפטור אינו נאמן, כגון שהודה בתחילה למערער שהייתה שלו וטען מינך זבינתה, דאינו נאמן לחזור ולטעון שהייתה של פלוני וקנה ממנו, ולא מהמערער, וכן כשטען לויתי ופרעתי אינו נאמן לטעון לא לויתי, כתב </w:t>
      </w:r>
      <w:r w:rsidRPr="00E6246F">
        <w:rPr>
          <w:rStyle w:val="af9"/>
          <w:rFonts w:hint="cs"/>
          <w:rtl/>
        </w:rPr>
        <w:t>בחי' רבי נחום</w:t>
      </w:r>
      <w:r>
        <w:rPr>
          <w:rFonts w:hint="cs"/>
          <w:rtl/>
        </w:rPr>
        <w:t xml:space="preserve"> </w:t>
      </w:r>
      <w:r w:rsidRPr="009E4C2B">
        <w:rPr>
          <w:rStyle w:val="af7"/>
          <w:rFonts w:eastAsia="Guttman Hodes" w:hint="cs"/>
          <w:rtl/>
        </w:rPr>
        <w:t>(או' צ"ב)</w:t>
      </w:r>
      <w:r>
        <w:rPr>
          <w:rFonts w:hint="cs"/>
          <w:rtl/>
        </w:rPr>
        <w:t xml:space="preserve"> דמבואר מדברי </w:t>
      </w:r>
      <w:r w:rsidRPr="00001524">
        <w:rPr>
          <w:rStyle w:val="af9"/>
          <w:rFonts w:hint="cs"/>
          <w:rtl/>
        </w:rPr>
        <w:t>הריטב"א</w:t>
      </w:r>
      <w:r>
        <w:rPr>
          <w:rFonts w:hint="cs"/>
          <w:rtl/>
        </w:rPr>
        <w:t xml:space="preserve"> חידוש, דכשטען לויתיו ופרעתי וחוזר וטען לא לויתי חשיב מחיוב לפטור, אעפ"י דהטענה הראשונה שטען מצד עצמה היא טענת פטור, מ"מ כיון שהטענה השניה שטען לא לויתי, לכן חשיב שהטענה הראשונה שטען לויתי ופרעתי, חשיבא לגביו כטענת חיוב, וכן כשטען בתחילה שלך הייתה ומינך זבינתה, דהטענה מצד עצמה היא טענת פטור, אך מ"מ כיון שבטענה השינה שטען שקנאה מאדם אחר, לכן לגביו חשיבא הטענה הראשונה כטענת חיוב, ולכן כתב הריטב"א דחשיב כחוזר מחיוב לפטור.</w:t>
      </w:r>
      <w:bookmarkEnd w:id="13470"/>
    </w:p>
    <w:p w:rsidR="00EC445E" w:rsidRDefault="00EC445E" w:rsidP="00EC445E">
      <w:pPr>
        <w:pStyle w:val="a3"/>
        <w:rPr>
          <w:rtl/>
        </w:rPr>
      </w:pPr>
      <w:bookmarkStart w:id="13471" w:name="_Toc62485705"/>
      <w:r>
        <w:rPr>
          <w:rFonts w:hint="cs"/>
          <w:rtl/>
        </w:rPr>
        <w:t>ביאור הגרנ"פ בריטב"א דבפטור לפטור לא חשיב חוזר וטוען אבל טענת לויתי חשיבא כחיוב</w:t>
      </w:r>
      <w:bookmarkEnd w:id="13471"/>
    </w:p>
    <w:p w:rsidR="00EC445E" w:rsidRPr="00CF767C" w:rsidRDefault="00EC445E" w:rsidP="007E4E81">
      <w:pPr>
        <w:pStyle w:val="a0"/>
        <w:rPr>
          <w:rtl/>
        </w:rPr>
      </w:pPr>
      <w:bookmarkStart w:id="13472" w:name="_Ref62484832"/>
      <w:r>
        <w:rPr>
          <w:rFonts w:hint="cs"/>
          <w:rtl/>
        </w:rPr>
        <w:t xml:space="preserve">וכתב </w:t>
      </w:r>
      <w:r w:rsidRPr="00E6246F">
        <w:rPr>
          <w:rStyle w:val="af9"/>
          <w:rFonts w:hint="cs"/>
          <w:rtl/>
        </w:rPr>
        <w:t>בחי' רבי נחום</w:t>
      </w:r>
      <w:r>
        <w:rPr>
          <w:rFonts w:hint="cs"/>
          <w:rtl/>
        </w:rPr>
        <w:t xml:space="preserve"> דא"א לבאר </w:t>
      </w:r>
      <w:r w:rsidRPr="00E6246F">
        <w:rPr>
          <w:rStyle w:val="af9"/>
          <w:rFonts w:hint="cs"/>
          <w:rtl/>
        </w:rPr>
        <w:t>בריטב"א</w:t>
      </w:r>
      <w:r>
        <w:rPr>
          <w:rFonts w:hint="cs"/>
          <w:rtl/>
        </w:rPr>
        <w:t xml:space="preserve"> כדברי </w:t>
      </w:r>
      <w:r>
        <w:rPr>
          <w:rStyle w:val="af9"/>
          <w:rtl/>
        </w:rPr>
        <w:t>הקצוה"ח</w:t>
      </w:r>
      <w:r>
        <w:rPr>
          <w:rFonts w:hint="cs"/>
          <w:rtl/>
        </w:rPr>
        <w:t xml:space="preserve"> </w:t>
      </w:r>
      <w:r w:rsidRPr="00F13805">
        <w:rPr>
          <w:rStyle w:val="af7"/>
          <w:rFonts w:eastAsia="Guttman Hodes" w:hint="cs"/>
          <w:rtl/>
        </w:rPr>
        <w:t xml:space="preserve">(עי' אות </w:t>
      </w:r>
      <w:r w:rsidRPr="00F13805">
        <w:rPr>
          <w:rStyle w:val="af7"/>
          <w:rFonts w:eastAsia="Guttman Hodes"/>
          <w:rtl/>
        </w:rPr>
        <w:fldChar w:fldCharType="begin"/>
      </w:r>
      <w:r w:rsidRPr="00F13805">
        <w:rPr>
          <w:rStyle w:val="af7"/>
          <w:rFonts w:eastAsia="Guttman Hodes"/>
          <w:rtl/>
        </w:rPr>
        <w:instrText xml:space="preserve"> </w:instrText>
      </w:r>
      <w:r w:rsidRPr="00F13805">
        <w:rPr>
          <w:rStyle w:val="af7"/>
          <w:rFonts w:eastAsia="Guttman Hodes" w:hint="cs"/>
        </w:rPr>
        <w:instrText>REF</w:instrText>
      </w:r>
      <w:r w:rsidRPr="00F13805">
        <w:rPr>
          <w:rStyle w:val="af7"/>
          <w:rFonts w:eastAsia="Guttman Hodes" w:hint="cs"/>
          <w:rtl/>
        </w:rPr>
        <w:instrText xml:space="preserve"> _</w:instrText>
      </w:r>
      <w:r w:rsidRPr="00F13805">
        <w:rPr>
          <w:rStyle w:val="af7"/>
          <w:rFonts w:eastAsia="Guttman Hodes" w:hint="cs"/>
        </w:rPr>
        <w:instrText>Ref62462034 \r \h</w:instrText>
      </w:r>
      <w:r w:rsidRPr="00F13805">
        <w:rPr>
          <w:rStyle w:val="af7"/>
          <w:rFonts w:eastAsia="Guttman Hodes"/>
          <w:rtl/>
        </w:rPr>
        <w:instrText xml:space="preserve"> </w:instrText>
      </w:r>
      <w:r w:rsidRPr="00F13805">
        <w:rPr>
          <w:rStyle w:val="af7"/>
          <w:rFonts w:eastAsia="Guttman Hodes"/>
          <w:rtl/>
        </w:rPr>
      </w:r>
      <w:r w:rsidRPr="00F13805">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F13805">
        <w:rPr>
          <w:rStyle w:val="af7"/>
          <w:rFonts w:eastAsia="Guttman Hodes"/>
          <w:rtl/>
        </w:rPr>
        <w:fldChar w:fldCharType="end"/>
      </w:r>
      <w:r>
        <w:rPr>
          <w:rFonts w:hint="cs"/>
          <w:rtl/>
        </w:rPr>
        <w:t xml:space="preserve"> דבחוזר מפטור לפטור, הטענה הראשונה אינה הודאת בע"ד, דהא אף כשטען לויתי ופרעתי הטענה עצמה אינה טענת חיוב, וא"כ אינה הודאת בע"ד, וכן א"א לפרש </w:t>
      </w:r>
      <w:r w:rsidRPr="00CE15F1">
        <w:rPr>
          <w:rStyle w:val="af9"/>
          <w:rFonts w:hint="cs"/>
          <w:rtl/>
        </w:rPr>
        <w:t>בריטב"א</w:t>
      </w:r>
      <w:r>
        <w:rPr>
          <w:rFonts w:hint="cs"/>
          <w:rtl/>
        </w:rPr>
        <w:t xml:space="preserve"> דמיגו מהני כנגד החסרון שאינו חוזר וטוען, </w:t>
      </w:r>
      <w:r w:rsidRPr="00CE15F1">
        <w:rPr>
          <w:rStyle w:val="afb"/>
          <w:rFonts w:hint="cs"/>
          <w:rtl/>
        </w:rPr>
        <w:t xml:space="preserve">[כדביאר </w:t>
      </w:r>
      <w:r w:rsidRPr="00CE15F1">
        <w:rPr>
          <w:rStyle w:val="affa"/>
          <w:rFonts w:hint="cs"/>
          <w:rtl/>
        </w:rPr>
        <w:t xml:space="preserve">בחי' רבי נחום </w:t>
      </w:r>
      <w:r w:rsidRPr="00197718">
        <w:rPr>
          <w:rStyle w:val="aff6"/>
          <w:rFonts w:hint="cs"/>
          <w:rtl/>
        </w:rPr>
        <w:t xml:space="preserve">(עי' אות </w:t>
      </w:r>
      <w:r w:rsidRPr="00197718">
        <w:rPr>
          <w:rStyle w:val="aff6"/>
          <w:rtl/>
        </w:rPr>
        <w:fldChar w:fldCharType="begin"/>
      </w:r>
      <w:r w:rsidRPr="00197718">
        <w:rPr>
          <w:rStyle w:val="aff6"/>
          <w:rtl/>
        </w:rPr>
        <w:instrText xml:space="preserve"> </w:instrText>
      </w:r>
      <w:r w:rsidRPr="00197718">
        <w:rPr>
          <w:rStyle w:val="aff6"/>
          <w:rFonts w:hint="cs"/>
        </w:rPr>
        <w:instrText>REF</w:instrText>
      </w:r>
      <w:r w:rsidRPr="00197718">
        <w:rPr>
          <w:rStyle w:val="aff6"/>
          <w:rFonts w:hint="cs"/>
          <w:rtl/>
        </w:rPr>
        <w:instrText xml:space="preserve"> _</w:instrText>
      </w:r>
      <w:r w:rsidRPr="00197718">
        <w:rPr>
          <w:rStyle w:val="aff6"/>
          <w:rFonts w:hint="cs"/>
        </w:rPr>
        <w:instrText>Ref62472483 \r \h</w:instrText>
      </w:r>
      <w:r w:rsidRPr="00197718">
        <w:rPr>
          <w:rStyle w:val="aff6"/>
          <w:rtl/>
        </w:rPr>
        <w:instrText xml:space="preserve"> </w:instrText>
      </w:r>
      <w:r w:rsidRPr="00197718">
        <w:rPr>
          <w:rStyle w:val="aff6"/>
          <w:rtl/>
        </w:rPr>
      </w:r>
      <w:r w:rsidRPr="00197718">
        <w:rPr>
          <w:rStyle w:val="aff6"/>
          <w:rtl/>
        </w:rPr>
        <w:fldChar w:fldCharType="separate"/>
      </w:r>
      <w:r w:rsidR="00265073">
        <w:rPr>
          <w:rStyle w:val="aff6"/>
          <w:cs/>
        </w:rPr>
        <w:t>‎</w:t>
      </w:r>
      <w:r w:rsidR="00265073">
        <w:rPr>
          <w:rStyle w:val="aff6"/>
          <w:rtl/>
        </w:rPr>
        <w:t>קיז)</w:t>
      </w:r>
      <w:r w:rsidRPr="00197718">
        <w:rPr>
          <w:rStyle w:val="aff6"/>
          <w:rtl/>
        </w:rPr>
        <w:fldChar w:fldCharType="end"/>
      </w:r>
      <w:r>
        <w:rPr>
          <w:rStyle w:val="afb"/>
          <w:rFonts w:hint="cs"/>
          <w:rtl/>
        </w:rPr>
        <w:t xml:space="preserve"> </w:t>
      </w:r>
      <w:r w:rsidRPr="00CE15F1">
        <w:rPr>
          <w:rStyle w:val="afb"/>
          <w:rFonts w:hint="cs"/>
          <w:rtl/>
        </w:rPr>
        <w:t xml:space="preserve">בדעת </w:t>
      </w:r>
      <w:r w:rsidRPr="00CE15F1">
        <w:rPr>
          <w:rStyle w:val="affa"/>
          <w:rFonts w:hint="cs"/>
          <w:rtl/>
        </w:rPr>
        <w:t>היד רמ"ה</w:t>
      </w:r>
      <w:r w:rsidRPr="00CE15F1">
        <w:rPr>
          <w:rStyle w:val="afb"/>
          <w:rFonts w:hint="cs"/>
          <w:rtl/>
        </w:rPr>
        <w:t xml:space="preserve">], </w:t>
      </w:r>
      <w:r>
        <w:rPr>
          <w:rFonts w:hint="cs"/>
          <w:rtl/>
        </w:rPr>
        <w:t xml:space="preserve">דהא אף כשטען לויות ופרעתי יש לו מיגו, דהיה יכול לעמוד בטענתו הראשונה, אלא כתב </w:t>
      </w:r>
      <w:r w:rsidRPr="00E6246F">
        <w:rPr>
          <w:rStyle w:val="af9"/>
          <w:rFonts w:hint="cs"/>
          <w:rtl/>
        </w:rPr>
        <w:t>בחי' רבי נחום</w:t>
      </w:r>
      <w:r>
        <w:rPr>
          <w:rFonts w:hint="cs"/>
          <w:rtl/>
        </w:rPr>
        <w:t xml:space="preserve"> דמוכח דהביאור </w:t>
      </w:r>
      <w:r w:rsidRPr="00E6246F">
        <w:rPr>
          <w:rStyle w:val="af9"/>
          <w:rFonts w:hint="cs"/>
          <w:rtl/>
        </w:rPr>
        <w:t>בריטב"א</w:t>
      </w:r>
      <w:r>
        <w:rPr>
          <w:rFonts w:hint="cs"/>
          <w:rtl/>
        </w:rPr>
        <w:t xml:space="preserve"> הוא כדביאר </w:t>
      </w:r>
      <w:r w:rsidRPr="00E6246F">
        <w:rPr>
          <w:rStyle w:val="af9"/>
          <w:rFonts w:hint="cs"/>
          <w:rtl/>
        </w:rPr>
        <w:t>בחי' רבי נחום</w:t>
      </w:r>
      <w:r w:rsidRPr="00197718">
        <w:rPr>
          <w:rStyle w:val="af7"/>
          <w:rFonts w:eastAsia="Guttman Hodes" w:hint="cs"/>
          <w:rtl/>
        </w:rPr>
        <w:t xml:space="preserve"> (עי' אות </w:t>
      </w:r>
      <w:r w:rsidRPr="00197718">
        <w:rPr>
          <w:rStyle w:val="af7"/>
          <w:rFonts w:eastAsia="Guttman Rashi"/>
          <w:rtl/>
        </w:rPr>
        <w:fldChar w:fldCharType="begin"/>
      </w:r>
      <w:r w:rsidRPr="00197718">
        <w:rPr>
          <w:rStyle w:val="af7"/>
          <w:rFonts w:eastAsia="Guttman Hodes"/>
          <w:rtl/>
        </w:rPr>
        <w:instrText xml:space="preserve"> </w:instrText>
      </w:r>
      <w:r w:rsidRPr="00197718">
        <w:rPr>
          <w:rStyle w:val="af7"/>
          <w:rFonts w:eastAsia="Guttman Hodes" w:hint="cs"/>
        </w:rPr>
        <w:instrText>REF</w:instrText>
      </w:r>
      <w:r w:rsidRPr="00197718">
        <w:rPr>
          <w:rStyle w:val="af7"/>
          <w:rFonts w:eastAsia="Guttman Hodes" w:hint="cs"/>
          <w:rtl/>
        </w:rPr>
        <w:instrText xml:space="preserve"> _</w:instrText>
      </w:r>
      <w:r w:rsidRPr="00197718">
        <w:rPr>
          <w:rStyle w:val="af7"/>
          <w:rFonts w:eastAsia="Guttman Hodes" w:hint="cs"/>
        </w:rPr>
        <w:instrText>Ref62472483 \r \h</w:instrText>
      </w:r>
      <w:r w:rsidRPr="00197718">
        <w:rPr>
          <w:rStyle w:val="af7"/>
          <w:rFonts w:eastAsia="Guttman Hodes"/>
          <w:rtl/>
        </w:rPr>
        <w:instrText xml:space="preserve"> </w:instrText>
      </w:r>
      <w:r w:rsidRPr="00197718">
        <w:rPr>
          <w:rStyle w:val="af7"/>
          <w:rFonts w:eastAsia="Guttman Rashi"/>
          <w:rtl/>
        </w:rPr>
      </w:r>
      <w:r w:rsidRPr="00197718">
        <w:rPr>
          <w:rStyle w:val="af7"/>
          <w:rFonts w:eastAsia="Guttman Rashi"/>
          <w:rtl/>
        </w:rPr>
        <w:fldChar w:fldCharType="separate"/>
      </w:r>
      <w:r w:rsidR="00265073">
        <w:rPr>
          <w:rStyle w:val="af7"/>
          <w:rFonts w:eastAsia="Guttman Hodes"/>
          <w:cs/>
        </w:rPr>
        <w:t>‎</w:t>
      </w:r>
      <w:r w:rsidR="00265073">
        <w:rPr>
          <w:rStyle w:val="af7"/>
          <w:rFonts w:eastAsia="Guttman Hodes"/>
          <w:rtl/>
        </w:rPr>
        <w:t>קיז)</w:t>
      </w:r>
      <w:r w:rsidRPr="00197718">
        <w:rPr>
          <w:rStyle w:val="af7"/>
          <w:rFonts w:eastAsia="Guttman Rashi"/>
          <w:rtl/>
        </w:rPr>
        <w:fldChar w:fldCharType="end"/>
      </w:r>
      <w:r>
        <w:rPr>
          <w:rFonts w:hint="cs"/>
          <w:rtl/>
        </w:rPr>
        <w:t xml:space="preserve"> בדעת </w:t>
      </w:r>
      <w:r w:rsidRPr="00E6246F">
        <w:rPr>
          <w:rStyle w:val="af9"/>
          <w:rFonts w:hint="cs"/>
          <w:rtl/>
        </w:rPr>
        <w:t>הר"י מגאש</w:t>
      </w:r>
      <w:r>
        <w:rPr>
          <w:rFonts w:hint="cs"/>
          <w:rtl/>
        </w:rPr>
        <w:t>, דבחוזר מפטור לפטור, לא חשיב כחוזר וטוען כלל, ומדיני טענות באמת א"צ כל נאמנות, ולכן כתב</w:t>
      </w:r>
      <w:r w:rsidRPr="00E6246F">
        <w:rPr>
          <w:rStyle w:val="af9"/>
          <w:rFonts w:hint="cs"/>
          <w:rtl/>
        </w:rPr>
        <w:t xml:space="preserve"> הריטב"א</w:t>
      </w:r>
      <w:r>
        <w:rPr>
          <w:rFonts w:hint="cs"/>
          <w:rtl/>
        </w:rPr>
        <w:t xml:space="preserve"> דטענת לויתי מצד עצמה היא טענת </w:t>
      </w:r>
      <w:r>
        <w:rPr>
          <w:rFonts w:hint="cs"/>
          <w:rtl/>
        </w:rPr>
        <w:lastRenderedPageBreak/>
        <w:t xml:space="preserve">חיוב, </w:t>
      </w:r>
      <w:r w:rsidRPr="00CA372E">
        <w:rPr>
          <w:rStyle w:val="afb"/>
          <w:rFonts w:hint="cs"/>
          <w:rtl/>
        </w:rPr>
        <w:t>[אף שאינו מתחייב בה כשטוען לויתי ופרעתי],</w:t>
      </w:r>
      <w:r>
        <w:rPr>
          <w:rFonts w:hint="cs"/>
          <w:rtl/>
        </w:rPr>
        <w:t xml:space="preserve"> ולכן שייך בזה דין אינו חוזר וטוען.</w:t>
      </w:r>
      <w:bookmarkEnd w:id="13472"/>
    </w:p>
    <w:p w:rsidR="00EC445E" w:rsidRPr="002B40FB" w:rsidRDefault="00EC445E" w:rsidP="00EC445E">
      <w:pPr>
        <w:pStyle w:val="afe"/>
        <w:rPr>
          <w:rtl/>
        </w:rPr>
      </w:pPr>
      <w:bookmarkStart w:id="13473" w:name="_Toc62485706"/>
      <w:r>
        <w:rPr>
          <w:rFonts w:hint="cs"/>
          <w:rtl/>
        </w:rPr>
        <w:t>בדעת התוס' לקמן בחוזר מפטור לפטור</w:t>
      </w:r>
      <w:bookmarkEnd w:id="13473"/>
    </w:p>
    <w:p w:rsidR="00EC445E" w:rsidRDefault="00EC445E" w:rsidP="00EC445E">
      <w:pPr>
        <w:pStyle w:val="1"/>
        <w:rPr>
          <w:rtl/>
        </w:rPr>
      </w:pPr>
      <w:r w:rsidRPr="009E05F4">
        <w:rPr>
          <w:rtl/>
        </w:rPr>
        <w:t>ביאורי הגר"ח מטעלז והגרנ"פ בתוס' אי נאמן מפטור לפטור</w:t>
      </w:r>
    </w:p>
    <w:p w:rsidR="00EC445E" w:rsidRPr="00FC5685" w:rsidRDefault="00EC445E" w:rsidP="00EC445E">
      <w:pPr>
        <w:pStyle w:val="a3"/>
      </w:pPr>
      <w:bookmarkStart w:id="13474" w:name="_Toc62485712"/>
      <w:bookmarkStart w:id="13475" w:name="_Toc62485708"/>
      <w:r>
        <w:rPr>
          <w:rFonts w:hint="cs"/>
          <w:rtl/>
        </w:rPr>
        <w:t>קושית האחרונים על התוס' לקמן דאמאי לרב יוסף לא נאמן במיגו בחוזר וטוען מפטור לפטור</w:t>
      </w:r>
      <w:bookmarkEnd w:id="13474"/>
    </w:p>
    <w:p w:rsidR="00EC445E" w:rsidRDefault="00EC445E" w:rsidP="007E4E81">
      <w:pPr>
        <w:pStyle w:val="a0"/>
        <w:rPr>
          <w:rtl/>
        </w:rPr>
      </w:pPr>
      <w:bookmarkStart w:id="13476" w:name="_Ref62057624"/>
      <w:bookmarkEnd w:id="13475"/>
      <w:r>
        <w:rPr>
          <w:rFonts w:hint="cs"/>
          <w:rtl/>
        </w:rPr>
        <w:t xml:space="preserve">במ"ש </w:t>
      </w:r>
      <w:r>
        <w:rPr>
          <w:rStyle w:val="af9"/>
          <w:rFonts w:hint="cs"/>
          <w:rtl/>
        </w:rPr>
        <w:t>ר"י ב</w:t>
      </w:r>
      <w:r w:rsidRPr="008E1DDA">
        <w:rPr>
          <w:rStyle w:val="af9"/>
          <w:rFonts w:hint="cs"/>
          <w:rtl/>
        </w:rPr>
        <w:t>תוס' לקמן בתירוצ</w:t>
      </w:r>
      <w:r>
        <w:rPr>
          <w:rStyle w:val="af9"/>
          <w:rFonts w:hint="cs"/>
          <w:rtl/>
        </w:rPr>
        <w:t>ו</w:t>
      </w:r>
      <w:r w:rsidRPr="008E1DDA">
        <w:rPr>
          <w:rStyle w:val="af9"/>
          <w:rFonts w:hint="cs"/>
          <w:rtl/>
        </w:rPr>
        <w:t xml:space="preserve"> הב'</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Ref62472626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Pr>
          <w:rStyle w:val="af7"/>
          <w:rFonts w:eastAsia="Guttman Hodes"/>
          <w:rtl/>
        </w:rPr>
        <w:fldChar w:fldCharType="end"/>
      </w:r>
      <w:r>
        <w:rPr>
          <w:rStyle w:val="af7"/>
          <w:rFonts w:eastAsia="Guttman Hodes" w:hint="cs"/>
          <w:rtl/>
        </w:rPr>
        <w:t xml:space="preserve"> </w:t>
      </w:r>
      <w:r>
        <w:rPr>
          <w:rFonts w:hint="cs"/>
          <w:rtl/>
        </w:rPr>
        <w:t xml:space="preserve">דלרב יוסף אינו נאמן במיגו כיון שכל שהוא חוזר וטוען, דבתחילה טען והא שטרא, ועכשיו חזר בו מטענתו והודה שהשטר הוא חספא בעלמא, והיה לו שטר אחר שאבד לו, כתב </w:t>
      </w:r>
      <w:r w:rsidRPr="00AE58E7">
        <w:rPr>
          <w:rStyle w:val="af9"/>
          <w:rFonts w:hint="cs"/>
          <w:rtl/>
        </w:rPr>
        <w:t xml:space="preserve">בחי' הגר"ח מטעלז </w:t>
      </w:r>
      <w:r w:rsidRPr="00395EC0">
        <w:rPr>
          <w:rStyle w:val="af7"/>
          <w:rFonts w:eastAsia="Guttman Hodes" w:hint="cs"/>
          <w:rtl/>
        </w:rPr>
        <w:t>(סי' י"ב ד"ה ולכאורה)</w:t>
      </w:r>
      <w:r>
        <w:rPr>
          <w:rFonts w:hint="cs"/>
          <w:rtl/>
        </w:rPr>
        <w:t xml:space="preserve"> דמבואר מדברי </w:t>
      </w:r>
      <w:r w:rsidRPr="0004167C">
        <w:rPr>
          <w:rStyle w:val="af9"/>
          <w:rFonts w:hint="cs"/>
          <w:rtl/>
        </w:rPr>
        <w:t>התוס' לקמן</w:t>
      </w:r>
      <w:r>
        <w:rPr>
          <w:rFonts w:hint="cs"/>
          <w:rtl/>
        </w:rPr>
        <w:t xml:space="preserve"> דלדעת רבה נאמן במיגו אעפ"י שסותר את טענתו הראשונה, אעפ"י שהוא מיגו דאי בעי שתיק, </w:t>
      </w:r>
      <w:r w:rsidRPr="00CA372E">
        <w:rPr>
          <w:rStyle w:val="afb"/>
          <w:rFonts w:hint="cs"/>
          <w:rtl/>
        </w:rPr>
        <w:t xml:space="preserve">[וכדביאר </w:t>
      </w:r>
      <w:r w:rsidRPr="00CA372E">
        <w:rPr>
          <w:rStyle w:val="affa"/>
          <w:rFonts w:hint="cs"/>
          <w:rtl/>
        </w:rPr>
        <w:t>בחי' הגר"ח מטעלז</w:t>
      </w:r>
      <w:r w:rsidRPr="00CA372E">
        <w:rPr>
          <w:rStyle w:val="afb"/>
          <w:rFonts w:hint="cs"/>
          <w:rtl/>
        </w:rPr>
        <w:t xml:space="preserve"> </w:t>
      </w:r>
      <w:r w:rsidRPr="005140F3">
        <w:rPr>
          <w:rStyle w:val="aff6"/>
          <w:rFonts w:hint="cs"/>
          <w:rtl/>
        </w:rPr>
        <w:t xml:space="preserve">(עי' אות </w:t>
      </w:r>
      <w:r w:rsidRPr="005140F3">
        <w:rPr>
          <w:rStyle w:val="aff6"/>
          <w:rtl/>
        </w:rPr>
        <w:fldChar w:fldCharType="begin"/>
      </w:r>
      <w:r w:rsidRPr="005140F3">
        <w:rPr>
          <w:rStyle w:val="aff6"/>
          <w:rtl/>
        </w:rPr>
        <w:instrText xml:space="preserve"> </w:instrText>
      </w:r>
      <w:r w:rsidRPr="005140F3">
        <w:rPr>
          <w:rStyle w:val="aff6"/>
          <w:rFonts w:hint="cs"/>
        </w:rPr>
        <w:instrText>REF</w:instrText>
      </w:r>
      <w:r w:rsidRPr="005140F3">
        <w:rPr>
          <w:rStyle w:val="aff6"/>
          <w:rFonts w:hint="cs"/>
          <w:rtl/>
        </w:rPr>
        <w:instrText xml:space="preserve"> _</w:instrText>
      </w:r>
      <w:r w:rsidRPr="005140F3">
        <w:rPr>
          <w:rStyle w:val="aff6"/>
          <w:rFonts w:hint="cs"/>
        </w:rPr>
        <w:instrText>Ref62484933 \r \h</w:instrText>
      </w:r>
      <w:r w:rsidRPr="005140F3">
        <w:rPr>
          <w:rStyle w:val="aff6"/>
          <w:rtl/>
        </w:rPr>
        <w:instrText xml:space="preserve"> </w:instrText>
      </w:r>
      <w:r w:rsidRPr="005140F3">
        <w:rPr>
          <w:rStyle w:val="aff6"/>
          <w:rtl/>
        </w:rPr>
      </w:r>
      <w:r w:rsidRPr="005140F3">
        <w:rPr>
          <w:rStyle w:val="aff6"/>
          <w:rtl/>
        </w:rPr>
        <w:fldChar w:fldCharType="separate"/>
      </w:r>
      <w:r w:rsidR="00265073">
        <w:rPr>
          <w:rStyle w:val="aff6"/>
          <w:cs/>
        </w:rPr>
        <w:t>‎</w:t>
      </w:r>
      <w:r w:rsidR="00265073">
        <w:rPr>
          <w:rStyle w:val="aff6"/>
          <w:rtl/>
        </w:rPr>
        <w:t>קה)</w:t>
      </w:r>
      <w:r w:rsidRPr="005140F3">
        <w:rPr>
          <w:rStyle w:val="aff6"/>
          <w:rtl/>
        </w:rPr>
        <w:fldChar w:fldCharType="end"/>
      </w:r>
      <w:r w:rsidRPr="00CA372E">
        <w:rPr>
          <w:rStyle w:val="afb"/>
          <w:rFonts w:hint="cs"/>
          <w:rtl/>
        </w:rPr>
        <w:t xml:space="preserve"> בדעת </w:t>
      </w:r>
      <w:r w:rsidRPr="00CA372E">
        <w:rPr>
          <w:rStyle w:val="affa"/>
          <w:rFonts w:hint="cs"/>
          <w:rtl/>
        </w:rPr>
        <w:t>הר"י מגאש</w:t>
      </w:r>
      <w:r w:rsidRPr="00CA372E">
        <w:rPr>
          <w:rStyle w:val="afb"/>
          <w:rFonts w:hint="cs"/>
          <w:rtl/>
        </w:rPr>
        <w:t xml:space="preserve"> דנאמן במיגו דאי בעי שתיק],</w:t>
      </w:r>
      <w:r>
        <w:rPr>
          <w:rFonts w:hint="cs"/>
          <w:rtl/>
        </w:rPr>
        <w:t xml:space="preserve"> דאם לא היה מודה היינו סוברים שהוא שטר טוב, ורב יוסף ס"ל דאף שיש לו מיגו, מ"מ כיון שהוא טוען וחוזר וטוען אינו נאמן במיגו, אעפ"י שהוא מפטור לפטור, וכן הקשו </w:t>
      </w:r>
      <w:r>
        <w:rPr>
          <w:rStyle w:val="af9"/>
          <w:rFonts w:hint="cs"/>
          <w:rtl/>
        </w:rPr>
        <w:t>ב</w:t>
      </w:r>
      <w:r w:rsidRPr="009B32BC">
        <w:rPr>
          <w:rStyle w:val="af9"/>
          <w:rFonts w:hint="cs"/>
          <w:rtl/>
        </w:rPr>
        <w:t>קוב"ש</w:t>
      </w:r>
      <w:r>
        <w:rPr>
          <w:rFonts w:hint="cs"/>
          <w:rtl/>
        </w:rPr>
        <w:t xml:space="preserve"> </w:t>
      </w:r>
      <w:r w:rsidRPr="009B32BC">
        <w:rPr>
          <w:rStyle w:val="af7"/>
          <w:rFonts w:eastAsia="Guttman Hodes" w:hint="cs"/>
          <w:rtl/>
        </w:rPr>
        <w:t>(או' קל"ה)</w:t>
      </w:r>
      <w:r>
        <w:rPr>
          <w:rFonts w:hint="cs"/>
          <w:rtl/>
        </w:rPr>
        <w:t xml:space="preserve"> </w:t>
      </w:r>
      <w:bookmarkEnd w:id="13476"/>
      <w:r w:rsidRPr="000A1C5D">
        <w:rPr>
          <w:rStyle w:val="af9"/>
          <w:rFonts w:hint="cs"/>
          <w:rtl/>
        </w:rPr>
        <w:t>בחי'</w:t>
      </w:r>
      <w:r w:rsidRPr="008055F3">
        <w:rPr>
          <w:rFonts w:hint="cs"/>
          <w:rtl/>
        </w:rPr>
        <w:t xml:space="preserve"> </w:t>
      </w:r>
      <w:r w:rsidRPr="000A1C5D">
        <w:rPr>
          <w:rStyle w:val="af9"/>
          <w:rFonts w:hint="cs"/>
          <w:rtl/>
        </w:rPr>
        <w:t>רבי</w:t>
      </w:r>
      <w:r w:rsidRPr="008055F3">
        <w:rPr>
          <w:rFonts w:hint="cs"/>
          <w:rtl/>
        </w:rPr>
        <w:t xml:space="preserve"> </w:t>
      </w:r>
      <w:r w:rsidRPr="000A1C5D">
        <w:rPr>
          <w:rStyle w:val="af9"/>
          <w:rFonts w:hint="cs"/>
          <w:rtl/>
        </w:rPr>
        <w:t>נחום</w:t>
      </w:r>
      <w:r>
        <w:rPr>
          <w:rFonts w:hint="cs"/>
          <w:rtl/>
        </w:rPr>
        <w:t xml:space="preserve"> </w:t>
      </w:r>
      <w:r w:rsidRPr="000A1C5D">
        <w:rPr>
          <w:rStyle w:val="af9"/>
          <w:rFonts w:hint="cs"/>
          <w:rtl/>
        </w:rPr>
        <w:t>לקמן</w:t>
      </w:r>
      <w:r w:rsidRPr="008055F3">
        <w:rPr>
          <w:rFonts w:hint="cs"/>
          <w:rtl/>
        </w:rPr>
        <w:t xml:space="preserve"> </w:t>
      </w:r>
      <w:r w:rsidRPr="00EA4D64">
        <w:rPr>
          <w:rStyle w:val="af7"/>
          <w:rFonts w:eastAsia="Guttman Hodes" w:hint="cs"/>
          <w:rtl/>
        </w:rPr>
        <w:t>(או' קמ</w:t>
      </w:r>
      <w:r>
        <w:rPr>
          <w:rStyle w:val="af7"/>
          <w:rFonts w:eastAsia="Guttman Hodes" w:hint="cs"/>
          <w:rtl/>
        </w:rPr>
        <w:t>"</w:t>
      </w:r>
      <w:r w:rsidRPr="00EA4D64">
        <w:rPr>
          <w:rStyle w:val="af7"/>
          <w:rFonts w:eastAsia="Guttman Hodes" w:hint="cs"/>
          <w:rtl/>
        </w:rPr>
        <w:t>ח)</w:t>
      </w:r>
      <w:r w:rsidRPr="00E30F1C">
        <w:rPr>
          <w:rFonts w:hint="cs"/>
          <w:rtl/>
        </w:rPr>
        <w:t xml:space="preserve"> </w:t>
      </w:r>
      <w:r>
        <w:rPr>
          <w:rStyle w:val="af9"/>
          <w:rFonts w:hint="cs"/>
          <w:rtl/>
        </w:rPr>
        <w:t>ו</w:t>
      </w:r>
      <w:r w:rsidRPr="00E6246F">
        <w:rPr>
          <w:rStyle w:val="af9"/>
          <w:rFonts w:hint="cs"/>
          <w:rtl/>
        </w:rPr>
        <w:t>האבי עזרי</w:t>
      </w:r>
      <w:r>
        <w:rPr>
          <w:rFonts w:hint="cs"/>
          <w:rtl/>
        </w:rPr>
        <w:t xml:space="preserve"> </w:t>
      </w:r>
      <w:r w:rsidRPr="00395EC0">
        <w:rPr>
          <w:rStyle w:val="af7"/>
          <w:rFonts w:eastAsia="Guttman Hodes" w:hint="cs"/>
          <w:rtl/>
        </w:rPr>
        <w:t xml:space="preserve">(טו"נ פ"ו ה"ג או' </w:t>
      </w:r>
      <w:r>
        <w:rPr>
          <w:rStyle w:val="af7"/>
          <w:rFonts w:eastAsia="Guttman Hodes" w:hint="cs"/>
          <w:rtl/>
        </w:rPr>
        <w:t>י"א</w:t>
      </w:r>
      <w:r w:rsidRPr="00395EC0">
        <w:rPr>
          <w:rStyle w:val="af7"/>
          <w:rFonts w:eastAsia="Guttman Hodes" w:hint="cs"/>
          <w:rtl/>
        </w:rPr>
        <w:t>)</w:t>
      </w:r>
      <w:r>
        <w:rPr>
          <w:rStyle w:val="af7"/>
          <w:rFonts w:eastAsia="Guttman Hodes" w:hint="cs"/>
          <w:rtl/>
        </w:rPr>
        <w:t xml:space="preserve"> </w:t>
      </w:r>
      <w:r>
        <w:rPr>
          <w:rFonts w:hint="cs"/>
          <w:rtl/>
        </w:rPr>
        <w:t xml:space="preserve">על דברי </w:t>
      </w:r>
      <w:r>
        <w:rPr>
          <w:rStyle w:val="af9"/>
          <w:rFonts w:hint="cs"/>
          <w:rtl/>
        </w:rPr>
        <w:t>ר"י ב</w:t>
      </w:r>
      <w:r w:rsidRPr="008E1DDA">
        <w:rPr>
          <w:rStyle w:val="af9"/>
          <w:rFonts w:hint="cs"/>
          <w:rtl/>
        </w:rPr>
        <w:t xml:space="preserve">תוס' לקמן </w:t>
      </w:r>
      <w:r>
        <w:rPr>
          <w:rFonts w:hint="cs"/>
          <w:rtl/>
        </w:rPr>
        <w:t>דאעפ"י שהוא חוזר וטוען, מ"מ כיון שלא הוכחש ע"י עדים, ורק חזר וטען מעצמו, א"כ הוא נאמן כחוזר וטוען מפטור לפטור.</w:t>
      </w:r>
    </w:p>
    <w:p w:rsidR="00EC445E" w:rsidRDefault="00EC445E" w:rsidP="00EC445E">
      <w:pPr>
        <w:pStyle w:val="a3"/>
        <w:rPr>
          <w:rtl/>
        </w:rPr>
      </w:pPr>
      <w:bookmarkStart w:id="13477" w:name="_Toc62485709"/>
      <w:r>
        <w:rPr>
          <w:rFonts w:hint="cs"/>
          <w:rtl/>
        </w:rPr>
        <w:t>קושית הגר"ח מטעלז דיש ספק בגמ' לקמן אי קיי"ל כרבה או רב יוסף והאיך פסק הש"ך דמהני</w:t>
      </w:r>
      <w:bookmarkEnd w:id="13477"/>
    </w:p>
    <w:p w:rsidR="00EC445E" w:rsidRDefault="00EC445E" w:rsidP="007E4E81">
      <w:pPr>
        <w:pStyle w:val="a0"/>
        <w:rPr>
          <w:rtl/>
        </w:rPr>
      </w:pPr>
      <w:r>
        <w:rPr>
          <w:rFonts w:hint="cs"/>
          <w:rtl/>
        </w:rPr>
        <w:t xml:space="preserve">והקשה </w:t>
      </w:r>
      <w:r w:rsidRPr="00AE58E7">
        <w:rPr>
          <w:rStyle w:val="af9"/>
          <w:rFonts w:hint="cs"/>
          <w:rtl/>
        </w:rPr>
        <w:t xml:space="preserve">בחי' הגר"ח מטעלז </w:t>
      </w:r>
      <w:r>
        <w:rPr>
          <w:rFonts w:hint="cs"/>
          <w:rtl/>
        </w:rPr>
        <w:t xml:space="preserve">דהא איתא בגמ' לקמן </w:t>
      </w:r>
      <w:r w:rsidRPr="0098093F">
        <w:rPr>
          <w:rStyle w:val="af7"/>
          <w:rFonts w:eastAsia="Guttman Hodes" w:hint="cs"/>
          <w:rtl/>
        </w:rPr>
        <w:t>(לב:)</w:t>
      </w:r>
      <w:r>
        <w:rPr>
          <w:rFonts w:hint="cs"/>
          <w:rtl/>
        </w:rPr>
        <w:t xml:space="preserve"> דלהלכה נשאר ספק אי קיי"ל כרבה או כרב יוסף, ומעמידים ביד המוחזק, </w:t>
      </w:r>
      <w:r w:rsidRPr="00A531F0">
        <w:rPr>
          <w:rStyle w:val="afb"/>
          <w:rFonts w:hint="cs"/>
          <w:rtl/>
        </w:rPr>
        <w:t>[וקיי"ל כרבה בארעא ורב יוסף בזוזי],</w:t>
      </w:r>
      <w:r>
        <w:rPr>
          <w:rFonts w:hint="cs"/>
          <w:rtl/>
        </w:rPr>
        <w:t xml:space="preserve"> וא"כ היאך פסק </w:t>
      </w:r>
      <w:r w:rsidRPr="00A531F0">
        <w:rPr>
          <w:rStyle w:val="af9"/>
          <w:rFonts w:hint="cs"/>
          <w:rtl/>
        </w:rPr>
        <w:t xml:space="preserve">הש"ך </w:t>
      </w:r>
      <w:r w:rsidRPr="005140F3">
        <w:rPr>
          <w:rStyle w:val="af7"/>
          <w:rFonts w:eastAsia="Guttman Hodes" w:hint="cs"/>
          <w:rtl/>
        </w:rPr>
        <w:t xml:space="preserve">(עי' אות </w:t>
      </w:r>
      <w:r w:rsidRPr="005140F3">
        <w:rPr>
          <w:rStyle w:val="af7"/>
          <w:rFonts w:eastAsia="Guttman Hodes"/>
          <w:rtl/>
        </w:rPr>
        <w:fldChar w:fldCharType="begin"/>
      </w:r>
      <w:r w:rsidRPr="005140F3">
        <w:rPr>
          <w:rStyle w:val="af7"/>
          <w:rFonts w:eastAsia="Guttman Hodes"/>
          <w:rtl/>
        </w:rPr>
        <w:instrText xml:space="preserve"> </w:instrText>
      </w:r>
      <w:r w:rsidRPr="005140F3">
        <w:rPr>
          <w:rStyle w:val="af7"/>
          <w:rFonts w:eastAsia="Guttman Hodes" w:hint="cs"/>
        </w:rPr>
        <w:instrText>REF</w:instrText>
      </w:r>
      <w:r w:rsidRPr="005140F3">
        <w:rPr>
          <w:rStyle w:val="af7"/>
          <w:rFonts w:eastAsia="Guttman Hodes" w:hint="cs"/>
          <w:rtl/>
        </w:rPr>
        <w:instrText xml:space="preserve"> _</w:instrText>
      </w:r>
      <w:r w:rsidRPr="005140F3">
        <w:rPr>
          <w:rStyle w:val="af7"/>
          <w:rFonts w:eastAsia="Guttman Hodes" w:hint="cs"/>
        </w:rPr>
        <w:instrText>Ref62407179 \r \h</w:instrText>
      </w:r>
      <w:r w:rsidRPr="005140F3">
        <w:rPr>
          <w:rStyle w:val="af7"/>
          <w:rFonts w:eastAsia="Guttman Hodes"/>
          <w:rtl/>
        </w:rPr>
        <w:instrText xml:space="preserve"> </w:instrText>
      </w:r>
      <w:r w:rsidRPr="005140F3">
        <w:rPr>
          <w:rStyle w:val="af7"/>
          <w:rFonts w:eastAsia="Guttman Hodes"/>
          <w:rtl/>
        </w:rPr>
      </w:r>
      <w:r w:rsidRPr="005140F3">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5140F3">
        <w:rPr>
          <w:rStyle w:val="af7"/>
          <w:rFonts w:eastAsia="Guttman Hodes"/>
          <w:rtl/>
        </w:rPr>
        <w:fldChar w:fldCharType="end"/>
      </w:r>
      <w:r>
        <w:rPr>
          <w:rStyle w:val="af9"/>
          <w:rFonts w:hint="cs"/>
          <w:rtl/>
        </w:rPr>
        <w:t xml:space="preserve"> </w:t>
      </w:r>
      <w:r>
        <w:rPr>
          <w:rFonts w:hint="cs"/>
          <w:rtl/>
        </w:rPr>
        <w:t>[</w:t>
      </w:r>
      <w:r w:rsidRPr="00A531F0">
        <w:rPr>
          <w:rStyle w:val="af9"/>
          <w:rFonts w:hint="cs"/>
          <w:rtl/>
        </w:rPr>
        <w:t>כר"י מגאש</w:t>
      </w:r>
      <w:r>
        <w:rPr>
          <w:rFonts w:hint="cs"/>
          <w:rtl/>
        </w:rPr>
        <w:t xml:space="preserve">] דבחוזר וטוען מפטור לפטור נאמן במיגו. </w:t>
      </w:r>
    </w:p>
    <w:p w:rsidR="00EC445E" w:rsidRPr="00CE15F1" w:rsidRDefault="00EC445E" w:rsidP="00EC445E">
      <w:pPr>
        <w:pStyle w:val="a3"/>
      </w:pPr>
      <w:bookmarkStart w:id="13478" w:name="_Toc62485710"/>
      <w:r>
        <w:rPr>
          <w:rFonts w:hint="cs"/>
          <w:rtl/>
        </w:rPr>
        <w:t>דברי הגר"ח מטעלז דאי בפטור לא חשיב חוזר וטוען ל"ק מתוס' אבל לש"ך דנאמן במיגו קשה</w:t>
      </w:r>
      <w:bookmarkEnd w:id="13478"/>
    </w:p>
    <w:p w:rsidR="00EC445E" w:rsidRDefault="00EC445E" w:rsidP="007E4E81">
      <w:pPr>
        <w:pStyle w:val="a0"/>
        <w:rPr>
          <w:rtl/>
        </w:rPr>
      </w:pPr>
      <w:r>
        <w:rPr>
          <w:rFonts w:hint="cs"/>
          <w:rtl/>
        </w:rPr>
        <w:t xml:space="preserve">וכתב </w:t>
      </w:r>
      <w:r w:rsidRPr="00AE58E7">
        <w:rPr>
          <w:rStyle w:val="af9"/>
          <w:rFonts w:hint="cs"/>
          <w:rtl/>
        </w:rPr>
        <w:t xml:space="preserve">בחי' הגר"ח מטעלז </w:t>
      </w:r>
      <w:r>
        <w:rPr>
          <w:rFonts w:hint="cs"/>
          <w:rtl/>
        </w:rPr>
        <w:t xml:space="preserve">דאי הנאמנות בחוזר וטוען מפטור לפטור, אינה מדין מיגו, אלא דלא חשיב חוזר וטוען, כיון דבלא"ה היה פטור, א"כ לא קשה מדברי </w:t>
      </w:r>
      <w:r w:rsidRPr="00A531F0">
        <w:rPr>
          <w:rStyle w:val="af9"/>
          <w:rFonts w:hint="cs"/>
          <w:rtl/>
        </w:rPr>
        <w:t>התוס' 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Ref62472626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Pr>
          <w:rStyle w:val="af7"/>
          <w:rFonts w:eastAsia="Guttman Hodes"/>
          <w:rtl/>
        </w:rPr>
        <w:fldChar w:fldCharType="end"/>
      </w:r>
      <w:r>
        <w:rPr>
          <w:rFonts w:hint="cs"/>
          <w:rtl/>
        </w:rPr>
        <w:t xml:space="preserve">, אבל לביאור </w:t>
      </w:r>
      <w:r w:rsidRPr="006E4D10">
        <w:rPr>
          <w:rStyle w:val="af9"/>
          <w:rFonts w:hint="cs"/>
          <w:rtl/>
        </w:rPr>
        <w:t>הש"ך</w:t>
      </w:r>
      <w:r>
        <w:rPr>
          <w:rFonts w:hint="cs"/>
          <w:rtl/>
        </w:rPr>
        <w:t xml:space="preserve"> </w:t>
      </w:r>
      <w:r>
        <w:rPr>
          <w:rStyle w:val="af7"/>
          <w:rFonts w:eastAsia="Guttman Hodes" w:hint="cs"/>
          <w:rtl/>
        </w:rPr>
        <w:t>(</w:t>
      </w:r>
      <w:r w:rsidRPr="00E66A42">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Ref62407179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Pr>
          <w:rStyle w:val="af7"/>
          <w:rFonts w:eastAsia="Guttman Hodes"/>
          <w:rtl/>
        </w:rPr>
        <w:fldChar w:fldCharType="end"/>
      </w:r>
      <w:r w:rsidRPr="00E66A42">
        <w:rPr>
          <w:rStyle w:val="af7"/>
          <w:rFonts w:eastAsia="Guttman Hodes" w:hint="cs"/>
          <w:rtl/>
        </w:rPr>
        <w:t xml:space="preserve"> </w:t>
      </w:r>
      <w:r w:rsidRPr="00A531F0">
        <w:rPr>
          <w:rStyle w:val="afb"/>
          <w:rFonts w:hint="cs"/>
          <w:rtl/>
        </w:rPr>
        <w:t xml:space="preserve">[וכן מבואר להדיא </w:t>
      </w:r>
      <w:r w:rsidRPr="00E42B6F">
        <w:rPr>
          <w:rStyle w:val="affa"/>
          <w:rFonts w:hint="cs"/>
          <w:rtl/>
        </w:rPr>
        <w:t xml:space="preserve">בר"י מגאש </w:t>
      </w:r>
      <w:r w:rsidRPr="00E42B6F">
        <w:rPr>
          <w:rStyle w:val="aff6"/>
          <w:rFonts w:hint="cs"/>
          <w:rtl/>
        </w:rPr>
        <w:t xml:space="preserve">(עי' אות </w:t>
      </w:r>
      <w:r w:rsidRPr="00E42B6F">
        <w:rPr>
          <w:rStyle w:val="aff6"/>
          <w:rtl/>
        </w:rPr>
        <w:fldChar w:fldCharType="begin"/>
      </w:r>
      <w:r w:rsidRPr="00E42B6F">
        <w:rPr>
          <w:rStyle w:val="aff6"/>
          <w:rtl/>
        </w:rPr>
        <w:instrText xml:space="preserve"> </w:instrText>
      </w:r>
      <w:r w:rsidRPr="00E42B6F">
        <w:rPr>
          <w:rStyle w:val="aff6"/>
          <w:rFonts w:hint="cs"/>
        </w:rPr>
        <w:instrText>REF</w:instrText>
      </w:r>
      <w:r w:rsidRPr="00E42B6F">
        <w:rPr>
          <w:rStyle w:val="aff6"/>
          <w:rFonts w:hint="cs"/>
          <w:rtl/>
        </w:rPr>
        <w:instrText xml:space="preserve"> _</w:instrText>
      </w:r>
      <w:r w:rsidRPr="00E42B6F">
        <w:rPr>
          <w:rStyle w:val="aff6"/>
          <w:rFonts w:hint="cs"/>
        </w:rPr>
        <w:instrText>Ref62452796 \r \h</w:instrText>
      </w:r>
      <w:r w:rsidRPr="00E42B6F">
        <w:rPr>
          <w:rStyle w:val="aff6"/>
          <w:rtl/>
        </w:rPr>
        <w:instrText xml:space="preserve"> </w:instrText>
      </w:r>
      <w:r w:rsidRPr="00E42B6F">
        <w:rPr>
          <w:rStyle w:val="aff6"/>
          <w:rtl/>
        </w:rPr>
      </w:r>
      <w:r w:rsidRPr="00E42B6F">
        <w:rPr>
          <w:rStyle w:val="aff6"/>
          <w:rtl/>
        </w:rPr>
        <w:fldChar w:fldCharType="separate"/>
      </w:r>
      <w:r w:rsidR="00265073">
        <w:rPr>
          <w:rStyle w:val="aff6"/>
          <w:cs/>
        </w:rPr>
        <w:t>‎</w:t>
      </w:r>
      <w:r w:rsidR="00265073">
        <w:rPr>
          <w:rStyle w:val="aff6"/>
          <w:rtl/>
        </w:rPr>
        <w:t>מב)</w:t>
      </w:r>
      <w:r w:rsidRPr="00E42B6F">
        <w:rPr>
          <w:rStyle w:val="aff6"/>
          <w:rtl/>
        </w:rPr>
        <w:fldChar w:fldCharType="end"/>
      </w:r>
      <w:r w:rsidRPr="00A531F0">
        <w:rPr>
          <w:rStyle w:val="afb"/>
          <w:rFonts w:hint="cs"/>
          <w:rtl/>
        </w:rPr>
        <w:t xml:space="preserve"> לפנינו],</w:t>
      </w:r>
      <w:r>
        <w:rPr>
          <w:rFonts w:hint="cs"/>
          <w:rtl/>
        </w:rPr>
        <w:t xml:space="preserve"> דהנאמנות בחוזר וטוען מפטור לפטור היא במיגו, א"כ קשה מדברי </w:t>
      </w:r>
      <w:r w:rsidRPr="006E4D10">
        <w:rPr>
          <w:rStyle w:val="af9"/>
          <w:rFonts w:hint="cs"/>
          <w:rtl/>
        </w:rPr>
        <w:t>התוס' לקמן</w:t>
      </w:r>
      <w:r>
        <w:rPr>
          <w:rFonts w:hint="cs"/>
          <w:rtl/>
        </w:rPr>
        <w:t>.</w:t>
      </w:r>
    </w:p>
    <w:p w:rsidR="00EC445E" w:rsidRPr="0086086A" w:rsidRDefault="00EC445E" w:rsidP="00EC445E">
      <w:pPr>
        <w:pStyle w:val="a3"/>
      </w:pPr>
      <w:bookmarkStart w:id="13479" w:name="_Toc62485711"/>
      <w:r>
        <w:rPr>
          <w:rFonts w:hint="cs"/>
          <w:rtl/>
        </w:rPr>
        <w:t>ביאור הגר"ח מטעלז בתוס' לקמן דלמסקנת הגמ' לקמן רבה ורב יוסף לא נחלקו בחוזר וטוען</w:t>
      </w:r>
      <w:bookmarkEnd w:id="13479"/>
    </w:p>
    <w:p w:rsidR="00EC445E" w:rsidRDefault="00EC445E" w:rsidP="007E4E81">
      <w:pPr>
        <w:pStyle w:val="a0"/>
        <w:rPr>
          <w:rtl/>
        </w:rPr>
      </w:pPr>
      <w:r>
        <w:rPr>
          <w:rFonts w:hint="cs"/>
          <w:rtl/>
        </w:rPr>
        <w:t xml:space="preserve">ותירץ </w:t>
      </w:r>
      <w:r w:rsidRPr="00AE58E7">
        <w:rPr>
          <w:rStyle w:val="af9"/>
          <w:rFonts w:hint="cs"/>
          <w:rtl/>
        </w:rPr>
        <w:t xml:space="preserve">בחי' הגר"ח מטעלז </w:t>
      </w:r>
      <w:r w:rsidRPr="00A531F0">
        <w:rPr>
          <w:rStyle w:val="af7"/>
          <w:rFonts w:eastAsia="Guttman Hodes" w:hint="cs"/>
          <w:rtl/>
        </w:rPr>
        <w:t xml:space="preserve">(סי' י"ב ד"ה </w:t>
      </w:r>
      <w:r w:rsidRPr="00E42B6F">
        <w:rPr>
          <w:rStyle w:val="af7"/>
          <w:rFonts w:eastAsia="Guttman Hodes" w:hint="cs"/>
          <w:rtl/>
        </w:rPr>
        <w:t>ונראה לבאר)</w:t>
      </w:r>
      <w:r>
        <w:rPr>
          <w:rFonts w:hint="cs"/>
          <w:rtl/>
        </w:rPr>
        <w:t xml:space="preserve"> דאף לדעת </w:t>
      </w:r>
      <w:r>
        <w:rPr>
          <w:rStyle w:val="af9"/>
          <w:rFonts w:hint="cs"/>
          <w:rtl/>
        </w:rPr>
        <w:t>ר"י ב</w:t>
      </w:r>
      <w:r w:rsidRPr="008E1DDA">
        <w:rPr>
          <w:rStyle w:val="af9"/>
          <w:rFonts w:hint="cs"/>
          <w:rtl/>
        </w:rPr>
        <w:t>תוס' לקמן בתירוצ</w:t>
      </w:r>
      <w:r>
        <w:rPr>
          <w:rStyle w:val="af9"/>
          <w:rFonts w:hint="cs"/>
          <w:rtl/>
        </w:rPr>
        <w:t>ו</w:t>
      </w:r>
      <w:r w:rsidRPr="008E1DDA">
        <w:rPr>
          <w:rStyle w:val="af9"/>
          <w:rFonts w:hint="cs"/>
          <w:rtl/>
        </w:rPr>
        <w:t xml:space="preserve"> הב'</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Ref62472626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Pr>
          <w:rStyle w:val="af7"/>
          <w:rFonts w:eastAsia="Guttman Hodes"/>
          <w:rtl/>
        </w:rPr>
        <w:fldChar w:fldCharType="end"/>
      </w:r>
      <w:r>
        <w:rPr>
          <w:rStyle w:val="af7"/>
          <w:rFonts w:eastAsia="Guttman Hodes" w:hint="cs"/>
          <w:rtl/>
        </w:rPr>
        <w:t xml:space="preserve"> </w:t>
      </w:r>
      <w:r>
        <w:rPr>
          <w:rFonts w:hint="cs"/>
          <w:rtl/>
        </w:rPr>
        <w:t>למסקנת הגמ' לקמן רבה ורב יוסף לא נחלקו, אי נאמן במיגו בחוזר וטוען, אלא בדין מיגו להוציא, עיי"ש בדבריו.</w:t>
      </w:r>
    </w:p>
    <w:p w:rsidR="00EC445E" w:rsidRDefault="00EC445E" w:rsidP="00EC445E">
      <w:pPr>
        <w:pStyle w:val="a3"/>
        <w:rPr>
          <w:rtl/>
        </w:rPr>
      </w:pPr>
      <w:bookmarkStart w:id="13480" w:name="_Toc62485713"/>
      <w:r>
        <w:rPr>
          <w:rFonts w:hint="cs"/>
          <w:rtl/>
        </w:rPr>
        <w:t>דברי הגרנ"פ דמשמע בתוס' לקמן דס"ל דאף מפטור לפטור אינו חוזר וטוען</w:t>
      </w:r>
      <w:bookmarkEnd w:id="13480"/>
    </w:p>
    <w:p w:rsidR="00EC445E" w:rsidRDefault="00EC445E" w:rsidP="007E4E81">
      <w:pPr>
        <w:pStyle w:val="a0"/>
        <w:rPr>
          <w:sz w:val="10"/>
          <w:szCs w:val="14"/>
          <w:rtl/>
        </w:rPr>
      </w:pPr>
      <w:bookmarkStart w:id="13481" w:name="_Ref62472665"/>
      <w:r>
        <w:rPr>
          <w:rFonts w:hint="cs"/>
          <w:rtl/>
        </w:rPr>
        <w:t xml:space="preserve">וכתב </w:t>
      </w:r>
      <w:r w:rsidRPr="000A1C5D">
        <w:rPr>
          <w:rStyle w:val="af9"/>
          <w:rFonts w:hint="cs"/>
          <w:rtl/>
        </w:rPr>
        <w:t>בחי'</w:t>
      </w:r>
      <w:r>
        <w:rPr>
          <w:rFonts w:hint="cs"/>
          <w:rtl/>
        </w:rPr>
        <w:t xml:space="preserve"> </w:t>
      </w:r>
      <w:r w:rsidRPr="000A1C5D">
        <w:rPr>
          <w:rStyle w:val="af9"/>
          <w:rFonts w:hint="cs"/>
          <w:rtl/>
        </w:rPr>
        <w:t>רבי</w:t>
      </w:r>
      <w:r>
        <w:rPr>
          <w:rFonts w:hint="cs"/>
          <w:rtl/>
        </w:rPr>
        <w:t xml:space="preserve"> </w:t>
      </w:r>
      <w:r w:rsidRPr="000A1C5D">
        <w:rPr>
          <w:rStyle w:val="af9"/>
          <w:rFonts w:hint="cs"/>
          <w:rtl/>
        </w:rPr>
        <w:t>נחום</w:t>
      </w:r>
      <w:r w:rsidRPr="00B37403">
        <w:rPr>
          <w:rStyle w:val="af9"/>
          <w:rFonts w:hint="cs"/>
          <w:rtl/>
        </w:rPr>
        <w:t xml:space="preserve"> </w:t>
      </w:r>
      <w:r w:rsidRPr="000A1C5D">
        <w:rPr>
          <w:rStyle w:val="af9"/>
          <w:rFonts w:hint="cs"/>
          <w:rtl/>
        </w:rPr>
        <w:t>לקמן</w:t>
      </w:r>
      <w:r w:rsidRPr="008055F3">
        <w:rPr>
          <w:rFonts w:hint="cs"/>
          <w:rtl/>
        </w:rPr>
        <w:t xml:space="preserve"> </w:t>
      </w:r>
      <w:r w:rsidRPr="00EA4D64">
        <w:rPr>
          <w:rStyle w:val="af7"/>
          <w:rFonts w:eastAsia="Guttman Hodes" w:hint="cs"/>
          <w:rtl/>
        </w:rPr>
        <w:t>(או' קמ</w:t>
      </w:r>
      <w:r>
        <w:rPr>
          <w:rStyle w:val="af7"/>
          <w:rFonts w:eastAsia="Guttman Hodes" w:hint="cs"/>
          <w:rtl/>
        </w:rPr>
        <w:t>"</w:t>
      </w:r>
      <w:r w:rsidRPr="00EA4D64">
        <w:rPr>
          <w:rStyle w:val="af7"/>
          <w:rFonts w:eastAsia="Guttman Hodes" w:hint="cs"/>
          <w:rtl/>
        </w:rPr>
        <w:t>ח)</w:t>
      </w:r>
      <w:r w:rsidRPr="00E30F1C">
        <w:rPr>
          <w:rFonts w:hint="cs"/>
          <w:rtl/>
        </w:rPr>
        <w:t xml:space="preserve"> </w:t>
      </w:r>
      <w:r>
        <w:rPr>
          <w:rFonts w:hint="cs"/>
          <w:rtl/>
        </w:rPr>
        <w:t xml:space="preserve">דמשמע </w:t>
      </w:r>
      <w:r w:rsidRPr="000A1C5D">
        <w:rPr>
          <w:rStyle w:val="af9"/>
          <w:rFonts w:hint="cs"/>
          <w:rtl/>
        </w:rPr>
        <w:t>דהתוס'</w:t>
      </w:r>
      <w:r>
        <w:rPr>
          <w:rFonts w:hint="cs"/>
          <w:rtl/>
        </w:rPr>
        <w:t xml:space="preserve"> פליגי על </w:t>
      </w:r>
      <w:r w:rsidRPr="000A1C5D">
        <w:rPr>
          <w:rStyle w:val="af9"/>
          <w:rFonts w:hint="cs"/>
          <w:rtl/>
        </w:rPr>
        <w:t>הר"י מגאש</w:t>
      </w:r>
      <w:r>
        <w:rPr>
          <w:rFonts w:hint="cs"/>
          <w:rtl/>
        </w:rPr>
        <w:t xml:space="preserve"> </w:t>
      </w:r>
      <w:r w:rsidRPr="005E19EF">
        <w:rPr>
          <w:rStyle w:val="af7"/>
          <w:rFonts w:eastAsia="Guttman Hodes" w:hint="cs"/>
          <w:rtl/>
        </w:rPr>
        <w:t xml:space="preserve">(עי' אות </w:t>
      </w:r>
      <w:r w:rsidRPr="005E19EF">
        <w:rPr>
          <w:rStyle w:val="af7"/>
          <w:rFonts w:eastAsia="Guttman Hodes"/>
          <w:rtl/>
        </w:rPr>
        <w:fldChar w:fldCharType="begin"/>
      </w:r>
      <w:r w:rsidRPr="005E19EF">
        <w:rPr>
          <w:rStyle w:val="af7"/>
          <w:rFonts w:eastAsia="Guttman Hodes"/>
          <w:rtl/>
        </w:rPr>
        <w:instrText xml:space="preserve"> </w:instrText>
      </w:r>
      <w:r w:rsidRPr="005E19EF">
        <w:rPr>
          <w:rStyle w:val="af7"/>
          <w:rFonts w:eastAsia="Guttman Hodes" w:hint="cs"/>
        </w:rPr>
        <w:instrText>REF</w:instrText>
      </w:r>
      <w:r w:rsidRPr="005E19EF">
        <w:rPr>
          <w:rStyle w:val="af7"/>
          <w:rFonts w:eastAsia="Guttman Hodes" w:hint="cs"/>
          <w:rtl/>
        </w:rPr>
        <w:instrText xml:space="preserve"> _</w:instrText>
      </w:r>
      <w:r w:rsidRPr="005E19EF">
        <w:rPr>
          <w:rStyle w:val="af7"/>
          <w:rFonts w:eastAsia="Guttman Hodes" w:hint="cs"/>
        </w:rPr>
        <w:instrText>Ref62461880 \r \h</w:instrText>
      </w:r>
      <w:r w:rsidRPr="005E19EF">
        <w:rPr>
          <w:rStyle w:val="af7"/>
          <w:rFonts w:eastAsia="Guttman Hodes"/>
          <w:rtl/>
        </w:rPr>
        <w:instrText xml:space="preserve"> </w:instrText>
      </w:r>
      <w:r w:rsidRPr="005E19EF">
        <w:rPr>
          <w:rStyle w:val="af7"/>
          <w:rFonts w:eastAsia="Guttman Hodes"/>
          <w:rtl/>
        </w:rPr>
      </w:r>
      <w:r w:rsidRPr="005E19EF">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5E19EF">
        <w:rPr>
          <w:rStyle w:val="af7"/>
          <w:rFonts w:eastAsia="Guttman Hodes"/>
          <w:rtl/>
        </w:rPr>
        <w:fldChar w:fldCharType="end"/>
      </w:r>
      <w:r w:rsidRPr="005E19EF">
        <w:rPr>
          <w:rStyle w:val="af7"/>
          <w:rFonts w:eastAsia="Guttman Hodes" w:hint="cs"/>
          <w:rtl/>
        </w:rPr>
        <w:t xml:space="preserve"> </w:t>
      </w:r>
      <w:r>
        <w:rPr>
          <w:rFonts w:hint="cs"/>
          <w:rtl/>
        </w:rPr>
        <w:t xml:space="preserve">וס"ל דאף מפטור לפטור אינו נאמן בחוזר וטוען. </w:t>
      </w:r>
      <w:r w:rsidRPr="003C36F5">
        <w:rPr>
          <w:rStyle w:val="afb"/>
          <w:rFonts w:hint="cs"/>
          <w:rtl/>
        </w:rPr>
        <w:t xml:space="preserve">[ועוד הביא </w:t>
      </w:r>
      <w:r w:rsidRPr="003C36F5">
        <w:rPr>
          <w:rStyle w:val="affa"/>
          <w:rFonts w:hint="cs"/>
          <w:rtl/>
        </w:rPr>
        <w:t xml:space="preserve">בחי' רבי נחום </w:t>
      </w:r>
      <w:r w:rsidRPr="003C36F5">
        <w:rPr>
          <w:rStyle w:val="afb"/>
          <w:rFonts w:hint="cs"/>
          <w:rtl/>
        </w:rPr>
        <w:t xml:space="preserve">את דברי </w:t>
      </w:r>
      <w:r w:rsidRPr="003C36F5">
        <w:rPr>
          <w:rStyle w:val="affa"/>
          <w:rFonts w:hint="cs"/>
          <w:rtl/>
        </w:rPr>
        <w:t xml:space="preserve">הגרעק"א </w:t>
      </w:r>
      <w:r w:rsidRPr="003C36F5">
        <w:rPr>
          <w:rStyle w:val="aff6"/>
          <w:rFonts w:hint="cs"/>
          <w:rtl/>
        </w:rPr>
        <w:t>(בהג' לשו"ע סי' פ' א')</w:t>
      </w:r>
      <w:r w:rsidRPr="003C36F5">
        <w:rPr>
          <w:rStyle w:val="afb"/>
          <w:rFonts w:hint="cs"/>
          <w:rtl/>
        </w:rPr>
        <w:t xml:space="preserve"> בשם </w:t>
      </w:r>
      <w:r w:rsidRPr="003C36F5">
        <w:rPr>
          <w:rStyle w:val="affa"/>
          <w:rFonts w:hint="cs"/>
          <w:rtl/>
        </w:rPr>
        <w:t xml:space="preserve">המהרח"ש </w:t>
      </w:r>
      <w:r w:rsidRPr="003C36F5">
        <w:rPr>
          <w:rStyle w:val="afb"/>
          <w:rFonts w:hint="cs"/>
          <w:rtl/>
        </w:rPr>
        <w:t xml:space="preserve">דכתב דיש להסתפק אי התובע ג"כ נאמן להפוך טענתו מפטור לפטור או לא, וכתב </w:t>
      </w:r>
      <w:r w:rsidRPr="003C36F5">
        <w:rPr>
          <w:rStyle w:val="affa"/>
          <w:rFonts w:hint="cs"/>
          <w:rtl/>
        </w:rPr>
        <w:t>בחי' רבי</w:t>
      </w:r>
      <w:r>
        <w:rPr>
          <w:rStyle w:val="affa"/>
          <w:rFonts w:hint="cs"/>
          <w:rtl/>
        </w:rPr>
        <w:t xml:space="preserve"> </w:t>
      </w:r>
      <w:r w:rsidRPr="003C36F5">
        <w:rPr>
          <w:rStyle w:val="affa"/>
          <w:rFonts w:hint="cs"/>
          <w:rtl/>
        </w:rPr>
        <w:t xml:space="preserve">נחום </w:t>
      </w:r>
      <w:r w:rsidRPr="003C36F5">
        <w:rPr>
          <w:rStyle w:val="afb"/>
          <w:rFonts w:hint="cs"/>
          <w:rtl/>
        </w:rPr>
        <w:t xml:space="preserve">דאפש"ל דס"ל </w:t>
      </w:r>
      <w:r w:rsidRPr="003C36F5">
        <w:rPr>
          <w:rStyle w:val="affa"/>
          <w:rFonts w:hint="cs"/>
          <w:rtl/>
        </w:rPr>
        <w:t xml:space="preserve">להתוס' </w:t>
      </w:r>
      <w:r w:rsidRPr="003C36F5">
        <w:rPr>
          <w:rStyle w:val="afb"/>
          <w:rFonts w:hint="cs"/>
          <w:rtl/>
        </w:rPr>
        <w:t>דרק הנתבע נאמן לחזור ולטעון מפטור לפטור ולא התובע].</w:t>
      </w:r>
      <w:bookmarkEnd w:id="13454"/>
      <w:bookmarkEnd w:id="13467"/>
      <w:bookmarkEnd w:id="13468"/>
      <w:bookmarkEnd w:id="13469"/>
      <w:bookmarkEnd w:id="13481"/>
    </w:p>
    <w:p w:rsidR="00EC445E" w:rsidRDefault="00EC445E" w:rsidP="00EC445E">
      <w:pPr>
        <w:pStyle w:val="a3"/>
        <w:rPr>
          <w:rtl/>
        </w:rPr>
      </w:pPr>
      <w:r>
        <w:rPr>
          <w:rFonts w:hint="cs"/>
          <w:rtl/>
        </w:rPr>
        <w:t>תירוץ האבי עזרי דבתוס' לקמן איירי באופן שאינו יכול לומר דלא דייק בטענתו</w:t>
      </w:r>
    </w:p>
    <w:p w:rsidR="00EC445E" w:rsidRDefault="00EC445E" w:rsidP="007E4E81">
      <w:pPr>
        <w:pStyle w:val="a0"/>
        <w:rPr>
          <w:rtl/>
        </w:rPr>
        <w:sectPr w:rsidR="00EC445E" w:rsidSect="005049E2">
          <w:footerReference w:type="default" r:id="rId119"/>
          <w:type w:val="continuous"/>
          <w:pgSz w:w="11906" w:h="16838"/>
          <w:pgMar w:top="720" w:right="720" w:bottom="720" w:left="720" w:header="283" w:footer="283" w:gutter="0"/>
          <w:cols w:num="2" w:space="567"/>
          <w:titlePg/>
          <w:bidi/>
          <w:rtlGutter/>
          <w:docGrid w:linePitch="299"/>
        </w:sectPr>
      </w:pPr>
      <w:r>
        <w:rPr>
          <w:rStyle w:val="af9"/>
          <w:rFonts w:hint="cs"/>
          <w:rtl/>
        </w:rPr>
        <w:t>ו</w:t>
      </w:r>
      <w:r w:rsidRPr="008D2AAB">
        <w:rPr>
          <w:rStyle w:val="af9"/>
          <w:rFonts w:hint="cs"/>
          <w:rtl/>
        </w:rPr>
        <w:t>האבי עזרי</w:t>
      </w:r>
      <w:r w:rsidRPr="005C5449">
        <w:rPr>
          <w:rFonts w:hint="cs"/>
          <w:rtl/>
        </w:rPr>
        <w:t xml:space="preserve"> </w:t>
      </w:r>
      <w:r w:rsidRPr="00395EC0">
        <w:rPr>
          <w:rStyle w:val="af7"/>
          <w:rFonts w:eastAsia="Guttman Hodes" w:hint="cs"/>
          <w:rtl/>
        </w:rPr>
        <w:t>(טו"נ פ"ו</w:t>
      </w:r>
      <w:r w:rsidRPr="005C5449">
        <w:rPr>
          <w:rFonts w:hint="cs"/>
          <w:rtl/>
        </w:rPr>
        <w:t xml:space="preserve"> </w:t>
      </w:r>
      <w:r w:rsidRPr="00395EC0">
        <w:rPr>
          <w:rStyle w:val="af7"/>
          <w:rFonts w:eastAsia="Guttman Hodes" w:hint="cs"/>
          <w:rtl/>
        </w:rPr>
        <w:t xml:space="preserve">ה"ג או' </w:t>
      </w:r>
      <w:r>
        <w:rPr>
          <w:rStyle w:val="af7"/>
          <w:rFonts w:eastAsia="Guttman Hodes" w:hint="cs"/>
          <w:rtl/>
        </w:rPr>
        <w:t>י"א</w:t>
      </w:r>
      <w:r w:rsidRPr="00395EC0">
        <w:rPr>
          <w:rStyle w:val="af7"/>
          <w:rFonts w:eastAsia="Guttman Hodes" w:hint="cs"/>
          <w:rtl/>
        </w:rPr>
        <w:t>)</w:t>
      </w:r>
      <w:r>
        <w:rPr>
          <w:rFonts w:hint="cs"/>
          <w:rtl/>
        </w:rPr>
        <w:t xml:space="preserve"> תירץ דלפי מה שביאר </w:t>
      </w:r>
      <w:r w:rsidRPr="008D2AAB">
        <w:rPr>
          <w:rStyle w:val="af9"/>
          <w:rFonts w:hint="cs"/>
          <w:rtl/>
        </w:rPr>
        <w:t>האבי עזרי</w:t>
      </w:r>
      <w:r w:rsidRPr="005C5449">
        <w:rPr>
          <w:rFonts w:hint="cs"/>
          <w:rtl/>
        </w:rPr>
        <w:t xml:space="preserve"> </w:t>
      </w:r>
      <w:r w:rsidRPr="00983BCF">
        <w:rPr>
          <w:rStyle w:val="aff6"/>
          <w:rFonts w:hint="cs"/>
          <w:rtl/>
        </w:rPr>
        <w:t xml:space="preserve">(עי' אות </w:t>
      </w:r>
      <w:r w:rsidRPr="00983BCF">
        <w:rPr>
          <w:rStyle w:val="aff6"/>
          <w:rtl/>
        </w:rPr>
        <w:fldChar w:fldCharType="begin"/>
      </w:r>
      <w:r w:rsidRPr="00983BCF">
        <w:rPr>
          <w:rStyle w:val="aff6"/>
          <w:rtl/>
        </w:rPr>
        <w:instrText xml:space="preserve"> </w:instrText>
      </w:r>
      <w:r w:rsidRPr="00983BCF">
        <w:rPr>
          <w:rStyle w:val="aff6"/>
          <w:rFonts w:hint="cs"/>
        </w:rPr>
        <w:instrText>REF</w:instrText>
      </w:r>
      <w:r w:rsidRPr="00983BCF">
        <w:rPr>
          <w:rStyle w:val="aff6"/>
          <w:rFonts w:hint="cs"/>
          <w:rtl/>
        </w:rPr>
        <w:instrText xml:space="preserve"> _</w:instrText>
      </w:r>
      <w:r w:rsidRPr="00983BCF">
        <w:rPr>
          <w:rStyle w:val="aff6"/>
          <w:rFonts w:hint="cs"/>
        </w:rPr>
        <w:instrText>Ref62484503 \r \h</w:instrText>
      </w:r>
      <w:r w:rsidRPr="00983BCF">
        <w:rPr>
          <w:rStyle w:val="aff6"/>
          <w:rtl/>
        </w:rPr>
        <w:instrText xml:space="preserve"> </w:instrText>
      </w:r>
      <w:r w:rsidRPr="00983BCF">
        <w:rPr>
          <w:rStyle w:val="aff6"/>
          <w:rtl/>
        </w:rPr>
      </w:r>
      <w:r w:rsidRPr="00983BCF">
        <w:rPr>
          <w:rStyle w:val="aff6"/>
          <w:rtl/>
        </w:rPr>
        <w:fldChar w:fldCharType="separate"/>
      </w:r>
      <w:r w:rsidR="00265073">
        <w:rPr>
          <w:rStyle w:val="aff6"/>
          <w:cs/>
        </w:rPr>
        <w:t>‎</w:t>
      </w:r>
      <w:r w:rsidR="00265073">
        <w:rPr>
          <w:rStyle w:val="aff6"/>
          <w:rtl/>
        </w:rPr>
        <w:t>קכג)</w:t>
      </w:r>
      <w:r w:rsidRPr="00983BCF">
        <w:rPr>
          <w:rStyle w:val="aff6"/>
          <w:rtl/>
        </w:rPr>
        <w:fldChar w:fldCharType="end"/>
      </w:r>
      <w:r>
        <w:rPr>
          <w:rFonts w:hint="cs"/>
          <w:rtl/>
        </w:rPr>
        <w:t xml:space="preserve"> בדעת </w:t>
      </w:r>
      <w:r w:rsidRPr="008D2AAB">
        <w:rPr>
          <w:rStyle w:val="af9"/>
          <w:rFonts w:hint="cs"/>
          <w:rtl/>
        </w:rPr>
        <w:t>הר"י מגאש</w:t>
      </w:r>
      <w:r>
        <w:rPr>
          <w:rFonts w:hint="cs"/>
          <w:rtl/>
        </w:rPr>
        <w:t xml:space="preserve"> </w:t>
      </w:r>
      <w:r w:rsidRPr="0004167C">
        <w:rPr>
          <w:rStyle w:val="af7"/>
          <w:rFonts w:eastAsia="Guttman Hodes" w:hint="cs"/>
          <w:rtl/>
        </w:rPr>
        <w:t xml:space="preserve">(עי' אות </w:t>
      </w:r>
      <w:r w:rsidRPr="0004167C">
        <w:rPr>
          <w:rStyle w:val="af7"/>
          <w:rFonts w:eastAsia="Guttman Hodes"/>
          <w:rtl/>
        </w:rPr>
        <w:fldChar w:fldCharType="begin"/>
      </w:r>
      <w:r w:rsidRPr="0004167C">
        <w:rPr>
          <w:rStyle w:val="af7"/>
          <w:rFonts w:eastAsia="Guttman Hodes"/>
          <w:rtl/>
        </w:rPr>
        <w:instrText xml:space="preserve"> </w:instrText>
      </w:r>
      <w:r w:rsidRPr="0004167C">
        <w:rPr>
          <w:rStyle w:val="af7"/>
          <w:rFonts w:eastAsia="Guttman Hodes" w:hint="cs"/>
        </w:rPr>
        <w:instrText>REF</w:instrText>
      </w:r>
      <w:r w:rsidRPr="0004167C">
        <w:rPr>
          <w:rStyle w:val="af7"/>
          <w:rFonts w:eastAsia="Guttman Hodes" w:hint="cs"/>
          <w:rtl/>
        </w:rPr>
        <w:instrText xml:space="preserve"> _</w:instrText>
      </w:r>
      <w:r w:rsidRPr="0004167C">
        <w:rPr>
          <w:rStyle w:val="af7"/>
          <w:rFonts w:eastAsia="Guttman Hodes" w:hint="cs"/>
        </w:rPr>
        <w:instrText>Ref62452796 \r \h</w:instrText>
      </w:r>
      <w:r w:rsidRPr="0004167C">
        <w:rPr>
          <w:rStyle w:val="af7"/>
          <w:rFonts w:eastAsia="Guttman Hodes"/>
          <w:rtl/>
        </w:rPr>
        <w:instrText xml:space="preserve"> </w:instrText>
      </w:r>
      <w:r w:rsidRPr="0004167C">
        <w:rPr>
          <w:rStyle w:val="af7"/>
          <w:rFonts w:eastAsia="Guttman Hodes"/>
          <w:rtl/>
        </w:rPr>
      </w:r>
      <w:r w:rsidRPr="0004167C">
        <w:rPr>
          <w:rStyle w:val="af7"/>
          <w:rFonts w:eastAsia="Guttman Hodes"/>
          <w:rtl/>
        </w:rPr>
        <w:fldChar w:fldCharType="separate"/>
      </w:r>
      <w:r w:rsidR="00265073">
        <w:rPr>
          <w:rStyle w:val="af7"/>
          <w:rFonts w:eastAsia="Guttman Hodes"/>
          <w:cs/>
        </w:rPr>
        <w:t>‎</w:t>
      </w:r>
      <w:r w:rsidR="00265073">
        <w:rPr>
          <w:rStyle w:val="af7"/>
          <w:rFonts w:eastAsia="Guttman Hodes"/>
          <w:rtl/>
        </w:rPr>
        <w:t>מב)</w:t>
      </w:r>
      <w:r w:rsidRPr="0004167C">
        <w:rPr>
          <w:rStyle w:val="af7"/>
          <w:rFonts w:eastAsia="Guttman Hodes"/>
          <w:rtl/>
        </w:rPr>
        <w:fldChar w:fldCharType="end"/>
      </w:r>
      <w:r>
        <w:rPr>
          <w:rFonts w:hint="cs"/>
          <w:rtl/>
        </w:rPr>
        <w:t xml:space="preserve"> דהא דהחוזר וטוען מפטור לפטור נאמן, הוא כיון שאינו מדקדק בטענת פטור, כדביאר </w:t>
      </w:r>
      <w:r w:rsidRPr="008D2AAB">
        <w:rPr>
          <w:rStyle w:val="af9"/>
          <w:rFonts w:hint="cs"/>
          <w:rtl/>
        </w:rPr>
        <w:t>הנתיה"מ</w:t>
      </w:r>
      <w:r w:rsidRPr="005C5449">
        <w:rPr>
          <w:rFonts w:hint="cs"/>
          <w:rtl/>
        </w:rPr>
        <w:t xml:space="preserve"> </w:t>
      </w:r>
      <w:r w:rsidRPr="00CE15F1">
        <w:rPr>
          <w:rStyle w:val="af7"/>
          <w:rFonts w:eastAsia="Guttman Hodes" w:hint="cs"/>
          <w:rtl/>
        </w:rPr>
        <w:t xml:space="preserve">(עי' אות </w:t>
      </w:r>
      <w:r w:rsidRPr="00CE15F1">
        <w:rPr>
          <w:rStyle w:val="af7"/>
          <w:rFonts w:eastAsia="Guttman Hodes"/>
          <w:rtl/>
        </w:rPr>
        <w:fldChar w:fldCharType="begin"/>
      </w:r>
      <w:r w:rsidRPr="00CE15F1">
        <w:rPr>
          <w:rStyle w:val="af7"/>
          <w:rFonts w:eastAsia="Guttman Hodes"/>
          <w:rtl/>
        </w:rPr>
        <w:instrText xml:space="preserve"> </w:instrText>
      </w:r>
      <w:r w:rsidRPr="00CE15F1">
        <w:rPr>
          <w:rStyle w:val="af7"/>
          <w:rFonts w:eastAsia="Guttman Hodes" w:hint="cs"/>
        </w:rPr>
        <w:instrText>REF</w:instrText>
      </w:r>
      <w:r w:rsidRPr="00CE15F1">
        <w:rPr>
          <w:rStyle w:val="af7"/>
          <w:rFonts w:eastAsia="Guttman Hodes" w:hint="cs"/>
          <w:rtl/>
        </w:rPr>
        <w:instrText xml:space="preserve"> _</w:instrText>
      </w:r>
      <w:r w:rsidRPr="00CE15F1">
        <w:rPr>
          <w:rStyle w:val="af7"/>
          <w:rFonts w:eastAsia="Guttman Hodes" w:hint="cs"/>
        </w:rPr>
        <w:instrText>Ref62470047 \r \h</w:instrText>
      </w:r>
      <w:r w:rsidRPr="00CE15F1">
        <w:rPr>
          <w:rStyle w:val="af7"/>
          <w:rFonts w:eastAsia="Guttman Hodes"/>
          <w:rtl/>
        </w:rPr>
        <w:instrText xml:space="preserve"> </w:instrText>
      </w:r>
      <w:r w:rsidRPr="00CE15F1">
        <w:rPr>
          <w:rStyle w:val="af7"/>
          <w:rFonts w:eastAsia="Guttman Hodes"/>
          <w:rtl/>
        </w:rPr>
      </w:r>
      <w:r w:rsidRPr="00CE15F1">
        <w:rPr>
          <w:rStyle w:val="af7"/>
          <w:rFonts w:eastAsia="Guttman Hodes"/>
          <w:rtl/>
        </w:rPr>
        <w:fldChar w:fldCharType="separate"/>
      </w:r>
      <w:r w:rsidR="00265073">
        <w:rPr>
          <w:rStyle w:val="af7"/>
          <w:rFonts w:eastAsia="Guttman Hodes"/>
          <w:cs/>
        </w:rPr>
        <w:t>‎</w:t>
      </w:r>
      <w:r w:rsidR="00265073">
        <w:rPr>
          <w:rStyle w:val="af7"/>
          <w:rFonts w:eastAsia="Guttman Hodes"/>
          <w:rtl/>
        </w:rPr>
        <w:t>פב)</w:t>
      </w:r>
      <w:r w:rsidRPr="00CE15F1">
        <w:rPr>
          <w:rStyle w:val="af7"/>
          <w:rFonts w:eastAsia="Guttman Hodes"/>
          <w:rtl/>
        </w:rPr>
        <w:fldChar w:fldCharType="end"/>
      </w:r>
      <w:r>
        <w:rPr>
          <w:rFonts w:hint="cs"/>
          <w:rtl/>
        </w:rPr>
        <w:t xml:space="preserve"> א"כ בדברי </w:t>
      </w:r>
      <w:r>
        <w:rPr>
          <w:rStyle w:val="af9"/>
          <w:rFonts w:hint="cs"/>
          <w:rtl/>
        </w:rPr>
        <w:t>ר"י ב</w:t>
      </w:r>
      <w:r w:rsidRPr="008E1DDA">
        <w:rPr>
          <w:rStyle w:val="af9"/>
          <w:rFonts w:hint="cs"/>
          <w:rtl/>
        </w:rPr>
        <w:t>תוס' לקמן בתירוצ</w:t>
      </w:r>
      <w:r>
        <w:rPr>
          <w:rStyle w:val="af9"/>
          <w:rFonts w:hint="cs"/>
          <w:rtl/>
        </w:rPr>
        <w:t>ו</w:t>
      </w:r>
      <w:r w:rsidRPr="008E1DDA">
        <w:rPr>
          <w:rStyle w:val="af9"/>
          <w:rFonts w:hint="cs"/>
          <w:rtl/>
        </w:rPr>
        <w:t xml:space="preserve"> הב'</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Ref62472626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Pr>
          <w:rStyle w:val="af7"/>
          <w:rFonts w:eastAsia="Guttman Hodes"/>
          <w:rtl/>
        </w:rPr>
        <w:fldChar w:fldCharType="end"/>
      </w:r>
      <w:r>
        <w:rPr>
          <w:rStyle w:val="af7"/>
          <w:rFonts w:eastAsia="Guttman Hodes" w:hint="cs"/>
          <w:rtl/>
        </w:rPr>
        <w:t xml:space="preserve"> </w:t>
      </w:r>
      <w:r>
        <w:rPr>
          <w:rFonts w:hint="cs"/>
          <w:rtl/>
        </w:rPr>
        <w:t>לא שייך לומר דאינו מדייק בטענתו, דהא בתחילה טען שיש לו שטר, ואח"כ הודה שהשטר מזויף, וודאי דבטענתו הראשונה דייק שזהו השטר ואין לו כל שטר אחר.</w:t>
      </w:r>
    </w:p>
    <w:p w:rsidR="00EC445E" w:rsidRPr="00DE67BE" w:rsidRDefault="00EC445E" w:rsidP="007E4E81">
      <w:pPr>
        <w:pStyle w:val="a0"/>
        <w:numPr>
          <w:ilvl w:val="0"/>
          <w:numId w:val="0"/>
        </w:numPr>
        <w:rPr>
          <w:rtl/>
        </w:rPr>
      </w:pPr>
    </w:p>
    <w:p w:rsidR="00EC445E" w:rsidRDefault="00EC445E" w:rsidP="00EC445E">
      <w:pPr>
        <w:pStyle w:val="a3"/>
        <w:rPr>
          <w:rtl/>
        </w:rPr>
      </w:pPr>
    </w:p>
    <w:p w:rsidR="00EC445E" w:rsidRPr="00AF5D6B" w:rsidRDefault="00EC445E" w:rsidP="007E4E81">
      <w:pPr>
        <w:pStyle w:val="a0"/>
        <w:rPr>
          <w:rtl/>
        </w:rPr>
        <w:sectPr w:rsidR="00EC445E" w:rsidRPr="00AF5D6B" w:rsidSect="005049E2">
          <w:type w:val="continuous"/>
          <w:pgSz w:w="11906" w:h="16838"/>
          <w:pgMar w:top="720" w:right="720" w:bottom="720" w:left="720" w:header="283" w:footer="283" w:gutter="0"/>
          <w:cols w:num="2" w:space="567"/>
          <w:titlePg/>
          <w:bidi/>
          <w:rtlGutter/>
          <w:docGrid w:linePitch="299"/>
        </w:sectPr>
      </w:pPr>
    </w:p>
    <w:p w:rsidR="003B7617" w:rsidRDefault="003B7617" w:rsidP="00455784">
      <w:pPr>
        <w:pStyle w:val="afd"/>
        <w:rPr>
          <w:noProof/>
          <w:rtl/>
        </w:rPr>
      </w:pPr>
      <w:bookmarkStart w:id="13482" w:name="_Toc62644198"/>
      <w:bookmarkStart w:id="13483" w:name="_Toc62819882"/>
      <w:bookmarkStart w:id="13484" w:name="_Toc63111401"/>
      <w:bookmarkStart w:id="13485" w:name="_Toc63163448"/>
      <w:bookmarkStart w:id="13486" w:name="_Toc63188695"/>
      <w:bookmarkStart w:id="13487" w:name="_Toc63247654"/>
      <w:bookmarkStart w:id="13488" w:name="_Toc66209223"/>
      <w:r w:rsidRPr="00C03D92">
        <w:rPr>
          <w:rFonts w:hint="cs"/>
          <w:noProof/>
          <w:rtl/>
        </w:rPr>
        <w:lastRenderedPageBreak/>
        <w:t xml:space="preserve">סימן </w:t>
      </w:r>
      <w:r>
        <w:rPr>
          <w:rFonts w:hint="cs"/>
          <w:noProof/>
          <w:rtl/>
        </w:rPr>
        <w:t>י"ד</w:t>
      </w:r>
      <w:bookmarkEnd w:id="13482"/>
      <w:bookmarkEnd w:id="13483"/>
      <w:bookmarkEnd w:id="13484"/>
      <w:bookmarkEnd w:id="13485"/>
      <w:bookmarkEnd w:id="13486"/>
      <w:bookmarkEnd w:id="13487"/>
      <w:bookmarkEnd w:id="13488"/>
    </w:p>
    <w:p w:rsidR="003B7617" w:rsidRPr="00455784" w:rsidRDefault="003B7617" w:rsidP="00455784">
      <w:pPr>
        <w:pStyle w:val="afd"/>
        <w:rPr>
          <w:noProof/>
          <w:rtl/>
        </w:rPr>
      </w:pPr>
      <w:bookmarkStart w:id="13489" w:name="_Toc62644199"/>
      <w:bookmarkStart w:id="13490" w:name="_Toc62819883"/>
      <w:bookmarkStart w:id="13491" w:name="_Toc63111402"/>
      <w:bookmarkStart w:id="13492" w:name="_Toc63163449"/>
      <w:bookmarkStart w:id="13493" w:name="_Toc63188696"/>
      <w:bookmarkStart w:id="13494" w:name="_Toc63247655"/>
      <w:bookmarkStart w:id="13495" w:name="_Toc66209224"/>
      <w:r w:rsidRPr="00455784">
        <w:rPr>
          <w:rFonts w:hint="cs"/>
          <w:noProof/>
          <w:rtl/>
        </w:rPr>
        <w:t>בסוגיא דשטרא זייפא</w:t>
      </w:r>
      <w:bookmarkEnd w:id="13489"/>
      <w:bookmarkEnd w:id="13490"/>
      <w:bookmarkEnd w:id="13491"/>
      <w:bookmarkEnd w:id="13492"/>
      <w:r w:rsidRPr="00455784">
        <w:rPr>
          <w:rFonts w:hint="cs"/>
          <w:noProof/>
          <w:rtl/>
        </w:rPr>
        <w:t xml:space="preserve"> ובדין מיגו להוציא</w:t>
      </w:r>
      <w:bookmarkEnd w:id="13493"/>
      <w:bookmarkEnd w:id="13494"/>
      <w:bookmarkEnd w:id="13495"/>
    </w:p>
    <w:p w:rsidR="003B7617" w:rsidRDefault="000B328B" w:rsidP="003B7617">
      <w:pPr>
        <w:pStyle w:val="aff4"/>
        <w:rPr>
          <w:rtl/>
        </w:rPr>
        <w:sectPr w:rsidR="003B7617" w:rsidSect="003B7617">
          <w:headerReference w:type="default" r:id="rId120"/>
          <w:headerReference w:type="first" r:id="rId121"/>
          <w:footerReference w:type="first" r:id="rId122"/>
          <w:pgSz w:w="11906" w:h="16838"/>
          <w:pgMar w:top="720" w:right="720" w:bottom="720" w:left="720" w:header="283" w:footer="283" w:gutter="0"/>
          <w:cols w:space="113"/>
          <w:bidi/>
          <w:rtlGutter/>
          <w:docGrid w:linePitch="299"/>
        </w:sectPr>
      </w:pPr>
      <w:r>
        <w:rPr>
          <w:rFonts w:hint="cs"/>
          <w:rtl/>
        </w:rPr>
        <w:t xml:space="preserve">~~~~~~~ תוכן הענינים ~~~~~~~ </w:t>
      </w:r>
    </w:p>
    <w:p w:rsidR="003B7617" w:rsidRDefault="003B7617" w:rsidP="003B7617">
      <w:pPr>
        <w:pStyle w:val="2"/>
        <w:rPr>
          <w:rFonts w:eastAsiaTheme="minorEastAsia" w:cstheme="minorBidi"/>
          <w:i/>
          <w:iCs/>
          <w:sz w:val="22"/>
          <w:szCs w:val="22"/>
          <w:rtl/>
        </w:rPr>
      </w:pPr>
      <w:r>
        <w:rPr>
          <w:rFonts w:asciiTheme="minorHAnsi" w:eastAsiaTheme="minorHAnsi" w:hAnsiTheme="minorHAnsi" w:cstheme="minorHAnsi"/>
          <w:i/>
          <w:iCs/>
          <w:noProof w:val="0"/>
          <w:sz w:val="20"/>
          <w:szCs w:val="20"/>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Theme="minorHAnsi" w:eastAsiaTheme="minorHAnsi" w:hAnsiTheme="minorHAnsi" w:cstheme="minorHAnsi"/>
          <w:i/>
          <w:iCs/>
          <w:noProof w:val="0"/>
          <w:sz w:val="20"/>
          <w:szCs w:val="20"/>
          <w:rtl/>
        </w:rPr>
        <w:fldChar w:fldCharType="separate"/>
      </w:r>
      <w:r>
        <w:rPr>
          <w:rtl/>
        </w:rPr>
        <w:t>טענת המחזיק שיש לו שטר ואין לו חזקה</w:t>
      </w:r>
    </w:p>
    <w:p w:rsidR="003B7617" w:rsidRDefault="003B7617" w:rsidP="003B7617">
      <w:pPr>
        <w:pStyle w:val="aff4"/>
        <w:rPr>
          <w:rFonts w:eastAsiaTheme="minorEastAsia" w:cstheme="minorBidi"/>
          <w:i/>
          <w:iCs/>
          <w:noProof/>
          <w:sz w:val="22"/>
          <w:szCs w:val="22"/>
          <w:rtl/>
        </w:rPr>
      </w:pPr>
      <w:r>
        <w:rPr>
          <w:noProof/>
          <w:rtl/>
        </w:rPr>
        <w:t>דברי הרשב"ם והרשב"א דאיירי שאין למחזיק חזקת ג"ש</w:t>
      </w:r>
    </w:p>
    <w:p w:rsidR="003B7617" w:rsidRPr="007E4E81" w:rsidRDefault="003B7617" w:rsidP="00BA3263">
      <w:pPr>
        <w:pStyle w:val="a"/>
        <w:numPr>
          <w:ilvl w:val="0"/>
          <w:numId w:val="29"/>
        </w:numPr>
        <w:rPr>
          <w:rFonts w:eastAsiaTheme="minorEastAsia" w:cstheme="minorBidi"/>
          <w:sz w:val="22"/>
          <w:szCs w:val="22"/>
          <w:rtl/>
        </w:rPr>
      </w:pPr>
      <w:r>
        <w:rPr>
          <w:rtl/>
        </w:rPr>
        <w:t>דברי הרשב"ם והרשב"א דמהא דאמר המחזיק והא שטרא מוכח דאיירי שאין לו חזקת ג"ש</w:t>
      </w:r>
    </w:p>
    <w:p w:rsidR="003B7617" w:rsidRDefault="003B7617" w:rsidP="007E4E81">
      <w:pPr>
        <w:pStyle w:val="a"/>
        <w:rPr>
          <w:rFonts w:eastAsiaTheme="minorEastAsia" w:cstheme="minorBidi"/>
          <w:sz w:val="22"/>
          <w:szCs w:val="22"/>
          <w:rtl/>
        </w:rPr>
      </w:pPr>
      <w:r>
        <w:rPr>
          <w:rtl/>
        </w:rPr>
        <w:t>דברי הרמב"ן בביאורו הב' דאפש"ל שיש למחזיק חזקת ג"ש ודחיית הרמב"ן דא"כ נאמן לכו"ע</w:t>
      </w:r>
    </w:p>
    <w:p w:rsidR="003B7617" w:rsidRDefault="003B7617" w:rsidP="003B7617">
      <w:pPr>
        <w:pStyle w:val="2"/>
        <w:rPr>
          <w:rFonts w:eastAsiaTheme="minorEastAsia" w:cstheme="minorBidi"/>
          <w:i/>
          <w:iCs/>
          <w:sz w:val="22"/>
          <w:szCs w:val="22"/>
          <w:rtl/>
        </w:rPr>
      </w:pPr>
      <w:r>
        <w:rPr>
          <w:rtl/>
        </w:rPr>
        <w:t>ד' הר"ח והרי"ף דהודה דהוא שטר אמנה</w:t>
      </w:r>
    </w:p>
    <w:p w:rsidR="003B7617" w:rsidRDefault="003B7617" w:rsidP="003B7617">
      <w:pPr>
        <w:pStyle w:val="aff4"/>
        <w:rPr>
          <w:rFonts w:eastAsiaTheme="minorEastAsia" w:cstheme="minorBidi"/>
          <w:i/>
          <w:iCs/>
          <w:noProof/>
          <w:sz w:val="22"/>
          <w:szCs w:val="22"/>
          <w:rtl/>
        </w:rPr>
      </w:pPr>
      <w:r>
        <w:rPr>
          <w:noProof/>
          <w:rtl/>
        </w:rPr>
        <w:t>ביאור ר"ח והרי"ף ורה"ג דהשטר הוא אמנה ואינו מזויף</w:t>
      </w:r>
    </w:p>
    <w:p w:rsidR="003B7617" w:rsidRDefault="003B7617" w:rsidP="007E4E81">
      <w:pPr>
        <w:pStyle w:val="a"/>
        <w:rPr>
          <w:rFonts w:eastAsiaTheme="minorEastAsia" w:cstheme="minorBidi"/>
          <w:sz w:val="22"/>
          <w:szCs w:val="22"/>
          <w:rtl/>
        </w:rPr>
      </w:pPr>
      <w:r>
        <w:rPr>
          <w:rtl/>
        </w:rPr>
        <w:t>ביאור הרשב"ם בשם ר"ח והרי"ף ורה"ג והרמ"ה דהודה שהשטר אמנה ובטל אך אינו מזויף ממש</w:t>
      </w:r>
    </w:p>
    <w:p w:rsidR="003B7617" w:rsidRDefault="003B7617" w:rsidP="007E4E81">
      <w:pPr>
        <w:pStyle w:val="a"/>
        <w:rPr>
          <w:rFonts w:eastAsiaTheme="minorEastAsia" w:cstheme="minorBidi"/>
          <w:sz w:val="22"/>
          <w:szCs w:val="22"/>
          <w:rtl/>
        </w:rPr>
      </w:pPr>
      <w:r>
        <w:rPr>
          <w:rtl/>
        </w:rPr>
        <w:t>דברי ר"ח ורה"ג דשניהם מודים שהוא אמנה וטוען המחזיק שהיה שטר אחר והמערער מכחישו</w:t>
      </w:r>
    </w:p>
    <w:p w:rsidR="003B7617" w:rsidRDefault="003B7617" w:rsidP="003B7617">
      <w:pPr>
        <w:pStyle w:val="aff4"/>
        <w:rPr>
          <w:rFonts w:eastAsiaTheme="minorEastAsia" w:cstheme="minorBidi"/>
          <w:i/>
          <w:iCs/>
          <w:noProof/>
          <w:sz w:val="22"/>
          <w:szCs w:val="22"/>
          <w:rtl/>
        </w:rPr>
      </w:pPr>
      <w:r>
        <w:rPr>
          <w:noProof/>
          <w:rtl/>
        </w:rPr>
        <w:t>ביאור ר"ח והרי"ף דבאמנה יש למחזיק מיגו דהא אפשר לקיימו</w:t>
      </w:r>
    </w:p>
    <w:p w:rsidR="003B7617" w:rsidRDefault="003B7617" w:rsidP="007E4E81">
      <w:pPr>
        <w:pStyle w:val="a"/>
        <w:rPr>
          <w:rFonts w:eastAsiaTheme="minorEastAsia" w:cstheme="minorBidi"/>
          <w:sz w:val="22"/>
          <w:szCs w:val="22"/>
          <w:rtl/>
        </w:rPr>
      </w:pPr>
      <w:r>
        <w:rPr>
          <w:rtl/>
        </w:rPr>
        <w:t>ביאור הרשב"ם בשם ר"ח דכיון שאין השטר מזויף ממש יכול המחזיק לקיימו ולכן יש לו מיגו</w:t>
      </w:r>
    </w:p>
    <w:p w:rsidR="003B7617" w:rsidRDefault="003B7617" w:rsidP="007E4E81">
      <w:pPr>
        <w:pStyle w:val="a"/>
        <w:rPr>
          <w:rFonts w:eastAsiaTheme="minorEastAsia" w:cstheme="minorBidi"/>
          <w:sz w:val="22"/>
          <w:szCs w:val="22"/>
          <w:rtl/>
        </w:rPr>
      </w:pPr>
      <w:r>
        <w:rPr>
          <w:rtl/>
        </w:rPr>
        <w:t>ביאור הרי"ד דלרבה נאמן במיגו דאפשר לקיימו ע"י שמכירים חתימתם או שהם עצמם יקיימוהו</w:t>
      </w:r>
    </w:p>
    <w:p w:rsidR="003B7617" w:rsidRDefault="003B7617" w:rsidP="003B7617">
      <w:pPr>
        <w:pStyle w:val="aff4"/>
        <w:rPr>
          <w:rFonts w:eastAsiaTheme="minorEastAsia" w:cstheme="minorBidi"/>
          <w:i/>
          <w:iCs/>
          <w:noProof/>
          <w:sz w:val="22"/>
          <w:szCs w:val="22"/>
          <w:rtl/>
        </w:rPr>
      </w:pPr>
      <w:r>
        <w:rPr>
          <w:noProof/>
          <w:rtl/>
        </w:rPr>
        <w:t>ראיית ר"ח ורה"ג מדברי אביי בההוא ערבא דאיירי באמנה</w:t>
      </w:r>
    </w:p>
    <w:p w:rsidR="003B7617" w:rsidRDefault="003B7617" w:rsidP="007E4E81">
      <w:pPr>
        <w:pStyle w:val="a"/>
        <w:rPr>
          <w:rFonts w:eastAsiaTheme="minorEastAsia" w:cstheme="minorBidi"/>
          <w:sz w:val="22"/>
          <w:szCs w:val="22"/>
          <w:rtl/>
        </w:rPr>
      </w:pPr>
      <w:r>
        <w:rPr>
          <w:rtl/>
        </w:rPr>
        <w:t>הוכחת ר"ח ורה"ג מהא דבההוא ערבא לא איירי בשטר מזויף ומשמע בגמ' דהוא אותו נדון</w:t>
      </w:r>
    </w:p>
    <w:p w:rsidR="003B7617" w:rsidRDefault="003B7617" w:rsidP="007E4E81">
      <w:pPr>
        <w:pStyle w:val="a"/>
        <w:rPr>
          <w:rFonts w:eastAsiaTheme="minorEastAsia" w:cstheme="minorBidi"/>
          <w:sz w:val="22"/>
          <w:szCs w:val="22"/>
          <w:rtl/>
        </w:rPr>
      </w:pPr>
      <w:r>
        <w:rPr>
          <w:rtl/>
        </w:rPr>
        <w:t>דחיית הרשב"ם והרשב"א דאין כל חילוק בדין בין שטר מזויף לאמנה דשניהם פסולים</w:t>
      </w:r>
    </w:p>
    <w:p w:rsidR="003B7617" w:rsidRDefault="003B7617" w:rsidP="003B7617">
      <w:pPr>
        <w:pStyle w:val="2"/>
        <w:rPr>
          <w:rFonts w:eastAsiaTheme="minorEastAsia" w:cstheme="minorBidi"/>
          <w:i/>
          <w:iCs/>
          <w:sz w:val="22"/>
          <w:szCs w:val="22"/>
          <w:rtl/>
        </w:rPr>
      </w:pPr>
      <w:r>
        <w:rPr>
          <w:rtl/>
        </w:rPr>
        <w:t>דברי הרי"ף דבמזויף לכו"ע אינו נאמן</w:t>
      </w:r>
    </w:p>
    <w:p w:rsidR="003B7617" w:rsidRDefault="003B7617" w:rsidP="007E4E81">
      <w:pPr>
        <w:pStyle w:val="a"/>
        <w:rPr>
          <w:rFonts w:eastAsiaTheme="minorEastAsia" w:cstheme="minorBidi"/>
          <w:sz w:val="22"/>
          <w:szCs w:val="22"/>
          <w:rtl/>
        </w:rPr>
      </w:pPr>
      <w:r>
        <w:rPr>
          <w:rtl/>
        </w:rPr>
        <w:t>דברי הרי"ף והגאונים דבשטר מזויף ממש מודה רבה דהוא חספא ואינו נאמן במיגו</w:t>
      </w:r>
    </w:p>
    <w:p w:rsidR="003B7617" w:rsidRDefault="003B7617" w:rsidP="007E4E81">
      <w:pPr>
        <w:pStyle w:val="a"/>
        <w:rPr>
          <w:rFonts w:eastAsiaTheme="minorEastAsia" w:cstheme="minorBidi"/>
          <w:sz w:val="22"/>
          <w:szCs w:val="22"/>
          <w:rtl/>
        </w:rPr>
      </w:pPr>
      <w:r>
        <w:rPr>
          <w:rtl/>
        </w:rPr>
        <w:t>ביאור רבינו יונה ברי"ף דאין לו מיגו דאף אם היה טוען שהוא טוב לא היה נאמן דאינו מקוים</w:t>
      </w:r>
    </w:p>
    <w:p w:rsidR="003B7617" w:rsidRDefault="003B7617" w:rsidP="003B7617">
      <w:pPr>
        <w:pStyle w:val="aff4"/>
        <w:rPr>
          <w:rFonts w:eastAsiaTheme="minorEastAsia" w:cstheme="minorBidi"/>
          <w:i/>
          <w:iCs/>
          <w:noProof/>
          <w:sz w:val="22"/>
          <w:szCs w:val="22"/>
          <w:rtl/>
        </w:rPr>
      </w:pPr>
      <w:r>
        <w:rPr>
          <w:noProof/>
          <w:rtl/>
        </w:rPr>
        <w:t>ביאור הרמ"ה דבמזויף אף אי קיימו ל"מ מיגו דאנ"ס ששיקר</w:t>
      </w:r>
    </w:p>
    <w:p w:rsidR="003B7617" w:rsidRDefault="003B7617" w:rsidP="007E4E81">
      <w:pPr>
        <w:pStyle w:val="a"/>
        <w:rPr>
          <w:rFonts w:eastAsiaTheme="minorEastAsia" w:cstheme="minorBidi"/>
          <w:sz w:val="22"/>
          <w:szCs w:val="22"/>
          <w:rtl/>
        </w:rPr>
      </w:pPr>
      <w:r>
        <w:rPr>
          <w:rtl/>
        </w:rPr>
        <w:t>דברי הרמ"ה דשטר</w:t>
      </w:r>
      <w:r>
        <w:rPr>
          <w:rFonts w:hint="cs"/>
          <w:rtl/>
        </w:rPr>
        <w:t xml:space="preserve"> </w:t>
      </w:r>
      <w:r>
        <w:rPr>
          <w:rtl/>
        </w:rPr>
        <w:t>מזויף ממש אין לו מיגו דקשה מאוד לקיימו ואף אי קיימו אינו נאמן</w:t>
      </w:r>
    </w:p>
    <w:p w:rsidR="003B7617" w:rsidRDefault="003B7617" w:rsidP="007E4E81">
      <w:pPr>
        <w:pStyle w:val="a"/>
        <w:rPr>
          <w:rFonts w:eastAsiaTheme="minorEastAsia" w:cstheme="minorBidi"/>
          <w:sz w:val="22"/>
          <w:szCs w:val="22"/>
          <w:rtl/>
        </w:rPr>
      </w:pPr>
      <w:r>
        <w:rPr>
          <w:rtl/>
        </w:rPr>
        <w:t>ביאור הרמ"ה דכשהוברר שמשקר וזייפו ל"ש מיגו דאנ"ס שמשקר ועוד דא"כ מצינו חוטא נשכר</w:t>
      </w:r>
    </w:p>
    <w:p w:rsidR="003B7617" w:rsidRDefault="003B7617" w:rsidP="003B7617">
      <w:pPr>
        <w:pStyle w:val="aff4"/>
        <w:rPr>
          <w:rFonts w:eastAsiaTheme="minorEastAsia" w:cstheme="minorBidi"/>
          <w:i/>
          <w:iCs/>
          <w:noProof/>
          <w:sz w:val="22"/>
          <w:szCs w:val="22"/>
          <w:rtl/>
        </w:rPr>
      </w:pPr>
      <w:r>
        <w:rPr>
          <w:noProof/>
          <w:rtl/>
        </w:rPr>
        <w:t>דברי המאירי דבמזויף אף במקוים ל"מ מיגו דירא שיתברר זיופו</w:t>
      </w:r>
    </w:p>
    <w:p w:rsidR="003B7617" w:rsidRDefault="003B7617" w:rsidP="007E4E81">
      <w:pPr>
        <w:pStyle w:val="a"/>
        <w:rPr>
          <w:rFonts w:eastAsiaTheme="minorEastAsia" w:cstheme="minorBidi"/>
          <w:sz w:val="22"/>
          <w:szCs w:val="22"/>
          <w:rtl/>
        </w:rPr>
      </w:pPr>
      <w:r>
        <w:rPr>
          <w:rtl/>
        </w:rPr>
        <w:t>ביאור המאירי ברי"ף דאף במקוים אין לו מיגו דירא לטעון שהוא אמת שמא יתברר זיופו</w:t>
      </w:r>
    </w:p>
    <w:p w:rsidR="003B7617" w:rsidRDefault="003B7617" w:rsidP="007E4E81">
      <w:pPr>
        <w:pStyle w:val="a"/>
        <w:rPr>
          <w:rFonts w:eastAsiaTheme="minorEastAsia" w:cstheme="minorBidi"/>
          <w:sz w:val="22"/>
          <w:szCs w:val="22"/>
          <w:rtl/>
        </w:rPr>
      </w:pPr>
      <w:r>
        <w:rPr>
          <w:rtl/>
        </w:rPr>
        <w:t>דברי המאירי דאיירי שראו ב"ד שאפשר לקיימו או שהוא מקוים והודה שהוא שטר אמנה</w:t>
      </w:r>
    </w:p>
    <w:p w:rsidR="003B7617" w:rsidRDefault="003B7617" w:rsidP="003B7617">
      <w:pPr>
        <w:pStyle w:val="aff4"/>
        <w:rPr>
          <w:rFonts w:eastAsiaTheme="minorEastAsia" w:cstheme="minorBidi"/>
          <w:i/>
          <w:iCs/>
          <w:noProof/>
          <w:sz w:val="22"/>
          <w:szCs w:val="22"/>
          <w:rtl/>
        </w:rPr>
      </w:pPr>
      <w:r>
        <w:rPr>
          <w:noProof/>
          <w:rtl/>
        </w:rPr>
        <w:t>פלוגתת הטור והש"ך בד' הר"ח והרי"ף אי נאמן במזויף שקיימו</w:t>
      </w:r>
    </w:p>
    <w:p w:rsidR="003B7617" w:rsidRDefault="003B7617" w:rsidP="007E4E81">
      <w:pPr>
        <w:pStyle w:val="a"/>
        <w:rPr>
          <w:rFonts w:eastAsiaTheme="minorEastAsia" w:cstheme="minorBidi"/>
          <w:sz w:val="22"/>
          <w:szCs w:val="22"/>
          <w:rtl/>
        </w:rPr>
      </w:pPr>
      <w:r>
        <w:rPr>
          <w:rtl/>
        </w:rPr>
        <w:t>דברי הטור דלר"ח ולרי"ף אינו נאמן במזויף שקיימו ודברי הש"ך דאם הצליח לקיימו הוא נאמן</w:t>
      </w:r>
    </w:p>
    <w:p w:rsidR="003B7617" w:rsidRDefault="003B7617" w:rsidP="003B7617">
      <w:pPr>
        <w:pStyle w:val="2"/>
        <w:rPr>
          <w:rFonts w:eastAsiaTheme="minorEastAsia" w:cstheme="minorBidi"/>
          <w:i/>
          <w:iCs/>
          <w:sz w:val="22"/>
          <w:szCs w:val="22"/>
          <w:rtl/>
        </w:rPr>
      </w:pPr>
      <w:r>
        <w:rPr>
          <w:rtl/>
        </w:rPr>
        <w:t>דעת הרשב"ם דהודה שהשטר מזויף ממש</w:t>
      </w:r>
    </w:p>
    <w:p w:rsidR="003B7617" w:rsidRDefault="003B7617" w:rsidP="003B7617">
      <w:pPr>
        <w:pStyle w:val="aff4"/>
        <w:rPr>
          <w:rFonts w:eastAsiaTheme="minorEastAsia" w:cstheme="minorBidi"/>
          <w:i/>
          <w:iCs/>
          <w:noProof/>
          <w:sz w:val="22"/>
          <w:szCs w:val="22"/>
          <w:rtl/>
        </w:rPr>
      </w:pPr>
      <w:r>
        <w:rPr>
          <w:noProof/>
          <w:rtl/>
        </w:rPr>
        <w:t>הביאור הב' ברשב"ם דמודה המחזיק שהשטר מזויף ממש</w:t>
      </w:r>
    </w:p>
    <w:p w:rsidR="003B7617" w:rsidRDefault="003B7617" w:rsidP="007E4E81">
      <w:pPr>
        <w:pStyle w:val="a"/>
        <w:rPr>
          <w:rFonts w:eastAsiaTheme="minorEastAsia" w:cstheme="minorBidi"/>
          <w:sz w:val="22"/>
          <w:szCs w:val="22"/>
          <w:rtl/>
        </w:rPr>
      </w:pPr>
      <w:r>
        <w:rPr>
          <w:rtl/>
        </w:rPr>
        <w:t>דעת הרשב"ם ורבינו גרשום והריטב"א דאיירי שהודה המחזיק שהשטר מזויף ממש</w:t>
      </w:r>
    </w:p>
    <w:p w:rsidR="003B7617" w:rsidRDefault="003B7617" w:rsidP="007E4E81">
      <w:pPr>
        <w:pStyle w:val="a"/>
        <w:rPr>
          <w:rFonts w:eastAsiaTheme="minorEastAsia" w:cstheme="minorBidi"/>
          <w:sz w:val="22"/>
          <w:szCs w:val="22"/>
          <w:rtl/>
        </w:rPr>
      </w:pPr>
      <w:r>
        <w:rPr>
          <w:rtl/>
        </w:rPr>
        <w:t>ביאור הרשב"ם דיש למחזיק מיגו שיכול לקיימו דטועים העדים שזו חתימתם או בעידי שקר</w:t>
      </w:r>
    </w:p>
    <w:p w:rsidR="003B7617" w:rsidRDefault="003B7617" w:rsidP="007E4E81">
      <w:pPr>
        <w:pStyle w:val="a"/>
        <w:rPr>
          <w:rFonts w:eastAsiaTheme="minorEastAsia" w:cstheme="minorBidi"/>
          <w:sz w:val="22"/>
          <w:szCs w:val="22"/>
          <w:rtl/>
        </w:rPr>
      </w:pPr>
      <w:r>
        <w:rPr>
          <w:rtl/>
        </w:rPr>
        <w:t>דברי הרא"ש דאף לר"ח מוכח דאיירי במקוים וא"כ אין חילוק בין אמנה למזויף דנאמן במיגו</w:t>
      </w:r>
    </w:p>
    <w:p w:rsidR="003B7617" w:rsidRDefault="003B7617" w:rsidP="003B7617">
      <w:pPr>
        <w:pStyle w:val="aff4"/>
        <w:rPr>
          <w:rFonts w:eastAsiaTheme="minorEastAsia" w:cstheme="minorBidi"/>
          <w:i/>
          <w:iCs/>
          <w:noProof/>
          <w:sz w:val="22"/>
          <w:szCs w:val="22"/>
          <w:rtl/>
        </w:rPr>
      </w:pPr>
      <w:r>
        <w:rPr>
          <w:noProof/>
          <w:rtl/>
        </w:rPr>
        <w:t>דברי הרמב"ם דהשטר מזויף ובההוא ערבא או מזויף או אמנה</w:t>
      </w:r>
    </w:p>
    <w:p w:rsidR="003B7617" w:rsidRDefault="003B7617" w:rsidP="007E4E81">
      <w:pPr>
        <w:pStyle w:val="a"/>
        <w:rPr>
          <w:rFonts w:eastAsiaTheme="minorEastAsia" w:cstheme="minorBidi"/>
          <w:sz w:val="22"/>
          <w:szCs w:val="22"/>
          <w:rtl/>
        </w:rPr>
      </w:pPr>
      <w:r>
        <w:rPr>
          <w:rtl/>
        </w:rPr>
        <w:t>דברי הרמב"ם דאיירי בשטר מקוים והודה המחזיק דהחזיק שטר מזויף לאיים שיודה שמכר לו</w:t>
      </w:r>
    </w:p>
    <w:p w:rsidR="003B7617" w:rsidRDefault="003B7617" w:rsidP="007E4E81">
      <w:pPr>
        <w:pStyle w:val="a"/>
        <w:rPr>
          <w:rFonts w:eastAsiaTheme="minorEastAsia" w:cstheme="minorBidi"/>
          <w:sz w:val="22"/>
          <w:szCs w:val="22"/>
          <w:rtl/>
        </w:rPr>
      </w:pPr>
      <w:r>
        <w:rPr>
          <w:rtl/>
        </w:rPr>
        <w:t>דברי הרמב"ם דבערבא השטר מקוים וטוען הלוה שהוא מזויף או אמנה והודה דנמחל שעבודו</w:t>
      </w:r>
    </w:p>
    <w:p w:rsidR="003B7617" w:rsidRDefault="003B7617" w:rsidP="003B7617">
      <w:pPr>
        <w:pStyle w:val="aff4"/>
        <w:rPr>
          <w:rFonts w:eastAsiaTheme="minorEastAsia" w:cstheme="minorBidi"/>
          <w:i/>
          <w:iCs/>
          <w:noProof/>
          <w:sz w:val="22"/>
          <w:szCs w:val="22"/>
          <w:rtl/>
        </w:rPr>
      </w:pPr>
      <w:r>
        <w:rPr>
          <w:noProof/>
          <w:rtl/>
        </w:rPr>
        <w:t>ביאור הב"י ברמב"ם דהודה המחזיק שהשטר מזויף ממש</w:t>
      </w:r>
    </w:p>
    <w:p w:rsidR="003B7617" w:rsidRDefault="003B7617" w:rsidP="007E4E81">
      <w:pPr>
        <w:pStyle w:val="a"/>
        <w:rPr>
          <w:rFonts w:eastAsiaTheme="minorEastAsia" w:cstheme="minorBidi"/>
          <w:sz w:val="22"/>
          <w:szCs w:val="22"/>
          <w:rtl/>
        </w:rPr>
      </w:pPr>
      <w:r>
        <w:rPr>
          <w:rtl/>
        </w:rPr>
        <w:t>ביאור הב"י ברמב"ם דס"ל כרשב"ם דאיירי במזויף וחידש דבזוזי ה"ה דבשטר אמנה לא נאמן</w:t>
      </w:r>
    </w:p>
    <w:p w:rsidR="003B7617" w:rsidRDefault="003B7617" w:rsidP="003B7617">
      <w:pPr>
        <w:pStyle w:val="aff4"/>
        <w:rPr>
          <w:rFonts w:eastAsiaTheme="minorEastAsia" w:cstheme="minorBidi"/>
          <w:i/>
          <w:iCs/>
          <w:noProof/>
          <w:sz w:val="22"/>
          <w:szCs w:val="22"/>
          <w:rtl/>
        </w:rPr>
      </w:pPr>
      <w:r>
        <w:rPr>
          <w:noProof/>
          <w:rtl/>
        </w:rPr>
        <w:t>דברי המאירי דמסברא נראה כר"ח אך משמע בגמ' כרשב"ם</w:t>
      </w:r>
    </w:p>
    <w:p w:rsidR="003B7617" w:rsidRDefault="003B7617" w:rsidP="007E4E81">
      <w:pPr>
        <w:pStyle w:val="a"/>
        <w:rPr>
          <w:rFonts w:eastAsiaTheme="minorEastAsia" w:cstheme="minorBidi"/>
          <w:sz w:val="22"/>
          <w:szCs w:val="22"/>
          <w:rtl/>
        </w:rPr>
      </w:pPr>
      <w:r>
        <w:rPr>
          <w:rtl/>
        </w:rPr>
        <w:t>דברי המאירי דמסברא נראה כרי"ף דאין לו מיגו אך בגמ' משמע כרשב"ם דאין לו שטר אמיתי</w:t>
      </w:r>
    </w:p>
    <w:p w:rsidR="003B7617" w:rsidRDefault="003B7617" w:rsidP="007E4E81">
      <w:pPr>
        <w:pStyle w:val="a"/>
        <w:rPr>
          <w:rFonts w:eastAsiaTheme="minorEastAsia" w:cstheme="minorBidi"/>
          <w:sz w:val="22"/>
          <w:szCs w:val="22"/>
          <w:rtl/>
        </w:rPr>
      </w:pPr>
      <w:r>
        <w:rPr>
          <w:rtl/>
        </w:rPr>
        <w:t>דברי המאירי דמ"מ במזויף שלא ניתן ליכתב אינו נאמן במיגו שלא יהא חוטא נשכר</w:t>
      </w:r>
    </w:p>
    <w:p w:rsidR="003B7617" w:rsidRDefault="003B7617" w:rsidP="003B7617">
      <w:pPr>
        <w:pStyle w:val="2"/>
        <w:rPr>
          <w:rFonts w:eastAsiaTheme="minorEastAsia" w:cstheme="minorBidi"/>
          <w:i/>
          <w:iCs/>
          <w:sz w:val="22"/>
          <w:szCs w:val="22"/>
          <w:rtl/>
        </w:rPr>
      </w:pPr>
      <w:r>
        <w:rPr>
          <w:rtl/>
        </w:rPr>
        <w:t>דברי הראשונים אי איירי בשטר מקוים</w:t>
      </w:r>
    </w:p>
    <w:p w:rsidR="003B7617" w:rsidRDefault="003B7617" w:rsidP="003B7617">
      <w:pPr>
        <w:pStyle w:val="aff4"/>
        <w:rPr>
          <w:rFonts w:eastAsiaTheme="minorEastAsia" w:cstheme="minorBidi"/>
          <w:i/>
          <w:iCs/>
          <w:noProof/>
          <w:sz w:val="22"/>
          <w:szCs w:val="22"/>
          <w:rtl/>
        </w:rPr>
      </w:pPr>
      <w:r>
        <w:rPr>
          <w:noProof/>
          <w:rtl/>
        </w:rPr>
        <w:t>דעות הראשונים אי איירי שאפשר לקיימו או שהוא מקויים כבר</w:t>
      </w:r>
    </w:p>
    <w:p w:rsidR="003B7617" w:rsidRDefault="003B7617" w:rsidP="007E4E81">
      <w:pPr>
        <w:pStyle w:val="a"/>
        <w:rPr>
          <w:rFonts w:eastAsiaTheme="minorEastAsia" w:cstheme="minorBidi"/>
          <w:sz w:val="22"/>
          <w:szCs w:val="22"/>
          <w:rtl/>
        </w:rPr>
      </w:pPr>
      <w:r>
        <w:rPr>
          <w:rtl/>
        </w:rPr>
        <w:t>דברי ר"ח והרי"ף ורה"ג דאיירי בשטר אמנה ויכולים העדים לקיים חתימתם ולכן נאמן במיגו</w:t>
      </w:r>
    </w:p>
    <w:p w:rsidR="003B7617" w:rsidRDefault="003B7617" w:rsidP="007E4E81">
      <w:pPr>
        <w:pStyle w:val="a"/>
        <w:rPr>
          <w:rFonts w:eastAsiaTheme="minorEastAsia" w:cstheme="minorBidi"/>
          <w:sz w:val="22"/>
          <w:szCs w:val="22"/>
          <w:rtl/>
        </w:rPr>
      </w:pPr>
      <w:r>
        <w:rPr>
          <w:rtl/>
        </w:rPr>
        <w:t>דעת הרמב"ן והרשב"א דהשטר אינו מקוים והוא כחספא ובקרקע נזקקין לקיימו ובזוזי אין נזקקין</w:t>
      </w:r>
    </w:p>
    <w:p w:rsidR="003B7617" w:rsidRDefault="003B7617" w:rsidP="007E4E81">
      <w:pPr>
        <w:pStyle w:val="a"/>
        <w:rPr>
          <w:rFonts w:eastAsiaTheme="minorEastAsia" w:cstheme="minorBidi"/>
          <w:sz w:val="22"/>
          <w:szCs w:val="22"/>
          <w:rtl/>
        </w:rPr>
      </w:pPr>
      <w:r>
        <w:rPr>
          <w:rtl/>
        </w:rPr>
        <w:t>דברי המאירי דאיירי שראו ב"ד שאפשר לקיימו או שהשטר כבר מקוים והודה שהוא אמנה</w:t>
      </w:r>
    </w:p>
    <w:p w:rsidR="003B7617" w:rsidRDefault="003B7617" w:rsidP="007E4E81">
      <w:pPr>
        <w:pStyle w:val="a"/>
        <w:rPr>
          <w:rFonts w:eastAsiaTheme="minorEastAsia" w:cstheme="minorBidi"/>
          <w:sz w:val="22"/>
          <w:szCs w:val="22"/>
          <w:rtl/>
        </w:rPr>
      </w:pPr>
      <w:r>
        <w:rPr>
          <w:rtl/>
        </w:rPr>
        <w:t>ביאור הרשב"ם דיש למחזיק מיגו שיכול לקיימו דטועים העדים שזו חתימתם או בעידי שקר</w:t>
      </w:r>
    </w:p>
    <w:p w:rsidR="003B7617" w:rsidRDefault="003B7617" w:rsidP="007E4E81">
      <w:pPr>
        <w:pStyle w:val="a"/>
        <w:rPr>
          <w:rFonts w:eastAsiaTheme="minorEastAsia" w:cstheme="minorBidi"/>
          <w:sz w:val="22"/>
          <w:szCs w:val="22"/>
          <w:rtl/>
        </w:rPr>
      </w:pPr>
      <w:r>
        <w:rPr>
          <w:rtl/>
        </w:rPr>
        <w:t>ביאור המ"מ ברמב"ם דאיירי בשטר מקוים וכדעת הגאונים ודלא כרמב"ן והרשב"א</w:t>
      </w:r>
    </w:p>
    <w:p w:rsidR="003B7617" w:rsidRDefault="003B7617" w:rsidP="003B7617">
      <w:pPr>
        <w:pStyle w:val="2"/>
        <w:rPr>
          <w:rFonts w:eastAsiaTheme="minorEastAsia" w:cstheme="minorBidi"/>
          <w:i/>
          <w:iCs/>
          <w:sz w:val="22"/>
          <w:szCs w:val="22"/>
          <w:rtl/>
        </w:rPr>
      </w:pPr>
      <w:r>
        <w:rPr>
          <w:rtl/>
        </w:rPr>
        <w:t>בי' הרשב"ם בד' רב יוסף דהשטר חספא</w:t>
      </w:r>
    </w:p>
    <w:p w:rsidR="003B7617" w:rsidRDefault="003B7617" w:rsidP="003B7617">
      <w:pPr>
        <w:pStyle w:val="aff4"/>
        <w:rPr>
          <w:rFonts w:eastAsiaTheme="minorEastAsia" w:cstheme="minorBidi"/>
          <w:i/>
          <w:iCs/>
          <w:noProof/>
          <w:sz w:val="22"/>
          <w:szCs w:val="22"/>
          <w:rtl/>
        </w:rPr>
      </w:pPr>
      <w:r>
        <w:rPr>
          <w:noProof/>
          <w:rtl/>
        </w:rPr>
        <w:t>דברי הרשב"ם דלרב יוסף לא מהני מיגו דאין ב' הטענות אמת</w:t>
      </w:r>
    </w:p>
    <w:p w:rsidR="003B7617" w:rsidRDefault="003B7617" w:rsidP="007E4E81">
      <w:pPr>
        <w:pStyle w:val="a"/>
        <w:rPr>
          <w:rFonts w:eastAsiaTheme="minorEastAsia" w:cstheme="minorBidi"/>
          <w:sz w:val="22"/>
          <w:szCs w:val="22"/>
          <w:rtl/>
        </w:rPr>
      </w:pPr>
      <w:r>
        <w:rPr>
          <w:rtl/>
        </w:rPr>
        <w:t>דברי הרשב"ם דאין לו מיגו דאין ב' הטענות יכולות להיות אמת והוא כמיגו במקום עדים</w:t>
      </w:r>
    </w:p>
    <w:p w:rsidR="003B7617" w:rsidRDefault="003B7617" w:rsidP="007E4E81">
      <w:pPr>
        <w:pStyle w:val="a"/>
        <w:rPr>
          <w:rFonts w:eastAsiaTheme="minorEastAsia" w:cstheme="minorBidi"/>
          <w:sz w:val="22"/>
          <w:szCs w:val="22"/>
          <w:rtl/>
        </w:rPr>
      </w:pPr>
      <w:r>
        <w:rPr>
          <w:rtl/>
        </w:rPr>
        <w:t>דברי המאירי דלבי' ר"ח דאיירי בשטר אמנה א"א לומר דאין טענתו אמת דהשטר ניתן ליכתב</w:t>
      </w:r>
    </w:p>
    <w:p w:rsidR="003B7617" w:rsidRDefault="003B7617" w:rsidP="003B7617">
      <w:pPr>
        <w:pStyle w:val="aff4"/>
        <w:rPr>
          <w:rFonts w:eastAsiaTheme="minorEastAsia" w:cstheme="minorBidi"/>
          <w:i/>
          <w:iCs/>
          <w:noProof/>
          <w:sz w:val="22"/>
          <w:szCs w:val="22"/>
          <w:rtl/>
        </w:rPr>
      </w:pPr>
      <w:r>
        <w:rPr>
          <w:noProof/>
          <w:rtl/>
        </w:rPr>
        <w:t>בי' הרא"ש ברשב"ם דמינך זבינתה היא טענה אחת עם השטר</w:t>
      </w:r>
    </w:p>
    <w:p w:rsidR="003B7617" w:rsidRDefault="003B7617" w:rsidP="007E4E81">
      <w:pPr>
        <w:pStyle w:val="a"/>
        <w:rPr>
          <w:rFonts w:eastAsiaTheme="minorEastAsia" w:cstheme="minorBidi"/>
          <w:sz w:val="22"/>
          <w:szCs w:val="22"/>
          <w:rtl/>
        </w:rPr>
      </w:pPr>
      <w:r>
        <w:rPr>
          <w:rtl/>
        </w:rPr>
        <w:t>ביאור הרא"ש ברשב"ם דמינך זבינתה והא שטרא הם טענה אחת שבטלה ודמי למיגו במק"ע</w:t>
      </w:r>
    </w:p>
    <w:p w:rsidR="003B7617" w:rsidRDefault="003B7617" w:rsidP="007E4E81">
      <w:pPr>
        <w:pStyle w:val="a"/>
        <w:rPr>
          <w:rFonts w:eastAsiaTheme="minorEastAsia" w:cstheme="minorBidi"/>
          <w:sz w:val="22"/>
          <w:szCs w:val="22"/>
          <w:rtl/>
        </w:rPr>
      </w:pPr>
      <w:r>
        <w:rPr>
          <w:rtl/>
        </w:rPr>
        <w:t>דחיית הרא"ש דטענת מינך זבינתה היא טענה בפנ"ע והשטר הוא רק ראיה ויש לו מיגו</w:t>
      </w:r>
    </w:p>
    <w:p w:rsidR="003B7617" w:rsidRDefault="003B7617" w:rsidP="007E4E81">
      <w:pPr>
        <w:pStyle w:val="a"/>
        <w:rPr>
          <w:rFonts w:eastAsiaTheme="minorEastAsia" w:cstheme="minorBidi"/>
          <w:sz w:val="22"/>
          <w:szCs w:val="22"/>
          <w:rtl/>
        </w:rPr>
      </w:pPr>
      <w:r>
        <w:rPr>
          <w:rtl/>
        </w:rPr>
        <w:t>ביאור החת"ס ברא"ש דכיון שאין לו חזקה טענתו דמינך זבינתה היא כדיבור אחד עם והא שטרא</w:t>
      </w:r>
    </w:p>
    <w:p w:rsidR="003B7617" w:rsidRDefault="003B7617" w:rsidP="003B7617">
      <w:pPr>
        <w:pStyle w:val="aff4"/>
        <w:rPr>
          <w:rFonts w:eastAsiaTheme="minorEastAsia" w:cstheme="minorBidi"/>
          <w:i/>
          <w:iCs/>
          <w:noProof/>
          <w:sz w:val="22"/>
          <w:szCs w:val="22"/>
          <w:rtl/>
        </w:rPr>
      </w:pPr>
      <w:r>
        <w:rPr>
          <w:noProof/>
          <w:rtl/>
        </w:rPr>
        <w:t>ביאור הנימוק"י ברשב"ם דכשהודה בפניו חשיב מיגו במק"ע</w:t>
      </w:r>
    </w:p>
    <w:p w:rsidR="003B7617" w:rsidRDefault="003B7617" w:rsidP="007E4E81">
      <w:pPr>
        <w:pStyle w:val="a"/>
        <w:rPr>
          <w:rFonts w:eastAsiaTheme="minorEastAsia" w:cstheme="minorBidi"/>
          <w:sz w:val="22"/>
          <w:szCs w:val="22"/>
          <w:rtl/>
        </w:rPr>
      </w:pPr>
      <w:r>
        <w:rPr>
          <w:rtl/>
        </w:rPr>
        <w:t>דברי הנימוק"י דלרשב"ם אפש"ל דבמזויף שקיימו נח' רבה ורב יוסף אי חשיב מוחזק ע"י השטר</w:t>
      </w:r>
    </w:p>
    <w:p w:rsidR="003B7617" w:rsidRDefault="003B7617" w:rsidP="007E4E81">
      <w:pPr>
        <w:pStyle w:val="a"/>
        <w:rPr>
          <w:rFonts w:eastAsiaTheme="minorEastAsia" w:cstheme="minorBidi"/>
          <w:sz w:val="22"/>
          <w:szCs w:val="22"/>
          <w:rtl/>
        </w:rPr>
      </w:pPr>
      <w:r>
        <w:rPr>
          <w:rtl/>
        </w:rPr>
        <w:t>ביאור הנימוק"י ברשב"ם דכיון שאין ב' הטענות אמת א"כ אף להחזיק ממון לא מהני המיגו</w:t>
      </w:r>
    </w:p>
    <w:p w:rsidR="003B7617" w:rsidRDefault="003B7617" w:rsidP="007E4E81">
      <w:pPr>
        <w:pStyle w:val="a"/>
        <w:rPr>
          <w:rFonts w:eastAsiaTheme="minorEastAsia" w:cstheme="minorBidi"/>
          <w:sz w:val="22"/>
          <w:szCs w:val="22"/>
          <w:rtl/>
        </w:rPr>
      </w:pPr>
      <w:r>
        <w:rPr>
          <w:rtl/>
        </w:rPr>
        <w:t>ביאור הנימוק"י ברשב"ם דדמי למיגו במקום עדים כיון שהודה בפני המערער ממש שהוא מזויף</w:t>
      </w:r>
    </w:p>
    <w:p w:rsidR="003B7617" w:rsidRDefault="003B7617" w:rsidP="003B7617">
      <w:pPr>
        <w:pStyle w:val="aff4"/>
        <w:rPr>
          <w:rFonts w:eastAsiaTheme="minorEastAsia" w:cstheme="minorBidi"/>
          <w:i/>
          <w:iCs/>
          <w:noProof/>
          <w:sz w:val="22"/>
          <w:szCs w:val="22"/>
          <w:rtl/>
        </w:rPr>
      </w:pPr>
      <w:r>
        <w:rPr>
          <w:noProof/>
          <w:rtl/>
        </w:rPr>
        <w:t>בי' הגידו"ת בנימוק"י דנח' רבה ורב יוסף אי חשיב מיגו להוציא</w:t>
      </w:r>
    </w:p>
    <w:p w:rsidR="003B7617" w:rsidRDefault="003B7617" w:rsidP="007E4E81">
      <w:pPr>
        <w:pStyle w:val="a"/>
        <w:rPr>
          <w:rFonts w:eastAsiaTheme="minorEastAsia" w:cstheme="minorBidi"/>
          <w:sz w:val="22"/>
          <w:szCs w:val="22"/>
          <w:rtl/>
        </w:rPr>
      </w:pPr>
      <w:r>
        <w:rPr>
          <w:rtl/>
        </w:rPr>
        <w:t>ביאור הגידו"ת בנימוק"י דרבה ורב יוסף פליגי אי חשיב מוחזק מכח השטר ולא מחמת שיושב בה</w:t>
      </w:r>
    </w:p>
    <w:p w:rsidR="003B7617" w:rsidRDefault="003B7617" w:rsidP="007E4E81">
      <w:pPr>
        <w:pStyle w:val="a"/>
        <w:rPr>
          <w:rFonts w:eastAsiaTheme="minorEastAsia" w:cstheme="minorBidi"/>
          <w:sz w:val="22"/>
          <w:szCs w:val="22"/>
          <w:rtl/>
        </w:rPr>
      </w:pPr>
      <w:r>
        <w:rPr>
          <w:rtl/>
        </w:rPr>
        <w:t>קושית הגידו"ת דלהנימוק"י רב אידי פסק בקרקע דלא כרבה דהוא מודה שהיא בחזקת המר"ק</w:t>
      </w:r>
    </w:p>
    <w:p w:rsidR="003B7617" w:rsidRDefault="003B7617" w:rsidP="007E4E81">
      <w:pPr>
        <w:pStyle w:val="a"/>
        <w:rPr>
          <w:rFonts w:eastAsiaTheme="minorEastAsia" w:cstheme="minorBidi"/>
          <w:sz w:val="22"/>
          <w:szCs w:val="22"/>
          <w:rtl/>
        </w:rPr>
      </w:pPr>
      <w:r>
        <w:rPr>
          <w:rtl/>
        </w:rPr>
        <w:t>קושית הגידו"ת על הנימוק"י דמשמע דפשיטא לרב אידי כרבה בין בקרקע ובין במעות</w:t>
      </w:r>
    </w:p>
    <w:p w:rsidR="003B7617" w:rsidRDefault="003B7617" w:rsidP="007E4E81">
      <w:pPr>
        <w:pStyle w:val="a"/>
        <w:rPr>
          <w:rFonts w:eastAsiaTheme="minorEastAsia" w:cstheme="minorBidi"/>
          <w:sz w:val="22"/>
          <w:szCs w:val="22"/>
          <w:rtl/>
        </w:rPr>
      </w:pPr>
      <w:r>
        <w:rPr>
          <w:rtl/>
        </w:rPr>
        <w:t>תירוץ הגידו"ת דמספקא לרב אידי אי מהני מיגו ולענין מיגו להוציא פסק דחשיב מוחזק</w:t>
      </w:r>
    </w:p>
    <w:p w:rsidR="003B7617" w:rsidRDefault="003B7617" w:rsidP="003B7617">
      <w:pPr>
        <w:pStyle w:val="aff4"/>
        <w:rPr>
          <w:rFonts w:eastAsiaTheme="minorEastAsia" w:cstheme="minorBidi"/>
          <w:i/>
          <w:iCs/>
          <w:noProof/>
          <w:sz w:val="22"/>
          <w:szCs w:val="22"/>
          <w:rtl/>
        </w:rPr>
      </w:pPr>
      <w:r>
        <w:rPr>
          <w:noProof/>
          <w:rtl/>
        </w:rPr>
        <w:t>ביאור החת"ס דכוונת הרשב"ם כתוס' דאינו חוזר וטוען</w:t>
      </w:r>
    </w:p>
    <w:p w:rsidR="003B7617" w:rsidRDefault="003B7617" w:rsidP="007E4E81">
      <w:pPr>
        <w:pStyle w:val="a"/>
        <w:rPr>
          <w:rFonts w:eastAsiaTheme="minorEastAsia" w:cstheme="minorBidi"/>
          <w:sz w:val="22"/>
          <w:szCs w:val="22"/>
          <w:rtl/>
        </w:rPr>
      </w:pPr>
      <w:r>
        <w:rPr>
          <w:rtl/>
        </w:rPr>
        <w:t>ביאור החת"ס ברשב"ם ותוס' דאינו חוזר וטוען דאחר שהודה חשיב חוזר וטוען מחיוב לפטור</w:t>
      </w:r>
    </w:p>
    <w:p w:rsidR="003B7617" w:rsidRDefault="003B7617" w:rsidP="003B7617">
      <w:pPr>
        <w:pStyle w:val="aff4"/>
        <w:rPr>
          <w:rFonts w:eastAsiaTheme="minorEastAsia" w:cstheme="minorBidi"/>
          <w:i/>
          <w:iCs/>
          <w:noProof/>
          <w:sz w:val="22"/>
          <w:szCs w:val="22"/>
          <w:rtl/>
        </w:rPr>
      </w:pPr>
      <w:r>
        <w:rPr>
          <w:noProof/>
          <w:rtl/>
        </w:rPr>
        <w:t>קושיות הרי"ד על הרשב"ם דהוא ככל דין מיגו ואינו במק"ע</w:t>
      </w:r>
    </w:p>
    <w:p w:rsidR="003B7617" w:rsidRDefault="003B7617" w:rsidP="007E4E81">
      <w:pPr>
        <w:pStyle w:val="a"/>
        <w:rPr>
          <w:rFonts w:eastAsiaTheme="minorEastAsia" w:cstheme="minorBidi"/>
          <w:sz w:val="22"/>
          <w:szCs w:val="22"/>
          <w:rtl/>
        </w:rPr>
      </w:pPr>
      <w:r>
        <w:rPr>
          <w:rtl/>
        </w:rPr>
        <w:t>קושית הרי"ד על הרשב"ם דכל מיגו נאמן אף שאינו אמת והכא אם לא הודה לא היה מוכחש</w:t>
      </w:r>
    </w:p>
    <w:p w:rsidR="003B7617" w:rsidRDefault="003B7617" w:rsidP="007E4E81">
      <w:pPr>
        <w:pStyle w:val="a"/>
        <w:rPr>
          <w:rFonts w:eastAsiaTheme="minorEastAsia" w:cstheme="minorBidi"/>
          <w:sz w:val="22"/>
          <w:szCs w:val="22"/>
          <w:rtl/>
        </w:rPr>
      </w:pPr>
      <w:r>
        <w:rPr>
          <w:rtl/>
        </w:rPr>
        <w:t>קו' הרי"ד דבקמי דידי נאמן במיגו וכן בשדה זו של אביך אעפ"י שהודה ועשה ריעותא בטענתו</w:t>
      </w:r>
    </w:p>
    <w:p w:rsidR="003B7617" w:rsidRDefault="003B7617" w:rsidP="007E4E81">
      <w:pPr>
        <w:pStyle w:val="a"/>
        <w:rPr>
          <w:rFonts w:eastAsiaTheme="minorEastAsia" w:cstheme="minorBidi"/>
          <w:sz w:val="22"/>
          <w:szCs w:val="22"/>
          <w:rtl/>
        </w:rPr>
      </w:pPr>
      <w:r>
        <w:rPr>
          <w:rtl/>
        </w:rPr>
        <w:t>קושית הרי"ד דמיגו במק"ע הוא כנגד מה שטוען עכשיו והכא הודה על מה שטען בתחילה</w:t>
      </w:r>
    </w:p>
    <w:p w:rsidR="003B7617" w:rsidRDefault="003B7617" w:rsidP="007E4E81">
      <w:pPr>
        <w:pStyle w:val="a"/>
        <w:rPr>
          <w:rFonts w:eastAsiaTheme="minorEastAsia" w:cstheme="minorBidi"/>
          <w:sz w:val="22"/>
          <w:szCs w:val="22"/>
          <w:rtl/>
        </w:rPr>
      </w:pPr>
      <w:r>
        <w:rPr>
          <w:rtl/>
        </w:rPr>
        <w:t>קושית הגידו"ת על הרשב"ם דהמודה בשטר נאמן דפרעו במיגו ואף שהודה אינו מיגו במק"ע</w:t>
      </w:r>
    </w:p>
    <w:p w:rsidR="003B7617" w:rsidRDefault="003B7617" w:rsidP="003B7617">
      <w:pPr>
        <w:pStyle w:val="2"/>
        <w:rPr>
          <w:rFonts w:eastAsiaTheme="minorEastAsia" w:cstheme="minorBidi"/>
          <w:i/>
          <w:iCs/>
          <w:sz w:val="22"/>
          <w:szCs w:val="22"/>
          <w:rtl/>
        </w:rPr>
      </w:pPr>
      <w:r>
        <w:rPr>
          <w:rtl/>
        </w:rPr>
        <w:t xml:space="preserve">דעת הרי"ד </w:t>
      </w:r>
      <w:r>
        <w:rPr>
          <w:rFonts w:hint="cs"/>
          <w:rtl/>
        </w:rPr>
        <w:t>דל</w:t>
      </w:r>
      <w:r>
        <w:rPr>
          <w:rtl/>
        </w:rPr>
        <w:t>רב יוסף</w:t>
      </w:r>
      <w:r>
        <w:rPr>
          <w:rFonts w:hint="cs"/>
          <w:rtl/>
        </w:rPr>
        <w:t xml:space="preserve"> ירא לטעון מיגו</w:t>
      </w:r>
    </w:p>
    <w:p w:rsidR="003B7617" w:rsidRDefault="003B7617" w:rsidP="003B7617">
      <w:pPr>
        <w:pStyle w:val="aff4"/>
        <w:rPr>
          <w:rFonts w:eastAsiaTheme="minorEastAsia" w:cstheme="minorBidi"/>
          <w:i/>
          <w:iCs/>
          <w:noProof/>
          <w:sz w:val="22"/>
          <w:szCs w:val="22"/>
          <w:rtl/>
        </w:rPr>
      </w:pPr>
      <w:r>
        <w:rPr>
          <w:noProof/>
          <w:rtl/>
        </w:rPr>
        <w:t>ביאור פסקי הרי"ד דלרב יוסף ירא לטעון שהשטר טוב ואינו מיגו</w:t>
      </w:r>
    </w:p>
    <w:p w:rsidR="003B7617" w:rsidRDefault="003B7617" w:rsidP="007E4E81">
      <w:pPr>
        <w:pStyle w:val="a"/>
        <w:rPr>
          <w:rFonts w:eastAsiaTheme="minorEastAsia" w:cstheme="minorBidi"/>
          <w:sz w:val="22"/>
          <w:szCs w:val="22"/>
          <w:rtl/>
        </w:rPr>
      </w:pPr>
      <w:r>
        <w:rPr>
          <w:rtl/>
        </w:rPr>
        <w:t>ביאור הרי"ד דמיגו מהני בטענות בע"פ ול"מ מיגו כשהודה בשטר מזויף דירא לטעון שהוא אמת</w:t>
      </w:r>
    </w:p>
    <w:p w:rsidR="003B7617" w:rsidRDefault="003B7617" w:rsidP="007E4E81">
      <w:pPr>
        <w:pStyle w:val="a"/>
        <w:rPr>
          <w:rFonts w:eastAsiaTheme="minorEastAsia" w:cstheme="minorBidi"/>
          <w:sz w:val="22"/>
          <w:szCs w:val="22"/>
          <w:rtl/>
        </w:rPr>
      </w:pPr>
      <w:r>
        <w:rPr>
          <w:rtl/>
        </w:rPr>
        <w:t>ביאור הרי"ד דבההוא ערבא שאינו מזויף ונמחל שעבודו אינו ירא לטעון מיגו דלא יוחזק כפרן</w:t>
      </w:r>
    </w:p>
    <w:p w:rsidR="003B7617" w:rsidRDefault="003B7617" w:rsidP="007E4E81">
      <w:pPr>
        <w:pStyle w:val="a"/>
        <w:rPr>
          <w:rFonts w:eastAsiaTheme="minorEastAsia" w:cstheme="minorBidi"/>
          <w:sz w:val="22"/>
          <w:szCs w:val="22"/>
          <w:rtl/>
        </w:rPr>
      </w:pPr>
      <w:r>
        <w:rPr>
          <w:rtl/>
        </w:rPr>
        <w:t>ביאור הרי"ד דרבה ס"ל דאינו ירא לטעון שהשטר אמת ורב אידי מספקא ליה אי מהני מיגו</w:t>
      </w:r>
    </w:p>
    <w:p w:rsidR="003B7617" w:rsidRDefault="003B7617" w:rsidP="003B7617">
      <w:pPr>
        <w:pStyle w:val="2"/>
        <w:rPr>
          <w:rFonts w:eastAsiaTheme="minorEastAsia" w:cstheme="minorBidi"/>
          <w:i/>
          <w:iCs/>
          <w:sz w:val="22"/>
          <w:szCs w:val="22"/>
          <w:rtl/>
        </w:rPr>
      </w:pPr>
      <w:r>
        <w:rPr>
          <w:rtl/>
        </w:rPr>
        <w:t>ביאורי הרשב"ם והתוס' בפסק רב אידי</w:t>
      </w:r>
    </w:p>
    <w:p w:rsidR="003B7617" w:rsidRDefault="003B7617" w:rsidP="007E4E81">
      <w:pPr>
        <w:pStyle w:val="a"/>
        <w:rPr>
          <w:rFonts w:eastAsiaTheme="minorEastAsia" w:cstheme="minorBidi"/>
          <w:sz w:val="22"/>
          <w:szCs w:val="22"/>
          <w:rtl/>
        </w:rPr>
      </w:pPr>
      <w:r>
        <w:rPr>
          <w:rtl/>
        </w:rPr>
        <w:t>ביאור הרשב"ם דרב אידי מספקא ליה אי מהני מיגו ולכן אמרינן דבקרקע ובזוזי המע"ה</w:t>
      </w:r>
    </w:p>
    <w:p w:rsidR="003B7617" w:rsidRDefault="003B7617" w:rsidP="007E4E81">
      <w:pPr>
        <w:pStyle w:val="a"/>
        <w:rPr>
          <w:rFonts w:eastAsiaTheme="minorEastAsia" w:cstheme="minorBidi"/>
          <w:sz w:val="22"/>
          <w:szCs w:val="22"/>
          <w:rtl/>
        </w:rPr>
      </w:pPr>
      <w:r>
        <w:rPr>
          <w:rtl/>
        </w:rPr>
        <w:t>ביאור התוס' דקיי"ל כרבה בארעא דהוא מיגו להחזיק ובמקום שטר אמרינן אף מיגו להוציא</w:t>
      </w:r>
    </w:p>
    <w:p w:rsidR="003B7617" w:rsidRDefault="003B7617" w:rsidP="003B7617">
      <w:pPr>
        <w:pStyle w:val="2"/>
        <w:rPr>
          <w:rFonts w:eastAsiaTheme="minorEastAsia" w:cstheme="minorBidi"/>
          <w:i/>
          <w:iCs/>
          <w:sz w:val="22"/>
          <w:szCs w:val="22"/>
          <w:rtl/>
        </w:rPr>
      </w:pPr>
      <w:r>
        <w:rPr>
          <w:rtl/>
        </w:rPr>
        <w:t>בי' הריטב"א דא"א לבנות מיגו על שקר</w:t>
      </w:r>
    </w:p>
    <w:p w:rsidR="003B7617" w:rsidRDefault="003B7617" w:rsidP="003B7617">
      <w:pPr>
        <w:pStyle w:val="aff4"/>
        <w:rPr>
          <w:rFonts w:eastAsiaTheme="minorEastAsia" w:cstheme="minorBidi"/>
          <w:i/>
          <w:iCs/>
          <w:noProof/>
          <w:sz w:val="22"/>
          <w:szCs w:val="22"/>
          <w:rtl/>
        </w:rPr>
      </w:pPr>
      <w:r>
        <w:rPr>
          <w:noProof/>
          <w:rtl/>
        </w:rPr>
        <w:t>ביאור הריטב"א דלרב יוסף בהודה ששיקר א"א לבנות ע"ז מיגו</w:t>
      </w:r>
    </w:p>
    <w:p w:rsidR="003B7617" w:rsidRDefault="003B7617" w:rsidP="007E4E81">
      <w:pPr>
        <w:pStyle w:val="a"/>
        <w:rPr>
          <w:rFonts w:eastAsiaTheme="minorEastAsia" w:cstheme="minorBidi"/>
          <w:sz w:val="22"/>
          <w:szCs w:val="22"/>
          <w:rtl/>
        </w:rPr>
      </w:pPr>
      <w:r>
        <w:rPr>
          <w:rtl/>
        </w:rPr>
        <w:t>דברי הריטב"א דלרב יוסף כיון שהוברר שטענת המיגו היא שקר א"א לבנות מיגו על טענה זו</w:t>
      </w:r>
    </w:p>
    <w:p w:rsidR="003B7617" w:rsidRDefault="003B7617" w:rsidP="007E4E81">
      <w:pPr>
        <w:pStyle w:val="a"/>
        <w:rPr>
          <w:rFonts w:eastAsiaTheme="minorEastAsia" w:cstheme="minorBidi"/>
          <w:sz w:val="22"/>
          <w:szCs w:val="22"/>
          <w:rtl/>
        </w:rPr>
      </w:pPr>
      <w:r>
        <w:rPr>
          <w:rtl/>
        </w:rPr>
        <w:t>ביאור הריטב"א בקושית רב יוסף דאחר שהוברר שהשטר חספא א"א לבנות עליו מיגו</w:t>
      </w:r>
    </w:p>
    <w:p w:rsidR="003B7617" w:rsidRDefault="003B7617" w:rsidP="003B7617">
      <w:pPr>
        <w:pStyle w:val="2"/>
        <w:rPr>
          <w:rFonts w:eastAsiaTheme="minorEastAsia" w:cstheme="minorBidi"/>
          <w:i/>
          <w:iCs/>
          <w:sz w:val="22"/>
          <w:szCs w:val="22"/>
          <w:rtl/>
        </w:rPr>
      </w:pPr>
      <w:r>
        <w:rPr>
          <w:rtl/>
        </w:rPr>
        <w:t>קושיות תוס' והראשונים בסברת רב יוסף</w:t>
      </w:r>
    </w:p>
    <w:p w:rsidR="003B7617" w:rsidRDefault="003B7617" w:rsidP="003B7617">
      <w:pPr>
        <w:pStyle w:val="aff4"/>
        <w:rPr>
          <w:rFonts w:eastAsiaTheme="minorEastAsia" w:cstheme="minorBidi"/>
          <w:i/>
          <w:iCs/>
          <w:noProof/>
          <w:sz w:val="22"/>
          <w:szCs w:val="22"/>
          <w:rtl/>
        </w:rPr>
      </w:pPr>
      <w:r>
        <w:rPr>
          <w:noProof/>
          <w:rtl/>
        </w:rPr>
        <w:t>קושיות התוס' והראשונים דאמאי לרב יוסף לא מהני מיגו</w:t>
      </w:r>
    </w:p>
    <w:p w:rsidR="003B7617" w:rsidRDefault="003B7617" w:rsidP="007E4E81">
      <w:pPr>
        <w:pStyle w:val="a"/>
        <w:rPr>
          <w:rFonts w:eastAsiaTheme="minorEastAsia" w:cstheme="minorBidi"/>
          <w:sz w:val="22"/>
          <w:szCs w:val="22"/>
          <w:rtl/>
        </w:rPr>
      </w:pPr>
      <w:r>
        <w:rPr>
          <w:rtl/>
        </w:rPr>
        <w:t>קושית התוס' והרשב"א דאמאי לרב יוסף ל"מ מיגו והא בכל מיגו האמת אינה כטענת המיגו</w:t>
      </w:r>
    </w:p>
    <w:p w:rsidR="003B7617" w:rsidRDefault="003B7617" w:rsidP="007E4E81">
      <w:pPr>
        <w:pStyle w:val="a"/>
        <w:rPr>
          <w:rFonts w:eastAsiaTheme="minorEastAsia" w:cstheme="minorBidi"/>
          <w:sz w:val="22"/>
          <w:szCs w:val="22"/>
          <w:rtl/>
        </w:rPr>
      </w:pPr>
      <w:r>
        <w:rPr>
          <w:rtl/>
        </w:rPr>
        <w:t>קושית הרמב"ן דאמאי לא נאמן בע"פ במיגו שהיה לו שטר והא אף מיגו דמחוסר מעשה מהני</w:t>
      </w:r>
    </w:p>
    <w:p w:rsidR="003B7617" w:rsidRDefault="003B7617" w:rsidP="007E4E81">
      <w:pPr>
        <w:pStyle w:val="a"/>
        <w:rPr>
          <w:rFonts w:eastAsiaTheme="minorEastAsia" w:cstheme="minorBidi"/>
          <w:sz w:val="22"/>
          <w:szCs w:val="22"/>
          <w:rtl/>
        </w:rPr>
      </w:pPr>
      <w:r>
        <w:rPr>
          <w:rtl/>
        </w:rPr>
        <w:t>קושית הריטב"א על רב יוסף דרבה לא העמיד את הקרקע מכח השטר שהוא חספא אלא במיגו</w:t>
      </w:r>
    </w:p>
    <w:p w:rsidR="003B7617" w:rsidRDefault="003B7617" w:rsidP="003B7617">
      <w:pPr>
        <w:pStyle w:val="2"/>
        <w:rPr>
          <w:rFonts w:eastAsiaTheme="minorEastAsia" w:cstheme="minorBidi"/>
          <w:i/>
          <w:iCs/>
          <w:sz w:val="22"/>
          <w:szCs w:val="22"/>
          <w:rtl/>
        </w:rPr>
      </w:pPr>
      <w:r>
        <w:rPr>
          <w:rtl/>
        </w:rPr>
        <w:t>ד' ר"י בתי' הא' דמיגו שודאי שיקר ל"מ</w:t>
      </w:r>
    </w:p>
    <w:p w:rsidR="003B7617" w:rsidRDefault="003B7617" w:rsidP="003B7617">
      <w:pPr>
        <w:pStyle w:val="aff4"/>
        <w:rPr>
          <w:rFonts w:eastAsiaTheme="minorEastAsia" w:cstheme="minorBidi"/>
          <w:i/>
          <w:iCs/>
          <w:noProof/>
          <w:sz w:val="22"/>
          <w:szCs w:val="22"/>
          <w:rtl/>
        </w:rPr>
      </w:pPr>
      <w:r>
        <w:rPr>
          <w:noProof/>
          <w:rtl/>
        </w:rPr>
        <w:t>דברי ר"י בתי' הא' דכל שישקר תחילה ל"מ מיגו לרב יוסף</w:t>
      </w:r>
    </w:p>
    <w:p w:rsidR="003B7617" w:rsidRDefault="003B7617" w:rsidP="007E4E81">
      <w:pPr>
        <w:pStyle w:val="a"/>
        <w:rPr>
          <w:rFonts w:eastAsiaTheme="minorEastAsia" w:cstheme="minorBidi"/>
          <w:sz w:val="22"/>
          <w:szCs w:val="22"/>
          <w:rtl/>
        </w:rPr>
      </w:pPr>
      <w:r>
        <w:rPr>
          <w:rtl/>
        </w:rPr>
        <w:t>הביאור הא' בר"י דס"ל לרב יוסף דמיגו שהוצרך לשקר תחילה לא מהני ורק כשא"צ לשקר נאמן</w:t>
      </w:r>
    </w:p>
    <w:p w:rsidR="003B7617" w:rsidRDefault="003B7617" w:rsidP="007E4E81">
      <w:pPr>
        <w:pStyle w:val="a"/>
        <w:rPr>
          <w:rFonts w:eastAsiaTheme="minorEastAsia" w:cstheme="minorBidi"/>
          <w:sz w:val="22"/>
          <w:szCs w:val="22"/>
          <w:rtl/>
        </w:rPr>
      </w:pPr>
      <w:r>
        <w:rPr>
          <w:rtl/>
        </w:rPr>
        <w:t>ביאור הרא"ש בדברי רב יוסף דכיון שהוא חספא א"א להאמינו יותר ממה ששיקר בתחילה</w:t>
      </w:r>
    </w:p>
    <w:p w:rsidR="003B7617" w:rsidRDefault="003B7617" w:rsidP="007E4E81">
      <w:pPr>
        <w:pStyle w:val="a"/>
        <w:rPr>
          <w:rFonts w:eastAsiaTheme="minorEastAsia" w:cstheme="minorBidi"/>
          <w:sz w:val="22"/>
          <w:szCs w:val="22"/>
          <w:rtl/>
        </w:rPr>
      </w:pPr>
      <w:r>
        <w:rPr>
          <w:rtl/>
        </w:rPr>
        <w:t>דחיית רבינו יונה דכל שזכה בב"ד בטענתו יש לו מיגו אעפ"י שהודה שטען טענת שקר</w:t>
      </w:r>
    </w:p>
    <w:p w:rsidR="003B7617" w:rsidRDefault="003B7617" w:rsidP="007E4E81">
      <w:pPr>
        <w:pStyle w:val="a"/>
        <w:rPr>
          <w:rFonts w:eastAsiaTheme="minorEastAsia" w:cstheme="minorBidi"/>
          <w:sz w:val="22"/>
          <w:szCs w:val="22"/>
          <w:rtl/>
        </w:rPr>
      </w:pPr>
      <w:r>
        <w:rPr>
          <w:rtl/>
        </w:rPr>
        <w:t>קושית רבינו יונה דאי נח' רבה ורב יוסף בדין מיגו א"כ אף בקרקע צריך להעמיד בחזקת המר"ק</w:t>
      </w:r>
    </w:p>
    <w:p w:rsidR="003B7617" w:rsidRDefault="003B7617" w:rsidP="003B7617">
      <w:pPr>
        <w:pStyle w:val="2"/>
        <w:rPr>
          <w:rFonts w:eastAsiaTheme="minorEastAsia" w:cstheme="minorBidi"/>
          <w:i/>
          <w:iCs/>
          <w:sz w:val="22"/>
          <w:szCs w:val="22"/>
          <w:rtl/>
        </w:rPr>
      </w:pPr>
      <w:r>
        <w:rPr>
          <w:rtl/>
        </w:rPr>
        <w:t>ד' ר"י בתי' הב' דחוזר וטוען ול"מ מיגו</w:t>
      </w:r>
    </w:p>
    <w:p w:rsidR="003B7617" w:rsidRDefault="003B7617" w:rsidP="003B7617">
      <w:pPr>
        <w:pStyle w:val="aff4"/>
        <w:rPr>
          <w:rFonts w:eastAsiaTheme="minorEastAsia" w:cstheme="minorBidi"/>
          <w:i/>
          <w:iCs/>
          <w:noProof/>
          <w:sz w:val="22"/>
          <w:szCs w:val="22"/>
          <w:rtl/>
        </w:rPr>
      </w:pPr>
      <w:r>
        <w:rPr>
          <w:noProof/>
          <w:rtl/>
        </w:rPr>
        <w:t>דברי ר"י בתי' הב' דלרב יוסף ל"מ מיגו דהוא חוזר וטוען</w:t>
      </w:r>
    </w:p>
    <w:p w:rsidR="003B7617" w:rsidRDefault="003B7617" w:rsidP="007E4E81">
      <w:pPr>
        <w:pStyle w:val="a"/>
        <w:rPr>
          <w:rFonts w:eastAsiaTheme="minorEastAsia" w:cstheme="minorBidi"/>
          <w:sz w:val="22"/>
          <w:szCs w:val="22"/>
          <w:rtl/>
        </w:rPr>
      </w:pPr>
      <w:r>
        <w:rPr>
          <w:rtl/>
        </w:rPr>
        <w:t>הבי' הב' בר"י דלרב יוסף ל"מ המיגו כיון שהוא חוזר וטוען דטען שיש לו שטר וחזר וטען שאבד</w:t>
      </w:r>
    </w:p>
    <w:p w:rsidR="003B7617" w:rsidRDefault="003B7617" w:rsidP="007E4E81">
      <w:pPr>
        <w:pStyle w:val="a"/>
        <w:rPr>
          <w:rFonts w:eastAsiaTheme="minorEastAsia" w:cstheme="minorBidi"/>
          <w:sz w:val="22"/>
          <w:szCs w:val="22"/>
          <w:rtl/>
        </w:rPr>
      </w:pPr>
      <w:r>
        <w:rPr>
          <w:rtl/>
        </w:rPr>
        <w:t>תי' התוס' הרא"ש דבטענה הראשונה נאמן רק בשטר ובטענה השניה אינו נאמן דהוא חוזר וטוען</w:t>
      </w:r>
    </w:p>
    <w:p w:rsidR="003B7617" w:rsidRDefault="003B7617" w:rsidP="007E4E81">
      <w:pPr>
        <w:pStyle w:val="a"/>
        <w:rPr>
          <w:rFonts w:eastAsiaTheme="minorEastAsia" w:cstheme="minorBidi"/>
          <w:sz w:val="22"/>
          <w:szCs w:val="22"/>
        </w:rPr>
      </w:pPr>
      <w:r>
        <w:rPr>
          <w:rtl/>
        </w:rPr>
        <w:t>דברי הגידו"ת דלב' הביאורים של ר"י אי הודה בתחילה שהוא מזויף וטען שאבד שטרו נאמן</w:t>
      </w:r>
    </w:p>
    <w:p w:rsidR="003B7617" w:rsidRDefault="003B7617" w:rsidP="003B7617">
      <w:pPr>
        <w:pStyle w:val="2"/>
        <w:rPr>
          <w:rFonts w:eastAsiaTheme="minorEastAsia" w:cstheme="minorBidi"/>
          <w:i/>
          <w:iCs/>
          <w:sz w:val="22"/>
          <w:szCs w:val="22"/>
          <w:rtl/>
        </w:rPr>
      </w:pPr>
      <w:r>
        <w:rPr>
          <w:rtl/>
        </w:rPr>
        <w:lastRenderedPageBreak/>
        <w:t>ד' הריב"ם והר"י מגאש דהמיגו להוציא</w:t>
      </w:r>
    </w:p>
    <w:p w:rsidR="003B7617" w:rsidRDefault="003B7617" w:rsidP="003B7617">
      <w:pPr>
        <w:pStyle w:val="aff4"/>
        <w:rPr>
          <w:rFonts w:eastAsiaTheme="minorEastAsia" w:cstheme="minorBidi"/>
          <w:i/>
          <w:iCs/>
          <w:noProof/>
          <w:sz w:val="22"/>
          <w:szCs w:val="22"/>
          <w:rtl/>
        </w:rPr>
      </w:pPr>
      <w:r>
        <w:rPr>
          <w:noProof/>
          <w:rtl/>
        </w:rPr>
        <w:t>דעת הר"י ב"ר מרדכי דלרב יוסף ל"מ מיגו דהוא מיגו להוציא</w:t>
      </w:r>
    </w:p>
    <w:p w:rsidR="003B7617" w:rsidRDefault="003B7617" w:rsidP="007E4E81">
      <w:pPr>
        <w:pStyle w:val="a"/>
        <w:rPr>
          <w:rFonts w:eastAsiaTheme="minorEastAsia" w:cstheme="minorBidi"/>
          <w:sz w:val="22"/>
          <w:szCs w:val="22"/>
          <w:rtl/>
        </w:rPr>
      </w:pPr>
      <w:r>
        <w:rPr>
          <w:rtl/>
        </w:rPr>
        <w:t>תירוץ הריב"ם בתוס' דל"מ מיגו לרב יוסף כיון דהוא מיגו להוציא דהקרקע היא בחזקת המר"ק</w:t>
      </w:r>
    </w:p>
    <w:p w:rsidR="003B7617" w:rsidRDefault="003B7617" w:rsidP="007E4E81">
      <w:pPr>
        <w:pStyle w:val="a"/>
        <w:rPr>
          <w:rFonts w:eastAsiaTheme="minorEastAsia" w:cstheme="minorBidi"/>
          <w:sz w:val="22"/>
          <w:szCs w:val="22"/>
          <w:rtl/>
        </w:rPr>
      </w:pPr>
      <w:r>
        <w:rPr>
          <w:rtl/>
        </w:rPr>
        <w:t>דברי הריב"ם דמהני מיגו להחזיק ממון או כשיש לו שטר וחזקה והמערער בא לפסול ראייתו</w:t>
      </w:r>
    </w:p>
    <w:p w:rsidR="003B7617" w:rsidRDefault="003B7617" w:rsidP="003B7617">
      <w:pPr>
        <w:pStyle w:val="aff4"/>
        <w:rPr>
          <w:rFonts w:eastAsiaTheme="minorEastAsia" w:cstheme="minorBidi"/>
          <w:i/>
          <w:iCs/>
          <w:noProof/>
          <w:sz w:val="22"/>
          <w:szCs w:val="22"/>
          <w:rtl/>
        </w:rPr>
      </w:pPr>
      <w:r>
        <w:rPr>
          <w:noProof/>
          <w:rtl/>
        </w:rPr>
        <w:t>דעת הריב"ם בב"מ דלרבה מיגו דאי בעי שתיק מהני להוציא</w:t>
      </w:r>
    </w:p>
    <w:p w:rsidR="003B7617" w:rsidRDefault="003B7617" w:rsidP="007E4E81">
      <w:pPr>
        <w:pStyle w:val="a"/>
        <w:rPr>
          <w:rFonts w:eastAsiaTheme="minorEastAsia" w:cstheme="minorBidi"/>
          <w:sz w:val="22"/>
          <w:szCs w:val="22"/>
          <w:rtl/>
        </w:rPr>
      </w:pPr>
      <w:r>
        <w:rPr>
          <w:rtl/>
        </w:rPr>
        <w:t>ביאור הריב"ם בתוס' בב"מ דלרבה מהני מיגו להוציא דהוא מיגו דאי בעי שתיק ולא היה מודה</w:t>
      </w:r>
    </w:p>
    <w:p w:rsidR="003B7617" w:rsidRDefault="003B7617" w:rsidP="007E4E81">
      <w:pPr>
        <w:pStyle w:val="a"/>
        <w:rPr>
          <w:rFonts w:eastAsiaTheme="minorEastAsia" w:cstheme="minorBidi"/>
          <w:sz w:val="22"/>
          <w:szCs w:val="22"/>
          <w:rtl/>
        </w:rPr>
      </w:pPr>
      <w:r>
        <w:rPr>
          <w:rtl/>
        </w:rPr>
        <w:t>ביאור החת"ס בריב"ם בב"מ דלרב יוסף אי כיון שהוצרך לשקר לא חשיב מיגו דאי בעי שתיק</w:t>
      </w:r>
    </w:p>
    <w:p w:rsidR="003B7617" w:rsidRDefault="003B7617" w:rsidP="007E4E81">
      <w:pPr>
        <w:pStyle w:val="a"/>
        <w:rPr>
          <w:rFonts w:eastAsiaTheme="minorEastAsia" w:cstheme="minorBidi"/>
          <w:sz w:val="22"/>
          <w:szCs w:val="22"/>
          <w:rtl/>
        </w:rPr>
      </w:pPr>
      <w:r w:rsidRPr="0059749D">
        <w:rPr>
          <w:rtl/>
        </w:rPr>
        <w:t xml:space="preserve">ציון הגרעק"א למשמעות </w:t>
      </w:r>
      <w:r>
        <w:rPr>
          <w:rtl/>
        </w:rPr>
        <w:t>דברי התוס' בב"מ דלרבה מהני מיגו להוציא</w:t>
      </w:r>
    </w:p>
    <w:p w:rsidR="003B7617" w:rsidRDefault="003B7617" w:rsidP="003B7617">
      <w:pPr>
        <w:pStyle w:val="aff4"/>
        <w:rPr>
          <w:rFonts w:eastAsiaTheme="minorEastAsia" w:cstheme="minorBidi"/>
          <w:i/>
          <w:iCs/>
          <w:noProof/>
          <w:sz w:val="22"/>
          <w:szCs w:val="22"/>
          <w:rtl/>
        </w:rPr>
      </w:pPr>
      <w:r>
        <w:rPr>
          <w:noProof/>
          <w:rtl/>
        </w:rPr>
        <w:t>דברי הר"י מגאש דלהלכה קיי"ל דמיגו להוציא לא אמרינן</w:t>
      </w:r>
    </w:p>
    <w:p w:rsidR="003B7617" w:rsidRDefault="003B7617" w:rsidP="007E4E81">
      <w:pPr>
        <w:pStyle w:val="a"/>
        <w:rPr>
          <w:rFonts w:eastAsiaTheme="minorEastAsia" w:cstheme="minorBidi"/>
          <w:sz w:val="22"/>
          <w:szCs w:val="22"/>
          <w:rtl/>
        </w:rPr>
      </w:pPr>
      <w:r>
        <w:rPr>
          <w:rtl/>
        </w:rPr>
        <w:t>דברי הר"י מגאש דקיי"ל כרבה בארעא וכרב יוסף בזוזי דמיגו להוציא ל"מ והקרקע תח"י</w:t>
      </w:r>
    </w:p>
    <w:p w:rsidR="003B7617" w:rsidRDefault="003B7617" w:rsidP="007E4E81">
      <w:pPr>
        <w:pStyle w:val="a"/>
        <w:rPr>
          <w:rFonts w:eastAsiaTheme="minorEastAsia" w:cstheme="minorBidi"/>
          <w:sz w:val="22"/>
          <w:szCs w:val="22"/>
          <w:rtl/>
        </w:rPr>
      </w:pPr>
      <w:r>
        <w:rPr>
          <w:rtl/>
        </w:rPr>
        <w:t>דברי היד רמ"ה דל"מ מיגו להוציא מהמחזיק שהקרקע בידו אעפ"י דקרקע בחזקת בעליה</w:t>
      </w:r>
    </w:p>
    <w:p w:rsidR="003B7617" w:rsidRDefault="003B7617" w:rsidP="007E4E81">
      <w:pPr>
        <w:pStyle w:val="a"/>
        <w:rPr>
          <w:rFonts w:eastAsiaTheme="minorEastAsia" w:cstheme="minorBidi"/>
          <w:sz w:val="22"/>
          <w:szCs w:val="22"/>
          <w:rtl/>
        </w:rPr>
      </w:pPr>
      <w:r>
        <w:rPr>
          <w:rtl/>
        </w:rPr>
        <w:t>דחיית ר"י והראשונים דלא משמע בגמ' דטעמא דרב יוסף הוא דלא מהני מיגו להוציא</w:t>
      </w:r>
    </w:p>
    <w:p w:rsidR="003B7617" w:rsidRDefault="003B7617" w:rsidP="007E4E81">
      <w:pPr>
        <w:pStyle w:val="a"/>
        <w:rPr>
          <w:rFonts w:eastAsiaTheme="minorEastAsia" w:cstheme="minorBidi"/>
          <w:sz w:val="22"/>
          <w:szCs w:val="22"/>
          <w:rtl/>
        </w:rPr>
      </w:pPr>
      <w:r>
        <w:rPr>
          <w:rtl/>
        </w:rPr>
        <w:t>ביאור הרא"ש בריב"ם דכוונת רב יוסף דהשטר חספא ואינו מוחזק בקרקע ולכן הוי מיגו להוציא</w:t>
      </w:r>
    </w:p>
    <w:p w:rsidR="003B7617" w:rsidRDefault="003B7617" w:rsidP="003B7617">
      <w:pPr>
        <w:pStyle w:val="aff4"/>
        <w:rPr>
          <w:rFonts w:eastAsiaTheme="minorEastAsia" w:cstheme="minorBidi"/>
          <w:i/>
          <w:iCs/>
          <w:noProof/>
          <w:sz w:val="22"/>
          <w:szCs w:val="22"/>
          <w:rtl/>
        </w:rPr>
      </w:pPr>
      <w:r>
        <w:rPr>
          <w:noProof/>
          <w:rtl/>
        </w:rPr>
        <w:t>ביאורי הרמב"ן ורבינו יונה והרשב"א בדברי הר"י מגאש</w:t>
      </w:r>
    </w:p>
    <w:p w:rsidR="003B7617" w:rsidRDefault="003B7617" w:rsidP="007E4E81">
      <w:pPr>
        <w:pStyle w:val="a"/>
        <w:rPr>
          <w:rFonts w:eastAsiaTheme="minorEastAsia" w:cstheme="minorBidi"/>
          <w:sz w:val="22"/>
          <w:szCs w:val="22"/>
          <w:rtl/>
        </w:rPr>
      </w:pPr>
      <w:r>
        <w:rPr>
          <w:rtl/>
        </w:rPr>
        <w:t>ביאור הרמב"ן בר"י מגאש דלרבה מהני מיגו להוציא וקיי"ל כרבה בארעא דהמחזיק תפוס בה</w:t>
      </w:r>
    </w:p>
    <w:p w:rsidR="003B7617" w:rsidRDefault="003B7617" w:rsidP="007E4E81">
      <w:pPr>
        <w:pStyle w:val="a"/>
        <w:rPr>
          <w:rFonts w:eastAsiaTheme="minorEastAsia" w:cstheme="minorBidi"/>
          <w:sz w:val="22"/>
          <w:szCs w:val="22"/>
          <w:rtl/>
        </w:rPr>
      </w:pPr>
      <w:r>
        <w:rPr>
          <w:rtl/>
        </w:rPr>
        <w:t>דברי רבינו יונה והרשב"א דקיי"ל כרבה בארעא דלא מחוסרת גוביינא  אך זוזי מחוסרים גוביינא</w:t>
      </w:r>
    </w:p>
    <w:p w:rsidR="003B7617" w:rsidRDefault="003B7617" w:rsidP="007E4E81">
      <w:pPr>
        <w:pStyle w:val="a"/>
        <w:rPr>
          <w:rFonts w:eastAsiaTheme="minorEastAsia" w:cstheme="minorBidi"/>
          <w:sz w:val="22"/>
          <w:szCs w:val="22"/>
        </w:rPr>
      </w:pPr>
      <w:r w:rsidRPr="00830F3F">
        <w:rPr>
          <w:rtl/>
        </w:rPr>
        <w:t xml:space="preserve">הבי' הב' ברמב"ן דיש לו חזקה ולר"י בנפסל השטר בטלה חזקתו וקיי"ל דבהודאת עצמו לא בטל </w:t>
      </w:r>
    </w:p>
    <w:p w:rsidR="003B7617" w:rsidRDefault="003B7617" w:rsidP="007E4E81">
      <w:pPr>
        <w:pStyle w:val="a"/>
        <w:rPr>
          <w:rFonts w:eastAsiaTheme="minorEastAsia" w:cstheme="minorBidi"/>
          <w:sz w:val="22"/>
          <w:szCs w:val="22"/>
          <w:rtl/>
        </w:rPr>
      </w:pPr>
      <w:r w:rsidRPr="00830F3F">
        <w:rPr>
          <w:rtl/>
        </w:rPr>
        <w:t>ד</w:t>
      </w:r>
      <w:r>
        <w:rPr>
          <w:rtl/>
        </w:rPr>
        <w:t>חיית הרמב"ן דאי יש לו חזקה אף שבטלה טענתו מחמת עצמה מ"מ לא חשיב כמיגו להוציא</w:t>
      </w:r>
    </w:p>
    <w:p w:rsidR="003B7617" w:rsidRDefault="003B7617" w:rsidP="003B7617">
      <w:pPr>
        <w:pStyle w:val="aff4"/>
        <w:rPr>
          <w:rFonts w:eastAsiaTheme="minorEastAsia" w:cstheme="minorBidi"/>
          <w:i/>
          <w:iCs/>
          <w:noProof/>
          <w:sz w:val="22"/>
          <w:szCs w:val="22"/>
          <w:rtl/>
        </w:rPr>
      </w:pPr>
      <w:r>
        <w:rPr>
          <w:noProof/>
          <w:rtl/>
        </w:rPr>
        <w:t>ראיות וקושיות הראשונים אי מיגו להוציא אמרינן או לא</w:t>
      </w:r>
    </w:p>
    <w:p w:rsidR="003B7617" w:rsidRDefault="003B7617" w:rsidP="007E4E81">
      <w:pPr>
        <w:pStyle w:val="a"/>
        <w:rPr>
          <w:rFonts w:eastAsiaTheme="minorEastAsia" w:cstheme="minorBidi"/>
          <w:sz w:val="22"/>
          <w:szCs w:val="22"/>
          <w:rtl/>
        </w:rPr>
      </w:pPr>
      <w:r>
        <w:rPr>
          <w:rtl/>
        </w:rPr>
        <w:t>דברי הר"י מגאש והריב"ם בב"מ דמהא דבטוען חציה שלי ל"מ מיגו מוכח דמיגו להוציא ל"א</w:t>
      </w:r>
    </w:p>
    <w:p w:rsidR="003B7617" w:rsidRDefault="003B7617" w:rsidP="007E4E81">
      <w:pPr>
        <w:pStyle w:val="a"/>
        <w:rPr>
          <w:rFonts w:eastAsiaTheme="minorEastAsia" w:cstheme="minorBidi"/>
          <w:sz w:val="22"/>
          <w:szCs w:val="22"/>
          <w:rtl/>
        </w:rPr>
      </w:pPr>
      <w:r>
        <w:rPr>
          <w:rtl/>
        </w:rPr>
        <w:t>קושית הרמב"ן דא"כ היאך יפרש רבה את המשנה וביאר דל"מ מיגו לזכות יותר מטענת המיגו</w:t>
      </w:r>
    </w:p>
    <w:p w:rsidR="003B7617" w:rsidRDefault="003B7617" w:rsidP="007E4E81">
      <w:pPr>
        <w:pStyle w:val="a"/>
        <w:rPr>
          <w:rFonts w:eastAsiaTheme="minorEastAsia" w:cstheme="minorBidi"/>
          <w:sz w:val="22"/>
          <w:szCs w:val="22"/>
          <w:rtl/>
        </w:rPr>
      </w:pPr>
      <w:r>
        <w:rPr>
          <w:rtl/>
        </w:rPr>
        <w:t>תירוץ רבינו יונה והר"ן דבאומר חציה שלי לא מהני מיגו דלא מהני מיגו מממון לממון</w:t>
      </w:r>
    </w:p>
    <w:p w:rsidR="003B7617" w:rsidRDefault="003B7617" w:rsidP="007E4E81">
      <w:pPr>
        <w:pStyle w:val="a"/>
        <w:rPr>
          <w:rFonts w:eastAsiaTheme="minorEastAsia" w:cstheme="minorBidi"/>
          <w:sz w:val="22"/>
          <w:szCs w:val="22"/>
          <w:rtl/>
        </w:rPr>
      </w:pPr>
      <w:r>
        <w:rPr>
          <w:rtl/>
        </w:rPr>
        <w:t>ביאור הרמב"ן דבסטראי נאמן על מה שגבה מהלוה שהוא בידו ואינו נאמן להוציא ע"י המיגו</w:t>
      </w:r>
    </w:p>
    <w:p w:rsidR="003B7617" w:rsidRDefault="003B7617" w:rsidP="007E4E81">
      <w:pPr>
        <w:pStyle w:val="a"/>
        <w:rPr>
          <w:rFonts w:eastAsiaTheme="minorEastAsia" w:cstheme="minorBidi"/>
          <w:sz w:val="22"/>
          <w:szCs w:val="22"/>
          <w:rtl/>
        </w:rPr>
      </w:pPr>
      <w:r>
        <w:rPr>
          <w:rtl/>
        </w:rPr>
        <w:t>קושיות הרמב"ן דבדין מוכת עץ ובספק ג"ש או ה' שנים במשכנתא מוכח דמהני מיגו להוציא</w:t>
      </w:r>
    </w:p>
    <w:p w:rsidR="003B7617" w:rsidRDefault="003B7617" w:rsidP="007E4E81">
      <w:pPr>
        <w:pStyle w:val="a"/>
        <w:rPr>
          <w:rFonts w:eastAsiaTheme="minorEastAsia" w:cstheme="minorBidi"/>
          <w:sz w:val="22"/>
          <w:szCs w:val="22"/>
          <w:rtl/>
        </w:rPr>
      </w:pPr>
      <w:r>
        <w:rPr>
          <w:rtl/>
        </w:rPr>
        <w:t>קושיות הרי"ד דבההוא ערבא מוכח דמהני מיגו להוציא וכן מוכח בגמ' לקמן ובגמ' בב"מ</w:t>
      </w:r>
    </w:p>
    <w:p w:rsidR="003B7617" w:rsidRDefault="003B7617" w:rsidP="003B7617">
      <w:pPr>
        <w:pStyle w:val="2"/>
        <w:rPr>
          <w:rFonts w:eastAsiaTheme="minorEastAsia" w:cstheme="minorBidi"/>
          <w:i/>
          <w:iCs/>
          <w:sz w:val="22"/>
          <w:szCs w:val="22"/>
          <w:rtl/>
        </w:rPr>
      </w:pPr>
      <w:r>
        <w:rPr>
          <w:rtl/>
        </w:rPr>
        <w:t>ד' רבינו יונה דבשטר המיגו הוא להחזיק</w:t>
      </w:r>
    </w:p>
    <w:p w:rsidR="003B7617" w:rsidRDefault="003B7617" w:rsidP="003B7617">
      <w:pPr>
        <w:pStyle w:val="aff4"/>
        <w:rPr>
          <w:rFonts w:eastAsiaTheme="minorEastAsia" w:cstheme="minorBidi"/>
          <w:i/>
          <w:iCs/>
          <w:noProof/>
          <w:sz w:val="22"/>
          <w:szCs w:val="22"/>
          <w:rtl/>
        </w:rPr>
      </w:pPr>
      <w:r>
        <w:rPr>
          <w:noProof/>
          <w:rtl/>
        </w:rPr>
        <w:t>דברי רבינו יונה והרשב"א דלרבה בשטר חשיב מיגו להחזיק</w:t>
      </w:r>
    </w:p>
    <w:p w:rsidR="003B7617" w:rsidRDefault="003B7617" w:rsidP="007E4E81">
      <w:pPr>
        <w:pStyle w:val="a"/>
        <w:rPr>
          <w:rFonts w:eastAsiaTheme="minorEastAsia" w:cstheme="minorBidi"/>
          <w:sz w:val="22"/>
          <w:szCs w:val="22"/>
          <w:rtl/>
        </w:rPr>
      </w:pPr>
      <w:r>
        <w:rPr>
          <w:rtl/>
        </w:rPr>
        <w:t>דברי רבינו יונה דלרבה כשזכה בדין ע"י השטר חשיב כמוחזק בקרקע ובמעות והוא מיגו להחזיק</w:t>
      </w:r>
    </w:p>
    <w:p w:rsidR="003B7617" w:rsidRDefault="003B7617" w:rsidP="007E4E81">
      <w:pPr>
        <w:pStyle w:val="a"/>
        <w:rPr>
          <w:rFonts w:eastAsiaTheme="minorEastAsia" w:cstheme="minorBidi"/>
          <w:sz w:val="22"/>
          <w:szCs w:val="22"/>
          <w:rtl/>
        </w:rPr>
      </w:pPr>
      <w:r>
        <w:rPr>
          <w:rtl/>
        </w:rPr>
        <w:t>ביאור הרשב"א בר"י מגאש דמודה רבה דל"א מיגו להוציא וס"ל דבקרקע ובשטר חשיב להחזיק</w:t>
      </w:r>
    </w:p>
    <w:p w:rsidR="003B7617" w:rsidRDefault="003B7617" w:rsidP="007E4E81">
      <w:pPr>
        <w:pStyle w:val="a"/>
        <w:rPr>
          <w:rFonts w:eastAsiaTheme="minorEastAsia" w:cstheme="minorBidi"/>
          <w:sz w:val="22"/>
          <w:szCs w:val="22"/>
          <w:rtl/>
        </w:rPr>
      </w:pPr>
      <w:r>
        <w:rPr>
          <w:rtl/>
        </w:rPr>
        <w:t>ביאור רבינו יונה דבסטראי לא חשיב מיגו להוציא כיון שיש לו שטר ולכן נאמן במיגו</w:t>
      </w:r>
    </w:p>
    <w:p w:rsidR="003B7617" w:rsidRDefault="003B7617" w:rsidP="007E4E81">
      <w:pPr>
        <w:pStyle w:val="a"/>
        <w:rPr>
          <w:rFonts w:eastAsiaTheme="minorEastAsia" w:cstheme="minorBidi"/>
          <w:sz w:val="22"/>
          <w:szCs w:val="22"/>
          <w:rtl/>
        </w:rPr>
      </w:pPr>
      <w:r>
        <w:rPr>
          <w:rtl/>
        </w:rPr>
        <w:t>דברי רבינו יונה דלרב יוסף כשהודה דהשטר מזויף בטלה זכותו וחזקתו בקרקע והמיגו להוציא</w:t>
      </w:r>
    </w:p>
    <w:p w:rsidR="003B7617" w:rsidRDefault="003B7617" w:rsidP="007E4E81">
      <w:pPr>
        <w:pStyle w:val="a"/>
        <w:rPr>
          <w:rFonts w:eastAsiaTheme="minorEastAsia" w:cstheme="minorBidi"/>
          <w:sz w:val="22"/>
          <w:szCs w:val="22"/>
          <w:rtl/>
        </w:rPr>
      </w:pPr>
      <w:r>
        <w:rPr>
          <w:rtl/>
        </w:rPr>
        <w:t>ביאור רבינו יונה דבקרקע זכה בדין בתחילה וא"צ גוביינא ואף שהודה לא איבד את חזקתו</w:t>
      </w:r>
    </w:p>
    <w:p w:rsidR="003B7617" w:rsidRDefault="003B7617" w:rsidP="007E4E81">
      <w:pPr>
        <w:pStyle w:val="a"/>
        <w:rPr>
          <w:rFonts w:eastAsiaTheme="minorEastAsia" w:cstheme="minorBidi"/>
          <w:sz w:val="22"/>
          <w:szCs w:val="22"/>
          <w:rtl/>
        </w:rPr>
      </w:pPr>
      <w:r>
        <w:rPr>
          <w:rtl/>
        </w:rPr>
        <w:t>ביאור רבינו יונה דבזוזי אף שזכה בדין ע"י השטר מ"מ מחוסרי גוביינא וכשהודה בטלה חזקתו</w:t>
      </w:r>
    </w:p>
    <w:p w:rsidR="003B7617" w:rsidRDefault="003B7617" w:rsidP="007E4E81">
      <w:pPr>
        <w:pStyle w:val="a"/>
        <w:rPr>
          <w:rFonts w:eastAsiaTheme="minorEastAsia" w:cstheme="minorBidi"/>
          <w:sz w:val="22"/>
          <w:szCs w:val="22"/>
          <w:rtl/>
        </w:rPr>
      </w:pPr>
      <w:r>
        <w:rPr>
          <w:rtl/>
        </w:rPr>
        <w:t>דברי רבינו יונה דרק באמנה שהבעלים החזיקו בקרקע נעשה מוחזק ע"י השטר ולא במזויף ממש</w:t>
      </w:r>
    </w:p>
    <w:p w:rsidR="003B7617" w:rsidRDefault="003B7617" w:rsidP="007E4E81">
      <w:pPr>
        <w:pStyle w:val="a"/>
        <w:rPr>
          <w:rFonts w:eastAsiaTheme="minorEastAsia" w:cstheme="minorBidi"/>
          <w:sz w:val="22"/>
          <w:szCs w:val="22"/>
          <w:rtl/>
        </w:rPr>
      </w:pPr>
      <w:r>
        <w:rPr>
          <w:rtl/>
        </w:rPr>
        <w:t>דברי רבינו יונה דבההוא ערבא מספקא לרב אידי אי כיון שהניח שטר בידו חשיב למוחזק</w:t>
      </w:r>
    </w:p>
    <w:p w:rsidR="003B7617" w:rsidRDefault="003B7617" w:rsidP="003B7617">
      <w:pPr>
        <w:pStyle w:val="2"/>
        <w:rPr>
          <w:rFonts w:eastAsiaTheme="minorEastAsia" w:cstheme="minorBidi"/>
          <w:i/>
          <w:iCs/>
          <w:sz w:val="22"/>
          <w:szCs w:val="22"/>
          <w:rtl/>
        </w:rPr>
      </w:pPr>
      <w:r>
        <w:rPr>
          <w:rtl/>
        </w:rPr>
        <w:t>ד</w:t>
      </w:r>
      <w:r>
        <w:rPr>
          <w:rFonts w:hint="cs"/>
          <w:rtl/>
        </w:rPr>
        <w:t>'</w:t>
      </w:r>
      <w:r>
        <w:rPr>
          <w:rtl/>
        </w:rPr>
        <w:t xml:space="preserve"> הרמב"ן והרשב"א</w:t>
      </w:r>
      <w:r>
        <w:rPr>
          <w:rFonts w:hint="cs"/>
          <w:rtl/>
        </w:rPr>
        <w:t xml:space="preserve"> דהשטר לא מקוים</w:t>
      </w:r>
    </w:p>
    <w:p w:rsidR="003B7617" w:rsidRDefault="003B7617" w:rsidP="003B7617">
      <w:pPr>
        <w:pStyle w:val="aff4"/>
        <w:rPr>
          <w:rFonts w:eastAsiaTheme="minorEastAsia" w:cstheme="minorBidi"/>
          <w:i/>
          <w:iCs/>
          <w:noProof/>
          <w:sz w:val="22"/>
          <w:szCs w:val="22"/>
          <w:rtl/>
        </w:rPr>
      </w:pPr>
      <w:r>
        <w:rPr>
          <w:noProof/>
          <w:rtl/>
        </w:rPr>
        <w:t>דברי הרמב"ן דנח' אי נזקקין לקיים שטר כדי שיהיה לו מיגו</w:t>
      </w:r>
    </w:p>
    <w:p w:rsidR="003B7617" w:rsidRDefault="003B7617" w:rsidP="007E4E81">
      <w:pPr>
        <w:pStyle w:val="a"/>
        <w:rPr>
          <w:rFonts w:eastAsiaTheme="minorEastAsia" w:cstheme="minorBidi"/>
          <w:sz w:val="22"/>
          <w:szCs w:val="22"/>
          <w:rtl/>
        </w:rPr>
      </w:pPr>
      <w:r>
        <w:rPr>
          <w:rtl/>
        </w:rPr>
        <w:t>דברי הרמב"ן דהשטר לא מקויים ולרבה כל שיכול לקיימו בין באמנה ובין במזויף נאמן במיגו</w:t>
      </w:r>
    </w:p>
    <w:p w:rsidR="003B7617" w:rsidRDefault="003B7617" w:rsidP="007E4E81">
      <w:pPr>
        <w:pStyle w:val="a"/>
        <w:rPr>
          <w:rFonts w:eastAsiaTheme="minorEastAsia" w:cstheme="minorBidi"/>
          <w:sz w:val="22"/>
          <w:szCs w:val="22"/>
          <w:rtl/>
        </w:rPr>
      </w:pPr>
      <w:r>
        <w:rPr>
          <w:rtl/>
        </w:rPr>
        <w:t>ביאור הרמב"ן והרשב"א דלרב יוסף כל שאינו מקויים אין נזקקין לקיימו בכדי שיהיה נאמן</w:t>
      </w:r>
    </w:p>
    <w:p w:rsidR="003B7617" w:rsidRDefault="003B7617" w:rsidP="007E4E81">
      <w:pPr>
        <w:pStyle w:val="a"/>
        <w:rPr>
          <w:rFonts w:eastAsiaTheme="minorEastAsia" w:cstheme="minorBidi"/>
          <w:sz w:val="22"/>
          <w:szCs w:val="22"/>
          <w:rtl/>
        </w:rPr>
      </w:pPr>
      <w:r>
        <w:rPr>
          <w:rtl/>
        </w:rPr>
        <w:t>דברי הרמב"ן דקי"ל שאין עושים מעשה ודברי הרשב"א דכיון שיושב בה הב"ד נזקקין לקיימו</w:t>
      </w:r>
    </w:p>
    <w:p w:rsidR="003B7617" w:rsidRDefault="003B7617" w:rsidP="007E4E81">
      <w:pPr>
        <w:pStyle w:val="a"/>
        <w:rPr>
          <w:rFonts w:eastAsiaTheme="minorEastAsia" w:cstheme="minorBidi"/>
          <w:sz w:val="22"/>
          <w:szCs w:val="22"/>
          <w:rtl/>
        </w:rPr>
      </w:pPr>
      <w:r>
        <w:rPr>
          <w:rtl/>
        </w:rPr>
        <w:t>תי' הרשב"א דאף שנפסל השטר לא בטלה החזקה כיון שהודה או דרק בשטר מכר בטלה החזקה</w:t>
      </w:r>
    </w:p>
    <w:p w:rsidR="003B7617" w:rsidRDefault="003B7617" w:rsidP="007E4E81">
      <w:pPr>
        <w:pStyle w:val="a"/>
        <w:rPr>
          <w:rFonts w:eastAsiaTheme="minorEastAsia" w:cstheme="minorBidi"/>
          <w:sz w:val="22"/>
          <w:szCs w:val="22"/>
          <w:rtl/>
        </w:rPr>
      </w:pPr>
      <w:r>
        <w:rPr>
          <w:rtl/>
        </w:rPr>
        <w:t>ביאור הרמב"ן דהגמ' בכתובות דפוחתת כתובתה לא גובה בכתובת אמנה היינו דקיי"ל כרב יוסף</w:t>
      </w:r>
    </w:p>
    <w:p w:rsidR="003B7617" w:rsidRDefault="003B7617" w:rsidP="007E4E81">
      <w:pPr>
        <w:pStyle w:val="a"/>
        <w:rPr>
          <w:rFonts w:eastAsiaTheme="minorEastAsia" w:cstheme="minorBidi"/>
          <w:sz w:val="22"/>
          <w:szCs w:val="22"/>
          <w:rtl/>
        </w:rPr>
      </w:pPr>
      <w:r>
        <w:rPr>
          <w:rtl/>
        </w:rPr>
        <w:t>הביאור הב' ברמב"ן דבפוחתת כתובתה במודה שהיא מזויפת לכו"ע לא נאמנת במיגו</w:t>
      </w:r>
    </w:p>
    <w:p w:rsidR="003B7617" w:rsidRDefault="003B7617" w:rsidP="003B7617">
      <w:pPr>
        <w:pStyle w:val="aff4"/>
        <w:rPr>
          <w:rFonts w:eastAsiaTheme="minorEastAsia" w:cstheme="minorBidi"/>
          <w:i/>
          <w:iCs/>
          <w:noProof/>
          <w:sz w:val="22"/>
          <w:szCs w:val="22"/>
          <w:rtl/>
        </w:rPr>
      </w:pPr>
      <w:r>
        <w:rPr>
          <w:noProof/>
          <w:rtl/>
        </w:rPr>
        <w:t xml:space="preserve">ביאורי המ"מ והקצוה"ח ברמב"ן </w:t>
      </w:r>
      <w:r>
        <w:rPr>
          <w:rFonts w:hint="cs"/>
          <w:noProof/>
          <w:rtl/>
        </w:rPr>
        <w:t>באופן ש</w:t>
      </w:r>
      <w:r>
        <w:rPr>
          <w:noProof/>
          <w:rtl/>
        </w:rPr>
        <w:t>קיים את השטר</w:t>
      </w:r>
    </w:p>
    <w:p w:rsidR="003B7617" w:rsidRDefault="003B7617" w:rsidP="007E4E81">
      <w:pPr>
        <w:pStyle w:val="a"/>
        <w:rPr>
          <w:rFonts w:eastAsiaTheme="minorEastAsia" w:cstheme="minorBidi"/>
          <w:sz w:val="22"/>
          <w:szCs w:val="22"/>
          <w:rtl/>
        </w:rPr>
      </w:pPr>
      <w:r>
        <w:rPr>
          <w:rtl/>
        </w:rPr>
        <w:t>בי' המ"מ ברמב"ן וברשב"א דאם לאחר שהודה קיים את השטר אינו גובה בו דלא היה לו מיגו</w:t>
      </w:r>
    </w:p>
    <w:p w:rsidR="003B7617" w:rsidRDefault="003B7617" w:rsidP="007E4E81">
      <w:pPr>
        <w:pStyle w:val="a"/>
        <w:rPr>
          <w:rFonts w:eastAsiaTheme="minorEastAsia" w:cstheme="minorBidi"/>
          <w:sz w:val="22"/>
          <w:szCs w:val="22"/>
          <w:rtl/>
        </w:rPr>
      </w:pPr>
      <w:r>
        <w:rPr>
          <w:rtl/>
        </w:rPr>
        <w:t>דברי הקצוה"ח דמבואר ברמב"ן דאם עבר הדיין וקיים התברר שיש לו מיגו ונאמן אף לרב יוסף</w:t>
      </w:r>
    </w:p>
    <w:p w:rsidR="003B7617" w:rsidRDefault="003B7617" w:rsidP="003B7617">
      <w:pPr>
        <w:pStyle w:val="aff4"/>
        <w:rPr>
          <w:rFonts w:eastAsiaTheme="minorEastAsia" w:cstheme="minorBidi"/>
          <w:i/>
          <w:iCs/>
          <w:noProof/>
          <w:sz w:val="22"/>
          <w:szCs w:val="22"/>
          <w:rtl/>
        </w:rPr>
      </w:pPr>
      <w:r>
        <w:rPr>
          <w:noProof/>
          <w:rtl/>
        </w:rPr>
        <w:t>קושיות הגידו"ת על הרמב"ן דבאינו מקוים ל"מ מיגו</w:t>
      </w:r>
    </w:p>
    <w:p w:rsidR="003B7617" w:rsidRDefault="003B7617" w:rsidP="007E4E81">
      <w:pPr>
        <w:pStyle w:val="a"/>
        <w:rPr>
          <w:rFonts w:eastAsiaTheme="minorEastAsia" w:cstheme="minorBidi"/>
          <w:sz w:val="22"/>
          <w:szCs w:val="22"/>
          <w:rtl/>
        </w:rPr>
      </w:pPr>
      <w:r>
        <w:rPr>
          <w:rtl/>
        </w:rPr>
        <w:t>קושית הגידו"ת על ביאור המ"מ ברמב"ן וברשב"א דאי אינו מקוים אמאי קיי"ל כרבה בארעא</w:t>
      </w:r>
    </w:p>
    <w:p w:rsidR="003B7617" w:rsidRDefault="003B7617" w:rsidP="007E4E81">
      <w:pPr>
        <w:pStyle w:val="a"/>
        <w:rPr>
          <w:rFonts w:eastAsiaTheme="minorEastAsia" w:cstheme="minorBidi"/>
          <w:sz w:val="22"/>
          <w:szCs w:val="22"/>
          <w:rtl/>
        </w:rPr>
      </w:pPr>
      <w:r>
        <w:rPr>
          <w:rtl/>
        </w:rPr>
        <w:t>דברי הגידו"ת דלרמב"ן נאמן במיגו להוציא וא"כ כשאינו מקוים אינו נאמן אף במיגו להחזיק</w:t>
      </w:r>
    </w:p>
    <w:p w:rsidR="003B7617" w:rsidRDefault="003B7617" w:rsidP="007E4E81">
      <w:pPr>
        <w:pStyle w:val="a"/>
        <w:rPr>
          <w:rFonts w:eastAsiaTheme="minorEastAsia" w:cstheme="minorBidi"/>
          <w:sz w:val="22"/>
          <w:szCs w:val="22"/>
          <w:rtl/>
        </w:rPr>
      </w:pPr>
      <w:r>
        <w:rPr>
          <w:rtl/>
        </w:rPr>
        <w:t>קושית הגידו"ת דאמאי קיי"ל כרב יוסף בזוזי הא אינו נאמן דאין לו מיגו אף אם היה מוחזק</w:t>
      </w:r>
    </w:p>
    <w:p w:rsidR="003B7617" w:rsidRDefault="003B7617" w:rsidP="007E4E81">
      <w:pPr>
        <w:pStyle w:val="a"/>
        <w:rPr>
          <w:rFonts w:eastAsiaTheme="minorEastAsia" w:cstheme="minorBidi"/>
          <w:sz w:val="22"/>
          <w:szCs w:val="22"/>
          <w:rtl/>
        </w:rPr>
      </w:pPr>
      <w:r>
        <w:rPr>
          <w:rtl/>
        </w:rPr>
        <w:t>קושית הגידו"ת דבפוחתת כתובתה משמע דאף במקוימת לא נאמנת במזויף אף שיש לה מיגו</w:t>
      </w:r>
    </w:p>
    <w:p w:rsidR="003B7617" w:rsidRDefault="003B7617" w:rsidP="007E4E81">
      <w:pPr>
        <w:pStyle w:val="a"/>
        <w:rPr>
          <w:rFonts w:eastAsiaTheme="minorEastAsia" w:cstheme="minorBidi"/>
          <w:sz w:val="22"/>
          <w:szCs w:val="22"/>
          <w:rtl/>
        </w:rPr>
      </w:pPr>
      <w:r>
        <w:rPr>
          <w:rtl/>
        </w:rPr>
        <w:t>דברי הגידו"ת דאי בפחותת איירי באינה מקוימת אמאי הוצרכה הגמ' להעמיד בכתובת אמנה</w:t>
      </w:r>
    </w:p>
    <w:p w:rsidR="003B7617" w:rsidRDefault="003B7617" w:rsidP="003B7617">
      <w:pPr>
        <w:pStyle w:val="2"/>
        <w:rPr>
          <w:rFonts w:eastAsiaTheme="minorEastAsia" w:cstheme="minorBidi"/>
          <w:i/>
          <w:iCs/>
          <w:sz w:val="22"/>
          <w:szCs w:val="22"/>
          <w:rtl/>
        </w:rPr>
      </w:pPr>
      <w:r>
        <w:rPr>
          <w:rtl/>
        </w:rPr>
        <w:t>ד' הגידו"ת והש"ך ברמב"ן במיגו להוציא</w:t>
      </w:r>
    </w:p>
    <w:p w:rsidR="003B7617" w:rsidRDefault="003B7617" w:rsidP="003B7617">
      <w:pPr>
        <w:pStyle w:val="aff4"/>
        <w:rPr>
          <w:rFonts w:eastAsiaTheme="minorEastAsia" w:cstheme="minorBidi"/>
          <w:i/>
          <w:iCs/>
          <w:noProof/>
          <w:sz w:val="22"/>
          <w:szCs w:val="22"/>
          <w:rtl/>
        </w:rPr>
      </w:pPr>
      <w:r>
        <w:rPr>
          <w:noProof/>
          <w:rtl/>
        </w:rPr>
        <w:t>בי' הגידו"ת ברמב"ן דמיגו להוציא מהני רק בטענת שטר אחר</w:t>
      </w:r>
    </w:p>
    <w:p w:rsidR="003B7617" w:rsidRDefault="003B7617" w:rsidP="007E4E81">
      <w:pPr>
        <w:pStyle w:val="a"/>
        <w:rPr>
          <w:rFonts w:eastAsiaTheme="minorEastAsia" w:cstheme="minorBidi"/>
          <w:sz w:val="22"/>
          <w:szCs w:val="22"/>
          <w:rtl/>
        </w:rPr>
      </w:pPr>
      <w:r>
        <w:rPr>
          <w:rtl/>
        </w:rPr>
        <w:t>ביאור הגידו"ת ברמב"ן דבלא מקוים נאמן רק כשטוען שהיה לו שטר שאבד דחשיב שיש לו שטר</w:t>
      </w:r>
    </w:p>
    <w:p w:rsidR="003B7617" w:rsidRDefault="003B7617" w:rsidP="007E4E81">
      <w:pPr>
        <w:pStyle w:val="a"/>
        <w:rPr>
          <w:rFonts w:eastAsiaTheme="minorEastAsia" w:cstheme="minorBidi"/>
          <w:sz w:val="22"/>
          <w:szCs w:val="22"/>
          <w:rtl/>
        </w:rPr>
      </w:pPr>
      <w:r>
        <w:rPr>
          <w:rtl/>
        </w:rPr>
        <w:t>דברי הגידו"ת דבפוחתת כתובתה שלא טענה שיש לה שטר אחר נאמנת רק בכתובת אמנה</w:t>
      </w:r>
    </w:p>
    <w:p w:rsidR="003B7617" w:rsidRDefault="003B7617" w:rsidP="003B7617">
      <w:pPr>
        <w:pStyle w:val="aff4"/>
        <w:rPr>
          <w:rFonts w:eastAsiaTheme="minorEastAsia" w:cstheme="minorBidi"/>
          <w:i/>
          <w:iCs/>
          <w:noProof/>
          <w:sz w:val="22"/>
          <w:szCs w:val="22"/>
          <w:rtl/>
        </w:rPr>
      </w:pPr>
      <w:r>
        <w:rPr>
          <w:noProof/>
          <w:rtl/>
        </w:rPr>
        <w:t>דעת הש"ך דלרמב"ן נאמן במיגו להוציא אף בלא טענת שטר</w:t>
      </w:r>
    </w:p>
    <w:p w:rsidR="003B7617" w:rsidRDefault="003B7617" w:rsidP="007E4E81">
      <w:pPr>
        <w:pStyle w:val="a"/>
        <w:rPr>
          <w:rFonts w:eastAsiaTheme="minorEastAsia" w:cstheme="minorBidi"/>
          <w:sz w:val="22"/>
          <w:szCs w:val="22"/>
          <w:rtl/>
        </w:rPr>
      </w:pPr>
      <w:r>
        <w:rPr>
          <w:rtl/>
        </w:rPr>
        <w:t>דברי הש"ך דלדעת הרמב"ן והרשב"א מהני מיגו להוציא אף כשאינו טוען שהיה לו שטר אחר</w:t>
      </w:r>
    </w:p>
    <w:p w:rsidR="003B7617" w:rsidRDefault="003B7617" w:rsidP="007E4E81">
      <w:pPr>
        <w:pStyle w:val="a"/>
        <w:rPr>
          <w:rFonts w:eastAsiaTheme="minorEastAsia" w:cstheme="minorBidi"/>
          <w:sz w:val="22"/>
          <w:szCs w:val="22"/>
          <w:rtl/>
        </w:rPr>
      </w:pPr>
      <w:r>
        <w:rPr>
          <w:rtl/>
        </w:rPr>
        <w:t>דברי הקצוה"ח דבההוא ערבא לא טען שהיה לו שטר אחר ומוכח כש"ך ודלא כהגידו"ת</w:t>
      </w:r>
    </w:p>
    <w:p w:rsidR="003B7617" w:rsidRDefault="003B7617" w:rsidP="007E4E81">
      <w:pPr>
        <w:pStyle w:val="a"/>
        <w:rPr>
          <w:rFonts w:eastAsiaTheme="minorEastAsia" w:cstheme="minorBidi"/>
          <w:sz w:val="22"/>
          <w:szCs w:val="22"/>
          <w:rtl/>
        </w:rPr>
      </w:pPr>
      <w:r>
        <w:rPr>
          <w:rtl/>
        </w:rPr>
        <w:t>בי' הקצוה"ח בגידו"ת דהספק של רב אידי בההוא ערבא כיון שאין לו שטר אך קיי"ל כרב יוסף</w:t>
      </w:r>
    </w:p>
    <w:p w:rsidR="003B7617" w:rsidRDefault="001B6519" w:rsidP="001B6519">
      <w:pPr>
        <w:pStyle w:val="2"/>
        <w:rPr>
          <w:rFonts w:eastAsiaTheme="minorEastAsia" w:cstheme="minorBidi"/>
          <w:i/>
          <w:iCs/>
          <w:sz w:val="22"/>
          <w:szCs w:val="22"/>
          <w:rtl/>
        </w:rPr>
      </w:pPr>
      <w:r>
        <w:rPr>
          <w:rtl/>
        </w:rPr>
        <w:t>~~~~~~~~~~~ ביאורי ראשי הישיבות ~~~~~~~~~~~</w:t>
      </w:r>
    </w:p>
    <w:p w:rsidR="003B7617" w:rsidRDefault="003B7617" w:rsidP="003B7617">
      <w:pPr>
        <w:pStyle w:val="2"/>
        <w:rPr>
          <w:rFonts w:eastAsiaTheme="minorEastAsia" w:cstheme="minorBidi"/>
          <w:i/>
          <w:iCs/>
          <w:sz w:val="22"/>
          <w:szCs w:val="22"/>
          <w:rtl/>
        </w:rPr>
      </w:pPr>
      <w:r>
        <w:rPr>
          <w:rtl/>
        </w:rPr>
        <w:t>בבי' הרא"ש ברשב"ם דהוא טענה אחת</w:t>
      </w:r>
    </w:p>
    <w:p w:rsidR="003B7617" w:rsidRDefault="003B7617" w:rsidP="003B7617">
      <w:pPr>
        <w:pStyle w:val="aff4"/>
        <w:rPr>
          <w:rFonts w:eastAsiaTheme="minorEastAsia" w:cstheme="minorBidi"/>
          <w:i/>
          <w:iCs/>
          <w:noProof/>
          <w:sz w:val="22"/>
          <w:szCs w:val="22"/>
          <w:rtl/>
        </w:rPr>
      </w:pPr>
      <w:r>
        <w:rPr>
          <w:noProof/>
          <w:rtl/>
        </w:rPr>
        <w:t>ביאור הברכ"ש ברשב"ם דכשהודה אינו יכול לטעון טענה אחרת</w:t>
      </w:r>
    </w:p>
    <w:p w:rsidR="003B7617" w:rsidRDefault="003B7617" w:rsidP="007E4E81">
      <w:pPr>
        <w:pStyle w:val="a"/>
        <w:rPr>
          <w:rFonts w:eastAsiaTheme="minorEastAsia" w:cstheme="minorBidi"/>
          <w:sz w:val="22"/>
          <w:szCs w:val="22"/>
          <w:rtl/>
        </w:rPr>
      </w:pPr>
      <w:r>
        <w:rPr>
          <w:rtl/>
        </w:rPr>
        <w:t>בי' הברכ"ש ברשב"ם דל"מ תפיסה בקרקע בלי טענה וכשבטלה טענתו אינו יכול לטעון למר"ק</w:t>
      </w:r>
    </w:p>
    <w:p w:rsidR="003B7617" w:rsidRDefault="003B7617" w:rsidP="007E4E81">
      <w:pPr>
        <w:pStyle w:val="a"/>
        <w:rPr>
          <w:rFonts w:eastAsiaTheme="minorEastAsia" w:cstheme="minorBidi"/>
          <w:sz w:val="22"/>
          <w:szCs w:val="22"/>
          <w:rtl/>
        </w:rPr>
      </w:pPr>
      <w:r>
        <w:rPr>
          <w:rtl/>
        </w:rPr>
        <w:t>ביאור הברכ"ש ברא"ש דטענת מינך זבינתה לא בטלה ואינה סותרת לעידי המרא קמא</w:t>
      </w:r>
    </w:p>
    <w:p w:rsidR="003B7617" w:rsidRDefault="003B7617" w:rsidP="003B7617">
      <w:pPr>
        <w:pStyle w:val="aff4"/>
        <w:rPr>
          <w:rFonts w:eastAsiaTheme="minorEastAsia" w:cstheme="minorBidi"/>
          <w:i/>
          <w:iCs/>
          <w:noProof/>
          <w:sz w:val="22"/>
          <w:szCs w:val="22"/>
          <w:rtl/>
        </w:rPr>
      </w:pPr>
      <w:r>
        <w:rPr>
          <w:noProof/>
          <w:rtl/>
        </w:rPr>
        <w:t>ביאור הגרנ"פ ברא"ש דטענתו הראשונה בטלה ואינו חוזר וטוען</w:t>
      </w:r>
    </w:p>
    <w:p w:rsidR="003B7617" w:rsidRDefault="003B7617" w:rsidP="007E4E81">
      <w:pPr>
        <w:pStyle w:val="a"/>
        <w:rPr>
          <w:rFonts w:eastAsiaTheme="minorEastAsia" w:cstheme="minorBidi"/>
          <w:sz w:val="22"/>
          <w:szCs w:val="22"/>
          <w:rtl/>
        </w:rPr>
      </w:pPr>
      <w:r>
        <w:rPr>
          <w:rtl/>
        </w:rPr>
        <w:t>קושיות הגרנ"פ על הרשב"ם דלא הכחיש את מה שטוען עכשיו ועוד דלא דמי למיגו במק"ע</w:t>
      </w:r>
    </w:p>
    <w:p w:rsidR="003B7617" w:rsidRDefault="003B7617" w:rsidP="007E4E81">
      <w:pPr>
        <w:pStyle w:val="a"/>
        <w:rPr>
          <w:rFonts w:eastAsiaTheme="minorEastAsia" w:cstheme="minorBidi"/>
          <w:sz w:val="22"/>
          <w:szCs w:val="22"/>
          <w:rtl/>
        </w:rPr>
      </w:pPr>
      <w:r>
        <w:rPr>
          <w:rtl/>
        </w:rPr>
        <w:t>קושית הגרנ"פ על ביאור הרא"ש ברשב"ם דאף שהם טענה אחת מ"מ אי"ז שייך למיגו במק"ע</w:t>
      </w:r>
    </w:p>
    <w:p w:rsidR="003B7617" w:rsidRDefault="003B7617" w:rsidP="007E4E81">
      <w:pPr>
        <w:pStyle w:val="a"/>
        <w:rPr>
          <w:rFonts w:eastAsiaTheme="minorEastAsia" w:cstheme="minorBidi"/>
          <w:sz w:val="22"/>
          <w:szCs w:val="22"/>
          <w:rtl/>
        </w:rPr>
      </w:pPr>
      <w:r>
        <w:rPr>
          <w:rtl/>
        </w:rPr>
        <w:t>ביאור הגרנ"פ ברא"ש דכשהודה בטלה טענתו הראשונה לגמרי ואינו נאמן לחזור ולפרשה</w:t>
      </w:r>
    </w:p>
    <w:p w:rsidR="003B7617" w:rsidRDefault="003B7617" w:rsidP="003B7617">
      <w:pPr>
        <w:pStyle w:val="2"/>
        <w:rPr>
          <w:rFonts w:eastAsiaTheme="minorEastAsia" w:cstheme="minorBidi"/>
          <w:i/>
          <w:iCs/>
          <w:sz w:val="22"/>
          <w:szCs w:val="22"/>
          <w:rtl/>
        </w:rPr>
      </w:pPr>
      <w:r>
        <w:rPr>
          <w:rtl/>
        </w:rPr>
        <w:t>בי' הגרנ"פ בכח הטענה לדעת הנימוק"י</w:t>
      </w:r>
    </w:p>
    <w:p w:rsidR="003B7617" w:rsidRDefault="003B7617" w:rsidP="003B7617">
      <w:pPr>
        <w:pStyle w:val="aff4"/>
        <w:rPr>
          <w:rFonts w:eastAsiaTheme="minorEastAsia" w:cstheme="minorBidi"/>
          <w:i/>
          <w:iCs/>
          <w:noProof/>
          <w:sz w:val="22"/>
          <w:szCs w:val="22"/>
          <w:rtl/>
        </w:rPr>
      </w:pPr>
      <w:r>
        <w:rPr>
          <w:noProof/>
          <w:rtl/>
        </w:rPr>
        <w:t>ביאור הגרנ"פ בנימוק"י ובריטב"א דבהודה אין לו כח טענת מיגו</w:t>
      </w:r>
    </w:p>
    <w:p w:rsidR="003B7617" w:rsidRDefault="003B7617" w:rsidP="007E4E81">
      <w:pPr>
        <w:pStyle w:val="a"/>
        <w:rPr>
          <w:rFonts w:eastAsiaTheme="minorEastAsia" w:cstheme="minorBidi"/>
          <w:sz w:val="22"/>
          <w:szCs w:val="22"/>
          <w:rtl/>
        </w:rPr>
      </w:pPr>
      <w:r>
        <w:rPr>
          <w:rtl/>
        </w:rPr>
        <w:t>ביאור הגרנ"פ בנימוק"י דטענת המיגו חשיבא כמיגו במק"ע ולא מה שטוען עכשיו כד' הרא"ש</w:t>
      </w:r>
    </w:p>
    <w:p w:rsidR="003B7617" w:rsidRDefault="003B7617" w:rsidP="007E4E81">
      <w:pPr>
        <w:pStyle w:val="a"/>
        <w:rPr>
          <w:rFonts w:eastAsiaTheme="minorEastAsia" w:cstheme="minorBidi"/>
          <w:sz w:val="22"/>
          <w:szCs w:val="22"/>
          <w:rtl/>
        </w:rPr>
      </w:pPr>
      <w:r>
        <w:rPr>
          <w:rtl/>
        </w:rPr>
        <w:t>ביאור הגרנ"פ בנימוק"י דרק בהודאה בפירוש בטלה כח טענת המיגו ואין לו כל נאמנות</w:t>
      </w:r>
    </w:p>
    <w:p w:rsidR="003B7617" w:rsidRDefault="003B7617" w:rsidP="007E4E81">
      <w:pPr>
        <w:pStyle w:val="a"/>
        <w:rPr>
          <w:rFonts w:eastAsiaTheme="minorEastAsia" w:cstheme="minorBidi"/>
          <w:sz w:val="22"/>
          <w:szCs w:val="22"/>
          <w:rtl/>
        </w:rPr>
      </w:pPr>
      <w:r>
        <w:rPr>
          <w:rtl/>
        </w:rPr>
        <w:t>ביאור הגרנ"פ בריטב"א דבהודה שהשטר מזויף בטלה כל הנאמנות שיש לו בטענת המיגו</w:t>
      </w:r>
    </w:p>
    <w:p w:rsidR="003B7617" w:rsidRDefault="003B7617" w:rsidP="007E4E81">
      <w:pPr>
        <w:pStyle w:val="a"/>
        <w:rPr>
          <w:rFonts w:eastAsiaTheme="minorEastAsia" w:cstheme="minorBidi"/>
          <w:sz w:val="22"/>
          <w:szCs w:val="22"/>
          <w:rtl/>
        </w:rPr>
      </w:pPr>
      <w:r>
        <w:rPr>
          <w:rtl/>
        </w:rPr>
        <w:t>דברי הגרנ"פ דמוכח בריטב"א ובנימוק"י דיסוד דין מיגו הוא כח הטענה ולא מה לי לשקר</w:t>
      </w:r>
    </w:p>
    <w:p w:rsidR="003B7617" w:rsidRDefault="003B7617" w:rsidP="007E4E81">
      <w:pPr>
        <w:pStyle w:val="a"/>
        <w:rPr>
          <w:rFonts w:eastAsiaTheme="minorEastAsia" w:cstheme="minorBidi"/>
          <w:sz w:val="22"/>
          <w:szCs w:val="22"/>
          <w:rtl/>
        </w:rPr>
      </w:pPr>
      <w:r>
        <w:rPr>
          <w:rtl/>
        </w:rPr>
        <w:t>קושית הגרנ"פ על הנימוק"י דלא דמי למיגו במק"ע שאינו נאמן במה שטוען עכשיו</w:t>
      </w:r>
    </w:p>
    <w:p w:rsidR="003B7617" w:rsidRDefault="003B7617" w:rsidP="003B7617">
      <w:pPr>
        <w:pStyle w:val="2"/>
        <w:rPr>
          <w:rFonts w:eastAsiaTheme="minorEastAsia" w:cstheme="minorBidi"/>
          <w:i/>
          <w:iCs/>
          <w:sz w:val="22"/>
          <w:szCs w:val="22"/>
          <w:rtl/>
        </w:rPr>
      </w:pPr>
      <w:r>
        <w:rPr>
          <w:rtl/>
        </w:rPr>
        <w:t>ביסוד מיגו נאמנות ומיגו כח הטענה</w:t>
      </w:r>
    </w:p>
    <w:p w:rsidR="003B7617" w:rsidRDefault="003B7617" w:rsidP="003B7617">
      <w:pPr>
        <w:pStyle w:val="aff4"/>
        <w:rPr>
          <w:rFonts w:eastAsiaTheme="minorEastAsia" w:cstheme="minorBidi"/>
          <w:i/>
          <w:iCs/>
          <w:noProof/>
          <w:sz w:val="22"/>
          <w:szCs w:val="22"/>
          <w:rtl/>
        </w:rPr>
      </w:pPr>
      <w:r>
        <w:rPr>
          <w:noProof/>
          <w:rtl/>
        </w:rPr>
        <w:t>בי' הגרש"ש והקוב"ש ברשב"ם דלרב יוסף אין לו את כח הטענה</w:t>
      </w:r>
    </w:p>
    <w:p w:rsidR="003B7617" w:rsidRDefault="003B7617" w:rsidP="007E4E81">
      <w:pPr>
        <w:pStyle w:val="a"/>
        <w:rPr>
          <w:rFonts w:eastAsiaTheme="minorEastAsia" w:cstheme="minorBidi"/>
          <w:sz w:val="22"/>
          <w:szCs w:val="22"/>
          <w:rtl/>
        </w:rPr>
      </w:pPr>
      <w:r>
        <w:rPr>
          <w:rtl/>
        </w:rPr>
        <w:t>בי' הגרש"ש ברא"ש דבטענת והא שטרא כחו בטענת עדים וכשהודה בטל כח הטענה ול"מ מיגו</w:t>
      </w:r>
    </w:p>
    <w:p w:rsidR="003B7617" w:rsidRDefault="003B7617" w:rsidP="007E4E81">
      <w:pPr>
        <w:pStyle w:val="a"/>
        <w:rPr>
          <w:rFonts w:eastAsiaTheme="minorEastAsia" w:cstheme="minorBidi"/>
          <w:sz w:val="22"/>
          <w:szCs w:val="22"/>
          <w:rtl/>
        </w:rPr>
      </w:pPr>
      <w:r>
        <w:rPr>
          <w:rtl/>
        </w:rPr>
        <w:t>ביאור הקוב"ש דכשהודה בטל לו כח הטענה של העדים ומוכח דמיגו מהני מדין כח הטענה</w:t>
      </w:r>
    </w:p>
    <w:p w:rsidR="003B7617" w:rsidRDefault="003B7617" w:rsidP="007E4E81">
      <w:pPr>
        <w:pStyle w:val="a"/>
        <w:rPr>
          <w:rFonts w:eastAsiaTheme="minorEastAsia" w:cstheme="minorBidi"/>
          <w:sz w:val="22"/>
          <w:szCs w:val="22"/>
          <w:rtl/>
        </w:rPr>
      </w:pPr>
      <w:r>
        <w:rPr>
          <w:rtl/>
        </w:rPr>
        <w:t>בי' הקוב"ש ברשב"ם דרבה ורב יוסף נח' במיגו כח הטענה או מ"ל לשקר ולשא"ר הוא מ"ל לשקר</w:t>
      </w:r>
    </w:p>
    <w:p w:rsidR="003B7617" w:rsidRDefault="003B7617" w:rsidP="003B7617">
      <w:pPr>
        <w:pStyle w:val="aff4"/>
        <w:rPr>
          <w:rFonts w:eastAsiaTheme="minorEastAsia" w:cstheme="minorBidi"/>
          <w:i/>
          <w:iCs/>
          <w:noProof/>
          <w:sz w:val="22"/>
          <w:szCs w:val="22"/>
          <w:rtl/>
        </w:rPr>
      </w:pPr>
      <w:r>
        <w:rPr>
          <w:noProof/>
          <w:rtl/>
        </w:rPr>
        <w:t>ביאור הגרנ"פ בקו' התוס' דאמאי ל"מ לר"י מיגו דמ"ל לשקר</w:t>
      </w:r>
    </w:p>
    <w:p w:rsidR="003B7617" w:rsidRDefault="003B7617" w:rsidP="007E4E81">
      <w:pPr>
        <w:pStyle w:val="a"/>
        <w:rPr>
          <w:rFonts w:eastAsiaTheme="minorEastAsia" w:cstheme="minorBidi"/>
          <w:sz w:val="22"/>
          <w:szCs w:val="22"/>
          <w:rtl/>
        </w:rPr>
      </w:pPr>
      <w:r>
        <w:rPr>
          <w:rtl/>
        </w:rPr>
        <w:t>קושית הגרנ"פ על התוס' דמשמע דלא הוקשה להם עיקר דברי רב יוסף כדהוקשה לריטב"א</w:t>
      </w:r>
    </w:p>
    <w:p w:rsidR="003B7617" w:rsidRDefault="003B7617" w:rsidP="007E4E81">
      <w:pPr>
        <w:pStyle w:val="a"/>
        <w:rPr>
          <w:rFonts w:eastAsiaTheme="minorEastAsia" w:cstheme="minorBidi"/>
          <w:sz w:val="22"/>
          <w:szCs w:val="22"/>
          <w:rtl/>
        </w:rPr>
      </w:pPr>
      <w:r>
        <w:rPr>
          <w:rtl/>
        </w:rPr>
        <w:t>ביאור הגרנ"פ דלרבה כיון שהיה יכול לזכות בשטר לכן לא בטל לו כח הטענה של השטר</w:t>
      </w:r>
    </w:p>
    <w:p w:rsidR="003B7617" w:rsidRDefault="003B7617" w:rsidP="007E4E81">
      <w:pPr>
        <w:pStyle w:val="a"/>
        <w:rPr>
          <w:rFonts w:eastAsiaTheme="minorEastAsia" w:cstheme="minorBidi"/>
          <w:sz w:val="22"/>
          <w:szCs w:val="22"/>
          <w:rtl/>
        </w:rPr>
      </w:pPr>
      <w:r>
        <w:rPr>
          <w:rtl/>
        </w:rPr>
        <w:t>ביאור הגרנ"פ דהתוס' הקשו דלרב יוסף אף שאין לו כח הטענה מ"מ יש לו מיגו דמ"ל לשקר</w:t>
      </w:r>
    </w:p>
    <w:p w:rsidR="003B7617" w:rsidRDefault="003B7617" w:rsidP="003B7617">
      <w:pPr>
        <w:pStyle w:val="aff4"/>
        <w:rPr>
          <w:rFonts w:eastAsiaTheme="minorEastAsia" w:cstheme="minorBidi"/>
          <w:i/>
          <w:iCs/>
          <w:noProof/>
          <w:sz w:val="22"/>
          <w:szCs w:val="22"/>
          <w:rtl/>
        </w:rPr>
      </w:pPr>
      <w:r>
        <w:rPr>
          <w:noProof/>
          <w:rtl/>
        </w:rPr>
        <w:t>ביאור הגרנ"פ ברמב"ן דמיגו מהני מדין כח הטענה</w:t>
      </w:r>
    </w:p>
    <w:p w:rsidR="003B7617" w:rsidRDefault="003B7617" w:rsidP="007E4E81">
      <w:pPr>
        <w:pStyle w:val="a"/>
        <w:rPr>
          <w:rFonts w:eastAsiaTheme="minorEastAsia" w:cstheme="minorBidi"/>
          <w:sz w:val="22"/>
          <w:szCs w:val="22"/>
          <w:rtl/>
        </w:rPr>
      </w:pPr>
      <w:r>
        <w:rPr>
          <w:rtl/>
        </w:rPr>
        <w:t>ביאור הגרנ"פ בקושית הרמב"ן דאי מחוסר מעשה נאמן במיגו אף כשבטלה כח הטענה נאמן</w:t>
      </w:r>
    </w:p>
    <w:p w:rsidR="003B7617" w:rsidRDefault="003B7617" w:rsidP="007E4E81">
      <w:pPr>
        <w:pStyle w:val="a"/>
        <w:rPr>
          <w:rFonts w:eastAsiaTheme="minorEastAsia" w:cstheme="minorBidi"/>
          <w:sz w:val="22"/>
          <w:szCs w:val="22"/>
          <w:rtl/>
        </w:rPr>
      </w:pPr>
      <w:r>
        <w:rPr>
          <w:rtl/>
        </w:rPr>
        <w:t>בי' הגרנ"פ ברמב"ן דלרב יוסף אין מיגו כשאפשר לקיים את השטר כיון דאין לו את כח הטענה</w:t>
      </w:r>
    </w:p>
    <w:p w:rsidR="003B7617" w:rsidRDefault="003B7617" w:rsidP="007E4E81">
      <w:pPr>
        <w:pStyle w:val="a"/>
        <w:rPr>
          <w:rFonts w:eastAsiaTheme="minorEastAsia" w:cstheme="minorBidi"/>
          <w:sz w:val="22"/>
          <w:szCs w:val="22"/>
          <w:rtl/>
        </w:rPr>
      </w:pPr>
      <w:r>
        <w:rPr>
          <w:rtl/>
        </w:rPr>
        <w:t>ביאור הגרנ"פ ברמב"ן דבגמ' בב"מ לא מהני מיגו כיון שאין לו את כח הטענה של טענת המיגו</w:t>
      </w:r>
    </w:p>
    <w:p w:rsidR="003B7617" w:rsidRDefault="003B7617" w:rsidP="007E4E81">
      <w:pPr>
        <w:pStyle w:val="a"/>
        <w:rPr>
          <w:rFonts w:eastAsiaTheme="minorEastAsia" w:cstheme="minorBidi"/>
          <w:sz w:val="22"/>
          <w:szCs w:val="22"/>
          <w:rtl/>
        </w:rPr>
      </w:pPr>
      <w:r>
        <w:rPr>
          <w:rtl/>
        </w:rPr>
        <w:t>ביאור הגרנ"פ בריב"ם בב"מ דדין מיגו הוא מדין מ"ל לשקר ולכן מהני מיגו דאי בעי שתיק</w:t>
      </w:r>
    </w:p>
    <w:p w:rsidR="003B7617" w:rsidRDefault="003B7617" w:rsidP="007E4E81">
      <w:pPr>
        <w:pStyle w:val="a"/>
        <w:rPr>
          <w:rFonts w:eastAsiaTheme="minorEastAsia" w:cstheme="minorBidi"/>
          <w:sz w:val="22"/>
          <w:szCs w:val="22"/>
          <w:rtl/>
        </w:rPr>
      </w:pPr>
      <w:r>
        <w:rPr>
          <w:rtl/>
        </w:rPr>
        <w:t>ביאור הגרנ"פ ברמב"ן דמיגו להוציא לא מהני כיון דהמיגו נותן כח לטענתו ולא לעצם הממון</w:t>
      </w:r>
    </w:p>
    <w:p w:rsidR="003B7617" w:rsidRDefault="003B7617" w:rsidP="007E4E81">
      <w:pPr>
        <w:pStyle w:val="a"/>
        <w:rPr>
          <w:rFonts w:eastAsiaTheme="minorEastAsia" w:cstheme="minorBidi"/>
          <w:sz w:val="22"/>
          <w:szCs w:val="22"/>
          <w:rtl/>
        </w:rPr>
      </w:pPr>
      <w:r>
        <w:rPr>
          <w:rtl/>
        </w:rPr>
        <w:t>ביאור הגרנ"פ ברמב"ן דבסטראי שעיקר המיגו לחזק טענתו במה שמחזיק מהני אף שמוציא ממון</w:t>
      </w:r>
    </w:p>
    <w:p w:rsidR="003B7617" w:rsidRDefault="003B7617" w:rsidP="003B7617">
      <w:pPr>
        <w:pStyle w:val="aff4"/>
        <w:rPr>
          <w:rFonts w:eastAsiaTheme="minorEastAsia" w:cstheme="minorBidi"/>
          <w:i/>
          <w:iCs/>
          <w:noProof/>
          <w:sz w:val="22"/>
          <w:szCs w:val="22"/>
          <w:rtl/>
        </w:rPr>
      </w:pPr>
      <w:r>
        <w:rPr>
          <w:noProof/>
          <w:rtl/>
        </w:rPr>
        <w:t>ביאור הגרנ"פ ברמב"ן בדין המוחזקות בקרקע אחר שהודה</w:t>
      </w:r>
    </w:p>
    <w:p w:rsidR="003B7617" w:rsidRDefault="003B7617" w:rsidP="007E4E81">
      <w:pPr>
        <w:pStyle w:val="a"/>
        <w:rPr>
          <w:rFonts w:eastAsiaTheme="minorEastAsia" w:cstheme="minorBidi"/>
          <w:sz w:val="22"/>
          <w:szCs w:val="22"/>
          <w:rtl/>
        </w:rPr>
      </w:pPr>
      <w:r>
        <w:rPr>
          <w:rtl/>
        </w:rPr>
        <w:t>ביאור הגרנ"פ ברמב"ן דאף דהקרקע בחזקת המר"ק מ"מ ההוכחה של המיגו מבטלת את המר"ק</w:t>
      </w:r>
    </w:p>
    <w:p w:rsidR="003B7617" w:rsidRDefault="003B7617" w:rsidP="007E4E81">
      <w:pPr>
        <w:pStyle w:val="a"/>
        <w:rPr>
          <w:rFonts w:eastAsiaTheme="minorEastAsia" w:cstheme="minorBidi"/>
          <w:sz w:val="22"/>
          <w:szCs w:val="22"/>
          <w:rtl/>
        </w:rPr>
        <w:sectPr w:rsidR="003B7617" w:rsidSect="00DC277F">
          <w:headerReference w:type="even" r:id="rId123"/>
          <w:footerReference w:type="even" r:id="rId124"/>
          <w:footerReference w:type="default" r:id="rId125"/>
          <w:headerReference w:type="first" r:id="rId126"/>
          <w:footerReference w:type="first" r:id="rId127"/>
          <w:type w:val="continuous"/>
          <w:pgSz w:w="11906" w:h="16838"/>
          <w:pgMar w:top="720" w:right="720" w:bottom="720" w:left="720" w:header="283" w:footer="283" w:gutter="0"/>
          <w:cols w:num="2" w:space="113"/>
          <w:titlePg/>
          <w:bidi/>
          <w:rtlGutter/>
          <w:docGrid w:linePitch="299"/>
        </w:sectPr>
      </w:pPr>
      <w:r>
        <w:rPr>
          <w:rtl/>
        </w:rPr>
        <w:t>ביאור הגרנ"פ ברמב"ן דבחזקה בלא טענה עדיין חשיב מוחזק בקרקע לענין מיגו להוציא</w:t>
      </w:r>
    </w:p>
    <w:p w:rsidR="003B7617" w:rsidRDefault="003B7617" w:rsidP="007E4E81">
      <w:pPr>
        <w:pStyle w:val="a"/>
        <w:numPr>
          <w:ilvl w:val="0"/>
          <w:numId w:val="0"/>
        </w:numPr>
        <w:rPr>
          <w:rtl/>
        </w:rPr>
      </w:pPr>
    </w:p>
    <w:p w:rsidR="003B7617" w:rsidRDefault="003B7617" w:rsidP="003B7617">
      <w:pPr>
        <w:pStyle w:val="2"/>
        <w:rPr>
          <w:rtl/>
        </w:rPr>
        <w:sectPr w:rsidR="003B7617"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3B7617" w:rsidRDefault="006C4F47" w:rsidP="003B7617">
      <w:pPr>
        <w:pStyle w:val="afe"/>
        <w:rPr>
          <w:rtl/>
        </w:rPr>
      </w:pPr>
      <w:r>
        <w:rPr>
          <w:rFonts w:hint="cs"/>
          <w:rtl/>
        </w:rPr>
        <w:lastRenderedPageBreak/>
        <w:t>~~~~~~~ מראי מקומות וביאורים ~~~~~~~</w:t>
      </w:r>
    </w:p>
    <w:p w:rsidR="003B7617" w:rsidRPr="00B21444" w:rsidRDefault="003B7617" w:rsidP="003B7617">
      <w:pPr>
        <w:pStyle w:val="2"/>
        <w:bidi w:val="0"/>
        <w:rPr>
          <w:rtl/>
        </w:rPr>
        <w:sectPr w:rsidR="003B7617" w:rsidRPr="00B21444" w:rsidSect="00962FD5">
          <w:footerReference w:type="default" r:id="rId128"/>
          <w:pgSz w:w="11906" w:h="16838"/>
          <w:pgMar w:top="720" w:right="720" w:bottom="720" w:left="720" w:header="283" w:footer="283" w:gutter="0"/>
          <w:cols w:space="720"/>
          <w:bidi/>
          <w:rtlGutter/>
          <w:docGrid w:linePitch="299"/>
        </w:sectPr>
      </w:pPr>
    </w:p>
    <w:p w:rsidR="003B7617" w:rsidRDefault="003B7617" w:rsidP="003B7617">
      <w:pPr>
        <w:pStyle w:val="afe"/>
        <w:rPr>
          <w:rtl/>
        </w:rPr>
      </w:pPr>
      <w:bookmarkStart w:id="13496" w:name="_Toc63163452"/>
      <w:bookmarkStart w:id="13497" w:name="_Toc63188699"/>
      <w:bookmarkStart w:id="13498" w:name="_Toc63247658"/>
      <w:r>
        <w:rPr>
          <w:rFonts w:hint="cs"/>
          <w:rtl/>
        </w:rPr>
        <w:t>טענת המחזיק שיש לו שטר ואין לו חזקה</w:t>
      </w:r>
      <w:bookmarkEnd w:id="13496"/>
      <w:bookmarkEnd w:id="13497"/>
      <w:bookmarkEnd w:id="13498"/>
    </w:p>
    <w:p w:rsidR="003B7617" w:rsidRDefault="003B7617" w:rsidP="003B7617">
      <w:pPr>
        <w:pStyle w:val="1"/>
        <w:rPr>
          <w:rtl/>
        </w:rPr>
      </w:pPr>
      <w:bookmarkStart w:id="13499" w:name="_Toc62644203"/>
      <w:bookmarkStart w:id="13500" w:name="_Toc62819887"/>
      <w:bookmarkStart w:id="13501" w:name="_Toc63111406"/>
      <w:bookmarkStart w:id="13502" w:name="_Toc63163453"/>
      <w:bookmarkStart w:id="13503" w:name="_Toc63188700"/>
      <w:bookmarkStart w:id="13504" w:name="_Toc63247659"/>
      <w:r>
        <w:rPr>
          <w:rFonts w:hint="cs"/>
          <w:rtl/>
        </w:rPr>
        <w:t>דברי</w:t>
      </w:r>
      <w:bookmarkEnd w:id="13499"/>
      <w:bookmarkEnd w:id="13500"/>
      <w:r>
        <w:rPr>
          <w:rFonts w:hint="cs"/>
          <w:rtl/>
        </w:rPr>
        <w:t xml:space="preserve"> הרשב"ם והרשב"א דאיירי שאין למחזיק חזקת ג"ש</w:t>
      </w:r>
      <w:bookmarkEnd w:id="13501"/>
      <w:bookmarkEnd w:id="13502"/>
      <w:bookmarkEnd w:id="13503"/>
      <w:bookmarkEnd w:id="13504"/>
    </w:p>
    <w:p w:rsidR="003B7617" w:rsidRDefault="003B7617" w:rsidP="003B7617">
      <w:pPr>
        <w:pStyle w:val="a3"/>
        <w:rPr>
          <w:rtl/>
        </w:rPr>
      </w:pPr>
      <w:bookmarkStart w:id="13505" w:name="_Toc63111407"/>
      <w:bookmarkStart w:id="13506" w:name="_Toc63163454"/>
      <w:bookmarkStart w:id="13507" w:name="_Toc63188701"/>
      <w:bookmarkStart w:id="13508" w:name="_Toc63247660"/>
      <w:r>
        <w:rPr>
          <w:rFonts w:hint="cs"/>
          <w:rtl/>
        </w:rPr>
        <w:t>דברי הרשב"ם והרשב"א דמהא דאמר המחזיק והא שטרא מוכח דאיירי שאין לו חזקת ג"ש</w:t>
      </w:r>
      <w:bookmarkEnd w:id="13505"/>
      <w:bookmarkEnd w:id="13506"/>
      <w:bookmarkEnd w:id="13507"/>
      <w:bookmarkEnd w:id="13508"/>
    </w:p>
    <w:p w:rsidR="003B7617" w:rsidRDefault="003B7617" w:rsidP="00BA3263">
      <w:pPr>
        <w:pStyle w:val="a0"/>
        <w:numPr>
          <w:ilvl w:val="0"/>
          <w:numId w:val="30"/>
        </w:numPr>
        <w:rPr>
          <w:rtl/>
        </w:rPr>
      </w:pPr>
      <w:bookmarkStart w:id="13509" w:name="_Ref63160613"/>
      <w:r>
        <w:rPr>
          <w:rFonts w:hint="cs"/>
          <w:rtl/>
        </w:rPr>
        <w:t xml:space="preserve">כתב </w:t>
      </w:r>
      <w:r w:rsidRPr="0073305C">
        <w:rPr>
          <w:rStyle w:val="af9"/>
          <w:rFonts w:hint="cs"/>
          <w:rtl/>
        </w:rPr>
        <w:t>הרשב"ם</w:t>
      </w:r>
      <w:r>
        <w:rPr>
          <w:rFonts w:hint="cs"/>
          <w:rtl/>
        </w:rPr>
        <w:t xml:space="preserve"> </w:t>
      </w:r>
      <w:r w:rsidRPr="007E4E81">
        <w:rPr>
          <w:rStyle w:val="af7"/>
          <w:rFonts w:eastAsia="Guttman Hodes" w:hint="cs"/>
          <w:rtl/>
        </w:rPr>
        <w:t>(ד"ה אמר)</w:t>
      </w:r>
      <w:r>
        <w:rPr>
          <w:rFonts w:hint="cs"/>
          <w:rtl/>
        </w:rPr>
        <w:t xml:space="preserve"> ד</w:t>
      </w:r>
      <w:r w:rsidRPr="00E4410C">
        <w:rPr>
          <w:rFonts w:hint="cs"/>
          <w:rtl/>
        </w:rPr>
        <w:t>אין למחזיק חזקת ג"ש</w:t>
      </w:r>
      <w:r>
        <w:rPr>
          <w:rFonts w:hint="cs"/>
          <w:rtl/>
        </w:rPr>
        <w:t xml:space="preserve">, וכ"כ </w:t>
      </w:r>
      <w:r w:rsidRPr="006B41C0">
        <w:rPr>
          <w:rStyle w:val="af9"/>
          <w:rFonts w:hint="cs"/>
          <w:rtl/>
        </w:rPr>
        <w:t>הרשב"א</w:t>
      </w:r>
      <w:r>
        <w:rPr>
          <w:rFonts w:hint="cs"/>
          <w:rtl/>
        </w:rPr>
        <w:t xml:space="preserve"> </w:t>
      </w:r>
      <w:r w:rsidRPr="007E4E81">
        <w:rPr>
          <w:rStyle w:val="af7"/>
          <w:rFonts w:eastAsia="Guttman Hodes" w:hint="cs"/>
          <w:rtl/>
        </w:rPr>
        <w:t>(ד"ה ההוא)</w:t>
      </w:r>
      <w:r>
        <w:rPr>
          <w:rFonts w:hint="cs"/>
          <w:rtl/>
        </w:rPr>
        <w:t xml:space="preserve"> דמהא דהוצרך המחזיק לומר והא שטרא, מוכח דאיירי שיש למערער עידי מרא קמא, ולמחזיק אין עידי חזקה, ולכן הוצרך להביא שטר</w:t>
      </w:r>
      <w:bookmarkStart w:id="13510" w:name="_Ref63246219"/>
      <w:r>
        <w:rPr>
          <w:rStyle w:val="af1"/>
          <w:rtl/>
        </w:rPr>
        <w:footnoteReference w:id="91"/>
      </w:r>
      <w:bookmarkEnd w:id="13510"/>
      <w:r>
        <w:rPr>
          <w:rFonts w:hint="cs"/>
          <w:rtl/>
        </w:rPr>
        <w:t>.</w:t>
      </w:r>
      <w:bookmarkEnd w:id="13509"/>
    </w:p>
    <w:p w:rsidR="003B7617" w:rsidRDefault="003B7617" w:rsidP="003B7617">
      <w:pPr>
        <w:pStyle w:val="a3"/>
        <w:rPr>
          <w:rtl/>
        </w:rPr>
      </w:pPr>
      <w:bookmarkStart w:id="13511" w:name="_Toc63163455"/>
      <w:bookmarkStart w:id="13512" w:name="_Toc63188702"/>
      <w:bookmarkStart w:id="13513" w:name="_Toc63247661"/>
      <w:r>
        <w:rPr>
          <w:rFonts w:hint="cs"/>
          <w:rtl/>
        </w:rPr>
        <w:t>דברי הרמב"ן בביאורו הב' דאפש"ל שיש למחזיק חזקת ג"ש ודחיית הרמב"ן דא"כ נאמן לכו"ע</w:t>
      </w:r>
      <w:bookmarkEnd w:id="13511"/>
      <w:bookmarkEnd w:id="13512"/>
      <w:bookmarkEnd w:id="13513"/>
    </w:p>
    <w:p w:rsidR="003B7617" w:rsidRDefault="003B7617" w:rsidP="007E4E81">
      <w:pPr>
        <w:pStyle w:val="a0"/>
        <w:rPr>
          <w:rtl/>
        </w:rPr>
      </w:pPr>
      <w:r>
        <w:rPr>
          <w:rFonts w:hint="cs"/>
          <w:rtl/>
        </w:rPr>
        <w:t xml:space="preserve">ועי' במ"ש </w:t>
      </w:r>
      <w:r w:rsidRPr="00176841">
        <w:rPr>
          <w:rStyle w:val="af9"/>
          <w:rFonts w:hint="cs"/>
          <w:rtl/>
        </w:rPr>
        <w:t>הרמב"</w:t>
      </w:r>
      <w:r w:rsidRPr="001B2D64">
        <w:rPr>
          <w:rStyle w:val="af9"/>
          <w:rFonts w:hint="cs"/>
          <w:rtl/>
        </w:rPr>
        <w:t>ן בביאורו הב'</w:t>
      </w:r>
      <w:r>
        <w:rPr>
          <w:rFonts w:hint="cs"/>
          <w:rtl/>
        </w:rPr>
        <w:t xml:space="preserve"> </w:t>
      </w:r>
      <w:r w:rsidRPr="00796803">
        <w:rPr>
          <w:rStyle w:val="af7"/>
          <w:rFonts w:eastAsia="Guttman Hodes" w:hint="cs"/>
          <w:rtl/>
        </w:rPr>
        <w:t xml:space="preserve">(עי' אות </w:t>
      </w:r>
      <w:r w:rsidRPr="00796803">
        <w:rPr>
          <w:rStyle w:val="af7"/>
          <w:rFonts w:eastAsia="Guttman Hodes"/>
          <w:rtl/>
        </w:rPr>
        <w:fldChar w:fldCharType="begin"/>
      </w:r>
      <w:r w:rsidRPr="00796803">
        <w:rPr>
          <w:rStyle w:val="af7"/>
          <w:rFonts w:eastAsia="Guttman Hodes"/>
          <w:rtl/>
        </w:rPr>
        <w:instrText xml:space="preserve"> </w:instrText>
      </w:r>
      <w:r w:rsidRPr="00796803">
        <w:rPr>
          <w:rStyle w:val="af7"/>
          <w:rFonts w:eastAsia="Guttman Hodes" w:hint="cs"/>
        </w:rPr>
        <w:instrText>REF</w:instrText>
      </w:r>
      <w:r w:rsidRPr="00796803">
        <w:rPr>
          <w:rStyle w:val="af7"/>
          <w:rFonts w:eastAsia="Guttman Hodes" w:hint="cs"/>
          <w:rtl/>
        </w:rPr>
        <w:instrText xml:space="preserve"> _</w:instrText>
      </w:r>
      <w:r w:rsidRPr="00796803">
        <w:rPr>
          <w:rStyle w:val="af7"/>
          <w:rFonts w:eastAsia="Guttman Hodes" w:hint="cs"/>
        </w:rPr>
        <w:instrText>Ref62678599 \r \h</w:instrText>
      </w:r>
      <w:r w:rsidRPr="00796803">
        <w:rPr>
          <w:rStyle w:val="af7"/>
          <w:rFonts w:eastAsia="Guttman Hodes"/>
          <w:rtl/>
        </w:rPr>
        <w:instrText xml:space="preserve"> </w:instrText>
      </w:r>
      <w:r w:rsidRPr="00796803">
        <w:rPr>
          <w:rStyle w:val="af7"/>
          <w:rFonts w:eastAsia="Guttman Hodes"/>
          <w:rtl/>
        </w:rPr>
      </w:r>
      <w:r w:rsidRPr="00796803">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796803">
        <w:rPr>
          <w:rStyle w:val="af7"/>
          <w:rFonts w:eastAsia="Guttman Hodes"/>
          <w:rtl/>
        </w:rPr>
        <w:fldChar w:fldCharType="end"/>
      </w:r>
      <w:r>
        <w:rPr>
          <w:rFonts w:hint="cs"/>
          <w:rtl/>
        </w:rPr>
        <w:t xml:space="preserve"> דאפשר להעמיד דאיירי כשיש למחזיק חזקת ג"ש, ולכן הקרקע נמצאת ברשותו, אלא דכל מחזיק שנפסל השטר שלו, ממילא התבטלה חזקתו בקרקע, ולרבה דבמקום שהשטר נפסל ע"י הודאת המחזיק, יש לו מיגו ולא בטלה חזקתו, ולרב יוסף בטלה חזקתו לגמרי, ועי' במה שדחה </w:t>
      </w:r>
      <w:r w:rsidRPr="00990E93">
        <w:rPr>
          <w:rStyle w:val="af9"/>
          <w:rFonts w:hint="cs"/>
          <w:rtl/>
        </w:rPr>
        <w:t>הרמב"ן</w:t>
      </w:r>
      <w:r>
        <w:rPr>
          <w:rFonts w:hint="cs"/>
          <w:rtl/>
        </w:rPr>
        <w:t xml:space="preserve"> </w:t>
      </w:r>
      <w:r w:rsidRPr="00796803">
        <w:rPr>
          <w:rStyle w:val="af7"/>
          <w:rFonts w:eastAsia="Guttman Hodes" w:hint="cs"/>
          <w:rtl/>
        </w:rPr>
        <w:t xml:space="preserve">(עי' אות </w:t>
      </w:r>
      <w:r w:rsidRPr="00796803">
        <w:rPr>
          <w:rStyle w:val="af7"/>
          <w:rFonts w:eastAsia="Guttman Hodes"/>
          <w:rtl/>
        </w:rPr>
        <w:fldChar w:fldCharType="begin"/>
      </w:r>
      <w:r w:rsidRPr="00796803">
        <w:rPr>
          <w:rStyle w:val="af7"/>
          <w:rFonts w:eastAsia="Guttman Hodes"/>
          <w:rtl/>
        </w:rPr>
        <w:instrText xml:space="preserve"> </w:instrText>
      </w:r>
      <w:r w:rsidRPr="00796803">
        <w:rPr>
          <w:rStyle w:val="af7"/>
          <w:rFonts w:eastAsia="Guttman Hodes" w:hint="cs"/>
        </w:rPr>
        <w:instrText>REF</w:instrText>
      </w:r>
      <w:r w:rsidRPr="00796803">
        <w:rPr>
          <w:rStyle w:val="af7"/>
          <w:rFonts w:eastAsia="Guttman Hodes" w:hint="cs"/>
          <w:rtl/>
        </w:rPr>
        <w:instrText xml:space="preserve"> _</w:instrText>
      </w:r>
      <w:r w:rsidRPr="00796803">
        <w:rPr>
          <w:rStyle w:val="af7"/>
          <w:rFonts w:eastAsia="Guttman Hodes" w:hint="cs"/>
        </w:rPr>
        <w:instrText>Ref63160940 \r \h</w:instrText>
      </w:r>
      <w:r w:rsidRPr="00796803">
        <w:rPr>
          <w:rStyle w:val="af7"/>
          <w:rFonts w:eastAsia="Guttman Hodes"/>
          <w:rtl/>
        </w:rPr>
        <w:instrText xml:space="preserve"> </w:instrText>
      </w:r>
      <w:r w:rsidRPr="00796803">
        <w:rPr>
          <w:rStyle w:val="af7"/>
          <w:rFonts w:eastAsia="Guttman Hodes"/>
          <w:rtl/>
        </w:rPr>
      </w:r>
      <w:r w:rsidRPr="00796803">
        <w:rPr>
          <w:rStyle w:val="af7"/>
          <w:rFonts w:eastAsia="Guttman Hodes"/>
          <w:rtl/>
        </w:rPr>
        <w:fldChar w:fldCharType="separate"/>
      </w:r>
      <w:r w:rsidR="00265073">
        <w:rPr>
          <w:rStyle w:val="af7"/>
          <w:rFonts w:eastAsia="Guttman Hodes"/>
          <w:cs/>
        </w:rPr>
        <w:t>‎</w:t>
      </w:r>
      <w:r w:rsidR="00265073">
        <w:rPr>
          <w:rStyle w:val="af7"/>
          <w:rFonts w:eastAsia="Guttman Hodes"/>
          <w:rtl/>
        </w:rPr>
        <w:t>עה)</w:t>
      </w:r>
      <w:r w:rsidRPr="00796803">
        <w:rPr>
          <w:rStyle w:val="af7"/>
          <w:rFonts w:eastAsia="Guttman Hodes"/>
          <w:rtl/>
        </w:rPr>
        <w:fldChar w:fldCharType="end"/>
      </w:r>
      <w:r>
        <w:rPr>
          <w:rFonts w:hint="cs"/>
          <w:rtl/>
        </w:rPr>
        <w:t xml:space="preserve"> דאי יש לו חזקה, לכו"ע מהני המיגו.</w:t>
      </w:r>
    </w:p>
    <w:p w:rsidR="003B7617" w:rsidRDefault="003B7617" w:rsidP="003B7617">
      <w:pPr>
        <w:pStyle w:val="afe"/>
        <w:rPr>
          <w:rtl/>
        </w:rPr>
      </w:pPr>
      <w:bookmarkStart w:id="13514" w:name="_Toc63111408"/>
      <w:bookmarkStart w:id="13515" w:name="_Toc63163456"/>
      <w:bookmarkStart w:id="13516" w:name="_Toc63188703"/>
      <w:bookmarkStart w:id="13517" w:name="_Toc63247662"/>
      <w:bookmarkStart w:id="13518" w:name="_Toc62644205"/>
      <w:bookmarkStart w:id="13519" w:name="_Toc62819889"/>
      <w:r>
        <w:rPr>
          <w:rFonts w:hint="cs"/>
          <w:rtl/>
        </w:rPr>
        <w:t>ד' הר"ח והרי"ף דהודה דהוא שטר אמנה</w:t>
      </w:r>
      <w:bookmarkEnd w:id="13514"/>
      <w:bookmarkEnd w:id="13515"/>
      <w:bookmarkEnd w:id="13516"/>
      <w:bookmarkEnd w:id="13517"/>
    </w:p>
    <w:p w:rsidR="003B7617" w:rsidRDefault="003B7617" w:rsidP="003B7617">
      <w:pPr>
        <w:pStyle w:val="1"/>
        <w:rPr>
          <w:rtl/>
        </w:rPr>
      </w:pPr>
      <w:bookmarkStart w:id="13520" w:name="_Toc63111409"/>
      <w:bookmarkStart w:id="13521" w:name="_Toc63163457"/>
      <w:bookmarkStart w:id="13522" w:name="_Toc63188704"/>
      <w:bookmarkStart w:id="13523" w:name="_Toc63247663"/>
      <w:r>
        <w:rPr>
          <w:rFonts w:hint="cs"/>
          <w:rtl/>
        </w:rPr>
        <w:t>ביאור ר"ח והרי"ף ורה"ג דהשטר הוא אמנה ואינו מזויף</w:t>
      </w:r>
      <w:bookmarkEnd w:id="13518"/>
      <w:bookmarkEnd w:id="13519"/>
      <w:bookmarkEnd w:id="13520"/>
      <w:bookmarkEnd w:id="13521"/>
      <w:bookmarkEnd w:id="13522"/>
      <w:bookmarkEnd w:id="13523"/>
    </w:p>
    <w:p w:rsidR="003B7617" w:rsidRDefault="003B7617" w:rsidP="003B7617">
      <w:pPr>
        <w:pStyle w:val="a3"/>
        <w:rPr>
          <w:rtl/>
        </w:rPr>
      </w:pPr>
      <w:bookmarkStart w:id="13524" w:name="_Toc62644206"/>
      <w:bookmarkStart w:id="13525" w:name="_Toc62819890"/>
      <w:bookmarkStart w:id="13526" w:name="_Toc63111410"/>
      <w:bookmarkStart w:id="13527" w:name="_Toc63163458"/>
      <w:bookmarkStart w:id="13528" w:name="_Toc63188705"/>
      <w:bookmarkStart w:id="13529" w:name="_Toc63247664"/>
      <w:r>
        <w:rPr>
          <w:rFonts w:hint="cs"/>
          <w:rtl/>
        </w:rPr>
        <w:t xml:space="preserve">ביאור הרשב"ם בשם ר"ח והרי"ף ורה"ג והרמ"ה דהודה שהשטר אמנה ובטל </w:t>
      </w:r>
      <w:bookmarkEnd w:id="13524"/>
      <w:bookmarkEnd w:id="13525"/>
      <w:r>
        <w:rPr>
          <w:rFonts w:hint="cs"/>
          <w:rtl/>
        </w:rPr>
        <w:t>אך אינו מזויף ממש</w:t>
      </w:r>
      <w:bookmarkEnd w:id="13526"/>
      <w:bookmarkEnd w:id="13527"/>
      <w:bookmarkEnd w:id="13528"/>
      <w:bookmarkEnd w:id="13529"/>
    </w:p>
    <w:p w:rsidR="003B7617" w:rsidRDefault="003B7617" w:rsidP="007E4E81">
      <w:pPr>
        <w:pStyle w:val="a0"/>
        <w:rPr>
          <w:sz w:val="10"/>
          <w:szCs w:val="14"/>
          <w:rtl/>
        </w:rPr>
      </w:pPr>
      <w:bookmarkStart w:id="13530" w:name="_Ref62553819"/>
      <w:bookmarkStart w:id="13531" w:name="_Ref63068876"/>
      <w:r>
        <w:rPr>
          <w:rFonts w:hint="cs"/>
          <w:rtl/>
        </w:rPr>
        <w:t xml:space="preserve">במה שהודה המחזיק דהשטר מזויף, הביאו </w:t>
      </w:r>
      <w:r w:rsidRPr="00176841">
        <w:rPr>
          <w:rStyle w:val="af9"/>
          <w:rFonts w:hint="cs"/>
          <w:rtl/>
        </w:rPr>
        <w:t>הרשב"ם</w:t>
      </w:r>
      <w:r>
        <w:rPr>
          <w:rStyle w:val="af9"/>
          <w:rFonts w:hint="cs"/>
          <w:rtl/>
        </w:rPr>
        <w:t xml:space="preserve"> </w:t>
      </w:r>
      <w:r w:rsidRPr="00176841">
        <w:rPr>
          <w:rStyle w:val="af7"/>
          <w:rFonts w:eastAsia="Guttman Hodes" w:hint="cs"/>
          <w:rtl/>
        </w:rPr>
        <w:t>(ד"ה אין)</w:t>
      </w:r>
      <w:r>
        <w:rPr>
          <w:rFonts w:hint="cs"/>
          <w:rtl/>
        </w:rPr>
        <w:t xml:space="preserve"> </w:t>
      </w:r>
      <w:r>
        <w:rPr>
          <w:rStyle w:val="af9"/>
          <w:rFonts w:hint="cs"/>
          <w:rtl/>
        </w:rPr>
        <w:t>והרא"ש</w:t>
      </w:r>
      <w:r>
        <w:rPr>
          <w:rFonts w:hint="cs"/>
          <w:rtl/>
        </w:rPr>
        <w:t xml:space="preserve"> </w:t>
      </w:r>
      <w:r w:rsidRPr="00A70124">
        <w:rPr>
          <w:rStyle w:val="af7"/>
          <w:rFonts w:eastAsia="Guttman Hodes" w:hint="cs"/>
          <w:rtl/>
        </w:rPr>
        <w:t>(סי' י"ב)</w:t>
      </w:r>
      <w:r>
        <w:rPr>
          <w:rFonts w:hint="cs"/>
          <w:rtl/>
        </w:rPr>
        <w:t xml:space="preserve"> את דברי</w:t>
      </w:r>
      <w:r w:rsidRPr="00176841">
        <w:rPr>
          <w:rStyle w:val="af9"/>
          <w:rFonts w:hint="cs"/>
          <w:rtl/>
        </w:rPr>
        <w:t xml:space="preserve"> ר"ח</w:t>
      </w:r>
      <w:r>
        <w:rPr>
          <w:rFonts w:hint="cs"/>
          <w:rtl/>
        </w:rPr>
        <w:t xml:space="preserve"> </w:t>
      </w:r>
      <w:r w:rsidRPr="00176841">
        <w:rPr>
          <w:rStyle w:val="af7"/>
          <w:rFonts w:eastAsia="Guttman Hodes" w:hint="cs"/>
          <w:rtl/>
        </w:rPr>
        <w:t>(ד"ה ההוא)</w:t>
      </w:r>
      <w:r>
        <w:rPr>
          <w:rFonts w:hint="cs"/>
          <w:rtl/>
        </w:rPr>
        <w:t xml:space="preserve"> דביאר דאין כוונת המחזיק לומר שהשטר הוא מזוייף ממש, אלא הוא כמו שטר מזויף, דהיינו שהשטר לא נכתב על מכירת קרקע זו, והוא שטר אמנה דבטל, וכ"כ </w:t>
      </w:r>
      <w:r w:rsidRPr="00B95339">
        <w:rPr>
          <w:rStyle w:val="af9"/>
          <w:rFonts w:hint="cs"/>
          <w:rtl/>
        </w:rPr>
        <w:t>הרי"ף</w:t>
      </w:r>
      <w:r>
        <w:rPr>
          <w:rFonts w:hint="cs"/>
          <w:rtl/>
        </w:rPr>
        <w:t xml:space="preserve"> </w:t>
      </w:r>
      <w:r w:rsidRPr="007321C6">
        <w:rPr>
          <w:rStyle w:val="af7"/>
          <w:rFonts w:eastAsia="Guttman Hodes" w:hint="cs"/>
          <w:rtl/>
        </w:rPr>
        <w:t>(טז: מדה"ר)</w:t>
      </w:r>
      <w:r>
        <w:rPr>
          <w:rStyle w:val="af9"/>
          <w:rFonts w:hint="cs"/>
          <w:rtl/>
        </w:rPr>
        <w:t xml:space="preserve"> ו</w:t>
      </w:r>
      <w:r w:rsidRPr="00CA6AB9">
        <w:rPr>
          <w:rStyle w:val="af9"/>
          <w:rFonts w:hint="cs"/>
          <w:rtl/>
        </w:rPr>
        <w:t>רבינו יונה</w:t>
      </w:r>
      <w:r w:rsidRPr="007321C6">
        <w:rPr>
          <w:rStyle w:val="af7"/>
          <w:rFonts w:eastAsia="Guttman Hodes" w:hint="cs"/>
          <w:rtl/>
        </w:rPr>
        <w:t xml:space="preserve"> (ד"ה ההוא) </w:t>
      </w:r>
      <w:r>
        <w:rPr>
          <w:rFonts w:hint="cs"/>
          <w:rtl/>
        </w:rPr>
        <w:t xml:space="preserve">בשם </w:t>
      </w:r>
      <w:r w:rsidRPr="00CA6AB9">
        <w:rPr>
          <w:rStyle w:val="af9"/>
          <w:rFonts w:hint="cs"/>
          <w:rtl/>
        </w:rPr>
        <w:t>רב האי גאון</w:t>
      </w:r>
      <w:r>
        <w:rPr>
          <w:rFonts w:hint="cs"/>
          <w:rtl/>
        </w:rPr>
        <w:t xml:space="preserve"> </w:t>
      </w:r>
      <w:r w:rsidRPr="009D79BF">
        <w:rPr>
          <w:rStyle w:val="af9"/>
          <w:rFonts w:hint="cs"/>
          <w:rtl/>
        </w:rPr>
        <w:t>והי</w:t>
      </w:r>
      <w:r w:rsidRPr="006B41C0">
        <w:rPr>
          <w:rStyle w:val="af9"/>
          <w:rFonts w:hint="cs"/>
          <w:rtl/>
        </w:rPr>
        <w:t>ד רמ"ה</w:t>
      </w:r>
      <w:r>
        <w:rPr>
          <w:rFonts w:hint="cs"/>
          <w:rtl/>
        </w:rPr>
        <w:t xml:space="preserve"> </w:t>
      </w:r>
      <w:r>
        <w:rPr>
          <w:rStyle w:val="af7"/>
          <w:rFonts w:eastAsia="Guttman Hodes" w:hint="cs"/>
          <w:rtl/>
        </w:rPr>
        <w:t xml:space="preserve">(עי' </w:t>
      </w:r>
      <w:r w:rsidRPr="009D79BF">
        <w:rPr>
          <w:rStyle w:val="af7"/>
          <w:rFonts w:eastAsia="Guttman Hodes" w:hint="cs"/>
          <w:rtl/>
        </w:rPr>
        <w:t>או</w:t>
      </w:r>
      <w:r>
        <w:rPr>
          <w:rStyle w:val="af7"/>
          <w:rFonts w:eastAsia="Guttman Hodes" w:hint="cs"/>
          <w:rtl/>
        </w:rPr>
        <w:t xml:space="preserve">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Ref63110665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Pr>
          <w:rStyle w:val="af7"/>
          <w:rFonts w:eastAsia="Guttman Hodes"/>
          <w:rtl/>
        </w:rPr>
        <w:fldChar w:fldCharType="end"/>
      </w:r>
      <w:r>
        <w:rPr>
          <w:rStyle w:val="af7"/>
          <w:rFonts w:eastAsia="Guttman Hodes" w:hint="cs"/>
          <w:rtl/>
        </w:rPr>
        <w:t xml:space="preserve"> </w:t>
      </w:r>
      <w:r>
        <w:rPr>
          <w:rFonts w:hint="cs"/>
          <w:rtl/>
        </w:rPr>
        <w:t>דלא איירי דהמחזיק זייף ממש את השטר, אלא שהשטר הוא אמנה,</w:t>
      </w:r>
      <w:r w:rsidRPr="00A561A4">
        <w:rPr>
          <w:rFonts w:hint="cs"/>
          <w:rtl/>
        </w:rPr>
        <w:t xml:space="preserve"> </w:t>
      </w:r>
      <w:r>
        <w:rPr>
          <w:rFonts w:hint="cs"/>
          <w:rtl/>
        </w:rPr>
        <w:t xml:space="preserve">וכ"כ </w:t>
      </w:r>
      <w:r w:rsidRPr="002617A0">
        <w:rPr>
          <w:rStyle w:val="af9"/>
          <w:rFonts w:hint="cs"/>
          <w:rtl/>
        </w:rPr>
        <w:t>הרשב"א</w:t>
      </w:r>
      <w:r>
        <w:rPr>
          <w:rFonts w:hint="cs"/>
          <w:rtl/>
        </w:rPr>
        <w:t xml:space="preserve"> </w:t>
      </w:r>
      <w:r w:rsidRPr="00F4777F">
        <w:rPr>
          <w:rStyle w:val="af7"/>
          <w:rFonts w:eastAsia="Guttman Hodes" w:hint="cs"/>
          <w:rtl/>
        </w:rPr>
        <w:t>(ד"ה ולבסוף)</w:t>
      </w:r>
      <w:r>
        <w:rPr>
          <w:rFonts w:hint="cs"/>
          <w:rtl/>
        </w:rPr>
        <w:t xml:space="preserve"> בשם </w:t>
      </w:r>
      <w:r w:rsidRPr="002617A0">
        <w:rPr>
          <w:rStyle w:val="af9"/>
          <w:rFonts w:hint="cs"/>
          <w:rtl/>
        </w:rPr>
        <w:t>הגאונים</w:t>
      </w:r>
      <w:r>
        <w:rPr>
          <w:rFonts w:hint="cs"/>
          <w:rtl/>
        </w:rPr>
        <w:t xml:space="preserve"> דאיירי בשטר אמנה או שטר פסים, וביאר </w:t>
      </w:r>
      <w:r w:rsidRPr="00DB314B">
        <w:rPr>
          <w:rStyle w:val="af9"/>
          <w:rFonts w:hint="cs"/>
          <w:rtl/>
        </w:rPr>
        <w:t>הנימוק</w:t>
      </w:r>
      <w:r>
        <w:rPr>
          <w:rStyle w:val="af9"/>
          <w:rFonts w:hint="cs"/>
          <w:rtl/>
        </w:rPr>
        <w:t>"</w:t>
      </w:r>
      <w:r w:rsidRPr="00DB314B">
        <w:rPr>
          <w:rStyle w:val="af9"/>
          <w:rFonts w:hint="cs"/>
          <w:rtl/>
        </w:rPr>
        <w:t xml:space="preserve">י </w:t>
      </w:r>
      <w:r w:rsidRPr="007321C6">
        <w:rPr>
          <w:rStyle w:val="af7"/>
          <w:rFonts w:eastAsia="Guttman Hodes" w:hint="cs"/>
          <w:rtl/>
        </w:rPr>
        <w:t>(טז: מדה"ר ד"ה שטרא)</w:t>
      </w:r>
      <w:r>
        <w:rPr>
          <w:rFonts w:hint="cs"/>
          <w:rtl/>
        </w:rPr>
        <w:t xml:space="preserve"> דהמערער כתב את השטר מכירה באמנה, כיון שהיה המחזיק צריך מעות, והאמין המערער למחזיק שאם לא יצטרך את השטר יחזיר לו אותו, ועי' בדברי </w:t>
      </w:r>
      <w:r w:rsidRPr="00B264C7">
        <w:rPr>
          <w:rStyle w:val="af9"/>
          <w:rFonts w:hint="cs"/>
          <w:rtl/>
        </w:rPr>
        <w:t>הרמב"ן</w:t>
      </w:r>
      <w:r>
        <w:rPr>
          <w:rFonts w:hint="cs"/>
          <w:rtl/>
        </w:rPr>
        <w:t xml:space="preserve"> </w:t>
      </w:r>
      <w:r w:rsidRPr="00B264C7">
        <w:rPr>
          <w:rStyle w:val="af7"/>
          <w:rFonts w:eastAsia="Guttman Hodes" w:hint="cs"/>
          <w:rtl/>
        </w:rPr>
        <w:t xml:space="preserve">(עי' אות </w:t>
      </w:r>
      <w:r w:rsidRPr="00B264C7">
        <w:rPr>
          <w:rStyle w:val="af7"/>
          <w:rFonts w:eastAsia="Guttman Hodes"/>
          <w:rtl/>
        </w:rPr>
        <w:fldChar w:fldCharType="begin"/>
      </w:r>
      <w:r w:rsidRPr="00B264C7">
        <w:rPr>
          <w:rStyle w:val="af7"/>
          <w:rFonts w:eastAsia="Guttman Hodes"/>
          <w:rtl/>
        </w:rPr>
        <w:instrText xml:space="preserve"> </w:instrText>
      </w:r>
      <w:r w:rsidRPr="00B264C7">
        <w:rPr>
          <w:rStyle w:val="af7"/>
          <w:rFonts w:eastAsia="Guttman Hodes" w:hint="cs"/>
        </w:rPr>
        <w:instrText>REF</w:instrText>
      </w:r>
      <w:r w:rsidRPr="00B264C7">
        <w:rPr>
          <w:rStyle w:val="af7"/>
          <w:rFonts w:eastAsia="Guttman Hodes" w:hint="cs"/>
          <w:rtl/>
        </w:rPr>
        <w:instrText xml:space="preserve"> _</w:instrText>
      </w:r>
      <w:r w:rsidRPr="00B264C7">
        <w:rPr>
          <w:rStyle w:val="af7"/>
          <w:rFonts w:eastAsia="Guttman Hodes" w:hint="cs"/>
        </w:rPr>
        <w:instrText>Ref62644256 \r \h</w:instrText>
      </w:r>
      <w:r w:rsidRPr="00B264C7">
        <w:rPr>
          <w:rStyle w:val="af7"/>
          <w:rFonts w:eastAsia="Guttman Hodes"/>
          <w:rtl/>
        </w:rPr>
        <w:instrText xml:space="preserve"> </w:instrText>
      </w:r>
      <w:r w:rsidRPr="00B264C7">
        <w:rPr>
          <w:rStyle w:val="af7"/>
          <w:rFonts w:eastAsia="Guttman Hodes"/>
          <w:rtl/>
        </w:rPr>
      </w:r>
      <w:r w:rsidRPr="00B264C7">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B264C7">
        <w:rPr>
          <w:rStyle w:val="af7"/>
          <w:rFonts w:eastAsia="Guttman Hodes"/>
          <w:rtl/>
        </w:rPr>
        <w:fldChar w:fldCharType="end"/>
      </w:r>
      <w:r>
        <w:rPr>
          <w:rFonts w:hint="cs"/>
          <w:rtl/>
        </w:rPr>
        <w:t>.</w:t>
      </w:r>
      <w:bookmarkEnd w:id="13530"/>
      <w:bookmarkEnd w:id="13531"/>
    </w:p>
    <w:p w:rsidR="003B7617" w:rsidRDefault="003B7617" w:rsidP="003B7617">
      <w:pPr>
        <w:pStyle w:val="a3"/>
        <w:rPr>
          <w:rtl/>
        </w:rPr>
      </w:pPr>
      <w:bookmarkStart w:id="13532" w:name="_Toc63111411"/>
      <w:bookmarkStart w:id="13533" w:name="_Toc63163459"/>
      <w:bookmarkStart w:id="13534" w:name="_Toc63188706"/>
      <w:bookmarkStart w:id="13535" w:name="_Toc63247665"/>
      <w:r>
        <w:rPr>
          <w:rFonts w:hint="cs"/>
          <w:rtl/>
        </w:rPr>
        <w:t>דברי ר"ח ורה"ג דשניהם מודים שהוא אמנה וטוען המחזיק שהיה שטר אחר והמערער מכחישו</w:t>
      </w:r>
      <w:bookmarkEnd w:id="13532"/>
      <w:bookmarkEnd w:id="13533"/>
      <w:bookmarkEnd w:id="13534"/>
      <w:bookmarkEnd w:id="13535"/>
    </w:p>
    <w:p w:rsidR="003B7617" w:rsidRDefault="003B7617" w:rsidP="007E4E81">
      <w:pPr>
        <w:pStyle w:val="a0"/>
        <w:rPr>
          <w:rStyle w:val="afb"/>
          <w:rtl/>
        </w:rPr>
      </w:pPr>
      <w:bookmarkStart w:id="13536" w:name="_Ref62553839"/>
      <w:bookmarkStart w:id="13537" w:name="_Ref63236851"/>
      <w:r>
        <w:rPr>
          <w:rFonts w:hint="cs"/>
          <w:rtl/>
        </w:rPr>
        <w:t xml:space="preserve">וביארו </w:t>
      </w:r>
      <w:r w:rsidRPr="00176841">
        <w:rPr>
          <w:rStyle w:val="af9"/>
          <w:rFonts w:hint="cs"/>
          <w:rtl/>
        </w:rPr>
        <w:t>ר"ח</w:t>
      </w:r>
      <w:r>
        <w:rPr>
          <w:rFonts w:hint="cs"/>
          <w:rtl/>
        </w:rPr>
        <w:t xml:space="preserve"> </w:t>
      </w:r>
      <w:r w:rsidRPr="007321C6">
        <w:rPr>
          <w:rStyle w:val="af7"/>
          <w:rFonts w:eastAsia="Guttman Hodes" w:hint="cs"/>
          <w:rtl/>
        </w:rPr>
        <w:t>(ד"ה ותרוייהו)</w:t>
      </w:r>
      <w:r>
        <w:rPr>
          <w:rFonts w:hint="cs"/>
          <w:rtl/>
        </w:rPr>
        <w:t xml:space="preserve"> </w:t>
      </w:r>
      <w:r>
        <w:rPr>
          <w:rStyle w:val="af9"/>
          <w:rFonts w:hint="cs"/>
          <w:rtl/>
        </w:rPr>
        <w:t>ו</w:t>
      </w:r>
      <w:r w:rsidRPr="00CA6AB9">
        <w:rPr>
          <w:rStyle w:val="af9"/>
          <w:rFonts w:hint="cs"/>
          <w:rtl/>
        </w:rPr>
        <w:t>רבינו יונה</w:t>
      </w:r>
      <w:r>
        <w:rPr>
          <w:rFonts w:hint="cs"/>
          <w:rtl/>
        </w:rPr>
        <w:t xml:space="preserve"> </w:t>
      </w:r>
      <w:r w:rsidRPr="007321C6">
        <w:rPr>
          <w:rStyle w:val="af7"/>
          <w:rFonts w:eastAsia="Guttman Hodes" w:hint="cs"/>
          <w:rtl/>
        </w:rPr>
        <w:t xml:space="preserve">(ד"ה ההוא) </w:t>
      </w:r>
      <w:r>
        <w:rPr>
          <w:rFonts w:hint="cs"/>
          <w:rtl/>
        </w:rPr>
        <w:t xml:space="preserve">בשם </w:t>
      </w:r>
      <w:r w:rsidRPr="00CA6AB9">
        <w:rPr>
          <w:rStyle w:val="af9"/>
          <w:rFonts w:hint="cs"/>
          <w:rtl/>
        </w:rPr>
        <w:t>רב האי גאון</w:t>
      </w:r>
      <w:r>
        <w:rPr>
          <w:rFonts w:hint="cs"/>
          <w:rtl/>
        </w:rPr>
        <w:t xml:space="preserve"> דשניהם מודים שהשטר הוא אמנה ובטל השטר, אלא דטוען המחזיק דאחר שנתן לו את השטר באמנה, מכר לו את הקרקע, וכתב לו שטר טוב על המכירה, והמערער מכחיש וטוען שלא מכר לו ולא כתב לו </w:t>
      </w:r>
      <w:r>
        <w:rPr>
          <w:rFonts w:hint="cs"/>
          <w:rtl/>
        </w:rPr>
        <w:t>שטר אחר</w:t>
      </w:r>
      <w:bookmarkEnd w:id="13536"/>
      <w:r>
        <w:rPr>
          <w:rFonts w:hint="cs"/>
          <w:rtl/>
        </w:rPr>
        <w:t>.</w:t>
      </w:r>
      <w:bookmarkEnd w:id="13537"/>
      <w:r>
        <w:rPr>
          <w:rFonts w:hint="cs"/>
          <w:rtl/>
        </w:rPr>
        <w:t xml:space="preserve"> </w:t>
      </w:r>
      <w:r w:rsidRPr="004C6C80">
        <w:rPr>
          <w:rStyle w:val="afb"/>
          <w:rFonts w:hint="cs"/>
          <w:rtl/>
        </w:rPr>
        <w:t>[עי' במ"ש</w:t>
      </w:r>
      <w:r>
        <w:rPr>
          <w:rFonts w:hint="cs"/>
          <w:rtl/>
        </w:rPr>
        <w:t xml:space="preserve"> </w:t>
      </w:r>
      <w:r w:rsidRPr="004C6C80">
        <w:rPr>
          <w:rStyle w:val="affa"/>
          <w:rFonts w:hint="cs"/>
          <w:rtl/>
        </w:rPr>
        <w:t>בחי' רבי נחום</w:t>
      </w:r>
      <w:r>
        <w:rPr>
          <w:rFonts w:hint="cs"/>
          <w:rtl/>
        </w:rPr>
        <w:t xml:space="preserve"> </w:t>
      </w:r>
      <w:r w:rsidRPr="004C6C80">
        <w:rPr>
          <w:rStyle w:val="aff6"/>
          <w:rFonts w:hint="cs"/>
          <w:rtl/>
        </w:rPr>
        <w:t>(עי' הערה</w:t>
      </w:r>
      <w:r w:rsidRPr="004C6C80">
        <w:rPr>
          <w:vertAlign w:val="superscript"/>
          <w:rtl/>
        </w:rPr>
        <w:fldChar w:fldCharType="begin"/>
      </w:r>
      <w:r w:rsidRPr="004C6C80">
        <w:rPr>
          <w:vertAlign w:val="superscript"/>
          <w:rtl/>
        </w:rPr>
        <w:instrText xml:space="preserve"> </w:instrText>
      </w:r>
      <w:r w:rsidRPr="004C6C80">
        <w:rPr>
          <w:rFonts w:hint="cs"/>
          <w:vertAlign w:val="superscript"/>
        </w:rPr>
        <w:instrText>NOTEREF</w:instrText>
      </w:r>
      <w:r w:rsidRPr="004C6C80">
        <w:rPr>
          <w:rFonts w:hint="cs"/>
          <w:vertAlign w:val="superscript"/>
          <w:rtl/>
        </w:rPr>
        <w:instrText xml:space="preserve"> _</w:instrText>
      </w:r>
      <w:r w:rsidRPr="004C6C80">
        <w:rPr>
          <w:rFonts w:hint="cs"/>
          <w:vertAlign w:val="superscript"/>
        </w:rPr>
        <w:instrText>Ref63236939 \h</w:instrText>
      </w:r>
      <w:r w:rsidRPr="004C6C80">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C6C80">
        <w:rPr>
          <w:vertAlign w:val="superscript"/>
          <w:rtl/>
        </w:rPr>
      </w:r>
      <w:r w:rsidRPr="004C6C80">
        <w:rPr>
          <w:vertAlign w:val="superscript"/>
          <w:rtl/>
        </w:rPr>
        <w:fldChar w:fldCharType="separate"/>
      </w:r>
      <w:r w:rsidR="00265073">
        <w:rPr>
          <w:vertAlign w:val="superscript"/>
          <w:rtl/>
        </w:rPr>
        <w:t>98</w:t>
      </w:r>
      <w:r w:rsidRPr="004C6C80">
        <w:rPr>
          <w:vertAlign w:val="superscript"/>
          <w:rtl/>
        </w:rPr>
        <w:fldChar w:fldCharType="end"/>
      </w:r>
      <w:r w:rsidRPr="004C6C80">
        <w:rPr>
          <w:rStyle w:val="aff6"/>
          <w:rFonts w:hint="cs"/>
          <w:rtl/>
        </w:rPr>
        <w:t>)</w:t>
      </w:r>
      <w:r>
        <w:rPr>
          <w:rFonts w:hint="cs"/>
          <w:rtl/>
        </w:rPr>
        <w:t xml:space="preserve"> </w:t>
      </w:r>
      <w:r w:rsidRPr="004C6C80">
        <w:rPr>
          <w:rStyle w:val="afb"/>
          <w:rFonts w:hint="cs"/>
          <w:rtl/>
        </w:rPr>
        <w:t>ב</w:t>
      </w:r>
      <w:r>
        <w:rPr>
          <w:rStyle w:val="afb"/>
          <w:rFonts w:hint="cs"/>
          <w:rtl/>
        </w:rPr>
        <w:t xml:space="preserve">ביאור דברי </w:t>
      </w:r>
      <w:r w:rsidRPr="004C6C80">
        <w:rPr>
          <w:rStyle w:val="affa"/>
          <w:rFonts w:hint="cs"/>
          <w:rtl/>
        </w:rPr>
        <w:t>הרמב"ן</w:t>
      </w:r>
      <w:r w:rsidRPr="004C6C80">
        <w:rPr>
          <w:rStyle w:val="afb"/>
          <w:rFonts w:hint="cs"/>
          <w:rtl/>
        </w:rPr>
        <w:t xml:space="preserve"> בטענת המערער ובהודאת המחזיק].</w:t>
      </w:r>
    </w:p>
    <w:p w:rsidR="003B7617" w:rsidRDefault="003B7617" w:rsidP="003B7617">
      <w:pPr>
        <w:pStyle w:val="1"/>
        <w:rPr>
          <w:rtl/>
        </w:rPr>
      </w:pPr>
      <w:bookmarkStart w:id="13538" w:name="_Toc63111412"/>
      <w:bookmarkStart w:id="13539" w:name="_Toc63163460"/>
      <w:bookmarkStart w:id="13540" w:name="_Toc63188707"/>
      <w:bookmarkStart w:id="13541" w:name="_Toc63247666"/>
      <w:r>
        <w:rPr>
          <w:rFonts w:hint="cs"/>
          <w:rtl/>
        </w:rPr>
        <w:t>ביאור ר"ח והרי"ף דבאמנה יש למחזיק מיגו דהא אפשר לקיימו</w:t>
      </w:r>
      <w:bookmarkEnd w:id="13538"/>
      <w:bookmarkEnd w:id="13539"/>
      <w:bookmarkEnd w:id="13540"/>
      <w:bookmarkEnd w:id="13541"/>
    </w:p>
    <w:p w:rsidR="003B7617" w:rsidRDefault="003B7617" w:rsidP="003B7617">
      <w:pPr>
        <w:pStyle w:val="a3"/>
        <w:rPr>
          <w:rtl/>
        </w:rPr>
      </w:pPr>
      <w:bookmarkStart w:id="13542" w:name="_Toc62644207"/>
      <w:bookmarkStart w:id="13543" w:name="_Toc62819891"/>
      <w:bookmarkStart w:id="13544" w:name="_Toc63111413"/>
      <w:bookmarkStart w:id="13545" w:name="_Toc63163461"/>
      <w:bookmarkStart w:id="13546" w:name="_Toc63188708"/>
      <w:bookmarkStart w:id="13547" w:name="_Toc63247667"/>
      <w:r>
        <w:rPr>
          <w:rFonts w:hint="cs"/>
          <w:rtl/>
        </w:rPr>
        <w:t>ביאור הרשב"ם בשם ר"ח דכיון שאין השטר מזויף ממש יכול המחזיק לקיימו ולכן יש לו מיגו</w:t>
      </w:r>
      <w:bookmarkEnd w:id="13542"/>
      <w:bookmarkEnd w:id="13543"/>
      <w:bookmarkEnd w:id="13544"/>
      <w:bookmarkEnd w:id="13545"/>
      <w:bookmarkEnd w:id="13546"/>
      <w:bookmarkEnd w:id="13547"/>
    </w:p>
    <w:p w:rsidR="003B7617" w:rsidRDefault="003B7617" w:rsidP="007E4E81">
      <w:pPr>
        <w:pStyle w:val="a0"/>
        <w:rPr>
          <w:rtl/>
        </w:rPr>
      </w:pPr>
      <w:bookmarkStart w:id="13548" w:name="_Ref62665045"/>
      <w:r>
        <w:rPr>
          <w:rFonts w:hint="cs"/>
          <w:rtl/>
        </w:rPr>
        <w:t xml:space="preserve">וכתב </w:t>
      </w:r>
      <w:r w:rsidRPr="00176841">
        <w:rPr>
          <w:rStyle w:val="af9"/>
          <w:rFonts w:hint="cs"/>
          <w:rtl/>
        </w:rPr>
        <w:t>הרשב"ם</w:t>
      </w:r>
      <w:r>
        <w:rPr>
          <w:rFonts w:hint="cs"/>
          <w:rtl/>
        </w:rPr>
        <w:t xml:space="preserve"> </w:t>
      </w:r>
      <w:r w:rsidRPr="00E4410C">
        <w:rPr>
          <w:rStyle w:val="af7"/>
          <w:rFonts w:eastAsia="Guttman Hodes" w:hint="cs"/>
          <w:rtl/>
        </w:rPr>
        <w:t>(ד"ה אמר)</w:t>
      </w:r>
      <w:r>
        <w:rPr>
          <w:rFonts w:hint="cs"/>
          <w:rtl/>
        </w:rPr>
        <w:t xml:space="preserve"> בשם </w:t>
      </w:r>
      <w:r w:rsidRPr="00176841">
        <w:rPr>
          <w:rStyle w:val="af9"/>
          <w:rFonts w:hint="cs"/>
          <w:rtl/>
        </w:rPr>
        <w:t>ר"ח</w:t>
      </w:r>
      <w:r>
        <w:rPr>
          <w:rFonts w:hint="cs"/>
          <w:rtl/>
        </w:rPr>
        <w:t xml:space="preserve"> דאם לא היה המחזיק מודה לטענת המערער שהשטר מזויף, </w:t>
      </w:r>
      <w:r w:rsidRPr="00407D83">
        <w:rPr>
          <w:rStyle w:val="afb"/>
          <w:rFonts w:hint="cs"/>
          <w:rtl/>
        </w:rPr>
        <w:t>[</w:t>
      </w:r>
      <w:r>
        <w:rPr>
          <w:rStyle w:val="afb"/>
          <w:rFonts w:hint="cs"/>
          <w:rtl/>
        </w:rPr>
        <w:t>דהיינו</w:t>
      </w:r>
      <w:r w:rsidRPr="00407D83">
        <w:rPr>
          <w:rStyle w:val="afb"/>
          <w:rFonts w:hint="cs"/>
          <w:rtl/>
        </w:rPr>
        <w:t xml:space="preserve"> אמנה],</w:t>
      </w:r>
      <w:r>
        <w:rPr>
          <w:rFonts w:hint="cs"/>
          <w:rtl/>
        </w:rPr>
        <w:t xml:space="preserve"> לא היה המערער נאמן בטענתו, כיון שעידי השטר מכירים את חתימתם, ולכן אמר רבה דהמחזיק נאמן שהיה לו שטר אחר ואבד, במיגו דהיה טוען שהשטר אינו מזויף, כיון שאם היה המחזיק רוצה לקיים את השטר, היה יכול לקיימו, וכ"כ </w:t>
      </w:r>
      <w:r w:rsidRPr="006B42E2">
        <w:rPr>
          <w:rStyle w:val="af9"/>
          <w:rFonts w:hint="cs"/>
          <w:rtl/>
        </w:rPr>
        <w:t>הרי"ף</w:t>
      </w:r>
      <w:r>
        <w:rPr>
          <w:rStyle w:val="af9"/>
          <w:rFonts w:hint="cs"/>
          <w:rtl/>
        </w:rPr>
        <w:t xml:space="preserve"> </w:t>
      </w:r>
      <w:r w:rsidRPr="007321C6">
        <w:rPr>
          <w:rStyle w:val="af7"/>
          <w:rFonts w:eastAsia="Guttman Hodes" w:hint="cs"/>
          <w:rtl/>
        </w:rPr>
        <w:t>(טז: מדה"ר)</w:t>
      </w:r>
      <w:r>
        <w:rPr>
          <w:rStyle w:val="af9"/>
          <w:rFonts w:hint="cs"/>
          <w:rtl/>
        </w:rPr>
        <w:t xml:space="preserve"> ו</w:t>
      </w:r>
      <w:r w:rsidRPr="00CA6AB9">
        <w:rPr>
          <w:rStyle w:val="af9"/>
          <w:rFonts w:hint="cs"/>
          <w:rtl/>
        </w:rPr>
        <w:t>רבינו יונה</w:t>
      </w:r>
      <w:r>
        <w:rPr>
          <w:rFonts w:hint="cs"/>
          <w:rtl/>
        </w:rPr>
        <w:t xml:space="preserve"> </w:t>
      </w:r>
      <w:r w:rsidRPr="00CA6AB9">
        <w:rPr>
          <w:rStyle w:val="af7"/>
          <w:rFonts w:eastAsia="Guttman Hodes" w:hint="cs"/>
          <w:rtl/>
        </w:rPr>
        <w:t xml:space="preserve">(ד"ה ההוא) </w:t>
      </w:r>
      <w:r>
        <w:rPr>
          <w:rFonts w:hint="cs"/>
          <w:rtl/>
        </w:rPr>
        <w:t xml:space="preserve">בשם </w:t>
      </w:r>
      <w:r w:rsidRPr="00CA6AB9">
        <w:rPr>
          <w:rStyle w:val="af9"/>
          <w:rFonts w:hint="cs"/>
          <w:rtl/>
        </w:rPr>
        <w:t>רב האי גאון</w:t>
      </w:r>
      <w:r>
        <w:rPr>
          <w:rFonts w:hint="cs"/>
          <w:rtl/>
        </w:rPr>
        <w:t xml:space="preserve"> דכיון שהשטר הוא אמנה, לכן העמיד רבה את הקרקע בידו, דאם היה המחזיק רוצה, היה יכול לקיים את השטר</w:t>
      </w:r>
      <w:r w:rsidRPr="00511FD7">
        <w:rPr>
          <w:rFonts w:hint="cs"/>
          <w:rtl/>
        </w:rPr>
        <w:t xml:space="preserve"> </w:t>
      </w:r>
      <w:r>
        <w:rPr>
          <w:rFonts w:hint="cs"/>
          <w:rtl/>
        </w:rPr>
        <w:t xml:space="preserve">וכ"כ </w:t>
      </w:r>
      <w:r w:rsidRPr="002617A0">
        <w:rPr>
          <w:rStyle w:val="af9"/>
          <w:rFonts w:hint="cs"/>
          <w:rtl/>
        </w:rPr>
        <w:t>הרשב"א</w:t>
      </w:r>
      <w:r w:rsidRPr="004D4188">
        <w:rPr>
          <w:rStyle w:val="af7"/>
          <w:rFonts w:eastAsia="Guttman Hodes" w:hint="cs"/>
          <w:rtl/>
        </w:rPr>
        <w:t xml:space="preserve"> (ד"ה ולבסוף) </w:t>
      </w:r>
      <w:r>
        <w:rPr>
          <w:rFonts w:hint="cs"/>
          <w:rtl/>
        </w:rPr>
        <w:t xml:space="preserve">בשם </w:t>
      </w:r>
      <w:r w:rsidRPr="002617A0">
        <w:rPr>
          <w:rStyle w:val="af9"/>
          <w:rFonts w:hint="cs"/>
          <w:rtl/>
        </w:rPr>
        <w:t>הגאונים</w:t>
      </w:r>
      <w:r>
        <w:rPr>
          <w:rFonts w:hint="cs"/>
          <w:rtl/>
        </w:rPr>
        <w:t xml:space="preserve"> דכיון דנכתב השטר מדעת המערער, יש למחזיק מיגו, שהיה יכול לקיים את השטר.</w:t>
      </w:r>
      <w:bookmarkEnd w:id="13548"/>
      <w:r w:rsidRPr="00DE4AC6">
        <w:rPr>
          <w:rtl/>
        </w:rPr>
        <w:t xml:space="preserve"> </w:t>
      </w:r>
    </w:p>
    <w:p w:rsidR="003B7617" w:rsidRDefault="003B7617" w:rsidP="003B7617">
      <w:pPr>
        <w:pStyle w:val="a3"/>
        <w:rPr>
          <w:rtl/>
        </w:rPr>
      </w:pPr>
      <w:bookmarkStart w:id="13549" w:name="_Toc63111414"/>
      <w:bookmarkStart w:id="13550" w:name="_Toc63163462"/>
      <w:bookmarkStart w:id="13551" w:name="_Toc63188709"/>
      <w:bookmarkStart w:id="13552" w:name="_Toc63247668"/>
      <w:r>
        <w:rPr>
          <w:rFonts w:hint="cs"/>
          <w:rtl/>
        </w:rPr>
        <w:t>ביאור הרי"ד דלרבה נאמן במיגו דאפשר לקיימו ע"י שמכירים חתימתם או שהם עצמם יקיימוהו</w:t>
      </w:r>
      <w:bookmarkEnd w:id="13549"/>
      <w:bookmarkEnd w:id="13550"/>
      <w:bookmarkEnd w:id="13551"/>
      <w:bookmarkEnd w:id="13552"/>
    </w:p>
    <w:p w:rsidR="003B7617" w:rsidRDefault="003B7617" w:rsidP="007E4E81">
      <w:pPr>
        <w:pStyle w:val="a0"/>
        <w:rPr>
          <w:rtl/>
        </w:rPr>
      </w:pPr>
      <w:bookmarkStart w:id="13553" w:name="_Ref63012192"/>
      <w:r w:rsidRPr="006B41C0">
        <w:rPr>
          <w:rStyle w:val="af9"/>
          <w:rFonts w:hint="cs"/>
          <w:rtl/>
        </w:rPr>
        <w:t>ובפסקי הרי"ד</w:t>
      </w:r>
      <w:r>
        <w:rPr>
          <w:rFonts w:hint="cs"/>
          <w:rtl/>
        </w:rPr>
        <w:t xml:space="preserve"> </w:t>
      </w:r>
      <w:r w:rsidRPr="00F4777F">
        <w:rPr>
          <w:rStyle w:val="af7"/>
          <w:rFonts w:eastAsia="Guttman Hodes" w:hint="cs"/>
          <w:rtl/>
        </w:rPr>
        <w:t>(ד"ה ההוא, הועתק בקובץ שיטות קמאי ב"ב ח"א עמ' תשס"ז)</w:t>
      </w:r>
      <w:r>
        <w:rPr>
          <w:rFonts w:hint="cs"/>
          <w:rtl/>
        </w:rPr>
        <w:t xml:space="preserve"> ביאר דשטר אמנה היינו שכתב שמוכר לו ולא מכר, ועשה כן להשביע את עצמו, והאמין למחזיק שלא יתבע אותו, אבל העדים שחתומים על השטר לא ידעו שהוא אמנה, ורק המוכר והלוקח ידעו שהוא שטר אמנה ולא מכר לו, ולכן אמר רבה דהמחזיק נאמן במיגו, דהא אפשר לקיים את השטר, כשמכירים את חתימת העדים, או שהם עצמם יעידו על חתימתם.</w:t>
      </w:r>
      <w:bookmarkEnd w:id="13553"/>
    </w:p>
    <w:p w:rsidR="003B7617" w:rsidRDefault="003B7617" w:rsidP="003B7617">
      <w:pPr>
        <w:pStyle w:val="1"/>
        <w:rPr>
          <w:rtl/>
        </w:rPr>
      </w:pPr>
      <w:bookmarkStart w:id="13554" w:name="_Toc63111415"/>
      <w:bookmarkStart w:id="13555" w:name="_Toc63163463"/>
      <w:bookmarkStart w:id="13556" w:name="_Toc63188710"/>
      <w:bookmarkStart w:id="13557" w:name="_Toc63247669"/>
      <w:r>
        <w:rPr>
          <w:rFonts w:hint="cs"/>
          <w:rtl/>
        </w:rPr>
        <w:t>ראיית ר"ח ורה"ג מדברי אביי בההוא ערבא דאיירי באמנה</w:t>
      </w:r>
      <w:bookmarkEnd w:id="13554"/>
      <w:bookmarkEnd w:id="13555"/>
      <w:bookmarkEnd w:id="13556"/>
      <w:bookmarkEnd w:id="13557"/>
    </w:p>
    <w:p w:rsidR="003B7617" w:rsidRDefault="003B7617" w:rsidP="003B7617">
      <w:pPr>
        <w:pStyle w:val="a3"/>
        <w:rPr>
          <w:rtl/>
        </w:rPr>
      </w:pPr>
      <w:bookmarkStart w:id="13558" w:name="_Toc63111416"/>
      <w:bookmarkStart w:id="13559" w:name="_Toc63163464"/>
      <w:bookmarkStart w:id="13560" w:name="_Toc63188711"/>
      <w:bookmarkStart w:id="13561" w:name="_Toc63247670"/>
      <w:r>
        <w:rPr>
          <w:rFonts w:hint="cs"/>
          <w:rtl/>
        </w:rPr>
        <w:t>הוכחת ר"ח ורה"ג מהא דבההוא ערבא לא איירי בשטר מזויף ומשמע בגמ' דהוא אותו נדון</w:t>
      </w:r>
      <w:bookmarkEnd w:id="13558"/>
      <w:bookmarkEnd w:id="13559"/>
      <w:bookmarkEnd w:id="13560"/>
      <w:bookmarkEnd w:id="13561"/>
    </w:p>
    <w:p w:rsidR="003B7617" w:rsidRDefault="003B7617" w:rsidP="007E4E81">
      <w:pPr>
        <w:pStyle w:val="a0"/>
        <w:rPr>
          <w:rtl/>
        </w:rPr>
      </w:pPr>
      <w:r>
        <w:rPr>
          <w:rFonts w:hint="cs"/>
          <w:rtl/>
        </w:rPr>
        <w:t xml:space="preserve">והביא </w:t>
      </w:r>
      <w:r w:rsidRPr="006B41C0">
        <w:rPr>
          <w:rStyle w:val="af9"/>
          <w:rFonts w:hint="cs"/>
          <w:rtl/>
        </w:rPr>
        <w:t>הרשב"ם</w:t>
      </w:r>
      <w:r>
        <w:rPr>
          <w:rFonts w:hint="cs"/>
          <w:rtl/>
        </w:rPr>
        <w:t xml:space="preserve"> </w:t>
      </w:r>
      <w:r w:rsidRPr="00874907">
        <w:rPr>
          <w:rStyle w:val="af7"/>
          <w:rFonts w:eastAsia="Guttman Hodes" w:hint="cs"/>
          <w:rtl/>
        </w:rPr>
        <w:t>(ד"ה שלח ליה)</w:t>
      </w:r>
      <w:r>
        <w:rPr>
          <w:rFonts w:hint="cs"/>
          <w:rtl/>
        </w:rPr>
        <w:t xml:space="preserve"> בשם </w:t>
      </w:r>
      <w:r w:rsidRPr="006B41C0">
        <w:rPr>
          <w:rStyle w:val="af9"/>
          <w:rFonts w:hint="cs"/>
          <w:rtl/>
        </w:rPr>
        <w:t>ר"ח</w:t>
      </w:r>
      <w:r>
        <w:rPr>
          <w:rFonts w:hint="cs"/>
          <w:rtl/>
        </w:rPr>
        <w:t xml:space="preserve"> </w:t>
      </w:r>
      <w:r w:rsidRPr="00874907">
        <w:rPr>
          <w:rStyle w:val="af7"/>
          <w:rFonts w:eastAsia="Guttman Hodes" w:hint="cs"/>
          <w:rtl/>
        </w:rPr>
        <w:t>(ד"ה שמעינן)</w:t>
      </w:r>
      <w:r>
        <w:rPr>
          <w:rFonts w:hint="cs"/>
          <w:rtl/>
        </w:rPr>
        <w:t xml:space="preserve"> דהביא ראיה דאיירי בשטר אמנה ולא בשטר מזויף, מהא דבההוא ערבא בשטר שנמחל שעבודו, שלח אביי לרב אידי בר אבין דהלכתא כוותיה דרב יוסף בזוזי, והא אי איירי בשטר מזויף ממש, ודאי דהשטר פסול אף לרבה, אלא כתב </w:t>
      </w:r>
      <w:r w:rsidRPr="006B41C0">
        <w:rPr>
          <w:rStyle w:val="af9"/>
          <w:rFonts w:hint="cs"/>
          <w:rtl/>
        </w:rPr>
        <w:t>הרשב"ם</w:t>
      </w:r>
      <w:r>
        <w:rPr>
          <w:rFonts w:hint="cs"/>
          <w:rtl/>
        </w:rPr>
        <w:t xml:space="preserve"> בשם</w:t>
      </w:r>
      <w:r w:rsidRPr="006B41C0">
        <w:rPr>
          <w:rStyle w:val="af9"/>
          <w:rFonts w:hint="cs"/>
          <w:rtl/>
        </w:rPr>
        <w:t xml:space="preserve"> ר"ח </w:t>
      </w:r>
      <w:r>
        <w:rPr>
          <w:rFonts w:hint="cs"/>
          <w:rtl/>
        </w:rPr>
        <w:t>דמוכח דכל פלוגתת רבה ורב יוסף היא בשטר שנמחל שעבודו, או בשטר</w:t>
      </w:r>
      <w:r w:rsidRPr="00FC125C">
        <w:rPr>
          <w:rFonts w:hint="cs"/>
          <w:rtl/>
        </w:rPr>
        <w:t xml:space="preserve"> </w:t>
      </w:r>
      <w:r>
        <w:rPr>
          <w:rFonts w:hint="cs"/>
          <w:rtl/>
        </w:rPr>
        <w:t xml:space="preserve">אמנה שלא ניתן להכתב, ולכן אמר לאביי דכיון דנחלקו רבה ורב יוסף בשטר אמנה, ה"ה בשטר שנמחל שעבודו, וכ"כ </w:t>
      </w:r>
      <w:r w:rsidRPr="006B41C0">
        <w:rPr>
          <w:rStyle w:val="af9"/>
          <w:rFonts w:hint="cs"/>
          <w:rtl/>
        </w:rPr>
        <w:t>רבינו יונה</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Ref62666414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Pr>
          <w:rStyle w:val="af7"/>
          <w:rFonts w:eastAsia="Guttman Hodes"/>
          <w:rtl/>
        </w:rPr>
        <w:fldChar w:fldCharType="end"/>
      </w:r>
      <w:r>
        <w:rPr>
          <w:rFonts w:hint="cs"/>
          <w:rtl/>
        </w:rPr>
        <w:t xml:space="preserve"> בשם </w:t>
      </w:r>
      <w:r w:rsidRPr="006B41C0">
        <w:rPr>
          <w:rStyle w:val="af9"/>
          <w:rFonts w:hint="cs"/>
          <w:rtl/>
        </w:rPr>
        <w:t>רב האי גאון והרשב"א</w:t>
      </w:r>
      <w:r w:rsidRPr="00F4777F">
        <w:rPr>
          <w:rStyle w:val="af7"/>
          <w:rFonts w:eastAsia="Guttman Hodes" w:hint="cs"/>
          <w:rtl/>
        </w:rPr>
        <w:t xml:space="preserve"> (ד"ה ולבסוף)</w:t>
      </w:r>
      <w:r>
        <w:rPr>
          <w:rFonts w:hint="cs"/>
          <w:rtl/>
        </w:rPr>
        <w:t xml:space="preserve"> בשם </w:t>
      </w:r>
      <w:r w:rsidRPr="006B41C0">
        <w:rPr>
          <w:rStyle w:val="af9"/>
          <w:rFonts w:hint="cs"/>
          <w:rtl/>
        </w:rPr>
        <w:t>הגאונים</w:t>
      </w:r>
      <w:r>
        <w:rPr>
          <w:rFonts w:hint="cs"/>
          <w:rtl/>
        </w:rPr>
        <w:t xml:space="preserve">, ועי' במה שביאר </w:t>
      </w:r>
      <w:r w:rsidRPr="00F307C1">
        <w:rPr>
          <w:rStyle w:val="af9"/>
          <w:rFonts w:hint="cs"/>
          <w:rtl/>
        </w:rPr>
        <w:t>החת"ס</w:t>
      </w:r>
      <w:r>
        <w:rPr>
          <w:rFonts w:hint="cs"/>
          <w:rtl/>
        </w:rPr>
        <w:t xml:space="preserve"> </w:t>
      </w:r>
      <w:r w:rsidRPr="00F307C1">
        <w:rPr>
          <w:rStyle w:val="af7"/>
          <w:rFonts w:eastAsia="Guttman Hodes" w:hint="cs"/>
          <w:rtl/>
        </w:rPr>
        <w:t>(ד"ה גחין</w:t>
      </w:r>
      <w:r>
        <w:rPr>
          <w:rStyle w:val="af7"/>
          <w:rFonts w:eastAsia="Guttman Hodes" w:hint="cs"/>
          <w:rtl/>
        </w:rPr>
        <w:t>)</w:t>
      </w:r>
      <w:r>
        <w:rPr>
          <w:rFonts w:hint="cs"/>
          <w:rtl/>
        </w:rPr>
        <w:t>.</w:t>
      </w:r>
    </w:p>
    <w:p w:rsidR="003B7617" w:rsidRDefault="003B7617" w:rsidP="003B7617">
      <w:pPr>
        <w:pStyle w:val="a3"/>
      </w:pPr>
      <w:bookmarkStart w:id="13562" w:name="_Toc63111417"/>
      <w:bookmarkStart w:id="13563" w:name="_Toc63163465"/>
      <w:bookmarkStart w:id="13564" w:name="_Toc63188712"/>
      <w:bookmarkStart w:id="13565" w:name="_Toc63247671"/>
      <w:r>
        <w:rPr>
          <w:rFonts w:hint="cs"/>
          <w:rtl/>
        </w:rPr>
        <w:t>דחיית הרשב"ם והרשב"א דאין כל חילוק בדין בין שטר מזויף לאמנה דשניהם פסולים</w:t>
      </w:r>
      <w:bookmarkEnd w:id="13562"/>
      <w:bookmarkEnd w:id="13563"/>
      <w:bookmarkEnd w:id="13564"/>
      <w:bookmarkEnd w:id="13565"/>
    </w:p>
    <w:p w:rsidR="003B7617" w:rsidRDefault="003B7617" w:rsidP="007E4E81">
      <w:pPr>
        <w:pStyle w:val="a0"/>
        <w:rPr>
          <w:rtl/>
        </w:rPr>
      </w:pPr>
      <w:r>
        <w:rPr>
          <w:rFonts w:hint="cs"/>
          <w:rtl/>
        </w:rPr>
        <w:t xml:space="preserve">אך דחה </w:t>
      </w:r>
      <w:r w:rsidRPr="00FB76BD">
        <w:rPr>
          <w:rStyle w:val="af9"/>
          <w:rFonts w:hint="cs"/>
          <w:rtl/>
        </w:rPr>
        <w:t>הרשב"ם</w:t>
      </w:r>
      <w:r>
        <w:rPr>
          <w:rFonts w:hint="cs"/>
          <w:rtl/>
        </w:rPr>
        <w:t xml:space="preserve"> </w:t>
      </w:r>
      <w:r w:rsidRPr="00F4777F">
        <w:rPr>
          <w:rStyle w:val="af7"/>
          <w:rFonts w:eastAsia="Guttman Hodes" w:hint="cs"/>
          <w:rtl/>
        </w:rPr>
        <w:t>(סוד"ה שלח ליה)</w:t>
      </w:r>
      <w:r>
        <w:rPr>
          <w:rFonts w:hint="cs"/>
          <w:rtl/>
        </w:rPr>
        <w:t xml:space="preserve"> את דברי </w:t>
      </w:r>
      <w:r w:rsidRPr="00FB76BD">
        <w:rPr>
          <w:rStyle w:val="af9"/>
          <w:rFonts w:hint="cs"/>
          <w:rtl/>
        </w:rPr>
        <w:t>ר"ח</w:t>
      </w:r>
      <w:r>
        <w:rPr>
          <w:rFonts w:hint="cs"/>
          <w:rtl/>
        </w:rPr>
        <w:t xml:space="preserve"> וכתב דנראה לומר דה"ה בשטר מזויף ממש, וכן דחה </w:t>
      </w:r>
      <w:r w:rsidRPr="00FB76BD">
        <w:rPr>
          <w:rStyle w:val="af9"/>
          <w:rFonts w:hint="cs"/>
          <w:rtl/>
        </w:rPr>
        <w:t>הרשב"א</w:t>
      </w:r>
      <w:r>
        <w:rPr>
          <w:rFonts w:hint="cs"/>
          <w:rtl/>
        </w:rPr>
        <w:t xml:space="preserve"> דאין כל חילוק בין שטר אמנה, לשטר מזויף ממש, דכיון שכל הנאמנות של המחזיק היא </w:t>
      </w:r>
      <w:r>
        <w:rPr>
          <w:rFonts w:hint="cs"/>
          <w:rtl/>
        </w:rPr>
        <w:lastRenderedPageBreak/>
        <w:t xml:space="preserve">מחמת המיגו, א"כ בין אם באמנה ובין במזויף השטר פסול ויש לו מיגו, וכ"כ </w:t>
      </w:r>
      <w:r w:rsidRPr="00BB2E8D">
        <w:rPr>
          <w:rStyle w:val="af9"/>
          <w:rFonts w:hint="cs"/>
          <w:rtl/>
        </w:rPr>
        <w:t>הרא"ש</w:t>
      </w:r>
      <w:r>
        <w:rPr>
          <w:rFonts w:hint="cs"/>
          <w:rtl/>
        </w:rPr>
        <w:t xml:space="preserve"> </w:t>
      </w:r>
      <w:r w:rsidRPr="00BB2E8D">
        <w:rPr>
          <w:rStyle w:val="af7"/>
          <w:rFonts w:eastAsia="Guttman Hodes" w:hint="cs"/>
          <w:rtl/>
        </w:rPr>
        <w:t xml:space="preserve">(עי' אות </w:t>
      </w:r>
      <w:r w:rsidRPr="00BB2E8D">
        <w:rPr>
          <w:rStyle w:val="af7"/>
          <w:rFonts w:eastAsia="Guttman Hodes"/>
          <w:rtl/>
        </w:rPr>
        <w:fldChar w:fldCharType="begin"/>
      </w:r>
      <w:r w:rsidRPr="00BB2E8D">
        <w:rPr>
          <w:rStyle w:val="af7"/>
          <w:rFonts w:eastAsia="Guttman Hodes"/>
          <w:rtl/>
        </w:rPr>
        <w:instrText xml:space="preserve"> </w:instrText>
      </w:r>
      <w:r w:rsidRPr="00BB2E8D">
        <w:rPr>
          <w:rStyle w:val="af7"/>
          <w:rFonts w:eastAsia="Guttman Hodes" w:hint="cs"/>
        </w:rPr>
        <w:instrText>REF</w:instrText>
      </w:r>
      <w:r w:rsidRPr="00BB2E8D">
        <w:rPr>
          <w:rStyle w:val="af7"/>
          <w:rFonts w:eastAsia="Guttman Hodes" w:hint="cs"/>
          <w:rtl/>
        </w:rPr>
        <w:instrText xml:space="preserve"> _</w:instrText>
      </w:r>
      <w:r w:rsidRPr="00BB2E8D">
        <w:rPr>
          <w:rStyle w:val="af7"/>
          <w:rFonts w:eastAsia="Guttman Hodes" w:hint="cs"/>
        </w:rPr>
        <w:instrText>Ref63109392 \r \h</w:instrText>
      </w:r>
      <w:r w:rsidRPr="00BB2E8D">
        <w:rPr>
          <w:rStyle w:val="af7"/>
          <w:rFonts w:eastAsia="Guttman Hodes"/>
          <w:rtl/>
        </w:rPr>
        <w:instrText xml:space="preserve"> </w:instrText>
      </w:r>
      <w:r w:rsidRPr="00BB2E8D">
        <w:rPr>
          <w:rStyle w:val="af7"/>
          <w:rFonts w:eastAsia="Guttman Hodes"/>
          <w:rtl/>
        </w:rPr>
      </w:r>
      <w:r w:rsidRPr="00BB2E8D">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BB2E8D">
        <w:rPr>
          <w:rStyle w:val="af7"/>
          <w:rFonts w:eastAsia="Guttman Hodes"/>
          <w:rtl/>
        </w:rPr>
        <w:fldChar w:fldCharType="end"/>
      </w:r>
      <w:r w:rsidRPr="00C17E27">
        <w:rPr>
          <w:rStyle w:val="afb"/>
          <w:rFonts w:hint="cs"/>
          <w:rtl/>
        </w:rPr>
        <w:t xml:space="preserve"> </w:t>
      </w:r>
      <w:r w:rsidRPr="00914C1F">
        <w:rPr>
          <w:rStyle w:val="afb"/>
          <w:rFonts w:hint="cs"/>
          <w:rtl/>
        </w:rPr>
        <w:t xml:space="preserve">[ועי' </w:t>
      </w:r>
      <w:r>
        <w:rPr>
          <w:rStyle w:val="afb"/>
          <w:rFonts w:hint="cs"/>
          <w:rtl/>
        </w:rPr>
        <w:t>בדברי</w:t>
      </w:r>
      <w:r>
        <w:rPr>
          <w:rStyle w:val="affa"/>
          <w:rFonts w:hint="cs"/>
          <w:rtl/>
        </w:rPr>
        <w:t xml:space="preserve"> </w:t>
      </w:r>
      <w:r w:rsidRPr="00914C1F">
        <w:rPr>
          <w:rStyle w:val="affa"/>
          <w:rFonts w:hint="cs"/>
          <w:rtl/>
        </w:rPr>
        <w:t>פסקי הרי"ד</w:t>
      </w:r>
      <w:r w:rsidRPr="00914C1F">
        <w:rPr>
          <w:rStyle w:val="afb"/>
          <w:rFonts w:hint="cs"/>
          <w:rtl/>
        </w:rPr>
        <w:t xml:space="preserve"> </w:t>
      </w:r>
      <w:r w:rsidRPr="00914C1F">
        <w:rPr>
          <w:rStyle w:val="aff6"/>
          <w:rFonts w:hint="cs"/>
          <w:rtl/>
        </w:rPr>
        <w:t xml:space="preserve">(עי' אות </w:t>
      </w:r>
      <w:r w:rsidRPr="00914C1F">
        <w:rPr>
          <w:rStyle w:val="aff6"/>
          <w:rtl/>
        </w:rPr>
        <w:fldChar w:fldCharType="begin"/>
      </w:r>
      <w:r w:rsidRPr="00914C1F">
        <w:rPr>
          <w:rStyle w:val="aff6"/>
          <w:rtl/>
        </w:rPr>
        <w:instrText xml:space="preserve"> </w:instrText>
      </w:r>
      <w:r w:rsidRPr="00914C1F">
        <w:rPr>
          <w:rStyle w:val="aff6"/>
          <w:rFonts w:hint="cs"/>
        </w:rPr>
        <w:instrText>REF</w:instrText>
      </w:r>
      <w:r w:rsidRPr="00914C1F">
        <w:rPr>
          <w:rStyle w:val="aff6"/>
          <w:rFonts w:hint="cs"/>
          <w:rtl/>
        </w:rPr>
        <w:instrText xml:space="preserve"> _</w:instrText>
      </w:r>
      <w:r w:rsidRPr="00914C1F">
        <w:rPr>
          <w:rStyle w:val="aff6"/>
          <w:rFonts w:hint="cs"/>
        </w:rPr>
        <w:instrText>Ref63181472 \r \h</w:instrText>
      </w:r>
      <w:r w:rsidRPr="00914C1F">
        <w:rPr>
          <w:rStyle w:val="aff6"/>
          <w:rtl/>
        </w:rPr>
        <w:instrText xml:space="preserve"> </w:instrText>
      </w:r>
      <w:r w:rsidRPr="00914C1F">
        <w:rPr>
          <w:rStyle w:val="aff6"/>
          <w:rtl/>
        </w:rPr>
      </w:r>
      <w:r w:rsidRPr="00914C1F">
        <w:rPr>
          <w:rStyle w:val="aff6"/>
          <w:rtl/>
        </w:rPr>
        <w:fldChar w:fldCharType="separate"/>
      </w:r>
      <w:r w:rsidR="00265073">
        <w:rPr>
          <w:rStyle w:val="aff6"/>
          <w:cs/>
        </w:rPr>
        <w:t>‎</w:t>
      </w:r>
      <w:r w:rsidR="00265073">
        <w:rPr>
          <w:rStyle w:val="aff6"/>
          <w:rtl/>
        </w:rPr>
        <w:t>מו)</w:t>
      </w:r>
      <w:r w:rsidRPr="00914C1F">
        <w:rPr>
          <w:rStyle w:val="aff6"/>
          <w:rtl/>
        </w:rPr>
        <w:fldChar w:fldCharType="end"/>
      </w:r>
      <w:r>
        <w:rPr>
          <w:rStyle w:val="afb"/>
          <w:rFonts w:hint="cs"/>
          <w:rtl/>
        </w:rPr>
        <w:t xml:space="preserve"> דמשמע דאיירי בשטר מזויף, אבל בההוא ערבא ביאר </w:t>
      </w:r>
      <w:r w:rsidRPr="00914C1F">
        <w:rPr>
          <w:rStyle w:val="affa"/>
          <w:rFonts w:hint="cs"/>
          <w:rtl/>
        </w:rPr>
        <w:t>פסקי הרי"ד</w:t>
      </w:r>
      <w:r w:rsidRPr="00914C1F">
        <w:rPr>
          <w:rStyle w:val="afb"/>
          <w:rFonts w:hint="cs"/>
          <w:rtl/>
        </w:rPr>
        <w:t xml:space="preserve"> </w:t>
      </w:r>
      <w:r w:rsidRPr="00914C1F">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Ref63181654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מז)</w:t>
      </w:r>
      <w:r>
        <w:rPr>
          <w:rStyle w:val="aff6"/>
          <w:rtl/>
        </w:rPr>
        <w:fldChar w:fldCharType="end"/>
      </w:r>
      <w:r>
        <w:rPr>
          <w:rStyle w:val="afb"/>
          <w:rFonts w:hint="cs"/>
          <w:rtl/>
        </w:rPr>
        <w:t xml:space="preserve"> דאיירי בשטר טו</w:t>
      </w:r>
      <w:r w:rsidRPr="00C17E27">
        <w:rPr>
          <w:rStyle w:val="afb"/>
          <w:rFonts w:hint="cs"/>
          <w:rtl/>
        </w:rPr>
        <w:t>ב</w:t>
      </w:r>
      <w:r>
        <w:rPr>
          <w:rStyle w:val="afb"/>
          <w:rFonts w:hint="cs"/>
          <w:rtl/>
        </w:rPr>
        <w:t xml:space="preserve">, ועי' במה שביאר </w:t>
      </w:r>
      <w:r w:rsidRPr="0024593A">
        <w:rPr>
          <w:rStyle w:val="affa"/>
          <w:rFonts w:hint="cs"/>
          <w:rtl/>
        </w:rPr>
        <w:t>הב"י</w:t>
      </w:r>
      <w:r>
        <w:rPr>
          <w:rStyle w:val="afb"/>
          <w:rFonts w:hint="cs"/>
          <w:rtl/>
        </w:rPr>
        <w:t xml:space="preserve"> </w:t>
      </w:r>
      <w:r w:rsidRPr="0024593A">
        <w:rPr>
          <w:rStyle w:val="aff6"/>
          <w:rFonts w:hint="cs"/>
          <w:rtl/>
        </w:rPr>
        <w:t xml:space="preserve">(עי' אות </w:t>
      </w:r>
      <w:r w:rsidRPr="0024593A">
        <w:rPr>
          <w:rStyle w:val="aff6"/>
          <w:rtl/>
        </w:rPr>
        <w:fldChar w:fldCharType="begin"/>
      </w:r>
      <w:r w:rsidRPr="0024593A">
        <w:rPr>
          <w:rStyle w:val="aff6"/>
          <w:rtl/>
        </w:rPr>
        <w:instrText xml:space="preserve"> </w:instrText>
      </w:r>
      <w:r w:rsidRPr="0024593A">
        <w:rPr>
          <w:rStyle w:val="aff6"/>
          <w:rFonts w:hint="cs"/>
        </w:rPr>
        <w:instrText>REF</w:instrText>
      </w:r>
      <w:r w:rsidRPr="0024593A">
        <w:rPr>
          <w:rStyle w:val="aff6"/>
          <w:rFonts w:hint="cs"/>
          <w:rtl/>
        </w:rPr>
        <w:instrText xml:space="preserve"> _</w:instrText>
      </w:r>
      <w:r w:rsidRPr="0024593A">
        <w:rPr>
          <w:rStyle w:val="aff6"/>
          <w:rFonts w:hint="cs"/>
        </w:rPr>
        <w:instrText>Ref63233748 \r \h</w:instrText>
      </w:r>
      <w:r w:rsidRPr="0024593A">
        <w:rPr>
          <w:rStyle w:val="aff6"/>
          <w:rtl/>
        </w:rPr>
        <w:instrText xml:space="preserve"> </w:instrText>
      </w:r>
      <w:r w:rsidRPr="0024593A">
        <w:rPr>
          <w:rStyle w:val="aff6"/>
          <w:rtl/>
        </w:rPr>
      </w:r>
      <w:r w:rsidRPr="0024593A">
        <w:rPr>
          <w:rStyle w:val="aff6"/>
          <w:rtl/>
        </w:rPr>
        <w:fldChar w:fldCharType="separate"/>
      </w:r>
      <w:r w:rsidR="00265073">
        <w:rPr>
          <w:rStyle w:val="aff6"/>
          <w:cs/>
        </w:rPr>
        <w:t>‎</w:t>
      </w:r>
      <w:r w:rsidR="00265073">
        <w:rPr>
          <w:rStyle w:val="aff6"/>
          <w:rtl/>
        </w:rPr>
        <w:t>כא)</w:t>
      </w:r>
      <w:r w:rsidRPr="0024593A">
        <w:rPr>
          <w:rStyle w:val="aff6"/>
          <w:rtl/>
        </w:rPr>
        <w:fldChar w:fldCharType="end"/>
      </w:r>
      <w:r>
        <w:rPr>
          <w:rStyle w:val="afb"/>
          <w:rFonts w:hint="cs"/>
          <w:rtl/>
        </w:rPr>
        <w:t xml:space="preserve"> בדעת </w:t>
      </w:r>
      <w:r w:rsidRPr="0024593A">
        <w:rPr>
          <w:rStyle w:val="affa"/>
          <w:rFonts w:hint="cs"/>
          <w:rtl/>
        </w:rPr>
        <w:t>הרמב"ם</w:t>
      </w:r>
      <w:r w:rsidRPr="00C17E27">
        <w:rPr>
          <w:rStyle w:val="afb"/>
          <w:rFonts w:hint="cs"/>
          <w:rtl/>
        </w:rPr>
        <w:t>].</w:t>
      </w:r>
    </w:p>
    <w:p w:rsidR="003B7617" w:rsidRDefault="003B7617" w:rsidP="003B7617">
      <w:pPr>
        <w:pStyle w:val="afe"/>
        <w:rPr>
          <w:rtl/>
        </w:rPr>
      </w:pPr>
      <w:bookmarkStart w:id="13566" w:name="_Toc63111418"/>
      <w:bookmarkStart w:id="13567" w:name="_Toc63163466"/>
      <w:bookmarkStart w:id="13568" w:name="_Toc63188713"/>
      <w:bookmarkStart w:id="13569" w:name="_Toc63247672"/>
      <w:r>
        <w:rPr>
          <w:rFonts w:hint="cs"/>
          <w:rtl/>
        </w:rPr>
        <w:t>דברי הרי"ף דבמזויף לכו"ע אינו נאמן</w:t>
      </w:r>
      <w:bookmarkEnd w:id="13566"/>
      <w:bookmarkEnd w:id="13567"/>
      <w:bookmarkEnd w:id="13568"/>
      <w:bookmarkEnd w:id="13569"/>
    </w:p>
    <w:p w:rsidR="003B7617" w:rsidRDefault="003B7617" w:rsidP="003B7617">
      <w:pPr>
        <w:pStyle w:val="a3"/>
        <w:rPr>
          <w:rtl/>
        </w:rPr>
      </w:pPr>
      <w:bookmarkStart w:id="13570" w:name="_Toc63111419"/>
      <w:bookmarkStart w:id="13571" w:name="_Toc63163467"/>
      <w:bookmarkStart w:id="13572" w:name="_Toc63188714"/>
      <w:bookmarkStart w:id="13573" w:name="_Toc63247673"/>
      <w:r>
        <w:rPr>
          <w:rFonts w:hint="cs"/>
          <w:rtl/>
        </w:rPr>
        <w:t>דברי הרי"ף והגאונים דבשטר מזויף ממש מודה רבה דהוא חספא ואינו נאמן במיגו</w:t>
      </w:r>
      <w:bookmarkEnd w:id="13570"/>
      <w:bookmarkEnd w:id="13571"/>
      <w:bookmarkEnd w:id="13572"/>
      <w:bookmarkEnd w:id="13573"/>
    </w:p>
    <w:p w:rsidR="003B7617" w:rsidRDefault="003B7617" w:rsidP="007E4E81">
      <w:pPr>
        <w:pStyle w:val="a0"/>
        <w:rPr>
          <w:rtl/>
        </w:rPr>
      </w:pPr>
      <w:bookmarkStart w:id="13574" w:name="_Ref63068221"/>
      <w:r>
        <w:rPr>
          <w:rFonts w:hint="cs"/>
          <w:rtl/>
        </w:rPr>
        <w:t xml:space="preserve">כתב </w:t>
      </w:r>
      <w:r w:rsidRPr="006B42E2">
        <w:rPr>
          <w:rStyle w:val="af9"/>
          <w:rFonts w:hint="cs"/>
          <w:rtl/>
        </w:rPr>
        <w:t>הרי"ף</w:t>
      </w:r>
      <w:r>
        <w:rPr>
          <w:rStyle w:val="af9"/>
          <w:rFonts w:hint="cs"/>
          <w:rtl/>
        </w:rPr>
        <w:t xml:space="preserve"> </w:t>
      </w:r>
      <w:r w:rsidRPr="007321C6">
        <w:rPr>
          <w:rStyle w:val="af7"/>
          <w:rFonts w:eastAsia="Guttman Hodes" w:hint="cs"/>
          <w:rtl/>
        </w:rPr>
        <w:t>(טז: מדה"ר)</w:t>
      </w:r>
      <w:r>
        <w:rPr>
          <w:rStyle w:val="af9"/>
          <w:rFonts w:hint="cs"/>
          <w:rtl/>
        </w:rPr>
        <w:t xml:space="preserve"> </w:t>
      </w:r>
      <w:r>
        <w:rPr>
          <w:rFonts w:hint="cs"/>
          <w:rtl/>
        </w:rPr>
        <w:t>דאי איירי בשטר שזייפו המחזיק ממש, אף רבה מודה דהשטר הוא חספא בעלמא, ואין לו מיגו,</w:t>
      </w:r>
      <w:r w:rsidRPr="00A561A4">
        <w:rPr>
          <w:rFonts w:hint="cs"/>
          <w:rtl/>
        </w:rPr>
        <w:t xml:space="preserve"> </w:t>
      </w:r>
      <w:r>
        <w:rPr>
          <w:rFonts w:hint="cs"/>
          <w:rtl/>
        </w:rPr>
        <w:t xml:space="preserve">וכ"כ </w:t>
      </w:r>
      <w:r w:rsidRPr="002617A0">
        <w:rPr>
          <w:rStyle w:val="af9"/>
          <w:rFonts w:hint="cs"/>
          <w:rtl/>
        </w:rPr>
        <w:t>הרשב"א</w:t>
      </w:r>
      <w:r>
        <w:rPr>
          <w:rFonts w:hint="cs"/>
          <w:rtl/>
        </w:rPr>
        <w:t xml:space="preserve"> </w:t>
      </w:r>
      <w:r w:rsidRPr="00F4777F">
        <w:rPr>
          <w:rStyle w:val="af7"/>
          <w:rFonts w:eastAsia="Guttman Hodes" w:hint="cs"/>
          <w:rtl/>
        </w:rPr>
        <w:t>(ד"ה ולבסוף)</w:t>
      </w:r>
      <w:r>
        <w:rPr>
          <w:rFonts w:hint="cs"/>
          <w:rtl/>
        </w:rPr>
        <w:t xml:space="preserve"> בשם </w:t>
      </w:r>
      <w:r w:rsidRPr="002617A0">
        <w:rPr>
          <w:rStyle w:val="af9"/>
          <w:rFonts w:hint="cs"/>
          <w:rtl/>
        </w:rPr>
        <w:t>הגאונים</w:t>
      </w:r>
      <w:r>
        <w:rPr>
          <w:rFonts w:hint="cs"/>
          <w:rtl/>
        </w:rPr>
        <w:t xml:space="preserve"> דאי מודה המחזיק שזייף את השטר אינו נאמן</w:t>
      </w:r>
      <w:r>
        <w:rPr>
          <w:rStyle w:val="af1"/>
          <w:rtl/>
        </w:rPr>
        <w:footnoteReference w:id="92"/>
      </w:r>
      <w:r>
        <w:rPr>
          <w:rFonts w:hint="cs"/>
          <w:rtl/>
        </w:rPr>
        <w:t xml:space="preserve">. </w:t>
      </w:r>
      <w:r w:rsidRPr="005279A1">
        <w:rPr>
          <w:rStyle w:val="afb"/>
          <w:rFonts w:hint="cs"/>
          <w:rtl/>
        </w:rPr>
        <w:t xml:space="preserve">[ועי' במ"ש </w:t>
      </w:r>
      <w:r w:rsidRPr="005279A1">
        <w:rPr>
          <w:rStyle w:val="affa"/>
          <w:rFonts w:hint="cs"/>
          <w:rtl/>
        </w:rPr>
        <w:t xml:space="preserve">הש"ך </w:t>
      </w:r>
      <w:r w:rsidRPr="005279A1">
        <w:rPr>
          <w:rStyle w:val="aff6"/>
          <w:rFonts w:hint="cs"/>
          <w:rtl/>
        </w:rPr>
        <w:t xml:space="preserve">(עי' אות </w:t>
      </w:r>
      <w:r w:rsidRPr="005279A1">
        <w:rPr>
          <w:rStyle w:val="aff6"/>
          <w:rtl/>
        </w:rPr>
        <w:fldChar w:fldCharType="begin"/>
      </w:r>
      <w:r w:rsidRPr="005279A1">
        <w:rPr>
          <w:rStyle w:val="aff6"/>
          <w:rtl/>
        </w:rPr>
        <w:instrText xml:space="preserve"> </w:instrText>
      </w:r>
      <w:r w:rsidRPr="005279A1">
        <w:rPr>
          <w:rStyle w:val="aff6"/>
          <w:rFonts w:hint="cs"/>
        </w:rPr>
        <w:instrText>REF</w:instrText>
      </w:r>
      <w:r w:rsidRPr="005279A1">
        <w:rPr>
          <w:rStyle w:val="aff6"/>
          <w:rFonts w:hint="cs"/>
          <w:rtl/>
        </w:rPr>
        <w:instrText xml:space="preserve"> _</w:instrText>
      </w:r>
      <w:r w:rsidRPr="005279A1">
        <w:rPr>
          <w:rStyle w:val="aff6"/>
          <w:rFonts w:hint="cs"/>
        </w:rPr>
        <w:instrText>Ref63068340 \r \h</w:instrText>
      </w:r>
      <w:r w:rsidRPr="005279A1">
        <w:rPr>
          <w:rStyle w:val="aff6"/>
          <w:rtl/>
        </w:rPr>
        <w:instrText xml:space="preserve"> </w:instrText>
      </w:r>
      <w:r w:rsidRPr="005279A1">
        <w:rPr>
          <w:rStyle w:val="aff6"/>
          <w:rtl/>
        </w:rPr>
      </w:r>
      <w:r w:rsidRPr="005279A1">
        <w:rPr>
          <w:rStyle w:val="aff6"/>
          <w:rtl/>
        </w:rPr>
        <w:fldChar w:fldCharType="separate"/>
      </w:r>
      <w:r w:rsidR="00265073">
        <w:rPr>
          <w:rStyle w:val="aff6"/>
          <w:cs/>
        </w:rPr>
        <w:t>‎</w:t>
      </w:r>
      <w:r w:rsidR="00265073">
        <w:rPr>
          <w:rStyle w:val="aff6"/>
          <w:rtl/>
        </w:rPr>
        <w:t>טו)</w:t>
      </w:r>
      <w:r w:rsidRPr="005279A1">
        <w:rPr>
          <w:rStyle w:val="aff6"/>
          <w:rtl/>
        </w:rPr>
        <w:fldChar w:fldCharType="end"/>
      </w:r>
      <w:r w:rsidRPr="005279A1">
        <w:rPr>
          <w:rStyle w:val="afb"/>
          <w:rFonts w:hint="cs"/>
          <w:rtl/>
        </w:rPr>
        <w:t xml:space="preserve"> דכוונת </w:t>
      </w:r>
      <w:r w:rsidRPr="005279A1">
        <w:rPr>
          <w:rStyle w:val="affa"/>
          <w:rFonts w:hint="cs"/>
          <w:rtl/>
        </w:rPr>
        <w:t xml:space="preserve">הרי"ף </w:t>
      </w:r>
      <w:r w:rsidRPr="005279A1">
        <w:rPr>
          <w:rStyle w:val="afb"/>
          <w:rFonts w:hint="cs"/>
          <w:rtl/>
        </w:rPr>
        <w:t>לומר שא"א לקיים את השטר, אך אם הצליח לקיימו נאמן במיגו].</w:t>
      </w:r>
      <w:bookmarkEnd w:id="13574"/>
    </w:p>
    <w:p w:rsidR="003B7617" w:rsidRDefault="003B7617" w:rsidP="003B7617">
      <w:pPr>
        <w:pStyle w:val="a3"/>
        <w:rPr>
          <w:rtl/>
        </w:rPr>
      </w:pPr>
      <w:bookmarkStart w:id="13575" w:name="_Toc63111420"/>
      <w:bookmarkStart w:id="13576" w:name="_Toc63163468"/>
      <w:bookmarkStart w:id="13577" w:name="_Toc63188715"/>
      <w:bookmarkStart w:id="13578" w:name="_Toc63247674"/>
      <w:r>
        <w:rPr>
          <w:rFonts w:hint="cs"/>
          <w:rtl/>
        </w:rPr>
        <w:t>ביאור רבינו יונה ברי"ף דאין לו מיגו דאף אם היה טוען שהוא טוב לא היה נאמן דאינו מקוים</w:t>
      </w:r>
      <w:bookmarkEnd w:id="13575"/>
      <w:bookmarkEnd w:id="13576"/>
      <w:bookmarkEnd w:id="13577"/>
      <w:bookmarkEnd w:id="13578"/>
    </w:p>
    <w:p w:rsidR="003B7617" w:rsidRDefault="003B7617" w:rsidP="007E4E81">
      <w:pPr>
        <w:pStyle w:val="a0"/>
        <w:rPr>
          <w:rStyle w:val="afb"/>
          <w:rtl/>
        </w:rPr>
      </w:pPr>
      <w:r>
        <w:rPr>
          <w:rFonts w:hint="cs"/>
          <w:rtl/>
        </w:rPr>
        <w:t xml:space="preserve">וביאר </w:t>
      </w:r>
      <w:r w:rsidRPr="002617A0">
        <w:rPr>
          <w:rStyle w:val="af9"/>
          <w:rFonts w:hint="cs"/>
          <w:rtl/>
        </w:rPr>
        <w:t>רבינו יונה</w:t>
      </w:r>
      <w:r>
        <w:rPr>
          <w:rFonts w:hint="cs"/>
          <w:rtl/>
        </w:rPr>
        <w:t xml:space="preserve"> </w:t>
      </w:r>
      <w:r w:rsidRPr="00F4777F">
        <w:rPr>
          <w:rStyle w:val="af7"/>
          <w:rFonts w:eastAsia="Guttman Hodes" w:hint="cs"/>
          <w:rtl/>
        </w:rPr>
        <w:t>(סוד"ה אמר</w:t>
      </w:r>
      <w:r w:rsidRPr="007868E9">
        <w:rPr>
          <w:rFonts w:hint="cs"/>
          <w:rtl/>
        </w:rPr>
        <w:t xml:space="preserve"> </w:t>
      </w:r>
      <w:r w:rsidRPr="00B8474F">
        <w:rPr>
          <w:rStyle w:val="af7"/>
          <w:rFonts w:eastAsia="Guttman Hodes" w:hint="cs"/>
          <w:rtl/>
        </w:rPr>
        <w:t>רבא</w:t>
      </w:r>
      <w:r w:rsidRPr="00F4777F">
        <w:rPr>
          <w:rStyle w:val="af7"/>
          <w:rFonts w:eastAsia="Guttman Hodes" w:hint="cs"/>
          <w:rtl/>
        </w:rPr>
        <w:t>)</w:t>
      </w:r>
      <w:r>
        <w:rPr>
          <w:rFonts w:hint="cs"/>
          <w:rtl/>
        </w:rPr>
        <w:t xml:space="preserve"> את דברי </w:t>
      </w:r>
      <w:r w:rsidRPr="002617A0">
        <w:rPr>
          <w:rStyle w:val="af9"/>
          <w:rFonts w:hint="cs"/>
          <w:rtl/>
        </w:rPr>
        <w:t>הרי"ף</w:t>
      </w:r>
      <w:r w:rsidRPr="00E54D80">
        <w:rPr>
          <w:rStyle w:val="af7"/>
          <w:rFonts w:eastAsia="Guttman Hodes" w:hint="cs"/>
          <w:rtl/>
        </w:rPr>
        <w:t xml:space="preserve"> (עי' אות </w:t>
      </w:r>
      <w:r w:rsidRPr="00E54D80">
        <w:rPr>
          <w:rStyle w:val="af7"/>
          <w:rFonts w:eastAsia="Guttman Hodes"/>
          <w:rtl/>
        </w:rPr>
        <w:fldChar w:fldCharType="begin"/>
      </w:r>
      <w:r w:rsidRPr="00E54D80">
        <w:rPr>
          <w:rStyle w:val="af7"/>
          <w:rFonts w:eastAsia="Guttman Hodes"/>
          <w:rtl/>
        </w:rPr>
        <w:instrText xml:space="preserve"> </w:instrText>
      </w:r>
      <w:r w:rsidRPr="00E54D80">
        <w:rPr>
          <w:rStyle w:val="af7"/>
          <w:rFonts w:eastAsia="Guttman Hodes" w:hint="cs"/>
        </w:rPr>
        <w:instrText>REF</w:instrText>
      </w:r>
      <w:r w:rsidRPr="00E54D80">
        <w:rPr>
          <w:rStyle w:val="af7"/>
          <w:rFonts w:eastAsia="Guttman Hodes" w:hint="cs"/>
          <w:rtl/>
        </w:rPr>
        <w:instrText xml:space="preserve"> _</w:instrText>
      </w:r>
      <w:r w:rsidRPr="00E54D80">
        <w:rPr>
          <w:rStyle w:val="af7"/>
          <w:rFonts w:eastAsia="Guttman Hodes" w:hint="cs"/>
        </w:rPr>
        <w:instrText>Ref63068221 \r \h</w:instrText>
      </w:r>
      <w:r w:rsidRPr="00E54D80">
        <w:rPr>
          <w:rStyle w:val="af7"/>
          <w:rFonts w:eastAsia="Guttman Hodes"/>
          <w:rtl/>
        </w:rPr>
        <w:instrText xml:space="preserve"> </w:instrText>
      </w:r>
      <w:r w:rsidRPr="00E54D80">
        <w:rPr>
          <w:rStyle w:val="af7"/>
          <w:rFonts w:eastAsia="Guttman Hodes"/>
          <w:rtl/>
        </w:rPr>
      </w:r>
      <w:r w:rsidRPr="00E54D80">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E54D80">
        <w:rPr>
          <w:rStyle w:val="af7"/>
          <w:rFonts w:eastAsia="Guttman Hodes"/>
          <w:rtl/>
        </w:rPr>
        <w:fldChar w:fldCharType="end"/>
      </w:r>
      <w:r w:rsidRPr="00E54D80">
        <w:rPr>
          <w:rStyle w:val="af7"/>
          <w:rFonts w:eastAsia="Guttman Hodes" w:hint="cs"/>
          <w:rtl/>
        </w:rPr>
        <w:t xml:space="preserve"> </w:t>
      </w:r>
      <w:r>
        <w:rPr>
          <w:rFonts w:hint="cs"/>
          <w:rtl/>
        </w:rPr>
        <w:t xml:space="preserve">דכיון שהשטר הוא חספא בעלמא, דכל שלא קיימו ודאי דלא שייך בו מיגו, דאף אם לא היה מודה והיה טוען שהוא שטר טוב, לא היה </w:t>
      </w:r>
      <w:r w:rsidRPr="00017CFE">
        <w:rPr>
          <w:rFonts w:hint="cs"/>
          <w:rtl/>
        </w:rPr>
        <w:t>נאמן כיון שטוען המערער שהוא מזויף, ואינו מקויים</w:t>
      </w:r>
      <w:r>
        <w:rPr>
          <w:rFonts w:hint="cs"/>
          <w:rtl/>
        </w:rPr>
        <w:t>.</w:t>
      </w:r>
      <w:r w:rsidRPr="00017CFE">
        <w:rPr>
          <w:rFonts w:hint="cs"/>
          <w:rtl/>
        </w:rPr>
        <w:t xml:space="preserve"> </w:t>
      </w:r>
      <w:r w:rsidRPr="00B668A8">
        <w:rPr>
          <w:rStyle w:val="afb"/>
          <w:rFonts w:hint="cs"/>
          <w:rtl/>
        </w:rPr>
        <w:t xml:space="preserve">[וכתב </w:t>
      </w:r>
      <w:r w:rsidRPr="00B668A8">
        <w:rPr>
          <w:rStyle w:val="affa"/>
          <w:rFonts w:hint="cs"/>
          <w:rtl/>
        </w:rPr>
        <w:t>רבינו יונה</w:t>
      </w:r>
      <w:r w:rsidRPr="00B668A8">
        <w:rPr>
          <w:rStyle w:val="afb"/>
          <w:rFonts w:hint="cs"/>
          <w:rtl/>
        </w:rPr>
        <w:t xml:space="preserve"> דמוכח מזה כמו שביאר </w:t>
      </w:r>
      <w:r w:rsidRPr="00B668A8">
        <w:rPr>
          <w:rStyle w:val="affa"/>
          <w:rFonts w:hint="cs"/>
          <w:rtl/>
        </w:rPr>
        <w:t>רבינו יונה</w:t>
      </w:r>
      <w:r w:rsidRPr="00B668A8">
        <w:rPr>
          <w:rStyle w:val="afb"/>
          <w:rFonts w:hint="cs"/>
          <w:rtl/>
        </w:rPr>
        <w:t xml:space="preserve"> </w:t>
      </w:r>
      <w:r w:rsidRPr="00B668A8">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Ref63234908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פח)</w:t>
      </w:r>
      <w:r>
        <w:rPr>
          <w:rStyle w:val="aff6"/>
          <w:rtl/>
        </w:rPr>
        <w:fldChar w:fldCharType="end"/>
      </w:r>
      <w:r w:rsidRPr="00B668A8">
        <w:rPr>
          <w:rStyle w:val="aff6"/>
          <w:rFonts w:hint="cs"/>
          <w:rtl/>
        </w:rPr>
        <w:t xml:space="preserve"> </w:t>
      </w:r>
      <w:r w:rsidRPr="00B668A8">
        <w:rPr>
          <w:rStyle w:val="afb"/>
          <w:rFonts w:hint="cs"/>
          <w:rtl/>
        </w:rPr>
        <w:t>דדוקא</w:t>
      </w:r>
      <w:r w:rsidRPr="00874907">
        <w:rPr>
          <w:rStyle w:val="afb"/>
          <w:rFonts w:hint="cs"/>
          <w:rtl/>
        </w:rPr>
        <w:t xml:space="preserve"> כיון שהוא שטר אמנה העמיד רבה בידו, כיון שבעל הקרקע החזיקו בקרקע זו, אבל בשטר מזויף אף אם זייפו יפה וקיים את החתימות א"א להעמיד את הקרקע בידו, כיון שלא קיבל את השטר מהבעלים].</w:t>
      </w:r>
    </w:p>
    <w:p w:rsidR="003B7617" w:rsidRDefault="003B7617" w:rsidP="003B7617">
      <w:pPr>
        <w:pStyle w:val="1"/>
        <w:rPr>
          <w:rtl/>
        </w:rPr>
      </w:pPr>
      <w:bookmarkStart w:id="13579" w:name="_Toc63111421"/>
      <w:bookmarkStart w:id="13580" w:name="_Toc63163469"/>
      <w:bookmarkStart w:id="13581" w:name="_Toc63188716"/>
      <w:bookmarkStart w:id="13582" w:name="_Toc63247675"/>
      <w:r>
        <w:rPr>
          <w:rFonts w:hint="cs"/>
          <w:rtl/>
        </w:rPr>
        <w:t>ביאור הרמ"ה דבמזויף אף אי קיימו ל"מ מיגו דאנ"ס ששיקר</w:t>
      </w:r>
      <w:bookmarkEnd w:id="13579"/>
      <w:bookmarkEnd w:id="13580"/>
      <w:bookmarkEnd w:id="13581"/>
      <w:bookmarkEnd w:id="13582"/>
    </w:p>
    <w:p w:rsidR="003B7617" w:rsidRDefault="003B7617" w:rsidP="003B7617">
      <w:pPr>
        <w:pStyle w:val="a3"/>
        <w:rPr>
          <w:rtl/>
        </w:rPr>
      </w:pPr>
      <w:bookmarkStart w:id="13583" w:name="_Toc63111422"/>
      <w:bookmarkStart w:id="13584" w:name="_Toc63163470"/>
      <w:bookmarkStart w:id="13585" w:name="_Toc63188717"/>
      <w:bookmarkStart w:id="13586" w:name="_Toc63247676"/>
      <w:r>
        <w:rPr>
          <w:rFonts w:hint="cs"/>
          <w:rtl/>
        </w:rPr>
        <w:t>דברי הרמ"ה דשטר מזויף ממש אין לו מיגו דקשה מאוד לקיימו ואף אי קיימו אינו נאמן</w:t>
      </w:r>
      <w:bookmarkEnd w:id="13583"/>
      <w:bookmarkEnd w:id="13584"/>
      <w:bookmarkEnd w:id="13585"/>
      <w:bookmarkEnd w:id="13586"/>
    </w:p>
    <w:p w:rsidR="003B7617" w:rsidRDefault="003B7617" w:rsidP="007E4E81">
      <w:pPr>
        <w:pStyle w:val="a0"/>
        <w:rPr>
          <w:rtl/>
        </w:rPr>
      </w:pPr>
      <w:bookmarkStart w:id="13587" w:name="_Ref63110665"/>
      <w:r>
        <w:rPr>
          <w:rFonts w:hint="cs"/>
          <w:rtl/>
        </w:rPr>
        <w:t xml:space="preserve">כתב </w:t>
      </w:r>
      <w:r w:rsidRPr="006B41C0">
        <w:rPr>
          <w:rStyle w:val="af9"/>
          <w:rFonts w:hint="cs"/>
          <w:rtl/>
        </w:rPr>
        <w:t>היד רמ"ה</w:t>
      </w:r>
      <w:r>
        <w:rPr>
          <w:rFonts w:hint="cs"/>
          <w:rtl/>
        </w:rPr>
        <w:t xml:space="preserve"> </w:t>
      </w:r>
      <w:r w:rsidRPr="00F4777F">
        <w:rPr>
          <w:rStyle w:val="af7"/>
          <w:rFonts w:eastAsia="Guttman Hodes" w:hint="cs"/>
          <w:rtl/>
        </w:rPr>
        <w:t xml:space="preserve">(או' מ"ז ד"ה ודוקא) </w:t>
      </w:r>
      <w:r>
        <w:rPr>
          <w:rFonts w:hint="cs"/>
          <w:rtl/>
        </w:rPr>
        <w:t xml:space="preserve">דהא דאמר רבה שיש לו מיגו, היינו דוקא בשטר אמנה שיכול לקיימו בב"ד, אבל בשטר מזויף ממש לא, דאם אינו יכול לקיימו ודאי שאינו כלום דהא אין לו כל מיגו, ואף במקום שיכול לקיימו כשטרח לזייף את החתימות העדים עד שהם דומות לחתימת ידיהם, והוא יכול לקיים את חתימתם מכתב ידם שיוצא ממקום אחר, </w:t>
      </w:r>
      <w:r w:rsidRPr="00874907">
        <w:rPr>
          <w:rStyle w:val="afb"/>
          <w:rFonts w:hint="cs"/>
          <w:rtl/>
        </w:rPr>
        <w:t>[</w:t>
      </w:r>
      <w:r w:rsidRPr="003D0D37">
        <w:rPr>
          <w:rStyle w:val="affa"/>
          <w:rFonts w:hint="cs"/>
          <w:rtl/>
        </w:rPr>
        <w:t>והרשב"ם</w:t>
      </w:r>
      <w:r w:rsidRPr="00874907">
        <w:rPr>
          <w:rStyle w:val="afb"/>
          <w:rFonts w:hint="cs"/>
          <w:rtl/>
        </w:rPr>
        <w:t xml:space="preserve"> </w:t>
      </w:r>
      <w:r w:rsidRPr="00FC246D">
        <w:rPr>
          <w:rStyle w:val="aff6"/>
          <w:rFonts w:hint="cs"/>
          <w:rtl/>
        </w:rPr>
        <w:t xml:space="preserve">(עי' אות </w:t>
      </w:r>
      <w:r w:rsidRPr="00FC246D">
        <w:rPr>
          <w:rStyle w:val="aff6"/>
          <w:rtl/>
        </w:rPr>
        <w:fldChar w:fldCharType="begin"/>
      </w:r>
      <w:r w:rsidRPr="00FC246D">
        <w:rPr>
          <w:rStyle w:val="aff6"/>
          <w:rtl/>
        </w:rPr>
        <w:instrText xml:space="preserve"> </w:instrText>
      </w:r>
      <w:r w:rsidRPr="00FC246D">
        <w:rPr>
          <w:rStyle w:val="aff6"/>
          <w:rFonts w:hint="cs"/>
        </w:rPr>
        <w:instrText>REF</w:instrText>
      </w:r>
      <w:r w:rsidRPr="00FC246D">
        <w:rPr>
          <w:rStyle w:val="aff6"/>
          <w:rFonts w:hint="cs"/>
          <w:rtl/>
        </w:rPr>
        <w:instrText xml:space="preserve"> _</w:instrText>
      </w:r>
      <w:r w:rsidRPr="00FC246D">
        <w:rPr>
          <w:rStyle w:val="aff6"/>
          <w:rFonts w:hint="cs"/>
        </w:rPr>
        <w:instrText>Ref63108785 \r \h</w:instrText>
      </w:r>
      <w:r w:rsidRPr="00FC246D">
        <w:rPr>
          <w:rStyle w:val="aff6"/>
          <w:rtl/>
        </w:rPr>
        <w:instrText xml:space="preserve"> </w:instrText>
      </w:r>
      <w:r w:rsidRPr="00FC246D">
        <w:rPr>
          <w:rStyle w:val="aff6"/>
          <w:rtl/>
        </w:rPr>
      </w:r>
      <w:r w:rsidRPr="00FC246D">
        <w:rPr>
          <w:rStyle w:val="aff6"/>
          <w:rtl/>
        </w:rPr>
        <w:fldChar w:fldCharType="separate"/>
      </w:r>
      <w:r w:rsidR="00265073">
        <w:rPr>
          <w:rStyle w:val="aff6"/>
          <w:cs/>
        </w:rPr>
        <w:t>‎</w:t>
      </w:r>
      <w:r w:rsidR="00265073">
        <w:rPr>
          <w:rStyle w:val="aff6"/>
          <w:rtl/>
        </w:rPr>
        <w:t>יז)</w:t>
      </w:r>
      <w:r w:rsidRPr="00FC246D">
        <w:rPr>
          <w:rStyle w:val="aff6"/>
          <w:rtl/>
        </w:rPr>
        <w:fldChar w:fldCharType="end"/>
      </w:r>
      <w:r w:rsidRPr="00874907">
        <w:rPr>
          <w:rStyle w:val="afb"/>
          <w:rFonts w:hint="cs"/>
          <w:rtl/>
        </w:rPr>
        <w:t xml:space="preserve"> כתב דהעדים עצמם יטעו שזו חתימתם],</w:t>
      </w:r>
      <w:r>
        <w:rPr>
          <w:rFonts w:hint="cs"/>
          <w:rtl/>
        </w:rPr>
        <w:t xml:space="preserve"> מ"מ כתב </w:t>
      </w:r>
      <w:r w:rsidRPr="006B41C0">
        <w:rPr>
          <w:rStyle w:val="af9"/>
          <w:rFonts w:hint="cs"/>
          <w:rtl/>
        </w:rPr>
        <w:t>היד</w:t>
      </w:r>
      <w:r>
        <w:rPr>
          <w:rFonts w:hint="cs"/>
          <w:rtl/>
        </w:rPr>
        <w:t xml:space="preserve"> </w:t>
      </w:r>
      <w:r w:rsidRPr="006B41C0">
        <w:rPr>
          <w:rStyle w:val="af9"/>
          <w:rFonts w:hint="cs"/>
          <w:rtl/>
        </w:rPr>
        <w:t>רמ</w:t>
      </w:r>
      <w:r>
        <w:rPr>
          <w:rStyle w:val="af9"/>
          <w:rFonts w:hint="cs"/>
          <w:rtl/>
        </w:rPr>
        <w:t>"</w:t>
      </w:r>
      <w:r w:rsidRPr="006B41C0">
        <w:rPr>
          <w:rStyle w:val="af9"/>
          <w:rFonts w:hint="cs"/>
          <w:rtl/>
        </w:rPr>
        <w:t>ה</w:t>
      </w:r>
      <w:r>
        <w:rPr>
          <w:rFonts w:hint="cs"/>
          <w:rtl/>
        </w:rPr>
        <w:t xml:space="preserve"> דאינו נאמן במיגו.</w:t>
      </w:r>
      <w:bookmarkEnd w:id="13587"/>
      <w:r>
        <w:rPr>
          <w:rFonts w:hint="cs"/>
          <w:rtl/>
        </w:rPr>
        <w:t xml:space="preserve"> </w:t>
      </w:r>
    </w:p>
    <w:p w:rsidR="003B7617" w:rsidRDefault="003B7617" w:rsidP="003B7617">
      <w:pPr>
        <w:pStyle w:val="a3"/>
        <w:rPr>
          <w:rtl/>
        </w:rPr>
      </w:pPr>
      <w:bookmarkStart w:id="13588" w:name="_Toc63111423"/>
      <w:bookmarkStart w:id="13589" w:name="_Toc63163471"/>
      <w:bookmarkStart w:id="13590" w:name="_Toc63188718"/>
      <w:bookmarkStart w:id="13591" w:name="_Toc63247677"/>
      <w:r>
        <w:rPr>
          <w:rFonts w:hint="cs"/>
          <w:rtl/>
        </w:rPr>
        <w:t>ביאור הרמ"ה דכשהוברר שמשקר וזייפו ל"ש מיגו דאנ"ס שמשקר ועוד דא"כ מצינו חוטא נשכר</w:t>
      </w:r>
      <w:bookmarkEnd w:id="13588"/>
      <w:bookmarkEnd w:id="13589"/>
      <w:bookmarkEnd w:id="13590"/>
      <w:bookmarkEnd w:id="13591"/>
    </w:p>
    <w:p w:rsidR="003B7617" w:rsidRDefault="003B7617" w:rsidP="007E4E81">
      <w:pPr>
        <w:pStyle w:val="a0"/>
        <w:rPr>
          <w:rtl/>
        </w:rPr>
      </w:pPr>
      <w:bookmarkStart w:id="13592" w:name="_Ref63068935"/>
      <w:r>
        <w:rPr>
          <w:rFonts w:hint="cs"/>
          <w:rtl/>
        </w:rPr>
        <w:t xml:space="preserve">וביאר </w:t>
      </w:r>
      <w:r w:rsidRPr="006B41C0">
        <w:rPr>
          <w:rStyle w:val="af9"/>
          <w:rFonts w:hint="cs"/>
          <w:rtl/>
        </w:rPr>
        <w:t>היד רמ"ה</w:t>
      </w:r>
      <w:r>
        <w:rPr>
          <w:rFonts w:hint="cs"/>
          <w:rtl/>
        </w:rPr>
        <w:t xml:space="preserve"> דכ"מ דאמרינן מיגו היינו דוקא במקום שאפשר לומר דהוא טוען אמת, אבל כשהתברר שהשטר הוא שקר והוא זייף אותו, א"א להאמינו, דא"א לומר מה לי לשקר, דאנן סהדי שהוא שיקר, והוסיף </w:t>
      </w:r>
      <w:r w:rsidRPr="006B41C0">
        <w:rPr>
          <w:rStyle w:val="af9"/>
          <w:rFonts w:hint="cs"/>
          <w:rtl/>
        </w:rPr>
        <w:t>היד רמ"ה</w:t>
      </w:r>
      <w:r>
        <w:rPr>
          <w:rFonts w:hint="cs"/>
          <w:rtl/>
        </w:rPr>
        <w:t xml:space="preserve"> דאי יהיה נאמן, א"כ מצינו חוטא נשכר, והוסיף </w:t>
      </w:r>
      <w:r w:rsidRPr="006B41C0">
        <w:rPr>
          <w:rStyle w:val="af9"/>
          <w:rFonts w:hint="cs"/>
          <w:rtl/>
        </w:rPr>
        <w:t>היד רמ"ה</w:t>
      </w:r>
      <w:r>
        <w:rPr>
          <w:rFonts w:hint="cs"/>
          <w:rtl/>
        </w:rPr>
        <w:t xml:space="preserve"> דאיתא בגמ' בכתובות </w:t>
      </w:r>
      <w:r w:rsidRPr="00D56874">
        <w:rPr>
          <w:rStyle w:val="af7"/>
          <w:rFonts w:eastAsia="Guttman Hodes" w:hint="cs"/>
          <w:rtl/>
        </w:rPr>
        <w:t>(לו:)</w:t>
      </w:r>
      <w:r>
        <w:rPr>
          <w:rFonts w:hint="cs"/>
          <w:rtl/>
        </w:rPr>
        <w:t xml:space="preserve"> דשטר שיש בו ריעותא, שיש עדים שהוא רצה לזייף שטר, לא מגבינן ביה, דאמרינן שאם הוא רוצה לזייפו ימצא מי שיזייף לו, וא"כ בסוגיין דהוא מודה שטרח לזייפו בכדי שנאמין לו, כ"ש שהוא מזייף את טענתו בכדי שנאמין לו.</w:t>
      </w:r>
      <w:bookmarkEnd w:id="13592"/>
    </w:p>
    <w:p w:rsidR="003B7617" w:rsidRPr="0023338E" w:rsidRDefault="003B7617" w:rsidP="003B7617">
      <w:pPr>
        <w:pStyle w:val="a3"/>
        <w:rPr>
          <w:rtl/>
        </w:rPr>
      </w:pPr>
    </w:p>
    <w:p w:rsidR="003B7617" w:rsidRPr="0023338E" w:rsidRDefault="003B7617" w:rsidP="003B7617">
      <w:pPr>
        <w:pStyle w:val="a3"/>
        <w:rPr>
          <w:rtl/>
        </w:rPr>
      </w:pPr>
    </w:p>
    <w:p w:rsidR="003B7617" w:rsidRDefault="003B7617" w:rsidP="003B7617">
      <w:pPr>
        <w:pStyle w:val="1"/>
        <w:rPr>
          <w:rtl/>
        </w:rPr>
      </w:pPr>
      <w:bookmarkStart w:id="13593" w:name="_Toc63111424"/>
      <w:bookmarkStart w:id="13594" w:name="_Toc63163472"/>
      <w:bookmarkStart w:id="13595" w:name="_Toc63188719"/>
      <w:bookmarkStart w:id="13596" w:name="_Toc63247678"/>
      <w:r>
        <w:rPr>
          <w:rFonts w:hint="cs"/>
          <w:rtl/>
        </w:rPr>
        <w:t>דברי המאירי דבמזויף אף במקוים ל"מ מיגו דירא שיתברר זיופו</w:t>
      </w:r>
      <w:bookmarkEnd w:id="13593"/>
      <w:bookmarkEnd w:id="13594"/>
      <w:bookmarkEnd w:id="13595"/>
      <w:bookmarkEnd w:id="13596"/>
    </w:p>
    <w:p w:rsidR="003B7617" w:rsidRDefault="003B7617" w:rsidP="003B7617">
      <w:pPr>
        <w:pStyle w:val="a3"/>
        <w:rPr>
          <w:rtl/>
        </w:rPr>
      </w:pPr>
      <w:bookmarkStart w:id="13597" w:name="_Toc63111425"/>
      <w:bookmarkStart w:id="13598" w:name="_Toc63163473"/>
      <w:bookmarkStart w:id="13599" w:name="_Toc63188720"/>
      <w:bookmarkStart w:id="13600" w:name="_Toc63247679"/>
      <w:r>
        <w:rPr>
          <w:rFonts w:hint="cs"/>
          <w:rtl/>
        </w:rPr>
        <w:t>ביאור המאירי ברי"ף דאף במקוים אין לו מיגו דירא לטעון שהוא אמת שמא יתברר זיופו</w:t>
      </w:r>
      <w:bookmarkEnd w:id="13597"/>
      <w:bookmarkEnd w:id="13598"/>
      <w:bookmarkEnd w:id="13599"/>
      <w:bookmarkEnd w:id="13600"/>
    </w:p>
    <w:p w:rsidR="003B7617" w:rsidRDefault="003B7617" w:rsidP="007E4E81">
      <w:pPr>
        <w:pStyle w:val="a0"/>
        <w:rPr>
          <w:rStyle w:val="afb"/>
          <w:rtl/>
        </w:rPr>
      </w:pPr>
      <w:bookmarkStart w:id="13601" w:name="_Ref63068942"/>
      <w:bookmarkStart w:id="13602" w:name="_Ref63181420"/>
      <w:r>
        <w:rPr>
          <w:rFonts w:hint="cs"/>
          <w:rtl/>
        </w:rPr>
        <w:t xml:space="preserve">כתב </w:t>
      </w:r>
      <w:r w:rsidRPr="00FB76BD">
        <w:rPr>
          <w:rStyle w:val="af9"/>
          <w:rFonts w:hint="cs"/>
          <w:rtl/>
        </w:rPr>
        <w:t>המאירי</w:t>
      </w:r>
      <w:r>
        <w:rPr>
          <w:rFonts w:hint="cs"/>
          <w:rtl/>
        </w:rPr>
        <w:t xml:space="preserve"> </w:t>
      </w:r>
      <w:r w:rsidRPr="00CF3E52">
        <w:rPr>
          <w:rStyle w:val="af7"/>
          <w:rFonts w:eastAsia="Guttman Hodes" w:hint="cs"/>
          <w:rtl/>
        </w:rPr>
        <w:t>(ד"ה הרי)</w:t>
      </w:r>
      <w:r>
        <w:rPr>
          <w:rFonts w:hint="cs"/>
          <w:rtl/>
        </w:rPr>
        <w:t xml:space="preserve"> </w:t>
      </w:r>
      <w:r>
        <w:rPr>
          <w:rStyle w:val="af9"/>
          <w:rFonts w:hint="cs"/>
          <w:rtl/>
        </w:rPr>
        <w:t>ד</w:t>
      </w:r>
      <w:r w:rsidRPr="00831A01">
        <w:rPr>
          <w:rStyle w:val="af9"/>
          <w:rFonts w:hint="cs"/>
          <w:rtl/>
        </w:rPr>
        <w:t>י"א</w:t>
      </w:r>
      <w:r>
        <w:rPr>
          <w:rFonts w:hint="cs"/>
          <w:rtl/>
        </w:rPr>
        <w:t xml:space="preserve"> </w:t>
      </w:r>
      <w:r w:rsidRPr="00EA7352">
        <w:rPr>
          <w:rStyle w:val="afb"/>
          <w:rFonts w:hint="cs"/>
          <w:rtl/>
        </w:rPr>
        <w:t>[</w:t>
      </w:r>
      <w:r w:rsidRPr="00EA7352">
        <w:rPr>
          <w:rStyle w:val="affa"/>
          <w:rFonts w:hint="cs"/>
          <w:rtl/>
        </w:rPr>
        <w:t>הרי"ף</w:t>
      </w:r>
      <w:r w:rsidRPr="00EA7352">
        <w:rPr>
          <w:rStyle w:val="afb"/>
          <w:rFonts w:hint="cs"/>
          <w:rtl/>
        </w:rPr>
        <w:t xml:space="preserve"> </w:t>
      </w:r>
      <w:r w:rsidRPr="00A10211">
        <w:rPr>
          <w:rStyle w:val="aff6"/>
          <w:rFonts w:hint="cs"/>
          <w:rtl/>
        </w:rPr>
        <w:t xml:space="preserve">(עי' אות </w:t>
      </w:r>
      <w:r w:rsidRPr="00A10211">
        <w:rPr>
          <w:rStyle w:val="aff6"/>
          <w:rtl/>
        </w:rPr>
        <w:fldChar w:fldCharType="begin"/>
      </w:r>
      <w:r w:rsidRPr="00A10211">
        <w:rPr>
          <w:rStyle w:val="aff6"/>
          <w:rtl/>
        </w:rPr>
        <w:instrText xml:space="preserve"> </w:instrText>
      </w:r>
      <w:r w:rsidRPr="00A10211">
        <w:rPr>
          <w:rStyle w:val="aff6"/>
          <w:rFonts w:hint="cs"/>
        </w:rPr>
        <w:instrText>REF</w:instrText>
      </w:r>
      <w:r w:rsidRPr="00A10211">
        <w:rPr>
          <w:rStyle w:val="aff6"/>
          <w:rFonts w:hint="cs"/>
          <w:rtl/>
        </w:rPr>
        <w:instrText xml:space="preserve"> _</w:instrText>
      </w:r>
      <w:r w:rsidRPr="00A10211">
        <w:rPr>
          <w:rStyle w:val="aff6"/>
          <w:rFonts w:hint="cs"/>
        </w:rPr>
        <w:instrText>Ref63068221 \r \h</w:instrText>
      </w:r>
      <w:r w:rsidRPr="00A10211">
        <w:rPr>
          <w:rStyle w:val="aff6"/>
          <w:rtl/>
        </w:rPr>
        <w:instrText xml:space="preserve"> </w:instrText>
      </w:r>
      <w:r w:rsidRPr="00A10211">
        <w:rPr>
          <w:rStyle w:val="aff6"/>
          <w:rtl/>
        </w:rPr>
      </w:r>
      <w:r w:rsidRPr="00A10211">
        <w:rPr>
          <w:rStyle w:val="aff6"/>
          <w:rtl/>
        </w:rPr>
        <w:fldChar w:fldCharType="separate"/>
      </w:r>
      <w:r w:rsidR="00265073">
        <w:rPr>
          <w:rStyle w:val="aff6"/>
          <w:cs/>
        </w:rPr>
        <w:t>‎</w:t>
      </w:r>
      <w:r w:rsidR="00265073">
        <w:rPr>
          <w:rStyle w:val="aff6"/>
          <w:rtl/>
        </w:rPr>
        <w:t>ט)</w:t>
      </w:r>
      <w:r w:rsidRPr="00A10211">
        <w:rPr>
          <w:rStyle w:val="aff6"/>
          <w:rtl/>
        </w:rPr>
        <w:fldChar w:fldCharType="end"/>
      </w:r>
      <w:r w:rsidRPr="00EA7352">
        <w:rPr>
          <w:rStyle w:val="afb"/>
          <w:rFonts w:hint="cs"/>
          <w:rtl/>
        </w:rPr>
        <w:t xml:space="preserve">] </w:t>
      </w:r>
      <w:r>
        <w:rPr>
          <w:rFonts w:hint="cs"/>
          <w:rtl/>
        </w:rPr>
        <w:t xml:space="preserve">דאם טוען המערער שהשטר מזויף ולא כתבו מעולם, והמחזיק זייף את חתימת העדים, או שהחתים עידי שקר, דלא מהני מיגו, דכיון שהשטר מזויף א"כ המחזיק ירא שאחר שיטען המערער שהשטר מזויף, ידקדקו הב"ד בשטר או שיחזרו אחר העדים, ויתברר שהוא מזויף, ולכן הוצרך להודות שהוא מזויף, ואין לו מיגו דהיה טוען שהשטר הוא טוב, </w:t>
      </w:r>
      <w:r w:rsidRPr="00914C1F">
        <w:rPr>
          <w:rStyle w:val="afb"/>
          <w:rFonts w:hint="cs"/>
          <w:rtl/>
        </w:rPr>
        <w:t xml:space="preserve">[ועי' במ"ש </w:t>
      </w:r>
      <w:r w:rsidRPr="00914C1F">
        <w:rPr>
          <w:rStyle w:val="affa"/>
          <w:rFonts w:hint="cs"/>
          <w:rtl/>
        </w:rPr>
        <w:t>בפסקי הרי"ד</w:t>
      </w:r>
      <w:r w:rsidRPr="00914C1F">
        <w:rPr>
          <w:rStyle w:val="afb"/>
          <w:rFonts w:hint="cs"/>
          <w:rtl/>
        </w:rPr>
        <w:t xml:space="preserve"> </w:t>
      </w:r>
      <w:r w:rsidRPr="00914C1F">
        <w:rPr>
          <w:rStyle w:val="aff6"/>
          <w:rFonts w:hint="cs"/>
          <w:rtl/>
        </w:rPr>
        <w:t xml:space="preserve">(עי' אות </w:t>
      </w:r>
      <w:r w:rsidRPr="00914C1F">
        <w:rPr>
          <w:rStyle w:val="aff6"/>
          <w:rtl/>
        </w:rPr>
        <w:fldChar w:fldCharType="begin"/>
      </w:r>
      <w:r w:rsidRPr="00914C1F">
        <w:rPr>
          <w:rStyle w:val="aff6"/>
          <w:rtl/>
        </w:rPr>
        <w:instrText xml:space="preserve"> </w:instrText>
      </w:r>
      <w:r w:rsidRPr="00914C1F">
        <w:rPr>
          <w:rStyle w:val="aff6"/>
          <w:rFonts w:hint="cs"/>
        </w:rPr>
        <w:instrText>REF</w:instrText>
      </w:r>
      <w:r w:rsidRPr="00914C1F">
        <w:rPr>
          <w:rStyle w:val="aff6"/>
          <w:rFonts w:hint="cs"/>
          <w:rtl/>
        </w:rPr>
        <w:instrText xml:space="preserve"> _</w:instrText>
      </w:r>
      <w:r w:rsidRPr="00914C1F">
        <w:rPr>
          <w:rStyle w:val="aff6"/>
          <w:rFonts w:hint="cs"/>
        </w:rPr>
        <w:instrText>Ref63181472 \r \h</w:instrText>
      </w:r>
      <w:r w:rsidRPr="00914C1F">
        <w:rPr>
          <w:rStyle w:val="aff6"/>
          <w:rtl/>
        </w:rPr>
        <w:instrText xml:space="preserve"> </w:instrText>
      </w:r>
      <w:r w:rsidRPr="00914C1F">
        <w:rPr>
          <w:rStyle w:val="aff6"/>
          <w:rtl/>
        </w:rPr>
      </w:r>
      <w:r w:rsidRPr="00914C1F">
        <w:rPr>
          <w:rStyle w:val="aff6"/>
          <w:rtl/>
        </w:rPr>
        <w:fldChar w:fldCharType="separate"/>
      </w:r>
      <w:r w:rsidR="00265073">
        <w:rPr>
          <w:rStyle w:val="aff6"/>
          <w:cs/>
        </w:rPr>
        <w:t>‎</w:t>
      </w:r>
      <w:r w:rsidR="00265073">
        <w:rPr>
          <w:rStyle w:val="aff6"/>
          <w:rtl/>
        </w:rPr>
        <w:t>מו)</w:t>
      </w:r>
      <w:r w:rsidRPr="00914C1F">
        <w:rPr>
          <w:rStyle w:val="aff6"/>
          <w:rtl/>
        </w:rPr>
        <w:fldChar w:fldCharType="end"/>
      </w:r>
      <w:r w:rsidRPr="00914C1F">
        <w:rPr>
          <w:rStyle w:val="afb"/>
          <w:rFonts w:hint="cs"/>
          <w:rtl/>
        </w:rPr>
        <w:t>],</w:t>
      </w:r>
      <w:r>
        <w:rPr>
          <w:rFonts w:hint="cs"/>
          <w:rtl/>
        </w:rPr>
        <w:t xml:space="preserve"> וכתב </w:t>
      </w:r>
      <w:r w:rsidRPr="00FB76BD">
        <w:rPr>
          <w:rStyle w:val="af9"/>
          <w:rFonts w:hint="cs"/>
          <w:rtl/>
        </w:rPr>
        <w:t>המאירי</w:t>
      </w:r>
      <w:r>
        <w:rPr>
          <w:rFonts w:hint="cs"/>
          <w:rtl/>
        </w:rPr>
        <w:t xml:space="preserve"> דכך נראה מסברא, אך דמלשון הגמ' בטענת המחזיק משמע כדעת </w:t>
      </w:r>
      <w:r w:rsidRPr="00FB76BD">
        <w:rPr>
          <w:rStyle w:val="af9"/>
          <w:rFonts w:hint="cs"/>
          <w:rtl/>
        </w:rPr>
        <w:t>הי"א</w:t>
      </w:r>
      <w:r>
        <w:rPr>
          <w:rFonts w:hint="cs"/>
          <w:rtl/>
        </w:rPr>
        <w:t xml:space="preserve"> </w:t>
      </w:r>
      <w:r w:rsidRPr="003D0D37">
        <w:rPr>
          <w:rStyle w:val="afb"/>
          <w:rFonts w:hint="cs"/>
          <w:rtl/>
        </w:rPr>
        <w:t>[</w:t>
      </w:r>
      <w:r w:rsidRPr="003D0D37">
        <w:rPr>
          <w:rStyle w:val="affa"/>
          <w:rFonts w:hint="cs"/>
          <w:rtl/>
        </w:rPr>
        <w:t>רשב"ם</w:t>
      </w:r>
      <w:r w:rsidRPr="003D0D37">
        <w:rPr>
          <w:rStyle w:val="afb"/>
          <w:rFonts w:hint="cs"/>
          <w:rtl/>
        </w:rPr>
        <w:t xml:space="preserve"> </w:t>
      </w:r>
      <w:r w:rsidRPr="00A10211">
        <w:rPr>
          <w:rStyle w:val="aff6"/>
          <w:rFonts w:hint="cs"/>
          <w:rtl/>
        </w:rPr>
        <w:t xml:space="preserve">(עי' אות </w:t>
      </w:r>
      <w:r w:rsidRPr="00A10211">
        <w:rPr>
          <w:rStyle w:val="aff6"/>
          <w:rtl/>
        </w:rPr>
        <w:fldChar w:fldCharType="begin"/>
      </w:r>
      <w:r w:rsidRPr="00A10211">
        <w:rPr>
          <w:rStyle w:val="aff6"/>
          <w:rtl/>
        </w:rPr>
        <w:instrText xml:space="preserve"> </w:instrText>
      </w:r>
      <w:r w:rsidRPr="00A10211">
        <w:rPr>
          <w:rStyle w:val="aff6"/>
          <w:rFonts w:hint="cs"/>
        </w:rPr>
        <w:instrText>REF</w:instrText>
      </w:r>
      <w:r w:rsidRPr="00A10211">
        <w:rPr>
          <w:rStyle w:val="aff6"/>
          <w:rFonts w:hint="cs"/>
          <w:rtl/>
        </w:rPr>
        <w:instrText xml:space="preserve"> _</w:instrText>
      </w:r>
      <w:r w:rsidRPr="00A10211">
        <w:rPr>
          <w:rStyle w:val="aff6"/>
          <w:rFonts w:hint="cs"/>
        </w:rPr>
        <w:instrText>Ref63108785 \r \h</w:instrText>
      </w:r>
      <w:r w:rsidRPr="00A10211">
        <w:rPr>
          <w:rStyle w:val="aff6"/>
          <w:rtl/>
        </w:rPr>
        <w:instrText xml:space="preserve"> </w:instrText>
      </w:r>
      <w:r w:rsidRPr="00A10211">
        <w:rPr>
          <w:rStyle w:val="aff6"/>
          <w:rtl/>
        </w:rPr>
      </w:r>
      <w:r w:rsidRPr="00A10211">
        <w:rPr>
          <w:rStyle w:val="aff6"/>
          <w:rtl/>
        </w:rPr>
        <w:fldChar w:fldCharType="separate"/>
      </w:r>
      <w:r w:rsidR="00265073">
        <w:rPr>
          <w:rStyle w:val="aff6"/>
          <w:cs/>
        </w:rPr>
        <w:t>‎</w:t>
      </w:r>
      <w:r w:rsidR="00265073">
        <w:rPr>
          <w:rStyle w:val="aff6"/>
          <w:rtl/>
        </w:rPr>
        <w:t>יז)</w:t>
      </w:r>
      <w:r w:rsidRPr="00A10211">
        <w:rPr>
          <w:rStyle w:val="aff6"/>
          <w:rtl/>
        </w:rPr>
        <w:fldChar w:fldCharType="end"/>
      </w:r>
      <w:r w:rsidRPr="003D0D37">
        <w:rPr>
          <w:rStyle w:val="afb"/>
          <w:rFonts w:hint="cs"/>
          <w:rtl/>
        </w:rPr>
        <w:t xml:space="preserve">] </w:t>
      </w:r>
      <w:r>
        <w:rPr>
          <w:rFonts w:hint="cs"/>
          <w:rtl/>
        </w:rPr>
        <w:t>דמהני בו מיגו, דכיון דאמר "</w:t>
      </w:r>
      <w:r>
        <w:rPr>
          <w:rtl/>
        </w:rPr>
        <w:t>ואמינא אינקוט בידי כל דהו</w:t>
      </w:r>
      <w:r>
        <w:rPr>
          <w:rFonts w:hint="cs"/>
          <w:rtl/>
        </w:rPr>
        <w:t xml:space="preserve">", משמע שהיה לו שטר אמיתי, ועכשיו החזיק בשטר כל דהו שאינו שטר אמיתי, </w:t>
      </w:r>
      <w:r w:rsidRPr="00874907">
        <w:rPr>
          <w:rStyle w:val="afb"/>
          <w:rFonts w:hint="cs"/>
          <w:rtl/>
        </w:rPr>
        <w:t>[ולא משמע שהשטר שמחזיק בו הוא אמיתי והוא אמנה]</w:t>
      </w:r>
      <w:bookmarkEnd w:id="13601"/>
      <w:r>
        <w:rPr>
          <w:rStyle w:val="afb"/>
          <w:rFonts w:hint="cs"/>
          <w:rtl/>
        </w:rPr>
        <w:t xml:space="preserve">, </w:t>
      </w:r>
      <w:r>
        <w:rPr>
          <w:rFonts w:hint="cs"/>
          <w:rtl/>
        </w:rPr>
        <w:t xml:space="preserve">אך כתב </w:t>
      </w:r>
      <w:r w:rsidRPr="00831A01">
        <w:rPr>
          <w:rStyle w:val="af9"/>
          <w:rFonts w:hint="cs"/>
          <w:rtl/>
        </w:rPr>
        <w:t>המאירי</w:t>
      </w:r>
      <w:r>
        <w:rPr>
          <w:rFonts w:hint="cs"/>
          <w:rtl/>
        </w:rPr>
        <w:t xml:space="preserve"> דמ"מ בשטר מזויף ממש, ובכל שטר שלא ניתן ליכתב, ראוי לדון שאינו נאמן במיגו, כדי שלא יהא חוטא נשכר. </w:t>
      </w:r>
      <w:r w:rsidRPr="00874907">
        <w:rPr>
          <w:rStyle w:val="afb"/>
          <w:rFonts w:hint="cs"/>
          <w:rtl/>
        </w:rPr>
        <w:t xml:space="preserve">[כדכתב </w:t>
      </w:r>
      <w:r w:rsidRPr="003D0D37">
        <w:rPr>
          <w:rStyle w:val="affa"/>
          <w:rFonts w:hint="cs"/>
          <w:rtl/>
        </w:rPr>
        <w:t>היד רמ"ה</w:t>
      </w:r>
      <w:r w:rsidRPr="00874907">
        <w:rPr>
          <w:rStyle w:val="afb"/>
          <w:rFonts w:hint="cs"/>
          <w:rtl/>
        </w:rPr>
        <w:t xml:space="preserve"> </w:t>
      </w:r>
      <w:r w:rsidRPr="00A10211">
        <w:rPr>
          <w:rStyle w:val="aff6"/>
          <w:rFonts w:hint="cs"/>
          <w:rtl/>
        </w:rPr>
        <w:t xml:space="preserve">(עי' אות </w:t>
      </w:r>
      <w:r w:rsidRPr="00A10211">
        <w:rPr>
          <w:rStyle w:val="aff6"/>
          <w:rtl/>
        </w:rPr>
        <w:fldChar w:fldCharType="begin"/>
      </w:r>
      <w:r w:rsidRPr="00A10211">
        <w:rPr>
          <w:rStyle w:val="aff6"/>
          <w:rtl/>
        </w:rPr>
        <w:instrText xml:space="preserve"> </w:instrText>
      </w:r>
      <w:r w:rsidRPr="00A10211">
        <w:rPr>
          <w:rStyle w:val="aff6"/>
          <w:rFonts w:hint="cs"/>
        </w:rPr>
        <w:instrText>REF</w:instrText>
      </w:r>
      <w:r w:rsidRPr="00A10211">
        <w:rPr>
          <w:rStyle w:val="aff6"/>
          <w:rFonts w:hint="cs"/>
          <w:rtl/>
        </w:rPr>
        <w:instrText xml:space="preserve"> _</w:instrText>
      </w:r>
      <w:r w:rsidRPr="00A10211">
        <w:rPr>
          <w:rStyle w:val="aff6"/>
          <w:rFonts w:hint="cs"/>
        </w:rPr>
        <w:instrText>Ref63068935 \r \h</w:instrText>
      </w:r>
      <w:r w:rsidRPr="00A10211">
        <w:rPr>
          <w:rStyle w:val="aff6"/>
          <w:rtl/>
        </w:rPr>
        <w:instrText xml:space="preserve"> </w:instrText>
      </w:r>
      <w:r w:rsidRPr="00A10211">
        <w:rPr>
          <w:rStyle w:val="aff6"/>
          <w:rtl/>
        </w:rPr>
      </w:r>
      <w:r w:rsidRPr="00A10211">
        <w:rPr>
          <w:rStyle w:val="aff6"/>
          <w:rtl/>
        </w:rPr>
        <w:fldChar w:fldCharType="separate"/>
      </w:r>
      <w:r w:rsidR="00265073">
        <w:rPr>
          <w:rStyle w:val="aff6"/>
          <w:cs/>
        </w:rPr>
        <w:t>‎</w:t>
      </w:r>
      <w:r w:rsidR="00265073">
        <w:rPr>
          <w:rStyle w:val="aff6"/>
          <w:rtl/>
        </w:rPr>
        <w:t>יב)</w:t>
      </w:r>
      <w:r w:rsidRPr="00A10211">
        <w:rPr>
          <w:rStyle w:val="aff6"/>
          <w:rtl/>
        </w:rPr>
        <w:fldChar w:fldCharType="end"/>
      </w:r>
      <w:r w:rsidRPr="00874907">
        <w:rPr>
          <w:rStyle w:val="afb"/>
          <w:rFonts w:hint="cs"/>
          <w:rtl/>
        </w:rPr>
        <w:t>].</w:t>
      </w:r>
      <w:bookmarkEnd w:id="13602"/>
    </w:p>
    <w:p w:rsidR="003B7617" w:rsidRDefault="003B7617" w:rsidP="003B7617">
      <w:pPr>
        <w:pStyle w:val="a3"/>
        <w:rPr>
          <w:rtl/>
        </w:rPr>
      </w:pPr>
      <w:bookmarkStart w:id="13603" w:name="_Toc63111426"/>
      <w:bookmarkStart w:id="13604" w:name="_Toc63163474"/>
      <w:bookmarkStart w:id="13605" w:name="_Toc63188721"/>
      <w:bookmarkStart w:id="13606" w:name="_Toc63247680"/>
      <w:r>
        <w:rPr>
          <w:rFonts w:hint="cs"/>
          <w:rtl/>
        </w:rPr>
        <w:t>דברי המאירי דאיירי שראו ב"ד שאפשר לקיימו או שהוא מקוים והודה שהוא שטר אמנה</w:t>
      </w:r>
      <w:bookmarkEnd w:id="13603"/>
      <w:bookmarkEnd w:id="13604"/>
      <w:bookmarkEnd w:id="13605"/>
      <w:bookmarkEnd w:id="13606"/>
    </w:p>
    <w:p w:rsidR="003B7617" w:rsidRDefault="003B7617" w:rsidP="007E4E81">
      <w:pPr>
        <w:pStyle w:val="a0"/>
        <w:rPr>
          <w:rtl/>
        </w:rPr>
      </w:pPr>
      <w:r>
        <w:rPr>
          <w:rFonts w:hint="cs"/>
          <w:rtl/>
        </w:rPr>
        <w:t xml:space="preserve">וכתב </w:t>
      </w:r>
      <w:r w:rsidRPr="006B41C0">
        <w:rPr>
          <w:rStyle w:val="af9"/>
          <w:rFonts w:hint="cs"/>
          <w:rtl/>
        </w:rPr>
        <w:t>המאירי</w:t>
      </w:r>
      <w:r>
        <w:rPr>
          <w:rFonts w:hint="cs"/>
          <w:rtl/>
        </w:rPr>
        <w:t xml:space="preserve"> </w:t>
      </w:r>
      <w:r w:rsidRPr="00F4777F">
        <w:rPr>
          <w:rStyle w:val="af7"/>
          <w:rFonts w:eastAsia="Guttman Hodes" w:hint="cs"/>
          <w:rtl/>
        </w:rPr>
        <w:t>(ד"ה הרי)</w:t>
      </w:r>
      <w:r>
        <w:rPr>
          <w:rFonts w:hint="cs"/>
          <w:rtl/>
        </w:rPr>
        <w:t xml:space="preserve"> דכשהוציא המחזיק את השטר, ראו ב"ד שאפשר לקיימו בלא פקפוק, או שכבר התקיים השטר, וטען המערער הוא שהוא שטר אמנה, והודה המחזיק שהוא אמנה, וטוען שאח"כ כתב לו שטר מכר גמור שאבד, וכיון שראה שאבד לו השטר האמיתי, החזיק בשטר של האמנה, דהמחזיק נאמן במיגו.</w:t>
      </w:r>
    </w:p>
    <w:p w:rsidR="003B7617" w:rsidRDefault="003B7617" w:rsidP="003B7617">
      <w:pPr>
        <w:pStyle w:val="1"/>
        <w:rPr>
          <w:rtl/>
        </w:rPr>
      </w:pPr>
      <w:bookmarkStart w:id="13607" w:name="_Toc63111427"/>
      <w:bookmarkStart w:id="13608" w:name="_Toc63163475"/>
      <w:bookmarkStart w:id="13609" w:name="_Toc63188722"/>
      <w:bookmarkStart w:id="13610" w:name="_Toc63247681"/>
      <w:bookmarkStart w:id="13611" w:name="_Toc62644208"/>
      <w:bookmarkStart w:id="13612" w:name="_Toc62819892"/>
      <w:r>
        <w:rPr>
          <w:rFonts w:hint="cs"/>
          <w:rtl/>
        </w:rPr>
        <w:t>פלוגתת הטור והש"ך בד' הר"ח והרי"ף אי נאמן במזויף שקיימו</w:t>
      </w:r>
      <w:bookmarkEnd w:id="13607"/>
      <w:bookmarkEnd w:id="13608"/>
      <w:bookmarkEnd w:id="13609"/>
      <w:bookmarkEnd w:id="13610"/>
    </w:p>
    <w:p w:rsidR="003B7617" w:rsidRDefault="003B7617" w:rsidP="003B7617">
      <w:pPr>
        <w:pStyle w:val="a3"/>
        <w:rPr>
          <w:rtl/>
        </w:rPr>
      </w:pPr>
      <w:bookmarkStart w:id="13613" w:name="_Toc63111428"/>
      <w:bookmarkStart w:id="13614" w:name="_Toc63163476"/>
      <w:bookmarkStart w:id="13615" w:name="_Toc63188723"/>
      <w:bookmarkStart w:id="13616" w:name="_Toc63247682"/>
      <w:r>
        <w:rPr>
          <w:rFonts w:hint="cs"/>
          <w:rtl/>
        </w:rPr>
        <w:t>דברי הטור דלר"ח ולרי"ף אינו נאמן במזויף שקיימו ודברי הש"ך דאם הצליח לקיימו הוא נאמן</w:t>
      </w:r>
      <w:bookmarkEnd w:id="13613"/>
      <w:bookmarkEnd w:id="13614"/>
      <w:bookmarkEnd w:id="13615"/>
      <w:bookmarkEnd w:id="13616"/>
    </w:p>
    <w:p w:rsidR="003B7617" w:rsidRDefault="003B7617" w:rsidP="007E4E81">
      <w:pPr>
        <w:pStyle w:val="a0"/>
        <w:rPr>
          <w:rtl/>
        </w:rPr>
      </w:pPr>
      <w:r>
        <w:rPr>
          <w:rFonts w:hint="cs"/>
          <w:rtl/>
        </w:rPr>
        <w:t xml:space="preserve">כתב </w:t>
      </w:r>
      <w:r w:rsidRPr="00FB76BD">
        <w:rPr>
          <w:rStyle w:val="af9"/>
          <w:rFonts w:hint="cs"/>
          <w:rtl/>
        </w:rPr>
        <w:t>הטור</w:t>
      </w:r>
      <w:r>
        <w:rPr>
          <w:rFonts w:hint="cs"/>
          <w:rtl/>
        </w:rPr>
        <w:t xml:space="preserve"> </w:t>
      </w:r>
      <w:r w:rsidRPr="00A31CC3">
        <w:rPr>
          <w:rStyle w:val="af7"/>
          <w:rFonts w:eastAsia="Guttman Hodes" w:hint="cs"/>
          <w:rtl/>
        </w:rPr>
        <w:t xml:space="preserve">(סי' קמ"ו כ"ה) </w:t>
      </w:r>
      <w:r>
        <w:rPr>
          <w:rFonts w:hint="cs"/>
          <w:rtl/>
        </w:rPr>
        <w:t xml:space="preserve">דלדעת </w:t>
      </w:r>
      <w:r w:rsidRPr="00FB76BD">
        <w:rPr>
          <w:rStyle w:val="af9"/>
          <w:rFonts w:hint="cs"/>
          <w:rtl/>
        </w:rPr>
        <w:t>הר"ח</w:t>
      </w:r>
      <w:r>
        <w:rPr>
          <w:rFonts w:hint="cs"/>
          <w:rtl/>
        </w:rPr>
        <w:t xml:space="preserve"> </w:t>
      </w:r>
      <w:r w:rsidRPr="00A31CC3">
        <w:rPr>
          <w:rStyle w:val="af7"/>
          <w:rFonts w:eastAsia="Guttman Hodes" w:hint="cs"/>
          <w:rtl/>
        </w:rPr>
        <w:t xml:space="preserve">(עי' אות </w:t>
      </w:r>
      <w:r w:rsidRPr="00A31CC3">
        <w:rPr>
          <w:rStyle w:val="af7"/>
          <w:rFonts w:eastAsia="Guttman Hodes"/>
          <w:rtl/>
        </w:rPr>
        <w:fldChar w:fldCharType="begin"/>
      </w:r>
      <w:r w:rsidRPr="00A31CC3">
        <w:rPr>
          <w:rStyle w:val="af7"/>
          <w:rFonts w:eastAsia="Guttman Hodes"/>
          <w:rtl/>
        </w:rPr>
        <w:instrText xml:space="preserve"> </w:instrText>
      </w:r>
      <w:r w:rsidRPr="00A31CC3">
        <w:rPr>
          <w:rStyle w:val="af7"/>
          <w:rFonts w:eastAsia="Guttman Hodes" w:hint="cs"/>
        </w:rPr>
        <w:instrText>REF</w:instrText>
      </w:r>
      <w:r w:rsidRPr="00A31CC3">
        <w:rPr>
          <w:rStyle w:val="af7"/>
          <w:rFonts w:eastAsia="Guttman Hodes" w:hint="cs"/>
          <w:rtl/>
        </w:rPr>
        <w:instrText xml:space="preserve"> _</w:instrText>
      </w:r>
      <w:r w:rsidRPr="00A31CC3">
        <w:rPr>
          <w:rStyle w:val="af7"/>
          <w:rFonts w:eastAsia="Guttman Hodes" w:hint="cs"/>
        </w:rPr>
        <w:instrText>Ref62553819 \r \h</w:instrText>
      </w:r>
      <w:r w:rsidRPr="00A31CC3">
        <w:rPr>
          <w:rStyle w:val="af7"/>
          <w:rFonts w:eastAsia="Guttman Hodes"/>
          <w:rtl/>
        </w:rPr>
        <w:instrText xml:space="preserve"> </w:instrText>
      </w:r>
      <w:r w:rsidRPr="00A31CC3">
        <w:rPr>
          <w:rStyle w:val="af7"/>
          <w:rFonts w:eastAsia="Guttman Hodes"/>
          <w:rtl/>
        </w:rPr>
      </w:r>
      <w:r w:rsidRPr="00A31CC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A31CC3">
        <w:rPr>
          <w:rStyle w:val="af7"/>
          <w:rFonts w:eastAsia="Guttman Hodes"/>
          <w:rtl/>
        </w:rPr>
        <w:fldChar w:fldCharType="end"/>
      </w:r>
      <w:r>
        <w:rPr>
          <w:rFonts w:hint="cs"/>
          <w:rtl/>
        </w:rPr>
        <w:t xml:space="preserve"> </w:t>
      </w:r>
      <w:r w:rsidRPr="00FB76BD">
        <w:rPr>
          <w:rStyle w:val="af9"/>
          <w:rFonts w:hint="cs"/>
          <w:rtl/>
        </w:rPr>
        <w:t>והרי"ף</w:t>
      </w:r>
      <w:r>
        <w:rPr>
          <w:rFonts w:hint="cs"/>
          <w:rtl/>
        </w:rPr>
        <w:t xml:space="preserve"> </w:t>
      </w:r>
      <w:r w:rsidRPr="00A31CC3">
        <w:rPr>
          <w:rStyle w:val="af7"/>
          <w:rFonts w:eastAsia="Guttman Hodes" w:hint="cs"/>
          <w:rtl/>
        </w:rPr>
        <w:t xml:space="preserve">(עי' אות </w:t>
      </w:r>
      <w:r w:rsidRPr="00A31CC3">
        <w:rPr>
          <w:rStyle w:val="af7"/>
          <w:rFonts w:eastAsia="Guttman Hodes"/>
          <w:rtl/>
        </w:rPr>
        <w:fldChar w:fldCharType="begin"/>
      </w:r>
      <w:r w:rsidRPr="00A31CC3">
        <w:rPr>
          <w:rStyle w:val="af7"/>
          <w:rFonts w:eastAsia="Guttman Hodes"/>
          <w:rtl/>
        </w:rPr>
        <w:instrText xml:space="preserve"> </w:instrText>
      </w:r>
      <w:r w:rsidRPr="00A31CC3">
        <w:rPr>
          <w:rStyle w:val="af7"/>
          <w:rFonts w:eastAsia="Guttman Hodes" w:hint="cs"/>
        </w:rPr>
        <w:instrText>REF</w:instrText>
      </w:r>
      <w:r w:rsidRPr="00A31CC3">
        <w:rPr>
          <w:rStyle w:val="af7"/>
          <w:rFonts w:eastAsia="Guttman Hodes" w:hint="cs"/>
          <w:rtl/>
        </w:rPr>
        <w:instrText xml:space="preserve"> _</w:instrText>
      </w:r>
      <w:r w:rsidRPr="00A31CC3">
        <w:rPr>
          <w:rStyle w:val="af7"/>
          <w:rFonts w:eastAsia="Guttman Hodes" w:hint="cs"/>
        </w:rPr>
        <w:instrText>Ref63068221 \r \h</w:instrText>
      </w:r>
      <w:r w:rsidRPr="00A31CC3">
        <w:rPr>
          <w:rStyle w:val="af7"/>
          <w:rFonts w:eastAsia="Guttman Hodes"/>
          <w:rtl/>
        </w:rPr>
        <w:instrText xml:space="preserve"> </w:instrText>
      </w:r>
      <w:r w:rsidRPr="00A31CC3">
        <w:rPr>
          <w:rStyle w:val="af7"/>
          <w:rFonts w:eastAsia="Guttman Hodes"/>
          <w:rtl/>
        </w:rPr>
      </w:r>
      <w:r w:rsidRPr="00A31CC3">
        <w:rPr>
          <w:rStyle w:val="af7"/>
          <w:rFonts w:eastAsia="Guttman Hodes"/>
          <w:rtl/>
        </w:rPr>
        <w:fldChar w:fldCharType="separate"/>
      </w:r>
      <w:r w:rsidR="00265073">
        <w:rPr>
          <w:rStyle w:val="af7"/>
          <w:rFonts w:eastAsia="Guttman Hodes"/>
          <w:cs/>
        </w:rPr>
        <w:t>‎</w:t>
      </w:r>
      <w:r w:rsidR="00265073">
        <w:rPr>
          <w:rStyle w:val="af7"/>
          <w:rFonts w:eastAsia="Guttman Hodes"/>
          <w:rtl/>
        </w:rPr>
        <w:t>ט)</w:t>
      </w:r>
      <w:r w:rsidRPr="00A31CC3">
        <w:rPr>
          <w:rStyle w:val="af7"/>
          <w:rFonts w:eastAsia="Guttman Hodes"/>
          <w:rtl/>
        </w:rPr>
        <w:fldChar w:fldCharType="end"/>
      </w:r>
      <w:r>
        <w:rPr>
          <w:rFonts w:hint="cs"/>
          <w:rtl/>
        </w:rPr>
        <w:t xml:space="preserve"> כל שהוא מודה שהשטר מזויף ודאי דמוציאין ממנו, ודלא </w:t>
      </w:r>
      <w:r w:rsidRPr="00831A01">
        <w:rPr>
          <w:rStyle w:val="af9"/>
          <w:rFonts w:hint="cs"/>
          <w:rtl/>
        </w:rPr>
        <w:t>כרשב"ם</w:t>
      </w:r>
      <w:r>
        <w:rPr>
          <w:rFonts w:hint="cs"/>
          <w:rtl/>
        </w:rPr>
        <w:t xml:space="preserve"> </w:t>
      </w:r>
      <w:r w:rsidRPr="00A31CC3">
        <w:rPr>
          <w:rStyle w:val="af7"/>
          <w:rFonts w:eastAsia="Guttman Hodes" w:hint="cs"/>
          <w:rtl/>
        </w:rPr>
        <w:t xml:space="preserve">(עי' אות </w:t>
      </w:r>
      <w:r w:rsidRPr="00A31CC3">
        <w:rPr>
          <w:rStyle w:val="af7"/>
          <w:rFonts w:eastAsia="Guttman Hodes"/>
          <w:rtl/>
        </w:rPr>
        <w:fldChar w:fldCharType="begin"/>
      </w:r>
      <w:r w:rsidRPr="00A31CC3">
        <w:rPr>
          <w:rStyle w:val="af7"/>
          <w:rFonts w:eastAsia="Guttman Hodes"/>
          <w:rtl/>
        </w:rPr>
        <w:instrText xml:space="preserve"> </w:instrText>
      </w:r>
      <w:r w:rsidRPr="00A31CC3">
        <w:rPr>
          <w:rStyle w:val="af7"/>
          <w:rFonts w:eastAsia="Guttman Hodes" w:hint="cs"/>
        </w:rPr>
        <w:instrText>REF</w:instrText>
      </w:r>
      <w:r w:rsidRPr="00A31CC3">
        <w:rPr>
          <w:rStyle w:val="af7"/>
          <w:rFonts w:eastAsia="Guttman Hodes" w:hint="cs"/>
          <w:rtl/>
        </w:rPr>
        <w:instrText xml:space="preserve"> _</w:instrText>
      </w:r>
      <w:r w:rsidRPr="00A31CC3">
        <w:rPr>
          <w:rStyle w:val="af7"/>
          <w:rFonts w:eastAsia="Guttman Hodes" w:hint="cs"/>
        </w:rPr>
        <w:instrText>Ref62643376 \r \h</w:instrText>
      </w:r>
      <w:r w:rsidRPr="00A31CC3">
        <w:rPr>
          <w:rStyle w:val="af7"/>
          <w:rFonts w:eastAsia="Guttman Hodes"/>
          <w:rtl/>
        </w:rPr>
        <w:instrText xml:space="preserve"> </w:instrText>
      </w:r>
      <w:r w:rsidRPr="00A31CC3">
        <w:rPr>
          <w:rStyle w:val="af7"/>
          <w:rFonts w:eastAsia="Guttman Hodes"/>
          <w:rtl/>
        </w:rPr>
      </w:r>
      <w:r w:rsidRPr="00A31CC3">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A31CC3">
        <w:rPr>
          <w:rStyle w:val="af7"/>
          <w:rFonts w:eastAsia="Guttman Hodes"/>
          <w:rtl/>
        </w:rPr>
        <w:fldChar w:fldCharType="end"/>
      </w:r>
      <w:r>
        <w:rPr>
          <w:rFonts w:hint="cs"/>
          <w:rtl/>
        </w:rPr>
        <w:t xml:space="preserve"> </w:t>
      </w:r>
      <w:r w:rsidRPr="00831A01">
        <w:rPr>
          <w:rStyle w:val="af9"/>
          <w:rFonts w:hint="cs"/>
          <w:rtl/>
        </w:rPr>
        <w:t>והרא"ש</w:t>
      </w:r>
      <w:r>
        <w:rPr>
          <w:rFonts w:hint="cs"/>
          <w:rtl/>
        </w:rPr>
        <w:t xml:space="preserve"> </w:t>
      </w:r>
      <w:r w:rsidRPr="00A31CC3">
        <w:rPr>
          <w:rStyle w:val="af7"/>
          <w:rFonts w:eastAsia="Guttman Hodes" w:hint="cs"/>
          <w:rtl/>
        </w:rPr>
        <w:t xml:space="preserve">(עי' אות </w:t>
      </w:r>
      <w:r w:rsidRPr="00A31CC3">
        <w:rPr>
          <w:rStyle w:val="af7"/>
          <w:rFonts w:eastAsia="Guttman Hodes"/>
          <w:rtl/>
        </w:rPr>
        <w:fldChar w:fldCharType="begin"/>
      </w:r>
      <w:r w:rsidRPr="00A31CC3">
        <w:rPr>
          <w:rStyle w:val="af7"/>
          <w:rFonts w:eastAsia="Guttman Hodes"/>
          <w:rtl/>
        </w:rPr>
        <w:instrText xml:space="preserve"> </w:instrText>
      </w:r>
      <w:r w:rsidRPr="00A31CC3">
        <w:rPr>
          <w:rStyle w:val="af7"/>
          <w:rFonts w:eastAsia="Guttman Hodes" w:hint="cs"/>
        </w:rPr>
        <w:instrText>REF</w:instrText>
      </w:r>
      <w:r w:rsidRPr="00A31CC3">
        <w:rPr>
          <w:rStyle w:val="af7"/>
          <w:rFonts w:eastAsia="Guttman Hodes" w:hint="cs"/>
          <w:rtl/>
        </w:rPr>
        <w:instrText xml:space="preserve"> _</w:instrText>
      </w:r>
      <w:r w:rsidRPr="00A31CC3">
        <w:rPr>
          <w:rStyle w:val="af7"/>
          <w:rFonts w:eastAsia="Guttman Hodes" w:hint="cs"/>
        </w:rPr>
        <w:instrText>Ref63109392 \r \h</w:instrText>
      </w:r>
      <w:r w:rsidRPr="00A31CC3">
        <w:rPr>
          <w:rStyle w:val="af7"/>
          <w:rFonts w:eastAsia="Guttman Hodes"/>
          <w:rtl/>
        </w:rPr>
        <w:instrText xml:space="preserve"> </w:instrText>
      </w:r>
      <w:r w:rsidRPr="00A31CC3">
        <w:rPr>
          <w:rStyle w:val="af7"/>
          <w:rFonts w:eastAsia="Guttman Hodes"/>
          <w:rtl/>
        </w:rPr>
      </w:r>
      <w:r w:rsidRPr="00A31CC3">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A31CC3">
        <w:rPr>
          <w:rStyle w:val="af7"/>
          <w:rFonts w:eastAsia="Guttman Hodes"/>
          <w:rtl/>
        </w:rPr>
        <w:fldChar w:fldCharType="end"/>
      </w:r>
      <w:r>
        <w:rPr>
          <w:rFonts w:hint="cs"/>
          <w:rtl/>
        </w:rPr>
        <w:t xml:space="preserve"> דס"ל דאף במודה שהוא מזויף, כל שיכול לקימו נאמן במיגו, </w:t>
      </w:r>
      <w:bookmarkStart w:id="13617" w:name="_Ref63068340"/>
      <w:r>
        <w:rPr>
          <w:rFonts w:hint="cs"/>
          <w:rtl/>
        </w:rPr>
        <w:t xml:space="preserve">אבל </w:t>
      </w:r>
      <w:r w:rsidRPr="00831A01">
        <w:rPr>
          <w:rStyle w:val="af9"/>
          <w:rFonts w:hint="cs"/>
          <w:rtl/>
        </w:rPr>
        <w:t>הש"ך</w:t>
      </w:r>
      <w:r>
        <w:rPr>
          <w:rFonts w:hint="cs"/>
          <w:rtl/>
        </w:rPr>
        <w:t xml:space="preserve"> </w:t>
      </w:r>
      <w:r w:rsidRPr="00A31CC3">
        <w:rPr>
          <w:rStyle w:val="af7"/>
          <w:rFonts w:eastAsia="Guttman Hodes" w:hint="cs"/>
          <w:rtl/>
        </w:rPr>
        <w:t>(סי' קמ"ו סקכ"ו)</w:t>
      </w:r>
      <w:r>
        <w:rPr>
          <w:rFonts w:hint="cs"/>
          <w:rtl/>
        </w:rPr>
        <w:t xml:space="preserve"> כתב דאף </w:t>
      </w:r>
      <w:r w:rsidRPr="006B41C0">
        <w:rPr>
          <w:rStyle w:val="af9"/>
          <w:rFonts w:hint="cs"/>
          <w:rtl/>
        </w:rPr>
        <w:t xml:space="preserve">הר"ח </w:t>
      </w:r>
      <w:r w:rsidRPr="004110EB">
        <w:rPr>
          <w:rStyle w:val="af9"/>
          <w:rFonts w:hint="cs"/>
          <w:rtl/>
        </w:rPr>
        <w:t>והרי"ף</w:t>
      </w:r>
      <w:r>
        <w:rPr>
          <w:rFonts w:hint="cs"/>
          <w:rtl/>
        </w:rPr>
        <w:t xml:space="preserve"> מודים </w:t>
      </w:r>
      <w:r w:rsidRPr="006B41C0">
        <w:rPr>
          <w:rStyle w:val="af9"/>
          <w:rFonts w:hint="cs"/>
          <w:rtl/>
        </w:rPr>
        <w:t>לרשב"ם והרא"ש</w:t>
      </w:r>
      <w:r>
        <w:rPr>
          <w:rFonts w:hint="cs"/>
          <w:rtl/>
        </w:rPr>
        <w:t xml:space="preserve"> דאם הוא יכול לקיימו נאמן במיגו, אלא דס"ל </w:t>
      </w:r>
      <w:r w:rsidRPr="006B41C0">
        <w:rPr>
          <w:rStyle w:val="af9"/>
          <w:rFonts w:hint="cs"/>
          <w:rtl/>
        </w:rPr>
        <w:t>להר"ח והרי"ף</w:t>
      </w:r>
      <w:r>
        <w:rPr>
          <w:rFonts w:hint="cs"/>
          <w:rtl/>
        </w:rPr>
        <w:t xml:space="preserve"> דהוא דבר רחוק שיוכל לקיים שטר מזויף, ולכן ביארו דאיירי בשטר אמנה, אבל אי יכול לקיימו, כתב </w:t>
      </w:r>
      <w:r w:rsidRPr="006B41C0">
        <w:rPr>
          <w:rStyle w:val="af9"/>
          <w:rFonts w:hint="cs"/>
          <w:rtl/>
        </w:rPr>
        <w:t>הש"ך</w:t>
      </w:r>
      <w:r>
        <w:rPr>
          <w:rFonts w:hint="cs"/>
          <w:rtl/>
        </w:rPr>
        <w:t xml:space="preserve"> דאין כל טעם לחלק בין אמנה למזויף.</w:t>
      </w:r>
      <w:bookmarkEnd w:id="13617"/>
    </w:p>
    <w:p w:rsidR="003B7617" w:rsidRDefault="003B7617" w:rsidP="003B7617">
      <w:pPr>
        <w:pStyle w:val="afe"/>
        <w:rPr>
          <w:rtl/>
        </w:rPr>
      </w:pPr>
      <w:bookmarkStart w:id="13618" w:name="_Toc63111429"/>
      <w:bookmarkStart w:id="13619" w:name="_Toc63163477"/>
      <w:bookmarkStart w:id="13620" w:name="_Toc63188724"/>
      <w:bookmarkStart w:id="13621" w:name="_Toc63247683"/>
      <w:bookmarkStart w:id="13622" w:name="_Toc62644210"/>
      <w:bookmarkStart w:id="13623" w:name="_Toc62819894"/>
      <w:bookmarkEnd w:id="13611"/>
      <w:bookmarkEnd w:id="13612"/>
      <w:r>
        <w:rPr>
          <w:rFonts w:hint="cs"/>
          <w:rtl/>
        </w:rPr>
        <w:t>דעת הרשב"ם דהודה שהשטר מזויף ממש</w:t>
      </w:r>
      <w:bookmarkEnd w:id="13618"/>
      <w:bookmarkEnd w:id="13619"/>
      <w:bookmarkEnd w:id="13620"/>
      <w:bookmarkEnd w:id="13621"/>
    </w:p>
    <w:p w:rsidR="003B7617" w:rsidRDefault="003B7617" w:rsidP="003B7617">
      <w:pPr>
        <w:pStyle w:val="1"/>
        <w:rPr>
          <w:rtl/>
        </w:rPr>
      </w:pPr>
      <w:bookmarkStart w:id="13624" w:name="_Toc63111430"/>
      <w:bookmarkStart w:id="13625" w:name="_Toc63163478"/>
      <w:bookmarkStart w:id="13626" w:name="_Toc63188725"/>
      <w:bookmarkStart w:id="13627" w:name="_Toc63247684"/>
      <w:r>
        <w:rPr>
          <w:rFonts w:hint="cs"/>
          <w:rtl/>
        </w:rPr>
        <w:t>הביאור הב' ברשב"ם דמודה המחזיק שהשטר מזויף ממש</w:t>
      </w:r>
      <w:bookmarkEnd w:id="13622"/>
      <w:bookmarkEnd w:id="13623"/>
      <w:bookmarkEnd w:id="13624"/>
      <w:bookmarkEnd w:id="13625"/>
      <w:bookmarkEnd w:id="13626"/>
      <w:bookmarkEnd w:id="13627"/>
    </w:p>
    <w:p w:rsidR="003B7617" w:rsidRDefault="003B7617" w:rsidP="003B7617">
      <w:pPr>
        <w:pStyle w:val="a3"/>
        <w:rPr>
          <w:rtl/>
        </w:rPr>
      </w:pPr>
      <w:bookmarkStart w:id="13628" w:name="_Toc63111431"/>
      <w:bookmarkStart w:id="13629" w:name="_Toc63163479"/>
      <w:bookmarkStart w:id="13630" w:name="_Toc63188726"/>
      <w:bookmarkStart w:id="13631" w:name="_Toc63247685"/>
      <w:r>
        <w:rPr>
          <w:rFonts w:hint="cs"/>
          <w:rtl/>
        </w:rPr>
        <w:t>דעת הרשב"ם ורבינו גרשום והריטב"א דאיירי שהודה המחזיק שהשטר מזויף ממש</w:t>
      </w:r>
      <w:bookmarkEnd w:id="13628"/>
      <w:bookmarkEnd w:id="13629"/>
      <w:bookmarkEnd w:id="13630"/>
      <w:bookmarkEnd w:id="13631"/>
    </w:p>
    <w:p w:rsidR="003B7617" w:rsidRDefault="003B7617" w:rsidP="007E4E81">
      <w:pPr>
        <w:pStyle w:val="a0"/>
        <w:rPr>
          <w:rtl/>
        </w:rPr>
      </w:pPr>
      <w:bookmarkStart w:id="13632" w:name="_Ref62643376"/>
      <w:r>
        <w:rPr>
          <w:rFonts w:hint="cs"/>
          <w:rtl/>
        </w:rPr>
        <w:t xml:space="preserve">ועוד ביאר </w:t>
      </w:r>
      <w:r w:rsidRPr="00176841">
        <w:rPr>
          <w:rStyle w:val="af9"/>
          <w:rFonts w:hint="cs"/>
          <w:rtl/>
        </w:rPr>
        <w:t>הרשב"ם בביאורו הב'</w:t>
      </w:r>
      <w:r>
        <w:rPr>
          <w:rFonts w:hint="cs"/>
          <w:rtl/>
        </w:rPr>
        <w:t xml:space="preserve"> </w:t>
      </w:r>
      <w:r w:rsidRPr="00E4410C">
        <w:rPr>
          <w:rStyle w:val="af7"/>
          <w:rFonts w:eastAsia="Guttman Hodes" w:hint="cs"/>
          <w:rtl/>
        </w:rPr>
        <w:t>(ד"ה אמר)</w:t>
      </w:r>
      <w:r>
        <w:rPr>
          <w:rFonts w:hint="cs"/>
          <w:rtl/>
        </w:rPr>
        <w:t xml:space="preserve"> דמודה המערער שהשטר מזויף ממש, וכ"כ </w:t>
      </w:r>
      <w:r w:rsidRPr="00956E10">
        <w:rPr>
          <w:rStyle w:val="af9"/>
          <w:rFonts w:hint="cs"/>
          <w:rtl/>
        </w:rPr>
        <w:t>רבינו גרשום</w:t>
      </w:r>
      <w:r>
        <w:rPr>
          <w:rFonts w:hint="cs"/>
          <w:rtl/>
        </w:rPr>
        <w:t xml:space="preserve"> </w:t>
      </w:r>
      <w:r w:rsidRPr="00956E10">
        <w:rPr>
          <w:rStyle w:val="af7"/>
          <w:rFonts w:eastAsia="Guttman Hodes" w:hint="cs"/>
          <w:rtl/>
        </w:rPr>
        <w:t>(ד"ה חספא)</w:t>
      </w:r>
      <w:r>
        <w:rPr>
          <w:rFonts w:hint="cs"/>
          <w:rtl/>
        </w:rPr>
        <w:t xml:space="preserve"> </w:t>
      </w:r>
      <w:r>
        <w:rPr>
          <w:rStyle w:val="af9"/>
          <w:rFonts w:hint="cs"/>
          <w:rtl/>
        </w:rPr>
        <w:t>ו</w:t>
      </w:r>
      <w:r w:rsidRPr="006B41C0">
        <w:rPr>
          <w:rStyle w:val="af9"/>
          <w:rFonts w:hint="cs"/>
          <w:rtl/>
        </w:rPr>
        <w:t>הריטב"א</w:t>
      </w:r>
      <w:r>
        <w:rPr>
          <w:rFonts w:hint="cs"/>
          <w:rtl/>
        </w:rPr>
        <w:t xml:space="preserve"> </w:t>
      </w:r>
      <w:r w:rsidRPr="00F4777F">
        <w:rPr>
          <w:rStyle w:val="af7"/>
          <w:rFonts w:eastAsia="Guttman Hodes" w:hint="cs"/>
          <w:rtl/>
        </w:rPr>
        <w:t>(ד"ה שטרא)</w:t>
      </w:r>
      <w:r>
        <w:rPr>
          <w:rFonts w:hint="cs"/>
          <w:rtl/>
        </w:rPr>
        <w:t xml:space="preserve"> דהמחזיק מודה שזייף את השטר, ועי' בדברי </w:t>
      </w:r>
      <w:r w:rsidRPr="00B264C7">
        <w:rPr>
          <w:rStyle w:val="af9"/>
          <w:rFonts w:hint="cs"/>
          <w:rtl/>
        </w:rPr>
        <w:t>הרמב"ן</w:t>
      </w:r>
      <w:r>
        <w:rPr>
          <w:rFonts w:hint="cs"/>
          <w:rtl/>
        </w:rPr>
        <w:t xml:space="preserve"> </w:t>
      </w:r>
      <w:r w:rsidRPr="00B264C7">
        <w:rPr>
          <w:rStyle w:val="af7"/>
          <w:rFonts w:eastAsia="Guttman Hodes" w:hint="cs"/>
          <w:rtl/>
        </w:rPr>
        <w:t xml:space="preserve">(עי' אות </w:t>
      </w:r>
      <w:r w:rsidRPr="00B264C7">
        <w:rPr>
          <w:rStyle w:val="af7"/>
          <w:rFonts w:eastAsia="Guttman Hodes"/>
          <w:rtl/>
        </w:rPr>
        <w:fldChar w:fldCharType="begin"/>
      </w:r>
      <w:r w:rsidRPr="00B264C7">
        <w:rPr>
          <w:rStyle w:val="af7"/>
          <w:rFonts w:eastAsia="Guttman Hodes"/>
          <w:rtl/>
        </w:rPr>
        <w:instrText xml:space="preserve"> </w:instrText>
      </w:r>
      <w:r w:rsidRPr="00B264C7">
        <w:rPr>
          <w:rStyle w:val="af7"/>
          <w:rFonts w:eastAsia="Guttman Hodes" w:hint="cs"/>
        </w:rPr>
        <w:instrText>REF</w:instrText>
      </w:r>
      <w:r w:rsidRPr="00B264C7">
        <w:rPr>
          <w:rStyle w:val="af7"/>
          <w:rFonts w:eastAsia="Guttman Hodes" w:hint="cs"/>
          <w:rtl/>
        </w:rPr>
        <w:instrText xml:space="preserve"> _</w:instrText>
      </w:r>
      <w:r w:rsidRPr="00B264C7">
        <w:rPr>
          <w:rStyle w:val="af7"/>
          <w:rFonts w:eastAsia="Guttman Hodes" w:hint="cs"/>
        </w:rPr>
        <w:instrText>Ref62644256 \r \h</w:instrText>
      </w:r>
      <w:r w:rsidRPr="00B264C7">
        <w:rPr>
          <w:rStyle w:val="af7"/>
          <w:rFonts w:eastAsia="Guttman Hodes"/>
          <w:rtl/>
        </w:rPr>
        <w:instrText xml:space="preserve"> </w:instrText>
      </w:r>
      <w:r w:rsidRPr="00B264C7">
        <w:rPr>
          <w:rStyle w:val="af7"/>
          <w:rFonts w:eastAsia="Guttman Hodes"/>
          <w:rtl/>
        </w:rPr>
      </w:r>
      <w:r w:rsidRPr="00B264C7">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B264C7">
        <w:rPr>
          <w:rStyle w:val="af7"/>
          <w:rFonts w:eastAsia="Guttman Hodes"/>
          <w:rtl/>
        </w:rPr>
        <w:fldChar w:fldCharType="end"/>
      </w:r>
      <w:r>
        <w:rPr>
          <w:rFonts w:hint="cs"/>
          <w:rtl/>
        </w:rPr>
        <w:t>.</w:t>
      </w:r>
      <w:bookmarkEnd w:id="13632"/>
      <w:r>
        <w:rPr>
          <w:rFonts w:hint="cs"/>
          <w:rtl/>
        </w:rPr>
        <w:t xml:space="preserve"> </w:t>
      </w:r>
    </w:p>
    <w:p w:rsidR="003B7617" w:rsidRPr="0023338E" w:rsidRDefault="003B7617" w:rsidP="003B7617">
      <w:pPr>
        <w:pStyle w:val="a3"/>
        <w:rPr>
          <w:rtl/>
        </w:rPr>
      </w:pPr>
    </w:p>
    <w:p w:rsidR="003B7617" w:rsidRDefault="003B7617" w:rsidP="003B7617">
      <w:pPr>
        <w:pStyle w:val="a3"/>
      </w:pPr>
      <w:bookmarkStart w:id="13633" w:name="_Toc62644212"/>
      <w:bookmarkStart w:id="13634" w:name="_Toc62819896"/>
      <w:bookmarkStart w:id="13635" w:name="_Toc63111432"/>
      <w:bookmarkStart w:id="13636" w:name="_Toc63163480"/>
      <w:bookmarkStart w:id="13637" w:name="_Toc63188727"/>
      <w:bookmarkStart w:id="13638" w:name="_Toc63247686"/>
      <w:r>
        <w:rPr>
          <w:rFonts w:hint="cs"/>
          <w:rtl/>
        </w:rPr>
        <w:lastRenderedPageBreak/>
        <w:t>ביאור הרשב"ם דיש למחזיק מיגו שיכול לקיימו דטועים העדים שזו חתימתם או בעידי שקר</w:t>
      </w:r>
      <w:bookmarkEnd w:id="13633"/>
      <w:bookmarkEnd w:id="13634"/>
      <w:bookmarkEnd w:id="13635"/>
      <w:bookmarkEnd w:id="13636"/>
      <w:bookmarkEnd w:id="13637"/>
      <w:bookmarkEnd w:id="13638"/>
    </w:p>
    <w:p w:rsidR="003B7617" w:rsidRDefault="003B7617" w:rsidP="007E4E81">
      <w:pPr>
        <w:pStyle w:val="a0"/>
        <w:rPr>
          <w:rStyle w:val="afb"/>
          <w:rtl/>
        </w:rPr>
      </w:pPr>
      <w:bookmarkStart w:id="13639" w:name="_Ref63108785"/>
      <w:r>
        <w:rPr>
          <w:rFonts w:hint="cs"/>
          <w:rtl/>
        </w:rPr>
        <w:t xml:space="preserve">והא דיש למחזיק מיגו דהיה יכול לקיים את השטר, ביאר </w:t>
      </w:r>
      <w:r w:rsidRPr="00176841">
        <w:rPr>
          <w:rStyle w:val="af9"/>
          <w:rFonts w:hint="cs"/>
          <w:rtl/>
        </w:rPr>
        <w:t>הרשב"ם</w:t>
      </w:r>
      <w:r>
        <w:rPr>
          <w:rFonts w:hint="cs"/>
          <w:rtl/>
        </w:rPr>
        <w:t xml:space="preserve"> דאייריי שזייף את חתימת העדים יפה, עד שהם טועים וסוברים שזו החתימה שלהם, והם מקיימים את השטר, ועוד ביאר </w:t>
      </w:r>
      <w:r w:rsidRPr="00176841">
        <w:rPr>
          <w:rStyle w:val="af9"/>
          <w:rFonts w:hint="cs"/>
          <w:rtl/>
        </w:rPr>
        <w:t>הרשב"ם</w:t>
      </w:r>
      <w:r>
        <w:rPr>
          <w:rFonts w:hint="cs"/>
          <w:rtl/>
        </w:rPr>
        <w:t xml:space="preserve"> דיש למחזיק מיגו כיון שיכול לקיימו בעידי שקר שהם חתמו לו על השטר המזויף, וכתב </w:t>
      </w:r>
      <w:r w:rsidRPr="00176841">
        <w:rPr>
          <w:rStyle w:val="af9"/>
          <w:rFonts w:hint="cs"/>
          <w:rtl/>
        </w:rPr>
        <w:t>הרשב"ם</w:t>
      </w:r>
      <w:r>
        <w:rPr>
          <w:rFonts w:hint="cs"/>
          <w:rtl/>
        </w:rPr>
        <w:t xml:space="preserve"> דהביאור הראשון </w:t>
      </w:r>
      <w:r w:rsidRPr="00176841">
        <w:rPr>
          <w:rStyle w:val="afb"/>
          <w:rFonts w:hint="cs"/>
          <w:rtl/>
        </w:rPr>
        <w:t>[דזייף חתימתם יפה]</w:t>
      </w:r>
      <w:r>
        <w:rPr>
          <w:rFonts w:hint="cs"/>
          <w:rtl/>
        </w:rPr>
        <w:t xml:space="preserve"> עיקר,</w:t>
      </w:r>
      <w:r w:rsidRPr="008B0904">
        <w:rPr>
          <w:rFonts w:hint="cs"/>
          <w:rtl/>
        </w:rPr>
        <w:t xml:space="preserve"> </w:t>
      </w:r>
      <w:r w:rsidRPr="008B0904">
        <w:rPr>
          <w:rStyle w:val="afb"/>
          <w:rFonts w:hint="cs"/>
          <w:rtl/>
        </w:rPr>
        <w:t xml:space="preserve">[ועי' בדברי </w:t>
      </w:r>
      <w:r w:rsidRPr="000D1495">
        <w:rPr>
          <w:rStyle w:val="affa"/>
          <w:rFonts w:hint="cs"/>
          <w:rtl/>
        </w:rPr>
        <w:t>הרשב"ם</w:t>
      </w:r>
      <w:r w:rsidRPr="008B0904">
        <w:rPr>
          <w:rStyle w:val="afb"/>
          <w:rFonts w:hint="cs"/>
          <w:rtl/>
        </w:rPr>
        <w:t xml:space="preserve"> </w:t>
      </w:r>
      <w:r w:rsidRPr="000D1495">
        <w:rPr>
          <w:rStyle w:val="aff6"/>
          <w:rFonts w:hint="cs"/>
          <w:rtl/>
        </w:rPr>
        <w:t>(סוד"ה שלח ליה)</w:t>
      </w:r>
      <w:r w:rsidRPr="008B0904">
        <w:rPr>
          <w:rStyle w:val="afb"/>
          <w:rFonts w:hint="cs"/>
          <w:rtl/>
        </w:rPr>
        <w:t xml:space="preserve"> דמבואר </w:t>
      </w:r>
      <w:r>
        <w:rPr>
          <w:rStyle w:val="afb"/>
          <w:rFonts w:hint="cs"/>
          <w:rtl/>
        </w:rPr>
        <w:t xml:space="preserve">מדבריו </w:t>
      </w:r>
      <w:r w:rsidRPr="008B0904">
        <w:rPr>
          <w:rStyle w:val="afb"/>
          <w:rFonts w:hint="cs"/>
          <w:rtl/>
        </w:rPr>
        <w:t xml:space="preserve">דמסקנת </w:t>
      </w:r>
      <w:r w:rsidRPr="000D1495">
        <w:rPr>
          <w:rStyle w:val="affa"/>
          <w:rFonts w:hint="cs"/>
          <w:rtl/>
        </w:rPr>
        <w:t>הרשב"ם כביאורו הב'</w:t>
      </w:r>
      <w:r w:rsidRPr="008B0904">
        <w:rPr>
          <w:rStyle w:val="afb"/>
          <w:rFonts w:hint="cs"/>
          <w:rtl/>
        </w:rPr>
        <w:t xml:space="preserve"> ודלא</w:t>
      </w:r>
      <w:r>
        <w:rPr>
          <w:rStyle w:val="afb"/>
          <w:rFonts w:hint="cs"/>
          <w:rtl/>
        </w:rPr>
        <w:t xml:space="preserve"> כדביאר</w:t>
      </w:r>
      <w:r w:rsidRPr="008B0904">
        <w:rPr>
          <w:rStyle w:val="afb"/>
          <w:rFonts w:hint="cs"/>
          <w:rtl/>
        </w:rPr>
        <w:t xml:space="preserve"> </w:t>
      </w:r>
      <w:r>
        <w:rPr>
          <w:rStyle w:val="affa"/>
          <w:rFonts w:hint="cs"/>
          <w:rtl/>
        </w:rPr>
        <w:t xml:space="preserve">הרשב"ם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Ref63068876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ג)</w:t>
      </w:r>
      <w:r>
        <w:rPr>
          <w:rStyle w:val="aff6"/>
          <w:rtl/>
        </w:rPr>
        <w:fldChar w:fldCharType="end"/>
      </w:r>
      <w:r>
        <w:rPr>
          <w:rStyle w:val="aff6"/>
          <w:rFonts w:hint="cs"/>
          <w:rtl/>
        </w:rPr>
        <w:t xml:space="preserve"> </w:t>
      </w:r>
      <w:r w:rsidRPr="0059351B">
        <w:rPr>
          <w:rStyle w:val="afb"/>
          <w:rFonts w:hint="cs"/>
          <w:rtl/>
        </w:rPr>
        <w:t xml:space="preserve">בשם </w:t>
      </w:r>
      <w:r w:rsidRPr="000D1495">
        <w:rPr>
          <w:rStyle w:val="affa"/>
          <w:rFonts w:hint="cs"/>
          <w:rtl/>
        </w:rPr>
        <w:t>ר"ח</w:t>
      </w:r>
      <w:r w:rsidRPr="008B0904">
        <w:rPr>
          <w:rStyle w:val="afb"/>
          <w:rFonts w:hint="cs"/>
          <w:rtl/>
        </w:rPr>
        <w:t>]</w:t>
      </w:r>
      <w:r>
        <w:rPr>
          <w:rStyle w:val="afb"/>
          <w:rFonts w:hint="cs"/>
          <w:rtl/>
        </w:rPr>
        <w:t>,</w:t>
      </w:r>
      <w:r w:rsidRPr="0059351B">
        <w:rPr>
          <w:rFonts w:hint="cs"/>
          <w:rtl/>
        </w:rPr>
        <w:t xml:space="preserve"> </w:t>
      </w:r>
      <w:r>
        <w:rPr>
          <w:rFonts w:hint="cs"/>
          <w:rtl/>
        </w:rPr>
        <w:t xml:space="preserve">ועי' במ"ש </w:t>
      </w:r>
      <w:r w:rsidRPr="00296070">
        <w:rPr>
          <w:rStyle w:val="af9"/>
          <w:rFonts w:hint="cs"/>
          <w:rtl/>
        </w:rPr>
        <w:t>היד רמ"ה</w:t>
      </w:r>
      <w:r>
        <w:rPr>
          <w:rFonts w:hint="cs"/>
          <w:rtl/>
        </w:rPr>
        <w:t xml:space="preserve"> </w:t>
      </w:r>
      <w:r w:rsidRPr="00296070">
        <w:rPr>
          <w:rStyle w:val="af7"/>
          <w:rFonts w:eastAsia="Guttman Hodes" w:hint="cs"/>
          <w:rtl/>
        </w:rPr>
        <w:t xml:space="preserve">(עי' אות </w:t>
      </w:r>
      <w:r w:rsidRPr="00296070">
        <w:rPr>
          <w:rStyle w:val="af7"/>
          <w:rFonts w:eastAsia="Guttman Hodes"/>
          <w:rtl/>
        </w:rPr>
        <w:fldChar w:fldCharType="begin"/>
      </w:r>
      <w:r w:rsidRPr="00296070">
        <w:rPr>
          <w:rStyle w:val="af7"/>
          <w:rFonts w:eastAsia="Guttman Hodes"/>
          <w:rtl/>
        </w:rPr>
        <w:instrText xml:space="preserve"> </w:instrText>
      </w:r>
      <w:r w:rsidRPr="00296070">
        <w:rPr>
          <w:rStyle w:val="af7"/>
          <w:rFonts w:eastAsia="Guttman Hodes" w:hint="cs"/>
        </w:rPr>
        <w:instrText>REF</w:instrText>
      </w:r>
      <w:r w:rsidRPr="00296070">
        <w:rPr>
          <w:rStyle w:val="af7"/>
          <w:rFonts w:eastAsia="Guttman Hodes" w:hint="cs"/>
          <w:rtl/>
        </w:rPr>
        <w:instrText xml:space="preserve"> _</w:instrText>
      </w:r>
      <w:r w:rsidRPr="00296070">
        <w:rPr>
          <w:rStyle w:val="af7"/>
          <w:rFonts w:eastAsia="Guttman Hodes" w:hint="cs"/>
        </w:rPr>
        <w:instrText>Ref63068935 \r \h</w:instrText>
      </w:r>
      <w:r w:rsidRPr="00296070">
        <w:rPr>
          <w:rStyle w:val="af7"/>
          <w:rFonts w:eastAsia="Guttman Hodes"/>
          <w:rtl/>
        </w:rPr>
        <w:instrText xml:space="preserve"> </w:instrText>
      </w:r>
      <w:r w:rsidRPr="00296070">
        <w:rPr>
          <w:rStyle w:val="af7"/>
          <w:rFonts w:eastAsia="Guttman Hodes"/>
          <w:rtl/>
        </w:rPr>
      </w:r>
      <w:r w:rsidRPr="00296070">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296070">
        <w:rPr>
          <w:rStyle w:val="af7"/>
          <w:rFonts w:eastAsia="Guttman Hodes"/>
          <w:rtl/>
        </w:rPr>
        <w:fldChar w:fldCharType="end"/>
      </w:r>
      <w:r>
        <w:rPr>
          <w:rFonts w:hint="cs"/>
          <w:rtl/>
        </w:rPr>
        <w:t xml:space="preserve"> </w:t>
      </w:r>
      <w:r w:rsidRPr="00296070">
        <w:rPr>
          <w:rStyle w:val="af9"/>
          <w:rFonts w:hint="cs"/>
          <w:rtl/>
        </w:rPr>
        <w:t xml:space="preserve">והמאירי </w:t>
      </w:r>
      <w:r w:rsidRPr="00296070">
        <w:rPr>
          <w:rStyle w:val="af7"/>
          <w:rFonts w:eastAsia="Guttman Hodes" w:hint="cs"/>
          <w:rtl/>
        </w:rPr>
        <w:t xml:space="preserve">(עי' אות </w:t>
      </w:r>
      <w:r w:rsidRPr="00296070">
        <w:rPr>
          <w:rStyle w:val="af7"/>
          <w:rFonts w:eastAsia="Guttman Hodes"/>
          <w:rtl/>
        </w:rPr>
        <w:fldChar w:fldCharType="begin"/>
      </w:r>
      <w:r w:rsidRPr="00296070">
        <w:rPr>
          <w:rStyle w:val="af7"/>
          <w:rFonts w:eastAsia="Guttman Hodes"/>
          <w:rtl/>
        </w:rPr>
        <w:instrText xml:space="preserve"> </w:instrText>
      </w:r>
      <w:r w:rsidRPr="00296070">
        <w:rPr>
          <w:rStyle w:val="af7"/>
          <w:rFonts w:eastAsia="Guttman Hodes" w:hint="cs"/>
        </w:rPr>
        <w:instrText>REF</w:instrText>
      </w:r>
      <w:r w:rsidRPr="00296070">
        <w:rPr>
          <w:rStyle w:val="af7"/>
          <w:rFonts w:eastAsia="Guttman Hodes" w:hint="cs"/>
          <w:rtl/>
        </w:rPr>
        <w:instrText xml:space="preserve"> _</w:instrText>
      </w:r>
      <w:r w:rsidRPr="00296070">
        <w:rPr>
          <w:rStyle w:val="af7"/>
          <w:rFonts w:eastAsia="Guttman Hodes" w:hint="cs"/>
        </w:rPr>
        <w:instrText>Ref63068942 \r \h</w:instrText>
      </w:r>
      <w:r w:rsidRPr="00296070">
        <w:rPr>
          <w:rStyle w:val="af7"/>
          <w:rFonts w:eastAsia="Guttman Hodes"/>
          <w:rtl/>
        </w:rPr>
        <w:instrText xml:space="preserve"> </w:instrText>
      </w:r>
      <w:r w:rsidRPr="00296070">
        <w:rPr>
          <w:rStyle w:val="af7"/>
          <w:rFonts w:eastAsia="Guttman Hodes"/>
          <w:rtl/>
        </w:rPr>
      </w:r>
      <w:r w:rsidRPr="00296070">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296070">
        <w:rPr>
          <w:rStyle w:val="af7"/>
          <w:rFonts w:eastAsia="Guttman Hodes"/>
          <w:rtl/>
        </w:rPr>
        <w:fldChar w:fldCharType="end"/>
      </w:r>
      <w:r>
        <w:rPr>
          <w:rFonts w:hint="cs"/>
          <w:rtl/>
        </w:rPr>
        <w:t xml:space="preserve"> דאף אם קיים את השטר המזויף אינו נאמן במיגו.</w:t>
      </w:r>
      <w:bookmarkEnd w:id="13639"/>
    </w:p>
    <w:p w:rsidR="003B7617" w:rsidRDefault="003B7617" w:rsidP="003B7617">
      <w:pPr>
        <w:pStyle w:val="a3"/>
        <w:rPr>
          <w:rtl/>
        </w:rPr>
      </w:pPr>
      <w:bookmarkStart w:id="13640" w:name="_Toc63111433"/>
      <w:bookmarkStart w:id="13641" w:name="_Toc63163481"/>
      <w:bookmarkStart w:id="13642" w:name="_Toc63188728"/>
      <w:bookmarkStart w:id="13643" w:name="_Toc63247687"/>
      <w:r>
        <w:rPr>
          <w:rFonts w:hint="cs"/>
          <w:rtl/>
        </w:rPr>
        <w:t>דברי הרא"ש דאף לר"ח מוכח דאיירי במקוים וא"כ אין חילוק בין אמנה למזויף דנאמן במיגו</w:t>
      </w:r>
      <w:bookmarkEnd w:id="13640"/>
      <w:bookmarkEnd w:id="13641"/>
      <w:bookmarkEnd w:id="13642"/>
      <w:bookmarkEnd w:id="13643"/>
    </w:p>
    <w:p w:rsidR="003B7617" w:rsidRDefault="003B7617" w:rsidP="007E4E81">
      <w:pPr>
        <w:pStyle w:val="a0"/>
        <w:rPr>
          <w:rtl/>
        </w:rPr>
      </w:pPr>
      <w:bookmarkStart w:id="13644" w:name="_Ref63109392"/>
      <w:r>
        <w:rPr>
          <w:rFonts w:hint="cs"/>
          <w:rtl/>
        </w:rPr>
        <w:t>וכתב</w:t>
      </w:r>
      <w:r w:rsidRPr="00B86489">
        <w:rPr>
          <w:rStyle w:val="af9"/>
          <w:rFonts w:hint="cs"/>
          <w:rtl/>
        </w:rPr>
        <w:t xml:space="preserve"> </w:t>
      </w:r>
      <w:r>
        <w:rPr>
          <w:rStyle w:val="af9"/>
          <w:rFonts w:hint="cs"/>
          <w:rtl/>
        </w:rPr>
        <w:t>הרא"ש</w:t>
      </w:r>
      <w:r>
        <w:rPr>
          <w:rFonts w:hint="cs"/>
          <w:rtl/>
        </w:rPr>
        <w:t xml:space="preserve"> </w:t>
      </w:r>
      <w:r w:rsidRPr="0077161A">
        <w:rPr>
          <w:rStyle w:val="af7"/>
          <w:rFonts w:eastAsia="Guttman Hodes" w:hint="cs"/>
          <w:rtl/>
        </w:rPr>
        <w:t>(סי' י"ב)</w:t>
      </w:r>
      <w:r>
        <w:rPr>
          <w:rFonts w:hint="cs"/>
          <w:rtl/>
        </w:rPr>
        <w:t xml:space="preserve"> דנראה לבאר </w:t>
      </w:r>
      <w:r w:rsidRPr="00FB76BD">
        <w:rPr>
          <w:rStyle w:val="af9"/>
          <w:rFonts w:hint="cs"/>
          <w:rtl/>
        </w:rPr>
        <w:t>כרשב"ם</w:t>
      </w:r>
      <w:r>
        <w:rPr>
          <w:rFonts w:hint="cs"/>
          <w:rtl/>
        </w:rPr>
        <w:t xml:space="preserve"> דאיירי בשטר מזויף ממש, דהא אף שטר אמנה הוא שטר פסול כמו שטר מזויף, וכתב</w:t>
      </w:r>
      <w:r w:rsidRPr="00B86489">
        <w:rPr>
          <w:rStyle w:val="af9"/>
          <w:rFonts w:hint="cs"/>
          <w:rtl/>
        </w:rPr>
        <w:t xml:space="preserve"> </w:t>
      </w:r>
      <w:r>
        <w:rPr>
          <w:rStyle w:val="af9"/>
          <w:rFonts w:hint="cs"/>
          <w:rtl/>
        </w:rPr>
        <w:t>הרא"ש</w:t>
      </w:r>
      <w:r>
        <w:rPr>
          <w:rFonts w:hint="cs"/>
          <w:rtl/>
        </w:rPr>
        <w:t xml:space="preserve"> דכיון דאף לביאור </w:t>
      </w:r>
      <w:r w:rsidRPr="00FB76BD">
        <w:rPr>
          <w:rStyle w:val="af9"/>
          <w:rFonts w:hint="cs"/>
          <w:rtl/>
        </w:rPr>
        <w:t>ר"ח</w:t>
      </w:r>
      <w:r>
        <w:rPr>
          <w:rFonts w:hint="cs"/>
          <w:rtl/>
        </w:rPr>
        <w:t xml:space="preserve"> דהודה המחזיק דהשטר הוא אמנה, צ"ל דאמר רבה שאם הוא יקיים את השטר יהיה נאמן במיגו, דאי לא קיימו ודאי דאינו נאמן כיון שהמערער טוען שהשטר הוא מזויף, וכתב </w:t>
      </w:r>
      <w:r w:rsidRPr="001B3D95">
        <w:rPr>
          <w:rStyle w:val="af9"/>
          <w:rFonts w:hint="cs"/>
          <w:rtl/>
        </w:rPr>
        <w:t>הרא"ש</w:t>
      </w:r>
      <w:r>
        <w:rPr>
          <w:rFonts w:hint="cs"/>
          <w:rtl/>
        </w:rPr>
        <w:t xml:space="preserve"> דאף אם מודה המערער שכתב את השטר, </w:t>
      </w:r>
      <w:r w:rsidRPr="003D0D37">
        <w:rPr>
          <w:rStyle w:val="afb"/>
          <w:rFonts w:hint="cs"/>
          <w:rtl/>
        </w:rPr>
        <w:t>[כדביאר</w:t>
      </w:r>
      <w:r>
        <w:rPr>
          <w:rStyle w:val="afb"/>
          <w:rFonts w:hint="cs"/>
          <w:rtl/>
        </w:rPr>
        <w:t>ו</w:t>
      </w:r>
      <w:r>
        <w:rPr>
          <w:rFonts w:hint="cs"/>
          <w:rtl/>
        </w:rPr>
        <w:t xml:space="preserve"> </w:t>
      </w:r>
      <w:r w:rsidRPr="003D0D37">
        <w:rPr>
          <w:rStyle w:val="affa"/>
          <w:rFonts w:hint="cs"/>
          <w:rtl/>
        </w:rPr>
        <w:t>ר</w:t>
      </w:r>
      <w:r>
        <w:rPr>
          <w:rStyle w:val="affa"/>
          <w:rFonts w:hint="cs"/>
          <w:rtl/>
        </w:rPr>
        <w:t>"ח ור</w:t>
      </w:r>
      <w:r w:rsidRPr="003D0D37">
        <w:rPr>
          <w:rStyle w:val="affa"/>
          <w:rFonts w:hint="cs"/>
          <w:rtl/>
        </w:rPr>
        <w:t>בינו יונה</w:t>
      </w:r>
      <w:r>
        <w:rPr>
          <w:rFonts w:hint="cs"/>
          <w:rtl/>
        </w:rPr>
        <w:t xml:space="preserve"> </w:t>
      </w:r>
      <w:r w:rsidRPr="003D0D37">
        <w:rPr>
          <w:rStyle w:val="aff6"/>
          <w:rFonts w:hint="cs"/>
          <w:rtl/>
        </w:rPr>
        <w:t xml:space="preserve">(עי' אות </w:t>
      </w:r>
      <w:r w:rsidRPr="003D0D37">
        <w:rPr>
          <w:rStyle w:val="aff6"/>
          <w:rtl/>
        </w:rPr>
        <w:fldChar w:fldCharType="begin"/>
      </w:r>
      <w:r w:rsidRPr="003D0D37">
        <w:rPr>
          <w:rStyle w:val="aff6"/>
          <w:rtl/>
        </w:rPr>
        <w:instrText xml:space="preserve"> </w:instrText>
      </w:r>
      <w:r w:rsidRPr="003D0D37">
        <w:rPr>
          <w:rStyle w:val="aff6"/>
          <w:rFonts w:hint="cs"/>
        </w:rPr>
        <w:instrText>REF</w:instrText>
      </w:r>
      <w:r w:rsidRPr="003D0D37">
        <w:rPr>
          <w:rStyle w:val="aff6"/>
          <w:rFonts w:hint="cs"/>
          <w:rtl/>
        </w:rPr>
        <w:instrText xml:space="preserve"> _</w:instrText>
      </w:r>
      <w:r w:rsidRPr="003D0D37">
        <w:rPr>
          <w:rStyle w:val="aff6"/>
          <w:rFonts w:hint="cs"/>
        </w:rPr>
        <w:instrText>Ref62553839 \r \h</w:instrText>
      </w:r>
      <w:r w:rsidRPr="003D0D37">
        <w:rPr>
          <w:rStyle w:val="aff6"/>
          <w:rtl/>
        </w:rPr>
        <w:instrText xml:space="preserve"> </w:instrText>
      </w:r>
      <w:r w:rsidRPr="003D0D37">
        <w:rPr>
          <w:rStyle w:val="aff6"/>
          <w:rtl/>
        </w:rPr>
      </w:r>
      <w:r w:rsidRPr="003D0D37">
        <w:rPr>
          <w:rStyle w:val="aff6"/>
          <w:rtl/>
        </w:rPr>
        <w:fldChar w:fldCharType="separate"/>
      </w:r>
      <w:r w:rsidR="00265073">
        <w:rPr>
          <w:rStyle w:val="aff6"/>
          <w:cs/>
        </w:rPr>
        <w:t>‎</w:t>
      </w:r>
      <w:r w:rsidR="00265073">
        <w:rPr>
          <w:rStyle w:val="aff6"/>
          <w:rtl/>
        </w:rPr>
        <w:t>ד)</w:t>
      </w:r>
      <w:r w:rsidRPr="003D0D37">
        <w:rPr>
          <w:rStyle w:val="aff6"/>
          <w:rtl/>
        </w:rPr>
        <w:fldChar w:fldCharType="end"/>
      </w:r>
      <w:r w:rsidRPr="003D0D37">
        <w:rPr>
          <w:rStyle w:val="afb"/>
          <w:rFonts w:hint="cs"/>
          <w:rtl/>
        </w:rPr>
        <w:t>],</w:t>
      </w:r>
      <w:r>
        <w:rPr>
          <w:rFonts w:hint="cs"/>
          <w:rtl/>
        </w:rPr>
        <w:t xml:space="preserve"> מ"מ כל שלא התקיים השטר, נאמן המערער לומר שהשטר הוא אמנה,</w:t>
      </w:r>
      <w:r w:rsidRPr="006A6789">
        <w:rPr>
          <w:rFonts w:hint="cs"/>
          <w:rtl/>
        </w:rPr>
        <w:t xml:space="preserve"> </w:t>
      </w:r>
      <w:r>
        <w:rPr>
          <w:rFonts w:hint="cs"/>
          <w:rtl/>
        </w:rPr>
        <w:t xml:space="preserve">כיון שיש לו מיגו דהיה יכול לטעון שהשטר מזויף, וכתב </w:t>
      </w:r>
      <w:r w:rsidRPr="00FB76BD">
        <w:rPr>
          <w:rStyle w:val="af9"/>
          <w:rFonts w:hint="cs"/>
          <w:rtl/>
        </w:rPr>
        <w:t>הרא"ש</w:t>
      </w:r>
      <w:r>
        <w:rPr>
          <w:rFonts w:hint="cs"/>
          <w:rtl/>
        </w:rPr>
        <w:t xml:space="preserve"> דכיון מוכח דאיירי שקיים את השטר, א"כ אין כל חילוק בין שטר אמנה לבין שטר מזויף ממש.</w:t>
      </w:r>
      <w:bookmarkEnd w:id="13644"/>
    </w:p>
    <w:p w:rsidR="003B7617" w:rsidRDefault="003B7617" w:rsidP="003B7617">
      <w:pPr>
        <w:pStyle w:val="1"/>
        <w:rPr>
          <w:rtl/>
        </w:rPr>
      </w:pPr>
      <w:bookmarkStart w:id="13645" w:name="_Toc63111434"/>
      <w:bookmarkStart w:id="13646" w:name="_Toc63163482"/>
      <w:bookmarkStart w:id="13647" w:name="_Toc63188729"/>
      <w:bookmarkStart w:id="13648" w:name="_Toc63247688"/>
      <w:r>
        <w:rPr>
          <w:rFonts w:hint="cs"/>
          <w:rtl/>
        </w:rPr>
        <w:t>דברי הרמב"ם דהשטר מזויף ובההוא ערבא או מזויף או אמנה</w:t>
      </w:r>
      <w:bookmarkEnd w:id="13645"/>
      <w:bookmarkEnd w:id="13646"/>
      <w:bookmarkEnd w:id="13647"/>
      <w:bookmarkEnd w:id="13648"/>
    </w:p>
    <w:p w:rsidR="003B7617" w:rsidRDefault="003B7617" w:rsidP="003B7617">
      <w:pPr>
        <w:pStyle w:val="a3"/>
        <w:rPr>
          <w:rtl/>
        </w:rPr>
      </w:pPr>
      <w:bookmarkStart w:id="13649" w:name="_Toc63111435"/>
      <w:bookmarkStart w:id="13650" w:name="_Toc63163483"/>
      <w:bookmarkStart w:id="13651" w:name="_Toc63188730"/>
      <w:bookmarkStart w:id="13652" w:name="_Toc63247689"/>
      <w:r>
        <w:rPr>
          <w:rFonts w:hint="cs"/>
          <w:rtl/>
        </w:rPr>
        <w:t>דברי הרמב"ם דאיירי בשטר מקוים והודה המחזיק דהחזיק שטר מזויף לאיים שיודה שמכר לו</w:t>
      </w:r>
      <w:bookmarkEnd w:id="13649"/>
      <w:bookmarkEnd w:id="13650"/>
      <w:bookmarkEnd w:id="13651"/>
      <w:bookmarkEnd w:id="13652"/>
    </w:p>
    <w:p w:rsidR="003B7617" w:rsidRDefault="003B7617" w:rsidP="007E4E81">
      <w:pPr>
        <w:pStyle w:val="a0"/>
        <w:rPr>
          <w:rtl/>
        </w:rPr>
      </w:pPr>
      <w:bookmarkStart w:id="13653" w:name="_Ref62747857"/>
      <w:r>
        <w:rPr>
          <w:rFonts w:hint="cs"/>
          <w:rtl/>
        </w:rPr>
        <w:t xml:space="preserve">כתב </w:t>
      </w:r>
      <w:r w:rsidRPr="00FB76BD">
        <w:rPr>
          <w:rStyle w:val="af9"/>
          <w:rFonts w:hint="cs"/>
          <w:rtl/>
        </w:rPr>
        <w:t>הרמב"ם</w:t>
      </w:r>
      <w:r>
        <w:rPr>
          <w:rFonts w:hint="cs"/>
          <w:rtl/>
        </w:rPr>
        <w:t xml:space="preserve"> </w:t>
      </w:r>
      <w:r w:rsidRPr="00F4777F">
        <w:rPr>
          <w:rStyle w:val="af7"/>
          <w:rFonts w:eastAsia="Guttman Hodes" w:hint="cs"/>
          <w:rtl/>
        </w:rPr>
        <w:t>(טו"נ פט"</w:t>
      </w:r>
      <w:r>
        <w:rPr>
          <w:rStyle w:val="af7"/>
          <w:rFonts w:eastAsia="Guttman Hodes" w:hint="cs"/>
          <w:rtl/>
        </w:rPr>
        <w:t>ו</w:t>
      </w:r>
      <w:r w:rsidRPr="00F4777F">
        <w:rPr>
          <w:rStyle w:val="af7"/>
          <w:rFonts w:eastAsia="Guttman Hodes" w:hint="cs"/>
          <w:rtl/>
        </w:rPr>
        <w:t xml:space="preserve"> ה"ט)</w:t>
      </w:r>
      <w:r>
        <w:rPr>
          <w:rFonts w:hint="cs"/>
          <w:rtl/>
        </w:rPr>
        <w:t xml:space="preserve"> דהמחזיק הוציא שטר שהוא מקויים, והודה לטענת המערער שהוא מזויף, וטען המחזיק שהיה לו שטר כשר ואבד, ולכן לקח את מה שבידו בכדי לאיים על המערער שיודה שמכר לו באמת את הקרקע, דנאמן במיגו כיון שהיה יכול לומר שהשטר המקוים הוא שטר טוב. </w:t>
      </w:r>
      <w:r w:rsidRPr="003239DD">
        <w:rPr>
          <w:rStyle w:val="afb"/>
          <w:rFonts w:hint="cs"/>
          <w:rtl/>
        </w:rPr>
        <w:t>[ועי' במ"ש</w:t>
      </w:r>
      <w:r w:rsidRPr="003239DD">
        <w:rPr>
          <w:rStyle w:val="afb"/>
          <w:rtl/>
        </w:rPr>
        <w:t xml:space="preserve"> </w:t>
      </w:r>
      <w:r w:rsidRPr="003239DD">
        <w:rPr>
          <w:rStyle w:val="affa"/>
          <w:rtl/>
        </w:rPr>
        <w:t>המ"מ</w:t>
      </w:r>
      <w:r w:rsidRPr="003239DD">
        <w:rPr>
          <w:rStyle w:val="afb"/>
          <w:rtl/>
        </w:rPr>
        <w:t xml:space="preserve"> </w:t>
      </w:r>
      <w:r w:rsidRPr="003239DD">
        <w:rPr>
          <w:rStyle w:val="af7"/>
          <w:rFonts w:eastAsia="Guttman Rashi"/>
          <w:rtl/>
        </w:rPr>
        <w:t xml:space="preserve">(עי' אות </w:t>
      </w:r>
      <w:r w:rsidRPr="003239DD">
        <w:rPr>
          <w:rStyle w:val="af7"/>
          <w:rFonts w:eastAsia="Guttman Rashi"/>
          <w:rtl/>
        </w:rPr>
        <w:fldChar w:fldCharType="begin"/>
      </w:r>
      <w:r w:rsidRPr="003239DD">
        <w:rPr>
          <w:rStyle w:val="af7"/>
          <w:rFonts w:eastAsia="Guttman Rashi"/>
          <w:rtl/>
        </w:rPr>
        <w:instrText xml:space="preserve"> </w:instrText>
      </w:r>
      <w:r w:rsidRPr="003239DD">
        <w:rPr>
          <w:rStyle w:val="af7"/>
          <w:rFonts w:eastAsia="Guttman Rashi"/>
        </w:rPr>
        <w:instrText>REF</w:instrText>
      </w:r>
      <w:r w:rsidRPr="003239DD">
        <w:rPr>
          <w:rStyle w:val="af7"/>
          <w:rFonts w:eastAsia="Guttman Rashi"/>
          <w:rtl/>
        </w:rPr>
        <w:instrText xml:space="preserve"> _</w:instrText>
      </w:r>
      <w:r w:rsidRPr="003239DD">
        <w:rPr>
          <w:rStyle w:val="af7"/>
          <w:rFonts w:eastAsia="Guttman Rashi"/>
        </w:rPr>
        <w:instrText>Ref63249282 \r \h</w:instrText>
      </w:r>
      <w:r w:rsidRPr="003239DD">
        <w:rPr>
          <w:rStyle w:val="af7"/>
          <w:rFonts w:eastAsia="Guttman Rashi"/>
          <w:rtl/>
        </w:rPr>
        <w:instrText xml:space="preserve"> </w:instrText>
      </w:r>
      <w:r w:rsidRPr="003239DD">
        <w:rPr>
          <w:rStyle w:val="af7"/>
          <w:rFonts w:eastAsia="Guttman Rashi"/>
          <w:rtl/>
        </w:rPr>
      </w:r>
      <w:r w:rsidRPr="003239DD">
        <w:rPr>
          <w:rStyle w:val="af7"/>
          <w:rFonts w:eastAsia="Guttman Rashi"/>
          <w:rtl/>
        </w:rPr>
        <w:fldChar w:fldCharType="separate"/>
      </w:r>
      <w:r w:rsidR="00265073">
        <w:rPr>
          <w:rStyle w:val="af7"/>
          <w:rFonts w:eastAsia="Guttman Rashi"/>
          <w:cs/>
        </w:rPr>
        <w:t>‎</w:t>
      </w:r>
      <w:r w:rsidR="00265073">
        <w:rPr>
          <w:rStyle w:val="af7"/>
          <w:rFonts w:eastAsia="Guttman Rashi"/>
          <w:rtl/>
        </w:rPr>
        <w:t>כח)</w:t>
      </w:r>
      <w:r w:rsidRPr="003239DD">
        <w:rPr>
          <w:rStyle w:val="af7"/>
          <w:rFonts w:eastAsia="Guttman Rashi"/>
          <w:rtl/>
        </w:rPr>
        <w:fldChar w:fldCharType="end"/>
      </w:r>
      <w:r w:rsidRPr="003239DD">
        <w:rPr>
          <w:rStyle w:val="afb"/>
          <w:rtl/>
        </w:rPr>
        <w:t xml:space="preserve"> דמדברי </w:t>
      </w:r>
      <w:r w:rsidRPr="003239DD">
        <w:rPr>
          <w:rStyle w:val="afb"/>
          <w:rFonts w:hint="cs"/>
          <w:rtl/>
        </w:rPr>
        <w:t>ד</w:t>
      </w:r>
      <w:r w:rsidRPr="003239DD">
        <w:rPr>
          <w:rStyle w:val="afb"/>
          <w:rtl/>
        </w:rPr>
        <w:t xml:space="preserve">מבואר </w:t>
      </w:r>
      <w:r w:rsidRPr="003239DD">
        <w:rPr>
          <w:rStyle w:val="affa"/>
          <w:rFonts w:hint="cs"/>
          <w:rtl/>
        </w:rPr>
        <w:t>ב</w:t>
      </w:r>
      <w:r w:rsidRPr="003239DD">
        <w:rPr>
          <w:rStyle w:val="affa"/>
          <w:rtl/>
        </w:rPr>
        <w:t>רמב"ם</w:t>
      </w:r>
      <w:r w:rsidRPr="003239DD">
        <w:rPr>
          <w:rStyle w:val="afb"/>
          <w:rtl/>
        </w:rPr>
        <w:t xml:space="preserve"> דאיירי בשטר מקוים </w:t>
      </w:r>
      <w:r w:rsidRPr="003239DD">
        <w:rPr>
          <w:rStyle w:val="afb"/>
          <w:rFonts w:hint="cs"/>
          <w:rtl/>
        </w:rPr>
        <w:t xml:space="preserve">ודלא </w:t>
      </w:r>
      <w:r w:rsidRPr="003239DD">
        <w:rPr>
          <w:rStyle w:val="affa"/>
          <w:rFonts w:hint="cs"/>
          <w:rtl/>
        </w:rPr>
        <w:t>כ</w:t>
      </w:r>
      <w:r w:rsidRPr="003239DD">
        <w:rPr>
          <w:rStyle w:val="affa"/>
          <w:rtl/>
        </w:rPr>
        <w:t>הרמב"ן והרשב"א</w:t>
      </w:r>
      <w:r w:rsidRPr="002920DF">
        <w:rPr>
          <w:rFonts w:hint="cs"/>
          <w:rtl/>
        </w:rPr>
        <w:t xml:space="preserve"> </w:t>
      </w:r>
      <w:r w:rsidRPr="003239DD">
        <w:rPr>
          <w:rStyle w:val="aff6"/>
          <w:rFonts w:hint="cs"/>
          <w:rtl/>
        </w:rPr>
        <w:t xml:space="preserve">(עי' אות </w:t>
      </w:r>
      <w:r w:rsidRPr="003239DD">
        <w:rPr>
          <w:rStyle w:val="aff6"/>
          <w:rtl/>
        </w:rPr>
        <w:fldChar w:fldCharType="begin"/>
      </w:r>
      <w:r w:rsidRPr="003239DD">
        <w:rPr>
          <w:rStyle w:val="aff6"/>
          <w:rtl/>
        </w:rPr>
        <w:instrText xml:space="preserve"> </w:instrText>
      </w:r>
      <w:r w:rsidRPr="003239DD">
        <w:rPr>
          <w:rStyle w:val="aff6"/>
          <w:rFonts w:hint="cs"/>
        </w:rPr>
        <w:instrText>REF</w:instrText>
      </w:r>
      <w:r w:rsidRPr="003239DD">
        <w:rPr>
          <w:rStyle w:val="aff6"/>
          <w:rFonts w:hint="cs"/>
          <w:rtl/>
        </w:rPr>
        <w:instrText xml:space="preserve"> _</w:instrText>
      </w:r>
      <w:r w:rsidRPr="003239DD">
        <w:rPr>
          <w:rStyle w:val="aff6"/>
          <w:rFonts w:hint="cs"/>
        </w:rPr>
        <w:instrText>Ref62760907 \r \h</w:instrText>
      </w:r>
      <w:r w:rsidRPr="003239DD">
        <w:rPr>
          <w:rStyle w:val="aff6"/>
          <w:rtl/>
        </w:rPr>
        <w:instrText xml:space="preserve">  \* </w:instrText>
      </w:r>
      <w:r w:rsidRPr="003239DD">
        <w:rPr>
          <w:rStyle w:val="aff6"/>
        </w:rPr>
        <w:instrText>MERGEFORMAT</w:instrText>
      </w:r>
      <w:r w:rsidRPr="003239DD">
        <w:rPr>
          <w:rStyle w:val="aff6"/>
          <w:rtl/>
        </w:rPr>
        <w:instrText xml:space="preserve"> </w:instrText>
      </w:r>
      <w:r w:rsidRPr="003239DD">
        <w:rPr>
          <w:rStyle w:val="aff6"/>
          <w:rtl/>
        </w:rPr>
      </w:r>
      <w:r w:rsidRPr="003239DD">
        <w:rPr>
          <w:rStyle w:val="aff6"/>
          <w:rtl/>
        </w:rPr>
        <w:fldChar w:fldCharType="separate"/>
      </w:r>
      <w:r w:rsidR="00265073">
        <w:rPr>
          <w:rStyle w:val="aff6"/>
          <w:cs/>
        </w:rPr>
        <w:t>‎</w:t>
      </w:r>
      <w:r w:rsidR="00265073">
        <w:rPr>
          <w:rStyle w:val="aff6"/>
          <w:rtl/>
        </w:rPr>
        <w:t>צא)</w:t>
      </w:r>
      <w:r w:rsidRPr="003239DD">
        <w:rPr>
          <w:rStyle w:val="aff6"/>
          <w:rtl/>
        </w:rPr>
        <w:fldChar w:fldCharType="end"/>
      </w:r>
      <w:r w:rsidRPr="003239DD">
        <w:rPr>
          <w:rStyle w:val="afb"/>
          <w:rtl/>
        </w:rPr>
        <w:t xml:space="preserve"> </w:t>
      </w:r>
      <w:r w:rsidRPr="003239DD">
        <w:rPr>
          <w:rStyle w:val="afb"/>
          <w:rFonts w:hint="cs"/>
          <w:rtl/>
        </w:rPr>
        <w:t xml:space="preserve">ועי' במה שביאר </w:t>
      </w:r>
      <w:r w:rsidRPr="003239DD">
        <w:rPr>
          <w:rStyle w:val="affa"/>
          <w:rtl/>
        </w:rPr>
        <w:t>האבהא"ז</w:t>
      </w:r>
      <w:r w:rsidRPr="002920DF">
        <w:rPr>
          <w:rtl/>
        </w:rPr>
        <w:t xml:space="preserve"> </w:t>
      </w:r>
      <w:r w:rsidRPr="003239DD">
        <w:rPr>
          <w:rStyle w:val="af7"/>
          <w:rFonts w:eastAsia="Guttman Hodes"/>
          <w:rtl/>
        </w:rPr>
        <w:t>(</w:t>
      </w:r>
      <w:r w:rsidRPr="003239DD">
        <w:rPr>
          <w:rStyle w:val="af7"/>
          <w:rFonts w:eastAsia="Guttman Hodes" w:hint="cs"/>
          <w:rtl/>
        </w:rPr>
        <w:t>עי' הערה</w:t>
      </w:r>
      <w:r w:rsidRPr="00C95D9D">
        <w:rPr>
          <w:vertAlign w:val="superscript"/>
          <w:rtl/>
        </w:rPr>
        <w:fldChar w:fldCharType="begin"/>
      </w:r>
      <w:r w:rsidRPr="00C95D9D">
        <w:rPr>
          <w:vertAlign w:val="superscript"/>
          <w:rtl/>
        </w:rPr>
        <w:instrText xml:space="preserve"> </w:instrText>
      </w:r>
      <w:r w:rsidRPr="00C95D9D">
        <w:rPr>
          <w:rFonts w:hint="cs"/>
          <w:vertAlign w:val="superscript"/>
        </w:rPr>
        <w:instrText>NOTEREF</w:instrText>
      </w:r>
      <w:r w:rsidRPr="00C95D9D">
        <w:rPr>
          <w:rFonts w:hint="cs"/>
          <w:vertAlign w:val="superscript"/>
          <w:rtl/>
        </w:rPr>
        <w:instrText xml:space="preserve"> _</w:instrText>
      </w:r>
      <w:r w:rsidRPr="00C95D9D">
        <w:rPr>
          <w:rFonts w:hint="cs"/>
          <w:vertAlign w:val="superscript"/>
        </w:rPr>
        <w:instrText>Ref63271636 \h</w:instrText>
      </w:r>
      <w:r w:rsidRPr="00C95D9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C95D9D">
        <w:rPr>
          <w:vertAlign w:val="superscript"/>
          <w:rtl/>
        </w:rPr>
      </w:r>
      <w:r w:rsidRPr="00C95D9D">
        <w:rPr>
          <w:vertAlign w:val="superscript"/>
          <w:rtl/>
        </w:rPr>
        <w:fldChar w:fldCharType="separate"/>
      </w:r>
      <w:r w:rsidR="00265073">
        <w:rPr>
          <w:vertAlign w:val="superscript"/>
          <w:rtl/>
        </w:rPr>
        <w:t>94</w:t>
      </w:r>
      <w:r w:rsidRPr="00C95D9D">
        <w:rPr>
          <w:vertAlign w:val="superscript"/>
          <w:rtl/>
        </w:rPr>
        <w:fldChar w:fldCharType="end"/>
      </w:r>
      <w:r w:rsidRPr="00C95D9D">
        <w:rPr>
          <w:rStyle w:val="aff6"/>
          <w:rFonts w:hint="cs"/>
          <w:rtl/>
        </w:rPr>
        <w:t xml:space="preserve">) </w:t>
      </w:r>
      <w:r w:rsidRPr="003239DD">
        <w:rPr>
          <w:rStyle w:val="afb"/>
          <w:rFonts w:hint="cs"/>
          <w:rtl/>
        </w:rPr>
        <w:t>בזה].</w:t>
      </w:r>
      <w:bookmarkEnd w:id="13653"/>
    </w:p>
    <w:p w:rsidR="003B7617" w:rsidRDefault="003B7617" w:rsidP="003B7617">
      <w:pPr>
        <w:pStyle w:val="a3"/>
        <w:rPr>
          <w:rtl/>
        </w:rPr>
      </w:pPr>
      <w:bookmarkStart w:id="13654" w:name="_Toc63111436"/>
      <w:bookmarkStart w:id="13655" w:name="_Toc63163484"/>
      <w:bookmarkStart w:id="13656" w:name="_Toc63188731"/>
      <w:bookmarkStart w:id="13657" w:name="_Toc63247690"/>
      <w:r>
        <w:rPr>
          <w:rFonts w:hint="cs"/>
          <w:rtl/>
        </w:rPr>
        <w:t>דברי הרמב"ם דבערבא השטר מקוים וטוען הלוה שהוא מזויף או אמנה והודה דנמחל שעבודו</w:t>
      </w:r>
      <w:bookmarkEnd w:id="13654"/>
      <w:bookmarkEnd w:id="13655"/>
      <w:bookmarkEnd w:id="13656"/>
      <w:bookmarkEnd w:id="13657"/>
    </w:p>
    <w:p w:rsidR="003B7617" w:rsidRDefault="003B7617" w:rsidP="007E4E81">
      <w:pPr>
        <w:pStyle w:val="a0"/>
        <w:rPr>
          <w:rtl/>
        </w:rPr>
      </w:pPr>
      <w:bookmarkStart w:id="13658" w:name="_Ref62747865"/>
      <w:r>
        <w:rPr>
          <w:rFonts w:hint="cs"/>
          <w:rtl/>
        </w:rPr>
        <w:t xml:space="preserve">ובדין ההוא ערבא כתב </w:t>
      </w:r>
      <w:r w:rsidRPr="00DC24C4">
        <w:rPr>
          <w:rStyle w:val="af9"/>
          <w:rFonts w:hint="cs"/>
          <w:rtl/>
        </w:rPr>
        <w:t>הרמב"ם</w:t>
      </w:r>
      <w:r w:rsidRPr="00DC24C4">
        <w:rPr>
          <w:rStyle w:val="af7"/>
          <w:rFonts w:eastAsia="Guttman Hodes" w:hint="cs"/>
          <w:rtl/>
        </w:rPr>
        <w:t xml:space="preserve"> (מלוה ולוה פי"ד ה"ו) </w:t>
      </w:r>
      <w:r>
        <w:rPr>
          <w:rFonts w:hint="cs"/>
          <w:rtl/>
        </w:rPr>
        <w:t xml:space="preserve">דכשהוציא המלוה שטר מקוים, וטוען הלוה שהוא מזויף ולא כתבו מעולם, או שטוען שהוא שטר אמנה, והודה המלוה ללוה, אך טען שהיה לו שטר אחר שאבד לו, דאעפ"י שהמלוה הוא פסל את השטר, והיה יכול לטעון שהוא שטר טוב, דהא השטר מקויים בב"ד, מ"מ אינו גובה בשטר כלום, </w:t>
      </w:r>
      <w:r w:rsidRPr="00DC24C4">
        <w:rPr>
          <w:rStyle w:val="afb"/>
          <w:rFonts w:hint="cs"/>
          <w:rtl/>
        </w:rPr>
        <w:t>[ונשבע היסת ונפטר],</w:t>
      </w:r>
      <w:r>
        <w:rPr>
          <w:rFonts w:hint="cs"/>
          <w:rtl/>
        </w:rPr>
        <w:t xml:space="preserve"> כיון שהשטר הוא כחרס.</w:t>
      </w:r>
      <w:bookmarkEnd w:id="13658"/>
    </w:p>
    <w:p w:rsidR="003B7617" w:rsidRDefault="003B7617" w:rsidP="003B7617">
      <w:pPr>
        <w:pStyle w:val="1"/>
        <w:rPr>
          <w:rtl/>
        </w:rPr>
      </w:pPr>
      <w:bookmarkStart w:id="13659" w:name="_Toc63111437"/>
      <w:bookmarkStart w:id="13660" w:name="_Toc63163485"/>
      <w:bookmarkStart w:id="13661" w:name="_Toc63188732"/>
      <w:bookmarkStart w:id="13662" w:name="_Toc63247691"/>
      <w:r>
        <w:rPr>
          <w:rFonts w:hint="cs"/>
          <w:rtl/>
        </w:rPr>
        <w:t>ביאור הב"י ברמב"ם דהודה המחזיק שהשטר מזויף ממש</w:t>
      </w:r>
      <w:bookmarkEnd w:id="13659"/>
      <w:bookmarkEnd w:id="13660"/>
      <w:bookmarkEnd w:id="13661"/>
      <w:bookmarkEnd w:id="13662"/>
    </w:p>
    <w:p w:rsidR="003B7617" w:rsidRDefault="003B7617" w:rsidP="003B7617">
      <w:pPr>
        <w:pStyle w:val="a3"/>
        <w:rPr>
          <w:rtl/>
        </w:rPr>
      </w:pPr>
      <w:bookmarkStart w:id="13663" w:name="_Toc63111438"/>
      <w:bookmarkStart w:id="13664" w:name="_Toc63163486"/>
      <w:bookmarkStart w:id="13665" w:name="_Toc63188733"/>
      <w:bookmarkStart w:id="13666" w:name="_Toc63247692"/>
      <w:r>
        <w:rPr>
          <w:rFonts w:hint="cs"/>
          <w:rtl/>
        </w:rPr>
        <w:t>ביאור הב"י ברמב"ם דס"ל כרשב"ם דאיירי במזויף וחידש דבזוזי ה"ה דבשטר אמנה לא נאמן</w:t>
      </w:r>
      <w:bookmarkEnd w:id="13663"/>
      <w:bookmarkEnd w:id="13664"/>
      <w:bookmarkEnd w:id="13665"/>
      <w:bookmarkEnd w:id="13666"/>
    </w:p>
    <w:p w:rsidR="003B7617" w:rsidRDefault="003B7617" w:rsidP="007E4E81">
      <w:pPr>
        <w:pStyle w:val="a0"/>
        <w:rPr>
          <w:rtl/>
        </w:rPr>
      </w:pPr>
      <w:bookmarkStart w:id="13667" w:name="_Ref62643319"/>
      <w:bookmarkStart w:id="13668" w:name="_Ref63233748"/>
      <w:r w:rsidRPr="00212F9C">
        <w:rPr>
          <w:rFonts w:hint="cs"/>
          <w:rtl/>
        </w:rPr>
        <w:t xml:space="preserve">כתב </w:t>
      </w:r>
      <w:r w:rsidRPr="00212F9C">
        <w:rPr>
          <w:rStyle w:val="af9"/>
          <w:rFonts w:hint="cs"/>
          <w:rtl/>
        </w:rPr>
        <w:t xml:space="preserve">הב"י </w:t>
      </w:r>
      <w:r w:rsidRPr="00212F9C">
        <w:rPr>
          <w:rStyle w:val="af7"/>
          <w:rFonts w:eastAsia="Guttman Hodes" w:hint="cs"/>
          <w:rtl/>
        </w:rPr>
        <w:t>(</w:t>
      </w:r>
      <w:r>
        <w:rPr>
          <w:rStyle w:val="af7"/>
          <w:rFonts w:eastAsia="Guttman Hodes" w:hint="cs"/>
          <w:rtl/>
        </w:rPr>
        <w:t>סי' קמ"ו כ"ה</w:t>
      </w:r>
      <w:r w:rsidRPr="00F4777F">
        <w:rPr>
          <w:rStyle w:val="af7"/>
          <w:rFonts w:eastAsia="Guttman Hodes" w:hint="cs"/>
          <w:rtl/>
        </w:rPr>
        <w:t>)</w:t>
      </w:r>
      <w:r>
        <w:rPr>
          <w:rFonts w:hint="cs"/>
          <w:rtl/>
        </w:rPr>
        <w:t xml:space="preserve"> דמדברי </w:t>
      </w:r>
      <w:r w:rsidRPr="00FB76BD">
        <w:rPr>
          <w:rStyle w:val="af9"/>
          <w:rFonts w:hint="cs"/>
          <w:rtl/>
        </w:rPr>
        <w:t>הרמב"ם</w:t>
      </w:r>
      <w:r>
        <w:rPr>
          <w:rFonts w:hint="cs"/>
          <w:rtl/>
        </w:rPr>
        <w:t xml:space="preserve"> </w:t>
      </w:r>
      <w:r w:rsidRPr="00401563">
        <w:rPr>
          <w:rStyle w:val="af7"/>
          <w:rFonts w:eastAsia="Guttman Hodes" w:hint="cs"/>
          <w:rtl/>
        </w:rPr>
        <w:t xml:space="preserve">(עי' אות </w:t>
      </w:r>
      <w:r w:rsidRPr="00401563">
        <w:rPr>
          <w:rStyle w:val="af7"/>
          <w:rFonts w:eastAsia="Guttman Hodes"/>
          <w:rtl/>
        </w:rPr>
        <w:fldChar w:fldCharType="begin"/>
      </w:r>
      <w:r w:rsidRPr="00401563">
        <w:rPr>
          <w:rStyle w:val="af7"/>
          <w:rFonts w:eastAsia="Guttman Hodes"/>
          <w:rtl/>
        </w:rPr>
        <w:instrText xml:space="preserve"> </w:instrText>
      </w:r>
      <w:r w:rsidRPr="00401563">
        <w:rPr>
          <w:rStyle w:val="af7"/>
          <w:rFonts w:eastAsia="Guttman Hodes" w:hint="cs"/>
        </w:rPr>
        <w:instrText>REF</w:instrText>
      </w:r>
      <w:r w:rsidRPr="00401563">
        <w:rPr>
          <w:rStyle w:val="af7"/>
          <w:rFonts w:eastAsia="Guttman Hodes" w:hint="cs"/>
          <w:rtl/>
        </w:rPr>
        <w:instrText xml:space="preserve"> _</w:instrText>
      </w:r>
      <w:r w:rsidRPr="00401563">
        <w:rPr>
          <w:rStyle w:val="af7"/>
          <w:rFonts w:eastAsia="Guttman Hodes" w:hint="cs"/>
        </w:rPr>
        <w:instrText>Ref62747857 \r \h</w:instrText>
      </w:r>
      <w:r w:rsidRPr="00401563">
        <w:rPr>
          <w:rStyle w:val="af7"/>
          <w:rFonts w:eastAsia="Guttman Hodes"/>
          <w:rtl/>
        </w:rPr>
        <w:instrText xml:space="preserve"> </w:instrText>
      </w:r>
      <w:r w:rsidRPr="00401563">
        <w:rPr>
          <w:rStyle w:val="af7"/>
          <w:rFonts w:eastAsia="Guttman Hodes"/>
          <w:rtl/>
        </w:rPr>
      </w:r>
      <w:r w:rsidRPr="00401563">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401563">
        <w:rPr>
          <w:rStyle w:val="af7"/>
          <w:rFonts w:eastAsia="Guttman Hodes"/>
          <w:rtl/>
        </w:rPr>
        <w:fldChar w:fldCharType="end"/>
      </w:r>
      <w:r>
        <w:rPr>
          <w:rFonts w:hint="cs"/>
          <w:rtl/>
        </w:rPr>
        <w:t xml:space="preserve"> דכתב דהשטר מזויף, מבואר דס"ל</w:t>
      </w:r>
      <w:r w:rsidRPr="00FB76BD">
        <w:rPr>
          <w:rStyle w:val="af9"/>
          <w:rFonts w:hint="cs"/>
          <w:rtl/>
        </w:rPr>
        <w:t xml:space="preserve"> כרשב"ם בביאורו הב'</w:t>
      </w:r>
      <w:r w:rsidRPr="00F4777F">
        <w:rPr>
          <w:rStyle w:val="af7"/>
          <w:rFonts w:eastAsia="Guttman Hodes" w:hint="cs"/>
          <w:b/>
          <w:bCs/>
          <w:rtl/>
        </w:rPr>
        <w:t xml:space="preserve"> </w:t>
      </w:r>
      <w:r w:rsidRPr="00F4777F">
        <w:rPr>
          <w:rStyle w:val="af7"/>
          <w:rFonts w:eastAsia="Guttman Hodes" w:hint="cs"/>
          <w:rtl/>
        </w:rPr>
        <w:t xml:space="preserve">(עי' אות </w:t>
      </w:r>
      <w:r w:rsidRPr="00F4777F">
        <w:rPr>
          <w:rStyle w:val="af7"/>
          <w:rFonts w:eastAsia="Guttman Hodes"/>
          <w:rtl/>
        </w:rPr>
        <w:fldChar w:fldCharType="begin"/>
      </w:r>
      <w:r w:rsidRPr="00F4777F">
        <w:rPr>
          <w:rStyle w:val="af7"/>
          <w:rFonts w:eastAsia="Guttman Hodes"/>
          <w:rtl/>
        </w:rPr>
        <w:instrText xml:space="preserve"> </w:instrText>
      </w:r>
      <w:r w:rsidRPr="00F4777F">
        <w:rPr>
          <w:rStyle w:val="af7"/>
          <w:rFonts w:eastAsia="Guttman Hodes" w:hint="cs"/>
        </w:rPr>
        <w:instrText>REF</w:instrText>
      </w:r>
      <w:r w:rsidRPr="00F4777F">
        <w:rPr>
          <w:rStyle w:val="af7"/>
          <w:rFonts w:eastAsia="Guttman Hodes" w:hint="cs"/>
          <w:rtl/>
        </w:rPr>
        <w:instrText xml:space="preserve"> _</w:instrText>
      </w:r>
      <w:r w:rsidRPr="00F4777F">
        <w:rPr>
          <w:rStyle w:val="af7"/>
          <w:rFonts w:eastAsia="Guttman Hodes" w:hint="cs"/>
        </w:rPr>
        <w:instrText>Ref62643376 \r \h</w:instrText>
      </w:r>
      <w:r w:rsidRPr="00F4777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4777F">
        <w:rPr>
          <w:rStyle w:val="af7"/>
          <w:rFonts w:eastAsia="Guttman Hodes"/>
          <w:rtl/>
        </w:rPr>
      </w:r>
      <w:r w:rsidRPr="00F4777F">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F4777F">
        <w:rPr>
          <w:rStyle w:val="af7"/>
          <w:rFonts w:eastAsia="Guttman Hodes"/>
          <w:rtl/>
        </w:rPr>
        <w:fldChar w:fldCharType="end"/>
      </w:r>
      <w:r>
        <w:rPr>
          <w:rFonts w:hint="cs"/>
          <w:rtl/>
        </w:rPr>
        <w:t xml:space="preserve"> דבגמ' בסוגיין איירי אף בשטר מזויף ממש, ומ"ש </w:t>
      </w:r>
      <w:r w:rsidRPr="00FB76BD">
        <w:rPr>
          <w:rStyle w:val="af9"/>
          <w:rFonts w:hint="cs"/>
          <w:rtl/>
        </w:rPr>
        <w:t>הרמב"ם</w:t>
      </w:r>
      <w:r>
        <w:rPr>
          <w:rFonts w:hint="cs"/>
          <w:rtl/>
        </w:rPr>
        <w:t xml:space="preserve"> </w:t>
      </w:r>
      <w:r w:rsidRPr="00401563">
        <w:rPr>
          <w:rStyle w:val="af7"/>
          <w:rFonts w:eastAsia="Guttman Hodes" w:hint="cs"/>
          <w:rtl/>
        </w:rPr>
        <w:t xml:space="preserve">(עי' אות </w:t>
      </w:r>
      <w:r w:rsidRPr="00401563">
        <w:rPr>
          <w:rStyle w:val="af7"/>
          <w:rFonts w:eastAsia="Guttman Hodes"/>
          <w:rtl/>
        </w:rPr>
        <w:fldChar w:fldCharType="begin"/>
      </w:r>
      <w:r w:rsidRPr="00401563">
        <w:rPr>
          <w:rStyle w:val="af7"/>
          <w:rFonts w:eastAsia="Guttman Hodes"/>
          <w:rtl/>
        </w:rPr>
        <w:instrText xml:space="preserve"> </w:instrText>
      </w:r>
      <w:r w:rsidRPr="00401563">
        <w:rPr>
          <w:rStyle w:val="af7"/>
          <w:rFonts w:eastAsia="Guttman Hodes" w:hint="cs"/>
        </w:rPr>
        <w:instrText>REF</w:instrText>
      </w:r>
      <w:r w:rsidRPr="00401563">
        <w:rPr>
          <w:rStyle w:val="af7"/>
          <w:rFonts w:eastAsia="Guttman Hodes" w:hint="cs"/>
          <w:rtl/>
        </w:rPr>
        <w:instrText xml:space="preserve"> _</w:instrText>
      </w:r>
      <w:r w:rsidRPr="00401563">
        <w:rPr>
          <w:rStyle w:val="af7"/>
          <w:rFonts w:eastAsia="Guttman Hodes" w:hint="cs"/>
        </w:rPr>
        <w:instrText>Ref62747865 \r \h</w:instrText>
      </w:r>
      <w:r w:rsidRPr="00401563">
        <w:rPr>
          <w:rStyle w:val="af7"/>
          <w:rFonts w:eastAsia="Guttman Hodes"/>
          <w:rtl/>
        </w:rPr>
        <w:instrText xml:space="preserve"> </w:instrText>
      </w:r>
      <w:r w:rsidRPr="00401563">
        <w:rPr>
          <w:rStyle w:val="af7"/>
          <w:rFonts w:eastAsia="Guttman Hodes"/>
          <w:rtl/>
        </w:rPr>
      </w:r>
      <w:r w:rsidRPr="00401563">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401563">
        <w:rPr>
          <w:rStyle w:val="af7"/>
          <w:rFonts w:eastAsia="Guttman Hodes"/>
          <w:rtl/>
        </w:rPr>
        <w:fldChar w:fldCharType="end"/>
      </w:r>
      <w:r>
        <w:rPr>
          <w:rFonts w:hint="cs"/>
          <w:rtl/>
        </w:rPr>
        <w:t xml:space="preserve"> בההוא ערבא דה"ה בשטר אמנה, כוונתו לחדש דאף אם אינו טוען מזויף, וטוען אמנה, ג"כ אין המלוה גובה בו, </w:t>
      </w:r>
      <w:r w:rsidRPr="0001649F">
        <w:rPr>
          <w:rStyle w:val="afb"/>
          <w:rFonts w:hint="cs"/>
          <w:rtl/>
        </w:rPr>
        <w:t>[דקיי"ל כרב יוסף בזוזי],</w:t>
      </w:r>
      <w:r>
        <w:rPr>
          <w:rFonts w:hint="cs"/>
          <w:rtl/>
        </w:rPr>
        <w:t xml:space="preserve"> והא דבקרקע לא הזכיר </w:t>
      </w:r>
      <w:r w:rsidRPr="00401563">
        <w:rPr>
          <w:rStyle w:val="af9"/>
          <w:rFonts w:hint="cs"/>
          <w:rtl/>
        </w:rPr>
        <w:t>הרמב"ם</w:t>
      </w:r>
      <w:r>
        <w:rPr>
          <w:rFonts w:hint="cs"/>
          <w:rtl/>
        </w:rPr>
        <w:t xml:space="preserve"> שטר אמנה, הוא כיון דבא לאשמועין דאף שהשטר הוא מזויף ממש, מ"מ מעמידים את הקרקע בידו</w:t>
      </w:r>
      <w:bookmarkEnd w:id="13667"/>
      <w:r>
        <w:rPr>
          <w:rFonts w:hint="cs"/>
          <w:rtl/>
        </w:rPr>
        <w:t xml:space="preserve">, </w:t>
      </w:r>
      <w:r w:rsidRPr="0001649F">
        <w:rPr>
          <w:rStyle w:val="afb"/>
          <w:rFonts w:hint="cs"/>
          <w:rtl/>
        </w:rPr>
        <w:t>[דקיי"ל כרבה בארעא],</w:t>
      </w:r>
      <w:r>
        <w:rPr>
          <w:rFonts w:hint="cs"/>
          <w:rtl/>
        </w:rPr>
        <w:t xml:space="preserve"> וכ"כ </w:t>
      </w:r>
      <w:r w:rsidRPr="0001649F">
        <w:rPr>
          <w:rStyle w:val="af9"/>
          <w:rtl/>
        </w:rPr>
        <w:t>הגידולי תרומה</w:t>
      </w:r>
      <w:r w:rsidRPr="0001649F">
        <w:rPr>
          <w:rtl/>
        </w:rPr>
        <w:t xml:space="preserve"> </w:t>
      </w:r>
      <w:r w:rsidRPr="0001649F">
        <w:rPr>
          <w:rStyle w:val="af7"/>
          <w:rFonts w:eastAsia="Guttman Hodes"/>
          <w:rtl/>
        </w:rPr>
        <w:t>(שער י"ז ריש ח"ב ד"ה והיכא)</w:t>
      </w:r>
      <w:r w:rsidRPr="0001649F">
        <w:rPr>
          <w:rtl/>
        </w:rPr>
        <w:t xml:space="preserve"> </w:t>
      </w:r>
      <w:r w:rsidRPr="0001649F">
        <w:rPr>
          <w:rStyle w:val="af9"/>
          <w:rtl/>
        </w:rPr>
        <w:t>דהרמב"ם</w:t>
      </w:r>
      <w:r w:rsidRPr="0001649F">
        <w:rPr>
          <w:rtl/>
        </w:rPr>
        <w:t xml:space="preserve"> ס"ל </w:t>
      </w:r>
      <w:r w:rsidRPr="00401563">
        <w:rPr>
          <w:rStyle w:val="af9"/>
          <w:rtl/>
        </w:rPr>
        <w:t>כהרשב"ם</w:t>
      </w:r>
      <w:r w:rsidRPr="0001649F">
        <w:rPr>
          <w:rtl/>
        </w:rPr>
        <w:t xml:space="preserve"> </w:t>
      </w:r>
      <w:r w:rsidRPr="0001649F">
        <w:rPr>
          <w:rtl/>
        </w:rPr>
        <w:t xml:space="preserve">דהשטר מזויף ודלא </w:t>
      </w:r>
      <w:r w:rsidRPr="0001649F">
        <w:rPr>
          <w:rStyle w:val="af9"/>
          <w:rtl/>
        </w:rPr>
        <w:t>כהרי"ף</w:t>
      </w:r>
      <w:r w:rsidRPr="0001649F">
        <w:rPr>
          <w:rtl/>
        </w:rPr>
        <w:t xml:space="preserve"> </w:t>
      </w:r>
      <w:r w:rsidRPr="00401563">
        <w:rPr>
          <w:rStyle w:val="af7"/>
          <w:rFonts w:eastAsia="Guttman Hodes"/>
          <w:rtl/>
        </w:rPr>
        <w:t xml:space="preserve">(עי' אות </w:t>
      </w:r>
      <w:r w:rsidRPr="00401563">
        <w:rPr>
          <w:rStyle w:val="af7"/>
          <w:rFonts w:eastAsia="Guttman Hodes"/>
          <w:rtl/>
        </w:rPr>
        <w:fldChar w:fldCharType="begin"/>
      </w:r>
      <w:r w:rsidRPr="00401563">
        <w:rPr>
          <w:rStyle w:val="af7"/>
          <w:rFonts w:eastAsia="Guttman Hodes"/>
          <w:rtl/>
        </w:rPr>
        <w:instrText xml:space="preserve"> </w:instrText>
      </w:r>
      <w:r w:rsidRPr="00401563">
        <w:rPr>
          <w:rStyle w:val="af7"/>
          <w:rFonts w:eastAsia="Guttman Hodes" w:hint="cs"/>
        </w:rPr>
        <w:instrText>REF</w:instrText>
      </w:r>
      <w:r w:rsidRPr="00401563">
        <w:rPr>
          <w:rStyle w:val="af7"/>
          <w:rFonts w:eastAsia="Guttman Hodes" w:hint="cs"/>
          <w:rtl/>
        </w:rPr>
        <w:instrText xml:space="preserve"> _</w:instrText>
      </w:r>
      <w:r w:rsidRPr="00401563">
        <w:rPr>
          <w:rStyle w:val="af7"/>
          <w:rFonts w:eastAsia="Guttman Hodes" w:hint="cs"/>
        </w:rPr>
        <w:instrText>Ref62553819 \r \h</w:instrText>
      </w:r>
      <w:r w:rsidRPr="00401563">
        <w:rPr>
          <w:rStyle w:val="af7"/>
          <w:rFonts w:eastAsia="Guttman Hodes"/>
          <w:rtl/>
        </w:rPr>
        <w:instrText xml:space="preserve"> </w:instrText>
      </w:r>
      <w:r w:rsidRPr="00401563">
        <w:rPr>
          <w:rStyle w:val="af7"/>
          <w:rFonts w:eastAsia="Guttman Hodes"/>
          <w:rtl/>
        </w:rPr>
      </w:r>
      <w:r w:rsidRPr="00401563">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401563">
        <w:rPr>
          <w:rStyle w:val="af7"/>
          <w:rFonts w:eastAsia="Guttman Hodes"/>
          <w:rtl/>
        </w:rPr>
        <w:fldChar w:fldCharType="end"/>
      </w:r>
      <w:r>
        <w:rPr>
          <w:rFonts w:hint="cs"/>
          <w:rtl/>
        </w:rPr>
        <w:t xml:space="preserve"> דכתב דאיירי בשטר אמנה, וע"ע במה שביאר </w:t>
      </w:r>
      <w:r w:rsidRPr="00F307C1">
        <w:rPr>
          <w:rStyle w:val="af9"/>
          <w:rFonts w:hint="cs"/>
          <w:rtl/>
        </w:rPr>
        <w:t>החת"ס</w:t>
      </w:r>
      <w:r>
        <w:rPr>
          <w:rFonts w:hint="cs"/>
          <w:rtl/>
        </w:rPr>
        <w:t xml:space="preserve"> </w:t>
      </w:r>
      <w:r w:rsidRPr="00F307C1">
        <w:rPr>
          <w:rStyle w:val="af7"/>
          <w:rFonts w:eastAsia="Guttman Hodes" w:hint="cs"/>
          <w:rtl/>
        </w:rPr>
        <w:t>(ד"ה גחין)</w:t>
      </w:r>
      <w:r>
        <w:rPr>
          <w:rFonts w:hint="cs"/>
          <w:rtl/>
        </w:rPr>
        <w:t>.</w:t>
      </w:r>
      <w:r w:rsidRPr="00C17E27">
        <w:rPr>
          <w:rStyle w:val="afb"/>
          <w:rFonts w:hint="cs"/>
          <w:rtl/>
        </w:rPr>
        <w:t xml:space="preserve"> </w:t>
      </w:r>
      <w:r w:rsidRPr="00914C1F">
        <w:rPr>
          <w:rStyle w:val="afb"/>
          <w:rFonts w:hint="cs"/>
          <w:rtl/>
        </w:rPr>
        <w:t xml:space="preserve">[ועי' </w:t>
      </w:r>
      <w:r>
        <w:rPr>
          <w:rStyle w:val="afb"/>
          <w:rFonts w:hint="cs"/>
          <w:rtl/>
        </w:rPr>
        <w:t>בדברי</w:t>
      </w:r>
      <w:r>
        <w:rPr>
          <w:rStyle w:val="affa"/>
          <w:rFonts w:hint="cs"/>
          <w:rtl/>
        </w:rPr>
        <w:t xml:space="preserve"> </w:t>
      </w:r>
      <w:r w:rsidRPr="00914C1F">
        <w:rPr>
          <w:rStyle w:val="affa"/>
          <w:rFonts w:hint="cs"/>
          <w:rtl/>
        </w:rPr>
        <w:t>פסקי הרי"ד</w:t>
      </w:r>
      <w:r w:rsidRPr="00914C1F">
        <w:rPr>
          <w:rStyle w:val="afb"/>
          <w:rFonts w:hint="cs"/>
          <w:rtl/>
        </w:rPr>
        <w:t xml:space="preserve"> </w:t>
      </w:r>
      <w:r w:rsidRPr="00914C1F">
        <w:rPr>
          <w:rStyle w:val="aff6"/>
          <w:rFonts w:hint="cs"/>
          <w:rtl/>
        </w:rPr>
        <w:t xml:space="preserve">(עי' אות </w:t>
      </w:r>
      <w:r w:rsidRPr="00914C1F">
        <w:rPr>
          <w:rStyle w:val="aff6"/>
          <w:rtl/>
        </w:rPr>
        <w:fldChar w:fldCharType="begin"/>
      </w:r>
      <w:r w:rsidRPr="00914C1F">
        <w:rPr>
          <w:rStyle w:val="aff6"/>
          <w:rtl/>
        </w:rPr>
        <w:instrText xml:space="preserve"> </w:instrText>
      </w:r>
      <w:r w:rsidRPr="00914C1F">
        <w:rPr>
          <w:rStyle w:val="aff6"/>
          <w:rFonts w:hint="cs"/>
        </w:rPr>
        <w:instrText>REF</w:instrText>
      </w:r>
      <w:r w:rsidRPr="00914C1F">
        <w:rPr>
          <w:rStyle w:val="aff6"/>
          <w:rFonts w:hint="cs"/>
          <w:rtl/>
        </w:rPr>
        <w:instrText xml:space="preserve"> _</w:instrText>
      </w:r>
      <w:r w:rsidRPr="00914C1F">
        <w:rPr>
          <w:rStyle w:val="aff6"/>
          <w:rFonts w:hint="cs"/>
        </w:rPr>
        <w:instrText>Ref63181472 \r \h</w:instrText>
      </w:r>
      <w:r w:rsidRPr="00914C1F">
        <w:rPr>
          <w:rStyle w:val="aff6"/>
          <w:rtl/>
        </w:rPr>
        <w:instrText xml:space="preserve"> </w:instrText>
      </w:r>
      <w:r w:rsidRPr="00914C1F">
        <w:rPr>
          <w:rStyle w:val="aff6"/>
          <w:rtl/>
        </w:rPr>
      </w:r>
      <w:r w:rsidRPr="00914C1F">
        <w:rPr>
          <w:rStyle w:val="aff6"/>
          <w:rtl/>
        </w:rPr>
        <w:fldChar w:fldCharType="separate"/>
      </w:r>
      <w:r w:rsidR="00265073">
        <w:rPr>
          <w:rStyle w:val="aff6"/>
          <w:cs/>
        </w:rPr>
        <w:t>‎</w:t>
      </w:r>
      <w:r w:rsidR="00265073">
        <w:rPr>
          <w:rStyle w:val="aff6"/>
          <w:rtl/>
        </w:rPr>
        <w:t>מו)</w:t>
      </w:r>
      <w:r w:rsidRPr="00914C1F">
        <w:rPr>
          <w:rStyle w:val="aff6"/>
          <w:rtl/>
        </w:rPr>
        <w:fldChar w:fldCharType="end"/>
      </w:r>
      <w:r>
        <w:rPr>
          <w:rStyle w:val="afb"/>
          <w:rFonts w:hint="cs"/>
          <w:rtl/>
        </w:rPr>
        <w:t xml:space="preserve"> דמשמע דאיירי בשטר מזויף, אבל בההוא ערבא ביאר </w:t>
      </w:r>
      <w:r w:rsidRPr="00914C1F">
        <w:rPr>
          <w:rStyle w:val="affa"/>
          <w:rFonts w:hint="cs"/>
          <w:rtl/>
        </w:rPr>
        <w:t>פסקי הרי"ד</w:t>
      </w:r>
      <w:r w:rsidRPr="00914C1F">
        <w:rPr>
          <w:rStyle w:val="afb"/>
          <w:rFonts w:hint="cs"/>
          <w:rtl/>
        </w:rPr>
        <w:t xml:space="preserve"> </w:t>
      </w:r>
      <w:r w:rsidRPr="00914C1F">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Ref63181654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מז)</w:t>
      </w:r>
      <w:r>
        <w:rPr>
          <w:rStyle w:val="aff6"/>
          <w:rtl/>
        </w:rPr>
        <w:fldChar w:fldCharType="end"/>
      </w:r>
      <w:r>
        <w:rPr>
          <w:rStyle w:val="afb"/>
          <w:rFonts w:hint="cs"/>
          <w:rtl/>
        </w:rPr>
        <w:t xml:space="preserve"> דאיירי בשטר טו</w:t>
      </w:r>
      <w:r w:rsidRPr="00C17E27">
        <w:rPr>
          <w:rStyle w:val="afb"/>
          <w:rFonts w:hint="cs"/>
          <w:rtl/>
        </w:rPr>
        <w:t>ב].</w:t>
      </w:r>
      <w:bookmarkEnd w:id="13668"/>
    </w:p>
    <w:p w:rsidR="003B7617" w:rsidRDefault="003B7617" w:rsidP="003B7617">
      <w:pPr>
        <w:pStyle w:val="1"/>
        <w:rPr>
          <w:rtl/>
        </w:rPr>
      </w:pPr>
      <w:bookmarkStart w:id="13669" w:name="_Toc63111439"/>
      <w:bookmarkStart w:id="13670" w:name="_Toc63163487"/>
      <w:bookmarkStart w:id="13671" w:name="_Toc63188734"/>
      <w:bookmarkStart w:id="13672" w:name="_Toc63247693"/>
      <w:r>
        <w:rPr>
          <w:rFonts w:hint="cs"/>
          <w:rtl/>
        </w:rPr>
        <w:t>דברי המאירי דמסברא נראה כר"ח אך משמע בגמ' כרשב"ם</w:t>
      </w:r>
      <w:bookmarkEnd w:id="13669"/>
      <w:bookmarkEnd w:id="13670"/>
      <w:bookmarkEnd w:id="13671"/>
      <w:bookmarkEnd w:id="13672"/>
    </w:p>
    <w:p w:rsidR="003B7617" w:rsidRDefault="003B7617" w:rsidP="003B7617">
      <w:pPr>
        <w:pStyle w:val="a3"/>
        <w:rPr>
          <w:rtl/>
        </w:rPr>
      </w:pPr>
      <w:bookmarkStart w:id="13673" w:name="_Toc63111440"/>
      <w:bookmarkStart w:id="13674" w:name="_Toc63163488"/>
      <w:bookmarkStart w:id="13675" w:name="_Toc63188735"/>
      <w:bookmarkStart w:id="13676" w:name="_Toc63247694"/>
      <w:r>
        <w:rPr>
          <w:rFonts w:hint="cs"/>
          <w:rtl/>
        </w:rPr>
        <w:t>דברי המאירי דמסברא נראה כרי"ף דאין לו מיגו אך בגמ' משמע כרשב"ם דאין לו שטר אמיתי</w:t>
      </w:r>
      <w:bookmarkEnd w:id="13673"/>
      <w:bookmarkEnd w:id="13674"/>
      <w:bookmarkEnd w:id="13675"/>
      <w:bookmarkEnd w:id="13676"/>
    </w:p>
    <w:p w:rsidR="003B7617" w:rsidRDefault="003B7617" w:rsidP="007E4E81">
      <w:pPr>
        <w:pStyle w:val="a0"/>
        <w:rPr>
          <w:rStyle w:val="afb"/>
          <w:rtl/>
        </w:rPr>
      </w:pPr>
      <w:r>
        <w:rPr>
          <w:rFonts w:hint="cs"/>
          <w:rtl/>
        </w:rPr>
        <w:t xml:space="preserve">כתב </w:t>
      </w:r>
      <w:r w:rsidRPr="00FB76BD">
        <w:rPr>
          <w:rStyle w:val="af9"/>
          <w:rFonts w:hint="cs"/>
          <w:rtl/>
        </w:rPr>
        <w:t>המאירי</w:t>
      </w:r>
      <w:r>
        <w:rPr>
          <w:rFonts w:hint="cs"/>
          <w:rtl/>
        </w:rPr>
        <w:t xml:space="preserve"> </w:t>
      </w:r>
      <w:r w:rsidRPr="00F4777F">
        <w:rPr>
          <w:rStyle w:val="af7"/>
          <w:rFonts w:eastAsia="Guttman Hodes" w:hint="cs"/>
          <w:rtl/>
        </w:rPr>
        <w:t>(ד"ה הרי)</w:t>
      </w:r>
      <w:r>
        <w:rPr>
          <w:rFonts w:hint="cs"/>
          <w:rtl/>
        </w:rPr>
        <w:t xml:space="preserve"> דמסברא נראה כדעת </w:t>
      </w:r>
      <w:r>
        <w:rPr>
          <w:rStyle w:val="af9"/>
          <w:rFonts w:hint="cs"/>
          <w:rtl/>
        </w:rPr>
        <w:t>ה</w:t>
      </w:r>
      <w:r w:rsidRPr="00831A01">
        <w:rPr>
          <w:rStyle w:val="af9"/>
          <w:rFonts w:hint="cs"/>
          <w:rtl/>
        </w:rPr>
        <w:t>י"א</w:t>
      </w:r>
      <w:r>
        <w:rPr>
          <w:rFonts w:hint="cs"/>
          <w:rtl/>
        </w:rPr>
        <w:t xml:space="preserve"> </w:t>
      </w:r>
      <w:r w:rsidRPr="00EA7352">
        <w:rPr>
          <w:rStyle w:val="afb"/>
          <w:rFonts w:hint="cs"/>
          <w:rtl/>
        </w:rPr>
        <w:t>[</w:t>
      </w:r>
      <w:r w:rsidRPr="00EA7352">
        <w:rPr>
          <w:rStyle w:val="affa"/>
          <w:rFonts w:hint="cs"/>
          <w:rtl/>
        </w:rPr>
        <w:t>הרי"ף</w:t>
      </w:r>
      <w:r w:rsidRPr="00EA7352">
        <w:rPr>
          <w:rStyle w:val="afb"/>
          <w:rFonts w:hint="cs"/>
          <w:rtl/>
        </w:rPr>
        <w:t xml:space="preserve"> </w:t>
      </w:r>
      <w:r w:rsidRPr="00A10211">
        <w:rPr>
          <w:rStyle w:val="aff6"/>
          <w:rFonts w:hint="cs"/>
          <w:rtl/>
        </w:rPr>
        <w:t xml:space="preserve">(עי' אות </w:t>
      </w:r>
      <w:r w:rsidRPr="00A10211">
        <w:rPr>
          <w:rStyle w:val="aff6"/>
          <w:rtl/>
        </w:rPr>
        <w:fldChar w:fldCharType="begin"/>
      </w:r>
      <w:r w:rsidRPr="00A10211">
        <w:rPr>
          <w:rStyle w:val="aff6"/>
          <w:rtl/>
        </w:rPr>
        <w:instrText xml:space="preserve"> </w:instrText>
      </w:r>
      <w:r w:rsidRPr="00A10211">
        <w:rPr>
          <w:rStyle w:val="aff6"/>
          <w:rFonts w:hint="cs"/>
        </w:rPr>
        <w:instrText>REF</w:instrText>
      </w:r>
      <w:r w:rsidRPr="00A10211">
        <w:rPr>
          <w:rStyle w:val="aff6"/>
          <w:rFonts w:hint="cs"/>
          <w:rtl/>
        </w:rPr>
        <w:instrText xml:space="preserve"> _</w:instrText>
      </w:r>
      <w:r w:rsidRPr="00A10211">
        <w:rPr>
          <w:rStyle w:val="aff6"/>
          <w:rFonts w:hint="cs"/>
        </w:rPr>
        <w:instrText>Ref63068221 \r \h</w:instrText>
      </w:r>
      <w:r w:rsidRPr="00A10211">
        <w:rPr>
          <w:rStyle w:val="aff6"/>
          <w:rtl/>
        </w:rPr>
        <w:instrText xml:space="preserve"> </w:instrText>
      </w:r>
      <w:r w:rsidRPr="00A10211">
        <w:rPr>
          <w:rStyle w:val="aff6"/>
          <w:rtl/>
        </w:rPr>
      </w:r>
      <w:r w:rsidRPr="00A10211">
        <w:rPr>
          <w:rStyle w:val="aff6"/>
          <w:rtl/>
        </w:rPr>
        <w:fldChar w:fldCharType="separate"/>
      </w:r>
      <w:r w:rsidR="00265073">
        <w:rPr>
          <w:rStyle w:val="aff6"/>
          <w:cs/>
        </w:rPr>
        <w:t>‎</w:t>
      </w:r>
      <w:r w:rsidR="00265073">
        <w:rPr>
          <w:rStyle w:val="aff6"/>
          <w:rtl/>
        </w:rPr>
        <w:t>ט)</w:t>
      </w:r>
      <w:r w:rsidRPr="00A10211">
        <w:rPr>
          <w:rStyle w:val="aff6"/>
          <w:rtl/>
        </w:rPr>
        <w:fldChar w:fldCharType="end"/>
      </w:r>
      <w:r w:rsidRPr="00EA7352">
        <w:rPr>
          <w:rStyle w:val="afb"/>
          <w:rFonts w:hint="cs"/>
          <w:rtl/>
        </w:rPr>
        <w:t xml:space="preserve">] </w:t>
      </w:r>
      <w:r>
        <w:rPr>
          <w:rFonts w:hint="cs"/>
          <w:rtl/>
        </w:rPr>
        <w:t xml:space="preserve">דבשטר מזויף לא מהני מיגו, דהמחזיק ירא שאחר שיטען המערער שהשטר מזויף, ידקדקו הב"ד בשטר או שיחזרו אחר העדים, ויתברר שהוא מזויף, ולכן הוצרך להודות שהוא מזויף, ואין לו מיגו דהיה טוען שהשטר הוא טוב, אם טוען המערער שהשטר מזויף ולא כתבו מעולם, והמחזיק זייף את חתימת העדים, או שהחתים עידי שקר, </w:t>
      </w:r>
      <w:r>
        <w:rPr>
          <w:rStyle w:val="af9"/>
          <w:rFonts w:hint="cs"/>
          <w:rtl/>
        </w:rPr>
        <w:t xml:space="preserve">אך </w:t>
      </w:r>
      <w:r>
        <w:rPr>
          <w:rFonts w:hint="cs"/>
          <w:rtl/>
        </w:rPr>
        <w:t xml:space="preserve">כתב </w:t>
      </w:r>
      <w:r w:rsidRPr="00FB76BD">
        <w:rPr>
          <w:rStyle w:val="af9"/>
          <w:rFonts w:hint="cs"/>
          <w:rtl/>
        </w:rPr>
        <w:t>המאירי</w:t>
      </w:r>
      <w:r>
        <w:rPr>
          <w:rFonts w:hint="cs"/>
          <w:rtl/>
        </w:rPr>
        <w:t xml:space="preserve"> דמלשון הגמ' בטענת המחזיק משמע כדעת </w:t>
      </w:r>
      <w:r w:rsidRPr="00FB76BD">
        <w:rPr>
          <w:rStyle w:val="af9"/>
          <w:rFonts w:hint="cs"/>
          <w:rtl/>
        </w:rPr>
        <w:t>הי"א</w:t>
      </w:r>
      <w:r>
        <w:rPr>
          <w:rFonts w:hint="cs"/>
          <w:rtl/>
        </w:rPr>
        <w:t xml:space="preserve"> </w:t>
      </w:r>
      <w:r w:rsidRPr="00874907">
        <w:rPr>
          <w:rStyle w:val="afb"/>
          <w:rFonts w:hint="cs"/>
          <w:rtl/>
        </w:rPr>
        <w:t>[</w:t>
      </w:r>
      <w:r w:rsidRPr="003D0D37">
        <w:rPr>
          <w:rStyle w:val="affa"/>
          <w:rFonts w:hint="cs"/>
          <w:rtl/>
        </w:rPr>
        <w:t>רשב"ם</w:t>
      </w:r>
      <w:r w:rsidRPr="00874907">
        <w:rPr>
          <w:rStyle w:val="afb"/>
          <w:rFonts w:hint="cs"/>
          <w:rtl/>
        </w:rPr>
        <w:t xml:space="preserve"> </w:t>
      </w:r>
      <w:r w:rsidRPr="0043463A">
        <w:rPr>
          <w:rStyle w:val="aff6"/>
          <w:rFonts w:hint="cs"/>
          <w:rtl/>
        </w:rPr>
        <w:t xml:space="preserve">(עי' אות </w:t>
      </w:r>
      <w:r w:rsidRPr="0043463A">
        <w:rPr>
          <w:rStyle w:val="aff6"/>
          <w:rtl/>
        </w:rPr>
        <w:fldChar w:fldCharType="begin"/>
      </w:r>
      <w:r w:rsidRPr="0043463A">
        <w:rPr>
          <w:rStyle w:val="aff6"/>
          <w:rtl/>
        </w:rPr>
        <w:instrText xml:space="preserve"> </w:instrText>
      </w:r>
      <w:r w:rsidRPr="0043463A">
        <w:rPr>
          <w:rStyle w:val="aff6"/>
          <w:rFonts w:hint="cs"/>
        </w:rPr>
        <w:instrText>REF</w:instrText>
      </w:r>
      <w:r w:rsidRPr="0043463A">
        <w:rPr>
          <w:rStyle w:val="aff6"/>
          <w:rFonts w:hint="cs"/>
          <w:rtl/>
        </w:rPr>
        <w:instrText xml:space="preserve"> _</w:instrText>
      </w:r>
      <w:r w:rsidRPr="0043463A">
        <w:rPr>
          <w:rStyle w:val="aff6"/>
          <w:rFonts w:hint="cs"/>
        </w:rPr>
        <w:instrText>Ref62643376 \r \h</w:instrText>
      </w:r>
      <w:r w:rsidRPr="0043463A">
        <w:rPr>
          <w:rStyle w:val="aff6"/>
          <w:rtl/>
        </w:rPr>
        <w:instrText xml:space="preserve"> </w:instrText>
      </w:r>
      <w:r w:rsidRPr="0043463A">
        <w:rPr>
          <w:rStyle w:val="aff6"/>
          <w:rtl/>
        </w:rPr>
      </w:r>
      <w:r w:rsidRPr="0043463A">
        <w:rPr>
          <w:rStyle w:val="aff6"/>
          <w:rtl/>
        </w:rPr>
        <w:fldChar w:fldCharType="separate"/>
      </w:r>
      <w:r w:rsidR="00265073">
        <w:rPr>
          <w:rStyle w:val="aff6"/>
          <w:cs/>
        </w:rPr>
        <w:t>‎</w:t>
      </w:r>
      <w:r w:rsidR="00265073">
        <w:rPr>
          <w:rStyle w:val="aff6"/>
          <w:rtl/>
        </w:rPr>
        <w:t>טז)</w:t>
      </w:r>
      <w:r w:rsidRPr="0043463A">
        <w:rPr>
          <w:rStyle w:val="aff6"/>
          <w:rtl/>
        </w:rPr>
        <w:fldChar w:fldCharType="end"/>
      </w:r>
      <w:r w:rsidRPr="00874907">
        <w:rPr>
          <w:rStyle w:val="afb"/>
          <w:rFonts w:hint="cs"/>
          <w:rtl/>
        </w:rPr>
        <w:t>]</w:t>
      </w:r>
      <w:r>
        <w:rPr>
          <w:rFonts w:hint="cs"/>
          <w:rtl/>
        </w:rPr>
        <w:t xml:space="preserve"> דמהני בו מיגו, דכיון דאמר "</w:t>
      </w:r>
      <w:r>
        <w:rPr>
          <w:rtl/>
        </w:rPr>
        <w:t>ואמינא אינקוט בידי כל דהו</w:t>
      </w:r>
      <w:r>
        <w:rPr>
          <w:rFonts w:hint="cs"/>
          <w:rtl/>
        </w:rPr>
        <w:t xml:space="preserve">", משמע דטוען שהיה לו שטר אמיתי ואבד, ועכשיו החזיק בשטר כל דהו שאינו שטר אמיתי. </w:t>
      </w:r>
      <w:r w:rsidRPr="00874907">
        <w:rPr>
          <w:rStyle w:val="afb"/>
          <w:rFonts w:hint="cs"/>
          <w:rtl/>
        </w:rPr>
        <w:t>[ולא משמע שהשטר שמחזיק בו הוא אמיתי והוא אמנה].</w:t>
      </w:r>
    </w:p>
    <w:p w:rsidR="003B7617" w:rsidRDefault="003B7617" w:rsidP="003B7617">
      <w:pPr>
        <w:pStyle w:val="a3"/>
        <w:rPr>
          <w:rtl/>
        </w:rPr>
      </w:pPr>
      <w:bookmarkStart w:id="13677" w:name="_Toc63111441"/>
      <w:bookmarkStart w:id="13678" w:name="_Toc63163489"/>
      <w:bookmarkStart w:id="13679" w:name="_Toc63188736"/>
      <w:bookmarkStart w:id="13680" w:name="_Toc63247695"/>
      <w:r>
        <w:rPr>
          <w:rFonts w:hint="cs"/>
          <w:rtl/>
        </w:rPr>
        <w:t>דברי המאירי דמ"מ במזויף שלא ניתן ליכתב אינו נאמן במיגו שלא יהא חוטא נשכר</w:t>
      </w:r>
      <w:bookmarkEnd w:id="13677"/>
      <w:bookmarkEnd w:id="13678"/>
      <w:bookmarkEnd w:id="13679"/>
      <w:bookmarkEnd w:id="13680"/>
    </w:p>
    <w:p w:rsidR="003B7617" w:rsidRDefault="003B7617" w:rsidP="007E4E81">
      <w:pPr>
        <w:pStyle w:val="a0"/>
        <w:rPr>
          <w:rStyle w:val="afb"/>
          <w:rtl/>
        </w:rPr>
      </w:pPr>
      <w:r>
        <w:rPr>
          <w:rFonts w:hint="cs"/>
          <w:rtl/>
        </w:rPr>
        <w:t xml:space="preserve">אך כתב </w:t>
      </w:r>
      <w:r w:rsidRPr="00831A01">
        <w:rPr>
          <w:rStyle w:val="af9"/>
          <w:rFonts w:hint="cs"/>
          <w:rtl/>
        </w:rPr>
        <w:t>המאירי</w:t>
      </w:r>
      <w:r>
        <w:rPr>
          <w:rFonts w:hint="cs"/>
          <w:rtl/>
        </w:rPr>
        <w:t xml:space="preserve"> דמ"מ בשטר מזויף ממש, ובכל שטר שלא ניתן ליכתב, ראוי לדון שאינו נאמן במיגו, כדי שלא יהא חוטא נשכר. </w:t>
      </w:r>
      <w:r w:rsidRPr="00874907">
        <w:rPr>
          <w:rStyle w:val="afb"/>
          <w:rFonts w:hint="cs"/>
          <w:rtl/>
        </w:rPr>
        <w:t xml:space="preserve">[כדכתב </w:t>
      </w:r>
      <w:r w:rsidRPr="003D0D37">
        <w:rPr>
          <w:rStyle w:val="affa"/>
          <w:rFonts w:hint="cs"/>
          <w:rtl/>
        </w:rPr>
        <w:t>היד רמ"ה</w:t>
      </w:r>
      <w:r w:rsidRPr="00874907">
        <w:rPr>
          <w:rStyle w:val="afb"/>
          <w:rFonts w:hint="cs"/>
          <w:rtl/>
        </w:rPr>
        <w:t xml:space="preserve"> </w:t>
      </w:r>
      <w:r w:rsidRPr="00A10211">
        <w:rPr>
          <w:rStyle w:val="aff6"/>
          <w:rFonts w:hint="cs"/>
          <w:rtl/>
        </w:rPr>
        <w:t xml:space="preserve">(עי' אות </w:t>
      </w:r>
      <w:r w:rsidRPr="00A10211">
        <w:rPr>
          <w:rStyle w:val="aff6"/>
          <w:rtl/>
        </w:rPr>
        <w:fldChar w:fldCharType="begin"/>
      </w:r>
      <w:r w:rsidRPr="00A10211">
        <w:rPr>
          <w:rStyle w:val="aff6"/>
          <w:rtl/>
        </w:rPr>
        <w:instrText xml:space="preserve"> </w:instrText>
      </w:r>
      <w:r w:rsidRPr="00A10211">
        <w:rPr>
          <w:rStyle w:val="aff6"/>
          <w:rFonts w:hint="cs"/>
        </w:rPr>
        <w:instrText>REF</w:instrText>
      </w:r>
      <w:r w:rsidRPr="00A10211">
        <w:rPr>
          <w:rStyle w:val="aff6"/>
          <w:rFonts w:hint="cs"/>
          <w:rtl/>
        </w:rPr>
        <w:instrText xml:space="preserve"> _</w:instrText>
      </w:r>
      <w:r w:rsidRPr="00A10211">
        <w:rPr>
          <w:rStyle w:val="aff6"/>
          <w:rFonts w:hint="cs"/>
        </w:rPr>
        <w:instrText>Ref63068935 \r \h</w:instrText>
      </w:r>
      <w:r w:rsidRPr="00A10211">
        <w:rPr>
          <w:rStyle w:val="aff6"/>
          <w:rtl/>
        </w:rPr>
        <w:instrText xml:space="preserve"> </w:instrText>
      </w:r>
      <w:r w:rsidRPr="00A10211">
        <w:rPr>
          <w:rStyle w:val="aff6"/>
          <w:rtl/>
        </w:rPr>
      </w:r>
      <w:r w:rsidRPr="00A10211">
        <w:rPr>
          <w:rStyle w:val="aff6"/>
          <w:rtl/>
        </w:rPr>
        <w:fldChar w:fldCharType="separate"/>
      </w:r>
      <w:r w:rsidR="00265073">
        <w:rPr>
          <w:rStyle w:val="aff6"/>
          <w:cs/>
        </w:rPr>
        <w:t>‎</w:t>
      </w:r>
      <w:r w:rsidR="00265073">
        <w:rPr>
          <w:rStyle w:val="aff6"/>
          <w:rtl/>
        </w:rPr>
        <w:t>יב)</w:t>
      </w:r>
      <w:r w:rsidRPr="00A10211">
        <w:rPr>
          <w:rStyle w:val="aff6"/>
          <w:rtl/>
        </w:rPr>
        <w:fldChar w:fldCharType="end"/>
      </w:r>
      <w:r w:rsidRPr="00874907">
        <w:rPr>
          <w:rStyle w:val="afb"/>
          <w:rFonts w:hint="cs"/>
          <w:rtl/>
        </w:rPr>
        <w:t>].</w:t>
      </w:r>
    </w:p>
    <w:p w:rsidR="003B7617" w:rsidRDefault="003B7617" w:rsidP="003B7617">
      <w:pPr>
        <w:pStyle w:val="afe"/>
        <w:rPr>
          <w:rtl/>
        </w:rPr>
      </w:pPr>
      <w:bookmarkStart w:id="13681" w:name="_Toc63111442"/>
      <w:bookmarkStart w:id="13682" w:name="_Toc63163490"/>
      <w:bookmarkStart w:id="13683" w:name="_Toc63188737"/>
      <w:bookmarkStart w:id="13684" w:name="_Toc63247696"/>
      <w:bookmarkStart w:id="13685" w:name="_Toc62644213"/>
      <w:bookmarkStart w:id="13686" w:name="_Toc62819897"/>
      <w:r>
        <w:rPr>
          <w:rFonts w:hint="cs"/>
          <w:rtl/>
        </w:rPr>
        <w:t>דברי הראשונים אי איירי בשטר מקוים</w:t>
      </w:r>
      <w:bookmarkEnd w:id="13681"/>
      <w:bookmarkEnd w:id="13682"/>
      <w:bookmarkEnd w:id="13683"/>
      <w:bookmarkEnd w:id="13684"/>
    </w:p>
    <w:p w:rsidR="003B7617" w:rsidRDefault="003B7617" w:rsidP="003B7617">
      <w:pPr>
        <w:pStyle w:val="1"/>
        <w:rPr>
          <w:rtl/>
        </w:rPr>
      </w:pPr>
      <w:bookmarkStart w:id="13687" w:name="_Toc63111443"/>
      <w:bookmarkStart w:id="13688" w:name="_Toc63163491"/>
      <w:bookmarkStart w:id="13689" w:name="_Toc63188738"/>
      <w:bookmarkStart w:id="13690" w:name="_Toc63247697"/>
      <w:r>
        <w:rPr>
          <w:rFonts w:hint="cs"/>
          <w:rtl/>
        </w:rPr>
        <w:t>דעות הראשונים אי איירי שאפשר לקיימו או שהוא מקויים כבר</w:t>
      </w:r>
      <w:bookmarkEnd w:id="13687"/>
      <w:bookmarkEnd w:id="13688"/>
      <w:bookmarkEnd w:id="13689"/>
      <w:bookmarkEnd w:id="13690"/>
    </w:p>
    <w:p w:rsidR="003B7617" w:rsidRDefault="003B7617" w:rsidP="003B7617">
      <w:pPr>
        <w:pStyle w:val="a3"/>
        <w:rPr>
          <w:rtl/>
        </w:rPr>
      </w:pPr>
      <w:bookmarkStart w:id="13691" w:name="_Toc63111444"/>
      <w:bookmarkStart w:id="13692" w:name="_Toc63163492"/>
      <w:bookmarkStart w:id="13693" w:name="_Toc63188739"/>
      <w:bookmarkStart w:id="13694" w:name="_Toc63247698"/>
      <w:r>
        <w:rPr>
          <w:rFonts w:hint="cs"/>
          <w:rtl/>
        </w:rPr>
        <w:t>דברי ר"ח והרי"ף ורה"ג דאיירי בשטר אמנה ויכולים העדים לקיים חתימתם ולכן נאמן במיגו</w:t>
      </w:r>
      <w:bookmarkEnd w:id="13691"/>
      <w:bookmarkEnd w:id="13692"/>
      <w:bookmarkEnd w:id="13693"/>
      <w:bookmarkEnd w:id="13694"/>
    </w:p>
    <w:p w:rsidR="003B7617" w:rsidRDefault="003B7617" w:rsidP="007E4E81">
      <w:pPr>
        <w:pStyle w:val="a0"/>
        <w:rPr>
          <w:rtl/>
        </w:rPr>
      </w:pPr>
      <w:bookmarkStart w:id="13695" w:name="_Toc62644209"/>
      <w:bookmarkStart w:id="13696" w:name="_Toc62819893"/>
      <w:r>
        <w:rPr>
          <w:rFonts w:hint="cs"/>
          <w:rtl/>
        </w:rPr>
        <w:t xml:space="preserve">כתבו </w:t>
      </w:r>
      <w:r w:rsidRPr="00176841">
        <w:rPr>
          <w:rStyle w:val="af9"/>
          <w:rFonts w:hint="cs"/>
          <w:rtl/>
        </w:rPr>
        <w:t>הרשב"ם</w:t>
      </w:r>
      <w:r>
        <w:rPr>
          <w:rFonts w:hint="cs"/>
          <w:rtl/>
        </w:rPr>
        <w:t xml:space="preserve"> </w:t>
      </w:r>
      <w:r w:rsidRPr="00F655AC">
        <w:rPr>
          <w:rStyle w:val="af7"/>
          <w:rFonts w:eastAsia="Guttman Hodes" w:hint="cs"/>
          <w:rtl/>
        </w:rPr>
        <w:t>(ד"ה אמר)</w:t>
      </w:r>
      <w:r>
        <w:rPr>
          <w:rFonts w:hint="cs"/>
          <w:rtl/>
        </w:rPr>
        <w:t xml:space="preserve"> בשם </w:t>
      </w:r>
      <w:r w:rsidRPr="00176841">
        <w:rPr>
          <w:rStyle w:val="af9"/>
          <w:rFonts w:hint="cs"/>
          <w:rtl/>
        </w:rPr>
        <w:t>ר"ח</w:t>
      </w:r>
      <w:r>
        <w:rPr>
          <w:rFonts w:hint="cs"/>
          <w:rtl/>
        </w:rPr>
        <w:t xml:space="preserve"> </w:t>
      </w:r>
      <w:r>
        <w:rPr>
          <w:rStyle w:val="af9"/>
          <w:rFonts w:hint="cs"/>
          <w:rtl/>
        </w:rPr>
        <w:t>ו</w:t>
      </w:r>
      <w:r w:rsidRPr="006B42E2">
        <w:rPr>
          <w:rStyle w:val="af9"/>
          <w:rFonts w:hint="cs"/>
          <w:rtl/>
        </w:rPr>
        <w:t>הרי"ף</w:t>
      </w:r>
      <w:r>
        <w:rPr>
          <w:rStyle w:val="af9"/>
          <w:rFonts w:hint="cs"/>
          <w:rtl/>
        </w:rPr>
        <w:t xml:space="preserve"> </w:t>
      </w:r>
      <w:r w:rsidRPr="00F655AC">
        <w:rPr>
          <w:rStyle w:val="af7"/>
          <w:rFonts w:eastAsia="Guttman Hodes" w:hint="cs"/>
          <w:rtl/>
        </w:rPr>
        <w:t>(טז: מדה"ר)</w:t>
      </w:r>
      <w:r>
        <w:rPr>
          <w:rStyle w:val="af9"/>
          <w:rFonts w:hint="cs"/>
          <w:rtl/>
        </w:rPr>
        <w:t xml:space="preserve"> ו</w:t>
      </w:r>
      <w:r w:rsidRPr="00CA6AB9">
        <w:rPr>
          <w:rStyle w:val="af9"/>
          <w:rFonts w:hint="cs"/>
          <w:rtl/>
        </w:rPr>
        <w:t>רבינו יונה</w:t>
      </w:r>
      <w:r>
        <w:rPr>
          <w:rFonts w:hint="cs"/>
          <w:rtl/>
        </w:rPr>
        <w:t xml:space="preserve"> </w:t>
      </w:r>
      <w:r w:rsidRPr="00F655AC">
        <w:rPr>
          <w:rStyle w:val="af7"/>
          <w:rFonts w:eastAsia="Guttman Hodes" w:hint="cs"/>
          <w:rtl/>
        </w:rPr>
        <w:t xml:space="preserve">(ד"ה ההוא) </w:t>
      </w:r>
      <w:r>
        <w:rPr>
          <w:rFonts w:hint="cs"/>
          <w:rtl/>
        </w:rPr>
        <w:t xml:space="preserve">בשם </w:t>
      </w:r>
      <w:r w:rsidRPr="00CA6AB9">
        <w:rPr>
          <w:rStyle w:val="af9"/>
          <w:rFonts w:hint="cs"/>
          <w:rtl/>
        </w:rPr>
        <w:t>רב האי גאון</w:t>
      </w:r>
      <w:r>
        <w:rPr>
          <w:rFonts w:hint="cs"/>
          <w:rtl/>
        </w:rPr>
        <w:t xml:space="preserve"> </w:t>
      </w:r>
      <w:r w:rsidRPr="009F3265">
        <w:rPr>
          <w:rStyle w:val="af9"/>
          <w:rFonts w:hint="cs"/>
          <w:rtl/>
        </w:rPr>
        <w:t>והר</w:t>
      </w:r>
      <w:r w:rsidRPr="002617A0">
        <w:rPr>
          <w:rStyle w:val="af9"/>
          <w:rFonts w:hint="cs"/>
          <w:rtl/>
        </w:rPr>
        <w:t>שב"א</w:t>
      </w:r>
      <w:r>
        <w:rPr>
          <w:rFonts w:hint="cs"/>
          <w:rtl/>
        </w:rPr>
        <w:t xml:space="preserve"> </w:t>
      </w:r>
      <w:r w:rsidRPr="00F4777F">
        <w:rPr>
          <w:rStyle w:val="af7"/>
          <w:rFonts w:eastAsia="Guttman Hodes" w:hint="cs"/>
          <w:rtl/>
        </w:rPr>
        <w:t>(ד"ה ולבסוף)</w:t>
      </w:r>
      <w:r>
        <w:rPr>
          <w:rFonts w:hint="cs"/>
          <w:rtl/>
        </w:rPr>
        <w:t xml:space="preserve"> בשם </w:t>
      </w:r>
      <w:r w:rsidRPr="002617A0">
        <w:rPr>
          <w:rStyle w:val="af9"/>
          <w:rFonts w:hint="cs"/>
          <w:rtl/>
        </w:rPr>
        <w:t>הגאונים</w:t>
      </w:r>
      <w:r>
        <w:rPr>
          <w:rFonts w:hint="cs"/>
          <w:rtl/>
        </w:rPr>
        <w:t xml:space="preserve"> דכיון שהשטר הוא אמנה, א"כ עידי השטר מכירים את חתימתם, ולכן אמר רבה דהמחזיק נאמן במיגו כיון שאם היה המחזיק רוצה לקיים את השטר, היה יכול לקיימו, וכ"כ </w:t>
      </w:r>
      <w:r w:rsidRPr="006B41C0">
        <w:rPr>
          <w:rStyle w:val="af9"/>
          <w:rFonts w:hint="cs"/>
          <w:rtl/>
        </w:rPr>
        <w:t>בפסקי הרי"ד</w:t>
      </w:r>
      <w:r>
        <w:rPr>
          <w:rStyle w:val="af9"/>
          <w:rFonts w:hint="cs"/>
          <w:rtl/>
        </w:rPr>
        <w:t xml:space="preserve"> </w:t>
      </w:r>
      <w:r w:rsidRPr="00F655AC">
        <w:rPr>
          <w:rStyle w:val="af7"/>
          <w:rFonts w:eastAsia="Guttman Hodes" w:hint="cs"/>
          <w:rtl/>
        </w:rPr>
        <w:t>(ד"ה ההוא, הועתק בקובץ שיטות קמאי ב"ב ח"א עמ' תשס"ז)</w:t>
      </w:r>
      <w:r>
        <w:rPr>
          <w:rFonts w:hint="cs"/>
          <w:rtl/>
        </w:rPr>
        <w:t xml:space="preserve"> דבשטר אמנה אפשר לקיים את השטר, כשמכירים את חתימת העדים, או שהם עצמם יעידו על חתימתם.</w:t>
      </w:r>
    </w:p>
    <w:p w:rsidR="003B7617" w:rsidRDefault="003B7617" w:rsidP="003B7617">
      <w:pPr>
        <w:pStyle w:val="a3"/>
        <w:rPr>
          <w:rtl/>
        </w:rPr>
      </w:pPr>
      <w:bookmarkStart w:id="13697" w:name="_Toc63111445"/>
      <w:bookmarkStart w:id="13698" w:name="_Toc63163493"/>
      <w:bookmarkStart w:id="13699" w:name="_Toc63188740"/>
      <w:bookmarkStart w:id="13700" w:name="_Toc63247699"/>
      <w:r>
        <w:rPr>
          <w:rFonts w:hint="cs"/>
          <w:rtl/>
        </w:rPr>
        <w:t>דעת הרמב"ן והרשב"א דהשטר אינו מקוים והוא כחספא ובקרקע נזקקין לקיימו ובזוזי אין נזקקין</w:t>
      </w:r>
      <w:bookmarkEnd w:id="13697"/>
      <w:bookmarkEnd w:id="13698"/>
      <w:bookmarkEnd w:id="13699"/>
      <w:bookmarkEnd w:id="13700"/>
    </w:p>
    <w:p w:rsidR="003B7617" w:rsidRDefault="003B7617" w:rsidP="007E4E81">
      <w:pPr>
        <w:pStyle w:val="a0"/>
        <w:rPr>
          <w:rtl/>
        </w:rPr>
      </w:pPr>
      <w:r>
        <w:rPr>
          <w:rFonts w:hint="cs"/>
          <w:rtl/>
        </w:rPr>
        <w:t xml:space="preserve">ועי' בדברי </w:t>
      </w:r>
      <w:r w:rsidRPr="00990E93">
        <w:rPr>
          <w:rStyle w:val="af9"/>
          <w:rFonts w:hint="cs"/>
          <w:rtl/>
        </w:rPr>
        <w:t>הרמב"ן</w:t>
      </w:r>
      <w:r>
        <w:rPr>
          <w:rFonts w:hint="cs"/>
          <w:rtl/>
        </w:rPr>
        <w:t xml:space="preserve"> </w:t>
      </w:r>
      <w:r>
        <w:rPr>
          <w:rStyle w:val="af9"/>
          <w:rFonts w:hint="cs"/>
          <w:rtl/>
        </w:rPr>
        <w:t>ו</w:t>
      </w:r>
      <w:r w:rsidRPr="0039258F">
        <w:rPr>
          <w:rStyle w:val="af9"/>
          <w:rFonts w:hint="cs"/>
          <w:rtl/>
        </w:rPr>
        <w:t>הרשב"א</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Ref62760907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Pr>
          <w:rStyle w:val="af7"/>
          <w:rFonts w:eastAsia="Guttman Hodes"/>
          <w:rtl/>
        </w:rPr>
        <w:fldChar w:fldCharType="end"/>
      </w:r>
      <w:r>
        <w:rPr>
          <w:rStyle w:val="af7"/>
          <w:rFonts w:eastAsia="Guttman Hodes" w:hint="cs"/>
          <w:rtl/>
        </w:rPr>
        <w:t xml:space="preserve"> </w:t>
      </w:r>
      <w:r>
        <w:rPr>
          <w:rFonts w:hint="cs"/>
          <w:rtl/>
        </w:rPr>
        <w:t xml:space="preserve">דכתבו דעכשיו השטר אינו מקויים והוא כחספא, ואעפ"י שאפשר לקיים את השטר, מ"מ בקרקע כיון שהודה המחזיק שהשטר מזויף אין הב"ד נזקקין לקיים את השטר בכדי שיהיה נאמן במיגו, וכתבו </w:t>
      </w:r>
      <w:r w:rsidRPr="00990E93">
        <w:rPr>
          <w:rStyle w:val="af9"/>
          <w:rFonts w:hint="cs"/>
          <w:rtl/>
        </w:rPr>
        <w:t>הרמב"ן</w:t>
      </w:r>
      <w:r>
        <w:rPr>
          <w:rFonts w:hint="cs"/>
          <w:rtl/>
        </w:rPr>
        <w:t xml:space="preserve"> </w:t>
      </w:r>
      <w:r>
        <w:rPr>
          <w:rStyle w:val="af9"/>
          <w:rFonts w:hint="cs"/>
          <w:rtl/>
        </w:rPr>
        <w:t>ו</w:t>
      </w:r>
      <w:r w:rsidRPr="0039258F">
        <w:rPr>
          <w:rStyle w:val="af9"/>
          <w:rFonts w:hint="cs"/>
          <w:rtl/>
        </w:rPr>
        <w:t>הרשב"א</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Ref63069433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Pr>
          <w:rStyle w:val="af7"/>
          <w:rFonts w:eastAsia="Guttman Hodes"/>
          <w:rtl/>
        </w:rPr>
        <w:fldChar w:fldCharType="end"/>
      </w:r>
      <w:r>
        <w:rPr>
          <w:rStyle w:val="af7"/>
          <w:rFonts w:eastAsia="Guttman Hodes" w:hint="cs"/>
          <w:rtl/>
        </w:rPr>
        <w:t xml:space="preserve"> </w:t>
      </w:r>
      <w:r>
        <w:rPr>
          <w:rFonts w:hint="cs"/>
          <w:rtl/>
        </w:rPr>
        <w:t xml:space="preserve">דלהלכה בקרקע שמוחזק בה ב"ד נזקקין לקיים את השטר, ובזוזי שהם ביד הלוה, אין ב"ד נזקקין לקיים את השטר. </w:t>
      </w:r>
    </w:p>
    <w:p w:rsidR="003B7617" w:rsidRDefault="003B7617" w:rsidP="003B7617">
      <w:pPr>
        <w:pStyle w:val="a3"/>
        <w:rPr>
          <w:rtl/>
        </w:rPr>
      </w:pPr>
      <w:bookmarkStart w:id="13701" w:name="_Toc63111446"/>
      <w:bookmarkStart w:id="13702" w:name="_Toc63163494"/>
      <w:bookmarkStart w:id="13703" w:name="_Toc63188741"/>
      <w:bookmarkStart w:id="13704" w:name="_Toc63247700"/>
      <w:r>
        <w:rPr>
          <w:rFonts w:hint="cs"/>
          <w:rtl/>
        </w:rPr>
        <w:t>דברי המאירי דאיירי שראו ב"ד שאפשר לקיימו או שהשטר כבר מקוים והודה שהוא אמנה</w:t>
      </w:r>
      <w:bookmarkEnd w:id="13701"/>
      <w:bookmarkEnd w:id="13702"/>
      <w:bookmarkEnd w:id="13703"/>
      <w:bookmarkEnd w:id="13704"/>
    </w:p>
    <w:p w:rsidR="003B7617" w:rsidRDefault="003B7617" w:rsidP="007E4E81">
      <w:pPr>
        <w:pStyle w:val="a0"/>
        <w:rPr>
          <w:rtl/>
        </w:rPr>
      </w:pPr>
      <w:r>
        <w:rPr>
          <w:rFonts w:hint="cs"/>
          <w:rtl/>
        </w:rPr>
        <w:t xml:space="preserve">כתב </w:t>
      </w:r>
      <w:r w:rsidRPr="006B41C0">
        <w:rPr>
          <w:rStyle w:val="af9"/>
          <w:rFonts w:hint="cs"/>
          <w:rtl/>
        </w:rPr>
        <w:t>המאירי</w:t>
      </w:r>
      <w:r>
        <w:rPr>
          <w:rFonts w:hint="cs"/>
          <w:rtl/>
        </w:rPr>
        <w:t xml:space="preserve"> </w:t>
      </w:r>
      <w:r w:rsidRPr="00F4777F">
        <w:rPr>
          <w:rStyle w:val="af7"/>
          <w:rFonts w:eastAsia="Guttman Hodes" w:hint="cs"/>
          <w:rtl/>
        </w:rPr>
        <w:t>(ד"ה הרי)</w:t>
      </w:r>
      <w:r>
        <w:rPr>
          <w:rFonts w:hint="cs"/>
          <w:rtl/>
        </w:rPr>
        <w:t xml:space="preserve"> דכשהוציא המחזיק את השטר, ראו ב"ד שאפשר לקיימו בלא פקפוק, או שכבר התקיים השטר, והודה המחזיק שהוא אמנה, דנאמן במיגו.</w:t>
      </w:r>
    </w:p>
    <w:p w:rsidR="005E1ABF" w:rsidRPr="005E1ABF" w:rsidRDefault="005E1ABF" w:rsidP="005E1ABF">
      <w:pPr>
        <w:pStyle w:val="a3"/>
        <w:rPr>
          <w:rtl/>
        </w:rPr>
      </w:pPr>
    </w:p>
    <w:p w:rsidR="005E1ABF" w:rsidRPr="005E1ABF" w:rsidRDefault="005E1ABF" w:rsidP="005E1ABF">
      <w:pPr>
        <w:pStyle w:val="a3"/>
        <w:rPr>
          <w:rtl/>
        </w:rPr>
      </w:pPr>
    </w:p>
    <w:p w:rsidR="003B7617" w:rsidRDefault="003B7617" w:rsidP="003B7617">
      <w:pPr>
        <w:pStyle w:val="a3"/>
      </w:pPr>
      <w:bookmarkStart w:id="13705" w:name="_Toc63111447"/>
      <w:bookmarkStart w:id="13706" w:name="_Toc63163495"/>
      <w:bookmarkStart w:id="13707" w:name="_Toc63188742"/>
      <w:bookmarkStart w:id="13708" w:name="_Toc63247701"/>
      <w:r>
        <w:rPr>
          <w:rFonts w:hint="cs"/>
          <w:rtl/>
        </w:rPr>
        <w:lastRenderedPageBreak/>
        <w:t>ביאור הרשב"ם דיש למחזיק מיגו שיכול לקיימו דטועים העדים שזו חתימתם או בעידי שקר</w:t>
      </w:r>
      <w:bookmarkEnd w:id="13705"/>
      <w:bookmarkEnd w:id="13706"/>
      <w:bookmarkEnd w:id="13707"/>
      <w:bookmarkEnd w:id="13708"/>
    </w:p>
    <w:p w:rsidR="003B7617" w:rsidRDefault="003B7617" w:rsidP="007E4E81">
      <w:pPr>
        <w:pStyle w:val="a0"/>
      </w:pPr>
      <w:r>
        <w:rPr>
          <w:rFonts w:hint="cs"/>
          <w:rtl/>
        </w:rPr>
        <w:t xml:space="preserve">כתב </w:t>
      </w:r>
      <w:r w:rsidRPr="00176841">
        <w:rPr>
          <w:rStyle w:val="af9"/>
          <w:rFonts w:hint="cs"/>
          <w:rtl/>
        </w:rPr>
        <w:t>הרשב"ם בביאורו הב'</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Ref63108785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Pr>
          <w:rStyle w:val="af7"/>
          <w:rFonts w:eastAsia="Guttman Hodes"/>
          <w:rtl/>
        </w:rPr>
        <w:fldChar w:fldCharType="end"/>
      </w:r>
      <w:r>
        <w:rPr>
          <w:rStyle w:val="af7"/>
          <w:rFonts w:eastAsia="Guttman Hodes" w:hint="cs"/>
          <w:rtl/>
        </w:rPr>
        <w:t xml:space="preserve"> </w:t>
      </w:r>
      <w:r>
        <w:rPr>
          <w:rFonts w:hint="cs"/>
          <w:rtl/>
        </w:rPr>
        <w:t xml:space="preserve">דמודה המערער שהשטר מזויף ממש, דיש למחזיק מיגו כיון דאיירי שזייף את חתימת העדים יפה, עד שהם טועים וסוברים שזו החתימה שלהם, והם מקיימים את השטר, ועוד ביאר </w:t>
      </w:r>
      <w:r w:rsidRPr="00176841">
        <w:rPr>
          <w:rStyle w:val="af9"/>
          <w:rFonts w:hint="cs"/>
          <w:rtl/>
        </w:rPr>
        <w:t>הרשב"ם</w:t>
      </w:r>
      <w:r>
        <w:rPr>
          <w:rFonts w:hint="cs"/>
          <w:rtl/>
        </w:rPr>
        <w:t xml:space="preserve"> שיכול לקיימו בעידי שקר שהם חתמו לו על השטר המזויף. </w:t>
      </w:r>
    </w:p>
    <w:p w:rsidR="003B7617" w:rsidRDefault="003B7617" w:rsidP="003B7617">
      <w:pPr>
        <w:pStyle w:val="a3"/>
        <w:rPr>
          <w:rtl/>
        </w:rPr>
      </w:pPr>
      <w:bookmarkStart w:id="13709" w:name="_Toc63111448"/>
      <w:bookmarkStart w:id="13710" w:name="_Toc63163496"/>
      <w:bookmarkStart w:id="13711" w:name="_Toc63188743"/>
      <w:bookmarkStart w:id="13712" w:name="_Toc63247702"/>
      <w:bookmarkEnd w:id="13695"/>
      <w:bookmarkEnd w:id="13696"/>
      <w:r>
        <w:rPr>
          <w:rFonts w:hint="cs"/>
          <w:rtl/>
        </w:rPr>
        <w:t>ביאור המ"מ ברמב"ם דאיירי בשטר מקוים וכדעת הגאונים ודלא כרמב"ן והרשב"א</w:t>
      </w:r>
      <w:bookmarkEnd w:id="13709"/>
      <w:bookmarkEnd w:id="13710"/>
      <w:bookmarkEnd w:id="13711"/>
      <w:bookmarkEnd w:id="13712"/>
    </w:p>
    <w:p w:rsidR="003B7617" w:rsidRDefault="003B7617" w:rsidP="007E4E81">
      <w:pPr>
        <w:pStyle w:val="a0"/>
        <w:rPr>
          <w:rtl/>
        </w:rPr>
      </w:pPr>
      <w:bookmarkStart w:id="13713" w:name="_Ref63249282"/>
      <w:r>
        <w:rPr>
          <w:rFonts w:hint="cs"/>
          <w:rtl/>
        </w:rPr>
        <w:t xml:space="preserve">כתב </w:t>
      </w:r>
      <w:r w:rsidRPr="00FB76BD">
        <w:rPr>
          <w:rStyle w:val="af9"/>
          <w:rFonts w:hint="cs"/>
          <w:rtl/>
        </w:rPr>
        <w:t>המ"מ</w:t>
      </w:r>
      <w:r>
        <w:rPr>
          <w:rFonts w:hint="cs"/>
          <w:rtl/>
        </w:rPr>
        <w:t xml:space="preserve"> </w:t>
      </w:r>
      <w:r w:rsidRPr="00F4777F">
        <w:rPr>
          <w:rStyle w:val="af7"/>
          <w:rFonts w:eastAsia="Guttman Hodes" w:hint="cs"/>
          <w:rtl/>
        </w:rPr>
        <w:t>(טו"נ פט"ו ה"ט</w:t>
      </w:r>
      <w:r>
        <w:rPr>
          <w:rStyle w:val="af7"/>
          <w:rFonts w:eastAsia="Guttman Hodes" w:hint="cs"/>
          <w:rtl/>
        </w:rPr>
        <w:t>,</w:t>
      </w:r>
      <w:r w:rsidRPr="00D15351">
        <w:rPr>
          <w:rtl/>
        </w:rPr>
        <w:t xml:space="preserve"> </w:t>
      </w:r>
      <w:r w:rsidRPr="00D15351">
        <w:rPr>
          <w:rStyle w:val="af7"/>
          <w:rFonts w:eastAsia="Guttman Hodes"/>
          <w:rtl/>
        </w:rPr>
        <w:t>מלוה ולוה פי"ד ה"ו</w:t>
      </w:r>
      <w:r w:rsidRPr="00116D21">
        <w:rPr>
          <w:rStyle w:val="af7"/>
          <w:rFonts w:eastAsia="Guttman Hodes" w:hint="cs"/>
          <w:rtl/>
        </w:rPr>
        <w:t>)</w:t>
      </w:r>
      <w:r w:rsidRPr="00116D21">
        <w:rPr>
          <w:rFonts w:hint="cs"/>
          <w:rtl/>
        </w:rPr>
        <w:t xml:space="preserve"> דמדברי </w:t>
      </w:r>
      <w:r w:rsidRPr="00116D21">
        <w:rPr>
          <w:rStyle w:val="af9"/>
          <w:rFonts w:hint="cs"/>
          <w:rtl/>
        </w:rPr>
        <w:t>הרמב"ם</w:t>
      </w:r>
      <w:r w:rsidRPr="00116D21">
        <w:rPr>
          <w:rFonts w:hint="cs"/>
          <w:rtl/>
        </w:rPr>
        <w:t xml:space="preserve"> </w:t>
      </w:r>
      <w:r w:rsidRPr="00B14295">
        <w:rPr>
          <w:rStyle w:val="af7"/>
          <w:rFonts w:eastAsia="Guttman Hodes" w:hint="cs"/>
          <w:rtl/>
        </w:rPr>
        <w:t xml:space="preserve">(עי' אות </w:t>
      </w:r>
      <w:r w:rsidRPr="00B14295">
        <w:rPr>
          <w:rStyle w:val="af7"/>
          <w:rFonts w:eastAsia="Guttman Hodes"/>
          <w:rtl/>
        </w:rPr>
        <w:fldChar w:fldCharType="begin"/>
      </w:r>
      <w:r w:rsidRPr="00B14295">
        <w:rPr>
          <w:rStyle w:val="af7"/>
          <w:rFonts w:eastAsia="Guttman Hodes"/>
          <w:rtl/>
        </w:rPr>
        <w:instrText xml:space="preserve"> </w:instrText>
      </w:r>
      <w:r w:rsidRPr="00B14295">
        <w:rPr>
          <w:rStyle w:val="af7"/>
          <w:rFonts w:eastAsia="Guttman Hodes" w:hint="cs"/>
        </w:rPr>
        <w:instrText>REF</w:instrText>
      </w:r>
      <w:r w:rsidRPr="00B14295">
        <w:rPr>
          <w:rStyle w:val="af7"/>
          <w:rFonts w:eastAsia="Guttman Hodes" w:hint="cs"/>
          <w:rtl/>
        </w:rPr>
        <w:instrText xml:space="preserve"> _</w:instrText>
      </w:r>
      <w:r w:rsidRPr="00B14295">
        <w:rPr>
          <w:rStyle w:val="af7"/>
          <w:rFonts w:eastAsia="Guttman Hodes" w:hint="cs"/>
        </w:rPr>
        <w:instrText>Ref62747857 \r \h</w:instrText>
      </w:r>
      <w:r w:rsidRPr="00B14295">
        <w:rPr>
          <w:rStyle w:val="af7"/>
          <w:rFonts w:eastAsia="Guttman Hodes"/>
          <w:rtl/>
        </w:rPr>
        <w:instrText xml:space="preserve"> </w:instrText>
      </w:r>
      <w:r w:rsidRPr="00B14295">
        <w:rPr>
          <w:rStyle w:val="af7"/>
          <w:rFonts w:eastAsia="Guttman Hodes"/>
          <w:rtl/>
        </w:rPr>
      </w:r>
      <w:r w:rsidRPr="00B14295">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B14295">
        <w:rPr>
          <w:rStyle w:val="af7"/>
          <w:rFonts w:eastAsia="Guttman Hodes"/>
          <w:rtl/>
        </w:rPr>
        <w:fldChar w:fldCharType="end"/>
      </w:r>
      <w:r>
        <w:rPr>
          <w:rFonts w:hint="cs"/>
          <w:rtl/>
        </w:rPr>
        <w:t xml:space="preserve"> </w:t>
      </w:r>
      <w:r w:rsidRPr="00116D21">
        <w:rPr>
          <w:rFonts w:hint="cs"/>
          <w:rtl/>
        </w:rPr>
        <w:t>מבואר דאיירי בסוגיין בשטר מקוים דוקא,</w:t>
      </w:r>
      <w:r>
        <w:rPr>
          <w:rFonts w:hint="cs"/>
          <w:rtl/>
        </w:rPr>
        <w:t xml:space="preserve"> וכן מבואר מדברי </w:t>
      </w:r>
      <w:r w:rsidRPr="00116D21">
        <w:rPr>
          <w:rStyle w:val="af9"/>
          <w:rFonts w:hint="cs"/>
          <w:rtl/>
        </w:rPr>
        <w:t>הרמב"ם</w:t>
      </w:r>
      <w:r w:rsidRPr="00116D21">
        <w:rPr>
          <w:rFonts w:hint="cs"/>
          <w:rtl/>
        </w:rPr>
        <w:t xml:space="preserve"> </w:t>
      </w:r>
      <w:r w:rsidRPr="00B14295">
        <w:rPr>
          <w:rStyle w:val="af7"/>
          <w:rFonts w:eastAsia="Guttman Hodes" w:hint="cs"/>
          <w:rtl/>
        </w:rPr>
        <w:t xml:space="preserve">(עי' אות </w:t>
      </w:r>
      <w:r w:rsidRPr="00B14295">
        <w:rPr>
          <w:rStyle w:val="af7"/>
          <w:rFonts w:eastAsia="Guttman Hodes"/>
          <w:rtl/>
        </w:rPr>
        <w:fldChar w:fldCharType="begin"/>
      </w:r>
      <w:r w:rsidRPr="00B14295">
        <w:rPr>
          <w:rStyle w:val="af7"/>
          <w:rFonts w:eastAsia="Guttman Hodes"/>
          <w:rtl/>
        </w:rPr>
        <w:instrText xml:space="preserve"> </w:instrText>
      </w:r>
      <w:r w:rsidRPr="00B14295">
        <w:rPr>
          <w:rStyle w:val="af7"/>
          <w:rFonts w:eastAsia="Guttman Hodes" w:hint="cs"/>
        </w:rPr>
        <w:instrText>REF</w:instrText>
      </w:r>
      <w:r w:rsidRPr="00B14295">
        <w:rPr>
          <w:rStyle w:val="af7"/>
          <w:rFonts w:eastAsia="Guttman Hodes" w:hint="cs"/>
          <w:rtl/>
        </w:rPr>
        <w:instrText xml:space="preserve"> _</w:instrText>
      </w:r>
      <w:r w:rsidRPr="00B14295">
        <w:rPr>
          <w:rStyle w:val="af7"/>
          <w:rFonts w:eastAsia="Guttman Hodes" w:hint="cs"/>
        </w:rPr>
        <w:instrText>Ref62747865 \r \h</w:instrText>
      </w:r>
      <w:r w:rsidRPr="00B14295">
        <w:rPr>
          <w:rStyle w:val="af7"/>
          <w:rFonts w:eastAsia="Guttman Hodes"/>
          <w:rtl/>
        </w:rPr>
        <w:instrText xml:space="preserve"> </w:instrText>
      </w:r>
      <w:r w:rsidRPr="00B14295">
        <w:rPr>
          <w:rStyle w:val="af7"/>
          <w:rFonts w:eastAsia="Guttman Hodes"/>
          <w:rtl/>
        </w:rPr>
      </w:r>
      <w:r w:rsidRPr="00B14295">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B14295">
        <w:rPr>
          <w:rStyle w:val="af7"/>
          <w:rFonts w:eastAsia="Guttman Hodes"/>
          <w:rtl/>
        </w:rPr>
        <w:fldChar w:fldCharType="end"/>
      </w:r>
      <w:r>
        <w:rPr>
          <w:rFonts w:hint="cs"/>
          <w:rtl/>
        </w:rPr>
        <w:t xml:space="preserve"> </w:t>
      </w:r>
      <w:r w:rsidRPr="002920DF">
        <w:rPr>
          <w:rFonts w:hint="cs"/>
          <w:rtl/>
        </w:rPr>
        <w:t xml:space="preserve">בההוא ערבא, וכתב </w:t>
      </w:r>
      <w:r w:rsidRPr="002920DF">
        <w:rPr>
          <w:rStyle w:val="af9"/>
          <w:rFonts w:hint="cs"/>
          <w:rtl/>
        </w:rPr>
        <w:t>המ"מ</w:t>
      </w:r>
      <w:r w:rsidRPr="002920DF">
        <w:rPr>
          <w:rFonts w:hint="cs"/>
          <w:rtl/>
        </w:rPr>
        <w:t xml:space="preserve"> דהוא כדעת</w:t>
      </w:r>
      <w:r w:rsidRPr="002920DF">
        <w:rPr>
          <w:rStyle w:val="af9"/>
          <w:rFonts w:hint="cs"/>
          <w:rtl/>
        </w:rPr>
        <w:t xml:space="preserve"> הגאונים</w:t>
      </w:r>
      <w:r w:rsidRPr="002920DF">
        <w:rPr>
          <w:rFonts w:hint="cs"/>
          <w:rtl/>
        </w:rPr>
        <w:t xml:space="preserve">, ודלא כדעת </w:t>
      </w:r>
      <w:r w:rsidRPr="002920DF">
        <w:rPr>
          <w:rStyle w:val="af9"/>
          <w:rFonts w:hint="cs"/>
          <w:rtl/>
        </w:rPr>
        <w:t>הרמב"ן</w:t>
      </w:r>
      <w:r w:rsidRPr="002920DF">
        <w:rPr>
          <w:rFonts w:hint="cs"/>
          <w:rtl/>
        </w:rPr>
        <w:t xml:space="preserve"> </w:t>
      </w:r>
      <w:r w:rsidRPr="002920DF">
        <w:rPr>
          <w:rStyle w:val="af9"/>
          <w:rFonts w:hint="cs"/>
          <w:rtl/>
        </w:rPr>
        <w:t>והרשב"א</w:t>
      </w:r>
      <w:r w:rsidRPr="002920DF">
        <w:rPr>
          <w:rFonts w:hint="cs"/>
          <w:rtl/>
        </w:rPr>
        <w:t xml:space="preserve"> </w:t>
      </w:r>
      <w:r w:rsidRPr="002920DF">
        <w:rPr>
          <w:rStyle w:val="af7"/>
          <w:rFonts w:eastAsia="Guttman Hodes" w:hint="cs"/>
          <w:rtl/>
        </w:rPr>
        <w:t xml:space="preserve">(עי' אות </w:t>
      </w:r>
      <w:r w:rsidRPr="002920DF">
        <w:rPr>
          <w:rStyle w:val="af7"/>
          <w:rFonts w:eastAsia="Guttman Hodes"/>
          <w:rtl/>
        </w:rPr>
        <w:fldChar w:fldCharType="begin"/>
      </w:r>
      <w:r w:rsidRPr="002920DF">
        <w:rPr>
          <w:rStyle w:val="af7"/>
          <w:rFonts w:eastAsia="Guttman Hodes"/>
          <w:rtl/>
        </w:rPr>
        <w:instrText xml:space="preserve"> </w:instrText>
      </w:r>
      <w:r w:rsidRPr="002920DF">
        <w:rPr>
          <w:rStyle w:val="af7"/>
          <w:rFonts w:eastAsia="Guttman Hodes" w:hint="cs"/>
        </w:rPr>
        <w:instrText>REF</w:instrText>
      </w:r>
      <w:r w:rsidRPr="002920DF">
        <w:rPr>
          <w:rStyle w:val="af7"/>
          <w:rFonts w:eastAsia="Guttman Hodes" w:hint="cs"/>
          <w:rtl/>
        </w:rPr>
        <w:instrText xml:space="preserve"> _</w:instrText>
      </w:r>
      <w:r w:rsidRPr="002920DF">
        <w:rPr>
          <w:rStyle w:val="af7"/>
          <w:rFonts w:eastAsia="Guttman Hodes" w:hint="cs"/>
        </w:rPr>
        <w:instrText>Ref62760907 \r \h</w:instrText>
      </w:r>
      <w:r w:rsidRPr="002920D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2920DF">
        <w:rPr>
          <w:rStyle w:val="af7"/>
          <w:rFonts w:eastAsia="Guttman Hodes"/>
          <w:rtl/>
        </w:rPr>
      </w:r>
      <w:r w:rsidRPr="002920DF">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2920DF">
        <w:rPr>
          <w:rStyle w:val="af7"/>
          <w:rFonts w:eastAsia="Guttman Hodes"/>
          <w:rtl/>
        </w:rPr>
        <w:fldChar w:fldCharType="end"/>
      </w:r>
      <w:r w:rsidRPr="002920DF">
        <w:rPr>
          <w:rStyle w:val="af7"/>
          <w:rFonts w:eastAsia="Guttman Hodes" w:hint="cs"/>
          <w:rtl/>
        </w:rPr>
        <w:t xml:space="preserve"> </w:t>
      </w:r>
      <w:r w:rsidRPr="002920DF">
        <w:rPr>
          <w:rFonts w:hint="cs"/>
          <w:rtl/>
        </w:rPr>
        <w:t>דכתבו שבזמן ההודאה השטר לא היה מקוים</w:t>
      </w:r>
      <w:r w:rsidRPr="002920DF">
        <w:rPr>
          <w:rStyle w:val="af1"/>
          <w:rtl/>
        </w:rPr>
        <w:footnoteReference w:id="93"/>
      </w:r>
      <w:r w:rsidRPr="002920DF">
        <w:rPr>
          <w:rFonts w:hint="cs"/>
          <w:rtl/>
        </w:rPr>
        <w:t xml:space="preserve">, ועי' במה שביאר </w:t>
      </w:r>
      <w:r w:rsidRPr="002920DF">
        <w:rPr>
          <w:rStyle w:val="af9"/>
          <w:rtl/>
        </w:rPr>
        <w:t>האבהא"ז</w:t>
      </w:r>
      <w:r w:rsidRPr="002920DF">
        <w:rPr>
          <w:rtl/>
        </w:rPr>
        <w:t xml:space="preserve"> </w:t>
      </w:r>
      <w:r w:rsidRPr="00E17DAF">
        <w:rPr>
          <w:rStyle w:val="af7"/>
          <w:rFonts w:eastAsia="Guttman Hodes"/>
          <w:rtl/>
        </w:rPr>
        <w:t>(</w:t>
      </w:r>
      <w:r w:rsidRPr="00E17DAF">
        <w:rPr>
          <w:rStyle w:val="af7"/>
          <w:rFonts w:eastAsia="Guttman Hodes" w:hint="cs"/>
          <w:rtl/>
        </w:rPr>
        <w:t>עי' הערה</w:t>
      </w:r>
      <w:bookmarkStart w:id="13714" w:name="_Ref63271636"/>
      <w:r>
        <w:rPr>
          <w:rStyle w:val="af1"/>
          <w:rtl/>
        </w:rPr>
        <w:footnoteReference w:id="94"/>
      </w:r>
      <w:bookmarkEnd w:id="13714"/>
      <w:r w:rsidRPr="00E17DAF">
        <w:rPr>
          <w:rStyle w:val="af7"/>
          <w:rFonts w:eastAsia="Guttman Hodes"/>
          <w:rtl/>
        </w:rPr>
        <w:t>)</w:t>
      </w:r>
      <w:r w:rsidRPr="00E17DAF">
        <w:rPr>
          <w:rStyle w:val="af7"/>
          <w:rFonts w:eastAsia="Guttman Hodes" w:hint="cs"/>
          <w:rtl/>
        </w:rPr>
        <w:t xml:space="preserve"> </w:t>
      </w:r>
      <w:r w:rsidRPr="002920DF">
        <w:rPr>
          <w:rFonts w:hint="cs"/>
          <w:rtl/>
        </w:rPr>
        <w:t xml:space="preserve">בפלוגתת </w:t>
      </w:r>
      <w:r w:rsidRPr="002920DF">
        <w:rPr>
          <w:rStyle w:val="af9"/>
          <w:rFonts w:hint="cs"/>
          <w:rtl/>
        </w:rPr>
        <w:t>הרמב"ן והרמב"ם</w:t>
      </w:r>
      <w:r w:rsidRPr="002920DF">
        <w:rPr>
          <w:rFonts w:hint="cs"/>
          <w:rtl/>
        </w:rPr>
        <w:t xml:space="preserve"> לדעת </w:t>
      </w:r>
      <w:r w:rsidRPr="002920DF">
        <w:rPr>
          <w:rStyle w:val="af9"/>
          <w:rtl/>
        </w:rPr>
        <w:t>המ"מ</w:t>
      </w:r>
      <w:r w:rsidRPr="002920DF">
        <w:rPr>
          <w:rFonts w:hint="cs"/>
          <w:rtl/>
        </w:rPr>
        <w:t>.</w:t>
      </w:r>
      <w:bookmarkEnd w:id="13713"/>
    </w:p>
    <w:p w:rsidR="003B7617" w:rsidRDefault="003B7617" w:rsidP="003B7617">
      <w:pPr>
        <w:pStyle w:val="afe"/>
        <w:rPr>
          <w:rtl/>
        </w:rPr>
      </w:pPr>
      <w:bookmarkStart w:id="13715" w:name="_Toc63111449"/>
      <w:bookmarkStart w:id="13716" w:name="_Toc63163497"/>
      <w:bookmarkStart w:id="13717" w:name="_Toc63188744"/>
      <w:bookmarkStart w:id="13718" w:name="_Toc63247703"/>
      <w:r>
        <w:rPr>
          <w:rFonts w:hint="cs"/>
          <w:rtl/>
        </w:rPr>
        <w:t>בי' הרשב"ם בד' רב יוסף דהשטר חספא</w:t>
      </w:r>
      <w:bookmarkEnd w:id="13685"/>
      <w:bookmarkEnd w:id="13686"/>
      <w:bookmarkEnd w:id="13715"/>
      <w:bookmarkEnd w:id="13716"/>
      <w:bookmarkEnd w:id="13717"/>
      <w:bookmarkEnd w:id="13718"/>
    </w:p>
    <w:p w:rsidR="003B7617" w:rsidRDefault="003B7617" w:rsidP="003B7617">
      <w:pPr>
        <w:pStyle w:val="1"/>
        <w:rPr>
          <w:rtl/>
        </w:rPr>
      </w:pPr>
      <w:bookmarkStart w:id="13719" w:name="_Toc62644214"/>
      <w:bookmarkStart w:id="13720" w:name="_Toc62819898"/>
      <w:bookmarkStart w:id="13721" w:name="_Toc63111450"/>
      <w:bookmarkStart w:id="13722" w:name="_Toc63163498"/>
      <w:bookmarkStart w:id="13723" w:name="_Toc63188745"/>
      <w:bookmarkStart w:id="13724" w:name="_Toc63247704"/>
      <w:r>
        <w:rPr>
          <w:rFonts w:hint="cs"/>
          <w:rtl/>
        </w:rPr>
        <w:t>דברי הרשב"ם</w:t>
      </w:r>
      <w:bookmarkEnd w:id="13719"/>
      <w:bookmarkEnd w:id="13720"/>
      <w:bookmarkEnd w:id="13721"/>
      <w:r>
        <w:rPr>
          <w:rFonts w:hint="cs"/>
          <w:rtl/>
        </w:rPr>
        <w:t xml:space="preserve"> דלרב יוסף לא מהני מיגו דאין ב' הטענות אמת</w:t>
      </w:r>
      <w:bookmarkEnd w:id="13722"/>
      <w:bookmarkEnd w:id="13723"/>
      <w:bookmarkEnd w:id="13724"/>
    </w:p>
    <w:p w:rsidR="003B7617" w:rsidRDefault="003B7617" w:rsidP="003B7617">
      <w:pPr>
        <w:pStyle w:val="a3"/>
        <w:rPr>
          <w:rtl/>
        </w:rPr>
      </w:pPr>
      <w:bookmarkStart w:id="13725" w:name="_Toc63111451"/>
      <w:bookmarkStart w:id="13726" w:name="_Toc63163499"/>
      <w:bookmarkStart w:id="13727" w:name="_Toc63188746"/>
      <w:bookmarkStart w:id="13728" w:name="_Toc63247705"/>
      <w:r>
        <w:rPr>
          <w:rFonts w:hint="cs"/>
          <w:rtl/>
        </w:rPr>
        <w:t>דברי הרשב"ם דאין לו מיגו דאין ב' הטענות יכולות להיות אמת והוא כמיגו במקום עדים</w:t>
      </w:r>
      <w:bookmarkEnd w:id="13725"/>
      <w:bookmarkEnd w:id="13726"/>
      <w:bookmarkEnd w:id="13727"/>
      <w:bookmarkEnd w:id="13728"/>
    </w:p>
    <w:p w:rsidR="003B7617" w:rsidRDefault="003B7617" w:rsidP="007E4E81">
      <w:pPr>
        <w:pStyle w:val="a0"/>
        <w:rPr>
          <w:rStyle w:val="afb"/>
          <w:rtl/>
        </w:rPr>
      </w:pPr>
      <w:bookmarkStart w:id="13729" w:name="_Ref62588040"/>
      <w:bookmarkStart w:id="13730" w:name="_Ref63111068"/>
      <w:r>
        <w:rPr>
          <w:rFonts w:hint="cs"/>
          <w:rtl/>
        </w:rPr>
        <w:t xml:space="preserve">בהא דהקשה רב יוסף על רבה </w:t>
      </w:r>
      <w:r>
        <w:rPr>
          <w:rtl/>
        </w:rPr>
        <w:t>אמאי קא סמכת אהאי שטרא</w:t>
      </w:r>
      <w:r>
        <w:rPr>
          <w:rFonts w:hint="cs"/>
          <w:rtl/>
        </w:rPr>
        <w:t xml:space="preserve">, ביאר </w:t>
      </w:r>
      <w:r w:rsidRPr="00831A01">
        <w:rPr>
          <w:rStyle w:val="af9"/>
          <w:rFonts w:hint="cs"/>
          <w:rtl/>
        </w:rPr>
        <w:t>הרשב"ם</w:t>
      </w:r>
      <w:r>
        <w:rPr>
          <w:rFonts w:hint="cs"/>
          <w:rtl/>
        </w:rPr>
        <w:t xml:space="preserve"> </w:t>
      </w:r>
      <w:r w:rsidRPr="007109D9">
        <w:rPr>
          <w:rStyle w:val="af7"/>
          <w:rFonts w:eastAsia="Guttman Hodes" w:hint="cs"/>
          <w:rtl/>
        </w:rPr>
        <w:t>(ד"ה אמאי)</w:t>
      </w:r>
      <w:r>
        <w:rPr>
          <w:rFonts w:hint="cs"/>
          <w:rtl/>
        </w:rPr>
        <w:t xml:space="preserve"> דכיון שאין למחזיק חזקת ג"ש, והשטר הוא חספא בעלמא, כיון שהודה שהוא מזויף, וכתב </w:t>
      </w:r>
      <w:r w:rsidRPr="00831A01">
        <w:rPr>
          <w:rStyle w:val="af9"/>
          <w:rFonts w:hint="cs"/>
          <w:rtl/>
        </w:rPr>
        <w:t>הרשב"ם</w:t>
      </w:r>
      <w:r>
        <w:rPr>
          <w:rFonts w:hint="cs"/>
          <w:rtl/>
        </w:rPr>
        <w:t xml:space="preserve"> דהמיגו בסוגיין לא דמי לכל דין מיגו, כיון דבכל דין מיגו גם הטענה שטוען עכשיו וגם הטענה שהיה יכול לטעון, ב' הטענות יכולות להיות אמת, אבל בסוגיין הוא מיגו במקום עדים, כיון שכל הכח שיש לו בקרקע הוא מחמת השטר, וא"א להאמין לו במיגו לשטר, דהא הוא מודה שהשטר פסול, והודאת בע"ד כמאה עדים דמי, וכמו שאם באו עדים שהשטר פסול דלא היה נאמן במיגו, ה"ה כשהוא מודה שהשטר פסול, דאינו נאמן במיגו,</w:t>
      </w:r>
      <w:r w:rsidRPr="009F592A">
        <w:rPr>
          <w:rFonts w:hint="cs"/>
          <w:rtl/>
        </w:rPr>
        <w:t xml:space="preserve"> </w:t>
      </w:r>
      <w:r>
        <w:rPr>
          <w:rFonts w:hint="cs"/>
          <w:rtl/>
        </w:rPr>
        <w:t xml:space="preserve">והקשה </w:t>
      </w:r>
      <w:r w:rsidRPr="00176841">
        <w:rPr>
          <w:rStyle w:val="af9"/>
          <w:rFonts w:hint="cs"/>
          <w:rtl/>
        </w:rPr>
        <w:t>הרמב"ן</w:t>
      </w:r>
      <w:r>
        <w:rPr>
          <w:rFonts w:hint="cs"/>
          <w:rtl/>
        </w:rPr>
        <w:t xml:space="preserve"> </w:t>
      </w:r>
      <w:r w:rsidRPr="00176841">
        <w:rPr>
          <w:rStyle w:val="af7"/>
          <w:rFonts w:eastAsia="Guttman Hodes" w:hint="cs"/>
          <w:rtl/>
        </w:rPr>
        <w:t>(ד"ה אמאי)</w:t>
      </w:r>
      <w:r>
        <w:rPr>
          <w:rFonts w:hint="cs"/>
          <w:rtl/>
        </w:rPr>
        <w:t xml:space="preserve"> דביאור </w:t>
      </w:r>
      <w:r w:rsidRPr="00176841">
        <w:rPr>
          <w:rStyle w:val="af9"/>
          <w:rFonts w:hint="cs"/>
          <w:rtl/>
        </w:rPr>
        <w:t>הרשב"ם</w:t>
      </w:r>
      <w:r>
        <w:rPr>
          <w:rFonts w:hint="cs"/>
          <w:rtl/>
        </w:rPr>
        <w:t xml:space="preserve"> אינו מובן.</w:t>
      </w:r>
      <w:r w:rsidRPr="009161AE">
        <w:rPr>
          <w:rFonts w:hint="cs"/>
          <w:rtl/>
        </w:rPr>
        <w:t xml:space="preserve"> </w:t>
      </w:r>
      <w:r w:rsidRPr="00B157A1">
        <w:rPr>
          <w:rStyle w:val="afb"/>
          <w:rFonts w:hint="cs"/>
          <w:rtl/>
        </w:rPr>
        <w:t xml:space="preserve">[ועי' במה שביאר </w:t>
      </w:r>
      <w:r w:rsidRPr="00B157A1">
        <w:rPr>
          <w:rStyle w:val="affa"/>
          <w:rFonts w:hint="cs"/>
          <w:rtl/>
        </w:rPr>
        <w:t>בשיעורי מקדש דוד ב"ב</w:t>
      </w:r>
      <w:r w:rsidRPr="00B157A1">
        <w:rPr>
          <w:rStyle w:val="afb"/>
          <w:rFonts w:hint="cs"/>
          <w:rtl/>
        </w:rPr>
        <w:t xml:space="preserve"> </w:t>
      </w:r>
      <w:r w:rsidRPr="00B157A1">
        <w:rPr>
          <w:rStyle w:val="aff6"/>
          <w:rFonts w:hint="cs"/>
          <w:rtl/>
        </w:rPr>
        <w:t>(סי' י"ז או' ב')</w:t>
      </w:r>
      <w:r w:rsidRPr="00B157A1">
        <w:rPr>
          <w:rStyle w:val="afb"/>
          <w:rFonts w:hint="cs"/>
          <w:rtl/>
        </w:rPr>
        <w:t xml:space="preserve"> בדברי </w:t>
      </w:r>
      <w:r w:rsidRPr="00B157A1">
        <w:rPr>
          <w:rStyle w:val="affa"/>
          <w:rFonts w:hint="cs"/>
          <w:rtl/>
        </w:rPr>
        <w:t>הרשב"ם</w:t>
      </w:r>
      <w:bookmarkEnd w:id="13729"/>
      <w:r>
        <w:rPr>
          <w:rStyle w:val="afb"/>
          <w:rFonts w:hint="cs"/>
          <w:rtl/>
        </w:rPr>
        <w:t xml:space="preserve"> דכוונתו למיגו למפרע, </w:t>
      </w:r>
      <w:r w:rsidRPr="00B157A1">
        <w:rPr>
          <w:rStyle w:val="afb"/>
          <w:rFonts w:hint="cs"/>
          <w:rtl/>
        </w:rPr>
        <w:t>וע</w:t>
      </w:r>
      <w:r w:rsidRPr="009161AE">
        <w:rPr>
          <w:rStyle w:val="afb"/>
          <w:rFonts w:hint="cs"/>
          <w:rtl/>
        </w:rPr>
        <w:t xml:space="preserve">"ע במ"ש </w:t>
      </w:r>
      <w:r w:rsidRPr="009161AE">
        <w:rPr>
          <w:rStyle w:val="affa"/>
          <w:rFonts w:hint="cs"/>
          <w:rtl/>
        </w:rPr>
        <w:t>הקצוה"ח</w:t>
      </w:r>
      <w:r w:rsidRPr="009161AE">
        <w:rPr>
          <w:rStyle w:val="afb"/>
          <w:rFonts w:hint="cs"/>
          <w:rtl/>
        </w:rPr>
        <w:t xml:space="preserve"> </w:t>
      </w:r>
      <w:r w:rsidRPr="009161AE">
        <w:rPr>
          <w:rStyle w:val="aff6"/>
          <w:rFonts w:hint="cs"/>
          <w:rtl/>
        </w:rPr>
        <w:t>(סי' ל"ב</w:t>
      </w:r>
      <w:r w:rsidRPr="009161AE">
        <w:rPr>
          <w:rStyle w:val="afb"/>
          <w:rFonts w:hint="cs"/>
          <w:rtl/>
        </w:rPr>
        <w:t xml:space="preserve"> </w:t>
      </w:r>
      <w:r w:rsidRPr="009161AE">
        <w:rPr>
          <w:rStyle w:val="aff6"/>
          <w:rFonts w:hint="cs"/>
          <w:rtl/>
        </w:rPr>
        <w:t>סק"ב)</w:t>
      </w:r>
      <w:r w:rsidRPr="009161AE">
        <w:rPr>
          <w:rStyle w:val="afb"/>
          <w:rFonts w:hint="cs"/>
          <w:rtl/>
        </w:rPr>
        <w:t xml:space="preserve"> דכדברי </w:t>
      </w:r>
      <w:r w:rsidRPr="009161AE">
        <w:rPr>
          <w:rStyle w:val="affa"/>
          <w:rFonts w:hint="cs"/>
          <w:rtl/>
        </w:rPr>
        <w:t>הרשב"ם</w:t>
      </w:r>
      <w:r w:rsidRPr="009161AE">
        <w:rPr>
          <w:rStyle w:val="afb"/>
          <w:rFonts w:hint="cs"/>
          <w:rtl/>
        </w:rPr>
        <w:t xml:space="preserve"> כן מבואר </w:t>
      </w:r>
      <w:r w:rsidRPr="009161AE">
        <w:rPr>
          <w:rStyle w:val="affa"/>
          <w:rFonts w:hint="cs"/>
          <w:rtl/>
        </w:rPr>
        <w:t>ביש"ש בב"ק</w:t>
      </w:r>
      <w:r w:rsidRPr="009161AE">
        <w:rPr>
          <w:rStyle w:val="afb"/>
          <w:rtl/>
        </w:rPr>
        <w:t xml:space="preserve"> </w:t>
      </w:r>
      <w:r w:rsidRPr="009161AE">
        <w:rPr>
          <w:rStyle w:val="aff6"/>
          <w:rFonts w:hint="cs"/>
          <w:rtl/>
        </w:rPr>
        <w:t xml:space="preserve">(פ"ד סי' </w:t>
      </w:r>
      <w:r w:rsidRPr="009161AE">
        <w:rPr>
          <w:rStyle w:val="aff6"/>
          <w:rtl/>
        </w:rPr>
        <w:t>י</w:t>
      </w:r>
      <w:r w:rsidRPr="009161AE">
        <w:rPr>
          <w:rStyle w:val="aff6"/>
          <w:rFonts w:hint="cs"/>
          <w:rtl/>
        </w:rPr>
        <w:t>"</w:t>
      </w:r>
      <w:r w:rsidRPr="009161AE">
        <w:rPr>
          <w:rStyle w:val="aff6"/>
          <w:rtl/>
        </w:rPr>
        <w:t>ח</w:t>
      </w:r>
      <w:r w:rsidRPr="009161AE">
        <w:rPr>
          <w:rStyle w:val="aff6"/>
          <w:rFonts w:hint="cs"/>
          <w:rtl/>
        </w:rPr>
        <w:t xml:space="preserve"> ד"ה לכן נראה)</w:t>
      </w:r>
      <w:r w:rsidRPr="009161AE">
        <w:rPr>
          <w:rStyle w:val="afb"/>
          <w:rFonts w:hint="cs"/>
          <w:rtl/>
        </w:rPr>
        <w:t>].</w:t>
      </w:r>
      <w:bookmarkEnd w:id="13730"/>
    </w:p>
    <w:p w:rsidR="003B7617" w:rsidRDefault="003B7617" w:rsidP="003B7617">
      <w:pPr>
        <w:pStyle w:val="a3"/>
        <w:rPr>
          <w:rtl/>
        </w:rPr>
      </w:pPr>
      <w:bookmarkStart w:id="13731" w:name="_Toc63111454"/>
      <w:bookmarkStart w:id="13732" w:name="_Toc63163502"/>
      <w:bookmarkStart w:id="13733" w:name="_Toc63188747"/>
      <w:bookmarkStart w:id="13734" w:name="_Toc63247706"/>
      <w:bookmarkStart w:id="13735" w:name="_Toc63111452"/>
      <w:bookmarkStart w:id="13736" w:name="_Toc63163500"/>
      <w:r>
        <w:rPr>
          <w:rFonts w:hint="cs"/>
          <w:rtl/>
        </w:rPr>
        <w:t xml:space="preserve">דברי המאירי דלבי' ר"ח דאיירי בשטר אמנה א"א לומר </w:t>
      </w:r>
      <w:bookmarkEnd w:id="13731"/>
      <w:bookmarkEnd w:id="13732"/>
      <w:r>
        <w:rPr>
          <w:rFonts w:hint="cs"/>
          <w:rtl/>
        </w:rPr>
        <w:t>דאין טענתו אמת דהשטר ניתן ליכתב</w:t>
      </w:r>
      <w:bookmarkEnd w:id="13733"/>
      <w:bookmarkEnd w:id="13734"/>
    </w:p>
    <w:p w:rsidR="003B7617" w:rsidRDefault="003B7617" w:rsidP="007E4E81">
      <w:pPr>
        <w:pStyle w:val="a0"/>
        <w:rPr>
          <w:rStyle w:val="afb"/>
          <w:rtl/>
        </w:rPr>
      </w:pPr>
      <w:r>
        <w:rPr>
          <w:rFonts w:hint="cs"/>
          <w:rtl/>
        </w:rPr>
        <w:t xml:space="preserve">אבל </w:t>
      </w:r>
      <w:r w:rsidRPr="006B41C0">
        <w:rPr>
          <w:rStyle w:val="af9"/>
          <w:rFonts w:hint="cs"/>
          <w:rtl/>
        </w:rPr>
        <w:t>המאירי</w:t>
      </w:r>
      <w:r>
        <w:rPr>
          <w:rFonts w:hint="cs"/>
          <w:rtl/>
        </w:rPr>
        <w:t xml:space="preserve"> </w:t>
      </w:r>
      <w:r w:rsidRPr="00F4777F">
        <w:rPr>
          <w:rStyle w:val="af7"/>
          <w:rFonts w:eastAsia="Guttman Hodes" w:hint="cs"/>
          <w:rtl/>
        </w:rPr>
        <w:t>(ד"ה הרי)</w:t>
      </w:r>
      <w:r>
        <w:rPr>
          <w:rFonts w:hint="cs"/>
          <w:rtl/>
        </w:rPr>
        <w:t xml:space="preserve"> כתב דאיירי שהודה המחזיק שהוא אמנה, </w:t>
      </w:r>
      <w:r w:rsidRPr="00F76197">
        <w:rPr>
          <w:rStyle w:val="afb"/>
          <w:rFonts w:hint="cs"/>
          <w:rtl/>
        </w:rPr>
        <w:t xml:space="preserve">[כדעת </w:t>
      </w:r>
      <w:r w:rsidRPr="00F76197">
        <w:rPr>
          <w:rStyle w:val="affa"/>
          <w:rFonts w:hint="cs"/>
          <w:rtl/>
        </w:rPr>
        <w:t>ר"ח</w:t>
      </w:r>
      <w:r w:rsidRPr="00F76197">
        <w:rPr>
          <w:rStyle w:val="afb"/>
          <w:rFonts w:hint="cs"/>
          <w:rtl/>
        </w:rPr>
        <w:t xml:space="preserve"> </w:t>
      </w:r>
      <w:r w:rsidRPr="00F76197">
        <w:rPr>
          <w:rStyle w:val="affa"/>
          <w:rFonts w:hint="cs"/>
          <w:rtl/>
        </w:rPr>
        <w:t>והרי"ף</w:t>
      </w:r>
      <w:r w:rsidRPr="00F76197">
        <w:rPr>
          <w:rStyle w:val="afb"/>
          <w:rFonts w:hint="cs"/>
          <w:rtl/>
        </w:rPr>
        <w:t xml:space="preserve"> </w:t>
      </w:r>
      <w:r w:rsidRPr="004E3CA4">
        <w:rPr>
          <w:rStyle w:val="aff6"/>
          <w:rFonts w:hint="cs"/>
          <w:rtl/>
        </w:rPr>
        <w:t xml:space="preserve">(עי' אות </w:t>
      </w:r>
      <w:r w:rsidRPr="004E3CA4">
        <w:rPr>
          <w:rStyle w:val="aff6"/>
          <w:rtl/>
        </w:rPr>
        <w:fldChar w:fldCharType="begin"/>
      </w:r>
      <w:r w:rsidRPr="004E3CA4">
        <w:rPr>
          <w:rStyle w:val="aff6"/>
          <w:rtl/>
        </w:rPr>
        <w:instrText xml:space="preserve"> </w:instrText>
      </w:r>
      <w:r w:rsidRPr="004E3CA4">
        <w:rPr>
          <w:rStyle w:val="aff6"/>
          <w:rFonts w:hint="cs"/>
        </w:rPr>
        <w:instrText>REF</w:instrText>
      </w:r>
      <w:r w:rsidRPr="004E3CA4">
        <w:rPr>
          <w:rStyle w:val="aff6"/>
          <w:rFonts w:hint="cs"/>
          <w:rtl/>
        </w:rPr>
        <w:instrText xml:space="preserve"> _</w:instrText>
      </w:r>
      <w:r w:rsidRPr="004E3CA4">
        <w:rPr>
          <w:rStyle w:val="aff6"/>
          <w:rFonts w:hint="cs"/>
        </w:rPr>
        <w:instrText>Ref62553819 \r \h</w:instrText>
      </w:r>
      <w:r w:rsidRPr="004E3CA4">
        <w:rPr>
          <w:rStyle w:val="aff6"/>
          <w:rtl/>
        </w:rPr>
        <w:instrText xml:space="preserve"> </w:instrText>
      </w:r>
      <w:r w:rsidRPr="004E3CA4">
        <w:rPr>
          <w:rStyle w:val="aff6"/>
          <w:rtl/>
        </w:rPr>
      </w:r>
      <w:r w:rsidRPr="004E3CA4">
        <w:rPr>
          <w:rStyle w:val="aff6"/>
          <w:rtl/>
        </w:rPr>
        <w:fldChar w:fldCharType="separate"/>
      </w:r>
      <w:r w:rsidR="00265073">
        <w:rPr>
          <w:rStyle w:val="aff6"/>
          <w:cs/>
        </w:rPr>
        <w:t>‎</w:t>
      </w:r>
      <w:r w:rsidR="00265073">
        <w:rPr>
          <w:rStyle w:val="aff6"/>
          <w:rtl/>
        </w:rPr>
        <w:t>ג)</w:t>
      </w:r>
      <w:r w:rsidRPr="004E3CA4">
        <w:rPr>
          <w:rStyle w:val="aff6"/>
          <w:rtl/>
        </w:rPr>
        <w:fldChar w:fldCharType="end"/>
      </w:r>
      <w:r w:rsidRPr="00F76197">
        <w:rPr>
          <w:rStyle w:val="afb"/>
          <w:rFonts w:hint="cs"/>
          <w:rtl/>
        </w:rPr>
        <w:t>],</w:t>
      </w:r>
      <w:r>
        <w:rPr>
          <w:rFonts w:hint="cs"/>
          <w:rtl/>
        </w:rPr>
        <w:t xml:space="preserve"> ולכן אעפ"י שלא דמי לכל מיגו, דהא בכל מיגו יתכן שהוא טוען טענה אמיתית, וע"י המיגו הוא נאמן לטעון כן, אבל הכא שכבר הודה שזייף</w:t>
      </w:r>
      <w:r w:rsidRPr="00874907">
        <w:rPr>
          <w:rStyle w:val="afb"/>
          <w:rFonts w:hint="cs"/>
          <w:rtl/>
        </w:rPr>
        <w:t xml:space="preserve">, [דהיינו שטען שקר כשאמר והא שטרא, והוא שטר אמנה], </w:t>
      </w:r>
      <w:r>
        <w:rPr>
          <w:rFonts w:hint="cs"/>
          <w:rtl/>
        </w:rPr>
        <w:t>וא"כ הוא כמיגו במקום עדים, מ"מ כיון שהשטר הוא אמנה וניתן ליכתב בתחילה</w:t>
      </w:r>
      <w:r w:rsidRPr="00874907">
        <w:rPr>
          <w:rStyle w:val="afb"/>
          <w:rFonts w:hint="cs"/>
          <w:rtl/>
        </w:rPr>
        <w:t>, [דהיינו שלא זייף את השטר בשקר],</w:t>
      </w:r>
      <w:r>
        <w:rPr>
          <w:rFonts w:hint="cs"/>
          <w:rtl/>
        </w:rPr>
        <w:t xml:space="preserve"> לכן אמרינן מיגו, ומעמידים את הקרקע בידו. </w:t>
      </w:r>
      <w:r w:rsidRPr="00F60B8C">
        <w:rPr>
          <w:rStyle w:val="afb"/>
          <w:rFonts w:hint="cs"/>
          <w:rtl/>
        </w:rPr>
        <w:t xml:space="preserve">[והיינו דלדעת </w:t>
      </w:r>
      <w:r w:rsidRPr="00F76197">
        <w:rPr>
          <w:rStyle w:val="affa"/>
          <w:rFonts w:hint="cs"/>
          <w:rtl/>
        </w:rPr>
        <w:t>ר"ח והרי"ף</w:t>
      </w:r>
      <w:r w:rsidRPr="00F60B8C">
        <w:rPr>
          <w:rStyle w:val="afb"/>
          <w:rFonts w:hint="cs"/>
          <w:rtl/>
        </w:rPr>
        <w:t xml:space="preserve"> א"א לומר </w:t>
      </w:r>
      <w:r>
        <w:rPr>
          <w:rStyle w:val="affa"/>
          <w:rFonts w:hint="cs"/>
          <w:rtl/>
        </w:rPr>
        <w:t>כ</w:t>
      </w:r>
      <w:r w:rsidRPr="00F76197">
        <w:rPr>
          <w:rStyle w:val="affa"/>
          <w:rFonts w:hint="cs"/>
          <w:rtl/>
        </w:rPr>
        <w:t>הרשב"ם</w:t>
      </w:r>
      <w:r w:rsidRPr="00F60B8C">
        <w:rPr>
          <w:rStyle w:val="afb"/>
          <w:rFonts w:hint="cs"/>
          <w:rtl/>
        </w:rPr>
        <w:t xml:space="preserve"> </w:t>
      </w:r>
      <w:r w:rsidRPr="004E3CA4">
        <w:rPr>
          <w:rStyle w:val="aff6"/>
          <w:rFonts w:hint="cs"/>
          <w:rtl/>
        </w:rPr>
        <w:t xml:space="preserve">(עי' אות </w:t>
      </w:r>
      <w:r w:rsidRPr="004E3CA4">
        <w:rPr>
          <w:rStyle w:val="aff6"/>
          <w:rtl/>
        </w:rPr>
        <w:fldChar w:fldCharType="begin"/>
      </w:r>
      <w:r w:rsidRPr="004E3CA4">
        <w:rPr>
          <w:rStyle w:val="aff6"/>
          <w:rtl/>
        </w:rPr>
        <w:instrText xml:space="preserve"> </w:instrText>
      </w:r>
      <w:r w:rsidRPr="004E3CA4">
        <w:rPr>
          <w:rStyle w:val="aff6"/>
          <w:rFonts w:hint="cs"/>
        </w:rPr>
        <w:instrText>REF</w:instrText>
      </w:r>
      <w:r w:rsidRPr="004E3CA4">
        <w:rPr>
          <w:rStyle w:val="aff6"/>
          <w:rFonts w:hint="cs"/>
          <w:rtl/>
        </w:rPr>
        <w:instrText xml:space="preserve"> _</w:instrText>
      </w:r>
      <w:r w:rsidRPr="004E3CA4">
        <w:rPr>
          <w:rStyle w:val="aff6"/>
          <w:rFonts w:hint="cs"/>
        </w:rPr>
        <w:instrText>Ref63111068 \r \h</w:instrText>
      </w:r>
      <w:r w:rsidRPr="004E3CA4">
        <w:rPr>
          <w:rStyle w:val="aff6"/>
          <w:rtl/>
        </w:rPr>
        <w:instrText xml:space="preserve"> </w:instrText>
      </w:r>
      <w:r w:rsidRPr="004E3CA4">
        <w:rPr>
          <w:rStyle w:val="aff6"/>
          <w:rtl/>
        </w:rPr>
      </w:r>
      <w:r w:rsidRPr="004E3CA4">
        <w:rPr>
          <w:rStyle w:val="aff6"/>
          <w:rtl/>
        </w:rPr>
        <w:fldChar w:fldCharType="separate"/>
      </w:r>
      <w:r w:rsidR="00265073">
        <w:rPr>
          <w:rStyle w:val="aff6"/>
          <w:cs/>
        </w:rPr>
        <w:t>‎</w:t>
      </w:r>
      <w:r w:rsidR="00265073">
        <w:rPr>
          <w:rStyle w:val="aff6"/>
          <w:rtl/>
        </w:rPr>
        <w:t>כט)</w:t>
      </w:r>
      <w:r w:rsidRPr="004E3CA4">
        <w:rPr>
          <w:rStyle w:val="aff6"/>
          <w:rtl/>
        </w:rPr>
        <w:fldChar w:fldCharType="end"/>
      </w:r>
      <w:r w:rsidRPr="00F60B8C">
        <w:rPr>
          <w:rStyle w:val="afb"/>
          <w:rFonts w:hint="cs"/>
          <w:rtl/>
        </w:rPr>
        <w:t xml:space="preserve"> דהוא כמיגו במקום עדים].</w:t>
      </w:r>
    </w:p>
    <w:p w:rsidR="003B7617" w:rsidRDefault="003B7617" w:rsidP="003B7617">
      <w:pPr>
        <w:pStyle w:val="1"/>
        <w:rPr>
          <w:rtl/>
        </w:rPr>
      </w:pPr>
      <w:bookmarkStart w:id="13737" w:name="_Toc63188748"/>
      <w:bookmarkStart w:id="13738" w:name="_Toc63247707"/>
      <w:r>
        <w:rPr>
          <w:rFonts w:hint="cs"/>
          <w:rtl/>
        </w:rPr>
        <w:t>בי' הרא"ש ברשב"ם</w:t>
      </w:r>
      <w:bookmarkEnd w:id="13735"/>
      <w:bookmarkEnd w:id="13736"/>
      <w:r>
        <w:rPr>
          <w:rFonts w:hint="cs"/>
          <w:rtl/>
        </w:rPr>
        <w:t xml:space="preserve"> דמינך זבינתה היא טענה אחת עם השטר</w:t>
      </w:r>
      <w:bookmarkEnd w:id="13737"/>
      <w:bookmarkEnd w:id="13738"/>
    </w:p>
    <w:p w:rsidR="003B7617" w:rsidRDefault="003B7617" w:rsidP="003B7617">
      <w:pPr>
        <w:pStyle w:val="a3"/>
        <w:rPr>
          <w:rtl/>
        </w:rPr>
      </w:pPr>
      <w:bookmarkStart w:id="13739" w:name="_Toc63188749"/>
      <w:bookmarkStart w:id="13740" w:name="_Toc63247708"/>
      <w:r>
        <w:rPr>
          <w:rFonts w:hint="cs"/>
          <w:rtl/>
        </w:rPr>
        <w:t>ביאור הרא"ש ברשב"ם דמינך זבינתה והא שטרא הם טענה אחת שבטלה ודמי למיגו במק"ע</w:t>
      </w:r>
      <w:bookmarkEnd w:id="13739"/>
      <w:bookmarkEnd w:id="13740"/>
    </w:p>
    <w:p w:rsidR="003B7617" w:rsidRDefault="003B7617" w:rsidP="007E4E81">
      <w:pPr>
        <w:pStyle w:val="a0"/>
        <w:rPr>
          <w:sz w:val="10"/>
          <w:szCs w:val="14"/>
          <w:rtl/>
        </w:rPr>
      </w:pPr>
      <w:bookmarkStart w:id="13741" w:name="_Ref62760413"/>
      <w:bookmarkStart w:id="13742" w:name="_Ref63180245"/>
      <w:r>
        <w:rPr>
          <w:rFonts w:hint="cs"/>
          <w:rtl/>
        </w:rPr>
        <w:t xml:space="preserve">וביאר </w:t>
      </w:r>
      <w:r>
        <w:rPr>
          <w:rStyle w:val="af9"/>
          <w:rFonts w:hint="cs"/>
          <w:rtl/>
        </w:rPr>
        <w:t>הרא"ש</w:t>
      </w:r>
      <w:r>
        <w:rPr>
          <w:rFonts w:hint="cs"/>
          <w:rtl/>
        </w:rPr>
        <w:t xml:space="preserve"> </w:t>
      </w:r>
      <w:r w:rsidRPr="00A70124">
        <w:rPr>
          <w:rStyle w:val="af7"/>
          <w:rFonts w:eastAsia="Guttman Hodes" w:hint="cs"/>
          <w:rtl/>
        </w:rPr>
        <w:t>(סי' י"ב</w:t>
      </w:r>
      <w:r>
        <w:rPr>
          <w:rStyle w:val="af7"/>
          <w:rFonts w:eastAsia="Guttman Hodes" w:hint="cs"/>
          <w:rtl/>
        </w:rPr>
        <w:t xml:space="preserve"> ד"ה גחין</w:t>
      </w:r>
      <w:r w:rsidRPr="00A70124">
        <w:rPr>
          <w:rStyle w:val="af7"/>
          <w:rFonts w:eastAsia="Guttman Hodes" w:hint="cs"/>
          <w:rtl/>
        </w:rPr>
        <w:t>)</w:t>
      </w:r>
      <w:r>
        <w:rPr>
          <w:rFonts w:hint="cs"/>
          <w:rtl/>
        </w:rPr>
        <w:t xml:space="preserve"> דס"ל </w:t>
      </w:r>
      <w:r w:rsidRPr="00831A01">
        <w:rPr>
          <w:rStyle w:val="af9"/>
          <w:rFonts w:hint="cs"/>
          <w:rtl/>
        </w:rPr>
        <w:t>להרשב"ם</w:t>
      </w:r>
      <w:r>
        <w:rPr>
          <w:rFonts w:hint="cs"/>
          <w:rtl/>
        </w:rPr>
        <w:t xml:space="preserve"> </w:t>
      </w:r>
      <w:r>
        <w:rPr>
          <w:rStyle w:val="af7"/>
          <w:rFonts w:eastAsia="Guttman Hodes" w:hint="cs"/>
          <w:rtl/>
        </w:rPr>
        <w:t xml:space="preserve">(עי' </w:t>
      </w:r>
      <w:r w:rsidRPr="00AD1E84">
        <w:rPr>
          <w:rStyle w:val="af7"/>
          <w:rFonts w:eastAsia="Guttman Hodes" w:hint="cs"/>
          <w:rtl/>
        </w:rPr>
        <w:t xml:space="preserve">אות </w:t>
      </w:r>
      <w:r w:rsidRPr="00AD1E84">
        <w:rPr>
          <w:rStyle w:val="af7"/>
          <w:rFonts w:eastAsia="Guttman Hodes"/>
          <w:rtl/>
        </w:rPr>
        <w:fldChar w:fldCharType="begin"/>
      </w:r>
      <w:r w:rsidRPr="00AD1E84">
        <w:rPr>
          <w:rStyle w:val="af7"/>
          <w:rFonts w:eastAsia="Guttman Hodes"/>
          <w:rtl/>
        </w:rPr>
        <w:instrText xml:space="preserve"> </w:instrText>
      </w:r>
      <w:r w:rsidRPr="00AD1E84">
        <w:rPr>
          <w:rStyle w:val="af7"/>
          <w:rFonts w:eastAsia="Guttman Hodes" w:hint="cs"/>
        </w:rPr>
        <w:instrText>REF</w:instrText>
      </w:r>
      <w:r w:rsidRPr="00AD1E84">
        <w:rPr>
          <w:rStyle w:val="af7"/>
          <w:rFonts w:eastAsia="Guttman Hodes" w:hint="cs"/>
          <w:rtl/>
        </w:rPr>
        <w:instrText xml:space="preserve"> _</w:instrText>
      </w:r>
      <w:r w:rsidRPr="00AD1E84">
        <w:rPr>
          <w:rStyle w:val="af7"/>
          <w:rFonts w:eastAsia="Guttman Hodes" w:hint="cs"/>
        </w:rPr>
        <w:instrText>Ref63111068 \r \h</w:instrText>
      </w:r>
      <w:r w:rsidRPr="00AD1E84">
        <w:rPr>
          <w:rStyle w:val="af7"/>
          <w:rFonts w:eastAsia="Guttman Hodes"/>
          <w:rtl/>
        </w:rPr>
        <w:instrText xml:space="preserve"> </w:instrText>
      </w:r>
      <w:r w:rsidRPr="00AD1E84">
        <w:rPr>
          <w:rStyle w:val="af7"/>
          <w:rFonts w:eastAsia="Guttman Hodes"/>
          <w:rtl/>
        </w:rPr>
      </w:r>
      <w:r w:rsidRPr="00AD1E84">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AD1E84">
        <w:rPr>
          <w:rStyle w:val="af7"/>
          <w:rFonts w:eastAsia="Guttman Hodes"/>
          <w:rtl/>
        </w:rPr>
        <w:fldChar w:fldCharType="end"/>
      </w:r>
      <w:r>
        <w:rPr>
          <w:rFonts w:hint="cs"/>
          <w:rtl/>
        </w:rPr>
        <w:t xml:space="preserve"> דהטענה שטען בתחילה מינך זבינתה היא טענה אחת עם טענת והא שטרא, כיון שלפי טענתו הראשונה אין לו כל כח בקרקע בלי השטר, ואחר שהודה שהשטר פסול, ממילא התבטלה בהודאתו כל הטענה הראשונה</w:t>
      </w:r>
      <w:r w:rsidRPr="009132F6">
        <w:rPr>
          <w:rFonts w:hint="cs"/>
          <w:rtl/>
        </w:rPr>
        <w:t xml:space="preserve"> </w:t>
      </w:r>
      <w:r>
        <w:rPr>
          <w:rFonts w:hint="cs"/>
          <w:rtl/>
        </w:rPr>
        <w:t xml:space="preserve">שטען, וחשיב כאילו התבטלה הטענה בעדים, </w:t>
      </w:r>
      <w:r w:rsidRPr="003D0D37">
        <w:rPr>
          <w:rStyle w:val="afb"/>
          <w:rFonts w:hint="cs"/>
          <w:rtl/>
        </w:rPr>
        <w:t>[וכיון דאף טענת מינך זבינתה בטלה, ממילא אינו יכול להיות נאמן בטענת מינך זבינתה במיגו, דהא כבר בטלה טענתו]</w:t>
      </w:r>
      <w:bookmarkEnd w:id="13741"/>
      <w:r>
        <w:rPr>
          <w:rFonts w:hint="cs"/>
          <w:rtl/>
        </w:rPr>
        <w:t>,</w:t>
      </w:r>
      <w:r w:rsidRPr="00375B7C">
        <w:rPr>
          <w:rFonts w:hint="cs"/>
          <w:rtl/>
        </w:rPr>
        <w:t xml:space="preserve"> </w:t>
      </w:r>
      <w:r>
        <w:rPr>
          <w:rFonts w:hint="cs"/>
          <w:rtl/>
        </w:rPr>
        <w:t xml:space="preserve">וכתב </w:t>
      </w:r>
      <w:r w:rsidRPr="00831A01">
        <w:rPr>
          <w:rStyle w:val="af9"/>
          <w:rFonts w:hint="cs"/>
          <w:rtl/>
        </w:rPr>
        <w:t>הרא"ש</w:t>
      </w:r>
      <w:r>
        <w:rPr>
          <w:rFonts w:hint="cs"/>
          <w:rtl/>
        </w:rPr>
        <w:t xml:space="preserve"> דדמי להא דאיתא לעיל </w:t>
      </w:r>
      <w:r w:rsidRPr="007109D9">
        <w:rPr>
          <w:rStyle w:val="af7"/>
          <w:rFonts w:eastAsia="Guttman Hodes" w:hint="cs"/>
          <w:rtl/>
        </w:rPr>
        <w:t>(לא.)</w:t>
      </w:r>
      <w:r>
        <w:rPr>
          <w:rFonts w:hint="cs"/>
          <w:rtl/>
        </w:rPr>
        <w:t xml:space="preserve"> דבטוען המחזיק של אבותי, ויש למערער עדים שהייתה של אבותיו, דאין המחזיק נאמן בטענת של אבותי, במיגו דמינך זבינתה, כיון שהוא מיגו במקום עדים, ועי' במה שביארו </w:t>
      </w:r>
      <w:r>
        <w:rPr>
          <w:rStyle w:val="af9"/>
          <w:rFonts w:hint="cs"/>
          <w:rtl/>
        </w:rPr>
        <w:t>ב</w:t>
      </w:r>
      <w:r w:rsidRPr="0059129C">
        <w:rPr>
          <w:rStyle w:val="af9"/>
          <w:rFonts w:hint="cs"/>
          <w:rtl/>
        </w:rPr>
        <w:t>ברכ"ש</w:t>
      </w:r>
      <w:r>
        <w:rPr>
          <w:rStyle w:val="af9"/>
          <w:rFonts w:hint="cs"/>
          <w:rtl/>
        </w:rPr>
        <w:t xml:space="preserve"> </w:t>
      </w:r>
      <w:r w:rsidRPr="00930143">
        <w:rPr>
          <w:rStyle w:val="af7"/>
          <w:rFonts w:eastAsia="Guttman Hodes" w:hint="cs"/>
          <w:rtl/>
        </w:rPr>
        <w:t xml:space="preserve">(עי' אות </w:t>
      </w:r>
      <w:r w:rsidRPr="00930143">
        <w:rPr>
          <w:rStyle w:val="af7"/>
          <w:rFonts w:eastAsia="Guttman Hodes"/>
          <w:rtl/>
        </w:rPr>
        <w:fldChar w:fldCharType="begin"/>
      </w:r>
      <w:r w:rsidRPr="00930143">
        <w:rPr>
          <w:rStyle w:val="af7"/>
          <w:rFonts w:eastAsia="Guttman Hodes"/>
          <w:rtl/>
        </w:rPr>
        <w:instrText xml:space="preserve"> </w:instrText>
      </w:r>
      <w:r w:rsidRPr="00930143">
        <w:rPr>
          <w:rStyle w:val="af7"/>
          <w:rFonts w:eastAsia="Guttman Hodes" w:hint="cs"/>
        </w:rPr>
        <w:instrText>REF</w:instrText>
      </w:r>
      <w:r w:rsidRPr="00930143">
        <w:rPr>
          <w:rStyle w:val="af7"/>
          <w:rFonts w:eastAsia="Guttman Hodes" w:hint="cs"/>
          <w:rtl/>
        </w:rPr>
        <w:instrText xml:space="preserve"> _</w:instrText>
      </w:r>
      <w:r w:rsidRPr="00930143">
        <w:rPr>
          <w:rStyle w:val="af7"/>
          <w:rFonts w:eastAsia="Guttman Hodes" w:hint="cs"/>
        </w:rPr>
        <w:instrText>Ref62760480 \r \h</w:instrText>
      </w:r>
      <w:r w:rsidRPr="00930143">
        <w:rPr>
          <w:rStyle w:val="af7"/>
          <w:rFonts w:eastAsia="Guttman Hodes"/>
          <w:rtl/>
        </w:rPr>
        <w:instrText xml:space="preserve"> </w:instrText>
      </w:r>
      <w:r w:rsidRPr="00930143">
        <w:rPr>
          <w:rStyle w:val="af7"/>
          <w:rFonts w:eastAsia="Guttman Hodes"/>
          <w:rtl/>
        </w:rPr>
      </w:r>
      <w:r w:rsidRPr="00930143">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930143">
        <w:rPr>
          <w:rStyle w:val="af7"/>
          <w:rFonts w:eastAsia="Guttman Hodes"/>
          <w:rtl/>
        </w:rPr>
        <w:fldChar w:fldCharType="end"/>
      </w:r>
      <w:r>
        <w:rPr>
          <w:rStyle w:val="af9"/>
          <w:rFonts w:hint="cs"/>
          <w:rtl/>
        </w:rPr>
        <w:t xml:space="preserve"> ו</w:t>
      </w:r>
      <w:r w:rsidRPr="006D54DB">
        <w:rPr>
          <w:rStyle w:val="af9"/>
          <w:rFonts w:hint="cs"/>
          <w:rtl/>
        </w:rPr>
        <w:t>בחי' הגרש"ש</w:t>
      </w:r>
      <w:r>
        <w:rPr>
          <w:rStyle w:val="af9"/>
          <w:rFonts w:hint="cs"/>
          <w:rtl/>
        </w:rPr>
        <w:t xml:space="preserve"> </w:t>
      </w:r>
      <w:r w:rsidRPr="00EB6D40">
        <w:rPr>
          <w:rStyle w:val="af7"/>
          <w:rFonts w:eastAsia="Guttman Hodes" w:hint="cs"/>
          <w:rtl/>
        </w:rPr>
        <w:t xml:space="preserve">(עי' אות </w:t>
      </w:r>
      <w:r w:rsidRPr="00EB6D40">
        <w:rPr>
          <w:rStyle w:val="af7"/>
          <w:rFonts w:eastAsia="Guttman Hodes"/>
          <w:rtl/>
        </w:rPr>
        <w:fldChar w:fldCharType="begin"/>
      </w:r>
      <w:r w:rsidRPr="00EB6D40">
        <w:rPr>
          <w:rStyle w:val="af7"/>
          <w:rFonts w:eastAsia="Guttman Hodes"/>
          <w:rtl/>
        </w:rPr>
        <w:instrText xml:space="preserve"> </w:instrText>
      </w:r>
      <w:r w:rsidRPr="00EB6D40">
        <w:rPr>
          <w:rStyle w:val="af7"/>
          <w:rFonts w:eastAsia="Guttman Hodes" w:hint="cs"/>
        </w:rPr>
        <w:instrText>REF</w:instrText>
      </w:r>
      <w:r w:rsidRPr="00EB6D40">
        <w:rPr>
          <w:rStyle w:val="af7"/>
          <w:rFonts w:eastAsia="Guttman Hodes" w:hint="cs"/>
          <w:rtl/>
        </w:rPr>
        <w:instrText xml:space="preserve"> _</w:instrText>
      </w:r>
      <w:r w:rsidRPr="00EB6D40">
        <w:rPr>
          <w:rStyle w:val="af7"/>
          <w:rFonts w:eastAsia="Guttman Hodes" w:hint="cs"/>
        </w:rPr>
        <w:instrText>Ref63244413 \r \h</w:instrText>
      </w:r>
      <w:r w:rsidRPr="00EB6D40">
        <w:rPr>
          <w:rStyle w:val="af7"/>
          <w:rFonts w:eastAsia="Guttman Hodes"/>
          <w:rtl/>
        </w:rPr>
        <w:instrText xml:space="preserve"> </w:instrText>
      </w:r>
      <w:r w:rsidRPr="00EB6D40">
        <w:rPr>
          <w:rStyle w:val="af7"/>
          <w:rFonts w:eastAsia="Guttman Hodes"/>
          <w:rtl/>
        </w:rPr>
      </w:r>
      <w:r w:rsidRPr="00EB6D40">
        <w:rPr>
          <w:rStyle w:val="af7"/>
          <w:rFonts w:eastAsia="Guttman Hodes"/>
          <w:rtl/>
        </w:rPr>
        <w:fldChar w:fldCharType="separate"/>
      </w:r>
      <w:r w:rsidR="00265073">
        <w:rPr>
          <w:rStyle w:val="af7"/>
          <w:rFonts w:eastAsia="Guttman Hodes"/>
          <w:cs/>
        </w:rPr>
        <w:t>‎</w:t>
      </w:r>
      <w:r w:rsidR="00265073">
        <w:rPr>
          <w:rStyle w:val="af7"/>
          <w:rFonts w:eastAsia="Guttman Hodes"/>
          <w:rtl/>
        </w:rPr>
        <w:t>קיח)</w:t>
      </w:r>
      <w:r w:rsidRPr="00EB6D40">
        <w:rPr>
          <w:rStyle w:val="af7"/>
          <w:rFonts w:eastAsia="Guttman Hodes"/>
          <w:rtl/>
        </w:rPr>
        <w:fldChar w:fldCharType="end"/>
      </w:r>
      <w:r>
        <w:rPr>
          <w:rStyle w:val="af9"/>
          <w:rFonts w:hint="cs"/>
          <w:rtl/>
        </w:rPr>
        <w:t xml:space="preserve"> ו</w:t>
      </w:r>
      <w:r w:rsidRPr="00375B7C">
        <w:rPr>
          <w:rStyle w:val="af9"/>
          <w:rFonts w:hint="cs"/>
          <w:rtl/>
        </w:rPr>
        <w:t>בחי' רבי נחום</w:t>
      </w:r>
      <w:r w:rsidRPr="00CA3569">
        <w:rPr>
          <w:rStyle w:val="af7"/>
          <w:rFonts w:eastAsia="Guttman Hodes" w:hint="cs"/>
          <w:rtl/>
        </w:rPr>
        <w:t xml:space="preserve"> (עי' אות </w:t>
      </w:r>
      <w:r w:rsidRPr="00CA3569">
        <w:rPr>
          <w:rStyle w:val="af7"/>
          <w:rFonts w:eastAsia="Guttman Hodes"/>
          <w:rtl/>
        </w:rPr>
        <w:fldChar w:fldCharType="begin"/>
      </w:r>
      <w:r w:rsidRPr="00CA3569">
        <w:rPr>
          <w:rStyle w:val="af7"/>
          <w:rFonts w:eastAsia="Guttman Hodes"/>
          <w:rtl/>
        </w:rPr>
        <w:instrText xml:space="preserve"> </w:instrText>
      </w:r>
      <w:r w:rsidRPr="00CA3569">
        <w:rPr>
          <w:rStyle w:val="af7"/>
          <w:rFonts w:eastAsia="Guttman Hodes" w:hint="cs"/>
        </w:rPr>
        <w:instrText>REF</w:instrText>
      </w:r>
      <w:r w:rsidRPr="00CA3569">
        <w:rPr>
          <w:rStyle w:val="af7"/>
          <w:rFonts w:eastAsia="Guttman Hodes" w:hint="cs"/>
          <w:rtl/>
        </w:rPr>
        <w:instrText xml:space="preserve"> _</w:instrText>
      </w:r>
      <w:r w:rsidRPr="00CA3569">
        <w:rPr>
          <w:rStyle w:val="af7"/>
          <w:rFonts w:eastAsia="Guttman Hodes" w:hint="cs"/>
        </w:rPr>
        <w:instrText>Ref63180322 \r \h</w:instrText>
      </w:r>
      <w:r w:rsidRPr="00CA3569">
        <w:rPr>
          <w:rStyle w:val="af7"/>
          <w:rFonts w:eastAsia="Guttman Hodes"/>
          <w:rtl/>
        </w:rPr>
        <w:instrText xml:space="preserve"> </w:instrText>
      </w:r>
      <w:r w:rsidRPr="00CA3569">
        <w:rPr>
          <w:rStyle w:val="af7"/>
          <w:rFonts w:eastAsia="Guttman Hodes"/>
          <w:rtl/>
        </w:rPr>
      </w:r>
      <w:r w:rsidRPr="00CA3569">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CA3569">
        <w:rPr>
          <w:rStyle w:val="af7"/>
          <w:rFonts w:eastAsia="Guttman Hodes"/>
          <w:rtl/>
        </w:rPr>
        <w:fldChar w:fldCharType="end"/>
      </w:r>
      <w:r>
        <w:rPr>
          <w:rFonts w:hint="cs"/>
          <w:rtl/>
        </w:rPr>
        <w:t xml:space="preserve"> בדברי </w:t>
      </w:r>
      <w:r>
        <w:rPr>
          <w:rStyle w:val="af9"/>
          <w:rFonts w:hint="cs"/>
          <w:rtl/>
        </w:rPr>
        <w:t>הרא"ש</w:t>
      </w:r>
      <w:r w:rsidRPr="00375B7C">
        <w:rPr>
          <w:rFonts w:hint="cs"/>
          <w:rtl/>
        </w:rPr>
        <w:t>.</w:t>
      </w:r>
      <w:bookmarkEnd w:id="13742"/>
    </w:p>
    <w:p w:rsidR="003B7617" w:rsidRDefault="003B7617" w:rsidP="003B7617">
      <w:pPr>
        <w:pStyle w:val="a3"/>
        <w:rPr>
          <w:rtl/>
        </w:rPr>
      </w:pPr>
      <w:bookmarkStart w:id="13743" w:name="_Toc63188750"/>
      <w:bookmarkStart w:id="13744" w:name="_Toc63247709"/>
      <w:r>
        <w:rPr>
          <w:rFonts w:hint="cs"/>
          <w:rtl/>
        </w:rPr>
        <w:t>דחיית הרא"ש דטענת מינך זבינתה היא טענה בפנ"ע והשטר הוא רק ראיה ויש לו מיגו</w:t>
      </w:r>
      <w:bookmarkEnd w:id="13743"/>
      <w:bookmarkEnd w:id="13744"/>
    </w:p>
    <w:p w:rsidR="003B7617" w:rsidRDefault="003B7617" w:rsidP="007E4E81">
      <w:pPr>
        <w:pStyle w:val="a0"/>
        <w:rPr>
          <w:rtl/>
        </w:rPr>
      </w:pPr>
      <w:bookmarkStart w:id="13745" w:name="_Ref62760420"/>
      <w:r>
        <w:rPr>
          <w:rFonts w:hint="cs"/>
          <w:rtl/>
        </w:rPr>
        <w:t xml:space="preserve">אך דחה </w:t>
      </w:r>
      <w:r>
        <w:rPr>
          <w:rStyle w:val="af9"/>
          <w:rFonts w:hint="cs"/>
          <w:rtl/>
        </w:rPr>
        <w:t>הרא"ש</w:t>
      </w:r>
      <w:r>
        <w:rPr>
          <w:rFonts w:hint="cs"/>
          <w:rtl/>
        </w:rPr>
        <w:t xml:space="preserve"> </w:t>
      </w:r>
      <w:r w:rsidRPr="00A70124">
        <w:rPr>
          <w:rStyle w:val="af7"/>
          <w:rFonts w:eastAsia="Guttman Hodes" w:hint="cs"/>
          <w:rtl/>
        </w:rPr>
        <w:t>(סי' י"ב</w:t>
      </w:r>
      <w:r>
        <w:rPr>
          <w:rStyle w:val="af7"/>
          <w:rFonts w:eastAsia="Guttman Hodes" w:hint="cs"/>
          <w:rtl/>
        </w:rPr>
        <w:t xml:space="preserve"> ד"ה גחין</w:t>
      </w:r>
      <w:r w:rsidRPr="00A70124">
        <w:rPr>
          <w:rStyle w:val="af7"/>
          <w:rFonts w:eastAsia="Guttman Hodes" w:hint="cs"/>
          <w:rtl/>
        </w:rPr>
        <w:t>)</w:t>
      </w:r>
      <w:r>
        <w:rPr>
          <w:rFonts w:hint="cs"/>
          <w:rtl/>
        </w:rPr>
        <w:t xml:space="preserve"> את דברי </w:t>
      </w:r>
      <w:r w:rsidRPr="00BC1818">
        <w:rPr>
          <w:rStyle w:val="af9"/>
          <w:rFonts w:hint="cs"/>
          <w:rtl/>
        </w:rPr>
        <w:t>הרשב"ם</w:t>
      </w:r>
      <w:r>
        <w:rPr>
          <w:rFonts w:hint="cs"/>
          <w:rtl/>
        </w:rPr>
        <w:t xml:space="preserve">, דעיקר הטענה הראשונה היא מינך זבינתה, ומה שאמר והא שטרא, אינו עיקר הטענה אלא הוא ראיה בעלמא, ולכן הוא יכול לקיים את טענתו הראשונה דמינך זבינתה, אם היה טוען שהשטר טוב, או ע"י טענה אחרת שנאמן בה במיגו, ואעפ"י שהודה שהשטר פסול, מ"מ הודאתו אינה מכחישה את טענתו </w:t>
      </w:r>
      <w:r w:rsidRPr="00CC58BA">
        <w:rPr>
          <w:rFonts w:hint="cs"/>
          <w:rtl/>
        </w:rPr>
        <w:t xml:space="preserve">הראשונה דמינך זבינתה, </w:t>
      </w:r>
      <w:r>
        <w:rPr>
          <w:rFonts w:hint="cs"/>
          <w:rtl/>
        </w:rPr>
        <w:t>וא"כ יש לו</w:t>
      </w:r>
      <w:r w:rsidRPr="00CC58BA">
        <w:rPr>
          <w:rFonts w:hint="cs"/>
          <w:rtl/>
        </w:rPr>
        <w:t xml:space="preserve"> מיגו, ועי' במה שביאר</w:t>
      </w:r>
      <w:r>
        <w:rPr>
          <w:rFonts w:hint="cs"/>
          <w:rtl/>
        </w:rPr>
        <w:t xml:space="preserve"> </w:t>
      </w:r>
      <w:r w:rsidRPr="0059129C">
        <w:rPr>
          <w:rStyle w:val="af9"/>
          <w:rFonts w:hint="cs"/>
          <w:rtl/>
        </w:rPr>
        <w:t>הברכ"ש</w:t>
      </w:r>
      <w:r>
        <w:rPr>
          <w:rFonts w:hint="cs"/>
          <w:rtl/>
        </w:rPr>
        <w:t xml:space="preserve"> </w:t>
      </w:r>
      <w:r w:rsidRPr="0059129C">
        <w:rPr>
          <w:rStyle w:val="af7"/>
          <w:rFonts w:eastAsia="Guttman Hodes" w:hint="cs"/>
          <w:rtl/>
        </w:rPr>
        <w:t xml:space="preserve">(עי' אות </w:t>
      </w:r>
      <w:r w:rsidRPr="0059129C">
        <w:rPr>
          <w:rStyle w:val="af7"/>
          <w:rFonts w:eastAsia="Guttman Hodes"/>
          <w:rtl/>
        </w:rPr>
        <w:fldChar w:fldCharType="begin"/>
      </w:r>
      <w:r w:rsidRPr="0059129C">
        <w:rPr>
          <w:rStyle w:val="af7"/>
          <w:rFonts w:eastAsia="Guttman Hodes"/>
          <w:rtl/>
        </w:rPr>
        <w:instrText xml:space="preserve"> </w:instrText>
      </w:r>
      <w:r w:rsidRPr="0059129C">
        <w:rPr>
          <w:rStyle w:val="af7"/>
          <w:rFonts w:eastAsia="Guttman Hodes" w:hint="cs"/>
        </w:rPr>
        <w:instrText>REF</w:instrText>
      </w:r>
      <w:r w:rsidRPr="0059129C">
        <w:rPr>
          <w:rStyle w:val="af7"/>
          <w:rFonts w:eastAsia="Guttman Hodes" w:hint="cs"/>
          <w:rtl/>
        </w:rPr>
        <w:instrText xml:space="preserve"> _</w:instrText>
      </w:r>
      <w:r w:rsidRPr="0059129C">
        <w:rPr>
          <w:rStyle w:val="af7"/>
          <w:rFonts w:eastAsia="Guttman Hodes" w:hint="cs"/>
        </w:rPr>
        <w:instrText>Ref62760499 \r \h</w:instrText>
      </w:r>
      <w:r w:rsidRPr="0059129C">
        <w:rPr>
          <w:rStyle w:val="af7"/>
          <w:rFonts w:eastAsia="Guttman Hodes"/>
          <w:rtl/>
        </w:rPr>
        <w:instrText xml:space="preserve"> </w:instrText>
      </w:r>
      <w:r w:rsidRPr="0059129C">
        <w:rPr>
          <w:rStyle w:val="af7"/>
          <w:rFonts w:eastAsia="Guttman Hodes"/>
          <w:rtl/>
        </w:rPr>
      </w:r>
      <w:r w:rsidRPr="0059129C">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59129C">
        <w:rPr>
          <w:rStyle w:val="af7"/>
          <w:rFonts w:eastAsia="Guttman Hodes"/>
          <w:rtl/>
        </w:rPr>
        <w:fldChar w:fldCharType="end"/>
      </w:r>
      <w:r>
        <w:rPr>
          <w:rFonts w:hint="cs"/>
          <w:rtl/>
        </w:rPr>
        <w:t xml:space="preserve"> בדברי </w:t>
      </w:r>
      <w:r w:rsidRPr="0059129C">
        <w:rPr>
          <w:rStyle w:val="af9"/>
          <w:rFonts w:hint="cs"/>
          <w:rtl/>
        </w:rPr>
        <w:t>הר</w:t>
      </w:r>
      <w:r>
        <w:rPr>
          <w:rStyle w:val="af9"/>
          <w:rFonts w:hint="cs"/>
          <w:rtl/>
        </w:rPr>
        <w:t>א"ש</w:t>
      </w:r>
      <w:r>
        <w:rPr>
          <w:rFonts w:hint="cs"/>
          <w:rtl/>
        </w:rPr>
        <w:t>.</w:t>
      </w:r>
      <w:bookmarkEnd w:id="13745"/>
    </w:p>
    <w:p w:rsidR="003B7617" w:rsidRDefault="003B7617" w:rsidP="003B7617">
      <w:pPr>
        <w:pStyle w:val="a3"/>
        <w:rPr>
          <w:rtl/>
        </w:rPr>
      </w:pPr>
      <w:bookmarkStart w:id="13746" w:name="_Toc63188751"/>
      <w:bookmarkStart w:id="13747" w:name="_Toc63247710"/>
      <w:r>
        <w:rPr>
          <w:rFonts w:hint="cs"/>
          <w:rtl/>
        </w:rPr>
        <w:t>ביאור החת"ס ברא"ש דכיון שאין לו חזקה טענתו דמינך זבינתה היא כדיבור אחד עם והא שטרא</w:t>
      </w:r>
      <w:bookmarkEnd w:id="13746"/>
      <w:bookmarkEnd w:id="13747"/>
    </w:p>
    <w:p w:rsidR="003B7617" w:rsidRDefault="003B7617" w:rsidP="007E4E81">
      <w:pPr>
        <w:pStyle w:val="a0"/>
        <w:rPr>
          <w:rtl/>
        </w:rPr>
      </w:pPr>
      <w:r>
        <w:rPr>
          <w:rFonts w:hint="cs"/>
          <w:rtl/>
        </w:rPr>
        <w:t xml:space="preserve">במה שביאר </w:t>
      </w:r>
      <w:r w:rsidRPr="004B70FD">
        <w:rPr>
          <w:rStyle w:val="af9"/>
          <w:rFonts w:hint="cs"/>
          <w:rtl/>
        </w:rPr>
        <w:t>הרא"ש</w:t>
      </w:r>
      <w:r>
        <w:rPr>
          <w:rFonts w:hint="cs"/>
          <w:rtl/>
        </w:rPr>
        <w:t xml:space="preserve"> </w:t>
      </w:r>
      <w:r w:rsidRPr="005D018E">
        <w:rPr>
          <w:rStyle w:val="af7"/>
          <w:rFonts w:eastAsia="Guttman Hodes" w:hint="cs"/>
          <w:rtl/>
        </w:rPr>
        <w:t xml:space="preserve">(עי' אות </w:t>
      </w:r>
      <w:r w:rsidRPr="005D018E">
        <w:rPr>
          <w:rStyle w:val="af7"/>
          <w:rFonts w:eastAsia="Guttman Hodes"/>
          <w:rtl/>
        </w:rPr>
        <w:fldChar w:fldCharType="begin"/>
      </w:r>
      <w:r w:rsidRPr="005D018E">
        <w:rPr>
          <w:rStyle w:val="af7"/>
          <w:rFonts w:eastAsia="Guttman Hodes"/>
          <w:rtl/>
        </w:rPr>
        <w:instrText xml:space="preserve"> </w:instrText>
      </w:r>
      <w:r w:rsidRPr="005D018E">
        <w:rPr>
          <w:rStyle w:val="af7"/>
          <w:rFonts w:eastAsia="Guttman Hodes" w:hint="cs"/>
        </w:rPr>
        <w:instrText>REF</w:instrText>
      </w:r>
      <w:r w:rsidRPr="005D018E">
        <w:rPr>
          <w:rStyle w:val="af7"/>
          <w:rFonts w:eastAsia="Guttman Hodes" w:hint="cs"/>
          <w:rtl/>
        </w:rPr>
        <w:instrText xml:space="preserve"> _</w:instrText>
      </w:r>
      <w:r w:rsidRPr="005D018E">
        <w:rPr>
          <w:rStyle w:val="af7"/>
          <w:rFonts w:eastAsia="Guttman Hodes" w:hint="cs"/>
        </w:rPr>
        <w:instrText>Ref63180245 \r \h</w:instrText>
      </w:r>
      <w:r w:rsidRPr="005D018E">
        <w:rPr>
          <w:rStyle w:val="af7"/>
          <w:rFonts w:eastAsia="Guttman Hodes"/>
          <w:rtl/>
        </w:rPr>
        <w:instrText xml:space="preserve"> </w:instrText>
      </w:r>
      <w:r w:rsidRPr="005D018E">
        <w:rPr>
          <w:rStyle w:val="af7"/>
          <w:rFonts w:eastAsia="Guttman Hodes"/>
          <w:rtl/>
        </w:rPr>
      </w:r>
      <w:r w:rsidRPr="005D018E">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5D018E">
        <w:rPr>
          <w:rStyle w:val="af7"/>
          <w:rFonts w:eastAsia="Guttman Hodes"/>
          <w:rtl/>
        </w:rPr>
        <w:fldChar w:fldCharType="end"/>
      </w:r>
      <w:r>
        <w:rPr>
          <w:rFonts w:hint="cs"/>
          <w:rtl/>
        </w:rPr>
        <w:t xml:space="preserve"> את דברי </w:t>
      </w:r>
      <w:r w:rsidRPr="004B70FD">
        <w:rPr>
          <w:rStyle w:val="af9"/>
          <w:rFonts w:hint="cs"/>
          <w:rtl/>
        </w:rPr>
        <w:t>הרשב"ם</w:t>
      </w:r>
      <w:r>
        <w:rPr>
          <w:rFonts w:hint="cs"/>
          <w:rtl/>
        </w:rPr>
        <w:t xml:space="preserve"> דטענת והא שטרא היא אותה טענה עם טענת מינך זבינתה, ביאר</w:t>
      </w:r>
      <w:r w:rsidRPr="00092DF0">
        <w:rPr>
          <w:rFonts w:asciiTheme="minorHAnsi" w:eastAsiaTheme="minorEastAsia" w:hAnsiTheme="minorHAnsi" w:cstheme="minorBidi" w:hint="cs"/>
          <w:noProof w:val="0"/>
          <w:sz w:val="22"/>
          <w:szCs w:val="22"/>
          <w:rtl/>
        </w:rPr>
        <w:t xml:space="preserve"> </w:t>
      </w:r>
      <w:r w:rsidRPr="00092DF0">
        <w:rPr>
          <w:rFonts w:hint="cs"/>
          <w:b/>
          <w:bCs/>
          <w:rtl/>
        </w:rPr>
        <w:t xml:space="preserve">החת"ס </w:t>
      </w:r>
      <w:r w:rsidRPr="00F0747D">
        <w:rPr>
          <w:rStyle w:val="af7"/>
          <w:rFonts w:eastAsia="Guttman Hodes" w:hint="cs"/>
          <w:rtl/>
        </w:rPr>
        <w:t>(ד"ה אמאי)</w:t>
      </w:r>
      <w:r w:rsidRPr="00092DF0">
        <w:rPr>
          <w:rFonts w:hint="cs"/>
          <w:rtl/>
        </w:rPr>
        <w:t xml:space="preserve"> </w:t>
      </w:r>
      <w:r>
        <w:rPr>
          <w:rFonts w:hint="cs"/>
          <w:rtl/>
        </w:rPr>
        <w:t>דאם היה לו חזקת ג"ש, ובא לב"ד עם שטר, א"כ אעפ"י דלא מהני לו החזקה אחר שהודה שהשטר מזויף, מ"מ חשיבא טענת מינך זבינתה כטענה בפנ"ע, כיון שהיה יכול לטעון מינך זבינתה ולא היה צריך להביא שטר, ולכן אף כשהודה שהשטר מזויף, מ"מ כיון שיש לו חזקה היה נאמן לטעון שהיה לו שטר ואבד, במיגו שהיה טוען בתחילה מינך זבינתה ואכלתיה שני חזקה, אבל הכא שאין לו חזקה, ובתוך ג"ש לא מהני לו טענה שהיה לו שטר ואבד, א"כ כל טענתו בתחילה דמינך זבינתה, היינו מכח השטר, ולכן חשיב דיבור אחד, וכשהודה שהשטר מזויף הוא סותר את כל טענתו הראשונה.</w:t>
      </w:r>
    </w:p>
    <w:p w:rsidR="003B7617" w:rsidRDefault="003B7617" w:rsidP="003B7617">
      <w:pPr>
        <w:pStyle w:val="1"/>
        <w:rPr>
          <w:rtl/>
        </w:rPr>
      </w:pPr>
      <w:bookmarkStart w:id="13748" w:name="_Toc63111455"/>
      <w:bookmarkStart w:id="13749" w:name="_Toc63163503"/>
      <w:bookmarkStart w:id="13750" w:name="_Toc63188752"/>
      <w:bookmarkStart w:id="13751" w:name="_Toc63247711"/>
      <w:bookmarkStart w:id="13752" w:name="_Toc62819899"/>
      <w:r>
        <w:rPr>
          <w:rFonts w:hint="cs"/>
          <w:rtl/>
        </w:rPr>
        <w:t>ביאור הנימוק"י ברשב"ם</w:t>
      </w:r>
      <w:bookmarkEnd w:id="13748"/>
      <w:r>
        <w:rPr>
          <w:rFonts w:hint="cs"/>
          <w:rtl/>
        </w:rPr>
        <w:t xml:space="preserve"> דכשהודה בפניו חשיב מיגו במק"ע</w:t>
      </w:r>
      <w:bookmarkEnd w:id="13749"/>
      <w:bookmarkEnd w:id="13750"/>
      <w:bookmarkEnd w:id="13751"/>
    </w:p>
    <w:p w:rsidR="003B7617" w:rsidRDefault="003B7617" w:rsidP="003B7617">
      <w:pPr>
        <w:pStyle w:val="a3"/>
        <w:rPr>
          <w:rtl/>
        </w:rPr>
      </w:pPr>
      <w:bookmarkStart w:id="13753" w:name="_Toc63163504"/>
      <w:bookmarkStart w:id="13754" w:name="_Toc63188753"/>
      <w:bookmarkStart w:id="13755" w:name="_Toc63247712"/>
      <w:r>
        <w:rPr>
          <w:rFonts w:hint="cs"/>
          <w:rtl/>
        </w:rPr>
        <w:t>דברי הנימוק"י דלרשב"ם אפש"ל דבמזויף שקיימו נח' רבה ורב יוסף אי חשיב מוחזק ע"י השטר</w:t>
      </w:r>
      <w:bookmarkEnd w:id="13753"/>
      <w:bookmarkEnd w:id="13754"/>
      <w:bookmarkEnd w:id="13755"/>
    </w:p>
    <w:p w:rsidR="003B7617" w:rsidRDefault="003B7617" w:rsidP="007E4E81">
      <w:pPr>
        <w:pStyle w:val="a0"/>
        <w:rPr>
          <w:rtl/>
        </w:rPr>
      </w:pPr>
      <w:bookmarkStart w:id="13756" w:name="_Ref63155578"/>
      <w:r w:rsidRPr="00D92940">
        <w:rPr>
          <w:rFonts w:hint="cs"/>
          <w:rtl/>
        </w:rPr>
        <w:t xml:space="preserve">כתב </w:t>
      </w:r>
      <w:r w:rsidRPr="00D92940">
        <w:rPr>
          <w:rStyle w:val="af9"/>
          <w:rFonts w:hint="cs"/>
          <w:rtl/>
        </w:rPr>
        <w:t xml:space="preserve">הנימוק"י </w:t>
      </w:r>
      <w:r w:rsidRPr="00923F0D">
        <w:rPr>
          <w:rStyle w:val="af7"/>
          <w:rFonts w:eastAsia="Guttman Hodes" w:hint="cs"/>
          <w:rtl/>
        </w:rPr>
        <w:t>(טז: מדה"ר ד"ה שטרא)</w:t>
      </w:r>
      <w:r w:rsidRPr="00D92940">
        <w:rPr>
          <w:rFonts w:hint="cs"/>
          <w:rtl/>
        </w:rPr>
        <w:t xml:space="preserve"> </w:t>
      </w:r>
      <w:r>
        <w:rPr>
          <w:rFonts w:hint="cs"/>
          <w:rtl/>
        </w:rPr>
        <w:t>דלביאור</w:t>
      </w:r>
      <w:r w:rsidRPr="00D92940">
        <w:rPr>
          <w:rFonts w:hint="cs"/>
          <w:rtl/>
        </w:rPr>
        <w:t xml:space="preserve"> </w:t>
      </w:r>
      <w:r w:rsidRPr="00D92940">
        <w:rPr>
          <w:rStyle w:val="af9"/>
          <w:rFonts w:hint="cs"/>
          <w:rtl/>
        </w:rPr>
        <w:t>הרשב"ם</w:t>
      </w:r>
      <w:r w:rsidRPr="00D92940">
        <w:rPr>
          <w:rFonts w:hint="cs"/>
          <w:rtl/>
        </w:rPr>
        <w:t xml:space="preserve"> </w:t>
      </w:r>
      <w:r w:rsidRPr="004C69D0">
        <w:rPr>
          <w:rStyle w:val="af7"/>
          <w:rFonts w:eastAsia="Guttman Hodes" w:hint="cs"/>
          <w:rtl/>
        </w:rPr>
        <w:t xml:space="preserve">(עי' אות </w:t>
      </w:r>
      <w:r w:rsidRPr="004C69D0">
        <w:rPr>
          <w:rStyle w:val="af7"/>
          <w:rFonts w:eastAsia="Guttman Hodes"/>
          <w:rtl/>
        </w:rPr>
        <w:fldChar w:fldCharType="begin"/>
      </w:r>
      <w:r w:rsidRPr="004C69D0">
        <w:rPr>
          <w:rStyle w:val="af7"/>
          <w:rFonts w:eastAsia="Guttman Hodes"/>
          <w:rtl/>
        </w:rPr>
        <w:instrText xml:space="preserve"> </w:instrText>
      </w:r>
      <w:r w:rsidRPr="004C69D0">
        <w:rPr>
          <w:rStyle w:val="af7"/>
          <w:rFonts w:eastAsia="Guttman Hodes" w:hint="cs"/>
        </w:rPr>
        <w:instrText>REF</w:instrText>
      </w:r>
      <w:r w:rsidRPr="004C69D0">
        <w:rPr>
          <w:rStyle w:val="af7"/>
          <w:rFonts w:eastAsia="Guttman Hodes" w:hint="cs"/>
          <w:rtl/>
        </w:rPr>
        <w:instrText xml:space="preserve"> _</w:instrText>
      </w:r>
      <w:r w:rsidRPr="004C69D0">
        <w:rPr>
          <w:rStyle w:val="af7"/>
          <w:rFonts w:eastAsia="Guttman Hodes" w:hint="cs"/>
        </w:rPr>
        <w:instrText>Ref63108785 \r \h</w:instrText>
      </w:r>
      <w:r w:rsidRPr="004C69D0">
        <w:rPr>
          <w:rStyle w:val="af7"/>
          <w:rFonts w:eastAsia="Guttman Hodes"/>
          <w:rtl/>
        </w:rPr>
        <w:instrText xml:space="preserve"> </w:instrText>
      </w:r>
      <w:r w:rsidRPr="004C69D0">
        <w:rPr>
          <w:rStyle w:val="af7"/>
          <w:rFonts w:eastAsia="Guttman Hodes"/>
          <w:rtl/>
        </w:rPr>
      </w:r>
      <w:r w:rsidRPr="004C69D0">
        <w:rPr>
          <w:rStyle w:val="af7"/>
          <w:rFonts w:eastAsia="Guttman Hodes"/>
          <w:rtl/>
        </w:rPr>
        <w:fldChar w:fldCharType="separate"/>
      </w:r>
      <w:r w:rsidR="00265073">
        <w:rPr>
          <w:rStyle w:val="af7"/>
          <w:rFonts w:eastAsia="Guttman Hodes"/>
          <w:cs/>
        </w:rPr>
        <w:t>‎</w:t>
      </w:r>
      <w:r w:rsidR="00265073">
        <w:rPr>
          <w:rStyle w:val="af7"/>
          <w:rFonts w:eastAsia="Guttman Hodes"/>
          <w:rtl/>
        </w:rPr>
        <w:t>יז)</w:t>
      </w:r>
      <w:r w:rsidRPr="004C69D0">
        <w:rPr>
          <w:rStyle w:val="af7"/>
          <w:rFonts w:eastAsia="Guttman Hodes"/>
          <w:rtl/>
        </w:rPr>
        <w:fldChar w:fldCharType="end"/>
      </w:r>
      <w:r w:rsidRPr="00D92940">
        <w:rPr>
          <w:rFonts w:hint="cs"/>
          <w:rtl/>
        </w:rPr>
        <w:t xml:space="preserve"> דהמחזיק זייף את השטר היטב, עד שהעדים טועים שהוא חתימתם, </w:t>
      </w:r>
      <w:r>
        <w:rPr>
          <w:rFonts w:hint="cs"/>
          <w:rtl/>
        </w:rPr>
        <w:t>אפש"ל</w:t>
      </w:r>
      <w:r w:rsidRPr="00D92940">
        <w:rPr>
          <w:rFonts w:hint="cs"/>
          <w:rtl/>
        </w:rPr>
        <w:t xml:space="preserve"> דלכן אמר רבה דנאמן לומר במיגו שהיה לו שטר אחר, כיון שהשטר הוא מקוים, וביאר </w:t>
      </w:r>
      <w:r w:rsidRPr="00D92940">
        <w:rPr>
          <w:rStyle w:val="af9"/>
          <w:rFonts w:hint="cs"/>
          <w:rtl/>
        </w:rPr>
        <w:t>הנימוק"י</w:t>
      </w:r>
      <w:r w:rsidRPr="00D92940">
        <w:rPr>
          <w:rFonts w:hint="cs"/>
          <w:rtl/>
        </w:rPr>
        <w:t xml:space="preserve"> דס"ל לרבה שהמחזיק נחשב </w:t>
      </w:r>
      <w:r w:rsidRPr="00D92940">
        <w:rPr>
          <w:rFonts w:hint="cs"/>
          <w:rtl/>
        </w:rPr>
        <w:lastRenderedPageBreak/>
        <w:t>למוחזק בקרקע, אף שאין לו חזקת ג"ש, כיון שיש לו שטר מקוים, וחשיב כמיגו להחזיק</w:t>
      </w:r>
      <w:r>
        <w:rPr>
          <w:rFonts w:hint="cs"/>
          <w:rtl/>
        </w:rPr>
        <w:t xml:space="preserve">, ובדעת רב יוסף ביאר </w:t>
      </w:r>
      <w:r w:rsidRPr="00831A01">
        <w:rPr>
          <w:rStyle w:val="af9"/>
          <w:rFonts w:hint="cs"/>
          <w:rtl/>
        </w:rPr>
        <w:t>הנימוק"י</w:t>
      </w:r>
      <w:r>
        <w:rPr>
          <w:rFonts w:hint="cs"/>
          <w:rtl/>
        </w:rPr>
        <w:t xml:space="preserve"> דס"ל דכיון שהמחזיק הודה </w:t>
      </w:r>
      <w:r w:rsidRPr="006E6189">
        <w:rPr>
          <w:rFonts w:hint="cs"/>
          <w:rtl/>
        </w:rPr>
        <w:t>שהשטר הוא מזויף, ממילא התבטלה הזכות והחזקה שיש לו בקרקע מכח השטר, וס"ל דלא מהני לו המיגו, כיון ש</w:t>
      </w:r>
      <w:r w:rsidRPr="00B75BBD">
        <w:rPr>
          <w:rFonts w:hint="cs"/>
          <w:rtl/>
        </w:rPr>
        <w:t xml:space="preserve">הוא מיגו להוציא, וכתב </w:t>
      </w:r>
      <w:r w:rsidRPr="00831A01">
        <w:rPr>
          <w:rStyle w:val="af9"/>
          <w:rFonts w:hint="cs"/>
          <w:rtl/>
        </w:rPr>
        <w:t>הנימוק"י</w:t>
      </w:r>
      <w:r w:rsidRPr="00B75BBD">
        <w:rPr>
          <w:rFonts w:hint="cs"/>
          <w:rtl/>
        </w:rPr>
        <w:t xml:space="preserve"> דכ"כ </w:t>
      </w:r>
      <w:r w:rsidRPr="00831A01">
        <w:rPr>
          <w:rStyle w:val="af9"/>
          <w:rFonts w:hint="cs"/>
          <w:rtl/>
        </w:rPr>
        <w:t>התוס'</w:t>
      </w:r>
      <w:r w:rsidRPr="00B75BBD">
        <w:rPr>
          <w:rFonts w:hint="cs"/>
          <w:rtl/>
        </w:rPr>
        <w:t xml:space="preserve"> </w:t>
      </w:r>
      <w:r w:rsidRPr="00BB104A">
        <w:rPr>
          <w:rStyle w:val="af7"/>
          <w:rFonts w:eastAsia="Guttman Hodes" w:hint="cs"/>
          <w:rtl/>
        </w:rPr>
        <w:t xml:space="preserve">(עי' אות </w:t>
      </w:r>
      <w:r w:rsidRPr="00BB104A">
        <w:rPr>
          <w:rStyle w:val="af7"/>
          <w:rFonts w:eastAsia="Guttman Hodes"/>
          <w:rtl/>
        </w:rPr>
        <w:fldChar w:fldCharType="begin"/>
      </w:r>
      <w:r w:rsidRPr="00BB104A">
        <w:rPr>
          <w:rStyle w:val="af7"/>
          <w:rFonts w:eastAsia="Guttman Hodes"/>
          <w:rtl/>
        </w:rPr>
        <w:instrText xml:space="preserve"> </w:instrText>
      </w:r>
      <w:r w:rsidRPr="00BB104A">
        <w:rPr>
          <w:rStyle w:val="af7"/>
          <w:rFonts w:eastAsia="Guttman Hodes" w:hint="cs"/>
        </w:rPr>
        <w:instrText>REF</w:instrText>
      </w:r>
      <w:r w:rsidRPr="00BB104A">
        <w:rPr>
          <w:rStyle w:val="af7"/>
          <w:rFonts w:eastAsia="Guttman Hodes" w:hint="cs"/>
          <w:rtl/>
        </w:rPr>
        <w:instrText xml:space="preserve"> _</w:instrText>
      </w:r>
      <w:r w:rsidRPr="00BB104A">
        <w:rPr>
          <w:rStyle w:val="af7"/>
          <w:rFonts w:eastAsia="Guttman Hodes" w:hint="cs"/>
        </w:rPr>
        <w:instrText>Ref63155210 \r \h</w:instrText>
      </w:r>
      <w:r w:rsidRPr="00BB104A">
        <w:rPr>
          <w:rStyle w:val="af7"/>
          <w:rFonts w:eastAsia="Guttman Hodes"/>
          <w:rtl/>
        </w:rPr>
        <w:instrText xml:space="preserve"> </w:instrText>
      </w:r>
      <w:r w:rsidRPr="00BB104A">
        <w:rPr>
          <w:rStyle w:val="af7"/>
          <w:rFonts w:eastAsia="Guttman Hodes"/>
          <w:rtl/>
        </w:rPr>
      </w:r>
      <w:r w:rsidRPr="00BB104A">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BB104A">
        <w:rPr>
          <w:rStyle w:val="af7"/>
          <w:rFonts w:eastAsia="Guttman Hodes"/>
          <w:rtl/>
        </w:rPr>
        <w:fldChar w:fldCharType="end"/>
      </w:r>
      <w:r>
        <w:rPr>
          <w:rFonts w:hint="cs"/>
          <w:rtl/>
        </w:rPr>
        <w:t xml:space="preserve">. [ועי' במה שביאר </w:t>
      </w:r>
      <w:r w:rsidRPr="004C77B6">
        <w:rPr>
          <w:rStyle w:val="af9"/>
          <w:rFonts w:hint="cs"/>
          <w:rtl/>
        </w:rPr>
        <w:t>הגידולי תרומה</w:t>
      </w:r>
      <w:r>
        <w:rPr>
          <w:rFonts w:hint="cs"/>
          <w:rtl/>
        </w:rPr>
        <w:t xml:space="preserve"> </w:t>
      </w:r>
      <w:r w:rsidRPr="004C77B6">
        <w:rPr>
          <w:rStyle w:val="af7"/>
          <w:rFonts w:eastAsia="Guttman Hodes" w:hint="cs"/>
          <w:rtl/>
        </w:rPr>
        <w:t xml:space="preserve">(עי' אות </w:t>
      </w:r>
      <w:r w:rsidRPr="004C77B6">
        <w:rPr>
          <w:rStyle w:val="af7"/>
          <w:rFonts w:eastAsia="Guttman Hodes"/>
          <w:rtl/>
        </w:rPr>
        <w:fldChar w:fldCharType="begin"/>
      </w:r>
      <w:r w:rsidRPr="004C77B6">
        <w:rPr>
          <w:rStyle w:val="af7"/>
          <w:rFonts w:eastAsia="Guttman Hodes"/>
          <w:rtl/>
        </w:rPr>
        <w:instrText xml:space="preserve"> </w:instrText>
      </w:r>
      <w:r w:rsidRPr="004C77B6">
        <w:rPr>
          <w:rStyle w:val="af7"/>
          <w:rFonts w:eastAsia="Guttman Hodes" w:hint="cs"/>
        </w:rPr>
        <w:instrText>REF</w:instrText>
      </w:r>
      <w:r w:rsidRPr="004C77B6">
        <w:rPr>
          <w:rStyle w:val="af7"/>
          <w:rFonts w:eastAsia="Guttman Hodes" w:hint="cs"/>
          <w:rtl/>
        </w:rPr>
        <w:instrText xml:space="preserve"> _</w:instrText>
      </w:r>
      <w:r w:rsidRPr="004C77B6">
        <w:rPr>
          <w:rStyle w:val="af7"/>
          <w:rFonts w:eastAsia="Guttman Hodes" w:hint="cs"/>
        </w:rPr>
        <w:instrText>Ref63155485 \r \h</w:instrText>
      </w:r>
      <w:r w:rsidRPr="004C77B6">
        <w:rPr>
          <w:rStyle w:val="af7"/>
          <w:rFonts w:eastAsia="Guttman Hodes"/>
          <w:rtl/>
        </w:rPr>
        <w:instrText xml:space="preserve"> </w:instrText>
      </w:r>
      <w:r w:rsidRPr="004C77B6">
        <w:rPr>
          <w:rStyle w:val="af7"/>
          <w:rFonts w:eastAsia="Guttman Hodes"/>
          <w:rtl/>
        </w:rPr>
      </w:r>
      <w:r w:rsidRPr="004C77B6">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4C77B6">
        <w:rPr>
          <w:rStyle w:val="af7"/>
          <w:rFonts w:eastAsia="Guttman Hodes"/>
          <w:rtl/>
        </w:rPr>
        <w:fldChar w:fldCharType="end"/>
      </w:r>
      <w:r>
        <w:rPr>
          <w:rFonts w:hint="cs"/>
          <w:rtl/>
        </w:rPr>
        <w:t xml:space="preserve"> בדברי </w:t>
      </w:r>
      <w:r w:rsidRPr="004C77B6">
        <w:rPr>
          <w:rStyle w:val="af9"/>
          <w:rFonts w:hint="cs"/>
          <w:rtl/>
        </w:rPr>
        <w:t>הנימוק"י</w:t>
      </w:r>
      <w:r>
        <w:rPr>
          <w:rFonts w:hint="cs"/>
          <w:rtl/>
        </w:rPr>
        <w:t>].</w:t>
      </w:r>
      <w:bookmarkEnd w:id="13756"/>
    </w:p>
    <w:p w:rsidR="003B7617" w:rsidRDefault="003B7617" w:rsidP="003B7617">
      <w:pPr>
        <w:pStyle w:val="a3"/>
        <w:rPr>
          <w:rtl/>
        </w:rPr>
      </w:pPr>
      <w:bookmarkStart w:id="13757" w:name="_Toc63163505"/>
      <w:bookmarkStart w:id="13758" w:name="_Toc63188754"/>
      <w:bookmarkStart w:id="13759" w:name="_Toc63247713"/>
      <w:r>
        <w:rPr>
          <w:rFonts w:hint="cs"/>
          <w:rtl/>
        </w:rPr>
        <w:t>ביאור הנימוק"י ברשב"ם דכיון שאין ב' הטענות אמת א"כ אף להחזיק ממון לא מהני המיגו</w:t>
      </w:r>
      <w:bookmarkEnd w:id="13757"/>
      <w:bookmarkEnd w:id="13758"/>
      <w:bookmarkEnd w:id="13759"/>
      <w:r>
        <w:rPr>
          <w:rFonts w:hint="cs"/>
          <w:rtl/>
        </w:rPr>
        <w:t xml:space="preserve"> </w:t>
      </w:r>
    </w:p>
    <w:p w:rsidR="003B7617" w:rsidRDefault="003B7617" w:rsidP="007E4E81">
      <w:pPr>
        <w:pStyle w:val="a0"/>
        <w:rPr>
          <w:rtl/>
        </w:rPr>
      </w:pPr>
      <w:bookmarkStart w:id="13760" w:name="_Ref63243572"/>
      <w:r>
        <w:rPr>
          <w:rFonts w:hint="cs"/>
          <w:rtl/>
        </w:rPr>
        <w:t xml:space="preserve">אך כתב </w:t>
      </w:r>
      <w:r w:rsidRPr="00DB314B">
        <w:rPr>
          <w:rStyle w:val="af9"/>
          <w:rFonts w:hint="cs"/>
          <w:rtl/>
        </w:rPr>
        <w:t>הנימוק</w:t>
      </w:r>
      <w:r>
        <w:rPr>
          <w:rStyle w:val="af9"/>
          <w:rFonts w:hint="cs"/>
          <w:rtl/>
        </w:rPr>
        <w:t>"</w:t>
      </w:r>
      <w:r w:rsidRPr="00DB314B">
        <w:rPr>
          <w:rStyle w:val="af9"/>
          <w:rFonts w:hint="cs"/>
          <w:rtl/>
        </w:rPr>
        <w:t xml:space="preserve">י </w:t>
      </w:r>
      <w:r w:rsidRPr="00DB314B">
        <w:rPr>
          <w:rStyle w:val="af7"/>
          <w:rFonts w:eastAsia="Guttman Hodes" w:hint="cs"/>
          <w:rtl/>
        </w:rPr>
        <w:t>(טז: מדה"ר ד"ה שטרא)</w:t>
      </w:r>
      <w:r>
        <w:rPr>
          <w:rFonts w:hint="cs"/>
          <w:rtl/>
        </w:rPr>
        <w:t xml:space="preserve"> דכיון דכתב </w:t>
      </w:r>
      <w:r w:rsidRPr="00831A01">
        <w:rPr>
          <w:rStyle w:val="af9"/>
          <w:rFonts w:hint="cs"/>
          <w:rtl/>
        </w:rPr>
        <w:t>הרשב"ם</w:t>
      </w:r>
      <w:r>
        <w:rPr>
          <w:rFonts w:hint="cs"/>
          <w:rtl/>
        </w:rPr>
        <w:t xml:space="preserve"> </w:t>
      </w:r>
      <w:r w:rsidRPr="00171A26">
        <w:rPr>
          <w:rStyle w:val="af7"/>
          <w:rFonts w:eastAsia="Guttman Hodes" w:hint="cs"/>
          <w:rtl/>
        </w:rPr>
        <w:t xml:space="preserve">(עי' אות </w:t>
      </w:r>
      <w:r w:rsidRPr="00171A26">
        <w:rPr>
          <w:rStyle w:val="af7"/>
          <w:rFonts w:eastAsia="Guttman Hodes"/>
          <w:rtl/>
        </w:rPr>
        <w:fldChar w:fldCharType="begin"/>
      </w:r>
      <w:r w:rsidRPr="00171A26">
        <w:rPr>
          <w:rStyle w:val="af7"/>
          <w:rFonts w:eastAsia="Guttman Hodes"/>
          <w:rtl/>
        </w:rPr>
        <w:instrText xml:space="preserve"> </w:instrText>
      </w:r>
      <w:r w:rsidRPr="00171A26">
        <w:rPr>
          <w:rStyle w:val="af7"/>
          <w:rFonts w:eastAsia="Guttman Hodes" w:hint="cs"/>
        </w:rPr>
        <w:instrText>REF</w:instrText>
      </w:r>
      <w:r w:rsidRPr="00171A26">
        <w:rPr>
          <w:rStyle w:val="af7"/>
          <w:rFonts w:eastAsia="Guttman Hodes" w:hint="cs"/>
          <w:rtl/>
        </w:rPr>
        <w:instrText xml:space="preserve"> _</w:instrText>
      </w:r>
      <w:r w:rsidRPr="00171A26">
        <w:rPr>
          <w:rStyle w:val="af7"/>
          <w:rFonts w:eastAsia="Guttman Hodes" w:hint="cs"/>
        </w:rPr>
        <w:instrText>Ref62588040 \r \h</w:instrText>
      </w:r>
      <w:r w:rsidRPr="00171A26">
        <w:rPr>
          <w:rStyle w:val="af7"/>
          <w:rFonts w:eastAsia="Guttman Hodes"/>
          <w:rtl/>
        </w:rPr>
        <w:instrText xml:space="preserve"> </w:instrText>
      </w:r>
      <w:r w:rsidRPr="00171A26">
        <w:rPr>
          <w:rStyle w:val="af7"/>
          <w:rFonts w:eastAsia="Guttman Hodes"/>
          <w:rtl/>
        </w:rPr>
      </w:r>
      <w:r w:rsidRPr="00171A26">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171A26">
        <w:rPr>
          <w:rStyle w:val="af7"/>
          <w:rFonts w:eastAsia="Guttman Hodes"/>
          <w:rtl/>
        </w:rPr>
        <w:fldChar w:fldCharType="end"/>
      </w:r>
      <w:r>
        <w:rPr>
          <w:rFonts w:hint="cs"/>
          <w:rtl/>
        </w:rPr>
        <w:t xml:space="preserve"> דלא מהני המיגו כיון שאין ב' הטענות יכולות להיות אמת, א"כ משמע דס"ל </w:t>
      </w:r>
      <w:r w:rsidRPr="00831A01">
        <w:rPr>
          <w:rStyle w:val="af9"/>
          <w:rFonts w:hint="cs"/>
          <w:rtl/>
        </w:rPr>
        <w:t>להרשב"ם</w:t>
      </w:r>
      <w:r>
        <w:rPr>
          <w:rFonts w:hint="cs"/>
          <w:rtl/>
        </w:rPr>
        <w:t xml:space="preserve"> דאף במקום שהמיגו הוא מיגו להחזיק ממון, לא מהני המיגו.</w:t>
      </w:r>
      <w:bookmarkEnd w:id="13760"/>
    </w:p>
    <w:p w:rsidR="003B7617" w:rsidRDefault="003B7617" w:rsidP="003B7617">
      <w:pPr>
        <w:pStyle w:val="a3"/>
        <w:rPr>
          <w:rtl/>
        </w:rPr>
      </w:pPr>
      <w:bookmarkStart w:id="13761" w:name="_Toc63163506"/>
      <w:bookmarkStart w:id="13762" w:name="_Toc63188755"/>
      <w:bookmarkStart w:id="13763" w:name="_Toc63247714"/>
      <w:r>
        <w:rPr>
          <w:rFonts w:hint="cs"/>
          <w:rtl/>
        </w:rPr>
        <w:t>ביאור הנימוק"י ברשב"ם דדמי למיגו במקום עדים כיון שהודה בפני המערער ממש שהוא מזויף</w:t>
      </w:r>
      <w:bookmarkEnd w:id="13761"/>
      <w:bookmarkEnd w:id="13762"/>
      <w:bookmarkEnd w:id="13763"/>
    </w:p>
    <w:p w:rsidR="003B7617" w:rsidRDefault="003B7617" w:rsidP="007E4E81">
      <w:pPr>
        <w:pStyle w:val="a0"/>
        <w:rPr>
          <w:rtl/>
        </w:rPr>
      </w:pPr>
      <w:bookmarkStart w:id="13764" w:name="_Ref63185766"/>
      <w:r>
        <w:rPr>
          <w:rFonts w:hint="cs"/>
          <w:rtl/>
        </w:rPr>
        <w:t xml:space="preserve">אך הקשה </w:t>
      </w:r>
      <w:r w:rsidRPr="00831A01">
        <w:rPr>
          <w:rStyle w:val="af9"/>
          <w:rFonts w:hint="cs"/>
          <w:rtl/>
        </w:rPr>
        <w:t>הנימוק"י</w:t>
      </w:r>
      <w:r>
        <w:rPr>
          <w:rFonts w:hint="cs"/>
          <w:rtl/>
        </w:rPr>
        <w:t xml:space="preserve"> על </w:t>
      </w:r>
      <w:r w:rsidRPr="00831A01">
        <w:rPr>
          <w:rStyle w:val="af9"/>
          <w:rFonts w:hint="cs"/>
          <w:rtl/>
        </w:rPr>
        <w:t>הרשב"ם</w:t>
      </w:r>
      <w:r>
        <w:rPr>
          <w:rFonts w:hint="cs"/>
          <w:rtl/>
        </w:rPr>
        <w:t xml:space="preserve"> דהא בגמ' לקמן </w:t>
      </w:r>
      <w:r w:rsidRPr="007109D9">
        <w:rPr>
          <w:rStyle w:val="af7"/>
          <w:rFonts w:eastAsia="Guttman Hodes" w:hint="cs"/>
          <w:rtl/>
        </w:rPr>
        <w:t>(לו.)</w:t>
      </w:r>
      <w:r>
        <w:rPr>
          <w:rFonts w:hint="cs"/>
          <w:rtl/>
        </w:rPr>
        <w:t xml:space="preserve"> אמרינן מיגו במקום שהמחזיק טוען למערער שקנה מעכו"ם וקמי דידי זבנה העכו"ם מינך, דהוא נאמן במיגו דמינך זבינתה, </w:t>
      </w:r>
      <w:r w:rsidRPr="003D0D37">
        <w:rPr>
          <w:rStyle w:val="afb"/>
          <w:rFonts w:hint="cs"/>
          <w:rtl/>
        </w:rPr>
        <w:t xml:space="preserve">[כשיש לו חזקת ג"ש, ואינו צריך שטר כדין כל הקונה מעכו"ם], </w:t>
      </w:r>
      <w:r>
        <w:rPr>
          <w:rFonts w:hint="cs"/>
          <w:rtl/>
        </w:rPr>
        <w:t xml:space="preserve">ואעפ"י שהודה המחזיק שקנה מאחר, ומשמע דהודה שלא קנה מהמערער, ותירץ </w:t>
      </w:r>
      <w:r w:rsidRPr="00831A01">
        <w:rPr>
          <w:rStyle w:val="af9"/>
          <w:rFonts w:hint="cs"/>
          <w:rtl/>
        </w:rPr>
        <w:t>הנימוק"י</w:t>
      </w:r>
      <w:r>
        <w:rPr>
          <w:rFonts w:hint="cs"/>
          <w:rtl/>
        </w:rPr>
        <w:t xml:space="preserve"> דהכא המיגו דמי יותר למיגו במקום עדים, כיון שהודה ממש בפני המערער, שהשטר מזויף, ועי' במה שביאר </w:t>
      </w:r>
      <w:r w:rsidRPr="00375B7C">
        <w:rPr>
          <w:rStyle w:val="af9"/>
          <w:rFonts w:hint="cs"/>
          <w:rtl/>
        </w:rPr>
        <w:t>בחי' רבי נחום</w:t>
      </w:r>
      <w:r>
        <w:rPr>
          <w:rFonts w:hint="cs"/>
          <w:rtl/>
        </w:rPr>
        <w:t xml:space="preserve"> </w:t>
      </w:r>
      <w:r w:rsidRPr="00CC1FE7">
        <w:rPr>
          <w:rStyle w:val="af7"/>
          <w:rFonts w:eastAsia="Guttman Hodes" w:hint="cs"/>
          <w:rtl/>
        </w:rPr>
        <w:t xml:space="preserve">(עי' אות </w:t>
      </w:r>
      <w:r w:rsidRPr="00CC1FE7">
        <w:rPr>
          <w:rStyle w:val="af7"/>
          <w:rFonts w:eastAsia="Guttman Hodes"/>
          <w:rtl/>
        </w:rPr>
        <w:fldChar w:fldCharType="begin"/>
      </w:r>
      <w:r w:rsidRPr="00CC1FE7">
        <w:rPr>
          <w:rStyle w:val="af7"/>
          <w:rFonts w:eastAsia="Guttman Hodes"/>
          <w:rtl/>
        </w:rPr>
        <w:instrText xml:space="preserve"> </w:instrText>
      </w:r>
      <w:r w:rsidRPr="00CC1FE7">
        <w:rPr>
          <w:rStyle w:val="af7"/>
          <w:rFonts w:eastAsia="Guttman Hodes" w:hint="cs"/>
        </w:rPr>
        <w:instrText>REF</w:instrText>
      </w:r>
      <w:r w:rsidRPr="00CC1FE7">
        <w:rPr>
          <w:rStyle w:val="af7"/>
          <w:rFonts w:eastAsia="Guttman Hodes" w:hint="cs"/>
          <w:rtl/>
        </w:rPr>
        <w:instrText xml:space="preserve"> _</w:instrText>
      </w:r>
      <w:r w:rsidRPr="00CC1FE7">
        <w:rPr>
          <w:rStyle w:val="af7"/>
          <w:rFonts w:eastAsia="Guttman Hodes" w:hint="cs"/>
        </w:rPr>
        <w:instrText>Ref63243610 \r \h</w:instrText>
      </w:r>
      <w:r w:rsidRPr="00CC1FE7">
        <w:rPr>
          <w:rStyle w:val="af7"/>
          <w:rFonts w:eastAsia="Guttman Hodes"/>
          <w:rtl/>
        </w:rPr>
        <w:instrText xml:space="preserve"> </w:instrText>
      </w:r>
      <w:r w:rsidRPr="00CC1FE7">
        <w:rPr>
          <w:rStyle w:val="af7"/>
          <w:rFonts w:eastAsia="Guttman Hodes"/>
          <w:rtl/>
        </w:rPr>
      </w:r>
      <w:r w:rsidRPr="00CC1FE7">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CC1FE7">
        <w:rPr>
          <w:rStyle w:val="af7"/>
          <w:rFonts w:eastAsia="Guttman Hodes"/>
          <w:rtl/>
        </w:rPr>
        <w:fldChar w:fldCharType="end"/>
      </w:r>
      <w:r>
        <w:rPr>
          <w:rFonts w:hint="cs"/>
          <w:rtl/>
        </w:rPr>
        <w:t xml:space="preserve"> דכוונת</w:t>
      </w:r>
      <w:r w:rsidRPr="00697953">
        <w:rPr>
          <w:rStyle w:val="af9"/>
          <w:rFonts w:hint="cs"/>
          <w:rtl/>
        </w:rPr>
        <w:t xml:space="preserve"> </w:t>
      </w:r>
      <w:r w:rsidRPr="00D517D9">
        <w:rPr>
          <w:rStyle w:val="af9"/>
          <w:rFonts w:hint="cs"/>
          <w:rtl/>
        </w:rPr>
        <w:t>הנימוק"י</w:t>
      </w:r>
      <w:r>
        <w:rPr>
          <w:rFonts w:hint="cs"/>
          <w:rtl/>
        </w:rPr>
        <w:t xml:space="preserve"> לבאר כדברי</w:t>
      </w:r>
      <w:r>
        <w:rPr>
          <w:rStyle w:val="af9"/>
          <w:rFonts w:hint="cs"/>
          <w:rtl/>
        </w:rPr>
        <w:t xml:space="preserve"> הריטב"א</w:t>
      </w:r>
      <w:r w:rsidRPr="00697953">
        <w:rPr>
          <w:rStyle w:val="af7"/>
          <w:rFonts w:eastAsia="Guttman Hodes" w:hint="cs"/>
          <w:rtl/>
        </w:rPr>
        <w:t xml:space="preserve"> (עי' או</w:t>
      </w:r>
      <w:r>
        <w:rPr>
          <w:rStyle w:val="af7"/>
          <w:rFonts w:eastAsia="Guttman Hodes" w:hint="cs"/>
          <w:rtl/>
        </w:rPr>
        <w:t xml:space="preserve">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Ref63244044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Pr>
          <w:rStyle w:val="af7"/>
          <w:rFonts w:eastAsia="Guttman Hodes"/>
          <w:rtl/>
        </w:rPr>
        <w:fldChar w:fldCharType="end"/>
      </w:r>
      <w:r>
        <w:rPr>
          <w:rFonts w:hint="cs"/>
          <w:rtl/>
        </w:rPr>
        <w:t>.</w:t>
      </w:r>
      <w:bookmarkEnd w:id="13764"/>
    </w:p>
    <w:p w:rsidR="003B7617" w:rsidRDefault="003B7617" w:rsidP="003B7617">
      <w:pPr>
        <w:pStyle w:val="1"/>
        <w:rPr>
          <w:rtl/>
        </w:rPr>
      </w:pPr>
      <w:bookmarkStart w:id="13765" w:name="_Toc63111456"/>
      <w:bookmarkStart w:id="13766" w:name="_Toc63163514"/>
      <w:bookmarkStart w:id="13767" w:name="_Toc63188756"/>
      <w:bookmarkStart w:id="13768" w:name="_Toc63247715"/>
      <w:bookmarkStart w:id="13769" w:name="_Toc63111458"/>
      <w:bookmarkStart w:id="13770" w:name="_Toc63163507"/>
      <w:r>
        <w:rPr>
          <w:rFonts w:hint="cs"/>
          <w:rtl/>
        </w:rPr>
        <w:t>בי' הגידו"ת בנימוק"י</w:t>
      </w:r>
      <w:bookmarkEnd w:id="13765"/>
      <w:bookmarkEnd w:id="13766"/>
      <w:r>
        <w:rPr>
          <w:rFonts w:hint="cs"/>
          <w:rtl/>
        </w:rPr>
        <w:t xml:space="preserve"> דנח' רבה ורב יוסף אי חשיב מיגו להוציא</w:t>
      </w:r>
      <w:bookmarkEnd w:id="13767"/>
      <w:bookmarkEnd w:id="13768"/>
    </w:p>
    <w:p w:rsidR="003B7617" w:rsidRDefault="003B7617" w:rsidP="003B7617">
      <w:pPr>
        <w:pStyle w:val="a3"/>
        <w:rPr>
          <w:rtl/>
        </w:rPr>
      </w:pPr>
      <w:bookmarkStart w:id="13771" w:name="_Toc63188757"/>
      <w:bookmarkStart w:id="13772" w:name="_Toc63247716"/>
      <w:r>
        <w:rPr>
          <w:rFonts w:hint="cs"/>
          <w:rtl/>
        </w:rPr>
        <w:t>ביאור הגידו"ת בנימוק"י דרבה ורב יוסף פליגי אי חשיב מוחזק מכח השטר ולא מחמת שיושב בה</w:t>
      </w:r>
      <w:bookmarkEnd w:id="13771"/>
      <w:bookmarkEnd w:id="13772"/>
    </w:p>
    <w:p w:rsidR="003B7617" w:rsidRDefault="003B7617" w:rsidP="007E4E81">
      <w:pPr>
        <w:pStyle w:val="a0"/>
        <w:rPr>
          <w:rtl/>
        </w:rPr>
      </w:pPr>
      <w:bookmarkStart w:id="13773" w:name="_Ref63155485"/>
      <w:r>
        <w:rPr>
          <w:rFonts w:hint="cs"/>
          <w:rtl/>
        </w:rPr>
        <w:t xml:space="preserve">במ"ש </w:t>
      </w:r>
      <w:r w:rsidRPr="00831A01">
        <w:rPr>
          <w:rStyle w:val="af9"/>
          <w:rFonts w:hint="cs"/>
          <w:rtl/>
        </w:rPr>
        <w:t>הנימוק"י</w:t>
      </w:r>
      <w:r w:rsidRPr="00E10889">
        <w:rPr>
          <w:rStyle w:val="af7"/>
          <w:rFonts w:eastAsia="Guttman Hodes" w:hint="cs"/>
          <w:rtl/>
        </w:rPr>
        <w:t xml:space="preserve"> (עי' אות </w:t>
      </w:r>
      <w:r w:rsidRPr="00E10889">
        <w:rPr>
          <w:rStyle w:val="af7"/>
          <w:rFonts w:eastAsia="Guttman Hodes"/>
          <w:rtl/>
        </w:rPr>
        <w:fldChar w:fldCharType="begin"/>
      </w:r>
      <w:r w:rsidRPr="00E10889">
        <w:rPr>
          <w:rStyle w:val="af7"/>
          <w:rFonts w:eastAsia="Guttman Hodes"/>
          <w:rtl/>
        </w:rPr>
        <w:instrText xml:space="preserve"> </w:instrText>
      </w:r>
      <w:r w:rsidRPr="00E10889">
        <w:rPr>
          <w:rStyle w:val="af7"/>
          <w:rFonts w:eastAsia="Guttman Hodes" w:hint="cs"/>
        </w:rPr>
        <w:instrText>REF</w:instrText>
      </w:r>
      <w:r w:rsidRPr="00E10889">
        <w:rPr>
          <w:rStyle w:val="af7"/>
          <w:rFonts w:eastAsia="Guttman Hodes" w:hint="cs"/>
          <w:rtl/>
        </w:rPr>
        <w:instrText xml:space="preserve"> _</w:instrText>
      </w:r>
      <w:r w:rsidRPr="00E10889">
        <w:rPr>
          <w:rStyle w:val="af7"/>
          <w:rFonts w:eastAsia="Guttman Hodes" w:hint="cs"/>
        </w:rPr>
        <w:instrText>Ref63155578 \r \h</w:instrText>
      </w:r>
      <w:r w:rsidRPr="00E10889">
        <w:rPr>
          <w:rStyle w:val="af7"/>
          <w:rFonts w:eastAsia="Guttman Hodes"/>
          <w:rtl/>
        </w:rPr>
        <w:instrText xml:space="preserve"> </w:instrText>
      </w:r>
      <w:r w:rsidRPr="00E10889">
        <w:rPr>
          <w:rStyle w:val="af7"/>
          <w:rFonts w:eastAsia="Guttman Hodes"/>
          <w:rtl/>
        </w:rPr>
      </w:r>
      <w:r w:rsidRPr="00E10889">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E10889">
        <w:rPr>
          <w:rStyle w:val="af7"/>
          <w:rFonts w:eastAsia="Guttman Hodes"/>
          <w:rtl/>
        </w:rPr>
        <w:fldChar w:fldCharType="end"/>
      </w:r>
      <w:r>
        <w:rPr>
          <w:rStyle w:val="af9"/>
          <w:rFonts w:hint="cs"/>
          <w:rtl/>
        </w:rPr>
        <w:t xml:space="preserve"> </w:t>
      </w:r>
      <w:r>
        <w:rPr>
          <w:rFonts w:hint="cs"/>
          <w:rtl/>
        </w:rPr>
        <w:t xml:space="preserve">דלרבה כשיש לו שטר מקוים, חשיב כמיגו להחזיק, ולרב יוסף ביאר כיון שהמחזיק הודה </w:t>
      </w:r>
      <w:r w:rsidRPr="006E6189">
        <w:rPr>
          <w:rFonts w:hint="cs"/>
          <w:rtl/>
        </w:rPr>
        <w:t xml:space="preserve">שהשטר הוא מזויף, ממילא בטלה </w:t>
      </w:r>
      <w:r>
        <w:rPr>
          <w:rFonts w:hint="cs"/>
          <w:rtl/>
        </w:rPr>
        <w:t>חזקתו</w:t>
      </w:r>
      <w:r w:rsidRPr="006E6189">
        <w:rPr>
          <w:rFonts w:hint="cs"/>
          <w:rtl/>
        </w:rPr>
        <w:t xml:space="preserve"> בקרקע מכח השטר, </w:t>
      </w:r>
      <w:r>
        <w:rPr>
          <w:rFonts w:hint="cs"/>
          <w:rtl/>
        </w:rPr>
        <w:t>וחשיב כ</w:t>
      </w:r>
      <w:r w:rsidRPr="00B75BBD">
        <w:rPr>
          <w:rFonts w:hint="cs"/>
          <w:rtl/>
        </w:rPr>
        <w:t xml:space="preserve">מיגו להוציא, </w:t>
      </w:r>
      <w:r>
        <w:rPr>
          <w:rFonts w:hint="cs"/>
          <w:rtl/>
        </w:rPr>
        <w:t xml:space="preserve">כתב </w:t>
      </w:r>
      <w:r>
        <w:rPr>
          <w:rStyle w:val="af9"/>
          <w:rtl/>
        </w:rPr>
        <w:t>הגידולי תרומה</w:t>
      </w:r>
      <w:r>
        <w:rPr>
          <w:rStyle w:val="af7"/>
          <w:rFonts w:eastAsia="Guttman Hodes" w:hint="cs"/>
          <w:rtl/>
        </w:rPr>
        <w:t xml:space="preserve"> (שער י"ז ח"ב ד"ה ולרב הנמקי)</w:t>
      </w:r>
      <w:r>
        <w:rPr>
          <w:rFonts w:hint="cs"/>
          <w:rtl/>
        </w:rPr>
        <w:t xml:space="preserve"> דמשמע מדברי </w:t>
      </w:r>
      <w:r w:rsidRPr="00831A01">
        <w:rPr>
          <w:rStyle w:val="af9"/>
          <w:rFonts w:hint="cs"/>
          <w:rtl/>
        </w:rPr>
        <w:t>הנימוק"י</w:t>
      </w:r>
      <w:r>
        <w:rPr>
          <w:rFonts w:hint="cs"/>
          <w:rtl/>
        </w:rPr>
        <w:t xml:space="preserve"> דבין לרבה ובין לרב יוסף לא אמרינן מיגו להוציא, ומהני מיגו להחזיק, ועיקר המחלוקת של רבה ורב יוסף, היא האם המחזיק הוא המוחזק וא"כ המיגו של המחזיק הוא מיגו להחזיק, או דהמערער הוא המוחזק וחשיב מיגו להוציא, ובקרקע ס"ל לרבה דאעפ"י שאין למחזיק חזקת ג"ש, מ"מ חשיב מיגו להחזיק כיון שיש לו שטר, וא"כ מוכח דמודה רבה דכ"מ שהוא מוחזק בקרקע הוא רק מחמת השטר, אבל מצד מה שהוא יושב בקרקע לא חשיב מוחזק.</w:t>
      </w:r>
      <w:bookmarkEnd w:id="13773"/>
    </w:p>
    <w:p w:rsidR="003B7617" w:rsidRDefault="003B7617" w:rsidP="003B7617">
      <w:pPr>
        <w:pStyle w:val="a3"/>
        <w:rPr>
          <w:rtl/>
        </w:rPr>
      </w:pPr>
      <w:bookmarkStart w:id="13774" w:name="_Toc63188758"/>
      <w:bookmarkStart w:id="13775" w:name="_Toc63247717"/>
      <w:r>
        <w:rPr>
          <w:rFonts w:hint="cs"/>
          <w:rtl/>
        </w:rPr>
        <w:t>קושית הגידו"ת דלהנימוק"י רב אידי פסק בקרקע דלא כרבה דהוא מודה שהיא בחזקת המר"ק</w:t>
      </w:r>
      <w:bookmarkEnd w:id="13774"/>
      <w:bookmarkEnd w:id="13775"/>
    </w:p>
    <w:p w:rsidR="003B7617" w:rsidRDefault="003B7617" w:rsidP="007E4E81">
      <w:pPr>
        <w:pStyle w:val="a0"/>
        <w:rPr>
          <w:rtl/>
        </w:rPr>
      </w:pPr>
      <w:r>
        <w:rPr>
          <w:rFonts w:hint="cs"/>
          <w:rtl/>
        </w:rPr>
        <w:t xml:space="preserve">והקשה </w:t>
      </w:r>
      <w:r w:rsidRPr="002179CC">
        <w:rPr>
          <w:rStyle w:val="af9"/>
          <w:rFonts w:hint="cs"/>
          <w:rtl/>
        </w:rPr>
        <w:t>הגידולי תרומה</w:t>
      </w:r>
      <w:r>
        <w:rPr>
          <w:rFonts w:hint="cs"/>
          <w:rtl/>
        </w:rPr>
        <w:t xml:space="preserve"> דהאיך פסק כרב אידי כרבה בארעא דהיכא דקיימא תיקום, והא אף רבה גופיה מודה דהקרקע היא בחזקת המרא קמא, ורק מחמת השטר חשיב למוחזק, וא"כ בארעא פסק רב אידי דלא כרבה ודלא כרב יוסף, דמדברי רב אידי משמע דאף כשאין למחזיק שטר וחזקת ג"ש, מ"מ מעמידים את הקרקע בידו.</w:t>
      </w:r>
    </w:p>
    <w:p w:rsidR="003B7617" w:rsidRDefault="003B7617" w:rsidP="003B7617">
      <w:pPr>
        <w:pStyle w:val="a3"/>
        <w:rPr>
          <w:rtl/>
        </w:rPr>
      </w:pPr>
      <w:bookmarkStart w:id="13776" w:name="_Toc63188759"/>
      <w:bookmarkStart w:id="13777" w:name="_Toc63247718"/>
      <w:r>
        <w:rPr>
          <w:rFonts w:hint="cs"/>
          <w:rtl/>
        </w:rPr>
        <w:t>קושית הגידו"ת על הנימוק"י דמשמע דפשיטא לרב אידי כרבה בין בקרקע ובין במעות</w:t>
      </w:r>
      <w:bookmarkEnd w:id="13776"/>
      <w:bookmarkEnd w:id="13777"/>
      <w:r>
        <w:rPr>
          <w:rFonts w:hint="cs"/>
          <w:rtl/>
        </w:rPr>
        <w:t xml:space="preserve"> </w:t>
      </w:r>
    </w:p>
    <w:p w:rsidR="003B7617" w:rsidRDefault="003B7617" w:rsidP="007E4E81">
      <w:pPr>
        <w:pStyle w:val="a0"/>
        <w:rPr>
          <w:rtl/>
        </w:rPr>
      </w:pPr>
      <w:r>
        <w:rPr>
          <w:rFonts w:hint="cs"/>
          <w:rtl/>
        </w:rPr>
        <w:t xml:space="preserve">והביא </w:t>
      </w:r>
      <w:r w:rsidRPr="00D031F5">
        <w:rPr>
          <w:rStyle w:val="af9"/>
          <w:rFonts w:hint="cs"/>
          <w:rtl/>
        </w:rPr>
        <w:t>הגידולי תרומה</w:t>
      </w:r>
      <w:r>
        <w:rPr>
          <w:rFonts w:hint="cs"/>
          <w:rtl/>
        </w:rPr>
        <w:t xml:space="preserve"> את דברי </w:t>
      </w:r>
      <w:r w:rsidRPr="00DB314B">
        <w:rPr>
          <w:rStyle w:val="af9"/>
          <w:rFonts w:hint="cs"/>
          <w:rtl/>
        </w:rPr>
        <w:t>הנימוק</w:t>
      </w:r>
      <w:r>
        <w:rPr>
          <w:rStyle w:val="af9"/>
          <w:rFonts w:hint="cs"/>
          <w:rtl/>
        </w:rPr>
        <w:t>"</w:t>
      </w:r>
      <w:r w:rsidRPr="00DB314B">
        <w:rPr>
          <w:rStyle w:val="af9"/>
          <w:rFonts w:hint="cs"/>
          <w:rtl/>
        </w:rPr>
        <w:t xml:space="preserve">י </w:t>
      </w:r>
      <w:r w:rsidRPr="0044485A">
        <w:rPr>
          <w:rStyle w:val="af7"/>
          <w:rFonts w:eastAsia="Guttman Hodes" w:hint="cs"/>
          <w:rtl/>
        </w:rPr>
        <w:t>(עי' הערה</w:t>
      </w:r>
      <w:r w:rsidRPr="0044485A">
        <w:rPr>
          <w:vertAlign w:val="superscript"/>
          <w:rtl/>
        </w:rPr>
        <w:fldChar w:fldCharType="begin"/>
      </w:r>
      <w:r w:rsidRPr="0044485A">
        <w:rPr>
          <w:vertAlign w:val="superscript"/>
          <w:rtl/>
        </w:rPr>
        <w:instrText xml:space="preserve"> </w:instrText>
      </w:r>
      <w:r w:rsidRPr="0044485A">
        <w:rPr>
          <w:rFonts w:hint="cs"/>
          <w:vertAlign w:val="superscript"/>
        </w:rPr>
        <w:instrText>NOTEREF</w:instrText>
      </w:r>
      <w:r w:rsidRPr="0044485A">
        <w:rPr>
          <w:rFonts w:hint="cs"/>
          <w:vertAlign w:val="superscript"/>
          <w:rtl/>
        </w:rPr>
        <w:instrText xml:space="preserve"> _</w:instrText>
      </w:r>
      <w:r w:rsidRPr="0044485A">
        <w:rPr>
          <w:rFonts w:hint="cs"/>
          <w:vertAlign w:val="superscript"/>
        </w:rPr>
        <w:instrText>Ref63247982 \h</w:instrText>
      </w:r>
      <w:r w:rsidRPr="0044485A">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4485A">
        <w:rPr>
          <w:vertAlign w:val="superscript"/>
          <w:rtl/>
        </w:rPr>
      </w:r>
      <w:r w:rsidRPr="0044485A">
        <w:rPr>
          <w:vertAlign w:val="superscript"/>
          <w:rtl/>
        </w:rPr>
        <w:fldChar w:fldCharType="separate"/>
      </w:r>
      <w:r w:rsidR="00265073">
        <w:rPr>
          <w:vertAlign w:val="superscript"/>
          <w:rtl/>
        </w:rPr>
        <w:t>96</w:t>
      </w:r>
      <w:r w:rsidRPr="0044485A">
        <w:rPr>
          <w:vertAlign w:val="superscript"/>
          <w:rtl/>
        </w:rPr>
        <w:fldChar w:fldCharType="end"/>
      </w:r>
      <w:r w:rsidRPr="0044485A">
        <w:rPr>
          <w:rStyle w:val="af7"/>
          <w:rFonts w:eastAsia="Guttman Hodes" w:hint="cs"/>
          <w:rtl/>
        </w:rPr>
        <w:t xml:space="preserve">) </w:t>
      </w:r>
      <w:r>
        <w:rPr>
          <w:rFonts w:hint="cs"/>
          <w:rtl/>
        </w:rPr>
        <w:t xml:space="preserve">דכתב דהא דקיי"ל כרבה בארעא דהיכא דקיימא תיקום, הוא כיון דחשיב שמעמיד את הממון ברשותו, ולכן הוא נאמן במיגו, דאינו מיגו להוציא, וכיון שיש ספק לגמ' אי קיי"ל כרבה או כרב יוסף לכן קיי"ל כרבה בארעה וכרב יוסף בזוזי, והקשה </w:t>
      </w:r>
      <w:r w:rsidRPr="00A44BAA">
        <w:rPr>
          <w:rStyle w:val="af9"/>
          <w:rFonts w:hint="cs"/>
          <w:rtl/>
        </w:rPr>
        <w:t>הגידולי תרומה</w:t>
      </w:r>
      <w:r>
        <w:rPr>
          <w:rFonts w:hint="cs"/>
          <w:rtl/>
        </w:rPr>
        <w:t xml:space="preserve"> דהרי לביאור </w:t>
      </w:r>
      <w:r w:rsidRPr="002179CC">
        <w:rPr>
          <w:rStyle w:val="af9"/>
          <w:rFonts w:hint="cs"/>
          <w:rtl/>
        </w:rPr>
        <w:t>הנימוק"י</w:t>
      </w:r>
      <w:r>
        <w:rPr>
          <w:rFonts w:hint="cs"/>
          <w:rtl/>
        </w:rPr>
        <w:t xml:space="preserve"> </w:t>
      </w:r>
      <w:r w:rsidRPr="00CF3498">
        <w:rPr>
          <w:rStyle w:val="af7"/>
          <w:rFonts w:eastAsia="Guttman Hodes" w:hint="cs"/>
          <w:rtl/>
        </w:rPr>
        <w:t xml:space="preserve">(עי' אות </w:t>
      </w:r>
      <w:r w:rsidRPr="00CF3498">
        <w:rPr>
          <w:rStyle w:val="af7"/>
          <w:rFonts w:eastAsia="Guttman Hodes"/>
          <w:highlight w:val="yellow"/>
          <w:rtl/>
        </w:rPr>
        <w:fldChar w:fldCharType="begin"/>
      </w:r>
      <w:r w:rsidRPr="00CF3498">
        <w:rPr>
          <w:rStyle w:val="af7"/>
          <w:rFonts w:eastAsia="Guttman Hodes"/>
          <w:rtl/>
        </w:rPr>
        <w:instrText xml:space="preserve"> </w:instrText>
      </w:r>
      <w:r w:rsidRPr="00CF3498">
        <w:rPr>
          <w:rStyle w:val="af7"/>
          <w:rFonts w:eastAsia="Guttman Hodes" w:hint="cs"/>
        </w:rPr>
        <w:instrText>REF</w:instrText>
      </w:r>
      <w:r w:rsidRPr="00CF3498">
        <w:rPr>
          <w:rStyle w:val="af7"/>
          <w:rFonts w:eastAsia="Guttman Hodes" w:hint="cs"/>
          <w:rtl/>
        </w:rPr>
        <w:instrText xml:space="preserve"> _</w:instrText>
      </w:r>
      <w:r w:rsidRPr="00CF3498">
        <w:rPr>
          <w:rStyle w:val="af7"/>
          <w:rFonts w:eastAsia="Guttman Hodes" w:hint="cs"/>
        </w:rPr>
        <w:instrText>Ref63155485 \r \h</w:instrText>
      </w:r>
      <w:r w:rsidRPr="00CF3498">
        <w:rPr>
          <w:rStyle w:val="af7"/>
          <w:rFonts w:eastAsia="Guttman Hodes"/>
          <w:rtl/>
        </w:rPr>
        <w:instrText xml:space="preserve"> </w:instrText>
      </w:r>
      <w:r w:rsidRPr="00CF3498">
        <w:rPr>
          <w:rStyle w:val="af7"/>
          <w:rFonts w:eastAsia="Guttman Hodes"/>
          <w:highlight w:val="yellow"/>
          <w:rtl/>
        </w:rPr>
      </w:r>
      <w:r w:rsidRPr="00CF3498">
        <w:rPr>
          <w:rStyle w:val="af7"/>
          <w:rFonts w:eastAsia="Guttman Hodes"/>
          <w:highlight w:val="yellow"/>
          <w:rtl/>
        </w:rPr>
        <w:fldChar w:fldCharType="separate"/>
      </w:r>
      <w:r w:rsidR="00265073">
        <w:rPr>
          <w:rStyle w:val="af7"/>
          <w:rFonts w:eastAsia="Guttman Hodes"/>
          <w:cs/>
        </w:rPr>
        <w:t>‎</w:t>
      </w:r>
      <w:r w:rsidR="00265073">
        <w:rPr>
          <w:rStyle w:val="af7"/>
          <w:rFonts w:eastAsia="Guttman Hodes"/>
          <w:rtl/>
        </w:rPr>
        <w:t>לז)</w:t>
      </w:r>
      <w:r w:rsidRPr="00CF3498">
        <w:rPr>
          <w:rStyle w:val="af7"/>
          <w:rFonts w:eastAsia="Guttman Hodes"/>
          <w:highlight w:val="yellow"/>
          <w:rtl/>
        </w:rPr>
        <w:fldChar w:fldCharType="end"/>
      </w:r>
      <w:r>
        <w:rPr>
          <w:rFonts w:hint="cs"/>
          <w:rtl/>
        </w:rPr>
        <w:t xml:space="preserve"> רבה ורבה יוסף נחלקו אי כשיש לו שטר חשיב כמוחזק בקרקע ובמעות, אבל בגוף הקרקע והמעות לכו"ע אינו </w:t>
      </w:r>
      <w:r>
        <w:rPr>
          <w:rFonts w:hint="cs"/>
          <w:rtl/>
        </w:rPr>
        <w:t xml:space="preserve">מוחזק, וא"כ כיון דפסק רב אידי כרבה בארעא כיון דקיימא ברשותיה, ולא מחמת השטר, וא"כ מוכח דלענין עיקר המחלוקת של רבה ורב יוסף אי מכח השטר הוא מוחזק, פשיטא ליה לרב אידי דקיי"ל כרבה בין בקרקע ובין במעות, וא"כ היאך כתב </w:t>
      </w:r>
      <w:r w:rsidRPr="002179CC">
        <w:rPr>
          <w:rStyle w:val="af9"/>
          <w:rFonts w:hint="cs"/>
          <w:rtl/>
        </w:rPr>
        <w:t>הנימוק"י</w:t>
      </w:r>
      <w:r>
        <w:rPr>
          <w:rFonts w:hint="cs"/>
          <w:rtl/>
        </w:rPr>
        <w:t xml:space="preserve"> דיש ספק אי קיי"ל כרבה או כרב יוסף.</w:t>
      </w:r>
    </w:p>
    <w:p w:rsidR="003B7617" w:rsidRDefault="003B7617" w:rsidP="003B7617">
      <w:pPr>
        <w:pStyle w:val="a3"/>
        <w:rPr>
          <w:rtl/>
        </w:rPr>
      </w:pPr>
      <w:bookmarkStart w:id="13778" w:name="_Toc63188760"/>
      <w:bookmarkStart w:id="13779" w:name="_Toc63247719"/>
      <w:r>
        <w:rPr>
          <w:rFonts w:hint="cs"/>
          <w:rtl/>
        </w:rPr>
        <w:t>תירוץ הגידו"ת דמספקא לרב אידי אי מהני מיגו ולענין מיגו להוציא פסק דחשיב מוחזק</w:t>
      </w:r>
      <w:bookmarkEnd w:id="13778"/>
      <w:bookmarkEnd w:id="13779"/>
    </w:p>
    <w:p w:rsidR="003B7617" w:rsidRDefault="003B7617" w:rsidP="007E4E81">
      <w:pPr>
        <w:pStyle w:val="a0"/>
        <w:rPr>
          <w:sz w:val="10"/>
          <w:szCs w:val="14"/>
          <w:rtl/>
        </w:rPr>
      </w:pPr>
      <w:r>
        <w:rPr>
          <w:rFonts w:hint="cs"/>
          <w:rtl/>
        </w:rPr>
        <w:t xml:space="preserve">וכתב </w:t>
      </w:r>
      <w:r w:rsidRPr="00D031F5">
        <w:rPr>
          <w:rStyle w:val="af9"/>
          <w:rFonts w:hint="cs"/>
          <w:rtl/>
        </w:rPr>
        <w:t>הגידולי תרומה</w:t>
      </w:r>
      <w:r>
        <w:rPr>
          <w:rFonts w:hint="cs"/>
          <w:rtl/>
        </w:rPr>
        <w:t xml:space="preserve"> דאפשר לדחוק דכוונת </w:t>
      </w:r>
      <w:r w:rsidRPr="002179CC">
        <w:rPr>
          <w:rStyle w:val="af9"/>
          <w:rFonts w:hint="cs"/>
          <w:rtl/>
        </w:rPr>
        <w:t xml:space="preserve">הנימוק"י </w:t>
      </w:r>
      <w:r>
        <w:rPr>
          <w:rFonts w:hint="cs"/>
          <w:rtl/>
        </w:rPr>
        <w:t>לומר דהספק בגמ' אי מיגו כזה מחמת השטר מהני, ולכן פסק רב אידי דבקרקע שהיא ברשותו, לכן אעפ"י שאינו מוחזק גמור בקרקע, מהני השטר להחשיב את המיגו כמיגו להחזיק, אבל במעות שהלוה הוא המוחזק בהם, לא מהני השטר, וחשיב המיגו כמיגו להוציא.</w:t>
      </w:r>
      <w:r w:rsidRPr="00F9613F">
        <w:rPr>
          <w:rFonts w:hint="cs"/>
          <w:rtl/>
        </w:rPr>
        <w:t xml:space="preserve"> </w:t>
      </w:r>
      <w:r w:rsidRPr="00F9613F">
        <w:rPr>
          <w:rStyle w:val="afb"/>
          <w:rFonts w:hint="cs"/>
          <w:rtl/>
        </w:rPr>
        <w:t>[</w:t>
      </w:r>
      <w:r>
        <w:rPr>
          <w:rStyle w:val="afb"/>
          <w:rFonts w:hint="cs"/>
          <w:rtl/>
        </w:rPr>
        <w:t xml:space="preserve">אך </w:t>
      </w:r>
      <w:r w:rsidRPr="00F9613F">
        <w:rPr>
          <w:rStyle w:val="afb"/>
          <w:rFonts w:hint="cs"/>
          <w:rtl/>
        </w:rPr>
        <w:t xml:space="preserve">כתב </w:t>
      </w:r>
      <w:r w:rsidRPr="002179CC">
        <w:rPr>
          <w:rStyle w:val="affa"/>
          <w:rFonts w:hint="cs"/>
          <w:rtl/>
        </w:rPr>
        <w:t>הגידולי תרומה</w:t>
      </w:r>
      <w:r w:rsidRPr="00F9613F">
        <w:rPr>
          <w:rStyle w:val="afb"/>
          <w:rFonts w:hint="cs"/>
          <w:rtl/>
        </w:rPr>
        <w:t xml:space="preserve"> דא"א לתרץ כן את הקושיה הראשנה, דכוונת רבה לומר דכיון שיש לו שטר לכן מעמידים את הקרקע ביד המחזיק כיון שהיא ברשותו, אעפ"י שאין לו חזקה, דא"כ אמאי פליג רבה בזוזי, הרי אינם ברשות</w:t>
      </w:r>
      <w:r>
        <w:rPr>
          <w:rStyle w:val="afb"/>
          <w:rFonts w:hint="cs"/>
          <w:rtl/>
        </w:rPr>
        <w:t xml:space="preserve"> </w:t>
      </w:r>
      <w:r w:rsidRPr="00F9613F">
        <w:rPr>
          <w:rStyle w:val="afb"/>
          <w:rFonts w:hint="cs"/>
          <w:rtl/>
        </w:rPr>
        <w:t>המלוה שהשטר בידו, ועוד האיך אפש"ל דכיון דמספקא ליה</w:t>
      </w:r>
      <w:r>
        <w:rPr>
          <w:rStyle w:val="afb"/>
          <w:rFonts w:hint="cs"/>
          <w:rtl/>
        </w:rPr>
        <w:t xml:space="preserve"> </w:t>
      </w:r>
      <w:r w:rsidRPr="00F9613F">
        <w:rPr>
          <w:rStyle w:val="afb"/>
          <w:rFonts w:hint="cs"/>
          <w:rtl/>
        </w:rPr>
        <w:t xml:space="preserve">לרב אידי כמו מי ההלכה, לכן פסק כרבה בארעא דהיכא דקיימא תיקום, דא"כ פסק כרבה ממש ולא מכח ספק]. </w:t>
      </w:r>
    </w:p>
    <w:p w:rsidR="003B7617" w:rsidRDefault="003B7617" w:rsidP="003B7617">
      <w:pPr>
        <w:pStyle w:val="1"/>
        <w:rPr>
          <w:rtl/>
        </w:rPr>
      </w:pPr>
      <w:bookmarkStart w:id="13780" w:name="_Toc63188761"/>
      <w:bookmarkStart w:id="13781" w:name="_Toc63247720"/>
      <w:r>
        <w:rPr>
          <w:rFonts w:hint="cs"/>
          <w:rtl/>
        </w:rPr>
        <w:t>ביאור החת"ס דכוונת הרשב"ם כתוס' דאינו חוזר וטוען</w:t>
      </w:r>
      <w:bookmarkEnd w:id="13769"/>
      <w:bookmarkEnd w:id="13770"/>
      <w:bookmarkEnd w:id="13780"/>
      <w:bookmarkEnd w:id="13781"/>
    </w:p>
    <w:p w:rsidR="003B7617" w:rsidRDefault="003B7617" w:rsidP="003B7617">
      <w:pPr>
        <w:pStyle w:val="a3"/>
        <w:rPr>
          <w:rtl/>
        </w:rPr>
      </w:pPr>
      <w:bookmarkStart w:id="13782" w:name="_Toc63111459"/>
      <w:bookmarkStart w:id="13783" w:name="_Toc63163508"/>
      <w:bookmarkStart w:id="13784" w:name="_Toc63188762"/>
      <w:bookmarkStart w:id="13785" w:name="_Toc63247721"/>
      <w:r>
        <w:rPr>
          <w:rFonts w:hint="cs"/>
          <w:rtl/>
        </w:rPr>
        <w:t>ביאור החת"ס ברשב"ם ותוס' דאינו חוזר וטוען דאחר שהודה חשיב חוזר וטוען מחיוב לפטור</w:t>
      </w:r>
      <w:bookmarkEnd w:id="13782"/>
      <w:bookmarkEnd w:id="13783"/>
      <w:bookmarkEnd w:id="13784"/>
      <w:bookmarkEnd w:id="13785"/>
    </w:p>
    <w:p w:rsidR="003B7617" w:rsidRDefault="003B7617" w:rsidP="007E4E81">
      <w:pPr>
        <w:pStyle w:val="a0"/>
        <w:rPr>
          <w:rStyle w:val="afb"/>
          <w:rtl/>
        </w:rPr>
      </w:pPr>
      <w:bookmarkStart w:id="13786" w:name="_Ref63186653"/>
      <w:r>
        <w:rPr>
          <w:rFonts w:hint="cs"/>
          <w:rtl/>
        </w:rPr>
        <w:t xml:space="preserve">ועי' בדברי </w:t>
      </w:r>
      <w:r w:rsidRPr="00442ED9">
        <w:rPr>
          <w:rStyle w:val="af9"/>
          <w:rFonts w:hint="cs"/>
          <w:rtl/>
        </w:rPr>
        <w:t xml:space="preserve">החת"ס </w:t>
      </w:r>
      <w:r w:rsidRPr="00252C9A">
        <w:rPr>
          <w:rStyle w:val="af7"/>
          <w:rFonts w:eastAsia="Guttman Hodes" w:hint="cs"/>
          <w:rtl/>
        </w:rPr>
        <w:t>(ד"ה אמאי)</w:t>
      </w:r>
      <w:r>
        <w:rPr>
          <w:rFonts w:hint="cs"/>
          <w:rtl/>
        </w:rPr>
        <w:t xml:space="preserve"> דהביא את קושית </w:t>
      </w:r>
      <w:r w:rsidRPr="00C6520A">
        <w:rPr>
          <w:rStyle w:val="af9"/>
          <w:rFonts w:hint="cs"/>
          <w:rtl/>
        </w:rPr>
        <w:t>הרמב</w:t>
      </w:r>
      <w:r w:rsidRPr="006D7239">
        <w:rPr>
          <w:rStyle w:val="af9"/>
          <w:rFonts w:hint="cs"/>
          <w:rtl/>
        </w:rPr>
        <w:t>"ן</w:t>
      </w:r>
      <w:r>
        <w:rPr>
          <w:rFonts w:hint="cs"/>
          <w:rtl/>
        </w:rPr>
        <w:t xml:space="preserve"> </w:t>
      </w:r>
      <w:r w:rsidRPr="00252C9A">
        <w:rPr>
          <w:rStyle w:val="af7"/>
          <w:rFonts w:eastAsia="Guttman Hodes" w:hint="cs"/>
          <w:rtl/>
        </w:rPr>
        <w:t>(עי'</w:t>
      </w:r>
      <w:r>
        <w:rPr>
          <w:rFonts w:hint="cs"/>
          <w:rtl/>
        </w:rPr>
        <w:t xml:space="preserve"> </w:t>
      </w:r>
      <w:r w:rsidRPr="00252C9A">
        <w:rPr>
          <w:rStyle w:val="af7"/>
          <w:rFonts w:eastAsia="Guttman Hodes" w:hint="cs"/>
          <w:rtl/>
        </w:rPr>
        <w:t xml:space="preserve">אות </w:t>
      </w:r>
      <w:r w:rsidRPr="00252C9A">
        <w:rPr>
          <w:rStyle w:val="af7"/>
          <w:rFonts w:eastAsia="Guttman Hodes"/>
          <w:rtl/>
        </w:rPr>
        <w:fldChar w:fldCharType="begin"/>
      </w:r>
      <w:r w:rsidRPr="00252C9A">
        <w:rPr>
          <w:rStyle w:val="af7"/>
          <w:rFonts w:eastAsia="Guttman Hodes"/>
          <w:rtl/>
        </w:rPr>
        <w:instrText xml:space="preserve"> </w:instrText>
      </w:r>
      <w:r w:rsidRPr="00252C9A">
        <w:rPr>
          <w:rStyle w:val="af7"/>
          <w:rFonts w:eastAsia="Guttman Hodes" w:hint="cs"/>
        </w:rPr>
        <w:instrText>REF</w:instrText>
      </w:r>
      <w:r w:rsidRPr="00252C9A">
        <w:rPr>
          <w:rStyle w:val="af7"/>
          <w:rFonts w:eastAsia="Guttman Hodes" w:hint="cs"/>
          <w:rtl/>
        </w:rPr>
        <w:instrText xml:space="preserve"> _</w:instrText>
      </w:r>
      <w:r w:rsidRPr="00252C9A">
        <w:rPr>
          <w:rStyle w:val="af7"/>
          <w:rFonts w:eastAsia="Guttman Hodes" w:hint="cs"/>
        </w:rPr>
        <w:instrText>Ref63111068 \r \h</w:instrText>
      </w:r>
      <w:r w:rsidRPr="00252C9A">
        <w:rPr>
          <w:rStyle w:val="af7"/>
          <w:rFonts w:eastAsia="Guttman Hodes"/>
          <w:rtl/>
        </w:rPr>
        <w:instrText xml:space="preserve"> </w:instrText>
      </w:r>
      <w:r w:rsidRPr="00252C9A">
        <w:rPr>
          <w:rStyle w:val="af7"/>
          <w:rFonts w:eastAsia="Guttman Hodes"/>
          <w:rtl/>
        </w:rPr>
      </w:r>
      <w:r w:rsidRPr="00252C9A">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252C9A">
        <w:rPr>
          <w:rStyle w:val="af7"/>
          <w:rFonts w:eastAsia="Guttman Hodes"/>
          <w:rtl/>
        </w:rPr>
        <w:fldChar w:fldCharType="end"/>
      </w:r>
      <w:r>
        <w:rPr>
          <w:rFonts w:hint="cs"/>
          <w:rtl/>
        </w:rPr>
        <w:t xml:space="preserve"> דדברי </w:t>
      </w:r>
      <w:r w:rsidRPr="00C6520A">
        <w:rPr>
          <w:rStyle w:val="af9"/>
          <w:rFonts w:hint="cs"/>
          <w:rtl/>
        </w:rPr>
        <w:t>הרשב"ם</w:t>
      </w:r>
      <w:r>
        <w:rPr>
          <w:rFonts w:hint="cs"/>
          <w:rtl/>
        </w:rPr>
        <w:t xml:space="preserve"> אינם מובנים, ועוד הביא </w:t>
      </w:r>
      <w:r w:rsidRPr="00C6520A">
        <w:rPr>
          <w:rStyle w:val="af9"/>
          <w:rFonts w:hint="cs"/>
          <w:rtl/>
        </w:rPr>
        <w:t>החת"ס</w:t>
      </w:r>
      <w:r>
        <w:rPr>
          <w:rFonts w:hint="cs"/>
          <w:rtl/>
        </w:rPr>
        <w:t xml:space="preserve"> את דברי </w:t>
      </w:r>
      <w:r w:rsidRPr="004A49D8">
        <w:rPr>
          <w:rStyle w:val="af9"/>
          <w:rFonts w:hint="cs"/>
          <w:rtl/>
        </w:rPr>
        <w:t>ר"י בתוס'</w:t>
      </w:r>
      <w:r>
        <w:rPr>
          <w:rStyle w:val="af9"/>
          <w:rFonts w:hint="cs"/>
          <w:rtl/>
        </w:rPr>
        <w:t xml:space="preserve"> בתי' הב'</w:t>
      </w:r>
      <w:r>
        <w:rPr>
          <w:rFonts w:hint="cs"/>
          <w:rtl/>
        </w:rPr>
        <w:t xml:space="preserve"> </w:t>
      </w:r>
      <w:r w:rsidRPr="00252C9A">
        <w:rPr>
          <w:rStyle w:val="af7"/>
          <w:rFonts w:eastAsia="Guttman Hodes" w:hint="cs"/>
          <w:rtl/>
        </w:rPr>
        <w:t xml:space="preserve">(עי' אות </w:t>
      </w:r>
      <w:r w:rsidRPr="00252C9A">
        <w:rPr>
          <w:rStyle w:val="af7"/>
          <w:rFonts w:eastAsia="Guttman Hodes"/>
          <w:rtl/>
        </w:rPr>
        <w:fldChar w:fldCharType="begin"/>
      </w:r>
      <w:r w:rsidRPr="00252C9A">
        <w:rPr>
          <w:rStyle w:val="af7"/>
          <w:rFonts w:eastAsia="Guttman Hodes"/>
          <w:rtl/>
        </w:rPr>
        <w:instrText xml:space="preserve"> </w:instrText>
      </w:r>
      <w:r w:rsidRPr="00252C9A">
        <w:rPr>
          <w:rStyle w:val="af7"/>
          <w:rFonts w:eastAsia="Guttman Hodes" w:hint="cs"/>
        </w:rPr>
        <w:instrText>REF</w:instrText>
      </w:r>
      <w:r w:rsidRPr="00252C9A">
        <w:rPr>
          <w:rStyle w:val="af7"/>
          <w:rFonts w:eastAsia="Guttman Hodes" w:hint="cs"/>
          <w:rtl/>
        </w:rPr>
        <w:instrText xml:space="preserve"> _</w:instrText>
      </w:r>
      <w:r w:rsidRPr="00252C9A">
        <w:rPr>
          <w:rStyle w:val="af7"/>
          <w:rFonts w:eastAsia="Guttman Hodes" w:hint="cs"/>
        </w:rPr>
        <w:instrText>Ref62811652 \r \h</w:instrText>
      </w:r>
      <w:r w:rsidRPr="00252C9A">
        <w:rPr>
          <w:rStyle w:val="af7"/>
          <w:rFonts w:eastAsia="Guttman Hodes"/>
          <w:rtl/>
        </w:rPr>
        <w:instrText xml:space="preserve"> </w:instrText>
      </w:r>
      <w:r w:rsidRPr="00252C9A">
        <w:rPr>
          <w:rStyle w:val="af7"/>
          <w:rFonts w:eastAsia="Guttman Hodes"/>
          <w:rtl/>
        </w:rPr>
      </w:r>
      <w:r w:rsidRPr="00252C9A">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252C9A">
        <w:rPr>
          <w:rStyle w:val="af7"/>
          <w:rFonts w:eastAsia="Guttman Hodes"/>
          <w:rtl/>
        </w:rPr>
        <w:fldChar w:fldCharType="end"/>
      </w:r>
      <w:r>
        <w:rPr>
          <w:rFonts w:hint="cs"/>
          <w:rtl/>
        </w:rPr>
        <w:t xml:space="preserve"> דאינו נאמן במיגו כיון שהוא חוזר וטוען, והקשה </w:t>
      </w:r>
      <w:r w:rsidRPr="00C6520A">
        <w:rPr>
          <w:rStyle w:val="af9"/>
          <w:rFonts w:hint="cs"/>
          <w:rtl/>
        </w:rPr>
        <w:t>החת"ס</w:t>
      </w:r>
      <w:r>
        <w:rPr>
          <w:rFonts w:hint="cs"/>
          <w:rtl/>
        </w:rPr>
        <w:t xml:space="preserve"> דהא דהוא חוזר וטוען מפטור לפטור דנאמן, </w:t>
      </w:r>
      <w:r w:rsidRPr="003A55B9">
        <w:rPr>
          <w:rStyle w:val="afb"/>
          <w:rFonts w:hint="cs"/>
          <w:rtl/>
        </w:rPr>
        <w:t xml:space="preserve">[עי' </w:t>
      </w:r>
      <w:r w:rsidRPr="00252C9A">
        <w:rPr>
          <w:rStyle w:val="affa"/>
          <w:rFonts w:hint="cs"/>
          <w:rtl/>
        </w:rPr>
        <w:t>ב</w:t>
      </w:r>
      <w:r w:rsidRPr="00252C9A">
        <w:rPr>
          <w:rStyle w:val="affa"/>
          <w:rtl/>
        </w:rPr>
        <w:t>ר"י מגאש</w:t>
      </w:r>
      <w:r w:rsidRPr="003A55B9">
        <w:rPr>
          <w:rStyle w:val="afb"/>
          <w:rFonts w:hint="cs"/>
          <w:rtl/>
        </w:rPr>
        <w:t xml:space="preserve"> </w:t>
      </w:r>
      <w:r w:rsidRPr="00252C9A">
        <w:rPr>
          <w:rStyle w:val="affa"/>
          <w:rFonts w:hint="cs"/>
          <w:rtl/>
        </w:rPr>
        <w:t>לעיל</w:t>
      </w:r>
      <w:r w:rsidRPr="003A55B9">
        <w:rPr>
          <w:rStyle w:val="afb"/>
          <w:rFonts w:hint="cs"/>
          <w:rtl/>
        </w:rPr>
        <w:t xml:space="preserve"> </w:t>
      </w:r>
      <w:r w:rsidRPr="00252C9A">
        <w:rPr>
          <w:rStyle w:val="aff6"/>
          <w:rFonts w:hint="cs"/>
          <w:rtl/>
        </w:rPr>
        <w:t>(לא. ד"ה הדר אמר, הובא בסימן י"ג אות ל"ח)</w:t>
      </w:r>
      <w:r w:rsidRPr="0010742D">
        <w:rPr>
          <w:rStyle w:val="afb"/>
          <w:rFonts w:hint="cs"/>
          <w:rtl/>
        </w:rPr>
        <w:t xml:space="preserve">, ועי' במה שביארו בזה </w:t>
      </w:r>
      <w:r w:rsidRPr="00252C9A">
        <w:rPr>
          <w:rStyle w:val="affa"/>
          <w:rFonts w:hint="cs"/>
          <w:rtl/>
        </w:rPr>
        <w:t>הגר"ח מטעלז והקוב"ש ובחי' רבי נחום ובאבי עזרי</w:t>
      </w:r>
      <w:r w:rsidRPr="0010742D">
        <w:rPr>
          <w:rStyle w:val="afb"/>
          <w:rFonts w:hint="cs"/>
          <w:rtl/>
        </w:rPr>
        <w:t xml:space="preserve"> </w:t>
      </w:r>
      <w:r w:rsidRPr="00252C9A">
        <w:rPr>
          <w:rStyle w:val="aff6"/>
          <w:rFonts w:hint="cs"/>
          <w:rtl/>
        </w:rPr>
        <w:t>(הובא בסימן י"ג אות קכ"ו)</w:t>
      </w:r>
      <w:r w:rsidRPr="0010742D">
        <w:rPr>
          <w:rStyle w:val="afb"/>
          <w:rFonts w:hint="cs"/>
          <w:rtl/>
        </w:rPr>
        <w:t xml:space="preserve">], </w:t>
      </w:r>
      <w:r>
        <w:rPr>
          <w:rFonts w:hint="cs"/>
          <w:rtl/>
        </w:rPr>
        <w:t xml:space="preserve">ולכן ביאר </w:t>
      </w:r>
      <w:r w:rsidRPr="00C6520A">
        <w:rPr>
          <w:rStyle w:val="af9"/>
          <w:rFonts w:hint="cs"/>
          <w:rtl/>
        </w:rPr>
        <w:t>החת"ס</w:t>
      </w:r>
      <w:r>
        <w:rPr>
          <w:rFonts w:hint="cs"/>
          <w:rtl/>
        </w:rPr>
        <w:t xml:space="preserve"> דדברי ר</w:t>
      </w:r>
      <w:r w:rsidRPr="00C6520A">
        <w:rPr>
          <w:rStyle w:val="af9"/>
          <w:rFonts w:hint="cs"/>
          <w:rtl/>
        </w:rPr>
        <w:t>"י בתוס'</w:t>
      </w:r>
      <w:r>
        <w:rPr>
          <w:rFonts w:hint="cs"/>
          <w:rtl/>
        </w:rPr>
        <w:t xml:space="preserve"> קאי על דברי </w:t>
      </w:r>
      <w:r w:rsidRPr="00C6520A">
        <w:rPr>
          <w:rStyle w:val="af9"/>
          <w:rFonts w:hint="cs"/>
          <w:rtl/>
        </w:rPr>
        <w:t>הרשב"ם</w:t>
      </w:r>
      <w:r>
        <w:rPr>
          <w:rFonts w:hint="cs"/>
          <w:rtl/>
        </w:rPr>
        <w:t xml:space="preserve"> דכיון שאם היה טוען בתחילה והא שטרא, ואח"כ באו עדים שהשטר מזויף דאינו נאמן לחזור ולטעון, שהיה לו שטר אחר, דהוא חוזר וטוען מחיוב לפטור דאינו נאמן, ה"ה כשהודה שהשטר מזויף דהודאתו כמאה עדים, ולכן אינו נאמן לחזור ולטעון אף שהוא מפטור לפטור, וכתב </w:t>
      </w:r>
      <w:r w:rsidRPr="00C6520A">
        <w:rPr>
          <w:rStyle w:val="af9"/>
          <w:rFonts w:hint="cs"/>
          <w:rtl/>
        </w:rPr>
        <w:t>החת"ס</w:t>
      </w:r>
      <w:r>
        <w:rPr>
          <w:rFonts w:hint="cs"/>
          <w:rtl/>
        </w:rPr>
        <w:t xml:space="preserve"> דכן משמע בדברי </w:t>
      </w:r>
      <w:r w:rsidRPr="00C6520A">
        <w:rPr>
          <w:rStyle w:val="af9"/>
          <w:rFonts w:hint="cs"/>
          <w:rtl/>
        </w:rPr>
        <w:t>ההג"מ</w:t>
      </w:r>
      <w:r>
        <w:rPr>
          <w:rFonts w:hint="cs"/>
          <w:rtl/>
        </w:rPr>
        <w:t xml:space="preserve"> </w:t>
      </w:r>
      <w:r w:rsidRPr="00252C9A">
        <w:rPr>
          <w:rStyle w:val="af7"/>
          <w:rFonts w:eastAsia="Guttman Hodes" w:hint="cs"/>
          <w:rtl/>
        </w:rPr>
        <w:t>(מלוה ולוה פי"ד או' מ')</w:t>
      </w:r>
      <w:r>
        <w:rPr>
          <w:rFonts w:hint="cs"/>
          <w:rtl/>
        </w:rPr>
        <w:t xml:space="preserve"> דדברי </w:t>
      </w:r>
      <w:r w:rsidRPr="00C6520A">
        <w:rPr>
          <w:rStyle w:val="af9"/>
          <w:rFonts w:hint="cs"/>
          <w:rtl/>
        </w:rPr>
        <w:t>התוס'</w:t>
      </w:r>
      <w:r>
        <w:rPr>
          <w:rFonts w:hint="cs"/>
          <w:rtl/>
        </w:rPr>
        <w:t xml:space="preserve"> הם המשך לדברי </w:t>
      </w:r>
      <w:r w:rsidRPr="00C6520A">
        <w:rPr>
          <w:rStyle w:val="af9"/>
          <w:rFonts w:hint="cs"/>
          <w:rtl/>
        </w:rPr>
        <w:t>הרשב"ם</w:t>
      </w:r>
      <w:r>
        <w:rPr>
          <w:rFonts w:hint="cs"/>
          <w:rtl/>
        </w:rPr>
        <w:t xml:space="preserve">. </w:t>
      </w:r>
      <w:r w:rsidRPr="0029719C">
        <w:rPr>
          <w:rStyle w:val="afb"/>
          <w:rFonts w:hint="cs"/>
          <w:rtl/>
        </w:rPr>
        <w:t xml:space="preserve">[אמנם </w:t>
      </w:r>
      <w:r w:rsidRPr="00C6520A">
        <w:rPr>
          <w:rStyle w:val="affa"/>
          <w:rFonts w:hint="cs"/>
          <w:rtl/>
        </w:rPr>
        <w:t>בההג"מ</w:t>
      </w:r>
      <w:r w:rsidRPr="0029719C">
        <w:rPr>
          <w:rStyle w:val="afb"/>
          <w:rFonts w:hint="cs"/>
          <w:rtl/>
        </w:rPr>
        <w:t xml:space="preserve"> דפוס קושטא </w:t>
      </w:r>
      <w:r w:rsidRPr="00C6520A">
        <w:rPr>
          <w:rStyle w:val="aff6"/>
          <w:rFonts w:hint="cs"/>
          <w:rtl/>
        </w:rPr>
        <w:t>(נד' בסוף מהדו' פרנקל)</w:t>
      </w:r>
      <w:r w:rsidRPr="0029719C">
        <w:rPr>
          <w:rStyle w:val="afb"/>
          <w:rFonts w:hint="cs"/>
          <w:rtl/>
        </w:rPr>
        <w:t xml:space="preserve"> מוכח דכוונתו להביא את דברי </w:t>
      </w:r>
      <w:r w:rsidRPr="00C6520A">
        <w:rPr>
          <w:rStyle w:val="affa"/>
          <w:rFonts w:hint="cs"/>
          <w:rtl/>
        </w:rPr>
        <w:t>הרשב"ם</w:t>
      </w:r>
      <w:r w:rsidRPr="0029719C">
        <w:rPr>
          <w:rStyle w:val="afb"/>
          <w:rFonts w:hint="cs"/>
          <w:rtl/>
        </w:rPr>
        <w:t xml:space="preserve"> בפנ"ע ואת דברי </w:t>
      </w:r>
      <w:r w:rsidRPr="00C6520A">
        <w:rPr>
          <w:rStyle w:val="affa"/>
          <w:rFonts w:hint="cs"/>
          <w:rtl/>
        </w:rPr>
        <w:t>התוס'</w:t>
      </w:r>
      <w:r w:rsidRPr="0029719C">
        <w:rPr>
          <w:rStyle w:val="afb"/>
          <w:rFonts w:hint="cs"/>
          <w:rtl/>
        </w:rPr>
        <w:t xml:space="preserve"> בפנ"ע</w:t>
      </w:r>
      <w:r>
        <w:rPr>
          <w:rStyle w:val="afb"/>
          <w:rFonts w:hint="cs"/>
          <w:rtl/>
        </w:rPr>
        <w:t xml:space="preserve">, ואין דברי </w:t>
      </w:r>
      <w:r w:rsidRPr="004016A2">
        <w:rPr>
          <w:rStyle w:val="affa"/>
          <w:rFonts w:hint="cs"/>
          <w:rtl/>
        </w:rPr>
        <w:t>התוס'</w:t>
      </w:r>
      <w:r>
        <w:rPr>
          <w:rStyle w:val="afb"/>
          <w:rFonts w:hint="cs"/>
          <w:rtl/>
        </w:rPr>
        <w:t xml:space="preserve"> המשך לדברי </w:t>
      </w:r>
      <w:r w:rsidRPr="004016A2">
        <w:rPr>
          <w:rStyle w:val="affa"/>
          <w:rFonts w:hint="cs"/>
          <w:rtl/>
        </w:rPr>
        <w:t>הרשב"ם].</w:t>
      </w:r>
      <w:bookmarkEnd w:id="13786"/>
    </w:p>
    <w:p w:rsidR="003B7617" w:rsidRDefault="003B7617" w:rsidP="003B7617">
      <w:pPr>
        <w:pStyle w:val="1"/>
        <w:rPr>
          <w:rtl/>
        </w:rPr>
      </w:pPr>
      <w:bookmarkStart w:id="13787" w:name="_Toc63111461"/>
      <w:bookmarkStart w:id="13788" w:name="_Toc63163511"/>
      <w:bookmarkStart w:id="13789" w:name="_Toc63188763"/>
      <w:bookmarkStart w:id="13790" w:name="_Toc63247722"/>
      <w:r>
        <w:rPr>
          <w:rFonts w:hint="cs"/>
          <w:rtl/>
        </w:rPr>
        <w:t>קושיות הרי"ד על הרשב"ם</w:t>
      </w:r>
      <w:bookmarkEnd w:id="13752"/>
      <w:bookmarkEnd w:id="13787"/>
      <w:bookmarkEnd w:id="13788"/>
      <w:r>
        <w:rPr>
          <w:rFonts w:hint="cs"/>
          <w:rtl/>
        </w:rPr>
        <w:t xml:space="preserve"> דהוא ככל דין מיגו ואינו במק"ע</w:t>
      </w:r>
      <w:bookmarkEnd w:id="13789"/>
      <w:bookmarkEnd w:id="13790"/>
    </w:p>
    <w:p w:rsidR="003B7617" w:rsidRDefault="003B7617" w:rsidP="003B7617">
      <w:pPr>
        <w:pStyle w:val="a3"/>
        <w:rPr>
          <w:rtl/>
        </w:rPr>
      </w:pPr>
      <w:bookmarkStart w:id="13791" w:name="_Toc63188764"/>
      <w:bookmarkStart w:id="13792" w:name="_Toc63247723"/>
      <w:r>
        <w:rPr>
          <w:rFonts w:hint="cs"/>
          <w:rtl/>
        </w:rPr>
        <w:t>קושית הרי"ד על הרשב"ם דכל מיגו נאמן אף שאינו אמת והכא אם לא הודה לא היה מוכחש</w:t>
      </w:r>
      <w:bookmarkEnd w:id="13791"/>
      <w:bookmarkEnd w:id="13792"/>
    </w:p>
    <w:p w:rsidR="003B7617" w:rsidRDefault="003B7617" w:rsidP="007E4E81">
      <w:pPr>
        <w:pStyle w:val="a0"/>
        <w:rPr>
          <w:rtl/>
        </w:rPr>
      </w:pPr>
      <w:r>
        <w:rPr>
          <w:rFonts w:hint="cs"/>
          <w:rtl/>
        </w:rPr>
        <w:t xml:space="preserve">במ"ש </w:t>
      </w:r>
      <w:r w:rsidRPr="002138DC">
        <w:rPr>
          <w:rStyle w:val="af9"/>
          <w:rFonts w:hint="cs"/>
          <w:rtl/>
        </w:rPr>
        <w:t>הרשב"ם</w:t>
      </w:r>
      <w:r>
        <w:rPr>
          <w:rFonts w:hint="cs"/>
          <w:rtl/>
        </w:rPr>
        <w:t xml:space="preserve"> </w:t>
      </w:r>
      <w:r w:rsidRPr="002138DC">
        <w:rPr>
          <w:rStyle w:val="af7"/>
          <w:rFonts w:eastAsia="Guttman Hodes" w:hint="cs"/>
          <w:rtl/>
        </w:rPr>
        <w:t xml:space="preserve">(עי' אות </w:t>
      </w:r>
      <w:r w:rsidRPr="002138DC">
        <w:rPr>
          <w:rStyle w:val="af7"/>
          <w:rFonts w:eastAsia="Guttman Hodes"/>
          <w:rtl/>
        </w:rPr>
        <w:fldChar w:fldCharType="begin"/>
      </w:r>
      <w:r w:rsidRPr="002138DC">
        <w:rPr>
          <w:rStyle w:val="af7"/>
          <w:rFonts w:eastAsia="Guttman Hodes"/>
          <w:rtl/>
        </w:rPr>
        <w:instrText xml:space="preserve"> </w:instrText>
      </w:r>
      <w:r w:rsidRPr="002138DC">
        <w:rPr>
          <w:rStyle w:val="af7"/>
          <w:rFonts w:eastAsia="Guttman Hodes" w:hint="cs"/>
        </w:rPr>
        <w:instrText>REF</w:instrText>
      </w:r>
      <w:r w:rsidRPr="002138DC">
        <w:rPr>
          <w:rStyle w:val="af7"/>
          <w:rFonts w:eastAsia="Guttman Hodes" w:hint="cs"/>
          <w:rtl/>
        </w:rPr>
        <w:instrText xml:space="preserve"> _</w:instrText>
      </w:r>
      <w:r w:rsidRPr="002138DC">
        <w:rPr>
          <w:rStyle w:val="af7"/>
          <w:rFonts w:eastAsia="Guttman Hodes" w:hint="cs"/>
        </w:rPr>
        <w:instrText>Ref62588040 \r \h</w:instrText>
      </w:r>
      <w:r w:rsidRPr="002138DC">
        <w:rPr>
          <w:rStyle w:val="af7"/>
          <w:rFonts w:eastAsia="Guttman Hodes"/>
          <w:rtl/>
        </w:rPr>
        <w:instrText xml:space="preserve"> </w:instrText>
      </w:r>
      <w:r w:rsidRPr="002138DC">
        <w:rPr>
          <w:rStyle w:val="af7"/>
          <w:rFonts w:eastAsia="Guttman Hodes"/>
          <w:rtl/>
        </w:rPr>
      </w:r>
      <w:r w:rsidRPr="002138DC">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2138DC">
        <w:rPr>
          <w:rStyle w:val="af7"/>
          <w:rFonts w:eastAsia="Guttman Hodes"/>
          <w:rtl/>
        </w:rPr>
        <w:fldChar w:fldCharType="end"/>
      </w:r>
      <w:r>
        <w:rPr>
          <w:rFonts w:hint="cs"/>
          <w:rtl/>
        </w:rPr>
        <w:t xml:space="preserve"> דבסוגיין לא מהני מיגו, כיון דבכל מיגו ב' הטענות יכולות להיות אמת, והכא הוא מיגו במקום עדים, דהכח של המחזיק הוא מחמת השטר, וא"א להאמין לו במיגו לשטר, דהא הודה שהשטר פסול, הקשה </w:t>
      </w:r>
      <w:r w:rsidRPr="002138DC">
        <w:rPr>
          <w:rStyle w:val="af9"/>
          <w:rFonts w:hint="cs"/>
          <w:rtl/>
        </w:rPr>
        <w:t>בפסקי הרי"ד</w:t>
      </w:r>
      <w:r>
        <w:rPr>
          <w:rFonts w:hint="cs"/>
          <w:rtl/>
        </w:rPr>
        <w:t xml:space="preserve"> </w:t>
      </w:r>
      <w:r w:rsidRPr="002138DC">
        <w:rPr>
          <w:rStyle w:val="af7"/>
          <w:rFonts w:eastAsia="Guttman Hodes" w:hint="cs"/>
          <w:rtl/>
        </w:rPr>
        <w:t>(ד"ה ההוא, הועתק בקובץ שיטות קמאי ב"ב ח"א עמ' תשס"ז)</w:t>
      </w:r>
      <w:r>
        <w:rPr>
          <w:rFonts w:hint="cs"/>
          <w:rtl/>
        </w:rPr>
        <w:t xml:space="preserve"> דהא אין מיגו אחר בש"ס שהוא יותר טוב מהמיגו בסוגיין, דאף הכא ב' הטענות היו יכולות להיות אמת, דאם היה המחזיק טוען שהשטר הוא שטר טוב, לא היה מי שיכול להכחישו, כיון שניכרת חתימת העדים, ורק מכח הודאת המחזיק אנו יודעים שהשטר מזוייף, ולכן כשחזר המחזיק וטען שהיה לו שטר אחר שאבד לו, הוא נאמן, דהמחזיק עצמו עשה ריעותא בטענתו שהייתה טענה טובה, וחזר וטען טענה אחרת.</w:t>
      </w:r>
    </w:p>
    <w:p w:rsidR="003B7617" w:rsidRPr="0023338E" w:rsidRDefault="003B7617" w:rsidP="003B7617">
      <w:pPr>
        <w:pStyle w:val="a3"/>
        <w:rPr>
          <w:rtl/>
        </w:rPr>
      </w:pPr>
    </w:p>
    <w:p w:rsidR="003B7617" w:rsidRDefault="003B7617" w:rsidP="003B7617">
      <w:pPr>
        <w:pStyle w:val="a3"/>
        <w:rPr>
          <w:rtl/>
        </w:rPr>
      </w:pPr>
      <w:bookmarkStart w:id="13793" w:name="_Toc63188765"/>
      <w:bookmarkStart w:id="13794" w:name="_Toc63247724"/>
      <w:r>
        <w:rPr>
          <w:rFonts w:hint="cs"/>
          <w:rtl/>
        </w:rPr>
        <w:lastRenderedPageBreak/>
        <w:t>קו' הרי"ד דבקמי דידי נאמן במיגו וכן בשדה זו של אביך אעפ"י שהודה ועשה ריעותא בטענתו</w:t>
      </w:r>
      <w:bookmarkEnd w:id="13793"/>
      <w:bookmarkEnd w:id="13794"/>
    </w:p>
    <w:p w:rsidR="003B7617" w:rsidRDefault="003B7617" w:rsidP="007E4E81">
      <w:pPr>
        <w:pStyle w:val="a0"/>
        <w:rPr>
          <w:rtl/>
        </w:rPr>
      </w:pPr>
      <w:r>
        <w:rPr>
          <w:rFonts w:hint="cs"/>
          <w:rtl/>
        </w:rPr>
        <w:t xml:space="preserve">וכתב </w:t>
      </w:r>
      <w:r w:rsidRPr="00296131">
        <w:rPr>
          <w:rStyle w:val="af9"/>
          <w:rFonts w:hint="cs"/>
          <w:rtl/>
        </w:rPr>
        <w:t>בפסקי הרי"ד</w:t>
      </w:r>
      <w:r>
        <w:rPr>
          <w:rFonts w:hint="cs"/>
          <w:rtl/>
        </w:rPr>
        <w:t xml:space="preserve"> דכך הדין בכל מיגו, כגון בהא דאיתא בגמ' לקמן </w:t>
      </w:r>
      <w:r w:rsidRPr="00296131">
        <w:rPr>
          <w:rStyle w:val="af7"/>
          <w:rFonts w:eastAsia="Guttman Hodes" w:hint="cs"/>
          <w:rtl/>
        </w:rPr>
        <w:t>(מא:)</w:t>
      </w:r>
      <w:r>
        <w:rPr>
          <w:rFonts w:hint="cs"/>
          <w:rtl/>
        </w:rPr>
        <w:t xml:space="preserve"> דהאומר מפלניא זבינתא וקמי דידי זבנה מינך, נאמן במיגו דמינך זבינתה, אעפ"י שהודה המחזיק לטענת המערער שלא קנה ממנו, מ"מ הוא נאמן מכח טענה זו, לטעון מפלניא זבינתא וקמי דידי זבנה מינך, וכן במתני' בכתובות </w:t>
      </w:r>
      <w:r w:rsidRPr="00296131">
        <w:rPr>
          <w:rStyle w:val="af7"/>
          <w:rFonts w:eastAsia="Guttman Hodes" w:hint="cs"/>
          <w:rtl/>
        </w:rPr>
        <w:t>(טו:)</w:t>
      </w:r>
      <w:r>
        <w:rPr>
          <w:rFonts w:hint="cs"/>
          <w:rtl/>
        </w:rPr>
        <w:t xml:space="preserve"> דהאומר שדה זו של אביך הייתה ולקחתיה ממנו, דנאמן, וכן וכן במתני' בכתובות </w:t>
      </w:r>
      <w:r w:rsidRPr="00296131">
        <w:rPr>
          <w:rStyle w:val="af7"/>
          <w:rFonts w:eastAsia="Guttman Hodes" w:hint="cs"/>
          <w:rtl/>
        </w:rPr>
        <w:t>(כב.)</w:t>
      </w:r>
      <w:r>
        <w:rPr>
          <w:rFonts w:hint="cs"/>
          <w:rtl/>
        </w:rPr>
        <w:t xml:space="preserve"> דהאומרת אשת איש הייתי וגרושה אני, או נשביתי וטהורה אני, דאעפ"י שהם הודו בדבר שעושה ריעותא בכח של טענתם, מ"מ כיון שהם חזרו וטענו טענה אחרת נאמנים, וה"ה בסוגיין דאעפ"י שהודה המחזיק שהשטר מזויף, מ"מ כיון שחזר ואמר שהיה לו שטר אחר, הוא נאמן.</w:t>
      </w:r>
    </w:p>
    <w:p w:rsidR="003B7617" w:rsidRDefault="003B7617" w:rsidP="003B7617">
      <w:pPr>
        <w:pStyle w:val="a3"/>
        <w:rPr>
          <w:rtl/>
        </w:rPr>
      </w:pPr>
      <w:bookmarkStart w:id="13795" w:name="_Toc63188766"/>
      <w:bookmarkStart w:id="13796" w:name="_Toc63247725"/>
      <w:r>
        <w:rPr>
          <w:rFonts w:hint="cs"/>
          <w:rtl/>
        </w:rPr>
        <w:t>קושית הרי"ד דמיגו במק"ע הוא כנגד מה שטוען עכשיו והכא הודה על מה שטען בתחילה</w:t>
      </w:r>
      <w:bookmarkEnd w:id="13795"/>
      <w:bookmarkEnd w:id="13796"/>
    </w:p>
    <w:p w:rsidR="003B7617" w:rsidRDefault="003B7617" w:rsidP="007E4E81">
      <w:pPr>
        <w:pStyle w:val="a0"/>
        <w:rPr>
          <w:rtl/>
        </w:rPr>
      </w:pPr>
      <w:bookmarkStart w:id="13797" w:name="_Ref63242531"/>
      <w:r>
        <w:rPr>
          <w:rFonts w:hint="cs"/>
          <w:rtl/>
        </w:rPr>
        <w:t xml:space="preserve">ובמ"ש </w:t>
      </w:r>
      <w:r w:rsidRPr="00296131">
        <w:rPr>
          <w:rStyle w:val="af9"/>
          <w:rFonts w:hint="cs"/>
          <w:rtl/>
        </w:rPr>
        <w:t>הרשב"ם</w:t>
      </w:r>
      <w:r>
        <w:rPr>
          <w:rFonts w:hint="cs"/>
          <w:rtl/>
        </w:rPr>
        <w:t xml:space="preserve"> </w:t>
      </w:r>
      <w:r w:rsidRPr="00252C9A">
        <w:rPr>
          <w:rStyle w:val="af7"/>
          <w:rFonts w:eastAsia="Guttman Hodes" w:hint="cs"/>
          <w:rtl/>
        </w:rPr>
        <w:t>(עי'</w:t>
      </w:r>
      <w:r>
        <w:rPr>
          <w:rFonts w:hint="cs"/>
          <w:rtl/>
        </w:rPr>
        <w:t xml:space="preserve"> </w:t>
      </w:r>
      <w:r w:rsidRPr="00252C9A">
        <w:rPr>
          <w:rStyle w:val="af7"/>
          <w:rFonts w:eastAsia="Guttman Hodes" w:hint="cs"/>
          <w:rtl/>
        </w:rPr>
        <w:t xml:space="preserve">אות </w:t>
      </w:r>
      <w:r w:rsidRPr="00252C9A">
        <w:rPr>
          <w:rStyle w:val="af7"/>
          <w:rFonts w:eastAsia="Guttman Hodes"/>
          <w:rtl/>
        </w:rPr>
        <w:fldChar w:fldCharType="begin"/>
      </w:r>
      <w:r w:rsidRPr="00252C9A">
        <w:rPr>
          <w:rStyle w:val="af7"/>
          <w:rFonts w:eastAsia="Guttman Hodes"/>
          <w:rtl/>
        </w:rPr>
        <w:instrText xml:space="preserve"> </w:instrText>
      </w:r>
      <w:r w:rsidRPr="00252C9A">
        <w:rPr>
          <w:rStyle w:val="af7"/>
          <w:rFonts w:eastAsia="Guttman Hodes" w:hint="cs"/>
        </w:rPr>
        <w:instrText>REF</w:instrText>
      </w:r>
      <w:r w:rsidRPr="00252C9A">
        <w:rPr>
          <w:rStyle w:val="af7"/>
          <w:rFonts w:eastAsia="Guttman Hodes" w:hint="cs"/>
          <w:rtl/>
        </w:rPr>
        <w:instrText xml:space="preserve"> _</w:instrText>
      </w:r>
      <w:r w:rsidRPr="00252C9A">
        <w:rPr>
          <w:rStyle w:val="af7"/>
          <w:rFonts w:eastAsia="Guttman Hodes" w:hint="cs"/>
        </w:rPr>
        <w:instrText>Ref63111068 \r \h</w:instrText>
      </w:r>
      <w:r w:rsidRPr="00252C9A">
        <w:rPr>
          <w:rStyle w:val="af7"/>
          <w:rFonts w:eastAsia="Guttman Hodes"/>
          <w:rtl/>
        </w:rPr>
        <w:instrText xml:space="preserve"> </w:instrText>
      </w:r>
      <w:r w:rsidRPr="00252C9A">
        <w:rPr>
          <w:rStyle w:val="af7"/>
          <w:rFonts w:eastAsia="Guttman Hodes"/>
          <w:rtl/>
        </w:rPr>
      </w:r>
      <w:r w:rsidRPr="00252C9A">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252C9A">
        <w:rPr>
          <w:rStyle w:val="af7"/>
          <w:rFonts w:eastAsia="Guttman Hodes"/>
          <w:rtl/>
        </w:rPr>
        <w:fldChar w:fldCharType="end"/>
      </w:r>
      <w:r>
        <w:rPr>
          <w:rFonts w:hint="cs"/>
          <w:rtl/>
        </w:rPr>
        <w:t xml:space="preserve"> דהוא כמיגו במקום עדים, דחה </w:t>
      </w:r>
      <w:r w:rsidRPr="00296131">
        <w:rPr>
          <w:rStyle w:val="af9"/>
          <w:rFonts w:hint="cs"/>
          <w:rtl/>
        </w:rPr>
        <w:t>בפסקי הרי"ד</w:t>
      </w:r>
      <w:r>
        <w:rPr>
          <w:rFonts w:hint="cs"/>
          <w:rtl/>
        </w:rPr>
        <w:t xml:space="preserve"> דהא דבמיגו במקום עדים</w:t>
      </w:r>
      <w:r w:rsidRPr="0021320B">
        <w:rPr>
          <w:rFonts w:hint="cs"/>
          <w:rtl/>
        </w:rPr>
        <w:t xml:space="preserve"> </w:t>
      </w:r>
      <w:r>
        <w:rPr>
          <w:rFonts w:hint="cs"/>
          <w:rtl/>
        </w:rPr>
        <w:t xml:space="preserve">אינו נאמן, הוא כיון שהעדים הם עושים את הריעותא בטענה שטוען עכשיו, אבל הכא דהמחזיק עצמו עושה את הריעותא בטענה שטוען עכשיו, הוא נאמן וביאר </w:t>
      </w:r>
      <w:r w:rsidRPr="009C21FA">
        <w:rPr>
          <w:rStyle w:val="af9"/>
          <w:rFonts w:hint="cs"/>
          <w:rtl/>
        </w:rPr>
        <w:t>בפסקי הרי"ד</w:t>
      </w:r>
      <w:r>
        <w:rPr>
          <w:rFonts w:hint="cs"/>
          <w:rtl/>
        </w:rPr>
        <w:t xml:space="preserve"> דלא דמי למקום שיש עדים שהשטר מזויף שאין לו מיגו שיהיה נאמן עי"ז במה שטוען עכשיו, דהא הכא רק המחזיק הודה שהשטר מזויף, וכיון שיש לו טענה שהיה לו שטר אחר שאבד, הוא נאמן במיגו, ועי' במ"ש בזה </w:t>
      </w:r>
      <w:r w:rsidRPr="009C21FA">
        <w:rPr>
          <w:rStyle w:val="af9"/>
          <w:rFonts w:hint="cs"/>
          <w:rtl/>
        </w:rPr>
        <w:t>בחי' רבי נחום</w:t>
      </w:r>
      <w:r>
        <w:rPr>
          <w:rFonts w:hint="cs"/>
          <w:rtl/>
        </w:rPr>
        <w:t xml:space="preserve"> בביאור </w:t>
      </w:r>
      <w:r w:rsidRPr="009C21FA">
        <w:rPr>
          <w:rStyle w:val="af9"/>
          <w:rFonts w:hint="cs"/>
          <w:rtl/>
        </w:rPr>
        <w:t>הרא"ש</w:t>
      </w:r>
      <w:r>
        <w:rPr>
          <w:rFonts w:hint="cs"/>
          <w:rtl/>
        </w:rPr>
        <w:t xml:space="preserve"> </w:t>
      </w:r>
      <w:r w:rsidRPr="009C21FA">
        <w:rPr>
          <w:rStyle w:val="af9"/>
          <w:rFonts w:hint="cs"/>
          <w:rtl/>
        </w:rPr>
        <w:t>ברשב"ם</w:t>
      </w:r>
      <w:r>
        <w:rPr>
          <w:rFonts w:hint="cs"/>
          <w:rtl/>
        </w:rPr>
        <w:t xml:space="preserve"> </w:t>
      </w:r>
      <w:r w:rsidRPr="0075672B">
        <w:rPr>
          <w:rStyle w:val="af7"/>
          <w:rFonts w:eastAsia="Guttman Hodes" w:hint="cs"/>
          <w:rtl/>
        </w:rPr>
        <w:t xml:space="preserve">(עי' אות </w:t>
      </w:r>
      <w:r w:rsidRPr="0075672B">
        <w:rPr>
          <w:rStyle w:val="af7"/>
          <w:rFonts w:eastAsia="Guttman Hodes"/>
          <w:rtl/>
        </w:rPr>
        <w:fldChar w:fldCharType="begin"/>
      </w:r>
      <w:r w:rsidRPr="0075672B">
        <w:rPr>
          <w:rStyle w:val="af7"/>
          <w:rFonts w:eastAsia="Guttman Hodes"/>
          <w:rtl/>
        </w:rPr>
        <w:instrText xml:space="preserve"> </w:instrText>
      </w:r>
      <w:r w:rsidRPr="0075672B">
        <w:rPr>
          <w:rStyle w:val="af7"/>
          <w:rFonts w:eastAsia="Guttman Hodes" w:hint="cs"/>
        </w:rPr>
        <w:instrText>REF</w:instrText>
      </w:r>
      <w:r w:rsidRPr="0075672B">
        <w:rPr>
          <w:rStyle w:val="af7"/>
          <w:rFonts w:eastAsia="Guttman Hodes" w:hint="cs"/>
          <w:rtl/>
        </w:rPr>
        <w:instrText xml:space="preserve"> _</w:instrText>
      </w:r>
      <w:r w:rsidRPr="0075672B">
        <w:rPr>
          <w:rStyle w:val="af7"/>
          <w:rFonts w:eastAsia="Guttman Hodes" w:hint="cs"/>
        </w:rPr>
        <w:instrText>Ref63180322 \r \h</w:instrText>
      </w:r>
      <w:r w:rsidRPr="0075672B">
        <w:rPr>
          <w:rStyle w:val="af7"/>
          <w:rFonts w:eastAsia="Guttman Hodes"/>
          <w:rtl/>
        </w:rPr>
        <w:instrText xml:space="preserve"> </w:instrText>
      </w:r>
      <w:r w:rsidRPr="0075672B">
        <w:rPr>
          <w:rStyle w:val="af7"/>
          <w:rFonts w:eastAsia="Guttman Hodes"/>
          <w:rtl/>
        </w:rPr>
      </w:r>
      <w:r w:rsidRPr="0075672B">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75672B">
        <w:rPr>
          <w:rStyle w:val="af7"/>
          <w:rFonts w:eastAsia="Guttman Hodes"/>
          <w:rtl/>
        </w:rPr>
        <w:fldChar w:fldCharType="end"/>
      </w:r>
      <w:r>
        <w:rPr>
          <w:rFonts w:hint="cs"/>
          <w:rtl/>
        </w:rPr>
        <w:t xml:space="preserve">, ובביאור </w:t>
      </w:r>
      <w:r w:rsidRPr="009C21FA">
        <w:rPr>
          <w:rStyle w:val="af9"/>
          <w:rFonts w:hint="cs"/>
          <w:rtl/>
        </w:rPr>
        <w:t>הנימוק"י ברשב"ם</w:t>
      </w:r>
      <w:r>
        <w:rPr>
          <w:rFonts w:hint="cs"/>
          <w:rtl/>
        </w:rPr>
        <w:t xml:space="preserve"> </w:t>
      </w:r>
      <w:r w:rsidRPr="00CC1FE7">
        <w:rPr>
          <w:rStyle w:val="af7"/>
          <w:rFonts w:eastAsia="Guttman Hodes" w:hint="cs"/>
          <w:rtl/>
        </w:rPr>
        <w:t xml:space="preserve">(עי' אות </w:t>
      </w:r>
      <w:r w:rsidRPr="00CC1FE7">
        <w:rPr>
          <w:rStyle w:val="af7"/>
          <w:rFonts w:eastAsia="Guttman Hodes"/>
          <w:rtl/>
        </w:rPr>
        <w:fldChar w:fldCharType="begin"/>
      </w:r>
      <w:r w:rsidRPr="00CC1FE7">
        <w:rPr>
          <w:rStyle w:val="af7"/>
          <w:rFonts w:eastAsia="Guttman Hodes"/>
          <w:rtl/>
        </w:rPr>
        <w:instrText xml:space="preserve"> </w:instrText>
      </w:r>
      <w:r w:rsidRPr="00CC1FE7">
        <w:rPr>
          <w:rStyle w:val="af7"/>
          <w:rFonts w:eastAsia="Guttman Hodes" w:hint="cs"/>
        </w:rPr>
        <w:instrText>REF</w:instrText>
      </w:r>
      <w:r w:rsidRPr="00CC1FE7">
        <w:rPr>
          <w:rStyle w:val="af7"/>
          <w:rFonts w:eastAsia="Guttman Hodes" w:hint="cs"/>
          <w:rtl/>
        </w:rPr>
        <w:instrText xml:space="preserve"> _</w:instrText>
      </w:r>
      <w:r w:rsidRPr="00CC1FE7">
        <w:rPr>
          <w:rStyle w:val="af7"/>
          <w:rFonts w:eastAsia="Guttman Hodes" w:hint="cs"/>
        </w:rPr>
        <w:instrText>Ref63243610 \r \h</w:instrText>
      </w:r>
      <w:r w:rsidRPr="00CC1FE7">
        <w:rPr>
          <w:rStyle w:val="af7"/>
          <w:rFonts w:eastAsia="Guttman Hodes"/>
          <w:rtl/>
        </w:rPr>
        <w:instrText xml:space="preserve"> </w:instrText>
      </w:r>
      <w:r w:rsidRPr="00CC1FE7">
        <w:rPr>
          <w:rStyle w:val="af7"/>
          <w:rFonts w:eastAsia="Guttman Hodes"/>
          <w:rtl/>
        </w:rPr>
      </w:r>
      <w:r w:rsidRPr="00CC1FE7">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CC1FE7">
        <w:rPr>
          <w:rStyle w:val="af7"/>
          <w:rFonts w:eastAsia="Guttman Hodes"/>
          <w:rtl/>
        </w:rPr>
        <w:fldChar w:fldCharType="end"/>
      </w:r>
      <w:r>
        <w:rPr>
          <w:rFonts w:hint="cs"/>
          <w:rtl/>
        </w:rPr>
        <w:t>.</w:t>
      </w:r>
      <w:bookmarkEnd w:id="13797"/>
    </w:p>
    <w:p w:rsidR="003B7617" w:rsidRDefault="003B7617" w:rsidP="003B7617">
      <w:pPr>
        <w:pStyle w:val="a3"/>
        <w:rPr>
          <w:rtl/>
        </w:rPr>
      </w:pPr>
      <w:bookmarkStart w:id="13798" w:name="_Toc63188767"/>
      <w:bookmarkStart w:id="13799" w:name="_Toc63247726"/>
      <w:bookmarkStart w:id="13800" w:name="_Toc63111460"/>
      <w:bookmarkStart w:id="13801" w:name="_Toc63163510"/>
      <w:bookmarkStart w:id="13802" w:name="_Toc62819913"/>
      <w:bookmarkStart w:id="13803" w:name="_Toc63111462"/>
      <w:bookmarkStart w:id="13804" w:name="_Toc63163512"/>
      <w:r>
        <w:rPr>
          <w:rFonts w:hint="cs"/>
          <w:rtl/>
        </w:rPr>
        <w:t>קושית הגידו"ת על הרשב"ם דהמודה בשטר נאמן דפרעו במיגו ואף שהודה אינו מיגו במק"ע</w:t>
      </w:r>
      <w:bookmarkEnd w:id="13798"/>
      <w:bookmarkEnd w:id="13799"/>
    </w:p>
    <w:p w:rsidR="003B7617" w:rsidRDefault="003B7617" w:rsidP="007E4E81">
      <w:pPr>
        <w:pStyle w:val="a0"/>
        <w:rPr>
          <w:rtl/>
        </w:rPr>
      </w:pPr>
      <w:r>
        <w:rPr>
          <w:rStyle w:val="af9"/>
          <w:rFonts w:hint="cs"/>
          <w:rtl/>
        </w:rPr>
        <w:t>ו</w:t>
      </w:r>
      <w:r w:rsidRPr="0001649F">
        <w:rPr>
          <w:rStyle w:val="af9"/>
          <w:rtl/>
        </w:rPr>
        <w:t>הגידולי תרומה</w:t>
      </w:r>
      <w:r w:rsidRPr="0001649F">
        <w:rPr>
          <w:rtl/>
        </w:rPr>
        <w:t xml:space="preserve"> </w:t>
      </w:r>
      <w:r w:rsidRPr="0001649F">
        <w:rPr>
          <w:rStyle w:val="af7"/>
          <w:rFonts w:eastAsia="Guttman Hodes"/>
          <w:rtl/>
        </w:rPr>
        <w:t>(שער י"ז ח"ב</w:t>
      </w:r>
      <w:r>
        <w:rPr>
          <w:rStyle w:val="af7"/>
          <w:rFonts w:eastAsiaTheme="minorEastAsia" w:hint="cs"/>
          <w:rtl/>
        </w:rPr>
        <w:t xml:space="preserve"> ד"ה ובעיקר)</w:t>
      </w:r>
      <w:r>
        <w:rPr>
          <w:rFonts w:hint="cs"/>
          <w:rtl/>
        </w:rPr>
        <w:t xml:space="preserve"> הקשה על </w:t>
      </w:r>
      <w:r w:rsidRPr="002138DC">
        <w:rPr>
          <w:rStyle w:val="af9"/>
          <w:rFonts w:hint="cs"/>
          <w:rtl/>
        </w:rPr>
        <w:t>הרשב"ם</w:t>
      </w:r>
      <w:r>
        <w:rPr>
          <w:rFonts w:hint="cs"/>
          <w:rtl/>
        </w:rPr>
        <w:t xml:space="preserve"> </w:t>
      </w:r>
      <w:r w:rsidRPr="002138DC">
        <w:rPr>
          <w:rStyle w:val="af7"/>
          <w:rFonts w:eastAsia="Guttman Hodes" w:hint="cs"/>
          <w:rtl/>
        </w:rPr>
        <w:t xml:space="preserve">(עי' אות </w:t>
      </w:r>
      <w:r w:rsidRPr="002138DC">
        <w:rPr>
          <w:rStyle w:val="af7"/>
          <w:rFonts w:eastAsia="Guttman Hodes"/>
          <w:rtl/>
        </w:rPr>
        <w:fldChar w:fldCharType="begin"/>
      </w:r>
      <w:r w:rsidRPr="002138DC">
        <w:rPr>
          <w:rStyle w:val="af7"/>
          <w:rFonts w:eastAsia="Guttman Hodes"/>
          <w:rtl/>
        </w:rPr>
        <w:instrText xml:space="preserve"> </w:instrText>
      </w:r>
      <w:r w:rsidRPr="002138DC">
        <w:rPr>
          <w:rStyle w:val="af7"/>
          <w:rFonts w:eastAsia="Guttman Hodes" w:hint="cs"/>
        </w:rPr>
        <w:instrText>REF</w:instrText>
      </w:r>
      <w:r w:rsidRPr="002138DC">
        <w:rPr>
          <w:rStyle w:val="af7"/>
          <w:rFonts w:eastAsia="Guttman Hodes" w:hint="cs"/>
          <w:rtl/>
        </w:rPr>
        <w:instrText xml:space="preserve"> _</w:instrText>
      </w:r>
      <w:r w:rsidRPr="002138DC">
        <w:rPr>
          <w:rStyle w:val="af7"/>
          <w:rFonts w:eastAsia="Guttman Hodes" w:hint="cs"/>
        </w:rPr>
        <w:instrText>Ref62588040 \r \h</w:instrText>
      </w:r>
      <w:r w:rsidRPr="002138DC">
        <w:rPr>
          <w:rStyle w:val="af7"/>
          <w:rFonts w:eastAsia="Guttman Hodes"/>
          <w:rtl/>
        </w:rPr>
        <w:instrText xml:space="preserve"> </w:instrText>
      </w:r>
      <w:r w:rsidRPr="002138DC">
        <w:rPr>
          <w:rStyle w:val="af7"/>
          <w:rFonts w:eastAsia="Guttman Hodes"/>
          <w:rtl/>
        </w:rPr>
      </w:r>
      <w:r w:rsidRPr="002138DC">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2138DC">
        <w:rPr>
          <w:rStyle w:val="af7"/>
          <w:rFonts w:eastAsia="Guttman Hodes"/>
          <w:rtl/>
        </w:rPr>
        <w:fldChar w:fldCharType="end"/>
      </w:r>
      <w:r>
        <w:rPr>
          <w:rFonts w:hint="cs"/>
          <w:rtl/>
        </w:rPr>
        <w:t xml:space="preserve"> דהא איתא בגמ' בב"מ </w:t>
      </w:r>
      <w:r w:rsidRPr="00F76197">
        <w:rPr>
          <w:rStyle w:val="af7"/>
          <w:rFonts w:eastAsia="Guttman Hodes" w:hint="cs"/>
          <w:rtl/>
        </w:rPr>
        <w:t>(ז.)</w:t>
      </w:r>
      <w:r>
        <w:rPr>
          <w:rFonts w:hint="cs"/>
          <w:rtl/>
        </w:rPr>
        <w:t xml:space="preserve"> דהמודה בשטר שכתבו דצריך לקיימו, קיי"ל כר"נ דנאמן לומר שהוא פרוע במיגו, "</w:t>
      </w:r>
      <w:r>
        <w:rPr>
          <w:rtl/>
        </w:rPr>
        <w:t>מאי טעמא חספא בעלמא הוא</w:t>
      </w:r>
      <w:r>
        <w:rPr>
          <w:rFonts w:hint="cs"/>
          <w:rtl/>
        </w:rPr>
        <w:t>,</w:t>
      </w:r>
      <w:r>
        <w:rPr>
          <w:rtl/>
        </w:rPr>
        <w:t xml:space="preserve"> מאן קא משוי ליה להאי שטרא לוה</w:t>
      </w:r>
      <w:r>
        <w:rPr>
          <w:rFonts w:hint="cs"/>
          <w:rtl/>
        </w:rPr>
        <w:t>,</w:t>
      </w:r>
      <w:r>
        <w:rPr>
          <w:rtl/>
        </w:rPr>
        <w:t xml:space="preserve"> הא קאמר דפריע</w:t>
      </w:r>
      <w:r>
        <w:rPr>
          <w:rFonts w:hint="cs"/>
          <w:rtl/>
        </w:rPr>
        <w:t>", ומוכח דאעפ"י דהודה שהשטר טוב והודאת בע"ד כמאה עדים, מ"מ אי"ז חשיב כמיגו במקום עדים</w:t>
      </w:r>
      <w:r>
        <w:rPr>
          <w:rStyle w:val="af1"/>
          <w:rtl/>
        </w:rPr>
        <w:footnoteReference w:id="95"/>
      </w:r>
      <w:r>
        <w:rPr>
          <w:rFonts w:hint="cs"/>
          <w:rtl/>
        </w:rPr>
        <w:t>.</w:t>
      </w:r>
    </w:p>
    <w:p w:rsidR="003B7617" w:rsidRDefault="003B7617" w:rsidP="003B7617">
      <w:pPr>
        <w:pStyle w:val="afe"/>
        <w:rPr>
          <w:rtl/>
        </w:rPr>
      </w:pPr>
      <w:bookmarkStart w:id="13805" w:name="_Toc63188768"/>
      <w:bookmarkStart w:id="13806" w:name="_Toc63247727"/>
      <w:bookmarkEnd w:id="13800"/>
      <w:r>
        <w:rPr>
          <w:rFonts w:hint="cs"/>
          <w:rtl/>
        </w:rPr>
        <w:t xml:space="preserve">דעת הרי"ד </w:t>
      </w:r>
      <w:bookmarkEnd w:id="13801"/>
      <w:bookmarkEnd w:id="13805"/>
      <w:bookmarkEnd w:id="13806"/>
      <w:r w:rsidRPr="00110E3C">
        <w:rPr>
          <w:rtl/>
        </w:rPr>
        <w:t>דלרב יוסף ירא לטעון מיגו</w:t>
      </w:r>
    </w:p>
    <w:p w:rsidR="003B7617" w:rsidRDefault="003B7617" w:rsidP="003B7617">
      <w:pPr>
        <w:pStyle w:val="1"/>
        <w:rPr>
          <w:rtl/>
        </w:rPr>
      </w:pPr>
      <w:bookmarkStart w:id="13807" w:name="_Toc63188769"/>
      <w:bookmarkStart w:id="13808" w:name="_Toc63247728"/>
      <w:r>
        <w:rPr>
          <w:rFonts w:hint="cs"/>
          <w:rtl/>
        </w:rPr>
        <w:t>ביאור פסקי הרי"ד</w:t>
      </w:r>
      <w:bookmarkEnd w:id="13802"/>
      <w:bookmarkEnd w:id="13803"/>
      <w:bookmarkEnd w:id="13804"/>
      <w:r>
        <w:rPr>
          <w:rFonts w:hint="cs"/>
          <w:rtl/>
        </w:rPr>
        <w:t xml:space="preserve"> דלרב יוסף ירא לטעון שהשטר טוב ואינו מיגו</w:t>
      </w:r>
      <w:bookmarkEnd w:id="13807"/>
      <w:bookmarkEnd w:id="13808"/>
    </w:p>
    <w:p w:rsidR="003B7617" w:rsidRDefault="003B7617" w:rsidP="003B7617">
      <w:pPr>
        <w:pStyle w:val="a3"/>
        <w:rPr>
          <w:rtl/>
        </w:rPr>
      </w:pPr>
      <w:bookmarkStart w:id="13809" w:name="_Toc63188770"/>
      <w:bookmarkStart w:id="13810" w:name="_Toc63247729"/>
      <w:r>
        <w:rPr>
          <w:rFonts w:hint="cs"/>
          <w:rtl/>
        </w:rPr>
        <w:t>ביאור הרי"ד דמיגו מהני בטענות בע"פ ול"מ מיגו כשהודה בשטר מזויף דירא לטעון שהוא אמת</w:t>
      </w:r>
      <w:bookmarkEnd w:id="13809"/>
      <w:bookmarkEnd w:id="13810"/>
    </w:p>
    <w:p w:rsidR="003B7617" w:rsidRDefault="003B7617" w:rsidP="007E4E81">
      <w:pPr>
        <w:pStyle w:val="a0"/>
        <w:rPr>
          <w:rtl/>
        </w:rPr>
      </w:pPr>
      <w:bookmarkStart w:id="13811" w:name="_Ref63181472"/>
      <w:r>
        <w:rPr>
          <w:rFonts w:hint="cs"/>
          <w:rtl/>
        </w:rPr>
        <w:t xml:space="preserve">אלא ביאר </w:t>
      </w:r>
      <w:r w:rsidRPr="00296131">
        <w:rPr>
          <w:rStyle w:val="af9"/>
          <w:rFonts w:hint="cs"/>
          <w:rtl/>
        </w:rPr>
        <w:t>בפסקי הרי"ד</w:t>
      </w:r>
      <w:r>
        <w:rPr>
          <w:rFonts w:hint="cs"/>
          <w:rtl/>
        </w:rPr>
        <w:t xml:space="preserve"> </w:t>
      </w:r>
      <w:r w:rsidRPr="002D1522">
        <w:rPr>
          <w:rStyle w:val="af7"/>
          <w:rFonts w:eastAsia="Guttman Hodes" w:hint="cs"/>
          <w:rtl/>
        </w:rPr>
        <w:t>(סוד"ה ורבי' יוסף, הועתק בקובץ שיטות קמאי ב"ב ח"א עמ' תשס"ח)</w:t>
      </w:r>
      <w:r>
        <w:rPr>
          <w:rFonts w:hint="cs"/>
          <w:rtl/>
        </w:rPr>
        <w:t xml:space="preserve"> בדעת רב יוסף</w:t>
      </w:r>
      <w:r w:rsidRPr="007F41F7">
        <w:rPr>
          <w:rFonts w:hint="cs"/>
          <w:rtl/>
        </w:rPr>
        <w:t xml:space="preserve"> </w:t>
      </w:r>
      <w:r>
        <w:rPr>
          <w:rFonts w:hint="cs"/>
          <w:rtl/>
        </w:rPr>
        <w:t xml:space="preserve">שיש חילוק בין מיגו שטוען טענה בעל פה שהוא נאמן, לבין מיגו דנקיט שטרא בידיה, דהא דמהני מיגו בטענה בעל פה, הוא כיון שהוא יכול לטעון את ב' הטענות, את מה שטוען עכשיו ואת טענת המיגו, דבטענה שבעל פה אדם אינו חשש לשקר, ולכן במיגו יש לו ראיה שאינו משקר, כיון שאם היה רוצה לשקר היה יכול לטעון את טענת המיגו, אבל כשיש לו שטר מזויף, ביאר </w:t>
      </w:r>
      <w:r w:rsidRPr="00296131">
        <w:rPr>
          <w:rStyle w:val="af9"/>
          <w:rFonts w:hint="cs"/>
          <w:rtl/>
        </w:rPr>
        <w:t>בפסקי הרי"ד</w:t>
      </w:r>
      <w:r>
        <w:rPr>
          <w:rFonts w:hint="cs"/>
          <w:rtl/>
        </w:rPr>
        <w:t xml:space="preserve"> דלא מהני מיגו שהיה טוען שהוא שטר טוב, כיון שהשטר מזויף שהוא ירא לטעון שהוא שטר טוב, דבשטר שאחרים רואים את השטר, הוא ירא שמא יתגלה שהשטר מזויף והוא יוחזק כפרן לעולם, ולכן לא אמרינן דכיון שהודה שהוא מזויף, דהוא נאמן לומר שהיה </w:t>
      </w:r>
      <w:r>
        <w:rPr>
          <w:rFonts w:hint="cs"/>
          <w:rtl/>
        </w:rPr>
        <w:t xml:space="preserve">לו שטר, אחר, הא בכה"ג אין לו ראיה שאם היה רוצה לשקר היה טוען שהוא שטר טוב, דהוא ירא לטעון כן, ועי' במ"ש </w:t>
      </w:r>
      <w:r w:rsidRPr="00914C1F">
        <w:rPr>
          <w:rStyle w:val="af9"/>
          <w:rFonts w:hint="cs"/>
          <w:rtl/>
        </w:rPr>
        <w:t>המאירי</w:t>
      </w:r>
      <w:r>
        <w:rPr>
          <w:rFonts w:hint="cs"/>
          <w:rtl/>
        </w:rPr>
        <w:t xml:space="preserve"> </w:t>
      </w:r>
      <w:r w:rsidRPr="00914C1F">
        <w:rPr>
          <w:rStyle w:val="af7"/>
          <w:rFonts w:eastAsia="Guttman Hodes" w:hint="cs"/>
          <w:rtl/>
        </w:rPr>
        <w:t xml:space="preserve">(עי' אות </w:t>
      </w:r>
      <w:r w:rsidRPr="00914C1F">
        <w:rPr>
          <w:rStyle w:val="af7"/>
          <w:rFonts w:eastAsia="Guttman Hodes"/>
          <w:rtl/>
        </w:rPr>
        <w:fldChar w:fldCharType="begin"/>
      </w:r>
      <w:r w:rsidRPr="00914C1F">
        <w:rPr>
          <w:rStyle w:val="af7"/>
          <w:rFonts w:eastAsia="Guttman Hodes"/>
          <w:rtl/>
        </w:rPr>
        <w:instrText xml:space="preserve"> </w:instrText>
      </w:r>
      <w:r w:rsidRPr="00914C1F">
        <w:rPr>
          <w:rStyle w:val="af7"/>
          <w:rFonts w:eastAsia="Guttman Hodes" w:hint="cs"/>
        </w:rPr>
        <w:instrText>REF</w:instrText>
      </w:r>
      <w:r w:rsidRPr="00914C1F">
        <w:rPr>
          <w:rStyle w:val="af7"/>
          <w:rFonts w:eastAsia="Guttman Hodes" w:hint="cs"/>
          <w:rtl/>
        </w:rPr>
        <w:instrText xml:space="preserve"> _</w:instrText>
      </w:r>
      <w:r w:rsidRPr="00914C1F">
        <w:rPr>
          <w:rStyle w:val="af7"/>
          <w:rFonts w:eastAsia="Guttman Hodes" w:hint="cs"/>
        </w:rPr>
        <w:instrText>Ref63181420 \r \h</w:instrText>
      </w:r>
      <w:r w:rsidRPr="00914C1F">
        <w:rPr>
          <w:rStyle w:val="af7"/>
          <w:rFonts w:eastAsia="Guttman Hodes"/>
          <w:rtl/>
        </w:rPr>
        <w:instrText xml:space="preserve"> </w:instrText>
      </w:r>
      <w:r w:rsidRPr="00914C1F">
        <w:rPr>
          <w:rStyle w:val="af7"/>
          <w:rFonts w:eastAsia="Guttman Hodes"/>
          <w:rtl/>
        </w:rPr>
      </w:r>
      <w:r w:rsidRPr="00914C1F">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914C1F">
        <w:rPr>
          <w:rStyle w:val="af7"/>
          <w:rFonts w:eastAsia="Guttman Hodes"/>
          <w:rtl/>
        </w:rPr>
        <w:fldChar w:fldCharType="end"/>
      </w:r>
      <w:r>
        <w:rPr>
          <w:rFonts w:hint="cs"/>
          <w:rtl/>
        </w:rPr>
        <w:t>.</w:t>
      </w:r>
      <w:bookmarkEnd w:id="13811"/>
    </w:p>
    <w:p w:rsidR="003B7617" w:rsidRDefault="003B7617" w:rsidP="003B7617">
      <w:pPr>
        <w:pStyle w:val="a3"/>
        <w:rPr>
          <w:rtl/>
        </w:rPr>
      </w:pPr>
      <w:bookmarkStart w:id="13812" w:name="_Toc63188771"/>
      <w:bookmarkStart w:id="13813" w:name="_Toc63247730"/>
      <w:r>
        <w:rPr>
          <w:rFonts w:hint="cs"/>
          <w:rtl/>
        </w:rPr>
        <w:t>ביאור הרי"ד דבההוא ערבא שאינו מזויף ונמחל שעבודו אינו ירא לטעון מיגו דלא יוחזק כפרן</w:t>
      </w:r>
      <w:bookmarkEnd w:id="13812"/>
      <w:bookmarkEnd w:id="13813"/>
    </w:p>
    <w:p w:rsidR="003B7617" w:rsidRDefault="003B7617" w:rsidP="007E4E81">
      <w:pPr>
        <w:pStyle w:val="a0"/>
        <w:rPr>
          <w:rtl/>
        </w:rPr>
      </w:pPr>
      <w:bookmarkStart w:id="13814" w:name="_Ref63181654"/>
      <w:r>
        <w:rPr>
          <w:rFonts w:hint="cs"/>
          <w:rtl/>
        </w:rPr>
        <w:t xml:space="preserve">אך כתב </w:t>
      </w:r>
      <w:r w:rsidRPr="00296131">
        <w:rPr>
          <w:rStyle w:val="af9"/>
          <w:rFonts w:hint="cs"/>
          <w:rtl/>
        </w:rPr>
        <w:t>בפסקי הרי"ד</w:t>
      </w:r>
      <w:r>
        <w:rPr>
          <w:rFonts w:hint="cs"/>
          <w:rtl/>
        </w:rPr>
        <w:t xml:space="preserve"> דבההוא ערבא שיש לו שטר טוב, וטוען המלוה שהחזיר את הפרעון ללוה כיון שהמעות היו שייפי וסומקי, הוא נאמן במיגו, דכיון שהשטר הוא שטר טוב, הוא כמו מיגו בטענות בעל פה, דאינו ירא לטעון שלא פרע לו, דאף אם היה מתגלה שפרע לו אינו מוחזק לכפרן בזה, דטוען שאי"ז נחשב לפרעון כלל, כשנתן לו מעות שהם שייפי וסומקי, ולכן החזירם לו, ולכן הוא נאמן לומר שפרע והחזיר לו במיגו דהיה טוען שלא פרע לו כלל.</w:t>
      </w:r>
      <w:bookmarkEnd w:id="13814"/>
    </w:p>
    <w:p w:rsidR="003B7617" w:rsidRDefault="003B7617" w:rsidP="003B7617">
      <w:pPr>
        <w:pStyle w:val="a3"/>
        <w:rPr>
          <w:rtl/>
        </w:rPr>
      </w:pPr>
      <w:bookmarkStart w:id="13815" w:name="_Toc63188772"/>
      <w:bookmarkStart w:id="13816" w:name="_Toc63247731"/>
      <w:r>
        <w:rPr>
          <w:rFonts w:hint="cs"/>
          <w:rtl/>
        </w:rPr>
        <w:t>ביאור הרי"ד דרבה ס"ל דאינו ירא לטעון שהשטר אמת ורב אידי מספקא ליה אי מהני מיגו</w:t>
      </w:r>
      <w:bookmarkEnd w:id="13815"/>
      <w:bookmarkEnd w:id="13816"/>
    </w:p>
    <w:p w:rsidR="003B7617" w:rsidRDefault="003B7617" w:rsidP="007E4E81">
      <w:pPr>
        <w:pStyle w:val="a0"/>
        <w:rPr>
          <w:rtl/>
        </w:rPr>
      </w:pPr>
      <w:r>
        <w:rPr>
          <w:rFonts w:hint="cs"/>
          <w:rtl/>
        </w:rPr>
        <w:t xml:space="preserve">ובדעת רבה ביאר </w:t>
      </w:r>
      <w:r w:rsidRPr="00296131">
        <w:rPr>
          <w:rStyle w:val="af9"/>
          <w:rFonts w:hint="cs"/>
          <w:rtl/>
        </w:rPr>
        <w:t>בפסקי הרי"ד</w:t>
      </w:r>
      <w:r>
        <w:rPr>
          <w:rFonts w:hint="cs"/>
          <w:rtl/>
        </w:rPr>
        <w:t xml:space="preserve"> </w:t>
      </w:r>
      <w:r w:rsidRPr="00296131">
        <w:rPr>
          <w:rStyle w:val="af7"/>
          <w:rFonts w:eastAsia="Guttman Hodes" w:hint="cs"/>
          <w:rtl/>
        </w:rPr>
        <w:t>(סוד"ה ורבי' יוסף, הועתק בקובץ שיטות קמאי ב"ב ח"א עמ' תשס"ח)</w:t>
      </w:r>
      <w:r>
        <w:rPr>
          <w:rFonts w:hint="cs"/>
          <w:rtl/>
        </w:rPr>
        <w:t xml:space="preserve"> דס"ל דאף במיגו בשטר הוא נאמן, ולא אמרינן דהוא ירא לטעון שהוא שטר טוב, וכתב </w:t>
      </w:r>
      <w:r w:rsidRPr="00B659AF">
        <w:rPr>
          <w:rStyle w:val="af9"/>
          <w:rFonts w:hint="cs"/>
          <w:rtl/>
        </w:rPr>
        <w:t>בפסקי הרי"ד</w:t>
      </w:r>
      <w:r>
        <w:rPr>
          <w:rFonts w:hint="cs"/>
          <w:rtl/>
        </w:rPr>
        <w:t xml:space="preserve"> דרב אידי מספקא ליה אי חשיב מיגו או לא, ולכן פסק כרבה בארעא וכרב יוסף בזוזי.</w:t>
      </w:r>
    </w:p>
    <w:p w:rsidR="003B7617" w:rsidRDefault="003B7617" w:rsidP="003B7617">
      <w:pPr>
        <w:pStyle w:val="afe"/>
        <w:rPr>
          <w:rtl/>
        </w:rPr>
      </w:pPr>
      <w:bookmarkStart w:id="13817" w:name="_Toc63111463"/>
      <w:bookmarkStart w:id="13818" w:name="_Toc63163513"/>
      <w:bookmarkStart w:id="13819" w:name="_Toc63188773"/>
      <w:bookmarkStart w:id="13820" w:name="_Toc63247732"/>
      <w:bookmarkStart w:id="13821" w:name="_Toc63111464"/>
      <w:bookmarkStart w:id="13822" w:name="_Toc63163515"/>
      <w:bookmarkStart w:id="13823" w:name="_Toc62644215"/>
      <w:bookmarkStart w:id="13824" w:name="_Toc62819901"/>
      <w:r>
        <w:rPr>
          <w:rFonts w:hint="cs"/>
          <w:rtl/>
        </w:rPr>
        <w:t>ביאורי הרשב"ם והתוס' בפסק רב אידי</w:t>
      </w:r>
      <w:bookmarkEnd w:id="13817"/>
      <w:bookmarkEnd w:id="13818"/>
      <w:bookmarkEnd w:id="13819"/>
      <w:bookmarkEnd w:id="13820"/>
    </w:p>
    <w:p w:rsidR="003B7617" w:rsidRDefault="003B7617" w:rsidP="003B7617">
      <w:pPr>
        <w:pStyle w:val="a3"/>
        <w:rPr>
          <w:rtl/>
        </w:rPr>
      </w:pPr>
      <w:bookmarkStart w:id="13825" w:name="_Toc63188774"/>
      <w:bookmarkStart w:id="13826" w:name="_Toc63247733"/>
      <w:r>
        <w:rPr>
          <w:rFonts w:hint="cs"/>
          <w:rtl/>
        </w:rPr>
        <w:t>ביאור הרשב"ם דרב אידי מספקא ליה אי מהני מיגו ולכן אמרינן דבקרקע ובזוזי</w:t>
      </w:r>
      <w:r w:rsidRPr="00FB5313">
        <w:rPr>
          <w:rFonts w:hint="cs"/>
          <w:rtl/>
        </w:rPr>
        <w:t xml:space="preserve"> </w:t>
      </w:r>
      <w:r>
        <w:rPr>
          <w:rFonts w:hint="cs"/>
          <w:rtl/>
        </w:rPr>
        <w:t>המע"ה</w:t>
      </w:r>
      <w:bookmarkEnd w:id="13825"/>
      <w:bookmarkEnd w:id="13826"/>
    </w:p>
    <w:p w:rsidR="003B7617" w:rsidRDefault="003B7617" w:rsidP="007E4E81">
      <w:pPr>
        <w:pStyle w:val="a0"/>
        <w:rPr>
          <w:rtl/>
        </w:rPr>
      </w:pPr>
      <w:bookmarkStart w:id="13827" w:name="_Ref63180798"/>
      <w:r>
        <w:rPr>
          <w:rFonts w:hint="cs"/>
          <w:rtl/>
        </w:rPr>
        <w:t xml:space="preserve">כתב </w:t>
      </w:r>
      <w:r w:rsidRPr="00296131">
        <w:rPr>
          <w:rStyle w:val="af9"/>
          <w:rFonts w:hint="cs"/>
          <w:rtl/>
        </w:rPr>
        <w:t>הרשב"ם</w:t>
      </w:r>
      <w:r>
        <w:rPr>
          <w:rFonts w:hint="cs"/>
          <w:rtl/>
        </w:rPr>
        <w:t xml:space="preserve"> </w:t>
      </w:r>
      <w:r w:rsidRPr="00296131">
        <w:rPr>
          <w:rStyle w:val="af7"/>
          <w:rFonts w:eastAsia="Guttman Hodes" w:hint="cs"/>
          <w:rtl/>
        </w:rPr>
        <w:t>(ד"ה הלכתא)</w:t>
      </w:r>
      <w:r>
        <w:rPr>
          <w:rFonts w:hint="cs"/>
          <w:rtl/>
        </w:rPr>
        <w:t xml:space="preserve"> דמספקא ליה לרב אידי אי נראה כסברת רבה או כסברת רב יוסף, ולכן פסק רב אידי בקרקע כרבה דנאמן במיגו, ועומד המחזיק במקחו, כיון שלא הובררו סברות רבה ורב יוסף אי מהני מיגו או לא, לכן בקרקע אמרינן דהמוציא מחבירו עליו הראיה, והיכא דקיימא תיקום ואין אנו מוציאין אותה מספק, ובזוזי פסק כרב יוסף כיון שהלוה מוחזק במעות ובעל השטר אינו מוחזק, אמרינן דעל בעל השטר להביא ראיה.</w:t>
      </w:r>
      <w:bookmarkEnd w:id="13827"/>
      <w:r>
        <w:rPr>
          <w:rFonts w:hint="cs"/>
          <w:rtl/>
        </w:rPr>
        <w:t xml:space="preserve"> </w:t>
      </w:r>
    </w:p>
    <w:p w:rsidR="003B7617" w:rsidRDefault="003B7617" w:rsidP="003B7617">
      <w:pPr>
        <w:pStyle w:val="a3"/>
        <w:rPr>
          <w:rtl/>
        </w:rPr>
      </w:pPr>
      <w:bookmarkStart w:id="13828" w:name="_Toc63188775"/>
      <w:bookmarkStart w:id="13829" w:name="_Toc63247734"/>
      <w:r>
        <w:rPr>
          <w:rFonts w:hint="cs"/>
          <w:rtl/>
        </w:rPr>
        <w:t>ביאור התוס' דקיי"ל כרבה בארעא דהוא מיגו להחזיק ובמקום שטר אמרינן אף מיגו להוציא</w:t>
      </w:r>
      <w:bookmarkEnd w:id="13828"/>
      <w:bookmarkEnd w:id="13829"/>
    </w:p>
    <w:p w:rsidR="003B7617" w:rsidRDefault="003B7617" w:rsidP="007E4E81">
      <w:pPr>
        <w:pStyle w:val="a0"/>
        <w:rPr>
          <w:rtl/>
        </w:rPr>
      </w:pPr>
      <w:bookmarkStart w:id="13830" w:name="_Ref63155210"/>
      <w:r>
        <w:rPr>
          <w:rFonts w:hint="cs"/>
          <w:rtl/>
        </w:rPr>
        <w:t xml:space="preserve">ועי' במה שהקשו </w:t>
      </w:r>
      <w:r w:rsidRPr="00296131">
        <w:rPr>
          <w:rStyle w:val="af9"/>
          <w:rFonts w:hint="cs"/>
          <w:rtl/>
        </w:rPr>
        <w:t>התוס'</w:t>
      </w:r>
      <w:r>
        <w:rPr>
          <w:rFonts w:hint="cs"/>
          <w:rtl/>
        </w:rPr>
        <w:t xml:space="preserve"> </w:t>
      </w:r>
      <w:r w:rsidRPr="00296131">
        <w:rPr>
          <w:rStyle w:val="af7"/>
          <w:rFonts w:eastAsia="Guttman Hodes" w:hint="cs"/>
          <w:rtl/>
        </w:rPr>
        <w:t>(ד"ה והלכתא)</w:t>
      </w:r>
      <w:r>
        <w:rPr>
          <w:rFonts w:hint="cs"/>
          <w:rtl/>
        </w:rPr>
        <w:t xml:space="preserve"> על </w:t>
      </w:r>
      <w:r w:rsidRPr="00296131">
        <w:rPr>
          <w:rStyle w:val="af9"/>
          <w:rFonts w:hint="cs"/>
          <w:rtl/>
        </w:rPr>
        <w:t>הרשב"ם</w:t>
      </w:r>
      <w:r>
        <w:rPr>
          <w:rFonts w:hint="cs"/>
          <w:rtl/>
        </w:rPr>
        <w:t xml:space="preserve"> דלדבריו צריך לחלק בדוחק בין ספיקא דדינא לתרי ותרי, ולכן ביאר </w:t>
      </w:r>
      <w:r w:rsidRPr="00296131">
        <w:rPr>
          <w:rStyle w:val="af9"/>
          <w:rFonts w:hint="cs"/>
          <w:rtl/>
        </w:rPr>
        <w:t>ר"י בתוס'</w:t>
      </w:r>
      <w:r>
        <w:rPr>
          <w:rFonts w:hint="cs"/>
          <w:rtl/>
        </w:rPr>
        <w:t xml:space="preserve"> דקיי"ל כרבה בארעא, דמיגו להעמיד את הממון ברשותו אמרינן ומיגו להוציא לא אמרינן, והקשו </w:t>
      </w:r>
      <w:r w:rsidRPr="004F53DC">
        <w:rPr>
          <w:rStyle w:val="af9"/>
          <w:rFonts w:hint="cs"/>
          <w:rtl/>
        </w:rPr>
        <w:t>התוס'</w:t>
      </w:r>
      <w:r>
        <w:rPr>
          <w:rFonts w:hint="cs"/>
          <w:rtl/>
        </w:rPr>
        <w:t xml:space="preserve"> דהא איתא בגמ' בכתובות </w:t>
      </w:r>
      <w:r w:rsidRPr="00296131">
        <w:rPr>
          <w:rStyle w:val="af7"/>
          <w:rFonts w:eastAsia="Guttman Hodes" w:hint="cs"/>
          <w:rtl/>
        </w:rPr>
        <w:t>(פה.)</w:t>
      </w:r>
      <w:r>
        <w:rPr>
          <w:rFonts w:hint="cs"/>
          <w:rtl/>
        </w:rPr>
        <w:t xml:space="preserve"> דמלוה שמוציא שטר על הלוה, וטען הלוה שהוא פרוע, והודה המלוה שפרע לו שלא בפני עדים, אך </w:t>
      </w:r>
      <w:r>
        <w:rPr>
          <w:rtl/>
        </w:rPr>
        <w:t>הנהו סיטראי נינהו</w:t>
      </w:r>
      <w:r>
        <w:rPr>
          <w:rFonts w:hint="cs"/>
          <w:rtl/>
        </w:rPr>
        <w:t xml:space="preserve">, </w:t>
      </w:r>
      <w:r w:rsidRPr="00CC79BE">
        <w:rPr>
          <w:rStyle w:val="afb"/>
          <w:rFonts w:hint="cs"/>
          <w:rtl/>
        </w:rPr>
        <w:t>[ד</w:t>
      </w:r>
      <w:r w:rsidRPr="004F53DC">
        <w:rPr>
          <w:rStyle w:val="afb"/>
          <w:rFonts w:hint="cs"/>
          <w:rtl/>
        </w:rPr>
        <w:t>הוא חייב לו חוב אחר שלא בשטר],</w:t>
      </w:r>
      <w:r>
        <w:rPr>
          <w:rFonts w:hint="cs"/>
          <w:rtl/>
        </w:rPr>
        <w:t xml:space="preserve"> דהמלוה נאמן במיגו שלא היה מודה שפרע לו כלל, וא"כ מוכח דאמרינן מיגו להוציא, ותירצו </w:t>
      </w:r>
      <w:r w:rsidRPr="004F53DC">
        <w:rPr>
          <w:rStyle w:val="af9"/>
          <w:rFonts w:hint="cs"/>
          <w:rtl/>
        </w:rPr>
        <w:t xml:space="preserve">התוס' </w:t>
      </w:r>
      <w:r>
        <w:rPr>
          <w:rFonts w:hint="cs"/>
          <w:rtl/>
        </w:rPr>
        <w:t xml:space="preserve">דכיון שיש לו שטר מהני המיגו, ועי' במ"ש </w:t>
      </w:r>
      <w:r w:rsidRPr="00B8474F">
        <w:rPr>
          <w:rStyle w:val="af9"/>
          <w:rFonts w:hint="cs"/>
          <w:rtl/>
        </w:rPr>
        <w:t xml:space="preserve">רבינו יונה </w:t>
      </w:r>
      <w:r w:rsidRPr="00777A2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Ref63197507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Pr>
          <w:rStyle w:val="af7"/>
          <w:rFonts w:eastAsia="Guttman Hodes"/>
          <w:rtl/>
        </w:rPr>
        <w:fldChar w:fldCharType="end"/>
      </w:r>
      <w:r w:rsidRPr="00777A28">
        <w:rPr>
          <w:rStyle w:val="af7"/>
          <w:rFonts w:eastAsia="Guttman Hodes" w:hint="cs"/>
          <w:rtl/>
        </w:rPr>
        <w:t xml:space="preserve"> </w:t>
      </w:r>
      <w:r>
        <w:rPr>
          <w:rStyle w:val="af9"/>
          <w:rFonts w:hint="cs"/>
          <w:rtl/>
        </w:rPr>
        <w:t>והרמב"ן והרשב"א</w:t>
      </w:r>
      <w:r>
        <w:rPr>
          <w:rFonts w:hint="cs"/>
          <w:rtl/>
        </w:rPr>
        <w:t xml:space="preserve"> </w:t>
      </w:r>
      <w:r w:rsidRPr="00777A28">
        <w:rPr>
          <w:rStyle w:val="af7"/>
          <w:rFonts w:eastAsia="Guttman Hodes" w:hint="cs"/>
          <w:rtl/>
        </w:rPr>
        <w:t xml:space="preserve">(עי' אות </w:t>
      </w:r>
      <w:r w:rsidRPr="00777A28">
        <w:rPr>
          <w:rStyle w:val="af7"/>
          <w:rFonts w:eastAsia="Guttman Hodes"/>
          <w:rtl/>
        </w:rPr>
        <w:fldChar w:fldCharType="begin"/>
      </w:r>
      <w:r w:rsidRPr="00777A28">
        <w:rPr>
          <w:rStyle w:val="af7"/>
          <w:rFonts w:eastAsia="Guttman Hodes"/>
          <w:rtl/>
        </w:rPr>
        <w:instrText xml:space="preserve"> </w:instrText>
      </w:r>
      <w:r w:rsidRPr="00777A28">
        <w:rPr>
          <w:rStyle w:val="af7"/>
          <w:rFonts w:eastAsia="Guttman Hodes" w:hint="cs"/>
        </w:rPr>
        <w:instrText>REF</w:instrText>
      </w:r>
      <w:r w:rsidRPr="00777A28">
        <w:rPr>
          <w:rStyle w:val="af7"/>
          <w:rFonts w:eastAsia="Guttman Hodes" w:hint="cs"/>
          <w:rtl/>
        </w:rPr>
        <w:instrText xml:space="preserve"> _</w:instrText>
      </w:r>
      <w:r w:rsidRPr="00777A28">
        <w:rPr>
          <w:rStyle w:val="af7"/>
          <w:rFonts w:eastAsia="Guttman Hodes" w:hint="cs"/>
        </w:rPr>
        <w:instrText>Ref63197458 \r \h</w:instrText>
      </w:r>
      <w:r w:rsidRPr="00777A28">
        <w:rPr>
          <w:rStyle w:val="af7"/>
          <w:rFonts w:eastAsia="Guttman Hodes"/>
          <w:rtl/>
        </w:rPr>
        <w:instrText xml:space="preserve"> </w:instrText>
      </w:r>
      <w:r w:rsidRPr="00777A28">
        <w:rPr>
          <w:rStyle w:val="af7"/>
          <w:rFonts w:eastAsia="Guttman Hodes"/>
          <w:rtl/>
        </w:rPr>
      </w:r>
      <w:r w:rsidRPr="00777A28">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777A28">
        <w:rPr>
          <w:rStyle w:val="af7"/>
          <w:rFonts w:eastAsia="Guttman Hodes"/>
          <w:rtl/>
        </w:rPr>
        <w:fldChar w:fldCharType="end"/>
      </w:r>
      <w:r>
        <w:rPr>
          <w:rFonts w:hint="cs"/>
          <w:rtl/>
        </w:rPr>
        <w:t xml:space="preserve"> בדין סטראי, ועי' במה שביאר </w:t>
      </w:r>
      <w:r w:rsidRPr="00150A97">
        <w:rPr>
          <w:rStyle w:val="af9"/>
          <w:rFonts w:hint="cs"/>
          <w:rtl/>
        </w:rPr>
        <w:t xml:space="preserve">בחי' רבי נחום </w:t>
      </w:r>
      <w:r w:rsidRPr="00150A97">
        <w:rPr>
          <w:rStyle w:val="af7"/>
          <w:rFonts w:eastAsia="Guttman Hodes" w:hint="cs"/>
          <w:rtl/>
        </w:rPr>
        <w:t xml:space="preserve">(עי' אות </w:t>
      </w:r>
      <w:r w:rsidRPr="00150A97">
        <w:rPr>
          <w:rStyle w:val="af7"/>
          <w:rFonts w:eastAsia="Guttman Hodes"/>
          <w:rtl/>
        </w:rPr>
        <w:fldChar w:fldCharType="begin"/>
      </w:r>
      <w:r w:rsidRPr="00150A97">
        <w:rPr>
          <w:rStyle w:val="af7"/>
          <w:rFonts w:eastAsia="Guttman Hodes"/>
          <w:rtl/>
        </w:rPr>
        <w:instrText xml:space="preserve"> </w:instrText>
      </w:r>
      <w:r w:rsidRPr="00150A97">
        <w:rPr>
          <w:rStyle w:val="af7"/>
          <w:rFonts w:eastAsia="Guttman Hodes" w:hint="cs"/>
        </w:rPr>
        <w:instrText>REF</w:instrText>
      </w:r>
      <w:r w:rsidRPr="00150A97">
        <w:rPr>
          <w:rStyle w:val="af7"/>
          <w:rFonts w:eastAsia="Guttman Hodes" w:hint="cs"/>
          <w:rtl/>
        </w:rPr>
        <w:instrText xml:space="preserve"> _</w:instrText>
      </w:r>
      <w:r w:rsidRPr="00150A97">
        <w:rPr>
          <w:rStyle w:val="af7"/>
          <w:rFonts w:eastAsia="Guttman Hodes" w:hint="cs"/>
        </w:rPr>
        <w:instrText>Ref63247636 \r \h</w:instrText>
      </w:r>
      <w:r w:rsidRPr="00150A97">
        <w:rPr>
          <w:rStyle w:val="af7"/>
          <w:rFonts w:eastAsia="Guttman Hodes"/>
          <w:rtl/>
        </w:rPr>
        <w:instrText xml:space="preserve"> </w:instrText>
      </w:r>
      <w:r w:rsidRPr="00150A97">
        <w:rPr>
          <w:rStyle w:val="af7"/>
          <w:rFonts w:eastAsia="Guttman Hodes"/>
          <w:rtl/>
        </w:rPr>
      </w:r>
      <w:r w:rsidRPr="00150A97">
        <w:rPr>
          <w:rStyle w:val="af7"/>
          <w:rFonts w:eastAsia="Guttman Hodes"/>
          <w:rtl/>
        </w:rPr>
        <w:fldChar w:fldCharType="separate"/>
      </w:r>
      <w:r w:rsidR="00265073">
        <w:rPr>
          <w:rStyle w:val="af7"/>
          <w:rFonts w:eastAsia="Guttman Hodes"/>
          <w:cs/>
        </w:rPr>
        <w:t>‎</w:t>
      </w:r>
      <w:r w:rsidR="00265073">
        <w:rPr>
          <w:rStyle w:val="af7"/>
          <w:rFonts w:eastAsia="Guttman Hodes"/>
          <w:rtl/>
        </w:rPr>
        <w:t>קכט)</w:t>
      </w:r>
      <w:r w:rsidRPr="00150A97">
        <w:rPr>
          <w:rStyle w:val="af7"/>
          <w:rFonts w:eastAsia="Guttman Hodes"/>
          <w:rtl/>
        </w:rPr>
        <w:fldChar w:fldCharType="end"/>
      </w:r>
      <w:r>
        <w:rPr>
          <w:rFonts w:hint="cs"/>
          <w:rtl/>
        </w:rPr>
        <w:t xml:space="preserve"> בדעת </w:t>
      </w:r>
      <w:r w:rsidRPr="00150A97">
        <w:rPr>
          <w:rStyle w:val="af9"/>
          <w:rFonts w:hint="cs"/>
          <w:rtl/>
        </w:rPr>
        <w:t>התוס'</w:t>
      </w:r>
      <w:r>
        <w:rPr>
          <w:rFonts w:hint="cs"/>
          <w:rtl/>
        </w:rPr>
        <w:t>.</w:t>
      </w:r>
      <w:bookmarkEnd w:id="13830"/>
    </w:p>
    <w:p w:rsidR="003B7617" w:rsidRPr="002667B4" w:rsidRDefault="003B7617" w:rsidP="003B7617">
      <w:pPr>
        <w:pStyle w:val="a3"/>
        <w:rPr>
          <w:rtl/>
        </w:rPr>
      </w:pPr>
    </w:p>
    <w:p w:rsidR="003B7617" w:rsidRPr="002667B4" w:rsidRDefault="003B7617" w:rsidP="003B7617">
      <w:pPr>
        <w:pStyle w:val="a3"/>
        <w:rPr>
          <w:rtl/>
        </w:rPr>
      </w:pPr>
    </w:p>
    <w:p w:rsidR="003B7617" w:rsidRPr="002667B4" w:rsidRDefault="003B7617" w:rsidP="003B7617">
      <w:pPr>
        <w:pStyle w:val="a3"/>
        <w:rPr>
          <w:rtl/>
        </w:rPr>
      </w:pPr>
    </w:p>
    <w:p w:rsidR="003B7617" w:rsidRPr="002667B4" w:rsidRDefault="003B7617" w:rsidP="003B7617">
      <w:pPr>
        <w:pStyle w:val="a3"/>
        <w:rPr>
          <w:rtl/>
        </w:rPr>
      </w:pPr>
    </w:p>
    <w:p w:rsidR="003B7617" w:rsidRDefault="003B7617" w:rsidP="003B7617">
      <w:pPr>
        <w:pStyle w:val="afe"/>
        <w:rPr>
          <w:rtl/>
        </w:rPr>
      </w:pPr>
      <w:bookmarkStart w:id="13831" w:name="_Toc63188776"/>
      <w:bookmarkStart w:id="13832" w:name="_Toc63247735"/>
      <w:r>
        <w:rPr>
          <w:rFonts w:hint="cs"/>
          <w:rtl/>
        </w:rPr>
        <w:lastRenderedPageBreak/>
        <w:t xml:space="preserve">בי' הריטב"א </w:t>
      </w:r>
      <w:bookmarkEnd w:id="13821"/>
      <w:bookmarkEnd w:id="13822"/>
      <w:bookmarkEnd w:id="13831"/>
      <w:r>
        <w:rPr>
          <w:rFonts w:hint="cs"/>
          <w:rtl/>
        </w:rPr>
        <w:t>דא"א לבנות מיגו על שקר</w:t>
      </w:r>
      <w:bookmarkEnd w:id="13832"/>
    </w:p>
    <w:p w:rsidR="003B7617" w:rsidRDefault="003B7617" w:rsidP="003B7617">
      <w:pPr>
        <w:pStyle w:val="1"/>
        <w:rPr>
          <w:rtl/>
        </w:rPr>
      </w:pPr>
      <w:bookmarkStart w:id="13833" w:name="_Toc62819900"/>
      <w:bookmarkStart w:id="13834" w:name="_Toc63111465"/>
      <w:bookmarkStart w:id="13835" w:name="_Toc63163516"/>
      <w:bookmarkStart w:id="13836" w:name="_Toc63188777"/>
      <w:bookmarkStart w:id="13837" w:name="_Toc63247736"/>
      <w:r>
        <w:rPr>
          <w:rFonts w:hint="cs"/>
          <w:rtl/>
        </w:rPr>
        <w:t>ביאור הריטב"א</w:t>
      </w:r>
      <w:bookmarkEnd w:id="13833"/>
      <w:bookmarkEnd w:id="13834"/>
      <w:bookmarkEnd w:id="13835"/>
      <w:bookmarkEnd w:id="13836"/>
      <w:r>
        <w:rPr>
          <w:rFonts w:hint="cs"/>
          <w:rtl/>
        </w:rPr>
        <w:t xml:space="preserve"> דלרב יוסף בהודה ששיקר א"א לבנות ע"ז מיגו</w:t>
      </w:r>
      <w:bookmarkEnd w:id="13837"/>
    </w:p>
    <w:p w:rsidR="003B7617" w:rsidRDefault="003B7617" w:rsidP="003B7617">
      <w:pPr>
        <w:pStyle w:val="a3"/>
        <w:rPr>
          <w:rtl/>
        </w:rPr>
      </w:pPr>
      <w:bookmarkStart w:id="13838" w:name="_Toc63188778"/>
      <w:bookmarkStart w:id="13839" w:name="_Toc63247737"/>
      <w:r>
        <w:rPr>
          <w:rFonts w:hint="cs"/>
          <w:rtl/>
        </w:rPr>
        <w:t>דברי הריטב"א דלרב יוסף כיון שהוברר שטענת המיגו היא שקר א"א לבנות מיגו</w:t>
      </w:r>
      <w:r w:rsidRPr="00697953">
        <w:rPr>
          <w:rFonts w:hint="cs"/>
          <w:rtl/>
        </w:rPr>
        <w:t xml:space="preserve"> </w:t>
      </w:r>
      <w:r>
        <w:rPr>
          <w:rFonts w:hint="cs"/>
          <w:rtl/>
        </w:rPr>
        <w:t>על טענה זו</w:t>
      </w:r>
      <w:bookmarkEnd w:id="13838"/>
      <w:bookmarkEnd w:id="13839"/>
    </w:p>
    <w:p w:rsidR="003B7617" w:rsidRDefault="003B7617" w:rsidP="007E4E81">
      <w:pPr>
        <w:pStyle w:val="a0"/>
        <w:rPr>
          <w:rtl/>
        </w:rPr>
      </w:pPr>
      <w:bookmarkStart w:id="13840" w:name="_Ref63185847"/>
      <w:r>
        <w:rPr>
          <w:rFonts w:hint="cs"/>
          <w:rtl/>
        </w:rPr>
        <w:t xml:space="preserve">כתב </w:t>
      </w:r>
      <w:r w:rsidRPr="00F60E68">
        <w:rPr>
          <w:rStyle w:val="af9"/>
          <w:rFonts w:hint="cs"/>
          <w:rtl/>
        </w:rPr>
        <w:t>הריטב"א</w:t>
      </w:r>
      <w:r>
        <w:rPr>
          <w:rFonts w:hint="cs"/>
          <w:rtl/>
        </w:rPr>
        <w:t xml:space="preserve"> </w:t>
      </w:r>
      <w:r w:rsidRPr="00F60E68">
        <w:rPr>
          <w:rStyle w:val="af7"/>
          <w:rFonts w:eastAsia="Guttman Hodes" w:hint="cs"/>
          <w:rtl/>
        </w:rPr>
        <w:t xml:space="preserve">(סוד"ה אמאי) </w:t>
      </w:r>
      <w:r>
        <w:rPr>
          <w:rFonts w:hint="cs"/>
          <w:rtl/>
        </w:rPr>
        <w:t xml:space="preserve">בשם </w:t>
      </w:r>
      <w:r w:rsidRPr="00F60E68">
        <w:rPr>
          <w:rStyle w:val="af9"/>
          <w:rFonts w:hint="cs"/>
          <w:rtl/>
        </w:rPr>
        <w:t>י"מ</w:t>
      </w:r>
      <w:r>
        <w:rPr>
          <w:rFonts w:hint="cs"/>
          <w:rtl/>
        </w:rPr>
        <w:t xml:space="preserve"> </w:t>
      </w:r>
      <w:r w:rsidRPr="0015267B">
        <w:rPr>
          <w:rStyle w:val="afb"/>
          <w:rFonts w:hint="cs"/>
          <w:rtl/>
        </w:rPr>
        <w:t xml:space="preserve">[עי' בדברי </w:t>
      </w:r>
      <w:r w:rsidRPr="0015267B">
        <w:rPr>
          <w:rStyle w:val="affa"/>
          <w:rFonts w:hint="cs"/>
          <w:rtl/>
        </w:rPr>
        <w:t>הרשב"ם</w:t>
      </w:r>
      <w:r w:rsidRPr="0015267B">
        <w:rPr>
          <w:rStyle w:val="afb"/>
          <w:rFonts w:hint="cs"/>
          <w:rtl/>
        </w:rPr>
        <w:t xml:space="preserve"> </w:t>
      </w:r>
      <w:r w:rsidRPr="0015267B">
        <w:rPr>
          <w:rStyle w:val="aff6"/>
          <w:rFonts w:hint="cs"/>
          <w:rtl/>
        </w:rPr>
        <w:t xml:space="preserve">(עי' אות </w:t>
      </w:r>
      <w:r w:rsidRPr="0015267B">
        <w:rPr>
          <w:rStyle w:val="aff6"/>
          <w:rtl/>
        </w:rPr>
        <w:fldChar w:fldCharType="begin"/>
      </w:r>
      <w:r w:rsidRPr="0015267B">
        <w:rPr>
          <w:rStyle w:val="aff6"/>
          <w:rtl/>
        </w:rPr>
        <w:instrText xml:space="preserve"> </w:instrText>
      </w:r>
      <w:r w:rsidRPr="0015267B">
        <w:rPr>
          <w:rStyle w:val="aff6"/>
          <w:rFonts w:hint="cs"/>
        </w:rPr>
        <w:instrText>REF</w:instrText>
      </w:r>
      <w:r w:rsidRPr="0015267B">
        <w:rPr>
          <w:rStyle w:val="aff6"/>
          <w:rFonts w:hint="cs"/>
          <w:rtl/>
        </w:rPr>
        <w:instrText xml:space="preserve"> _</w:instrText>
      </w:r>
      <w:r w:rsidRPr="0015267B">
        <w:rPr>
          <w:rStyle w:val="aff6"/>
          <w:rFonts w:hint="cs"/>
        </w:rPr>
        <w:instrText>Ref62588040 \r \h</w:instrText>
      </w:r>
      <w:r w:rsidRPr="0015267B">
        <w:rPr>
          <w:rStyle w:val="aff6"/>
          <w:rtl/>
        </w:rPr>
        <w:instrText xml:space="preserve"> </w:instrText>
      </w:r>
      <w:r w:rsidRPr="0015267B">
        <w:rPr>
          <w:rStyle w:val="aff6"/>
          <w:rtl/>
        </w:rPr>
      </w:r>
      <w:r w:rsidRPr="0015267B">
        <w:rPr>
          <w:rStyle w:val="aff6"/>
          <w:rtl/>
        </w:rPr>
        <w:fldChar w:fldCharType="separate"/>
      </w:r>
      <w:r w:rsidR="00265073">
        <w:rPr>
          <w:rStyle w:val="aff6"/>
          <w:cs/>
        </w:rPr>
        <w:t>‎</w:t>
      </w:r>
      <w:r w:rsidR="00265073">
        <w:rPr>
          <w:rStyle w:val="aff6"/>
          <w:rtl/>
        </w:rPr>
        <w:t>כט)</w:t>
      </w:r>
      <w:r w:rsidRPr="0015267B">
        <w:rPr>
          <w:rStyle w:val="aff6"/>
          <w:rtl/>
        </w:rPr>
        <w:fldChar w:fldCharType="end"/>
      </w:r>
      <w:r>
        <w:rPr>
          <w:rStyle w:val="afb"/>
          <w:rFonts w:hint="cs"/>
          <w:rtl/>
        </w:rPr>
        <w:t xml:space="preserve">, וע"ע בדברי </w:t>
      </w:r>
      <w:r w:rsidRPr="006963C7">
        <w:rPr>
          <w:rStyle w:val="affa"/>
          <w:rFonts w:hint="cs"/>
          <w:rtl/>
        </w:rPr>
        <w:t>ר"י בתי' הא'</w:t>
      </w:r>
      <w:r>
        <w:rPr>
          <w:rStyle w:val="afb"/>
          <w:rFonts w:hint="cs"/>
          <w:rtl/>
        </w:rPr>
        <w:t xml:space="preserve"> </w:t>
      </w:r>
      <w:r w:rsidRPr="00F60E68">
        <w:rPr>
          <w:rStyle w:val="aff6"/>
          <w:rFonts w:hint="cs"/>
          <w:rtl/>
        </w:rPr>
        <w:t xml:space="preserve">(עי' אות </w:t>
      </w:r>
      <w:r w:rsidRPr="00F60E68">
        <w:rPr>
          <w:rStyle w:val="aff6"/>
          <w:rtl/>
        </w:rPr>
        <w:fldChar w:fldCharType="begin"/>
      </w:r>
      <w:r w:rsidRPr="00F60E68">
        <w:rPr>
          <w:rStyle w:val="aff6"/>
          <w:rtl/>
        </w:rPr>
        <w:instrText xml:space="preserve"> </w:instrText>
      </w:r>
      <w:r w:rsidRPr="00F60E68">
        <w:rPr>
          <w:rStyle w:val="aff6"/>
          <w:rFonts w:hint="cs"/>
        </w:rPr>
        <w:instrText>REF</w:instrText>
      </w:r>
      <w:r w:rsidRPr="00F60E68">
        <w:rPr>
          <w:rStyle w:val="aff6"/>
          <w:rFonts w:hint="cs"/>
          <w:rtl/>
        </w:rPr>
        <w:instrText xml:space="preserve"> _</w:instrText>
      </w:r>
      <w:r w:rsidRPr="00F60E68">
        <w:rPr>
          <w:rStyle w:val="aff6"/>
          <w:rFonts w:hint="cs"/>
        </w:rPr>
        <w:instrText>Ref62811640 \r \h</w:instrText>
      </w:r>
      <w:r w:rsidRPr="00F60E68">
        <w:rPr>
          <w:rStyle w:val="aff6"/>
          <w:rtl/>
        </w:rPr>
        <w:instrText xml:space="preserve"> </w:instrText>
      </w:r>
      <w:r w:rsidRPr="00F60E68">
        <w:rPr>
          <w:rStyle w:val="aff6"/>
          <w:rtl/>
        </w:rPr>
      </w:r>
      <w:r w:rsidRPr="00F60E68">
        <w:rPr>
          <w:rStyle w:val="aff6"/>
          <w:rtl/>
        </w:rPr>
        <w:fldChar w:fldCharType="separate"/>
      </w:r>
      <w:r w:rsidR="00265073">
        <w:rPr>
          <w:rStyle w:val="aff6"/>
          <w:cs/>
        </w:rPr>
        <w:t>‎</w:t>
      </w:r>
      <w:r w:rsidR="00265073">
        <w:rPr>
          <w:rStyle w:val="aff6"/>
          <w:rtl/>
        </w:rPr>
        <w:t>נו)</w:t>
      </w:r>
      <w:r w:rsidRPr="00F60E68">
        <w:rPr>
          <w:rStyle w:val="aff6"/>
          <w:rtl/>
        </w:rPr>
        <w:fldChar w:fldCharType="end"/>
      </w:r>
      <w:r w:rsidRPr="0015267B">
        <w:rPr>
          <w:rStyle w:val="afb"/>
          <w:rFonts w:hint="cs"/>
          <w:rtl/>
        </w:rPr>
        <w:t>]</w:t>
      </w:r>
      <w:r>
        <w:rPr>
          <w:rFonts w:hint="cs"/>
          <w:rtl/>
        </w:rPr>
        <w:t xml:space="preserve"> דרב יוסף ס"ל דכיון שהתברר לנו שטענת המיגו היא שקר גמור, דמה שהיה יכול לטעון שהשטר הוא שטר טוב, התברר לנו שהשטר הוא מזויף והיא טענת שקר, ולכן א"א לבנות מיגו על טענה זו, דכ"מ דאמרינן מיגו, היינו באופן שטוען טענה שאינה מבוררת, שאפשר להאמין לו במה שטוען עכשיו, במיגו שהיה יכול לטעון טענה אחרת, שלא התברר לנו שום שקר שיש בטענת המיגו, ובדעת רבה ביאר </w:t>
      </w:r>
      <w:r w:rsidRPr="00296131">
        <w:rPr>
          <w:rStyle w:val="af9"/>
          <w:rFonts w:hint="cs"/>
          <w:rtl/>
        </w:rPr>
        <w:t>הריטב"א</w:t>
      </w:r>
      <w:r>
        <w:rPr>
          <w:rFonts w:hint="cs"/>
          <w:rtl/>
        </w:rPr>
        <w:t xml:space="preserve"> דאף בכה"ג אמרינן מיגו, וכתב </w:t>
      </w:r>
      <w:r w:rsidRPr="00296131">
        <w:rPr>
          <w:rStyle w:val="af9"/>
          <w:rFonts w:hint="cs"/>
          <w:rtl/>
        </w:rPr>
        <w:t>הריטב"א</w:t>
      </w:r>
      <w:r>
        <w:rPr>
          <w:rFonts w:hint="cs"/>
          <w:rtl/>
        </w:rPr>
        <w:t xml:space="preserve"> דזהו הפירוש הנכון יותר מביאורי </w:t>
      </w:r>
      <w:r w:rsidRPr="00296131">
        <w:rPr>
          <w:rStyle w:val="af9"/>
          <w:rFonts w:hint="cs"/>
          <w:rtl/>
        </w:rPr>
        <w:t>הר"י מגאש</w:t>
      </w:r>
      <w:r>
        <w:rPr>
          <w:rFonts w:hint="cs"/>
          <w:rtl/>
        </w:rPr>
        <w:t xml:space="preserve"> </w:t>
      </w:r>
      <w:r w:rsidRPr="00697953">
        <w:rPr>
          <w:rStyle w:val="af7"/>
          <w:rFonts w:eastAsia="Guttman Hodes" w:hint="cs"/>
          <w:rtl/>
        </w:rPr>
        <w:t xml:space="preserve">(עי' אות </w:t>
      </w:r>
      <w:r w:rsidRPr="00697953">
        <w:rPr>
          <w:rStyle w:val="af7"/>
          <w:rFonts w:eastAsia="Guttman Hodes"/>
          <w:rtl/>
        </w:rPr>
        <w:fldChar w:fldCharType="begin"/>
      </w:r>
      <w:r w:rsidRPr="00697953">
        <w:rPr>
          <w:rStyle w:val="af7"/>
          <w:rFonts w:eastAsia="Guttman Hodes"/>
          <w:rtl/>
        </w:rPr>
        <w:instrText xml:space="preserve"> </w:instrText>
      </w:r>
      <w:r w:rsidRPr="00697953">
        <w:rPr>
          <w:rStyle w:val="af7"/>
          <w:rFonts w:eastAsia="Guttman Hodes" w:hint="cs"/>
        </w:rPr>
        <w:instrText>REF</w:instrText>
      </w:r>
      <w:r w:rsidRPr="00697953">
        <w:rPr>
          <w:rStyle w:val="af7"/>
          <w:rFonts w:eastAsia="Guttman Hodes" w:hint="cs"/>
          <w:rtl/>
        </w:rPr>
        <w:instrText xml:space="preserve"> _</w:instrText>
      </w:r>
      <w:r w:rsidRPr="00697953">
        <w:rPr>
          <w:rStyle w:val="af7"/>
          <w:rFonts w:eastAsia="Guttman Hodes" w:hint="cs"/>
        </w:rPr>
        <w:instrText>Ref63185874 \r \h</w:instrText>
      </w:r>
      <w:r w:rsidRPr="00697953">
        <w:rPr>
          <w:rStyle w:val="af7"/>
          <w:rFonts w:eastAsia="Guttman Hodes"/>
          <w:rtl/>
        </w:rPr>
        <w:instrText xml:space="preserve"> </w:instrText>
      </w:r>
      <w:r w:rsidRPr="00697953">
        <w:rPr>
          <w:rStyle w:val="af7"/>
          <w:rFonts w:eastAsia="Guttman Hodes"/>
          <w:rtl/>
        </w:rPr>
      </w:r>
      <w:r w:rsidRPr="00697953">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697953">
        <w:rPr>
          <w:rStyle w:val="af7"/>
          <w:rFonts w:eastAsia="Guttman Hodes"/>
          <w:rtl/>
        </w:rPr>
        <w:fldChar w:fldCharType="end"/>
      </w:r>
      <w:r>
        <w:rPr>
          <w:rFonts w:hint="cs"/>
          <w:rtl/>
        </w:rPr>
        <w:t xml:space="preserve"> </w:t>
      </w:r>
      <w:r w:rsidRPr="00296131">
        <w:rPr>
          <w:rStyle w:val="af9"/>
          <w:rFonts w:hint="cs"/>
          <w:rtl/>
        </w:rPr>
        <w:t>והרמב"ן</w:t>
      </w:r>
      <w:r>
        <w:rPr>
          <w:rFonts w:hint="cs"/>
          <w:rtl/>
        </w:rPr>
        <w:t xml:space="preserve"> </w:t>
      </w:r>
      <w:r w:rsidRPr="00697953">
        <w:rPr>
          <w:rStyle w:val="af7"/>
          <w:rFonts w:eastAsia="Guttman Hodes" w:hint="cs"/>
          <w:rtl/>
        </w:rPr>
        <w:t xml:space="preserve">(עי' אות </w:t>
      </w:r>
      <w:r w:rsidRPr="00697953">
        <w:rPr>
          <w:rStyle w:val="af7"/>
          <w:rFonts w:eastAsia="Guttman Hodes"/>
          <w:rtl/>
        </w:rPr>
        <w:fldChar w:fldCharType="begin"/>
      </w:r>
      <w:r w:rsidRPr="00697953">
        <w:rPr>
          <w:rStyle w:val="af7"/>
          <w:rFonts w:eastAsia="Guttman Hodes"/>
          <w:rtl/>
        </w:rPr>
        <w:instrText xml:space="preserve"> </w:instrText>
      </w:r>
      <w:r w:rsidRPr="00697953">
        <w:rPr>
          <w:rStyle w:val="af7"/>
          <w:rFonts w:eastAsia="Guttman Hodes" w:hint="cs"/>
        </w:rPr>
        <w:instrText>REF</w:instrText>
      </w:r>
      <w:r w:rsidRPr="00697953">
        <w:rPr>
          <w:rStyle w:val="af7"/>
          <w:rFonts w:eastAsia="Guttman Hodes" w:hint="cs"/>
          <w:rtl/>
        </w:rPr>
        <w:instrText xml:space="preserve"> _</w:instrText>
      </w:r>
      <w:r w:rsidRPr="00697953">
        <w:rPr>
          <w:rStyle w:val="af7"/>
          <w:rFonts w:eastAsia="Guttman Hodes" w:hint="cs"/>
        </w:rPr>
        <w:instrText>Ref62644256 \r \h</w:instrText>
      </w:r>
      <w:r w:rsidRPr="00697953">
        <w:rPr>
          <w:rStyle w:val="af7"/>
          <w:rFonts w:eastAsia="Guttman Hodes"/>
          <w:rtl/>
        </w:rPr>
        <w:instrText xml:space="preserve"> </w:instrText>
      </w:r>
      <w:r w:rsidRPr="00697953">
        <w:rPr>
          <w:rStyle w:val="af7"/>
          <w:rFonts w:eastAsia="Guttman Hodes"/>
          <w:rtl/>
        </w:rPr>
      </w:r>
      <w:r w:rsidRPr="00697953">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697953">
        <w:rPr>
          <w:rStyle w:val="af7"/>
          <w:rFonts w:eastAsia="Guttman Hodes"/>
          <w:rtl/>
        </w:rPr>
        <w:fldChar w:fldCharType="end"/>
      </w:r>
      <w:r>
        <w:rPr>
          <w:rFonts w:hint="cs"/>
          <w:rtl/>
        </w:rPr>
        <w:t>.</w:t>
      </w:r>
      <w:bookmarkEnd w:id="13840"/>
    </w:p>
    <w:p w:rsidR="003B7617" w:rsidRDefault="003B7617" w:rsidP="003B7617">
      <w:pPr>
        <w:pStyle w:val="a3"/>
      </w:pPr>
      <w:bookmarkStart w:id="13841" w:name="_Toc63188779"/>
      <w:bookmarkStart w:id="13842" w:name="_Toc63247738"/>
      <w:r>
        <w:rPr>
          <w:rFonts w:hint="cs"/>
          <w:rtl/>
        </w:rPr>
        <w:t>ביאור הריטב"א בקושית רב יוסף דאחר שהוברר שהשטר חספא א"א לבנות עליו מיגו</w:t>
      </w:r>
      <w:bookmarkEnd w:id="13841"/>
      <w:bookmarkEnd w:id="13842"/>
    </w:p>
    <w:p w:rsidR="003B7617" w:rsidRDefault="003B7617" w:rsidP="007E4E81">
      <w:pPr>
        <w:pStyle w:val="a0"/>
        <w:rPr>
          <w:rtl/>
        </w:rPr>
      </w:pPr>
      <w:bookmarkStart w:id="13843" w:name="_Ref63243743"/>
      <w:r>
        <w:rPr>
          <w:rFonts w:hint="cs"/>
          <w:rtl/>
        </w:rPr>
        <w:t xml:space="preserve">ובהא דאמר רב יוסף אמאי קא סמכת, ביאר </w:t>
      </w:r>
      <w:r w:rsidRPr="00296131">
        <w:rPr>
          <w:rStyle w:val="af9"/>
          <w:rFonts w:hint="cs"/>
          <w:rtl/>
        </w:rPr>
        <w:t>הריטב"א</w:t>
      </w:r>
      <w:r>
        <w:rPr>
          <w:rFonts w:hint="cs"/>
          <w:rtl/>
        </w:rPr>
        <w:t xml:space="preserve"> דכוונת רב יוסף להקשות דהאיך אפשר לסמוך ולעשות מיגו ולהאמין לו שהיה לו שטר ואבד, מכח טענת המיגו, שהיה טוען שהשטר המזויף הוא שטר טוב, והרי התברר לנו שהשטר פסול, וא"א לבנות עליו מיגו, וכתב </w:t>
      </w:r>
      <w:r w:rsidRPr="00296131">
        <w:rPr>
          <w:rStyle w:val="af9"/>
          <w:rFonts w:hint="cs"/>
          <w:rtl/>
        </w:rPr>
        <w:t>הריטב"א</w:t>
      </w:r>
      <w:r>
        <w:rPr>
          <w:rFonts w:hint="cs"/>
          <w:rtl/>
        </w:rPr>
        <w:t xml:space="preserve"> דקיי"ל דהב"ד אינם נזקקין לדין זה, ומניחים את הנכסים במקום שהם עומדים</w:t>
      </w:r>
      <w:r>
        <w:rPr>
          <w:rtl/>
        </w:rPr>
        <w:t xml:space="preserve">, ועי' במה שביאר </w:t>
      </w:r>
      <w:r>
        <w:rPr>
          <w:rStyle w:val="af9"/>
          <w:rtl/>
        </w:rPr>
        <w:t>בחי' רבי נחום</w:t>
      </w:r>
      <w:r>
        <w:rPr>
          <w:rtl/>
        </w:rPr>
        <w:t xml:space="preserve"> </w:t>
      </w:r>
      <w:r w:rsidRPr="00097789">
        <w:rPr>
          <w:rStyle w:val="af7"/>
          <w:rFonts w:eastAsia="Guttman Hodes" w:hint="cs"/>
          <w:rtl/>
        </w:rPr>
        <w:t xml:space="preserve">(עי' אות </w:t>
      </w:r>
      <w:r w:rsidRPr="00097789">
        <w:rPr>
          <w:rStyle w:val="af7"/>
          <w:rFonts w:eastAsia="Guttman Hodes"/>
          <w:rtl/>
        </w:rPr>
        <w:fldChar w:fldCharType="begin"/>
      </w:r>
      <w:r w:rsidRPr="00097789">
        <w:rPr>
          <w:rStyle w:val="af7"/>
          <w:rFonts w:eastAsia="Guttman Hodes"/>
          <w:rtl/>
        </w:rPr>
        <w:instrText xml:space="preserve"> </w:instrText>
      </w:r>
      <w:r w:rsidRPr="00097789">
        <w:rPr>
          <w:rStyle w:val="af7"/>
          <w:rFonts w:eastAsia="Guttman Hodes"/>
        </w:rPr>
        <w:instrText>REF</w:instrText>
      </w:r>
      <w:r w:rsidRPr="00097789">
        <w:rPr>
          <w:rStyle w:val="af7"/>
          <w:rFonts w:eastAsia="Guttman Hodes"/>
          <w:rtl/>
        </w:rPr>
        <w:instrText xml:space="preserve"> _</w:instrText>
      </w:r>
      <w:r w:rsidRPr="00097789">
        <w:rPr>
          <w:rStyle w:val="af7"/>
          <w:rFonts w:eastAsia="Guttman Hodes"/>
        </w:rPr>
        <w:instrText>Ref63244044 \r \h</w:instrText>
      </w:r>
      <w:r w:rsidRPr="00097789">
        <w:rPr>
          <w:rStyle w:val="af7"/>
          <w:rFonts w:eastAsia="Guttman Hodes"/>
          <w:rtl/>
        </w:rPr>
        <w:instrText xml:space="preserve"> </w:instrText>
      </w:r>
      <w:r w:rsidRPr="00097789">
        <w:rPr>
          <w:rStyle w:val="af7"/>
          <w:rFonts w:eastAsia="Guttman Hodes"/>
          <w:rtl/>
        </w:rPr>
      </w:r>
      <w:r w:rsidRPr="00097789">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sidRPr="00097789">
        <w:rPr>
          <w:rStyle w:val="af7"/>
          <w:rFonts w:eastAsia="Guttman Hodes"/>
          <w:rtl/>
        </w:rPr>
        <w:fldChar w:fldCharType="end"/>
      </w:r>
      <w:r>
        <w:rPr>
          <w:rtl/>
        </w:rPr>
        <w:t xml:space="preserve"> </w:t>
      </w:r>
      <w:r>
        <w:rPr>
          <w:rFonts w:hint="cs"/>
          <w:rtl/>
        </w:rPr>
        <w:t>דכוונת</w:t>
      </w:r>
      <w:r>
        <w:rPr>
          <w:rtl/>
        </w:rPr>
        <w:t xml:space="preserve"> </w:t>
      </w:r>
      <w:r>
        <w:rPr>
          <w:rStyle w:val="af9"/>
          <w:rFonts w:hint="cs"/>
          <w:rtl/>
        </w:rPr>
        <w:t>הריטב"א</w:t>
      </w:r>
      <w:r>
        <w:rPr>
          <w:rFonts w:hint="cs"/>
          <w:rtl/>
        </w:rPr>
        <w:t xml:space="preserve"> לבאר כדברי </w:t>
      </w:r>
      <w:r w:rsidRPr="00D517D9">
        <w:rPr>
          <w:rStyle w:val="af9"/>
          <w:rFonts w:hint="cs"/>
          <w:rtl/>
        </w:rPr>
        <w:t>הנימוק"י</w:t>
      </w:r>
      <w:r>
        <w:rPr>
          <w:rFonts w:hint="cs"/>
          <w:rtl/>
        </w:rPr>
        <w:t xml:space="preserve"> </w:t>
      </w:r>
      <w:r w:rsidRPr="00697953">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Ref63243610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Pr>
          <w:rStyle w:val="af7"/>
          <w:rFonts w:eastAsia="Guttman Hodes"/>
          <w:rtl/>
        </w:rPr>
        <w:fldChar w:fldCharType="end"/>
      </w:r>
      <w:r>
        <w:rPr>
          <w:rFonts w:hint="cs"/>
          <w:rtl/>
        </w:rPr>
        <w:t xml:space="preserve"> בדעת </w:t>
      </w:r>
      <w:r w:rsidRPr="00831A01">
        <w:rPr>
          <w:rStyle w:val="af9"/>
          <w:rFonts w:hint="cs"/>
          <w:rtl/>
        </w:rPr>
        <w:t>הרשב"ם</w:t>
      </w:r>
      <w:r>
        <w:rPr>
          <w:rFonts w:hint="cs"/>
          <w:rtl/>
        </w:rPr>
        <w:t xml:space="preserve"> </w:t>
      </w:r>
      <w:r>
        <w:rPr>
          <w:rStyle w:val="af7"/>
          <w:rFonts w:eastAsia="Guttman Hodes" w:hint="cs"/>
          <w:rtl/>
        </w:rPr>
        <w:t xml:space="preserve">(עי' </w:t>
      </w:r>
      <w:r w:rsidRPr="00AD1E84">
        <w:rPr>
          <w:rStyle w:val="af7"/>
          <w:rFonts w:eastAsia="Guttman Hodes" w:hint="cs"/>
          <w:rtl/>
        </w:rPr>
        <w:t xml:space="preserve">אות </w:t>
      </w:r>
      <w:r w:rsidRPr="00AD1E84">
        <w:rPr>
          <w:rStyle w:val="af7"/>
          <w:rFonts w:eastAsia="Guttman Hodes"/>
          <w:rtl/>
        </w:rPr>
        <w:fldChar w:fldCharType="begin"/>
      </w:r>
      <w:r w:rsidRPr="00AD1E84">
        <w:rPr>
          <w:rStyle w:val="af7"/>
          <w:rFonts w:eastAsia="Guttman Hodes"/>
          <w:rtl/>
        </w:rPr>
        <w:instrText xml:space="preserve"> </w:instrText>
      </w:r>
      <w:r w:rsidRPr="00AD1E84">
        <w:rPr>
          <w:rStyle w:val="af7"/>
          <w:rFonts w:eastAsia="Guttman Hodes" w:hint="cs"/>
        </w:rPr>
        <w:instrText>REF</w:instrText>
      </w:r>
      <w:r w:rsidRPr="00AD1E84">
        <w:rPr>
          <w:rStyle w:val="af7"/>
          <w:rFonts w:eastAsia="Guttman Hodes" w:hint="cs"/>
          <w:rtl/>
        </w:rPr>
        <w:instrText xml:space="preserve"> _</w:instrText>
      </w:r>
      <w:r w:rsidRPr="00AD1E84">
        <w:rPr>
          <w:rStyle w:val="af7"/>
          <w:rFonts w:eastAsia="Guttman Hodes" w:hint="cs"/>
        </w:rPr>
        <w:instrText>Ref63111068 \r \h</w:instrText>
      </w:r>
      <w:r w:rsidRPr="00AD1E84">
        <w:rPr>
          <w:rStyle w:val="af7"/>
          <w:rFonts w:eastAsia="Guttman Hodes"/>
          <w:rtl/>
        </w:rPr>
        <w:instrText xml:space="preserve"> </w:instrText>
      </w:r>
      <w:r w:rsidRPr="00AD1E84">
        <w:rPr>
          <w:rStyle w:val="af7"/>
          <w:rFonts w:eastAsia="Guttman Hodes"/>
          <w:rtl/>
        </w:rPr>
      </w:r>
      <w:r w:rsidRPr="00AD1E84">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AD1E84">
        <w:rPr>
          <w:rStyle w:val="af7"/>
          <w:rFonts w:eastAsia="Guttman Hodes"/>
          <w:rtl/>
        </w:rPr>
        <w:fldChar w:fldCharType="end"/>
      </w:r>
      <w:r>
        <w:rPr>
          <w:rFonts w:hint="cs"/>
          <w:rtl/>
        </w:rPr>
        <w:t>.</w:t>
      </w:r>
      <w:bookmarkEnd w:id="13843"/>
    </w:p>
    <w:p w:rsidR="003B7617" w:rsidRDefault="003B7617" w:rsidP="003B7617">
      <w:pPr>
        <w:pStyle w:val="afe"/>
        <w:rPr>
          <w:rtl/>
        </w:rPr>
      </w:pPr>
      <w:bookmarkStart w:id="13844" w:name="_Toc62644216"/>
      <w:bookmarkStart w:id="13845" w:name="_Toc62819902"/>
      <w:bookmarkStart w:id="13846" w:name="_Toc63111466"/>
      <w:bookmarkStart w:id="13847" w:name="_Toc63163517"/>
      <w:bookmarkStart w:id="13848" w:name="_Toc63188780"/>
      <w:bookmarkStart w:id="13849" w:name="_Toc63247739"/>
      <w:bookmarkEnd w:id="13823"/>
      <w:bookmarkEnd w:id="13824"/>
      <w:r>
        <w:rPr>
          <w:rFonts w:hint="cs"/>
          <w:rtl/>
        </w:rPr>
        <w:t>קושיות תוס'</w:t>
      </w:r>
      <w:bookmarkEnd w:id="13844"/>
      <w:r>
        <w:rPr>
          <w:rFonts w:hint="cs"/>
          <w:rtl/>
        </w:rPr>
        <w:t xml:space="preserve"> והראשונים</w:t>
      </w:r>
      <w:bookmarkEnd w:id="13845"/>
      <w:r>
        <w:rPr>
          <w:rFonts w:hint="cs"/>
          <w:rtl/>
        </w:rPr>
        <w:t xml:space="preserve"> בסברת רב יוסף</w:t>
      </w:r>
      <w:bookmarkEnd w:id="13846"/>
      <w:bookmarkEnd w:id="13847"/>
      <w:bookmarkEnd w:id="13848"/>
      <w:bookmarkEnd w:id="13849"/>
    </w:p>
    <w:p w:rsidR="003B7617" w:rsidRDefault="003B7617" w:rsidP="003B7617">
      <w:pPr>
        <w:pStyle w:val="1"/>
        <w:rPr>
          <w:rtl/>
        </w:rPr>
      </w:pPr>
      <w:bookmarkStart w:id="13850" w:name="_Toc63247740"/>
      <w:bookmarkStart w:id="13851" w:name="_Toc63188781"/>
      <w:r>
        <w:rPr>
          <w:rFonts w:hint="cs"/>
          <w:rtl/>
        </w:rPr>
        <w:t>קושיות התוס' והראשונים דאמאי לרב יוסף לא מהני מיגו</w:t>
      </w:r>
      <w:bookmarkEnd w:id="13850"/>
      <w:r>
        <w:rPr>
          <w:rFonts w:hint="cs"/>
          <w:rtl/>
        </w:rPr>
        <w:t xml:space="preserve"> </w:t>
      </w:r>
      <w:bookmarkEnd w:id="13851"/>
    </w:p>
    <w:p w:rsidR="003B7617" w:rsidRDefault="003B7617" w:rsidP="003B7617">
      <w:pPr>
        <w:pStyle w:val="a3"/>
        <w:rPr>
          <w:rtl/>
        </w:rPr>
      </w:pPr>
      <w:bookmarkStart w:id="13852" w:name="_Toc63188782"/>
      <w:bookmarkStart w:id="13853" w:name="_Toc63247741"/>
      <w:r>
        <w:rPr>
          <w:rFonts w:hint="cs"/>
          <w:rtl/>
        </w:rPr>
        <w:t>קושית התוס' והרשב"א דאמאי לרב יוסף ל"מ מיגו והא בכל מיגו האמת אינה כטענת המיגו</w:t>
      </w:r>
      <w:bookmarkEnd w:id="13852"/>
      <w:bookmarkEnd w:id="13853"/>
    </w:p>
    <w:p w:rsidR="003B7617" w:rsidRDefault="003B7617" w:rsidP="007E4E81">
      <w:pPr>
        <w:pStyle w:val="a0"/>
        <w:rPr>
          <w:rtl/>
        </w:rPr>
      </w:pPr>
      <w:bookmarkStart w:id="13854" w:name="_Ref63013533"/>
      <w:bookmarkStart w:id="13855" w:name="_Ref63185997"/>
      <w:r>
        <w:rPr>
          <w:rFonts w:hint="cs"/>
          <w:rtl/>
        </w:rPr>
        <w:t xml:space="preserve">בהא דהקשה רב יוסף על רבה </w:t>
      </w:r>
      <w:r>
        <w:rPr>
          <w:rtl/>
        </w:rPr>
        <w:t>אמאי קא סמכת אהאי שטרא</w:t>
      </w:r>
      <w:r>
        <w:rPr>
          <w:rFonts w:hint="cs"/>
          <w:rtl/>
        </w:rPr>
        <w:t xml:space="preserve"> דהוא חספא בעלמא, הקשו </w:t>
      </w:r>
      <w:r w:rsidRPr="00831A01">
        <w:rPr>
          <w:rStyle w:val="af9"/>
          <w:rFonts w:hint="cs"/>
          <w:rtl/>
        </w:rPr>
        <w:t>התוס'</w:t>
      </w:r>
      <w:r>
        <w:rPr>
          <w:rFonts w:hint="cs"/>
          <w:rtl/>
        </w:rPr>
        <w:t xml:space="preserve"> </w:t>
      </w:r>
      <w:r w:rsidRPr="000E4E65">
        <w:rPr>
          <w:rStyle w:val="af7"/>
          <w:rFonts w:eastAsia="Guttman Hodes" w:hint="cs"/>
          <w:rtl/>
        </w:rPr>
        <w:t>(ד"ה אמאי)</w:t>
      </w:r>
      <w:r>
        <w:rPr>
          <w:rFonts w:hint="cs"/>
          <w:rtl/>
        </w:rPr>
        <w:t xml:space="preserve"> דאמאי אינו נאמן במיגו שהיה טוען שהשטר הוא טוב</w:t>
      </w:r>
      <w:bookmarkEnd w:id="13854"/>
      <w:r>
        <w:rPr>
          <w:rFonts w:hint="cs"/>
          <w:rtl/>
        </w:rPr>
        <w:t>,</w:t>
      </w:r>
      <w:r w:rsidRPr="002915BD">
        <w:rPr>
          <w:rtl/>
        </w:rPr>
        <w:t xml:space="preserve"> </w:t>
      </w:r>
      <w:r w:rsidRPr="00BA4F8E">
        <w:rPr>
          <w:rStyle w:val="afb"/>
          <w:rFonts w:hint="cs"/>
          <w:rtl/>
        </w:rPr>
        <w:t>[</w:t>
      </w:r>
      <w:r w:rsidRPr="00BA4F8E">
        <w:rPr>
          <w:rStyle w:val="afb"/>
          <w:rtl/>
        </w:rPr>
        <w:t>ועי' במה ש</w:t>
      </w:r>
      <w:r w:rsidRPr="00BA4F8E">
        <w:rPr>
          <w:rStyle w:val="afb"/>
          <w:rFonts w:hint="cs"/>
          <w:rtl/>
        </w:rPr>
        <w:t>ביאר</w:t>
      </w:r>
      <w:r w:rsidRPr="00BA4F8E">
        <w:rPr>
          <w:rStyle w:val="afb"/>
          <w:rtl/>
        </w:rPr>
        <w:t xml:space="preserve"> </w:t>
      </w:r>
      <w:r w:rsidRPr="00BA4F8E">
        <w:rPr>
          <w:rStyle w:val="affa"/>
          <w:rtl/>
        </w:rPr>
        <w:t>בחי' רבי נחום</w:t>
      </w:r>
      <w:r w:rsidRPr="00BA4F8E">
        <w:rPr>
          <w:rStyle w:val="afb"/>
          <w:rtl/>
        </w:rPr>
        <w:t xml:space="preserve"> </w:t>
      </w:r>
      <w:r w:rsidRPr="0043463A">
        <w:rPr>
          <w:rStyle w:val="aff6"/>
          <w:rtl/>
        </w:rPr>
        <w:t xml:space="preserve">(עי' אות </w:t>
      </w:r>
      <w:r w:rsidRPr="0043463A">
        <w:rPr>
          <w:rStyle w:val="aff6"/>
          <w:rtl/>
        </w:rPr>
        <w:fldChar w:fldCharType="begin"/>
      </w:r>
      <w:r w:rsidRPr="0043463A">
        <w:rPr>
          <w:rStyle w:val="aff6"/>
          <w:rtl/>
        </w:rPr>
        <w:instrText xml:space="preserve"> </w:instrText>
      </w:r>
      <w:r w:rsidRPr="0043463A">
        <w:rPr>
          <w:rStyle w:val="aff6"/>
        </w:rPr>
        <w:instrText>REF</w:instrText>
      </w:r>
      <w:r w:rsidRPr="0043463A">
        <w:rPr>
          <w:rStyle w:val="aff6"/>
          <w:rtl/>
        </w:rPr>
        <w:instrText xml:space="preserve"> _</w:instrText>
      </w:r>
      <w:r w:rsidRPr="0043463A">
        <w:rPr>
          <w:rStyle w:val="aff6"/>
        </w:rPr>
        <w:instrText>Ref63245535 \r \h</w:instrText>
      </w:r>
      <w:r w:rsidRPr="0043463A">
        <w:rPr>
          <w:rStyle w:val="aff6"/>
          <w:rtl/>
        </w:rPr>
        <w:instrText xml:space="preserve"> </w:instrText>
      </w:r>
      <w:r w:rsidRPr="0043463A">
        <w:rPr>
          <w:rStyle w:val="aff6"/>
          <w:rtl/>
        </w:rPr>
      </w:r>
      <w:r w:rsidRPr="0043463A">
        <w:rPr>
          <w:rStyle w:val="aff6"/>
          <w:rtl/>
        </w:rPr>
        <w:fldChar w:fldCharType="separate"/>
      </w:r>
      <w:r w:rsidR="00265073">
        <w:rPr>
          <w:rStyle w:val="aff6"/>
          <w:cs/>
        </w:rPr>
        <w:t>‎</w:t>
      </w:r>
      <w:r w:rsidR="00265073">
        <w:rPr>
          <w:rStyle w:val="aff6"/>
          <w:rtl/>
        </w:rPr>
        <w:t>קכא)</w:t>
      </w:r>
      <w:r w:rsidRPr="0043463A">
        <w:rPr>
          <w:rStyle w:val="aff6"/>
          <w:rtl/>
        </w:rPr>
        <w:fldChar w:fldCharType="end"/>
      </w:r>
      <w:r w:rsidRPr="00BA4F8E">
        <w:rPr>
          <w:rStyle w:val="afb"/>
          <w:rtl/>
        </w:rPr>
        <w:t xml:space="preserve"> </w:t>
      </w:r>
      <w:r w:rsidRPr="00BA4F8E">
        <w:rPr>
          <w:rStyle w:val="afb"/>
          <w:rFonts w:hint="cs"/>
          <w:rtl/>
        </w:rPr>
        <w:t xml:space="preserve">אמאי הקשו </w:t>
      </w:r>
      <w:r w:rsidRPr="00BA4F8E">
        <w:rPr>
          <w:rStyle w:val="affa"/>
          <w:rFonts w:hint="cs"/>
          <w:rtl/>
        </w:rPr>
        <w:t>התוס'</w:t>
      </w:r>
      <w:r w:rsidRPr="00BA4F8E">
        <w:rPr>
          <w:rStyle w:val="afb"/>
          <w:rFonts w:hint="cs"/>
          <w:rtl/>
        </w:rPr>
        <w:t xml:space="preserve"> </w:t>
      </w:r>
      <w:r w:rsidRPr="00BA4F8E">
        <w:rPr>
          <w:rStyle w:val="afb"/>
          <w:rtl/>
        </w:rPr>
        <w:t xml:space="preserve">רק אמאי לא מהני מיגו </w:t>
      </w:r>
      <w:r w:rsidRPr="00BA4F8E">
        <w:rPr>
          <w:rStyle w:val="afb"/>
          <w:rFonts w:hint="cs"/>
          <w:rtl/>
        </w:rPr>
        <w:t xml:space="preserve">ולא הקשו </w:t>
      </w:r>
      <w:r w:rsidRPr="00BA4F8E">
        <w:rPr>
          <w:rStyle w:val="afb"/>
          <w:rtl/>
        </w:rPr>
        <w:t xml:space="preserve"> על עיקר דברי רב יוסף,</w:t>
      </w:r>
      <w:r w:rsidRPr="00BA4F8E">
        <w:rPr>
          <w:rStyle w:val="afb"/>
          <w:rFonts w:hint="cs"/>
          <w:rtl/>
        </w:rPr>
        <w:t xml:space="preserve"> כדהקשה </w:t>
      </w:r>
      <w:r w:rsidRPr="00BA4F8E">
        <w:rPr>
          <w:rStyle w:val="affa"/>
          <w:rFonts w:hint="cs"/>
          <w:rtl/>
        </w:rPr>
        <w:t>הריטב"א</w:t>
      </w:r>
      <w:r>
        <w:rPr>
          <w:rStyle w:val="afb"/>
          <w:rFonts w:hint="cs"/>
          <w:rtl/>
        </w:rPr>
        <w:t xml:space="preserve"> </w:t>
      </w:r>
      <w:r w:rsidRPr="00BA4F8E">
        <w:rPr>
          <w:rStyle w:val="aff6"/>
          <w:rFonts w:hint="cs"/>
          <w:rtl/>
        </w:rPr>
        <w:t xml:space="preserve">(עי' אות </w:t>
      </w:r>
      <w:r w:rsidRPr="00BA4F8E">
        <w:rPr>
          <w:rStyle w:val="aff6"/>
          <w:rtl/>
        </w:rPr>
        <w:fldChar w:fldCharType="begin"/>
      </w:r>
      <w:r w:rsidRPr="00BA4F8E">
        <w:rPr>
          <w:rStyle w:val="aff6"/>
          <w:rtl/>
        </w:rPr>
        <w:instrText xml:space="preserve"> </w:instrText>
      </w:r>
      <w:r w:rsidRPr="00BA4F8E">
        <w:rPr>
          <w:rStyle w:val="aff6"/>
          <w:rFonts w:hint="cs"/>
        </w:rPr>
        <w:instrText>REF</w:instrText>
      </w:r>
      <w:r w:rsidRPr="00BA4F8E">
        <w:rPr>
          <w:rStyle w:val="aff6"/>
          <w:rFonts w:hint="cs"/>
          <w:rtl/>
        </w:rPr>
        <w:instrText xml:space="preserve"> _</w:instrText>
      </w:r>
      <w:r w:rsidRPr="00BA4F8E">
        <w:rPr>
          <w:rStyle w:val="aff6"/>
          <w:rFonts w:hint="cs"/>
        </w:rPr>
        <w:instrText>Ref63106505 \r \h</w:instrText>
      </w:r>
      <w:r w:rsidRPr="00BA4F8E">
        <w:rPr>
          <w:rStyle w:val="aff6"/>
          <w:rtl/>
        </w:rPr>
        <w:instrText xml:space="preserve"> </w:instrText>
      </w:r>
      <w:r w:rsidRPr="00BA4F8E">
        <w:rPr>
          <w:rStyle w:val="aff6"/>
          <w:rtl/>
        </w:rPr>
      </w:r>
      <w:r w:rsidRPr="00BA4F8E">
        <w:rPr>
          <w:rStyle w:val="aff6"/>
          <w:rtl/>
        </w:rPr>
        <w:fldChar w:fldCharType="separate"/>
      </w:r>
      <w:r w:rsidR="00265073">
        <w:rPr>
          <w:rStyle w:val="aff6"/>
          <w:cs/>
        </w:rPr>
        <w:t>‎</w:t>
      </w:r>
      <w:r w:rsidR="00265073">
        <w:rPr>
          <w:rStyle w:val="aff6"/>
          <w:rtl/>
        </w:rPr>
        <w:t>נה)</w:t>
      </w:r>
      <w:r w:rsidRPr="00BA4F8E">
        <w:rPr>
          <w:rStyle w:val="aff6"/>
          <w:rtl/>
        </w:rPr>
        <w:fldChar w:fldCharType="end"/>
      </w:r>
      <w:r>
        <w:rPr>
          <w:rStyle w:val="afb"/>
          <w:rFonts w:hint="cs"/>
          <w:rtl/>
        </w:rPr>
        <w:t xml:space="preserve">], </w:t>
      </w:r>
      <w:r>
        <w:rPr>
          <w:rFonts w:hint="cs"/>
          <w:rtl/>
        </w:rPr>
        <w:t xml:space="preserve">וכן הקשה </w:t>
      </w:r>
      <w:r w:rsidRPr="002915BD">
        <w:rPr>
          <w:rStyle w:val="af9"/>
          <w:rFonts w:hint="cs"/>
          <w:rtl/>
        </w:rPr>
        <w:t>הרשב"א</w:t>
      </w:r>
      <w:r>
        <w:rPr>
          <w:rFonts w:hint="cs"/>
          <w:rtl/>
        </w:rPr>
        <w:t xml:space="preserve"> </w:t>
      </w:r>
      <w:r w:rsidRPr="000E4E65">
        <w:rPr>
          <w:rStyle w:val="af7"/>
          <w:rFonts w:eastAsia="Guttman Hodes" w:hint="cs"/>
          <w:rtl/>
        </w:rPr>
        <w:t>(ד"ה א"ל)</w:t>
      </w:r>
      <w:r>
        <w:rPr>
          <w:rFonts w:hint="cs"/>
          <w:rtl/>
        </w:rPr>
        <w:t xml:space="preserve"> דאמאי ס"ל לרב יוסף דאינו נאמן במיגו, והא טעמא דמיגו הוא טעמא רבה, וכל מיגו שטוען על טענה שאינה אמת הוא נאמן, כטוען קמי דידי זבנה מינך, דנאמן במיגו דמינך זבינתה, אעפ"י שהאמת האי דלא קנה ממנו כלל, וכן בכל דין מיגו.</w:t>
      </w:r>
      <w:bookmarkEnd w:id="13855"/>
    </w:p>
    <w:p w:rsidR="003B7617" w:rsidRDefault="003B7617" w:rsidP="003B7617">
      <w:pPr>
        <w:pStyle w:val="a3"/>
        <w:rPr>
          <w:rtl/>
        </w:rPr>
      </w:pPr>
      <w:bookmarkStart w:id="13856" w:name="_Toc63247742"/>
      <w:bookmarkStart w:id="13857" w:name="_Toc63188783"/>
      <w:r>
        <w:rPr>
          <w:rFonts w:hint="cs"/>
          <w:rtl/>
        </w:rPr>
        <w:t>קושית הרמב"ן דאמאי לא נאמן בע"פ במיגו שהיה לו שטר והא אף מיגו דמחוסר מעשה מהני</w:t>
      </w:r>
      <w:bookmarkEnd w:id="13856"/>
    </w:p>
    <w:p w:rsidR="003B7617" w:rsidRDefault="003B7617" w:rsidP="007E4E81">
      <w:pPr>
        <w:pStyle w:val="a0"/>
        <w:rPr>
          <w:rtl/>
        </w:rPr>
      </w:pPr>
      <w:bookmarkStart w:id="13858" w:name="_Ref63245843"/>
      <w:r>
        <w:rPr>
          <w:rStyle w:val="af9"/>
          <w:rFonts w:hint="cs"/>
          <w:rtl/>
        </w:rPr>
        <w:t>ו</w:t>
      </w:r>
      <w:r w:rsidRPr="00176841">
        <w:rPr>
          <w:rStyle w:val="af9"/>
          <w:rFonts w:hint="cs"/>
          <w:rtl/>
        </w:rPr>
        <w:t>הרמב"ן</w:t>
      </w:r>
      <w:r>
        <w:rPr>
          <w:rFonts w:hint="cs"/>
          <w:rtl/>
        </w:rPr>
        <w:t xml:space="preserve"> </w:t>
      </w:r>
      <w:r w:rsidRPr="00176841">
        <w:rPr>
          <w:rStyle w:val="af7"/>
          <w:rFonts w:eastAsia="Guttman Hodes" w:hint="cs"/>
          <w:rtl/>
        </w:rPr>
        <w:t>(ד"ה אמאי)</w:t>
      </w:r>
      <w:r w:rsidRPr="00D27084">
        <w:rPr>
          <w:rFonts w:hint="cs"/>
          <w:rtl/>
        </w:rPr>
        <w:t xml:space="preserve"> </w:t>
      </w:r>
      <w:r>
        <w:rPr>
          <w:rFonts w:hint="cs"/>
          <w:rtl/>
        </w:rPr>
        <w:t xml:space="preserve">הקשה דאמאי אינו נאמן לרב יוסף כשטוען טענה בעל פה, במיגו שהיה יכול לתבוע בשטר, והוסיף </w:t>
      </w:r>
      <w:r w:rsidRPr="007109D9">
        <w:rPr>
          <w:rStyle w:val="af9"/>
          <w:rFonts w:hint="cs"/>
          <w:rtl/>
        </w:rPr>
        <w:t>הרמב"ן</w:t>
      </w:r>
      <w:r>
        <w:rPr>
          <w:rFonts w:hint="cs"/>
          <w:rtl/>
        </w:rPr>
        <w:t xml:space="preserve"> דהא איתא לקמן </w:t>
      </w:r>
      <w:r w:rsidRPr="007109D9">
        <w:rPr>
          <w:rStyle w:val="af7"/>
          <w:rFonts w:eastAsia="Guttman Hodes" w:hint="cs"/>
          <w:rtl/>
        </w:rPr>
        <w:t>(קלד:)</w:t>
      </w:r>
      <w:r>
        <w:rPr>
          <w:rFonts w:hint="cs"/>
          <w:rtl/>
        </w:rPr>
        <w:t xml:space="preserve"> דהבא לפטור את אשתו מהיבום, ואומר זה בני נאמן, דהא בידו לגרשה, וכתב </w:t>
      </w:r>
      <w:r w:rsidRPr="00BC1818">
        <w:rPr>
          <w:rStyle w:val="af9"/>
          <w:rFonts w:hint="cs"/>
          <w:rtl/>
        </w:rPr>
        <w:t>הרמב"ן</w:t>
      </w:r>
      <w:r>
        <w:rPr>
          <w:rFonts w:hint="cs"/>
          <w:rtl/>
        </w:rPr>
        <w:t xml:space="preserve"> דמבואר אף במיגו שטענת המיגו תלויה במעשה, והוא מחוסר מעשה, דהא לא גירשה מ"מ הוא נאמן, ועי' במה שביאר </w:t>
      </w:r>
      <w:r w:rsidRPr="00D3308F">
        <w:rPr>
          <w:rStyle w:val="af9"/>
          <w:rFonts w:hint="cs"/>
          <w:rtl/>
        </w:rPr>
        <w:t xml:space="preserve">בחי' רבי נחום </w:t>
      </w:r>
      <w:r w:rsidRPr="00AB136A">
        <w:rPr>
          <w:rStyle w:val="af7"/>
          <w:rFonts w:eastAsia="Guttman Hodes" w:hint="cs"/>
          <w:rtl/>
        </w:rPr>
        <w:t xml:space="preserve">(עי' אות </w:t>
      </w:r>
      <w:r w:rsidRPr="00AB136A">
        <w:rPr>
          <w:rStyle w:val="af7"/>
          <w:rFonts w:eastAsia="Guttman Hodes"/>
          <w:rtl/>
        </w:rPr>
        <w:fldChar w:fldCharType="begin"/>
      </w:r>
      <w:r w:rsidRPr="00AB136A">
        <w:rPr>
          <w:rStyle w:val="af7"/>
          <w:rFonts w:eastAsia="Guttman Hodes"/>
          <w:rtl/>
        </w:rPr>
        <w:instrText xml:space="preserve"> </w:instrText>
      </w:r>
      <w:r w:rsidRPr="00AB136A">
        <w:rPr>
          <w:rStyle w:val="af7"/>
          <w:rFonts w:eastAsia="Guttman Hodes" w:hint="cs"/>
        </w:rPr>
        <w:instrText>REF</w:instrText>
      </w:r>
      <w:r w:rsidRPr="00AB136A">
        <w:rPr>
          <w:rStyle w:val="af7"/>
          <w:rFonts w:eastAsia="Guttman Hodes" w:hint="cs"/>
          <w:rtl/>
        </w:rPr>
        <w:instrText xml:space="preserve"> _</w:instrText>
      </w:r>
      <w:r w:rsidRPr="00AB136A">
        <w:rPr>
          <w:rStyle w:val="af7"/>
          <w:rFonts w:eastAsia="Guttman Hodes" w:hint="cs"/>
        </w:rPr>
        <w:instrText>Ref63245817 \r \h</w:instrText>
      </w:r>
      <w:r w:rsidRPr="00AB136A">
        <w:rPr>
          <w:rStyle w:val="af7"/>
          <w:rFonts w:eastAsia="Guttman Hodes"/>
          <w:rtl/>
        </w:rPr>
        <w:instrText xml:space="preserve"> </w:instrText>
      </w:r>
      <w:r w:rsidRPr="00AB136A">
        <w:rPr>
          <w:rStyle w:val="af7"/>
          <w:rFonts w:eastAsia="Guttman Hodes"/>
          <w:rtl/>
        </w:rPr>
      </w:r>
      <w:r w:rsidRPr="00AB136A">
        <w:rPr>
          <w:rStyle w:val="af7"/>
          <w:rFonts w:eastAsia="Guttman Hodes"/>
          <w:rtl/>
        </w:rPr>
        <w:fldChar w:fldCharType="separate"/>
      </w:r>
      <w:r w:rsidR="00265073">
        <w:rPr>
          <w:rStyle w:val="af7"/>
          <w:rFonts w:eastAsia="Guttman Hodes"/>
          <w:cs/>
        </w:rPr>
        <w:t>‎</w:t>
      </w:r>
      <w:r w:rsidR="00265073">
        <w:rPr>
          <w:rStyle w:val="af7"/>
          <w:rFonts w:eastAsia="Guttman Hodes"/>
          <w:rtl/>
        </w:rPr>
        <w:t>קכד)</w:t>
      </w:r>
      <w:r w:rsidRPr="00AB136A">
        <w:rPr>
          <w:rStyle w:val="af7"/>
          <w:rFonts w:eastAsia="Guttman Hodes"/>
          <w:rtl/>
        </w:rPr>
        <w:fldChar w:fldCharType="end"/>
      </w:r>
      <w:r>
        <w:rPr>
          <w:rFonts w:hint="cs"/>
          <w:rtl/>
        </w:rPr>
        <w:t xml:space="preserve"> בדברי </w:t>
      </w:r>
      <w:r w:rsidRPr="00D3308F">
        <w:rPr>
          <w:rStyle w:val="af9"/>
          <w:rFonts w:hint="cs"/>
          <w:rtl/>
        </w:rPr>
        <w:t>הרמב"ן</w:t>
      </w:r>
      <w:r>
        <w:rPr>
          <w:rFonts w:hint="cs"/>
          <w:rtl/>
        </w:rPr>
        <w:t>.</w:t>
      </w:r>
      <w:bookmarkEnd w:id="13858"/>
    </w:p>
    <w:p w:rsidR="003B7617" w:rsidRPr="002667B4" w:rsidRDefault="003B7617" w:rsidP="003B7617">
      <w:pPr>
        <w:pStyle w:val="a3"/>
        <w:rPr>
          <w:rtl/>
        </w:rPr>
      </w:pPr>
    </w:p>
    <w:p w:rsidR="003B7617" w:rsidRPr="002667B4" w:rsidRDefault="003B7617" w:rsidP="003B7617">
      <w:pPr>
        <w:pStyle w:val="a3"/>
        <w:rPr>
          <w:rtl/>
        </w:rPr>
      </w:pPr>
    </w:p>
    <w:p w:rsidR="003B7617" w:rsidRDefault="003B7617" w:rsidP="003B7617">
      <w:pPr>
        <w:pStyle w:val="a3"/>
        <w:rPr>
          <w:rtl/>
        </w:rPr>
      </w:pPr>
      <w:bookmarkStart w:id="13859" w:name="_Toc63247743"/>
      <w:r>
        <w:rPr>
          <w:rFonts w:hint="cs"/>
          <w:rtl/>
        </w:rPr>
        <w:t>קושית הריטב"א על רב יוסף דרבה לא העמיד את הקרקע מכח השטר שהוא חספא אלא במיגו</w:t>
      </w:r>
      <w:bookmarkEnd w:id="13857"/>
      <w:bookmarkEnd w:id="13859"/>
    </w:p>
    <w:p w:rsidR="003B7617" w:rsidRDefault="003B7617" w:rsidP="007E4E81">
      <w:pPr>
        <w:pStyle w:val="a0"/>
        <w:rPr>
          <w:rStyle w:val="afb"/>
          <w:rtl/>
        </w:rPr>
      </w:pPr>
      <w:bookmarkStart w:id="13860" w:name="_Ref63106505"/>
      <w:r w:rsidRPr="002915BD">
        <w:rPr>
          <w:rStyle w:val="af9"/>
          <w:rFonts w:hint="cs"/>
          <w:rtl/>
        </w:rPr>
        <w:t xml:space="preserve">והריטב"א </w:t>
      </w:r>
      <w:r w:rsidRPr="002915BD">
        <w:rPr>
          <w:rStyle w:val="af7"/>
          <w:rFonts w:eastAsia="Guttman Hodes" w:hint="cs"/>
          <w:rtl/>
        </w:rPr>
        <w:t>(ד"ה אמאי)</w:t>
      </w:r>
      <w:r>
        <w:rPr>
          <w:rFonts w:hint="cs"/>
          <w:rtl/>
        </w:rPr>
        <w:t xml:space="preserve"> הקשה דרבה לא העמיד את הקרקע בידו, מחמת שסמך על השטר המזויף, אלא הוא סמך על כך שהיה לו שטר טוב, דהוא נאמן במיגו לומר שהיה לו ואבד. </w:t>
      </w:r>
      <w:r w:rsidRPr="002915BD">
        <w:rPr>
          <w:rStyle w:val="afb"/>
          <w:rFonts w:hint="cs"/>
          <w:rtl/>
        </w:rPr>
        <w:t xml:space="preserve">[ועי' במה שביאר </w:t>
      </w:r>
      <w:r w:rsidRPr="002915BD">
        <w:rPr>
          <w:rStyle w:val="affa"/>
          <w:rFonts w:hint="cs"/>
          <w:rtl/>
        </w:rPr>
        <w:t>בחי' רבי נחום</w:t>
      </w:r>
      <w:r w:rsidRPr="002915BD">
        <w:rPr>
          <w:rStyle w:val="afb"/>
          <w:rFonts w:hint="cs"/>
          <w:rtl/>
        </w:rPr>
        <w:t xml:space="preserve"> </w:t>
      </w:r>
      <w:r w:rsidRPr="0043463A">
        <w:rPr>
          <w:rStyle w:val="aff6"/>
          <w:rtl/>
        </w:rPr>
        <w:t xml:space="preserve">(עי' אות </w:t>
      </w:r>
      <w:r w:rsidRPr="0043463A">
        <w:rPr>
          <w:rStyle w:val="aff6"/>
          <w:rtl/>
        </w:rPr>
        <w:fldChar w:fldCharType="begin"/>
      </w:r>
      <w:r w:rsidRPr="0043463A">
        <w:rPr>
          <w:rStyle w:val="aff6"/>
          <w:rtl/>
        </w:rPr>
        <w:instrText xml:space="preserve"> </w:instrText>
      </w:r>
      <w:r w:rsidRPr="0043463A">
        <w:rPr>
          <w:rStyle w:val="aff6"/>
        </w:rPr>
        <w:instrText>REF</w:instrText>
      </w:r>
      <w:r w:rsidRPr="0043463A">
        <w:rPr>
          <w:rStyle w:val="aff6"/>
          <w:rtl/>
        </w:rPr>
        <w:instrText xml:space="preserve"> _</w:instrText>
      </w:r>
      <w:r w:rsidRPr="0043463A">
        <w:rPr>
          <w:rStyle w:val="aff6"/>
        </w:rPr>
        <w:instrText>Ref63245535 \r \h</w:instrText>
      </w:r>
      <w:r w:rsidRPr="0043463A">
        <w:rPr>
          <w:rStyle w:val="aff6"/>
          <w:rtl/>
        </w:rPr>
        <w:instrText xml:space="preserve"> </w:instrText>
      </w:r>
      <w:r w:rsidRPr="0043463A">
        <w:rPr>
          <w:rStyle w:val="aff6"/>
          <w:rtl/>
        </w:rPr>
      </w:r>
      <w:r w:rsidRPr="0043463A">
        <w:rPr>
          <w:rStyle w:val="aff6"/>
          <w:rtl/>
        </w:rPr>
        <w:fldChar w:fldCharType="separate"/>
      </w:r>
      <w:r w:rsidR="00265073">
        <w:rPr>
          <w:rStyle w:val="aff6"/>
          <w:cs/>
        </w:rPr>
        <w:t>‎</w:t>
      </w:r>
      <w:r w:rsidR="00265073">
        <w:rPr>
          <w:rStyle w:val="aff6"/>
          <w:rtl/>
        </w:rPr>
        <w:t>קכא)</w:t>
      </w:r>
      <w:r w:rsidRPr="0043463A">
        <w:rPr>
          <w:rStyle w:val="aff6"/>
          <w:rtl/>
        </w:rPr>
        <w:fldChar w:fldCharType="end"/>
      </w:r>
      <w:r>
        <w:rPr>
          <w:rStyle w:val="afb"/>
          <w:rFonts w:hint="cs"/>
          <w:rtl/>
        </w:rPr>
        <w:t xml:space="preserve"> </w:t>
      </w:r>
      <w:r w:rsidRPr="002915BD">
        <w:rPr>
          <w:rStyle w:val="afb"/>
          <w:rFonts w:hint="cs"/>
          <w:rtl/>
        </w:rPr>
        <w:t xml:space="preserve">דכוונת </w:t>
      </w:r>
      <w:r w:rsidRPr="002915BD">
        <w:rPr>
          <w:rStyle w:val="affa"/>
          <w:rFonts w:hint="cs"/>
          <w:rtl/>
        </w:rPr>
        <w:t>הריטב"א</w:t>
      </w:r>
      <w:r w:rsidRPr="002915BD">
        <w:rPr>
          <w:rStyle w:val="afb"/>
          <w:rFonts w:hint="cs"/>
          <w:rtl/>
        </w:rPr>
        <w:t xml:space="preserve"> להקשות על עיקר דברי רב יוסף, ולא </w:t>
      </w:r>
      <w:r w:rsidRPr="002915BD">
        <w:rPr>
          <w:rStyle w:val="affa"/>
          <w:rFonts w:hint="cs"/>
          <w:rtl/>
        </w:rPr>
        <w:t xml:space="preserve">כהתוס' </w:t>
      </w:r>
      <w:r w:rsidRPr="00AC01F1">
        <w:rPr>
          <w:rStyle w:val="aff6"/>
          <w:rFonts w:hint="cs"/>
          <w:rtl/>
        </w:rPr>
        <w:t xml:space="preserve">(עי' אות </w:t>
      </w:r>
      <w:r w:rsidRPr="00AC01F1">
        <w:rPr>
          <w:rStyle w:val="aff6"/>
          <w:rtl/>
        </w:rPr>
        <w:fldChar w:fldCharType="begin"/>
      </w:r>
      <w:r w:rsidRPr="00AC01F1">
        <w:rPr>
          <w:rStyle w:val="aff6"/>
          <w:rtl/>
        </w:rPr>
        <w:instrText xml:space="preserve"> </w:instrText>
      </w:r>
      <w:r w:rsidRPr="00AC01F1">
        <w:rPr>
          <w:rStyle w:val="aff6"/>
          <w:rFonts w:hint="cs"/>
        </w:rPr>
        <w:instrText>REF</w:instrText>
      </w:r>
      <w:r w:rsidRPr="00AC01F1">
        <w:rPr>
          <w:rStyle w:val="aff6"/>
          <w:rFonts w:hint="cs"/>
          <w:rtl/>
        </w:rPr>
        <w:instrText xml:space="preserve"> _</w:instrText>
      </w:r>
      <w:r w:rsidRPr="00AC01F1">
        <w:rPr>
          <w:rStyle w:val="aff6"/>
          <w:rFonts w:hint="cs"/>
        </w:rPr>
        <w:instrText>Ref63185997 \r \h</w:instrText>
      </w:r>
      <w:r w:rsidRPr="00AC01F1">
        <w:rPr>
          <w:rStyle w:val="aff6"/>
          <w:rtl/>
        </w:rPr>
        <w:instrText xml:space="preserve"> </w:instrText>
      </w:r>
      <w:r w:rsidRPr="00AC01F1">
        <w:rPr>
          <w:rStyle w:val="aff6"/>
          <w:rtl/>
        </w:rPr>
      </w:r>
      <w:r w:rsidRPr="00AC01F1">
        <w:rPr>
          <w:rStyle w:val="aff6"/>
          <w:rtl/>
        </w:rPr>
        <w:fldChar w:fldCharType="separate"/>
      </w:r>
      <w:r w:rsidR="00265073">
        <w:rPr>
          <w:rStyle w:val="aff6"/>
          <w:cs/>
        </w:rPr>
        <w:t>‎</w:t>
      </w:r>
      <w:r w:rsidR="00265073">
        <w:rPr>
          <w:rStyle w:val="aff6"/>
          <w:rtl/>
        </w:rPr>
        <w:t>נג)</w:t>
      </w:r>
      <w:r w:rsidRPr="00AC01F1">
        <w:rPr>
          <w:rStyle w:val="aff6"/>
          <w:rtl/>
        </w:rPr>
        <w:fldChar w:fldCharType="end"/>
      </w:r>
      <w:r w:rsidRPr="00AC01F1">
        <w:rPr>
          <w:rStyle w:val="aff6"/>
          <w:rFonts w:hint="cs"/>
          <w:rtl/>
        </w:rPr>
        <w:t xml:space="preserve"> </w:t>
      </w:r>
      <w:r w:rsidRPr="002915BD">
        <w:rPr>
          <w:rStyle w:val="afb"/>
          <w:rFonts w:hint="cs"/>
          <w:rtl/>
        </w:rPr>
        <w:t>דהקשו רק אמאי לא מהני מיגו].</w:t>
      </w:r>
      <w:bookmarkEnd w:id="13860"/>
    </w:p>
    <w:p w:rsidR="003B7617" w:rsidRDefault="003B7617" w:rsidP="003B7617">
      <w:pPr>
        <w:pStyle w:val="afe"/>
        <w:rPr>
          <w:rtl/>
        </w:rPr>
      </w:pPr>
      <w:bookmarkStart w:id="13861" w:name="_Toc63111467"/>
      <w:bookmarkStart w:id="13862" w:name="_Toc63163518"/>
      <w:bookmarkStart w:id="13863" w:name="_Toc63188784"/>
      <w:bookmarkStart w:id="13864" w:name="_Toc63247744"/>
      <w:bookmarkStart w:id="13865" w:name="_Toc62644217"/>
      <w:bookmarkStart w:id="13866" w:name="_Toc62819904"/>
      <w:r>
        <w:rPr>
          <w:rFonts w:hint="cs"/>
          <w:rtl/>
        </w:rPr>
        <w:t>ד' ר"י בתי' הא' דמיגו שודאי שיקר ל"מ</w:t>
      </w:r>
      <w:bookmarkEnd w:id="13861"/>
      <w:bookmarkEnd w:id="13862"/>
      <w:bookmarkEnd w:id="13863"/>
      <w:bookmarkEnd w:id="13864"/>
    </w:p>
    <w:p w:rsidR="003B7617" w:rsidRDefault="003B7617" w:rsidP="003B7617">
      <w:pPr>
        <w:pStyle w:val="1"/>
        <w:rPr>
          <w:rtl/>
        </w:rPr>
      </w:pPr>
      <w:bookmarkStart w:id="13867" w:name="_Toc63111468"/>
      <w:bookmarkStart w:id="13868" w:name="_Toc63163519"/>
      <w:bookmarkStart w:id="13869" w:name="_Toc63188785"/>
      <w:bookmarkStart w:id="13870" w:name="_Toc63247745"/>
      <w:r>
        <w:rPr>
          <w:rFonts w:hint="cs"/>
          <w:rtl/>
        </w:rPr>
        <w:t>דברי ר"י בתי' הא'</w:t>
      </w:r>
      <w:bookmarkEnd w:id="13865"/>
      <w:bookmarkEnd w:id="13866"/>
      <w:bookmarkEnd w:id="13867"/>
      <w:bookmarkEnd w:id="13868"/>
      <w:r>
        <w:rPr>
          <w:rFonts w:hint="cs"/>
          <w:rtl/>
        </w:rPr>
        <w:t xml:space="preserve"> דכל שישקר תחילה ל"מ מיגו לרב יוסף</w:t>
      </w:r>
      <w:bookmarkEnd w:id="13869"/>
      <w:bookmarkEnd w:id="13870"/>
    </w:p>
    <w:p w:rsidR="003B7617" w:rsidRDefault="003B7617" w:rsidP="003B7617">
      <w:pPr>
        <w:pStyle w:val="a3"/>
        <w:rPr>
          <w:rtl/>
        </w:rPr>
      </w:pPr>
      <w:bookmarkStart w:id="13871" w:name="_Toc63188786"/>
      <w:bookmarkStart w:id="13872" w:name="_Toc63247746"/>
      <w:r>
        <w:rPr>
          <w:rFonts w:hint="cs"/>
          <w:rtl/>
        </w:rPr>
        <w:t>הביאור הא' בר"י דס"ל לרב יוסף דמיגו שהוצרך לשקר תחילה לא מהני ורק כשא"צ לשקר נאמן</w:t>
      </w:r>
      <w:bookmarkEnd w:id="13871"/>
      <w:bookmarkEnd w:id="13872"/>
    </w:p>
    <w:p w:rsidR="003B7617" w:rsidRDefault="003B7617" w:rsidP="007E4E81">
      <w:pPr>
        <w:pStyle w:val="a0"/>
        <w:rPr>
          <w:rtl/>
        </w:rPr>
      </w:pPr>
      <w:bookmarkStart w:id="13873" w:name="_Ref62811640"/>
      <w:r>
        <w:rPr>
          <w:rFonts w:hint="cs"/>
          <w:rtl/>
        </w:rPr>
        <w:t>ו</w:t>
      </w:r>
      <w:r w:rsidRPr="002D325F">
        <w:rPr>
          <w:rFonts w:hint="cs"/>
          <w:rtl/>
        </w:rPr>
        <w:t xml:space="preserve">עי' במה שתירץ </w:t>
      </w:r>
      <w:r w:rsidRPr="00BC1818">
        <w:rPr>
          <w:rStyle w:val="af9"/>
          <w:rFonts w:hint="cs"/>
          <w:rtl/>
        </w:rPr>
        <w:t>הר</w:t>
      </w:r>
      <w:r>
        <w:rPr>
          <w:rStyle w:val="af9"/>
          <w:rFonts w:hint="cs"/>
          <w:rtl/>
        </w:rPr>
        <w:t xml:space="preserve">יב"ם </w:t>
      </w:r>
      <w:r w:rsidRPr="00D41DF5">
        <w:rPr>
          <w:rStyle w:val="af7"/>
          <w:rFonts w:eastAsia="Guttman Hodes" w:hint="cs"/>
          <w:rtl/>
        </w:rPr>
        <w:t xml:space="preserve">(עי' אות </w:t>
      </w:r>
      <w:r w:rsidRPr="00D41DF5">
        <w:rPr>
          <w:rStyle w:val="af7"/>
          <w:rFonts w:eastAsia="Guttman Hodes"/>
          <w:rtl/>
        </w:rPr>
        <w:fldChar w:fldCharType="begin"/>
      </w:r>
      <w:r w:rsidRPr="00D41DF5">
        <w:rPr>
          <w:rStyle w:val="af7"/>
          <w:rFonts w:eastAsia="Guttman Hodes"/>
          <w:rtl/>
        </w:rPr>
        <w:instrText xml:space="preserve"> </w:instrText>
      </w:r>
      <w:r w:rsidRPr="00D41DF5">
        <w:rPr>
          <w:rStyle w:val="af7"/>
          <w:rFonts w:eastAsia="Guttman Hodes" w:hint="cs"/>
        </w:rPr>
        <w:instrText>REF</w:instrText>
      </w:r>
      <w:r w:rsidRPr="00D41DF5">
        <w:rPr>
          <w:rStyle w:val="af7"/>
          <w:rFonts w:eastAsia="Guttman Hodes" w:hint="cs"/>
          <w:rtl/>
        </w:rPr>
        <w:instrText xml:space="preserve"> _</w:instrText>
      </w:r>
      <w:r w:rsidRPr="00D41DF5">
        <w:rPr>
          <w:rStyle w:val="af7"/>
          <w:rFonts w:eastAsia="Guttman Hodes" w:hint="cs"/>
        </w:rPr>
        <w:instrText>Ref62638117 \r \h</w:instrText>
      </w:r>
      <w:r w:rsidRPr="00D41DF5">
        <w:rPr>
          <w:rStyle w:val="af7"/>
          <w:rFonts w:eastAsia="Guttman Hodes"/>
          <w:rtl/>
        </w:rPr>
        <w:instrText xml:space="preserve"> </w:instrText>
      </w:r>
      <w:r w:rsidRPr="00D41DF5">
        <w:rPr>
          <w:rStyle w:val="af7"/>
          <w:rFonts w:eastAsia="Guttman Hodes"/>
          <w:rtl/>
        </w:rPr>
      </w:r>
      <w:r w:rsidRPr="00D41DF5">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D41DF5">
        <w:rPr>
          <w:rStyle w:val="af7"/>
          <w:rFonts w:eastAsia="Guttman Hodes"/>
          <w:rtl/>
        </w:rPr>
        <w:fldChar w:fldCharType="end"/>
      </w:r>
      <w:r>
        <w:rPr>
          <w:rFonts w:hint="cs"/>
          <w:rtl/>
        </w:rPr>
        <w:t xml:space="preserve"> </w:t>
      </w:r>
      <w:r w:rsidRPr="002D325F">
        <w:rPr>
          <w:rFonts w:hint="cs"/>
          <w:rtl/>
        </w:rPr>
        <w:t>דמיגו להוציא לא אמרינן, ובמה שדחה</w:t>
      </w:r>
      <w:r>
        <w:rPr>
          <w:rStyle w:val="af9"/>
          <w:rFonts w:hint="cs"/>
          <w:rtl/>
        </w:rPr>
        <w:t xml:space="preserve"> ר"י בתוס' </w:t>
      </w:r>
      <w:r w:rsidRPr="00D41DF5">
        <w:rPr>
          <w:rStyle w:val="af7"/>
          <w:rFonts w:eastAsia="Guttman Hodes" w:hint="cs"/>
          <w:rtl/>
        </w:rPr>
        <w:t xml:space="preserve">(עי' אות </w:t>
      </w:r>
      <w:r w:rsidRPr="00D41DF5">
        <w:rPr>
          <w:rStyle w:val="af7"/>
          <w:rFonts w:eastAsia="Guttman Hodes"/>
          <w:rtl/>
        </w:rPr>
        <w:fldChar w:fldCharType="begin"/>
      </w:r>
      <w:r w:rsidRPr="00D41DF5">
        <w:rPr>
          <w:rStyle w:val="af7"/>
          <w:rFonts w:eastAsia="Guttman Hodes"/>
          <w:rtl/>
        </w:rPr>
        <w:instrText xml:space="preserve"> </w:instrText>
      </w:r>
      <w:r w:rsidRPr="00D41DF5">
        <w:rPr>
          <w:rStyle w:val="af7"/>
          <w:rFonts w:eastAsia="Guttman Hodes" w:hint="cs"/>
        </w:rPr>
        <w:instrText>REF</w:instrText>
      </w:r>
      <w:r w:rsidRPr="00D41DF5">
        <w:rPr>
          <w:rStyle w:val="af7"/>
          <w:rFonts w:eastAsia="Guttman Hodes" w:hint="cs"/>
          <w:rtl/>
        </w:rPr>
        <w:instrText xml:space="preserve"> _</w:instrText>
      </w:r>
      <w:r w:rsidRPr="00D41DF5">
        <w:rPr>
          <w:rStyle w:val="af7"/>
          <w:rFonts w:eastAsia="Guttman Hodes" w:hint="cs"/>
        </w:rPr>
        <w:instrText>Ref63013680 \r \h</w:instrText>
      </w:r>
      <w:r w:rsidRPr="00D41DF5">
        <w:rPr>
          <w:rStyle w:val="af7"/>
          <w:rFonts w:eastAsia="Guttman Hodes"/>
          <w:rtl/>
        </w:rPr>
        <w:instrText xml:space="preserve"> </w:instrText>
      </w:r>
      <w:r w:rsidRPr="00D41DF5">
        <w:rPr>
          <w:rStyle w:val="af7"/>
          <w:rFonts w:eastAsia="Guttman Hodes"/>
          <w:rtl/>
        </w:rPr>
      </w:r>
      <w:r w:rsidRPr="00D41DF5">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D41DF5">
        <w:rPr>
          <w:rStyle w:val="af7"/>
          <w:rFonts w:eastAsia="Guttman Hodes"/>
          <w:rtl/>
        </w:rPr>
        <w:fldChar w:fldCharType="end"/>
      </w:r>
      <w:r>
        <w:rPr>
          <w:rStyle w:val="af9"/>
          <w:rFonts w:hint="cs"/>
          <w:rtl/>
        </w:rPr>
        <w:t xml:space="preserve"> </w:t>
      </w:r>
      <w:r w:rsidRPr="002D325F">
        <w:rPr>
          <w:rFonts w:hint="cs"/>
          <w:rtl/>
        </w:rPr>
        <w:t>דלא משמע כן בדברי רב יוסף</w:t>
      </w:r>
      <w:r>
        <w:rPr>
          <w:rFonts w:hint="cs"/>
          <w:rtl/>
        </w:rPr>
        <w:t>,</w:t>
      </w:r>
      <w:r w:rsidRPr="002D325F">
        <w:rPr>
          <w:rFonts w:hint="cs"/>
          <w:rtl/>
        </w:rPr>
        <w:t xml:space="preserve"> אלא ביאר </w:t>
      </w:r>
      <w:r w:rsidRPr="004A49D8">
        <w:rPr>
          <w:rStyle w:val="af9"/>
          <w:rFonts w:hint="cs"/>
          <w:rtl/>
        </w:rPr>
        <w:t>ר"י בתוס'</w:t>
      </w:r>
      <w:r>
        <w:rPr>
          <w:rStyle w:val="af9"/>
          <w:rFonts w:hint="cs"/>
          <w:rtl/>
        </w:rPr>
        <w:t xml:space="preserve"> בתי' הא'</w:t>
      </w:r>
      <w:r>
        <w:rPr>
          <w:rFonts w:hint="cs"/>
          <w:rtl/>
        </w:rPr>
        <w:t xml:space="preserve"> </w:t>
      </w:r>
      <w:r w:rsidRPr="004A49D8">
        <w:rPr>
          <w:rStyle w:val="af7"/>
          <w:rFonts w:eastAsia="Guttman Hodes" w:hint="cs"/>
          <w:rtl/>
        </w:rPr>
        <w:t>(</w:t>
      </w:r>
      <w:r>
        <w:rPr>
          <w:rStyle w:val="af7"/>
          <w:rFonts w:eastAsia="Guttman Hodes" w:hint="cs"/>
          <w:rtl/>
        </w:rPr>
        <w:t>סו</w:t>
      </w:r>
      <w:r w:rsidRPr="004A49D8">
        <w:rPr>
          <w:rStyle w:val="af7"/>
          <w:rFonts w:eastAsia="Guttman Hodes" w:hint="cs"/>
          <w:rtl/>
        </w:rPr>
        <w:t>ד"ה אמאי)</w:t>
      </w:r>
      <w:r>
        <w:rPr>
          <w:rFonts w:hint="cs"/>
          <w:rtl/>
        </w:rPr>
        <w:t xml:space="preserve"> דס"ל לרב יוסף דהכא לא אמרינן מיגו, כיון שאם לא היה משקר בתחילה וטוען "והא שטרא", לא היה לו מיגו, וכן הביא </w:t>
      </w:r>
      <w:r w:rsidRPr="00B8474F">
        <w:rPr>
          <w:rStyle w:val="af9"/>
          <w:rFonts w:hint="cs"/>
          <w:rtl/>
        </w:rPr>
        <w:t xml:space="preserve">רבינו יונה </w:t>
      </w:r>
      <w:r w:rsidRPr="00B8474F">
        <w:rPr>
          <w:rStyle w:val="af7"/>
          <w:rFonts w:eastAsia="Guttman Hodes" w:hint="cs"/>
          <w:rtl/>
        </w:rPr>
        <w:t>(ד"ה אמר רבא)</w:t>
      </w:r>
      <w:r>
        <w:rPr>
          <w:rFonts w:hint="cs"/>
          <w:rtl/>
        </w:rPr>
        <w:t xml:space="preserve"> בשם </w:t>
      </w:r>
      <w:r w:rsidRPr="00B8474F">
        <w:rPr>
          <w:rStyle w:val="af9"/>
          <w:rFonts w:hint="cs"/>
          <w:rtl/>
        </w:rPr>
        <w:t>י"מ</w:t>
      </w:r>
      <w:r>
        <w:rPr>
          <w:rFonts w:hint="cs"/>
          <w:rtl/>
        </w:rPr>
        <w:t xml:space="preserve"> דהנאמנות של מיגו היא רק בתחילת הדין, כשאינו צריך לטעון כל טענת שקר, דהוא נאמן במה שטוען במיגו שהיה יכול להיות נאמן בטענה אחרת, אבל הכא לא היה לו כל מיגו, אם לא היה טוען טענת שקר, ואם לא היה מוציא שטר מזויף בב"ד. </w:t>
      </w:r>
      <w:r w:rsidRPr="0094621E">
        <w:rPr>
          <w:rStyle w:val="afb"/>
          <w:rFonts w:hint="cs"/>
          <w:rtl/>
        </w:rPr>
        <w:t xml:space="preserve">[ועי' במה שביאר </w:t>
      </w:r>
      <w:r w:rsidRPr="0094621E">
        <w:rPr>
          <w:rStyle w:val="affa"/>
          <w:rtl/>
        </w:rPr>
        <w:t>הגידולי תרומה</w:t>
      </w:r>
      <w:r w:rsidRPr="0094621E">
        <w:rPr>
          <w:rStyle w:val="afb"/>
          <w:rtl/>
        </w:rPr>
        <w:t xml:space="preserve"> </w:t>
      </w:r>
      <w:r w:rsidRPr="0094621E">
        <w:rPr>
          <w:rStyle w:val="aff6"/>
          <w:rtl/>
        </w:rPr>
        <w:t>(שער י"ז ח"ב</w:t>
      </w:r>
      <w:r w:rsidRPr="0094621E">
        <w:rPr>
          <w:rStyle w:val="aff6"/>
          <w:rFonts w:hint="cs"/>
          <w:rtl/>
        </w:rPr>
        <w:t xml:space="preserve"> ד"ה והתוס') </w:t>
      </w:r>
      <w:r w:rsidRPr="0094621E">
        <w:rPr>
          <w:rStyle w:val="afb"/>
          <w:rFonts w:hint="cs"/>
          <w:rtl/>
        </w:rPr>
        <w:t>האיך משמע כן בדברי רב יוסף].</w:t>
      </w:r>
      <w:bookmarkEnd w:id="13873"/>
    </w:p>
    <w:p w:rsidR="003B7617" w:rsidRDefault="003B7617" w:rsidP="003B7617">
      <w:pPr>
        <w:pStyle w:val="a3"/>
      </w:pPr>
      <w:bookmarkStart w:id="13874" w:name="_Toc63188787"/>
      <w:bookmarkStart w:id="13875" w:name="_Toc63247747"/>
      <w:r>
        <w:rPr>
          <w:rFonts w:hint="cs"/>
          <w:rtl/>
        </w:rPr>
        <w:t>ביאור הרא"ש בדברי רב יוסף דכיון שהוא חספא א"א להאמינו יותר ממה ששיקר בתחילה</w:t>
      </w:r>
      <w:bookmarkEnd w:id="13874"/>
      <w:bookmarkEnd w:id="13875"/>
    </w:p>
    <w:p w:rsidR="003B7617" w:rsidRDefault="003B7617" w:rsidP="007E4E81">
      <w:pPr>
        <w:pStyle w:val="a0"/>
        <w:rPr>
          <w:rtl/>
        </w:rPr>
      </w:pPr>
      <w:r w:rsidRPr="00B50158">
        <w:rPr>
          <w:rStyle w:val="af9"/>
          <w:rFonts w:hint="cs"/>
          <w:rtl/>
        </w:rPr>
        <w:t>והר</w:t>
      </w:r>
      <w:r>
        <w:rPr>
          <w:rStyle w:val="af9"/>
          <w:rFonts w:hint="cs"/>
          <w:rtl/>
        </w:rPr>
        <w:t>א"ש</w:t>
      </w:r>
      <w:r>
        <w:rPr>
          <w:rFonts w:hint="cs"/>
          <w:rtl/>
        </w:rPr>
        <w:t xml:space="preserve"> </w:t>
      </w:r>
      <w:r w:rsidRPr="00A70124">
        <w:rPr>
          <w:rStyle w:val="af7"/>
          <w:rFonts w:eastAsia="Guttman Hodes" w:hint="cs"/>
          <w:rtl/>
        </w:rPr>
        <w:t>(סי' י"</w:t>
      </w:r>
      <w:r>
        <w:rPr>
          <w:rStyle w:val="af7"/>
          <w:rFonts w:eastAsia="Guttman Hodes" w:hint="cs"/>
          <w:rtl/>
        </w:rPr>
        <w:t>ג)</w:t>
      </w:r>
      <w:r>
        <w:rPr>
          <w:rFonts w:hint="cs"/>
          <w:rtl/>
        </w:rPr>
        <w:t xml:space="preserve"> הוסיף לבאר דזו כוונת רב יוסף דהקשה על רבה </w:t>
      </w:r>
      <w:r>
        <w:rPr>
          <w:rtl/>
        </w:rPr>
        <w:t>אמאי קא סמכת אהאי שטרא</w:t>
      </w:r>
      <w:r>
        <w:rPr>
          <w:rFonts w:hint="cs"/>
          <w:rtl/>
        </w:rPr>
        <w:t xml:space="preserve">, דכוונתו לומר דכ"מ שהוא יכול לזכות בקרקע, הוא מכח השטר הזה, </w:t>
      </w:r>
      <w:r w:rsidRPr="00B50158">
        <w:rPr>
          <w:rStyle w:val="afb"/>
          <w:rFonts w:hint="cs"/>
          <w:rtl/>
        </w:rPr>
        <w:t>[ששיקר בתחילה כשהוציא שטר מזויף בב"ד],</w:t>
      </w:r>
      <w:r>
        <w:rPr>
          <w:rFonts w:hint="cs"/>
          <w:rtl/>
        </w:rPr>
        <w:t xml:space="preserve"> וא"א להאמין לו במיגו דהיה יכול לשקר ולטעון טענה אחרת, יותר ממה ששיקר בתחילה כשהוציא שטר מזויף בב"ד.</w:t>
      </w:r>
    </w:p>
    <w:p w:rsidR="003B7617" w:rsidRDefault="003B7617" w:rsidP="003B7617">
      <w:pPr>
        <w:pStyle w:val="a3"/>
        <w:rPr>
          <w:rtl/>
        </w:rPr>
      </w:pPr>
      <w:bookmarkStart w:id="13876" w:name="_Toc63188788"/>
      <w:bookmarkStart w:id="13877" w:name="_Toc63247748"/>
      <w:r>
        <w:rPr>
          <w:rFonts w:hint="cs"/>
          <w:rtl/>
        </w:rPr>
        <w:t>דחיית רבינו יונה דכל שזכה בב"ד בטענתו יש לו מיגו אעפ"י שהודה שטען טענת שקר</w:t>
      </w:r>
      <w:bookmarkEnd w:id="13876"/>
      <w:bookmarkEnd w:id="13877"/>
    </w:p>
    <w:p w:rsidR="003B7617" w:rsidRDefault="003B7617" w:rsidP="007E4E81">
      <w:pPr>
        <w:pStyle w:val="a0"/>
        <w:rPr>
          <w:rStyle w:val="afb"/>
          <w:rtl/>
        </w:rPr>
      </w:pPr>
      <w:bookmarkStart w:id="13878" w:name="_Toc62644218"/>
      <w:r>
        <w:rPr>
          <w:rFonts w:hint="cs"/>
          <w:rtl/>
        </w:rPr>
        <w:t xml:space="preserve">אך דחה </w:t>
      </w:r>
      <w:r w:rsidRPr="00D17E47">
        <w:rPr>
          <w:rStyle w:val="af9"/>
          <w:rFonts w:hint="cs"/>
          <w:rtl/>
        </w:rPr>
        <w:t>רבינו יונה</w:t>
      </w:r>
      <w:r>
        <w:rPr>
          <w:rFonts w:hint="cs"/>
          <w:rtl/>
        </w:rPr>
        <w:t xml:space="preserve"> </w:t>
      </w:r>
      <w:r w:rsidRPr="00B8474F">
        <w:rPr>
          <w:rStyle w:val="af7"/>
          <w:rFonts w:eastAsia="Guttman Hodes" w:hint="cs"/>
          <w:rtl/>
        </w:rPr>
        <w:t>(ד"ה אמר רבא)</w:t>
      </w:r>
      <w:r>
        <w:rPr>
          <w:rFonts w:hint="cs"/>
          <w:rtl/>
        </w:rPr>
        <w:t xml:space="preserve"> את דברי </w:t>
      </w:r>
      <w:r>
        <w:rPr>
          <w:rStyle w:val="af9"/>
          <w:rFonts w:hint="cs"/>
          <w:rtl/>
        </w:rPr>
        <w:t>ה</w:t>
      </w:r>
      <w:r w:rsidRPr="00B8474F">
        <w:rPr>
          <w:rStyle w:val="af9"/>
          <w:rFonts w:hint="cs"/>
          <w:rtl/>
        </w:rPr>
        <w:t>י"מ</w:t>
      </w:r>
      <w:r>
        <w:rPr>
          <w:rFonts w:hint="cs"/>
          <w:rtl/>
        </w:rPr>
        <w:t xml:space="preserve"> [</w:t>
      </w:r>
      <w:r w:rsidRPr="004A49D8">
        <w:rPr>
          <w:rStyle w:val="af9"/>
          <w:rFonts w:hint="cs"/>
          <w:rtl/>
        </w:rPr>
        <w:t>ר"י בתוס'</w:t>
      </w:r>
      <w:r>
        <w:rPr>
          <w:rStyle w:val="af9"/>
          <w:rFonts w:hint="cs"/>
          <w:rtl/>
        </w:rPr>
        <w:t xml:space="preserve"> בתי' הא'</w:t>
      </w:r>
      <w:r>
        <w:rPr>
          <w:rFonts w:hint="cs"/>
          <w:rtl/>
        </w:rPr>
        <w:t xml:space="preserve"> </w:t>
      </w:r>
      <w:r w:rsidRPr="00EE5EF3">
        <w:rPr>
          <w:rStyle w:val="af7"/>
          <w:rFonts w:eastAsia="Guttman Hodes" w:hint="cs"/>
          <w:rtl/>
        </w:rPr>
        <w:t xml:space="preserve">(עי' אות </w:t>
      </w:r>
      <w:r w:rsidRPr="00EE5EF3">
        <w:rPr>
          <w:rStyle w:val="af7"/>
          <w:rFonts w:eastAsia="Guttman Hodes"/>
          <w:rtl/>
        </w:rPr>
        <w:fldChar w:fldCharType="begin"/>
      </w:r>
      <w:r w:rsidRPr="00EE5EF3">
        <w:rPr>
          <w:rStyle w:val="af7"/>
          <w:rFonts w:eastAsia="Guttman Hodes"/>
          <w:rtl/>
        </w:rPr>
        <w:instrText xml:space="preserve"> </w:instrText>
      </w:r>
      <w:r w:rsidRPr="00EE5EF3">
        <w:rPr>
          <w:rStyle w:val="af7"/>
          <w:rFonts w:eastAsia="Guttman Hodes" w:hint="cs"/>
        </w:rPr>
        <w:instrText>REF</w:instrText>
      </w:r>
      <w:r w:rsidRPr="00EE5EF3">
        <w:rPr>
          <w:rStyle w:val="af7"/>
          <w:rFonts w:eastAsia="Guttman Hodes" w:hint="cs"/>
          <w:rtl/>
        </w:rPr>
        <w:instrText xml:space="preserve"> _</w:instrText>
      </w:r>
      <w:r w:rsidRPr="00EE5EF3">
        <w:rPr>
          <w:rStyle w:val="af7"/>
          <w:rFonts w:eastAsia="Guttman Hodes" w:hint="cs"/>
        </w:rPr>
        <w:instrText>Ref62811640 \r \h</w:instrText>
      </w:r>
      <w:r w:rsidRPr="00EE5EF3">
        <w:rPr>
          <w:rStyle w:val="af7"/>
          <w:rFonts w:eastAsia="Guttman Hodes"/>
          <w:rtl/>
        </w:rPr>
        <w:instrText xml:space="preserve"> </w:instrText>
      </w:r>
      <w:r w:rsidRPr="00EE5EF3">
        <w:rPr>
          <w:rStyle w:val="af7"/>
          <w:rFonts w:eastAsia="Guttman Hodes"/>
          <w:rtl/>
        </w:rPr>
      </w:r>
      <w:r w:rsidRPr="00EE5EF3">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EE5EF3">
        <w:rPr>
          <w:rStyle w:val="af7"/>
          <w:rFonts w:eastAsia="Guttman Hodes"/>
          <w:rtl/>
        </w:rPr>
        <w:fldChar w:fldCharType="end"/>
      </w:r>
      <w:r>
        <w:rPr>
          <w:rFonts w:hint="cs"/>
          <w:rtl/>
        </w:rPr>
        <w:t xml:space="preserve">] דודאי שהטוען טענת של שקר, וזכה בב"ד בטענתו, ואח"כ מודה ששיקר בטענתו וטוען טענה אחרת, דהוא נאמן, וכתב </w:t>
      </w:r>
      <w:r w:rsidRPr="00D17E47">
        <w:rPr>
          <w:rStyle w:val="af9"/>
          <w:rFonts w:hint="cs"/>
          <w:rtl/>
        </w:rPr>
        <w:t>רבינו יונה</w:t>
      </w:r>
      <w:r>
        <w:rPr>
          <w:rFonts w:hint="cs"/>
          <w:rtl/>
        </w:rPr>
        <w:t xml:space="preserve"> דכ"כ לעיל. </w:t>
      </w:r>
      <w:r w:rsidRPr="0047647E">
        <w:rPr>
          <w:rStyle w:val="afb"/>
          <w:rFonts w:hint="cs"/>
          <w:rtl/>
        </w:rPr>
        <w:t xml:space="preserve">[עי' בדברי </w:t>
      </w:r>
      <w:r w:rsidRPr="00B8474F">
        <w:rPr>
          <w:rStyle w:val="affa"/>
          <w:rFonts w:hint="cs"/>
          <w:rtl/>
        </w:rPr>
        <w:t>רבינו יונה לעיל</w:t>
      </w:r>
      <w:r w:rsidRPr="0047647E">
        <w:rPr>
          <w:rStyle w:val="afb"/>
          <w:rFonts w:hint="cs"/>
          <w:rtl/>
        </w:rPr>
        <w:t xml:space="preserve"> </w:t>
      </w:r>
      <w:r w:rsidRPr="00B8474F">
        <w:rPr>
          <w:rStyle w:val="aff6"/>
          <w:rFonts w:hint="cs"/>
          <w:rtl/>
        </w:rPr>
        <w:t xml:space="preserve">(לא. סוד"ה עלה בידינו, הובא בסימן י"ג אות נ"ב) </w:t>
      </w:r>
      <w:r w:rsidRPr="0047647E">
        <w:rPr>
          <w:rStyle w:val="afb"/>
          <w:rFonts w:hint="cs"/>
          <w:rtl/>
        </w:rPr>
        <w:t>דכתב דהחוזר וטוען מפטור לפטור</w:t>
      </w:r>
      <w:r>
        <w:rPr>
          <w:rStyle w:val="afb"/>
          <w:rFonts w:hint="cs"/>
          <w:rtl/>
        </w:rPr>
        <w:t>,</w:t>
      </w:r>
      <w:r w:rsidRPr="0047647E">
        <w:rPr>
          <w:rStyle w:val="afb"/>
          <w:rFonts w:hint="cs"/>
          <w:rtl/>
        </w:rPr>
        <w:t xml:space="preserve"> נאמן במיגו</w:t>
      </w:r>
      <w:r>
        <w:rPr>
          <w:rStyle w:val="afb"/>
          <w:rFonts w:hint="cs"/>
          <w:rtl/>
        </w:rPr>
        <w:t>,</w:t>
      </w:r>
      <w:r w:rsidRPr="0047647E">
        <w:rPr>
          <w:rStyle w:val="afb"/>
          <w:rFonts w:hint="cs"/>
          <w:rtl/>
        </w:rPr>
        <w:t xml:space="preserve"> אף שהוא סותר טענתו הראשונה לגמרי].</w:t>
      </w:r>
    </w:p>
    <w:p w:rsidR="003B7617" w:rsidRDefault="003B7617" w:rsidP="003B7617">
      <w:pPr>
        <w:pStyle w:val="a3"/>
        <w:rPr>
          <w:rtl/>
        </w:rPr>
      </w:pPr>
      <w:bookmarkStart w:id="13879" w:name="_Toc63188789"/>
      <w:bookmarkStart w:id="13880" w:name="_Toc63247749"/>
      <w:r>
        <w:rPr>
          <w:rFonts w:hint="cs"/>
          <w:rtl/>
        </w:rPr>
        <w:t>קושית רבינו יונה דאי נח' רבה ורב יוסף בדין מיגו א"כ אף בקרקע צריך להעמיד בחזקת המר"ק</w:t>
      </w:r>
      <w:bookmarkEnd w:id="13879"/>
      <w:bookmarkEnd w:id="13880"/>
    </w:p>
    <w:p w:rsidR="003B7617" w:rsidRDefault="003B7617" w:rsidP="007E4E81">
      <w:pPr>
        <w:pStyle w:val="a0"/>
        <w:rPr>
          <w:rtl/>
        </w:rPr>
      </w:pPr>
      <w:r>
        <w:rPr>
          <w:rFonts w:hint="cs"/>
          <w:rtl/>
        </w:rPr>
        <w:t xml:space="preserve">ועוד הקשה </w:t>
      </w:r>
      <w:r w:rsidRPr="00B8474F">
        <w:rPr>
          <w:rStyle w:val="af9"/>
          <w:rFonts w:hint="cs"/>
          <w:rtl/>
        </w:rPr>
        <w:t>רבינו יונה</w:t>
      </w:r>
      <w:r>
        <w:rPr>
          <w:rFonts w:hint="cs"/>
          <w:rtl/>
        </w:rPr>
        <w:t xml:space="preserve"> דהא לדעת </w:t>
      </w:r>
      <w:r w:rsidRPr="00B8474F">
        <w:rPr>
          <w:rStyle w:val="af9"/>
          <w:rFonts w:hint="cs"/>
          <w:rtl/>
        </w:rPr>
        <w:t>הי"מ</w:t>
      </w:r>
      <w:r>
        <w:rPr>
          <w:rFonts w:hint="cs"/>
          <w:rtl/>
        </w:rPr>
        <w:t xml:space="preserve"> [</w:t>
      </w:r>
      <w:r w:rsidRPr="004A49D8">
        <w:rPr>
          <w:rStyle w:val="af9"/>
          <w:rFonts w:hint="cs"/>
          <w:rtl/>
        </w:rPr>
        <w:t>ר"י בתוס'</w:t>
      </w:r>
      <w:r>
        <w:rPr>
          <w:rStyle w:val="af9"/>
          <w:rFonts w:hint="cs"/>
          <w:rtl/>
        </w:rPr>
        <w:t xml:space="preserve"> בתי' הא'</w:t>
      </w:r>
      <w:r w:rsidRPr="00925C28">
        <w:rPr>
          <w:rFonts w:hint="cs"/>
          <w:rtl/>
        </w:rPr>
        <w:t xml:space="preserve">] </w:t>
      </w:r>
      <w:r>
        <w:rPr>
          <w:rFonts w:hint="cs"/>
          <w:rtl/>
        </w:rPr>
        <w:t>רבה ורב יוסף נחלקו בדין מיגו, אי מיגו מהני במקום שהוא צריך לשקר בתחילה כדי שיהיה לו מיגו, וא"כ אמאי קיי"ל כרבה בארעא וכרב יוסף בזוזי, הא הספק הוא אם נאמן במיגו, וא"</w:t>
      </w:r>
      <w:r w:rsidRPr="001A6C2A">
        <w:rPr>
          <w:rFonts w:hint="cs"/>
          <w:rtl/>
        </w:rPr>
        <w:t xml:space="preserve">כ אף בקרקע צריך להעמידה ברשות בעליה, </w:t>
      </w:r>
      <w:r w:rsidRPr="001A6C2A">
        <w:rPr>
          <w:rStyle w:val="afb"/>
          <w:rFonts w:hint="cs"/>
          <w:rtl/>
        </w:rPr>
        <w:t>[דהיינו המרא קמא],</w:t>
      </w:r>
      <w:r w:rsidRPr="001A6C2A">
        <w:rPr>
          <w:rFonts w:hint="cs"/>
          <w:rtl/>
        </w:rPr>
        <w:t xml:space="preserve"> ועי' במה שביאר </w:t>
      </w:r>
      <w:r w:rsidRPr="001A6C2A">
        <w:rPr>
          <w:rStyle w:val="af9"/>
          <w:rFonts w:hint="cs"/>
          <w:rtl/>
        </w:rPr>
        <w:t>רבינו יונה</w:t>
      </w:r>
      <w:r w:rsidRPr="000620D3">
        <w:rPr>
          <w:rStyle w:val="af7"/>
          <w:rFonts w:eastAsia="Guttman Hodes" w:hint="cs"/>
          <w:rtl/>
        </w:rPr>
        <w:t xml:space="preserve"> (עי' אות </w:t>
      </w:r>
      <w:r w:rsidRPr="000620D3">
        <w:rPr>
          <w:rStyle w:val="af7"/>
          <w:rFonts w:eastAsia="Guttman Hodes"/>
          <w:rtl/>
        </w:rPr>
        <w:fldChar w:fldCharType="begin"/>
      </w:r>
      <w:r w:rsidRPr="000620D3">
        <w:rPr>
          <w:rStyle w:val="af7"/>
          <w:rFonts w:eastAsia="Guttman Hodes"/>
          <w:rtl/>
        </w:rPr>
        <w:instrText xml:space="preserve"> </w:instrText>
      </w:r>
      <w:r w:rsidRPr="000620D3">
        <w:rPr>
          <w:rStyle w:val="af7"/>
          <w:rFonts w:eastAsia="Guttman Hodes" w:hint="cs"/>
        </w:rPr>
        <w:instrText>REF</w:instrText>
      </w:r>
      <w:r w:rsidRPr="000620D3">
        <w:rPr>
          <w:rStyle w:val="af7"/>
          <w:rFonts w:eastAsia="Guttman Hodes" w:hint="cs"/>
          <w:rtl/>
        </w:rPr>
        <w:instrText xml:space="preserve"> _</w:instrText>
      </w:r>
      <w:r w:rsidRPr="000620D3">
        <w:rPr>
          <w:rStyle w:val="af7"/>
          <w:rFonts w:eastAsia="Guttman Hodes" w:hint="cs"/>
        </w:rPr>
        <w:instrText>Ref63234262 \r \h</w:instrText>
      </w:r>
      <w:r w:rsidRPr="000620D3">
        <w:rPr>
          <w:rStyle w:val="af7"/>
          <w:rFonts w:eastAsia="Guttman Hodes"/>
          <w:rtl/>
        </w:rPr>
        <w:instrText xml:space="preserve"> </w:instrText>
      </w:r>
      <w:r w:rsidRPr="000620D3">
        <w:rPr>
          <w:rStyle w:val="af7"/>
          <w:rFonts w:eastAsia="Guttman Hodes"/>
          <w:rtl/>
        </w:rPr>
      </w:r>
      <w:r w:rsidRPr="000620D3">
        <w:rPr>
          <w:rStyle w:val="af7"/>
          <w:rFonts w:eastAsia="Guttman Hodes"/>
          <w:rtl/>
        </w:rPr>
        <w:fldChar w:fldCharType="separate"/>
      </w:r>
      <w:r w:rsidR="00265073">
        <w:rPr>
          <w:rStyle w:val="af7"/>
          <w:rFonts w:eastAsia="Guttman Hodes"/>
          <w:cs/>
        </w:rPr>
        <w:t>‎</w:t>
      </w:r>
      <w:r w:rsidR="00265073">
        <w:rPr>
          <w:rStyle w:val="af7"/>
          <w:rFonts w:eastAsia="Guttman Hodes"/>
          <w:rtl/>
        </w:rPr>
        <w:t>פז)</w:t>
      </w:r>
      <w:r w:rsidRPr="000620D3">
        <w:rPr>
          <w:rStyle w:val="af7"/>
          <w:rFonts w:eastAsia="Guttman Hodes"/>
          <w:rtl/>
        </w:rPr>
        <w:fldChar w:fldCharType="end"/>
      </w:r>
      <w:r w:rsidRPr="001A6C2A">
        <w:rPr>
          <w:rFonts w:hint="cs"/>
          <w:rtl/>
        </w:rPr>
        <w:t xml:space="preserve"> </w:t>
      </w:r>
      <w:r>
        <w:rPr>
          <w:rFonts w:hint="cs"/>
          <w:rtl/>
        </w:rPr>
        <w:t>בזה</w:t>
      </w:r>
      <w:r w:rsidRPr="001A6C2A">
        <w:rPr>
          <w:rFonts w:hint="cs"/>
          <w:rtl/>
        </w:rPr>
        <w:t>.</w:t>
      </w:r>
    </w:p>
    <w:p w:rsidR="003B7617" w:rsidRPr="002667B4" w:rsidRDefault="003B7617" w:rsidP="003B7617">
      <w:pPr>
        <w:pStyle w:val="a3"/>
        <w:rPr>
          <w:rtl/>
        </w:rPr>
      </w:pPr>
    </w:p>
    <w:p w:rsidR="003B7617" w:rsidRPr="002667B4" w:rsidRDefault="003B7617" w:rsidP="003B7617">
      <w:pPr>
        <w:pStyle w:val="a3"/>
        <w:rPr>
          <w:rtl/>
        </w:rPr>
      </w:pPr>
    </w:p>
    <w:p w:rsidR="003B7617" w:rsidRPr="002667B4" w:rsidRDefault="003B7617" w:rsidP="003B7617">
      <w:pPr>
        <w:pStyle w:val="a3"/>
        <w:rPr>
          <w:rtl/>
        </w:rPr>
      </w:pPr>
    </w:p>
    <w:p w:rsidR="003B7617" w:rsidRPr="002667B4" w:rsidRDefault="003B7617" w:rsidP="003B7617">
      <w:pPr>
        <w:pStyle w:val="a3"/>
        <w:rPr>
          <w:rtl/>
        </w:rPr>
      </w:pPr>
    </w:p>
    <w:p w:rsidR="003B7617" w:rsidRDefault="003B7617" w:rsidP="003B7617">
      <w:pPr>
        <w:pStyle w:val="afe"/>
        <w:rPr>
          <w:rtl/>
        </w:rPr>
      </w:pPr>
      <w:bookmarkStart w:id="13881" w:name="_Toc63111469"/>
      <w:bookmarkStart w:id="13882" w:name="_Toc63163520"/>
      <w:bookmarkStart w:id="13883" w:name="_Toc63188790"/>
      <w:bookmarkStart w:id="13884" w:name="_Toc63247750"/>
      <w:bookmarkStart w:id="13885" w:name="_Toc62819905"/>
      <w:r>
        <w:rPr>
          <w:rFonts w:hint="cs"/>
          <w:rtl/>
        </w:rPr>
        <w:lastRenderedPageBreak/>
        <w:t>ד' ר"י בתי' הב' דחוזר וטוען ול"מ מיגו</w:t>
      </w:r>
      <w:bookmarkEnd w:id="13881"/>
      <w:bookmarkEnd w:id="13882"/>
      <w:bookmarkEnd w:id="13883"/>
      <w:bookmarkEnd w:id="13884"/>
    </w:p>
    <w:p w:rsidR="003B7617" w:rsidRDefault="003B7617" w:rsidP="003B7617">
      <w:pPr>
        <w:pStyle w:val="1"/>
        <w:rPr>
          <w:rtl/>
        </w:rPr>
      </w:pPr>
      <w:bookmarkStart w:id="13886" w:name="_Toc63111470"/>
      <w:bookmarkStart w:id="13887" w:name="_Toc63163521"/>
      <w:bookmarkStart w:id="13888" w:name="_Toc63188791"/>
      <w:bookmarkStart w:id="13889" w:name="_Toc63247751"/>
      <w:r>
        <w:rPr>
          <w:rFonts w:hint="cs"/>
          <w:rtl/>
        </w:rPr>
        <w:t>דברי ר"י בתי' הב'</w:t>
      </w:r>
      <w:bookmarkEnd w:id="13878"/>
      <w:bookmarkEnd w:id="13885"/>
      <w:bookmarkEnd w:id="13886"/>
      <w:bookmarkEnd w:id="13887"/>
      <w:bookmarkEnd w:id="13888"/>
      <w:r>
        <w:rPr>
          <w:rFonts w:hint="cs"/>
          <w:rtl/>
        </w:rPr>
        <w:t xml:space="preserve"> דלרב יוסף ל"מ מיגו דהוא חוזר וטוען</w:t>
      </w:r>
      <w:bookmarkEnd w:id="13889"/>
    </w:p>
    <w:p w:rsidR="003B7617" w:rsidRDefault="003B7617" w:rsidP="003B7617">
      <w:pPr>
        <w:pStyle w:val="a3"/>
        <w:rPr>
          <w:rtl/>
        </w:rPr>
      </w:pPr>
      <w:bookmarkStart w:id="13890" w:name="_Toc63188792"/>
      <w:bookmarkStart w:id="13891" w:name="_Toc63247752"/>
      <w:r>
        <w:rPr>
          <w:rFonts w:hint="cs"/>
          <w:rtl/>
        </w:rPr>
        <w:t>הבי' הב' בר"י דלרב יוסף ל"מ המיגו כיון שהוא חוזר וטוען דטען שיש לו שטר וחזר וטען שאבד</w:t>
      </w:r>
      <w:bookmarkEnd w:id="13890"/>
      <w:bookmarkEnd w:id="13891"/>
    </w:p>
    <w:p w:rsidR="003B7617" w:rsidRDefault="003B7617" w:rsidP="007E4E81">
      <w:pPr>
        <w:pStyle w:val="a0"/>
        <w:rPr>
          <w:rtl/>
        </w:rPr>
      </w:pPr>
      <w:bookmarkStart w:id="13892" w:name="_Ref62811652"/>
      <w:bookmarkStart w:id="13893" w:name="_Ref63194406"/>
      <w:r>
        <w:rPr>
          <w:rFonts w:hint="cs"/>
          <w:rtl/>
        </w:rPr>
        <w:t xml:space="preserve">ועוד ביאר </w:t>
      </w:r>
      <w:r w:rsidRPr="004A49D8">
        <w:rPr>
          <w:rStyle w:val="af9"/>
          <w:rFonts w:hint="cs"/>
          <w:rtl/>
        </w:rPr>
        <w:t>ר"י בתוס'</w:t>
      </w:r>
      <w:r w:rsidRPr="005374D4">
        <w:rPr>
          <w:rStyle w:val="af9"/>
          <w:rFonts w:hint="cs"/>
          <w:rtl/>
        </w:rPr>
        <w:t xml:space="preserve"> </w:t>
      </w:r>
      <w:r>
        <w:rPr>
          <w:rStyle w:val="af9"/>
          <w:rFonts w:hint="cs"/>
          <w:rtl/>
        </w:rPr>
        <w:t>בתי' הב'</w:t>
      </w:r>
      <w:r>
        <w:rPr>
          <w:rFonts w:hint="cs"/>
          <w:rtl/>
        </w:rPr>
        <w:t xml:space="preserve"> </w:t>
      </w:r>
      <w:r w:rsidRPr="004A49D8">
        <w:rPr>
          <w:rStyle w:val="af7"/>
          <w:rFonts w:eastAsia="Guttman Hodes" w:hint="cs"/>
          <w:rtl/>
        </w:rPr>
        <w:t>(</w:t>
      </w:r>
      <w:r>
        <w:rPr>
          <w:rStyle w:val="af7"/>
          <w:rFonts w:eastAsia="Guttman Hodes" w:hint="cs"/>
          <w:rtl/>
        </w:rPr>
        <w:t>סו</w:t>
      </w:r>
      <w:r w:rsidRPr="004A49D8">
        <w:rPr>
          <w:rStyle w:val="af7"/>
          <w:rFonts w:eastAsia="Guttman Hodes" w:hint="cs"/>
          <w:rtl/>
        </w:rPr>
        <w:t>ד"ה אמאי)</w:t>
      </w:r>
      <w:r>
        <w:rPr>
          <w:rFonts w:hint="cs"/>
          <w:rtl/>
        </w:rPr>
        <w:t xml:space="preserve"> לרב יוסף אינו נאמן במיגו כיון שכל שהוא חוזר וטוען, דבתחילה טען והא שטרא, ועכשיו חזר בו מטענתו והודה </w:t>
      </w:r>
      <w:r w:rsidRPr="008055F3">
        <w:rPr>
          <w:rFonts w:hint="cs"/>
          <w:rtl/>
        </w:rPr>
        <w:t>שהשטר הוא חספא בעלמא, והיה לו שטר אחר שאבד לו</w:t>
      </w:r>
      <w:r>
        <w:rPr>
          <w:rFonts w:hint="cs"/>
          <w:rtl/>
        </w:rPr>
        <w:t xml:space="preserve">. </w:t>
      </w:r>
      <w:r w:rsidRPr="0094621E">
        <w:rPr>
          <w:rStyle w:val="afb"/>
          <w:rFonts w:hint="cs"/>
          <w:rtl/>
        </w:rPr>
        <w:t xml:space="preserve">[ועי' במה שביאר </w:t>
      </w:r>
      <w:r w:rsidRPr="0094621E">
        <w:rPr>
          <w:rStyle w:val="affa"/>
          <w:rtl/>
        </w:rPr>
        <w:t>הגידולי תרומה</w:t>
      </w:r>
      <w:r w:rsidRPr="0094621E">
        <w:rPr>
          <w:rStyle w:val="afb"/>
          <w:rtl/>
        </w:rPr>
        <w:t xml:space="preserve"> </w:t>
      </w:r>
      <w:r w:rsidRPr="0094621E">
        <w:rPr>
          <w:rStyle w:val="aff6"/>
          <w:rtl/>
        </w:rPr>
        <w:t>(שער י"ז ח"ב</w:t>
      </w:r>
      <w:r w:rsidRPr="0094621E">
        <w:rPr>
          <w:rStyle w:val="aff6"/>
          <w:rFonts w:hint="cs"/>
          <w:rtl/>
        </w:rPr>
        <w:t xml:space="preserve"> ד"ה והתוס') </w:t>
      </w:r>
      <w:r w:rsidRPr="0094621E">
        <w:rPr>
          <w:rStyle w:val="afb"/>
          <w:rFonts w:hint="cs"/>
          <w:rtl/>
        </w:rPr>
        <w:t>האיך משמע כן בדברי רב יוסף]</w:t>
      </w:r>
      <w:bookmarkEnd w:id="13892"/>
      <w:r>
        <w:rPr>
          <w:rStyle w:val="afb"/>
          <w:rFonts w:hint="cs"/>
          <w:rtl/>
        </w:rPr>
        <w:t xml:space="preserve">, </w:t>
      </w:r>
      <w:r w:rsidRPr="00E870BE">
        <w:rPr>
          <w:rFonts w:hint="cs"/>
          <w:rtl/>
        </w:rPr>
        <w:t xml:space="preserve">ועי' במה שביאר </w:t>
      </w:r>
      <w:r w:rsidRPr="00E870BE">
        <w:rPr>
          <w:rStyle w:val="af9"/>
          <w:rFonts w:hint="cs"/>
          <w:rtl/>
        </w:rPr>
        <w:t>החת"ס</w:t>
      </w:r>
      <w:r w:rsidRPr="00E870BE">
        <w:rPr>
          <w:rFonts w:hint="cs"/>
          <w:rtl/>
        </w:rPr>
        <w:t xml:space="preserve"> </w:t>
      </w:r>
      <w:r w:rsidRPr="00E870BE">
        <w:rPr>
          <w:rStyle w:val="af7"/>
          <w:rFonts w:eastAsia="Guttman Hodes" w:hint="cs"/>
          <w:rtl/>
        </w:rPr>
        <w:t xml:space="preserve">(עי' אות </w:t>
      </w:r>
      <w:r w:rsidRPr="00E870BE">
        <w:rPr>
          <w:rStyle w:val="af7"/>
          <w:rFonts w:eastAsia="Guttman Hodes"/>
          <w:rtl/>
        </w:rPr>
        <w:fldChar w:fldCharType="begin"/>
      </w:r>
      <w:r w:rsidRPr="00E870BE">
        <w:rPr>
          <w:rStyle w:val="af7"/>
          <w:rFonts w:eastAsia="Guttman Hodes"/>
          <w:rtl/>
        </w:rPr>
        <w:instrText xml:space="preserve"> </w:instrText>
      </w:r>
      <w:r w:rsidRPr="00E870BE">
        <w:rPr>
          <w:rStyle w:val="af7"/>
          <w:rFonts w:eastAsia="Guttman Hodes" w:hint="cs"/>
        </w:rPr>
        <w:instrText>REF</w:instrText>
      </w:r>
      <w:r w:rsidRPr="00E870BE">
        <w:rPr>
          <w:rStyle w:val="af7"/>
          <w:rFonts w:eastAsia="Guttman Hodes" w:hint="cs"/>
          <w:rtl/>
        </w:rPr>
        <w:instrText xml:space="preserve"> _</w:instrText>
      </w:r>
      <w:r w:rsidRPr="00E870BE">
        <w:rPr>
          <w:rStyle w:val="af7"/>
          <w:rFonts w:eastAsia="Guttman Hodes" w:hint="cs"/>
        </w:rPr>
        <w:instrText>Ref63186653 \r \h</w:instrText>
      </w:r>
      <w:r w:rsidRPr="00E870BE">
        <w:rPr>
          <w:rStyle w:val="af7"/>
          <w:rFonts w:eastAsia="Guttman Hodes"/>
          <w:rtl/>
        </w:rPr>
        <w:instrText xml:space="preserve"> </w:instrText>
      </w:r>
      <w:r w:rsidRPr="00E870BE">
        <w:rPr>
          <w:rStyle w:val="af7"/>
          <w:rFonts w:eastAsia="Guttman Hodes"/>
          <w:rtl/>
        </w:rPr>
      </w:r>
      <w:r w:rsidRPr="00E870BE">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870BE">
        <w:rPr>
          <w:rStyle w:val="af7"/>
          <w:rFonts w:eastAsia="Guttman Hodes"/>
          <w:rtl/>
        </w:rPr>
        <w:fldChar w:fldCharType="end"/>
      </w:r>
      <w:r w:rsidRPr="00E870BE">
        <w:rPr>
          <w:rFonts w:hint="cs"/>
          <w:rtl/>
        </w:rPr>
        <w:t xml:space="preserve"> דכוונת </w:t>
      </w:r>
      <w:r w:rsidRPr="00E870BE">
        <w:rPr>
          <w:rStyle w:val="af9"/>
          <w:rFonts w:hint="cs"/>
          <w:rtl/>
        </w:rPr>
        <w:t>ר"י</w:t>
      </w:r>
      <w:r w:rsidRPr="00E870BE">
        <w:rPr>
          <w:rFonts w:hint="cs"/>
          <w:rtl/>
        </w:rPr>
        <w:t xml:space="preserve"> לבאר את דברי </w:t>
      </w:r>
      <w:r w:rsidRPr="00E870BE">
        <w:rPr>
          <w:rStyle w:val="af9"/>
          <w:rFonts w:hint="cs"/>
          <w:rtl/>
        </w:rPr>
        <w:t>הרשב"ם</w:t>
      </w:r>
      <w:r w:rsidRPr="00E870BE">
        <w:rPr>
          <w:rFonts w:hint="cs"/>
          <w:rtl/>
        </w:rPr>
        <w:t xml:space="preserve"> </w:t>
      </w:r>
      <w:r w:rsidRPr="00E870BE">
        <w:rPr>
          <w:rStyle w:val="af7"/>
          <w:rFonts w:eastAsia="Guttman Hodes" w:hint="cs"/>
          <w:rtl/>
        </w:rPr>
        <w:t xml:space="preserve">(עי' אות </w:t>
      </w:r>
      <w:r w:rsidRPr="00E870BE">
        <w:rPr>
          <w:rStyle w:val="af7"/>
          <w:rFonts w:eastAsia="Guttman Hodes"/>
          <w:rtl/>
        </w:rPr>
        <w:fldChar w:fldCharType="begin"/>
      </w:r>
      <w:r w:rsidRPr="00E870BE">
        <w:rPr>
          <w:rStyle w:val="af7"/>
          <w:rFonts w:eastAsia="Guttman Hodes"/>
          <w:rtl/>
        </w:rPr>
        <w:instrText xml:space="preserve"> </w:instrText>
      </w:r>
      <w:r w:rsidRPr="00E870BE">
        <w:rPr>
          <w:rStyle w:val="af7"/>
          <w:rFonts w:eastAsia="Guttman Hodes" w:hint="cs"/>
        </w:rPr>
        <w:instrText>REF</w:instrText>
      </w:r>
      <w:r w:rsidRPr="00E870BE">
        <w:rPr>
          <w:rStyle w:val="af7"/>
          <w:rFonts w:eastAsia="Guttman Hodes" w:hint="cs"/>
          <w:rtl/>
        </w:rPr>
        <w:instrText xml:space="preserve"> _</w:instrText>
      </w:r>
      <w:r w:rsidRPr="00E870BE">
        <w:rPr>
          <w:rStyle w:val="af7"/>
          <w:rFonts w:eastAsia="Guttman Hodes" w:hint="cs"/>
        </w:rPr>
        <w:instrText>Ref63111068 \r \h</w:instrText>
      </w:r>
      <w:r w:rsidRPr="00E870BE">
        <w:rPr>
          <w:rStyle w:val="af7"/>
          <w:rFonts w:eastAsia="Guttman Hodes"/>
          <w:rtl/>
        </w:rPr>
        <w:instrText xml:space="preserve"> </w:instrText>
      </w:r>
      <w:r w:rsidRPr="00E870BE">
        <w:rPr>
          <w:rStyle w:val="af7"/>
          <w:rFonts w:eastAsia="Guttman Hodes"/>
          <w:rtl/>
        </w:rPr>
      </w:r>
      <w:r w:rsidRPr="00E870BE">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E870BE">
        <w:rPr>
          <w:rStyle w:val="af7"/>
          <w:rFonts w:eastAsia="Guttman Hodes"/>
          <w:rtl/>
        </w:rPr>
        <w:fldChar w:fldCharType="end"/>
      </w:r>
      <w:r w:rsidRPr="00E870BE">
        <w:rPr>
          <w:rFonts w:hint="cs"/>
          <w:rtl/>
        </w:rPr>
        <w:t>.</w:t>
      </w:r>
      <w:bookmarkEnd w:id="13893"/>
      <w:r>
        <w:rPr>
          <w:rFonts w:hint="cs"/>
          <w:rtl/>
        </w:rPr>
        <w:t xml:space="preserve"> </w:t>
      </w:r>
      <w:r w:rsidRPr="0050715B">
        <w:rPr>
          <w:rStyle w:val="afb"/>
          <w:rFonts w:hint="cs"/>
          <w:rtl/>
        </w:rPr>
        <w:t xml:space="preserve">[וע"ע במ"ש </w:t>
      </w:r>
      <w:r w:rsidRPr="0050715B">
        <w:rPr>
          <w:rStyle w:val="affa"/>
          <w:rFonts w:hint="cs"/>
          <w:rtl/>
        </w:rPr>
        <w:t>בחי' רבי נחום</w:t>
      </w:r>
      <w:r>
        <w:rPr>
          <w:rFonts w:hint="cs"/>
          <w:rtl/>
        </w:rPr>
        <w:t xml:space="preserve"> </w:t>
      </w:r>
      <w:r w:rsidRPr="0050715B">
        <w:rPr>
          <w:rStyle w:val="aff6"/>
          <w:rFonts w:hint="cs"/>
          <w:rtl/>
        </w:rPr>
        <w:t>(עי' הערה</w:t>
      </w:r>
      <w:r w:rsidRPr="0050715B">
        <w:rPr>
          <w:vertAlign w:val="superscript"/>
          <w:rtl/>
        </w:rPr>
        <w:fldChar w:fldCharType="begin"/>
      </w:r>
      <w:r w:rsidRPr="0050715B">
        <w:rPr>
          <w:vertAlign w:val="superscript"/>
          <w:rtl/>
        </w:rPr>
        <w:instrText xml:space="preserve"> </w:instrText>
      </w:r>
      <w:r w:rsidRPr="0050715B">
        <w:rPr>
          <w:rFonts w:hint="cs"/>
          <w:vertAlign w:val="superscript"/>
        </w:rPr>
        <w:instrText>NOTEREF</w:instrText>
      </w:r>
      <w:r w:rsidRPr="0050715B">
        <w:rPr>
          <w:rFonts w:hint="cs"/>
          <w:vertAlign w:val="superscript"/>
          <w:rtl/>
        </w:rPr>
        <w:instrText xml:space="preserve"> _</w:instrText>
      </w:r>
      <w:r w:rsidRPr="0050715B">
        <w:rPr>
          <w:rFonts w:hint="cs"/>
          <w:vertAlign w:val="superscript"/>
        </w:rPr>
        <w:instrText>Ref63246219 \h</w:instrText>
      </w:r>
      <w:r w:rsidRPr="0050715B">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50715B">
        <w:rPr>
          <w:vertAlign w:val="superscript"/>
          <w:rtl/>
        </w:rPr>
      </w:r>
      <w:r w:rsidRPr="0050715B">
        <w:rPr>
          <w:vertAlign w:val="superscript"/>
          <w:rtl/>
        </w:rPr>
        <w:fldChar w:fldCharType="separate"/>
      </w:r>
      <w:r w:rsidR="00265073">
        <w:rPr>
          <w:vertAlign w:val="superscript"/>
          <w:rtl/>
        </w:rPr>
        <w:t>91</w:t>
      </w:r>
      <w:r w:rsidRPr="0050715B">
        <w:rPr>
          <w:vertAlign w:val="superscript"/>
          <w:rtl/>
        </w:rPr>
        <w:fldChar w:fldCharType="end"/>
      </w:r>
      <w:r w:rsidRPr="0050715B">
        <w:rPr>
          <w:rStyle w:val="aff6"/>
          <w:rFonts w:hint="cs"/>
          <w:rtl/>
        </w:rPr>
        <w:t>)</w:t>
      </w:r>
      <w:r w:rsidRPr="0050715B">
        <w:rPr>
          <w:rStyle w:val="afb"/>
          <w:rFonts w:hint="cs"/>
          <w:rtl/>
        </w:rPr>
        <w:t>].</w:t>
      </w:r>
    </w:p>
    <w:p w:rsidR="003B7617" w:rsidRDefault="003B7617" w:rsidP="003B7617">
      <w:pPr>
        <w:pStyle w:val="a3"/>
        <w:rPr>
          <w:rtl/>
        </w:rPr>
      </w:pPr>
      <w:bookmarkStart w:id="13894" w:name="_Toc63188793"/>
      <w:bookmarkStart w:id="13895" w:name="_Toc63247753"/>
      <w:r>
        <w:rPr>
          <w:rFonts w:hint="cs"/>
          <w:rtl/>
        </w:rPr>
        <w:t>תי' התוס' הרא"ש דבטענה הראשונה נאמן רק בשטר ובטענה השניה אינו נאמן דהוא חוזר וטוען</w:t>
      </w:r>
      <w:bookmarkEnd w:id="13894"/>
      <w:bookmarkEnd w:id="13895"/>
    </w:p>
    <w:p w:rsidR="003B7617" w:rsidRDefault="003B7617" w:rsidP="007E4E81">
      <w:pPr>
        <w:pStyle w:val="a0"/>
        <w:rPr>
          <w:rtl/>
        </w:rPr>
      </w:pPr>
      <w:r>
        <w:rPr>
          <w:rFonts w:hint="cs"/>
          <w:rtl/>
        </w:rPr>
        <w:t xml:space="preserve">ועוד תירץ </w:t>
      </w:r>
      <w:r w:rsidRPr="0047572D">
        <w:rPr>
          <w:rStyle w:val="af9"/>
          <w:rFonts w:eastAsia="Guttman Adii-Light" w:hint="cs"/>
          <w:rtl/>
        </w:rPr>
        <w:t>התוס' הרא"ש בשיטמ"ק</w:t>
      </w:r>
      <w:r w:rsidRPr="00D27A40">
        <w:rPr>
          <w:rStyle w:val="affa"/>
          <w:rFonts w:hint="cs"/>
          <w:rtl/>
        </w:rPr>
        <w:t xml:space="preserve"> </w:t>
      </w:r>
      <w:r w:rsidRPr="0047572D">
        <w:rPr>
          <w:rStyle w:val="af7"/>
          <w:rFonts w:eastAsia="Guttman Hodes" w:hint="cs"/>
          <w:rtl/>
        </w:rPr>
        <w:t>(ד"ה על מה שתירצו)</w:t>
      </w:r>
      <w:r w:rsidRPr="00D27A40">
        <w:rPr>
          <w:rStyle w:val="aff6"/>
          <w:rFonts w:hint="cs"/>
          <w:rtl/>
        </w:rPr>
        <w:t xml:space="preserve"> </w:t>
      </w:r>
      <w:r>
        <w:rPr>
          <w:rFonts w:hint="cs"/>
          <w:rtl/>
        </w:rPr>
        <w:t>דס"ל לרב יוסף דכ"מ שאפשר להאמינו במיגו, הוא ע"י שסומכין על השטר, דהיינו דבטענה הראשונה היה נאמן רק מכח השטר, וכיון שעכשיו הודה שאין לו שטר, ואינו יכול לסמוך עליו, א"כ א"א לסמוך על טענתו הראשונה, ובמה שטוען עכשיו שהיה לו שטר ואבד, אינו נאמן אף שיש לו מיגו, כיון שבתחילה לא טען שהייתה שלו מעולם, וחשיב כטוען וחוזר וטוען.</w:t>
      </w:r>
    </w:p>
    <w:p w:rsidR="003B7617" w:rsidRDefault="003B7617" w:rsidP="003B7617">
      <w:pPr>
        <w:pStyle w:val="a3"/>
        <w:rPr>
          <w:rtl/>
        </w:rPr>
      </w:pPr>
      <w:bookmarkStart w:id="13896" w:name="_Toc63188794"/>
      <w:bookmarkStart w:id="13897" w:name="_Toc63247754"/>
      <w:r>
        <w:rPr>
          <w:rFonts w:hint="cs"/>
          <w:rtl/>
        </w:rPr>
        <w:t>דברי הגידו"ת דלב' הביאורים של ר"י אי הודה בתחילה שהוא מזויף וטען שאבד שטרו נאמן</w:t>
      </w:r>
      <w:bookmarkEnd w:id="13896"/>
      <w:bookmarkEnd w:id="13897"/>
    </w:p>
    <w:p w:rsidR="003B7617" w:rsidRDefault="003B7617" w:rsidP="007E4E81">
      <w:pPr>
        <w:pStyle w:val="a0"/>
        <w:rPr>
          <w:rStyle w:val="afb"/>
        </w:rPr>
      </w:pPr>
      <w:r>
        <w:rPr>
          <w:rFonts w:hint="cs"/>
          <w:rtl/>
        </w:rPr>
        <w:t xml:space="preserve">וכתב </w:t>
      </w:r>
      <w:r w:rsidRPr="0001649F">
        <w:rPr>
          <w:rStyle w:val="af9"/>
          <w:rtl/>
        </w:rPr>
        <w:t>הגידולי תרומה</w:t>
      </w:r>
      <w:r w:rsidRPr="0001649F">
        <w:rPr>
          <w:rtl/>
        </w:rPr>
        <w:t xml:space="preserve"> </w:t>
      </w:r>
      <w:r w:rsidRPr="0001649F">
        <w:rPr>
          <w:rStyle w:val="af7"/>
          <w:rFonts w:eastAsia="Guttman Hodes"/>
          <w:rtl/>
        </w:rPr>
        <w:t>(שער י"ז ח"ב</w:t>
      </w:r>
      <w:r>
        <w:rPr>
          <w:rStyle w:val="af7"/>
          <w:rFonts w:eastAsiaTheme="minorEastAsia" w:hint="cs"/>
          <w:rtl/>
        </w:rPr>
        <w:t xml:space="preserve"> סוד"ה והתוס')</w:t>
      </w:r>
      <w:r>
        <w:rPr>
          <w:rFonts w:hint="cs"/>
          <w:rtl/>
        </w:rPr>
        <w:t xml:space="preserve"> דלפי ב' הביאורים של </w:t>
      </w:r>
      <w:r w:rsidRPr="00871368">
        <w:rPr>
          <w:rStyle w:val="af9"/>
          <w:rFonts w:hint="cs"/>
          <w:rtl/>
        </w:rPr>
        <w:t>ר"י בתוס'</w:t>
      </w:r>
      <w:r>
        <w:rPr>
          <w:rFonts w:hint="cs"/>
          <w:rtl/>
        </w:rPr>
        <w:t xml:space="preserve">, כ"מ דאינו נאמן היינו כיון שבתחילה טען "והא שטרא", דבכה"ג או דאי"ז מיגו כיון שהוצרך לשקר, כדברי </w:t>
      </w:r>
      <w:r w:rsidRPr="004A49D8">
        <w:rPr>
          <w:rStyle w:val="af9"/>
          <w:rFonts w:hint="cs"/>
          <w:rtl/>
        </w:rPr>
        <w:t>ר"י בתוס'</w:t>
      </w:r>
      <w:r>
        <w:rPr>
          <w:rStyle w:val="af9"/>
          <w:rFonts w:hint="cs"/>
          <w:rtl/>
        </w:rPr>
        <w:t xml:space="preserve"> בתי' הא'</w:t>
      </w:r>
      <w:r>
        <w:rPr>
          <w:rFonts w:hint="cs"/>
          <w:rtl/>
        </w:rPr>
        <w:t xml:space="preserve"> </w:t>
      </w:r>
      <w:r w:rsidRPr="00EE5EF3">
        <w:rPr>
          <w:rStyle w:val="af7"/>
          <w:rFonts w:eastAsia="Guttman Hodes" w:hint="cs"/>
          <w:rtl/>
        </w:rPr>
        <w:t xml:space="preserve">(עי' אות </w:t>
      </w:r>
      <w:r w:rsidRPr="00EE5EF3">
        <w:rPr>
          <w:rStyle w:val="af7"/>
          <w:rFonts w:eastAsia="Guttman Hodes"/>
          <w:rtl/>
        </w:rPr>
        <w:fldChar w:fldCharType="begin"/>
      </w:r>
      <w:r w:rsidRPr="00EE5EF3">
        <w:rPr>
          <w:rStyle w:val="af7"/>
          <w:rFonts w:eastAsia="Guttman Hodes"/>
          <w:rtl/>
        </w:rPr>
        <w:instrText xml:space="preserve"> </w:instrText>
      </w:r>
      <w:r w:rsidRPr="00EE5EF3">
        <w:rPr>
          <w:rStyle w:val="af7"/>
          <w:rFonts w:eastAsia="Guttman Hodes" w:hint="cs"/>
        </w:rPr>
        <w:instrText>REF</w:instrText>
      </w:r>
      <w:r w:rsidRPr="00EE5EF3">
        <w:rPr>
          <w:rStyle w:val="af7"/>
          <w:rFonts w:eastAsia="Guttman Hodes" w:hint="cs"/>
          <w:rtl/>
        </w:rPr>
        <w:instrText xml:space="preserve"> _</w:instrText>
      </w:r>
      <w:r w:rsidRPr="00EE5EF3">
        <w:rPr>
          <w:rStyle w:val="af7"/>
          <w:rFonts w:eastAsia="Guttman Hodes" w:hint="cs"/>
        </w:rPr>
        <w:instrText>Ref62811640 \r \h</w:instrText>
      </w:r>
      <w:r w:rsidRPr="00EE5EF3">
        <w:rPr>
          <w:rStyle w:val="af7"/>
          <w:rFonts w:eastAsia="Guttman Hodes"/>
          <w:rtl/>
        </w:rPr>
        <w:instrText xml:space="preserve"> </w:instrText>
      </w:r>
      <w:r w:rsidRPr="00EE5EF3">
        <w:rPr>
          <w:rStyle w:val="af7"/>
          <w:rFonts w:eastAsia="Guttman Hodes"/>
          <w:rtl/>
        </w:rPr>
      </w:r>
      <w:r w:rsidRPr="00EE5EF3">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EE5EF3">
        <w:rPr>
          <w:rStyle w:val="af7"/>
          <w:rFonts w:eastAsia="Guttman Hodes"/>
          <w:rtl/>
        </w:rPr>
        <w:fldChar w:fldCharType="end"/>
      </w:r>
      <w:r>
        <w:rPr>
          <w:rFonts w:hint="cs"/>
          <w:rtl/>
        </w:rPr>
        <w:t xml:space="preserve">, או דאי"ז מיגו כיון שהוא חוזר וטוען כדברי </w:t>
      </w:r>
      <w:r w:rsidRPr="004A49D8">
        <w:rPr>
          <w:rStyle w:val="af9"/>
          <w:rFonts w:hint="cs"/>
          <w:rtl/>
        </w:rPr>
        <w:t>ר"י בתוס'</w:t>
      </w:r>
      <w:r>
        <w:rPr>
          <w:rStyle w:val="af9"/>
          <w:rFonts w:hint="cs"/>
          <w:rtl/>
        </w:rPr>
        <w:t xml:space="preserve"> בתי' הב'</w:t>
      </w:r>
      <w:r>
        <w:rPr>
          <w:rFonts w:hint="cs"/>
          <w:rtl/>
        </w:rPr>
        <w:t xml:space="preserve"> </w:t>
      </w:r>
      <w:r w:rsidRPr="00EE5EF3">
        <w:rPr>
          <w:rStyle w:val="af7"/>
          <w:rFonts w:eastAsia="Guttman Hodes" w:hint="cs"/>
          <w:rtl/>
        </w:rPr>
        <w:t xml:space="preserve">(עי' אות </w:t>
      </w:r>
      <w:r w:rsidRPr="00EE5EF3">
        <w:rPr>
          <w:rStyle w:val="af7"/>
          <w:rFonts w:eastAsia="Guttman Hodes"/>
          <w:rtl/>
        </w:rPr>
        <w:fldChar w:fldCharType="begin"/>
      </w:r>
      <w:r w:rsidRPr="00EE5EF3">
        <w:rPr>
          <w:rStyle w:val="af7"/>
          <w:rFonts w:eastAsia="Guttman Hodes"/>
          <w:rtl/>
        </w:rPr>
        <w:instrText xml:space="preserve"> </w:instrText>
      </w:r>
      <w:r w:rsidRPr="00EE5EF3">
        <w:rPr>
          <w:rStyle w:val="af7"/>
          <w:rFonts w:eastAsia="Guttman Hodes" w:hint="cs"/>
        </w:rPr>
        <w:instrText>REF</w:instrText>
      </w:r>
      <w:r w:rsidRPr="00EE5EF3">
        <w:rPr>
          <w:rStyle w:val="af7"/>
          <w:rFonts w:eastAsia="Guttman Hodes" w:hint="cs"/>
          <w:rtl/>
        </w:rPr>
        <w:instrText xml:space="preserve"> _</w:instrText>
      </w:r>
      <w:r w:rsidRPr="00EE5EF3">
        <w:rPr>
          <w:rStyle w:val="af7"/>
          <w:rFonts w:eastAsia="Guttman Hodes" w:hint="cs"/>
        </w:rPr>
        <w:instrText>Ref62811652 \r \h</w:instrText>
      </w:r>
      <w:r w:rsidRPr="00EE5EF3">
        <w:rPr>
          <w:rStyle w:val="af7"/>
          <w:rFonts w:eastAsia="Guttman Hodes"/>
          <w:rtl/>
        </w:rPr>
        <w:instrText xml:space="preserve"> </w:instrText>
      </w:r>
      <w:r w:rsidRPr="00EE5EF3">
        <w:rPr>
          <w:rStyle w:val="af7"/>
          <w:rFonts w:eastAsia="Guttman Hodes"/>
          <w:rtl/>
        </w:rPr>
      </w:r>
      <w:r w:rsidRPr="00EE5EF3">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EE5EF3">
        <w:rPr>
          <w:rStyle w:val="af7"/>
          <w:rFonts w:eastAsia="Guttman Hodes"/>
          <w:rtl/>
        </w:rPr>
        <w:fldChar w:fldCharType="end"/>
      </w:r>
      <w:r>
        <w:rPr>
          <w:rFonts w:hint="cs"/>
          <w:rtl/>
        </w:rPr>
        <w:t>, אבל אם היה</w:t>
      </w:r>
      <w:r w:rsidRPr="00667FA6">
        <w:rPr>
          <w:rFonts w:hint="cs"/>
          <w:rtl/>
        </w:rPr>
        <w:t xml:space="preserve"> </w:t>
      </w:r>
      <w:r>
        <w:rPr>
          <w:rFonts w:hint="cs"/>
          <w:rtl/>
        </w:rPr>
        <w:t xml:space="preserve">טוען בתחילה שהיה לו שטר אחר שאבד, והיה מודה שהשטר שבידו הוא שטר אמנה, הוא היה נאמן במיגו דהיה טוען שהוא שטר טוב. </w:t>
      </w:r>
      <w:r w:rsidRPr="001741F5">
        <w:rPr>
          <w:rStyle w:val="afb"/>
          <w:rFonts w:hint="cs"/>
          <w:rtl/>
        </w:rPr>
        <w:t>[ומשמע דכוונת ה</w:t>
      </w:r>
      <w:r w:rsidRPr="001741F5">
        <w:rPr>
          <w:rStyle w:val="affa"/>
          <w:rFonts w:hint="cs"/>
          <w:rtl/>
        </w:rPr>
        <w:t>גידולי תרומה</w:t>
      </w:r>
      <w:r w:rsidRPr="001741F5">
        <w:rPr>
          <w:rStyle w:val="afb"/>
          <w:rFonts w:hint="cs"/>
          <w:rtl/>
        </w:rPr>
        <w:t xml:space="preserve"> לומר דלדעת </w:t>
      </w:r>
      <w:r w:rsidRPr="001741F5">
        <w:rPr>
          <w:rStyle w:val="affa"/>
          <w:rFonts w:hint="cs"/>
          <w:rtl/>
        </w:rPr>
        <w:t>הרשב"ם</w:t>
      </w:r>
      <w:r w:rsidRPr="001741F5">
        <w:rPr>
          <w:rStyle w:val="afb"/>
          <w:rFonts w:hint="cs"/>
          <w:rtl/>
        </w:rPr>
        <w:t xml:space="preserve"> </w:t>
      </w:r>
      <w:r w:rsidRPr="00EE5EF3">
        <w:rPr>
          <w:rStyle w:val="aff6"/>
          <w:rFonts w:hint="cs"/>
          <w:rtl/>
        </w:rPr>
        <w:t xml:space="preserve">(עי' אות </w:t>
      </w:r>
      <w:r w:rsidRPr="00EE5EF3">
        <w:rPr>
          <w:rStyle w:val="aff6"/>
          <w:rtl/>
        </w:rPr>
        <w:fldChar w:fldCharType="begin"/>
      </w:r>
      <w:r w:rsidRPr="00EE5EF3">
        <w:rPr>
          <w:rStyle w:val="aff6"/>
          <w:rtl/>
        </w:rPr>
        <w:instrText xml:space="preserve"> </w:instrText>
      </w:r>
      <w:r w:rsidRPr="00EE5EF3">
        <w:rPr>
          <w:rStyle w:val="aff6"/>
          <w:rFonts w:hint="cs"/>
        </w:rPr>
        <w:instrText>REF</w:instrText>
      </w:r>
      <w:r w:rsidRPr="00EE5EF3">
        <w:rPr>
          <w:rStyle w:val="aff6"/>
          <w:rFonts w:hint="cs"/>
          <w:rtl/>
        </w:rPr>
        <w:instrText xml:space="preserve"> _</w:instrText>
      </w:r>
      <w:r w:rsidRPr="00EE5EF3">
        <w:rPr>
          <w:rStyle w:val="aff6"/>
          <w:rFonts w:hint="cs"/>
        </w:rPr>
        <w:instrText>Ref62588040 \r \h</w:instrText>
      </w:r>
      <w:r w:rsidRPr="00EE5EF3">
        <w:rPr>
          <w:rStyle w:val="aff6"/>
          <w:rtl/>
        </w:rPr>
        <w:instrText xml:space="preserve"> </w:instrText>
      </w:r>
      <w:r w:rsidRPr="00EE5EF3">
        <w:rPr>
          <w:rStyle w:val="aff6"/>
          <w:rtl/>
        </w:rPr>
      </w:r>
      <w:r w:rsidRPr="00EE5EF3">
        <w:rPr>
          <w:rStyle w:val="aff6"/>
          <w:rtl/>
        </w:rPr>
        <w:fldChar w:fldCharType="separate"/>
      </w:r>
      <w:r w:rsidR="00265073">
        <w:rPr>
          <w:rStyle w:val="aff6"/>
          <w:cs/>
        </w:rPr>
        <w:t>‎</w:t>
      </w:r>
      <w:r w:rsidR="00265073">
        <w:rPr>
          <w:rStyle w:val="aff6"/>
          <w:rtl/>
        </w:rPr>
        <w:t>כט)</w:t>
      </w:r>
      <w:r w:rsidRPr="00EE5EF3">
        <w:rPr>
          <w:rStyle w:val="aff6"/>
          <w:rtl/>
        </w:rPr>
        <w:fldChar w:fldCharType="end"/>
      </w:r>
      <w:r w:rsidRPr="001741F5">
        <w:rPr>
          <w:rStyle w:val="afb"/>
          <w:rFonts w:hint="cs"/>
          <w:rtl/>
        </w:rPr>
        <w:t xml:space="preserve"> אינו נאמן אף בכה"ג, כיון שאין ב' הטענות יכולות להיות אמת].</w:t>
      </w:r>
    </w:p>
    <w:p w:rsidR="003B7617" w:rsidRDefault="003B7617" w:rsidP="003B7617">
      <w:pPr>
        <w:pStyle w:val="afe"/>
        <w:rPr>
          <w:rtl/>
        </w:rPr>
      </w:pPr>
      <w:bookmarkStart w:id="13898" w:name="_Toc63111471"/>
      <w:bookmarkStart w:id="13899" w:name="_Toc63163522"/>
      <w:bookmarkStart w:id="13900" w:name="_Toc63188795"/>
      <w:bookmarkStart w:id="13901" w:name="_Toc63247755"/>
      <w:bookmarkStart w:id="13902" w:name="_Toc62644219"/>
      <w:bookmarkStart w:id="13903" w:name="_Toc62819906"/>
      <w:r>
        <w:rPr>
          <w:rFonts w:hint="cs"/>
          <w:rtl/>
        </w:rPr>
        <w:t>ד' הריב"ם והר"י מגאש דהמיגו להוציא</w:t>
      </w:r>
      <w:bookmarkEnd w:id="13898"/>
      <w:bookmarkEnd w:id="13899"/>
      <w:bookmarkEnd w:id="13900"/>
      <w:bookmarkEnd w:id="13901"/>
    </w:p>
    <w:p w:rsidR="003B7617" w:rsidRDefault="003B7617" w:rsidP="003B7617">
      <w:pPr>
        <w:pStyle w:val="1"/>
        <w:rPr>
          <w:rtl/>
        </w:rPr>
      </w:pPr>
      <w:bookmarkStart w:id="13904" w:name="_Toc62819903"/>
      <w:bookmarkStart w:id="13905" w:name="_Toc63111472"/>
      <w:bookmarkStart w:id="13906" w:name="_Toc63163523"/>
      <w:bookmarkStart w:id="13907" w:name="_Toc63188796"/>
      <w:bookmarkStart w:id="13908" w:name="_Toc63247756"/>
      <w:r>
        <w:rPr>
          <w:rFonts w:hint="cs"/>
          <w:rtl/>
        </w:rPr>
        <w:t xml:space="preserve">דעת </w:t>
      </w:r>
      <w:bookmarkEnd w:id="13904"/>
      <w:r w:rsidRPr="00BF6DC5">
        <w:rPr>
          <w:rtl/>
        </w:rPr>
        <w:t>הר"י ב"ר מרדכי</w:t>
      </w:r>
      <w:bookmarkEnd w:id="13905"/>
      <w:bookmarkEnd w:id="13906"/>
      <w:bookmarkEnd w:id="13907"/>
      <w:r>
        <w:rPr>
          <w:rFonts w:hint="cs"/>
          <w:rtl/>
        </w:rPr>
        <w:t xml:space="preserve"> דלרב יוסף ל"מ מיגו דהוא מיגו להוציא</w:t>
      </w:r>
      <w:bookmarkEnd w:id="13908"/>
    </w:p>
    <w:p w:rsidR="003B7617" w:rsidRDefault="003B7617" w:rsidP="003B7617">
      <w:pPr>
        <w:pStyle w:val="a3"/>
        <w:rPr>
          <w:rtl/>
        </w:rPr>
      </w:pPr>
      <w:bookmarkStart w:id="13909" w:name="_Toc63247757"/>
      <w:r>
        <w:rPr>
          <w:rFonts w:hint="cs"/>
          <w:rtl/>
        </w:rPr>
        <w:t>תירוץ הריב"ם בתוס' דל"מ מיגו לרב יוסף כיון דהוא מיגו להוציא דהקרקע היא בחזקת המר"ק</w:t>
      </w:r>
      <w:bookmarkEnd w:id="13909"/>
      <w:r>
        <w:rPr>
          <w:rFonts w:hint="cs"/>
          <w:rtl/>
        </w:rPr>
        <w:t xml:space="preserve"> </w:t>
      </w:r>
    </w:p>
    <w:p w:rsidR="003B7617" w:rsidRDefault="003B7617" w:rsidP="007E4E81">
      <w:pPr>
        <w:pStyle w:val="a0"/>
        <w:rPr>
          <w:rtl/>
        </w:rPr>
      </w:pPr>
      <w:bookmarkStart w:id="13910" w:name="_Ref62638117"/>
      <w:r>
        <w:rPr>
          <w:rFonts w:hint="cs"/>
          <w:rtl/>
        </w:rPr>
        <w:t xml:space="preserve">במה שהקשו </w:t>
      </w:r>
      <w:r w:rsidRPr="004542AB">
        <w:rPr>
          <w:rStyle w:val="af9"/>
          <w:rFonts w:hint="cs"/>
          <w:rtl/>
        </w:rPr>
        <w:t>התוס'</w:t>
      </w:r>
      <w:r>
        <w:rPr>
          <w:rFonts w:hint="cs"/>
          <w:rtl/>
        </w:rPr>
        <w:t xml:space="preserve"> </w:t>
      </w:r>
      <w:r w:rsidRPr="004542AB">
        <w:rPr>
          <w:rStyle w:val="af7"/>
          <w:rFonts w:eastAsia="Guttman Hodes" w:hint="cs"/>
          <w:rtl/>
        </w:rPr>
        <w:t xml:space="preserve">(עי' אות </w:t>
      </w:r>
      <w:r w:rsidRPr="004542AB">
        <w:rPr>
          <w:rStyle w:val="af7"/>
          <w:rFonts w:eastAsia="Guttman Hodes"/>
          <w:rtl/>
        </w:rPr>
        <w:fldChar w:fldCharType="begin"/>
      </w:r>
      <w:r w:rsidRPr="004542AB">
        <w:rPr>
          <w:rStyle w:val="af7"/>
          <w:rFonts w:eastAsia="Guttman Hodes"/>
          <w:rtl/>
        </w:rPr>
        <w:instrText xml:space="preserve"> </w:instrText>
      </w:r>
      <w:r w:rsidRPr="004542AB">
        <w:rPr>
          <w:rStyle w:val="af7"/>
          <w:rFonts w:eastAsia="Guttman Hodes" w:hint="cs"/>
        </w:rPr>
        <w:instrText>REF</w:instrText>
      </w:r>
      <w:r w:rsidRPr="004542AB">
        <w:rPr>
          <w:rStyle w:val="af7"/>
          <w:rFonts w:eastAsia="Guttman Hodes" w:hint="cs"/>
          <w:rtl/>
        </w:rPr>
        <w:instrText xml:space="preserve"> _</w:instrText>
      </w:r>
      <w:r w:rsidRPr="004542AB">
        <w:rPr>
          <w:rStyle w:val="af7"/>
          <w:rFonts w:eastAsia="Guttman Hodes" w:hint="cs"/>
        </w:rPr>
        <w:instrText>Ref63013533 \r \h</w:instrText>
      </w:r>
      <w:r w:rsidRPr="004542AB">
        <w:rPr>
          <w:rStyle w:val="af7"/>
          <w:rFonts w:eastAsia="Guttman Hodes"/>
          <w:rtl/>
        </w:rPr>
        <w:instrText xml:space="preserve"> </w:instrText>
      </w:r>
      <w:r w:rsidRPr="004542AB">
        <w:rPr>
          <w:rStyle w:val="af7"/>
          <w:rFonts w:eastAsia="Guttman Hodes"/>
          <w:rtl/>
        </w:rPr>
      </w:r>
      <w:r w:rsidRPr="004542AB">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4542AB">
        <w:rPr>
          <w:rStyle w:val="af7"/>
          <w:rFonts w:eastAsia="Guttman Hodes"/>
          <w:rtl/>
        </w:rPr>
        <w:fldChar w:fldCharType="end"/>
      </w:r>
      <w:r>
        <w:rPr>
          <w:rFonts w:hint="cs"/>
          <w:rtl/>
        </w:rPr>
        <w:t xml:space="preserve"> על רב יוסף דאמאי אינו נאמן במיגו שהיה טוען שהשטר הוא טוב תירץ </w:t>
      </w:r>
      <w:r w:rsidRPr="00BC1818">
        <w:rPr>
          <w:rStyle w:val="af9"/>
          <w:rFonts w:hint="cs"/>
          <w:rtl/>
        </w:rPr>
        <w:t>הר</w:t>
      </w:r>
      <w:r>
        <w:rPr>
          <w:rStyle w:val="af9"/>
          <w:rFonts w:hint="cs"/>
          <w:rtl/>
        </w:rPr>
        <w:t>"י ב"ר מרדכי</w:t>
      </w:r>
      <w:r w:rsidRPr="00BC1818">
        <w:rPr>
          <w:rStyle w:val="af9"/>
          <w:rFonts w:hint="cs"/>
          <w:rtl/>
        </w:rPr>
        <w:t xml:space="preserve"> בתוס'</w:t>
      </w:r>
      <w:r w:rsidRPr="00074B28">
        <w:rPr>
          <w:rStyle w:val="af9"/>
          <w:rFonts w:hint="cs"/>
          <w:rtl/>
        </w:rPr>
        <w:t xml:space="preserve"> בסוגיין</w:t>
      </w:r>
      <w:r>
        <w:rPr>
          <w:rFonts w:hint="cs"/>
          <w:rtl/>
        </w:rPr>
        <w:t xml:space="preserve"> </w:t>
      </w:r>
      <w:r w:rsidRPr="004A49D8">
        <w:rPr>
          <w:rStyle w:val="af7"/>
          <w:rFonts w:eastAsia="Guttman Hodes" w:hint="cs"/>
          <w:rtl/>
        </w:rPr>
        <w:t>(ד"ה אמאי)</w:t>
      </w:r>
      <w:r>
        <w:rPr>
          <w:rFonts w:hint="cs"/>
          <w:rtl/>
        </w:rPr>
        <w:t xml:space="preserve"> דמיגו להוציא ממון לא אמרינן, ואעפ"י שהמחזיק מוחזק בקרקע, אינו נחשב כמוחזק דהא קרקע בחזקת בעליה עומדת, כיון שאין למחזיק שטר או חזקה, וכל חזקתו היא מכח טענה בעלמא, שאומר שהיה לו שטר טוב ואבד.</w:t>
      </w:r>
      <w:bookmarkEnd w:id="13910"/>
    </w:p>
    <w:p w:rsidR="003B7617" w:rsidRDefault="003B7617" w:rsidP="003B7617">
      <w:pPr>
        <w:pStyle w:val="a3"/>
      </w:pPr>
      <w:bookmarkStart w:id="13911" w:name="_Toc63247758"/>
      <w:r>
        <w:rPr>
          <w:rFonts w:hint="cs"/>
          <w:rtl/>
        </w:rPr>
        <w:t>דברי הריב"ם דמהני מיגו להחזיק ממון או כשיש לו שטר וחזקה והמערער בא לפסול ראייתו</w:t>
      </w:r>
      <w:bookmarkEnd w:id="13911"/>
    </w:p>
    <w:p w:rsidR="003B7617" w:rsidRDefault="003B7617" w:rsidP="007E4E81">
      <w:pPr>
        <w:pStyle w:val="a0"/>
        <w:rPr>
          <w:rtl/>
        </w:rPr>
      </w:pPr>
      <w:r>
        <w:rPr>
          <w:rFonts w:hint="cs"/>
          <w:rtl/>
        </w:rPr>
        <w:t xml:space="preserve">וכתב </w:t>
      </w:r>
      <w:r w:rsidRPr="00BC1818">
        <w:rPr>
          <w:rStyle w:val="af9"/>
          <w:rFonts w:hint="cs"/>
          <w:rtl/>
        </w:rPr>
        <w:t>הר</w:t>
      </w:r>
      <w:r>
        <w:rPr>
          <w:rStyle w:val="af9"/>
          <w:rFonts w:hint="cs"/>
          <w:rtl/>
        </w:rPr>
        <w:t>"י ב"ר מרדכי</w:t>
      </w:r>
      <w:r w:rsidRPr="00BC1818">
        <w:rPr>
          <w:rStyle w:val="af9"/>
          <w:rFonts w:hint="cs"/>
          <w:rtl/>
        </w:rPr>
        <w:t xml:space="preserve"> בתוס'</w:t>
      </w:r>
      <w:r w:rsidRPr="00074B28">
        <w:rPr>
          <w:rStyle w:val="af9"/>
          <w:rFonts w:hint="cs"/>
          <w:rtl/>
        </w:rPr>
        <w:t xml:space="preserve"> בסוגיין</w:t>
      </w:r>
      <w:r>
        <w:rPr>
          <w:rFonts w:hint="cs"/>
          <w:rtl/>
        </w:rPr>
        <w:t xml:space="preserve"> דהא דאמרינן מיגו, היינו רק כשבא להחזיק ממון בידו, ויכול לפטור את עצמו בטענת המיגו, וכן באופן שיש לו שטר או חזקה, והמערער בא לפסול את הראיה שלו, דבכה"ג יכול המחזיק לקיים את ראייתו ע"י המיגו, כגון בהא דאיתא בגמ' לקמן </w:t>
      </w:r>
      <w:r w:rsidRPr="007109D9">
        <w:rPr>
          <w:rStyle w:val="af7"/>
          <w:rFonts w:eastAsia="Guttman Hodes" w:hint="cs"/>
          <w:rtl/>
        </w:rPr>
        <w:t>(מא:)</w:t>
      </w:r>
      <w:r>
        <w:rPr>
          <w:rFonts w:hint="cs"/>
          <w:rtl/>
        </w:rPr>
        <w:t xml:space="preserve"> דטוען קמי דידי זבנה מינך, במיגו דמינך זבינתה ויש לו חזקת ג"ש, והוסיף </w:t>
      </w:r>
      <w:r>
        <w:rPr>
          <w:rStyle w:val="af9"/>
          <w:rFonts w:hint="cs"/>
          <w:rtl/>
        </w:rPr>
        <w:t>הרא"ש</w:t>
      </w:r>
      <w:r>
        <w:rPr>
          <w:rFonts w:hint="cs"/>
          <w:rtl/>
        </w:rPr>
        <w:t xml:space="preserve"> </w:t>
      </w:r>
      <w:r w:rsidRPr="00A70124">
        <w:rPr>
          <w:rStyle w:val="af7"/>
          <w:rFonts w:eastAsia="Guttman Hodes" w:hint="cs"/>
          <w:rtl/>
        </w:rPr>
        <w:t>(סי' י"</w:t>
      </w:r>
      <w:r>
        <w:rPr>
          <w:rStyle w:val="af7"/>
          <w:rFonts w:eastAsia="Guttman Hodes" w:hint="cs"/>
          <w:rtl/>
        </w:rPr>
        <w:t xml:space="preserve">ג) </w:t>
      </w:r>
      <w:r>
        <w:rPr>
          <w:rFonts w:hint="cs"/>
          <w:rtl/>
        </w:rPr>
        <w:t xml:space="preserve">דה"ה בזה אומר של </w:t>
      </w:r>
      <w:r>
        <w:rPr>
          <w:rFonts w:hint="cs"/>
          <w:rtl/>
        </w:rPr>
        <w:t xml:space="preserve">אבותי וזה אומר של אבותי ויש לו עידי חזקה, דנאמן לומר דהיא של אבותיו במיגו דמינך זבינתה כיון שיש לו חזקה. [ועי' במה שביאר </w:t>
      </w:r>
      <w:r w:rsidRPr="005D7040">
        <w:rPr>
          <w:rStyle w:val="af9"/>
          <w:rFonts w:hint="cs"/>
          <w:rtl/>
        </w:rPr>
        <w:t>בחי' רבי נחום</w:t>
      </w:r>
      <w:r>
        <w:rPr>
          <w:rFonts w:hint="cs"/>
          <w:rtl/>
        </w:rPr>
        <w:t xml:space="preserve"> </w:t>
      </w:r>
      <w:r w:rsidRPr="005D7040">
        <w:rPr>
          <w:rStyle w:val="af7"/>
          <w:rFonts w:eastAsia="Guttman Hodes" w:hint="cs"/>
          <w:rtl/>
        </w:rPr>
        <w:t xml:space="preserve">(או' קמ"ז ד"ה והנה) </w:t>
      </w:r>
      <w:r>
        <w:rPr>
          <w:rFonts w:hint="cs"/>
          <w:rtl/>
        </w:rPr>
        <w:t xml:space="preserve">את החילוק בין דברי </w:t>
      </w:r>
      <w:r w:rsidRPr="00690796">
        <w:rPr>
          <w:rStyle w:val="af9"/>
          <w:rFonts w:hint="cs"/>
          <w:rtl/>
        </w:rPr>
        <w:t xml:space="preserve">הריב"ם </w:t>
      </w:r>
      <w:r w:rsidRPr="00BC1818">
        <w:rPr>
          <w:rStyle w:val="af9"/>
          <w:rFonts w:hint="cs"/>
          <w:rtl/>
        </w:rPr>
        <w:t>בתוס'</w:t>
      </w:r>
      <w:r w:rsidRPr="00074B28">
        <w:rPr>
          <w:rStyle w:val="af9"/>
          <w:rFonts w:hint="cs"/>
          <w:rtl/>
        </w:rPr>
        <w:t xml:space="preserve"> בסוגיין</w:t>
      </w:r>
      <w:r>
        <w:rPr>
          <w:rFonts w:hint="cs"/>
          <w:rtl/>
        </w:rPr>
        <w:t xml:space="preserve"> לדברי </w:t>
      </w:r>
      <w:r w:rsidRPr="00BC1818">
        <w:rPr>
          <w:rStyle w:val="af9"/>
          <w:rFonts w:hint="cs"/>
          <w:rtl/>
        </w:rPr>
        <w:t>הריב"ם</w:t>
      </w:r>
      <w:r w:rsidRPr="00A01A56">
        <w:rPr>
          <w:rStyle w:val="af9"/>
          <w:rFonts w:hint="cs"/>
          <w:rtl/>
        </w:rPr>
        <w:t xml:space="preserve"> </w:t>
      </w:r>
      <w:r w:rsidRPr="00690796">
        <w:rPr>
          <w:rStyle w:val="af9"/>
          <w:rFonts w:hint="cs"/>
          <w:rtl/>
        </w:rPr>
        <w:t>בתוס' בב"מ</w:t>
      </w:r>
      <w:r>
        <w:rPr>
          <w:rFonts w:hint="cs"/>
          <w:rtl/>
        </w:rPr>
        <w:t xml:space="preserve"> </w:t>
      </w:r>
      <w:r w:rsidRPr="005D704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Ref63160452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Pr>
          <w:rStyle w:val="af7"/>
          <w:rFonts w:eastAsia="Guttman Hodes"/>
          <w:rtl/>
        </w:rPr>
        <w:fldChar w:fldCharType="end"/>
      </w:r>
      <w:r>
        <w:rPr>
          <w:rFonts w:hint="cs"/>
          <w:rtl/>
        </w:rPr>
        <w:t>].</w:t>
      </w:r>
    </w:p>
    <w:p w:rsidR="003B7617" w:rsidRDefault="003B7617" w:rsidP="003B7617">
      <w:pPr>
        <w:pStyle w:val="1"/>
        <w:rPr>
          <w:rtl/>
        </w:rPr>
      </w:pPr>
      <w:bookmarkStart w:id="13912" w:name="_Toc63247759"/>
      <w:r>
        <w:rPr>
          <w:rFonts w:hint="cs"/>
          <w:rtl/>
        </w:rPr>
        <w:t>דעת הריב"ם בב"מ דלרבה מיגו דאי בעי שתיק מהני להוציא</w:t>
      </w:r>
      <w:bookmarkEnd w:id="13912"/>
    </w:p>
    <w:p w:rsidR="003B7617" w:rsidRDefault="003B7617" w:rsidP="003B7617">
      <w:pPr>
        <w:pStyle w:val="a3"/>
        <w:rPr>
          <w:rtl/>
        </w:rPr>
      </w:pPr>
      <w:bookmarkStart w:id="13913" w:name="_Toc63247760"/>
      <w:bookmarkEnd w:id="13902"/>
      <w:bookmarkEnd w:id="13903"/>
      <w:r>
        <w:rPr>
          <w:rFonts w:hint="cs"/>
          <w:rtl/>
        </w:rPr>
        <w:t>ביאור הריב"ם בתוס' בב"מ דלרבה מהני מיגו להוציא דהוא מיגו דאי בעי שתיק ולא היה מודה</w:t>
      </w:r>
      <w:bookmarkEnd w:id="13913"/>
    </w:p>
    <w:p w:rsidR="003B7617" w:rsidRDefault="003B7617" w:rsidP="007E4E81">
      <w:pPr>
        <w:pStyle w:val="a0"/>
        <w:rPr>
          <w:rStyle w:val="afb"/>
          <w:rtl/>
        </w:rPr>
      </w:pPr>
      <w:bookmarkStart w:id="13914" w:name="_Ref63160452"/>
      <w:r>
        <w:rPr>
          <w:rFonts w:hint="cs"/>
          <w:rtl/>
        </w:rPr>
        <w:t xml:space="preserve">כתב </w:t>
      </w:r>
      <w:r w:rsidRPr="00D46B9B">
        <w:rPr>
          <w:rStyle w:val="af9"/>
          <w:rFonts w:hint="cs"/>
          <w:rtl/>
        </w:rPr>
        <w:t>הריב"ם בתוס' בב"מ</w:t>
      </w:r>
      <w:r>
        <w:rPr>
          <w:rFonts w:hint="cs"/>
          <w:rtl/>
        </w:rPr>
        <w:t xml:space="preserve"> </w:t>
      </w:r>
      <w:r w:rsidRPr="00D52790">
        <w:rPr>
          <w:rStyle w:val="af7"/>
          <w:rFonts w:eastAsia="Guttman Hodes" w:hint="cs"/>
          <w:rtl/>
        </w:rPr>
        <w:t>(ב. ד"ה וזה)</w:t>
      </w:r>
      <w:r>
        <w:rPr>
          <w:rFonts w:hint="cs"/>
          <w:rtl/>
        </w:rPr>
        <w:t xml:space="preserve"> דהא דס"ל לרבה בסוגיין דנאמן במיגו להוציא, היינו כיון שהוא מיגו דאי בעי שתיק, דלא היה צריך להודות שהשטר מזויף, כיון שחתימת העדים הייתה ניכרת לעומדים בב"ד, ובדעת רב יוסף ביאר </w:t>
      </w:r>
      <w:r w:rsidRPr="00F667ED">
        <w:rPr>
          <w:rStyle w:val="af9"/>
          <w:rFonts w:hint="cs"/>
          <w:rtl/>
        </w:rPr>
        <w:t>הריב"ם בתוס' בב"מ</w:t>
      </w:r>
      <w:r>
        <w:rPr>
          <w:rFonts w:hint="cs"/>
          <w:rtl/>
        </w:rPr>
        <w:t xml:space="preserve"> כדברי </w:t>
      </w:r>
      <w:r w:rsidRPr="004A49D8">
        <w:rPr>
          <w:rStyle w:val="af9"/>
          <w:rFonts w:hint="cs"/>
          <w:rtl/>
        </w:rPr>
        <w:t>ר"י בתוס'</w:t>
      </w:r>
      <w:r>
        <w:rPr>
          <w:rStyle w:val="af9"/>
          <w:rFonts w:hint="cs"/>
          <w:rtl/>
        </w:rPr>
        <w:t xml:space="preserve"> בתי' הא'</w:t>
      </w:r>
      <w:r>
        <w:rPr>
          <w:rFonts w:hint="cs"/>
          <w:rtl/>
        </w:rPr>
        <w:t xml:space="preserve"> </w:t>
      </w:r>
      <w:r w:rsidRPr="00D52790">
        <w:rPr>
          <w:rStyle w:val="af7"/>
          <w:rFonts w:eastAsia="Guttman Hodes" w:hint="cs"/>
          <w:rtl/>
        </w:rPr>
        <w:t xml:space="preserve">(עי' אות </w:t>
      </w:r>
      <w:r w:rsidRPr="00D52790">
        <w:rPr>
          <w:rStyle w:val="af7"/>
          <w:rFonts w:eastAsia="Guttman Hodes"/>
          <w:rtl/>
        </w:rPr>
        <w:fldChar w:fldCharType="begin"/>
      </w:r>
      <w:r w:rsidRPr="00D52790">
        <w:rPr>
          <w:rStyle w:val="af7"/>
          <w:rFonts w:eastAsia="Guttman Hodes"/>
          <w:rtl/>
        </w:rPr>
        <w:instrText xml:space="preserve"> </w:instrText>
      </w:r>
      <w:r w:rsidRPr="00D52790">
        <w:rPr>
          <w:rStyle w:val="af7"/>
          <w:rFonts w:eastAsia="Guttman Hodes" w:hint="cs"/>
        </w:rPr>
        <w:instrText>REF</w:instrText>
      </w:r>
      <w:r w:rsidRPr="00D52790">
        <w:rPr>
          <w:rStyle w:val="af7"/>
          <w:rFonts w:eastAsia="Guttman Hodes" w:hint="cs"/>
          <w:rtl/>
        </w:rPr>
        <w:instrText xml:space="preserve"> _</w:instrText>
      </w:r>
      <w:r w:rsidRPr="00D52790">
        <w:rPr>
          <w:rStyle w:val="af7"/>
          <w:rFonts w:eastAsia="Guttman Hodes" w:hint="cs"/>
        </w:rPr>
        <w:instrText>Ref62811640 \r \h</w:instrText>
      </w:r>
      <w:r w:rsidRPr="00D52790">
        <w:rPr>
          <w:rStyle w:val="af7"/>
          <w:rFonts w:eastAsia="Guttman Hodes"/>
          <w:rtl/>
        </w:rPr>
        <w:instrText xml:space="preserve"> </w:instrText>
      </w:r>
      <w:r w:rsidRPr="00D52790">
        <w:rPr>
          <w:rStyle w:val="af7"/>
          <w:rFonts w:eastAsia="Guttman Hodes"/>
          <w:rtl/>
        </w:rPr>
      </w:r>
      <w:r w:rsidRPr="00D52790">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D52790">
        <w:rPr>
          <w:rStyle w:val="af7"/>
          <w:rFonts w:eastAsia="Guttman Hodes"/>
          <w:rtl/>
        </w:rPr>
        <w:fldChar w:fldCharType="end"/>
      </w:r>
      <w:r>
        <w:rPr>
          <w:rFonts w:hint="cs"/>
          <w:rtl/>
        </w:rPr>
        <w:t xml:space="preserve"> דאי"ז מיגו כיון שהוצרך לשקר בטענתו הראשונה. </w:t>
      </w:r>
      <w:r w:rsidRPr="00D52790">
        <w:rPr>
          <w:rStyle w:val="afb"/>
          <w:rFonts w:hint="cs"/>
          <w:rtl/>
        </w:rPr>
        <w:t xml:space="preserve">[ועי' במה שביאר </w:t>
      </w:r>
      <w:r w:rsidRPr="00D52790">
        <w:rPr>
          <w:rStyle w:val="affa"/>
          <w:rFonts w:hint="cs"/>
          <w:rtl/>
        </w:rPr>
        <w:t>הבית הלוי</w:t>
      </w:r>
      <w:r w:rsidRPr="00D52790">
        <w:rPr>
          <w:rStyle w:val="afb"/>
          <w:rFonts w:hint="cs"/>
          <w:rtl/>
        </w:rPr>
        <w:t xml:space="preserve"> </w:t>
      </w:r>
      <w:r w:rsidRPr="00D52790">
        <w:rPr>
          <w:rStyle w:val="aff6"/>
          <w:rFonts w:hint="cs"/>
          <w:rtl/>
        </w:rPr>
        <w:t>(ח"ג סי' ל"ג ד"ה והנה)</w:t>
      </w:r>
      <w:r w:rsidRPr="00D52790">
        <w:rPr>
          <w:rStyle w:val="afb"/>
          <w:rFonts w:hint="cs"/>
          <w:rtl/>
        </w:rPr>
        <w:t xml:space="preserve"> בדברי </w:t>
      </w:r>
      <w:r w:rsidRPr="00D52790">
        <w:rPr>
          <w:rStyle w:val="affa"/>
          <w:rFonts w:hint="cs"/>
          <w:rtl/>
        </w:rPr>
        <w:t>הריב"ם בתוס'</w:t>
      </w:r>
      <w:r w:rsidRPr="00D52790">
        <w:rPr>
          <w:rStyle w:val="afb"/>
          <w:rFonts w:hint="cs"/>
          <w:rtl/>
        </w:rPr>
        <w:t xml:space="preserve"> </w:t>
      </w:r>
      <w:r w:rsidRPr="00D52790">
        <w:rPr>
          <w:rStyle w:val="affa"/>
          <w:rFonts w:hint="cs"/>
          <w:rtl/>
        </w:rPr>
        <w:t>בב"מ</w:t>
      </w:r>
      <w:r w:rsidRPr="00D52790">
        <w:rPr>
          <w:rStyle w:val="afb"/>
          <w:rFonts w:hint="cs"/>
          <w:rtl/>
        </w:rPr>
        <w:t xml:space="preserve">, ובמה שביאר </w:t>
      </w:r>
      <w:r w:rsidRPr="00D52790">
        <w:rPr>
          <w:rStyle w:val="affa"/>
          <w:rFonts w:hint="cs"/>
          <w:rtl/>
        </w:rPr>
        <w:t>בשיעורי הגר"י מפונביז' בב"מ</w:t>
      </w:r>
      <w:r w:rsidRPr="00D52790">
        <w:rPr>
          <w:rStyle w:val="afb"/>
          <w:rFonts w:hint="cs"/>
          <w:rtl/>
        </w:rPr>
        <w:t xml:space="preserve"> </w:t>
      </w:r>
      <w:r w:rsidRPr="00D52790">
        <w:rPr>
          <w:rStyle w:val="aff6"/>
          <w:rFonts w:hint="cs"/>
          <w:rtl/>
        </w:rPr>
        <w:t>(סי' ב')</w:t>
      </w:r>
      <w:r w:rsidRPr="00D52790">
        <w:rPr>
          <w:rStyle w:val="afb"/>
          <w:rFonts w:hint="cs"/>
          <w:rtl/>
        </w:rPr>
        <w:t xml:space="preserve"> בפלוגתת רבה ורב יוסף לדברי </w:t>
      </w:r>
      <w:r w:rsidRPr="00D52790">
        <w:rPr>
          <w:rStyle w:val="affa"/>
          <w:rFonts w:hint="cs"/>
          <w:rtl/>
        </w:rPr>
        <w:t>הריב"ם בתוס' בב"מ</w:t>
      </w:r>
      <w:r w:rsidRPr="00D52790">
        <w:rPr>
          <w:rStyle w:val="afb"/>
          <w:rFonts w:hint="cs"/>
          <w:rtl/>
        </w:rPr>
        <w:t xml:space="preserve">, ובמה שביאר </w:t>
      </w:r>
      <w:r w:rsidRPr="00D52790">
        <w:rPr>
          <w:rStyle w:val="affa"/>
          <w:rFonts w:hint="cs"/>
          <w:rtl/>
        </w:rPr>
        <w:t>בחי' רבי נחום</w:t>
      </w:r>
      <w:r w:rsidRPr="00D52790">
        <w:rPr>
          <w:rStyle w:val="afb"/>
          <w:rFonts w:hint="cs"/>
          <w:rtl/>
        </w:rPr>
        <w:t xml:space="preserve"> </w:t>
      </w:r>
      <w:r w:rsidRPr="00D52790">
        <w:rPr>
          <w:rStyle w:val="aff6"/>
          <w:rFonts w:hint="cs"/>
          <w:rtl/>
        </w:rPr>
        <w:t>(או' קמ"ז ד"ה והנה)</w:t>
      </w:r>
      <w:r w:rsidRPr="00D52790">
        <w:rPr>
          <w:rStyle w:val="afb"/>
          <w:rFonts w:hint="cs"/>
          <w:rtl/>
        </w:rPr>
        <w:t xml:space="preserve"> את החילוק בין דברי </w:t>
      </w:r>
      <w:r w:rsidRPr="00D52790">
        <w:rPr>
          <w:rStyle w:val="affa"/>
          <w:rFonts w:hint="cs"/>
          <w:rtl/>
        </w:rPr>
        <w:t>הריב"ם בתוס' בב"מ</w:t>
      </w:r>
      <w:r w:rsidRPr="00D52790">
        <w:rPr>
          <w:rStyle w:val="afb"/>
          <w:rFonts w:hint="cs"/>
          <w:rtl/>
        </w:rPr>
        <w:t xml:space="preserve"> לדברי </w:t>
      </w:r>
      <w:r w:rsidRPr="00D52790">
        <w:rPr>
          <w:rStyle w:val="affa"/>
          <w:rFonts w:hint="cs"/>
          <w:rtl/>
        </w:rPr>
        <w:t>הריב"ם בתוס' בסוגיין</w:t>
      </w:r>
      <w:r w:rsidRPr="00D52790">
        <w:rPr>
          <w:rStyle w:val="afb"/>
          <w:rFonts w:hint="cs"/>
          <w:rtl/>
        </w:rPr>
        <w:t xml:space="preserve"> </w:t>
      </w:r>
      <w:r w:rsidRPr="00D52790">
        <w:rPr>
          <w:rStyle w:val="aff6"/>
          <w:rFonts w:hint="cs"/>
          <w:rtl/>
        </w:rPr>
        <w:t xml:space="preserve">(עי' אות </w:t>
      </w:r>
      <w:r w:rsidRPr="00D52790">
        <w:rPr>
          <w:rStyle w:val="aff6"/>
          <w:rtl/>
        </w:rPr>
        <w:fldChar w:fldCharType="begin"/>
      </w:r>
      <w:r w:rsidRPr="00D52790">
        <w:rPr>
          <w:rStyle w:val="aff6"/>
          <w:rtl/>
        </w:rPr>
        <w:instrText xml:space="preserve"> </w:instrText>
      </w:r>
      <w:r w:rsidRPr="00D52790">
        <w:rPr>
          <w:rStyle w:val="aff6"/>
          <w:rFonts w:hint="cs"/>
        </w:rPr>
        <w:instrText>REF</w:instrText>
      </w:r>
      <w:r w:rsidRPr="00D52790">
        <w:rPr>
          <w:rStyle w:val="aff6"/>
          <w:rFonts w:hint="cs"/>
          <w:rtl/>
        </w:rPr>
        <w:instrText xml:space="preserve"> _</w:instrText>
      </w:r>
      <w:r w:rsidRPr="00D52790">
        <w:rPr>
          <w:rStyle w:val="aff6"/>
          <w:rFonts w:hint="cs"/>
        </w:rPr>
        <w:instrText>Ref62638117 \r \h</w:instrText>
      </w:r>
      <w:r w:rsidRPr="00D52790">
        <w:rPr>
          <w:rStyle w:val="aff6"/>
          <w:rtl/>
        </w:rPr>
        <w:instrText xml:space="preserve"> </w:instrText>
      </w:r>
      <w:r w:rsidRPr="00D52790">
        <w:rPr>
          <w:rStyle w:val="aff6"/>
          <w:rtl/>
        </w:rPr>
      </w:r>
      <w:r w:rsidRPr="00D52790">
        <w:rPr>
          <w:rStyle w:val="aff6"/>
          <w:rtl/>
        </w:rPr>
        <w:fldChar w:fldCharType="separate"/>
      </w:r>
      <w:r w:rsidR="00265073">
        <w:rPr>
          <w:rStyle w:val="aff6"/>
          <w:cs/>
        </w:rPr>
        <w:t>‎</w:t>
      </w:r>
      <w:r w:rsidR="00265073">
        <w:rPr>
          <w:rStyle w:val="aff6"/>
          <w:rtl/>
        </w:rPr>
        <w:t>סג)</w:t>
      </w:r>
      <w:r w:rsidRPr="00D52790">
        <w:rPr>
          <w:rStyle w:val="aff6"/>
          <w:rtl/>
        </w:rPr>
        <w:fldChar w:fldCharType="end"/>
      </w:r>
      <w:r w:rsidRPr="00D52790">
        <w:rPr>
          <w:rStyle w:val="afb"/>
          <w:rFonts w:hint="cs"/>
          <w:rtl/>
        </w:rPr>
        <w:t xml:space="preserve">, ובמה שביאר </w:t>
      </w:r>
      <w:r w:rsidRPr="00D52790">
        <w:rPr>
          <w:rStyle w:val="affa"/>
          <w:rFonts w:hint="cs"/>
          <w:rtl/>
        </w:rPr>
        <w:t>בחי' רבי נחום</w:t>
      </w:r>
      <w:r w:rsidRPr="00D52790">
        <w:rPr>
          <w:rStyle w:val="afb"/>
          <w:rFonts w:hint="cs"/>
          <w:rtl/>
        </w:rPr>
        <w:t xml:space="preserve"> </w:t>
      </w:r>
      <w:r w:rsidRPr="00D52790">
        <w:rPr>
          <w:rStyle w:val="aff6"/>
          <w:rFonts w:hint="cs"/>
          <w:rtl/>
        </w:rPr>
        <w:t xml:space="preserve">(עי' אות </w:t>
      </w:r>
      <w:r w:rsidRPr="00D52790">
        <w:rPr>
          <w:rStyle w:val="aff6"/>
          <w:rtl/>
        </w:rPr>
        <w:fldChar w:fldCharType="begin"/>
      </w:r>
      <w:r w:rsidRPr="00D52790">
        <w:rPr>
          <w:rStyle w:val="aff6"/>
          <w:rtl/>
        </w:rPr>
        <w:instrText xml:space="preserve"> </w:instrText>
      </w:r>
      <w:r w:rsidRPr="00D52790">
        <w:rPr>
          <w:rStyle w:val="aff6"/>
          <w:rFonts w:hint="cs"/>
        </w:rPr>
        <w:instrText>REF</w:instrText>
      </w:r>
      <w:r w:rsidRPr="00D52790">
        <w:rPr>
          <w:rStyle w:val="aff6"/>
          <w:rFonts w:hint="cs"/>
          <w:rtl/>
        </w:rPr>
        <w:instrText xml:space="preserve"> _</w:instrText>
      </w:r>
      <w:r w:rsidRPr="00D52790">
        <w:rPr>
          <w:rStyle w:val="aff6"/>
          <w:rFonts w:hint="cs"/>
        </w:rPr>
        <w:instrText>Ref63247140 \r \h</w:instrText>
      </w:r>
      <w:r w:rsidRPr="00D52790">
        <w:rPr>
          <w:rStyle w:val="aff6"/>
          <w:rtl/>
        </w:rPr>
        <w:instrText xml:space="preserve"> </w:instrText>
      </w:r>
      <w:r w:rsidRPr="00D52790">
        <w:rPr>
          <w:rStyle w:val="aff6"/>
          <w:rtl/>
        </w:rPr>
      </w:r>
      <w:r w:rsidRPr="00D52790">
        <w:rPr>
          <w:rStyle w:val="aff6"/>
          <w:rtl/>
        </w:rPr>
        <w:fldChar w:fldCharType="separate"/>
      </w:r>
      <w:r w:rsidR="00265073">
        <w:rPr>
          <w:rStyle w:val="aff6"/>
          <w:cs/>
        </w:rPr>
        <w:t>‎</w:t>
      </w:r>
      <w:r w:rsidR="00265073">
        <w:rPr>
          <w:rStyle w:val="aff6"/>
          <w:rtl/>
        </w:rPr>
        <w:t>קכז)</w:t>
      </w:r>
      <w:r w:rsidRPr="00D52790">
        <w:rPr>
          <w:rStyle w:val="aff6"/>
          <w:rtl/>
        </w:rPr>
        <w:fldChar w:fldCharType="end"/>
      </w:r>
      <w:r w:rsidRPr="00D52790">
        <w:rPr>
          <w:rStyle w:val="afb"/>
          <w:rFonts w:hint="cs"/>
          <w:rtl/>
        </w:rPr>
        <w:t xml:space="preserve"> בדעת </w:t>
      </w:r>
      <w:r w:rsidRPr="00D52790">
        <w:rPr>
          <w:rStyle w:val="affa"/>
          <w:rFonts w:hint="cs"/>
          <w:rtl/>
        </w:rPr>
        <w:t>הריב"ם בתוס' בב"מ</w:t>
      </w:r>
      <w:r w:rsidRPr="00D52790">
        <w:rPr>
          <w:rStyle w:val="afb"/>
          <w:rFonts w:hint="cs"/>
          <w:rtl/>
        </w:rPr>
        <w:t xml:space="preserve"> דיסוד דין מיגו הוא מדין מ"ל לשקר].</w:t>
      </w:r>
      <w:bookmarkEnd w:id="13914"/>
    </w:p>
    <w:p w:rsidR="003B7617" w:rsidRDefault="003B7617" w:rsidP="003B7617">
      <w:pPr>
        <w:pStyle w:val="a3"/>
        <w:rPr>
          <w:rtl/>
        </w:rPr>
      </w:pPr>
      <w:bookmarkStart w:id="13915" w:name="_Toc63247761"/>
      <w:r>
        <w:rPr>
          <w:rFonts w:hint="cs"/>
          <w:rtl/>
        </w:rPr>
        <w:t>ביאור החת"ס בריב"ם בב"מ דלרב יוסף אי כיון שהוצרך לשקר לא חשיב מיגו דאי בעי שתיק</w:t>
      </w:r>
      <w:bookmarkEnd w:id="13915"/>
    </w:p>
    <w:p w:rsidR="003B7617" w:rsidRDefault="003B7617" w:rsidP="007E4E81">
      <w:pPr>
        <w:pStyle w:val="a0"/>
        <w:rPr>
          <w:rtl/>
        </w:rPr>
      </w:pPr>
      <w:r>
        <w:rPr>
          <w:rFonts w:hint="cs"/>
          <w:rtl/>
        </w:rPr>
        <w:t xml:space="preserve">וכתב </w:t>
      </w:r>
      <w:r w:rsidRPr="00690796">
        <w:rPr>
          <w:rStyle w:val="af9"/>
          <w:rFonts w:hint="cs"/>
          <w:rtl/>
        </w:rPr>
        <w:t>החת"ס</w:t>
      </w:r>
      <w:r>
        <w:rPr>
          <w:rFonts w:hint="cs"/>
          <w:rtl/>
        </w:rPr>
        <w:t xml:space="preserve"> </w:t>
      </w:r>
      <w:r w:rsidRPr="00690796">
        <w:rPr>
          <w:rStyle w:val="af7"/>
          <w:rFonts w:eastAsia="Guttman Hodes" w:hint="cs"/>
          <w:rtl/>
        </w:rPr>
        <w:t xml:space="preserve">(סוד"ה אמאי) </w:t>
      </w:r>
      <w:r>
        <w:rPr>
          <w:rFonts w:hint="cs"/>
          <w:rtl/>
        </w:rPr>
        <w:t>דמבואר מדברי</w:t>
      </w:r>
      <w:r w:rsidRPr="00B26DF6">
        <w:rPr>
          <w:rStyle w:val="af9"/>
          <w:rFonts w:hint="cs"/>
          <w:rtl/>
        </w:rPr>
        <w:t xml:space="preserve"> </w:t>
      </w:r>
      <w:r w:rsidRPr="00D46B9B">
        <w:rPr>
          <w:rStyle w:val="af9"/>
          <w:rFonts w:hint="cs"/>
          <w:rtl/>
        </w:rPr>
        <w:t>הריב"ם בתוס' בב"מ</w:t>
      </w:r>
      <w:r>
        <w:rPr>
          <w:rFonts w:hint="cs"/>
          <w:rtl/>
        </w:rPr>
        <w:t xml:space="preserve"> </w:t>
      </w:r>
      <w:r w:rsidRPr="005D704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Ref63160452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Pr>
          <w:rStyle w:val="af7"/>
          <w:rFonts w:eastAsia="Guttman Hodes"/>
          <w:rtl/>
        </w:rPr>
        <w:fldChar w:fldCharType="end"/>
      </w:r>
      <w:r>
        <w:rPr>
          <w:rFonts w:hint="cs"/>
          <w:rtl/>
        </w:rPr>
        <w:t xml:space="preserve"> דבין לרבה ובין לרב יוסף מיגו להוציא לא אמרינן, ומיגו דאי בעי שתיק מהני אף במיגו להוציא, ונחלקו רבה ורב יוסף הכא דאחר שאמר והא שטרא, היה יכול לשתוק, דלרבה חשיב כמיגו דאי בעי שתיק, ונאמן אף במיגו להוציא, ולרב יוסף כיון שהוצרך לשקר בתחילה לא חשיב כמיגו דאי בעי שתיק, ולא אמרינן בכה"ג מיגו להוציא, וביאור דברי רב יוסף דהשטר הוא חספא בעלמא, היינו כדביאר </w:t>
      </w:r>
      <w:r w:rsidRPr="004A49D8">
        <w:rPr>
          <w:rStyle w:val="af9"/>
          <w:rFonts w:hint="cs"/>
          <w:rtl/>
        </w:rPr>
        <w:t>ר"י בתוס'</w:t>
      </w:r>
      <w:r>
        <w:rPr>
          <w:rStyle w:val="af9"/>
          <w:rFonts w:hint="cs"/>
          <w:rtl/>
        </w:rPr>
        <w:t xml:space="preserve"> בתי' הא'</w:t>
      </w:r>
      <w:r>
        <w:rPr>
          <w:rFonts w:hint="cs"/>
          <w:rtl/>
        </w:rPr>
        <w:t xml:space="preserve"> </w:t>
      </w:r>
      <w:r w:rsidRPr="001A1E12">
        <w:rPr>
          <w:rStyle w:val="af7"/>
          <w:rFonts w:eastAsia="Guttman Hodes" w:hint="cs"/>
          <w:rtl/>
        </w:rPr>
        <w:t xml:space="preserve">(עי' אות </w:t>
      </w:r>
      <w:r w:rsidRPr="001A1E12">
        <w:rPr>
          <w:rStyle w:val="af7"/>
          <w:rFonts w:eastAsia="Guttman Hodes"/>
          <w:rtl/>
        </w:rPr>
        <w:fldChar w:fldCharType="begin"/>
      </w:r>
      <w:r w:rsidRPr="001A1E12">
        <w:rPr>
          <w:rStyle w:val="af7"/>
          <w:rFonts w:eastAsia="Guttman Hodes"/>
          <w:rtl/>
        </w:rPr>
        <w:instrText xml:space="preserve"> </w:instrText>
      </w:r>
      <w:r w:rsidRPr="001A1E12">
        <w:rPr>
          <w:rStyle w:val="af7"/>
          <w:rFonts w:eastAsia="Guttman Hodes" w:hint="cs"/>
        </w:rPr>
        <w:instrText>REF</w:instrText>
      </w:r>
      <w:r w:rsidRPr="001A1E12">
        <w:rPr>
          <w:rStyle w:val="af7"/>
          <w:rFonts w:eastAsia="Guttman Hodes" w:hint="cs"/>
          <w:rtl/>
        </w:rPr>
        <w:instrText xml:space="preserve"> _</w:instrText>
      </w:r>
      <w:r w:rsidRPr="001A1E12">
        <w:rPr>
          <w:rStyle w:val="af7"/>
          <w:rFonts w:eastAsia="Guttman Hodes" w:hint="cs"/>
        </w:rPr>
        <w:instrText>Ref62811640 \r \h</w:instrText>
      </w:r>
      <w:r w:rsidRPr="001A1E12">
        <w:rPr>
          <w:rStyle w:val="af7"/>
          <w:rFonts w:eastAsia="Guttman Hodes"/>
          <w:rtl/>
        </w:rPr>
        <w:instrText xml:space="preserve"> </w:instrText>
      </w:r>
      <w:r w:rsidRPr="001A1E12">
        <w:rPr>
          <w:rStyle w:val="af7"/>
          <w:rFonts w:eastAsia="Guttman Hodes"/>
          <w:rtl/>
        </w:rPr>
      </w:r>
      <w:r w:rsidRPr="001A1E12">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1A1E12">
        <w:rPr>
          <w:rStyle w:val="af7"/>
          <w:rFonts w:eastAsia="Guttman Hodes"/>
          <w:rtl/>
        </w:rPr>
        <w:fldChar w:fldCharType="end"/>
      </w:r>
      <w:r>
        <w:rPr>
          <w:rFonts w:hint="cs"/>
          <w:rtl/>
        </w:rPr>
        <w:t xml:space="preserve"> דאי"ז מיגו כיון שהוצרך לשקר בטענתו הראשונה, אך כתב </w:t>
      </w:r>
      <w:r w:rsidRPr="002915BD">
        <w:rPr>
          <w:rStyle w:val="af9"/>
          <w:rFonts w:hint="cs"/>
          <w:rtl/>
        </w:rPr>
        <w:t>החת"ס</w:t>
      </w:r>
      <w:r>
        <w:rPr>
          <w:rFonts w:hint="cs"/>
          <w:rtl/>
        </w:rPr>
        <w:t xml:space="preserve"> דלפי"ז עיקר סברת רב יוסף חסרה מהספר, וכתב </w:t>
      </w:r>
      <w:r w:rsidRPr="00690796">
        <w:rPr>
          <w:rStyle w:val="af9"/>
          <w:rFonts w:hint="cs"/>
          <w:rtl/>
        </w:rPr>
        <w:t>החת"ס</w:t>
      </w:r>
      <w:r>
        <w:rPr>
          <w:rFonts w:hint="cs"/>
          <w:rtl/>
        </w:rPr>
        <w:t xml:space="preserve"> דלכן </w:t>
      </w:r>
      <w:r w:rsidRPr="004A49D8">
        <w:rPr>
          <w:rStyle w:val="af9"/>
          <w:rFonts w:hint="cs"/>
          <w:rtl/>
        </w:rPr>
        <w:t>ר"י בתוס'</w:t>
      </w:r>
      <w:r>
        <w:rPr>
          <w:rStyle w:val="af9"/>
          <w:rFonts w:hint="cs"/>
          <w:rtl/>
        </w:rPr>
        <w:t xml:space="preserve"> בתי' הא'</w:t>
      </w:r>
      <w:r>
        <w:rPr>
          <w:rFonts w:hint="cs"/>
          <w:rtl/>
        </w:rPr>
        <w:t xml:space="preserve"> ביאר דלא מהני מיגו כשהוצרך לשקר אף כשהוא מיגו להחזיק, ודלא כדברי </w:t>
      </w:r>
      <w:r w:rsidRPr="00D46B9B">
        <w:rPr>
          <w:rStyle w:val="af9"/>
          <w:rFonts w:hint="cs"/>
          <w:rtl/>
        </w:rPr>
        <w:t>הריב"ם בתוס' בב"מ</w:t>
      </w:r>
      <w:r>
        <w:rPr>
          <w:rFonts w:hint="cs"/>
          <w:rtl/>
        </w:rPr>
        <w:t>.</w:t>
      </w:r>
    </w:p>
    <w:p w:rsidR="003B7617" w:rsidRDefault="003B7617" w:rsidP="003B7617">
      <w:pPr>
        <w:pStyle w:val="a3"/>
        <w:rPr>
          <w:rtl/>
        </w:rPr>
      </w:pPr>
      <w:bookmarkStart w:id="13916" w:name="_Toc63247762"/>
      <w:r>
        <w:rPr>
          <w:rFonts w:hint="cs"/>
          <w:rtl/>
        </w:rPr>
        <w:t>ציון הגרעק"א למשמעות דברי התוס' בב"מ דלרבה מהני מיגו להוציא</w:t>
      </w:r>
      <w:bookmarkEnd w:id="13916"/>
    </w:p>
    <w:p w:rsidR="003B7617" w:rsidRDefault="003B7617" w:rsidP="007E4E81">
      <w:pPr>
        <w:pStyle w:val="a0"/>
        <w:rPr>
          <w:rStyle w:val="afb"/>
          <w:rtl/>
        </w:rPr>
      </w:pPr>
      <w:r>
        <w:rPr>
          <w:rFonts w:hint="cs"/>
          <w:rtl/>
        </w:rPr>
        <w:t xml:space="preserve">ועי' </w:t>
      </w:r>
      <w:r w:rsidRPr="0059749D">
        <w:rPr>
          <w:rStyle w:val="af9"/>
          <w:rFonts w:hint="cs"/>
          <w:rtl/>
        </w:rPr>
        <w:t>בגרעק"א בגלהש"ס</w:t>
      </w:r>
      <w:r>
        <w:rPr>
          <w:rFonts w:hint="cs"/>
          <w:rtl/>
        </w:rPr>
        <w:t xml:space="preserve"> בב"מ </w:t>
      </w:r>
      <w:r w:rsidRPr="0059749D">
        <w:rPr>
          <w:rStyle w:val="af7"/>
          <w:rFonts w:eastAsia="Guttman Hodes" w:hint="cs"/>
          <w:rtl/>
        </w:rPr>
        <w:t>(ב.)</w:t>
      </w:r>
      <w:r>
        <w:rPr>
          <w:rFonts w:hint="cs"/>
          <w:rtl/>
        </w:rPr>
        <w:t xml:space="preserve"> דעל מ"ש </w:t>
      </w:r>
      <w:r w:rsidRPr="00D46B9B">
        <w:rPr>
          <w:rStyle w:val="af9"/>
          <w:rFonts w:hint="cs"/>
          <w:rtl/>
        </w:rPr>
        <w:t>הריב"ם בתוס' בב"מ</w:t>
      </w:r>
      <w:r>
        <w:rPr>
          <w:rFonts w:hint="cs"/>
          <w:rtl/>
        </w:rPr>
        <w:t xml:space="preserve"> </w:t>
      </w:r>
      <w:r w:rsidRPr="0059749D">
        <w:rPr>
          <w:rStyle w:val="af7"/>
          <w:rFonts w:eastAsia="Guttman Hodes" w:hint="cs"/>
          <w:rtl/>
        </w:rPr>
        <w:t xml:space="preserve">(עי' אות </w:t>
      </w:r>
      <w:r w:rsidRPr="0059749D">
        <w:rPr>
          <w:rStyle w:val="af7"/>
          <w:rFonts w:eastAsia="Guttman Hodes"/>
          <w:rtl/>
        </w:rPr>
        <w:fldChar w:fldCharType="begin"/>
      </w:r>
      <w:r w:rsidRPr="0059749D">
        <w:rPr>
          <w:rStyle w:val="af7"/>
          <w:rFonts w:eastAsia="Guttman Hodes"/>
          <w:rtl/>
        </w:rPr>
        <w:instrText xml:space="preserve"> </w:instrText>
      </w:r>
      <w:r w:rsidRPr="0059749D">
        <w:rPr>
          <w:rStyle w:val="af7"/>
          <w:rFonts w:eastAsia="Guttman Hodes" w:hint="cs"/>
        </w:rPr>
        <w:instrText>REF</w:instrText>
      </w:r>
      <w:r w:rsidRPr="0059749D">
        <w:rPr>
          <w:rStyle w:val="af7"/>
          <w:rFonts w:eastAsia="Guttman Hodes" w:hint="cs"/>
          <w:rtl/>
        </w:rPr>
        <w:instrText xml:space="preserve"> _</w:instrText>
      </w:r>
      <w:r w:rsidRPr="0059749D">
        <w:rPr>
          <w:rStyle w:val="af7"/>
          <w:rFonts w:eastAsia="Guttman Hodes" w:hint="cs"/>
        </w:rPr>
        <w:instrText>Ref63160452 \r \h</w:instrText>
      </w:r>
      <w:r w:rsidRPr="0059749D">
        <w:rPr>
          <w:rStyle w:val="af7"/>
          <w:rFonts w:eastAsia="Guttman Hodes"/>
          <w:rtl/>
        </w:rPr>
        <w:instrText xml:space="preserve"> </w:instrText>
      </w:r>
      <w:r w:rsidRPr="0059749D">
        <w:rPr>
          <w:rStyle w:val="af7"/>
          <w:rFonts w:eastAsia="Guttman Hodes"/>
          <w:rtl/>
        </w:rPr>
      </w:r>
      <w:r w:rsidRPr="0059749D">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sidRPr="0059749D">
        <w:rPr>
          <w:rStyle w:val="af7"/>
          <w:rFonts w:eastAsia="Guttman Hodes"/>
          <w:rtl/>
        </w:rPr>
        <w:fldChar w:fldCharType="end"/>
      </w:r>
      <w:r>
        <w:rPr>
          <w:rFonts w:hint="cs"/>
          <w:rtl/>
        </w:rPr>
        <w:t xml:space="preserve"> דלרבה נאמן כיון שהוא מיגו דאי בעי שתיק, ציין </w:t>
      </w:r>
      <w:r w:rsidRPr="0059749D">
        <w:rPr>
          <w:rStyle w:val="af9"/>
          <w:rFonts w:hint="cs"/>
          <w:rtl/>
        </w:rPr>
        <w:t>הגרעק"א</w:t>
      </w:r>
      <w:r>
        <w:rPr>
          <w:rFonts w:hint="cs"/>
          <w:rtl/>
        </w:rPr>
        <w:t xml:space="preserve"> לדברי </w:t>
      </w:r>
      <w:r>
        <w:rPr>
          <w:rStyle w:val="af9"/>
          <w:rFonts w:hint="cs"/>
          <w:rtl/>
        </w:rPr>
        <w:t>ה</w:t>
      </w:r>
      <w:r w:rsidRPr="002915BD">
        <w:rPr>
          <w:rStyle w:val="af9"/>
          <w:rFonts w:hint="cs"/>
          <w:rtl/>
        </w:rPr>
        <w:t>תוס' בב"מ</w:t>
      </w:r>
      <w:r>
        <w:rPr>
          <w:rFonts w:hint="cs"/>
          <w:rtl/>
        </w:rPr>
        <w:t xml:space="preserve"> </w:t>
      </w:r>
      <w:r w:rsidRPr="002915BD">
        <w:rPr>
          <w:rStyle w:val="af7"/>
          <w:rFonts w:eastAsia="Guttman Hodes" w:hint="cs"/>
          <w:rtl/>
        </w:rPr>
        <w:t>(קטז. סוד"ה והא)</w:t>
      </w:r>
      <w:r>
        <w:rPr>
          <w:rFonts w:hint="cs"/>
          <w:rtl/>
        </w:rPr>
        <w:t xml:space="preserve"> דכתב דיש מ"ד בסוגיין </w:t>
      </w:r>
      <w:r w:rsidRPr="002915BD">
        <w:rPr>
          <w:rStyle w:val="afb"/>
          <w:rFonts w:hint="cs"/>
          <w:rtl/>
        </w:rPr>
        <w:t>[רבה]</w:t>
      </w:r>
      <w:r>
        <w:rPr>
          <w:rFonts w:hint="cs"/>
          <w:rtl/>
        </w:rPr>
        <w:t xml:space="preserve"> דס"ל דאמרינן מיגו להוציא. </w:t>
      </w:r>
      <w:r w:rsidRPr="002915BD">
        <w:rPr>
          <w:rStyle w:val="afb"/>
          <w:rFonts w:hint="cs"/>
          <w:rtl/>
        </w:rPr>
        <w:t>[והיינו דס"ל דרבה ורב יוסף נחלקו אי אמרינן מיגו להוציא].</w:t>
      </w:r>
    </w:p>
    <w:p w:rsidR="003B7617" w:rsidRDefault="003B7617" w:rsidP="003B7617">
      <w:pPr>
        <w:pStyle w:val="1"/>
        <w:rPr>
          <w:rtl/>
        </w:rPr>
      </w:pPr>
      <w:bookmarkStart w:id="13917" w:name="_Toc63111473"/>
      <w:bookmarkStart w:id="13918" w:name="_Toc63163524"/>
      <w:bookmarkStart w:id="13919" w:name="_Toc63188797"/>
      <w:bookmarkStart w:id="13920" w:name="_Toc63247763"/>
      <w:bookmarkStart w:id="13921" w:name="_Toc63111474"/>
      <w:r>
        <w:rPr>
          <w:rFonts w:hint="cs"/>
          <w:rtl/>
        </w:rPr>
        <w:t>דברי הר"י מגאש דלהלכה קיי"ל דמיגו להוציא לא אמרינן</w:t>
      </w:r>
      <w:bookmarkEnd w:id="13917"/>
      <w:bookmarkEnd w:id="13918"/>
      <w:bookmarkEnd w:id="13919"/>
      <w:bookmarkEnd w:id="13920"/>
    </w:p>
    <w:p w:rsidR="003B7617" w:rsidRDefault="003B7617" w:rsidP="003B7617">
      <w:pPr>
        <w:pStyle w:val="a3"/>
        <w:rPr>
          <w:rtl/>
        </w:rPr>
      </w:pPr>
      <w:bookmarkStart w:id="13922" w:name="_Toc63247764"/>
      <w:r>
        <w:rPr>
          <w:rFonts w:hint="cs"/>
          <w:rtl/>
        </w:rPr>
        <w:t>דברי הר"י מגאש דקיי"ל כרבה בארעא וכרב יוסף בזוזי דמיגו להוציא ל"מ והקרקע תח"י</w:t>
      </w:r>
      <w:bookmarkEnd w:id="13922"/>
    </w:p>
    <w:p w:rsidR="003B7617" w:rsidRDefault="003B7617" w:rsidP="007E4E81">
      <w:pPr>
        <w:pStyle w:val="a0"/>
      </w:pPr>
      <w:bookmarkStart w:id="13923" w:name="_Ref63185874"/>
      <w:r>
        <w:rPr>
          <w:rFonts w:hint="cs"/>
          <w:rtl/>
        </w:rPr>
        <w:t xml:space="preserve">כתב </w:t>
      </w:r>
      <w:r w:rsidRPr="00990E93">
        <w:rPr>
          <w:rStyle w:val="af9"/>
          <w:rFonts w:hint="cs"/>
          <w:rtl/>
        </w:rPr>
        <w:t>הר"י מגאש</w:t>
      </w:r>
      <w:r>
        <w:rPr>
          <w:rFonts w:hint="cs"/>
          <w:rtl/>
        </w:rPr>
        <w:t xml:space="preserve"> </w:t>
      </w:r>
      <w:r w:rsidRPr="007109D9">
        <w:rPr>
          <w:rStyle w:val="af7"/>
          <w:rFonts w:eastAsia="Guttman Hodes" w:hint="cs"/>
          <w:rtl/>
        </w:rPr>
        <w:t>(לב. ד"ה אנן אחתיניה)</w:t>
      </w:r>
      <w:r>
        <w:rPr>
          <w:rFonts w:hint="cs"/>
          <w:rtl/>
        </w:rPr>
        <w:t xml:space="preserve"> דהא דקיי"ל כרבה בארעא וכרב יוסף בזוזי, הוא כיון הוא דהא דנאמן במיגו בטענה שטוען, אף שאין לו ראיה, היינו דוקא במה שתחת ידו דאין מוציאין ממנו, אבל במה שאינו תחת ידו, והוא בא להוציאו מאחר בלא ראיה, אינו נאמן במיגו, דלא אמרינן מיגו להוציא, וביאר </w:t>
      </w:r>
      <w:r w:rsidRPr="00990E93">
        <w:rPr>
          <w:rStyle w:val="af9"/>
          <w:rFonts w:hint="cs"/>
          <w:rtl/>
        </w:rPr>
        <w:t>הר"י מגאש</w:t>
      </w:r>
      <w:r>
        <w:rPr>
          <w:rFonts w:hint="cs"/>
          <w:rtl/>
        </w:rPr>
        <w:t xml:space="preserve"> דלכן בקרקע </w:t>
      </w:r>
      <w:r>
        <w:rPr>
          <w:rFonts w:hint="cs"/>
          <w:rtl/>
        </w:rPr>
        <w:lastRenderedPageBreak/>
        <w:t>שהיא תחת ידו קיי"ל כרבה דנאמן במיגו להחזיקה בידו, ובזוזי שאינם תחת ידו קיי"ל כרב יוסף דאינו נאמן במיגו להוציאם מאחר</w:t>
      </w:r>
      <w:bookmarkStart w:id="13924" w:name="_Ref63247982"/>
      <w:r>
        <w:rPr>
          <w:rStyle w:val="af1"/>
          <w:rtl/>
        </w:rPr>
        <w:footnoteReference w:id="96"/>
      </w:r>
      <w:bookmarkEnd w:id="13924"/>
      <w:r>
        <w:rPr>
          <w:rFonts w:hint="cs"/>
          <w:rtl/>
        </w:rPr>
        <w:t>.</w:t>
      </w:r>
      <w:bookmarkEnd w:id="13923"/>
    </w:p>
    <w:p w:rsidR="003B7617" w:rsidRDefault="003B7617" w:rsidP="003B7617">
      <w:pPr>
        <w:pStyle w:val="a3"/>
        <w:rPr>
          <w:rtl/>
        </w:rPr>
      </w:pPr>
      <w:bookmarkStart w:id="13925" w:name="_Toc63163525"/>
      <w:bookmarkStart w:id="13926" w:name="_Toc63188798"/>
      <w:bookmarkStart w:id="13927" w:name="_Toc63247765"/>
      <w:r>
        <w:rPr>
          <w:rFonts w:hint="cs"/>
          <w:rtl/>
        </w:rPr>
        <w:t>דברי היד רמ"ה דל"מ מיגו להוציא מהמחזיק שהקרקע בידו אעפ"י דקרקע בחזקת בעליה</w:t>
      </w:r>
      <w:bookmarkEnd w:id="13921"/>
      <w:bookmarkEnd w:id="13925"/>
      <w:bookmarkEnd w:id="13926"/>
      <w:bookmarkEnd w:id="13927"/>
    </w:p>
    <w:p w:rsidR="003B7617" w:rsidRDefault="003B7617" w:rsidP="007E4E81">
      <w:pPr>
        <w:pStyle w:val="a0"/>
        <w:rPr>
          <w:rStyle w:val="afb"/>
          <w:rtl/>
        </w:rPr>
      </w:pPr>
      <w:bookmarkStart w:id="13928" w:name="_Toc62819907"/>
      <w:r>
        <w:rPr>
          <w:rFonts w:hint="cs"/>
          <w:rtl/>
        </w:rPr>
        <w:t xml:space="preserve">וכ"כ </w:t>
      </w:r>
      <w:r w:rsidRPr="00E8521C">
        <w:rPr>
          <w:rStyle w:val="af9"/>
          <w:rFonts w:hint="cs"/>
          <w:rtl/>
        </w:rPr>
        <w:t>היד רמ"ה</w:t>
      </w:r>
      <w:r>
        <w:rPr>
          <w:rFonts w:hint="cs"/>
          <w:rtl/>
        </w:rPr>
        <w:t xml:space="preserve"> </w:t>
      </w:r>
      <w:r w:rsidRPr="00E8521C">
        <w:rPr>
          <w:rStyle w:val="af7"/>
          <w:rFonts w:eastAsia="Guttman Hodes" w:hint="cs"/>
          <w:rtl/>
        </w:rPr>
        <w:t>(או' מ"ח ד"ה מהא)</w:t>
      </w:r>
      <w:r>
        <w:rPr>
          <w:rFonts w:hint="cs"/>
          <w:rtl/>
        </w:rPr>
        <w:t xml:space="preserve"> דמהא דאמר רב אידי בר אבין דאעפ"י דאיירי בשטר אמנה שיכול המחזיק לקיימו, ויש למחזיק מיגו טוב, מ"מ קיי"ל כרב יוסף בזוזי, א"כ מוכח דכל שאין לו ראיה לא אמרינן מיגו להוציא, ומעמידים את הממון במקום שהוא נמצא, וכתב </w:t>
      </w:r>
      <w:r w:rsidRPr="00E8521C">
        <w:rPr>
          <w:rStyle w:val="af9"/>
          <w:rFonts w:hint="cs"/>
          <w:rtl/>
        </w:rPr>
        <w:t>היד רמ"ה</w:t>
      </w:r>
      <w:r>
        <w:rPr>
          <w:rFonts w:hint="cs"/>
          <w:rtl/>
        </w:rPr>
        <w:t xml:space="preserve"> דאף בקרקע שהיא בחזקת בעליה, וא"כ המחזיק שיש לו שטר חשיב כמוציא ועליו להביא ראיה, מ"מ מעמידים את הקרקע ביד מי שהיא נמצאת, אעפ"י שהיא ביד המחזיק שאין לו ראיה ויש לו רק מיגו. </w:t>
      </w:r>
      <w:r w:rsidRPr="00E8521C">
        <w:rPr>
          <w:rStyle w:val="afb"/>
          <w:rFonts w:hint="cs"/>
          <w:rtl/>
        </w:rPr>
        <w:t>[והיינו דאעפ"י דהוא מיגו להוציא מהמוחזק, מ"מ כיון שאינו מוציא ממי שהקרקע בידו מהני המיגו].</w:t>
      </w:r>
    </w:p>
    <w:p w:rsidR="003B7617" w:rsidRDefault="003B7617" w:rsidP="003B7617">
      <w:pPr>
        <w:pStyle w:val="a3"/>
        <w:rPr>
          <w:rtl/>
        </w:rPr>
      </w:pPr>
      <w:bookmarkStart w:id="13929" w:name="_Toc63247766"/>
      <w:bookmarkEnd w:id="13928"/>
      <w:r>
        <w:rPr>
          <w:rFonts w:hint="cs"/>
          <w:rtl/>
        </w:rPr>
        <w:t>דחיית ר"י והראשונים דלא משמע בגמ' דטעמא דרב יוסף הוא דלא מהני מיגו להוציא</w:t>
      </w:r>
      <w:bookmarkEnd w:id="13929"/>
    </w:p>
    <w:p w:rsidR="003B7617" w:rsidRDefault="003B7617" w:rsidP="007E4E81">
      <w:pPr>
        <w:pStyle w:val="a0"/>
        <w:rPr>
          <w:rtl/>
        </w:rPr>
      </w:pPr>
      <w:bookmarkStart w:id="13930" w:name="_Ref63013680"/>
      <w:bookmarkStart w:id="13931" w:name="_Ref63245664"/>
      <w:r>
        <w:rPr>
          <w:rFonts w:hint="cs"/>
          <w:rtl/>
        </w:rPr>
        <w:t xml:space="preserve">אך הקשו </w:t>
      </w:r>
      <w:r w:rsidRPr="00BC1818">
        <w:rPr>
          <w:rStyle w:val="af9"/>
          <w:rFonts w:hint="cs"/>
          <w:rtl/>
        </w:rPr>
        <w:t>ר"י בתוס'</w:t>
      </w:r>
      <w:r>
        <w:rPr>
          <w:rFonts w:hint="cs"/>
          <w:rtl/>
        </w:rPr>
        <w:t xml:space="preserve"> </w:t>
      </w:r>
      <w:r w:rsidRPr="00021171">
        <w:rPr>
          <w:rStyle w:val="af7"/>
          <w:rFonts w:eastAsia="Guttman Hodes" w:hint="cs"/>
          <w:rtl/>
        </w:rPr>
        <w:t>(ד"ה אמאי)</w:t>
      </w:r>
      <w:r>
        <w:rPr>
          <w:rFonts w:hint="cs"/>
          <w:rtl/>
        </w:rPr>
        <w:t xml:space="preserve"> </w:t>
      </w:r>
      <w:r>
        <w:rPr>
          <w:rStyle w:val="af9"/>
          <w:rFonts w:hint="cs"/>
          <w:rtl/>
        </w:rPr>
        <w:t>והרא"ש</w:t>
      </w:r>
      <w:r>
        <w:rPr>
          <w:rFonts w:hint="cs"/>
          <w:rtl/>
        </w:rPr>
        <w:t xml:space="preserve"> </w:t>
      </w:r>
      <w:r w:rsidRPr="00021171">
        <w:rPr>
          <w:rStyle w:val="af7"/>
          <w:rFonts w:eastAsia="Guttman Hodes" w:hint="cs"/>
          <w:rtl/>
        </w:rPr>
        <w:t>(סי' י"ג)</w:t>
      </w:r>
      <w:r>
        <w:rPr>
          <w:rFonts w:hint="cs"/>
          <w:rtl/>
        </w:rPr>
        <w:t xml:space="preserve"> על דברי</w:t>
      </w:r>
      <w:r w:rsidRPr="00BC1818">
        <w:rPr>
          <w:rStyle w:val="af9"/>
          <w:rFonts w:hint="cs"/>
          <w:rtl/>
        </w:rPr>
        <w:t xml:space="preserve"> הריב"ם </w:t>
      </w:r>
      <w:r w:rsidRPr="00021171">
        <w:rPr>
          <w:rStyle w:val="af7"/>
          <w:rFonts w:eastAsia="Guttman Hodes" w:hint="cs"/>
          <w:rtl/>
        </w:rPr>
        <w:t xml:space="preserve">(עי' אות </w:t>
      </w:r>
      <w:r w:rsidRPr="00021171">
        <w:rPr>
          <w:rStyle w:val="af7"/>
          <w:rFonts w:eastAsia="Guttman Hodes"/>
          <w:rtl/>
        </w:rPr>
        <w:fldChar w:fldCharType="begin"/>
      </w:r>
      <w:r w:rsidRPr="00021171">
        <w:rPr>
          <w:rStyle w:val="af7"/>
          <w:rFonts w:eastAsia="Guttman Hodes"/>
          <w:rtl/>
        </w:rPr>
        <w:instrText xml:space="preserve"> </w:instrText>
      </w:r>
      <w:r w:rsidRPr="00021171">
        <w:rPr>
          <w:rStyle w:val="af7"/>
          <w:rFonts w:eastAsia="Guttman Hodes" w:hint="cs"/>
        </w:rPr>
        <w:instrText>REF</w:instrText>
      </w:r>
      <w:r w:rsidRPr="00021171">
        <w:rPr>
          <w:rStyle w:val="af7"/>
          <w:rFonts w:eastAsia="Guttman Hodes" w:hint="cs"/>
          <w:rtl/>
        </w:rPr>
        <w:instrText xml:space="preserve"> _</w:instrText>
      </w:r>
      <w:r w:rsidRPr="00021171">
        <w:rPr>
          <w:rStyle w:val="af7"/>
          <w:rFonts w:eastAsia="Guttman Hodes" w:hint="cs"/>
        </w:rPr>
        <w:instrText>Ref62638117 \r \h</w:instrText>
      </w:r>
      <w:r w:rsidRPr="00021171">
        <w:rPr>
          <w:rStyle w:val="af7"/>
          <w:rFonts w:eastAsia="Guttman Hodes"/>
          <w:rtl/>
        </w:rPr>
        <w:instrText xml:space="preserve">  \* </w:instrText>
      </w:r>
      <w:r w:rsidRPr="00021171">
        <w:rPr>
          <w:rStyle w:val="af7"/>
          <w:rFonts w:eastAsia="Guttman Hodes"/>
        </w:rPr>
        <w:instrText>MERGEFORMAT</w:instrText>
      </w:r>
      <w:r w:rsidRPr="00021171">
        <w:rPr>
          <w:rStyle w:val="af7"/>
          <w:rFonts w:eastAsia="Guttman Hodes"/>
          <w:rtl/>
        </w:rPr>
        <w:instrText xml:space="preserve"> </w:instrText>
      </w:r>
      <w:r w:rsidRPr="00021171">
        <w:rPr>
          <w:rStyle w:val="af7"/>
          <w:rFonts w:eastAsia="Guttman Hodes"/>
          <w:rtl/>
        </w:rPr>
      </w:r>
      <w:r w:rsidRPr="00021171">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021171">
        <w:rPr>
          <w:rStyle w:val="af7"/>
          <w:rFonts w:eastAsia="Guttman Hodes"/>
          <w:rtl/>
        </w:rPr>
        <w:fldChar w:fldCharType="end"/>
      </w:r>
      <w:r>
        <w:rPr>
          <w:rFonts w:hint="cs"/>
          <w:rtl/>
        </w:rPr>
        <w:t xml:space="preserve"> דביאר דלרב יוסף לא מהני מיגו, כיון שהוא מיגו להוציא, דמלא פירשה הגמ' בהדיא דאינו נאמן מחמת דהוא מיגו להוציא משמע שאי"ז סברת רב יוסף,</w:t>
      </w:r>
      <w:bookmarkEnd w:id="13930"/>
      <w:r>
        <w:rPr>
          <w:rFonts w:hint="cs"/>
          <w:rtl/>
        </w:rPr>
        <w:t xml:space="preserve"> וכן הקשו </w:t>
      </w:r>
      <w:r w:rsidRPr="00B8474F">
        <w:rPr>
          <w:rStyle w:val="af9"/>
          <w:rFonts w:hint="cs"/>
          <w:rtl/>
        </w:rPr>
        <w:t xml:space="preserve">רבינו יונה </w:t>
      </w:r>
      <w:r w:rsidRPr="00021171">
        <w:rPr>
          <w:rStyle w:val="af7"/>
          <w:rFonts w:eastAsia="Guttman Hodes" w:hint="cs"/>
          <w:rtl/>
        </w:rPr>
        <w:t>(ד"ה אמר רבא)</w:t>
      </w:r>
      <w:r>
        <w:rPr>
          <w:rFonts w:hint="cs"/>
          <w:rtl/>
        </w:rPr>
        <w:t xml:space="preserve"> </w:t>
      </w:r>
      <w:r w:rsidRPr="001851EC">
        <w:rPr>
          <w:rStyle w:val="af9"/>
          <w:rFonts w:hint="cs"/>
          <w:rtl/>
        </w:rPr>
        <w:t>ו</w:t>
      </w:r>
      <w:r w:rsidRPr="0039258F">
        <w:rPr>
          <w:rStyle w:val="af9"/>
          <w:rFonts w:hint="cs"/>
          <w:rtl/>
        </w:rPr>
        <w:t>הרשב"א</w:t>
      </w:r>
      <w:r>
        <w:rPr>
          <w:rFonts w:hint="cs"/>
          <w:rtl/>
        </w:rPr>
        <w:t xml:space="preserve"> </w:t>
      </w:r>
      <w:r w:rsidRPr="00021171">
        <w:rPr>
          <w:rStyle w:val="af7"/>
          <w:rFonts w:eastAsia="Guttman Hodes" w:hint="cs"/>
          <w:rtl/>
        </w:rPr>
        <w:t>(ד"ה ובין כך)</w:t>
      </w:r>
      <w:r>
        <w:rPr>
          <w:rFonts w:hint="cs"/>
          <w:rtl/>
        </w:rPr>
        <w:t xml:space="preserve"> </w:t>
      </w:r>
      <w:r>
        <w:rPr>
          <w:rStyle w:val="af9"/>
          <w:rFonts w:hint="cs"/>
          <w:rtl/>
        </w:rPr>
        <w:t>ו</w:t>
      </w:r>
      <w:r w:rsidRPr="00191EAA">
        <w:rPr>
          <w:rStyle w:val="af9"/>
          <w:rFonts w:hint="cs"/>
          <w:rtl/>
        </w:rPr>
        <w:t xml:space="preserve">בפסקי הרי"ד </w:t>
      </w:r>
      <w:r w:rsidRPr="00021171">
        <w:rPr>
          <w:rStyle w:val="af7"/>
          <w:rFonts w:eastAsia="Guttman Hodes" w:hint="cs"/>
          <w:rtl/>
        </w:rPr>
        <w:t>(ד"ה ורבי' יוסף, הועתק בקובץ שיטות קמאי ב"ב ח"א עמ' תשס"ח)</w:t>
      </w:r>
      <w:r>
        <w:rPr>
          <w:rFonts w:hint="cs"/>
          <w:rtl/>
        </w:rPr>
        <w:t xml:space="preserve"> על דברי </w:t>
      </w:r>
      <w:r w:rsidRPr="00021171">
        <w:rPr>
          <w:rFonts w:hint="cs"/>
          <w:b/>
          <w:bCs/>
          <w:rtl/>
        </w:rPr>
        <w:t xml:space="preserve">הר"י </w:t>
      </w:r>
      <w:r w:rsidRPr="00BC1818">
        <w:rPr>
          <w:rStyle w:val="af9"/>
          <w:rFonts w:hint="cs"/>
          <w:rtl/>
        </w:rPr>
        <w:t>מגאש</w:t>
      </w:r>
      <w:r>
        <w:rPr>
          <w:rFonts w:hint="cs"/>
          <w:rtl/>
        </w:rPr>
        <w:t xml:space="preserve"> </w:t>
      </w:r>
      <w:r w:rsidRPr="00D3308F">
        <w:rPr>
          <w:rStyle w:val="af7"/>
          <w:rFonts w:eastAsia="Guttman Hodes" w:hint="cs"/>
          <w:rtl/>
        </w:rPr>
        <w:t xml:space="preserve">(עי' אות </w:t>
      </w:r>
      <w:r w:rsidRPr="00D3308F">
        <w:rPr>
          <w:rStyle w:val="af7"/>
          <w:rFonts w:eastAsia="Guttman Hodes"/>
          <w:rtl/>
        </w:rPr>
        <w:fldChar w:fldCharType="begin"/>
      </w:r>
      <w:r w:rsidRPr="00D3308F">
        <w:rPr>
          <w:rStyle w:val="af7"/>
          <w:rFonts w:eastAsia="Guttman Hodes"/>
          <w:rtl/>
        </w:rPr>
        <w:instrText xml:space="preserve"> </w:instrText>
      </w:r>
      <w:r w:rsidRPr="00D3308F">
        <w:rPr>
          <w:rStyle w:val="af7"/>
          <w:rFonts w:eastAsia="Guttman Hodes" w:hint="cs"/>
        </w:rPr>
        <w:instrText>REF</w:instrText>
      </w:r>
      <w:r w:rsidRPr="00D3308F">
        <w:rPr>
          <w:rStyle w:val="af7"/>
          <w:rFonts w:eastAsia="Guttman Hodes" w:hint="cs"/>
          <w:rtl/>
        </w:rPr>
        <w:instrText xml:space="preserve"> _</w:instrText>
      </w:r>
      <w:r w:rsidRPr="00D3308F">
        <w:rPr>
          <w:rStyle w:val="af7"/>
          <w:rFonts w:eastAsia="Guttman Hodes" w:hint="cs"/>
        </w:rPr>
        <w:instrText>Ref63185874 \r \h</w:instrText>
      </w:r>
      <w:r w:rsidRPr="00D3308F">
        <w:rPr>
          <w:rStyle w:val="af7"/>
          <w:rFonts w:eastAsia="Guttman Hodes"/>
          <w:rtl/>
        </w:rPr>
        <w:instrText xml:space="preserve"> </w:instrText>
      </w:r>
      <w:r w:rsidRPr="00D3308F">
        <w:rPr>
          <w:rStyle w:val="af7"/>
          <w:rFonts w:eastAsia="Guttman Hodes"/>
          <w:rtl/>
        </w:rPr>
      </w:r>
      <w:r w:rsidRPr="00D3308F">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D3308F">
        <w:rPr>
          <w:rStyle w:val="af7"/>
          <w:rFonts w:eastAsia="Guttman Hodes"/>
          <w:rtl/>
        </w:rPr>
        <w:fldChar w:fldCharType="end"/>
      </w:r>
      <w:r>
        <w:rPr>
          <w:rFonts w:hint="cs"/>
          <w:rtl/>
        </w:rPr>
        <w:t xml:space="preserve"> </w:t>
      </w:r>
      <w:r w:rsidRPr="00962B9B">
        <w:rPr>
          <w:rFonts w:hint="cs"/>
          <w:rtl/>
        </w:rPr>
        <w:t>ד</w:t>
      </w:r>
      <w:r>
        <w:rPr>
          <w:rFonts w:hint="cs"/>
          <w:rtl/>
        </w:rPr>
        <w:t xml:space="preserve">ברב יוסף משמע שאין לו כל נאמנות במיגו, דאינו נאמן מחמת שהשטר פסול, ולא ס"ל שיש לו מיגו טוב, אלא דלא מהני מיגו להוציא, ועי' במה שתירץ </w:t>
      </w:r>
      <w:r w:rsidRPr="00E8521C">
        <w:rPr>
          <w:rStyle w:val="af9"/>
          <w:rFonts w:hint="cs"/>
          <w:rtl/>
        </w:rPr>
        <w:t>בחי' רבי נחום</w:t>
      </w:r>
      <w:r>
        <w:rPr>
          <w:rFonts w:hint="cs"/>
          <w:rtl/>
        </w:rPr>
        <w:t xml:space="preserve"> </w:t>
      </w:r>
      <w:r w:rsidRPr="00E675F1">
        <w:rPr>
          <w:rStyle w:val="af7"/>
          <w:rFonts w:eastAsia="Guttman Hodes" w:hint="cs"/>
          <w:rtl/>
        </w:rPr>
        <w:t>(עי' הערה</w:t>
      </w:r>
      <w:r w:rsidRPr="00E675F1">
        <w:rPr>
          <w:vertAlign w:val="superscript"/>
          <w:rtl/>
        </w:rPr>
        <w:fldChar w:fldCharType="begin"/>
      </w:r>
      <w:r w:rsidRPr="00E675F1">
        <w:rPr>
          <w:vertAlign w:val="superscript"/>
          <w:rtl/>
        </w:rPr>
        <w:instrText xml:space="preserve"> </w:instrText>
      </w:r>
      <w:r w:rsidRPr="00E675F1">
        <w:rPr>
          <w:rFonts w:hint="cs"/>
          <w:vertAlign w:val="superscript"/>
        </w:rPr>
        <w:instrText>NOTEREF</w:instrText>
      </w:r>
      <w:r w:rsidRPr="00E675F1">
        <w:rPr>
          <w:rFonts w:hint="cs"/>
          <w:vertAlign w:val="superscript"/>
          <w:rtl/>
        </w:rPr>
        <w:instrText xml:space="preserve"> _</w:instrText>
      </w:r>
      <w:r w:rsidRPr="00E675F1">
        <w:rPr>
          <w:rFonts w:hint="cs"/>
          <w:vertAlign w:val="superscript"/>
        </w:rPr>
        <w:instrText>Ref63245694 \h</w:instrText>
      </w:r>
      <w:r w:rsidRPr="00E675F1">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E675F1">
        <w:rPr>
          <w:vertAlign w:val="superscript"/>
          <w:rtl/>
        </w:rPr>
      </w:r>
      <w:r w:rsidRPr="00E675F1">
        <w:rPr>
          <w:vertAlign w:val="superscript"/>
          <w:rtl/>
        </w:rPr>
        <w:fldChar w:fldCharType="separate"/>
      </w:r>
      <w:r w:rsidR="00265073">
        <w:rPr>
          <w:vertAlign w:val="superscript"/>
          <w:rtl/>
        </w:rPr>
        <w:t>101</w:t>
      </w:r>
      <w:r w:rsidRPr="00E675F1">
        <w:rPr>
          <w:vertAlign w:val="superscript"/>
          <w:rtl/>
        </w:rPr>
        <w:fldChar w:fldCharType="end"/>
      </w:r>
      <w:r w:rsidRPr="00E675F1">
        <w:rPr>
          <w:rStyle w:val="af7"/>
          <w:rFonts w:eastAsia="Guttman Hodes" w:hint="cs"/>
          <w:rtl/>
        </w:rPr>
        <w:t>)</w:t>
      </w:r>
      <w:r>
        <w:rPr>
          <w:rFonts w:hint="cs"/>
          <w:rtl/>
        </w:rPr>
        <w:t xml:space="preserve"> את דעת </w:t>
      </w:r>
      <w:r w:rsidRPr="00E8521C">
        <w:rPr>
          <w:rStyle w:val="af9"/>
          <w:rFonts w:hint="cs"/>
          <w:rtl/>
        </w:rPr>
        <w:t>הריב"ם</w:t>
      </w:r>
      <w:r>
        <w:rPr>
          <w:rFonts w:hint="cs"/>
          <w:rtl/>
        </w:rPr>
        <w:t>.</w:t>
      </w:r>
      <w:bookmarkEnd w:id="13931"/>
    </w:p>
    <w:p w:rsidR="003B7617" w:rsidRDefault="003B7617" w:rsidP="003B7617">
      <w:pPr>
        <w:pStyle w:val="a3"/>
        <w:rPr>
          <w:rtl/>
        </w:rPr>
      </w:pPr>
      <w:bookmarkStart w:id="13932" w:name="_Toc63247767"/>
      <w:r>
        <w:rPr>
          <w:rFonts w:hint="cs"/>
          <w:rtl/>
        </w:rPr>
        <w:t>ביאור הרא"ש בריב"ם דכוונת רב יוסף דהשטר חספא ואינו מוחזק בקרקע ולכן הוי מיגו להוציא</w:t>
      </w:r>
      <w:bookmarkEnd w:id="13932"/>
    </w:p>
    <w:p w:rsidR="003B7617" w:rsidRDefault="003B7617" w:rsidP="007E4E81">
      <w:pPr>
        <w:pStyle w:val="a0"/>
        <w:rPr>
          <w:rtl/>
        </w:rPr>
      </w:pPr>
      <w:r>
        <w:rPr>
          <w:rFonts w:hint="cs"/>
          <w:rtl/>
        </w:rPr>
        <w:t xml:space="preserve">וכתב </w:t>
      </w:r>
      <w:r>
        <w:rPr>
          <w:rStyle w:val="af9"/>
          <w:rFonts w:hint="cs"/>
          <w:rtl/>
        </w:rPr>
        <w:t>הרא"ש</w:t>
      </w:r>
      <w:r>
        <w:rPr>
          <w:rFonts w:hint="cs"/>
          <w:rtl/>
        </w:rPr>
        <w:t xml:space="preserve"> </w:t>
      </w:r>
      <w:r w:rsidRPr="00A70124">
        <w:rPr>
          <w:rStyle w:val="af7"/>
          <w:rFonts w:eastAsia="Guttman Hodes" w:hint="cs"/>
          <w:rtl/>
        </w:rPr>
        <w:t>(סי' י"</w:t>
      </w:r>
      <w:r>
        <w:rPr>
          <w:rStyle w:val="af7"/>
          <w:rFonts w:eastAsia="Guttman Hodes" w:hint="cs"/>
          <w:rtl/>
        </w:rPr>
        <w:t>ג)</w:t>
      </w:r>
      <w:r>
        <w:rPr>
          <w:rFonts w:hint="cs"/>
          <w:rtl/>
        </w:rPr>
        <w:t xml:space="preserve"> דלדברי </w:t>
      </w:r>
      <w:r w:rsidRPr="00BC1818">
        <w:rPr>
          <w:rStyle w:val="af9"/>
          <w:rFonts w:hint="cs"/>
          <w:rtl/>
        </w:rPr>
        <w:t>הריב"ם</w:t>
      </w:r>
      <w:r w:rsidRPr="00074B28">
        <w:rPr>
          <w:rStyle w:val="af9"/>
          <w:rFonts w:hint="cs"/>
          <w:rtl/>
        </w:rPr>
        <w:t xml:space="preserve"> </w:t>
      </w:r>
      <w:r w:rsidRPr="007109D9">
        <w:rPr>
          <w:rStyle w:val="af7"/>
          <w:rFonts w:eastAsia="Guttman Hodes" w:hint="cs"/>
          <w:rtl/>
        </w:rPr>
        <w:t xml:space="preserve">(עי' אות </w:t>
      </w:r>
      <w:r w:rsidRPr="007109D9">
        <w:rPr>
          <w:rStyle w:val="af7"/>
          <w:rFonts w:eastAsia="Guttman Hodes"/>
          <w:rtl/>
        </w:rPr>
        <w:fldChar w:fldCharType="begin"/>
      </w:r>
      <w:r w:rsidRPr="007109D9">
        <w:rPr>
          <w:rStyle w:val="af7"/>
          <w:rFonts w:eastAsia="Guttman Hodes"/>
          <w:rtl/>
        </w:rPr>
        <w:instrText xml:space="preserve"> </w:instrText>
      </w:r>
      <w:r w:rsidRPr="007109D9">
        <w:rPr>
          <w:rStyle w:val="af7"/>
          <w:rFonts w:eastAsia="Guttman Hodes" w:hint="cs"/>
        </w:rPr>
        <w:instrText>REF</w:instrText>
      </w:r>
      <w:r w:rsidRPr="007109D9">
        <w:rPr>
          <w:rStyle w:val="af7"/>
          <w:rFonts w:eastAsia="Guttman Hodes" w:hint="cs"/>
          <w:rtl/>
        </w:rPr>
        <w:instrText xml:space="preserve"> _</w:instrText>
      </w:r>
      <w:r w:rsidRPr="007109D9">
        <w:rPr>
          <w:rStyle w:val="af7"/>
          <w:rFonts w:eastAsia="Guttman Hodes" w:hint="cs"/>
        </w:rPr>
        <w:instrText>Ref62638117 \r \h</w:instrText>
      </w:r>
      <w:r w:rsidRPr="007109D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109D9">
        <w:rPr>
          <w:rStyle w:val="af7"/>
          <w:rFonts w:eastAsia="Guttman Hodes"/>
          <w:rtl/>
        </w:rPr>
      </w:r>
      <w:r w:rsidRPr="007109D9">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7109D9">
        <w:rPr>
          <w:rStyle w:val="af7"/>
          <w:rFonts w:eastAsia="Guttman Hodes"/>
          <w:rtl/>
        </w:rPr>
        <w:fldChar w:fldCharType="end"/>
      </w:r>
      <w:r>
        <w:rPr>
          <w:rFonts w:hint="cs"/>
          <w:rtl/>
        </w:rPr>
        <w:t xml:space="preserve"> צ"ל דרב יוסף שהקשה על רבה </w:t>
      </w:r>
      <w:r>
        <w:rPr>
          <w:rtl/>
        </w:rPr>
        <w:t>אמאי קא סמכת אהאי שטרא</w:t>
      </w:r>
      <w:r>
        <w:rPr>
          <w:rFonts w:hint="cs"/>
          <w:rtl/>
        </w:rPr>
        <w:t xml:space="preserve">, כוונתו לומר דהאיך אפשר לסמוך על השטר שע"י יהיה המחזיק מוחזק בקרקע, ויהיה נאמן במיגו להעמיד את הקרקע בידו, הרי השטר הוא חספא בעלמא, וא"כ אין המחזיק מוחזק בקרקע, אלא הקרקע בחזקת בעליה שהוא המערער, והמחזיק בא להוציא ממנו ע"י המיגו, והא מיגו להוציא לא אמרינן, ועי' במה שביאר </w:t>
      </w:r>
      <w:r w:rsidRPr="00E8521C">
        <w:rPr>
          <w:rStyle w:val="af9"/>
          <w:rFonts w:hint="cs"/>
          <w:rtl/>
        </w:rPr>
        <w:t>בחי' רבי נחום</w:t>
      </w:r>
      <w:r>
        <w:rPr>
          <w:rFonts w:hint="cs"/>
          <w:rtl/>
        </w:rPr>
        <w:t xml:space="preserve"> </w:t>
      </w:r>
      <w:r w:rsidRPr="00E8521C">
        <w:rPr>
          <w:rStyle w:val="af7"/>
          <w:rFonts w:eastAsia="Guttman Hodes" w:hint="cs"/>
          <w:rtl/>
        </w:rPr>
        <w:t xml:space="preserve">(או' קמ"ו ד"ה </w:t>
      </w:r>
      <w:r w:rsidRPr="00E8521C">
        <w:rPr>
          <w:rStyle w:val="af7"/>
          <w:rFonts w:eastAsia="Guttman Hodes"/>
          <w:rtl/>
        </w:rPr>
        <w:t>והנה ברא"ש</w:t>
      </w:r>
      <w:r w:rsidRPr="00E8521C">
        <w:rPr>
          <w:rStyle w:val="af7"/>
          <w:rFonts w:eastAsia="Guttman Hodes" w:hint="cs"/>
          <w:rtl/>
        </w:rPr>
        <w:t>)</w:t>
      </w:r>
      <w:r>
        <w:rPr>
          <w:rFonts w:hint="cs"/>
          <w:rtl/>
        </w:rPr>
        <w:t xml:space="preserve"> את ביאור </w:t>
      </w:r>
      <w:r w:rsidRPr="00E8521C">
        <w:rPr>
          <w:rStyle w:val="af9"/>
          <w:rFonts w:hint="cs"/>
          <w:rtl/>
        </w:rPr>
        <w:t>הרא"ש</w:t>
      </w:r>
      <w:r>
        <w:rPr>
          <w:rFonts w:hint="cs"/>
          <w:rtl/>
        </w:rPr>
        <w:t xml:space="preserve"> בדעת </w:t>
      </w:r>
      <w:r w:rsidRPr="00E8521C">
        <w:rPr>
          <w:rStyle w:val="af9"/>
          <w:rFonts w:hint="cs"/>
          <w:rtl/>
        </w:rPr>
        <w:t>הריב"ם</w:t>
      </w:r>
      <w:r>
        <w:rPr>
          <w:rFonts w:hint="cs"/>
          <w:rtl/>
        </w:rPr>
        <w:t xml:space="preserve">. </w:t>
      </w:r>
    </w:p>
    <w:p w:rsidR="003B7617" w:rsidRDefault="003B7617" w:rsidP="003B7617">
      <w:pPr>
        <w:pStyle w:val="1"/>
        <w:rPr>
          <w:rtl/>
        </w:rPr>
      </w:pPr>
      <w:bookmarkStart w:id="13933" w:name="_Toc63247768"/>
      <w:r>
        <w:rPr>
          <w:rFonts w:hint="cs"/>
          <w:rtl/>
        </w:rPr>
        <w:t>ביאורי הרמב"ן ורבינו יונה והרשב"א בדברי הר"י מגאש</w:t>
      </w:r>
      <w:bookmarkEnd w:id="13933"/>
    </w:p>
    <w:p w:rsidR="003B7617" w:rsidRDefault="003B7617" w:rsidP="003B7617">
      <w:pPr>
        <w:pStyle w:val="a3"/>
        <w:rPr>
          <w:rtl/>
        </w:rPr>
      </w:pPr>
      <w:bookmarkStart w:id="13934" w:name="_Toc63247769"/>
      <w:r>
        <w:rPr>
          <w:rFonts w:hint="cs"/>
          <w:rtl/>
        </w:rPr>
        <w:t>ביאור הרמב"ן בר"י מגאש דלרבה מהני מיגו להוציא וקיי"ל כרבה בארעא דהמחזיק תפוס בה</w:t>
      </w:r>
      <w:bookmarkEnd w:id="13934"/>
    </w:p>
    <w:p w:rsidR="003B7617" w:rsidRDefault="003B7617" w:rsidP="007E4E81">
      <w:pPr>
        <w:pStyle w:val="a0"/>
        <w:rPr>
          <w:rtl/>
        </w:rPr>
      </w:pPr>
      <w:bookmarkStart w:id="13935" w:name="_Ref63246409"/>
      <w:r>
        <w:rPr>
          <w:rFonts w:hint="cs"/>
          <w:rtl/>
        </w:rPr>
        <w:t xml:space="preserve">וכ"כ </w:t>
      </w:r>
      <w:r w:rsidRPr="00BC1818">
        <w:rPr>
          <w:rStyle w:val="af9"/>
          <w:rFonts w:hint="cs"/>
          <w:rtl/>
        </w:rPr>
        <w:t>הרמב"ן</w:t>
      </w:r>
      <w:r>
        <w:rPr>
          <w:rFonts w:hint="cs"/>
          <w:rtl/>
        </w:rPr>
        <w:t xml:space="preserve"> </w:t>
      </w:r>
      <w:r w:rsidRPr="00176841">
        <w:rPr>
          <w:rStyle w:val="af7"/>
          <w:rFonts w:eastAsia="Guttman Hodes" w:hint="cs"/>
          <w:rtl/>
        </w:rPr>
        <w:t>(ד"ה אמאי)</w:t>
      </w:r>
      <w:r w:rsidRPr="00D27084">
        <w:rPr>
          <w:rFonts w:hint="cs"/>
          <w:rtl/>
        </w:rPr>
        <w:t xml:space="preserve"> </w:t>
      </w:r>
      <w:r w:rsidRPr="00B8474F">
        <w:rPr>
          <w:rStyle w:val="af9"/>
          <w:rFonts w:hint="cs"/>
          <w:rtl/>
        </w:rPr>
        <w:t xml:space="preserve">רבינו יונה </w:t>
      </w:r>
      <w:r w:rsidRPr="00AF55AD">
        <w:rPr>
          <w:rStyle w:val="af7"/>
          <w:rFonts w:eastAsia="Guttman Hodes" w:hint="cs"/>
          <w:rtl/>
        </w:rPr>
        <w:t>(ד"ה אמר רבא)</w:t>
      </w:r>
      <w:r w:rsidRPr="00AF55AD">
        <w:rPr>
          <w:rFonts w:hint="cs"/>
          <w:rtl/>
        </w:rPr>
        <w:t xml:space="preserve"> </w:t>
      </w:r>
      <w:r w:rsidRPr="00AF55AD">
        <w:rPr>
          <w:rStyle w:val="af9"/>
          <w:rFonts w:hint="cs"/>
          <w:rtl/>
        </w:rPr>
        <w:t>והרשב"א</w:t>
      </w:r>
      <w:r w:rsidRPr="00AF55AD">
        <w:rPr>
          <w:rFonts w:hint="cs"/>
          <w:rtl/>
        </w:rPr>
        <w:t xml:space="preserve"> </w:t>
      </w:r>
      <w:r w:rsidRPr="00AF55AD">
        <w:rPr>
          <w:rStyle w:val="af7"/>
          <w:rFonts w:eastAsia="Guttman Hodes" w:hint="cs"/>
          <w:rtl/>
        </w:rPr>
        <w:t>(ד"ה א"ל)</w:t>
      </w:r>
      <w:r w:rsidRPr="00AF55AD">
        <w:rPr>
          <w:rFonts w:hint="cs"/>
          <w:rtl/>
        </w:rPr>
        <w:t xml:space="preserve"> </w:t>
      </w:r>
      <w:r>
        <w:rPr>
          <w:rFonts w:hint="cs"/>
          <w:rtl/>
        </w:rPr>
        <w:t xml:space="preserve">בשם </w:t>
      </w:r>
      <w:r w:rsidRPr="00BC1818">
        <w:rPr>
          <w:rStyle w:val="af9"/>
          <w:rFonts w:hint="cs"/>
          <w:rtl/>
        </w:rPr>
        <w:t>הר"י מגאש</w:t>
      </w:r>
      <w:r>
        <w:rPr>
          <w:rFonts w:hint="cs"/>
          <w:rtl/>
        </w:rPr>
        <w:t xml:space="preserve"> </w:t>
      </w:r>
      <w:r w:rsidRPr="00D3308F">
        <w:rPr>
          <w:rStyle w:val="af7"/>
          <w:rFonts w:eastAsia="Guttman Hodes" w:hint="cs"/>
          <w:rtl/>
        </w:rPr>
        <w:t xml:space="preserve">(עי' אות </w:t>
      </w:r>
      <w:r w:rsidRPr="00D3308F">
        <w:rPr>
          <w:rStyle w:val="af7"/>
          <w:rFonts w:eastAsia="Guttman Hodes"/>
          <w:rtl/>
        </w:rPr>
        <w:fldChar w:fldCharType="begin"/>
      </w:r>
      <w:r w:rsidRPr="00D3308F">
        <w:rPr>
          <w:rStyle w:val="af7"/>
          <w:rFonts w:eastAsia="Guttman Hodes"/>
          <w:rtl/>
        </w:rPr>
        <w:instrText xml:space="preserve"> </w:instrText>
      </w:r>
      <w:r w:rsidRPr="00D3308F">
        <w:rPr>
          <w:rStyle w:val="af7"/>
          <w:rFonts w:eastAsia="Guttman Hodes" w:hint="cs"/>
        </w:rPr>
        <w:instrText>REF</w:instrText>
      </w:r>
      <w:r w:rsidRPr="00D3308F">
        <w:rPr>
          <w:rStyle w:val="af7"/>
          <w:rFonts w:eastAsia="Guttman Hodes" w:hint="cs"/>
          <w:rtl/>
        </w:rPr>
        <w:instrText xml:space="preserve"> _</w:instrText>
      </w:r>
      <w:r w:rsidRPr="00D3308F">
        <w:rPr>
          <w:rStyle w:val="af7"/>
          <w:rFonts w:eastAsia="Guttman Hodes" w:hint="cs"/>
        </w:rPr>
        <w:instrText>Ref63185874 \r \h</w:instrText>
      </w:r>
      <w:r w:rsidRPr="00D3308F">
        <w:rPr>
          <w:rStyle w:val="af7"/>
          <w:rFonts w:eastAsia="Guttman Hodes"/>
          <w:rtl/>
        </w:rPr>
        <w:instrText xml:space="preserve"> </w:instrText>
      </w:r>
      <w:r w:rsidRPr="00D3308F">
        <w:rPr>
          <w:rStyle w:val="af7"/>
          <w:rFonts w:eastAsia="Guttman Hodes"/>
          <w:rtl/>
        </w:rPr>
      </w:r>
      <w:r w:rsidRPr="00D3308F">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D3308F">
        <w:rPr>
          <w:rStyle w:val="af7"/>
          <w:rFonts w:eastAsia="Guttman Hodes"/>
          <w:rtl/>
        </w:rPr>
        <w:fldChar w:fldCharType="end"/>
      </w:r>
      <w:r>
        <w:rPr>
          <w:rFonts w:hint="cs"/>
          <w:rtl/>
        </w:rPr>
        <w:t xml:space="preserve"> </w:t>
      </w:r>
      <w:r w:rsidRPr="004017A7">
        <w:rPr>
          <w:rFonts w:hint="cs"/>
          <w:rtl/>
        </w:rPr>
        <w:t xml:space="preserve">דביאר </w:t>
      </w:r>
      <w:r>
        <w:rPr>
          <w:rFonts w:hint="cs"/>
          <w:rtl/>
        </w:rPr>
        <w:t>דהא ד</w:t>
      </w:r>
      <w:r w:rsidRPr="004017A7">
        <w:rPr>
          <w:rFonts w:hint="cs"/>
          <w:rtl/>
        </w:rPr>
        <w:t>לרב יוסף</w:t>
      </w:r>
      <w:r>
        <w:rPr>
          <w:rFonts w:hint="cs"/>
          <w:rtl/>
        </w:rPr>
        <w:t xml:space="preserve"> לא מהני מיגו, הוא כיון</w:t>
      </w:r>
      <w:r w:rsidRPr="004017A7">
        <w:rPr>
          <w:rFonts w:hint="cs"/>
          <w:rtl/>
        </w:rPr>
        <w:t xml:space="preserve"> ד</w:t>
      </w:r>
      <w:r>
        <w:rPr>
          <w:rFonts w:hint="cs"/>
          <w:rtl/>
        </w:rPr>
        <w:t>מיגו להוציא</w:t>
      </w:r>
      <w:r w:rsidRPr="004017A7">
        <w:rPr>
          <w:rFonts w:hint="cs"/>
          <w:rtl/>
        </w:rPr>
        <w:t xml:space="preserve"> לא</w:t>
      </w:r>
      <w:r>
        <w:rPr>
          <w:rFonts w:hint="cs"/>
          <w:rtl/>
        </w:rPr>
        <w:t xml:space="preserve"> אמרינן, </w:t>
      </w:r>
      <w:r w:rsidRPr="00AF55AD">
        <w:rPr>
          <w:rFonts w:hint="cs"/>
          <w:rtl/>
        </w:rPr>
        <w:t>וס"ל לרב יוסף דבין בקרקע ובין בזוזי חשיב כמיגו להוציא, ואעפ"י שהמחזיק</w:t>
      </w:r>
      <w:r>
        <w:rPr>
          <w:rFonts w:hint="cs"/>
          <w:rtl/>
        </w:rPr>
        <w:t xml:space="preserve"> יושב בקרקע, מ"מ חשיב המחזיק כמוציא, כיון שיש למערער עידי מרא קמא, ורבה ס"ל דאמרינן מיגו להוציא, </w:t>
      </w:r>
      <w:r w:rsidRPr="0091425F">
        <w:rPr>
          <w:rStyle w:val="afb"/>
          <w:rFonts w:hint="cs"/>
          <w:rtl/>
        </w:rPr>
        <w:t>[ועי' במה ש</w:t>
      </w:r>
      <w:r>
        <w:rPr>
          <w:rStyle w:val="afb"/>
          <w:rFonts w:hint="cs"/>
          <w:rtl/>
        </w:rPr>
        <w:t>ביאר</w:t>
      </w:r>
      <w:r w:rsidRPr="0091425F">
        <w:rPr>
          <w:rStyle w:val="afb"/>
          <w:rFonts w:hint="cs"/>
          <w:rtl/>
        </w:rPr>
        <w:t xml:space="preserve"> </w:t>
      </w:r>
      <w:r w:rsidRPr="0091425F">
        <w:rPr>
          <w:rStyle w:val="affa"/>
          <w:rFonts w:hint="cs"/>
          <w:rtl/>
        </w:rPr>
        <w:t>הרשב"א</w:t>
      </w:r>
      <w:r w:rsidRPr="0091425F">
        <w:rPr>
          <w:rStyle w:val="afb"/>
          <w:rFonts w:hint="cs"/>
          <w:rtl/>
        </w:rPr>
        <w:t xml:space="preserve"> </w:t>
      </w:r>
      <w:r w:rsidRPr="00CB573A">
        <w:rPr>
          <w:rStyle w:val="aff6"/>
          <w:rFonts w:hint="cs"/>
          <w:rtl/>
        </w:rPr>
        <w:t xml:space="preserve">(עי' אות </w:t>
      </w:r>
      <w:r w:rsidRPr="00CB573A">
        <w:rPr>
          <w:rStyle w:val="aff6"/>
          <w:rtl/>
        </w:rPr>
        <w:fldChar w:fldCharType="begin"/>
      </w:r>
      <w:r w:rsidRPr="00CB573A">
        <w:rPr>
          <w:rStyle w:val="aff6"/>
          <w:rtl/>
        </w:rPr>
        <w:instrText xml:space="preserve"> </w:instrText>
      </w:r>
      <w:r w:rsidRPr="00CB573A">
        <w:rPr>
          <w:rStyle w:val="aff6"/>
          <w:rFonts w:hint="cs"/>
        </w:rPr>
        <w:instrText>REF</w:instrText>
      </w:r>
      <w:r w:rsidRPr="00CB573A">
        <w:rPr>
          <w:rStyle w:val="aff6"/>
          <w:rFonts w:hint="cs"/>
          <w:rtl/>
        </w:rPr>
        <w:instrText xml:space="preserve"> _</w:instrText>
      </w:r>
      <w:r w:rsidRPr="00CB573A">
        <w:rPr>
          <w:rStyle w:val="aff6"/>
          <w:rFonts w:hint="cs"/>
        </w:rPr>
        <w:instrText>Ref63196987 \r \h</w:instrText>
      </w:r>
      <w:r w:rsidRPr="00CB573A">
        <w:rPr>
          <w:rStyle w:val="aff6"/>
          <w:rtl/>
        </w:rPr>
        <w:instrText xml:space="preserve"> </w:instrText>
      </w:r>
      <w:r w:rsidRPr="00CB573A">
        <w:rPr>
          <w:rStyle w:val="aff6"/>
          <w:rtl/>
        </w:rPr>
      </w:r>
      <w:r w:rsidRPr="00CB573A">
        <w:rPr>
          <w:rStyle w:val="aff6"/>
          <w:rtl/>
        </w:rPr>
        <w:fldChar w:fldCharType="separate"/>
      </w:r>
      <w:r w:rsidR="00265073">
        <w:rPr>
          <w:rStyle w:val="aff6"/>
          <w:cs/>
        </w:rPr>
        <w:t>‎</w:t>
      </w:r>
      <w:r w:rsidR="00265073">
        <w:rPr>
          <w:rStyle w:val="aff6"/>
          <w:rtl/>
        </w:rPr>
        <w:t>פג)</w:t>
      </w:r>
      <w:r w:rsidRPr="00CB573A">
        <w:rPr>
          <w:rStyle w:val="aff6"/>
          <w:rtl/>
        </w:rPr>
        <w:fldChar w:fldCharType="end"/>
      </w:r>
      <w:r>
        <w:rPr>
          <w:rFonts w:hint="cs"/>
          <w:rtl/>
        </w:rPr>
        <w:t xml:space="preserve"> </w:t>
      </w:r>
      <w:r w:rsidRPr="00CF2992">
        <w:rPr>
          <w:rStyle w:val="afb"/>
          <w:rFonts w:hint="cs"/>
          <w:rtl/>
        </w:rPr>
        <w:t xml:space="preserve">בדעת </w:t>
      </w:r>
      <w:r w:rsidRPr="00CF2992">
        <w:rPr>
          <w:rStyle w:val="affa"/>
          <w:rFonts w:hint="cs"/>
          <w:rtl/>
        </w:rPr>
        <w:t>הר"י מגאש</w:t>
      </w:r>
      <w:r w:rsidRPr="00CF2992">
        <w:rPr>
          <w:rStyle w:val="afb"/>
          <w:rFonts w:hint="cs"/>
          <w:rtl/>
        </w:rPr>
        <w:t xml:space="preserve"> דבלא שטר מודה רבה דמיגו להוציא לא אמרינן</w:t>
      </w:r>
      <w:r w:rsidRPr="0091425F">
        <w:rPr>
          <w:rStyle w:val="afb"/>
          <w:rFonts w:hint="cs"/>
          <w:rtl/>
        </w:rPr>
        <w:t>],</w:t>
      </w:r>
      <w:r>
        <w:rPr>
          <w:rFonts w:hint="cs"/>
          <w:rtl/>
        </w:rPr>
        <w:t xml:space="preserve"> וקיי"ל כרבה בארעא כיון שהיא ברשות המחזיק, וחשיב המערער כמוציא מחבירו, ולכן נאמן המחזיק דהוא מיגו להחזיק ממון, וכתב </w:t>
      </w:r>
      <w:r w:rsidRPr="00BC1818">
        <w:rPr>
          <w:rStyle w:val="af9"/>
          <w:rFonts w:hint="cs"/>
          <w:rtl/>
        </w:rPr>
        <w:t>הרמב"ן</w:t>
      </w:r>
      <w:r>
        <w:rPr>
          <w:rFonts w:hint="cs"/>
          <w:rtl/>
        </w:rPr>
        <w:t xml:space="preserve"> דאעפ"י דאיתא בגמ' בב"מ </w:t>
      </w:r>
      <w:r w:rsidRPr="003D0D37">
        <w:rPr>
          <w:rStyle w:val="af7"/>
          <w:rFonts w:eastAsia="Guttman Hodes" w:hint="cs"/>
          <w:rtl/>
        </w:rPr>
        <w:t>(קב:)</w:t>
      </w:r>
      <w:r>
        <w:rPr>
          <w:rFonts w:hint="cs"/>
          <w:rtl/>
        </w:rPr>
        <w:t xml:space="preserve"> דקרקע בחזקת בעליה עומדת, מ"מ כיון שיש למחזיק מיגו, </w:t>
      </w:r>
      <w:r>
        <w:rPr>
          <w:rFonts w:hint="cs"/>
          <w:rtl/>
        </w:rPr>
        <w:t xml:space="preserve">והוא תופס את הקרקע הוא נאמן במיגו, אעפ"י שהקרקע היא בחזקת אבותיו של המערער, ועי' במה שביאר </w:t>
      </w:r>
      <w:r w:rsidRPr="002F0D7B">
        <w:rPr>
          <w:rStyle w:val="af9"/>
          <w:rFonts w:hint="cs"/>
          <w:rtl/>
        </w:rPr>
        <w:t>בחי' רבי נחום</w:t>
      </w:r>
      <w:r>
        <w:rPr>
          <w:rFonts w:hint="cs"/>
          <w:rtl/>
        </w:rPr>
        <w:t xml:space="preserve"> </w:t>
      </w:r>
      <w:r w:rsidRPr="002F0D7B">
        <w:rPr>
          <w:rStyle w:val="af7"/>
          <w:rFonts w:eastAsia="Guttman Hodes" w:hint="cs"/>
          <w:rtl/>
        </w:rPr>
        <w:t xml:space="preserve">(עי' אות </w:t>
      </w:r>
      <w:r w:rsidRPr="002F0D7B">
        <w:rPr>
          <w:rStyle w:val="af7"/>
          <w:rFonts w:eastAsia="Guttman Hodes"/>
          <w:rtl/>
        </w:rPr>
        <w:fldChar w:fldCharType="begin"/>
      </w:r>
      <w:r w:rsidRPr="002F0D7B">
        <w:rPr>
          <w:rStyle w:val="af7"/>
          <w:rFonts w:eastAsia="Guttman Hodes"/>
          <w:rtl/>
        </w:rPr>
        <w:instrText xml:space="preserve"> </w:instrText>
      </w:r>
      <w:r w:rsidRPr="002F0D7B">
        <w:rPr>
          <w:rStyle w:val="af7"/>
          <w:rFonts w:eastAsia="Guttman Hodes" w:hint="cs"/>
        </w:rPr>
        <w:instrText>REF</w:instrText>
      </w:r>
      <w:r w:rsidRPr="002F0D7B">
        <w:rPr>
          <w:rStyle w:val="af7"/>
          <w:rFonts w:eastAsia="Guttman Hodes" w:hint="cs"/>
          <w:rtl/>
        </w:rPr>
        <w:instrText xml:space="preserve"> _</w:instrText>
      </w:r>
      <w:r w:rsidRPr="002F0D7B">
        <w:rPr>
          <w:rStyle w:val="af7"/>
          <w:rFonts w:eastAsia="Guttman Hodes" w:hint="cs"/>
        </w:rPr>
        <w:instrText>Ref63246449 \r \h</w:instrText>
      </w:r>
      <w:r w:rsidRPr="002F0D7B">
        <w:rPr>
          <w:rStyle w:val="af7"/>
          <w:rFonts w:eastAsia="Guttman Hodes"/>
          <w:rtl/>
        </w:rPr>
        <w:instrText xml:space="preserve"> </w:instrText>
      </w:r>
      <w:r w:rsidRPr="002F0D7B">
        <w:rPr>
          <w:rStyle w:val="af7"/>
          <w:rFonts w:eastAsia="Guttman Hodes"/>
          <w:rtl/>
        </w:rPr>
      </w:r>
      <w:r w:rsidRPr="002F0D7B">
        <w:rPr>
          <w:rStyle w:val="af7"/>
          <w:rFonts w:eastAsia="Guttman Hodes"/>
          <w:rtl/>
        </w:rPr>
        <w:fldChar w:fldCharType="separate"/>
      </w:r>
      <w:r w:rsidR="00265073">
        <w:rPr>
          <w:rStyle w:val="af7"/>
          <w:rFonts w:eastAsia="Guttman Hodes"/>
          <w:cs/>
        </w:rPr>
        <w:t>‎</w:t>
      </w:r>
      <w:r w:rsidR="00265073">
        <w:rPr>
          <w:rStyle w:val="af7"/>
          <w:rFonts w:eastAsia="Guttman Hodes"/>
          <w:rtl/>
        </w:rPr>
        <w:t>קל)</w:t>
      </w:r>
      <w:r w:rsidRPr="002F0D7B">
        <w:rPr>
          <w:rStyle w:val="af7"/>
          <w:rFonts w:eastAsia="Guttman Hodes"/>
          <w:rtl/>
        </w:rPr>
        <w:fldChar w:fldCharType="end"/>
      </w:r>
      <w:r>
        <w:rPr>
          <w:rFonts w:hint="cs"/>
          <w:rtl/>
        </w:rPr>
        <w:t xml:space="preserve"> בדברי </w:t>
      </w:r>
      <w:r w:rsidRPr="002F0D7B">
        <w:rPr>
          <w:rStyle w:val="af9"/>
          <w:rFonts w:hint="cs"/>
          <w:rtl/>
        </w:rPr>
        <w:t>הרמב"ן</w:t>
      </w:r>
      <w:r>
        <w:rPr>
          <w:rFonts w:hint="cs"/>
          <w:rtl/>
        </w:rPr>
        <w:t>.</w:t>
      </w:r>
      <w:bookmarkEnd w:id="13935"/>
      <w:r>
        <w:rPr>
          <w:rFonts w:hint="cs"/>
          <w:rtl/>
        </w:rPr>
        <w:t xml:space="preserve"> </w:t>
      </w:r>
    </w:p>
    <w:p w:rsidR="003B7617" w:rsidRDefault="003B7617" w:rsidP="003B7617">
      <w:pPr>
        <w:pStyle w:val="a3"/>
        <w:rPr>
          <w:rtl/>
        </w:rPr>
      </w:pPr>
      <w:bookmarkStart w:id="13936" w:name="_Toc63247770"/>
      <w:bookmarkStart w:id="13937" w:name="_Toc63163527"/>
      <w:bookmarkStart w:id="13938" w:name="_Toc63188800"/>
      <w:r>
        <w:rPr>
          <w:rFonts w:hint="cs"/>
          <w:rtl/>
        </w:rPr>
        <w:t>דברי רבינו יונה והרשב"א דקיי"ל כרבה בארעא דלא מחוסרת גוביינא  אך זוזי מחוסרים גוביינא</w:t>
      </w:r>
      <w:bookmarkEnd w:id="13936"/>
    </w:p>
    <w:p w:rsidR="003B7617" w:rsidRDefault="003B7617" w:rsidP="007E4E81">
      <w:pPr>
        <w:pStyle w:val="a0"/>
        <w:rPr>
          <w:rtl/>
        </w:rPr>
      </w:pPr>
      <w:r>
        <w:rPr>
          <w:rStyle w:val="af9"/>
          <w:rFonts w:hint="cs"/>
          <w:rtl/>
        </w:rPr>
        <w:t>ו</w:t>
      </w:r>
      <w:r w:rsidRPr="00B8474F">
        <w:rPr>
          <w:rStyle w:val="af9"/>
          <w:rFonts w:hint="cs"/>
          <w:rtl/>
        </w:rPr>
        <w:t xml:space="preserve">רבינו יונה </w:t>
      </w:r>
      <w:r w:rsidRPr="00AF55AD">
        <w:rPr>
          <w:rStyle w:val="af9"/>
          <w:rFonts w:hint="cs"/>
          <w:rtl/>
        </w:rPr>
        <w:t>והרשב"א</w:t>
      </w:r>
      <w:r w:rsidRPr="00AF55AD">
        <w:rPr>
          <w:rFonts w:hint="cs"/>
          <w:rtl/>
        </w:rPr>
        <w:t xml:space="preserve"> </w:t>
      </w:r>
      <w:r>
        <w:rPr>
          <w:rFonts w:hint="cs"/>
          <w:rtl/>
        </w:rPr>
        <w:t xml:space="preserve">ביארו דהא דקיי"ל כרבה בארעא, היינו כיון דלא חשיב </w:t>
      </w:r>
      <w:r w:rsidRPr="002D78C6">
        <w:rPr>
          <w:rtl/>
        </w:rPr>
        <w:t>כמיגו להוציא</w:t>
      </w:r>
      <w:r w:rsidRPr="002D78C6">
        <w:rPr>
          <w:rFonts w:hint="cs"/>
          <w:rtl/>
        </w:rPr>
        <w:t xml:space="preserve"> </w:t>
      </w:r>
      <w:r>
        <w:rPr>
          <w:rFonts w:hint="cs"/>
          <w:rtl/>
        </w:rPr>
        <w:t xml:space="preserve">דהא דהמחזיק יושב בקרקע, ואינה מחוסרת גוביינא, וכתב </w:t>
      </w:r>
      <w:r w:rsidRPr="0039258F">
        <w:rPr>
          <w:rStyle w:val="af9"/>
          <w:rFonts w:hint="cs"/>
          <w:rtl/>
        </w:rPr>
        <w:t>הרשב"א</w:t>
      </w:r>
      <w:r>
        <w:rPr>
          <w:rFonts w:hint="cs"/>
          <w:rtl/>
        </w:rPr>
        <w:t xml:space="preserve"> דבזוזי קיי"ל כרב יוסף, אעפ"י שהשטר בידו, מ"מ כיון שהם מחוסרי גוביינא, חשיב כמיגו להוציא, </w:t>
      </w:r>
      <w:r w:rsidRPr="00086199">
        <w:rPr>
          <w:rStyle w:val="afb"/>
          <w:rFonts w:hint="cs"/>
          <w:rtl/>
        </w:rPr>
        <w:t xml:space="preserve">[ועי' בדברי </w:t>
      </w:r>
      <w:r w:rsidRPr="00086199">
        <w:rPr>
          <w:rStyle w:val="affa"/>
          <w:rFonts w:hint="cs"/>
          <w:rtl/>
        </w:rPr>
        <w:t xml:space="preserve">התוס' </w:t>
      </w:r>
      <w:r w:rsidRPr="00086199">
        <w:rPr>
          <w:rStyle w:val="aff6"/>
          <w:rFonts w:hint="cs"/>
          <w:rtl/>
        </w:rPr>
        <w:t xml:space="preserve">(עי' אות </w:t>
      </w:r>
      <w:r w:rsidRPr="00086199">
        <w:rPr>
          <w:rStyle w:val="aff6"/>
          <w:rtl/>
        </w:rPr>
        <w:fldChar w:fldCharType="begin"/>
      </w:r>
      <w:r w:rsidRPr="00086199">
        <w:rPr>
          <w:rStyle w:val="aff6"/>
          <w:rtl/>
        </w:rPr>
        <w:instrText xml:space="preserve"> </w:instrText>
      </w:r>
      <w:r w:rsidRPr="00086199">
        <w:rPr>
          <w:rStyle w:val="aff6"/>
          <w:rFonts w:hint="cs"/>
        </w:rPr>
        <w:instrText>REF</w:instrText>
      </w:r>
      <w:r w:rsidRPr="00086199">
        <w:rPr>
          <w:rStyle w:val="aff6"/>
          <w:rFonts w:hint="cs"/>
          <w:rtl/>
        </w:rPr>
        <w:instrText xml:space="preserve"> _</w:instrText>
      </w:r>
      <w:r w:rsidRPr="00086199">
        <w:rPr>
          <w:rStyle w:val="aff6"/>
          <w:rFonts w:hint="cs"/>
        </w:rPr>
        <w:instrText>Ref63155210 \r \h</w:instrText>
      </w:r>
      <w:r w:rsidRPr="00086199">
        <w:rPr>
          <w:rStyle w:val="aff6"/>
          <w:rtl/>
        </w:rPr>
        <w:instrText xml:space="preserve"> </w:instrText>
      </w:r>
      <w:r w:rsidRPr="00086199">
        <w:rPr>
          <w:rStyle w:val="aff6"/>
          <w:rtl/>
        </w:rPr>
      </w:r>
      <w:r w:rsidRPr="00086199">
        <w:rPr>
          <w:rStyle w:val="aff6"/>
          <w:rtl/>
        </w:rPr>
        <w:fldChar w:fldCharType="separate"/>
      </w:r>
      <w:r w:rsidR="00265073">
        <w:rPr>
          <w:rStyle w:val="aff6"/>
          <w:cs/>
        </w:rPr>
        <w:t>‎</w:t>
      </w:r>
      <w:r w:rsidR="00265073">
        <w:rPr>
          <w:rStyle w:val="aff6"/>
          <w:rtl/>
        </w:rPr>
        <w:t>נ)</w:t>
      </w:r>
      <w:r w:rsidRPr="00086199">
        <w:rPr>
          <w:rStyle w:val="aff6"/>
          <w:rtl/>
        </w:rPr>
        <w:fldChar w:fldCharType="end"/>
      </w:r>
      <w:r w:rsidRPr="00086199">
        <w:rPr>
          <w:rStyle w:val="afb"/>
          <w:rFonts w:hint="cs"/>
          <w:rtl/>
        </w:rPr>
        <w:t>],</w:t>
      </w:r>
      <w:r>
        <w:rPr>
          <w:rFonts w:hint="cs"/>
          <w:rtl/>
        </w:rPr>
        <w:t xml:space="preserve"> וכתב </w:t>
      </w:r>
      <w:r w:rsidRPr="007B67F2">
        <w:rPr>
          <w:rStyle w:val="af9"/>
          <w:rFonts w:hint="cs"/>
          <w:rtl/>
        </w:rPr>
        <w:t>הרשב"א</w:t>
      </w:r>
      <w:r>
        <w:rPr>
          <w:rFonts w:hint="cs"/>
          <w:rtl/>
        </w:rPr>
        <w:t xml:space="preserve"> דלדברי </w:t>
      </w:r>
      <w:r w:rsidRPr="000A6B83">
        <w:rPr>
          <w:rStyle w:val="af9"/>
          <w:rFonts w:hint="cs"/>
          <w:rtl/>
        </w:rPr>
        <w:t>הר"י מגאש</w:t>
      </w:r>
      <w:r>
        <w:rPr>
          <w:rFonts w:hint="cs"/>
          <w:rtl/>
        </w:rPr>
        <w:t xml:space="preserve"> הא דאמרינן בפירקין דמהני מיגו בקרקע, היינו דוקא באופן שיש למחזיק חזקת ג"ש, דע"י החזקה יצאה הקרקע מחזקת המרא קמא לחזקת המחזיק, וכדאמרינן בגמ' לעיל </w:t>
      </w:r>
      <w:r w:rsidRPr="0093784C">
        <w:rPr>
          <w:rStyle w:val="af7"/>
          <w:rFonts w:eastAsia="Guttman Hodes" w:hint="cs"/>
          <w:rtl/>
        </w:rPr>
        <w:t>(כח.)</w:t>
      </w:r>
      <w:r>
        <w:rPr>
          <w:rFonts w:hint="cs"/>
          <w:rtl/>
        </w:rPr>
        <w:t xml:space="preserve"> בדעת הולכי אושא דילפי חזקת ג"ש, משור המועד.</w:t>
      </w:r>
    </w:p>
    <w:bookmarkEnd w:id="13937"/>
    <w:bookmarkEnd w:id="13938"/>
    <w:p w:rsidR="003B7617" w:rsidRDefault="003B7617" w:rsidP="003B7617">
      <w:pPr>
        <w:pStyle w:val="a3"/>
        <w:rPr>
          <w:rtl/>
        </w:rPr>
      </w:pPr>
      <w:r>
        <w:rPr>
          <w:rFonts w:hint="cs"/>
          <w:rtl/>
        </w:rPr>
        <w:t xml:space="preserve"> </w:t>
      </w:r>
      <w:bookmarkStart w:id="13939" w:name="_Toc63247771"/>
      <w:r>
        <w:rPr>
          <w:rFonts w:hint="cs"/>
          <w:rtl/>
        </w:rPr>
        <w:t>הבי' הב' ברמב"ן דיש לו חזקה ולר"י בנפסל השטר בטלה חזקתו וקיי"ל דבהודאת עצמו לא בטל</w:t>
      </w:r>
      <w:bookmarkEnd w:id="13939"/>
      <w:r>
        <w:rPr>
          <w:rFonts w:hint="cs"/>
          <w:rtl/>
        </w:rPr>
        <w:t xml:space="preserve"> </w:t>
      </w:r>
    </w:p>
    <w:p w:rsidR="003B7617" w:rsidRDefault="003B7617" w:rsidP="007E4E81">
      <w:pPr>
        <w:pStyle w:val="a0"/>
        <w:rPr>
          <w:rtl/>
        </w:rPr>
      </w:pPr>
      <w:bookmarkStart w:id="13940" w:name="_Ref62678599"/>
      <w:r>
        <w:rPr>
          <w:rFonts w:hint="cs"/>
          <w:rtl/>
        </w:rPr>
        <w:t xml:space="preserve">ועוד כתב </w:t>
      </w:r>
      <w:r w:rsidRPr="00176841">
        <w:rPr>
          <w:rStyle w:val="af9"/>
          <w:rFonts w:hint="cs"/>
          <w:rtl/>
        </w:rPr>
        <w:t>הרמב"</w:t>
      </w:r>
      <w:r w:rsidRPr="001B2D64">
        <w:rPr>
          <w:rStyle w:val="af9"/>
          <w:rFonts w:hint="cs"/>
          <w:rtl/>
        </w:rPr>
        <w:t>ן בביאורו הב'</w:t>
      </w:r>
      <w:r>
        <w:rPr>
          <w:rFonts w:hint="cs"/>
          <w:rtl/>
        </w:rPr>
        <w:t xml:space="preserve"> </w:t>
      </w:r>
      <w:r w:rsidRPr="00176841">
        <w:rPr>
          <w:rStyle w:val="af7"/>
          <w:rFonts w:eastAsia="Guttman Hodes" w:hint="cs"/>
          <w:rtl/>
        </w:rPr>
        <w:t>(ד"ה</w:t>
      </w:r>
      <w:r>
        <w:rPr>
          <w:rStyle w:val="af7"/>
          <w:rFonts w:eastAsia="Guttman Hodes" w:hint="cs"/>
          <w:rtl/>
        </w:rPr>
        <w:t xml:space="preserve"> א"נ)</w:t>
      </w:r>
      <w:r>
        <w:rPr>
          <w:rFonts w:hint="cs"/>
          <w:rtl/>
        </w:rPr>
        <w:t xml:space="preserve"> דאעפ"י דקרקע בחזקת בעליה עומדת, מ"מ אפשר להעמיד דאיירי כשיש למחזיק חזקת ג"ש, </w:t>
      </w:r>
      <w:r w:rsidRPr="001B2D64">
        <w:rPr>
          <w:rStyle w:val="afb"/>
          <w:rFonts w:hint="cs"/>
          <w:rtl/>
        </w:rPr>
        <w:t>[ודלא כ</w:t>
      </w:r>
      <w:r>
        <w:rPr>
          <w:rStyle w:val="afb"/>
          <w:rFonts w:hint="cs"/>
          <w:rtl/>
        </w:rPr>
        <w:t xml:space="preserve">דברי </w:t>
      </w:r>
      <w:r w:rsidRPr="001B2D64">
        <w:rPr>
          <w:rStyle w:val="affa"/>
          <w:rFonts w:hint="cs"/>
          <w:rtl/>
        </w:rPr>
        <w:t>הרשב"ם והרשב"א</w:t>
      </w:r>
      <w:r w:rsidRPr="001B2D64">
        <w:rPr>
          <w:rStyle w:val="afb"/>
          <w:rFonts w:hint="cs"/>
          <w:rtl/>
        </w:rPr>
        <w:t xml:space="preserve"> </w:t>
      </w:r>
      <w:r w:rsidRPr="001B2D64">
        <w:rPr>
          <w:rStyle w:val="aff6"/>
          <w:rFonts w:hint="cs"/>
          <w:rtl/>
        </w:rPr>
        <w:t xml:space="preserve">(עי' אות </w:t>
      </w:r>
      <w:r w:rsidRPr="001B2D64">
        <w:rPr>
          <w:rStyle w:val="aff6"/>
          <w:rtl/>
        </w:rPr>
        <w:fldChar w:fldCharType="begin"/>
      </w:r>
      <w:r w:rsidRPr="001B2D64">
        <w:rPr>
          <w:rStyle w:val="aff6"/>
          <w:rtl/>
        </w:rPr>
        <w:instrText xml:space="preserve"> </w:instrText>
      </w:r>
      <w:r w:rsidRPr="001B2D64">
        <w:rPr>
          <w:rStyle w:val="aff6"/>
          <w:rFonts w:hint="cs"/>
        </w:rPr>
        <w:instrText>REF</w:instrText>
      </w:r>
      <w:r w:rsidRPr="001B2D64">
        <w:rPr>
          <w:rStyle w:val="aff6"/>
          <w:rFonts w:hint="cs"/>
          <w:rtl/>
        </w:rPr>
        <w:instrText xml:space="preserve"> _</w:instrText>
      </w:r>
      <w:r w:rsidRPr="001B2D64">
        <w:rPr>
          <w:rStyle w:val="aff6"/>
          <w:rFonts w:hint="cs"/>
        </w:rPr>
        <w:instrText>Ref63160613 \r \h</w:instrText>
      </w:r>
      <w:r w:rsidRPr="001B2D64">
        <w:rPr>
          <w:rStyle w:val="aff6"/>
          <w:rtl/>
        </w:rPr>
        <w:instrText xml:space="preserve"> </w:instrText>
      </w:r>
      <w:r w:rsidRPr="001B2D64">
        <w:rPr>
          <w:rStyle w:val="aff6"/>
          <w:rtl/>
        </w:rPr>
      </w:r>
      <w:r w:rsidRPr="001B2D64">
        <w:rPr>
          <w:rStyle w:val="aff6"/>
          <w:rtl/>
        </w:rPr>
        <w:fldChar w:fldCharType="separate"/>
      </w:r>
      <w:r w:rsidR="00265073">
        <w:rPr>
          <w:rStyle w:val="aff6"/>
          <w:cs/>
        </w:rPr>
        <w:t>‎</w:t>
      </w:r>
      <w:r w:rsidR="00265073">
        <w:rPr>
          <w:rStyle w:val="aff6"/>
          <w:rtl/>
        </w:rPr>
        <w:t>א)</w:t>
      </w:r>
      <w:r w:rsidRPr="001B2D64">
        <w:rPr>
          <w:rStyle w:val="aff6"/>
          <w:rtl/>
        </w:rPr>
        <w:fldChar w:fldCharType="end"/>
      </w:r>
      <w:r w:rsidRPr="001B2D64">
        <w:rPr>
          <w:rStyle w:val="afb"/>
          <w:rFonts w:hint="cs"/>
          <w:rtl/>
        </w:rPr>
        <w:t>],</w:t>
      </w:r>
      <w:r>
        <w:rPr>
          <w:rFonts w:hint="cs"/>
          <w:rtl/>
        </w:rPr>
        <w:t xml:space="preserve"> ולכן הקרקע נמצאת ברשותו, אלא דכל מחזיק שנפסל השטר שלו, ממילא התבטלה חזקתו בקרקע, כדתניא בתוספתא </w:t>
      </w:r>
      <w:r w:rsidRPr="007109D9">
        <w:rPr>
          <w:rStyle w:val="af7"/>
          <w:rFonts w:eastAsia="Guttman Hodes" w:hint="cs"/>
          <w:rtl/>
        </w:rPr>
        <w:t>(פ"ב ה"א)</w:t>
      </w:r>
      <w:r>
        <w:rPr>
          <w:rFonts w:hint="cs"/>
          <w:rtl/>
        </w:rPr>
        <w:t xml:space="preserve"> דהמחזיק בשדה מכח שטר, ובטל השטר, בטלה חזקתו אף שיש לו חזקת ג"ש, וכתב </w:t>
      </w:r>
      <w:r w:rsidRPr="00BC1818">
        <w:rPr>
          <w:rStyle w:val="af9"/>
          <w:rFonts w:hint="cs"/>
          <w:rtl/>
        </w:rPr>
        <w:t>הרמב"ן</w:t>
      </w:r>
      <w:r>
        <w:rPr>
          <w:rFonts w:hint="cs"/>
          <w:rtl/>
        </w:rPr>
        <w:t xml:space="preserve"> דאפש"ל דדוקא במקום שהשטר נפסל שלא על פי המחזיק בטלה חזקתו, אבל הכא שהשטר נפסל ע"י הודאת המחזיק, ויש לו מיגו, </w:t>
      </w:r>
      <w:r w:rsidRPr="00111CEC">
        <w:rPr>
          <w:rStyle w:val="afb"/>
          <w:rFonts w:hint="cs"/>
          <w:rtl/>
        </w:rPr>
        <w:t xml:space="preserve">[ועי' במ"ש </w:t>
      </w:r>
      <w:r w:rsidRPr="00111CEC">
        <w:rPr>
          <w:rStyle w:val="affa"/>
          <w:rFonts w:hint="cs"/>
          <w:rtl/>
        </w:rPr>
        <w:t>הר</w:t>
      </w:r>
      <w:r>
        <w:rPr>
          <w:rStyle w:val="affa"/>
          <w:rFonts w:hint="cs"/>
          <w:rtl/>
        </w:rPr>
        <w:t>שב"א</w:t>
      </w:r>
      <w:r w:rsidRPr="00111CEC">
        <w:rPr>
          <w:rStyle w:val="afb"/>
          <w:rFonts w:hint="cs"/>
          <w:rtl/>
        </w:rPr>
        <w:t xml:space="preserve"> </w:t>
      </w:r>
      <w:r w:rsidRPr="00111CEC">
        <w:rPr>
          <w:rStyle w:val="aff6"/>
          <w:rFonts w:hint="cs"/>
          <w:rtl/>
        </w:rPr>
        <w:t xml:space="preserve">(עי' אות </w:t>
      </w:r>
      <w:r w:rsidRPr="00111CEC">
        <w:rPr>
          <w:rStyle w:val="aff6"/>
          <w:rtl/>
        </w:rPr>
        <w:fldChar w:fldCharType="begin"/>
      </w:r>
      <w:r w:rsidRPr="00111CEC">
        <w:rPr>
          <w:rStyle w:val="aff6"/>
          <w:rtl/>
        </w:rPr>
        <w:instrText xml:space="preserve"> </w:instrText>
      </w:r>
      <w:r w:rsidRPr="00111CEC">
        <w:rPr>
          <w:rStyle w:val="aff6"/>
          <w:rFonts w:hint="cs"/>
        </w:rPr>
        <w:instrText>REF</w:instrText>
      </w:r>
      <w:r w:rsidRPr="00111CEC">
        <w:rPr>
          <w:rStyle w:val="aff6"/>
          <w:rFonts w:hint="cs"/>
          <w:rtl/>
        </w:rPr>
        <w:instrText xml:space="preserve"> _</w:instrText>
      </w:r>
      <w:r w:rsidRPr="00111CEC">
        <w:rPr>
          <w:rStyle w:val="aff6"/>
          <w:rFonts w:hint="cs"/>
        </w:rPr>
        <w:instrText>Ref62678589 \r \h</w:instrText>
      </w:r>
      <w:r w:rsidRPr="00111CEC">
        <w:rPr>
          <w:rStyle w:val="aff6"/>
          <w:rtl/>
        </w:rPr>
        <w:instrText xml:space="preserve"> </w:instrText>
      </w:r>
      <w:r w:rsidRPr="00111CEC">
        <w:rPr>
          <w:rStyle w:val="aff6"/>
          <w:rtl/>
        </w:rPr>
      </w:r>
      <w:r w:rsidRPr="00111CEC">
        <w:rPr>
          <w:rStyle w:val="aff6"/>
          <w:rtl/>
        </w:rPr>
        <w:fldChar w:fldCharType="separate"/>
      </w:r>
      <w:r w:rsidR="00265073">
        <w:rPr>
          <w:rStyle w:val="aff6"/>
          <w:cs/>
        </w:rPr>
        <w:t>‎</w:t>
      </w:r>
      <w:r w:rsidR="00265073">
        <w:rPr>
          <w:rStyle w:val="aff6"/>
          <w:rtl/>
        </w:rPr>
        <w:t>צג)</w:t>
      </w:r>
      <w:r w:rsidRPr="00111CEC">
        <w:rPr>
          <w:rStyle w:val="aff6"/>
          <w:rtl/>
        </w:rPr>
        <w:fldChar w:fldCharType="end"/>
      </w:r>
      <w:r w:rsidRPr="00111CEC">
        <w:rPr>
          <w:rStyle w:val="afb"/>
          <w:rFonts w:hint="cs"/>
          <w:rtl/>
        </w:rPr>
        <w:t xml:space="preserve">], </w:t>
      </w:r>
      <w:r>
        <w:rPr>
          <w:rFonts w:hint="cs"/>
          <w:rtl/>
        </w:rPr>
        <w:t xml:space="preserve">ולכן הקרקע היא בחזקתו אף שנפסל השטר, וממילא המערער הוא המוציא ועליו להביא ראיה, ומעמידים בחזקת המחזיק, ורב יוסף סבר דכיון שמודה שהשטר פסול, ממילא בטלה החזקת ג"ש של המחזיק, והקרקע עומדת בחזקת המרא קמא, </w:t>
      </w:r>
      <w:r w:rsidRPr="00111CEC">
        <w:rPr>
          <w:rStyle w:val="afb"/>
          <w:rFonts w:hint="cs"/>
          <w:rtl/>
        </w:rPr>
        <w:t>[ואינו נאמן במיגו דהוא מיגו להוציא],</w:t>
      </w:r>
      <w:r>
        <w:rPr>
          <w:rFonts w:hint="cs"/>
          <w:rtl/>
        </w:rPr>
        <w:t xml:space="preserve"> וכתב </w:t>
      </w:r>
      <w:r w:rsidRPr="00990E93">
        <w:rPr>
          <w:rStyle w:val="af9"/>
          <w:rFonts w:hint="cs"/>
          <w:rtl/>
        </w:rPr>
        <w:t>הרמב"ן</w:t>
      </w:r>
      <w:r>
        <w:rPr>
          <w:rFonts w:hint="cs"/>
          <w:rtl/>
        </w:rPr>
        <w:t xml:space="preserve"> דבזה קיי"ל כרבה, דהקרקע בחזקת המחזיק.</w:t>
      </w:r>
      <w:bookmarkEnd w:id="13940"/>
    </w:p>
    <w:p w:rsidR="003B7617" w:rsidRDefault="003B7617" w:rsidP="003B7617">
      <w:pPr>
        <w:pStyle w:val="a3"/>
        <w:rPr>
          <w:rtl/>
        </w:rPr>
      </w:pPr>
      <w:bookmarkStart w:id="13941" w:name="_Toc63247772"/>
      <w:r>
        <w:rPr>
          <w:rFonts w:hint="cs"/>
          <w:rtl/>
        </w:rPr>
        <w:t>דחיית הרמב"ן דאי יש לו חזקה אף שבטלה טענתו מחמת עצמה מ"מ לא חשיב כמיגו להוציא</w:t>
      </w:r>
      <w:bookmarkEnd w:id="13941"/>
    </w:p>
    <w:p w:rsidR="003B7617" w:rsidRDefault="003B7617" w:rsidP="007E4E81">
      <w:pPr>
        <w:pStyle w:val="a0"/>
        <w:rPr>
          <w:rtl/>
        </w:rPr>
      </w:pPr>
      <w:bookmarkStart w:id="13942" w:name="_Ref63160940"/>
      <w:r>
        <w:rPr>
          <w:rFonts w:hint="cs"/>
          <w:rtl/>
        </w:rPr>
        <w:t xml:space="preserve">אך דחה </w:t>
      </w:r>
      <w:r w:rsidRPr="00990E93">
        <w:rPr>
          <w:rStyle w:val="af9"/>
          <w:rFonts w:hint="cs"/>
          <w:rtl/>
        </w:rPr>
        <w:t>הרמב"ן</w:t>
      </w:r>
      <w:r>
        <w:rPr>
          <w:rFonts w:hint="cs"/>
          <w:rtl/>
        </w:rPr>
        <w:t xml:space="preserve"> דכיון שיש למחזיק חזקת ג"ש, א"כ אף </w:t>
      </w:r>
      <w:r w:rsidRPr="00C77C2E">
        <w:rPr>
          <w:rFonts w:hint="cs"/>
          <w:rtl/>
        </w:rPr>
        <w:t>שהתבטלה הטענה מחמת עצמה, מ"מ</w:t>
      </w:r>
      <w:r>
        <w:rPr>
          <w:rFonts w:hint="cs"/>
          <w:rtl/>
        </w:rPr>
        <w:t xml:space="preserve"> המיגו לא חשיב כמיגו להוציא, ורק במקום שאין לו חזקת ג"ש, ויש למערער עידי מרא קמא דהקרקע היא בחזקת המרא קמא, חשיב כמיגו להוציא ואינו נאמן במיגו, ועי' במה שביאר </w:t>
      </w:r>
      <w:r w:rsidRPr="00D669F3">
        <w:rPr>
          <w:rStyle w:val="af9"/>
          <w:rFonts w:hint="cs"/>
          <w:rtl/>
        </w:rPr>
        <w:t>בחי' רבי נחום</w:t>
      </w:r>
      <w:r>
        <w:rPr>
          <w:rFonts w:hint="cs"/>
          <w:rtl/>
        </w:rPr>
        <w:t xml:space="preserve"> </w:t>
      </w:r>
      <w:r w:rsidRPr="00D669F3">
        <w:rPr>
          <w:rStyle w:val="af7"/>
          <w:rFonts w:eastAsia="Guttman Hodes" w:hint="cs"/>
          <w:rtl/>
        </w:rPr>
        <w:t xml:space="preserve">(עי' אות </w:t>
      </w:r>
      <w:r w:rsidRPr="00D669F3">
        <w:rPr>
          <w:rStyle w:val="af7"/>
          <w:rFonts w:eastAsia="Guttman Hodes"/>
          <w:rtl/>
        </w:rPr>
        <w:fldChar w:fldCharType="begin"/>
      </w:r>
      <w:r w:rsidRPr="00D669F3">
        <w:rPr>
          <w:rStyle w:val="af7"/>
          <w:rFonts w:eastAsia="Guttman Hodes"/>
          <w:rtl/>
        </w:rPr>
        <w:instrText xml:space="preserve"> </w:instrText>
      </w:r>
      <w:r w:rsidRPr="00D669F3">
        <w:rPr>
          <w:rStyle w:val="af7"/>
          <w:rFonts w:eastAsia="Guttman Hodes" w:hint="cs"/>
        </w:rPr>
        <w:instrText>REF</w:instrText>
      </w:r>
      <w:r w:rsidRPr="00D669F3">
        <w:rPr>
          <w:rStyle w:val="af7"/>
          <w:rFonts w:eastAsia="Guttman Hodes" w:hint="cs"/>
          <w:rtl/>
        </w:rPr>
        <w:instrText xml:space="preserve"> _</w:instrText>
      </w:r>
      <w:r w:rsidRPr="00D669F3">
        <w:rPr>
          <w:rStyle w:val="af7"/>
          <w:rFonts w:eastAsia="Guttman Hodes" w:hint="cs"/>
        </w:rPr>
        <w:instrText>Ref63246661 \r \h</w:instrText>
      </w:r>
      <w:r w:rsidRPr="00D669F3">
        <w:rPr>
          <w:rStyle w:val="af7"/>
          <w:rFonts w:eastAsia="Guttman Hodes"/>
          <w:rtl/>
        </w:rPr>
        <w:instrText xml:space="preserve"> </w:instrText>
      </w:r>
      <w:r w:rsidRPr="00D669F3">
        <w:rPr>
          <w:rStyle w:val="af7"/>
          <w:rFonts w:eastAsia="Guttman Hodes"/>
          <w:rtl/>
        </w:rPr>
      </w:r>
      <w:r w:rsidRPr="00D669F3">
        <w:rPr>
          <w:rStyle w:val="af7"/>
          <w:rFonts w:eastAsia="Guttman Hodes"/>
          <w:rtl/>
        </w:rPr>
        <w:fldChar w:fldCharType="separate"/>
      </w:r>
      <w:r w:rsidR="00265073">
        <w:rPr>
          <w:rStyle w:val="af7"/>
          <w:rFonts w:eastAsia="Guttman Hodes"/>
          <w:cs/>
        </w:rPr>
        <w:t>‎</w:t>
      </w:r>
      <w:r w:rsidR="00265073">
        <w:rPr>
          <w:rStyle w:val="af7"/>
          <w:rFonts w:eastAsia="Guttman Hodes"/>
          <w:rtl/>
        </w:rPr>
        <w:t>קלא)</w:t>
      </w:r>
      <w:r w:rsidRPr="00D669F3">
        <w:rPr>
          <w:rStyle w:val="af7"/>
          <w:rFonts w:eastAsia="Guttman Hodes"/>
          <w:rtl/>
        </w:rPr>
        <w:fldChar w:fldCharType="end"/>
      </w:r>
      <w:r>
        <w:rPr>
          <w:rFonts w:hint="cs"/>
          <w:rtl/>
        </w:rPr>
        <w:t xml:space="preserve"> בדברי </w:t>
      </w:r>
      <w:r w:rsidRPr="00D669F3">
        <w:rPr>
          <w:rStyle w:val="af9"/>
          <w:rFonts w:hint="cs"/>
          <w:rtl/>
        </w:rPr>
        <w:t>הרמב"ן</w:t>
      </w:r>
      <w:r>
        <w:rPr>
          <w:rFonts w:hint="cs"/>
          <w:rtl/>
        </w:rPr>
        <w:t>.</w:t>
      </w:r>
      <w:bookmarkEnd w:id="13942"/>
      <w:r>
        <w:rPr>
          <w:rFonts w:hint="cs"/>
          <w:rtl/>
        </w:rPr>
        <w:t xml:space="preserve"> </w:t>
      </w:r>
    </w:p>
    <w:p w:rsidR="003B7617" w:rsidRDefault="003B7617" w:rsidP="003B7617">
      <w:pPr>
        <w:pStyle w:val="1"/>
        <w:rPr>
          <w:rtl/>
        </w:rPr>
      </w:pPr>
      <w:bookmarkStart w:id="13943" w:name="_Toc63247773"/>
      <w:r>
        <w:rPr>
          <w:rFonts w:hint="cs"/>
          <w:rtl/>
        </w:rPr>
        <w:t>ראיות וקושיות הראשונים אי מיגו להוציא אמרינן או לא</w:t>
      </w:r>
      <w:bookmarkEnd w:id="13943"/>
    </w:p>
    <w:p w:rsidR="003B7617" w:rsidRDefault="003B7617" w:rsidP="003B7617">
      <w:pPr>
        <w:pStyle w:val="a3"/>
        <w:rPr>
          <w:rtl/>
        </w:rPr>
      </w:pPr>
      <w:bookmarkStart w:id="13944" w:name="_Toc63247774"/>
      <w:r>
        <w:rPr>
          <w:rFonts w:hint="cs"/>
          <w:rtl/>
        </w:rPr>
        <w:t>דברי הר"י מגאש והריב"ם בב"מ דמהא דבטוען חציה שלי ל"מ מיגו מוכח דמיגו להוציא</w:t>
      </w:r>
      <w:r w:rsidRPr="00360135">
        <w:rPr>
          <w:rFonts w:hint="cs"/>
          <w:rtl/>
        </w:rPr>
        <w:t xml:space="preserve"> </w:t>
      </w:r>
      <w:r>
        <w:rPr>
          <w:rFonts w:hint="cs"/>
          <w:rtl/>
        </w:rPr>
        <w:t>ל"א</w:t>
      </w:r>
      <w:bookmarkEnd w:id="13944"/>
    </w:p>
    <w:p w:rsidR="003B7617" w:rsidRDefault="003B7617" w:rsidP="007E4E81">
      <w:pPr>
        <w:pStyle w:val="a0"/>
        <w:rPr>
          <w:rtl/>
        </w:rPr>
      </w:pPr>
      <w:bookmarkStart w:id="13945" w:name="_Ref63178756"/>
      <w:r>
        <w:rPr>
          <w:rFonts w:hint="cs"/>
          <w:rtl/>
        </w:rPr>
        <w:t xml:space="preserve">הביא </w:t>
      </w:r>
      <w:r w:rsidRPr="00BC1818">
        <w:rPr>
          <w:rStyle w:val="af9"/>
          <w:rFonts w:hint="cs"/>
          <w:rtl/>
        </w:rPr>
        <w:t xml:space="preserve">הר"י </w:t>
      </w:r>
      <w:r w:rsidRPr="00990E93">
        <w:rPr>
          <w:rStyle w:val="af9"/>
          <w:rFonts w:hint="cs"/>
          <w:rtl/>
        </w:rPr>
        <w:t>מגאש</w:t>
      </w:r>
      <w:r>
        <w:rPr>
          <w:rFonts w:hint="cs"/>
          <w:rtl/>
        </w:rPr>
        <w:t xml:space="preserve"> </w:t>
      </w:r>
      <w:r w:rsidRPr="007109D9">
        <w:rPr>
          <w:rStyle w:val="af7"/>
          <w:rFonts w:eastAsia="Guttman Hodes" w:hint="cs"/>
          <w:rtl/>
        </w:rPr>
        <w:t>(לב. ד"ה אנן אחתיניה)</w:t>
      </w:r>
      <w:r>
        <w:rPr>
          <w:rFonts w:hint="cs"/>
          <w:rtl/>
        </w:rPr>
        <w:t xml:space="preserve"> ראיה דלא אמרינן מיגו להוציא, מהא דתנן בב"מ </w:t>
      </w:r>
      <w:r w:rsidRPr="007109D9">
        <w:rPr>
          <w:rStyle w:val="af7"/>
          <w:rFonts w:eastAsia="Guttman Hodes" w:hint="cs"/>
          <w:rtl/>
        </w:rPr>
        <w:t>(ב.)</w:t>
      </w:r>
      <w:r>
        <w:rPr>
          <w:rFonts w:hint="cs"/>
          <w:rtl/>
        </w:rPr>
        <w:t xml:space="preserve"> דבשנים אוחזין בטלית, וזה אומר כולה שלי וזה אומר חציה שלי, דזה נוטל ג' חלקים וזה נוטל רבע, ולא אמרינן דהאומר כולה שלי, נאמן בטענתו דחציה שלי, במיגו דהיה טוען כולה שלי, כיון שהוא מיגו להוציא</w:t>
      </w:r>
      <w:r w:rsidRPr="004542AB">
        <w:rPr>
          <w:rFonts w:hint="cs"/>
          <w:rtl/>
        </w:rPr>
        <w:t xml:space="preserve"> </w:t>
      </w:r>
      <w:r>
        <w:rPr>
          <w:rFonts w:hint="cs"/>
          <w:rtl/>
        </w:rPr>
        <w:t xml:space="preserve">וכ"כ </w:t>
      </w:r>
      <w:r w:rsidRPr="004542AB">
        <w:rPr>
          <w:rStyle w:val="af9"/>
          <w:rFonts w:hint="cs"/>
          <w:rtl/>
        </w:rPr>
        <w:t>ריב"ם בתוס' בב"מ</w:t>
      </w:r>
      <w:r>
        <w:rPr>
          <w:rFonts w:hint="cs"/>
          <w:rtl/>
        </w:rPr>
        <w:t xml:space="preserve"> </w:t>
      </w:r>
      <w:r w:rsidRPr="004542AB">
        <w:rPr>
          <w:rStyle w:val="af7"/>
          <w:rFonts w:eastAsia="Guttman Hodes" w:hint="cs"/>
          <w:rtl/>
        </w:rPr>
        <w:t>(ב. ד"ה וזה)</w:t>
      </w:r>
      <w:r>
        <w:rPr>
          <w:rFonts w:hint="cs"/>
          <w:rtl/>
        </w:rPr>
        <w:t xml:space="preserve"> דהא דאינו נאמן במיגו, הוא כיון דהוא מיגו להוציא, דבחצי השני שניהם מוחזקים.</w:t>
      </w:r>
      <w:bookmarkEnd w:id="13945"/>
    </w:p>
    <w:p w:rsidR="003B7617" w:rsidRDefault="003B7617" w:rsidP="003B7617">
      <w:pPr>
        <w:pStyle w:val="a3"/>
      </w:pPr>
      <w:bookmarkStart w:id="13946" w:name="_Toc63247775"/>
      <w:r>
        <w:rPr>
          <w:rFonts w:hint="cs"/>
          <w:rtl/>
        </w:rPr>
        <w:lastRenderedPageBreak/>
        <w:t>קושית הרמב"ן דא"כ היאך יפרש רבה את המשנה וביאר דל"מ מיגו לזכות יותר מטענת המיגו</w:t>
      </w:r>
      <w:bookmarkEnd w:id="13946"/>
    </w:p>
    <w:p w:rsidR="003B7617" w:rsidRDefault="003B7617" w:rsidP="007E4E81">
      <w:pPr>
        <w:pStyle w:val="a0"/>
        <w:rPr>
          <w:rStyle w:val="afb"/>
          <w:rtl/>
        </w:rPr>
      </w:pPr>
      <w:bookmarkStart w:id="13947" w:name="_Ref63196839"/>
      <w:r>
        <w:rPr>
          <w:rFonts w:hint="cs"/>
          <w:rtl/>
        </w:rPr>
        <w:t xml:space="preserve">אך הקשה </w:t>
      </w:r>
      <w:r w:rsidRPr="0091425F">
        <w:rPr>
          <w:rStyle w:val="af9"/>
          <w:rFonts w:hint="cs"/>
          <w:rtl/>
        </w:rPr>
        <w:t xml:space="preserve">הרמב"ן </w:t>
      </w:r>
      <w:r w:rsidRPr="0091425F">
        <w:rPr>
          <w:rStyle w:val="af7"/>
          <w:rFonts w:eastAsia="Guttman Hodes" w:hint="cs"/>
          <w:rtl/>
        </w:rPr>
        <w:t xml:space="preserve">(ד"ה וגמרי) </w:t>
      </w:r>
      <w:r>
        <w:rPr>
          <w:rFonts w:hint="cs"/>
          <w:rtl/>
        </w:rPr>
        <w:t xml:space="preserve">על הוכחת </w:t>
      </w:r>
      <w:r w:rsidRPr="0091425F">
        <w:rPr>
          <w:rStyle w:val="af9"/>
          <w:rFonts w:hint="cs"/>
          <w:rtl/>
        </w:rPr>
        <w:t xml:space="preserve">הר"י מגאש </w:t>
      </w:r>
      <w:r>
        <w:rPr>
          <w:rFonts w:hint="cs"/>
          <w:rtl/>
        </w:rPr>
        <w:t xml:space="preserve">מהמשנה בב"מ דא"כ צריך לבאר מה יפרש רבה במשנה בב"מ, </w:t>
      </w:r>
      <w:r w:rsidRPr="0091425F">
        <w:rPr>
          <w:rStyle w:val="afb"/>
          <w:rFonts w:hint="cs"/>
          <w:rtl/>
        </w:rPr>
        <w:t xml:space="preserve">[ועי' במה שתירץ </w:t>
      </w:r>
      <w:r w:rsidRPr="0091425F">
        <w:rPr>
          <w:rStyle w:val="affa"/>
          <w:rFonts w:hint="cs"/>
          <w:rtl/>
        </w:rPr>
        <w:t>הרשב"א</w:t>
      </w:r>
      <w:r w:rsidRPr="0091425F">
        <w:rPr>
          <w:rStyle w:val="afb"/>
          <w:rFonts w:hint="cs"/>
          <w:rtl/>
        </w:rPr>
        <w:t xml:space="preserve"> </w:t>
      </w:r>
      <w:r w:rsidRPr="00CB573A">
        <w:rPr>
          <w:rStyle w:val="aff6"/>
          <w:rFonts w:hint="cs"/>
          <w:rtl/>
        </w:rPr>
        <w:t xml:space="preserve">(עי' אות </w:t>
      </w:r>
      <w:r w:rsidRPr="00CB573A">
        <w:rPr>
          <w:rStyle w:val="aff6"/>
          <w:rtl/>
        </w:rPr>
        <w:fldChar w:fldCharType="begin"/>
      </w:r>
      <w:r w:rsidRPr="00CB573A">
        <w:rPr>
          <w:rStyle w:val="aff6"/>
          <w:rtl/>
        </w:rPr>
        <w:instrText xml:space="preserve"> </w:instrText>
      </w:r>
      <w:r w:rsidRPr="00CB573A">
        <w:rPr>
          <w:rStyle w:val="aff6"/>
          <w:rFonts w:hint="cs"/>
        </w:rPr>
        <w:instrText>REF</w:instrText>
      </w:r>
      <w:r w:rsidRPr="00CB573A">
        <w:rPr>
          <w:rStyle w:val="aff6"/>
          <w:rFonts w:hint="cs"/>
          <w:rtl/>
        </w:rPr>
        <w:instrText xml:space="preserve"> _</w:instrText>
      </w:r>
      <w:r w:rsidRPr="00CB573A">
        <w:rPr>
          <w:rStyle w:val="aff6"/>
          <w:rFonts w:hint="cs"/>
        </w:rPr>
        <w:instrText>Ref63196987 \r \h</w:instrText>
      </w:r>
      <w:r w:rsidRPr="00CB573A">
        <w:rPr>
          <w:rStyle w:val="aff6"/>
          <w:rtl/>
        </w:rPr>
        <w:instrText xml:space="preserve"> </w:instrText>
      </w:r>
      <w:r w:rsidRPr="00CB573A">
        <w:rPr>
          <w:rStyle w:val="aff6"/>
          <w:rtl/>
        </w:rPr>
      </w:r>
      <w:r w:rsidRPr="00CB573A">
        <w:rPr>
          <w:rStyle w:val="aff6"/>
          <w:rtl/>
        </w:rPr>
        <w:fldChar w:fldCharType="separate"/>
      </w:r>
      <w:r w:rsidR="00265073">
        <w:rPr>
          <w:rStyle w:val="aff6"/>
          <w:cs/>
        </w:rPr>
        <w:t>‎</w:t>
      </w:r>
      <w:r w:rsidR="00265073">
        <w:rPr>
          <w:rStyle w:val="aff6"/>
          <w:rtl/>
        </w:rPr>
        <w:t>פג)</w:t>
      </w:r>
      <w:r w:rsidRPr="00CB573A">
        <w:rPr>
          <w:rStyle w:val="aff6"/>
          <w:rtl/>
        </w:rPr>
        <w:fldChar w:fldCharType="end"/>
      </w:r>
      <w:r w:rsidRPr="0091425F">
        <w:rPr>
          <w:rStyle w:val="afb"/>
          <w:rFonts w:hint="cs"/>
          <w:rtl/>
        </w:rPr>
        <w:t xml:space="preserve">], </w:t>
      </w:r>
      <w:r>
        <w:rPr>
          <w:rFonts w:hint="cs"/>
          <w:rtl/>
        </w:rPr>
        <w:t xml:space="preserve">אלא כתב </w:t>
      </w:r>
      <w:r w:rsidRPr="0091425F">
        <w:rPr>
          <w:rStyle w:val="af9"/>
          <w:rFonts w:hint="cs"/>
          <w:rtl/>
        </w:rPr>
        <w:t xml:space="preserve">הרמב"ן </w:t>
      </w:r>
      <w:r>
        <w:rPr>
          <w:rFonts w:hint="cs"/>
          <w:rtl/>
        </w:rPr>
        <w:t xml:space="preserve">דאין ראיה מהמשנה בב"מ, דכיון דבאומר כולה שלי הוא נאמן על חצי טענתו, ה"ה באומר חציה שלי דהוא נאמן בחצי טענתו, וכ"כ </w:t>
      </w:r>
      <w:r>
        <w:rPr>
          <w:rStyle w:val="af9"/>
          <w:rFonts w:hint="cs"/>
          <w:rtl/>
        </w:rPr>
        <w:t>רבינו יונה</w:t>
      </w:r>
      <w:r>
        <w:rPr>
          <w:rFonts w:hint="cs"/>
          <w:rtl/>
        </w:rPr>
        <w:t xml:space="preserve"> </w:t>
      </w:r>
      <w:r w:rsidRPr="001E7F55">
        <w:rPr>
          <w:rStyle w:val="af7"/>
          <w:rFonts w:eastAsia="Guttman Hodes" w:hint="cs"/>
          <w:rtl/>
        </w:rPr>
        <w:t>(ד"ה אמר רבא)</w:t>
      </w:r>
      <w:r w:rsidRPr="000871B7">
        <w:rPr>
          <w:rFonts w:hint="cs"/>
          <w:rtl/>
        </w:rPr>
        <w:t xml:space="preserve"> </w:t>
      </w:r>
      <w:r w:rsidRPr="0091425F">
        <w:rPr>
          <w:rStyle w:val="af9"/>
          <w:rFonts w:hint="cs"/>
          <w:rtl/>
        </w:rPr>
        <w:t>והרשב"א</w:t>
      </w:r>
      <w:r>
        <w:rPr>
          <w:rFonts w:hint="cs"/>
          <w:rtl/>
        </w:rPr>
        <w:t xml:space="preserve"> </w:t>
      </w:r>
      <w:r w:rsidRPr="0091425F">
        <w:rPr>
          <w:rStyle w:val="af7"/>
          <w:rFonts w:eastAsia="Guttman Hodes" w:hint="cs"/>
          <w:rtl/>
        </w:rPr>
        <w:t>(סוד"ה ויש מקשים</w:t>
      </w:r>
      <w:r>
        <w:rPr>
          <w:rStyle w:val="af7"/>
          <w:rFonts w:eastAsia="Guttman Hodes" w:hint="cs"/>
          <w:rtl/>
        </w:rPr>
        <w:t>)</w:t>
      </w:r>
      <w:r>
        <w:rPr>
          <w:rFonts w:hint="cs"/>
          <w:rtl/>
        </w:rPr>
        <w:t xml:space="preserve"> ועי' במה שביאר </w:t>
      </w:r>
      <w:r w:rsidRPr="009F5D67">
        <w:rPr>
          <w:rStyle w:val="af9"/>
          <w:rFonts w:hint="cs"/>
          <w:rtl/>
        </w:rPr>
        <w:t>בחי' רבי נחום</w:t>
      </w:r>
      <w:r>
        <w:rPr>
          <w:rFonts w:hint="cs"/>
          <w:rtl/>
        </w:rPr>
        <w:t xml:space="preserve"> </w:t>
      </w:r>
      <w:r w:rsidRPr="0043463A">
        <w:rPr>
          <w:rStyle w:val="af7"/>
          <w:rFonts w:eastAsia="Guttman Hodes" w:hint="cs"/>
          <w:rtl/>
        </w:rPr>
        <w:t xml:space="preserve">(עי' אות </w:t>
      </w:r>
      <w:r w:rsidRPr="0043463A">
        <w:rPr>
          <w:rStyle w:val="af7"/>
          <w:rFonts w:eastAsia="Guttman Hodes"/>
          <w:rtl/>
        </w:rPr>
        <w:fldChar w:fldCharType="begin"/>
      </w:r>
      <w:r w:rsidRPr="0043463A">
        <w:rPr>
          <w:rStyle w:val="af7"/>
          <w:rFonts w:eastAsia="Guttman Hodes"/>
          <w:rtl/>
        </w:rPr>
        <w:instrText xml:space="preserve"> </w:instrText>
      </w:r>
      <w:r w:rsidRPr="0043463A">
        <w:rPr>
          <w:rStyle w:val="af7"/>
          <w:rFonts w:eastAsia="Guttman Hodes" w:hint="cs"/>
        </w:rPr>
        <w:instrText>REF</w:instrText>
      </w:r>
      <w:r w:rsidRPr="0043463A">
        <w:rPr>
          <w:rStyle w:val="af7"/>
          <w:rFonts w:eastAsia="Guttman Hodes" w:hint="cs"/>
          <w:rtl/>
        </w:rPr>
        <w:instrText xml:space="preserve"> _</w:instrText>
      </w:r>
      <w:r w:rsidRPr="0043463A">
        <w:rPr>
          <w:rStyle w:val="af7"/>
          <w:rFonts w:eastAsia="Guttman Hodes" w:hint="cs"/>
        </w:rPr>
        <w:instrText>Ref63177996 \r \h</w:instrText>
      </w:r>
      <w:r w:rsidRPr="0043463A">
        <w:rPr>
          <w:rStyle w:val="af7"/>
          <w:rFonts w:eastAsia="Guttman Hodes"/>
          <w:rtl/>
        </w:rPr>
        <w:instrText xml:space="preserve"> </w:instrText>
      </w:r>
      <w:r w:rsidRPr="0043463A">
        <w:rPr>
          <w:rStyle w:val="af7"/>
          <w:rFonts w:eastAsia="Guttman Hodes"/>
          <w:rtl/>
        </w:rPr>
      </w:r>
      <w:r w:rsidRPr="0043463A">
        <w:rPr>
          <w:rStyle w:val="af7"/>
          <w:rFonts w:eastAsia="Guttman Hodes"/>
          <w:rtl/>
        </w:rPr>
        <w:fldChar w:fldCharType="separate"/>
      </w:r>
      <w:r w:rsidR="00265073">
        <w:rPr>
          <w:rStyle w:val="af7"/>
          <w:rFonts w:eastAsia="Guttman Hodes"/>
          <w:cs/>
        </w:rPr>
        <w:t>‎</w:t>
      </w:r>
      <w:r w:rsidR="00265073">
        <w:rPr>
          <w:rStyle w:val="af7"/>
          <w:rFonts w:eastAsia="Guttman Hodes"/>
          <w:rtl/>
        </w:rPr>
        <w:t>קכו)</w:t>
      </w:r>
      <w:r w:rsidRPr="0043463A">
        <w:rPr>
          <w:rStyle w:val="af7"/>
          <w:rFonts w:eastAsia="Guttman Hodes"/>
          <w:rtl/>
        </w:rPr>
        <w:fldChar w:fldCharType="end"/>
      </w:r>
      <w:r>
        <w:rPr>
          <w:rFonts w:hint="cs"/>
          <w:rtl/>
        </w:rPr>
        <w:t xml:space="preserve"> בדברי </w:t>
      </w:r>
      <w:r w:rsidRPr="009F5D67">
        <w:rPr>
          <w:rStyle w:val="af9"/>
          <w:rFonts w:hint="cs"/>
          <w:rtl/>
        </w:rPr>
        <w:t>הרמב"ן</w:t>
      </w:r>
      <w:r>
        <w:rPr>
          <w:rFonts w:hint="cs"/>
          <w:rtl/>
        </w:rPr>
        <w:t xml:space="preserve">. </w:t>
      </w:r>
      <w:r w:rsidRPr="001E7F55">
        <w:rPr>
          <w:rStyle w:val="afb"/>
          <w:rFonts w:hint="cs"/>
          <w:rtl/>
        </w:rPr>
        <w:t xml:space="preserve">[והוסיף </w:t>
      </w:r>
      <w:r w:rsidRPr="0091425F">
        <w:rPr>
          <w:rStyle w:val="affa"/>
          <w:rFonts w:hint="cs"/>
          <w:rtl/>
        </w:rPr>
        <w:t>הרמב"ן בב"מ</w:t>
      </w:r>
      <w:r w:rsidRPr="001E7F55">
        <w:rPr>
          <w:rStyle w:val="afb"/>
          <w:rFonts w:hint="cs"/>
          <w:rtl/>
        </w:rPr>
        <w:t xml:space="preserve"> </w:t>
      </w:r>
      <w:r w:rsidRPr="0091425F">
        <w:rPr>
          <w:rStyle w:val="aff6"/>
          <w:rFonts w:hint="cs"/>
          <w:rtl/>
        </w:rPr>
        <w:t>(ב. ד"ה והאומר)</w:t>
      </w:r>
      <w:r w:rsidRPr="001E7F55">
        <w:rPr>
          <w:rStyle w:val="afb"/>
          <w:rFonts w:hint="cs"/>
          <w:rtl/>
        </w:rPr>
        <w:t xml:space="preserve"> דאם הוא נאמן לקבל את כל טענתו, א"כ הוא נאמן בטענה שטוען עכשיו, יותר מהטענה של המיגו שהיה מקבל רק חצי טענתו, דהרי את החצי השני כבר הודה שהוא של השני, וחשיב שהשני נטלו, וא"א לומר שהוא נאמן בטענה שטוען בגלימה אחת, על גלימה אחרת שלו].</w:t>
      </w:r>
      <w:bookmarkEnd w:id="13947"/>
    </w:p>
    <w:p w:rsidR="003B7617" w:rsidRDefault="003B7617" w:rsidP="003B7617">
      <w:pPr>
        <w:pStyle w:val="a3"/>
        <w:rPr>
          <w:rtl/>
        </w:rPr>
      </w:pPr>
      <w:bookmarkStart w:id="13948" w:name="_Toc63247776"/>
      <w:r>
        <w:rPr>
          <w:rFonts w:hint="cs"/>
          <w:rtl/>
        </w:rPr>
        <w:t>תירוץ רבינו יונה והר"ן דבאומר חציה שלי לא מהני מיגו דלא מהני מיגו מממון לממון</w:t>
      </w:r>
      <w:bookmarkEnd w:id="13948"/>
    </w:p>
    <w:p w:rsidR="003B7617" w:rsidRDefault="003B7617" w:rsidP="007E4E81">
      <w:pPr>
        <w:pStyle w:val="a0"/>
        <w:rPr>
          <w:rtl/>
        </w:rPr>
      </w:pPr>
      <w:r>
        <w:rPr>
          <w:rFonts w:hint="cs"/>
          <w:rtl/>
        </w:rPr>
        <w:t xml:space="preserve">ועוד תירץ </w:t>
      </w:r>
      <w:r>
        <w:rPr>
          <w:rStyle w:val="af9"/>
          <w:rFonts w:hint="cs"/>
          <w:rtl/>
        </w:rPr>
        <w:t>רבינו יונה</w:t>
      </w:r>
      <w:r>
        <w:rPr>
          <w:rFonts w:hint="cs"/>
          <w:rtl/>
        </w:rPr>
        <w:t xml:space="preserve"> </w:t>
      </w:r>
      <w:r w:rsidRPr="0091425F">
        <w:rPr>
          <w:rStyle w:val="af7"/>
          <w:rFonts w:eastAsia="Guttman Hodes" w:hint="cs"/>
          <w:rtl/>
        </w:rPr>
        <w:t xml:space="preserve">(ד"ה אמר רבא) </w:t>
      </w:r>
      <w:r>
        <w:rPr>
          <w:rFonts w:hint="cs"/>
          <w:rtl/>
        </w:rPr>
        <w:t xml:space="preserve">בשם </w:t>
      </w:r>
      <w:r w:rsidRPr="00026FC7">
        <w:rPr>
          <w:rStyle w:val="af9"/>
          <w:rFonts w:hint="cs"/>
          <w:rtl/>
        </w:rPr>
        <w:t>י"א</w:t>
      </w:r>
      <w:r>
        <w:rPr>
          <w:rFonts w:hint="cs"/>
          <w:rtl/>
        </w:rPr>
        <w:t xml:space="preserve"> דאינו נאמן בטענה שלא היה נאמן במה שתופס עכשיו, במיגו שהיה תובע ממון אחר יותר ממה שתובע </w:t>
      </w:r>
      <w:r w:rsidRPr="007026DC">
        <w:rPr>
          <w:rFonts w:hint="cs"/>
          <w:rtl/>
        </w:rPr>
        <w:t>עכשיו, דאינו מעיז לתבוע יותר</w:t>
      </w:r>
      <w:r>
        <w:rPr>
          <w:rFonts w:hint="cs"/>
          <w:rtl/>
        </w:rPr>
        <w:t xml:space="preserve">, </w:t>
      </w:r>
      <w:r w:rsidRPr="007026DC">
        <w:rPr>
          <w:rFonts w:hint="cs"/>
          <w:rtl/>
        </w:rPr>
        <w:t>[</w:t>
      </w:r>
      <w:r w:rsidRPr="0091425F">
        <w:rPr>
          <w:rStyle w:val="afb"/>
          <w:rFonts w:hint="cs"/>
          <w:rtl/>
        </w:rPr>
        <w:t>והיינו דאין אומרים מיגו מממון לממון],</w:t>
      </w:r>
      <w:r>
        <w:rPr>
          <w:rFonts w:hint="cs"/>
          <w:rtl/>
        </w:rPr>
        <w:t xml:space="preserve"> </w:t>
      </w:r>
      <w:r w:rsidRPr="007026DC">
        <w:rPr>
          <w:rFonts w:hint="cs"/>
          <w:rtl/>
        </w:rPr>
        <w:t xml:space="preserve">וכ"כ </w:t>
      </w:r>
      <w:r w:rsidRPr="0091425F">
        <w:rPr>
          <w:rStyle w:val="af9"/>
          <w:rFonts w:hint="cs"/>
          <w:rtl/>
        </w:rPr>
        <w:t>הר"ן</w:t>
      </w:r>
      <w:r>
        <w:rPr>
          <w:rFonts w:hint="cs"/>
          <w:rtl/>
        </w:rPr>
        <w:t xml:space="preserve"> </w:t>
      </w:r>
      <w:r w:rsidRPr="0091425F">
        <w:rPr>
          <w:rStyle w:val="af7"/>
          <w:rFonts w:eastAsia="Guttman Hodes" w:hint="cs"/>
          <w:rtl/>
        </w:rPr>
        <w:t>(ד"ה אמאי)</w:t>
      </w:r>
      <w:r>
        <w:rPr>
          <w:rFonts w:hint="cs"/>
          <w:rtl/>
        </w:rPr>
        <w:t xml:space="preserve"> דבגמ' בב"מ אפש"ל דאינו נאמן במיגו, כיון דהנאמנות במיגו היא רק באותו דבר שהוא תובע או כופר ולא בדבר אחר, וכתב </w:t>
      </w:r>
      <w:r w:rsidRPr="0091425F">
        <w:rPr>
          <w:rStyle w:val="af9"/>
          <w:rFonts w:hint="cs"/>
          <w:rtl/>
        </w:rPr>
        <w:t>הר"ן</w:t>
      </w:r>
      <w:r>
        <w:rPr>
          <w:rFonts w:hint="cs"/>
          <w:rtl/>
        </w:rPr>
        <w:t xml:space="preserve"> דא"כ אפש"ל דלעולם מיגו להוציא אמרינן, וע"ע בדברי </w:t>
      </w:r>
      <w:r w:rsidRPr="0091425F">
        <w:rPr>
          <w:rStyle w:val="af9"/>
          <w:rFonts w:hint="cs"/>
          <w:rtl/>
        </w:rPr>
        <w:t>הר"ן בב"מ</w:t>
      </w:r>
      <w:r>
        <w:rPr>
          <w:rFonts w:hint="cs"/>
          <w:rtl/>
        </w:rPr>
        <w:t xml:space="preserve"> </w:t>
      </w:r>
      <w:r w:rsidRPr="0091425F">
        <w:rPr>
          <w:rStyle w:val="af7"/>
          <w:rFonts w:eastAsia="Guttman Hodes" w:hint="cs"/>
          <w:rtl/>
        </w:rPr>
        <w:t>(ב. ד"ה וזה)</w:t>
      </w:r>
      <w:r w:rsidRPr="007026DC">
        <w:rPr>
          <w:rFonts w:hint="cs"/>
          <w:rtl/>
        </w:rPr>
        <w:t>.</w:t>
      </w:r>
      <w:r w:rsidRPr="00B55EA8">
        <w:rPr>
          <w:rFonts w:hint="cs"/>
          <w:rtl/>
        </w:rPr>
        <w:t xml:space="preserve"> </w:t>
      </w:r>
    </w:p>
    <w:p w:rsidR="003B7617" w:rsidRDefault="003B7617" w:rsidP="003B7617">
      <w:pPr>
        <w:pStyle w:val="a3"/>
      </w:pPr>
      <w:bookmarkStart w:id="13949" w:name="_Toc63247777"/>
      <w:r>
        <w:rPr>
          <w:rFonts w:hint="cs"/>
          <w:rtl/>
        </w:rPr>
        <w:t>ביאור הרמב"ן דבסטראי נאמן על מה שגבה מהלוה שהוא בידו ואינו נאמן להוציא ע"י המיגו</w:t>
      </w:r>
      <w:bookmarkEnd w:id="13949"/>
    </w:p>
    <w:p w:rsidR="003B7617" w:rsidRDefault="003B7617" w:rsidP="007E4E81">
      <w:pPr>
        <w:pStyle w:val="a0"/>
        <w:rPr>
          <w:rtl/>
        </w:rPr>
      </w:pPr>
      <w:bookmarkStart w:id="13950" w:name="_Ref63197458"/>
      <w:r>
        <w:rPr>
          <w:rFonts w:hint="cs"/>
          <w:rtl/>
        </w:rPr>
        <w:t xml:space="preserve">והקשה </w:t>
      </w:r>
      <w:r w:rsidRPr="0091425F">
        <w:rPr>
          <w:rStyle w:val="af9"/>
          <w:rFonts w:hint="cs"/>
          <w:rtl/>
        </w:rPr>
        <w:t>הרמב"ן</w:t>
      </w:r>
      <w:r>
        <w:rPr>
          <w:rFonts w:hint="cs"/>
          <w:rtl/>
        </w:rPr>
        <w:t xml:space="preserve"> </w:t>
      </w:r>
      <w:r w:rsidRPr="00026FC7">
        <w:rPr>
          <w:rStyle w:val="af7"/>
          <w:rFonts w:eastAsia="Guttman Hodes" w:hint="cs"/>
          <w:rtl/>
        </w:rPr>
        <w:t>(ד"ה וגמרי)</w:t>
      </w:r>
      <w:r>
        <w:rPr>
          <w:rFonts w:hint="cs"/>
          <w:rtl/>
        </w:rPr>
        <w:t xml:space="preserve"> על דברי </w:t>
      </w:r>
      <w:r w:rsidRPr="00BC1818">
        <w:rPr>
          <w:rStyle w:val="af9"/>
          <w:rFonts w:hint="cs"/>
          <w:rtl/>
        </w:rPr>
        <w:t>הר"י מגאש</w:t>
      </w:r>
      <w:r>
        <w:rPr>
          <w:rFonts w:hint="cs"/>
          <w:rtl/>
        </w:rPr>
        <w:t xml:space="preserve"> </w:t>
      </w:r>
      <w:r w:rsidRPr="00D3308F">
        <w:rPr>
          <w:rStyle w:val="af7"/>
          <w:rFonts w:eastAsia="Guttman Hodes" w:hint="cs"/>
          <w:rtl/>
        </w:rPr>
        <w:t xml:space="preserve">(עי' אות </w:t>
      </w:r>
      <w:r w:rsidRPr="00D3308F">
        <w:rPr>
          <w:rStyle w:val="af7"/>
          <w:rFonts w:eastAsia="Guttman Hodes"/>
          <w:rtl/>
        </w:rPr>
        <w:fldChar w:fldCharType="begin"/>
      </w:r>
      <w:r w:rsidRPr="00D3308F">
        <w:rPr>
          <w:rStyle w:val="af7"/>
          <w:rFonts w:eastAsia="Guttman Hodes"/>
          <w:rtl/>
        </w:rPr>
        <w:instrText xml:space="preserve"> </w:instrText>
      </w:r>
      <w:r w:rsidRPr="00D3308F">
        <w:rPr>
          <w:rStyle w:val="af7"/>
          <w:rFonts w:eastAsia="Guttman Hodes" w:hint="cs"/>
        </w:rPr>
        <w:instrText>REF</w:instrText>
      </w:r>
      <w:r w:rsidRPr="00D3308F">
        <w:rPr>
          <w:rStyle w:val="af7"/>
          <w:rFonts w:eastAsia="Guttman Hodes" w:hint="cs"/>
          <w:rtl/>
        </w:rPr>
        <w:instrText xml:space="preserve"> _</w:instrText>
      </w:r>
      <w:r w:rsidRPr="00D3308F">
        <w:rPr>
          <w:rStyle w:val="af7"/>
          <w:rFonts w:eastAsia="Guttman Hodes" w:hint="cs"/>
        </w:rPr>
        <w:instrText>Ref63185874 \r \h</w:instrText>
      </w:r>
      <w:r w:rsidRPr="00D3308F">
        <w:rPr>
          <w:rStyle w:val="af7"/>
          <w:rFonts w:eastAsia="Guttman Hodes"/>
          <w:rtl/>
        </w:rPr>
        <w:instrText xml:space="preserve"> </w:instrText>
      </w:r>
      <w:r w:rsidRPr="00D3308F">
        <w:rPr>
          <w:rStyle w:val="af7"/>
          <w:rFonts w:eastAsia="Guttman Hodes"/>
          <w:rtl/>
        </w:rPr>
      </w:r>
      <w:r w:rsidRPr="00D3308F">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D3308F">
        <w:rPr>
          <w:rStyle w:val="af7"/>
          <w:rFonts w:eastAsia="Guttman Hodes"/>
          <w:rtl/>
        </w:rPr>
        <w:fldChar w:fldCharType="end"/>
      </w:r>
      <w:r>
        <w:rPr>
          <w:rStyle w:val="af7"/>
          <w:rFonts w:eastAsia="Guttman Hodes" w:hint="cs"/>
          <w:rtl/>
        </w:rPr>
        <w:t xml:space="preserve"> </w:t>
      </w:r>
      <w:r w:rsidRPr="004017A7">
        <w:rPr>
          <w:rFonts w:hint="cs"/>
          <w:rtl/>
        </w:rPr>
        <w:t>ד</w:t>
      </w:r>
      <w:r>
        <w:rPr>
          <w:rFonts w:hint="cs"/>
          <w:rtl/>
        </w:rPr>
        <w:t>מיגו להוציא</w:t>
      </w:r>
      <w:r w:rsidRPr="004017A7">
        <w:rPr>
          <w:rFonts w:hint="cs"/>
          <w:rtl/>
        </w:rPr>
        <w:t xml:space="preserve"> לא</w:t>
      </w:r>
      <w:r>
        <w:rPr>
          <w:rFonts w:hint="cs"/>
          <w:rtl/>
        </w:rPr>
        <w:t xml:space="preserve"> אמרינן, דהא איתא בגמ' בשבועות </w:t>
      </w:r>
      <w:r w:rsidRPr="00026FC7">
        <w:rPr>
          <w:rStyle w:val="af7"/>
          <w:rFonts w:eastAsia="Guttman Hodes" w:hint="cs"/>
          <w:rtl/>
        </w:rPr>
        <w:t>(מב.)</w:t>
      </w:r>
      <w:r>
        <w:rPr>
          <w:rFonts w:hint="cs"/>
          <w:rtl/>
        </w:rPr>
        <w:t xml:space="preserve"> דמלוה שמוציא שטר על הלוה, וטען הלוה שהוא פרוע, והודה המלוה שפרע לו שלא בפני עדים, אך </w:t>
      </w:r>
      <w:r>
        <w:rPr>
          <w:rtl/>
        </w:rPr>
        <w:t>הנהו סיטראי נינהו</w:t>
      </w:r>
      <w:r>
        <w:rPr>
          <w:rFonts w:hint="cs"/>
          <w:rtl/>
        </w:rPr>
        <w:t xml:space="preserve">, </w:t>
      </w:r>
      <w:r w:rsidRPr="00026FC7">
        <w:rPr>
          <w:rStyle w:val="afb"/>
          <w:rFonts w:hint="cs"/>
          <w:rtl/>
        </w:rPr>
        <w:t>[דהוא חייב לו חוב אחר שלא בשטר],</w:t>
      </w:r>
      <w:r>
        <w:rPr>
          <w:rFonts w:hint="cs"/>
          <w:rtl/>
        </w:rPr>
        <w:t xml:space="preserve"> דהמלוה נאמן במיגו שלא היה מודה שפרע לו כלל, וא"כ מוכח דאמרינן מיגו להוציא, ותירץ </w:t>
      </w:r>
      <w:r w:rsidRPr="0091425F">
        <w:rPr>
          <w:rStyle w:val="af9"/>
          <w:rFonts w:hint="cs"/>
          <w:rtl/>
        </w:rPr>
        <w:t>הרמב"ן</w:t>
      </w:r>
      <w:r>
        <w:rPr>
          <w:rFonts w:hint="cs"/>
          <w:rtl/>
        </w:rPr>
        <w:t xml:space="preserve"> דכ"מ שהוא נאמן בטענת סיטראי היינו רק על מה שהוא תפוס, דהיינו שטוען שמה שפרע לו הוא מחמת חוב אחר, אבל את החוב שבשטר אינו נאמן, והוסיף </w:t>
      </w:r>
      <w:r w:rsidRPr="0091425F">
        <w:rPr>
          <w:rStyle w:val="af9"/>
          <w:rFonts w:hint="cs"/>
          <w:rtl/>
        </w:rPr>
        <w:t>הרמב"ן</w:t>
      </w:r>
      <w:r>
        <w:rPr>
          <w:rFonts w:hint="cs"/>
          <w:rtl/>
        </w:rPr>
        <w:t xml:space="preserve"> דאעפ"י דע"י שהוא נאמן במיגו להחזיק בידו את מה שפרע לו כבר, ממילא הוא יכול לגבות מכח זה את המנה שבשטר, </w:t>
      </w:r>
      <w:r w:rsidRPr="00026FC7">
        <w:rPr>
          <w:rStyle w:val="afb"/>
          <w:rFonts w:hint="cs"/>
          <w:rtl/>
        </w:rPr>
        <w:t xml:space="preserve">[שאינו להחזיק אלא להוציא], </w:t>
      </w:r>
      <w:r>
        <w:rPr>
          <w:rFonts w:hint="cs"/>
          <w:rtl/>
        </w:rPr>
        <w:t>מ"מ כיון שהמיגו הוא על מה שבידו הוא נאמן,</w:t>
      </w:r>
      <w:r w:rsidRPr="00170314">
        <w:rPr>
          <w:rFonts w:hint="cs"/>
          <w:rtl/>
        </w:rPr>
        <w:t xml:space="preserve"> </w:t>
      </w:r>
      <w:r w:rsidRPr="0091425F">
        <w:rPr>
          <w:rStyle w:val="af9"/>
          <w:rFonts w:hint="cs"/>
          <w:rtl/>
        </w:rPr>
        <w:t>והרשב"א</w:t>
      </w:r>
      <w:r>
        <w:rPr>
          <w:rFonts w:hint="cs"/>
          <w:rtl/>
        </w:rPr>
        <w:t xml:space="preserve"> </w:t>
      </w:r>
      <w:r w:rsidRPr="00026FC7">
        <w:rPr>
          <w:rStyle w:val="af7"/>
          <w:rFonts w:eastAsia="Guttman Hodes" w:hint="cs"/>
          <w:rtl/>
        </w:rPr>
        <w:t>(ד"ה וגמרינן)</w:t>
      </w:r>
      <w:r>
        <w:rPr>
          <w:rFonts w:hint="cs"/>
          <w:rtl/>
        </w:rPr>
        <w:t xml:space="preserve"> ביאר דאינו מיגו להוציא כלל, כיון שהוא טוען שהשטר לא נפרע, ומה שפרע לו הוא על החוב האחר, ועי' במ"ש </w:t>
      </w:r>
      <w:r w:rsidRPr="00DB5F3E">
        <w:rPr>
          <w:rStyle w:val="af9"/>
          <w:rFonts w:hint="cs"/>
          <w:rtl/>
        </w:rPr>
        <w:t>התוס'</w:t>
      </w:r>
      <w:r>
        <w:rPr>
          <w:rFonts w:hint="cs"/>
          <w:rtl/>
        </w:rPr>
        <w:t xml:space="preserve"> </w:t>
      </w:r>
      <w:r w:rsidRPr="00777A28">
        <w:rPr>
          <w:rStyle w:val="af7"/>
          <w:rFonts w:eastAsia="Guttman Hodes" w:hint="cs"/>
          <w:rtl/>
        </w:rPr>
        <w:t xml:space="preserve">(עי' אות </w:t>
      </w:r>
      <w:r w:rsidRPr="00777A28">
        <w:rPr>
          <w:rStyle w:val="af7"/>
          <w:rFonts w:eastAsia="Guttman Hodes"/>
          <w:rtl/>
        </w:rPr>
        <w:fldChar w:fldCharType="begin"/>
      </w:r>
      <w:r w:rsidRPr="00777A28">
        <w:rPr>
          <w:rStyle w:val="af7"/>
          <w:rFonts w:eastAsia="Guttman Hodes"/>
          <w:rtl/>
        </w:rPr>
        <w:instrText xml:space="preserve"> </w:instrText>
      </w:r>
      <w:r w:rsidRPr="00777A28">
        <w:rPr>
          <w:rStyle w:val="af7"/>
          <w:rFonts w:eastAsia="Guttman Hodes" w:hint="cs"/>
        </w:rPr>
        <w:instrText>REF</w:instrText>
      </w:r>
      <w:r w:rsidRPr="00777A28">
        <w:rPr>
          <w:rStyle w:val="af7"/>
          <w:rFonts w:eastAsia="Guttman Hodes" w:hint="cs"/>
          <w:rtl/>
        </w:rPr>
        <w:instrText xml:space="preserve"> _</w:instrText>
      </w:r>
      <w:r w:rsidRPr="00777A28">
        <w:rPr>
          <w:rStyle w:val="af7"/>
          <w:rFonts w:eastAsia="Guttman Hodes" w:hint="cs"/>
        </w:rPr>
        <w:instrText>Ref63155210 \r \h</w:instrText>
      </w:r>
      <w:r w:rsidRPr="00777A28">
        <w:rPr>
          <w:rStyle w:val="af7"/>
          <w:rFonts w:eastAsia="Guttman Hodes"/>
          <w:rtl/>
        </w:rPr>
        <w:instrText xml:space="preserve"> </w:instrText>
      </w:r>
      <w:r w:rsidRPr="00777A28">
        <w:rPr>
          <w:rStyle w:val="af7"/>
          <w:rFonts w:eastAsia="Guttman Hodes"/>
          <w:rtl/>
        </w:rPr>
      </w:r>
      <w:r w:rsidRPr="00777A28">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777A28">
        <w:rPr>
          <w:rStyle w:val="af7"/>
          <w:rFonts w:eastAsia="Guttman Hodes"/>
          <w:rtl/>
        </w:rPr>
        <w:fldChar w:fldCharType="end"/>
      </w:r>
      <w:r>
        <w:rPr>
          <w:rFonts w:hint="cs"/>
          <w:rtl/>
        </w:rPr>
        <w:t xml:space="preserve"> </w:t>
      </w:r>
      <w:r w:rsidRPr="00B8474F">
        <w:rPr>
          <w:rStyle w:val="af9"/>
          <w:rFonts w:hint="cs"/>
          <w:rtl/>
        </w:rPr>
        <w:t xml:space="preserve">רבינו יונה </w:t>
      </w:r>
      <w:r w:rsidRPr="00777A2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Ref63197507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Pr>
          <w:rStyle w:val="af7"/>
          <w:rFonts w:eastAsia="Guttman Hodes"/>
          <w:rtl/>
        </w:rPr>
        <w:fldChar w:fldCharType="end"/>
      </w:r>
      <w:r w:rsidRPr="00777A28">
        <w:rPr>
          <w:rStyle w:val="af7"/>
          <w:rFonts w:eastAsia="Guttman Hodes" w:hint="cs"/>
          <w:rtl/>
        </w:rPr>
        <w:t xml:space="preserve"> </w:t>
      </w:r>
      <w:r>
        <w:rPr>
          <w:rFonts w:hint="cs"/>
          <w:rtl/>
        </w:rPr>
        <w:t xml:space="preserve">בדין סטראי, ועי' במה שביאר </w:t>
      </w:r>
      <w:r w:rsidRPr="00150A97">
        <w:rPr>
          <w:rStyle w:val="af9"/>
          <w:rFonts w:hint="cs"/>
          <w:rtl/>
        </w:rPr>
        <w:t xml:space="preserve">בחי' רבי נחום </w:t>
      </w:r>
      <w:r w:rsidRPr="00150A97">
        <w:rPr>
          <w:rStyle w:val="af7"/>
          <w:rFonts w:eastAsia="Guttman Hodes" w:hint="cs"/>
          <w:rtl/>
        </w:rPr>
        <w:t xml:space="preserve">(עי' אות </w:t>
      </w:r>
      <w:r w:rsidRPr="00150A97">
        <w:rPr>
          <w:rStyle w:val="af7"/>
          <w:rFonts w:eastAsia="Guttman Hodes"/>
          <w:rtl/>
        </w:rPr>
        <w:fldChar w:fldCharType="begin"/>
      </w:r>
      <w:r w:rsidRPr="00150A97">
        <w:rPr>
          <w:rStyle w:val="af7"/>
          <w:rFonts w:eastAsia="Guttman Hodes"/>
          <w:rtl/>
        </w:rPr>
        <w:instrText xml:space="preserve"> </w:instrText>
      </w:r>
      <w:r w:rsidRPr="00150A97">
        <w:rPr>
          <w:rStyle w:val="af7"/>
          <w:rFonts w:eastAsia="Guttman Hodes" w:hint="cs"/>
        </w:rPr>
        <w:instrText>REF</w:instrText>
      </w:r>
      <w:r w:rsidRPr="00150A97">
        <w:rPr>
          <w:rStyle w:val="af7"/>
          <w:rFonts w:eastAsia="Guttman Hodes" w:hint="cs"/>
          <w:rtl/>
        </w:rPr>
        <w:instrText xml:space="preserve"> _</w:instrText>
      </w:r>
      <w:r w:rsidRPr="00150A97">
        <w:rPr>
          <w:rStyle w:val="af7"/>
          <w:rFonts w:eastAsia="Guttman Hodes" w:hint="cs"/>
        </w:rPr>
        <w:instrText>Ref63247466 \r \h</w:instrText>
      </w:r>
      <w:r w:rsidRPr="00150A97">
        <w:rPr>
          <w:rStyle w:val="af7"/>
          <w:rFonts w:eastAsia="Guttman Hodes"/>
          <w:rtl/>
        </w:rPr>
        <w:instrText xml:space="preserve"> </w:instrText>
      </w:r>
      <w:r w:rsidRPr="00150A97">
        <w:rPr>
          <w:rStyle w:val="af7"/>
          <w:rFonts w:eastAsia="Guttman Hodes"/>
          <w:rtl/>
        </w:rPr>
      </w:r>
      <w:r w:rsidRPr="00150A97">
        <w:rPr>
          <w:rStyle w:val="af7"/>
          <w:rFonts w:eastAsia="Guttman Hodes"/>
          <w:rtl/>
        </w:rPr>
        <w:fldChar w:fldCharType="separate"/>
      </w:r>
      <w:r w:rsidR="00265073">
        <w:rPr>
          <w:rStyle w:val="af7"/>
          <w:rFonts w:eastAsia="Guttman Hodes"/>
          <w:cs/>
        </w:rPr>
        <w:t>‎</w:t>
      </w:r>
      <w:r w:rsidR="00265073">
        <w:rPr>
          <w:rStyle w:val="af7"/>
          <w:rFonts w:eastAsia="Guttman Hodes"/>
          <w:rtl/>
        </w:rPr>
        <w:t>קכח)</w:t>
      </w:r>
      <w:r w:rsidRPr="00150A97">
        <w:rPr>
          <w:rStyle w:val="af7"/>
          <w:rFonts w:eastAsia="Guttman Hodes"/>
          <w:rtl/>
        </w:rPr>
        <w:fldChar w:fldCharType="end"/>
      </w:r>
      <w:r>
        <w:rPr>
          <w:rFonts w:hint="cs"/>
          <w:rtl/>
        </w:rPr>
        <w:t xml:space="preserve"> בדברי </w:t>
      </w:r>
      <w:r w:rsidRPr="00150A97">
        <w:rPr>
          <w:rStyle w:val="af9"/>
          <w:rFonts w:hint="cs"/>
          <w:rtl/>
        </w:rPr>
        <w:t>הרמב"ן</w:t>
      </w:r>
      <w:r>
        <w:rPr>
          <w:rFonts w:hint="cs"/>
          <w:rtl/>
        </w:rPr>
        <w:t>.</w:t>
      </w:r>
      <w:bookmarkEnd w:id="13950"/>
    </w:p>
    <w:p w:rsidR="003B7617" w:rsidRDefault="003B7617" w:rsidP="003B7617">
      <w:pPr>
        <w:pStyle w:val="a3"/>
        <w:rPr>
          <w:rtl/>
        </w:rPr>
      </w:pPr>
      <w:bookmarkStart w:id="13951" w:name="_Toc63247778"/>
      <w:r>
        <w:rPr>
          <w:rFonts w:hint="cs"/>
          <w:rtl/>
        </w:rPr>
        <w:t>קושיות הרמב"ן דבדין מוכת עץ ובספק ג"ש או ה' שנים במשכנתא מוכח דמהני מיגו להוציא</w:t>
      </w:r>
      <w:bookmarkEnd w:id="13951"/>
    </w:p>
    <w:p w:rsidR="003B7617" w:rsidRDefault="003B7617" w:rsidP="007E4E81">
      <w:pPr>
        <w:pStyle w:val="a0"/>
        <w:rPr>
          <w:rtl/>
        </w:rPr>
      </w:pPr>
      <w:r>
        <w:rPr>
          <w:rFonts w:hint="cs"/>
          <w:rtl/>
        </w:rPr>
        <w:t xml:space="preserve">אך הקשה </w:t>
      </w:r>
      <w:r w:rsidRPr="0091425F">
        <w:rPr>
          <w:rStyle w:val="af9"/>
          <w:rFonts w:hint="cs"/>
          <w:rtl/>
        </w:rPr>
        <w:t xml:space="preserve">הרמב"ן </w:t>
      </w:r>
      <w:r w:rsidRPr="00E511AA">
        <w:rPr>
          <w:rStyle w:val="af7"/>
          <w:rFonts w:eastAsia="Guttman Hodes" w:hint="cs"/>
          <w:rtl/>
        </w:rPr>
        <w:t xml:space="preserve">(ד"ה ומיהו) </w:t>
      </w:r>
      <w:r>
        <w:rPr>
          <w:rFonts w:hint="cs"/>
          <w:rtl/>
        </w:rPr>
        <w:t xml:space="preserve">דמוכח דמיגו להוציא אמרינן מהא דאיתא בגמ' בכתובות </w:t>
      </w:r>
      <w:r w:rsidRPr="00E511AA">
        <w:rPr>
          <w:rStyle w:val="af7"/>
          <w:rFonts w:eastAsia="Guttman Hodes" w:hint="cs"/>
          <w:rtl/>
        </w:rPr>
        <w:t xml:space="preserve">(טז.) </w:t>
      </w:r>
      <w:r>
        <w:rPr>
          <w:rFonts w:hint="cs"/>
          <w:rtl/>
        </w:rPr>
        <w:t xml:space="preserve">דאשה נאמנת במיגו לומר שהיא מוכת עץ וכתובתה מאתיים, אעפ"י שהוא מיגו להוציא, </w:t>
      </w:r>
      <w:r w:rsidRPr="00026FC7">
        <w:rPr>
          <w:rStyle w:val="afb"/>
          <w:rFonts w:hint="cs"/>
          <w:rtl/>
        </w:rPr>
        <w:t xml:space="preserve">[וכתב </w:t>
      </w:r>
      <w:r w:rsidRPr="00026FC7">
        <w:rPr>
          <w:rStyle w:val="affa"/>
          <w:rFonts w:hint="cs"/>
          <w:rtl/>
        </w:rPr>
        <w:t>הרמב"ן</w:t>
      </w:r>
      <w:r w:rsidRPr="00026FC7">
        <w:rPr>
          <w:rStyle w:val="afb"/>
          <w:rFonts w:hint="cs"/>
          <w:rtl/>
        </w:rPr>
        <w:t xml:space="preserve"> דהא דלרבי יהושע אינה נאמנת, הוא מטעם אחר, כדביאר </w:t>
      </w:r>
      <w:r w:rsidRPr="00026FC7">
        <w:rPr>
          <w:rStyle w:val="affa"/>
          <w:rFonts w:hint="cs"/>
          <w:rtl/>
        </w:rPr>
        <w:t>הרמב"ן</w:t>
      </w:r>
      <w:r w:rsidRPr="00026FC7">
        <w:rPr>
          <w:rStyle w:val="afb"/>
          <w:rFonts w:hint="cs"/>
          <w:rtl/>
        </w:rPr>
        <w:t xml:space="preserve"> </w:t>
      </w:r>
      <w:r w:rsidRPr="00026FC7">
        <w:rPr>
          <w:rStyle w:val="affa"/>
          <w:rFonts w:hint="cs"/>
          <w:rtl/>
        </w:rPr>
        <w:t>בכתובות</w:t>
      </w:r>
      <w:r w:rsidRPr="00026FC7">
        <w:rPr>
          <w:rStyle w:val="afb"/>
          <w:rFonts w:hint="cs"/>
          <w:rtl/>
        </w:rPr>
        <w:t xml:space="preserve"> </w:t>
      </w:r>
      <w:r w:rsidRPr="00026FC7">
        <w:rPr>
          <w:rStyle w:val="aff6"/>
          <w:rFonts w:hint="cs"/>
          <w:rtl/>
        </w:rPr>
        <w:t>(טז. ד"ה ובעינן)</w:t>
      </w:r>
      <w:r w:rsidRPr="00026FC7">
        <w:rPr>
          <w:rStyle w:val="afb"/>
          <w:rFonts w:hint="cs"/>
          <w:rtl/>
        </w:rPr>
        <w:t xml:space="preserve">], </w:t>
      </w:r>
      <w:r>
        <w:rPr>
          <w:rFonts w:hint="cs"/>
          <w:rtl/>
        </w:rPr>
        <w:t xml:space="preserve">וכן הקשה </w:t>
      </w:r>
      <w:r w:rsidRPr="0093784C">
        <w:rPr>
          <w:rStyle w:val="af9"/>
          <w:rFonts w:hint="cs"/>
          <w:rtl/>
        </w:rPr>
        <w:t>הריטב</w:t>
      </w:r>
      <w:r w:rsidRPr="0091425F">
        <w:rPr>
          <w:rStyle w:val="af9"/>
          <w:rFonts w:hint="cs"/>
          <w:rtl/>
        </w:rPr>
        <w:t>"א</w:t>
      </w:r>
      <w:r w:rsidRPr="00E511AA">
        <w:rPr>
          <w:rStyle w:val="af7"/>
          <w:rFonts w:eastAsia="Guttman Hodes" w:hint="cs"/>
          <w:rtl/>
        </w:rPr>
        <w:t xml:space="preserve"> (ד"ה אמאי)</w:t>
      </w:r>
      <w:r>
        <w:rPr>
          <w:rFonts w:hint="cs"/>
          <w:rtl/>
        </w:rPr>
        <w:t>,</w:t>
      </w:r>
      <w:r w:rsidRPr="00BF69E3">
        <w:rPr>
          <w:rFonts w:hint="cs"/>
          <w:rtl/>
        </w:rPr>
        <w:t xml:space="preserve"> </w:t>
      </w:r>
      <w:r>
        <w:rPr>
          <w:rFonts w:hint="cs"/>
          <w:rtl/>
        </w:rPr>
        <w:t xml:space="preserve">[ועי' במה שתירצו </w:t>
      </w:r>
      <w:r w:rsidRPr="0091425F">
        <w:rPr>
          <w:rStyle w:val="af9"/>
          <w:rFonts w:hint="cs"/>
          <w:rtl/>
        </w:rPr>
        <w:t>המאירי</w:t>
      </w:r>
      <w:r>
        <w:rPr>
          <w:rFonts w:hint="cs"/>
          <w:rtl/>
        </w:rPr>
        <w:t xml:space="preserve"> </w:t>
      </w:r>
      <w:r w:rsidRPr="00E511AA">
        <w:rPr>
          <w:rStyle w:val="af7"/>
          <w:rFonts w:eastAsia="Guttman Hodes" w:hint="cs"/>
          <w:rtl/>
        </w:rPr>
        <w:t>(</w:t>
      </w:r>
      <w:r>
        <w:rPr>
          <w:rStyle w:val="af7"/>
          <w:rFonts w:eastAsia="Guttman Hodes" w:hint="cs"/>
          <w:rtl/>
        </w:rPr>
        <w:t>עי' הערה</w:t>
      </w:r>
      <w:r>
        <w:rPr>
          <w:rStyle w:val="af1"/>
          <w:rtl/>
        </w:rPr>
        <w:footnoteReference w:id="97"/>
      </w:r>
      <w:r w:rsidRPr="00E511AA">
        <w:rPr>
          <w:rStyle w:val="af7"/>
          <w:rFonts w:eastAsia="Guttman Hodes" w:hint="cs"/>
          <w:rtl/>
        </w:rPr>
        <w:t>)</w:t>
      </w:r>
      <w:r w:rsidRPr="003A49DA">
        <w:rPr>
          <w:rFonts w:hint="cs"/>
          <w:rtl/>
        </w:rPr>
        <w:t xml:space="preserve"> </w:t>
      </w:r>
      <w:r w:rsidRPr="00F915DB">
        <w:rPr>
          <w:rStyle w:val="af9"/>
          <w:rFonts w:hint="cs"/>
          <w:rtl/>
        </w:rPr>
        <w:t>ו</w:t>
      </w:r>
      <w:r w:rsidRPr="00F915DB">
        <w:rPr>
          <w:rStyle w:val="af9"/>
          <w:rtl/>
        </w:rPr>
        <w:t>החת"ס</w:t>
      </w:r>
      <w:r w:rsidRPr="00205FB8">
        <w:rPr>
          <w:rtl/>
        </w:rPr>
        <w:t xml:space="preserve"> </w:t>
      </w:r>
      <w:r w:rsidRPr="00F915DB">
        <w:rPr>
          <w:rStyle w:val="af7"/>
          <w:rFonts w:eastAsia="Guttman Rashi"/>
          <w:rtl/>
        </w:rPr>
        <w:t>(ד"ה ומה</w:t>
      </w:r>
      <w:r w:rsidRPr="00F915DB">
        <w:rPr>
          <w:rStyle w:val="af7"/>
          <w:rFonts w:eastAsia="Guttman Rashi" w:hint="cs"/>
          <w:rtl/>
        </w:rPr>
        <w:t>)</w:t>
      </w:r>
      <w:r>
        <w:rPr>
          <w:rFonts w:hint="cs"/>
          <w:rtl/>
        </w:rPr>
        <w:t xml:space="preserve">, ובמ"ש </w:t>
      </w:r>
      <w:r w:rsidRPr="003A49DA">
        <w:rPr>
          <w:rStyle w:val="af9"/>
          <w:rFonts w:hint="cs"/>
          <w:rtl/>
        </w:rPr>
        <w:t>בחי' רבי נחום</w:t>
      </w:r>
      <w:r>
        <w:rPr>
          <w:rFonts w:hint="cs"/>
          <w:rtl/>
        </w:rPr>
        <w:t xml:space="preserve"> </w:t>
      </w:r>
      <w:r w:rsidRPr="00E511AA">
        <w:rPr>
          <w:rStyle w:val="af7"/>
          <w:rFonts w:eastAsia="Guttman Hodes" w:hint="cs"/>
          <w:rtl/>
        </w:rPr>
        <w:t xml:space="preserve">(או' ק"נ ד"ה </w:t>
      </w:r>
      <w:r w:rsidRPr="00E511AA">
        <w:rPr>
          <w:rStyle w:val="af7"/>
          <w:rFonts w:eastAsia="Guttman Hodes"/>
          <w:rtl/>
        </w:rPr>
        <w:t>ויעו"ש</w:t>
      </w:r>
      <w:r w:rsidRPr="00E511AA">
        <w:rPr>
          <w:rStyle w:val="af7"/>
          <w:rFonts w:eastAsia="Guttman Hodes" w:hint="cs"/>
          <w:rtl/>
        </w:rPr>
        <w:t>)</w:t>
      </w:r>
      <w:r>
        <w:rPr>
          <w:rFonts w:hint="cs"/>
          <w:rtl/>
        </w:rPr>
        <w:t xml:space="preserve">], ועוד הקשה </w:t>
      </w:r>
      <w:r w:rsidRPr="0091425F">
        <w:rPr>
          <w:rStyle w:val="af9"/>
          <w:rFonts w:hint="cs"/>
          <w:rtl/>
        </w:rPr>
        <w:t xml:space="preserve">הרמב"ן </w:t>
      </w:r>
      <w:r>
        <w:rPr>
          <w:rFonts w:hint="cs"/>
          <w:rtl/>
        </w:rPr>
        <w:t xml:space="preserve">מהגמ' בב"מ </w:t>
      </w:r>
      <w:r w:rsidRPr="00E511AA">
        <w:rPr>
          <w:rStyle w:val="af7"/>
          <w:rFonts w:eastAsia="Guttman Hodes" w:hint="cs"/>
          <w:rtl/>
        </w:rPr>
        <w:t xml:space="preserve">(קי.) </w:t>
      </w:r>
      <w:r>
        <w:rPr>
          <w:rFonts w:hint="cs"/>
          <w:rtl/>
        </w:rPr>
        <w:t xml:space="preserve">דבשדה שאכלה המלוה במשכנתא, דהוא נאמן לומר שהמשכנתא היא חמש שנים, ולא שלוש כטענת הלוה, במיגו דהיה טוען שהיא לקוחה בידו, ויש לו חזקת ג"ש, ומוכח דאעפ"י שהוא מיגו להוציא, דמוציא את הפירות מיד הלוה, ועי' במה שדחו </w:t>
      </w:r>
      <w:r w:rsidRPr="001D3BD9">
        <w:rPr>
          <w:rStyle w:val="af9"/>
          <w:rFonts w:hint="cs"/>
          <w:rtl/>
        </w:rPr>
        <w:t>רבינו יונה לקמן</w:t>
      </w:r>
      <w:r>
        <w:rPr>
          <w:rFonts w:hint="cs"/>
          <w:rtl/>
        </w:rPr>
        <w:t xml:space="preserve"> </w:t>
      </w:r>
      <w:r w:rsidRPr="00E511AA">
        <w:rPr>
          <w:rStyle w:val="af7"/>
          <w:rFonts w:eastAsia="Guttman Hodes" w:hint="cs"/>
          <w:rtl/>
        </w:rPr>
        <w:t xml:space="preserve">(לג. ד"ה כי אמינא) </w:t>
      </w:r>
      <w:r>
        <w:rPr>
          <w:rStyle w:val="af9"/>
          <w:rFonts w:hint="cs"/>
          <w:rtl/>
        </w:rPr>
        <w:t>ו</w:t>
      </w:r>
      <w:r w:rsidRPr="001D3BD9">
        <w:rPr>
          <w:rStyle w:val="af9"/>
          <w:rFonts w:hint="cs"/>
          <w:rtl/>
        </w:rPr>
        <w:t>החת"ס</w:t>
      </w:r>
      <w:r>
        <w:rPr>
          <w:rFonts w:hint="cs"/>
          <w:rtl/>
        </w:rPr>
        <w:t xml:space="preserve"> </w:t>
      </w:r>
      <w:r w:rsidRPr="00E511AA">
        <w:rPr>
          <w:rStyle w:val="af7"/>
          <w:rFonts w:eastAsia="Guttman Hodes" w:hint="cs"/>
          <w:rtl/>
        </w:rPr>
        <w:t>(ד"ה ומה)</w:t>
      </w:r>
      <w:r>
        <w:rPr>
          <w:rFonts w:hint="cs"/>
          <w:rtl/>
        </w:rPr>
        <w:t xml:space="preserve"> את הראיה </w:t>
      </w:r>
      <w:r>
        <w:rPr>
          <w:rFonts w:hint="cs"/>
          <w:rtl/>
        </w:rPr>
        <w:t xml:space="preserve">מהגמ' בב"מ, ועי' בדברי </w:t>
      </w:r>
      <w:r w:rsidRPr="0097517F">
        <w:rPr>
          <w:rStyle w:val="af9"/>
          <w:rFonts w:hint="cs"/>
          <w:rtl/>
        </w:rPr>
        <w:t>הרמב"ן בב"מ</w:t>
      </w:r>
      <w:r>
        <w:rPr>
          <w:rFonts w:hint="cs"/>
          <w:rtl/>
        </w:rPr>
        <w:t xml:space="preserve"> </w:t>
      </w:r>
      <w:r w:rsidRPr="00E511AA">
        <w:rPr>
          <w:rStyle w:val="af7"/>
          <w:rFonts w:eastAsia="Guttman Hodes" w:hint="cs"/>
          <w:rtl/>
        </w:rPr>
        <w:t>(ב. סוד"ה והאומר)</w:t>
      </w:r>
      <w:r>
        <w:rPr>
          <w:rFonts w:hint="cs"/>
          <w:rtl/>
        </w:rPr>
        <w:t xml:space="preserve"> דכתב דיתכן לומר כדעת הסוברים דמיגו להוציא לא אמרינן, אך ציין </w:t>
      </w:r>
      <w:r w:rsidRPr="0097517F">
        <w:rPr>
          <w:rStyle w:val="af9"/>
          <w:rFonts w:hint="cs"/>
          <w:rtl/>
        </w:rPr>
        <w:t>הרמב"ן</w:t>
      </w:r>
      <w:r>
        <w:rPr>
          <w:rFonts w:hint="cs"/>
          <w:rtl/>
        </w:rPr>
        <w:t xml:space="preserve"> למה שהקשה על זה בסוגיין.</w:t>
      </w:r>
    </w:p>
    <w:p w:rsidR="003B7617" w:rsidRDefault="003B7617" w:rsidP="003B7617">
      <w:pPr>
        <w:pStyle w:val="a3"/>
        <w:rPr>
          <w:rtl/>
        </w:rPr>
      </w:pPr>
      <w:bookmarkStart w:id="13952" w:name="_Toc63247779"/>
      <w:bookmarkStart w:id="13953" w:name="_Toc62644220"/>
      <w:bookmarkStart w:id="13954" w:name="_Toc62819908"/>
      <w:r>
        <w:rPr>
          <w:rFonts w:hint="cs"/>
          <w:rtl/>
        </w:rPr>
        <w:t>קושיות הרי"ד דבההוא ערבא מוכח דמהני מיגו להוציא וכן מוכח בגמ' לקמן ובגמ' בב"מ</w:t>
      </w:r>
      <w:bookmarkEnd w:id="13952"/>
    </w:p>
    <w:p w:rsidR="003B7617" w:rsidRDefault="003B7617" w:rsidP="007E4E81">
      <w:pPr>
        <w:pStyle w:val="a0"/>
        <w:rPr>
          <w:rtl/>
        </w:rPr>
      </w:pPr>
      <w:r>
        <w:rPr>
          <w:rFonts w:hint="cs"/>
          <w:rtl/>
        </w:rPr>
        <w:t xml:space="preserve">ועוד הקשה </w:t>
      </w:r>
      <w:r w:rsidRPr="00191EAA">
        <w:rPr>
          <w:rStyle w:val="af9"/>
          <w:rFonts w:hint="cs"/>
          <w:rtl/>
        </w:rPr>
        <w:t>בפסקי הרי"ד</w:t>
      </w:r>
      <w:r>
        <w:rPr>
          <w:rFonts w:hint="cs"/>
          <w:rtl/>
        </w:rPr>
        <w:t xml:space="preserve"> </w:t>
      </w:r>
      <w:r w:rsidRPr="00191EAA">
        <w:rPr>
          <w:rStyle w:val="af7"/>
          <w:rFonts w:eastAsia="Guttman Hodes" w:hint="cs"/>
          <w:rtl/>
        </w:rPr>
        <w:t xml:space="preserve">(ד"ה ורבי' יוסף, הועתק בקובץ שיטות קמאי ב"ב ח"א עמ' תשס"ח) </w:t>
      </w:r>
      <w:r>
        <w:rPr>
          <w:rFonts w:hint="cs"/>
          <w:rtl/>
        </w:rPr>
        <w:t xml:space="preserve">דבההוא ערבא אמרינן דאי טען המלוה שהחזיר את המעות למלוה כיון שהיו שייפי וסומקי, הוא נאמן, אעפ"י שהוא מוציא בזה מעות מהלוה, מ"מ מהני המיגו כיון שיש לו שטר, ומוכח דמהני מיגו להוציא, וע"ע במה שהביא </w:t>
      </w:r>
      <w:r w:rsidRPr="00191EAA">
        <w:rPr>
          <w:rStyle w:val="af9"/>
          <w:rFonts w:hint="cs"/>
          <w:rtl/>
        </w:rPr>
        <w:t xml:space="preserve">בפסקי הרי"ד </w:t>
      </w:r>
      <w:r>
        <w:rPr>
          <w:rFonts w:hint="cs"/>
          <w:rtl/>
        </w:rPr>
        <w:t>ראיות מהגמ'</w:t>
      </w:r>
      <w:r w:rsidRPr="00F6089E">
        <w:rPr>
          <w:rtl/>
        </w:rPr>
        <w:t xml:space="preserve"> לקמן</w:t>
      </w:r>
      <w:r>
        <w:rPr>
          <w:rFonts w:hint="cs"/>
          <w:rtl/>
        </w:rPr>
        <w:t xml:space="preserve"> </w:t>
      </w:r>
      <w:r w:rsidRPr="00191EAA">
        <w:rPr>
          <w:rStyle w:val="af7"/>
          <w:rFonts w:eastAsia="Guttman Hodes" w:hint="cs"/>
          <w:rtl/>
        </w:rPr>
        <w:t>(לו., מה:)</w:t>
      </w:r>
      <w:r>
        <w:rPr>
          <w:rFonts w:hint="cs"/>
          <w:rtl/>
        </w:rPr>
        <w:t xml:space="preserve"> ומהגמ' בב"מ </w:t>
      </w:r>
      <w:r w:rsidRPr="00191EAA">
        <w:rPr>
          <w:rStyle w:val="af7"/>
          <w:rFonts w:eastAsia="Guttman Hodes" w:hint="cs"/>
          <w:rtl/>
        </w:rPr>
        <w:t>(קטז.)</w:t>
      </w:r>
      <w:r>
        <w:rPr>
          <w:rFonts w:hint="cs"/>
          <w:rtl/>
        </w:rPr>
        <w:t xml:space="preserve"> דמוכח דאמרינן מיגו להוציא.</w:t>
      </w:r>
    </w:p>
    <w:p w:rsidR="003B7617" w:rsidRDefault="003B7617" w:rsidP="003B7617">
      <w:pPr>
        <w:pStyle w:val="afe"/>
        <w:rPr>
          <w:rtl/>
        </w:rPr>
      </w:pPr>
      <w:bookmarkStart w:id="13955" w:name="_Toc63163533"/>
      <w:bookmarkStart w:id="13956" w:name="_Toc63188806"/>
      <w:bookmarkStart w:id="13957" w:name="_Toc63247780"/>
      <w:r>
        <w:rPr>
          <w:rFonts w:hint="cs"/>
          <w:rtl/>
        </w:rPr>
        <w:t>ד' רבינו יונה דבשטר המיגו הוא להחזיק</w:t>
      </w:r>
      <w:bookmarkEnd w:id="13955"/>
      <w:bookmarkEnd w:id="13956"/>
      <w:bookmarkEnd w:id="13957"/>
    </w:p>
    <w:p w:rsidR="003B7617" w:rsidRDefault="003B7617" w:rsidP="003B7617">
      <w:pPr>
        <w:pStyle w:val="1"/>
        <w:rPr>
          <w:rtl/>
        </w:rPr>
      </w:pPr>
      <w:bookmarkStart w:id="13958" w:name="_Toc63247781"/>
      <w:r>
        <w:rPr>
          <w:rFonts w:hint="cs"/>
          <w:rtl/>
        </w:rPr>
        <w:t>דברי רבינו יונה והרשב"א דלרבה בשטר חשיב מיגו להחזיק</w:t>
      </w:r>
      <w:bookmarkEnd w:id="13958"/>
    </w:p>
    <w:p w:rsidR="003B7617" w:rsidRDefault="003B7617" w:rsidP="003B7617">
      <w:pPr>
        <w:pStyle w:val="a3"/>
        <w:rPr>
          <w:rtl/>
        </w:rPr>
      </w:pPr>
      <w:bookmarkStart w:id="13959" w:name="_Toc63247782"/>
      <w:r>
        <w:rPr>
          <w:rFonts w:hint="cs"/>
          <w:rtl/>
        </w:rPr>
        <w:t>דברי רבינו יונה דלרבה כשזכה בדין ע"י השטר חשיב כמוחזק בקרקע ובמעות והוא מיגו להחזיק</w:t>
      </w:r>
      <w:bookmarkEnd w:id="13959"/>
    </w:p>
    <w:p w:rsidR="003B7617" w:rsidRDefault="003B7617" w:rsidP="007E4E81">
      <w:pPr>
        <w:pStyle w:val="a0"/>
        <w:rPr>
          <w:rtl/>
        </w:rPr>
      </w:pPr>
      <w:bookmarkStart w:id="13960" w:name="_Ref63061083"/>
      <w:r>
        <w:rPr>
          <w:rFonts w:hint="cs"/>
          <w:rtl/>
        </w:rPr>
        <w:t xml:space="preserve">כתב </w:t>
      </w:r>
      <w:r w:rsidRPr="00B8474F">
        <w:rPr>
          <w:rStyle w:val="af9"/>
          <w:rFonts w:hint="cs"/>
          <w:rtl/>
        </w:rPr>
        <w:t xml:space="preserve">רבינו יונה </w:t>
      </w:r>
      <w:r w:rsidRPr="00B8474F">
        <w:rPr>
          <w:rStyle w:val="af7"/>
          <w:rFonts w:eastAsia="Guttman Hodes" w:hint="cs"/>
          <w:rtl/>
        </w:rPr>
        <w:t>(ד"ה אמר רבא)</w:t>
      </w:r>
      <w:r>
        <w:rPr>
          <w:rFonts w:hint="cs"/>
          <w:rtl/>
        </w:rPr>
        <w:t xml:space="preserve"> דס"ל לרבה דאעפ"י דמיגו להוציא לא אמרינן, מ"מ הכא כיון שטען המחזיק בתחילה, מינך זבינתה והא שטרא, וזכה בקרקע בטענתו, לכן הוא נחשב כמוחזק בקרקע, ואח"כ כשהודה המחזיק שהשטר מזויף, </w:t>
      </w:r>
      <w:r w:rsidRPr="0093784C">
        <w:rPr>
          <w:rStyle w:val="afb"/>
          <w:rFonts w:hint="cs"/>
          <w:rtl/>
        </w:rPr>
        <w:t>[אמנה],</w:t>
      </w:r>
      <w:r>
        <w:rPr>
          <w:rFonts w:hint="cs"/>
          <w:rtl/>
        </w:rPr>
        <w:t xml:space="preserve"> וטוען שהיה לו שטר טוב שאבד, לא חשיב כמיגו להוציא אלא כמיגו להחזיק, וכתב </w:t>
      </w:r>
      <w:r w:rsidRPr="0093784C">
        <w:rPr>
          <w:rStyle w:val="af9"/>
          <w:rFonts w:hint="cs"/>
          <w:rtl/>
        </w:rPr>
        <w:t>רבינו יונה</w:t>
      </w:r>
      <w:r>
        <w:rPr>
          <w:rFonts w:hint="cs"/>
          <w:rtl/>
        </w:rPr>
        <w:t xml:space="preserve"> דה"ה בההוא ערבא, כיון שטען בתחילה שחייב לו מנה והא שטרא, והיה לו שטר אמנה שאפשר לקיימו, </w:t>
      </w:r>
      <w:r w:rsidRPr="00AD0010">
        <w:rPr>
          <w:rStyle w:val="afb"/>
          <w:rFonts w:hint="cs"/>
          <w:rtl/>
        </w:rPr>
        <w:t xml:space="preserve">[כדביאר </w:t>
      </w:r>
      <w:r w:rsidRPr="00AD0010">
        <w:rPr>
          <w:rStyle w:val="affa"/>
          <w:rFonts w:hint="cs"/>
          <w:rtl/>
        </w:rPr>
        <w:t>רבינו</w:t>
      </w:r>
      <w:r>
        <w:rPr>
          <w:rStyle w:val="affa"/>
          <w:rFonts w:hint="cs"/>
          <w:rtl/>
        </w:rPr>
        <w:t xml:space="preserve"> </w:t>
      </w:r>
      <w:r w:rsidRPr="00AD0010">
        <w:rPr>
          <w:rStyle w:val="affa"/>
          <w:rFonts w:hint="cs"/>
          <w:rtl/>
        </w:rPr>
        <w:t xml:space="preserve">יונה </w:t>
      </w:r>
      <w:r w:rsidRPr="0093784C">
        <w:rPr>
          <w:rStyle w:val="aff6"/>
          <w:rFonts w:hint="cs"/>
          <w:rtl/>
        </w:rPr>
        <w:t xml:space="preserve">(עי' אות </w:t>
      </w:r>
      <w:r w:rsidRPr="0093784C">
        <w:rPr>
          <w:rStyle w:val="aff6"/>
          <w:rtl/>
        </w:rPr>
        <w:fldChar w:fldCharType="begin"/>
      </w:r>
      <w:r w:rsidRPr="0093784C">
        <w:rPr>
          <w:rStyle w:val="aff6"/>
          <w:rtl/>
        </w:rPr>
        <w:instrText xml:space="preserve"> </w:instrText>
      </w:r>
      <w:r w:rsidRPr="0093784C">
        <w:rPr>
          <w:rStyle w:val="aff6"/>
          <w:rFonts w:hint="cs"/>
        </w:rPr>
        <w:instrText>REF</w:instrText>
      </w:r>
      <w:r w:rsidRPr="0093784C">
        <w:rPr>
          <w:rStyle w:val="aff6"/>
          <w:rFonts w:hint="cs"/>
          <w:rtl/>
        </w:rPr>
        <w:instrText xml:space="preserve"> _</w:instrText>
      </w:r>
      <w:r w:rsidRPr="0093784C">
        <w:rPr>
          <w:rStyle w:val="aff6"/>
          <w:rFonts w:hint="cs"/>
        </w:rPr>
        <w:instrText>Ref62665045 \r \h</w:instrText>
      </w:r>
      <w:r w:rsidRPr="0093784C">
        <w:rPr>
          <w:rStyle w:val="aff6"/>
          <w:rtl/>
        </w:rPr>
        <w:instrText xml:space="preserve"> </w:instrText>
      </w:r>
      <w:r w:rsidRPr="0093784C">
        <w:rPr>
          <w:rStyle w:val="aff6"/>
          <w:rtl/>
        </w:rPr>
      </w:r>
      <w:r w:rsidRPr="0093784C">
        <w:rPr>
          <w:rStyle w:val="aff6"/>
          <w:rtl/>
        </w:rPr>
        <w:fldChar w:fldCharType="separate"/>
      </w:r>
      <w:r w:rsidR="00265073">
        <w:rPr>
          <w:rStyle w:val="aff6"/>
          <w:cs/>
        </w:rPr>
        <w:t>‎</w:t>
      </w:r>
      <w:r w:rsidR="00265073">
        <w:rPr>
          <w:rStyle w:val="aff6"/>
          <w:rtl/>
        </w:rPr>
        <w:t>ה)</w:t>
      </w:r>
      <w:r w:rsidRPr="0093784C">
        <w:rPr>
          <w:rStyle w:val="aff6"/>
          <w:rtl/>
        </w:rPr>
        <w:fldChar w:fldCharType="end"/>
      </w:r>
      <w:r w:rsidRPr="00AD0010">
        <w:rPr>
          <w:rStyle w:val="afb"/>
          <w:rFonts w:hint="cs"/>
          <w:rtl/>
        </w:rPr>
        <w:t xml:space="preserve"> בשם </w:t>
      </w:r>
      <w:r w:rsidRPr="00AD0010">
        <w:rPr>
          <w:rStyle w:val="affa"/>
          <w:rFonts w:hint="cs"/>
          <w:rtl/>
        </w:rPr>
        <w:t>רב האי גאון</w:t>
      </w:r>
      <w:r w:rsidRPr="00AD0010">
        <w:rPr>
          <w:rStyle w:val="afb"/>
          <w:rFonts w:hint="cs"/>
          <w:rtl/>
        </w:rPr>
        <w:t>],</w:t>
      </w:r>
      <w:r>
        <w:rPr>
          <w:rFonts w:hint="cs"/>
          <w:rtl/>
        </w:rPr>
        <w:t xml:space="preserve"> וזכה בדין בטענתו, ואח"כ הודה שהשטר מזויף, </w:t>
      </w:r>
      <w:r w:rsidRPr="0093784C">
        <w:rPr>
          <w:rStyle w:val="afb"/>
          <w:rFonts w:hint="cs"/>
          <w:rtl/>
        </w:rPr>
        <w:t>[אמנה],</w:t>
      </w:r>
      <w:r>
        <w:rPr>
          <w:rFonts w:hint="cs"/>
          <w:rtl/>
        </w:rPr>
        <w:t xml:space="preserve"> וטוען שהיה לו שטר טוב שאבד, דבכה"ג לא חשיב כמיגו להוציא אלא כמיגו להחזיק,</w:t>
      </w:r>
      <w:r w:rsidRPr="00A464CB">
        <w:rPr>
          <w:rFonts w:hint="cs"/>
          <w:rtl/>
        </w:rPr>
        <w:t xml:space="preserve"> </w:t>
      </w:r>
      <w:r>
        <w:rPr>
          <w:rFonts w:hint="cs"/>
          <w:rtl/>
        </w:rPr>
        <w:t xml:space="preserve">והוסיף </w:t>
      </w:r>
      <w:r w:rsidRPr="0093784C">
        <w:rPr>
          <w:rStyle w:val="af9"/>
          <w:rFonts w:hint="cs"/>
          <w:rtl/>
        </w:rPr>
        <w:t>רבינו יונה</w:t>
      </w:r>
      <w:r>
        <w:rPr>
          <w:rFonts w:hint="cs"/>
          <w:rtl/>
        </w:rPr>
        <w:t xml:space="preserve"> דכיון שטען בתחילה שחייב לו מנה והא שטרא, חשיב שהוא מוחזק בממון, כיון דהמחזיק שטר בידו חשיב מוחזק, וא"כ המיגו הוא להחזיק ולא להוציא.</w:t>
      </w:r>
      <w:bookmarkEnd w:id="13960"/>
    </w:p>
    <w:p w:rsidR="003B7617" w:rsidRDefault="003B7617" w:rsidP="003B7617">
      <w:pPr>
        <w:pStyle w:val="a3"/>
        <w:rPr>
          <w:rtl/>
        </w:rPr>
      </w:pPr>
      <w:bookmarkStart w:id="13961" w:name="_Toc63247783"/>
      <w:r>
        <w:rPr>
          <w:rFonts w:hint="cs"/>
          <w:rtl/>
        </w:rPr>
        <w:t>ביאור הרשב"א בר"י מגאש דמודה רבה דל"א מיגו להוציא וס"ל דבקרקע ובשטר חשיב להחזיק</w:t>
      </w:r>
      <w:bookmarkEnd w:id="13961"/>
    </w:p>
    <w:p w:rsidR="003B7617" w:rsidRDefault="003B7617" w:rsidP="007E4E81">
      <w:pPr>
        <w:pStyle w:val="a0"/>
        <w:rPr>
          <w:rtl/>
        </w:rPr>
      </w:pPr>
      <w:bookmarkStart w:id="13962" w:name="_Ref63196987"/>
      <w:r>
        <w:rPr>
          <w:rFonts w:hint="cs"/>
          <w:rtl/>
        </w:rPr>
        <w:t xml:space="preserve">ועי' במה שהקשה </w:t>
      </w:r>
      <w:r w:rsidRPr="0097517F">
        <w:rPr>
          <w:rStyle w:val="af9"/>
          <w:rFonts w:hint="cs"/>
          <w:rtl/>
        </w:rPr>
        <w:t>הרמב"ן</w:t>
      </w:r>
      <w:r>
        <w:rPr>
          <w:rFonts w:hint="cs"/>
          <w:rtl/>
        </w:rPr>
        <w:t xml:space="preserve"> </w:t>
      </w:r>
      <w:r w:rsidRPr="00F84653">
        <w:rPr>
          <w:rStyle w:val="af7"/>
          <w:rFonts w:eastAsia="Guttman Hodes" w:hint="cs"/>
          <w:rtl/>
        </w:rPr>
        <w:t xml:space="preserve">(עי' אות </w:t>
      </w:r>
      <w:r w:rsidRPr="00F84653">
        <w:rPr>
          <w:rStyle w:val="af7"/>
          <w:rFonts w:eastAsia="Guttman Hodes"/>
          <w:rtl/>
        </w:rPr>
        <w:fldChar w:fldCharType="begin"/>
      </w:r>
      <w:r w:rsidRPr="00F84653">
        <w:rPr>
          <w:rStyle w:val="af7"/>
          <w:rFonts w:eastAsia="Guttman Hodes"/>
          <w:rtl/>
        </w:rPr>
        <w:instrText xml:space="preserve"> </w:instrText>
      </w:r>
      <w:r w:rsidRPr="00F84653">
        <w:rPr>
          <w:rStyle w:val="af7"/>
          <w:rFonts w:eastAsia="Guttman Hodes" w:hint="cs"/>
        </w:rPr>
        <w:instrText>REF</w:instrText>
      </w:r>
      <w:r w:rsidRPr="00F84653">
        <w:rPr>
          <w:rStyle w:val="af7"/>
          <w:rFonts w:eastAsia="Guttman Hodes" w:hint="cs"/>
          <w:rtl/>
        </w:rPr>
        <w:instrText xml:space="preserve"> _</w:instrText>
      </w:r>
      <w:r w:rsidRPr="00F84653">
        <w:rPr>
          <w:rStyle w:val="af7"/>
          <w:rFonts w:eastAsia="Guttman Hodes" w:hint="cs"/>
        </w:rPr>
        <w:instrText>Ref63196839 \r \h</w:instrText>
      </w:r>
      <w:r w:rsidRPr="00F84653">
        <w:rPr>
          <w:rStyle w:val="af7"/>
          <w:rFonts w:eastAsia="Guttman Hodes"/>
          <w:rtl/>
        </w:rPr>
        <w:instrText xml:space="preserve"> </w:instrText>
      </w:r>
      <w:r w:rsidRPr="00F84653">
        <w:rPr>
          <w:rStyle w:val="af7"/>
          <w:rFonts w:eastAsia="Guttman Hodes"/>
          <w:rtl/>
        </w:rPr>
      </w:r>
      <w:r w:rsidRPr="00F84653">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F84653">
        <w:rPr>
          <w:rStyle w:val="af7"/>
          <w:rFonts w:eastAsia="Guttman Hodes"/>
          <w:rtl/>
        </w:rPr>
        <w:fldChar w:fldCharType="end"/>
      </w:r>
      <w:r>
        <w:rPr>
          <w:rFonts w:hint="cs"/>
          <w:rtl/>
        </w:rPr>
        <w:t xml:space="preserve"> על הוכחת </w:t>
      </w:r>
      <w:r w:rsidRPr="0097517F">
        <w:rPr>
          <w:rStyle w:val="af9"/>
          <w:rFonts w:hint="cs"/>
          <w:rtl/>
        </w:rPr>
        <w:t>הר"י מגאש</w:t>
      </w:r>
      <w:r>
        <w:rPr>
          <w:rFonts w:hint="cs"/>
          <w:rtl/>
        </w:rPr>
        <w:t xml:space="preserve"> </w:t>
      </w:r>
      <w:r w:rsidRPr="00F84653">
        <w:rPr>
          <w:rStyle w:val="af7"/>
          <w:rFonts w:eastAsia="Guttman Hodes" w:hint="cs"/>
          <w:rtl/>
        </w:rPr>
        <w:t xml:space="preserve">(עי' אות </w:t>
      </w:r>
      <w:r w:rsidRPr="00F84653">
        <w:rPr>
          <w:rStyle w:val="af7"/>
          <w:rFonts w:eastAsia="Guttman Hodes"/>
          <w:rtl/>
        </w:rPr>
        <w:fldChar w:fldCharType="begin"/>
      </w:r>
      <w:r w:rsidRPr="00F84653">
        <w:rPr>
          <w:rStyle w:val="af7"/>
          <w:rFonts w:eastAsia="Guttman Hodes"/>
          <w:rtl/>
        </w:rPr>
        <w:instrText xml:space="preserve"> </w:instrText>
      </w:r>
      <w:r w:rsidRPr="00F84653">
        <w:rPr>
          <w:rStyle w:val="af7"/>
          <w:rFonts w:eastAsia="Guttman Hodes" w:hint="cs"/>
        </w:rPr>
        <w:instrText>REF</w:instrText>
      </w:r>
      <w:r w:rsidRPr="00F84653">
        <w:rPr>
          <w:rStyle w:val="af7"/>
          <w:rFonts w:eastAsia="Guttman Hodes" w:hint="cs"/>
          <w:rtl/>
        </w:rPr>
        <w:instrText xml:space="preserve"> _</w:instrText>
      </w:r>
      <w:r w:rsidRPr="00F84653">
        <w:rPr>
          <w:rStyle w:val="af7"/>
          <w:rFonts w:eastAsia="Guttman Hodes" w:hint="cs"/>
        </w:rPr>
        <w:instrText>Ref63178756 \r \h</w:instrText>
      </w:r>
      <w:r w:rsidRPr="00F84653">
        <w:rPr>
          <w:rStyle w:val="af7"/>
          <w:rFonts w:eastAsia="Guttman Hodes"/>
          <w:rtl/>
        </w:rPr>
        <w:instrText xml:space="preserve"> </w:instrText>
      </w:r>
      <w:r w:rsidRPr="00F84653">
        <w:rPr>
          <w:rStyle w:val="af7"/>
          <w:rFonts w:eastAsia="Guttman Hodes"/>
          <w:rtl/>
        </w:rPr>
      </w:r>
      <w:r w:rsidRPr="00F84653">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F84653">
        <w:rPr>
          <w:rStyle w:val="af7"/>
          <w:rFonts w:eastAsia="Guttman Hodes"/>
          <w:rtl/>
        </w:rPr>
        <w:fldChar w:fldCharType="end"/>
      </w:r>
      <w:r>
        <w:rPr>
          <w:rFonts w:hint="cs"/>
          <w:rtl/>
        </w:rPr>
        <w:t xml:space="preserve"> מהמשנה בב"מ דמיגו להוציא לא אמרינן, דא"כ צריך לבאר מה יפרש רבה במשנה בב"מ, וביאר </w:t>
      </w:r>
      <w:r w:rsidRPr="0097517F">
        <w:rPr>
          <w:rStyle w:val="af9"/>
          <w:rFonts w:hint="cs"/>
          <w:rtl/>
        </w:rPr>
        <w:t>הרשב"א</w:t>
      </w:r>
      <w:r>
        <w:rPr>
          <w:rFonts w:hint="cs"/>
          <w:rtl/>
        </w:rPr>
        <w:t xml:space="preserve"> </w:t>
      </w:r>
      <w:r w:rsidRPr="00956032">
        <w:rPr>
          <w:rStyle w:val="af7"/>
          <w:rFonts w:eastAsia="Guttman Hodes" w:hint="cs"/>
          <w:rtl/>
        </w:rPr>
        <w:t>(ד"ה ויש מקשים)</w:t>
      </w:r>
      <w:r>
        <w:rPr>
          <w:rFonts w:hint="cs"/>
          <w:rtl/>
        </w:rPr>
        <w:t xml:space="preserve"> בדעת </w:t>
      </w:r>
      <w:r w:rsidRPr="00BC1818">
        <w:rPr>
          <w:rStyle w:val="af9"/>
          <w:rFonts w:hint="cs"/>
          <w:rtl/>
        </w:rPr>
        <w:t>הר"י מגאש</w:t>
      </w:r>
      <w:r>
        <w:rPr>
          <w:rFonts w:hint="cs"/>
          <w:rtl/>
        </w:rPr>
        <w:t xml:space="preserve"> </w:t>
      </w:r>
      <w:r w:rsidRPr="00D3308F">
        <w:rPr>
          <w:rStyle w:val="af7"/>
          <w:rFonts w:eastAsia="Guttman Hodes" w:hint="cs"/>
          <w:rtl/>
        </w:rPr>
        <w:t xml:space="preserve">(עי' אות </w:t>
      </w:r>
      <w:r w:rsidRPr="00D3308F">
        <w:rPr>
          <w:rStyle w:val="af7"/>
          <w:rFonts w:eastAsia="Guttman Hodes"/>
          <w:rtl/>
        </w:rPr>
        <w:fldChar w:fldCharType="begin"/>
      </w:r>
      <w:r w:rsidRPr="00D3308F">
        <w:rPr>
          <w:rStyle w:val="af7"/>
          <w:rFonts w:eastAsia="Guttman Hodes"/>
          <w:rtl/>
        </w:rPr>
        <w:instrText xml:space="preserve"> </w:instrText>
      </w:r>
      <w:r w:rsidRPr="00D3308F">
        <w:rPr>
          <w:rStyle w:val="af7"/>
          <w:rFonts w:eastAsia="Guttman Hodes" w:hint="cs"/>
        </w:rPr>
        <w:instrText>REF</w:instrText>
      </w:r>
      <w:r w:rsidRPr="00D3308F">
        <w:rPr>
          <w:rStyle w:val="af7"/>
          <w:rFonts w:eastAsia="Guttman Hodes" w:hint="cs"/>
          <w:rtl/>
        </w:rPr>
        <w:instrText xml:space="preserve"> _</w:instrText>
      </w:r>
      <w:r w:rsidRPr="00D3308F">
        <w:rPr>
          <w:rStyle w:val="af7"/>
          <w:rFonts w:eastAsia="Guttman Hodes" w:hint="cs"/>
        </w:rPr>
        <w:instrText>Ref63185874 \r \h</w:instrText>
      </w:r>
      <w:r w:rsidRPr="00D3308F">
        <w:rPr>
          <w:rStyle w:val="af7"/>
          <w:rFonts w:eastAsia="Guttman Hodes"/>
          <w:rtl/>
        </w:rPr>
        <w:instrText xml:space="preserve"> </w:instrText>
      </w:r>
      <w:r w:rsidRPr="00D3308F">
        <w:rPr>
          <w:rStyle w:val="af7"/>
          <w:rFonts w:eastAsia="Guttman Hodes"/>
          <w:rtl/>
        </w:rPr>
      </w:r>
      <w:r w:rsidRPr="00D3308F">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D3308F">
        <w:rPr>
          <w:rStyle w:val="af7"/>
          <w:rFonts w:eastAsia="Guttman Hodes"/>
          <w:rtl/>
        </w:rPr>
        <w:fldChar w:fldCharType="end"/>
      </w:r>
      <w:r>
        <w:rPr>
          <w:rFonts w:hint="cs"/>
          <w:rtl/>
        </w:rPr>
        <w:t xml:space="preserve"> דצ"ל דרבה מודה דמיגו להוציא לא אמרינן, אלא דבקרקע ס"ל לרבה דכיון שהוא יושב בקרקע חשיב כמיגו להחזיק, ואף בזוזי ס"ל לרבה דכיון שטען בתחילה והא שטרא, ואם היה נשאר בטענתו ולא היה מודה שהשטר מזויף, היה יכול לגבות את המעות, לכן ס"ל לרבה דבכה"ג לא חשיב כמיגו להוציא, כיון שכבר טען כן בתחילה, וכתב </w:t>
      </w:r>
      <w:r w:rsidRPr="0097517F">
        <w:rPr>
          <w:rStyle w:val="af9"/>
          <w:rFonts w:hint="cs"/>
          <w:rtl/>
        </w:rPr>
        <w:t>הרשב"א</w:t>
      </w:r>
      <w:r>
        <w:rPr>
          <w:rFonts w:hint="cs"/>
          <w:rtl/>
        </w:rPr>
        <w:t xml:space="preserve"> דלדעת רבה מיגו להוציא הוא רק באופן שלא טען כלל, ועכשיו הוא יכול לטעון את טענת המיגו, דכיון שהוא מיגו להוציא לא מהני, [וע"ע במ"ש </w:t>
      </w:r>
      <w:r w:rsidRPr="0097517F">
        <w:rPr>
          <w:rStyle w:val="af9"/>
          <w:rFonts w:hint="cs"/>
          <w:rtl/>
        </w:rPr>
        <w:t>הרשב"א בתשו'</w:t>
      </w:r>
      <w:r>
        <w:rPr>
          <w:rFonts w:hint="cs"/>
          <w:rtl/>
        </w:rPr>
        <w:t xml:space="preserve"> </w:t>
      </w:r>
      <w:r w:rsidRPr="00956032">
        <w:rPr>
          <w:rStyle w:val="af7"/>
          <w:rFonts w:eastAsia="Guttman Hodes" w:hint="cs"/>
          <w:rtl/>
        </w:rPr>
        <w:t>(ח"ג סי' שנ"ג)</w:t>
      </w:r>
      <w:r>
        <w:rPr>
          <w:rFonts w:hint="cs"/>
          <w:rtl/>
        </w:rPr>
        <w:t xml:space="preserve"> דא"א להוכיח מהגמ' בסוגיין אי מהני מיגו להוציא, או לא מהני].</w:t>
      </w:r>
      <w:bookmarkEnd w:id="13962"/>
    </w:p>
    <w:p w:rsidR="003B7617" w:rsidRDefault="003B7617" w:rsidP="003B7617">
      <w:pPr>
        <w:pStyle w:val="a3"/>
        <w:rPr>
          <w:rtl/>
        </w:rPr>
      </w:pPr>
      <w:bookmarkStart w:id="13963" w:name="_Toc63247784"/>
      <w:r>
        <w:rPr>
          <w:rFonts w:hint="cs"/>
          <w:rtl/>
        </w:rPr>
        <w:t>ביאור רבינו יונה דבסטראי לא חשיב מיגו להוציא כיון שיש לו שטר ולכן נאמן במיגו</w:t>
      </w:r>
      <w:bookmarkEnd w:id="13963"/>
    </w:p>
    <w:p w:rsidR="003B7617" w:rsidRDefault="003B7617" w:rsidP="007E4E81">
      <w:pPr>
        <w:pStyle w:val="a0"/>
        <w:rPr>
          <w:rtl/>
        </w:rPr>
      </w:pPr>
      <w:bookmarkStart w:id="13964" w:name="_Ref63197507"/>
      <w:bookmarkStart w:id="13965" w:name="_Ref62666464"/>
      <w:r>
        <w:rPr>
          <w:rFonts w:hint="cs"/>
          <w:rtl/>
        </w:rPr>
        <w:t xml:space="preserve">וכתב </w:t>
      </w:r>
      <w:r w:rsidRPr="00B8474F">
        <w:rPr>
          <w:rStyle w:val="af9"/>
          <w:rFonts w:hint="cs"/>
          <w:rtl/>
        </w:rPr>
        <w:t xml:space="preserve">רבינו יונה </w:t>
      </w:r>
      <w:r w:rsidRPr="00B8474F">
        <w:rPr>
          <w:rStyle w:val="af7"/>
          <w:rFonts w:eastAsia="Guttman Hodes" w:hint="cs"/>
          <w:rtl/>
        </w:rPr>
        <w:t>(ד"ה אמר רבא)</w:t>
      </w:r>
      <w:r>
        <w:rPr>
          <w:rFonts w:hint="cs"/>
          <w:rtl/>
        </w:rPr>
        <w:t xml:space="preserve"> דבמקום שיש לו דין במיגו, לא חשיב כמיגו להוציא, </w:t>
      </w:r>
      <w:r w:rsidRPr="00026FC7">
        <w:rPr>
          <w:rStyle w:val="afb"/>
          <w:rFonts w:hint="cs"/>
          <w:rtl/>
        </w:rPr>
        <w:t xml:space="preserve">[והיינו כיון שיש לו שטר הוא נאמן במיגו, כדביאר </w:t>
      </w:r>
      <w:r w:rsidRPr="00026FC7">
        <w:rPr>
          <w:rStyle w:val="affa"/>
          <w:rFonts w:hint="cs"/>
          <w:rtl/>
        </w:rPr>
        <w:t>רבינו יונה</w:t>
      </w:r>
      <w:r w:rsidRPr="00026FC7">
        <w:rPr>
          <w:rStyle w:val="afb"/>
          <w:rFonts w:hint="cs"/>
          <w:rtl/>
        </w:rPr>
        <w:t xml:space="preserve"> </w:t>
      </w:r>
      <w:r w:rsidRPr="00026FC7">
        <w:rPr>
          <w:rStyle w:val="aff6"/>
          <w:rFonts w:hint="cs"/>
          <w:rtl/>
        </w:rPr>
        <w:t xml:space="preserve">(עי' אות </w:t>
      </w:r>
      <w:r w:rsidRPr="00026FC7">
        <w:rPr>
          <w:rStyle w:val="aff6"/>
          <w:rtl/>
        </w:rPr>
        <w:fldChar w:fldCharType="begin"/>
      </w:r>
      <w:r w:rsidRPr="00026FC7">
        <w:rPr>
          <w:rStyle w:val="aff6"/>
          <w:rtl/>
        </w:rPr>
        <w:instrText xml:space="preserve"> </w:instrText>
      </w:r>
      <w:r w:rsidRPr="00026FC7">
        <w:rPr>
          <w:rStyle w:val="aff6"/>
          <w:rFonts w:hint="cs"/>
        </w:rPr>
        <w:instrText>REF</w:instrText>
      </w:r>
      <w:r w:rsidRPr="00026FC7">
        <w:rPr>
          <w:rStyle w:val="aff6"/>
          <w:rFonts w:hint="cs"/>
          <w:rtl/>
        </w:rPr>
        <w:instrText xml:space="preserve"> _</w:instrText>
      </w:r>
      <w:r w:rsidRPr="00026FC7">
        <w:rPr>
          <w:rStyle w:val="aff6"/>
          <w:rFonts w:hint="cs"/>
        </w:rPr>
        <w:instrText>Ref63061083 \r \h</w:instrText>
      </w:r>
      <w:r w:rsidRPr="00026FC7">
        <w:rPr>
          <w:rStyle w:val="aff6"/>
          <w:rtl/>
        </w:rPr>
        <w:instrText xml:space="preserve"> </w:instrText>
      </w:r>
      <w:r w:rsidRPr="00026FC7">
        <w:rPr>
          <w:rStyle w:val="aff6"/>
          <w:rtl/>
        </w:rPr>
      </w:r>
      <w:r w:rsidRPr="00026FC7">
        <w:rPr>
          <w:rStyle w:val="aff6"/>
          <w:rtl/>
        </w:rPr>
        <w:fldChar w:fldCharType="separate"/>
      </w:r>
      <w:r w:rsidR="00265073">
        <w:rPr>
          <w:rStyle w:val="aff6"/>
          <w:cs/>
        </w:rPr>
        <w:t>‎</w:t>
      </w:r>
      <w:r w:rsidR="00265073">
        <w:rPr>
          <w:rStyle w:val="aff6"/>
          <w:rtl/>
        </w:rPr>
        <w:t>פב)</w:t>
      </w:r>
      <w:r w:rsidRPr="00026FC7">
        <w:rPr>
          <w:rStyle w:val="aff6"/>
          <w:rtl/>
        </w:rPr>
        <w:fldChar w:fldCharType="end"/>
      </w:r>
      <w:r w:rsidRPr="00026FC7">
        <w:rPr>
          <w:rStyle w:val="afb"/>
          <w:rFonts w:hint="cs"/>
          <w:rtl/>
        </w:rPr>
        <w:t xml:space="preserve"> דע"י השטר חשיב כמוחזק], </w:t>
      </w:r>
      <w:r>
        <w:rPr>
          <w:rFonts w:hint="cs"/>
          <w:rtl/>
        </w:rPr>
        <w:t xml:space="preserve">כדאיתא בגמ' בשבועות </w:t>
      </w:r>
      <w:r w:rsidRPr="00026FC7">
        <w:rPr>
          <w:rStyle w:val="af7"/>
          <w:rFonts w:eastAsia="Guttman Hodes" w:hint="cs"/>
          <w:rtl/>
        </w:rPr>
        <w:t>(מב.)</w:t>
      </w:r>
      <w:r>
        <w:rPr>
          <w:rFonts w:hint="cs"/>
          <w:rtl/>
        </w:rPr>
        <w:t xml:space="preserve"> בדין סטראי, דמלוה שמוציא שטר על הלוה, וטען הלוה שהוא פרוע, והודה </w:t>
      </w:r>
      <w:r w:rsidRPr="00A3383C">
        <w:rPr>
          <w:rFonts w:hint="cs"/>
          <w:rtl/>
        </w:rPr>
        <w:lastRenderedPageBreak/>
        <w:t xml:space="preserve">המלוה שפרע לו שלא בפני עדים, אך </w:t>
      </w:r>
      <w:r w:rsidRPr="00A3383C">
        <w:rPr>
          <w:rtl/>
        </w:rPr>
        <w:t>הנהו סיטראי נינהו</w:t>
      </w:r>
      <w:r w:rsidRPr="00A3383C">
        <w:rPr>
          <w:rFonts w:hint="cs"/>
          <w:rtl/>
        </w:rPr>
        <w:t xml:space="preserve">, </w:t>
      </w:r>
      <w:r w:rsidRPr="00026FC7">
        <w:rPr>
          <w:rStyle w:val="afb"/>
          <w:rFonts w:hint="cs"/>
          <w:rtl/>
        </w:rPr>
        <w:t xml:space="preserve">[דהוא חייב לו חוב אחר שלא בשטר], </w:t>
      </w:r>
      <w:r w:rsidRPr="00A3383C">
        <w:rPr>
          <w:rFonts w:hint="cs"/>
          <w:rtl/>
        </w:rPr>
        <w:t>דבעל השטר נאמן במיגו שלא היה מודה שפרע לו כלל</w:t>
      </w:r>
      <w:r>
        <w:rPr>
          <w:rFonts w:hint="cs"/>
          <w:rtl/>
        </w:rPr>
        <w:t xml:space="preserve">, ועי' במ"ש </w:t>
      </w:r>
      <w:r w:rsidRPr="00DB5F3E">
        <w:rPr>
          <w:rStyle w:val="af9"/>
          <w:rFonts w:hint="cs"/>
          <w:rtl/>
        </w:rPr>
        <w:t>התוס'</w:t>
      </w:r>
      <w:r>
        <w:rPr>
          <w:rFonts w:hint="cs"/>
          <w:rtl/>
        </w:rPr>
        <w:t xml:space="preserve"> </w:t>
      </w:r>
      <w:r w:rsidRPr="00777A28">
        <w:rPr>
          <w:rStyle w:val="af7"/>
          <w:rFonts w:eastAsia="Guttman Hodes" w:hint="cs"/>
          <w:rtl/>
        </w:rPr>
        <w:t xml:space="preserve">(עי' אות </w:t>
      </w:r>
      <w:r w:rsidRPr="00777A28">
        <w:rPr>
          <w:rStyle w:val="af7"/>
          <w:rFonts w:eastAsia="Guttman Hodes"/>
          <w:rtl/>
        </w:rPr>
        <w:fldChar w:fldCharType="begin"/>
      </w:r>
      <w:r w:rsidRPr="00777A28">
        <w:rPr>
          <w:rStyle w:val="af7"/>
          <w:rFonts w:eastAsia="Guttman Hodes"/>
          <w:rtl/>
        </w:rPr>
        <w:instrText xml:space="preserve"> </w:instrText>
      </w:r>
      <w:r w:rsidRPr="00777A28">
        <w:rPr>
          <w:rStyle w:val="af7"/>
          <w:rFonts w:eastAsia="Guttman Hodes" w:hint="cs"/>
        </w:rPr>
        <w:instrText>REF</w:instrText>
      </w:r>
      <w:r w:rsidRPr="00777A28">
        <w:rPr>
          <w:rStyle w:val="af7"/>
          <w:rFonts w:eastAsia="Guttman Hodes" w:hint="cs"/>
          <w:rtl/>
        </w:rPr>
        <w:instrText xml:space="preserve"> _</w:instrText>
      </w:r>
      <w:r w:rsidRPr="00777A28">
        <w:rPr>
          <w:rStyle w:val="af7"/>
          <w:rFonts w:eastAsia="Guttman Hodes" w:hint="cs"/>
        </w:rPr>
        <w:instrText>Ref63155210 \r \h</w:instrText>
      </w:r>
      <w:r w:rsidRPr="00777A28">
        <w:rPr>
          <w:rStyle w:val="af7"/>
          <w:rFonts w:eastAsia="Guttman Hodes"/>
          <w:rtl/>
        </w:rPr>
        <w:instrText xml:space="preserve"> </w:instrText>
      </w:r>
      <w:r w:rsidRPr="00777A28">
        <w:rPr>
          <w:rStyle w:val="af7"/>
          <w:rFonts w:eastAsia="Guttman Hodes"/>
          <w:rtl/>
        </w:rPr>
      </w:r>
      <w:r w:rsidRPr="00777A28">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777A28">
        <w:rPr>
          <w:rStyle w:val="af7"/>
          <w:rFonts w:eastAsia="Guttman Hodes"/>
          <w:rtl/>
        </w:rPr>
        <w:fldChar w:fldCharType="end"/>
      </w:r>
      <w:r>
        <w:rPr>
          <w:rStyle w:val="af9"/>
          <w:rFonts w:hint="cs"/>
          <w:rtl/>
        </w:rPr>
        <w:t xml:space="preserve"> </w:t>
      </w:r>
      <w:r w:rsidRPr="00DB5F3E">
        <w:rPr>
          <w:rStyle w:val="af9"/>
          <w:rFonts w:hint="cs"/>
          <w:rtl/>
        </w:rPr>
        <w:t>והרמב"ן</w:t>
      </w:r>
      <w:r>
        <w:rPr>
          <w:rStyle w:val="af9"/>
          <w:rFonts w:hint="cs"/>
          <w:rtl/>
        </w:rPr>
        <w:t xml:space="preserve"> והרשב"א</w:t>
      </w:r>
      <w:r>
        <w:rPr>
          <w:rFonts w:hint="cs"/>
          <w:rtl/>
        </w:rPr>
        <w:t xml:space="preserve"> </w:t>
      </w:r>
      <w:r w:rsidRPr="00777A28">
        <w:rPr>
          <w:rStyle w:val="af7"/>
          <w:rFonts w:eastAsia="Guttman Hodes" w:hint="cs"/>
          <w:rtl/>
        </w:rPr>
        <w:t xml:space="preserve">(עי' אות </w:t>
      </w:r>
      <w:r w:rsidRPr="00777A28">
        <w:rPr>
          <w:rStyle w:val="af7"/>
          <w:rFonts w:eastAsia="Guttman Hodes"/>
          <w:rtl/>
        </w:rPr>
        <w:fldChar w:fldCharType="begin"/>
      </w:r>
      <w:r w:rsidRPr="00777A28">
        <w:rPr>
          <w:rStyle w:val="af7"/>
          <w:rFonts w:eastAsia="Guttman Hodes"/>
          <w:rtl/>
        </w:rPr>
        <w:instrText xml:space="preserve"> </w:instrText>
      </w:r>
      <w:r w:rsidRPr="00777A28">
        <w:rPr>
          <w:rStyle w:val="af7"/>
          <w:rFonts w:eastAsia="Guttman Hodes" w:hint="cs"/>
        </w:rPr>
        <w:instrText>REF</w:instrText>
      </w:r>
      <w:r w:rsidRPr="00777A28">
        <w:rPr>
          <w:rStyle w:val="af7"/>
          <w:rFonts w:eastAsia="Guttman Hodes" w:hint="cs"/>
          <w:rtl/>
        </w:rPr>
        <w:instrText xml:space="preserve"> _</w:instrText>
      </w:r>
      <w:r w:rsidRPr="00777A28">
        <w:rPr>
          <w:rStyle w:val="af7"/>
          <w:rFonts w:eastAsia="Guttman Hodes" w:hint="cs"/>
        </w:rPr>
        <w:instrText>Ref63197458 \r \h</w:instrText>
      </w:r>
      <w:r w:rsidRPr="00777A28">
        <w:rPr>
          <w:rStyle w:val="af7"/>
          <w:rFonts w:eastAsia="Guttman Hodes"/>
          <w:rtl/>
        </w:rPr>
        <w:instrText xml:space="preserve"> </w:instrText>
      </w:r>
      <w:r w:rsidRPr="00777A28">
        <w:rPr>
          <w:rStyle w:val="af7"/>
          <w:rFonts w:eastAsia="Guttman Hodes"/>
          <w:rtl/>
        </w:rPr>
      </w:r>
      <w:r w:rsidRPr="00777A28">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777A28">
        <w:rPr>
          <w:rStyle w:val="af7"/>
          <w:rFonts w:eastAsia="Guttman Hodes"/>
          <w:rtl/>
        </w:rPr>
        <w:fldChar w:fldCharType="end"/>
      </w:r>
      <w:r>
        <w:rPr>
          <w:rFonts w:hint="cs"/>
          <w:rtl/>
        </w:rPr>
        <w:t xml:space="preserve"> בדין סטראי</w:t>
      </w:r>
      <w:r w:rsidRPr="00A3383C">
        <w:rPr>
          <w:rFonts w:hint="cs"/>
          <w:rtl/>
        </w:rPr>
        <w:t>.</w:t>
      </w:r>
      <w:bookmarkEnd w:id="13964"/>
      <w:r w:rsidRPr="00A3383C">
        <w:rPr>
          <w:rFonts w:hint="cs"/>
          <w:rtl/>
        </w:rPr>
        <w:t xml:space="preserve"> </w:t>
      </w:r>
    </w:p>
    <w:p w:rsidR="003B7617" w:rsidRDefault="003B7617" w:rsidP="003B7617">
      <w:pPr>
        <w:pStyle w:val="a3"/>
        <w:rPr>
          <w:rtl/>
        </w:rPr>
      </w:pPr>
      <w:bookmarkStart w:id="13966" w:name="_Toc63247785"/>
      <w:r>
        <w:rPr>
          <w:rFonts w:hint="cs"/>
          <w:rtl/>
        </w:rPr>
        <w:t>דברי רבינו יונה דלרב יוסף כשהודה דהשטר מזויף בטלה זכותו וחזקתו בקרקע והמיגו להוציא</w:t>
      </w:r>
      <w:bookmarkEnd w:id="13966"/>
    </w:p>
    <w:p w:rsidR="003B7617" w:rsidRDefault="003B7617" w:rsidP="007E4E81">
      <w:pPr>
        <w:pStyle w:val="a0"/>
        <w:rPr>
          <w:rtl/>
        </w:rPr>
      </w:pPr>
      <w:r>
        <w:rPr>
          <w:rFonts w:hint="cs"/>
          <w:rtl/>
        </w:rPr>
        <w:t>ובדעת רב יוסף ביאר</w:t>
      </w:r>
      <w:r w:rsidRPr="004927C4">
        <w:rPr>
          <w:rFonts w:hint="cs"/>
          <w:rtl/>
        </w:rPr>
        <w:t xml:space="preserve"> </w:t>
      </w:r>
      <w:r w:rsidRPr="00B8474F">
        <w:rPr>
          <w:rStyle w:val="af9"/>
          <w:rFonts w:hint="cs"/>
          <w:rtl/>
        </w:rPr>
        <w:t xml:space="preserve">רבינו יונה </w:t>
      </w:r>
      <w:r w:rsidRPr="00B8474F">
        <w:rPr>
          <w:rStyle w:val="af7"/>
          <w:rFonts w:eastAsia="Guttman Hodes" w:hint="cs"/>
          <w:rtl/>
        </w:rPr>
        <w:t>(ד"ה אמר רבא)</w:t>
      </w:r>
      <w:r>
        <w:rPr>
          <w:rFonts w:hint="cs"/>
          <w:rtl/>
        </w:rPr>
        <w:t xml:space="preserve"> דכיון שהודה המחזיק שהשטר מזויף, א"כ בטלה הזכות והחזקה שיש לו בקרקע מכח השטר, ואיגלאי מילתא דחזקתו בממון היא בטענת שקר ואינו מוחזק בו, דהשטר מזויף והוא חספא בעלמא, וממילא המיגו הוא מיגו להוציא, דהוא רוצה להוציא ממון שאינו מוחזק בו כלל, בלי שטר ובלי עדים.</w:t>
      </w:r>
    </w:p>
    <w:p w:rsidR="003B7617" w:rsidRDefault="003B7617" w:rsidP="003B7617">
      <w:pPr>
        <w:pStyle w:val="a3"/>
        <w:rPr>
          <w:rtl/>
        </w:rPr>
      </w:pPr>
      <w:bookmarkStart w:id="13967" w:name="_Toc63247786"/>
      <w:r>
        <w:rPr>
          <w:rFonts w:hint="cs"/>
          <w:rtl/>
        </w:rPr>
        <w:t>ביאור רבינו יונה דבקרקע זכה בדין בתחילה וא"צ גוביינא ואף שהודה לא איבד את חזקתו</w:t>
      </w:r>
      <w:bookmarkEnd w:id="13967"/>
      <w:r>
        <w:rPr>
          <w:rFonts w:hint="cs"/>
          <w:rtl/>
        </w:rPr>
        <w:t xml:space="preserve"> </w:t>
      </w:r>
    </w:p>
    <w:p w:rsidR="003B7617" w:rsidRDefault="003B7617" w:rsidP="007E4E81">
      <w:pPr>
        <w:pStyle w:val="a0"/>
        <w:rPr>
          <w:rtl/>
        </w:rPr>
      </w:pPr>
      <w:r>
        <w:rPr>
          <w:rFonts w:hint="cs"/>
          <w:rtl/>
        </w:rPr>
        <w:t>ובדברי רב אידי ביאר</w:t>
      </w:r>
      <w:r w:rsidRPr="004927C4">
        <w:rPr>
          <w:rFonts w:hint="cs"/>
          <w:rtl/>
        </w:rPr>
        <w:t xml:space="preserve"> </w:t>
      </w:r>
      <w:r w:rsidRPr="00B8474F">
        <w:rPr>
          <w:rStyle w:val="af9"/>
          <w:rFonts w:hint="cs"/>
          <w:rtl/>
        </w:rPr>
        <w:t xml:space="preserve">רבינו יונה </w:t>
      </w:r>
      <w:r w:rsidRPr="00B8474F">
        <w:rPr>
          <w:rStyle w:val="af7"/>
          <w:rFonts w:eastAsia="Guttman Hodes" w:hint="cs"/>
          <w:rtl/>
        </w:rPr>
        <w:t>(ד"ה אמר רבא)</w:t>
      </w:r>
      <w:r>
        <w:rPr>
          <w:rFonts w:hint="cs"/>
          <w:rtl/>
        </w:rPr>
        <w:t xml:space="preserve"> דקיי"ל כרבה בארעא, כיון דבקרקע המיגו נחשב כמיגו להחזיק, כיון שבזמן שטען בתחילה מינך זבינתה והא שטרא, הוא נעשה מוחזק בקרקע, והייתה הקרקע בידו מדינא, והוסיף </w:t>
      </w:r>
      <w:r w:rsidRPr="0097517F">
        <w:rPr>
          <w:rStyle w:val="af9"/>
          <w:rFonts w:hint="cs"/>
          <w:rtl/>
        </w:rPr>
        <w:t>רבינו</w:t>
      </w:r>
      <w:r>
        <w:rPr>
          <w:rFonts w:hint="cs"/>
          <w:rtl/>
        </w:rPr>
        <w:t xml:space="preserve"> </w:t>
      </w:r>
      <w:r w:rsidRPr="0097517F">
        <w:rPr>
          <w:rStyle w:val="af9"/>
          <w:rFonts w:hint="cs"/>
          <w:rtl/>
        </w:rPr>
        <w:t>יונה</w:t>
      </w:r>
      <w:r>
        <w:rPr>
          <w:rFonts w:hint="cs"/>
          <w:rtl/>
        </w:rPr>
        <w:t xml:space="preserve"> </w:t>
      </w:r>
      <w:r w:rsidRPr="00AD5400">
        <w:rPr>
          <w:rStyle w:val="af7"/>
          <w:rFonts w:eastAsia="Guttman Hodes" w:hint="cs"/>
          <w:rtl/>
        </w:rPr>
        <w:t>(ד"ה עלה בידינו)</w:t>
      </w:r>
      <w:r>
        <w:rPr>
          <w:rFonts w:hint="cs"/>
          <w:rtl/>
        </w:rPr>
        <w:t xml:space="preserve"> לבאר דבקרקע כשטען והא שטרא הוא זכה בדין בקרקע הזו, וא"צ להוציא מהמערער את הקרקע, כיון שהוא יושב ומחזיק בקרקע, ולכן אעפ"י שאח"כ הודה שהשטר הוא אמנה, וטוען שהיה לו שטר אחר שאבד לו, הקרקע לא יוצאת מחזקתו, ולכן הוא נאמן בטענה שטוען עכשיו שהיה לו שטר ואבד, במיגו שהיה יכול לעמוד בטענתו הראשונה, וכ"כ </w:t>
      </w:r>
      <w:r>
        <w:rPr>
          <w:rStyle w:val="af9"/>
          <w:rFonts w:hint="cs"/>
          <w:rtl/>
        </w:rPr>
        <w:t>הרא"ש</w:t>
      </w:r>
      <w:r>
        <w:rPr>
          <w:rFonts w:hint="cs"/>
          <w:rtl/>
        </w:rPr>
        <w:t xml:space="preserve"> </w:t>
      </w:r>
      <w:r w:rsidRPr="00A70124">
        <w:rPr>
          <w:rStyle w:val="af7"/>
          <w:rFonts w:eastAsia="Guttman Hodes" w:hint="cs"/>
          <w:rtl/>
        </w:rPr>
        <w:t>(סי' י"</w:t>
      </w:r>
      <w:r>
        <w:rPr>
          <w:rStyle w:val="af7"/>
          <w:rFonts w:eastAsia="Guttman Hodes" w:hint="cs"/>
          <w:rtl/>
        </w:rPr>
        <w:t>ג)</w:t>
      </w:r>
      <w:r>
        <w:rPr>
          <w:rFonts w:hint="cs"/>
          <w:rtl/>
        </w:rPr>
        <w:t>.</w:t>
      </w:r>
    </w:p>
    <w:p w:rsidR="003B7617" w:rsidRDefault="003B7617" w:rsidP="003B7617">
      <w:pPr>
        <w:pStyle w:val="a3"/>
        <w:rPr>
          <w:rtl/>
        </w:rPr>
      </w:pPr>
      <w:bookmarkStart w:id="13968" w:name="_Toc63247787"/>
      <w:r>
        <w:rPr>
          <w:rFonts w:hint="cs"/>
          <w:rtl/>
        </w:rPr>
        <w:t>ביאור רבינו יונה דבזוזי אף שזכה בדין ע"י השטר מ"מ מחוסרי גוביינא וכשהודה בטלה חזקתו</w:t>
      </w:r>
      <w:bookmarkEnd w:id="13968"/>
    </w:p>
    <w:p w:rsidR="003B7617" w:rsidRDefault="003B7617" w:rsidP="007E4E81">
      <w:pPr>
        <w:pStyle w:val="a0"/>
        <w:rPr>
          <w:rtl/>
        </w:rPr>
      </w:pPr>
      <w:bookmarkStart w:id="13969" w:name="_Ref63234262"/>
      <w:r>
        <w:rPr>
          <w:rFonts w:hint="cs"/>
          <w:rtl/>
        </w:rPr>
        <w:t>והא דקיי"ל כוותיה דרב יוסף בזוזי, ביאר</w:t>
      </w:r>
      <w:r w:rsidRPr="004927C4">
        <w:rPr>
          <w:rFonts w:hint="cs"/>
          <w:rtl/>
        </w:rPr>
        <w:t xml:space="preserve"> </w:t>
      </w:r>
      <w:r w:rsidRPr="00B8474F">
        <w:rPr>
          <w:rStyle w:val="af9"/>
          <w:rFonts w:hint="cs"/>
          <w:rtl/>
        </w:rPr>
        <w:t xml:space="preserve">רבינו יונה </w:t>
      </w:r>
      <w:r w:rsidRPr="007E6E20">
        <w:rPr>
          <w:rStyle w:val="af7"/>
          <w:rFonts w:eastAsia="Guttman Hodes" w:hint="cs"/>
          <w:rtl/>
        </w:rPr>
        <w:t>(ד"ה אמר רבא)</w:t>
      </w:r>
      <w:r>
        <w:rPr>
          <w:rFonts w:hint="cs"/>
          <w:rtl/>
        </w:rPr>
        <w:t xml:space="preserve"> דבמעות המיגו נחשב כמיגו להוציא, דאעפ"י שבתחילה טען שחייב לו מנה והא שטרא, מ"מ אף באותו הזמן הוא לא היה מוחזק בממון, דאעפ"י שיש לו שטר הוא עדיין מחוסר גוביינא, ולפני שגבה את המעות, כבר הודה דהשטר מזויף, ולכן הוא מיגו להוציא דעכשיו אין לו שטר והמעות מחוסרות גוביינא, וכתב </w:t>
      </w:r>
      <w:r w:rsidRPr="0097517F">
        <w:rPr>
          <w:rStyle w:val="af9"/>
          <w:rFonts w:hint="cs"/>
          <w:rtl/>
        </w:rPr>
        <w:t>רבינו יונה</w:t>
      </w:r>
      <w:r>
        <w:rPr>
          <w:rFonts w:hint="cs"/>
          <w:rtl/>
        </w:rPr>
        <w:t xml:space="preserve"> דכן מבואר בדברי </w:t>
      </w:r>
      <w:r w:rsidRPr="0097517F">
        <w:rPr>
          <w:rStyle w:val="af9"/>
          <w:rFonts w:hint="cs"/>
          <w:rtl/>
        </w:rPr>
        <w:t>רב האי גאון</w:t>
      </w:r>
      <w:r>
        <w:rPr>
          <w:rFonts w:hint="cs"/>
          <w:rtl/>
        </w:rPr>
        <w:t xml:space="preserve"> דכתב דרב אבין [אידי] החשיב שהקרקע היא בידו ע"י השטר דהיכא דקיימא קיימא, ולכן על המוציא להביא ראיה, והוסיף </w:t>
      </w:r>
      <w:r w:rsidRPr="0097517F">
        <w:rPr>
          <w:rStyle w:val="af9"/>
          <w:rFonts w:hint="cs"/>
          <w:rtl/>
        </w:rPr>
        <w:t>רבינו</w:t>
      </w:r>
      <w:r>
        <w:rPr>
          <w:rFonts w:hint="cs"/>
          <w:rtl/>
        </w:rPr>
        <w:t xml:space="preserve"> </w:t>
      </w:r>
      <w:r w:rsidRPr="0097517F">
        <w:rPr>
          <w:rStyle w:val="af9"/>
          <w:rFonts w:hint="cs"/>
          <w:rtl/>
        </w:rPr>
        <w:t>יונה</w:t>
      </w:r>
      <w:r w:rsidRPr="006677AE">
        <w:rPr>
          <w:rStyle w:val="af7"/>
          <w:rFonts w:eastAsia="Guttman Hodes" w:hint="cs"/>
          <w:rtl/>
        </w:rPr>
        <w:t xml:space="preserve"> (ד"ה עלה בידינו) </w:t>
      </w:r>
      <w:r>
        <w:rPr>
          <w:rFonts w:hint="cs"/>
          <w:rtl/>
        </w:rPr>
        <w:t xml:space="preserve">לבאר דאעפ"י שכבר זכה בדין בטענתו הראשונה, כשאמר שחייב לו מנה והא שטרא, מ"מ כיון שלא גבה עדיין את החוב, ועכשיו הודה שהשטר הוא אמנה, א"כ אינו יכול לגבות את הממון בלא שטר, וכן בהודה המלוה שפרע לו וטען שהיה לו חוב אחר ולכן עיכב את השטר בידו, דאף שיש לו מיגו, מ"מ כיון שהודה שהשטר נמחל שיעבודו, ורוצה להוציא ממון בלי שטר אינו נאמן, וכ"כ </w:t>
      </w:r>
      <w:r>
        <w:rPr>
          <w:rStyle w:val="af9"/>
          <w:rFonts w:hint="cs"/>
          <w:rtl/>
        </w:rPr>
        <w:t>הרא"ש</w:t>
      </w:r>
      <w:r>
        <w:rPr>
          <w:rFonts w:hint="cs"/>
          <w:rtl/>
        </w:rPr>
        <w:t xml:space="preserve"> </w:t>
      </w:r>
      <w:r w:rsidRPr="00A70124">
        <w:rPr>
          <w:rStyle w:val="af7"/>
          <w:rFonts w:eastAsia="Guttman Hodes" w:hint="cs"/>
          <w:rtl/>
        </w:rPr>
        <w:t>(סי' י"</w:t>
      </w:r>
      <w:r>
        <w:rPr>
          <w:rStyle w:val="af7"/>
          <w:rFonts w:eastAsia="Guttman Hodes" w:hint="cs"/>
          <w:rtl/>
        </w:rPr>
        <w:t>ג)</w:t>
      </w:r>
      <w:r>
        <w:rPr>
          <w:rFonts w:hint="cs"/>
          <w:rtl/>
        </w:rPr>
        <w:t>.</w:t>
      </w:r>
      <w:bookmarkEnd w:id="13969"/>
      <w:r>
        <w:rPr>
          <w:rFonts w:hint="cs"/>
          <w:rtl/>
        </w:rPr>
        <w:t xml:space="preserve"> </w:t>
      </w:r>
    </w:p>
    <w:p w:rsidR="003B7617" w:rsidRDefault="003B7617" w:rsidP="003B7617">
      <w:pPr>
        <w:pStyle w:val="a3"/>
        <w:rPr>
          <w:rtl/>
        </w:rPr>
      </w:pPr>
      <w:bookmarkStart w:id="13970" w:name="_Toc63247788"/>
      <w:r>
        <w:rPr>
          <w:rFonts w:hint="cs"/>
          <w:rtl/>
        </w:rPr>
        <w:t>דברי רבינו יונה דרק באמנה שהבעלים החזיקו בקרקע נעשה מוחזק ע"י השטר ולא במזויף ממש</w:t>
      </w:r>
      <w:bookmarkEnd w:id="13970"/>
    </w:p>
    <w:p w:rsidR="003B7617" w:rsidRDefault="003B7617" w:rsidP="007E4E81">
      <w:pPr>
        <w:pStyle w:val="a0"/>
        <w:rPr>
          <w:rtl/>
        </w:rPr>
      </w:pPr>
      <w:bookmarkStart w:id="13971" w:name="_Ref63234908"/>
      <w:r>
        <w:rPr>
          <w:rFonts w:hint="cs"/>
          <w:rtl/>
        </w:rPr>
        <w:t>וכתב</w:t>
      </w:r>
      <w:r w:rsidRPr="00425023">
        <w:rPr>
          <w:rFonts w:hint="cs"/>
          <w:rtl/>
        </w:rPr>
        <w:t xml:space="preserve"> </w:t>
      </w:r>
      <w:r w:rsidRPr="00B8474F">
        <w:rPr>
          <w:rStyle w:val="af9"/>
          <w:rFonts w:hint="cs"/>
          <w:rtl/>
        </w:rPr>
        <w:t xml:space="preserve">רבינו יונה </w:t>
      </w:r>
      <w:r w:rsidRPr="00B8474F">
        <w:rPr>
          <w:rStyle w:val="af7"/>
          <w:rFonts w:eastAsia="Guttman Hodes" w:hint="cs"/>
          <w:rtl/>
        </w:rPr>
        <w:t>(ד"ה אמר רבא)</w:t>
      </w:r>
      <w:r>
        <w:rPr>
          <w:rFonts w:hint="cs"/>
          <w:rtl/>
        </w:rPr>
        <w:t xml:space="preserve"> דהא דלהלכה קיי"ל כרבה בארעא דהיכא דקיימא קיימא, והמערער הוא המוציא, היינו דוקא בשטר אמנה, אבל בשטר מזויף ממש, אף אם המחזיק זייף את החתימות יפה עד שאפשר לקיימם, </w:t>
      </w:r>
      <w:r w:rsidRPr="000566CA">
        <w:rPr>
          <w:rStyle w:val="afb"/>
          <w:rFonts w:hint="cs"/>
          <w:rtl/>
        </w:rPr>
        <w:t xml:space="preserve">[כדביאר </w:t>
      </w:r>
      <w:r w:rsidRPr="000566CA">
        <w:rPr>
          <w:rStyle w:val="affa"/>
          <w:rFonts w:hint="cs"/>
          <w:rtl/>
        </w:rPr>
        <w:t xml:space="preserve">הרשב"ם </w:t>
      </w:r>
      <w:r w:rsidRPr="005F14A1">
        <w:rPr>
          <w:rStyle w:val="aff6"/>
          <w:rFonts w:hint="cs"/>
          <w:rtl/>
        </w:rPr>
        <w:t xml:space="preserve">(עי' אות </w:t>
      </w:r>
      <w:r w:rsidRPr="005F14A1">
        <w:rPr>
          <w:rStyle w:val="aff6"/>
          <w:rtl/>
        </w:rPr>
        <w:fldChar w:fldCharType="begin"/>
      </w:r>
      <w:r w:rsidRPr="005F14A1">
        <w:rPr>
          <w:rStyle w:val="aff6"/>
          <w:rtl/>
        </w:rPr>
        <w:instrText xml:space="preserve"> </w:instrText>
      </w:r>
      <w:r w:rsidRPr="005F14A1">
        <w:rPr>
          <w:rStyle w:val="aff6"/>
          <w:rFonts w:hint="cs"/>
        </w:rPr>
        <w:instrText>REF</w:instrText>
      </w:r>
      <w:r w:rsidRPr="005F14A1">
        <w:rPr>
          <w:rStyle w:val="aff6"/>
          <w:rFonts w:hint="cs"/>
          <w:rtl/>
        </w:rPr>
        <w:instrText xml:space="preserve"> _</w:instrText>
      </w:r>
      <w:r w:rsidRPr="005F14A1">
        <w:rPr>
          <w:rStyle w:val="aff6"/>
          <w:rFonts w:hint="cs"/>
        </w:rPr>
        <w:instrText>Ref63108785 \r \h</w:instrText>
      </w:r>
      <w:r w:rsidRPr="005F14A1">
        <w:rPr>
          <w:rStyle w:val="aff6"/>
          <w:rtl/>
        </w:rPr>
        <w:instrText xml:space="preserve"> </w:instrText>
      </w:r>
      <w:r w:rsidRPr="005F14A1">
        <w:rPr>
          <w:rStyle w:val="aff6"/>
          <w:rtl/>
        </w:rPr>
      </w:r>
      <w:r w:rsidRPr="005F14A1">
        <w:rPr>
          <w:rStyle w:val="aff6"/>
          <w:rtl/>
        </w:rPr>
        <w:fldChar w:fldCharType="separate"/>
      </w:r>
      <w:r w:rsidR="00265073">
        <w:rPr>
          <w:rStyle w:val="aff6"/>
          <w:cs/>
        </w:rPr>
        <w:t>‎</w:t>
      </w:r>
      <w:r w:rsidR="00265073">
        <w:rPr>
          <w:rStyle w:val="aff6"/>
          <w:rtl/>
        </w:rPr>
        <w:t>יז)</w:t>
      </w:r>
      <w:r w:rsidRPr="005F14A1">
        <w:rPr>
          <w:rStyle w:val="aff6"/>
          <w:rtl/>
        </w:rPr>
        <w:fldChar w:fldCharType="end"/>
      </w:r>
      <w:r w:rsidRPr="000566CA">
        <w:rPr>
          <w:rStyle w:val="afb"/>
          <w:rFonts w:hint="cs"/>
          <w:rtl/>
        </w:rPr>
        <w:t>],</w:t>
      </w:r>
      <w:r>
        <w:rPr>
          <w:rFonts w:hint="cs"/>
          <w:rtl/>
        </w:rPr>
        <w:t xml:space="preserve"> מ"מ אין מעמידים את השטר בידו, כיון שלא הגיע השטר לידו מהבעלים של הקרקע, וכ"מ שאפש"ל דהמחזיק נחשב למוחזק מכח השטר, היינו </w:t>
      </w:r>
      <w:r>
        <w:rPr>
          <w:rFonts w:hint="cs"/>
          <w:rtl/>
        </w:rPr>
        <w:t>כשהבעלים כתב את השטר ונתן אותו למחזיק, דניכר שהחזיקו בקרקע,</w:t>
      </w:r>
      <w:r w:rsidRPr="003B0EE7">
        <w:rPr>
          <w:rStyle w:val="afb"/>
          <w:rFonts w:hint="cs"/>
          <w:rtl/>
        </w:rPr>
        <w:t xml:space="preserve"> [אעפ"י שמודה דלא מכר לו בשטר זה והוא אמנה], </w:t>
      </w:r>
      <w:r>
        <w:rPr>
          <w:rFonts w:hint="cs"/>
          <w:rtl/>
        </w:rPr>
        <w:t>אבל כשמודה המחזיק שזייף את השטר, לא חשיב כמוחזק בקרקע.</w:t>
      </w:r>
      <w:bookmarkEnd w:id="13965"/>
      <w:bookmarkEnd w:id="13971"/>
    </w:p>
    <w:p w:rsidR="003B7617" w:rsidRDefault="003B7617" w:rsidP="003B7617">
      <w:pPr>
        <w:pStyle w:val="a3"/>
        <w:rPr>
          <w:rtl/>
        </w:rPr>
      </w:pPr>
      <w:bookmarkStart w:id="13972" w:name="_Toc63247789"/>
      <w:r>
        <w:rPr>
          <w:rFonts w:hint="cs"/>
          <w:rtl/>
        </w:rPr>
        <w:t>דברי רבינו יונה דבההוא ערבא מספקא לרב אידי אי כיון שהניח שטר בידו חשיב למוחזק</w:t>
      </w:r>
      <w:bookmarkEnd w:id="13972"/>
    </w:p>
    <w:p w:rsidR="003B7617" w:rsidRDefault="003B7617" w:rsidP="007E4E81">
      <w:pPr>
        <w:pStyle w:val="a0"/>
        <w:rPr>
          <w:rtl/>
        </w:rPr>
      </w:pPr>
      <w:bookmarkStart w:id="13973" w:name="_Ref63249301"/>
      <w:r>
        <w:rPr>
          <w:rFonts w:hint="cs"/>
          <w:rtl/>
        </w:rPr>
        <w:t xml:space="preserve">והביא </w:t>
      </w:r>
      <w:r w:rsidRPr="0093784C">
        <w:rPr>
          <w:rStyle w:val="af9"/>
          <w:rFonts w:hint="cs"/>
          <w:rtl/>
        </w:rPr>
        <w:t>רבינו יונה</w:t>
      </w:r>
      <w:r>
        <w:rPr>
          <w:rFonts w:hint="cs"/>
          <w:rtl/>
        </w:rPr>
        <w:t xml:space="preserve"> ראיה מהא דבההוא ערבא דהודה המלוה שפרע לו את השטר, וטען שחזר ולוה ממנו, מספקא ליה לרב אידי בר אבין, אי אמרינן מיגו להוציא, אעפ"י דרב אידי בר אבין גופיה פסק כרב יוסף בזוזי, </w:t>
      </w:r>
      <w:r w:rsidRPr="0093784C">
        <w:rPr>
          <w:rStyle w:val="afb"/>
          <w:rFonts w:hint="cs"/>
          <w:rtl/>
        </w:rPr>
        <w:t xml:space="preserve">[וכדביאר </w:t>
      </w:r>
      <w:r w:rsidRPr="0093784C">
        <w:rPr>
          <w:rStyle w:val="affa"/>
          <w:rFonts w:hint="cs"/>
          <w:rtl/>
        </w:rPr>
        <w:t>רבינו יונה</w:t>
      </w:r>
      <w:r w:rsidRPr="0093784C">
        <w:rPr>
          <w:rStyle w:val="afb"/>
          <w:rFonts w:hint="cs"/>
          <w:rtl/>
        </w:rPr>
        <w:t xml:space="preserve"> </w:t>
      </w:r>
      <w:r w:rsidRPr="008A78EB">
        <w:rPr>
          <w:rStyle w:val="aff6"/>
          <w:rFonts w:hint="cs"/>
          <w:rtl/>
        </w:rPr>
        <w:t xml:space="preserve">(עי' אות </w:t>
      </w:r>
      <w:r w:rsidRPr="008A78EB">
        <w:rPr>
          <w:rStyle w:val="aff6"/>
          <w:rtl/>
        </w:rPr>
        <w:fldChar w:fldCharType="begin"/>
      </w:r>
      <w:r w:rsidRPr="008A78EB">
        <w:rPr>
          <w:rStyle w:val="aff6"/>
          <w:rtl/>
        </w:rPr>
        <w:instrText xml:space="preserve"> </w:instrText>
      </w:r>
      <w:r w:rsidRPr="008A78EB">
        <w:rPr>
          <w:rStyle w:val="aff6"/>
          <w:rFonts w:hint="cs"/>
        </w:rPr>
        <w:instrText>REF</w:instrText>
      </w:r>
      <w:r w:rsidRPr="008A78EB">
        <w:rPr>
          <w:rStyle w:val="aff6"/>
          <w:rFonts w:hint="cs"/>
          <w:rtl/>
        </w:rPr>
        <w:instrText xml:space="preserve"> _</w:instrText>
      </w:r>
      <w:r w:rsidRPr="008A78EB">
        <w:rPr>
          <w:rStyle w:val="aff6"/>
          <w:rFonts w:hint="cs"/>
        </w:rPr>
        <w:instrText>Ref63234262 \r \h</w:instrText>
      </w:r>
      <w:r w:rsidRPr="008A78EB">
        <w:rPr>
          <w:rStyle w:val="aff6"/>
          <w:rtl/>
        </w:rPr>
        <w:instrText xml:space="preserve"> </w:instrText>
      </w:r>
      <w:r w:rsidRPr="008A78EB">
        <w:rPr>
          <w:rStyle w:val="aff6"/>
          <w:rtl/>
        </w:rPr>
      </w:r>
      <w:r w:rsidRPr="008A78EB">
        <w:rPr>
          <w:rStyle w:val="aff6"/>
          <w:rtl/>
        </w:rPr>
        <w:fldChar w:fldCharType="separate"/>
      </w:r>
      <w:r w:rsidR="00265073">
        <w:rPr>
          <w:rStyle w:val="aff6"/>
          <w:cs/>
        </w:rPr>
        <w:t>‎</w:t>
      </w:r>
      <w:r w:rsidR="00265073">
        <w:rPr>
          <w:rStyle w:val="aff6"/>
          <w:rtl/>
        </w:rPr>
        <w:t>פז)</w:t>
      </w:r>
      <w:r w:rsidRPr="008A78EB">
        <w:rPr>
          <w:rStyle w:val="aff6"/>
          <w:rtl/>
        </w:rPr>
        <w:fldChar w:fldCharType="end"/>
      </w:r>
      <w:r w:rsidRPr="008A78EB">
        <w:rPr>
          <w:rStyle w:val="aff6"/>
          <w:rFonts w:hint="cs"/>
          <w:rtl/>
        </w:rPr>
        <w:t xml:space="preserve"> </w:t>
      </w:r>
      <w:r w:rsidRPr="0093784C">
        <w:rPr>
          <w:rStyle w:val="afb"/>
          <w:rFonts w:hint="cs"/>
          <w:rtl/>
        </w:rPr>
        <w:t>דאינו מוחזק במעות, ומוחזק בקרקע ומיגו להוציא לא אמרינן],</w:t>
      </w:r>
      <w:r>
        <w:rPr>
          <w:rFonts w:hint="cs"/>
          <w:rtl/>
        </w:rPr>
        <w:t xml:space="preserve"> וביאר </w:t>
      </w:r>
      <w:r w:rsidRPr="0093784C">
        <w:rPr>
          <w:rStyle w:val="af9"/>
          <w:rFonts w:hint="cs"/>
          <w:rtl/>
        </w:rPr>
        <w:t>רבינו יונה</w:t>
      </w:r>
      <w:r>
        <w:rPr>
          <w:rFonts w:hint="cs"/>
          <w:rtl/>
        </w:rPr>
        <w:t xml:space="preserve"> דכיון דבההוא ערבא אפש"ל שהמלוה מוחזק יותר מכח השטר, דאחר שהניח הלוה את השטר ביד המלוה, כיון שחזר ולוה ממנו, א"כ הלוה עצמו החזיק את המלוה בשטר הזה באותו הממון, אלא דאביי פשט את ספיקא דרב אידי, דמ"מ בזוזי לעולם חשיב הוצאת ממון, </w:t>
      </w:r>
      <w:bookmarkStart w:id="13974" w:name="_Ref62666414"/>
      <w:r>
        <w:rPr>
          <w:rFonts w:hint="cs"/>
          <w:rtl/>
        </w:rPr>
        <w:t xml:space="preserve">והביא </w:t>
      </w:r>
      <w:r w:rsidRPr="006B41C0">
        <w:rPr>
          <w:rStyle w:val="af9"/>
          <w:rFonts w:hint="cs"/>
          <w:rtl/>
        </w:rPr>
        <w:t>רבינו יונה</w:t>
      </w:r>
      <w:r>
        <w:rPr>
          <w:rFonts w:hint="cs"/>
          <w:rtl/>
        </w:rPr>
        <w:t xml:space="preserve"> </w:t>
      </w:r>
      <w:r w:rsidRPr="00750705">
        <w:rPr>
          <w:rStyle w:val="af7"/>
          <w:rFonts w:eastAsia="Guttman Hodes" w:hint="cs"/>
          <w:rtl/>
        </w:rPr>
        <w:t>(סוד"ה אמר)</w:t>
      </w:r>
      <w:r>
        <w:rPr>
          <w:rFonts w:hint="cs"/>
          <w:rtl/>
        </w:rPr>
        <w:t xml:space="preserve"> בשם </w:t>
      </w:r>
      <w:r w:rsidRPr="006B41C0">
        <w:rPr>
          <w:rStyle w:val="af9"/>
          <w:rFonts w:hint="cs"/>
          <w:rtl/>
        </w:rPr>
        <w:t xml:space="preserve">רב האי גאון </w:t>
      </w:r>
      <w:r>
        <w:rPr>
          <w:rFonts w:hint="cs"/>
          <w:rtl/>
        </w:rPr>
        <w:t>דכתב דמהא דהקשה אביי לרב אידי בההוא ערבא דמאי תיבעי ליה הא הלכתא כרב יוסף בזוזי, הוא ראיה גדולה, דאף במעשה הראשון לא איירי בשטר מזויף ממש.</w:t>
      </w:r>
      <w:bookmarkEnd w:id="13973"/>
      <w:bookmarkEnd w:id="13974"/>
    </w:p>
    <w:p w:rsidR="003B7617" w:rsidRDefault="003B7617" w:rsidP="003B7617">
      <w:pPr>
        <w:pStyle w:val="afe"/>
        <w:rPr>
          <w:rtl/>
        </w:rPr>
      </w:pPr>
      <w:bookmarkStart w:id="13975" w:name="_Toc63111478"/>
      <w:bookmarkStart w:id="13976" w:name="_Toc63163535"/>
      <w:bookmarkStart w:id="13977" w:name="_Toc63188809"/>
      <w:bookmarkStart w:id="13978" w:name="_Toc63247790"/>
      <w:r>
        <w:rPr>
          <w:rFonts w:hint="cs"/>
          <w:rtl/>
        </w:rPr>
        <w:t>ד' הרמב"ן</w:t>
      </w:r>
      <w:bookmarkEnd w:id="13975"/>
      <w:r>
        <w:rPr>
          <w:rFonts w:hint="cs"/>
          <w:rtl/>
        </w:rPr>
        <w:t xml:space="preserve"> והרשב"א</w:t>
      </w:r>
      <w:bookmarkEnd w:id="13976"/>
      <w:bookmarkEnd w:id="13977"/>
      <w:bookmarkEnd w:id="13978"/>
      <w:r w:rsidRPr="00275113">
        <w:rPr>
          <w:rtl/>
        </w:rPr>
        <w:t xml:space="preserve"> דהשטר לא מקוים</w:t>
      </w:r>
    </w:p>
    <w:p w:rsidR="003B7617" w:rsidRDefault="003B7617" w:rsidP="003B7617">
      <w:pPr>
        <w:pStyle w:val="1"/>
        <w:rPr>
          <w:rtl/>
        </w:rPr>
      </w:pPr>
      <w:bookmarkStart w:id="13979" w:name="_Toc63111479"/>
      <w:bookmarkStart w:id="13980" w:name="_Toc63163536"/>
      <w:bookmarkStart w:id="13981" w:name="_Toc63188810"/>
      <w:bookmarkStart w:id="13982" w:name="_Toc63247791"/>
      <w:r>
        <w:rPr>
          <w:rFonts w:hint="cs"/>
          <w:rtl/>
        </w:rPr>
        <w:t>דברי הרמב"ן</w:t>
      </w:r>
      <w:bookmarkEnd w:id="13953"/>
      <w:bookmarkEnd w:id="13954"/>
      <w:bookmarkEnd w:id="13979"/>
      <w:bookmarkEnd w:id="13980"/>
      <w:bookmarkEnd w:id="13981"/>
      <w:r>
        <w:rPr>
          <w:rFonts w:hint="cs"/>
          <w:rtl/>
        </w:rPr>
        <w:t xml:space="preserve"> דנח' אי נזקקין לקיים שטר כדי שיהיה לו מיגו</w:t>
      </w:r>
      <w:bookmarkEnd w:id="13982"/>
    </w:p>
    <w:p w:rsidR="003B7617" w:rsidRDefault="003B7617" w:rsidP="003B7617">
      <w:pPr>
        <w:pStyle w:val="a3"/>
      </w:pPr>
      <w:bookmarkStart w:id="13983" w:name="_Toc63247792"/>
      <w:r>
        <w:rPr>
          <w:rFonts w:hint="cs"/>
          <w:rtl/>
        </w:rPr>
        <w:t>דברי הרמב"ן דהשטר לא מקויים ולרבה כל שיכול לקיימו בין באמנה ובין במזויף נאמן במיגו</w:t>
      </w:r>
      <w:bookmarkEnd w:id="13983"/>
    </w:p>
    <w:p w:rsidR="003B7617" w:rsidRDefault="003B7617" w:rsidP="007E4E81">
      <w:pPr>
        <w:pStyle w:val="a0"/>
        <w:rPr>
          <w:rtl/>
        </w:rPr>
      </w:pPr>
      <w:bookmarkStart w:id="13984" w:name="_Ref62644256"/>
      <w:r>
        <w:rPr>
          <w:rFonts w:hint="cs"/>
          <w:rtl/>
        </w:rPr>
        <w:t xml:space="preserve">במסקנת דבריו כתב </w:t>
      </w:r>
      <w:r w:rsidRPr="00990E93">
        <w:rPr>
          <w:rStyle w:val="af9"/>
          <w:rFonts w:hint="cs"/>
          <w:rtl/>
        </w:rPr>
        <w:t>הרמב"ן</w:t>
      </w:r>
      <w:r>
        <w:rPr>
          <w:rFonts w:hint="cs"/>
          <w:rtl/>
        </w:rPr>
        <w:t xml:space="preserve"> </w:t>
      </w:r>
      <w:r w:rsidRPr="00990E93">
        <w:rPr>
          <w:rStyle w:val="af7"/>
          <w:rFonts w:eastAsia="Guttman Hodes" w:hint="cs"/>
          <w:rtl/>
        </w:rPr>
        <w:t>(ד"ה ועיינא)</w:t>
      </w:r>
      <w:r>
        <w:rPr>
          <w:rFonts w:hint="cs"/>
          <w:rtl/>
        </w:rPr>
        <w:t xml:space="preserve"> דבטענת המערער אפשר לבאר דטען שהשטר הוא מזויף ממש, </w:t>
      </w:r>
      <w:r w:rsidRPr="00FE17FB">
        <w:rPr>
          <w:rStyle w:val="afb"/>
          <w:rFonts w:hint="cs"/>
          <w:rtl/>
        </w:rPr>
        <w:t xml:space="preserve">[כביאור </w:t>
      </w:r>
      <w:r w:rsidRPr="00FE17FB">
        <w:rPr>
          <w:rStyle w:val="affa"/>
          <w:rFonts w:hint="cs"/>
          <w:rtl/>
        </w:rPr>
        <w:t>הרשב"ם</w:t>
      </w:r>
      <w:r w:rsidRPr="00FE17FB">
        <w:rPr>
          <w:rStyle w:val="afb"/>
          <w:rFonts w:hint="cs"/>
          <w:rtl/>
        </w:rPr>
        <w:t xml:space="preserve"> </w:t>
      </w:r>
      <w:r w:rsidRPr="00016E0E">
        <w:rPr>
          <w:rStyle w:val="aff6"/>
          <w:rFonts w:hint="cs"/>
          <w:rtl/>
        </w:rPr>
        <w:t xml:space="preserve">(עי' אות </w:t>
      </w:r>
      <w:r w:rsidRPr="00016E0E">
        <w:rPr>
          <w:rStyle w:val="aff6"/>
          <w:rtl/>
        </w:rPr>
        <w:fldChar w:fldCharType="begin"/>
      </w:r>
      <w:r w:rsidRPr="00016E0E">
        <w:rPr>
          <w:rStyle w:val="aff6"/>
          <w:rtl/>
        </w:rPr>
        <w:instrText xml:space="preserve"> </w:instrText>
      </w:r>
      <w:r w:rsidRPr="00016E0E">
        <w:rPr>
          <w:rStyle w:val="aff6"/>
          <w:rFonts w:hint="cs"/>
        </w:rPr>
        <w:instrText>REF</w:instrText>
      </w:r>
      <w:r w:rsidRPr="00016E0E">
        <w:rPr>
          <w:rStyle w:val="aff6"/>
          <w:rFonts w:hint="cs"/>
          <w:rtl/>
        </w:rPr>
        <w:instrText xml:space="preserve"> _</w:instrText>
      </w:r>
      <w:r w:rsidRPr="00016E0E">
        <w:rPr>
          <w:rStyle w:val="aff6"/>
          <w:rFonts w:hint="cs"/>
        </w:rPr>
        <w:instrText>Ref62643376 \r \h</w:instrText>
      </w:r>
      <w:r w:rsidRPr="00016E0E">
        <w:rPr>
          <w:rStyle w:val="aff6"/>
          <w:rtl/>
        </w:rPr>
        <w:instrText xml:space="preserve"> </w:instrText>
      </w:r>
      <w:r w:rsidRPr="00016E0E">
        <w:rPr>
          <w:rStyle w:val="aff6"/>
          <w:rtl/>
        </w:rPr>
      </w:r>
      <w:r w:rsidRPr="00016E0E">
        <w:rPr>
          <w:rStyle w:val="aff6"/>
          <w:rtl/>
        </w:rPr>
        <w:fldChar w:fldCharType="separate"/>
      </w:r>
      <w:r w:rsidR="00265073">
        <w:rPr>
          <w:rStyle w:val="aff6"/>
          <w:cs/>
        </w:rPr>
        <w:t>‎</w:t>
      </w:r>
      <w:r w:rsidR="00265073">
        <w:rPr>
          <w:rStyle w:val="aff6"/>
          <w:rtl/>
        </w:rPr>
        <w:t>טז)</w:t>
      </w:r>
      <w:r w:rsidRPr="00016E0E">
        <w:rPr>
          <w:rStyle w:val="aff6"/>
          <w:rtl/>
        </w:rPr>
        <w:fldChar w:fldCharType="end"/>
      </w:r>
      <w:r w:rsidRPr="00FE17FB">
        <w:rPr>
          <w:rStyle w:val="afb"/>
          <w:rFonts w:hint="cs"/>
          <w:rtl/>
        </w:rPr>
        <w:t>],</w:t>
      </w:r>
      <w:r>
        <w:rPr>
          <w:rFonts w:hint="cs"/>
          <w:rtl/>
        </w:rPr>
        <w:t xml:space="preserve"> או דטען שהוא שטר אמנה, והודה המחזיק שהוא שטר אמנה, </w:t>
      </w:r>
      <w:r w:rsidRPr="003D0D37">
        <w:rPr>
          <w:rStyle w:val="afb"/>
          <w:rFonts w:hint="cs"/>
          <w:rtl/>
        </w:rPr>
        <w:t xml:space="preserve">[כביאור </w:t>
      </w:r>
      <w:r w:rsidRPr="003D0D37">
        <w:rPr>
          <w:rStyle w:val="affa"/>
          <w:rFonts w:hint="cs"/>
          <w:rtl/>
        </w:rPr>
        <w:t xml:space="preserve">ר"ח </w:t>
      </w:r>
      <w:r w:rsidRPr="00FE17FB">
        <w:rPr>
          <w:rStyle w:val="affa"/>
          <w:rFonts w:hint="cs"/>
          <w:rtl/>
        </w:rPr>
        <w:t>והרי"ף</w:t>
      </w:r>
      <w:r>
        <w:rPr>
          <w:rStyle w:val="afb"/>
          <w:rFonts w:hint="cs"/>
          <w:rtl/>
        </w:rPr>
        <w:t xml:space="preserve"> </w:t>
      </w:r>
      <w:r w:rsidRPr="00016E0E">
        <w:rPr>
          <w:rStyle w:val="aff6"/>
          <w:rFonts w:hint="cs"/>
          <w:rtl/>
        </w:rPr>
        <w:t xml:space="preserve">(עי' אות </w:t>
      </w:r>
      <w:r w:rsidRPr="00016E0E">
        <w:rPr>
          <w:rStyle w:val="aff6"/>
          <w:rtl/>
        </w:rPr>
        <w:fldChar w:fldCharType="begin"/>
      </w:r>
      <w:r w:rsidRPr="00016E0E">
        <w:rPr>
          <w:rStyle w:val="aff6"/>
          <w:rtl/>
        </w:rPr>
        <w:instrText xml:space="preserve"> </w:instrText>
      </w:r>
      <w:r w:rsidRPr="00016E0E">
        <w:rPr>
          <w:rStyle w:val="aff6"/>
          <w:rFonts w:hint="cs"/>
        </w:rPr>
        <w:instrText>REF</w:instrText>
      </w:r>
      <w:r w:rsidRPr="00016E0E">
        <w:rPr>
          <w:rStyle w:val="aff6"/>
          <w:rFonts w:hint="cs"/>
          <w:rtl/>
        </w:rPr>
        <w:instrText xml:space="preserve"> _</w:instrText>
      </w:r>
      <w:r w:rsidRPr="00016E0E">
        <w:rPr>
          <w:rStyle w:val="aff6"/>
          <w:rFonts w:hint="cs"/>
        </w:rPr>
        <w:instrText>Ref62553819 \r \h</w:instrText>
      </w:r>
      <w:r w:rsidRPr="00016E0E">
        <w:rPr>
          <w:rStyle w:val="aff6"/>
          <w:rtl/>
        </w:rPr>
        <w:instrText xml:space="preserve"> </w:instrText>
      </w:r>
      <w:r w:rsidRPr="00016E0E">
        <w:rPr>
          <w:rStyle w:val="aff6"/>
          <w:rtl/>
        </w:rPr>
      </w:r>
      <w:r w:rsidRPr="00016E0E">
        <w:rPr>
          <w:rStyle w:val="aff6"/>
          <w:rtl/>
        </w:rPr>
        <w:fldChar w:fldCharType="separate"/>
      </w:r>
      <w:r w:rsidR="00265073">
        <w:rPr>
          <w:rStyle w:val="aff6"/>
          <w:cs/>
        </w:rPr>
        <w:t>‎</w:t>
      </w:r>
      <w:r w:rsidR="00265073">
        <w:rPr>
          <w:rStyle w:val="aff6"/>
          <w:rtl/>
        </w:rPr>
        <w:t>ג)</w:t>
      </w:r>
      <w:r w:rsidRPr="00016E0E">
        <w:rPr>
          <w:rStyle w:val="aff6"/>
          <w:rtl/>
        </w:rPr>
        <w:fldChar w:fldCharType="end"/>
      </w:r>
      <w:r w:rsidRPr="003D0D37">
        <w:rPr>
          <w:rStyle w:val="afb"/>
          <w:rFonts w:hint="cs"/>
          <w:rtl/>
        </w:rPr>
        <w:t>],</w:t>
      </w:r>
      <w:r>
        <w:rPr>
          <w:rFonts w:hint="cs"/>
          <w:rtl/>
        </w:rPr>
        <w:t xml:space="preserve"> וטוען שהיה לו שטר טוב שאבד לו, ואמר רבה דאם המחזיק יכול לקיים את השטר, הוא נאמן במיגו, דהיה טוען שהשטר טוב, ואם אין לו עדים שיקיימו את השטר, ודאי שאינו נאמן כיון שאין לו מיגו, והביא </w:t>
      </w:r>
      <w:r w:rsidRPr="00990E93">
        <w:rPr>
          <w:rStyle w:val="af9"/>
          <w:rFonts w:hint="cs"/>
          <w:rtl/>
        </w:rPr>
        <w:t>הרמב"ן</w:t>
      </w:r>
      <w:r>
        <w:rPr>
          <w:rFonts w:hint="cs"/>
          <w:rtl/>
        </w:rPr>
        <w:t xml:space="preserve"> </w:t>
      </w:r>
      <w:r w:rsidRPr="009A018E">
        <w:rPr>
          <w:rStyle w:val="af7"/>
          <w:rFonts w:eastAsia="Guttman Hodes" w:hint="cs"/>
          <w:rtl/>
        </w:rPr>
        <w:t>(סוד"ה ועיינא)</w:t>
      </w:r>
      <w:r>
        <w:rPr>
          <w:rFonts w:hint="cs"/>
          <w:rtl/>
        </w:rPr>
        <w:t xml:space="preserve"> את דברי </w:t>
      </w:r>
      <w:r w:rsidRPr="0093784C">
        <w:rPr>
          <w:rStyle w:val="af9"/>
          <w:rFonts w:hint="cs"/>
          <w:rtl/>
        </w:rPr>
        <w:t xml:space="preserve">הרי"ף </w:t>
      </w:r>
      <w:r w:rsidRPr="00270DA5">
        <w:rPr>
          <w:rStyle w:val="af7"/>
          <w:rFonts w:eastAsia="Guttman Hodes" w:hint="cs"/>
          <w:rtl/>
        </w:rPr>
        <w:t xml:space="preserve">(עי' אות </w:t>
      </w:r>
      <w:r w:rsidRPr="00270DA5">
        <w:rPr>
          <w:rStyle w:val="af7"/>
          <w:rFonts w:eastAsia="Guttman Hodes"/>
          <w:rtl/>
        </w:rPr>
        <w:fldChar w:fldCharType="begin"/>
      </w:r>
      <w:r w:rsidRPr="00270DA5">
        <w:rPr>
          <w:rStyle w:val="af7"/>
          <w:rFonts w:eastAsia="Guttman Hodes"/>
          <w:rtl/>
        </w:rPr>
        <w:instrText xml:space="preserve"> </w:instrText>
      </w:r>
      <w:r w:rsidRPr="00270DA5">
        <w:rPr>
          <w:rStyle w:val="af7"/>
          <w:rFonts w:eastAsia="Guttman Hodes" w:hint="cs"/>
        </w:rPr>
        <w:instrText>REF</w:instrText>
      </w:r>
      <w:r w:rsidRPr="00270DA5">
        <w:rPr>
          <w:rStyle w:val="af7"/>
          <w:rFonts w:eastAsia="Guttman Hodes" w:hint="cs"/>
          <w:rtl/>
        </w:rPr>
        <w:instrText xml:space="preserve"> _</w:instrText>
      </w:r>
      <w:r w:rsidRPr="00270DA5">
        <w:rPr>
          <w:rStyle w:val="af7"/>
          <w:rFonts w:eastAsia="Guttman Hodes" w:hint="cs"/>
        </w:rPr>
        <w:instrText>Ref62665045 \r \h</w:instrText>
      </w:r>
      <w:r w:rsidRPr="00270DA5">
        <w:rPr>
          <w:rStyle w:val="af7"/>
          <w:rFonts w:eastAsia="Guttman Hodes"/>
          <w:rtl/>
        </w:rPr>
        <w:instrText xml:space="preserve"> </w:instrText>
      </w:r>
      <w:r w:rsidRPr="00270DA5">
        <w:rPr>
          <w:rStyle w:val="af7"/>
          <w:rFonts w:eastAsia="Guttman Hodes"/>
          <w:rtl/>
        </w:rPr>
      </w:r>
      <w:r w:rsidRPr="00270DA5">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270DA5">
        <w:rPr>
          <w:rStyle w:val="af7"/>
          <w:rFonts w:eastAsia="Guttman Hodes"/>
          <w:rtl/>
        </w:rPr>
        <w:fldChar w:fldCharType="end"/>
      </w:r>
      <w:r>
        <w:rPr>
          <w:rFonts w:hint="cs"/>
          <w:rtl/>
        </w:rPr>
        <w:t xml:space="preserve"> שהעמיד בשטר שאינו מקוים, כיון שאם רוצה הוא יכול לקיימו בב"ד.</w:t>
      </w:r>
      <w:bookmarkEnd w:id="13984"/>
    </w:p>
    <w:p w:rsidR="003B7617" w:rsidRDefault="003B7617" w:rsidP="003B7617">
      <w:pPr>
        <w:pStyle w:val="a3"/>
        <w:rPr>
          <w:rtl/>
        </w:rPr>
      </w:pPr>
      <w:bookmarkStart w:id="13985" w:name="_Toc63247793"/>
      <w:r>
        <w:rPr>
          <w:rFonts w:hint="cs"/>
          <w:rtl/>
        </w:rPr>
        <w:t>ביאור הרמב"ן והרשב"א דלרב יוסף כל שאינו מקויים אין נזקקין לקיימו בכדי שיהיה נאמן</w:t>
      </w:r>
      <w:bookmarkEnd w:id="13985"/>
    </w:p>
    <w:p w:rsidR="003B7617" w:rsidRDefault="003B7617" w:rsidP="007E4E81">
      <w:pPr>
        <w:pStyle w:val="a0"/>
        <w:rPr>
          <w:rtl/>
        </w:rPr>
      </w:pPr>
      <w:bookmarkStart w:id="13986" w:name="_Ref62760907"/>
      <w:r>
        <w:rPr>
          <w:rFonts w:hint="cs"/>
          <w:rtl/>
        </w:rPr>
        <w:t xml:space="preserve">ובסברת רב יוסף ביארו </w:t>
      </w:r>
      <w:r w:rsidRPr="00990E93">
        <w:rPr>
          <w:rStyle w:val="af9"/>
          <w:rFonts w:hint="cs"/>
          <w:rtl/>
        </w:rPr>
        <w:t>הרמב"ן</w:t>
      </w:r>
      <w:r>
        <w:rPr>
          <w:rFonts w:hint="cs"/>
          <w:rtl/>
        </w:rPr>
        <w:t xml:space="preserve"> </w:t>
      </w:r>
      <w:r w:rsidRPr="00923555">
        <w:rPr>
          <w:rStyle w:val="af7"/>
          <w:rFonts w:eastAsia="Guttman Hodes" w:hint="cs"/>
          <w:rtl/>
        </w:rPr>
        <w:t>(ד"ה ועיינא)</w:t>
      </w:r>
      <w:r>
        <w:rPr>
          <w:rFonts w:hint="cs"/>
          <w:rtl/>
        </w:rPr>
        <w:t xml:space="preserve"> </w:t>
      </w:r>
      <w:r>
        <w:rPr>
          <w:rStyle w:val="af9"/>
          <w:rFonts w:hint="cs"/>
          <w:rtl/>
        </w:rPr>
        <w:t>ו</w:t>
      </w:r>
      <w:r w:rsidRPr="0039258F">
        <w:rPr>
          <w:rStyle w:val="af9"/>
          <w:rFonts w:hint="cs"/>
          <w:rtl/>
        </w:rPr>
        <w:t>הרשב"א</w:t>
      </w:r>
      <w:r>
        <w:rPr>
          <w:rFonts w:hint="cs"/>
          <w:rtl/>
        </w:rPr>
        <w:t xml:space="preserve"> </w:t>
      </w:r>
      <w:r w:rsidRPr="00923555">
        <w:rPr>
          <w:rStyle w:val="af7"/>
          <w:rFonts w:eastAsia="Guttman Hodes" w:hint="cs"/>
          <w:rtl/>
        </w:rPr>
        <w:t>(ד"ה ובין כך)</w:t>
      </w:r>
      <w:r>
        <w:rPr>
          <w:rFonts w:hint="cs"/>
          <w:rtl/>
        </w:rPr>
        <w:t xml:space="preserve"> דכיון שעכשיו השטר אינו מקויים, א"כ השטר הוא כחספא, </w:t>
      </w:r>
      <w:r w:rsidRPr="003D0D37">
        <w:rPr>
          <w:rStyle w:val="afb"/>
          <w:rFonts w:hint="cs"/>
          <w:rtl/>
        </w:rPr>
        <w:t xml:space="preserve">[והוסיף </w:t>
      </w:r>
      <w:r w:rsidRPr="003D0D37">
        <w:rPr>
          <w:rStyle w:val="affa"/>
          <w:rFonts w:hint="cs"/>
          <w:rtl/>
        </w:rPr>
        <w:t>הרמב"ן</w:t>
      </w:r>
      <w:r w:rsidRPr="003D0D37">
        <w:rPr>
          <w:rStyle w:val="afb"/>
          <w:rFonts w:hint="cs"/>
          <w:rtl/>
        </w:rPr>
        <w:t xml:space="preserve"> דאף בשטר הלואה שאינו מקוים נאמן הלוה לומר לויתי ופרעתי, כיון דכל הקיום של השטר הוא מכח הלוה שמודה שלוה, והוא הרי טוען שפרע],</w:t>
      </w:r>
      <w:r>
        <w:rPr>
          <w:rFonts w:hint="cs"/>
          <w:rtl/>
        </w:rPr>
        <w:t xml:space="preserve"> ואעפ"י שאפשר עכשיו לקיים את השטר, מ"מ כיון שהודה המחזיק שהשטר מזויף אין הב"ד נזקקין לקיים את השטר שהוא כחספא, בכדי שיהיה נאמן עי"ז במיגו, ואף שאם היה המחזיק שותק עד לאחר שהיו הב"ד מקיימים את השטר, ואח"כ היה מודה שהוא מזויף, היה נאמן, מ"מ הפסיד המחזיק במה שהקדים את טענותיו, והודה שהשטר מזויף לפני שקיימוהו הב"ד,</w:t>
      </w:r>
      <w:r w:rsidRPr="00B74DF8">
        <w:rPr>
          <w:rStyle w:val="afb"/>
          <w:rtl/>
        </w:rPr>
        <w:t xml:space="preserve"> </w:t>
      </w:r>
      <w:r>
        <w:rPr>
          <w:rStyle w:val="afb"/>
          <w:rtl/>
        </w:rPr>
        <w:t xml:space="preserve">[ועי' במ"ש </w:t>
      </w:r>
      <w:r>
        <w:rPr>
          <w:rStyle w:val="affa"/>
          <w:rtl/>
        </w:rPr>
        <w:t>המ"מ</w:t>
      </w:r>
      <w:r>
        <w:rPr>
          <w:rStyle w:val="afb"/>
          <w:rtl/>
        </w:rPr>
        <w:t xml:space="preserve"> </w:t>
      </w:r>
      <w:r w:rsidRPr="00923555">
        <w:rPr>
          <w:rStyle w:val="af7"/>
          <w:rFonts w:eastAsia="Guttman Hodes" w:hint="cs"/>
          <w:rtl/>
        </w:rPr>
        <w:t xml:space="preserve">(עי' אות </w:t>
      </w:r>
      <w:r w:rsidRPr="00923555">
        <w:rPr>
          <w:rStyle w:val="af7"/>
          <w:rFonts w:eastAsia="Guttman Hodes" w:hint="cs"/>
          <w:rtl/>
        </w:rPr>
        <w:fldChar w:fldCharType="begin"/>
      </w:r>
      <w:r w:rsidRPr="00923555">
        <w:rPr>
          <w:rStyle w:val="af7"/>
          <w:rFonts w:eastAsia="Guttman Hodes" w:hint="cs"/>
          <w:rtl/>
        </w:rPr>
        <w:instrText xml:space="preserve"> </w:instrText>
      </w:r>
      <w:r w:rsidRPr="00923555">
        <w:rPr>
          <w:rStyle w:val="af7"/>
          <w:rFonts w:eastAsia="Guttman Hodes"/>
        </w:rPr>
        <w:instrText>REF</w:instrText>
      </w:r>
      <w:r w:rsidRPr="00923555">
        <w:rPr>
          <w:rStyle w:val="af7"/>
          <w:rFonts w:eastAsia="Guttman Hodes" w:hint="cs"/>
          <w:rtl/>
        </w:rPr>
        <w:instrText xml:space="preserve"> _</w:instrText>
      </w:r>
      <w:r w:rsidRPr="00923555">
        <w:rPr>
          <w:rStyle w:val="af7"/>
          <w:rFonts w:eastAsia="Guttman Hodes"/>
        </w:rPr>
        <w:instrText>Ref63249282 \r \h</w:instrText>
      </w:r>
      <w:r w:rsidRPr="00923555">
        <w:rPr>
          <w:rStyle w:val="af7"/>
          <w:rFonts w:eastAsia="Guttman Hodes" w:hint="cs"/>
          <w:rtl/>
        </w:rPr>
        <w:instrText xml:space="preserve"> </w:instrText>
      </w:r>
      <w:r w:rsidRPr="00923555">
        <w:rPr>
          <w:rStyle w:val="af7"/>
          <w:rFonts w:eastAsia="Guttman Hodes" w:hint="cs"/>
          <w:rtl/>
        </w:rPr>
      </w:r>
      <w:r w:rsidRPr="00923555">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כח</w:t>
      </w:r>
      <w:r w:rsidR="00265073">
        <w:rPr>
          <w:rStyle w:val="af7"/>
          <w:rFonts w:eastAsia="Guttman Hodes"/>
          <w:rtl/>
        </w:rPr>
        <w:t>)</w:t>
      </w:r>
      <w:r w:rsidRPr="00923555">
        <w:rPr>
          <w:rStyle w:val="af7"/>
          <w:rFonts w:eastAsia="Guttman Hodes" w:hint="cs"/>
          <w:rtl/>
        </w:rPr>
        <w:fldChar w:fldCharType="end"/>
      </w:r>
      <w:r>
        <w:rPr>
          <w:rStyle w:val="afb"/>
          <w:rtl/>
        </w:rPr>
        <w:t xml:space="preserve"> דמדברי דמבואר </w:t>
      </w:r>
      <w:r>
        <w:rPr>
          <w:rStyle w:val="affa"/>
          <w:rtl/>
        </w:rPr>
        <w:t>ברמב"ם</w:t>
      </w:r>
      <w:r>
        <w:rPr>
          <w:rStyle w:val="afb"/>
          <w:rtl/>
        </w:rPr>
        <w:t xml:space="preserve"> </w:t>
      </w:r>
      <w:r>
        <w:rPr>
          <w:rStyle w:val="aff6"/>
          <w:rtl/>
        </w:rPr>
        <w:t xml:space="preserve">(עי' אות </w:t>
      </w:r>
      <w:r>
        <w:rPr>
          <w:rStyle w:val="aff6"/>
          <w:cs/>
        </w:rPr>
        <w:t>‎</w:t>
      </w:r>
      <w:r>
        <w:rPr>
          <w:rStyle w:val="aff6"/>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Ref62747857 \r \h</w:instrText>
      </w:r>
      <w:r>
        <w:rPr>
          <w:rStyle w:val="aff6"/>
          <w:rtl/>
        </w:rPr>
        <w:instrText xml:space="preserve"> </w:instrText>
      </w:r>
      <w:r>
        <w:rPr>
          <w:rStyle w:val="aff6"/>
        </w:rPr>
      </w:r>
      <w:r>
        <w:rPr>
          <w:rStyle w:val="aff6"/>
        </w:rPr>
        <w:fldChar w:fldCharType="separate"/>
      </w:r>
      <w:r w:rsidR="00265073">
        <w:rPr>
          <w:rStyle w:val="aff6"/>
          <w:cs/>
        </w:rPr>
        <w:t>‎</w:t>
      </w:r>
      <w:r w:rsidR="00265073">
        <w:rPr>
          <w:rStyle w:val="aff6"/>
          <w:rtl/>
        </w:rPr>
        <w:t>יט)</w:t>
      </w:r>
      <w:r>
        <w:rPr>
          <w:rStyle w:val="aff6"/>
        </w:rPr>
        <w:fldChar w:fldCharType="end"/>
      </w:r>
      <w:r>
        <w:rPr>
          <w:rFonts w:hint="cs"/>
          <w:rtl/>
        </w:rPr>
        <w:t xml:space="preserve"> </w:t>
      </w:r>
      <w:r>
        <w:rPr>
          <w:rStyle w:val="afb"/>
          <w:rFonts w:hint="cs"/>
          <w:rtl/>
        </w:rPr>
        <w:t xml:space="preserve">דפליג על </w:t>
      </w:r>
      <w:r>
        <w:rPr>
          <w:rStyle w:val="affa"/>
          <w:rtl/>
        </w:rPr>
        <w:t>הרמב"ן והרשב"א</w:t>
      </w:r>
      <w:r>
        <w:rPr>
          <w:rStyle w:val="afb"/>
          <w:rFonts w:hint="cs"/>
          <w:rtl/>
        </w:rPr>
        <w:t xml:space="preserve">, וס"ל </w:t>
      </w:r>
      <w:r>
        <w:rPr>
          <w:rStyle w:val="afb"/>
          <w:rtl/>
        </w:rPr>
        <w:t xml:space="preserve">דאיירי בשטר מקוים ועי' במה שביאר </w:t>
      </w:r>
      <w:r>
        <w:rPr>
          <w:rStyle w:val="affa"/>
          <w:rtl/>
        </w:rPr>
        <w:t>האבהא"ז</w:t>
      </w:r>
      <w:r>
        <w:rPr>
          <w:rFonts w:hint="cs"/>
          <w:rtl/>
        </w:rPr>
        <w:t xml:space="preserve"> </w:t>
      </w:r>
      <w:r w:rsidRPr="00923555">
        <w:rPr>
          <w:rStyle w:val="af7"/>
          <w:rFonts w:eastAsia="Guttman Hodes"/>
          <w:rtl/>
        </w:rPr>
        <w:t>(</w:t>
      </w:r>
      <w:r w:rsidRPr="00923555">
        <w:rPr>
          <w:rStyle w:val="af7"/>
          <w:rFonts w:eastAsia="Guttman Hodes" w:hint="cs"/>
          <w:rtl/>
        </w:rPr>
        <w:t>עי' הערה</w:t>
      </w:r>
      <w:r w:rsidRPr="00923555">
        <w:rPr>
          <w:vertAlign w:val="superscript"/>
          <w:rtl/>
        </w:rPr>
        <w:fldChar w:fldCharType="begin"/>
      </w:r>
      <w:r w:rsidRPr="00923555">
        <w:rPr>
          <w:vertAlign w:val="superscript"/>
          <w:rtl/>
        </w:rPr>
        <w:instrText xml:space="preserve"> </w:instrText>
      </w:r>
      <w:r w:rsidRPr="00923555">
        <w:rPr>
          <w:rFonts w:hint="cs"/>
          <w:vertAlign w:val="superscript"/>
        </w:rPr>
        <w:instrText>NOTEREF</w:instrText>
      </w:r>
      <w:r w:rsidRPr="00923555">
        <w:rPr>
          <w:rFonts w:hint="cs"/>
          <w:vertAlign w:val="superscript"/>
          <w:rtl/>
        </w:rPr>
        <w:instrText xml:space="preserve"> _</w:instrText>
      </w:r>
      <w:r w:rsidRPr="00923555">
        <w:rPr>
          <w:rFonts w:hint="cs"/>
          <w:vertAlign w:val="superscript"/>
        </w:rPr>
        <w:instrText>Ref63271636 \h</w:instrText>
      </w:r>
      <w:r w:rsidRPr="00923555">
        <w:rPr>
          <w:vertAlign w:val="superscript"/>
          <w:rtl/>
        </w:rPr>
        <w:instrText xml:space="preserve">  \* </w:instrText>
      </w:r>
      <w:r w:rsidRPr="00923555">
        <w:rPr>
          <w:vertAlign w:val="superscript"/>
        </w:rPr>
        <w:instrText>MERGEFORMAT</w:instrText>
      </w:r>
      <w:r w:rsidRPr="00923555">
        <w:rPr>
          <w:vertAlign w:val="superscript"/>
          <w:rtl/>
        </w:rPr>
        <w:instrText xml:space="preserve"> </w:instrText>
      </w:r>
      <w:r w:rsidRPr="00923555">
        <w:rPr>
          <w:vertAlign w:val="superscript"/>
          <w:rtl/>
        </w:rPr>
      </w:r>
      <w:r w:rsidRPr="00923555">
        <w:rPr>
          <w:vertAlign w:val="superscript"/>
          <w:rtl/>
        </w:rPr>
        <w:fldChar w:fldCharType="separate"/>
      </w:r>
      <w:r w:rsidR="00265073">
        <w:rPr>
          <w:vertAlign w:val="superscript"/>
          <w:rtl/>
        </w:rPr>
        <w:t>94</w:t>
      </w:r>
      <w:r w:rsidRPr="00923555">
        <w:rPr>
          <w:vertAlign w:val="superscript"/>
          <w:rtl/>
        </w:rPr>
        <w:fldChar w:fldCharType="end"/>
      </w:r>
      <w:r w:rsidRPr="00C95D9D">
        <w:rPr>
          <w:rStyle w:val="aff6"/>
          <w:rFonts w:hint="cs"/>
          <w:rtl/>
        </w:rPr>
        <w:t xml:space="preserve">) </w:t>
      </w:r>
      <w:r>
        <w:rPr>
          <w:rStyle w:val="afb"/>
          <w:rFonts w:hint="cs"/>
          <w:rtl/>
        </w:rPr>
        <w:t xml:space="preserve"> </w:t>
      </w:r>
      <w:r>
        <w:rPr>
          <w:rStyle w:val="afb"/>
          <w:rtl/>
        </w:rPr>
        <w:t>בזה]</w:t>
      </w:r>
      <w:r>
        <w:rPr>
          <w:rStyle w:val="afb"/>
          <w:rFonts w:hint="cs"/>
          <w:rtl/>
        </w:rPr>
        <w:t xml:space="preserve">, </w:t>
      </w:r>
      <w:r>
        <w:rPr>
          <w:rFonts w:hint="cs"/>
          <w:rtl/>
        </w:rPr>
        <w:t xml:space="preserve">ועי' במה שביאר </w:t>
      </w:r>
      <w:r w:rsidRPr="00095288">
        <w:rPr>
          <w:rStyle w:val="af9"/>
          <w:rFonts w:hint="cs"/>
          <w:rtl/>
        </w:rPr>
        <w:t>בחי' רבי נחום</w:t>
      </w:r>
      <w:r>
        <w:rPr>
          <w:rFonts w:hint="cs"/>
          <w:rtl/>
        </w:rPr>
        <w:t xml:space="preserve"> </w:t>
      </w:r>
      <w:r w:rsidRPr="00923555">
        <w:rPr>
          <w:rStyle w:val="af7"/>
          <w:rFonts w:eastAsia="Guttman Hodes" w:hint="cs"/>
          <w:rtl/>
        </w:rPr>
        <w:t xml:space="preserve">(עי' אות </w:t>
      </w:r>
      <w:r w:rsidRPr="00923555">
        <w:rPr>
          <w:rStyle w:val="af7"/>
          <w:rFonts w:eastAsia="Guttman Hodes"/>
          <w:rtl/>
        </w:rPr>
        <w:fldChar w:fldCharType="begin"/>
      </w:r>
      <w:r w:rsidRPr="00923555">
        <w:rPr>
          <w:rStyle w:val="af7"/>
          <w:rFonts w:eastAsia="Guttman Hodes"/>
          <w:rtl/>
        </w:rPr>
        <w:instrText xml:space="preserve"> </w:instrText>
      </w:r>
      <w:r w:rsidRPr="00923555">
        <w:rPr>
          <w:rStyle w:val="af7"/>
          <w:rFonts w:eastAsia="Guttman Hodes" w:hint="cs"/>
        </w:rPr>
        <w:instrText>REF</w:instrText>
      </w:r>
      <w:r w:rsidRPr="00923555">
        <w:rPr>
          <w:rStyle w:val="af7"/>
          <w:rFonts w:eastAsia="Guttman Hodes" w:hint="cs"/>
          <w:rtl/>
        </w:rPr>
        <w:instrText xml:space="preserve"> _</w:instrText>
      </w:r>
      <w:r w:rsidRPr="00923555">
        <w:rPr>
          <w:rStyle w:val="af7"/>
          <w:rFonts w:eastAsia="Guttman Hodes" w:hint="cs"/>
        </w:rPr>
        <w:instrText>Ref63247866 \r \h</w:instrText>
      </w:r>
      <w:r w:rsidRPr="00923555">
        <w:rPr>
          <w:rStyle w:val="af7"/>
          <w:rFonts w:eastAsia="Guttman Hodes"/>
          <w:rtl/>
        </w:rPr>
        <w:instrText xml:space="preserve"> </w:instrText>
      </w:r>
      <w:r w:rsidRPr="00923555">
        <w:rPr>
          <w:rStyle w:val="af7"/>
          <w:rFonts w:eastAsia="Guttman Hodes"/>
          <w:rtl/>
        </w:rPr>
      </w:r>
      <w:r w:rsidRPr="00923555">
        <w:rPr>
          <w:rStyle w:val="af7"/>
          <w:rFonts w:eastAsia="Guttman Hodes"/>
          <w:rtl/>
        </w:rPr>
        <w:fldChar w:fldCharType="separate"/>
      </w:r>
      <w:r w:rsidR="00265073">
        <w:rPr>
          <w:rStyle w:val="af7"/>
          <w:rFonts w:eastAsia="Guttman Hodes"/>
          <w:cs/>
        </w:rPr>
        <w:t>‎</w:t>
      </w:r>
      <w:r w:rsidR="00265073">
        <w:rPr>
          <w:rStyle w:val="af7"/>
          <w:rFonts w:eastAsia="Guttman Hodes"/>
          <w:rtl/>
        </w:rPr>
        <w:t>קכה)</w:t>
      </w:r>
      <w:r w:rsidRPr="00923555">
        <w:rPr>
          <w:rStyle w:val="af7"/>
          <w:rFonts w:eastAsia="Guttman Hodes"/>
          <w:rtl/>
        </w:rPr>
        <w:fldChar w:fldCharType="end"/>
      </w:r>
      <w:r>
        <w:rPr>
          <w:rFonts w:hint="cs"/>
          <w:rtl/>
        </w:rPr>
        <w:t xml:space="preserve"> בדברי </w:t>
      </w:r>
      <w:r w:rsidRPr="00095288">
        <w:rPr>
          <w:rStyle w:val="af9"/>
          <w:rFonts w:hint="cs"/>
          <w:rtl/>
        </w:rPr>
        <w:t>הרמב"ן</w:t>
      </w:r>
      <w:bookmarkStart w:id="13987" w:name="_Ref63236939"/>
      <w:r>
        <w:rPr>
          <w:rStyle w:val="af1"/>
          <w:rtl/>
        </w:rPr>
        <w:footnoteReference w:id="98"/>
      </w:r>
      <w:bookmarkEnd w:id="13987"/>
      <w:r>
        <w:rPr>
          <w:rFonts w:hint="cs"/>
          <w:rtl/>
        </w:rPr>
        <w:t>.</w:t>
      </w:r>
      <w:bookmarkEnd w:id="13986"/>
      <w:r>
        <w:rPr>
          <w:rFonts w:hint="cs"/>
          <w:rtl/>
        </w:rPr>
        <w:t xml:space="preserve"> </w:t>
      </w:r>
    </w:p>
    <w:p w:rsidR="003B7617" w:rsidRPr="002667B4" w:rsidRDefault="003B7617" w:rsidP="003B7617">
      <w:pPr>
        <w:pStyle w:val="a3"/>
        <w:rPr>
          <w:rtl/>
        </w:rPr>
      </w:pPr>
    </w:p>
    <w:p w:rsidR="003B7617" w:rsidRDefault="003B7617" w:rsidP="003B7617">
      <w:pPr>
        <w:pStyle w:val="a3"/>
        <w:rPr>
          <w:rtl/>
        </w:rPr>
      </w:pPr>
      <w:bookmarkStart w:id="13988" w:name="_Toc63247794"/>
      <w:r>
        <w:rPr>
          <w:rFonts w:hint="cs"/>
          <w:rtl/>
        </w:rPr>
        <w:t>דברי הרמב"ן דקי"ל שאין עושים מעשה ודברי הרשב"א דכיון שיושב בה הב"ד נזקקין לקיימו</w:t>
      </w:r>
      <w:bookmarkEnd w:id="13988"/>
    </w:p>
    <w:p w:rsidR="003B7617" w:rsidRDefault="003B7617" w:rsidP="007E4E81">
      <w:pPr>
        <w:pStyle w:val="a0"/>
        <w:rPr>
          <w:rtl/>
        </w:rPr>
      </w:pPr>
      <w:bookmarkStart w:id="13989" w:name="_Ref63069433"/>
      <w:r>
        <w:rPr>
          <w:rFonts w:hint="cs"/>
          <w:rtl/>
        </w:rPr>
        <w:t xml:space="preserve">וכתב </w:t>
      </w:r>
      <w:r w:rsidRPr="00990E93">
        <w:rPr>
          <w:rStyle w:val="af9"/>
          <w:rFonts w:hint="cs"/>
          <w:rtl/>
        </w:rPr>
        <w:t>הרמב"ן</w:t>
      </w:r>
      <w:r>
        <w:rPr>
          <w:rFonts w:hint="cs"/>
          <w:rtl/>
        </w:rPr>
        <w:t xml:space="preserve"> </w:t>
      </w:r>
      <w:r w:rsidRPr="00847EA9">
        <w:rPr>
          <w:rStyle w:val="af7"/>
          <w:rFonts w:eastAsia="Guttman Hodes" w:hint="cs"/>
          <w:rtl/>
        </w:rPr>
        <w:t>(סוד"ה ועיינא)</w:t>
      </w:r>
      <w:r w:rsidRPr="007970E4">
        <w:rPr>
          <w:rFonts w:hint="cs"/>
          <w:rtl/>
        </w:rPr>
        <w:t xml:space="preserve"> </w:t>
      </w:r>
      <w:r>
        <w:rPr>
          <w:rFonts w:hint="cs"/>
          <w:rtl/>
        </w:rPr>
        <w:t xml:space="preserve">דלהלכה הגמ' נשארה בספק אי קיי"ל כרבה או כרב יוסף, ולכן אמרינן דאין עושין מעשה, והיכא דקיימא תיקום, וביאר </w:t>
      </w:r>
      <w:r w:rsidRPr="0039258F">
        <w:rPr>
          <w:rStyle w:val="af9"/>
          <w:rFonts w:hint="cs"/>
          <w:rtl/>
        </w:rPr>
        <w:t>הרשב"א</w:t>
      </w:r>
      <w:r>
        <w:rPr>
          <w:rFonts w:hint="cs"/>
          <w:rtl/>
        </w:rPr>
        <w:t xml:space="preserve"> </w:t>
      </w:r>
      <w:r w:rsidRPr="0039258F">
        <w:rPr>
          <w:rStyle w:val="af7"/>
          <w:rFonts w:eastAsia="Guttman Hodes" w:hint="cs"/>
          <w:rtl/>
        </w:rPr>
        <w:t xml:space="preserve">(ד"ה </w:t>
      </w:r>
      <w:r>
        <w:rPr>
          <w:rStyle w:val="af7"/>
          <w:rFonts w:eastAsia="Guttman Hodes" w:hint="cs"/>
          <w:rtl/>
        </w:rPr>
        <w:t>ובין כך</w:t>
      </w:r>
      <w:r w:rsidRPr="0039258F">
        <w:rPr>
          <w:rStyle w:val="af7"/>
          <w:rFonts w:eastAsia="Guttman Hodes" w:hint="cs"/>
          <w:rtl/>
        </w:rPr>
        <w:t>)</w:t>
      </w:r>
      <w:r>
        <w:rPr>
          <w:rFonts w:hint="cs"/>
          <w:rtl/>
        </w:rPr>
        <w:t xml:space="preserve"> דכיון שהמחזיק יושב בקרקע, לכן ב"ד נזקקין לקיים את השטר, בכדי שיהיה לו מיגו, ולא נוציאו מהקרקע שיושב בה, אבל בזוזי שהם ביד הלוה, אין ב"ד נזקקין לקיים את השטר. </w:t>
      </w:r>
      <w:r w:rsidRPr="00111CEC">
        <w:rPr>
          <w:rStyle w:val="afb"/>
          <w:rFonts w:hint="cs"/>
          <w:rtl/>
        </w:rPr>
        <w:t>[וכל שהשטר אינו מקויים אין לו מיגו ואינו נאמן].</w:t>
      </w:r>
      <w:bookmarkEnd w:id="13989"/>
      <w:r>
        <w:rPr>
          <w:rFonts w:hint="cs"/>
          <w:rtl/>
        </w:rPr>
        <w:t xml:space="preserve"> </w:t>
      </w:r>
    </w:p>
    <w:p w:rsidR="003B7617" w:rsidRDefault="003B7617" w:rsidP="003B7617">
      <w:pPr>
        <w:pStyle w:val="a3"/>
        <w:rPr>
          <w:rtl/>
        </w:rPr>
      </w:pPr>
      <w:bookmarkStart w:id="13990" w:name="_Toc63247795"/>
      <w:r>
        <w:rPr>
          <w:rFonts w:hint="cs"/>
          <w:rtl/>
        </w:rPr>
        <w:t>תי' הרשב"א דאף שנפסל השטר לא בטלה החזקה כיון שהודה או דרק בשטר מכר בטלה החזקה</w:t>
      </w:r>
      <w:bookmarkEnd w:id="13990"/>
    </w:p>
    <w:p w:rsidR="003B7617" w:rsidRDefault="003B7617" w:rsidP="007E4E81">
      <w:pPr>
        <w:pStyle w:val="a0"/>
        <w:rPr>
          <w:rtl/>
        </w:rPr>
      </w:pPr>
      <w:bookmarkStart w:id="13991" w:name="_Ref62678589"/>
      <w:r>
        <w:rPr>
          <w:rFonts w:hint="cs"/>
          <w:rtl/>
        </w:rPr>
        <w:t xml:space="preserve">אך הקשה </w:t>
      </w:r>
      <w:r w:rsidRPr="00E619F2">
        <w:rPr>
          <w:rStyle w:val="af9"/>
          <w:rFonts w:hint="cs"/>
          <w:rtl/>
        </w:rPr>
        <w:t>הרשב"א</w:t>
      </w:r>
      <w:r>
        <w:rPr>
          <w:rFonts w:hint="cs"/>
          <w:rtl/>
        </w:rPr>
        <w:t xml:space="preserve"> דהא תניא בתוספתא </w:t>
      </w:r>
      <w:r w:rsidRPr="00E619F2">
        <w:rPr>
          <w:rStyle w:val="af7"/>
          <w:rFonts w:eastAsia="Guttman Hodes" w:hint="cs"/>
          <w:rtl/>
        </w:rPr>
        <w:t>(פ"ב ה"א)</w:t>
      </w:r>
      <w:r>
        <w:rPr>
          <w:rFonts w:hint="cs"/>
          <w:rtl/>
        </w:rPr>
        <w:t xml:space="preserve"> דהמחזיק בשדה מכח שטר, ובטל השטר, בטלה חזקתו אף שיש לו חזקת ג"ש, </w:t>
      </w:r>
      <w:r w:rsidRPr="00111CEC">
        <w:rPr>
          <w:rStyle w:val="afb"/>
          <w:rFonts w:hint="cs"/>
          <w:rtl/>
        </w:rPr>
        <w:t xml:space="preserve">[והוכיח </w:t>
      </w:r>
      <w:r w:rsidRPr="00111CEC">
        <w:rPr>
          <w:rStyle w:val="affa"/>
          <w:rFonts w:hint="cs"/>
          <w:rtl/>
        </w:rPr>
        <w:t>הרמב"ן</w:t>
      </w:r>
      <w:r w:rsidRPr="00111CEC">
        <w:rPr>
          <w:rStyle w:val="afb"/>
          <w:rFonts w:hint="cs"/>
          <w:rtl/>
        </w:rPr>
        <w:t xml:space="preserve"> </w:t>
      </w:r>
      <w:r w:rsidRPr="00111CEC">
        <w:rPr>
          <w:rStyle w:val="aff6"/>
          <w:rFonts w:hint="cs"/>
          <w:rtl/>
        </w:rPr>
        <w:t xml:space="preserve">(עי' אות </w:t>
      </w:r>
      <w:r w:rsidRPr="00111CEC">
        <w:rPr>
          <w:rStyle w:val="aff6"/>
          <w:rtl/>
        </w:rPr>
        <w:fldChar w:fldCharType="begin"/>
      </w:r>
      <w:r w:rsidRPr="00111CEC">
        <w:rPr>
          <w:rStyle w:val="aff6"/>
          <w:rtl/>
        </w:rPr>
        <w:instrText xml:space="preserve"> </w:instrText>
      </w:r>
      <w:r w:rsidRPr="00111CEC">
        <w:rPr>
          <w:rStyle w:val="aff6"/>
          <w:rFonts w:hint="cs"/>
        </w:rPr>
        <w:instrText>REF</w:instrText>
      </w:r>
      <w:r w:rsidRPr="00111CEC">
        <w:rPr>
          <w:rStyle w:val="aff6"/>
          <w:rFonts w:hint="cs"/>
          <w:rtl/>
        </w:rPr>
        <w:instrText xml:space="preserve"> _</w:instrText>
      </w:r>
      <w:r w:rsidRPr="00111CEC">
        <w:rPr>
          <w:rStyle w:val="aff6"/>
          <w:rFonts w:hint="cs"/>
        </w:rPr>
        <w:instrText>Ref62678599 \r \h</w:instrText>
      </w:r>
      <w:r w:rsidRPr="00111CEC">
        <w:rPr>
          <w:rStyle w:val="aff6"/>
          <w:rtl/>
        </w:rPr>
        <w:instrText xml:space="preserve"> </w:instrText>
      </w:r>
      <w:r w:rsidRPr="00111CEC">
        <w:rPr>
          <w:rStyle w:val="aff6"/>
          <w:rtl/>
        </w:rPr>
      </w:r>
      <w:r w:rsidRPr="00111CEC">
        <w:rPr>
          <w:rStyle w:val="aff6"/>
          <w:rtl/>
        </w:rPr>
        <w:fldChar w:fldCharType="separate"/>
      </w:r>
      <w:r w:rsidR="00265073">
        <w:rPr>
          <w:rStyle w:val="aff6"/>
          <w:cs/>
        </w:rPr>
        <w:t>‎</w:t>
      </w:r>
      <w:r w:rsidR="00265073">
        <w:rPr>
          <w:rStyle w:val="aff6"/>
          <w:rtl/>
        </w:rPr>
        <w:t>עד)</w:t>
      </w:r>
      <w:r w:rsidRPr="00111CEC">
        <w:rPr>
          <w:rStyle w:val="aff6"/>
          <w:rtl/>
        </w:rPr>
        <w:fldChar w:fldCharType="end"/>
      </w:r>
      <w:r>
        <w:rPr>
          <w:rStyle w:val="afb"/>
          <w:rFonts w:hint="cs"/>
          <w:rtl/>
        </w:rPr>
        <w:t xml:space="preserve"> </w:t>
      </w:r>
      <w:r w:rsidRPr="00111CEC">
        <w:rPr>
          <w:rStyle w:val="afb"/>
          <w:rFonts w:hint="cs"/>
          <w:rtl/>
        </w:rPr>
        <w:t>מהתוספתא דכל מחזיק שנפסל השטר שלו, ממילא התבטלה חזקתו בקרקע],</w:t>
      </w:r>
      <w:r>
        <w:rPr>
          <w:rFonts w:hint="cs"/>
          <w:rtl/>
        </w:rPr>
        <w:t xml:space="preserve"> ותירץ </w:t>
      </w:r>
      <w:r w:rsidRPr="00E619F2">
        <w:rPr>
          <w:rStyle w:val="af9"/>
          <w:rFonts w:hint="cs"/>
          <w:rtl/>
        </w:rPr>
        <w:t>הרשב"א</w:t>
      </w:r>
      <w:r>
        <w:rPr>
          <w:rFonts w:hint="cs"/>
          <w:rtl/>
        </w:rPr>
        <w:t xml:space="preserve"> דהתוספתא איירי שהשטר נפסל בעדים, ולכן אינו נאמן במיגו, דהוא מיגו במקום עדים, אבל הכא שהשטר נפסל מכח הודאתו, נאמן במיגו, </w:t>
      </w:r>
      <w:r w:rsidRPr="00111CEC">
        <w:rPr>
          <w:rStyle w:val="afb"/>
          <w:rFonts w:hint="cs"/>
          <w:rtl/>
        </w:rPr>
        <w:t xml:space="preserve">[ועי' במ"ש </w:t>
      </w:r>
      <w:r w:rsidRPr="00111CEC">
        <w:rPr>
          <w:rStyle w:val="affa"/>
          <w:rFonts w:hint="cs"/>
          <w:rtl/>
        </w:rPr>
        <w:t>הרמב"ן</w:t>
      </w:r>
      <w:r w:rsidRPr="00111CEC">
        <w:rPr>
          <w:rStyle w:val="afb"/>
          <w:rFonts w:hint="cs"/>
          <w:rtl/>
        </w:rPr>
        <w:t xml:space="preserve"> </w:t>
      </w:r>
      <w:r w:rsidRPr="00111CEC">
        <w:rPr>
          <w:rStyle w:val="aff6"/>
          <w:rFonts w:hint="cs"/>
          <w:rtl/>
        </w:rPr>
        <w:t xml:space="preserve">(עי' אות </w:t>
      </w:r>
      <w:r w:rsidRPr="00111CEC">
        <w:rPr>
          <w:rStyle w:val="aff6"/>
          <w:rtl/>
        </w:rPr>
        <w:fldChar w:fldCharType="begin"/>
      </w:r>
      <w:r w:rsidRPr="00111CEC">
        <w:rPr>
          <w:rStyle w:val="aff6"/>
          <w:rtl/>
        </w:rPr>
        <w:instrText xml:space="preserve"> </w:instrText>
      </w:r>
      <w:r w:rsidRPr="00111CEC">
        <w:rPr>
          <w:rStyle w:val="aff6"/>
          <w:rFonts w:hint="cs"/>
        </w:rPr>
        <w:instrText>REF</w:instrText>
      </w:r>
      <w:r w:rsidRPr="00111CEC">
        <w:rPr>
          <w:rStyle w:val="aff6"/>
          <w:rFonts w:hint="cs"/>
          <w:rtl/>
        </w:rPr>
        <w:instrText xml:space="preserve"> _</w:instrText>
      </w:r>
      <w:r w:rsidRPr="00111CEC">
        <w:rPr>
          <w:rStyle w:val="aff6"/>
          <w:rFonts w:hint="cs"/>
        </w:rPr>
        <w:instrText>Ref62678599 \r \h</w:instrText>
      </w:r>
      <w:r w:rsidRPr="00111CEC">
        <w:rPr>
          <w:rStyle w:val="aff6"/>
          <w:rtl/>
        </w:rPr>
        <w:instrText xml:space="preserve"> </w:instrText>
      </w:r>
      <w:r w:rsidRPr="00111CEC">
        <w:rPr>
          <w:rStyle w:val="aff6"/>
          <w:rtl/>
        </w:rPr>
      </w:r>
      <w:r w:rsidRPr="00111CEC">
        <w:rPr>
          <w:rStyle w:val="aff6"/>
          <w:rtl/>
        </w:rPr>
        <w:fldChar w:fldCharType="separate"/>
      </w:r>
      <w:r w:rsidR="00265073">
        <w:rPr>
          <w:rStyle w:val="aff6"/>
          <w:cs/>
        </w:rPr>
        <w:t>‎</w:t>
      </w:r>
      <w:r w:rsidR="00265073">
        <w:rPr>
          <w:rStyle w:val="aff6"/>
          <w:rtl/>
        </w:rPr>
        <w:t>עד)</w:t>
      </w:r>
      <w:r w:rsidRPr="00111CEC">
        <w:rPr>
          <w:rStyle w:val="aff6"/>
          <w:rtl/>
        </w:rPr>
        <w:fldChar w:fldCharType="end"/>
      </w:r>
      <w:r w:rsidRPr="00111CEC">
        <w:rPr>
          <w:rStyle w:val="afb"/>
          <w:rFonts w:hint="cs"/>
          <w:rtl/>
        </w:rPr>
        <w:t xml:space="preserve">], </w:t>
      </w:r>
      <w:r>
        <w:rPr>
          <w:rFonts w:hint="cs"/>
          <w:rtl/>
        </w:rPr>
        <w:t xml:space="preserve">ועוד תירץ </w:t>
      </w:r>
      <w:r w:rsidRPr="00E619F2">
        <w:rPr>
          <w:rStyle w:val="af9"/>
          <w:rFonts w:hint="cs"/>
          <w:rtl/>
        </w:rPr>
        <w:t>הרשב"א</w:t>
      </w:r>
      <w:r>
        <w:rPr>
          <w:rFonts w:hint="cs"/>
          <w:rtl/>
        </w:rPr>
        <w:t xml:space="preserve"> דבתוספתא איירי בשטר קנין, דכל מה שהוא מחזיק בשדה הוא מכח השטר, ולכן כשבטל שטר המקח ממילא בטלה גם החזקה.</w:t>
      </w:r>
      <w:bookmarkEnd w:id="13991"/>
      <w:r>
        <w:rPr>
          <w:rFonts w:hint="cs"/>
          <w:rtl/>
        </w:rPr>
        <w:t xml:space="preserve"> </w:t>
      </w:r>
      <w:r>
        <w:rPr>
          <w:rStyle w:val="afb"/>
          <w:rFonts w:hint="cs"/>
          <w:rtl/>
        </w:rPr>
        <w:t xml:space="preserve">[ועי' במה שביאר </w:t>
      </w:r>
      <w:r w:rsidRPr="00032ED8">
        <w:rPr>
          <w:rStyle w:val="affa"/>
          <w:rtl/>
        </w:rPr>
        <w:t>בחי' רבי נחום</w:t>
      </w:r>
      <w:r w:rsidRPr="002F31EA">
        <w:rPr>
          <w:rtl/>
        </w:rPr>
        <w:t xml:space="preserve"> </w:t>
      </w:r>
      <w:r w:rsidRPr="00032ED8">
        <w:rPr>
          <w:rStyle w:val="aff6"/>
          <w:rFonts w:hint="cs"/>
          <w:rtl/>
        </w:rPr>
        <w:t>(עי' הערה</w:t>
      </w:r>
      <w:r w:rsidRPr="00032ED8">
        <w:rPr>
          <w:vertAlign w:val="superscript"/>
          <w:rtl/>
        </w:rPr>
        <w:fldChar w:fldCharType="begin"/>
      </w:r>
      <w:r w:rsidRPr="00032ED8">
        <w:rPr>
          <w:vertAlign w:val="superscript"/>
          <w:rtl/>
        </w:rPr>
        <w:instrText xml:space="preserve"> </w:instrText>
      </w:r>
      <w:r w:rsidRPr="00032ED8">
        <w:rPr>
          <w:rFonts w:hint="cs"/>
          <w:vertAlign w:val="superscript"/>
        </w:rPr>
        <w:instrText>NOTEREF</w:instrText>
      </w:r>
      <w:r w:rsidRPr="00032ED8">
        <w:rPr>
          <w:rFonts w:hint="cs"/>
          <w:vertAlign w:val="superscript"/>
          <w:rtl/>
        </w:rPr>
        <w:instrText xml:space="preserve"> _</w:instrText>
      </w:r>
      <w:r w:rsidRPr="00032ED8">
        <w:rPr>
          <w:rFonts w:hint="cs"/>
          <w:vertAlign w:val="superscript"/>
        </w:rPr>
        <w:instrText>Ref63242771 \h</w:instrText>
      </w:r>
      <w:r w:rsidRPr="00032ED8">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032ED8">
        <w:rPr>
          <w:vertAlign w:val="superscript"/>
          <w:rtl/>
        </w:rPr>
      </w:r>
      <w:r w:rsidRPr="00032ED8">
        <w:rPr>
          <w:vertAlign w:val="superscript"/>
          <w:rtl/>
        </w:rPr>
        <w:fldChar w:fldCharType="separate"/>
      </w:r>
      <w:r w:rsidR="00265073">
        <w:rPr>
          <w:vertAlign w:val="superscript"/>
          <w:rtl/>
        </w:rPr>
        <w:t>99</w:t>
      </w:r>
      <w:r w:rsidRPr="00032ED8">
        <w:rPr>
          <w:vertAlign w:val="superscript"/>
          <w:rtl/>
        </w:rPr>
        <w:fldChar w:fldCharType="end"/>
      </w:r>
      <w:r w:rsidRPr="00032ED8">
        <w:rPr>
          <w:rStyle w:val="aff6"/>
          <w:rFonts w:hint="cs"/>
          <w:rtl/>
        </w:rPr>
        <w:t>)</w:t>
      </w:r>
      <w:r>
        <w:rPr>
          <w:rStyle w:val="afb"/>
          <w:rFonts w:hint="cs"/>
          <w:rtl/>
        </w:rPr>
        <w:t xml:space="preserve"> בדברי</w:t>
      </w:r>
      <w:r w:rsidRPr="00032ED8">
        <w:rPr>
          <w:rStyle w:val="affa"/>
          <w:rtl/>
        </w:rPr>
        <w:t xml:space="preserve"> הרשב"א</w:t>
      </w:r>
      <w:r w:rsidRPr="00032ED8">
        <w:rPr>
          <w:rStyle w:val="afb"/>
          <w:rFonts w:hint="cs"/>
          <w:rtl/>
        </w:rPr>
        <w:t>].</w:t>
      </w:r>
    </w:p>
    <w:p w:rsidR="003B7617" w:rsidRDefault="003B7617" w:rsidP="003B7617">
      <w:pPr>
        <w:pStyle w:val="a3"/>
        <w:rPr>
          <w:rtl/>
        </w:rPr>
      </w:pPr>
      <w:bookmarkStart w:id="13992" w:name="_Toc63247796"/>
      <w:r>
        <w:rPr>
          <w:rFonts w:hint="cs"/>
          <w:rtl/>
        </w:rPr>
        <w:t>ביאור הרמב"ן דהגמ' בכתובות דפוחתת כתובתה לא גובה בכתובת אמנה היינו דקיי"ל כרב יוסף</w:t>
      </w:r>
      <w:bookmarkEnd w:id="13992"/>
    </w:p>
    <w:p w:rsidR="003B7617" w:rsidRDefault="003B7617" w:rsidP="007E4E81">
      <w:pPr>
        <w:pStyle w:val="a0"/>
        <w:rPr>
          <w:rStyle w:val="afb"/>
          <w:rtl/>
        </w:rPr>
      </w:pPr>
      <w:bookmarkStart w:id="13993" w:name="_Ref63241360"/>
      <w:r>
        <w:rPr>
          <w:rFonts w:hint="cs"/>
          <w:rtl/>
        </w:rPr>
        <w:t>והביא</w:t>
      </w:r>
      <w:r w:rsidRPr="001B711A">
        <w:rPr>
          <w:rStyle w:val="af9"/>
          <w:rFonts w:hint="cs"/>
          <w:rtl/>
        </w:rPr>
        <w:t xml:space="preserve"> </w:t>
      </w:r>
      <w:r w:rsidRPr="00D81DCB">
        <w:rPr>
          <w:rStyle w:val="af9"/>
          <w:rFonts w:hint="cs"/>
          <w:rtl/>
        </w:rPr>
        <w:t>הרמב"ן</w:t>
      </w:r>
      <w:r w:rsidRPr="00D81DCB">
        <w:rPr>
          <w:rStyle w:val="af7"/>
          <w:rFonts w:eastAsia="Guttman Hodes" w:hint="cs"/>
          <w:rtl/>
        </w:rPr>
        <w:t xml:space="preserve"> </w:t>
      </w:r>
      <w:r w:rsidRPr="00D81DCB">
        <w:rPr>
          <w:rStyle w:val="af7"/>
          <w:rFonts w:eastAsia="Guttman Rashi" w:hint="cs"/>
          <w:rtl/>
        </w:rPr>
        <w:t>(סוד"ה ועיינא)</w:t>
      </w:r>
      <w:r w:rsidRPr="00D81DCB">
        <w:rPr>
          <w:rStyle w:val="af7"/>
          <w:rFonts w:eastAsia="Guttman Hodes" w:hint="cs"/>
          <w:rtl/>
        </w:rPr>
        <w:t xml:space="preserve"> </w:t>
      </w:r>
      <w:r>
        <w:rPr>
          <w:rFonts w:hint="cs"/>
          <w:rtl/>
        </w:rPr>
        <w:t>את הגמ' בכתובות</w:t>
      </w:r>
      <w:r w:rsidRPr="00D81DCB">
        <w:rPr>
          <w:rStyle w:val="af7"/>
          <w:rFonts w:eastAsia="Guttman Hodes" w:hint="cs"/>
          <w:rtl/>
        </w:rPr>
        <w:t xml:space="preserve"> </w:t>
      </w:r>
      <w:r w:rsidRPr="00D81DCB">
        <w:rPr>
          <w:rStyle w:val="af7"/>
          <w:rFonts w:eastAsia="Guttman Rashi" w:hint="cs"/>
          <w:rtl/>
        </w:rPr>
        <w:t>(פז:)</w:t>
      </w:r>
      <w:r w:rsidRPr="00D81DCB">
        <w:rPr>
          <w:rStyle w:val="af7"/>
          <w:rFonts w:eastAsia="Guttman Hodes" w:hint="cs"/>
          <w:rtl/>
        </w:rPr>
        <w:t xml:space="preserve"> </w:t>
      </w:r>
      <w:r>
        <w:rPr>
          <w:rFonts w:hint="cs"/>
          <w:rtl/>
        </w:rPr>
        <w:t xml:space="preserve">דאשה שכתובתה אלף זוז, וטוען הבעל שהתקבלה כתובתה, והיא אומרת שלא התקבלה, אך טוענת שהכתובה הייתה מנה ולא אלף זוז, ומקשה הגמ' דהיאך היא יכולה לגבות את המנה, הא היא מודה שהכתובה היא חספא בעלמא, </w:t>
      </w:r>
      <w:r w:rsidRPr="004B1C4E">
        <w:rPr>
          <w:rFonts w:hint="cs"/>
          <w:rtl/>
        </w:rPr>
        <w:t>ותירצה הגמ' דאומרת שהכתובה הייתה באמנה, והאמין לה שלא תתבע ממנו יותר ממנה, וביאר</w:t>
      </w:r>
      <w:r w:rsidRPr="004B1C4E">
        <w:rPr>
          <w:rStyle w:val="af9"/>
          <w:rFonts w:hint="cs"/>
          <w:rtl/>
        </w:rPr>
        <w:t xml:space="preserve"> הרמב"ן</w:t>
      </w:r>
      <w:r w:rsidRPr="004B1C4E">
        <w:rPr>
          <w:rFonts w:hint="cs"/>
          <w:rtl/>
        </w:rPr>
        <w:t xml:space="preserve"> דגם הגמ' בכתובות איירי בשטר אמנה, והא דמקשה הגמ' דאינה יכולה לגבות בכתובה שהיא אמנה, היינו אליבא דהלכתא</w:t>
      </w:r>
      <w:r w:rsidRPr="004B1C4E">
        <w:rPr>
          <w:rtl/>
        </w:rPr>
        <w:t xml:space="preserve"> דקיי"ל כרב יוסף בזוזי</w:t>
      </w:r>
      <w:r w:rsidRPr="004B1C4E">
        <w:rPr>
          <w:rFonts w:hint="cs"/>
          <w:rtl/>
        </w:rPr>
        <w:t xml:space="preserve">, ועי' בדברי </w:t>
      </w:r>
      <w:r w:rsidRPr="004B1C4E">
        <w:rPr>
          <w:rStyle w:val="af9"/>
          <w:rFonts w:hint="cs"/>
          <w:rtl/>
        </w:rPr>
        <w:t>הגידולי תרומה</w:t>
      </w:r>
      <w:r w:rsidRPr="004B1C4E">
        <w:rPr>
          <w:rFonts w:hint="cs"/>
          <w:rtl/>
        </w:rPr>
        <w:t xml:space="preserve"> </w:t>
      </w:r>
      <w:r w:rsidRPr="004B1C4E">
        <w:rPr>
          <w:rStyle w:val="af7"/>
          <w:rFonts w:eastAsia="Guttman Hodes" w:hint="cs"/>
          <w:rtl/>
        </w:rPr>
        <w:t xml:space="preserve">(עי' אות </w:t>
      </w:r>
      <w:r w:rsidRPr="004B1C4E">
        <w:rPr>
          <w:rStyle w:val="af7"/>
          <w:rFonts w:eastAsia="Guttman Hodes"/>
          <w:rtl/>
        </w:rPr>
        <w:fldChar w:fldCharType="begin"/>
      </w:r>
      <w:r w:rsidRPr="004B1C4E">
        <w:rPr>
          <w:rStyle w:val="af7"/>
          <w:rFonts w:eastAsia="Guttman Hodes"/>
          <w:rtl/>
        </w:rPr>
        <w:instrText xml:space="preserve"> </w:instrText>
      </w:r>
      <w:r w:rsidRPr="004B1C4E">
        <w:rPr>
          <w:rStyle w:val="af7"/>
          <w:rFonts w:eastAsia="Guttman Hodes" w:hint="cs"/>
        </w:rPr>
        <w:instrText>REF</w:instrText>
      </w:r>
      <w:r w:rsidRPr="004B1C4E">
        <w:rPr>
          <w:rStyle w:val="af7"/>
          <w:rFonts w:eastAsia="Guttman Hodes" w:hint="cs"/>
          <w:rtl/>
        </w:rPr>
        <w:instrText xml:space="preserve"> _</w:instrText>
      </w:r>
      <w:r w:rsidRPr="004B1C4E">
        <w:rPr>
          <w:rStyle w:val="af7"/>
          <w:rFonts w:eastAsia="Guttman Hodes" w:hint="cs"/>
        </w:rPr>
        <w:instrText>Ref63241389 \r \h</w:instrText>
      </w:r>
      <w:r w:rsidRPr="004B1C4E">
        <w:rPr>
          <w:rStyle w:val="af7"/>
          <w:rFonts w:eastAsia="Guttman Hodes"/>
          <w:rtl/>
        </w:rPr>
        <w:instrText xml:space="preserve"> </w:instrText>
      </w:r>
      <w:r w:rsidRPr="004B1C4E">
        <w:rPr>
          <w:rStyle w:val="af7"/>
          <w:rFonts w:eastAsia="Guttman Hodes"/>
          <w:rtl/>
        </w:rPr>
      </w:r>
      <w:r w:rsidRPr="004B1C4E">
        <w:rPr>
          <w:rStyle w:val="af7"/>
          <w:rFonts w:eastAsia="Guttman Hodes"/>
          <w:rtl/>
        </w:rPr>
        <w:fldChar w:fldCharType="separate"/>
      </w:r>
      <w:r w:rsidR="00265073">
        <w:rPr>
          <w:rStyle w:val="af7"/>
          <w:rFonts w:eastAsia="Guttman Hodes"/>
          <w:cs/>
        </w:rPr>
        <w:t>‎</w:t>
      </w:r>
      <w:r w:rsidR="00265073">
        <w:rPr>
          <w:rStyle w:val="af7"/>
          <w:rFonts w:eastAsia="Guttman Hodes"/>
          <w:rtl/>
        </w:rPr>
        <w:t>קא)</w:t>
      </w:r>
      <w:r w:rsidRPr="004B1C4E">
        <w:rPr>
          <w:rStyle w:val="af7"/>
          <w:rFonts w:eastAsia="Guttman Hodes"/>
          <w:rtl/>
        </w:rPr>
        <w:fldChar w:fldCharType="end"/>
      </w:r>
      <w:r w:rsidRPr="004B1C4E">
        <w:rPr>
          <w:rFonts w:hint="cs"/>
          <w:rtl/>
        </w:rPr>
        <w:t xml:space="preserve">. </w:t>
      </w:r>
      <w:r w:rsidRPr="004B1C4E">
        <w:rPr>
          <w:rStyle w:val="afb"/>
          <w:rFonts w:hint="cs"/>
          <w:rtl/>
        </w:rPr>
        <w:t xml:space="preserve">[ועי' במ"ש </w:t>
      </w:r>
      <w:r w:rsidRPr="004B1C4E">
        <w:rPr>
          <w:rStyle w:val="affa"/>
          <w:rFonts w:hint="cs"/>
          <w:rtl/>
        </w:rPr>
        <w:t xml:space="preserve">החת"ס </w:t>
      </w:r>
      <w:r w:rsidRPr="004B1C4E">
        <w:rPr>
          <w:rStyle w:val="aff6"/>
          <w:rFonts w:hint="cs"/>
          <w:rtl/>
        </w:rPr>
        <w:t>(ד"ה ולרמב"ן)</w:t>
      </w:r>
      <w:r w:rsidRPr="004B1C4E">
        <w:rPr>
          <w:rStyle w:val="afb"/>
          <w:rFonts w:hint="cs"/>
          <w:rtl/>
        </w:rPr>
        <w:t xml:space="preserve"> </w:t>
      </w:r>
      <w:r w:rsidRPr="004B1C4E">
        <w:rPr>
          <w:rStyle w:val="affa"/>
          <w:rFonts w:hint="cs"/>
          <w:rtl/>
        </w:rPr>
        <w:t xml:space="preserve">דבתוס' בכתובות </w:t>
      </w:r>
      <w:r w:rsidRPr="004B1C4E">
        <w:rPr>
          <w:rStyle w:val="aff6"/>
          <w:rFonts w:hint="cs"/>
          <w:rtl/>
        </w:rPr>
        <w:t>(פז: ד"ה האי)</w:t>
      </w:r>
      <w:r w:rsidRPr="004B1C4E">
        <w:rPr>
          <w:rStyle w:val="afb"/>
          <w:rFonts w:hint="cs"/>
          <w:rtl/>
        </w:rPr>
        <w:t xml:space="preserve"> מבואר דלא </w:t>
      </w:r>
      <w:r w:rsidRPr="004B1C4E">
        <w:rPr>
          <w:rStyle w:val="affa"/>
          <w:rFonts w:hint="cs"/>
          <w:rtl/>
        </w:rPr>
        <w:t>כרמב"ן</w:t>
      </w:r>
      <w:r w:rsidRPr="004B1C4E">
        <w:rPr>
          <w:rStyle w:val="afb"/>
          <w:rFonts w:hint="cs"/>
          <w:rtl/>
        </w:rPr>
        <w:t xml:space="preserve">, ועיי"ש במה שביאר </w:t>
      </w:r>
      <w:r w:rsidRPr="004B1C4E">
        <w:rPr>
          <w:rStyle w:val="affa"/>
          <w:rFonts w:hint="cs"/>
          <w:rtl/>
        </w:rPr>
        <w:t>החת"ס</w:t>
      </w:r>
      <w:r w:rsidRPr="004B1C4E">
        <w:rPr>
          <w:rStyle w:val="afb"/>
          <w:rFonts w:hint="cs"/>
          <w:rtl/>
        </w:rPr>
        <w:t xml:space="preserve"> בדעת </w:t>
      </w:r>
      <w:r w:rsidRPr="004B1C4E">
        <w:rPr>
          <w:rStyle w:val="affa"/>
          <w:rFonts w:hint="cs"/>
          <w:rtl/>
        </w:rPr>
        <w:t>התוס'</w:t>
      </w:r>
      <w:r w:rsidRPr="004B1C4E">
        <w:rPr>
          <w:rStyle w:val="afb"/>
          <w:rFonts w:hint="cs"/>
          <w:rtl/>
        </w:rPr>
        <w:t>].</w:t>
      </w:r>
      <w:bookmarkEnd w:id="13993"/>
    </w:p>
    <w:p w:rsidR="003B7617" w:rsidRDefault="003B7617" w:rsidP="003B7617">
      <w:pPr>
        <w:pStyle w:val="a3"/>
      </w:pPr>
      <w:bookmarkStart w:id="13994" w:name="_Toc63247797"/>
      <w:r>
        <w:rPr>
          <w:rFonts w:hint="cs"/>
          <w:rtl/>
        </w:rPr>
        <w:t>הביאור הב' ברמב"ן דבפוחתת כתובתה במודה שהיא מזויפת לכו"ע לא נאמנת במיגו</w:t>
      </w:r>
      <w:bookmarkEnd w:id="13994"/>
    </w:p>
    <w:p w:rsidR="003B7617" w:rsidRDefault="003B7617" w:rsidP="007E4E81">
      <w:pPr>
        <w:pStyle w:val="a0"/>
        <w:rPr>
          <w:rtl/>
        </w:rPr>
      </w:pPr>
      <w:bookmarkStart w:id="13995" w:name="_Ref63237344"/>
      <w:r>
        <w:rPr>
          <w:rFonts w:hint="cs"/>
          <w:rtl/>
        </w:rPr>
        <w:t xml:space="preserve">ועוד ביאר </w:t>
      </w:r>
      <w:r w:rsidRPr="00D81DCB">
        <w:rPr>
          <w:rStyle w:val="af9"/>
          <w:rFonts w:hint="cs"/>
          <w:rtl/>
        </w:rPr>
        <w:t>הרמב"ן</w:t>
      </w:r>
      <w:r>
        <w:rPr>
          <w:rFonts w:hint="cs"/>
          <w:rtl/>
        </w:rPr>
        <w:t xml:space="preserve"> דקושית הגמ' בכתובות היא אף לרבה, דבהו"א הבינה הגמ' דהיא טוענת שהכתובה מזוייפת ואין לה עדים שיקיימו אותה, וא"כ אף לרבה אינה נאמנת שלא נתן לה מנה, דהא אין לה מיגו</w:t>
      </w:r>
      <w:r w:rsidRPr="004C6C80">
        <w:rPr>
          <w:vertAlign w:val="superscript"/>
          <w:rtl/>
        </w:rPr>
        <w:fldChar w:fldCharType="begin"/>
      </w:r>
      <w:r w:rsidRPr="004C6C80">
        <w:rPr>
          <w:vertAlign w:val="superscript"/>
          <w:rtl/>
        </w:rPr>
        <w:instrText xml:space="preserve"> </w:instrText>
      </w:r>
      <w:r w:rsidRPr="004C6C80">
        <w:rPr>
          <w:rFonts w:hint="cs"/>
          <w:vertAlign w:val="superscript"/>
        </w:rPr>
        <w:instrText>NOTEREF</w:instrText>
      </w:r>
      <w:r w:rsidRPr="004C6C80">
        <w:rPr>
          <w:rFonts w:hint="cs"/>
          <w:vertAlign w:val="superscript"/>
          <w:rtl/>
        </w:rPr>
        <w:instrText xml:space="preserve"> _</w:instrText>
      </w:r>
      <w:r w:rsidRPr="004C6C80">
        <w:rPr>
          <w:rFonts w:hint="cs"/>
          <w:vertAlign w:val="superscript"/>
        </w:rPr>
        <w:instrText>Ref63236939 \h</w:instrText>
      </w:r>
      <w:r w:rsidRPr="004C6C80">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4C6C80">
        <w:rPr>
          <w:vertAlign w:val="superscript"/>
          <w:rtl/>
        </w:rPr>
      </w:r>
      <w:r w:rsidRPr="004C6C80">
        <w:rPr>
          <w:vertAlign w:val="superscript"/>
          <w:rtl/>
        </w:rPr>
        <w:fldChar w:fldCharType="separate"/>
      </w:r>
      <w:r w:rsidR="00265073">
        <w:rPr>
          <w:vertAlign w:val="superscript"/>
          <w:rtl/>
        </w:rPr>
        <w:t>98</w:t>
      </w:r>
      <w:r w:rsidRPr="004C6C80">
        <w:rPr>
          <w:vertAlign w:val="superscript"/>
          <w:rtl/>
        </w:rPr>
        <w:fldChar w:fldCharType="end"/>
      </w:r>
      <w:r>
        <w:rPr>
          <w:rFonts w:hint="cs"/>
          <w:rtl/>
        </w:rPr>
        <w:t xml:space="preserve">, ותירצה הגמ' דטוענת שהכתובה היא באמנה, וכתב </w:t>
      </w:r>
      <w:r w:rsidRPr="00D81DCB">
        <w:rPr>
          <w:rStyle w:val="af9"/>
          <w:rFonts w:hint="cs"/>
          <w:rtl/>
        </w:rPr>
        <w:t>הרמב"ן</w:t>
      </w:r>
      <w:r>
        <w:rPr>
          <w:rFonts w:hint="cs"/>
          <w:rtl/>
        </w:rPr>
        <w:t xml:space="preserve"> דהגמ' בכתובות לא רצתה להעמיד בכתובה שקיימו אותה עדים, והיא מודה שאינה נכונה, דא"כ חתמו העדים בשקר, וכתב </w:t>
      </w:r>
      <w:r w:rsidRPr="00D81DCB">
        <w:rPr>
          <w:rStyle w:val="af9"/>
          <w:rFonts w:hint="cs"/>
          <w:rtl/>
        </w:rPr>
        <w:t>הרמב"ן</w:t>
      </w:r>
      <w:r>
        <w:rPr>
          <w:rFonts w:hint="cs"/>
          <w:rtl/>
        </w:rPr>
        <w:t xml:space="preserve"> דזהו הביאור הנכון.</w:t>
      </w:r>
      <w:bookmarkEnd w:id="13995"/>
    </w:p>
    <w:p w:rsidR="003B7617" w:rsidRDefault="003B7617" w:rsidP="003B7617">
      <w:pPr>
        <w:pStyle w:val="1"/>
        <w:rPr>
          <w:rtl/>
        </w:rPr>
      </w:pPr>
      <w:bookmarkStart w:id="13996" w:name="_Toc63111480"/>
      <w:bookmarkStart w:id="13997" w:name="_Toc63163537"/>
      <w:bookmarkStart w:id="13998" w:name="_Toc63188811"/>
      <w:bookmarkStart w:id="13999" w:name="_Toc63247798"/>
      <w:r>
        <w:rPr>
          <w:rFonts w:hint="cs"/>
          <w:rtl/>
        </w:rPr>
        <w:t xml:space="preserve">ביאורי המ"מ והקצוה"ח ברמב"ן </w:t>
      </w:r>
      <w:bookmarkEnd w:id="13996"/>
      <w:bookmarkEnd w:id="13997"/>
      <w:r>
        <w:rPr>
          <w:rFonts w:hint="cs"/>
          <w:noProof/>
          <w:rtl/>
        </w:rPr>
        <w:t>באופן ש</w:t>
      </w:r>
      <w:r>
        <w:rPr>
          <w:noProof/>
          <w:rtl/>
        </w:rPr>
        <w:t>קיים</w:t>
      </w:r>
      <w:r>
        <w:rPr>
          <w:rFonts w:hint="cs"/>
          <w:rtl/>
        </w:rPr>
        <w:t xml:space="preserve"> את השטר</w:t>
      </w:r>
      <w:bookmarkEnd w:id="13998"/>
      <w:bookmarkEnd w:id="13999"/>
    </w:p>
    <w:p w:rsidR="003B7617" w:rsidRDefault="003B7617" w:rsidP="003B7617">
      <w:pPr>
        <w:pStyle w:val="a3"/>
        <w:rPr>
          <w:rtl/>
        </w:rPr>
      </w:pPr>
      <w:bookmarkStart w:id="14000" w:name="_Toc62819909"/>
      <w:bookmarkStart w:id="14001" w:name="_Toc63111481"/>
      <w:bookmarkStart w:id="14002" w:name="_Toc63163538"/>
      <w:bookmarkStart w:id="14003" w:name="_Toc63188812"/>
      <w:bookmarkStart w:id="14004" w:name="_Toc63247799"/>
      <w:r>
        <w:rPr>
          <w:rFonts w:hint="cs"/>
          <w:rtl/>
        </w:rPr>
        <w:t>בי' המ"מ ברמב"ן וברשב"א דאם לאחר שהודה קיים את השטר אינו גובה בו דלא היה לו מיגו</w:t>
      </w:r>
      <w:bookmarkEnd w:id="14000"/>
      <w:bookmarkEnd w:id="14001"/>
      <w:bookmarkEnd w:id="14002"/>
      <w:bookmarkEnd w:id="14003"/>
      <w:bookmarkEnd w:id="14004"/>
    </w:p>
    <w:p w:rsidR="003B7617" w:rsidRDefault="003B7617" w:rsidP="007E4E81">
      <w:pPr>
        <w:pStyle w:val="a0"/>
        <w:rPr>
          <w:rtl/>
        </w:rPr>
      </w:pPr>
      <w:bookmarkStart w:id="14005" w:name="_Ref63240652"/>
      <w:bookmarkStart w:id="14006" w:name="_Toc62819910"/>
      <w:r>
        <w:rPr>
          <w:rFonts w:hint="cs"/>
          <w:rtl/>
        </w:rPr>
        <w:t xml:space="preserve">וביאר </w:t>
      </w:r>
      <w:r w:rsidRPr="00FB76BD">
        <w:rPr>
          <w:rStyle w:val="af9"/>
          <w:rFonts w:hint="cs"/>
          <w:rtl/>
        </w:rPr>
        <w:t>המ"מ</w:t>
      </w:r>
      <w:r>
        <w:rPr>
          <w:rFonts w:hint="cs"/>
          <w:rtl/>
        </w:rPr>
        <w:t xml:space="preserve"> </w:t>
      </w:r>
      <w:r w:rsidRPr="00F4777F">
        <w:rPr>
          <w:rStyle w:val="af7"/>
          <w:rFonts w:eastAsia="Guttman Hodes" w:hint="cs"/>
          <w:rtl/>
        </w:rPr>
        <w:t>(</w:t>
      </w:r>
      <w:r w:rsidRPr="00D15351">
        <w:rPr>
          <w:rStyle w:val="af7"/>
          <w:rFonts w:eastAsia="Guttman Hodes"/>
          <w:rtl/>
        </w:rPr>
        <w:t>מלוה ולוה פי"ד ה"ו</w:t>
      </w:r>
      <w:r w:rsidRPr="00116D21">
        <w:rPr>
          <w:rStyle w:val="af7"/>
          <w:rFonts w:eastAsia="Guttman Hodes" w:hint="cs"/>
          <w:rtl/>
        </w:rPr>
        <w:t>)</w:t>
      </w:r>
      <w:r w:rsidRPr="00116D21">
        <w:rPr>
          <w:rFonts w:hint="cs"/>
          <w:rtl/>
        </w:rPr>
        <w:t xml:space="preserve"> </w:t>
      </w:r>
      <w:r>
        <w:rPr>
          <w:rFonts w:hint="cs"/>
          <w:rtl/>
        </w:rPr>
        <w:t>את דברי</w:t>
      </w:r>
      <w:r w:rsidRPr="00116D21">
        <w:rPr>
          <w:rFonts w:hint="cs"/>
          <w:rtl/>
        </w:rPr>
        <w:t xml:space="preserve"> </w:t>
      </w:r>
      <w:r w:rsidRPr="00116D21">
        <w:rPr>
          <w:rStyle w:val="af9"/>
          <w:rFonts w:hint="cs"/>
          <w:rtl/>
        </w:rPr>
        <w:t>הרמב"ן</w:t>
      </w:r>
      <w:r w:rsidRPr="00116D21">
        <w:rPr>
          <w:rFonts w:hint="cs"/>
          <w:rtl/>
        </w:rPr>
        <w:t xml:space="preserve"> </w:t>
      </w:r>
      <w:r w:rsidRPr="00116D21">
        <w:rPr>
          <w:rStyle w:val="af9"/>
          <w:rFonts w:hint="cs"/>
          <w:rtl/>
        </w:rPr>
        <w:t>והרשב"א</w:t>
      </w:r>
      <w:r w:rsidRPr="00116D21">
        <w:rPr>
          <w:rFonts w:hint="cs"/>
          <w:rtl/>
        </w:rPr>
        <w:t xml:space="preserve"> </w:t>
      </w:r>
      <w:r w:rsidRPr="00F13BAF">
        <w:rPr>
          <w:rStyle w:val="af7"/>
          <w:rFonts w:eastAsia="Guttman Hodes" w:hint="cs"/>
          <w:rtl/>
        </w:rPr>
        <w:t xml:space="preserve">(עי' אות </w:t>
      </w:r>
      <w:r w:rsidRPr="00F13BAF">
        <w:rPr>
          <w:rStyle w:val="af7"/>
          <w:rFonts w:eastAsia="Guttman Hodes"/>
          <w:rtl/>
        </w:rPr>
        <w:fldChar w:fldCharType="begin"/>
      </w:r>
      <w:r w:rsidRPr="00F13BAF">
        <w:rPr>
          <w:rStyle w:val="af7"/>
          <w:rFonts w:eastAsia="Guttman Hodes"/>
          <w:rtl/>
        </w:rPr>
        <w:instrText xml:space="preserve"> </w:instrText>
      </w:r>
      <w:r w:rsidRPr="00F13BAF">
        <w:rPr>
          <w:rStyle w:val="af7"/>
          <w:rFonts w:eastAsia="Guttman Hodes" w:hint="cs"/>
        </w:rPr>
        <w:instrText>REF</w:instrText>
      </w:r>
      <w:r w:rsidRPr="00F13BAF">
        <w:rPr>
          <w:rStyle w:val="af7"/>
          <w:rFonts w:eastAsia="Guttman Hodes" w:hint="cs"/>
          <w:rtl/>
        </w:rPr>
        <w:instrText xml:space="preserve"> _</w:instrText>
      </w:r>
      <w:r w:rsidRPr="00F13BAF">
        <w:rPr>
          <w:rStyle w:val="af7"/>
          <w:rFonts w:eastAsia="Guttman Hodes" w:hint="cs"/>
        </w:rPr>
        <w:instrText>Ref62760907 \r \h</w:instrText>
      </w:r>
      <w:r w:rsidRPr="00F13BAF">
        <w:rPr>
          <w:rStyle w:val="af7"/>
          <w:rFonts w:eastAsia="Guttman Hodes"/>
          <w:rtl/>
        </w:rPr>
        <w:instrText xml:space="preserve"> </w:instrText>
      </w:r>
      <w:r w:rsidRPr="00F13BAF">
        <w:rPr>
          <w:rStyle w:val="af7"/>
          <w:rFonts w:eastAsia="Guttman Hodes"/>
          <w:rtl/>
        </w:rPr>
      </w:r>
      <w:r w:rsidRPr="00F13BAF">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F13BAF">
        <w:rPr>
          <w:rStyle w:val="af7"/>
          <w:rFonts w:eastAsia="Guttman Hodes"/>
          <w:rtl/>
        </w:rPr>
        <w:fldChar w:fldCharType="end"/>
      </w:r>
      <w:r w:rsidRPr="00F13BAF">
        <w:rPr>
          <w:rStyle w:val="af7"/>
          <w:rFonts w:eastAsia="Guttman Hodes" w:hint="cs"/>
          <w:rtl/>
        </w:rPr>
        <w:t xml:space="preserve"> </w:t>
      </w:r>
      <w:r>
        <w:rPr>
          <w:rFonts w:hint="cs"/>
          <w:rtl/>
        </w:rPr>
        <w:t xml:space="preserve">דבזמן שהודה המחזיק שהשטר מזויף, עדיין השטר לא היה מקוים, ולכן אף אח"כ קיים המחזיק את השטר, אינו גובה בשטר, כיון שבשעה שהודה לא היה לו מיגו שהיה יכול לטעון שהשטר הוא </w:t>
      </w:r>
      <w:r>
        <w:rPr>
          <w:rFonts w:hint="cs"/>
          <w:rtl/>
        </w:rPr>
        <w:t>שטר טוב, דהא עדיין לא היה השטר מקוים, ורק באופן שקיים את השטר לפני שהודה שהוא מזויף, הוא נאמן שהיה לו שטר אחר, במיגו שלא היה מודה שהוא מזויף.</w:t>
      </w:r>
      <w:bookmarkEnd w:id="14005"/>
    </w:p>
    <w:p w:rsidR="003B7617" w:rsidRDefault="003B7617" w:rsidP="003B7617">
      <w:pPr>
        <w:pStyle w:val="a3"/>
        <w:rPr>
          <w:rtl/>
        </w:rPr>
      </w:pPr>
      <w:bookmarkStart w:id="14007" w:name="_Toc63188813"/>
      <w:bookmarkStart w:id="14008" w:name="_Toc63247800"/>
      <w:r>
        <w:rPr>
          <w:rFonts w:hint="cs"/>
          <w:rtl/>
        </w:rPr>
        <w:t>דברי הקצוה"ח דמבואר ברמב"ן דאם עבר הדיין וקיים התברר שיש לו מיגו ונאמן אף לרב יוסף</w:t>
      </w:r>
      <w:bookmarkEnd w:id="14007"/>
      <w:bookmarkEnd w:id="14008"/>
    </w:p>
    <w:p w:rsidR="003B7617" w:rsidRDefault="003B7617" w:rsidP="007E4E81">
      <w:pPr>
        <w:pStyle w:val="a0"/>
        <w:rPr>
          <w:rtl/>
        </w:rPr>
      </w:pPr>
      <w:bookmarkStart w:id="14009" w:name="_Toc63111482"/>
      <w:bookmarkStart w:id="14010" w:name="_Toc63163539"/>
      <w:r>
        <w:rPr>
          <w:rFonts w:hint="cs"/>
          <w:rtl/>
        </w:rPr>
        <w:t xml:space="preserve">אבל </w:t>
      </w:r>
      <w:r w:rsidRPr="008C566B">
        <w:rPr>
          <w:rStyle w:val="af9"/>
          <w:rFonts w:hint="cs"/>
          <w:rtl/>
        </w:rPr>
        <w:t>הקצוה"ח</w:t>
      </w:r>
      <w:r>
        <w:rPr>
          <w:rFonts w:hint="cs"/>
          <w:rtl/>
        </w:rPr>
        <w:t xml:space="preserve"> </w:t>
      </w:r>
      <w:r w:rsidRPr="008C566B">
        <w:rPr>
          <w:rStyle w:val="af7"/>
          <w:rFonts w:eastAsia="Guttman Hodes" w:hint="cs"/>
          <w:rtl/>
        </w:rPr>
        <w:t>(סי' קמ"ו סקי"ג ד"ה אמנם)</w:t>
      </w:r>
      <w:r>
        <w:rPr>
          <w:rFonts w:hint="cs"/>
          <w:rtl/>
        </w:rPr>
        <w:t xml:space="preserve"> כתב דמבואר מדברי </w:t>
      </w:r>
      <w:r w:rsidRPr="00116D21">
        <w:rPr>
          <w:rStyle w:val="af9"/>
          <w:rFonts w:hint="cs"/>
          <w:rtl/>
        </w:rPr>
        <w:t>הרמב"ן</w:t>
      </w:r>
      <w:r w:rsidRPr="00116D21">
        <w:rPr>
          <w:rFonts w:hint="cs"/>
          <w:rtl/>
        </w:rPr>
        <w:t xml:space="preserve"> </w:t>
      </w:r>
      <w:r w:rsidRPr="00F13BAF">
        <w:rPr>
          <w:rStyle w:val="af7"/>
          <w:rFonts w:eastAsia="Guttman Hodes" w:hint="cs"/>
          <w:rtl/>
        </w:rPr>
        <w:t xml:space="preserve">(עי' אות </w:t>
      </w:r>
      <w:r w:rsidRPr="00F13BAF">
        <w:rPr>
          <w:rStyle w:val="af7"/>
          <w:rFonts w:eastAsia="Guttman Hodes"/>
          <w:rtl/>
        </w:rPr>
        <w:fldChar w:fldCharType="begin"/>
      </w:r>
      <w:r w:rsidRPr="00F13BAF">
        <w:rPr>
          <w:rStyle w:val="af7"/>
          <w:rFonts w:eastAsia="Guttman Hodes"/>
          <w:rtl/>
        </w:rPr>
        <w:instrText xml:space="preserve"> </w:instrText>
      </w:r>
      <w:r w:rsidRPr="00F13BAF">
        <w:rPr>
          <w:rStyle w:val="af7"/>
          <w:rFonts w:eastAsia="Guttman Hodes" w:hint="cs"/>
        </w:rPr>
        <w:instrText>REF</w:instrText>
      </w:r>
      <w:r w:rsidRPr="00F13BAF">
        <w:rPr>
          <w:rStyle w:val="af7"/>
          <w:rFonts w:eastAsia="Guttman Hodes" w:hint="cs"/>
          <w:rtl/>
        </w:rPr>
        <w:instrText xml:space="preserve"> _</w:instrText>
      </w:r>
      <w:r w:rsidRPr="00F13BAF">
        <w:rPr>
          <w:rStyle w:val="af7"/>
          <w:rFonts w:eastAsia="Guttman Hodes" w:hint="cs"/>
        </w:rPr>
        <w:instrText>Ref62760907 \r \h</w:instrText>
      </w:r>
      <w:r w:rsidRPr="00F13BAF">
        <w:rPr>
          <w:rStyle w:val="af7"/>
          <w:rFonts w:eastAsia="Guttman Hodes"/>
          <w:rtl/>
        </w:rPr>
        <w:instrText xml:space="preserve"> </w:instrText>
      </w:r>
      <w:r w:rsidRPr="00F13BAF">
        <w:rPr>
          <w:rStyle w:val="af7"/>
          <w:rFonts w:eastAsia="Guttman Hodes"/>
          <w:rtl/>
        </w:rPr>
      </w:r>
      <w:r w:rsidRPr="00F13BAF">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F13BAF">
        <w:rPr>
          <w:rStyle w:val="af7"/>
          <w:rFonts w:eastAsia="Guttman Hodes"/>
          <w:rtl/>
        </w:rPr>
        <w:fldChar w:fldCharType="end"/>
      </w:r>
      <w:r>
        <w:rPr>
          <w:rStyle w:val="af7"/>
          <w:rFonts w:eastAsia="Guttman Hodes" w:hint="cs"/>
          <w:rtl/>
        </w:rPr>
        <w:t xml:space="preserve"> </w:t>
      </w:r>
      <w:r>
        <w:rPr>
          <w:rFonts w:hint="cs"/>
          <w:rtl/>
        </w:rPr>
        <w:t>דכ"מ דס"ל לרב יוסף דאין לו מיגו, היינו כיון דהב"ד אינם נזקקין לקיימו, אבל באופן שעבר הדיין על הדין וקיים את השטר, אף רב יוסף מודה שיש לו מיגו, דהא התברר לכל שהיה יכול לטעון שהשטר הוא שטר טוב, וכ"מ דס"ל לרב יוסף שאין לו מיגו, הוא כיון שהודה שהוא כחרס, ואין ב"ד נזקקין לקיימו, וכל שאינו יכול לקיימו ממילא א"א לברר אם היה לו מיגו.</w:t>
      </w:r>
    </w:p>
    <w:p w:rsidR="003B7617" w:rsidRDefault="003B7617" w:rsidP="003B7617">
      <w:pPr>
        <w:pStyle w:val="1"/>
        <w:rPr>
          <w:rtl/>
        </w:rPr>
      </w:pPr>
      <w:bookmarkStart w:id="14011" w:name="_Toc63188814"/>
      <w:bookmarkStart w:id="14012" w:name="_Toc63247801"/>
      <w:r>
        <w:rPr>
          <w:rFonts w:hint="cs"/>
          <w:rtl/>
        </w:rPr>
        <w:t>קושיות הגידו"ת על הרמב"ן</w:t>
      </w:r>
      <w:bookmarkEnd w:id="14006"/>
      <w:bookmarkEnd w:id="14009"/>
      <w:bookmarkEnd w:id="14010"/>
      <w:bookmarkEnd w:id="14011"/>
      <w:r>
        <w:rPr>
          <w:rFonts w:hint="cs"/>
          <w:rtl/>
        </w:rPr>
        <w:t xml:space="preserve"> דבאינו מקוים ל"מ מיגו</w:t>
      </w:r>
      <w:bookmarkEnd w:id="14012"/>
    </w:p>
    <w:p w:rsidR="003B7617" w:rsidRDefault="003B7617" w:rsidP="003B7617">
      <w:pPr>
        <w:pStyle w:val="a3"/>
        <w:rPr>
          <w:rtl/>
        </w:rPr>
      </w:pPr>
      <w:bookmarkStart w:id="14013" w:name="_Toc63247802"/>
      <w:r>
        <w:rPr>
          <w:rFonts w:hint="cs"/>
          <w:rtl/>
        </w:rPr>
        <w:t>קושית הגידו"ת על ביאור המ"מ ברמב"ן וברשב"א דאי אינו מקוים אמאי קיי"ל כרבה בארעא</w:t>
      </w:r>
      <w:bookmarkEnd w:id="14013"/>
      <w:r>
        <w:rPr>
          <w:rFonts w:hint="cs"/>
          <w:rtl/>
        </w:rPr>
        <w:t xml:space="preserve"> </w:t>
      </w:r>
    </w:p>
    <w:p w:rsidR="003B7617" w:rsidRDefault="003B7617" w:rsidP="007E4E81">
      <w:pPr>
        <w:pStyle w:val="a0"/>
        <w:rPr>
          <w:rtl/>
        </w:rPr>
      </w:pPr>
      <w:r>
        <w:rPr>
          <w:rFonts w:hint="cs"/>
          <w:rtl/>
        </w:rPr>
        <w:t>והקשה</w:t>
      </w:r>
      <w:r>
        <w:rPr>
          <w:rtl/>
        </w:rPr>
        <w:t xml:space="preserve"> </w:t>
      </w:r>
      <w:r>
        <w:rPr>
          <w:rStyle w:val="af9"/>
          <w:rtl/>
        </w:rPr>
        <w:t>הגידולי תרומה</w:t>
      </w:r>
      <w:r w:rsidRPr="00C23F98">
        <w:rPr>
          <w:rStyle w:val="af7"/>
          <w:rFonts w:eastAsia="Guttman Hodes"/>
          <w:rtl/>
        </w:rPr>
        <w:t xml:space="preserve"> </w:t>
      </w:r>
      <w:r w:rsidRPr="00C23F98">
        <w:rPr>
          <w:rStyle w:val="af7"/>
          <w:rFonts w:eastAsia="Guttman Hodes" w:hint="cs"/>
          <w:rtl/>
        </w:rPr>
        <w:t xml:space="preserve">(שער י"ז ח"ב ד"ה וה"ה) </w:t>
      </w:r>
      <w:r>
        <w:rPr>
          <w:rFonts w:hint="cs"/>
          <w:rtl/>
        </w:rPr>
        <w:t xml:space="preserve">על דברי </w:t>
      </w:r>
      <w:r w:rsidRPr="007D7251">
        <w:rPr>
          <w:rStyle w:val="af9"/>
          <w:rFonts w:hint="cs"/>
          <w:rtl/>
        </w:rPr>
        <w:t>המ"מ</w:t>
      </w:r>
      <w:r>
        <w:rPr>
          <w:rFonts w:hint="cs"/>
          <w:rtl/>
        </w:rPr>
        <w:t xml:space="preserve"> </w:t>
      </w:r>
      <w:r w:rsidRPr="007204DA">
        <w:rPr>
          <w:rStyle w:val="af7"/>
          <w:rFonts w:eastAsia="Guttman Hodes" w:hint="cs"/>
          <w:rtl/>
        </w:rPr>
        <w:t xml:space="preserve">(עי' אות </w:t>
      </w:r>
      <w:r w:rsidRPr="007204DA">
        <w:rPr>
          <w:rStyle w:val="af7"/>
          <w:rFonts w:eastAsia="Guttman Hodes"/>
          <w:rtl/>
        </w:rPr>
        <w:fldChar w:fldCharType="begin"/>
      </w:r>
      <w:r w:rsidRPr="007204DA">
        <w:rPr>
          <w:rStyle w:val="af7"/>
          <w:rFonts w:eastAsia="Guttman Hodes"/>
          <w:rtl/>
        </w:rPr>
        <w:instrText xml:space="preserve"> </w:instrText>
      </w:r>
      <w:r w:rsidRPr="007204DA">
        <w:rPr>
          <w:rStyle w:val="af7"/>
          <w:rFonts w:eastAsia="Guttman Hodes" w:hint="cs"/>
        </w:rPr>
        <w:instrText>REF</w:instrText>
      </w:r>
      <w:r w:rsidRPr="007204DA">
        <w:rPr>
          <w:rStyle w:val="af7"/>
          <w:rFonts w:eastAsia="Guttman Hodes" w:hint="cs"/>
          <w:rtl/>
        </w:rPr>
        <w:instrText xml:space="preserve"> _</w:instrText>
      </w:r>
      <w:r w:rsidRPr="007204DA">
        <w:rPr>
          <w:rStyle w:val="af7"/>
          <w:rFonts w:eastAsia="Guttman Hodes" w:hint="cs"/>
        </w:rPr>
        <w:instrText>Ref63240652 \r \h</w:instrText>
      </w:r>
      <w:r w:rsidRPr="007204DA">
        <w:rPr>
          <w:rStyle w:val="af7"/>
          <w:rFonts w:eastAsia="Guttman Hodes"/>
          <w:rtl/>
        </w:rPr>
        <w:instrText xml:space="preserve"> </w:instrText>
      </w:r>
      <w:r w:rsidRPr="007204DA">
        <w:rPr>
          <w:rStyle w:val="af7"/>
          <w:rFonts w:eastAsia="Guttman Hodes"/>
          <w:rtl/>
        </w:rPr>
      </w:r>
      <w:r w:rsidRPr="007204DA">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7204DA">
        <w:rPr>
          <w:rStyle w:val="af7"/>
          <w:rFonts w:eastAsia="Guttman Hodes"/>
          <w:rtl/>
        </w:rPr>
        <w:fldChar w:fldCharType="end"/>
      </w:r>
      <w:r>
        <w:rPr>
          <w:rFonts w:hint="cs"/>
          <w:rtl/>
        </w:rPr>
        <w:t xml:space="preserve"> בשם </w:t>
      </w:r>
      <w:r w:rsidRPr="00116D21">
        <w:rPr>
          <w:rStyle w:val="af9"/>
          <w:rFonts w:hint="cs"/>
          <w:rtl/>
        </w:rPr>
        <w:t>הרמב"ן</w:t>
      </w:r>
      <w:r w:rsidRPr="00116D21">
        <w:rPr>
          <w:rFonts w:hint="cs"/>
          <w:rtl/>
        </w:rPr>
        <w:t xml:space="preserve"> </w:t>
      </w:r>
      <w:r w:rsidRPr="00116D21">
        <w:rPr>
          <w:rStyle w:val="af9"/>
          <w:rFonts w:hint="cs"/>
          <w:rtl/>
        </w:rPr>
        <w:t>והרשב"א</w:t>
      </w:r>
      <w:r w:rsidRPr="00116D21">
        <w:rPr>
          <w:rFonts w:hint="cs"/>
          <w:rtl/>
        </w:rPr>
        <w:t xml:space="preserve"> </w:t>
      </w:r>
      <w:r w:rsidRPr="00F13BAF">
        <w:rPr>
          <w:rStyle w:val="af7"/>
          <w:rFonts w:eastAsia="Guttman Hodes" w:hint="cs"/>
          <w:rtl/>
        </w:rPr>
        <w:t xml:space="preserve">(עי' אות </w:t>
      </w:r>
      <w:r w:rsidRPr="00F13BAF">
        <w:rPr>
          <w:rStyle w:val="af7"/>
          <w:rFonts w:eastAsia="Guttman Hodes"/>
          <w:rtl/>
        </w:rPr>
        <w:fldChar w:fldCharType="begin"/>
      </w:r>
      <w:r w:rsidRPr="00F13BAF">
        <w:rPr>
          <w:rStyle w:val="af7"/>
          <w:rFonts w:eastAsia="Guttman Hodes"/>
          <w:rtl/>
        </w:rPr>
        <w:instrText xml:space="preserve"> </w:instrText>
      </w:r>
      <w:r w:rsidRPr="00F13BAF">
        <w:rPr>
          <w:rStyle w:val="af7"/>
          <w:rFonts w:eastAsia="Guttman Hodes" w:hint="cs"/>
        </w:rPr>
        <w:instrText>REF</w:instrText>
      </w:r>
      <w:r w:rsidRPr="00F13BAF">
        <w:rPr>
          <w:rStyle w:val="af7"/>
          <w:rFonts w:eastAsia="Guttman Hodes" w:hint="cs"/>
          <w:rtl/>
        </w:rPr>
        <w:instrText xml:space="preserve"> _</w:instrText>
      </w:r>
      <w:r w:rsidRPr="00F13BAF">
        <w:rPr>
          <w:rStyle w:val="af7"/>
          <w:rFonts w:eastAsia="Guttman Hodes" w:hint="cs"/>
        </w:rPr>
        <w:instrText>Ref62760907 \r \h</w:instrText>
      </w:r>
      <w:r w:rsidRPr="00F13BAF">
        <w:rPr>
          <w:rStyle w:val="af7"/>
          <w:rFonts w:eastAsia="Guttman Hodes"/>
          <w:rtl/>
        </w:rPr>
        <w:instrText xml:space="preserve"> </w:instrText>
      </w:r>
      <w:r w:rsidRPr="00F13BAF">
        <w:rPr>
          <w:rStyle w:val="af7"/>
          <w:rFonts w:eastAsia="Guttman Hodes"/>
          <w:rtl/>
        </w:rPr>
      </w:r>
      <w:r w:rsidRPr="00F13BAF">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F13BAF">
        <w:rPr>
          <w:rStyle w:val="af7"/>
          <w:rFonts w:eastAsia="Guttman Hodes"/>
          <w:rtl/>
        </w:rPr>
        <w:fldChar w:fldCharType="end"/>
      </w:r>
      <w:r w:rsidRPr="00116D21">
        <w:rPr>
          <w:rFonts w:hint="cs"/>
          <w:rtl/>
        </w:rPr>
        <w:t xml:space="preserve"> </w:t>
      </w:r>
      <w:r>
        <w:rPr>
          <w:rFonts w:hint="cs"/>
          <w:rtl/>
        </w:rPr>
        <w:t>דכתבו</w:t>
      </w:r>
      <w:r w:rsidRPr="00116D21">
        <w:rPr>
          <w:rFonts w:hint="cs"/>
          <w:rtl/>
        </w:rPr>
        <w:t xml:space="preserve"> </w:t>
      </w:r>
      <w:r>
        <w:rPr>
          <w:rFonts w:hint="cs"/>
          <w:rtl/>
        </w:rPr>
        <w:t>שבזמן ההודאה השטר לא היה מקוים, דא"כ בשעה שהודה לא היה לו כל מיגו, דהא הוא לא היה נאמן לומר שהשטר הוא שטר טוב, כיון שעדיין אינו מקוים, וא"כ היאך קיי"ל כרבה בארעא דהיכא דקיימא ארעא תיקום, והא הוא לא היה יכול לטעון כלל שהשטר הוא טוב, כיון שהמערער טוען לו שהשטר מזויף,</w:t>
      </w:r>
      <w:r w:rsidRPr="00240359">
        <w:rPr>
          <w:rFonts w:hint="cs"/>
          <w:rtl/>
        </w:rPr>
        <w:t xml:space="preserve"> </w:t>
      </w:r>
      <w:r>
        <w:rPr>
          <w:rFonts w:hint="cs"/>
          <w:rtl/>
        </w:rPr>
        <w:t xml:space="preserve">ועי' בדברי </w:t>
      </w:r>
      <w:r w:rsidRPr="009B2BD9">
        <w:rPr>
          <w:rStyle w:val="af9"/>
          <w:rFonts w:hint="cs"/>
          <w:rtl/>
        </w:rPr>
        <w:t>הרשב"א</w:t>
      </w:r>
      <w:r>
        <w:rPr>
          <w:rFonts w:hint="cs"/>
          <w:rtl/>
        </w:rPr>
        <w:t xml:space="preserve"> </w:t>
      </w:r>
      <w:r w:rsidRPr="009B2BD9">
        <w:rPr>
          <w:rStyle w:val="af7"/>
          <w:rFonts w:eastAsia="Guttman Hodes" w:hint="cs"/>
          <w:rtl/>
        </w:rPr>
        <w:t xml:space="preserve">(עי' אות </w:t>
      </w:r>
      <w:r w:rsidRPr="009B2BD9">
        <w:rPr>
          <w:rStyle w:val="af7"/>
          <w:rFonts w:eastAsia="Guttman Hodes"/>
          <w:rtl/>
        </w:rPr>
        <w:fldChar w:fldCharType="begin"/>
      </w:r>
      <w:r w:rsidRPr="009B2BD9">
        <w:rPr>
          <w:rStyle w:val="af7"/>
          <w:rFonts w:eastAsia="Guttman Hodes"/>
          <w:rtl/>
        </w:rPr>
        <w:instrText xml:space="preserve"> </w:instrText>
      </w:r>
      <w:r w:rsidRPr="009B2BD9">
        <w:rPr>
          <w:rStyle w:val="af7"/>
          <w:rFonts w:eastAsia="Guttman Hodes" w:hint="cs"/>
        </w:rPr>
        <w:instrText>REF</w:instrText>
      </w:r>
      <w:r w:rsidRPr="009B2BD9">
        <w:rPr>
          <w:rStyle w:val="af7"/>
          <w:rFonts w:eastAsia="Guttman Hodes" w:hint="cs"/>
          <w:rtl/>
        </w:rPr>
        <w:instrText xml:space="preserve"> _</w:instrText>
      </w:r>
      <w:r w:rsidRPr="009B2BD9">
        <w:rPr>
          <w:rStyle w:val="af7"/>
          <w:rFonts w:eastAsia="Guttman Hodes" w:hint="cs"/>
        </w:rPr>
        <w:instrText>Ref63069433 \r \h</w:instrText>
      </w:r>
      <w:r w:rsidRPr="009B2BD9">
        <w:rPr>
          <w:rStyle w:val="af7"/>
          <w:rFonts w:eastAsia="Guttman Hodes"/>
          <w:rtl/>
        </w:rPr>
        <w:instrText xml:space="preserve"> </w:instrText>
      </w:r>
      <w:r w:rsidRPr="009B2BD9">
        <w:rPr>
          <w:rStyle w:val="af7"/>
          <w:rFonts w:eastAsia="Guttman Hodes"/>
          <w:rtl/>
        </w:rPr>
      </w:r>
      <w:r w:rsidRPr="009B2BD9">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9B2BD9">
        <w:rPr>
          <w:rStyle w:val="af7"/>
          <w:rFonts w:eastAsia="Guttman Hodes"/>
          <w:rtl/>
        </w:rPr>
        <w:fldChar w:fldCharType="end"/>
      </w:r>
      <w:r>
        <w:rPr>
          <w:rFonts w:hint="cs"/>
          <w:rtl/>
        </w:rPr>
        <w:t>.</w:t>
      </w:r>
      <w:r w:rsidRPr="009B2BD9">
        <w:rPr>
          <w:rStyle w:val="afb"/>
          <w:rFonts w:hint="cs"/>
          <w:rtl/>
        </w:rPr>
        <w:t xml:space="preserve"> [</w:t>
      </w:r>
      <w:r>
        <w:rPr>
          <w:rStyle w:val="affa"/>
          <w:rFonts w:hint="cs"/>
          <w:rtl/>
        </w:rPr>
        <w:t>ה</w:t>
      </w:r>
      <w:r w:rsidRPr="009B2BD9">
        <w:rPr>
          <w:rStyle w:val="affa"/>
          <w:rFonts w:hint="cs"/>
          <w:rtl/>
        </w:rPr>
        <w:t>גידולי תרומה</w:t>
      </w:r>
      <w:r w:rsidRPr="009B2BD9">
        <w:rPr>
          <w:rStyle w:val="afb"/>
          <w:rFonts w:hint="cs"/>
          <w:rtl/>
        </w:rPr>
        <w:t xml:space="preserve"> דהביא את דברי </w:t>
      </w:r>
      <w:r w:rsidRPr="009B2BD9">
        <w:rPr>
          <w:rStyle w:val="affa"/>
          <w:rFonts w:hint="cs"/>
          <w:rtl/>
        </w:rPr>
        <w:t>המ"מ</w:t>
      </w:r>
      <w:r w:rsidRPr="009B2BD9">
        <w:rPr>
          <w:rStyle w:val="afb"/>
          <w:rFonts w:hint="cs"/>
          <w:rtl/>
        </w:rPr>
        <w:t xml:space="preserve"> בשם </w:t>
      </w:r>
      <w:r w:rsidRPr="009B2BD9">
        <w:rPr>
          <w:rStyle w:val="affa"/>
          <w:rFonts w:hint="cs"/>
          <w:rtl/>
        </w:rPr>
        <w:t>הרמב"ן</w:t>
      </w:r>
      <w:r w:rsidRPr="009B2BD9">
        <w:rPr>
          <w:rFonts w:hint="cs"/>
          <w:rtl/>
        </w:rPr>
        <w:t xml:space="preserve"> </w:t>
      </w:r>
      <w:r>
        <w:rPr>
          <w:rStyle w:val="affa"/>
          <w:rFonts w:hint="cs"/>
          <w:rtl/>
        </w:rPr>
        <w:t>והרשב"א</w:t>
      </w:r>
      <w:r w:rsidRPr="009B2BD9">
        <w:rPr>
          <w:rStyle w:val="afb"/>
          <w:rFonts w:hint="cs"/>
          <w:rtl/>
        </w:rPr>
        <w:t xml:space="preserve">, ונראה שלא ראה את דברי </w:t>
      </w:r>
      <w:r w:rsidRPr="009B2BD9">
        <w:rPr>
          <w:rStyle w:val="affa"/>
          <w:rFonts w:hint="cs"/>
          <w:rtl/>
        </w:rPr>
        <w:t xml:space="preserve">הרמב"ן </w:t>
      </w:r>
      <w:r>
        <w:rPr>
          <w:rStyle w:val="affa"/>
          <w:rFonts w:hint="cs"/>
          <w:rtl/>
        </w:rPr>
        <w:t xml:space="preserve">והרשב"א </w:t>
      </w:r>
      <w:r w:rsidRPr="009B2BD9">
        <w:rPr>
          <w:rStyle w:val="affa"/>
          <w:rFonts w:hint="cs"/>
          <w:rtl/>
        </w:rPr>
        <w:t>בסוגיין</w:t>
      </w:r>
      <w:r w:rsidRPr="009B2BD9">
        <w:rPr>
          <w:rStyle w:val="afb"/>
          <w:rFonts w:hint="cs"/>
          <w:rtl/>
        </w:rPr>
        <w:t>].</w:t>
      </w:r>
      <w:r>
        <w:rPr>
          <w:rFonts w:hint="cs"/>
          <w:rtl/>
        </w:rPr>
        <w:t xml:space="preserve">  </w:t>
      </w:r>
    </w:p>
    <w:p w:rsidR="003B7617" w:rsidRDefault="003B7617" w:rsidP="003B7617">
      <w:pPr>
        <w:pStyle w:val="a3"/>
        <w:rPr>
          <w:rtl/>
        </w:rPr>
      </w:pPr>
      <w:bookmarkStart w:id="14014" w:name="_Toc63247803"/>
      <w:r>
        <w:rPr>
          <w:rFonts w:hint="cs"/>
          <w:rtl/>
        </w:rPr>
        <w:t>דברי הגידו"ת דלרמב"ן נאמן במיגו להוציא וא"כ כשאינו מקוים אינו נאמן אף במיגו להחזיק</w:t>
      </w:r>
      <w:bookmarkEnd w:id="14014"/>
    </w:p>
    <w:p w:rsidR="003B7617" w:rsidRDefault="003B7617" w:rsidP="007E4E81">
      <w:pPr>
        <w:pStyle w:val="a0"/>
        <w:rPr>
          <w:rtl/>
        </w:rPr>
      </w:pPr>
      <w:bookmarkStart w:id="14015" w:name="_Ref63241169"/>
      <w:r>
        <w:rPr>
          <w:rFonts w:hint="cs"/>
          <w:rtl/>
        </w:rPr>
        <w:t xml:space="preserve">והוסיף </w:t>
      </w:r>
      <w:r w:rsidRPr="00326C22">
        <w:rPr>
          <w:rStyle w:val="af9"/>
          <w:rFonts w:hint="cs"/>
          <w:rtl/>
        </w:rPr>
        <w:t>הגידולי</w:t>
      </w:r>
      <w:r>
        <w:rPr>
          <w:rFonts w:hint="cs"/>
          <w:rtl/>
        </w:rPr>
        <w:t xml:space="preserve"> </w:t>
      </w:r>
      <w:r w:rsidRPr="00326C22">
        <w:rPr>
          <w:rStyle w:val="af9"/>
          <w:rFonts w:hint="cs"/>
          <w:rtl/>
        </w:rPr>
        <w:t>תרומה</w:t>
      </w:r>
      <w:r>
        <w:rPr>
          <w:rFonts w:hint="cs"/>
          <w:rtl/>
        </w:rPr>
        <w:t xml:space="preserve"> דהרי </w:t>
      </w:r>
      <w:r w:rsidRPr="00326C22">
        <w:rPr>
          <w:rStyle w:val="af9"/>
          <w:rFonts w:hint="cs"/>
          <w:rtl/>
        </w:rPr>
        <w:t>הרמב"ן והרשב"א</w:t>
      </w:r>
      <w:r>
        <w:rPr>
          <w:rFonts w:hint="cs"/>
          <w:rtl/>
        </w:rPr>
        <w:t xml:space="preserve"> ס"ל דאין חילוק בין אם הוא מיגו להוציא, לבין מיגו להחזיק, דהא כתבו </w:t>
      </w:r>
      <w:r w:rsidRPr="00116D21">
        <w:rPr>
          <w:rStyle w:val="af9"/>
          <w:rFonts w:hint="cs"/>
          <w:rtl/>
        </w:rPr>
        <w:t>הרמב"ן</w:t>
      </w:r>
      <w:r w:rsidRPr="00116D21">
        <w:rPr>
          <w:rFonts w:hint="cs"/>
          <w:rtl/>
        </w:rPr>
        <w:t xml:space="preserve"> </w:t>
      </w:r>
      <w:r w:rsidRPr="00116D21">
        <w:rPr>
          <w:rStyle w:val="af9"/>
          <w:rFonts w:hint="cs"/>
          <w:rtl/>
        </w:rPr>
        <w:t>והרשב"א</w:t>
      </w:r>
      <w:r w:rsidRPr="00116D21">
        <w:rPr>
          <w:rFonts w:hint="cs"/>
          <w:rtl/>
        </w:rPr>
        <w:t xml:space="preserve"> </w:t>
      </w:r>
      <w:r w:rsidRPr="00F13BAF">
        <w:rPr>
          <w:rStyle w:val="af7"/>
          <w:rFonts w:eastAsia="Guttman Hodes" w:hint="cs"/>
          <w:rtl/>
        </w:rPr>
        <w:t xml:space="preserve">(עי' אות </w:t>
      </w:r>
      <w:r w:rsidRPr="00F13BAF">
        <w:rPr>
          <w:rStyle w:val="af7"/>
          <w:rFonts w:eastAsia="Guttman Hodes"/>
          <w:rtl/>
        </w:rPr>
        <w:fldChar w:fldCharType="begin"/>
      </w:r>
      <w:r w:rsidRPr="00F13BAF">
        <w:rPr>
          <w:rStyle w:val="af7"/>
          <w:rFonts w:eastAsia="Guttman Hodes"/>
          <w:rtl/>
        </w:rPr>
        <w:instrText xml:space="preserve"> </w:instrText>
      </w:r>
      <w:r w:rsidRPr="00F13BAF">
        <w:rPr>
          <w:rStyle w:val="af7"/>
          <w:rFonts w:eastAsia="Guttman Hodes" w:hint="cs"/>
        </w:rPr>
        <w:instrText>REF</w:instrText>
      </w:r>
      <w:r w:rsidRPr="00F13BAF">
        <w:rPr>
          <w:rStyle w:val="af7"/>
          <w:rFonts w:eastAsia="Guttman Hodes" w:hint="cs"/>
          <w:rtl/>
        </w:rPr>
        <w:instrText xml:space="preserve"> _</w:instrText>
      </w:r>
      <w:r w:rsidRPr="00F13BAF">
        <w:rPr>
          <w:rStyle w:val="af7"/>
          <w:rFonts w:eastAsia="Guttman Hodes" w:hint="cs"/>
        </w:rPr>
        <w:instrText>Ref62760907 \r \h</w:instrText>
      </w:r>
      <w:r w:rsidRPr="00F13BAF">
        <w:rPr>
          <w:rStyle w:val="af7"/>
          <w:rFonts w:eastAsia="Guttman Hodes"/>
          <w:rtl/>
        </w:rPr>
        <w:instrText xml:space="preserve"> </w:instrText>
      </w:r>
      <w:r w:rsidRPr="00F13BAF">
        <w:rPr>
          <w:rStyle w:val="af7"/>
          <w:rFonts w:eastAsia="Guttman Hodes"/>
          <w:rtl/>
        </w:rPr>
      </w:r>
      <w:r w:rsidRPr="00F13BAF">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F13BAF">
        <w:rPr>
          <w:rStyle w:val="af7"/>
          <w:rFonts w:eastAsia="Guttman Hodes"/>
          <w:rtl/>
        </w:rPr>
        <w:fldChar w:fldCharType="end"/>
      </w:r>
      <w:r w:rsidRPr="00116D21">
        <w:rPr>
          <w:rFonts w:hint="cs"/>
          <w:rtl/>
        </w:rPr>
        <w:t xml:space="preserve"> </w:t>
      </w:r>
      <w:r>
        <w:rPr>
          <w:rFonts w:hint="cs"/>
          <w:rtl/>
        </w:rPr>
        <w:t>שאם בתחילה הוא קיים את השטר, ואח"כ הודה הוא נאמן במיגו, אף לגבות בשטר ולהוציא מהמוחזק, וא"כ מוכח דבמקום שאין לו מיגו אינו נאמן, בין במיגו להוציא ובין במיגו לקיים, וא"כ כל שלא היה לו שטר מקוים בתחילה, לא היה לו מיגו ואמאי הוא נאמן.</w:t>
      </w:r>
      <w:bookmarkEnd w:id="14015"/>
    </w:p>
    <w:p w:rsidR="003B7617" w:rsidRDefault="003B7617" w:rsidP="003B7617">
      <w:pPr>
        <w:pStyle w:val="a3"/>
        <w:rPr>
          <w:rtl/>
        </w:rPr>
      </w:pPr>
      <w:bookmarkStart w:id="14016" w:name="_Toc63247804"/>
      <w:r>
        <w:rPr>
          <w:rFonts w:hint="cs"/>
          <w:rtl/>
        </w:rPr>
        <w:t>קושית הגידו"ת דאמאי קיי"ל כרב יוסף בזוזי הא אינו נאמן דאין לו מיגו אף אם היה מוחזק</w:t>
      </w:r>
      <w:bookmarkEnd w:id="14016"/>
    </w:p>
    <w:p w:rsidR="003B7617" w:rsidRDefault="003B7617" w:rsidP="007E4E81">
      <w:pPr>
        <w:pStyle w:val="a0"/>
        <w:rPr>
          <w:rtl/>
        </w:rPr>
      </w:pPr>
      <w:r>
        <w:rPr>
          <w:rFonts w:hint="cs"/>
          <w:rtl/>
        </w:rPr>
        <w:t xml:space="preserve">ועוד הקשה </w:t>
      </w:r>
      <w:r w:rsidRPr="00326C22">
        <w:rPr>
          <w:rStyle w:val="af9"/>
          <w:rFonts w:hint="cs"/>
          <w:rtl/>
        </w:rPr>
        <w:t>הגידולי</w:t>
      </w:r>
      <w:r>
        <w:rPr>
          <w:rFonts w:hint="cs"/>
          <w:rtl/>
        </w:rPr>
        <w:t xml:space="preserve"> </w:t>
      </w:r>
      <w:r w:rsidRPr="00326C22">
        <w:rPr>
          <w:rStyle w:val="af9"/>
          <w:rFonts w:hint="cs"/>
          <w:rtl/>
        </w:rPr>
        <w:t>תרומה</w:t>
      </w:r>
      <w:r>
        <w:rPr>
          <w:rFonts w:hint="cs"/>
          <w:rtl/>
        </w:rPr>
        <w:t xml:space="preserve"> אמאי אמר רב אידי דהלכתא כרב יוסף בזוזי, דהיכא דקיימי לוקמו, והרי אינו נאמן בשטר לא מחמת שהוא מוחזק במעות, אלא כיון שהודה בתחילה ואין לו מיגו,</w:t>
      </w:r>
      <w:r w:rsidRPr="00240359">
        <w:rPr>
          <w:rFonts w:hint="cs"/>
          <w:rtl/>
        </w:rPr>
        <w:t xml:space="preserve"> </w:t>
      </w:r>
      <w:r>
        <w:rPr>
          <w:rFonts w:hint="cs"/>
          <w:rtl/>
        </w:rPr>
        <w:t xml:space="preserve">ועי' בדברי </w:t>
      </w:r>
      <w:r w:rsidRPr="009B2BD9">
        <w:rPr>
          <w:rStyle w:val="af9"/>
          <w:rFonts w:hint="cs"/>
          <w:rtl/>
        </w:rPr>
        <w:t>הרשב"א</w:t>
      </w:r>
      <w:r>
        <w:rPr>
          <w:rFonts w:hint="cs"/>
          <w:rtl/>
        </w:rPr>
        <w:t xml:space="preserve"> </w:t>
      </w:r>
      <w:r w:rsidRPr="009B2BD9">
        <w:rPr>
          <w:rStyle w:val="af7"/>
          <w:rFonts w:eastAsia="Guttman Hodes" w:hint="cs"/>
          <w:rtl/>
        </w:rPr>
        <w:t xml:space="preserve">(עי' אות </w:t>
      </w:r>
      <w:r w:rsidRPr="009B2BD9">
        <w:rPr>
          <w:rStyle w:val="af7"/>
          <w:rFonts w:eastAsia="Guttman Hodes"/>
          <w:rtl/>
        </w:rPr>
        <w:fldChar w:fldCharType="begin"/>
      </w:r>
      <w:r w:rsidRPr="009B2BD9">
        <w:rPr>
          <w:rStyle w:val="af7"/>
          <w:rFonts w:eastAsia="Guttman Hodes"/>
          <w:rtl/>
        </w:rPr>
        <w:instrText xml:space="preserve"> </w:instrText>
      </w:r>
      <w:r w:rsidRPr="009B2BD9">
        <w:rPr>
          <w:rStyle w:val="af7"/>
          <w:rFonts w:eastAsia="Guttman Hodes" w:hint="cs"/>
        </w:rPr>
        <w:instrText>REF</w:instrText>
      </w:r>
      <w:r w:rsidRPr="009B2BD9">
        <w:rPr>
          <w:rStyle w:val="af7"/>
          <w:rFonts w:eastAsia="Guttman Hodes" w:hint="cs"/>
          <w:rtl/>
        </w:rPr>
        <w:instrText xml:space="preserve"> _</w:instrText>
      </w:r>
      <w:r w:rsidRPr="009B2BD9">
        <w:rPr>
          <w:rStyle w:val="af7"/>
          <w:rFonts w:eastAsia="Guttman Hodes" w:hint="cs"/>
        </w:rPr>
        <w:instrText>Ref63069433 \r \h</w:instrText>
      </w:r>
      <w:r w:rsidRPr="009B2BD9">
        <w:rPr>
          <w:rStyle w:val="af7"/>
          <w:rFonts w:eastAsia="Guttman Hodes"/>
          <w:rtl/>
        </w:rPr>
        <w:instrText xml:space="preserve"> </w:instrText>
      </w:r>
      <w:r w:rsidRPr="009B2BD9">
        <w:rPr>
          <w:rStyle w:val="af7"/>
          <w:rFonts w:eastAsia="Guttman Hodes"/>
          <w:rtl/>
        </w:rPr>
      </w:r>
      <w:r w:rsidRPr="009B2BD9">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9B2BD9">
        <w:rPr>
          <w:rStyle w:val="af7"/>
          <w:rFonts w:eastAsia="Guttman Hodes"/>
          <w:rtl/>
        </w:rPr>
        <w:fldChar w:fldCharType="end"/>
      </w:r>
      <w:r>
        <w:rPr>
          <w:rFonts w:hint="cs"/>
          <w:rtl/>
        </w:rPr>
        <w:t>.</w:t>
      </w:r>
      <w:r w:rsidRPr="009B2BD9">
        <w:rPr>
          <w:rStyle w:val="afb"/>
          <w:rFonts w:hint="cs"/>
          <w:rtl/>
        </w:rPr>
        <w:t xml:space="preserve"> [</w:t>
      </w:r>
      <w:r>
        <w:rPr>
          <w:rStyle w:val="affa"/>
          <w:rFonts w:hint="cs"/>
          <w:rtl/>
        </w:rPr>
        <w:t>ה</w:t>
      </w:r>
      <w:r w:rsidRPr="009B2BD9">
        <w:rPr>
          <w:rStyle w:val="affa"/>
          <w:rFonts w:hint="cs"/>
          <w:rtl/>
        </w:rPr>
        <w:t>גידולי תרומה</w:t>
      </w:r>
      <w:r w:rsidRPr="009B2BD9">
        <w:rPr>
          <w:rStyle w:val="afb"/>
          <w:rFonts w:hint="cs"/>
          <w:rtl/>
        </w:rPr>
        <w:t xml:space="preserve"> דהביא את דברי </w:t>
      </w:r>
      <w:r w:rsidRPr="009B2BD9">
        <w:rPr>
          <w:rStyle w:val="affa"/>
          <w:rFonts w:hint="cs"/>
          <w:rtl/>
        </w:rPr>
        <w:t>המ"מ</w:t>
      </w:r>
      <w:r w:rsidRPr="009B2BD9">
        <w:rPr>
          <w:rStyle w:val="afb"/>
          <w:rFonts w:hint="cs"/>
          <w:rtl/>
        </w:rPr>
        <w:t xml:space="preserve"> בשם </w:t>
      </w:r>
      <w:r w:rsidRPr="009B2BD9">
        <w:rPr>
          <w:rStyle w:val="affa"/>
          <w:rFonts w:hint="cs"/>
          <w:rtl/>
        </w:rPr>
        <w:t>הרמב"ן</w:t>
      </w:r>
      <w:r w:rsidRPr="009B2BD9">
        <w:rPr>
          <w:rFonts w:hint="cs"/>
          <w:rtl/>
        </w:rPr>
        <w:t xml:space="preserve"> </w:t>
      </w:r>
      <w:r>
        <w:rPr>
          <w:rStyle w:val="affa"/>
          <w:rFonts w:hint="cs"/>
          <w:rtl/>
        </w:rPr>
        <w:t>והרשב"א</w:t>
      </w:r>
      <w:r w:rsidRPr="009B2BD9">
        <w:rPr>
          <w:rStyle w:val="afb"/>
          <w:rFonts w:hint="cs"/>
          <w:rtl/>
        </w:rPr>
        <w:t xml:space="preserve">, ונראה שלא ראה את דברי </w:t>
      </w:r>
      <w:r w:rsidRPr="009B2BD9">
        <w:rPr>
          <w:rStyle w:val="affa"/>
          <w:rFonts w:hint="cs"/>
          <w:rtl/>
        </w:rPr>
        <w:t xml:space="preserve">הרמב"ן </w:t>
      </w:r>
      <w:r>
        <w:rPr>
          <w:rStyle w:val="affa"/>
          <w:rFonts w:hint="cs"/>
          <w:rtl/>
        </w:rPr>
        <w:t xml:space="preserve">והרשב"א </w:t>
      </w:r>
      <w:r w:rsidRPr="009B2BD9">
        <w:rPr>
          <w:rStyle w:val="affa"/>
          <w:rFonts w:hint="cs"/>
          <w:rtl/>
        </w:rPr>
        <w:t>בסוגיין</w:t>
      </w:r>
      <w:r w:rsidRPr="009B2BD9">
        <w:rPr>
          <w:rStyle w:val="afb"/>
          <w:rFonts w:hint="cs"/>
          <w:rtl/>
        </w:rPr>
        <w:t>].</w:t>
      </w:r>
      <w:r>
        <w:rPr>
          <w:rFonts w:hint="cs"/>
          <w:rtl/>
        </w:rPr>
        <w:t xml:space="preserve">  </w:t>
      </w:r>
    </w:p>
    <w:p w:rsidR="003B7617" w:rsidRDefault="003B7617" w:rsidP="003B7617">
      <w:pPr>
        <w:pStyle w:val="a3"/>
        <w:rPr>
          <w:rtl/>
        </w:rPr>
      </w:pPr>
      <w:bookmarkStart w:id="14017" w:name="_Toc63247805"/>
      <w:r>
        <w:rPr>
          <w:rFonts w:hint="cs"/>
          <w:rtl/>
        </w:rPr>
        <w:t>קושית הגידו"ת דבפוחתת כתובתה משמע דאף במקוימת לא נאמנת במזויף אף שיש לה מיגו</w:t>
      </w:r>
      <w:bookmarkEnd w:id="14017"/>
    </w:p>
    <w:p w:rsidR="003B7617" w:rsidRDefault="003B7617" w:rsidP="007E4E81">
      <w:pPr>
        <w:pStyle w:val="a0"/>
        <w:rPr>
          <w:rtl/>
        </w:rPr>
      </w:pPr>
      <w:bookmarkStart w:id="14018" w:name="_Ref63241389"/>
      <w:r>
        <w:rPr>
          <w:rFonts w:hint="cs"/>
          <w:rtl/>
        </w:rPr>
        <w:t xml:space="preserve">ועוד הקשה </w:t>
      </w:r>
      <w:r w:rsidRPr="00326C22">
        <w:rPr>
          <w:rStyle w:val="af9"/>
          <w:rFonts w:hint="cs"/>
          <w:rtl/>
        </w:rPr>
        <w:t>הגידולי</w:t>
      </w:r>
      <w:r>
        <w:rPr>
          <w:rFonts w:hint="cs"/>
          <w:rtl/>
        </w:rPr>
        <w:t xml:space="preserve"> </w:t>
      </w:r>
      <w:r w:rsidRPr="00326C22">
        <w:rPr>
          <w:rStyle w:val="af9"/>
          <w:rFonts w:hint="cs"/>
          <w:rtl/>
        </w:rPr>
        <w:t>תרומה</w:t>
      </w:r>
      <w:r>
        <w:rPr>
          <w:rFonts w:hint="cs"/>
          <w:rtl/>
        </w:rPr>
        <w:t xml:space="preserve"> היאך ס"ל </w:t>
      </w:r>
      <w:r w:rsidRPr="00326C22">
        <w:rPr>
          <w:rStyle w:val="af9"/>
          <w:rFonts w:hint="cs"/>
          <w:rtl/>
        </w:rPr>
        <w:t>להרמב"ן והרשב"א</w:t>
      </w:r>
      <w:r>
        <w:rPr>
          <w:rFonts w:hint="cs"/>
          <w:rtl/>
        </w:rPr>
        <w:t xml:space="preserve"> דאם היה השטר מקוים הוא </w:t>
      </w:r>
      <w:r w:rsidRPr="0090765E">
        <w:rPr>
          <w:rFonts w:hint="cs"/>
          <w:rtl/>
        </w:rPr>
        <w:t xml:space="preserve">נאמן במיגו, אעפ"י שבאמת השטר הוא חספא בעלמא, ונאמן במיגו להוציא, [וכבר הקשה כן </w:t>
      </w:r>
      <w:r w:rsidRPr="0090765E">
        <w:rPr>
          <w:rStyle w:val="af9"/>
          <w:rFonts w:hint="cs"/>
          <w:rtl/>
        </w:rPr>
        <w:t>הרמב"ן</w:t>
      </w:r>
      <w:r w:rsidRPr="0090765E">
        <w:rPr>
          <w:rFonts w:hint="cs"/>
          <w:rtl/>
        </w:rPr>
        <w:t xml:space="preserve"> </w:t>
      </w:r>
      <w:r w:rsidRPr="004B1C4E">
        <w:rPr>
          <w:rStyle w:val="af7"/>
          <w:rFonts w:eastAsia="Guttman Hodes" w:hint="cs"/>
          <w:rtl/>
        </w:rPr>
        <w:t xml:space="preserve">(עי' אות </w:t>
      </w:r>
      <w:r w:rsidRPr="004B1C4E">
        <w:rPr>
          <w:rStyle w:val="af7"/>
          <w:rFonts w:eastAsia="Guttman Hodes"/>
          <w:rtl/>
        </w:rPr>
        <w:fldChar w:fldCharType="begin"/>
      </w:r>
      <w:r w:rsidRPr="004B1C4E">
        <w:rPr>
          <w:rStyle w:val="af7"/>
          <w:rFonts w:eastAsia="Guttman Hodes"/>
          <w:rtl/>
        </w:rPr>
        <w:instrText xml:space="preserve"> </w:instrText>
      </w:r>
      <w:r w:rsidRPr="004B1C4E">
        <w:rPr>
          <w:rStyle w:val="af7"/>
          <w:rFonts w:eastAsia="Guttman Hodes" w:hint="cs"/>
        </w:rPr>
        <w:instrText>REF</w:instrText>
      </w:r>
      <w:r w:rsidRPr="004B1C4E">
        <w:rPr>
          <w:rStyle w:val="af7"/>
          <w:rFonts w:eastAsia="Guttman Hodes" w:hint="cs"/>
          <w:rtl/>
        </w:rPr>
        <w:instrText xml:space="preserve"> _</w:instrText>
      </w:r>
      <w:r w:rsidRPr="004B1C4E">
        <w:rPr>
          <w:rStyle w:val="af7"/>
          <w:rFonts w:eastAsia="Guttman Hodes" w:hint="cs"/>
        </w:rPr>
        <w:instrText>Ref63241360 \r \h</w:instrText>
      </w:r>
      <w:r w:rsidRPr="004B1C4E">
        <w:rPr>
          <w:rStyle w:val="af7"/>
          <w:rFonts w:eastAsia="Guttman Hodes"/>
          <w:rtl/>
        </w:rPr>
        <w:instrText xml:space="preserve"> </w:instrText>
      </w:r>
      <w:r w:rsidRPr="004B1C4E">
        <w:rPr>
          <w:rStyle w:val="af7"/>
          <w:rFonts w:eastAsia="Guttman Hodes"/>
          <w:rtl/>
        </w:rPr>
      </w:r>
      <w:r w:rsidRPr="004B1C4E">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4B1C4E">
        <w:rPr>
          <w:rStyle w:val="af7"/>
          <w:rFonts w:eastAsia="Guttman Hodes"/>
          <w:rtl/>
        </w:rPr>
        <w:fldChar w:fldCharType="end"/>
      </w:r>
      <w:r w:rsidRPr="0090765E">
        <w:rPr>
          <w:rFonts w:hint="cs"/>
          <w:rtl/>
        </w:rPr>
        <w:t xml:space="preserve"> בעצמו], הא איתא בגמ' בכתובות </w:t>
      </w:r>
      <w:r w:rsidRPr="00733D97">
        <w:rPr>
          <w:rStyle w:val="af7"/>
          <w:rFonts w:eastAsia="Guttman Rashi" w:hint="cs"/>
          <w:rtl/>
        </w:rPr>
        <w:t>(פז:)</w:t>
      </w:r>
      <w:r w:rsidRPr="00733D97">
        <w:rPr>
          <w:rStyle w:val="af7"/>
          <w:rFonts w:eastAsia="Guttman Hodes" w:hint="cs"/>
          <w:rtl/>
        </w:rPr>
        <w:t xml:space="preserve"> </w:t>
      </w:r>
      <w:r w:rsidRPr="0090765E">
        <w:rPr>
          <w:rFonts w:hint="cs"/>
          <w:rtl/>
        </w:rPr>
        <w:t>דאשה שכתובתה אלף זוז, וטוען הבעל שהתקבלה כתובתה, והיא אומרת שלא התקבלה אך אומרת שהכתובה הייתה מנה</w:t>
      </w:r>
      <w:r>
        <w:rPr>
          <w:rFonts w:hint="cs"/>
          <w:rtl/>
        </w:rPr>
        <w:t xml:space="preserve">, דמקשה הגמ' דהיאך היא יכולה לגבות את המנה, הא היא מודה שהכתובה היא חספא בעלמא, </w:t>
      </w:r>
      <w:r>
        <w:rPr>
          <w:rFonts w:hint="cs"/>
          <w:rtl/>
        </w:rPr>
        <w:lastRenderedPageBreak/>
        <w:t xml:space="preserve">ותירצה הגמ' דאומרת שהכתובה הייתה באמנה, והאמין לה שלא תתבע ממנו יותר ממנה, וכתב </w:t>
      </w:r>
      <w:r w:rsidRPr="00326C22">
        <w:rPr>
          <w:rStyle w:val="af9"/>
          <w:rFonts w:hint="cs"/>
          <w:rtl/>
        </w:rPr>
        <w:t>הגידולי</w:t>
      </w:r>
      <w:r>
        <w:rPr>
          <w:rFonts w:hint="cs"/>
          <w:rtl/>
        </w:rPr>
        <w:t xml:space="preserve"> </w:t>
      </w:r>
      <w:r w:rsidRPr="00326C22">
        <w:rPr>
          <w:rStyle w:val="af9"/>
          <w:rFonts w:hint="cs"/>
          <w:rtl/>
        </w:rPr>
        <w:t>תרומה</w:t>
      </w:r>
      <w:r>
        <w:rPr>
          <w:rFonts w:hint="cs"/>
          <w:rtl/>
        </w:rPr>
        <w:t xml:space="preserve"> דאי איירי כשהכתובה מקויימת א"כ מה מקשה הגמ' דהיא חספא בעלמא, והוצרכה להעמיד בכתובה שנכתבה באמנה, והא כתב </w:t>
      </w:r>
      <w:r w:rsidRPr="00326C22">
        <w:rPr>
          <w:rStyle w:val="af9"/>
          <w:rFonts w:hint="cs"/>
          <w:rtl/>
        </w:rPr>
        <w:t>הרי"ף בכתובות</w:t>
      </w:r>
      <w:r>
        <w:rPr>
          <w:rFonts w:hint="cs"/>
          <w:rtl/>
        </w:rPr>
        <w:t xml:space="preserve"> </w:t>
      </w:r>
      <w:r w:rsidRPr="007204DA">
        <w:rPr>
          <w:rStyle w:val="af7"/>
          <w:rFonts w:eastAsia="Guttman Hodes" w:hint="cs"/>
          <w:rtl/>
        </w:rPr>
        <w:t>(מח. מדה"ר)</w:t>
      </w:r>
      <w:r>
        <w:rPr>
          <w:rFonts w:hint="cs"/>
          <w:rtl/>
        </w:rPr>
        <w:t xml:space="preserve"> דמשמע שאם הודתה האשה שהכתובה מזוייפת לא הייתה גובה בה, כיון שהיא כחספא בעלמא, והקשה </w:t>
      </w:r>
      <w:r w:rsidRPr="00326C22">
        <w:rPr>
          <w:rStyle w:val="af9"/>
          <w:rFonts w:hint="cs"/>
          <w:rtl/>
        </w:rPr>
        <w:t>הגידולי תרומה</w:t>
      </w:r>
      <w:r>
        <w:rPr>
          <w:rFonts w:hint="cs"/>
          <w:rtl/>
        </w:rPr>
        <w:t xml:space="preserve"> דלברי </w:t>
      </w:r>
      <w:r w:rsidRPr="007D7251">
        <w:rPr>
          <w:rStyle w:val="af9"/>
          <w:rFonts w:hint="cs"/>
          <w:rtl/>
        </w:rPr>
        <w:t>המ"מ</w:t>
      </w:r>
      <w:r>
        <w:rPr>
          <w:rFonts w:hint="cs"/>
          <w:rtl/>
        </w:rPr>
        <w:t xml:space="preserve"> </w:t>
      </w:r>
      <w:r w:rsidRPr="007204DA">
        <w:rPr>
          <w:rStyle w:val="af7"/>
          <w:rFonts w:eastAsia="Guttman Hodes" w:hint="cs"/>
          <w:rtl/>
        </w:rPr>
        <w:t xml:space="preserve">(עי' אות </w:t>
      </w:r>
      <w:r w:rsidRPr="007204DA">
        <w:rPr>
          <w:rStyle w:val="af7"/>
          <w:rFonts w:eastAsia="Guttman Hodes"/>
          <w:rtl/>
        </w:rPr>
        <w:fldChar w:fldCharType="begin"/>
      </w:r>
      <w:r w:rsidRPr="007204DA">
        <w:rPr>
          <w:rStyle w:val="af7"/>
          <w:rFonts w:eastAsia="Guttman Hodes"/>
          <w:rtl/>
        </w:rPr>
        <w:instrText xml:space="preserve"> </w:instrText>
      </w:r>
      <w:r w:rsidRPr="007204DA">
        <w:rPr>
          <w:rStyle w:val="af7"/>
          <w:rFonts w:eastAsia="Guttman Hodes" w:hint="cs"/>
        </w:rPr>
        <w:instrText>REF</w:instrText>
      </w:r>
      <w:r w:rsidRPr="007204DA">
        <w:rPr>
          <w:rStyle w:val="af7"/>
          <w:rFonts w:eastAsia="Guttman Hodes" w:hint="cs"/>
          <w:rtl/>
        </w:rPr>
        <w:instrText xml:space="preserve"> _</w:instrText>
      </w:r>
      <w:r w:rsidRPr="007204DA">
        <w:rPr>
          <w:rStyle w:val="af7"/>
          <w:rFonts w:eastAsia="Guttman Hodes" w:hint="cs"/>
        </w:rPr>
        <w:instrText>Ref63240652 \r \h</w:instrText>
      </w:r>
      <w:r w:rsidRPr="007204DA">
        <w:rPr>
          <w:rStyle w:val="af7"/>
          <w:rFonts w:eastAsia="Guttman Hodes"/>
          <w:rtl/>
        </w:rPr>
        <w:instrText xml:space="preserve"> </w:instrText>
      </w:r>
      <w:r w:rsidRPr="007204DA">
        <w:rPr>
          <w:rStyle w:val="af7"/>
          <w:rFonts w:eastAsia="Guttman Hodes"/>
          <w:rtl/>
        </w:rPr>
      </w:r>
      <w:r w:rsidRPr="007204DA">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7204DA">
        <w:rPr>
          <w:rStyle w:val="af7"/>
          <w:rFonts w:eastAsia="Guttman Hodes"/>
          <w:rtl/>
        </w:rPr>
        <w:fldChar w:fldCharType="end"/>
      </w:r>
      <w:r>
        <w:rPr>
          <w:rFonts w:hint="cs"/>
          <w:rtl/>
        </w:rPr>
        <w:t xml:space="preserve"> בשם </w:t>
      </w:r>
      <w:r w:rsidRPr="00116D21">
        <w:rPr>
          <w:rStyle w:val="af9"/>
          <w:rFonts w:hint="cs"/>
          <w:rtl/>
        </w:rPr>
        <w:t>הרמב"ן</w:t>
      </w:r>
      <w:r w:rsidRPr="00116D21">
        <w:rPr>
          <w:rFonts w:hint="cs"/>
          <w:rtl/>
        </w:rPr>
        <w:t xml:space="preserve"> </w:t>
      </w:r>
      <w:r w:rsidRPr="00116D21">
        <w:rPr>
          <w:rStyle w:val="af9"/>
          <w:rFonts w:hint="cs"/>
          <w:rtl/>
        </w:rPr>
        <w:t>והרשב"א</w:t>
      </w:r>
      <w:r w:rsidRPr="00116D21">
        <w:rPr>
          <w:rFonts w:hint="cs"/>
          <w:rtl/>
        </w:rPr>
        <w:t xml:space="preserve"> </w:t>
      </w:r>
      <w:r w:rsidRPr="00F13BAF">
        <w:rPr>
          <w:rStyle w:val="af7"/>
          <w:rFonts w:eastAsia="Guttman Hodes" w:hint="cs"/>
          <w:rtl/>
        </w:rPr>
        <w:t xml:space="preserve">(עי' אות </w:t>
      </w:r>
      <w:r w:rsidRPr="00F13BAF">
        <w:rPr>
          <w:rStyle w:val="af7"/>
          <w:rFonts w:eastAsia="Guttman Hodes"/>
          <w:rtl/>
        </w:rPr>
        <w:fldChar w:fldCharType="begin"/>
      </w:r>
      <w:r w:rsidRPr="00F13BAF">
        <w:rPr>
          <w:rStyle w:val="af7"/>
          <w:rFonts w:eastAsia="Guttman Hodes"/>
          <w:rtl/>
        </w:rPr>
        <w:instrText xml:space="preserve"> </w:instrText>
      </w:r>
      <w:r w:rsidRPr="00F13BAF">
        <w:rPr>
          <w:rStyle w:val="af7"/>
          <w:rFonts w:eastAsia="Guttman Hodes" w:hint="cs"/>
        </w:rPr>
        <w:instrText>REF</w:instrText>
      </w:r>
      <w:r w:rsidRPr="00F13BAF">
        <w:rPr>
          <w:rStyle w:val="af7"/>
          <w:rFonts w:eastAsia="Guttman Hodes" w:hint="cs"/>
          <w:rtl/>
        </w:rPr>
        <w:instrText xml:space="preserve"> _</w:instrText>
      </w:r>
      <w:r w:rsidRPr="00F13BAF">
        <w:rPr>
          <w:rStyle w:val="af7"/>
          <w:rFonts w:eastAsia="Guttman Hodes" w:hint="cs"/>
        </w:rPr>
        <w:instrText>Ref62760907 \r \h</w:instrText>
      </w:r>
      <w:r w:rsidRPr="00F13BAF">
        <w:rPr>
          <w:rStyle w:val="af7"/>
          <w:rFonts w:eastAsia="Guttman Hodes"/>
          <w:rtl/>
        </w:rPr>
        <w:instrText xml:space="preserve"> </w:instrText>
      </w:r>
      <w:r w:rsidRPr="00F13BAF">
        <w:rPr>
          <w:rStyle w:val="af7"/>
          <w:rFonts w:eastAsia="Guttman Hodes"/>
          <w:rtl/>
        </w:rPr>
      </w:r>
      <w:r w:rsidRPr="00F13BAF">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F13BAF">
        <w:rPr>
          <w:rStyle w:val="af7"/>
          <w:rFonts w:eastAsia="Guttman Hodes"/>
          <w:rtl/>
        </w:rPr>
        <w:fldChar w:fldCharType="end"/>
      </w:r>
      <w:r w:rsidRPr="00116D21">
        <w:rPr>
          <w:rFonts w:hint="cs"/>
          <w:rtl/>
        </w:rPr>
        <w:t xml:space="preserve"> </w:t>
      </w:r>
      <w:r>
        <w:rPr>
          <w:rFonts w:hint="cs"/>
          <w:rtl/>
        </w:rPr>
        <w:t xml:space="preserve">דאם בתחילה קיים את השטר ואח"כ הודה הוא נאמן במיגו, אף שהוא מיגו להוציא, </w:t>
      </w:r>
      <w:r w:rsidRPr="007204DA">
        <w:rPr>
          <w:rStyle w:val="afb"/>
          <w:rFonts w:hint="cs"/>
          <w:rtl/>
        </w:rPr>
        <w:t xml:space="preserve">[כדביאר </w:t>
      </w:r>
      <w:r w:rsidRPr="00174F3E">
        <w:rPr>
          <w:rStyle w:val="affa"/>
          <w:rFonts w:hint="cs"/>
          <w:rtl/>
        </w:rPr>
        <w:t>הגידו"ת</w:t>
      </w:r>
      <w:r w:rsidRPr="007204DA">
        <w:rPr>
          <w:rStyle w:val="afb"/>
          <w:rFonts w:hint="cs"/>
          <w:rtl/>
        </w:rPr>
        <w:t xml:space="preserve"> </w:t>
      </w:r>
      <w:r w:rsidRPr="00174F3E">
        <w:rPr>
          <w:rStyle w:val="aff6"/>
          <w:rFonts w:hint="cs"/>
          <w:rtl/>
        </w:rPr>
        <w:t xml:space="preserve">(עי' אות </w:t>
      </w:r>
      <w:r w:rsidRPr="00174F3E">
        <w:rPr>
          <w:rStyle w:val="aff6"/>
          <w:rtl/>
        </w:rPr>
        <w:fldChar w:fldCharType="begin"/>
      </w:r>
      <w:r w:rsidRPr="00174F3E">
        <w:rPr>
          <w:rStyle w:val="aff6"/>
          <w:rtl/>
        </w:rPr>
        <w:instrText xml:space="preserve"> </w:instrText>
      </w:r>
      <w:r w:rsidRPr="00174F3E">
        <w:rPr>
          <w:rStyle w:val="aff6"/>
          <w:rFonts w:hint="cs"/>
        </w:rPr>
        <w:instrText>REF</w:instrText>
      </w:r>
      <w:r w:rsidRPr="00174F3E">
        <w:rPr>
          <w:rStyle w:val="aff6"/>
          <w:rFonts w:hint="cs"/>
          <w:rtl/>
        </w:rPr>
        <w:instrText xml:space="preserve"> _</w:instrText>
      </w:r>
      <w:r w:rsidRPr="00174F3E">
        <w:rPr>
          <w:rStyle w:val="aff6"/>
          <w:rFonts w:hint="cs"/>
        </w:rPr>
        <w:instrText>Ref63241169 \r \h</w:instrText>
      </w:r>
      <w:r w:rsidRPr="00174F3E">
        <w:rPr>
          <w:rStyle w:val="aff6"/>
          <w:rtl/>
        </w:rPr>
        <w:instrText xml:space="preserve"> </w:instrText>
      </w:r>
      <w:r w:rsidRPr="00174F3E">
        <w:rPr>
          <w:rStyle w:val="aff6"/>
          <w:rtl/>
        </w:rPr>
      </w:r>
      <w:r w:rsidRPr="00174F3E">
        <w:rPr>
          <w:rStyle w:val="aff6"/>
          <w:rtl/>
        </w:rPr>
        <w:fldChar w:fldCharType="separate"/>
      </w:r>
      <w:r w:rsidR="00265073">
        <w:rPr>
          <w:rStyle w:val="aff6"/>
          <w:cs/>
        </w:rPr>
        <w:t>‎</w:t>
      </w:r>
      <w:r w:rsidR="00265073">
        <w:rPr>
          <w:rStyle w:val="aff6"/>
          <w:rtl/>
        </w:rPr>
        <w:t>צט)</w:t>
      </w:r>
      <w:r w:rsidRPr="00174F3E">
        <w:rPr>
          <w:rStyle w:val="aff6"/>
          <w:rtl/>
        </w:rPr>
        <w:fldChar w:fldCharType="end"/>
      </w:r>
      <w:r w:rsidRPr="007204DA">
        <w:rPr>
          <w:rStyle w:val="afb"/>
          <w:rFonts w:hint="cs"/>
          <w:rtl/>
        </w:rPr>
        <w:t>],</w:t>
      </w:r>
      <w:r>
        <w:rPr>
          <w:rFonts w:hint="cs"/>
          <w:rtl/>
        </w:rPr>
        <w:t xml:space="preserve"> א"כ אף כשהיא מודה שהכתובה מזוייפת, אמאי אינה נאמנת במיגו שהייתה יכולה לומר שהכתובה היא טובה, ולא הייתה מודה שהיא מזוייפת, דהא איירי בכתובה מקויימת.</w:t>
      </w:r>
      <w:bookmarkEnd w:id="14018"/>
    </w:p>
    <w:p w:rsidR="003B7617" w:rsidRDefault="003B7617" w:rsidP="003B7617">
      <w:pPr>
        <w:pStyle w:val="a3"/>
        <w:rPr>
          <w:rtl/>
        </w:rPr>
      </w:pPr>
      <w:bookmarkStart w:id="14019" w:name="_Toc63247806"/>
      <w:r>
        <w:rPr>
          <w:rFonts w:hint="cs"/>
          <w:rtl/>
        </w:rPr>
        <w:t>דברי הגידו"ת דאי בפחותת איירי באינה מקוימת אמאי הוצרכה הגמ' להעמיד בכתובת אמנה</w:t>
      </w:r>
      <w:bookmarkEnd w:id="14019"/>
    </w:p>
    <w:p w:rsidR="003B7617" w:rsidRDefault="003B7617" w:rsidP="007E4E81">
      <w:pPr>
        <w:pStyle w:val="a0"/>
        <w:rPr>
          <w:rtl/>
        </w:rPr>
      </w:pPr>
      <w:r>
        <w:rPr>
          <w:rFonts w:hint="cs"/>
          <w:rtl/>
        </w:rPr>
        <w:t xml:space="preserve">וכתב </w:t>
      </w:r>
      <w:r w:rsidRPr="00326C22">
        <w:rPr>
          <w:rStyle w:val="af9"/>
          <w:rFonts w:hint="cs"/>
          <w:rtl/>
        </w:rPr>
        <w:t>הגידולי</w:t>
      </w:r>
      <w:r>
        <w:rPr>
          <w:rFonts w:hint="cs"/>
          <w:rtl/>
        </w:rPr>
        <w:t xml:space="preserve"> </w:t>
      </w:r>
      <w:r w:rsidRPr="00326C22">
        <w:rPr>
          <w:rStyle w:val="af9"/>
          <w:rFonts w:hint="cs"/>
          <w:rtl/>
        </w:rPr>
        <w:t>תרומה</w:t>
      </w:r>
      <w:r>
        <w:rPr>
          <w:rFonts w:hint="cs"/>
          <w:rtl/>
        </w:rPr>
        <w:t xml:space="preserve"> דאי איירי בכתובה שאינה מקויימת, ולכן מקשה הגמ' בכתובות דהיא חספא בעלמא, ולכן אינה נאמנת במיגו, דקיי"ל כרב יוסף בזוזי, א"כ מה מהני שהעמידה הגמ' דאיירי בכתובה שנכתבה באמנה, והא אף באמנה כיון שאינה מקויימת, הבעל נאמן לומר שהתקבלה את כל כתובתה, במיגו דהיא טוען מזויף, דכיון שאינה מקוימת הוא כגמ' לקמן </w:t>
      </w:r>
      <w:r w:rsidRPr="00174F3E">
        <w:rPr>
          <w:rStyle w:val="af7"/>
          <w:rFonts w:eastAsia="Guttman Hodes" w:hint="cs"/>
          <w:rtl/>
        </w:rPr>
        <w:t xml:space="preserve">(קנד.) </w:t>
      </w:r>
      <w:r>
        <w:rPr>
          <w:rFonts w:hint="cs"/>
          <w:rtl/>
        </w:rPr>
        <w:t xml:space="preserve">דהמודה בשטר שכתבו א"צ לקיימו, ועי' במה שביאר בזה </w:t>
      </w:r>
      <w:r w:rsidRPr="00960BD7">
        <w:rPr>
          <w:rStyle w:val="af9"/>
          <w:rFonts w:hint="cs"/>
          <w:rtl/>
        </w:rPr>
        <w:t>הרמב"ן</w:t>
      </w:r>
      <w:r>
        <w:rPr>
          <w:rFonts w:hint="cs"/>
          <w:rtl/>
        </w:rPr>
        <w:t xml:space="preserve"> </w:t>
      </w:r>
      <w:r w:rsidRPr="004B1C4E">
        <w:rPr>
          <w:rStyle w:val="af7"/>
          <w:rFonts w:eastAsia="Guttman Hodes" w:hint="cs"/>
          <w:rtl/>
        </w:rPr>
        <w:t xml:space="preserve">(עי' אות </w:t>
      </w:r>
      <w:r w:rsidRPr="004B1C4E">
        <w:rPr>
          <w:rStyle w:val="af7"/>
          <w:rFonts w:eastAsia="Guttman Hodes"/>
          <w:rtl/>
        </w:rPr>
        <w:fldChar w:fldCharType="begin"/>
      </w:r>
      <w:r w:rsidRPr="004B1C4E">
        <w:rPr>
          <w:rStyle w:val="af7"/>
          <w:rFonts w:eastAsia="Guttman Hodes"/>
          <w:rtl/>
        </w:rPr>
        <w:instrText xml:space="preserve"> </w:instrText>
      </w:r>
      <w:r w:rsidRPr="004B1C4E">
        <w:rPr>
          <w:rStyle w:val="af7"/>
          <w:rFonts w:eastAsia="Guttman Hodes" w:hint="cs"/>
        </w:rPr>
        <w:instrText>REF</w:instrText>
      </w:r>
      <w:r w:rsidRPr="004B1C4E">
        <w:rPr>
          <w:rStyle w:val="af7"/>
          <w:rFonts w:eastAsia="Guttman Hodes" w:hint="cs"/>
          <w:rtl/>
        </w:rPr>
        <w:instrText xml:space="preserve"> _</w:instrText>
      </w:r>
      <w:r w:rsidRPr="004B1C4E">
        <w:rPr>
          <w:rStyle w:val="af7"/>
          <w:rFonts w:eastAsia="Guttman Hodes" w:hint="cs"/>
        </w:rPr>
        <w:instrText>Ref63241360 \r \h</w:instrText>
      </w:r>
      <w:r w:rsidRPr="004B1C4E">
        <w:rPr>
          <w:rStyle w:val="af7"/>
          <w:rFonts w:eastAsia="Guttman Hodes"/>
          <w:rtl/>
        </w:rPr>
        <w:instrText xml:space="preserve"> </w:instrText>
      </w:r>
      <w:r w:rsidRPr="004B1C4E">
        <w:rPr>
          <w:rStyle w:val="af7"/>
          <w:rFonts w:eastAsia="Guttman Hodes"/>
          <w:rtl/>
        </w:rPr>
      </w:r>
      <w:r w:rsidRPr="004B1C4E">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4B1C4E">
        <w:rPr>
          <w:rStyle w:val="af7"/>
          <w:rFonts w:eastAsia="Guttman Hodes"/>
          <w:rtl/>
        </w:rPr>
        <w:fldChar w:fldCharType="end"/>
      </w:r>
      <w:r>
        <w:rPr>
          <w:rFonts w:hint="cs"/>
          <w:rtl/>
        </w:rPr>
        <w:t xml:space="preserve">. </w:t>
      </w:r>
      <w:r w:rsidRPr="009B2BD9">
        <w:rPr>
          <w:rStyle w:val="afb"/>
          <w:rFonts w:hint="cs"/>
          <w:rtl/>
        </w:rPr>
        <w:t>[</w:t>
      </w:r>
      <w:r>
        <w:rPr>
          <w:rStyle w:val="affa"/>
          <w:rFonts w:hint="cs"/>
          <w:rtl/>
        </w:rPr>
        <w:t>ה</w:t>
      </w:r>
      <w:r w:rsidRPr="009B2BD9">
        <w:rPr>
          <w:rStyle w:val="affa"/>
          <w:rFonts w:hint="cs"/>
          <w:rtl/>
        </w:rPr>
        <w:t>גידולי תרומה</w:t>
      </w:r>
      <w:r w:rsidRPr="009B2BD9">
        <w:rPr>
          <w:rStyle w:val="afb"/>
          <w:rFonts w:hint="cs"/>
          <w:rtl/>
        </w:rPr>
        <w:t xml:space="preserve"> דהביא את דברי </w:t>
      </w:r>
      <w:r w:rsidRPr="009B2BD9">
        <w:rPr>
          <w:rStyle w:val="affa"/>
          <w:rFonts w:hint="cs"/>
          <w:rtl/>
        </w:rPr>
        <w:t>המ"מ</w:t>
      </w:r>
      <w:r w:rsidRPr="009B2BD9">
        <w:rPr>
          <w:rStyle w:val="afb"/>
          <w:rFonts w:hint="cs"/>
          <w:rtl/>
        </w:rPr>
        <w:t xml:space="preserve"> בשם </w:t>
      </w:r>
      <w:r w:rsidRPr="009B2BD9">
        <w:rPr>
          <w:rStyle w:val="affa"/>
          <w:rFonts w:hint="cs"/>
          <w:rtl/>
        </w:rPr>
        <w:t>הרמב"ן</w:t>
      </w:r>
      <w:r w:rsidRPr="009B2BD9">
        <w:rPr>
          <w:rFonts w:hint="cs"/>
          <w:rtl/>
        </w:rPr>
        <w:t xml:space="preserve"> </w:t>
      </w:r>
      <w:r>
        <w:rPr>
          <w:rStyle w:val="affa"/>
          <w:rFonts w:hint="cs"/>
          <w:rtl/>
        </w:rPr>
        <w:t>והרשב"א</w:t>
      </w:r>
      <w:r w:rsidRPr="009B2BD9">
        <w:rPr>
          <w:rStyle w:val="afb"/>
          <w:rFonts w:hint="cs"/>
          <w:rtl/>
        </w:rPr>
        <w:t xml:space="preserve">, ונראה שלא ראה את דברי </w:t>
      </w:r>
      <w:r w:rsidRPr="009B2BD9">
        <w:rPr>
          <w:rStyle w:val="affa"/>
          <w:rFonts w:hint="cs"/>
          <w:rtl/>
        </w:rPr>
        <w:t xml:space="preserve">הרמב"ן </w:t>
      </w:r>
      <w:r>
        <w:rPr>
          <w:rStyle w:val="affa"/>
          <w:rFonts w:hint="cs"/>
          <w:rtl/>
        </w:rPr>
        <w:t xml:space="preserve">והרשב"א </w:t>
      </w:r>
      <w:r w:rsidRPr="009B2BD9">
        <w:rPr>
          <w:rStyle w:val="affa"/>
          <w:rFonts w:hint="cs"/>
          <w:rtl/>
        </w:rPr>
        <w:t>בסוגיין</w:t>
      </w:r>
      <w:r w:rsidRPr="009B2BD9">
        <w:rPr>
          <w:rStyle w:val="afb"/>
          <w:rFonts w:hint="cs"/>
          <w:rtl/>
        </w:rPr>
        <w:t>].</w:t>
      </w:r>
    </w:p>
    <w:p w:rsidR="003B7617" w:rsidRDefault="003B7617" w:rsidP="003B7617">
      <w:pPr>
        <w:pStyle w:val="afe"/>
        <w:rPr>
          <w:rtl/>
        </w:rPr>
      </w:pPr>
      <w:bookmarkStart w:id="14020" w:name="_Toc63247807"/>
      <w:r>
        <w:rPr>
          <w:rFonts w:hint="cs"/>
          <w:rtl/>
        </w:rPr>
        <w:t>ד' הגידו"ת והש"ך ברמב"ן במיגו להוציא</w:t>
      </w:r>
      <w:bookmarkEnd w:id="14020"/>
    </w:p>
    <w:p w:rsidR="003B7617" w:rsidRDefault="003B7617" w:rsidP="003B7617">
      <w:pPr>
        <w:pStyle w:val="1"/>
        <w:rPr>
          <w:rtl/>
        </w:rPr>
      </w:pPr>
      <w:bookmarkStart w:id="14021" w:name="_Toc62819911"/>
      <w:bookmarkStart w:id="14022" w:name="_Toc63111483"/>
      <w:bookmarkStart w:id="14023" w:name="_Toc63163540"/>
      <w:bookmarkStart w:id="14024" w:name="_Toc63188815"/>
      <w:bookmarkStart w:id="14025" w:name="_Toc63247808"/>
      <w:r>
        <w:rPr>
          <w:rFonts w:hint="cs"/>
          <w:rtl/>
        </w:rPr>
        <w:t>בי' הגידו"ת ברמב"ן</w:t>
      </w:r>
      <w:bookmarkEnd w:id="14021"/>
      <w:bookmarkEnd w:id="14022"/>
      <w:bookmarkEnd w:id="14023"/>
      <w:bookmarkEnd w:id="14024"/>
      <w:r>
        <w:rPr>
          <w:rFonts w:hint="cs"/>
          <w:rtl/>
        </w:rPr>
        <w:t xml:space="preserve"> דמיגו להוציא מהני רק בטענת שטר אחר</w:t>
      </w:r>
      <w:bookmarkEnd w:id="14025"/>
    </w:p>
    <w:p w:rsidR="003B7617" w:rsidRDefault="003B7617" w:rsidP="003B7617">
      <w:pPr>
        <w:pStyle w:val="a3"/>
        <w:rPr>
          <w:rtl/>
        </w:rPr>
      </w:pPr>
      <w:bookmarkStart w:id="14026" w:name="_Toc63247809"/>
      <w:r>
        <w:rPr>
          <w:rFonts w:hint="cs"/>
          <w:rtl/>
        </w:rPr>
        <w:t>ביאור הגידו"ת ברמב"ן דבלא מקוים נאמן רק כשטוען שהיה לו שטר שאבד דחשיב שיש לו שטר</w:t>
      </w:r>
      <w:bookmarkEnd w:id="14026"/>
    </w:p>
    <w:p w:rsidR="003B7617" w:rsidRDefault="003B7617" w:rsidP="007E4E81">
      <w:pPr>
        <w:pStyle w:val="a0"/>
        <w:rPr>
          <w:rtl/>
        </w:rPr>
      </w:pPr>
      <w:bookmarkStart w:id="14027" w:name="_Ref63241785"/>
      <w:r>
        <w:rPr>
          <w:rFonts w:hint="cs"/>
          <w:rtl/>
        </w:rPr>
        <w:t xml:space="preserve">אלא ביאר </w:t>
      </w:r>
      <w:r>
        <w:rPr>
          <w:rStyle w:val="af9"/>
          <w:rtl/>
        </w:rPr>
        <w:t>הגידולי תרומה</w:t>
      </w:r>
      <w:r w:rsidRPr="00C23F98">
        <w:rPr>
          <w:rStyle w:val="af7"/>
          <w:rFonts w:eastAsia="Guttman Hodes"/>
          <w:rtl/>
        </w:rPr>
        <w:t xml:space="preserve"> </w:t>
      </w:r>
      <w:r w:rsidRPr="00C23F98">
        <w:rPr>
          <w:rStyle w:val="af7"/>
          <w:rFonts w:eastAsia="Guttman Hodes" w:hint="cs"/>
          <w:rtl/>
        </w:rPr>
        <w:t xml:space="preserve">(שער י"ז ח"ב </w:t>
      </w:r>
      <w:r>
        <w:rPr>
          <w:rStyle w:val="af7"/>
          <w:rFonts w:eastAsiaTheme="minorEastAsia" w:hint="cs"/>
          <w:rtl/>
        </w:rPr>
        <w:t>סו</w:t>
      </w:r>
      <w:r w:rsidRPr="00C23F98">
        <w:rPr>
          <w:rStyle w:val="af7"/>
          <w:rFonts w:eastAsia="Guttman Hodes" w:hint="cs"/>
          <w:rtl/>
        </w:rPr>
        <w:t xml:space="preserve">ד"ה וה"ה) </w:t>
      </w:r>
      <w:r>
        <w:rPr>
          <w:rFonts w:hint="cs"/>
          <w:rtl/>
        </w:rPr>
        <w:t xml:space="preserve">דאפש"ל דכ"מ דכתבו </w:t>
      </w:r>
      <w:r>
        <w:rPr>
          <w:rStyle w:val="af9"/>
          <w:rtl/>
        </w:rPr>
        <w:t>הרמב"ן</w:t>
      </w:r>
      <w:r>
        <w:rPr>
          <w:rtl/>
        </w:rPr>
        <w:t xml:space="preserve"> </w:t>
      </w:r>
      <w:r>
        <w:rPr>
          <w:rStyle w:val="af9"/>
          <w:rtl/>
        </w:rPr>
        <w:t>והרשב"א</w:t>
      </w:r>
      <w:r>
        <w:rPr>
          <w:rtl/>
        </w:rPr>
        <w:t xml:space="preserve">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Ref62760907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צא</w:t>
      </w:r>
      <w:r w:rsidR="00265073">
        <w:rPr>
          <w:rStyle w:val="af7"/>
          <w:rFonts w:eastAsiaTheme="minorHAnsi"/>
          <w:rtl/>
        </w:rPr>
        <w:t>)</w:t>
      </w:r>
      <w:r>
        <w:rPr>
          <w:rStyle w:val="af7"/>
          <w:rFonts w:eastAsiaTheme="minorHAnsi" w:hint="cs"/>
          <w:rtl/>
        </w:rPr>
        <w:fldChar w:fldCharType="end"/>
      </w:r>
      <w:r>
        <w:rPr>
          <w:rtl/>
        </w:rPr>
        <w:t xml:space="preserve"> </w:t>
      </w:r>
      <w:r>
        <w:rPr>
          <w:rFonts w:hint="cs"/>
          <w:rtl/>
        </w:rPr>
        <w:t>דאם קיים את השטר בתחילה ואח"כ הודה, דנאמן במיגו, היינו רק כיון שהוא טוען שהיה לו שטר אחר שאבד לו, דכיון שהוא נאמן במיגו שהיה לו שטר, חשיב כאילו השטר לפנינו, ואנו גובים מכח אותו השטר, ולכן לא מהני ללוה כל טענה, דאין אנו גובים מכח השטר הזה שהודה שהוא חספא, אלא מכח השטר שנאמן לומר שהיה לו.</w:t>
      </w:r>
      <w:bookmarkEnd w:id="14027"/>
    </w:p>
    <w:p w:rsidR="003B7617" w:rsidRDefault="003B7617" w:rsidP="003B7617">
      <w:pPr>
        <w:pStyle w:val="a3"/>
        <w:rPr>
          <w:rtl/>
        </w:rPr>
      </w:pPr>
      <w:bookmarkStart w:id="14028" w:name="_Toc63247810"/>
      <w:r>
        <w:rPr>
          <w:rFonts w:hint="cs"/>
          <w:rtl/>
        </w:rPr>
        <w:t>דברי הגידו"ת דבפוחתת כתובתה שלא טענה שיש לה שטר אחר נאמנת רק בכתובת אמנה</w:t>
      </w:r>
      <w:bookmarkEnd w:id="14028"/>
    </w:p>
    <w:p w:rsidR="003B7617" w:rsidRDefault="003B7617" w:rsidP="007E4E81">
      <w:pPr>
        <w:pStyle w:val="a0"/>
        <w:rPr>
          <w:rtl/>
        </w:rPr>
      </w:pPr>
      <w:r>
        <w:rPr>
          <w:rFonts w:hint="cs"/>
          <w:rtl/>
        </w:rPr>
        <w:t xml:space="preserve">אבל בפוחתת כתובתה בגמ' בכתובות </w:t>
      </w:r>
      <w:r w:rsidRPr="00733D97">
        <w:rPr>
          <w:rStyle w:val="af7"/>
          <w:rFonts w:eastAsia="Guttman Rashi" w:hint="cs"/>
          <w:rtl/>
        </w:rPr>
        <w:t>(פז:)</w:t>
      </w:r>
      <w:r>
        <w:rPr>
          <w:rFonts w:hint="cs"/>
          <w:rtl/>
        </w:rPr>
        <w:t xml:space="preserve">, כתב </w:t>
      </w:r>
      <w:r w:rsidRPr="004B70FD">
        <w:rPr>
          <w:rStyle w:val="af9"/>
          <w:rFonts w:hint="cs"/>
          <w:rtl/>
        </w:rPr>
        <w:t>הגידולי</w:t>
      </w:r>
      <w:r>
        <w:rPr>
          <w:rFonts w:hint="cs"/>
          <w:rtl/>
        </w:rPr>
        <w:t xml:space="preserve"> </w:t>
      </w:r>
      <w:r w:rsidRPr="004B70FD">
        <w:rPr>
          <w:rStyle w:val="af9"/>
          <w:rFonts w:hint="cs"/>
          <w:rtl/>
        </w:rPr>
        <w:t>תרומה</w:t>
      </w:r>
      <w:r>
        <w:rPr>
          <w:rFonts w:hint="cs"/>
          <w:rtl/>
        </w:rPr>
        <w:t xml:space="preserve"> דכיון שאינה טוענת שהיה לה שטר אחר, אלא רוצה לגבות בכח </w:t>
      </w:r>
      <w:r>
        <w:rPr>
          <w:rFonts w:hint="cs"/>
          <w:rtl/>
        </w:rPr>
        <w:t>אותה הכתובה עצמה, לכן אם היא מודה שהיא מזוייפת, ודאי שהיא חספא בעלמא, ולכן הוצרכה הגמ' בכתובות להעמיד</w:t>
      </w:r>
      <w:r>
        <w:rPr>
          <w:rtl/>
        </w:rPr>
        <w:t xml:space="preserve"> בכתובה שנכתבה באמנה,</w:t>
      </w:r>
      <w:r>
        <w:rPr>
          <w:rFonts w:hint="cs"/>
          <w:rtl/>
        </w:rPr>
        <w:t xml:space="preserve"> אך כתב </w:t>
      </w:r>
      <w:r w:rsidRPr="00326C22">
        <w:rPr>
          <w:rStyle w:val="af9"/>
          <w:rFonts w:hint="cs"/>
          <w:rtl/>
        </w:rPr>
        <w:t>הגידולי</w:t>
      </w:r>
      <w:r>
        <w:rPr>
          <w:rFonts w:hint="cs"/>
          <w:rtl/>
        </w:rPr>
        <w:t xml:space="preserve"> </w:t>
      </w:r>
      <w:r w:rsidRPr="00326C22">
        <w:rPr>
          <w:rStyle w:val="af9"/>
          <w:rFonts w:hint="cs"/>
          <w:rtl/>
        </w:rPr>
        <w:t>תרומה</w:t>
      </w:r>
      <w:r>
        <w:rPr>
          <w:rFonts w:hint="cs"/>
          <w:rtl/>
        </w:rPr>
        <w:t xml:space="preserve"> דדוחק לבאר כן בדעת </w:t>
      </w:r>
      <w:r w:rsidRPr="004B70FD">
        <w:rPr>
          <w:rStyle w:val="af9"/>
          <w:rFonts w:hint="cs"/>
          <w:rtl/>
        </w:rPr>
        <w:t>הרמב"ן והרשב"א</w:t>
      </w:r>
      <w:r>
        <w:rPr>
          <w:rFonts w:hint="cs"/>
          <w:rtl/>
        </w:rPr>
        <w:t xml:space="preserve"> ודבריהם צ"ע.</w:t>
      </w:r>
    </w:p>
    <w:p w:rsidR="003B7617" w:rsidRDefault="003B7617" w:rsidP="003B7617">
      <w:pPr>
        <w:pStyle w:val="1"/>
        <w:rPr>
          <w:rtl/>
        </w:rPr>
      </w:pPr>
      <w:bookmarkStart w:id="14029" w:name="_Toc63111484"/>
      <w:bookmarkStart w:id="14030" w:name="_Toc63163541"/>
      <w:bookmarkStart w:id="14031" w:name="_Toc63188816"/>
      <w:bookmarkStart w:id="14032" w:name="_Toc63247811"/>
      <w:r>
        <w:rPr>
          <w:rFonts w:hint="cs"/>
          <w:rtl/>
        </w:rPr>
        <w:t>דעת הש"ך</w:t>
      </w:r>
      <w:bookmarkEnd w:id="14029"/>
      <w:bookmarkEnd w:id="14030"/>
      <w:bookmarkEnd w:id="14031"/>
      <w:r>
        <w:rPr>
          <w:rFonts w:hint="cs"/>
          <w:rtl/>
        </w:rPr>
        <w:t xml:space="preserve"> דלרמב"ן נאמן במיגו להוציא אף בלא טענת שטר</w:t>
      </w:r>
      <w:bookmarkEnd w:id="14032"/>
    </w:p>
    <w:p w:rsidR="003B7617" w:rsidRDefault="003B7617" w:rsidP="003B7617">
      <w:pPr>
        <w:pStyle w:val="a3"/>
        <w:rPr>
          <w:rtl/>
        </w:rPr>
      </w:pPr>
      <w:bookmarkStart w:id="14033" w:name="_Toc63247812"/>
      <w:r>
        <w:rPr>
          <w:rFonts w:hint="cs"/>
          <w:rtl/>
        </w:rPr>
        <w:t>דברי הש"ך דלדעת הרמב"ן והרשב"א מהני מיגו להוציא אף כשאינו טוען שהיה לו שטר אחר</w:t>
      </w:r>
      <w:bookmarkEnd w:id="14033"/>
    </w:p>
    <w:p w:rsidR="003B7617" w:rsidRDefault="003B7617" w:rsidP="007E4E81">
      <w:pPr>
        <w:pStyle w:val="a0"/>
        <w:rPr>
          <w:rtl/>
        </w:rPr>
      </w:pPr>
      <w:bookmarkStart w:id="14034" w:name="_Ref63241863"/>
      <w:r>
        <w:rPr>
          <w:rFonts w:hint="cs"/>
          <w:rtl/>
        </w:rPr>
        <w:t xml:space="preserve">כתב </w:t>
      </w:r>
      <w:r w:rsidRPr="004B70FD">
        <w:rPr>
          <w:rStyle w:val="af9"/>
          <w:rFonts w:hint="cs"/>
          <w:rtl/>
        </w:rPr>
        <w:t>השו"ע</w:t>
      </w:r>
      <w:r>
        <w:rPr>
          <w:rFonts w:hint="cs"/>
          <w:rtl/>
        </w:rPr>
        <w:t xml:space="preserve"> </w:t>
      </w:r>
      <w:r w:rsidRPr="005F5D85">
        <w:rPr>
          <w:rStyle w:val="af7"/>
          <w:rFonts w:eastAsia="Guttman Hodes" w:hint="cs"/>
          <w:rtl/>
        </w:rPr>
        <w:t xml:space="preserve">(סי' פ"ד ד') </w:t>
      </w:r>
      <w:r>
        <w:rPr>
          <w:rFonts w:hint="cs"/>
          <w:rtl/>
        </w:rPr>
        <w:t xml:space="preserve">דבשטר של אלף זוז, וטוען הלוה שהוא פרוע, והמלוה מודה שהיה חייב לו מתחילה רק חמש מאות, והעדים טעו וכתבו אלף, דהלוה פטור כיון שהודה המלוה שהעדים העידו עדות שקר, </w:t>
      </w:r>
      <w:r w:rsidRPr="00BC5EF7">
        <w:rPr>
          <w:rStyle w:val="afb"/>
          <w:rFonts w:hint="cs"/>
          <w:rtl/>
        </w:rPr>
        <w:t xml:space="preserve"> [כדין פוחתת כתובתה בגמ' בכתובות </w:t>
      </w:r>
      <w:r w:rsidRPr="00BC5EF7">
        <w:rPr>
          <w:rStyle w:val="aff6"/>
          <w:rFonts w:hint="cs"/>
          <w:rtl/>
        </w:rPr>
        <w:t>(פז:)</w:t>
      </w:r>
      <w:r w:rsidRPr="00BC5EF7">
        <w:rPr>
          <w:rStyle w:val="afb"/>
          <w:rFonts w:hint="cs"/>
          <w:rtl/>
        </w:rPr>
        <w:t xml:space="preserve">], </w:t>
      </w:r>
      <w:r>
        <w:rPr>
          <w:rFonts w:hint="cs"/>
          <w:rtl/>
        </w:rPr>
        <w:t xml:space="preserve">וכתב </w:t>
      </w:r>
      <w:r w:rsidRPr="004B70FD">
        <w:rPr>
          <w:rStyle w:val="af9"/>
          <w:rFonts w:hint="cs"/>
          <w:rtl/>
        </w:rPr>
        <w:t>הש"ך</w:t>
      </w:r>
      <w:r>
        <w:rPr>
          <w:rFonts w:hint="cs"/>
          <w:rtl/>
        </w:rPr>
        <w:t xml:space="preserve"> דהא דאין המלוה נאמן במיגו שלא היה מודה שהחוב הוא רק חמש מאות, היינו כיון שהוא מיגו להוציא, אך כתב </w:t>
      </w:r>
      <w:r w:rsidRPr="004B70FD">
        <w:rPr>
          <w:rStyle w:val="af9"/>
          <w:rFonts w:hint="cs"/>
          <w:rtl/>
        </w:rPr>
        <w:t>הש"ך</w:t>
      </w:r>
      <w:r>
        <w:rPr>
          <w:rFonts w:hint="cs"/>
          <w:rtl/>
        </w:rPr>
        <w:t xml:space="preserve"> דלדעת </w:t>
      </w:r>
      <w:r w:rsidRPr="004B70FD">
        <w:rPr>
          <w:rStyle w:val="af9"/>
          <w:rFonts w:hint="cs"/>
          <w:rtl/>
        </w:rPr>
        <w:t xml:space="preserve">הרמב"ן </w:t>
      </w:r>
      <w:r>
        <w:rPr>
          <w:rStyle w:val="af9"/>
          <w:rtl/>
        </w:rPr>
        <w:t>והרשב"א</w:t>
      </w:r>
      <w:r>
        <w:rPr>
          <w:rtl/>
        </w:rPr>
        <w:t xml:space="preserve"> </w:t>
      </w:r>
      <w:r w:rsidRPr="005F5D85">
        <w:rPr>
          <w:rStyle w:val="af7"/>
          <w:rFonts w:eastAsiaTheme="minorHAnsi" w:hint="cs"/>
          <w:rtl/>
        </w:rPr>
        <w:t xml:space="preserve">(עי' אות </w:t>
      </w:r>
      <w:r w:rsidRPr="005F5D85">
        <w:rPr>
          <w:rStyle w:val="af7"/>
          <w:rFonts w:eastAsiaTheme="minorHAnsi" w:hint="cs"/>
          <w:rtl/>
        </w:rPr>
        <w:fldChar w:fldCharType="begin"/>
      </w:r>
      <w:r w:rsidRPr="005F5D85">
        <w:rPr>
          <w:rStyle w:val="af7"/>
          <w:rFonts w:eastAsiaTheme="minorHAnsi" w:hint="cs"/>
          <w:rtl/>
        </w:rPr>
        <w:instrText xml:space="preserve"> </w:instrText>
      </w:r>
      <w:r w:rsidRPr="005F5D85">
        <w:rPr>
          <w:rStyle w:val="af7"/>
          <w:rFonts w:eastAsiaTheme="minorHAnsi"/>
        </w:rPr>
        <w:instrText>REF</w:instrText>
      </w:r>
      <w:r w:rsidRPr="005F5D85">
        <w:rPr>
          <w:rStyle w:val="af7"/>
          <w:rFonts w:eastAsiaTheme="minorHAnsi" w:hint="cs"/>
          <w:rtl/>
        </w:rPr>
        <w:instrText xml:space="preserve"> _</w:instrText>
      </w:r>
      <w:r w:rsidRPr="005F5D85">
        <w:rPr>
          <w:rStyle w:val="af7"/>
          <w:rFonts w:eastAsiaTheme="minorHAnsi"/>
        </w:rPr>
        <w:instrText>Ref62760907 \r \h</w:instrText>
      </w:r>
      <w:r w:rsidRPr="005F5D85">
        <w:rPr>
          <w:rStyle w:val="af7"/>
          <w:rFonts w:eastAsiaTheme="minorHAnsi" w:hint="cs"/>
          <w:rtl/>
        </w:rPr>
        <w:instrText xml:space="preserve"> </w:instrText>
      </w:r>
      <w:r w:rsidRPr="005F5D85">
        <w:rPr>
          <w:rStyle w:val="af7"/>
          <w:rFonts w:eastAsiaTheme="minorHAnsi" w:hint="cs"/>
          <w:rtl/>
        </w:rPr>
      </w:r>
      <w:r w:rsidRPr="005F5D85">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צא</w:t>
      </w:r>
      <w:r w:rsidR="00265073">
        <w:rPr>
          <w:rStyle w:val="af7"/>
          <w:rFonts w:eastAsiaTheme="minorHAnsi"/>
          <w:rtl/>
        </w:rPr>
        <w:t>)</w:t>
      </w:r>
      <w:r w:rsidRPr="005F5D85">
        <w:rPr>
          <w:rStyle w:val="af7"/>
          <w:rFonts w:eastAsiaTheme="minorHAnsi" w:hint="cs"/>
          <w:rtl/>
        </w:rPr>
        <w:fldChar w:fldCharType="end"/>
      </w:r>
      <w:r>
        <w:rPr>
          <w:rFonts w:hint="cs"/>
          <w:rtl/>
        </w:rPr>
        <w:t xml:space="preserve"> נאמן המלוה במיגו להוציא, </w:t>
      </w:r>
      <w:bookmarkStart w:id="14035" w:name="_Ref63241806"/>
      <w:r>
        <w:rPr>
          <w:rFonts w:hint="cs"/>
          <w:rtl/>
        </w:rPr>
        <w:t xml:space="preserve">וכתב </w:t>
      </w:r>
      <w:r w:rsidRPr="004B70FD">
        <w:rPr>
          <w:rStyle w:val="af9"/>
          <w:rFonts w:hint="cs"/>
          <w:rtl/>
        </w:rPr>
        <w:t>הש"ך</w:t>
      </w:r>
      <w:r>
        <w:rPr>
          <w:rFonts w:hint="cs"/>
          <w:rtl/>
        </w:rPr>
        <w:t xml:space="preserve"> דכ"כ להדיא </w:t>
      </w:r>
      <w:r w:rsidRPr="004B70FD">
        <w:rPr>
          <w:rStyle w:val="af9"/>
          <w:rFonts w:hint="cs"/>
          <w:rtl/>
        </w:rPr>
        <w:t>הרמב"ן בסוגיין</w:t>
      </w:r>
      <w:r>
        <w:rPr>
          <w:rFonts w:hint="cs"/>
          <w:rtl/>
        </w:rPr>
        <w:t xml:space="preserve"> </w:t>
      </w:r>
      <w:r w:rsidRPr="00D47218">
        <w:rPr>
          <w:rStyle w:val="afb"/>
          <w:rFonts w:hint="cs"/>
          <w:rtl/>
        </w:rPr>
        <w:t xml:space="preserve">[עי' בדברי </w:t>
      </w:r>
      <w:r w:rsidRPr="00D47218">
        <w:rPr>
          <w:rStyle w:val="affa"/>
          <w:rFonts w:hint="cs"/>
          <w:rtl/>
        </w:rPr>
        <w:t>הרמב"ן</w:t>
      </w:r>
      <w:r w:rsidRPr="00D47218">
        <w:rPr>
          <w:rStyle w:val="afb"/>
          <w:rFonts w:hint="cs"/>
          <w:rtl/>
        </w:rPr>
        <w:t xml:space="preserve"> </w:t>
      </w:r>
      <w:r w:rsidRPr="00D47218">
        <w:rPr>
          <w:rStyle w:val="aff6"/>
          <w:rFonts w:hint="cs"/>
          <w:rtl/>
        </w:rPr>
        <w:t xml:space="preserve">(עי' אות </w:t>
      </w:r>
      <w:r w:rsidRPr="00D47218">
        <w:rPr>
          <w:rStyle w:val="aff6"/>
          <w:rtl/>
        </w:rPr>
        <w:fldChar w:fldCharType="begin"/>
      </w:r>
      <w:r w:rsidRPr="00D47218">
        <w:rPr>
          <w:rStyle w:val="aff6"/>
          <w:rtl/>
        </w:rPr>
        <w:instrText xml:space="preserve"> </w:instrText>
      </w:r>
      <w:r w:rsidRPr="00D47218">
        <w:rPr>
          <w:rStyle w:val="aff6"/>
          <w:rFonts w:hint="cs"/>
        </w:rPr>
        <w:instrText>REF</w:instrText>
      </w:r>
      <w:r w:rsidRPr="00D47218">
        <w:rPr>
          <w:rStyle w:val="aff6"/>
          <w:rFonts w:hint="cs"/>
          <w:rtl/>
        </w:rPr>
        <w:instrText xml:space="preserve"> _</w:instrText>
      </w:r>
      <w:r w:rsidRPr="00D47218">
        <w:rPr>
          <w:rStyle w:val="aff6"/>
          <w:rFonts w:hint="cs"/>
        </w:rPr>
        <w:instrText>Ref63237344 \r \h</w:instrText>
      </w:r>
      <w:r w:rsidRPr="00D47218">
        <w:rPr>
          <w:rStyle w:val="aff6"/>
          <w:rtl/>
        </w:rPr>
        <w:instrText xml:space="preserve"> </w:instrText>
      </w:r>
      <w:r w:rsidRPr="00D47218">
        <w:rPr>
          <w:rStyle w:val="aff6"/>
          <w:rtl/>
        </w:rPr>
      </w:r>
      <w:r w:rsidRPr="00D47218">
        <w:rPr>
          <w:rStyle w:val="aff6"/>
          <w:rtl/>
        </w:rPr>
        <w:fldChar w:fldCharType="separate"/>
      </w:r>
      <w:r w:rsidR="00265073">
        <w:rPr>
          <w:rStyle w:val="aff6"/>
          <w:cs/>
        </w:rPr>
        <w:t>‎</w:t>
      </w:r>
      <w:r w:rsidR="00265073">
        <w:rPr>
          <w:rStyle w:val="aff6"/>
          <w:rtl/>
        </w:rPr>
        <w:t>צה)</w:t>
      </w:r>
      <w:r w:rsidRPr="00D47218">
        <w:rPr>
          <w:rStyle w:val="aff6"/>
          <w:rtl/>
        </w:rPr>
        <w:fldChar w:fldCharType="end"/>
      </w:r>
      <w:r w:rsidRPr="00D47218">
        <w:rPr>
          <w:rStyle w:val="afb"/>
          <w:rFonts w:hint="cs"/>
          <w:rtl/>
        </w:rPr>
        <w:t xml:space="preserve"> דכתב לענין הפוחתת כתובתה, דהגמ' בכתובות לא רצתה להעמיד בכתובה שקיימו אותה עדים, והיא מודה שאינה נכונה, דא"כ חתמו העדים בשקר, ואינה נאמנת],</w:t>
      </w:r>
      <w:r>
        <w:rPr>
          <w:rFonts w:hint="cs"/>
          <w:rtl/>
        </w:rPr>
        <w:t xml:space="preserve"> וכתב </w:t>
      </w:r>
      <w:r w:rsidRPr="00326C22">
        <w:rPr>
          <w:rStyle w:val="af9"/>
          <w:rFonts w:hint="cs"/>
          <w:rtl/>
        </w:rPr>
        <w:t>הש"ך</w:t>
      </w:r>
      <w:r>
        <w:rPr>
          <w:rFonts w:hint="cs"/>
          <w:rtl/>
        </w:rPr>
        <w:t xml:space="preserve"> דמוכח מדברי </w:t>
      </w:r>
      <w:r w:rsidRPr="00326C22">
        <w:rPr>
          <w:rStyle w:val="af9"/>
          <w:rFonts w:hint="cs"/>
          <w:rtl/>
        </w:rPr>
        <w:t>הרמב"ן</w:t>
      </w:r>
      <w:r>
        <w:rPr>
          <w:rFonts w:hint="cs"/>
          <w:rtl/>
        </w:rPr>
        <w:t xml:space="preserve"> דלא כדביאר </w:t>
      </w:r>
      <w:r w:rsidRPr="00326C22">
        <w:rPr>
          <w:rStyle w:val="af9"/>
          <w:rFonts w:hint="cs"/>
          <w:rtl/>
        </w:rPr>
        <w:t>הגידולי</w:t>
      </w:r>
      <w:r>
        <w:rPr>
          <w:rFonts w:hint="cs"/>
          <w:rtl/>
        </w:rPr>
        <w:t xml:space="preserve"> </w:t>
      </w:r>
      <w:r w:rsidRPr="00326C22">
        <w:rPr>
          <w:rStyle w:val="af9"/>
          <w:rFonts w:hint="cs"/>
          <w:rtl/>
        </w:rPr>
        <w:t>תרומה</w:t>
      </w:r>
      <w:r>
        <w:rPr>
          <w:rFonts w:hint="cs"/>
          <w:rtl/>
        </w:rPr>
        <w:t xml:space="preserve"> </w:t>
      </w:r>
      <w:r w:rsidRPr="005F5D85">
        <w:rPr>
          <w:rStyle w:val="af7"/>
          <w:rFonts w:eastAsia="Guttman Hodes" w:hint="cs"/>
          <w:rtl/>
        </w:rPr>
        <w:t xml:space="preserve">(עי' אות </w:t>
      </w:r>
      <w:r w:rsidRPr="005F5D85">
        <w:rPr>
          <w:rStyle w:val="af7"/>
          <w:rFonts w:eastAsia="Guttman Hodes"/>
          <w:rtl/>
        </w:rPr>
        <w:fldChar w:fldCharType="begin"/>
      </w:r>
      <w:r w:rsidRPr="005F5D85">
        <w:rPr>
          <w:rStyle w:val="af7"/>
          <w:rFonts w:eastAsia="Guttman Hodes"/>
          <w:rtl/>
        </w:rPr>
        <w:instrText xml:space="preserve"> </w:instrText>
      </w:r>
      <w:r w:rsidRPr="005F5D85">
        <w:rPr>
          <w:rStyle w:val="af7"/>
          <w:rFonts w:eastAsia="Guttman Hodes" w:hint="cs"/>
        </w:rPr>
        <w:instrText>REF</w:instrText>
      </w:r>
      <w:r w:rsidRPr="005F5D85">
        <w:rPr>
          <w:rStyle w:val="af7"/>
          <w:rFonts w:eastAsia="Guttman Hodes" w:hint="cs"/>
          <w:rtl/>
        </w:rPr>
        <w:instrText xml:space="preserve"> _</w:instrText>
      </w:r>
      <w:r w:rsidRPr="005F5D85">
        <w:rPr>
          <w:rStyle w:val="af7"/>
          <w:rFonts w:eastAsia="Guttman Hodes" w:hint="cs"/>
        </w:rPr>
        <w:instrText>Ref63241785 \r \h</w:instrText>
      </w:r>
      <w:r w:rsidRPr="005F5D85">
        <w:rPr>
          <w:rStyle w:val="af7"/>
          <w:rFonts w:eastAsia="Guttman Hodes"/>
          <w:rtl/>
        </w:rPr>
        <w:instrText xml:space="preserve"> </w:instrText>
      </w:r>
      <w:r w:rsidRPr="005F5D85">
        <w:rPr>
          <w:rStyle w:val="af7"/>
          <w:rFonts w:eastAsia="Guttman Hodes"/>
          <w:rtl/>
        </w:rPr>
      </w:r>
      <w:r w:rsidRPr="005F5D85">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sidRPr="005F5D85">
        <w:rPr>
          <w:rStyle w:val="af7"/>
          <w:rFonts w:eastAsia="Guttman Hodes"/>
          <w:rtl/>
        </w:rPr>
        <w:fldChar w:fldCharType="end"/>
      </w:r>
      <w:r w:rsidRPr="005F5D85">
        <w:rPr>
          <w:rStyle w:val="af7"/>
          <w:rFonts w:eastAsia="Guttman Hodes" w:hint="cs"/>
          <w:rtl/>
        </w:rPr>
        <w:t xml:space="preserve"> </w:t>
      </w:r>
      <w:r w:rsidRPr="00D47218">
        <w:rPr>
          <w:rStyle w:val="af9"/>
          <w:rFonts w:hint="cs"/>
          <w:rtl/>
        </w:rPr>
        <w:t>ברמב"ן וברשב"א</w:t>
      </w:r>
      <w:r>
        <w:rPr>
          <w:rFonts w:hint="cs"/>
          <w:rtl/>
        </w:rPr>
        <w:t xml:space="preserve"> דרק כשטוען שהיה לו שטר אחר נאמן במיגו, </w:t>
      </w:r>
      <w:r>
        <w:rPr>
          <w:rtl/>
        </w:rPr>
        <w:t xml:space="preserve">ואישתמיטתיה דברי </w:t>
      </w:r>
      <w:r w:rsidRPr="00326C22">
        <w:rPr>
          <w:rStyle w:val="af9"/>
          <w:rtl/>
        </w:rPr>
        <w:t>הרמב"ן</w:t>
      </w:r>
      <w:r>
        <w:rPr>
          <w:rFonts w:hint="cs"/>
          <w:rtl/>
        </w:rPr>
        <w:t>.</w:t>
      </w:r>
      <w:r w:rsidRPr="009B2BD9">
        <w:rPr>
          <w:rStyle w:val="afb"/>
          <w:rFonts w:hint="cs"/>
          <w:rtl/>
        </w:rPr>
        <w:t xml:space="preserve"> [</w:t>
      </w:r>
      <w:r>
        <w:rPr>
          <w:rStyle w:val="affa"/>
          <w:rFonts w:hint="cs"/>
          <w:rtl/>
        </w:rPr>
        <w:t>ה</w:t>
      </w:r>
      <w:r w:rsidRPr="009B2BD9">
        <w:rPr>
          <w:rStyle w:val="affa"/>
          <w:rFonts w:hint="cs"/>
          <w:rtl/>
        </w:rPr>
        <w:t>גידולי תרומה</w:t>
      </w:r>
      <w:r w:rsidRPr="009B2BD9">
        <w:rPr>
          <w:rStyle w:val="afb"/>
          <w:rFonts w:hint="cs"/>
          <w:rtl/>
        </w:rPr>
        <w:t xml:space="preserve"> דהביא את דברי </w:t>
      </w:r>
      <w:r w:rsidRPr="009B2BD9">
        <w:rPr>
          <w:rStyle w:val="affa"/>
          <w:rFonts w:hint="cs"/>
          <w:rtl/>
        </w:rPr>
        <w:t>המ"מ</w:t>
      </w:r>
      <w:r w:rsidRPr="009B2BD9">
        <w:rPr>
          <w:rStyle w:val="afb"/>
          <w:rFonts w:hint="cs"/>
          <w:rtl/>
        </w:rPr>
        <w:t xml:space="preserve"> בשם </w:t>
      </w:r>
      <w:r w:rsidRPr="009B2BD9">
        <w:rPr>
          <w:rStyle w:val="affa"/>
          <w:rFonts w:hint="cs"/>
          <w:rtl/>
        </w:rPr>
        <w:t>הרמב"ן</w:t>
      </w:r>
      <w:r w:rsidRPr="009B2BD9">
        <w:rPr>
          <w:rFonts w:hint="cs"/>
          <w:rtl/>
        </w:rPr>
        <w:t xml:space="preserve"> </w:t>
      </w:r>
      <w:r>
        <w:rPr>
          <w:rStyle w:val="affa"/>
          <w:rFonts w:hint="cs"/>
          <w:rtl/>
        </w:rPr>
        <w:t>והרשב"א</w:t>
      </w:r>
      <w:r w:rsidRPr="009B2BD9">
        <w:rPr>
          <w:rStyle w:val="afb"/>
          <w:rFonts w:hint="cs"/>
          <w:rtl/>
        </w:rPr>
        <w:t xml:space="preserve">, ונראה שלא ראה את דברי </w:t>
      </w:r>
      <w:r w:rsidRPr="009B2BD9">
        <w:rPr>
          <w:rStyle w:val="affa"/>
          <w:rFonts w:hint="cs"/>
          <w:rtl/>
        </w:rPr>
        <w:t xml:space="preserve">הרמב"ן </w:t>
      </w:r>
      <w:r>
        <w:rPr>
          <w:rStyle w:val="affa"/>
          <w:rFonts w:hint="cs"/>
          <w:rtl/>
        </w:rPr>
        <w:t xml:space="preserve">והרשב"א </w:t>
      </w:r>
      <w:r w:rsidRPr="009B2BD9">
        <w:rPr>
          <w:rStyle w:val="affa"/>
          <w:rFonts w:hint="cs"/>
          <w:rtl/>
        </w:rPr>
        <w:t>בסוגיין</w:t>
      </w:r>
      <w:r w:rsidRPr="009B2BD9">
        <w:rPr>
          <w:rStyle w:val="afb"/>
          <w:rFonts w:hint="cs"/>
          <w:rtl/>
        </w:rPr>
        <w:t>].</w:t>
      </w:r>
      <w:bookmarkEnd w:id="14034"/>
      <w:bookmarkEnd w:id="14035"/>
    </w:p>
    <w:p w:rsidR="003B7617" w:rsidRDefault="003B7617" w:rsidP="003B7617">
      <w:pPr>
        <w:pStyle w:val="a3"/>
        <w:rPr>
          <w:rtl/>
        </w:rPr>
      </w:pPr>
      <w:bookmarkStart w:id="14036" w:name="_Toc63247813"/>
      <w:r>
        <w:rPr>
          <w:rFonts w:hint="cs"/>
          <w:rtl/>
        </w:rPr>
        <w:t>דברי הקצוה"ח דבההוא ערבא לא טען שהיה לו שטר אחר ומוכח כש"ך ודלא כהגידו"ת</w:t>
      </w:r>
      <w:bookmarkEnd w:id="14036"/>
    </w:p>
    <w:p w:rsidR="003B7617" w:rsidRDefault="003B7617" w:rsidP="007E4E81">
      <w:pPr>
        <w:pStyle w:val="a0"/>
        <w:rPr>
          <w:rtl/>
        </w:rPr>
      </w:pPr>
      <w:r>
        <w:rPr>
          <w:rFonts w:hint="cs"/>
          <w:rtl/>
        </w:rPr>
        <w:t xml:space="preserve">וכתב </w:t>
      </w:r>
      <w:r w:rsidRPr="004B70FD">
        <w:rPr>
          <w:rStyle w:val="af9"/>
          <w:rFonts w:hint="cs"/>
          <w:rtl/>
        </w:rPr>
        <w:t>הקצוה"ח</w:t>
      </w:r>
      <w:r>
        <w:rPr>
          <w:rFonts w:hint="cs"/>
          <w:rtl/>
        </w:rPr>
        <w:t xml:space="preserve"> </w:t>
      </w:r>
      <w:r w:rsidRPr="005F5D85">
        <w:rPr>
          <w:rStyle w:val="af7"/>
          <w:rFonts w:eastAsia="Guttman Hodes" w:hint="cs"/>
          <w:rtl/>
        </w:rPr>
        <w:t>(סי' פ"ד סק"ב)</w:t>
      </w:r>
      <w:r>
        <w:rPr>
          <w:rFonts w:hint="cs"/>
          <w:rtl/>
        </w:rPr>
        <w:t xml:space="preserve"> דבההוא ערבא מוכח כדברי </w:t>
      </w:r>
      <w:r w:rsidRPr="004B70FD">
        <w:rPr>
          <w:rStyle w:val="af9"/>
          <w:rFonts w:hint="cs"/>
          <w:rtl/>
        </w:rPr>
        <w:t>הש"ך</w:t>
      </w:r>
      <w:r>
        <w:rPr>
          <w:rFonts w:hint="cs"/>
          <w:rtl/>
        </w:rPr>
        <w:t xml:space="preserve"> </w:t>
      </w:r>
      <w:r w:rsidRPr="005F5D85">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Ref63241863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Pr>
          <w:rStyle w:val="af7"/>
          <w:rFonts w:eastAsia="Guttman Hodes"/>
          <w:rtl/>
        </w:rPr>
        <w:fldChar w:fldCharType="end"/>
      </w:r>
      <w:r>
        <w:rPr>
          <w:rStyle w:val="af7"/>
          <w:rFonts w:eastAsia="Guttman Hodes" w:hint="cs"/>
          <w:rtl/>
        </w:rPr>
        <w:t xml:space="preserve"> </w:t>
      </w:r>
      <w:r>
        <w:rPr>
          <w:rFonts w:hint="cs"/>
          <w:rtl/>
        </w:rPr>
        <w:t xml:space="preserve">ודלא </w:t>
      </w:r>
      <w:r w:rsidRPr="004B70FD">
        <w:rPr>
          <w:rStyle w:val="af9"/>
          <w:rFonts w:hint="cs"/>
          <w:rtl/>
        </w:rPr>
        <w:t>כהגידולי</w:t>
      </w:r>
      <w:r>
        <w:rPr>
          <w:rFonts w:hint="cs"/>
          <w:rtl/>
        </w:rPr>
        <w:t xml:space="preserve"> </w:t>
      </w:r>
      <w:r w:rsidRPr="004B70FD">
        <w:rPr>
          <w:rStyle w:val="af9"/>
          <w:rFonts w:hint="cs"/>
          <w:rtl/>
        </w:rPr>
        <w:t>תרומה</w:t>
      </w:r>
      <w:r>
        <w:rPr>
          <w:rFonts w:hint="cs"/>
          <w:rtl/>
        </w:rPr>
        <w:t xml:space="preserve"> </w:t>
      </w:r>
      <w:r w:rsidRPr="00D47218">
        <w:rPr>
          <w:rStyle w:val="af7"/>
          <w:rFonts w:eastAsia="Guttman Hodes" w:hint="cs"/>
          <w:rtl/>
        </w:rPr>
        <w:t xml:space="preserve">(עי' אות </w:t>
      </w:r>
      <w:r w:rsidRPr="00D47218">
        <w:rPr>
          <w:rStyle w:val="af7"/>
          <w:rFonts w:eastAsia="Guttman Hodes"/>
          <w:rtl/>
        </w:rPr>
        <w:fldChar w:fldCharType="begin"/>
      </w:r>
      <w:r w:rsidRPr="00D47218">
        <w:rPr>
          <w:rStyle w:val="af7"/>
          <w:rFonts w:eastAsia="Guttman Hodes"/>
          <w:rtl/>
        </w:rPr>
        <w:instrText xml:space="preserve"> </w:instrText>
      </w:r>
      <w:r w:rsidRPr="00D47218">
        <w:rPr>
          <w:rStyle w:val="af7"/>
          <w:rFonts w:eastAsia="Guttman Hodes" w:hint="cs"/>
        </w:rPr>
        <w:instrText>REF</w:instrText>
      </w:r>
      <w:r w:rsidRPr="00D47218">
        <w:rPr>
          <w:rStyle w:val="af7"/>
          <w:rFonts w:eastAsia="Guttman Hodes" w:hint="cs"/>
          <w:rtl/>
        </w:rPr>
        <w:instrText xml:space="preserve"> _</w:instrText>
      </w:r>
      <w:r w:rsidRPr="00D47218">
        <w:rPr>
          <w:rStyle w:val="af7"/>
          <w:rFonts w:eastAsia="Guttman Hodes" w:hint="cs"/>
        </w:rPr>
        <w:instrText>Ref63241785 \r \h</w:instrText>
      </w:r>
      <w:r w:rsidRPr="00D47218">
        <w:rPr>
          <w:rStyle w:val="af7"/>
          <w:rFonts w:eastAsia="Guttman Hodes"/>
          <w:rtl/>
        </w:rPr>
        <w:instrText xml:space="preserve"> </w:instrText>
      </w:r>
      <w:r w:rsidRPr="00D47218">
        <w:rPr>
          <w:rStyle w:val="af7"/>
          <w:rFonts w:eastAsia="Guttman Hodes"/>
          <w:rtl/>
        </w:rPr>
      </w:r>
      <w:r w:rsidRPr="00D47218">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sidRPr="00D47218">
        <w:rPr>
          <w:rStyle w:val="af7"/>
          <w:rFonts w:eastAsia="Guttman Hodes"/>
          <w:rtl/>
        </w:rPr>
        <w:fldChar w:fldCharType="end"/>
      </w:r>
      <w:r w:rsidRPr="00D47218">
        <w:rPr>
          <w:rStyle w:val="af7"/>
          <w:rFonts w:eastAsia="Guttman Hodes" w:hint="cs"/>
          <w:rtl/>
        </w:rPr>
        <w:t xml:space="preserve"> </w:t>
      </w:r>
      <w:r>
        <w:rPr>
          <w:rFonts w:hint="cs"/>
          <w:rtl/>
        </w:rPr>
        <w:t xml:space="preserve">מהא דשלח אביי לרב אידי בר אבין דהלכתא כוותיה דרבה בארעא וכוותיה דרב יוסף בזוזי, והא בההוא ערבא לא טען הלוה שהיה לו שטר אחר, ואפ"ה אמר רב אידי דהוא תלוי בפלוגתת רבה ורב יוסף, וא"כ מוכח דלדעת </w:t>
      </w:r>
      <w:r w:rsidRPr="004B70FD">
        <w:rPr>
          <w:rStyle w:val="af9"/>
          <w:rFonts w:hint="cs"/>
          <w:rtl/>
        </w:rPr>
        <w:t>הרמב"ן והרשב"א</w:t>
      </w:r>
      <w:r>
        <w:rPr>
          <w:rFonts w:hint="cs"/>
          <w:rtl/>
        </w:rPr>
        <w:t xml:space="preserve"> דמיגו להוציא אמרינן, ס"ל לרבה דהוא נאמן אף כשאין לו שטר אחר.</w:t>
      </w:r>
    </w:p>
    <w:p w:rsidR="003B7617" w:rsidRDefault="003B7617" w:rsidP="003B7617">
      <w:pPr>
        <w:pStyle w:val="a3"/>
        <w:rPr>
          <w:rtl/>
        </w:rPr>
      </w:pPr>
      <w:bookmarkStart w:id="14037" w:name="_Toc63247814"/>
      <w:r>
        <w:rPr>
          <w:rFonts w:hint="cs"/>
          <w:rtl/>
        </w:rPr>
        <w:t>בי' הקצוה"ח בגידו"ת דהספק של רב אידי בההוא ערבא כיון שאין לו שטר אך קיי"ל כרב יוסף</w:t>
      </w:r>
      <w:bookmarkEnd w:id="14037"/>
    </w:p>
    <w:p w:rsidR="003B7617" w:rsidRDefault="003B7617" w:rsidP="007E4E81">
      <w:pPr>
        <w:pStyle w:val="a0"/>
        <w:rPr>
          <w:rtl/>
        </w:rPr>
      </w:pPr>
      <w:r>
        <w:rPr>
          <w:rFonts w:hint="cs"/>
          <w:rtl/>
        </w:rPr>
        <w:t xml:space="preserve">וכתב </w:t>
      </w:r>
      <w:r w:rsidRPr="004B70FD">
        <w:rPr>
          <w:rStyle w:val="af9"/>
          <w:rFonts w:hint="cs"/>
          <w:rtl/>
        </w:rPr>
        <w:t>הקצוה"ח</w:t>
      </w:r>
      <w:r>
        <w:rPr>
          <w:rFonts w:hint="cs"/>
          <w:rtl/>
        </w:rPr>
        <w:t xml:space="preserve"> דלדברי </w:t>
      </w:r>
      <w:r w:rsidRPr="004B70FD">
        <w:rPr>
          <w:rStyle w:val="af9"/>
          <w:rFonts w:hint="cs"/>
          <w:rtl/>
        </w:rPr>
        <w:t>הגידולי</w:t>
      </w:r>
      <w:r>
        <w:rPr>
          <w:rFonts w:hint="cs"/>
          <w:rtl/>
        </w:rPr>
        <w:t xml:space="preserve"> </w:t>
      </w:r>
      <w:r w:rsidRPr="004B70FD">
        <w:rPr>
          <w:rStyle w:val="af9"/>
          <w:rFonts w:hint="cs"/>
          <w:rtl/>
        </w:rPr>
        <w:t>תרומה</w:t>
      </w:r>
      <w:r>
        <w:rPr>
          <w:rFonts w:hint="cs"/>
          <w:rtl/>
        </w:rPr>
        <w:t xml:space="preserve"> </w:t>
      </w:r>
      <w:r w:rsidRPr="00D47218">
        <w:rPr>
          <w:rStyle w:val="af7"/>
          <w:rFonts w:eastAsia="Guttman Hodes" w:hint="cs"/>
          <w:rtl/>
        </w:rPr>
        <w:t xml:space="preserve">(עי' אות </w:t>
      </w:r>
      <w:r w:rsidRPr="00D47218">
        <w:rPr>
          <w:rStyle w:val="af7"/>
          <w:rFonts w:eastAsia="Guttman Hodes"/>
          <w:rtl/>
        </w:rPr>
        <w:fldChar w:fldCharType="begin"/>
      </w:r>
      <w:r w:rsidRPr="00D47218">
        <w:rPr>
          <w:rStyle w:val="af7"/>
          <w:rFonts w:eastAsia="Guttman Hodes"/>
          <w:rtl/>
        </w:rPr>
        <w:instrText xml:space="preserve"> </w:instrText>
      </w:r>
      <w:r w:rsidRPr="00D47218">
        <w:rPr>
          <w:rStyle w:val="af7"/>
          <w:rFonts w:eastAsia="Guttman Hodes" w:hint="cs"/>
        </w:rPr>
        <w:instrText>REF</w:instrText>
      </w:r>
      <w:r w:rsidRPr="00D47218">
        <w:rPr>
          <w:rStyle w:val="af7"/>
          <w:rFonts w:eastAsia="Guttman Hodes" w:hint="cs"/>
          <w:rtl/>
        </w:rPr>
        <w:instrText xml:space="preserve"> _</w:instrText>
      </w:r>
      <w:r w:rsidRPr="00D47218">
        <w:rPr>
          <w:rStyle w:val="af7"/>
          <w:rFonts w:eastAsia="Guttman Hodes" w:hint="cs"/>
        </w:rPr>
        <w:instrText>Ref63241785 \r \h</w:instrText>
      </w:r>
      <w:r w:rsidRPr="00D47218">
        <w:rPr>
          <w:rStyle w:val="af7"/>
          <w:rFonts w:eastAsia="Guttman Hodes"/>
          <w:rtl/>
        </w:rPr>
        <w:instrText xml:space="preserve"> </w:instrText>
      </w:r>
      <w:r w:rsidRPr="00D47218">
        <w:rPr>
          <w:rStyle w:val="af7"/>
          <w:rFonts w:eastAsia="Guttman Hodes"/>
          <w:rtl/>
        </w:rPr>
      </w:r>
      <w:r w:rsidRPr="00D47218">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sidRPr="00D47218">
        <w:rPr>
          <w:rStyle w:val="af7"/>
          <w:rFonts w:eastAsia="Guttman Hodes"/>
          <w:rtl/>
        </w:rPr>
        <w:fldChar w:fldCharType="end"/>
      </w:r>
      <w:r w:rsidRPr="00D47218">
        <w:rPr>
          <w:rStyle w:val="af7"/>
          <w:rFonts w:eastAsia="Guttman Hodes" w:hint="cs"/>
          <w:rtl/>
        </w:rPr>
        <w:t xml:space="preserve"> </w:t>
      </w:r>
      <w:r>
        <w:rPr>
          <w:rFonts w:hint="cs"/>
          <w:rtl/>
        </w:rPr>
        <w:t>צ"ל דזהו גופא הספק של רב אידי ששלח לאביי, דכיון דלא טען המלוה שהיה לו שטר אחר, א"כ אפש"ל דמודה רבה דלא מהני מיגו להוציא, והשיב לו אביי דאף באופן שיש לו שטר אחר, פסק רב אידי גופיה כרב יוסף בזוזי, וא"כ כשאינו טוען שהיה לו שטר אחר, ודאי דקיי"ל כרב יוסף בזוזי.</w:t>
      </w:r>
    </w:p>
    <w:p w:rsidR="003B7617" w:rsidRPr="00A91B80" w:rsidRDefault="003B7617" w:rsidP="003B7617">
      <w:pPr>
        <w:pStyle w:val="a3"/>
        <w:rPr>
          <w:rtl/>
        </w:rPr>
        <w:sectPr w:rsidR="003B7617" w:rsidRPr="00A91B80" w:rsidSect="005049E2">
          <w:type w:val="continuous"/>
          <w:pgSz w:w="11906" w:h="16838"/>
          <w:pgMar w:top="720" w:right="720" w:bottom="720" w:left="720" w:header="283" w:footer="283" w:gutter="0"/>
          <w:cols w:num="2" w:space="567"/>
          <w:titlePg/>
          <w:bidi/>
          <w:rtlGutter/>
          <w:docGrid w:linePitch="299"/>
        </w:sectPr>
      </w:pPr>
    </w:p>
    <w:p w:rsidR="003B7617" w:rsidRDefault="003B7617" w:rsidP="003B7617">
      <w:pPr>
        <w:tabs>
          <w:tab w:val="left" w:pos="1163"/>
        </w:tabs>
        <w:spacing w:after="120" w:line="240" w:lineRule="auto"/>
        <w:ind w:left="0"/>
        <w:rPr>
          <w:rFonts w:ascii="Guttman Hodes" w:eastAsia="Guttman Hodes" w:hAnsi="Guttman Hodes" w:cs="Guttman Hodes"/>
          <w:noProof/>
          <w:sz w:val="18"/>
          <w:szCs w:val="18"/>
        </w:rPr>
        <w:sectPr w:rsidR="003B7617" w:rsidSect="005E1ABF">
          <w:type w:val="continuous"/>
          <w:pgSz w:w="11906" w:h="16838"/>
          <w:pgMar w:top="720" w:right="720" w:bottom="720" w:left="720" w:header="283" w:footer="283" w:gutter="0"/>
          <w:cols w:space="567"/>
          <w:bidi/>
          <w:rtlGutter/>
          <w:docGrid w:linePitch="299"/>
        </w:sectPr>
      </w:pPr>
    </w:p>
    <w:p w:rsidR="003B7617" w:rsidRDefault="00E949D5" w:rsidP="003B7617">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8" type="#_x0000_t75" style="width:404.55pt;height:6.8pt" o:hrpct="0" o:hralign="center" o:hr="t">
            <v:imagedata r:id="rId24" o:title="BD14845_"/>
          </v:shape>
        </w:pict>
      </w:r>
      <w:r w:rsidR="003B7617" w:rsidRPr="00D47CE7">
        <w:rPr>
          <w:rFonts w:ascii="Guttman Hodes" w:eastAsia="Guttman Hodes" w:hAnsi="Guttman Hodes" w:cs="Guttman Hodes" w:hint="cs"/>
          <w:noProof/>
          <w:sz w:val="18"/>
          <w:szCs w:val="18"/>
          <w:rtl/>
        </w:rPr>
        <w:t xml:space="preserve"> </w:t>
      </w:r>
    </w:p>
    <w:p w:rsidR="003B7617" w:rsidRPr="0081356D" w:rsidRDefault="001B6519" w:rsidP="003B7617">
      <w:pPr>
        <w:pStyle w:val="afe"/>
        <w:rPr>
          <w:rtl/>
        </w:rPr>
        <w:sectPr w:rsidR="003B7617" w:rsidRPr="0081356D" w:rsidSect="003B7617">
          <w:pgSz w:w="11906" w:h="16838"/>
          <w:pgMar w:top="720" w:right="720" w:bottom="720" w:left="720" w:header="283" w:footer="283" w:gutter="0"/>
          <w:cols w:space="567"/>
          <w:bidi/>
          <w:rtlGutter/>
          <w:docGrid w:linePitch="299"/>
        </w:sectPr>
      </w:pPr>
      <w:r>
        <w:rPr>
          <w:rFonts w:hint="cs"/>
          <w:rtl/>
        </w:rPr>
        <w:t>~~~~~~~ ביאורי ראשי הישיבות ~~~~~~~</w:t>
      </w:r>
      <w:r w:rsidR="003B7617" w:rsidRPr="0081356D">
        <w:rPr>
          <w:rFonts w:hint="cs"/>
          <w:rtl/>
        </w:rPr>
        <w:t xml:space="preserve"> </w:t>
      </w:r>
    </w:p>
    <w:p w:rsidR="003B7617" w:rsidRDefault="003B7617" w:rsidP="003B7617">
      <w:pPr>
        <w:pStyle w:val="afe"/>
        <w:rPr>
          <w:rtl/>
        </w:rPr>
      </w:pPr>
      <w:bookmarkStart w:id="14038" w:name="_Toc62819915"/>
      <w:bookmarkStart w:id="14039" w:name="_Toc63111486"/>
      <w:bookmarkStart w:id="14040" w:name="_Toc63163543"/>
      <w:bookmarkStart w:id="14041" w:name="_Toc63188818"/>
      <w:bookmarkStart w:id="14042" w:name="_Toc63247816"/>
      <w:r>
        <w:rPr>
          <w:rFonts w:hint="cs"/>
          <w:rtl/>
        </w:rPr>
        <w:t>בבי' הרא"ש ברשב"ם</w:t>
      </w:r>
      <w:bookmarkEnd w:id="14038"/>
      <w:bookmarkEnd w:id="14039"/>
      <w:bookmarkEnd w:id="14040"/>
      <w:bookmarkEnd w:id="14041"/>
      <w:r>
        <w:rPr>
          <w:rFonts w:hint="cs"/>
          <w:rtl/>
        </w:rPr>
        <w:t xml:space="preserve"> דהוא טענה אחת</w:t>
      </w:r>
      <w:bookmarkEnd w:id="14042"/>
    </w:p>
    <w:p w:rsidR="003B7617" w:rsidRDefault="003B7617" w:rsidP="003B7617">
      <w:pPr>
        <w:pStyle w:val="1"/>
        <w:rPr>
          <w:rtl/>
        </w:rPr>
      </w:pPr>
      <w:bookmarkStart w:id="14043" w:name="_Toc63247817"/>
      <w:r>
        <w:rPr>
          <w:rFonts w:hint="cs"/>
          <w:rtl/>
        </w:rPr>
        <w:t>ביאור הברכ"ש ברשב"ם דכשהודה</w:t>
      </w:r>
      <w:r w:rsidRPr="000810C9">
        <w:rPr>
          <w:rFonts w:hint="cs"/>
          <w:rtl/>
        </w:rPr>
        <w:t xml:space="preserve"> </w:t>
      </w:r>
      <w:r>
        <w:rPr>
          <w:rFonts w:hint="cs"/>
          <w:rtl/>
        </w:rPr>
        <w:t>אינו יכול לטעון טענה אחרת</w:t>
      </w:r>
      <w:bookmarkEnd w:id="14043"/>
    </w:p>
    <w:p w:rsidR="003B7617" w:rsidRDefault="003B7617" w:rsidP="003B7617">
      <w:pPr>
        <w:pStyle w:val="a3"/>
      </w:pPr>
      <w:bookmarkStart w:id="14044" w:name="_Toc63247818"/>
      <w:r>
        <w:rPr>
          <w:rFonts w:hint="cs"/>
          <w:rtl/>
        </w:rPr>
        <w:t>בי' הברכ"ש ברשב"ם דל"מ תפיסה בקרקע בלי טענה וכשבטלה טענתו אינו יכול לטעון למר"ק</w:t>
      </w:r>
      <w:bookmarkEnd w:id="14044"/>
    </w:p>
    <w:p w:rsidR="003B7617" w:rsidRDefault="003B7617" w:rsidP="007E4E81">
      <w:pPr>
        <w:pStyle w:val="a0"/>
        <w:rPr>
          <w:rtl/>
        </w:rPr>
      </w:pPr>
      <w:bookmarkStart w:id="14045" w:name="_Ref62760480"/>
      <w:r>
        <w:rPr>
          <w:rFonts w:hint="cs"/>
          <w:rtl/>
        </w:rPr>
        <w:t xml:space="preserve">במ"ש </w:t>
      </w:r>
      <w:r w:rsidRPr="002138DC">
        <w:rPr>
          <w:rStyle w:val="af9"/>
          <w:rFonts w:hint="cs"/>
          <w:rtl/>
        </w:rPr>
        <w:t>הרשב"ם</w:t>
      </w:r>
      <w:r>
        <w:rPr>
          <w:rFonts w:hint="cs"/>
          <w:rtl/>
        </w:rPr>
        <w:t xml:space="preserve"> </w:t>
      </w:r>
      <w:r w:rsidRPr="002138DC">
        <w:rPr>
          <w:rStyle w:val="af7"/>
          <w:rFonts w:eastAsia="Guttman Hodes" w:hint="cs"/>
          <w:rtl/>
        </w:rPr>
        <w:t xml:space="preserve">(עי' אות </w:t>
      </w:r>
      <w:r w:rsidRPr="002138DC">
        <w:rPr>
          <w:rStyle w:val="af7"/>
          <w:rFonts w:eastAsia="Guttman Hodes"/>
          <w:rtl/>
        </w:rPr>
        <w:fldChar w:fldCharType="begin"/>
      </w:r>
      <w:r w:rsidRPr="002138DC">
        <w:rPr>
          <w:rStyle w:val="af7"/>
          <w:rFonts w:eastAsia="Guttman Hodes"/>
          <w:rtl/>
        </w:rPr>
        <w:instrText xml:space="preserve"> </w:instrText>
      </w:r>
      <w:r w:rsidRPr="002138DC">
        <w:rPr>
          <w:rStyle w:val="af7"/>
          <w:rFonts w:eastAsia="Guttman Hodes" w:hint="cs"/>
        </w:rPr>
        <w:instrText>REF</w:instrText>
      </w:r>
      <w:r w:rsidRPr="002138DC">
        <w:rPr>
          <w:rStyle w:val="af7"/>
          <w:rFonts w:eastAsia="Guttman Hodes" w:hint="cs"/>
          <w:rtl/>
        </w:rPr>
        <w:instrText xml:space="preserve"> _</w:instrText>
      </w:r>
      <w:r w:rsidRPr="002138DC">
        <w:rPr>
          <w:rStyle w:val="af7"/>
          <w:rFonts w:eastAsia="Guttman Hodes" w:hint="cs"/>
        </w:rPr>
        <w:instrText>Ref62588040 \r \h</w:instrText>
      </w:r>
      <w:r w:rsidRPr="002138DC">
        <w:rPr>
          <w:rStyle w:val="af7"/>
          <w:rFonts w:eastAsia="Guttman Hodes"/>
          <w:rtl/>
        </w:rPr>
        <w:instrText xml:space="preserve"> </w:instrText>
      </w:r>
      <w:r w:rsidRPr="002138DC">
        <w:rPr>
          <w:rStyle w:val="af7"/>
          <w:rFonts w:eastAsia="Guttman Hodes"/>
          <w:rtl/>
        </w:rPr>
      </w:r>
      <w:r w:rsidRPr="002138DC">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2138DC">
        <w:rPr>
          <w:rStyle w:val="af7"/>
          <w:rFonts w:eastAsia="Guttman Hodes"/>
          <w:rtl/>
        </w:rPr>
        <w:fldChar w:fldCharType="end"/>
      </w:r>
      <w:r>
        <w:rPr>
          <w:rFonts w:hint="cs"/>
          <w:rtl/>
        </w:rPr>
        <w:t xml:space="preserve"> דבסוגיין אינו נאמן במיגו, כיון שכל הכח שיש לו בקרקע הוא מחמת השטר, והוא מודה שהשטר פסול, </w:t>
      </w:r>
      <w:r w:rsidRPr="00B60BBC">
        <w:rPr>
          <w:rStyle w:val="afb"/>
          <w:rFonts w:hint="cs"/>
          <w:rtl/>
        </w:rPr>
        <w:t xml:space="preserve">[וביאר </w:t>
      </w:r>
      <w:r w:rsidRPr="003E6212">
        <w:rPr>
          <w:rStyle w:val="affa"/>
          <w:rFonts w:hint="cs"/>
          <w:rtl/>
        </w:rPr>
        <w:t>הרא"ש</w:t>
      </w:r>
      <w:r w:rsidRPr="00B60BBC">
        <w:rPr>
          <w:rStyle w:val="afb"/>
          <w:rFonts w:hint="cs"/>
          <w:rtl/>
        </w:rPr>
        <w:t xml:space="preserve"> </w:t>
      </w:r>
      <w:r w:rsidRPr="002138DC">
        <w:rPr>
          <w:rStyle w:val="aff6"/>
          <w:rFonts w:hint="cs"/>
          <w:rtl/>
        </w:rPr>
        <w:t xml:space="preserve">(עי' אות </w:t>
      </w:r>
      <w:r w:rsidRPr="002138DC">
        <w:rPr>
          <w:rStyle w:val="aff6"/>
          <w:rtl/>
        </w:rPr>
        <w:fldChar w:fldCharType="begin"/>
      </w:r>
      <w:r w:rsidRPr="002138DC">
        <w:rPr>
          <w:rStyle w:val="aff6"/>
          <w:rtl/>
        </w:rPr>
        <w:instrText xml:space="preserve"> </w:instrText>
      </w:r>
      <w:r w:rsidRPr="002138DC">
        <w:rPr>
          <w:rStyle w:val="aff6"/>
          <w:rFonts w:hint="cs"/>
        </w:rPr>
        <w:instrText>REF</w:instrText>
      </w:r>
      <w:r w:rsidRPr="002138DC">
        <w:rPr>
          <w:rStyle w:val="aff6"/>
          <w:rFonts w:hint="cs"/>
          <w:rtl/>
        </w:rPr>
        <w:instrText xml:space="preserve"> _</w:instrText>
      </w:r>
      <w:r w:rsidRPr="002138DC">
        <w:rPr>
          <w:rStyle w:val="aff6"/>
          <w:rFonts w:hint="cs"/>
        </w:rPr>
        <w:instrText>Ref62760413 \r \h</w:instrText>
      </w:r>
      <w:r w:rsidRPr="002138DC">
        <w:rPr>
          <w:rStyle w:val="aff6"/>
          <w:rtl/>
        </w:rPr>
        <w:instrText xml:space="preserve"> </w:instrText>
      </w:r>
      <w:r w:rsidRPr="002138DC">
        <w:rPr>
          <w:rStyle w:val="aff6"/>
          <w:rtl/>
        </w:rPr>
      </w:r>
      <w:r w:rsidRPr="002138DC">
        <w:rPr>
          <w:rStyle w:val="aff6"/>
          <w:rtl/>
        </w:rPr>
        <w:fldChar w:fldCharType="separate"/>
      </w:r>
      <w:r w:rsidR="00265073">
        <w:rPr>
          <w:rStyle w:val="aff6"/>
          <w:cs/>
        </w:rPr>
        <w:t>‎</w:t>
      </w:r>
      <w:r w:rsidR="00265073">
        <w:rPr>
          <w:rStyle w:val="aff6"/>
          <w:rtl/>
        </w:rPr>
        <w:t>לא)</w:t>
      </w:r>
      <w:r w:rsidRPr="002138DC">
        <w:rPr>
          <w:rStyle w:val="aff6"/>
          <w:rtl/>
        </w:rPr>
        <w:fldChar w:fldCharType="end"/>
      </w:r>
      <w:r>
        <w:rPr>
          <w:rStyle w:val="afb"/>
          <w:rFonts w:hint="cs"/>
          <w:rtl/>
        </w:rPr>
        <w:t xml:space="preserve"> את דברי </w:t>
      </w:r>
      <w:r w:rsidRPr="002138DC">
        <w:rPr>
          <w:rStyle w:val="affa"/>
          <w:rFonts w:hint="cs"/>
          <w:rtl/>
        </w:rPr>
        <w:t>הרשב"ם</w:t>
      </w:r>
      <w:r w:rsidRPr="00B60BBC">
        <w:rPr>
          <w:rStyle w:val="afb"/>
          <w:rFonts w:hint="cs"/>
          <w:rtl/>
        </w:rPr>
        <w:t xml:space="preserve"> דטענת מינך זבינתה וטענת והא שטרא, הם טענה אחת, וכשהודה שהשטר פסול, ממילא בטלה טענתו],</w:t>
      </w:r>
      <w:r>
        <w:rPr>
          <w:rFonts w:hint="cs"/>
          <w:rtl/>
        </w:rPr>
        <w:t xml:space="preserve"> כתב </w:t>
      </w:r>
      <w:r w:rsidRPr="00990E93">
        <w:rPr>
          <w:rStyle w:val="af9"/>
          <w:rFonts w:hint="cs"/>
          <w:rtl/>
        </w:rPr>
        <w:t>הברכ"ש</w:t>
      </w:r>
      <w:r>
        <w:rPr>
          <w:rFonts w:hint="cs"/>
          <w:rtl/>
        </w:rPr>
        <w:t xml:space="preserve"> </w:t>
      </w:r>
      <w:r w:rsidRPr="00990E93">
        <w:rPr>
          <w:rStyle w:val="af7"/>
          <w:rFonts w:eastAsia="Guttman Hodes" w:hint="cs"/>
          <w:rtl/>
        </w:rPr>
        <w:t>(סי' ל"ב או' א')</w:t>
      </w:r>
      <w:r>
        <w:rPr>
          <w:rFonts w:hint="cs"/>
          <w:rtl/>
        </w:rPr>
        <w:t xml:space="preserve"> דרק במטלטלין מהני תפיסה בלא טענה, אבל בקרקע שבחזקת בעליה עומדת, כל שאין לו טענה לא חשיב תפוס כלל, וכשיש למערער עידי מרא קמא, המחזיק יכול לטעון רק טענת מינך זבינתה, שאינה סותרת לעידי המרא קמא, אבל אם הוא טוען טענה אחרת שהקרקע היא שלו, אינו יכול לטעון כן, כיון שלא חשיב תפוס בקרקע, </w:t>
      </w:r>
      <w:r w:rsidRPr="00BC313A">
        <w:rPr>
          <w:rStyle w:val="afb"/>
          <w:rFonts w:hint="cs"/>
          <w:rtl/>
        </w:rPr>
        <w:t xml:space="preserve">[ורק במטלטלין מהני טענה דדידי הוא, כדאיתא לקמן </w:t>
      </w:r>
      <w:r w:rsidRPr="003E6212">
        <w:rPr>
          <w:rStyle w:val="aff6"/>
          <w:rFonts w:hint="cs"/>
          <w:rtl/>
        </w:rPr>
        <w:t>(לג:)</w:t>
      </w:r>
      <w:r w:rsidRPr="00BC313A">
        <w:rPr>
          <w:rStyle w:val="afb"/>
          <w:rFonts w:hint="cs"/>
          <w:rtl/>
        </w:rPr>
        <w:t xml:space="preserve"> בנסכא דרב אבא],</w:t>
      </w:r>
      <w:r>
        <w:rPr>
          <w:rFonts w:hint="cs"/>
          <w:rtl/>
        </w:rPr>
        <w:t xml:space="preserve"> וביאר </w:t>
      </w:r>
      <w:r w:rsidRPr="002226C4">
        <w:rPr>
          <w:rStyle w:val="af9"/>
          <w:rFonts w:hint="cs"/>
          <w:rtl/>
        </w:rPr>
        <w:t>הברכ"ש</w:t>
      </w:r>
      <w:r>
        <w:rPr>
          <w:rFonts w:hint="cs"/>
          <w:rtl/>
        </w:rPr>
        <w:t xml:space="preserve"> דלכן ס"ל </w:t>
      </w:r>
      <w:r>
        <w:rPr>
          <w:rStyle w:val="af9"/>
          <w:rFonts w:hint="cs"/>
          <w:rtl/>
        </w:rPr>
        <w:t>ל</w:t>
      </w:r>
      <w:r w:rsidRPr="00990E93">
        <w:rPr>
          <w:rStyle w:val="af9"/>
          <w:rFonts w:hint="cs"/>
          <w:rtl/>
        </w:rPr>
        <w:t>הרשב"ם</w:t>
      </w:r>
      <w:r>
        <w:rPr>
          <w:rFonts w:hint="cs"/>
          <w:rtl/>
        </w:rPr>
        <w:t xml:space="preserve"> דכל שנפסל השטר של המחזיק, ובטלה טענת מינך זבינתה, ממילא אינו יכול לטעון טענה אחרת שהקרקע היא שלו, כיון שהיה לו שטר אחר, דחשיב כנגד עידי המרא קמא.</w:t>
      </w:r>
      <w:bookmarkEnd w:id="14045"/>
    </w:p>
    <w:p w:rsidR="003B7617" w:rsidRDefault="003B7617" w:rsidP="003B7617">
      <w:pPr>
        <w:pStyle w:val="a3"/>
      </w:pPr>
      <w:bookmarkStart w:id="14046" w:name="_Toc63247819"/>
      <w:r>
        <w:rPr>
          <w:rFonts w:hint="cs"/>
          <w:rtl/>
        </w:rPr>
        <w:t>ביאור הברכ"ש ברא"ש דטענת מינך זבינתה לא בטלה ואינה סותרת לעידי המרא קמא</w:t>
      </w:r>
      <w:bookmarkEnd w:id="14046"/>
    </w:p>
    <w:p w:rsidR="003B7617" w:rsidRDefault="003B7617" w:rsidP="007E4E81">
      <w:pPr>
        <w:pStyle w:val="a0"/>
        <w:rPr>
          <w:rtl/>
        </w:rPr>
      </w:pPr>
      <w:bookmarkStart w:id="14047" w:name="_Ref62760499"/>
      <w:r>
        <w:rPr>
          <w:rFonts w:hint="cs"/>
          <w:rtl/>
        </w:rPr>
        <w:t xml:space="preserve">ובדעת </w:t>
      </w:r>
      <w:r w:rsidRPr="00990E93">
        <w:rPr>
          <w:rStyle w:val="af9"/>
          <w:rFonts w:hint="cs"/>
          <w:rtl/>
        </w:rPr>
        <w:t>הרא"ש</w:t>
      </w:r>
      <w:r>
        <w:rPr>
          <w:rFonts w:hint="cs"/>
          <w:rtl/>
        </w:rPr>
        <w:t xml:space="preserve"> </w:t>
      </w:r>
      <w:r w:rsidRPr="002138DC">
        <w:rPr>
          <w:rStyle w:val="af7"/>
          <w:rFonts w:eastAsia="Guttman Hodes" w:hint="cs"/>
          <w:rtl/>
        </w:rPr>
        <w:t xml:space="preserve">(עי' אות </w:t>
      </w:r>
      <w:r w:rsidRPr="002138DC">
        <w:rPr>
          <w:rStyle w:val="af7"/>
          <w:rFonts w:eastAsia="Guttman Hodes"/>
          <w:rtl/>
        </w:rPr>
        <w:fldChar w:fldCharType="begin"/>
      </w:r>
      <w:r w:rsidRPr="002138DC">
        <w:rPr>
          <w:rStyle w:val="af7"/>
          <w:rFonts w:eastAsia="Guttman Hodes"/>
          <w:rtl/>
        </w:rPr>
        <w:instrText xml:space="preserve"> </w:instrText>
      </w:r>
      <w:r w:rsidRPr="002138DC">
        <w:rPr>
          <w:rStyle w:val="af7"/>
          <w:rFonts w:eastAsia="Guttman Hodes" w:hint="cs"/>
        </w:rPr>
        <w:instrText>REF</w:instrText>
      </w:r>
      <w:r w:rsidRPr="002138DC">
        <w:rPr>
          <w:rStyle w:val="af7"/>
          <w:rFonts w:eastAsia="Guttman Hodes" w:hint="cs"/>
          <w:rtl/>
        </w:rPr>
        <w:instrText xml:space="preserve"> _</w:instrText>
      </w:r>
      <w:r w:rsidRPr="002138DC">
        <w:rPr>
          <w:rStyle w:val="af7"/>
          <w:rFonts w:eastAsia="Guttman Hodes" w:hint="cs"/>
        </w:rPr>
        <w:instrText>Ref62760420 \r \h</w:instrText>
      </w:r>
      <w:r w:rsidRPr="002138DC">
        <w:rPr>
          <w:rStyle w:val="af7"/>
          <w:rFonts w:eastAsia="Guttman Hodes"/>
          <w:rtl/>
        </w:rPr>
        <w:instrText xml:space="preserve"> </w:instrText>
      </w:r>
      <w:r w:rsidRPr="002138DC">
        <w:rPr>
          <w:rStyle w:val="af7"/>
          <w:rFonts w:eastAsia="Guttman Hodes"/>
          <w:rtl/>
        </w:rPr>
      </w:r>
      <w:r w:rsidRPr="002138DC">
        <w:rPr>
          <w:rStyle w:val="af7"/>
          <w:rFonts w:eastAsia="Guttman Hodes"/>
          <w:rtl/>
        </w:rPr>
        <w:fldChar w:fldCharType="separate"/>
      </w:r>
      <w:r w:rsidR="00265073">
        <w:rPr>
          <w:rStyle w:val="af7"/>
          <w:rFonts w:eastAsia="Guttman Hodes"/>
          <w:cs/>
        </w:rPr>
        <w:t>‎</w:t>
      </w:r>
      <w:r w:rsidR="00265073">
        <w:rPr>
          <w:rStyle w:val="af7"/>
          <w:rFonts w:eastAsia="Guttman Hodes"/>
          <w:rtl/>
        </w:rPr>
        <w:t>לב)</w:t>
      </w:r>
      <w:r w:rsidRPr="002138DC">
        <w:rPr>
          <w:rStyle w:val="af7"/>
          <w:rFonts w:eastAsia="Guttman Hodes"/>
          <w:rtl/>
        </w:rPr>
        <w:fldChar w:fldCharType="end"/>
      </w:r>
      <w:r>
        <w:rPr>
          <w:rFonts w:hint="cs"/>
          <w:rtl/>
        </w:rPr>
        <w:t xml:space="preserve"> דפליג על </w:t>
      </w:r>
      <w:r w:rsidRPr="00990E93">
        <w:rPr>
          <w:rStyle w:val="af9"/>
          <w:rFonts w:hint="cs"/>
          <w:rtl/>
        </w:rPr>
        <w:t>הרשב"ם</w:t>
      </w:r>
      <w:r>
        <w:rPr>
          <w:rFonts w:hint="cs"/>
          <w:rtl/>
        </w:rPr>
        <w:t xml:space="preserve"> וכתב דעיקר הטענה הראשונה היא מינך זבינתה, ומה שאמר והא שטרא, אינו עיקר הטענה אלא הוא ראיה בעלמא, ביאר </w:t>
      </w:r>
      <w:r w:rsidRPr="00990E93">
        <w:rPr>
          <w:rStyle w:val="af9"/>
          <w:rFonts w:hint="cs"/>
          <w:rtl/>
        </w:rPr>
        <w:t>הברכ"ש</w:t>
      </w:r>
      <w:r>
        <w:rPr>
          <w:rFonts w:hint="cs"/>
          <w:rtl/>
        </w:rPr>
        <w:t xml:space="preserve"> דס"ל </w:t>
      </w:r>
      <w:r w:rsidRPr="00154D82">
        <w:rPr>
          <w:rStyle w:val="af9"/>
          <w:rFonts w:hint="cs"/>
          <w:rtl/>
        </w:rPr>
        <w:t>להרא</w:t>
      </w:r>
      <w:r w:rsidRPr="00990E93">
        <w:rPr>
          <w:rStyle w:val="af9"/>
          <w:rFonts w:hint="cs"/>
          <w:rtl/>
        </w:rPr>
        <w:t>"ש</w:t>
      </w:r>
      <w:r>
        <w:rPr>
          <w:rFonts w:hint="cs"/>
          <w:rtl/>
        </w:rPr>
        <w:t xml:space="preserve"> דאף שהשטר נפסל, מ"מ אין כל ריעותא בטענת מינך זבינתה, ולכן לא חשיב שטענתו היא כנגד עידי המרא קמא, דטענת מינך זבינתה, אינה סותרת לעידי המרא קמא, אך מודה </w:t>
      </w:r>
      <w:r w:rsidRPr="00BC313A">
        <w:rPr>
          <w:rStyle w:val="af9"/>
          <w:rFonts w:hint="cs"/>
          <w:rtl/>
        </w:rPr>
        <w:t>הרא"ש</w:t>
      </w:r>
      <w:r>
        <w:rPr>
          <w:rFonts w:hint="cs"/>
          <w:rtl/>
        </w:rPr>
        <w:t xml:space="preserve"> דאי בטלה טענת מינך זבינתה, אינו נאמן לטעון טענה אחרת כנגד עידי המרא קמא, ואינו נחשב תפוס בקרקע בחזקה בלא טענה.</w:t>
      </w:r>
      <w:bookmarkEnd w:id="14047"/>
    </w:p>
    <w:p w:rsidR="003B7617" w:rsidRDefault="003B7617" w:rsidP="003B7617">
      <w:pPr>
        <w:pStyle w:val="1"/>
        <w:rPr>
          <w:rtl/>
        </w:rPr>
      </w:pPr>
      <w:bookmarkStart w:id="14048" w:name="_Toc63247820"/>
      <w:r>
        <w:rPr>
          <w:rFonts w:hint="cs"/>
          <w:rtl/>
        </w:rPr>
        <w:t>ביאור הגרנ"פ ברא"ש דטענתו הראשונה בטלה ואינו חוזר וטוען</w:t>
      </w:r>
      <w:bookmarkEnd w:id="14048"/>
    </w:p>
    <w:p w:rsidR="003B7617" w:rsidRDefault="003B7617" w:rsidP="003B7617">
      <w:pPr>
        <w:pStyle w:val="a3"/>
        <w:rPr>
          <w:rtl/>
        </w:rPr>
      </w:pPr>
      <w:bookmarkStart w:id="14049" w:name="_Toc63247821"/>
      <w:r>
        <w:rPr>
          <w:rFonts w:hint="cs"/>
          <w:rtl/>
        </w:rPr>
        <w:t>קושיות הגרנ"פ על הרשב"ם דלא הכחיש את מה שטוען עכשיו ועוד דלא דמי למיגו במק"ע</w:t>
      </w:r>
      <w:bookmarkEnd w:id="14049"/>
    </w:p>
    <w:p w:rsidR="003B7617" w:rsidRDefault="003B7617" w:rsidP="007E4E81">
      <w:pPr>
        <w:pStyle w:val="a0"/>
        <w:rPr>
          <w:rtl/>
        </w:rPr>
      </w:pPr>
      <w:r>
        <w:rPr>
          <w:rFonts w:hint="cs"/>
          <w:rtl/>
        </w:rPr>
        <w:t xml:space="preserve">במ"ש </w:t>
      </w:r>
      <w:r w:rsidRPr="002138DC">
        <w:rPr>
          <w:rStyle w:val="af9"/>
          <w:rFonts w:hint="cs"/>
          <w:rtl/>
        </w:rPr>
        <w:t>הרשב"ם</w:t>
      </w:r>
      <w:r>
        <w:rPr>
          <w:rFonts w:hint="cs"/>
          <w:rtl/>
        </w:rPr>
        <w:t xml:space="preserve"> </w:t>
      </w:r>
      <w:r w:rsidRPr="002138DC">
        <w:rPr>
          <w:rStyle w:val="af7"/>
          <w:rFonts w:eastAsia="Guttman Hodes" w:hint="cs"/>
          <w:rtl/>
        </w:rPr>
        <w:t xml:space="preserve">(עי' אות </w:t>
      </w:r>
      <w:r w:rsidRPr="002138DC">
        <w:rPr>
          <w:rStyle w:val="af7"/>
          <w:rFonts w:eastAsia="Guttman Hodes"/>
          <w:rtl/>
        </w:rPr>
        <w:fldChar w:fldCharType="begin"/>
      </w:r>
      <w:r w:rsidRPr="002138DC">
        <w:rPr>
          <w:rStyle w:val="af7"/>
          <w:rFonts w:eastAsia="Guttman Hodes"/>
          <w:rtl/>
        </w:rPr>
        <w:instrText xml:space="preserve"> </w:instrText>
      </w:r>
      <w:r w:rsidRPr="002138DC">
        <w:rPr>
          <w:rStyle w:val="af7"/>
          <w:rFonts w:eastAsia="Guttman Hodes" w:hint="cs"/>
        </w:rPr>
        <w:instrText>REF</w:instrText>
      </w:r>
      <w:r w:rsidRPr="002138DC">
        <w:rPr>
          <w:rStyle w:val="af7"/>
          <w:rFonts w:eastAsia="Guttman Hodes" w:hint="cs"/>
          <w:rtl/>
        </w:rPr>
        <w:instrText xml:space="preserve"> _</w:instrText>
      </w:r>
      <w:r w:rsidRPr="002138DC">
        <w:rPr>
          <w:rStyle w:val="af7"/>
          <w:rFonts w:eastAsia="Guttman Hodes" w:hint="cs"/>
        </w:rPr>
        <w:instrText>Ref62588040 \r \h</w:instrText>
      </w:r>
      <w:r w:rsidRPr="002138DC">
        <w:rPr>
          <w:rStyle w:val="af7"/>
          <w:rFonts w:eastAsia="Guttman Hodes"/>
          <w:rtl/>
        </w:rPr>
        <w:instrText xml:space="preserve"> </w:instrText>
      </w:r>
      <w:r w:rsidRPr="002138DC">
        <w:rPr>
          <w:rStyle w:val="af7"/>
          <w:rFonts w:eastAsia="Guttman Hodes"/>
          <w:rtl/>
        </w:rPr>
      </w:r>
      <w:r w:rsidRPr="002138DC">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2138DC">
        <w:rPr>
          <w:rStyle w:val="af7"/>
          <w:rFonts w:eastAsia="Guttman Hodes"/>
          <w:rtl/>
        </w:rPr>
        <w:fldChar w:fldCharType="end"/>
      </w:r>
      <w:r>
        <w:rPr>
          <w:rFonts w:hint="cs"/>
          <w:rtl/>
        </w:rPr>
        <w:t xml:space="preserve"> דבסוגיין לא מהני מיגו, כיון דבכל מיגו ב' הטענות יכולות להיות אמת, והכא הוא מיגו במקום עדים, דהכח של המחזיק הוא מחמת השטר, וא"א להאמין לו במיגו לשטר, דהא הודה שהשטר פסול, כתב </w:t>
      </w:r>
      <w:r w:rsidRPr="00F05776">
        <w:rPr>
          <w:rStyle w:val="af9"/>
          <w:rFonts w:hint="cs"/>
          <w:rtl/>
        </w:rPr>
        <w:t>בחי'</w:t>
      </w:r>
      <w:r>
        <w:rPr>
          <w:rFonts w:hint="cs"/>
          <w:rtl/>
        </w:rPr>
        <w:t xml:space="preserve"> </w:t>
      </w:r>
      <w:r w:rsidRPr="00F05776">
        <w:rPr>
          <w:rStyle w:val="af9"/>
          <w:rFonts w:hint="cs"/>
          <w:rtl/>
        </w:rPr>
        <w:t>רבי</w:t>
      </w:r>
      <w:r>
        <w:rPr>
          <w:rFonts w:hint="cs"/>
          <w:rtl/>
        </w:rPr>
        <w:t xml:space="preserve"> </w:t>
      </w:r>
      <w:r w:rsidRPr="00F05776">
        <w:rPr>
          <w:rStyle w:val="af9"/>
          <w:rFonts w:hint="cs"/>
          <w:rtl/>
        </w:rPr>
        <w:t>נחום</w:t>
      </w:r>
      <w:r>
        <w:rPr>
          <w:rFonts w:hint="cs"/>
          <w:rtl/>
        </w:rPr>
        <w:t xml:space="preserve"> </w:t>
      </w:r>
      <w:r w:rsidRPr="000810C9">
        <w:rPr>
          <w:rStyle w:val="af7"/>
          <w:rFonts w:eastAsia="Guttman Hodes" w:hint="cs"/>
          <w:rtl/>
        </w:rPr>
        <w:t>(או' קמ"ב ד"ה רשב"ם)</w:t>
      </w:r>
      <w:r>
        <w:rPr>
          <w:rFonts w:hint="cs"/>
          <w:rtl/>
        </w:rPr>
        <w:t xml:space="preserve"> דמשמע דכוונת </w:t>
      </w:r>
      <w:r w:rsidRPr="00EE0FC5">
        <w:rPr>
          <w:rStyle w:val="af9"/>
          <w:rFonts w:hint="cs"/>
          <w:rtl/>
        </w:rPr>
        <w:t>הרשב"ם</w:t>
      </w:r>
      <w:r>
        <w:rPr>
          <w:rFonts w:hint="cs"/>
          <w:rtl/>
        </w:rPr>
        <w:t xml:space="preserve"> לומר דכיון שהוא עצמו הודה דהטענה של המיגו </w:t>
      </w:r>
      <w:r>
        <w:rPr>
          <w:rFonts w:hint="cs"/>
          <w:rtl/>
        </w:rPr>
        <w:t xml:space="preserve">היא שקר, א"כ חשיב שיש עדים שמכחישים את טענת המיגו, והקשה </w:t>
      </w:r>
      <w:r w:rsidRPr="00F05776">
        <w:rPr>
          <w:rStyle w:val="af9"/>
          <w:rFonts w:hint="cs"/>
          <w:rtl/>
        </w:rPr>
        <w:t>בחי' רבי נחום</w:t>
      </w:r>
      <w:r>
        <w:rPr>
          <w:rFonts w:hint="cs"/>
          <w:rtl/>
        </w:rPr>
        <w:t xml:space="preserve"> דלא דמי כלל לעדים, דכשיש עדים כנגד טענת המיגו, א"כ בטל כל המיגו, אבל הכא זה גופא המיגו דלא היה מודה וטוען שהוא שטר טוב, וכן קשה מ"ש </w:t>
      </w:r>
      <w:r w:rsidRPr="00EE0FC5">
        <w:rPr>
          <w:rStyle w:val="af9"/>
          <w:rFonts w:hint="cs"/>
          <w:rtl/>
        </w:rPr>
        <w:t>הרשב"ם</w:t>
      </w:r>
      <w:r>
        <w:rPr>
          <w:rFonts w:hint="cs"/>
          <w:rtl/>
        </w:rPr>
        <w:t xml:space="preserve"> דהוא כמיגו במקום עדים, והא במיגו במקום עדים ההכחשה היא על מה שטוען עכשיו, והכא הא הודה על הטענה שהיה יכול לטעון, וכבר הקשה כן </w:t>
      </w:r>
      <w:r w:rsidRPr="00296131">
        <w:rPr>
          <w:rStyle w:val="af9"/>
          <w:rFonts w:hint="cs"/>
          <w:rtl/>
        </w:rPr>
        <w:t>בפסקי הרי"ד</w:t>
      </w:r>
      <w:r>
        <w:rPr>
          <w:rFonts w:hint="cs"/>
          <w:rtl/>
        </w:rPr>
        <w:t xml:space="preserve"> </w:t>
      </w:r>
      <w:r w:rsidRPr="00032ED8">
        <w:rPr>
          <w:rStyle w:val="af7"/>
          <w:rFonts w:eastAsia="Guttman Hodes" w:hint="cs"/>
          <w:rtl/>
        </w:rPr>
        <w:t xml:space="preserve">(עי' אות </w:t>
      </w:r>
      <w:r w:rsidRPr="00032ED8">
        <w:rPr>
          <w:rStyle w:val="af7"/>
          <w:rFonts w:eastAsia="Guttman Hodes"/>
          <w:rtl/>
        </w:rPr>
        <w:fldChar w:fldCharType="begin"/>
      </w:r>
      <w:r w:rsidRPr="00032ED8">
        <w:rPr>
          <w:rStyle w:val="af7"/>
          <w:rFonts w:eastAsia="Guttman Hodes"/>
          <w:rtl/>
        </w:rPr>
        <w:instrText xml:space="preserve"> </w:instrText>
      </w:r>
      <w:r w:rsidRPr="00032ED8">
        <w:rPr>
          <w:rStyle w:val="af7"/>
          <w:rFonts w:eastAsia="Guttman Hodes" w:hint="cs"/>
        </w:rPr>
        <w:instrText>REF</w:instrText>
      </w:r>
      <w:r w:rsidRPr="00032ED8">
        <w:rPr>
          <w:rStyle w:val="af7"/>
          <w:rFonts w:eastAsia="Guttman Hodes" w:hint="cs"/>
          <w:rtl/>
        </w:rPr>
        <w:instrText xml:space="preserve"> _</w:instrText>
      </w:r>
      <w:r w:rsidRPr="00032ED8">
        <w:rPr>
          <w:rStyle w:val="af7"/>
          <w:rFonts w:eastAsia="Guttman Hodes" w:hint="cs"/>
        </w:rPr>
        <w:instrText>Ref63242531 \r \h</w:instrText>
      </w:r>
      <w:r w:rsidRPr="00032ED8">
        <w:rPr>
          <w:rStyle w:val="af7"/>
          <w:rFonts w:eastAsia="Guttman Hodes"/>
          <w:rtl/>
        </w:rPr>
        <w:instrText xml:space="preserve"> </w:instrText>
      </w:r>
      <w:r w:rsidRPr="00032ED8">
        <w:rPr>
          <w:rStyle w:val="af7"/>
          <w:rFonts w:eastAsia="Guttman Hodes"/>
          <w:rtl/>
        </w:rPr>
      </w:r>
      <w:r w:rsidRPr="00032ED8">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032ED8">
        <w:rPr>
          <w:rStyle w:val="af7"/>
          <w:rFonts w:eastAsia="Guttman Hodes"/>
          <w:rtl/>
        </w:rPr>
        <w:fldChar w:fldCharType="end"/>
      </w:r>
      <w:r>
        <w:rPr>
          <w:rFonts w:hint="cs"/>
          <w:rtl/>
        </w:rPr>
        <w:t>.</w:t>
      </w:r>
    </w:p>
    <w:p w:rsidR="003B7617" w:rsidRDefault="003B7617" w:rsidP="003B7617">
      <w:pPr>
        <w:pStyle w:val="a3"/>
        <w:rPr>
          <w:rtl/>
        </w:rPr>
      </w:pPr>
      <w:bookmarkStart w:id="14050" w:name="_Toc63247822"/>
      <w:r>
        <w:rPr>
          <w:rFonts w:hint="cs"/>
          <w:rtl/>
        </w:rPr>
        <w:t>קושית הגרנ"פ על ביאור הרא"ש ברשב"ם דאף שהם טענה אחת מ"מ אי"ז שייך למיגו במק"ע</w:t>
      </w:r>
      <w:bookmarkEnd w:id="14050"/>
    </w:p>
    <w:p w:rsidR="003B7617" w:rsidRDefault="003B7617" w:rsidP="007E4E81">
      <w:pPr>
        <w:pStyle w:val="a0"/>
        <w:rPr>
          <w:rtl/>
        </w:rPr>
      </w:pPr>
      <w:r>
        <w:rPr>
          <w:rFonts w:hint="cs"/>
          <w:rtl/>
        </w:rPr>
        <w:t xml:space="preserve">ובמה שביאר </w:t>
      </w:r>
      <w:r w:rsidRPr="004B70FD">
        <w:rPr>
          <w:rStyle w:val="af9"/>
          <w:rFonts w:hint="cs"/>
          <w:rtl/>
        </w:rPr>
        <w:t>הרא"ש</w:t>
      </w:r>
      <w:r>
        <w:rPr>
          <w:rFonts w:hint="cs"/>
          <w:rtl/>
        </w:rPr>
        <w:t xml:space="preserve"> </w:t>
      </w:r>
      <w:r w:rsidRPr="005D018E">
        <w:rPr>
          <w:rStyle w:val="af7"/>
          <w:rFonts w:eastAsia="Guttman Hodes" w:hint="cs"/>
          <w:rtl/>
        </w:rPr>
        <w:t xml:space="preserve">(עי' אות </w:t>
      </w:r>
      <w:r w:rsidRPr="005D018E">
        <w:rPr>
          <w:rStyle w:val="af7"/>
          <w:rFonts w:eastAsia="Guttman Hodes"/>
          <w:rtl/>
        </w:rPr>
        <w:fldChar w:fldCharType="begin"/>
      </w:r>
      <w:r w:rsidRPr="005D018E">
        <w:rPr>
          <w:rStyle w:val="af7"/>
          <w:rFonts w:eastAsia="Guttman Hodes"/>
          <w:rtl/>
        </w:rPr>
        <w:instrText xml:space="preserve"> </w:instrText>
      </w:r>
      <w:r w:rsidRPr="005D018E">
        <w:rPr>
          <w:rStyle w:val="af7"/>
          <w:rFonts w:eastAsia="Guttman Hodes" w:hint="cs"/>
        </w:rPr>
        <w:instrText>REF</w:instrText>
      </w:r>
      <w:r w:rsidRPr="005D018E">
        <w:rPr>
          <w:rStyle w:val="af7"/>
          <w:rFonts w:eastAsia="Guttman Hodes" w:hint="cs"/>
          <w:rtl/>
        </w:rPr>
        <w:instrText xml:space="preserve"> _</w:instrText>
      </w:r>
      <w:r w:rsidRPr="005D018E">
        <w:rPr>
          <w:rStyle w:val="af7"/>
          <w:rFonts w:eastAsia="Guttman Hodes" w:hint="cs"/>
        </w:rPr>
        <w:instrText>Ref63180245 \r \h</w:instrText>
      </w:r>
      <w:r w:rsidRPr="005D018E">
        <w:rPr>
          <w:rStyle w:val="af7"/>
          <w:rFonts w:eastAsia="Guttman Hodes"/>
          <w:rtl/>
        </w:rPr>
        <w:instrText xml:space="preserve"> </w:instrText>
      </w:r>
      <w:r w:rsidRPr="005D018E">
        <w:rPr>
          <w:rStyle w:val="af7"/>
          <w:rFonts w:eastAsia="Guttman Hodes"/>
          <w:rtl/>
        </w:rPr>
      </w:r>
      <w:r w:rsidRPr="005D018E">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5D018E">
        <w:rPr>
          <w:rStyle w:val="af7"/>
          <w:rFonts w:eastAsia="Guttman Hodes"/>
          <w:rtl/>
        </w:rPr>
        <w:fldChar w:fldCharType="end"/>
      </w:r>
      <w:r>
        <w:rPr>
          <w:rFonts w:hint="cs"/>
          <w:rtl/>
        </w:rPr>
        <w:t xml:space="preserve"> את דברי </w:t>
      </w:r>
      <w:r w:rsidRPr="004B70FD">
        <w:rPr>
          <w:rStyle w:val="af9"/>
          <w:rFonts w:hint="cs"/>
          <w:rtl/>
        </w:rPr>
        <w:t>הרשב"ם</w:t>
      </w:r>
      <w:r>
        <w:rPr>
          <w:rFonts w:hint="cs"/>
          <w:rtl/>
        </w:rPr>
        <w:t xml:space="preserve"> דטענת והא שטרא היא אותה טענה עם טענת מינך זבינתה, כתב </w:t>
      </w:r>
      <w:r w:rsidRPr="004B70FD">
        <w:rPr>
          <w:rStyle w:val="af9"/>
          <w:rFonts w:hint="cs"/>
          <w:rtl/>
        </w:rPr>
        <w:t xml:space="preserve">בחי' </w:t>
      </w:r>
      <w:r w:rsidRPr="005D018E">
        <w:rPr>
          <w:rStyle w:val="af9"/>
          <w:rFonts w:hint="cs"/>
          <w:rtl/>
        </w:rPr>
        <w:t>רבי נחום</w:t>
      </w:r>
      <w:r>
        <w:rPr>
          <w:rFonts w:hint="cs"/>
          <w:rtl/>
        </w:rPr>
        <w:t xml:space="preserve"> </w:t>
      </w:r>
      <w:r w:rsidRPr="005D018E">
        <w:rPr>
          <w:rStyle w:val="af7"/>
          <w:rFonts w:eastAsia="Guttman Hodes" w:hint="cs"/>
          <w:rtl/>
        </w:rPr>
        <w:t>(או' קמ"ב ד"ה והנה לפי)</w:t>
      </w:r>
      <w:r>
        <w:rPr>
          <w:rFonts w:hint="cs"/>
          <w:rtl/>
        </w:rPr>
        <w:t xml:space="preserve"> דמשמע מדברי </w:t>
      </w:r>
      <w:r w:rsidRPr="004B70FD">
        <w:rPr>
          <w:rStyle w:val="af9"/>
          <w:rFonts w:hint="cs"/>
          <w:rtl/>
        </w:rPr>
        <w:t>הרא"ש</w:t>
      </w:r>
      <w:r>
        <w:rPr>
          <w:rFonts w:hint="cs"/>
          <w:rtl/>
        </w:rPr>
        <w:t xml:space="preserve"> דכיון שהם טענה אחת, א"כ כשחזר בו מטענת והא שטרא אינו יכול לחזור ולטעון, אך הקשה </w:t>
      </w:r>
      <w:r w:rsidRPr="005D018E">
        <w:rPr>
          <w:rStyle w:val="af9"/>
          <w:rFonts w:hint="cs"/>
          <w:rtl/>
        </w:rPr>
        <w:t>בחי' רבי נחום</w:t>
      </w:r>
      <w:r>
        <w:rPr>
          <w:rFonts w:hint="cs"/>
          <w:rtl/>
        </w:rPr>
        <w:t xml:space="preserve"> דא"כ אי"ז שייך כלל למיגו במקום עדים,</w:t>
      </w:r>
    </w:p>
    <w:p w:rsidR="003B7617" w:rsidRDefault="003B7617" w:rsidP="003B7617">
      <w:pPr>
        <w:pStyle w:val="a3"/>
        <w:rPr>
          <w:rtl/>
        </w:rPr>
      </w:pPr>
      <w:bookmarkStart w:id="14051" w:name="_Toc63247823"/>
      <w:r>
        <w:rPr>
          <w:rFonts w:hint="cs"/>
          <w:rtl/>
        </w:rPr>
        <w:t>ביאור הגרנ"פ ברא"ש דכשהודה בטלה טענתו הראשונה לגמרי ואינו נאמן לחזור ולפרשה</w:t>
      </w:r>
      <w:bookmarkEnd w:id="14051"/>
    </w:p>
    <w:p w:rsidR="003B7617" w:rsidRDefault="003B7617" w:rsidP="007E4E81">
      <w:pPr>
        <w:pStyle w:val="a0"/>
        <w:rPr>
          <w:rtl/>
        </w:rPr>
      </w:pPr>
      <w:bookmarkStart w:id="14052" w:name="_Ref63180322"/>
      <w:r>
        <w:rPr>
          <w:rFonts w:hint="cs"/>
          <w:rtl/>
        </w:rPr>
        <w:t xml:space="preserve">וכתב </w:t>
      </w:r>
      <w:r w:rsidRPr="004B70FD">
        <w:rPr>
          <w:rStyle w:val="af9"/>
          <w:rFonts w:hint="cs"/>
          <w:rtl/>
        </w:rPr>
        <w:t>בחי' רבי נחום</w:t>
      </w:r>
      <w:r>
        <w:rPr>
          <w:rFonts w:hint="cs"/>
          <w:rtl/>
        </w:rPr>
        <w:t xml:space="preserve"> דביאר </w:t>
      </w:r>
      <w:r w:rsidRPr="00C15BCF">
        <w:rPr>
          <w:rStyle w:val="af9"/>
          <w:rFonts w:hint="cs"/>
          <w:rtl/>
        </w:rPr>
        <w:t>הרא"ש</w:t>
      </w:r>
      <w:r>
        <w:rPr>
          <w:rFonts w:hint="cs"/>
          <w:rtl/>
        </w:rPr>
        <w:t xml:space="preserve"> דכוונת </w:t>
      </w:r>
      <w:r w:rsidRPr="004B70FD">
        <w:rPr>
          <w:rStyle w:val="af9"/>
          <w:rFonts w:hint="cs"/>
          <w:rtl/>
        </w:rPr>
        <w:t>הרשב"ם</w:t>
      </w:r>
      <w:r>
        <w:rPr>
          <w:rFonts w:hint="cs"/>
          <w:rtl/>
        </w:rPr>
        <w:t xml:space="preserve"> לומר דאינו נאמן בטענתו השניה לבאר את כוונתו בטענתו הראשונה, דקנאה ע"י שטר אחר, ונקט שטר בידו כל שהוא, כיון דדמי למיגו במקום עדים, [וכדביאר </w:t>
      </w:r>
      <w:r w:rsidRPr="004B70FD">
        <w:rPr>
          <w:rStyle w:val="af9"/>
          <w:rFonts w:hint="cs"/>
          <w:rtl/>
        </w:rPr>
        <w:t>בחי' רבי נחום לעיל</w:t>
      </w:r>
      <w:r>
        <w:rPr>
          <w:rFonts w:hint="cs"/>
          <w:rtl/>
        </w:rPr>
        <w:t xml:space="preserve"> </w:t>
      </w:r>
      <w:r w:rsidRPr="00A558A3">
        <w:rPr>
          <w:rStyle w:val="af7"/>
          <w:rFonts w:eastAsia="Guttman Hodes" w:hint="cs"/>
          <w:rtl/>
        </w:rPr>
        <w:t xml:space="preserve">(או' פ"ב ד"ה </w:t>
      </w:r>
      <w:r w:rsidRPr="005D018E">
        <w:rPr>
          <w:rStyle w:val="af7"/>
          <w:rFonts w:eastAsia="Guttman Hodes" w:hint="cs"/>
          <w:rtl/>
        </w:rPr>
        <w:t>ולפי"ז נבא, הובא בסימן י"ב אות פ')</w:t>
      </w:r>
      <w:r>
        <w:rPr>
          <w:rFonts w:hint="cs"/>
          <w:rtl/>
        </w:rPr>
        <w:t xml:space="preserve"> דבמקום שהעדים מכחישים את טענתו אין לו טענה כלל, ולכן לא מהני מיגו במקום עדים], וכתב </w:t>
      </w:r>
      <w:r w:rsidRPr="004B70FD">
        <w:rPr>
          <w:rStyle w:val="af9"/>
          <w:rFonts w:hint="cs"/>
          <w:rtl/>
        </w:rPr>
        <w:t>בחי'</w:t>
      </w:r>
      <w:r>
        <w:rPr>
          <w:rFonts w:hint="cs"/>
          <w:rtl/>
        </w:rPr>
        <w:t xml:space="preserve"> </w:t>
      </w:r>
      <w:r w:rsidRPr="004B70FD">
        <w:rPr>
          <w:rStyle w:val="af9"/>
          <w:rFonts w:hint="cs"/>
          <w:rtl/>
        </w:rPr>
        <w:t>רבי נחום</w:t>
      </w:r>
      <w:r>
        <w:rPr>
          <w:rFonts w:hint="cs"/>
          <w:rtl/>
        </w:rPr>
        <w:t xml:space="preserve"> דא"כ ה"ה כשהודה דטענתו הראשונה והא שטרא היא בשטר מזויף, א"כ חשיב שלא טען כלל ואינו יכול לחזור ולפרש את טענתו</w:t>
      </w:r>
      <w:bookmarkStart w:id="14053" w:name="_Ref63242771"/>
      <w:r>
        <w:rPr>
          <w:rStyle w:val="af1"/>
          <w:rtl/>
        </w:rPr>
        <w:footnoteReference w:id="99"/>
      </w:r>
      <w:bookmarkEnd w:id="14053"/>
      <w:r>
        <w:rPr>
          <w:rFonts w:hint="cs"/>
          <w:rtl/>
        </w:rPr>
        <w:t xml:space="preserve">, ומ"ש </w:t>
      </w:r>
      <w:r w:rsidRPr="005D018E">
        <w:rPr>
          <w:rStyle w:val="af9"/>
          <w:rFonts w:hint="cs"/>
          <w:rtl/>
        </w:rPr>
        <w:t>הרא"ש</w:t>
      </w:r>
      <w:r>
        <w:rPr>
          <w:rFonts w:hint="cs"/>
          <w:rtl/>
        </w:rPr>
        <w:t xml:space="preserve"> שהם טענה אחת, כוונתו לומר דרק כיון שהם טענה אחת, אפש"ל דכל טענתו שטען בתחילה מינך זבינתה הוכחשה לגמרי, ואינה טענה כלל וממילא לא נאמן לחזור ולפרשה</w:t>
      </w:r>
      <w:r>
        <w:rPr>
          <w:rStyle w:val="af1"/>
          <w:rtl/>
        </w:rPr>
        <w:footnoteReference w:id="100"/>
      </w:r>
      <w:r>
        <w:rPr>
          <w:rFonts w:hint="cs"/>
          <w:rtl/>
        </w:rPr>
        <w:t>.</w:t>
      </w:r>
      <w:bookmarkEnd w:id="14052"/>
    </w:p>
    <w:p w:rsidR="003B7617" w:rsidRDefault="003B7617" w:rsidP="003B7617">
      <w:pPr>
        <w:pStyle w:val="afe"/>
        <w:rPr>
          <w:rtl/>
        </w:rPr>
      </w:pPr>
      <w:bookmarkStart w:id="14054" w:name="_Toc63247824"/>
      <w:bookmarkStart w:id="14055" w:name="_Toc63163545"/>
      <w:r>
        <w:rPr>
          <w:rFonts w:hint="cs"/>
          <w:rtl/>
        </w:rPr>
        <w:t>בי' הגרנ"פ בכח הטענה לדעת הנימוק"י</w:t>
      </w:r>
      <w:bookmarkEnd w:id="14054"/>
    </w:p>
    <w:p w:rsidR="003B7617" w:rsidRDefault="003B7617" w:rsidP="003B7617">
      <w:pPr>
        <w:pStyle w:val="1"/>
        <w:rPr>
          <w:rtl/>
        </w:rPr>
      </w:pPr>
      <w:bookmarkStart w:id="14056" w:name="_Toc63188821"/>
      <w:bookmarkStart w:id="14057" w:name="_Toc63247825"/>
      <w:r>
        <w:rPr>
          <w:rFonts w:hint="cs"/>
          <w:rtl/>
        </w:rPr>
        <w:t>ביאור הגרנ"פ בנימוק"י</w:t>
      </w:r>
      <w:bookmarkEnd w:id="14055"/>
      <w:bookmarkEnd w:id="14056"/>
      <w:r>
        <w:rPr>
          <w:rFonts w:hint="cs"/>
          <w:rtl/>
        </w:rPr>
        <w:t xml:space="preserve"> ובריטב"א דבהודה אין לו כח טענת מיגו</w:t>
      </w:r>
      <w:bookmarkEnd w:id="14057"/>
    </w:p>
    <w:p w:rsidR="003B7617" w:rsidRDefault="003B7617" w:rsidP="003B7617">
      <w:pPr>
        <w:pStyle w:val="a3"/>
        <w:rPr>
          <w:rtl/>
        </w:rPr>
      </w:pPr>
      <w:bookmarkStart w:id="14058" w:name="_Toc63247826"/>
      <w:r>
        <w:rPr>
          <w:rFonts w:hint="cs"/>
          <w:rtl/>
        </w:rPr>
        <w:t>ביאור הגרנ"פ בנימוק"י דטענת המיגו חשיבא כמיגו במק"ע ולא מה שטוען עכשיו</w:t>
      </w:r>
      <w:r w:rsidRPr="0070052C">
        <w:rPr>
          <w:rFonts w:hint="cs"/>
          <w:rtl/>
        </w:rPr>
        <w:t xml:space="preserve"> </w:t>
      </w:r>
      <w:r>
        <w:rPr>
          <w:rFonts w:hint="cs"/>
          <w:rtl/>
        </w:rPr>
        <w:t>כד' הרא"ש</w:t>
      </w:r>
      <w:bookmarkEnd w:id="14058"/>
    </w:p>
    <w:p w:rsidR="003B7617" w:rsidRDefault="003B7617" w:rsidP="007E4E81">
      <w:pPr>
        <w:pStyle w:val="a0"/>
        <w:rPr>
          <w:rtl/>
        </w:rPr>
      </w:pPr>
      <w:bookmarkStart w:id="14059" w:name="_Ref63243610"/>
      <w:r>
        <w:rPr>
          <w:rFonts w:hint="cs"/>
          <w:rtl/>
        </w:rPr>
        <w:t xml:space="preserve">במה שביאר </w:t>
      </w:r>
      <w:r>
        <w:rPr>
          <w:rStyle w:val="af9"/>
          <w:rtl/>
        </w:rPr>
        <w:t xml:space="preserve">הנימוק"י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Ref63243572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Pr>
          <w:rStyle w:val="af7"/>
          <w:rFonts w:eastAsia="Guttman Hodes"/>
          <w:rtl/>
        </w:rPr>
        <w:fldChar w:fldCharType="end"/>
      </w:r>
      <w:r>
        <w:rPr>
          <w:rStyle w:val="af7"/>
          <w:rFonts w:eastAsia="Guttman Hodes" w:hint="cs"/>
          <w:rtl/>
        </w:rPr>
        <w:t xml:space="preserve"> </w:t>
      </w:r>
      <w:r>
        <w:rPr>
          <w:rStyle w:val="af9"/>
          <w:rtl/>
        </w:rPr>
        <w:t>ברשב"ם</w:t>
      </w:r>
      <w:r>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Ref62588040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כט</w:t>
      </w:r>
      <w:r w:rsidR="00265073">
        <w:rPr>
          <w:rStyle w:val="af7"/>
          <w:rFonts w:eastAsia="Guttman Hodes"/>
          <w:rtl/>
        </w:rPr>
        <w:t>)</w:t>
      </w:r>
      <w:r>
        <w:rPr>
          <w:rStyle w:val="af7"/>
          <w:rFonts w:eastAsia="Guttman Hodes" w:hint="cs"/>
          <w:rtl/>
        </w:rPr>
        <w:fldChar w:fldCharType="end"/>
      </w:r>
      <w:r>
        <w:rPr>
          <w:rFonts w:hint="cs"/>
          <w:rtl/>
        </w:rPr>
        <w:t xml:space="preserve"> דלא מהני המיגו כיון שאין ב' הטענות יכולות להיות אמת, ואף מיגו להחזיק לא מהני, דדמי למיגו במקום עדים, כיון שהודה ממש בפני המערער, שהשטר מזויף, כתב </w:t>
      </w:r>
      <w:r w:rsidRPr="009F6E02">
        <w:rPr>
          <w:rStyle w:val="af9"/>
          <w:rFonts w:hint="cs"/>
          <w:rtl/>
        </w:rPr>
        <w:t>בחי'</w:t>
      </w:r>
      <w:r>
        <w:rPr>
          <w:rFonts w:hint="cs"/>
          <w:rtl/>
        </w:rPr>
        <w:t xml:space="preserve"> </w:t>
      </w:r>
      <w:r w:rsidRPr="009F6E02">
        <w:rPr>
          <w:rStyle w:val="af9"/>
          <w:rFonts w:hint="cs"/>
          <w:rtl/>
        </w:rPr>
        <w:t>רבי</w:t>
      </w:r>
      <w:r>
        <w:rPr>
          <w:rFonts w:hint="cs"/>
          <w:rtl/>
        </w:rPr>
        <w:t xml:space="preserve"> </w:t>
      </w:r>
      <w:r w:rsidRPr="009F6E02">
        <w:rPr>
          <w:rStyle w:val="af9"/>
          <w:rFonts w:hint="cs"/>
          <w:rtl/>
        </w:rPr>
        <w:t>נחום</w:t>
      </w:r>
      <w:r>
        <w:rPr>
          <w:rFonts w:hint="cs"/>
          <w:rtl/>
        </w:rPr>
        <w:t xml:space="preserve"> </w:t>
      </w:r>
      <w:r w:rsidRPr="005203BD">
        <w:rPr>
          <w:rStyle w:val="af7"/>
          <w:rFonts w:eastAsia="Guttman Hodes" w:hint="cs"/>
          <w:rtl/>
        </w:rPr>
        <w:t>(או' קמ"ג ד"ה בביאור)</w:t>
      </w:r>
      <w:r>
        <w:rPr>
          <w:rFonts w:hint="cs"/>
          <w:rtl/>
        </w:rPr>
        <w:t xml:space="preserve"> דמבואר מדברי </w:t>
      </w:r>
      <w:r w:rsidRPr="009F6E02">
        <w:rPr>
          <w:rStyle w:val="af9"/>
          <w:rFonts w:hint="cs"/>
          <w:rtl/>
        </w:rPr>
        <w:t>הנימוק"י</w:t>
      </w:r>
      <w:r>
        <w:rPr>
          <w:rFonts w:hint="cs"/>
          <w:rtl/>
        </w:rPr>
        <w:t xml:space="preserve"> דכוונת </w:t>
      </w:r>
      <w:r w:rsidRPr="009F6E02">
        <w:rPr>
          <w:rStyle w:val="af9"/>
          <w:rFonts w:hint="cs"/>
          <w:rtl/>
        </w:rPr>
        <w:t>הרשב"ם</w:t>
      </w:r>
      <w:r>
        <w:rPr>
          <w:rFonts w:hint="cs"/>
          <w:rtl/>
        </w:rPr>
        <w:t xml:space="preserve"> לומר דטענת המיגו שהיה יכול לומר שהשטר הוא שטר טוב, חשיבא כמיגו במקום עדים, ולא כמבואר </w:t>
      </w:r>
      <w:r>
        <w:rPr>
          <w:rFonts w:hint="cs"/>
          <w:rtl/>
        </w:rPr>
        <w:lastRenderedPageBreak/>
        <w:t xml:space="preserve">מדברי </w:t>
      </w:r>
      <w:r w:rsidRPr="009F6E02">
        <w:rPr>
          <w:rStyle w:val="af9"/>
          <w:rFonts w:hint="cs"/>
          <w:rtl/>
        </w:rPr>
        <w:t>הרא"ש</w:t>
      </w:r>
      <w:r w:rsidRPr="005203BD">
        <w:rPr>
          <w:rStyle w:val="af7"/>
          <w:rFonts w:eastAsia="Guttman Hodes" w:hint="cs"/>
          <w:rtl/>
        </w:rPr>
        <w:t xml:space="preserve"> (עי' אות </w:t>
      </w:r>
      <w:r w:rsidRPr="005203BD">
        <w:rPr>
          <w:rStyle w:val="af7"/>
          <w:rFonts w:eastAsia="Guttman Hodes"/>
          <w:rtl/>
        </w:rPr>
        <w:fldChar w:fldCharType="begin"/>
      </w:r>
      <w:r w:rsidRPr="005203BD">
        <w:rPr>
          <w:rStyle w:val="af7"/>
          <w:rFonts w:eastAsia="Guttman Hodes"/>
          <w:rtl/>
        </w:rPr>
        <w:instrText xml:space="preserve"> </w:instrText>
      </w:r>
      <w:r w:rsidRPr="005203BD">
        <w:rPr>
          <w:rStyle w:val="af7"/>
          <w:rFonts w:eastAsia="Guttman Hodes" w:hint="cs"/>
        </w:rPr>
        <w:instrText>REF</w:instrText>
      </w:r>
      <w:r w:rsidRPr="005203BD">
        <w:rPr>
          <w:rStyle w:val="af7"/>
          <w:rFonts w:eastAsia="Guttman Hodes" w:hint="cs"/>
          <w:rtl/>
        </w:rPr>
        <w:instrText xml:space="preserve"> _</w:instrText>
      </w:r>
      <w:r w:rsidRPr="005203BD">
        <w:rPr>
          <w:rStyle w:val="af7"/>
          <w:rFonts w:eastAsia="Guttman Hodes" w:hint="cs"/>
        </w:rPr>
        <w:instrText>Ref63180322 \r \h</w:instrText>
      </w:r>
      <w:r w:rsidRPr="005203BD">
        <w:rPr>
          <w:rStyle w:val="af7"/>
          <w:rFonts w:eastAsia="Guttman Hodes"/>
          <w:rtl/>
        </w:rPr>
        <w:instrText xml:space="preserve"> </w:instrText>
      </w:r>
      <w:r w:rsidRPr="005203BD">
        <w:rPr>
          <w:rStyle w:val="af7"/>
          <w:rFonts w:eastAsia="Guttman Hodes"/>
          <w:rtl/>
        </w:rPr>
      </w:r>
      <w:r w:rsidRPr="005203BD">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5203BD">
        <w:rPr>
          <w:rStyle w:val="af7"/>
          <w:rFonts w:eastAsia="Guttman Hodes"/>
          <w:rtl/>
        </w:rPr>
        <w:fldChar w:fldCharType="end"/>
      </w:r>
      <w:r>
        <w:rPr>
          <w:rFonts w:hint="cs"/>
          <w:rtl/>
        </w:rPr>
        <w:t xml:space="preserve"> דכוונת </w:t>
      </w:r>
      <w:r w:rsidRPr="009F6E02">
        <w:rPr>
          <w:rStyle w:val="af9"/>
          <w:rFonts w:hint="cs"/>
          <w:rtl/>
        </w:rPr>
        <w:t>הרשב"ם</w:t>
      </w:r>
      <w:r>
        <w:rPr>
          <w:rFonts w:hint="cs"/>
          <w:rtl/>
        </w:rPr>
        <w:t xml:space="preserve"> לומר דהטענה שטוען עכשיו שהיה לו שטר ואבד חשיבא כמיגו במקום עדים.</w:t>
      </w:r>
      <w:bookmarkEnd w:id="14059"/>
    </w:p>
    <w:p w:rsidR="003B7617" w:rsidRDefault="003B7617" w:rsidP="003B7617">
      <w:pPr>
        <w:pStyle w:val="a3"/>
        <w:rPr>
          <w:rtl/>
        </w:rPr>
      </w:pPr>
      <w:bookmarkStart w:id="14060" w:name="_Toc63247827"/>
      <w:r>
        <w:rPr>
          <w:rFonts w:hint="cs"/>
          <w:rtl/>
        </w:rPr>
        <w:t>ביאור הגרנ"פ בנימוק"י דרק בהודאה בפירוש בטלה כח טענת המיגו ואין לו כל נאמנות</w:t>
      </w:r>
      <w:bookmarkEnd w:id="14060"/>
    </w:p>
    <w:p w:rsidR="003B7617" w:rsidRDefault="003B7617" w:rsidP="007E4E81">
      <w:pPr>
        <w:pStyle w:val="a0"/>
        <w:rPr>
          <w:rtl/>
        </w:rPr>
      </w:pPr>
      <w:r>
        <w:rPr>
          <w:rFonts w:hint="cs"/>
          <w:rtl/>
        </w:rPr>
        <w:t xml:space="preserve">ובמ"ש </w:t>
      </w:r>
      <w:r w:rsidRPr="00F05776">
        <w:rPr>
          <w:rStyle w:val="af9"/>
          <w:rFonts w:hint="cs"/>
          <w:rtl/>
        </w:rPr>
        <w:t>הנימוק"י</w:t>
      </w:r>
      <w:r>
        <w:rPr>
          <w:rFonts w:hint="cs"/>
          <w:rtl/>
        </w:rPr>
        <w:t xml:space="preserve"> </w:t>
      </w:r>
      <w:r w:rsidRPr="00CC1FE7">
        <w:rPr>
          <w:rStyle w:val="af7"/>
          <w:rFonts w:eastAsia="Guttman Hodes" w:hint="cs"/>
          <w:rtl/>
        </w:rPr>
        <w:t xml:space="preserve">(עי' אות </w:t>
      </w:r>
      <w:r w:rsidRPr="00CC1FE7">
        <w:rPr>
          <w:rStyle w:val="af7"/>
          <w:rFonts w:eastAsia="Guttman Hodes"/>
          <w:rtl/>
        </w:rPr>
        <w:fldChar w:fldCharType="begin"/>
      </w:r>
      <w:r w:rsidRPr="00CC1FE7">
        <w:rPr>
          <w:rStyle w:val="af7"/>
          <w:rFonts w:eastAsia="Guttman Hodes"/>
          <w:rtl/>
        </w:rPr>
        <w:instrText xml:space="preserve"> </w:instrText>
      </w:r>
      <w:r w:rsidRPr="00CC1FE7">
        <w:rPr>
          <w:rStyle w:val="af7"/>
          <w:rFonts w:eastAsia="Guttman Hodes" w:hint="cs"/>
        </w:rPr>
        <w:instrText>REF</w:instrText>
      </w:r>
      <w:r w:rsidRPr="00CC1FE7">
        <w:rPr>
          <w:rStyle w:val="af7"/>
          <w:rFonts w:eastAsia="Guttman Hodes" w:hint="cs"/>
          <w:rtl/>
        </w:rPr>
        <w:instrText xml:space="preserve"> _</w:instrText>
      </w:r>
      <w:r w:rsidRPr="00CC1FE7">
        <w:rPr>
          <w:rStyle w:val="af7"/>
          <w:rFonts w:eastAsia="Guttman Hodes" w:hint="cs"/>
        </w:rPr>
        <w:instrText>Ref63185766 \r \h</w:instrText>
      </w:r>
      <w:r w:rsidRPr="00CC1FE7">
        <w:rPr>
          <w:rStyle w:val="af7"/>
          <w:rFonts w:eastAsia="Guttman Hodes"/>
          <w:rtl/>
        </w:rPr>
        <w:instrText xml:space="preserve"> </w:instrText>
      </w:r>
      <w:r w:rsidRPr="00CC1FE7">
        <w:rPr>
          <w:rStyle w:val="af7"/>
          <w:rFonts w:eastAsia="Guttman Hodes"/>
          <w:rtl/>
        </w:rPr>
      </w:r>
      <w:r w:rsidRPr="00CC1FE7">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CC1FE7">
        <w:rPr>
          <w:rStyle w:val="af7"/>
          <w:rFonts w:eastAsia="Guttman Hodes"/>
          <w:rtl/>
        </w:rPr>
        <w:fldChar w:fldCharType="end"/>
      </w:r>
      <w:r>
        <w:rPr>
          <w:rFonts w:hint="cs"/>
          <w:rtl/>
        </w:rPr>
        <w:t xml:space="preserve"> דלא דמי להאומר מפלניא זבינתה דזבנה מינך, דנאמן במיגו דמינך זבינתה אעפ"י שמשמע מתוך דבריו שלא קנה מהמערער, כיון שהכא הודה בפני המערער ממש, שהשטר מזויף, ביאר </w:t>
      </w:r>
      <w:r w:rsidRPr="00F05776">
        <w:rPr>
          <w:rStyle w:val="af9"/>
          <w:rFonts w:hint="cs"/>
          <w:rtl/>
        </w:rPr>
        <w:t>בחי' רבי נחום</w:t>
      </w:r>
      <w:r>
        <w:rPr>
          <w:rFonts w:hint="cs"/>
          <w:rtl/>
        </w:rPr>
        <w:t xml:space="preserve"> דבפלניא זבינתה שלא הודה בפירוש, לא בטל לו הכח של המיגו, ועדיין יש לו את כח טענת המיגו, אבל בהודה בפירוש שהשטר מזויף, בטלה לו כל הנאמנות בטענת המיגו.</w:t>
      </w:r>
    </w:p>
    <w:p w:rsidR="003B7617" w:rsidRDefault="003B7617" w:rsidP="003B7617">
      <w:pPr>
        <w:pStyle w:val="a3"/>
        <w:rPr>
          <w:rtl/>
        </w:rPr>
      </w:pPr>
      <w:bookmarkStart w:id="14061" w:name="_Toc63247828"/>
      <w:r>
        <w:rPr>
          <w:rFonts w:hint="cs"/>
          <w:rtl/>
        </w:rPr>
        <w:t>ביאור הגרנ"פ בריטב"א דבהודה שהשטר מזויף בטלה כל הנאמנות שיש לו בטענת המיגו</w:t>
      </w:r>
      <w:bookmarkEnd w:id="14061"/>
    </w:p>
    <w:p w:rsidR="003B7617" w:rsidRDefault="003B7617" w:rsidP="007E4E81">
      <w:pPr>
        <w:pStyle w:val="a0"/>
        <w:rPr>
          <w:rtl/>
        </w:rPr>
      </w:pPr>
      <w:bookmarkStart w:id="14062" w:name="_Ref63244044"/>
      <w:r>
        <w:rPr>
          <w:rFonts w:hint="cs"/>
          <w:rtl/>
        </w:rPr>
        <w:t xml:space="preserve">וכתב </w:t>
      </w:r>
      <w:r w:rsidRPr="00CC1FE7">
        <w:rPr>
          <w:rStyle w:val="af9"/>
          <w:rFonts w:hint="cs"/>
          <w:rtl/>
        </w:rPr>
        <w:t>בחי' רבי נחום</w:t>
      </w:r>
      <w:r>
        <w:rPr>
          <w:rFonts w:hint="cs"/>
          <w:rtl/>
        </w:rPr>
        <w:t xml:space="preserve"> דכן מבואר להדיא מדברי </w:t>
      </w:r>
      <w:r w:rsidRPr="00CC1FE7">
        <w:rPr>
          <w:rStyle w:val="af9"/>
          <w:rFonts w:hint="cs"/>
          <w:rtl/>
        </w:rPr>
        <w:t>הריטב"א</w:t>
      </w:r>
      <w:r>
        <w:rPr>
          <w:rFonts w:hint="cs"/>
          <w:rtl/>
        </w:rPr>
        <w:t xml:space="preserve"> </w:t>
      </w:r>
      <w:r w:rsidRPr="00CC1FE7">
        <w:rPr>
          <w:rStyle w:val="af7"/>
          <w:rFonts w:eastAsia="Guttman Hodes" w:hint="cs"/>
          <w:rtl/>
        </w:rPr>
        <w:t xml:space="preserve">(עי' אות </w:t>
      </w:r>
      <w:r w:rsidRPr="00CC1FE7">
        <w:rPr>
          <w:rStyle w:val="af7"/>
          <w:rFonts w:eastAsia="Guttman Hodes"/>
          <w:rtl/>
        </w:rPr>
        <w:fldChar w:fldCharType="begin"/>
      </w:r>
      <w:r w:rsidRPr="00CC1FE7">
        <w:rPr>
          <w:rStyle w:val="af7"/>
          <w:rFonts w:eastAsia="Guttman Hodes"/>
          <w:rtl/>
        </w:rPr>
        <w:instrText xml:space="preserve"> </w:instrText>
      </w:r>
      <w:r w:rsidRPr="00CC1FE7">
        <w:rPr>
          <w:rStyle w:val="af7"/>
          <w:rFonts w:eastAsia="Guttman Hodes" w:hint="cs"/>
        </w:rPr>
        <w:instrText>REF</w:instrText>
      </w:r>
      <w:r w:rsidRPr="00CC1FE7">
        <w:rPr>
          <w:rStyle w:val="af7"/>
          <w:rFonts w:eastAsia="Guttman Hodes" w:hint="cs"/>
          <w:rtl/>
        </w:rPr>
        <w:instrText xml:space="preserve"> _</w:instrText>
      </w:r>
      <w:r w:rsidRPr="00CC1FE7">
        <w:rPr>
          <w:rStyle w:val="af7"/>
          <w:rFonts w:eastAsia="Guttman Hodes" w:hint="cs"/>
        </w:rPr>
        <w:instrText>Ref63243743 \r \h</w:instrText>
      </w:r>
      <w:r w:rsidRPr="00CC1FE7">
        <w:rPr>
          <w:rStyle w:val="af7"/>
          <w:rFonts w:eastAsia="Guttman Hodes"/>
          <w:rtl/>
        </w:rPr>
        <w:instrText xml:space="preserve"> </w:instrText>
      </w:r>
      <w:r w:rsidRPr="00CC1FE7">
        <w:rPr>
          <w:rStyle w:val="af7"/>
          <w:rFonts w:eastAsia="Guttman Hodes"/>
          <w:rtl/>
        </w:rPr>
      </w:r>
      <w:r w:rsidRPr="00CC1FE7">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CC1FE7">
        <w:rPr>
          <w:rStyle w:val="af7"/>
          <w:rFonts w:eastAsia="Guttman Hodes"/>
          <w:rtl/>
        </w:rPr>
        <w:fldChar w:fldCharType="end"/>
      </w:r>
      <w:r>
        <w:rPr>
          <w:rFonts w:hint="cs"/>
          <w:rtl/>
        </w:rPr>
        <w:t xml:space="preserve"> דכתב דלרב יוסף א"א לסמוך על המיגו ולהאמין לו שהיה לו שטר ואבד, מכח טענת המיגו, שהיה טוען שהשטר המזויף הוא שטר טוב, והרי התברר לנו שהשטר פסול, וא"א לבנות עליו מיגו, וכתב </w:t>
      </w:r>
      <w:r w:rsidRPr="00F05776">
        <w:rPr>
          <w:rStyle w:val="af9"/>
          <w:rFonts w:hint="cs"/>
          <w:rtl/>
        </w:rPr>
        <w:t>בחי' רבי נחום</w:t>
      </w:r>
      <w:r>
        <w:rPr>
          <w:rFonts w:hint="cs"/>
          <w:rtl/>
        </w:rPr>
        <w:t xml:space="preserve"> דכוונת </w:t>
      </w:r>
      <w:r w:rsidRPr="00F05776">
        <w:rPr>
          <w:rStyle w:val="af9"/>
          <w:rFonts w:hint="cs"/>
          <w:rtl/>
        </w:rPr>
        <w:t>הריטב"א</w:t>
      </w:r>
      <w:r>
        <w:rPr>
          <w:rFonts w:hint="cs"/>
          <w:rtl/>
        </w:rPr>
        <w:t xml:space="preserve"> לומר דכשהודה בפירוש שהשטר מזויף, בטלה לו כל הנאמנות בטענת המיגו.</w:t>
      </w:r>
      <w:bookmarkEnd w:id="14062"/>
    </w:p>
    <w:p w:rsidR="003B7617" w:rsidRDefault="003B7617" w:rsidP="003B7617">
      <w:pPr>
        <w:pStyle w:val="a3"/>
        <w:rPr>
          <w:rtl/>
        </w:rPr>
      </w:pPr>
      <w:bookmarkStart w:id="14063" w:name="_Toc63247829"/>
      <w:r>
        <w:rPr>
          <w:rFonts w:hint="cs"/>
          <w:rtl/>
        </w:rPr>
        <w:t>דברי הגרנ"פ דמוכח בריטב"א ובנימוק"י דיסוד דין מיגו הוא כח הטענה ולא מה לי לשקר</w:t>
      </w:r>
      <w:bookmarkEnd w:id="14063"/>
    </w:p>
    <w:p w:rsidR="003B7617" w:rsidRDefault="003B7617" w:rsidP="007E4E81">
      <w:pPr>
        <w:pStyle w:val="a0"/>
        <w:rPr>
          <w:rStyle w:val="afb"/>
          <w:rtl/>
        </w:rPr>
      </w:pPr>
      <w:r>
        <w:rPr>
          <w:rFonts w:hint="cs"/>
          <w:rtl/>
        </w:rPr>
        <w:t xml:space="preserve">וכתב </w:t>
      </w:r>
      <w:r w:rsidRPr="00F05776">
        <w:rPr>
          <w:rStyle w:val="af9"/>
          <w:rFonts w:hint="cs"/>
          <w:rtl/>
        </w:rPr>
        <w:t>בחי' רבי נחום</w:t>
      </w:r>
      <w:r>
        <w:rPr>
          <w:rFonts w:hint="cs"/>
          <w:rtl/>
        </w:rPr>
        <w:t xml:space="preserve"> </w:t>
      </w:r>
      <w:r w:rsidRPr="00CC1FE7">
        <w:rPr>
          <w:rStyle w:val="af7"/>
          <w:rFonts w:eastAsia="Guttman Hodes" w:hint="cs"/>
          <w:rtl/>
        </w:rPr>
        <w:t xml:space="preserve">(או' קמ"ג ד"ה והנה) </w:t>
      </w:r>
      <w:r>
        <w:rPr>
          <w:rFonts w:hint="cs"/>
          <w:rtl/>
        </w:rPr>
        <w:t xml:space="preserve">דמבואר להדיא מדברי </w:t>
      </w:r>
      <w:r w:rsidRPr="00F05776">
        <w:rPr>
          <w:rStyle w:val="af9"/>
          <w:rFonts w:hint="cs"/>
          <w:rtl/>
        </w:rPr>
        <w:t>הריטב"א והנימוק"י</w:t>
      </w:r>
      <w:r>
        <w:rPr>
          <w:rFonts w:hint="cs"/>
          <w:rtl/>
        </w:rPr>
        <w:t xml:space="preserve"> דיסוד דין מיגו, הוא מדין כח הטענה, ולכן הכא שהודה בפירוש שטענתו הראשונה היא שקר, אין לו את כח הטענה של המיגו, אבל במקום שאמר מפלניא זבינתיה דזבנה מינך שלא הודה בפירוש שלא קנה מהמערער, אעפ"י שכן משמע מדבריו מ"מ כיון שלא הודה בפירוש לא בטל כח הנאמנות של המיגו, אך כתב </w:t>
      </w:r>
      <w:r w:rsidRPr="00F05776">
        <w:rPr>
          <w:rStyle w:val="af9"/>
          <w:rFonts w:hint="cs"/>
          <w:rtl/>
        </w:rPr>
        <w:t>בחי' רבי נחום</w:t>
      </w:r>
      <w:r>
        <w:rPr>
          <w:rFonts w:hint="cs"/>
          <w:rtl/>
        </w:rPr>
        <w:t xml:space="preserve"> דאי ס"ל </w:t>
      </w:r>
      <w:r w:rsidRPr="00F05776">
        <w:rPr>
          <w:rStyle w:val="af9"/>
          <w:rFonts w:hint="cs"/>
          <w:rtl/>
        </w:rPr>
        <w:t>להריטב"א והנימוק"י</w:t>
      </w:r>
      <w:r>
        <w:rPr>
          <w:rFonts w:hint="cs"/>
          <w:rtl/>
        </w:rPr>
        <w:t xml:space="preserve"> דיסוד דין מיגו הוא מדין מה לי לשקר, א"כ אף שהודה שהשטר מזויף, מ"מ הוא נאמן כיון שהיה יכול לטעון שהשטר הוא טוב, ואדרבה יש יותר הוכחה שאינו משקר, דלא היה לו להודות ולחייב את עצמו. </w:t>
      </w:r>
      <w:r w:rsidRPr="00F45AB8">
        <w:rPr>
          <w:rStyle w:val="afb"/>
          <w:rFonts w:hint="cs"/>
          <w:rtl/>
        </w:rPr>
        <w:t xml:space="preserve">[ועיי"ש במ"ש </w:t>
      </w:r>
      <w:r w:rsidRPr="00F45AB8">
        <w:rPr>
          <w:rStyle w:val="affa"/>
          <w:rFonts w:hint="cs"/>
          <w:rtl/>
        </w:rPr>
        <w:t>בחי' רבי נחום</w:t>
      </w:r>
      <w:r w:rsidRPr="00F45AB8">
        <w:rPr>
          <w:rStyle w:val="afb"/>
          <w:rFonts w:hint="cs"/>
          <w:rtl/>
        </w:rPr>
        <w:t xml:space="preserve"> דבדין הפה שאסר נאמן, אף שהודה בפירוש כדמוכח בגמ' בכתובות </w:t>
      </w:r>
      <w:r w:rsidRPr="00F45AB8">
        <w:rPr>
          <w:rStyle w:val="aff2"/>
          <w:rFonts w:hint="cs"/>
          <w:rtl/>
        </w:rPr>
        <w:t>(טו:)</w:t>
      </w:r>
      <w:r w:rsidRPr="00F45AB8">
        <w:rPr>
          <w:rStyle w:val="afb"/>
          <w:rFonts w:hint="cs"/>
          <w:rtl/>
        </w:rPr>
        <w:t>].</w:t>
      </w:r>
    </w:p>
    <w:p w:rsidR="003B7617" w:rsidRDefault="003B7617" w:rsidP="003B7617">
      <w:pPr>
        <w:pStyle w:val="a3"/>
        <w:rPr>
          <w:rtl/>
        </w:rPr>
      </w:pPr>
      <w:bookmarkStart w:id="14064" w:name="_Toc63247830"/>
      <w:r>
        <w:rPr>
          <w:rFonts w:hint="cs"/>
          <w:rtl/>
        </w:rPr>
        <w:t>קושית הגרנ"פ על הנימוק"י דלא דמי למיגו במק"ע שאינו נאמן במה שטוען עכשיו</w:t>
      </w:r>
      <w:bookmarkEnd w:id="14064"/>
    </w:p>
    <w:p w:rsidR="003B7617" w:rsidRDefault="003B7617" w:rsidP="007E4E81">
      <w:pPr>
        <w:pStyle w:val="a0"/>
        <w:rPr>
          <w:rtl/>
        </w:rPr>
      </w:pPr>
      <w:r>
        <w:rPr>
          <w:rFonts w:hint="cs"/>
          <w:rtl/>
        </w:rPr>
        <w:t xml:space="preserve">אך הקשה </w:t>
      </w:r>
      <w:r w:rsidRPr="00F05776">
        <w:rPr>
          <w:rStyle w:val="af9"/>
          <w:rFonts w:hint="cs"/>
          <w:rtl/>
        </w:rPr>
        <w:t>בחי' רבי נחום</w:t>
      </w:r>
      <w:r>
        <w:rPr>
          <w:rFonts w:hint="cs"/>
          <w:rtl/>
        </w:rPr>
        <w:t xml:space="preserve"> </w:t>
      </w:r>
      <w:r w:rsidRPr="008D29AE">
        <w:rPr>
          <w:rStyle w:val="af7"/>
          <w:rFonts w:eastAsia="Guttman Hodes" w:hint="cs"/>
          <w:rtl/>
        </w:rPr>
        <w:t>(או' קמ"ג ד"ה והנה ברשב"ם)</w:t>
      </w:r>
      <w:r>
        <w:rPr>
          <w:rFonts w:hint="cs"/>
          <w:rtl/>
        </w:rPr>
        <w:t xml:space="preserve"> על </w:t>
      </w:r>
      <w:r w:rsidRPr="00F05776">
        <w:rPr>
          <w:rStyle w:val="af9"/>
          <w:rFonts w:hint="cs"/>
          <w:rtl/>
        </w:rPr>
        <w:t>הנימוק"י</w:t>
      </w:r>
      <w:r>
        <w:rPr>
          <w:rFonts w:hint="cs"/>
          <w:rtl/>
        </w:rPr>
        <w:t xml:space="preserve"> דא"כ אמאי כתב </w:t>
      </w:r>
      <w:r w:rsidRPr="00F05776">
        <w:rPr>
          <w:rStyle w:val="af9"/>
          <w:rFonts w:hint="cs"/>
          <w:rtl/>
        </w:rPr>
        <w:t>הרשב"ם</w:t>
      </w:r>
      <w:r w:rsidRPr="008D29AE">
        <w:rPr>
          <w:rStyle w:val="af7"/>
          <w:rFonts w:eastAsia="Guttman Hodes" w:hint="cs"/>
          <w:rtl/>
        </w:rPr>
        <w:t xml:space="preserve"> (עי' אות </w:t>
      </w:r>
      <w:r w:rsidRPr="008D29AE">
        <w:rPr>
          <w:rStyle w:val="af7"/>
          <w:rFonts w:eastAsia="Guttman Hodes"/>
          <w:rtl/>
        </w:rPr>
        <w:fldChar w:fldCharType="begin"/>
      </w:r>
      <w:r w:rsidRPr="008D29AE">
        <w:rPr>
          <w:rStyle w:val="af7"/>
          <w:rFonts w:eastAsia="Guttman Hodes"/>
          <w:rtl/>
        </w:rPr>
        <w:instrText xml:space="preserve"> </w:instrText>
      </w:r>
      <w:r w:rsidRPr="008D29AE">
        <w:rPr>
          <w:rStyle w:val="af7"/>
          <w:rFonts w:eastAsia="Guttman Hodes" w:hint="cs"/>
        </w:rPr>
        <w:instrText>REF</w:instrText>
      </w:r>
      <w:r w:rsidRPr="008D29AE">
        <w:rPr>
          <w:rStyle w:val="af7"/>
          <w:rFonts w:eastAsia="Guttman Hodes" w:hint="cs"/>
          <w:rtl/>
        </w:rPr>
        <w:instrText xml:space="preserve"> _</w:instrText>
      </w:r>
      <w:r w:rsidRPr="008D29AE">
        <w:rPr>
          <w:rStyle w:val="af7"/>
          <w:rFonts w:eastAsia="Guttman Hodes" w:hint="cs"/>
        </w:rPr>
        <w:instrText>Ref63111068 \r \h</w:instrText>
      </w:r>
      <w:r w:rsidRPr="008D29AE">
        <w:rPr>
          <w:rStyle w:val="af7"/>
          <w:rFonts w:eastAsia="Guttman Hodes"/>
          <w:rtl/>
        </w:rPr>
        <w:instrText xml:space="preserve"> </w:instrText>
      </w:r>
      <w:r w:rsidRPr="008D29AE">
        <w:rPr>
          <w:rStyle w:val="af7"/>
          <w:rFonts w:eastAsia="Guttman Hodes"/>
          <w:rtl/>
        </w:rPr>
      </w:r>
      <w:r w:rsidRPr="008D29AE">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8D29AE">
        <w:rPr>
          <w:rStyle w:val="af7"/>
          <w:rFonts w:eastAsia="Guttman Hodes"/>
          <w:rtl/>
        </w:rPr>
        <w:fldChar w:fldCharType="end"/>
      </w:r>
      <w:r>
        <w:rPr>
          <w:rFonts w:hint="cs"/>
          <w:rtl/>
        </w:rPr>
        <w:t xml:space="preserve"> דדמי למיגו במקום עדים, הא לביאור </w:t>
      </w:r>
      <w:r w:rsidRPr="008D29AE">
        <w:rPr>
          <w:rStyle w:val="af9"/>
          <w:rFonts w:hint="cs"/>
          <w:rtl/>
        </w:rPr>
        <w:t>הנימוק"י</w:t>
      </w:r>
      <w:r>
        <w:rPr>
          <w:rFonts w:hint="cs"/>
          <w:rtl/>
        </w:rPr>
        <w:t xml:space="preserve"> אינו נאמן בטענת המיגו, ואילו במיגו במקום עדים אינו נאמן בטענה שטוען עכשיו.</w:t>
      </w:r>
    </w:p>
    <w:p w:rsidR="003B7617" w:rsidRDefault="003B7617" w:rsidP="003B7617">
      <w:pPr>
        <w:pStyle w:val="afe"/>
        <w:rPr>
          <w:rtl/>
        </w:rPr>
      </w:pPr>
      <w:bookmarkStart w:id="14065" w:name="_Toc63247831"/>
      <w:bookmarkStart w:id="14066" w:name="_Toc63163547"/>
      <w:bookmarkStart w:id="14067" w:name="_Toc63188822"/>
      <w:r>
        <w:rPr>
          <w:rFonts w:hint="cs"/>
          <w:rtl/>
        </w:rPr>
        <w:t>ביסוד מיגו נאמנות ומיגו כח הטענה</w:t>
      </w:r>
      <w:bookmarkEnd w:id="14065"/>
    </w:p>
    <w:p w:rsidR="003B7617" w:rsidRDefault="003B7617" w:rsidP="003B7617">
      <w:pPr>
        <w:pStyle w:val="1"/>
        <w:rPr>
          <w:rtl/>
        </w:rPr>
      </w:pPr>
      <w:bookmarkStart w:id="14068" w:name="_Toc63247832"/>
      <w:r>
        <w:rPr>
          <w:rFonts w:hint="cs"/>
          <w:rtl/>
        </w:rPr>
        <w:t>בי' הגרש"ש</w:t>
      </w:r>
      <w:bookmarkEnd w:id="14066"/>
      <w:bookmarkEnd w:id="14067"/>
      <w:r>
        <w:rPr>
          <w:rFonts w:hint="cs"/>
          <w:rtl/>
        </w:rPr>
        <w:t xml:space="preserve"> והקוב"ש ברשב"ם דלרב יוסף אין לו את כח הטענה</w:t>
      </w:r>
      <w:bookmarkEnd w:id="14068"/>
    </w:p>
    <w:p w:rsidR="003B7617" w:rsidRDefault="003B7617" w:rsidP="003B7617">
      <w:pPr>
        <w:pStyle w:val="a3"/>
        <w:rPr>
          <w:rtl/>
        </w:rPr>
      </w:pPr>
      <w:bookmarkStart w:id="14069" w:name="_Toc63247833"/>
      <w:r>
        <w:rPr>
          <w:rFonts w:hint="cs"/>
          <w:rtl/>
        </w:rPr>
        <w:t>בי' הגרש"ש ברא"ש דבטענת והא שטרא כחו בטענת עדים וכשהודה בטל כח הטענה ול"מ מיגו</w:t>
      </w:r>
      <w:bookmarkEnd w:id="14069"/>
    </w:p>
    <w:p w:rsidR="003B7617" w:rsidRDefault="003B7617" w:rsidP="007E4E81">
      <w:pPr>
        <w:pStyle w:val="a0"/>
        <w:rPr>
          <w:rtl/>
        </w:rPr>
      </w:pPr>
      <w:bookmarkStart w:id="14070" w:name="_Ref63244413"/>
      <w:r>
        <w:rPr>
          <w:rFonts w:hint="cs"/>
          <w:rtl/>
        </w:rPr>
        <w:t xml:space="preserve">במה שביאר </w:t>
      </w:r>
      <w:r w:rsidRPr="006D54DB">
        <w:rPr>
          <w:rStyle w:val="af9"/>
          <w:rFonts w:hint="cs"/>
          <w:rtl/>
        </w:rPr>
        <w:t>הרא"ש</w:t>
      </w:r>
      <w:r>
        <w:rPr>
          <w:rFonts w:hint="cs"/>
          <w:rtl/>
        </w:rPr>
        <w:t xml:space="preserve"> </w:t>
      </w:r>
      <w:r w:rsidRPr="006A2C92">
        <w:rPr>
          <w:rStyle w:val="af7"/>
          <w:rFonts w:eastAsia="Guttman Hodes" w:hint="cs"/>
          <w:rtl/>
        </w:rPr>
        <w:t xml:space="preserve">(עי' אות </w:t>
      </w:r>
      <w:r w:rsidRPr="006A2C92">
        <w:rPr>
          <w:rStyle w:val="af7"/>
          <w:rFonts w:eastAsia="Guttman Hodes"/>
          <w:rtl/>
        </w:rPr>
        <w:fldChar w:fldCharType="begin"/>
      </w:r>
      <w:r w:rsidRPr="006A2C92">
        <w:rPr>
          <w:rStyle w:val="af7"/>
          <w:rFonts w:eastAsia="Guttman Hodes"/>
          <w:rtl/>
        </w:rPr>
        <w:instrText xml:space="preserve"> </w:instrText>
      </w:r>
      <w:r w:rsidRPr="006A2C92">
        <w:rPr>
          <w:rStyle w:val="af7"/>
          <w:rFonts w:eastAsia="Guttman Hodes" w:hint="cs"/>
        </w:rPr>
        <w:instrText>REF</w:instrText>
      </w:r>
      <w:r w:rsidRPr="006A2C92">
        <w:rPr>
          <w:rStyle w:val="af7"/>
          <w:rFonts w:eastAsia="Guttman Hodes" w:hint="cs"/>
          <w:rtl/>
        </w:rPr>
        <w:instrText xml:space="preserve"> _</w:instrText>
      </w:r>
      <w:r w:rsidRPr="006A2C92">
        <w:rPr>
          <w:rStyle w:val="af7"/>
          <w:rFonts w:eastAsia="Guttman Hodes" w:hint="cs"/>
        </w:rPr>
        <w:instrText>Ref63180245 \r \h</w:instrText>
      </w:r>
      <w:r w:rsidRPr="006A2C92">
        <w:rPr>
          <w:rStyle w:val="af7"/>
          <w:rFonts w:eastAsia="Guttman Hodes"/>
          <w:rtl/>
        </w:rPr>
        <w:instrText xml:space="preserve"> </w:instrText>
      </w:r>
      <w:r w:rsidRPr="006A2C92">
        <w:rPr>
          <w:rStyle w:val="af7"/>
          <w:rFonts w:eastAsia="Guttman Hodes"/>
          <w:rtl/>
        </w:rPr>
      </w:r>
      <w:r w:rsidRPr="006A2C92">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6A2C92">
        <w:rPr>
          <w:rStyle w:val="af7"/>
          <w:rFonts w:eastAsia="Guttman Hodes"/>
          <w:rtl/>
        </w:rPr>
        <w:fldChar w:fldCharType="end"/>
      </w:r>
      <w:r>
        <w:rPr>
          <w:rFonts w:hint="cs"/>
          <w:rtl/>
        </w:rPr>
        <w:t xml:space="preserve"> את דברי </w:t>
      </w:r>
      <w:r w:rsidRPr="006D54DB">
        <w:rPr>
          <w:rStyle w:val="af9"/>
          <w:rFonts w:hint="cs"/>
          <w:rtl/>
        </w:rPr>
        <w:t>הרשב"ם</w:t>
      </w:r>
      <w:r>
        <w:rPr>
          <w:rFonts w:hint="cs"/>
          <w:rtl/>
        </w:rPr>
        <w:t xml:space="preserve"> דטענת והא שטרא היא אותה טענה עם טענת מינך זבינתה, הקשה </w:t>
      </w:r>
      <w:r w:rsidRPr="006D54DB">
        <w:rPr>
          <w:rStyle w:val="af9"/>
          <w:rFonts w:hint="cs"/>
          <w:rtl/>
        </w:rPr>
        <w:t xml:space="preserve">בחי' הגרש"ש </w:t>
      </w:r>
      <w:r w:rsidRPr="008D29AE">
        <w:rPr>
          <w:rStyle w:val="af7"/>
          <w:rFonts w:eastAsia="Guttman Hodes" w:hint="cs"/>
          <w:rtl/>
        </w:rPr>
        <w:t>(סי' י"ח [מהדו' חדשה כ"א] או' ב' ד"ה וכן)</w:t>
      </w:r>
      <w:r>
        <w:rPr>
          <w:rFonts w:hint="cs"/>
          <w:rtl/>
        </w:rPr>
        <w:t xml:space="preserve"> דעדיין לא מבוארים דברי </w:t>
      </w:r>
      <w:r w:rsidRPr="006D54DB">
        <w:rPr>
          <w:rStyle w:val="af9"/>
          <w:rFonts w:hint="cs"/>
          <w:rtl/>
        </w:rPr>
        <w:t>הרשב"ם</w:t>
      </w:r>
      <w:r>
        <w:rPr>
          <w:rFonts w:hint="cs"/>
          <w:rtl/>
        </w:rPr>
        <w:t xml:space="preserve">, דמ"ש מכל מיגו, ותירץ </w:t>
      </w:r>
      <w:r w:rsidRPr="006D54DB">
        <w:rPr>
          <w:rStyle w:val="af9"/>
          <w:rFonts w:hint="cs"/>
          <w:rtl/>
        </w:rPr>
        <w:t>הגרש"ש</w:t>
      </w:r>
      <w:r>
        <w:rPr>
          <w:rFonts w:hint="cs"/>
          <w:rtl/>
        </w:rPr>
        <w:t xml:space="preserve"> דכשטען והא שטרא עיקר הכח והזכות שלו הוא מכח השטר, דהשטר הוא כעדים, ועכשיו שהודה שהשטר מזויף בטל תורת עדים ושטר מטענתו, ולכן אינו נאמן במיגו באותו הכח שהיה לו, ולא דמי לכל מיגו שעדיין יש לו את הזכות והכח של טענתו הראשונה.</w:t>
      </w:r>
      <w:bookmarkEnd w:id="14070"/>
      <w:r>
        <w:rPr>
          <w:rFonts w:hint="cs"/>
          <w:rtl/>
        </w:rPr>
        <w:t xml:space="preserve"> </w:t>
      </w:r>
      <w:r w:rsidRPr="004D008C">
        <w:rPr>
          <w:rStyle w:val="afb"/>
          <w:rFonts w:hint="cs"/>
          <w:rtl/>
        </w:rPr>
        <w:t xml:space="preserve">[ובדעת </w:t>
      </w:r>
      <w:r w:rsidRPr="004D008C">
        <w:rPr>
          <w:rStyle w:val="affa"/>
          <w:rFonts w:hint="cs"/>
          <w:rtl/>
        </w:rPr>
        <w:t>התוס'</w:t>
      </w:r>
      <w:r w:rsidRPr="004D008C">
        <w:rPr>
          <w:rStyle w:val="afb"/>
          <w:rFonts w:hint="cs"/>
          <w:rtl/>
        </w:rPr>
        <w:t xml:space="preserve"> </w:t>
      </w:r>
      <w:r w:rsidRPr="004D008C">
        <w:rPr>
          <w:rStyle w:val="aff6"/>
          <w:rFonts w:hint="cs"/>
          <w:rtl/>
        </w:rPr>
        <w:t xml:space="preserve">(עי' אות </w:t>
      </w:r>
      <w:r w:rsidRPr="004D008C">
        <w:rPr>
          <w:rStyle w:val="aff6"/>
          <w:rtl/>
        </w:rPr>
        <w:fldChar w:fldCharType="begin"/>
      </w:r>
      <w:r w:rsidRPr="004D008C">
        <w:rPr>
          <w:rStyle w:val="aff6"/>
          <w:rtl/>
        </w:rPr>
        <w:instrText xml:space="preserve"> </w:instrText>
      </w:r>
      <w:r w:rsidRPr="004D008C">
        <w:rPr>
          <w:rStyle w:val="aff6"/>
          <w:rFonts w:hint="cs"/>
        </w:rPr>
        <w:instrText>REF</w:instrText>
      </w:r>
      <w:r w:rsidRPr="004D008C">
        <w:rPr>
          <w:rStyle w:val="aff6"/>
          <w:rFonts w:hint="cs"/>
          <w:rtl/>
        </w:rPr>
        <w:instrText xml:space="preserve"> _</w:instrText>
      </w:r>
      <w:r w:rsidRPr="004D008C">
        <w:rPr>
          <w:rStyle w:val="aff6"/>
          <w:rFonts w:hint="cs"/>
        </w:rPr>
        <w:instrText>Ref63185997 \r \h</w:instrText>
      </w:r>
      <w:r w:rsidRPr="004D008C">
        <w:rPr>
          <w:rStyle w:val="aff6"/>
          <w:rtl/>
        </w:rPr>
        <w:instrText xml:space="preserve"> </w:instrText>
      </w:r>
      <w:r w:rsidRPr="004D008C">
        <w:rPr>
          <w:rStyle w:val="aff6"/>
          <w:rtl/>
        </w:rPr>
      </w:r>
      <w:r w:rsidRPr="004D008C">
        <w:rPr>
          <w:rStyle w:val="aff6"/>
          <w:rtl/>
        </w:rPr>
        <w:fldChar w:fldCharType="separate"/>
      </w:r>
      <w:r w:rsidR="00265073">
        <w:rPr>
          <w:rStyle w:val="aff6"/>
          <w:cs/>
        </w:rPr>
        <w:t>‎</w:t>
      </w:r>
      <w:r w:rsidR="00265073">
        <w:rPr>
          <w:rStyle w:val="aff6"/>
          <w:rtl/>
        </w:rPr>
        <w:t>נג)</w:t>
      </w:r>
      <w:r w:rsidRPr="004D008C">
        <w:rPr>
          <w:rStyle w:val="aff6"/>
          <w:rtl/>
        </w:rPr>
        <w:fldChar w:fldCharType="end"/>
      </w:r>
      <w:r w:rsidRPr="004D008C">
        <w:rPr>
          <w:rStyle w:val="afb"/>
          <w:rFonts w:hint="cs"/>
          <w:rtl/>
        </w:rPr>
        <w:t xml:space="preserve"> </w:t>
      </w:r>
      <w:r w:rsidRPr="004D008C">
        <w:rPr>
          <w:rStyle w:val="affa"/>
          <w:rFonts w:hint="cs"/>
          <w:rtl/>
        </w:rPr>
        <w:t>ושאר</w:t>
      </w:r>
      <w:r w:rsidRPr="004D008C">
        <w:rPr>
          <w:rStyle w:val="afb"/>
          <w:rFonts w:hint="cs"/>
          <w:rtl/>
        </w:rPr>
        <w:t xml:space="preserve"> ה</w:t>
      </w:r>
      <w:r w:rsidRPr="004D008C">
        <w:rPr>
          <w:rStyle w:val="affa"/>
          <w:rFonts w:hint="cs"/>
          <w:rtl/>
        </w:rPr>
        <w:t>ראשונים</w:t>
      </w:r>
      <w:r w:rsidRPr="004D008C">
        <w:rPr>
          <w:rStyle w:val="afb"/>
          <w:rFonts w:hint="cs"/>
          <w:rtl/>
        </w:rPr>
        <w:t xml:space="preserve"> דלא ביארו </w:t>
      </w:r>
      <w:r w:rsidRPr="004D008C">
        <w:rPr>
          <w:rStyle w:val="affa"/>
          <w:rFonts w:hint="cs"/>
          <w:rtl/>
        </w:rPr>
        <w:t>כרשב"ם</w:t>
      </w:r>
      <w:r w:rsidRPr="004D008C">
        <w:rPr>
          <w:rStyle w:val="afb"/>
          <w:rFonts w:hint="cs"/>
          <w:rtl/>
        </w:rPr>
        <w:t xml:space="preserve">, כתב </w:t>
      </w:r>
      <w:r w:rsidRPr="004D008C">
        <w:rPr>
          <w:rStyle w:val="affa"/>
          <w:rFonts w:hint="cs"/>
          <w:rtl/>
        </w:rPr>
        <w:t>בחי' הגרש"ש</w:t>
      </w:r>
      <w:r w:rsidRPr="004D008C">
        <w:rPr>
          <w:rStyle w:val="afb"/>
          <w:rFonts w:hint="cs"/>
          <w:rtl/>
        </w:rPr>
        <w:t xml:space="preserve"> דס"ל דכשטוען מינך זבינתה, עיקר </w:t>
      </w:r>
      <w:r w:rsidRPr="004D008C">
        <w:rPr>
          <w:rStyle w:val="afb"/>
          <w:rFonts w:hint="cs"/>
          <w:rtl/>
        </w:rPr>
        <w:t xml:space="preserve">הזכות שלו היא מחמת טענת מינך זבינתה, ומה שאמר והא שטרא הוא רק להחזיק את דבריו, וכתב </w:t>
      </w:r>
      <w:r w:rsidRPr="004D008C">
        <w:rPr>
          <w:rStyle w:val="affa"/>
          <w:rFonts w:hint="cs"/>
          <w:rtl/>
        </w:rPr>
        <w:t>הגרש"ש</w:t>
      </w:r>
      <w:r w:rsidRPr="004D008C">
        <w:rPr>
          <w:rStyle w:val="afb"/>
          <w:rFonts w:hint="cs"/>
          <w:rtl/>
        </w:rPr>
        <w:t xml:space="preserve"> דאפש"ל דזו כוונת </w:t>
      </w:r>
      <w:r w:rsidRPr="004D008C">
        <w:rPr>
          <w:rStyle w:val="affa"/>
          <w:rFonts w:hint="cs"/>
          <w:rtl/>
        </w:rPr>
        <w:t>הרא"ש</w:t>
      </w:r>
      <w:r w:rsidRPr="004D008C">
        <w:rPr>
          <w:rStyle w:val="afb"/>
          <w:rFonts w:hint="cs"/>
          <w:rtl/>
        </w:rPr>
        <w:t xml:space="preserve"> </w:t>
      </w:r>
      <w:r w:rsidRPr="004D008C">
        <w:rPr>
          <w:rStyle w:val="aff6"/>
          <w:rFonts w:hint="cs"/>
          <w:rtl/>
        </w:rPr>
        <w:t xml:space="preserve">(עי' אות </w:t>
      </w:r>
      <w:r w:rsidRPr="004D008C">
        <w:rPr>
          <w:rStyle w:val="aff6"/>
          <w:rtl/>
        </w:rPr>
        <w:fldChar w:fldCharType="begin"/>
      </w:r>
      <w:r w:rsidRPr="004D008C">
        <w:rPr>
          <w:rStyle w:val="aff6"/>
          <w:rtl/>
        </w:rPr>
        <w:instrText xml:space="preserve"> </w:instrText>
      </w:r>
      <w:r w:rsidRPr="004D008C">
        <w:rPr>
          <w:rStyle w:val="aff6"/>
          <w:rFonts w:hint="cs"/>
        </w:rPr>
        <w:instrText>REF</w:instrText>
      </w:r>
      <w:r w:rsidRPr="004D008C">
        <w:rPr>
          <w:rStyle w:val="aff6"/>
          <w:rFonts w:hint="cs"/>
          <w:rtl/>
        </w:rPr>
        <w:instrText xml:space="preserve"> _</w:instrText>
      </w:r>
      <w:r w:rsidRPr="004D008C">
        <w:rPr>
          <w:rStyle w:val="aff6"/>
          <w:rFonts w:hint="cs"/>
        </w:rPr>
        <w:instrText>Ref62760420 \r \h</w:instrText>
      </w:r>
      <w:r w:rsidRPr="004D008C">
        <w:rPr>
          <w:rStyle w:val="aff6"/>
          <w:rtl/>
        </w:rPr>
        <w:instrText xml:space="preserve"> </w:instrText>
      </w:r>
      <w:r w:rsidRPr="004D008C">
        <w:rPr>
          <w:rStyle w:val="aff6"/>
          <w:rtl/>
        </w:rPr>
      </w:r>
      <w:r w:rsidRPr="004D008C">
        <w:rPr>
          <w:rStyle w:val="aff6"/>
          <w:rtl/>
        </w:rPr>
        <w:fldChar w:fldCharType="separate"/>
      </w:r>
      <w:r w:rsidR="00265073">
        <w:rPr>
          <w:rStyle w:val="aff6"/>
          <w:cs/>
        </w:rPr>
        <w:t>‎</w:t>
      </w:r>
      <w:r w:rsidR="00265073">
        <w:rPr>
          <w:rStyle w:val="aff6"/>
          <w:rtl/>
        </w:rPr>
        <w:t>לב)</w:t>
      </w:r>
      <w:r w:rsidRPr="004D008C">
        <w:rPr>
          <w:rStyle w:val="aff6"/>
          <w:rtl/>
        </w:rPr>
        <w:fldChar w:fldCharType="end"/>
      </w:r>
      <w:r w:rsidRPr="004D008C">
        <w:rPr>
          <w:rStyle w:val="afb"/>
          <w:rFonts w:hint="cs"/>
          <w:rtl/>
        </w:rPr>
        <w:t xml:space="preserve"> במה שדחה את דברי </w:t>
      </w:r>
      <w:r w:rsidRPr="004D008C">
        <w:rPr>
          <w:rStyle w:val="affa"/>
          <w:rFonts w:hint="cs"/>
          <w:rtl/>
        </w:rPr>
        <w:t>הרשב"ם</w:t>
      </w:r>
      <w:r w:rsidRPr="004D008C">
        <w:rPr>
          <w:rStyle w:val="afb"/>
          <w:rFonts w:hint="cs"/>
          <w:rtl/>
        </w:rPr>
        <w:t>].</w:t>
      </w:r>
    </w:p>
    <w:p w:rsidR="003B7617" w:rsidRDefault="003B7617" w:rsidP="003B7617">
      <w:pPr>
        <w:pStyle w:val="a3"/>
        <w:rPr>
          <w:rtl/>
        </w:rPr>
      </w:pPr>
      <w:bookmarkStart w:id="14071" w:name="_Toc63247834"/>
      <w:r>
        <w:rPr>
          <w:rFonts w:hint="cs"/>
          <w:rtl/>
        </w:rPr>
        <w:t>ביאור הקוב"ש דכשהודה בטל לו כח הטענה של העדים ומוכח דמיגו מהני מדין כח הטענה</w:t>
      </w:r>
      <w:bookmarkEnd w:id="14071"/>
    </w:p>
    <w:p w:rsidR="003B7617" w:rsidRDefault="003B7617" w:rsidP="007E4E81">
      <w:pPr>
        <w:pStyle w:val="a0"/>
        <w:rPr>
          <w:rtl/>
        </w:rPr>
      </w:pPr>
      <w:bookmarkStart w:id="14072" w:name="_Ref63245381"/>
      <w:r>
        <w:rPr>
          <w:rFonts w:hint="cs"/>
          <w:rtl/>
        </w:rPr>
        <w:t xml:space="preserve">וכ"כ </w:t>
      </w:r>
      <w:r w:rsidRPr="00F05776">
        <w:rPr>
          <w:rStyle w:val="af9"/>
          <w:rFonts w:hint="cs"/>
          <w:rtl/>
        </w:rPr>
        <w:t>הקוב"ש</w:t>
      </w:r>
      <w:r>
        <w:rPr>
          <w:rFonts w:hint="cs"/>
          <w:rtl/>
        </w:rPr>
        <w:t xml:space="preserve"> </w:t>
      </w:r>
      <w:r w:rsidRPr="005203BD">
        <w:rPr>
          <w:rStyle w:val="af7"/>
          <w:rFonts w:eastAsia="Guttman Hodes" w:hint="cs"/>
          <w:rtl/>
        </w:rPr>
        <w:t>(או' י"ב)</w:t>
      </w:r>
      <w:r>
        <w:rPr>
          <w:rFonts w:hint="cs"/>
          <w:rtl/>
        </w:rPr>
        <w:t xml:space="preserve"> דאפש"ל דכוונת </w:t>
      </w:r>
      <w:r w:rsidRPr="00F05776">
        <w:rPr>
          <w:rStyle w:val="af9"/>
          <w:rFonts w:hint="cs"/>
          <w:rtl/>
        </w:rPr>
        <w:t xml:space="preserve">הרשב"ם </w:t>
      </w:r>
      <w:r w:rsidRPr="00C16FB7">
        <w:rPr>
          <w:rStyle w:val="af7"/>
          <w:rFonts w:eastAsia="Guttman Hodes" w:hint="cs"/>
          <w:rtl/>
        </w:rPr>
        <w:t xml:space="preserve">(עי' אות </w:t>
      </w:r>
      <w:r w:rsidRPr="00C16FB7">
        <w:rPr>
          <w:rStyle w:val="af7"/>
          <w:rFonts w:eastAsia="Guttman Hodes"/>
          <w:rtl/>
        </w:rPr>
        <w:fldChar w:fldCharType="begin"/>
      </w:r>
      <w:r w:rsidRPr="00C16FB7">
        <w:rPr>
          <w:rStyle w:val="af7"/>
          <w:rFonts w:eastAsia="Guttman Hodes"/>
          <w:rtl/>
        </w:rPr>
        <w:instrText xml:space="preserve"> </w:instrText>
      </w:r>
      <w:r w:rsidRPr="00C16FB7">
        <w:rPr>
          <w:rStyle w:val="af7"/>
          <w:rFonts w:eastAsia="Guttman Hodes" w:hint="cs"/>
        </w:rPr>
        <w:instrText>REF</w:instrText>
      </w:r>
      <w:r w:rsidRPr="00C16FB7">
        <w:rPr>
          <w:rStyle w:val="af7"/>
          <w:rFonts w:eastAsia="Guttman Hodes" w:hint="cs"/>
          <w:rtl/>
        </w:rPr>
        <w:instrText xml:space="preserve"> _</w:instrText>
      </w:r>
      <w:r w:rsidRPr="00C16FB7">
        <w:rPr>
          <w:rStyle w:val="af7"/>
          <w:rFonts w:eastAsia="Guttman Hodes" w:hint="cs"/>
        </w:rPr>
        <w:instrText>Ref63111068 \r \h</w:instrText>
      </w:r>
      <w:r w:rsidRPr="00C16FB7">
        <w:rPr>
          <w:rStyle w:val="af7"/>
          <w:rFonts w:eastAsia="Guttman Hodes"/>
          <w:rtl/>
        </w:rPr>
        <w:instrText xml:space="preserve"> </w:instrText>
      </w:r>
      <w:r w:rsidRPr="00C16FB7">
        <w:rPr>
          <w:rStyle w:val="af7"/>
          <w:rFonts w:eastAsia="Guttman Hodes"/>
          <w:rtl/>
        </w:rPr>
      </w:r>
      <w:r w:rsidRPr="00C16FB7">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C16FB7">
        <w:rPr>
          <w:rStyle w:val="af7"/>
          <w:rFonts w:eastAsia="Guttman Hodes"/>
          <w:rtl/>
        </w:rPr>
        <w:fldChar w:fldCharType="end"/>
      </w:r>
      <w:r>
        <w:rPr>
          <w:rFonts w:hint="cs"/>
          <w:rtl/>
        </w:rPr>
        <w:t xml:space="preserve"> לומר דאם היה טוען שהשטר הוא שטר טוב, א"כ הזכות שלו בקרקע היא מכח עידי השטר, אבל אחר שהודה שהשטר מזויף אין לו כל כח של עדים, ויש לו רק טענה שהיה לו שטר ואבד, ולכן א"א לתת לו את הכח של הטענה שהיה לו כח של עדים, אך כתב </w:t>
      </w:r>
      <w:r w:rsidRPr="00F05776">
        <w:rPr>
          <w:rStyle w:val="af9"/>
          <w:rFonts w:hint="cs"/>
          <w:rtl/>
        </w:rPr>
        <w:t>הקוב"ש</w:t>
      </w:r>
      <w:r>
        <w:rPr>
          <w:rFonts w:hint="cs"/>
          <w:rtl/>
        </w:rPr>
        <w:t xml:space="preserve"> דזהו דוקא אי נימא דמיגו מהני מדין כח הטענה, אבל אי מיגו מהני בנאמנות דמה לי לשקר, א"א לבאר כן, ועיי"ש במה שהאריך </w:t>
      </w:r>
      <w:r w:rsidRPr="00CC1FE7">
        <w:rPr>
          <w:rStyle w:val="af9"/>
          <w:rFonts w:hint="cs"/>
          <w:rtl/>
        </w:rPr>
        <w:t>הקוב"ש</w:t>
      </w:r>
      <w:r>
        <w:rPr>
          <w:rFonts w:hint="cs"/>
          <w:rtl/>
        </w:rPr>
        <w:t xml:space="preserve"> בזה.</w:t>
      </w:r>
      <w:bookmarkEnd w:id="14072"/>
    </w:p>
    <w:p w:rsidR="003B7617" w:rsidRDefault="003B7617" w:rsidP="003B7617">
      <w:pPr>
        <w:pStyle w:val="a3"/>
        <w:rPr>
          <w:rtl/>
        </w:rPr>
      </w:pPr>
      <w:bookmarkStart w:id="14073" w:name="_Toc63247835"/>
      <w:r>
        <w:rPr>
          <w:rFonts w:hint="cs"/>
          <w:rtl/>
        </w:rPr>
        <w:t>בי' הקוב"ש ברשב"ם דרבה ורב יוסף נח' במיגו כח הטענה או מ"ל לשקר ולשא"ר הוא מ"ל לשקר</w:t>
      </w:r>
      <w:bookmarkEnd w:id="14073"/>
    </w:p>
    <w:p w:rsidR="003B7617" w:rsidRDefault="003B7617" w:rsidP="007E4E81">
      <w:pPr>
        <w:pStyle w:val="a0"/>
        <w:rPr>
          <w:rStyle w:val="afb"/>
          <w:rtl/>
        </w:rPr>
      </w:pPr>
      <w:bookmarkStart w:id="14074" w:name="_Ref63245386"/>
      <w:r>
        <w:rPr>
          <w:rFonts w:hint="cs"/>
          <w:rtl/>
        </w:rPr>
        <w:t xml:space="preserve">וכתב </w:t>
      </w:r>
      <w:r w:rsidRPr="00F05776">
        <w:rPr>
          <w:rStyle w:val="af9"/>
          <w:rFonts w:hint="cs"/>
          <w:rtl/>
        </w:rPr>
        <w:t>הקוב"ש</w:t>
      </w:r>
      <w:r>
        <w:rPr>
          <w:rFonts w:hint="cs"/>
          <w:rtl/>
        </w:rPr>
        <w:t xml:space="preserve"> </w:t>
      </w:r>
      <w:r w:rsidRPr="00CC1FE7">
        <w:rPr>
          <w:rStyle w:val="af7"/>
          <w:rFonts w:eastAsia="Guttman Hodes" w:hint="cs"/>
          <w:rtl/>
        </w:rPr>
        <w:t xml:space="preserve">(או' ט"ו) </w:t>
      </w:r>
      <w:r>
        <w:rPr>
          <w:rFonts w:hint="cs"/>
          <w:rtl/>
        </w:rPr>
        <w:t xml:space="preserve">דלפי"ז אפש"ל דלדעת </w:t>
      </w:r>
      <w:r w:rsidRPr="00F05776">
        <w:rPr>
          <w:rStyle w:val="af9"/>
          <w:rFonts w:hint="cs"/>
          <w:rtl/>
        </w:rPr>
        <w:t>הרשב"ם</w:t>
      </w:r>
      <w:r>
        <w:rPr>
          <w:rFonts w:hint="cs"/>
          <w:rtl/>
        </w:rPr>
        <w:t xml:space="preserve"> רבה ורב יוסף נחלקו בעיקר טעמא דמיגו, דלרבה מיגו הוא נאמנות דאנן סהדי דמה לו לשקר, ולכן אף כשהודה שהשטר מזויף עדיין הוא נאמן, ורב יוסף ס"ל דהוא דין של נאמנות בכח הטענה, וכשהודה שהשטר מזויף ואין לו כל עדים, אין לו את הנאמנות של העדים שהיה לו בתחילה, ולדינא מספקא לן כרבה או כרב יוסף, ולכן קיי"ל כרבה בארעא וכרב יוסף בזוזי, אך כתב </w:t>
      </w:r>
      <w:r w:rsidRPr="00F05776">
        <w:rPr>
          <w:rStyle w:val="af9"/>
          <w:rFonts w:hint="cs"/>
          <w:rtl/>
        </w:rPr>
        <w:t>הקוב"ש</w:t>
      </w:r>
      <w:r>
        <w:rPr>
          <w:rFonts w:hint="cs"/>
          <w:rtl/>
        </w:rPr>
        <w:t xml:space="preserve"> דלדעת </w:t>
      </w:r>
      <w:r w:rsidRPr="00F05776">
        <w:rPr>
          <w:rStyle w:val="af9"/>
          <w:rFonts w:hint="cs"/>
          <w:rtl/>
        </w:rPr>
        <w:t>הראשונים</w:t>
      </w:r>
      <w:r>
        <w:rPr>
          <w:rFonts w:hint="cs"/>
          <w:rtl/>
        </w:rPr>
        <w:t xml:space="preserve"> דפליגי על </w:t>
      </w:r>
      <w:r w:rsidRPr="00F05776">
        <w:rPr>
          <w:rStyle w:val="af9"/>
          <w:rFonts w:hint="cs"/>
          <w:rtl/>
        </w:rPr>
        <w:t>הרשב"ם</w:t>
      </w:r>
      <w:r>
        <w:rPr>
          <w:rFonts w:hint="cs"/>
          <w:rtl/>
        </w:rPr>
        <w:t xml:space="preserve"> ודאי דמיגו הוא מחמת שיש אנן סהדי דאינו משקר. </w:t>
      </w:r>
      <w:r w:rsidRPr="007E0F99">
        <w:rPr>
          <w:rStyle w:val="afb"/>
          <w:rFonts w:hint="cs"/>
          <w:rtl/>
        </w:rPr>
        <w:t xml:space="preserve">[אך </w:t>
      </w:r>
      <w:r w:rsidRPr="00CC1FE7">
        <w:rPr>
          <w:rStyle w:val="affa"/>
          <w:rFonts w:hint="cs"/>
          <w:rtl/>
        </w:rPr>
        <w:t>בחי' רבי נחום</w:t>
      </w:r>
      <w:r w:rsidRPr="007E0F99">
        <w:rPr>
          <w:rStyle w:val="afb"/>
          <w:rFonts w:hint="cs"/>
          <w:rtl/>
        </w:rPr>
        <w:t xml:space="preserve"> </w:t>
      </w:r>
      <w:r w:rsidRPr="00CC1FE7">
        <w:rPr>
          <w:rStyle w:val="aff6"/>
          <w:rFonts w:hint="cs"/>
          <w:rtl/>
        </w:rPr>
        <w:t>(או' קמ"ב)</w:t>
      </w:r>
      <w:r w:rsidRPr="007E0F99">
        <w:rPr>
          <w:rStyle w:val="afb"/>
          <w:rFonts w:hint="cs"/>
          <w:rtl/>
        </w:rPr>
        <w:t xml:space="preserve"> כתב דלא משמע כן מדברי </w:t>
      </w:r>
      <w:r w:rsidRPr="00CC1FE7">
        <w:rPr>
          <w:rStyle w:val="affa"/>
          <w:rFonts w:hint="cs"/>
          <w:rtl/>
        </w:rPr>
        <w:t>הרשב"ם</w:t>
      </w:r>
      <w:r w:rsidRPr="007E0F99">
        <w:rPr>
          <w:rStyle w:val="afb"/>
          <w:rFonts w:hint="cs"/>
          <w:rtl/>
        </w:rPr>
        <w:t>].</w:t>
      </w:r>
      <w:bookmarkEnd w:id="14074"/>
    </w:p>
    <w:p w:rsidR="003B7617" w:rsidRDefault="003B7617" w:rsidP="003B7617">
      <w:pPr>
        <w:pStyle w:val="1"/>
        <w:rPr>
          <w:rtl/>
        </w:rPr>
      </w:pPr>
      <w:bookmarkStart w:id="14075" w:name="_Toc63111489"/>
      <w:bookmarkStart w:id="14076" w:name="_Toc63163548"/>
      <w:bookmarkStart w:id="14077" w:name="_Toc63188823"/>
      <w:bookmarkStart w:id="14078" w:name="_Toc63247836"/>
      <w:r>
        <w:rPr>
          <w:rFonts w:hint="cs"/>
          <w:rtl/>
        </w:rPr>
        <w:t>ביאור הגרנ"פ</w:t>
      </w:r>
      <w:bookmarkEnd w:id="14075"/>
      <w:bookmarkEnd w:id="14076"/>
      <w:bookmarkEnd w:id="14077"/>
      <w:r>
        <w:rPr>
          <w:rFonts w:hint="cs"/>
          <w:rtl/>
        </w:rPr>
        <w:t xml:space="preserve"> בקו' התוס' דאמאי ל"מ לר"י מיגו דמ"ל לשקר</w:t>
      </w:r>
      <w:bookmarkEnd w:id="14078"/>
    </w:p>
    <w:p w:rsidR="003B7617" w:rsidRDefault="003B7617" w:rsidP="003B7617">
      <w:pPr>
        <w:pStyle w:val="a3"/>
        <w:rPr>
          <w:rtl/>
        </w:rPr>
      </w:pPr>
      <w:bookmarkStart w:id="14079" w:name="_Toc63247837"/>
      <w:r>
        <w:rPr>
          <w:rFonts w:hint="cs"/>
          <w:rtl/>
        </w:rPr>
        <w:t>קושית הגרנ"פ על התוס' דמשמע דלא הוקשה להם עיקר דברי רב יוסף כדהוקשה לריטב"א</w:t>
      </w:r>
      <w:bookmarkEnd w:id="14079"/>
    </w:p>
    <w:p w:rsidR="003B7617" w:rsidRDefault="003B7617" w:rsidP="007E4E81">
      <w:pPr>
        <w:pStyle w:val="a0"/>
        <w:rPr>
          <w:rtl/>
        </w:rPr>
      </w:pPr>
      <w:bookmarkStart w:id="14080" w:name="_Ref63245535"/>
      <w:r>
        <w:rPr>
          <w:rFonts w:hint="cs"/>
          <w:rtl/>
        </w:rPr>
        <w:t xml:space="preserve">במה שהקשה </w:t>
      </w:r>
      <w:r w:rsidRPr="00937DFB">
        <w:rPr>
          <w:rStyle w:val="af9"/>
          <w:rFonts w:hint="cs"/>
          <w:rtl/>
        </w:rPr>
        <w:t>הריטב"א</w:t>
      </w:r>
      <w:r w:rsidRPr="0083450B">
        <w:rPr>
          <w:rFonts w:hint="cs"/>
          <w:rtl/>
        </w:rPr>
        <w:t xml:space="preserve"> </w:t>
      </w:r>
      <w:r w:rsidRPr="008D29AE">
        <w:rPr>
          <w:rStyle w:val="af7"/>
          <w:rFonts w:eastAsia="Guttman Hodes" w:hint="cs"/>
          <w:rtl/>
        </w:rPr>
        <w:t xml:space="preserve">(עי' אות </w:t>
      </w:r>
      <w:r w:rsidRPr="008D29AE">
        <w:rPr>
          <w:rStyle w:val="af7"/>
          <w:rFonts w:eastAsia="Guttman Hodes"/>
          <w:rtl/>
        </w:rPr>
        <w:fldChar w:fldCharType="begin"/>
      </w:r>
      <w:r w:rsidRPr="008D29AE">
        <w:rPr>
          <w:rStyle w:val="af7"/>
          <w:rFonts w:eastAsia="Guttman Hodes"/>
          <w:rtl/>
        </w:rPr>
        <w:instrText xml:space="preserve"> </w:instrText>
      </w:r>
      <w:r w:rsidRPr="008D29AE">
        <w:rPr>
          <w:rStyle w:val="af7"/>
          <w:rFonts w:eastAsia="Guttman Hodes" w:hint="cs"/>
        </w:rPr>
        <w:instrText>REF</w:instrText>
      </w:r>
      <w:r w:rsidRPr="008D29AE">
        <w:rPr>
          <w:rStyle w:val="af7"/>
          <w:rFonts w:eastAsia="Guttman Hodes" w:hint="cs"/>
          <w:rtl/>
        </w:rPr>
        <w:instrText xml:space="preserve"> _</w:instrText>
      </w:r>
      <w:r w:rsidRPr="008D29AE">
        <w:rPr>
          <w:rStyle w:val="af7"/>
          <w:rFonts w:eastAsia="Guttman Hodes" w:hint="cs"/>
        </w:rPr>
        <w:instrText>Ref63106505 \r \h</w:instrText>
      </w:r>
      <w:r w:rsidRPr="008D29AE">
        <w:rPr>
          <w:rStyle w:val="af7"/>
          <w:rFonts w:eastAsia="Guttman Hodes"/>
          <w:rtl/>
        </w:rPr>
        <w:instrText xml:space="preserve"> </w:instrText>
      </w:r>
      <w:r w:rsidRPr="008D29AE">
        <w:rPr>
          <w:rStyle w:val="af7"/>
          <w:rFonts w:eastAsia="Guttman Hodes"/>
          <w:rtl/>
        </w:rPr>
      </w:r>
      <w:r w:rsidRPr="008D29AE">
        <w:rPr>
          <w:rStyle w:val="af7"/>
          <w:rFonts w:eastAsia="Guttman Hodes"/>
          <w:rtl/>
        </w:rPr>
        <w:fldChar w:fldCharType="separate"/>
      </w:r>
      <w:r w:rsidR="00265073">
        <w:rPr>
          <w:rStyle w:val="af7"/>
          <w:rFonts w:eastAsia="Guttman Hodes"/>
          <w:cs/>
        </w:rPr>
        <w:t>‎</w:t>
      </w:r>
      <w:r w:rsidR="00265073">
        <w:rPr>
          <w:rStyle w:val="af7"/>
          <w:rFonts w:eastAsia="Guttman Hodes"/>
          <w:rtl/>
        </w:rPr>
        <w:t>נה)</w:t>
      </w:r>
      <w:r w:rsidRPr="008D29AE">
        <w:rPr>
          <w:rStyle w:val="af7"/>
          <w:rFonts w:eastAsia="Guttman Hodes"/>
          <w:rtl/>
        </w:rPr>
        <w:fldChar w:fldCharType="end"/>
      </w:r>
      <w:r>
        <w:rPr>
          <w:rFonts w:hint="cs"/>
          <w:rtl/>
        </w:rPr>
        <w:t xml:space="preserve"> על דברי רב יוסף דהא רבה לא העמיד את הקרקע בידו, מחמת שסמך על השטר המזויף, אלא הוא סמך על כך שהיה לו שטר טוב, דהוא נאמן במיגו לומר שהיה לו ואבד, כתב </w:t>
      </w:r>
      <w:r w:rsidRPr="00F05776">
        <w:rPr>
          <w:rStyle w:val="af9"/>
          <w:rFonts w:hint="cs"/>
          <w:rtl/>
        </w:rPr>
        <w:t>בחי' רבי נחום</w:t>
      </w:r>
      <w:r>
        <w:rPr>
          <w:rFonts w:hint="cs"/>
          <w:rtl/>
        </w:rPr>
        <w:t xml:space="preserve"> </w:t>
      </w:r>
      <w:r w:rsidRPr="008D29AE">
        <w:rPr>
          <w:rStyle w:val="af7"/>
          <w:rFonts w:eastAsia="Guttman Hodes" w:hint="cs"/>
          <w:rtl/>
        </w:rPr>
        <w:t>(או' ק"מ ד"ה והנה בתוס')</w:t>
      </w:r>
      <w:r>
        <w:rPr>
          <w:rFonts w:hint="cs"/>
          <w:rtl/>
        </w:rPr>
        <w:t xml:space="preserve"> דמדברי </w:t>
      </w:r>
      <w:r w:rsidRPr="00F05776">
        <w:rPr>
          <w:rStyle w:val="af9"/>
          <w:rFonts w:hint="cs"/>
          <w:rtl/>
        </w:rPr>
        <w:t>התוס'</w:t>
      </w:r>
      <w:r>
        <w:rPr>
          <w:rFonts w:hint="cs"/>
          <w:rtl/>
        </w:rPr>
        <w:t xml:space="preserve"> </w:t>
      </w:r>
      <w:r w:rsidRPr="002F109B">
        <w:rPr>
          <w:rStyle w:val="af7"/>
          <w:rFonts w:eastAsia="Guttman Hodes" w:hint="cs"/>
          <w:rtl/>
        </w:rPr>
        <w:t xml:space="preserve">(עי' אות </w:t>
      </w:r>
      <w:r w:rsidRPr="002F109B">
        <w:rPr>
          <w:rStyle w:val="af7"/>
          <w:rFonts w:eastAsia="Guttman Hodes"/>
          <w:rtl/>
        </w:rPr>
        <w:fldChar w:fldCharType="begin"/>
      </w:r>
      <w:r w:rsidRPr="002F109B">
        <w:rPr>
          <w:rStyle w:val="af7"/>
          <w:rFonts w:eastAsia="Guttman Hodes"/>
          <w:rtl/>
        </w:rPr>
        <w:instrText xml:space="preserve"> </w:instrText>
      </w:r>
      <w:r w:rsidRPr="002F109B">
        <w:rPr>
          <w:rStyle w:val="af7"/>
          <w:rFonts w:eastAsia="Guttman Hodes" w:hint="cs"/>
        </w:rPr>
        <w:instrText>REF</w:instrText>
      </w:r>
      <w:r w:rsidRPr="002F109B">
        <w:rPr>
          <w:rStyle w:val="af7"/>
          <w:rFonts w:eastAsia="Guttman Hodes" w:hint="cs"/>
          <w:rtl/>
        </w:rPr>
        <w:instrText xml:space="preserve"> _</w:instrText>
      </w:r>
      <w:r w:rsidRPr="002F109B">
        <w:rPr>
          <w:rStyle w:val="af7"/>
          <w:rFonts w:eastAsia="Guttman Hodes" w:hint="cs"/>
        </w:rPr>
        <w:instrText>Ref63185997 \r \h</w:instrText>
      </w:r>
      <w:r w:rsidRPr="002F109B">
        <w:rPr>
          <w:rStyle w:val="af7"/>
          <w:rFonts w:eastAsia="Guttman Hodes"/>
          <w:rtl/>
        </w:rPr>
        <w:instrText xml:space="preserve"> </w:instrText>
      </w:r>
      <w:r w:rsidRPr="002F109B">
        <w:rPr>
          <w:rStyle w:val="af7"/>
          <w:rFonts w:eastAsia="Guttman Hodes"/>
          <w:rtl/>
        </w:rPr>
      </w:r>
      <w:r w:rsidRPr="002F109B">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2F109B">
        <w:rPr>
          <w:rStyle w:val="af7"/>
          <w:rFonts w:eastAsia="Guttman Hodes"/>
          <w:rtl/>
        </w:rPr>
        <w:fldChar w:fldCharType="end"/>
      </w:r>
      <w:r w:rsidRPr="004D008C">
        <w:rPr>
          <w:rStyle w:val="afb"/>
          <w:rFonts w:hint="cs"/>
          <w:rtl/>
        </w:rPr>
        <w:t xml:space="preserve"> </w:t>
      </w:r>
      <w:r>
        <w:rPr>
          <w:rFonts w:hint="cs"/>
          <w:rtl/>
        </w:rPr>
        <w:t xml:space="preserve">דהקשו אמאי לא מהני מיגו, משמע שלא הוקשה להם קושית </w:t>
      </w:r>
      <w:r w:rsidRPr="00F05776">
        <w:rPr>
          <w:rStyle w:val="af9"/>
          <w:rFonts w:hint="cs"/>
          <w:rtl/>
        </w:rPr>
        <w:t>הריטב"א</w:t>
      </w:r>
      <w:r>
        <w:rPr>
          <w:rFonts w:hint="cs"/>
          <w:rtl/>
        </w:rPr>
        <w:t xml:space="preserve"> על עיקר קושית רב יוסף לרבה, והקשה </w:t>
      </w:r>
      <w:r w:rsidRPr="00F05776">
        <w:rPr>
          <w:rStyle w:val="af9"/>
          <w:rFonts w:hint="cs"/>
          <w:rtl/>
        </w:rPr>
        <w:t>בחי' רבי נחום</w:t>
      </w:r>
      <w:r>
        <w:rPr>
          <w:rFonts w:hint="cs"/>
          <w:rtl/>
        </w:rPr>
        <w:t xml:space="preserve"> דאמאי לא הקשו </w:t>
      </w:r>
      <w:r w:rsidRPr="00F05776">
        <w:rPr>
          <w:rStyle w:val="af9"/>
          <w:rFonts w:hint="cs"/>
          <w:rtl/>
        </w:rPr>
        <w:t>התוס'</w:t>
      </w:r>
      <w:r>
        <w:rPr>
          <w:rFonts w:hint="cs"/>
          <w:rtl/>
        </w:rPr>
        <w:t xml:space="preserve"> </w:t>
      </w:r>
      <w:r w:rsidRPr="00F05776">
        <w:rPr>
          <w:rStyle w:val="af9"/>
          <w:rFonts w:hint="cs"/>
          <w:rtl/>
        </w:rPr>
        <w:t>כהריטב"א</w:t>
      </w:r>
      <w:r>
        <w:rPr>
          <w:rFonts w:hint="cs"/>
          <w:rtl/>
        </w:rPr>
        <w:t>.</w:t>
      </w:r>
      <w:bookmarkEnd w:id="14080"/>
    </w:p>
    <w:p w:rsidR="003B7617" w:rsidRDefault="003B7617" w:rsidP="003B7617">
      <w:pPr>
        <w:pStyle w:val="a3"/>
        <w:rPr>
          <w:rtl/>
        </w:rPr>
      </w:pPr>
      <w:bookmarkStart w:id="14081" w:name="_Toc63247838"/>
      <w:r>
        <w:rPr>
          <w:rFonts w:hint="cs"/>
          <w:rtl/>
        </w:rPr>
        <w:t>ביאור הגרנ"פ דלרבה כיון שהיה יכול לזכות בשטר לכן לא בטל לו כח הטענה של השטר</w:t>
      </w:r>
      <w:bookmarkEnd w:id="14081"/>
      <w:r>
        <w:rPr>
          <w:rFonts w:hint="cs"/>
          <w:rtl/>
        </w:rPr>
        <w:t xml:space="preserve"> </w:t>
      </w:r>
    </w:p>
    <w:p w:rsidR="003B7617" w:rsidRDefault="003B7617" w:rsidP="007E4E81">
      <w:pPr>
        <w:pStyle w:val="a0"/>
        <w:rPr>
          <w:rtl/>
        </w:rPr>
      </w:pPr>
      <w:bookmarkStart w:id="14082" w:name="_Ref63161330"/>
      <w:r>
        <w:rPr>
          <w:rFonts w:hint="cs"/>
          <w:rtl/>
        </w:rPr>
        <w:t xml:space="preserve">ועיי"ש במה שהאריך </w:t>
      </w:r>
      <w:r w:rsidRPr="006D54DB">
        <w:rPr>
          <w:rStyle w:val="af9"/>
          <w:rFonts w:hint="cs"/>
          <w:rtl/>
        </w:rPr>
        <w:t>בחי' רבי נחום</w:t>
      </w:r>
      <w:r>
        <w:rPr>
          <w:rFonts w:hint="cs"/>
          <w:rtl/>
        </w:rPr>
        <w:t xml:space="preserve"> לבאר בדין מיגו דכח הטענה, ומיגו דמה לי לשקר, דצריך את ב' הדינים, דעיקר המיגו הוא ע"י כח הטענה, אך אין חשש שהוא משקר מחמת סברת מה לי לשקר, וכתב </w:t>
      </w:r>
      <w:r w:rsidRPr="006D54DB">
        <w:rPr>
          <w:rStyle w:val="af9"/>
          <w:rFonts w:hint="cs"/>
          <w:rtl/>
        </w:rPr>
        <w:t>בחי' רבי נחום</w:t>
      </w:r>
      <w:r>
        <w:rPr>
          <w:rFonts w:hint="cs"/>
          <w:rtl/>
        </w:rPr>
        <w:t xml:space="preserve"> </w:t>
      </w:r>
      <w:r w:rsidRPr="008D29AE">
        <w:rPr>
          <w:rStyle w:val="af7"/>
          <w:rFonts w:eastAsia="Guttman Hodes" w:hint="cs"/>
          <w:rtl/>
        </w:rPr>
        <w:t>(או' ק"מ ד"ה ולאחר)</w:t>
      </w:r>
      <w:r>
        <w:rPr>
          <w:rFonts w:hint="cs"/>
          <w:rtl/>
        </w:rPr>
        <w:t xml:space="preserve"> דלפי"ז מה שאמר רבה "מה לו לשקר" אין כוונתו דנאמן רק מחמת מה לי לשקר, דהא ודאי שצריך גם מיגו דכח הטענה, אלא כוונתו לדין מיגו, ולכן הקשה רב יוסף דכיון שהשטר הוא חספא ממילא אין לו את כח הטענה של השטר, כדביאר </w:t>
      </w:r>
      <w:r w:rsidRPr="006D54DB">
        <w:rPr>
          <w:rStyle w:val="af9"/>
          <w:rFonts w:hint="cs"/>
          <w:rtl/>
        </w:rPr>
        <w:t>הקוב"ש</w:t>
      </w:r>
      <w:r>
        <w:rPr>
          <w:rFonts w:hint="cs"/>
          <w:rtl/>
        </w:rPr>
        <w:t xml:space="preserve"> </w:t>
      </w:r>
      <w:r w:rsidRPr="00223AE7">
        <w:rPr>
          <w:rStyle w:val="af7"/>
          <w:rFonts w:eastAsia="Guttman Hodes" w:hint="cs"/>
          <w:rtl/>
        </w:rPr>
        <w:t xml:space="preserve">(עי' אות </w:t>
      </w:r>
      <w:r w:rsidRPr="00223AE7">
        <w:rPr>
          <w:rStyle w:val="af7"/>
          <w:rFonts w:eastAsia="Guttman Hodes"/>
          <w:rtl/>
        </w:rPr>
        <w:fldChar w:fldCharType="begin"/>
      </w:r>
      <w:r w:rsidRPr="00223AE7">
        <w:rPr>
          <w:rStyle w:val="af7"/>
          <w:rFonts w:eastAsia="Guttman Hodes"/>
          <w:rtl/>
        </w:rPr>
        <w:instrText xml:space="preserve"> </w:instrText>
      </w:r>
      <w:r w:rsidRPr="00223AE7">
        <w:rPr>
          <w:rStyle w:val="af7"/>
          <w:rFonts w:eastAsia="Guttman Hodes" w:hint="cs"/>
        </w:rPr>
        <w:instrText>REF</w:instrText>
      </w:r>
      <w:r w:rsidRPr="00223AE7">
        <w:rPr>
          <w:rStyle w:val="af7"/>
          <w:rFonts w:eastAsia="Guttman Hodes" w:hint="cs"/>
          <w:rtl/>
        </w:rPr>
        <w:instrText xml:space="preserve"> _</w:instrText>
      </w:r>
      <w:r w:rsidRPr="00223AE7">
        <w:rPr>
          <w:rStyle w:val="af7"/>
          <w:rFonts w:eastAsia="Guttman Hodes" w:hint="cs"/>
        </w:rPr>
        <w:instrText>Ref63245381 \r \h</w:instrText>
      </w:r>
      <w:r w:rsidRPr="00223AE7">
        <w:rPr>
          <w:rStyle w:val="af7"/>
          <w:rFonts w:eastAsia="Guttman Hodes"/>
          <w:rtl/>
        </w:rPr>
        <w:instrText xml:space="preserve"> </w:instrText>
      </w:r>
      <w:r w:rsidRPr="00223AE7">
        <w:rPr>
          <w:rStyle w:val="af7"/>
          <w:rFonts w:eastAsia="Guttman Hodes"/>
          <w:rtl/>
        </w:rPr>
      </w:r>
      <w:r w:rsidRPr="00223AE7">
        <w:rPr>
          <w:rStyle w:val="af7"/>
          <w:rFonts w:eastAsia="Guttman Hodes"/>
          <w:rtl/>
        </w:rPr>
        <w:fldChar w:fldCharType="separate"/>
      </w:r>
      <w:r w:rsidR="00265073">
        <w:rPr>
          <w:rStyle w:val="af7"/>
          <w:rFonts w:eastAsia="Guttman Hodes"/>
          <w:cs/>
        </w:rPr>
        <w:t>‎</w:t>
      </w:r>
      <w:r w:rsidR="00265073">
        <w:rPr>
          <w:rStyle w:val="af7"/>
          <w:rFonts w:eastAsia="Guttman Hodes"/>
          <w:rtl/>
        </w:rPr>
        <w:t>קיט)</w:t>
      </w:r>
      <w:r w:rsidRPr="00223AE7">
        <w:rPr>
          <w:rStyle w:val="af7"/>
          <w:rFonts w:eastAsia="Guttman Hodes"/>
          <w:rtl/>
        </w:rPr>
        <w:fldChar w:fldCharType="end"/>
      </w:r>
      <w:r>
        <w:rPr>
          <w:rFonts w:hint="cs"/>
          <w:rtl/>
        </w:rPr>
        <w:t xml:space="preserve">, ובדעת רבה כתב </w:t>
      </w:r>
      <w:r w:rsidRPr="006D54DB">
        <w:rPr>
          <w:rStyle w:val="af9"/>
          <w:rFonts w:hint="cs"/>
          <w:rtl/>
        </w:rPr>
        <w:t>בחי' רבי</w:t>
      </w:r>
      <w:r>
        <w:rPr>
          <w:rFonts w:hint="cs"/>
          <w:rtl/>
        </w:rPr>
        <w:t xml:space="preserve"> </w:t>
      </w:r>
      <w:r w:rsidRPr="006D54DB">
        <w:rPr>
          <w:rStyle w:val="af9"/>
          <w:rFonts w:hint="cs"/>
          <w:rtl/>
        </w:rPr>
        <w:t>נחום</w:t>
      </w:r>
      <w:r>
        <w:rPr>
          <w:rFonts w:hint="cs"/>
          <w:rtl/>
        </w:rPr>
        <w:t xml:space="preserve"> דאפש"ל כדברי </w:t>
      </w:r>
      <w:r w:rsidRPr="006D54DB">
        <w:rPr>
          <w:rStyle w:val="af9"/>
          <w:rFonts w:hint="cs"/>
          <w:rtl/>
        </w:rPr>
        <w:t>הקוב"ש</w:t>
      </w:r>
      <w:r>
        <w:rPr>
          <w:rFonts w:hint="cs"/>
          <w:rtl/>
        </w:rPr>
        <w:t xml:space="preserve"> </w:t>
      </w:r>
      <w:r w:rsidRPr="00223AE7">
        <w:rPr>
          <w:rStyle w:val="af7"/>
          <w:rFonts w:eastAsia="Guttman Hodes" w:hint="cs"/>
          <w:rtl/>
        </w:rPr>
        <w:t xml:space="preserve">(עי' אות </w:t>
      </w:r>
      <w:r w:rsidRPr="00223AE7">
        <w:rPr>
          <w:rStyle w:val="af7"/>
          <w:rFonts w:eastAsia="Guttman Hodes"/>
          <w:rtl/>
        </w:rPr>
        <w:fldChar w:fldCharType="begin"/>
      </w:r>
      <w:r w:rsidRPr="00223AE7">
        <w:rPr>
          <w:rStyle w:val="af7"/>
          <w:rFonts w:eastAsia="Guttman Hodes"/>
          <w:rtl/>
        </w:rPr>
        <w:instrText xml:space="preserve"> </w:instrText>
      </w:r>
      <w:r w:rsidRPr="00223AE7">
        <w:rPr>
          <w:rStyle w:val="af7"/>
          <w:rFonts w:eastAsia="Guttman Hodes" w:hint="cs"/>
        </w:rPr>
        <w:instrText>REF</w:instrText>
      </w:r>
      <w:r w:rsidRPr="00223AE7">
        <w:rPr>
          <w:rStyle w:val="af7"/>
          <w:rFonts w:eastAsia="Guttman Hodes" w:hint="cs"/>
          <w:rtl/>
        </w:rPr>
        <w:instrText xml:space="preserve"> _</w:instrText>
      </w:r>
      <w:r w:rsidRPr="00223AE7">
        <w:rPr>
          <w:rStyle w:val="af7"/>
          <w:rFonts w:eastAsia="Guttman Hodes" w:hint="cs"/>
        </w:rPr>
        <w:instrText>Ref63245386 \r \h</w:instrText>
      </w:r>
      <w:r w:rsidRPr="00223AE7">
        <w:rPr>
          <w:rStyle w:val="af7"/>
          <w:rFonts w:eastAsia="Guttman Hodes"/>
          <w:rtl/>
        </w:rPr>
        <w:instrText xml:space="preserve"> </w:instrText>
      </w:r>
      <w:r w:rsidRPr="00223AE7">
        <w:rPr>
          <w:rStyle w:val="af7"/>
          <w:rFonts w:eastAsia="Guttman Hodes"/>
          <w:rtl/>
        </w:rPr>
      </w:r>
      <w:r w:rsidRPr="00223AE7">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sidRPr="00223AE7">
        <w:rPr>
          <w:rStyle w:val="af7"/>
          <w:rFonts w:eastAsia="Guttman Hodes"/>
          <w:rtl/>
        </w:rPr>
        <w:fldChar w:fldCharType="end"/>
      </w:r>
      <w:r>
        <w:rPr>
          <w:rFonts w:hint="cs"/>
          <w:rtl/>
        </w:rPr>
        <w:t xml:space="preserve"> דרבה ורב יוסף נחלקו בעיקר דין מיגו, אך יותר נראה דס"ל לרבה דאף שהודה שהשטר מזויף, מ"מ כיון שהיה יכול לזכות בקרקע ע"י השטר אם לא היה מודה, א"כ יש לו את כח הטענה של השטר.</w:t>
      </w:r>
      <w:bookmarkEnd w:id="14082"/>
    </w:p>
    <w:p w:rsidR="003B7617" w:rsidRDefault="003B7617" w:rsidP="003B7617">
      <w:pPr>
        <w:pStyle w:val="a3"/>
        <w:rPr>
          <w:rtl/>
        </w:rPr>
      </w:pPr>
      <w:bookmarkStart w:id="14083" w:name="_Toc63247839"/>
      <w:r>
        <w:rPr>
          <w:rFonts w:hint="cs"/>
          <w:rtl/>
        </w:rPr>
        <w:t>ביאור הגרנ"פ דהתוס' הקשו דלרב יוסף אף שאין לו כח הטענה מ"מ יש לו מיגו דמ"ל לשקר</w:t>
      </w:r>
      <w:bookmarkEnd w:id="14083"/>
    </w:p>
    <w:p w:rsidR="003B7617" w:rsidRDefault="003B7617" w:rsidP="007E4E81">
      <w:pPr>
        <w:pStyle w:val="a0"/>
        <w:rPr>
          <w:rtl/>
        </w:rPr>
      </w:pPr>
      <w:bookmarkStart w:id="14084" w:name="_Ref63247069"/>
      <w:r>
        <w:rPr>
          <w:rFonts w:hint="cs"/>
          <w:rtl/>
        </w:rPr>
        <w:t xml:space="preserve">וכתב </w:t>
      </w:r>
      <w:r w:rsidRPr="006D54DB">
        <w:rPr>
          <w:rStyle w:val="af9"/>
          <w:rFonts w:hint="cs"/>
          <w:rtl/>
        </w:rPr>
        <w:t>בחי' רבי נחום</w:t>
      </w:r>
      <w:r>
        <w:rPr>
          <w:rFonts w:hint="cs"/>
          <w:rtl/>
        </w:rPr>
        <w:t xml:space="preserve"> </w:t>
      </w:r>
      <w:r w:rsidRPr="008D29AE">
        <w:rPr>
          <w:rStyle w:val="af7"/>
          <w:rFonts w:eastAsia="Guttman Hodes" w:hint="cs"/>
          <w:rtl/>
        </w:rPr>
        <w:t>(או' ק"מ ד"ה ונראה דהתוס')</w:t>
      </w:r>
      <w:r>
        <w:rPr>
          <w:rFonts w:hint="cs"/>
          <w:rtl/>
        </w:rPr>
        <w:t xml:space="preserve"> דלפי"ז אפש"ל דהא דהקשו </w:t>
      </w:r>
      <w:r w:rsidRPr="006D54DB">
        <w:rPr>
          <w:rStyle w:val="af9"/>
          <w:rFonts w:hint="cs"/>
          <w:rtl/>
        </w:rPr>
        <w:t>התוס'</w:t>
      </w:r>
      <w:r>
        <w:rPr>
          <w:rFonts w:hint="cs"/>
          <w:rtl/>
        </w:rPr>
        <w:t xml:space="preserve"> רק מדין מיגו, </w:t>
      </w:r>
      <w:r w:rsidRPr="00D62D0A">
        <w:rPr>
          <w:rStyle w:val="afb"/>
          <w:rFonts w:hint="cs"/>
          <w:rtl/>
        </w:rPr>
        <w:t xml:space="preserve">[כדכתב </w:t>
      </w:r>
      <w:r w:rsidRPr="00D62D0A">
        <w:rPr>
          <w:rStyle w:val="affa"/>
          <w:rFonts w:hint="cs"/>
          <w:rtl/>
        </w:rPr>
        <w:t>בחי' רבי נחום</w:t>
      </w:r>
      <w:r w:rsidRPr="00D62D0A">
        <w:rPr>
          <w:rStyle w:val="afb"/>
          <w:rFonts w:hint="cs"/>
          <w:rtl/>
        </w:rPr>
        <w:t xml:space="preserve"> </w:t>
      </w:r>
      <w:r w:rsidRPr="00D62D0A">
        <w:rPr>
          <w:rStyle w:val="aff6"/>
          <w:rFonts w:hint="cs"/>
          <w:rtl/>
        </w:rPr>
        <w:t xml:space="preserve">(עי' אות </w:t>
      </w:r>
      <w:r w:rsidRPr="00D62D0A">
        <w:rPr>
          <w:rStyle w:val="aff6"/>
          <w:rtl/>
        </w:rPr>
        <w:fldChar w:fldCharType="begin"/>
      </w:r>
      <w:r w:rsidRPr="00D62D0A">
        <w:rPr>
          <w:rStyle w:val="aff6"/>
          <w:rtl/>
        </w:rPr>
        <w:instrText xml:space="preserve"> </w:instrText>
      </w:r>
      <w:r w:rsidRPr="00D62D0A">
        <w:rPr>
          <w:rStyle w:val="aff6"/>
          <w:rFonts w:hint="cs"/>
        </w:rPr>
        <w:instrText>REF</w:instrText>
      </w:r>
      <w:r w:rsidRPr="00D62D0A">
        <w:rPr>
          <w:rStyle w:val="aff6"/>
          <w:rFonts w:hint="cs"/>
          <w:rtl/>
        </w:rPr>
        <w:instrText xml:space="preserve"> _</w:instrText>
      </w:r>
      <w:r w:rsidRPr="00D62D0A">
        <w:rPr>
          <w:rStyle w:val="aff6"/>
          <w:rFonts w:hint="cs"/>
        </w:rPr>
        <w:instrText>Ref63245535 \r \h</w:instrText>
      </w:r>
      <w:r w:rsidRPr="00D62D0A">
        <w:rPr>
          <w:rStyle w:val="aff6"/>
          <w:rtl/>
        </w:rPr>
        <w:instrText xml:space="preserve"> </w:instrText>
      </w:r>
      <w:r w:rsidRPr="00D62D0A">
        <w:rPr>
          <w:rStyle w:val="aff6"/>
          <w:rtl/>
        </w:rPr>
      </w:r>
      <w:r w:rsidRPr="00D62D0A">
        <w:rPr>
          <w:rStyle w:val="aff6"/>
          <w:rtl/>
        </w:rPr>
        <w:fldChar w:fldCharType="separate"/>
      </w:r>
      <w:r w:rsidR="00265073">
        <w:rPr>
          <w:rStyle w:val="aff6"/>
          <w:cs/>
        </w:rPr>
        <w:t>‎</w:t>
      </w:r>
      <w:r w:rsidR="00265073">
        <w:rPr>
          <w:rStyle w:val="aff6"/>
          <w:rtl/>
        </w:rPr>
        <w:t>קכא)</w:t>
      </w:r>
      <w:r w:rsidRPr="00D62D0A">
        <w:rPr>
          <w:rStyle w:val="aff6"/>
          <w:rtl/>
        </w:rPr>
        <w:fldChar w:fldCharType="end"/>
      </w:r>
      <w:r w:rsidRPr="00D62D0A">
        <w:rPr>
          <w:rStyle w:val="afb"/>
          <w:rFonts w:hint="cs"/>
          <w:rtl/>
        </w:rPr>
        <w:t>],</w:t>
      </w:r>
      <w:r>
        <w:rPr>
          <w:rFonts w:hint="cs"/>
          <w:rtl/>
        </w:rPr>
        <w:t xml:space="preserve"> כוונתם להקשות דאף דאמר רב יוסף שאין לו מיגו דכח הטענה, כיון שהשטר </w:t>
      </w:r>
      <w:r>
        <w:rPr>
          <w:rFonts w:hint="cs"/>
          <w:rtl/>
        </w:rPr>
        <w:lastRenderedPageBreak/>
        <w:t>מזויף, מ"מ אמאי אינו נאמן במיגו דמה לי לשקר</w:t>
      </w:r>
      <w:bookmarkStart w:id="14085" w:name="_Ref63245694"/>
      <w:r>
        <w:rPr>
          <w:rStyle w:val="af1"/>
          <w:rtl/>
        </w:rPr>
        <w:footnoteReference w:id="101"/>
      </w:r>
      <w:bookmarkEnd w:id="14085"/>
      <w:r>
        <w:rPr>
          <w:rFonts w:hint="cs"/>
          <w:rtl/>
        </w:rPr>
        <w:t>.</w:t>
      </w:r>
      <w:bookmarkEnd w:id="14084"/>
      <w:r>
        <w:rPr>
          <w:rFonts w:hint="cs"/>
          <w:rtl/>
        </w:rPr>
        <w:t xml:space="preserve"> </w:t>
      </w:r>
      <w:r w:rsidRPr="00EF0FCD">
        <w:rPr>
          <w:rStyle w:val="afb"/>
          <w:rFonts w:hint="cs"/>
          <w:rtl/>
        </w:rPr>
        <w:t>[</w:t>
      </w:r>
      <w:r>
        <w:rPr>
          <w:rStyle w:val="afb"/>
          <w:rFonts w:hint="cs"/>
          <w:rtl/>
        </w:rPr>
        <w:t>ועי' במה ש</w:t>
      </w:r>
      <w:r w:rsidRPr="00EF0FCD">
        <w:rPr>
          <w:rStyle w:val="afb"/>
          <w:rFonts w:hint="cs"/>
          <w:rtl/>
        </w:rPr>
        <w:t xml:space="preserve">ביאר </w:t>
      </w:r>
      <w:r w:rsidRPr="00EF0FCD">
        <w:rPr>
          <w:rStyle w:val="affa"/>
          <w:rFonts w:hint="cs"/>
          <w:rtl/>
        </w:rPr>
        <w:t xml:space="preserve">בחי' רבי נחום </w:t>
      </w:r>
      <w:r w:rsidRPr="00EF0FCD">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Ref63247140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קכז)</w:t>
      </w:r>
      <w:r>
        <w:rPr>
          <w:rStyle w:val="aff6"/>
          <w:rtl/>
        </w:rPr>
        <w:fldChar w:fldCharType="end"/>
      </w:r>
      <w:r>
        <w:rPr>
          <w:rStyle w:val="aff6"/>
          <w:rFonts w:hint="cs"/>
          <w:rtl/>
        </w:rPr>
        <w:t xml:space="preserve"> </w:t>
      </w:r>
      <w:r w:rsidRPr="00EF0FCD">
        <w:rPr>
          <w:rStyle w:val="afb"/>
          <w:rFonts w:hint="cs"/>
          <w:rtl/>
        </w:rPr>
        <w:t xml:space="preserve">בדעת </w:t>
      </w:r>
      <w:r w:rsidRPr="00EF0FCD">
        <w:rPr>
          <w:rStyle w:val="affa"/>
          <w:rFonts w:hint="cs"/>
          <w:rtl/>
        </w:rPr>
        <w:t>ה</w:t>
      </w:r>
      <w:r>
        <w:rPr>
          <w:rStyle w:val="affa"/>
          <w:rFonts w:hint="cs"/>
          <w:rtl/>
        </w:rPr>
        <w:t>ריב"ם ב</w:t>
      </w:r>
      <w:r w:rsidRPr="00EF0FCD">
        <w:rPr>
          <w:rStyle w:val="affa"/>
          <w:rFonts w:hint="cs"/>
          <w:rtl/>
        </w:rPr>
        <w:t>תוס'</w:t>
      </w:r>
      <w:r>
        <w:rPr>
          <w:rStyle w:val="affa"/>
          <w:rFonts w:hint="cs"/>
          <w:rtl/>
        </w:rPr>
        <w:t xml:space="preserve"> בב"מ</w:t>
      </w:r>
      <w:r>
        <w:rPr>
          <w:rStyle w:val="afb"/>
          <w:rFonts w:hint="cs"/>
          <w:rtl/>
        </w:rPr>
        <w:t xml:space="preserve"> דיסוד דין מיגו הוא מדין מ"ל לשקר]</w:t>
      </w:r>
      <w:r>
        <w:rPr>
          <w:rFonts w:hint="cs"/>
          <w:rtl/>
        </w:rPr>
        <w:t xml:space="preserve">.  </w:t>
      </w:r>
    </w:p>
    <w:p w:rsidR="003B7617" w:rsidRDefault="003B7617" w:rsidP="003B7617">
      <w:pPr>
        <w:pStyle w:val="1"/>
        <w:rPr>
          <w:rtl/>
        </w:rPr>
      </w:pPr>
      <w:bookmarkStart w:id="14086" w:name="_Toc63247840"/>
      <w:r>
        <w:rPr>
          <w:rFonts w:hint="cs"/>
          <w:rtl/>
        </w:rPr>
        <w:t>ביאור הגרנ"פ ברמב"ן דמיגו מהני מדין כח הטענה</w:t>
      </w:r>
      <w:bookmarkEnd w:id="14086"/>
    </w:p>
    <w:p w:rsidR="003B7617" w:rsidRDefault="003B7617" w:rsidP="003B7617">
      <w:pPr>
        <w:pStyle w:val="a3"/>
        <w:rPr>
          <w:rtl/>
        </w:rPr>
      </w:pPr>
      <w:bookmarkStart w:id="14087" w:name="_Toc63247841"/>
      <w:r>
        <w:rPr>
          <w:rFonts w:hint="cs"/>
          <w:rtl/>
        </w:rPr>
        <w:t>ביאור הגרנ"פ בקושית הרמב"ן דאי מחוסר מעשה נאמן במיגו אף כשבטלה כח הטענה נאמן</w:t>
      </w:r>
      <w:bookmarkEnd w:id="14087"/>
    </w:p>
    <w:p w:rsidR="003B7617" w:rsidRDefault="003B7617" w:rsidP="007E4E81">
      <w:pPr>
        <w:pStyle w:val="a0"/>
        <w:rPr>
          <w:rtl/>
        </w:rPr>
      </w:pPr>
      <w:bookmarkStart w:id="14088" w:name="_Ref63245817"/>
      <w:r>
        <w:rPr>
          <w:rFonts w:hint="cs"/>
          <w:rtl/>
        </w:rPr>
        <w:t xml:space="preserve">במה שהקשה </w:t>
      </w:r>
      <w:r w:rsidRPr="00176841">
        <w:rPr>
          <w:rStyle w:val="af9"/>
          <w:rFonts w:hint="cs"/>
          <w:rtl/>
        </w:rPr>
        <w:t>הרמב"ן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Ref63245843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Pr>
          <w:rStyle w:val="af7"/>
          <w:rFonts w:eastAsia="Guttman Hodes"/>
          <w:rtl/>
        </w:rPr>
        <w:fldChar w:fldCharType="end"/>
      </w:r>
      <w:r>
        <w:rPr>
          <w:rStyle w:val="af7"/>
          <w:rFonts w:eastAsia="Guttman Hodes" w:hint="cs"/>
          <w:rtl/>
        </w:rPr>
        <w:t xml:space="preserve"> </w:t>
      </w:r>
      <w:r>
        <w:rPr>
          <w:rFonts w:hint="cs"/>
          <w:rtl/>
        </w:rPr>
        <w:t>על רב יוסף</w:t>
      </w:r>
      <w:r w:rsidRPr="00D27084">
        <w:rPr>
          <w:rFonts w:hint="cs"/>
          <w:rtl/>
        </w:rPr>
        <w:t xml:space="preserve"> </w:t>
      </w:r>
      <w:r>
        <w:rPr>
          <w:rFonts w:hint="cs"/>
          <w:rtl/>
        </w:rPr>
        <w:t xml:space="preserve">דאמאי אינו נאמן במיגו, והא מבואר אף במיגו שטענת המיגו תלויה במעשה, והוא מחוסר מעשה מ"מ נאמן, כתב </w:t>
      </w:r>
      <w:r w:rsidRPr="00400D66">
        <w:rPr>
          <w:rStyle w:val="af9"/>
          <w:rFonts w:hint="cs"/>
          <w:rtl/>
        </w:rPr>
        <w:t>בחי' רבי נחום</w:t>
      </w:r>
      <w:r>
        <w:rPr>
          <w:rFonts w:hint="cs"/>
          <w:rtl/>
        </w:rPr>
        <w:t xml:space="preserve"> </w:t>
      </w:r>
      <w:r w:rsidRPr="00284BDA">
        <w:rPr>
          <w:rStyle w:val="af7"/>
          <w:rFonts w:eastAsia="Guttman Hodes" w:hint="cs"/>
          <w:rtl/>
        </w:rPr>
        <w:t>(או' קמ"ט ד"ה בביאור ד')</w:t>
      </w:r>
      <w:r>
        <w:rPr>
          <w:rFonts w:hint="cs"/>
          <w:rtl/>
        </w:rPr>
        <w:t xml:space="preserve"> דכוונת </w:t>
      </w:r>
      <w:r w:rsidRPr="00400D66">
        <w:rPr>
          <w:rStyle w:val="af9"/>
          <w:rFonts w:hint="cs"/>
          <w:rtl/>
        </w:rPr>
        <w:t>הרמב"ן</w:t>
      </w:r>
      <w:r>
        <w:rPr>
          <w:rFonts w:hint="cs"/>
          <w:rtl/>
        </w:rPr>
        <w:t xml:space="preserve"> להקשות דא"א לבאר דקושית רב יוסף היא דכשהודה שהשטר פסול בטל כח הנאמנות של המיגו, </w:t>
      </w:r>
      <w:r w:rsidRPr="00284BDA">
        <w:rPr>
          <w:rStyle w:val="afb"/>
          <w:rFonts w:hint="cs"/>
          <w:rtl/>
        </w:rPr>
        <w:t xml:space="preserve">[כדביאר </w:t>
      </w:r>
      <w:r w:rsidRPr="00284BDA">
        <w:rPr>
          <w:rStyle w:val="affa"/>
          <w:rFonts w:hint="cs"/>
          <w:rtl/>
        </w:rPr>
        <w:t>בחי' רבי נחום</w:t>
      </w:r>
      <w:r w:rsidRPr="00284BDA">
        <w:rPr>
          <w:rStyle w:val="afb"/>
          <w:rFonts w:hint="cs"/>
          <w:rtl/>
        </w:rPr>
        <w:t xml:space="preserve"> </w:t>
      </w:r>
      <w:r w:rsidRPr="00284BDA">
        <w:rPr>
          <w:rStyle w:val="aff6"/>
          <w:rFonts w:hint="cs"/>
          <w:rtl/>
        </w:rPr>
        <w:t xml:space="preserve">(עי' אות </w:t>
      </w:r>
      <w:r w:rsidRPr="00284BDA">
        <w:rPr>
          <w:rStyle w:val="aff6"/>
          <w:rtl/>
        </w:rPr>
        <w:fldChar w:fldCharType="begin"/>
      </w:r>
      <w:r w:rsidRPr="00284BDA">
        <w:rPr>
          <w:rStyle w:val="aff6"/>
          <w:rtl/>
        </w:rPr>
        <w:instrText xml:space="preserve"> </w:instrText>
      </w:r>
      <w:r w:rsidRPr="00284BDA">
        <w:rPr>
          <w:rStyle w:val="aff6"/>
          <w:rFonts w:hint="cs"/>
        </w:rPr>
        <w:instrText>REF</w:instrText>
      </w:r>
      <w:r w:rsidRPr="00284BDA">
        <w:rPr>
          <w:rStyle w:val="aff6"/>
          <w:rFonts w:hint="cs"/>
          <w:rtl/>
        </w:rPr>
        <w:instrText xml:space="preserve"> _</w:instrText>
      </w:r>
      <w:r w:rsidRPr="00284BDA">
        <w:rPr>
          <w:rStyle w:val="aff6"/>
          <w:rFonts w:hint="cs"/>
        </w:rPr>
        <w:instrText>Ref63161330 \r \h</w:instrText>
      </w:r>
      <w:r w:rsidRPr="00284BDA">
        <w:rPr>
          <w:rStyle w:val="aff6"/>
          <w:rtl/>
        </w:rPr>
        <w:instrText xml:space="preserve"> </w:instrText>
      </w:r>
      <w:r w:rsidRPr="00284BDA">
        <w:rPr>
          <w:rStyle w:val="aff6"/>
          <w:rtl/>
        </w:rPr>
      </w:r>
      <w:r w:rsidRPr="00284BDA">
        <w:rPr>
          <w:rStyle w:val="aff6"/>
          <w:rtl/>
        </w:rPr>
        <w:fldChar w:fldCharType="separate"/>
      </w:r>
      <w:r w:rsidR="00265073">
        <w:rPr>
          <w:rStyle w:val="aff6"/>
          <w:cs/>
        </w:rPr>
        <w:t>‎</w:t>
      </w:r>
      <w:r w:rsidR="00265073">
        <w:rPr>
          <w:rStyle w:val="aff6"/>
          <w:rtl/>
        </w:rPr>
        <w:t>קכב)</w:t>
      </w:r>
      <w:r w:rsidRPr="00284BDA">
        <w:rPr>
          <w:rStyle w:val="aff6"/>
          <w:rtl/>
        </w:rPr>
        <w:fldChar w:fldCharType="end"/>
      </w:r>
      <w:r w:rsidRPr="00284BDA">
        <w:rPr>
          <w:rStyle w:val="afb"/>
          <w:rFonts w:hint="cs"/>
          <w:rtl/>
        </w:rPr>
        <w:t xml:space="preserve">], </w:t>
      </w:r>
      <w:r>
        <w:rPr>
          <w:rFonts w:hint="cs"/>
          <w:rtl/>
        </w:rPr>
        <w:t>דהא אף במקום שהוא מחוסר מעשה, נאמן במיגו, וכ"ש דהכא שהיה יכול לטעון שיש לו שטר, דיהיה נאמן במיגו.</w:t>
      </w:r>
      <w:bookmarkEnd w:id="14088"/>
    </w:p>
    <w:p w:rsidR="003B7617" w:rsidRDefault="003B7617" w:rsidP="003B7617">
      <w:pPr>
        <w:pStyle w:val="a3"/>
        <w:rPr>
          <w:rtl/>
        </w:rPr>
      </w:pPr>
      <w:bookmarkStart w:id="14089" w:name="_Toc63247842"/>
      <w:r>
        <w:rPr>
          <w:rFonts w:hint="cs"/>
          <w:rtl/>
        </w:rPr>
        <w:t>בי' הגרנ"פ ברמב"ן דלרב יוסף אין מיגו כשאפשר לקיים את השטר כיון דאין לו את כח הטענה</w:t>
      </w:r>
      <w:bookmarkEnd w:id="14089"/>
    </w:p>
    <w:p w:rsidR="003B7617" w:rsidRDefault="003B7617" w:rsidP="007E4E81">
      <w:pPr>
        <w:pStyle w:val="a0"/>
        <w:rPr>
          <w:rtl/>
        </w:rPr>
      </w:pPr>
      <w:bookmarkStart w:id="14090" w:name="_Ref63247866"/>
      <w:r>
        <w:rPr>
          <w:rFonts w:hint="cs"/>
          <w:rtl/>
        </w:rPr>
        <w:t xml:space="preserve">במה שביאר </w:t>
      </w:r>
      <w:r w:rsidRPr="00B96B6F">
        <w:rPr>
          <w:rStyle w:val="af9"/>
          <w:rFonts w:hint="cs"/>
          <w:rtl/>
        </w:rPr>
        <w:t>הרמב"ן</w:t>
      </w:r>
      <w:r>
        <w:rPr>
          <w:rFonts w:hint="cs"/>
          <w:rtl/>
        </w:rPr>
        <w:t xml:space="preserve"> </w:t>
      </w:r>
      <w:r w:rsidRPr="00B96B6F">
        <w:rPr>
          <w:rStyle w:val="af7"/>
          <w:rFonts w:eastAsia="Guttman Hodes" w:hint="cs"/>
          <w:rtl/>
        </w:rPr>
        <w:t xml:space="preserve">(עי' אות </w:t>
      </w:r>
      <w:r w:rsidRPr="00B96B6F">
        <w:rPr>
          <w:rStyle w:val="af7"/>
          <w:rFonts w:eastAsia="Guttman Hodes"/>
          <w:rtl/>
        </w:rPr>
        <w:fldChar w:fldCharType="begin"/>
      </w:r>
      <w:r w:rsidRPr="00B96B6F">
        <w:rPr>
          <w:rStyle w:val="af7"/>
          <w:rFonts w:eastAsia="Guttman Hodes"/>
          <w:rtl/>
        </w:rPr>
        <w:instrText xml:space="preserve"> </w:instrText>
      </w:r>
      <w:r w:rsidRPr="00B96B6F">
        <w:rPr>
          <w:rStyle w:val="af7"/>
          <w:rFonts w:eastAsia="Guttman Hodes" w:hint="cs"/>
        </w:rPr>
        <w:instrText>REF</w:instrText>
      </w:r>
      <w:r w:rsidRPr="00B96B6F">
        <w:rPr>
          <w:rStyle w:val="af7"/>
          <w:rFonts w:eastAsia="Guttman Hodes" w:hint="cs"/>
          <w:rtl/>
        </w:rPr>
        <w:instrText xml:space="preserve"> _</w:instrText>
      </w:r>
      <w:r w:rsidRPr="00B96B6F">
        <w:rPr>
          <w:rStyle w:val="af7"/>
          <w:rFonts w:eastAsia="Guttman Hodes" w:hint="cs"/>
        </w:rPr>
        <w:instrText>Ref62760907 \r \h</w:instrText>
      </w:r>
      <w:r w:rsidRPr="00B96B6F">
        <w:rPr>
          <w:rStyle w:val="af7"/>
          <w:rFonts w:eastAsia="Guttman Hodes"/>
          <w:rtl/>
        </w:rPr>
        <w:instrText xml:space="preserve"> </w:instrText>
      </w:r>
      <w:r w:rsidRPr="00B96B6F">
        <w:rPr>
          <w:rStyle w:val="af7"/>
          <w:rFonts w:eastAsia="Guttman Hodes"/>
          <w:rtl/>
        </w:rPr>
      </w:r>
      <w:r w:rsidRPr="00B96B6F">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B96B6F">
        <w:rPr>
          <w:rStyle w:val="af7"/>
          <w:rFonts w:eastAsia="Guttman Hodes"/>
          <w:rtl/>
        </w:rPr>
        <w:fldChar w:fldCharType="end"/>
      </w:r>
      <w:r>
        <w:rPr>
          <w:rFonts w:hint="cs"/>
          <w:rtl/>
        </w:rPr>
        <w:t xml:space="preserve"> דאיירי בשטר שאינו מקוים, ופליגי דלרבה ב"ד נזקקין לקיים את השטר בכדי שיהיה נאמן במיגו, ולרב יוסף כיון שהשטר הוא חספא אין נזקקין לקיים חרס בכדי שיהיה נאמן, כתב </w:t>
      </w:r>
      <w:r w:rsidRPr="00B96B6F">
        <w:rPr>
          <w:rStyle w:val="af9"/>
          <w:rFonts w:hint="cs"/>
          <w:rtl/>
        </w:rPr>
        <w:t>בחי' רבי נחום</w:t>
      </w:r>
      <w:r>
        <w:rPr>
          <w:rFonts w:hint="cs"/>
          <w:rtl/>
        </w:rPr>
        <w:t xml:space="preserve"> </w:t>
      </w:r>
      <w:r w:rsidRPr="00B96B6F">
        <w:rPr>
          <w:rStyle w:val="af7"/>
          <w:rFonts w:eastAsia="Guttman Hodes" w:hint="cs"/>
          <w:rtl/>
        </w:rPr>
        <w:t>(או קנ"א ד"ה ולפמש"נ)</w:t>
      </w:r>
      <w:r>
        <w:rPr>
          <w:rFonts w:hint="cs"/>
          <w:rtl/>
        </w:rPr>
        <w:t xml:space="preserve"> דמבואר דס"ל </w:t>
      </w:r>
      <w:r w:rsidRPr="000A341B">
        <w:rPr>
          <w:rStyle w:val="af9"/>
          <w:rFonts w:hint="cs"/>
          <w:rtl/>
        </w:rPr>
        <w:t>להרמב"ן</w:t>
      </w:r>
      <w:r>
        <w:rPr>
          <w:rFonts w:hint="cs"/>
          <w:rtl/>
        </w:rPr>
        <w:t xml:space="preserve"> דיסוד דין מיגו הוא מדין כח הטענה, </w:t>
      </w:r>
      <w:r w:rsidRPr="00400D66">
        <w:rPr>
          <w:rStyle w:val="afb"/>
          <w:rFonts w:hint="cs"/>
          <w:rtl/>
        </w:rPr>
        <w:t xml:space="preserve">[וכדביאר </w:t>
      </w:r>
      <w:r w:rsidRPr="00400D66">
        <w:rPr>
          <w:rStyle w:val="affa"/>
          <w:rFonts w:hint="cs"/>
          <w:rtl/>
        </w:rPr>
        <w:t>בחי' רבי</w:t>
      </w:r>
      <w:r w:rsidRPr="00400D66">
        <w:rPr>
          <w:rStyle w:val="afb"/>
          <w:rFonts w:hint="cs"/>
          <w:rtl/>
        </w:rPr>
        <w:t xml:space="preserve"> </w:t>
      </w:r>
      <w:r w:rsidRPr="00400D66">
        <w:rPr>
          <w:rStyle w:val="affa"/>
          <w:rFonts w:hint="cs"/>
          <w:rtl/>
        </w:rPr>
        <w:t>נחום</w:t>
      </w:r>
      <w:r w:rsidRPr="00400D66">
        <w:rPr>
          <w:rStyle w:val="afb"/>
          <w:rFonts w:hint="cs"/>
          <w:rtl/>
        </w:rPr>
        <w:t xml:space="preserve"> </w:t>
      </w:r>
      <w:r w:rsidRPr="00400D66">
        <w:rPr>
          <w:rStyle w:val="aff6"/>
          <w:rFonts w:hint="cs"/>
          <w:rtl/>
        </w:rPr>
        <w:t xml:space="preserve">(עי' אות </w:t>
      </w:r>
      <w:r w:rsidRPr="00400D66">
        <w:rPr>
          <w:rStyle w:val="aff6"/>
          <w:rFonts w:hint="cs"/>
          <w:rtl/>
        </w:rPr>
        <w:fldChar w:fldCharType="begin"/>
      </w:r>
      <w:r w:rsidRPr="00400D66">
        <w:rPr>
          <w:rStyle w:val="aff6"/>
          <w:rFonts w:hint="cs"/>
          <w:rtl/>
        </w:rPr>
        <w:instrText xml:space="preserve"> </w:instrText>
      </w:r>
      <w:r w:rsidRPr="00400D66">
        <w:rPr>
          <w:rStyle w:val="aff6"/>
          <w:rFonts w:hint="cs"/>
        </w:rPr>
        <w:instrText>REF</w:instrText>
      </w:r>
      <w:r w:rsidRPr="00400D66">
        <w:rPr>
          <w:rStyle w:val="aff6"/>
          <w:rFonts w:hint="cs"/>
          <w:rtl/>
        </w:rPr>
        <w:instrText xml:space="preserve"> _</w:instrText>
      </w:r>
      <w:r w:rsidRPr="00400D66">
        <w:rPr>
          <w:rStyle w:val="aff6"/>
          <w:rFonts w:hint="cs"/>
        </w:rPr>
        <w:instrText>Ref63177996 \r \h</w:instrText>
      </w:r>
      <w:r w:rsidRPr="00400D66">
        <w:rPr>
          <w:rStyle w:val="aff6"/>
          <w:rFonts w:hint="cs"/>
          <w:rtl/>
        </w:rPr>
        <w:instrText xml:space="preserve"> </w:instrText>
      </w:r>
      <w:r w:rsidRPr="00400D66">
        <w:rPr>
          <w:rStyle w:val="aff6"/>
          <w:rFonts w:hint="cs"/>
          <w:rtl/>
        </w:rPr>
      </w:r>
      <w:r w:rsidRPr="00400D66">
        <w:rPr>
          <w:rStyle w:val="aff6"/>
          <w:rFonts w:hint="cs"/>
          <w:rtl/>
        </w:rPr>
        <w:fldChar w:fldCharType="separate"/>
      </w:r>
      <w:r w:rsidR="00265073">
        <w:rPr>
          <w:rStyle w:val="aff6"/>
          <w:rFonts w:hint="eastAsia"/>
          <w:cs/>
        </w:rPr>
        <w:t>‎</w:t>
      </w:r>
      <w:r w:rsidR="00265073">
        <w:rPr>
          <w:rStyle w:val="aff6"/>
          <w:rFonts w:hint="eastAsia"/>
          <w:rtl/>
        </w:rPr>
        <w:t>קכו</w:t>
      </w:r>
      <w:r w:rsidR="00265073">
        <w:rPr>
          <w:rStyle w:val="aff6"/>
          <w:rtl/>
        </w:rPr>
        <w:t>)</w:t>
      </w:r>
      <w:r w:rsidRPr="00400D66">
        <w:rPr>
          <w:rStyle w:val="aff6"/>
          <w:rFonts w:hint="cs"/>
          <w:rtl/>
        </w:rPr>
        <w:fldChar w:fldCharType="end"/>
      </w:r>
      <w:r w:rsidRPr="00400D66">
        <w:rPr>
          <w:rStyle w:val="afb"/>
          <w:rFonts w:hint="cs"/>
          <w:rtl/>
        </w:rPr>
        <w:t xml:space="preserve"> בתחילת דברי </w:t>
      </w:r>
      <w:r w:rsidRPr="00400D66">
        <w:rPr>
          <w:rStyle w:val="affa"/>
          <w:rFonts w:hint="cs"/>
          <w:rtl/>
        </w:rPr>
        <w:t>הרמב"ן</w:t>
      </w:r>
      <w:r w:rsidRPr="00400D66">
        <w:rPr>
          <w:rStyle w:val="afb"/>
          <w:rFonts w:hint="cs"/>
          <w:rtl/>
        </w:rPr>
        <w:t>],</w:t>
      </w:r>
      <w:r>
        <w:rPr>
          <w:rFonts w:hint="cs"/>
          <w:rtl/>
        </w:rPr>
        <w:t xml:space="preserve"> ולכן כ"ז שהשטר הוא כחרס אין לו כל כח של נאמנות ע"י המיגו, ואף שאפשר לקיימו ויהיה לו  מיגו, מ"מ כ"ז שעדיין אינו מקוים לא מהני לו המיגו, דהא אין לו את כח הטענה של המיגו, דהיה אומר שהשטר הוא שטר טוב, דהא עכשיו הוא עדיין חספא ואין לו כל כח, אבל אי ס"ל </w:t>
      </w:r>
      <w:r w:rsidRPr="00400D66">
        <w:rPr>
          <w:rStyle w:val="af9"/>
          <w:rFonts w:hint="cs"/>
          <w:rtl/>
        </w:rPr>
        <w:t>להרמב"ן</w:t>
      </w:r>
      <w:r>
        <w:rPr>
          <w:rFonts w:hint="cs"/>
          <w:rtl/>
        </w:rPr>
        <w:t xml:space="preserve"> דיסוד דין מיגו הוא מדין מה לי לשקר, כתב </w:t>
      </w:r>
      <w:r w:rsidRPr="00400D66">
        <w:rPr>
          <w:rStyle w:val="af9"/>
          <w:rFonts w:hint="cs"/>
          <w:rtl/>
        </w:rPr>
        <w:t>בחי' רבי נחום</w:t>
      </w:r>
      <w:r>
        <w:rPr>
          <w:rFonts w:hint="cs"/>
          <w:rtl/>
        </w:rPr>
        <w:t xml:space="preserve"> דא"א לבאר </w:t>
      </w:r>
      <w:r w:rsidRPr="0083194C">
        <w:rPr>
          <w:rStyle w:val="af9"/>
          <w:rFonts w:hint="cs"/>
          <w:rtl/>
        </w:rPr>
        <w:t>כהרמב"ן</w:t>
      </w:r>
      <w:r>
        <w:rPr>
          <w:rFonts w:hint="cs"/>
          <w:rtl/>
        </w:rPr>
        <w:t>, דאעפ"י שעכשיו השטר אינו מקויים, מ"מ יש לו מיגו דהא הוא יכול לקיימו ויהיה נאמן בשטר.</w:t>
      </w:r>
      <w:bookmarkEnd w:id="14090"/>
      <w:r>
        <w:rPr>
          <w:rFonts w:hint="cs"/>
          <w:rtl/>
        </w:rPr>
        <w:t xml:space="preserve"> </w:t>
      </w:r>
    </w:p>
    <w:p w:rsidR="003B7617" w:rsidRDefault="003B7617" w:rsidP="003B7617">
      <w:pPr>
        <w:pStyle w:val="a3"/>
        <w:rPr>
          <w:rtl/>
        </w:rPr>
      </w:pPr>
      <w:bookmarkStart w:id="14091" w:name="_Toc63247843"/>
      <w:r>
        <w:rPr>
          <w:rFonts w:hint="cs"/>
          <w:rtl/>
        </w:rPr>
        <w:t>ביאור הגרנ"פ ברמב"ן דבגמ' בב"מ לא מהני מיגו כיון שאין לו את כח הטענה של טענת המיגו</w:t>
      </w:r>
      <w:bookmarkEnd w:id="14091"/>
    </w:p>
    <w:p w:rsidR="003B7617" w:rsidRDefault="003B7617" w:rsidP="007E4E81">
      <w:pPr>
        <w:pStyle w:val="a0"/>
        <w:rPr>
          <w:rtl/>
        </w:rPr>
      </w:pPr>
      <w:bookmarkStart w:id="14092" w:name="_Ref63177996"/>
      <w:r>
        <w:rPr>
          <w:rFonts w:hint="cs"/>
          <w:rtl/>
        </w:rPr>
        <w:t xml:space="preserve">במה שדחה </w:t>
      </w:r>
      <w:r w:rsidRPr="0091425F">
        <w:rPr>
          <w:rStyle w:val="af9"/>
          <w:rFonts w:hint="cs"/>
          <w:rtl/>
        </w:rPr>
        <w:t xml:space="preserve">הרמב"ן </w:t>
      </w:r>
      <w:r>
        <w:rPr>
          <w:rStyle w:val="af7"/>
          <w:rFonts w:eastAsia="Guttman Hodes" w:hint="cs"/>
          <w:rtl/>
        </w:rPr>
        <w:t>(עי' א</w:t>
      </w:r>
      <w:r w:rsidRPr="00EF0FCD">
        <w:rPr>
          <w:rStyle w:val="af7"/>
          <w:rFonts w:eastAsia="Guttman Hodes" w:hint="cs"/>
          <w:rtl/>
        </w:rPr>
        <w:t xml:space="preserve">ות </w:t>
      </w:r>
      <w:r w:rsidRPr="00EF0FCD">
        <w:rPr>
          <w:rStyle w:val="af7"/>
          <w:rFonts w:eastAsia="Guttman Hodes"/>
          <w:rtl/>
        </w:rPr>
        <w:fldChar w:fldCharType="begin"/>
      </w:r>
      <w:r w:rsidRPr="00EF0FCD">
        <w:rPr>
          <w:rStyle w:val="af7"/>
          <w:rFonts w:eastAsia="Guttman Hodes"/>
          <w:rtl/>
        </w:rPr>
        <w:instrText xml:space="preserve"> </w:instrText>
      </w:r>
      <w:r w:rsidRPr="00EF0FCD">
        <w:rPr>
          <w:rStyle w:val="af7"/>
          <w:rFonts w:eastAsia="Guttman Hodes" w:hint="cs"/>
        </w:rPr>
        <w:instrText>REF</w:instrText>
      </w:r>
      <w:r w:rsidRPr="00EF0FCD">
        <w:rPr>
          <w:rStyle w:val="af7"/>
          <w:rFonts w:eastAsia="Guttman Hodes" w:hint="cs"/>
          <w:rtl/>
        </w:rPr>
        <w:instrText xml:space="preserve"> _</w:instrText>
      </w:r>
      <w:r w:rsidRPr="00EF0FCD">
        <w:rPr>
          <w:rStyle w:val="af7"/>
          <w:rFonts w:eastAsia="Guttman Hodes" w:hint="cs"/>
        </w:rPr>
        <w:instrText>Ref63196839 \r \h</w:instrText>
      </w:r>
      <w:r w:rsidRPr="00EF0FCD">
        <w:rPr>
          <w:rStyle w:val="af7"/>
          <w:rFonts w:eastAsia="Guttman Hodes"/>
          <w:rtl/>
        </w:rPr>
        <w:instrText xml:space="preserve"> </w:instrText>
      </w:r>
      <w:r w:rsidRPr="00EF0FCD">
        <w:rPr>
          <w:rStyle w:val="af7"/>
          <w:rFonts w:eastAsia="Guttman Hodes"/>
          <w:rtl/>
        </w:rPr>
      </w:r>
      <w:r w:rsidRPr="00EF0FCD">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EF0FCD">
        <w:rPr>
          <w:rStyle w:val="af7"/>
          <w:rFonts w:eastAsia="Guttman Hodes"/>
          <w:rtl/>
        </w:rPr>
        <w:fldChar w:fldCharType="end"/>
      </w:r>
      <w:r>
        <w:rPr>
          <w:rFonts w:hint="cs"/>
          <w:rtl/>
        </w:rPr>
        <w:t xml:space="preserve"> את הוכחת </w:t>
      </w:r>
      <w:r w:rsidRPr="0091425F">
        <w:rPr>
          <w:rStyle w:val="af9"/>
          <w:rFonts w:hint="cs"/>
          <w:rtl/>
        </w:rPr>
        <w:t>הר"י מגאש</w:t>
      </w:r>
      <w:r w:rsidRPr="00BF5D9D">
        <w:rPr>
          <w:rStyle w:val="af9"/>
          <w:rFonts w:hint="cs"/>
          <w:rtl/>
        </w:rPr>
        <w:t xml:space="preserve"> </w:t>
      </w:r>
      <w:r>
        <w:rPr>
          <w:rStyle w:val="af9"/>
          <w:rFonts w:hint="cs"/>
          <w:rtl/>
        </w:rPr>
        <w:t>ו</w:t>
      </w:r>
      <w:r w:rsidRPr="00D46B9B">
        <w:rPr>
          <w:rStyle w:val="af9"/>
          <w:rFonts w:hint="cs"/>
          <w:rtl/>
        </w:rPr>
        <w:t>הריב"ם בתוס' בב"מ</w:t>
      </w:r>
      <w:r w:rsidRPr="0091425F">
        <w:rPr>
          <w:rStyle w:val="af9"/>
          <w:rFonts w:hint="cs"/>
          <w:rtl/>
        </w:rPr>
        <w:t xml:space="preserve"> </w:t>
      </w:r>
      <w:r w:rsidRPr="00EF0FCD">
        <w:rPr>
          <w:rStyle w:val="af7"/>
          <w:rFonts w:eastAsia="Guttman Hodes" w:hint="cs"/>
          <w:rtl/>
        </w:rPr>
        <w:t xml:space="preserve">(עי' אות </w:t>
      </w:r>
      <w:r w:rsidRPr="00EF0FCD">
        <w:rPr>
          <w:rStyle w:val="af7"/>
          <w:rFonts w:eastAsia="Guttman Hodes"/>
          <w:rtl/>
        </w:rPr>
        <w:fldChar w:fldCharType="begin"/>
      </w:r>
      <w:r w:rsidRPr="00EF0FCD">
        <w:rPr>
          <w:rStyle w:val="af7"/>
          <w:rFonts w:eastAsia="Guttman Hodes"/>
          <w:rtl/>
        </w:rPr>
        <w:instrText xml:space="preserve"> </w:instrText>
      </w:r>
      <w:r w:rsidRPr="00EF0FCD">
        <w:rPr>
          <w:rStyle w:val="af7"/>
          <w:rFonts w:eastAsia="Guttman Hodes" w:hint="cs"/>
        </w:rPr>
        <w:instrText>REF</w:instrText>
      </w:r>
      <w:r w:rsidRPr="00EF0FCD">
        <w:rPr>
          <w:rStyle w:val="af7"/>
          <w:rFonts w:eastAsia="Guttman Hodes" w:hint="cs"/>
          <w:rtl/>
        </w:rPr>
        <w:instrText xml:space="preserve"> _</w:instrText>
      </w:r>
      <w:r w:rsidRPr="00EF0FCD">
        <w:rPr>
          <w:rStyle w:val="af7"/>
          <w:rFonts w:eastAsia="Guttman Hodes" w:hint="cs"/>
        </w:rPr>
        <w:instrText>Ref63178756 \r \h</w:instrText>
      </w:r>
      <w:r w:rsidRPr="00EF0FCD">
        <w:rPr>
          <w:rStyle w:val="af7"/>
          <w:rFonts w:eastAsia="Guttman Hodes"/>
          <w:rtl/>
        </w:rPr>
        <w:instrText xml:space="preserve"> </w:instrText>
      </w:r>
      <w:r w:rsidRPr="00EF0FCD">
        <w:rPr>
          <w:rStyle w:val="af7"/>
          <w:rFonts w:eastAsia="Guttman Hodes"/>
          <w:rtl/>
        </w:rPr>
      </w:r>
      <w:r w:rsidRPr="00EF0FCD">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EF0FCD">
        <w:rPr>
          <w:rStyle w:val="af7"/>
          <w:rFonts w:eastAsia="Guttman Hodes"/>
          <w:rtl/>
        </w:rPr>
        <w:fldChar w:fldCharType="end"/>
      </w:r>
      <w:r>
        <w:rPr>
          <w:rStyle w:val="af9"/>
          <w:rFonts w:hint="cs"/>
          <w:rtl/>
        </w:rPr>
        <w:t xml:space="preserve"> </w:t>
      </w:r>
      <w:r>
        <w:rPr>
          <w:rFonts w:hint="cs"/>
          <w:rtl/>
        </w:rPr>
        <w:t xml:space="preserve">מהמשנה בב"מ דלא אמרינן מיגו להוציא, דהא דלא מהני מיגו הוא כיון דבאומר כולה שלי הוא נאמן על חצי טענתו, ה"ה באומר חציה שלי דהוא נאמן בחצי טענתו, כתב </w:t>
      </w:r>
      <w:r w:rsidRPr="00086587">
        <w:rPr>
          <w:rStyle w:val="af9"/>
          <w:rFonts w:hint="cs"/>
          <w:rtl/>
        </w:rPr>
        <w:t>בחי'</w:t>
      </w:r>
      <w:r>
        <w:rPr>
          <w:rFonts w:hint="cs"/>
          <w:rtl/>
        </w:rPr>
        <w:t xml:space="preserve"> </w:t>
      </w:r>
      <w:r w:rsidRPr="00086587">
        <w:rPr>
          <w:rStyle w:val="af9"/>
          <w:rFonts w:hint="cs"/>
          <w:rtl/>
        </w:rPr>
        <w:t>רבי נחום</w:t>
      </w:r>
      <w:r>
        <w:rPr>
          <w:rFonts w:hint="cs"/>
          <w:rtl/>
        </w:rPr>
        <w:t xml:space="preserve"> </w:t>
      </w:r>
      <w:r w:rsidRPr="00086587">
        <w:rPr>
          <w:rStyle w:val="af7"/>
          <w:rFonts w:eastAsia="Guttman Hodes" w:hint="cs"/>
          <w:rtl/>
        </w:rPr>
        <w:t>(או' ק"נ ד"ה עוד כתב)</w:t>
      </w:r>
      <w:r>
        <w:rPr>
          <w:rFonts w:hint="cs"/>
          <w:rtl/>
        </w:rPr>
        <w:t xml:space="preserve"> דכל דברי </w:t>
      </w:r>
      <w:r w:rsidRPr="00086587">
        <w:rPr>
          <w:rStyle w:val="af9"/>
          <w:rFonts w:hint="cs"/>
          <w:rtl/>
        </w:rPr>
        <w:t>הרמב"ן</w:t>
      </w:r>
      <w:r>
        <w:rPr>
          <w:rFonts w:hint="cs"/>
          <w:rtl/>
        </w:rPr>
        <w:t xml:space="preserve"> היינו רק אי דין מיגו הוא כח הטענה, ולכן כל שבטענת המיגו היה זוכה רק בחצי טענתו, ה"ה בטענה שטוען עכשיו, אבל אי מיגו הוא מדין מה לי לשקר, א"כ א"א לבאר כדברי </w:t>
      </w:r>
      <w:r w:rsidRPr="00086587">
        <w:rPr>
          <w:rStyle w:val="af9"/>
          <w:rFonts w:hint="cs"/>
          <w:rtl/>
        </w:rPr>
        <w:t>הרמב"ן</w:t>
      </w:r>
      <w:r>
        <w:rPr>
          <w:rFonts w:hint="cs"/>
          <w:rtl/>
        </w:rPr>
        <w:t>, דמ"מ יש לו נאמנות שהיה יכול לזכות בחצי הטלית, אם היה טוען כולה שלי.</w:t>
      </w:r>
      <w:bookmarkEnd w:id="14092"/>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3B7617" w:rsidRDefault="003B7617" w:rsidP="003B7617">
      <w:pPr>
        <w:pStyle w:val="a3"/>
        <w:rPr>
          <w:rtl/>
        </w:rPr>
      </w:pPr>
      <w:bookmarkStart w:id="14093" w:name="_Toc63247844"/>
      <w:r>
        <w:rPr>
          <w:rFonts w:hint="cs"/>
          <w:rtl/>
        </w:rPr>
        <w:t>ביאור הגרנ"פ בריב"ם בב"מ דדין מיגו הוא מדין מ"ל לשקר ולכן מהני מיגו דאי בעי שתיק</w:t>
      </w:r>
      <w:bookmarkEnd w:id="14093"/>
      <w:r>
        <w:rPr>
          <w:rFonts w:hint="cs"/>
          <w:rtl/>
        </w:rPr>
        <w:t xml:space="preserve"> </w:t>
      </w:r>
    </w:p>
    <w:p w:rsidR="003B7617" w:rsidRDefault="003B7617" w:rsidP="007E4E81">
      <w:pPr>
        <w:pStyle w:val="a0"/>
      </w:pPr>
      <w:bookmarkStart w:id="14094" w:name="_Ref63247140"/>
      <w:r>
        <w:rPr>
          <w:rFonts w:hint="cs"/>
          <w:rtl/>
        </w:rPr>
        <w:t xml:space="preserve">ובדעת </w:t>
      </w:r>
      <w:r w:rsidRPr="00D46B9B">
        <w:rPr>
          <w:rStyle w:val="af9"/>
          <w:rFonts w:hint="cs"/>
          <w:rtl/>
        </w:rPr>
        <w:t>הריב"ם בתוס' בב"מ</w:t>
      </w:r>
      <w:r>
        <w:rPr>
          <w:rFonts w:hint="cs"/>
          <w:rtl/>
        </w:rPr>
        <w:t xml:space="preserve"> </w:t>
      </w:r>
      <w:r w:rsidRPr="00400D66">
        <w:rPr>
          <w:rStyle w:val="af7"/>
          <w:rFonts w:eastAsia="Guttman Hodes" w:hint="cs"/>
          <w:rtl/>
        </w:rPr>
        <w:t xml:space="preserve">(עי' אות </w:t>
      </w:r>
      <w:r w:rsidRPr="00400D66">
        <w:rPr>
          <w:rStyle w:val="af7"/>
          <w:rFonts w:eastAsia="Guttman Hodes"/>
          <w:rtl/>
        </w:rPr>
        <w:fldChar w:fldCharType="begin"/>
      </w:r>
      <w:r w:rsidRPr="00400D66">
        <w:rPr>
          <w:rStyle w:val="af7"/>
          <w:rFonts w:eastAsia="Guttman Hodes"/>
          <w:rtl/>
        </w:rPr>
        <w:instrText xml:space="preserve"> </w:instrText>
      </w:r>
      <w:r w:rsidRPr="00400D66">
        <w:rPr>
          <w:rStyle w:val="af7"/>
          <w:rFonts w:eastAsia="Guttman Hodes" w:hint="cs"/>
        </w:rPr>
        <w:instrText>REF</w:instrText>
      </w:r>
      <w:r w:rsidRPr="00400D66">
        <w:rPr>
          <w:rStyle w:val="af7"/>
          <w:rFonts w:eastAsia="Guttman Hodes" w:hint="cs"/>
          <w:rtl/>
        </w:rPr>
        <w:instrText xml:space="preserve"> _</w:instrText>
      </w:r>
      <w:r w:rsidRPr="00400D66">
        <w:rPr>
          <w:rStyle w:val="af7"/>
          <w:rFonts w:eastAsia="Guttman Hodes" w:hint="cs"/>
        </w:rPr>
        <w:instrText>Ref63178756 \r \h</w:instrText>
      </w:r>
      <w:r w:rsidRPr="00400D66">
        <w:rPr>
          <w:rStyle w:val="af7"/>
          <w:rFonts w:eastAsia="Guttman Hodes"/>
          <w:rtl/>
        </w:rPr>
        <w:instrText xml:space="preserve"> </w:instrText>
      </w:r>
      <w:r w:rsidRPr="00400D66">
        <w:rPr>
          <w:rStyle w:val="af7"/>
          <w:rFonts w:eastAsia="Guttman Hodes"/>
          <w:rtl/>
        </w:rPr>
      </w:r>
      <w:r w:rsidRPr="00400D66">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400D66">
        <w:rPr>
          <w:rStyle w:val="af7"/>
          <w:rFonts w:eastAsia="Guttman Hodes"/>
          <w:rtl/>
        </w:rPr>
        <w:fldChar w:fldCharType="end"/>
      </w:r>
      <w:r>
        <w:rPr>
          <w:rFonts w:hint="cs"/>
          <w:rtl/>
        </w:rPr>
        <w:t xml:space="preserve"> דהוכיח מהגמ' בב"מ דלא מהני מיגו להוציא, ביאר </w:t>
      </w:r>
      <w:r w:rsidRPr="00400D66">
        <w:rPr>
          <w:rStyle w:val="af9"/>
          <w:rFonts w:hint="cs"/>
          <w:rtl/>
        </w:rPr>
        <w:t>בחי' רבי נחום</w:t>
      </w:r>
      <w:r>
        <w:rPr>
          <w:rFonts w:hint="cs"/>
          <w:rtl/>
        </w:rPr>
        <w:t xml:space="preserve"> דס"ל דמיגו הוא הוכחה מדין מה לי לשקר, </w:t>
      </w:r>
      <w:r w:rsidRPr="00EF0FCD">
        <w:rPr>
          <w:rStyle w:val="afb"/>
          <w:rFonts w:hint="cs"/>
          <w:rtl/>
        </w:rPr>
        <w:t xml:space="preserve">[כדביאר </w:t>
      </w:r>
      <w:r w:rsidRPr="00EF0FCD">
        <w:rPr>
          <w:rStyle w:val="affa"/>
          <w:rFonts w:hint="cs"/>
          <w:rtl/>
        </w:rPr>
        <w:t xml:space="preserve">בחי' רבי נחום </w:t>
      </w:r>
      <w:r w:rsidRPr="00EF0FCD">
        <w:rPr>
          <w:rStyle w:val="aff6"/>
          <w:rFonts w:hint="cs"/>
          <w:rtl/>
        </w:rPr>
        <w:t xml:space="preserve">(עי' אות </w:t>
      </w:r>
      <w:r w:rsidRPr="00EF0FCD">
        <w:rPr>
          <w:rStyle w:val="aff6"/>
          <w:rtl/>
        </w:rPr>
        <w:fldChar w:fldCharType="begin"/>
      </w:r>
      <w:r w:rsidRPr="00EF0FCD">
        <w:rPr>
          <w:rStyle w:val="aff6"/>
          <w:rtl/>
        </w:rPr>
        <w:instrText xml:space="preserve"> </w:instrText>
      </w:r>
      <w:r w:rsidRPr="00EF0FCD">
        <w:rPr>
          <w:rStyle w:val="aff6"/>
          <w:rFonts w:hint="cs"/>
        </w:rPr>
        <w:instrText>REF</w:instrText>
      </w:r>
      <w:r w:rsidRPr="00EF0FCD">
        <w:rPr>
          <w:rStyle w:val="aff6"/>
          <w:rFonts w:hint="cs"/>
          <w:rtl/>
        </w:rPr>
        <w:instrText xml:space="preserve"> _</w:instrText>
      </w:r>
      <w:r w:rsidRPr="00EF0FCD">
        <w:rPr>
          <w:rStyle w:val="aff6"/>
          <w:rFonts w:hint="cs"/>
        </w:rPr>
        <w:instrText>Ref63247069 \r \h</w:instrText>
      </w:r>
      <w:r w:rsidRPr="00EF0FCD">
        <w:rPr>
          <w:rStyle w:val="aff6"/>
          <w:rtl/>
        </w:rPr>
        <w:instrText xml:space="preserve"> </w:instrText>
      </w:r>
      <w:r w:rsidRPr="00EF0FCD">
        <w:rPr>
          <w:rStyle w:val="aff6"/>
          <w:rtl/>
        </w:rPr>
      </w:r>
      <w:r w:rsidRPr="00EF0FCD">
        <w:rPr>
          <w:rStyle w:val="aff6"/>
          <w:rtl/>
        </w:rPr>
        <w:fldChar w:fldCharType="separate"/>
      </w:r>
      <w:r w:rsidR="00265073">
        <w:rPr>
          <w:rStyle w:val="aff6"/>
          <w:cs/>
        </w:rPr>
        <w:t>‎</w:t>
      </w:r>
      <w:r w:rsidR="00265073">
        <w:rPr>
          <w:rStyle w:val="aff6"/>
          <w:rtl/>
        </w:rPr>
        <w:t>קכג)</w:t>
      </w:r>
      <w:r w:rsidRPr="00EF0FCD">
        <w:rPr>
          <w:rStyle w:val="aff6"/>
          <w:rtl/>
        </w:rPr>
        <w:fldChar w:fldCharType="end"/>
      </w:r>
      <w:r w:rsidRPr="00EF0FCD">
        <w:rPr>
          <w:rStyle w:val="afb"/>
          <w:rFonts w:hint="cs"/>
          <w:rtl/>
        </w:rPr>
        <w:t xml:space="preserve"> בדעת </w:t>
      </w:r>
      <w:r w:rsidRPr="00EF0FCD">
        <w:rPr>
          <w:rStyle w:val="affa"/>
          <w:rFonts w:hint="cs"/>
          <w:rtl/>
        </w:rPr>
        <w:t>התוס'</w:t>
      </w:r>
      <w:r w:rsidRPr="00EF0FCD">
        <w:rPr>
          <w:rStyle w:val="afb"/>
          <w:rFonts w:hint="cs"/>
          <w:rtl/>
        </w:rPr>
        <w:t>],</w:t>
      </w:r>
      <w:r>
        <w:rPr>
          <w:rFonts w:hint="cs"/>
          <w:rtl/>
        </w:rPr>
        <w:t xml:space="preserve"> ולכן כתב</w:t>
      </w:r>
      <w:r w:rsidRPr="00BF5D9D">
        <w:rPr>
          <w:rStyle w:val="af9"/>
          <w:rtl/>
        </w:rPr>
        <w:t xml:space="preserve"> </w:t>
      </w:r>
      <w:r>
        <w:rPr>
          <w:rStyle w:val="af9"/>
          <w:rtl/>
        </w:rPr>
        <w:t>הריב"ם בתוס' בב"מ</w:t>
      </w:r>
      <w:r>
        <w:rPr>
          <w:rtl/>
        </w:rPr>
        <w:t xml:space="preserve"> </w:t>
      </w:r>
      <w:r>
        <w:rPr>
          <w:rStyle w:val="af7"/>
          <w:rFonts w:eastAsiaTheme="minorHAnsi" w:hint="cs"/>
          <w:rtl/>
        </w:rPr>
        <w:t>(עי' אות</w:t>
      </w:r>
      <w:r>
        <w:rPr>
          <w:rStyle w:val="af7"/>
          <w:rFonts w:eastAsia="Guttman Hodes" w:hint="cs"/>
          <w:rtl/>
        </w:rPr>
        <w:t xml:space="preserve">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Ref63160452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סה</w:t>
      </w:r>
      <w:r w:rsidR="00265073">
        <w:rPr>
          <w:rStyle w:val="af7"/>
          <w:rFonts w:eastAsia="Guttman Hodes"/>
          <w:rtl/>
        </w:rPr>
        <w:t>)</w:t>
      </w:r>
      <w:r>
        <w:rPr>
          <w:rStyle w:val="af7"/>
          <w:rFonts w:eastAsia="Guttman Hodes" w:hint="cs"/>
          <w:rtl/>
        </w:rPr>
        <w:fldChar w:fldCharType="end"/>
      </w:r>
      <w:r>
        <w:rPr>
          <w:rFonts w:hint="cs"/>
          <w:rtl/>
        </w:rPr>
        <w:t xml:space="preserve"> דמיגו דאי בעי שתיק מהני אף במיגו להוציא, דכיון דס"ל דמיגו הוא הוכחה, א"כ במיגו דאי בעי שתיק יש ראיה גדולה יותר דאינו משקר מאשר בכל מיגו, אך כתב </w:t>
      </w:r>
      <w:r w:rsidRPr="00086587">
        <w:rPr>
          <w:rStyle w:val="af9"/>
          <w:rFonts w:hint="cs"/>
          <w:rtl/>
        </w:rPr>
        <w:t>בחי' רבי נחום</w:t>
      </w:r>
      <w:r>
        <w:rPr>
          <w:rFonts w:hint="cs"/>
          <w:rtl/>
        </w:rPr>
        <w:t xml:space="preserve"> דלדעת </w:t>
      </w:r>
      <w:r w:rsidRPr="00086587">
        <w:rPr>
          <w:rStyle w:val="af9"/>
          <w:rFonts w:hint="cs"/>
          <w:rtl/>
        </w:rPr>
        <w:t>הרמב"ן</w:t>
      </w:r>
      <w:r>
        <w:rPr>
          <w:rFonts w:hint="cs"/>
          <w:rtl/>
        </w:rPr>
        <w:t xml:space="preserve"> דהנאמנות היא מדין כח הטענה, א"כ אין כל מעלה למיגו דאי בעי שתיק.</w:t>
      </w:r>
      <w:bookmarkEnd w:id="14094"/>
    </w:p>
    <w:p w:rsidR="003B7617" w:rsidRDefault="003B7617" w:rsidP="003B7617">
      <w:pPr>
        <w:pStyle w:val="a3"/>
        <w:rPr>
          <w:rtl/>
        </w:rPr>
      </w:pPr>
      <w:bookmarkStart w:id="14095" w:name="_Toc63247845"/>
      <w:r>
        <w:rPr>
          <w:rFonts w:hint="cs"/>
          <w:rtl/>
        </w:rPr>
        <w:t>ביאור הגרנ"פ ברמב"ן דמיגו להוציא לא מהני כיון דהמיגו נותן כח לטענתו ולא לעצם הממון</w:t>
      </w:r>
      <w:bookmarkEnd w:id="14095"/>
      <w:r>
        <w:rPr>
          <w:rFonts w:hint="cs"/>
          <w:rtl/>
        </w:rPr>
        <w:t xml:space="preserve"> </w:t>
      </w:r>
    </w:p>
    <w:p w:rsidR="003B7617" w:rsidRDefault="003B7617" w:rsidP="007E4E81">
      <w:pPr>
        <w:pStyle w:val="a0"/>
        <w:rPr>
          <w:rtl/>
        </w:rPr>
      </w:pPr>
      <w:bookmarkStart w:id="14096" w:name="_Ref63247466"/>
      <w:r>
        <w:rPr>
          <w:rFonts w:hint="cs"/>
          <w:rtl/>
        </w:rPr>
        <w:t xml:space="preserve">במ"ש </w:t>
      </w:r>
      <w:r w:rsidRPr="0091425F">
        <w:rPr>
          <w:rStyle w:val="af9"/>
          <w:rFonts w:hint="cs"/>
          <w:rtl/>
        </w:rPr>
        <w:t>הרמב"ן</w:t>
      </w:r>
      <w:r>
        <w:rPr>
          <w:rFonts w:hint="cs"/>
          <w:rtl/>
        </w:rPr>
        <w:t xml:space="preserve"> </w:t>
      </w:r>
      <w:r w:rsidRPr="00150A97">
        <w:rPr>
          <w:rStyle w:val="af7"/>
          <w:rFonts w:eastAsia="Guttman Hodes" w:hint="cs"/>
          <w:rtl/>
        </w:rPr>
        <w:t xml:space="preserve">(עי' אות </w:t>
      </w:r>
      <w:r w:rsidRPr="00150A97">
        <w:rPr>
          <w:rStyle w:val="af7"/>
          <w:rFonts w:eastAsia="Guttman Hodes"/>
          <w:rtl/>
        </w:rPr>
        <w:fldChar w:fldCharType="begin"/>
      </w:r>
      <w:r w:rsidRPr="00150A97">
        <w:rPr>
          <w:rStyle w:val="af7"/>
          <w:rFonts w:eastAsia="Guttman Hodes"/>
          <w:rtl/>
        </w:rPr>
        <w:instrText xml:space="preserve"> </w:instrText>
      </w:r>
      <w:r w:rsidRPr="00150A97">
        <w:rPr>
          <w:rStyle w:val="af7"/>
          <w:rFonts w:eastAsia="Guttman Hodes" w:hint="cs"/>
        </w:rPr>
        <w:instrText>REF</w:instrText>
      </w:r>
      <w:r w:rsidRPr="00150A97">
        <w:rPr>
          <w:rStyle w:val="af7"/>
          <w:rFonts w:eastAsia="Guttman Hodes" w:hint="cs"/>
          <w:rtl/>
        </w:rPr>
        <w:instrText xml:space="preserve"> _</w:instrText>
      </w:r>
      <w:r w:rsidRPr="00150A97">
        <w:rPr>
          <w:rStyle w:val="af7"/>
          <w:rFonts w:eastAsia="Guttman Hodes" w:hint="cs"/>
        </w:rPr>
        <w:instrText>Ref63197458 \r \h</w:instrText>
      </w:r>
      <w:r w:rsidRPr="00150A97">
        <w:rPr>
          <w:rStyle w:val="af7"/>
          <w:rFonts w:eastAsia="Guttman Hodes"/>
          <w:rtl/>
        </w:rPr>
        <w:instrText xml:space="preserve"> </w:instrText>
      </w:r>
      <w:r w:rsidRPr="00150A97">
        <w:rPr>
          <w:rStyle w:val="af7"/>
          <w:rFonts w:eastAsia="Guttman Hodes"/>
          <w:rtl/>
        </w:rPr>
      </w:r>
      <w:r w:rsidRPr="00150A97">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150A97">
        <w:rPr>
          <w:rStyle w:val="af7"/>
          <w:rFonts w:eastAsia="Guttman Hodes"/>
          <w:rtl/>
        </w:rPr>
        <w:fldChar w:fldCharType="end"/>
      </w:r>
      <w:r>
        <w:rPr>
          <w:rFonts w:hint="cs"/>
          <w:rtl/>
        </w:rPr>
        <w:t xml:space="preserve"> דהא דנאמן בטענת סיטראי היינו רק על מה שהוא תפוס ולא על המנה שבשטר, הקשה </w:t>
      </w:r>
      <w:r w:rsidRPr="00EB3E3E">
        <w:rPr>
          <w:rStyle w:val="af9"/>
          <w:rFonts w:hint="cs"/>
          <w:rtl/>
        </w:rPr>
        <w:t>בחי' רבי נחום</w:t>
      </w:r>
      <w:r>
        <w:rPr>
          <w:rFonts w:hint="cs"/>
          <w:rtl/>
        </w:rPr>
        <w:t xml:space="preserve"> </w:t>
      </w:r>
      <w:r w:rsidRPr="00831048">
        <w:rPr>
          <w:rStyle w:val="af7"/>
          <w:rFonts w:eastAsia="Guttman Hodes" w:hint="cs"/>
          <w:rtl/>
        </w:rPr>
        <w:t>(או' קנ"ה ד"ה ברמב"ן)</w:t>
      </w:r>
      <w:r>
        <w:rPr>
          <w:rFonts w:hint="cs"/>
          <w:rtl/>
        </w:rPr>
        <w:t xml:space="preserve"> דמ"מ מהני המיגו להוציא ממון מיד הלוה, וכתב </w:t>
      </w:r>
      <w:r w:rsidRPr="00EB3E3E">
        <w:rPr>
          <w:rStyle w:val="af9"/>
          <w:rFonts w:hint="cs"/>
          <w:rtl/>
        </w:rPr>
        <w:t>בחי' רבי נחום</w:t>
      </w:r>
      <w:r>
        <w:rPr>
          <w:rFonts w:hint="cs"/>
          <w:rtl/>
        </w:rPr>
        <w:t xml:space="preserve"> דבפשטות הא דל"מ מיגו להוציא הוא כיון שמיגו אינו ראיה חזקה להוציא ממון ממוחזק, אך אפשר לבאר באופן אחר דמצד הכח של המיגו הוא מהני אף להוציא, אלא דכ"מ דמהני מיגו הוא מדין כח הטענה, </w:t>
      </w:r>
      <w:r w:rsidRPr="00400D66">
        <w:rPr>
          <w:rStyle w:val="afb"/>
          <w:rFonts w:hint="cs"/>
          <w:rtl/>
        </w:rPr>
        <w:t xml:space="preserve">[וכדביאר </w:t>
      </w:r>
      <w:r w:rsidRPr="00400D66">
        <w:rPr>
          <w:rStyle w:val="affa"/>
          <w:rFonts w:hint="cs"/>
          <w:rtl/>
        </w:rPr>
        <w:t>בחי' רבי</w:t>
      </w:r>
      <w:r w:rsidRPr="00400D66">
        <w:rPr>
          <w:rStyle w:val="afb"/>
          <w:rFonts w:hint="cs"/>
          <w:rtl/>
        </w:rPr>
        <w:t xml:space="preserve"> </w:t>
      </w:r>
      <w:r w:rsidRPr="00400D66">
        <w:rPr>
          <w:rStyle w:val="affa"/>
          <w:rFonts w:hint="cs"/>
          <w:rtl/>
        </w:rPr>
        <w:t>נחום</w:t>
      </w:r>
      <w:r w:rsidRPr="00400D66">
        <w:rPr>
          <w:rStyle w:val="afb"/>
          <w:rFonts w:hint="cs"/>
          <w:rtl/>
        </w:rPr>
        <w:t xml:space="preserve"> </w:t>
      </w:r>
      <w:r w:rsidRPr="00400D66">
        <w:rPr>
          <w:rStyle w:val="aff6"/>
          <w:rFonts w:hint="cs"/>
          <w:rtl/>
        </w:rPr>
        <w:t xml:space="preserve">(עי' אות </w:t>
      </w:r>
      <w:r w:rsidRPr="00400D66">
        <w:rPr>
          <w:rStyle w:val="aff6"/>
          <w:rFonts w:hint="cs"/>
          <w:rtl/>
        </w:rPr>
        <w:fldChar w:fldCharType="begin"/>
      </w:r>
      <w:r w:rsidRPr="00400D66">
        <w:rPr>
          <w:rStyle w:val="aff6"/>
          <w:rFonts w:hint="cs"/>
          <w:rtl/>
        </w:rPr>
        <w:instrText xml:space="preserve"> </w:instrText>
      </w:r>
      <w:r w:rsidRPr="00400D66">
        <w:rPr>
          <w:rStyle w:val="aff6"/>
          <w:rFonts w:hint="cs"/>
        </w:rPr>
        <w:instrText>REF</w:instrText>
      </w:r>
      <w:r w:rsidRPr="00400D66">
        <w:rPr>
          <w:rStyle w:val="aff6"/>
          <w:rFonts w:hint="cs"/>
          <w:rtl/>
        </w:rPr>
        <w:instrText xml:space="preserve"> _</w:instrText>
      </w:r>
      <w:r w:rsidRPr="00400D66">
        <w:rPr>
          <w:rStyle w:val="aff6"/>
          <w:rFonts w:hint="cs"/>
        </w:rPr>
        <w:instrText>Ref63177996 \r \h</w:instrText>
      </w:r>
      <w:r w:rsidRPr="00400D66">
        <w:rPr>
          <w:rStyle w:val="aff6"/>
          <w:rFonts w:hint="cs"/>
          <w:rtl/>
        </w:rPr>
        <w:instrText xml:space="preserve"> </w:instrText>
      </w:r>
      <w:r w:rsidRPr="00400D66">
        <w:rPr>
          <w:rStyle w:val="aff6"/>
          <w:rFonts w:hint="cs"/>
          <w:rtl/>
        </w:rPr>
      </w:r>
      <w:r w:rsidRPr="00400D66">
        <w:rPr>
          <w:rStyle w:val="aff6"/>
          <w:rFonts w:hint="cs"/>
          <w:rtl/>
        </w:rPr>
        <w:fldChar w:fldCharType="separate"/>
      </w:r>
      <w:r w:rsidR="00265073">
        <w:rPr>
          <w:rStyle w:val="aff6"/>
          <w:rFonts w:hint="eastAsia"/>
          <w:cs/>
        </w:rPr>
        <w:t>‎</w:t>
      </w:r>
      <w:r w:rsidR="00265073">
        <w:rPr>
          <w:rStyle w:val="aff6"/>
          <w:rFonts w:hint="eastAsia"/>
          <w:rtl/>
        </w:rPr>
        <w:t>קכו</w:t>
      </w:r>
      <w:r w:rsidR="00265073">
        <w:rPr>
          <w:rStyle w:val="aff6"/>
          <w:rtl/>
        </w:rPr>
        <w:t>)</w:t>
      </w:r>
      <w:r w:rsidRPr="00400D66">
        <w:rPr>
          <w:rStyle w:val="aff6"/>
          <w:rFonts w:hint="cs"/>
          <w:rtl/>
        </w:rPr>
        <w:fldChar w:fldCharType="end"/>
      </w:r>
      <w:r w:rsidRPr="00400D66">
        <w:rPr>
          <w:rStyle w:val="afb"/>
          <w:rFonts w:hint="cs"/>
          <w:rtl/>
        </w:rPr>
        <w:t xml:space="preserve"> </w:t>
      </w:r>
      <w:r>
        <w:rPr>
          <w:rStyle w:val="afb"/>
          <w:rFonts w:hint="cs"/>
          <w:rtl/>
        </w:rPr>
        <w:t>בדעת</w:t>
      </w:r>
      <w:r w:rsidRPr="00400D66">
        <w:rPr>
          <w:rStyle w:val="afb"/>
          <w:rFonts w:hint="cs"/>
          <w:rtl/>
        </w:rPr>
        <w:t xml:space="preserve"> </w:t>
      </w:r>
      <w:r w:rsidRPr="00400D66">
        <w:rPr>
          <w:rStyle w:val="affa"/>
          <w:rFonts w:hint="cs"/>
          <w:rtl/>
        </w:rPr>
        <w:t>הרמב"ן</w:t>
      </w:r>
      <w:r w:rsidRPr="00400D66">
        <w:rPr>
          <w:rStyle w:val="afb"/>
          <w:rFonts w:hint="cs"/>
          <w:rtl/>
        </w:rPr>
        <w:t>],</w:t>
      </w:r>
      <w:r>
        <w:rPr>
          <w:rFonts w:hint="cs"/>
          <w:rtl/>
        </w:rPr>
        <w:t xml:space="preserve"> דהמיגו נותן כח לטענתו, שהיה יכול לטעון טענה אחרת שזכה בה, וא"כ רק באופן שהמיגו בא להחזיק ממון א"כ כל שיש למחזיק מיגו הוא יכול לתבוע ממה שבא להוציא ממנו, שעליו להביא ראיה כנגד טענתו שיש לה כח של מיגו, אבל אין כל כח למיגו שיזכה ע"י בעצם הממון.</w:t>
      </w:r>
      <w:bookmarkEnd w:id="14096"/>
    </w:p>
    <w:p w:rsidR="003B7617" w:rsidRDefault="003B7617" w:rsidP="003B7617">
      <w:pPr>
        <w:pStyle w:val="a3"/>
      </w:pPr>
      <w:bookmarkStart w:id="14097" w:name="_Toc63247846"/>
      <w:r>
        <w:rPr>
          <w:rFonts w:hint="cs"/>
          <w:rtl/>
        </w:rPr>
        <w:t>ביאור הגרנ"פ ברמב"ן דבסטראי שעיקר המיגו לחזק טענתו במה שמחזיק מהני אף שמוציא ממון</w:t>
      </w:r>
      <w:bookmarkEnd w:id="14097"/>
    </w:p>
    <w:p w:rsidR="003B7617" w:rsidRDefault="003B7617" w:rsidP="007E4E81">
      <w:pPr>
        <w:pStyle w:val="a0"/>
        <w:rPr>
          <w:rtl/>
        </w:rPr>
      </w:pPr>
      <w:bookmarkStart w:id="14098" w:name="_Ref63247636"/>
      <w:r>
        <w:rPr>
          <w:rFonts w:hint="cs"/>
          <w:rtl/>
        </w:rPr>
        <w:t xml:space="preserve">וכתב </w:t>
      </w:r>
      <w:r w:rsidRPr="00EB3E3E">
        <w:rPr>
          <w:rStyle w:val="af9"/>
          <w:rFonts w:hint="cs"/>
          <w:rtl/>
        </w:rPr>
        <w:t>בחי' רבי נחום</w:t>
      </w:r>
      <w:r>
        <w:rPr>
          <w:rFonts w:hint="cs"/>
          <w:rtl/>
        </w:rPr>
        <w:t xml:space="preserve"> דלכן ס"ל </w:t>
      </w:r>
      <w:r w:rsidRPr="00EB3E3E">
        <w:rPr>
          <w:rStyle w:val="af9"/>
          <w:rFonts w:hint="cs"/>
          <w:rtl/>
        </w:rPr>
        <w:t>להרמב"ן</w:t>
      </w:r>
      <w:r>
        <w:rPr>
          <w:rFonts w:hint="cs"/>
          <w:rtl/>
        </w:rPr>
        <w:t xml:space="preserve"> דהכא שהמיגו עצמו הוא על הממון שנמצא בידו, א"כ יש כח טענה למה שטוען שהיה לו חוב אחר, ואחר שיש כח לטענתו, מהני המיגו, אעפ"י שעי"ז הוא יכול להוציא ממון אחר, וכתב </w:t>
      </w:r>
      <w:r w:rsidRPr="00EB3E3E">
        <w:rPr>
          <w:rStyle w:val="af9"/>
          <w:rFonts w:hint="cs"/>
          <w:rtl/>
        </w:rPr>
        <w:t>בחי' רבי נחום ד</w:t>
      </w:r>
      <w:r w:rsidRPr="004F53DC">
        <w:rPr>
          <w:rStyle w:val="af9"/>
          <w:rFonts w:hint="cs"/>
          <w:rtl/>
        </w:rPr>
        <w:t xml:space="preserve">התוס' </w:t>
      </w:r>
      <w:r w:rsidRPr="00777A28">
        <w:rPr>
          <w:rStyle w:val="af7"/>
          <w:rFonts w:eastAsia="Guttman Hodes" w:hint="cs"/>
          <w:rtl/>
        </w:rPr>
        <w:t xml:space="preserve">(עי' אות </w:t>
      </w:r>
      <w:r w:rsidRPr="00777A28">
        <w:rPr>
          <w:rStyle w:val="af7"/>
          <w:rFonts w:eastAsia="Guttman Hodes"/>
          <w:rtl/>
        </w:rPr>
        <w:fldChar w:fldCharType="begin"/>
      </w:r>
      <w:r w:rsidRPr="00777A28">
        <w:rPr>
          <w:rStyle w:val="af7"/>
          <w:rFonts w:eastAsia="Guttman Hodes"/>
          <w:rtl/>
        </w:rPr>
        <w:instrText xml:space="preserve"> </w:instrText>
      </w:r>
      <w:r w:rsidRPr="00777A28">
        <w:rPr>
          <w:rStyle w:val="af7"/>
          <w:rFonts w:eastAsia="Guttman Hodes" w:hint="cs"/>
        </w:rPr>
        <w:instrText>REF</w:instrText>
      </w:r>
      <w:r w:rsidRPr="00777A28">
        <w:rPr>
          <w:rStyle w:val="af7"/>
          <w:rFonts w:eastAsia="Guttman Hodes" w:hint="cs"/>
          <w:rtl/>
        </w:rPr>
        <w:instrText xml:space="preserve"> _</w:instrText>
      </w:r>
      <w:r w:rsidRPr="00777A28">
        <w:rPr>
          <w:rStyle w:val="af7"/>
          <w:rFonts w:eastAsia="Guttman Hodes" w:hint="cs"/>
        </w:rPr>
        <w:instrText>Ref63155210 \r \h</w:instrText>
      </w:r>
      <w:r w:rsidRPr="00777A28">
        <w:rPr>
          <w:rStyle w:val="af7"/>
          <w:rFonts w:eastAsia="Guttman Hodes"/>
          <w:rtl/>
        </w:rPr>
        <w:instrText xml:space="preserve"> </w:instrText>
      </w:r>
      <w:r w:rsidRPr="00777A28">
        <w:rPr>
          <w:rStyle w:val="af7"/>
          <w:rFonts w:eastAsia="Guttman Hodes"/>
          <w:rtl/>
        </w:rPr>
      </w:r>
      <w:r w:rsidRPr="00777A28">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777A28">
        <w:rPr>
          <w:rStyle w:val="af7"/>
          <w:rFonts w:eastAsia="Guttman Hodes"/>
          <w:rtl/>
        </w:rPr>
        <w:fldChar w:fldCharType="end"/>
      </w:r>
      <w:r>
        <w:rPr>
          <w:rFonts w:hint="cs"/>
          <w:rtl/>
        </w:rPr>
        <w:t xml:space="preserve"> דכתבו דבסטראי חשיב מיגו להוציא והוא נאמן רק כיון שיש לו שטר, פליגי על </w:t>
      </w:r>
      <w:r w:rsidRPr="00EB3E3E">
        <w:rPr>
          <w:rStyle w:val="af9"/>
          <w:rFonts w:hint="cs"/>
          <w:rtl/>
        </w:rPr>
        <w:t>הרמב"ן</w:t>
      </w:r>
      <w:r>
        <w:rPr>
          <w:rFonts w:hint="cs"/>
          <w:rtl/>
        </w:rPr>
        <w:t xml:space="preserve">, וס"ל דיסוד דין מיגו להוציא הוא מדין מה לי לשקר, </w:t>
      </w:r>
      <w:r w:rsidRPr="00EF0FCD">
        <w:rPr>
          <w:rStyle w:val="afb"/>
          <w:rFonts w:hint="cs"/>
          <w:rtl/>
        </w:rPr>
        <w:t xml:space="preserve">[כדביאר </w:t>
      </w:r>
      <w:r w:rsidRPr="00EF0FCD">
        <w:rPr>
          <w:rStyle w:val="affa"/>
          <w:rFonts w:hint="cs"/>
          <w:rtl/>
        </w:rPr>
        <w:t xml:space="preserve">בחי' רבי נחום </w:t>
      </w:r>
      <w:r w:rsidRPr="00EF0FCD">
        <w:rPr>
          <w:rStyle w:val="aff6"/>
          <w:rFonts w:hint="cs"/>
          <w:rtl/>
        </w:rPr>
        <w:t xml:space="preserve">(עי' אות </w:t>
      </w:r>
      <w:r w:rsidRPr="00EF0FCD">
        <w:rPr>
          <w:rStyle w:val="aff6"/>
          <w:rtl/>
        </w:rPr>
        <w:fldChar w:fldCharType="begin"/>
      </w:r>
      <w:r w:rsidRPr="00EF0FCD">
        <w:rPr>
          <w:rStyle w:val="aff6"/>
          <w:rtl/>
        </w:rPr>
        <w:instrText xml:space="preserve"> </w:instrText>
      </w:r>
      <w:r w:rsidRPr="00EF0FCD">
        <w:rPr>
          <w:rStyle w:val="aff6"/>
          <w:rFonts w:hint="cs"/>
        </w:rPr>
        <w:instrText>REF</w:instrText>
      </w:r>
      <w:r w:rsidRPr="00EF0FCD">
        <w:rPr>
          <w:rStyle w:val="aff6"/>
          <w:rFonts w:hint="cs"/>
          <w:rtl/>
        </w:rPr>
        <w:instrText xml:space="preserve"> _</w:instrText>
      </w:r>
      <w:r w:rsidRPr="00EF0FCD">
        <w:rPr>
          <w:rStyle w:val="aff6"/>
          <w:rFonts w:hint="cs"/>
        </w:rPr>
        <w:instrText>Ref63247069 \r \h</w:instrText>
      </w:r>
      <w:r w:rsidRPr="00EF0FCD">
        <w:rPr>
          <w:rStyle w:val="aff6"/>
          <w:rtl/>
        </w:rPr>
        <w:instrText xml:space="preserve"> </w:instrText>
      </w:r>
      <w:r w:rsidRPr="00EF0FCD">
        <w:rPr>
          <w:rStyle w:val="aff6"/>
          <w:rtl/>
        </w:rPr>
      </w:r>
      <w:r w:rsidRPr="00EF0FCD">
        <w:rPr>
          <w:rStyle w:val="aff6"/>
          <w:rtl/>
        </w:rPr>
        <w:fldChar w:fldCharType="separate"/>
      </w:r>
      <w:r w:rsidR="00265073">
        <w:rPr>
          <w:rStyle w:val="aff6"/>
          <w:cs/>
        </w:rPr>
        <w:t>‎</w:t>
      </w:r>
      <w:r w:rsidR="00265073">
        <w:rPr>
          <w:rStyle w:val="aff6"/>
          <w:rtl/>
        </w:rPr>
        <w:t>קכג)</w:t>
      </w:r>
      <w:r w:rsidRPr="00EF0FCD">
        <w:rPr>
          <w:rStyle w:val="aff6"/>
          <w:rtl/>
        </w:rPr>
        <w:fldChar w:fldCharType="end"/>
      </w:r>
      <w:r w:rsidRPr="00EF0FCD">
        <w:rPr>
          <w:rStyle w:val="afb"/>
          <w:rFonts w:hint="cs"/>
          <w:rtl/>
        </w:rPr>
        <w:t xml:space="preserve"> בדעת </w:t>
      </w:r>
      <w:r w:rsidRPr="00EF0FCD">
        <w:rPr>
          <w:rStyle w:val="affa"/>
          <w:rFonts w:hint="cs"/>
          <w:rtl/>
        </w:rPr>
        <w:t>התוס'</w:t>
      </w:r>
      <w:r w:rsidRPr="00EF0FCD">
        <w:rPr>
          <w:rStyle w:val="afb"/>
          <w:rFonts w:hint="cs"/>
          <w:rtl/>
        </w:rPr>
        <w:t>],</w:t>
      </w:r>
      <w:r>
        <w:rPr>
          <w:rFonts w:hint="cs"/>
          <w:rtl/>
        </w:rPr>
        <w:t xml:space="preserve"> וא"כ כיון שע"י המיגו מוציאים ממון, לא מהני המיגו, בלא השטר.</w:t>
      </w:r>
      <w:bookmarkEnd w:id="14098"/>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5E1ABF" w:rsidRPr="005E1ABF" w:rsidRDefault="005E1ABF" w:rsidP="005E1ABF">
      <w:pPr>
        <w:pStyle w:val="a3"/>
        <w:rPr>
          <w:rtl/>
        </w:rPr>
      </w:pPr>
    </w:p>
    <w:p w:rsidR="003B7617" w:rsidRDefault="003B7617" w:rsidP="003B7617">
      <w:pPr>
        <w:pStyle w:val="1"/>
        <w:rPr>
          <w:rtl/>
        </w:rPr>
      </w:pPr>
      <w:bookmarkStart w:id="14099" w:name="_Toc63163550"/>
      <w:bookmarkStart w:id="14100" w:name="_Toc63188825"/>
      <w:bookmarkStart w:id="14101" w:name="_Toc63247847"/>
      <w:r>
        <w:rPr>
          <w:rFonts w:hint="cs"/>
          <w:rtl/>
        </w:rPr>
        <w:lastRenderedPageBreak/>
        <w:t>ביאור הגרנ"פ ברמב"ן</w:t>
      </w:r>
      <w:bookmarkEnd w:id="14099"/>
      <w:bookmarkEnd w:id="14100"/>
      <w:r>
        <w:rPr>
          <w:rFonts w:hint="cs"/>
          <w:rtl/>
        </w:rPr>
        <w:t xml:space="preserve"> בדין המוחזקות בקרקע אחר שהודה</w:t>
      </w:r>
      <w:bookmarkEnd w:id="14101"/>
    </w:p>
    <w:p w:rsidR="003B7617" w:rsidRDefault="003B7617" w:rsidP="003B7617">
      <w:pPr>
        <w:pStyle w:val="a3"/>
        <w:rPr>
          <w:rtl/>
        </w:rPr>
      </w:pPr>
      <w:bookmarkStart w:id="14102" w:name="_Toc63247848"/>
      <w:r>
        <w:rPr>
          <w:rFonts w:hint="cs"/>
          <w:rtl/>
        </w:rPr>
        <w:t>ביאור הגרנ"פ ברמב"ן דאף דהקרקע בחזקת המר"ק מ"מ ההוכחה של המיגו מבטלת את המר"ק</w:t>
      </w:r>
      <w:bookmarkEnd w:id="14102"/>
      <w:r>
        <w:rPr>
          <w:rFonts w:hint="cs"/>
          <w:rtl/>
        </w:rPr>
        <w:t xml:space="preserve"> </w:t>
      </w:r>
    </w:p>
    <w:p w:rsidR="003B7617" w:rsidRDefault="003B7617" w:rsidP="007E4E81">
      <w:pPr>
        <w:pStyle w:val="a0"/>
        <w:rPr>
          <w:rtl/>
        </w:rPr>
      </w:pPr>
      <w:bookmarkStart w:id="14103" w:name="_Ref63246449"/>
      <w:r>
        <w:rPr>
          <w:rFonts w:hint="cs"/>
          <w:rtl/>
        </w:rPr>
        <w:t xml:space="preserve">במה שביאר </w:t>
      </w:r>
      <w:r w:rsidRPr="00BC1818">
        <w:rPr>
          <w:rStyle w:val="af9"/>
          <w:rFonts w:hint="cs"/>
          <w:rtl/>
        </w:rPr>
        <w:t>הרמב"ן</w:t>
      </w:r>
      <w:r>
        <w:rPr>
          <w:rFonts w:hint="cs"/>
          <w:rtl/>
        </w:rPr>
        <w:t xml:space="preserve"> </w:t>
      </w:r>
      <w:r w:rsidRPr="002F0D7B">
        <w:rPr>
          <w:rStyle w:val="af7"/>
          <w:rFonts w:eastAsia="Guttman Hodes" w:hint="cs"/>
          <w:rtl/>
        </w:rPr>
        <w:t xml:space="preserve">(עי' אות </w:t>
      </w:r>
      <w:r w:rsidRPr="002F0D7B">
        <w:rPr>
          <w:rStyle w:val="af7"/>
          <w:rFonts w:eastAsia="Guttman Hodes"/>
          <w:rtl/>
        </w:rPr>
        <w:fldChar w:fldCharType="begin"/>
      </w:r>
      <w:r w:rsidRPr="002F0D7B">
        <w:rPr>
          <w:rStyle w:val="af7"/>
          <w:rFonts w:eastAsia="Guttman Hodes"/>
          <w:rtl/>
        </w:rPr>
        <w:instrText xml:space="preserve"> </w:instrText>
      </w:r>
      <w:r w:rsidRPr="002F0D7B">
        <w:rPr>
          <w:rStyle w:val="af7"/>
          <w:rFonts w:eastAsia="Guttman Hodes" w:hint="cs"/>
        </w:rPr>
        <w:instrText>REF</w:instrText>
      </w:r>
      <w:r w:rsidRPr="002F0D7B">
        <w:rPr>
          <w:rStyle w:val="af7"/>
          <w:rFonts w:eastAsia="Guttman Hodes" w:hint="cs"/>
          <w:rtl/>
        </w:rPr>
        <w:instrText xml:space="preserve"> _</w:instrText>
      </w:r>
      <w:r w:rsidRPr="002F0D7B">
        <w:rPr>
          <w:rStyle w:val="af7"/>
          <w:rFonts w:eastAsia="Guttman Hodes" w:hint="cs"/>
        </w:rPr>
        <w:instrText>Ref63246409 \r \h</w:instrText>
      </w:r>
      <w:r w:rsidRPr="002F0D7B">
        <w:rPr>
          <w:rStyle w:val="af7"/>
          <w:rFonts w:eastAsia="Guttman Hodes"/>
          <w:rtl/>
        </w:rPr>
        <w:instrText xml:space="preserve"> </w:instrText>
      </w:r>
      <w:r w:rsidRPr="002F0D7B">
        <w:rPr>
          <w:rStyle w:val="af7"/>
          <w:rFonts w:eastAsia="Guttman Hodes"/>
          <w:rtl/>
        </w:rPr>
      </w:r>
      <w:r w:rsidRPr="002F0D7B">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2F0D7B">
        <w:rPr>
          <w:rStyle w:val="af7"/>
          <w:rFonts w:eastAsia="Guttman Hodes"/>
          <w:rtl/>
        </w:rPr>
        <w:fldChar w:fldCharType="end"/>
      </w:r>
      <w:r>
        <w:rPr>
          <w:rFonts w:hint="cs"/>
          <w:rtl/>
        </w:rPr>
        <w:t xml:space="preserve"> בדעת </w:t>
      </w:r>
      <w:r w:rsidRPr="00BC1818">
        <w:rPr>
          <w:rStyle w:val="af9"/>
          <w:rFonts w:hint="cs"/>
          <w:rtl/>
        </w:rPr>
        <w:t>הר"י מגאש</w:t>
      </w:r>
      <w:r>
        <w:rPr>
          <w:rFonts w:hint="cs"/>
          <w:rtl/>
        </w:rPr>
        <w:t xml:space="preserve"> </w:t>
      </w:r>
      <w:r w:rsidRPr="002F0D7B">
        <w:rPr>
          <w:rStyle w:val="af7"/>
          <w:rFonts w:eastAsia="Guttman Hodes" w:hint="cs"/>
          <w:rtl/>
        </w:rPr>
        <w:t xml:space="preserve">(עי' אות </w:t>
      </w:r>
      <w:r w:rsidRPr="002F0D7B">
        <w:rPr>
          <w:rStyle w:val="af7"/>
          <w:rFonts w:eastAsia="Guttman Hodes"/>
          <w:rtl/>
        </w:rPr>
        <w:fldChar w:fldCharType="begin"/>
      </w:r>
      <w:r w:rsidRPr="002F0D7B">
        <w:rPr>
          <w:rStyle w:val="af7"/>
          <w:rFonts w:eastAsia="Guttman Hodes"/>
          <w:rtl/>
        </w:rPr>
        <w:instrText xml:space="preserve"> </w:instrText>
      </w:r>
      <w:r w:rsidRPr="002F0D7B">
        <w:rPr>
          <w:rStyle w:val="af7"/>
          <w:rFonts w:eastAsia="Guttman Hodes" w:hint="cs"/>
        </w:rPr>
        <w:instrText>REF</w:instrText>
      </w:r>
      <w:r w:rsidRPr="002F0D7B">
        <w:rPr>
          <w:rStyle w:val="af7"/>
          <w:rFonts w:eastAsia="Guttman Hodes" w:hint="cs"/>
          <w:rtl/>
        </w:rPr>
        <w:instrText xml:space="preserve"> _</w:instrText>
      </w:r>
      <w:r w:rsidRPr="002F0D7B">
        <w:rPr>
          <w:rStyle w:val="af7"/>
          <w:rFonts w:eastAsia="Guttman Hodes" w:hint="cs"/>
        </w:rPr>
        <w:instrText>Ref63185874 \r \h</w:instrText>
      </w:r>
      <w:r w:rsidRPr="002F0D7B">
        <w:rPr>
          <w:rStyle w:val="af7"/>
          <w:rFonts w:eastAsia="Guttman Hodes"/>
          <w:rtl/>
        </w:rPr>
        <w:instrText xml:space="preserve"> </w:instrText>
      </w:r>
      <w:r w:rsidRPr="002F0D7B">
        <w:rPr>
          <w:rStyle w:val="af7"/>
          <w:rFonts w:eastAsia="Guttman Hodes"/>
          <w:rtl/>
        </w:rPr>
      </w:r>
      <w:r w:rsidRPr="002F0D7B">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2F0D7B">
        <w:rPr>
          <w:rStyle w:val="af7"/>
          <w:rFonts w:eastAsia="Guttman Hodes"/>
          <w:rtl/>
        </w:rPr>
        <w:fldChar w:fldCharType="end"/>
      </w:r>
      <w:r>
        <w:rPr>
          <w:rFonts w:hint="cs"/>
          <w:rtl/>
        </w:rPr>
        <w:t xml:space="preserve"> דלא אמרינן מיגו להוציא, אעפ"י דאיתא בגמ' בב"מ </w:t>
      </w:r>
      <w:r w:rsidRPr="003D0D37">
        <w:rPr>
          <w:rStyle w:val="af7"/>
          <w:rFonts w:eastAsia="Guttman Hodes" w:hint="cs"/>
          <w:rtl/>
        </w:rPr>
        <w:t>(קב:)</w:t>
      </w:r>
      <w:r>
        <w:rPr>
          <w:rFonts w:hint="cs"/>
          <w:rtl/>
        </w:rPr>
        <w:t xml:space="preserve"> דקרקע בחזקת בעליה עומדת, מ"מ כיון שיש למחזיק מיגו, והוא תופס את הקרקע הוא נאמן במיגו, אעפ"י שהקרקע היא בחזקת אבותיו של המערער, כתב </w:t>
      </w:r>
      <w:r w:rsidRPr="00086587">
        <w:rPr>
          <w:rStyle w:val="af9"/>
          <w:rFonts w:hint="cs"/>
          <w:rtl/>
        </w:rPr>
        <w:t>בחי' רבי נחום</w:t>
      </w:r>
      <w:r>
        <w:rPr>
          <w:rFonts w:hint="cs"/>
          <w:rtl/>
        </w:rPr>
        <w:t xml:space="preserve"> </w:t>
      </w:r>
      <w:r w:rsidRPr="00086587">
        <w:rPr>
          <w:rStyle w:val="af7"/>
          <w:rFonts w:eastAsia="Guttman Hodes" w:hint="cs"/>
          <w:rtl/>
        </w:rPr>
        <w:t>(או' קמ"ט ד"ה ובביאור תירוצו)</w:t>
      </w:r>
      <w:r>
        <w:rPr>
          <w:rFonts w:hint="cs"/>
          <w:rtl/>
        </w:rPr>
        <w:t xml:space="preserve"> דבפשטות כוונת </w:t>
      </w:r>
      <w:r w:rsidRPr="00086587">
        <w:rPr>
          <w:rStyle w:val="af9"/>
          <w:rFonts w:hint="cs"/>
          <w:rtl/>
        </w:rPr>
        <w:t>הרמב"ן</w:t>
      </w:r>
      <w:r>
        <w:rPr>
          <w:rFonts w:hint="cs"/>
          <w:rtl/>
        </w:rPr>
        <w:t xml:space="preserve"> לומר דאף שהמיגו מוציא מחזקתו של המרא קמא, מ"מ כיון שבפועל הקרקע ביד המחזיק אי"ז חשיב כמיגו להוציא, ועוד ביאר </w:t>
      </w:r>
      <w:r w:rsidRPr="00B96B6F">
        <w:rPr>
          <w:rStyle w:val="af9"/>
          <w:rFonts w:hint="cs"/>
          <w:rtl/>
        </w:rPr>
        <w:t>בחי' רבי נחום</w:t>
      </w:r>
      <w:r>
        <w:rPr>
          <w:rFonts w:hint="cs"/>
          <w:rtl/>
        </w:rPr>
        <w:t xml:space="preserve"> דכיון שיש למחזיק מיגו, א"כ מכח ההוכחה של המיגו נחשב המחזיק למוחזק בקרקע, ובטלה חזקת המרא קמא לגמרי, ולכן אינו מיגו להוציא.</w:t>
      </w:r>
      <w:bookmarkEnd w:id="14103"/>
    </w:p>
    <w:p w:rsidR="003B7617" w:rsidRDefault="003B7617" w:rsidP="003B7617">
      <w:pPr>
        <w:pStyle w:val="a3"/>
        <w:rPr>
          <w:rtl/>
        </w:rPr>
      </w:pPr>
      <w:bookmarkStart w:id="14104" w:name="_Toc63247849"/>
      <w:r>
        <w:rPr>
          <w:rFonts w:hint="cs"/>
          <w:rtl/>
        </w:rPr>
        <w:t>ביאור הגרנ"פ ברמב"ן דבחזקה בלא טענה עדיין חשיב מוחזק בקרקע לענין מיגו להוציא</w:t>
      </w:r>
      <w:bookmarkEnd w:id="14104"/>
    </w:p>
    <w:p w:rsidR="003B7617" w:rsidRDefault="003B7617" w:rsidP="007E4E81">
      <w:pPr>
        <w:pStyle w:val="a0"/>
        <w:rPr>
          <w:rStyle w:val="afb"/>
          <w:rtl/>
        </w:rPr>
      </w:pPr>
      <w:bookmarkStart w:id="14105" w:name="_Ref63246661"/>
      <w:r>
        <w:rPr>
          <w:rFonts w:hint="cs"/>
          <w:rtl/>
        </w:rPr>
        <w:t xml:space="preserve">ובמה שביאר </w:t>
      </w:r>
      <w:r>
        <w:rPr>
          <w:rStyle w:val="af9"/>
          <w:rFonts w:eastAsiaTheme="majorEastAsia"/>
          <w:rtl/>
        </w:rPr>
        <w:t>הרמב"ן בביאורו הב'</w:t>
      </w:r>
      <w:r>
        <w:rPr>
          <w:rFonts w:hint="cs"/>
          <w:rtl/>
        </w:rPr>
        <w:t xml:space="preserve"> </w:t>
      </w:r>
      <w:r w:rsidRPr="00796803">
        <w:rPr>
          <w:rStyle w:val="af7"/>
          <w:rFonts w:eastAsia="Guttman Hodes" w:hint="cs"/>
          <w:rtl/>
        </w:rPr>
        <w:t xml:space="preserve">(עי' אות </w:t>
      </w:r>
      <w:r w:rsidRPr="00796803">
        <w:rPr>
          <w:rStyle w:val="af7"/>
          <w:rFonts w:eastAsia="Guttman Hodes"/>
          <w:rtl/>
        </w:rPr>
        <w:fldChar w:fldCharType="begin"/>
      </w:r>
      <w:r w:rsidRPr="00796803">
        <w:rPr>
          <w:rStyle w:val="af7"/>
          <w:rFonts w:eastAsia="Guttman Hodes"/>
          <w:rtl/>
        </w:rPr>
        <w:instrText xml:space="preserve"> </w:instrText>
      </w:r>
      <w:r w:rsidRPr="00796803">
        <w:rPr>
          <w:rStyle w:val="af7"/>
          <w:rFonts w:eastAsia="Guttman Hodes" w:hint="cs"/>
        </w:rPr>
        <w:instrText>REF</w:instrText>
      </w:r>
      <w:r w:rsidRPr="00796803">
        <w:rPr>
          <w:rStyle w:val="af7"/>
          <w:rFonts w:eastAsia="Guttman Hodes" w:hint="cs"/>
          <w:rtl/>
        </w:rPr>
        <w:instrText xml:space="preserve"> _</w:instrText>
      </w:r>
      <w:r w:rsidRPr="00796803">
        <w:rPr>
          <w:rStyle w:val="af7"/>
          <w:rFonts w:eastAsia="Guttman Hodes" w:hint="cs"/>
        </w:rPr>
        <w:instrText>Ref62678599 \r \h</w:instrText>
      </w:r>
      <w:r w:rsidRPr="00796803">
        <w:rPr>
          <w:rStyle w:val="af7"/>
          <w:rFonts w:eastAsia="Guttman Hodes"/>
          <w:rtl/>
        </w:rPr>
        <w:instrText xml:space="preserve"> </w:instrText>
      </w:r>
      <w:r w:rsidRPr="00796803">
        <w:rPr>
          <w:rStyle w:val="af7"/>
          <w:rFonts w:eastAsia="Guttman Hodes"/>
          <w:rtl/>
        </w:rPr>
      </w:r>
      <w:r w:rsidRPr="00796803">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796803">
        <w:rPr>
          <w:rStyle w:val="af7"/>
          <w:rFonts w:eastAsia="Guttman Hodes"/>
          <w:rtl/>
        </w:rPr>
        <w:fldChar w:fldCharType="end"/>
      </w:r>
      <w:r>
        <w:rPr>
          <w:rFonts w:hint="cs"/>
          <w:rtl/>
        </w:rPr>
        <w:t xml:space="preserve"> דאפשר להעמיד דאיירי כשיש למחזיק חזקת ג"ש, ולכן הקרקע נמצאת ברשותו, ולרבה דבמקום שהשטר נפסל ע"י הודאת המחזיק, יש לו מיגו ולא בטלה חזקתו, ולרב יוסף בטלה חזקתו לגמרי, ודחה </w:t>
      </w:r>
      <w:r w:rsidRPr="00990E93">
        <w:rPr>
          <w:rStyle w:val="af9"/>
          <w:rFonts w:hint="cs"/>
          <w:rtl/>
        </w:rPr>
        <w:t>הרמב"ן</w:t>
      </w:r>
      <w:r>
        <w:rPr>
          <w:rFonts w:hint="cs"/>
          <w:rtl/>
        </w:rPr>
        <w:t xml:space="preserve"> </w:t>
      </w:r>
      <w:r w:rsidRPr="00796803">
        <w:rPr>
          <w:rStyle w:val="af7"/>
          <w:rFonts w:eastAsia="Guttman Hodes" w:hint="cs"/>
          <w:rtl/>
        </w:rPr>
        <w:t xml:space="preserve">(עי' אות </w:t>
      </w:r>
      <w:r w:rsidRPr="00796803">
        <w:rPr>
          <w:rStyle w:val="af7"/>
          <w:rFonts w:eastAsia="Guttman Hodes"/>
          <w:rtl/>
        </w:rPr>
        <w:fldChar w:fldCharType="begin"/>
      </w:r>
      <w:r w:rsidRPr="00796803">
        <w:rPr>
          <w:rStyle w:val="af7"/>
          <w:rFonts w:eastAsia="Guttman Hodes"/>
          <w:rtl/>
        </w:rPr>
        <w:instrText xml:space="preserve"> </w:instrText>
      </w:r>
      <w:r w:rsidRPr="00796803">
        <w:rPr>
          <w:rStyle w:val="af7"/>
          <w:rFonts w:eastAsia="Guttman Hodes" w:hint="cs"/>
        </w:rPr>
        <w:instrText>REF</w:instrText>
      </w:r>
      <w:r w:rsidRPr="00796803">
        <w:rPr>
          <w:rStyle w:val="af7"/>
          <w:rFonts w:eastAsia="Guttman Hodes" w:hint="cs"/>
          <w:rtl/>
        </w:rPr>
        <w:instrText xml:space="preserve"> _</w:instrText>
      </w:r>
      <w:r w:rsidRPr="00796803">
        <w:rPr>
          <w:rStyle w:val="af7"/>
          <w:rFonts w:eastAsia="Guttman Hodes" w:hint="cs"/>
        </w:rPr>
        <w:instrText>Ref63160940 \r \h</w:instrText>
      </w:r>
      <w:r w:rsidRPr="00796803">
        <w:rPr>
          <w:rStyle w:val="af7"/>
          <w:rFonts w:eastAsia="Guttman Hodes"/>
          <w:rtl/>
        </w:rPr>
        <w:instrText xml:space="preserve"> </w:instrText>
      </w:r>
      <w:r w:rsidRPr="00796803">
        <w:rPr>
          <w:rStyle w:val="af7"/>
          <w:rFonts w:eastAsia="Guttman Hodes"/>
          <w:rtl/>
        </w:rPr>
      </w:r>
      <w:r w:rsidRPr="00796803">
        <w:rPr>
          <w:rStyle w:val="af7"/>
          <w:rFonts w:eastAsia="Guttman Hodes"/>
          <w:rtl/>
        </w:rPr>
        <w:fldChar w:fldCharType="separate"/>
      </w:r>
      <w:r w:rsidR="00265073">
        <w:rPr>
          <w:rStyle w:val="af7"/>
          <w:rFonts w:eastAsia="Guttman Hodes"/>
          <w:cs/>
        </w:rPr>
        <w:t>‎</w:t>
      </w:r>
      <w:r w:rsidR="00265073">
        <w:rPr>
          <w:rStyle w:val="af7"/>
          <w:rFonts w:eastAsia="Guttman Hodes"/>
          <w:rtl/>
        </w:rPr>
        <w:t>עה)</w:t>
      </w:r>
      <w:r w:rsidRPr="00796803">
        <w:rPr>
          <w:rStyle w:val="af7"/>
          <w:rFonts w:eastAsia="Guttman Hodes"/>
          <w:rtl/>
        </w:rPr>
        <w:fldChar w:fldCharType="end"/>
      </w:r>
      <w:r>
        <w:rPr>
          <w:rFonts w:hint="cs"/>
          <w:rtl/>
        </w:rPr>
        <w:t xml:space="preserve"> דכיון שיש למחזיק חזקת ג"ש, א"כ אף שהתבטלה הטענה מחמת עצמה, מ"מ לא חשיב המיגו כמיגו להוציא, ביאר </w:t>
      </w:r>
      <w:r w:rsidRPr="006D54DB">
        <w:rPr>
          <w:rStyle w:val="af9"/>
          <w:rFonts w:hint="cs"/>
          <w:rtl/>
        </w:rPr>
        <w:t>בחי' רבי נחום</w:t>
      </w:r>
      <w:r>
        <w:rPr>
          <w:rFonts w:hint="cs"/>
          <w:rtl/>
        </w:rPr>
        <w:t xml:space="preserve"> </w:t>
      </w:r>
      <w:r w:rsidRPr="007D0223">
        <w:rPr>
          <w:rStyle w:val="af7"/>
          <w:rFonts w:eastAsia="Guttman Hodes" w:hint="cs"/>
          <w:rtl/>
        </w:rPr>
        <w:t>(או' קמ"ט ד"ה והנה ברמב"ן)</w:t>
      </w:r>
      <w:r>
        <w:rPr>
          <w:rFonts w:hint="cs"/>
          <w:rtl/>
        </w:rPr>
        <w:t xml:space="preserve"> דכוונת </w:t>
      </w:r>
      <w:r w:rsidRPr="006D54DB">
        <w:rPr>
          <w:rStyle w:val="af9"/>
          <w:rFonts w:hint="cs"/>
          <w:rtl/>
        </w:rPr>
        <w:t>הרמב"ן</w:t>
      </w:r>
      <w:r>
        <w:rPr>
          <w:rFonts w:hint="cs"/>
          <w:rtl/>
        </w:rPr>
        <w:t xml:space="preserve"> להקשות על רב יוסף, דאי איירי שיש למחזיק חזקת ג"ש, א"כ אף שהטענה שלו בטלה, מ"מ הוא עדיין מוחזק בקרקע, ולא חשיב כמיגו להוציא, כיון דכ"מ דחזקה שאין עמה טענה אינה חזקה, היינו רק לענין שע"י חזקה כזו אינו יכול לזכות בקרקע, אך מ"מ מהני החזקה להחשיבו כמוחזק בקרקע, לענין מיגו דחשיב כמיגו להחזיק. </w:t>
      </w:r>
      <w:r w:rsidRPr="00CA3A64">
        <w:rPr>
          <w:rStyle w:val="afb"/>
          <w:rFonts w:hint="cs"/>
          <w:rtl/>
        </w:rPr>
        <w:t xml:space="preserve">[וכתב </w:t>
      </w:r>
      <w:r w:rsidRPr="007D0223">
        <w:rPr>
          <w:rStyle w:val="affa"/>
          <w:rFonts w:hint="cs"/>
          <w:rtl/>
        </w:rPr>
        <w:t>בחי' רבי נחום</w:t>
      </w:r>
      <w:r w:rsidRPr="00CA3A64">
        <w:rPr>
          <w:rStyle w:val="afb"/>
          <w:rFonts w:hint="cs"/>
          <w:rtl/>
        </w:rPr>
        <w:t xml:space="preserve"> דלפי"ז אפש"ל דכוונת </w:t>
      </w:r>
      <w:r w:rsidRPr="007D0223">
        <w:rPr>
          <w:rStyle w:val="affa"/>
          <w:rFonts w:hint="cs"/>
          <w:rtl/>
        </w:rPr>
        <w:t>הרמב"ן בביאור הב'</w:t>
      </w:r>
      <w:r w:rsidRPr="00CA3A64">
        <w:rPr>
          <w:rStyle w:val="afb"/>
          <w:rFonts w:hint="cs"/>
          <w:rtl/>
        </w:rPr>
        <w:t xml:space="preserve"> לבאר דחזקה שאין עמה טענה אינה חזקה כלל, ולא חשיב אף כמוחזק].</w:t>
      </w:r>
      <w:bookmarkEnd w:id="14105"/>
      <w:r w:rsidRPr="00CA3A64">
        <w:rPr>
          <w:rStyle w:val="afb"/>
          <w:rFonts w:hint="cs"/>
          <w:rtl/>
        </w:rPr>
        <w:t xml:space="preserve"> </w:t>
      </w:r>
    </w:p>
    <w:p w:rsidR="005E1ABF" w:rsidRDefault="005E1ABF" w:rsidP="007E4E81">
      <w:pPr>
        <w:pStyle w:val="a0"/>
        <w:rPr>
          <w:rtl/>
        </w:rPr>
        <w:sectPr w:rsidR="005E1ABF" w:rsidSect="005049E2">
          <w:footerReference w:type="default" r:id="rId129"/>
          <w:type w:val="continuous"/>
          <w:pgSz w:w="11906" w:h="16838"/>
          <w:pgMar w:top="720" w:right="720" w:bottom="720" w:left="720" w:header="283" w:footer="283" w:gutter="0"/>
          <w:cols w:num="2" w:space="567"/>
          <w:titlePg/>
          <w:bidi/>
          <w:rtlGutter/>
          <w:docGrid w:linePitch="299"/>
        </w:sectPr>
      </w:pPr>
    </w:p>
    <w:p w:rsidR="003B7617" w:rsidRPr="00D669F3" w:rsidRDefault="003B7617" w:rsidP="007E4E81">
      <w:pPr>
        <w:pStyle w:val="a0"/>
        <w:sectPr w:rsidR="003B7617" w:rsidRPr="00D669F3" w:rsidSect="005049E2">
          <w:type w:val="continuous"/>
          <w:pgSz w:w="11906" w:h="16838"/>
          <w:pgMar w:top="720" w:right="720" w:bottom="720" w:left="720" w:header="283" w:footer="283" w:gutter="0"/>
          <w:cols w:num="2" w:space="567"/>
          <w:titlePg/>
          <w:bidi/>
          <w:rtlGutter/>
          <w:docGrid w:linePitch="299"/>
        </w:sectPr>
      </w:pPr>
    </w:p>
    <w:p w:rsidR="00F4065E" w:rsidRPr="00374D35" w:rsidRDefault="00F4065E" w:rsidP="00F4065E">
      <w:pPr>
        <w:pStyle w:val="afd"/>
        <w:rPr>
          <w:rtl/>
        </w:rPr>
      </w:pPr>
      <w:bookmarkStart w:id="14106" w:name="_Toc63666749"/>
      <w:bookmarkStart w:id="14107" w:name="_Toc63675671"/>
      <w:bookmarkStart w:id="14108" w:name="_Toc63703835"/>
      <w:bookmarkStart w:id="14109" w:name="_Toc63714135"/>
      <w:bookmarkStart w:id="14110" w:name="_Toc63854248"/>
      <w:bookmarkStart w:id="14111" w:name="_Toc63942230"/>
      <w:bookmarkStart w:id="14112" w:name="_Toc63975425"/>
      <w:bookmarkStart w:id="14113" w:name="_Toc63986443"/>
      <w:bookmarkStart w:id="14114" w:name="_Toc64024552"/>
      <w:bookmarkStart w:id="14115" w:name="_Toc64035947"/>
      <w:bookmarkStart w:id="14116" w:name="_Toc64148004"/>
      <w:bookmarkStart w:id="14117" w:name="_Toc64205594"/>
      <w:bookmarkStart w:id="14118" w:name="_Toc64209274"/>
      <w:bookmarkStart w:id="14119" w:name="_Toc66209225"/>
      <w:bookmarkStart w:id="14120" w:name="_Toc530583080"/>
      <w:bookmarkStart w:id="14121" w:name="_Toc530647758"/>
      <w:bookmarkStart w:id="14122" w:name="_Toc531193276"/>
      <w:bookmarkStart w:id="14123" w:name="_Toc531251478"/>
      <w:bookmarkStart w:id="14124" w:name="_Toc531251621"/>
      <w:bookmarkStart w:id="14125" w:name="_Toc531258163"/>
      <w:bookmarkStart w:id="14126" w:name="_Toc531622039"/>
      <w:bookmarkStart w:id="14127" w:name="_Toc531629695"/>
      <w:bookmarkStart w:id="14128" w:name="_Toc531638966"/>
      <w:bookmarkStart w:id="14129" w:name="_Toc531894161"/>
      <w:bookmarkStart w:id="14130" w:name="_Toc531894186"/>
      <w:bookmarkStart w:id="14131" w:name="_Toc532202994"/>
      <w:bookmarkStart w:id="14132" w:name="_Toc532302155"/>
      <w:bookmarkStart w:id="14133" w:name="_Toc532453950"/>
      <w:bookmarkStart w:id="14134" w:name="_Toc532453984"/>
      <w:bookmarkStart w:id="14135" w:name="_Toc532550625"/>
      <w:bookmarkStart w:id="14136" w:name="_Toc532550691"/>
      <w:bookmarkStart w:id="14137" w:name="_Toc532810054"/>
      <w:bookmarkStart w:id="14138" w:name="_Toc533413299"/>
      <w:bookmarkStart w:id="14139" w:name="_Toc533441190"/>
      <w:bookmarkStart w:id="14140" w:name="_Toc533441236"/>
      <w:bookmarkStart w:id="14141" w:name="_Toc533490156"/>
      <w:bookmarkStart w:id="14142" w:name="_Toc533506086"/>
      <w:bookmarkStart w:id="14143" w:name="_Toc533544294"/>
      <w:bookmarkStart w:id="14144" w:name="_Toc533544491"/>
      <w:bookmarkStart w:id="14145" w:name="_Toc533585363"/>
      <w:bookmarkStart w:id="14146" w:name="_Toc533585374"/>
      <w:bookmarkStart w:id="14147" w:name="_Toc18513260"/>
      <w:bookmarkStart w:id="14148" w:name="_Toc18874355"/>
      <w:bookmarkStart w:id="14149" w:name="_Toc18946770"/>
      <w:bookmarkStart w:id="14150" w:name="_Toc19026232"/>
      <w:bookmarkStart w:id="14151" w:name="_Toc19029709"/>
      <w:bookmarkStart w:id="14152" w:name="_Toc19030093"/>
      <w:bookmarkStart w:id="14153" w:name="_Toc19082129"/>
      <w:bookmarkStart w:id="14154" w:name="_Toc19092743"/>
      <w:bookmarkStart w:id="14155" w:name="_Toc31017199"/>
      <w:bookmarkStart w:id="14156" w:name="_Toc31092752"/>
      <w:bookmarkStart w:id="14157" w:name="_Toc31194738"/>
      <w:bookmarkStart w:id="14158" w:name="_Toc31194870"/>
      <w:bookmarkStart w:id="14159" w:name="_Toc31277908"/>
      <w:bookmarkStart w:id="14160" w:name="_Toc31298621"/>
      <w:bookmarkStart w:id="14161" w:name="_Toc31300774"/>
      <w:bookmarkStart w:id="14162" w:name="_Toc32919198"/>
      <w:bookmarkStart w:id="14163" w:name="_Toc49977849"/>
      <w:bookmarkStart w:id="14164" w:name="_Toc50120214"/>
      <w:bookmarkStart w:id="14165" w:name="_Toc50282706"/>
      <w:r w:rsidRPr="00374D35">
        <w:rPr>
          <w:rFonts w:hint="cs"/>
          <w:rtl/>
        </w:rPr>
        <w:lastRenderedPageBreak/>
        <w:t xml:space="preserve">סימן </w:t>
      </w:r>
      <w:r w:rsidRPr="00374D35">
        <w:rPr>
          <w:rtl/>
        </w:rPr>
        <w:t>ט"ו</w:t>
      </w:r>
      <w:bookmarkEnd w:id="14106"/>
      <w:bookmarkEnd w:id="14107"/>
      <w:bookmarkEnd w:id="14108"/>
      <w:bookmarkEnd w:id="14109"/>
      <w:bookmarkEnd w:id="14110"/>
      <w:bookmarkEnd w:id="14111"/>
      <w:bookmarkEnd w:id="14112"/>
      <w:bookmarkEnd w:id="14113"/>
      <w:bookmarkEnd w:id="14114"/>
      <w:bookmarkEnd w:id="14115"/>
      <w:bookmarkEnd w:id="14116"/>
      <w:bookmarkEnd w:id="14117"/>
      <w:bookmarkEnd w:id="14118"/>
      <w:bookmarkEnd w:id="14119"/>
    </w:p>
    <w:p w:rsidR="00F4065E" w:rsidRPr="00374D35" w:rsidRDefault="00F4065E" w:rsidP="00F4065E">
      <w:pPr>
        <w:pStyle w:val="afd"/>
        <w:rPr>
          <w:rtl/>
        </w:rPr>
      </w:pPr>
      <w:bookmarkStart w:id="14166" w:name="_Toc63666750"/>
      <w:bookmarkStart w:id="14167" w:name="_Toc63675672"/>
      <w:bookmarkStart w:id="14168" w:name="_Toc63703836"/>
      <w:bookmarkStart w:id="14169" w:name="_Toc63714136"/>
      <w:bookmarkStart w:id="14170" w:name="_Toc63854249"/>
      <w:bookmarkStart w:id="14171" w:name="_Toc63942231"/>
      <w:bookmarkStart w:id="14172" w:name="_Toc63975426"/>
      <w:bookmarkStart w:id="14173" w:name="_Toc63986444"/>
      <w:bookmarkStart w:id="14174" w:name="_Toc64024553"/>
      <w:bookmarkStart w:id="14175" w:name="_Toc64035948"/>
      <w:bookmarkStart w:id="14176" w:name="_Toc64148005"/>
      <w:bookmarkStart w:id="14177" w:name="_Toc64205595"/>
      <w:bookmarkStart w:id="14178" w:name="_Toc64209275"/>
      <w:bookmarkStart w:id="14179" w:name="_Toc66209226"/>
      <w:r w:rsidRPr="00374D35">
        <w:rPr>
          <w:rtl/>
        </w:rPr>
        <w:t>בסוגיא דרב</w:t>
      </w:r>
      <w:r w:rsidRPr="00374D35">
        <w:rPr>
          <w:rFonts w:hint="cs"/>
          <w:rtl/>
        </w:rPr>
        <w:t>א</w:t>
      </w:r>
      <w:r w:rsidRPr="00374D35">
        <w:rPr>
          <w:rtl/>
        </w:rPr>
        <w:t xml:space="preserve"> בר שרשום</w:t>
      </w:r>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p>
    <w:p w:rsidR="00F4065E" w:rsidRDefault="00F4065E" w:rsidP="00F4065E">
      <w:pPr>
        <w:pStyle w:val="aff4"/>
        <w:rPr>
          <w:rtl/>
        </w:rPr>
        <w:sectPr w:rsidR="00F4065E" w:rsidSect="00F4065E">
          <w:headerReference w:type="default" r:id="rId130"/>
          <w:headerReference w:type="first" r:id="rId131"/>
          <w:footerReference w:type="first" r:id="rId132"/>
          <w:pgSz w:w="11906" w:h="16838"/>
          <w:pgMar w:top="720" w:right="720" w:bottom="720" w:left="720" w:header="283" w:footer="283" w:gutter="0"/>
          <w:cols w:space="113"/>
          <w:bidi/>
          <w:rtlGutter/>
          <w:docGrid w:linePitch="299"/>
        </w:sectPr>
      </w:pPr>
      <w:bookmarkStart w:id="14180" w:name="_Toc65748227"/>
      <w:bookmarkStart w:id="14181" w:name="_Toc65788165"/>
      <w:bookmarkStart w:id="14182" w:name="_Toc65839196"/>
      <w:bookmarkStart w:id="14183" w:name="_Toc66048826"/>
      <w:bookmarkStart w:id="14184" w:name="_Toc66055766"/>
      <w:bookmarkStart w:id="14185" w:name="_Toc66085872"/>
      <w:bookmarkStart w:id="14186" w:name="_Toc66110434"/>
      <w:bookmarkStart w:id="14187" w:name="_Toc66123294"/>
      <w:bookmarkStart w:id="14188" w:name="_Toc66143742"/>
      <w:bookmarkStart w:id="14189" w:name="_Toc66171905"/>
      <w:bookmarkStart w:id="14190" w:name="_Toc66183145"/>
      <w:bookmarkStart w:id="14191" w:name="_Toc66185925"/>
      <w:bookmarkStart w:id="14192" w:name="_Toc66193385"/>
      <w:r>
        <w:rPr>
          <w:noProof/>
          <w:rtl/>
        </w:rPr>
        <w:t>~~~~~~~</w:t>
      </w:r>
      <w:r>
        <w:rPr>
          <w:rFonts w:hint="cs"/>
          <w:rtl/>
        </w:rPr>
        <w:t xml:space="preserve"> תוכן הענינים</w:t>
      </w:r>
      <w:bookmarkEnd w:id="14180"/>
      <w:bookmarkEnd w:id="14181"/>
      <w:bookmarkEnd w:id="14182"/>
      <w:r>
        <w:rPr>
          <w:rFonts w:hint="cs"/>
          <w:rtl/>
        </w:rPr>
        <w:t xml:space="preserve"> </w:t>
      </w:r>
      <w:r>
        <w:rPr>
          <w:noProof/>
          <w:rtl/>
        </w:rPr>
        <w:t>~~~~~~~</w:t>
      </w:r>
      <w:bookmarkEnd w:id="14183"/>
      <w:bookmarkEnd w:id="14184"/>
      <w:bookmarkEnd w:id="14185"/>
      <w:bookmarkEnd w:id="14186"/>
      <w:bookmarkEnd w:id="14187"/>
      <w:bookmarkEnd w:id="14188"/>
      <w:bookmarkEnd w:id="14189"/>
      <w:bookmarkEnd w:id="14190"/>
      <w:bookmarkEnd w:id="14191"/>
      <w:bookmarkEnd w:id="14192"/>
    </w:p>
    <w:p w:rsidR="00F4065E" w:rsidRDefault="00F4065E" w:rsidP="00F4065E">
      <w:pPr>
        <w:pStyle w:val="2"/>
        <w:rPr>
          <w:rFonts w:eastAsiaTheme="minorEastAsia" w:cstheme="minorBidi"/>
          <w:i/>
          <w:iCs/>
          <w:sz w:val="22"/>
          <w:szCs w:val="22"/>
          <w:rtl/>
        </w:rPr>
      </w:pPr>
      <w:r>
        <w:rPr>
          <w:rFonts w:asciiTheme="minorHAnsi" w:eastAsiaTheme="minorHAnsi" w:hAnsiTheme="minorHAnsi" w:cstheme="minorHAnsi"/>
          <w:i/>
          <w:iCs/>
          <w:sz w:val="20"/>
          <w:szCs w:val="20"/>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Theme="minorHAnsi" w:eastAsiaTheme="minorHAnsi" w:hAnsiTheme="minorHAnsi" w:cstheme="minorHAnsi"/>
          <w:i/>
          <w:iCs/>
          <w:sz w:val="20"/>
          <w:szCs w:val="20"/>
          <w:rtl/>
        </w:rPr>
        <w:fldChar w:fldCharType="separate"/>
      </w:r>
      <w:r w:rsidRPr="00E7000D">
        <w:rPr>
          <w:rtl/>
        </w:rPr>
        <w:t>בביאור דעת רבא ב"ש דא"צ לישבע</w:t>
      </w:r>
    </w:p>
    <w:p w:rsidR="00F4065E" w:rsidRDefault="00F4065E" w:rsidP="00F4065E">
      <w:pPr>
        <w:pStyle w:val="aff4"/>
        <w:rPr>
          <w:rFonts w:eastAsiaTheme="minorEastAsia" w:cstheme="minorBidi"/>
          <w:i/>
          <w:iCs/>
          <w:noProof/>
          <w:sz w:val="22"/>
          <w:szCs w:val="22"/>
          <w:rtl/>
        </w:rPr>
      </w:pPr>
      <w:r>
        <w:rPr>
          <w:noProof/>
          <w:rtl/>
        </w:rPr>
        <w:t>ביאורי הרשב"ם דא"צ להשבע בקרקע וכן כיון שיש לו חזקה</w:t>
      </w:r>
    </w:p>
    <w:p w:rsidR="00F4065E" w:rsidRPr="007E4E81" w:rsidRDefault="00F4065E" w:rsidP="00BA3263">
      <w:pPr>
        <w:pStyle w:val="a"/>
        <w:numPr>
          <w:ilvl w:val="0"/>
          <w:numId w:val="31"/>
        </w:numPr>
        <w:rPr>
          <w:rFonts w:eastAsiaTheme="minorEastAsia" w:cstheme="minorBidi"/>
          <w:sz w:val="22"/>
          <w:szCs w:val="22"/>
          <w:rtl/>
        </w:rPr>
      </w:pPr>
      <w:r>
        <w:rPr>
          <w:rtl/>
        </w:rPr>
        <w:t>דברי הרשב"ם דכיון שהחזיק ג"ש בחיי האב סבר שיהיה נאמן במיגו כשאין את שטר המשכנתא</w:t>
      </w:r>
    </w:p>
    <w:p w:rsidR="00F4065E" w:rsidRDefault="00F4065E" w:rsidP="007E4E81">
      <w:pPr>
        <w:pStyle w:val="a"/>
        <w:rPr>
          <w:rFonts w:eastAsiaTheme="minorEastAsia" w:cstheme="minorBidi"/>
          <w:sz w:val="22"/>
          <w:szCs w:val="22"/>
          <w:rtl/>
        </w:rPr>
      </w:pPr>
      <w:r>
        <w:rPr>
          <w:rtl/>
        </w:rPr>
        <w:t>דברי הרשב"ם דסבר שא"צ להשבע כיון שהוא קרקע ועוד דיש לו חזקת ג"ש שהיא במקום שטר</w:t>
      </w:r>
    </w:p>
    <w:p w:rsidR="00F4065E" w:rsidRDefault="00F4065E" w:rsidP="00F4065E">
      <w:pPr>
        <w:pStyle w:val="aff4"/>
        <w:rPr>
          <w:rFonts w:eastAsiaTheme="minorEastAsia" w:cstheme="minorBidi"/>
          <w:i/>
          <w:iCs/>
          <w:noProof/>
          <w:sz w:val="22"/>
          <w:szCs w:val="22"/>
          <w:rtl/>
        </w:rPr>
      </w:pPr>
      <w:r>
        <w:rPr>
          <w:noProof/>
          <w:rtl/>
        </w:rPr>
        <w:t>דברי התוס' והראשונים דרבא ב"ש הסכים להמתין ולא להשבע</w:t>
      </w:r>
    </w:p>
    <w:p w:rsidR="00F4065E" w:rsidRDefault="00F4065E" w:rsidP="007E4E81">
      <w:pPr>
        <w:pStyle w:val="a"/>
        <w:rPr>
          <w:rFonts w:eastAsiaTheme="minorEastAsia" w:cstheme="minorBidi"/>
          <w:sz w:val="22"/>
          <w:szCs w:val="22"/>
          <w:rtl/>
        </w:rPr>
      </w:pPr>
      <w:r>
        <w:rPr>
          <w:rtl/>
        </w:rPr>
        <w:t>קושית התוס' והרמב"ן והרשב"א ורבינו יונה דהיה לו לומר דאין נזקקין לנכסי קטנים אף בשבועה</w:t>
      </w:r>
    </w:p>
    <w:p w:rsidR="00F4065E" w:rsidRDefault="00F4065E" w:rsidP="007E4E81">
      <w:pPr>
        <w:pStyle w:val="a"/>
        <w:rPr>
          <w:rFonts w:eastAsiaTheme="minorEastAsia" w:cstheme="minorBidi"/>
          <w:sz w:val="22"/>
          <w:szCs w:val="22"/>
          <w:rtl/>
        </w:rPr>
      </w:pPr>
      <w:r>
        <w:rPr>
          <w:rtl/>
        </w:rPr>
        <w:t>ביאור התוס' והרמב"ן והרשב"א ורבינו יונה והרא"ש דהסכים להמתין שיגדולו ולא רצה לישבע</w:t>
      </w:r>
    </w:p>
    <w:p w:rsidR="00F4065E" w:rsidRDefault="00F4065E" w:rsidP="00F4065E">
      <w:pPr>
        <w:pStyle w:val="2"/>
        <w:rPr>
          <w:rFonts w:eastAsiaTheme="minorEastAsia" w:cstheme="minorBidi"/>
          <w:i/>
          <w:iCs/>
          <w:sz w:val="22"/>
          <w:szCs w:val="22"/>
          <w:rtl/>
        </w:rPr>
      </w:pPr>
      <w:r>
        <w:rPr>
          <w:rtl/>
        </w:rPr>
        <w:t>ד' הר"י מגאש דכשלא החזיר נאמן במיגו</w:t>
      </w:r>
    </w:p>
    <w:p w:rsidR="00F4065E" w:rsidRDefault="00F4065E" w:rsidP="00F4065E">
      <w:pPr>
        <w:pStyle w:val="aff4"/>
        <w:rPr>
          <w:rFonts w:eastAsiaTheme="minorEastAsia" w:cstheme="minorBidi"/>
          <w:i/>
          <w:iCs/>
          <w:noProof/>
          <w:sz w:val="22"/>
          <w:szCs w:val="22"/>
          <w:rtl/>
        </w:rPr>
      </w:pPr>
      <w:r>
        <w:rPr>
          <w:noProof/>
          <w:rtl/>
        </w:rPr>
        <w:t>ביאור הר"י מגאש דלא החזיר את הקרקע ורצה לגבות עכשיו</w:t>
      </w:r>
    </w:p>
    <w:p w:rsidR="00F4065E" w:rsidRDefault="00F4065E" w:rsidP="007E4E81">
      <w:pPr>
        <w:pStyle w:val="a"/>
        <w:rPr>
          <w:rFonts w:eastAsiaTheme="minorEastAsia" w:cstheme="minorBidi"/>
          <w:sz w:val="22"/>
          <w:szCs w:val="22"/>
          <w:rtl/>
        </w:rPr>
      </w:pPr>
      <w:r>
        <w:rPr>
          <w:rtl/>
        </w:rPr>
        <w:t>דברי הר"י מגאש דרצה להניח את הקרקע בידו עד לאחר שיאכל ולא יוציא ממנו דנאמן במיגו</w:t>
      </w:r>
    </w:p>
    <w:p w:rsidR="00F4065E" w:rsidRDefault="00F4065E" w:rsidP="007E4E81">
      <w:pPr>
        <w:pStyle w:val="a"/>
        <w:rPr>
          <w:rFonts w:eastAsiaTheme="minorEastAsia" w:cstheme="minorBidi"/>
          <w:sz w:val="22"/>
          <w:szCs w:val="22"/>
          <w:rtl/>
        </w:rPr>
      </w:pPr>
      <w:r>
        <w:rPr>
          <w:rtl/>
        </w:rPr>
        <w:t>ביאור הרמב"ן בר"י מגאש דהודה שהקרקע שלהם ולא החזיר להם שלא יתחייב שבועה</w:t>
      </w:r>
    </w:p>
    <w:p w:rsidR="00F4065E" w:rsidRDefault="00F4065E" w:rsidP="007E4E81">
      <w:pPr>
        <w:pStyle w:val="a"/>
        <w:rPr>
          <w:rFonts w:eastAsiaTheme="minorEastAsia" w:cstheme="minorBidi"/>
          <w:sz w:val="22"/>
          <w:szCs w:val="22"/>
          <w:rtl/>
        </w:rPr>
      </w:pPr>
      <w:r>
        <w:rPr>
          <w:rtl/>
        </w:rPr>
        <w:t>ביאור הרמב"ן בר"י מגאש דאף דלא נזקקין לנכסי קטנים סבר דנאמן כיון שהקרקע ברשותו</w:t>
      </w:r>
    </w:p>
    <w:p w:rsidR="00F4065E" w:rsidRDefault="00F4065E" w:rsidP="007E4E81">
      <w:pPr>
        <w:pStyle w:val="a"/>
        <w:rPr>
          <w:rFonts w:eastAsiaTheme="minorEastAsia" w:cstheme="minorBidi"/>
          <w:sz w:val="22"/>
          <w:szCs w:val="22"/>
          <w:rtl/>
        </w:rPr>
      </w:pPr>
      <w:r>
        <w:rPr>
          <w:rtl/>
        </w:rPr>
        <w:t>ביאור השיטה לנ"ל בר"י מגאש דמדינא צריך להחזיר להם ועשה דין לעצמו להפטר מהשבועה</w:t>
      </w:r>
    </w:p>
    <w:p w:rsidR="00F4065E" w:rsidRDefault="00F4065E" w:rsidP="007E4E81">
      <w:pPr>
        <w:pStyle w:val="a"/>
        <w:rPr>
          <w:rFonts w:eastAsiaTheme="minorEastAsia" w:cstheme="minorBidi"/>
          <w:sz w:val="22"/>
          <w:szCs w:val="22"/>
          <w:rtl/>
        </w:rPr>
      </w:pPr>
      <w:r>
        <w:rPr>
          <w:rtl/>
        </w:rPr>
        <w:t>ביאור השיטה לנ"ל בר"י מגאש דאף כשתובע אותם כשהם קטנים נאמן כיון שהקרקע בידו</w:t>
      </w:r>
    </w:p>
    <w:p w:rsidR="00F4065E" w:rsidRDefault="00F4065E" w:rsidP="00F4065E">
      <w:pPr>
        <w:pStyle w:val="2"/>
        <w:rPr>
          <w:rFonts w:eastAsiaTheme="minorEastAsia" w:cstheme="minorBidi"/>
          <w:i/>
          <w:iCs/>
          <w:sz w:val="22"/>
          <w:szCs w:val="22"/>
          <w:rtl/>
        </w:rPr>
      </w:pPr>
      <w:r>
        <w:rPr>
          <w:rtl/>
        </w:rPr>
        <w:t>ד' הרמב"ן דבקטנותם אינו נאמן במיגו</w:t>
      </w:r>
    </w:p>
    <w:p w:rsidR="00F4065E" w:rsidRDefault="00F4065E" w:rsidP="00F4065E">
      <w:pPr>
        <w:pStyle w:val="aff4"/>
        <w:rPr>
          <w:rFonts w:eastAsiaTheme="minorEastAsia" w:cstheme="minorBidi"/>
          <w:i/>
          <w:iCs/>
          <w:noProof/>
          <w:sz w:val="22"/>
          <w:szCs w:val="22"/>
          <w:rtl/>
        </w:rPr>
      </w:pPr>
      <w:r>
        <w:rPr>
          <w:noProof/>
          <w:rtl/>
        </w:rPr>
        <w:t>קושית הרמב"ן והרשב"א דאף כשהם קטנים הוא נאמן במיגו</w:t>
      </w:r>
    </w:p>
    <w:p w:rsidR="00F4065E" w:rsidRDefault="00F4065E" w:rsidP="007E4E81">
      <w:pPr>
        <w:pStyle w:val="a"/>
        <w:rPr>
          <w:rFonts w:eastAsiaTheme="minorEastAsia" w:cstheme="minorBidi"/>
          <w:sz w:val="22"/>
          <w:szCs w:val="22"/>
          <w:rtl/>
        </w:rPr>
      </w:pPr>
      <w:r>
        <w:rPr>
          <w:rtl/>
        </w:rPr>
        <w:t>דברי הרמב"ן דסבר רבא ב"ש שאם יחזיר לגמרי את הקרקע ורק אח"כ יתבעם יתחייב שבועה</w:t>
      </w:r>
    </w:p>
    <w:p w:rsidR="00F4065E" w:rsidRDefault="00F4065E" w:rsidP="007E4E81">
      <w:pPr>
        <w:pStyle w:val="a"/>
        <w:rPr>
          <w:rFonts w:eastAsiaTheme="minorEastAsia" w:cstheme="minorBidi"/>
          <w:sz w:val="22"/>
          <w:szCs w:val="22"/>
          <w:rtl/>
        </w:rPr>
      </w:pPr>
      <w:r>
        <w:rPr>
          <w:rtl/>
        </w:rPr>
        <w:t>קושית הרמב"ן והרשב"א דאמאי כבש את שטר המשכנתא הא עכשיו נאמן על החוב במיגו</w:t>
      </w:r>
    </w:p>
    <w:p w:rsidR="00F4065E" w:rsidRDefault="00F4065E" w:rsidP="007E4E81">
      <w:pPr>
        <w:pStyle w:val="a"/>
        <w:rPr>
          <w:rFonts w:eastAsiaTheme="minorEastAsia" w:cstheme="minorBidi"/>
          <w:sz w:val="22"/>
          <w:szCs w:val="22"/>
          <w:rtl/>
        </w:rPr>
      </w:pPr>
      <w:r>
        <w:rPr>
          <w:rtl/>
        </w:rPr>
        <w:t>קושית הריטב"א דהיה לרבא בר שרשום להודות ולהסיר את לעז הקול ויהיה נאמן במיגו</w:t>
      </w:r>
    </w:p>
    <w:p w:rsidR="00F4065E" w:rsidRDefault="00F4065E" w:rsidP="00F4065E">
      <w:pPr>
        <w:pStyle w:val="aff4"/>
        <w:rPr>
          <w:rFonts w:eastAsiaTheme="minorEastAsia" w:cstheme="minorBidi"/>
          <w:i/>
          <w:iCs/>
          <w:noProof/>
          <w:sz w:val="22"/>
          <w:szCs w:val="22"/>
          <w:rtl/>
        </w:rPr>
      </w:pPr>
      <w:r>
        <w:rPr>
          <w:noProof/>
          <w:rtl/>
        </w:rPr>
        <w:t>תי' הרמב"ן דלא נזקקין להם ומוציאים ממנו וכשיגדלו אין מיגו</w:t>
      </w:r>
    </w:p>
    <w:p w:rsidR="00F4065E" w:rsidRDefault="00F4065E" w:rsidP="007E4E81">
      <w:pPr>
        <w:pStyle w:val="a"/>
        <w:rPr>
          <w:rFonts w:eastAsiaTheme="minorEastAsia" w:cstheme="minorBidi"/>
          <w:sz w:val="22"/>
          <w:szCs w:val="22"/>
          <w:rtl/>
        </w:rPr>
      </w:pPr>
      <w:r>
        <w:rPr>
          <w:rtl/>
        </w:rPr>
        <w:t>ביאור הרמב"ן דאי הודה לקטנים מוציאין ממנו ולאחר שיגדלו כבר אין לו מיגו וחייב שבועה</w:t>
      </w:r>
    </w:p>
    <w:p w:rsidR="00F4065E" w:rsidRDefault="00F4065E" w:rsidP="00F4065E">
      <w:pPr>
        <w:pStyle w:val="aff4"/>
        <w:rPr>
          <w:rFonts w:eastAsiaTheme="minorEastAsia" w:cstheme="minorBidi"/>
          <w:i/>
          <w:iCs/>
          <w:noProof/>
          <w:sz w:val="22"/>
          <w:szCs w:val="22"/>
          <w:rtl/>
        </w:rPr>
      </w:pPr>
      <w:r>
        <w:rPr>
          <w:noProof/>
          <w:rtl/>
        </w:rPr>
        <w:t>ביאור הרמב"ן דאף שנאמן במיגו א"א להאמינו כשהם קטנים</w:t>
      </w:r>
    </w:p>
    <w:p w:rsidR="00F4065E" w:rsidRDefault="00F4065E" w:rsidP="007E4E81">
      <w:pPr>
        <w:pStyle w:val="a"/>
        <w:rPr>
          <w:rFonts w:eastAsiaTheme="minorEastAsia" w:cstheme="minorBidi"/>
          <w:sz w:val="22"/>
          <w:szCs w:val="22"/>
          <w:rtl/>
        </w:rPr>
      </w:pPr>
      <w:r>
        <w:rPr>
          <w:rtl/>
        </w:rPr>
        <w:t>קושית הרמב"ן דאף כשהם קטנים יש לו מיגו דהיא לקוחה בידו ואמאי אינו נאמן עכשיו</w:t>
      </w:r>
    </w:p>
    <w:p w:rsidR="00F4065E" w:rsidRDefault="00F4065E" w:rsidP="007E4E81">
      <w:pPr>
        <w:pStyle w:val="a"/>
        <w:rPr>
          <w:rFonts w:eastAsiaTheme="minorEastAsia" w:cstheme="minorBidi"/>
          <w:sz w:val="22"/>
          <w:szCs w:val="22"/>
          <w:rtl/>
        </w:rPr>
      </w:pPr>
      <w:r>
        <w:rPr>
          <w:rtl/>
        </w:rPr>
        <w:t>תירוץ הרמב"ן דא"א להוציא מהקטנים ואף אי נאמן במיגו כעדים א"א לקבלו שלא בפניהם</w:t>
      </w:r>
    </w:p>
    <w:p w:rsidR="00F4065E" w:rsidRDefault="00F4065E" w:rsidP="007E4E81">
      <w:pPr>
        <w:pStyle w:val="a"/>
        <w:rPr>
          <w:rFonts w:eastAsiaTheme="minorEastAsia" w:cstheme="minorBidi"/>
          <w:sz w:val="22"/>
          <w:szCs w:val="22"/>
          <w:rtl/>
        </w:rPr>
      </w:pPr>
      <w:r>
        <w:rPr>
          <w:rtl/>
        </w:rPr>
        <w:t>קושית השיטה לנ"ל על הרמב"ן דע"י השטר החוב ידוע וכן המיגו וחשיב שנחקרה העדות בב"ד</w:t>
      </w:r>
    </w:p>
    <w:p w:rsidR="00F4065E" w:rsidRDefault="00F4065E" w:rsidP="007E4E81">
      <w:pPr>
        <w:pStyle w:val="a"/>
        <w:rPr>
          <w:rFonts w:eastAsiaTheme="minorEastAsia" w:cstheme="minorBidi"/>
          <w:sz w:val="22"/>
          <w:szCs w:val="22"/>
          <w:rtl/>
        </w:rPr>
      </w:pPr>
      <w:r>
        <w:rPr>
          <w:rtl/>
        </w:rPr>
        <w:t>קושית השיטה לנ"ל על הרמב"ן דאף אחר אכילת הפירות נאמן ע"י המיגו אף כשהם קטנים</w:t>
      </w:r>
    </w:p>
    <w:p w:rsidR="00F4065E" w:rsidRDefault="00F4065E" w:rsidP="007E4E81">
      <w:pPr>
        <w:pStyle w:val="a"/>
        <w:rPr>
          <w:rFonts w:eastAsiaTheme="minorEastAsia" w:cstheme="minorBidi"/>
          <w:sz w:val="22"/>
          <w:szCs w:val="22"/>
          <w:rtl/>
        </w:rPr>
      </w:pPr>
      <w:r>
        <w:rPr>
          <w:rtl/>
        </w:rPr>
        <w:t>דברי המהרש"ך דמוכח ברמב"ן דל"מ תפיסה מיתומים קטנים במיגו כמו דל"מ עדות שלא בפניו</w:t>
      </w:r>
    </w:p>
    <w:p w:rsidR="00F4065E" w:rsidRDefault="00F4065E" w:rsidP="007E4E81">
      <w:pPr>
        <w:pStyle w:val="a"/>
        <w:rPr>
          <w:rFonts w:eastAsiaTheme="minorEastAsia" w:cstheme="minorBidi"/>
          <w:sz w:val="22"/>
          <w:szCs w:val="22"/>
          <w:rtl/>
        </w:rPr>
      </w:pPr>
      <w:r>
        <w:rPr>
          <w:rtl/>
        </w:rPr>
        <w:t>דברי המשל"מ דלהחזיק מהני עדות שלא בפניו וא"כ כל שתפס מיתומים נאמן במיגו</w:t>
      </w:r>
    </w:p>
    <w:p w:rsidR="00F4065E" w:rsidRDefault="00F4065E" w:rsidP="007E4E81">
      <w:pPr>
        <w:pStyle w:val="a"/>
        <w:rPr>
          <w:rFonts w:eastAsiaTheme="minorEastAsia" w:cstheme="minorBidi"/>
          <w:sz w:val="22"/>
          <w:szCs w:val="22"/>
          <w:rtl/>
        </w:rPr>
      </w:pPr>
      <w:r>
        <w:rPr>
          <w:rtl/>
        </w:rPr>
        <w:t>ביאור הקצוה"ח דכיון שאין פוסקים מכח המיגו כשהם קטנים א"כ כשיגדלו כבר הודה ואין מיגו</w:t>
      </w:r>
    </w:p>
    <w:p w:rsidR="00F4065E" w:rsidRDefault="00F4065E" w:rsidP="007E4E81">
      <w:pPr>
        <w:pStyle w:val="a"/>
        <w:rPr>
          <w:rFonts w:eastAsiaTheme="minorEastAsia" w:cstheme="minorBidi"/>
          <w:sz w:val="22"/>
          <w:szCs w:val="22"/>
          <w:rtl/>
        </w:rPr>
      </w:pPr>
      <w:r>
        <w:rPr>
          <w:rtl/>
        </w:rPr>
        <w:t>דברי הנתיה"מ דבעדים יש גזיה"כ דאין להם נאמנות שלא בפני בע"ד אך מיגו לעולם הוא ראיה</w:t>
      </w:r>
    </w:p>
    <w:p w:rsidR="00F4065E" w:rsidRDefault="00F4065E" w:rsidP="007E4E81">
      <w:pPr>
        <w:pStyle w:val="a"/>
        <w:rPr>
          <w:rFonts w:eastAsiaTheme="minorEastAsia" w:cstheme="minorBidi"/>
          <w:sz w:val="22"/>
          <w:szCs w:val="22"/>
          <w:rtl/>
        </w:rPr>
      </w:pPr>
      <w:r>
        <w:rPr>
          <w:rtl/>
        </w:rPr>
        <w:t>ביאור החת"ס ברמב"ן דאף דמיגו להוציא מהני מ"מ א"א לקבל מיגו להוציא שלא בפני הבע"ד</w:t>
      </w:r>
    </w:p>
    <w:p w:rsidR="00F4065E" w:rsidRDefault="00F4065E" w:rsidP="007E4E81">
      <w:pPr>
        <w:pStyle w:val="a"/>
        <w:rPr>
          <w:rFonts w:eastAsiaTheme="minorEastAsia" w:cstheme="minorBidi"/>
          <w:sz w:val="22"/>
          <w:szCs w:val="22"/>
          <w:rtl/>
        </w:rPr>
      </w:pPr>
      <w:r>
        <w:rPr>
          <w:rtl/>
        </w:rPr>
        <w:t>דברי החת"ס דכיון דס"ל לרמב"ן דאמרינן מיגו להוציא א"א לבאר כרבינו יונה או כגאונים</w:t>
      </w:r>
    </w:p>
    <w:p w:rsidR="00F4065E" w:rsidRDefault="00F4065E" w:rsidP="00F4065E">
      <w:pPr>
        <w:pStyle w:val="2"/>
        <w:rPr>
          <w:rFonts w:eastAsiaTheme="minorEastAsia" w:cstheme="minorBidi"/>
          <w:i/>
          <w:iCs/>
          <w:sz w:val="22"/>
          <w:szCs w:val="22"/>
          <w:rtl/>
        </w:rPr>
      </w:pPr>
      <w:r>
        <w:rPr>
          <w:rtl/>
        </w:rPr>
        <w:t>בי' הרמב"ן בגאונים דבאכל א"צ שבועה</w:t>
      </w:r>
    </w:p>
    <w:p w:rsidR="00F4065E" w:rsidRDefault="00F4065E" w:rsidP="00F4065E">
      <w:pPr>
        <w:pStyle w:val="aff4"/>
        <w:rPr>
          <w:rFonts w:eastAsiaTheme="minorEastAsia" w:cstheme="minorBidi"/>
          <w:i/>
          <w:iCs/>
          <w:noProof/>
          <w:sz w:val="22"/>
          <w:szCs w:val="22"/>
          <w:rtl/>
        </w:rPr>
      </w:pPr>
      <w:r>
        <w:rPr>
          <w:noProof/>
          <w:rtl/>
        </w:rPr>
        <w:t>קושית הרמב"ן דלדעת הגאונים האיך נפטר משבועה במיגו</w:t>
      </w:r>
    </w:p>
    <w:p w:rsidR="00F4065E" w:rsidRDefault="00F4065E" w:rsidP="007E4E81">
      <w:pPr>
        <w:pStyle w:val="a"/>
        <w:rPr>
          <w:rFonts w:eastAsiaTheme="minorEastAsia" w:cstheme="minorBidi"/>
          <w:sz w:val="22"/>
          <w:szCs w:val="22"/>
          <w:rtl/>
        </w:rPr>
      </w:pPr>
      <w:r>
        <w:rPr>
          <w:rtl/>
        </w:rPr>
        <w:t>דברי הרמב"ן דלדעת הגאונים מבואר דאף כשנאמן במיגו אינו נפטר משבועה</w:t>
      </w:r>
    </w:p>
    <w:p w:rsidR="00F4065E" w:rsidRDefault="00F4065E" w:rsidP="007E4E81">
      <w:pPr>
        <w:pStyle w:val="a"/>
        <w:rPr>
          <w:rFonts w:eastAsiaTheme="minorEastAsia" w:cstheme="minorBidi"/>
          <w:sz w:val="22"/>
          <w:szCs w:val="22"/>
          <w:rtl/>
        </w:rPr>
      </w:pPr>
      <w:r>
        <w:rPr>
          <w:rtl/>
        </w:rPr>
        <w:t>קושית הרמב"ן והראב"ד על הגאונים דהיאך סבר רבא בר שרשום דיפטר משבועה מחמת המיגו</w:t>
      </w:r>
    </w:p>
    <w:p w:rsidR="00F4065E" w:rsidRDefault="00F4065E" w:rsidP="00F4065E">
      <w:pPr>
        <w:pStyle w:val="aff4"/>
        <w:rPr>
          <w:rFonts w:eastAsiaTheme="minorEastAsia" w:cstheme="minorBidi"/>
          <w:i/>
          <w:iCs/>
          <w:noProof/>
          <w:sz w:val="22"/>
          <w:szCs w:val="22"/>
          <w:rtl/>
        </w:rPr>
      </w:pPr>
      <w:r>
        <w:rPr>
          <w:noProof/>
          <w:rtl/>
        </w:rPr>
        <w:t>ביאור הרמב"ן בגאונים דאחר שאכל אינו מוציא ונאמן</w:t>
      </w:r>
    </w:p>
    <w:p w:rsidR="00F4065E" w:rsidRDefault="00F4065E" w:rsidP="007E4E81">
      <w:pPr>
        <w:pStyle w:val="a"/>
        <w:rPr>
          <w:rFonts w:eastAsiaTheme="minorEastAsia" w:cstheme="minorBidi"/>
          <w:sz w:val="22"/>
          <w:szCs w:val="22"/>
          <w:rtl/>
        </w:rPr>
      </w:pPr>
      <w:r>
        <w:rPr>
          <w:rtl/>
        </w:rPr>
        <w:t>תירוץ הרמב"ן דחיוב שבועה במיגו לדעת הגאונים הוא רק כשמוציא דאין לו מיגו על גוף הדבר</w:t>
      </w:r>
    </w:p>
    <w:p w:rsidR="00F4065E" w:rsidRDefault="00F4065E" w:rsidP="007E4E81">
      <w:pPr>
        <w:pStyle w:val="a"/>
        <w:rPr>
          <w:rFonts w:eastAsiaTheme="minorEastAsia" w:cstheme="minorBidi"/>
          <w:sz w:val="22"/>
          <w:szCs w:val="22"/>
          <w:rtl/>
        </w:rPr>
      </w:pPr>
      <w:r>
        <w:rPr>
          <w:rtl/>
        </w:rPr>
        <w:t>ביאור הרמב"ן דלגאונים על הפירות שכבר אכל הוא נאמן במיגו דטוען שאין בידיו כלום</w:t>
      </w:r>
    </w:p>
    <w:p w:rsidR="00F4065E" w:rsidRDefault="00F4065E" w:rsidP="007E4E81">
      <w:pPr>
        <w:pStyle w:val="a"/>
        <w:rPr>
          <w:rFonts w:eastAsiaTheme="minorEastAsia" w:cstheme="minorBidi"/>
          <w:sz w:val="22"/>
          <w:szCs w:val="22"/>
          <w:rtl/>
        </w:rPr>
      </w:pPr>
      <w:r>
        <w:rPr>
          <w:rtl/>
        </w:rPr>
        <w:t>תירוץ הראב"ד דלגאונים סבר רבא בר שרשום אחר שאכל ולא הודה הוא פטור מהשבועה</w:t>
      </w:r>
    </w:p>
    <w:p w:rsidR="00F4065E" w:rsidRDefault="00F4065E" w:rsidP="007E4E81">
      <w:pPr>
        <w:pStyle w:val="a"/>
        <w:rPr>
          <w:rFonts w:eastAsiaTheme="minorEastAsia" w:cstheme="minorBidi"/>
          <w:sz w:val="22"/>
          <w:szCs w:val="22"/>
          <w:rtl/>
        </w:rPr>
      </w:pPr>
      <w:r>
        <w:rPr>
          <w:rtl/>
        </w:rPr>
        <w:t>ביאור הראב"ד בגאונים דא"ל אביי דהם יכולים להגבותו מזיבורית ואינו תפוס באותה הקרקע</w:t>
      </w:r>
    </w:p>
    <w:p w:rsidR="00F4065E" w:rsidRDefault="00F4065E" w:rsidP="007E4E81">
      <w:pPr>
        <w:pStyle w:val="a"/>
        <w:rPr>
          <w:rFonts w:eastAsiaTheme="minorEastAsia" w:cstheme="minorBidi"/>
          <w:sz w:val="22"/>
          <w:szCs w:val="22"/>
          <w:rtl/>
        </w:rPr>
      </w:pPr>
      <w:r>
        <w:rPr>
          <w:rtl/>
        </w:rPr>
        <w:t>תירוץ הי"מ ברשב"א דאינו תובע את גוף הקרקע שתפוס בה ואינו נוטל מקטנים בלא שבועה</w:t>
      </w:r>
    </w:p>
    <w:p w:rsidR="00F4065E" w:rsidRDefault="00F4065E" w:rsidP="00F4065E">
      <w:pPr>
        <w:pStyle w:val="aff4"/>
        <w:rPr>
          <w:rFonts w:eastAsiaTheme="minorEastAsia" w:cstheme="minorBidi"/>
          <w:i/>
          <w:iCs/>
          <w:noProof/>
          <w:sz w:val="22"/>
          <w:szCs w:val="22"/>
          <w:rtl/>
        </w:rPr>
      </w:pPr>
      <w:r>
        <w:rPr>
          <w:noProof/>
          <w:rtl/>
        </w:rPr>
        <w:t>דברי הריטב"א דבתפיסת קרקע מחוסר גוביינא וחייב שבועה</w:t>
      </w:r>
    </w:p>
    <w:p w:rsidR="00F4065E" w:rsidRDefault="00F4065E" w:rsidP="007E4E81">
      <w:pPr>
        <w:pStyle w:val="a"/>
        <w:rPr>
          <w:rFonts w:eastAsiaTheme="minorEastAsia" w:cstheme="minorBidi"/>
          <w:sz w:val="22"/>
          <w:szCs w:val="22"/>
          <w:rtl/>
        </w:rPr>
      </w:pPr>
      <w:r>
        <w:rPr>
          <w:rtl/>
        </w:rPr>
        <w:t>תירוץ הריטב"א דקרקע אינה תפוסה וחייב שבועה דלא תפס מטלטלין ובאכל הוא משיב אבידה</w:t>
      </w:r>
    </w:p>
    <w:p w:rsidR="00F4065E" w:rsidRDefault="00F4065E" w:rsidP="00F4065E">
      <w:pPr>
        <w:pStyle w:val="aff4"/>
        <w:rPr>
          <w:rFonts w:eastAsiaTheme="minorEastAsia" w:cstheme="minorBidi"/>
          <w:i/>
          <w:iCs/>
          <w:noProof/>
          <w:sz w:val="22"/>
          <w:szCs w:val="22"/>
          <w:rtl/>
        </w:rPr>
      </w:pPr>
      <w:r>
        <w:rPr>
          <w:noProof/>
          <w:rtl/>
        </w:rPr>
        <w:t>תירוץ הקצוה"ח דכל שלא תפס מטלטלין חייב שבועה</w:t>
      </w:r>
    </w:p>
    <w:p w:rsidR="00F4065E" w:rsidRDefault="00F4065E" w:rsidP="007E4E81">
      <w:pPr>
        <w:pStyle w:val="a"/>
        <w:rPr>
          <w:rFonts w:eastAsiaTheme="minorEastAsia" w:cstheme="minorBidi"/>
          <w:sz w:val="22"/>
          <w:szCs w:val="22"/>
          <w:rtl/>
        </w:rPr>
      </w:pPr>
      <w:r>
        <w:rPr>
          <w:rtl/>
        </w:rPr>
        <w:t>תירוץ הקצוה"ח דכל שלא תפס מטלטלין אף שיש לו מיגו הוא חייב שבועה</w:t>
      </w:r>
    </w:p>
    <w:p w:rsidR="00F4065E" w:rsidRDefault="00F4065E" w:rsidP="007E4E81">
      <w:pPr>
        <w:pStyle w:val="a"/>
        <w:rPr>
          <w:rFonts w:eastAsiaTheme="minorEastAsia" w:cstheme="minorBidi"/>
          <w:sz w:val="22"/>
          <w:szCs w:val="22"/>
          <w:rtl/>
        </w:rPr>
      </w:pPr>
      <w:r>
        <w:rPr>
          <w:rtl/>
        </w:rPr>
        <w:t>דברי הנתיה"מ דא</w:t>
      </w:r>
      <w:r>
        <w:rPr>
          <w:rFonts w:hint="cs"/>
          <w:rtl/>
        </w:rPr>
        <w:t>ף</w:t>
      </w:r>
      <w:r>
        <w:rPr>
          <w:rtl/>
        </w:rPr>
        <w:t xml:space="preserve"> דמטלטלין לא משתבעבדי מ"מ חל שעבוד על הקרקע ומכחה תפס פירות</w:t>
      </w:r>
    </w:p>
    <w:p w:rsidR="00F4065E" w:rsidRDefault="00F4065E" w:rsidP="00F4065E">
      <w:pPr>
        <w:pStyle w:val="2"/>
        <w:rPr>
          <w:rFonts w:eastAsiaTheme="minorEastAsia" w:cstheme="minorBidi"/>
          <w:i/>
          <w:iCs/>
          <w:sz w:val="22"/>
          <w:szCs w:val="22"/>
          <w:rtl/>
        </w:rPr>
      </w:pPr>
      <w:r>
        <w:rPr>
          <w:rtl/>
        </w:rPr>
        <w:t>ד' רבינו יונה דאחר שאכל פטור משבועה</w:t>
      </w:r>
    </w:p>
    <w:p w:rsidR="00F4065E" w:rsidRDefault="00F4065E" w:rsidP="00F4065E">
      <w:pPr>
        <w:pStyle w:val="aff4"/>
        <w:rPr>
          <w:rFonts w:eastAsiaTheme="minorEastAsia" w:cstheme="minorBidi"/>
          <w:i/>
          <w:iCs/>
          <w:noProof/>
          <w:sz w:val="22"/>
          <w:szCs w:val="22"/>
          <w:rtl/>
        </w:rPr>
      </w:pPr>
      <w:r>
        <w:rPr>
          <w:noProof/>
          <w:rtl/>
        </w:rPr>
        <w:t>דברי רבינו יונה דמשמע דרק לאחר שאכל המיגו פוטר משבועה</w:t>
      </w:r>
    </w:p>
    <w:p w:rsidR="00F4065E" w:rsidRDefault="00F4065E" w:rsidP="007E4E81">
      <w:pPr>
        <w:pStyle w:val="a"/>
        <w:rPr>
          <w:rFonts w:eastAsiaTheme="minorEastAsia" w:cstheme="minorBidi"/>
          <w:sz w:val="22"/>
          <w:szCs w:val="22"/>
          <w:rtl/>
        </w:rPr>
      </w:pPr>
      <w:r>
        <w:rPr>
          <w:rtl/>
        </w:rPr>
        <w:t>דברי רבינו יונה והרא"ש דאף אחר שאכל את הפירות נאמן רק במיגו ובלא המיגו חייב שבועה</w:t>
      </w:r>
    </w:p>
    <w:p w:rsidR="00F4065E" w:rsidRDefault="00F4065E" w:rsidP="007E4E81">
      <w:pPr>
        <w:pStyle w:val="a"/>
        <w:rPr>
          <w:rFonts w:eastAsiaTheme="minorEastAsia" w:cstheme="minorBidi"/>
          <w:sz w:val="22"/>
          <w:szCs w:val="22"/>
          <w:rtl/>
        </w:rPr>
      </w:pPr>
      <w:r>
        <w:rPr>
          <w:rtl/>
        </w:rPr>
        <w:t>דברי רבינו יונה דמוכח דאף מי שנטל כבר מיתומים משמתינן ליה שישבע אך לא יורדים לנכסיו</w:t>
      </w:r>
    </w:p>
    <w:p w:rsidR="00F4065E" w:rsidRDefault="00F4065E" w:rsidP="007E4E81">
      <w:pPr>
        <w:pStyle w:val="a"/>
        <w:rPr>
          <w:rFonts w:eastAsiaTheme="minorEastAsia" w:cstheme="minorBidi"/>
          <w:sz w:val="22"/>
          <w:szCs w:val="22"/>
          <w:rtl/>
        </w:rPr>
      </w:pPr>
      <w:r>
        <w:rPr>
          <w:rtl/>
        </w:rPr>
        <w:t>קושית רבינו יונה דאמאי סבר רבא בר שרשום שיתחייב שבועה והא יש לו שטר ונאמן במיגו</w:t>
      </w:r>
    </w:p>
    <w:p w:rsidR="00F4065E" w:rsidRDefault="00F4065E" w:rsidP="007E4E81">
      <w:pPr>
        <w:pStyle w:val="a"/>
        <w:rPr>
          <w:rFonts w:eastAsiaTheme="minorEastAsia" w:cstheme="minorBidi"/>
          <w:sz w:val="22"/>
          <w:szCs w:val="22"/>
          <w:rtl/>
        </w:rPr>
      </w:pPr>
      <w:r>
        <w:rPr>
          <w:rtl/>
        </w:rPr>
        <w:t>דברי רבינו יונה דמשמע מדברי רבא בר שרשום שרק לאחר אכילת הפירות יהיה נאמן במיגו</w:t>
      </w:r>
    </w:p>
    <w:p w:rsidR="00F4065E" w:rsidRDefault="00F4065E" w:rsidP="00F4065E">
      <w:pPr>
        <w:pStyle w:val="aff4"/>
        <w:rPr>
          <w:rFonts w:eastAsiaTheme="minorEastAsia" w:cstheme="minorBidi"/>
          <w:i/>
          <w:iCs/>
          <w:noProof/>
          <w:sz w:val="22"/>
          <w:szCs w:val="22"/>
          <w:rtl/>
        </w:rPr>
      </w:pPr>
      <w:r>
        <w:rPr>
          <w:noProof/>
          <w:rtl/>
        </w:rPr>
        <w:t>תירוצי רבינו יונה דאף אחר שאכל לא חשיב כמשיב אבידה</w:t>
      </w:r>
    </w:p>
    <w:p w:rsidR="00F4065E" w:rsidRDefault="00F4065E" w:rsidP="007E4E81">
      <w:pPr>
        <w:pStyle w:val="a"/>
        <w:rPr>
          <w:rFonts w:eastAsiaTheme="minorEastAsia" w:cstheme="minorBidi"/>
          <w:sz w:val="22"/>
          <w:szCs w:val="22"/>
          <w:rtl/>
        </w:rPr>
      </w:pPr>
      <w:r>
        <w:rPr>
          <w:rtl/>
        </w:rPr>
        <w:t>התי' הא' ברבינו יונה דאינו נאמן במיגו בלא שבועה אף שיש לו שטר דהוא מיגו להוציא</w:t>
      </w:r>
    </w:p>
    <w:p w:rsidR="00F4065E" w:rsidRDefault="00F4065E" w:rsidP="007E4E81">
      <w:pPr>
        <w:pStyle w:val="a"/>
        <w:rPr>
          <w:rFonts w:eastAsiaTheme="minorEastAsia" w:cstheme="minorBidi"/>
          <w:sz w:val="22"/>
          <w:szCs w:val="22"/>
          <w:rtl/>
        </w:rPr>
      </w:pPr>
      <w:r>
        <w:rPr>
          <w:rtl/>
        </w:rPr>
        <w:t>התי' הב' ברבינו יונה דאף אי מהני מיגו להוציא לגאונים חייב שבועה במיגו אף במשיב אבידה</w:t>
      </w:r>
    </w:p>
    <w:p w:rsidR="00F4065E" w:rsidRDefault="00F4065E" w:rsidP="007E4E81">
      <w:pPr>
        <w:pStyle w:val="a"/>
        <w:rPr>
          <w:rFonts w:eastAsiaTheme="minorEastAsia" w:cstheme="minorBidi"/>
          <w:sz w:val="22"/>
          <w:szCs w:val="22"/>
          <w:rtl/>
        </w:rPr>
      </w:pPr>
      <w:r>
        <w:rPr>
          <w:rtl/>
        </w:rPr>
        <w:t>התי' הג' ברבינו יונה דכשהודה הקרקע בחזקת היתומים ותביעת החוב הוא מיגו מממון לממון</w:t>
      </w:r>
    </w:p>
    <w:p w:rsidR="00F4065E" w:rsidRDefault="00F4065E" w:rsidP="007E4E81">
      <w:pPr>
        <w:pStyle w:val="a"/>
        <w:rPr>
          <w:rFonts w:eastAsiaTheme="minorEastAsia" w:cstheme="minorBidi"/>
          <w:sz w:val="22"/>
          <w:szCs w:val="22"/>
          <w:rtl/>
        </w:rPr>
      </w:pPr>
      <w:r>
        <w:rPr>
          <w:rtl/>
        </w:rPr>
        <w:t>דברי רבינו יונה דבעיזי דאכלי חושלא נאמן לעכבם במשכון והקרקע בחזקת בעליה ואינה משכון</w:t>
      </w:r>
    </w:p>
    <w:p w:rsidR="00F4065E" w:rsidRDefault="00F4065E" w:rsidP="007E4E81">
      <w:pPr>
        <w:pStyle w:val="a"/>
        <w:rPr>
          <w:rFonts w:eastAsiaTheme="minorEastAsia" w:cstheme="minorBidi"/>
          <w:sz w:val="22"/>
          <w:szCs w:val="22"/>
          <w:rtl/>
        </w:rPr>
      </w:pPr>
      <w:r>
        <w:rPr>
          <w:rtl/>
        </w:rPr>
        <w:t>ד' רבינו יונה דאינו פטור משבועה מחמת ג' דברים דהוא להוציא ומממון לממון ושבועת הגאונים</w:t>
      </w:r>
    </w:p>
    <w:p w:rsidR="00F4065E" w:rsidRDefault="00F4065E" w:rsidP="00F4065E">
      <w:pPr>
        <w:pStyle w:val="aff4"/>
        <w:rPr>
          <w:rFonts w:eastAsiaTheme="minorEastAsia" w:cstheme="minorBidi"/>
          <w:i/>
          <w:iCs/>
          <w:noProof/>
          <w:sz w:val="22"/>
          <w:szCs w:val="22"/>
          <w:rtl/>
        </w:rPr>
      </w:pPr>
      <w:r>
        <w:rPr>
          <w:noProof/>
          <w:rtl/>
        </w:rPr>
        <w:t>דברי רבינו יונה דנשבע אף אחר שאכל אך לא הספיק לאכול</w:t>
      </w:r>
    </w:p>
    <w:p w:rsidR="00F4065E" w:rsidRDefault="00F4065E" w:rsidP="007E4E81">
      <w:pPr>
        <w:pStyle w:val="a"/>
        <w:rPr>
          <w:rFonts w:eastAsiaTheme="minorEastAsia" w:cstheme="minorBidi"/>
          <w:sz w:val="22"/>
          <w:szCs w:val="22"/>
          <w:rtl/>
        </w:rPr>
      </w:pPr>
      <w:r>
        <w:rPr>
          <w:rtl/>
        </w:rPr>
        <w:t>דברי רבינו יונה דמשמע דרבא ב"ש עוד לא הספיק לאכול והחזיק בחרישה ובאכל נפטר בשבועה</w:t>
      </w:r>
    </w:p>
    <w:p w:rsidR="00F4065E" w:rsidRDefault="00F4065E" w:rsidP="00F4065E">
      <w:pPr>
        <w:pStyle w:val="aff4"/>
        <w:rPr>
          <w:rFonts w:eastAsiaTheme="minorEastAsia" w:cstheme="minorBidi"/>
          <w:i/>
          <w:iCs/>
          <w:noProof/>
          <w:sz w:val="22"/>
          <w:szCs w:val="22"/>
          <w:rtl/>
        </w:rPr>
      </w:pPr>
      <w:r>
        <w:rPr>
          <w:noProof/>
          <w:rtl/>
        </w:rPr>
        <w:t>פלוגתת הטור והש"ך אי מהני מיגו מממון לממון במטלטלין</w:t>
      </w:r>
    </w:p>
    <w:p w:rsidR="00F4065E" w:rsidRDefault="00F4065E" w:rsidP="007E4E81">
      <w:pPr>
        <w:pStyle w:val="a"/>
        <w:rPr>
          <w:rFonts w:eastAsiaTheme="minorEastAsia" w:cstheme="minorBidi"/>
          <w:sz w:val="22"/>
          <w:szCs w:val="22"/>
          <w:rtl/>
        </w:rPr>
      </w:pPr>
      <w:r>
        <w:rPr>
          <w:rtl/>
        </w:rPr>
        <w:t>דברי הטור בשם רבינו יונה דרק אכל שאכל את הפירות נאמן במיגו דמיגו מממון לממון ל"מ</w:t>
      </w:r>
    </w:p>
    <w:p w:rsidR="00F4065E" w:rsidRDefault="00F4065E" w:rsidP="007E4E81">
      <w:pPr>
        <w:pStyle w:val="a"/>
        <w:rPr>
          <w:rFonts w:eastAsiaTheme="minorEastAsia" w:cstheme="minorBidi"/>
          <w:sz w:val="22"/>
          <w:szCs w:val="22"/>
          <w:rtl/>
        </w:rPr>
      </w:pPr>
      <w:r>
        <w:rPr>
          <w:rtl/>
        </w:rPr>
        <w:t>דברי הש"ך דמשמע בטור דבמטלטלין נאמן אף כשלא אכל ודחה הש"ך דאין חילוק בזה</w:t>
      </w:r>
    </w:p>
    <w:p w:rsidR="00F4065E" w:rsidRDefault="00F4065E" w:rsidP="00F4065E">
      <w:pPr>
        <w:pStyle w:val="2"/>
        <w:rPr>
          <w:rFonts w:eastAsiaTheme="minorEastAsia" w:cstheme="minorBidi"/>
          <w:i/>
          <w:iCs/>
          <w:sz w:val="22"/>
          <w:szCs w:val="22"/>
          <w:rtl/>
        </w:rPr>
      </w:pPr>
      <w:r>
        <w:rPr>
          <w:rtl/>
        </w:rPr>
        <w:t>פלוג' הראשונים בטען מיגו לפני שאכל</w:t>
      </w:r>
    </w:p>
    <w:p w:rsidR="00F4065E" w:rsidRDefault="00F4065E" w:rsidP="00F4065E">
      <w:pPr>
        <w:pStyle w:val="aff4"/>
        <w:rPr>
          <w:rFonts w:eastAsiaTheme="minorEastAsia" w:cstheme="minorBidi"/>
          <w:i/>
          <w:iCs/>
          <w:noProof/>
          <w:sz w:val="22"/>
          <w:szCs w:val="22"/>
          <w:rtl/>
        </w:rPr>
      </w:pPr>
      <w:r>
        <w:rPr>
          <w:noProof/>
          <w:rtl/>
        </w:rPr>
        <w:t>דברי המהרי"ט והש"ך בפלוג' הראשונים ורבינו יונה לפני שאכל</w:t>
      </w:r>
    </w:p>
    <w:p w:rsidR="00F4065E" w:rsidRDefault="00F4065E" w:rsidP="007E4E81">
      <w:pPr>
        <w:pStyle w:val="a"/>
        <w:rPr>
          <w:rFonts w:eastAsiaTheme="minorEastAsia" w:cstheme="minorBidi"/>
          <w:sz w:val="22"/>
          <w:szCs w:val="22"/>
          <w:rtl/>
        </w:rPr>
      </w:pPr>
      <w:r>
        <w:rPr>
          <w:rtl/>
        </w:rPr>
        <w:t>ביאור המהרי"ט ברבינו יונה דאחר שאכל את הפירות יצא הקול דמיגו מהני רק אחר שאכל</w:t>
      </w:r>
    </w:p>
    <w:p w:rsidR="00F4065E" w:rsidRDefault="00F4065E" w:rsidP="007E4E81">
      <w:pPr>
        <w:pStyle w:val="a"/>
        <w:rPr>
          <w:rFonts w:eastAsiaTheme="minorEastAsia" w:cstheme="minorBidi"/>
          <w:sz w:val="22"/>
          <w:szCs w:val="22"/>
          <w:rtl/>
        </w:rPr>
      </w:pPr>
      <w:r>
        <w:rPr>
          <w:rtl/>
        </w:rPr>
        <w:t>דברי המהרי"ט דבגמ' משמע כדברי הרשב"ם דאיירי שעדיין לא אכל את הפירות</w:t>
      </w:r>
    </w:p>
    <w:p w:rsidR="00F4065E" w:rsidRDefault="00F4065E" w:rsidP="007E4E81">
      <w:pPr>
        <w:pStyle w:val="a"/>
        <w:rPr>
          <w:rFonts w:eastAsiaTheme="minorEastAsia" w:cstheme="minorBidi"/>
          <w:sz w:val="22"/>
          <w:szCs w:val="22"/>
          <w:rtl/>
        </w:rPr>
      </w:pPr>
      <w:r>
        <w:rPr>
          <w:rtl/>
        </w:rPr>
        <w:t>דברי הש"ך דברשב"ם מוכח דלא כרבינו יונה דהא דאינו נאמן אינו כיון דהוא מיגו מממון לממון</w:t>
      </w:r>
    </w:p>
    <w:p w:rsidR="00F4065E" w:rsidRDefault="00F4065E" w:rsidP="007E4E81">
      <w:pPr>
        <w:pStyle w:val="a"/>
        <w:rPr>
          <w:rFonts w:eastAsiaTheme="minorEastAsia" w:cstheme="minorBidi"/>
          <w:sz w:val="22"/>
          <w:szCs w:val="22"/>
          <w:rtl/>
        </w:rPr>
      </w:pPr>
      <w:r>
        <w:rPr>
          <w:rtl/>
        </w:rPr>
        <w:t>ביאור הסמ"ע ברמב"ם ובשו"ע דבמיגו נאמן רק על הפירות שאכל ואינו גובה את מה שלא אכל</w:t>
      </w:r>
    </w:p>
    <w:p w:rsidR="00F4065E" w:rsidRDefault="00F4065E" w:rsidP="007E4E81">
      <w:pPr>
        <w:pStyle w:val="a"/>
        <w:rPr>
          <w:rFonts w:eastAsiaTheme="minorEastAsia" w:cstheme="minorBidi"/>
          <w:sz w:val="22"/>
          <w:szCs w:val="22"/>
          <w:rtl/>
        </w:rPr>
      </w:pPr>
      <w:r>
        <w:rPr>
          <w:rtl/>
        </w:rPr>
        <w:t>דברי המהרי"ט והש"ך דברמב"ם ובראב"ד מוכח דאף לפני שאכל נאמן ואינו מיגו מממון לממון</w:t>
      </w:r>
    </w:p>
    <w:p w:rsidR="00F4065E" w:rsidRDefault="00F4065E" w:rsidP="007E4E81">
      <w:pPr>
        <w:pStyle w:val="a"/>
        <w:rPr>
          <w:rFonts w:eastAsiaTheme="minorEastAsia" w:cstheme="minorBidi"/>
          <w:sz w:val="22"/>
          <w:szCs w:val="22"/>
          <w:rtl/>
        </w:rPr>
      </w:pPr>
      <w:r>
        <w:rPr>
          <w:rtl/>
        </w:rPr>
        <w:t>דברי הש"ך דבר"י מגאש וברמב"ן וברא"ש מוכח דאף שלא אכל את הפירות נאמן במיגו</w:t>
      </w:r>
    </w:p>
    <w:p w:rsidR="00F4065E" w:rsidRDefault="00F4065E" w:rsidP="007E4E81">
      <w:pPr>
        <w:pStyle w:val="a"/>
        <w:rPr>
          <w:rFonts w:eastAsiaTheme="minorEastAsia" w:cstheme="minorBidi"/>
          <w:sz w:val="22"/>
          <w:szCs w:val="22"/>
          <w:rtl/>
        </w:rPr>
      </w:pPr>
      <w:r>
        <w:rPr>
          <w:rtl/>
        </w:rPr>
        <w:t>ביאור הש"ך בר"י מגאש דכוונתו הייתה להחזיר את הקרקע ואח"כ לתובעם לגבות חובו</w:t>
      </w:r>
    </w:p>
    <w:p w:rsidR="00F4065E" w:rsidRDefault="00F4065E" w:rsidP="007E4E81">
      <w:pPr>
        <w:pStyle w:val="a"/>
        <w:rPr>
          <w:rFonts w:eastAsiaTheme="minorEastAsia" w:cstheme="minorBidi"/>
          <w:sz w:val="22"/>
          <w:szCs w:val="22"/>
          <w:rtl/>
        </w:rPr>
      </w:pPr>
      <w:r>
        <w:rPr>
          <w:rtl/>
        </w:rPr>
        <w:t>דברי הש"ך דמשמע בגמ' כר"י מגאש והרמב"ם דהנדון הוא על הפירות שעדיין לא אכל</w:t>
      </w:r>
    </w:p>
    <w:p w:rsidR="00F4065E" w:rsidRDefault="00F4065E" w:rsidP="007E4E81">
      <w:pPr>
        <w:pStyle w:val="a"/>
        <w:rPr>
          <w:rFonts w:eastAsiaTheme="minorEastAsia" w:cstheme="minorBidi"/>
          <w:sz w:val="22"/>
          <w:szCs w:val="22"/>
          <w:rtl/>
        </w:rPr>
      </w:pPr>
      <w:r>
        <w:rPr>
          <w:rtl/>
        </w:rPr>
        <w:t>דברי הב"י דאפש"ל דרבינו יונה ס"ל כראב"ד ודחית המהרי"ט והגידו"ת דלראב"ד נאמן בשבועה</w:t>
      </w:r>
    </w:p>
    <w:p w:rsidR="00F4065E" w:rsidRDefault="00F4065E" w:rsidP="00F4065E">
      <w:pPr>
        <w:pStyle w:val="2"/>
        <w:rPr>
          <w:rFonts w:eastAsiaTheme="minorEastAsia" w:cstheme="minorBidi"/>
          <w:i/>
          <w:iCs/>
          <w:sz w:val="22"/>
          <w:szCs w:val="22"/>
          <w:rtl/>
        </w:rPr>
      </w:pPr>
      <w:r>
        <w:rPr>
          <w:rtl/>
        </w:rPr>
        <w:t>דעות הראשונים אי חייב שבועת היסת</w:t>
      </w:r>
    </w:p>
    <w:p w:rsidR="00F4065E" w:rsidRDefault="00F4065E" w:rsidP="00F4065E">
      <w:pPr>
        <w:pStyle w:val="aff4"/>
        <w:rPr>
          <w:rFonts w:eastAsiaTheme="minorEastAsia" w:cstheme="minorBidi"/>
          <w:i/>
          <w:iCs/>
          <w:noProof/>
          <w:sz w:val="22"/>
          <w:szCs w:val="22"/>
          <w:rtl/>
        </w:rPr>
      </w:pPr>
      <w:r>
        <w:rPr>
          <w:noProof/>
          <w:rtl/>
        </w:rPr>
        <w:t>ביאורי הראשונים אמאי רבא ב"ש לא חייב שבועת היסת</w:t>
      </w:r>
    </w:p>
    <w:p w:rsidR="00F4065E" w:rsidRDefault="00F4065E" w:rsidP="007E4E81">
      <w:pPr>
        <w:pStyle w:val="a"/>
        <w:rPr>
          <w:rFonts w:eastAsiaTheme="minorEastAsia" w:cstheme="minorBidi"/>
          <w:sz w:val="22"/>
          <w:szCs w:val="22"/>
          <w:rtl/>
        </w:rPr>
      </w:pPr>
      <w:r>
        <w:rPr>
          <w:rtl/>
        </w:rPr>
        <w:t>קושית התוס' והראשונים דאף בטוען לקוחה נשבע היסת דבדרבנן נשבעין על הקרקעות</w:t>
      </w:r>
    </w:p>
    <w:p w:rsidR="00F4065E" w:rsidRDefault="00F4065E" w:rsidP="007E4E81">
      <w:pPr>
        <w:pStyle w:val="a"/>
        <w:rPr>
          <w:rFonts w:eastAsiaTheme="minorEastAsia" w:cstheme="minorBidi"/>
          <w:sz w:val="22"/>
          <w:szCs w:val="22"/>
          <w:rtl/>
        </w:rPr>
      </w:pPr>
      <w:r>
        <w:rPr>
          <w:rtl/>
        </w:rPr>
        <w:t>דברי הרא"ש דעל חזקת קרקעות יש שבועת היסת כמו בחזקת מטלטלין</w:t>
      </w:r>
    </w:p>
    <w:p w:rsidR="00F4065E" w:rsidRDefault="00F4065E" w:rsidP="007E4E81">
      <w:pPr>
        <w:pStyle w:val="a"/>
        <w:rPr>
          <w:rFonts w:eastAsiaTheme="minorEastAsia" w:cstheme="minorBidi"/>
          <w:sz w:val="22"/>
          <w:szCs w:val="22"/>
          <w:rtl/>
        </w:rPr>
      </w:pPr>
      <w:r>
        <w:rPr>
          <w:rtl/>
        </w:rPr>
        <w:t>תירוץ התוס' והראשונים דבטענת שמא אין שבועת היסת והכא היתומים טוענים שמא</w:t>
      </w:r>
    </w:p>
    <w:p w:rsidR="00F4065E" w:rsidRDefault="00F4065E" w:rsidP="007E4E81">
      <w:pPr>
        <w:pStyle w:val="a"/>
        <w:rPr>
          <w:rFonts w:eastAsiaTheme="minorEastAsia" w:cstheme="minorBidi"/>
          <w:sz w:val="22"/>
          <w:szCs w:val="22"/>
          <w:rtl/>
        </w:rPr>
      </w:pPr>
      <w:r>
        <w:rPr>
          <w:rtl/>
        </w:rPr>
        <w:t>דברי הרמב"ן והרשב"א דאף בטענת ברי אינו נשבע היסת כיון שיש לו חזקת ג"ש דהאמת כמותו</w:t>
      </w:r>
    </w:p>
    <w:p w:rsidR="00F4065E" w:rsidRDefault="00F4065E" w:rsidP="007E4E81">
      <w:pPr>
        <w:pStyle w:val="a"/>
        <w:rPr>
          <w:rFonts w:eastAsiaTheme="minorEastAsia" w:cstheme="minorBidi"/>
          <w:sz w:val="22"/>
          <w:szCs w:val="22"/>
          <w:rtl/>
        </w:rPr>
      </w:pPr>
      <w:r>
        <w:rPr>
          <w:rtl/>
        </w:rPr>
        <w:t>ביאור הנתיה"מ ברשב"א דבחזקת קרקעות שיש ראיה מדלא מיחה לא נתקנה שבועת היסת</w:t>
      </w:r>
    </w:p>
    <w:p w:rsidR="00F4065E" w:rsidRDefault="00F4065E" w:rsidP="007E4E81">
      <w:pPr>
        <w:pStyle w:val="a"/>
        <w:rPr>
          <w:rFonts w:eastAsiaTheme="minorEastAsia" w:cstheme="minorBidi"/>
          <w:sz w:val="22"/>
          <w:szCs w:val="22"/>
          <w:rtl/>
        </w:rPr>
      </w:pPr>
      <w:r>
        <w:rPr>
          <w:rtl/>
        </w:rPr>
        <w:t>דברי רבינו יונה דכיון שיש לרבא בר שרשום חזקה והם טוענים שמא אינו חייב שבועת היסת</w:t>
      </w:r>
    </w:p>
    <w:p w:rsidR="00F4065E" w:rsidRDefault="00F4065E" w:rsidP="00F4065E">
      <w:pPr>
        <w:pStyle w:val="aff4"/>
        <w:rPr>
          <w:rFonts w:eastAsiaTheme="minorEastAsia" w:cstheme="minorBidi"/>
          <w:i/>
          <w:iCs/>
          <w:noProof/>
          <w:sz w:val="22"/>
          <w:szCs w:val="22"/>
          <w:rtl/>
        </w:rPr>
      </w:pPr>
      <w:r>
        <w:rPr>
          <w:noProof/>
          <w:rtl/>
        </w:rPr>
        <w:t>דברי הרא"ש בתי' הב' וספר התרומות דחייב שבועת היסת</w:t>
      </w:r>
    </w:p>
    <w:p w:rsidR="00F4065E" w:rsidRDefault="00F4065E" w:rsidP="007E4E81">
      <w:pPr>
        <w:pStyle w:val="a"/>
        <w:rPr>
          <w:rFonts w:eastAsiaTheme="minorEastAsia" w:cstheme="minorBidi"/>
          <w:sz w:val="22"/>
          <w:szCs w:val="22"/>
          <w:rtl/>
        </w:rPr>
      </w:pPr>
      <w:r>
        <w:rPr>
          <w:rtl/>
        </w:rPr>
        <w:t>דברי הרא"ש בתי' הב' דרבא בר שרשום הסכים לישבע היסת ולא להמתין שג"כ יתחייב שבועה</w:t>
      </w:r>
    </w:p>
    <w:p w:rsidR="00F4065E" w:rsidRDefault="00F4065E" w:rsidP="007E4E81">
      <w:pPr>
        <w:pStyle w:val="a"/>
        <w:rPr>
          <w:rFonts w:eastAsiaTheme="minorEastAsia" w:cstheme="minorBidi"/>
          <w:sz w:val="22"/>
          <w:szCs w:val="22"/>
          <w:rtl/>
        </w:rPr>
      </w:pPr>
      <w:r>
        <w:rPr>
          <w:rtl/>
        </w:rPr>
        <w:t>קושית הרא"ש דאי אינו נשבע היסת כיון דטוענים שמא אמאי לא משביעין אותו מדין טענינן</w:t>
      </w:r>
    </w:p>
    <w:p w:rsidR="00F4065E" w:rsidRDefault="00F4065E" w:rsidP="007E4E81">
      <w:pPr>
        <w:pStyle w:val="a"/>
        <w:rPr>
          <w:rFonts w:eastAsiaTheme="minorEastAsia" w:cstheme="minorBidi"/>
          <w:sz w:val="22"/>
          <w:szCs w:val="22"/>
          <w:rtl/>
        </w:rPr>
      </w:pPr>
      <w:r>
        <w:rPr>
          <w:rtl/>
        </w:rPr>
        <w:t>דברי הרא"ש דמשמע מדברי רבא ב"ש דאף אחר שאכל את הפירות יהיה נאמן רק במיגו</w:t>
      </w:r>
    </w:p>
    <w:p w:rsidR="00F4065E" w:rsidRDefault="00F4065E" w:rsidP="007E4E81">
      <w:pPr>
        <w:pStyle w:val="a"/>
        <w:rPr>
          <w:rFonts w:eastAsiaTheme="minorEastAsia" w:cstheme="minorBidi"/>
          <w:sz w:val="22"/>
          <w:szCs w:val="22"/>
          <w:rtl/>
        </w:rPr>
      </w:pPr>
      <w:r>
        <w:rPr>
          <w:rtl/>
        </w:rPr>
        <w:t>דברי סה"ת דע"י הקול טענת היתומים חשיבא כברי ולא רצה רבא ב"ש לישבע שבועת המשנה</w:t>
      </w:r>
    </w:p>
    <w:p w:rsidR="00F4065E" w:rsidRDefault="00F4065E" w:rsidP="00F4065E">
      <w:pPr>
        <w:pStyle w:val="aff4"/>
        <w:rPr>
          <w:rFonts w:eastAsiaTheme="minorEastAsia" w:cstheme="minorBidi"/>
          <w:i/>
          <w:iCs/>
          <w:noProof/>
          <w:sz w:val="22"/>
          <w:szCs w:val="22"/>
          <w:rtl/>
        </w:rPr>
      </w:pPr>
      <w:r>
        <w:rPr>
          <w:noProof/>
          <w:rtl/>
        </w:rPr>
        <w:t>קושית התומים האיך מהני המיגו לפוטרו משבועת היסת</w:t>
      </w:r>
    </w:p>
    <w:p w:rsidR="00F4065E" w:rsidRDefault="00F4065E" w:rsidP="007E4E81">
      <w:pPr>
        <w:pStyle w:val="a"/>
        <w:rPr>
          <w:rFonts w:eastAsiaTheme="minorEastAsia" w:cstheme="minorBidi"/>
          <w:sz w:val="22"/>
          <w:szCs w:val="22"/>
          <w:rtl/>
        </w:rPr>
      </w:pPr>
      <w:r>
        <w:rPr>
          <w:rtl/>
        </w:rPr>
        <w:t>קושית התומים דאף דבשמא אין חיוב היסת מ"מ קיי"ל דמיגו ל"מ לאפטורי משבועה</w:t>
      </w:r>
    </w:p>
    <w:p w:rsidR="00F4065E" w:rsidRDefault="00F4065E" w:rsidP="007E4E81">
      <w:pPr>
        <w:pStyle w:val="a"/>
        <w:rPr>
          <w:rFonts w:eastAsiaTheme="minorEastAsia" w:cstheme="minorBidi"/>
          <w:sz w:val="22"/>
          <w:szCs w:val="22"/>
          <w:rtl/>
        </w:rPr>
      </w:pPr>
      <w:r>
        <w:rPr>
          <w:rtl/>
        </w:rPr>
        <w:t>תירוץ השער משפט דבתובע בשטר נשבע דחיישינן לפרעון אבל בנאמן במיגו אין חיוב שבועה</w:t>
      </w:r>
    </w:p>
    <w:p w:rsidR="00F4065E" w:rsidRDefault="00F4065E" w:rsidP="00F4065E">
      <w:pPr>
        <w:pStyle w:val="2"/>
        <w:rPr>
          <w:rFonts w:eastAsiaTheme="minorEastAsia" w:cstheme="minorBidi"/>
          <w:i/>
          <w:iCs/>
          <w:sz w:val="22"/>
          <w:szCs w:val="22"/>
          <w:rtl/>
        </w:rPr>
      </w:pPr>
      <w:r>
        <w:rPr>
          <w:rtl/>
        </w:rPr>
        <w:t>מהו הקול שיצא על רבא בר שרשום</w:t>
      </w:r>
    </w:p>
    <w:p w:rsidR="00F4065E" w:rsidRDefault="00F4065E" w:rsidP="00F4065E">
      <w:pPr>
        <w:pStyle w:val="aff4"/>
        <w:rPr>
          <w:rFonts w:eastAsiaTheme="minorEastAsia" w:cstheme="minorBidi"/>
          <w:i/>
          <w:iCs/>
          <w:noProof/>
          <w:sz w:val="22"/>
          <w:szCs w:val="22"/>
          <w:rtl/>
        </w:rPr>
      </w:pPr>
      <w:r>
        <w:rPr>
          <w:noProof/>
          <w:rtl/>
        </w:rPr>
        <w:t>דברי הרשב"ם והרא"ש דהקול אמת שנגמרו שני המשכנתא</w:t>
      </w:r>
    </w:p>
    <w:p w:rsidR="00F4065E" w:rsidRDefault="00F4065E" w:rsidP="007E4E81">
      <w:pPr>
        <w:pStyle w:val="a"/>
        <w:rPr>
          <w:rFonts w:eastAsiaTheme="minorEastAsia" w:cstheme="minorBidi"/>
          <w:sz w:val="22"/>
          <w:szCs w:val="22"/>
          <w:rtl/>
        </w:rPr>
      </w:pPr>
      <w:r>
        <w:rPr>
          <w:rtl/>
        </w:rPr>
        <w:t>דברי הרשב"ם דיצא קול אמת דנגמרה המשכנתא ועכשיו היא שלהם ואין מחאה גדולה מזו</w:t>
      </w:r>
    </w:p>
    <w:p w:rsidR="00F4065E" w:rsidRDefault="00F4065E" w:rsidP="007E4E81">
      <w:pPr>
        <w:pStyle w:val="a"/>
        <w:rPr>
          <w:rFonts w:eastAsiaTheme="minorEastAsia" w:cstheme="minorBidi"/>
          <w:sz w:val="22"/>
          <w:szCs w:val="22"/>
          <w:rtl/>
        </w:rPr>
      </w:pPr>
      <w:r>
        <w:rPr>
          <w:rtl/>
        </w:rPr>
        <w:t>דברי הריטב"א דהקול שיצא הוא קול הברה בעלמא</w:t>
      </w:r>
    </w:p>
    <w:p w:rsidR="00F4065E" w:rsidRDefault="00F4065E" w:rsidP="00F4065E">
      <w:pPr>
        <w:pStyle w:val="aff4"/>
        <w:rPr>
          <w:rFonts w:eastAsiaTheme="minorEastAsia" w:cstheme="minorBidi"/>
          <w:i/>
          <w:iCs/>
          <w:noProof/>
          <w:sz w:val="22"/>
          <w:szCs w:val="22"/>
          <w:rtl/>
        </w:rPr>
      </w:pPr>
      <w:r>
        <w:rPr>
          <w:noProof/>
          <w:rtl/>
        </w:rPr>
        <w:t>דברי התוס' דהקול שעכשיו היא שלהם ולא שאביהם מר"ק</w:t>
      </w:r>
    </w:p>
    <w:p w:rsidR="00F4065E" w:rsidRDefault="00F4065E" w:rsidP="007E4E81">
      <w:pPr>
        <w:pStyle w:val="a"/>
        <w:rPr>
          <w:rFonts w:eastAsiaTheme="minorEastAsia" w:cstheme="minorBidi"/>
          <w:sz w:val="22"/>
          <w:szCs w:val="22"/>
          <w:rtl/>
        </w:rPr>
      </w:pPr>
      <w:r>
        <w:rPr>
          <w:rtl/>
        </w:rPr>
        <w:t>דברי התוס' דהקול שהקרקע של היתומים ולא דהקול שהייתה של האב דא"כ נאמן בלקוחה</w:t>
      </w:r>
    </w:p>
    <w:p w:rsidR="00F4065E" w:rsidRDefault="00F4065E" w:rsidP="00F4065E">
      <w:pPr>
        <w:pStyle w:val="aff4"/>
        <w:rPr>
          <w:rFonts w:eastAsiaTheme="minorEastAsia" w:cstheme="minorBidi"/>
          <w:i/>
          <w:iCs/>
          <w:noProof/>
          <w:sz w:val="22"/>
          <w:szCs w:val="22"/>
          <w:rtl/>
        </w:rPr>
      </w:pPr>
      <w:r>
        <w:rPr>
          <w:noProof/>
          <w:rtl/>
        </w:rPr>
        <w:t>דעת ר"ח דהקול חשיב כמחאה בחזקתו ואינו נאמן דלקוחה בידו</w:t>
      </w:r>
    </w:p>
    <w:p w:rsidR="00F4065E" w:rsidRDefault="00F4065E" w:rsidP="007E4E81">
      <w:pPr>
        <w:pStyle w:val="a"/>
        <w:rPr>
          <w:rFonts w:eastAsiaTheme="minorEastAsia" w:cstheme="minorBidi"/>
          <w:sz w:val="22"/>
          <w:szCs w:val="22"/>
          <w:rtl/>
        </w:rPr>
      </w:pPr>
      <w:r>
        <w:rPr>
          <w:rtl/>
        </w:rPr>
        <w:t>דברי ר"ח דהקול הוא שהקרקע אינה שלו והוא כמחאה בחזקה דכל מחאה מהני ע"י קול</w:t>
      </w:r>
    </w:p>
    <w:p w:rsidR="00F4065E" w:rsidRDefault="00F4065E" w:rsidP="007E4E81">
      <w:pPr>
        <w:pStyle w:val="a"/>
        <w:rPr>
          <w:rFonts w:eastAsiaTheme="minorEastAsia" w:cstheme="minorBidi"/>
          <w:sz w:val="22"/>
          <w:szCs w:val="22"/>
          <w:rtl/>
        </w:rPr>
      </w:pPr>
      <w:r>
        <w:rPr>
          <w:rtl/>
        </w:rPr>
        <w:lastRenderedPageBreak/>
        <w:t>דברי הרמב"ן דלר"ח הוחזק הקול בב"ד ודברי הרשב"א דהקול בתוך ג"ש אך לא הוחזק בב"ד</w:t>
      </w:r>
    </w:p>
    <w:p w:rsidR="00F4065E" w:rsidRDefault="00F4065E" w:rsidP="007E4E81">
      <w:pPr>
        <w:pStyle w:val="a"/>
        <w:rPr>
          <w:rFonts w:eastAsiaTheme="minorEastAsia" w:cstheme="minorBidi"/>
          <w:sz w:val="22"/>
          <w:szCs w:val="22"/>
          <w:rtl/>
        </w:rPr>
      </w:pPr>
      <w:r>
        <w:rPr>
          <w:rtl/>
        </w:rPr>
        <w:t>ביאורי רבינו יונה בדעת ר"ח דאמר אביי דתחילת הקול ע"י המשכנתא וסופו שהיא של היתומים</w:t>
      </w:r>
    </w:p>
    <w:p w:rsidR="00F4065E" w:rsidRPr="00CC5F38" w:rsidRDefault="00F4065E" w:rsidP="00F4065E">
      <w:pPr>
        <w:pStyle w:val="aff4"/>
        <w:rPr>
          <w:rFonts w:eastAsiaTheme="minorEastAsia" w:cstheme="minorBidi"/>
          <w:sz w:val="22"/>
          <w:szCs w:val="22"/>
        </w:rPr>
      </w:pPr>
      <w:r w:rsidRPr="00CC5F38">
        <w:rPr>
          <w:rtl/>
        </w:rPr>
        <w:t>ד' הרמב"ן דע"י הקול ידועה לכל שהיא שלהם וצריך עידי חזקה</w:t>
      </w:r>
    </w:p>
    <w:p w:rsidR="00F4065E" w:rsidRDefault="00F4065E" w:rsidP="007E4E81">
      <w:pPr>
        <w:pStyle w:val="a"/>
        <w:rPr>
          <w:rFonts w:eastAsiaTheme="minorEastAsia" w:cstheme="minorBidi"/>
          <w:sz w:val="22"/>
          <w:szCs w:val="22"/>
          <w:rtl/>
        </w:rPr>
      </w:pPr>
      <w:r>
        <w:rPr>
          <w:rtl/>
        </w:rPr>
        <w:t>דברי הרמב"ן דהקול שהקרקע ידועה לאבי היתומים ואינו נאמן להביא עידי חזקה בפני קטנים</w:t>
      </w:r>
    </w:p>
    <w:p w:rsidR="00F4065E" w:rsidRDefault="00F4065E" w:rsidP="00F4065E">
      <w:pPr>
        <w:pStyle w:val="aff4"/>
        <w:rPr>
          <w:rFonts w:eastAsiaTheme="minorEastAsia" w:cstheme="minorBidi"/>
          <w:i/>
          <w:iCs/>
          <w:noProof/>
          <w:sz w:val="22"/>
          <w:szCs w:val="22"/>
          <w:rtl/>
        </w:rPr>
      </w:pPr>
      <w:r>
        <w:rPr>
          <w:noProof/>
          <w:rtl/>
        </w:rPr>
        <w:t>דעת הי"מ דהקול הוא שירד במשכנתא ואינו נאמן דלקוחה בידו</w:t>
      </w:r>
    </w:p>
    <w:p w:rsidR="00F4065E" w:rsidRDefault="00F4065E" w:rsidP="007E4E81">
      <w:pPr>
        <w:pStyle w:val="a"/>
        <w:rPr>
          <w:rFonts w:eastAsiaTheme="minorEastAsia" w:cstheme="minorBidi"/>
          <w:sz w:val="22"/>
          <w:szCs w:val="22"/>
          <w:rtl/>
        </w:rPr>
      </w:pPr>
      <w:r>
        <w:rPr>
          <w:rtl/>
        </w:rPr>
        <w:t>ביאור הי"מ ברמב"ן דיש עדים שירד במשכנתא וע"י העדות הזו יצא קול שאינה שלו</w:t>
      </w:r>
    </w:p>
    <w:p w:rsidR="00F4065E" w:rsidRDefault="00F4065E" w:rsidP="007E4E81">
      <w:pPr>
        <w:pStyle w:val="a"/>
        <w:rPr>
          <w:rFonts w:eastAsiaTheme="minorEastAsia" w:cstheme="minorBidi"/>
          <w:sz w:val="22"/>
          <w:szCs w:val="22"/>
          <w:rtl/>
        </w:rPr>
      </w:pPr>
      <w:r>
        <w:rPr>
          <w:rtl/>
        </w:rPr>
        <w:t>ביאור הי"מ בריטב"א דכיון שהקול מפורסם חשיב שיש שטר שירד במשכנתא והוא יורד ברשות</w:t>
      </w:r>
    </w:p>
    <w:p w:rsidR="00F4065E" w:rsidRDefault="00F4065E" w:rsidP="00F4065E">
      <w:pPr>
        <w:pStyle w:val="aff4"/>
        <w:rPr>
          <w:rFonts w:eastAsiaTheme="minorEastAsia" w:cstheme="minorBidi"/>
          <w:i/>
          <w:iCs/>
          <w:noProof/>
          <w:sz w:val="22"/>
          <w:szCs w:val="22"/>
          <w:rtl/>
        </w:rPr>
      </w:pPr>
      <w:r>
        <w:rPr>
          <w:noProof/>
          <w:rtl/>
        </w:rPr>
        <w:t>בי' הגר"א בר"י מגאש וברמב"ם דע"י הקול יש חזקת מר"ק</w:t>
      </w:r>
    </w:p>
    <w:p w:rsidR="00F4065E" w:rsidRDefault="00F4065E" w:rsidP="007E4E81">
      <w:pPr>
        <w:pStyle w:val="a"/>
        <w:rPr>
          <w:rFonts w:eastAsiaTheme="minorEastAsia" w:cstheme="minorBidi"/>
          <w:sz w:val="22"/>
          <w:szCs w:val="22"/>
          <w:rtl/>
        </w:rPr>
      </w:pPr>
      <w:r>
        <w:rPr>
          <w:rtl/>
        </w:rPr>
        <w:t>דעת הר"י מגאש והרמב"ם דהחזיק ג"ש לאח"מ האב והקול הוא שהייתה של האב ול"מ החזקה</w:t>
      </w:r>
    </w:p>
    <w:p w:rsidR="00F4065E" w:rsidRDefault="00F4065E" w:rsidP="00F4065E">
      <w:pPr>
        <w:pStyle w:val="aff4"/>
        <w:rPr>
          <w:rFonts w:eastAsiaTheme="minorEastAsia" w:cstheme="minorBidi"/>
          <w:i/>
          <w:iCs/>
          <w:noProof/>
          <w:sz w:val="22"/>
          <w:szCs w:val="22"/>
          <w:rtl/>
        </w:rPr>
      </w:pPr>
      <w:r>
        <w:rPr>
          <w:noProof/>
          <w:rtl/>
        </w:rPr>
        <w:t>בי' רבינו יונה ברה"ג דבחייו יצא קול דמשכנתא ועכשיו שלהם</w:t>
      </w:r>
    </w:p>
    <w:p w:rsidR="00F4065E" w:rsidRDefault="00F4065E" w:rsidP="007E4E81">
      <w:pPr>
        <w:pStyle w:val="a"/>
        <w:rPr>
          <w:rFonts w:eastAsiaTheme="minorEastAsia" w:cstheme="minorBidi"/>
          <w:sz w:val="22"/>
          <w:szCs w:val="22"/>
          <w:rtl/>
        </w:rPr>
      </w:pPr>
      <w:r>
        <w:rPr>
          <w:rtl/>
        </w:rPr>
        <w:t>דברי רה"ג דהקול של היתומים וביאור רבינו יונה דבחייו יצא קול דהיא משכנתא ועכשיו שלהם</w:t>
      </w:r>
    </w:p>
    <w:p w:rsidR="00F4065E" w:rsidRDefault="00F4065E" w:rsidP="00F4065E">
      <w:pPr>
        <w:pStyle w:val="aff4"/>
        <w:rPr>
          <w:rFonts w:eastAsiaTheme="minorEastAsia" w:cstheme="minorBidi"/>
          <w:i/>
          <w:iCs/>
          <w:noProof/>
          <w:sz w:val="22"/>
          <w:szCs w:val="22"/>
          <w:rtl/>
        </w:rPr>
      </w:pPr>
      <w:r>
        <w:rPr>
          <w:noProof/>
          <w:rtl/>
        </w:rPr>
        <w:t>בפלוגתת הראשונים אי יצא הקול בתוך ג"ש או אחר ג"ש</w:t>
      </w:r>
    </w:p>
    <w:p w:rsidR="00F4065E" w:rsidRDefault="00F4065E" w:rsidP="007E4E81">
      <w:pPr>
        <w:pStyle w:val="a"/>
        <w:rPr>
          <w:rFonts w:eastAsiaTheme="minorEastAsia" w:cstheme="minorBidi"/>
          <w:sz w:val="22"/>
          <w:szCs w:val="22"/>
          <w:rtl/>
        </w:rPr>
      </w:pPr>
      <w:r>
        <w:rPr>
          <w:rtl/>
        </w:rPr>
        <w:t>דברי הסמ"ע דלרשב"ם ולרה"ג ולרמב"ם ולראב"ד ולרבינו יונה הקול יצא בתוך ג"ש</w:t>
      </w:r>
    </w:p>
    <w:p w:rsidR="00F4065E" w:rsidRDefault="00F4065E" w:rsidP="007E4E81">
      <w:pPr>
        <w:pStyle w:val="a"/>
        <w:rPr>
          <w:rFonts w:eastAsiaTheme="minorEastAsia" w:cstheme="minorBidi"/>
          <w:sz w:val="22"/>
          <w:szCs w:val="22"/>
          <w:rtl/>
        </w:rPr>
      </w:pPr>
      <w:r>
        <w:rPr>
          <w:rtl/>
        </w:rPr>
        <w:t>דברי הסמ"ע דלתוס' הקול יצא לאחר ג"ש ונאמן בטענת לקוחה אך לא במיגו דהוא העזה</w:t>
      </w:r>
    </w:p>
    <w:p w:rsidR="00F4065E" w:rsidRDefault="00F4065E" w:rsidP="007E4E81">
      <w:pPr>
        <w:pStyle w:val="a"/>
        <w:rPr>
          <w:rFonts w:eastAsiaTheme="minorEastAsia" w:cstheme="minorBidi"/>
          <w:sz w:val="22"/>
          <w:szCs w:val="22"/>
          <w:rtl/>
        </w:rPr>
      </w:pPr>
      <w:r>
        <w:rPr>
          <w:rtl/>
        </w:rPr>
        <w:t>דברי הש"ך דלרמב"ם יצא הקול אחר ג"ש דהא לא החזיק ג"ש בחיי האב ואין חזקה בקטן</w:t>
      </w:r>
    </w:p>
    <w:p w:rsidR="00F4065E" w:rsidRDefault="00F4065E" w:rsidP="007E4E81">
      <w:pPr>
        <w:pStyle w:val="a"/>
        <w:rPr>
          <w:rFonts w:eastAsiaTheme="minorEastAsia" w:cstheme="minorBidi"/>
          <w:sz w:val="22"/>
          <w:szCs w:val="22"/>
          <w:rtl/>
        </w:rPr>
      </w:pPr>
      <w:r>
        <w:rPr>
          <w:rtl/>
        </w:rPr>
        <w:t>דברי הש"ך דלרמב"ם אי החזיק בחיי האב נאמן והכא לא החזיק וע"י הקול אינו נאמן במיגו</w:t>
      </w:r>
    </w:p>
    <w:p w:rsidR="00F4065E" w:rsidRDefault="00F4065E" w:rsidP="00F4065E">
      <w:pPr>
        <w:pStyle w:val="2"/>
        <w:rPr>
          <w:rFonts w:eastAsiaTheme="minorEastAsia" w:cstheme="minorBidi"/>
          <w:i/>
          <w:iCs/>
          <w:sz w:val="22"/>
          <w:szCs w:val="22"/>
          <w:rtl/>
        </w:rPr>
      </w:pPr>
      <w:r>
        <w:rPr>
          <w:rtl/>
        </w:rPr>
        <w:t>אי החזיק ג"ש בחיי האב או לאח"מ האב</w:t>
      </w:r>
    </w:p>
    <w:p w:rsidR="00F4065E" w:rsidRDefault="00F4065E" w:rsidP="00F4065E">
      <w:pPr>
        <w:pStyle w:val="aff4"/>
        <w:rPr>
          <w:rFonts w:eastAsiaTheme="minorEastAsia" w:cstheme="minorBidi"/>
          <w:i/>
          <w:iCs/>
          <w:noProof/>
          <w:sz w:val="22"/>
          <w:szCs w:val="22"/>
          <w:rtl/>
        </w:rPr>
      </w:pPr>
      <w:r>
        <w:rPr>
          <w:noProof/>
          <w:rtl/>
        </w:rPr>
        <w:t>דברי הרשב"ם והרמב"ן ורבינו יונה דהחזיק ג"ש בחיי האב</w:t>
      </w:r>
    </w:p>
    <w:p w:rsidR="00F4065E" w:rsidRDefault="00F4065E" w:rsidP="007E4E81">
      <w:pPr>
        <w:pStyle w:val="a"/>
        <w:rPr>
          <w:rFonts w:eastAsiaTheme="minorEastAsia" w:cstheme="minorBidi"/>
          <w:sz w:val="22"/>
          <w:szCs w:val="22"/>
          <w:rtl/>
        </w:rPr>
      </w:pPr>
      <w:r>
        <w:rPr>
          <w:rtl/>
        </w:rPr>
        <w:t>דברי הרשב"ם והרמב"ן והראב"ד דהיו לרבא בר שרשום עדים שהחזיק ג"ש בחיי האב</w:t>
      </w:r>
    </w:p>
    <w:p w:rsidR="00F4065E" w:rsidRDefault="00F4065E" w:rsidP="007E4E81">
      <w:pPr>
        <w:pStyle w:val="a"/>
        <w:rPr>
          <w:rFonts w:eastAsiaTheme="minorEastAsia" w:cstheme="minorBidi"/>
          <w:sz w:val="22"/>
          <w:szCs w:val="22"/>
          <w:rtl/>
        </w:rPr>
      </w:pPr>
      <w:r>
        <w:rPr>
          <w:rtl/>
        </w:rPr>
        <w:t>דברי רבינו יונה דהחזיק ג"ש בחיי האב ולא היו עדים שירד לקרקע במשכנתא</w:t>
      </w:r>
    </w:p>
    <w:p w:rsidR="00F4065E" w:rsidRDefault="00F4065E" w:rsidP="00F4065E">
      <w:pPr>
        <w:pStyle w:val="aff4"/>
        <w:rPr>
          <w:rFonts w:eastAsiaTheme="minorEastAsia" w:cstheme="minorBidi"/>
          <w:i/>
          <w:iCs/>
          <w:noProof/>
          <w:sz w:val="22"/>
          <w:szCs w:val="22"/>
          <w:rtl/>
        </w:rPr>
      </w:pPr>
      <w:r>
        <w:rPr>
          <w:noProof/>
          <w:rtl/>
        </w:rPr>
        <w:t>דעת הר"י מגאש והרמב"ם דהחזיק ג"ש בחיי היתומים</w:t>
      </w:r>
    </w:p>
    <w:p w:rsidR="00F4065E" w:rsidRDefault="00F4065E" w:rsidP="007E4E81">
      <w:pPr>
        <w:pStyle w:val="a"/>
        <w:rPr>
          <w:rFonts w:eastAsiaTheme="minorEastAsia" w:cstheme="minorBidi"/>
          <w:sz w:val="22"/>
          <w:szCs w:val="22"/>
          <w:rtl/>
        </w:rPr>
      </w:pPr>
      <w:r>
        <w:rPr>
          <w:rtl/>
        </w:rPr>
        <w:t>דברי הר"י מגאש והרמב"ם דלא החזיק ג"ש בחיי האב אלא רק בחיי היתומים ואין עידי מר"ק</w:t>
      </w:r>
    </w:p>
    <w:p w:rsidR="00F4065E" w:rsidRDefault="00F4065E" w:rsidP="007E4E81">
      <w:pPr>
        <w:pStyle w:val="a"/>
        <w:rPr>
          <w:rFonts w:eastAsiaTheme="minorEastAsia" w:cstheme="minorBidi"/>
          <w:sz w:val="22"/>
          <w:szCs w:val="22"/>
          <w:rtl/>
        </w:rPr>
      </w:pPr>
      <w:r>
        <w:rPr>
          <w:rtl/>
        </w:rPr>
        <w:t>דברי הגידו"ת דלרמב"ם וסה"ת אי החזיק ג"ש בחיי האב היה נאמן אעפ"י שיצא הקול</w:t>
      </w:r>
    </w:p>
    <w:p w:rsidR="00F4065E" w:rsidRDefault="00F4065E" w:rsidP="007E4E81">
      <w:pPr>
        <w:pStyle w:val="a"/>
        <w:rPr>
          <w:rFonts w:eastAsiaTheme="minorEastAsia" w:cstheme="minorBidi"/>
          <w:sz w:val="22"/>
          <w:szCs w:val="22"/>
          <w:rtl/>
        </w:rPr>
      </w:pPr>
      <w:r>
        <w:rPr>
          <w:rtl/>
        </w:rPr>
        <w:t>דברי ר"ח דהחזיק ג"ש בחיי האב והקול חשיב כמחאה והיה לו להזהר בשטר ול"מ החזקה</w:t>
      </w:r>
    </w:p>
    <w:p w:rsidR="00F4065E" w:rsidRDefault="00F4065E" w:rsidP="007E4E81">
      <w:pPr>
        <w:pStyle w:val="a"/>
        <w:rPr>
          <w:rFonts w:eastAsiaTheme="minorEastAsia" w:cstheme="minorBidi"/>
          <w:sz w:val="22"/>
          <w:szCs w:val="22"/>
          <w:rtl/>
        </w:rPr>
      </w:pPr>
      <w:r>
        <w:rPr>
          <w:rtl/>
        </w:rPr>
        <w:t>דברי הריטב"א דלסוברים דהחזיק ג"ש בחיי האב איירי שיש עידי מר"ק ולכן לא נאמן במיגו</w:t>
      </w:r>
    </w:p>
    <w:p w:rsidR="00F4065E" w:rsidRDefault="00F4065E" w:rsidP="00F4065E">
      <w:pPr>
        <w:pStyle w:val="aff4"/>
        <w:rPr>
          <w:rFonts w:eastAsiaTheme="minorEastAsia" w:cstheme="minorBidi"/>
          <w:i/>
          <w:iCs/>
          <w:noProof/>
          <w:sz w:val="22"/>
          <w:szCs w:val="22"/>
          <w:rtl/>
        </w:rPr>
      </w:pPr>
      <w:r>
        <w:rPr>
          <w:noProof/>
          <w:rtl/>
        </w:rPr>
        <w:t>דעת היד רמ"ה דאפשר להעמיד בסוגיין בג' אופנים</w:t>
      </w:r>
    </w:p>
    <w:p w:rsidR="00F4065E" w:rsidRDefault="00F4065E" w:rsidP="007E4E81">
      <w:pPr>
        <w:pStyle w:val="a"/>
        <w:rPr>
          <w:rFonts w:eastAsiaTheme="minorEastAsia" w:cstheme="minorBidi"/>
          <w:sz w:val="22"/>
          <w:szCs w:val="22"/>
          <w:rtl/>
        </w:rPr>
      </w:pPr>
      <w:r>
        <w:rPr>
          <w:rtl/>
        </w:rPr>
        <w:t>הביאור הא' ברמ"ה דהחזיק בחיי האב וע"י הקול הקרקע בחזקת היתומים וא"א לקבל עידי חזקה</w:t>
      </w:r>
    </w:p>
    <w:p w:rsidR="00F4065E" w:rsidRDefault="00F4065E" w:rsidP="007E4E81">
      <w:pPr>
        <w:pStyle w:val="a"/>
        <w:rPr>
          <w:rFonts w:eastAsiaTheme="minorEastAsia" w:cstheme="minorBidi"/>
          <w:sz w:val="22"/>
          <w:szCs w:val="22"/>
          <w:rtl/>
        </w:rPr>
      </w:pPr>
      <w:r>
        <w:rPr>
          <w:rtl/>
        </w:rPr>
        <w:t>דברי הרמ"ה דבנקראת הקרקע בשם אביהם הם כמוחזקים וכ"ש כשיש קול דהקרקע בחזקתם</w:t>
      </w:r>
    </w:p>
    <w:p w:rsidR="00F4065E" w:rsidRDefault="00F4065E" w:rsidP="007E4E81">
      <w:pPr>
        <w:pStyle w:val="a"/>
        <w:rPr>
          <w:rFonts w:eastAsiaTheme="minorEastAsia" w:cstheme="minorBidi"/>
          <w:sz w:val="22"/>
          <w:szCs w:val="22"/>
          <w:rtl/>
        </w:rPr>
      </w:pPr>
      <w:r>
        <w:rPr>
          <w:rtl/>
        </w:rPr>
        <w:t>הביאור הב' ברמ"ה דהחזיק ג"ש לאח"מ האב ואין ראיה שהיא שלהם וע"י הקול הם מוחזקים</w:t>
      </w:r>
    </w:p>
    <w:p w:rsidR="00F4065E" w:rsidRDefault="00F4065E" w:rsidP="007E4E81">
      <w:pPr>
        <w:pStyle w:val="a"/>
        <w:rPr>
          <w:rFonts w:eastAsiaTheme="minorEastAsia" w:cstheme="minorBidi"/>
          <w:sz w:val="22"/>
          <w:szCs w:val="22"/>
          <w:rtl/>
        </w:rPr>
      </w:pPr>
      <w:r>
        <w:rPr>
          <w:rtl/>
        </w:rPr>
        <w:t>הביאור הג' ברמ"ה דאין לו חזקה ולולא הקול נאמן בלקוחה במיגו דלהד"ם ויש לו מיגו על החוב</w:t>
      </w:r>
    </w:p>
    <w:p w:rsidR="00F4065E" w:rsidRDefault="00F4065E" w:rsidP="00F4065E">
      <w:pPr>
        <w:pStyle w:val="2"/>
        <w:rPr>
          <w:rFonts w:eastAsiaTheme="minorEastAsia" w:cstheme="minorBidi"/>
          <w:i/>
          <w:iCs/>
          <w:sz w:val="22"/>
          <w:szCs w:val="22"/>
          <w:rtl/>
        </w:rPr>
      </w:pPr>
      <w:r>
        <w:rPr>
          <w:rtl/>
        </w:rPr>
        <w:t>ד' הסוברים דאינו נאמן בטענת לקוחה</w:t>
      </w:r>
    </w:p>
    <w:p w:rsidR="00F4065E" w:rsidRDefault="00F4065E" w:rsidP="00F4065E">
      <w:pPr>
        <w:pStyle w:val="aff4"/>
        <w:rPr>
          <w:rFonts w:eastAsiaTheme="minorEastAsia" w:cstheme="minorBidi"/>
          <w:i/>
          <w:iCs/>
          <w:noProof/>
          <w:sz w:val="22"/>
          <w:szCs w:val="22"/>
          <w:rtl/>
        </w:rPr>
      </w:pPr>
      <w:r>
        <w:rPr>
          <w:noProof/>
          <w:rtl/>
        </w:rPr>
        <w:t>בי' הרשב"ם דמחמת קול שנגמרה המשכנתא אינו נאמן בלקוחה</w:t>
      </w:r>
    </w:p>
    <w:p w:rsidR="00F4065E" w:rsidRDefault="00F4065E" w:rsidP="007E4E81">
      <w:pPr>
        <w:pStyle w:val="a"/>
        <w:rPr>
          <w:rFonts w:eastAsiaTheme="minorEastAsia" w:cstheme="minorBidi"/>
          <w:sz w:val="22"/>
          <w:szCs w:val="22"/>
          <w:rtl/>
        </w:rPr>
      </w:pPr>
      <w:r>
        <w:rPr>
          <w:rtl/>
        </w:rPr>
        <w:t>דברי הרשב"ם דבירד למשכנתא ויש קול שנגמרה אינו נאמן בטענת לקוחה דצריך להזהר בשטר</w:t>
      </w:r>
    </w:p>
    <w:p w:rsidR="00F4065E" w:rsidRDefault="00F4065E" w:rsidP="00F4065E">
      <w:pPr>
        <w:pStyle w:val="aff4"/>
        <w:rPr>
          <w:rFonts w:eastAsiaTheme="minorEastAsia" w:cstheme="minorBidi"/>
          <w:i/>
          <w:iCs/>
          <w:noProof/>
          <w:sz w:val="22"/>
          <w:szCs w:val="22"/>
          <w:rtl/>
        </w:rPr>
      </w:pPr>
      <w:r>
        <w:rPr>
          <w:noProof/>
          <w:rtl/>
        </w:rPr>
        <w:t>דעת רה"ג דאינו נאמן לטעון לקוחה ובי' רבינו יונה דהוא מחאה</w:t>
      </w:r>
    </w:p>
    <w:p w:rsidR="00F4065E" w:rsidRDefault="00F4065E" w:rsidP="007E4E81">
      <w:pPr>
        <w:pStyle w:val="a"/>
        <w:rPr>
          <w:rFonts w:eastAsiaTheme="minorEastAsia" w:cstheme="minorBidi"/>
          <w:sz w:val="22"/>
          <w:szCs w:val="22"/>
          <w:rtl/>
        </w:rPr>
      </w:pPr>
      <w:r>
        <w:rPr>
          <w:rtl/>
        </w:rPr>
        <w:t>דברי רה"ג דע"י הקול שהיא של היתומים אינו נאמן בטענת לקוחה ודברי רבינו יונה דצ"ב טעמו</w:t>
      </w:r>
    </w:p>
    <w:p w:rsidR="00F4065E" w:rsidRDefault="00F4065E" w:rsidP="007E4E81">
      <w:pPr>
        <w:pStyle w:val="a"/>
        <w:rPr>
          <w:rFonts w:eastAsiaTheme="minorEastAsia" w:cstheme="minorBidi"/>
          <w:sz w:val="22"/>
          <w:szCs w:val="22"/>
          <w:rtl/>
        </w:rPr>
      </w:pPr>
      <w:r>
        <w:rPr>
          <w:rtl/>
        </w:rPr>
        <w:t>ביאור רבינו יונה ברה"ג דבחייו יצא קול משכנתא ועברה המשכנתא לאח"מ והקול הוא כמחאה</w:t>
      </w:r>
    </w:p>
    <w:p w:rsidR="00F4065E" w:rsidRDefault="00F4065E" w:rsidP="007E4E81">
      <w:pPr>
        <w:pStyle w:val="a"/>
        <w:rPr>
          <w:rFonts w:eastAsiaTheme="minorEastAsia" w:cstheme="minorBidi"/>
          <w:sz w:val="22"/>
          <w:szCs w:val="22"/>
          <w:rtl/>
        </w:rPr>
      </w:pPr>
      <w:r>
        <w:rPr>
          <w:rtl/>
        </w:rPr>
        <w:t>דברי רבינו יונה דביצא הקול בחייו בתוך ג"ש  הוי מחאה אך ביצא הקול ליתומים יש לו חזקה</w:t>
      </w:r>
    </w:p>
    <w:p w:rsidR="00F4065E" w:rsidRDefault="00F4065E" w:rsidP="00F4065E">
      <w:pPr>
        <w:pStyle w:val="aff4"/>
        <w:rPr>
          <w:rFonts w:eastAsiaTheme="minorEastAsia" w:cstheme="minorBidi"/>
          <w:i/>
          <w:iCs/>
          <w:noProof/>
          <w:sz w:val="22"/>
          <w:szCs w:val="22"/>
          <w:rtl/>
        </w:rPr>
      </w:pPr>
      <w:r>
        <w:rPr>
          <w:noProof/>
          <w:rtl/>
        </w:rPr>
        <w:t>דברי הרמב"ן דאינו נאמן להביא עידי חזקה בפני היתומים</w:t>
      </w:r>
    </w:p>
    <w:p w:rsidR="00F4065E" w:rsidRDefault="00F4065E" w:rsidP="007E4E81">
      <w:pPr>
        <w:pStyle w:val="a"/>
        <w:rPr>
          <w:rFonts w:eastAsiaTheme="minorEastAsia" w:cstheme="minorBidi"/>
          <w:sz w:val="22"/>
          <w:szCs w:val="22"/>
          <w:rtl/>
        </w:rPr>
      </w:pPr>
      <w:r>
        <w:rPr>
          <w:rtl/>
        </w:rPr>
        <w:t>דברי הרמב"ן דמחמת הקול אינו נאמן בטענת לקוחה דאינו יכול להביא עידי חזקה בפני קטנים</w:t>
      </w:r>
    </w:p>
    <w:p w:rsidR="00F4065E" w:rsidRDefault="00F4065E" w:rsidP="007E4E81">
      <w:pPr>
        <w:pStyle w:val="a"/>
        <w:rPr>
          <w:rFonts w:eastAsiaTheme="minorEastAsia" w:cstheme="minorBidi"/>
          <w:sz w:val="22"/>
          <w:szCs w:val="22"/>
          <w:rtl/>
        </w:rPr>
      </w:pPr>
      <w:r>
        <w:rPr>
          <w:rtl/>
        </w:rPr>
        <w:t>דברי הרמב"ן דבלא הקול אף שהייתה בחזקת האב אין היתומים יכולים להוציאו מהקרקע</w:t>
      </w:r>
    </w:p>
    <w:p w:rsidR="00F4065E" w:rsidRDefault="00F4065E" w:rsidP="00F4065E">
      <w:pPr>
        <w:pStyle w:val="aff4"/>
        <w:rPr>
          <w:rFonts w:eastAsiaTheme="minorEastAsia" w:cstheme="minorBidi"/>
          <w:i/>
          <w:iCs/>
          <w:noProof/>
          <w:sz w:val="22"/>
          <w:szCs w:val="22"/>
          <w:rtl/>
        </w:rPr>
      </w:pPr>
      <w:r>
        <w:rPr>
          <w:noProof/>
          <w:rtl/>
        </w:rPr>
        <w:t>דעת הי"מ ברמב"ן דמדינא א"צ להחזיק ורק גברא רבה יחזיר</w:t>
      </w:r>
    </w:p>
    <w:p w:rsidR="00F4065E" w:rsidRDefault="00F4065E" w:rsidP="007E4E81">
      <w:pPr>
        <w:pStyle w:val="a"/>
        <w:rPr>
          <w:rFonts w:eastAsiaTheme="minorEastAsia" w:cstheme="minorBidi"/>
          <w:sz w:val="22"/>
          <w:szCs w:val="22"/>
          <w:rtl/>
        </w:rPr>
      </w:pPr>
      <w:r>
        <w:rPr>
          <w:rtl/>
        </w:rPr>
        <w:t>דעת הי"מ ברמב"ן דמדינא לא חייבו אביי להחזיר את הקרקע ונתן לו עיצה טובה שיחזיר</w:t>
      </w:r>
    </w:p>
    <w:p w:rsidR="00F4065E" w:rsidRDefault="00F4065E" w:rsidP="00F4065E">
      <w:pPr>
        <w:pStyle w:val="aff4"/>
        <w:rPr>
          <w:rFonts w:eastAsiaTheme="minorEastAsia" w:cstheme="minorBidi"/>
          <w:i/>
          <w:iCs/>
          <w:noProof/>
          <w:sz w:val="22"/>
          <w:szCs w:val="22"/>
          <w:rtl/>
        </w:rPr>
      </w:pPr>
      <w:r>
        <w:rPr>
          <w:noProof/>
          <w:rtl/>
        </w:rPr>
        <w:t>דברי הר"י מגאש דהקול מחזיקם ול"מ חזקת ג"ש בנכסי קטן</w:t>
      </w:r>
    </w:p>
    <w:p w:rsidR="00F4065E" w:rsidRDefault="00F4065E" w:rsidP="007E4E81">
      <w:pPr>
        <w:pStyle w:val="a"/>
        <w:rPr>
          <w:rFonts w:eastAsiaTheme="minorEastAsia" w:cstheme="minorBidi"/>
          <w:sz w:val="22"/>
          <w:szCs w:val="22"/>
          <w:rtl/>
        </w:rPr>
      </w:pPr>
      <w:r>
        <w:rPr>
          <w:rtl/>
        </w:rPr>
        <w:t>דברי הר"י מגאש דהחזיק ג"ש רק בחיי היתומים וכיון שיש קול אינו יכול להחזיק בנכסי קטן</w:t>
      </w:r>
    </w:p>
    <w:p w:rsidR="00F4065E" w:rsidRDefault="00F4065E" w:rsidP="007E4E81">
      <w:pPr>
        <w:pStyle w:val="a"/>
        <w:rPr>
          <w:rFonts w:eastAsiaTheme="minorEastAsia" w:cstheme="minorBidi"/>
          <w:sz w:val="22"/>
          <w:szCs w:val="22"/>
          <w:rtl/>
        </w:rPr>
      </w:pPr>
      <w:r>
        <w:rPr>
          <w:rtl/>
        </w:rPr>
        <w:t>ביאור הגר"א בר"י מגאש דע"י הקול חשיב שיש עדים שהקרקע של האב ול"מ חזקה בנכסי קטן</w:t>
      </w:r>
    </w:p>
    <w:p w:rsidR="00F4065E" w:rsidRDefault="00F4065E" w:rsidP="007E4E81">
      <w:pPr>
        <w:pStyle w:val="a"/>
        <w:rPr>
          <w:rFonts w:eastAsiaTheme="minorEastAsia" w:cstheme="minorBidi"/>
          <w:sz w:val="22"/>
          <w:szCs w:val="22"/>
          <w:rtl/>
        </w:rPr>
      </w:pPr>
      <w:r>
        <w:rPr>
          <w:rtl/>
        </w:rPr>
        <w:t>ביאור הרמב"ן בר"י מגאש דכיון שאין לו מיגו יחזיר דחיישינן לצררי דנאמנותו רק ע"י שטר</w:t>
      </w:r>
    </w:p>
    <w:p w:rsidR="00F4065E" w:rsidRDefault="00F4065E" w:rsidP="007E4E81">
      <w:pPr>
        <w:pStyle w:val="a"/>
        <w:rPr>
          <w:rFonts w:eastAsiaTheme="minorEastAsia" w:cstheme="minorBidi"/>
          <w:sz w:val="22"/>
          <w:szCs w:val="22"/>
          <w:rtl/>
        </w:rPr>
      </w:pPr>
      <w:r>
        <w:rPr>
          <w:rtl/>
        </w:rPr>
        <w:t>דברי הר"י מגאש דלולי הקול אף שהודה דהיא שלהם נאמן מדין הפה שאסר אף שהם קטנים</w:t>
      </w:r>
    </w:p>
    <w:p w:rsidR="00F4065E" w:rsidRDefault="00F4065E" w:rsidP="00F4065E">
      <w:pPr>
        <w:pStyle w:val="2"/>
        <w:rPr>
          <w:rFonts w:eastAsiaTheme="minorEastAsia" w:cstheme="minorBidi"/>
          <w:i/>
          <w:iCs/>
          <w:sz w:val="22"/>
          <w:szCs w:val="22"/>
          <w:rtl/>
        </w:rPr>
      </w:pPr>
      <w:r>
        <w:rPr>
          <w:rtl/>
        </w:rPr>
        <w:t>ד' הסוברים דרק במיגו דלקוחה לא נאמן</w:t>
      </w:r>
    </w:p>
    <w:p w:rsidR="00F4065E" w:rsidRDefault="00F4065E" w:rsidP="00F4065E">
      <w:pPr>
        <w:pStyle w:val="aff4"/>
        <w:rPr>
          <w:rFonts w:eastAsiaTheme="minorEastAsia" w:cstheme="minorBidi"/>
          <w:i/>
          <w:iCs/>
          <w:noProof/>
          <w:sz w:val="22"/>
          <w:szCs w:val="22"/>
          <w:rtl/>
        </w:rPr>
      </w:pPr>
      <w:r>
        <w:rPr>
          <w:noProof/>
          <w:rtl/>
        </w:rPr>
        <w:t>ד' הראשונים דנאמן לטעון לקוחה אך מיגו דלקוחה הוא העזה</w:t>
      </w:r>
    </w:p>
    <w:p w:rsidR="00F4065E" w:rsidRDefault="00F4065E" w:rsidP="007E4E81">
      <w:pPr>
        <w:pStyle w:val="a"/>
        <w:rPr>
          <w:rFonts w:eastAsiaTheme="minorEastAsia" w:cstheme="minorBidi"/>
          <w:sz w:val="22"/>
          <w:szCs w:val="22"/>
          <w:rtl/>
        </w:rPr>
      </w:pPr>
      <w:r>
        <w:rPr>
          <w:rtl/>
        </w:rPr>
        <w:t>דברי התוס' והראשונים דאם היה טוען לקוחה נאמן דחזקה לא מבטלת קול</w:t>
      </w:r>
    </w:p>
    <w:p w:rsidR="00F4065E" w:rsidRDefault="00F4065E" w:rsidP="007E4E81">
      <w:pPr>
        <w:pStyle w:val="a"/>
        <w:rPr>
          <w:rFonts w:eastAsiaTheme="minorEastAsia" w:cstheme="minorBidi"/>
          <w:sz w:val="22"/>
          <w:szCs w:val="22"/>
          <w:rtl/>
        </w:rPr>
      </w:pPr>
      <w:r>
        <w:rPr>
          <w:rtl/>
        </w:rPr>
        <w:t>ביאור התוס' והראשונים דאינו נאמן על החוב במיגו דהיה טוען לקוחה דהוא מיגו דהעזה</w:t>
      </w:r>
    </w:p>
    <w:p w:rsidR="00F4065E" w:rsidRDefault="00F4065E" w:rsidP="007E4E81">
      <w:pPr>
        <w:pStyle w:val="a"/>
        <w:rPr>
          <w:rFonts w:eastAsiaTheme="minorEastAsia" w:cstheme="minorBidi"/>
          <w:sz w:val="22"/>
          <w:szCs w:val="22"/>
          <w:rtl/>
        </w:rPr>
      </w:pPr>
      <w:r>
        <w:rPr>
          <w:rtl/>
        </w:rPr>
        <w:t>דברי רבינו יונה דאף אחר שאכל פירות נאמן בטענת לקוחה ולא במיגו דלקוחה דהוא העזה</w:t>
      </w:r>
    </w:p>
    <w:p w:rsidR="00F4065E" w:rsidRDefault="00F4065E" w:rsidP="007E4E81">
      <w:pPr>
        <w:pStyle w:val="a"/>
        <w:rPr>
          <w:rFonts w:eastAsiaTheme="minorEastAsia" w:cstheme="minorBidi"/>
          <w:sz w:val="22"/>
          <w:szCs w:val="22"/>
          <w:rtl/>
        </w:rPr>
      </w:pPr>
      <w:r>
        <w:rPr>
          <w:rtl/>
        </w:rPr>
        <w:t>קושית הרא"ש דהאיך נאמן בטענת לקוחה הא א"א להביא עידי חזקת ג"ש בפני קטנים</w:t>
      </w:r>
    </w:p>
    <w:p w:rsidR="00F4065E" w:rsidRDefault="00F4065E" w:rsidP="007E4E81">
      <w:pPr>
        <w:pStyle w:val="a"/>
        <w:rPr>
          <w:rFonts w:eastAsiaTheme="minorEastAsia" w:cstheme="minorBidi"/>
          <w:sz w:val="22"/>
          <w:szCs w:val="22"/>
          <w:rtl/>
        </w:rPr>
      </w:pPr>
      <w:r>
        <w:rPr>
          <w:rtl/>
        </w:rPr>
        <w:t>תירוץ הרא"ש דכיון שיש לו חזקה חשיב שהוא מוחזק בה ואין היתומים יכולים להוציאו</w:t>
      </w:r>
    </w:p>
    <w:p w:rsidR="00F4065E" w:rsidRDefault="00F4065E" w:rsidP="00F4065E">
      <w:pPr>
        <w:pStyle w:val="2"/>
        <w:rPr>
          <w:rFonts w:eastAsiaTheme="minorEastAsia" w:cstheme="minorBidi"/>
          <w:i/>
          <w:iCs/>
          <w:sz w:val="22"/>
          <w:szCs w:val="22"/>
          <w:rtl/>
        </w:rPr>
      </w:pPr>
      <w:r>
        <w:rPr>
          <w:rtl/>
        </w:rPr>
        <w:t>ד' הרשב"א דיורש חשיב כטוען ברי</w:t>
      </w:r>
    </w:p>
    <w:p w:rsidR="00F4065E" w:rsidRDefault="00F4065E" w:rsidP="00F4065E">
      <w:pPr>
        <w:pStyle w:val="aff4"/>
        <w:rPr>
          <w:rFonts w:eastAsiaTheme="minorEastAsia" w:cstheme="minorBidi"/>
          <w:i/>
          <w:iCs/>
          <w:noProof/>
          <w:sz w:val="22"/>
          <w:szCs w:val="22"/>
          <w:rtl/>
        </w:rPr>
      </w:pPr>
      <w:r>
        <w:rPr>
          <w:noProof/>
          <w:rtl/>
        </w:rPr>
        <w:t>דברי הרשב"א דלולי המיגו צריך להחזיר דיורש חשיב כברי</w:t>
      </w:r>
    </w:p>
    <w:p w:rsidR="00F4065E" w:rsidRDefault="00F4065E" w:rsidP="007E4E81">
      <w:pPr>
        <w:pStyle w:val="a"/>
        <w:rPr>
          <w:rFonts w:eastAsiaTheme="minorEastAsia" w:cstheme="minorBidi"/>
          <w:sz w:val="22"/>
          <w:szCs w:val="22"/>
          <w:rtl/>
        </w:rPr>
      </w:pPr>
      <w:r>
        <w:rPr>
          <w:rtl/>
        </w:rPr>
        <w:t>קושית הרשב"א דכיון שהיתומים לא תבעו למה א"ל להחזר הא אף אחר שאכל נאמן במיגו</w:t>
      </w:r>
    </w:p>
    <w:p w:rsidR="00F4065E" w:rsidRDefault="00F4065E" w:rsidP="007E4E81">
      <w:pPr>
        <w:pStyle w:val="a"/>
        <w:rPr>
          <w:rFonts w:eastAsiaTheme="minorEastAsia" w:cstheme="minorBidi"/>
          <w:sz w:val="22"/>
          <w:szCs w:val="22"/>
          <w:rtl/>
        </w:rPr>
      </w:pPr>
      <w:r>
        <w:rPr>
          <w:rtl/>
        </w:rPr>
        <w:t>תירוץ הרשב"א דכל יורש חשיב כטוען ברי ורק מחמת המיגו ושהקרקע ברשותו נאמן</w:t>
      </w:r>
    </w:p>
    <w:p w:rsidR="00F4065E" w:rsidRDefault="00F4065E" w:rsidP="00F4065E">
      <w:pPr>
        <w:pStyle w:val="2"/>
        <w:rPr>
          <w:rFonts w:eastAsiaTheme="minorEastAsia" w:cstheme="minorBidi"/>
          <w:i/>
          <w:iCs/>
          <w:sz w:val="22"/>
          <w:szCs w:val="22"/>
          <w:rtl/>
        </w:rPr>
      </w:pPr>
      <w:r>
        <w:rPr>
          <w:rtl/>
        </w:rPr>
        <w:t>פלוגתת הרמב"ם והראב"ד ברבא ב"ש</w:t>
      </w:r>
    </w:p>
    <w:p w:rsidR="00F4065E" w:rsidRDefault="00F4065E" w:rsidP="00F4065E">
      <w:pPr>
        <w:pStyle w:val="aff4"/>
        <w:rPr>
          <w:rFonts w:eastAsiaTheme="minorEastAsia" w:cstheme="minorBidi"/>
          <w:i/>
          <w:iCs/>
          <w:noProof/>
          <w:sz w:val="22"/>
          <w:szCs w:val="22"/>
          <w:rtl/>
        </w:rPr>
      </w:pPr>
      <w:r>
        <w:rPr>
          <w:noProof/>
          <w:rtl/>
        </w:rPr>
        <w:t>דברי הרמב"ם דכיון שלא החזיק בחיי האב ויצא קול אינו נאמן</w:t>
      </w:r>
    </w:p>
    <w:p w:rsidR="00F4065E" w:rsidRDefault="00F4065E" w:rsidP="007E4E81">
      <w:pPr>
        <w:pStyle w:val="a"/>
        <w:rPr>
          <w:rFonts w:eastAsiaTheme="minorEastAsia" w:cstheme="minorBidi"/>
          <w:sz w:val="22"/>
          <w:szCs w:val="22"/>
          <w:rtl/>
        </w:rPr>
      </w:pPr>
      <w:r>
        <w:rPr>
          <w:rtl/>
        </w:rPr>
        <w:t>דברי הרמב"ם דבהחזיק בפני היתומים נאמן במיגו וכשיש קול ל"מ חזקתו דל"מ חזקה בנכסי קטן</w:t>
      </w:r>
    </w:p>
    <w:p w:rsidR="00F4065E" w:rsidRDefault="00F4065E" w:rsidP="007E4E81">
      <w:pPr>
        <w:pStyle w:val="a"/>
        <w:rPr>
          <w:rFonts w:eastAsiaTheme="minorEastAsia" w:cstheme="minorBidi"/>
          <w:sz w:val="22"/>
          <w:szCs w:val="22"/>
          <w:rtl/>
        </w:rPr>
      </w:pPr>
      <w:r>
        <w:rPr>
          <w:rtl/>
        </w:rPr>
        <w:t>דברי הרמב"ם דבהחזיק ג"ש בחיי האב דיש לו מיגו דלקוחה נאמן לטעון שיש לו חוב עליהם</w:t>
      </w:r>
    </w:p>
    <w:p w:rsidR="00F4065E" w:rsidRDefault="00F4065E" w:rsidP="007E4E81">
      <w:pPr>
        <w:pStyle w:val="a"/>
        <w:rPr>
          <w:rFonts w:eastAsiaTheme="minorEastAsia" w:cstheme="minorBidi"/>
          <w:sz w:val="22"/>
          <w:szCs w:val="22"/>
          <w:rtl/>
        </w:rPr>
      </w:pPr>
      <w:r>
        <w:rPr>
          <w:rtl/>
        </w:rPr>
        <w:t>דברי סה"ת דלרמב"ם ל"מ תפיסה בין בחיי האב ובין לאח"מ ורק במיגו דלקוחה נאמן</w:t>
      </w:r>
    </w:p>
    <w:p w:rsidR="00F4065E" w:rsidRDefault="00F4065E" w:rsidP="00F4065E">
      <w:pPr>
        <w:pStyle w:val="aff4"/>
        <w:rPr>
          <w:rFonts w:eastAsiaTheme="minorEastAsia" w:cstheme="minorBidi"/>
          <w:i/>
          <w:iCs/>
          <w:noProof/>
          <w:sz w:val="22"/>
          <w:szCs w:val="22"/>
          <w:rtl/>
        </w:rPr>
      </w:pPr>
      <w:r>
        <w:rPr>
          <w:noProof/>
          <w:rtl/>
        </w:rPr>
        <w:t>דברי הראב"ד דבחזקה נאמן על מה שאכל במיגו בלא שבועה</w:t>
      </w:r>
    </w:p>
    <w:p w:rsidR="00F4065E" w:rsidRDefault="00F4065E" w:rsidP="007E4E81">
      <w:pPr>
        <w:pStyle w:val="a"/>
        <w:rPr>
          <w:rFonts w:eastAsiaTheme="minorEastAsia" w:cstheme="minorBidi"/>
          <w:sz w:val="22"/>
          <w:szCs w:val="22"/>
          <w:rtl/>
        </w:rPr>
      </w:pPr>
      <w:r>
        <w:rPr>
          <w:rtl/>
        </w:rPr>
        <w:t>קושית הראב"ד דמשמע ברמב"ם שאין להם עידי מר"ק וא"כ רבא ב"ש נאמן במיגו דלהד"ם</w:t>
      </w:r>
    </w:p>
    <w:p w:rsidR="00F4065E" w:rsidRDefault="00F4065E" w:rsidP="007E4E81">
      <w:pPr>
        <w:pStyle w:val="a"/>
        <w:rPr>
          <w:rFonts w:eastAsiaTheme="minorEastAsia" w:cstheme="minorBidi"/>
          <w:sz w:val="22"/>
          <w:szCs w:val="22"/>
          <w:rtl/>
        </w:rPr>
      </w:pPr>
      <w:r>
        <w:rPr>
          <w:rtl/>
        </w:rPr>
        <w:t>קושית הראב"ד דהאיך מהני קול לבטל חזקה הא אין כל חזקה לאביהם של היתומים</w:t>
      </w:r>
    </w:p>
    <w:p w:rsidR="00F4065E" w:rsidRDefault="00F4065E" w:rsidP="007E4E81">
      <w:pPr>
        <w:pStyle w:val="a"/>
        <w:rPr>
          <w:rFonts w:eastAsiaTheme="minorEastAsia" w:cstheme="minorBidi"/>
          <w:sz w:val="22"/>
          <w:szCs w:val="22"/>
          <w:rtl/>
        </w:rPr>
      </w:pPr>
      <w:r>
        <w:rPr>
          <w:rtl/>
        </w:rPr>
        <w:t>ביאור הראב"ד דיש להם עידי מר"ק והחזיק רבא ב"ש ג"ש בחיי האב ורק מחמת הקול אינו נאמן</w:t>
      </w:r>
    </w:p>
    <w:p w:rsidR="00F4065E" w:rsidRDefault="00F4065E" w:rsidP="007E4E81">
      <w:pPr>
        <w:pStyle w:val="a"/>
        <w:rPr>
          <w:rFonts w:eastAsiaTheme="minorEastAsia" w:cstheme="minorBidi"/>
          <w:sz w:val="22"/>
          <w:szCs w:val="22"/>
          <w:rtl/>
        </w:rPr>
      </w:pPr>
      <w:r>
        <w:rPr>
          <w:rtl/>
        </w:rPr>
        <w:t>קושית הראב"ד על הרמב"ם דאי כשיש לו חזקה נאמן במיגו אמאי רבא ב"ש לא היה נאמן</w:t>
      </w:r>
    </w:p>
    <w:p w:rsidR="00F4065E" w:rsidRDefault="00F4065E" w:rsidP="007E4E81">
      <w:pPr>
        <w:pStyle w:val="a"/>
        <w:rPr>
          <w:rFonts w:eastAsiaTheme="minorEastAsia" w:cstheme="minorBidi"/>
          <w:sz w:val="22"/>
          <w:szCs w:val="22"/>
          <w:rtl/>
        </w:rPr>
      </w:pPr>
      <w:r>
        <w:rPr>
          <w:rtl/>
        </w:rPr>
        <w:t>קושית הראב"ד על הרמב"ם דלפני שאכל נשבע כגאונים ורק אחר שאכל פטור משבועה</w:t>
      </w:r>
    </w:p>
    <w:p w:rsidR="00F4065E" w:rsidRDefault="00F4065E" w:rsidP="00F4065E">
      <w:pPr>
        <w:pStyle w:val="aff4"/>
        <w:rPr>
          <w:rFonts w:eastAsiaTheme="minorEastAsia" w:cstheme="minorBidi"/>
          <w:i/>
          <w:iCs/>
          <w:noProof/>
          <w:sz w:val="22"/>
          <w:szCs w:val="22"/>
          <w:rtl/>
        </w:rPr>
      </w:pPr>
      <w:r>
        <w:rPr>
          <w:noProof/>
          <w:rtl/>
        </w:rPr>
        <w:t>תירוצי האחרונים על דברי הרמב"ם מקושיות הראב"ד</w:t>
      </w:r>
    </w:p>
    <w:p w:rsidR="00F4065E" w:rsidRDefault="00F4065E" w:rsidP="007E4E81">
      <w:pPr>
        <w:pStyle w:val="a"/>
        <w:rPr>
          <w:rFonts w:eastAsiaTheme="minorEastAsia" w:cstheme="minorBidi"/>
          <w:sz w:val="22"/>
          <w:szCs w:val="22"/>
          <w:rtl/>
        </w:rPr>
      </w:pPr>
      <w:r>
        <w:rPr>
          <w:rtl/>
        </w:rPr>
        <w:t>ביאור המ"מ ברמב"ם דבקול שהוחזק בב"ד אמרינן דאם יחקר הענין יתברר שהיא של אביהם</w:t>
      </w:r>
    </w:p>
    <w:p w:rsidR="00F4065E" w:rsidRDefault="00F4065E" w:rsidP="007E4E81">
      <w:pPr>
        <w:pStyle w:val="a"/>
        <w:rPr>
          <w:rFonts w:eastAsiaTheme="minorEastAsia" w:cstheme="minorBidi"/>
          <w:sz w:val="22"/>
          <w:szCs w:val="22"/>
          <w:rtl/>
        </w:rPr>
      </w:pPr>
      <w:r>
        <w:rPr>
          <w:rtl/>
        </w:rPr>
        <w:t>ביאור הש"ך במ"מ דנאמן בלהד"ם אך כיון שלא טען להד"ם אינו נאמן בלקוחה במיגו דלהד"ם</w:t>
      </w:r>
    </w:p>
    <w:p w:rsidR="00F4065E" w:rsidRDefault="00F4065E" w:rsidP="007E4E81">
      <w:pPr>
        <w:pStyle w:val="a"/>
        <w:rPr>
          <w:rFonts w:eastAsiaTheme="minorEastAsia" w:cstheme="minorBidi"/>
          <w:sz w:val="22"/>
          <w:szCs w:val="22"/>
          <w:rtl/>
        </w:rPr>
      </w:pPr>
      <w:r>
        <w:rPr>
          <w:rtl/>
        </w:rPr>
        <w:t>ביאור המ"מ ברמב"ם דבקרקע אין נשבעים כשבועת הגאונים</w:t>
      </w:r>
    </w:p>
    <w:p w:rsidR="00F4065E" w:rsidRDefault="00F4065E" w:rsidP="007E4E81">
      <w:pPr>
        <w:pStyle w:val="a"/>
        <w:rPr>
          <w:rFonts w:eastAsiaTheme="minorEastAsia" w:cstheme="minorBidi"/>
          <w:sz w:val="22"/>
          <w:szCs w:val="22"/>
          <w:rtl/>
        </w:rPr>
      </w:pPr>
      <w:r>
        <w:rPr>
          <w:rtl/>
        </w:rPr>
        <w:t>בי' הש"ך ברמב"ם דאין נ"מ אי נאמן במיגו דלקוחה או להד"ם ובי' המרכה"מ דלהד"ם הוא העזה</w:t>
      </w:r>
    </w:p>
    <w:p w:rsidR="00F4065E" w:rsidRDefault="00F4065E" w:rsidP="00F4065E">
      <w:pPr>
        <w:pStyle w:val="2"/>
        <w:rPr>
          <w:rFonts w:eastAsiaTheme="minorEastAsia" w:cstheme="minorBidi"/>
          <w:i/>
          <w:iCs/>
          <w:sz w:val="22"/>
          <w:szCs w:val="22"/>
          <w:rtl/>
        </w:rPr>
      </w:pPr>
      <w:r>
        <w:rPr>
          <w:rtl/>
        </w:rPr>
        <w:t>בדין חזקה ביורד למשכנתא</w:t>
      </w:r>
    </w:p>
    <w:p w:rsidR="00F4065E" w:rsidRDefault="00F4065E" w:rsidP="00F4065E">
      <w:pPr>
        <w:pStyle w:val="aff4"/>
        <w:rPr>
          <w:rFonts w:eastAsiaTheme="minorEastAsia" w:cstheme="minorBidi"/>
          <w:i/>
          <w:iCs/>
          <w:noProof/>
          <w:sz w:val="22"/>
          <w:szCs w:val="22"/>
          <w:rtl/>
        </w:rPr>
      </w:pPr>
      <w:r>
        <w:rPr>
          <w:noProof/>
          <w:rtl/>
        </w:rPr>
        <w:t>דברי התוס' דבירד למשכנתא אינו נאמן בטענת לקוחה בידי</w:t>
      </w:r>
    </w:p>
    <w:p w:rsidR="00F4065E" w:rsidRDefault="00F4065E" w:rsidP="007E4E81">
      <w:pPr>
        <w:pStyle w:val="a"/>
        <w:rPr>
          <w:rFonts w:eastAsiaTheme="minorEastAsia" w:cstheme="minorBidi"/>
          <w:sz w:val="22"/>
          <w:szCs w:val="22"/>
          <w:rtl/>
        </w:rPr>
      </w:pPr>
      <w:r>
        <w:rPr>
          <w:rtl/>
        </w:rPr>
        <w:t>דברי תוס' דכל שידוע דירד לקרקע במשכנתא אינו נאמן לטעון לקוחה היא ביד כאומן ואריס</w:t>
      </w:r>
    </w:p>
    <w:p w:rsidR="00F4065E" w:rsidRDefault="00F4065E" w:rsidP="00F4065E">
      <w:pPr>
        <w:pStyle w:val="aff4"/>
        <w:rPr>
          <w:rFonts w:eastAsiaTheme="minorEastAsia" w:cstheme="minorBidi"/>
          <w:i/>
          <w:iCs/>
          <w:noProof/>
          <w:sz w:val="22"/>
          <w:szCs w:val="22"/>
          <w:rtl/>
        </w:rPr>
      </w:pPr>
      <w:r>
        <w:rPr>
          <w:noProof/>
          <w:rtl/>
        </w:rPr>
        <w:t>דעת הרשב"א דבקול שירד במשכנתא אינו נאמן בטענת לקוחה</w:t>
      </w:r>
    </w:p>
    <w:p w:rsidR="00F4065E" w:rsidRDefault="00F4065E" w:rsidP="007E4E81">
      <w:pPr>
        <w:pStyle w:val="a"/>
        <w:rPr>
          <w:rFonts w:eastAsiaTheme="minorEastAsia" w:cstheme="minorBidi"/>
          <w:sz w:val="22"/>
          <w:szCs w:val="22"/>
          <w:rtl/>
        </w:rPr>
      </w:pPr>
      <w:r>
        <w:rPr>
          <w:rtl/>
        </w:rPr>
        <w:t>ביאור הי"מ ברמב"ן וברשב"א דיש עדים שירד ברשות במשכנתא ואינו נאמן בטענת לקוחה</w:t>
      </w:r>
    </w:p>
    <w:p w:rsidR="00F4065E" w:rsidRDefault="00F4065E" w:rsidP="00F4065E">
      <w:pPr>
        <w:pStyle w:val="aff4"/>
        <w:rPr>
          <w:rFonts w:eastAsiaTheme="minorEastAsia" w:cstheme="minorBidi"/>
          <w:i/>
          <w:iCs/>
          <w:noProof/>
          <w:sz w:val="22"/>
          <w:szCs w:val="22"/>
          <w:rtl/>
        </w:rPr>
      </w:pPr>
      <w:r>
        <w:rPr>
          <w:noProof/>
          <w:rtl/>
        </w:rPr>
        <w:t>דעת הר"י מגאש והרי"ף דיורד למשכנתא נאמן בטענת לקוחה</w:t>
      </w:r>
    </w:p>
    <w:p w:rsidR="00F4065E" w:rsidRDefault="00F4065E" w:rsidP="007E4E81">
      <w:pPr>
        <w:pStyle w:val="a"/>
        <w:rPr>
          <w:rFonts w:eastAsiaTheme="minorEastAsia" w:cstheme="minorBidi"/>
          <w:sz w:val="22"/>
          <w:szCs w:val="22"/>
          <w:rtl/>
        </w:rPr>
      </w:pPr>
      <w:r>
        <w:rPr>
          <w:rtl/>
        </w:rPr>
        <w:t>דברי העיטור בשם הר"י מגאש והרי"ף דאף ביורד למשכנתא נאמן בטענת לקוחה בידי</w:t>
      </w:r>
    </w:p>
    <w:p w:rsidR="00F4065E" w:rsidRDefault="00F4065E" w:rsidP="007E4E81">
      <w:pPr>
        <w:pStyle w:val="a"/>
        <w:rPr>
          <w:rFonts w:eastAsiaTheme="minorEastAsia" w:cstheme="minorBidi"/>
          <w:sz w:val="22"/>
          <w:szCs w:val="22"/>
          <w:rtl/>
        </w:rPr>
      </w:pPr>
      <w:r>
        <w:rPr>
          <w:rtl/>
        </w:rPr>
        <w:t>ביאור המאירי דיורד למשכנתא המר"ק קפיד ומוחה שהוא במשכנתא ול"ד לאריס ושותף</w:t>
      </w:r>
    </w:p>
    <w:p w:rsidR="00F4065E" w:rsidRDefault="00F4065E" w:rsidP="00F4065E">
      <w:pPr>
        <w:pStyle w:val="2"/>
        <w:rPr>
          <w:rFonts w:eastAsiaTheme="minorEastAsia" w:cstheme="minorBidi"/>
          <w:i/>
          <w:iCs/>
          <w:sz w:val="22"/>
          <w:szCs w:val="22"/>
          <w:rtl/>
        </w:rPr>
      </w:pPr>
      <w:r>
        <w:rPr>
          <w:rtl/>
        </w:rPr>
        <w:t>אי במלוה ע"פ נפרע מהיתומים בשבועה</w:t>
      </w:r>
    </w:p>
    <w:p w:rsidR="00F4065E" w:rsidRDefault="00F4065E" w:rsidP="00F4065E">
      <w:pPr>
        <w:pStyle w:val="aff4"/>
        <w:rPr>
          <w:rFonts w:eastAsiaTheme="minorEastAsia" w:cstheme="minorBidi"/>
          <w:i/>
          <w:iCs/>
          <w:noProof/>
          <w:sz w:val="22"/>
          <w:szCs w:val="22"/>
          <w:rtl/>
        </w:rPr>
      </w:pPr>
      <w:r>
        <w:rPr>
          <w:noProof/>
          <w:rtl/>
        </w:rPr>
        <w:t>פלוג' הרשב"ם והתורי"ד והרמב"ן אי במלוה ע"פ נפרע בשבועה</w:t>
      </w:r>
    </w:p>
    <w:p w:rsidR="00F4065E" w:rsidRDefault="00F4065E" w:rsidP="007E4E81">
      <w:pPr>
        <w:pStyle w:val="a"/>
        <w:rPr>
          <w:rFonts w:eastAsiaTheme="minorEastAsia" w:cstheme="minorBidi"/>
          <w:sz w:val="22"/>
          <w:szCs w:val="22"/>
          <w:rtl/>
        </w:rPr>
      </w:pPr>
      <w:r>
        <w:rPr>
          <w:rtl/>
        </w:rPr>
        <w:t>דברי הרשב"ם דאף במלוה ע"פ יכול לתבוע מהיתומים כשיגדילו ויפרע מהם בשבועה</w:t>
      </w:r>
    </w:p>
    <w:p w:rsidR="00F4065E" w:rsidRDefault="00F4065E" w:rsidP="007E4E81">
      <w:pPr>
        <w:pStyle w:val="a"/>
        <w:rPr>
          <w:rFonts w:eastAsiaTheme="minorEastAsia" w:cstheme="minorBidi"/>
          <w:sz w:val="22"/>
          <w:szCs w:val="22"/>
          <w:rtl/>
        </w:rPr>
      </w:pPr>
      <w:r>
        <w:rPr>
          <w:rtl/>
        </w:rPr>
        <w:t>דעת התוס' רי"ד דבסוגיין איירי במלוה ע"פ אבל בשטר היה נאמן בשבועה וא"צ להחזיר</w:t>
      </w:r>
    </w:p>
    <w:p w:rsidR="00F4065E" w:rsidRDefault="00F4065E" w:rsidP="007E4E81">
      <w:pPr>
        <w:pStyle w:val="a"/>
        <w:rPr>
          <w:rFonts w:eastAsiaTheme="minorEastAsia" w:cstheme="minorBidi"/>
          <w:sz w:val="22"/>
          <w:szCs w:val="22"/>
          <w:rtl/>
        </w:rPr>
      </w:pPr>
      <w:r>
        <w:rPr>
          <w:rtl/>
        </w:rPr>
        <w:t>דברי הרמב"ן והרשב"א דבמלוה ע"פ לא היה נאמן בשבועה ואיירי בסוגיין רק במלוה בשטר</w:t>
      </w:r>
    </w:p>
    <w:p w:rsidR="00F4065E" w:rsidRDefault="00F4065E" w:rsidP="00F4065E">
      <w:pPr>
        <w:pStyle w:val="2"/>
        <w:rPr>
          <w:rFonts w:eastAsiaTheme="minorEastAsia" w:cstheme="minorBidi"/>
          <w:i/>
          <w:iCs/>
          <w:sz w:val="22"/>
          <w:szCs w:val="22"/>
          <w:rtl/>
        </w:rPr>
      </w:pPr>
      <w:r>
        <w:rPr>
          <w:rtl/>
        </w:rPr>
        <w:t>~~~~~~~ ביאורי ראשי הישיבות ~~~~~~~</w:t>
      </w:r>
    </w:p>
    <w:p w:rsidR="00F4065E" w:rsidRDefault="00F4065E" w:rsidP="00F4065E">
      <w:pPr>
        <w:pStyle w:val="2"/>
        <w:rPr>
          <w:rFonts w:eastAsiaTheme="minorEastAsia" w:cstheme="minorBidi"/>
          <w:i/>
          <w:iCs/>
          <w:sz w:val="22"/>
          <w:szCs w:val="22"/>
          <w:rtl/>
        </w:rPr>
      </w:pPr>
      <w:r>
        <w:rPr>
          <w:rtl/>
        </w:rPr>
        <w:t>בפלוגתת הרמב"ם והראב"ד</w:t>
      </w:r>
    </w:p>
    <w:p w:rsidR="00F4065E" w:rsidRDefault="00F4065E" w:rsidP="00F4065E">
      <w:pPr>
        <w:pStyle w:val="aff4"/>
        <w:rPr>
          <w:rFonts w:eastAsiaTheme="minorEastAsia" w:cstheme="minorBidi"/>
          <w:i/>
          <w:iCs/>
          <w:noProof/>
          <w:sz w:val="22"/>
          <w:szCs w:val="22"/>
          <w:rtl/>
        </w:rPr>
      </w:pPr>
      <w:r>
        <w:rPr>
          <w:noProof/>
          <w:rtl/>
        </w:rPr>
        <w:t>ביאורי האבהא"ז והגרנ"פ ברמב"ם דאינו נאמן מדין הפה שאסר</w:t>
      </w:r>
    </w:p>
    <w:p w:rsidR="00F4065E" w:rsidRDefault="00F4065E" w:rsidP="007E4E81">
      <w:pPr>
        <w:pStyle w:val="a"/>
        <w:rPr>
          <w:rFonts w:eastAsiaTheme="minorEastAsia" w:cstheme="minorBidi"/>
          <w:sz w:val="22"/>
          <w:szCs w:val="22"/>
          <w:rtl/>
        </w:rPr>
      </w:pPr>
      <w:r>
        <w:rPr>
          <w:rtl/>
        </w:rPr>
        <w:t>ביאור האבאה"ז ברמב"ם דמדין הפה שאסר דלהד"ם נאמן באותו דבר שהודה ולא בדבר אחר</w:t>
      </w:r>
    </w:p>
    <w:p w:rsidR="00F4065E" w:rsidRDefault="00F4065E" w:rsidP="007E4E81">
      <w:pPr>
        <w:pStyle w:val="a"/>
        <w:rPr>
          <w:rFonts w:eastAsiaTheme="minorEastAsia" w:cstheme="minorBidi"/>
          <w:sz w:val="22"/>
          <w:szCs w:val="22"/>
          <w:rtl/>
        </w:rPr>
      </w:pPr>
      <w:r>
        <w:rPr>
          <w:rtl/>
        </w:rPr>
        <w:t>ביאור הגרש"ר דלדברי רבינו יונה דהוא מיגו מממון לממון אפש"ל דאינו נאמן במיגו דהעזה</w:t>
      </w:r>
    </w:p>
    <w:p w:rsidR="00F4065E" w:rsidRDefault="00F4065E" w:rsidP="007E4E81">
      <w:pPr>
        <w:pStyle w:val="a"/>
        <w:rPr>
          <w:rFonts w:eastAsiaTheme="minorEastAsia" w:cstheme="minorBidi"/>
          <w:sz w:val="22"/>
          <w:szCs w:val="22"/>
          <w:rtl/>
        </w:rPr>
      </w:pPr>
      <w:r>
        <w:rPr>
          <w:rtl/>
        </w:rPr>
        <w:t>ביאור הגרנ"פ בר"י מגאש וברמב"ם דבמודה דהקרקע בחזקת היתומים אינו נאמן בהפה שאסר</w:t>
      </w:r>
    </w:p>
    <w:p w:rsidR="00F4065E" w:rsidRDefault="00F4065E" w:rsidP="007E4E81">
      <w:pPr>
        <w:pStyle w:val="a"/>
        <w:rPr>
          <w:rFonts w:eastAsiaTheme="minorEastAsia" w:cstheme="minorBidi"/>
          <w:sz w:val="22"/>
          <w:szCs w:val="22"/>
          <w:rtl/>
        </w:rPr>
      </w:pPr>
      <w:r>
        <w:rPr>
          <w:rtl/>
        </w:rPr>
        <w:t>ביאור הגרנ"פ בר"י מגאש וברמב"ם דנאמן רק במיגו דלקוחה ולא במיגו דלהד"ם דהוא העזה</w:t>
      </w:r>
    </w:p>
    <w:p w:rsidR="00F4065E" w:rsidRDefault="00F4065E" w:rsidP="007E4E81">
      <w:pPr>
        <w:pStyle w:val="a"/>
        <w:rPr>
          <w:rFonts w:eastAsiaTheme="minorEastAsia" w:cstheme="minorBidi"/>
          <w:sz w:val="22"/>
          <w:szCs w:val="22"/>
          <w:rtl/>
        </w:rPr>
      </w:pPr>
      <w:r>
        <w:rPr>
          <w:rtl/>
        </w:rPr>
        <w:t>ביאור הגרנ"פ בגר"א דהקול אינו כעידי מר"ק אלא דכיון שמודה לקול ממילא הקרקע בחזקתם</w:t>
      </w:r>
    </w:p>
    <w:p w:rsidR="00F4065E" w:rsidRDefault="00F4065E" w:rsidP="00F4065E">
      <w:pPr>
        <w:pStyle w:val="aff4"/>
        <w:rPr>
          <w:rFonts w:eastAsiaTheme="minorEastAsia" w:cstheme="minorBidi"/>
          <w:i/>
          <w:iCs/>
          <w:noProof/>
          <w:sz w:val="22"/>
          <w:szCs w:val="22"/>
          <w:rtl/>
        </w:rPr>
      </w:pPr>
      <w:r>
        <w:rPr>
          <w:noProof/>
          <w:rtl/>
        </w:rPr>
        <w:t>בי' הגרנ"פ בפלוגתת הרמב"ם והראב"ד בקול כשיש חזקת ג"ש</w:t>
      </w:r>
    </w:p>
    <w:p w:rsidR="00F4065E" w:rsidRDefault="00F4065E" w:rsidP="007E4E81">
      <w:pPr>
        <w:pStyle w:val="a"/>
        <w:rPr>
          <w:rFonts w:eastAsiaTheme="minorEastAsia" w:cstheme="minorBidi"/>
          <w:sz w:val="22"/>
          <w:szCs w:val="22"/>
          <w:rtl/>
        </w:rPr>
      </w:pPr>
      <w:r>
        <w:rPr>
          <w:rtl/>
        </w:rPr>
        <w:t>ביאור הגרנ"פ דלרמב"ם הקול שהקרקע שלהם ולראב"ד שנגמרה המשכנתא ויש ריעותא בחזקה</w:t>
      </w:r>
    </w:p>
    <w:p w:rsidR="00F4065E" w:rsidRDefault="00F4065E" w:rsidP="00F4065E">
      <w:pPr>
        <w:pStyle w:val="aff4"/>
        <w:rPr>
          <w:rFonts w:eastAsiaTheme="minorEastAsia" w:cstheme="minorBidi"/>
          <w:i/>
          <w:iCs/>
          <w:noProof/>
          <w:sz w:val="22"/>
          <w:szCs w:val="22"/>
          <w:rtl/>
        </w:rPr>
      </w:pPr>
      <w:r>
        <w:rPr>
          <w:noProof/>
          <w:rtl/>
        </w:rPr>
        <w:t>ביאור האבי עזרי ברמב"ם ובראב"ד בחיוב שבועה אחר שאכל</w:t>
      </w:r>
    </w:p>
    <w:p w:rsidR="00F4065E" w:rsidRDefault="00F4065E" w:rsidP="007E4E81">
      <w:pPr>
        <w:pStyle w:val="a"/>
        <w:rPr>
          <w:rFonts w:eastAsiaTheme="minorEastAsia" w:cstheme="minorBidi"/>
          <w:sz w:val="22"/>
          <w:szCs w:val="22"/>
          <w:rtl/>
        </w:rPr>
      </w:pPr>
      <w:r>
        <w:rPr>
          <w:rtl/>
        </w:rPr>
        <w:t>ביאור האבי עזרי ברמב"ם דהחיוב שבועה הוא רק בבא ליפרע ע"י שטר ולא בנאמן במיגו</w:t>
      </w:r>
    </w:p>
    <w:p w:rsidR="00F4065E" w:rsidRDefault="00F4065E" w:rsidP="007E4E81">
      <w:pPr>
        <w:pStyle w:val="a"/>
        <w:rPr>
          <w:rFonts w:eastAsiaTheme="minorEastAsia" w:cstheme="minorBidi"/>
          <w:sz w:val="22"/>
          <w:szCs w:val="22"/>
          <w:rtl/>
        </w:rPr>
      </w:pPr>
      <w:r>
        <w:rPr>
          <w:rtl/>
        </w:rPr>
        <w:t>בי'האבי עזרי בראב"ד דאחר שאכל את הפירות פטור משבועהה דאינו בכלל שבועת הנוטלים</w:t>
      </w:r>
    </w:p>
    <w:p w:rsidR="00F4065E" w:rsidRDefault="00F4065E" w:rsidP="007E4E81">
      <w:pPr>
        <w:pStyle w:val="a"/>
        <w:rPr>
          <w:rFonts w:eastAsiaTheme="minorEastAsia" w:cstheme="minorBidi"/>
          <w:sz w:val="22"/>
          <w:szCs w:val="22"/>
          <w:rtl/>
        </w:rPr>
      </w:pPr>
      <w:r>
        <w:rPr>
          <w:rtl/>
        </w:rPr>
        <w:t>דברי האבי עזרי דלהסוברים שחייב שבועה לאחר שגבה אי"ז מעיקר התקנה ולכן מהני מיגו</w:t>
      </w:r>
    </w:p>
    <w:p w:rsidR="00F4065E" w:rsidRDefault="00F4065E" w:rsidP="007E4E81">
      <w:pPr>
        <w:pStyle w:val="a"/>
        <w:rPr>
          <w:rFonts w:eastAsiaTheme="minorEastAsia" w:cstheme="minorBidi"/>
          <w:sz w:val="22"/>
          <w:szCs w:val="22"/>
          <w:rtl/>
        </w:rPr>
      </w:pPr>
      <w:r>
        <w:rPr>
          <w:rtl/>
        </w:rPr>
        <w:t>ביאור האבי עזרי ברמב"ם דנאמן לגבות פירות שלא אכל דכשאין השני מוחזק לא חשיב נוטל</w:t>
      </w:r>
    </w:p>
    <w:p w:rsidR="00F4065E" w:rsidRDefault="00F4065E" w:rsidP="00F4065E">
      <w:pPr>
        <w:pStyle w:val="aff4"/>
        <w:rPr>
          <w:rFonts w:eastAsiaTheme="minorEastAsia" w:cstheme="minorBidi"/>
          <w:i/>
          <w:iCs/>
          <w:noProof/>
          <w:sz w:val="22"/>
          <w:szCs w:val="22"/>
          <w:rtl/>
        </w:rPr>
      </w:pPr>
      <w:r>
        <w:rPr>
          <w:noProof/>
          <w:rtl/>
        </w:rPr>
        <w:t>ביאור הקה"י דבנאמנות במיגו עם שטר אין את שבועת הגאונים</w:t>
      </w:r>
    </w:p>
    <w:p w:rsidR="00F4065E" w:rsidRDefault="00F4065E" w:rsidP="007E4E81">
      <w:pPr>
        <w:pStyle w:val="a"/>
        <w:rPr>
          <w:rFonts w:eastAsiaTheme="minorEastAsia" w:cstheme="minorBidi"/>
          <w:sz w:val="22"/>
          <w:szCs w:val="22"/>
          <w:rtl/>
        </w:rPr>
      </w:pPr>
      <w:r>
        <w:rPr>
          <w:rtl/>
        </w:rPr>
        <w:t>ביאור הקה"י דשבועת הגאונים היא רק במקום שכל הנאמנות היא מכח המיגו ולא ע"י השטר</w:t>
      </w:r>
    </w:p>
    <w:p w:rsidR="00F4065E" w:rsidRDefault="00F4065E" w:rsidP="007E4E81">
      <w:pPr>
        <w:pStyle w:val="a"/>
        <w:rPr>
          <w:rFonts w:eastAsiaTheme="minorEastAsia" w:cstheme="minorBidi"/>
          <w:sz w:val="22"/>
          <w:szCs w:val="22"/>
          <w:rtl/>
        </w:rPr>
      </w:pPr>
      <w:r>
        <w:rPr>
          <w:rtl/>
        </w:rPr>
        <w:t>דברי הקה"י דכוונת הרמב"ם לומר דאף בחוב שאינו ע"י שטר והקרקע במשכון א"צ להשבע</w:t>
      </w:r>
    </w:p>
    <w:p w:rsidR="00F4065E" w:rsidRDefault="00F4065E" w:rsidP="00F4065E">
      <w:pPr>
        <w:pStyle w:val="2"/>
        <w:rPr>
          <w:rtl/>
        </w:rPr>
        <w:sectPr w:rsidR="00F4065E" w:rsidSect="00DC277F">
          <w:headerReference w:type="even" r:id="rId133"/>
          <w:footerReference w:type="even" r:id="rId134"/>
          <w:headerReference w:type="first" r:id="rId135"/>
          <w:footerReference w:type="first" r:id="rId136"/>
          <w:type w:val="continuous"/>
          <w:pgSz w:w="11906" w:h="16838"/>
          <w:pgMar w:top="720" w:right="720" w:bottom="720" w:left="720" w:header="283" w:footer="283" w:gutter="0"/>
          <w:cols w:num="2" w:space="113"/>
          <w:titlePg/>
          <w:bidi/>
          <w:rtlGutter/>
          <w:docGrid w:linePitch="299"/>
        </w:sectPr>
      </w:pPr>
      <w:r>
        <w:rPr>
          <w:rtl/>
        </w:rPr>
        <w:fldChar w:fldCharType="end"/>
      </w:r>
    </w:p>
    <w:p w:rsidR="00F4065E" w:rsidRPr="00B21444" w:rsidRDefault="00F4065E" w:rsidP="00F4065E">
      <w:pPr>
        <w:pStyle w:val="afe"/>
        <w:rPr>
          <w:rtl/>
        </w:rPr>
        <w:sectPr w:rsidR="00F4065E" w:rsidRPr="00B21444" w:rsidSect="00962FD5">
          <w:footerReference w:type="default" r:id="rId137"/>
          <w:pgSz w:w="11906" w:h="16838"/>
          <w:pgMar w:top="720" w:right="720" w:bottom="720" w:left="720" w:header="283" w:footer="283" w:gutter="0"/>
          <w:cols w:space="720"/>
          <w:bidi/>
          <w:rtlGutter/>
          <w:docGrid w:linePitch="299"/>
        </w:sectPr>
      </w:pPr>
      <w:bookmarkStart w:id="14193" w:name="_Toc65142869"/>
      <w:bookmarkStart w:id="14194" w:name="_Toc65529998"/>
      <w:bookmarkStart w:id="14195" w:name="_Toc65748228"/>
      <w:bookmarkStart w:id="14196" w:name="_Toc65788166"/>
      <w:bookmarkStart w:id="14197" w:name="_Toc65839197"/>
      <w:bookmarkStart w:id="14198" w:name="_Toc66048827"/>
      <w:bookmarkStart w:id="14199" w:name="_Toc66055767"/>
      <w:bookmarkStart w:id="14200" w:name="_Toc66085873"/>
      <w:bookmarkStart w:id="14201" w:name="_Toc66110435"/>
      <w:bookmarkStart w:id="14202" w:name="_Toc66123295"/>
      <w:bookmarkStart w:id="14203" w:name="_Toc66143743"/>
      <w:bookmarkStart w:id="14204" w:name="_Toc66171906"/>
      <w:bookmarkStart w:id="14205" w:name="_Toc66183146"/>
      <w:bookmarkStart w:id="14206" w:name="_Toc66185926"/>
      <w:bookmarkStart w:id="14207" w:name="_Toc66193386"/>
      <w:bookmarkStart w:id="14208" w:name="_Toc63675680"/>
      <w:bookmarkStart w:id="14209" w:name="_Toc63703844"/>
      <w:bookmarkStart w:id="14210" w:name="_Toc63714144"/>
      <w:bookmarkStart w:id="14211" w:name="_Toc63854257"/>
      <w:bookmarkStart w:id="14212" w:name="_Toc63942239"/>
      <w:bookmarkStart w:id="14213" w:name="_Toc63975454"/>
      <w:bookmarkStart w:id="14214" w:name="_Toc63986471"/>
      <w:bookmarkStart w:id="14215" w:name="_Toc64024580"/>
      <w:bookmarkStart w:id="14216" w:name="_Toc64035975"/>
      <w:bookmarkStart w:id="14217" w:name="_Toc64148009"/>
      <w:bookmarkStart w:id="14218" w:name="_Toc64205599"/>
      <w:bookmarkStart w:id="14219" w:name="_Toc6420927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r>
        <w:rPr>
          <w:rFonts w:hint="cs"/>
          <w:rtl/>
        </w:rPr>
        <w:lastRenderedPageBreak/>
        <w:t>~~~</w:t>
      </w:r>
      <w:r>
        <w:rPr>
          <w:noProof/>
          <w:rtl/>
        </w:rPr>
        <w:t>~~</w:t>
      </w:r>
      <w:r>
        <w:rPr>
          <w:rFonts w:hint="cs"/>
          <w:rtl/>
        </w:rPr>
        <w:t xml:space="preserve">~~ </w:t>
      </w:r>
      <w:r w:rsidRPr="0081356D">
        <w:rPr>
          <w:rFonts w:hint="cs"/>
          <w:rtl/>
        </w:rPr>
        <w:t>מראי מקומות וביאורים</w:t>
      </w:r>
      <w:bookmarkEnd w:id="14193"/>
      <w:bookmarkEnd w:id="14194"/>
      <w:bookmarkEnd w:id="14195"/>
      <w:r>
        <w:rPr>
          <w:rFonts w:hint="cs"/>
          <w:rtl/>
        </w:rPr>
        <w:t xml:space="preserve"> ~~~</w:t>
      </w:r>
      <w:r>
        <w:rPr>
          <w:noProof/>
          <w:rtl/>
        </w:rPr>
        <w:t>~~</w:t>
      </w:r>
      <w:r>
        <w:rPr>
          <w:rFonts w:hint="cs"/>
          <w:rtl/>
        </w:rPr>
        <w:t>~~</w:t>
      </w:r>
      <w:bookmarkEnd w:id="14196"/>
      <w:bookmarkEnd w:id="14197"/>
      <w:bookmarkEnd w:id="14198"/>
      <w:bookmarkEnd w:id="14199"/>
      <w:bookmarkEnd w:id="14200"/>
      <w:bookmarkEnd w:id="14201"/>
      <w:bookmarkEnd w:id="14202"/>
      <w:bookmarkEnd w:id="14203"/>
      <w:bookmarkEnd w:id="14204"/>
      <w:bookmarkEnd w:id="14205"/>
      <w:bookmarkEnd w:id="14206"/>
      <w:bookmarkEnd w:id="14207"/>
    </w:p>
    <w:p w:rsidR="00F4065E" w:rsidRDefault="00F4065E" w:rsidP="00F4065E">
      <w:pPr>
        <w:pStyle w:val="1"/>
        <w:rPr>
          <w:rtl/>
        </w:rPr>
      </w:pPr>
      <w:r>
        <w:rPr>
          <w:rFonts w:ascii="Guttman Adii-Light" w:eastAsia="Guttman Adii-Light" w:hAnsi="Guttman Adii-Light" w:hint="cs"/>
          <w:b w:val="0"/>
          <w:sz w:val="22"/>
          <w:szCs w:val="28"/>
          <w:rtl/>
        </w:rPr>
        <w:t xml:space="preserve">בביאור </w:t>
      </w:r>
      <w:r w:rsidRPr="00E7000D">
        <w:rPr>
          <w:rFonts w:ascii="Guttman Adii-Light" w:eastAsia="Guttman Adii-Light" w:hAnsi="Guttman Adii-Light"/>
          <w:b w:val="0"/>
          <w:sz w:val="22"/>
          <w:szCs w:val="28"/>
          <w:rtl/>
        </w:rPr>
        <w:t>ד</w:t>
      </w:r>
      <w:r>
        <w:rPr>
          <w:rFonts w:ascii="Guttman Adii-Light" w:eastAsia="Guttman Adii-Light" w:hAnsi="Guttman Adii-Light" w:hint="cs"/>
          <w:b w:val="0"/>
          <w:sz w:val="22"/>
          <w:szCs w:val="28"/>
          <w:rtl/>
        </w:rPr>
        <w:t>עת</w:t>
      </w:r>
      <w:r w:rsidRPr="00E7000D">
        <w:rPr>
          <w:rFonts w:ascii="Guttman Adii-Light" w:eastAsia="Guttman Adii-Light" w:hAnsi="Guttman Adii-Light"/>
          <w:b w:val="0"/>
          <w:sz w:val="22"/>
          <w:szCs w:val="28"/>
          <w:rtl/>
        </w:rPr>
        <w:t xml:space="preserve"> רבא ב"ש דא"צ </w:t>
      </w:r>
      <w:r>
        <w:rPr>
          <w:rFonts w:ascii="Guttman Adii-Light" w:eastAsia="Guttman Adii-Light" w:hAnsi="Guttman Adii-Light" w:hint="cs"/>
          <w:b w:val="0"/>
          <w:sz w:val="22"/>
          <w:szCs w:val="28"/>
          <w:rtl/>
        </w:rPr>
        <w:t>לישבע</w:t>
      </w:r>
    </w:p>
    <w:p w:rsidR="00F4065E" w:rsidRDefault="00F4065E" w:rsidP="00F4065E">
      <w:pPr>
        <w:pStyle w:val="1"/>
        <w:rPr>
          <w:rtl/>
        </w:rPr>
      </w:pPr>
      <w:r>
        <w:rPr>
          <w:rFonts w:hint="cs"/>
          <w:rtl/>
        </w:rPr>
        <w:t>ביאורי הרשב"ם</w:t>
      </w:r>
      <w:bookmarkEnd w:id="14208"/>
      <w:bookmarkEnd w:id="14209"/>
      <w:bookmarkEnd w:id="14210"/>
      <w:bookmarkEnd w:id="14211"/>
      <w:bookmarkEnd w:id="14212"/>
      <w:r>
        <w:rPr>
          <w:rFonts w:hint="cs"/>
          <w:rtl/>
        </w:rPr>
        <w:t xml:space="preserve"> דא"צ להשבע בקרקע וכן כיון שיש לו חזקה</w:t>
      </w:r>
      <w:bookmarkEnd w:id="14213"/>
      <w:bookmarkEnd w:id="14214"/>
      <w:bookmarkEnd w:id="14215"/>
      <w:bookmarkEnd w:id="14216"/>
      <w:bookmarkEnd w:id="14217"/>
      <w:bookmarkEnd w:id="14218"/>
      <w:bookmarkEnd w:id="14219"/>
    </w:p>
    <w:p w:rsidR="00F4065E" w:rsidRPr="00E5060C" w:rsidRDefault="00F4065E" w:rsidP="00F4065E">
      <w:pPr>
        <w:pStyle w:val="a3"/>
        <w:rPr>
          <w:rtl/>
        </w:rPr>
      </w:pPr>
      <w:bookmarkStart w:id="14220" w:name="_Toc63975455"/>
      <w:bookmarkStart w:id="14221" w:name="_Toc63986472"/>
      <w:bookmarkStart w:id="14222" w:name="_Toc64024581"/>
      <w:bookmarkStart w:id="14223" w:name="_Toc64035976"/>
      <w:bookmarkStart w:id="14224" w:name="_Toc64148010"/>
      <w:bookmarkStart w:id="14225" w:name="_Toc64205600"/>
      <w:bookmarkStart w:id="14226" w:name="_Toc64209280"/>
      <w:r>
        <w:rPr>
          <w:rFonts w:hint="cs"/>
          <w:rtl/>
        </w:rPr>
        <w:t>דברי הרשב"ם דכיון שהחזיק ג"ש בחיי האב סבר שיהיה נאמן במיגו כשאין את שטר המשכנתא</w:t>
      </w:r>
      <w:bookmarkEnd w:id="14220"/>
      <w:bookmarkEnd w:id="14221"/>
      <w:bookmarkEnd w:id="14222"/>
      <w:bookmarkEnd w:id="14223"/>
      <w:bookmarkEnd w:id="14224"/>
      <w:bookmarkEnd w:id="14225"/>
      <w:bookmarkEnd w:id="14226"/>
    </w:p>
    <w:p w:rsidR="00F4065E" w:rsidRDefault="00F4065E" w:rsidP="00BA3263">
      <w:pPr>
        <w:pStyle w:val="a0"/>
        <w:numPr>
          <w:ilvl w:val="0"/>
          <w:numId w:val="32"/>
        </w:numPr>
        <w:rPr>
          <w:rtl/>
        </w:rPr>
      </w:pPr>
      <w:bookmarkStart w:id="14227" w:name="_Ref63849062"/>
      <w:r>
        <w:rPr>
          <w:rFonts w:hint="cs"/>
          <w:rtl/>
        </w:rPr>
        <w:t xml:space="preserve">כתב </w:t>
      </w:r>
      <w:r w:rsidRPr="000138C4">
        <w:rPr>
          <w:rStyle w:val="af9"/>
          <w:rFonts w:hint="cs"/>
          <w:rtl/>
        </w:rPr>
        <w:t>הרשב"ם</w:t>
      </w:r>
      <w:r>
        <w:rPr>
          <w:rFonts w:hint="cs"/>
          <w:rtl/>
        </w:rPr>
        <w:t xml:space="preserve"> </w:t>
      </w:r>
      <w:r w:rsidRPr="007E4E81">
        <w:rPr>
          <w:rStyle w:val="af7"/>
          <w:rFonts w:eastAsia="Guttman Hodes" w:hint="cs"/>
          <w:rtl/>
        </w:rPr>
        <w:t>(ד"ה זוזי)</w:t>
      </w:r>
      <w:r>
        <w:rPr>
          <w:rFonts w:hint="cs"/>
          <w:rtl/>
        </w:rPr>
        <w:t xml:space="preserve"> דסבר רבא בר שרשום שאם יחזיר את הקרקע ליתומים, אחר שנגמרו שני המשכנתא ויתבע מהם את החוב, יהיה חייב שבועה, כדין הבא ליפרע מנכסי יתומים, אעפ"י שיש לו שטר, ולכן רצה להעלים את שטר המשכנתא, וכתב </w:t>
      </w:r>
      <w:r w:rsidRPr="000138C4">
        <w:rPr>
          <w:rStyle w:val="af9"/>
          <w:rFonts w:hint="cs"/>
          <w:rtl/>
        </w:rPr>
        <w:t>הרשב"ם</w:t>
      </w:r>
      <w:r>
        <w:rPr>
          <w:rFonts w:hint="cs"/>
          <w:rtl/>
        </w:rPr>
        <w:t xml:space="preserve"> </w:t>
      </w:r>
      <w:r w:rsidRPr="007E4E81">
        <w:rPr>
          <w:rStyle w:val="af7"/>
          <w:rFonts w:eastAsia="Guttman Hodes" w:hint="cs"/>
          <w:rtl/>
        </w:rPr>
        <w:t>(ד"ה לקוחה)</w:t>
      </w:r>
      <w:r>
        <w:rPr>
          <w:rFonts w:hint="cs"/>
          <w:rtl/>
        </w:rPr>
        <w:t xml:space="preserve"> דסבר שיהיה נאמן במיגו דלקוחה היא בידי כיון שהחזיק ג"ש בחיי האב.</w:t>
      </w:r>
      <w:bookmarkEnd w:id="14227"/>
    </w:p>
    <w:p w:rsidR="00F4065E" w:rsidRPr="00F8292F" w:rsidRDefault="00F4065E" w:rsidP="00F4065E">
      <w:pPr>
        <w:pStyle w:val="a3"/>
        <w:rPr>
          <w:rtl/>
        </w:rPr>
      </w:pPr>
      <w:bookmarkStart w:id="14228" w:name="_Toc63975456"/>
      <w:bookmarkStart w:id="14229" w:name="_Toc63986473"/>
      <w:bookmarkStart w:id="14230" w:name="_Toc64024582"/>
      <w:bookmarkStart w:id="14231" w:name="_Toc64035977"/>
      <w:bookmarkStart w:id="14232" w:name="_Toc64148011"/>
      <w:bookmarkStart w:id="14233" w:name="_Toc64205601"/>
      <w:bookmarkStart w:id="14234" w:name="_Toc64209281"/>
      <w:r>
        <w:rPr>
          <w:rFonts w:hint="cs"/>
          <w:rtl/>
        </w:rPr>
        <w:t xml:space="preserve">דברי הרשב"ם דסבר </w:t>
      </w:r>
      <w:r w:rsidRPr="00F8292F">
        <w:rPr>
          <w:rFonts w:hint="cs"/>
          <w:rtl/>
        </w:rPr>
        <w:t>שא"צ להשבע כיון שהוא קרקע ועוד דיש לו חזקת ג"ש שהיא במקום שטר</w:t>
      </w:r>
      <w:bookmarkEnd w:id="14228"/>
      <w:bookmarkEnd w:id="14229"/>
      <w:bookmarkEnd w:id="14230"/>
      <w:bookmarkEnd w:id="14231"/>
      <w:bookmarkEnd w:id="14232"/>
      <w:bookmarkEnd w:id="14233"/>
      <w:bookmarkEnd w:id="14234"/>
    </w:p>
    <w:p w:rsidR="00F4065E" w:rsidRPr="00F8292F" w:rsidRDefault="00F4065E" w:rsidP="007E4E81">
      <w:pPr>
        <w:pStyle w:val="a0"/>
        <w:rPr>
          <w:rtl/>
        </w:rPr>
      </w:pPr>
      <w:bookmarkStart w:id="14235" w:name="_Ref63330039"/>
      <w:r w:rsidRPr="00F8292F">
        <w:rPr>
          <w:rFonts w:hint="cs"/>
          <w:rtl/>
        </w:rPr>
        <w:t xml:space="preserve">וכתב </w:t>
      </w:r>
      <w:r w:rsidRPr="00F8292F">
        <w:rPr>
          <w:rStyle w:val="af9"/>
          <w:rFonts w:hint="cs"/>
          <w:rtl/>
        </w:rPr>
        <w:t>הרשב"ם</w:t>
      </w:r>
      <w:r w:rsidRPr="00F8292F">
        <w:rPr>
          <w:rFonts w:hint="cs"/>
          <w:rtl/>
        </w:rPr>
        <w:t xml:space="preserve"> </w:t>
      </w:r>
      <w:r w:rsidRPr="00F8292F">
        <w:rPr>
          <w:rStyle w:val="af7"/>
          <w:rFonts w:eastAsia="Guttman Hodes" w:hint="cs"/>
          <w:rtl/>
        </w:rPr>
        <w:t>(ד"ה מהימננא)</w:t>
      </w:r>
      <w:r w:rsidRPr="00F8292F">
        <w:rPr>
          <w:rFonts w:hint="cs"/>
          <w:rtl/>
        </w:rPr>
        <w:t xml:space="preserve"> דאינו צריך להשבע כיון שאין נשבעין על הקרקעות, ועוד דכיון שיש לו חזקת ג"ש, א"כ החזקה היא במקום שטר, ועי' במ"ש </w:t>
      </w:r>
      <w:r w:rsidRPr="00F8292F">
        <w:rPr>
          <w:rStyle w:val="af9"/>
          <w:rFonts w:hint="cs"/>
          <w:rtl/>
        </w:rPr>
        <w:t>הרמב"ן</w:t>
      </w:r>
      <w:r w:rsidRPr="00F8292F">
        <w:rPr>
          <w:rFonts w:hint="cs"/>
          <w:rtl/>
        </w:rPr>
        <w:t xml:space="preserve"> </w:t>
      </w:r>
      <w:r w:rsidRPr="00F8292F">
        <w:rPr>
          <w:rStyle w:val="af7"/>
          <w:rFonts w:eastAsia="Guttman Hodes" w:hint="cs"/>
          <w:rtl/>
        </w:rPr>
        <w:t xml:space="preserve">(עי' אות </w:t>
      </w:r>
      <w:r w:rsidRPr="00F8292F">
        <w:rPr>
          <w:rStyle w:val="af7"/>
          <w:rFonts w:eastAsia="Guttman Hodes"/>
          <w:rtl/>
        </w:rPr>
        <w:fldChar w:fldCharType="begin"/>
      </w:r>
      <w:r w:rsidRPr="00F8292F">
        <w:rPr>
          <w:rStyle w:val="af7"/>
          <w:rFonts w:eastAsia="Guttman Hodes"/>
          <w:rtl/>
        </w:rPr>
        <w:instrText xml:space="preserve"> </w:instrText>
      </w:r>
      <w:r w:rsidRPr="00F8292F">
        <w:rPr>
          <w:rStyle w:val="af7"/>
          <w:rFonts w:eastAsia="Guttman Hodes" w:hint="cs"/>
        </w:rPr>
        <w:instrText>REF</w:instrText>
      </w:r>
      <w:r w:rsidRPr="00F8292F">
        <w:rPr>
          <w:rStyle w:val="af7"/>
          <w:rFonts w:eastAsia="Guttman Hodes" w:hint="cs"/>
          <w:rtl/>
        </w:rPr>
        <w:instrText xml:space="preserve"> _</w:instrText>
      </w:r>
      <w:r w:rsidRPr="00F8292F">
        <w:rPr>
          <w:rStyle w:val="af7"/>
          <w:rFonts w:eastAsia="Guttman Hodes" w:hint="cs"/>
        </w:rPr>
        <w:instrText>Ref63330032 \r \h</w:instrText>
      </w:r>
      <w:r w:rsidRPr="00F8292F">
        <w:rPr>
          <w:rStyle w:val="af7"/>
          <w:rFonts w:eastAsia="Guttman Hodes"/>
          <w:rtl/>
        </w:rPr>
        <w:instrText xml:space="preserve">  \* </w:instrText>
      </w:r>
      <w:r w:rsidRPr="00F8292F">
        <w:rPr>
          <w:rStyle w:val="af7"/>
          <w:rFonts w:eastAsia="Guttman Hodes"/>
        </w:rPr>
        <w:instrText>MERGEFORMAT</w:instrText>
      </w:r>
      <w:r w:rsidRPr="00F8292F">
        <w:rPr>
          <w:rStyle w:val="af7"/>
          <w:rFonts w:eastAsia="Guttman Hodes"/>
          <w:rtl/>
        </w:rPr>
        <w:instrText xml:space="preserve"> </w:instrText>
      </w:r>
      <w:r w:rsidRPr="00F8292F">
        <w:rPr>
          <w:rStyle w:val="af7"/>
          <w:rFonts w:eastAsia="Guttman Hodes"/>
          <w:rtl/>
        </w:rPr>
      </w:r>
      <w:r w:rsidRPr="00F8292F">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F8292F">
        <w:rPr>
          <w:rStyle w:val="af7"/>
          <w:rFonts w:eastAsia="Guttman Hodes"/>
          <w:rtl/>
        </w:rPr>
        <w:fldChar w:fldCharType="end"/>
      </w:r>
      <w:r w:rsidRPr="00F8292F">
        <w:rPr>
          <w:rFonts w:hint="cs"/>
          <w:rtl/>
        </w:rPr>
        <w:t xml:space="preserve">, ובמה שביארו </w:t>
      </w:r>
      <w:r w:rsidRPr="00F8292F">
        <w:rPr>
          <w:rStyle w:val="af9"/>
          <w:rFonts w:hint="cs"/>
          <w:rtl/>
        </w:rPr>
        <w:t>בחי' רבי נחום</w:t>
      </w:r>
      <w:r w:rsidRPr="00F8292F">
        <w:rPr>
          <w:rFonts w:hint="cs"/>
          <w:rtl/>
        </w:rPr>
        <w:t xml:space="preserve"> </w:t>
      </w:r>
      <w:r w:rsidRPr="00F8292F">
        <w:rPr>
          <w:rStyle w:val="af7"/>
          <w:rFonts w:eastAsia="Guttman Hodes" w:hint="cs"/>
          <w:rtl/>
        </w:rPr>
        <w:t>(או' קס"א)</w:t>
      </w:r>
      <w:r w:rsidRPr="00F8292F">
        <w:rPr>
          <w:rFonts w:hint="cs"/>
          <w:rtl/>
        </w:rPr>
        <w:t xml:space="preserve"> </w:t>
      </w:r>
      <w:r w:rsidRPr="00F8292F">
        <w:rPr>
          <w:rStyle w:val="af9"/>
          <w:rFonts w:hint="cs"/>
          <w:rtl/>
        </w:rPr>
        <w:t>ובחי' רמ"ש לעיל</w:t>
      </w:r>
      <w:r w:rsidRPr="00F8292F">
        <w:rPr>
          <w:rFonts w:hint="cs"/>
          <w:rtl/>
        </w:rPr>
        <w:t xml:space="preserve"> </w:t>
      </w:r>
      <w:r w:rsidRPr="00F8292F">
        <w:rPr>
          <w:rStyle w:val="af7"/>
          <w:rFonts w:eastAsia="Guttman Hodes" w:hint="cs"/>
          <w:rtl/>
        </w:rPr>
        <w:t>(כט. או' ד')</w:t>
      </w:r>
      <w:r w:rsidRPr="00F8292F">
        <w:rPr>
          <w:rFonts w:hint="cs"/>
          <w:rtl/>
        </w:rPr>
        <w:t xml:space="preserve"> בדברי </w:t>
      </w:r>
      <w:r w:rsidRPr="00F8292F">
        <w:rPr>
          <w:rStyle w:val="af9"/>
          <w:rFonts w:hint="cs"/>
          <w:rtl/>
        </w:rPr>
        <w:t>הרשב"ם</w:t>
      </w:r>
      <w:r w:rsidRPr="00F8292F">
        <w:rPr>
          <w:rFonts w:hint="cs"/>
          <w:rtl/>
        </w:rPr>
        <w:t>.</w:t>
      </w:r>
      <w:bookmarkEnd w:id="14235"/>
    </w:p>
    <w:p w:rsidR="00F4065E" w:rsidRPr="00F8292F" w:rsidRDefault="00F4065E" w:rsidP="00F4065E">
      <w:pPr>
        <w:pStyle w:val="1"/>
        <w:rPr>
          <w:rtl/>
        </w:rPr>
      </w:pPr>
      <w:bookmarkStart w:id="14236" w:name="_Toc63666755"/>
      <w:bookmarkStart w:id="14237" w:name="_Toc63675681"/>
      <w:bookmarkStart w:id="14238" w:name="_Toc63703845"/>
      <w:bookmarkStart w:id="14239" w:name="_Toc63714145"/>
      <w:bookmarkStart w:id="14240" w:name="_Toc63854258"/>
      <w:bookmarkStart w:id="14241" w:name="_Toc63942240"/>
      <w:bookmarkStart w:id="14242" w:name="_Toc63975458"/>
      <w:bookmarkStart w:id="14243" w:name="_Toc63986475"/>
      <w:bookmarkStart w:id="14244" w:name="_Toc64024584"/>
      <w:bookmarkStart w:id="14245" w:name="_Toc64035979"/>
      <w:bookmarkStart w:id="14246" w:name="_Toc64148013"/>
      <w:bookmarkStart w:id="14247" w:name="_Toc64205603"/>
      <w:bookmarkStart w:id="14248" w:name="_Toc64209283"/>
      <w:r w:rsidRPr="00F8292F">
        <w:rPr>
          <w:rFonts w:hint="cs"/>
          <w:rtl/>
        </w:rPr>
        <w:t xml:space="preserve">דברי </w:t>
      </w:r>
      <w:bookmarkEnd w:id="14236"/>
      <w:bookmarkEnd w:id="14237"/>
      <w:bookmarkEnd w:id="14238"/>
      <w:bookmarkEnd w:id="14239"/>
      <w:bookmarkEnd w:id="14240"/>
      <w:bookmarkEnd w:id="14241"/>
      <w:r w:rsidRPr="00F8292F">
        <w:rPr>
          <w:rFonts w:hint="cs"/>
          <w:rtl/>
        </w:rPr>
        <w:t>התוס' והראשונים דרבא ב"ש הסכים להמתין ולא להשבע</w:t>
      </w:r>
      <w:bookmarkEnd w:id="14242"/>
      <w:bookmarkEnd w:id="14243"/>
      <w:bookmarkEnd w:id="14244"/>
      <w:bookmarkEnd w:id="14245"/>
      <w:bookmarkEnd w:id="14246"/>
      <w:bookmarkEnd w:id="14247"/>
      <w:bookmarkEnd w:id="14248"/>
    </w:p>
    <w:p w:rsidR="00F4065E" w:rsidRPr="00F8292F" w:rsidRDefault="00F4065E" w:rsidP="00F4065E">
      <w:pPr>
        <w:pStyle w:val="a3"/>
      </w:pPr>
      <w:bookmarkStart w:id="14249" w:name="_Toc63975459"/>
      <w:bookmarkStart w:id="14250" w:name="_Toc63986476"/>
      <w:bookmarkStart w:id="14251" w:name="_Toc64024585"/>
      <w:bookmarkStart w:id="14252" w:name="_Toc64035980"/>
      <w:bookmarkStart w:id="14253" w:name="_Toc64148014"/>
      <w:bookmarkStart w:id="14254" w:name="_Toc64205604"/>
      <w:bookmarkStart w:id="14255" w:name="_Toc64209284"/>
      <w:r w:rsidRPr="00F8292F">
        <w:rPr>
          <w:rFonts w:hint="cs"/>
          <w:rtl/>
        </w:rPr>
        <w:t>קושית התוס' והרמב"ן והרשב"א ורבינו יונה דהיה לו לומר דאין נזקקין לנכסי קטנים אף בשבועה</w:t>
      </w:r>
      <w:bookmarkEnd w:id="14249"/>
      <w:bookmarkEnd w:id="14250"/>
      <w:bookmarkEnd w:id="14251"/>
      <w:bookmarkEnd w:id="14252"/>
      <w:bookmarkEnd w:id="14253"/>
      <w:bookmarkEnd w:id="14254"/>
      <w:bookmarkEnd w:id="14255"/>
    </w:p>
    <w:p w:rsidR="00F4065E" w:rsidRDefault="00F4065E" w:rsidP="007E4E81">
      <w:pPr>
        <w:pStyle w:val="a0"/>
        <w:rPr>
          <w:rtl/>
        </w:rPr>
      </w:pPr>
      <w:r w:rsidRPr="00F8292F">
        <w:rPr>
          <w:rFonts w:hint="cs"/>
          <w:rtl/>
        </w:rPr>
        <w:t xml:space="preserve">ובהא דאמר רבא בר שרשום "אמור רבנן דלא יפרע אלא בשבועה", כתבו </w:t>
      </w:r>
      <w:r w:rsidRPr="00F8292F">
        <w:rPr>
          <w:rStyle w:val="af9"/>
          <w:rFonts w:hint="cs"/>
          <w:rtl/>
        </w:rPr>
        <w:t>התוס'</w:t>
      </w:r>
      <w:r w:rsidRPr="00F8292F">
        <w:rPr>
          <w:rStyle w:val="af7"/>
          <w:rFonts w:eastAsia="Guttman Hodes" w:hint="cs"/>
          <w:rtl/>
        </w:rPr>
        <w:t xml:space="preserve"> (ד"ה אמור) </w:t>
      </w:r>
      <w:r w:rsidRPr="00F8292F">
        <w:rPr>
          <w:rStyle w:val="af9"/>
          <w:rFonts w:hint="cs"/>
          <w:rtl/>
        </w:rPr>
        <w:t>והרמב"ן</w:t>
      </w:r>
      <w:r w:rsidRPr="00F8292F">
        <w:rPr>
          <w:rFonts w:hint="cs"/>
          <w:rtl/>
        </w:rPr>
        <w:t xml:space="preserve"> </w:t>
      </w:r>
      <w:r w:rsidRPr="00F8292F">
        <w:rPr>
          <w:rStyle w:val="af7"/>
          <w:rFonts w:eastAsia="Guttman Hodes" w:hint="cs"/>
          <w:rtl/>
        </w:rPr>
        <w:t>(ד"ה אמור)</w:t>
      </w:r>
      <w:r w:rsidRPr="00F8292F">
        <w:rPr>
          <w:rFonts w:hint="cs"/>
          <w:rtl/>
        </w:rPr>
        <w:t xml:space="preserve"> </w:t>
      </w:r>
      <w:r w:rsidRPr="00F8292F">
        <w:rPr>
          <w:rStyle w:val="af9"/>
          <w:rFonts w:hint="cs"/>
          <w:rtl/>
        </w:rPr>
        <w:t>והרשב"א</w:t>
      </w:r>
      <w:r w:rsidRPr="00F8292F">
        <w:rPr>
          <w:rFonts w:hint="cs"/>
          <w:rtl/>
        </w:rPr>
        <w:t xml:space="preserve"> </w:t>
      </w:r>
      <w:r w:rsidRPr="00F8292F">
        <w:rPr>
          <w:rStyle w:val="af7"/>
          <w:rFonts w:eastAsia="Guttman Hodes" w:hint="cs"/>
          <w:rtl/>
        </w:rPr>
        <w:t>(ד"ה הא)</w:t>
      </w:r>
      <w:r w:rsidRPr="00F8292F">
        <w:rPr>
          <w:rFonts w:hint="cs"/>
          <w:rtl/>
        </w:rPr>
        <w:t xml:space="preserve"> דהיה לו לומר דאמור רבנן דאין נזקקין לנכסי יתומים קטנים, דהא אף בשבועה אינו יכול לגבות מהם עד שיגדלו, ולכן אמר לו אביי שיחזיר את הקרקע ויתבע מהם</w:t>
      </w:r>
      <w:r>
        <w:rPr>
          <w:rFonts w:hint="cs"/>
          <w:rtl/>
        </w:rPr>
        <w:t xml:space="preserve"> כשיגדלו,</w:t>
      </w:r>
      <w:r w:rsidRPr="00614D5A">
        <w:rPr>
          <w:rFonts w:hint="cs"/>
          <w:rtl/>
        </w:rPr>
        <w:t xml:space="preserve"> </w:t>
      </w:r>
      <w:r>
        <w:rPr>
          <w:rFonts w:hint="cs"/>
          <w:rtl/>
        </w:rPr>
        <w:t xml:space="preserve">וכן הקשה </w:t>
      </w:r>
      <w:r w:rsidRPr="0001524E">
        <w:rPr>
          <w:rStyle w:val="af9"/>
          <w:rFonts w:hint="cs"/>
          <w:rtl/>
        </w:rPr>
        <w:t>רבינו</w:t>
      </w:r>
      <w:r>
        <w:rPr>
          <w:rFonts w:hint="cs"/>
          <w:rtl/>
        </w:rPr>
        <w:t xml:space="preserve"> </w:t>
      </w:r>
      <w:r w:rsidRPr="0001524E">
        <w:rPr>
          <w:rStyle w:val="af9"/>
          <w:rFonts w:hint="cs"/>
          <w:rtl/>
        </w:rPr>
        <w:t>יונה</w:t>
      </w:r>
      <w:r>
        <w:rPr>
          <w:rFonts w:hint="cs"/>
          <w:rtl/>
        </w:rPr>
        <w:t xml:space="preserve"> </w:t>
      </w:r>
      <w:r w:rsidRPr="00C17BF6">
        <w:rPr>
          <w:rStyle w:val="af7"/>
          <w:rFonts w:eastAsia="Guttman Hodes" w:hint="cs"/>
          <w:rtl/>
        </w:rPr>
        <w:t>(ד"ה אמינא)</w:t>
      </w:r>
      <w:r>
        <w:rPr>
          <w:rFonts w:hint="cs"/>
          <w:rtl/>
        </w:rPr>
        <w:t xml:space="preserve"> דאף בשבועה אינו יכול להפרע מהם כיון שהם קטנים, דהא קיי"ל בערכין </w:t>
      </w:r>
      <w:r w:rsidRPr="00C17BF6">
        <w:rPr>
          <w:rStyle w:val="af7"/>
          <w:rFonts w:eastAsia="Guttman Hodes" w:hint="cs"/>
          <w:rtl/>
        </w:rPr>
        <w:t>(כב.)</w:t>
      </w:r>
      <w:r>
        <w:rPr>
          <w:rFonts w:hint="cs"/>
          <w:rtl/>
        </w:rPr>
        <w:t xml:space="preserve"> דאין נזקקין לנכסי יתומים.</w:t>
      </w:r>
    </w:p>
    <w:p w:rsidR="00F4065E" w:rsidRPr="0056732A" w:rsidRDefault="00F4065E" w:rsidP="00F4065E">
      <w:pPr>
        <w:pStyle w:val="a3"/>
      </w:pPr>
      <w:bookmarkStart w:id="14256" w:name="_Toc63975460"/>
      <w:bookmarkStart w:id="14257" w:name="_Toc63986477"/>
      <w:bookmarkStart w:id="14258" w:name="_Toc64024586"/>
      <w:bookmarkStart w:id="14259" w:name="_Toc64035981"/>
      <w:bookmarkStart w:id="14260" w:name="_Toc64148015"/>
      <w:bookmarkStart w:id="14261" w:name="_Toc64205605"/>
      <w:bookmarkStart w:id="14262" w:name="_Toc64209285"/>
      <w:r>
        <w:rPr>
          <w:rFonts w:hint="cs"/>
          <w:rtl/>
        </w:rPr>
        <w:t>ביאור התוס' והרמב"ן והרשב"א ורבינו יונה והרא"ש דהסכים להמתין שיגדולו ולא רצה לישבע</w:t>
      </w:r>
      <w:bookmarkEnd w:id="14256"/>
      <w:bookmarkEnd w:id="14257"/>
      <w:bookmarkEnd w:id="14258"/>
      <w:bookmarkEnd w:id="14259"/>
      <w:bookmarkEnd w:id="14260"/>
      <w:bookmarkEnd w:id="14261"/>
      <w:bookmarkEnd w:id="14262"/>
    </w:p>
    <w:p w:rsidR="00F4065E" w:rsidRDefault="00F4065E" w:rsidP="007E4E81">
      <w:pPr>
        <w:pStyle w:val="a0"/>
        <w:rPr>
          <w:rtl/>
        </w:rPr>
      </w:pPr>
      <w:r>
        <w:rPr>
          <w:rFonts w:hint="cs"/>
          <w:rtl/>
        </w:rPr>
        <w:t xml:space="preserve">אלא ביארו </w:t>
      </w:r>
      <w:r w:rsidRPr="0001524E">
        <w:rPr>
          <w:rStyle w:val="af9"/>
          <w:rFonts w:hint="cs"/>
          <w:rtl/>
        </w:rPr>
        <w:t>התוס' והרמב"ן והרשב"א</w:t>
      </w:r>
      <w:r>
        <w:rPr>
          <w:rFonts w:hint="cs"/>
          <w:rtl/>
        </w:rPr>
        <w:t xml:space="preserve"> </w:t>
      </w:r>
      <w:r w:rsidRPr="0001524E">
        <w:rPr>
          <w:rStyle w:val="af9"/>
          <w:rFonts w:hint="cs"/>
          <w:rtl/>
        </w:rPr>
        <w:t>ורבינו</w:t>
      </w:r>
      <w:r>
        <w:rPr>
          <w:rFonts w:hint="cs"/>
          <w:rtl/>
        </w:rPr>
        <w:t xml:space="preserve"> </w:t>
      </w:r>
      <w:r w:rsidRPr="0001524E">
        <w:rPr>
          <w:rStyle w:val="af9"/>
          <w:rFonts w:hint="cs"/>
          <w:rtl/>
        </w:rPr>
        <w:t>יונה</w:t>
      </w:r>
      <w:r>
        <w:rPr>
          <w:rFonts w:hint="cs"/>
          <w:rtl/>
        </w:rPr>
        <w:t xml:space="preserve"> דרבא בר שרשום הסכים להמתין שיגדילו, והוא רק רצה להפטר מהשבועה, שלאחר שיגדלו לא יצטרך להשבע, וכ"כ </w:t>
      </w:r>
      <w:r w:rsidRPr="0001524E">
        <w:rPr>
          <w:rStyle w:val="af9"/>
          <w:rFonts w:hint="cs"/>
          <w:rtl/>
        </w:rPr>
        <w:t>הרא"ש</w:t>
      </w:r>
      <w:r>
        <w:rPr>
          <w:rFonts w:hint="cs"/>
          <w:rtl/>
        </w:rPr>
        <w:t xml:space="preserve"> </w:t>
      </w:r>
      <w:r w:rsidRPr="00C17BF6">
        <w:rPr>
          <w:rStyle w:val="af7"/>
          <w:rFonts w:eastAsia="Guttman Hodes" w:hint="cs"/>
          <w:rtl/>
        </w:rPr>
        <w:t>(סי' ט"ז)</w:t>
      </w:r>
      <w:bookmarkStart w:id="14263" w:name="_Ref63871654"/>
      <w:r>
        <w:rPr>
          <w:rStyle w:val="af1"/>
          <w:rtl/>
        </w:rPr>
        <w:footnoteReference w:id="102"/>
      </w:r>
      <w:bookmarkEnd w:id="14263"/>
      <w:r>
        <w:rPr>
          <w:rFonts w:hint="cs"/>
          <w:rtl/>
        </w:rPr>
        <w:t xml:space="preserve">, והוסיף </w:t>
      </w:r>
      <w:r w:rsidRPr="0001524E">
        <w:rPr>
          <w:rStyle w:val="af9"/>
          <w:rFonts w:hint="cs"/>
          <w:rtl/>
        </w:rPr>
        <w:t>הריטב"א</w:t>
      </w:r>
      <w:r>
        <w:rPr>
          <w:rFonts w:hint="cs"/>
          <w:rtl/>
        </w:rPr>
        <w:t xml:space="preserve"> </w:t>
      </w:r>
      <w:r w:rsidRPr="005951EE">
        <w:rPr>
          <w:rStyle w:val="af7"/>
          <w:rFonts w:eastAsia="Guttman Hodes" w:hint="cs"/>
          <w:rtl/>
        </w:rPr>
        <w:t>(ד"ה אמור)</w:t>
      </w:r>
      <w:r>
        <w:rPr>
          <w:rFonts w:hint="cs"/>
          <w:rtl/>
        </w:rPr>
        <w:t xml:space="preserve"> דעיקר החשש של רבא בר שרשום דהיה חמור בעיניו להשבע אפילו באמת, ולכן לא חשש להמתין ורק רצה להפטר מהשבועה.</w:t>
      </w:r>
    </w:p>
    <w:p w:rsidR="00F4065E" w:rsidRPr="0055385A" w:rsidRDefault="00F4065E" w:rsidP="00F4065E">
      <w:pPr>
        <w:pStyle w:val="a3"/>
        <w:rPr>
          <w:rtl/>
        </w:rPr>
      </w:pPr>
    </w:p>
    <w:p w:rsidR="00F4065E" w:rsidRPr="0055385A" w:rsidRDefault="00F4065E" w:rsidP="00F4065E">
      <w:pPr>
        <w:pStyle w:val="a3"/>
        <w:rPr>
          <w:rtl/>
        </w:rPr>
      </w:pPr>
    </w:p>
    <w:p w:rsidR="00F4065E" w:rsidRPr="0055385A" w:rsidRDefault="00F4065E" w:rsidP="00F4065E">
      <w:pPr>
        <w:pStyle w:val="a3"/>
        <w:rPr>
          <w:rtl/>
        </w:rPr>
      </w:pPr>
    </w:p>
    <w:p w:rsidR="00F4065E" w:rsidRPr="0055385A" w:rsidRDefault="00F4065E" w:rsidP="00F4065E">
      <w:pPr>
        <w:pStyle w:val="a3"/>
        <w:rPr>
          <w:rtl/>
        </w:rPr>
      </w:pPr>
    </w:p>
    <w:p w:rsidR="00F4065E" w:rsidRPr="009B6BFE" w:rsidRDefault="00F4065E" w:rsidP="00F4065E">
      <w:pPr>
        <w:pStyle w:val="afe"/>
        <w:rPr>
          <w:rtl/>
        </w:rPr>
      </w:pPr>
      <w:bookmarkStart w:id="14264" w:name="_Toc64024587"/>
      <w:bookmarkStart w:id="14265" w:name="_Toc64035982"/>
      <w:bookmarkStart w:id="14266" w:name="_Toc64148016"/>
      <w:bookmarkStart w:id="14267" w:name="_Toc64205606"/>
      <w:bookmarkStart w:id="14268" w:name="_Toc64209286"/>
      <w:bookmarkStart w:id="14269" w:name="_Toc63975461"/>
      <w:bookmarkStart w:id="14270" w:name="_Toc63986478"/>
      <w:bookmarkStart w:id="14271" w:name="_Toc63675683"/>
      <w:bookmarkStart w:id="14272" w:name="_Toc63703846"/>
      <w:bookmarkStart w:id="14273" w:name="_Toc63714146"/>
      <w:bookmarkStart w:id="14274" w:name="_Toc63854259"/>
      <w:bookmarkStart w:id="14275" w:name="_Toc63942241"/>
      <w:bookmarkStart w:id="14276" w:name="_Toc63975462"/>
      <w:bookmarkStart w:id="14277" w:name="_Toc63986479"/>
      <w:bookmarkStart w:id="14278" w:name="_Toc64024588"/>
      <w:bookmarkStart w:id="14279" w:name="_Toc64035983"/>
      <w:bookmarkStart w:id="14280" w:name="_Toc64148017"/>
      <w:bookmarkStart w:id="14281" w:name="_Toc64205607"/>
      <w:bookmarkStart w:id="14282" w:name="_Toc64209287"/>
      <w:r>
        <w:rPr>
          <w:rFonts w:hint="cs"/>
          <w:rtl/>
        </w:rPr>
        <w:t>ד' הר"י מגאש דכשלא החזיר נאמן במיגו</w:t>
      </w:r>
      <w:bookmarkEnd w:id="14264"/>
      <w:bookmarkEnd w:id="14265"/>
      <w:bookmarkEnd w:id="14266"/>
      <w:bookmarkEnd w:id="14267"/>
      <w:bookmarkEnd w:id="14268"/>
      <w:r>
        <w:rPr>
          <w:rFonts w:hint="cs"/>
          <w:rtl/>
        </w:rPr>
        <w:t xml:space="preserve"> </w:t>
      </w:r>
      <w:bookmarkEnd w:id="14269"/>
      <w:bookmarkEnd w:id="14270"/>
    </w:p>
    <w:p w:rsidR="00F4065E" w:rsidRDefault="00F4065E" w:rsidP="00F4065E">
      <w:pPr>
        <w:pStyle w:val="1"/>
        <w:rPr>
          <w:rtl/>
        </w:rPr>
      </w:pPr>
      <w:r>
        <w:rPr>
          <w:rFonts w:hint="cs"/>
          <w:rtl/>
        </w:rPr>
        <w:t xml:space="preserve">ביאור הר"י מגאש </w:t>
      </w:r>
      <w:bookmarkEnd w:id="14271"/>
      <w:bookmarkEnd w:id="14272"/>
      <w:bookmarkEnd w:id="14273"/>
      <w:bookmarkEnd w:id="14274"/>
      <w:bookmarkEnd w:id="14275"/>
      <w:r>
        <w:rPr>
          <w:rFonts w:hint="cs"/>
          <w:rtl/>
        </w:rPr>
        <w:t>דלא החזיר את הקרקע ורצה לגבות עכשיו</w:t>
      </w:r>
      <w:bookmarkEnd w:id="14276"/>
      <w:bookmarkEnd w:id="14277"/>
      <w:bookmarkEnd w:id="14278"/>
      <w:bookmarkEnd w:id="14279"/>
      <w:bookmarkEnd w:id="14280"/>
      <w:bookmarkEnd w:id="14281"/>
      <w:bookmarkEnd w:id="14282"/>
    </w:p>
    <w:p w:rsidR="00F4065E" w:rsidRDefault="00F4065E" w:rsidP="00F4065E">
      <w:pPr>
        <w:pStyle w:val="a3"/>
      </w:pPr>
      <w:bookmarkStart w:id="14283" w:name="_Toc63975463"/>
      <w:bookmarkStart w:id="14284" w:name="_Toc63986480"/>
      <w:bookmarkStart w:id="14285" w:name="_Toc64024589"/>
      <w:bookmarkStart w:id="14286" w:name="_Toc64035984"/>
      <w:bookmarkStart w:id="14287" w:name="_Toc64148018"/>
      <w:bookmarkStart w:id="14288" w:name="_Toc64205608"/>
      <w:bookmarkStart w:id="14289" w:name="_Toc64209288"/>
      <w:r>
        <w:rPr>
          <w:rFonts w:hint="cs"/>
          <w:rtl/>
        </w:rPr>
        <w:t>דברי הר"י מגאש דרצה להניח את הקרקע בידו עד לאחר שיאכל ולא יוציא ממנו דנאמן במיגו</w:t>
      </w:r>
      <w:bookmarkEnd w:id="14283"/>
      <w:bookmarkEnd w:id="14284"/>
      <w:bookmarkEnd w:id="14285"/>
      <w:bookmarkEnd w:id="14286"/>
      <w:bookmarkEnd w:id="14287"/>
      <w:bookmarkEnd w:id="14288"/>
      <w:bookmarkEnd w:id="14289"/>
    </w:p>
    <w:p w:rsidR="00F4065E" w:rsidRDefault="00F4065E" w:rsidP="007E4E81">
      <w:pPr>
        <w:pStyle w:val="a0"/>
        <w:rPr>
          <w:rtl/>
        </w:rPr>
      </w:pPr>
      <w:bookmarkStart w:id="14290" w:name="_Ref63674377"/>
      <w:bookmarkStart w:id="14291" w:name="_Ref63760287"/>
      <w:r>
        <w:rPr>
          <w:rFonts w:hint="cs"/>
          <w:rtl/>
        </w:rPr>
        <w:t xml:space="preserve">כתב </w:t>
      </w:r>
      <w:r w:rsidRPr="00314C31">
        <w:rPr>
          <w:rStyle w:val="af9"/>
          <w:rFonts w:hint="cs"/>
          <w:rtl/>
        </w:rPr>
        <w:t>הר"י</w:t>
      </w:r>
      <w:r>
        <w:rPr>
          <w:rFonts w:hint="cs"/>
          <w:rtl/>
        </w:rPr>
        <w:t xml:space="preserve"> </w:t>
      </w:r>
      <w:r w:rsidRPr="00314C31">
        <w:rPr>
          <w:rStyle w:val="af9"/>
          <w:rFonts w:hint="cs"/>
          <w:rtl/>
        </w:rPr>
        <w:t>מגאש</w:t>
      </w:r>
      <w:r>
        <w:rPr>
          <w:rFonts w:hint="cs"/>
          <w:rtl/>
        </w:rPr>
        <w:t xml:space="preserve"> </w:t>
      </w:r>
      <w:r w:rsidRPr="001D13BB">
        <w:rPr>
          <w:rStyle w:val="af7"/>
          <w:rFonts w:eastAsia="Guttman Hodes" w:hint="cs"/>
          <w:rtl/>
        </w:rPr>
        <w:t>(ד"ה רבא)</w:t>
      </w:r>
      <w:r>
        <w:rPr>
          <w:rFonts w:hint="cs"/>
          <w:rtl/>
        </w:rPr>
        <w:t xml:space="preserve"> דאיירי במשכנתא דסורא דנגמרו שני המשכנתא, וסבר רבא בר שרשום שאם יחזיר את הקרקע ליתומים, ויאמר שיש לו חוב בשטר על אביהם, הוא יצטרך להשבע, ולכן רצה רבא בר שרשום להשאיר את הקרקע בידו, עד שיאכל ממנה את החוב של אביהם, ולא יוכלו היתומים להוציא ממנו את הקרקע, דיש לו מיגו, דהא אם היה טוען דהקרקע לקוחה בידו היה נאמן, דהא איירי שאכל את הקרקע שני חזקה בפני היתומים, לכן הוא נאמן במיגו שיש לו חוב על אביהם</w:t>
      </w:r>
      <w:bookmarkEnd w:id="14290"/>
      <w:r>
        <w:rPr>
          <w:rFonts w:hint="cs"/>
          <w:rtl/>
        </w:rPr>
        <w:t xml:space="preserve">, וכן מבואר מדברי </w:t>
      </w:r>
      <w:r w:rsidRPr="00067B68">
        <w:rPr>
          <w:rStyle w:val="af9"/>
          <w:rFonts w:hint="cs"/>
          <w:rtl/>
        </w:rPr>
        <w:t xml:space="preserve">הרמב"ם </w:t>
      </w:r>
      <w:r w:rsidRPr="00462ACA">
        <w:rPr>
          <w:rStyle w:val="af7"/>
          <w:rFonts w:eastAsia="Guttman Hodes" w:hint="cs"/>
          <w:rtl/>
        </w:rPr>
        <w:t xml:space="preserve">(עי' אות </w:t>
      </w:r>
      <w:r w:rsidRPr="00462ACA">
        <w:rPr>
          <w:rStyle w:val="af7"/>
          <w:rFonts w:eastAsia="Guttman Hodes"/>
          <w:rtl/>
        </w:rPr>
        <w:fldChar w:fldCharType="begin"/>
      </w:r>
      <w:r w:rsidRPr="00462ACA">
        <w:rPr>
          <w:rStyle w:val="af7"/>
          <w:rFonts w:eastAsia="Guttman Hodes"/>
          <w:rtl/>
        </w:rPr>
        <w:instrText xml:space="preserve"> </w:instrText>
      </w:r>
      <w:r w:rsidRPr="00462ACA">
        <w:rPr>
          <w:rStyle w:val="af7"/>
          <w:rFonts w:eastAsia="Guttman Hodes" w:hint="cs"/>
        </w:rPr>
        <w:instrText>REF</w:instrText>
      </w:r>
      <w:r w:rsidRPr="00462ACA">
        <w:rPr>
          <w:rStyle w:val="af7"/>
          <w:rFonts w:eastAsia="Guttman Hodes" w:hint="cs"/>
          <w:rtl/>
        </w:rPr>
        <w:instrText xml:space="preserve"> _</w:instrText>
      </w:r>
      <w:r w:rsidRPr="00462ACA">
        <w:rPr>
          <w:rStyle w:val="af7"/>
          <w:rFonts w:eastAsia="Guttman Hodes" w:hint="cs"/>
        </w:rPr>
        <w:instrText>Ref63702477 \r \h</w:instrText>
      </w:r>
      <w:r w:rsidRPr="00462ACA">
        <w:rPr>
          <w:rStyle w:val="af7"/>
          <w:rFonts w:eastAsia="Guttman Hodes"/>
          <w:rtl/>
        </w:rPr>
        <w:instrText xml:space="preserve"> </w:instrText>
      </w:r>
      <w:r w:rsidRPr="00462ACA">
        <w:rPr>
          <w:rStyle w:val="af7"/>
          <w:rFonts w:eastAsia="Guttman Hodes"/>
          <w:rtl/>
        </w:rPr>
      </w:r>
      <w:r w:rsidRPr="00462ACA">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462ACA">
        <w:rPr>
          <w:rStyle w:val="af7"/>
          <w:rFonts w:eastAsia="Guttman Hodes"/>
          <w:rtl/>
        </w:rPr>
        <w:fldChar w:fldCharType="end"/>
      </w:r>
      <w:r>
        <w:rPr>
          <w:rFonts w:hint="cs"/>
          <w:rtl/>
        </w:rPr>
        <w:t>.</w:t>
      </w:r>
    </w:p>
    <w:p w:rsidR="00F4065E" w:rsidRPr="00F70C47" w:rsidRDefault="00F4065E" w:rsidP="00F4065E">
      <w:pPr>
        <w:pStyle w:val="a3"/>
      </w:pPr>
      <w:bookmarkStart w:id="14292" w:name="_Toc63975464"/>
      <w:bookmarkStart w:id="14293" w:name="_Toc63986481"/>
      <w:bookmarkStart w:id="14294" w:name="_Toc64024590"/>
      <w:bookmarkStart w:id="14295" w:name="_Toc64035985"/>
      <w:bookmarkStart w:id="14296" w:name="_Toc64148019"/>
      <w:bookmarkStart w:id="14297" w:name="_Toc64205609"/>
      <w:bookmarkStart w:id="14298" w:name="_Toc64209289"/>
      <w:r>
        <w:rPr>
          <w:rFonts w:hint="cs"/>
          <w:rtl/>
        </w:rPr>
        <w:t>ביאור הרמב"ן בר"י מגאש דהודה שהקרקע שלהם ולא החזיר להם שלא יתחייב שבועה</w:t>
      </w:r>
      <w:bookmarkEnd w:id="14292"/>
      <w:bookmarkEnd w:id="14293"/>
      <w:bookmarkEnd w:id="14294"/>
      <w:bookmarkEnd w:id="14295"/>
      <w:bookmarkEnd w:id="14296"/>
      <w:bookmarkEnd w:id="14297"/>
      <w:bookmarkEnd w:id="14298"/>
    </w:p>
    <w:p w:rsidR="00F4065E" w:rsidRDefault="00F4065E" w:rsidP="007E4E81">
      <w:pPr>
        <w:pStyle w:val="a0"/>
        <w:rPr>
          <w:rtl/>
        </w:rPr>
      </w:pPr>
      <w:r>
        <w:rPr>
          <w:rFonts w:hint="cs"/>
          <w:rtl/>
        </w:rPr>
        <w:t xml:space="preserve">והוסיף </w:t>
      </w:r>
      <w:r w:rsidRPr="00314C31">
        <w:rPr>
          <w:rStyle w:val="af9"/>
          <w:rFonts w:hint="cs"/>
          <w:rtl/>
        </w:rPr>
        <w:t>הרמב"ן</w:t>
      </w:r>
      <w:r>
        <w:rPr>
          <w:rFonts w:hint="cs"/>
          <w:rtl/>
        </w:rPr>
        <w:t xml:space="preserve"> </w:t>
      </w:r>
      <w:r w:rsidRPr="007515E5">
        <w:rPr>
          <w:rStyle w:val="af7"/>
          <w:rFonts w:eastAsia="Guttman Hodes" w:hint="cs"/>
          <w:rtl/>
        </w:rPr>
        <w:t>(ד"ה ונראה, הועתק במהדו' חדשה בר"י מגאש מתוך דברי הרמב"ן)</w:t>
      </w:r>
      <w:r>
        <w:rPr>
          <w:rFonts w:hint="cs"/>
          <w:rtl/>
        </w:rPr>
        <w:t xml:space="preserve"> לבאר בשם </w:t>
      </w:r>
      <w:r w:rsidRPr="00314C31">
        <w:rPr>
          <w:rStyle w:val="af9"/>
          <w:rFonts w:hint="cs"/>
          <w:rtl/>
        </w:rPr>
        <w:t>הר"י מגאש</w:t>
      </w:r>
      <w:r>
        <w:rPr>
          <w:rFonts w:hint="cs"/>
          <w:rtl/>
        </w:rPr>
        <w:t xml:space="preserve"> דרבא בר שרשום הודה שהקרקע היא של היתומים, ונגמרו שני המשכנתא, אלא דבכדי שלא יהיה חייב להשבע, לא החזיר להם את הקרקע, ולא הוצרך לתבוע מהם את החוב</w:t>
      </w:r>
      <w:bookmarkEnd w:id="14291"/>
      <w:r>
        <w:rPr>
          <w:rFonts w:hint="cs"/>
          <w:rtl/>
        </w:rPr>
        <w:t>.</w:t>
      </w:r>
    </w:p>
    <w:p w:rsidR="00F4065E" w:rsidRPr="006553FD" w:rsidRDefault="00F4065E" w:rsidP="00F4065E">
      <w:pPr>
        <w:pStyle w:val="a3"/>
        <w:rPr>
          <w:rtl/>
        </w:rPr>
      </w:pPr>
      <w:bookmarkStart w:id="14299" w:name="_Toc63975465"/>
      <w:bookmarkStart w:id="14300" w:name="_Toc63986482"/>
      <w:bookmarkStart w:id="14301" w:name="_Toc64024591"/>
      <w:bookmarkStart w:id="14302" w:name="_Toc64035986"/>
      <w:bookmarkStart w:id="14303" w:name="_Toc64148020"/>
      <w:bookmarkStart w:id="14304" w:name="_Toc64205610"/>
      <w:bookmarkStart w:id="14305" w:name="_Toc64209290"/>
      <w:r>
        <w:rPr>
          <w:rFonts w:hint="cs"/>
          <w:rtl/>
        </w:rPr>
        <w:t>ביאור הרמב"ן בר"י מגאש דאף דלא נזקקין לנכסי קטנים סבר דנאמן כיון שהקרקע ברשותו</w:t>
      </w:r>
      <w:bookmarkEnd w:id="14299"/>
      <w:bookmarkEnd w:id="14300"/>
      <w:bookmarkEnd w:id="14301"/>
      <w:bookmarkEnd w:id="14302"/>
      <w:bookmarkEnd w:id="14303"/>
      <w:bookmarkEnd w:id="14304"/>
      <w:bookmarkEnd w:id="14305"/>
      <w:r>
        <w:rPr>
          <w:rFonts w:hint="cs"/>
          <w:rtl/>
        </w:rPr>
        <w:t xml:space="preserve"> </w:t>
      </w:r>
    </w:p>
    <w:p w:rsidR="00F4065E" w:rsidRDefault="00F4065E" w:rsidP="007E4E81">
      <w:pPr>
        <w:pStyle w:val="a0"/>
        <w:rPr>
          <w:rtl/>
        </w:rPr>
      </w:pPr>
      <w:bookmarkStart w:id="14306" w:name="_Ref63975284"/>
      <w:r>
        <w:rPr>
          <w:rFonts w:hint="cs"/>
          <w:rtl/>
        </w:rPr>
        <w:t xml:space="preserve">והוסיף </w:t>
      </w:r>
      <w:r w:rsidRPr="00314C31">
        <w:rPr>
          <w:rStyle w:val="af9"/>
          <w:rFonts w:hint="cs"/>
          <w:rtl/>
        </w:rPr>
        <w:t>הרמב"ן</w:t>
      </w:r>
      <w:r>
        <w:rPr>
          <w:rFonts w:hint="cs"/>
          <w:rtl/>
        </w:rPr>
        <w:t xml:space="preserve"> בשם </w:t>
      </w:r>
      <w:r w:rsidRPr="00314C31">
        <w:rPr>
          <w:rStyle w:val="af9"/>
          <w:rFonts w:hint="cs"/>
          <w:rtl/>
        </w:rPr>
        <w:t>הר"י מגאש</w:t>
      </w:r>
      <w:r>
        <w:rPr>
          <w:rFonts w:hint="cs"/>
          <w:rtl/>
        </w:rPr>
        <w:t xml:space="preserve"> דאעפ"י שהיתומים הם קטנים, ואין נזקקין למכור את נכסיהם, ולהוציא מידם, מ"מ סבר רבא בר שרשום דכיון שהקרקע היא ברשותו, והוא נאמן על החוב, אין היתומים יכולים להוציא ממנו,</w:t>
      </w:r>
      <w:r w:rsidRPr="00143411">
        <w:rPr>
          <w:rFonts w:hint="cs"/>
          <w:rtl/>
        </w:rPr>
        <w:t xml:space="preserve"> </w:t>
      </w:r>
      <w:r>
        <w:rPr>
          <w:rFonts w:hint="cs"/>
          <w:rtl/>
        </w:rPr>
        <w:t xml:space="preserve">וכתב </w:t>
      </w:r>
      <w:r w:rsidRPr="00314C31">
        <w:rPr>
          <w:rStyle w:val="af9"/>
          <w:rFonts w:hint="cs"/>
          <w:rtl/>
        </w:rPr>
        <w:t>הרמב"ן</w:t>
      </w:r>
      <w:r>
        <w:rPr>
          <w:rFonts w:hint="cs"/>
          <w:rtl/>
        </w:rPr>
        <w:t xml:space="preserve"> דביאור </w:t>
      </w:r>
      <w:r w:rsidRPr="00314C31">
        <w:rPr>
          <w:rStyle w:val="af9"/>
          <w:rFonts w:hint="cs"/>
          <w:rtl/>
        </w:rPr>
        <w:t>הר"י מגאש</w:t>
      </w:r>
      <w:r>
        <w:rPr>
          <w:rFonts w:hint="cs"/>
          <w:rtl/>
        </w:rPr>
        <w:t xml:space="preserve">, הוא דלא כדביאר </w:t>
      </w:r>
      <w:r w:rsidRPr="00314C31">
        <w:rPr>
          <w:rStyle w:val="af9"/>
          <w:rFonts w:hint="cs"/>
          <w:rtl/>
        </w:rPr>
        <w:t>הרמב"ן</w:t>
      </w:r>
      <w:r>
        <w:rPr>
          <w:rFonts w:hint="cs"/>
          <w:rtl/>
        </w:rPr>
        <w:t xml:space="preserve"> </w:t>
      </w:r>
      <w:r w:rsidRPr="005B1548">
        <w:rPr>
          <w:rStyle w:val="af7"/>
          <w:rFonts w:eastAsia="Guttman Hodes" w:hint="cs"/>
          <w:rtl/>
        </w:rPr>
        <w:t xml:space="preserve">(עי' אות </w:t>
      </w:r>
      <w:r w:rsidRPr="005B1548">
        <w:rPr>
          <w:rStyle w:val="af7"/>
          <w:rFonts w:eastAsia="Guttman Hodes"/>
          <w:rtl/>
        </w:rPr>
        <w:fldChar w:fldCharType="begin"/>
      </w:r>
      <w:r w:rsidRPr="005B1548">
        <w:rPr>
          <w:rStyle w:val="af7"/>
          <w:rFonts w:eastAsia="Guttman Hodes"/>
          <w:rtl/>
        </w:rPr>
        <w:instrText xml:space="preserve"> </w:instrText>
      </w:r>
      <w:r w:rsidRPr="005B1548">
        <w:rPr>
          <w:rStyle w:val="af7"/>
          <w:rFonts w:eastAsia="Guttman Hodes" w:hint="cs"/>
        </w:rPr>
        <w:instrText>REF</w:instrText>
      </w:r>
      <w:r w:rsidRPr="005B1548">
        <w:rPr>
          <w:rStyle w:val="af7"/>
          <w:rFonts w:eastAsia="Guttman Hodes" w:hint="cs"/>
          <w:rtl/>
        </w:rPr>
        <w:instrText xml:space="preserve"> _</w:instrText>
      </w:r>
      <w:r w:rsidRPr="005B1548">
        <w:rPr>
          <w:rStyle w:val="af7"/>
          <w:rFonts w:eastAsia="Guttman Hodes" w:hint="cs"/>
        </w:rPr>
        <w:instrText>Ref63974510 \r \h</w:instrText>
      </w:r>
      <w:r w:rsidRPr="005B1548">
        <w:rPr>
          <w:rStyle w:val="af7"/>
          <w:rFonts w:eastAsia="Guttman Hodes"/>
          <w:rtl/>
        </w:rPr>
        <w:instrText xml:space="preserve"> </w:instrText>
      </w:r>
      <w:r w:rsidRPr="005B1548">
        <w:rPr>
          <w:rStyle w:val="af7"/>
          <w:rFonts w:eastAsia="Guttman Hodes"/>
          <w:rtl/>
        </w:rPr>
      </w:r>
      <w:r w:rsidRPr="005B1548">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5B1548">
        <w:rPr>
          <w:rStyle w:val="af7"/>
          <w:rFonts w:eastAsia="Guttman Hodes"/>
          <w:rtl/>
        </w:rPr>
        <w:fldChar w:fldCharType="end"/>
      </w:r>
      <w:r>
        <w:rPr>
          <w:rFonts w:hint="cs"/>
          <w:rtl/>
        </w:rPr>
        <w:t xml:space="preserve">, ועי' במה שביאר </w:t>
      </w:r>
      <w:r w:rsidRPr="00F70C47">
        <w:rPr>
          <w:rStyle w:val="af9"/>
          <w:rFonts w:hint="cs"/>
          <w:rtl/>
        </w:rPr>
        <w:t>הש"ך</w:t>
      </w:r>
      <w:r>
        <w:rPr>
          <w:rFonts w:hint="cs"/>
          <w:rtl/>
        </w:rPr>
        <w:t xml:space="preserve"> </w:t>
      </w:r>
      <w:r w:rsidRPr="007A5595">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Ref64024482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Pr>
          <w:rStyle w:val="af7"/>
          <w:rFonts w:eastAsia="Guttman Hodes"/>
          <w:rtl/>
        </w:rPr>
        <w:fldChar w:fldCharType="end"/>
      </w:r>
      <w:r w:rsidRPr="007A5595">
        <w:rPr>
          <w:rStyle w:val="af7"/>
          <w:rFonts w:eastAsia="Guttman Hodes" w:hint="cs"/>
          <w:rtl/>
        </w:rPr>
        <w:t xml:space="preserve"> </w:t>
      </w:r>
      <w:r>
        <w:rPr>
          <w:rFonts w:hint="cs"/>
          <w:rtl/>
        </w:rPr>
        <w:t xml:space="preserve">בדברי </w:t>
      </w:r>
      <w:r w:rsidRPr="00F70C47">
        <w:rPr>
          <w:rStyle w:val="af9"/>
          <w:rFonts w:hint="cs"/>
          <w:rtl/>
        </w:rPr>
        <w:t>הר"י</w:t>
      </w:r>
      <w:r>
        <w:rPr>
          <w:rFonts w:hint="cs"/>
          <w:rtl/>
        </w:rPr>
        <w:t xml:space="preserve"> </w:t>
      </w:r>
      <w:r w:rsidRPr="00F70C47">
        <w:rPr>
          <w:rStyle w:val="af9"/>
          <w:rFonts w:hint="cs"/>
          <w:rtl/>
        </w:rPr>
        <w:t>מגאש</w:t>
      </w:r>
      <w:r>
        <w:rPr>
          <w:rFonts w:hint="cs"/>
          <w:rtl/>
        </w:rPr>
        <w:t>.</w:t>
      </w:r>
      <w:bookmarkEnd w:id="14306"/>
    </w:p>
    <w:p w:rsidR="00F4065E" w:rsidRPr="0073410A" w:rsidRDefault="00F4065E" w:rsidP="00F4065E">
      <w:pPr>
        <w:pStyle w:val="a3"/>
        <w:rPr>
          <w:rtl/>
        </w:rPr>
      </w:pPr>
      <w:bookmarkStart w:id="14307" w:name="_Toc63975466"/>
      <w:bookmarkStart w:id="14308" w:name="_Toc63986483"/>
      <w:bookmarkStart w:id="14309" w:name="_Toc64024592"/>
      <w:bookmarkStart w:id="14310" w:name="_Toc64035987"/>
      <w:bookmarkStart w:id="14311" w:name="_Toc64148021"/>
      <w:bookmarkStart w:id="14312" w:name="_Toc64205611"/>
      <w:bookmarkStart w:id="14313" w:name="_Toc64209291"/>
      <w:r>
        <w:rPr>
          <w:rFonts w:hint="cs"/>
          <w:rtl/>
        </w:rPr>
        <w:t>ביאור השיטה לנ"ל בר"י מגאש דמדינא צריך להחזיר להם ועשה דין לעצמו להפטר מהשבועה</w:t>
      </w:r>
      <w:bookmarkEnd w:id="14307"/>
      <w:bookmarkEnd w:id="14308"/>
      <w:bookmarkEnd w:id="14309"/>
      <w:bookmarkEnd w:id="14310"/>
      <w:bookmarkEnd w:id="14311"/>
      <w:bookmarkEnd w:id="14312"/>
      <w:bookmarkEnd w:id="14313"/>
    </w:p>
    <w:p w:rsidR="00F4065E" w:rsidRDefault="00F4065E" w:rsidP="007E4E81">
      <w:pPr>
        <w:pStyle w:val="a0"/>
        <w:rPr>
          <w:rtl/>
        </w:rPr>
      </w:pPr>
      <w:bookmarkStart w:id="14314" w:name="_Ref63883754"/>
      <w:bookmarkStart w:id="14315" w:name="_Toc63675684"/>
      <w:bookmarkStart w:id="14316" w:name="_Toc63703847"/>
      <w:bookmarkStart w:id="14317" w:name="_Toc63714147"/>
      <w:bookmarkStart w:id="14318" w:name="_Toc63854260"/>
      <w:r w:rsidRPr="00AC1C03">
        <w:rPr>
          <w:rFonts w:hint="cs"/>
          <w:rtl/>
        </w:rPr>
        <w:t xml:space="preserve">וביאר </w:t>
      </w:r>
      <w:r w:rsidRPr="00260A1E">
        <w:rPr>
          <w:rStyle w:val="af9"/>
          <w:rFonts w:hint="cs"/>
          <w:rtl/>
        </w:rPr>
        <w:t>השיטה לא נודע למי בשיטמ"ק</w:t>
      </w:r>
      <w:r w:rsidRPr="00AC1C03">
        <w:rPr>
          <w:rFonts w:hint="cs"/>
          <w:rtl/>
        </w:rPr>
        <w:t xml:space="preserve"> </w:t>
      </w:r>
      <w:r w:rsidRPr="000A2260">
        <w:rPr>
          <w:rStyle w:val="af7"/>
          <w:rFonts w:eastAsia="Guttman Hodes" w:hint="cs"/>
          <w:rtl/>
        </w:rPr>
        <w:t>(ד"ה ואין זה)</w:t>
      </w:r>
      <w:r>
        <w:rPr>
          <w:rFonts w:hint="cs"/>
          <w:rtl/>
        </w:rPr>
        <w:t xml:space="preserve"> את דברי </w:t>
      </w:r>
      <w:r w:rsidRPr="00260A1E">
        <w:rPr>
          <w:rStyle w:val="af9"/>
          <w:rFonts w:hint="cs"/>
          <w:rtl/>
        </w:rPr>
        <w:t>הר"י מגאש</w:t>
      </w:r>
      <w:r>
        <w:rPr>
          <w:rFonts w:hint="cs"/>
          <w:rtl/>
        </w:rPr>
        <w:t xml:space="preserve"> דמדינא היה רבא בר שרשום צריך להחזיר ליתומים את הקרקע, ואח"כ לתבוע אותם על החוב, כדין כל בעל חוב, אלא דכיון שלא רצה רבא בר שרשום להשבע, הוא רצה לעכב את הקרקע בידו ולעשות דין לעצמו שיוכל לאכול את הפירות בשיעור החוב.</w:t>
      </w:r>
      <w:bookmarkEnd w:id="14314"/>
    </w:p>
    <w:p w:rsidR="00F4065E" w:rsidRPr="00C8091E" w:rsidRDefault="00F4065E" w:rsidP="00F4065E">
      <w:pPr>
        <w:pStyle w:val="a3"/>
      </w:pPr>
      <w:bookmarkStart w:id="14319" w:name="_Toc63975467"/>
      <w:bookmarkStart w:id="14320" w:name="_Toc63986484"/>
      <w:bookmarkStart w:id="14321" w:name="_Toc64024593"/>
      <w:bookmarkStart w:id="14322" w:name="_Toc64035988"/>
      <w:bookmarkStart w:id="14323" w:name="_Toc64148022"/>
      <w:bookmarkStart w:id="14324" w:name="_Toc64205612"/>
      <w:bookmarkStart w:id="14325" w:name="_Toc64209292"/>
      <w:r>
        <w:rPr>
          <w:rFonts w:hint="cs"/>
          <w:rtl/>
        </w:rPr>
        <w:t>ביאור השיטה לנ"ל בר"י מגאש דאף כשתובע אותם כשהם קטנים נאמן כיון שהקרקע בידו</w:t>
      </w:r>
      <w:bookmarkEnd w:id="14319"/>
      <w:bookmarkEnd w:id="14320"/>
      <w:bookmarkEnd w:id="14321"/>
      <w:bookmarkEnd w:id="14322"/>
      <w:bookmarkEnd w:id="14323"/>
      <w:bookmarkEnd w:id="14324"/>
      <w:bookmarkEnd w:id="14325"/>
    </w:p>
    <w:p w:rsidR="00F4065E" w:rsidRDefault="00F4065E" w:rsidP="007E4E81">
      <w:pPr>
        <w:pStyle w:val="a0"/>
        <w:rPr>
          <w:rtl/>
        </w:rPr>
      </w:pPr>
      <w:r w:rsidRPr="00AC1C03">
        <w:rPr>
          <w:rFonts w:hint="cs"/>
          <w:rtl/>
        </w:rPr>
        <w:t>וביאר</w:t>
      </w:r>
      <w:r>
        <w:rPr>
          <w:rFonts w:hint="cs"/>
          <w:rtl/>
        </w:rPr>
        <w:t xml:space="preserve"> </w:t>
      </w:r>
      <w:r w:rsidRPr="00260A1E">
        <w:rPr>
          <w:rStyle w:val="af9"/>
          <w:rFonts w:hint="cs"/>
          <w:rtl/>
        </w:rPr>
        <w:t>השיטה לא נודע למי בשיטמ"ק</w:t>
      </w:r>
      <w:r w:rsidRPr="00AC1C03">
        <w:rPr>
          <w:rFonts w:hint="cs"/>
          <w:rtl/>
        </w:rPr>
        <w:t xml:space="preserve"> </w:t>
      </w:r>
      <w:r>
        <w:rPr>
          <w:rFonts w:hint="cs"/>
          <w:rtl/>
        </w:rPr>
        <w:t xml:space="preserve">את דברי </w:t>
      </w:r>
      <w:r w:rsidRPr="00260A1E">
        <w:rPr>
          <w:rStyle w:val="af9"/>
          <w:rFonts w:hint="cs"/>
          <w:rtl/>
        </w:rPr>
        <w:t>הר"י מגאש</w:t>
      </w:r>
      <w:r>
        <w:rPr>
          <w:rFonts w:hint="cs"/>
          <w:rtl/>
        </w:rPr>
        <w:t xml:space="preserve"> דכיון שהקרקע בידו לכן אם היה תובע אותם עכשיו היה נאמן במיגו, אעפ"י שהם קטנים, כיון שהב"ד אינם נזקקין למכור את נכסי הקטנים, ואין מוציאים מידם אך מ"מ מה שברשות הבעל חוב, הוא נאמן לומר שהוא שלו, ואין הב"ד מוציאין מידו, ולכן כ"ז שהקרקע בידו היה רבא בר שרשום נאמן במיגו בלא שבועה, </w:t>
      </w:r>
      <w:r w:rsidRPr="007E5F3F">
        <w:rPr>
          <w:rStyle w:val="afb"/>
          <w:rFonts w:hint="cs"/>
          <w:rtl/>
        </w:rPr>
        <w:t>[אם לא יצא הקול],</w:t>
      </w:r>
      <w:r>
        <w:rPr>
          <w:rFonts w:hint="cs"/>
          <w:rtl/>
        </w:rPr>
        <w:t xml:space="preserve"> וכתב </w:t>
      </w:r>
      <w:r w:rsidRPr="00260A1E">
        <w:rPr>
          <w:rStyle w:val="af9"/>
          <w:rFonts w:hint="cs"/>
          <w:rtl/>
        </w:rPr>
        <w:t xml:space="preserve">השיטה לא נודע למי </w:t>
      </w:r>
      <w:r w:rsidRPr="00D250C9">
        <w:rPr>
          <w:rStyle w:val="af9"/>
          <w:rFonts w:hint="cs"/>
          <w:rtl/>
        </w:rPr>
        <w:t>בשיטמ"ק</w:t>
      </w:r>
      <w:r w:rsidRPr="00AC1C03">
        <w:rPr>
          <w:rFonts w:hint="cs"/>
          <w:rtl/>
        </w:rPr>
        <w:t xml:space="preserve"> </w:t>
      </w:r>
      <w:r>
        <w:rPr>
          <w:rFonts w:hint="cs"/>
          <w:rtl/>
        </w:rPr>
        <w:t xml:space="preserve">דביאור </w:t>
      </w:r>
      <w:r w:rsidRPr="00260A1E">
        <w:rPr>
          <w:rStyle w:val="af9"/>
          <w:rFonts w:hint="cs"/>
          <w:rtl/>
        </w:rPr>
        <w:t>הר"י</w:t>
      </w:r>
      <w:r>
        <w:rPr>
          <w:rFonts w:hint="cs"/>
          <w:rtl/>
        </w:rPr>
        <w:t xml:space="preserve"> </w:t>
      </w:r>
      <w:r w:rsidRPr="00260A1E">
        <w:rPr>
          <w:rStyle w:val="af9"/>
          <w:rFonts w:hint="cs"/>
          <w:rtl/>
        </w:rPr>
        <w:t xml:space="preserve">מגאש </w:t>
      </w:r>
      <w:r>
        <w:rPr>
          <w:rFonts w:hint="cs"/>
          <w:rtl/>
        </w:rPr>
        <w:t xml:space="preserve">הוא דלא </w:t>
      </w:r>
      <w:r w:rsidRPr="00260A1E">
        <w:rPr>
          <w:rStyle w:val="af9"/>
          <w:rFonts w:hint="cs"/>
          <w:rtl/>
        </w:rPr>
        <w:t>כרשב"א</w:t>
      </w:r>
      <w:r>
        <w:rPr>
          <w:rFonts w:hint="cs"/>
          <w:rtl/>
        </w:rPr>
        <w:t xml:space="preserve"> בשם </w:t>
      </w:r>
      <w:r w:rsidRPr="00260A1E">
        <w:rPr>
          <w:rStyle w:val="af9"/>
          <w:rFonts w:hint="cs"/>
          <w:rtl/>
        </w:rPr>
        <w:t>י"מ</w:t>
      </w:r>
      <w:r>
        <w:rPr>
          <w:rFonts w:hint="cs"/>
          <w:rtl/>
        </w:rPr>
        <w:t xml:space="preserve"> [</w:t>
      </w:r>
      <w:r w:rsidRPr="00260A1E">
        <w:rPr>
          <w:rStyle w:val="af9"/>
          <w:rFonts w:hint="cs"/>
          <w:rtl/>
        </w:rPr>
        <w:t>והרמב"ן</w:t>
      </w:r>
      <w:r>
        <w:rPr>
          <w:rFonts w:hint="cs"/>
          <w:rtl/>
        </w:rPr>
        <w:t xml:space="preserve">] </w:t>
      </w:r>
      <w:r w:rsidRPr="005B1548">
        <w:rPr>
          <w:rStyle w:val="af7"/>
          <w:rFonts w:eastAsia="Guttman Hodes" w:hint="cs"/>
          <w:rtl/>
        </w:rPr>
        <w:t xml:space="preserve">(עי' אות </w:t>
      </w:r>
      <w:r w:rsidRPr="005B1548">
        <w:rPr>
          <w:rStyle w:val="af7"/>
          <w:rFonts w:eastAsia="Guttman Hodes"/>
          <w:rtl/>
        </w:rPr>
        <w:fldChar w:fldCharType="begin"/>
      </w:r>
      <w:r w:rsidRPr="005B1548">
        <w:rPr>
          <w:rStyle w:val="af7"/>
          <w:rFonts w:eastAsia="Guttman Hodes"/>
          <w:rtl/>
        </w:rPr>
        <w:instrText xml:space="preserve"> </w:instrText>
      </w:r>
      <w:r w:rsidRPr="005B1548">
        <w:rPr>
          <w:rStyle w:val="af7"/>
          <w:rFonts w:eastAsia="Guttman Hodes" w:hint="cs"/>
        </w:rPr>
        <w:instrText>REF</w:instrText>
      </w:r>
      <w:r w:rsidRPr="005B1548">
        <w:rPr>
          <w:rStyle w:val="af7"/>
          <w:rFonts w:eastAsia="Guttman Hodes" w:hint="cs"/>
          <w:rtl/>
        </w:rPr>
        <w:instrText xml:space="preserve"> _</w:instrText>
      </w:r>
      <w:r w:rsidRPr="005B1548">
        <w:rPr>
          <w:rStyle w:val="af7"/>
          <w:rFonts w:eastAsia="Guttman Hodes" w:hint="cs"/>
        </w:rPr>
        <w:instrText>Ref63974510 \r \h</w:instrText>
      </w:r>
      <w:r w:rsidRPr="005B1548">
        <w:rPr>
          <w:rStyle w:val="af7"/>
          <w:rFonts w:eastAsia="Guttman Hodes"/>
          <w:rtl/>
        </w:rPr>
        <w:instrText xml:space="preserve"> </w:instrText>
      </w:r>
      <w:r w:rsidRPr="005B1548">
        <w:rPr>
          <w:rStyle w:val="af7"/>
          <w:rFonts w:eastAsia="Guttman Hodes"/>
          <w:rtl/>
        </w:rPr>
      </w:r>
      <w:r w:rsidRPr="005B1548">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5B1548">
        <w:rPr>
          <w:rStyle w:val="af7"/>
          <w:rFonts w:eastAsia="Guttman Hodes"/>
          <w:rtl/>
        </w:rPr>
        <w:fldChar w:fldCharType="end"/>
      </w:r>
      <w:r>
        <w:rPr>
          <w:rFonts w:hint="cs"/>
          <w:rtl/>
        </w:rPr>
        <w:t xml:space="preserve"> דס"ל דכשהם קטנים אינו נאמן במיגו.</w:t>
      </w:r>
    </w:p>
    <w:p w:rsidR="00F4065E" w:rsidRDefault="00F4065E" w:rsidP="00F4065E">
      <w:pPr>
        <w:pStyle w:val="afe"/>
        <w:rPr>
          <w:rtl/>
        </w:rPr>
      </w:pPr>
      <w:bookmarkStart w:id="14326" w:name="_Toc63975468"/>
      <w:bookmarkStart w:id="14327" w:name="_Toc63986485"/>
      <w:bookmarkStart w:id="14328" w:name="_Toc64024594"/>
      <w:bookmarkStart w:id="14329" w:name="_Toc64035989"/>
      <w:bookmarkStart w:id="14330" w:name="_Toc64148023"/>
      <w:bookmarkStart w:id="14331" w:name="_Toc64205613"/>
      <w:bookmarkStart w:id="14332" w:name="_Toc64209293"/>
      <w:bookmarkEnd w:id="14315"/>
      <w:bookmarkEnd w:id="14316"/>
      <w:bookmarkEnd w:id="14317"/>
      <w:bookmarkEnd w:id="14318"/>
      <w:r>
        <w:rPr>
          <w:rFonts w:hint="cs"/>
          <w:rtl/>
        </w:rPr>
        <w:lastRenderedPageBreak/>
        <w:t xml:space="preserve">ד' </w:t>
      </w:r>
      <w:bookmarkEnd w:id="14326"/>
      <w:r>
        <w:rPr>
          <w:rFonts w:hint="cs"/>
          <w:rtl/>
        </w:rPr>
        <w:t>הרמב"ן דבקטנותם אינו נאמן במיגו</w:t>
      </w:r>
      <w:bookmarkEnd w:id="14327"/>
      <w:bookmarkEnd w:id="14328"/>
      <w:bookmarkEnd w:id="14329"/>
      <w:bookmarkEnd w:id="14330"/>
      <w:bookmarkEnd w:id="14331"/>
      <w:bookmarkEnd w:id="14332"/>
      <w:r>
        <w:rPr>
          <w:rFonts w:hint="cs"/>
          <w:rtl/>
        </w:rPr>
        <w:t xml:space="preserve"> </w:t>
      </w:r>
    </w:p>
    <w:p w:rsidR="00F4065E" w:rsidRDefault="00F4065E" w:rsidP="00F4065E">
      <w:pPr>
        <w:pStyle w:val="1"/>
        <w:rPr>
          <w:rtl/>
        </w:rPr>
      </w:pPr>
      <w:bookmarkStart w:id="14333" w:name="_Toc63975469"/>
      <w:bookmarkStart w:id="14334" w:name="_Toc63986486"/>
      <w:bookmarkStart w:id="14335" w:name="_Toc64024595"/>
      <w:bookmarkStart w:id="14336" w:name="_Toc64035990"/>
      <w:bookmarkStart w:id="14337" w:name="_Toc64148024"/>
      <w:bookmarkStart w:id="14338" w:name="_Toc64205614"/>
      <w:bookmarkStart w:id="14339" w:name="_Toc64209294"/>
      <w:r>
        <w:rPr>
          <w:rFonts w:hint="cs"/>
          <w:rtl/>
        </w:rPr>
        <w:t>קושית הרמב"ן והרשב"א</w:t>
      </w:r>
      <w:bookmarkEnd w:id="14333"/>
      <w:r>
        <w:rPr>
          <w:rFonts w:hint="cs"/>
          <w:rtl/>
        </w:rPr>
        <w:t xml:space="preserve"> דאף כשהם קטנים הוא נאמן במיגו</w:t>
      </w:r>
      <w:bookmarkEnd w:id="14334"/>
      <w:bookmarkEnd w:id="14335"/>
      <w:bookmarkEnd w:id="14336"/>
      <w:bookmarkEnd w:id="14337"/>
      <w:bookmarkEnd w:id="14338"/>
      <w:bookmarkEnd w:id="14339"/>
    </w:p>
    <w:p w:rsidR="00F4065E" w:rsidRPr="000D31EA" w:rsidRDefault="00F4065E" w:rsidP="00F4065E">
      <w:pPr>
        <w:pStyle w:val="a3"/>
        <w:rPr>
          <w:rtl/>
        </w:rPr>
      </w:pPr>
      <w:bookmarkStart w:id="14340" w:name="_Toc63975470"/>
      <w:bookmarkStart w:id="14341" w:name="_Toc63986487"/>
      <w:bookmarkStart w:id="14342" w:name="_Toc64024596"/>
      <w:bookmarkStart w:id="14343" w:name="_Toc64035991"/>
      <w:bookmarkStart w:id="14344" w:name="_Toc64148025"/>
      <w:bookmarkStart w:id="14345" w:name="_Toc64205615"/>
      <w:bookmarkStart w:id="14346" w:name="_Toc64209295"/>
      <w:r>
        <w:rPr>
          <w:rFonts w:hint="cs"/>
          <w:rtl/>
        </w:rPr>
        <w:t>דברי הרמב"ן דסבר רבא ב"ש שאם יחזיר לגמרי את הקרקע ורק אח"כ יתבעם יתחייב שבועה</w:t>
      </w:r>
      <w:bookmarkEnd w:id="14340"/>
      <w:bookmarkEnd w:id="14341"/>
      <w:bookmarkEnd w:id="14342"/>
      <w:bookmarkEnd w:id="14343"/>
      <w:bookmarkEnd w:id="14344"/>
      <w:bookmarkEnd w:id="14345"/>
      <w:bookmarkEnd w:id="14346"/>
    </w:p>
    <w:p w:rsidR="00F4065E" w:rsidRDefault="00F4065E" w:rsidP="007E4E81">
      <w:pPr>
        <w:pStyle w:val="a0"/>
        <w:rPr>
          <w:rtl/>
        </w:rPr>
      </w:pPr>
      <w:r>
        <w:rPr>
          <w:rFonts w:hint="cs"/>
          <w:rtl/>
        </w:rPr>
        <w:t xml:space="preserve">כתב </w:t>
      </w:r>
      <w:r w:rsidRPr="0001524E">
        <w:rPr>
          <w:rStyle w:val="af9"/>
          <w:rFonts w:hint="cs"/>
          <w:rtl/>
        </w:rPr>
        <w:t>הרמב"ן</w:t>
      </w:r>
      <w:r>
        <w:rPr>
          <w:rFonts w:hint="cs"/>
          <w:rtl/>
        </w:rPr>
        <w:t xml:space="preserve"> </w:t>
      </w:r>
      <w:r w:rsidRPr="00C17BF6">
        <w:rPr>
          <w:rStyle w:val="af7"/>
          <w:rFonts w:eastAsia="Guttman Hodes" w:hint="cs"/>
          <w:rtl/>
        </w:rPr>
        <w:t xml:space="preserve">(ד"ה אמינא) </w:t>
      </w:r>
      <w:r>
        <w:rPr>
          <w:rFonts w:hint="cs"/>
          <w:rtl/>
        </w:rPr>
        <w:t>דרבא בר שרשום סבר שאם יחזיר את הקרקע לגמרי ליתומים, ואח"כ יתבע אותם מכח השטר שיש בידו, הוא יתחייב בשבועה.</w:t>
      </w:r>
    </w:p>
    <w:p w:rsidR="00F4065E" w:rsidRPr="00CE2573" w:rsidRDefault="00F4065E" w:rsidP="00F4065E">
      <w:pPr>
        <w:pStyle w:val="a3"/>
        <w:rPr>
          <w:rtl/>
        </w:rPr>
      </w:pPr>
      <w:bookmarkStart w:id="14347" w:name="_Toc63975471"/>
      <w:bookmarkStart w:id="14348" w:name="_Toc63986488"/>
      <w:bookmarkStart w:id="14349" w:name="_Toc64024597"/>
      <w:bookmarkStart w:id="14350" w:name="_Toc64035992"/>
      <w:bookmarkStart w:id="14351" w:name="_Toc64148026"/>
      <w:bookmarkStart w:id="14352" w:name="_Toc64205616"/>
      <w:bookmarkStart w:id="14353" w:name="_Toc64209296"/>
      <w:r>
        <w:rPr>
          <w:rFonts w:hint="cs"/>
          <w:rtl/>
        </w:rPr>
        <w:t>קושית הרמב"ן והרשב"א דאמאי כבש את שטר המשכנתא הא עכשיו נאמן על החוב במיגו</w:t>
      </w:r>
      <w:bookmarkEnd w:id="14347"/>
      <w:bookmarkEnd w:id="14348"/>
      <w:bookmarkEnd w:id="14349"/>
      <w:bookmarkEnd w:id="14350"/>
      <w:bookmarkEnd w:id="14351"/>
      <w:bookmarkEnd w:id="14352"/>
      <w:bookmarkEnd w:id="14353"/>
    </w:p>
    <w:p w:rsidR="00F4065E" w:rsidRDefault="00F4065E" w:rsidP="007E4E81">
      <w:pPr>
        <w:pStyle w:val="a0"/>
        <w:rPr>
          <w:rtl/>
        </w:rPr>
      </w:pPr>
      <w:bookmarkStart w:id="14354" w:name="_Ref63872766"/>
      <w:r>
        <w:rPr>
          <w:rFonts w:hint="cs"/>
          <w:rtl/>
        </w:rPr>
        <w:t xml:space="preserve">הקשו </w:t>
      </w:r>
      <w:r w:rsidRPr="00BA2CAF">
        <w:rPr>
          <w:rStyle w:val="af9"/>
          <w:rFonts w:hint="cs"/>
          <w:rtl/>
        </w:rPr>
        <w:t>הרמב"ן</w:t>
      </w:r>
      <w:r>
        <w:rPr>
          <w:rFonts w:hint="cs"/>
          <w:rtl/>
        </w:rPr>
        <w:t xml:space="preserve"> </w:t>
      </w:r>
      <w:r w:rsidRPr="001C7ED0">
        <w:rPr>
          <w:rStyle w:val="af7"/>
          <w:rFonts w:eastAsia="Guttman Hodes" w:hint="cs"/>
          <w:rtl/>
        </w:rPr>
        <w:t>(ד"ה ותמהני)</w:t>
      </w:r>
      <w:r>
        <w:rPr>
          <w:rFonts w:hint="cs"/>
          <w:rtl/>
        </w:rPr>
        <w:t xml:space="preserve"> </w:t>
      </w:r>
      <w:r w:rsidRPr="00BA2CAF">
        <w:rPr>
          <w:rStyle w:val="af9"/>
          <w:rFonts w:hint="cs"/>
          <w:rtl/>
        </w:rPr>
        <w:t>והרשב"א</w:t>
      </w:r>
      <w:r>
        <w:rPr>
          <w:rFonts w:hint="cs"/>
          <w:rtl/>
        </w:rPr>
        <w:t xml:space="preserve"> </w:t>
      </w:r>
      <w:r w:rsidRPr="001C7ED0">
        <w:rPr>
          <w:rStyle w:val="af7"/>
          <w:rFonts w:eastAsia="Guttman Hodes" w:hint="cs"/>
          <w:rtl/>
        </w:rPr>
        <w:t>(ד"ה הא)</w:t>
      </w:r>
      <w:r>
        <w:rPr>
          <w:rFonts w:hint="cs"/>
          <w:rtl/>
        </w:rPr>
        <w:t xml:space="preserve"> </w:t>
      </w:r>
      <w:r w:rsidRPr="00BA2CAF">
        <w:rPr>
          <w:rStyle w:val="af9"/>
          <w:rFonts w:hint="cs"/>
          <w:rtl/>
        </w:rPr>
        <w:t>והר</w:t>
      </w:r>
      <w:r>
        <w:rPr>
          <w:rStyle w:val="af9"/>
          <w:rFonts w:hint="cs"/>
          <w:rtl/>
        </w:rPr>
        <w:t xml:space="preserve">"ן </w:t>
      </w:r>
      <w:r w:rsidRPr="001C7ED0">
        <w:rPr>
          <w:rStyle w:val="af7"/>
          <w:rFonts w:eastAsia="Guttman Hodes" w:hint="cs"/>
          <w:rtl/>
        </w:rPr>
        <w:t xml:space="preserve">(ד"ה </w:t>
      </w:r>
      <w:r>
        <w:rPr>
          <w:rStyle w:val="af7"/>
          <w:rFonts w:eastAsia="Guttman Hodes" w:hint="cs"/>
          <w:rtl/>
        </w:rPr>
        <w:t>אוכלה</w:t>
      </w:r>
      <w:r w:rsidRPr="001C7ED0">
        <w:rPr>
          <w:rStyle w:val="af7"/>
          <w:rFonts w:eastAsia="Guttman Hodes" w:hint="cs"/>
          <w:rtl/>
        </w:rPr>
        <w:t>)</w:t>
      </w:r>
      <w:r>
        <w:rPr>
          <w:rFonts w:hint="cs"/>
          <w:rtl/>
        </w:rPr>
        <w:t xml:space="preserve"> דאמאי הוצרך רבא בר שרשום לכבוש את שטר המשכנתא, הא מיד כשנגמרו שני המשכנתא יכל לבא לב"ד ולומר שיש לו שטר על חוב אחר, והקרקע אצלו במשכנתא, ויהיה נאמן במיגו דמינך זבינתה, והוסיף </w:t>
      </w:r>
      <w:r w:rsidRPr="00BA2CAF">
        <w:rPr>
          <w:rStyle w:val="af9"/>
          <w:rFonts w:hint="cs"/>
          <w:rtl/>
        </w:rPr>
        <w:t>הרמב"ן</w:t>
      </w:r>
      <w:r>
        <w:rPr>
          <w:rFonts w:hint="cs"/>
          <w:rtl/>
        </w:rPr>
        <w:t xml:space="preserve"> דכן איתא בגמ' לקמן </w:t>
      </w:r>
      <w:r w:rsidRPr="001C7ED0">
        <w:rPr>
          <w:rStyle w:val="af7"/>
          <w:rFonts w:eastAsia="Guttman Hodes" w:hint="cs"/>
          <w:rtl/>
        </w:rPr>
        <w:t>(לו.)</w:t>
      </w:r>
      <w:r>
        <w:rPr>
          <w:rFonts w:hint="cs"/>
          <w:rtl/>
        </w:rPr>
        <w:t xml:space="preserve"> בעיזי דאכלו חושלא, ובגמ' בב"מ </w:t>
      </w:r>
      <w:r w:rsidRPr="001C7ED0">
        <w:rPr>
          <w:rStyle w:val="af7"/>
          <w:rFonts w:eastAsia="Guttman Hodes" w:hint="cs"/>
          <w:rtl/>
        </w:rPr>
        <w:t>(קטז.)</w:t>
      </w:r>
      <w:r>
        <w:rPr>
          <w:rFonts w:hint="cs"/>
          <w:rtl/>
        </w:rPr>
        <w:t xml:space="preserve">, וא"כ הוא לא היה צריך להשבע דהא יש לו מיגו, ועי' במה שהקשה </w:t>
      </w:r>
      <w:r w:rsidRPr="00ED2F6E">
        <w:rPr>
          <w:rStyle w:val="af9"/>
          <w:rFonts w:hint="cs"/>
          <w:rtl/>
        </w:rPr>
        <w:t>רבינו יונה</w:t>
      </w:r>
      <w:r>
        <w:rPr>
          <w:rFonts w:hint="cs"/>
          <w:rtl/>
        </w:rPr>
        <w:t xml:space="preserve"> </w:t>
      </w:r>
      <w:r w:rsidRPr="00ED2F6E">
        <w:rPr>
          <w:rStyle w:val="af7"/>
          <w:rFonts w:eastAsia="Guttman Hodes" w:hint="cs"/>
          <w:rtl/>
        </w:rPr>
        <w:t xml:space="preserve">(עי' אות </w:t>
      </w:r>
      <w:r w:rsidRPr="00ED2F6E">
        <w:rPr>
          <w:rStyle w:val="af7"/>
          <w:rFonts w:eastAsia="Guttman Hodes"/>
          <w:rtl/>
        </w:rPr>
        <w:fldChar w:fldCharType="begin"/>
      </w:r>
      <w:r w:rsidRPr="00ED2F6E">
        <w:rPr>
          <w:rStyle w:val="af7"/>
          <w:rFonts w:eastAsia="Guttman Hodes"/>
          <w:rtl/>
        </w:rPr>
        <w:instrText xml:space="preserve"> </w:instrText>
      </w:r>
      <w:r w:rsidRPr="00ED2F6E">
        <w:rPr>
          <w:rStyle w:val="af7"/>
          <w:rFonts w:eastAsia="Guttman Hodes" w:hint="cs"/>
        </w:rPr>
        <w:instrText>REF</w:instrText>
      </w:r>
      <w:r w:rsidRPr="00ED2F6E">
        <w:rPr>
          <w:rStyle w:val="af7"/>
          <w:rFonts w:eastAsia="Guttman Hodes" w:hint="cs"/>
          <w:rtl/>
        </w:rPr>
        <w:instrText xml:space="preserve"> _</w:instrText>
      </w:r>
      <w:r w:rsidRPr="00ED2F6E">
        <w:rPr>
          <w:rStyle w:val="af7"/>
          <w:rFonts w:eastAsia="Guttman Hodes" w:hint="cs"/>
        </w:rPr>
        <w:instrText>Ref63589749 \r \h</w:instrText>
      </w:r>
      <w:r w:rsidRPr="00ED2F6E">
        <w:rPr>
          <w:rStyle w:val="af7"/>
          <w:rFonts w:eastAsia="Guttman Hodes"/>
          <w:rtl/>
        </w:rPr>
        <w:instrText xml:space="preserve"> </w:instrText>
      </w:r>
      <w:r w:rsidRPr="00ED2F6E">
        <w:rPr>
          <w:rStyle w:val="af7"/>
          <w:rFonts w:eastAsia="Guttman Hodes"/>
          <w:rtl/>
        </w:rPr>
      </w:r>
      <w:r w:rsidRPr="00ED2F6E">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ED2F6E">
        <w:rPr>
          <w:rStyle w:val="af7"/>
          <w:rFonts w:eastAsia="Guttman Hodes"/>
          <w:rtl/>
        </w:rPr>
        <w:fldChar w:fldCharType="end"/>
      </w:r>
      <w:r>
        <w:rPr>
          <w:rFonts w:hint="cs"/>
          <w:rtl/>
        </w:rPr>
        <w:t xml:space="preserve">, ובמה שתירץ </w:t>
      </w:r>
      <w:r w:rsidRPr="00ED2F6E">
        <w:rPr>
          <w:rStyle w:val="af9"/>
          <w:rFonts w:hint="cs"/>
          <w:rtl/>
        </w:rPr>
        <w:t>רבינו יונה</w:t>
      </w:r>
      <w:r>
        <w:rPr>
          <w:rFonts w:hint="cs"/>
          <w:rtl/>
        </w:rPr>
        <w:t xml:space="preserve"> </w:t>
      </w:r>
      <w:r w:rsidRPr="00ED2F6E">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Ref63759532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Pr>
          <w:rStyle w:val="af7"/>
          <w:rFonts w:eastAsia="Guttman Hodes"/>
          <w:rtl/>
        </w:rPr>
        <w:fldChar w:fldCharType="end"/>
      </w:r>
      <w:r w:rsidRPr="00ED2F6E">
        <w:rPr>
          <w:rStyle w:val="af7"/>
          <w:rFonts w:eastAsia="Guttman Hodes" w:hint="cs"/>
          <w:rtl/>
        </w:rPr>
        <w:t xml:space="preserve"> </w:t>
      </w:r>
      <w:r>
        <w:rPr>
          <w:rFonts w:hint="cs"/>
          <w:rtl/>
        </w:rPr>
        <w:t>דלא דמי לעיזי דאכלו חושלא.</w:t>
      </w:r>
      <w:bookmarkEnd w:id="14354"/>
    </w:p>
    <w:p w:rsidR="00F4065E" w:rsidRPr="002D60B7" w:rsidRDefault="00F4065E" w:rsidP="00F4065E">
      <w:pPr>
        <w:pStyle w:val="a3"/>
        <w:rPr>
          <w:rtl/>
        </w:rPr>
      </w:pPr>
      <w:bookmarkStart w:id="14355" w:name="_Toc63986489"/>
      <w:bookmarkStart w:id="14356" w:name="_Toc64024598"/>
      <w:bookmarkStart w:id="14357" w:name="_Toc64035993"/>
      <w:bookmarkStart w:id="14358" w:name="_Toc64148027"/>
      <w:bookmarkStart w:id="14359" w:name="_Toc64205617"/>
      <w:bookmarkStart w:id="14360" w:name="_Toc64209297"/>
      <w:r>
        <w:rPr>
          <w:rFonts w:hint="cs"/>
          <w:rtl/>
        </w:rPr>
        <w:t>קושית הריטב"א דהיה לרבא בר שרשום להודות ולהסיר את לעז הקול ויהיה נאמן במיגו</w:t>
      </w:r>
      <w:bookmarkEnd w:id="14355"/>
      <w:bookmarkEnd w:id="14356"/>
      <w:bookmarkEnd w:id="14357"/>
      <w:bookmarkEnd w:id="14358"/>
      <w:bookmarkEnd w:id="14359"/>
      <w:bookmarkEnd w:id="14360"/>
    </w:p>
    <w:p w:rsidR="00F4065E" w:rsidRDefault="00F4065E" w:rsidP="007E4E81">
      <w:pPr>
        <w:pStyle w:val="a0"/>
      </w:pPr>
      <w:bookmarkStart w:id="14361" w:name="_Ref64019685"/>
      <w:bookmarkStart w:id="14362" w:name="_Ref63985688"/>
      <w:r w:rsidRPr="00891F8E">
        <w:rPr>
          <w:rStyle w:val="af9"/>
          <w:rFonts w:hint="cs"/>
          <w:rtl/>
        </w:rPr>
        <w:t>והריטב"א</w:t>
      </w:r>
      <w:r>
        <w:rPr>
          <w:rFonts w:hint="cs"/>
          <w:rtl/>
        </w:rPr>
        <w:t xml:space="preserve"> </w:t>
      </w:r>
      <w:r w:rsidRPr="00EE1580">
        <w:rPr>
          <w:rStyle w:val="af7"/>
          <w:rFonts w:eastAsia="Guttman Hodes" w:hint="cs"/>
          <w:rtl/>
        </w:rPr>
        <w:t>(ד"ה דמיגו)</w:t>
      </w:r>
      <w:r>
        <w:rPr>
          <w:rFonts w:hint="cs"/>
          <w:rtl/>
        </w:rPr>
        <w:t xml:space="preserve"> הקשה דאף לפני שאכל רבא בר שרשום את הפירות, הוא יכול לבא לב"ד ולומר שיש לו מיגו דלקוחה היא בידו, ויגבה את החוב מהפירות ויסלק מעליו את לזות העם מחמת הקול.</w:t>
      </w:r>
      <w:bookmarkEnd w:id="14361"/>
    </w:p>
    <w:p w:rsidR="00F4065E" w:rsidRPr="005331CD" w:rsidRDefault="00F4065E" w:rsidP="00F4065E">
      <w:pPr>
        <w:pStyle w:val="1"/>
        <w:rPr>
          <w:rtl/>
        </w:rPr>
      </w:pPr>
      <w:bookmarkStart w:id="14363" w:name="_Toc63986490"/>
      <w:bookmarkStart w:id="14364" w:name="_Toc64024599"/>
      <w:bookmarkStart w:id="14365" w:name="_Toc64035994"/>
      <w:bookmarkStart w:id="14366" w:name="_Toc64148028"/>
      <w:bookmarkStart w:id="14367" w:name="_Toc64205618"/>
      <w:bookmarkStart w:id="14368" w:name="_Toc64209298"/>
      <w:bookmarkEnd w:id="14362"/>
      <w:r>
        <w:rPr>
          <w:rFonts w:hint="cs"/>
          <w:rtl/>
        </w:rPr>
        <w:t>תי' הרמב"ן דלא נזקקין להם ומוציאים ממנו וכשיגדלו אין מיגו</w:t>
      </w:r>
      <w:bookmarkEnd w:id="14363"/>
      <w:bookmarkEnd w:id="14364"/>
      <w:bookmarkEnd w:id="14365"/>
      <w:bookmarkEnd w:id="14366"/>
      <w:bookmarkEnd w:id="14367"/>
      <w:bookmarkEnd w:id="14368"/>
    </w:p>
    <w:p w:rsidR="00F4065E" w:rsidRDefault="00F4065E" w:rsidP="00F4065E">
      <w:pPr>
        <w:pStyle w:val="a3"/>
        <w:rPr>
          <w:rtl/>
        </w:rPr>
      </w:pPr>
      <w:bookmarkStart w:id="14369" w:name="_Toc63975472"/>
      <w:bookmarkStart w:id="14370" w:name="_Toc63986491"/>
      <w:bookmarkStart w:id="14371" w:name="_Toc64024600"/>
      <w:bookmarkStart w:id="14372" w:name="_Toc64035995"/>
      <w:bookmarkStart w:id="14373" w:name="_Toc64148029"/>
      <w:bookmarkStart w:id="14374" w:name="_Toc64205619"/>
      <w:bookmarkStart w:id="14375" w:name="_Toc64209299"/>
      <w:r>
        <w:rPr>
          <w:rFonts w:hint="cs"/>
          <w:rtl/>
        </w:rPr>
        <w:t>ביאור הרמב"ן דאי הודה לקטנים מוציאין ממנו ולאחר שיגדלו כבר אין לו מיגו וחייב שבועה</w:t>
      </w:r>
      <w:bookmarkEnd w:id="14369"/>
      <w:bookmarkEnd w:id="14370"/>
      <w:bookmarkEnd w:id="14371"/>
      <w:bookmarkEnd w:id="14372"/>
      <w:bookmarkEnd w:id="14373"/>
      <w:bookmarkEnd w:id="14374"/>
      <w:bookmarkEnd w:id="14375"/>
    </w:p>
    <w:p w:rsidR="00F4065E" w:rsidRDefault="00F4065E" w:rsidP="007E4E81">
      <w:pPr>
        <w:pStyle w:val="a0"/>
        <w:rPr>
          <w:rtl/>
        </w:rPr>
      </w:pPr>
      <w:bookmarkStart w:id="14376" w:name="_Ref63760323"/>
      <w:bookmarkStart w:id="14377" w:name="_Ref63974510"/>
      <w:r>
        <w:rPr>
          <w:rFonts w:hint="cs"/>
          <w:rtl/>
        </w:rPr>
        <w:t xml:space="preserve">ותירץ </w:t>
      </w:r>
      <w:r w:rsidRPr="00BA2CAF">
        <w:rPr>
          <w:rStyle w:val="af9"/>
          <w:rFonts w:hint="cs"/>
          <w:rtl/>
        </w:rPr>
        <w:t>הרמב"ן</w:t>
      </w:r>
      <w:r>
        <w:rPr>
          <w:rFonts w:hint="cs"/>
          <w:rtl/>
        </w:rPr>
        <w:t xml:space="preserve"> </w:t>
      </w:r>
      <w:r w:rsidRPr="001C7ED0">
        <w:rPr>
          <w:rStyle w:val="af7"/>
          <w:rFonts w:eastAsia="Guttman Hodes" w:hint="cs"/>
          <w:rtl/>
        </w:rPr>
        <w:t>(ד"ה ותמהני)</w:t>
      </w:r>
      <w:r>
        <w:rPr>
          <w:rFonts w:hint="cs"/>
          <w:rtl/>
        </w:rPr>
        <w:t xml:space="preserve"> דכיון שהיתומים הם קטנים, א"כ אם היה מודה שהקרקע אצלו במשכנתא, היו מוציאין אותה ממנו, ולא היו נזקקין לחוב שלו עד שיגדלו, </w:t>
      </w:r>
      <w:r w:rsidRPr="00D337DC">
        <w:rPr>
          <w:rStyle w:val="afb"/>
          <w:rFonts w:hint="cs"/>
          <w:rtl/>
        </w:rPr>
        <w:t xml:space="preserve">[ודלא כדביאר </w:t>
      </w:r>
      <w:r w:rsidRPr="00143411">
        <w:rPr>
          <w:rStyle w:val="affa"/>
          <w:rFonts w:hint="cs"/>
          <w:rtl/>
        </w:rPr>
        <w:t>הרמב"ן</w:t>
      </w:r>
      <w:r w:rsidRPr="00D337DC">
        <w:rPr>
          <w:rStyle w:val="afb"/>
          <w:rFonts w:hint="cs"/>
          <w:rtl/>
        </w:rPr>
        <w:t xml:space="preserve"> </w:t>
      </w:r>
      <w:r w:rsidRPr="00143411">
        <w:rPr>
          <w:rStyle w:val="aff6"/>
          <w:rFonts w:hint="cs"/>
          <w:rtl/>
        </w:rPr>
        <w:t xml:space="preserve">(עי' אות </w:t>
      </w:r>
      <w:r w:rsidRPr="00143411">
        <w:rPr>
          <w:rStyle w:val="aff6"/>
          <w:rtl/>
        </w:rPr>
        <w:fldChar w:fldCharType="begin"/>
      </w:r>
      <w:r w:rsidRPr="00143411">
        <w:rPr>
          <w:rStyle w:val="aff6"/>
          <w:rtl/>
        </w:rPr>
        <w:instrText xml:space="preserve"> </w:instrText>
      </w:r>
      <w:r w:rsidRPr="00143411">
        <w:rPr>
          <w:rStyle w:val="aff6"/>
          <w:rFonts w:hint="cs"/>
        </w:rPr>
        <w:instrText>REF</w:instrText>
      </w:r>
      <w:r w:rsidRPr="00143411">
        <w:rPr>
          <w:rStyle w:val="aff6"/>
          <w:rFonts w:hint="cs"/>
          <w:rtl/>
        </w:rPr>
        <w:instrText xml:space="preserve"> _</w:instrText>
      </w:r>
      <w:r w:rsidRPr="00143411">
        <w:rPr>
          <w:rStyle w:val="aff6"/>
          <w:rFonts w:hint="cs"/>
        </w:rPr>
        <w:instrText>Ref63975284 \r \h</w:instrText>
      </w:r>
      <w:r w:rsidRPr="00143411">
        <w:rPr>
          <w:rStyle w:val="aff6"/>
          <w:rtl/>
        </w:rPr>
        <w:instrText xml:space="preserve"> </w:instrText>
      </w:r>
      <w:r w:rsidRPr="00143411">
        <w:rPr>
          <w:rStyle w:val="aff6"/>
          <w:rtl/>
        </w:rPr>
      </w:r>
      <w:r w:rsidRPr="00143411">
        <w:rPr>
          <w:rStyle w:val="aff6"/>
          <w:rtl/>
        </w:rPr>
        <w:fldChar w:fldCharType="separate"/>
      </w:r>
      <w:r w:rsidR="00265073">
        <w:rPr>
          <w:rStyle w:val="aff6"/>
          <w:cs/>
        </w:rPr>
        <w:t>‎</w:t>
      </w:r>
      <w:r w:rsidR="00265073">
        <w:rPr>
          <w:rStyle w:val="aff6"/>
          <w:rtl/>
        </w:rPr>
        <w:t>ז)</w:t>
      </w:r>
      <w:r w:rsidRPr="00143411">
        <w:rPr>
          <w:rStyle w:val="aff6"/>
          <w:rtl/>
        </w:rPr>
        <w:fldChar w:fldCharType="end"/>
      </w:r>
      <w:r w:rsidRPr="00D337DC">
        <w:rPr>
          <w:rStyle w:val="afb"/>
          <w:rFonts w:hint="cs"/>
          <w:rtl/>
        </w:rPr>
        <w:t xml:space="preserve"> בשם </w:t>
      </w:r>
      <w:r w:rsidRPr="00143411">
        <w:rPr>
          <w:rStyle w:val="affa"/>
          <w:rFonts w:hint="cs"/>
          <w:rtl/>
        </w:rPr>
        <w:t>הר"י מגאש</w:t>
      </w:r>
      <w:r w:rsidRPr="00D337DC">
        <w:rPr>
          <w:rStyle w:val="afb"/>
          <w:rFonts w:hint="cs"/>
          <w:rtl/>
        </w:rPr>
        <w:t>],</w:t>
      </w:r>
      <w:r>
        <w:rPr>
          <w:rFonts w:hint="cs"/>
          <w:rtl/>
        </w:rPr>
        <w:t xml:space="preserve"> וממילא אין לו מיגו לאחר שיגדלו, ולא יהיה נאמן בלא שבועה, במיגו שהיה יכול עכשיו כשהם עדיין קטנים לטעון לקוחה היא בידי, כיון שלאחר שהגדילו</w:t>
      </w:r>
      <w:r w:rsidRPr="00842515">
        <w:rPr>
          <w:rFonts w:hint="cs"/>
          <w:rtl/>
        </w:rPr>
        <w:t xml:space="preserve"> </w:t>
      </w:r>
      <w:r>
        <w:rPr>
          <w:rFonts w:hint="cs"/>
          <w:rtl/>
        </w:rPr>
        <w:t>אינו יכול לטעון כן, ואינו נאמן במה שטוען עכשיו שיש לו חוב על אביהם, במיגו שהיה לו כשהיו קטנים, דהא עכשיו לאחר שהגדילו כבר אין לו מיגו, דהא כבר החזיר להם את הקרקע כשהיו קטנים.</w:t>
      </w:r>
      <w:bookmarkEnd w:id="14376"/>
      <w:r>
        <w:rPr>
          <w:rFonts w:hint="cs"/>
          <w:rtl/>
        </w:rPr>
        <w:t xml:space="preserve"> </w:t>
      </w:r>
      <w:bookmarkEnd w:id="14377"/>
    </w:p>
    <w:p w:rsidR="00F4065E" w:rsidRPr="001071BA" w:rsidRDefault="00F4065E" w:rsidP="00F4065E">
      <w:pPr>
        <w:pStyle w:val="1"/>
        <w:rPr>
          <w:rtl/>
        </w:rPr>
      </w:pPr>
      <w:bookmarkStart w:id="14378" w:name="_Toc63986492"/>
      <w:bookmarkStart w:id="14379" w:name="_Toc64024601"/>
      <w:bookmarkStart w:id="14380" w:name="_Toc64035996"/>
      <w:bookmarkStart w:id="14381" w:name="_Toc64148030"/>
      <w:bookmarkStart w:id="14382" w:name="_Toc64205620"/>
      <w:bookmarkStart w:id="14383" w:name="_Toc64209300"/>
      <w:r>
        <w:rPr>
          <w:rFonts w:hint="cs"/>
          <w:rtl/>
        </w:rPr>
        <w:t>ביאור הרמב"ן דאף שנאמן במיגו א"א להאמינו כשהם קטנים</w:t>
      </w:r>
      <w:bookmarkEnd w:id="14378"/>
      <w:bookmarkEnd w:id="14379"/>
      <w:bookmarkEnd w:id="14380"/>
      <w:bookmarkEnd w:id="14381"/>
      <w:bookmarkEnd w:id="14382"/>
      <w:bookmarkEnd w:id="14383"/>
    </w:p>
    <w:p w:rsidR="00F4065E" w:rsidRPr="004C510C" w:rsidRDefault="00F4065E" w:rsidP="00F4065E">
      <w:pPr>
        <w:pStyle w:val="a3"/>
        <w:rPr>
          <w:rtl/>
        </w:rPr>
      </w:pPr>
      <w:bookmarkStart w:id="14384" w:name="_Toc63986493"/>
      <w:bookmarkStart w:id="14385" w:name="_Toc64024602"/>
      <w:bookmarkStart w:id="14386" w:name="_Toc64035997"/>
      <w:bookmarkStart w:id="14387" w:name="_Toc64148031"/>
      <w:bookmarkStart w:id="14388" w:name="_Toc64205621"/>
      <w:bookmarkStart w:id="14389" w:name="_Toc64209301"/>
      <w:r>
        <w:rPr>
          <w:rFonts w:hint="cs"/>
          <w:rtl/>
        </w:rPr>
        <w:t>קושית הרמב"ן דאף כשהם קטנים יש לו מיגו דהיא לקוחה בידו ואמאי אינו נאמן עכשיו</w:t>
      </w:r>
      <w:bookmarkEnd w:id="14384"/>
      <w:bookmarkEnd w:id="14385"/>
      <w:bookmarkEnd w:id="14386"/>
      <w:bookmarkEnd w:id="14387"/>
      <w:bookmarkEnd w:id="14388"/>
      <w:bookmarkEnd w:id="14389"/>
    </w:p>
    <w:p w:rsidR="00F4065E" w:rsidRPr="00193049" w:rsidRDefault="00F4065E" w:rsidP="007E4E81">
      <w:pPr>
        <w:pStyle w:val="a0"/>
        <w:rPr>
          <w:rStyle w:val="afb"/>
          <w:rtl/>
        </w:rPr>
      </w:pPr>
      <w:bookmarkStart w:id="14390" w:name="_Ref63983275"/>
      <w:r>
        <w:rPr>
          <w:rFonts w:hint="cs"/>
          <w:rtl/>
        </w:rPr>
        <w:t xml:space="preserve">אך הקשה </w:t>
      </w:r>
      <w:r w:rsidRPr="008628AE">
        <w:rPr>
          <w:rStyle w:val="af9"/>
          <w:rFonts w:hint="cs"/>
          <w:rtl/>
        </w:rPr>
        <w:t>הרמב"ן</w:t>
      </w:r>
      <w:r>
        <w:rPr>
          <w:rFonts w:hint="cs"/>
          <w:rtl/>
        </w:rPr>
        <w:t xml:space="preserve"> </w:t>
      </w:r>
      <w:r w:rsidRPr="001C7ED0">
        <w:rPr>
          <w:rStyle w:val="af7"/>
          <w:rFonts w:eastAsia="Guttman Hodes" w:hint="cs"/>
          <w:rtl/>
        </w:rPr>
        <w:t>(ד"ה ותמהני)</w:t>
      </w:r>
      <w:r>
        <w:rPr>
          <w:rFonts w:hint="cs"/>
          <w:rtl/>
        </w:rPr>
        <w:t xml:space="preserve"> דהא אם עכשיו היה בא לב"ד כשהם עדיין קטנים, וטוען שיש לו חוב על אביהם, יש לו מיגו דמינך זבינתה, ואמאי אינו נאמן. </w:t>
      </w:r>
      <w:r w:rsidRPr="00193049">
        <w:rPr>
          <w:rStyle w:val="afb"/>
          <w:rFonts w:hint="cs"/>
          <w:rtl/>
        </w:rPr>
        <w:t xml:space="preserve">[ועי' במ"ש </w:t>
      </w:r>
      <w:r w:rsidRPr="0054234A">
        <w:rPr>
          <w:rStyle w:val="affa"/>
          <w:rFonts w:hint="cs"/>
          <w:rtl/>
        </w:rPr>
        <w:t xml:space="preserve">הרמב"ן </w:t>
      </w:r>
      <w:r w:rsidRPr="0054234A">
        <w:rPr>
          <w:rStyle w:val="aff6"/>
          <w:rFonts w:hint="cs"/>
          <w:rtl/>
        </w:rPr>
        <w:t xml:space="preserve">(עי' אות </w:t>
      </w:r>
      <w:r w:rsidRPr="0054234A">
        <w:rPr>
          <w:rStyle w:val="aff6"/>
          <w:rtl/>
        </w:rPr>
        <w:fldChar w:fldCharType="begin"/>
      </w:r>
      <w:r w:rsidRPr="0054234A">
        <w:rPr>
          <w:rStyle w:val="aff6"/>
          <w:rtl/>
        </w:rPr>
        <w:instrText xml:space="preserve"> </w:instrText>
      </w:r>
      <w:r w:rsidRPr="0054234A">
        <w:rPr>
          <w:rStyle w:val="aff6"/>
          <w:rFonts w:hint="cs"/>
        </w:rPr>
        <w:instrText>REF</w:instrText>
      </w:r>
      <w:r w:rsidRPr="0054234A">
        <w:rPr>
          <w:rStyle w:val="aff6"/>
          <w:rFonts w:hint="cs"/>
          <w:rtl/>
        </w:rPr>
        <w:instrText xml:space="preserve"> _</w:instrText>
      </w:r>
      <w:r w:rsidRPr="0054234A">
        <w:rPr>
          <w:rStyle w:val="aff6"/>
          <w:rFonts w:hint="cs"/>
        </w:rPr>
        <w:instrText>Ref63983363 \r \h</w:instrText>
      </w:r>
      <w:r w:rsidRPr="0054234A">
        <w:rPr>
          <w:rStyle w:val="aff6"/>
          <w:rtl/>
        </w:rPr>
        <w:instrText xml:space="preserve"> </w:instrText>
      </w:r>
      <w:r w:rsidRPr="0054234A">
        <w:rPr>
          <w:rStyle w:val="aff6"/>
          <w:rtl/>
        </w:rPr>
      </w:r>
      <w:r w:rsidRPr="0054234A">
        <w:rPr>
          <w:rStyle w:val="aff6"/>
          <w:rtl/>
        </w:rPr>
        <w:fldChar w:fldCharType="separate"/>
      </w:r>
      <w:r w:rsidR="00265073">
        <w:rPr>
          <w:rStyle w:val="aff6"/>
          <w:cs/>
        </w:rPr>
        <w:t>‎</w:t>
      </w:r>
      <w:r w:rsidR="00265073">
        <w:rPr>
          <w:rStyle w:val="aff6"/>
          <w:rtl/>
        </w:rPr>
        <w:t>כד)</w:t>
      </w:r>
      <w:r w:rsidRPr="0054234A">
        <w:rPr>
          <w:rStyle w:val="aff6"/>
          <w:rtl/>
        </w:rPr>
        <w:fldChar w:fldCharType="end"/>
      </w:r>
      <w:r w:rsidRPr="00193049">
        <w:rPr>
          <w:rStyle w:val="afb"/>
          <w:rFonts w:hint="cs"/>
          <w:rtl/>
        </w:rPr>
        <w:t xml:space="preserve"> דלדעת </w:t>
      </w:r>
      <w:r w:rsidRPr="0054234A">
        <w:rPr>
          <w:rStyle w:val="affa"/>
          <w:rFonts w:hint="cs"/>
          <w:rtl/>
        </w:rPr>
        <w:t xml:space="preserve">הגאונים </w:t>
      </w:r>
      <w:r w:rsidRPr="00193049">
        <w:rPr>
          <w:rStyle w:val="afb"/>
          <w:rFonts w:hint="cs"/>
          <w:rtl/>
        </w:rPr>
        <w:t>מבואר דאף שנאמן במיגו עדיין חייב שבועה].</w:t>
      </w:r>
      <w:bookmarkEnd w:id="14390"/>
    </w:p>
    <w:p w:rsidR="00F4065E" w:rsidRPr="00F922E9" w:rsidRDefault="00F4065E" w:rsidP="00F4065E">
      <w:pPr>
        <w:pStyle w:val="a3"/>
      </w:pPr>
      <w:bookmarkStart w:id="14391" w:name="_Toc63986494"/>
      <w:bookmarkStart w:id="14392" w:name="_Toc64024603"/>
      <w:bookmarkStart w:id="14393" w:name="_Toc64035998"/>
      <w:bookmarkStart w:id="14394" w:name="_Toc64148032"/>
      <w:bookmarkStart w:id="14395" w:name="_Toc64205622"/>
      <w:bookmarkStart w:id="14396" w:name="_Toc64209302"/>
      <w:r>
        <w:rPr>
          <w:rFonts w:hint="cs"/>
          <w:rtl/>
        </w:rPr>
        <w:t>תירוץ הרמב"ן דא"א להוציא מהקטנים ואף אי נאמן במיגו כעדים א"א לקבלו שלא בפניהם</w:t>
      </w:r>
      <w:bookmarkEnd w:id="14391"/>
      <w:bookmarkEnd w:id="14392"/>
      <w:bookmarkEnd w:id="14393"/>
      <w:bookmarkEnd w:id="14394"/>
      <w:bookmarkEnd w:id="14395"/>
      <w:bookmarkEnd w:id="14396"/>
    </w:p>
    <w:p w:rsidR="00F4065E" w:rsidRDefault="00F4065E" w:rsidP="007E4E81">
      <w:pPr>
        <w:pStyle w:val="a0"/>
        <w:rPr>
          <w:rStyle w:val="afb"/>
          <w:rtl/>
        </w:rPr>
      </w:pPr>
      <w:bookmarkStart w:id="14397" w:name="_Ref63982843"/>
      <w:r>
        <w:rPr>
          <w:rFonts w:hint="cs"/>
          <w:rtl/>
        </w:rPr>
        <w:t xml:space="preserve">ותירץ </w:t>
      </w:r>
      <w:r w:rsidRPr="00BA2CAF">
        <w:rPr>
          <w:rStyle w:val="af9"/>
          <w:rFonts w:hint="cs"/>
          <w:rtl/>
        </w:rPr>
        <w:t>הרמב"ן</w:t>
      </w:r>
      <w:r>
        <w:rPr>
          <w:rFonts w:hint="cs"/>
          <w:rtl/>
        </w:rPr>
        <w:t xml:space="preserve"> דאף שהוא נאמן במיגו, מ"מ לא מהני לו המיגו להוציא מהקטנים, כיון שאין נזקקין לטענותיו, וא"א אף אם נחשיב את המיגו כאילו הביא עדים, מ"מ הא כשהם קטנים א"א לקבל את העדות שלא לפני הבע"ד, וכ"כ </w:t>
      </w:r>
      <w:r w:rsidRPr="00BA2CAF">
        <w:rPr>
          <w:rStyle w:val="af9"/>
          <w:rFonts w:hint="cs"/>
          <w:rtl/>
        </w:rPr>
        <w:t>הרשב"א</w:t>
      </w:r>
      <w:r>
        <w:rPr>
          <w:rFonts w:hint="cs"/>
          <w:rtl/>
        </w:rPr>
        <w:t xml:space="preserve"> </w:t>
      </w:r>
      <w:r w:rsidRPr="004048F6">
        <w:rPr>
          <w:rStyle w:val="af7"/>
          <w:rFonts w:eastAsia="Guttman Hodes" w:hint="cs"/>
          <w:rtl/>
        </w:rPr>
        <w:t xml:space="preserve">(סוד"ה והא) </w:t>
      </w:r>
      <w:r>
        <w:rPr>
          <w:rFonts w:hint="cs"/>
          <w:rtl/>
        </w:rPr>
        <w:t>בשם</w:t>
      </w:r>
      <w:r w:rsidRPr="00BA2CAF">
        <w:rPr>
          <w:rStyle w:val="af9"/>
          <w:rFonts w:hint="cs"/>
          <w:rtl/>
        </w:rPr>
        <w:t xml:space="preserve"> י"מ</w:t>
      </w:r>
      <w:r>
        <w:rPr>
          <w:rFonts w:hint="cs"/>
          <w:rtl/>
        </w:rPr>
        <w:t>.</w:t>
      </w:r>
      <w:bookmarkEnd w:id="14397"/>
      <w:r>
        <w:rPr>
          <w:rFonts w:hint="cs"/>
          <w:rtl/>
        </w:rPr>
        <w:t xml:space="preserve"> </w:t>
      </w:r>
    </w:p>
    <w:p w:rsidR="00F4065E" w:rsidRPr="0055385A" w:rsidRDefault="00F4065E" w:rsidP="00F4065E">
      <w:pPr>
        <w:pStyle w:val="a3"/>
        <w:rPr>
          <w:rtl/>
        </w:rPr>
      </w:pPr>
    </w:p>
    <w:p w:rsidR="00F4065E" w:rsidRPr="004F0D17" w:rsidRDefault="00F4065E" w:rsidP="00F4065E">
      <w:pPr>
        <w:pStyle w:val="a3"/>
        <w:rPr>
          <w:rtl/>
        </w:rPr>
      </w:pPr>
      <w:bookmarkStart w:id="14398" w:name="_Toc63986495"/>
      <w:bookmarkStart w:id="14399" w:name="_Toc64024604"/>
      <w:bookmarkStart w:id="14400" w:name="_Toc64035999"/>
      <w:bookmarkStart w:id="14401" w:name="_Toc64148033"/>
      <w:bookmarkStart w:id="14402" w:name="_Toc64205623"/>
      <w:bookmarkStart w:id="14403" w:name="_Toc64209303"/>
      <w:r>
        <w:rPr>
          <w:rFonts w:hint="cs"/>
          <w:rtl/>
        </w:rPr>
        <w:t>קושית השיטה לנ"ל על הרמב"ן דע"י השטר החוב ידוע וכן המיגו וחשיב שנחקרה העדות בב"ד</w:t>
      </w:r>
      <w:bookmarkEnd w:id="14398"/>
      <w:bookmarkEnd w:id="14399"/>
      <w:bookmarkEnd w:id="14400"/>
      <w:bookmarkEnd w:id="14401"/>
      <w:bookmarkEnd w:id="14402"/>
      <w:bookmarkEnd w:id="14403"/>
    </w:p>
    <w:p w:rsidR="00F4065E" w:rsidRDefault="00F4065E" w:rsidP="007E4E81">
      <w:pPr>
        <w:pStyle w:val="a0"/>
        <w:rPr>
          <w:rtl/>
        </w:rPr>
      </w:pPr>
      <w:r w:rsidRPr="00036014">
        <w:rPr>
          <w:rFonts w:hint="cs"/>
          <w:rtl/>
        </w:rPr>
        <w:t xml:space="preserve">אך הקשה </w:t>
      </w:r>
      <w:r w:rsidRPr="00143411">
        <w:rPr>
          <w:rStyle w:val="af9"/>
          <w:rFonts w:hint="cs"/>
          <w:rtl/>
        </w:rPr>
        <w:t xml:space="preserve">בשיטה לא נודע למי בשיטמ"ק </w:t>
      </w:r>
      <w:r w:rsidRPr="00143411">
        <w:rPr>
          <w:rStyle w:val="af7"/>
          <w:rFonts w:eastAsia="Guttman Hodes" w:hint="cs"/>
          <w:rtl/>
        </w:rPr>
        <w:t>(ד"ה ואין זה)</w:t>
      </w:r>
      <w:r w:rsidRPr="00036014">
        <w:rPr>
          <w:rFonts w:hint="cs"/>
          <w:rtl/>
        </w:rPr>
        <w:t xml:space="preserve"> על דברי </w:t>
      </w:r>
      <w:r w:rsidRPr="00143411">
        <w:rPr>
          <w:rStyle w:val="af9"/>
          <w:rFonts w:hint="cs"/>
          <w:rtl/>
        </w:rPr>
        <w:t xml:space="preserve">הרשב"א </w:t>
      </w:r>
      <w:r w:rsidRPr="00036014">
        <w:rPr>
          <w:rFonts w:hint="cs"/>
          <w:rtl/>
        </w:rPr>
        <w:t xml:space="preserve">בשם </w:t>
      </w:r>
      <w:r w:rsidRPr="00143411">
        <w:rPr>
          <w:rStyle w:val="af9"/>
          <w:rFonts w:hint="cs"/>
          <w:rtl/>
        </w:rPr>
        <w:t xml:space="preserve">י"מ </w:t>
      </w:r>
      <w:r w:rsidRPr="00036014">
        <w:rPr>
          <w:rFonts w:hint="cs"/>
          <w:rtl/>
        </w:rPr>
        <w:t>[</w:t>
      </w:r>
      <w:r w:rsidRPr="00143411">
        <w:rPr>
          <w:rStyle w:val="af9"/>
          <w:rFonts w:hint="cs"/>
          <w:rtl/>
        </w:rPr>
        <w:t>והרמב"ן</w:t>
      </w:r>
      <w:r w:rsidRPr="00036014">
        <w:rPr>
          <w:rFonts w:hint="cs"/>
          <w:rtl/>
        </w:rPr>
        <w:t xml:space="preserve">] </w:t>
      </w:r>
      <w:r w:rsidRPr="00143411">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Ref63982843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Pr>
          <w:rStyle w:val="af7"/>
          <w:rFonts w:eastAsia="Guttman Hodes"/>
          <w:rtl/>
        </w:rPr>
        <w:fldChar w:fldCharType="end"/>
      </w:r>
      <w:r>
        <w:rPr>
          <w:rStyle w:val="af7"/>
          <w:rFonts w:eastAsia="Guttman Hodes" w:hint="cs"/>
          <w:rtl/>
        </w:rPr>
        <w:t xml:space="preserve"> </w:t>
      </w:r>
      <w:r w:rsidRPr="00036014">
        <w:rPr>
          <w:rFonts w:hint="cs"/>
          <w:rtl/>
        </w:rPr>
        <w:t>דכיון ד</w:t>
      </w:r>
      <w:r>
        <w:rPr>
          <w:rFonts w:hint="cs"/>
          <w:rtl/>
        </w:rPr>
        <w:t xml:space="preserve">רבא בר שרשום </w:t>
      </w:r>
      <w:r w:rsidRPr="00036014">
        <w:rPr>
          <w:rFonts w:hint="cs"/>
          <w:rtl/>
        </w:rPr>
        <w:t xml:space="preserve">סבר </w:t>
      </w:r>
      <w:r>
        <w:rPr>
          <w:rFonts w:hint="cs"/>
          <w:rtl/>
        </w:rPr>
        <w:t>ש</w:t>
      </w:r>
      <w:r w:rsidRPr="00036014">
        <w:rPr>
          <w:rFonts w:hint="cs"/>
          <w:rtl/>
        </w:rPr>
        <w:t>הוא נאמן לטעון לקוחה היא בידי, א"כ לא דמי כלל לקבלת עדות,</w:t>
      </w:r>
      <w:r>
        <w:rPr>
          <w:rFonts w:hint="cs"/>
          <w:rtl/>
        </w:rPr>
        <w:t xml:space="preserve"> דהא יש לו שטר על החוב, וא"כ החוב עצמו ידוע לנו, וגם המיגו שיש לו הוא ידוע לנו, וכמי שנחקרה עדותם בב"ד כבר, ואי"ז קבלת עדות בפני קטנים.</w:t>
      </w:r>
    </w:p>
    <w:p w:rsidR="00F4065E" w:rsidRPr="004F0D17" w:rsidRDefault="00F4065E" w:rsidP="00F4065E">
      <w:pPr>
        <w:pStyle w:val="a3"/>
      </w:pPr>
      <w:bookmarkStart w:id="14404" w:name="_Toc63986496"/>
      <w:bookmarkStart w:id="14405" w:name="_Toc64024605"/>
      <w:bookmarkStart w:id="14406" w:name="_Toc64036000"/>
      <w:bookmarkStart w:id="14407" w:name="_Toc64148034"/>
      <w:bookmarkStart w:id="14408" w:name="_Toc64205624"/>
      <w:bookmarkStart w:id="14409" w:name="_Toc64209304"/>
      <w:r>
        <w:rPr>
          <w:rFonts w:hint="cs"/>
          <w:rtl/>
        </w:rPr>
        <w:t>קושית השיטה לנ"ל על הרמב"ן דאף אחר אכילת הפירות נאמן ע"י המיגו אף כשהם קטנים</w:t>
      </w:r>
      <w:bookmarkEnd w:id="14404"/>
      <w:bookmarkEnd w:id="14405"/>
      <w:bookmarkEnd w:id="14406"/>
      <w:bookmarkEnd w:id="14407"/>
      <w:bookmarkEnd w:id="14408"/>
      <w:bookmarkEnd w:id="14409"/>
    </w:p>
    <w:p w:rsidR="00F4065E" w:rsidRDefault="00F4065E" w:rsidP="007E4E81">
      <w:pPr>
        <w:pStyle w:val="a0"/>
        <w:rPr>
          <w:rtl/>
        </w:rPr>
      </w:pPr>
      <w:r w:rsidRPr="00545836">
        <w:rPr>
          <w:rtl/>
        </w:rPr>
        <w:t xml:space="preserve">ועוד הקשה </w:t>
      </w:r>
      <w:r w:rsidRPr="004F0D17">
        <w:rPr>
          <w:rStyle w:val="af9"/>
          <w:rtl/>
        </w:rPr>
        <w:t>השיטה לא נודע למי בשיטמ"ק</w:t>
      </w:r>
      <w:r w:rsidRPr="00545836">
        <w:rPr>
          <w:rtl/>
        </w:rPr>
        <w:t xml:space="preserve"> דאף לאחר שאכל את הפירות </w:t>
      </w:r>
      <w:r>
        <w:rPr>
          <w:rFonts w:hint="cs"/>
          <w:rtl/>
        </w:rPr>
        <w:t xml:space="preserve">יש לו ראיה ע"י </w:t>
      </w:r>
      <w:r w:rsidRPr="00545836">
        <w:rPr>
          <w:rtl/>
        </w:rPr>
        <w:t>המיגו</w:t>
      </w:r>
      <w:r>
        <w:rPr>
          <w:rFonts w:hint="cs"/>
          <w:rtl/>
        </w:rPr>
        <w:t xml:space="preserve"> דהוא נאמן שאכל כדין</w:t>
      </w:r>
      <w:r w:rsidRPr="00545836">
        <w:rPr>
          <w:rtl/>
        </w:rPr>
        <w:t>, אף כ</w:t>
      </w:r>
      <w:r>
        <w:rPr>
          <w:rFonts w:hint="cs"/>
          <w:rtl/>
        </w:rPr>
        <w:t xml:space="preserve">שהיתומים הם </w:t>
      </w:r>
      <w:r w:rsidRPr="00545836">
        <w:rPr>
          <w:rtl/>
        </w:rPr>
        <w:t>עדיין קטנים</w:t>
      </w:r>
      <w:r>
        <w:rPr>
          <w:rFonts w:hint="cs"/>
          <w:rtl/>
        </w:rPr>
        <w:t xml:space="preserve">, אלא </w:t>
      </w:r>
      <w:r w:rsidRPr="005331CD">
        <w:rPr>
          <w:rStyle w:val="af9"/>
          <w:rFonts w:hint="cs"/>
          <w:rtl/>
        </w:rPr>
        <w:t xml:space="preserve">כתב השיטה לא נודע למי בשיטמ"ק </w:t>
      </w:r>
      <w:r>
        <w:rPr>
          <w:rFonts w:hint="cs"/>
          <w:rtl/>
        </w:rPr>
        <w:t xml:space="preserve">דנראה לבאר כדעת </w:t>
      </w:r>
      <w:r w:rsidRPr="00143411">
        <w:rPr>
          <w:rStyle w:val="af9"/>
          <w:rFonts w:hint="cs"/>
          <w:rtl/>
        </w:rPr>
        <w:t>הר"י מגאש</w:t>
      </w:r>
      <w:r>
        <w:rPr>
          <w:rFonts w:hint="cs"/>
          <w:rtl/>
        </w:rPr>
        <w:t xml:space="preserve"> </w:t>
      </w:r>
      <w:r w:rsidRPr="00143411">
        <w:rPr>
          <w:rStyle w:val="af7"/>
          <w:rFonts w:eastAsia="Guttman Hodes" w:hint="cs"/>
          <w:rtl/>
        </w:rPr>
        <w:t xml:space="preserve">(עי' אות </w:t>
      </w:r>
      <w:r w:rsidRPr="00143411">
        <w:rPr>
          <w:rStyle w:val="af7"/>
          <w:rFonts w:eastAsia="Guttman Hodes"/>
          <w:rtl/>
        </w:rPr>
        <w:fldChar w:fldCharType="begin"/>
      </w:r>
      <w:r w:rsidRPr="00143411">
        <w:rPr>
          <w:rStyle w:val="af7"/>
          <w:rFonts w:eastAsia="Guttman Hodes"/>
          <w:rtl/>
        </w:rPr>
        <w:instrText xml:space="preserve"> </w:instrText>
      </w:r>
      <w:r w:rsidRPr="00143411">
        <w:rPr>
          <w:rStyle w:val="af7"/>
          <w:rFonts w:eastAsia="Guttman Hodes" w:hint="cs"/>
        </w:rPr>
        <w:instrText>REF</w:instrText>
      </w:r>
      <w:r w:rsidRPr="00143411">
        <w:rPr>
          <w:rStyle w:val="af7"/>
          <w:rFonts w:eastAsia="Guttman Hodes" w:hint="cs"/>
          <w:rtl/>
        </w:rPr>
        <w:instrText xml:space="preserve"> _</w:instrText>
      </w:r>
      <w:r w:rsidRPr="00143411">
        <w:rPr>
          <w:rStyle w:val="af7"/>
          <w:rFonts w:eastAsia="Guttman Hodes" w:hint="cs"/>
        </w:rPr>
        <w:instrText>Ref63883754 \r \h</w:instrText>
      </w:r>
      <w:r w:rsidRPr="00143411">
        <w:rPr>
          <w:rStyle w:val="af7"/>
          <w:rFonts w:eastAsia="Guttman Hodes"/>
          <w:rtl/>
        </w:rPr>
        <w:instrText xml:space="preserve"> </w:instrText>
      </w:r>
      <w:r w:rsidRPr="00143411">
        <w:rPr>
          <w:rStyle w:val="af7"/>
          <w:rFonts w:eastAsia="Guttman Hodes"/>
          <w:rtl/>
        </w:rPr>
      </w:r>
      <w:r w:rsidRPr="00143411">
        <w:rPr>
          <w:rStyle w:val="af7"/>
          <w:rFonts w:eastAsia="Guttman Hodes"/>
          <w:rtl/>
        </w:rPr>
        <w:fldChar w:fldCharType="separate"/>
      </w:r>
      <w:r w:rsidR="00265073">
        <w:rPr>
          <w:rStyle w:val="af7"/>
          <w:rFonts w:eastAsia="Guttman Hodes"/>
          <w:cs/>
        </w:rPr>
        <w:t>‎</w:t>
      </w:r>
      <w:r w:rsidR="00265073">
        <w:rPr>
          <w:rStyle w:val="af7"/>
          <w:rFonts w:eastAsia="Guttman Hodes"/>
          <w:rtl/>
        </w:rPr>
        <w:t>ח)</w:t>
      </w:r>
      <w:r w:rsidRPr="00143411">
        <w:rPr>
          <w:rStyle w:val="af7"/>
          <w:rFonts w:eastAsia="Guttman Hodes"/>
          <w:rtl/>
        </w:rPr>
        <w:fldChar w:fldCharType="end"/>
      </w:r>
      <w:r>
        <w:rPr>
          <w:rFonts w:hint="cs"/>
          <w:rtl/>
        </w:rPr>
        <w:t xml:space="preserve"> דאף כשהם קטנים נאמן במיגו כשהקרקע בידו.</w:t>
      </w:r>
    </w:p>
    <w:p w:rsidR="00F4065E" w:rsidRDefault="00F4065E" w:rsidP="00F4065E">
      <w:pPr>
        <w:pStyle w:val="a3"/>
        <w:rPr>
          <w:rtl/>
        </w:rPr>
      </w:pPr>
      <w:bookmarkStart w:id="14410" w:name="_Toc64205625"/>
      <w:bookmarkStart w:id="14411" w:name="_Toc64209305"/>
      <w:r>
        <w:rPr>
          <w:rFonts w:hint="cs"/>
          <w:rtl/>
        </w:rPr>
        <w:t>דברי המהרש"ך דמוכח ברמב"ן דל"מ תפיסה מיתומים קטנים במיגו כמו דל"מ עדות שלא בפניו</w:t>
      </w:r>
      <w:bookmarkEnd w:id="14410"/>
      <w:bookmarkEnd w:id="14411"/>
    </w:p>
    <w:p w:rsidR="00F4065E" w:rsidRPr="002E3C3E" w:rsidRDefault="00F4065E" w:rsidP="007E4E81">
      <w:pPr>
        <w:pStyle w:val="a0"/>
        <w:rPr>
          <w:rtl/>
        </w:rPr>
      </w:pPr>
      <w:r>
        <w:rPr>
          <w:rFonts w:hint="cs"/>
          <w:rtl/>
        </w:rPr>
        <w:t xml:space="preserve">כתב </w:t>
      </w:r>
      <w:r w:rsidRPr="002E3C3E">
        <w:rPr>
          <w:rStyle w:val="af9"/>
          <w:rFonts w:hint="cs"/>
          <w:rtl/>
        </w:rPr>
        <w:t>המהרש"ך</w:t>
      </w:r>
      <w:r>
        <w:rPr>
          <w:rFonts w:hint="cs"/>
          <w:rtl/>
        </w:rPr>
        <w:t xml:space="preserve"> </w:t>
      </w:r>
      <w:r w:rsidRPr="002E3C3E">
        <w:rPr>
          <w:rStyle w:val="af7"/>
          <w:rFonts w:eastAsia="Guttman Rashi" w:hint="cs"/>
          <w:rtl/>
        </w:rPr>
        <w:t>(ח"א סי' ה' ד"ה א"כ זכינו)</w:t>
      </w:r>
      <w:r w:rsidRPr="00000987">
        <w:rPr>
          <w:rStyle w:val="aff6"/>
          <w:rFonts w:hint="cs"/>
          <w:rtl/>
        </w:rPr>
        <w:t xml:space="preserve"> </w:t>
      </w:r>
      <w:r>
        <w:rPr>
          <w:rFonts w:hint="cs"/>
          <w:rtl/>
        </w:rPr>
        <w:t xml:space="preserve">דבדברי </w:t>
      </w:r>
      <w:r w:rsidRPr="002E3C3E">
        <w:rPr>
          <w:rStyle w:val="af9"/>
          <w:rFonts w:hint="cs"/>
          <w:rtl/>
        </w:rPr>
        <w:t>הרמב"ן</w:t>
      </w:r>
      <w:r>
        <w:rPr>
          <w:rFonts w:hint="cs"/>
          <w:rtl/>
        </w:rPr>
        <w:t xml:space="preserve"> </w:t>
      </w:r>
      <w:r w:rsidRPr="002E3C3E">
        <w:rPr>
          <w:rStyle w:val="af7"/>
          <w:rFonts w:eastAsia="Guttman Rashi" w:hint="cs"/>
          <w:rtl/>
        </w:rPr>
        <w:t xml:space="preserve">(עי' אות </w:t>
      </w:r>
      <w:r w:rsidRPr="002E3C3E">
        <w:rPr>
          <w:rStyle w:val="af7"/>
          <w:rFonts w:eastAsia="Guttman Rashi"/>
          <w:rtl/>
        </w:rPr>
        <w:fldChar w:fldCharType="begin"/>
      </w:r>
      <w:r w:rsidRPr="002E3C3E">
        <w:rPr>
          <w:rStyle w:val="af7"/>
          <w:rFonts w:eastAsia="Guttman Rashi"/>
          <w:rtl/>
        </w:rPr>
        <w:instrText xml:space="preserve"> </w:instrText>
      </w:r>
      <w:r w:rsidRPr="002E3C3E">
        <w:rPr>
          <w:rStyle w:val="af7"/>
          <w:rFonts w:eastAsia="Guttman Rashi" w:hint="cs"/>
        </w:rPr>
        <w:instrText>REF</w:instrText>
      </w:r>
      <w:r w:rsidRPr="002E3C3E">
        <w:rPr>
          <w:rStyle w:val="af7"/>
          <w:rFonts w:eastAsia="Guttman Rashi" w:hint="cs"/>
          <w:rtl/>
        </w:rPr>
        <w:instrText xml:space="preserve"> _</w:instrText>
      </w:r>
      <w:r w:rsidRPr="002E3C3E">
        <w:rPr>
          <w:rStyle w:val="af7"/>
          <w:rFonts w:eastAsia="Guttman Rashi" w:hint="cs"/>
        </w:rPr>
        <w:instrText>Ref63982843 \r \h</w:instrText>
      </w:r>
      <w:r w:rsidRPr="002E3C3E">
        <w:rPr>
          <w:rStyle w:val="af7"/>
          <w:rFonts w:eastAsia="Guttman Rashi"/>
          <w:rtl/>
        </w:rPr>
        <w:instrText xml:space="preserve"> </w:instrText>
      </w:r>
      <w:r w:rsidRPr="002E3C3E">
        <w:rPr>
          <w:rStyle w:val="af7"/>
          <w:rFonts w:eastAsia="Guttman Rashi"/>
          <w:rtl/>
        </w:rPr>
      </w:r>
      <w:r w:rsidRPr="002E3C3E">
        <w:rPr>
          <w:rStyle w:val="af7"/>
          <w:rFonts w:eastAsia="Guttman Rashi"/>
          <w:rtl/>
        </w:rPr>
        <w:fldChar w:fldCharType="separate"/>
      </w:r>
      <w:r w:rsidR="00265073">
        <w:rPr>
          <w:rStyle w:val="af7"/>
          <w:rFonts w:eastAsia="Guttman Rashi"/>
          <w:cs/>
        </w:rPr>
        <w:t>‎</w:t>
      </w:r>
      <w:r w:rsidR="00265073">
        <w:rPr>
          <w:rStyle w:val="af7"/>
          <w:rFonts w:eastAsia="Guttman Rashi"/>
          <w:rtl/>
        </w:rPr>
        <w:t>טו)</w:t>
      </w:r>
      <w:r w:rsidRPr="002E3C3E">
        <w:rPr>
          <w:rStyle w:val="af7"/>
          <w:rFonts w:eastAsia="Guttman Rashi"/>
          <w:rtl/>
        </w:rPr>
        <w:fldChar w:fldCharType="end"/>
      </w:r>
      <w:r>
        <w:rPr>
          <w:rFonts w:hint="cs"/>
          <w:rtl/>
        </w:rPr>
        <w:t xml:space="preserve"> מבואר דאף לדעת הסוברים דמהני תפיסה מיתומים קטנים, היינו דוקא במלוה בשטר, אבל במלוה ע"פ לכו"ע לא מהני תפיסה, והוסיף </w:t>
      </w:r>
      <w:r w:rsidRPr="002E3C3E">
        <w:rPr>
          <w:rStyle w:val="af9"/>
          <w:rFonts w:hint="cs"/>
          <w:rtl/>
        </w:rPr>
        <w:t>המהרש"ך</w:t>
      </w:r>
      <w:r>
        <w:rPr>
          <w:rFonts w:hint="cs"/>
          <w:rtl/>
        </w:rPr>
        <w:t xml:space="preserve"> דנראה דלדעת </w:t>
      </w:r>
      <w:r w:rsidRPr="002E3C3E">
        <w:rPr>
          <w:rStyle w:val="af9"/>
          <w:rFonts w:hint="cs"/>
          <w:rtl/>
        </w:rPr>
        <w:t>הרמב"ן</w:t>
      </w:r>
      <w:r>
        <w:rPr>
          <w:rFonts w:hint="cs"/>
          <w:rtl/>
        </w:rPr>
        <w:t xml:space="preserve"> לא מהני תפיסה אף בשטר, והא דלרבא בר שרשום מהני התפיסה אם היה לו מיגו, הוא כיון דאיירי שהתקבלה עדות בחיי האב, דהודה האב שלא פרע את החוב, או שמסר את דבריו לב"ד, אבל לאחר מיתת האב אין מקבלים את עדות השטר, כמו דחיישינן לפרעון וה"ה אם תפס דלא מהני תפיסתו, דאעפ"י שיש לו מיגו, מ"מ המיגו לא עדיף מעדים, וקיי"ל דאין מקבלים עדות שלא בפני בע"ד, ועוד כתב </w:t>
      </w:r>
      <w:r w:rsidRPr="002E3C3E">
        <w:rPr>
          <w:rStyle w:val="af9"/>
          <w:rFonts w:hint="cs"/>
          <w:rtl/>
        </w:rPr>
        <w:t>המהרש"ך</w:t>
      </w:r>
      <w:r>
        <w:rPr>
          <w:rFonts w:hint="cs"/>
          <w:rtl/>
        </w:rPr>
        <w:t xml:space="preserve"> </w:t>
      </w:r>
      <w:r w:rsidRPr="002E3C3E">
        <w:rPr>
          <w:rStyle w:val="af7"/>
          <w:rFonts w:eastAsia="Guttman Rashi" w:hint="cs"/>
          <w:rtl/>
        </w:rPr>
        <w:t>(ח"ב סי' קע"ח ד"ה תשובה)</w:t>
      </w:r>
      <w:r w:rsidRPr="00000987">
        <w:rPr>
          <w:rStyle w:val="aff6"/>
          <w:rFonts w:hint="cs"/>
          <w:rtl/>
        </w:rPr>
        <w:t xml:space="preserve"> </w:t>
      </w:r>
      <w:r>
        <w:rPr>
          <w:rFonts w:hint="cs"/>
          <w:rtl/>
        </w:rPr>
        <w:t>דמיגו גרע מעדים, דהא מיגו במקום עדים לא מהני.</w:t>
      </w:r>
    </w:p>
    <w:p w:rsidR="00F4065E" w:rsidRPr="00585973" w:rsidRDefault="00F4065E" w:rsidP="00F4065E">
      <w:pPr>
        <w:pStyle w:val="a3"/>
        <w:rPr>
          <w:rtl/>
        </w:rPr>
      </w:pPr>
      <w:bookmarkStart w:id="14412" w:name="_Toc64205626"/>
      <w:bookmarkStart w:id="14413" w:name="_Toc64209306"/>
      <w:r>
        <w:rPr>
          <w:rFonts w:hint="cs"/>
          <w:rtl/>
        </w:rPr>
        <w:t>דברי המשל"מ דלהחזיק מהני עדות שלא בפניו וא"כ כל שתפס מיתומים נאמן במיגו</w:t>
      </w:r>
      <w:bookmarkEnd w:id="14412"/>
      <w:bookmarkEnd w:id="14413"/>
    </w:p>
    <w:p w:rsidR="00F4065E" w:rsidRDefault="00F4065E" w:rsidP="007E4E81">
      <w:pPr>
        <w:pStyle w:val="a0"/>
        <w:rPr>
          <w:rtl/>
        </w:rPr>
      </w:pPr>
      <w:bookmarkStart w:id="14414" w:name="_Toc64024606"/>
      <w:bookmarkStart w:id="14415" w:name="_Toc64036001"/>
      <w:bookmarkStart w:id="14416" w:name="_Toc64148035"/>
      <w:r>
        <w:rPr>
          <w:rFonts w:hint="cs"/>
          <w:rtl/>
        </w:rPr>
        <w:t xml:space="preserve">ודחה </w:t>
      </w:r>
      <w:r w:rsidRPr="00512463">
        <w:rPr>
          <w:rStyle w:val="af9"/>
          <w:rFonts w:hint="cs"/>
          <w:rtl/>
        </w:rPr>
        <w:t>המשל"מ</w:t>
      </w:r>
      <w:r>
        <w:rPr>
          <w:rFonts w:hint="cs"/>
          <w:rtl/>
        </w:rPr>
        <w:t xml:space="preserve"> </w:t>
      </w:r>
      <w:r w:rsidRPr="00585973">
        <w:rPr>
          <w:rStyle w:val="af7"/>
          <w:rFonts w:eastAsia="Guttman Hodes" w:hint="cs"/>
          <w:rtl/>
        </w:rPr>
        <w:t xml:space="preserve">(מלוה ולוה פכ"א ה"א ד"ה ועל דברי) </w:t>
      </w:r>
      <w:r>
        <w:rPr>
          <w:rFonts w:hint="cs"/>
          <w:rtl/>
        </w:rPr>
        <w:t xml:space="preserve">את דברי </w:t>
      </w:r>
      <w:r w:rsidRPr="00512463">
        <w:rPr>
          <w:rStyle w:val="af9"/>
          <w:rFonts w:hint="cs"/>
          <w:rtl/>
        </w:rPr>
        <w:t>המהרש"ך</w:t>
      </w:r>
      <w:r>
        <w:rPr>
          <w:rFonts w:hint="cs"/>
          <w:rtl/>
        </w:rPr>
        <w:t xml:space="preserve"> דהא רק להוציא אין מקבלים עדות שלא בפני בע"ד, אבל להחזיק מקבלים. </w:t>
      </w:r>
    </w:p>
    <w:p w:rsidR="00F4065E" w:rsidRPr="00CE0A65" w:rsidRDefault="00F4065E" w:rsidP="00F4065E">
      <w:pPr>
        <w:pStyle w:val="a3"/>
        <w:rPr>
          <w:rtl/>
        </w:rPr>
      </w:pPr>
      <w:bookmarkStart w:id="14417" w:name="_Toc64205627"/>
      <w:bookmarkStart w:id="14418" w:name="_Toc64209307"/>
      <w:r>
        <w:rPr>
          <w:rFonts w:hint="cs"/>
          <w:rtl/>
        </w:rPr>
        <w:t>ביאור הקצוה"ח דכיון שאין פוסקים מכח המיגו כשהם קטנים א"כ כשיגדלו כבר הודה ואין מיגו</w:t>
      </w:r>
      <w:bookmarkEnd w:id="14417"/>
      <w:bookmarkEnd w:id="14418"/>
    </w:p>
    <w:p w:rsidR="00F4065E" w:rsidRDefault="00F4065E" w:rsidP="007E4E81">
      <w:pPr>
        <w:pStyle w:val="a0"/>
        <w:rPr>
          <w:rtl/>
        </w:rPr>
      </w:pPr>
      <w:r>
        <w:rPr>
          <w:rFonts w:hint="cs"/>
          <w:rtl/>
        </w:rPr>
        <w:t>ותירץ</w:t>
      </w:r>
      <w:r w:rsidRPr="008F68E4">
        <w:rPr>
          <w:rStyle w:val="af9"/>
          <w:rFonts w:hint="cs"/>
          <w:rtl/>
        </w:rPr>
        <w:t xml:space="preserve"> הקצוה"ח</w:t>
      </w:r>
      <w:r w:rsidRPr="008F68E4">
        <w:rPr>
          <w:rStyle w:val="af7"/>
          <w:rFonts w:eastAsia="Guttman Hodes" w:hint="cs"/>
          <w:rtl/>
        </w:rPr>
        <w:t xml:space="preserve"> (סי' ק"י </w:t>
      </w:r>
      <w:r w:rsidRPr="00135B41">
        <w:rPr>
          <w:rStyle w:val="af7"/>
          <w:rFonts w:eastAsia="Guttman Hodes" w:hint="cs"/>
          <w:rtl/>
        </w:rPr>
        <w:t xml:space="preserve">סק"ב ד"ה </w:t>
      </w:r>
      <w:r>
        <w:rPr>
          <w:rStyle w:val="af7"/>
          <w:rFonts w:eastAsia="Guttman Hodes" w:hint="cs"/>
          <w:rtl/>
        </w:rPr>
        <w:t>אבל מיגו</w:t>
      </w:r>
      <w:r w:rsidRPr="00135B41">
        <w:rPr>
          <w:rStyle w:val="af7"/>
          <w:rFonts w:eastAsia="Guttman Hodes" w:hint="cs"/>
          <w:rtl/>
        </w:rPr>
        <w:t xml:space="preserve">) </w:t>
      </w:r>
      <w:r w:rsidRPr="00135B41">
        <w:rPr>
          <w:rFonts w:hint="cs"/>
          <w:rtl/>
        </w:rPr>
        <w:t>את דברי</w:t>
      </w:r>
      <w:r>
        <w:rPr>
          <w:rFonts w:hint="cs"/>
          <w:rtl/>
        </w:rPr>
        <w:t xml:space="preserve"> </w:t>
      </w:r>
      <w:r w:rsidRPr="002E3C3E">
        <w:rPr>
          <w:rStyle w:val="af9"/>
          <w:rFonts w:hint="cs"/>
          <w:rtl/>
        </w:rPr>
        <w:t>המהרש"ך</w:t>
      </w:r>
      <w:r>
        <w:rPr>
          <w:rFonts w:hint="cs"/>
          <w:rtl/>
        </w:rPr>
        <w:t xml:space="preserve"> [בדעת </w:t>
      </w:r>
      <w:r w:rsidRPr="002E3C3E">
        <w:rPr>
          <w:rStyle w:val="af9"/>
          <w:rFonts w:hint="cs"/>
          <w:rtl/>
        </w:rPr>
        <w:t>הרמב"ן</w:t>
      </w:r>
      <w:r>
        <w:rPr>
          <w:rFonts w:hint="cs"/>
          <w:rtl/>
        </w:rPr>
        <w:t xml:space="preserve"> </w:t>
      </w:r>
      <w:r w:rsidRPr="002E3C3E">
        <w:rPr>
          <w:rStyle w:val="af7"/>
          <w:rFonts w:eastAsia="Guttman Rashi" w:hint="cs"/>
          <w:rtl/>
        </w:rPr>
        <w:t xml:space="preserve">(עי' אות </w:t>
      </w:r>
      <w:r w:rsidRPr="002E3C3E">
        <w:rPr>
          <w:rStyle w:val="af7"/>
          <w:rFonts w:eastAsia="Guttman Rashi"/>
          <w:rtl/>
        </w:rPr>
        <w:fldChar w:fldCharType="begin"/>
      </w:r>
      <w:r w:rsidRPr="002E3C3E">
        <w:rPr>
          <w:rStyle w:val="af7"/>
          <w:rFonts w:eastAsia="Guttman Rashi"/>
          <w:rtl/>
        </w:rPr>
        <w:instrText xml:space="preserve"> </w:instrText>
      </w:r>
      <w:r w:rsidRPr="002E3C3E">
        <w:rPr>
          <w:rStyle w:val="af7"/>
          <w:rFonts w:eastAsia="Guttman Rashi" w:hint="cs"/>
        </w:rPr>
        <w:instrText>REF</w:instrText>
      </w:r>
      <w:r w:rsidRPr="002E3C3E">
        <w:rPr>
          <w:rStyle w:val="af7"/>
          <w:rFonts w:eastAsia="Guttman Rashi" w:hint="cs"/>
          <w:rtl/>
        </w:rPr>
        <w:instrText xml:space="preserve"> _</w:instrText>
      </w:r>
      <w:r w:rsidRPr="002E3C3E">
        <w:rPr>
          <w:rStyle w:val="af7"/>
          <w:rFonts w:eastAsia="Guttman Rashi" w:hint="cs"/>
        </w:rPr>
        <w:instrText>Ref63982843 \r \h</w:instrText>
      </w:r>
      <w:r w:rsidRPr="002E3C3E">
        <w:rPr>
          <w:rStyle w:val="af7"/>
          <w:rFonts w:eastAsia="Guttman Rashi"/>
          <w:rtl/>
        </w:rPr>
        <w:instrText xml:space="preserve"> </w:instrText>
      </w:r>
      <w:r w:rsidRPr="002E3C3E">
        <w:rPr>
          <w:rStyle w:val="af7"/>
          <w:rFonts w:eastAsia="Guttman Rashi"/>
          <w:rtl/>
        </w:rPr>
      </w:r>
      <w:r w:rsidRPr="002E3C3E">
        <w:rPr>
          <w:rStyle w:val="af7"/>
          <w:rFonts w:eastAsia="Guttman Rashi"/>
          <w:rtl/>
        </w:rPr>
        <w:fldChar w:fldCharType="separate"/>
      </w:r>
      <w:r w:rsidR="00265073">
        <w:rPr>
          <w:rStyle w:val="af7"/>
          <w:rFonts w:eastAsia="Guttman Rashi"/>
          <w:cs/>
        </w:rPr>
        <w:t>‎</w:t>
      </w:r>
      <w:r w:rsidR="00265073">
        <w:rPr>
          <w:rStyle w:val="af7"/>
          <w:rFonts w:eastAsia="Guttman Rashi"/>
          <w:rtl/>
        </w:rPr>
        <w:t>טו)</w:t>
      </w:r>
      <w:r w:rsidRPr="002E3C3E">
        <w:rPr>
          <w:rStyle w:val="af7"/>
          <w:rFonts w:eastAsia="Guttman Rashi"/>
          <w:rtl/>
        </w:rPr>
        <w:fldChar w:fldCharType="end"/>
      </w:r>
      <w:r>
        <w:rPr>
          <w:rFonts w:hint="cs"/>
          <w:rtl/>
        </w:rPr>
        <w:t>] דאעפ"י דמיגו לא עדיף מעדים, מ"מ המיגו לא מהני לאחר שיגדלו היתומים, דבזמן שהם קטנים הב"ד אינם פוסקים מכח המיגו להוציא מהיתומים, חשיב שכבר הודה כשהיו קטנים, וא"כ כשיתבעם לכשיגדלו כבר אין לו מיגו, ולכן לא מהני תפיסה מנכסי יתומים כשהם קטנים.</w:t>
      </w:r>
      <w:r w:rsidRPr="00A56F59">
        <w:rPr>
          <w:rStyle w:val="afb"/>
          <w:rFonts w:hint="cs"/>
          <w:rtl/>
        </w:rPr>
        <w:t xml:space="preserve"> </w:t>
      </w:r>
      <w:r w:rsidRPr="007650D3">
        <w:rPr>
          <w:rStyle w:val="afb"/>
          <w:rFonts w:hint="cs"/>
          <w:rtl/>
        </w:rPr>
        <w:t>[</w:t>
      </w:r>
      <w:r>
        <w:rPr>
          <w:rStyle w:val="afb"/>
          <w:rFonts w:hint="cs"/>
          <w:rtl/>
        </w:rPr>
        <w:t>וע"ע</w:t>
      </w:r>
      <w:r w:rsidRPr="007650D3">
        <w:rPr>
          <w:rStyle w:val="afb"/>
          <w:rFonts w:hint="cs"/>
          <w:rtl/>
        </w:rPr>
        <w:t xml:space="preserve"> </w:t>
      </w:r>
      <w:r>
        <w:rPr>
          <w:rStyle w:val="afb"/>
          <w:rFonts w:hint="cs"/>
          <w:rtl/>
        </w:rPr>
        <w:t xml:space="preserve">בדברי </w:t>
      </w:r>
      <w:r w:rsidRPr="00DE2026">
        <w:rPr>
          <w:rStyle w:val="affa"/>
          <w:rFonts w:hint="cs"/>
          <w:rtl/>
        </w:rPr>
        <w:t>הש"ך</w:t>
      </w:r>
      <w:r>
        <w:rPr>
          <w:rStyle w:val="afb"/>
          <w:rFonts w:hint="cs"/>
          <w:rtl/>
        </w:rPr>
        <w:t xml:space="preserve"> </w:t>
      </w:r>
      <w:r w:rsidRPr="00DE2026">
        <w:rPr>
          <w:rStyle w:val="aff6"/>
          <w:rFonts w:hint="cs"/>
          <w:rtl/>
        </w:rPr>
        <w:t xml:space="preserve">(סי' ק"י </w:t>
      </w:r>
      <w:r w:rsidRPr="00135B41">
        <w:rPr>
          <w:rStyle w:val="aff6"/>
          <w:rFonts w:hint="cs"/>
          <w:rtl/>
        </w:rPr>
        <w:t xml:space="preserve">סק"ה) </w:t>
      </w:r>
      <w:r>
        <w:rPr>
          <w:rStyle w:val="affa"/>
          <w:rFonts w:hint="cs"/>
          <w:rtl/>
        </w:rPr>
        <w:t>ו</w:t>
      </w:r>
      <w:r w:rsidRPr="00135B41">
        <w:rPr>
          <w:rStyle w:val="affa"/>
          <w:rFonts w:hint="cs"/>
          <w:rtl/>
        </w:rPr>
        <w:t>הקצוה</w:t>
      </w:r>
      <w:r w:rsidRPr="007650D3">
        <w:rPr>
          <w:rStyle w:val="affa"/>
          <w:rFonts w:hint="cs"/>
          <w:rtl/>
        </w:rPr>
        <w:t>"ח</w:t>
      </w:r>
      <w:r w:rsidRPr="007650D3">
        <w:rPr>
          <w:rStyle w:val="afb"/>
          <w:rFonts w:hint="cs"/>
          <w:rtl/>
        </w:rPr>
        <w:t xml:space="preserve"> בדין תפיסה מיתומים].</w:t>
      </w:r>
    </w:p>
    <w:p w:rsidR="00F4065E" w:rsidRDefault="00F4065E" w:rsidP="00F4065E">
      <w:pPr>
        <w:pStyle w:val="a3"/>
        <w:rPr>
          <w:rtl/>
        </w:rPr>
      </w:pPr>
      <w:bookmarkStart w:id="14419" w:name="_Toc64205628"/>
      <w:bookmarkStart w:id="14420" w:name="_Toc64209308"/>
      <w:r>
        <w:rPr>
          <w:rFonts w:hint="cs"/>
          <w:rtl/>
        </w:rPr>
        <w:t>דברי הנתיה"מ דבעדים יש גזיה"כ דאין להם נאמנות שלא בפני בע"ד אך מיגו לעולם הוא ראיה</w:t>
      </w:r>
      <w:bookmarkEnd w:id="14419"/>
      <w:bookmarkEnd w:id="14420"/>
    </w:p>
    <w:p w:rsidR="00F4065E" w:rsidRDefault="00F4065E" w:rsidP="007E4E81">
      <w:pPr>
        <w:pStyle w:val="a0"/>
      </w:pPr>
      <w:r>
        <w:rPr>
          <w:rFonts w:hint="cs"/>
          <w:rtl/>
        </w:rPr>
        <w:t xml:space="preserve">אבל </w:t>
      </w:r>
      <w:r w:rsidRPr="00135B41">
        <w:rPr>
          <w:rStyle w:val="af9"/>
          <w:rFonts w:hint="cs"/>
          <w:rtl/>
        </w:rPr>
        <w:t>הנתיה"מ</w:t>
      </w:r>
      <w:r>
        <w:rPr>
          <w:rFonts w:hint="cs"/>
          <w:rtl/>
        </w:rPr>
        <w:t xml:space="preserve"> </w:t>
      </w:r>
      <w:r w:rsidRPr="00135B41">
        <w:rPr>
          <w:rStyle w:val="af7"/>
          <w:rFonts w:eastAsia="Guttman Hodes" w:hint="cs"/>
          <w:rtl/>
        </w:rPr>
        <w:t>(סי' ק"י סק"ב ד"ה ובעיקר)</w:t>
      </w:r>
      <w:r>
        <w:rPr>
          <w:rFonts w:hint="cs"/>
          <w:rtl/>
        </w:rPr>
        <w:t xml:space="preserve"> כתב דהא דאין מקבלים עדים שלא בפני בע"ד, היינו כיון שיש גזיה"כ דכל הנאמנות של העדים היא רק בפני הבע"ד, וכל שהעידו שלא בפניו אין כל ראיה שהאמת היא כפי עדותם, והם יכולים לחזור בהם מעדותם, אבל במיגו יש ראיה דהוא אומר אמת, כיון שהיה יכול לטעון טענה אחרת שהיה נאמן בה, וא"כ אין כל חילוק אי יש לו מיגו בפני הבע"ד או שלא בפני הבע"ד.</w:t>
      </w:r>
    </w:p>
    <w:p w:rsidR="00F4065E" w:rsidRPr="007E3A66" w:rsidRDefault="00F4065E" w:rsidP="00F4065E">
      <w:pPr>
        <w:pStyle w:val="a3"/>
        <w:rPr>
          <w:rtl/>
        </w:rPr>
      </w:pPr>
      <w:bookmarkStart w:id="14421" w:name="_Toc64205629"/>
      <w:bookmarkStart w:id="14422" w:name="_Toc64209309"/>
      <w:r>
        <w:rPr>
          <w:rFonts w:hint="cs"/>
          <w:rtl/>
        </w:rPr>
        <w:t>ביאור החת"ס ברמב"ן דאף דמיגו להוציא מהני מ"מ א"א לקבל מיגו להוציא שלא בפני הבע"ד</w:t>
      </w:r>
      <w:bookmarkEnd w:id="14421"/>
      <w:bookmarkEnd w:id="14422"/>
    </w:p>
    <w:p w:rsidR="00F4065E" w:rsidRDefault="00F4065E" w:rsidP="007E4E81">
      <w:pPr>
        <w:pStyle w:val="a0"/>
        <w:rPr>
          <w:rtl/>
        </w:rPr>
      </w:pPr>
      <w:r>
        <w:rPr>
          <w:rFonts w:hint="cs"/>
          <w:rtl/>
        </w:rPr>
        <w:t xml:space="preserve">כתב  </w:t>
      </w:r>
      <w:r w:rsidRPr="007E3A66">
        <w:rPr>
          <w:rStyle w:val="af9"/>
          <w:rFonts w:hint="cs"/>
          <w:rtl/>
        </w:rPr>
        <w:t>החת"ס</w:t>
      </w:r>
      <w:r>
        <w:rPr>
          <w:rFonts w:hint="cs"/>
          <w:rtl/>
        </w:rPr>
        <w:t xml:space="preserve"> </w:t>
      </w:r>
      <w:r w:rsidRPr="007E3A66">
        <w:rPr>
          <w:rStyle w:val="af7"/>
          <w:rFonts w:eastAsia="Guttman Hodes" w:hint="cs"/>
          <w:rtl/>
        </w:rPr>
        <w:t>(ד"ה רבה)</w:t>
      </w:r>
      <w:r>
        <w:rPr>
          <w:rFonts w:hint="cs"/>
          <w:rtl/>
        </w:rPr>
        <w:t xml:space="preserve"> ד</w:t>
      </w:r>
      <w:r w:rsidRPr="00A1116D">
        <w:rPr>
          <w:rFonts w:hint="cs"/>
          <w:rtl/>
        </w:rPr>
        <w:t xml:space="preserve">מ"ש </w:t>
      </w:r>
      <w:r w:rsidRPr="00A1116D">
        <w:rPr>
          <w:rStyle w:val="af9"/>
          <w:rFonts w:hint="cs"/>
          <w:rtl/>
        </w:rPr>
        <w:t>הרמב"ן</w:t>
      </w:r>
      <w:r w:rsidRPr="00A1116D">
        <w:rPr>
          <w:rFonts w:hint="cs"/>
          <w:rtl/>
        </w:rPr>
        <w:t xml:space="preserve"> </w:t>
      </w:r>
      <w:r w:rsidRPr="007E3A66">
        <w:rPr>
          <w:rStyle w:val="af7"/>
          <w:rFonts w:eastAsia="Guttman Hodes" w:hint="cs"/>
          <w:rtl/>
        </w:rPr>
        <w:t xml:space="preserve">(עי' אות </w:t>
      </w:r>
      <w:r w:rsidRPr="007E3A66">
        <w:rPr>
          <w:rStyle w:val="af7"/>
          <w:rFonts w:eastAsia="Guttman Hodes"/>
          <w:rtl/>
        </w:rPr>
        <w:fldChar w:fldCharType="begin"/>
      </w:r>
      <w:r w:rsidRPr="007E3A66">
        <w:rPr>
          <w:rStyle w:val="af7"/>
          <w:rFonts w:eastAsia="Guttman Hodes"/>
          <w:rtl/>
        </w:rPr>
        <w:instrText xml:space="preserve"> </w:instrText>
      </w:r>
      <w:r w:rsidRPr="007E3A66">
        <w:rPr>
          <w:rStyle w:val="af7"/>
          <w:rFonts w:eastAsia="Guttman Hodes" w:hint="cs"/>
        </w:rPr>
        <w:instrText>REF</w:instrText>
      </w:r>
      <w:r w:rsidRPr="007E3A66">
        <w:rPr>
          <w:rStyle w:val="af7"/>
          <w:rFonts w:eastAsia="Guttman Hodes" w:hint="cs"/>
          <w:rtl/>
        </w:rPr>
        <w:instrText xml:space="preserve"> _</w:instrText>
      </w:r>
      <w:r w:rsidRPr="007E3A66">
        <w:rPr>
          <w:rStyle w:val="af7"/>
          <w:rFonts w:eastAsia="Guttman Hodes" w:hint="cs"/>
        </w:rPr>
        <w:instrText>Ref63982843 \r \h</w:instrText>
      </w:r>
      <w:r w:rsidRPr="007E3A66">
        <w:rPr>
          <w:rStyle w:val="af7"/>
          <w:rFonts w:eastAsia="Guttman Hodes"/>
          <w:rtl/>
        </w:rPr>
        <w:instrText xml:space="preserve"> </w:instrText>
      </w:r>
      <w:r w:rsidRPr="007E3A66">
        <w:rPr>
          <w:rStyle w:val="af7"/>
          <w:rFonts w:eastAsia="Guttman Hodes"/>
          <w:rtl/>
        </w:rPr>
      </w:r>
      <w:r w:rsidRPr="007E3A66">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7E3A66">
        <w:rPr>
          <w:rStyle w:val="af7"/>
          <w:rFonts w:eastAsia="Guttman Hodes"/>
          <w:rtl/>
        </w:rPr>
        <w:fldChar w:fldCharType="end"/>
      </w:r>
      <w:r w:rsidRPr="00A1116D">
        <w:rPr>
          <w:rFonts w:hint="cs"/>
          <w:rtl/>
        </w:rPr>
        <w:t xml:space="preserve"> </w:t>
      </w:r>
      <w:r>
        <w:rPr>
          <w:rFonts w:hint="cs"/>
          <w:rtl/>
        </w:rPr>
        <w:t xml:space="preserve">דא"א לקבל את המיגו כשהם קטנים, כיון שאין מקבלים עדות שלא בפני בע"ד, היינו דס"ל </w:t>
      </w:r>
      <w:r w:rsidRPr="007E3A66">
        <w:rPr>
          <w:rStyle w:val="af9"/>
          <w:rFonts w:hint="cs"/>
          <w:rtl/>
        </w:rPr>
        <w:t>להרמב"ן</w:t>
      </w:r>
      <w:r>
        <w:rPr>
          <w:rFonts w:hint="cs"/>
          <w:rtl/>
        </w:rPr>
        <w:t xml:space="preserve"> דחשיב שמוציא מהם, ולכן אף דס"ל </w:t>
      </w:r>
      <w:r w:rsidRPr="009E4C04">
        <w:rPr>
          <w:rStyle w:val="af9"/>
          <w:rFonts w:hint="cs"/>
          <w:rtl/>
        </w:rPr>
        <w:t>להרמב"ן לעיל</w:t>
      </w:r>
      <w:r>
        <w:rPr>
          <w:rFonts w:hint="cs"/>
          <w:rtl/>
        </w:rPr>
        <w:t xml:space="preserve"> </w:t>
      </w:r>
      <w:r w:rsidRPr="00FD0EEE">
        <w:rPr>
          <w:rStyle w:val="af7"/>
          <w:rFonts w:eastAsia="Guttman Hodes"/>
          <w:rtl/>
        </w:rPr>
        <w:lastRenderedPageBreak/>
        <w:t>(</w:t>
      </w:r>
      <w:r w:rsidRPr="00FD0EEE">
        <w:rPr>
          <w:rStyle w:val="af7"/>
          <w:rFonts w:eastAsia="Guttman Hodes" w:hint="cs"/>
          <w:rtl/>
        </w:rPr>
        <w:t xml:space="preserve">לב. </w:t>
      </w:r>
      <w:r w:rsidRPr="00FD0EEE">
        <w:rPr>
          <w:rStyle w:val="af7"/>
          <w:rFonts w:eastAsia="Guttman Hodes"/>
          <w:rtl/>
        </w:rPr>
        <w:t>ד"ה ומיהו, הובא בסימן י"ד אות פ')</w:t>
      </w:r>
      <w:r w:rsidRPr="004C5D5E">
        <w:rPr>
          <w:rtl/>
        </w:rPr>
        <w:t xml:space="preserve"> </w:t>
      </w:r>
      <w:r>
        <w:rPr>
          <w:rFonts w:hint="cs"/>
          <w:rtl/>
        </w:rPr>
        <w:t xml:space="preserve">דאמרינן מיגו להוציא, מ"מ א"א לקבל את המיגו שלא בפניהם כמו שאין מקבלים עדות שלא בפניהם, אך כתב </w:t>
      </w:r>
      <w:r w:rsidRPr="007E3A66">
        <w:rPr>
          <w:rStyle w:val="af9"/>
          <w:rFonts w:hint="cs"/>
          <w:rtl/>
        </w:rPr>
        <w:t>החת"ס</w:t>
      </w:r>
      <w:r>
        <w:rPr>
          <w:rFonts w:hint="cs"/>
          <w:rtl/>
        </w:rPr>
        <w:t xml:space="preserve"> דלהחזיק ס"ל </w:t>
      </w:r>
      <w:r w:rsidRPr="007E3A66">
        <w:rPr>
          <w:rStyle w:val="af9"/>
          <w:rFonts w:hint="cs"/>
          <w:rtl/>
        </w:rPr>
        <w:t>להרמב"ן</w:t>
      </w:r>
      <w:r>
        <w:rPr>
          <w:rFonts w:hint="cs"/>
          <w:rtl/>
        </w:rPr>
        <w:t xml:space="preserve"> </w:t>
      </w:r>
      <w:r w:rsidRPr="007E3A66">
        <w:rPr>
          <w:rStyle w:val="af7"/>
          <w:rFonts w:eastAsia="Guttman Hodes" w:hint="cs"/>
          <w:rtl/>
        </w:rPr>
        <w:t xml:space="preserve">(עי' אות </w:t>
      </w:r>
      <w:r w:rsidRPr="007E3A66">
        <w:rPr>
          <w:rStyle w:val="af7"/>
          <w:rFonts w:eastAsia="Guttman Hodes"/>
          <w:rtl/>
        </w:rPr>
        <w:fldChar w:fldCharType="begin"/>
      </w:r>
      <w:r w:rsidRPr="007E3A66">
        <w:rPr>
          <w:rStyle w:val="af7"/>
          <w:rFonts w:eastAsia="Guttman Hodes"/>
          <w:rtl/>
        </w:rPr>
        <w:instrText xml:space="preserve"> </w:instrText>
      </w:r>
      <w:r w:rsidRPr="007E3A66">
        <w:rPr>
          <w:rStyle w:val="af7"/>
          <w:rFonts w:eastAsia="Guttman Hodes" w:hint="cs"/>
        </w:rPr>
        <w:instrText>REF</w:instrText>
      </w:r>
      <w:r w:rsidRPr="007E3A66">
        <w:rPr>
          <w:rStyle w:val="af7"/>
          <w:rFonts w:eastAsia="Guttman Hodes" w:hint="cs"/>
          <w:rtl/>
        </w:rPr>
        <w:instrText xml:space="preserve"> _</w:instrText>
      </w:r>
      <w:r w:rsidRPr="007E3A66">
        <w:rPr>
          <w:rStyle w:val="af7"/>
          <w:rFonts w:eastAsia="Guttman Hodes" w:hint="cs"/>
        </w:rPr>
        <w:instrText>Ref64146633 \r \h</w:instrText>
      </w:r>
      <w:r w:rsidRPr="007E3A66">
        <w:rPr>
          <w:rStyle w:val="af7"/>
          <w:rFonts w:eastAsia="Guttman Hodes"/>
          <w:rtl/>
        </w:rPr>
        <w:instrText xml:space="preserve"> </w:instrText>
      </w:r>
      <w:r w:rsidRPr="007E3A66">
        <w:rPr>
          <w:rStyle w:val="af7"/>
          <w:rFonts w:eastAsia="Guttman Hodes"/>
          <w:rtl/>
        </w:rPr>
      </w:r>
      <w:r w:rsidRPr="007E3A66">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7E3A66">
        <w:rPr>
          <w:rStyle w:val="af7"/>
          <w:rFonts w:eastAsia="Guttman Hodes"/>
          <w:rtl/>
        </w:rPr>
        <w:fldChar w:fldCharType="end"/>
      </w:r>
      <w:r>
        <w:rPr>
          <w:rFonts w:hint="cs"/>
          <w:rtl/>
        </w:rPr>
        <w:t xml:space="preserve"> דמקבלים את המיגו שלא בפניהם.</w:t>
      </w:r>
    </w:p>
    <w:p w:rsidR="00F4065E" w:rsidRPr="00DA147A" w:rsidRDefault="00F4065E" w:rsidP="00F4065E">
      <w:pPr>
        <w:pStyle w:val="a3"/>
        <w:rPr>
          <w:rtl/>
        </w:rPr>
      </w:pPr>
      <w:bookmarkStart w:id="14423" w:name="_Toc64205630"/>
      <w:bookmarkStart w:id="14424" w:name="_Toc64209310"/>
      <w:r>
        <w:rPr>
          <w:rFonts w:hint="cs"/>
          <w:rtl/>
        </w:rPr>
        <w:t>דברי החת"ס דכיון דס"ל לרמב"ן דאמרינן מיגו להוציא א"א לבאר כרבינו יונה או כגאונים</w:t>
      </w:r>
      <w:bookmarkEnd w:id="14423"/>
      <w:bookmarkEnd w:id="14424"/>
    </w:p>
    <w:p w:rsidR="00F4065E" w:rsidRDefault="00F4065E" w:rsidP="007E4E81">
      <w:pPr>
        <w:pStyle w:val="a0"/>
        <w:rPr>
          <w:rtl/>
        </w:rPr>
      </w:pPr>
      <w:r>
        <w:rPr>
          <w:rFonts w:hint="cs"/>
          <w:rtl/>
        </w:rPr>
        <w:t xml:space="preserve">והוסיף </w:t>
      </w:r>
      <w:r w:rsidRPr="00DA147A">
        <w:rPr>
          <w:rStyle w:val="af9"/>
          <w:rFonts w:hint="cs"/>
          <w:rtl/>
        </w:rPr>
        <w:t xml:space="preserve">החת"ס </w:t>
      </w:r>
      <w:r>
        <w:rPr>
          <w:rFonts w:hint="cs"/>
          <w:rtl/>
        </w:rPr>
        <w:t xml:space="preserve">דכיון דס"ל </w:t>
      </w:r>
      <w:r w:rsidRPr="00DA147A">
        <w:rPr>
          <w:rStyle w:val="af9"/>
          <w:rFonts w:hint="cs"/>
          <w:rtl/>
        </w:rPr>
        <w:t xml:space="preserve">להרמב"ן </w:t>
      </w:r>
      <w:r>
        <w:rPr>
          <w:rFonts w:hint="cs"/>
          <w:rtl/>
        </w:rPr>
        <w:t xml:space="preserve">דאמרינן מיגו להוציא, לכן הוצרך </w:t>
      </w:r>
      <w:r w:rsidRPr="00DA147A">
        <w:rPr>
          <w:rStyle w:val="af9"/>
          <w:rFonts w:hint="cs"/>
          <w:rtl/>
        </w:rPr>
        <w:t xml:space="preserve">הרמב"ן </w:t>
      </w:r>
      <w:r>
        <w:rPr>
          <w:rFonts w:hint="cs"/>
          <w:rtl/>
        </w:rPr>
        <w:t xml:space="preserve">לדחוק דאין מקבלים מיגו בפני יתומים קטנים, ולא ביאר </w:t>
      </w:r>
      <w:r w:rsidRPr="00DA147A">
        <w:rPr>
          <w:rStyle w:val="af9"/>
          <w:rFonts w:hint="cs"/>
          <w:rtl/>
        </w:rPr>
        <w:t xml:space="preserve">הרמב"ן כרבינו יונה </w:t>
      </w:r>
      <w:r w:rsidRPr="00303A8B">
        <w:rPr>
          <w:rStyle w:val="af7"/>
          <w:rFonts w:eastAsia="Guttman Hodes" w:hint="cs"/>
          <w:rtl/>
        </w:rPr>
        <w:t xml:space="preserve">(עי' אות </w:t>
      </w:r>
      <w:r w:rsidRPr="00303A8B">
        <w:rPr>
          <w:rStyle w:val="af7"/>
          <w:rFonts w:eastAsia="Guttman Hodes"/>
          <w:rtl/>
        </w:rPr>
        <w:fldChar w:fldCharType="begin"/>
      </w:r>
      <w:r w:rsidRPr="00303A8B">
        <w:rPr>
          <w:rStyle w:val="af7"/>
          <w:rFonts w:eastAsia="Guttman Hodes"/>
          <w:rtl/>
        </w:rPr>
        <w:instrText xml:space="preserve"> </w:instrText>
      </w:r>
      <w:r w:rsidRPr="00303A8B">
        <w:rPr>
          <w:rStyle w:val="af7"/>
          <w:rFonts w:eastAsia="Guttman Hodes" w:hint="cs"/>
        </w:rPr>
        <w:instrText>REF</w:instrText>
      </w:r>
      <w:r w:rsidRPr="00303A8B">
        <w:rPr>
          <w:rStyle w:val="af7"/>
          <w:rFonts w:eastAsia="Guttman Hodes" w:hint="cs"/>
          <w:rtl/>
        </w:rPr>
        <w:instrText xml:space="preserve"> _</w:instrText>
      </w:r>
      <w:r w:rsidRPr="00303A8B">
        <w:rPr>
          <w:rStyle w:val="af7"/>
          <w:rFonts w:eastAsia="Guttman Hodes" w:hint="cs"/>
        </w:rPr>
        <w:instrText>Ref64022209 \r \h</w:instrText>
      </w:r>
      <w:r w:rsidRPr="00303A8B">
        <w:rPr>
          <w:rStyle w:val="af7"/>
          <w:rFonts w:eastAsia="Guttman Hodes"/>
          <w:rtl/>
        </w:rPr>
        <w:instrText xml:space="preserve"> </w:instrText>
      </w:r>
      <w:r w:rsidRPr="00303A8B">
        <w:rPr>
          <w:rStyle w:val="af7"/>
          <w:rFonts w:eastAsia="Guttman Hodes"/>
          <w:rtl/>
        </w:rPr>
      </w:r>
      <w:r w:rsidRPr="00303A8B">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303A8B">
        <w:rPr>
          <w:rStyle w:val="af7"/>
          <w:rFonts w:eastAsia="Guttman Hodes"/>
          <w:rtl/>
        </w:rPr>
        <w:fldChar w:fldCharType="end"/>
      </w:r>
      <w:r>
        <w:rPr>
          <w:rFonts w:hint="cs"/>
          <w:rtl/>
        </w:rPr>
        <w:t xml:space="preserve"> דהוא מיגו מממון לממון, דכיון שאינו נאמן על החוב במיגו, חשיב שבא להוציא ממון אחר, </w:t>
      </w:r>
      <w:r w:rsidRPr="00A82F21">
        <w:rPr>
          <w:rStyle w:val="afb"/>
          <w:rFonts w:hint="cs"/>
          <w:rtl/>
        </w:rPr>
        <w:t>[א</w:t>
      </w:r>
      <w:r>
        <w:rPr>
          <w:rStyle w:val="afb"/>
          <w:rFonts w:hint="cs"/>
          <w:rtl/>
        </w:rPr>
        <w:t xml:space="preserve">ך יעוי' במ"ש </w:t>
      </w:r>
      <w:r w:rsidRPr="001F33B5">
        <w:rPr>
          <w:rStyle w:val="affa"/>
          <w:rFonts w:hint="cs"/>
          <w:rtl/>
        </w:rPr>
        <w:t>הקוב"ש</w:t>
      </w:r>
      <w:r>
        <w:rPr>
          <w:rStyle w:val="afb"/>
          <w:rFonts w:hint="cs"/>
          <w:rtl/>
        </w:rPr>
        <w:t xml:space="preserve"> </w:t>
      </w:r>
      <w:r w:rsidRPr="001F33B5">
        <w:rPr>
          <w:rStyle w:val="aff6"/>
          <w:rFonts w:hint="cs"/>
          <w:rtl/>
        </w:rPr>
        <w:t>(או' ק"מ</w:t>
      </w:r>
      <w:r>
        <w:rPr>
          <w:rStyle w:val="aff6"/>
          <w:rFonts w:hint="cs"/>
          <w:rtl/>
        </w:rPr>
        <w:t>)</w:t>
      </w:r>
      <w:r>
        <w:rPr>
          <w:rStyle w:val="affa"/>
          <w:rFonts w:hint="cs"/>
          <w:rtl/>
        </w:rPr>
        <w:t xml:space="preserve"> ד</w:t>
      </w:r>
      <w:r w:rsidRPr="0095545D">
        <w:rPr>
          <w:rStyle w:val="affa"/>
          <w:rFonts w:hint="cs"/>
          <w:rtl/>
        </w:rPr>
        <w:t>ברבינו יונה</w:t>
      </w:r>
      <w:r w:rsidRPr="00A82F21">
        <w:rPr>
          <w:rStyle w:val="afb"/>
          <w:rFonts w:hint="cs"/>
          <w:rtl/>
        </w:rPr>
        <w:t xml:space="preserve"> </w:t>
      </w:r>
      <w:r w:rsidRPr="0095545D">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Ref64020298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לט)</w:t>
      </w:r>
      <w:r>
        <w:rPr>
          <w:rStyle w:val="aff6"/>
          <w:rtl/>
        </w:rPr>
        <w:fldChar w:fldCharType="end"/>
      </w:r>
      <w:r>
        <w:rPr>
          <w:rStyle w:val="aff6"/>
          <w:rFonts w:hint="cs"/>
          <w:rtl/>
        </w:rPr>
        <w:t xml:space="preserve"> </w:t>
      </w:r>
      <w:r>
        <w:rPr>
          <w:rStyle w:val="afb"/>
          <w:rFonts w:hint="cs"/>
          <w:rtl/>
        </w:rPr>
        <w:t>ל</w:t>
      </w:r>
      <w:r w:rsidRPr="00A82F21">
        <w:rPr>
          <w:rStyle w:val="afb"/>
          <w:rFonts w:hint="cs"/>
          <w:rtl/>
        </w:rPr>
        <w:t>פנינו מבואר ד</w:t>
      </w:r>
      <w:r>
        <w:rPr>
          <w:rStyle w:val="afb"/>
          <w:rFonts w:hint="cs"/>
          <w:rtl/>
        </w:rPr>
        <w:t>אין כוונתו ל</w:t>
      </w:r>
      <w:r w:rsidRPr="00A82F21">
        <w:rPr>
          <w:rStyle w:val="afb"/>
          <w:rFonts w:hint="cs"/>
          <w:rtl/>
        </w:rPr>
        <w:t>דין מיגו להוציא</w:t>
      </w:r>
      <w:r>
        <w:rPr>
          <w:rStyle w:val="afb"/>
          <w:rFonts w:hint="cs"/>
          <w:rtl/>
        </w:rPr>
        <w:t>, אלא לדין מיגו מממון לממון</w:t>
      </w:r>
      <w:r w:rsidRPr="00A82F21">
        <w:rPr>
          <w:rStyle w:val="afb"/>
          <w:rFonts w:hint="cs"/>
          <w:rtl/>
        </w:rPr>
        <w:t>],</w:t>
      </w:r>
      <w:r w:rsidRPr="00A82F21">
        <w:rPr>
          <w:rFonts w:hint="cs"/>
          <w:rtl/>
        </w:rPr>
        <w:t xml:space="preserve"> </w:t>
      </w:r>
      <w:r>
        <w:rPr>
          <w:rFonts w:hint="cs"/>
          <w:rtl/>
        </w:rPr>
        <w:t xml:space="preserve">ועוד כתב </w:t>
      </w:r>
      <w:r w:rsidRPr="00DA147A">
        <w:rPr>
          <w:rStyle w:val="af9"/>
          <w:rFonts w:hint="cs"/>
          <w:rtl/>
        </w:rPr>
        <w:t xml:space="preserve">החת"ס </w:t>
      </w:r>
      <w:r>
        <w:rPr>
          <w:rFonts w:hint="cs"/>
          <w:rtl/>
        </w:rPr>
        <w:t xml:space="preserve">דהא דביאר </w:t>
      </w:r>
      <w:r w:rsidRPr="00DA147A">
        <w:rPr>
          <w:rStyle w:val="af9"/>
          <w:rFonts w:hint="cs"/>
          <w:rtl/>
        </w:rPr>
        <w:t xml:space="preserve">הרמב"ן </w:t>
      </w:r>
      <w:r w:rsidRPr="00303A8B">
        <w:rPr>
          <w:rStyle w:val="af7"/>
          <w:rFonts w:eastAsia="Guttman Hodes" w:hint="cs"/>
          <w:rtl/>
        </w:rPr>
        <w:t xml:space="preserve">(עי' אות </w:t>
      </w:r>
      <w:r w:rsidRPr="00303A8B">
        <w:rPr>
          <w:rStyle w:val="af7"/>
          <w:rFonts w:eastAsia="Guttman Hodes"/>
          <w:rtl/>
        </w:rPr>
        <w:fldChar w:fldCharType="begin"/>
      </w:r>
      <w:r w:rsidRPr="00303A8B">
        <w:rPr>
          <w:rStyle w:val="af7"/>
          <w:rFonts w:eastAsia="Guttman Hodes"/>
          <w:rtl/>
        </w:rPr>
        <w:instrText xml:space="preserve"> </w:instrText>
      </w:r>
      <w:r w:rsidRPr="00303A8B">
        <w:rPr>
          <w:rStyle w:val="af7"/>
          <w:rFonts w:eastAsia="Guttman Hodes" w:hint="cs"/>
        </w:rPr>
        <w:instrText>REF</w:instrText>
      </w:r>
      <w:r w:rsidRPr="00303A8B">
        <w:rPr>
          <w:rStyle w:val="af7"/>
          <w:rFonts w:eastAsia="Guttman Hodes" w:hint="cs"/>
          <w:rtl/>
        </w:rPr>
        <w:instrText xml:space="preserve"> _</w:instrText>
      </w:r>
      <w:r w:rsidRPr="00303A8B">
        <w:rPr>
          <w:rStyle w:val="af7"/>
          <w:rFonts w:eastAsia="Guttman Hodes" w:hint="cs"/>
        </w:rPr>
        <w:instrText>Ref64020315 \r \h</w:instrText>
      </w:r>
      <w:r w:rsidRPr="00303A8B">
        <w:rPr>
          <w:rStyle w:val="af7"/>
          <w:rFonts w:eastAsia="Guttman Hodes"/>
          <w:rtl/>
        </w:rPr>
        <w:instrText xml:space="preserve"> </w:instrText>
      </w:r>
      <w:r w:rsidRPr="00303A8B">
        <w:rPr>
          <w:rStyle w:val="af7"/>
          <w:rFonts w:eastAsia="Guttman Hodes"/>
          <w:rtl/>
        </w:rPr>
      </w:r>
      <w:r w:rsidRPr="00303A8B">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303A8B">
        <w:rPr>
          <w:rStyle w:val="af7"/>
          <w:rFonts w:eastAsia="Guttman Hodes"/>
          <w:rtl/>
        </w:rPr>
        <w:fldChar w:fldCharType="end"/>
      </w:r>
      <w:r>
        <w:rPr>
          <w:rStyle w:val="af9"/>
          <w:rFonts w:hint="cs"/>
          <w:rtl/>
        </w:rPr>
        <w:t xml:space="preserve"> </w:t>
      </w:r>
      <w:r>
        <w:rPr>
          <w:rFonts w:hint="cs"/>
          <w:rtl/>
        </w:rPr>
        <w:t xml:space="preserve">דלדעת </w:t>
      </w:r>
      <w:r w:rsidRPr="00DA147A">
        <w:rPr>
          <w:rStyle w:val="af9"/>
          <w:rFonts w:hint="cs"/>
          <w:rtl/>
        </w:rPr>
        <w:t>הגאונים</w:t>
      </w:r>
      <w:r>
        <w:rPr>
          <w:rFonts w:hint="cs"/>
          <w:rtl/>
        </w:rPr>
        <w:t xml:space="preserve"> לא מהני המיגו כיון שבטוען על המשכון חייב שבועה, היינו דס"ל </w:t>
      </w:r>
      <w:r w:rsidRPr="00DA147A">
        <w:rPr>
          <w:rStyle w:val="af9"/>
          <w:rFonts w:hint="cs"/>
          <w:rtl/>
        </w:rPr>
        <w:t xml:space="preserve">להגאונים </w:t>
      </w:r>
      <w:r>
        <w:rPr>
          <w:rFonts w:hint="cs"/>
          <w:rtl/>
        </w:rPr>
        <w:t>דכל שיש משכון בידו חשיב קצת להוציא וקצת להחזיק, ולכן ס"ל להגאונים שחייב שבועה בזה.</w:t>
      </w:r>
    </w:p>
    <w:p w:rsidR="00F4065E" w:rsidRPr="00654535" w:rsidRDefault="00F4065E" w:rsidP="00F4065E">
      <w:pPr>
        <w:pStyle w:val="afe"/>
      </w:pPr>
      <w:bookmarkStart w:id="14425" w:name="_Toc63986503"/>
      <w:bookmarkStart w:id="14426" w:name="_Toc64024613"/>
      <w:bookmarkStart w:id="14427" w:name="_Toc64036008"/>
      <w:bookmarkStart w:id="14428" w:name="_Toc64148042"/>
      <w:bookmarkStart w:id="14429" w:name="_Toc64205638"/>
      <w:bookmarkStart w:id="14430" w:name="_Toc64209318"/>
      <w:bookmarkEnd w:id="14414"/>
      <w:bookmarkEnd w:id="14415"/>
      <w:bookmarkEnd w:id="14416"/>
      <w:r>
        <w:rPr>
          <w:rFonts w:hint="cs"/>
          <w:rtl/>
        </w:rPr>
        <w:t>בי' הרמב"ן בגאונים דבאכל א"צ שבועה</w:t>
      </w:r>
      <w:bookmarkEnd w:id="14425"/>
      <w:bookmarkEnd w:id="14426"/>
      <w:bookmarkEnd w:id="14427"/>
      <w:bookmarkEnd w:id="14428"/>
      <w:bookmarkEnd w:id="14429"/>
      <w:bookmarkEnd w:id="14430"/>
    </w:p>
    <w:p w:rsidR="00F4065E" w:rsidRDefault="00F4065E" w:rsidP="00F4065E">
      <w:pPr>
        <w:pStyle w:val="1"/>
        <w:rPr>
          <w:rtl/>
        </w:rPr>
      </w:pPr>
      <w:bookmarkStart w:id="14431" w:name="_Toc63986504"/>
      <w:bookmarkStart w:id="14432" w:name="_Toc64024614"/>
      <w:bookmarkStart w:id="14433" w:name="_Toc64036009"/>
      <w:bookmarkStart w:id="14434" w:name="_Toc64148043"/>
      <w:bookmarkStart w:id="14435" w:name="_Toc64205639"/>
      <w:bookmarkStart w:id="14436" w:name="_Toc64209319"/>
      <w:r>
        <w:rPr>
          <w:rFonts w:hint="cs"/>
          <w:rtl/>
        </w:rPr>
        <w:t>קושית הרמב"ן דלדעת הגאונים האיך נפטר משבועה במיגו</w:t>
      </w:r>
      <w:bookmarkEnd w:id="14431"/>
      <w:bookmarkEnd w:id="14432"/>
      <w:bookmarkEnd w:id="14433"/>
      <w:bookmarkEnd w:id="14434"/>
      <w:bookmarkEnd w:id="14435"/>
      <w:bookmarkEnd w:id="14436"/>
    </w:p>
    <w:p w:rsidR="00F4065E" w:rsidRPr="00F922E9" w:rsidRDefault="00F4065E" w:rsidP="00F4065E">
      <w:pPr>
        <w:pStyle w:val="a3"/>
      </w:pPr>
      <w:bookmarkStart w:id="14437" w:name="_Toc63986505"/>
      <w:bookmarkStart w:id="14438" w:name="_Toc64024615"/>
      <w:bookmarkStart w:id="14439" w:name="_Toc64036010"/>
      <w:bookmarkStart w:id="14440" w:name="_Toc64148044"/>
      <w:bookmarkStart w:id="14441" w:name="_Toc64205640"/>
      <w:bookmarkStart w:id="14442" w:name="_Toc64209320"/>
      <w:r>
        <w:rPr>
          <w:rFonts w:hint="cs"/>
          <w:rtl/>
        </w:rPr>
        <w:t>דברי הרמב"ן דלדעת הגאונים מבואר דאף כשנאמן במיגו אינו נפטר משבועה</w:t>
      </w:r>
      <w:bookmarkEnd w:id="14437"/>
      <w:bookmarkEnd w:id="14438"/>
      <w:bookmarkEnd w:id="14439"/>
      <w:bookmarkEnd w:id="14440"/>
      <w:bookmarkEnd w:id="14441"/>
      <w:bookmarkEnd w:id="14442"/>
    </w:p>
    <w:p w:rsidR="00F4065E" w:rsidRPr="00193049" w:rsidRDefault="00F4065E" w:rsidP="007E4E81">
      <w:pPr>
        <w:pStyle w:val="a0"/>
        <w:rPr>
          <w:rStyle w:val="afb"/>
        </w:rPr>
      </w:pPr>
      <w:bookmarkStart w:id="14443" w:name="_Ref63983363"/>
      <w:r>
        <w:rPr>
          <w:rFonts w:hint="cs"/>
          <w:rtl/>
        </w:rPr>
        <w:t xml:space="preserve">כתב </w:t>
      </w:r>
      <w:r w:rsidRPr="00314C31">
        <w:rPr>
          <w:rStyle w:val="af9"/>
          <w:rFonts w:hint="cs"/>
          <w:rtl/>
        </w:rPr>
        <w:t>הרמב</w:t>
      </w:r>
      <w:r w:rsidRPr="00ED2F6E">
        <w:rPr>
          <w:rStyle w:val="af9"/>
          <w:rFonts w:hint="cs"/>
          <w:rtl/>
        </w:rPr>
        <w:t>"ן</w:t>
      </w:r>
      <w:r w:rsidRPr="00ED2F6E">
        <w:rPr>
          <w:rFonts w:hint="cs"/>
          <w:rtl/>
        </w:rPr>
        <w:t xml:space="preserve"> </w:t>
      </w:r>
      <w:r w:rsidRPr="001C7ED0">
        <w:rPr>
          <w:rStyle w:val="af7"/>
          <w:rFonts w:eastAsia="Guttman Hodes" w:hint="cs"/>
          <w:rtl/>
        </w:rPr>
        <w:t>(ד"ה ותמהני)</w:t>
      </w:r>
      <w:r>
        <w:rPr>
          <w:rFonts w:hint="cs"/>
          <w:rtl/>
        </w:rPr>
        <w:t xml:space="preserve"> </w:t>
      </w:r>
      <w:r w:rsidRPr="00ED2F6E">
        <w:rPr>
          <w:rFonts w:hint="cs"/>
          <w:rtl/>
        </w:rPr>
        <w:t xml:space="preserve">דלדעת </w:t>
      </w:r>
      <w:r>
        <w:rPr>
          <w:rStyle w:val="af9"/>
          <w:rFonts w:hint="cs"/>
          <w:rtl/>
        </w:rPr>
        <w:t xml:space="preserve">מקצת </w:t>
      </w:r>
      <w:r w:rsidRPr="00ED2F6E">
        <w:rPr>
          <w:rStyle w:val="af9"/>
          <w:rFonts w:hint="cs"/>
          <w:rtl/>
        </w:rPr>
        <w:t>הגאונים</w:t>
      </w:r>
      <w:r w:rsidRPr="00ED2F6E">
        <w:rPr>
          <w:rFonts w:hint="cs"/>
          <w:rtl/>
        </w:rPr>
        <w:t xml:space="preserve"> דהמלוה על המשכון חייב בשבועה חמורה, אף כשיש לו מיגו, א"צ לבאר </w:t>
      </w:r>
      <w:r>
        <w:rPr>
          <w:rFonts w:hint="cs"/>
          <w:rtl/>
        </w:rPr>
        <w:t xml:space="preserve">כדברי </w:t>
      </w:r>
      <w:r w:rsidRPr="00F922E9">
        <w:rPr>
          <w:rStyle w:val="af9"/>
          <w:rFonts w:hint="cs"/>
          <w:rtl/>
        </w:rPr>
        <w:t>הרמב"ן</w:t>
      </w:r>
      <w:r>
        <w:rPr>
          <w:rFonts w:hint="cs"/>
          <w:rtl/>
        </w:rPr>
        <w:t xml:space="preserve"> </w:t>
      </w:r>
      <w:r w:rsidRPr="00865276">
        <w:rPr>
          <w:rStyle w:val="af7"/>
          <w:rFonts w:eastAsia="Guttman Hodes" w:hint="cs"/>
          <w:rtl/>
        </w:rPr>
        <w:t xml:space="preserve">(עי' אות </w:t>
      </w:r>
      <w:r w:rsidRPr="00865276">
        <w:rPr>
          <w:rStyle w:val="af7"/>
          <w:rFonts w:eastAsia="Guttman Hodes"/>
          <w:rtl/>
        </w:rPr>
        <w:fldChar w:fldCharType="begin"/>
      </w:r>
      <w:r w:rsidRPr="00865276">
        <w:rPr>
          <w:rStyle w:val="af7"/>
          <w:rFonts w:eastAsia="Guttman Hodes"/>
          <w:rtl/>
        </w:rPr>
        <w:instrText xml:space="preserve"> </w:instrText>
      </w:r>
      <w:r w:rsidRPr="00865276">
        <w:rPr>
          <w:rStyle w:val="af7"/>
          <w:rFonts w:eastAsia="Guttman Hodes" w:hint="cs"/>
        </w:rPr>
        <w:instrText>REF</w:instrText>
      </w:r>
      <w:r w:rsidRPr="00865276">
        <w:rPr>
          <w:rStyle w:val="af7"/>
          <w:rFonts w:eastAsia="Guttman Hodes" w:hint="cs"/>
          <w:rtl/>
        </w:rPr>
        <w:instrText xml:space="preserve"> _</w:instrText>
      </w:r>
      <w:r w:rsidRPr="00865276">
        <w:rPr>
          <w:rStyle w:val="af7"/>
          <w:rFonts w:eastAsia="Guttman Hodes" w:hint="cs"/>
        </w:rPr>
        <w:instrText>Ref63982843 \r \h</w:instrText>
      </w:r>
      <w:r w:rsidRPr="00865276">
        <w:rPr>
          <w:rStyle w:val="af7"/>
          <w:rFonts w:eastAsia="Guttman Hodes"/>
          <w:rtl/>
        </w:rPr>
        <w:instrText xml:space="preserve"> </w:instrText>
      </w:r>
      <w:r w:rsidRPr="00865276">
        <w:rPr>
          <w:rStyle w:val="af7"/>
          <w:rFonts w:eastAsia="Guttman Hodes"/>
          <w:rtl/>
        </w:rPr>
      </w:r>
      <w:r w:rsidRPr="00865276">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865276">
        <w:rPr>
          <w:rStyle w:val="af7"/>
          <w:rFonts w:eastAsia="Guttman Hodes"/>
          <w:rtl/>
        </w:rPr>
        <w:fldChar w:fldCharType="end"/>
      </w:r>
      <w:r>
        <w:rPr>
          <w:rFonts w:hint="cs"/>
          <w:rtl/>
        </w:rPr>
        <w:t xml:space="preserve"> </w:t>
      </w:r>
      <w:r w:rsidRPr="00ED2F6E">
        <w:rPr>
          <w:rFonts w:hint="cs"/>
          <w:rtl/>
        </w:rPr>
        <w:t xml:space="preserve">דאינו נאמן </w:t>
      </w:r>
      <w:r>
        <w:rPr>
          <w:rFonts w:hint="cs"/>
          <w:rtl/>
        </w:rPr>
        <w:t xml:space="preserve">במיגו כשהם קטנים כיון שאין מקבלים עדות שלא בפני בע"ד, דהא אף כשנאמן במיגו מ"מ הוא חייב שבועה, וביאר </w:t>
      </w:r>
      <w:r w:rsidRPr="008D28B9">
        <w:rPr>
          <w:rStyle w:val="af9"/>
          <w:rFonts w:hint="cs"/>
          <w:rtl/>
        </w:rPr>
        <w:t>הר"ן</w:t>
      </w:r>
      <w:r>
        <w:rPr>
          <w:rFonts w:hint="cs"/>
          <w:rtl/>
        </w:rPr>
        <w:t xml:space="preserve"> </w:t>
      </w:r>
      <w:r w:rsidRPr="008D28B9">
        <w:rPr>
          <w:rStyle w:val="af7"/>
          <w:rFonts w:eastAsia="Guttman Hodes" w:hint="cs"/>
          <w:rtl/>
        </w:rPr>
        <w:t>(ד"ה אוכלה)</w:t>
      </w:r>
      <w:r>
        <w:rPr>
          <w:rFonts w:hint="cs"/>
          <w:rtl/>
        </w:rPr>
        <w:t xml:space="preserve"> דרק לדעת </w:t>
      </w:r>
      <w:r w:rsidRPr="008D28B9">
        <w:rPr>
          <w:rStyle w:val="af9"/>
          <w:rFonts w:hint="cs"/>
          <w:rtl/>
        </w:rPr>
        <w:t>החולקים על הגאונים</w:t>
      </w:r>
      <w:r>
        <w:rPr>
          <w:rFonts w:hint="cs"/>
          <w:rtl/>
        </w:rPr>
        <w:t xml:space="preserve"> צריך לבאר דאינו נאמן במיגו כשהם קטנים, אבל לדעת </w:t>
      </w:r>
      <w:r w:rsidRPr="008D28B9">
        <w:rPr>
          <w:rStyle w:val="af9"/>
          <w:rFonts w:hint="cs"/>
          <w:rtl/>
        </w:rPr>
        <w:t>הגאונים</w:t>
      </w:r>
      <w:r>
        <w:rPr>
          <w:rFonts w:hint="cs"/>
          <w:rtl/>
        </w:rPr>
        <w:t xml:space="preserve"> כתב </w:t>
      </w:r>
      <w:r w:rsidRPr="008D28B9">
        <w:rPr>
          <w:rStyle w:val="af9"/>
          <w:rFonts w:hint="cs"/>
          <w:rtl/>
        </w:rPr>
        <w:t>הר"ן</w:t>
      </w:r>
      <w:r>
        <w:rPr>
          <w:rFonts w:hint="cs"/>
          <w:rtl/>
        </w:rPr>
        <w:t xml:space="preserve"> דאף שהוא נאמן במיגו, מ"מ עדיין הוא מחוייב שבועה.</w:t>
      </w:r>
      <w:r w:rsidRPr="00193049">
        <w:rPr>
          <w:rFonts w:hint="cs"/>
          <w:rtl/>
        </w:rPr>
        <w:t xml:space="preserve"> </w:t>
      </w:r>
      <w:r w:rsidRPr="00193049">
        <w:rPr>
          <w:rStyle w:val="afb"/>
          <w:rFonts w:hint="cs"/>
          <w:rtl/>
        </w:rPr>
        <w:t xml:space="preserve">[וא"כ לא קשה קושית </w:t>
      </w:r>
      <w:r w:rsidRPr="00193049">
        <w:rPr>
          <w:rStyle w:val="affa"/>
          <w:rFonts w:hint="cs"/>
          <w:rtl/>
        </w:rPr>
        <w:t>הרמב"ן</w:t>
      </w:r>
      <w:r w:rsidRPr="00193049">
        <w:rPr>
          <w:rStyle w:val="afb"/>
          <w:rFonts w:hint="cs"/>
          <w:rtl/>
        </w:rPr>
        <w:t xml:space="preserve"> </w:t>
      </w:r>
      <w:r w:rsidRPr="00193049">
        <w:rPr>
          <w:rStyle w:val="aff6"/>
          <w:rFonts w:hint="cs"/>
          <w:rtl/>
        </w:rPr>
        <w:t xml:space="preserve">(עי' אות </w:t>
      </w:r>
      <w:r w:rsidRPr="00193049">
        <w:rPr>
          <w:rStyle w:val="aff6"/>
          <w:rtl/>
        </w:rPr>
        <w:fldChar w:fldCharType="begin"/>
      </w:r>
      <w:r w:rsidRPr="00193049">
        <w:rPr>
          <w:rStyle w:val="aff6"/>
          <w:rtl/>
        </w:rPr>
        <w:instrText xml:space="preserve"> </w:instrText>
      </w:r>
      <w:r w:rsidRPr="00193049">
        <w:rPr>
          <w:rStyle w:val="aff6"/>
          <w:rFonts w:hint="cs"/>
        </w:rPr>
        <w:instrText>REF</w:instrText>
      </w:r>
      <w:r w:rsidRPr="00193049">
        <w:rPr>
          <w:rStyle w:val="aff6"/>
          <w:rFonts w:hint="cs"/>
          <w:rtl/>
        </w:rPr>
        <w:instrText xml:space="preserve"> _</w:instrText>
      </w:r>
      <w:r w:rsidRPr="00193049">
        <w:rPr>
          <w:rStyle w:val="aff6"/>
          <w:rFonts w:hint="cs"/>
        </w:rPr>
        <w:instrText>Ref63983275 \r \h</w:instrText>
      </w:r>
      <w:r w:rsidRPr="00193049">
        <w:rPr>
          <w:rStyle w:val="aff6"/>
          <w:rtl/>
        </w:rPr>
        <w:instrText xml:space="preserve"> </w:instrText>
      </w:r>
      <w:r w:rsidRPr="00193049">
        <w:rPr>
          <w:rStyle w:val="aff6"/>
          <w:rtl/>
        </w:rPr>
      </w:r>
      <w:r w:rsidRPr="00193049">
        <w:rPr>
          <w:rStyle w:val="aff6"/>
          <w:rtl/>
        </w:rPr>
        <w:fldChar w:fldCharType="separate"/>
      </w:r>
      <w:r w:rsidR="00265073">
        <w:rPr>
          <w:rStyle w:val="aff6"/>
          <w:cs/>
        </w:rPr>
        <w:t>‎</w:t>
      </w:r>
      <w:r w:rsidR="00265073">
        <w:rPr>
          <w:rStyle w:val="aff6"/>
          <w:rtl/>
        </w:rPr>
        <w:t>יד)</w:t>
      </w:r>
      <w:r w:rsidRPr="00193049">
        <w:rPr>
          <w:rStyle w:val="aff6"/>
          <w:rtl/>
        </w:rPr>
        <w:fldChar w:fldCharType="end"/>
      </w:r>
      <w:r w:rsidRPr="00193049">
        <w:rPr>
          <w:rStyle w:val="afb"/>
          <w:rFonts w:hint="cs"/>
          <w:rtl/>
        </w:rPr>
        <w:t xml:space="preserve"> אמאי אינו נאמן במיגו כשהם קטנים</w:t>
      </w:r>
      <w:r>
        <w:rPr>
          <w:rStyle w:val="afb"/>
          <w:rFonts w:hint="cs"/>
          <w:rtl/>
        </w:rPr>
        <w:t>, דאף שנאמן חייב שבועה</w:t>
      </w:r>
      <w:r w:rsidRPr="00193049">
        <w:rPr>
          <w:rStyle w:val="afb"/>
          <w:rFonts w:hint="cs"/>
          <w:rtl/>
        </w:rPr>
        <w:t>]</w:t>
      </w:r>
      <w:r>
        <w:rPr>
          <w:rStyle w:val="afb"/>
          <w:rFonts w:hint="cs"/>
          <w:rtl/>
        </w:rPr>
        <w:t>.</w:t>
      </w:r>
      <w:bookmarkEnd w:id="14443"/>
    </w:p>
    <w:p w:rsidR="00F4065E" w:rsidRPr="00193049" w:rsidRDefault="00F4065E" w:rsidP="00F4065E">
      <w:pPr>
        <w:pStyle w:val="a3"/>
        <w:rPr>
          <w:rtl/>
        </w:rPr>
      </w:pPr>
      <w:bookmarkStart w:id="14444" w:name="_Toc63986506"/>
      <w:bookmarkStart w:id="14445" w:name="_Toc64024616"/>
      <w:bookmarkStart w:id="14446" w:name="_Toc64036011"/>
      <w:bookmarkStart w:id="14447" w:name="_Toc64148045"/>
      <w:bookmarkStart w:id="14448" w:name="_Toc64205641"/>
      <w:bookmarkStart w:id="14449" w:name="_Toc64209321"/>
      <w:r>
        <w:rPr>
          <w:rFonts w:hint="cs"/>
          <w:rtl/>
        </w:rPr>
        <w:t>קושית הרמב"ן והראב"ד על הגאונים דהיאך סבר רבא בר שרשום דיפטר משבועה מחמת המיגו</w:t>
      </w:r>
      <w:bookmarkEnd w:id="14444"/>
      <w:bookmarkEnd w:id="14445"/>
      <w:bookmarkEnd w:id="14446"/>
      <w:bookmarkEnd w:id="14447"/>
      <w:bookmarkEnd w:id="14448"/>
      <w:bookmarkEnd w:id="14449"/>
    </w:p>
    <w:p w:rsidR="00F4065E" w:rsidRDefault="00F4065E" w:rsidP="007E4E81">
      <w:pPr>
        <w:pStyle w:val="a0"/>
        <w:rPr>
          <w:rtl/>
        </w:rPr>
      </w:pPr>
      <w:r w:rsidRPr="00ED2F6E">
        <w:rPr>
          <w:rFonts w:hint="cs"/>
          <w:rtl/>
        </w:rPr>
        <w:t xml:space="preserve">אך הקשה </w:t>
      </w:r>
      <w:r w:rsidRPr="00ED2F6E">
        <w:rPr>
          <w:rStyle w:val="af9"/>
          <w:rFonts w:hint="cs"/>
          <w:rtl/>
        </w:rPr>
        <w:t>הרמב"ן</w:t>
      </w:r>
      <w:r w:rsidRPr="00ED2F6E">
        <w:rPr>
          <w:rFonts w:hint="cs"/>
          <w:rtl/>
        </w:rPr>
        <w:t xml:space="preserve"> על </w:t>
      </w:r>
      <w:r w:rsidRPr="00ED2F6E">
        <w:rPr>
          <w:rStyle w:val="af9"/>
          <w:rFonts w:hint="cs"/>
          <w:rtl/>
        </w:rPr>
        <w:t>הגאונים</w:t>
      </w:r>
      <w:r w:rsidRPr="00ED2F6E">
        <w:rPr>
          <w:rFonts w:hint="cs"/>
          <w:rtl/>
        </w:rPr>
        <w:t xml:space="preserve"> דא"כ מה סבר </w:t>
      </w:r>
      <w:r>
        <w:rPr>
          <w:rFonts w:hint="cs"/>
          <w:rtl/>
        </w:rPr>
        <w:t xml:space="preserve">רבא בר שרשום </w:t>
      </w:r>
      <w:r w:rsidRPr="00ED2F6E">
        <w:rPr>
          <w:rFonts w:hint="cs"/>
          <w:rtl/>
        </w:rPr>
        <w:t>והא</w:t>
      </w:r>
      <w:r>
        <w:rPr>
          <w:rFonts w:hint="cs"/>
          <w:rtl/>
        </w:rPr>
        <w:t xml:space="preserve"> לא מהני לו שאוכל את הקרקע, ואף שהוא נאמן במיגו דלקוחה היא בידי, מ"מ הוא צריך להשבע, וכן הקשה </w:t>
      </w:r>
      <w:r w:rsidRPr="00C95761">
        <w:rPr>
          <w:rStyle w:val="af9"/>
          <w:rFonts w:hint="cs"/>
          <w:rtl/>
        </w:rPr>
        <w:t>הראב"ד בהשג' על הבעה"מ בשבועות</w:t>
      </w:r>
      <w:r>
        <w:rPr>
          <w:rFonts w:hint="cs"/>
          <w:rtl/>
        </w:rPr>
        <w:t xml:space="preserve"> </w:t>
      </w:r>
      <w:r w:rsidRPr="00C95761">
        <w:rPr>
          <w:rStyle w:val="af7"/>
          <w:rFonts w:eastAsia="Guttman Hodes" w:hint="cs"/>
          <w:rtl/>
        </w:rPr>
        <w:t>(כו: מדה"ר סוד"ה אמר אברהם באמת וברור)</w:t>
      </w:r>
      <w:r>
        <w:rPr>
          <w:rFonts w:hint="cs"/>
          <w:rtl/>
        </w:rPr>
        <w:t>.</w:t>
      </w:r>
    </w:p>
    <w:p w:rsidR="00F4065E" w:rsidRDefault="00F4065E" w:rsidP="00F4065E">
      <w:pPr>
        <w:pStyle w:val="1"/>
        <w:rPr>
          <w:rtl/>
        </w:rPr>
      </w:pPr>
      <w:bookmarkStart w:id="14450" w:name="_Toc63986507"/>
      <w:bookmarkStart w:id="14451" w:name="_Toc64024617"/>
      <w:bookmarkStart w:id="14452" w:name="_Toc64036012"/>
      <w:bookmarkStart w:id="14453" w:name="_Toc64148046"/>
      <w:bookmarkStart w:id="14454" w:name="_Toc64205642"/>
      <w:bookmarkStart w:id="14455" w:name="_Toc64209322"/>
      <w:r>
        <w:rPr>
          <w:rFonts w:hint="cs"/>
          <w:rtl/>
        </w:rPr>
        <w:t>ביאור הרמב"ן בגאונים דאחר שאכל אינו מוציא ונאמן</w:t>
      </w:r>
      <w:bookmarkEnd w:id="14450"/>
      <w:bookmarkEnd w:id="14451"/>
      <w:bookmarkEnd w:id="14452"/>
      <w:bookmarkEnd w:id="14453"/>
      <w:bookmarkEnd w:id="14454"/>
      <w:bookmarkEnd w:id="14455"/>
      <w:r>
        <w:rPr>
          <w:rFonts w:hint="cs"/>
          <w:rtl/>
        </w:rPr>
        <w:t xml:space="preserve"> </w:t>
      </w:r>
    </w:p>
    <w:p w:rsidR="00F4065E" w:rsidRPr="000E6996" w:rsidRDefault="00F4065E" w:rsidP="00F4065E">
      <w:pPr>
        <w:pStyle w:val="a3"/>
      </w:pPr>
      <w:bookmarkStart w:id="14456" w:name="_Toc63986508"/>
      <w:bookmarkStart w:id="14457" w:name="_Toc64024618"/>
      <w:bookmarkStart w:id="14458" w:name="_Toc64036013"/>
      <w:bookmarkStart w:id="14459" w:name="_Toc64148047"/>
      <w:bookmarkStart w:id="14460" w:name="_Toc64205643"/>
      <w:bookmarkStart w:id="14461" w:name="_Toc64209323"/>
      <w:r>
        <w:rPr>
          <w:rFonts w:hint="cs"/>
          <w:rtl/>
        </w:rPr>
        <w:t>תירוץ הרמב"ן דחיוב שבועה במיגו לדעת הגאונים הוא רק כשמוציא דאין לו מיגו על גוף הדבר</w:t>
      </w:r>
      <w:bookmarkEnd w:id="14456"/>
      <w:bookmarkEnd w:id="14457"/>
      <w:bookmarkEnd w:id="14458"/>
      <w:bookmarkEnd w:id="14459"/>
      <w:bookmarkEnd w:id="14460"/>
      <w:bookmarkEnd w:id="14461"/>
    </w:p>
    <w:p w:rsidR="00F4065E" w:rsidRDefault="00F4065E" w:rsidP="007E4E81">
      <w:pPr>
        <w:pStyle w:val="a0"/>
        <w:rPr>
          <w:rtl/>
        </w:rPr>
      </w:pPr>
      <w:bookmarkStart w:id="14462" w:name="_Ref64020315"/>
      <w:bookmarkStart w:id="14463" w:name="_Ref63958299"/>
      <w:r>
        <w:rPr>
          <w:rFonts w:hint="cs"/>
          <w:rtl/>
        </w:rPr>
        <w:t xml:space="preserve">ותירץ </w:t>
      </w:r>
      <w:r w:rsidRPr="00BA2CAF">
        <w:rPr>
          <w:rStyle w:val="af9"/>
          <w:rFonts w:hint="cs"/>
          <w:rtl/>
        </w:rPr>
        <w:t>הרמב"ן</w:t>
      </w:r>
      <w:r>
        <w:rPr>
          <w:rFonts w:hint="cs"/>
          <w:rtl/>
        </w:rPr>
        <w:t xml:space="preserve"> דאף לדעת </w:t>
      </w:r>
      <w:r w:rsidRPr="00EF330F">
        <w:rPr>
          <w:rStyle w:val="af9"/>
          <w:rFonts w:hint="cs"/>
          <w:rtl/>
        </w:rPr>
        <w:t>הגאונים</w:t>
      </w:r>
      <w:r>
        <w:rPr>
          <w:rFonts w:hint="cs"/>
          <w:rtl/>
        </w:rPr>
        <w:t xml:space="preserve"> הא דחייב שבועה אף כשנאמן במיגו, היינו כשבא להוציא מהשני, כגון המוציא משכון מתח"י וטוען שחייב לו חבירו כך וכך, דכיון שהטענה אינה על עצם המשכון, ובא ליטול ממון מחבירו, חייב להשבע אף שיש לו מיגו, כמבואר בגמ' בב"ק </w:t>
      </w:r>
      <w:r w:rsidRPr="001D13BB">
        <w:rPr>
          <w:rStyle w:val="af7"/>
          <w:rFonts w:eastAsia="Guttman Hodes" w:hint="cs"/>
          <w:rtl/>
        </w:rPr>
        <w:t>(קיד:)</w:t>
      </w:r>
      <w:r>
        <w:rPr>
          <w:rFonts w:hint="cs"/>
          <w:rtl/>
        </w:rPr>
        <w:t xml:space="preserve">, דהמכיר כליו וספריו ביד אחר, נשבע ונוטל אעפ"י שיש לו שם מיגו, וכ"כ </w:t>
      </w:r>
      <w:r w:rsidRPr="0091500E">
        <w:rPr>
          <w:rStyle w:val="af9"/>
          <w:rFonts w:hint="cs"/>
          <w:rtl/>
        </w:rPr>
        <w:t>רבינו יונה</w:t>
      </w:r>
      <w:r>
        <w:rPr>
          <w:rFonts w:hint="cs"/>
          <w:rtl/>
        </w:rPr>
        <w:t xml:space="preserve"> </w:t>
      </w:r>
      <w:r w:rsidRPr="0091500E">
        <w:rPr>
          <w:rStyle w:val="af7"/>
          <w:rFonts w:eastAsia="Guttman Hodes" w:hint="cs"/>
          <w:rtl/>
        </w:rPr>
        <w:t xml:space="preserve">(עי' אות </w:t>
      </w:r>
      <w:r w:rsidRPr="0091500E">
        <w:rPr>
          <w:rStyle w:val="af7"/>
          <w:rFonts w:eastAsia="Guttman Hodes"/>
          <w:rtl/>
        </w:rPr>
        <w:fldChar w:fldCharType="begin"/>
      </w:r>
      <w:r w:rsidRPr="0091500E">
        <w:rPr>
          <w:rStyle w:val="af7"/>
          <w:rFonts w:eastAsia="Guttman Hodes"/>
          <w:rtl/>
        </w:rPr>
        <w:instrText xml:space="preserve"> </w:instrText>
      </w:r>
      <w:r w:rsidRPr="0091500E">
        <w:rPr>
          <w:rStyle w:val="af7"/>
          <w:rFonts w:eastAsia="Guttman Hodes" w:hint="cs"/>
        </w:rPr>
        <w:instrText>REF</w:instrText>
      </w:r>
      <w:r w:rsidRPr="0091500E">
        <w:rPr>
          <w:rStyle w:val="af7"/>
          <w:rFonts w:eastAsia="Guttman Hodes" w:hint="cs"/>
          <w:rtl/>
        </w:rPr>
        <w:instrText xml:space="preserve"> _</w:instrText>
      </w:r>
      <w:r w:rsidRPr="0091500E">
        <w:rPr>
          <w:rStyle w:val="af7"/>
          <w:rFonts w:eastAsia="Guttman Hodes" w:hint="cs"/>
        </w:rPr>
        <w:instrText>Ref64020298 \r \h</w:instrText>
      </w:r>
      <w:r w:rsidRPr="0091500E">
        <w:rPr>
          <w:rStyle w:val="af7"/>
          <w:rFonts w:eastAsia="Guttman Hodes"/>
          <w:rtl/>
        </w:rPr>
        <w:instrText xml:space="preserve"> </w:instrText>
      </w:r>
      <w:r w:rsidRPr="0091500E">
        <w:rPr>
          <w:rStyle w:val="af7"/>
          <w:rFonts w:eastAsia="Guttman Hodes"/>
          <w:rtl/>
        </w:rPr>
      </w:r>
      <w:r w:rsidRPr="0091500E">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91500E">
        <w:rPr>
          <w:rStyle w:val="af7"/>
          <w:rFonts w:eastAsia="Guttman Hodes"/>
          <w:rtl/>
        </w:rPr>
        <w:fldChar w:fldCharType="end"/>
      </w:r>
      <w:r>
        <w:rPr>
          <w:rFonts w:hint="cs"/>
          <w:rtl/>
        </w:rPr>
        <w:t>.</w:t>
      </w:r>
      <w:bookmarkEnd w:id="14462"/>
    </w:p>
    <w:p w:rsidR="00F4065E" w:rsidRPr="005B17A4" w:rsidRDefault="00F4065E" w:rsidP="00F4065E">
      <w:pPr>
        <w:pStyle w:val="a3"/>
      </w:pPr>
      <w:bookmarkStart w:id="14464" w:name="_Toc63986509"/>
      <w:bookmarkStart w:id="14465" w:name="_Toc64024619"/>
      <w:bookmarkStart w:id="14466" w:name="_Toc64036014"/>
      <w:bookmarkStart w:id="14467" w:name="_Toc64148048"/>
      <w:bookmarkStart w:id="14468" w:name="_Toc64205644"/>
      <w:bookmarkStart w:id="14469" w:name="_Toc64209324"/>
      <w:r>
        <w:rPr>
          <w:rFonts w:hint="cs"/>
          <w:rtl/>
        </w:rPr>
        <w:t>ביאור הרמב"ן דלגאונים על הפירות שכבר אכל הוא נאמן במיגו דטוען שאין בידיו כלום</w:t>
      </w:r>
      <w:bookmarkEnd w:id="14464"/>
      <w:bookmarkEnd w:id="14465"/>
      <w:bookmarkEnd w:id="14466"/>
      <w:bookmarkEnd w:id="14467"/>
      <w:bookmarkEnd w:id="14468"/>
      <w:bookmarkEnd w:id="14469"/>
    </w:p>
    <w:p w:rsidR="00F4065E" w:rsidRDefault="00F4065E" w:rsidP="007E4E81">
      <w:pPr>
        <w:pStyle w:val="a0"/>
        <w:rPr>
          <w:rtl/>
        </w:rPr>
      </w:pPr>
      <w:r>
        <w:rPr>
          <w:rFonts w:hint="cs"/>
          <w:rtl/>
        </w:rPr>
        <w:t xml:space="preserve">וכתב </w:t>
      </w:r>
      <w:r w:rsidRPr="00BA2CAF">
        <w:rPr>
          <w:rStyle w:val="af9"/>
          <w:rFonts w:hint="cs"/>
          <w:rtl/>
        </w:rPr>
        <w:t>הרמב"ן</w:t>
      </w:r>
      <w:r>
        <w:rPr>
          <w:rFonts w:hint="cs"/>
          <w:rtl/>
        </w:rPr>
        <w:t xml:space="preserve"> דלכן רצה רבא בר שרשום להקדים לאכול את הפירות לפני שיחזיר להם את הקרקע, דעל מה שאכל כבר נאמן במיגו וא"צ להשבע, וכתב </w:t>
      </w:r>
      <w:r w:rsidRPr="00EF330F">
        <w:rPr>
          <w:rStyle w:val="af9"/>
          <w:rFonts w:hint="cs"/>
          <w:rtl/>
        </w:rPr>
        <w:t>הרמב"ן</w:t>
      </w:r>
      <w:r>
        <w:rPr>
          <w:rFonts w:hint="cs"/>
          <w:rtl/>
        </w:rPr>
        <w:t xml:space="preserve"> דכן הוא הדין בכל מיגו, שאם </w:t>
      </w:r>
      <w:r>
        <w:rPr>
          <w:rFonts w:hint="cs"/>
          <w:rtl/>
        </w:rPr>
        <w:t xml:space="preserve">יתבעו אותו היתומים, יטען אין לכם בידי כלום, אך כתב </w:t>
      </w:r>
      <w:r w:rsidRPr="00BA2CAF">
        <w:rPr>
          <w:rStyle w:val="af9"/>
          <w:rFonts w:hint="cs"/>
          <w:rtl/>
        </w:rPr>
        <w:t>הרמב"ן</w:t>
      </w:r>
      <w:r>
        <w:rPr>
          <w:rFonts w:hint="cs"/>
          <w:rtl/>
        </w:rPr>
        <w:t xml:space="preserve"> דהדין של </w:t>
      </w:r>
      <w:r w:rsidRPr="00EF330F">
        <w:rPr>
          <w:rStyle w:val="af9"/>
          <w:rFonts w:hint="cs"/>
          <w:rtl/>
        </w:rPr>
        <w:t>הגאונים</w:t>
      </w:r>
      <w:r>
        <w:rPr>
          <w:rFonts w:hint="cs"/>
          <w:rtl/>
        </w:rPr>
        <w:t xml:space="preserve"> אינו ברור, וציין </w:t>
      </w:r>
      <w:r w:rsidRPr="00BA2CAF">
        <w:rPr>
          <w:rStyle w:val="af9"/>
          <w:rFonts w:hint="cs"/>
          <w:rtl/>
        </w:rPr>
        <w:t>הרמב"ן</w:t>
      </w:r>
      <w:r>
        <w:rPr>
          <w:rFonts w:hint="cs"/>
          <w:rtl/>
        </w:rPr>
        <w:t xml:space="preserve"> לדבריו בשבועות </w:t>
      </w:r>
      <w:r w:rsidRPr="004C616E">
        <w:rPr>
          <w:rStyle w:val="af7"/>
          <w:rFonts w:eastAsia="Guttman Hodes" w:hint="cs"/>
          <w:rtl/>
        </w:rPr>
        <w:t>(מה: ד"ה ויש לתמוה)</w:t>
      </w:r>
      <w:r>
        <w:rPr>
          <w:rFonts w:hint="cs"/>
          <w:rtl/>
        </w:rPr>
        <w:t xml:space="preserve">, ועי' במ"ש </w:t>
      </w:r>
      <w:r w:rsidRPr="00451095">
        <w:rPr>
          <w:rStyle w:val="af9"/>
          <w:rFonts w:hint="cs"/>
          <w:rtl/>
        </w:rPr>
        <w:t>האבי עזרי</w:t>
      </w:r>
      <w:r>
        <w:rPr>
          <w:rFonts w:hint="cs"/>
          <w:rtl/>
        </w:rPr>
        <w:t xml:space="preserve"> </w:t>
      </w:r>
      <w:r w:rsidRPr="0027374C">
        <w:rPr>
          <w:rStyle w:val="af7"/>
          <w:rFonts w:eastAsia="Guttman Hodes" w:hint="cs"/>
          <w:rtl/>
        </w:rPr>
        <w:t xml:space="preserve">(עי' אות </w:t>
      </w:r>
      <w:r w:rsidRPr="0027374C">
        <w:rPr>
          <w:rStyle w:val="af7"/>
          <w:rFonts w:eastAsia="Guttman Hodes"/>
          <w:rtl/>
        </w:rPr>
        <w:fldChar w:fldCharType="begin"/>
      </w:r>
      <w:r w:rsidRPr="0027374C">
        <w:rPr>
          <w:rStyle w:val="af7"/>
          <w:rFonts w:eastAsia="Guttman Hodes"/>
          <w:rtl/>
        </w:rPr>
        <w:instrText xml:space="preserve"> </w:instrText>
      </w:r>
      <w:r w:rsidRPr="0027374C">
        <w:rPr>
          <w:rStyle w:val="af7"/>
          <w:rFonts w:eastAsia="Guttman Hodes" w:hint="cs"/>
        </w:rPr>
        <w:instrText>REF</w:instrText>
      </w:r>
      <w:r w:rsidRPr="0027374C">
        <w:rPr>
          <w:rStyle w:val="af7"/>
          <w:rFonts w:eastAsia="Guttman Hodes" w:hint="cs"/>
          <w:rtl/>
        </w:rPr>
        <w:instrText xml:space="preserve"> _</w:instrText>
      </w:r>
      <w:r w:rsidRPr="0027374C">
        <w:rPr>
          <w:rStyle w:val="af7"/>
          <w:rFonts w:eastAsia="Guttman Hodes" w:hint="cs"/>
        </w:rPr>
        <w:instrText>Ref63958317 \r \h</w:instrText>
      </w:r>
      <w:r w:rsidRPr="0027374C">
        <w:rPr>
          <w:rStyle w:val="af7"/>
          <w:rFonts w:eastAsia="Guttman Hodes"/>
          <w:rtl/>
        </w:rPr>
        <w:instrText xml:space="preserve"> </w:instrText>
      </w:r>
      <w:r w:rsidRPr="0027374C">
        <w:rPr>
          <w:rStyle w:val="af7"/>
          <w:rFonts w:eastAsia="Guttman Hodes"/>
          <w:rtl/>
        </w:rPr>
      </w:r>
      <w:r w:rsidRPr="0027374C">
        <w:rPr>
          <w:rStyle w:val="af7"/>
          <w:rFonts w:eastAsia="Guttman Hodes"/>
          <w:rtl/>
        </w:rPr>
        <w:fldChar w:fldCharType="separate"/>
      </w:r>
      <w:r w:rsidR="00265073">
        <w:rPr>
          <w:rStyle w:val="af7"/>
          <w:rFonts w:eastAsia="Guttman Hodes"/>
          <w:cs/>
        </w:rPr>
        <w:t>‎</w:t>
      </w:r>
      <w:r w:rsidR="00265073">
        <w:rPr>
          <w:rStyle w:val="af7"/>
          <w:rFonts w:eastAsia="Guttman Hodes"/>
          <w:rtl/>
        </w:rPr>
        <w:t>קלה)</w:t>
      </w:r>
      <w:r w:rsidRPr="0027374C">
        <w:rPr>
          <w:rStyle w:val="af7"/>
          <w:rFonts w:eastAsia="Guttman Hodes"/>
          <w:rtl/>
        </w:rPr>
        <w:fldChar w:fldCharType="end"/>
      </w:r>
      <w:r>
        <w:rPr>
          <w:rFonts w:hint="cs"/>
          <w:rtl/>
        </w:rPr>
        <w:t>.</w:t>
      </w:r>
      <w:bookmarkEnd w:id="14463"/>
    </w:p>
    <w:p w:rsidR="00F4065E" w:rsidRPr="0070432B" w:rsidRDefault="00F4065E" w:rsidP="00F4065E">
      <w:pPr>
        <w:pStyle w:val="a3"/>
        <w:rPr>
          <w:rtl/>
        </w:rPr>
      </w:pPr>
      <w:bookmarkStart w:id="14470" w:name="_Toc63986510"/>
      <w:bookmarkStart w:id="14471" w:name="_Toc64024620"/>
      <w:bookmarkStart w:id="14472" w:name="_Toc64036015"/>
      <w:bookmarkStart w:id="14473" w:name="_Toc64148049"/>
      <w:bookmarkStart w:id="14474" w:name="_Toc64205645"/>
      <w:bookmarkStart w:id="14475" w:name="_Toc64209325"/>
      <w:r>
        <w:rPr>
          <w:rFonts w:hint="cs"/>
          <w:rtl/>
        </w:rPr>
        <w:t>תירוץ הראב"ד דלגאונים סבר רבא בר שרשום אחר שאכל ולא הודה הוא פטור מהשבועה</w:t>
      </w:r>
      <w:bookmarkEnd w:id="14470"/>
      <w:bookmarkEnd w:id="14471"/>
      <w:bookmarkEnd w:id="14472"/>
      <w:bookmarkEnd w:id="14473"/>
      <w:bookmarkEnd w:id="14474"/>
      <w:bookmarkEnd w:id="14475"/>
      <w:r>
        <w:rPr>
          <w:rFonts w:hint="cs"/>
          <w:rtl/>
        </w:rPr>
        <w:t xml:space="preserve"> </w:t>
      </w:r>
    </w:p>
    <w:p w:rsidR="00F4065E" w:rsidRDefault="00F4065E" w:rsidP="007E4E81">
      <w:pPr>
        <w:pStyle w:val="a0"/>
        <w:rPr>
          <w:rtl/>
        </w:rPr>
      </w:pPr>
      <w:bookmarkStart w:id="14476" w:name="_Ref63885914"/>
      <w:r>
        <w:rPr>
          <w:rFonts w:hint="cs"/>
          <w:rtl/>
        </w:rPr>
        <w:t xml:space="preserve">וכעי"ז תירץ </w:t>
      </w:r>
      <w:r w:rsidRPr="00C95761">
        <w:rPr>
          <w:rStyle w:val="af9"/>
          <w:rFonts w:hint="cs"/>
          <w:rtl/>
        </w:rPr>
        <w:t>הראב"ד בהשג' על הבעה"מ בשבועות</w:t>
      </w:r>
      <w:r>
        <w:rPr>
          <w:rFonts w:hint="cs"/>
          <w:rtl/>
        </w:rPr>
        <w:t xml:space="preserve"> </w:t>
      </w:r>
      <w:r w:rsidRPr="00C95761">
        <w:rPr>
          <w:rStyle w:val="af7"/>
          <w:rFonts w:eastAsia="Guttman Hodes" w:hint="cs"/>
          <w:rtl/>
        </w:rPr>
        <w:t xml:space="preserve">(כו: מדה"ר סוד"ה </w:t>
      </w:r>
      <w:r w:rsidRPr="003D654F">
        <w:rPr>
          <w:rStyle w:val="af7"/>
          <w:rFonts w:eastAsia="Guttman Hodes"/>
          <w:rtl/>
        </w:rPr>
        <w:t xml:space="preserve">א"א </w:t>
      </w:r>
      <w:r w:rsidRPr="00C95761">
        <w:rPr>
          <w:rStyle w:val="af7"/>
          <w:rFonts w:eastAsia="Guttman Hodes" w:hint="cs"/>
          <w:rtl/>
        </w:rPr>
        <w:t>באמת וברור)</w:t>
      </w:r>
      <w:r>
        <w:rPr>
          <w:rFonts w:hint="cs"/>
          <w:rtl/>
        </w:rPr>
        <w:t xml:space="preserve"> דרבא בר שרשום רצה לאכול את הפירות בשיעור החוב בשתיקה, וסבר דאחר שאכל כבר אינו חייב שבועה.</w:t>
      </w:r>
    </w:p>
    <w:p w:rsidR="00F4065E" w:rsidRPr="00D16C9A" w:rsidRDefault="00F4065E" w:rsidP="00F4065E">
      <w:pPr>
        <w:pStyle w:val="a3"/>
      </w:pPr>
      <w:bookmarkStart w:id="14477" w:name="_Toc63986511"/>
      <w:bookmarkStart w:id="14478" w:name="_Toc64024621"/>
      <w:bookmarkStart w:id="14479" w:name="_Toc64036016"/>
      <w:bookmarkStart w:id="14480" w:name="_Toc64148050"/>
      <w:bookmarkStart w:id="14481" w:name="_Toc64205646"/>
      <w:bookmarkStart w:id="14482" w:name="_Toc64209326"/>
      <w:r>
        <w:rPr>
          <w:rFonts w:hint="cs"/>
          <w:rtl/>
        </w:rPr>
        <w:t>ביאור הראב"ד בגאונים דא"ל אביי דהם יכולים להגבותו מזיבורית ואינו תפוס באותה הקרקע</w:t>
      </w:r>
      <w:bookmarkEnd w:id="14477"/>
      <w:bookmarkEnd w:id="14478"/>
      <w:bookmarkEnd w:id="14479"/>
      <w:bookmarkEnd w:id="14480"/>
      <w:bookmarkEnd w:id="14481"/>
      <w:bookmarkEnd w:id="14482"/>
    </w:p>
    <w:p w:rsidR="00F4065E" w:rsidRDefault="00F4065E" w:rsidP="007E4E81">
      <w:pPr>
        <w:pStyle w:val="a0"/>
        <w:rPr>
          <w:rStyle w:val="afb"/>
          <w:sz w:val="18"/>
          <w:szCs w:val="18"/>
          <w:rtl/>
        </w:rPr>
      </w:pPr>
      <w:r>
        <w:rPr>
          <w:rFonts w:hint="cs"/>
          <w:rtl/>
        </w:rPr>
        <w:t xml:space="preserve">וא"ל אביי דאינו יכול לגבות את החוב מאותה הקרקע אף אם ישבע, דהא היתומים יכולים להחזיר לו את החוב מקרקע אחרת שהיא זיבורית, ובאותה הקרקע אין לו כל תפיסה, אך כתב </w:t>
      </w:r>
      <w:r w:rsidRPr="0070432B">
        <w:rPr>
          <w:rStyle w:val="af9"/>
          <w:rFonts w:hint="cs"/>
          <w:rtl/>
        </w:rPr>
        <w:t xml:space="preserve">הראב"ד </w:t>
      </w:r>
      <w:r>
        <w:rPr>
          <w:rFonts w:hint="cs"/>
          <w:rtl/>
        </w:rPr>
        <w:t xml:space="preserve">דהא דצריך לדחוק כן היינו ליישב את דעת </w:t>
      </w:r>
      <w:r w:rsidRPr="0070432B">
        <w:rPr>
          <w:rStyle w:val="af9"/>
          <w:rFonts w:hint="cs"/>
          <w:rtl/>
        </w:rPr>
        <w:t>הגאונים</w:t>
      </w:r>
      <w:r>
        <w:rPr>
          <w:rFonts w:hint="cs"/>
          <w:rtl/>
        </w:rPr>
        <w:t>, אך דבריהם צ"ב.</w:t>
      </w:r>
      <w:bookmarkEnd w:id="14476"/>
      <w:r>
        <w:rPr>
          <w:rFonts w:hint="cs"/>
          <w:rtl/>
        </w:rPr>
        <w:t xml:space="preserve"> </w:t>
      </w:r>
      <w:r w:rsidRPr="00FE4B3B">
        <w:rPr>
          <w:rStyle w:val="afb"/>
          <w:rFonts w:hint="cs"/>
          <w:rtl/>
        </w:rPr>
        <w:t>[</w:t>
      </w:r>
      <w:r>
        <w:rPr>
          <w:rStyle w:val="afb"/>
          <w:rFonts w:hint="cs"/>
          <w:rtl/>
        </w:rPr>
        <w:t>וע"ע</w:t>
      </w:r>
      <w:r>
        <w:rPr>
          <w:rFonts w:hint="cs"/>
          <w:rtl/>
        </w:rPr>
        <w:t xml:space="preserve"> </w:t>
      </w:r>
      <w:r w:rsidRPr="00181401">
        <w:rPr>
          <w:rStyle w:val="affa"/>
          <w:rFonts w:hint="cs"/>
          <w:rtl/>
        </w:rPr>
        <w:t xml:space="preserve">בראב"ד </w:t>
      </w:r>
      <w:r>
        <w:rPr>
          <w:rStyle w:val="aff6"/>
          <w:rFonts w:hint="cs"/>
          <w:rtl/>
        </w:rPr>
        <w:t xml:space="preserve">(עי' </w:t>
      </w:r>
      <w:r w:rsidRPr="0056092C">
        <w:rPr>
          <w:rStyle w:val="aff6"/>
          <w:rFonts w:hint="cs"/>
          <w:rtl/>
        </w:rPr>
        <w:t xml:space="preserve">אות </w:t>
      </w:r>
      <w:r w:rsidRPr="0056092C">
        <w:rPr>
          <w:rStyle w:val="aff6"/>
          <w:rtl/>
        </w:rPr>
        <w:fldChar w:fldCharType="begin"/>
      </w:r>
      <w:r w:rsidRPr="0056092C">
        <w:rPr>
          <w:rStyle w:val="aff6"/>
          <w:rtl/>
        </w:rPr>
        <w:instrText xml:space="preserve"> </w:instrText>
      </w:r>
      <w:r w:rsidRPr="0056092C">
        <w:rPr>
          <w:rStyle w:val="aff6"/>
          <w:rFonts w:hint="cs"/>
        </w:rPr>
        <w:instrText>REF</w:instrText>
      </w:r>
      <w:r w:rsidRPr="0056092C">
        <w:rPr>
          <w:rStyle w:val="aff6"/>
          <w:rFonts w:hint="cs"/>
          <w:rtl/>
        </w:rPr>
        <w:instrText xml:space="preserve"> _</w:instrText>
      </w:r>
      <w:r w:rsidRPr="0056092C">
        <w:rPr>
          <w:rStyle w:val="aff6"/>
          <w:rFonts w:hint="cs"/>
        </w:rPr>
        <w:instrText>Ref63847642 \r \h</w:instrText>
      </w:r>
      <w:r w:rsidRPr="0056092C">
        <w:rPr>
          <w:rStyle w:val="aff6"/>
          <w:rtl/>
        </w:rPr>
        <w:instrText xml:space="preserve"> </w:instrText>
      </w:r>
      <w:r w:rsidRPr="0056092C">
        <w:rPr>
          <w:rStyle w:val="aff6"/>
          <w:rtl/>
        </w:rPr>
      </w:r>
      <w:r w:rsidRPr="0056092C">
        <w:rPr>
          <w:rStyle w:val="aff6"/>
          <w:rtl/>
        </w:rPr>
        <w:fldChar w:fldCharType="separate"/>
      </w:r>
      <w:r w:rsidR="00265073">
        <w:rPr>
          <w:rStyle w:val="aff6"/>
          <w:cs/>
        </w:rPr>
        <w:t>‎</w:t>
      </w:r>
      <w:r w:rsidR="00265073">
        <w:rPr>
          <w:rStyle w:val="aff6"/>
          <w:rtl/>
        </w:rPr>
        <w:t>קיז)</w:t>
      </w:r>
      <w:r w:rsidRPr="0056092C">
        <w:rPr>
          <w:rStyle w:val="aff6"/>
          <w:rtl/>
        </w:rPr>
        <w:fldChar w:fldCharType="end"/>
      </w:r>
      <w:r w:rsidRPr="00626D44">
        <w:rPr>
          <w:rStyle w:val="afb"/>
          <w:rFonts w:hint="cs"/>
          <w:rtl/>
        </w:rPr>
        <w:t>]</w:t>
      </w:r>
      <w:r>
        <w:rPr>
          <w:rStyle w:val="afb"/>
          <w:rFonts w:hint="cs"/>
          <w:rtl/>
        </w:rPr>
        <w:t>.</w:t>
      </w:r>
    </w:p>
    <w:p w:rsidR="00F4065E" w:rsidRPr="003A3C61" w:rsidRDefault="00F4065E" w:rsidP="00F4065E">
      <w:pPr>
        <w:pStyle w:val="a3"/>
      </w:pPr>
      <w:bookmarkStart w:id="14483" w:name="_Toc63986498"/>
      <w:bookmarkStart w:id="14484" w:name="_Toc64024608"/>
      <w:bookmarkStart w:id="14485" w:name="_Toc64036003"/>
      <w:bookmarkStart w:id="14486" w:name="_Toc64148037"/>
      <w:bookmarkStart w:id="14487" w:name="_Toc64205633"/>
      <w:bookmarkStart w:id="14488" w:name="_Toc64209313"/>
      <w:bookmarkStart w:id="14489" w:name="_Toc63986512"/>
      <w:bookmarkStart w:id="14490" w:name="_Toc64024622"/>
      <w:bookmarkStart w:id="14491" w:name="_Toc64036017"/>
      <w:bookmarkStart w:id="14492" w:name="_Toc64148051"/>
      <w:bookmarkStart w:id="14493" w:name="_Toc64205647"/>
      <w:bookmarkStart w:id="14494" w:name="_Toc64209327"/>
      <w:r>
        <w:rPr>
          <w:rFonts w:hint="cs"/>
          <w:rtl/>
        </w:rPr>
        <w:t>תירוץ הי"מ ברשב"א דאינו תובע את גוף הקרקע שתפוס בה ואינו נוטל מקטנים בלא שבועה</w:t>
      </w:r>
      <w:bookmarkEnd w:id="14483"/>
      <w:bookmarkEnd w:id="14484"/>
      <w:bookmarkEnd w:id="14485"/>
      <w:bookmarkEnd w:id="14486"/>
      <w:bookmarkEnd w:id="14487"/>
      <w:bookmarkEnd w:id="14488"/>
      <w:r>
        <w:rPr>
          <w:rFonts w:hint="cs"/>
          <w:rtl/>
        </w:rPr>
        <w:t xml:space="preserve"> </w:t>
      </w:r>
    </w:p>
    <w:p w:rsidR="00F4065E" w:rsidRDefault="00F4065E" w:rsidP="007E4E81">
      <w:pPr>
        <w:pStyle w:val="a0"/>
        <w:rPr>
          <w:rtl/>
        </w:rPr>
      </w:pPr>
      <w:bookmarkStart w:id="14495" w:name="_Ref63879858"/>
      <w:r>
        <w:rPr>
          <w:rFonts w:hint="cs"/>
          <w:rtl/>
        </w:rPr>
        <w:t xml:space="preserve">וכעי"ז תירץ </w:t>
      </w:r>
      <w:r w:rsidRPr="00BA2CAF">
        <w:rPr>
          <w:rStyle w:val="af9"/>
          <w:rFonts w:hint="cs"/>
          <w:rtl/>
        </w:rPr>
        <w:t>הרשב"א</w:t>
      </w:r>
      <w:r>
        <w:rPr>
          <w:rFonts w:hint="cs"/>
          <w:rtl/>
        </w:rPr>
        <w:t xml:space="preserve"> </w:t>
      </w:r>
      <w:r w:rsidRPr="004048F6">
        <w:rPr>
          <w:rStyle w:val="af7"/>
          <w:rFonts w:eastAsia="Guttman Hodes" w:hint="cs"/>
          <w:rtl/>
        </w:rPr>
        <w:t>(</w:t>
      </w:r>
      <w:r>
        <w:rPr>
          <w:rStyle w:val="af7"/>
          <w:rFonts w:eastAsia="Guttman Hodes" w:hint="cs"/>
          <w:rtl/>
        </w:rPr>
        <w:t xml:space="preserve">ריש </w:t>
      </w:r>
      <w:r w:rsidRPr="004048F6">
        <w:rPr>
          <w:rStyle w:val="af7"/>
          <w:rFonts w:eastAsia="Guttman Hodes" w:hint="cs"/>
          <w:rtl/>
        </w:rPr>
        <w:t xml:space="preserve">ד"ה והא) </w:t>
      </w:r>
      <w:r>
        <w:rPr>
          <w:rFonts w:hint="cs"/>
          <w:rtl/>
        </w:rPr>
        <w:t xml:space="preserve">בשם </w:t>
      </w:r>
      <w:r w:rsidRPr="00BA2CAF">
        <w:rPr>
          <w:rStyle w:val="af9"/>
          <w:rFonts w:hint="cs"/>
          <w:rtl/>
        </w:rPr>
        <w:t>י"מ</w:t>
      </w:r>
      <w:r>
        <w:rPr>
          <w:rFonts w:hint="cs"/>
          <w:rtl/>
        </w:rPr>
        <w:t xml:space="preserve"> דאף כשהם קטנים אינו נאמן ליטול בלא שבועה, כיון שאינו תובע את גוף הקרקע, והוא רוצה ליטול מעות מחמת החוב, ואף שהוא תפוס בקרקע אינו נוטל בלא שבועה, כדעת </w:t>
      </w:r>
      <w:r w:rsidRPr="00BA2CAF">
        <w:rPr>
          <w:rStyle w:val="af9"/>
          <w:rFonts w:hint="cs"/>
          <w:rtl/>
        </w:rPr>
        <w:t>הגאונים</w:t>
      </w:r>
      <w:r>
        <w:rPr>
          <w:rFonts w:hint="cs"/>
          <w:rtl/>
        </w:rPr>
        <w:t xml:space="preserve"> </w:t>
      </w:r>
      <w:r w:rsidRPr="00626D44">
        <w:rPr>
          <w:rStyle w:val="afb"/>
          <w:rFonts w:hint="cs"/>
          <w:rtl/>
        </w:rPr>
        <w:t xml:space="preserve">[עי' </w:t>
      </w:r>
      <w:r w:rsidRPr="00181401">
        <w:rPr>
          <w:rStyle w:val="affa"/>
          <w:rFonts w:hint="cs"/>
          <w:rtl/>
        </w:rPr>
        <w:t xml:space="preserve">ברשב"א לקמן </w:t>
      </w:r>
      <w:r w:rsidRPr="00181401">
        <w:rPr>
          <w:rStyle w:val="aff6"/>
          <w:rFonts w:hint="cs"/>
          <w:rtl/>
        </w:rPr>
        <w:t>(מו.</w:t>
      </w:r>
      <w:r w:rsidRPr="00626D44">
        <w:rPr>
          <w:rStyle w:val="afb"/>
          <w:rFonts w:hint="cs"/>
          <w:rtl/>
        </w:rPr>
        <w:t xml:space="preserve"> </w:t>
      </w:r>
      <w:r w:rsidRPr="00181401">
        <w:rPr>
          <w:rStyle w:val="aff6"/>
          <w:rFonts w:hint="cs"/>
          <w:rtl/>
        </w:rPr>
        <w:t>ד"ה כתב)</w:t>
      </w:r>
      <w:r w:rsidRPr="00626D44">
        <w:rPr>
          <w:rStyle w:val="afb"/>
          <w:rFonts w:hint="cs"/>
          <w:rtl/>
        </w:rPr>
        <w:t>]</w:t>
      </w:r>
      <w:r>
        <w:rPr>
          <w:rFonts w:hint="cs"/>
          <w:rtl/>
        </w:rPr>
        <w:t xml:space="preserve"> </w:t>
      </w:r>
      <w:r w:rsidRPr="00BA2CAF">
        <w:rPr>
          <w:rStyle w:val="af9"/>
          <w:rFonts w:hint="cs"/>
          <w:rtl/>
        </w:rPr>
        <w:t>והראב"ד</w:t>
      </w:r>
      <w:r>
        <w:rPr>
          <w:rFonts w:hint="cs"/>
          <w:rtl/>
        </w:rPr>
        <w:t xml:space="preserve"> </w:t>
      </w:r>
      <w:r w:rsidRPr="00626D44">
        <w:rPr>
          <w:rStyle w:val="afb"/>
          <w:rFonts w:hint="cs"/>
          <w:rtl/>
        </w:rPr>
        <w:t xml:space="preserve">[עי' </w:t>
      </w:r>
      <w:r w:rsidRPr="00181401">
        <w:rPr>
          <w:rStyle w:val="affa"/>
          <w:rFonts w:hint="cs"/>
          <w:rtl/>
        </w:rPr>
        <w:t xml:space="preserve">בראב"ד בהשג' </w:t>
      </w:r>
      <w:r>
        <w:rPr>
          <w:rStyle w:val="aff6"/>
          <w:rFonts w:hint="cs"/>
          <w:rtl/>
        </w:rPr>
        <w:t xml:space="preserve">(עי' </w:t>
      </w:r>
      <w:r w:rsidRPr="0056092C">
        <w:rPr>
          <w:rStyle w:val="aff6"/>
          <w:rFonts w:hint="cs"/>
          <w:rtl/>
        </w:rPr>
        <w:t xml:space="preserve">אות </w:t>
      </w:r>
      <w:r w:rsidRPr="0056092C">
        <w:rPr>
          <w:rStyle w:val="aff6"/>
          <w:rtl/>
        </w:rPr>
        <w:fldChar w:fldCharType="begin"/>
      </w:r>
      <w:r w:rsidRPr="0056092C">
        <w:rPr>
          <w:rStyle w:val="aff6"/>
          <w:rtl/>
        </w:rPr>
        <w:instrText xml:space="preserve"> </w:instrText>
      </w:r>
      <w:r w:rsidRPr="0056092C">
        <w:rPr>
          <w:rStyle w:val="aff6"/>
          <w:rFonts w:hint="cs"/>
        </w:rPr>
        <w:instrText>REF</w:instrText>
      </w:r>
      <w:r w:rsidRPr="0056092C">
        <w:rPr>
          <w:rStyle w:val="aff6"/>
          <w:rFonts w:hint="cs"/>
          <w:rtl/>
        </w:rPr>
        <w:instrText xml:space="preserve"> _</w:instrText>
      </w:r>
      <w:r w:rsidRPr="0056092C">
        <w:rPr>
          <w:rStyle w:val="aff6"/>
          <w:rFonts w:hint="cs"/>
        </w:rPr>
        <w:instrText>Ref63847642 \r \h</w:instrText>
      </w:r>
      <w:r w:rsidRPr="0056092C">
        <w:rPr>
          <w:rStyle w:val="aff6"/>
          <w:rtl/>
        </w:rPr>
        <w:instrText xml:space="preserve"> </w:instrText>
      </w:r>
      <w:r w:rsidRPr="0056092C">
        <w:rPr>
          <w:rStyle w:val="aff6"/>
          <w:rtl/>
        </w:rPr>
      </w:r>
      <w:r w:rsidRPr="0056092C">
        <w:rPr>
          <w:rStyle w:val="aff6"/>
          <w:rtl/>
        </w:rPr>
        <w:fldChar w:fldCharType="separate"/>
      </w:r>
      <w:r w:rsidR="00265073">
        <w:rPr>
          <w:rStyle w:val="aff6"/>
          <w:cs/>
        </w:rPr>
        <w:t>‎</w:t>
      </w:r>
      <w:r w:rsidR="00265073">
        <w:rPr>
          <w:rStyle w:val="aff6"/>
          <w:rtl/>
        </w:rPr>
        <w:t>קיז)</w:t>
      </w:r>
      <w:r w:rsidRPr="0056092C">
        <w:rPr>
          <w:rStyle w:val="aff6"/>
          <w:rtl/>
        </w:rPr>
        <w:fldChar w:fldCharType="end"/>
      </w:r>
      <w:r>
        <w:rPr>
          <w:rStyle w:val="affa"/>
          <w:rFonts w:hint="cs"/>
          <w:rtl/>
        </w:rPr>
        <w:t xml:space="preserve"> </w:t>
      </w:r>
      <w:r w:rsidRPr="00181401">
        <w:rPr>
          <w:rStyle w:val="affa"/>
          <w:rFonts w:hint="cs"/>
          <w:rtl/>
        </w:rPr>
        <w:t>ובהשג' על הבעה"מ בשבועות</w:t>
      </w:r>
      <w:r w:rsidRPr="00626D44">
        <w:rPr>
          <w:rStyle w:val="afb"/>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Ref63885914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כח)</w:t>
      </w:r>
      <w:r>
        <w:rPr>
          <w:rStyle w:val="aff6"/>
          <w:rtl/>
        </w:rPr>
        <w:fldChar w:fldCharType="end"/>
      </w:r>
      <w:r w:rsidRPr="00626D44">
        <w:rPr>
          <w:rStyle w:val="afb"/>
          <w:rFonts w:hint="cs"/>
          <w:rtl/>
        </w:rPr>
        <w:t>],</w:t>
      </w:r>
      <w:r>
        <w:rPr>
          <w:rFonts w:hint="cs"/>
          <w:rtl/>
        </w:rPr>
        <w:t xml:space="preserve"> אך כתב </w:t>
      </w:r>
      <w:r w:rsidRPr="008628AE">
        <w:rPr>
          <w:rStyle w:val="af9"/>
          <w:rFonts w:hint="cs"/>
          <w:rtl/>
        </w:rPr>
        <w:t>הרשב"א</w:t>
      </w:r>
      <w:r>
        <w:rPr>
          <w:rFonts w:hint="cs"/>
          <w:rtl/>
        </w:rPr>
        <w:t xml:space="preserve"> דקשה על ביאור זה מהגמ' לקמן </w:t>
      </w:r>
      <w:r w:rsidRPr="001C7ED0">
        <w:rPr>
          <w:rStyle w:val="af7"/>
          <w:rFonts w:eastAsia="Guttman Hodes" w:hint="cs"/>
          <w:rtl/>
        </w:rPr>
        <w:t>(מו.)</w:t>
      </w:r>
      <w:r>
        <w:rPr>
          <w:rFonts w:hint="cs"/>
          <w:rtl/>
        </w:rPr>
        <w:t xml:space="preserve"> בדין אומן.</w:t>
      </w:r>
      <w:bookmarkEnd w:id="14495"/>
    </w:p>
    <w:p w:rsidR="00F4065E" w:rsidRDefault="00F4065E" w:rsidP="00F4065E">
      <w:pPr>
        <w:pStyle w:val="1"/>
        <w:rPr>
          <w:rtl/>
        </w:rPr>
      </w:pPr>
      <w:bookmarkStart w:id="14496" w:name="_Toc63854266"/>
      <w:bookmarkStart w:id="14497" w:name="_Toc63942246"/>
      <w:bookmarkStart w:id="14498" w:name="_Toc63975473"/>
      <w:bookmarkStart w:id="14499" w:name="_Toc63986499"/>
      <w:bookmarkStart w:id="14500" w:name="_Toc64024609"/>
      <w:bookmarkStart w:id="14501" w:name="_Toc64036004"/>
      <w:bookmarkStart w:id="14502" w:name="_Toc64148038"/>
      <w:bookmarkStart w:id="14503" w:name="_Toc64205634"/>
      <w:bookmarkStart w:id="14504" w:name="_Toc64209314"/>
      <w:r>
        <w:rPr>
          <w:rFonts w:hint="cs"/>
          <w:rtl/>
        </w:rPr>
        <w:t>דברי הריטב"א</w:t>
      </w:r>
      <w:bookmarkEnd w:id="14496"/>
      <w:bookmarkEnd w:id="14497"/>
      <w:bookmarkEnd w:id="14498"/>
      <w:r>
        <w:rPr>
          <w:rFonts w:hint="cs"/>
          <w:rtl/>
        </w:rPr>
        <w:t xml:space="preserve"> דבתפיסת קרקע מחוסר גוביינא וחייב שבועה</w:t>
      </w:r>
      <w:bookmarkEnd w:id="14499"/>
      <w:bookmarkEnd w:id="14500"/>
      <w:bookmarkEnd w:id="14501"/>
      <w:bookmarkEnd w:id="14502"/>
      <w:bookmarkEnd w:id="14503"/>
      <w:bookmarkEnd w:id="14504"/>
    </w:p>
    <w:p w:rsidR="00F4065E" w:rsidRDefault="00F4065E" w:rsidP="00F4065E">
      <w:pPr>
        <w:pStyle w:val="a3"/>
        <w:rPr>
          <w:rtl/>
        </w:rPr>
      </w:pPr>
      <w:bookmarkStart w:id="14505" w:name="_Toc63986500"/>
      <w:bookmarkStart w:id="14506" w:name="_Toc64024610"/>
      <w:bookmarkStart w:id="14507" w:name="_Toc64036005"/>
      <w:bookmarkStart w:id="14508" w:name="_Toc64148039"/>
      <w:bookmarkStart w:id="14509" w:name="_Toc64205635"/>
      <w:bookmarkStart w:id="14510" w:name="_Toc64209315"/>
      <w:r>
        <w:rPr>
          <w:rFonts w:hint="cs"/>
          <w:rtl/>
        </w:rPr>
        <w:t>תירוץ הריטב"א דקרקע אינה תפוסה וחייב שבועה דלא תפס מטלטלין ובאכל הוא משיב אבידה</w:t>
      </w:r>
      <w:bookmarkEnd w:id="14505"/>
      <w:bookmarkEnd w:id="14506"/>
      <w:bookmarkEnd w:id="14507"/>
      <w:bookmarkEnd w:id="14508"/>
      <w:bookmarkEnd w:id="14509"/>
      <w:bookmarkEnd w:id="14510"/>
    </w:p>
    <w:p w:rsidR="00F4065E" w:rsidRPr="007E05BE" w:rsidRDefault="00F4065E" w:rsidP="007E4E81">
      <w:pPr>
        <w:pStyle w:val="a0"/>
        <w:rPr>
          <w:rStyle w:val="afb"/>
          <w:rtl/>
        </w:rPr>
      </w:pPr>
      <w:r w:rsidRPr="00891F8E">
        <w:rPr>
          <w:rStyle w:val="af9"/>
          <w:rFonts w:hint="cs"/>
          <w:rtl/>
        </w:rPr>
        <w:t>והריטב"א</w:t>
      </w:r>
      <w:r>
        <w:rPr>
          <w:rFonts w:hint="cs"/>
          <w:rtl/>
        </w:rPr>
        <w:t xml:space="preserve"> </w:t>
      </w:r>
      <w:r w:rsidRPr="00EE1580">
        <w:rPr>
          <w:rStyle w:val="af7"/>
          <w:rFonts w:eastAsia="Guttman Hodes" w:hint="cs"/>
          <w:rtl/>
        </w:rPr>
        <w:t>(ד"ה דמיגו)</w:t>
      </w:r>
      <w:r>
        <w:rPr>
          <w:rFonts w:hint="cs"/>
          <w:rtl/>
        </w:rPr>
        <w:t xml:space="preserve"> תירץ דכיון דאיירי שתפס קרקע, א"כ החוב עדיין מחוסר גוביינא, </w:t>
      </w:r>
      <w:r w:rsidRPr="00181401">
        <w:rPr>
          <w:rStyle w:val="afb"/>
          <w:rFonts w:hint="cs"/>
          <w:rtl/>
        </w:rPr>
        <w:t>[דהקרקע בחזקת בעליה],</w:t>
      </w:r>
      <w:r>
        <w:rPr>
          <w:rFonts w:hint="cs"/>
          <w:rtl/>
        </w:rPr>
        <w:t xml:space="preserve"> ואין לו כל תפיסה במטלטלין, ולכן עדיין היה חייב שבועה, ולכן רצה רבא בר שרשום לתפוס בתחילה את הפירות שהם מטלטלין, ובזה יהיה נאמן על מה שתפס במיגו ובלי שבועה, כיון שאי"ז מפורסם שתפס את הפירות, והוא משיב אבידה גמור. </w:t>
      </w:r>
      <w:r w:rsidRPr="007E05BE">
        <w:rPr>
          <w:rStyle w:val="afb"/>
          <w:rFonts w:hint="cs"/>
          <w:rtl/>
        </w:rPr>
        <w:t>[ועי' במ</w:t>
      </w:r>
      <w:r>
        <w:rPr>
          <w:rStyle w:val="afb"/>
          <w:rFonts w:hint="cs"/>
          <w:rtl/>
        </w:rPr>
        <w:t>ה שביאר</w:t>
      </w:r>
      <w:r w:rsidRPr="007E05BE">
        <w:rPr>
          <w:rStyle w:val="afb"/>
          <w:rFonts w:hint="cs"/>
          <w:rtl/>
        </w:rPr>
        <w:t xml:space="preserve"> </w:t>
      </w:r>
      <w:r w:rsidRPr="007E05BE">
        <w:rPr>
          <w:rStyle w:val="affa"/>
          <w:rFonts w:hint="cs"/>
          <w:rtl/>
        </w:rPr>
        <w:t>רבינו יונה</w:t>
      </w:r>
      <w:r w:rsidRPr="007E05BE">
        <w:rPr>
          <w:rStyle w:val="afb"/>
          <w:rFonts w:hint="cs"/>
          <w:rtl/>
        </w:rPr>
        <w:t xml:space="preserve"> </w:t>
      </w:r>
      <w:r w:rsidRPr="007E05BE">
        <w:rPr>
          <w:rStyle w:val="aff6"/>
          <w:rFonts w:hint="cs"/>
          <w:rtl/>
        </w:rPr>
        <w:t xml:space="preserve">(עי' אות </w:t>
      </w:r>
      <w:r w:rsidRPr="007E05BE">
        <w:rPr>
          <w:rStyle w:val="aff6"/>
          <w:rtl/>
        </w:rPr>
        <w:fldChar w:fldCharType="begin"/>
      </w:r>
      <w:r w:rsidRPr="007E05BE">
        <w:rPr>
          <w:rStyle w:val="aff6"/>
          <w:rtl/>
        </w:rPr>
        <w:instrText xml:space="preserve"> </w:instrText>
      </w:r>
      <w:r w:rsidRPr="007E05BE">
        <w:rPr>
          <w:rStyle w:val="aff6"/>
          <w:rFonts w:hint="cs"/>
        </w:rPr>
        <w:instrText>REF</w:instrText>
      </w:r>
      <w:r w:rsidRPr="007E05BE">
        <w:rPr>
          <w:rStyle w:val="aff6"/>
          <w:rFonts w:hint="cs"/>
          <w:rtl/>
        </w:rPr>
        <w:instrText xml:space="preserve"> _</w:instrText>
      </w:r>
      <w:r w:rsidRPr="007E05BE">
        <w:rPr>
          <w:rStyle w:val="aff6"/>
          <w:rFonts w:hint="cs"/>
        </w:rPr>
        <w:instrText>Ref63985963 \r \h</w:instrText>
      </w:r>
      <w:r w:rsidRPr="007E05BE">
        <w:rPr>
          <w:rStyle w:val="aff6"/>
          <w:rtl/>
        </w:rPr>
        <w:instrText xml:space="preserve"> </w:instrText>
      </w:r>
      <w:r w:rsidRPr="007E05BE">
        <w:rPr>
          <w:rStyle w:val="aff6"/>
          <w:rtl/>
        </w:rPr>
      </w:r>
      <w:r w:rsidRPr="007E05BE">
        <w:rPr>
          <w:rStyle w:val="aff6"/>
          <w:rtl/>
        </w:rPr>
        <w:fldChar w:fldCharType="separate"/>
      </w:r>
      <w:r w:rsidR="00265073">
        <w:rPr>
          <w:rStyle w:val="aff6"/>
          <w:cs/>
        </w:rPr>
        <w:t>‎</w:t>
      </w:r>
      <w:r w:rsidR="00265073">
        <w:rPr>
          <w:rStyle w:val="aff6"/>
          <w:rtl/>
        </w:rPr>
        <w:t>מא)</w:t>
      </w:r>
      <w:r w:rsidRPr="007E05BE">
        <w:rPr>
          <w:rStyle w:val="aff6"/>
          <w:rtl/>
        </w:rPr>
        <w:fldChar w:fldCharType="end"/>
      </w:r>
      <w:r w:rsidRPr="007E05BE">
        <w:rPr>
          <w:rStyle w:val="afb"/>
          <w:rFonts w:hint="cs"/>
          <w:rtl/>
        </w:rPr>
        <w:t xml:space="preserve"> </w:t>
      </w:r>
      <w:r>
        <w:rPr>
          <w:rStyle w:val="afb"/>
          <w:rFonts w:hint="cs"/>
          <w:rtl/>
        </w:rPr>
        <w:t xml:space="preserve">דאי היה </w:t>
      </w:r>
      <w:r w:rsidRPr="007E05BE">
        <w:rPr>
          <w:rStyle w:val="afb"/>
          <w:rFonts w:hint="cs"/>
          <w:rtl/>
        </w:rPr>
        <w:t>מחזיר את הקרקע ה</w:t>
      </w:r>
      <w:r>
        <w:rPr>
          <w:rStyle w:val="afb"/>
          <w:rFonts w:hint="cs"/>
          <w:rtl/>
        </w:rPr>
        <w:t>יה</w:t>
      </w:r>
      <w:r w:rsidRPr="007E05BE">
        <w:rPr>
          <w:rStyle w:val="afb"/>
          <w:rFonts w:hint="cs"/>
          <w:rtl/>
        </w:rPr>
        <w:t xml:space="preserve"> חייב שבועה ואינו משיב אבידה].</w:t>
      </w:r>
    </w:p>
    <w:p w:rsidR="00F4065E" w:rsidRPr="00946563" w:rsidRDefault="00F4065E" w:rsidP="00F4065E">
      <w:pPr>
        <w:pStyle w:val="1"/>
        <w:rPr>
          <w:rtl/>
        </w:rPr>
      </w:pPr>
      <w:bookmarkStart w:id="14511" w:name="_Toc63986501"/>
      <w:bookmarkStart w:id="14512" w:name="_Toc64024611"/>
      <w:bookmarkStart w:id="14513" w:name="_Toc64036006"/>
      <w:bookmarkStart w:id="14514" w:name="_Toc64148040"/>
      <w:bookmarkStart w:id="14515" w:name="_Toc64205636"/>
      <w:bookmarkStart w:id="14516" w:name="_Toc64209316"/>
      <w:r w:rsidRPr="00303A8B">
        <w:rPr>
          <w:rFonts w:hint="cs"/>
          <w:rtl/>
        </w:rPr>
        <w:t>תירוץ הקצוה"ח דכל שלא תפס מטלטלין חייב שבועה</w:t>
      </w:r>
      <w:bookmarkEnd w:id="14511"/>
      <w:bookmarkEnd w:id="14512"/>
      <w:bookmarkEnd w:id="14513"/>
      <w:bookmarkEnd w:id="14514"/>
      <w:bookmarkEnd w:id="14515"/>
      <w:bookmarkEnd w:id="14516"/>
    </w:p>
    <w:p w:rsidR="00F4065E" w:rsidRPr="003A3C61" w:rsidRDefault="00F4065E" w:rsidP="00F4065E">
      <w:pPr>
        <w:pStyle w:val="a3"/>
        <w:rPr>
          <w:rtl/>
        </w:rPr>
      </w:pPr>
      <w:bookmarkStart w:id="14517" w:name="_Toc63986502"/>
      <w:bookmarkStart w:id="14518" w:name="_Toc64024612"/>
      <w:bookmarkStart w:id="14519" w:name="_Toc64036007"/>
      <w:bookmarkStart w:id="14520" w:name="_Toc64148041"/>
      <w:bookmarkStart w:id="14521" w:name="_Toc64205637"/>
      <w:bookmarkStart w:id="14522" w:name="_Toc64209317"/>
      <w:r>
        <w:rPr>
          <w:rFonts w:hint="cs"/>
          <w:rtl/>
        </w:rPr>
        <w:t>תירוץ הקצוה"ח דכל שלא תפס מטלטלין אף שיש לו מיגו הוא חייב שבועה</w:t>
      </w:r>
      <w:bookmarkEnd w:id="14517"/>
      <w:bookmarkEnd w:id="14518"/>
      <w:bookmarkEnd w:id="14519"/>
      <w:bookmarkEnd w:id="14520"/>
      <w:bookmarkEnd w:id="14521"/>
      <w:bookmarkEnd w:id="14522"/>
    </w:p>
    <w:p w:rsidR="00F4065E" w:rsidRDefault="00F4065E" w:rsidP="007E4E81">
      <w:pPr>
        <w:pStyle w:val="a0"/>
        <w:rPr>
          <w:rStyle w:val="afb"/>
          <w:rtl/>
        </w:rPr>
      </w:pPr>
      <w:r w:rsidRPr="008F68E4">
        <w:rPr>
          <w:rStyle w:val="af9"/>
          <w:rFonts w:hint="cs"/>
          <w:rtl/>
        </w:rPr>
        <w:t>והקצוה"ח</w:t>
      </w:r>
      <w:r w:rsidRPr="008F68E4">
        <w:rPr>
          <w:rStyle w:val="af7"/>
          <w:rFonts w:eastAsia="Guttman Hodes" w:hint="cs"/>
          <w:rtl/>
        </w:rPr>
        <w:t xml:space="preserve"> (סי' ק"י סוס"ק ב') </w:t>
      </w:r>
      <w:r>
        <w:rPr>
          <w:rFonts w:hint="cs"/>
          <w:rtl/>
        </w:rPr>
        <w:t xml:space="preserve">תירץ דאם תפס מטלטלין נאמן במיגו אף כשהיתומים קטנים, אבל בלא תפס, אף שיש לו מיגו הוא חייב שבועה, ולכן סבר רבא בר שרשום שאם יתבע מהם את החוב, לא יהיה נאמן במיגו להפטר מהשבועה. </w:t>
      </w:r>
    </w:p>
    <w:p w:rsidR="00F4065E" w:rsidRDefault="00F4065E" w:rsidP="00F4065E">
      <w:pPr>
        <w:pStyle w:val="a3"/>
      </w:pPr>
      <w:r>
        <w:rPr>
          <w:rFonts w:hint="cs"/>
          <w:rtl/>
        </w:rPr>
        <w:t>דברי הנתיה"מ דאף דמטלטלין לא משתבעבדי מ"מ חל שעבוד על הקרקע ומכחה תפס פירות</w:t>
      </w:r>
      <w:bookmarkEnd w:id="14489"/>
      <w:bookmarkEnd w:id="14490"/>
      <w:bookmarkEnd w:id="14491"/>
      <w:bookmarkEnd w:id="14492"/>
      <w:bookmarkEnd w:id="14493"/>
      <w:bookmarkEnd w:id="14494"/>
    </w:p>
    <w:p w:rsidR="00F4065E" w:rsidRDefault="00F4065E" w:rsidP="007E4E81">
      <w:pPr>
        <w:pStyle w:val="a0"/>
        <w:rPr>
          <w:rtl/>
        </w:rPr>
      </w:pPr>
      <w:r>
        <w:rPr>
          <w:rFonts w:hint="cs"/>
          <w:rtl/>
        </w:rPr>
        <w:t xml:space="preserve">וע"ע במ"ש </w:t>
      </w:r>
      <w:r w:rsidRPr="00AE7D9F">
        <w:rPr>
          <w:rStyle w:val="af9"/>
          <w:rFonts w:hint="cs"/>
          <w:rtl/>
        </w:rPr>
        <w:t>הנתיה"מ</w:t>
      </w:r>
      <w:r>
        <w:rPr>
          <w:rFonts w:hint="cs"/>
          <w:rtl/>
        </w:rPr>
        <w:t xml:space="preserve"> </w:t>
      </w:r>
      <w:r w:rsidRPr="00AE7D9F">
        <w:rPr>
          <w:rStyle w:val="af7"/>
          <w:rFonts w:eastAsia="Guttman Hodes" w:hint="cs"/>
          <w:rtl/>
        </w:rPr>
        <w:t>(סי' קי"ב סק"ה)</w:t>
      </w:r>
      <w:r>
        <w:rPr>
          <w:rFonts w:hint="cs"/>
          <w:rtl/>
        </w:rPr>
        <w:t xml:space="preserve"> דהא דרבא בר שרשום תפס את הפירות כנגד החוב, הוא אעפ"י דמטלטלי דיתמי לא משתעבדי לבע"ח, ואף הפירות שגדלו לאחר מיתת האב אינם משועבדים לבע"ח, מ"מ כיון שיש ליתומים קרקע, חל עליה שעבוד הגוף, ומכח השעבוד שיש לו על הקרקע הוא תפס את הפירות. </w:t>
      </w:r>
    </w:p>
    <w:p w:rsidR="00F4065E" w:rsidRPr="0055385A" w:rsidRDefault="00F4065E" w:rsidP="00F4065E">
      <w:pPr>
        <w:pStyle w:val="a3"/>
        <w:rPr>
          <w:rtl/>
        </w:rPr>
      </w:pPr>
    </w:p>
    <w:p w:rsidR="00F4065E" w:rsidRPr="0055385A" w:rsidRDefault="00F4065E" w:rsidP="00F4065E">
      <w:pPr>
        <w:pStyle w:val="a3"/>
        <w:rPr>
          <w:rtl/>
        </w:rPr>
      </w:pPr>
    </w:p>
    <w:p w:rsidR="00F4065E" w:rsidRDefault="00F4065E" w:rsidP="00F4065E">
      <w:pPr>
        <w:pStyle w:val="afe"/>
        <w:rPr>
          <w:rtl/>
        </w:rPr>
      </w:pPr>
      <w:bookmarkStart w:id="14523" w:name="_Toc63986513"/>
      <w:bookmarkStart w:id="14524" w:name="_Toc64024623"/>
      <w:bookmarkStart w:id="14525" w:name="_Toc64036018"/>
      <w:bookmarkStart w:id="14526" w:name="_Toc64148052"/>
      <w:bookmarkStart w:id="14527" w:name="_Toc64205648"/>
      <w:bookmarkStart w:id="14528" w:name="_Toc64209328"/>
      <w:r>
        <w:rPr>
          <w:rFonts w:hint="cs"/>
          <w:rtl/>
        </w:rPr>
        <w:lastRenderedPageBreak/>
        <w:t>ד' רבינו יונה</w:t>
      </w:r>
      <w:bookmarkEnd w:id="14523"/>
      <w:bookmarkEnd w:id="14524"/>
      <w:bookmarkEnd w:id="14525"/>
      <w:bookmarkEnd w:id="14526"/>
      <w:r>
        <w:rPr>
          <w:rFonts w:hint="cs"/>
          <w:rtl/>
        </w:rPr>
        <w:t xml:space="preserve"> דאחר שאכל פטור משבועה</w:t>
      </w:r>
      <w:bookmarkEnd w:id="14527"/>
      <w:bookmarkEnd w:id="14528"/>
    </w:p>
    <w:p w:rsidR="00F4065E" w:rsidRPr="007E302B" w:rsidRDefault="00F4065E" w:rsidP="00F4065E">
      <w:pPr>
        <w:pStyle w:val="1"/>
      </w:pPr>
      <w:bookmarkStart w:id="14529" w:name="_Toc64024624"/>
      <w:bookmarkStart w:id="14530" w:name="_Toc64036019"/>
      <w:bookmarkStart w:id="14531" w:name="_Toc64148053"/>
      <w:bookmarkStart w:id="14532" w:name="_Toc64205649"/>
      <w:bookmarkStart w:id="14533" w:name="_Toc64209329"/>
      <w:r>
        <w:rPr>
          <w:rFonts w:hint="cs"/>
          <w:rtl/>
        </w:rPr>
        <w:t>דברי רבינו יונה דמשמע דרק לאחר שאכל המיגו פוטר משבועה</w:t>
      </w:r>
      <w:bookmarkEnd w:id="14529"/>
      <w:bookmarkEnd w:id="14530"/>
      <w:bookmarkEnd w:id="14531"/>
      <w:bookmarkEnd w:id="14532"/>
      <w:bookmarkEnd w:id="14533"/>
    </w:p>
    <w:p w:rsidR="00F4065E" w:rsidRPr="00802A79" w:rsidRDefault="00F4065E" w:rsidP="00F4065E">
      <w:pPr>
        <w:pStyle w:val="a3"/>
        <w:rPr>
          <w:rtl/>
        </w:rPr>
      </w:pPr>
      <w:bookmarkStart w:id="14534" w:name="_Toc64024625"/>
      <w:bookmarkStart w:id="14535" w:name="_Toc64036020"/>
      <w:bookmarkStart w:id="14536" w:name="_Toc64148054"/>
      <w:bookmarkStart w:id="14537" w:name="_Toc64205650"/>
      <w:bookmarkStart w:id="14538" w:name="_Toc64209330"/>
      <w:bookmarkStart w:id="14539" w:name="_Toc63675687"/>
      <w:r>
        <w:rPr>
          <w:rFonts w:hint="cs"/>
          <w:rtl/>
        </w:rPr>
        <w:t>דברי רבינו יונה והרא"ש דאף אחר שאכל את הפירות נאמן רק במיגו ובלא המיגו חייב שבועה</w:t>
      </w:r>
      <w:bookmarkEnd w:id="14534"/>
      <w:bookmarkEnd w:id="14535"/>
      <w:bookmarkEnd w:id="14536"/>
      <w:bookmarkEnd w:id="14537"/>
      <w:bookmarkEnd w:id="14538"/>
    </w:p>
    <w:p w:rsidR="00F4065E" w:rsidRDefault="00F4065E" w:rsidP="007E4E81">
      <w:pPr>
        <w:pStyle w:val="a0"/>
      </w:pPr>
      <w:bookmarkStart w:id="14540" w:name="_Ref63847692"/>
      <w:bookmarkStart w:id="14541" w:name="_Ref64021797"/>
      <w:bookmarkStart w:id="14542" w:name="_Ref63617434"/>
      <w:r>
        <w:rPr>
          <w:rFonts w:hint="cs"/>
          <w:rtl/>
        </w:rPr>
        <w:t xml:space="preserve">כתב </w:t>
      </w:r>
      <w:r w:rsidRPr="00BA2CAF">
        <w:rPr>
          <w:rStyle w:val="af9"/>
          <w:rFonts w:hint="cs"/>
          <w:rtl/>
        </w:rPr>
        <w:t>רבינו</w:t>
      </w:r>
      <w:r>
        <w:rPr>
          <w:rFonts w:hint="cs"/>
          <w:rtl/>
        </w:rPr>
        <w:t xml:space="preserve"> </w:t>
      </w:r>
      <w:r w:rsidRPr="00BA2CAF">
        <w:rPr>
          <w:rStyle w:val="af9"/>
          <w:rFonts w:hint="cs"/>
          <w:rtl/>
        </w:rPr>
        <w:t>יונה</w:t>
      </w:r>
      <w:r>
        <w:rPr>
          <w:rFonts w:hint="cs"/>
          <w:rtl/>
        </w:rPr>
        <w:t xml:space="preserve"> </w:t>
      </w:r>
      <w:r w:rsidRPr="001D13BB">
        <w:rPr>
          <w:rStyle w:val="af7"/>
          <w:rFonts w:eastAsia="Guttman Hodes" w:hint="cs"/>
          <w:rtl/>
        </w:rPr>
        <w:t>(ד"ה כי)</w:t>
      </w:r>
      <w:r>
        <w:rPr>
          <w:rFonts w:hint="cs"/>
          <w:rtl/>
        </w:rPr>
        <w:t xml:space="preserve"> דמדאמר רבא בר שרשום דרצה לאכול את שיעור החוב, ואח"כ יהיה נאמן במיגו, משמע דאף לאחר שיאכל את הפירות, מ"מ הוא יהיה נאמן היא רק מכח המיגו דלקוחה היא בידו, אבל בלא המיגו, יהיה צריך להשבע אף שיש לו שטר ואף לאחר שאכל את הפירות,</w:t>
      </w:r>
      <w:r w:rsidRPr="00E349F6">
        <w:rPr>
          <w:rFonts w:hint="cs"/>
          <w:rtl/>
        </w:rPr>
        <w:t xml:space="preserve"> </w:t>
      </w:r>
      <w:r>
        <w:rPr>
          <w:rFonts w:hint="cs"/>
          <w:rtl/>
        </w:rPr>
        <w:t xml:space="preserve">ולכן הוצרך רבא בר שרשום לומר שיהיה נאמן במיגו ולא יצטרך להשבע, דהא המשיב אבידה פטור משבועה, וכ"כ </w:t>
      </w:r>
      <w:r w:rsidRPr="00BA2CAF">
        <w:rPr>
          <w:rStyle w:val="af9"/>
          <w:rFonts w:hint="cs"/>
          <w:rtl/>
        </w:rPr>
        <w:t>הרא"ש</w:t>
      </w:r>
      <w:r>
        <w:rPr>
          <w:rFonts w:hint="cs"/>
          <w:rtl/>
        </w:rPr>
        <w:t xml:space="preserve"> </w:t>
      </w:r>
      <w:bookmarkEnd w:id="14540"/>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Ref64190206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Pr>
          <w:rStyle w:val="af7"/>
          <w:rFonts w:eastAsia="Guttman Hodes"/>
          <w:rtl/>
        </w:rPr>
        <w:fldChar w:fldCharType="end"/>
      </w:r>
      <w:r>
        <w:rPr>
          <w:rFonts w:hint="cs"/>
          <w:rtl/>
        </w:rPr>
        <w:t>.</w:t>
      </w:r>
      <w:bookmarkEnd w:id="14541"/>
    </w:p>
    <w:p w:rsidR="00F4065E" w:rsidRDefault="00F4065E" w:rsidP="00F4065E">
      <w:pPr>
        <w:pStyle w:val="a3"/>
      </w:pPr>
      <w:bookmarkStart w:id="14543" w:name="_Toc64024626"/>
      <w:bookmarkStart w:id="14544" w:name="_Toc64036021"/>
      <w:bookmarkStart w:id="14545" w:name="_Toc64148055"/>
      <w:bookmarkStart w:id="14546" w:name="_Toc64205651"/>
      <w:bookmarkStart w:id="14547" w:name="_Toc64209331"/>
      <w:r>
        <w:rPr>
          <w:rFonts w:hint="cs"/>
          <w:rtl/>
        </w:rPr>
        <w:t>דברי רבינו יונה דמוכח דאף מי שנטל כבר מיתומים משמתינן ליה שישבע אך לא יורדים לנכסיו</w:t>
      </w:r>
      <w:bookmarkEnd w:id="14543"/>
      <w:bookmarkEnd w:id="14544"/>
      <w:bookmarkEnd w:id="14545"/>
      <w:bookmarkEnd w:id="14546"/>
      <w:bookmarkEnd w:id="14547"/>
    </w:p>
    <w:p w:rsidR="00F4065E" w:rsidRDefault="00F4065E" w:rsidP="007E4E81">
      <w:pPr>
        <w:pStyle w:val="a0"/>
        <w:rPr>
          <w:rtl/>
        </w:rPr>
      </w:pPr>
      <w:r>
        <w:rPr>
          <w:rFonts w:hint="cs"/>
          <w:rtl/>
        </w:rPr>
        <w:t xml:space="preserve">וכתב </w:t>
      </w:r>
      <w:r w:rsidRPr="00F8744D">
        <w:rPr>
          <w:rStyle w:val="af9"/>
          <w:rFonts w:hint="cs"/>
          <w:rtl/>
        </w:rPr>
        <w:t>רבינו יונה</w:t>
      </w:r>
      <w:r>
        <w:rPr>
          <w:rFonts w:hint="cs"/>
          <w:rtl/>
        </w:rPr>
        <w:t xml:space="preserve"> דמבואר דהא דאמרו דהבא ליפרע מיתומים צריך להשבע, היינו אף באופן שנטל בלא שבועה, דמשמתינן ליה עד שישבע, אך כתב </w:t>
      </w:r>
      <w:r w:rsidRPr="00BA2CAF">
        <w:rPr>
          <w:rStyle w:val="af9"/>
          <w:rFonts w:hint="cs"/>
          <w:rtl/>
        </w:rPr>
        <w:t>רבינו</w:t>
      </w:r>
      <w:r>
        <w:rPr>
          <w:rFonts w:hint="cs"/>
          <w:rtl/>
        </w:rPr>
        <w:t xml:space="preserve"> </w:t>
      </w:r>
      <w:r w:rsidRPr="00BA2CAF">
        <w:rPr>
          <w:rStyle w:val="af9"/>
          <w:rFonts w:hint="cs"/>
          <w:rtl/>
        </w:rPr>
        <w:t>יונה</w:t>
      </w:r>
      <w:r>
        <w:rPr>
          <w:rFonts w:hint="cs"/>
          <w:rtl/>
        </w:rPr>
        <w:t xml:space="preserve"> דאם אינו רוצה להשבע אין יורדין לנכסיו להוציא ממנו את מה שנטל, כדין חיוב שבועת היסת, והביא </w:t>
      </w:r>
      <w:r w:rsidRPr="00F8744D">
        <w:rPr>
          <w:rStyle w:val="af9"/>
          <w:rFonts w:hint="cs"/>
          <w:rtl/>
        </w:rPr>
        <w:t>רבינו יונה</w:t>
      </w:r>
      <w:r>
        <w:rPr>
          <w:rFonts w:hint="cs"/>
          <w:rtl/>
        </w:rPr>
        <w:t xml:space="preserve"> דכ"כ </w:t>
      </w:r>
      <w:r w:rsidRPr="00BA2CAF">
        <w:rPr>
          <w:rStyle w:val="af9"/>
          <w:rFonts w:hint="cs"/>
          <w:rtl/>
        </w:rPr>
        <w:t>הרי"ף בשבועות</w:t>
      </w:r>
      <w:r>
        <w:rPr>
          <w:rFonts w:hint="cs"/>
          <w:rtl/>
        </w:rPr>
        <w:t xml:space="preserve"> </w:t>
      </w:r>
      <w:r w:rsidRPr="001C7ED0">
        <w:rPr>
          <w:rStyle w:val="af7"/>
          <w:rFonts w:eastAsia="Guttman Hodes" w:hint="cs"/>
          <w:rtl/>
        </w:rPr>
        <w:t>(כא: מדה"ר)</w:t>
      </w:r>
      <w:r>
        <w:rPr>
          <w:rFonts w:hint="cs"/>
          <w:rtl/>
        </w:rPr>
        <w:t xml:space="preserve">, וכ"כ </w:t>
      </w:r>
      <w:r w:rsidRPr="00BA2CAF">
        <w:rPr>
          <w:rStyle w:val="af9"/>
          <w:rFonts w:hint="cs"/>
          <w:rtl/>
        </w:rPr>
        <w:t>הרא"ש</w:t>
      </w:r>
      <w:r>
        <w:rPr>
          <w:rFonts w:hint="cs"/>
          <w:rtl/>
        </w:rPr>
        <w:t xml:space="preserve"> </w:t>
      </w:r>
      <w:r w:rsidRPr="001C7ED0">
        <w:rPr>
          <w:rStyle w:val="af7"/>
          <w:rFonts w:eastAsia="Guttman Hodes" w:hint="cs"/>
          <w:rtl/>
        </w:rPr>
        <w:t>(סי' י"ח)</w:t>
      </w:r>
      <w:r>
        <w:rPr>
          <w:rFonts w:hint="cs"/>
          <w:rtl/>
        </w:rPr>
        <w:t>.</w:t>
      </w:r>
      <w:bookmarkEnd w:id="14542"/>
    </w:p>
    <w:p w:rsidR="00F4065E" w:rsidRDefault="00F4065E" w:rsidP="00F4065E">
      <w:pPr>
        <w:pStyle w:val="a3"/>
        <w:rPr>
          <w:rtl/>
        </w:rPr>
      </w:pPr>
      <w:bookmarkStart w:id="14548" w:name="_Toc64024627"/>
      <w:bookmarkStart w:id="14549" w:name="_Toc64036022"/>
      <w:bookmarkStart w:id="14550" w:name="_Toc64148056"/>
      <w:bookmarkStart w:id="14551" w:name="_Toc64205652"/>
      <w:bookmarkStart w:id="14552" w:name="_Toc64209332"/>
      <w:r>
        <w:rPr>
          <w:rFonts w:hint="cs"/>
          <w:rtl/>
        </w:rPr>
        <w:t>קושית רבינו יונה דאמאי סבר רבא בר שרשום שיתחייב שבועה והא יש לו שטר ונאמן במיגו</w:t>
      </w:r>
      <w:bookmarkEnd w:id="14548"/>
      <w:bookmarkEnd w:id="14549"/>
      <w:bookmarkEnd w:id="14550"/>
      <w:bookmarkEnd w:id="14551"/>
      <w:bookmarkEnd w:id="14552"/>
    </w:p>
    <w:p w:rsidR="00F4065E" w:rsidRDefault="00F4065E" w:rsidP="007E4E81">
      <w:pPr>
        <w:pStyle w:val="a0"/>
        <w:rPr>
          <w:rtl/>
        </w:rPr>
      </w:pPr>
      <w:bookmarkStart w:id="14553" w:name="_Ref64021809"/>
      <w:bookmarkStart w:id="14554" w:name="_Ref63873238"/>
      <w:bookmarkStart w:id="14555" w:name="_Ref63589749"/>
      <w:r>
        <w:rPr>
          <w:rFonts w:hint="cs"/>
          <w:rtl/>
        </w:rPr>
        <w:t xml:space="preserve">אך הקשה </w:t>
      </w:r>
      <w:r w:rsidRPr="00BA2CAF">
        <w:rPr>
          <w:rStyle w:val="af9"/>
          <w:rFonts w:hint="cs"/>
          <w:rtl/>
        </w:rPr>
        <w:t>רבינו</w:t>
      </w:r>
      <w:r>
        <w:rPr>
          <w:rFonts w:hint="cs"/>
          <w:rtl/>
        </w:rPr>
        <w:t xml:space="preserve"> </w:t>
      </w:r>
      <w:r w:rsidRPr="00BA2CAF">
        <w:rPr>
          <w:rStyle w:val="af9"/>
          <w:rFonts w:hint="cs"/>
          <w:rtl/>
        </w:rPr>
        <w:t>יונה</w:t>
      </w:r>
      <w:r>
        <w:rPr>
          <w:rFonts w:hint="cs"/>
          <w:rtl/>
        </w:rPr>
        <w:t xml:space="preserve"> דאמאי אמר רבא בר שרשום שאם יחזיר את הקרקע, ויתבע את החוב יתחייב שבועה, והרי כיון שיש לו שטר, הוא יכול לתבוע את החוב מהיתומים ולהחזיר להם את הקרקע, ולא יתחייב שבועה, כיון שיש לו נאמנות על החוב, במיגו דהיה יכול לומר שהקרקע לקוחה בידו,</w:t>
      </w:r>
      <w:r w:rsidRPr="008707A3">
        <w:rPr>
          <w:rFonts w:hint="cs"/>
          <w:rtl/>
        </w:rPr>
        <w:t xml:space="preserve"> </w:t>
      </w:r>
      <w:r>
        <w:rPr>
          <w:rFonts w:hint="cs"/>
          <w:rtl/>
        </w:rPr>
        <w:t xml:space="preserve">ועי' במה שהקשו </w:t>
      </w:r>
      <w:r w:rsidRPr="00BF79AE">
        <w:rPr>
          <w:rStyle w:val="af9"/>
          <w:rFonts w:hint="cs"/>
          <w:rtl/>
        </w:rPr>
        <w:t>הרמב"ן והרשב"א</w:t>
      </w:r>
      <w:r>
        <w:rPr>
          <w:rFonts w:hint="cs"/>
          <w:rtl/>
        </w:rPr>
        <w:t xml:space="preserve"> </w:t>
      </w:r>
      <w:r w:rsidRPr="00BF79AE">
        <w:rPr>
          <w:rStyle w:val="af7"/>
          <w:rFonts w:eastAsia="Guttman Hodes" w:hint="cs"/>
          <w:rtl/>
        </w:rPr>
        <w:t xml:space="preserve">(עי' אות </w:t>
      </w:r>
      <w:r w:rsidRPr="00BF79AE">
        <w:rPr>
          <w:rStyle w:val="af7"/>
          <w:rFonts w:eastAsia="Guttman Hodes"/>
          <w:rtl/>
        </w:rPr>
        <w:fldChar w:fldCharType="begin"/>
      </w:r>
      <w:r w:rsidRPr="00BF79AE">
        <w:rPr>
          <w:rStyle w:val="af7"/>
          <w:rFonts w:eastAsia="Guttman Hodes"/>
          <w:rtl/>
        </w:rPr>
        <w:instrText xml:space="preserve"> </w:instrText>
      </w:r>
      <w:r w:rsidRPr="00BF79AE">
        <w:rPr>
          <w:rStyle w:val="af7"/>
          <w:rFonts w:eastAsia="Guttman Hodes" w:hint="cs"/>
        </w:rPr>
        <w:instrText>REF</w:instrText>
      </w:r>
      <w:r w:rsidRPr="00BF79AE">
        <w:rPr>
          <w:rStyle w:val="af7"/>
          <w:rFonts w:eastAsia="Guttman Hodes" w:hint="cs"/>
          <w:rtl/>
        </w:rPr>
        <w:instrText xml:space="preserve"> _</w:instrText>
      </w:r>
      <w:r w:rsidRPr="00BF79AE">
        <w:rPr>
          <w:rStyle w:val="af7"/>
          <w:rFonts w:eastAsia="Guttman Hodes" w:hint="cs"/>
        </w:rPr>
        <w:instrText>Ref63872766 \r \h</w:instrText>
      </w:r>
      <w:r w:rsidRPr="00BF79AE">
        <w:rPr>
          <w:rStyle w:val="af7"/>
          <w:rFonts w:eastAsia="Guttman Hodes"/>
          <w:rtl/>
        </w:rPr>
        <w:instrText xml:space="preserve"> </w:instrText>
      </w:r>
      <w:r w:rsidRPr="00BF79AE">
        <w:rPr>
          <w:rStyle w:val="af7"/>
          <w:rFonts w:eastAsia="Guttman Hodes"/>
          <w:rtl/>
        </w:rPr>
      </w:r>
      <w:r w:rsidRPr="00BF79AE">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BF79AE">
        <w:rPr>
          <w:rStyle w:val="af7"/>
          <w:rFonts w:eastAsia="Guttman Hodes"/>
          <w:rtl/>
        </w:rPr>
        <w:fldChar w:fldCharType="end"/>
      </w:r>
      <w:r w:rsidRPr="00F65040">
        <w:rPr>
          <w:rStyle w:val="af9"/>
          <w:rFonts w:hint="cs"/>
          <w:rtl/>
        </w:rPr>
        <w:t xml:space="preserve"> </w:t>
      </w:r>
      <w:r w:rsidRPr="00891F8E">
        <w:rPr>
          <w:rStyle w:val="af9"/>
          <w:rFonts w:hint="cs"/>
          <w:rtl/>
        </w:rPr>
        <w:t>והריטב"א</w:t>
      </w:r>
      <w:r>
        <w:rPr>
          <w:rFonts w:hint="cs"/>
          <w:rtl/>
        </w:rPr>
        <w:t xml:space="preserve"> </w:t>
      </w:r>
      <w:r>
        <w:rPr>
          <w:rStyle w:val="af7"/>
          <w:rFonts w:eastAsia="Guttman Hodes" w:hint="cs"/>
          <w:rtl/>
        </w:rPr>
        <w:t xml:space="preserve">(עי' </w:t>
      </w:r>
      <w:r w:rsidRPr="00F65040">
        <w:rPr>
          <w:rStyle w:val="af7"/>
          <w:rFonts w:eastAsia="Guttman Hodes" w:hint="cs"/>
          <w:rtl/>
        </w:rPr>
        <w:t xml:space="preserve">אות </w:t>
      </w:r>
      <w:r w:rsidRPr="00F65040">
        <w:rPr>
          <w:rStyle w:val="af7"/>
          <w:rFonts w:eastAsia="Guttman Hodes"/>
          <w:rtl/>
        </w:rPr>
        <w:fldChar w:fldCharType="begin"/>
      </w:r>
      <w:r w:rsidRPr="00F65040">
        <w:rPr>
          <w:rStyle w:val="af7"/>
          <w:rFonts w:eastAsia="Guttman Hodes"/>
          <w:rtl/>
        </w:rPr>
        <w:instrText xml:space="preserve"> </w:instrText>
      </w:r>
      <w:r w:rsidRPr="00F65040">
        <w:rPr>
          <w:rStyle w:val="af7"/>
          <w:rFonts w:eastAsia="Guttman Hodes" w:hint="cs"/>
        </w:rPr>
        <w:instrText>REF</w:instrText>
      </w:r>
      <w:r w:rsidRPr="00F65040">
        <w:rPr>
          <w:rStyle w:val="af7"/>
          <w:rFonts w:eastAsia="Guttman Hodes" w:hint="cs"/>
          <w:rtl/>
        </w:rPr>
        <w:instrText xml:space="preserve"> _</w:instrText>
      </w:r>
      <w:r w:rsidRPr="00F65040">
        <w:rPr>
          <w:rStyle w:val="af7"/>
          <w:rFonts w:eastAsia="Guttman Hodes" w:hint="cs"/>
        </w:rPr>
        <w:instrText>Ref64019685 \r \h</w:instrText>
      </w:r>
      <w:r w:rsidRPr="00F65040">
        <w:rPr>
          <w:rStyle w:val="af7"/>
          <w:rFonts w:eastAsia="Guttman Hodes"/>
          <w:rtl/>
        </w:rPr>
        <w:instrText xml:space="preserve"> </w:instrText>
      </w:r>
      <w:r w:rsidRPr="00F65040">
        <w:rPr>
          <w:rStyle w:val="af7"/>
          <w:rFonts w:eastAsia="Guttman Hodes"/>
          <w:rtl/>
        </w:rPr>
      </w:r>
      <w:r w:rsidRPr="00F65040">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F65040">
        <w:rPr>
          <w:rStyle w:val="af7"/>
          <w:rFonts w:eastAsia="Guttman Hodes"/>
          <w:rtl/>
        </w:rPr>
        <w:fldChar w:fldCharType="end"/>
      </w:r>
      <w:r>
        <w:rPr>
          <w:rFonts w:hint="cs"/>
          <w:rtl/>
        </w:rPr>
        <w:t>.</w:t>
      </w:r>
      <w:bookmarkEnd w:id="14553"/>
    </w:p>
    <w:p w:rsidR="00F4065E" w:rsidRPr="008707A3" w:rsidRDefault="00F4065E" w:rsidP="00F4065E">
      <w:pPr>
        <w:pStyle w:val="a3"/>
      </w:pPr>
      <w:bookmarkStart w:id="14556" w:name="_Toc64024628"/>
      <w:bookmarkStart w:id="14557" w:name="_Toc64036023"/>
      <w:bookmarkStart w:id="14558" w:name="_Toc64148057"/>
      <w:bookmarkStart w:id="14559" w:name="_Toc64205653"/>
      <w:bookmarkStart w:id="14560" w:name="_Toc64209333"/>
      <w:r>
        <w:rPr>
          <w:rFonts w:hint="cs"/>
          <w:rtl/>
        </w:rPr>
        <w:t>דברי רבינו יונה דמשמע מדברי רבא בר שרשום שרק לאחר אכילת הפירות יהיה נאמן במיגו</w:t>
      </w:r>
      <w:bookmarkEnd w:id="14556"/>
      <w:bookmarkEnd w:id="14557"/>
      <w:bookmarkEnd w:id="14558"/>
      <w:bookmarkEnd w:id="14559"/>
      <w:bookmarkEnd w:id="14560"/>
    </w:p>
    <w:p w:rsidR="00F4065E" w:rsidRDefault="00F4065E" w:rsidP="007E4E81">
      <w:pPr>
        <w:pStyle w:val="a0"/>
        <w:rPr>
          <w:rtl/>
        </w:rPr>
      </w:pPr>
      <w:r>
        <w:rPr>
          <w:rFonts w:hint="cs"/>
          <w:rtl/>
        </w:rPr>
        <w:t>וכתב</w:t>
      </w:r>
      <w:r w:rsidRPr="004F2FA4">
        <w:rPr>
          <w:rStyle w:val="af9"/>
          <w:rFonts w:hint="cs"/>
          <w:rtl/>
        </w:rPr>
        <w:t xml:space="preserve"> רבינו יונה </w:t>
      </w:r>
      <w:r>
        <w:rPr>
          <w:rFonts w:hint="cs"/>
          <w:rtl/>
        </w:rPr>
        <w:t>דמהא דאמר רבא בר שרשום שאם יחזיר את הקרקע יתחייב שבועה</w:t>
      </w:r>
      <w:r w:rsidRPr="003E05A0">
        <w:rPr>
          <w:rFonts w:hint="cs"/>
          <w:rtl/>
        </w:rPr>
        <w:t xml:space="preserve">, ולכן רצה לאכול את הפירות בשיעור החוב, משמע דרק לאחר שאכל את הפירות בשיעור החוב, יהיה נאמן במיגו, </w:t>
      </w:r>
      <w:r w:rsidRPr="003E05A0">
        <w:rPr>
          <w:rStyle w:val="afb"/>
          <w:rFonts w:hint="cs"/>
          <w:rtl/>
        </w:rPr>
        <w:t xml:space="preserve">[אבל אם היה בא לגבות בשטרו במיגו שהיה אומר לקוחה היא בידי לא היה נאמן, לפוטרו מהשבועה, אעפ"י שהוא משיב אבידה], </w:t>
      </w:r>
      <w:r w:rsidRPr="003E05A0">
        <w:rPr>
          <w:rFonts w:hint="cs"/>
          <w:rtl/>
        </w:rPr>
        <w:t xml:space="preserve">ועי' במה שביארו </w:t>
      </w:r>
      <w:r w:rsidRPr="003E05A0">
        <w:rPr>
          <w:rStyle w:val="af9"/>
          <w:rFonts w:hint="cs"/>
          <w:rtl/>
        </w:rPr>
        <w:t>המהרי"ט</w:t>
      </w:r>
      <w:r w:rsidRPr="003E05A0">
        <w:rPr>
          <w:rFonts w:hint="cs"/>
          <w:rtl/>
        </w:rPr>
        <w:t xml:space="preserve"> </w:t>
      </w:r>
      <w:r w:rsidRPr="0050743A">
        <w:rPr>
          <w:rStyle w:val="af7"/>
          <w:rFonts w:eastAsia="Guttman Hodes" w:hint="cs"/>
          <w:rtl/>
        </w:rPr>
        <w:t xml:space="preserve">(עי' אות </w:t>
      </w:r>
      <w:r w:rsidRPr="0050743A">
        <w:rPr>
          <w:rStyle w:val="af7"/>
          <w:rFonts w:eastAsia="Guttman Hodes"/>
          <w:rtl/>
        </w:rPr>
        <w:fldChar w:fldCharType="begin"/>
      </w:r>
      <w:r w:rsidRPr="0050743A">
        <w:rPr>
          <w:rStyle w:val="af7"/>
          <w:rFonts w:eastAsia="Guttman Hodes"/>
          <w:rtl/>
        </w:rPr>
        <w:instrText xml:space="preserve"> </w:instrText>
      </w:r>
      <w:r w:rsidRPr="0050743A">
        <w:rPr>
          <w:rStyle w:val="af7"/>
          <w:rFonts w:eastAsia="Guttman Hodes" w:hint="cs"/>
        </w:rPr>
        <w:instrText>REF</w:instrText>
      </w:r>
      <w:r w:rsidRPr="0050743A">
        <w:rPr>
          <w:rStyle w:val="af7"/>
          <w:rFonts w:eastAsia="Guttman Hodes" w:hint="cs"/>
          <w:rtl/>
        </w:rPr>
        <w:instrText xml:space="preserve"> _</w:instrText>
      </w:r>
      <w:r w:rsidRPr="0050743A">
        <w:rPr>
          <w:rStyle w:val="af7"/>
          <w:rFonts w:eastAsia="Guttman Hodes" w:hint="cs"/>
        </w:rPr>
        <w:instrText>Ref64022853 \r \h</w:instrText>
      </w:r>
      <w:r w:rsidRPr="0050743A">
        <w:rPr>
          <w:rStyle w:val="af7"/>
          <w:rFonts w:eastAsia="Guttman Hodes"/>
          <w:rtl/>
        </w:rPr>
        <w:instrText xml:space="preserve"> </w:instrText>
      </w:r>
      <w:r w:rsidRPr="0050743A">
        <w:rPr>
          <w:rStyle w:val="af7"/>
          <w:rFonts w:eastAsia="Guttman Hodes"/>
          <w:rtl/>
        </w:rPr>
      </w:r>
      <w:r w:rsidRPr="0050743A">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50743A">
        <w:rPr>
          <w:rStyle w:val="af7"/>
          <w:rFonts w:eastAsia="Guttman Hodes"/>
          <w:rtl/>
        </w:rPr>
        <w:fldChar w:fldCharType="end"/>
      </w:r>
      <w:r w:rsidRPr="003E05A0">
        <w:rPr>
          <w:rFonts w:hint="cs"/>
          <w:rtl/>
        </w:rPr>
        <w:t xml:space="preserve"> </w:t>
      </w:r>
      <w:r w:rsidRPr="003E05A0">
        <w:rPr>
          <w:rStyle w:val="af9"/>
          <w:rFonts w:hint="cs"/>
          <w:rtl/>
        </w:rPr>
        <w:t>והש"ך</w:t>
      </w:r>
      <w:r w:rsidRPr="003E05A0">
        <w:rPr>
          <w:rFonts w:hint="cs"/>
          <w:rtl/>
        </w:rPr>
        <w:t xml:space="preserve"> </w:t>
      </w:r>
      <w:r w:rsidRPr="0050743A">
        <w:rPr>
          <w:rStyle w:val="af7"/>
          <w:rFonts w:eastAsia="Guttman Hodes" w:hint="cs"/>
          <w:rtl/>
        </w:rPr>
        <w:t xml:space="preserve">(עי' אות </w:t>
      </w:r>
      <w:r w:rsidRPr="0050743A">
        <w:rPr>
          <w:rStyle w:val="af7"/>
          <w:rFonts w:eastAsia="Guttman Hodes"/>
          <w:rtl/>
        </w:rPr>
        <w:fldChar w:fldCharType="begin"/>
      </w:r>
      <w:r w:rsidRPr="0050743A">
        <w:rPr>
          <w:rStyle w:val="af7"/>
          <w:rFonts w:eastAsia="Guttman Hodes"/>
          <w:rtl/>
        </w:rPr>
        <w:instrText xml:space="preserve"> </w:instrText>
      </w:r>
      <w:r w:rsidRPr="0050743A">
        <w:rPr>
          <w:rStyle w:val="af7"/>
          <w:rFonts w:eastAsia="Guttman Hodes" w:hint="cs"/>
        </w:rPr>
        <w:instrText>REF</w:instrText>
      </w:r>
      <w:r w:rsidRPr="0050743A">
        <w:rPr>
          <w:rStyle w:val="af7"/>
          <w:rFonts w:eastAsia="Guttman Hodes" w:hint="cs"/>
          <w:rtl/>
        </w:rPr>
        <w:instrText xml:space="preserve"> _</w:instrText>
      </w:r>
      <w:r w:rsidRPr="0050743A">
        <w:rPr>
          <w:rStyle w:val="af7"/>
          <w:rFonts w:eastAsia="Guttman Hodes" w:hint="cs"/>
        </w:rPr>
        <w:instrText>Ref64140366 \r \h</w:instrText>
      </w:r>
      <w:r w:rsidRPr="0050743A">
        <w:rPr>
          <w:rStyle w:val="af7"/>
          <w:rFonts w:eastAsia="Guttman Hodes"/>
          <w:rtl/>
        </w:rPr>
        <w:instrText xml:space="preserve"> </w:instrText>
      </w:r>
      <w:r w:rsidRPr="0050743A">
        <w:rPr>
          <w:rStyle w:val="af7"/>
          <w:rFonts w:eastAsia="Guttman Hodes"/>
          <w:rtl/>
        </w:rPr>
      </w:r>
      <w:r w:rsidRPr="0050743A">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50743A">
        <w:rPr>
          <w:rStyle w:val="af7"/>
          <w:rFonts w:eastAsia="Guttman Hodes"/>
          <w:rtl/>
        </w:rPr>
        <w:fldChar w:fldCharType="end"/>
      </w:r>
      <w:r w:rsidRPr="003E05A0">
        <w:rPr>
          <w:rFonts w:hint="cs"/>
          <w:rtl/>
        </w:rPr>
        <w:t xml:space="preserve"> בדברי </w:t>
      </w:r>
      <w:r w:rsidRPr="003E05A0">
        <w:rPr>
          <w:rStyle w:val="af9"/>
          <w:rFonts w:hint="cs"/>
          <w:rtl/>
        </w:rPr>
        <w:t>רבינו יונה</w:t>
      </w:r>
      <w:r w:rsidRPr="003E05A0">
        <w:rPr>
          <w:rFonts w:hint="cs"/>
          <w:rtl/>
        </w:rPr>
        <w:t>.</w:t>
      </w:r>
      <w:bookmarkEnd w:id="14554"/>
    </w:p>
    <w:p w:rsidR="00F4065E" w:rsidRDefault="00F4065E" w:rsidP="00F4065E">
      <w:pPr>
        <w:pStyle w:val="1"/>
        <w:rPr>
          <w:rtl/>
        </w:rPr>
      </w:pPr>
      <w:bookmarkStart w:id="14561" w:name="_Toc63675682"/>
      <w:bookmarkStart w:id="14562" w:name="_Toc63703851"/>
      <w:bookmarkStart w:id="14563" w:name="_Toc63714151"/>
      <w:bookmarkStart w:id="14564" w:name="_Toc63854264"/>
      <w:bookmarkStart w:id="14565" w:name="_Toc63942247"/>
      <w:bookmarkStart w:id="14566" w:name="_Toc63975474"/>
      <w:bookmarkStart w:id="14567" w:name="_Toc63986514"/>
      <w:bookmarkStart w:id="14568" w:name="_Toc64024629"/>
      <w:bookmarkStart w:id="14569" w:name="_Toc64036024"/>
      <w:bookmarkStart w:id="14570" w:name="_Toc64148058"/>
      <w:bookmarkStart w:id="14571" w:name="_Toc64205654"/>
      <w:bookmarkStart w:id="14572" w:name="_Toc64209334"/>
      <w:bookmarkEnd w:id="14555"/>
      <w:r w:rsidRPr="003E05A0">
        <w:rPr>
          <w:rFonts w:hint="cs"/>
          <w:rtl/>
        </w:rPr>
        <w:t>תירוצי רבינו יונה</w:t>
      </w:r>
      <w:bookmarkEnd w:id="14561"/>
      <w:bookmarkEnd w:id="14562"/>
      <w:bookmarkEnd w:id="14563"/>
      <w:bookmarkEnd w:id="14564"/>
      <w:r w:rsidRPr="003E05A0">
        <w:rPr>
          <w:rFonts w:hint="cs"/>
          <w:rtl/>
        </w:rPr>
        <w:t xml:space="preserve"> דאף אחר שאכל לא</w:t>
      </w:r>
      <w:r>
        <w:rPr>
          <w:rFonts w:hint="cs"/>
          <w:rtl/>
        </w:rPr>
        <w:t xml:space="preserve"> חשיב כמשיב אבידה</w:t>
      </w:r>
      <w:bookmarkEnd w:id="14565"/>
      <w:bookmarkEnd w:id="14566"/>
      <w:bookmarkEnd w:id="14567"/>
      <w:bookmarkEnd w:id="14568"/>
      <w:bookmarkEnd w:id="14569"/>
      <w:bookmarkEnd w:id="14570"/>
      <w:bookmarkEnd w:id="14571"/>
      <w:bookmarkEnd w:id="14572"/>
    </w:p>
    <w:p w:rsidR="00F4065E" w:rsidRPr="0076218D" w:rsidRDefault="00F4065E" w:rsidP="00F4065E">
      <w:pPr>
        <w:pStyle w:val="a3"/>
        <w:rPr>
          <w:rtl/>
        </w:rPr>
      </w:pPr>
      <w:bookmarkStart w:id="14573" w:name="_Toc64024630"/>
      <w:bookmarkStart w:id="14574" w:name="_Toc64036025"/>
      <w:bookmarkStart w:id="14575" w:name="_Toc64148059"/>
      <w:bookmarkStart w:id="14576" w:name="_Toc64205655"/>
      <w:bookmarkStart w:id="14577" w:name="_Toc64209335"/>
      <w:r>
        <w:rPr>
          <w:rFonts w:hint="cs"/>
          <w:rtl/>
        </w:rPr>
        <w:t>התי' הא' ברבינו יונה דאינו נאמן במיגו בלא שבועה אף שיש לו שטר דהוא מיגו להוציא</w:t>
      </w:r>
      <w:bookmarkEnd w:id="14573"/>
      <w:bookmarkEnd w:id="14574"/>
      <w:bookmarkEnd w:id="14575"/>
      <w:bookmarkEnd w:id="14576"/>
      <w:bookmarkEnd w:id="14577"/>
      <w:r>
        <w:rPr>
          <w:rFonts w:hint="cs"/>
          <w:rtl/>
        </w:rPr>
        <w:t xml:space="preserve"> </w:t>
      </w:r>
    </w:p>
    <w:p w:rsidR="00F4065E" w:rsidRDefault="00F4065E" w:rsidP="007E4E81">
      <w:pPr>
        <w:pStyle w:val="a0"/>
        <w:rPr>
          <w:rtl/>
        </w:rPr>
      </w:pPr>
      <w:bookmarkStart w:id="14578" w:name="_Ref64020654"/>
      <w:bookmarkStart w:id="14579" w:name="_Ref63589786"/>
      <w:r>
        <w:rPr>
          <w:rFonts w:hint="cs"/>
          <w:rtl/>
        </w:rPr>
        <w:t xml:space="preserve">ותירץ </w:t>
      </w:r>
      <w:r w:rsidRPr="00BA2CAF">
        <w:rPr>
          <w:rStyle w:val="af9"/>
          <w:rFonts w:hint="cs"/>
          <w:rtl/>
        </w:rPr>
        <w:t>רבינו</w:t>
      </w:r>
      <w:r>
        <w:rPr>
          <w:rFonts w:hint="cs"/>
          <w:rtl/>
        </w:rPr>
        <w:t xml:space="preserve"> </w:t>
      </w:r>
      <w:r w:rsidRPr="00BA2CAF">
        <w:rPr>
          <w:rStyle w:val="af9"/>
          <w:rFonts w:hint="cs"/>
          <w:rtl/>
        </w:rPr>
        <w:t>יונה</w:t>
      </w:r>
      <w:r>
        <w:rPr>
          <w:rFonts w:hint="cs"/>
          <w:rtl/>
        </w:rPr>
        <w:t xml:space="preserve"> </w:t>
      </w:r>
      <w:r w:rsidRPr="001D13BB">
        <w:rPr>
          <w:rStyle w:val="af7"/>
          <w:rFonts w:eastAsia="Guttman Hodes" w:hint="cs"/>
          <w:rtl/>
        </w:rPr>
        <w:t>(ד"ה כי)</w:t>
      </w:r>
      <w:r>
        <w:rPr>
          <w:rFonts w:hint="cs"/>
          <w:rtl/>
        </w:rPr>
        <w:t xml:space="preserve"> דמיגו להוציא לא אמרינן, ואף שיש לו שטר מ"מ כיון שאינו יכול ליטול בלא שבועה, אינו נאמן להוציא במיגו בלי שבועה.</w:t>
      </w:r>
      <w:bookmarkEnd w:id="14578"/>
    </w:p>
    <w:p w:rsidR="00F4065E" w:rsidRPr="009D7440" w:rsidRDefault="00F4065E" w:rsidP="00F4065E">
      <w:pPr>
        <w:pStyle w:val="a3"/>
      </w:pPr>
      <w:bookmarkStart w:id="14580" w:name="_Toc64024631"/>
      <w:bookmarkStart w:id="14581" w:name="_Toc64036026"/>
      <w:bookmarkStart w:id="14582" w:name="_Toc64148060"/>
      <w:bookmarkStart w:id="14583" w:name="_Toc64205656"/>
      <w:bookmarkStart w:id="14584" w:name="_Toc64209336"/>
      <w:r>
        <w:rPr>
          <w:rFonts w:hint="cs"/>
          <w:rtl/>
        </w:rPr>
        <w:t>התי' הב' ברבינו יונה דאף אי מהני מיגו להוציא לגאונים חייב שבועה במיגו אף במשיב אבידה</w:t>
      </w:r>
      <w:bookmarkEnd w:id="14580"/>
      <w:bookmarkEnd w:id="14581"/>
      <w:bookmarkEnd w:id="14582"/>
      <w:bookmarkEnd w:id="14583"/>
      <w:bookmarkEnd w:id="14584"/>
      <w:r>
        <w:rPr>
          <w:rFonts w:hint="cs"/>
          <w:rtl/>
        </w:rPr>
        <w:t xml:space="preserve"> </w:t>
      </w:r>
    </w:p>
    <w:p w:rsidR="00F4065E" w:rsidRDefault="00F4065E" w:rsidP="007E4E81">
      <w:pPr>
        <w:pStyle w:val="a0"/>
        <w:rPr>
          <w:rtl/>
        </w:rPr>
      </w:pPr>
      <w:bookmarkStart w:id="14585" w:name="_Ref64020298"/>
      <w:r>
        <w:rPr>
          <w:rFonts w:hint="cs"/>
          <w:rtl/>
        </w:rPr>
        <w:t xml:space="preserve">אך כתב </w:t>
      </w:r>
      <w:r w:rsidRPr="00BA2CAF">
        <w:rPr>
          <w:rStyle w:val="af9"/>
          <w:rFonts w:hint="cs"/>
          <w:rtl/>
        </w:rPr>
        <w:t>רבינו</w:t>
      </w:r>
      <w:r>
        <w:rPr>
          <w:rFonts w:hint="cs"/>
          <w:rtl/>
        </w:rPr>
        <w:t xml:space="preserve"> </w:t>
      </w:r>
      <w:r w:rsidRPr="00BA2CAF">
        <w:rPr>
          <w:rStyle w:val="af9"/>
          <w:rFonts w:hint="cs"/>
          <w:rtl/>
        </w:rPr>
        <w:t>יונה</w:t>
      </w:r>
      <w:r>
        <w:rPr>
          <w:rFonts w:hint="cs"/>
          <w:rtl/>
        </w:rPr>
        <w:t xml:space="preserve"> דא"א להוכיח מזה דמיגו להוציא לא אמרינן, דאפש"ל דאם לא היה אוכל את הפירות לא היה נאמן בלא שבועה, דלא מהני מיגו ליטול בלא שבועה, אף במשיב אבידה, כדעת </w:t>
      </w:r>
      <w:r w:rsidRPr="009865D7">
        <w:rPr>
          <w:rStyle w:val="af9"/>
          <w:rFonts w:hint="cs"/>
          <w:rtl/>
        </w:rPr>
        <w:t>הגאונים</w:t>
      </w:r>
      <w:r>
        <w:rPr>
          <w:rFonts w:hint="cs"/>
          <w:rtl/>
        </w:rPr>
        <w:t xml:space="preserve"> דהמלוה על המשכון והמשכון שוה מנה וטוען </w:t>
      </w:r>
      <w:r>
        <w:rPr>
          <w:rFonts w:hint="cs"/>
          <w:rtl/>
        </w:rPr>
        <w:t xml:space="preserve">שחייב לו חמישים, דהוא נשבע ונוטל אף שאין עדים על המשכון, והוא כמשיב אבידה דהא היה יכול לטעון להד"ם, ולכן רצה רבא בר שרשום להמתין עד שיאכל את הפירות, וכ"כ </w:t>
      </w:r>
      <w:r w:rsidRPr="0091500E">
        <w:rPr>
          <w:rStyle w:val="af9"/>
          <w:rFonts w:hint="cs"/>
          <w:rtl/>
        </w:rPr>
        <w:t>הרמב"ן</w:t>
      </w:r>
      <w:r>
        <w:rPr>
          <w:rFonts w:hint="cs"/>
          <w:rtl/>
        </w:rPr>
        <w:t xml:space="preserve"> </w:t>
      </w:r>
      <w:r w:rsidRPr="0091500E">
        <w:rPr>
          <w:rStyle w:val="af7"/>
          <w:rFonts w:eastAsia="Guttman Hodes" w:hint="cs"/>
          <w:rtl/>
        </w:rPr>
        <w:t xml:space="preserve">(עי' אות </w:t>
      </w:r>
      <w:r w:rsidRPr="0091500E">
        <w:rPr>
          <w:rStyle w:val="af7"/>
          <w:rFonts w:eastAsia="Guttman Hodes"/>
          <w:rtl/>
        </w:rPr>
        <w:fldChar w:fldCharType="begin"/>
      </w:r>
      <w:r w:rsidRPr="0091500E">
        <w:rPr>
          <w:rStyle w:val="af7"/>
          <w:rFonts w:eastAsia="Guttman Hodes"/>
          <w:rtl/>
        </w:rPr>
        <w:instrText xml:space="preserve"> </w:instrText>
      </w:r>
      <w:r w:rsidRPr="0091500E">
        <w:rPr>
          <w:rStyle w:val="af7"/>
          <w:rFonts w:eastAsia="Guttman Hodes" w:hint="cs"/>
        </w:rPr>
        <w:instrText>REF</w:instrText>
      </w:r>
      <w:r w:rsidRPr="0091500E">
        <w:rPr>
          <w:rStyle w:val="af7"/>
          <w:rFonts w:eastAsia="Guttman Hodes" w:hint="cs"/>
          <w:rtl/>
        </w:rPr>
        <w:instrText xml:space="preserve"> _</w:instrText>
      </w:r>
      <w:r w:rsidRPr="0091500E">
        <w:rPr>
          <w:rStyle w:val="af7"/>
          <w:rFonts w:eastAsia="Guttman Hodes" w:hint="cs"/>
        </w:rPr>
        <w:instrText>Ref64020315 \r \h</w:instrText>
      </w:r>
      <w:r w:rsidRPr="0091500E">
        <w:rPr>
          <w:rStyle w:val="af7"/>
          <w:rFonts w:eastAsia="Guttman Hodes"/>
          <w:rtl/>
        </w:rPr>
        <w:instrText xml:space="preserve"> </w:instrText>
      </w:r>
      <w:r w:rsidRPr="0091500E">
        <w:rPr>
          <w:rStyle w:val="af7"/>
          <w:rFonts w:eastAsia="Guttman Hodes"/>
          <w:rtl/>
        </w:rPr>
      </w:r>
      <w:r w:rsidRPr="0091500E">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91500E">
        <w:rPr>
          <w:rStyle w:val="af7"/>
          <w:rFonts w:eastAsia="Guttman Hodes"/>
          <w:rtl/>
        </w:rPr>
        <w:fldChar w:fldCharType="end"/>
      </w:r>
      <w:r w:rsidRPr="0091500E">
        <w:rPr>
          <w:rStyle w:val="af7"/>
          <w:rFonts w:eastAsia="Guttman Hodes" w:hint="cs"/>
          <w:rtl/>
        </w:rPr>
        <w:t>.</w:t>
      </w:r>
      <w:bookmarkEnd w:id="14579"/>
      <w:bookmarkEnd w:id="14585"/>
    </w:p>
    <w:p w:rsidR="00F4065E" w:rsidRDefault="00F4065E" w:rsidP="00F4065E">
      <w:pPr>
        <w:pStyle w:val="a3"/>
        <w:rPr>
          <w:rtl/>
        </w:rPr>
      </w:pPr>
      <w:bookmarkStart w:id="14586" w:name="_Toc64024632"/>
      <w:bookmarkStart w:id="14587" w:name="_Toc64036027"/>
      <w:bookmarkStart w:id="14588" w:name="_Toc64148061"/>
      <w:bookmarkStart w:id="14589" w:name="_Toc64205657"/>
      <w:bookmarkStart w:id="14590" w:name="_Toc64209337"/>
      <w:r>
        <w:rPr>
          <w:rFonts w:hint="cs"/>
          <w:rtl/>
        </w:rPr>
        <w:t>התי' הג' ברבינו יונה דכשהודה הקרקע בחזקת היתומים ותביעת החוב הוא מיגו מממון לממון</w:t>
      </w:r>
      <w:bookmarkEnd w:id="14586"/>
      <w:bookmarkEnd w:id="14587"/>
      <w:bookmarkEnd w:id="14588"/>
      <w:bookmarkEnd w:id="14589"/>
      <w:bookmarkEnd w:id="14590"/>
    </w:p>
    <w:p w:rsidR="00F4065E" w:rsidRPr="00A82F21" w:rsidRDefault="00F4065E" w:rsidP="007E4E81">
      <w:pPr>
        <w:pStyle w:val="a0"/>
        <w:rPr>
          <w:rtl/>
        </w:rPr>
      </w:pPr>
      <w:bookmarkStart w:id="14591" w:name="_Ref63589778"/>
      <w:r>
        <w:rPr>
          <w:rFonts w:hint="cs"/>
          <w:rtl/>
        </w:rPr>
        <w:t xml:space="preserve">ועוד תירץ </w:t>
      </w:r>
      <w:r w:rsidRPr="008628AE">
        <w:rPr>
          <w:rStyle w:val="af9"/>
          <w:rFonts w:hint="cs"/>
          <w:rtl/>
        </w:rPr>
        <w:t>רבינו</w:t>
      </w:r>
      <w:r>
        <w:rPr>
          <w:rFonts w:hint="cs"/>
          <w:rtl/>
        </w:rPr>
        <w:t xml:space="preserve"> </w:t>
      </w:r>
      <w:r w:rsidRPr="008628AE">
        <w:rPr>
          <w:rStyle w:val="af9"/>
          <w:rFonts w:hint="cs"/>
          <w:rtl/>
        </w:rPr>
        <w:t>יונה</w:t>
      </w:r>
      <w:r>
        <w:rPr>
          <w:rFonts w:hint="cs"/>
          <w:rtl/>
        </w:rPr>
        <w:t xml:space="preserve"> דאי היה רבא בר שרשום מחזיר את הקרקע לפני שאכל את הפירות, וטוען שיש לו חוב בשטר, לא היה לו כל מיגו, דלא מהני מיגו בממון אחד לזכות ע"י בממון אחר, ורק באותו ממון מהני מיגו בטענה אחת, ע"י שהיה יכול לזכות בו בטענה אחרת, וא"כ כל שהיה מודה רבא בר שרשום שהקרקע היא של היתומים, ממילא הקרקע בחזקת היתומים, וכשתובע את החוב, אינו נאמן במיגו שהיה יכול לומר שהקרקע היא לקוחה בידו, </w:t>
      </w:r>
      <w:r w:rsidRPr="00D43605">
        <w:rPr>
          <w:rFonts w:hint="cs"/>
          <w:rtl/>
        </w:rPr>
        <w:t xml:space="preserve">ועי' במה שביאר </w:t>
      </w:r>
      <w:r w:rsidRPr="00D43605">
        <w:rPr>
          <w:rStyle w:val="af9"/>
          <w:rFonts w:hint="cs"/>
          <w:rtl/>
        </w:rPr>
        <w:t>המהרי"ט</w:t>
      </w:r>
      <w:r w:rsidRPr="00D43605">
        <w:rPr>
          <w:rFonts w:hint="cs"/>
          <w:rtl/>
        </w:rPr>
        <w:t xml:space="preserve"> </w:t>
      </w:r>
      <w:r w:rsidRPr="00D43605">
        <w:rPr>
          <w:rStyle w:val="af7"/>
          <w:rFonts w:eastAsia="Guttman Hodes" w:hint="cs"/>
          <w:rtl/>
        </w:rPr>
        <w:t xml:space="preserve">(ח"א סי' קי"ב ד"ה וסברא זו) </w:t>
      </w:r>
      <w:r>
        <w:rPr>
          <w:rFonts w:hint="cs"/>
          <w:rtl/>
        </w:rPr>
        <w:t>ד</w:t>
      </w:r>
      <w:r w:rsidRPr="00D43605">
        <w:rPr>
          <w:rFonts w:hint="cs"/>
          <w:rtl/>
        </w:rPr>
        <w:t xml:space="preserve">סברת </w:t>
      </w:r>
      <w:r w:rsidRPr="00D43605">
        <w:rPr>
          <w:rStyle w:val="af9"/>
          <w:rFonts w:hint="cs"/>
          <w:rtl/>
        </w:rPr>
        <w:t>רבינו יונה</w:t>
      </w:r>
      <w:r>
        <w:rPr>
          <w:rFonts w:hint="cs"/>
          <w:rtl/>
        </w:rPr>
        <w:t xml:space="preserve"> דלא אמרינן מיגו מממון לממון, הוא כיון דדמי </w:t>
      </w:r>
      <w:r w:rsidRPr="00A82F21">
        <w:rPr>
          <w:rFonts w:hint="cs"/>
          <w:rtl/>
        </w:rPr>
        <w:t>למיגו להוציא</w:t>
      </w:r>
      <w:r w:rsidRPr="00A82F21">
        <w:rPr>
          <w:rStyle w:val="af9"/>
          <w:rFonts w:hint="cs"/>
          <w:rtl/>
        </w:rPr>
        <w:t>, והסמ"ע</w:t>
      </w:r>
      <w:r w:rsidRPr="00A82F21">
        <w:rPr>
          <w:rFonts w:hint="cs"/>
          <w:rtl/>
        </w:rPr>
        <w:t xml:space="preserve"> </w:t>
      </w:r>
      <w:r w:rsidRPr="00A82F21">
        <w:rPr>
          <w:rStyle w:val="af7"/>
          <w:rFonts w:eastAsia="Guttman Hodes" w:hint="cs"/>
          <w:rtl/>
        </w:rPr>
        <w:t>(סי' ק"נ סק"ט)</w:t>
      </w:r>
      <w:r w:rsidRPr="00A82F21">
        <w:rPr>
          <w:rFonts w:hint="cs"/>
          <w:rtl/>
        </w:rPr>
        <w:t xml:space="preserve"> כתב דכוונת </w:t>
      </w:r>
      <w:r w:rsidRPr="00594B7A">
        <w:rPr>
          <w:rStyle w:val="af9"/>
          <w:rFonts w:hint="cs"/>
          <w:rtl/>
        </w:rPr>
        <w:t>רבינו יונה</w:t>
      </w:r>
      <w:r w:rsidRPr="00A82F21">
        <w:rPr>
          <w:rFonts w:hint="cs"/>
          <w:rtl/>
        </w:rPr>
        <w:t xml:space="preserve"> לדין מיגו להוציא</w:t>
      </w:r>
      <w:r>
        <w:rPr>
          <w:rFonts w:hint="cs"/>
          <w:rtl/>
        </w:rPr>
        <w:t>,</w:t>
      </w:r>
      <w:r w:rsidRPr="00A82F21">
        <w:rPr>
          <w:rFonts w:hint="cs"/>
          <w:rtl/>
        </w:rPr>
        <w:t xml:space="preserve"> </w:t>
      </w:r>
      <w:r w:rsidRPr="00A82F21">
        <w:rPr>
          <w:rStyle w:val="afb"/>
          <w:rFonts w:hint="cs"/>
          <w:rtl/>
        </w:rPr>
        <w:t>[א</w:t>
      </w:r>
      <w:r>
        <w:rPr>
          <w:rStyle w:val="afb"/>
          <w:rFonts w:hint="cs"/>
          <w:rtl/>
        </w:rPr>
        <w:t xml:space="preserve">ך כתב </w:t>
      </w:r>
      <w:r w:rsidRPr="001F33B5">
        <w:rPr>
          <w:rStyle w:val="affa"/>
          <w:rFonts w:hint="cs"/>
          <w:rtl/>
        </w:rPr>
        <w:t>הקוב"ש</w:t>
      </w:r>
      <w:r>
        <w:rPr>
          <w:rStyle w:val="afb"/>
          <w:rFonts w:hint="cs"/>
          <w:rtl/>
        </w:rPr>
        <w:t xml:space="preserve"> </w:t>
      </w:r>
      <w:r w:rsidRPr="001F33B5">
        <w:rPr>
          <w:rStyle w:val="aff6"/>
          <w:rFonts w:hint="cs"/>
          <w:rtl/>
        </w:rPr>
        <w:t>(או' ק"מ</w:t>
      </w:r>
      <w:r>
        <w:rPr>
          <w:rStyle w:val="aff6"/>
          <w:rFonts w:hint="cs"/>
          <w:rtl/>
        </w:rPr>
        <w:t>)</w:t>
      </w:r>
      <w:r>
        <w:rPr>
          <w:rStyle w:val="affa"/>
          <w:rFonts w:hint="cs"/>
          <w:rtl/>
        </w:rPr>
        <w:t xml:space="preserve"> ד</w:t>
      </w:r>
      <w:r w:rsidRPr="0095545D">
        <w:rPr>
          <w:rStyle w:val="affa"/>
          <w:rFonts w:hint="cs"/>
          <w:rtl/>
        </w:rPr>
        <w:t>ברבינו יונה</w:t>
      </w:r>
      <w:r w:rsidRPr="00A82F21">
        <w:rPr>
          <w:rStyle w:val="afb"/>
          <w:rFonts w:hint="cs"/>
          <w:rtl/>
        </w:rPr>
        <w:t xml:space="preserve"> </w:t>
      </w:r>
      <w:r w:rsidRPr="0095545D">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Ref64020298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לט)</w:t>
      </w:r>
      <w:r>
        <w:rPr>
          <w:rStyle w:val="aff6"/>
          <w:rtl/>
        </w:rPr>
        <w:fldChar w:fldCharType="end"/>
      </w:r>
      <w:r>
        <w:rPr>
          <w:rStyle w:val="aff6"/>
          <w:rFonts w:hint="cs"/>
          <w:rtl/>
        </w:rPr>
        <w:t xml:space="preserve"> </w:t>
      </w:r>
      <w:r>
        <w:rPr>
          <w:rStyle w:val="afb"/>
          <w:rFonts w:hint="cs"/>
          <w:rtl/>
        </w:rPr>
        <w:t>ל</w:t>
      </w:r>
      <w:r w:rsidRPr="00A82F21">
        <w:rPr>
          <w:rStyle w:val="afb"/>
          <w:rFonts w:hint="cs"/>
          <w:rtl/>
        </w:rPr>
        <w:t>פנינו מבואר ד</w:t>
      </w:r>
      <w:r>
        <w:rPr>
          <w:rStyle w:val="afb"/>
          <w:rFonts w:hint="cs"/>
          <w:rtl/>
        </w:rPr>
        <w:t>אין כוונתו ל</w:t>
      </w:r>
      <w:r w:rsidRPr="00A82F21">
        <w:rPr>
          <w:rStyle w:val="afb"/>
          <w:rFonts w:hint="cs"/>
          <w:rtl/>
        </w:rPr>
        <w:t>דין מיגו להוציא</w:t>
      </w:r>
      <w:r>
        <w:rPr>
          <w:rStyle w:val="afb"/>
          <w:rFonts w:hint="cs"/>
          <w:rtl/>
        </w:rPr>
        <w:t>, אלא לדין מיגו מממון לממון</w:t>
      </w:r>
      <w:r w:rsidRPr="00A82F21">
        <w:rPr>
          <w:rStyle w:val="afb"/>
          <w:rFonts w:hint="cs"/>
          <w:rtl/>
        </w:rPr>
        <w:t>],</w:t>
      </w:r>
      <w:r w:rsidRPr="00A82F21">
        <w:rPr>
          <w:rFonts w:hint="cs"/>
          <w:rtl/>
        </w:rPr>
        <w:t xml:space="preserve"> </w:t>
      </w:r>
      <w:r w:rsidRPr="005B3926">
        <w:rPr>
          <w:rFonts w:hint="cs"/>
          <w:rtl/>
        </w:rPr>
        <w:t xml:space="preserve">ועי' במה שביאר </w:t>
      </w:r>
      <w:r w:rsidRPr="005B3926">
        <w:rPr>
          <w:rStyle w:val="af9"/>
          <w:rFonts w:hint="cs"/>
          <w:rtl/>
        </w:rPr>
        <w:t>בשיעורי רבי שמואל</w:t>
      </w:r>
      <w:r w:rsidRPr="005B3926">
        <w:rPr>
          <w:rFonts w:hint="cs"/>
          <w:rtl/>
        </w:rPr>
        <w:t xml:space="preserve"> </w:t>
      </w:r>
      <w:r w:rsidRPr="005B3926">
        <w:rPr>
          <w:rStyle w:val="af7"/>
          <w:rFonts w:eastAsia="Guttman Hodes" w:hint="cs"/>
          <w:rtl/>
        </w:rPr>
        <w:t>(או' כ"</w:t>
      </w:r>
      <w:r>
        <w:rPr>
          <w:rStyle w:val="af7"/>
          <w:rFonts w:eastAsia="Guttman Hodes" w:hint="cs"/>
          <w:rtl/>
        </w:rPr>
        <w:t>ה</w:t>
      </w:r>
      <w:r w:rsidRPr="005B3926">
        <w:rPr>
          <w:rStyle w:val="af7"/>
          <w:rFonts w:eastAsia="Guttman Hodes" w:hint="cs"/>
          <w:rtl/>
        </w:rPr>
        <w:t xml:space="preserve"> ד"ה ויש)</w:t>
      </w:r>
      <w:r w:rsidRPr="005B3926">
        <w:rPr>
          <w:rFonts w:hint="cs"/>
          <w:rtl/>
        </w:rPr>
        <w:t xml:space="preserve"> בדברי </w:t>
      </w:r>
      <w:r w:rsidRPr="005B3926">
        <w:rPr>
          <w:rStyle w:val="af9"/>
          <w:rFonts w:hint="cs"/>
          <w:rtl/>
        </w:rPr>
        <w:t>רבינו יונה</w:t>
      </w:r>
      <w:r>
        <w:rPr>
          <w:rFonts w:hint="cs"/>
          <w:rtl/>
        </w:rPr>
        <w:t xml:space="preserve"> אמאי ל"מ מיגו מממון לממון לפטור משבועה</w:t>
      </w:r>
      <w:r w:rsidRPr="00A82F21">
        <w:rPr>
          <w:rFonts w:hint="cs"/>
          <w:rtl/>
        </w:rPr>
        <w:t>.</w:t>
      </w:r>
      <w:bookmarkEnd w:id="14591"/>
    </w:p>
    <w:p w:rsidR="00F4065E" w:rsidRPr="0054443A" w:rsidRDefault="00F4065E" w:rsidP="00F4065E">
      <w:pPr>
        <w:pStyle w:val="a3"/>
        <w:rPr>
          <w:rtl/>
        </w:rPr>
      </w:pPr>
      <w:bookmarkStart w:id="14592" w:name="_Toc64024633"/>
      <w:bookmarkStart w:id="14593" w:name="_Toc64036028"/>
      <w:bookmarkStart w:id="14594" w:name="_Toc64148062"/>
      <w:bookmarkStart w:id="14595" w:name="_Toc64205658"/>
      <w:bookmarkStart w:id="14596" w:name="_Toc64209338"/>
      <w:r>
        <w:rPr>
          <w:rFonts w:hint="cs"/>
          <w:rtl/>
        </w:rPr>
        <w:t>דברי רבינו יונה דבעיזי דאכלי חושלא נאמן לעכבם במשכון והקרקע בחזקת בעליה ואינה משכון</w:t>
      </w:r>
      <w:bookmarkEnd w:id="14592"/>
      <w:bookmarkEnd w:id="14593"/>
      <w:bookmarkEnd w:id="14594"/>
      <w:bookmarkEnd w:id="14595"/>
      <w:bookmarkEnd w:id="14596"/>
    </w:p>
    <w:p w:rsidR="00F4065E" w:rsidRDefault="00F4065E" w:rsidP="007E4E81">
      <w:pPr>
        <w:pStyle w:val="a0"/>
        <w:rPr>
          <w:rtl/>
        </w:rPr>
      </w:pPr>
      <w:bookmarkStart w:id="14597" w:name="_Ref63759532"/>
      <w:r>
        <w:rPr>
          <w:rFonts w:hint="cs"/>
          <w:rtl/>
        </w:rPr>
        <w:t xml:space="preserve">וכתב </w:t>
      </w:r>
      <w:r w:rsidRPr="008628AE">
        <w:rPr>
          <w:rStyle w:val="af9"/>
          <w:rFonts w:hint="cs"/>
          <w:rtl/>
        </w:rPr>
        <w:t>רבינו</w:t>
      </w:r>
      <w:r>
        <w:rPr>
          <w:rFonts w:hint="cs"/>
          <w:rtl/>
        </w:rPr>
        <w:t xml:space="preserve"> </w:t>
      </w:r>
      <w:r w:rsidRPr="008628AE">
        <w:rPr>
          <w:rStyle w:val="af9"/>
          <w:rFonts w:hint="cs"/>
          <w:rtl/>
        </w:rPr>
        <w:t>יונה</w:t>
      </w:r>
      <w:r>
        <w:rPr>
          <w:rFonts w:hint="cs"/>
          <w:rtl/>
        </w:rPr>
        <w:t xml:space="preserve"> </w:t>
      </w:r>
      <w:r w:rsidRPr="009D5104">
        <w:rPr>
          <w:rStyle w:val="af7"/>
          <w:rFonts w:eastAsia="Guttman Hodes" w:hint="cs"/>
          <w:rtl/>
        </w:rPr>
        <w:t>(סוד"ה כי)</w:t>
      </w:r>
      <w:r>
        <w:rPr>
          <w:rFonts w:hint="cs"/>
          <w:rtl/>
        </w:rPr>
        <w:t xml:space="preserve"> דלא דמי לגמ' לקמן </w:t>
      </w:r>
      <w:r w:rsidRPr="009D5104">
        <w:rPr>
          <w:rStyle w:val="af7"/>
          <w:rFonts w:eastAsia="Guttman Hodes" w:hint="cs"/>
          <w:rtl/>
        </w:rPr>
        <w:t>(לו.)</w:t>
      </w:r>
      <w:r>
        <w:rPr>
          <w:rFonts w:hint="cs"/>
          <w:rtl/>
        </w:rPr>
        <w:t xml:space="preserve"> בעיזי דאכלו חושלא, דנאמן עד כדי דמיהם כיון שהוא תופס את העיזים עצמם, ונאמן לעכבם בתורת משכון, במיגו דהיה טוען שהם שלו, אבל הכא אינו יכול לומר דהקרקע היא בידו במשכון, דהא קרקע בחזקת בעליה </w:t>
      </w:r>
      <w:r w:rsidRPr="0050743A">
        <w:rPr>
          <w:rFonts w:hint="cs"/>
          <w:rtl/>
        </w:rPr>
        <w:t>עומדת, ואינו תופס אותה בתורת משכון</w:t>
      </w:r>
      <w:r w:rsidRPr="0050743A">
        <w:rPr>
          <w:rStyle w:val="af1"/>
          <w:rtl/>
        </w:rPr>
        <w:footnoteReference w:id="103"/>
      </w:r>
      <w:r w:rsidRPr="0050743A">
        <w:rPr>
          <w:rFonts w:hint="cs"/>
          <w:rtl/>
        </w:rPr>
        <w:t xml:space="preserve">, ועי' במ"ש </w:t>
      </w:r>
      <w:r w:rsidRPr="0050743A">
        <w:rPr>
          <w:rStyle w:val="af9"/>
          <w:rFonts w:hint="cs"/>
          <w:rtl/>
        </w:rPr>
        <w:t>הרמב"ן</w:t>
      </w:r>
      <w:r w:rsidRPr="0050743A">
        <w:rPr>
          <w:rFonts w:hint="cs"/>
          <w:rtl/>
        </w:rPr>
        <w:t xml:space="preserve"> </w:t>
      </w:r>
      <w:r w:rsidRPr="0050743A">
        <w:rPr>
          <w:rStyle w:val="af7"/>
          <w:rFonts w:eastAsia="Guttman Hodes" w:hint="cs"/>
          <w:rtl/>
        </w:rPr>
        <w:t xml:space="preserve">(עי' אות </w:t>
      </w:r>
      <w:r w:rsidRPr="0050743A">
        <w:rPr>
          <w:rStyle w:val="af7"/>
          <w:rFonts w:eastAsia="Guttman Hodes"/>
          <w:rtl/>
        </w:rPr>
        <w:fldChar w:fldCharType="begin"/>
      </w:r>
      <w:r w:rsidRPr="0050743A">
        <w:rPr>
          <w:rStyle w:val="af7"/>
          <w:rFonts w:eastAsia="Guttman Hodes"/>
          <w:rtl/>
        </w:rPr>
        <w:instrText xml:space="preserve"> </w:instrText>
      </w:r>
      <w:r w:rsidRPr="0050743A">
        <w:rPr>
          <w:rStyle w:val="af7"/>
          <w:rFonts w:eastAsia="Guttman Hodes" w:hint="cs"/>
        </w:rPr>
        <w:instrText>REF</w:instrText>
      </w:r>
      <w:r w:rsidRPr="0050743A">
        <w:rPr>
          <w:rStyle w:val="af7"/>
          <w:rFonts w:eastAsia="Guttman Hodes" w:hint="cs"/>
          <w:rtl/>
        </w:rPr>
        <w:instrText xml:space="preserve"> _</w:instrText>
      </w:r>
      <w:r w:rsidRPr="0050743A">
        <w:rPr>
          <w:rStyle w:val="af7"/>
          <w:rFonts w:eastAsia="Guttman Hodes" w:hint="cs"/>
        </w:rPr>
        <w:instrText>Ref63872766 \r \h</w:instrText>
      </w:r>
      <w:r w:rsidRPr="0050743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50743A">
        <w:rPr>
          <w:rStyle w:val="af7"/>
          <w:rFonts w:eastAsia="Guttman Hodes"/>
          <w:rtl/>
        </w:rPr>
      </w:r>
      <w:r w:rsidRPr="0050743A">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50743A">
        <w:rPr>
          <w:rStyle w:val="af7"/>
          <w:rFonts w:eastAsia="Guttman Hodes"/>
          <w:rtl/>
        </w:rPr>
        <w:fldChar w:fldCharType="end"/>
      </w:r>
      <w:r w:rsidRPr="0050743A">
        <w:rPr>
          <w:rFonts w:hint="cs"/>
          <w:rtl/>
        </w:rPr>
        <w:t xml:space="preserve"> בזה</w:t>
      </w:r>
      <w:bookmarkStart w:id="14598" w:name="_Ref63985963"/>
      <w:bookmarkEnd w:id="14597"/>
      <w:r w:rsidRPr="0050743A">
        <w:rPr>
          <w:rFonts w:hint="cs"/>
          <w:rtl/>
        </w:rPr>
        <w:t xml:space="preserve">, ועי' במה שביארו </w:t>
      </w:r>
      <w:r w:rsidRPr="0050743A">
        <w:rPr>
          <w:rStyle w:val="af9"/>
          <w:rFonts w:hint="cs"/>
          <w:rtl/>
        </w:rPr>
        <w:t>המהרי"ט</w:t>
      </w:r>
      <w:r w:rsidRPr="0050743A">
        <w:rPr>
          <w:rFonts w:hint="cs"/>
          <w:rtl/>
        </w:rPr>
        <w:t xml:space="preserve"> </w:t>
      </w:r>
      <w:r w:rsidRPr="0050743A">
        <w:rPr>
          <w:rStyle w:val="af7"/>
          <w:rFonts w:eastAsia="Guttman Hodes" w:hint="cs"/>
          <w:rtl/>
        </w:rPr>
        <w:t xml:space="preserve">(עי' אות </w:t>
      </w:r>
      <w:r w:rsidRPr="0050743A">
        <w:rPr>
          <w:rStyle w:val="af7"/>
          <w:rFonts w:eastAsia="Guttman Hodes"/>
          <w:rtl/>
        </w:rPr>
        <w:fldChar w:fldCharType="begin"/>
      </w:r>
      <w:r w:rsidRPr="0050743A">
        <w:rPr>
          <w:rStyle w:val="af7"/>
          <w:rFonts w:eastAsia="Guttman Hodes"/>
          <w:rtl/>
        </w:rPr>
        <w:instrText xml:space="preserve"> </w:instrText>
      </w:r>
      <w:r w:rsidRPr="0050743A">
        <w:rPr>
          <w:rStyle w:val="af7"/>
          <w:rFonts w:eastAsia="Guttman Hodes" w:hint="cs"/>
        </w:rPr>
        <w:instrText>REF</w:instrText>
      </w:r>
      <w:r w:rsidRPr="0050743A">
        <w:rPr>
          <w:rStyle w:val="af7"/>
          <w:rFonts w:eastAsia="Guttman Hodes" w:hint="cs"/>
          <w:rtl/>
        </w:rPr>
        <w:instrText xml:space="preserve"> _</w:instrText>
      </w:r>
      <w:r w:rsidRPr="0050743A">
        <w:rPr>
          <w:rStyle w:val="af7"/>
          <w:rFonts w:eastAsia="Guttman Hodes" w:hint="cs"/>
        </w:rPr>
        <w:instrText>Ref64022853 \r \h</w:instrText>
      </w:r>
      <w:r w:rsidRPr="0050743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50743A">
        <w:rPr>
          <w:rStyle w:val="af7"/>
          <w:rFonts w:eastAsia="Guttman Hodes"/>
          <w:rtl/>
        </w:rPr>
      </w:r>
      <w:r w:rsidRPr="0050743A">
        <w:rPr>
          <w:rStyle w:val="af7"/>
          <w:rFonts w:eastAsia="Guttman Hodes"/>
          <w:rtl/>
        </w:rPr>
        <w:fldChar w:fldCharType="separate"/>
      </w:r>
      <w:r w:rsidR="00265073">
        <w:rPr>
          <w:rStyle w:val="af7"/>
          <w:rFonts w:eastAsia="Guttman Hodes"/>
          <w:cs/>
        </w:rPr>
        <w:t>‎</w:t>
      </w:r>
      <w:r w:rsidR="00265073">
        <w:rPr>
          <w:rStyle w:val="af7"/>
          <w:rFonts w:eastAsia="Guttman Hodes"/>
          <w:rtl/>
        </w:rPr>
        <w:t>מו)</w:t>
      </w:r>
      <w:r w:rsidRPr="0050743A">
        <w:rPr>
          <w:rStyle w:val="af7"/>
          <w:rFonts w:eastAsia="Guttman Hodes"/>
          <w:rtl/>
        </w:rPr>
        <w:fldChar w:fldCharType="end"/>
      </w:r>
      <w:r w:rsidRPr="0050743A">
        <w:rPr>
          <w:rFonts w:hint="cs"/>
          <w:rtl/>
        </w:rPr>
        <w:t xml:space="preserve"> </w:t>
      </w:r>
      <w:r w:rsidRPr="0050743A">
        <w:rPr>
          <w:rStyle w:val="af9"/>
          <w:rFonts w:hint="cs"/>
          <w:rtl/>
        </w:rPr>
        <w:t>והש"ך</w:t>
      </w:r>
      <w:r w:rsidRPr="0050743A">
        <w:rPr>
          <w:rFonts w:hint="cs"/>
          <w:rtl/>
        </w:rPr>
        <w:t xml:space="preserve"> </w:t>
      </w:r>
      <w:r w:rsidRPr="0050743A">
        <w:rPr>
          <w:rStyle w:val="af7"/>
          <w:rFonts w:eastAsia="Guttman Hodes" w:hint="cs"/>
          <w:rtl/>
        </w:rPr>
        <w:t xml:space="preserve">(עי' אות </w:t>
      </w:r>
      <w:r w:rsidRPr="0050743A">
        <w:rPr>
          <w:rStyle w:val="af7"/>
          <w:rFonts w:eastAsia="Guttman Hodes"/>
          <w:rtl/>
        </w:rPr>
        <w:fldChar w:fldCharType="begin"/>
      </w:r>
      <w:r w:rsidRPr="0050743A">
        <w:rPr>
          <w:rStyle w:val="af7"/>
          <w:rFonts w:eastAsia="Guttman Hodes"/>
          <w:rtl/>
        </w:rPr>
        <w:instrText xml:space="preserve"> </w:instrText>
      </w:r>
      <w:r w:rsidRPr="0050743A">
        <w:rPr>
          <w:rStyle w:val="af7"/>
          <w:rFonts w:eastAsia="Guttman Hodes" w:hint="cs"/>
        </w:rPr>
        <w:instrText>REF</w:instrText>
      </w:r>
      <w:r w:rsidRPr="0050743A">
        <w:rPr>
          <w:rStyle w:val="af7"/>
          <w:rFonts w:eastAsia="Guttman Hodes" w:hint="cs"/>
          <w:rtl/>
        </w:rPr>
        <w:instrText xml:space="preserve"> _</w:instrText>
      </w:r>
      <w:r w:rsidRPr="0050743A">
        <w:rPr>
          <w:rStyle w:val="af7"/>
          <w:rFonts w:eastAsia="Guttman Hodes" w:hint="cs"/>
        </w:rPr>
        <w:instrText>Ref64140366 \r \h</w:instrText>
      </w:r>
      <w:r w:rsidRPr="0050743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50743A">
        <w:rPr>
          <w:rStyle w:val="af7"/>
          <w:rFonts w:eastAsia="Guttman Hodes"/>
          <w:rtl/>
        </w:rPr>
      </w:r>
      <w:r w:rsidRPr="0050743A">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50743A">
        <w:rPr>
          <w:rStyle w:val="af7"/>
          <w:rFonts w:eastAsia="Guttman Hodes"/>
          <w:rtl/>
        </w:rPr>
        <w:fldChar w:fldCharType="end"/>
      </w:r>
      <w:r w:rsidRPr="0050743A">
        <w:rPr>
          <w:rFonts w:hint="cs"/>
          <w:rtl/>
        </w:rPr>
        <w:t>.</w:t>
      </w:r>
      <w:bookmarkEnd w:id="14598"/>
      <w:r w:rsidRPr="0050743A">
        <w:rPr>
          <w:rFonts w:hint="cs"/>
          <w:rtl/>
        </w:rPr>
        <w:t xml:space="preserve"> </w:t>
      </w:r>
    </w:p>
    <w:p w:rsidR="00F4065E" w:rsidRPr="00CA662B" w:rsidRDefault="00F4065E" w:rsidP="00F4065E">
      <w:pPr>
        <w:pStyle w:val="a3"/>
        <w:rPr>
          <w:rtl/>
        </w:rPr>
      </w:pPr>
      <w:bookmarkStart w:id="14599" w:name="_Toc64205659"/>
      <w:bookmarkStart w:id="14600" w:name="_Toc64209339"/>
      <w:r>
        <w:rPr>
          <w:rFonts w:hint="cs"/>
          <w:rtl/>
        </w:rPr>
        <w:t>ד' רבינו יונה דאינו פטור משבועה מחמת ג' דברים דהוא להוציא ומממון לממון ושבועת הגאונים</w:t>
      </w:r>
      <w:bookmarkEnd w:id="14599"/>
      <w:bookmarkEnd w:id="14600"/>
    </w:p>
    <w:p w:rsidR="00F4065E" w:rsidRPr="00F8292F" w:rsidRDefault="00F4065E" w:rsidP="007E4E81">
      <w:pPr>
        <w:pStyle w:val="a0"/>
        <w:rPr>
          <w:rtl/>
        </w:rPr>
      </w:pPr>
      <w:bookmarkStart w:id="14601" w:name="_Toc63942248"/>
      <w:bookmarkStart w:id="14602" w:name="_Toc63975475"/>
      <w:bookmarkStart w:id="14603" w:name="_Toc63986515"/>
      <w:bookmarkStart w:id="14604" w:name="_Toc64024635"/>
      <w:bookmarkStart w:id="14605" w:name="_Toc64036030"/>
      <w:bookmarkStart w:id="14606" w:name="_Toc64148063"/>
      <w:r>
        <w:rPr>
          <w:rFonts w:hint="cs"/>
          <w:rtl/>
        </w:rPr>
        <w:t xml:space="preserve">ובמסקנת דבריו כתב </w:t>
      </w:r>
      <w:r w:rsidRPr="008628AE">
        <w:rPr>
          <w:rStyle w:val="af9"/>
          <w:rFonts w:hint="cs"/>
          <w:rtl/>
        </w:rPr>
        <w:t>רבינו</w:t>
      </w:r>
      <w:r>
        <w:rPr>
          <w:rFonts w:hint="cs"/>
          <w:rtl/>
        </w:rPr>
        <w:t xml:space="preserve"> </w:t>
      </w:r>
      <w:r w:rsidRPr="008628AE">
        <w:rPr>
          <w:rStyle w:val="af9"/>
          <w:rFonts w:hint="cs"/>
          <w:rtl/>
        </w:rPr>
        <w:t>יונה</w:t>
      </w:r>
      <w:r>
        <w:rPr>
          <w:rFonts w:hint="cs"/>
          <w:rtl/>
        </w:rPr>
        <w:t xml:space="preserve"> </w:t>
      </w:r>
      <w:r w:rsidRPr="001C7ED0">
        <w:rPr>
          <w:rStyle w:val="af7"/>
          <w:rFonts w:eastAsia="Guttman Hodes" w:hint="cs"/>
          <w:rtl/>
        </w:rPr>
        <w:t>(ד"ה עלה בידינו)</w:t>
      </w:r>
      <w:r>
        <w:rPr>
          <w:rFonts w:hint="cs"/>
          <w:rtl/>
        </w:rPr>
        <w:t xml:space="preserve"> דמבואר דרבא בר שרשום היה חייב </w:t>
      </w:r>
      <w:r w:rsidRPr="00F8292F">
        <w:rPr>
          <w:rFonts w:hint="cs"/>
          <w:rtl/>
        </w:rPr>
        <w:t>להשבע ואינו כמשיב אבידה, מחמת ג' הטעמים הנ"ל, הא' דאף למשיב אבידה לא מהני מיגו להוציא ממון,</w:t>
      </w:r>
      <w:r w:rsidRPr="00F8292F">
        <w:rPr>
          <w:rStyle w:val="afb"/>
          <w:rFonts w:hint="cs"/>
          <w:rtl/>
        </w:rPr>
        <w:t xml:space="preserve"> [כדביאר </w:t>
      </w:r>
      <w:r w:rsidRPr="00F8292F">
        <w:rPr>
          <w:rStyle w:val="affa"/>
          <w:rFonts w:hint="cs"/>
          <w:rtl/>
        </w:rPr>
        <w:t>רבינו יונה</w:t>
      </w:r>
      <w:r w:rsidRPr="00F8292F">
        <w:rPr>
          <w:rStyle w:val="afb"/>
          <w:rFonts w:hint="cs"/>
          <w:rtl/>
        </w:rPr>
        <w:t xml:space="preserve"> </w:t>
      </w:r>
      <w:r w:rsidRPr="00F8292F">
        <w:rPr>
          <w:rStyle w:val="aff6"/>
          <w:rFonts w:hint="cs"/>
          <w:rtl/>
        </w:rPr>
        <w:t xml:space="preserve">(עי' אות </w:t>
      </w:r>
      <w:r w:rsidRPr="00F8292F">
        <w:rPr>
          <w:rStyle w:val="aff6"/>
          <w:rtl/>
        </w:rPr>
        <w:fldChar w:fldCharType="begin"/>
      </w:r>
      <w:r w:rsidRPr="00F8292F">
        <w:rPr>
          <w:rStyle w:val="aff6"/>
          <w:rtl/>
        </w:rPr>
        <w:instrText xml:space="preserve"> </w:instrText>
      </w:r>
      <w:r w:rsidRPr="00F8292F">
        <w:rPr>
          <w:rStyle w:val="aff6"/>
          <w:rFonts w:hint="cs"/>
        </w:rPr>
        <w:instrText>REF</w:instrText>
      </w:r>
      <w:r w:rsidRPr="00F8292F">
        <w:rPr>
          <w:rStyle w:val="aff6"/>
          <w:rFonts w:hint="cs"/>
          <w:rtl/>
        </w:rPr>
        <w:instrText xml:space="preserve"> _</w:instrText>
      </w:r>
      <w:r w:rsidRPr="00F8292F">
        <w:rPr>
          <w:rStyle w:val="aff6"/>
          <w:rFonts w:hint="cs"/>
        </w:rPr>
        <w:instrText>Ref63589749 \r \h</w:instrText>
      </w:r>
      <w:r w:rsidRPr="00F8292F">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F8292F">
        <w:rPr>
          <w:rStyle w:val="aff6"/>
          <w:rtl/>
        </w:rPr>
      </w:r>
      <w:r w:rsidRPr="00F8292F">
        <w:rPr>
          <w:rStyle w:val="aff6"/>
          <w:rtl/>
        </w:rPr>
        <w:fldChar w:fldCharType="separate"/>
      </w:r>
      <w:r w:rsidR="00265073">
        <w:rPr>
          <w:rStyle w:val="aff6"/>
          <w:cs/>
        </w:rPr>
        <w:t>‎</w:t>
      </w:r>
      <w:r w:rsidR="00265073">
        <w:rPr>
          <w:rStyle w:val="aff6"/>
          <w:rtl/>
        </w:rPr>
        <w:t>לו)</w:t>
      </w:r>
      <w:r w:rsidRPr="00F8292F">
        <w:rPr>
          <w:rStyle w:val="aff6"/>
          <w:rtl/>
        </w:rPr>
        <w:fldChar w:fldCharType="end"/>
      </w:r>
      <w:r w:rsidRPr="00F8292F">
        <w:rPr>
          <w:rStyle w:val="afb"/>
          <w:rFonts w:hint="cs"/>
          <w:rtl/>
        </w:rPr>
        <w:t>],</w:t>
      </w:r>
      <w:r w:rsidRPr="00F8292F">
        <w:rPr>
          <w:rFonts w:hint="cs"/>
          <w:rtl/>
        </w:rPr>
        <w:t xml:space="preserve"> והב' דאין לו כל טענה על הקרקע הזו, דהא אינה ממושכנת בידו על החוב שבשטר, וא"כ אינו תפוס בה דהיא בחזקת בעליה, ואינו יכול לתפוס את הקרקע ולתבוע ממון אחר, אף שעל הקרקע הזו הוא כמשיב אבידה, כיון שהיתומים יכולים לפרוע את החוב האחר במטלטלין או מנכסי אביהן או מנכסי עצמם, </w:t>
      </w:r>
      <w:r w:rsidRPr="00F8292F">
        <w:rPr>
          <w:rStyle w:val="afb"/>
          <w:rFonts w:hint="cs"/>
          <w:rtl/>
        </w:rPr>
        <w:t xml:space="preserve">[כדביאר </w:t>
      </w:r>
      <w:r w:rsidRPr="00F8292F">
        <w:rPr>
          <w:rStyle w:val="affa"/>
          <w:rFonts w:hint="cs"/>
          <w:rtl/>
        </w:rPr>
        <w:t>רבינו יונה</w:t>
      </w:r>
      <w:r w:rsidRPr="00F8292F">
        <w:rPr>
          <w:rStyle w:val="afb"/>
          <w:rFonts w:hint="cs"/>
          <w:rtl/>
        </w:rPr>
        <w:t xml:space="preserve"> </w:t>
      </w:r>
      <w:r w:rsidRPr="00F8292F">
        <w:rPr>
          <w:rStyle w:val="aff6"/>
          <w:rFonts w:hint="cs"/>
          <w:rtl/>
        </w:rPr>
        <w:t xml:space="preserve">(עי' אות </w:t>
      </w:r>
      <w:r w:rsidRPr="00F8292F">
        <w:rPr>
          <w:rStyle w:val="aff6"/>
          <w:rtl/>
        </w:rPr>
        <w:fldChar w:fldCharType="begin"/>
      </w:r>
      <w:r w:rsidRPr="00F8292F">
        <w:rPr>
          <w:rStyle w:val="aff6"/>
          <w:rtl/>
        </w:rPr>
        <w:instrText xml:space="preserve"> </w:instrText>
      </w:r>
      <w:r w:rsidRPr="00F8292F">
        <w:rPr>
          <w:rStyle w:val="aff6"/>
          <w:rFonts w:hint="cs"/>
        </w:rPr>
        <w:instrText>REF</w:instrText>
      </w:r>
      <w:r w:rsidRPr="00F8292F">
        <w:rPr>
          <w:rStyle w:val="aff6"/>
          <w:rFonts w:hint="cs"/>
          <w:rtl/>
        </w:rPr>
        <w:instrText xml:space="preserve"> _</w:instrText>
      </w:r>
      <w:r w:rsidRPr="00F8292F">
        <w:rPr>
          <w:rStyle w:val="aff6"/>
          <w:rFonts w:hint="cs"/>
        </w:rPr>
        <w:instrText>Ref63589778 \r \h</w:instrText>
      </w:r>
      <w:r w:rsidRPr="00F8292F">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F8292F">
        <w:rPr>
          <w:rStyle w:val="aff6"/>
          <w:rtl/>
        </w:rPr>
      </w:r>
      <w:r w:rsidRPr="00F8292F">
        <w:rPr>
          <w:rStyle w:val="aff6"/>
          <w:rtl/>
        </w:rPr>
        <w:fldChar w:fldCharType="separate"/>
      </w:r>
      <w:r w:rsidR="00265073">
        <w:rPr>
          <w:rStyle w:val="aff6"/>
          <w:cs/>
        </w:rPr>
        <w:t>‎</w:t>
      </w:r>
      <w:r w:rsidR="00265073">
        <w:rPr>
          <w:rStyle w:val="aff6"/>
          <w:rtl/>
        </w:rPr>
        <w:t>מ)</w:t>
      </w:r>
      <w:r w:rsidRPr="00F8292F">
        <w:rPr>
          <w:rStyle w:val="aff6"/>
          <w:rtl/>
        </w:rPr>
        <w:fldChar w:fldCharType="end"/>
      </w:r>
      <w:r w:rsidRPr="00F8292F">
        <w:rPr>
          <w:rStyle w:val="afb"/>
          <w:rFonts w:hint="cs"/>
          <w:rtl/>
        </w:rPr>
        <w:t>],</w:t>
      </w:r>
      <w:r w:rsidRPr="00F8292F">
        <w:rPr>
          <w:rFonts w:hint="cs"/>
          <w:rtl/>
        </w:rPr>
        <w:t xml:space="preserve"> והג' דאף משיב אבידה שנאמן במיגו, אינו נפטר משבועה, </w:t>
      </w:r>
      <w:r w:rsidRPr="00F8292F">
        <w:rPr>
          <w:rStyle w:val="afb"/>
          <w:rFonts w:hint="cs"/>
          <w:rtl/>
        </w:rPr>
        <w:t xml:space="preserve">[כדביאר </w:t>
      </w:r>
      <w:r w:rsidRPr="00F8292F">
        <w:rPr>
          <w:rStyle w:val="affa"/>
          <w:rFonts w:hint="cs"/>
          <w:rtl/>
        </w:rPr>
        <w:t>רבינו יונה</w:t>
      </w:r>
      <w:r w:rsidRPr="00F8292F">
        <w:rPr>
          <w:rStyle w:val="afb"/>
          <w:rFonts w:hint="cs"/>
          <w:rtl/>
        </w:rPr>
        <w:t xml:space="preserve"> </w:t>
      </w:r>
      <w:r w:rsidRPr="00F8292F">
        <w:rPr>
          <w:rStyle w:val="aff6"/>
          <w:rFonts w:hint="cs"/>
          <w:rtl/>
        </w:rPr>
        <w:t xml:space="preserve">(עי' אות </w:t>
      </w:r>
      <w:r w:rsidRPr="00F8292F">
        <w:rPr>
          <w:rStyle w:val="aff6"/>
          <w:rtl/>
        </w:rPr>
        <w:fldChar w:fldCharType="begin"/>
      </w:r>
      <w:r w:rsidRPr="00F8292F">
        <w:rPr>
          <w:rStyle w:val="aff6"/>
          <w:rtl/>
        </w:rPr>
        <w:instrText xml:space="preserve"> </w:instrText>
      </w:r>
      <w:r w:rsidRPr="00F8292F">
        <w:rPr>
          <w:rStyle w:val="aff6"/>
          <w:rFonts w:hint="cs"/>
        </w:rPr>
        <w:instrText>REF</w:instrText>
      </w:r>
      <w:r w:rsidRPr="00F8292F">
        <w:rPr>
          <w:rStyle w:val="aff6"/>
          <w:rFonts w:hint="cs"/>
          <w:rtl/>
        </w:rPr>
        <w:instrText xml:space="preserve"> _</w:instrText>
      </w:r>
      <w:r w:rsidRPr="00F8292F">
        <w:rPr>
          <w:rStyle w:val="aff6"/>
          <w:rFonts w:hint="cs"/>
        </w:rPr>
        <w:instrText>Ref63589786 \r \h</w:instrText>
      </w:r>
      <w:r w:rsidRPr="00F8292F">
        <w:rPr>
          <w:rStyle w:val="aff6"/>
          <w:rtl/>
        </w:rPr>
        <w:instrText xml:space="preserve">  \* </w:instrText>
      </w:r>
      <w:r w:rsidRPr="00F8292F">
        <w:rPr>
          <w:rStyle w:val="aff6"/>
        </w:rPr>
        <w:instrText>MERGEFORMAT</w:instrText>
      </w:r>
      <w:r w:rsidRPr="00F8292F">
        <w:rPr>
          <w:rStyle w:val="aff6"/>
          <w:rtl/>
        </w:rPr>
        <w:instrText xml:space="preserve"> </w:instrText>
      </w:r>
      <w:r w:rsidRPr="00F8292F">
        <w:rPr>
          <w:rStyle w:val="aff6"/>
          <w:rtl/>
        </w:rPr>
      </w:r>
      <w:r w:rsidRPr="00F8292F">
        <w:rPr>
          <w:rStyle w:val="aff6"/>
          <w:rtl/>
        </w:rPr>
        <w:fldChar w:fldCharType="separate"/>
      </w:r>
      <w:r w:rsidR="00265073">
        <w:rPr>
          <w:rStyle w:val="aff6"/>
          <w:cs/>
        </w:rPr>
        <w:t>‎</w:t>
      </w:r>
      <w:r w:rsidR="00265073">
        <w:rPr>
          <w:rStyle w:val="aff6"/>
          <w:rtl/>
        </w:rPr>
        <w:t>לח)</w:t>
      </w:r>
      <w:r w:rsidRPr="00F8292F">
        <w:rPr>
          <w:rStyle w:val="aff6"/>
          <w:rtl/>
        </w:rPr>
        <w:fldChar w:fldCharType="end"/>
      </w:r>
      <w:r w:rsidRPr="00F8292F">
        <w:rPr>
          <w:rStyle w:val="afb"/>
          <w:rFonts w:hint="cs"/>
          <w:rtl/>
        </w:rPr>
        <w:t xml:space="preserve"> בשם </w:t>
      </w:r>
      <w:r w:rsidRPr="00F8292F">
        <w:rPr>
          <w:rStyle w:val="affa"/>
          <w:rFonts w:hint="cs"/>
          <w:rtl/>
        </w:rPr>
        <w:t>הגאונים</w:t>
      </w:r>
      <w:r w:rsidRPr="00F8292F">
        <w:rPr>
          <w:rStyle w:val="afb"/>
          <w:rFonts w:hint="cs"/>
          <w:rtl/>
        </w:rPr>
        <w:t xml:space="preserve">], </w:t>
      </w:r>
      <w:r w:rsidRPr="00F8292F">
        <w:rPr>
          <w:rFonts w:hint="cs"/>
          <w:rtl/>
        </w:rPr>
        <w:t xml:space="preserve">ועי' במה שביאר </w:t>
      </w:r>
      <w:r w:rsidRPr="00F8292F">
        <w:rPr>
          <w:rStyle w:val="af9"/>
          <w:rFonts w:hint="cs"/>
          <w:rtl/>
        </w:rPr>
        <w:t>בשיעורי רבי שמואל</w:t>
      </w:r>
      <w:r w:rsidRPr="00F8292F">
        <w:rPr>
          <w:rFonts w:hint="cs"/>
          <w:rtl/>
        </w:rPr>
        <w:t xml:space="preserve"> </w:t>
      </w:r>
      <w:r w:rsidRPr="00F8292F">
        <w:rPr>
          <w:rStyle w:val="af7"/>
          <w:rFonts w:eastAsia="Guttman Hodes" w:hint="cs"/>
          <w:rtl/>
        </w:rPr>
        <w:t>(או' כ"ד ד"ה ויש)</w:t>
      </w:r>
      <w:r w:rsidRPr="00F8292F">
        <w:rPr>
          <w:rFonts w:hint="cs"/>
          <w:rtl/>
        </w:rPr>
        <w:t xml:space="preserve"> בדברי </w:t>
      </w:r>
      <w:r w:rsidRPr="00F8292F">
        <w:rPr>
          <w:rStyle w:val="af9"/>
          <w:rFonts w:hint="cs"/>
          <w:rtl/>
        </w:rPr>
        <w:t>רבינו יונה</w:t>
      </w:r>
      <w:r w:rsidRPr="00F8292F">
        <w:rPr>
          <w:rFonts w:hint="cs"/>
          <w:rtl/>
        </w:rPr>
        <w:t xml:space="preserve">. </w:t>
      </w:r>
    </w:p>
    <w:p w:rsidR="00F4065E" w:rsidRPr="00195687" w:rsidRDefault="00F4065E" w:rsidP="00F4065E">
      <w:pPr>
        <w:pStyle w:val="1"/>
        <w:rPr>
          <w:rtl/>
        </w:rPr>
      </w:pPr>
      <w:bookmarkStart w:id="14607" w:name="_Toc64148145"/>
      <w:bookmarkStart w:id="14608" w:name="_Toc64205660"/>
      <w:bookmarkStart w:id="14609" w:name="_Toc64209340"/>
      <w:r w:rsidRPr="00F8292F">
        <w:rPr>
          <w:rFonts w:hint="cs"/>
          <w:rtl/>
        </w:rPr>
        <w:t>דברי רבינו יונה דנשבע אף אחר שאכל</w:t>
      </w:r>
      <w:r>
        <w:rPr>
          <w:rFonts w:hint="cs"/>
          <w:rtl/>
        </w:rPr>
        <w:t xml:space="preserve"> </w:t>
      </w:r>
      <w:bookmarkEnd w:id="14607"/>
      <w:r>
        <w:rPr>
          <w:rFonts w:hint="cs"/>
          <w:rtl/>
        </w:rPr>
        <w:t>אך לא הספיק לאכול</w:t>
      </w:r>
      <w:bookmarkEnd w:id="14608"/>
      <w:bookmarkEnd w:id="14609"/>
    </w:p>
    <w:p w:rsidR="00F4065E" w:rsidRDefault="00F4065E" w:rsidP="00F4065E">
      <w:pPr>
        <w:pStyle w:val="a3"/>
        <w:rPr>
          <w:rtl/>
        </w:rPr>
      </w:pPr>
      <w:bookmarkStart w:id="14610" w:name="_Toc64205661"/>
      <w:bookmarkStart w:id="14611" w:name="_Toc64209341"/>
      <w:r>
        <w:rPr>
          <w:rFonts w:hint="cs"/>
          <w:rtl/>
        </w:rPr>
        <w:t>דברי רבינו יונה דמשמע דרבא ב</w:t>
      </w:r>
      <w:r>
        <w:rPr>
          <w:rtl/>
        </w:rPr>
        <w:t>"</w:t>
      </w:r>
      <w:r>
        <w:rPr>
          <w:rFonts w:hint="cs"/>
          <w:rtl/>
        </w:rPr>
        <w:t>ש עוד לא הספיק לאכול והחזיק בחרישה ובאכל נפטר בשבועה</w:t>
      </w:r>
      <w:bookmarkEnd w:id="14610"/>
      <w:bookmarkEnd w:id="14611"/>
    </w:p>
    <w:p w:rsidR="00F4065E" w:rsidRPr="00952226" w:rsidRDefault="00F4065E" w:rsidP="007E4E81">
      <w:pPr>
        <w:pStyle w:val="a0"/>
      </w:pPr>
      <w:bookmarkStart w:id="14612" w:name="_Ref63853641"/>
      <w:r>
        <w:rPr>
          <w:rFonts w:hint="cs"/>
          <w:rtl/>
        </w:rPr>
        <w:t xml:space="preserve">ובהא דאמר אביי לרבא בר שרשום להחזיר את הקרקע ליתומים, כתב </w:t>
      </w:r>
      <w:r w:rsidRPr="00CA4698">
        <w:rPr>
          <w:rStyle w:val="af9"/>
          <w:rFonts w:hint="cs"/>
          <w:rtl/>
        </w:rPr>
        <w:t>רבינו</w:t>
      </w:r>
      <w:r>
        <w:rPr>
          <w:rFonts w:hint="cs"/>
          <w:rtl/>
        </w:rPr>
        <w:t xml:space="preserve"> </w:t>
      </w:r>
      <w:r w:rsidRPr="00CA4698">
        <w:rPr>
          <w:rStyle w:val="af9"/>
          <w:rFonts w:hint="cs"/>
          <w:rtl/>
        </w:rPr>
        <w:t>יונה</w:t>
      </w:r>
      <w:r>
        <w:rPr>
          <w:rFonts w:hint="cs"/>
          <w:rtl/>
        </w:rPr>
        <w:t xml:space="preserve"> </w:t>
      </w:r>
      <w:r w:rsidRPr="004D0FB1">
        <w:rPr>
          <w:rStyle w:val="af7"/>
          <w:rFonts w:eastAsia="Guttman Hodes" w:hint="cs"/>
          <w:rtl/>
        </w:rPr>
        <w:t>(ד"ה אהדרינהו)</w:t>
      </w:r>
      <w:r>
        <w:rPr>
          <w:rFonts w:hint="cs"/>
          <w:rtl/>
        </w:rPr>
        <w:t xml:space="preserve"> צריך לבאר דעדיין לא אכל את הפירות לאחר שנגמרו שני המשכנתא, והקול שיצא עליו שאוכל קרקע של יתומים, הוא כיון שהחזיק בה וחרש וזרע, אבל אם איירי שכבר אכל פירות מחמת החוב, היה לאביי לחייבו שבועה על </w:t>
      </w:r>
      <w:r>
        <w:rPr>
          <w:rFonts w:hint="cs"/>
          <w:rtl/>
        </w:rPr>
        <w:lastRenderedPageBreak/>
        <w:t xml:space="preserve">הפירות שאכל, וכשיגדלו היתומים יתבע את שאר החוב שלא גבה באכילת הפירות, וכתב </w:t>
      </w:r>
      <w:r w:rsidRPr="00CA4698">
        <w:rPr>
          <w:rStyle w:val="af9"/>
          <w:rFonts w:hint="cs"/>
          <w:rtl/>
        </w:rPr>
        <w:t>רבינו</w:t>
      </w:r>
      <w:r>
        <w:rPr>
          <w:rFonts w:hint="cs"/>
          <w:rtl/>
        </w:rPr>
        <w:t xml:space="preserve"> </w:t>
      </w:r>
      <w:r w:rsidRPr="00CA4698">
        <w:rPr>
          <w:rStyle w:val="af9"/>
          <w:rFonts w:hint="cs"/>
          <w:rtl/>
        </w:rPr>
        <w:t>יונה</w:t>
      </w:r>
      <w:r>
        <w:rPr>
          <w:rFonts w:hint="cs"/>
          <w:rtl/>
        </w:rPr>
        <w:t xml:space="preserve"> דא"א לומר דאיירי שאכל פירות ואפ"ה חייבו אביי להחזיר להם את מה </w:t>
      </w:r>
      <w:r w:rsidRPr="00952226">
        <w:rPr>
          <w:rFonts w:hint="cs"/>
          <w:rtl/>
        </w:rPr>
        <w:t xml:space="preserve">שאכל, ולתובעם לכשיגלו, דהא אי אכל פירות כבר הוא נפטר בשבועה ואין יורדין לנכסיו להוציא את מה שאכל, דכיון שיש בידו שטר אל החוב, אינו חייב לשלם את מה שגבה כבר, ורק צריך להשבע ולהפטר, וכתב </w:t>
      </w:r>
      <w:r w:rsidRPr="00952226">
        <w:rPr>
          <w:rStyle w:val="af9"/>
          <w:rFonts w:hint="cs"/>
          <w:rtl/>
        </w:rPr>
        <w:t>רבינו יונה</w:t>
      </w:r>
      <w:r w:rsidRPr="00952226">
        <w:rPr>
          <w:rFonts w:hint="cs"/>
          <w:rtl/>
        </w:rPr>
        <w:t xml:space="preserve"> דמ"מ אינו יכול להשבע ולגבות מהם כשהם קטנים, כדאיתא בערכין </w:t>
      </w:r>
      <w:r w:rsidRPr="00952226">
        <w:rPr>
          <w:rStyle w:val="af7"/>
          <w:rFonts w:eastAsia="Guttman Hodes" w:hint="cs"/>
          <w:rtl/>
        </w:rPr>
        <w:t>(כב.)</w:t>
      </w:r>
      <w:r w:rsidRPr="00952226">
        <w:rPr>
          <w:rFonts w:hint="cs"/>
          <w:rtl/>
        </w:rPr>
        <w:t xml:space="preserve"> דאין נזקקין לנכסי יתומים.</w:t>
      </w:r>
      <w:bookmarkEnd w:id="14612"/>
      <w:r w:rsidRPr="00952226">
        <w:rPr>
          <w:rFonts w:hint="cs"/>
          <w:rtl/>
        </w:rPr>
        <w:t xml:space="preserve"> </w:t>
      </w:r>
    </w:p>
    <w:p w:rsidR="00F4065E" w:rsidRDefault="00F4065E" w:rsidP="00F4065E">
      <w:pPr>
        <w:pStyle w:val="1"/>
        <w:rPr>
          <w:rtl/>
        </w:rPr>
      </w:pPr>
      <w:bookmarkStart w:id="14613" w:name="_Toc64205662"/>
      <w:bookmarkStart w:id="14614" w:name="_Toc64209342"/>
      <w:r w:rsidRPr="00952226">
        <w:rPr>
          <w:rFonts w:hint="cs"/>
          <w:rtl/>
        </w:rPr>
        <w:t>פלוגתת הטור והש"ך</w:t>
      </w:r>
      <w:bookmarkEnd w:id="14601"/>
      <w:bookmarkEnd w:id="14602"/>
      <w:bookmarkEnd w:id="14603"/>
      <w:bookmarkEnd w:id="14604"/>
      <w:bookmarkEnd w:id="14605"/>
      <w:r w:rsidRPr="00952226">
        <w:rPr>
          <w:rFonts w:hint="cs"/>
          <w:rtl/>
        </w:rPr>
        <w:t xml:space="preserve"> אי מהני מיגו מממון לממון</w:t>
      </w:r>
      <w:r>
        <w:rPr>
          <w:rFonts w:hint="cs"/>
          <w:rtl/>
        </w:rPr>
        <w:t xml:space="preserve"> במטלטלין</w:t>
      </w:r>
      <w:bookmarkEnd w:id="14606"/>
      <w:bookmarkEnd w:id="14613"/>
      <w:bookmarkEnd w:id="14614"/>
    </w:p>
    <w:p w:rsidR="00F4065E" w:rsidRPr="003B0CB9" w:rsidRDefault="00F4065E" w:rsidP="00F4065E">
      <w:pPr>
        <w:pStyle w:val="a3"/>
        <w:rPr>
          <w:rtl/>
        </w:rPr>
      </w:pPr>
      <w:bookmarkStart w:id="14615" w:name="_Toc64024636"/>
      <w:bookmarkStart w:id="14616" w:name="_Toc64036031"/>
      <w:bookmarkStart w:id="14617" w:name="_Toc64148064"/>
      <w:bookmarkStart w:id="14618" w:name="_Toc64205663"/>
      <w:bookmarkStart w:id="14619" w:name="_Toc64209343"/>
      <w:r>
        <w:rPr>
          <w:rFonts w:hint="cs"/>
          <w:rtl/>
        </w:rPr>
        <w:t>דברי הטור בשם רבינו יונה דרק אכל שאכל את הפירות נאמן במיגו דמיגו מממון לממון ל"מ</w:t>
      </w:r>
      <w:bookmarkEnd w:id="14615"/>
      <w:bookmarkEnd w:id="14616"/>
      <w:bookmarkEnd w:id="14617"/>
      <w:bookmarkEnd w:id="14618"/>
      <w:bookmarkEnd w:id="14619"/>
    </w:p>
    <w:p w:rsidR="00F4065E" w:rsidRPr="00326432" w:rsidRDefault="00F4065E" w:rsidP="007E4E81">
      <w:pPr>
        <w:pStyle w:val="a0"/>
        <w:rPr>
          <w:sz w:val="10"/>
          <w:szCs w:val="14"/>
          <w:rtl/>
        </w:rPr>
      </w:pPr>
      <w:bookmarkStart w:id="14620" w:name="_Ref63972170"/>
      <w:bookmarkStart w:id="14621" w:name="_Ref64022209"/>
      <w:bookmarkStart w:id="14622" w:name="_Ref63845780"/>
      <w:bookmarkStart w:id="14623" w:name="_Toc63703852"/>
      <w:bookmarkStart w:id="14624" w:name="_Toc63714152"/>
      <w:r>
        <w:rPr>
          <w:rFonts w:hint="cs"/>
          <w:rtl/>
        </w:rPr>
        <w:t xml:space="preserve">הביא </w:t>
      </w:r>
      <w:r w:rsidRPr="00A147FB">
        <w:rPr>
          <w:rStyle w:val="af9"/>
          <w:rFonts w:hint="cs"/>
          <w:rtl/>
        </w:rPr>
        <w:t>הטור</w:t>
      </w:r>
      <w:r>
        <w:rPr>
          <w:rFonts w:hint="cs"/>
          <w:rtl/>
        </w:rPr>
        <w:t xml:space="preserve"> </w:t>
      </w:r>
      <w:r w:rsidRPr="00736D9F">
        <w:rPr>
          <w:rStyle w:val="af7"/>
          <w:rFonts w:eastAsia="Guttman Hodes" w:hint="cs"/>
          <w:rtl/>
        </w:rPr>
        <w:t>(סי' ק"נ ד')</w:t>
      </w:r>
      <w:r>
        <w:rPr>
          <w:rFonts w:hint="cs"/>
          <w:rtl/>
        </w:rPr>
        <w:t xml:space="preserve"> את דברי </w:t>
      </w:r>
      <w:r w:rsidRPr="008628AE">
        <w:rPr>
          <w:rStyle w:val="af9"/>
          <w:rFonts w:hint="cs"/>
          <w:rtl/>
        </w:rPr>
        <w:t>רבינו</w:t>
      </w:r>
      <w:r>
        <w:rPr>
          <w:rFonts w:hint="cs"/>
          <w:rtl/>
        </w:rPr>
        <w:t xml:space="preserve"> </w:t>
      </w:r>
      <w:r w:rsidRPr="008628AE">
        <w:rPr>
          <w:rStyle w:val="af9"/>
          <w:rFonts w:hint="cs"/>
          <w:rtl/>
        </w:rPr>
        <w:t>יונה</w:t>
      </w:r>
      <w:r>
        <w:rPr>
          <w:rFonts w:hint="cs"/>
          <w:rtl/>
        </w:rPr>
        <w:t xml:space="preserve"> </w:t>
      </w:r>
      <w:r w:rsidRPr="00736D9F">
        <w:rPr>
          <w:rStyle w:val="af7"/>
          <w:rFonts w:eastAsia="Guttman Hodes" w:hint="cs"/>
          <w:rtl/>
        </w:rPr>
        <w:t xml:space="preserve">(עי' אות </w:t>
      </w:r>
      <w:r w:rsidRPr="00736D9F">
        <w:rPr>
          <w:rStyle w:val="af7"/>
          <w:rFonts w:eastAsia="Guttman Hodes"/>
          <w:rtl/>
        </w:rPr>
        <w:fldChar w:fldCharType="begin"/>
      </w:r>
      <w:r w:rsidRPr="00736D9F">
        <w:rPr>
          <w:rStyle w:val="af7"/>
          <w:rFonts w:eastAsia="Guttman Hodes"/>
          <w:rtl/>
        </w:rPr>
        <w:instrText xml:space="preserve"> </w:instrText>
      </w:r>
      <w:r w:rsidRPr="00736D9F">
        <w:rPr>
          <w:rStyle w:val="af7"/>
          <w:rFonts w:eastAsia="Guttman Hodes" w:hint="cs"/>
        </w:rPr>
        <w:instrText>REF</w:instrText>
      </w:r>
      <w:r w:rsidRPr="00736D9F">
        <w:rPr>
          <w:rStyle w:val="af7"/>
          <w:rFonts w:eastAsia="Guttman Hodes" w:hint="cs"/>
          <w:rtl/>
        </w:rPr>
        <w:instrText xml:space="preserve"> _</w:instrText>
      </w:r>
      <w:r w:rsidRPr="00736D9F">
        <w:rPr>
          <w:rStyle w:val="af7"/>
          <w:rFonts w:eastAsia="Guttman Hodes" w:hint="cs"/>
        </w:rPr>
        <w:instrText>Ref63589778 \r \h</w:instrText>
      </w:r>
      <w:r w:rsidRPr="00736D9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36D9F">
        <w:rPr>
          <w:rStyle w:val="af7"/>
          <w:rFonts w:eastAsia="Guttman Hodes"/>
          <w:rtl/>
        </w:rPr>
      </w:r>
      <w:r w:rsidRPr="00736D9F">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736D9F">
        <w:rPr>
          <w:rStyle w:val="af7"/>
          <w:rFonts w:eastAsia="Guttman Hodes"/>
          <w:rtl/>
        </w:rPr>
        <w:fldChar w:fldCharType="end"/>
      </w:r>
      <w:r>
        <w:rPr>
          <w:rFonts w:hint="cs"/>
          <w:rtl/>
        </w:rPr>
        <w:t xml:space="preserve"> דכתב דכל הנאמנות של רבא בר שרשום במיגו, היינו דוקא אחר שכבר אכל את הפירות, בשיעור של החוב, אבל אם החזיר את הקרקע לפני אכילת הפירות, אינו נאמן במיגו, דלא מהני מיגו בממון אחד לזכות ע"י בממון אחר, דכיון שהודה ממילא הקרקע בחזקת היתומים, ואינו נאמן במיגו דלקוחה לתבועה ממון אחר.</w:t>
      </w:r>
      <w:bookmarkEnd w:id="14620"/>
      <w:r w:rsidRPr="00326432">
        <w:rPr>
          <w:rStyle w:val="afb"/>
          <w:rFonts w:hint="cs"/>
          <w:rtl/>
        </w:rPr>
        <w:t xml:space="preserve"> </w:t>
      </w:r>
      <w:r w:rsidRPr="00AC00D4">
        <w:rPr>
          <w:rStyle w:val="afb"/>
          <w:rFonts w:hint="cs"/>
          <w:rtl/>
        </w:rPr>
        <w:t>[</w:t>
      </w:r>
      <w:r>
        <w:rPr>
          <w:rStyle w:val="afb"/>
          <w:rFonts w:hint="cs"/>
          <w:rtl/>
        </w:rPr>
        <w:t xml:space="preserve">וכתבו </w:t>
      </w:r>
      <w:r w:rsidRPr="008F4F8A">
        <w:rPr>
          <w:rStyle w:val="affa"/>
          <w:rFonts w:hint="cs"/>
          <w:rtl/>
        </w:rPr>
        <w:t>הגרעק"א</w:t>
      </w:r>
      <w:r>
        <w:rPr>
          <w:rStyle w:val="afb"/>
          <w:rFonts w:hint="cs"/>
          <w:rtl/>
        </w:rPr>
        <w:t xml:space="preserve"> </w:t>
      </w:r>
      <w:r w:rsidRPr="008F4F8A">
        <w:rPr>
          <w:rStyle w:val="aff6"/>
          <w:rFonts w:hint="cs"/>
          <w:rtl/>
        </w:rPr>
        <w:t>(סי' ק"נ על הש"ך סק"ג)</w:t>
      </w:r>
      <w:r>
        <w:rPr>
          <w:rStyle w:val="afb"/>
          <w:rFonts w:hint="cs"/>
          <w:rtl/>
        </w:rPr>
        <w:t xml:space="preserve"> </w:t>
      </w:r>
      <w:r>
        <w:rPr>
          <w:rStyle w:val="affa"/>
          <w:rFonts w:hint="cs"/>
          <w:rtl/>
        </w:rPr>
        <w:t>ו</w:t>
      </w:r>
      <w:r w:rsidRPr="001F33B5">
        <w:rPr>
          <w:rStyle w:val="affa"/>
          <w:rFonts w:hint="cs"/>
          <w:rtl/>
        </w:rPr>
        <w:t>הקוב"ש</w:t>
      </w:r>
      <w:r>
        <w:rPr>
          <w:rStyle w:val="afb"/>
          <w:rFonts w:hint="cs"/>
          <w:rtl/>
        </w:rPr>
        <w:t xml:space="preserve"> </w:t>
      </w:r>
      <w:r w:rsidRPr="001F33B5">
        <w:rPr>
          <w:rStyle w:val="aff6"/>
          <w:rFonts w:hint="cs"/>
          <w:rtl/>
        </w:rPr>
        <w:t>(או' ק"מ</w:t>
      </w:r>
      <w:r>
        <w:rPr>
          <w:rStyle w:val="aff6"/>
          <w:rFonts w:hint="cs"/>
          <w:rtl/>
        </w:rPr>
        <w:t>)</w:t>
      </w:r>
      <w:r>
        <w:rPr>
          <w:rStyle w:val="afb"/>
          <w:rFonts w:hint="cs"/>
          <w:rtl/>
        </w:rPr>
        <w:t xml:space="preserve"> </w:t>
      </w:r>
      <w:r w:rsidRPr="00481C8F">
        <w:rPr>
          <w:rStyle w:val="affa"/>
          <w:rFonts w:hint="cs"/>
          <w:rtl/>
        </w:rPr>
        <w:t>דהטור</w:t>
      </w:r>
      <w:r>
        <w:rPr>
          <w:rStyle w:val="afb"/>
          <w:rFonts w:hint="cs"/>
          <w:rtl/>
        </w:rPr>
        <w:t xml:space="preserve"> הביא בקיצור רק את דברי</w:t>
      </w:r>
      <w:r>
        <w:rPr>
          <w:rStyle w:val="affa"/>
          <w:rFonts w:hint="cs"/>
          <w:rtl/>
        </w:rPr>
        <w:t xml:space="preserve"> </w:t>
      </w:r>
      <w:r w:rsidRPr="00181401">
        <w:rPr>
          <w:rStyle w:val="affa"/>
          <w:rFonts w:hint="cs"/>
          <w:rtl/>
        </w:rPr>
        <w:t>רבינו יונה</w:t>
      </w:r>
      <w:r w:rsidRPr="00181401">
        <w:rPr>
          <w:rStyle w:val="afb"/>
          <w:rFonts w:hint="cs"/>
          <w:rtl/>
        </w:rPr>
        <w:t xml:space="preserve"> </w:t>
      </w:r>
      <w:r w:rsidRPr="00181401">
        <w:rPr>
          <w:rStyle w:val="aff6"/>
          <w:rFonts w:hint="cs"/>
          <w:rtl/>
        </w:rPr>
        <w:t xml:space="preserve">(עי' אות </w:t>
      </w:r>
      <w:r w:rsidRPr="00181401">
        <w:rPr>
          <w:rStyle w:val="aff6"/>
          <w:rtl/>
        </w:rPr>
        <w:fldChar w:fldCharType="begin"/>
      </w:r>
      <w:r w:rsidRPr="00181401">
        <w:rPr>
          <w:rStyle w:val="aff6"/>
          <w:rtl/>
        </w:rPr>
        <w:instrText xml:space="preserve"> </w:instrText>
      </w:r>
      <w:r w:rsidRPr="00181401">
        <w:rPr>
          <w:rStyle w:val="aff6"/>
          <w:rFonts w:hint="cs"/>
        </w:rPr>
        <w:instrText>REF</w:instrText>
      </w:r>
      <w:r w:rsidRPr="00181401">
        <w:rPr>
          <w:rStyle w:val="aff6"/>
          <w:rFonts w:hint="cs"/>
          <w:rtl/>
        </w:rPr>
        <w:instrText xml:space="preserve"> _</w:instrText>
      </w:r>
      <w:r w:rsidRPr="00181401">
        <w:rPr>
          <w:rStyle w:val="aff6"/>
          <w:rFonts w:hint="cs"/>
        </w:rPr>
        <w:instrText>Ref63589778 \r \h</w:instrText>
      </w:r>
      <w:r w:rsidRPr="00181401">
        <w:rPr>
          <w:rStyle w:val="aff6"/>
          <w:rtl/>
        </w:rPr>
        <w:instrText xml:space="preserve"> </w:instrText>
      </w:r>
      <w:r w:rsidRPr="00181401">
        <w:rPr>
          <w:rStyle w:val="aff6"/>
          <w:rtl/>
        </w:rPr>
      </w:r>
      <w:r w:rsidRPr="00181401">
        <w:rPr>
          <w:rStyle w:val="aff6"/>
          <w:rtl/>
        </w:rPr>
        <w:fldChar w:fldCharType="separate"/>
      </w:r>
      <w:r w:rsidR="00265073">
        <w:rPr>
          <w:rStyle w:val="aff6"/>
          <w:cs/>
        </w:rPr>
        <w:t>‎</w:t>
      </w:r>
      <w:r w:rsidR="00265073">
        <w:rPr>
          <w:rStyle w:val="aff6"/>
          <w:rtl/>
        </w:rPr>
        <w:t>מ)</w:t>
      </w:r>
      <w:r w:rsidRPr="00181401">
        <w:rPr>
          <w:rStyle w:val="aff6"/>
          <w:rtl/>
        </w:rPr>
        <w:fldChar w:fldCharType="end"/>
      </w:r>
      <w:r>
        <w:rPr>
          <w:rStyle w:val="afb"/>
          <w:rFonts w:hint="cs"/>
          <w:rtl/>
        </w:rPr>
        <w:t xml:space="preserve"> במה שתירץ דהוא מיגו מממון לממון, ולא ראו </w:t>
      </w:r>
      <w:r w:rsidRPr="00481C8F">
        <w:rPr>
          <w:rStyle w:val="affa"/>
          <w:rFonts w:hint="cs"/>
          <w:rtl/>
        </w:rPr>
        <w:t>האחרונים</w:t>
      </w:r>
      <w:r>
        <w:rPr>
          <w:rStyle w:val="afb"/>
          <w:rFonts w:hint="cs"/>
          <w:rtl/>
        </w:rPr>
        <w:t xml:space="preserve"> את ג' התירוצים שהביא </w:t>
      </w:r>
      <w:r w:rsidRPr="00481C8F">
        <w:rPr>
          <w:rStyle w:val="affa"/>
          <w:rFonts w:hint="cs"/>
          <w:rtl/>
        </w:rPr>
        <w:t>השיטמ"ק</w:t>
      </w:r>
      <w:r>
        <w:rPr>
          <w:rStyle w:val="afb"/>
          <w:rFonts w:hint="cs"/>
          <w:rtl/>
        </w:rPr>
        <w:t xml:space="preserve"> בשם </w:t>
      </w:r>
      <w:r w:rsidRPr="00481C8F">
        <w:rPr>
          <w:rStyle w:val="affa"/>
          <w:rFonts w:hint="cs"/>
          <w:rtl/>
        </w:rPr>
        <w:t>רבינו יונה</w:t>
      </w:r>
      <w:r>
        <w:rPr>
          <w:rStyle w:val="afb"/>
          <w:rFonts w:hint="cs"/>
          <w:rtl/>
        </w:rPr>
        <w:t xml:space="preserve">, אמנם </w:t>
      </w:r>
      <w:r w:rsidRPr="00481C8F">
        <w:rPr>
          <w:rStyle w:val="affa"/>
          <w:rFonts w:hint="cs"/>
          <w:rtl/>
        </w:rPr>
        <w:t>ברבינו יונה</w:t>
      </w:r>
      <w:r>
        <w:rPr>
          <w:rStyle w:val="afb"/>
          <w:rFonts w:hint="cs"/>
          <w:rtl/>
        </w:rPr>
        <w:t xml:space="preserve"> לפנינו נוסף מה שביאר </w:t>
      </w:r>
      <w:r w:rsidRPr="00481C8F">
        <w:rPr>
          <w:rStyle w:val="affa"/>
          <w:rFonts w:hint="cs"/>
          <w:rtl/>
        </w:rPr>
        <w:t>רבינו יונה</w:t>
      </w:r>
      <w:r>
        <w:rPr>
          <w:rStyle w:val="afb"/>
          <w:rFonts w:hint="cs"/>
          <w:rtl/>
        </w:rPr>
        <w:t xml:space="preserve"> </w:t>
      </w:r>
      <w:r w:rsidRPr="00481C8F">
        <w:rPr>
          <w:rStyle w:val="aff6"/>
          <w:rFonts w:hint="cs"/>
          <w:rtl/>
        </w:rPr>
        <w:t xml:space="preserve">(עי' אות </w:t>
      </w:r>
      <w:r w:rsidRPr="00481C8F">
        <w:rPr>
          <w:rStyle w:val="aff6"/>
          <w:rtl/>
        </w:rPr>
        <w:fldChar w:fldCharType="begin"/>
      </w:r>
      <w:r w:rsidRPr="00481C8F">
        <w:rPr>
          <w:rStyle w:val="aff6"/>
          <w:rtl/>
        </w:rPr>
        <w:instrText xml:space="preserve"> </w:instrText>
      </w:r>
      <w:r w:rsidRPr="00481C8F">
        <w:rPr>
          <w:rStyle w:val="aff6"/>
          <w:rFonts w:hint="cs"/>
        </w:rPr>
        <w:instrText>REF</w:instrText>
      </w:r>
      <w:r w:rsidRPr="00481C8F">
        <w:rPr>
          <w:rStyle w:val="aff6"/>
          <w:rFonts w:hint="cs"/>
          <w:rtl/>
        </w:rPr>
        <w:instrText xml:space="preserve"> _</w:instrText>
      </w:r>
      <w:r w:rsidRPr="00481C8F">
        <w:rPr>
          <w:rStyle w:val="aff6"/>
          <w:rFonts w:hint="cs"/>
        </w:rPr>
        <w:instrText>Ref64021797 \r \h</w:instrText>
      </w:r>
      <w:r w:rsidRPr="00481C8F">
        <w:rPr>
          <w:rStyle w:val="aff6"/>
          <w:rtl/>
        </w:rPr>
        <w:instrText xml:space="preserve"> </w:instrText>
      </w:r>
      <w:r w:rsidRPr="00481C8F">
        <w:rPr>
          <w:rStyle w:val="aff6"/>
          <w:rtl/>
        </w:rPr>
      </w:r>
      <w:r w:rsidRPr="00481C8F">
        <w:rPr>
          <w:rStyle w:val="aff6"/>
          <w:rtl/>
        </w:rPr>
        <w:fldChar w:fldCharType="separate"/>
      </w:r>
      <w:r w:rsidR="00265073">
        <w:rPr>
          <w:rStyle w:val="aff6"/>
          <w:cs/>
        </w:rPr>
        <w:t>‎</w:t>
      </w:r>
      <w:r w:rsidR="00265073">
        <w:rPr>
          <w:rStyle w:val="aff6"/>
          <w:rtl/>
        </w:rPr>
        <w:t>לד)</w:t>
      </w:r>
      <w:r w:rsidRPr="00481C8F">
        <w:rPr>
          <w:rStyle w:val="aff6"/>
          <w:rtl/>
        </w:rPr>
        <w:fldChar w:fldCharType="end"/>
      </w:r>
      <w:r>
        <w:rPr>
          <w:rStyle w:val="afb"/>
          <w:rFonts w:hint="cs"/>
          <w:rtl/>
        </w:rPr>
        <w:t xml:space="preserve"> בתחילת דבריו בדברי רבא בר שרשום </w:t>
      </w:r>
      <w:r w:rsidRPr="00481C8F">
        <w:rPr>
          <w:rStyle w:val="affa"/>
          <w:rFonts w:hint="cs"/>
          <w:rtl/>
        </w:rPr>
        <w:t>ובשיטמ"ק</w:t>
      </w:r>
      <w:r>
        <w:rPr>
          <w:rStyle w:val="afb"/>
          <w:rFonts w:hint="cs"/>
          <w:rtl/>
        </w:rPr>
        <w:t xml:space="preserve"> הביא ררק מקושית </w:t>
      </w:r>
      <w:r w:rsidRPr="00481C8F">
        <w:rPr>
          <w:rStyle w:val="affa"/>
          <w:rFonts w:hint="cs"/>
          <w:rtl/>
        </w:rPr>
        <w:t>רבינו יונה</w:t>
      </w:r>
      <w:r>
        <w:rPr>
          <w:rStyle w:val="afb"/>
          <w:rFonts w:hint="cs"/>
          <w:rtl/>
        </w:rPr>
        <w:t xml:space="preserve"> </w:t>
      </w:r>
      <w:r w:rsidRPr="00481C8F">
        <w:rPr>
          <w:rStyle w:val="aff6"/>
          <w:rFonts w:hint="cs"/>
          <w:rtl/>
        </w:rPr>
        <w:t xml:space="preserve">(עי' אות </w:t>
      </w:r>
      <w:r w:rsidRPr="00481C8F">
        <w:rPr>
          <w:rStyle w:val="aff6"/>
          <w:rtl/>
        </w:rPr>
        <w:fldChar w:fldCharType="begin"/>
      </w:r>
      <w:r w:rsidRPr="00481C8F">
        <w:rPr>
          <w:rStyle w:val="aff6"/>
          <w:rtl/>
        </w:rPr>
        <w:instrText xml:space="preserve"> </w:instrText>
      </w:r>
      <w:r w:rsidRPr="00481C8F">
        <w:rPr>
          <w:rStyle w:val="aff6"/>
          <w:rFonts w:hint="cs"/>
        </w:rPr>
        <w:instrText>REF</w:instrText>
      </w:r>
      <w:r w:rsidRPr="00481C8F">
        <w:rPr>
          <w:rStyle w:val="aff6"/>
          <w:rFonts w:hint="cs"/>
          <w:rtl/>
        </w:rPr>
        <w:instrText xml:space="preserve"> _</w:instrText>
      </w:r>
      <w:r w:rsidRPr="00481C8F">
        <w:rPr>
          <w:rStyle w:val="aff6"/>
          <w:rFonts w:hint="cs"/>
        </w:rPr>
        <w:instrText>Ref64021809 \r \h</w:instrText>
      </w:r>
      <w:r w:rsidRPr="00481C8F">
        <w:rPr>
          <w:rStyle w:val="aff6"/>
          <w:rtl/>
        </w:rPr>
        <w:instrText xml:space="preserve"> </w:instrText>
      </w:r>
      <w:r w:rsidRPr="00481C8F">
        <w:rPr>
          <w:rStyle w:val="aff6"/>
          <w:rtl/>
        </w:rPr>
      </w:r>
      <w:r w:rsidRPr="00481C8F">
        <w:rPr>
          <w:rStyle w:val="aff6"/>
          <w:rtl/>
        </w:rPr>
        <w:fldChar w:fldCharType="separate"/>
      </w:r>
      <w:r w:rsidR="00265073">
        <w:rPr>
          <w:rStyle w:val="aff6"/>
          <w:cs/>
        </w:rPr>
        <w:t>‎</w:t>
      </w:r>
      <w:r w:rsidR="00265073">
        <w:rPr>
          <w:rStyle w:val="aff6"/>
          <w:rtl/>
        </w:rPr>
        <w:t>לו)</w:t>
      </w:r>
      <w:r w:rsidRPr="00481C8F">
        <w:rPr>
          <w:rStyle w:val="aff6"/>
          <w:rtl/>
        </w:rPr>
        <w:fldChar w:fldCharType="end"/>
      </w:r>
      <w:r>
        <w:rPr>
          <w:rStyle w:val="afb"/>
          <w:rFonts w:hint="cs"/>
          <w:rtl/>
        </w:rPr>
        <w:t xml:space="preserve"> ואילך, וע"ע במ"ש </w:t>
      </w:r>
      <w:r w:rsidRPr="00965DAC">
        <w:rPr>
          <w:rStyle w:val="affa"/>
          <w:rFonts w:hint="cs"/>
          <w:rtl/>
        </w:rPr>
        <w:t>רבינו יונה</w:t>
      </w:r>
      <w:r>
        <w:rPr>
          <w:rStyle w:val="afb"/>
          <w:rFonts w:hint="cs"/>
          <w:rtl/>
        </w:rPr>
        <w:t xml:space="preserve"> </w:t>
      </w:r>
      <w:r w:rsidRPr="00965DAC">
        <w:rPr>
          <w:rStyle w:val="aff6"/>
          <w:rFonts w:hint="cs"/>
          <w:rtl/>
        </w:rPr>
        <w:t xml:space="preserve">(עי' אות </w:t>
      </w:r>
      <w:r w:rsidRPr="00965DAC">
        <w:rPr>
          <w:rStyle w:val="aff6"/>
          <w:rtl/>
        </w:rPr>
        <w:fldChar w:fldCharType="begin"/>
      </w:r>
      <w:r w:rsidRPr="00965DAC">
        <w:rPr>
          <w:rStyle w:val="aff6"/>
          <w:rtl/>
        </w:rPr>
        <w:instrText xml:space="preserve"> </w:instrText>
      </w:r>
      <w:r w:rsidRPr="00965DAC">
        <w:rPr>
          <w:rStyle w:val="aff6"/>
          <w:rFonts w:hint="cs"/>
        </w:rPr>
        <w:instrText>REF</w:instrText>
      </w:r>
      <w:r w:rsidRPr="00965DAC">
        <w:rPr>
          <w:rStyle w:val="aff6"/>
          <w:rFonts w:hint="cs"/>
          <w:rtl/>
        </w:rPr>
        <w:instrText xml:space="preserve"> _</w:instrText>
      </w:r>
      <w:r w:rsidRPr="00965DAC">
        <w:rPr>
          <w:rStyle w:val="aff6"/>
          <w:rFonts w:hint="cs"/>
        </w:rPr>
        <w:instrText>Ref63853641 \r \h</w:instrText>
      </w:r>
      <w:r w:rsidRPr="00965DAC">
        <w:rPr>
          <w:rStyle w:val="aff6"/>
          <w:rtl/>
        </w:rPr>
        <w:instrText xml:space="preserve"> </w:instrText>
      </w:r>
      <w:r w:rsidRPr="00965DAC">
        <w:rPr>
          <w:rStyle w:val="aff6"/>
          <w:rtl/>
        </w:rPr>
      </w:r>
      <w:r w:rsidRPr="00965DAC">
        <w:rPr>
          <w:rStyle w:val="aff6"/>
          <w:rtl/>
        </w:rPr>
        <w:fldChar w:fldCharType="separate"/>
      </w:r>
      <w:r w:rsidR="00265073">
        <w:rPr>
          <w:rStyle w:val="aff6"/>
          <w:cs/>
        </w:rPr>
        <w:t>‎</w:t>
      </w:r>
      <w:r w:rsidR="00265073">
        <w:rPr>
          <w:rStyle w:val="aff6"/>
          <w:rtl/>
        </w:rPr>
        <w:t>מג)</w:t>
      </w:r>
      <w:r w:rsidRPr="00965DAC">
        <w:rPr>
          <w:rStyle w:val="aff6"/>
          <w:rtl/>
        </w:rPr>
        <w:fldChar w:fldCharType="end"/>
      </w:r>
      <w:r>
        <w:rPr>
          <w:rStyle w:val="afb"/>
          <w:rFonts w:hint="cs"/>
          <w:rtl/>
        </w:rPr>
        <w:t xml:space="preserve"> בסוף דבריו דרבא בר שרשום לא התחיל לאכול את הפירות, לפני שא"ל אביי להחזיר את הקרקע, ויש לעיין בכ"ז היטב בביאורי </w:t>
      </w:r>
      <w:r w:rsidRPr="00481C8F">
        <w:rPr>
          <w:rStyle w:val="affa"/>
          <w:rFonts w:hint="cs"/>
          <w:rtl/>
        </w:rPr>
        <w:t xml:space="preserve">האחרונים </w:t>
      </w:r>
      <w:r>
        <w:rPr>
          <w:rStyle w:val="afb"/>
          <w:rFonts w:hint="cs"/>
          <w:rtl/>
        </w:rPr>
        <w:t xml:space="preserve">בדברי </w:t>
      </w:r>
      <w:r w:rsidRPr="00481C8F">
        <w:rPr>
          <w:rStyle w:val="affa"/>
          <w:rFonts w:hint="cs"/>
          <w:rtl/>
        </w:rPr>
        <w:t>רבינו יונה</w:t>
      </w:r>
      <w:r w:rsidRPr="00AC00D4">
        <w:rPr>
          <w:rStyle w:val="afb"/>
          <w:rFonts w:hint="cs"/>
          <w:rtl/>
        </w:rPr>
        <w:t>].</w:t>
      </w:r>
      <w:bookmarkEnd w:id="14621"/>
    </w:p>
    <w:p w:rsidR="00F4065E" w:rsidRPr="003B0CB9" w:rsidRDefault="00F4065E" w:rsidP="00F4065E">
      <w:pPr>
        <w:pStyle w:val="a3"/>
      </w:pPr>
      <w:bookmarkStart w:id="14625" w:name="_Toc64024637"/>
      <w:bookmarkStart w:id="14626" w:name="_Toc64036032"/>
      <w:bookmarkStart w:id="14627" w:name="_Toc64148065"/>
      <w:bookmarkStart w:id="14628" w:name="_Toc64205664"/>
      <w:bookmarkStart w:id="14629" w:name="_Toc64209344"/>
      <w:r>
        <w:rPr>
          <w:rFonts w:hint="cs"/>
          <w:rtl/>
        </w:rPr>
        <w:t>דברי הש"ך דמשמע בטור דבמטלטלין נאמן אף כשלא אכל ודחה הש"ך דאין חילוק בזה</w:t>
      </w:r>
      <w:bookmarkEnd w:id="14625"/>
      <w:bookmarkEnd w:id="14626"/>
      <w:bookmarkEnd w:id="14627"/>
      <w:bookmarkEnd w:id="14628"/>
      <w:bookmarkEnd w:id="14629"/>
    </w:p>
    <w:p w:rsidR="00F4065E" w:rsidRDefault="00F4065E" w:rsidP="007E4E81">
      <w:pPr>
        <w:pStyle w:val="a0"/>
        <w:rPr>
          <w:rStyle w:val="afb"/>
          <w:rtl/>
        </w:rPr>
      </w:pPr>
      <w:bookmarkStart w:id="14630" w:name="_Ref63873450"/>
      <w:r>
        <w:rPr>
          <w:rFonts w:hint="cs"/>
          <w:rtl/>
        </w:rPr>
        <w:t xml:space="preserve">וכתב </w:t>
      </w:r>
      <w:r w:rsidRPr="00A147FB">
        <w:rPr>
          <w:rStyle w:val="af9"/>
          <w:rFonts w:hint="cs"/>
          <w:rtl/>
        </w:rPr>
        <w:t>הש"ך</w:t>
      </w:r>
      <w:r>
        <w:rPr>
          <w:rFonts w:hint="cs"/>
          <w:rtl/>
        </w:rPr>
        <w:t xml:space="preserve"> </w:t>
      </w:r>
      <w:r w:rsidRPr="00736D9F">
        <w:rPr>
          <w:rStyle w:val="af7"/>
          <w:rFonts w:eastAsia="Guttman Hodes" w:hint="cs"/>
          <w:rtl/>
        </w:rPr>
        <w:t>(סי' ק"נ ריש סק"ג)</w:t>
      </w:r>
      <w:r>
        <w:rPr>
          <w:rFonts w:hint="cs"/>
          <w:rtl/>
        </w:rPr>
        <w:t xml:space="preserve"> דמשמע מדברי </w:t>
      </w:r>
      <w:r>
        <w:rPr>
          <w:rStyle w:val="af9"/>
          <w:rFonts w:hint="cs"/>
          <w:rtl/>
        </w:rPr>
        <w:t>הטור</w:t>
      </w:r>
      <w:r w:rsidRPr="00A9509D">
        <w:rPr>
          <w:rFonts w:hint="cs"/>
          <w:rtl/>
        </w:rPr>
        <w:t xml:space="preserve"> </w:t>
      </w:r>
      <w:r w:rsidRPr="00A9509D">
        <w:rPr>
          <w:rStyle w:val="af7"/>
          <w:rFonts w:eastAsia="Guttman Hodes" w:hint="cs"/>
          <w:rtl/>
        </w:rPr>
        <w:t xml:space="preserve">(עי' אות </w:t>
      </w:r>
      <w:r w:rsidRPr="00A9509D">
        <w:rPr>
          <w:rStyle w:val="af7"/>
          <w:rFonts w:eastAsia="Guttman Hodes"/>
          <w:rtl/>
        </w:rPr>
        <w:fldChar w:fldCharType="begin"/>
      </w:r>
      <w:r w:rsidRPr="00A9509D">
        <w:rPr>
          <w:rStyle w:val="af7"/>
          <w:rFonts w:eastAsia="Guttman Hodes"/>
          <w:rtl/>
        </w:rPr>
        <w:instrText xml:space="preserve"> </w:instrText>
      </w:r>
      <w:r w:rsidRPr="00A9509D">
        <w:rPr>
          <w:rStyle w:val="af7"/>
          <w:rFonts w:eastAsia="Guttman Hodes" w:hint="cs"/>
        </w:rPr>
        <w:instrText>REF</w:instrText>
      </w:r>
      <w:r w:rsidRPr="00A9509D">
        <w:rPr>
          <w:rStyle w:val="af7"/>
          <w:rFonts w:eastAsia="Guttman Hodes" w:hint="cs"/>
          <w:rtl/>
        </w:rPr>
        <w:instrText xml:space="preserve"> _</w:instrText>
      </w:r>
      <w:r w:rsidRPr="00A9509D">
        <w:rPr>
          <w:rStyle w:val="af7"/>
          <w:rFonts w:eastAsia="Guttman Hodes" w:hint="cs"/>
        </w:rPr>
        <w:instrText>Ref64022209 \r \h</w:instrText>
      </w:r>
      <w:r w:rsidRPr="00A9509D">
        <w:rPr>
          <w:rStyle w:val="af7"/>
          <w:rFonts w:eastAsia="Guttman Hodes"/>
          <w:rtl/>
        </w:rPr>
        <w:instrText xml:space="preserve"> </w:instrText>
      </w:r>
      <w:r w:rsidRPr="00A9509D">
        <w:rPr>
          <w:rStyle w:val="af7"/>
          <w:rFonts w:eastAsia="Guttman Hodes"/>
          <w:rtl/>
        </w:rPr>
      </w:r>
      <w:r w:rsidRPr="00A9509D">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A9509D">
        <w:rPr>
          <w:rStyle w:val="af7"/>
          <w:rFonts w:eastAsia="Guttman Hodes"/>
          <w:rtl/>
        </w:rPr>
        <w:fldChar w:fldCharType="end"/>
      </w:r>
      <w:r>
        <w:rPr>
          <w:rFonts w:hint="cs"/>
          <w:rtl/>
        </w:rPr>
        <w:t xml:space="preserve"> </w:t>
      </w:r>
      <w:r w:rsidRPr="00A9509D">
        <w:rPr>
          <w:rFonts w:hint="cs"/>
          <w:rtl/>
        </w:rPr>
        <w:t>בשם</w:t>
      </w:r>
      <w:r>
        <w:rPr>
          <w:rStyle w:val="af9"/>
          <w:rFonts w:hint="cs"/>
          <w:rtl/>
        </w:rPr>
        <w:t xml:space="preserve"> </w:t>
      </w:r>
      <w:r w:rsidRPr="008628AE">
        <w:rPr>
          <w:rStyle w:val="af9"/>
          <w:rFonts w:hint="cs"/>
          <w:rtl/>
        </w:rPr>
        <w:t>רבינו</w:t>
      </w:r>
      <w:r>
        <w:rPr>
          <w:rFonts w:hint="cs"/>
          <w:rtl/>
        </w:rPr>
        <w:t xml:space="preserve"> </w:t>
      </w:r>
      <w:r w:rsidRPr="008628AE">
        <w:rPr>
          <w:rStyle w:val="af9"/>
          <w:rFonts w:hint="cs"/>
          <w:rtl/>
        </w:rPr>
        <w:t>יונה</w:t>
      </w:r>
      <w:r>
        <w:rPr>
          <w:rFonts w:hint="cs"/>
          <w:rtl/>
        </w:rPr>
        <w:t xml:space="preserve"> </w:t>
      </w:r>
      <w:r w:rsidRPr="00736D9F">
        <w:rPr>
          <w:rStyle w:val="af7"/>
          <w:rFonts w:eastAsia="Guttman Hodes" w:hint="cs"/>
          <w:rtl/>
        </w:rPr>
        <w:t xml:space="preserve">(עי' אות </w:t>
      </w:r>
      <w:r w:rsidRPr="00736D9F">
        <w:rPr>
          <w:rStyle w:val="af7"/>
          <w:rFonts w:eastAsia="Guttman Hodes"/>
          <w:rtl/>
        </w:rPr>
        <w:fldChar w:fldCharType="begin"/>
      </w:r>
      <w:r w:rsidRPr="00736D9F">
        <w:rPr>
          <w:rStyle w:val="af7"/>
          <w:rFonts w:eastAsia="Guttman Hodes"/>
          <w:rtl/>
        </w:rPr>
        <w:instrText xml:space="preserve"> </w:instrText>
      </w:r>
      <w:r w:rsidRPr="00736D9F">
        <w:rPr>
          <w:rStyle w:val="af7"/>
          <w:rFonts w:eastAsia="Guttman Hodes" w:hint="cs"/>
        </w:rPr>
        <w:instrText>REF</w:instrText>
      </w:r>
      <w:r w:rsidRPr="00736D9F">
        <w:rPr>
          <w:rStyle w:val="af7"/>
          <w:rFonts w:eastAsia="Guttman Hodes" w:hint="cs"/>
          <w:rtl/>
        </w:rPr>
        <w:instrText xml:space="preserve"> _</w:instrText>
      </w:r>
      <w:r w:rsidRPr="00736D9F">
        <w:rPr>
          <w:rStyle w:val="af7"/>
          <w:rFonts w:eastAsia="Guttman Hodes" w:hint="cs"/>
        </w:rPr>
        <w:instrText>Ref63589778 \r \h</w:instrText>
      </w:r>
      <w:r w:rsidRPr="00736D9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36D9F">
        <w:rPr>
          <w:rStyle w:val="af7"/>
          <w:rFonts w:eastAsia="Guttman Hodes"/>
          <w:rtl/>
        </w:rPr>
      </w:r>
      <w:r w:rsidRPr="00736D9F">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736D9F">
        <w:rPr>
          <w:rStyle w:val="af7"/>
          <w:rFonts w:eastAsia="Guttman Hodes"/>
          <w:rtl/>
        </w:rPr>
        <w:fldChar w:fldCharType="end"/>
      </w:r>
      <w:r w:rsidRPr="00AB0E8A">
        <w:rPr>
          <w:rStyle w:val="af9"/>
          <w:rFonts w:hint="cs"/>
          <w:rtl/>
        </w:rPr>
        <w:t xml:space="preserve"> </w:t>
      </w:r>
      <w:r>
        <w:rPr>
          <w:rFonts w:hint="cs"/>
          <w:rtl/>
        </w:rPr>
        <w:t xml:space="preserve">דדוקא בקרקע אינו נאמן דהיא בחזקת בעליה, ודחה </w:t>
      </w:r>
      <w:r w:rsidRPr="00A147FB">
        <w:rPr>
          <w:rStyle w:val="af9"/>
          <w:rFonts w:hint="cs"/>
          <w:rtl/>
        </w:rPr>
        <w:t>הש"ך</w:t>
      </w:r>
      <w:r>
        <w:rPr>
          <w:rFonts w:hint="cs"/>
          <w:rtl/>
        </w:rPr>
        <w:t xml:space="preserve"> דאף במטלטלין אינו נאמן במיגו לתבוע ממון אחר, אעפ"י דמהני תפיסה במטלטלין, עיי"ש במה שהאריך בזה </w:t>
      </w:r>
      <w:r w:rsidRPr="004E1FBC">
        <w:rPr>
          <w:rStyle w:val="af9"/>
          <w:rFonts w:hint="cs"/>
          <w:rtl/>
        </w:rPr>
        <w:t>הש"ך</w:t>
      </w:r>
      <w:r>
        <w:rPr>
          <w:rFonts w:hint="cs"/>
          <w:rtl/>
        </w:rPr>
        <w:t xml:space="preserve"> טובא, ועיי"ש במ"ש </w:t>
      </w:r>
      <w:r w:rsidRPr="00A147FB">
        <w:rPr>
          <w:rStyle w:val="af9"/>
          <w:rFonts w:hint="cs"/>
          <w:rtl/>
        </w:rPr>
        <w:t>הש"ך</w:t>
      </w:r>
      <w:r>
        <w:rPr>
          <w:rFonts w:hint="cs"/>
          <w:rtl/>
        </w:rPr>
        <w:t xml:space="preserve"> דלא דמי לעיזי דאכלי חושלא דנאמן לתבוע. </w:t>
      </w:r>
      <w:r w:rsidRPr="00AC00D4">
        <w:rPr>
          <w:rStyle w:val="afb"/>
          <w:rFonts w:hint="cs"/>
          <w:rtl/>
        </w:rPr>
        <w:t>[אמנם</w:t>
      </w:r>
      <w:r>
        <w:rPr>
          <w:rStyle w:val="afb"/>
          <w:rFonts w:hint="cs"/>
          <w:rtl/>
        </w:rPr>
        <w:t xml:space="preserve"> </w:t>
      </w:r>
      <w:r w:rsidRPr="008F4F8A">
        <w:rPr>
          <w:rStyle w:val="affa"/>
          <w:rFonts w:hint="cs"/>
          <w:rtl/>
        </w:rPr>
        <w:t>הגרעק"א</w:t>
      </w:r>
      <w:r>
        <w:rPr>
          <w:rStyle w:val="afb"/>
          <w:rFonts w:hint="cs"/>
          <w:rtl/>
        </w:rPr>
        <w:t xml:space="preserve"> </w:t>
      </w:r>
      <w:r w:rsidRPr="008F4F8A">
        <w:rPr>
          <w:rStyle w:val="aff6"/>
          <w:rFonts w:hint="cs"/>
          <w:rtl/>
        </w:rPr>
        <w:t>(סי' ק"נ על הש"ך סק"ג)</w:t>
      </w:r>
      <w:r>
        <w:rPr>
          <w:rStyle w:val="afb"/>
          <w:rFonts w:hint="cs"/>
          <w:rtl/>
        </w:rPr>
        <w:t xml:space="preserve"> הביא את דברי</w:t>
      </w:r>
      <w:r>
        <w:rPr>
          <w:rStyle w:val="affa"/>
          <w:rFonts w:hint="cs"/>
          <w:rtl/>
        </w:rPr>
        <w:t xml:space="preserve"> </w:t>
      </w:r>
      <w:r w:rsidRPr="00AB0E8A">
        <w:rPr>
          <w:rStyle w:val="affa"/>
          <w:rFonts w:hint="cs"/>
          <w:rtl/>
        </w:rPr>
        <w:t>רבינו יונה</w:t>
      </w:r>
      <w:r w:rsidRPr="00AC00D4">
        <w:rPr>
          <w:rStyle w:val="afb"/>
          <w:rFonts w:hint="cs"/>
          <w:rtl/>
        </w:rPr>
        <w:t xml:space="preserve"> </w:t>
      </w:r>
      <w:r w:rsidRPr="00AB0E8A">
        <w:rPr>
          <w:rStyle w:val="aff6"/>
          <w:rFonts w:hint="cs"/>
          <w:rtl/>
        </w:rPr>
        <w:t xml:space="preserve">(עי' אות </w:t>
      </w:r>
      <w:r w:rsidRPr="00AB0E8A">
        <w:rPr>
          <w:rStyle w:val="aff6"/>
          <w:rtl/>
        </w:rPr>
        <w:fldChar w:fldCharType="begin"/>
      </w:r>
      <w:r w:rsidRPr="00AB0E8A">
        <w:rPr>
          <w:rStyle w:val="aff6"/>
          <w:rtl/>
        </w:rPr>
        <w:instrText xml:space="preserve"> </w:instrText>
      </w:r>
      <w:r w:rsidRPr="00AB0E8A">
        <w:rPr>
          <w:rStyle w:val="aff6"/>
          <w:rFonts w:hint="cs"/>
        </w:rPr>
        <w:instrText>REF</w:instrText>
      </w:r>
      <w:r w:rsidRPr="00AB0E8A">
        <w:rPr>
          <w:rStyle w:val="aff6"/>
          <w:rFonts w:hint="cs"/>
          <w:rtl/>
        </w:rPr>
        <w:instrText xml:space="preserve"> _</w:instrText>
      </w:r>
      <w:r w:rsidRPr="00AB0E8A">
        <w:rPr>
          <w:rStyle w:val="aff6"/>
          <w:rFonts w:hint="cs"/>
        </w:rPr>
        <w:instrText>Ref63759532 \r \h</w:instrText>
      </w:r>
      <w:r w:rsidRPr="00AB0E8A">
        <w:rPr>
          <w:rStyle w:val="aff6"/>
          <w:rtl/>
        </w:rPr>
        <w:instrText xml:space="preserve"> </w:instrText>
      </w:r>
      <w:r w:rsidRPr="00AB0E8A">
        <w:rPr>
          <w:rStyle w:val="aff6"/>
          <w:rtl/>
        </w:rPr>
      </w:r>
      <w:r w:rsidRPr="00AB0E8A">
        <w:rPr>
          <w:rStyle w:val="aff6"/>
          <w:rtl/>
        </w:rPr>
        <w:fldChar w:fldCharType="separate"/>
      </w:r>
      <w:r w:rsidR="00265073">
        <w:rPr>
          <w:rStyle w:val="aff6"/>
          <w:cs/>
        </w:rPr>
        <w:t>‎</w:t>
      </w:r>
      <w:r w:rsidR="00265073">
        <w:rPr>
          <w:rStyle w:val="aff6"/>
          <w:rtl/>
        </w:rPr>
        <w:t>מא)</w:t>
      </w:r>
      <w:r w:rsidRPr="00AB0E8A">
        <w:rPr>
          <w:rStyle w:val="aff6"/>
          <w:rtl/>
        </w:rPr>
        <w:fldChar w:fldCharType="end"/>
      </w:r>
      <w:r w:rsidRPr="00AC00D4">
        <w:rPr>
          <w:rStyle w:val="afb"/>
          <w:rFonts w:hint="cs"/>
          <w:rtl/>
        </w:rPr>
        <w:t xml:space="preserve"> לפנינו </w:t>
      </w:r>
      <w:r>
        <w:rPr>
          <w:rStyle w:val="afb"/>
          <w:rFonts w:hint="cs"/>
          <w:rtl/>
        </w:rPr>
        <w:t>ד</w:t>
      </w:r>
      <w:r w:rsidRPr="00AC00D4">
        <w:rPr>
          <w:rStyle w:val="afb"/>
          <w:rFonts w:hint="cs"/>
          <w:rtl/>
        </w:rPr>
        <w:t xml:space="preserve">כתב להדיא דבעיזי דאכלו חושלא, נאמן </w:t>
      </w:r>
      <w:r>
        <w:rPr>
          <w:rStyle w:val="afb"/>
          <w:rFonts w:hint="cs"/>
          <w:rtl/>
        </w:rPr>
        <w:t>ולא ב</w:t>
      </w:r>
      <w:r w:rsidRPr="00AC00D4">
        <w:rPr>
          <w:rStyle w:val="afb"/>
          <w:rFonts w:hint="cs"/>
          <w:rtl/>
        </w:rPr>
        <w:t xml:space="preserve">קרקע </w:t>
      </w:r>
      <w:r>
        <w:rPr>
          <w:rStyle w:val="afb"/>
          <w:rFonts w:hint="cs"/>
          <w:rtl/>
        </w:rPr>
        <w:t>ד</w:t>
      </w:r>
      <w:r w:rsidRPr="00AC00D4">
        <w:rPr>
          <w:rStyle w:val="afb"/>
          <w:rFonts w:hint="cs"/>
          <w:rtl/>
        </w:rPr>
        <w:t xml:space="preserve">בחזקת בעליה עומדת, </w:t>
      </w:r>
      <w:r>
        <w:rPr>
          <w:rStyle w:val="afb"/>
          <w:rFonts w:hint="cs"/>
          <w:rtl/>
        </w:rPr>
        <w:t xml:space="preserve">וכ"כ </w:t>
      </w:r>
      <w:r w:rsidRPr="001F33B5">
        <w:rPr>
          <w:rStyle w:val="affa"/>
          <w:rFonts w:hint="cs"/>
          <w:rtl/>
        </w:rPr>
        <w:t>הקוב"ש</w:t>
      </w:r>
      <w:r>
        <w:rPr>
          <w:rStyle w:val="afb"/>
          <w:rFonts w:hint="cs"/>
          <w:rtl/>
        </w:rPr>
        <w:t xml:space="preserve"> </w:t>
      </w:r>
      <w:r w:rsidRPr="001F33B5">
        <w:rPr>
          <w:rStyle w:val="aff6"/>
          <w:rFonts w:hint="cs"/>
          <w:rtl/>
        </w:rPr>
        <w:t>(או' ק"מ</w:t>
      </w:r>
      <w:r>
        <w:rPr>
          <w:rStyle w:val="aff6"/>
          <w:rFonts w:hint="cs"/>
          <w:rtl/>
        </w:rPr>
        <w:t>)</w:t>
      </w:r>
      <w:r w:rsidRPr="00AC00D4">
        <w:rPr>
          <w:rStyle w:val="afb"/>
          <w:rFonts w:hint="cs"/>
          <w:rtl/>
        </w:rPr>
        <w:t>].</w:t>
      </w:r>
      <w:bookmarkEnd w:id="14622"/>
      <w:bookmarkEnd w:id="14630"/>
    </w:p>
    <w:p w:rsidR="00F4065E" w:rsidRDefault="00F4065E" w:rsidP="00F4065E">
      <w:pPr>
        <w:pStyle w:val="afe"/>
        <w:rPr>
          <w:rtl/>
        </w:rPr>
      </w:pPr>
      <w:bookmarkStart w:id="14631" w:name="_Toc64148066"/>
      <w:bookmarkStart w:id="14632" w:name="_Toc64205665"/>
      <w:bookmarkStart w:id="14633" w:name="_Toc64209345"/>
      <w:bookmarkStart w:id="14634" w:name="_Toc63942249"/>
      <w:bookmarkStart w:id="14635" w:name="_Toc63975476"/>
      <w:bookmarkStart w:id="14636" w:name="_Toc63986516"/>
      <w:bookmarkStart w:id="14637" w:name="_Toc64024638"/>
      <w:bookmarkStart w:id="14638" w:name="_Toc64036033"/>
      <w:r>
        <w:rPr>
          <w:rFonts w:hint="cs"/>
          <w:rtl/>
        </w:rPr>
        <w:t>פלוג' הראשונים בטען מיגו לפני שאכל</w:t>
      </w:r>
      <w:bookmarkEnd w:id="14631"/>
      <w:bookmarkEnd w:id="14632"/>
      <w:bookmarkEnd w:id="14633"/>
    </w:p>
    <w:p w:rsidR="00F4065E" w:rsidRDefault="00F4065E" w:rsidP="00F4065E">
      <w:pPr>
        <w:pStyle w:val="1"/>
        <w:rPr>
          <w:rtl/>
        </w:rPr>
      </w:pPr>
      <w:bookmarkStart w:id="14639" w:name="_Toc64148067"/>
      <w:bookmarkStart w:id="14640" w:name="_Toc64205666"/>
      <w:bookmarkStart w:id="14641" w:name="_Toc64209346"/>
      <w:r>
        <w:rPr>
          <w:rFonts w:hint="cs"/>
          <w:rtl/>
        </w:rPr>
        <w:t>דברי המהרי"ט והש"ך בפלוג' הראשונים ורבינו יונה</w:t>
      </w:r>
      <w:bookmarkEnd w:id="14634"/>
      <w:bookmarkEnd w:id="14635"/>
      <w:bookmarkEnd w:id="14636"/>
      <w:bookmarkEnd w:id="14637"/>
      <w:bookmarkEnd w:id="14638"/>
      <w:r>
        <w:rPr>
          <w:rFonts w:hint="cs"/>
          <w:rtl/>
        </w:rPr>
        <w:t xml:space="preserve"> לפני שאכל</w:t>
      </w:r>
      <w:bookmarkEnd w:id="14639"/>
      <w:bookmarkEnd w:id="14640"/>
      <w:bookmarkEnd w:id="14641"/>
    </w:p>
    <w:p w:rsidR="00F4065E" w:rsidRPr="00C83AC0" w:rsidRDefault="00F4065E" w:rsidP="00F4065E">
      <w:pPr>
        <w:pStyle w:val="a3"/>
        <w:rPr>
          <w:rtl/>
        </w:rPr>
      </w:pPr>
      <w:bookmarkStart w:id="14642" w:name="_Toc64024639"/>
      <w:bookmarkStart w:id="14643" w:name="_Toc64036034"/>
      <w:bookmarkStart w:id="14644" w:name="_Toc64148068"/>
      <w:bookmarkStart w:id="14645" w:name="_Toc64205667"/>
      <w:bookmarkStart w:id="14646" w:name="_Toc64209347"/>
      <w:r>
        <w:rPr>
          <w:rFonts w:hint="cs"/>
          <w:rtl/>
        </w:rPr>
        <w:t>ביאור המהרי"ט ברבינו יונה דאחר שאכל את הפירות יצא הקול דמיגו מהני רק אחר שאכל</w:t>
      </w:r>
      <w:bookmarkEnd w:id="14642"/>
      <w:bookmarkEnd w:id="14643"/>
      <w:bookmarkEnd w:id="14644"/>
      <w:bookmarkEnd w:id="14645"/>
      <w:bookmarkEnd w:id="14646"/>
    </w:p>
    <w:p w:rsidR="00F4065E" w:rsidRDefault="00F4065E" w:rsidP="007E4E81">
      <w:pPr>
        <w:pStyle w:val="a0"/>
        <w:rPr>
          <w:rtl/>
        </w:rPr>
      </w:pPr>
      <w:bookmarkStart w:id="14647" w:name="_Ref64022853"/>
      <w:r>
        <w:rPr>
          <w:rFonts w:hint="cs"/>
          <w:rtl/>
        </w:rPr>
        <w:t xml:space="preserve">במ"ש </w:t>
      </w:r>
      <w:r>
        <w:rPr>
          <w:rStyle w:val="af9"/>
          <w:rFonts w:hint="cs"/>
          <w:rtl/>
        </w:rPr>
        <w:t>הטור</w:t>
      </w:r>
      <w:r w:rsidRPr="00A9509D">
        <w:rPr>
          <w:rFonts w:hint="cs"/>
          <w:rtl/>
        </w:rPr>
        <w:t xml:space="preserve"> </w:t>
      </w:r>
      <w:r w:rsidRPr="00A9509D">
        <w:rPr>
          <w:rStyle w:val="af7"/>
          <w:rFonts w:eastAsia="Guttman Hodes" w:hint="cs"/>
          <w:rtl/>
        </w:rPr>
        <w:t xml:space="preserve">(עי' אות </w:t>
      </w:r>
      <w:r w:rsidRPr="00A9509D">
        <w:rPr>
          <w:rStyle w:val="af7"/>
          <w:rFonts w:eastAsia="Guttman Hodes"/>
          <w:rtl/>
        </w:rPr>
        <w:fldChar w:fldCharType="begin"/>
      </w:r>
      <w:r w:rsidRPr="00A9509D">
        <w:rPr>
          <w:rStyle w:val="af7"/>
          <w:rFonts w:eastAsia="Guttman Hodes"/>
          <w:rtl/>
        </w:rPr>
        <w:instrText xml:space="preserve"> </w:instrText>
      </w:r>
      <w:r w:rsidRPr="00A9509D">
        <w:rPr>
          <w:rStyle w:val="af7"/>
          <w:rFonts w:eastAsia="Guttman Hodes" w:hint="cs"/>
        </w:rPr>
        <w:instrText>REF</w:instrText>
      </w:r>
      <w:r w:rsidRPr="00A9509D">
        <w:rPr>
          <w:rStyle w:val="af7"/>
          <w:rFonts w:eastAsia="Guttman Hodes" w:hint="cs"/>
          <w:rtl/>
        </w:rPr>
        <w:instrText xml:space="preserve"> _</w:instrText>
      </w:r>
      <w:r w:rsidRPr="00A9509D">
        <w:rPr>
          <w:rStyle w:val="af7"/>
          <w:rFonts w:eastAsia="Guttman Hodes" w:hint="cs"/>
        </w:rPr>
        <w:instrText>Ref64022209 \r \h</w:instrText>
      </w:r>
      <w:r w:rsidRPr="00A9509D">
        <w:rPr>
          <w:rStyle w:val="af7"/>
          <w:rFonts w:eastAsia="Guttman Hodes"/>
          <w:rtl/>
        </w:rPr>
        <w:instrText xml:space="preserve"> </w:instrText>
      </w:r>
      <w:r w:rsidRPr="00A9509D">
        <w:rPr>
          <w:rStyle w:val="af7"/>
          <w:rFonts w:eastAsia="Guttman Hodes"/>
          <w:rtl/>
        </w:rPr>
      </w:r>
      <w:r w:rsidRPr="00A9509D">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A9509D">
        <w:rPr>
          <w:rStyle w:val="af7"/>
          <w:rFonts w:eastAsia="Guttman Hodes"/>
          <w:rtl/>
        </w:rPr>
        <w:fldChar w:fldCharType="end"/>
      </w:r>
      <w:r>
        <w:rPr>
          <w:rFonts w:hint="cs"/>
          <w:rtl/>
        </w:rPr>
        <w:t xml:space="preserve"> </w:t>
      </w:r>
      <w:r w:rsidRPr="00A9509D">
        <w:rPr>
          <w:rFonts w:hint="cs"/>
          <w:rtl/>
        </w:rPr>
        <w:t>בשם</w:t>
      </w:r>
      <w:r>
        <w:rPr>
          <w:rStyle w:val="af9"/>
          <w:rFonts w:hint="cs"/>
          <w:rtl/>
        </w:rPr>
        <w:t xml:space="preserve"> </w:t>
      </w:r>
      <w:r w:rsidRPr="008628AE">
        <w:rPr>
          <w:rStyle w:val="af9"/>
          <w:rFonts w:hint="cs"/>
          <w:rtl/>
        </w:rPr>
        <w:t>רבינו</w:t>
      </w:r>
      <w:r>
        <w:rPr>
          <w:rFonts w:hint="cs"/>
          <w:rtl/>
        </w:rPr>
        <w:t xml:space="preserve"> </w:t>
      </w:r>
      <w:r w:rsidRPr="008628AE">
        <w:rPr>
          <w:rStyle w:val="af9"/>
          <w:rFonts w:hint="cs"/>
          <w:rtl/>
        </w:rPr>
        <w:t>יונה</w:t>
      </w:r>
      <w:r>
        <w:rPr>
          <w:rFonts w:hint="cs"/>
          <w:rtl/>
        </w:rPr>
        <w:t xml:space="preserve"> </w:t>
      </w:r>
      <w:r w:rsidRPr="00736D9F">
        <w:rPr>
          <w:rStyle w:val="af7"/>
          <w:rFonts w:eastAsia="Guttman Hodes" w:hint="cs"/>
          <w:rtl/>
        </w:rPr>
        <w:t xml:space="preserve">(עי' אות </w:t>
      </w:r>
      <w:r w:rsidRPr="00736D9F">
        <w:rPr>
          <w:rStyle w:val="af7"/>
          <w:rFonts w:eastAsia="Guttman Hodes"/>
          <w:rtl/>
        </w:rPr>
        <w:fldChar w:fldCharType="begin"/>
      </w:r>
      <w:r w:rsidRPr="00736D9F">
        <w:rPr>
          <w:rStyle w:val="af7"/>
          <w:rFonts w:eastAsia="Guttman Hodes"/>
          <w:rtl/>
        </w:rPr>
        <w:instrText xml:space="preserve"> </w:instrText>
      </w:r>
      <w:r w:rsidRPr="00736D9F">
        <w:rPr>
          <w:rStyle w:val="af7"/>
          <w:rFonts w:eastAsia="Guttman Hodes" w:hint="cs"/>
        </w:rPr>
        <w:instrText>REF</w:instrText>
      </w:r>
      <w:r w:rsidRPr="00736D9F">
        <w:rPr>
          <w:rStyle w:val="af7"/>
          <w:rFonts w:eastAsia="Guttman Hodes" w:hint="cs"/>
          <w:rtl/>
        </w:rPr>
        <w:instrText xml:space="preserve"> _</w:instrText>
      </w:r>
      <w:r w:rsidRPr="00736D9F">
        <w:rPr>
          <w:rStyle w:val="af7"/>
          <w:rFonts w:eastAsia="Guttman Hodes" w:hint="cs"/>
        </w:rPr>
        <w:instrText>Ref63589778 \r \h</w:instrText>
      </w:r>
      <w:r w:rsidRPr="00736D9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36D9F">
        <w:rPr>
          <w:rStyle w:val="af7"/>
          <w:rFonts w:eastAsia="Guttman Hodes"/>
          <w:rtl/>
        </w:rPr>
      </w:r>
      <w:r w:rsidRPr="00736D9F">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736D9F">
        <w:rPr>
          <w:rStyle w:val="af7"/>
          <w:rFonts w:eastAsia="Guttman Hodes"/>
          <w:rtl/>
        </w:rPr>
        <w:fldChar w:fldCharType="end"/>
      </w:r>
      <w:r>
        <w:rPr>
          <w:rFonts w:hint="cs"/>
          <w:rtl/>
        </w:rPr>
        <w:t xml:space="preserve"> דבהחזיר את הקרקע לפני אכילת הפירות, אינו נאמן במיגו, דלא מהני מיגו בממון אחד לזכות ע"י בממון אחר, כתב </w:t>
      </w:r>
      <w:r w:rsidRPr="00A147FB">
        <w:rPr>
          <w:rStyle w:val="af9"/>
          <w:rFonts w:hint="cs"/>
          <w:rtl/>
        </w:rPr>
        <w:t>המהרי"ט</w:t>
      </w:r>
      <w:r w:rsidRPr="00736D9F">
        <w:rPr>
          <w:rStyle w:val="af7"/>
          <w:rFonts w:eastAsia="Guttman Hodes" w:hint="cs"/>
          <w:rtl/>
        </w:rPr>
        <w:t xml:space="preserve"> (ח"א סי' קי"ב ד"ה ומיהו למה) </w:t>
      </w:r>
      <w:r>
        <w:rPr>
          <w:rStyle w:val="af9"/>
          <w:rFonts w:hint="cs"/>
          <w:rtl/>
        </w:rPr>
        <w:t>דרבינו</w:t>
      </w:r>
      <w:r w:rsidRPr="008244F9">
        <w:rPr>
          <w:rStyle w:val="af9"/>
          <w:rFonts w:hint="cs"/>
          <w:rtl/>
        </w:rPr>
        <w:t xml:space="preserve"> יונה</w:t>
      </w:r>
      <w:r>
        <w:rPr>
          <w:rFonts w:hint="cs"/>
          <w:rtl/>
        </w:rPr>
        <w:t xml:space="preserve"> ביאר דבסוגיין איירי דרבא בר שרשום עיכב את הקרקע בידו, עד לאחר שאכל את הפירות, ולכן יצא עליו קול שהוא אוכל קרקע של יתומים, דהיינו שכבר אכל את הפירות בשיעור של החוב, וכיון שיש קול אמר אביי דאינו נאמן במיגו, והיינו דמוציאין ממנו את מה שאכל, ומשמע שאם היה לו מיגו לא היו מוציאין ממנו.</w:t>
      </w:r>
      <w:r w:rsidRPr="00A54C57">
        <w:rPr>
          <w:rStyle w:val="afb"/>
          <w:rFonts w:hint="cs"/>
          <w:rtl/>
        </w:rPr>
        <w:t xml:space="preserve"> </w:t>
      </w:r>
      <w:r>
        <w:rPr>
          <w:rStyle w:val="afb"/>
          <w:rFonts w:hint="cs"/>
          <w:rtl/>
        </w:rPr>
        <w:t xml:space="preserve">[אמנם יעוי' במ"ש </w:t>
      </w:r>
      <w:r w:rsidRPr="00965DAC">
        <w:rPr>
          <w:rStyle w:val="affa"/>
          <w:rFonts w:hint="cs"/>
          <w:rtl/>
        </w:rPr>
        <w:t>רבינו יונה</w:t>
      </w:r>
      <w:r>
        <w:rPr>
          <w:rStyle w:val="afb"/>
          <w:rFonts w:hint="cs"/>
          <w:rtl/>
        </w:rPr>
        <w:t xml:space="preserve"> </w:t>
      </w:r>
      <w:r w:rsidRPr="00965DAC">
        <w:rPr>
          <w:rStyle w:val="aff6"/>
          <w:rFonts w:hint="cs"/>
          <w:rtl/>
        </w:rPr>
        <w:t xml:space="preserve">(עי' אות </w:t>
      </w:r>
      <w:r w:rsidRPr="00965DAC">
        <w:rPr>
          <w:rStyle w:val="aff6"/>
          <w:rtl/>
        </w:rPr>
        <w:fldChar w:fldCharType="begin"/>
      </w:r>
      <w:r w:rsidRPr="00965DAC">
        <w:rPr>
          <w:rStyle w:val="aff6"/>
          <w:rtl/>
        </w:rPr>
        <w:instrText xml:space="preserve"> </w:instrText>
      </w:r>
      <w:r w:rsidRPr="00965DAC">
        <w:rPr>
          <w:rStyle w:val="aff6"/>
          <w:rFonts w:hint="cs"/>
        </w:rPr>
        <w:instrText>REF</w:instrText>
      </w:r>
      <w:r w:rsidRPr="00965DAC">
        <w:rPr>
          <w:rStyle w:val="aff6"/>
          <w:rFonts w:hint="cs"/>
          <w:rtl/>
        </w:rPr>
        <w:instrText xml:space="preserve"> _</w:instrText>
      </w:r>
      <w:r w:rsidRPr="00965DAC">
        <w:rPr>
          <w:rStyle w:val="aff6"/>
          <w:rFonts w:hint="cs"/>
        </w:rPr>
        <w:instrText>Ref63853641 \r \h</w:instrText>
      </w:r>
      <w:r w:rsidRPr="00965DAC">
        <w:rPr>
          <w:rStyle w:val="aff6"/>
          <w:rtl/>
        </w:rPr>
        <w:instrText xml:space="preserve"> </w:instrText>
      </w:r>
      <w:r w:rsidRPr="00965DAC">
        <w:rPr>
          <w:rStyle w:val="aff6"/>
          <w:rtl/>
        </w:rPr>
      </w:r>
      <w:r w:rsidRPr="00965DAC">
        <w:rPr>
          <w:rStyle w:val="aff6"/>
          <w:rtl/>
        </w:rPr>
        <w:fldChar w:fldCharType="separate"/>
      </w:r>
      <w:r w:rsidR="00265073">
        <w:rPr>
          <w:rStyle w:val="aff6"/>
          <w:cs/>
        </w:rPr>
        <w:t>‎</w:t>
      </w:r>
      <w:r w:rsidR="00265073">
        <w:rPr>
          <w:rStyle w:val="aff6"/>
          <w:rtl/>
        </w:rPr>
        <w:t>מג)</w:t>
      </w:r>
      <w:r w:rsidRPr="00965DAC">
        <w:rPr>
          <w:rStyle w:val="aff6"/>
          <w:rtl/>
        </w:rPr>
        <w:fldChar w:fldCharType="end"/>
      </w:r>
      <w:r>
        <w:rPr>
          <w:rStyle w:val="afb"/>
          <w:rFonts w:hint="cs"/>
          <w:rtl/>
        </w:rPr>
        <w:t xml:space="preserve"> לפנינו בסוף דבריו דרבא בר שרשום לא התחיל לאכול את הפירות, לפני שא"ל אביי להחזיר את הקרקע, ומ"ש </w:t>
      </w:r>
      <w:r w:rsidRPr="00481C8F">
        <w:rPr>
          <w:rStyle w:val="affa"/>
          <w:rFonts w:hint="cs"/>
          <w:rtl/>
        </w:rPr>
        <w:t>רבינו יונה</w:t>
      </w:r>
      <w:r>
        <w:rPr>
          <w:rStyle w:val="afb"/>
          <w:rFonts w:hint="cs"/>
          <w:rtl/>
        </w:rPr>
        <w:t xml:space="preserve"> </w:t>
      </w:r>
      <w:r w:rsidRPr="00481C8F">
        <w:rPr>
          <w:rStyle w:val="aff6"/>
          <w:rFonts w:hint="cs"/>
          <w:rtl/>
        </w:rPr>
        <w:t xml:space="preserve">(עי' אות </w:t>
      </w:r>
      <w:r w:rsidRPr="00481C8F">
        <w:rPr>
          <w:rStyle w:val="aff6"/>
          <w:rtl/>
        </w:rPr>
        <w:fldChar w:fldCharType="begin"/>
      </w:r>
      <w:r w:rsidRPr="00481C8F">
        <w:rPr>
          <w:rStyle w:val="aff6"/>
          <w:rtl/>
        </w:rPr>
        <w:instrText xml:space="preserve"> </w:instrText>
      </w:r>
      <w:r w:rsidRPr="00481C8F">
        <w:rPr>
          <w:rStyle w:val="aff6"/>
          <w:rFonts w:hint="cs"/>
        </w:rPr>
        <w:instrText>REF</w:instrText>
      </w:r>
      <w:r w:rsidRPr="00481C8F">
        <w:rPr>
          <w:rStyle w:val="aff6"/>
          <w:rFonts w:hint="cs"/>
          <w:rtl/>
        </w:rPr>
        <w:instrText xml:space="preserve"> _</w:instrText>
      </w:r>
      <w:r w:rsidRPr="00481C8F">
        <w:rPr>
          <w:rStyle w:val="aff6"/>
          <w:rFonts w:hint="cs"/>
        </w:rPr>
        <w:instrText>Ref64021797 \r \h</w:instrText>
      </w:r>
      <w:r w:rsidRPr="00481C8F">
        <w:rPr>
          <w:rStyle w:val="aff6"/>
          <w:rtl/>
        </w:rPr>
        <w:instrText xml:space="preserve"> </w:instrText>
      </w:r>
      <w:r w:rsidRPr="00481C8F">
        <w:rPr>
          <w:rStyle w:val="aff6"/>
          <w:rtl/>
        </w:rPr>
      </w:r>
      <w:r w:rsidRPr="00481C8F">
        <w:rPr>
          <w:rStyle w:val="aff6"/>
          <w:rtl/>
        </w:rPr>
        <w:fldChar w:fldCharType="separate"/>
      </w:r>
      <w:r w:rsidR="00265073">
        <w:rPr>
          <w:rStyle w:val="aff6"/>
          <w:cs/>
        </w:rPr>
        <w:t>‎</w:t>
      </w:r>
      <w:r w:rsidR="00265073">
        <w:rPr>
          <w:rStyle w:val="aff6"/>
          <w:rtl/>
        </w:rPr>
        <w:t>לד)</w:t>
      </w:r>
      <w:r w:rsidRPr="00481C8F">
        <w:rPr>
          <w:rStyle w:val="aff6"/>
          <w:rtl/>
        </w:rPr>
        <w:fldChar w:fldCharType="end"/>
      </w:r>
      <w:r>
        <w:rPr>
          <w:rStyle w:val="afb"/>
          <w:rFonts w:hint="cs"/>
          <w:rtl/>
        </w:rPr>
        <w:t xml:space="preserve"> בתחילת דבריו </w:t>
      </w:r>
      <w:r>
        <w:rPr>
          <w:rStyle w:val="afb"/>
          <w:rFonts w:hint="cs"/>
          <w:rtl/>
        </w:rPr>
        <w:t>דכל שלא אכל אינו נאמן במיגו בלא שבועה, היינו דכן משמע בדברי רבא בר שרשום דרצה לאכול לפני שיחזיר להם את הקרקע].</w:t>
      </w:r>
      <w:bookmarkEnd w:id="14647"/>
      <w:r>
        <w:rPr>
          <w:rStyle w:val="afb"/>
          <w:rFonts w:hint="cs"/>
          <w:rtl/>
        </w:rPr>
        <w:t xml:space="preserve"> </w:t>
      </w:r>
      <w:r>
        <w:rPr>
          <w:rFonts w:hint="cs"/>
          <w:rtl/>
        </w:rPr>
        <w:t xml:space="preserve"> </w:t>
      </w:r>
    </w:p>
    <w:p w:rsidR="00F4065E" w:rsidRPr="007D522B" w:rsidRDefault="00F4065E" w:rsidP="00F4065E">
      <w:pPr>
        <w:pStyle w:val="a3"/>
      </w:pPr>
      <w:bookmarkStart w:id="14648" w:name="_Toc64024640"/>
      <w:bookmarkStart w:id="14649" w:name="_Toc64036035"/>
      <w:bookmarkStart w:id="14650" w:name="_Toc64148069"/>
      <w:bookmarkStart w:id="14651" w:name="_Toc64205668"/>
      <w:bookmarkStart w:id="14652" w:name="_Toc64209348"/>
      <w:r>
        <w:rPr>
          <w:rFonts w:hint="cs"/>
          <w:rtl/>
        </w:rPr>
        <w:t>דברי המהרי"ט דבגמ' משמע כדברי הרשב"ם דאיירי שעדיין לא אכל את הפירות</w:t>
      </w:r>
      <w:bookmarkEnd w:id="14648"/>
      <w:bookmarkEnd w:id="14649"/>
      <w:bookmarkEnd w:id="14650"/>
      <w:bookmarkEnd w:id="14651"/>
      <w:bookmarkEnd w:id="14652"/>
    </w:p>
    <w:p w:rsidR="00F4065E" w:rsidRDefault="00F4065E" w:rsidP="007E4E81">
      <w:pPr>
        <w:pStyle w:val="a0"/>
        <w:rPr>
          <w:rtl/>
        </w:rPr>
      </w:pPr>
      <w:r>
        <w:rPr>
          <w:rFonts w:hint="cs"/>
          <w:rtl/>
        </w:rPr>
        <w:t xml:space="preserve">אך כתב </w:t>
      </w:r>
      <w:r w:rsidRPr="00A147FB">
        <w:rPr>
          <w:rStyle w:val="af9"/>
          <w:rFonts w:hint="cs"/>
          <w:rtl/>
        </w:rPr>
        <w:t>המהרי"ט</w:t>
      </w:r>
      <w:r>
        <w:rPr>
          <w:rFonts w:hint="cs"/>
          <w:rtl/>
        </w:rPr>
        <w:t xml:space="preserve"> </w:t>
      </w:r>
      <w:r w:rsidRPr="00736D9F">
        <w:rPr>
          <w:rStyle w:val="af7"/>
          <w:rFonts w:eastAsia="Guttman Hodes" w:hint="cs"/>
          <w:rtl/>
        </w:rPr>
        <w:t>(ח"א סי' קי"ב ד"ה ואיכא למידק)</w:t>
      </w:r>
      <w:r>
        <w:rPr>
          <w:rFonts w:hint="cs"/>
          <w:rtl/>
        </w:rPr>
        <w:t xml:space="preserve"> דמדברי </w:t>
      </w:r>
      <w:r w:rsidRPr="00A147FB">
        <w:rPr>
          <w:rStyle w:val="af9"/>
          <w:rFonts w:hint="cs"/>
          <w:rtl/>
        </w:rPr>
        <w:t>הרשב"ם</w:t>
      </w:r>
      <w:r>
        <w:rPr>
          <w:rFonts w:hint="cs"/>
          <w:rtl/>
        </w:rPr>
        <w:t xml:space="preserve"> </w:t>
      </w:r>
      <w:r w:rsidRPr="007A3C55">
        <w:rPr>
          <w:rStyle w:val="af7"/>
          <w:rFonts w:eastAsia="Guttman Hodes" w:hint="cs"/>
          <w:rtl/>
        </w:rPr>
        <w:t xml:space="preserve">(עי' אות </w:t>
      </w:r>
      <w:r w:rsidRPr="007A3C55">
        <w:rPr>
          <w:rStyle w:val="af7"/>
          <w:rFonts w:eastAsia="Guttman Hodes"/>
          <w:rtl/>
        </w:rPr>
        <w:fldChar w:fldCharType="begin"/>
      </w:r>
      <w:r w:rsidRPr="007A3C55">
        <w:rPr>
          <w:rStyle w:val="af7"/>
          <w:rFonts w:eastAsia="Guttman Hodes"/>
          <w:rtl/>
        </w:rPr>
        <w:instrText xml:space="preserve"> </w:instrText>
      </w:r>
      <w:r w:rsidRPr="007A3C55">
        <w:rPr>
          <w:rStyle w:val="af7"/>
          <w:rFonts w:eastAsia="Guttman Hodes" w:hint="cs"/>
        </w:rPr>
        <w:instrText>REF</w:instrText>
      </w:r>
      <w:r w:rsidRPr="007A3C55">
        <w:rPr>
          <w:rStyle w:val="af7"/>
          <w:rFonts w:eastAsia="Guttman Hodes" w:hint="cs"/>
          <w:rtl/>
        </w:rPr>
        <w:instrText xml:space="preserve"> _</w:instrText>
      </w:r>
      <w:r w:rsidRPr="007A3C55">
        <w:rPr>
          <w:rStyle w:val="af7"/>
          <w:rFonts w:eastAsia="Guttman Hodes" w:hint="cs"/>
        </w:rPr>
        <w:instrText>Ref63971896 \r \h</w:instrText>
      </w:r>
      <w:r w:rsidRPr="007A3C55">
        <w:rPr>
          <w:rStyle w:val="af7"/>
          <w:rFonts w:eastAsia="Guttman Hodes"/>
          <w:rtl/>
        </w:rPr>
        <w:instrText xml:space="preserve"> </w:instrText>
      </w:r>
      <w:r w:rsidRPr="007A3C55">
        <w:rPr>
          <w:rStyle w:val="af7"/>
          <w:rFonts w:eastAsia="Guttman Hodes"/>
          <w:rtl/>
        </w:rPr>
      </w:r>
      <w:r w:rsidRPr="007A3C55">
        <w:rPr>
          <w:rStyle w:val="af7"/>
          <w:rFonts w:eastAsia="Guttman Hodes"/>
          <w:rtl/>
        </w:rPr>
        <w:fldChar w:fldCharType="separate"/>
      </w:r>
      <w:r w:rsidR="00265073">
        <w:rPr>
          <w:rStyle w:val="af7"/>
          <w:rFonts w:eastAsia="Guttman Hodes"/>
          <w:cs/>
        </w:rPr>
        <w:t>‎</w:t>
      </w:r>
      <w:r w:rsidR="00265073">
        <w:rPr>
          <w:rStyle w:val="af7"/>
          <w:rFonts w:eastAsia="Guttman Hodes"/>
          <w:rtl/>
        </w:rPr>
        <w:t>סז)</w:t>
      </w:r>
      <w:r w:rsidRPr="007A3C55">
        <w:rPr>
          <w:rStyle w:val="af7"/>
          <w:rFonts w:eastAsia="Guttman Hodes"/>
          <w:rtl/>
        </w:rPr>
        <w:fldChar w:fldCharType="end"/>
      </w:r>
      <w:r w:rsidRPr="007A3C55">
        <w:rPr>
          <w:rStyle w:val="af7"/>
          <w:rFonts w:eastAsia="Guttman Hodes" w:hint="cs"/>
          <w:rtl/>
        </w:rPr>
        <w:t xml:space="preserve"> </w:t>
      </w:r>
      <w:r>
        <w:rPr>
          <w:rFonts w:hint="cs"/>
          <w:rtl/>
        </w:rPr>
        <w:t xml:space="preserve">דכתב שיצא עליו הקול שנגמרו ימי המשכנתא, ומעכשיו הוא אוכל פירות, מבואר דאיירי שעדיין לא אכל את הפירות, </w:t>
      </w:r>
      <w:r w:rsidRPr="003763DD">
        <w:rPr>
          <w:rStyle w:val="afb"/>
          <w:rFonts w:hint="cs"/>
          <w:rtl/>
        </w:rPr>
        <w:t xml:space="preserve">[ודלא </w:t>
      </w:r>
      <w:r w:rsidRPr="007D522B">
        <w:rPr>
          <w:rStyle w:val="affa"/>
          <w:rFonts w:hint="cs"/>
          <w:rtl/>
        </w:rPr>
        <w:t>כרבינו יונה</w:t>
      </w:r>
      <w:r w:rsidRPr="007D522B">
        <w:rPr>
          <w:rStyle w:val="af9"/>
          <w:rFonts w:hint="cs"/>
          <w:rtl/>
        </w:rPr>
        <w:t xml:space="preserve"> </w:t>
      </w:r>
      <w:r w:rsidRPr="007A3C55">
        <w:rPr>
          <w:rStyle w:val="aff6"/>
          <w:rFonts w:hint="cs"/>
          <w:rtl/>
        </w:rPr>
        <w:t xml:space="preserve">(עי' אות </w:t>
      </w:r>
      <w:r w:rsidRPr="007A3C55">
        <w:rPr>
          <w:rStyle w:val="aff6"/>
          <w:rtl/>
        </w:rPr>
        <w:fldChar w:fldCharType="begin"/>
      </w:r>
      <w:r w:rsidRPr="007A3C55">
        <w:rPr>
          <w:rStyle w:val="aff6"/>
          <w:rtl/>
        </w:rPr>
        <w:instrText xml:space="preserve"> </w:instrText>
      </w:r>
      <w:r w:rsidRPr="007A3C55">
        <w:rPr>
          <w:rStyle w:val="aff6"/>
          <w:rFonts w:hint="cs"/>
        </w:rPr>
        <w:instrText>REF</w:instrText>
      </w:r>
      <w:r w:rsidRPr="007A3C55">
        <w:rPr>
          <w:rStyle w:val="aff6"/>
          <w:rFonts w:hint="cs"/>
          <w:rtl/>
        </w:rPr>
        <w:instrText xml:space="preserve"> _</w:instrText>
      </w:r>
      <w:r w:rsidRPr="007A3C55">
        <w:rPr>
          <w:rStyle w:val="aff6"/>
          <w:rFonts w:hint="cs"/>
        </w:rPr>
        <w:instrText>Ref64022209 \r \h</w:instrText>
      </w:r>
      <w:r w:rsidRPr="007A3C55">
        <w:rPr>
          <w:rStyle w:val="aff6"/>
          <w:rtl/>
        </w:rPr>
        <w:instrText xml:space="preserve"> </w:instrText>
      </w:r>
      <w:r w:rsidRPr="007A3C55">
        <w:rPr>
          <w:rStyle w:val="aff6"/>
          <w:rtl/>
        </w:rPr>
      </w:r>
      <w:r w:rsidRPr="007A3C55">
        <w:rPr>
          <w:rStyle w:val="aff6"/>
          <w:rtl/>
        </w:rPr>
        <w:fldChar w:fldCharType="separate"/>
      </w:r>
      <w:r w:rsidR="00265073">
        <w:rPr>
          <w:rStyle w:val="aff6"/>
          <w:cs/>
        </w:rPr>
        <w:t>‎</w:t>
      </w:r>
      <w:r w:rsidR="00265073">
        <w:rPr>
          <w:rStyle w:val="aff6"/>
          <w:rtl/>
        </w:rPr>
        <w:t>מד)</w:t>
      </w:r>
      <w:r w:rsidRPr="007A3C55">
        <w:rPr>
          <w:rStyle w:val="aff6"/>
          <w:rtl/>
        </w:rPr>
        <w:fldChar w:fldCharType="end"/>
      </w:r>
      <w:r w:rsidRPr="003763DD">
        <w:rPr>
          <w:rStyle w:val="afb"/>
          <w:rFonts w:hint="cs"/>
          <w:rtl/>
        </w:rPr>
        <w:t>],</w:t>
      </w:r>
      <w:r>
        <w:rPr>
          <w:rFonts w:hint="cs"/>
          <w:rtl/>
        </w:rPr>
        <w:t xml:space="preserve"> ומבואר דאפ"ה אם היה לו מיגו היה נאמן אף לאכול פירות דלהבא, וכתב </w:t>
      </w:r>
      <w:r w:rsidRPr="00A147FB">
        <w:rPr>
          <w:rStyle w:val="af9"/>
          <w:rFonts w:hint="cs"/>
          <w:rtl/>
        </w:rPr>
        <w:t>המהרי"ט</w:t>
      </w:r>
      <w:r>
        <w:rPr>
          <w:rFonts w:hint="cs"/>
          <w:rtl/>
        </w:rPr>
        <w:t xml:space="preserve"> דכן מוכח מהא דא"ל אביי להחזיר את הקרקע, ולא א"ל להחזיר את הפירות, ומשמע דאיירי שעדיין לא אכל את הפירות, </w:t>
      </w:r>
      <w:r>
        <w:rPr>
          <w:rStyle w:val="afb"/>
          <w:rFonts w:hint="cs"/>
          <w:rtl/>
        </w:rPr>
        <w:t xml:space="preserve">[וכ"כ להדיא </w:t>
      </w:r>
      <w:r w:rsidRPr="00965DAC">
        <w:rPr>
          <w:rStyle w:val="affa"/>
          <w:rFonts w:hint="cs"/>
          <w:rtl/>
        </w:rPr>
        <w:t>רבינו יונה</w:t>
      </w:r>
      <w:r>
        <w:rPr>
          <w:rStyle w:val="afb"/>
          <w:rFonts w:hint="cs"/>
          <w:rtl/>
        </w:rPr>
        <w:t xml:space="preserve"> </w:t>
      </w:r>
      <w:r w:rsidRPr="00965DAC">
        <w:rPr>
          <w:rStyle w:val="aff6"/>
          <w:rFonts w:hint="cs"/>
          <w:rtl/>
        </w:rPr>
        <w:t xml:space="preserve">(עי' אות </w:t>
      </w:r>
      <w:r w:rsidRPr="00965DAC">
        <w:rPr>
          <w:rStyle w:val="aff6"/>
          <w:rtl/>
        </w:rPr>
        <w:fldChar w:fldCharType="begin"/>
      </w:r>
      <w:r w:rsidRPr="00965DAC">
        <w:rPr>
          <w:rStyle w:val="aff6"/>
          <w:rtl/>
        </w:rPr>
        <w:instrText xml:space="preserve"> </w:instrText>
      </w:r>
      <w:r w:rsidRPr="00965DAC">
        <w:rPr>
          <w:rStyle w:val="aff6"/>
          <w:rFonts w:hint="cs"/>
        </w:rPr>
        <w:instrText>REF</w:instrText>
      </w:r>
      <w:r w:rsidRPr="00965DAC">
        <w:rPr>
          <w:rStyle w:val="aff6"/>
          <w:rFonts w:hint="cs"/>
          <w:rtl/>
        </w:rPr>
        <w:instrText xml:space="preserve"> _</w:instrText>
      </w:r>
      <w:r w:rsidRPr="00965DAC">
        <w:rPr>
          <w:rStyle w:val="aff6"/>
          <w:rFonts w:hint="cs"/>
        </w:rPr>
        <w:instrText>Ref63853641 \r \h</w:instrText>
      </w:r>
      <w:r w:rsidRPr="00965DAC">
        <w:rPr>
          <w:rStyle w:val="aff6"/>
          <w:rtl/>
        </w:rPr>
        <w:instrText xml:space="preserve"> </w:instrText>
      </w:r>
      <w:r w:rsidRPr="00965DAC">
        <w:rPr>
          <w:rStyle w:val="aff6"/>
          <w:rtl/>
        </w:rPr>
      </w:r>
      <w:r w:rsidRPr="00965DAC">
        <w:rPr>
          <w:rStyle w:val="aff6"/>
          <w:rtl/>
        </w:rPr>
        <w:fldChar w:fldCharType="separate"/>
      </w:r>
      <w:r w:rsidR="00265073">
        <w:rPr>
          <w:rStyle w:val="aff6"/>
          <w:cs/>
        </w:rPr>
        <w:t>‎</w:t>
      </w:r>
      <w:r w:rsidR="00265073">
        <w:rPr>
          <w:rStyle w:val="aff6"/>
          <w:rtl/>
        </w:rPr>
        <w:t>מג)</w:t>
      </w:r>
      <w:r w:rsidRPr="00965DAC">
        <w:rPr>
          <w:rStyle w:val="aff6"/>
          <w:rtl/>
        </w:rPr>
        <w:fldChar w:fldCharType="end"/>
      </w:r>
      <w:r>
        <w:rPr>
          <w:rStyle w:val="afb"/>
          <w:rFonts w:hint="cs"/>
          <w:rtl/>
        </w:rPr>
        <w:t xml:space="preserve"> לפנינו בסוף דבריו, דמשמע בגמ' דרבא בר שרשום לא התחיל לאכול את הפירות, לפני שא"ל אביי להחזיר את הקרקע], </w:t>
      </w:r>
      <w:r>
        <w:rPr>
          <w:rFonts w:hint="cs"/>
          <w:rtl/>
        </w:rPr>
        <w:t xml:space="preserve">אך כתב </w:t>
      </w:r>
      <w:r w:rsidRPr="00A147FB">
        <w:rPr>
          <w:rStyle w:val="af9"/>
          <w:rFonts w:hint="cs"/>
          <w:rtl/>
        </w:rPr>
        <w:t>המהרי"ט</w:t>
      </w:r>
      <w:r>
        <w:rPr>
          <w:rFonts w:hint="cs"/>
          <w:rtl/>
        </w:rPr>
        <w:t xml:space="preserve"> דאפש"ל דכ"מ דביאר </w:t>
      </w:r>
      <w:r w:rsidRPr="008244F9">
        <w:rPr>
          <w:rStyle w:val="af9"/>
          <w:rFonts w:hint="cs"/>
          <w:rtl/>
        </w:rPr>
        <w:t>הרשב"ם</w:t>
      </w:r>
      <w:r>
        <w:rPr>
          <w:rFonts w:hint="cs"/>
          <w:rtl/>
        </w:rPr>
        <w:t xml:space="preserve"> כן הוא כיון דכן משמע דאיירי בסוגיין, אבל דלדינא אף </w:t>
      </w:r>
      <w:r w:rsidRPr="003763DD">
        <w:rPr>
          <w:rStyle w:val="af9"/>
          <w:rFonts w:hint="cs"/>
          <w:rtl/>
        </w:rPr>
        <w:t>הרשב"ם</w:t>
      </w:r>
      <w:r>
        <w:rPr>
          <w:rFonts w:hint="cs"/>
          <w:rtl/>
        </w:rPr>
        <w:t xml:space="preserve"> מודה לדברי </w:t>
      </w:r>
      <w:r w:rsidRPr="003763DD">
        <w:rPr>
          <w:rStyle w:val="af9"/>
          <w:rFonts w:hint="cs"/>
          <w:rtl/>
        </w:rPr>
        <w:t>רבינו יונה</w:t>
      </w:r>
      <w:r>
        <w:rPr>
          <w:rFonts w:hint="cs"/>
          <w:rtl/>
        </w:rPr>
        <w:t>, עיי"ש במה שהאריך לבאר בזה.</w:t>
      </w:r>
    </w:p>
    <w:p w:rsidR="00F4065E" w:rsidRDefault="00F4065E" w:rsidP="00F4065E">
      <w:pPr>
        <w:pStyle w:val="a3"/>
        <w:rPr>
          <w:rtl/>
        </w:rPr>
      </w:pPr>
      <w:bookmarkStart w:id="14653" w:name="_Toc64024641"/>
      <w:bookmarkStart w:id="14654" w:name="_Toc64036036"/>
      <w:bookmarkStart w:id="14655" w:name="_Toc64148070"/>
      <w:bookmarkStart w:id="14656" w:name="_Toc64205669"/>
      <w:bookmarkStart w:id="14657" w:name="_Toc64209349"/>
      <w:r>
        <w:rPr>
          <w:rFonts w:hint="cs"/>
          <w:rtl/>
        </w:rPr>
        <w:t>דברי הש"ך דברשב"ם מוכח דלא כרבינו יונה דהא דאינו נאמן אינו כיון דהוא מיגו מממון לממון</w:t>
      </w:r>
      <w:bookmarkEnd w:id="14653"/>
      <w:bookmarkEnd w:id="14654"/>
      <w:bookmarkEnd w:id="14655"/>
      <w:bookmarkEnd w:id="14656"/>
      <w:bookmarkEnd w:id="14657"/>
    </w:p>
    <w:p w:rsidR="00F4065E" w:rsidRPr="00124546" w:rsidRDefault="00F4065E" w:rsidP="007E4E81">
      <w:pPr>
        <w:pStyle w:val="a0"/>
        <w:rPr>
          <w:rtl/>
        </w:rPr>
      </w:pPr>
      <w:bookmarkStart w:id="14658" w:name="_Ref64140366"/>
      <w:r>
        <w:rPr>
          <w:rStyle w:val="af9"/>
          <w:rFonts w:hint="cs"/>
          <w:rtl/>
        </w:rPr>
        <w:t>ו</w:t>
      </w:r>
      <w:r w:rsidRPr="00BD5AD3">
        <w:rPr>
          <w:rStyle w:val="af9"/>
          <w:rFonts w:hint="cs"/>
          <w:rtl/>
        </w:rPr>
        <w:t>הש"ך</w:t>
      </w:r>
      <w:r>
        <w:rPr>
          <w:rFonts w:hint="cs"/>
          <w:rtl/>
        </w:rPr>
        <w:t xml:space="preserve"> </w:t>
      </w:r>
      <w:r w:rsidRPr="00124546">
        <w:rPr>
          <w:rStyle w:val="af7"/>
          <w:rFonts w:eastAsia="Guttman Hodes" w:hint="cs"/>
          <w:rtl/>
        </w:rPr>
        <w:t>(סי' ק"נ סק"ג ד"ה ועוד יהיה דעת)</w:t>
      </w:r>
      <w:r>
        <w:rPr>
          <w:rFonts w:hint="cs"/>
          <w:rtl/>
        </w:rPr>
        <w:t xml:space="preserve"> כתב דמדברי</w:t>
      </w:r>
      <w:r>
        <w:rPr>
          <w:rStyle w:val="af9"/>
          <w:rFonts w:hint="cs"/>
          <w:rtl/>
        </w:rPr>
        <w:t xml:space="preserve"> </w:t>
      </w:r>
      <w:r w:rsidRPr="000138C4">
        <w:rPr>
          <w:rStyle w:val="af9"/>
          <w:rFonts w:hint="cs"/>
          <w:rtl/>
        </w:rPr>
        <w:t>הרשב"ם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Ref63849062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א)</w:t>
      </w:r>
      <w:r>
        <w:rPr>
          <w:rStyle w:val="af7"/>
          <w:rFonts w:eastAsia="Guttman Hodes"/>
          <w:rtl/>
        </w:rPr>
        <w:fldChar w:fldCharType="end"/>
      </w:r>
      <w:r>
        <w:rPr>
          <w:rStyle w:val="af7"/>
          <w:rFonts w:eastAsia="Guttman Hodes" w:hint="cs"/>
          <w:rtl/>
        </w:rPr>
        <w:t xml:space="preserve"> </w:t>
      </w:r>
      <w:r>
        <w:rPr>
          <w:rFonts w:hint="cs"/>
          <w:rtl/>
        </w:rPr>
        <w:t xml:space="preserve">דכתב דרבא בר שרשום סבר שאם יחזיר את הקרקע ליתומים, אחר שנגמרו שני המשכנתא ויתבע מהם את החוב שבשטר, לא יהיה נאמן במיגו דלקוחה בלא שבועה, מבואר דלא ס"ל כביאור </w:t>
      </w:r>
      <w:r>
        <w:rPr>
          <w:rStyle w:val="af9"/>
          <w:rtl/>
        </w:rPr>
        <w:t>רבינו יונה</w:t>
      </w:r>
      <w:r>
        <w:rPr>
          <w:rtl/>
        </w:rPr>
        <w:t xml:space="preserve"> </w:t>
      </w:r>
      <w:r>
        <w:rPr>
          <w:rStyle w:val="af7"/>
          <w:rFonts w:eastAsiaTheme="minorHAnsi" w:hint="cs"/>
          <w:rtl/>
        </w:rPr>
        <w:t xml:space="preserve">(עי' אות </w:t>
      </w:r>
      <w:r>
        <w:rPr>
          <w:rStyle w:val="af7"/>
          <w:rFonts w:eastAsiaTheme="minorHAnsi" w:hint="cs"/>
          <w:rtl/>
        </w:rPr>
        <w:fldChar w:fldCharType="begin"/>
      </w:r>
      <w:r>
        <w:rPr>
          <w:rStyle w:val="af7"/>
          <w:rFonts w:eastAsiaTheme="minorHAnsi" w:hint="cs"/>
          <w:rtl/>
        </w:rPr>
        <w:instrText xml:space="preserve"> </w:instrText>
      </w:r>
      <w:r>
        <w:rPr>
          <w:rStyle w:val="af7"/>
          <w:rFonts w:eastAsiaTheme="minorHAnsi"/>
        </w:rPr>
        <w:instrText>REF</w:instrText>
      </w:r>
      <w:r>
        <w:rPr>
          <w:rStyle w:val="af7"/>
          <w:rFonts w:eastAsiaTheme="minorHAnsi" w:hint="cs"/>
          <w:rtl/>
        </w:rPr>
        <w:instrText xml:space="preserve"> _</w:instrText>
      </w:r>
      <w:r>
        <w:rPr>
          <w:rStyle w:val="af7"/>
          <w:rFonts w:eastAsiaTheme="minorHAnsi"/>
        </w:rPr>
        <w:instrText>Ref63847692 \r \h</w:instrText>
      </w:r>
      <w:r>
        <w:rPr>
          <w:rStyle w:val="af7"/>
          <w:rFonts w:eastAsiaTheme="minorHAnsi" w:hint="cs"/>
          <w:rtl/>
        </w:rPr>
        <w:instrText xml:space="preserve"> </w:instrText>
      </w:r>
      <w:r>
        <w:rPr>
          <w:rStyle w:val="af7"/>
          <w:rFonts w:eastAsiaTheme="minorHAnsi" w:hint="cs"/>
          <w:rtl/>
        </w:rPr>
      </w:r>
      <w:r>
        <w:rPr>
          <w:rStyle w:val="af7"/>
          <w:rFonts w:eastAsiaTheme="minorHAnsi" w:hint="cs"/>
          <w:rtl/>
        </w:rPr>
        <w:fldChar w:fldCharType="separate"/>
      </w:r>
      <w:r w:rsidR="00265073">
        <w:rPr>
          <w:rStyle w:val="af7"/>
          <w:rFonts w:eastAsiaTheme="minorHAnsi" w:hint="eastAsia"/>
          <w:cs/>
        </w:rPr>
        <w:t>‎</w:t>
      </w:r>
      <w:r w:rsidR="00265073">
        <w:rPr>
          <w:rStyle w:val="af7"/>
          <w:rFonts w:eastAsiaTheme="minorHAnsi" w:hint="eastAsia"/>
          <w:rtl/>
        </w:rPr>
        <w:t>לד</w:t>
      </w:r>
      <w:r w:rsidR="00265073">
        <w:rPr>
          <w:rStyle w:val="af7"/>
          <w:rFonts w:eastAsiaTheme="minorHAnsi"/>
          <w:rtl/>
        </w:rPr>
        <w:t>)</w:t>
      </w:r>
      <w:r>
        <w:rPr>
          <w:rStyle w:val="af7"/>
          <w:rFonts w:eastAsiaTheme="minorHAnsi" w:hint="cs"/>
          <w:rtl/>
        </w:rPr>
        <w:fldChar w:fldCharType="end"/>
      </w:r>
      <w:r>
        <w:rPr>
          <w:rFonts w:hint="cs"/>
          <w:rtl/>
        </w:rPr>
        <w:t xml:space="preserve"> דהא דאינו נאמן במיגו הוא מחמת דלא אמרינן מיגו מממון לממון. </w:t>
      </w:r>
      <w:r w:rsidRPr="005766FD">
        <w:rPr>
          <w:rStyle w:val="afb"/>
          <w:rFonts w:hint="cs"/>
          <w:rtl/>
        </w:rPr>
        <w:t xml:space="preserve">[וכתב </w:t>
      </w:r>
      <w:r w:rsidRPr="000C5605">
        <w:rPr>
          <w:rStyle w:val="affa"/>
          <w:rFonts w:hint="cs"/>
          <w:rtl/>
        </w:rPr>
        <w:t>הש"ך</w:t>
      </w:r>
      <w:r w:rsidRPr="005766FD">
        <w:rPr>
          <w:rStyle w:val="afb"/>
          <w:rFonts w:hint="cs"/>
          <w:rtl/>
        </w:rPr>
        <w:t xml:space="preserve"> דבין אי נימא </w:t>
      </w:r>
      <w:r w:rsidRPr="000C5605">
        <w:rPr>
          <w:rStyle w:val="affa"/>
          <w:rFonts w:hint="cs"/>
          <w:rtl/>
        </w:rPr>
        <w:t>כהטור</w:t>
      </w:r>
      <w:r w:rsidRPr="005766FD">
        <w:rPr>
          <w:rStyle w:val="afb"/>
          <w:rFonts w:hint="cs"/>
          <w:rtl/>
        </w:rPr>
        <w:t xml:space="preserve"> </w:t>
      </w:r>
      <w:r w:rsidRPr="00C81FA2">
        <w:rPr>
          <w:rStyle w:val="aff6"/>
          <w:rFonts w:hint="cs"/>
          <w:rtl/>
        </w:rPr>
        <w:t>(עי'</w:t>
      </w:r>
      <w:r>
        <w:rPr>
          <w:rStyle w:val="afb"/>
          <w:rFonts w:hint="cs"/>
          <w:rtl/>
        </w:rPr>
        <w:t xml:space="preserve"> </w:t>
      </w:r>
      <w:r w:rsidRPr="00C81FA2">
        <w:rPr>
          <w:rStyle w:val="aff6"/>
          <w:rFonts w:hint="cs"/>
          <w:rtl/>
        </w:rPr>
        <w:t xml:space="preserve">אות </w:t>
      </w:r>
      <w:r w:rsidRPr="00C81FA2">
        <w:rPr>
          <w:rStyle w:val="aff6"/>
          <w:rtl/>
        </w:rPr>
        <w:fldChar w:fldCharType="begin"/>
      </w:r>
      <w:r w:rsidRPr="00C81FA2">
        <w:rPr>
          <w:rStyle w:val="aff6"/>
          <w:rtl/>
        </w:rPr>
        <w:instrText xml:space="preserve"> </w:instrText>
      </w:r>
      <w:r w:rsidRPr="00C81FA2">
        <w:rPr>
          <w:rStyle w:val="aff6"/>
          <w:rFonts w:hint="cs"/>
        </w:rPr>
        <w:instrText>REF</w:instrText>
      </w:r>
      <w:r w:rsidRPr="00C81FA2">
        <w:rPr>
          <w:rStyle w:val="aff6"/>
          <w:rFonts w:hint="cs"/>
          <w:rtl/>
        </w:rPr>
        <w:instrText xml:space="preserve"> _</w:instrText>
      </w:r>
      <w:r w:rsidRPr="00C81FA2">
        <w:rPr>
          <w:rStyle w:val="aff6"/>
          <w:rFonts w:hint="cs"/>
        </w:rPr>
        <w:instrText>Ref63845780 \r \h</w:instrText>
      </w:r>
      <w:r w:rsidRPr="00C81FA2">
        <w:rPr>
          <w:rStyle w:val="aff6"/>
          <w:rtl/>
        </w:rPr>
        <w:instrText xml:space="preserve"> </w:instrText>
      </w:r>
      <w:r w:rsidRPr="00C81FA2">
        <w:rPr>
          <w:rStyle w:val="aff6"/>
          <w:rtl/>
        </w:rPr>
      </w:r>
      <w:r w:rsidRPr="00C81FA2">
        <w:rPr>
          <w:rStyle w:val="aff6"/>
          <w:rtl/>
        </w:rPr>
        <w:fldChar w:fldCharType="separate"/>
      </w:r>
      <w:r w:rsidR="00265073">
        <w:rPr>
          <w:rStyle w:val="aff6"/>
          <w:cs/>
        </w:rPr>
        <w:t>‎</w:t>
      </w:r>
      <w:r w:rsidR="00265073">
        <w:rPr>
          <w:rStyle w:val="aff6"/>
          <w:rtl/>
        </w:rPr>
        <w:t>מד)</w:t>
      </w:r>
      <w:r w:rsidRPr="00C81FA2">
        <w:rPr>
          <w:rStyle w:val="aff6"/>
          <w:rtl/>
        </w:rPr>
        <w:fldChar w:fldCharType="end"/>
      </w:r>
      <w:r>
        <w:rPr>
          <w:rStyle w:val="aff6"/>
          <w:rFonts w:hint="cs"/>
          <w:rtl/>
        </w:rPr>
        <w:t xml:space="preserve"> </w:t>
      </w:r>
      <w:r w:rsidRPr="000C5605">
        <w:rPr>
          <w:rStyle w:val="affa"/>
          <w:rFonts w:hint="cs"/>
          <w:rtl/>
        </w:rPr>
        <w:t>דלרבינו יונה</w:t>
      </w:r>
      <w:r w:rsidRPr="005766FD">
        <w:rPr>
          <w:rStyle w:val="afb"/>
          <w:rFonts w:hint="cs"/>
          <w:rtl/>
        </w:rPr>
        <w:t xml:space="preserve"> לא אמרינן מיגו מממון לממון רק בקרקע, ובין אי נימא </w:t>
      </w:r>
      <w:r>
        <w:rPr>
          <w:rStyle w:val="afb"/>
          <w:rFonts w:hint="cs"/>
          <w:rtl/>
        </w:rPr>
        <w:t xml:space="preserve">כדברי </w:t>
      </w:r>
      <w:r w:rsidRPr="000C5605">
        <w:rPr>
          <w:rStyle w:val="affa"/>
          <w:rFonts w:hint="cs"/>
          <w:rtl/>
        </w:rPr>
        <w:t>הש"ך</w:t>
      </w:r>
      <w:r w:rsidRPr="005766FD">
        <w:rPr>
          <w:rStyle w:val="afb"/>
          <w:rFonts w:hint="cs"/>
          <w:rtl/>
        </w:rPr>
        <w:t xml:space="preserve"> </w:t>
      </w:r>
      <w:r w:rsidRPr="002A4821">
        <w:rPr>
          <w:rStyle w:val="aff6"/>
          <w:rFonts w:hint="cs"/>
          <w:rtl/>
        </w:rPr>
        <w:t xml:space="preserve">(עי' אות </w:t>
      </w:r>
      <w:r w:rsidRPr="002A4821">
        <w:rPr>
          <w:rStyle w:val="aff6"/>
          <w:rtl/>
        </w:rPr>
        <w:fldChar w:fldCharType="begin"/>
      </w:r>
      <w:r w:rsidRPr="002A4821">
        <w:rPr>
          <w:rStyle w:val="aff6"/>
          <w:rtl/>
        </w:rPr>
        <w:instrText xml:space="preserve"> </w:instrText>
      </w:r>
      <w:r w:rsidRPr="002A4821">
        <w:rPr>
          <w:rStyle w:val="aff6"/>
          <w:rFonts w:hint="cs"/>
        </w:rPr>
        <w:instrText>REF</w:instrText>
      </w:r>
      <w:r w:rsidRPr="002A4821">
        <w:rPr>
          <w:rStyle w:val="aff6"/>
          <w:rFonts w:hint="cs"/>
          <w:rtl/>
        </w:rPr>
        <w:instrText xml:space="preserve"> _</w:instrText>
      </w:r>
      <w:r w:rsidRPr="002A4821">
        <w:rPr>
          <w:rStyle w:val="aff6"/>
          <w:rFonts w:hint="cs"/>
        </w:rPr>
        <w:instrText>Ref63873450 \r \h</w:instrText>
      </w:r>
      <w:r w:rsidRPr="002A4821">
        <w:rPr>
          <w:rStyle w:val="aff6"/>
          <w:rtl/>
        </w:rPr>
        <w:instrText xml:space="preserve"> </w:instrText>
      </w:r>
      <w:r w:rsidRPr="002A4821">
        <w:rPr>
          <w:rStyle w:val="aff6"/>
          <w:rtl/>
        </w:rPr>
      </w:r>
      <w:r w:rsidRPr="002A4821">
        <w:rPr>
          <w:rStyle w:val="aff6"/>
          <w:rtl/>
        </w:rPr>
        <w:fldChar w:fldCharType="separate"/>
      </w:r>
      <w:r w:rsidR="00265073">
        <w:rPr>
          <w:rStyle w:val="aff6"/>
          <w:cs/>
        </w:rPr>
        <w:t>‎</w:t>
      </w:r>
      <w:r w:rsidR="00265073">
        <w:rPr>
          <w:rStyle w:val="aff6"/>
          <w:rtl/>
        </w:rPr>
        <w:t>מה)</w:t>
      </w:r>
      <w:r w:rsidRPr="002A4821">
        <w:rPr>
          <w:rStyle w:val="aff6"/>
          <w:rtl/>
        </w:rPr>
        <w:fldChar w:fldCharType="end"/>
      </w:r>
      <w:r>
        <w:rPr>
          <w:rStyle w:val="afb"/>
          <w:rFonts w:hint="cs"/>
          <w:rtl/>
        </w:rPr>
        <w:t xml:space="preserve"> </w:t>
      </w:r>
      <w:r w:rsidRPr="005766FD">
        <w:rPr>
          <w:rStyle w:val="afb"/>
          <w:rFonts w:hint="cs"/>
          <w:rtl/>
        </w:rPr>
        <w:t xml:space="preserve">דאף במטלטלין לא אמרינן, מ"מ </w:t>
      </w:r>
      <w:r w:rsidRPr="000C5605">
        <w:rPr>
          <w:rStyle w:val="affa"/>
          <w:rFonts w:hint="cs"/>
          <w:rtl/>
        </w:rPr>
        <w:t>ברשב"ם</w:t>
      </w:r>
      <w:r w:rsidRPr="005766FD">
        <w:rPr>
          <w:rStyle w:val="afb"/>
          <w:rFonts w:hint="cs"/>
          <w:rtl/>
        </w:rPr>
        <w:t xml:space="preserve"> מבואר דלא </w:t>
      </w:r>
      <w:r w:rsidRPr="000C5605">
        <w:rPr>
          <w:rStyle w:val="affa"/>
          <w:rFonts w:hint="cs"/>
          <w:rtl/>
        </w:rPr>
        <w:t>כרבינו יונה</w:t>
      </w:r>
      <w:r w:rsidRPr="005766FD">
        <w:rPr>
          <w:rStyle w:val="afb"/>
          <w:rFonts w:hint="cs"/>
          <w:rtl/>
        </w:rPr>
        <w:t>].</w:t>
      </w:r>
      <w:bookmarkEnd w:id="14658"/>
    </w:p>
    <w:p w:rsidR="00F4065E" w:rsidRDefault="00F4065E" w:rsidP="00F4065E">
      <w:pPr>
        <w:pStyle w:val="a3"/>
        <w:rPr>
          <w:rtl/>
        </w:rPr>
      </w:pPr>
      <w:bookmarkStart w:id="14659" w:name="_Toc64205670"/>
      <w:bookmarkStart w:id="14660" w:name="_Toc64209350"/>
      <w:bookmarkStart w:id="14661" w:name="_Toc64024642"/>
      <w:bookmarkStart w:id="14662" w:name="_Toc64036037"/>
      <w:bookmarkStart w:id="14663" w:name="_Toc64148071"/>
      <w:r>
        <w:rPr>
          <w:rFonts w:hint="cs"/>
          <w:rtl/>
        </w:rPr>
        <w:t>ביאור הסמ"ע ברמב"ם ובשו"ע דבמיגו נאמן רק על הפירות שאכל ואינו גובה את מה שלא אכל</w:t>
      </w:r>
      <w:bookmarkEnd w:id="14659"/>
      <w:bookmarkEnd w:id="14660"/>
    </w:p>
    <w:p w:rsidR="00F4065E" w:rsidRDefault="00F4065E" w:rsidP="007E4E81">
      <w:pPr>
        <w:pStyle w:val="a0"/>
        <w:rPr>
          <w:rtl/>
        </w:rPr>
      </w:pPr>
      <w:r>
        <w:rPr>
          <w:rFonts w:hint="cs"/>
          <w:rtl/>
        </w:rPr>
        <w:t xml:space="preserve">בדברי </w:t>
      </w:r>
      <w:r w:rsidRPr="007055D4">
        <w:rPr>
          <w:rStyle w:val="af9"/>
          <w:rFonts w:hint="cs"/>
          <w:rtl/>
        </w:rPr>
        <w:t>השו"ע</w:t>
      </w:r>
      <w:r>
        <w:rPr>
          <w:rFonts w:hint="cs"/>
          <w:rtl/>
        </w:rPr>
        <w:t xml:space="preserve"> </w:t>
      </w:r>
      <w:r w:rsidRPr="007055D4">
        <w:rPr>
          <w:rStyle w:val="af7"/>
          <w:rFonts w:eastAsia="Guttman Hodes" w:hint="cs"/>
          <w:rtl/>
        </w:rPr>
        <w:t>(סי' קמ"ט כ"א)</w:t>
      </w:r>
      <w:r>
        <w:rPr>
          <w:rFonts w:hint="cs"/>
          <w:rtl/>
        </w:rPr>
        <w:t xml:space="preserve"> דכתב כדברי</w:t>
      </w:r>
      <w:r>
        <w:rPr>
          <w:rStyle w:val="af9"/>
          <w:rFonts w:hint="cs"/>
          <w:rtl/>
        </w:rPr>
        <w:t xml:space="preserve"> </w:t>
      </w:r>
      <w:r w:rsidRPr="00A147FB">
        <w:rPr>
          <w:rStyle w:val="af9"/>
          <w:rFonts w:hint="cs"/>
          <w:rtl/>
        </w:rPr>
        <w:t>הרמב"ם</w:t>
      </w:r>
      <w:r>
        <w:rPr>
          <w:rFonts w:hint="cs"/>
          <w:rtl/>
        </w:rPr>
        <w:t xml:space="preserve"> </w:t>
      </w:r>
      <w:r w:rsidRPr="00EB2F96">
        <w:rPr>
          <w:rStyle w:val="af7"/>
          <w:rFonts w:eastAsia="Guttman Hodes" w:hint="cs"/>
          <w:rtl/>
        </w:rPr>
        <w:t xml:space="preserve">(עי' אות </w:t>
      </w:r>
      <w:r w:rsidRPr="00EB2F96">
        <w:rPr>
          <w:rStyle w:val="af7"/>
          <w:rFonts w:eastAsia="Guttman Hodes"/>
          <w:rtl/>
        </w:rPr>
        <w:fldChar w:fldCharType="begin"/>
      </w:r>
      <w:r w:rsidRPr="00EB2F96">
        <w:rPr>
          <w:rStyle w:val="af7"/>
          <w:rFonts w:eastAsia="Guttman Hodes"/>
          <w:rtl/>
        </w:rPr>
        <w:instrText xml:space="preserve"> </w:instrText>
      </w:r>
      <w:r w:rsidRPr="00EB2F96">
        <w:rPr>
          <w:rStyle w:val="af7"/>
          <w:rFonts w:eastAsia="Guttman Hodes" w:hint="cs"/>
        </w:rPr>
        <w:instrText>REF</w:instrText>
      </w:r>
      <w:r w:rsidRPr="00EB2F96">
        <w:rPr>
          <w:rStyle w:val="af7"/>
          <w:rFonts w:eastAsia="Guttman Hodes" w:hint="cs"/>
          <w:rtl/>
        </w:rPr>
        <w:instrText xml:space="preserve"> _</w:instrText>
      </w:r>
      <w:r w:rsidRPr="00EB2F96">
        <w:rPr>
          <w:rStyle w:val="af7"/>
          <w:rFonts w:eastAsia="Guttman Hodes" w:hint="cs"/>
        </w:rPr>
        <w:instrText>Ref63702477 \r \h</w:instrText>
      </w:r>
      <w:r w:rsidRPr="00EB2F96">
        <w:rPr>
          <w:rStyle w:val="af7"/>
          <w:rFonts w:eastAsia="Guttman Hodes"/>
          <w:rtl/>
        </w:rPr>
        <w:instrText xml:space="preserve"> </w:instrText>
      </w:r>
      <w:r w:rsidRPr="00EB2F96">
        <w:rPr>
          <w:rStyle w:val="af7"/>
          <w:rFonts w:eastAsia="Guttman Hodes"/>
          <w:rtl/>
        </w:rPr>
      </w:r>
      <w:r w:rsidRPr="00EB2F96">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EB2F96">
        <w:rPr>
          <w:rStyle w:val="af7"/>
          <w:rFonts w:eastAsia="Guttman Hodes"/>
          <w:rtl/>
        </w:rPr>
        <w:fldChar w:fldCharType="end"/>
      </w:r>
      <w:r>
        <w:rPr>
          <w:rStyle w:val="af7"/>
          <w:rFonts w:eastAsia="Guttman Hodes" w:hint="cs"/>
          <w:rtl/>
        </w:rPr>
        <w:t xml:space="preserve"> </w:t>
      </w:r>
      <w:r>
        <w:rPr>
          <w:rFonts w:hint="cs"/>
          <w:rtl/>
        </w:rPr>
        <w:t xml:space="preserve">דכשיש לו מיגו דלקוחה בידי נאמן, וה"ז גובה מהשבח של הקרקע את החוב שטוען, כתב </w:t>
      </w:r>
      <w:r w:rsidRPr="007055D4">
        <w:rPr>
          <w:rStyle w:val="af9"/>
          <w:rFonts w:hint="cs"/>
          <w:rtl/>
        </w:rPr>
        <w:t>הסמ"ע</w:t>
      </w:r>
      <w:r>
        <w:rPr>
          <w:rFonts w:hint="cs"/>
          <w:rtl/>
        </w:rPr>
        <w:t xml:space="preserve"> </w:t>
      </w:r>
      <w:r w:rsidRPr="007055D4">
        <w:rPr>
          <w:rStyle w:val="af7"/>
          <w:rFonts w:eastAsia="Guttman Hodes" w:hint="cs"/>
          <w:rtl/>
        </w:rPr>
        <w:t>(סי' קמ"ט סקל"ה)</w:t>
      </w:r>
      <w:r>
        <w:rPr>
          <w:rFonts w:hint="cs"/>
          <w:rtl/>
        </w:rPr>
        <w:t xml:space="preserve"> דנאמן רק על הפירות שאכל, כדפסק </w:t>
      </w:r>
      <w:r w:rsidRPr="007055D4">
        <w:rPr>
          <w:rStyle w:val="af9"/>
          <w:rFonts w:hint="cs"/>
          <w:rtl/>
        </w:rPr>
        <w:t>הטור</w:t>
      </w:r>
      <w:r>
        <w:rPr>
          <w:rFonts w:hint="cs"/>
          <w:rtl/>
        </w:rPr>
        <w:t xml:space="preserve"> </w:t>
      </w:r>
      <w:r w:rsidRPr="00C24782">
        <w:rPr>
          <w:rStyle w:val="af7"/>
          <w:rFonts w:eastAsia="Guttman Hodes" w:hint="cs"/>
          <w:rtl/>
        </w:rPr>
        <w:t xml:space="preserve">(עי' אות </w:t>
      </w:r>
      <w:r w:rsidRPr="00C24782">
        <w:rPr>
          <w:rStyle w:val="af7"/>
          <w:rFonts w:eastAsia="Guttman Hodes"/>
          <w:rtl/>
        </w:rPr>
        <w:fldChar w:fldCharType="begin"/>
      </w:r>
      <w:r w:rsidRPr="00C24782">
        <w:rPr>
          <w:rStyle w:val="af7"/>
          <w:rFonts w:eastAsia="Guttman Hodes"/>
          <w:rtl/>
        </w:rPr>
        <w:instrText xml:space="preserve"> </w:instrText>
      </w:r>
      <w:r w:rsidRPr="00C24782">
        <w:rPr>
          <w:rStyle w:val="af7"/>
          <w:rFonts w:eastAsia="Guttman Hodes" w:hint="cs"/>
        </w:rPr>
        <w:instrText>REF</w:instrText>
      </w:r>
      <w:r w:rsidRPr="00C24782">
        <w:rPr>
          <w:rStyle w:val="af7"/>
          <w:rFonts w:eastAsia="Guttman Hodes" w:hint="cs"/>
          <w:rtl/>
        </w:rPr>
        <w:instrText xml:space="preserve"> _</w:instrText>
      </w:r>
      <w:r w:rsidRPr="00C24782">
        <w:rPr>
          <w:rStyle w:val="af7"/>
          <w:rFonts w:eastAsia="Guttman Hodes" w:hint="cs"/>
        </w:rPr>
        <w:instrText>Ref63845780 \r \h</w:instrText>
      </w:r>
      <w:r w:rsidRPr="00C24782">
        <w:rPr>
          <w:rStyle w:val="af7"/>
          <w:rFonts w:eastAsia="Guttman Hodes"/>
          <w:rtl/>
        </w:rPr>
        <w:instrText xml:space="preserve"> </w:instrText>
      </w:r>
      <w:r w:rsidRPr="00C24782">
        <w:rPr>
          <w:rStyle w:val="af7"/>
          <w:rFonts w:eastAsia="Guttman Hodes"/>
          <w:rtl/>
        </w:rPr>
      </w:r>
      <w:r w:rsidRPr="00C24782">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C24782">
        <w:rPr>
          <w:rStyle w:val="af7"/>
          <w:rFonts w:eastAsia="Guttman Hodes"/>
          <w:rtl/>
        </w:rPr>
        <w:fldChar w:fldCharType="end"/>
      </w:r>
      <w:r>
        <w:rPr>
          <w:rFonts w:hint="cs"/>
          <w:rtl/>
        </w:rPr>
        <w:t xml:space="preserve"> בשם </w:t>
      </w:r>
      <w:r w:rsidRPr="008628AE">
        <w:rPr>
          <w:rStyle w:val="af9"/>
          <w:rFonts w:hint="cs"/>
          <w:rtl/>
        </w:rPr>
        <w:t>רבינו</w:t>
      </w:r>
      <w:r>
        <w:rPr>
          <w:rFonts w:hint="cs"/>
          <w:rtl/>
        </w:rPr>
        <w:t xml:space="preserve"> </w:t>
      </w:r>
      <w:r w:rsidRPr="008628AE">
        <w:rPr>
          <w:rStyle w:val="af9"/>
          <w:rFonts w:hint="cs"/>
          <w:rtl/>
        </w:rPr>
        <w:t>יונה</w:t>
      </w:r>
      <w:r>
        <w:rPr>
          <w:rFonts w:hint="cs"/>
          <w:rtl/>
        </w:rPr>
        <w:t xml:space="preserve"> </w:t>
      </w:r>
      <w:r w:rsidRPr="00736D9F">
        <w:rPr>
          <w:rStyle w:val="af7"/>
          <w:rFonts w:eastAsia="Guttman Hodes" w:hint="cs"/>
          <w:rtl/>
        </w:rPr>
        <w:t xml:space="preserve">(עי' אות </w:t>
      </w:r>
      <w:r w:rsidRPr="00736D9F">
        <w:rPr>
          <w:rStyle w:val="af7"/>
          <w:rFonts w:eastAsia="Guttman Hodes"/>
          <w:rtl/>
        </w:rPr>
        <w:fldChar w:fldCharType="begin"/>
      </w:r>
      <w:r w:rsidRPr="00736D9F">
        <w:rPr>
          <w:rStyle w:val="af7"/>
          <w:rFonts w:eastAsia="Guttman Hodes"/>
          <w:rtl/>
        </w:rPr>
        <w:instrText xml:space="preserve"> </w:instrText>
      </w:r>
      <w:r w:rsidRPr="00736D9F">
        <w:rPr>
          <w:rStyle w:val="af7"/>
          <w:rFonts w:eastAsia="Guttman Hodes" w:hint="cs"/>
        </w:rPr>
        <w:instrText>REF</w:instrText>
      </w:r>
      <w:r w:rsidRPr="00736D9F">
        <w:rPr>
          <w:rStyle w:val="af7"/>
          <w:rFonts w:eastAsia="Guttman Hodes" w:hint="cs"/>
          <w:rtl/>
        </w:rPr>
        <w:instrText xml:space="preserve"> _</w:instrText>
      </w:r>
      <w:r w:rsidRPr="00736D9F">
        <w:rPr>
          <w:rStyle w:val="af7"/>
          <w:rFonts w:eastAsia="Guttman Hodes" w:hint="cs"/>
        </w:rPr>
        <w:instrText>Ref63589778 \r \h</w:instrText>
      </w:r>
      <w:r w:rsidRPr="00736D9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36D9F">
        <w:rPr>
          <w:rStyle w:val="af7"/>
          <w:rFonts w:eastAsia="Guttman Hodes"/>
          <w:rtl/>
        </w:rPr>
      </w:r>
      <w:r w:rsidRPr="00736D9F">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736D9F">
        <w:rPr>
          <w:rStyle w:val="af7"/>
          <w:rFonts w:eastAsia="Guttman Hodes"/>
          <w:rtl/>
        </w:rPr>
        <w:fldChar w:fldCharType="end"/>
      </w:r>
      <w:r>
        <w:rPr>
          <w:rFonts w:hint="cs"/>
          <w:rtl/>
        </w:rPr>
        <w:t>, אבל אינו יכול לגבות את מה שלא אכל, דהוא מיגו להוציא.</w:t>
      </w:r>
      <w:r w:rsidRPr="00BB56DC">
        <w:rPr>
          <w:rStyle w:val="afb"/>
          <w:rFonts w:hint="cs"/>
          <w:rtl/>
        </w:rPr>
        <w:t xml:space="preserve"> </w:t>
      </w:r>
      <w:r w:rsidRPr="00A82F21">
        <w:rPr>
          <w:rStyle w:val="afb"/>
          <w:rFonts w:hint="cs"/>
          <w:rtl/>
        </w:rPr>
        <w:t>[א</w:t>
      </w:r>
      <w:r>
        <w:rPr>
          <w:rStyle w:val="afb"/>
          <w:rFonts w:hint="cs"/>
          <w:rtl/>
        </w:rPr>
        <w:t xml:space="preserve">ך כתב </w:t>
      </w:r>
      <w:r w:rsidRPr="001F33B5">
        <w:rPr>
          <w:rStyle w:val="affa"/>
          <w:rFonts w:hint="cs"/>
          <w:rtl/>
        </w:rPr>
        <w:t>הקוב"ש</w:t>
      </w:r>
      <w:r>
        <w:rPr>
          <w:rStyle w:val="afb"/>
          <w:rFonts w:hint="cs"/>
          <w:rtl/>
        </w:rPr>
        <w:t xml:space="preserve"> </w:t>
      </w:r>
      <w:r w:rsidRPr="001F33B5">
        <w:rPr>
          <w:rStyle w:val="aff6"/>
          <w:rFonts w:hint="cs"/>
          <w:rtl/>
        </w:rPr>
        <w:t>(או' ק"מ</w:t>
      </w:r>
      <w:r>
        <w:rPr>
          <w:rStyle w:val="aff6"/>
          <w:rFonts w:hint="cs"/>
          <w:rtl/>
        </w:rPr>
        <w:t>)</w:t>
      </w:r>
      <w:r>
        <w:rPr>
          <w:rStyle w:val="affa"/>
          <w:rFonts w:hint="cs"/>
          <w:rtl/>
        </w:rPr>
        <w:t xml:space="preserve"> ד</w:t>
      </w:r>
      <w:r w:rsidRPr="0095545D">
        <w:rPr>
          <w:rStyle w:val="affa"/>
          <w:rFonts w:hint="cs"/>
          <w:rtl/>
        </w:rPr>
        <w:t>ברבינו יונה</w:t>
      </w:r>
      <w:r w:rsidRPr="00A82F21">
        <w:rPr>
          <w:rStyle w:val="afb"/>
          <w:rFonts w:hint="cs"/>
          <w:rtl/>
        </w:rPr>
        <w:t xml:space="preserve"> </w:t>
      </w:r>
      <w:r w:rsidRPr="0095545D">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Ref64020298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לט)</w:t>
      </w:r>
      <w:r>
        <w:rPr>
          <w:rStyle w:val="aff6"/>
          <w:rtl/>
        </w:rPr>
        <w:fldChar w:fldCharType="end"/>
      </w:r>
      <w:r>
        <w:rPr>
          <w:rStyle w:val="aff6"/>
          <w:rFonts w:hint="cs"/>
          <w:rtl/>
        </w:rPr>
        <w:t xml:space="preserve"> </w:t>
      </w:r>
      <w:r>
        <w:rPr>
          <w:rStyle w:val="afb"/>
          <w:rFonts w:hint="cs"/>
          <w:rtl/>
        </w:rPr>
        <w:t>ל</w:t>
      </w:r>
      <w:r w:rsidRPr="00A82F21">
        <w:rPr>
          <w:rStyle w:val="afb"/>
          <w:rFonts w:hint="cs"/>
          <w:rtl/>
        </w:rPr>
        <w:t>פנינו מבואר ד</w:t>
      </w:r>
      <w:r>
        <w:rPr>
          <w:rStyle w:val="afb"/>
          <w:rFonts w:hint="cs"/>
          <w:rtl/>
        </w:rPr>
        <w:t>אין כוונתו ל</w:t>
      </w:r>
      <w:r w:rsidRPr="00A82F21">
        <w:rPr>
          <w:rStyle w:val="afb"/>
          <w:rFonts w:hint="cs"/>
          <w:rtl/>
        </w:rPr>
        <w:t>דין מיגו להוציא</w:t>
      </w:r>
      <w:r>
        <w:rPr>
          <w:rStyle w:val="afb"/>
          <w:rFonts w:hint="cs"/>
          <w:rtl/>
        </w:rPr>
        <w:t>, אלא לדין מיגו מממון לממון</w:t>
      </w:r>
      <w:r w:rsidRPr="00A82F21">
        <w:rPr>
          <w:rStyle w:val="afb"/>
          <w:rFonts w:hint="cs"/>
          <w:rtl/>
        </w:rPr>
        <w:t>]</w:t>
      </w:r>
      <w:r>
        <w:rPr>
          <w:rStyle w:val="afb"/>
          <w:rFonts w:hint="cs"/>
          <w:rtl/>
        </w:rPr>
        <w:t>.</w:t>
      </w:r>
      <w:r>
        <w:rPr>
          <w:rFonts w:hint="cs"/>
          <w:rtl/>
        </w:rPr>
        <w:t xml:space="preserve"> </w:t>
      </w:r>
    </w:p>
    <w:p w:rsidR="00F4065E" w:rsidRPr="00CD68A3" w:rsidRDefault="00F4065E" w:rsidP="00F4065E">
      <w:pPr>
        <w:pStyle w:val="a3"/>
        <w:rPr>
          <w:rtl/>
        </w:rPr>
      </w:pPr>
      <w:bookmarkStart w:id="14664" w:name="_Toc64205671"/>
      <w:bookmarkStart w:id="14665" w:name="_Toc64209351"/>
      <w:r>
        <w:rPr>
          <w:rFonts w:hint="cs"/>
          <w:rtl/>
        </w:rPr>
        <w:t>דברי המהרי"ט והש"ך דברמב"ם ובראב"ד מוכח דאף לפני שאכל נאמן ואינו מיגו מממון לממון</w:t>
      </w:r>
      <w:bookmarkEnd w:id="14661"/>
      <w:bookmarkEnd w:id="14662"/>
      <w:bookmarkEnd w:id="14663"/>
      <w:bookmarkEnd w:id="14664"/>
      <w:bookmarkEnd w:id="14665"/>
    </w:p>
    <w:p w:rsidR="00F4065E" w:rsidRDefault="00F4065E" w:rsidP="007E4E81">
      <w:pPr>
        <w:pStyle w:val="a0"/>
        <w:rPr>
          <w:rtl/>
        </w:rPr>
      </w:pPr>
      <w:bookmarkStart w:id="14666" w:name="_Ref63849738"/>
      <w:r>
        <w:rPr>
          <w:rFonts w:hint="cs"/>
          <w:rtl/>
        </w:rPr>
        <w:t xml:space="preserve">אבל </w:t>
      </w:r>
      <w:r w:rsidRPr="00A147FB">
        <w:rPr>
          <w:rStyle w:val="af9"/>
          <w:rFonts w:hint="cs"/>
          <w:rtl/>
        </w:rPr>
        <w:t>המהרי"ט</w:t>
      </w:r>
      <w:r>
        <w:rPr>
          <w:rFonts w:hint="cs"/>
          <w:rtl/>
        </w:rPr>
        <w:t xml:space="preserve"> </w:t>
      </w:r>
      <w:r w:rsidRPr="00683500">
        <w:rPr>
          <w:rStyle w:val="af7"/>
          <w:rFonts w:eastAsia="Guttman Hodes" w:hint="cs"/>
          <w:rtl/>
        </w:rPr>
        <w:t xml:space="preserve">(ח"א סי' קי"ב ד"ה אכן מדברי) </w:t>
      </w:r>
      <w:r>
        <w:rPr>
          <w:rStyle w:val="af9"/>
          <w:rFonts w:hint="cs"/>
          <w:rtl/>
        </w:rPr>
        <w:t>ו</w:t>
      </w:r>
      <w:r w:rsidRPr="00BD5AD3">
        <w:rPr>
          <w:rStyle w:val="af9"/>
          <w:rFonts w:hint="cs"/>
          <w:rtl/>
        </w:rPr>
        <w:t>הש"ך</w:t>
      </w:r>
      <w:r>
        <w:rPr>
          <w:rFonts w:hint="cs"/>
          <w:rtl/>
        </w:rPr>
        <w:t xml:space="preserve"> </w:t>
      </w:r>
      <w:r w:rsidRPr="00124546">
        <w:rPr>
          <w:rStyle w:val="af7"/>
          <w:rFonts w:eastAsia="Guttman Hodes" w:hint="cs"/>
          <w:rtl/>
        </w:rPr>
        <w:t>(סי' ק"נ סק"ג ד"ה ועוד יהיה דעת</w:t>
      </w:r>
      <w:r>
        <w:rPr>
          <w:rStyle w:val="af7"/>
          <w:rFonts w:eastAsia="Guttman Hodes" w:hint="cs"/>
          <w:rtl/>
        </w:rPr>
        <w:t xml:space="preserve">, </w:t>
      </w:r>
      <w:r w:rsidRPr="007055D4">
        <w:rPr>
          <w:rStyle w:val="af7"/>
          <w:rFonts w:eastAsia="Guttman Hodes" w:hint="cs"/>
          <w:rtl/>
        </w:rPr>
        <w:t>סי' קמ"ט סק"כ</w:t>
      </w:r>
      <w:r w:rsidRPr="00124546">
        <w:rPr>
          <w:rStyle w:val="af7"/>
          <w:rFonts w:eastAsia="Guttman Hodes" w:hint="cs"/>
          <w:rtl/>
        </w:rPr>
        <w:t>)</w:t>
      </w:r>
      <w:r>
        <w:rPr>
          <w:rFonts w:hint="cs"/>
          <w:rtl/>
        </w:rPr>
        <w:t xml:space="preserve"> כתבו דמדברי </w:t>
      </w:r>
      <w:r w:rsidRPr="00A147FB">
        <w:rPr>
          <w:rStyle w:val="af9"/>
          <w:rFonts w:hint="cs"/>
          <w:rtl/>
        </w:rPr>
        <w:t>הרמב"ם</w:t>
      </w:r>
      <w:r>
        <w:rPr>
          <w:rFonts w:hint="cs"/>
          <w:rtl/>
        </w:rPr>
        <w:t xml:space="preserve"> </w:t>
      </w:r>
      <w:r w:rsidRPr="00EB2F96">
        <w:rPr>
          <w:rStyle w:val="af7"/>
          <w:rFonts w:eastAsia="Guttman Hodes" w:hint="cs"/>
          <w:rtl/>
        </w:rPr>
        <w:t xml:space="preserve">(עי' אות </w:t>
      </w:r>
      <w:r w:rsidRPr="00EB2F96">
        <w:rPr>
          <w:rStyle w:val="af7"/>
          <w:rFonts w:eastAsia="Guttman Hodes"/>
          <w:rtl/>
        </w:rPr>
        <w:fldChar w:fldCharType="begin"/>
      </w:r>
      <w:r w:rsidRPr="00EB2F96">
        <w:rPr>
          <w:rStyle w:val="af7"/>
          <w:rFonts w:eastAsia="Guttman Hodes"/>
          <w:rtl/>
        </w:rPr>
        <w:instrText xml:space="preserve"> </w:instrText>
      </w:r>
      <w:r w:rsidRPr="00EB2F96">
        <w:rPr>
          <w:rStyle w:val="af7"/>
          <w:rFonts w:eastAsia="Guttman Hodes" w:hint="cs"/>
        </w:rPr>
        <w:instrText>REF</w:instrText>
      </w:r>
      <w:r w:rsidRPr="00EB2F96">
        <w:rPr>
          <w:rStyle w:val="af7"/>
          <w:rFonts w:eastAsia="Guttman Hodes" w:hint="cs"/>
          <w:rtl/>
        </w:rPr>
        <w:instrText xml:space="preserve"> _</w:instrText>
      </w:r>
      <w:r w:rsidRPr="00EB2F96">
        <w:rPr>
          <w:rStyle w:val="af7"/>
          <w:rFonts w:eastAsia="Guttman Hodes" w:hint="cs"/>
        </w:rPr>
        <w:instrText>Ref63702477 \r \h</w:instrText>
      </w:r>
      <w:r w:rsidRPr="00EB2F96">
        <w:rPr>
          <w:rStyle w:val="af7"/>
          <w:rFonts w:eastAsia="Guttman Hodes"/>
          <w:rtl/>
        </w:rPr>
        <w:instrText xml:space="preserve"> </w:instrText>
      </w:r>
      <w:r w:rsidRPr="00EB2F96">
        <w:rPr>
          <w:rStyle w:val="af7"/>
          <w:rFonts w:eastAsia="Guttman Hodes"/>
          <w:rtl/>
        </w:rPr>
      </w:r>
      <w:r w:rsidRPr="00EB2F96">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EB2F96">
        <w:rPr>
          <w:rStyle w:val="af7"/>
          <w:rFonts w:eastAsia="Guttman Hodes"/>
          <w:rtl/>
        </w:rPr>
        <w:fldChar w:fldCharType="end"/>
      </w:r>
      <w:r w:rsidRPr="00EB2F96">
        <w:rPr>
          <w:rStyle w:val="af7"/>
          <w:rFonts w:eastAsia="Guttman Hodes" w:hint="cs"/>
          <w:rtl/>
        </w:rPr>
        <w:t xml:space="preserve"> </w:t>
      </w:r>
      <w:r>
        <w:rPr>
          <w:rFonts w:hint="cs"/>
          <w:rtl/>
        </w:rPr>
        <w:t xml:space="preserve">דכתב דהוא נאמן במיגו לגבות מהפירות את החוב שטוען, מבואר דפסק לדינא דלא </w:t>
      </w:r>
      <w:r w:rsidRPr="00E236D2">
        <w:rPr>
          <w:rStyle w:val="af9"/>
          <w:rFonts w:hint="cs"/>
          <w:rtl/>
        </w:rPr>
        <w:t>כ</w:t>
      </w:r>
      <w:r>
        <w:rPr>
          <w:rStyle w:val="af9"/>
          <w:rtl/>
        </w:rPr>
        <w:t>רבינו יונה</w:t>
      </w:r>
      <w:r>
        <w:rPr>
          <w:rtl/>
        </w:rPr>
        <w:t xml:space="preserve"> </w:t>
      </w:r>
      <w:r>
        <w:rPr>
          <w:rStyle w:val="af7"/>
          <w:rFonts w:eastAsiaTheme="minorHAnsi" w:hint="cs"/>
          <w:rtl/>
        </w:rPr>
        <w:t xml:space="preserve">(עי' אות </w:t>
      </w:r>
      <w:r>
        <w:rPr>
          <w:rStyle w:val="af7"/>
          <w:rFonts w:eastAsiaTheme="minorHAnsi"/>
          <w:rtl/>
        </w:rPr>
        <w:fldChar w:fldCharType="begin"/>
      </w:r>
      <w:r>
        <w:rPr>
          <w:rStyle w:val="af7"/>
          <w:rFonts w:eastAsiaTheme="minorHAnsi"/>
          <w:rtl/>
        </w:rPr>
        <w:instrText xml:space="preserve"> </w:instrText>
      </w:r>
      <w:r>
        <w:rPr>
          <w:rStyle w:val="af7"/>
          <w:rFonts w:eastAsiaTheme="minorHAnsi" w:hint="cs"/>
        </w:rPr>
        <w:instrText>REF</w:instrText>
      </w:r>
      <w:r>
        <w:rPr>
          <w:rStyle w:val="af7"/>
          <w:rFonts w:eastAsiaTheme="minorHAnsi" w:hint="cs"/>
          <w:rtl/>
        </w:rPr>
        <w:instrText xml:space="preserve"> _</w:instrText>
      </w:r>
      <w:r>
        <w:rPr>
          <w:rStyle w:val="af7"/>
          <w:rFonts w:eastAsiaTheme="minorHAnsi" w:hint="cs"/>
        </w:rPr>
        <w:instrText>Ref64022209 \r \h</w:instrText>
      </w:r>
      <w:r>
        <w:rPr>
          <w:rStyle w:val="af7"/>
          <w:rFonts w:eastAsiaTheme="minorHAnsi"/>
          <w:rtl/>
        </w:rPr>
        <w:instrText xml:space="preserve"> </w:instrText>
      </w:r>
      <w:r>
        <w:rPr>
          <w:rStyle w:val="af7"/>
          <w:rFonts w:eastAsiaTheme="minorHAnsi"/>
          <w:rtl/>
        </w:rPr>
      </w:r>
      <w:r>
        <w:rPr>
          <w:rStyle w:val="af7"/>
          <w:rFonts w:eastAsiaTheme="minorHAnsi"/>
          <w:rtl/>
        </w:rPr>
        <w:fldChar w:fldCharType="separate"/>
      </w:r>
      <w:r w:rsidR="00265073">
        <w:rPr>
          <w:rStyle w:val="af7"/>
          <w:rFonts w:eastAsiaTheme="minorHAnsi"/>
          <w:cs/>
        </w:rPr>
        <w:t>‎</w:t>
      </w:r>
      <w:r w:rsidR="00265073">
        <w:rPr>
          <w:rStyle w:val="af7"/>
          <w:rFonts w:eastAsiaTheme="minorHAnsi"/>
          <w:rtl/>
        </w:rPr>
        <w:t>מד)</w:t>
      </w:r>
      <w:r>
        <w:rPr>
          <w:rStyle w:val="af7"/>
          <w:rFonts w:eastAsiaTheme="minorHAnsi"/>
          <w:rtl/>
        </w:rPr>
        <w:fldChar w:fldCharType="end"/>
      </w:r>
      <w:r>
        <w:rPr>
          <w:rFonts w:hint="cs"/>
          <w:rtl/>
        </w:rPr>
        <w:t xml:space="preserve"> דהא משמע דעדיין לא גבה, את הפירות ואפ"ה נאמן במיגו, וכן משמע מדברי </w:t>
      </w:r>
      <w:r w:rsidRPr="00A147FB">
        <w:rPr>
          <w:rStyle w:val="af9"/>
          <w:rFonts w:hint="cs"/>
          <w:rtl/>
        </w:rPr>
        <w:t>הראב"ד</w:t>
      </w:r>
      <w:r>
        <w:rPr>
          <w:rFonts w:hint="cs"/>
          <w:rtl/>
        </w:rPr>
        <w:t xml:space="preserve"> </w:t>
      </w:r>
      <w:r w:rsidRPr="00EB2F96">
        <w:rPr>
          <w:rStyle w:val="af7"/>
          <w:rFonts w:eastAsia="Guttman Hodes" w:hint="cs"/>
          <w:rtl/>
        </w:rPr>
        <w:t xml:space="preserve">(עי' אות </w:t>
      </w:r>
      <w:r w:rsidRPr="00EB2F96">
        <w:rPr>
          <w:rStyle w:val="af7"/>
          <w:rFonts w:eastAsia="Guttman Hodes"/>
          <w:rtl/>
        </w:rPr>
        <w:fldChar w:fldCharType="begin"/>
      </w:r>
      <w:r w:rsidRPr="00EB2F96">
        <w:rPr>
          <w:rStyle w:val="af7"/>
          <w:rFonts w:eastAsia="Guttman Hodes"/>
          <w:rtl/>
        </w:rPr>
        <w:instrText xml:space="preserve"> </w:instrText>
      </w:r>
      <w:r w:rsidRPr="00EB2F96">
        <w:rPr>
          <w:rStyle w:val="af7"/>
          <w:rFonts w:eastAsia="Guttman Hodes" w:hint="cs"/>
        </w:rPr>
        <w:instrText>REF</w:instrText>
      </w:r>
      <w:r w:rsidRPr="00EB2F96">
        <w:rPr>
          <w:rStyle w:val="af7"/>
          <w:rFonts w:eastAsia="Guttman Hodes" w:hint="cs"/>
          <w:rtl/>
        </w:rPr>
        <w:instrText xml:space="preserve"> _</w:instrText>
      </w:r>
      <w:r w:rsidRPr="00EB2F96">
        <w:rPr>
          <w:rStyle w:val="af7"/>
          <w:rFonts w:eastAsia="Guttman Hodes" w:hint="cs"/>
        </w:rPr>
        <w:instrText>Ref63847642 \r \h</w:instrText>
      </w:r>
      <w:r w:rsidRPr="00EB2F96">
        <w:rPr>
          <w:rStyle w:val="af7"/>
          <w:rFonts w:eastAsia="Guttman Hodes"/>
          <w:rtl/>
        </w:rPr>
        <w:instrText xml:space="preserve"> </w:instrText>
      </w:r>
      <w:r w:rsidRPr="00EB2F96">
        <w:rPr>
          <w:rStyle w:val="af7"/>
          <w:rFonts w:eastAsia="Guttman Hodes"/>
          <w:rtl/>
        </w:rPr>
      </w:r>
      <w:r w:rsidRPr="00EB2F96">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sidRPr="00EB2F96">
        <w:rPr>
          <w:rStyle w:val="af7"/>
          <w:rFonts w:eastAsia="Guttman Hodes"/>
          <w:rtl/>
        </w:rPr>
        <w:fldChar w:fldCharType="end"/>
      </w:r>
      <w:r w:rsidRPr="00EB2F96">
        <w:rPr>
          <w:rStyle w:val="af7"/>
          <w:rFonts w:eastAsia="Guttman Hodes" w:hint="cs"/>
          <w:rtl/>
        </w:rPr>
        <w:t xml:space="preserve"> </w:t>
      </w:r>
      <w:r>
        <w:rPr>
          <w:rFonts w:hint="cs"/>
          <w:rtl/>
        </w:rPr>
        <w:t>דכתב דאינו יכול לבא ולגבות מלכתחילה את הפירות, במיגו בלי שבועה, ומשמע דאיירי בפירות שעדיין לא אכל,</w:t>
      </w:r>
      <w:r w:rsidRPr="004B3713">
        <w:rPr>
          <w:rFonts w:hint="cs"/>
          <w:rtl/>
        </w:rPr>
        <w:t xml:space="preserve"> </w:t>
      </w:r>
      <w:r>
        <w:rPr>
          <w:rFonts w:hint="cs"/>
          <w:rtl/>
        </w:rPr>
        <w:t xml:space="preserve">וכן מוכח מדברי </w:t>
      </w:r>
      <w:r w:rsidRPr="007055D4">
        <w:rPr>
          <w:rStyle w:val="af9"/>
          <w:rFonts w:hint="cs"/>
          <w:rtl/>
        </w:rPr>
        <w:t>המ"מ</w:t>
      </w:r>
      <w:r>
        <w:rPr>
          <w:rFonts w:hint="cs"/>
          <w:rtl/>
        </w:rPr>
        <w:t xml:space="preserve"> </w:t>
      </w:r>
      <w:r w:rsidRPr="004B3713">
        <w:rPr>
          <w:rStyle w:val="af7"/>
          <w:rFonts w:eastAsia="Guttman Hodes" w:hint="cs"/>
          <w:rtl/>
        </w:rPr>
        <w:t xml:space="preserve">(עי' אות </w:t>
      </w:r>
      <w:r w:rsidRPr="004B3713">
        <w:rPr>
          <w:rStyle w:val="af7"/>
          <w:rFonts w:eastAsia="Guttman Hodes"/>
          <w:rtl/>
        </w:rPr>
        <w:fldChar w:fldCharType="begin"/>
      </w:r>
      <w:r w:rsidRPr="004B3713">
        <w:rPr>
          <w:rStyle w:val="af7"/>
          <w:rFonts w:eastAsia="Guttman Hodes"/>
          <w:rtl/>
        </w:rPr>
        <w:instrText xml:space="preserve"> </w:instrText>
      </w:r>
      <w:r w:rsidRPr="004B3713">
        <w:rPr>
          <w:rStyle w:val="af7"/>
          <w:rFonts w:eastAsia="Guttman Hodes" w:hint="cs"/>
        </w:rPr>
        <w:instrText>REF</w:instrText>
      </w:r>
      <w:r w:rsidRPr="004B3713">
        <w:rPr>
          <w:rStyle w:val="af7"/>
          <w:rFonts w:eastAsia="Guttman Hodes" w:hint="cs"/>
          <w:rtl/>
        </w:rPr>
        <w:instrText xml:space="preserve"> _</w:instrText>
      </w:r>
      <w:r w:rsidRPr="004B3713">
        <w:rPr>
          <w:rStyle w:val="af7"/>
          <w:rFonts w:eastAsia="Guttman Hodes" w:hint="cs"/>
        </w:rPr>
        <w:instrText>Ref64198545 \r \h</w:instrText>
      </w:r>
      <w:r w:rsidRPr="004B3713">
        <w:rPr>
          <w:rStyle w:val="af7"/>
          <w:rFonts w:eastAsia="Guttman Hodes"/>
          <w:rtl/>
        </w:rPr>
        <w:instrText xml:space="preserve"> </w:instrText>
      </w:r>
      <w:r w:rsidRPr="004B3713">
        <w:rPr>
          <w:rStyle w:val="af7"/>
          <w:rFonts w:eastAsia="Guttman Hodes"/>
          <w:rtl/>
        </w:rPr>
      </w:r>
      <w:r w:rsidRPr="004B3713">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sidRPr="004B3713">
        <w:rPr>
          <w:rStyle w:val="af7"/>
          <w:rFonts w:eastAsia="Guttman Hodes"/>
          <w:rtl/>
        </w:rPr>
        <w:fldChar w:fldCharType="end"/>
      </w:r>
      <w:r>
        <w:rPr>
          <w:rFonts w:hint="cs"/>
          <w:rtl/>
        </w:rPr>
        <w:t xml:space="preserve"> דס"ל </w:t>
      </w:r>
      <w:r w:rsidRPr="004B3713">
        <w:rPr>
          <w:rStyle w:val="af9"/>
          <w:rFonts w:hint="cs"/>
          <w:rtl/>
        </w:rPr>
        <w:t xml:space="preserve">להרמב"ם </w:t>
      </w:r>
      <w:r>
        <w:rPr>
          <w:rFonts w:hint="cs"/>
          <w:rtl/>
        </w:rPr>
        <w:t xml:space="preserve">א"צ להשבע כדעת </w:t>
      </w:r>
      <w:r w:rsidRPr="004B3713">
        <w:rPr>
          <w:rStyle w:val="af9"/>
          <w:rFonts w:hint="cs"/>
          <w:rtl/>
        </w:rPr>
        <w:t>הגאונים</w:t>
      </w:r>
      <w:r>
        <w:rPr>
          <w:rFonts w:hint="cs"/>
          <w:rtl/>
        </w:rPr>
        <w:t xml:space="preserve">, כיון דאין נשבעין על הקרקעות, וכתב </w:t>
      </w:r>
      <w:r w:rsidRPr="00BD5AD3">
        <w:rPr>
          <w:rStyle w:val="af9"/>
          <w:rFonts w:hint="cs"/>
          <w:rtl/>
        </w:rPr>
        <w:t>הש"ך</w:t>
      </w:r>
      <w:r>
        <w:rPr>
          <w:rFonts w:hint="cs"/>
          <w:rtl/>
        </w:rPr>
        <w:t xml:space="preserve"> דאי איירי בפירות שכבר אכל א"צ להשבע, ומוכח דס"ל דלא</w:t>
      </w:r>
      <w:r w:rsidRPr="006C37D0">
        <w:rPr>
          <w:rStyle w:val="af9"/>
          <w:rFonts w:hint="cs"/>
          <w:rtl/>
        </w:rPr>
        <w:t xml:space="preserve"> </w:t>
      </w:r>
      <w:r w:rsidRPr="00E236D2">
        <w:rPr>
          <w:rStyle w:val="af9"/>
          <w:rFonts w:hint="cs"/>
          <w:rtl/>
        </w:rPr>
        <w:t>כ</w:t>
      </w:r>
      <w:r>
        <w:rPr>
          <w:rStyle w:val="af9"/>
          <w:rtl/>
        </w:rPr>
        <w:t>רבינו יונה</w:t>
      </w:r>
      <w:r>
        <w:rPr>
          <w:rFonts w:hint="cs"/>
          <w:rtl/>
        </w:rPr>
        <w:t>.</w:t>
      </w:r>
      <w:bookmarkEnd w:id="14666"/>
    </w:p>
    <w:p w:rsidR="00F4065E" w:rsidRDefault="00F4065E" w:rsidP="00F4065E">
      <w:pPr>
        <w:pStyle w:val="a3"/>
      </w:pPr>
      <w:bookmarkStart w:id="14667" w:name="_Toc64024643"/>
      <w:bookmarkStart w:id="14668" w:name="_Toc64036038"/>
      <w:bookmarkStart w:id="14669" w:name="_Toc64148072"/>
      <w:bookmarkStart w:id="14670" w:name="_Toc64205672"/>
      <w:bookmarkStart w:id="14671" w:name="_Toc64209352"/>
      <w:r>
        <w:rPr>
          <w:rFonts w:hint="cs"/>
          <w:rtl/>
        </w:rPr>
        <w:t>דברי הש"ך דבר"י מגאש וברמב"ן וברא"ש מוכח דאף שלא אכל את הפירות נאמן במיגו</w:t>
      </w:r>
      <w:bookmarkEnd w:id="14667"/>
      <w:bookmarkEnd w:id="14668"/>
      <w:bookmarkEnd w:id="14669"/>
      <w:bookmarkEnd w:id="14670"/>
      <w:bookmarkEnd w:id="14671"/>
    </w:p>
    <w:p w:rsidR="00F4065E" w:rsidRDefault="00F4065E" w:rsidP="007E4E81">
      <w:pPr>
        <w:pStyle w:val="a0"/>
        <w:rPr>
          <w:rtl/>
        </w:rPr>
      </w:pPr>
      <w:r>
        <w:rPr>
          <w:rFonts w:hint="cs"/>
          <w:rtl/>
        </w:rPr>
        <w:t xml:space="preserve">והוסיף </w:t>
      </w:r>
      <w:r w:rsidRPr="00BD5AD3">
        <w:rPr>
          <w:rStyle w:val="af9"/>
          <w:rFonts w:hint="cs"/>
          <w:rtl/>
        </w:rPr>
        <w:t>הש"ך</w:t>
      </w:r>
      <w:r>
        <w:rPr>
          <w:rFonts w:hint="cs"/>
          <w:rtl/>
        </w:rPr>
        <w:t xml:space="preserve"> </w:t>
      </w:r>
      <w:r w:rsidRPr="00683500">
        <w:rPr>
          <w:rStyle w:val="af7"/>
          <w:rFonts w:eastAsia="Guttman Hodes" w:hint="cs"/>
          <w:rtl/>
        </w:rPr>
        <w:t>(סי' ק"נ סק"ג</w:t>
      </w:r>
      <w:r>
        <w:rPr>
          <w:rFonts w:hint="cs"/>
          <w:rtl/>
        </w:rPr>
        <w:t xml:space="preserve"> </w:t>
      </w:r>
      <w:r w:rsidRPr="00683500">
        <w:rPr>
          <w:rStyle w:val="af7"/>
          <w:rFonts w:eastAsia="Guttman Hodes" w:hint="cs"/>
          <w:rtl/>
        </w:rPr>
        <w:t>ד"ה ועוד יהיה דעת)</w:t>
      </w:r>
      <w:r>
        <w:rPr>
          <w:rFonts w:hint="cs"/>
          <w:rtl/>
        </w:rPr>
        <w:t xml:space="preserve"> דכן מבואר מדברי </w:t>
      </w:r>
      <w:r w:rsidRPr="00BD5AD3">
        <w:rPr>
          <w:rStyle w:val="af9"/>
          <w:rFonts w:hint="cs"/>
          <w:rtl/>
        </w:rPr>
        <w:t>הר"י מגאש</w:t>
      </w:r>
      <w:r>
        <w:rPr>
          <w:rFonts w:hint="cs"/>
          <w:rtl/>
        </w:rPr>
        <w:t xml:space="preserve"> </w:t>
      </w:r>
      <w:r w:rsidRPr="00AF2778">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Ref63975284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Pr>
          <w:rStyle w:val="af7"/>
          <w:rFonts w:eastAsia="Guttman Hodes" w:hint="cs"/>
          <w:rtl/>
        </w:rPr>
        <w:t xml:space="preserve"> </w:t>
      </w:r>
      <w:r w:rsidRPr="00BD5AD3">
        <w:rPr>
          <w:rStyle w:val="af9"/>
          <w:rFonts w:hint="cs"/>
          <w:rtl/>
        </w:rPr>
        <w:t>והרמב"ן</w:t>
      </w:r>
      <w:r>
        <w:rPr>
          <w:rFonts w:hint="cs"/>
          <w:rtl/>
        </w:rPr>
        <w:t xml:space="preserve"> </w:t>
      </w:r>
      <w:r w:rsidRPr="00683500">
        <w:rPr>
          <w:rStyle w:val="af7"/>
          <w:rFonts w:eastAsia="Guttman Hodes" w:hint="cs"/>
          <w:rtl/>
        </w:rPr>
        <w:t xml:space="preserve">(עי' אות </w:t>
      </w:r>
      <w:r w:rsidRPr="00683500">
        <w:rPr>
          <w:rStyle w:val="af7"/>
          <w:rFonts w:eastAsia="Guttman Hodes"/>
          <w:rtl/>
        </w:rPr>
        <w:fldChar w:fldCharType="begin"/>
      </w:r>
      <w:r w:rsidRPr="00683500">
        <w:rPr>
          <w:rStyle w:val="af7"/>
          <w:rFonts w:eastAsia="Guttman Hodes"/>
          <w:rtl/>
        </w:rPr>
        <w:instrText xml:space="preserve"> </w:instrText>
      </w:r>
      <w:r w:rsidRPr="00683500">
        <w:rPr>
          <w:rStyle w:val="af7"/>
          <w:rFonts w:eastAsia="Guttman Hodes" w:hint="cs"/>
        </w:rPr>
        <w:instrText>REF</w:instrText>
      </w:r>
      <w:r w:rsidRPr="00683500">
        <w:rPr>
          <w:rStyle w:val="af7"/>
          <w:rFonts w:eastAsia="Guttman Hodes" w:hint="cs"/>
          <w:rtl/>
        </w:rPr>
        <w:instrText xml:space="preserve"> _</w:instrText>
      </w:r>
      <w:r w:rsidRPr="00683500">
        <w:rPr>
          <w:rStyle w:val="af7"/>
          <w:rFonts w:eastAsia="Guttman Hodes" w:hint="cs"/>
        </w:rPr>
        <w:instrText>Ref63760323 \r \h</w:instrText>
      </w:r>
      <w:r w:rsidRPr="00683500">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83500">
        <w:rPr>
          <w:rStyle w:val="af7"/>
          <w:rFonts w:eastAsia="Guttman Hodes"/>
          <w:rtl/>
        </w:rPr>
      </w:r>
      <w:r w:rsidRPr="00683500">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683500">
        <w:rPr>
          <w:rStyle w:val="af7"/>
          <w:rFonts w:eastAsia="Guttman Hodes"/>
          <w:rtl/>
        </w:rPr>
        <w:fldChar w:fldCharType="end"/>
      </w:r>
      <w:r>
        <w:rPr>
          <w:rFonts w:hint="cs"/>
          <w:rtl/>
        </w:rPr>
        <w:t xml:space="preserve"> דכל שיש לו מיגו, הוא נאמן לגבות אף את הפירות שלא אכל, ולכן לא ביארו </w:t>
      </w:r>
      <w:r w:rsidRPr="00BD5AD3">
        <w:rPr>
          <w:rStyle w:val="af9"/>
          <w:rFonts w:hint="cs"/>
          <w:rtl/>
        </w:rPr>
        <w:t>כרבינו</w:t>
      </w:r>
      <w:r>
        <w:rPr>
          <w:rFonts w:hint="cs"/>
          <w:rtl/>
        </w:rPr>
        <w:t xml:space="preserve"> </w:t>
      </w:r>
      <w:r w:rsidRPr="00BD5AD3">
        <w:rPr>
          <w:rStyle w:val="af9"/>
          <w:rFonts w:hint="cs"/>
          <w:rtl/>
        </w:rPr>
        <w:t>יונה</w:t>
      </w:r>
      <w:r>
        <w:rPr>
          <w:rFonts w:hint="cs"/>
          <w:rtl/>
        </w:rPr>
        <w:t xml:space="preserve"> </w:t>
      </w:r>
      <w:r>
        <w:rPr>
          <w:rStyle w:val="af7"/>
          <w:rFonts w:eastAsiaTheme="minorHAnsi" w:hint="cs"/>
          <w:rtl/>
        </w:rPr>
        <w:t xml:space="preserve">(עי' אות </w:t>
      </w:r>
      <w:r>
        <w:rPr>
          <w:rStyle w:val="af7"/>
          <w:rFonts w:eastAsiaTheme="minorHAnsi"/>
          <w:rtl/>
        </w:rPr>
        <w:fldChar w:fldCharType="begin"/>
      </w:r>
      <w:r>
        <w:rPr>
          <w:rStyle w:val="af7"/>
          <w:rFonts w:eastAsiaTheme="minorHAnsi"/>
          <w:rtl/>
        </w:rPr>
        <w:instrText xml:space="preserve"> </w:instrText>
      </w:r>
      <w:r>
        <w:rPr>
          <w:rStyle w:val="af7"/>
          <w:rFonts w:eastAsiaTheme="minorHAnsi" w:hint="cs"/>
        </w:rPr>
        <w:instrText>REF</w:instrText>
      </w:r>
      <w:r>
        <w:rPr>
          <w:rStyle w:val="af7"/>
          <w:rFonts w:eastAsiaTheme="minorHAnsi" w:hint="cs"/>
          <w:rtl/>
        </w:rPr>
        <w:instrText xml:space="preserve"> _</w:instrText>
      </w:r>
      <w:r>
        <w:rPr>
          <w:rStyle w:val="af7"/>
          <w:rFonts w:eastAsiaTheme="minorHAnsi" w:hint="cs"/>
        </w:rPr>
        <w:instrText>Ref64022209 \r \h</w:instrText>
      </w:r>
      <w:r>
        <w:rPr>
          <w:rStyle w:val="af7"/>
          <w:rFonts w:eastAsiaTheme="minorHAnsi"/>
          <w:rtl/>
        </w:rPr>
        <w:instrText xml:space="preserve"> </w:instrText>
      </w:r>
      <w:r>
        <w:rPr>
          <w:rStyle w:val="af7"/>
          <w:rFonts w:eastAsiaTheme="minorHAnsi"/>
          <w:rtl/>
        </w:rPr>
      </w:r>
      <w:r>
        <w:rPr>
          <w:rStyle w:val="af7"/>
          <w:rFonts w:eastAsiaTheme="minorHAnsi"/>
          <w:rtl/>
        </w:rPr>
        <w:fldChar w:fldCharType="separate"/>
      </w:r>
      <w:r w:rsidR="00265073">
        <w:rPr>
          <w:rStyle w:val="af7"/>
          <w:rFonts w:eastAsiaTheme="minorHAnsi"/>
          <w:cs/>
        </w:rPr>
        <w:t>‎</w:t>
      </w:r>
      <w:r w:rsidR="00265073">
        <w:rPr>
          <w:rStyle w:val="af7"/>
          <w:rFonts w:eastAsiaTheme="minorHAnsi"/>
          <w:rtl/>
        </w:rPr>
        <w:t>מד)</w:t>
      </w:r>
      <w:r>
        <w:rPr>
          <w:rStyle w:val="af7"/>
          <w:rFonts w:eastAsiaTheme="minorHAnsi"/>
          <w:rtl/>
        </w:rPr>
        <w:fldChar w:fldCharType="end"/>
      </w:r>
      <w:r>
        <w:rPr>
          <w:rFonts w:hint="cs"/>
          <w:rtl/>
        </w:rPr>
        <w:t xml:space="preserve">, דברבא בר שרשום איירי בפירות שאכל כבר, ועיי"ש במ"ש </w:t>
      </w:r>
      <w:r w:rsidRPr="00BD5AD3">
        <w:rPr>
          <w:rStyle w:val="af9"/>
          <w:rFonts w:hint="cs"/>
          <w:rtl/>
        </w:rPr>
        <w:t>הש"ך</w:t>
      </w:r>
      <w:r>
        <w:rPr>
          <w:rFonts w:hint="cs"/>
          <w:rtl/>
        </w:rPr>
        <w:t xml:space="preserve"> דכן מוכח מדברי </w:t>
      </w:r>
      <w:r w:rsidRPr="00BD5AD3">
        <w:rPr>
          <w:rStyle w:val="af9"/>
          <w:rFonts w:hint="cs"/>
          <w:rtl/>
        </w:rPr>
        <w:t>הרא"ש</w:t>
      </w:r>
      <w:r w:rsidRPr="00683500">
        <w:rPr>
          <w:rStyle w:val="af7"/>
          <w:rFonts w:eastAsia="Guttman Hodes" w:hint="cs"/>
          <w:rtl/>
        </w:rPr>
        <w:t xml:space="preserve"> (עי' או</w:t>
      </w:r>
      <w:r>
        <w:rPr>
          <w:rStyle w:val="af7"/>
          <w:rFonts w:eastAsia="Guttman Hodes" w:hint="cs"/>
          <w:rtl/>
        </w:rPr>
        <w:t xml:space="preserve">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Ref64190206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Pr>
          <w:rStyle w:val="af7"/>
          <w:rFonts w:eastAsia="Guttman Hodes"/>
          <w:rtl/>
        </w:rPr>
        <w:fldChar w:fldCharType="end"/>
      </w:r>
      <w:r>
        <w:rPr>
          <w:rFonts w:hint="cs"/>
          <w:rtl/>
        </w:rPr>
        <w:t xml:space="preserve">, ובמה שביאר </w:t>
      </w:r>
      <w:r w:rsidRPr="00352289">
        <w:rPr>
          <w:rStyle w:val="af9"/>
          <w:rFonts w:hint="cs"/>
          <w:rtl/>
        </w:rPr>
        <w:t>הנתיה"מ</w:t>
      </w:r>
      <w:r w:rsidRPr="00352289">
        <w:rPr>
          <w:rStyle w:val="af7"/>
          <w:rFonts w:eastAsia="Guttman Hodes" w:hint="cs"/>
          <w:rtl/>
        </w:rPr>
        <w:t xml:space="preserve"> (סי' ק"נ סק"ג) </w:t>
      </w:r>
      <w:r>
        <w:rPr>
          <w:rFonts w:hint="cs"/>
          <w:rtl/>
        </w:rPr>
        <w:t xml:space="preserve">את הוכחת </w:t>
      </w:r>
      <w:r w:rsidRPr="00352289">
        <w:rPr>
          <w:rStyle w:val="af9"/>
          <w:rFonts w:hint="cs"/>
          <w:rtl/>
        </w:rPr>
        <w:t>הש"ך</w:t>
      </w:r>
      <w:r>
        <w:rPr>
          <w:rFonts w:hint="cs"/>
          <w:rtl/>
        </w:rPr>
        <w:t xml:space="preserve"> מדברי </w:t>
      </w:r>
      <w:r w:rsidRPr="00352289">
        <w:rPr>
          <w:rStyle w:val="af9"/>
          <w:rFonts w:hint="cs"/>
          <w:rtl/>
        </w:rPr>
        <w:t>הרא"ש</w:t>
      </w:r>
      <w:r>
        <w:rPr>
          <w:rFonts w:hint="cs"/>
          <w:rtl/>
        </w:rPr>
        <w:t xml:space="preserve">. </w:t>
      </w:r>
      <w:r w:rsidRPr="00C816C7">
        <w:rPr>
          <w:rStyle w:val="afb"/>
          <w:rFonts w:hint="cs"/>
          <w:rtl/>
        </w:rPr>
        <w:t xml:space="preserve">[וע"ע במ"ש </w:t>
      </w:r>
      <w:r w:rsidRPr="00C816C7">
        <w:rPr>
          <w:rStyle w:val="affa"/>
          <w:rFonts w:hint="cs"/>
          <w:rtl/>
        </w:rPr>
        <w:t>הש"ך</w:t>
      </w:r>
      <w:r w:rsidRPr="00C816C7">
        <w:rPr>
          <w:rStyle w:val="afb"/>
          <w:rFonts w:hint="cs"/>
          <w:rtl/>
        </w:rPr>
        <w:t xml:space="preserve"> דכן מוכח מדברי </w:t>
      </w:r>
      <w:r w:rsidRPr="00C816C7">
        <w:rPr>
          <w:rStyle w:val="affa"/>
          <w:rtl/>
        </w:rPr>
        <w:t>הסמ"ג</w:t>
      </w:r>
      <w:r w:rsidRPr="00C816C7">
        <w:rPr>
          <w:rStyle w:val="afb"/>
          <w:rtl/>
        </w:rPr>
        <w:t xml:space="preserve"> </w:t>
      </w:r>
      <w:r w:rsidRPr="00C816C7">
        <w:rPr>
          <w:rStyle w:val="aff6"/>
          <w:rFonts w:hint="cs"/>
          <w:rtl/>
        </w:rPr>
        <w:t>(עשין צ"ה ד"ה מסקינן)</w:t>
      </w:r>
      <w:r w:rsidRPr="00C816C7">
        <w:rPr>
          <w:rStyle w:val="afb"/>
          <w:rFonts w:hint="cs"/>
          <w:rtl/>
        </w:rPr>
        <w:t xml:space="preserve"> </w:t>
      </w:r>
      <w:r w:rsidRPr="00C816C7">
        <w:rPr>
          <w:rStyle w:val="affa"/>
          <w:rtl/>
        </w:rPr>
        <w:t>ו</w:t>
      </w:r>
      <w:r w:rsidRPr="00C816C7">
        <w:rPr>
          <w:rStyle w:val="affa"/>
          <w:rFonts w:hint="cs"/>
          <w:rtl/>
        </w:rPr>
        <w:t xml:space="preserve">ספר </w:t>
      </w:r>
      <w:r w:rsidRPr="00C816C7">
        <w:rPr>
          <w:rStyle w:val="affa"/>
          <w:rtl/>
        </w:rPr>
        <w:t>התרומות</w:t>
      </w:r>
      <w:r w:rsidRPr="00C816C7">
        <w:rPr>
          <w:rStyle w:val="afb"/>
          <w:rtl/>
        </w:rPr>
        <w:t xml:space="preserve"> </w:t>
      </w:r>
      <w:r w:rsidRPr="00C816C7">
        <w:rPr>
          <w:rStyle w:val="aff6"/>
          <w:rFonts w:hint="cs"/>
          <w:rtl/>
        </w:rPr>
        <w:t>(</w:t>
      </w:r>
      <w:r w:rsidRPr="00C816C7">
        <w:rPr>
          <w:rStyle w:val="aff6"/>
          <w:rtl/>
        </w:rPr>
        <w:t>שער י</w:t>
      </w:r>
      <w:r w:rsidRPr="00C816C7">
        <w:rPr>
          <w:rStyle w:val="aff6"/>
          <w:rFonts w:hint="cs"/>
          <w:rtl/>
        </w:rPr>
        <w:t>"</w:t>
      </w:r>
      <w:r w:rsidRPr="00C816C7">
        <w:rPr>
          <w:rStyle w:val="aff6"/>
          <w:rtl/>
        </w:rPr>
        <w:t>ד ח</w:t>
      </w:r>
      <w:r w:rsidRPr="00C816C7">
        <w:rPr>
          <w:rStyle w:val="aff6"/>
          <w:rFonts w:hint="cs"/>
          <w:rtl/>
        </w:rPr>
        <w:t>"</w:t>
      </w:r>
      <w:r w:rsidRPr="00C816C7">
        <w:rPr>
          <w:rStyle w:val="aff6"/>
          <w:rtl/>
        </w:rPr>
        <w:t>א או</w:t>
      </w:r>
      <w:r w:rsidRPr="00C816C7">
        <w:rPr>
          <w:rStyle w:val="aff6"/>
          <w:rFonts w:hint="cs"/>
          <w:rtl/>
        </w:rPr>
        <w:t>'</w:t>
      </w:r>
      <w:r w:rsidRPr="00C816C7">
        <w:rPr>
          <w:rStyle w:val="aff6"/>
          <w:rtl/>
        </w:rPr>
        <w:t xml:space="preserve"> ו</w:t>
      </w:r>
      <w:r w:rsidRPr="00C816C7">
        <w:rPr>
          <w:rStyle w:val="aff6"/>
          <w:rFonts w:hint="cs"/>
          <w:rtl/>
        </w:rPr>
        <w:t>')</w:t>
      </w:r>
      <w:r w:rsidRPr="00C816C7">
        <w:rPr>
          <w:rStyle w:val="afb"/>
          <w:rFonts w:hint="cs"/>
          <w:rtl/>
        </w:rPr>
        <w:t xml:space="preserve"> </w:t>
      </w:r>
      <w:r w:rsidRPr="00C816C7">
        <w:rPr>
          <w:rStyle w:val="affa"/>
          <w:rtl/>
        </w:rPr>
        <w:t>ו</w:t>
      </w:r>
      <w:r w:rsidRPr="00C816C7">
        <w:rPr>
          <w:rStyle w:val="affa"/>
          <w:rFonts w:hint="cs"/>
          <w:rtl/>
        </w:rPr>
        <w:t>ה</w:t>
      </w:r>
      <w:r w:rsidRPr="00C816C7">
        <w:rPr>
          <w:rStyle w:val="affa"/>
          <w:rtl/>
        </w:rPr>
        <w:t>נמוק</w:t>
      </w:r>
      <w:r w:rsidRPr="00C816C7">
        <w:rPr>
          <w:rStyle w:val="affa"/>
          <w:rFonts w:hint="cs"/>
          <w:rtl/>
        </w:rPr>
        <w:t>"</w:t>
      </w:r>
      <w:r w:rsidRPr="00C816C7">
        <w:rPr>
          <w:rStyle w:val="affa"/>
          <w:rtl/>
        </w:rPr>
        <w:t>י</w:t>
      </w:r>
      <w:r w:rsidRPr="00C816C7">
        <w:rPr>
          <w:rStyle w:val="afb"/>
          <w:rtl/>
        </w:rPr>
        <w:t xml:space="preserve"> </w:t>
      </w:r>
      <w:r w:rsidRPr="00C816C7">
        <w:rPr>
          <w:rStyle w:val="aff6"/>
          <w:rFonts w:hint="cs"/>
          <w:rtl/>
        </w:rPr>
        <w:t>(טז: מדה"ר ד"ה אוכלה)</w:t>
      </w:r>
      <w:r w:rsidRPr="00C816C7">
        <w:rPr>
          <w:rStyle w:val="afb"/>
          <w:rFonts w:hint="cs"/>
          <w:rtl/>
        </w:rPr>
        <w:t xml:space="preserve"> </w:t>
      </w:r>
      <w:r w:rsidRPr="00C816C7">
        <w:rPr>
          <w:rStyle w:val="affa"/>
          <w:rtl/>
        </w:rPr>
        <w:t>וה</w:t>
      </w:r>
      <w:r w:rsidRPr="00C816C7">
        <w:rPr>
          <w:rStyle w:val="affa"/>
          <w:rFonts w:hint="cs"/>
          <w:rtl/>
        </w:rPr>
        <w:t>ה</w:t>
      </w:r>
      <w:r w:rsidRPr="00C816C7">
        <w:rPr>
          <w:rStyle w:val="affa"/>
          <w:rtl/>
        </w:rPr>
        <w:t>גה' מרדכי</w:t>
      </w:r>
      <w:r w:rsidRPr="00C816C7">
        <w:rPr>
          <w:rStyle w:val="affa"/>
          <w:rFonts w:hint="cs"/>
          <w:rtl/>
        </w:rPr>
        <w:t xml:space="preserve"> בב"מ</w:t>
      </w:r>
      <w:r w:rsidRPr="00C816C7">
        <w:rPr>
          <w:rStyle w:val="afb"/>
          <w:rFonts w:hint="cs"/>
          <w:rtl/>
        </w:rPr>
        <w:t xml:space="preserve"> </w:t>
      </w:r>
      <w:r w:rsidRPr="00C816C7">
        <w:rPr>
          <w:rStyle w:val="aff6"/>
          <w:rFonts w:hint="cs"/>
          <w:rtl/>
        </w:rPr>
        <w:t>(או' תי"ט)</w:t>
      </w:r>
      <w:r>
        <w:rPr>
          <w:rStyle w:val="afb"/>
          <w:rFonts w:hint="cs"/>
          <w:rtl/>
        </w:rPr>
        <w:t xml:space="preserve"> דלא ס"ל </w:t>
      </w:r>
      <w:r w:rsidRPr="00F75733">
        <w:rPr>
          <w:rStyle w:val="affa"/>
          <w:rFonts w:hint="cs"/>
          <w:rtl/>
        </w:rPr>
        <w:t>כרבינו יונה</w:t>
      </w:r>
      <w:r w:rsidRPr="00C816C7">
        <w:rPr>
          <w:rStyle w:val="afb"/>
          <w:rFonts w:hint="cs"/>
          <w:rtl/>
        </w:rPr>
        <w:t>].</w:t>
      </w:r>
    </w:p>
    <w:p w:rsidR="00F4065E" w:rsidRPr="00F64347" w:rsidRDefault="00F4065E" w:rsidP="00F4065E">
      <w:pPr>
        <w:pStyle w:val="a3"/>
        <w:rPr>
          <w:rtl/>
        </w:rPr>
      </w:pPr>
      <w:bookmarkStart w:id="14672" w:name="_Toc64024644"/>
      <w:bookmarkStart w:id="14673" w:name="_Toc64036039"/>
      <w:bookmarkStart w:id="14674" w:name="_Toc64148073"/>
      <w:bookmarkStart w:id="14675" w:name="_Toc64205673"/>
      <w:bookmarkStart w:id="14676" w:name="_Toc64209353"/>
      <w:r>
        <w:rPr>
          <w:rFonts w:hint="cs"/>
          <w:rtl/>
        </w:rPr>
        <w:lastRenderedPageBreak/>
        <w:t>ביאור הש"ך בר"י מגאש דכוונתו הייתה להחזיר את הקרקע ואח"כ לתובעם לגבות חובו</w:t>
      </w:r>
      <w:bookmarkEnd w:id="14672"/>
      <w:bookmarkEnd w:id="14673"/>
      <w:bookmarkEnd w:id="14674"/>
      <w:bookmarkEnd w:id="14675"/>
      <w:bookmarkEnd w:id="14676"/>
    </w:p>
    <w:p w:rsidR="00F4065E" w:rsidRDefault="00F4065E" w:rsidP="007E4E81">
      <w:pPr>
        <w:pStyle w:val="a0"/>
        <w:rPr>
          <w:rStyle w:val="afb"/>
          <w:rtl/>
        </w:rPr>
      </w:pPr>
      <w:bookmarkStart w:id="14677" w:name="_Ref64024482"/>
      <w:r>
        <w:rPr>
          <w:rFonts w:hint="cs"/>
          <w:rtl/>
        </w:rPr>
        <w:t xml:space="preserve">וכתב </w:t>
      </w:r>
      <w:r w:rsidRPr="00BD5AD3">
        <w:rPr>
          <w:rStyle w:val="af9"/>
          <w:rFonts w:hint="cs"/>
          <w:rtl/>
        </w:rPr>
        <w:t>הש"ך</w:t>
      </w:r>
      <w:r>
        <w:rPr>
          <w:rFonts w:hint="cs"/>
          <w:rtl/>
        </w:rPr>
        <w:t xml:space="preserve"> דזו כוונת </w:t>
      </w:r>
      <w:r w:rsidRPr="00426AAD">
        <w:rPr>
          <w:rStyle w:val="af9"/>
          <w:rFonts w:hint="cs"/>
          <w:rtl/>
        </w:rPr>
        <w:t>הרמב"ן</w:t>
      </w:r>
      <w:r>
        <w:rPr>
          <w:rFonts w:hint="cs"/>
          <w:rtl/>
        </w:rPr>
        <w:t xml:space="preserve"> בשם  </w:t>
      </w:r>
      <w:r w:rsidRPr="00BD5AD3">
        <w:rPr>
          <w:rStyle w:val="af9"/>
          <w:rFonts w:hint="cs"/>
          <w:rtl/>
        </w:rPr>
        <w:t>הר"י מגאש</w:t>
      </w:r>
      <w:r>
        <w:rPr>
          <w:rFonts w:hint="cs"/>
          <w:rtl/>
        </w:rPr>
        <w:t xml:space="preserve"> </w:t>
      </w:r>
      <w:r w:rsidRPr="00AF2778">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Ref63975284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ז)</w:t>
      </w:r>
      <w:r>
        <w:rPr>
          <w:rStyle w:val="af7"/>
          <w:rFonts w:eastAsia="Guttman Hodes"/>
          <w:rtl/>
        </w:rPr>
        <w:fldChar w:fldCharType="end"/>
      </w:r>
      <w:r w:rsidRPr="00AF2778">
        <w:rPr>
          <w:rStyle w:val="af7"/>
          <w:rFonts w:eastAsia="Guttman Hodes" w:hint="cs"/>
          <w:rtl/>
        </w:rPr>
        <w:t xml:space="preserve"> </w:t>
      </w:r>
      <w:r>
        <w:rPr>
          <w:rFonts w:hint="cs"/>
          <w:rtl/>
        </w:rPr>
        <w:t xml:space="preserve">דכתב דרבא בר שרשום הודה שהקרקע היא של היתומים, ונגמרו שני המשכנתא, אלא דבכדי שלא יהיה חייב להשבע, לא החזיר להם את הקרקע, ולא הוצרך לתבוע מהם את החוב, והיינו דעיקר כוונת רבא בר שרשום הייתה שלא יחזיר להם את הקרקע בתחילה ואח"כ יתבע אותם, דא"כ הם לא יניחו לו לאכול את הפירות, ולכן לא רצה רבא בר שרשום להחזיר להם את הקרקע, וכל שהקרקע תחת ידו הוא נאמן לאכול אף את הפירות דלהבא, </w:t>
      </w:r>
      <w:r w:rsidRPr="008244F9">
        <w:rPr>
          <w:rStyle w:val="afb"/>
          <w:rFonts w:hint="cs"/>
          <w:rtl/>
        </w:rPr>
        <w:t>[אף לאחר</w:t>
      </w:r>
      <w:r w:rsidRPr="00AF360A">
        <w:rPr>
          <w:rStyle w:val="afb"/>
          <w:rFonts w:hint="cs"/>
          <w:rtl/>
        </w:rPr>
        <w:t xml:space="preserve"> שהודה שהקרקע היא שלהם], </w:t>
      </w:r>
      <w:r>
        <w:rPr>
          <w:rFonts w:hint="cs"/>
          <w:rtl/>
        </w:rPr>
        <w:t xml:space="preserve">כיון שהוא נאמן במיגו דלקוחה היא בידו, וכתב </w:t>
      </w:r>
      <w:r w:rsidRPr="00BD5AD3">
        <w:rPr>
          <w:rStyle w:val="af9"/>
          <w:rFonts w:hint="cs"/>
          <w:rtl/>
        </w:rPr>
        <w:t>הש"ך</w:t>
      </w:r>
      <w:r>
        <w:rPr>
          <w:rFonts w:hint="cs"/>
          <w:rtl/>
        </w:rPr>
        <w:t xml:space="preserve"> דמדברי </w:t>
      </w:r>
      <w:r w:rsidRPr="00BD5AD3">
        <w:rPr>
          <w:rStyle w:val="af9"/>
          <w:rFonts w:hint="cs"/>
          <w:rtl/>
        </w:rPr>
        <w:t>הרמב"ן</w:t>
      </w:r>
      <w:r>
        <w:rPr>
          <w:rFonts w:hint="cs"/>
          <w:rtl/>
        </w:rPr>
        <w:t xml:space="preserve"> </w:t>
      </w:r>
      <w:r w:rsidRPr="00683500">
        <w:rPr>
          <w:rStyle w:val="af7"/>
          <w:rFonts w:eastAsia="Guttman Hodes" w:hint="cs"/>
          <w:rtl/>
        </w:rPr>
        <w:t xml:space="preserve">(עי' אות </w:t>
      </w:r>
      <w:r w:rsidRPr="00683500">
        <w:rPr>
          <w:rStyle w:val="af7"/>
          <w:rFonts w:eastAsia="Guttman Hodes"/>
          <w:rtl/>
        </w:rPr>
        <w:fldChar w:fldCharType="begin"/>
      </w:r>
      <w:r w:rsidRPr="00683500">
        <w:rPr>
          <w:rStyle w:val="af7"/>
          <w:rFonts w:eastAsia="Guttman Hodes"/>
          <w:rtl/>
        </w:rPr>
        <w:instrText xml:space="preserve"> </w:instrText>
      </w:r>
      <w:r w:rsidRPr="00683500">
        <w:rPr>
          <w:rStyle w:val="af7"/>
          <w:rFonts w:eastAsia="Guttman Hodes" w:hint="cs"/>
        </w:rPr>
        <w:instrText>REF</w:instrText>
      </w:r>
      <w:r w:rsidRPr="00683500">
        <w:rPr>
          <w:rStyle w:val="af7"/>
          <w:rFonts w:eastAsia="Guttman Hodes" w:hint="cs"/>
          <w:rtl/>
        </w:rPr>
        <w:instrText xml:space="preserve"> _</w:instrText>
      </w:r>
      <w:r w:rsidRPr="00683500">
        <w:rPr>
          <w:rStyle w:val="af7"/>
          <w:rFonts w:eastAsia="Guttman Hodes" w:hint="cs"/>
        </w:rPr>
        <w:instrText>Ref63760287 \r \h</w:instrText>
      </w:r>
      <w:r w:rsidRPr="00683500">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83500">
        <w:rPr>
          <w:rStyle w:val="af7"/>
          <w:rFonts w:eastAsia="Guttman Hodes"/>
          <w:rtl/>
        </w:rPr>
      </w:r>
      <w:r w:rsidRPr="00683500">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683500">
        <w:rPr>
          <w:rStyle w:val="af7"/>
          <w:rFonts w:eastAsia="Guttman Hodes"/>
          <w:rtl/>
        </w:rPr>
        <w:fldChar w:fldCharType="end"/>
      </w:r>
      <w:r>
        <w:rPr>
          <w:rFonts w:hint="cs"/>
          <w:rtl/>
        </w:rPr>
        <w:t xml:space="preserve"> בשם </w:t>
      </w:r>
      <w:r w:rsidRPr="00BD5AD3">
        <w:rPr>
          <w:rStyle w:val="af9"/>
          <w:rFonts w:hint="cs"/>
          <w:rtl/>
        </w:rPr>
        <w:t>הר"י</w:t>
      </w:r>
      <w:r>
        <w:rPr>
          <w:rFonts w:hint="cs"/>
          <w:rtl/>
        </w:rPr>
        <w:t xml:space="preserve"> </w:t>
      </w:r>
      <w:r w:rsidRPr="00BD5AD3">
        <w:rPr>
          <w:rStyle w:val="af9"/>
          <w:rFonts w:hint="cs"/>
          <w:rtl/>
        </w:rPr>
        <w:t xml:space="preserve">מגאש </w:t>
      </w:r>
      <w:r>
        <w:rPr>
          <w:rFonts w:hint="cs"/>
          <w:rtl/>
        </w:rPr>
        <w:t xml:space="preserve">מבואר דכן דעת </w:t>
      </w:r>
      <w:r w:rsidRPr="00BD5AD3">
        <w:rPr>
          <w:rStyle w:val="af9"/>
          <w:rFonts w:hint="cs"/>
          <w:rtl/>
        </w:rPr>
        <w:t>הרמב"ן</w:t>
      </w:r>
      <w:r>
        <w:rPr>
          <w:rFonts w:hint="cs"/>
          <w:rtl/>
        </w:rPr>
        <w:t xml:space="preserve"> </w:t>
      </w:r>
      <w:r w:rsidRPr="00683500">
        <w:rPr>
          <w:rStyle w:val="af7"/>
          <w:rFonts w:eastAsia="Guttman Hodes" w:hint="cs"/>
          <w:rtl/>
        </w:rPr>
        <w:t xml:space="preserve">(עי' אות </w:t>
      </w:r>
      <w:r w:rsidRPr="00683500">
        <w:rPr>
          <w:rStyle w:val="af7"/>
          <w:rFonts w:eastAsia="Guttman Hodes"/>
          <w:rtl/>
        </w:rPr>
        <w:fldChar w:fldCharType="begin"/>
      </w:r>
      <w:r w:rsidRPr="00683500">
        <w:rPr>
          <w:rStyle w:val="af7"/>
          <w:rFonts w:eastAsia="Guttman Hodes"/>
          <w:rtl/>
        </w:rPr>
        <w:instrText xml:space="preserve"> </w:instrText>
      </w:r>
      <w:r w:rsidRPr="00683500">
        <w:rPr>
          <w:rStyle w:val="af7"/>
          <w:rFonts w:eastAsia="Guttman Hodes" w:hint="cs"/>
        </w:rPr>
        <w:instrText>REF</w:instrText>
      </w:r>
      <w:r w:rsidRPr="00683500">
        <w:rPr>
          <w:rStyle w:val="af7"/>
          <w:rFonts w:eastAsia="Guttman Hodes" w:hint="cs"/>
          <w:rtl/>
        </w:rPr>
        <w:instrText xml:space="preserve"> _</w:instrText>
      </w:r>
      <w:r w:rsidRPr="00683500">
        <w:rPr>
          <w:rStyle w:val="af7"/>
          <w:rFonts w:eastAsia="Guttman Hodes" w:hint="cs"/>
        </w:rPr>
        <w:instrText>Ref63760323 \r \h</w:instrText>
      </w:r>
      <w:r w:rsidRPr="00683500">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83500">
        <w:rPr>
          <w:rStyle w:val="af7"/>
          <w:rFonts w:eastAsia="Guttman Hodes"/>
          <w:rtl/>
        </w:rPr>
      </w:r>
      <w:r w:rsidRPr="00683500">
        <w:rPr>
          <w:rStyle w:val="af7"/>
          <w:rFonts w:eastAsia="Guttman Hodes"/>
          <w:rtl/>
        </w:rPr>
        <w:fldChar w:fldCharType="separate"/>
      </w:r>
      <w:r w:rsidR="00265073">
        <w:rPr>
          <w:rStyle w:val="af7"/>
          <w:rFonts w:eastAsia="Guttman Hodes"/>
          <w:cs/>
        </w:rPr>
        <w:t>‎</w:t>
      </w:r>
      <w:r w:rsidR="00265073">
        <w:rPr>
          <w:rStyle w:val="af7"/>
          <w:rFonts w:eastAsia="Guttman Hodes"/>
          <w:rtl/>
        </w:rPr>
        <w:t>יג)</w:t>
      </w:r>
      <w:r w:rsidRPr="00683500">
        <w:rPr>
          <w:rStyle w:val="af7"/>
          <w:rFonts w:eastAsia="Guttman Hodes"/>
          <w:rtl/>
        </w:rPr>
        <w:fldChar w:fldCharType="end"/>
      </w:r>
      <w:r>
        <w:rPr>
          <w:rFonts w:hint="cs"/>
          <w:rtl/>
        </w:rPr>
        <w:t xml:space="preserve"> בתירוציו הקודמים, דנאמן לאכול אף פירות דלהבא</w:t>
      </w:r>
      <w:r>
        <w:rPr>
          <w:rStyle w:val="af1"/>
          <w:rtl/>
        </w:rPr>
        <w:footnoteReference w:id="104"/>
      </w:r>
      <w:r>
        <w:rPr>
          <w:rFonts w:hint="cs"/>
          <w:rtl/>
        </w:rPr>
        <w:t>.</w:t>
      </w:r>
      <w:bookmarkEnd w:id="14677"/>
    </w:p>
    <w:p w:rsidR="00F4065E" w:rsidRPr="00F70CFF" w:rsidRDefault="00F4065E" w:rsidP="00F4065E">
      <w:pPr>
        <w:pStyle w:val="a3"/>
        <w:rPr>
          <w:rtl/>
        </w:rPr>
      </w:pPr>
      <w:bookmarkStart w:id="14678" w:name="_Toc64036040"/>
      <w:bookmarkStart w:id="14679" w:name="_Toc64148074"/>
      <w:bookmarkStart w:id="14680" w:name="_Toc64205674"/>
      <w:bookmarkStart w:id="14681" w:name="_Toc64209354"/>
      <w:r>
        <w:rPr>
          <w:rFonts w:hint="cs"/>
          <w:rtl/>
        </w:rPr>
        <w:t>דברי הש"ך דמשמע בגמ' כר"י מגאש והרמב"ם דהנדון הוא על הפירות שעדיין לא אכל</w:t>
      </w:r>
      <w:bookmarkEnd w:id="14678"/>
      <w:bookmarkEnd w:id="14679"/>
      <w:bookmarkEnd w:id="14680"/>
      <w:bookmarkEnd w:id="14681"/>
    </w:p>
    <w:p w:rsidR="00F4065E" w:rsidRPr="00A315E2" w:rsidRDefault="00F4065E" w:rsidP="007E4E81">
      <w:pPr>
        <w:pStyle w:val="a0"/>
        <w:rPr>
          <w:rStyle w:val="afb"/>
          <w:rtl/>
        </w:rPr>
      </w:pPr>
      <w:r>
        <w:rPr>
          <w:rFonts w:hint="cs"/>
          <w:rtl/>
        </w:rPr>
        <w:t xml:space="preserve">וכתב </w:t>
      </w:r>
      <w:r w:rsidRPr="00BD5AD3">
        <w:rPr>
          <w:rStyle w:val="af9"/>
          <w:rFonts w:hint="cs"/>
          <w:rtl/>
        </w:rPr>
        <w:t>הש"ך</w:t>
      </w:r>
      <w:r>
        <w:rPr>
          <w:rFonts w:hint="cs"/>
          <w:rtl/>
        </w:rPr>
        <w:t xml:space="preserve"> </w:t>
      </w:r>
      <w:r w:rsidRPr="00683500">
        <w:rPr>
          <w:rStyle w:val="af7"/>
          <w:rFonts w:eastAsia="Guttman Hodes" w:hint="cs"/>
          <w:rtl/>
        </w:rPr>
        <w:t>(סי' ק"נ ס</w:t>
      </w:r>
      <w:r>
        <w:rPr>
          <w:rStyle w:val="af7"/>
          <w:rFonts w:eastAsia="Guttman Hodes" w:hint="cs"/>
          <w:rtl/>
        </w:rPr>
        <w:t xml:space="preserve">וס"ק </w:t>
      </w:r>
      <w:r w:rsidRPr="00683500">
        <w:rPr>
          <w:rStyle w:val="af7"/>
          <w:rFonts w:eastAsia="Guttman Hodes" w:hint="cs"/>
          <w:rtl/>
        </w:rPr>
        <w:t>ק"ג</w:t>
      </w:r>
      <w:r>
        <w:rPr>
          <w:rFonts w:hint="cs"/>
          <w:rtl/>
        </w:rPr>
        <w:t xml:space="preserve"> </w:t>
      </w:r>
      <w:r w:rsidRPr="00683500">
        <w:rPr>
          <w:rStyle w:val="af7"/>
          <w:rFonts w:eastAsia="Guttman Hodes" w:hint="cs"/>
          <w:rtl/>
        </w:rPr>
        <w:t xml:space="preserve">ד"ה </w:t>
      </w:r>
      <w:r>
        <w:rPr>
          <w:rStyle w:val="af7"/>
          <w:rFonts w:eastAsia="Guttman Hodes" w:hint="cs"/>
          <w:rtl/>
        </w:rPr>
        <w:t>וכן נראה לפענ"ד</w:t>
      </w:r>
      <w:r w:rsidRPr="00683500">
        <w:rPr>
          <w:rStyle w:val="af7"/>
          <w:rFonts w:eastAsia="Guttman Hodes" w:hint="cs"/>
          <w:rtl/>
        </w:rPr>
        <w:t>)</w:t>
      </w:r>
      <w:r>
        <w:rPr>
          <w:rFonts w:hint="cs"/>
          <w:rtl/>
        </w:rPr>
        <w:t xml:space="preserve"> דבגמ' משמע כדעת </w:t>
      </w:r>
      <w:r w:rsidRPr="008244F9">
        <w:rPr>
          <w:rStyle w:val="af9"/>
          <w:rFonts w:hint="cs"/>
          <w:rtl/>
        </w:rPr>
        <w:t>הרמב"ם והר"י מגאש</w:t>
      </w:r>
      <w:r>
        <w:rPr>
          <w:rFonts w:hint="cs"/>
          <w:rtl/>
        </w:rPr>
        <w:t xml:space="preserve"> </w:t>
      </w:r>
      <w:r w:rsidRPr="008244F9">
        <w:rPr>
          <w:rStyle w:val="af7"/>
          <w:rFonts w:eastAsia="Guttman Hodes" w:hint="cs"/>
          <w:rtl/>
        </w:rPr>
        <w:t xml:space="preserve">(עי' אות </w:t>
      </w:r>
      <w:r w:rsidRPr="008244F9">
        <w:rPr>
          <w:rStyle w:val="af7"/>
          <w:rFonts w:eastAsia="Guttman Hodes"/>
          <w:rtl/>
        </w:rPr>
        <w:fldChar w:fldCharType="begin"/>
      </w:r>
      <w:r w:rsidRPr="008244F9">
        <w:rPr>
          <w:rStyle w:val="af7"/>
          <w:rFonts w:eastAsia="Guttman Hodes"/>
          <w:rtl/>
        </w:rPr>
        <w:instrText xml:space="preserve"> </w:instrText>
      </w:r>
      <w:r w:rsidRPr="008244F9">
        <w:rPr>
          <w:rStyle w:val="af7"/>
          <w:rFonts w:eastAsia="Guttman Hodes" w:hint="cs"/>
        </w:rPr>
        <w:instrText>REF</w:instrText>
      </w:r>
      <w:r w:rsidRPr="008244F9">
        <w:rPr>
          <w:rStyle w:val="af7"/>
          <w:rFonts w:eastAsia="Guttman Hodes" w:hint="cs"/>
          <w:rtl/>
        </w:rPr>
        <w:instrText xml:space="preserve"> _</w:instrText>
      </w:r>
      <w:r w:rsidRPr="008244F9">
        <w:rPr>
          <w:rStyle w:val="af7"/>
          <w:rFonts w:eastAsia="Guttman Hodes" w:hint="cs"/>
        </w:rPr>
        <w:instrText>Ref63849738 \r \h</w:instrText>
      </w:r>
      <w:r w:rsidRPr="008244F9">
        <w:rPr>
          <w:rStyle w:val="af7"/>
          <w:rFonts w:eastAsia="Guttman Hodes"/>
          <w:rtl/>
        </w:rPr>
        <w:instrText xml:space="preserve"> </w:instrText>
      </w:r>
      <w:r w:rsidRPr="008244F9">
        <w:rPr>
          <w:rStyle w:val="af7"/>
          <w:rFonts w:eastAsia="Guttman Hodes"/>
          <w:rtl/>
        </w:rPr>
      </w:r>
      <w:r w:rsidRPr="008244F9">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8244F9">
        <w:rPr>
          <w:rStyle w:val="af7"/>
          <w:rFonts w:eastAsia="Guttman Hodes"/>
          <w:rtl/>
        </w:rPr>
        <w:fldChar w:fldCharType="end"/>
      </w:r>
      <w:r>
        <w:rPr>
          <w:rFonts w:hint="cs"/>
          <w:rtl/>
        </w:rPr>
        <w:t xml:space="preserve"> דהנדון הוא אף על הפירות שעדיין לא אכל, מהא דאמר רבא בר שרשום שאם יחזיר את הקרקע ליתומים יתחייב שבועה, וכן מדאמר ליה אביי שאינו נאמן במיגו וצריך להחזיר את הקרקע, ומשמע דרבא בר שרשום רצה להמשיך לעכב את הקרקע בידו, עד לאחר שיגמור לאכול את הפירות, ואם היה נאמן במיגו, היה יכול לעכב את הקרקע בידו ולא היה חייב להחזירה להם, אף שעדיין לא אכל את הפירות, וכתב </w:t>
      </w:r>
      <w:r w:rsidRPr="008244F9">
        <w:rPr>
          <w:rStyle w:val="af9"/>
          <w:rFonts w:hint="cs"/>
          <w:rtl/>
        </w:rPr>
        <w:t>הש"ך</w:t>
      </w:r>
      <w:r>
        <w:rPr>
          <w:rFonts w:hint="cs"/>
          <w:rtl/>
        </w:rPr>
        <w:t xml:space="preserve"> דאף שאפשר לדחוק בגמ' דאיירי בפירות שאכל כבר, מ"מ אי"ה הפשטות. </w:t>
      </w:r>
      <w:r w:rsidRPr="00A315E2">
        <w:rPr>
          <w:rStyle w:val="afb"/>
          <w:rFonts w:hint="cs"/>
          <w:rtl/>
        </w:rPr>
        <w:t xml:space="preserve">[ועוד הקשה </w:t>
      </w:r>
      <w:r w:rsidRPr="00A315E2">
        <w:rPr>
          <w:rStyle w:val="affa"/>
          <w:rFonts w:hint="cs"/>
          <w:rtl/>
        </w:rPr>
        <w:t>הש"ך</w:t>
      </w:r>
      <w:r w:rsidRPr="00A315E2">
        <w:rPr>
          <w:rStyle w:val="afb"/>
          <w:rFonts w:hint="cs"/>
          <w:rtl/>
        </w:rPr>
        <w:t xml:space="preserve"> דאי איירי בפירות שכבר אכל אמאי אינו נאמן במיגו שהחזיר את מה שאכל</w:t>
      </w:r>
      <w:r>
        <w:rPr>
          <w:rStyle w:val="afb"/>
          <w:rFonts w:hint="cs"/>
          <w:rtl/>
        </w:rPr>
        <w:t>,</w:t>
      </w:r>
      <w:r w:rsidRPr="0045191B">
        <w:rPr>
          <w:rStyle w:val="afb"/>
          <w:rFonts w:hint="cs"/>
          <w:rtl/>
        </w:rPr>
        <w:t xml:space="preserve"> </w:t>
      </w:r>
      <w:r>
        <w:rPr>
          <w:rStyle w:val="afb"/>
          <w:rFonts w:hint="cs"/>
          <w:rtl/>
        </w:rPr>
        <w:t xml:space="preserve">ועי' במה שתירצו </w:t>
      </w:r>
      <w:r w:rsidRPr="00502014">
        <w:rPr>
          <w:rStyle w:val="affa"/>
          <w:rFonts w:hint="cs"/>
          <w:rtl/>
        </w:rPr>
        <w:t>הקצוה"ח</w:t>
      </w:r>
      <w:r>
        <w:rPr>
          <w:rStyle w:val="afb"/>
          <w:rFonts w:hint="cs"/>
          <w:rtl/>
        </w:rPr>
        <w:t xml:space="preserve"> </w:t>
      </w:r>
      <w:r w:rsidRPr="00502014">
        <w:rPr>
          <w:rStyle w:val="aff6"/>
          <w:rFonts w:hint="cs"/>
          <w:rtl/>
        </w:rPr>
        <w:t>(סי' ק"נ סק"ב ד"ה עוד שם בש"ך</w:t>
      </w:r>
      <w:r>
        <w:rPr>
          <w:rStyle w:val="aff6"/>
          <w:rFonts w:hint="cs"/>
          <w:rtl/>
        </w:rPr>
        <w:t>ה הקשה</w:t>
      </w:r>
      <w:r w:rsidRPr="00502014">
        <w:rPr>
          <w:rStyle w:val="aff6"/>
          <w:rFonts w:hint="cs"/>
          <w:rtl/>
        </w:rPr>
        <w:t xml:space="preserve">) </w:t>
      </w:r>
      <w:r>
        <w:rPr>
          <w:rStyle w:val="affa"/>
          <w:rFonts w:hint="cs"/>
          <w:rtl/>
        </w:rPr>
        <w:t>ו</w:t>
      </w:r>
      <w:r w:rsidRPr="00C81FA2">
        <w:rPr>
          <w:rStyle w:val="affa"/>
          <w:rFonts w:hint="cs"/>
          <w:rtl/>
        </w:rPr>
        <w:t>הנתיה"מ</w:t>
      </w:r>
      <w:r>
        <w:rPr>
          <w:rStyle w:val="afb"/>
          <w:rFonts w:hint="cs"/>
          <w:rtl/>
        </w:rPr>
        <w:t xml:space="preserve"> </w:t>
      </w:r>
      <w:r w:rsidRPr="00C81FA2">
        <w:rPr>
          <w:rStyle w:val="aff6"/>
          <w:rFonts w:hint="cs"/>
          <w:rtl/>
        </w:rPr>
        <w:t>(סי' ק"נ סק"ג ד"ה ומה</w:t>
      </w:r>
      <w:r w:rsidRPr="0074562B">
        <w:rPr>
          <w:rtl/>
        </w:rPr>
        <w:t xml:space="preserve"> </w:t>
      </w:r>
      <w:r w:rsidRPr="0074562B">
        <w:rPr>
          <w:rStyle w:val="aff6"/>
          <w:rtl/>
        </w:rPr>
        <w:t>שהוכיח הש"ך</w:t>
      </w:r>
      <w:r>
        <w:rPr>
          <w:rStyle w:val="aff6"/>
          <w:rFonts w:hint="cs"/>
          <w:rtl/>
        </w:rPr>
        <w:t xml:space="preserve"> דמיירי)</w:t>
      </w:r>
      <w:r w:rsidRPr="0074562B">
        <w:rPr>
          <w:rStyle w:val="aff6"/>
          <w:rtl/>
        </w:rPr>
        <w:t xml:space="preserve"> </w:t>
      </w:r>
      <w:r>
        <w:rPr>
          <w:rStyle w:val="afb"/>
          <w:rFonts w:hint="cs"/>
          <w:rtl/>
        </w:rPr>
        <w:t xml:space="preserve">את קושית </w:t>
      </w:r>
      <w:r w:rsidRPr="00502014">
        <w:rPr>
          <w:rStyle w:val="affa"/>
          <w:rFonts w:hint="cs"/>
          <w:rtl/>
        </w:rPr>
        <w:t>הש"ך</w:t>
      </w:r>
      <w:r w:rsidRPr="00A315E2">
        <w:rPr>
          <w:rStyle w:val="afb"/>
          <w:rFonts w:hint="cs"/>
          <w:rtl/>
        </w:rPr>
        <w:t>].</w:t>
      </w:r>
    </w:p>
    <w:p w:rsidR="00F4065E" w:rsidRPr="00D05629" w:rsidRDefault="00F4065E" w:rsidP="00F4065E">
      <w:pPr>
        <w:pStyle w:val="a3"/>
        <w:rPr>
          <w:rtl/>
        </w:rPr>
      </w:pPr>
      <w:bookmarkStart w:id="14682" w:name="_Toc64036041"/>
      <w:bookmarkStart w:id="14683" w:name="_Toc64148075"/>
      <w:bookmarkStart w:id="14684" w:name="_Toc64205675"/>
      <w:bookmarkStart w:id="14685" w:name="_Toc64209355"/>
      <w:bookmarkStart w:id="14686" w:name="_Toc63942242"/>
      <w:bookmarkStart w:id="14687" w:name="_Toc63975477"/>
      <w:bookmarkStart w:id="14688" w:name="_Toc63986517"/>
      <w:bookmarkStart w:id="14689" w:name="_Toc63675690"/>
      <w:bookmarkStart w:id="14690" w:name="_Toc63703856"/>
      <w:bookmarkStart w:id="14691" w:name="_Toc63714156"/>
      <w:bookmarkStart w:id="14692" w:name="_Toc63854270"/>
      <w:bookmarkStart w:id="14693" w:name="_Toc63942250"/>
      <w:bookmarkEnd w:id="14539"/>
      <w:bookmarkEnd w:id="14623"/>
      <w:bookmarkEnd w:id="14624"/>
      <w:r w:rsidRPr="007A3C55">
        <w:rPr>
          <w:rFonts w:hint="cs"/>
          <w:rtl/>
        </w:rPr>
        <w:t xml:space="preserve">דברי הב"י </w:t>
      </w:r>
      <w:r>
        <w:rPr>
          <w:rFonts w:hint="cs"/>
          <w:rtl/>
        </w:rPr>
        <w:t xml:space="preserve">דאפש"ל דרבינו יונה ס"ל כראב"ד </w:t>
      </w:r>
      <w:r w:rsidRPr="007A3C55">
        <w:rPr>
          <w:rFonts w:hint="cs"/>
          <w:rtl/>
        </w:rPr>
        <w:t>ו</w:t>
      </w:r>
      <w:r>
        <w:rPr>
          <w:rFonts w:hint="cs"/>
          <w:rtl/>
        </w:rPr>
        <w:t>דחית המהרי"ט ו</w:t>
      </w:r>
      <w:r w:rsidRPr="007A3C55">
        <w:rPr>
          <w:rFonts w:hint="cs"/>
          <w:rtl/>
        </w:rPr>
        <w:t>הגידו"ת</w:t>
      </w:r>
      <w:bookmarkEnd w:id="14682"/>
      <w:bookmarkEnd w:id="14683"/>
      <w:r>
        <w:rPr>
          <w:rFonts w:hint="cs"/>
          <w:rtl/>
        </w:rPr>
        <w:t xml:space="preserve"> דלראב"ד נאמן בשבועה</w:t>
      </w:r>
      <w:bookmarkEnd w:id="14684"/>
      <w:bookmarkEnd w:id="14685"/>
    </w:p>
    <w:p w:rsidR="00F4065E" w:rsidRDefault="00F4065E" w:rsidP="007E4E81">
      <w:pPr>
        <w:pStyle w:val="a0"/>
        <w:rPr>
          <w:rtl/>
        </w:rPr>
      </w:pPr>
      <w:bookmarkStart w:id="14694" w:name="_Ref64196241"/>
      <w:r>
        <w:rPr>
          <w:rFonts w:hint="cs"/>
          <w:rtl/>
        </w:rPr>
        <w:t>כתב</w:t>
      </w:r>
      <w:r w:rsidRPr="005317F4">
        <w:rPr>
          <w:rFonts w:hint="cs"/>
          <w:rtl/>
        </w:rPr>
        <w:t xml:space="preserve"> </w:t>
      </w:r>
      <w:r w:rsidRPr="005317F4">
        <w:rPr>
          <w:rStyle w:val="af9"/>
          <w:rFonts w:hint="cs"/>
          <w:rtl/>
        </w:rPr>
        <w:t>הב"י</w:t>
      </w:r>
      <w:r w:rsidRPr="005317F4">
        <w:rPr>
          <w:rFonts w:hint="cs"/>
          <w:rtl/>
        </w:rPr>
        <w:t xml:space="preserve"> </w:t>
      </w:r>
      <w:r w:rsidRPr="005317F4">
        <w:rPr>
          <w:rStyle w:val="af7"/>
          <w:rFonts w:eastAsia="Guttman Hodes" w:hint="cs"/>
          <w:rtl/>
        </w:rPr>
        <w:t>(סי' ק"נ ד')</w:t>
      </w:r>
      <w:r w:rsidRPr="005317F4">
        <w:rPr>
          <w:rFonts w:hint="cs"/>
          <w:rtl/>
        </w:rPr>
        <w:t xml:space="preserve"> דכתב דצ"ע אי ס"ל </w:t>
      </w:r>
      <w:r w:rsidRPr="005317F4">
        <w:rPr>
          <w:rStyle w:val="af9"/>
          <w:rFonts w:hint="cs"/>
          <w:rtl/>
        </w:rPr>
        <w:t>לרבינו יונה</w:t>
      </w:r>
      <w:r w:rsidRPr="005317F4">
        <w:rPr>
          <w:rFonts w:hint="cs"/>
          <w:rtl/>
        </w:rPr>
        <w:t xml:space="preserve"> </w:t>
      </w:r>
      <w:r>
        <w:rPr>
          <w:rStyle w:val="af7"/>
          <w:rFonts w:eastAsiaTheme="minorHAnsi" w:hint="cs"/>
          <w:rtl/>
        </w:rPr>
        <w:t xml:space="preserve">(עי' אות </w:t>
      </w:r>
      <w:r>
        <w:rPr>
          <w:rStyle w:val="af7"/>
          <w:rFonts w:eastAsiaTheme="minorHAnsi"/>
          <w:rtl/>
        </w:rPr>
        <w:fldChar w:fldCharType="begin"/>
      </w:r>
      <w:r>
        <w:rPr>
          <w:rStyle w:val="af7"/>
          <w:rFonts w:eastAsiaTheme="minorHAnsi"/>
          <w:rtl/>
        </w:rPr>
        <w:instrText xml:space="preserve"> </w:instrText>
      </w:r>
      <w:r>
        <w:rPr>
          <w:rStyle w:val="af7"/>
          <w:rFonts w:eastAsiaTheme="minorHAnsi" w:hint="cs"/>
        </w:rPr>
        <w:instrText>REF</w:instrText>
      </w:r>
      <w:r>
        <w:rPr>
          <w:rStyle w:val="af7"/>
          <w:rFonts w:eastAsiaTheme="minorHAnsi" w:hint="cs"/>
          <w:rtl/>
        </w:rPr>
        <w:instrText xml:space="preserve"> _</w:instrText>
      </w:r>
      <w:r>
        <w:rPr>
          <w:rStyle w:val="af7"/>
          <w:rFonts w:eastAsiaTheme="minorHAnsi" w:hint="cs"/>
        </w:rPr>
        <w:instrText>Ref64022209 \r \h</w:instrText>
      </w:r>
      <w:r>
        <w:rPr>
          <w:rStyle w:val="af7"/>
          <w:rFonts w:eastAsiaTheme="minorHAnsi"/>
          <w:rtl/>
        </w:rPr>
        <w:instrText xml:space="preserve"> </w:instrText>
      </w:r>
      <w:r>
        <w:rPr>
          <w:rStyle w:val="af7"/>
          <w:rFonts w:eastAsiaTheme="minorHAnsi"/>
          <w:rtl/>
        </w:rPr>
      </w:r>
      <w:r>
        <w:rPr>
          <w:rStyle w:val="af7"/>
          <w:rFonts w:eastAsiaTheme="minorHAnsi"/>
          <w:rtl/>
        </w:rPr>
        <w:fldChar w:fldCharType="separate"/>
      </w:r>
      <w:r w:rsidR="00265073">
        <w:rPr>
          <w:rStyle w:val="af7"/>
          <w:rFonts w:eastAsiaTheme="minorHAnsi"/>
          <w:cs/>
        </w:rPr>
        <w:t>‎</w:t>
      </w:r>
      <w:r w:rsidR="00265073">
        <w:rPr>
          <w:rStyle w:val="af7"/>
          <w:rFonts w:eastAsiaTheme="minorHAnsi"/>
          <w:rtl/>
        </w:rPr>
        <w:t>מד)</w:t>
      </w:r>
      <w:r>
        <w:rPr>
          <w:rStyle w:val="af7"/>
          <w:rFonts w:eastAsiaTheme="minorHAnsi"/>
          <w:rtl/>
        </w:rPr>
        <w:fldChar w:fldCharType="end"/>
      </w:r>
      <w:r>
        <w:rPr>
          <w:rFonts w:hint="cs"/>
          <w:rtl/>
        </w:rPr>
        <w:t xml:space="preserve"> </w:t>
      </w:r>
      <w:r w:rsidRPr="005317F4">
        <w:rPr>
          <w:rFonts w:hint="cs"/>
          <w:rtl/>
        </w:rPr>
        <w:t xml:space="preserve">כדעת </w:t>
      </w:r>
      <w:r w:rsidRPr="005317F4">
        <w:rPr>
          <w:rStyle w:val="af9"/>
          <w:rFonts w:hint="cs"/>
          <w:rtl/>
        </w:rPr>
        <w:t>הראב"ד</w:t>
      </w:r>
      <w:r w:rsidRPr="005317F4">
        <w:rPr>
          <w:rFonts w:hint="cs"/>
          <w:rtl/>
        </w:rPr>
        <w:t xml:space="preserve"> </w:t>
      </w:r>
      <w:r w:rsidRPr="005317F4">
        <w:rPr>
          <w:rStyle w:val="af7"/>
          <w:rFonts w:eastAsia="Guttman Hodes" w:hint="cs"/>
          <w:rtl/>
        </w:rPr>
        <w:t>(עי'</w:t>
      </w:r>
      <w:r w:rsidRPr="005317F4">
        <w:rPr>
          <w:rFonts w:hint="cs"/>
          <w:rtl/>
        </w:rPr>
        <w:t xml:space="preserve"> </w:t>
      </w:r>
      <w:r w:rsidRPr="005317F4">
        <w:rPr>
          <w:rStyle w:val="af7"/>
          <w:rFonts w:eastAsia="Guttman Hodes" w:hint="cs"/>
          <w:rtl/>
        </w:rPr>
        <w:t xml:space="preserve">אות </w:t>
      </w:r>
      <w:r w:rsidRPr="005317F4">
        <w:rPr>
          <w:rStyle w:val="af7"/>
          <w:rFonts w:eastAsia="Guttman Hodes"/>
          <w:rtl/>
        </w:rPr>
        <w:fldChar w:fldCharType="begin"/>
      </w:r>
      <w:r w:rsidRPr="005317F4">
        <w:rPr>
          <w:rStyle w:val="af7"/>
          <w:rFonts w:eastAsia="Guttman Hodes"/>
          <w:rtl/>
        </w:rPr>
        <w:instrText xml:space="preserve"> </w:instrText>
      </w:r>
      <w:r w:rsidRPr="005317F4">
        <w:rPr>
          <w:rStyle w:val="af7"/>
          <w:rFonts w:eastAsia="Guttman Hodes" w:hint="cs"/>
        </w:rPr>
        <w:instrText>REF</w:instrText>
      </w:r>
      <w:r w:rsidRPr="005317F4">
        <w:rPr>
          <w:rStyle w:val="af7"/>
          <w:rFonts w:eastAsia="Guttman Hodes" w:hint="cs"/>
          <w:rtl/>
        </w:rPr>
        <w:instrText xml:space="preserve"> _</w:instrText>
      </w:r>
      <w:r w:rsidRPr="005317F4">
        <w:rPr>
          <w:rStyle w:val="af7"/>
          <w:rFonts w:eastAsia="Guttman Hodes" w:hint="cs"/>
        </w:rPr>
        <w:instrText>Ref63847642 \r \h</w:instrText>
      </w:r>
      <w:r w:rsidRPr="005317F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5317F4">
        <w:rPr>
          <w:rStyle w:val="af7"/>
          <w:rFonts w:eastAsia="Guttman Hodes"/>
          <w:rtl/>
        </w:rPr>
      </w:r>
      <w:r w:rsidRPr="005317F4">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sidRPr="005317F4">
        <w:rPr>
          <w:rStyle w:val="af7"/>
          <w:rFonts w:eastAsia="Guttman Hodes"/>
          <w:rtl/>
        </w:rPr>
        <w:fldChar w:fldCharType="end"/>
      </w:r>
      <w:r w:rsidRPr="005317F4">
        <w:rPr>
          <w:rFonts w:hint="cs"/>
          <w:rtl/>
        </w:rPr>
        <w:t>,</w:t>
      </w:r>
      <w:r>
        <w:rPr>
          <w:rFonts w:hint="cs"/>
          <w:rtl/>
        </w:rPr>
        <w:t xml:space="preserve"> דכתב דאינו יכול לבא ולגבות מלכתחילה את הפירות, במיגו בלי שבועה, דהא אף בנשבע על המשכון דעת </w:t>
      </w:r>
      <w:r w:rsidRPr="00AC7F9A">
        <w:rPr>
          <w:rStyle w:val="af9"/>
          <w:rFonts w:hint="cs"/>
          <w:rtl/>
        </w:rPr>
        <w:t>הגאונים</w:t>
      </w:r>
      <w:r>
        <w:rPr>
          <w:rFonts w:hint="cs"/>
          <w:rtl/>
        </w:rPr>
        <w:t xml:space="preserve"> שהוא נשבע ונוטל, והרי רבא בר שרשום רצה להפטר מהשבועה, </w:t>
      </w:r>
      <w:r w:rsidRPr="005317F4">
        <w:rPr>
          <w:rFonts w:hint="cs"/>
          <w:rtl/>
        </w:rPr>
        <w:t xml:space="preserve">אך </w:t>
      </w:r>
      <w:r>
        <w:rPr>
          <w:rFonts w:hint="cs"/>
          <w:rtl/>
        </w:rPr>
        <w:t>הקשו</w:t>
      </w:r>
      <w:r w:rsidRPr="005317F4">
        <w:rPr>
          <w:rFonts w:hint="cs"/>
          <w:rtl/>
        </w:rPr>
        <w:t xml:space="preserve"> </w:t>
      </w:r>
      <w:r w:rsidRPr="005317F4">
        <w:rPr>
          <w:rStyle w:val="af9"/>
          <w:rtl/>
        </w:rPr>
        <w:t>המהרי"ט</w:t>
      </w:r>
      <w:r w:rsidRPr="005317F4">
        <w:rPr>
          <w:rtl/>
        </w:rPr>
        <w:t xml:space="preserve"> </w:t>
      </w:r>
      <w:r w:rsidRPr="005317F4">
        <w:rPr>
          <w:rStyle w:val="af7"/>
          <w:rFonts w:eastAsia="Guttman Hodes" w:hint="cs"/>
          <w:rtl/>
        </w:rPr>
        <w:t>(ח"א סי' קי"ב ד"ה וראיתי)</w:t>
      </w:r>
      <w:r w:rsidRPr="005317F4">
        <w:rPr>
          <w:rFonts w:hint="cs"/>
          <w:rtl/>
        </w:rPr>
        <w:t xml:space="preserve"> </w:t>
      </w:r>
      <w:r w:rsidRPr="001B19E5">
        <w:rPr>
          <w:rStyle w:val="af9"/>
          <w:rFonts w:hint="cs"/>
          <w:rtl/>
        </w:rPr>
        <w:t>וה</w:t>
      </w:r>
      <w:r w:rsidRPr="005317F4">
        <w:rPr>
          <w:rStyle w:val="af9"/>
          <w:rFonts w:hint="cs"/>
          <w:rtl/>
        </w:rPr>
        <w:t>גידולי תרומה</w:t>
      </w:r>
      <w:r w:rsidRPr="005317F4">
        <w:rPr>
          <w:rFonts w:hint="cs"/>
          <w:rtl/>
        </w:rPr>
        <w:t xml:space="preserve"> </w:t>
      </w:r>
      <w:r w:rsidRPr="005317F4">
        <w:rPr>
          <w:rStyle w:val="af7"/>
          <w:rFonts w:eastAsia="Guttman Hodes" w:hint="cs"/>
          <w:rtl/>
        </w:rPr>
        <w:t>(</w:t>
      </w:r>
      <w:r w:rsidRPr="005317F4">
        <w:rPr>
          <w:rStyle w:val="af7"/>
          <w:rFonts w:eastAsia="Guttman Hodes"/>
          <w:rtl/>
        </w:rPr>
        <w:t>שער י</w:t>
      </w:r>
      <w:r w:rsidRPr="005317F4">
        <w:rPr>
          <w:rStyle w:val="af7"/>
          <w:rFonts w:eastAsia="Guttman Hodes" w:hint="cs"/>
          <w:rtl/>
        </w:rPr>
        <w:t>"</w:t>
      </w:r>
      <w:r w:rsidRPr="005317F4">
        <w:rPr>
          <w:rStyle w:val="af7"/>
          <w:rFonts w:eastAsia="Guttman Hodes"/>
          <w:rtl/>
        </w:rPr>
        <w:t>ד ח</w:t>
      </w:r>
      <w:r w:rsidRPr="005317F4">
        <w:rPr>
          <w:rStyle w:val="af7"/>
          <w:rFonts w:eastAsia="Guttman Hodes" w:hint="cs"/>
          <w:rtl/>
        </w:rPr>
        <w:t>"</w:t>
      </w:r>
      <w:r w:rsidRPr="005317F4">
        <w:rPr>
          <w:rStyle w:val="af7"/>
          <w:rFonts w:eastAsia="Guttman Hodes"/>
          <w:rtl/>
        </w:rPr>
        <w:t>א או</w:t>
      </w:r>
      <w:r w:rsidRPr="005317F4">
        <w:rPr>
          <w:rStyle w:val="af7"/>
          <w:rFonts w:eastAsia="Guttman Hodes" w:hint="cs"/>
          <w:rtl/>
        </w:rPr>
        <w:t>'</w:t>
      </w:r>
      <w:r w:rsidRPr="005317F4">
        <w:rPr>
          <w:rStyle w:val="af7"/>
          <w:rFonts w:eastAsia="Guttman Hodes"/>
          <w:rtl/>
        </w:rPr>
        <w:t xml:space="preserve"> ו</w:t>
      </w:r>
      <w:r w:rsidRPr="005317F4">
        <w:rPr>
          <w:rStyle w:val="af7"/>
          <w:rFonts w:eastAsia="Guttman Hodes" w:hint="cs"/>
          <w:rtl/>
        </w:rPr>
        <w:t>' ד"ה נראה שמכוין)</w:t>
      </w:r>
      <w:r w:rsidRPr="005317F4">
        <w:rPr>
          <w:rFonts w:hint="cs"/>
          <w:rtl/>
        </w:rPr>
        <w:t xml:space="preserve"> דהא ודאי </w:t>
      </w:r>
      <w:r w:rsidRPr="005317F4">
        <w:rPr>
          <w:rStyle w:val="af9"/>
          <w:rFonts w:hint="cs"/>
          <w:rtl/>
        </w:rPr>
        <w:t>דהראב"ד</w:t>
      </w:r>
      <w:r w:rsidRPr="005317F4">
        <w:rPr>
          <w:rFonts w:hint="cs"/>
          <w:rtl/>
        </w:rPr>
        <w:t xml:space="preserve"> פליג על </w:t>
      </w:r>
      <w:r w:rsidRPr="005317F4">
        <w:rPr>
          <w:rStyle w:val="af9"/>
          <w:rFonts w:hint="cs"/>
          <w:rtl/>
        </w:rPr>
        <w:t>רבינו יונה</w:t>
      </w:r>
      <w:r w:rsidRPr="005317F4">
        <w:rPr>
          <w:rFonts w:hint="cs"/>
          <w:rtl/>
        </w:rPr>
        <w:t xml:space="preserve"> </w:t>
      </w:r>
      <w:r w:rsidRPr="005317F4">
        <w:rPr>
          <w:rStyle w:val="af7"/>
          <w:rFonts w:eastAsia="Guttman Hodes" w:hint="cs"/>
          <w:rtl/>
        </w:rPr>
        <w:t xml:space="preserve">(עי' אות </w:t>
      </w:r>
      <w:r w:rsidRPr="005317F4">
        <w:rPr>
          <w:rStyle w:val="af7"/>
          <w:rFonts w:eastAsia="Guttman Hodes"/>
          <w:rtl/>
        </w:rPr>
        <w:fldChar w:fldCharType="begin"/>
      </w:r>
      <w:r w:rsidRPr="005317F4">
        <w:rPr>
          <w:rStyle w:val="af7"/>
          <w:rFonts w:eastAsia="Guttman Hodes"/>
          <w:rtl/>
        </w:rPr>
        <w:instrText xml:space="preserve"> </w:instrText>
      </w:r>
      <w:r w:rsidRPr="005317F4">
        <w:rPr>
          <w:rStyle w:val="af7"/>
          <w:rFonts w:eastAsia="Guttman Hodes" w:hint="cs"/>
        </w:rPr>
        <w:instrText>REF</w:instrText>
      </w:r>
      <w:r w:rsidRPr="005317F4">
        <w:rPr>
          <w:rStyle w:val="af7"/>
          <w:rFonts w:eastAsia="Guttman Hodes" w:hint="cs"/>
          <w:rtl/>
        </w:rPr>
        <w:instrText xml:space="preserve"> _</w:instrText>
      </w:r>
      <w:r w:rsidRPr="005317F4">
        <w:rPr>
          <w:rStyle w:val="af7"/>
          <w:rFonts w:eastAsia="Guttman Hodes" w:hint="cs"/>
        </w:rPr>
        <w:instrText>Ref63847692 \r \h</w:instrText>
      </w:r>
      <w:r w:rsidRPr="005317F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5317F4">
        <w:rPr>
          <w:rStyle w:val="af7"/>
          <w:rFonts w:eastAsia="Guttman Hodes"/>
          <w:rtl/>
        </w:rPr>
      </w:r>
      <w:r w:rsidRPr="005317F4">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5317F4">
        <w:rPr>
          <w:rStyle w:val="af7"/>
          <w:rFonts w:eastAsia="Guttman Hodes"/>
          <w:rtl/>
        </w:rPr>
        <w:fldChar w:fldCharType="end"/>
      </w:r>
      <w:r>
        <w:rPr>
          <w:rFonts w:hint="cs"/>
          <w:rtl/>
        </w:rPr>
        <w:t xml:space="preserve"> </w:t>
      </w:r>
      <w:r w:rsidRPr="005317F4">
        <w:rPr>
          <w:rFonts w:hint="cs"/>
          <w:rtl/>
        </w:rPr>
        <w:t xml:space="preserve">וס"ל דבשבועה הוא נאמן אף על הפירות שלא אכל, </w:t>
      </w:r>
      <w:r>
        <w:rPr>
          <w:rFonts w:hint="cs"/>
          <w:rtl/>
        </w:rPr>
        <w:t xml:space="preserve">אבל לדעת </w:t>
      </w:r>
      <w:r w:rsidRPr="001B19E5">
        <w:rPr>
          <w:rStyle w:val="af9"/>
          <w:rFonts w:hint="cs"/>
          <w:rtl/>
        </w:rPr>
        <w:t>רבינו יונה</w:t>
      </w:r>
      <w:r w:rsidRPr="005317F4">
        <w:rPr>
          <w:rFonts w:hint="cs"/>
          <w:rtl/>
        </w:rPr>
        <w:t xml:space="preserve"> </w:t>
      </w:r>
      <w:r>
        <w:rPr>
          <w:rStyle w:val="af7"/>
          <w:rFonts w:eastAsiaTheme="minorHAnsi" w:hint="cs"/>
          <w:rtl/>
        </w:rPr>
        <w:t xml:space="preserve">(עי' אות </w:t>
      </w:r>
      <w:r>
        <w:rPr>
          <w:rStyle w:val="af7"/>
          <w:rFonts w:eastAsiaTheme="minorHAnsi"/>
          <w:rtl/>
        </w:rPr>
        <w:fldChar w:fldCharType="begin"/>
      </w:r>
      <w:r>
        <w:rPr>
          <w:rStyle w:val="af7"/>
          <w:rFonts w:eastAsiaTheme="minorHAnsi"/>
          <w:rtl/>
        </w:rPr>
        <w:instrText xml:space="preserve"> </w:instrText>
      </w:r>
      <w:r>
        <w:rPr>
          <w:rStyle w:val="af7"/>
          <w:rFonts w:eastAsiaTheme="minorHAnsi" w:hint="cs"/>
        </w:rPr>
        <w:instrText>REF</w:instrText>
      </w:r>
      <w:r>
        <w:rPr>
          <w:rStyle w:val="af7"/>
          <w:rFonts w:eastAsiaTheme="minorHAnsi" w:hint="cs"/>
          <w:rtl/>
        </w:rPr>
        <w:instrText xml:space="preserve"> _</w:instrText>
      </w:r>
      <w:r>
        <w:rPr>
          <w:rStyle w:val="af7"/>
          <w:rFonts w:eastAsiaTheme="minorHAnsi" w:hint="cs"/>
        </w:rPr>
        <w:instrText>Ref64022209 \r \h</w:instrText>
      </w:r>
      <w:r>
        <w:rPr>
          <w:rStyle w:val="af7"/>
          <w:rFonts w:eastAsiaTheme="minorHAnsi"/>
          <w:rtl/>
        </w:rPr>
        <w:instrText xml:space="preserve"> </w:instrText>
      </w:r>
      <w:r>
        <w:rPr>
          <w:rStyle w:val="af7"/>
          <w:rFonts w:eastAsiaTheme="minorHAnsi"/>
          <w:rtl/>
        </w:rPr>
      </w:r>
      <w:r>
        <w:rPr>
          <w:rStyle w:val="af7"/>
          <w:rFonts w:eastAsiaTheme="minorHAnsi"/>
          <w:rtl/>
        </w:rPr>
        <w:fldChar w:fldCharType="separate"/>
      </w:r>
      <w:r w:rsidR="00265073">
        <w:rPr>
          <w:rStyle w:val="af7"/>
          <w:rFonts w:eastAsiaTheme="minorHAnsi"/>
          <w:cs/>
        </w:rPr>
        <w:t>‎</w:t>
      </w:r>
      <w:r w:rsidR="00265073">
        <w:rPr>
          <w:rStyle w:val="af7"/>
          <w:rFonts w:eastAsiaTheme="minorHAnsi"/>
          <w:rtl/>
        </w:rPr>
        <w:t>מד)</w:t>
      </w:r>
      <w:r>
        <w:rPr>
          <w:rStyle w:val="af7"/>
          <w:rFonts w:eastAsiaTheme="minorHAnsi"/>
          <w:rtl/>
        </w:rPr>
        <w:fldChar w:fldCharType="end"/>
      </w:r>
      <w:r>
        <w:rPr>
          <w:rFonts w:hint="cs"/>
          <w:rtl/>
        </w:rPr>
        <w:t xml:space="preserve"> </w:t>
      </w:r>
      <w:r w:rsidRPr="005317F4">
        <w:rPr>
          <w:rFonts w:hint="cs"/>
          <w:rtl/>
        </w:rPr>
        <w:t>אף בשבועה אינו גובה את מה שלא אכל</w:t>
      </w:r>
      <w:r>
        <w:rPr>
          <w:rFonts w:hint="cs"/>
          <w:rtl/>
        </w:rPr>
        <w:t>.</w:t>
      </w:r>
      <w:bookmarkEnd w:id="14694"/>
    </w:p>
    <w:p w:rsidR="00F4065E" w:rsidRDefault="00F4065E" w:rsidP="00F4065E">
      <w:pPr>
        <w:pStyle w:val="afe"/>
        <w:rPr>
          <w:rtl/>
        </w:rPr>
      </w:pPr>
      <w:bookmarkStart w:id="14695" w:name="_Toc64148076"/>
      <w:bookmarkStart w:id="14696" w:name="_Toc64205676"/>
      <w:bookmarkStart w:id="14697" w:name="_Toc64209356"/>
      <w:bookmarkEnd w:id="14686"/>
      <w:bookmarkEnd w:id="14687"/>
      <w:bookmarkEnd w:id="14688"/>
      <w:r>
        <w:rPr>
          <w:rFonts w:hint="cs"/>
          <w:rtl/>
        </w:rPr>
        <w:t>דעות הראשונים אי חייב שבועת היסת</w:t>
      </w:r>
      <w:bookmarkEnd w:id="14695"/>
      <w:bookmarkEnd w:id="14696"/>
      <w:bookmarkEnd w:id="14697"/>
    </w:p>
    <w:p w:rsidR="00F4065E" w:rsidRDefault="00F4065E" w:rsidP="00F4065E">
      <w:pPr>
        <w:pStyle w:val="1"/>
        <w:rPr>
          <w:rtl/>
        </w:rPr>
      </w:pPr>
      <w:bookmarkStart w:id="14698" w:name="_Toc64148077"/>
      <w:bookmarkStart w:id="14699" w:name="_Toc64205677"/>
      <w:bookmarkStart w:id="14700" w:name="_Toc64209357"/>
      <w:r>
        <w:rPr>
          <w:rFonts w:hint="cs"/>
          <w:rtl/>
        </w:rPr>
        <w:t>ביאורי הראשונים אמאי רבא ב</w:t>
      </w:r>
      <w:r>
        <w:rPr>
          <w:rtl/>
        </w:rPr>
        <w:t>"</w:t>
      </w:r>
      <w:r>
        <w:rPr>
          <w:rFonts w:hint="cs"/>
          <w:rtl/>
        </w:rPr>
        <w:t>ש לא חייב שבועת היסת</w:t>
      </w:r>
      <w:bookmarkEnd w:id="14698"/>
      <w:bookmarkEnd w:id="14699"/>
      <w:bookmarkEnd w:id="14700"/>
    </w:p>
    <w:p w:rsidR="00F4065E" w:rsidRPr="00912B67" w:rsidRDefault="00F4065E" w:rsidP="00F4065E">
      <w:pPr>
        <w:pStyle w:val="a3"/>
        <w:rPr>
          <w:rtl/>
        </w:rPr>
      </w:pPr>
      <w:bookmarkStart w:id="14701" w:name="_Toc64036044"/>
      <w:bookmarkStart w:id="14702" w:name="_Toc64148078"/>
      <w:bookmarkStart w:id="14703" w:name="_Toc64205678"/>
      <w:bookmarkStart w:id="14704" w:name="_Toc64209358"/>
      <w:r>
        <w:rPr>
          <w:rFonts w:hint="cs"/>
          <w:rtl/>
        </w:rPr>
        <w:t>קושית התוס' והראשונים דאף בטוען לקוחה נשבע היסת דבדרבנן נשבעין על הקרקעות</w:t>
      </w:r>
      <w:bookmarkEnd w:id="14701"/>
      <w:bookmarkEnd w:id="14702"/>
      <w:bookmarkEnd w:id="14703"/>
      <w:bookmarkEnd w:id="14704"/>
    </w:p>
    <w:p w:rsidR="00F4065E" w:rsidRDefault="00F4065E" w:rsidP="007E4E81">
      <w:pPr>
        <w:pStyle w:val="a0"/>
        <w:rPr>
          <w:rtl/>
        </w:rPr>
      </w:pPr>
      <w:r>
        <w:rPr>
          <w:rFonts w:hint="cs"/>
          <w:rtl/>
        </w:rPr>
        <w:t xml:space="preserve">הקשו </w:t>
      </w:r>
      <w:r w:rsidRPr="00314C31">
        <w:rPr>
          <w:rStyle w:val="af9"/>
          <w:rFonts w:hint="cs"/>
          <w:rtl/>
        </w:rPr>
        <w:t>התוס'</w:t>
      </w:r>
      <w:r>
        <w:rPr>
          <w:rFonts w:hint="cs"/>
          <w:rtl/>
        </w:rPr>
        <w:t xml:space="preserve"> </w:t>
      </w:r>
      <w:r w:rsidRPr="001D13BB">
        <w:rPr>
          <w:rStyle w:val="af7"/>
          <w:rFonts w:eastAsia="Guttman Hodes" w:hint="cs"/>
          <w:rtl/>
        </w:rPr>
        <w:t>(ד"ה מיגו)</w:t>
      </w:r>
      <w:r>
        <w:rPr>
          <w:rFonts w:hint="cs"/>
          <w:rtl/>
        </w:rPr>
        <w:t xml:space="preserve"> </w:t>
      </w:r>
      <w:r w:rsidRPr="00314C31">
        <w:rPr>
          <w:rStyle w:val="af9"/>
          <w:rFonts w:hint="cs"/>
          <w:rtl/>
        </w:rPr>
        <w:t>והרמב"ן</w:t>
      </w:r>
      <w:r>
        <w:rPr>
          <w:rFonts w:hint="cs"/>
          <w:rtl/>
        </w:rPr>
        <w:t xml:space="preserve"> </w:t>
      </w:r>
      <w:r w:rsidRPr="001D13BB">
        <w:rPr>
          <w:rStyle w:val="af7"/>
          <w:rFonts w:eastAsia="Guttman Hodes" w:hint="cs"/>
          <w:rtl/>
        </w:rPr>
        <w:t>(ד"ה אמור)</w:t>
      </w:r>
      <w:r>
        <w:rPr>
          <w:rFonts w:hint="cs"/>
          <w:rtl/>
        </w:rPr>
        <w:t xml:space="preserve"> </w:t>
      </w:r>
      <w:r w:rsidRPr="00314C31">
        <w:rPr>
          <w:rStyle w:val="af9"/>
          <w:rFonts w:hint="cs"/>
          <w:rtl/>
        </w:rPr>
        <w:t>והרשב"א</w:t>
      </w:r>
      <w:r>
        <w:rPr>
          <w:rFonts w:hint="cs"/>
          <w:rtl/>
        </w:rPr>
        <w:t xml:space="preserve"> </w:t>
      </w:r>
      <w:r w:rsidRPr="001D13BB">
        <w:rPr>
          <w:rStyle w:val="af7"/>
          <w:rFonts w:eastAsia="Guttman Hodes" w:hint="cs"/>
          <w:rtl/>
        </w:rPr>
        <w:t>(ד"ה הא)</w:t>
      </w:r>
      <w:r>
        <w:rPr>
          <w:rFonts w:hint="cs"/>
          <w:rtl/>
        </w:rPr>
        <w:t xml:space="preserve"> </w:t>
      </w:r>
      <w:r w:rsidRPr="00314C31">
        <w:rPr>
          <w:rStyle w:val="af9"/>
          <w:rFonts w:hint="cs"/>
          <w:rtl/>
        </w:rPr>
        <w:t>והרא"ש</w:t>
      </w:r>
      <w:r>
        <w:rPr>
          <w:rFonts w:hint="cs"/>
          <w:rtl/>
        </w:rPr>
        <w:t xml:space="preserve"> </w:t>
      </w:r>
      <w:r w:rsidRPr="001D13BB">
        <w:rPr>
          <w:rStyle w:val="af7"/>
          <w:rFonts w:eastAsia="Guttman Hodes" w:hint="cs"/>
          <w:rtl/>
        </w:rPr>
        <w:t>(סי' י"ז)</w:t>
      </w:r>
      <w:r>
        <w:rPr>
          <w:rFonts w:hint="cs"/>
          <w:rtl/>
        </w:rPr>
        <w:t xml:space="preserve"> דאף שנאמן לטעון לקוחה היא בידי, מ"מ הוא חייב שבועת היסת, דהא כתבו </w:t>
      </w:r>
      <w:r w:rsidRPr="0001524E">
        <w:rPr>
          <w:rStyle w:val="af9"/>
          <w:rFonts w:hint="cs"/>
          <w:rtl/>
        </w:rPr>
        <w:t>רב האי גאון והרי"ף</w:t>
      </w:r>
      <w:r>
        <w:rPr>
          <w:rFonts w:hint="cs"/>
          <w:rtl/>
        </w:rPr>
        <w:t xml:space="preserve"> [</w:t>
      </w:r>
      <w:r w:rsidRPr="00626D44">
        <w:rPr>
          <w:rStyle w:val="af9"/>
          <w:rFonts w:hint="cs"/>
          <w:rtl/>
        </w:rPr>
        <w:t xml:space="preserve">בשבועות </w:t>
      </w:r>
      <w:r w:rsidRPr="00626D44">
        <w:rPr>
          <w:rStyle w:val="af7"/>
          <w:rFonts w:eastAsia="Guttman Hodes" w:hint="cs"/>
          <w:rtl/>
        </w:rPr>
        <w:t>(כא: מדה"ר</w:t>
      </w:r>
      <w:r w:rsidRPr="00626D44">
        <w:rPr>
          <w:rStyle w:val="af7"/>
          <w:rFonts w:eastAsia="Guttman Rashi" w:hint="cs"/>
          <w:rtl/>
        </w:rPr>
        <w:t>)</w:t>
      </w:r>
      <w:r>
        <w:rPr>
          <w:rFonts w:hint="cs"/>
          <w:rtl/>
        </w:rPr>
        <w:t xml:space="preserve">] דבשבועה דרבנן נשבעין אף על הקרקעות, והוכיחו כן מדין הפוגמת כתובתה בגמ' </w:t>
      </w:r>
      <w:r>
        <w:rPr>
          <w:rFonts w:hint="cs"/>
          <w:rtl/>
        </w:rPr>
        <w:t xml:space="preserve">בכתובות </w:t>
      </w:r>
      <w:r w:rsidRPr="00C17BF6">
        <w:rPr>
          <w:rStyle w:val="af7"/>
          <w:rFonts w:eastAsia="Guttman Hodes" w:hint="cs"/>
          <w:rtl/>
        </w:rPr>
        <w:t>(פז:)</w:t>
      </w:r>
      <w:r>
        <w:rPr>
          <w:rFonts w:hint="cs"/>
          <w:rtl/>
        </w:rPr>
        <w:t xml:space="preserve">, וכתבו </w:t>
      </w:r>
      <w:r w:rsidRPr="0001524E">
        <w:rPr>
          <w:rStyle w:val="af9"/>
          <w:rFonts w:hint="cs"/>
          <w:rtl/>
        </w:rPr>
        <w:t>התוס'</w:t>
      </w:r>
      <w:r>
        <w:rPr>
          <w:rFonts w:hint="cs"/>
          <w:rtl/>
        </w:rPr>
        <w:t xml:space="preserve"> דא"כ ה"ה בשבועת היסת דנשבעין על הקרקעות, וכן הקשה </w:t>
      </w:r>
      <w:r w:rsidRPr="0001524E">
        <w:rPr>
          <w:rStyle w:val="af9"/>
          <w:rtl/>
        </w:rPr>
        <w:t>הריטב"א</w:t>
      </w:r>
      <w:r w:rsidRPr="00CD3928">
        <w:rPr>
          <w:rtl/>
        </w:rPr>
        <w:t xml:space="preserve"> </w:t>
      </w:r>
      <w:r w:rsidRPr="00C17BF6">
        <w:rPr>
          <w:rStyle w:val="af7"/>
          <w:rFonts w:eastAsia="Guttman Hodes" w:hint="cs"/>
          <w:rtl/>
        </w:rPr>
        <w:t>(ד"ה דמיגו)</w:t>
      </w:r>
      <w:r>
        <w:rPr>
          <w:rFonts w:hint="cs"/>
          <w:rtl/>
        </w:rPr>
        <w:t xml:space="preserve"> ד</w:t>
      </w:r>
      <w:r w:rsidRPr="00CD3928">
        <w:rPr>
          <w:rtl/>
        </w:rPr>
        <w:t xml:space="preserve">לדעת </w:t>
      </w:r>
      <w:r w:rsidRPr="0001524E">
        <w:rPr>
          <w:rStyle w:val="af9"/>
          <w:rtl/>
        </w:rPr>
        <w:t>הרמב"ם</w:t>
      </w:r>
      <w:r w:rsidRPr="00CD3928">
        <w:rPr>
          <w:rtl/>
        </w:rPr>
        <w:t xml:space="preserve"> </w:t>
      </w:r>
      <w:r w:rsidRPr="00C17BF6">
        <w:rPr>
          <w:rStyle w:val="af7"/>
          <w:rFonts w:eastAsia="Guttman Hodes"/>
          <w:rtl/>
        </w:rPr>
        <w:t>(טו"נ פי"א ה"ב)</w:t>
      </w:r>
      <w:r>
        <w:rPr>
          <w:rFonts w:hint="cs"/>
          <w:rtl/>
        </w:rPr>
        <w:t xml:space="preserve"> </w:t>
      </w:r>
      <w:r w:rsidRPr="00CD3928">
        <w:rPr>
          <w:rtl/>
        </w:rPr>
        <w:t>יתחייב שבועת היסת</w:t>
      </w:r>
      <w:r>
        <w:rPr>
          <w:rFonts w:hint="cs"/>
          <w:rtl/>
        </w:rPr>
        <w:t xml:space="preserve">. </w:t>
      </w:r>
      <w:r w:rsidRPr="00CD3928">
        <w:rPr>
          <w:rStyle w:val="afb"/>
          <w:rtl/>
        </w:rPr>
        <w:t xml:space="preserve">[וכתב </w:t>
      </w:r>
      <w:r w:rsidRPr="005951EE">
        <w:rPr>
          <w:rStyle w:val="affa"/>
          <w:rtl/>
        </w:rPr>
        <w:t>הריטב"א</w:t>
      </w:r>
      <w:r w:rsidRPr="00CD3928">
        <w:rPr>
          <w:rStyle w:val="afb"/>
          <w:rtl/>
        </w:rPr>
        <w:t xml:space="preserve"> דאף בשבועת היסת יש הזכרת שם, כדביאר </w:t>
      </w:r>
      <w:r w:rsidRPr="005951EE">
        <w:rPr>
          <w:rStyle w:val="affa"/>
          <w:rtl/>
        </w:rPr>
        <w:t>הריטב"א בשבועות</w:t>
      </w:r>
      <w:r w:rsidRPr="00CD3928">
        <w:rPr>
          <w:rStyle w:val="afb"/>
          <w:rtl/>
        </w:rPr>
        <w:t xml:space="preserve"> </w:t>
      </w:r>
      <w:r w:rsidRPr="005951EE">
        <w:rPr>
          <w:rStyle w:val="aff6"/>
          <w:rtl/>
        </w:rPr>
        <w:t>(לח: ד"ה גמ')</w:t>
      </w:r>
      <w:r>
        <w:rPr>
          <w:rStyle w:val="afb"/>
          <w:rFonts w:hint="cs"/>
          <w:rtl/>
        </w:rPr>
        <w:t>]</w:t>
      </w:r>
      <w:r w:rsidRPr="00CD3928">
        <w:rPr>
          <w:rStyle w:val="afb"/>
          <w:rFonts w:hint="cs"/>
          <w:rtl/>
        </w:rPr>
        <w:t>.</w:t>
      </w:r>
      <w:r>
        <w:rPr>
          <w:rFonts w:hint="cs"/>
          <w:rtl/>
        </w:rPr>
        <w:t xml:space="preserve"> </w:t>
      </w:r>
    </w:p>
    <w:p w:rsidR="00F4065E" w:rsidRPr="00E24FC1" w:rsidRDefault="00F4065E" w:rsidP="00F4065E">
      <w:pPr>
        <w:pStyle w:val="a3"/>
        <w:rPr>
          <w:rtl/>
        </w:rPr>
      </w:pPr>
      <w:bookmarkStart w:id="14705" w:name="_Toc64036045"/>
      <w:bookmarkStart w:id="14706" w:name="_Toc64148079"/>
      <w:bookmarkStart w:id="14707" w:name="_Toc64205679"/>
      <w:bookmarkStart w:id="14708" w:name="_Toc64209359"/>
      <w:r>
        <w:rPr>
          <w:rFonts w:hint="cs"/>
          <w:rtl/>
        </w:rPr>
        <w:t>דברי הרא"ש דעל חזקת קרקעות יש שבועת היסת כמו בחזקת מטלטלין</w:t>
      </w:r>
      <w:bookmarkEnd w:id="14705"/>
      <w:bookmarkEnd w:id="14706"/>
      <w:bookmarkEnd w:id="14707"/>
      <w:bookmarkEnd w:id="14708"/>
    </w:p>
    <w:p w:rsidR="00F4065E" w:rsidRDefault="00F4065E" w:rsidP="007E4E81">
      <w:pPr>
        <w:pStyle w:val="a0"/>
        <w:rPr>
          <w:rtl/>
        </w:rPr>
      </w:pPr>
      <w:r>
        <w:rPr>
          <w:rFonts w:hint="cs"/>
          <w:rtl/>
        </w:rPr>
        <w:t xml:space="preserve">והוסיף </w:t>
      </w:r>
      <w:r w:rsidRPr="0001524E">
        <w:rPr>
          <w:rStyle w:val="af9"/>
          <w:rFonts w:hint="cs"/>
          <w:rtl/>
        </w:rPr>
        <w:t>הרא"ש</w:t>
      </w:r>
      <w:r>
        <w:rPr>
          <w:rFonts w:hint="cs"/>
          <w:rtl/>
        </w:rPr>
        <w:t xml:space="preserve"> </w:t>
      </w:r>
      <w:r w:rsidRPr="005951EE">
        <w:rPr>
          <w:rStyle w:val="af7"/>
          <w:rFonts w:eastAsia="Guttman Hodes" w:hint="cs"/>
          <w:rtl/>
        </w:rPr>
        <w:t>(סי' י"ז)</w:t>
      </w:r>
      <w:r>
        <w:rPr>
          <w:rFonts w:hint="cs"/>
          <w:rtl/>
        </w:rPr>
        <w:t xml:space="preserve"> דעל חזקת קרקעות מסתמא נשבעין, כמו שנשבעין על חזקת מטלטלין, כדאיתא בשבועות </w:t>
      </w:r>
      <w:r w:rsidRPr="00C17BF6">
        <w:rPr>
          <w:rStyle w:val="af7"/>
          <w:rFonts w:eastAsia="Guttman Hodes" w:hint="cs"/>
          <w:rtl/>
        </w:rPr>
        <w:t>(מ:)</w:t>
      </w:r>
      <w:r>
        <w:rPr>
          <w:rFonts w:hint="cs"/>
          <w:rtl/>
        </w:rPr>
        <w:t xml:space="preserve"> דבטוען מנה לי בידך חייב שבועת היסת, וה"ה על כפירת קרקעות, וכתב </w:t>
      </w:r>
      <w:r w:rsidRPr="00F70C47">
        <w:rPr>
          <w:rStyle w:val="af9"/>
          <w:rFonts w:hint="cs"/>
          <w:rtl/>
        </w:rPr>
        <w:t>הרא"ש</w:t>
      </w:r>
      <w:r>
        <w:rPr>
          <w:rFonts w:hint="cs"/>
          <w:rtl/>
        </w:rPr>
        <w:t xml:space="preserve"> דלא מסתבר לחלק דרק במטלטלין שיש שבועה דאו' מדין מודה במקצת יש שבועה דרבנן, דהא אעפ"י שחזקה עומדת במקום השטר, היינו רק לענין שא"א להוציא את הקרקע מידו, כשאין לו שטר, כיון שאינו יכול להזהר בשטרו לעולם, אך מ"מ צריך להשבע שבועת היסת.</w:t>
      </w:r>
    </w:p>
    <w:p w:rsidR="00F4065E" w:rsidRDefault="00F4065E" w:rsidP="00F4065E">
      <w:pPr>
        <w:pStyle w:val="a3"/>
        <w:rPr>
          <w:rtl/>
        </w:rPr>
      </w:pPr>
      <w:bookmarkStart w:id="14709" w:name="_Toc64036046"/>
      <w:bookmarkStart w:id="14710" w:name="_Toc64148080"/>
      <w:bookmarkStart w:id="14711" w:name="_Toc64205680"/>
      <w:bookmarkStart w:id="14712" w:name="_Toc64209360"/>
      <w:r>
        <w:rPr>
          <w:rFonts w:hint="cs"/>
          <w:rtl/>
        </w:rPr>
        <w:t>תירוץ התוס' והראשונים דבטענת שמא אין שבועת היסת והכא היתומים טוענים שמא</w:t>
      </w:r>
      <w:bookmarkEnd w:id="14709"/>
      <w:bookmarkEnd w:id="14710"/>
      <w:bookmarkEnd w:id="14711"/>
      <w:bookmarkEnd w:id="14712"/>
    </w:p>
    <w:p w:rsidR="00F4065E" w:rsidRDefault="00F4065E" w:rsidP="007E4E81">
      <w:pPr>
        <w:pStyle w:val="a0"/>
        <w:rPr>
          <w:rtl/>
        </w:rPr>
      </w:pPr>
      <w:bookmarkStart w:id="14713" w:name="_Ref63617184"/>
      <w:r>
        <w:rPr>
          <w:rFonts w:hint="cs"/>
          <w:rtl/>
        </w:rPr>
        <w:t xml:space="preserve">ותירצו </w:t>
      </w:r>
      <w:r w:rsidRPr="00F55F5B">
        <w:rPr>
          <w:rStyle w:val="af9"/>
          <w:rFonts w:hint="cs"/>
          <w:rtl/>
        </w:rPr>
        <w:t xml:space="preserve">התוס' והרמב"ן והרשב"א והרא"ש </w:t>
      </w:r>
      <w:r>
        <w:rPr>
          <w:rFonts w:hint="cs"/>
          <w:rtl/>
        </w:rPr>
        <w:t xml:space="preserve">דבטענת שמא אין שבועת היסת, והכא היתומים אינם טוענים טענת ברי, וכתבו </w:t>
      </w:r>
      <w:r w:rsidRPr="00F55F5B">
        <w:rPr>
          <w:rStyle w:val="af9"/>
          <w:rFonts w:hint="cs"/>
          <w:rtl/>
        </w:rPr>
        <w:t xml:space="preserve">התוס' </w:t>
      </w:r>
      <w:r>
        <w:rPr>
          <w:rFonts w:hint="cs"/>
          <w:rtl/>
        </w:rPr>
        <w:t>דלכן אם היה רבא בר שרשום טוען דהיא לקוחה בידו לא היה צריך להשבע שבועת היסת</w:t>
      </w:r>
      <w:r>
        <w:rPr>
          <w:rStyle w:val="af1"/>
          <w:rtl/>
        </w:rPr>
        <w:footnoteReference w:id="105"/>
      </w:r>
      <w:r>
        <w:rPr>
          <w:rFonts w:hint="cs"/>
          <w:rtl/>
        </w:rPr>
        <w:t>, [</w:t>
      </w:r>
      <w:r w:rsidRPr="00314C31">
        <w:rPr>
          <w:rStyle w:val="af9"/>
          <w:rtl/>
        </w:rPr>
        <w:t>והיד רמ"ה</w:t>
      </w:r>
      <w:r>
        <w:rPr>
          <w:rtl/>
        </w:rPr>
        <w:t xml:space="preserve"> </w:t>
      </w:r>
      <w:r w:rsidRPr="00C17BF6">
        <w:rPr>
          <w:rStyle w:val="af7"/>
          <w:rFonts w:eastAsia="Guttman Hodes"/>
          <w:rtl/>
        </w:rPr>
        <w:t>(או' נ"</w:t>
      </w:r>
      <w:r w:rsidRPr="00C17BF6">
        <w:rPr>
          <w:rStyle w:val="af7"/>
          <w:rFonts w:eastAsia="Guttman Hodes" w:hint="cs"/>
          <w:rtl/>
        </w:rPr>
        <w:t>ב</w:t>
      </w:r>
      <w:r w:rsidRPr="00C17BF6">
        <w:rPr>
          <w:rStyle w:val="af7"/>
          <w:rFonts w:eastAsia="Guttman Hodes"/>
          <w:rtl/>
        </w:rPr>
        <w:t xml:space="preserve"> ד"ה</w:t>
      </w:r>
      <w:r w:rsidRPr="00C17BF6">
        <w:rPr>
          <w:rStyle w:val="af7"/>
          <w:rFonts w:eastAsia="Guttman Hodes" w:hint="cs"/>
          <w:rtl/>
        </w:rPr>
        <w:t xml:space="preserve"> ושמעת)</w:t>
      </w:r>
      <w:r w:rsidRPr="005C79F2">
        <w:rPr>
          <w:rtl/>
        </w:rPr>
        <w:t xml:space="preserve"> </w:t>
      </w:r>
      <w:r>
        <w:rPr>
          <w:rFonts w:hint="cs"/>
          <w:rtl/>
        </w:rPr>
        <w:t xml:space="preserve">הוסיף דאין שבועת היסת כיון דאין נשבעין על טענת חש"ו, ולאחר שיגדלו היתומים הם טוענים טענת שמא], וכתבו </w:t>
      </w:r>
      <w:r w:rsidRPr="00326B60">
        <w:rPr>
          <w:rStyle w:val="af9"/>
          <w:rFonts w:hint="cs"/>
          <w:rtl/>
        </w:rPr>
        <w:t>בספר התרומות</w:t>
      </w:r>
      <w:r>
        <w:rPr>
          <w:rFonts w:hint="cs"/>
          <w:rtl/>
        </w:rPr>
        <w:t xml:space="preserve"> </w:t>
      </w:r>
      <w:r w:rsidRPr="00326B60">
        <w:rPr>
          <w:rStyle w:val="af7"/>
          <w:rFonts w:eastAsia="Guttman Hodes" w:hint="cs"/>
          <w:rtl/>
        </w:rPr>
        <w:t>(</w:t>
      </w:r>
      <w:r w:rsidRPr="00326B60">
        <w:rPr>
          <w:rStyle w:val="af7"/>
          <w:rFonts w:eastAsia="Guttman Hodes"/>
          <w:rtl/>
        </w:rPr>
        <w:t>שער י</w:t>
      </w:r>
      <w:r w:rsidRPr="00326B60">
        <w:rPr>
          <w:rStyle w:val="af7"/>
          <w:rFonts w:eastAsia="Guttman Hodes" w:hint="cs"/>
          <w:rtl/>
        </w:rPr>
        <w:t>"</w:t>
      </w:r>
      <w:r w:rsidRPr="00326B60">
        <w:rPr>
          <w:rStyle w:val="af7"/>
          <w:rFonts w:eastAsia="Guttman Hodes"/>
          <w:rtl/>
        </w:rPr>
        <w:t>ד ח</w:t>
      </w:r>
      <w:r w:rsidRPr="00326B60">
        <w:rPr>
          <w:rStyle w:val="af7"/>
          <w:rFonts w:eastAsia="Guttman Hodes" w:hint="cs"/>
          <w:rtl/>
        </w:rPr>
        <w:t>"</w:t>
      </w:r>
      <w:r w:rsidRPr="00326B60">
        <w:rPr>
          <w:rStyle w:val="af7"/>
          <w:rFonts w:eastAsia="Guttman Hodes"/>
          <w:rtl/>
        </w:rPr>
        <w:t>א או</w:t>
      </w:r>
      <w:r w:rsidRPr="00326B60">
        <w:rPr>
          <w:rStyle w:val="af7"/>
          <w:rFonts w:eastAsia="Guttman Hodes" w:hint="cs"/>
          <w:rtl/>
        </w:rPr>
        <w:t>'</w:t>
      </w:r>
      <w:r w:rsidRPr="00326B60">
        <w:rPr>
          <w:rStyle w:val="af7"/>
          <w:rFonts w:eastAsia="Guttman Hodes"/>
          <w:rtl/>
        </w:rPr>
        <w:t xml:space="preserve"> ו</w:t>
      </w:r>
      <w:r w:rsidRPr="00326B60">
        <w:rPr>
          <w:rStyle w:val="af7"/>
          <w:rFonts w:eastAsia="Guttman Hodes" w:hint="cs"/>
          <w:rtl/>
        </w:rPr>
        <w:t>'</w:t>
      </w:r>
      <w:r>
        <w:rPr>
          <w:rStyle w:val="af7"/>
          <w:rFonts w:eastAsia="Guttman Hodes" w:hint="cs"/>
          <w:rtl/>
        </w:rPr>
        <w:t>)</w:t>
      </w:r>
      <w:r w:rsidRPr="00326B60">
        <w:rPr>
          <w:rStyle w:val="af7"/>
          <w:rFonts w:eastAsia="Guttman Hodes" w:hint="cs"/>
          <w:rtl/>
        </w:rPr>
        <w:t xml:space="preserve"> </w:t>
      </w:r>
      <w:r>
        <w:rPr>
          <w:rStyle w:val="af9"/>
          <w:rFonts w:hint="cs"/>
          <w:rtl/>
        </w:rPr>
        <w:t>ו</w:t>
      </w:r>
      <w:r w:rsidRPr="00691C13">
        <w:rPr>
          <w:rStyle w:val="af9"/>
          <w:rFonts w:hint="cs"/>
          <w:rtl/>
        </w:rPr>
        <w:t>המ"מ</w:t>
      </w:r>
      <w:r>
        <w:rPr>
          <w:rFonts w:hint="cs"/>
          <w:rtl/>
        </w:rPr>
        <w:t xml:space="preserve"> </w:t>
      </w:r>
      <w:r w:rsidRPr="00220B3F">
        <w:rPr>
          <w:rStyle w:val="af7"/>
          <w:rFonts w:eastAsia="Guttman Hodes" w:hint="cs"/>
          <w:rtl/>
        </w:rPr>
        <w:t>(טו"נ פי"ד ה"ח)</w:t>
      </w:r>
      <w:r w:rsidRPr="00691C13">
        <w:rPr>
          <w:rFonts w:hint="cs"/>
          <w:rtl/>
        </w:rPr>
        <w:t xml:space="preserve"> </w:t>
      </w:r>
      <w:r>
        <w:rPr>
          <w:rFonts w:hint="cs"/>
          <w:rtl/>
        </w:rPr>
        <w:t xml:space="preserve">דכן דעת </w:t>
      </w:r>
      <w:r w:rsidRPr="00B66A6C">
        <w:rPr>
          <w:rStyle w:val="af9"/>
          <w:rFonts w:hint="cs"/>
          <w:rtl/>
        </w:rPr>
        <w:t>הרמב"ם</w:t>
      </w:r>
      <w:r>
        <w:rPr>
          <w:rFonts w:hint="cs"/>
          <w:rtl/>
        </w:rPr>
        <w:t xml:space="preserve"> </w:t>
      </w:r>
      <w:r w:rsidRPr="00CD7289">
        <w:rPr>
          <w:rStyle w:val="af7"/>
          <w:rFonts w:eastAsia="Guttman Hodes" w:hint="cs"/>
          <w:rtl/>
        </w:rPr>
        <w:t xml:space="preserve">(עי' אות </w:t>
      </w:r>
      <w:r w:rsidRPr="00CD7289">
        <w:rPr>
          <w:rStyle w:val="af7"/>
          <w:rFonts w:eastAsia="Guttman Hodes"/>
          <w:rtl/>
        </w:rPr>
        <w:fldChar w:fldCharType="begin"/>
      </w:r>
      <w:r w:rsidRPr="00CD7289">
        <w:rPr>
          <w:rStyle w:val="af7"/>
          <w:rFonts w:eastAsia="Guttman Hodes"/>
          <w:rtl/>
        </w:rPr>
        <w:instrText xml:space="preserve"> </w:instrText>
      </w:r>
      <w:r w:rsidRPr="00CD7289">
        <w:rPr>
          <w:rStyle w:val="af7"/>
          <w:rFonts w:eastAsia="Guttman Hodes" w:hint="cs"/>
        </w:rPr>
        <w:instrText>REF</w:instrText>
      </w:r>
      <w:r w:rsidRPr="00CD7289">
        <w:rPr>
          <w:rStyle w:val="af7"/>
          <w:rFonts w:eastAsia="Guttman Hodes" w:hint="cs"/>
          <w:rtl/>
        </w:rPr>
        <w:instrText xml:space="preserve"> _</w:instrText>
      </w:r>
      <w:r w:rsidRPr="00CD7289">
        <w:rPr>
          <w:rStyle w:val="af7"/>
          <w:rFonts w:eastAsia="Guttman Hodes" w:hint="cs"/>
        </w:rPr>
        <w:instrText>Ref63702477 \r \h</w:instrText>
      </w:r>
      <w:r w:rsidRPr="00CD7289">
        <w:rPr>
          <w:rStyle w:val="af7"/>
          <w:rFonts w:eastAsia="Guttman Hodes"/>
          <w:rtl/>
        </w:rPr>
        <w:instrText xml:space="preserve"> </w:instrText>
      </w:r>
      <w:r w:rsidRPr="00CD7289">
        <w:rPr>
          <w:rStyle w:val="af7"/>
          <w:rFonts w:eastAsia="Guttman Hodes"/>
          <w:rtl/>
        </w:rPr>
      </w:r>
      <w:r w:rsidRPr="00CD7289">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CD7289">
        <w:rPr>
          <w:rStyle w:val="af7"/>
          <w:rFonts w:eastAsia="Guttman Hodes"/>
          <w:rtl/>
        </w:rPr>
        <w:fldChar w:fldCharType="end"/>
      </w:r>
      <w:r>
        <w:rPr>
          <w:rFonts w:hint="cs"/>
          <w:rtl/>
        </w:rPr>
        <w:t xml:space="preserve"> דהיתומים טוענים טענת שמא, ולכן אינו נשבע היסת, אך כתב </w:t>
      </w:r>
      <w:r w:rsidRPr="00F55F5B">
        <w:rPr>
          <w:rStyle w:val="af9"/>
          <w:rFonts w:hint="cs"/>
          <w:rtl/>
        </w:rPr>
        <w:t xml:space="preserve">הרמב"ן </w:t>
      </w:r>
      <w:r>
        <w:rPr>
          <w:rFonts w:hint="cs"/>
          <w:rtl/>
        </w:rPr>
        <w:t xml:space="preserve">בשם </w:t>
      </w:r>
      <w:r w:rsidRPr="00023176">
        <w:rPr>
          <w:rStyle w:val="af9"/>
          <w:rFonts w:hint="cs"/>
          <w:rtl/>
        </w:rPr>
        <w:t>הר"י מגאש</w:t>
      </w:r>
      <w:r w:rsidRPr="00F55F5B">
        <w:rPr>
          <w:rStyle w:val="af9"/>
          <w:rFonts w:hint="cs"/>
          <w:rtl/>
        </w:rPr>
        <w:t xml:space="preserve"> והרמב"ם </w:t>
      </w:r>
      <w:r>
        <w:rPr>
          <w:rFonts w:hint="cs"/>
          <w:rtl/>
        </w:rPr>
        <w:t xml:space="preserve">דאם היו טוענים טענת ברי, היה חייב שבועה, וכ"כ </w:t>
      </w:r>
      <w:r w:rsidRPr="00314C31">
        <w:rPr>
          <w:rStyle w:val="af9"/>
          <w:rtl/>
        </w:rPr>
        <w:t>היד רמ"ה</w:t>
      </w:r>
      <w:r>
        <w:rPr>
          <w:rtl/>
        </w:rPr>
        <w:t xml:space="preserve"> </w:t>
      </w:r>
      <w:r w:rsidRPr="001D13BB">
        <w:rPr>
          <w:rStyle w:val="af7"/>
          <w:rFonts w:eastAsia="Guttman Hodes"/>
          <w:rtl/>
        </w:rPr>
        <w:t>(או' נ"</w:t>
      </w:r>
      <w:r w:rsidRPr="001D13BB">
        <w:rPr>
          <w:rStyle w:val="af7"/>
          <w:rFonts w:eastAsia="Guttman Hodes" w:hint="cs"/>
          <w:rtl/>
        </w:rPr>
        <w:t>ב</w:t>
      </w:r>
      <w:r w:rsidRPr="001D13BB">
        <w:rPr>
          <w:rStyle w:val="af7"/>
          <w:rFonts w:eastAsia="Guttman Hodes"/>
          <w:rtl/>
        </w:rPr>
        <w:t xml:space="preserve"> ד"ה</w:t>
      </w:r>
      <w:r w:rsidRPr="001D13BB">
        <w:rPr>
          <w:rStyle w:val="af7"/>
          <w:rFonts w:eastAsia="Guttman Hodes" w:hint="cs"/>
          <w:rtl/>
        </w:rPr>
        <w:t xml:space="preserve"> אבל)</w:t>
      </w:r>
      <w:r>
        <w:rPr>
          <w:rFonts w:hint="cs"/>
          <w:rtl/>
        </w:rPr>
        <w:t>.</w:t>
      </w:r>
      <w:bookmarkEnd w:id="14713"/>
    </w:p>
    <w:p w:rsidR="00F4065E" w:rsidRDefault="00F4065E" w:rsidP="00F4065E">
      <w:pPr>
        <w:pStyle w:val="a3"/>
        <w:rPr>
          <w:rtl/>
        </w:rPr>
      </w:pPr>
      <w:bookmarkStart w:id="14714" w:name="_Toc64036047"/>
      <w:bookmarkStart w:id="14715" w:name="_Toc64148081"/>
      <w:bookmarkStart w:id="14716" w:name="_Toc64205681"/>
      <w:bookmarkStart w:id="14717" w:name="_Toc64209361"/>
      <w:r>
        <w:rPr>
          <w:rFonts w:hint="cs"/>
          <w:rtl/>
        </w:rPr>
        <w:t>דברי הרמב"ן והרשב"א דאף בטענת ברי אינו נשבע היסת כיון שיש לו חזקת ג"ש דהאמת כמותו</w:t>
      </w:r>
      <w:bookmarkEnd w:id="14714"/>
      <w:bookmarkEnd w:id="14715"/>
      <w:bookmarkEnd w:id="14716"/>
      <w:bookmarkEnd w:id="14717"/>
    </w:p>
    <w:p w:rsidR="00F4065E" w:rsidRDefault="00F4065E" w:rsidP="007E4E81">
      <w:pPr>
        <w:pStyle w:val="a0"/>
        <w:rPr>
          <w:rStyle w:val="afb"/>
          <w:rtl/>
        </w:rPr>
      </w:pPr>
      <w:bookmarkStart w:id="14718" w:name="_Ref63330032"/>
      <w:r>
        <w:rPr>
          <w:rFonts w:hint="cs"/>
          <w:rtl/>
        </w:rPr>
        <w:t xml:space="preserve">ועוד הביאו </w:t>
      </w:r>
      <w:r w:rsidRPr="00314C31">
        <w:rPr>
          <w:rStyle w:val="af9"/>
          <w:rFonts w:hint="cs"/>
          <w:rtl/>
        </w:rPr>
        <w:t>הרמב"ן והרשב"א</w:t>
      </w:r>
      <w:r>
        <w:rPr>
          <w:rFonts w:hint="cs"/>
          <w:rtl/>
        </w:rPr>
        <w:t xml:space="preserve"> בשם </w:t>
      </w:r>
      <w:r w:rsidRPr="00314C31">
        <w:rPr>
          <w:rStyle w:val="af9"/>
          <w:rFonts w:hint="cs"/>
          <w:rtl/>
        </w:rPr>
        <w:t>י"א</w:t>
      </w:r>
      <w:r>
        <w:rPr>
          <w:rFonts w:hint="cs"/>
          <w:rtl/>
        </w:rPr>
        <w:t xml:space="preserve"> דאף אם היו היתומים טוענים טענת ברי היה פטור משבועת היסת, דכיון שיש לו חזקת ג"ש, הוא כמו שיש לו שטר, והביאו </w:t>
      </w:r>
      <w:r w:rsidRPr="00314C31">
        <w:rPr>
          <w:rStyle w:val="af9"/>
          <w:rFonts w:hint="cs"/>
          <w:rtl/>
        </w:rPr>
        <w:t>הרמב"ן והרשב"א</w:t>
      </w:r>
      <w:r>
        <w:rPr>
          <w:rFonts w:hint="cs"/>
          <w:rtl/>
        </w:rPr>
        <w:t xml:space="preserve"> את דברי </w:t>
      </w:r>
      <w:r w:rsidRPr="00314C31">
        <w:rPr>
          <w:rStyle w:val="af9"/>
          <w:rFonts w:hint="cs"/>
          <w:rtl/>
        </w:rPr>
        <w:t>הגאון</w:t>
      </w:r>
      <w:r>
        <w:rPr>
          <w:rFonts w:hint="cs"/>
          <w:rtl/>
        </w:rPr>
        <w:t xml:space="preserve"> </w:t>
      </w:r>
      <w:r w:rsidRPr="00314C31">
        <w:rPr>
          <w:rStyle w:val="af9"/>
          <w:rFonts w:hint="cs"/>
          <w:rtl/>
        </w:rPr>
        <w:t>בתשו'</w:t>
      </w:r>
      <w:r>
        <w:rPr>
          <w:rFonts w:hint="cs"/>
          <w:rtl/>
        </w:rPr>
        <w:t xml:space="preserve"> דכתב דלכך חזקה נקראת חזקה שהיא כשמה, ואינו חייב להשבע כשיש לו חזקה, </w:t>
      </w:r>
      <w:r w:rsidRPr="00314C31">
        <w:rPr>
          <w:rStyle w:val="af9"/>
          <w:rFonts w:hint="cs"/>
          <w:rtl/>
        </w:rPr>
        <w:t>והרשב"א בתשו'</w:t>
      </w:r>
      <w:r>
        <w:rPr>
          <w:rFonts w:hint="cs"/>
          <w:rtl/>
        </w:rPr>
        <w:t xml:space="preserve"> </w:t>
      </w:r>
      <w:r w:rsidRPr="001D13BB">
        <w:rPr>
          <w:rStyle w:val="af7"/>
          <w:rFonts w:eastAsia="Guttman Hodes" w:hint="cs"/>
          <w:rtl/>
        </w:rPr>
        <w:t>(ח"א סי' אלף קס"א ד"ה</w:t>
      </w:r>
      <w:r>
        <w:rPr>
          <w:rFonts w:hint="cs"/>
          <w:rtl/>
        </w:rPr>
        <w:t xml:space="preserve"> </w:t>
      </w:r>
      <w:r w:rsidRPr="001D13BB">
        <w:rPr>
          <w:rStyle w:val="af7"/>
          <w:rFonts w:eastAsia="Guttman Hodes" w:hint="cs"/>
          <w:rtl/>
        </w:rPr>
        <w:t>תשובה)</w:t>
      </w:r>
      <w:r>
        <w:rPr>
          <w:rFonts w:hint="cs"/>
          <w:rtl/>
        </w:rPr>
        <w:t xml:space="preserve"> הוסיף לבאר דחזקה היא כשמה, היינו שהאמת היא כמו שאומר, ולכן א"צ להשבע, כדמוכח בסוגיין, וכתב </w:t>
      </w:r>
      <w:r w:rsidRPr="00314C31">
        <w:rPr>
          <w:rStyle w:val="af9"/>
          <w:rFonts w:hint="cs"/>
          <w:rtl/>
        </w:rPr>
        <w:t>הרמב"ן</w:t>
      </w:r>
      <w:r>
        <w:rPr>
          <w:rFonts w:hint="cs"/>
          <w:rtl/>
        </w:rPr>
        <w:t xml:space="preserve"> דכן דעת </w:t>
      </w:r>
      <w:r w:rsidRPr="00314C31">
        <w:rPr>
          <w:rStyle w:val="af9"/>
          <w:rFonts w:hint="cs"/>
          <w:rtl/>
        </w:rPr>
        <w:t>הרשב"ם</w:t>
      </w:r>
      <w:r>
        <w:rPr>
          <w:rFonts w:hint="cs"/>
          <w:rtl/>
        </w:rPr>
        <w:t xml:space="preserve"> </w:t>
      </w:r>
      <w:r w:rsidRPr="001D13BB">
        <w:rPr>
          <w:rStyle w:val="af7"/>
          <w:rFonts w:eastAsia="Guttman Hodes" w:hint="cs"/>
          <w:rtl/>
        </w:rPr>
        <w:t xml:space="preserve">(עי' אות </w:t>
      </w:r>
      <w:r w:rsidRPr="001D13BB">
        <w:rPr>
          <w:rStyle w:val="af7"/>
          <w:rFonts w:eastAsia="Guttman Hodes"/>
          <w:rtl/>
        </w:rPr>
        <w:fldChar w:fldCharType="begin"/>
      </w:r>
      <w:r w:rsidRPr="001D13BB">
        <w:rPr>
          <w:rStyle w:val="af7"/>
          <w:rFonts w:eastAsia="Guttman Hodes"/>
          <w:rtl/>
        </w:rPr>
        <w:instrText xml:space="preserve"> </w:instrText>
      </w:r>
      <w:r w:rsidRPr="001D13BB">
        <w:rPr>
          <w:rStyle w:val="af7"/>
          <w:rFonts w:eastAsia="Guttman Hodes" w:hint="cs"/>
        </w:rPr>
        <w:instrText>REF</w:instrText>
      </w:r>
      <w:r w:rsidRPr="001D13BB">
        <w:rPr>
          <w:rStyle w:val="af7"/>
          <w:rFonts w:eastAsia="Guttman Hodes" w:hint="cs"/>
          <w:rtl/>
        </w:rPr>
        <w:instrText xml:space="preserve"> _</w:instrText>
      </w:r>
      <w:r w:rsidRPr="001D13BB">
        <w:rPr>
          <w:rStyle w:val="af7"/>
          <w:rFonts w:eastAsia="Guttman Hodes" w:hint="cs"/>
        </w:rPr>
        <w:instrText>Ref63330039 \r \h</w:instrText>
      </w:r>
      <w:r w:rsidRPr="001D13B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D13BB">
        <w:rPr>
          <w:rStyle w:val="af7"/>
          <w:rFonts w:eastAsia="Guttman Hodes"/>
          <w:rtl/>
        </w:rPr>
      </w:r>
      <w:r w:rsidRPr="001D13BB">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1D13BB">
        <w:rPr>
          <w:rStyle w:val="af7"/>
          <w:rFonts w:eastAsia="Guttman Hodes"/>
          <w:rtl/>
        </w:rPr>
        <w:fldChar w:fldCharType="end"/>
      </w:r>
      <w:r>
        <w:rPr>
          <w:rFonts w:hint="cs"/>
          <w:rtl/>
        </w:rPr>
        <w:t xml:space="preserve">. </w:t>
      </w:r>
      <w:r w:rsidRPr="004A6851">
        <w:rPr>
          <w:rStyle w:val="afb"/>
          <w:rFonts w:hint="cs"/>
          <w:rtl/>
        </w:rPr>
        <w:t xml:space="preserve">[אבל </w:t>
      </w:r>
      <w:r w:rsidRPr="005951EE">
        <w:rPr>
          <w:rStyle w:val="affa"/>
          <w:rFonts w:hint="cs"/>
          <w:rtl/>
        </w:rPr>
        <w:t>הריטב"א</w:t>
      </w:r>
      <w:r w:rsidRPr="004A6851">
        <w:rPr>
          <w:rStyle w:val="afb"/>
          <w:rFonts w:hint="cs"/>
          <w:rtl/>
        </w:rPr>
        <w:t xml:space="preserve"> </w:t>
      </w:r>
      <w:r w:rsidRPr="005951EE">
        <w:rPr>
          <w:rStyle w:val="aff6"/>
          <w:rFonts w:hint="cs"/>
          <w:rtl/>
        </w:rPr>
        <w:t xml:space="preserve">(ד"ה דמיגו) </w:t>
      </w:r>
      <w:r w:rsidRPr="004A6851">
        <w:rPr>
          <w:rStyle w:val="afb"/>
          <w:rFonts w:hint="cs"/>
          <w:rtl/>
        </w:rPr>
        <w:t xml:space="preserve">דחה דאין ראיה לומר כן, דהא אפש"ל דאין חיוב שבועה כיון שהיתומים טוענים טענת שמא, </w:t>
      </w:r>
      <w:r>
        <w:rPr>
          <w:rStyle w:val="afb"/>
          <w:rFonts w:hint="cs"/>
          <w:rtl/>
        </w:rPr>
        <w:t>כדכתבו</w:t>
      </w:r>
      <w:r w:rsidRPr="004A6851">
        <w:rPr>
          <w:rStyle w:val="afb"/>
          <w:rFonts w:hint="cs"/>
          <w:rtl/>
        </w:rPr>
        <w:t xml:space="preserve"> </w:t>
      </w:r>
      <w:r w:rsidRPr="005951EE">
        <w:rPr>
          <w:rStyle w:val="affa"/>
          <w:rFonts w:hint="cs"/>
          <w:rtl/>
        </w:rPr>
        <w:t>התוס' והרמב"ן והרשב"א והרא"ש</w:t>
      </w:r>
      <w:r w:rsidRPr="004A6851">
        <w:rPr>
          <w:rStyle w:val="afb"/>
          <w:rFonts w:hint="cs"/>
          <w:rtl/>
        </w:rPr>
        <w:t xml:space="preserve"> </w:t>
      </w:r>
      <w:r w:rsidRPr="00114E5E">
        <w:rPr>
          <w:rStyle w:val="aff6"/>
          <w:rFonts w:hint="cs"/>
          <w:rtl/>
        </w:rPr>
        <w:t xml:space="preserve">(עי' אות </w:t>
      </w:r>
      <w:r w:rsidRPr="00114E5E">
        <w:rPr>
          <w:rStyle w:val="aff6"/>
          <w:rtl/>
        </w:rPr>
        <w:fldChar w:fldCharType="begin"/>
      </w:r>
      <w:r w:rsidRPr="00114E5E">
        <w:rPr>
          <w:rStyle w:val="aff6"/>
          <w:rtl/>
        </w:rPr>
        <w:instrText xml:space="preserve"> </w:instrText>
      </w:r>
      <w:r w:rsidRPr="00114E5E">
        <w:rPr>
          <w:rStyle w:val="aff6"/>
          <w:rFonts w:hint="cs"/>
        </w:rPr>
        <w:instrText>REF</w:instrText>
      </w:r>
      <w:r w:rsidRPr="00114E5E">
        <w:rPr>
          <w:rStyle w:val="aff6"/>
          <w:rFonts w:hint="cs"/>
          <w:rtl/>
        </w:rPr>
        <w:instrText xml:space="preserve"> _</w:instrText>
      </w:r>
      <w:r w:rsidRPr="00114E5E">
        <w:rPr>
          <w:rStyle w:val="aff6"/>
          <w:rFonts w:hint="cs"/>
        </w:rPr>
        <w:instrText>Ref63617184 \r \h</w:instrText>
      </w:r>
      <w:r w:rsidRPr="00114E5E">
        <w:rPr>
          <w:rStyle w:val="aff6"/>
          <w:rtl/>
        </w:rPr>
        <w:instrText xml:space="preserve"> </w:instrText>
      </w:r>
      <w:r w:rsidRPr="00114E5E">
        <w:rPr>
          <w:rStyle w:val="aff6"/>
          <w:rtl/>
        </w:rPr>
      </w:r>
      <w:r w:rsidRPr="00114E5E">
        <w:rPr>
          <w:rStyle w:val="aff6"/>
          <w:rtl/>
        </w:rPr>
        <w:fldChar w:fldCharType="separate"/>
      </w:r>
      <w:r w:rsidR="00265073">
        <w:rPr>
          <w:rStyle w:val="aff6"/>
          <w:cs/>
        </w:rPr>
        <w:t>‎</w:t>
      </w:r>
      <w:r w:rsidR="00265073">
        <w:rPr>
          <w:rStyle w:val="aff6"/>
          <w:rtl/>
        </w:rPr>
        <w:t>נז)</w:t>
      </w:r>
      <w:r w:rsidRPr="00114E5E">
        <w:rPr>
          <w:rStyle w:val="aff6"/>
          <w:rtl/>
        </w:rPr>
        <w:fldChar w:fldCharType="end"/>
      </w:r>
      <w:r w:rsidRPr="004A6851">
        <w:rPr>
          <w:rStyle w:val="afb"/>
          <w:rFonts w:hint="cs"/>
          <w:rtl/>
        </w:rPr>
        <w:t>].</w:t>
      </w:r>
      <w:bookmarkEnd w:id="14718"/>
      <w:r w:rsidRPr="004A6851">
        <w:rPr>
          <w:rStyle w:val="afb"/>
          <w:rFonts w:hint="cs"/>
          <w:rtl/>
        </w:rPr>
        <w:t xml:space="preserve"> </w:t>
      </w:r>
    </w:p>
    <w:p w:rsidR="00F4065E" w:rsidRDefault="00F4065E" w:rsidP="00F4065E">
      <w:pPr>
        <w:pStyle w:val="a3"/>
        <w:rPr>
          <w:rtl/>
        </w:rPr>
      </w:pPr>
      <w:bookmarkStart w:id="14719" w:name="_Toc64036048"/>
      <w:bookmarkStart w:id="14720" w:name="_Toc64148082"/>
      <w:bookmarkStart w:id="14721" w:name="_Toc64205682"/>
      <w:bookmarkStart w:id="14722" w:name="_Toc64209362"/>
      <w:r>
        <w:rPr>
          <w:rFonts w:hint="cs"/>
          <w:rtl/>
        </w:rPr>
        <w:t>ביאור הנתיה"מ ברשב"א דבחזקת קרקעות שיש ראיה מדלא מיחה לא נתקנה שבועת היסת</w:t>
      </w:r>
      <w:bookmarkEnd w:id="14719"/>
      <w:bookmarkEnd w:id="14720"/>
      <w:bookmarkEnd w:id="14721"/>
      <w:bookmarkEnd w:id="14722"/>
    </w:p>
    <w:p w:rsidR="00F4065E" w:rsidRPr="00DB071C" w:rsidRDefault="00F4065E" w:rsidP="007E4E81">
      <w:pPr>
        <w:pStyle w:val="a0"/>
        <w:rPr>
          <w:rtl/>
        </w:rPr>
      </w:pPr>
      <w:r>
        <w:rPr>
          <w:rFonts w:hint="cs"/>
          <w:rtl/>
        </w:rPr>
        <w:t xml:space="preserve">וביאר </w:t>
      </w:r>
      <w:r w:rsidRPr="00A147FB">
        <w:rPr>
          <w:rStyle w:val="af9"/>
          <w:rFonts w:hint="cs"/>
          <w:rtl/>
        </w:rPr>
        <w:t>הנתיה"מ</w:t>
      </w:r>
      <w:r w:rsidRPr="00ED2F6E">
        <w:rPr>
          <w:rStyle w:val="af7"/>
          <w:rFonts w:eastAsia="Guttman Hodes" w:hint="cs"/>
          <w:rtl/>
        </w:rPr>
        <w:t xml:space="preserve"> (סי' ק"מ סק"ב) </w:t>
      </w:r>
      <w:r>
        <w:rPr>
          <w:rFonts w:hint="cs"/>
          <w:rtl/>
        </w:rPr>
        <w:t xml:space="preserve">את דברי </w:t>
      </w:r>
      <w:r w:rsidRPr="00A147FB">
        <w:rPr>
          <w:rStyle w:val="af9"/>
          <w:rFonts w:hint="cs"/>
          <w:rtl/>
        </w:rPr>
        <w:t>הרשב"א</w:t>
      </w:r>
      <w:r>
        <w:rPr>
          <w:rFonts w:hint="cs"/>
          <w:rtl/>
        </w:rPr>
        <w:t xml:space="preserve"> </w:t>
      </w:r>
      <w:r w:rsidRPr="00ED2F6E">
        <w:rPr>
          <w:rStyle w:val="af7"/>
          <w:rFonts w:eastAsia="Guttman Hodes" w:hint="cs"/>
          <w:rtl/>
        </w:rPr>
        <w:t xml:space="preserve">(עי' אות </w:t>
      </w:r>
      <w:r w:rsidRPr="00ED2F6E">
        <w:rPr>
          <w:rStyle w:val="af7"/>
          <w:rFonts w:eastAsia="Guttman Hodes"/>
          <w:rtl/>
        </w:rPr>
        <w:fldChar w:fldCharType="begin"/>
      </w:r>
      <w:r w:rsidRPr="00ED2F6E">
        <w:rPr>
          <w:rStyle w:val="af7"/>
          <w:rFonts w:eastAsia="Guttman Hodes"/>
          <w:rtl/>
        </w:rPr>
        <w:instrText xml:space="preserve"> </w:instrText>
      </w:r>
      <w:r w:rsidRPr="00ED2F6E">
        <w:rPr>
          <w:rStyle w:val="af7"/>
          <w:rFonts w:eastAsia="Guttman Hodes" w:hint="cs"/>
        </w:rPr>
        <w:instrText>REF</w:instrText>
      </w:r>
      <w:r w:rsidRPr="00ED2F6E">
        <w:rPr>
          <w:rStyle w:val="af7"/>
          <w:rFonts w:eastAsia="Guttman Hodes" w:hint="cs"/>
          <w:rtl/>
        </w:rPr>
        <w:instrText xml:space="preserve"> _</w:instrText>
      </w:r>
      <w:r w:rsidRPr="00ED2F6E">
        <w:rPr>
          <w:rStyle w:val="af7"/>
          <w:rFonts w:eastAsia="Guttman Hodes" w:hint="cs"/>
        </w:rPr>
        <w:instrText>Ref63330032 \r \h</w:instrText>
      </w:r>
      <w:r w:rsidRPr="00ED2F6E">
        <w:rPr>
          <w:rStyle w:val="af7"/>
          <w:rFonts w:eastAsia="Guttman Hodes"/>
          <w:rtl/>
        </w:rPr>
        <w:instrText xml:space="preserve"> </w:instrText>
      </w:r>
      <w:r w:rsidRPr="00ED2F6E">
        <w:rPr>
          <w:rStyle w:val="af7"/>
          <w:rFonts w:eastAsia="Guttman Hodes"/>
          <w:rtl/>
        </w:rPr>
      </w:r>
      <w:r w:rsidRPr="00ED2F6E">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ED2F6E">
        <w:rPr>
          <w:rStyle w:val="af7"/>
          <w:rFonts w:eastAsia="Guttman Hodes"/>
          <w:rtl/>
        </w:rPr>
        <w:fldChar w:fldCharType="end"/>
      </w:r>
      <w:r>
        <w:rPr>
          <w:rFonts w:hint="cs"/>
          <w:rtl/>
        </w:rPr>
        <w:t xml:space="preserve"> דבחזקת קרקעות אין חיוב שבועת היסת, דאעפ"י דכל שבועת היסת במטלטלין נתקנה על דבר שתפוס בתפיסה דמוכח, מ"מ בחזקת קרקעות שיש גם ראיה מדלא מיחה המערער לא נתקנה שבועת היסת, דחשיב כחזקה דאין אדם פורע תוך זמנו.</w:t>
      </w:r>
    </w:p>
    <w:p w:rsidR="00F4065E" w:rsidRPr="00802A79" w:rsidRDefault="00F4065E" w:rsidP="00F4065E">
      <w:pPr>
        <w:pStyle w:val="a3"/>
        <w:rPr>
          <w:rtl/>
        </w:rPr>
      </w:pPr>
      <w:bookmarkStart w:id="14723" w:name="_Toc64036049"/>
      <w:bookmarkStart w:id="14724" w:name="_Toc64148083"/>
      <w:bookmarkStart w:id="14725" w:name="_Toc64205683"/>
      <w:bookmarkStart w:id="14726" w:name="_Toc64209363"/>
      <w:r>
        <w:rPr>
          <w:rFonts w:hint="cs"/>
          <w:rtl/>
        </w:rPr>
        <w:t>דברי רבינו יונה דכיון שיש לרבא בר שרשום חזקה והם טוענים שמא אינו חייב שבועת היסת</w:t>
      </w:r>
      <w:bookmarkEnd w:id="14723"/>
      <w:bookmarkEnd w:id="14724"/>
      <w:bookmarkEnd w:id="14725"/>
      <w:bookmarkEnd w:id="14726"/>
    </w:p>
    <w:p w:rsidR="00F4065E" w:rsidRDefault="00F4065E" w:rsidP="007E4E81">
      <w:pPr>
        <w:pStyle w:val="a0"/>
        <w:rPr>
          <w:rtl/>
        </w:rPr>
      </w:pPr>
      <w:bookmarkStart w:id="14727" w:name="_Ref63675400"/>
      <w:r>
        <w:rPr>
          <w:rFonts w:hint="cs"/>
          <w:rtl/>
        </w:rPr>
        <w:t xml:space="preserve">כתב </w:t>
      </w:r>
      <w:r w:rsidRPr="00BA2CAF">
        <w:rPr>
          <w:rStyle w:val="af9"/>
          <w:rFonts w:hint="cs"/>
          <w:rtl/>
        </w:rPr>
        <w:t>רבינו</w:t>
      </w:r>
      <w:r>
        <w:rPr>
          <w:rFonts w:hint="cs"/>
          <w:rtl/>
        </w:rPr>
        <w:t xml:space="preserve"> </w:t>
      </w:r>
      <w:r w:rsidRPr="00BA2CAF">
        <w:rPr>
          <w:rStyle w:val="af9"/>
          <w:rFonts w:hint="cs"/>
          <w:rtl/>
        </w:rPr>
        <w:t>יונה</w:t>
      </w:r>
      <w:r>
        <w:rPr>
          <w:rFonts w:hint="cs"/>
          <w:rtl/>
        </w:rPr>
        <w:t xml:space="preserve"> </w:t>
      </w:r>
      <w:r w:rsidRPr="001D13BB">
        <w:rPr>
          <w:rStyle w:val="af7"/>
          <w:rFonts w:eastAsia="Guttman Hodes" w:hint="cs"/>
          <w:rtl/>
        </w:rPr>
        <w:t xml:space="preserve">(ד"ה אוכלה) </w:t>
      </w:r>
      <w:r>
        <w:rPr>
          <w:rFonts w:hint="cs"/>
          <w:rtl/>
        </w:rPr>
        <w:t xml:space="preserve">דהיה לרבא בר שרשום עידי חזקה בחיי האב, ולא היו עדים שירד לקרקע במשכנתא, ולכן סבר רבא בר </w:t>
      </w:r>
      <w:r>
        <w:rPr>
          <w:rFonts w:hint="cs"/>
          <w:rtl/>
        </w:rPr>
        <w:lastRenderedPageBreak/>
        <w:t xml:space="preserve">שרשום שאם היה טוען שהיא לקוחה הוא יהיה נאמן, ולא יוכלו היתומים להשביעו שבועת היסת, כיון שאינם טוענים טענת ברי, שאינם יודעים אם לקחה מאביהם או לא, אך כתב </w:t>
      </w:r>
      <w:r w:rsidRPr="00BA2CAF">
        <w:rPr>
          <w:rStyle w:val="af9"/>
          <w:rFonts w:hint="cs"/>
          <w:rtl/>
        </w:rPr>
        <w:t>רבינו</w:t>
      </w:r>
      <w:r>
        <w:rPr>
          <w:rFonts w:hint="cs"/>
          <w:rtl/>
        </w:rPr>
        <w:t xml:space="preserve"> </w:t>
      </w:r>
      <w:r w:rsidRPr="00BA2CAF">
        <w:rPr>
          <w:rStyle w:val="af9"/>
          <w:rFonts w:hint="cs"/>
          <w:rtl/>
        </w:rPr>
        <w:t>יונה</w:t>
      </w:r>
      <w:r>
        <w:rPr>
          <w:rFonts w:hint="cs"/>
          <w:rtl/>
        </w:rPr>
        <w:t xml:space="preserve"> דאי לא החזיק רבא בר שרשום ג"ש בחיי האב, לא היה נאמן בטענת לקוחה היא בידי, דהא אין מחזיקין בנכסי קטן.</w:t>
      </w:r>
      <w:bookmarkEnd w:id="14727"/>
    </w:p>
    <w:p w:rsidR="00F4065E" w:rsidRDefault="00F4065E" w:rsidP="00F4065E">
      <w:pPr>
        <w:pStyle w:val="1"/>
        <w:rPr>
          <w:rtl/>
        </w:rPr>
      </w:pPr>
      <w:bookmarkStart w:id="14728" w:name="_Toc64036050"/>
      <w:bookmarkStart w:id="14729" w:name="_Toc64148084"/>
      <w:bookmarkStart w:id="14730" w:name="_Toc64205684"/>
      <w:bookmarkStart w:id="14731" w:name="_Toc64209364"/>
      <w:r>
        <w:rPr>
          <w:rFonts w:hint="cs"/>
          <w:rtl/>
        </w:rPr>
        <w:t>דברי הרא"ש בתי' הב' וספר התרומות דחייב שבועת היסת</w:t>
      </w:r>
      <w:bookmarkEnd w:id="14728"/>
      <w:bookmarkEnd w:id="14729"/>
      <w:bookmarkEnd w:id="14730"/>
      <w:bookmarkEnd w:id="14731"/>
    </w:p>
    <w:p w:rsidR="00F4065E" w:rsidRPr="003F1A30" w:rsidRDefault="00F4065E" w:rsidP="00F4065E">
      <w:pPr>
        <w:pStyle w:val="a3"/>
        <w:rPr>
          <w:rtl/>
        </w:rPr>
      </w:pPr>
      <w:bookmarkStart w:id="14732" w:name="_Toc64036051"/>
      <w:bookmarkStart w:id="14733" w:name="_Toc64148085"/>
      <w:bookmarkStart w:id="14734" w:name="_Toc64205685"/>
      <w:bookmarkStart w:id="14735" w:name="_Toc64209365"/>
      <w:r>
        <w:rPr>
          <w:rFonts w:hint="cs"/>
          <w:rtl/>
        </w:rPr>
        <w:t>דברי הרא"ש בתי' הב' דרבא בר שרשום הסכים לישבע היסת ולא להמתין שג"כ יתחייב שבועה</w:t>
      </w:r>
      <w:bookmarkEnd w:id="14732"/>
      <w:bookmarkEnd w:id="14733"/>
      <w:bookmarkEnd w:id="14734"/>
      <w:bookmarkEnd w:id="14735"/>
    </w:p>
    <w:p w:rsidR="00F4065E" w:rsidRDefault="00F4065E" w:rsidP="007E4E81">
      <w:pPr>
        <w:pStyle w:val="a0"/>
        <w:rPr>
          <w:rtl/>
        </w:rPr>
      </w:pPr>
      <w:bookmarkStart w:id="14736" w:name="_Ref63617198"/>
      <w:r>
        <w:rPr>
          <w:rFonts w:hint="cs"/>
          <w:rtl/>
        </w:rPr>
        <w:t xml:space="preserve">ועוד כתב </w:t>
      </w:r>
      <w:r w:rsidRPr="00314C31">
        <w:rPr>
          <w:rStyle w:val="af9"/>
          <w:rFonts w:hint="cs"/>
          <w:rtl/>
        </w:rPr>
        <w:t>הרא"ש</w:t>
      </w:r>
      <w:r>
        <w:rPr>
          <w:rStyle w:val="af9"/>
          <w:rFonts w:hint="cs"/>
          <w:rtl/>
        </w:rPr>
        <w:t xml:space="preserve"> בתי' הב'</w:t>
      </w:r>
      <w:r>
        <w:rPr>
          <w:rFonts w:hint="cs"/>
          <w:rtl/>
        </w:rPr>
        <w:t xml:space="preserve"> </w:t>
      </w:r>
      <w:r w:rsidRPr="001D13BB">
        <w:rPr>
          <w:rStyle w:val="af7"/>
          <w:rFonts w:eastAsia="Guttman Hodes" w:hint="cs"/>
          <w:rtl/>
        </w:rPr>
        <w:t>(סו"ס י"ז)</w:t>
      </w:r>
      <w:r>
        <w:rPr>
          <w:rFonts w:hint="cs"/>
          <w:rtl/>
        </w:rPr>
        <w:t xml:space="preserve"> דסבר רבא בר שרשום שאם ימתין עד שיגדלו היתומים, ג"כ יצטרך להפרע בשבועה, דהא אין נפרעין מנכסי יתומים אלא בשבועה, ולכן רצה רבא בר שרשום לכבוש את שטר המשכנתא, ועי"ז יוכל לגבות מהם עכשיו בשבועת היסת, ולכן אמר רבא בר שרשום "אמור רבנן דלא יפרע אלא בשבועה", דהיינו שאם ימתין להם ג"כ יצטרך להשבע, כיון דאין נפרעין מהם אלא בשבועה.</w:t>
      </w:r>
      <w:bookmarkEnd w:id="14736"/>
    </w:p>
    <w:p w:rsidR="00F4065E" w:rsidRPr="001816BF" w:rsidRDefault="00F4065E" w:rsidP="00F4065E">
      <w:pPr>
        <w:pStyle w:val="a3"/>
        <w:rPr>
          <w:rtl/>
        </w:rPr>
      </w:pPr>
      <w:bookmarkStart w:id="14737" w:name="_Toc64205686"/>
      <w:bookmarkStart w:id="14738" w:name="_Toc64209366"/>
      <w:r>
        <w:rPr>
          <w:rFonts w:hint="cs"/>
          <w:rtl/>
        </w:rPr>
        <w:t>קושית הרא"ש דאי אינו נשבע היסת כיון דטוענים שמא אמאי לא משביעין אותו מדין טענינן</w:t>
      </w:r>
      <w:bookmarkEnd w:id="14737"/>
      <w:bookmarkEnd w:id="14738"/>
    </w:p>
    <w:p w:rsidR="00F4065E" w:rsidRDefault="00F4065E" w:rsidP="007E4E81">
      <w:pPr>
        <w:pStyle w:val="a0"/>
        <w:rPr>
          <w:sz w:val="10"/>
          <w:szCs w:val="14"/>
          <w:rtl/>
        </w:rPr>
      </w:pPr>
      <w:bookmarkStart w:id="14739" w:name="_Ref63760579"/>
      <w:r>
        <w:rPr>
          <w:rFonts w:hint="cs"/>
          <w:rtl/>
        </w:rPr>
        <w:t xml:space="preserve">וכתב </w:t>
      </w:r>
      <w:r w:rsidRPr="00314C31">
        <w:rPr>
          <w:rStyle w:val="af9"/>
          <w:rFonts w:hint="cs"/>
          <w:rtl/>
        </w:rPr>
        <w:t>הרא"ש</w:t>
      </w:r>
      <w:r>
        <w:rPr>
          <w:rFonts w:hint="cs"/>
          <w:rtl/>
        </w:rPr>
        <w:t xml:space="preserve"> דלפי </w:t>
      </w:r>
      <w:r w:rsidRPr="00314C31">
        <w:rPr>
          <w:rStyle w:val="af9"/>
          <w:rFonts w:hint="cs"/>
          <w:rtl/>
        </w:rPr>
        <w:t>התי' הא' ברא"ש</w:t>
      </w:r>
      <w:r>
        <w:rPr>
          <w:rFonts w:hint="cs"/>
          <w:rtl/>
        </w:rPr>
        <w:t xml:space="preserve"> </w:t>
      </w:r>
      <w:r w:rsidRPr="001D13BB">
        <w:rPr>
          <w:rStyle w:val="af7"/>
          <w:rFonts w:eastAsia="Guttman Hodes" w:hint="cs"/>
          <w:rtl/>
        </w:rPr>
        <w:t xml:space="preserve">(עי' אות </w:t>
      </w:r>
      <w:r w:rsidRPr="001D13BB">
        <w:rPr>
          <w:rStyle w:val="af7"/>
          <w:rFonts w:eastAsia="Guttman Hodes"/>
          <w:rtl/>
        </w:rPr>
        <w:fldChar w:fldCharType="begin"/>
      </w:r>
      <w:r w:rsidRPr="001D13BB">
        <w:rPr>
          <w:rStyle w:val="af7"/>
          <w:rFonts w:eastAsia="Guttman Hodes"/>
          <w:rtl/>
        </w:rPr>
        <w:instrText xml:space="preserve"> </w:instrText>
      </w:r>
      <w:r w:rsidRPr="001D13BB">
        <w:rPr>
          <w:rStyle w:val="af7"/>
          <w:rFonts w:eastAsia="Guttman Hodes" w:hint="cs"/>
        </w:rPr>
        <w:instrText>REF</w:instrText>
      </w:r>
      <w:r w:rsidRPr="001D13BB">
        <w:rPr>
          <w:rStyle w:val="af7"/>
          <w:rFonts w:eastAsia="Guttman Hodes" w:hint="cs"/>
          <w:rtl/>
        </w:rPr>
        <w:instrText xml:space="preserve"> _</w:instrText>
      </w:r>
      <w:r w:rsidRPr="001D13BB">
        <w:rPr>
          <w:rStyle w:val="af7"/>
          <w:rFonts w:eastAsia="Guttman Hodes" w:hint="cs"/>
        </w:rPr>
        <w:instrText>Ref63617184 \r \h</w:instrText>
      </w:r>
      <w:r w:rsidRPr="001D13B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D13BB">
        <w:rPr>
          <w:rStyle w:val="af7"/>
          <w:rFonts w:eastAsia="Guttman Hodes"/>
          <w:rtl/>
        </w:rPr>
      </w:r>
      <w:r w:rsidRPr="001D13BB">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1D13BB">
        <w:rPr>
          <w:rStyle w:val="af7"/>
          <w:rFonts w:eastAsia="Guttman Hodes"/>
          <w:rtl/>
        </w:rPr>
        <w:fldChar w:fldCharType="end"/>
      </w:r>
      <w:r>
        <w:rPr>
          <w:rFonts w:hint="cs"/>
          <w:rtl/>
        </w:rPr>
        <w:t xml:space="preserve"> דבטענת שמא אין חיוב שבועה, קשה דהא טענינן ליתמי כל מה שהיה אביהם יכול לטעון</w:t>
      </w:r>
      <w:r>
        <w:rPr>
          <w:rStyle w:val="af1"/>
          <w:rtl/>
        </w:rPr>
        <w:footnoteReference w:id="106"/>
      </w:r>
      <w:r>
        <w:rPr>
          <w:rFonts w:hint="cs"/>
          <w:rtl/>
        </w:rPr>
        <w:t xml:space="preserve">, וא"כ משביעים אותו אף בטענת שמא, אבל לפי </w:t>
      </w:r>
      <w:r w:rsidRPr="00314C31">
        <w:rPr>
          <w:rStyle w:val="af9"/>
          <w:rFonts w:hint="cs"/>
          <w:rtl/>
        </w:rPr>
        <w:t>התי' הב' ברא"ש</w:t>
      </w:r>
      <w:r>
        <w:rPr>
          <w:rFonts w:hint="cs"/>
          <w:rtl/>
        </w:rPr>
        <w:t xml:space="preserve"> </w:t>
      </w:r>
      <w:r w:rsidRPr="001D13BB">
        <w:rPr>
          <w:rStyle w:val="af7"/>
          <w:rFonts w:eastAsia="Guttman Hodes" w:hint="cs"/>
          <w:rtl/>
        </w:rPr>
        <w:t xml:space="preserve">(עי' אות </w:t>
      </w:r>
      <w:r w:rsidRPr="001D13BB">
        <w:rPr>
          <w:rStyle w:val="af7"/>
          <w:rFonts w:eastAsia="Guttman Hodes"/>
          <w:rtl/>
        </w:rPr>
        <w:fldChar w:fldCharType="begin"/>
      </w:r>
      <w:r w:rsidRPr="001D13BB">
        <w:rPr>
          <w:rStyle w:val="af7"/>
          <w:rFonts w:eastAsia="Guttman Hodes"/>
          <w:rtl/>
        </w:rPr>
        <w:instrText xml:space="preserve"> </w:instrText>
      </w:r>
      <w:r w:rsidRPr="001D13BB">
        <w:rPr>
          <w:rStyle w:val="af7"/>
          <w:rFonts w:eastAsia="Guttman Hodes" w:hint="cs"/>
        </w:rPr>
        <w:instrText>REF</w:instrText>
      </w:r>
      <w:r w:rsidRPr="001D13BB">
        <w:rPr>
          <w:rStyle w:val="af7"/>
          <w:rFonts w:eastAsia="Guttman Hodes" w:hint="cs"/>
          <w:rtl/>
        </w:rPr>
        <w:instrText xml:space="preserve"> _</w:instrText>
      </w:r>
      <w:r w:rsidRPr="001D13BB">
        <w:rPr>
          <w:rStyle w:val="af7"/>
          <w:rFonts w:eastAsia="Guttman Hodes" w:hint="cs"/>
        </w:rPr>
        <w:instrText>Ref63617198 \r \h</w:instrText>
      </w:r>
      <w:r w:rsidRPr="001D13B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D13BB">
        <w:rPr>
          <w:rStyle w:val="af7"/>
          <w:rFonts w:eastAsia="Guttman Hodes"/>
          <w:rtl/>
        </w:rPr>
      </w:r>
      <w:r w:rsidRPr="001D13BB">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1D13BB">
        <w:rPr>
          <w:rStyle w:val="af7"/>
          <w:rFonts w:eastAsia="Guttman Hodes"/>
          <w:rtl/>
        </w:rPr>
        <w:fldChar w:fldCharType="end"/>
      </w:r>
      <w:r>
        <w:rPr>
          <w:rFonts w:hint="cs"/>
          <w:rtl/>
        </w:rPr>
        <w:t xml:space="preserve"> מבואר דבאמת הוא חייב להשבע.</w:t>
      </w:r>
    </w:p>
    <w:p w:rsidR="00F4065E" w:rsidRPr="00E64B95" w:rsidRDefault="00F4065E" w:rsidP="00F4065E">
      <w:pPr>
        <w:pStyle w:val="a3"/>
      </w:pPr>
      <w:bookmarkStart w:id="14740" w:name="_Toc64205687"/>
      <w:bookmarkStart w:id="14741" w:name="_Toc64209367"/>
      <w:r>
        <w:rPr>
          <w:rFonts w:hint="cs"/>
          <w:rtl/>
        </w:rPr>
        <w:t>דברי הרא"ש דמשמע מדברי רבא ב</w:t>
      </w:r>
      <w:r>
        <w:rPr>
          <w:rtl/>
        </w:rPr>
        <w:t>"</w:t>
      </w:r>
      <w:r>
        <w:rPr>
          <w:rFonts w:hint="cs"/>
          <w:rtl/>
        </w:rPr>
        <w:t>ש דאף אחר שאכל את הפירות יהיה נאמן רק במיגו</w:t>
      </w:r>
      <w:bookmarkEnd w:id="14740"/>
      <w:bookmarkEnd w:id="14741"/>
    </w:p>
    <w:p w:rsidR="00F4065E" w:rsidRPr="00F8292F" w:rsidRDefault="00F4065E" w:rsidP="007E4E81">
      <w:pPr>
        <w:pStyle w:val="a0"/>
        <w:rPr>
          <w:rStyle w:val="afb"/>
          <w:rtl/>
        </w:rPr>
      </w:pPr>
      <w:bookmarkStart w:id="14742" w:name="_Ref64190206"/>
      <w:r>
        <w:rPr>
          <w:rFonts w:hint="cs"/>
          <w:rtl/>
        </w:rPr>
        <w:t>והוסיף</w:t>
      </w:r>
      <w:r w:rsidRPr="00314C31">
        <w:rPr>
          <w:rStyle w:val="af9"/>
          <w:rFonts w:hint="cs"/>
          <w:rtl/>
        </w:rPr>
        <w:t xml:space="preserve"> הרא"ש</w:t>
      </w:r>
      <w:r>
        <w:rPr>
          <w:rFonts w:hint="cs"/>
          <w:rtl/>
        </w:rPr>
        <w:t xml:space="preserve"> דמהא דאמר רבא בר שרשום שיאכל את שיעור החוב ואח"כ יהיה נאמן במיגו, </w:t>
      </w:r>
      <w:r w:rsidRPr="001E0E92">
        <w:rPr>
          <w:rFonts w:hint="cs"/>
          <w:rtl/>
        </w:rPr>
        <w:t xml:space="preserve">משמע דאף לפי </w:t>
      </w:r>
      <w:r w:rsidRPr="001E0E92">
        <w:rPr>
          <w:rStyle w:val="af9"/>
          <w:rFonts w:hint="cs"/>
          <w:rtl/>
        </w:rPr>
        <w:t>התי' הא' ברא"ש</w:t>
      </w:r>
      <w:r w:rsidRPr="001E0E92">
        <w:rPr>
          <w:rFonts w:hint="cs"/>
          <w:rtl/>
        </w:rPr>
        <w:t xml:space="preserve"> </w:t>
      </w:r>
      <w:r w:rsidRPr="001E0E92">
        <w:rPr>
          <w:rStyle w:val="af7"/>
          <w:rFonts w:eastAsia="Guttman Hodes" w:hint="cs"/>
          <w:rtl/>
        </w:rPr>
        <w:t xml:space="preserve">(עי' אות </w:t>
      </w:r>
      <w:r w:rsidRPr="001E0E92">
        <w:rPr>
          <w:rStyle w:val="af7"/>
          <w:rFonts w:eastAsia="Guttman Hodes"/>
          <w:rtl/>
        </w:rPr>
        <w:fldChar w:fldCharType="begin"/>
      </w:r>
      <w:r w:rsidRPr="001E0E92">
        <w:rPr>
          <w:rStyle w:val="af7"/>
          <w:rFonts w:eastAsia="Guttman Hodes"/>
          <w:rtl/>
        </w:rPr>
        <w:instrText xml:space="preserve"> </w:instrText>
      </w:r>
      <w:r w:rsidRPr="001E0E92">
        <w:rPr>
          <w:rStyle w:val="af7"/>
          <w:rFonts w:eastAsia="Guttman Hodes" w:hint="cs"/>
        </w:rPr>
        <w:instrText>REF</w:instrText>
      </w:r>
      <w:r w:rsidRPr="001E0E92">
        <w:rPr>
          <w:rStyle w:val="af7"/>
          <w:rFonts w:eastAsia="Guttman Hodes" w:hint="cs"/>
          <w:rtl/>
        </w:rPr>
        <w:instrText xml:space="preserve"> _</w:instrText>
      </w:r>
      <w:r w:rsidRPr="001E0E92">
        <w:rPr>
          <w:rStyle w:val="af7"/>
          <w:rFonts w:eastAsia="Guttman Hodes" w:hint="cs"/>
        </w:rPr>
        <w:instrText>Ref63617184 \r \h</w:instrText>
      </w:r>
      <w:r w:rsidRPr="001E0E92">
        <w:rPr>
          <w:rStyle w:val="af7"/>
          <w:rFonts w:eastAsia="Guttman Hodes"/>
          <w:rtl/>
        </w:rPr>
        <w:instrText xml:space="preserve">  \* </w:instrText>
      </w:r>
      <w:r w:rsidRPr="001E0E92">
        <w:rPr>
          <w:rStyle w:val="af7"/>
          <w:rFonts w:eastAsia="Guttman Hodes"/>
        </w:rPr>
        <w:instrText>MERGEFORMAT</w:instrText>
      </w:r>
      <w:r w:rsidRPr="001E0E92">
        <w:rPr>
          <w:rStyle w:val="af7"/>
          <w:rFonts w:eastAsia="Guttman Hodes"/>
          <w:rtl/>
        </w:rPr>
        <w:instrText xml:space="preserve"> </w:instrText>
      </w:r>
      <w:r w:rsidRPr="001E0E92">
        <w:rPr>
          <w:rStyle w:val="af7"/>
          <w:rFonts w:eastAsia="Guttman Hodes"/>
          <w:rtl/>
        </w:rPr>
      </w:r>
      <w:r w:rsidRPr="001E0E92">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1E0E92">
        <w:rPr>
          <w:rStyle w:val="af7"/>
          <w:rFonts w:eastAsia="Guttman Hodes"/>
          <w:rtl/>
        </w:rPr>
        <w:fldChar w:fldCharType="end"/>
      </w:r>
      <w:r w:rsidRPr="001E0E92">
        <w:rPr>
          <w:rFonts w:hint="cs"/>
          <w:rtl/>
        </w:rPr>
        <w:t xml:space="preserve"> גם לאחר שכבר אכל את הפירות הוא נאמן רק במיגו, אבל בלא מיגו היה </w:t>
      </w:r>
      <w:r w:rsidRPr="00F8292F">
        <w:rPr>
          <w:rFonts w:hint="cs"/>
          <w:rtl/>
        </w:rPr>
        <w:t xml:space="preserve">צריך להשבע אף שיש לו שטר, וכ"כ </w:t>
      </w:r>
      <w:r w:rsidRPr="00F8292F">
        <w:rPr>
          <w:rStyle w:val="af9"/>
          <w:rFonts w:hint="cs"/>
          <w:rtl/>
        </w:rPr>
        <w:t>רבינו יונה</w:t>
      </w:r>
      <w:r w:rsidRPr="00F8292F">
        <w:rPr>
          <w:rFonts w:hint="cs"/>
          <w:rtl/>
        </w:rPr>
        <w:t xml:space="preserve"> </w:t>
      </w:r>
      <w:r w:rsidRPr="00F8292F">
        <w:rPr>
          <w:rStyle w:val="af7"/>
          <w:rFonts w:eastAsia="Guttman Hodes" w:hint="cs"/>
          <w:rtl/>
        </w:rPr>
        <w:t xml:space="preserve">(עי' אות </w:t>
      </w:r>
      <w:r w:rsidRPr="00F8292F">
        <w:rPr>
          <w:rStyle w:val="af7"/>
          <w:rFonts w:eastAsia="Guttman Hodes"/>
          <w:rtl/>
        </w:rPr>
        <w:fldChar w:fldCharType="begin"/>
      </w:r>
      <w:r w:rsidRPr="00F8292F">
        <w:rPr>
          <w:rStyle w:val="af7"/>
          <w:rFonts w:eastAsia="Guttman Hodes"/>
          <w:rtl/>
        </w:rPr>
        <w:instrText xml:space="preserve"> </w:instrText>
      </w:r>
      <w:r w:rsidRPr="00F8292F">
        <w:rPr>
          <w:rStyle w:val="af7"/>
          <w:rFonts w:eastAsia="Guttman Hodes" w:hint="cs"/>
        </w:rPr>
        <w:instrText>REF</w:instrText>
      </w:r>
      <w:r w:rsidRPr="00F8292F">
        <w:rPr>
          <w:rStyle w:val="af7"/>
          <w:rFonts w:eastAsia="Guttman Hodes" w:hint="cs"/>
          <w:rtl/>
        </w:rPr>
        <w:instrText xml:space="preserve"> _</w:instrText>
      </w:r>
      <w:r w:rsidRPr="00F8292F">
        <w:rPr>
          <w:rStyle w:val="af7"/>
          <w:rFonts w:eastAsia="Guttman Hodes" w:hint="cs"/>
        </w:rPr>
        <w:instrText>Ref63617434 \r \h</w:instrText>
      </w:r>
      <w:r w:rsidRPr="00F8292F">
        <w:rPr>
          <w:rStyle w:val="af7"/>
          <w:rFonts w:eastAsia="Guttman Hodes"/>
          <w:rtl/>
        </w:rPr>
        <w:instrText xml:space="preserve">  \* </w:instrText>
      </w:r>
      <w:r w:rsidRPr="00F8292F">
        <w:rPr>
          <w:rStyle w:val="af7"/>
          <w:rFonts w:eastAsia="Guttman Hodes"/>
        </w:rPr>
        <w:instrText>MERGEFORMAT</w:instrText>
      </w:r>
      <w:r w:rsidRPr="00F8292F">
        <w:rPr>
          <w:rStyle w:val="af7"/>
          <w:rFonts w:eastAsia="Guttman Hodes"/>
          <w:rtl/>
        </w:rPr>
        <w:instrText xml:space="preserve"> </w:instrText>
      </w:r>
      <w:r w:rsidRPr="00F8292F">
        <w:rPr>
          <w:rStyle w:val="af7"/>
          <w:rFonts w:eastAsia="Guttman Hodes"/>
          <w:rtl/>
        </w:rPr>
      </w:r>
      <w:r w:rsidRPr="00F8292F">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F8292F">
        <w:rPr>
          <w:rStyle w:val="af7"/>
          <w:rFonts w:eastAsia="Guttman Hodes"/>
          <w:rtl/>
        </w:rPr>
        <w:fldChar w:fldCharType="end"/>
      </w:r>
      <w:r w:rsidRPr="00F8292F">
        <w:rPr>
          <w:rFonts w:hint="cs"/>
          <w:rtl/>
        </w:rPr>
        <w:t xml:space="preserve">. </w:t>
      </w:r>
      <w:r w:rsidRPr="00F8292F">
        <w:rPr>
          <w:rStyle w:val="afb"/>
          <w:rFonts w:hint="cs"/>
          <w:rtl/>
        </w:rPr>
        <w:t xml:space="preserve">[עי' </w:t>
      </w:r>
      <w:r w:rsidRPr="00F8292F">
        <w:rPr>
          <w:rStyle w:val="affa"/>
          <w:rFonts w:hint="cs"/>
          <w:rtl/>
        </w:rPr>
        <w:t>ברשב"א</w:t>
      </w:r>
      <w:r w:rsidRPr="00F8292F">
        <w:rPr>
          <w:rStyle w:val="afb"/>
          <w:rFonts w:hint="cs"/>
          <w:rtl/>
        </w:rPr>
        <w:t xml:space="preserve"> </w:t>
      </w:r>
      <w:r w:rsidRPr="00F8292F">
        <w:rPr>
          <w:rStyle w:val="aff6"/>
          <w:rFonts w:hint="cs"/>
          <w:rtl/>
        </w:rPr>
        <w:t xml:space="preserve">(עי' אות </w:t>
      </w:r>
      <w:r w:rsidRPr="00F8292F">
        <w:rPr>
          <w:rStyle w:val="aff6"/>
          <w:rtl/>
        </w:rPr>
        <w:fldChar w:fldCharType="begin"/>
      </w:r>
      <w:r w:rsidRPr="00F8292F">
        <w:rPr>
          <w:rStyle w:val="aff6"/>
          <w:rtl/>
        </w:rPr>
        <w:instrText xml:space="preserve"> </w:instrText>
      </w:r>
      <w:r w:rsidRPr="00F8292F">
        <w:rPr>
          <w:rStyle w:val="aff6"/>
          <w:rFonts w:hint="cs"/>
        </w:rPr>
        <w:instrText>REF</w:instrText>
      </w:r>
      <w:r w:rsidRPr="00F8292F">
        <w:rPr>
          <w:rStyle w:val="aff6"/>
          <w:rFonts w:hint="cs"/>
          <w:rtl/>
        </w:rPr>
        <w:instrText xml:space="preserve"> _</w:instrText>
      </w:r>
      <w:r w:rsidRPr="00F8292F">
        <w:rPr>
          <w:rStyle w:val="aff6"/>
          <w:rFonts w:hint="cs"/>
        </w:rPr>
        <w:instrText>Ref63617209 \r \h</w:instrText>
      </w:r>
      <w:r w:rsidRPr="00F8292F">
        <w:rPr>
          <w:rStyle w:val="aff6"/>
          <w:rtl/>
        </w:rPr>
        <w:instrText xml:space="preserve">  \* </w:instrText>
      </w:r>
      <w:r w:rsidRPr="00F8292F">
        <w:rPr>
          <w:rStyle w:val="aff6"/>
        </w:rPr>
        <w:instrText>MERGEFORMAT</w:instrText>
      </w:r>
      <w:r w:rsidRPr="00F8292F">
        <w:rPr>
          <w:rStyle w:val="aff6"/>
          <w:rtl/>
        </w:rPr>
        <w:instrText xml:space="preserve"> </w:instrText>
      </w:r>
      <w:r w:rsidRPr="00F8292F">
        <w:rPr>
          <w:rStyle w:val="aff6"/>
          <w:rtl/>
        </w:rPr>
      </w:r>
      <w:r w:rsidRPr="00F8292F">
        <w:rPr>
          <w:rStyle w:val="aff6"/>
          <w:rtl/>
        </w:rPr>
        <w:fldChar w:fldCharType="separate"/>
      </w:r>
      <w:r w:rsidR="00265073">
        <w:rPr>
          <w:rStyle w:val="aff6"/>
          <w:cs/>
        </w:rPr>
        <w:t>‎</w:t>
      </w:r>
      <w:r w:rsidR="00265073">
        <w:rPr>
          <w:rStyle w:val="aff6"/>
          <w:rtl/>
        </w:rPr>
        <w:t>קח)</w:t>
      </w:r>
      <w:r w:rsidRPr="00F8292F">
        <w:rPr>
          <w:rStyle w:val="aff6"/>
          <w:rtl/>
        </w:rPr>
        <w:fldChar w:fldCharType="end"/>
      </w:r>
      <w:r w:rsidRPr="00F8292F">
        <w:rPr>
          <w:rStyle w:val="afb"/>
          <w:rFonts w:hint="cs"/>
          <w:rtl/>
        </w:rPr>
        <w:t>].</w:t>
      </w:r>
      <w:bookmarkEnd w:id="14739"/>
      <w:bookmarkEnd w:id="14742"/>
    </w:p>
    <w:p w:rsidR="00F4065E" w:rsidRPr="00326B60" w:rsidRDefault="00F4065E" w:rsidP="00F4065E">
      <w:pPr>
        <w:pStyle w:val="a3"/>
        <w:rPr>
          <w:rtl/>
        </w:rPr>
      </w:pPr>
      <w:bookmarkStart w:id="14743" w:name="_Toc64036053"/>
      <w:bookmarkStart w:id="14744" w:name="_Toc64148087"/>
      <w:bookmarkStart w:id="14745" w:name="_Toc64205688"/>
      <w:bookmarkStart w:id="14746" w:name="_Toc64209368"/>
      <w:r w:rsidRPr="00F8292F">
        <w:rPr>
          <w:rFonts w:hint="cs"/>
          <w:rtl/>
        </w:rPr>
        <w:t>דברי סה"ת דע"י הקול טענת היתומים חשיבא כברי ולא רצה רבא ב</w:t>
      </w:r>
      <w:r w:rsidRPr="00F8292F">
        <w:rPr>
          <w:rtl/>
        </w:rPr>
        <w:t>"</w:t>
      </w:r>
      <w:r w:rsidRPr="00F8292F">
        <w:rPr>
          <w:rFonts w:hint="cs"/>
          <w:rtl/>
        </w:rPr>
        <w:t>ש לישבע שבועת</w:t>
      </w:r>
      <w:r>
        <w:rPr>
          <w:rFonts w:hint="cs"/>
          <w:rtl/>
        </w:rPr>
        <w:t xml:space="preserve"> המשנה</w:t>
      </w:r>
      <w:bookmarkEnd w:id="14743"/>
      <w:bookmarkEnd w:id="14744"/>
      <w:bookmarkEnd w:id="14745"/>
      <w:bookmarkEnd w:id="14746"/>
    </w:p>
    <w:p w:rsidR="00F4065E" w:rsidRDefault="00F4065E" w:rsidP="007E4E81">
      <w:pPr>
        <w:pStyle w:val="a0"/>
        <w:rPr>
          <w:rtl/>
        </w:rPr>
      </w:pPr>
      <w:bookmarkStart w:id="14747" w:name="_Toc63703849"/>
      <w:bookmarkStart w:id="14748" w:name="_Toc63714149"/>
      <w:bookmarkStart w:id="14749" w:name="_Toc63675686"/>
      <w:r w:rsidRPr="00326B60">
        <w:rPr>
          <w:rStyle w:val="af9"/>
          <w:rFonts w:hint="cs"/>
          <w:rtl/>
        </w:rPr>
        <w:t>ובספר התרומות</w:t>
      </w:r>
      <w:r>
        <w:rPr>
          <w:rFonts w:hint="cs"/>
          <w:rtl/>
        </w:rPr>
        <w:t xml:space="preserve"> </w:t>
      </w:r>
      <w:r w:rsidRPr="00326B60">
        <w:rPr>
          <w:rStyle w:val="af7"/>
          <w:rFonts w:eastAsia="Guttman Hodes" w:hint="cs"/>
          <w:rtl/>
        </w:rPr>
        <w:t>(</w:t>
      </w:r>
      <w:r w:rsidRPr="00326B60">
        <w:rPr>
          <w:rStyle w:val="af7"/>
          <w:rFonts w:eastAsia="Guttman Hodes"/>
          <w:rtl/>
        </w:rPr>
        <w:t>שער י</w:t>
      </w:r>
      <w:r w:rsidRPr="00326B60">
        <w:rPr>
          <w:rStyle w:val="af7"/>
          <w:rFonts w:eastAsia="Guttman Hodes" w:hint="cs"/>
          <w:rtl/>
        </w:rPr>
        <w:t>"</w:t>
      </w:r>
      <w:r w:rsidRPr="00326B60">
        <w:rPr>
          <w:rStyle w:val="af7"/>
          <w:rFonts w:eastAsia="Guttman Hodes"/>
          <w:rtl/>
        </w:rPr>
        <w:t>ד ח</w:t>
      </w:r>
      <w:r w:rsidRPr="00326B60">
        <w:rPr>
          <w:rStyle w:val="af7"/>
          <w:rFonts w:eastAsia="Guttman Hodes" w:hint="cs"/>
          <w:rtl/>
        </w:rPr>
        <w:t>"</w:t>
      </w:r>
      <w:r w:rsidRPr="00326B60">
        <w:rPr>
          <w:rStyle w:val="af7"/>
          <w:rFonts w:eastAsia="Guttman Hodes"/>
          <w:rtl/>
        </w:rPr>
        <w:t>א או</w:t>
      </w:r>
      <w:r w:rsidRPr="00326B60">
        <w:rPr>
          <w:rStyle w:val="af7"/>
          <w:rFonts w:eastAsia="Guttman Hodes" w:hint="cs"/>
          <w:rtl/>
        </w:rPr>
        <w:t>'</w:t>
      </w:r>
      <w:r w:rsidRPr="00326B60">
        <w:rPr>
          <w:rStyle w:val="af7"/>
          <w:rFonts w:eastAsia="Guttman Hodes"/>
          <w:rtl/>
        </w:rPr>
        <w:t xml:space="preserve"> ו</w:t>
      </w:r>
      <w:r w:rsidRPr="00326B60">
        <w:rPr>
          <w:rStyle w:val="af7"/>
          <w:rFonts w:eastAsia="Guttman Hodes" w:hint="cs"/>
          <w:rtl/>
        </w:rPr>
        <w:t xml:space="preserve">' ד"ה ואיכא) </w:t>
      </w:r>
      <w:r>
        <w:rPr>
          <w:rFonts w:hint="cs"/>
          <w:rtl/>
        </w:rPr>
        <w:t xml:space="preserve">הביא בשם </w:t>
      </w:r>
      <w:r w:rsidRPr="00326B60">
        <w:rPr>
          <w:rStyle w:val="af9"/>
          <w:rFonts w:hint="cs"/>
          <w:rtl/>
        </w:rPr>
        <w:t>י"א</w:t>
      </w:r>
      <w:r>
        <w:rPr>
          <w:rFonts w:hint="cs"/>
          <w:rtl/>
        </w:rPr>
        <w:t xml:space="preserve"> דכל שיצא קול שהקרקע של היתומים, חשיבא טענתם כטענת ברי, וכיון שאם היה טוען לקוחה היא בידי היה חייב שבועת היסת, מחמת הקול, ה"ה כשטוען שיש לו חוב עליהם, ורוצה לגבות אותו מהפירות, דחייב שבועת היסת, </w:t>
      </w:r>
      <w:r w:rsidRPr="00326B60">
        <w:rPr>
          <w:rStyle w:val="afb"/>
          <w:rFonts w:hint="cs"/>
          <w:rtl/>
        </w:rPr>
        <w:t>[דהא כל הנאמנות שלו שיש לו חוב עליהם, היא מכח המיגו, דהיה יכול לטעון לקוחה],</w:t>
      </w:r>
      <w:r>
        <w:rPr>
          <w:rFonts w:hint="cs"/>
          <w:rtl/>
        </w:rPr>
        <w:t xml:space="preserve"> וכתב </w:t>
      </w:r>
      <w:r w:rsidRPr="00326B60">
        <w:rPr>
          <w:rStyle w:val="af9"/>
          <w:rFonts w:hint="cs"/>
          <w:rtl/>
        </w:rPr>
        <w:t>בספר התרומות</w:t>
      </w:r>
      <w:r>
        <w:rPr>
          <w:rFonts w:hint="cs"/>
          <w:rtl/>
        </w:rPr>
        <w:t xml:space="preserve"> דהא דאמר רבא בר שרשום שיהיה נאמן היינו בשבועת היסת, שהיא תקנת רב נחמן, ולא יצטרך להשבע את שבועת המשנה דהבא ליפרע מנכסי יתומים, ועוד כתב </w:t>
      </w:r>
      <w:r w:rsidRPr="00326B60">
        <w:rPr>
          <w:rStyle w:val="af9"/>
          <w:rFonts w:hint="cs"/>
          <w:rtl/>
        </w:rPr>
        <w:t>בספר התרומות</w:t>
      </w:r>
      <w:r>
        <w:rPr>
          <w:rFonts w:hint="cs"/>
          <w:rtl/>
        </w:rPr>
        <w:t xml:space="preserve"> דשמא בימי רבא בר שרשום עדיין לא נתקנה שבועת היסת.</w:t>
      </w:r>
    </w:p>
    <w:p w:rsidR="00F4065E" w:rsidRDefault="00F4065E" w:rsidP="00F4065E">
      <w:pPr>
        <w:pStyle w:val="1"/>
        <w:rPr>
          <w:rtl/>
        </w:rPr>
      </w:pPr>
      <w:bookmarkStart w:id="14750" w:name="_Toc63975480"/>
      <w:bookmarkStart w:id="14751" w:name="_Toc63986520"/>
      <w:bookmarkStart w:id="14752" w:name="_Toc64024648"/>
      <w:bookmarkStart w:id="14753" w:name="_Toc64036054"/>
      <w:bookmarkStart w:id="14754" w:name="_Toc64148088"/>
      <w:bookmarkStart w:id="14755" w:name="_Toc64205689"/>
      <w:bookmarkStart w:id="14756" w:name="_Toc64209369"/>
      <w:bookmarkEnd w:id="14747"/>
      <w:bookmarkEnd w:id="14748"/>
      <w:r>
        <w:rPr>
          <w:rFonts w:hint="cs"/>
          <w:rtl/>
        </w:rPr>
        <w:t>קושית התומים האיך מהני המיגו לפוטרו משבועת היסת</w:t>
      </w:r>
      <w:bookmarkEnd w:id="14750"/>
      <w:bookmarkEnd w:id="14751"/>
      <w:bookmarkEnd w:id="14752"/>
      <w:bookmarkEnd w:id="14753"/>
      <w:bookmarkEnd w:id="14754"/>
      <w:bookmarkEnd w:id="14755"/>
      <w:bookmarkEnd w:id="14756"/>
    </w:p>
    <w:p w:rsidR="00F4065E" w:rsidRPr="00CE7652" w:rsidRDefault="00F4065E" w:rsidP="00F4065E">
      <w:pPr>
        <w:pStyle w:val="a3"/>
        <w:rPr>
          <w:rtl/>
        </w:rPr>
      </w:pPr>
      <w:bookmarkStart w:id="14757" w:name="_Toc64036055"/>
      <w:bookmarkStart w:id="14758" w:name="_Toc64148089"/>
      <w:bookmarkStart w:id="14759" w:name="_Toc64205690"/>
      <w:bookmarkStart w:id="14760" w:name="_Toc64209370"/>
      <w:r>
        <w:rPr>
          <w:rFonts w:hint="cs"/>
          <w:rtl/>
        </w:rPr>
        <w:t>קושית התומים דאף דבשמא אין חיוב היסת מ"מ קיי"ל דמיגו ל"מ לאפטורי משבועה</w:t>
      </w:r>
      <w:bookmarkEnd w:id="14757"/>
      <w:bookmarkEnd w:id="14758"/>
      <w:bookmarkEnd w:id="14759"/>
      <w:bookmarkEnd w:id="14760"/>
    </w:p>
    <w:bookmarkEnd w:id="14749"/>
    <w:p w:rsidR="00F4065E" w:rsidRDefault="00F4065E" w:rsidP="007E4E81">
      <w:pPr>
        <w:pStyle w:val="a0"/>
        <w:rPr>
          <w:rtl/>
        </w:rPr>
      </w:pPr>
      <w:r>
        <w:rPr>
          <w:rFonts w:hint="cs"/>
          <w:rtl/>
        </w:rPr>
        <w:t xml:space="preserve">הביא </w:t>
      </w:r>
      <w:r w:rsidRPr="00CE7652">
        <w:rPr>
          <w:rStyle w:val="af9"/>
          <w:rFonts w:hint="cs"/>
          <w:rtl/>
        </w:rPr>
        <w:t xml:space="preserve">השו"ע </w:t>
      </w:r>
      <w:r w:rsidRPr="00CE7652">
        <w:rPr>
          <w:rStyle w:val="af7"/>
          <w:rFonts w:eastAsia="Guttman Hodes" w:hint="cs"/>
          <w:rtl/>
        </w:rPr>
        <w:t>(סי' ק"נ ו')</w:t>
      </w:r>
      <w:r>
        <w:rPr>
          <w:rFonts w:hint="cs"/>
          <w:rtl/>
        </w:rPr>
        <w:t xml:space="preserve"> את דעת </w:t>
      </w:r>
      <w:r w:rsidRPr="00CE7652">
        <w:rPr>
          <w:rStyle w:val="af9"/>
          <w:rFonts w:hint="cs"/>
          <w:rtl/>
        </w:rPr>
        <w:t xml:space="preserve">התוס' והראשונים </w:t>
      </w:r>
      <w:r w:rsidRPr="001D13BB">
        <w:rPr>
          <w:rStyle w:val="af7"/>
          <w:rFonts w:eastAsia="Guttman Hodes" w:hint="cs"/>
          <w:rtl/>
        </w:rPr>
        <w:t xml:space="preserve">(עי' אות </w:t>
      </w:r>
      <w:r w:rsidRPr="001D13BB">
        <w:rPr>
          <w:rStyle w:val="af7"/>
          <w:rFonts w:eastAsia="Guttman Hodes"/>
          <w:rtl/>
        </w:rPr>
        <w:fldChar w:fldCharType="begin"/>
      </w:r>
      <w:r w:rsidRPr="001D13BB">
        <w:rPr>
          <w:rStyle w:val="af7"/>
          <w:rFonts w:eastAsia="Guttman Hodes"/>
          <w:rtl/>
        </w:rPr>
        <w:instrText xml:space="preserve"> </w:instrText>
      </w:r>
      <w:r w:rsidRPr="001D13BB">
        <w:rPr>
          <w:rStyle w:val="af7"/>
          <w:rFonts w:eastAsia="Guttman Hodes" w:hint="cs"/>
        </w:rPr>
        <w:instrText>REF</w:instrText>
      </w:r>
      <w:r w:rsidRPr="001D13BB">
        <w:rPr>
          <w:rStyle w:val="af7"/>
          <w:rFonts w:eastAsia="Guttman Hodes" w:hint="cs"/>
          <w:rtl/>
        </w:rPr>
        <w:instrText xml:space="preserve"> _</w:instrText>
      </w:r>
      <w:r w:rsidRPr="001D13BB">
        <w:rPr>
          <w:rStyle w:val="af7"/>
          <w:rFonts w:eastAsia="Guttman Hodes" w:hint="cs"/>
        </w:rPr>
        <w:instrText>Ref63617184 \r \h</w:instrText>
      </w:r>
      <w:r w:rsidRPr="001D13B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D13BB">
        <w:rPr>
          <w:rStyle w:val="af7"/>
          <w:rFonts w:eastAsia="Guttman Hodes"/>
          <w:rtl/>
        </w:rPr>
      </w:r>
      <w:r w:rsidRPr="001D13BB">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1D13BB">
        <w:rPr>
          <w:rStyle w:val="af7"/>
          <w:rFonts w:eastAsia="Guttman Hodes"/>
          <w:rtl/>
        </w:rPr>
        <w:fldChar w:fldCharType="end"/>
      </w:r>
      <w:r>
        <w:rPr>
          <w:rFonts w:hint="cs"/>
          <w:rtl/>
        </w:rPr>
        <w:t xml:space="preserve"> דבטענת שמא אינו חייב להשבע כשיש לו מיגו, והקשה </w:t>
      </w:r>
      <w:r w:rsidRPr="00CE7652">
        <w:rPr>
          <w:rStyle w:val="af9"/>
          <w:rFonts w:hint="cs"/>
          <w:rtl/>
        </w:rPr>
        <w:t>התומים</w:t>
      </w:r>
      <w:r>
        <w:rPr>
          <w:rFonts w:hint="cs"/>
          <w:rtl/>
        </w:rPr>
        <w:t xml:space="preserve"> </w:t>
      </w:r>
      <w:r w:rsidRPr="00CE7652">
        <w:rPr>
          <w:rStyle w:val="af7"/>
          <w:rFonts w:eastAsia="Guttman Hodes" w:hint="cs"/>
          <w:rtl/>
        </w:rPr>
        <w:t>(סי'</w:t>
      </w:r>
      <w:r>
        <w:rPr>
          <w:rFonts w:hint="cs"/>
          <w:rtl/>
        </w:rPr>
        <w:t xml:space="preserve"> </w:t>
      </w:r>
      <w:r w:rsidRPr="00CE7652">
        <w:rPr>
          <w:rStyle w:val="af7"/>
          <w:rFonts w:eastAsia="Guttman Hodes" w:hint="cs"/>
          <w:rtl/>
        </w:rPr>
        <w:t>ק"נ סק"ו)</w:t>
      </w:r>
      <w:r>
        <w:rPr>
          <w:rFonts w:hint="cs"/>
          <w:rtl/>
        </w:rPr>
        <w:t xml:space="preserve"> דהרי קיי"ל דלא מהני מיגו לאפטורי משבועה, וא"כ היאך היה נאמן רבא בר שרשום להפטר מהשבועה במיגו, וכתב </w:t>
      </w:r>
      <w:r w:rsidRPr="00CE7652">
        <w:rPr>
          <w:rStyle w:val="af9"/>
          <w:rFonts w:hint="cs"/>
          <w:rtl/>
        </w:rPr>
        <w:t>התומים</w:t>
      </w:r>
      <w:r>
        <w:rPr>
          <w:rFonts w:hint="cs"/>
          <w:rtl/>
        </w:rPr>
        <w:t xml:space="preserve"> דמוכח כדעת </w:t>
      </w:r>
      <w:r w:rsidRPr="00314C31">
        <w:rPr>
          <w:rStyle w:val="af9"/>
          <w:rFonts w:hint="cs"/>
          <w:rtl/>
        </w:rPr>
        <w:t>הרא"ש</w:t>
      </w:r>
      <w:r>
        <w:rPr>
          <w:rStyle w:val="af9"/>
          <w:rFonts w:hint="cs"/>
          <w:rtl/>
        </w:rPr>
        <w:t xml:space="preserve"> בתי' הב'</w:t>
      </w:r>
      <w:r>
        <w:rPr>
          <w:rFonts w:hint="cs"/>
          <w:rtl/>
        </w:rPr>
        <w:t xml:space="preserve"> </w:t>
      </w:r>
      <w:r w:rsidRPr="001D13BB">
        <w:rPr>
          <w:rStyle w:val="af7"/>
          <w:rFonts w:eastAsia="Guttman Hodes" w:hint="cs"/>
          <w:rtl/>
        </w:rPr>
        <w:t xml:space="preserve">(עי' אות </w:t>
      </w:r>
      <w:r w:rsidRPr="001D13BB">
        <w:rPr>
          <w:rStyle w:val="af7"/>
          <w:rFonts w:eastAsia="Guttman Hodes"/>
          <w:rtl/>
        </w:rPr>
        <w:fldChar w:fldCharType="begin"/>
      </w:r>
      <w:r w:rsidRPr="001D13BB">
        <w:rPr>
          <w:rStyle w:val="af7"/>
          <w:rFonts w:eastAsia="Guttman Hodes"/>
          <w:rtl/>
        </w:rPr>
        <w:instrText xml:space="preserve"> </w:instrText>
      </w:r>
      <w:r w:rsidRPr="001D13BB">
        <w:rPr>
          <w:rStyle w:val="af7"/>
          <w:rFonts w:eastAsia="Guttman Hodes" w:hint="cs"/>
        </w:rPr>
        <w:instrText>REF</w:instrText>
      </w:r>
      <w:r w:rsidRPr="001D13BB">
        <w:rPr>
          <w:rStyle w:val="af7"/>
          <w:rFonts w:eastAsia="Guttman Hodes" w:hint="cs"/>
          <w:rtl/>
        </w:rPr>
        <w:instrText xml:space="preserve"> _</w:instrText>
      </w:r>
      <w:r w:rsidRPr="001D13BB">
        <w:rPr>
          <w:rStyle w:val="af7"/>
          <w:rFonts w:eastAsia="Guttman Hodes" w:hint="cs"/>
        </w:rPr>
        <w:instrText>Ref63617198 \r \h</w:instrText>
      </w:r>
      <w:r w:rsidRPr="001D13BB">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D13BB">
        <w:rPr>
          <w:rStyle w:val="af7"/>
          <w:rFonts w:eastAsia="Guttman Hodes"/>
          <w:rtl/>
        </w:rPr>
      </w:r>
      <w:r w:rsidRPr="001D13BB">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1D13BB">
        <w:rPr>
          <w:rStyle w:val="af7"/>
          <w:rFonts w:eastAsia="Guttman Hodes"/>
          <w:rtl/>
        </w:rPr>
        <w:fldChar w:fldCharType="end"/>
      </w:r>
      <w:r>
        <w:rPr>
          <w:rFonts w:hint="cs"/>
          <w:rtl/>
        </w:rPr>
        <w:t xml:space="preserve"> דרבא בר שרשום הסכים </w:t>
      </w:r>
      <w:r>
        <w:rPr>
          <w:rFonts w:hint="cs"/>
          <w:rtl/>
        </w:rPr>
        <w:t>להשבע שבועת היסת, אלא דלא רצה להמתין לכשיגדלו, כיון דגם אם ימתין יצטרך להשבע, מדין הבא ליפרע מיתומים.</w:t>
      </w:r>
    </w:p>
    <w:p w:rsidR="00F4065E" w:rsidRDefault="00F4065E" w:rsidP="00F4065E">
      <w:pPr>
        <w:pStyle w:val="a3"/>
        <w:rPr>
          <w:rtl/>
        </w:rPr>
      </w:pPr>
      <w:bookmarkStart w:id="14761" w:name="_Toc64036056"/>
      <w:bookmarkStart w:id="14762" w:name="_Toc64148090"/>
      <w:bookmarkStart w:id="14763" w:name="_Toc64205691"/>
      <w:bookmarkStart w:id="14764" w:name="_Toc64209371"/>
      <w:r>
        <w:rPr>
          <w:rFonts w:hint="cs"/>
          <w:rtl/>
        </w:rPr>
        <w:t>תירוץ השער משפט דבתובע בשטר נשבע דחיישינן לפרעון אבל בנאמן במיגו אין חיוב שבועה</w:t>
      </w:r>
      <w:bookmarkEnd w:id="14761"/>
      <w:bookmarkEnd w:id="14762"/>
      <w:bookmarkEnd w:id="14763"/>
      <w:bookmarkEnd w:id="14764"/>
    </w:p>
    <w:p w:rsidR="00F4065E" w:rsidRDefault="00F4065E" w:rsidP="007E4E81">
      <w:pPr>
        <w:pStyle w:val="a0"/>
        <w:rPr>
          <w:rtl/>
        </w:rPr>
      </w:pPr>
      <w:bookmarkStart w:id="14765" w:name="_Ref63959126"/>
      <w:r>
        <w:rPr>
          <w:rFonts w:hint="cs"/>
          <w:rtl/>
        </w:rPr>
        <w:t xml:space="preserve">ותירץ </w:t>
      </w:r>
      <w:r w:rsidRPr="00CE7652">
        <w:rPr>
          <w:rStyle w:val="af9"/>
          <w:rFonts w:hint="cs"/>
          <w:rtl/>
        </w:rPr>
        <w:t xml:space="preserve">השער משפט </w:t>
      </w:r>
      <w:r w:rsidRPr="00CE7652">
        <w:rPr>
          <w:rStyle w:val="af7"/>
          <w:rFonts w:eastAsia="Guttman Hodes" w:hint="cs"/>
          <w:rtl/>
        </w:rPr>
        <w:t>(סי' ק"נ סק"א)</w:t>
      </w:r>
      <w:r>
        <w:rPr>
          <w:rFonts w:hint="cs"/>
          <w:rtl/>
        </w:rPr>
        <w:t xml:space="preserve"> דכל החיוב שבועה בבא ליפרע מנכסי יתומים, הוא רק כשהוא רוצה לגבות מכח שטר, דבכה"ג חיישינן שהשטר פרוע, אבל במקום שיש לו נאמנות מכח מיגו, שהיה יכול להפטר מהשבועה לגמרי, לא נאמר בזה כלל דין הבא ליפרע, דכיון שהוא נאמן על החוב במיגו, אין לו כל חיוב שבועה, ואי"ז שייך לדין מיגו לאפטורי משבועה, דהוא במקום שיש חיוב שבועה, ורוצה להפטר ע"י המיגו, ועי' במ"ש </w:t>
      </w:r>
      <w:r w:rsidRPr="001E56F5">
        <w:rPr>
          <w:rStyle w:val="af9"/>
          <w:rFonts w:hint="cs"/>
          <w:rtl/>
        </w:rPr>
        <w:t>האבי עזרי</w:t>
      </w:r>
      <w:r>
        <w:rPr>
          <w:rFonts w:hint="cs"/>
          <w:rtl/>
        </w:rPr>
        <w:t xml:space="preserve"> </w:t>
      </w:r>
      <w:r w:rsidRPr="001E56F5">
        <w:rPr>
          <w:rStyle w:val="af7"/>
          <w:rFonts w:eastAsia="Guttman Hodes" w:hint="cs"/>
          <w:rtl/>
        </w:rPr>
        <w:t xml:space="preserve">(עי' אות </w:t>
      </w:r>
      <w:r w:rsidRPr="001E56F5">
        <w:rPr>
          <w:rStyle w:val="af7"/>
          <w:rFonts w:eastAsia="Guttman Hodes"/>
          <w:rtl/>
        </w:rPr>
        <w:fldChar w:fldCharType="begin"/>
      </w:r>
      <w:r w:rsidRPr="001E56F5">
        <w:rPr>
          <w:rStyle w:val="af7"/>
          <w:rFonts w:eastAsia="Guttman Hodes"/>
          <w:rtl/>
        </w:rPr>
        <w:instrText xml:space="preserve"> </w:instrText>
      </w:r>
      <w:r w:rsidRPr="001E56F5">
        <w:rPr>
          <w:rStyle w:val="af7"/>
          <w:rFonts w:eastAsia="Guttman Hodes" w:hint="cs"/>
        </w:rPr>
        <w:instrText>REF</w:instrText>
      </w:r>
      <w:r w:rsidRPr="001E56F5">
        <w:rPr>
          <w:rStyle w:val="af7"/>
          <w:rFonts w:eastAsia="Guttman Hodes" w:hint="cs"/>
          <w:rtl/>
        </w:rPr>
        <w:instrText xml:space="preserve"> _</w:instrText>
      </w:r>
      <w:r w:rsidRPr="001E56F5">
        <w:rPr>
          <w:rStyle w:val="af7"/>
          <w:rFonts w:eastAsia="Guttman Hodes" w:hint="cs"/>
        </w:rPr>
        <w:instrText>Ref63959112 \r \h</w:instrText>
      </w:r>
      <w:r w:rsidRPr="001E56F5">
        <w:rPr>
          <w:rStyle w:val="af7"/>
          <w:rFonts w:eastAsia="Guttman Hodes"/>
          <w:rtl/>
        </w:rPr>
        <w:instrText xml:space="preserve"> </w:instrText>
      </w:r>
      <w:r w:rsidRPr="001E56F5">
        <w:rPr>
          <w:rStyle w:val="af7"/>
          <w:rFonts w:eastAsia="Guttman Hodes"/>
          <w:rtl/>
        </w:rPr>
      </w:r>
      <w:r w:rsidRPr="001E56F5">
        <w:rPr>
          <w:rStyle w:val="af7"/>
          <w:rFonts w:eastAsia="Guttman Hodes"/>
          <w:rtl/>
        </w:rPr>
        <w:fldChar w:fldCharType="separate"/>
      </w:r>
      <w:r w:rsidR="00265073">
        <w:rPr>
          <w:rStyle w:val="af7"/>
          <w:rFonts w:eastAsia="Guttman Hodes"/>
          <w:cs/>
        </w:rPr>
        <w:t>‎</w:t>
      </w:r>
      <w:r w:rsidR="00265073">
        <w:rPr>
          <w:rStyle w:val="af7"/>
          <w:rFonts w:eastAsia="Guttman Hodes"/>
          <w:rtl/>
        </w:rPr>
        <w:t>קלה)</w:t>
      </w:r>
      <w:r w:rsidRPr="001E56F5">
        <w:rPr>
          <w:rStyle w:val="af7"/>
          <w:rFonts w:eastAsia="Guttman Hodes"/>
          <w:rtl/>
        </w:rPr>
        <w:fldChar w:fldCharType="end"/>
      </w:r>
      <w:r>
        <w:rPr>
          <w:rFonts w:hint="cs"/>
          <w:rtl/>
        </w:rPr>
        <w:t>.</w:t>
      </w:r>
      <w:bookmarkEnd w:id="14765"/>
    </w:p>
    <w:p w:rsidR="00F4065E" w:rsidRDefault="00F4065E" w:rsidP="00F4065E">
      <w:pPr>
        <w:pStyle w:val="afe"/>
        <w:rPr>
          <w:rtl/>
        </w:rPr>
      </w:pPr>
      <w:bookmarkStart w:id="14766" w:name="_Toc63675675"/>
      <w:bookmarkStart w:id="14767" w:name="_Toc63703839"/>
      <w:bookmarkStart w:id="14768" w:name="_Toc63714139"/>
      <w:bookmarkStart w:id="14769" w:name="_Toc63854252"/>
      <w:bookmarkStart w:id="14770" w:name="_Toc63942234"/>
      <w:bookmarkStart w:id="14771" w:name="_Toc63975429"/>
      <w:bookmarkStart w:id="14772" w:name="_Toc63986447"/>
      <w:bookmarkStart w:id="14773" w:name="_Toc64024556"/>
      <w:bookmarkStart w:id="14774" w:name="_Toc64035951"/>
      <w:bookmarkStart w:id="14775" w:name="_Toc64148091"/>
      <w:bookmarkStart w:id="14776" w:name="_Toc64205692"/>
      <w:bookmarkStart w:id="14777" w:name="_Toc64209372"/>
      <w:bookmarkStart w:id="14778" w:name="_Toc63975481"/>
      <w:bookmarkStart w:id="14779" w:name="_Toc63986521"/>
      <w:bookmarkStart w:id="14780" w:name="_Toc64024649"/>
      <w:bookmarkStart w:id="14781" w:name="_Toc64036057"/>
      <w:r>
        <w:rPr>
          <w:rFonts w:hint="cs"/>
          <w:rtl/>
        </w:rPr>
        <w:t>מהו הקול שיצא על רבא בר שרשום</w:t>
      </w:r>
      <w:bookmarkEnd w:id="14766"/>
      <w:bookmarkEnd w:id="14767"/>
      <w:bookmarkEnd w:id="14768"/>
      <w:bookmarkEnd w:id="14769"/>
      <w:bookmarkEnd w:id="14770"/>
      <w:bookmarkEnd w:id="14771"/>
      <w:bookmarkEnd w:id="14772"/>
      <w:bookmarkEnd w:id="14773"/>
      <w:bookmarkEnd w:id="14774"/>
      <w:bookmarkEnd w:id="14775"/>
      <w:bookmarkEnd w:id="14776"/>
      <w:bookmarkEnd w:id="14777"/>
    </w:p>
    <w:p w:rsidR="00F4065E" w:rsidRDefault="00F4065E" w:rsidP="00F4065E">
      <w:pPr>
        <w:pStyle w:val="1"/>
        <w:rPr>
          <w:rtl/>
        </w:rPr>
      </w:pPr>
      <w:bookmarkStart w:id="14782" w:name="_Toc63675676"/>
      <w:bookmarkStart w:id="14783" w:name="_Toc63703840"/>
      <w:bookmarkStart w:id="14784" w:name="_Toc63714140"/>
      <w:bookmarkStart w:id="14785" w:name="_Toc63854253"/>
      <w:bookmarkStart w:id="14786" w:name="_Toc63942235"/>
      <w:bookmarkStart w:id="14787" w:name="_Toc63975430"/>
      <w:bookmarkStart w:id="14788" w:name="_Toc63986448"/>
      <w:bookmarkStart w:id="14789" w:name="_Toc64024557"/>
      <w:bookmarkStart w:id="14790" w:name="_Toc64035952"/>
      <w:bookmarkStart w:id="14791" w:name="_Toc64148092"/>
      <w:bookmarkStart w:id="14792" w:name="_Toc64205693"/>
      <w:bookmarkStart w:id="14793" w:name="_Toc64209373"/>
      <w:r>
        <w:rPr>
          <w:rFonts w:hint="cs"/>
          <w:rtl/>
        </w:rPr>
        <w:t>דברי הרשב"ם</w:t>
      </w:r>
      <w:bookmarkEnd w:id="14782"/>
      <w:bookmarkEnd w:id="14783"/>
      <w:bookmarkEnd w:id="14784"/>
      <w:bookmarkEnd w:id="14785"/>
      <w:bookmarkEnd w:id="14786"/>
      <w:r>
        <w:rPr>
          <w:rFonts w:hint="cs"/>
          <w:rtl/>
        </w:rPr>
        <w:t xml:space="preserve"> והרא"ש דהקול אמת שנגמרו שני המשכנתא</w:t>
      </w:r>
      <w:bookmarkEnd w:id="14787"/>
      <w:bookmarkEnd w:id="14788"/>
      <w:bookmarkEnd w:id="14789"/>
      <w:bookmarkEnd w:id="14790"/>
      <w:bookmarkEnd w:id="14791"/>
      <w:bookmarkEnd w:id="14792"/>
      <w:bookmarkEnd w:id="14793"/>
    </w:p>
    <w:p w:rsidR="00F4065E" w:rsidRDefault="00F4065E" w:rsidP="00F4065E">
      <w:pPr>
        <w:pStyle w:val="a3"/>
        <w:rPr>
          <w:rtl/>
        </w:rPr>
      </w:pPr>
      <w:bookmarkStart w:id="14794" w:name="_Toc63975431"/>
      <w:bookmarkStart w:id="14795" w:name="_Toc63986449"/>
      <w:bookmarkStart w:id="14796" w:name="_Toc64024558"/>
      <w:bookmarkStart w:id="14797" w:name="_Toc64035953"/>
      <w:bookmarkStart w:id="14798" w:name="_Toc64148093"/>
      <w:bookmarkStart w:id="14799" w:name="_Toc64205694"/>
      <w:bookmarkStart w:id="14800" w:name="_Toc64209374"/>
      <w:r>
        <w:rPr>
          <w:rFonts w:hint="cs"/>
          <w:rtl/>
        </w:rPr>
        <w:t xml:space="preserve">דברי הרשב"ם דיצא קול אמת דנגמרה המשכנתא ועכשיו </w:t>
      </w:r>
      <w:bookmarkEnd w:id="14794"/>
      <w:bookmarkEnd w:id="14795"/>
      <w:bookmarkEnd w:id="14796"/>
      <w:bookmarkEnd w:id="14797"/>
      <w:bookmarkEnd w:id="14798"/>
      <w:r>
        <w:rPr>
          <w:rFonts w:hint="cs"/>
          <w:rtl/>
        </w:rPr>
        <w:t>היא שלהם ואין מחאה גדולה מזו</w:t>
      </w:r>
      <w:bookmarkEnd w:id="14799"/>
      <w:bookmarkEnd w:id="14800"/>
    </w:p>
    <w:p w:rsidR="00F4065E" w:rsidRPr="004F58EA" w:rsidRDefault="00F4065E" w:rsidP="007E4E81">
      <w:pPr>
        <w:pStyle w:val="a0"/>
        <w:rPr>
          <w:rStyle w:val="afb"/>
          <w:sz w:val="18"/>
          <w:szCs w:val="18"/>
          <w:rtl/>
        </w:rPr>
      </w:pPr>
      <w:bookmarkStart w:id="14801" w:name="_Ref63971896"/>
      <w:r>
        <w:rPr>
          <w:rFonts w:hint="cs"/>
          <w:rtl/>
        </w:rPr>
        <w:t xml:space="preserve">כתב </w:t>
      </w:r>
      <w:r w:rsidRPr="00FC7913">
        <w:rPr>
          <w:rStyle w:val="af9"/>
          <w:rFonts w:hint="cs"/>
          <w:rtl/>
        </w:rPr>
        <w:t>הרשב"ם</w:t>
      </w:r>
      <w:r>
        <w:rPr>
          <w:rFonts w:hint="cs"/>
          <w:rtl/>
        </w:rPr>
        <w:t xml:space="preserve"> </w:t>
      </w:r>
      <w:r w:rsidRPr="00D435AF">
        <w:rPr>
          <w:rStyle w:val="af7"/>
          <w:rFonts w:eastAsia="Guttman Hodes" w:hint="cs"/>
          <w:rtl/>
        </w:rPr>
        <w:t>(ד"ה שרשום)</w:t>
      </w:r>
      <w:r>
        <w:rPr>
          <w:rFonts w:hint="cs"/>
          <w:rtl/>
        </w:rPr>
        <w:t xml:space="preserve"> דהקול שיצא על רבא בר שרשום היה קול של אמת, כיון דעד עכשיו הייתה הקרקע אצלו במשכנתא, ואחר שכלו שני המשכנתא, והמשיך להחזיק בקרקע, א"כ מעכשיו הוא אוכל ארעא דיתמי, וכ"כ </w:t>
      </w:r>
      <w:r w:rsidRPr="00FC7913">
        <w:rPr>
          <w:rStyle w:val="af9"/>
          <w:rFonts w:hint="cs"/>
          <w:rtl/>
        </w:rPr>
        <w:t>הרא"ש</w:t>
      </w:r>
      <w:r>
        <w:rPr>
          <w:rFonts w:hint="cs"/>
          <w:rtl/>
        </w:rPr>
        <w:t xml:space="preserve"> </w:t>
      </w:r>
      <w:r w:rsidRPr="00D435AF">
        <w:rPr>
          <w:rStyle w:val="af7"/>
          <w:rFonts w:eastAsia="Guttman Hodes" w:hint="cs"/>
          <w:rtl/>
        </w:rPr>
        <w:t>(סי' ט"ז)</w:t>
      </w:r>
      <w:r>
        <w:rPr>
          <w:rFonts w:hint="cs"/>
          <w:rtl/>
        </w:rPr>
        <w:t xml:space="preserve">, והוסיף </w:t>
      </w:r>
      <w:r w:rsidRPr="00181401">
        <w:rPr>
          <w:rStyle w:val="af9"/>
          <w:rFonts w:hint="cs"/>
          <w:rtl/>
        </w:rPr>
        <w:t>הרשב"ם</w:t>
      </w:r>
      <w:r>
        <w:rPr>
          <w:rFonts w:hint="cs"/>
          <w:rtl/>
        </w:rPr>
        <w:t xml:space="preserve"> </w:t>
      </w:r>
      <w:bookmarkEnd w:id="14801"/>
      <w:r w:rsidRPr="00EE1580">
        <w:rPr>
          <w:rStyle w:val="af7"/>
          <w:rFonts w:eastAsia="Guttman Hodes" w:hint="cs"/>
          <w:rtl/>
        </w:rPr>
        <w:t>(ד"ה אמר ליה)</w:t>
      </w:r>
      <w:r>
        <w:rPr>
          <w:rFonts w:hint="cs"/>
          <w:rtl/>
        </w:rPr>
        <w:t xml:space="preserve"> דכיון שידע רבא בר שרשום שיש לו קול עליו, שהקרקע היא במשכנתא ואינה לקוחה בידו, א"כ אין לך מחאה גדולה מזו, והיה לו להזהר בשטרו, </w:t>
      </w:r>
      <w:r w:rsidRPr="00181401">
        <w:rPr>
          <w:rStyle w:val="afb"/>
          <w:rFonts w:hint="cs"/>
          <w:rtl/>
        </w:rPr>
        <w:t xml:space="preserve">[אם באמת הייתה לקוחה בידו ויצא קול], </w:t>
      </w:r>
      <w:r>
        <w:rPr>
          <w:rFonts w:hint="cs"/>
          <w:rtl/>
        </w:rPr>
        <w:t>וכיון שאין לו שטר, ל"מ לו החזקה, והוא צריך להחזיר את הקרקע ליתומים.</w:t>
      </w:r>
    </w:p>
    <w:p w:rsidR="00F4065E" w:rsidRDefault="00F4065E" w:rsidP="00F4065E">
      <w:pPr>
        <w:pStyle w:val="a3"/>
        <w:rPr>
          <w:rtl/>
        </w:rPr>
      </w:pPr>
      <w:bookmarkStart w:id="14802" w:name="_Toc63975435"/>
      <w:bookmarkStart w:id="14803" w:name="_Toc63986450"/>
      <w:bookmarkStart w:id="14804" w:name="_Toc64024559"/>
      <w:bookmarkStart w:id="14805" w:name="_Toc64035954"/>
      <w:bookmarkStart w:id="14806" w:name="_Toc64148094"/>
      <w:bookmarkStart w:id="14807" w:name="_Toc64205695"/>
      <w:bookmarkStart w:id="14808" w:name="_Toc64209375"/>
      <w:bookmarkStart w:id="14809" w:name="_Toc63666754"/>
      <w:bookmarkStart w:id="14810" w:name="_Toc63675677"/>
      <w:bookmarkStart w:id="14811" w:name="_Toc63703841"/>
      <w:bookmarkStart w:id="14812" w:name="_Toc63714141"/>
      <w:bookmarkStart w:id="14813" w:name="_Toc63854254"/>
      <w:bookmarkStart w:id="14814" w:name="_Toc63942236"/>
      <w:bookmarkStart w:id="14815" w:name="_Toc63975432"/>
      <w:r>
        <w:rPr>
          <w:rFonts w:hint="cs"/>
          <w:rtl/>
        </w:rPr>
        <w:t>דברי הריטב"א דהקול שיצא הוא קול הברה בעלמא</w:t>
      </w:r>
      <w:bookmarkEnd w:id="14802"/>
      <w:bookmarkEnd w:id="14803"/>
      <w:bookmarkEnd w:id="14804"/>
      <w:bookmarkEnd w:id="14805"/>
      <w:bookmarkEnd w:id="14806"/>
      <w:bookmarkEnd w:id="14807"/>
      <w:bookmarkEnd w:id="14808"/>
    </w:p>
    <w:p w:rsidR="00F4065E" w:rsidRDefault="00F4065E" w:rsidP="007E4E81">
      <w:pPr>
        <w:pStyle w:val="a0"/>
      </w:pPr>
      <w:bookmarkStart w:id="14816" w:name="_Ref63971298"/>
      <w:r>
        <w:rPr>
          <w:rFonts w:hint="cs"/>
          <w:rtl/>
        </w:rPr>
        <w:t xml:space="preserve">כתב </w:t>
      </w:r>
      <w:r w:rsidRPr="0001524E">
        <w:rPr>
          <w:rStyle w:val="af9"/>
          <w:rFonts w:hint="cs"/>
          <w:rtl/>
        </w:rPr>
        <w:t>הריטב"א</w:t>
      </w:r>
      <w:r>
        <w:rPr>
          <w:rFonts w:hint="cs"/>
          <w:rtl/>
        </w:rPr>
        <w:t xml:space="preserve"> </w:t>
      </w:r>
      <w:r w:rsidRPr="006145A0">
        <w:rPr>
          <w:rStyle w:val="af7"/>
          <w:rFonts w:eastAsia="Guttman Hodes" w:hint="cs"/>
          <w:rtl/>
        </w:rPr>
        <w:t>(ד"ה רבא)</w:t>
      </w:r>
      <w:r>
        <w:rPr>
          <w:rFonts w:hint="cs"/>
          <w:rtl/>
        </w:rPr>
        <w:t xml:space="preserve"> דהקול שיצא על רבא בר שרשום הוא קול של הברה בעלמא.</w:t>
      </w:r>
      <w:bookmarkEnd w:id="14816"/>
      <w:r>
        <w:rPr>
          <w:rFonts w:hint="cs"/>
          <w:rtl/>
        </w:rPr>
        <w:t xml:space="preserve"> </w:t>
      </w:r>
    </w:p>
    <w:p w:rsidR="00F4065E" w:rsidRDefault="00F4065E" w:rsidP="00F4065E">
      <w:pPr>
        <w:pStyle w:val="1"/>
        <w:rPr>
          <w:rtl/>
        </w:rPr>
      </w:pPr>
      <w:bookmarkStart w:id="14817" w:name="_Toc63986451"/>
      <w:bookmarkStart w:id="14818" w:name="_Toc64024560"/>
      <w:bookmarkStart w:id="14819" w:name="_Toc64035955"/>
      <w:bookmarkStart w:id="14820" w:name="_Toc64148095"/>
      <w:bookmarkStart w:id="14821" w:name="_Toc64205696"/>
      <w:bookmarkStart w:id="14822" w:name="_Toc64209376"/>
      <w:bookmarkEnd w:id="14809"/>
      <w:bookmarkEnd w:id="14810"/>
      <w:bookmarkEnd w:id="14811"/>
      <w:bookmarkEnd w:id="14812"/>
      <w:bookmarkEnd w:id="14813"/>
      <w:bookmarkEnd w:id="14814"/>
      <w:r>
        <w:rPr>
          <w:rFonts w:hint="cs"/>
          <w:rtl/>
        </w:rPr>
        <w:t>דברי התוס' דהקול שעכשיו היא שלהם ולא שאביהם מר"ק</w:t>
      </w:r>
      <w:bookmarkEnd w:id="14815"/>
      <w:bookmarkEnd w:id="14817"/>
      <w:bookmarkEnd w:id="14818"/>
      <w:bookmarkEnd w:id="14819"/>
      <w:bookmarkEnd w:id="14820"/>
      <w:bookmarkEnd w:id="14821"/>
      <w:bookmarkEnd w:id="14822"/>
    </w:p>
    <w:p w:rsidR="00F4065E" w:rsidRPr="001E7947" w:rsidRDefault="00F4065E" w:rsidP="00F4065E">
      <w:pPr>
        <w:pStyle w:val="a3"/>
        <w:rPr>
          <w:rtl/>
        </w:rPr>
      </w:pPr>
      <w:bookmarkStart w:id="14823" w:name="_Toc63975433"/>
      <w:bookmarkStart w:id="14824" w:name="_Toc63986452"/>
      <w:bookmarkStart w:id="14825" w:name="_Toc64024561"/>
      <w:bookmarkStart w:id="14826" w:name="_Toc64035956"/>
      <w:bookmarkStart w:id="14827" w:name="_Toc64148096"/>
      <w:bookmarkStart w:id="14828" w:name="_Toc64205697"/>
      <w:bookmarkStart w:id="14829" w:name="_Toc64209377"/>
      <w:r>
        <w:rPr>
          <w:rFonts w:hint="cs"/>
          <w:rtl/>
        </w:rPr>
        <w:t>דברי התוס' דהקול שהקרקע של היתומים ולא דהקול שהייתה של האב דא"כ נאמן בלקוחה</w:t>
      </w:r>
      <w:bookmarkEnd w:id="14823"/>
      <w:bookmarkEnd w:id="14824"/>
      <w:bookmarkEnd w:id="14825"/>
      <w:bookmarkEnd w:id="14826"/>
      <w:bookmarkEnd w:id="14827"/>
      <w:bookmarkEnd w:id="14828"/>
      <w:bookmarkEnd w:id="14829"/>
    </w:p>
    <w:p w:rsidR="00F4065E" w:rsidRDefault="00F4065E" w:rsidP="007E4E81">
      <w:pPr>
        <w:pStyle w:val="a0"/>
        <w:rPr>
          <w:rtl/>
        </w:rPr>
      </w:pPr>
      <w:bookmarkStart w:id="14830" w:name="_Ref63971904"/>
      <w:r>
        <w:rPr>
          <w:rFonts w:hint="cs"/>
          <w:rtl/>
        </w:rPr>
        <w:t xml:space="preserve">כתבו </w:t>
      </w:r>
      <w:r w:rsidRPr="0001524E">
        <w:rPr>
          <w:rStyle w:val="af9"/>
          <w:rFonts w:hint="cs"/>
          <w:rtl/>
        </w:rPr>
        <w:t>התוס'</w:t>
      </w:r>
      <w:r>
        <w:rPr>
          <w:rFonts w:hint="cs"/>
          <w:rtl/>
        </w:rPr>
        <w:t xml:space="preserve"> </w:t>
      </w:r>
      <w:r w:rsidRPr="00D435AF">
        <w:rPr>
          <w:rStyle w:val="af7"/>
          <w:rFonts w:eastAsia="Guttman Hodes" w:hint="cs"/>
          <w:rtl/>
        </w:rPr>
        <w:t>(ד"ה נפק)</w:t>
      </w:r>
      <w:r>
        <w:rPr>
          <w:rFonts w:hint="cs"/>
          <w:rtl/>
        </w:rPr>
        <w:t xml:space="preserve"> דהקול שיצא הוא שהקרקע היא של היתומים, אך א"א לומר דהקול הוא שהייתה בתחילה של אביהם, ועכשיו לא ידוע אם היא שלהם, דא"כ היה רבא בר שרשום נאמן לטעון לקוחה היא בידי, ודלא </w:t>
      </w:r>
      <w:r w:rsidRPr="00FB73BA">
        <w:rPr>
          <w:rStyle w:val="af9"/>
          <w:rFonts w:hint="cs"/>
          <w:rtl/>
        </w:rPr>
        <w:t>כר"י מגאש</w:t>
      </w:r>
      <w:r>
        <w:rPr>
          <w:rFonts w:hint="cs"/>
          <w:rtl/>
        </w:rPr>
        <w:t xml:space="preserve"> </w:t>
      </w:r>
      <w:r w:rsidRPr="0075469F">
        <w:rPr>
          <w:rStyle w:val="af7"/>
          <w:rFonts w:eastAsia="Guttman Hodes" w:hint="cs"/>
          <w:rtl/>
        </w:rPr>
        <w:t xml:space="preserve">(עי' אות </w:t>
      </w:r>
      <w:r w:rsidRPr="0075469F">
        <w:rPr>
          <w:rStyle w:val="af7"/>
          <w:rFonts w:eastAsia="Guttman Hodes"/>
          <w:rtl/>
        </w:rPr>
        <w:fldChar w:fldCharType="begin"/>
      </w:r>
      <w:r w:rsidRPr="0075469F">
        <w:rPr>
          <w:rStyle w:val="af7"/>
          <w:rFonts w:eastAsia="Guttman Hodes"/>
          <w:rtl/>
        </w:rPr>
        <w:instrText xml:space="preserve"> </w:instrText>
      </w:r>
      <w:r w:rsidRPr="0075469F">
        <w:rPr>
          <w:rStyle w:val="af7"/>
          <w:rFonts w:eastAsia="Guttman Hodes" w:hint="cs"/>
        </w:rPr>
        <w:instrText>REF</w:instrText>
      </w:r>
      <w:r w:rsidRPr="0075469F">
        <w:rPr>
          <w:rStyle w:val="af7"/>
          <w:rFonts w:eastAsia="Guttman Hodes" w:hint="cs"/>
          <w:rtl/>
        </w:rPr>
        <w:instrText xml:space="preserve"> _</w:instrText>
      </w:r>
      <w:r w:rsidRPr="0075469F">
        <w:rPr>
          <w:rStyle w:val="af7"/>
          <w:rFonts w:eastAsia="Guttman Hodes" w:hint="cs"/>
        </w:rPr>
        <w:instrText>Ref63970164 \r \h</w:instrText>
      </w:r>
      <w:r w:rsidRPr="0075469F">
        <w:rPr>
          <w:rStyle w:val="af7"/>
          <w:rFonts w:eastAsia="Guttman Hodes"/>
          <w:rtl/>
        </w:rPr>
        <w:instrText xml:space="preserve"> </w:instrText>
      </w:r>
      <w:r w:rsidRPr="0075469F">
        <w:rPr>
          <w:rStyle w:val="af7"/>
          <w:rFonts w:eastAsia="Guttman Hodes"/>
          <w:rtl/>
        </w:rPr>
      </w:r>
      <w:r w:rsidRPr="0075469F">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75469F">
        <w:rPr>
          <w:rStyle w:val="af7"/>
          <w:rFonts w:eastAsia="Guttman Hodes"/>
          <w:rtl/>
        </w:rPr>
        <w:fldChar w:fldCharType="end"/>
      </w:r>
      <w:r>
        <w:rPr>
          <w:rFonts w:hint="cs"/>
          <w:rtl/>
        </w:rPr>
        <w:t>.</w:t>
      </w:r>
      <w:bookmarkEnd w:id="14830"/>
    </w:p>
    <w:p w:rsidR="00F4065E" w:rsidRPr="00FC491C" w:rsidRDefault="00F4065E" w:rsidP="00F4065E">
      <w:pPr>
        <w:pStyle w:val="1"/>
        <w:rPr>
          <w:rtl/>
        </w:rPr>
      </w:pPr>
      <w:bookmarkStart w:id="14831" w:name="_Toc63975436"/>
      <w:bookmarkStart w:id="14832" w:name="_Toc63986453"/>
      <w:bookmarkStart w:id="14833" w:name="_Toc64024562"/>
      <w:bookmarkStart w:id="14834" w:name="_Toc64035957"/>
      <w:bookmarkStart w:id="14835" w:name="_Toc64148097"/>
      <w:bookmarkStart w:id="14836" w:name="_Toc64205698"/>
      <w:bookmarkStart w:id="14837" w:name="_Toc64209378"/>
      <w:r>
        <w:rPr>
          <w:rFonts w:hint="cs"/>
          <w:rtl/>
        </w:rPr>
        <w:t>דעת ר"ח דהקול חשיב כמחאה בחזקתו ואינו נאמן דלקוחה בידו</w:t>
      </w:r>
      <w:bookmarkEnd w:id="14831"/>
      <w:bookmarkEnd w:id="14832"/>
      <w:bookmarkEnd w:id="14833"/>
      <w:bookmarkEnd w:id="14834"/>
      <w:bookmarkEnd w:id="14835"/>
      <w:bookmarkEnd w:id="14836"/>
      <w:bookmarkEnd w:id="14837"/>
    </w:p>
    <w:p w:rsidR="00F4065E" w:rsidRPr="00891B70" w:rsidRDefault="00F4065E" w:rsidP="00F4065E">
      <w:pPr>
        <w:pStyle w:val="a3"/>
        <w:rPr>
          <w:rtl/>
        </w:rPr>
      </w:pPr>
      <w:bookmarkStart w:id="14838" w:name="_Toc63975437"/>
      <w:bookmarkStart w:id="14839" w:name="_Toc63986454"/>
      <w:bookmarkStart w:id="14840" w:name="_Toc64024563"/>
      <w:bookmarkStart w:id="14841" w:name="_Toc64035958"/>
      <w:bookmarkStart w:id="14842" w:name="_Toc64148098"/>
      <w:bookmarkStart w:id="14843" w:name="_Toc64205699"/>
      <w:bookmarkStart w:id="14844" w:name="_Toc64209379"/>
      <w:r>
        <w:rPr>
          <w:rFonts w:hint="cs"/>
          <w:rtl/>
        </w:rPr>
        <w:t>דברי ר"ח דהקול הוא שהקרקע אינה שלו והוא כמחאה בחזקה דכל מחאה מהני ע"י קול</w:t>
      </w:r>
      <w:bookmarkEnd w:id="14838"/>
      <w:bookmarkEnd w:id="14839"/>
      <w:bookmarkEnd w:id="14840"/>
      <w:bookmarkEnd w:id="14841"/>
      <w:bookmarkEnd w:id="14842"/>
      <w:bookmarkEnd w:id="14843"/>
      <w:bookmarkEnd w:id="14844"/>
    </w:p>
    <w:p w:rsidR="00F4065E" w:rsidRPr="0001287A" w:rsidRDefault="00F4065E" w:rsidP="007E4E81">
      <w:pPr>
        <w:pStyle w:val="a0"/>
        <w:rPr>
          <w:rStyle w:val="afb"/>
          <w:sz w:val="18"/>
          <w:szCs w:val="18"/>
          <w:rtl/>
        </w:rPr>
      </w:pPr>
      <w:bookmarkStart w:id="14845" w:name="_Ref63971292"/>
      <w:bookmarkStart w:id="14846" w:name="_Ref64209145"/>
      <w:r>
        <w:rPr>
          <w:rFonts w:hint="cs"/>
          <w:rtl/>
        </w:rPr>
        <w:t xml:space="preserve">כתבו </w:t>
      </w:r>
      <w:r w:rsidRPr="003A611E">
        <w:rPr>
          <w:rStyle w:val="af9"/>
          <w:rFonts w:hint="cs"/>
          <w:rtl/>
        </w:rPr>
        <w:t>הרמב"ן</w:t>
      </w:r>
      <w:r>
        <w:rPr>
          <w:rFonts w:hint="cs"/>
          <w:rtl/>
        </w:rPr>
        <w:t xml:space="preserve"> </w:t>
      </w:r>
      <w:r w:rsidRPr="00EE1580">
        <w:rPr>
          <w:rStyle w:val="af7"/>
          <w:rFonts w:eastAsia="Guttman Hodes" w:hint="cs"/>
          <w:rtl/>
        </w:rPr>
        <w:t>(ד"ה אמר ליה)</w:t>
      </w:r>
      <w:r>
        <w:rPr>
          <w:rFonts w:hint="cs"/>
          <w:rtl/>
        </w:rPr>
        <w:t xml:space="preserve"> </w:t>
      </w:r>
      <w:r w:rsidRPr="003A611E">
        <w:rPr>
          <w:rStyle w:val="af9"/>
          <w:rFonts w:hint="cs"/>
          <w:rtl/>
        </w:rPr>
        <w:t>והרשב"א</w:t>
      </w:r>
      <w:r>
        <w:rPr>
          <w:rFonts w:hint="cs"/>
          <w:rtl/>
        </w:rPr>
        <w:t xml:space="preserve"> </w:t>
      </w:r>
      <w:r w:rsidRPr="00EE1580">
        <w:rPr>
          <w:rStyle w:val="af7"/>
          <w:rFonts w:eastAsia="Guttman Hodes" w:hint="cs"/>
          <w:rtl/>
        </w:rPr>
        <w:t xml:space="preserve">(ד"ה אמר ליה) </w:t>
      </w:r>
      <w:r>
        <w:rPr>
          <w:rFonts w:hint="cs"/>
          <w:rtl/>
        </w:rPr>
        <w:t xml:space="preserve"> </w:t>
      </w:r>
      <w:r>
        <w:rPr>
          <w:rStyle w:val="af9"/>
          <w:rFonts w:hint="cs"/>
          <w:rtl/>
        </w:rPr>
        <w:t>ו</w:t>
      </w:r>
      <w:r w:rsidRPr="0001524E">
        <w:rPr>
          <w:rStyle w:val="af9"/>
          <w:rFonts w:hint="cs"/>
          <w:rtl/>
        </w:rPr>
        <w:t>רבינו</w:t>
      </w:r>
      <w:r>
        <w:rPr>
          <w:rFonts w:hint="cs"/>
          <w:rtl/>
        </w:rPr>
        <w:t xml:space="preserve"> </w:t>
      </w:r>
      <w:r w:rsidRPr="0001524E">
        <w:rPr>
          <w:rStyle w:val="af9"/>
          <w:rFonts w:hint="cs"/>
          <w:rtl/>
        </w:rPr>
        <w:t>יונה</w:t>
      </w:r>
      <w:r>
        <w:rPr>
          <w:rFonts w:hint="cs"/>
          <w:rtl/>
        </w:rPr>
        <w:t xml:space="preserve"> </w:t>
      </w:r>
      <w:r w:rsidRPr="0001287A">
        <w:rPr>
          <w:rStyle w:val="af7"/>
          <w:rFonts w:eastAsia="Guttman Hodes" w:hint="cs"/>
          <w:rtl/>
        </w:rPr>
        <w:t>(ד"ה א"ל לקוחה)</w:t>
      </w:r>
      <w:r>
        <w:rPr>
          <w:rFonts w:hint="cs"/>
          <w:rtl/>
        </w:rPr>
        <w:t xml:space="preserve"> בשם </w:t>
      </w:r>
      <w:r w:rsidRPr="0001524E">
        <w:rPr>
          <w:rStyle w:val="af9"/>
          <w:rFonts w:hint="cs"/>
          <w:rtl/>
        </w:rPr>
        <w:t>ר"ח</w:t>
      </w:r>
      <w:r>
        <w:rPr>
          <w:rFonts w:hint="cs"/>
          <w:rtl/>
        </w:rPr>
        <w:t xml:space="preserve"> שיצא קול שהקרקע אינה שלו, והיה לו להזהר בשטרו, דהרי הא דמהני מחאה, הוא כיון שע"י המחאה יש קול,</w:t>
      </w:r>
      <w:r w:rsidRPr="0075469F">
        <w:rPr>
          <w:rFonts w:hint="cs"/>
          <w:rtl/>
        </w:rPr>
        <w:t xml:space="preserve"> </w:t>
      </w:r>
      <w:r>
        <w:rPr>
          <w:rFonts w:hint="cs"/>
          <w:rtl/>
        </w:rPr>
        <w:t xml:space="preserve">והביא </w:t>
      </w:r>
      <w:r w:rsidRPr="00181401">
        <w:rPr>
          <w:rStyle w:val="af9"/>
          <w:rFonts w:hint="cs"/>
          <w:rtl/>
        </w:rPr>
        <w:t>הרמב"ן</w:t>
      </w:r>
      <w:r>
        <w:rPr>
          <w:rFonts w:hint="cs"/>
          <w:rtl/>
        </w:rPr>
        <w:t xml:space="preserve"> דכ"כ </w:t>
      </w:r>
      <w:r w:rsidRPr="00181401">
        <w:rPr>
          <w:rStyle w:val="af9"/>
          <w:rFonts w:hint="cs"/>
          <w:rtl/>
        </w:rPr>
        <w:t>הרשב"ם</w:t>
      </w:r>
      <w:r>
        <w:rPr>
          <w:rFonts w:hint="cs"/>
          <w:rtl/>
        </w:rPr>
        <w:t xml:space="preserve"> </w:t>
      </w:r>
      <w:r w:rsidRPr="0001287A">
        <w:rPr>
          <w:rStyle w:val="af7"/>
          <w:rFonts w:eastAsia="Guttman Hodes" w:hint="cs"/>
          <w:rtl/>
        </w:rPr>
        <w:t xml:space="preserve">(עי' אות </w:t>
      </w:r>
      <w:r w:rsidRPr="0001287A">
        <w:rPr>
          <w:rStyle w:val="af7"/>
          <w:rFonts w:eastAsia="Guttman Hodes"/>
          <w:rtl/>
        </w:rPr>
        <w:fldChar w:fldCharType="begin"/>
      </w:r>
      <w:r w:rsidRPr="0001287A">
        <w:rPr>
          <w:rStyle w:val="af7"/>
          <w:rFonts w:eastAsia="Guttman Hodes"/>
          <w:rtl/>
        </w:rPr>
        <w:instrText xml:space="preserve"> </w:instrText>
      </w:r>
      <w:r w:rsidRPr="0001287A">
        <w:rPr>
          <w:rStyle w:val="af7"/>
          <w:rFonts w:eastAsia="Guttman Hodes" w:hint="cs"/>
        </w:rPr>
        <w:instrText>REF</w:instrText>
      </w:r>
      <w:r w:rsidRPr="0001287A">
        <w:rPr>
          <w:rStyle w:val="af7"/>
          <w:rFonts w:eastAsia="Guttman Hodes" w:hint="cs"/>
          <w:rtl/>
        </w:rPr>
        <w:instrText xml:space="preserve"> _</w:instrText>
      </w:r>
      <w:r w:rsidRPr="0001287A">
        <w:rPr>
          <w:rStyle w:val="af7"/>
          <w:rFonts w:eastAsia="Guttman Hodes" w:hint="cs"/>
        </w:rPr>
        <w:instrText>Ref64140559 \r \h</w:instrText>
      </w:r>
      <w:r w:rsidRPr="0001287A">
        <w:rPr>
          <w:rStyle w:val="af7"/>
          <w:rFonts w:eastAsia="Guttman Hodes"/>
          <w:rtl/>
        </w:rPr>
        <w:instrText xml:space="preserve"> </w:instrText>
      </w:r>
      <w:r w:rsidRPr="0001287A">
        <w:rPr>
          <w:rStyle w:val="af7"/>
          <w:rFonts w:eastAsia="Guttman Hodes"/>
          <w:rtl/>
        </w:rPr>
      </w:r>
      <w:r w:rsidRPr="0001287A">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01287A">
        <w:rPr>
          <w:rStyle w:val="af7"/>
          <w:rFonts w:eastAsia="Guttman Hodes"/>
          <w:rtl/>
        </w:rPr>
        <w:fldChar w:fldCharType="end"/>
      </w:r>
      <w:r>
        <w:rPr>
          <w:rFonts w:hint="cs"/>
          <w:rtl/>
        </w:rPr>
        <w:t>,</w:t>
      </w:r>
      <w:r w:rsidRPr="00BB579F">
        <w:rPr>
          <w:rFonts w:hint="cs"/>
          <w:rtl/>
        </w:rPr>
        <w:t xml:space="preserve"> </w:t>
      </w:r>
      <w:r>
        <w:rPr>
          <w:rFonts w:hint="cs"/>
          <w:rtl/>
        </w:rPr>
        <w:t xml:space="preserve">וביאר </w:t>
      </w:r>
      <w:r w:rsidRPr="0001524E">
        <w:rPr>
          <w:rStyle w:val="af9"/>
          <w:rFonts w:hint="cs"/>
          <w:rtl/>
        </w:rPr>
        <w:t>רבינו</w:t>
      </w:r>
      <w:r>
        <w:rPr>
          <w:rFonts w:hint="cs"/>
          <w:rtl/>
        </w:rPr>
        <w:t xml:space="preserve"> </w:t>
      </w:r>
      <w:r w:rsidRPr="0001524E">
        <w:rPr>
          <w:rStyle w:val="af9"/>
          <w:rFonts w:hint="cs"/>
          <w:rtl/>
        </w:rPr>
        <w:t>יונה</w:t>
      </w:r>
      <w:r>
        <w:rPr>
          <w:rFonts w:hint="cs"/>
          <w:rtl/>
        </w:rPr>
        <w:t xml:space="preserve"> בשם </w:t>
      </w:r>
      <w:r w:rsidRPr="0001524E">
        <w:rPr>
          <w:rStyle w:val="af9"/>
          <w:rFonts w:hint="cs"/>
          <w:rtl/>
        </w:rPr>
        <w:t>ר"ח</w:t>
      </w:r>
      <w:r>
        <w:rPr>
          <w:rFonts w:hint="cs"/>
          <w:rtl/>
        </w:rPr>
        <w:t xml:space="preserve"> דכיון שעיקר המחאה היא כדי שיזהר הלוקח בשטרו, ולכן כל שידע שיש עליו קול שאוכל את הקרקע של היתומים, חשיב כמחאה, ויאמרו לו ב"ד דהיה לו להזהר בשטרו אם הוא טוען שקנה את הקרקע, ואין </w:t>
      </w:r>
      <w:r>
        <w:rPr>
          <w:rFonts w:hint="cs"/>
          <w:rtl/>
        </w:rPr>
        <w:lastRenderedPageBreak/>
        <w:t>חזקתו חזקה</w:t>
      </w:r>
      <w:bookmarkEnd w:id="14845"/>
      <w:r>
        <w:rPr>
          <w:rFonts w:hint="cs"/>
          <w:rtl/>
        </w:rPr>
        <w:t>,</w:t>
      </w:r>
      <w:r w:rsidRPr="00BB579F">
        <w:rPr>
          <w:rFonts w:hint="cs"/>
          <w:rtl/>
        </w:rPr>
        <w:t xml:space="preserve"> </w:t>
      </w:r>
      <w:r>
        <w:rPr>
          <w:rStyle w:val="afb"/>
          <w:rFonts w:hint="cs"/>
          <w:rtl/>
        </w:rPr>
        <w:t>[</w:t>
      </w:r>
      <w:r w:rsidRPr="00605282">
        <w:rPr>
          <w:rStyle w:val="afb"/>
          <w:rFonts w:hint="cs"/>
          <w:rtl/>
        </w:rPr>
        <w:t xml:space="preserve">וע"ע במ"ש </w:t>
      </w:r>
      <w:r w:rsidRPr="00122948">
        <w:rPr>
          <w:rStyle w:val="affa"/>
          <w:rFonts w:hint="cs"/>
          <w:rtl/>
        </w:rPr>
        <w:t>בספר העיטור</w:t>
      </w:r>
      <w:r w:rsidRPr="00605282">
        <w:rPr>
          <w:rStyle w:val="afb"/>
          <w:rFonts w:hint="cs"/>
          <w:rtl/>
        </w:rPr>
        <w:t xml:space="preserve"> </w:t>
      </w:r>
      <w:r w:rsidRPr="00122948">
        <w:rPr>
          <w:rStyle w:val="aff6"/>
          <w:rFonts w:hint="cs"/>
          <w:rtl/>
        </w:rPr>
        <w:t xml:space="preserve">(או' מ' מחאה מג., הועתק בקובץ שיטות קמאי ב"ב ח"א עמ' תשפ"ח) </w:t>
      </w:r>
      <w:r>
        <w:rPr>
          <w:rStyle w:val="afb"/>
          <w:rFonts w:hint="cs"/>
          <w:rtl/>
        </w:rPr>
        <w:t xml:space="preserve">בשם </w:t>
      </w:r>
      <w:r w:rsidRPr="00122948">
        <w:rPr>
          <w:rStyle w:val="affa"/>
          <w:rFonts w:hint="cs"/>
          <w:rtl/>
        </w:rPr>
        <w:t>ר"ח</w:t>
      </w:r>
      <w:r w:rsidRPr="00605282">
        <w:rPr>
          <w:rStyle w:val="afb"/>
          <w:rFonts w:hint="cs"/>
          <w:rtl/>
        </w:rPr>
        <w:t>]</w:t>
      </w:r>
      <w:r>
        <w:rPr>
          <w:rStyle w:val="afb"/>
          <w:rFonts w:hint="cs"/>
          <w:rtl/>
        </w:rPr>
        <w:t xml:space="preserve">, </w:t>
      </w:r>
      <w:r>
        <w:rPr>
          <w:rStyle w:val="af9"/>
          <w:rFonts w:hint="cs"/>
          <w:rtl/>
        </w:rPr>
        <w:t>ו</w:t>
      </w:r>
      <w:r w:rsidRPr="008A6A96">
        <w:rPr>
          <w:rStyle w:val="af9"/>
          <w:rFonts w:hint="cs"/>
          <w:rtl/>
        </w:rPr>
        <w:t>הריטב"א</w:t>
      </w:r>
      <w:r>
        <w:rPr>
          <w:rFonts w:hint="cs"/>
          <w:rtl/>
        </w:rPr>
        <w:t xml:space="preserve"> </w:t>
      </w:r>
      <w:r w:rsidRPr="0001287A">
        <w:rPr>
          <w:rStyle w:val="af7"/>
          <w:rFonts w:eastAsia="Guttman Hodes" w:hint="cs"/>
          <w:rtl/>
        </w:rPr>
        <w:t>(ד"ה א"ל)</w:t>
      </w:r>
      <w:r>
        <w:rPr>
          <w:rFonts w:hint="cs"/>
          <w:rtl/>
        </w:rPr>
        <w:t xml:space="preserve"> ביאר בשם </w:t>
      </w:r>
      <w:r w:rsidRPr="008A6A96">
        <w:rPr>
          <w:rStyle w:val="af9"/>
          <w:rFonts w:hint="cs"/>
          <w:rtl/>
        </w:rPr>
        <w:t>י"מ</w:t>
      </w:r>
      <w:r>
        <w:rPr>
          <w:rFonts w:hint="cs"/>
          <w:rtl/>
        </w:rPr>
        <w:t xml:space="preserve"> דכיון שהקול הוא מפורסם, לכן חשיב כמחאה בסוף כל ג"ש, </w:t>
      </w:r>
      <w:r w:rsidRPr="00465C7D">
        <w:rPr>
          <w:rStyle w:val="afb"/>
          <w:rFonts w:hint="cs"/>
          <w:rtl/>
        </w:rPr>
        <w:t xml:space="preserve">[וכדביאר </w:t>
      </w:r>
      <w:r w:rsidRPr="00465C7D">
        <w:rPr>
          <w:rStyle w:val="affa"/>
          <w:rFonts w:hint="cs"/>
          <w:rtl/>
        </w:rPr>
        <w:t>הריטב"א</w:t>
      </w:r>
      <w:r w:rsidRPr="00465C7D">
        <w:rPr>
          <w:rStyle w:val="afb"/>
          <w:rFonts w:hint="cs"/>
          <w:rtl/>
        </w:rPr>
        <w:t xml:space="preserve"> </w:t>
      </w:r>
      <w:r w:rsidRPr="00465C7D">
        <w:rPr>
          <w:rStyle w:val="aff6"/>
          <w:rFonts w:hint="cs"/>
          <w:rtl/>
        </w:rPr>
        <w:t xml:space="preserve">(עי' אות </w:t>
      </w:r>
      <w:r w:rsidRPr="00465C7D">
        <w:rPr>
          <w:rStyle w:val="aff6"/>
          <w:rtl/>
        </w:rPr>
        <w:fldChar w:fldCharType="begin"/>
      </w:r>
      <w:r w:rsidRPr="00465C7D">
        <w:rPr>
          <w:rStyle w:val="aff6"/>
          <w:rtl/>
        </w:rPr>
        <w:instrText xml:space="preserve"> </w:instrText>
      </w:r>
      <w:r w:rsidRPr="00465C7D">
        <w:rPr>
          <w:rStyle w:val="aff6"/>
          <w:rFonts w:hint="cs"/>
        </w:rPr>
        <w:instrText>REF</w:instrText>
      </w:r>
      <w:r w:rsidRPr="00465C7D">
        <w:rPr>
          <w:rStyle w:val="aff6"/>
          <w:rFonts w:hint="cs"/>
          <w:rtl/>
        </w:rPr>
        <w:instrText xml:space="preserve"> _</w:instrText>
      </w:r>
      <w:r w:rsidRPr="00465C7D">
        <w:rPr>
          <w:rStyle w:val="aff6"/>
          <w:rFonts w:hint="cs"/>
        </w:rPr>
        <w:instrText>Ref63971298 \r \h</w:instrText>
      </w:r>
      <w:r w:rsidRPr="00465C7D">
        <w:rPr>
          <w:rStyle w:val="aff6"/>
          <w:rtl/>
        </w:rPr>
        <w:instrText xml:space="preserve"> </w:instrText>
      </w:r>
      <w:r w:rsidRPr="00465C7D">
        <w:rPr>
          <w:rStyle w:val="aff6"/>
          <w:rtl/>
        </w:rPr>
      </w:r>
      <w:r w:rsidRPr="00465C7D">
        <w:rPr>
          <w:rStyle w:val="aff6"/>
          <w:rtl/>
        </w:rPr>
        <w:fldChar w:fldCharType="separate"/>
      </w:r>
      <w:r w:rsidR="00265073">
        <w:rPr>
          <w:rStyle w:val="aff6"/>
          <w:cs/>
        </w:rPr>
        <w:t>‎</w:t>
      </w:r>
      <w:r w:rsidR="00265073">
        <w:rPr>
          <w:rStyle w:val="aff6"/>
          <w:rtl/>
        </w:rPr>
        <w:t>סח)</w:t>
      </w:r>
      <w:r w:rsidRPr="00465C7D">
        <w:rPr>
          <w:rStyle w:val="aff6"/>
          <w:rtl/>
        </w:rPr>
        <w:fldChar w:fldCharType="end"/>
      </w:r>
      <w:r w:rsidRPr="00465C7D">
        <w:rPr>
          <w:rStyle w:val="afb"/>
          <w:rFonts w:hint="cs"/>
          <w:rtl/>
        </w:rPr>
        <w:t xml:space="preserve"> דהקול הוא הברה בעלמא]</w:t>
      </w:r>
      <w:r>
        <w:rPr>
          <w:rStyle w:val="afb"/>
          <w:rFonts w:hint="cs"/>
          <w:rtl/>
        </w:rPr>
        <w:t xml:space="preserve">, </w:t>
      </w:r>
      <w:r>
        <w:rPr>
          <w:rFonts w:hint="cs"/>
          <w:rtl/>
        </w:rPr>
        <w:t xml:space="preserve">אמנם יעוי' במה שהאריך </w:t>
      </w:r>
      <w:r w:rsidRPr="00EE1580">
        <w:rPr>
          <w:rStyle w:val="af9"/>
          <w:rFonts w:hint="cs"/>
          <w:rtl/>
        </w:rPr>
        <w:t>ה</w:t>
      </w:r>
      <w:r w:rsidRPr="00EE1580">
        <w:rPr>
          <w:rStyle w:val="af9"/>
          <w:rtl/>
        </w:rPr>
        <w:t>יד רמ"ה</w:t>
      </w:r>
      <w:r>
        <w:rPr>
          <w:rtl/>
        </w:rPr>
        <w:t xml:space="preserve"> </w:t>
      </w:r>
      <w:r w:rsidRPr="0001287A">
        <w:rPr>
          <w:rStyle w:val="af7"/>
          <w:rFonts w:eastAsia="Guttman Hodes"/>
          <w:rtl/>
        </w:rPr>
        <w:t>(או' נ"א ד"ה</w:t>
      </w:r>
      <w:r w:rsidRPr="0001287A">
        <w:rPr>
          <w:rStyle w:val="af7"/>
          <w:rFonts w:eastAsia="Guttman Hodes" w:hint="cs"/>
          <w:rtl/>
        </w:rPr>
        <w:t xml:space="preserve"> וכי תימא)</w:t>
      </w:r>
      <w:r>
        <w:rPr>
          <w:rFonts w:hint="cs"/>
          <w:rtl/>
        </w:rPr>
        <w:t xml:space="preserve"> לדחות דלא משמע בגמ' דהקול מהני מדין מחאה.</w:t>
      </w:r>
      <w:bookmarkEnd w:id="14846"/>
    </w:p>
    <w:p w:rsidR="00F4065E" w:rsidRPr="0075469F" w:rsidRDefault="00F4065E" w:rsidP="00F4065E">
      <w:pPr>
        <w:pStyle w:val="a3"/>
      </w:pPr>
      <w:bookmarkStart w:id="14847" w:name="_Toc63975438"/>
      <w:bookmarkStart w:id="14848" w:name="_Toc63986455"/>
      <w:bookmarkStart w:id="14849" w:name="_Toc64024564"/>
      <w:bookmarkStart w:id="14850" w:name="_Toc64035959"/>
      <w:bookmarkStart w:id="14851" w:name="_Toc64148099"/>
      <w:bookmarkStart w:id="14852" w:name="_Toc64205700"/>
      <w:bookmarkStart w:id="14853" w:name="_Toc64209380"/>
      <w:r>
        <w:rPr>
          <w:rFonts w:hint="cs"/>
          <w:rtl/>
        </w:rPr>
        <w:t>דברי הרמב"ן דלר"ח הוחזק הקול בב"ד ודברי הרשב"א דהקול בתוך ג"ש אך לא הוחזק בב"ד</w:t>
      </w:r>
      <w:bookmarkEnd w:id="14847"/>
      <w:bookmarkEnd w:id="14848"/>
      <w:bookmarkEnd w:id="14849"/>
      <w:bookmarkEnd w:id="14850"/>
      <w:bookmarkEnd w:id="14851"/>
      <w:bookmarkEnd w:id="14852"/>
      <w:bookmarkEnd w:id="14853"/>
    </w:p>
    <w:p w:rsidR="00F4065E" w:rsidRDefault="00F4065E" w:rsidP="007E4E81">
      <w:pPr>
        <w:pStyle w:val="a0"/>
        <w:rPr>
          <w:rtl/>
        </w:rPr>
      </w:pPr>
      <w:bookmarkStart w:id="14854" w:name="_Ref63972391"/>
      <w:bookmarkStart w:id="14855" w:name="_Ref64196374"/>
      <w:r>
        <w:rPr>
          <w:rFonts w:hint="cs"/>
          <w:rtl/>
        </w:rPr>
        <w:t xml:space="preserve">וכתב </w:t>
      </w:r>
      <w:r w:rsidRPr="0001524E">
        <w:rPr>
          <w:rStyle w:val="af9"/>
          <w:rFonts w:hint="cs"/>
          <w:rtl/>
        </w:rPr>
        <w:t>הרמב"ן</w:t>
      </w:r>
      <w:r>
        <w:rPr>
          <w:rFonts w:hint="cs"/>
          <w:rtl/>
        </w:rPr>
        <w:t xml:space="preserve"> דלדעת </w:t>
      </w:r>
      <w:r w:rsidRPr="0001524E">
        <w:rPr>
          <w:rStyle w:val="af9"/>
          <w:rFonts w:hint="cs"/>
          <w:rtl/>
        </w:rPr>
        <w:t>ר"ח</w:t>
      </w:r>
      <w:r>
        <w:rPr>
          <w:rFonts w:hint="cs"/>
          <w:rtl/>
        </w:rPr>
        <w:t xml:space="preserve"> צ"ל דהקול הוא קלא דלא פסיק, והוחזק הקול בב"ד, דהא איתא בגיטין </w:t>
      </w:r>
      <w:r w:rsidRPr="00BE6AC8">
        <w:rPr>
          <w:rStyle w:val="af7"/>
          <w:rFonts w:eastAsia="Guttman Hodes" w:hint="cs"/>
          <w:rtl/>
        </w:rPr>
        <w:t>(פט:)</w:t>
      </w:r>
      <w:r>
        <w:rPr>
          <w:rFonts w:hint="cs"/>
          <w:rtl/>
        </w:rPr>
        <w:t xml:space="preserve"> דקול שלא הוחזק אינו קול, והוסיף </w:t>
      </w:r>
      <w:r w:rsidRPr="0001524E">
        <w:rPr>
          <w:rStyle w:val="af9"/>
          <w:rFonts w:hint="cs"/>
          <w:rtl/>
        </w:rPr>
        <w:t>הרשב"א</w:t>
      </w:r>
      <w:r>
        <w:rPr>
          <w:rFonts w:hint="cs"/>
          <w:rtl/>
        </w:rPr>
        <w:t xml:space="preserve"> בשם </w:t>
      </w:r>
      <w:r w:rsidRPr="0001524E">
        <w:rPr>
          <w:rStyle w:val="af9"/>
          <w:rFonts w:hint="cs"/>
          <w:rtl/>
        </w:rPr>
        <w:t>י"מ</w:t>
      </w:r>
      <w:r>
        <w:rPr>
          <w:rFonts w:hint="cs"/>
          <w:rtl/>
        </w:rPr>
        <w:t xml:space="preserve"> דאיירי שהקול יצא לפני שיש לו חזקת ג"ש, דהא הקול לא עדיף ממחאה גמורה, דל"מ לאחר ג"ש, אך דחה </w:t>
      </w:r>
      <w:r w:rsidRPr="0001524E">
        <w:rPr>
          <w:rStyle w:val="af9"/>
          <w:rFonts w:hint="cs"/>
          <w:rtl/>
        </w:rPr>
        <w:t>הרשב"א</w:t>
      </w:r>
      <w:r>
        <w:rPr>
          <w:rFonts w:hint="cs"/>
          <w:rtl/>
        </w:rPr>
        <w:t xml:space="preserve"> </w:t>
      </w:r>
      <w:bookmarkStart w:id="14856" w:name="_Toc63975439"/>
      <w:bookmarkStart w:id="14857" w:name="_Toc63986456"/>
      <w:bookmarkStart w:id="14858" w:name="_Toc64024565"/>
      <w:bookmarkStart w:id="14859" w:name="_Toc64035960"/>
      <w:bookmarkEnd w:id="14854"/>
      <w:r>
        <w:rPr>
          <w:rFonts w:hint="cs"/>
          <w:rtl/>
        </w:rPr>
        <w:t xml:space="preserve">דא"צ שהקול יוחזק בב"ד, כיון שאין מוציאין ממנו מדינא מכח הקול, אלא דמחמת הקול היה לו להזהר בשטרו, אעפ"י שהקול אינו כמחאה גמורה, כיון דלא ניחא לאיניש שיקראו לו גזלן, וכיון שלא נזהר בשטרו לא מהני לו החזקה, ועי' במ"ש </w:t>
      </w:r>
      <w:r w:rsidRPr="00813D0C">
        <w:rPr>
          <w:rStyle w:val="af9"/>
          <w:rFonts w:hint="cs"/>
          <w:rtl/>
        </w:rPr>
        <w:t>המ"מ</w:t>
      </w:r>
      <w:r>
        <w:rPr>
          <w:rFonts w:hint="cs"/>
          <w:rtl/>
        </w:rPr>
        <w:t xml:space="preserve"> </w:t>
      </w:r>
      <w:r w:rsidRPr="00813D0C">
        <w:rPr>
          <w:rStyle w:val="af7"/>
          <w:rFonts w:eastAsia="Guttman Hodes" w:hint="cs"/>
          <w:rtl/>
        </w:rPr>
        <w:t xml:space="preserve">(עי' אות </w:t>
      </w:r>
      <w:r w:rsidRPr="00813D0C">
        <w:rPr>
          <w:rStyle w:val="af7"/>
          <w:rFonts w:eastAsia="Guttman Hodes"/>
          <w:rtl/>
        </w:rPr>
        <w:fldChar w:fldCharType="begin"/>
      </w:r>
      <w:r w:rsidRPr="00813D0C">
        <w:rPr>
          <w:rStyle w:val="af7"/>
          <w:rFonts w:eastAsia="Guttman Hodes"/>
          <w:rtl/>
        </w:rPr>
        <w:instrText xml:space="preserve"> </w:instrText>
      </w:r>
      <w:r w:rsidRPr="00813D0C">
        <w:rPr>
          <w:rStyle w:val="af7"/>
          <w:rFonts w:eastAsia="Guttman Hodes" w:hint="cs"/>
        </w:rPr>
        <w:instrText>REF</w:instrText>
      </w:r>
      <w:r w:rsidRPr="00813D0C">
        <w:rPr>
          <w:rStyle w:val="af7"/>
          <w:rFonts w:eastAsia="Guttman Hodes" w:hint="cs"/>
          <w:rtl/>
        </w:rPr>
        <w:instrText xml:space="preserve"> _</w:instrText>
      </w:r>
      <w:r w:rsidRPr="00813D0C">
        <w:rPr>
          <w:rStyle w:val="af7"/>
          <w:rFonts w:eastAsia="Guttman Hodes" w:hint="cs"/>
        </w:rPr>
        <w:instrText>Ref63959773 \r \h</w:instrText>
      </w:r>
      <w:r w:rsidRPr="00813D0C">
        <w:rPr>
          <w:rStyle w:val="af7"/>
          <w:rFonts w:eastAsia="Guttman Hodes"/>
          <w:rtl/>
        </w:rPr>
        <w:instrText xml:space="preserve"> </w:instrText>
      </w:r>
      <w:r w:rsidRPr="00813D0C">
        <w:rPr>
          <w:rStyle w:val="af7"/>
          <w:rFonts w:eastAsia="Guttman Hodes"/>
          <w:rtl/>
        </w:rPr>
      </w:r>
      <w:r w:rsidRPr="00813D0C">
        <w:rPr>
          <w:rStyle w:val="af7"/>
          <w:rFonts w:eastAsia="Guttman Hodes"/>
          <w:rtl/>
        </w:rPr>
        <w:fldChar w:fldCharType="separate"/>
      </w:r>
      <w:r w:rsidR="00265073">
        <w:rPr>
          <w:rStyle w:val="af7"/>
          <w:rFonts w:eastAsia="Guttman Hodes"/>
          <w:cs/>
        </w:rPr>
        <w:t>‎</w:t>
      </w:r>
      <w:r w:rsidR="00265073">
        <w:rPr>
          <w:rStyle w:val="af7"/>
          <w:rFonts w:eastAsia="Guttman Hodes"/>
          <w:rtl/>
        </w:rPr>
        <w:t>קיח)</w:t>
      </w:r>
      <w:r w:rsidRPr="00813D0C">
        <w:rPr>
          <w:rStyle w:val="af7"/>
          <w:rFonts w:eastAsia="Guttman Hodes"/>
          <w:rtl/>
        </w:rPr>
        <w:fldChar w:fldCharType="end"/>
      </w:r>
      <w:r>
        <w:rPr>
          <w:rFonts w:hint="cs"/>
          <w:rtl/>
        </w:rPr>
        <w:t xml:space="preserve"> בדעת </w:t>
      </w:r>
      <w:r w:rsidRPr="00813D0C">
        <w:rPr>
          <w:rStyle w:val="af9"/>
          <w:rFonts w:hint="cs"/>
          <w:rtl/>
        </w:rPr>
        <w:t>הרמב"ם</w:t>
      </w:r>
      <w:r>
        <w:rPr>
          <w:rFonts w:hint="cs"/>
          <w:rtl/>
        </w:rPr>
        <w:t>.</w:t>
      </w:r>
      <w:bookmarkEnd w:id="14855"/>
    </w:p>
    <w:p w:rsidR="00F4065E" w:rsidRPr="002016E0" w:rsidRDefault="00F4065E" w:rsidP="00F4065E">
      <w:pPr>
        <w:pStyle w:val="a3"/>
        <w:rPr>
          <w:rtl/>
        </w:rPr>
      </w:pPr>
      <w:bookmarkStart w:id="14860" w:name="_Toc64148100"/>
      <w:bookmarkStart w:id="14861" w:name="_Toc64205701"/>
      <w:bookmarkStart w:id="14862" w:name="_Toc64209381"/>
      <w:r>
        <w:rPr>
          <w:rFonts w:hint="cs"/>
          <w:rtl/>
        </w:rPr>
        <w:t>ביאורי רבינו יונה בדעת ר"ח דאמר אביי דתחילת הקול ע"י המשכנתא וסופו שהיא של היתומים</w:t>
      </w:r>
      <w:bookmarkEnd w:id="14856"/>
      <w:bookmarkEnd w:id="14857"/>
      <w:bookmarkEnd w:id="14858"/>
      <w:bookmarkEnd w:id="14859"/>
      <w:bookmarkEnd w:id="14860"/>
      <w:bookmarkEnd w:id="14861"/>
      <w:bookmarkEnd w:id="14862"/>
    </w:p>
    <w:p w:rsidR="00F4065E" w:rsidRDefault="00F4065E" w:rsidP="007E4E81">
      <w:pPr>
        <w:pStyle w:val="a0"/>
        <w:rPr>
          <w:rtl/>
        </w:rPr>
      </w:pPr>
      <w:r>
        <w:rPr>
          <w:rFonts w:hint="cs"/>
          <w:rtl/>
        </w:rPr>
        <w:t xml:space="preserve">והוסיף </w:t>
      </w:r>
      <w:r w:rsidRPr="0001524E">
        <w:rPr>
          <w:rStyle w:val="af9"/>
          <w:rFonts w:hint="cs"/>
          <w:rtl/>
        </w:rPr>
        <w:t>רבינו</w:t>
      </w:r>
      <w:r>
        <w:rPr>
          <w:rFonts w:hint="cs"/>
          <w:rtl/>
        </w:rPr>
        <w:t xml:space="preserve"> </w:t>
      </w:r>
      <w:r w:rsidRPr="0001524E">
        <w:rPr>
          <w:rStyle w:val="af9"/>
          <w:rFonts w:hint="cs"/>
          <w:rtl/>
        </w:rPr>
        <w:t>יונה</w:t>
      </w:r>
      <w:r>
        <w:rPr>
          <w:rFonts w:hint="cs"/>
          <w:rtl/>
        </w:rPr>
        <w:t xml:space="preserve"> </w:t>
      </w:r>
      <w:r w:rsidRPr="0001287A">
        <w:rPr>
          <w:rStyle w:val="af7"/>
          <w:rFonts w:eastAsia="Guttman Hodes" w:hint="cs"/>
          <w:rtl/>
        </w:rPr>
        <w:t>(ד"ה א"ל לקוחה)</w:t>
      </w:r>
      <w:r>
        <w:rPr>
          <w:rFonts w:hint="cs"/>
          <w:rtl/>
        </w:rPr>
        <w:t xml:space="preserve"> בשם </w:t>
      </w:r>
      <w:r w:rsidRPr="0001524E">
        <w:rPr>
          <w:rStyle w:val="af9"/>
          <w:rFonts w:hint="cs"/>
          <w:rtl/>
        </w:rPr>
        <w:t>ר"ח</w:t>
      </w:r>
      <w:r>
        <w:rPr>
          <w:rFonts w:hint="cs"/>
          <w:rtl/>
        </w:rPr>
        <w:t xml:space="preserve"> דהא דאמר אביי שיש קול שהקרקע של היתומים, ולא אמר שיצא הקול בחיי האב, כוונתו לומר שיש קול שמתחילה ועד סוף הקרקע היא של היתומים, דתחילת הקול היה בחיי האב שהקרקע במשכנתא, אך כיון שהקול עכשיו הוא שהקרקע של היתומים, לכן אמר אביי דזה הקול, ועוד ביאר </w:t>
      </w:r>
      <w:r w:rsidRPr="00F239A8">
        <w:rPr>
          <w:rStyle w:val="af9"/>
          <w:rFonts w:hint="cs"/>
          <w:rtl/>
        </w:rPr>
        <w:t>רבינו יונה</w:t>
      </w:r>
      <w:r>
        <w:rPr>
          <w:rFonts w:hint="cs"/>
          <w:rtl/>
        </w:rPr>
        <w:t xml:space="preserve"> דכוונת אביי לרבא בר שרשום דאתה יודע שהוא דבר ידוע שהקרקע במשכנתא ונגמרו המשכנתא, ואם נחקור את הקול כ"ש שיתברר שהקול יצא בחיי </w:t>
      </w:r>
      <w:r w:rsidRPr="00B16EAC">
        <w:rPr>
          <w:rFonts w:hint="cs"/>
          <w:rtl/>
        </w:rPr>
        <w:t>האב</w:t>
      </w:r>
      <w:r>
        <w:rPr>
          <w:rFonts w:hint="cs"/>
          <w:rtl/>
        </w:rPr>
        <w:t xml:space="preserve">, כיון שלא עבר הרבה </w:t>
      </w:r>
      <w:r w:rsidRPr="00B16EAC">
        <w:rPr>
          <w:rFonts w:hint="cs"/>
          <w:rtl/>
        </w:rPr>
        <w:t>זמן</w:t>
      </w:r>
      <w:r>
        <w:rPr>
          <w:rFonts w:hint="cs"/>
          <w:rtl/>
        </w:rPr>
        <w:t xml:space="preserve">, מסוף שני </w:t>
      </w:r>
      <w:r w:rsidRPr="00B16EAC">
        <w:rPr>
          <w:rFonts w:hint="cs"/>
          <w:rtl/>
        </w:rPr>
        <w:t>המשכנתא.</w:t>
      </w:r>
    </w:p>
    <w:p w:rsidR="00F4065E" w:rsidRPr="005E078B" w:rsidRDefault="00F4065E" w:rsidP="00F4065E">
      <w:pPr>
        <w:pStyle w:val="1"/>
        <w:rPr>
          <w:rtl/>
        </w:rPr>
      </w:pPr>
      <w:bookmarkStart w:id="14863" w:name="_Toc64148101"/>
      <w:bookmarkStart w:id="14864" w:name="_Toc64205702"/>
      <w:bookmarkStart w:id="14865" w:name="_Toc64209382"/>
      <w:r>
        <w:rPr>
          <w:rFonts w:hint="cs"/>
          <w:rtl/>
        </w:rPr>
        <w:t>ד' הרמב"ן דע"י הקול ידועה לכל שהיא שלהם וצריך עידי חזקה</w:t>
      </w:r>
      <w:bookmarkEnd w:id="14863"/>
      <w:bookmarkEnd w:id="14864"/>
      <w:bookmarkEnd w:id="14865"/>
    </w:p>
    <w:p w:rsidR="00F4065E" w:rsidRPr="00783B32" w:rsidRDefault="00F4065E" w:rsidP="00F4065E">
      <w:pPr>
        <w:pStyle w:val="a3"/>
        <w:rPr>
          <w:rtl/>
        </w:rPr>
      </w:pPr>
      <w:bookmarkStart w:id="14866" w:name="_Toc64148102"/>
      <w:bookmarkStart w:id="14867" w:name="_Toc64205703"/>
      <w:bookmarkStart w:id="14868" w:name="_Toc64209383"/>
      <w:r>
        <w:rPr>
          <w:rFonts w:hint="cs"/>
          <w:rtl/>
        </w:rPr>
        <w:t>דברי הרמב"ן דהקול שהקרקע ידועה לאבי היתומים ואינו נאמן להביא עידי חזקה בפני קטנים</w:t>
      </w:r>
      <w:bookmarkEnd w:id="14866"/>
      <w:bookmarkEnd w:id="14867"/>
      <w:bookmarkEnd w:id="14868"/>
    </w:p>
    <w:p w:rsidR="00F4065E" w:rsidRPr="00F658FE" w:rsidRDefault="00F4065E" w:rsidP="007E4E81">
      <w:pPr>
        <w:pStyle w:val="a0"/>
        <w:rPr>
          <w:rtl/>
        </w:rPr>
      </w:pPr>
      <w:bookmarkStart w:id="14869" w:name="_Toc63975440"/>
      <w:bookmarkStart w:id="14870" w:name="_Toc63986457"/>
      <w:bookmarkStart w:id="14871" w:name="_Toc64024566"/>
      <w:bookmarkStart w:id="14872" w:name="_Toc64035961"/>
      <w:bookmarkStart w:id="14873" w:name="_Toc64148103"/>
      <w:bookmarkStart w:id="14874" w:name="_Toc64205704"/>
      <w:bookmarkStart w:id="14875" w:name="_Toc64209384"/>
      <w:r>
        <w:rPr>
          <w:rStyle w:val="af9"/>
          <w:rFonts w:hint="cs"/>
          <w:rtl/>
        </w:rPr>
        <w:t>ו</w:t>
      </w:r>
      <w:r w:rsidRPr="00CA4698">
        <w:rPr>
          <w:rStyle w:val="af9"/>
          <w:rFonts w:hint="cs"/>
          <w:rtl/>
        </w:rPr>
        <w:t>הרמב"ן</w:t>
      </w:r>
      <w:r w:rsidRPr="00D262EA">
        <w:rPr>
          <w:rStyle w:val="af7"/>
          <w:rFonts w:eastAsia="Guttman Hodes" w:hint="cs"/>
          <w:b/>
          <w:b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Ref64144571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Pr>
          <w:rStyle w:val="af7"/>
          <w:rFonts w:eastAsia="Guttman Hodes"/>
          <w:rtl/>
        </w:rPr>
        <w:fldChar w:fldCharType="end"/>
      </w:r>
      <w:r w:rsidRPr="00D262EA">
        <w:rPr>
          <w:rStyle w:val="af7"/>
          <w:rFonts w:eastAsia="Guttman Hodes" w:hint="cs"/>
          <w:rtl/>
        </w:rPr>
        <w:t xml:space="preserve"> </w:t>
      </w:r>
      <w:r>
        <w:rPr>
          <w:rFonts w:hint="cs"/>
          <w:rtl/>
        </w:rPr>
        <w:t xml:space="preserve">כתב דהקול הוא שהקרקע היא של היתומים, דהיינו שהכל יודעים שהקרקע ידועה ומוחזקת לאביהם של היתומים, או דאיירי דאפוטרופוס של היתומים או ב"ד תובעים את הקרקע, ולכן הוצרך רבא בר שרשום להביא עידי חזקה, ואינו נאמן להביא עדים בפני היתומים הקטנים. </w:t>
      </w:r>
    </w:p>
    <w:p w:rsidR="00F4065E" w:rsidRPr="00ED7BD7" w:rsidRDefault="00F4065E" w:rsidP="00F4065E">
      <w:pPr>
        <w:pStyle w:val="1"/>
        <w:rPr>
          <w:rtl/>
        </w:rPr>
      </w:pPr>
      <w:r>
        <w:rPr>
          <w:rFonts w:hint="cs"/>
          <w:rtl/>
        </w:rPr>
        <w:t>דעת הי"מ דהקול הוא שירד במשכנתא ואינו נאמן דלקוחה בידו</w:t>
      </w:r>
      <w:bookmarkEnd w:id="14869"/>
      <w:bookmarkEnd w:id="14870"/>
      <w:bookmarkEnd w:id="14871"/>
      <w:bookmarkEnd w:id="14872"/>
      <w:bookmarkEnd w:id="14873"/>
      <w:bookmarkEnd w:id="14874"/>
      <w:bookmarkEnd w:id="14875"/>
    </w:p>
    <w:p w:rsidR="00F4065E" w:rsidRPr="00891B70" w:rsidRDefault="00F4065E" w:rsidP="00F4065E">
      <w:pPr>
        <w:pStyle w:val="a3"/>
        <w:rPr>
          <w:rtl/>
        </w:rPr>
      </w:pPr>
      <w:bookmarkStart w:id="14876" w:name="_Toc63975441"/>
      <w:bookmarkStart w:id="14877" w:name="_Toc63986458"/>
      <w:bookmarkStart w:id="14878" w:name="_Toc64024567"/>
      <w:bookmarkStart w:id="14879" w:name="_Toc64035962"/>
      <w:bookmarkStart w:id="14880" w:name="_Toc64148104"/>
      <w:bookmarkStart w:id="14881" w:name="_Toc64205705"/>
      <w:bookmarkStart w:id="14882" w:name="_Toc64209385"/>
      <w:r>
        <w:rPr>
          <w:rFonts w:hint="cs"/>
          <w:rtl/>
        </w:rPr>
        <w:t>ביאור הי"מ ברמב"ן דיש עדים שירד במשכנתא וע"י העדות הזו יצא קול שאינה שלו</w:t>
      </w:r>
      <w:bookmarkEnd w:id="14876"/>
      <w:bookmarkEnd w:id="14877"/>
      <w:bookmarkEnd w:id="14878"/>
      <w:bookmarkEnd w:id="14879"/>
      <w:bookmarkEnd w:id="14880"/>
      <w:bookmarkEnd w:id="14881"/>
      <w:bookmarkEnd w:id="14882"/>
    </w:p>
    <w:p w:rsidR="00F4065E" w:rsidRDefault="00F4065E" w:rsidP="007E4E81">
      <w:pPr>
        <w:pStyle w:val="a0"/>
        <w:rPr>
          <w:rtl/>
        </w:rPr>
      </w:pPr>
      <w:r>
        <w:rPr>
          <w:rFonts w:hint="cs"/>
          <w:rtl/>
        </w:rPr>
        <w:t xml:space="preserve">ועוד הביא </w:t>
      </w:r>
      <w:r w:rsidRPr="00FC7913">
        <w:rPr>
          <w:rStyle w:val="af9"/>
          <w:rFonts w:hint="cs"/>
          <w:rtl/>
        </w:rPr>
        <w:t>הרמב"ן</w:t>
      </w:r>
      <w:r w:rsidRPr="00184ED8">
        <w:rPr>
          <w:rStyle w:val="af7"/>
          <w:rFonts w:eastAsia="Guttman Hodes" w:hint="cs"/>
          <w:rtl/>
        </w:rPr>
        <w:t xml:space="preserve"> (ד"ה אמר ליה) </w:t>
      </w:r>
      <w:r>
        <w:rPr>
          <w:rFonts w:hint="cs"/>
          <w:rtl/>
        </w:rPr>
        <w:t xml:space="preserve">בשם </w:t>
      </w:r>
      <w:r w:rsidRPr="00FC7913">
        <w:rPr>
          <w:rStyle w:val="af9"/>
          <w:rFonts w:hint="cs"/>
          <w:rtl/>
        </w:rPr>
        <w:t>י"מ</w:t>
      </w:r>
      <w:r>
        <w:rPr>
          <w:rFonts w:hint="cs"/>
          <w:rtl/>
        </w:rPr>
        <w:t xml:space="preserve"> דבאו עדים והעידו שהקרקע באה לידי רבא בר שרשום במשכנתא, ומחמת עדות העדים יצא הקול שלא חזר ולקחה, דכיון שיש עדים שירד ברשות אין לו חזקה, כדאיתא לקמן </w:t>
      </w:r>
      <w:r w:rsidRPr="00280642">
        <w:rPr>
          <w:rStyle w:val="af7"/>
          <w:rFonts w:eastAsia="Guttman Hodes" w:hint="cs"/>
          <w:rtl/>
        </w:rPr>
        <w:t>(לט:)</w:t>
      </w:r>
      <w:r>
        <w:rPr>
          <w:rFonts w:hint="cs"/>
          <w:rtl/>
        </w:rPr>
        <w:t xml:space="preserve">, וכעי"ז כתב </w:t>
      </w:r>
      <w:r w:rsidRPr="00FC7913">
        <w:rPr>
          <w:rStyle w:val="af9"/>
          <w:rFonts w:hint="cs"/>
          <w:rtl/>
        </w:rPr>
        <w:t>הרשב"א</w:t>
      </w:r>
      <w:r w:rsidRPr="00184ED8">
        <w:rPr>
          <w:rStyle w:val="af7"/>
          <w:rFonts w:eastAsia="Guttman Hodes" w:hint="cs"/>
          <w:rtl/>
        </w:rPr>
        <w:t xml:space="preserve"> (ד"ה ויש מפרשים) </w:t>
      </w:r>
      <w:r>
        <w:rPr>
          <w:rFonts w:hint="cs"/>
          <w:rtl/>
        </w:rPr>
        <w:t xml:space="preserve">בשם </w:t>
      </w:r>
      <w:r w:rsidRPr="00FC7913">
        <w:rPr>
          <w:rStyle w:val="af9"/>
          <w:rFonts w:hint="cs"/>
          <w:rtl/>
        </w:rPr>
        <w:t>י"מ</w:t>
      </w:r>
      <w:r>
        <w:rPr>
          <w:rStyle w:val="af9"/>
          <w:rtl/>
        </w:rPr>
        <w:t xml:space="preserve"> </w:t>
      </w:r>
      <w:r>
        <w:rPr>
          <w:rFonts w:hint="cs"/>
          <w:rtl/>
        </w:rPr>
        <w:t xml:space="preserve">דיצא קול שהקרקע באה לידו במשכנתא, וכיון שידוע שהוא ירד במשכנתא, הוא כמפקיד אצל אומן שיש עדים שנתן לו, וראו את החפץ בידו, כדאיתא לקמן </w:t>
      </w:r>
      <w:r w:rsidRPr="00280642">
        <w:rPr>
          <w:rStyle w:val="af7"/>
          <w:rFonts w:eastAsia="Guttman Hodes" w:hint="cs"/>
          <w:rtl/>
        </w:rPr>
        <w:t>(מו.)</w:t>
      </w:r>
      <w:r>
        <w:rPr>
          <w:rFonts w:hint="cs"/>
          <w:rtl/>
        </w:rPr>
        <w:t xml:space="preserve"> דכל אדם אינו נאמן לטעון בכה"ג חזרתי ולקחתי ממנו.</w:t>
      </w:r>
    </w:p>
    <w:p w:rsidR="00F4065E" w:rsidRPr="008A6A96" w:rsidRDefault="00F4065E" w:rsidP="00F4065E">
      <w:pPr>
        <w:pStyle w:val="a3"/>
        <w:rPr>
          <w:rtl/>
        </w:rPr>
      </w:pPr>
      <w:bookmarkStart w:id="14883" w:name="_Toc63975442"/>
      <w:bookmarkStart w:id="14884" w:name="_Toc63986459"/>
      <w:bookmarkStart w:id="14885" w:name="_Toc64024568"/>
      <w:bookmarkStart w:id="14886" w:name="_Toc64035963"/>
      <w:bookmarkStart w:id="14887" w:name="_Toc64148105"/>
      <w:bookmarkStart w:id="14888" w:name="_Toc64205706"/>
      <w:bookmarkStart w:id="14889" w:name="_Toc64209386"/>
      <w:r>
        <w:rPr>
          <w:rFonts w:hint="cs"/>
          <w:rtl/>
        </w:rPr>
        <w:t>ביאור הי"מ בריטב"א דכיון שהקול מפורסם חשיב שיש שטר שירד במשכנתא והוא יורד ברשות</w:t>
      </w:r>
      <w:bookmarkEnd w:id="14883"/>
      <w:bookmarkEnd w:id="14884"/>
      <w:bookmarkEnd w:id="14885"/>
      <w:bookmarkEnd w:id="14886"/>
      <w:bookmarkEnd w:id="14887"/>
      <w:bookmarkEnd w:id="14888"/>
      <w:bookmarkEnd w:id="14889"/>
    </w:p>
    <w:p w:rsidR="00F4065E" w:rsidRPr="00465C7D" w:rsidRDefault="00F4065E" w:rsidP="007E4E81">
      <w:pPr>
        <w:pStyle w:val="a0"/>
        <w:rPr>
          <w:rStyle w:val="afb"/>
          <w:rtl/>
        </w:rPr>
      </w:pPr>
      <w:bookmarkStart w:id="14890" w:name="_Toc63675678"/>
      <w:bookmarkStart w:id="14891" w:name="_Toc63703842"/>
      <w:bookmarkStart w:id="14892" w:name="_Toc63714142"/>
      <w:bookmarkStart w:id="14893" w:name="_Toc63854255"/>
      <w:bookmarkStart w:id="14894" w:name="_Toc63942237"/>
      <w:r w:rsidRPr="008A6A96">
        <w:rPr>
          <w:rStyle w:val="af9"/>
          <w:rFonts w:hint="cs"/>
          <w:rtl/>
        </w:rPr>
        <w:t>והריטב"א</w:t>
      </w:r>
      <w:r>
        <w:rPr>
          <w:rFonts w:hint="cs"/>
          <w:rtl/>
        </w:rPr>
        <w:t xml:space="preserve"> </w:t>
      </w:r>
      <w:r w:rsidRPr="008A6A96">
        <w:rPr>
          <w:rStyle w:val="af7"/>
          <w:rFonts w:eastAsia="Guttman Hodes" w:hint="cs"/>
          <w:rtl/>
        </w:rPr>
        <w:t>(ד"ה א"ל)</w:t>
      </w:r>
      <w:r>
        <w:rPr>
          <w:rFonts w:hint="cs"/>
          <w:rtl/>
        </w:rPr>
        <w:t xml:space="preserve"> הביא בשם </w:t>
      </w:r>
      <w:r w:rsidRPr="008A6A96">
        <w:rPr>
          <w:rStyle w:val="af9"/>
          <w:rFonts w:hint="cs"/>
          <w:rtl/>
        </w:rPr>
        <w:t>י"מ</w:t>
      </w:r>
      <w:r>
        <w:rPr>
          <w:rFonts w:hint="cs"/>
          <w:rtl/>
        </w:rPr>
        <w:t xml:space="preserve"> דכיון שהקול הוא מפורסם, א"כ חשיב כאילו יש שטר שירד לקרקע במשכנתא, וכיון שירד </w:t>
      </w:r>
      <w:r>
        <w:rPr>
          <w:rFonts w:hint="cs"/>
          <w:rtl/>
        </w:rPr>
        <w:t xml:space="preserve">במשכנתא חשיב יורד ברשות. </w:t>
      </w:r>
      <w:r w:rsidRPr="00465C7D">
        <w:rPr>
          <w:rStyle w:val="afb"/>
          <w:rFonts w:hint="cs"/>
          <w:rtl/>
        </w:rPr>
        <w:t xml:space="preserve">[וכדביאר </w:t>
      </w:r>
      <w:r w:rsidRPr="00465C7D">
        <w:rPr>
          <w:rStyle w:val="affa"/>
          <w:rFonts w:hint="cs"/>
          <w:rtl/>
        </w:rPr>
        <w:t>הריטב"א</w:t>
      </w:r>
      <w:r w:rsidRPr="00465C7D">
        <w:rPr>
          <w:rStyle w:val="afb"/>
          <w:rFonts w:hint="cs"/>
          <w:rtl/>
        </w:rPr>
        <w:t xml:space="preserve"> </w:t>
      </w:r>
      <w:r w:rsidRPr="00465C7D">
        <w:rPr>
          <w:rStyle w:val="aff6"/>
          <w:rFonts w:hint="cs"/>
          <w:rtl/>
        </w:rPr>
        <w:t xml:space="preserve">(עי' אות </w:t>
      </w:r>
      <w:r w:rsidRPr="00465C7D">
        <w:rPr>
          <w:rStyle w:val="aff6"/>
          <w:rtl/>
        </w:rPr>
        <w:fldChar w:fldCharType="begin"/>
      </w:r>
      <w:r w:rsidRPr="00465C7D">
        <w:rPr>
          <w:rStyle w:val="aff6"/>
          <w:rtl/>
        </w:rPr>
        <w:instrText xml:space="preserve"> </w:instrText>
      </w:r>
      <w:r w:rsidRPr="00465C7D">
        <w:rPr>
          <w:rStyle w:val="aff6"/>
          <w:rFonts w:hint="cs"/>
        </w:rPr>
        <w:instrText>REF</w:instrText>
      </w:r>
      <w:r w:rsidRPr="00465C7D">
        <w:rPr>
          <w:rStyle w:val="aff6"/>
          <w:rFonts w:hint="cs"/>
          <w:rtl/>
        </w:rPr>
        <w:instrText xml:space="preserve"> _</w:instrText>
      </w:r>
      <w:r w:rsidRPr="00465C7D">
        <w:rPr>
          <w:rStyle w:val="aff6"/>
          <w:rFonts w:hint="cs"/>
        </w:rPr>
        <w:instrText>Ref63971298 \r \h</w:instrText>
      </w:r>
      <w:r w:rsidRPr="00465C7D">
        <w:rPr>
          <w:rStyle w:val="aff6"/>
          <w:rtl/>
        </w:rPr>
        <w:instrText xml:space="preserve"> </w:instrText>
      </w:r>
      <w:r w:rsidRPr="00465C7D">
        <w:rPr>
          <w:rStyle w:val="aff6"/>
          <w:rtl/>
        </w:rPr>
      </w:r>
      <w:r w:rsidRPr="00465C7D">
        <w:rPr>
          <w:rStyle w:val="aff6"/>
          <w:rtl/>
        </w:rPr>
        <w:fldChar w:fldCharType="separate"/>
      </w:r>
      <w:r w:rsidR="00265073">
        <w:rPr>
          <w:rStyle w:val="aff6"/>
          <w:cs/>
        </w:rPr>
        <w:t>‎</w:t>
      </w:r>
      <w:r w:rsidR="00265073">
        <w:rPr>
          <w:rStyle w:val="aff6"/>
          <w:rtl/>
        </w:rPr>
        <w:t>סח)</w:t>
      </w:r>
      <w:r w:rsidRPr="00465C7D">
        <w:rPr>
          <w:rStyle w:val="aff6"/>
          <w:rtl/>
        </w:rPr>
        <w:fldChar w:fldCharType="end"/>
      </w:r>
      <w:r w:rsidRPr="00465C7D">
        <w:rPr>
          <w:rStyle w:val="afb"/>
          <w:rFonts w:hint="cs"/>
          <w:rtl/>
        </w:rPr>
        <w:t xml:space="preserve"> דהקול הוא הברה בעלמא].</w:t>
      </w:r>
    </w:p>
    <w:p w:rsidR="00F4065E" w:rsidRDefault="00F4065E" w:rsidP="00F4065E">
      <w:pPr>
        <w:pStyle w:val="1"/>
        <w:rPr>
          <w:rtl/>
        </w:rPr>
      </w:pPr>
      <w:bookmarkStart w:id="14895" w:name="_Toc63975443"/>
      <w:bookmarkStart w:id="14896" w:name="_Toc63986460"/>
      <w:bookmarkStart w:id="14897" w:name="_Toc64024569"/>
      <w:bookmarkStart w:id="14898" w:name="_Toc64035964"/>
      <w:bookmarkStart w:id="14899" w:name="_Toc64148106"/>
      <w:bookmarkStart w:id="14900" w:name="_Toc64205707"/>
      <w:bookmarkStart w:id="14901" w:name="_Toc64209387"/>
      <w:r>
        <w:rPr>
          <w:rFonts w:hint="cs"/>
          <w:rtl/>
        </w:rPr>
        <w:t>בי' הגר"א בר"י מגאש</w:t>
      </w:r>
      <w:bookmarkEnd w:id="14890"/>
      <w:bookmarkEnd w:id="14891"/>
      <w:bookmarkEnd w:id="14892"/>
      <w:bookmarkEnd w:id="14893"/>
      <w:bookmarkEnd w:id="14894"/>
      <w:r>
        <w:rPr>
          <w:rFonts w:hint="cs"/>
          <w:rtl/>
        </w:rPr>
        <w:t xml:space="preserve"> וברמב"ם דע"י הקול יש חזקת מר"ק</w:t>
      </w:r>
      <w:bookmarkEnd w:id="14895"/>
      <w:bookmarkEnd w:id="14896"/>
      <w:bookmarkEnd w:id="14897"/>
      <w:bookmarkEnd w:id="14898"/>
      <w:bookmarkEnd w:id="14899"/>
      <w:bookmarkEnd w:id="14900"/>
      <w:bookmarkEnd w:id="14901"/>
    </w:p>
    <w:p w:rsidR="00F4065E" w:rsidRPr="004246B6" w:rsidRDefault="00F4065E" w:rsidP="00F4065E">
      <w:pPr>
        <w:pStyle w:val="a3"/>
        <w:rPr>
          <w:rtl/>
        </w:rPr>
      </w:pPr>
      <w:bookmarkStart w:id="14902" w:name="_Toc63975444"/>
      <w:bookmarkStart w:id="14903" w:name="_Toc63986461"/>
      <w:bookmarkStart w:id="14904" w:name="_Toc64024570"/>
      <w:bookmarkStart w:id="14905" w:name="_Toc64035965"/>
      <w:bookmarkStart w:id="14906" w:name="_Toc64148107"/>
      <w:bookmarkStart w:id="14907" w:name="_Toc64205708"/>
      <w:bookmarkStart w:id="14908" w:name="_Toc64209388"/>
      <w:r>
        <w:rPr>
          <w:rFonts w:hint="cs"/>
          <w:rtl/>
        </w:rPr>
        <w:t>דעת הר"י מגאש והרמב"ם דהחזיק ג"ש לאח"מ האב והקול הוא שהייתה של האב ול"מ החזקה</w:t>
      </w:r>
      <w:bookmarkEnd w:id="14902"/>
      <w:bookmarkEnd w:id="14903"/>
      <w:bookmarkEnd w:id="14904"/>
      <w:bookmarkEnd w:id="14905"/>
      <w:bookmarkEnd w:id="14906"/>
      <w:bookmarkEnd w:id="14907"/>
      <w:bookmarkEnd w:id="14908"/>
    </w:p>
    <w:p w:rsidR="00F4065E" w:rsidRPr="00920103" w:rsidRDefault="00F4065E" w:rsidP="007E4E81">
      <w:pPr>
        <w:pStyle w:val="a0"/>
        <w:rPr>
          <w:rtl/>
        </w:rPr>
      </w:pPr>
      <w:bookmarkStart w:id="14909" w:name="_Ref63971927"/>
      <w:bookmarkStart w:id="14910" w:name="_Ref63970164"/>
      <w:r>
        <w:rPr>
          <w:rFonts w:hint="cs"/>
          <w:rtl/>
        </w:rPr>
        <w:t xml:space="preserve">כתב </w:t>
      </w:r>
      <w:r w:rsidRPr="00FC7913">
        <w:rPr>
          <w:rStyle w:val="af9"/>
          <w:rFonts w:hint="cs"/>
          <w:rtl/>
        </w:rPr>
        <w:t>הר"י מגאש</w:t>
      </w:r>
      <w:r>
        <w:rPr>
          <w:rFonts w:hint="cs"/>
          <w:rtl/>
        </w:rPr>
        <w:t xml:space="preserve"> </w:t>
      </w:r>
      <w:r w:rsidRPr="00292E95">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Ref64190848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Pr>
          <w:rStyle w:val="af7"/>
          <w:rFonts w:eastAsia="Guttman Hodes"/>
          <w:rtl/>
        </w:rPr>
        <w:fldChar w:fldCharType="end"/>
      </w:r>
      <w:r>
        <w:rPr>
          <w:rStyle w:val="af7"/>
          <w:rFonts w:eastAsia="Guttman Hodes" w:hint="cs"/>
          <w:rtl/>
        </w:rPr>
        <w:t xml:space="preserve"> </w:t>
      </w:r>
      <w:r>
        <w:rPr>
          <w:rFonts w:hint="cs"/>
          <w:rtl/>
        </w:rPr>
        <w:t xml:space="preserve">דרבא בר שרשום החזיק </w:t>
      </w:r>
      <w:r w:rsidRPr="00981B6B">
        <w:rPr>
          <w:rFonts w:hint="cs"/>
          <w:rtl/>
        </w:rPr>
        <w:t xml:space="preserve">רק לאחר מיתת האב, </w:t>
      </w:r>
      <w:r>
        <w:rPr>
          <w:rFonts w:hint="cs"/>
          <w:rtl/>
        </w:rPr>
        <w:t>ו</w:t>
      </w:r>
      <w:r w:rsidRPr="00981B6B">
        <w:rPr>
          <w:rFonts w:hint="cs"/>
          <w:rtl/>
        </w:rPr>
        <w:t xml:space="preserve">אין חזקתו חזקה, ולכן כיון שיצא עליו קול שהקרקע של היתומים, </w:t>
      </w:r>
      <w:r>
        <w:rPr>
          <w:rFonts w:hint="cs"/>
          <w:rtl/>
        </w:rPr>
        <w:t xml:space="preserve">ואם לא </w:t>
      </w:r>
      <w:r w:rsidRPr="00920103">
        <w:rPr>
          <w:rFonts w:hint="cs"/>
          <w:rtl/>
        </w:rPr>
        <w:t xml:space="preserve">היה יוצא קול, היה נאמן בטענת לקוחה היא בידי, דהא לא היה ידוע שהקרקע של האב, וכן מבואר מדברי </w:t>
      </w:r>
      <w:r w:rsidRPr="00920103">
        <w:rPr>
          <w:rStyle w:val="af9"/>
          <w:rFonts w:hint="cs"/>
          <w:rtl/>
        </w:rPr>
        <w:t xml:space="preserve">הרמב"ם </w:t>
      </w:r>
      <w:r w:rsidRPr="00920103">
        <w:rPr>
          <w:rStyle w:val="af7"/>
          <w:rFonts w:eastAsia="Guttman Hodes" w:hint="cs"/>
          <w:rtl/>
        </w:rPr>
        <w:t xml:space="preserve">(עי' אות </w:t>
      </w:r>
      <w:r w:rsidRPr="00920103">
        <w:rPr>
          <w:rStyle w:val="af7"/>
          <w:rFonts w:eastAsia="Guttman Hodes"/>
          <w:rtl/>
        </w:rPr>
        <w:fldChar w:fldCharType="begin"/>
      </w:r>
      <w:r w:rsidRPr="00920103">
        <w:rPr>
          <w:rStyle w:val="af7"/>
          <w:rFonts w:eastAsia="Guttman Hodes"/>
          <w:rtl/>
        </w:rPr>
        <w:instrText xml:space="preserve"> </w:instrText>
      </w:r>
      <w:r w:rsidRPr="00920103">
        <w:rPr>
          <w:rStyle w:val="af7"/>
          <w:rFonts w:eastAsia="Guttman Hodes" w:hint="cs"/>
        </w:rPr>
        <w:instrText>REF</w:instrText>
      </w:r>
      <w:r w:rsidRPr="00920103">
        <w:rPr>
          <w:rStyle w:val="af7"/>
          <w:rFonts w:eastAsia="Guttman Hodes" w:hint="cs"/>
          <w:rtl/>
        </w:rPr>
        <w:instrText xml:space="preserve"> _</w:instrText>
      </w:r>
      <w:r w:rsidRPr="00920103">
        <w:rPr>
          <w:rStyle w:val="af7"/>
          <w:rFonts w:eastAsia="Guttman Hodes" w:hint="cs"/>
        </w:rPr>
        <w:instrText>Ref63702477 \r \h</w:instrText>
      </w:r>
      <w:r w:rsidRPr="0092010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920103">
        <w:rPr>
          <w:rStyle w:val="af7"/>
          <w:rFonts w:eastAsia="Guttman Hodes"/>
          <w:rtl/>
        </w:rPr>
      </w:r>
      <w:r w:rsidRPr="00920103">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920103">
        <w:rPr>
          <w:rStyle w:val="af7"/>
          <w:rFonts w:eastAsia="Guttman Hodes"/>
          <w:rtl/>
        </w:rPr>
        <w:fldChar w:fldCharType="end"/>
      </w:r>
      <w:r w:rsidRPr="00920103">
        <w:rPr>
          <w:rFonts w:hint="cs"/>
          <w:rtl/>
        </w:rPr>
        <w:t xml:space="preserve">, ועי' במה שביאר </w:t>
      </w:r>
      <w:r w:rsidRPr="00FB526A">
        <w:rPr>
          <w:rStyle w:val="af9"/>
          <w:rFonts w:hint="cs"/>
          <w:rtl/>
        </w:rPr>
        <w:t>הגר"א</w:t>
      </w:r>
      <w:r>
        <w:rPr>
          <w:rFonts w:hint="cs"/>
          <w:rtl/>
        </w:rPr>
        <w:t xml:space="preserve"> </w:t>
      </w:r>
      <w:r w:rsidRPr="00FB526A">
        <w:rPr>
          <w:rStyle w:val="af7"/>
          <w:rFonts w:eastAsia="Guttman Hodes" w:hint="cs"/>
          <w:rtl/>
        </w:rPr>
        <w:t xml:space="preserve">(עי' אות </w:t>
      </w:r>
      <w:r w:rsidRPr="00FB526A">
        <w:rPr>
          <w:rStyle w:val="af7"/>
          <w:rFonts w:eastAsia="Guttman Hodes"/>
          <w:rtl/>
        </w:rPr>
        <w:fldChar w:fldCharType="begin"/>
      </w:r>
      <w:r w:rsidRPr="00FB526A">
        <w:rPr>
          <w:rStyle w:val="af7"/>
          <w:rFonts w:eastAsia="Guttman Hodes"/>
          <w:rtl/>
        </w:rPr>
        <w:instrText xml:space="preserve"> </w:instrText>
      </w:r>
      <w:r w:rsidRPr="00FB526A">
        <w:rPr>
          <w:rStyle w:val="af7"/>
          <w:rFonts w:eastAsia="Guttman Hodes" w:hint="cs"/>
        </w:rPr>
        <w:instrText>REF</w:instrText>
      </w:r>
      <w:r w:rsidRPr="00FB526A">
        <w:rPr>
          <w:rStyle w:val="af7"/>
          <w:rFonts w:eastAsia="Guttman Hodes" w:hint="cs"/>
          <w:rtl/>
        </w:rPr>
        <w:instrText xml:space="preserve"> _</w:instrText>
      </w:r>
      <w:r w:rsidRPr="00FB526A">
        <w:rPr>
          <w:rStyle w:val="af7"/>
          <w:rFonts w:eastAsia="Guttman Hodes" w:hint="cs"/>
        </w:rPr>
        <w:instrText>Ref64190368 \r \h</w:instrText>
      </w:r>
      <w:r w:rsidRPr="00FB526A">
        <w:rPr>
          <w:rStyle w:val="af7"/>
          <w:rFonts w:eastAsia="Guttman Hodes"/>
          <w:rtl/>
        </w:rPr>
        <w:instrText xml:space="preserve"> </w:instrText>
      </w:r>
      <w:r w:rsidRPr="00FB526A">
        <w:rPr>
          <w:rStyle w:val="af7"/>
          <w:rFonts w:eastAsia="Guttman Hodes"/>
          <w:rtl/>
        </w:rPr>
      </w:r>
      <w:r w:rsidRPr="00FB526A">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FB526A">
        <w:rPr>
          <w:rStyle w:val="af7"/>
          <w:rFonts w:eastAsia="Guttman Hodes"/>
          <w:rtl/>
        </w:rPr>
        <w:fldChar w:fldCharType="end"/>
      </w:r>
      <w:r>
        <w:rPr>
          <w:rFonts w:hint="cs"/>
          <w:rtl/>
        </w:rPr>
        <w:t xml:space="preserve"> </w:t>
      </w:r>
      <w:r w:rsidRPr="00920103">
        <w:rPr>
          <w:rtl/>
        </w:rPr>
        <w:t xml:space="preserve">את דברי </w:t>
      </w:r>
      <w:r w:rsidRPr="00920103">
        <w:rPr>
          <w:rStyle w:val="af9"/>
          <w:rtl/>
        </w:rPr>
        <w:t>הר"י מגאש</w:t>
      </w:r>
      <w:r w:rsidRPr="00920103">
        <w:rPr>
          <w:rtl/>
        </w:rPr>
        <w:t xml:space="preserve"> </w:t>
      </w:r>
      <w:r>
        <w:rPr>
          <w:rFonts w:hint="cs"/>
          <w:rtl/>
        </w:rPr>
        <w:t>דה</w:t>
      </w:r>
      <w:r w:rsidRPr="00920103">
        <w:rPr>
          <w:rtl/>
        </w:rPr>
        <w:t xml:space="preserve">קול </w:t>
      </w:r>
      <w:r>
        <w:rPr>
          <w:rFonts w:hint="cs"/>
          <w:rtl/>
        </w:rPr>
        <w:t xml:space="preserve">הוא כעידי מרא קמא, </w:t>
      </w:r>
      <w:r w:rsidRPr="00920103">
        <w:rPr>
          <w:rtl/>
        </w:rPr>
        <w:t>ולכן א"א להחזיק בנכסי קטן</w:t>
      </w:r>
      <w:r w:rsidRPr="00920103">
        <w:rPr>
          <w:rFonts w:hint="cs"/>
          <w:rtl/>
        </w:rPr>
        <w:t>.</w:t>
      </w:r>
      <w:bookmarkEnd w:id="14909"/>
    </w:p>
    <w:p w:rsidR="00F4065E" w:rsidRPr="003B0F28" w:rsidRDefault="00F4065E" w:rsidP="00F4065E">
      <w:pPr>
        <w:pStyle w:val="1"/>
        <w:rPr>
          <w:rtl/>
        </w:rPr>
      </w:pPr>
      <w:bookmarkStart w:id="14911" w:name="_Toc63975446"/>
      <w:bookmarkStart w:id="14912" w:name="_Toc63986463"/>
      <w:bookmarkStart w:id="14913" w:name="_Toc64024572"/>
      <w:bookmarkStart w:id="14914" w:name="_Toc64035967"/>
      <w:bookmarkStart w:id="14915" w:name="_Toc64148108"/>
      <w:bookmarkStart w:id="14916" w:name="_Toc64205709"/>
      <w:bookmarkStart w:id="14917" w:name="_Toc64209389"/>
      <w:bookmarkEnd w:id="14910"/>
      <w:r w:rsidRPr="00920103">
        <w:rPr>
          <w:rFonts w:hint="cs"/>
          <w:rtl/>
        </w:rPr>
        <w:t>בי' רבינו יונה ברה"ג דבחייו יצא קול דמשכנתא ועכשיו שלהם</w:t>
      </w:r>
      <w:bookmarkEnd w:id="14911"/>
      <w:bookmarkEnd w:id="14912"/>
      <w:bookmarkEnd w:id="14913"/>
      <w:bookmarkEnd w:id="14914"/>
      <w:bookmarkEnd w:id="14915"/>
      <w:bookmarkEnd w:id="14916"/>
      <w:bookmarkEnd w:id="14917"/>
    </w:p>
    <w:p w:rsidR="00F4065E" w:rsidRPr="00BD1402" w:rsidRDefault="00F4065E" w:rsidP="00F4065E">
      <w:pPr>
        <w:pStyle w:val="a3"/>
        <w:rPr>
          <w:rtl/>
        </w:rPr>
      </w:pPr>
      <w:bookmarkStart w:id="14918" w:name="_Toc63975447"/>
      <w:bookmarkStart w:id="14919" w:name="_Toc63986464"/>
      <w:bookmarkStart w:id="14920" w:name="_Toc64024573"/>
      <w:bookmarkStart w:id="14921" w:name="_Toc64035968"/>
      <w:bookmarkStart w:id="14922" w:name="_Toc64148109"/>
      <w:bookmarkStart w:id="14923" w:name="_Toc64205710"/>
      <w:bookmarkStart w:id="14924" w:name="_Toc64209390"/>
      <w:r>
        <w:rPr>
          <w:rFonts w:hint="cs"/>
          <w:rtl/>
        </w:rPr>
        <w:t>דברי רה"ג דהקול של היתומים וביאור רבינו יונה דבחייו יצא קול דהיא משכנתא ועכשיו שלהם</w:t>
      </w:r>
      <w:bookmarkEnd w:id="14918"/>
      <w:bookmarkEnd w:id="14919"/>
      <w:bookmarkEnd w:id="14920"/>
      <w:bookmarkEnd w:id="14921"/>
      <w:bookmarkEnd w:id="14922"/>
      <w:bookmarkEnd w:id="14923"/>
      <w:bookmarkEnd w:id="14924"/>
    </w:p>
    <w:p w:rsidR="00F4065E" w:rsidRDefault="00F4065E" w:rsidP="007E4E81">
      <w:pPr>
        <w:pStyle w:val="a0"/>
      </w:pPr>
      <w:bookmarkStart w:id="14925" w:name="_Ref63971916"/>
      <w:r>
        <w:rPr>
          <w:rFonts w:hint="cs"/>
          <w:rtl/>
        </w:rPr>
        <w:t xml:space="preserve">עי' בדברי </w:t>
      </w:r>
      <w:r w:rsidRPr="00891F8E">
        <w:rPr>
          <w:rStyle w:val="af9"/>
          <w:rFonts w:hint="cs"/>
          <w:rtl/>
        </w:rPr>
        <w:t>רבינו</w:t>
      </w:r>
      <w:r>
        <w:rPr>
          <w:rFonts w:hint="cs"/>
          <w:rtl/>
        </w:rPr>
        <w:t xml:space="preserve"> </w:t>
      </w:r>
      <w:r w:rsidRPr="00891F8E">
        <w:rPr>
          <w:rStyle w:val="af9"/>
          <w:rFonts w:hint="cs"/>
          <w:rtl/>
        </w:rPr>
        <w:t>יונה</w:t>
      </w:r>
      <w:r>
        <w:rPr>
          <w:rFonts w:hint="cs"/>
          <w:rtl/>
        </w:rPr>
        <w:t xml:space="preserve"> </w:t>
      </w:r>
      <w:r w:rsidRPr="00891F8E">
        <w:rPr>
          <w:rStyle w:val="af9"/>
          <w:rFonts w:hint="cs"/>
          <w:rtl/>
        </w:rPr>
        <w:t>והרא"ש</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Ref63873925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צג)</w:t>
      </w:r>
      <w:r>
        <w:rPr>
          <w:rStyle w:val="af7"/>
          <w:rFonts w:eastAsia="Guttman Hodes"/>
          <w:rtl/>
        </w:rPr>
        <w:fldChar w:fldCharType="end"/>
      </w:r>
      <w:r>
        <w:rPr>
          <w:rStyle w:val="af7"/>
          <w:rFonts w:eastAsia="Guttman Hodes" w:hint="cs"/>
          <w:rtl/>
        </w:rPr>
        <w:t xml:space="preserve"> </w:t>
      </w:r>
      <w:r>
        <w:rPr>
          <w:rFonts w:hint="cs"/>
          <w:rtl/>
        </w:rPr>
        <w:t xml:space="preserve">דהביאו בשם </w:t>
      </w:r>
      <w:r w:rsidRPr="00891F8E">
        <w:rPr>
          <w:rStyle w:val="af9"/>
          <w:rFonts w:hint="cs"/>
          <w:rtl/>
        </w:rPr>
        <w:t>רב</w:t>
      </w:r>
      <w:r>
        <w:rPr>
          <w:rFonts w:hint="cs"/>
          <w:rtl/>
        </w:rPr>
        <w:t xml:space="preserve"> </w:t>
      </w:r>
      <w:r w:rsidRPr="00891F8E">
        <w:rPr>
          <w:rStyle w:val="af9"/>
          <w:rFonts w:hint="cs"/>
          <w:rtl/>
        </w:rPr>
        <w:t>האי</w:t>
      </w:r>
      <w:r>
        <w:rPr>
          <w:rFonts w:hint="cs"/>
          <w:rtl/>
        </w:rPr>
        <w:t xml:space="preserve"> </w:t>
      </w:r>
      <w:r w:rsidRPr="00891F8E">
        <w:rPr>
          <w:rStyle w:val="af9"/>
          <w:rFonts w:hint="cs"/>
          <w:rtl/>
        </w:rPr>
        <w:t>גאון</w:t>
      </w:r>
      <w:r>
        <w:rPr>
          <w:rFonts w:hint="cs"/>
          <w:rtl/>
        </w:rPr>
        <w:t xml:space="preserve"> </w:t>
      </w:r>
      <w:r w:rsidRPr="00114905">
        <w:rPr>
          <w:rStyle w:val="afb"/>
          <w:rFonts w:hint="cs"/>
          <w:rtl/>
        </w:rPr>
        <w:t>[</w:t>
      </w:r>
      <w:r w:rsidRPr="00114905">
        <w:rPr>
          <w:rStyle w:val="affa"/>
          <w:rFonts w:hint="cs"/>
          <w:rtl/>
        </w:rPr>
        <w:t xml:space="preserve">במשפטי השבועות </w:t>
      </w:r>
      <w:r w:rsidRPr="00114905">
        <w:rPr>
          <w:rStyle w:val="aff6"/>
          <w:rFonts w:hint="cs"/>
          <w:rtl/>
        </w:rPr>
        <w:t>(ח"א [שער א'] סוד"ה התנאי החמישי, נד' בסוף ספר המקח</w:t>
      </w:r>
      <w:r>
        <w:rPr>
          <w:rStyle w:val="aff6"/>
          <w:rFonts w:hint="cs"/>
          <w:rtl/>
        </w:rPr>
        <w:t>)</w:t>
      </w:r>
      <w:r w:rsidRPr="00114905">
        <w:rPr>
          <w:rStyle w:val="afb"/>
          <w:rFonts w:hint="cs"/>
          <w:rtl/>
        </w:rPr>
        <w:t>]</w:t>
      </w:r>
      <w:r>
        <w:rPr>
          <w:rFonts w:hint="cs"/>
          <w:rtl/>
        </w:rPr>
        <w:t xml:space="preserve"> דיצא קול שהקרקע היא של היתומים, וביאר </w:t>
      </w:r>
      <w:r w:rsidRPr="00891F8E">
        <w:rPr>
          <w:rStyle w:val="af9"/>
          <w:rFonts w:hint="cs"/>
          <w:rtl/>
        </w:rPr>
        <w:t>רבינו</w:t>
      </w:r>
      <w:r>
        <w:rPr>
          <w:rFonts w:hint="cs"/>
          <w:rtl/>
        </w:rPr>
        <w:t xml:space="preserve"> </w:t>
      </w:r>
      <w:r w:rsidRPr="00891F8E">
        <w:rPr>
          <w:rStyle w:val="af9"/>
          <w:rFonts w:hint="cs"/>
          <w:rtl/>
        </w:rPr>
        <w:t>יונה</w:t>
      </w:r>
      <w:r>
        <w:rPr>
          <w:rFonts w:hint="cs"/>
          <w:rtl/>
        </w:rPr>
        <w:t xml:space="preserve"> </w:t>
      </w:r>
      <w:r w:rsidRPr="00BD1402">
        <w:rPr>
          <w:rStyle w:val="af7"/>
          <w:rFonts w:eastAsia="Guttman Hodes" w:hint="cs"/>
          <w:rtl/>
        </w:rPr>
        <w:t xml:space="preserve">(עי' אות </w:t>
      </w:r>
      <w:r w:rsidRPr="00BD1402">
        <w:rPr>
          <w:rStyle w:val="af7"/>
          <w:rFonts w:eastAsia="Guttman Hodes"/>
          <w:rtl/>
        </w:rPr>
        <w:fldChar w:fldCharType="begin"/>
      </w:r>
      <w:r w:rsidRPr="00BD1402">
        <w:rPr>
          <w:rStyle w:val="af7"/>
          <w:rFonts w:eastAsia="Guttman Hodes"/>
          <w:rtl/>
        </w:rPr>
        <w:instrText xml:space="preserve"> </w:instrText>
      </w:r>
      <w:r w:rsidRPr="00BD1402">
        <w:rPr>
          <w:rStyle w:val="af7"/>
          <w:rFonts w:eastAsia="Guttman Hodes" w:hint="cs"/>
        </w:rPr>
        <w:instrText>REF</w:instrText>
      </w:r>
      <w:r w:rsidRPr="00BD1402">
        <w:rPr>
          <w:rStyle w:val="af7"/>
          <w:rFonts w:eastAsia="Guttman Hodes" w:hint="cs"/>
          <w:rtl/>
        </w:rPr>
        <w:instrText xml:space="preserve"> _</w:instrText>
      </w:r>
      <w:r w:rsidRPr="00BD1402">
        <w:rPr>
          <w:rStyle w:val="af7"/>
          <w:rFonts w:eastAsia="Guttman Hodes" w:hint="cs"/>
        </w:rPr>
        <w:instrText>Ref63874014 \r \h</w:instrText>
      </w:r>
      <w:r w:rsidRPr="00BD1402">
        <w:rPr>
          <w:rStyle w:val="af7"/>
          <w:rFonts w:eastAsia="Guttman Hodes"/>
          <w:rtl/>
        </w:rPr>
        <w:instrText xml:space="preserve"> </w:instrText>
      </w:r>
      <w:r w:rsidRPr="00BD1402">
        <w:rPr>
          <w:rStyle w:val="af7"/>
          <w:rFonts w:eastAsia="Guttman Hodes"/>
          <w:rtl/>
        </w:rPr>
      </w:r>
      <w:r w:rsidRPr="00BD1402">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BD1402">
        <w:rPr>
          <w:rStyle w:val="af7"/>
          <w:rFonts w:eastAsia="Guttman Hodes"/>
          <w:rtl/>
        </w:rPr>
        <w:fldChar w:fldCharType="end"/>
      </w:r>
      <w:r>
        <w:rPr>
          <w:rFonts w:hint="cs"/>
          <w:rtl/>
        </w:rPr>
        <w:t xml:space="preserve"> דבחיי האב יצא קול שהקרקע במשכנתא, ואחר שעברו שני המשכנתא, יצא קול שהוא אוכל קרקע של יתומים.</w:t>
      </w:r>
      <w:bookmarkEnd w:id="14925"/>
    </w:p>
    <w:p w:rsidR="00F4065E" w:rsidRDefault="00F4065E" w:rsidP="00F4065E">
      <w:pPr>
        <w:pStyle w:val="1"/>
        <w:rPr>
          <w:rtl/>
        </w:rPr>
      </w:pPr>
      <w:bookmarkStart w:id="14926" w:name="_Toc63975448"/>
      <w:bookmarkStart w:id="14927" w:name="_Toc63986465"/>
      <w:bookmarkStart w:id="14928" w:name="_Toc64024574"/>
      <w:bookmarkStart w:id="14929" w:name="_Toc64035969"/>
      <w:bookmarkStart w:id="14930" w:name="_Toc64148110"/>
      <w:bookmarkStart w:id="14931" w:name="_Toc64205711"/>
      <w:bookmarkStart w:id="14932" w:name="_Toc64209391"/>
      <w:r>
        <w:rPr>
          <w:rFonts w:hint="cs"/>
          <w:rtl/>
        </w:rPr>
        <w:t>בפלוגתת הראשונים אי יצא הקול בתוך ג"ש או אחר ג"ש</w:t>
      </w:r>
      <w:bookmarkEnd w:id="14926"/>
      <w:bookmarkEnd w:id="14927"/>
      <w:bookmarkEnd w:id="14928"/>
      <w:bookmarkEnd w:id="14929"/>
      <w:bookmarkEnd w:id="14930"/>
      <w:bookmarkEnd w:id="14931"/>
      <w:bookmarkEnd w:id="14932"/>
    </w:p>
    <w:p w:rsidR="00F4065E" w:rsidRDefault="00F4065E" w:rsidP="00F4065E">
      <w:pPr>
        <w:pStyle w:val="a3"/>
        <w:rPr>
          <w:rtl/>
        </w:rPr>
      </w:pPr>
      <w:bookmarkStart w:id="14933" w:name="_Toc63975449"/>
      <w:bookmarkStart w:id="14934" w:name="_Toc63986466"/>
      <w:bookmarkStart w:id="14935" w:name="_Toc64024575"/>
      <w:bookmarkStart w:id="14936" w:name="_Toc64035970"/>
      <w:bookmarkStart w:id="14937" w:name="_Toc64148111"/>
      <w:bookmarkStart w:id="14938" w:name="_Toc64205712"/>
      <w:bookmarkStart w:id="14939" w:name="_Toc64209392"/>
      <w:r>
        <w:rPr>
          <w:rFonts w:hint="cs"/>
          <w:rtl/>
        </w:rPr>
        <w:t>דברי הסמ"ע דלרשב"ם ולרה"ג ולרמב"ם ולראב"ד ולרבינו יונה הקול יצא בתוך ג"ש</w:t>
      </w:r>
      <w:bookmarkEnd w:id="14933"/>
      <w:bookmarkEnd w:id="14934"/>
      <w:bookmarkEnd w:id="14935"/>
      <w:bookmarkEnd w:id="14936"/>
      <w:bookmarkEnd w:id="14937"/>
      <w:bookmarkEnd w:id="14938"/>
      <w:bookmarkEnd w:id="14939"/>
    </w:p>
    <w:p w:rsidR="00F4065E" w:rsidRDefault="00F4065E" w:rsidP="007E4E81">
      <w:pPr>
        <w:pStyle w:val="a0"/>
        <w:rPr>
          <w:rtl/>
        </w:rPr>
      </w:pPr>
      <w:r>
        <w:rPr>
          <w:rFonts w:hint="cs"/>
          <w:rtl/>
        </w:rPr>
        <w:t xml:space="preserve">כתב </w:t>
      </w:r>
      <w:r w:rsidRPr="00FB73BA">
        <w:rPr>
          <w:rStyle w:val="af9"/>
          <w:rFonts w:hint="cs"/>
          <w:rtl/>
        </w:rPr>
        <w:t>הסמ"ע</w:t>
      </w:r>
      <w:r>
        <w:rPr>
          <w:rFonts w:hint="cs"/>
          <w:rtl/>
        </w:rPr>
        <w:t xml:space="preserve"> </w:t>
      </w:r>
      <w:r w:rsidRPr="00FB73BA">
        <w:rPr>
          <w:rStyle w:val="af7"/>
          <w:rFonts w:eastAsia="Guttman Hodes" w:hint="cs"/>
          <w:rtl/>
        </w:rPr>
        <w:t>(סי' קמ"ט סקל"ד)</w:t>
      </w:r>
      <w:r>
        <w:rPr>
          <w:rFonts w:hint="cs"/>
          <w:rtl/>
        </w:rPr>
        <w:t xml:space="preserve"> דלדעת </w:t>
      </w:r>
      <w:r w:rsidRPr="00FB73BA">
        <w:rPr>
          <w:rStyle w:val="af9"/>
          <w:rFonts w:hint="cs"/>
          <w:rtl/>
        </w:rPr>
        <w:t>הרשב"ם</w:t>
      </w:r>
      <w:r>
        <w:rPr>
          <w:rFonts w:hint="cs"/>
          <w:rtl/>
        </w:rPr>
        <w:t xml:space="preserve"> </w:t>
      </w:r>
      <w:r w:rsidRPr="00007823">
        <w:rPr>
          <w:rStyle w:val="af7"/>
          <w:rFonts w:eastAsia="Guttman Hodes" w:hint="cs"/>
          <w:rtl/>
        </w:rPr>
        <w:t xml:space="preserve">(עי' אות </w:t>
      </w:r>
      <w:r w:rsidRPr="00007823">
        <w:rPr>
          <w:rStyle w:val="af7"/>
          <w:rFonts w:eastAsia="Guttman Hodes"/>
          <w:rtl/>
        </w:rPr>
        <w:fldChar w:fldCharType="begin"/>
      </w:r>
      <w:r w:rsidRPr="00007823">
        <w:rPr>
          <w:rStyle w:val="af7"/>
          <w:rFonts w:eastAsia="Guttman Hodes"/>
          <w:rtl/>
        </w:rPr>
        <w:instrText xml:space="preserve"> </w:instrText>
      </w:r>
      <w:r w:rsidRPr="00007823">
        <w:rPr>
          <w:rStyle w:val="af7"/>
          <w:rFonts w:eastAsia="Guttman Hodes" w:hint="cs"/>
        </w:rPr>
        <w:instrText>REF</w:instrText>
      </w:r>
      <w:r w:rsidRPr="00007823">
        <w:rPr>
          <w:rStyle w:val="af7"/>
          <w:rFonts w:eastAsia="Guttman Hodes" w:hint="cs"/>
          <w:rtl/>
        </w:rPr>
        <w:instrText xml:space="preserve"> _</w:instrText>
      </w:r>
      <w:r w:rsidRPr="00007823">
        <w:rPr>
          <w:rStyle w:val="af7"/>
          <w:rFonts w:eastAsia="Guttman Hodes" w:hint="cs"/>
        </w:rPr>
        <w:instrText>Ref63971896 \r \h</w:instrText>
      </w:r>
      <w:r w:rsidRPr="00007823">
        <w:rPr>
          <w:rStyle w:val="af7"/>
          <w:rFonts w:eastAsia="Guttman Hodes"/>
          <w:rtl/>
        </w:rPr>
        <w:instrText xml:space="preserve"> </w:instrText>
      </w:r>
      <w:r w:rsidRPr="00007823">
        <w:rPr>
          <w:rStyle w:val="af7"/>
          <w:rFonts w:eastAsia="Guttman Hodes"/>
          <w:rtl/>
        </w:rPr>
      </w:r>
      <w:r w:rsidRPr="00007823">
        <w:rPr>
          <w:rStyle w:val="af7"/>
          <w:rFonts w:eastAsia="Guttman Hodes"/>
          <w:rtl/>
        </w:rPr>
        <w:fldChar w:fldCharType="separate"/>
      </w:r>
      <w:r w:rsidR="00265073">
        <w:rPr>
          <w:rStyle w:val="af7"/>
          <w:rFonts w:eastAsia="Guttman Hodes"/>
          <w:cs/>
        </w:rPr>
        <w:t>‎</w:t>
      </w:r>
      <w:r w:rsidR="00265073">
        <w:rPr>
          <w:rStyle w:val="af7"/>
          <w:rFonts w:eastAsia="Guttman Hodes"/>
          <w:rtl/>
        </w:rPr>
        <w:t>סז)</w:t>
      </w:r>
      <w:r w:rsidRPr="00007823">
        <w:rPr>
          <w:rStyle w:val="af7"/>
          <w:rFonts w:eastAsia="Guttman Hodes"/>
          <w:rtl/>
        </w:rPr>
        <w:fldChar w:fldCharType="end"/>
      </w:r>
      <w:r>
        <w:rPr>
          <w:rFonts w:hint="cs"/>
          <w:rtl/>
        </w:rPr>
        <w:t xml:space="preserve"> </w:t>
      </w:r>
      <w:r w:rsidRPr="00FB73BA">
        <w:rPr>
          <w:rStyle w:val="af9"/>
          <w:rFonts w:hint="cs"/>
          <w:rtl/>
        </w:rPr>
        <w:t>והרא"ש</w:t>
      </w:r>
      <w:r>
        <w:rPr>
          <w:rFonts w:hint="cs"/>
          <w:rtl/>
        </w:rPr>
        <w:t xml:space="preserve"> </w:t>
      </w:r>
      <w:r w:rsidRPr="00007823">
        <w:rPr>
          <w:rStyle w:val="af7"/>
          <w:rFonts w:eastAsia="Guttman Hodes" w:hint="cs"/>
          <w:rtl/>
        </w:rPr>
        <w:t xml:space="preserve">(עי' אות </w:t>
      </w:r>
      <w:r w:rsidRPr="00007823">
        <w:rPr>
          <w:rStyle w:val="af7"/>
          <w:rFonts w:eastAsia="Guttman Hodes"/>
          <w:rtl/>
        </w:rPr>
        <w:fldChar w:fldCharType="begin"/>
      </w:r>
      <w:r w:rsidRPr="00007823">
        <w:rPr>
          <w:rStyle w:val="af7"/>
          <w:rFonts w:eastAsia="Guttman Hodes"/>
          <w:rtl/>
        </w:rPr>
        <w:instrText xml:space="preserve"> </w:instrText>
      </w:r>
      <w:r w:rsidRPr="00007823">
        <w:rPr>
          <w:rStyle w:val="af7"/>
          <w:rFonts w:eastAsia="Guttman Hodes" w:hint="cs"/>
        </w:rPr>
        <w:instrText>REF</w:instrText>
      </w:r>
      <w:r w:rsidRPr="00007823">
        <w:rPr>
          <w:rStyle w:val="af7"/>
          <w:rFonts w:eastAsia="Guttman Hodes" w:hint="cs"/>
          <w:rtl/>
        </w:rPr>
        <w:instrText xml:space="preserve"> _</w:instrText>
      </w:r>
      <w:r w:rsidRPr="00007823">
        <w:rPr>
          <w:rStyle w:val="af7"/>
          <w:rFonts w:eastAsia="Guttman Hodes" w:hint="cs"/>
        </w:rPr>
        <w:instrText>Ref63971916 \r \h</w:instrText>
      </w:r>
      <w:r w:rsidRPr="00007823">
        <w:rPr>
          <w:rStyle w:val="af7"/>
          <w:rFonts w:eastAsia="Guttman Hodes"/>
          <w:rtl/>
        </w:rPr>
        <w:instrText xml:space="preserve"> </w:instrText>
      </w:r>
      <w:r w:rsidRPr="00007823">
        <w:rPr>
          <w:rStyle w:val="af7"/>
          <w:rFonts w:eastAsia="Guttman Hodes"/>
          <w:rtl/>
        </w:rPr>
      </w:r>
      <w:r w:rsidRPr="00007823">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007823">
        <w:rPr>
          <w:rStyle w:val="af7"/>
          <w:rFonts w:eastAsia="Guttman Hodes"/>
          <w:rtl/>
        </w:rPr>
        <w:fldChar w:fldCharType="end"/>
      </w:r>
      <w:r>
        <w:rPr>
          <w:rFonts w:hint="cs"/>
          <w:rtl/>
        </w:rPr>
        <w:t xml:space="preserve"> בשם </w:t>
      </w:r>
      <w:r w:rsidRPr="00FB73BA">
        <w:rPr>
          <w:rStyle w:val="af9"/>
          <w:rFonts w:hint="cs"/>
          <w:rtl/>
        </w:rPr>
        <w:t>רב האי גאון</w:t>
      </w:r>
      <w:r>
        <w:rPr>
          <w:rFonts w:hint="cs"/>
          <w:rtl/>
        </w:rPr>
        <w:t xml:space="preserve"> </w:t>
      </w:r>
      <w:r w:rsidRPr="00FB73BA">
        <w:rPr>
          <w:rStyle w:val="af9"/>
          <w:rFonts w:hint="cs"/>
          <w:rtl/>
        </w:rPr>
        <w:t>והרמב"ם</w:t>
      </w:r>
      <w:r>
        <w:rPr>
          <w:rFonts w:hint="cs"/>
          <w:rtl/>
        </w:rPr>
        <w:t xml:space="preserve"> </w:t>
      </w:r>
      <w:r w:rsidRPr="00462ACA">
        <w:rPr>
          <w:rStyle w:val="af7"/>
          <w:rFonts w:eastAsia="Guttman Hodes" w:hint="cs"/>
          <w:rtl/>
        </w:rPr>
        <w:t xml:space="preserve">(עי' אות </w:t>
      </w:r>
      <w:r w:rsidRPr="00462ACA">
        <w:rPr>
          <w:rStyle w:val="af7"/>
          <w:rFonts w:eastAsia="Guttman Hodes"/>
          <w:rtl/>
        </w:rPr>
        <w:fldChar w:fldCharType="begin"/>
      </w:r>
      <w:r w:rsidRPr="00462ACA">
        <w:rPr>
          <w:rStyle w:val="af7"/>
          <w:rFonts w:eastAsia="Guttman Hodes"/>
          <w:rtl/>
        </w:rPr>
        <w:instrText xml:space="preserve"> </w:instrText>
      </w:r>
      <w:r w:rsidRPr="00462ACA">
        <w:rPr>
          <w:rStyle w:val="af7"/>
          <w:rFonts w:eastAsia="Guttman Hodes" w:hint="cs"/>
        </w:rPr>
        <w:instrText>REF</w:instrText>
      </w:r>
      <w:r w:rsidRPr="00462ACA">
        <w:rPr>
          <w:rStyle w:val="af7"/>
          <w:rFonts w:eastAsia="Guttman Hodes" w:hint="cs"/>
          <w:rtl/>
        </w:rPr>
        <w:instrText xml:space="preserve"> _</w:instrText>
      </w:r>
      <w:r w:rsidRPr="00462ACA">
        <w:rPr>
          <w:rStyle w:val="af7"/>
          <w:rFonts w:eastAsia="Guttman Hodes" w:hint="cs"/>
        </w:rPr>
        <w:instrText>Ref63702477 \r \h</w:instrText>
      </w:r>
      <w:r w:rsidRPr="00462ACA">
        <w:rPr>
          <w:rStyle w:val="af7"/>
          <w:rFonts w:eastAsia="Guttman Hodes"/>
          <w:rtl/>
        </w:rPr>
        <w:instrText xml:space="preserve"> </w:instrText>
      </w:r>
      <w:r w:rsidRPr="00462ACA">
        <w:rPr>
          <w:rStyle w:val="af7"/>
          <w:rFonts w:eastAsia="Guttman Hodes"/>
          <w:rtl/>
        </w:rPr>
      </w:r>
      <w:r w:rsidRPr="00462ACA">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462ACA">
        <w:rPr>
          <w:rStyle w:val="af7"/>
          <w:rFonts w:eastAsia="Guttman Hodes"/>
          <w:rtl/>
        </w:rPr>
        <w:fldChar w:fldCharType="end"/>
      </w:r>
      <w:r>
        <w:rPr>
          <w:rFonts w:hint="cs"/>
          <w:rtl/>
        </w:rPr>
        <w:t xml:space="preserve"> </w:t>
      </w:r>
      <w:r w:rsidRPr="00FB73BA">
        <w:rPr>
          <w:rStyle w:val="af9"/>
          <w:rFonts w:hint="cs"/>
          <w:rtl/>
        </w:rPr>
        <w:t>ורבינו</w:t>
      </w:r>
      <w:r>
        <w:rPr>
          <w:rFonts w:hint="cs"/>
          <w:rtl/>
        </w:rPr>
        <w:t xml:space="preserve"> </w:t>
      </w:r>
      <w:r w:rsidRPr="00FB73BA">
        <w:rPr>
          <w:rStyle w:val="af9"/>
          <w:rFonts w:hint="cs"/>
          <w:rtl/>
        </w:rPr>
        <w:t>יונה</w:t>
      </w:r>
      <w:r>
        <w:rPr>
          <w:rFonts w:hint="cs"/>
          <w:rtl/>
        </w:rPr>
        <w:t xml:space="preserve"> </w:t>
      </w:r>
      <w:r w:rsidRPr="00007823">
        <w:rPr>
          <w:rStyle w:val="af7"/>
          <w:rFonts w:eastAsia="Guttman Hodes" w:hint="cs"/>
          <w:rtl/>
        </w:rPr>
        <w:t>(עי'</w:t>
      </w:r>
      <w:r>
        <w:rPr>
          <w:rFonts w:hint="cs"/>
          <w:rtl/>
        </w:rPr>
        <w:t xml:space="preserve"> </w:t>
      </w:r>
      <w:r w:rsidRPr="00007823">
        <w:rPr>
          <w:rStyle w:val="af7"/>
          <w:rFonts w:eastAsia="Guttman Hodes" w:hint="cs"/>
          <w:rtl/>
        </w:rPr>
        <w:t xml:space="preserve">אות </w:t>
      </w:r>
      <w:r w:rsidRPr="00007823">
        <w:rPr>
          <w:rStyle w:val="af7"/>
          <w:rFonts w:eastAsia="Guttman Hodes"/>
          <w:rtl/>
        </w:rPr>
        <w:fldChar w:fldCharType="begin"/>
      </w:r>
      <w:r w:rsidRPr="00007823">
        <w:rPr>
          <w:rStyle w:val="af7"/>
          <w:rFonts w:eastAsia="Guttman Hodes"/>
          <w:rtl/>
        </w:rPr>
        <w:instrText xml:space="preserve"> </w:instrText>
      </w:r>
      <w:r w:rsidRPr="00007823">
        <w:rPr>
          <w:rStyle w:val="af7"/>
          <w:rFonts w:eastAsia="Guttman Hodes" w:hint="cs"/>
        </w:rPr>
        <w:instrText>REF</w:instrText>
      </w:r>
      <w:r w:rsidRPr="00007823">
        <w:rPr>
          <w:rStyle w:val="af7"/>
          <w:rFonts w:eastAsia="Guttman Hodes" w:hint="cs"/>
          <w:rtl/>
        </w:rPr>
        <w:instrText xml:space="preserve"> _</w:instrText>
      </w:r>
      <w:r w:rsidRPr="00007823">
        <w:rPr>
          <w:rStyle w:val="af7"/>
          <w:rFonts w:eastAsia="Guttman Hodes" w:hint="cs"/>
        </w:rPr>
        <w:instrText>Ref63972170 \r \h</w:instrText>
      </w:r>
      <w:r w:rsidRPr="00007823">
        <w:rPr>
          <w:rStyle w:val="af7"/>
          <w:rFonts w:eastAsia="Guttman Hodes"/>
          <w:rtl/>
        </w:rPr>
        <w:instrText xml:space="preserve"> </w:instrText>
      </w:r>
      <w:r w:rsidRPr="00007823">
        <w:rPr>
          <w:rStyle w:val="af7"/>
          <w:rFonts w:eastAsia="Guttman Hodes"/>
          <w:rtl/>
        </w:rPr>
      </w:r>
      <w:r w:rsidRPr="00007823">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007823">
        <w:rPr>
          <w:rStyle w:val="af7"/>
          <w:rFonts w:eastAsia="Guttman Hodes"/>
          <w:rtl/>
        </w:rPr>
        <w:fldChar w:fldCharType="end"/>
      </w:r>
      <w:r>
        <w:rPr>
          <w:rFonts w:hint="cs"/>
          <w:rtl/>
        </w:rPr>
        <w:t xml:space="preserve"> </w:t>
      </w:r>
      <w:r w:rsidRPr="00FB73BA">
        <w:rPr>
          <w:rStyle w:val="af9"/>
          <w:rFonts w:hint="cs"/>
          <w:rtl/>
        </w:rPr>
        <w:t>והראב"ד</w:t>
      </w:r>
      <w:r>
        <w:rPr>
          <w:rFonts w:hint="cs"/>
          <w:rtl/>
        </w:rPr>
        <w:t xml:space="preserve"> </w:t>
      </w:r>
      <w:r w:rsidRPr="00007823">
        <w:rPr>
          <w:rStyle w:val="af7"/>
          <w:rFonts w:eastAsia="Guttman Hodes" w:hint="cs"/>
          <w:rtl/>
        </w:rPr>
        <w:t xml:space="preserve">(עי' אות </w:t>
      </w:r>
      <w:r w:rsidRPr="00007823">
        <w:rPr>
          <w:rStyle w:val="af7"/>
          <w:rFonts w:eastAsia="Guttman Hodes"/>
          <w:rtl/>
        </w:rPr>
        <w:fldChar w:fldCharType="begin"/>
      </w:r>
      <w:r w:rsidRPr="00007823">
        <w:rPr>
          <w:rStyle w:val="af7"/>
          <w:rFonts w:eastAsia="Guttman Hodes"/>
          <w:rtl/>
        </w:rPr>
        <w:instrText xml:space="preserve"> </w:instrText>
      </w:r>
      <w:r w:rsidRPr="00007823">
        <w:rPr>
          <w:rStyle w:val="af7"/>
          <w:rFonts w:eastAsia="Guttman Hodes" w:hint="cs"/>
        </w:rPr>
        <w:instrText>REF</w:instrText>
      </w:r>
      <w:r w:rsidRPr="00007823">
        <w:rPr>
          <w:rStyle w:val="af7"/>
          <w:rFonts w:eastAsia="Guttman Hodes" w:hint="cs"/>
          <w:rtl/>
        </w:rPr>
        <w:instrText xml:space="preserve"> _</w:instrText>
      </w:r>
      <w:r w:rsidRPr="00007823">
        <w:rPr>
          <w:rStyle w:val="af7"/>
          <w:rFonts w:eastAsia="Guttman Hodes" w:hint="cs"/>
        </w:rPr>
        <w:instrText>Ref63971944 \r \h</w:instrText>
      </w:r>
      <w:r w:rsidRPr="00007823">
        <w:rPr>
          <w:rStyle w:val="af7"/>
          <w:rFonts w:eastAsia="Guttman Hodes"/>
          <w:rtl/>
        </w:rPr>
        <w:instrText xml:space="preserve"> </w:instrText>
      </w:r>
      <w:r w:rsidRPr="00007823">
        <w:rPr>
          <w:rStyle w:val="af7"/>
          <w:rFonts w:eastAsia="Guttman Hodes"/>
          <w:rtl/>
        </w:rPr>
      </w:r>
      <w:r w:rsidRPr="00007823">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sidRPr="00007823">
        <w:rPr>
          <w:rStyle w:val="af7"/>
          <w:rFonts w:eastAsia="Guttman Hodes"/>
          <w:rtl/>
        </w:rPr>
        <w:fldChar w:fldCharType="end"/>
      </w:r>
      <w:r>
        <w:rPr>
          <w:rFonts w:hint="cs"/>
          <w:rtl/>
        </w:rPr>
        <w:t xml:space="preserve"> יצא הקול בתוך ג"ש.</w:t>
      </w:r>
      <w:r w:rsidRPr="00BE2B80">
        <w:rPr>
          <w:rFonts w:hint="cs"/>
          <w:rtl/>
        </w:rPr>
        <w:t xml:space="preserve"> </w:t>
      </w:r>
      <w:r>
        <w:rPr>
          <w:rFonts w:hint="cs"/>
          <w:rtl/>
        </w:rPr>
        <w:t xml:space="preserve">[וכ"כ </w:t>
      </w:r>
      <w:r w:rsidRPr="00BE2B80">
        <w:rPr>
          <w:rStyle w:val="af9"/>
          <w:rFonts w:hint="cs"/>
          <w:rtl/>
        </w:rPr>
        <w:t>הרשב"א</w:t>
      </w:r>
      <w:r>
        <w:rPr>
          <w:rFonts w:hint="cs"/>
          <w:rtl/>
        </w:rPr>
        <w:t xml:space="preserve"> </w:t>
      </w:r>
      <w:r w:rsidRPr="00BE2B80">
        <w:rPr>
          <w:rStyle w:val="af7"/>
          <w:rFonts w:eastAsia="Guttman Hodes" w:hint="cs"/>
          <w:rtl/>
        </w:rPr>
        <w:t xml:space="preserve">(עי' אות </w:t>
      </w:r>
      <w:r w:rsidRPr="00BE2B80">
        <w:rPr>
          <w:rStyle w:val="af7"/>
          <w:rFonts w:eastAsia="Guttman Hodes"/>
          <w:rtl/>
        </w:rPr>
        <w:fldChar w:fldCharType="begin"/>
      </w:r>
      <w:r w:rsidRPr="00BE2B80">
        <w:rPr>
          <w:rStyle w:val="af7"/>
          <w:rFonts w:eastAsia="Guttman Hodes"/>
          <w:rtl/>
        </w:rPr>
        <w:instrText xml:space="preserve"> </w:instrText>
      </w:r>
      <w:r w:rsidRPr="00BE2B80">
        <w:rPr>
          <w:rStyle w:val="af7"/>
          <w:rFonts w:eastAsia="Guttman Hodes" w:hint="cs"/>
        </w:rPr>
        <w:instrText>REF</w:instrText>
      </w:r>
      <w:r w:rsidRPr="00BE2B80">
        <w:rPr>
          <w:rStyle w:val="af7"/>
          <w:rFonts w:eastAsia="Guttman Hodes" w:hint="cs"/>
          <w:rtl/>
        </w:rPr>
        <w:instrText xml:space="preserve"> _</w:instrText>
      </w:r>
      <w:r w:rsidRPr="00BE2B80">
        <w:rPr>
          <w:rStyle w:val="af7"/>
          <w:rFonts w:eastAsia="Guttman Hodes" w:hint="cs"/>
        </w:rPr>
        <w:instrText>Ref63972391 \r \h</w:instrText>
      </w:r>
      <w:r w:rsidRPr="00BE2B80">
        <w:rPr>
          <w:rStyle w:val="af7"/>
          <w:rFonts w:eastAsia="Guttman Hodes"/>
          <w:rtl/>
        </w:rPr>
        <w:instrText xml:space="preserve"> </w:instrText>
      </w:r>
      <w:r w:rsidRPr="00BE2B80">
        <w:rPr>
          <w:rStyle w:val="af7"/>
          <w:rFonts w:eastAsia="Guttman Hodes"/>
          <w:rtl/>
        </w:rPr>
      </w:r>
      <w:r w:rsidRPr="00BE2B80">
        <w:rPr>
          <w:rStyle w:val="af7"/>
          <w:rFonts w:eastAsia="Guttman Hodes"/>
          <w:rtl/>
        </w:rPr>
        <w:fldChar w:fldCharType="separate"/>
      </w:r>
      <w:r w:rsidR="00265073">
        <w:rPr>
          <w:rStyle w:val="af7"/>
          <w:rFonts w:eastAsia="Guttman Hodes"/>
          <w:cs/>
        </w:rPr>
        <w:t>‎</w:t>
      </w:r>
      <w:r w:rsidR="00265073">
        <w:rPr>
          <w:rStyle w:val="af7"/>
          <w:rFonts w:eastAsia="Guttman Hodes"/>
          <w:rtl/>
        </w:rPr>
        <w:t>עא)</w:t>
      </w:r>
      <w:r w:rsidRPr="00BE2B80">
        <w:rPr>
          <w:rStyle w:val="af7"/>
          <w:rFonts w:eastAsia="Guttman Hodes"/>
          <w:rtl/>
        </w:rPr>
        <w:fldChar w:fldCharType="end"/>
      </w:r>
      <w:r>
        <w:rPr>
          <w:rFonts w:hint="cs"/>
          <w:rtl/>
        </w:rPr>
        <w:t xml:space="preserve"> בדעת </w:t>
      </w:r>
      <w:r w:rsidRPr="00BE2B80">
        <w:rPr>
          <w:rStyle w:val="af9"/>
          <w:rFonts w:hint="cs"/>
          <w:rtl/>
        </w:rPr>
        <w:t>ר"ח</w:t>
      </w:r>
      <w:r>
        <w:rPr>
          <w:rFonts w:hint="cs"/>
          <w:rtl/>
        </w:rPr>
        <w:t xml:space="preserve"> דהקול יצא בתוך ג"ש].</w:t>
      </w:r>
    </w:p>
    <w:p w:rsidR="00F4065E" w:rsidRPr="00007823" w:rsidRDefault="00F4065E" w:rsidP="00F4065E">
      <w:pPr>
        <w:pStyle w:val="a3"/>
      </w:pPr>
      <w:bookmarkStart w:id="14940" w:name="_Toc63975450"/>
      <w:bookmarkStart w:id="14941" w:name="_Toc63986467"/>
      <w:bookmarkStart w:id="14942" w:name="_Toc64024576"/>
      <w:bookmarkStart w:id="14943" w:name="_Toc64035971"/>
      <w:bookmarkStart w:id="14944" w:name="_Toc64148112"/>
      <w:bookmarkStart w:id="14945" w:name="_Toc64205713"/>
      <w:bookmarkStart w:id="14946" w:name="_Toc64209393"/>
      <w:r>
        <w:rPr>
          <w:rFonts w:hint="cs"/>
          <w:rtl/>
        </w:rPr>
        <w:t>דברי הסמ"ע דלתוס' הקול יצא לאחר ג"ש ונאמן בטענת לקוחה אך לא במיגו דהוא העזה</w:t>
      </w:r>
      <w:bookmarkEnd w:id="14940"/>
      <w:bookmarkEnd w:id="14941"/>
      <w:bookmarkEnd w:id="14942"/>
      <w:bookmarkEnd w:id="14943"/>
      <w:bookmarkEnd w:id="14944"/>
      <w:bookmarkEnd w:id="14945"/>
      <w:bookmarkEnd w:id="14946"/>
    </w:p>
    <w:p w:rsidR="00F4065E" w:rsidRDefault="00F4065E" w:rsidP="007E4E81">
      <w:pPr>
        <w:pStyle w:val="a0"/>
        <w:rPr>
          <w:rtl/>
        </w:rPr>
      </w:pPr>
      <w:r>
        <w:rPr>
          <w:rFonts w:hint="cs"/>
          <w:rtl/>
        </w:rPr>
        <w:t xml:space="preserve">אבל בדעת </w:t>
      </w:r>
      <w:r w:rsidRPr="00736D9F">
        <w:rPr>
          <w:rStyle w:val="af9"/>
          <w:rFonts w:hint="cs"/>
          <w:rtl/>
        </w:rPr>
        <w:t>התוס'</w:t>
      </w:r>
      <w:r>
        <w:rPr>
          <w:rFonts w:hint="cs"/>
          <w:rtl/>
        </w:rPr>
        <w:t xml:space="preserve"> </w:t>
      </w:r>
      <w:r w:rsidRPr="00007823">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Ref63886622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Pr>
          <w:rStyle w:val="af7"/>
          <w:rFonts w:eastAsia="Guttman Hodes"/>
          <w:rtl/>
        </w:rPr>
        <w:fldChar w:fldCharType="end"/>
      </w:r>
      <w:r>
        <w:rPr>
          <w:rFonts w:hint="cs"/>
          <w:rtl/>
        </w:rPr>
        <w:t xml:space="preserve"> כתב </w:t>
      </w:r>
      <w:r w:rsidRPr="00FB73BA">
        <w:rPr>
          <w:rStyle w:val="af9"/>
          <w:rFonts w:hint="cs"/>
          <w:rtl/>
        </w:rPr>
        <w:t>הסמ"ע</w:t>
      </w:r>
      <w:r>
        <w:rPr>
          <w:rFonts w:hint="cs"/>
          <w:rtl/>
        </w:rPr>
        <w:t xml:space="preserve"> דיצא הקול לאחר ג"ש, ואעפ"י שהוא נאמן לטעון לקוחה היא בידי, כיון שיש לו חזקה, מ"מ אמר ליה אביי דאינו נאמן כיון שלא רצה להעיז פניו ולהכחיש את הקול, ולכן אינו נאמן במיגו דלקוחה. </w:t>
      </w:r>
    </w:p>
    <w:p w:rsidR="00F4065E" w:rsidRPr="00E12B5C" w:rsidRDefault="00F4065E" w:rsidP="00F4065E">
      <w:pPr>
        <w:pStyle w:val="a3"/>
        <w:rPr>
          <w:rtl/>
        </w:rPr>
      </w:pPr>
      <w:bookmarkStart w:id="14947" w:name="_Toc63975451"/>
      <w:bookmarkStart w:id="14948" w:name="_Toc63986468"/>
      <w:bookmarkStart w:id="14949" w:name="_Toc64024577"/>
      <w:bookmarkStart w:id="14950" w:name="_Toc64035972"/>
      <w:bookmarkStart w:id="14951" w:name="_Toc64148113"/>
      <w:bookmarkStart w:id="14952" w:name="_Toc64205714"/>
      <w:bookmarkStart w:id="14953" w:name="_Toc64209394"/>
      <w:r>
        <w:rPr>
          <w:rFonts w:hint="cs"/>
          <w:rtl/>
        </w:rPr>
        <w:t>דברי הש"ך דלרמב"ם יצא הקול אחר ג"ש דהא לא החזיק ג"ש בחיי האב ואין חזקה בקטן</w:t>
      </w:r>
      <w:bookmarkEnd w:id="14947"/>
      <w:bookmarkEnd w:id="14948"/>
      <w:bookmarkEnd w:id="14949"/>
      <w:bookmarkEnd w:id="14950"/>
      <w:bookmarkEnd w:id="14951"/>
      <w:bookmarkEnd w:id="14952"/>
      <w:bookmarkEnd w:id="14953"/>
    </w:p>
    <w:p w:rsidR="00F4065E" w:rsidRDefault="00F4065E" w:rsidP="007E4E81">
      <w:pPr>
        <w:pStyle w:val="a0"/>
        <w:rPr>
          <w:rtl/>
        </w:rPr>
      </w:pPr>
      <w:r>
        <w:rPr>
          <w:rFonts w:hint="cs"/>
          <w:rtl/>
        </w:rPr>
        <w:t xml:space="preserve">אבל </w:t>
      </w:r>
      <w:r w:rsidRPr="00A147FB">
        <w:rPr>
          <w:rStyle w:val="af9"/>
          <w:rFonts w:hint="cs"/>
          <w:rtl/>
        </w:rPr>
        <w:t>הש"ך</w:t>
      </w:r>
      <w:r>
        <w:rPr>
          <w:rFonts w:hint="cs"/>
          <w:rtl/>
        </w:rPr>
        <w:t xml:space="preserve"> </w:t>
      </w:r>
      <w:r w:rsidRPr="00736D9F">
        <w:rPr>
          <w:rStyle w:val="af7"/>
          <w:rFonts w:eastAsia="Guttman Hodes" w:hint="cs"/>
          <w:rtl/>
        </w:rPr>
        <w:t>(סי' קמ"ט סקי"ח)</w:t>
      </w:r>
      <w:r>
        <w:rPr>
          <w:rFonts w:hint="cs"/>
          <w:rtl/>
        </w:rPr>
        <w:t xml:space="preserve"> כתב דלדעת</w:t>
      </w:r>
      <w:r w:rsidRPr="00A147FB">
        <w:rPr>
          <w:rStyle w:val="af9"/>
          <w:rFonts w:hint="cs"/>
          <w:rtl/>
        </w:rPr>
        <w:t xml:space="preserve"> הרמב"ם</w:t>
      </w:r>
      <w:r>
        <w:rPr>
          <w:rFonts w:hint="cs"/>
          <w:rtl/>
        </w:rPr>
        <w:t xml:space="preserve"> </w:t>
      </w:r>
      <w:r w:rsidRPr="00462ACA">
        <w:rPr>
          <w:rStyle w:val="af7"/>
          <w:rFonts w:eastAsia="Guttman Hodes" w:hint="cs"/>
          <w:rtl/>
        </w:rPr>
        <w:t xml:space="preserve">(עי' אות </w:t>
      </w:r>
      <w:r w:rsidRPr="00462ACA">
        <w:rPr>
          <w:rStyle w:val="af7"/>
          <w:rFonts w:eastAsia="Guttman Hodes"/>
          <w:rtl/>
        </w:rPr>
        <w:fldChar w:fldCharType="begin"/>
      </w:r>
      <w:r w:rsidRPr="00462ACA">
        <w:rPr>
          <w:rStyle w:val="af7"/>
          <w:rFonts w:eastAsia="Guttman Hodes"/>
          <w:rtl/>
        </w:rPr>
        <w:instrText xml:space="preserve"> </w:instrText>
      </w:r>
      <w:r w:rsidRPr="00462ACA">
        <w:rPr>
          <w:rStyle w:val="af7"/>
          <w:rFonts w:eastAsia="Guttman Hodes" w:hint="cs"/>
        </w:rPr>
        <w:instrText>REF</w:instrText>
      </w:r>
      <w:r w:rsidRPr="00462ACA">
        <w:rPr>
          <w:rStyle w:val="af7"/>
          <w:rFonts w:eastAsia="Guttman Hodes" w:hint="cs"/>
          <w:rtl/>
        </w:rPr>
        <w:instrText xml:space="preserve"> _</w:instrText>
      </w:r>
      <w:r w:rsidRPr="00462ACA">
        <w:rPr>
          <w:rStyle w:val="af7"/>
          <w:rFonts w:eastAsia="Guttman Hodes" w:hint="cs"/>
        </w:rPr>
        <w:instrText>Ref63702477 \r \h</w:instrText>
      </w:r>
      <w:r w:rsidRPr="00462ACA">
        <w:rPr>
          <w:rStyle w:val="af7"/>
          <w:rFonts w:eastAsia="Guttman Hodes"/>
          <w:rtl/>
        </w:rPr>
        <w:instrText xml:space="preserve"> </w:instrText>
      </w:r>
      <w:r w:rsidRPr="00462ACA">
        <w:rPr>
          <w:rStyle w:val="af7"/>
          <w:rFonts w:eastAsia="Guttman Hodes"/>
          <w:rtl/>
        </w:rPr>
      </w:r>
      <w:r w:rsidRPr="00462ACA">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462ACA">
        <w:rPr>
          <w:rStyle w:val="af7"/>
          <w:rFonts w:eastAsia="Guttman Hodes"/>
          <w:rtl/>
        </w:rPr>
        <w:fldChar w:fldCharType="end"/>
      </w:r>
      <w:r>
        <w:rPr>
          <w:rStyle w:val="af7"/>
          <w:rFonts w:eastAsia="Guttman Hodes" w:hint="cs"/>
          <w:rtl/>
        </w:rPr>
        <w:t xml:space="preserve"> </w:t>
      </w:r>
      <w:r>
        <w:rPr>
          <w:rFonts w:hint="cs"/>
          <w:rtl/>
        </w:rPr>
        <w:t xml:space="preserve">איירי אף שיצא הקול לאחר ג"ש, כיון שלא החזיק בחיי האב, ואין מחזיקין בנכסי קטן, וא"כ אינו נאמן בטענת לקוחה היא בידי, ואינו יכול לטעון דלא </w:t>
      </w:r>
      <w:r w:rsidRPr="00332B77">
        <w:rPr>
          <w:rFonts w:hint="cs"/>
          <w:rtl/>
        </w:rPr>
        <w:t>הייתה של אביהם מעולם, כיון שיש קול</w:t>
      </w:r>
      <w:r>
        <w:rPr>
          <w:rFonts w:hint="cs"/>
          <w:rtl/>
        </w:rPr>
        <w:t>.</w:t>
      </w:r>
      <w:r w:rsidRPr="00332B77">
        <w:rPr>
          <w:rFonts w:hint="cs"/>
          <w:rtl/>
        </w:rPr>
        <w:t xml:space="preserve"> </w:t>
      </w:r>
      <w:r w:rsidRPr="00332B77">
        <w:rPr>
          <w:rStyle w:val="afb"/>
          <w:rFonts w:hint="cs"/>
          <w:rtl/>
        </w:rPr>
        <w:t xml:space="preserve">[וע"ע במה שהוסיף </w:t>
      </w:r>
      <w:r w:rsidRPr="00332B77">
        <w:rPr>
          <w:rStyle w:val="affa"/>
          <w:rFonts w:hint="cs"/>
          <w:rtl/>
        </w:rPr>
        <w:t>הש"ך</w:t>
      </w:r>
      <w:r w:rsidRPr="00332B77">
        <w:rPr>
          <w:rStyle w:val="afb"/>
          <w:rFonts w:hint="cs"/>
          <w:rtl/>
        </w:rPr>
        <w:t xml:space="preserve"> </w:t>
      </w:r>
      <w:r w:rsidRPr="00332B77">
        <w:rPr>
          <w:rStyle w:val="aff6"/>
          <w:rFonts w:hint="cs"/>
          <w:rtl/>
        </w:rPr>
        <w:t xml:space="preserve">(עי' אות </w:t>
      </w:r>
      <w:r w:rsidRPr="00332B77">
        <w:rPr>
          <w:rStyle w:val="aff6"/>
          <w:rtl/>
        </w:rPr>
        <w:fldChar w:fldCharType="begin"/>
      </w:r>
      <w:r w:rsidRPr="00332B77">
        <w:rPr>
          <w:rStyle w:val="aff6"/>
          <w:rtl/>
        </w:rPr>
        <w:instrText xml:space="preserve"> </w:instrText>
      </w:r>
      <w:r w:rsidRPr="00332B77">
        <w:rPr>
          <w:rStyle w:val="aff6"/>
          <w:rFonts w:hint="cs"/>
        </w:rPr>
        <w:instrText>REF</w:instrText>
      </w:r>
      <w:r w:rsidRPr="00332B77">
        <w:rPr>
          <w:rStyle w:val="aff6"/>
          <w:rFonts w:hint="cs"/>
          <w:rtl/>
        </w:rPr>
        <w:instrText xml:space="preserve"> _</w:instrText>
      </w:r>
      <w:r w:rsidRPr="00332B77">
        <w:rPr>
          <w:rStyle w:val="aff6"/>
          <w:rFonts w:hint="cs"/>
        </w:rPr>
        <w:instrText>Ref63972612 \r \h</w:instrText>
      </w:r>
      <w:r w:rsidRPr="00332B77">
        <w:rPr>
          <w:rStyle w:val="aff6"/>
          <w:rtl/>
        </w:rPr>
        <w:instrText xml:space="preserve">  \* </w:instrText>
      </w:r>
      <w:r w:rsidRPr="00332B77">
        <w:rPr>
          <w:rStyle w:val="aff6"/>
        </w:rPr>
        <w:instrText>MERGEFORMAT</w:instrText>
      </w:r>
      <w:r w:rsidRPr="00332B77">
        <w:rPr>
          <w:rStyle w:val="aff6"/>
          <w:rtl/>
        </w:rPr>
        <w:instrText xml:space="preserve"> </w:instrText>
      </w:r>
      <w:r w:rsidRPr="00332B77">
        <w:rPr>
          <w:rStyle w:val="aff6"/>
          <w:rtl/>
        </w:rPr>
      </w:r>
      <w:r w:rsidRPr="00332B77">
        <w:rPr>
          <w:rStyle w:val="aff6"/>
          <w:rtl/>
        </w:rPr>
        <w:fldChar w:fldCharType="separate"/>
      </w:r>
      <w:r w:rsidR="00265073">
        <w:rPr>
          <w:rStyle w:val="aff6"/>
          <w:cs/>
        </w:rPr>
        <w:t>‎</w:t>
      </w:r>
      <w:r w:rsidR="00265073">
        <w:rPr>
          <w:rStyle w:val="aff6"/>
          <w:rtl/>
        </w:rPr>
        <w:t>קיט)</w:t>
      </w:r>
      <w:r w:rsidRPr="00332B77">
        <w:rPr>
          <w:rStyle w:val="aff6"/>
          <w:rtl/>
        </w:rPr>
        <w:fldChar w:fldCharType="end"/>
      </w:r>
      <w:r>
        <w:rPr>
          <w:rStyle w:val="afb"/>
          <w:rFonts w:hint="cs"/>
          <w:rtl/>
        </w:rPr>
        <w:t xml:space="preserve"> </w:t>
      </w:r>
      <w:r w:rsidRPr="00332B77">
        <w:rPr>
          <w:rStyle w:val="afb"/>
          <w:rFonts w:hint="cs"/>
          <w:rtl/>
        </w:rPr>
        <w:t>לבאר</w:t>
      </w:r>
      <w:r w:rsidRPr="004C2C1C">
        <w:rPr>
          <w:rStyle w:val="afb"/>
          <w:rFonts w:hint="cs"/>
          <w:rtl/>
        </w:rPr>
        <w:t xml:space="preserve"> בזה]</w:t>
      </w:r>
      <w:r>
        <w:rPr>
          <w:rStyle w:val="afb"/>
          <w:rFonts w:hint="cs"/>
          <w:rtl/>
        </w:rPr>
        <w:t>.</w:t>
      </w:r>
    </w:p>
    <w:p w:rsidR="00F4065E" w:rsidRPr="00C66A6E" w:rsidRDefault="00F4065E" w:rsidP="00F4065E">
      <w:pPr>
        <w:pStyle w:val="a3"/>
      </w:pPr>
      <w:bookmarkStart w:id="14954" w:name="_Toc63975452"/>
      <w:bookmarkStart w:id="14955" w:name="_Toc63986469"/>
      <w:bookmarkStart w:id="14956" w:name="_Toc64024578"/>
      <w:bookmarkStart w:id="14957" w:name="_Toc64035973"/>
      <w:bookmarkStart w:id="14958" w:name="_Toc64148114"/>
      <w:bookmarkStart w:id="14959" w:name="_Toc64205715"/>
      <w:bookmarkStart w:id="14960" w:name="_Toc64209395"/>
      <w:r>
        <w:rPr>
          <w:rFonts w:hint="cs"/>
          <w:rtl/>
        </w:rPr>
        <w:t>דברי הש"ך דלרמב"ם אי החזיק בחיי האב נאמן והכא לא החזיק וע"י הקול אינו נאמן במיגו</w:t>
      </w:r>
      <w:bookmarkEnd w:id="14954"/>
      <w:bookmarkEnd w:id="14955"/>
      <w:bookmarkEnd w:id="14956"/>
      <w:bookmarkEnd w:id="14957"/>
      <w:bookmarkEnd w:id="14958"/>
      <w:bookmarkEnd w:id="14959"/>
      <w:bookmarkEnd w:id="14960"/>
      <w:r>
        <w:rPr>
          <w:rFonts w:hint="cs"/>
          <w:rtl/>
        </w:rPr>
        <w:t xml:space="preserve"> </w:t>
      </w:r>
    </w:p>
    <w:p w:rsidR="00F4065E" w:rsidRDefault="00F4065E" w:rsidP="007E4E81">
      <w:pPr>
        <w:pStyle w:val="a0"/>
        <w:rPr>
          <w:rtl/>
        </w:rPr>
      </w:pPr>
      <w:bookmarkStart w:id="14961" w:name="_Ref63972988"/>
      <w:r>
        <w:rPr>
          <w:rFonts w:hint="cs"/>
          <w:rtl/>
        </w:rPr>
        <w:t>וכתב</w:t>
      </w:r>
      <w:r w:rsidRPr="00FB73BA">
        <w:rPr>
          <w:rStyle w:val="af9"/>
          <w:rFonts w:hint="cs"/>
          <w:rtl/>
        </w:rPr>
        <w:t xml:space="preserve"> הש"ך</w:t>
      </w:r>
      <w:r w:rsidRPr="00736D9F">
        <w:rPr>
          <w:rStyle w:val="af7"/>
          <w:rFonts w:eastAsia="Guttman Hodes" w:hint="cs"/>
          <w:rtl/>
        </w:rPr>
        <w:t xml:space="preserve"> (סי' קמ"ט סוס"ק י"ח)</w:t>
      </w:r>
      <w:r>
        <w:rPr>
          <w:rFonts w:hint="cs"/>
          <w:rtl/>
        </w:rPr>
        <w:t xml:space="preserve"> דאם החזיק ג"ש בחיי האב, אעפ"י שיש קול, הוא נאמן בטענת לקוחה היא בידי</w:t>
      </w:r>
      <w:r w:rsidRPr="00CB17DB">
        <w:rPr>
          <w:rFonts w:hint="cs"/>
          <w:rtl/>
        </w:rPr>
        <w:t xml:space="preserve"> </w:t>
      </w:r>
      <w:r>
        <w:rPr>
          <w:rFonts w:hint="cs"/>
          <w:rtl/>
        </w:rPr>
        <w:t xml:space="preserve">אף לדעת </w:t>
      </w:r>
      <w:r w:rsidRPr="00FB73BA">
        <w:rPr>
          <w:rStyle w:val="af9"/>
          <w:rFonts w:hint="cs"/>
          <w:rtl/>
        </w:rPr>
        <w:t>הרמב"ם</w:t>
      </w:r>
      <w:r>
        <w:rPr>
          <w:rFonts w:hint="cs"/>
          <w:rtl/>
        </w:rPr>
        <w:t xml:space="preserve">, דהא הקול לא עדיף מעידי מרא קמא, אלא </w:t>
      </w:r>
      <w:r w:rsidRPr="00007823">
        <w:rPr>
          <w:rStyle w:val="af9"/>
          <w:rFonts w:hint="cs"/>
          <w:rtl/>
        </w:rPr>
        <w:t xml:space="preserve">דהרמב"ם </w:t>
      </w:r>
      <w:r>
        <w:rPr>
          <w:rFonts w:hint="cs"/>
          <w:rtl/>
        </w:rPr>
        <w:t>ביאר דרבא בר שרשום לא החזיק ג"ש בחיי האב, וכל מה דמהני הקול דכשטוען שלקחה אין לו מיגו, דכיון שיש קול שהיא של היתומים אינו יכול לטעון דלא הייתה של אביהם מעולם.</w:t>
      </w:r>
      <w:bookmarkEnd w:id="14961"/>
      <w:r>
        <w:rPr>
          <w:rFonts w:hint="cs"/>
          <w:rtl/>
        </w:rPr>
        <w:t xml:space="preserve"> </w:t>
      </w:r>
    </w:p>
    <w:p w:rsidR="00F4065E" w:rsidRPr="00FC3361" w:rsidRDefault="00F4065E" w:rsidP="00F4065E">
      <w:pPr>
        <w:pStyle w:val="a3"/>
        <w:rPr>
          <w:rtl/>
        </w:rPr>
      </w:pPr>
    </w:p>
    <w:p w:rsidR="00F4065E" w:rsidRPr="000C7213" w:rsidRDefault="00F4065E" w:rsidP="00F4065E">
      <w:pPr>
        <w:pStyle w:val="afe"/>
        <w:rPr>
          <w:rtl/>
        </w:rPr>
      </w:pPr>
      <w:bookmarkStart w:id="14962" w:name="_Toc63675700"/>
      <w:bookmarkStart w:id="14963" w:name="_Toc63703868"/>
      <w:bookmarkStart w:id="14964" w:name="_Toc63714168"/>
      <w:bookmarkStart w:id="14965" w:name="_Toc63854282"/>
      <w:bookmarkStart w:id="14966" w:name="_Toc63942262"/>
      <w:bookmarkStart w:id="14967" w:name="_Toc63975494"/>
      <w:bookmarkStart w:id="14968" w:name="_Toc63986534"/>
      <w:bookmarkStart w:id="14969" w:name="_Toc64024662"/>
      <w:bookmarkStart w:id="14970" w:name="_Toc64036070"/>
      <w:bookmarkStart w:id="14971" w:name="_Toc64148115"/>
      <w:bookmarkStart w:id="14972" w:name="_Toc64205716"/>
      <w:bookmarkStart w:id="14973" w:name="_Toc64209396"/>
      <w:r>
        <w:rPr>
          <w:rFonts w:hint="cs"/>
          <w:rtl/>
        </w:rPr>
        <w:lastRenderedPageBreak/>
        <w:t>אי החזיק ג"ש בחיי האב או לאח"מ האב</w:t>
      </w:r>
      <w:bookmarkEnd w:id="14962"/>
      <w:bookmarkEnd w:id="14963"/>
      <w:bookmarkEnd w:id="14964"/>
      <w:bookmarkEnd w:id="14965"/>
      <w:bookmarkEnd w:id="14966"/>
      <w:bookmarkEnd w:id="14967"/>
      <w:bookmarkEnd w:id="14968"/>
      <w:bookmarkEnd w:id="14969"/>
      <w:bookmarkEnd w:id="14970"/>
      <w:bookmarkEnd w:id="14971"/>
      <w:bookmarkEnd w:id="14972"/>
      <w:bookmarkEnd w:id="14973"/>
    </w:p>
    <w:p w:rsidR="00F4065E" w:rsidRDefault="00F4065E" w:rsidP="00F4065E">
      <w:pPr>
        <w:pStyle w:val="1"/>
        <w:rPr>
          <w:rtl/>
        </w:rPr>
      </w:pPr>
      <w:bookmarkStart w:id="14974" w:name="_Toc63675701"/>
      <w:bookmarkStart w:id="14975" w:name="_Toc63703869"/>
      <w:bookmarkStart w:id="14976" w:name="_Toc63714169"/>
      <w:bookmarkStart w:id="14977" w:name="_Toc63854283"/>
      <w:bookmarkStart w:id="14978" w:name="_Toc63942263"/>
      <w:bookmarkStart w:id="14979" w:name="_Toc63975495"/>
      <w:bookmarkStart w:id="14980" w:name="_Toc63986535"/>
      <w:bookmarkStart w:id="14981" w:name="_Toc64024663"/>
      <w:bookmarkStart w:id="14982" w:name="_Toc64036071"/>
      <w:bookmarkStart w:id="14983" w:name="_Toc64148116"/>
      <w:bookmarkStart w:id="14984" w:name="_Toc64205717"/>
      <w:bookmarkStart w:id="14985" w:name="_Toc64209397"/>
      <w:r>
        <w:rPr>
          <w:rFonts w:hint="cs"/>
          <w:rtl/>
        </w:rPr>
        <w:t>דברי הרשב"ם</w:t>
      </w:r>
      <w:bookmarkEnd w:id="14974"/>
      <w:bookmarkEnd w:id="14975"/>
      <w:bookmarkEnd w:id="14976"/>
      <w:bookmarkEnd w:id="14977"/>
      <w:bookmarkEnd w:id="14978"/>
      <w:bookmarkEnd w:id="14979"/>
      <w:bookmarkEnd w:id="14980"/>
      <w:bookmarkEnd w:id="14981"/>
      <w:bookmarkEnd w:id="14982"/>
      <w:r>
        <w:rPr>
          <w:rFonts w:hint="cs"/>
          <w:rtl/>
        </w:rPr>
        <w:t xml:space="preserve"> והרמב"ן ורבינו יונה דהחזיק ג"ש בחיי האב</w:t>
      </w:r>
      <w:bookmarkEnd w:id="14983"/>
      <w:bookmarkEnd w:id="14984"/>
      <w:bookmarkEnd w:id="14985"/>
    </w:p>
    <w:p w:rsidR="00F4065E" w:rsidRDefault="00F4065E" w:rsidP="00F4065E">
      <w:pPr>
        <w:pStyle w:val="a3"/>
        <w:rPr>
          <w:rtl/>
        </w:rPr>
      </w:pPr>
      <w:bookmarkStart w:id="14986" w:name="_Toc64148117"/>
      <w:bookmarkStart w:id="14987" w:name="_Toc64205718"/>
      <w:bookmarkStart w:id="14988" w:name="_Toc64209398"/>
      <w:r>
        <w:rPr>
          <w:rFonts w:hint="cs"/>
          <w:rtl/>
        </w:rPr>
        <w:t>דברי הרשב"ם והרמב"ן והראב"ד דהיו לרבא בר שרשום עדים שהחזיק ג"ש בחיי האב</w:t>
      </w:r>
      <w:bookmarkEnd w:id="14986"/>
      <w:bookmarkEnd w:id="14987"/>
      <w:bookmarkEnd w:id="14988"/>
    </w:p>
    <w:p w:rsidR="00F4065E" w:rsidRDefault="00F4065E" w:rsidP="007E4E81">
      <w:pPr>
        <w:pStyle w:val="a0"/>
        <w:rPr>
          <w:rtl/>
        </w:rPr>
      </w:pPr>
      <w:bookmarkStart w:id="14989" w:name="_Ref63335819"/>
      <w:bookmarkStart w:id="14990" w:name="_Ref64190512"/>
      <w:r>
        <w:rPr>
          <w:rFonts w:hint="cs"/>
          <w:rtl/>
        </w:rPr>
        <w:t xml:space="preserve">כתב </w:t>
      </w:r>
      <w:r w:rsidRPr="000A1704">
        <w:rPr>
          <w:rStyle w:val="af9"/>
          <w:rFonts w:hint="cs"/>
          <w:rtl/>
        </w:rPr>
        <w:t>הרשב</w:t>
      </w:r>
      <w:r w:rsidRPr="00FE3B23">
        <w:rPr>
          <w:rStyle w:val="af9"/>
          <w:rFonts w:hint="cs"/>
          <w:rtl/>
        </w:rPr>
        <w:t>"ם</w:t>
      </w:r>
      <w:r w:rsidRPr="00754329">
        <w:rPr>
          <w:rStyle w:val="af7"/>
          <w:rFonts w:eastAsia="Guttman Hodes" w:hint="cs"/>
          <w:rtl/>
        </w:rPr>
        <w:t xml:space="preserve"> (ד"ה משכנתא)</w:t>
      </w:r>
      <w:r>
        <w:rPr>
          <w:rFonts w:hint="cs"/>
          <w:rtl/>
        </w:rPr>
        <w:t xml:space="preserve"> דהקרקע הייתה בידי רבא בר שרשום במשכנתא דסורא, והחזיק ג"ש בחיי האב</w:t>
      </w:r>
      <w:bookmarkEnd w:id="14989"/>
      <w:r>
        <w:rPr>
          <w:rFonts w:hint="cs"/>
          <w:rtl/>
        </w:rPr>
        <w:t xml:space="preserve">, וכ"כ </w:t>
      </w:r>
      <w:r>
        <w:rPr>
          <w:rStyle w:val="af9"/>
          <w:rtl/>
        </w:rPr>
        <w:t>הרמב"ן</w:t>
      </w:r>
      <w:r>
        <w:rPr>
          <w:rStyle w:val="af7"/>
          <w:rFonts w:eastAsia="Guttman Hodes" w:hint="cs"/>
          <w:b/>
          <w:b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Ref64144571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צו</w:t>
      </w:r>
      <w:r w:rsidR="00265073">
        <w:rPr>
          <w:rStyle w:val="af7"/>
          <w:rFonts w:eastAsia="Guttman Hodes"/>
          <w:rtl/>
        </w:rPr>
        <w:t>)</w:t>
      </w:r>
      <w:r>
        <w:rPr>
          <w:rStyle w:val="af7"/>
          <w:rFonts w:eastAsia="Guttman Hodes" w:hint="cs"/>
          <w:rtl/>
        </w:rPr>
        <w:fldChar w:fldCharType="end"/>
      </w:r>
      <w:r>
        <w:rPr>
          <w:rFonts w:hint="cs"/>
          <w:rtl/>
        </w:rPr>
        <w:t xml:space="preserve"> </w:t>
      </w:r>
      <w:r w:rsidRPr="00257AD0">
        <w:rPr>
          <w:rStyle w:val="af9"/>
          <w:rFonts w:hint="cs"/>
          <w:rtl/>
        </w:rPr>
        <w:t>והראב"ד</w:t>
      </w:r>
      <w:r>
        <w:rPr>
          <w:rFonts w:hint="cs"/>
          <w:rtl/>
        </w:rPr>
        <w:t xml:space="preserve"> </w:t>
      </w:r>
      <w:r w:rsidRPr="00257AD0">
        <w:rPr>
          <w:rStyle w:val="af7"/>
          <w:rFonts w:eastAsia="Guttman Hodes" w:hint="cs"/>
          <w:rtl/>
        </w:rPr>
        <w:t xml:space="preserve">(עי' אות </w:t>
      </w:r>
      <w:r w:rsidRPr="00257AD0">
        <w:rPr>
          <w:rStyle w:val="af7"/>
          <w:rFonts w:eastAsia="Guttman Hodes"/>
          <w:rtl/>
        </w:rPr>
        <w:fldChar w:fldCharType="begin"/>
      </w:r>
      <w:r w:rsidRPr="00257AD0">
        <w:rPr>
          <w:rStyle w:val="af7"/>
          <w:rFonts w:eastAsia="Guttman Hodes"/>
          <w:rtl/>
        </w:rPr>
        <w:instrText xml:space="preserve"> </w:instrText>
      </w:r>
      <w:r w:rsidRPr="00257AD0">
        <w:rPr>
          <w:rStyle w:val="af7"/>
          <w:rFonts w:eastAsia="Guttman Hodes" w:hint="cs"/>
        </w:rPr>
        <w:instrText>REF</w:instrText>
      </w:r>
      <w:r w:rsidRPr="00257AD0">
        <w:rPr>
          <w:rStyle w:val="af7"/>
          <w:rFonts w:eastAsia="Guttman Hodes" w:hint="cs"/>
          <w:rtl/>
        </w:rPr>
        <w:instrText xml:space="preserve"> _</w:instrText>
      </w:r>
      <w:r w:rsidRPr="00257AD0">
        <w:rPr>
          <w:rStyle w:val="af7"/>
          <w:rFonts w:eastAsia="Guttman Hodes" w:hint="cs"/>
        </w:rPr>
        <w:instrText>Ref63971944 \r \h</w:instrText>
      </w:r>
      <w:r w:rsidRPr="00257AD0">
        <w:rPr>
          <w:rStyle w:val="af7"/>
          <w:rFonts w:eastAsia="Guttman Hodes"/>
          <w:rtl/>
        </w:rPr>
        <w:instrText xml:space="preserve"> </w:instrText>
      </w:r>
      <w:r w:rsidRPr="00257AD0">
        <w:rPr>
          <w:rStyle w:val="af7"/>
          <w:rFonts w:eastAsia="Guttman Hodes"/>
          <w:rtl/>
        </w:rPr>
      </w:r>
      <w:r w:rsidRPr="00257AD0">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sidRPr="00257AD0">
        <w:rPr>
          <w:rStyle w:val="af7"/>
          <w:rFonts w:eastAsia="Guttman Hodes"/>
          <w:rtl/>
        </w:rPr>
        <w:fldChar w:fldCharType="end"/>
      </w:r>
      <w:r>
        <w:rPr>
          <w:rFonts w:hint="cs"/>
          <w:rtl/>
        </w:rPr>
        <w:t xml:space="preserve"> דהיו לרבא בר שרשום עדים שהחזיק ג"ש.</w:t>
      </w:r>
      <w:bookmarkEnd w:id="14990"/>
    </w:p>
    <w:p w:rsidR="00F4065E" w:rsidRPr="00666ADB" w:rsidRDefault="00F4065E" w:rsidP="00F4065E">
      <w:pPr>
        <w:pStyle w:val="a3"/>
        <w:rPr>
          <w:rtl/>
        </w:rPr>
      </w:pPr>
      <w:bookmarkStart w:id="14991" w:name="_Toc64148118"/>
      <w:bookmarkStart w:id="14992" w:name="_Toc64205719"/>
      <w:bookmarkStart w:id="14993" w:name="_Toc64209399"/>
      <w:r>
        <w:rPr>
          <w:rFonts w:hint="cs"/>
          <w:rtl/>
        </w:rPr>
        <w:t>דברי רבינו יונה דהחזיק ג"ש בחיי האב ולא היו עדים שירד לקרקע במשכנתא</w:t>
      </w:r>
      <w:bookmarkEnd w:id="14991"/>
      <w:bookmarkEnd w:id="14992"/>
      <w:bookmarkEnd w:id="14993"/>
    </w:p>
    <w:p w:rsidR="00F4065E" w:rsidRDefault="00F4065E" w:rsidP="007E4E81">
      <w:pPr>
        <w:pStyle w:val="a0"/>
        <w:rPr>
          <w:rtl/>
        </w:rPr>
      </w:pPr>
      <w:bookmarkStart w:id="14994" w:name="_Ref64190520"/>
      <w:r>
        <w:rPr>
          <w:rFonts w:hint="cs"/>
          <w:rtl/>
        </w:rPr>
        <w:t xml:space="preserve">וכ"כ </w:t>
      </w:r>
      <w:r w:rsidRPr="000A1704">
        <w:rPr>
          <w:rStyle w:val="af9"/>
          <w:rFonts w:hint="cs"/>
          <w:rtl/>
        </w:rPr>
        <w:t>רבינו</w:t>
      </w:r>
      <w:r>
        <w:rPr>
          <w:rFonts w:hint="cs"/>
          <w:rtl/>
        </w:rPr>
        <w:t xml:space="preserve"> </w:t>
      </w:r>
      <w:r w:rsidRPr="000A1704">
        <w:rPr>
          <w:rStyle w:val="af9"/>
          <w:rFonts w:hint="cs"/>
          <w:rtl/>
        </w:rPr>
        <w:t>יונה</w:t>
      </w:r>
      <w:r>
        <w:rPr>
          <w:rFonts w:hint="cs"/>
          <w:rtl/>
        </w:rPr>
        <w:t xml:space="preserve"> </w:t>
      </w:r>
      <w:r w:rsidRPr="00DB6AAE">
        <w:rPr>
          <w:rStyle w:val="af7"/>
          <w:rFonts w:eastAsia="Guttman Hodes" w:hint="cs"/>
          <w:rtl/>
        </w:rPr>
        <w:t>(ד"ה אוכלה)</w:t>
      </w:r>
      <w:r>
        <w:rPr>
          <w:rFonts w:hint="cs"/>
          <w:rtl/>
        </w:rPr>
        <w:t xml:space="preserve"> דהיה לרבא בר שרשום עידי חזקה בחיי האב, ולא היו עדים שירד לקרקע במשכנתא, אך כתב </w:t>
      </w:r>
      <w:r w:rsidRPr="000927A2">
        <w:rPr>
          <w:rStyle w:val="af9"/>
          <w:rFonts w:hint="cs"/>
          <w:rtl/>
        </w:rPr>
        <w:t>רבינו יונה</w:t>
      </w:r>
      <w:r>
        <w:rPr>
          <w:rFonts w:hint="cs"/>
          <w:rtl/>
        </w:rPr>
        <w:t xml:space="preserve"> דאי לא החזיק רבא בר שרשום ג"ש בחיי האב, לא היה נאמן בטענת לקוחה היא בידי, דהא אין מחזיקין בנכסי קטן.</w:t>
      </w:r>
      <w:bookmarkEnd w:id="14994"/>
    </w:p>
    <w:p w:rsidR="00F4065E" w:rsidRPr="000927A2" w:rsidRDefault="00F4065E" w:rsidP="00F4065E">
      <w:pPr>
        <w:pStyle w:val="1"/>
        <w:rPr>
          <w:rtl/>
        </w:rPr>
      </w:pPr>
      <w:bookmarkStart w:id="14995" w:name="_Toc64148119"/>
      <w:bookmarkStart w:id="14996" w:name="_Toc64205720"/>
      <w:bookmarkStart w:id="14997" w:name="_Toc64209400"/>
      <w:r>
        <w:rPr>
          <w:rFonts w:hint="cs"/>
          <w:rtl/>
        </w:rPr>
        <w:t>דעת הר"י מגאש והרמב"ם דהחזיק ג"ש בחיי היתומים</w:t>
      </w:r>
      <w:bookmarkEnd w:id="14995"/>
      <w:bookmarkEnd w:id="14996"/>
      <w:bookmarkEnd w:id="14997"/>
    </w:p>
    <w:p w:rsidR="00F4065E" w:rsidRPr="00464677" w:rsidRDefault="00F4065E" w:rsidP="00F4065E">
      <w:pPr>
        <w:pStyle w:val="a3"/>
      </w:pPr>
      <w:bookmarkStart w:id="14998" w:name="_Toc64148120"/>
      <w:bookmarkStart w:id="14999" w:name="_Toc64205721"/>
      <w:bookmarkStart w:id="15000" w:name="_Toc64209401"/>
      <w:r>
        <w:rPr>
          <w:rFonts w:hint="cs"/>
          <w:rtl/>
        </w:rPr>
        <w:t>דברי הר"י מגאש והרמב"ם דלא החזיק ג"ש בחיי האב אלא רק בחיי היתומים ואין עידי מר"ק</w:t>
      </w:r>
      <w:bookmarkEnd w:id="14998"/>
      <w:bookmarkEnd w:id="14999"/>
      <w:bookmarkEnd w:id="15000"/>
    </w:p>
    <w:p w:rsidR="00F4065E" w:rsidRDefault="00F4065E" w:rsidP="007E4E81">
      <w:pPr>
        <w:pStyle w:val="a0"/>
        <w:rPr>
          <w:rtl/>
        </w:rPr>
      </w:pPr>
      <w:bookmarkStart w:id="15001" w:name="_Ref64209187"/>
      <w:r>
        <w:rPr>
          <w:rFonts w:hint="cs"/>
          <w:rtl/>
        </w:rPr>
        <w:t xml:space="preserve">אבל </w:t>
      </w:r>
      <w:r w:rsidRPr="000A1704">
        <w:rPr>
          <w:rStyle w:val="af9"/>
          <w:rFonts w:hint="cs"/>
          <w:rtl/>
        </w:rPr>
        <w:t>הר"י מגאש</w:t>
      </w:r>
      <w:r>
        <w:rPr>
          <w:rFonts w:hint="cs"/>
          <w:rtl/>
        </w:rPr>
        <w:t xml:space="preserve"> </w:t>
      </w:r>
      <w:r w:rsidRPr="00754329">
        <w:rPr>
          <w:rStyle w:val="af7"/>
          <w:rFonts w:eastAsia="Guttman Hodes" w:hint="cs"/>
          <w:rtl/>
        </w:rPr>
        <w:t xml:space="preserve">(עי'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Ref63674377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754329">
        <w:rPr>
          <w:rStyle w:val="af7"/>
          <w:rFonts w:eastAsia="Guttman Hodes"/>
          <w:rtl/>
        </w:rPr>
        <w:fldChar w:fldCharType="end"/>
      </w:r>
      <w:r>
        <w:rPr>
          <w:rFonts w:hint="cs"/>
          <w:rtl/>
        </w:rPr>
        <w:t xml:space="preserve"> </w:t>
      </w:r>
      <w:r w:rsidRPr="00067B68">
        <w:rPr>
          <w:rStyle w:val="af9"/>
          <w:rFonts w:hint="cs"/>
          <w:rtl/>
        </w:rPr>
        <w:t xml:space="preserve">הרמב"ם </w:t>
      </w:r>
      <w:r w:rsidRPr="00462ACA">
        <w:rPr>
          <w:rStyle w:val="af7"/>
          <w:rFonts w:eastAsia="Guttman Hodes" w:hint="cs"/>
          <w:rtl/>
        </w:rPr>
        <w:t xml:space="preserve">(עי' אות </w:t>
      </w:r>
      <w:r w:rsidRPr="00462ACA">
        <w:rPr>
          <w:rStyle w:val="af7"/>
          <w:rFonts w:eastAsia="Guttman Hodes"/>
          <w:rtl/>
        </w:rPr>
        <w:fldChar w:fldCharType="begin"/>
      </w:r>
      <w:r w:rsidRPr="00462ACA">
        <w:rPr>
          <w:rStyle w:val="af7"/>
          <w:rFonts w:eastAsia="Guttman Hodes"/>
          <w:rtl/>
        </w:rPr>
        <w:instrText xml:space="preserve"> </w:instrText>
      </w:r>
      <w:r w:rsidRPr="00462ACA">
        <w:rPr>
          <w:rStyle w:val="af7"/>
          <w:rFonts w:eastAsia="Guttman Hodes" w:hint="cs"/>
        </w:rPr>
        <w:instrText>REF</w:instrText>
      </w:r>
      <w:r w:rsidRPr="00462ACA">
        <w:rPr>
          <w:rStyle w:val="af7"/>
          <w:rFonts w:eastAsia="Guttman Hodes" w:hint="cs"/>
          <w:rtl/>
        </w:rPr>
        <w:instrText xml:space="preserve"> _</w:instrText>
      </w:r>
      <w:r w:rsidRPr="00462ACA">
        <w:rPr>
          <w:rStyle w:val="af7"/>
          <w:rFonts w:eastAsia="Guttman Hodes" w:hint="cs"/>
        </w:rPr>
        <w:instrText>Ref63702477 \r \h</w:instrText>
      </w:r>
      <w:r w:rsidRPr="00462ACA">
        <w:rPr>
          <w:rStyle w:val="af7"/>
          <w:rFonts w:eastAsia="Guttman Hodes"/>
          <w:rtl/>
        </w:rPr>
        <w:instrText xml:space="preserve"> </w:instrText>
      </w:r>
      <w:r w:rsidRPr="00462ACA">
        <w:rPr>
          <w:rStyle w:val="af7"/>
          <w:rFonts w:eastAsia="Guttman Hodes"/>
          <w:rtl/>
        </w:rPr>
      </w:r>
      <w:r w:rsidRPr="00462ACA">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462ACA">
        <w:rPr>
          <w:rStyle w:val="af7"/>
          <w:rFonts w:eastAsia="Guttman Hodes"/>
          <w:rtl/>
        </w:rPr>
        <w:fldChar w:fldCharType="end"/>
      </w:r>
      <w:r>
        <w:rPr>
          <w:rStyle w:val="af7"/>
          <w:rFonts w:eastAsia="Guttman Hodes" w:hint="cs"/>
          <w:rtl/>
        </w:rPr>
        <w:t xml:space="preserve"> </w:t>
      </w:r>
      <w:r>
        <w:rPr>
          <w:rFonts w:hint="cs"/>
          <w:rtl/>
        </w:rPr>
        <w:t>כתבו דאיירי שלא החזיק ג"ש בחיי האב, אך כיון דהחזיק ג"ש בפני היתומים, ולא הייתה הקרקע מוחזקת לאביהם של היתומים, לכן סבר רבא בר שרשום דהוא נאמן שיש לו חוב על אביהם, במיגו דהיא לקוחה בידו.</w:t>
      </w:r>
      <w:bookmarkEnd w:id="15001"/>
    </w:p>
    <w:p w:rsidR="00F4065E" w:rsidRPr="008E6B00" w:rsidRDefault="00F4065E" w:rsidP="00F4065E">
      <w:pPr>
        <w:pStyle w:val="a3"/>
        <w:rPr>
          <w:rtl/>
        </w:rPr>
      </w:pPr>
      <w:bookmarkStart w:id="15002" w:name="_Toc64148121"/>
      <w:bookmarkStart w:id="15003" w:name="_Toc64205722"/>
      <w:bookmarkStart w:id="15004" w:name="_Toc64209402"/>
      <w:r>
        <w:rPr>
          <w:rFonts w:hint="cs"/>
          <w:rtl/>
        </w:rPr>
        <w:t>דברי הגידו"ת דלרמב"ם וסה"ת אי החזיק ג"ש בחיי האב היה נאמן אעפ"י שיצא הקול</w:t>
      </w:r>
      <w:bookmarkEnd w:id="15002"/>
      <w:bookmarkEnd w:id="15003"/>
      <w:bookmarkEnd w:id="15004"/>
    </w:p>
    <w:p w:rsidR="00F4065E" w:rsidRDefault="00F4065E" w:rsidP="007E4E81">
      <w:pPr>
        <w:pStyle w:val="a0"/>
        <w:rPr>
          <w:rtl/>
        </w:rPr>
      </w:pPr>
      <w:bookmarkStart w:id="15005" w:name="_Toc63703870"/>
      <w:bookmarkStart w:id="15006" w:name="_Toc63714170"/>
      <w:bookmarkStart w:id="15007" w:name="_Toc63854284"/>
      <w:r>
        <w:rPr>
          <w:rFonts w:hint="cs"/>
          <w:rtl/>
        </w:rPr>
        <w:t xml:space="preserve">וכתב </w:t>
      </w:r>
      <w:r w:rsidRPr="008E6B00">
        <w:rPr>
          <w:rStyle w:val="af9"/>
          <w:rFonts w:hint="cs"/>
          <w:rtl/>
        </w:rPr>
        <w:t>הגידולי תרומה</w:t>
      </w:r>
      <w:r>
        <w:rPr>
          <w:rFonts w:hint="cs"/>
          <w:rtl/>
        </w:rPr>
        <w:t xml:space="preserve"> </w:t>
      </w:r>
      <w:r w:rsidRPr="00326B60">
        <w:rPr>
          <w:rStyle w:val="af7"/>
          <w:rFonts w:eastAsia="Guttman Hodes" w:hint="cs"/>
          <w:rtl/>
        </w:rPr>
        <w:t>(</w:t>
      </w:r>
      <w:r w:rsidRPr="00326B60">
        <w:rPr>
          <w:rStyle w:val="af7"/>
          <w:rFonts w:eastAsia="Guttman Hodes"/>
          <w:rtl/>
        </w:rPr>
        <w:t>שער י</w:t>
      </w:r>
      <w:r w:rsidRPr="00326B60">
        <w:rPr>
          <w:rStyle w:val="af7"/>
          <w:rFonts w:eastAsia="Guttman Hodes" w:hint="cs"/>
          <w:rtl/>
        </w:rPr>
        <w:t>"</w:t>
      </w:r>
      <w:r w:rsidRPr="00326B60">
        <w:rPr>
          <w:rStyle w:val="af7"/>
          <w:rFonts w:eastAsia="Guttman Hodes"/>
          <w:rtl/>
        </w:rPr>
        <w:t>ד ח</w:t>
      </w:r>
      <w:r w:rsidRPr="00326B60">
        <w:rPr>
          <w:rStyle w:val="af7"/>
          <w:rFonts w:eastAsia="Guttman Hodes" w:hint="cs"/>
          <w:rtl/>
        </w:rPr>
        <w:t>"</w:t>
      </w:r>
      <w:r w:rsidRPr="00326B60">
        <w:rPr>
          <w:rStyle w:val="af7"/>
          <w:rFonts w:eastAsia="Guttman Hodes"/>
          <w:rtl/>
        </w:rPr>
        <w:t>א או</w:t>
      </w:r>
      <w:r w:rsidRPr="00326B60">
        <w:rPr>
          <w:rStyle w:val="af7"/>
          <w:rFonts w:eastAsia="Guttman Hodes" w:hint="cs"/>
          <w:rtl/>
        </w:rPr>
        <w:t>'</w:t>
      </w:r>
      <w:r w:rsidRPr="00326B60">
        <w:rPr>
          <w:rStyle w:val="af7"/>
          <w:rFonts w:eastAsia="Guttman Hodes"/>
          <w:rtl/>
        </w:rPr>
        <w:t xml:space="preserve"> ו</w:t>
      </w:r>
      <w:r w:rsidRPr="00326B60">
        <w:rPr>
          <w:rStyle w:val="af7"/>
          <w:rFonts w:eastAsia="Guttman Hodes" w:hint="cs"/>
          <w:rtl/>
        </w:rPr>
        <w:t>'</w:t>
      </w:r>
      <w:r>
        <w:rPr>
          <w:rStyle w:val="af7"/>
          <w:rFonts w:eastAsia="Guttman Hodes" w:hint="cs"/>
          <w:rtl/>
        </w:rPr>
        <w:t xml:space="preserve"> ד"ה ועדין)</w:t>
      </w:r>
      <w:r w:rsidRPr="00326B60">
        <w:rPr>
          <w:rStyle w:val="af7"/>
          <w:rFonts w:eastAsia="Guttman Hodes" w:hint="cs"/>
          <w:rtl/>
        </w:rPr>
        <w:t xml:space="preserve"> </w:t>
      </w:r>
      <w:r>
        <w:rPr>
          <w:rFonts w:hint="cs"/>
          <w:rtl/>
        </w:rPr>
        <w:t xml:space="preserve">דמדברי </w:t>
      </w:r>
      <w:r w:rsidRPr="00C45D91">
        <w:rPr>
          <w:rStyle w:val="af9"/>
          <w:rFonts w:hint="cs"/>
          <w:rtl/>
        </w:rPr>
        <w:t>הרמב"ם</w:t>
      </w:r>
      <w:r>
        <w:rPr>
          <w:rFonts w:hint="cs"/>
          <w:rtl/>
        </w:rPr>
        <w:t xml:space="preserve"> </w:t>
      </w:r>
      <w:r w:rsidRPr="00C45D91">
        <w:rPr>
          <w:rStyle w:val="af7"/>
          <w:rFonts w:eastAsia="Guttman Hodes" w:hint="cs"/>
          <w:rtl/>
        </w:rPr>
        <w:t xml:space="preserve">(עי' אות </w:t>
      </w:r>
      <w:r w:rsidRPr="00C45D91">
        <w:rPr>
          <w:rStyle w:val="af7"/>
          <w:rFonts w:eastAsia="Guttman Hodes"/>
          <w:rtl/>
        </w:rPr>
        <w:fldChar w:fldCharType="begin"/>
      </w:r>
      <w:r w:rsidRPr="00C45D91">
        <w:rPr>
          <w:rStyle w:val="af7"/>
          <w:rFonts w:eastAsia="Guttman Hodes"/>
          <w:rtl/>
        </w:rPr>
        <w:instrText xml:space="preserve"> </w:instrText>
      </w:r>
      <w:r w:rsidRPr="00C45D91">
        <w:rPr>
          <w:rStyle w:val="af7"/>
          <w:rFonts w:eastAsia="Guttman Hodes" w:hint="cs"/>
        </w:rPr>
        <w:instrText>REF</w:instrText>
      </w:r>
      <w:r w:rsidRPr="00C45D91">
        <w:rPr>
          <w:rStyle w:val="af7"/>
          <w:rFonts w:eastAsia="Guttman Hodes" w:hint="cs"/>
          <w:rtl/>
        </w:rPr>
        <w:instrText xml:space="preserve"> _</w:instrText>
      </w:r>
      <w:r w:rsidRPr="00C45D91">
        <w:rPr>
          <w:rStyle w:val="af7"/>
          <w:rFonts w:eastAsia="Guttman Hodes" w:hint="cs"/>
        </w:rPr>
        <w:instrText>Ref63702477 \r \h</w:instrText>
      </w:r>
      <w:r w:rsidRPr="00C45D91">
        <w:rPr>
          <w:rStyle w:val="af7"/>
          <w:rFonts w:eastAsia="Guttman Hodes"/>
          <w:rtl/>
        </w:rPr>
        <w:instrText xml:space="preserve"> </w:instrText>
      </w:r>
      <w:r w:rsidRPr="00C45D91">
        <w:rPr>
          <w:rStyle w:val="af7"/>
          <w:rFonts w:eastAsia="Guttman Hodes"/>
          <w:rtl/>
        </w:rPr>
      </w:r>
      <w:r w:rsidRPr="00C45D91">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C45D91">
        <w:rPr>
          <w:rStyle w:val="af7"/>
          <w:rFonts w:eastAsia="Guttman Hodes"/>
          <w:rtl/>
        </w:rPr>
        <w:fldChar w:fldCharType="end"/>
      </w:r>
      <w:r>
        <w:rPr>
          <w:rFonts w:hint="cs"/>
          <w:rtl/>
        </w:rPr>
        <w:t xml:space="preserve"> </w:t>
      </w:r>
      <w:r w:rsidRPr="008E6B00">
        <w:rPr>
          <w:rStyle w:val="af9"/>
          <w:rFonts w:hint="cs"/>
          <w:rtl/>
        </w:rPr>
        <w:t>וספר התרומות</w:t>
      </w:r>
      <w:r>
        <w:rPr>
          <w:rFonts w:hint="cs"/>
          <w:rtl/>
        </w:rPr>
        <w:t xml:space="preserve"> </w:t>
      </w:r>
      <w:r w:rsidRPr="005F27AB">
        <w:rPr>
          <w:rStyle w:val="af7"/>
          <w:rFonts w:eastAsia="Guttman Hodes" w:hint="cs"/>
          <w:rtl/>
        </w:rPr>
        <w:t xml:space="preserve">(עי' אות </w:t>
      </w:r>
      <w:r w:rsidRPr="005F27AB">
        <w:rPr>
          <w:rStyle w:val="af7"/>
          <w:rFonts w:eastAsia="Guttman Hodes"/>
          <w:rtl/>
        </w:rPr>
        <w:fldChar w:fldCharType="begin"/>
      </w:r>
      <w:r w:rsidRPr="005F27AB">
        <w:rPr>
          <w:rStyle w:val="af7"/>
          <w:rFonts w:eastAsia="Guttman Hodes"/>
          <w:rtl/>
        </w:rPr>
        <w:instrText xml:space="preserve"> </w:instrText>
      </w:r>
      <w:r w:rsidRPr="005F27AB">
        <w:rPr>
          <w:rStyle w:val="af7"/>
          <w:rFonts w:eastAsia="Guttman Hodes" w:hint="cs"/>
        </w:rPr>
        <w:instrText>REF</w:instrText>
      </w:r>
      <w:r w:rsidRPr="005F27AB">
        <w:rPr>
          <w:rStyle w:val="af7"/>
          <w:rFonts w:eastAsia="Guttman Hodes" w:hint="cs"/>
          <w:rtl/>
        </w:rPr>
        <w:instrText xml:space="preserve"> _</w:instrText>
      </w:r>
      <w:r w:rsidRPr="005F27AB">
        <w:rPr>
          <w:rStyle w:val="af7"/>
          <w:rFonts w:eastAsia="Guttman Hodes" w:hint="cs"/>
        </w:rPr>
        <w:instrText>Ref64209057 \r \h</w:instrText>
      </w:r>
      <w:r w:rsidRPr="005F27AB">
        <w:rPr>
          <w:rStyle w:val="af7"/>
          <w:rFonts w:eastAsia="Guttman Hodes"/>
          <w:rtl/>
        </w:rPr>
        <w:instrText xml:space="preserve"> </w:instrText>
      </w:r>
      <w:r w:rsidRPr="005F27AB">
        <w:rPr>
          <w:rStyle w:val="af7"/>
          <w:rFonts w:eastAsia="Guttman Hodes"/>
          <w:rtl/>
        </w:rPr>
      </w:r>
      <w:r w:rsidRPr="005F27AB">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5F27AB">
        <w:rPr>
          <w:rStyle w:val="af7"/>
          <w:rFonts w:eastAsia="Guttman Hodes"/>
          <w:rtl/>
        </w:rPr>
        <w:fldChar w:fldCharType="end"/>
      </w:r>
      <w:r>
        <w:rPr>
          <w:rFonts w:hint="cs"/>
          <w:rtl/>
        </w:rPr>
        <w:t xml:space="preserve"> מבואר דאם היה לרבא בר שרשום חזקה בחיי האב, היה נאמן במיגו דלקוחה, אעפ"י שידוע שהקרקע הייתה של האב, ורק כיון שיצא קול שהקרקע היא של היתומים, אינו נאמן במיגו.</w:t>
      </w:r>
    </w:p>
    <w:p w:rsidR="00F4065E" w:rsidRPr="00B551EA" w:rsidRDefault="00F4065E" w:rsidP="00F4065E">
      <w:pPr>
        <w:pStyle w:val="a3"/>
      </w:pPr>
      <w:bookmarkStart w:id="15008" w:name="_Toc64148122"/>
      <w:bookmarkStart w:id="15009" w:name="_Toc64205723"/>
      <w:bookmarkStart w:id="15010" w:name="_Toc64209403"/>
      <w:bookmarkEnd w:id="15005"/>
      <w:bookmarkEnd w:id="15006"/>
      <w:bookmarkEnd w:id="15007"/>
      <w:r w:rsidRPr="00B551EA">
        <w:rPr>
          <w:rFonts w:hint="cs"/>
          <w:rtl/>
        </w:rPr>
        <w:t xml:space="preserve">דברי ר"ח דהחזיק ג"ש בחיי האב והקול </w:t>
      </w:r>
      <w:r>
        <w:rPr>
          <w:rFonts w:hint="cs"/>
          <w:rtl/>
        </w:rPr>
        <w:t xml:space="preserve">חשיב </w:t>
      </w:r>
      <w:r w:rsidRPr="00B551EA">
        <w:rPr>
          <w:rFonts w:hint="cs"/>
          <w:rtl/>
        </w:rPr>
        <w:t>כמחאה</w:t>
      </w:r>
      <w:bookmarkEnd w:id="15008"/>
      <w:r>
        <w:rPr>
          <w:rFonts w:hint="cs"/>
          <w:rtl/>
        </w:rPr>
        <w:t xml:space="preserve"> והיה לו להזהר בשטר ול"מ החזקה</w:t>
      </w:r>
      <w:bookmarkEnd w:id="15009"/>
      <w:bookmarkEnd w:id="15010"/>
    </w:p>
    <w:p w:rsidR="00F4065E" w:rsidRPr="00B551EA" w:rsidRDefault="00F4065E" w:rsidP="007E4E81">
      <w:pPr>
        <w:pStyle w:val="a0"/>
        <w:rPr>
          <w:rStyle w:val="afb"/>
          <w:rtl/>
        </w:rPr>
      </w:pPr>
      <w:bookmarkStart w:id="15011" w:name="_Ref64190538"/>
      <w:r>
        <w:rPr>
          <w:rFonts w:hint="cs"/>
          <w:rtl/>
        </w:rPr>
        <w:t>ועי' במ"ש</w:t>
      </w:r>
      <w:r w:rsidRPr="00B551EA">
        <w:rPr>
          <w:rFonts w:hint="cs"/>
          <w:rtl/>
        </w:rPr>
        <w:t xml:space="preserve"> </w:t>
      </w:r>
      <w:r w:rsidRPr="00B551EA">
        <w:rPr>
          <w:rStyle w:val="af9"/>
          <w:rFonts w:hint="cs"/>
          <w:rtl/>
        </w:rPr>
        <w:t>הרמב"ן והרשב"א ורבינו</w:t>
      </w:r>
      <w:r w:rsidRPr="00B551EA">
        <w:rPr>
          <w:rFonts w:hint="cs"/>
          <w:rtl/>
        </w:rPr>
        <w:t xml:space="preserve"> </w:t>
      </w:r>
      <w:r w:rsidRPr="00B551EA">
        <w:rPr>
          <w:rStyle w:val="af9"/>
          <w:rFonts w:hint="cs"/>
          <w:rtl/>
        </w:rPr>
        <w:t>יונה</w:t>
      </w:r>
      <w:r w:rsidRPr="00B551EA">
        <w:rPr>
          <w:rFonts w:hint="cs"/>
          <w:rtl/>
        </w:rPr>
        <w:t xml:space="preserve"> </w:t>
      </w:r>
      <w:r w:rsidRPr="00B551EA">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Ref64209145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w:t>
      </w:r>
      <w:r>
        <w:rPr>
          <w:rStyle w:val="af7"/>
          <w:rFonts w:eastAsia="Guttman Hodes"/>
          <w:rtl/>
        </w:rPr>
        <w:fldChar w:fldCharType="end"/>
      </w:r>
      <w:r w:rsidRPr="00B551EA">
        <w:rPr>
          <w:rStyle w:val="af7"/>
          <w:rFonts w:eastAsia="Guttman Hodes" w:hint="cs"/>
          <w:rtl/>
        </w:rPr>
        <w:t xml:space="preserve"> </w:t>
      </w:r>
      <w:r w:rsidRPr="00B551EA">
        <w:rPr>
          <w:rFonts w:hint="cs"/>
          <w:rtl/>
        </w:rPr>
        <w:t xml:space="preserve">בשם </w:t>
      </w:r>
      <w:r w:rsidRPr="00B551EA">
        <w:rPr>
          <w:rStyle w:val="af9"/>
          <w:rFonts w:hint="cs"/>
          <w:rtl/>
        </w:rPr>
        <w:t>ר"ח</w:t>
      </w:r>
      <w:r w:rsidRPr="00B551EA">
        <w:rPr>
          <w:rFonts w:hint="cs"/>
          <w:rtl/>
        </w:rPr>
        <w:t xml:space="preserve"> </w:t>
      </w:r>
      <w:r>
        <w:rPr>
          <w:rFonts w:hint="cs"/>
          <w:rtl/>
        </w:rPr>
        <w:t xml:space="preserve">דאיירי שהחזיק ג"ש, אך כיון </w:t>
      </w:r>
      <w:r w:rsidRPr="00B551EA">
        <w:rPr>
          <w:rFonts w:hint="cs"/>
          <w:rtl/>
        </w:rPr>
        <w:t xml:space="preserve">שיצא קול שהקרקע אינה שלו, היה לו להזהר בשטרו, </w:t>
      </w:r>
      <w:r>
        <w:rPr>
          <w:rFonts w:hint="cs"/>
          <w:rtl/>
        </w:rPr>
        <w:t>והקול</w:t>
      </w:r>
      <w:r w:rsidRPr="00B551EA">
        <w:rPr>
          <w:rFonts w:hint="cs"/>
          <w:rtl/>
        </w:rPr>
        <w:t xml:space="preserve"> חשיב כמחאה, ואין חזקתו חזקה</w:t>
      </w:r>
      <w:r>
        <w:rPr>
          <w:rFonts w:hint="cs"/>
          <w:rtl/>
        </w:rPr>
        <w:t>.</w:t>
      </w:r>
      <w:bookmarkEnd w:id="15011"/>
    </w:p>
    <w:p w:rsidR="00F4065E" w:rsidRPr="00BD0B91" w:rsidRDefault="00F4065E" w:rsidP="00F4065E">
      <w:pPr>
        <w:pStyle w:val="a3"/>
        <w:rPr>
          <w:rtl/>
        </w:rPr>
      </w:pPr>
      <w:bookmarkStart w:id="15012" w:name="_Toc64205724"/>
      <w:bookmarkStart w:id="15013" w:name="_Toc64209404"/>
      <w:r>
        <w:rPr>
          <w:rFonts w:hint="cs"/>
          <w:rtl/>
        </w:rPr>
        <w:t>דברי הריטב"א דלסוברים דהחזיק ג"ש בחיי האב איירי שיש עידי מר"ק ולכן לא נאמן במיגו</w:t>
      </w:r>
      <w:bookmarkEnd w:id="15012"/>
      <w:bookmarkEnd w:id="15013"/>
    </w:p>
    <w:p w:rsidR="00F4065E" w:rsidRDefault="00F4065E" w:rsidP="007E4E81">
      <w:pPr>
        <w:pStyle w:val="a0"/>
        <w:rPr>
          <w:rtl/>
        </w:rPr>
      </w:pPr>
      <w:bookmarkStart w:id="15014" w:name="_Ref64190816"/>
      <w:r>
        <w:rPr>
          <w:rFonts w:hint="cs"/>
          <w:rtl/>
        </w:rPr>
        <w:t xml:space="preserve">הביא </w:t>
      </w:r>
      <w:r w:rsidRPr="00E137E0">
        <w:rPr>
          <w:rStyle w:val="af9"/>
          <w:rFonts w:hint="cs"/>
          <w:rtl/>
        </w:rPr>
        <w:t>הריטב"א</w:t>
      </w:r>
      <w:r>
        <w:rPr>
          <w:rFonts w:hint="cs"/>
          <w:rtl/>
        </w:rPr>
        <w:t xml:space="preserve"> </w:t>
      </w:r>
      <w:r w:rsidRPr="00DB6AAE">
        <w:rPr>
          <w:rStyle w:val="af7"/>
          <w:rFonts w:eastAsia="Guttman Hodes" w:hint="cs"/>
          <w:rtl/>
        </w:rPr>
        <w:t>(ד"ה דמיגו)</w:t>
      </w:r>
      <w:r>
        <w:rPr>
          <w:rFonts w:hint="cs"/>
          <w:rtl/>
        </w:rPr>
        <w:t xml:space="preserve"> בשם </w:t>
      </w:r>
      <w:r w:rsidRPr="00FE3B23">
        <w:rPr>
          <w:rStyle w:val="af9"/>
          <w:rFonts w:hint="cs"/>
          <w:rtl/>
        </w:rPr>
        <w:t>כל המפרשים</w:t>
      </w:r>
      <w:r>
        <w:rPr>
          <w:rFonts w:hint="cs"/>
          <w:rtl/>
        </w:rPr>
        <w:t xml:space="preserve"> </w:t>
      </w:r>
      <w:r w:rsidRPr="00FE3B23">
        <w:rPr>
          <w:rStyle w:val="afb"/>
          <w:rFonts w:hint="cs"/>
          <w:rtl/>
        </w:rPr>
        <w:t>[</w:t>
      </w:r>
      <w:r w:rsidRPr="008E32BD">
        <w:rPr>
          <w:rStyle w:val="affa"/>
          <w:rFonts w:hint="cs"/>
          <w:rtl/>
        </w:rPr>
        <w:t xml:space="preserve">רשב"ם </w:t>
      </w:r>
      <w:r w:rsidRPr="009D78A5">
        <w:rPr>
          <w:rStyle w:val="aff6"/>
          <w:rFonts w:hint="cs"/>
          <w:rtl/>
        </w:rPr>
        <w:t xml:space="preserve">(עי' אות </w:t>
      </w:r>
      <w:r w:rsidRPr="009D78A5">
        <w:rPr>
          <w:rStyle w:val="aff6"/>
          <w:rtl/>
        </w:rPr>
        <w:fldChar w:fldCharType="begin"/>
      </w:r>
      <w:r w:rsidRPr="009D78A5">
        <w:rPr>
          <w:rStyle w:val="aff6"/>
          <w:rtl/>
        </w:rPr>
        <w:instrText xml:space="preserve"> </w:instrText>
      </w:r>
      <w:r w:rsidRPr="009D78A5">
        <w:rPr>
          <w:rStyle w:val="aff6"/>
          <w:rFonts w:hint="cs"/>
        </w:rPr>
        <w:instrText>REF</w:instrText>
      </w:r>
      <w:r w:rsidRPr="009D78A5">
        <w:rPr>
          <w:rStyle w:val="aff6"/>
          <w:rFonts w:hint="cs"/>
          <w:rtl/>
        </w:rPr>
        <w:instrText xml:space="preserve"> _</w:instrText>
      </w:r>
      <w:r w:rsidRPr="009D78A5">
        <w:rPr>
          <w:rStyle w:val="aff6"/>
          <w:rFonts w:hint="cs"/>
        </w:rPr>
        <w:instrText>Ref64190512 \r \h</w:instrText>
      </w:r>
      <w:r w:rsidRPr="009D78A5">
        <w:rPr>
          <w:rStyle w:val="aff6"/>
          <w:rtl/>
        </w:rPr>
        <w:instrText xml:space="preserve"> </w:instrText>
      </w:r>
      <w:r w:rsidRPr="009D78A5">
        <w:rPr>
          <w:rStyle w:val="aff6"/>
          <w:rtl/>
        </w:rPr>
      </w:r>
      <w:r w:rsidRPr="009D78A5">
        <w:rPr>
          <w:rStyle w:val="aff6"/>
          <w:rtl/>
        </w:rPr>
        <w:fldChar w:fldCharType="separate"/>
      </w:r>
      <w:r w:rsidR="00265073">
        <w:rPr>
          <w:rStyle w:val="aff6"/>
          <w:cs/>
        </w:rPr>
        <w:t>‎</w:t>
      </w:r>
      <w:r w:rsidR="00265073">
        <w:rPr>
          <w:rStyle w:val="aff6"/>
          <w:rtl/>
        </w:rPr>
        <w:t>פב)</w:t>
      </w:r>
      <w:r w:rsidRPr="009D78A5">
        <w:rPr>
          <w:rStyle w:val="aff6"/>
          <w:rtl/>
        </w:rPr>
        <w:fldChar w:fldCharType="end"/>
      </w:r>
      <w:r>
        <w:rPr>
          <w:rStyle w:val="affa"/>
          <w:rFonts w:hint="cs"/>
          <w:rtl/>
        </w:rPr>
        <w:t xml:space="preserve"> ר"ח </w:t>
      </w:r>
      <w:r w:rsidRPr="009D78A5">
        <w:rPr>
          <w:rStyle w:val="aff6"/>
          <w:rFonts w:hint="cs"/>
          <w:rtl/>
        </w:rPr>
        <w:t xml:space="preserve">(עי' אות </w:t>
      </w:r>
      <w:r w:rsidRPr="009D78A5">
        <w:rPr>
          <w:rStyle w:val="aff6"/>
          <w:rtl/>
        </w:rPr>
        <w:fldChar w:fldCharType="begin"/>
      </w:r>
      <w:r w:rsidRPr="009D78A5">
        <w:rPr>
          <w:rStyle w:val="aff6"/>
          <w:rtl/>
        </w:rPr>
        <w:instrText xml:space="preserve"> </w:instrText>
      </w:r>
      <w:r w:rsidRPr="009D78A5">
        <w:rPr>
          <w:rStyle w:val="aff6"/>
          <w:rFonts w:hint="cs"/>
        </w:rPr>
        <w:instrText>REF</w:instrText>
      </w:r>
      <w:r w:rsidRPr="009D78A5">
        <w:rPr>
          <w:rStyle w:val="aff6"/>
          <w:rFonts w:hint="cs"/>
          <w:rtl/>
        </w:rPr>
        <w:instrText xml:space="preserve"> _</w:instrText>
      </w:r>
      <w:r w:rsidRPr="009D78A5">
        <w:rPr>
          <w:rStyle w:val="aff6"/>
          <w:rFonts w:hint="cs"/>
        </w:rPr>
        <w:instrText>Ref64190538 \r \h</w:instrText>
      </w:r>
      <w:r w:rsidRPr="009D78A5">
        <w:rPr>
          <w:rStyle w:val="aff6"/>
          <w:rtl/>
        </w:rPr>
        <w:instrText xml:space="preserve"> </w:instrText>
      </w:r>
      <w:r w:rsidRPr="009D78A5">
        <w:rPr>
          <w:rStyle w:val="aff6"/>
          <w:rtl/>
        </w:rPr>
      </w:r>
      <w:r w:rsidRPr="009D78A5">
        <w:rPr>
          <w:rStyle w:val="aff6"/>
          <w:rtl/>
        </w:rPr>
        <w:fldChar w:fldCharType="separate"/>
      </w:r>
      <w:r w:rsidR="00265073">
        <w:rPr>
          <w:rStyle w:val="aff6"/>
          <w:cs/>
        </w:rPr>
        <w:t>‎</w:t>
      </w:r>
      <w:r w:rsidR="00265073">
        <w:rPr>
          <w:rStyle w:val="aff6"/>
          <w:rtl/>
        </w:rPr>
        <w:t>פו)</w:t>
      </w:r>
      <w:r w:rsidRPr="009D78A5">
        <w:rPr>
          <w:rStyle w:val="aff6"/>
          <w:rtl/>
        </w:rPr>
        <w:fldChar w:fldCharType="end"/>
      </w:r>
      <w:r>
        <w:rPr>
          <w:rStyle w:val="affa"/>
          <w:rFonts w:hint="cs"/>
          <w:rtl/>
        </w:rPr>
        <w:t xml:space="preserve"> </w:t>
      </w:r>
      <w:r w:rsidRPr="008E32BD">
        <w:rPr>
          <w:rStyle w:val="affa"/>
          <w:rFonts w:hint="cs"/>
          <w:rtl/>
        </w:rPr>
        <w:t>ר</w:t>
      </w:r>
      <w:r w:rsidRPr="009D78A5">
        <w:rPr>
          <w:rStyle w:val="affa"/>
          <w:rFonts w:hint="cs"/>
          <w:rtl/>
        </w:rPr>
        <w:t xml:space="preserve">מב"ן </w:t>
      </w:r>
      <w:r w:rsidRPr="009D78A5">
        <w:rPr>
          <w:rStyle w:val="aff6"/>
          <w:rFonts w:hint="cs"/>
          <w:rtl/>
        </w:rPr>
        <w:t xml:space="preserve">(עי' אות </w:t>
      </w:r>
      <w:r w:rsidRPr="009D78A5">
        <w:rPr>
          <w:rStyle w:val="aff6"/>
          <w:rFonts w:hint="cs"/>
          <w:rtl/>
        </w:rPr>
        <w:fldChar w:fldCharType="begin"/>
      </w:r>
      <w:r w:rsidRPr="009D78A5">
        <w:rPr>
          <w:rStyle w:val="aff6"/>
          <w:rFonts w:hint="cs"/>
          <w:rtl/>
        </w:rPr>
        <w:instrText xml:space="preserve"> </w:instrText>
      </w:r>
      <w:r w:rsidRPr="009D78A5">
        <w:rPr>
          <w:rStyle w:val="aff6"/>
        </w:rPr>
        <w:instrText>REF</w:instrText>
      </w:r>
      <w:r w:rsidRPr="009D78A5">
        <w:rPr>
          <w:rStyle w:val="aff6"/>
          <w:rFonts w:hint="cs"/>
          <w:rtl/>
        </w:rPr>
        <w:instrText xml:space="preserve"> _</w:instrText>
      </w:r>
      <w:r w:rsidRPr="009D78A5">
        <w:rPr>
          <w:rStyle w:val="aff6"/>
        </w:rPr>
        <w:instrText>Ref64144571 \r \h</w:instrText>
      </w:r>
      <w:r w:rsidRPr="009D78A5">
        <w:rPr>
          <w:rStyle w:val="aff6"/>
          <w:rFonts w:hint="cs"/>
          <w:rtl/>
        </w:rPr>
        <w:instrText xml:space="preserve"> </w:instrText>
      </w:r>
      <w:r w:rsidRPr="009D78A5">
        <w:rPr>
          <w:rStyle w:val="aff6"/>
          <w:rtl/>
        </w:rPr>
        <w:instrText xml:space="preserve"> \* </w:instrText>
      </w:r>
      <w:r w:rsidRPr="009D78A5">
        <w:rPr>
          <w:rStyle w:val="aff6"/>
        </w:rPr>
        <w:instrText>MERGEFORMAT</w:instrText>
      </w:r>
      <w:r w:rsidRPr="009D78A5">
        <w:rPr>
          <w:rStyle w:val="aff6"/>
          <w:rtl/>
        </w:rPr>
        <w:instrText xml:space="preserve"> </w:instrText>
      </w:r>
      <w:r w:rsidRPr="009D78A5">
        <w:rPr>
          <w:rStyle w:val="aff6"/>
          <w:rFonts w:hint="cs"/>
          <w:rtl/>
        </w:rPr>
      </w:r>
      <w:r w:rsidRPr="009D78A5">
        <w:rPr>
          <w:rStyle w:val="aff6"/>
          <w:rFonts w:hint="cs"/>
          <w:rtl/>
        </w:rPr>
        <w:fldChar w:fldCharType="separate"/>
      </w:r>
      <w:r w:rsidR="00265073">
        <w:rPr>
          <w:rStyle w:val="aff6"/>
          <w:rFonts w:hint="eastAsia"/>
          <w:cs/>
        </w:rPr>
        <w:t>‎</w:t>
      </w:r>
      <w:r w:rsidR="00265073">
        <w:rPr>
          <w:rStyle w:val="aff6"/>
          <w:rFonts w:hint="eastAsia"/>
          <w:rtl/>
        </w:rPr>
        <w:t>צו</w:t>
      </w:r>
      <w:r w:rsidR="00265073">
        <w:rPr>
          <w:rStyle w:val="aff6"/>
          <w:rtl/>
        </w:rPr>
        <w:t>)</w:t>
      </w:r>
      <w:r w:rsidRPr="009D78A5">
        <w:rPr>
          <w:rStyle w:val="aff6"/>
          <w:rFonts w:hint="cs"/>
          <w:rtl/>
        </w:rPr>
        <w:fldChar w:fldCharType="end"/>
      </w:r>
      <w:r w:rsidRPr="009D78A5">
        <w:rPr>
          <w:rStyle w:val="affa"/>
          <w:rFonts w:hint="cs"/>
          <w:rtl/>
        </w:rPr>
        <w:t xml:space="preserve"> רבינו יונה</w:t>
      </w:r>
      <w:r w:rsidRPr="009D78A5">
        <w:rPr>
          <w:rStyle w:val="afb"/>
          <w:rFonts w:hint="cs"/>
          <w:rtl/>
        </w:rPr>
        <w:t xml:space="preserve"> </w:t>
      </w:r>
      <w:r w:rsidRPr="009D78A5">
        <w:rPr>
          <w:rStyle w:val="aff6"/>
          <w:rFonts w:hint="cs"/>
          <w:rtl/>
        </w:rPr>
        <w:t xml:space="preserve">(עי' אות </w:t>
      </w:r>
      <w:r w:rsidRPr="009D78A5">
        <w:rPr>
          <w:rStyle w:val="aff6"/>
          <w:rtl/>
        </w:rPr>
        <w:fldChar w:fldCharType="begin"/>
      </w:r>
      <w:r w:rsidRPr="009D78A5">
        <w:rPr>
          <w:rStyle w:val="aff6"/>
          <w:rtl/>
        </w:rPr>
        <w:instrText xml:space="preserve"> </w:instrText>
      </w:r>
      <w:r w:rsidRPr="009D78A5">
        <w:rPr>
          <w:rStyle w:val="aff6"/>
          <w:rFonts w:hint="cs"/>
        </w:rPr>
        <w:instrText>REF</w:instrText>
      </w:r>
      <w:r w:rsidRPr="009D78A5">
        <w:rPr>
          <w:rStyle w:val="aff6"/>
          <w:rFonts w:hint="cs"/>
          <w:rtl/>
        </w:rPr>
        <w:instrText xml:space="preserve"> _</w:instrText>
      </w:r>
      <w:r w:rsidRPr="009D78A5">
        <w:rPr>
          <w:rStyle w:val="aff6"/>
          <w:rFonts w:hint="cs"/>
        </w:rPr>
        <w:instrText>Ref64190520 \r \h</w:instrText>
      </w:r>
      <w:r w:rsidRPr="009D78A5">
        <w:rPr>
          <w:rStyle w:val="aff6"/>
          <w:rtl/>
        </w:rPr>
        <w:instrText xml:space="preserve">  \* </w:instrText>
      </w:r>
      <w:r w:rsidRPr="009D78A5">
        <w:rPr>
          <w:rStyle w:val="aff6"/>
        </w:rPr>
        <w:instrText>MERGEFORMAT</w:instrText>
      </w:r>
      <w:r w:rsidRPr="009D78A5">
        <w:rPr>
          <w:rStyle w:val="aff6"/>
          <w:rtl/>
        </w:rPr>
        <w:instrText xml:space="preserve"> </w:instrText>
      </w:r>
      <w:r w:rsidRPr="009D78A5">
        <w:rPr>
          <w:rStyle w:val="aff6"/>
          <w:rtl/>
        </w:rPr>
      </w:r>
      <w:r w:rsidRPr="009D78A5">
        <w:rPr>
          <w:rStyle w:val="aff6"/>
          <w:rtl/>
        </w:rPr>
        <w:fldChar w:fldCharType="separate"/>
      </w:r>
      <w:r w:rsidR="00265073">
        <w:rPr>
          <w:rStyle w:val="aff6"/>
          <w:cs/>
        </w:rPr>
        <w:t>‎</w:t>
      </w:r>
      <w:r w:rsidR="00265073">
        <w:rPr>
          <w:rStyle w:val="aff6"/>
          <w:rtl/>
        </w:rPr>
        <w:t>פג)</w:t>
      </w:r>
      <w:r w:rsidRPr="009D78A5">
        <w:rPr>
          <w:rStyle w:val="aff6"/>
          <w:rtl/>
        </w:rPr>
        <w:fldChar w:fldCharType="end"/>
      </w:r>
      <w:r w:rsidRPr="009D78A5">
        <w:rPr>
          <w:rStyle w:val="afb"/>
          <w:rFonts w:hint="cs"/>
          <w:rtl/>
        </w:rPr>
        <w:t xml:space="preserve">] </w:t>
      </w:r>
      <w:r w:rsidRPr="009D78A5">
        <w:rPr>
          <w:rFonts w:hint="cs"/>
          <w:rtl/>
        </w:rPr>
        <w:t>דהיה לרבא בר שרשום חזקה בחיי האב, בתוך הזמן של המשכנתא, דא"א לומר שהיה לו חזקה לאחר מיתת</w:t>
      </w:r>
      <w:r>
        <w:rPr>
          <w:rFonts w:hint="cs"/>
          <w:rtl/>
        </w:rPr>
        <w:t xml:space="preserve"> האב, דהא אין מחזיקין בנכסי קטן, וכתב </w:t>
      </w:r>
      <w:r w:rsidRPr="00E137E0">
        <w:rPr>
          <w:rStyle w:val="af9"/>
          <w:rFonts w:hint="cs"/>
          <w:rtl/>
        </w:rPr>
        <w:t>הריטב"א</w:t>
      </w:r>
      <w:r>
        <w:rPr>
          <w:rFonts w:hint="cs"/>
          <w:rtl/>
        </w:rPr>
        <w:t xml:space="preserve"> דנראה מדבריהם </w:t>
      </w:r>
      <w:r w:rsidRPr="00FE3B23">
        <w:rPr>
          <w:rStyle w:val="afb"/>
          <w:rFonts w:hint="cs"/>
          <w:rtl/>
        </w:rPr>
        <w:t xml:space="preserve">[במהדו' ישנה [בלוי] הגירסא היא </w:t>
      </w:r>
      <w:r w:rsidRPr="00FE3B23">
        <w:rPr>
          <w:rStyle w:val="affa"/>
          <w:rFonts w:hint="cs"/>
          <w:rtl/>
        </w:rPr>
        <w:t>והרא"ה</w:t>
      </w:r>
      <w:r w:rsidRPr="00FE3B23">
        <w:rPr>
          <w:rStyle w:val="afb"/>
          <w:rFonts w:hint="cs"/>
          <w:rtl/>
        </w:rPr>
        <w:t xml:space="preserve"> מפרש] </w:t>
      </w:r>
      <w:r>
        <w:rPr>
          <w:rFonts w:hint="cs"/>
          <w:rtl/>
        </w:rPr>
        <w:t xml:space="preserve">שהיו ליתומים עדים שהייתה של אביהם, וכתב </w:t>
      </w:r>
      <w:r w:rsidRPr="00E137E0">
        <w:rPr>
          <w:rStyle w:val="af9"/>
          <w:rFonts w:hint="cs"/>
          <w:rtl/>
        </w:rPr>
        <w:t>הריטב"א</w:t>
      </w:r>
      <w:r>
        <w:rPr>
          <w:rFonts w:hint="cs"/>
          <w:rtl/>
        </w:rPr>
        <w:t xml:space="preserve"> דאם לא היו להם עדים, לא היה רבא בר שרשום צריך להיות נאמן במיגו דלקוחה, הא היה יכול לטעון שהיא שלו, [וכתב </w:t>
      </w:r>
      <w:r w:rsidRPr="00E137E0">
        <w:rPr>
          <w:rStyle w:val="af9"/>
          <w:rFonts w:hint="cs"/>
          <w:rtl/>
        </w:rPr>
        <w:t>הריטב"א</w:t>
      </w:r>
      <w:r>
        <w:rPr>
          <w:rFonts w:hint="cs"/>
          <w:rtl/>
        </w:rPr>
        <w:t xml:space="preserve"> דהוא דלא כדפירש </w:t>
      </w:r>
      <w:r w:rsidRPr="00E137E0">
        <w:rPr>
          <w:rStyle w:val="af9"/>
          <w:rFonts w:hint="cs"/>
          <w:rtl/>
        </w:rPr>
        <w:t>הרא"ה</w:t>
      </w:r>
      <w:r>
        <w:rPr>
          <w:rFonts w:hint="cs"/>
          <w:rtl/>
        </w:rPr>
        <w:t xml:space="preserve">], וכן הקשה </w:t>
      </w:r>
      <w:r w:rsidRPr="00E137E0">
        <w:rPr>
          <w:rStyle w:val="af9"/>
          <w:rFonts w:hint="cs"/>
          <w:rtl/>
        </w:rPr>
        <w:t>הראב"ד</w:t>
      </w:r>
      <w:r>
        <w:rPr>
          <w:rFonts w:hint="cs"/>
          <w:rtl/>
        </w:rPr>
        <w:t xml:space="preserve"> </w:t>
      </w:r>
      <w:r w:rsidRPr="00511105">
        <w:rPr>
          <w:rStyle w:val="af7"/>
          <w:rFonts w:eastAsia="Guttman Hodes" w:hint="cs"/>
          <w:rtl/>
        </w:rPr>
        <w:t xml:space="preserve">(עי' אות </w:t>
      </w:r>
      <w:r w:rsidRPr="00511105">
        <w:rPr>
          <w:rStyle w:val="af7"/>
          <w:rFonts w:eastAsia="Guttman Hodes"/>
          <w:rtl/>
        </w:rPr>
        <w:fldChar w:fldCharType="begin"/>
      </w:r>
      <w:r w:rsidRPr="00511105">
        <w:rPr>
          <w:rStyle w:val="af7"/>
          <w:rFonts w:eastAsia="Guttman Hodes"/>
          <w:rtl/>
        </w:rPr>
        <w:instrText xml:space="preserve"> </w:instrText>
      </w:r>
      <w:r w:rsidRPr="00511105">
        <w:rPr>
          <w:rStyle w:val="af7"/>
          <w:rFonts w:eastAsia="Guttman Hodes" w:hint="cs"/>
        </w:rPr>
        <w:instrText>REF</w:instrText>
      </w:r>
      <w:r w:rsidRPr="00511105">
        <w:rPr>
          <w:rStyle w:val="af7"/>
          <w:rFonts w:eastAsia="Guttman Hodes" w:hint="cs"/>
          <w:rtl/>
        </w:rPr>
        <w:instrText xml:space="preserve"> _</w:instrText>
      </w:r>
      <w:r w:rsidRPr="00511105">
        <w:rPr>
          <w:rStyle w:val="af7"/>
          <w:rFonts w:eastAsia="Guttman Hodes" w:hint="cs"/>
        </w:rPr>
        <w:instrText>Ref63960634 \r \h</w:instrText>
      </w:r>
      <w:r w:rsidRPr="00511105">
        <w:rPr>
          <w:rStyle w:val="af7"/>
          <w:rFonts w:eastAsia="Guttman Hodes"/>
          <w:rtl/>
        </w:rPr>
        <w:instrText xml:space="preserve"> </w:instrText>
      </w:r>
      <w:r w:rsidRPr="00511105">
        <w:rPr>
          <w:rStyle w:val="af7"/>
          <w:rFonts w:eastAsia="Guttman Hodes"/>
          <w:rtl/>
        </w:rPr>
      </w:r>
      <w:r w:rsidRPr="00511105">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511105">
        <w:rPr>
          <w:rStyle w:val="af7"/>
          <w:rFonts w:eastAsia="Guttman Hodes"/>
          <w:rtl/>
        </w:rPr>
        <w:fldChar w:fldCharType="end"/>
      </w:r>
      <w:r>
        <w:rPr>
          <w:rFonts w:hint="cs"/>
          <w:rtl/>
        </w:rPr>
        <w:t xml:space="preserve">, </w:t>
      </w:r>
      <w:r w:rsidRPr="00920103">
        <w:rPr>
          <w:rFonts w:hint="cs"/>
          <w:rtl/>
        </w:rPr>
        <w:t xml:space="preserve">ועי' במה שביאר </w:t>
      </w:r>
      <w:r w:rsidRPr="00FB526A">
        <w:rPr>
          <w:rStyle w:val="af9"/>
          <w:rFonts w:hint="cs"/>
          <w:rtl/>
        </w:rPr>
        <w:t>הגר"א</w:t>
      </w:r>
      <w:r>
        <w:rPr>
          <w:rFonts w:hint="cs"/>
          <w:rtl/>
        </w:rPr>
        <w:t xml:space="preserve"> </w:t>
      </w:r>
      <w:r w:rsidRPr="00FB526A">
        <w:rPr>
          <w:rStyle w:val="af7"/>
          <w:rFonts w:eastAsia="Guttman Hodes" w:hint="cs"/>
          <w:rtl/>
        </w:rPr>
        <w:t xml:space="preserve">(עי' אות </w:t>
      </w:r>
      <w:r w:rsidRPr="00FB526A">
        <w:rPr>
          <w:rStyle w:val="af7"/>
          <w:rFonts w:eastAsia="Guttman Hodes"/>
          <w:rtl/>
        </w:rPr>
        <w:fldChar w:fldCharType="begin"/>
      </w:r>
      <w:r w:rsidRPr="00FB526A">
        <w:rPr>
          <w:rStyle w:val="af7"/>
          <w:rFonts w:eastAsia="Guttman Hodes"/>
          <w:rtl/>
        </w:rPr>
        <w:instrText xml:space="preserve"> </w:instrText>
      </w:r>
      <w:r w:rsidRPr="00FB526A">
        <w:rPr>
          <w:rStyle w:val="af7"/>
          <w:rFonts w:eastAsia="Guttman Hodes" w:hint="cs"/>
        </w:rPr>
        <w:instrText>REF</w:instrText>
      </w:r>
      <w:r w:rsidRPr="00FB526A">
        <w:rPr>
          <w:rStyle w:val="af7"/>
          <w:rFonts w:eastAsia="Guttman Hodes" w:hint="cs"/>
          <w:rtl/>
        </w:rPr>
        <w:instrText xml:space="preserve"> _</w:instrText>
      </w:r>
      <w:r w:rsidRPr="00FB526A">
        <w:rPr>
          <w:rStyle w:val="af7"/>
          <w:rFonts w:eastAsia="Guttman Hodes" w:hint="cs"/>
        </w:rPr>
        <w:instrText>Ref64190368 \r \h</w:instrText>
      </w:r>
      <w:r w:rsidRPr="00FB526A">
        <w:rPr>
          <w:rStyle w:val="af7"/>
          <w:rFonts w:eastAsia="Guttman Hodes"/>
          <w:rtl/>
        </w:rPr>
        <w:instrText xml:space="preserve"> </w:instrText>
      </w:r>
      <w:r w:rsidRPr="00FB526A">
        <w:rPr>
          <w:rStyle w:val="af7"/>
          <w:rFonts w:eastAsia="Guttman Hodes"/>
          <w:rtl/>
        </w:rPr>
      </w:r>
      <w:r w:rsidRPr="00FB526A">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FB526A">
        <w:rPr>
          <w:rStyle w:val="af7"/>
          <w:rFonts w:eastAsia="Guttman Hodes"/>
          <w:rtl/>
        </w:rPr>
        <w:fldChar w:fldCharType="end"/>
      </w:r>
      <w:r>
        <w:rPr>
          <w:rFonts w:hint="cs"/>
          <w:rtl/>
        </w:rPr>
        <w:t xml:space="preserve"> ב</w:t>
      </w:r>
      <w:r w:rsidRPr="00920103">
        <w:rPr>
          <w:rtl/>
        </w:rPr>
        <w:t xml:space="preserve">דברי </w:t>
      </w:r>
      <w:r w:rsidRPr="00920103">
        <w:rPr>
          <w:rStyle w:val="af9"/>
          <w:rtl/>
        </w:rPr>
        <w:t>הר"י מגאש</w:t>
      </w:r>
      <w:r w:rsidRPr="00920103">
        <w:rPr>
          <w:rtl/>
        </w:rPr>
        <w:t xml:space="preserve"> </w:t>
      </w:r>
      <w:r w:rsidRPr="00292E95">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Ref64190848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Pr>
          <w:rStyle w:val="af7"/>
          <w:rFonts w:eastAsia="Guttman Hodes"/>
          <w:rtl/>
        </w:rPr>
        <w:fldChar w:fldCharType="end"/>
      </w:r>
      <w:r>
        <w:rPr>
          <w:rFonts w:hint="cs"/>
          <w:rtl/>
        </w:rPr>
        <w:t xml:space="preserve">. </w:t>
      </w:r>
      <w:bookmarkEnd w:id="15014"/>
    </w:p>
    <w:p w:rsidR="00F4065E" w:rsidRDefault="00F4065E" w:rsidP="00F4065E">
      <w:pPr>
        <w:pStyle w:val="1"/>
        <w:rPr>
          <w:rtl/>
        </w:rPr>
      </w:pPr>
      <w:bookmarkStart w:id="15015" w:name="_Toc63714171"/>
      <w:bookmarkStart w:id="15016" w:name="_Toc63854285"/>
      <w:bookmarkStart w:id="15017" w:name="_Toc63942265"/>
      <w:bookmarkStart w:id="15018" w:name="_Toc63975497"/>
      <w:bookmarkStart w:id="15019" w:name="_Toc63986537"/>
      <w:bookmarkStart w:id="15020" w:name="_Toc64024665"/>
      <w:bookmarkStart w:id="15021" w:name="_Toc64036073"/>
      <w:bookmarkStart w:id="15022" w:name="_Toc64148123"/>
      <w:bookmarkStart w:id="15023" w:name="_Toc64205725"/>
      <w:bookmarkStart w:id="15024" w:name="_Toc64209405"/>
      <w:r>
        <w:rPr>
          <w:rFonts w:hint="cs"/>
          <w:rtl/>
        </w:rPr>
        <w:t>דעת היד רמ"ה</w:t>
      </w:r>
      <w:bookmarkEnd w:id="15015"/>
      <w:bookmarkEnd w:id="15016"/>
      <w:bookmarkEnd w:id="15017"/>
      <w:bookmarkEnd w:id="15018"/>
      <w:bookmarkEnd w:id="15019"/>
      <w:bookmarkEnd w:id="15020"/>
      <w:bookmarkEnd w:id="15021"/>
      <w:bookmarkEnd w:id="15022"/>
      <w:r>
        <w:rPr>
          <w:rFonts w:hint="cs"/>
          <w:rtl/>
        </w:rPr>
        <w:t xml:space="preserve"> דאפשר להעמיד בסוגיין בג' אופנים</w:t>
      </w:r>
      <w:bookmarkEnd w:id="15023"/>
      <w:bookmarkEnd w:id="15024"/>
    </w:p>
    <w:p w:rsidR="00F4065E" w:rsidRPr="00F03864" w:rsidRDefault="00F4065E" w:rsidP="00F4065E">
      <w:pPr>
        <w:pStyle w:val="a3"/>
        <w:rPr>
          <w:rtl/>
        </w:rPr>
      </w:pPr>
      <w:bookmarkStart w:id="15025" w:name="_Toc64205726"/>
      <w:bookmarkStart w:id="15026" w:name="_Toc64209406"/>
      <w:r>
        <w:rPr>
          <w:rFonts w:hint="cs"/>
          <w:rtl/>
        </w:rPr>
        <w:t>הביאור הא' ברמ"ה דהחזיק בחיי האב וע"י הקול הקרקע בחזקת היתומים וא"א לקבל עידי חזקה</w:t>
      </w:r>
      <w:bookmarkEnd w:id="15025"/>
      <w:bookmarkEnd w:id="15026"/>
    </w:p>
    <w:p w:rsidR="00F4065E" w:rsidRDefault="00F4065E" w:rsidP="007E4E81">
      <w:pPr>
        <w:pStyle w:val="a0"/>
        <w:rPr>
          <w:rtl/>
        </w:rPr>
      </w:pPr>
      <w:bookmarkStart w:id="15027" w:name="_Ref64191230"/>
      <w:r w:rsidRPr="00E137E0">
        <w:rPr>
          <w:rStyle w:val="af9"/>
          <w:rFonts w:hint="cs"/>
          <w:rtl/>
        </w:rPr>
        <w:t>והיד רמ"ה</w:t>
      </w:r>
      <w:r>
        <w:rPr>
          <w:rFonts w:hint="cs"/>
          <w:rtl/>
        </w:rPr>
        <w:t xml:space="preserve"> </w:t>
      </w:r>
      <w:r w:rsidRPr="00DB6AAE">
        <w:rPr>
          <w:rStyle w:val="af7"/>
          <w:rFonts w:eastAsia="Guttman Hodes" w:hint="cs"/>
          <w:rtl/>
        </w:rPr>
        <w:t>(או' נ"א ד"ה האי)</w:t>
      </w:r>
      <w:r>
        <w:rPr>
          <w:rFonts w:hint="cs"/>
          <w:rtl/>
        </w:rPr>
        <w:t xml:space="preserve"> כתב דאפשר להעמיד בין כשיש לרבא בר שרשום חזקה בחיי האב, ובין לאחר מית האב, ובין כשאין לו </w:t>
      </w:r>
      <w:r>
        <w:rPr>
          <w:rFonts w:hint="cs"/>
          <w:rtl/>
        </w:rPr>
        <w:t xml:space="preserve">חזקה כלל, וביאר </w:t>
      </w:r>
      <w:r w:rsidRPr="00D73020">
        <w:rPr>
          <w:rStyle w:val="af9"/>
          <w:rFonts w:hint="cs"/>
          <w:rtl/>
        </w:rPr>
        <w:t>היד רמ"ה</w:t>
      </w:r>
      <w:r>
        <w:rPr>
          <w:rFonts w:hint="cs"/>
          <w:rtl/>
        </w:rPr>
        <w:t xml:space="preserve"> דכשיש לו חזקה בחיי האב, כל שלא יצא קול, אף כשיש להם עדים שהקרקע הייתה של אביהם, הוא נאמן במיגו דלקוחה בידי כיון שיש לו חזקה, וכתב </w:t>
      </w:r>
      <w:r w:rsidRPr="00D73020">
        <w:rPr>
          <w:rStyle w:val="af9"/>
          <w:rFonts w:hint="cs"/>
          <w:rtl/>
        </w:rPr>
        <w:t>הרמ"ה</w:t>
      </w:r>
      <w:r>
        <w:rPr>
          <w:rFonts w:hint="cs"/>
          <w:rtl/>
        </w:rPr>
        <w:t xml:space="preserve"> דכיון שהוא מוחזק בקרקע מקבלים את העדות אף שהם קטנים, כדמוכח בגמ' בב"ק </w:t>
      </w:r>
      <w:r w:rsidRPr="00DB6AAE">
        <w:rPr>
          <w:rStyle w:val="af7"/>
          <w:rFonts w:eastAsia="Guttman Hodes" w:hint="cs"/>
          <w:rtl/>
        </w:rPr>
        <w:t>(קיב.)</w:t>
      </w:r>
      <w:r>
        <w:rPr>
          <w:rFonts w:hint="cs"/>
          <w:rtl/>
        </w:rPr>
        <w:t xml:space="preserve">, </w:t>
      </w:r>
      <w:r w:rsidRPr="00FE3B23">
        <w:rPr>
          <w:rStyle w:val="afb"/>
          <w:rFonts w:hint="cs"/>
          <w:rtl/>
        </w:rPr>
        <w:t>[</w:t>
      </w:r>
      <w:r>
        <w:rPr>
          <w:rStyle w:val="afb"/>
          <w:rFonts w:hint="cs"/>
          <w:rtl/>
        </w:rPr>
        <w:t>עי' בדברי</w:t>
      </w:r>
      <w:r w:rsidRPr="00FE3B23">
        <w:rPr>
          <w:rStyle w:val="afb"/>
          <w:rFonts w:hint="cs"/>
          <w:rtl/>
        </w:rPr>
        <w:t xml:space="preserve"> </w:t>
      </w:r>
      <w:r w:rsidRPr="00446A43">
        <w:rPr>
          <w:rStyle w:val="affa"/>
          <w:rFonts w:hint="cs"/>
          <w:rtl/>
        </w:rPr>
        <w:t>הרמב"ן</w:t>
      </w:r>
      <w:r w:rsidRPr="00FE3B23">
        <w:rPr>
          <w:rStyle w:val="afb"/>
          <w:rFonts w:hint="cs"/>
          <w:rtl/>
        </w:rPr>
        <w:t xml:space="preserve"> </w:t>
      </w:r>
      <w:r w:rsidRPr="00446A43">
        <w:rPr>
          <w:rStyle w:val="aff6"/>
          <w:rFonts w:hint="cs"/>
          <w:rtl/>
        </w:rPr>
        <w:t xml:space="preserve">(עי' אות </w:t>
      </w:r>
      <w:r w:rsidRPr="00446A43">
        <w:rPr>
          <w:rStyle w:val="aff6"/>
          <w:rtl/>
        </w:rPr>
        <w:fldChar w:fldCharType="begin"/>
      </w:r>
      <w:r w:rsidRPr="00446A43">
        <w:rPr>
          <w:rStyle w:val="aff6"/>
          <w:rtl/>
        </w:rPr>
        <w:instrText xml:space="preserve"> </w:instrText>
      </w:r>
      <w:r w:rsidRPr="00446A43">
        <w:rPr>
          <w:rStyle w:val="aff6"/>
          <w:rFonts w:hint="cs"/>
        </w:rPr>
        <w:instrText>REF</w:instrText>
      </w:r>
      <w:r w:rsidRPr="00446A43">
        <w:rPr>
          <w:rStyle w:val="aff6"/>
          <w:rFonts w:hint="cs"/>
          <w:rtl/>
        </w:rPr>
        <w:instrText xml:space="preserve"> _</w:instrText>
      </w:r>
      <w:r w:rsidRPr="00446A43">
        <w:rPr>
          <w:rStyle w:val="aff6"/>
          <w:rFonts w:hint="cs"/>
        </w:rPr>
        <w:instrText>Ref64145147 \r \h</w:instrText>
      </w:r>
      <w:r w:rsidRPr="00446A43">
        <w:rPr>
          <w:rStyle w:val="aff6"/>
          <w:rtl/>
        </w:rPr>
        <w:instrText xml:space="preserve"> </w:instrText>
      </w:r>
      <w:r w:rsidRPr="00446A43">
        <w:rPr>
          <w:rStyle w:val="aff6"/>
          <w:rtl/>
        </w:rPr>
      </w:r>
      <w:r w:rsidRPr="00446A43">
        <w:rPr>
          <w:rStyle w:val="aff6"/>
          <w:rtl/>
        </w:rPr>
        <w:fldChar w:fldCharType="separate"/>
      </w:r>
      <w:r w:rsidR="00265073">
        <w:rPr>
          <w:rStyle w:val="aff6"/>
          <w:cs/>
        </w:rPr>
        <w:t>‎</w:t>
      </w:r>
      <w:r w:rsidR="00265073">
        <w:rPr>
          <w:rStyle w:val="aff6"/>
          <w:rtl/>
        </w:rPr>
        <w:t>צו)</w:t>
      </w:r>
      <w:r w:rsidRPr="00446A43">
        <w:rPr>
          <w:rStyle w:val="aff6"/>
          <w:rtl/>
        </w:rPr>
        <w:fldChar w:fldCharType="end"/>
      </w:r>
      <w:r w:rsidRPr="00FE3B23">
        <w:rPr>
          <w:rStyle w:val="afb"/>
          <w:rFonts w:hint="cs"/>
          <w:rtl/>
        </w:rPr>
        <w:t xml:space="preserve"> </w:t>
      </w:r>
      <w:r w:rsidRPr="00446A43">
        <w:rPr>
          <w:rStyle w:val="affa"/>
          <w:rFonts w:hint="cs"/>
          <w:rtl/>
        </w:rPr>
        <w:t>והרא"ש</w:t>
      </w:r>
      <w:r w:rsidRPr="00FE3B23">
        <w:rPr>
          <w:rStyle w:val="afb"/>
          <w:rFonts w:hint="cs"/>
          <w:rtl/>
        </w:rPr>
        <w:t xml:space="preserve"> </w:t>
      </w:r>
      <w:r w:rsidRPr="00446A43">
        <w:rPr>
          <w:rStyle w:val="aff6"/>
          <w:rFonts w:hint="cs"/>
          <w:rtl/>
        </w:rPr>
        <w:t xml:space="preserve">(עי' אות </w:t>
      </w:r>
      <w:r w:rsidRPr="00446A43">
        <w:rPr>
          <w:rStyle w:val="aff6"/>
          <w:rtl/>
        </w:rPr>
        <w:fldChar w:fldCharType="begin"/>
      </w:r>
      <w:r w:rsidRPr="00446A43">
        <w:rPr>
          <w:rStyle w:val="aff6"/>
          <w:rtl/>
        </w:rPr>
        <w:instrText xml:space="preserve"> </w:instrText>
      </w:r>
      <w:r w:rsidRPr="00446A43">
        <w:rPr>
          <w:rStyle w:val="aff6"/>
          <w:rFonts w:hint="cs"/>
        </w:rPr>
        <w:instrText>REF</w:instrText>
      </w:r>
      <w:r w:rsidRPr="00446A43">
        <w:rPr>
          <w:rStyle w:val="aff6"/>
          <w:rFonts w:hint="cs"/>
          <w:rtl/>
        </w:rPr>
        <w:instrText xml:space="preserve"> _</w:instrText>
      </w:r>
      <w:r w:rsidRPr="00446A43">
        <w:rPr>
          <w:rStyle w:val="aff6"/>
          <w:rFonts w:hint="cs"/>
        </w:rPr>
        <w:instrText>Ref63674079 \r \h</w:instrText>
      </w:r>
      <w:r w:rsidRPr="00446A43">
        <w:rPr>
          <w:rStyle w:val="aff6"/>
          <w:rtl/>
        </w:rPr>
        <w:instrText xml:space="preserve"> </w:instrText>
      </w:r>
      <w:r w:rsidRPr="00446A43">
        <w:rPr>
          <w:rStyle w:val="aff6"/>
          <w:rtl/>
        </w:rPr>
      </w:r>
      <w:r w:rsidRPr="00446A43">
        <w:rPr>
          <w:rStyle w:val="aff6"/>
          <w:rtl/>
        </w:rPr>
        <w:fldChar w:fldCharType="separate"/>
      </w:r>
      <w:r w:rsidR="00265073">
        <w:rPr>
          <w:rStyle w:val="aff6"/>
          <w:cs/>
        </w:rPr>
        <w:t>‎</w:t>
      </w:r>
      <w:r w:rsidR="00265073">
        <w:rPr>
          <w:rStyle w:val="aff6"/>
          <w:rtl/>
        </w:rPr>
        <w:t>קו)</w:t>
      </w:r>
      <w:r w:rsidRPr="00446A43">
        <w:rPr>
          <w:rStyle w:val="aff6"/>
          <w:rtl/>
        </w:rPr>
        <w:fldChar w:fldCharType="end"/>
      </w:r>
      <w:r w:rsidRPr="00FE3B23">
        <w:rPr>
          <w:rStyle w:val="afb"/>
          <w:rFonts w:hint="cs"/>
          <w:rtl/>
        </w:rPr>
        <w:t>],</w:t>
      </w:r>
      <w:r>
        <w:rPr>
          <w:rFonts w:hint="cs"/>
          <w:rtl/>
        </w:rPr>
        <w:t xml:space="preserve"> אלא דכיון שיצא הקול, חשיב דעכשיו הקרקע היא בחזקת היתומים, וא"כ א"א לקבל את עידי החזקה שלא בפני בע"ד, וכ"כ </w:t>
      </w:r>
      <w:r>
        <w:rPr>
          <w:rStyle w:val="af9"/>
          <w:rtl/>
        </w:rPr>
        <w:t>הרמב"ן</w:t>
      </w:r>
      <w:r>
        <w:rPr>
          <w:rStyle w:val="af7"/>
          <w:rFonts w:eastAsia="Guttman Hodes" w:hint="cs"/>
          <w:b/>
          <w:b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Ref64144571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צו</w:t>
      </w:r>
      <w:r w:rsidR="00265073">
        <w:rPr>
          <w:rStyle w:val="af7"/>
          <w:rFonts w:eastAsia="Guttman Hodes"/>
          <w:rtl/>
        </w:rPr>
        <w:t>)</w:t>
      </w:r>
      <w:r>
        <w:rPr>
          <w:rStyle w:val="af7"/>
          <w:rFonts w:eastAsia="Guttman Hodes" w:hint="cs"/>
          <w:rtl/>
        </w:rPr>
        <w:fldChar w:fldCharType="end"/>
      </w:r>
      <w:r>
        <w:rPr>
          <w:rFonts w:hint="cs"/>
          <w:rtl/>
        </w:rPr>
        <w:t>.</w:t>
      </w:r>
      <w:bookmarkEnd w:id="15027"/>
    </w:p>
    <w:p w:rsidR="00F4065E" w:rsidRPr="00F03864" w:rsidRDefault="00F4065E" w:rsidP="00F4065E">
      <w:pPr>
        <w:pStyle w:val="a3"/>
      </w:pPr>
      <w:bookmarkStart w:id="15028" w:name="_Toc64205727"/>
      <w:bookmarkStart w:id="15029" w:name="_Toc64209407"/>
      <w:r>
        <w:rPr>
          <w:rFonts w:hint="cs"/>
          <w:rtl/>
        </w:rPr>
        <w:t>דברי הרמ"ה דבנקראת הקרקע בשם אביהם הם כמוחזקים וכ"ש כשיש קול דהקרקע בחזקתם</w:t>
      </w:r>
      <w:bookmarkEnd w:id="15028"/>
      <w:bookmarkEnd w:id="15029"/>
    </w:p>
    <w:p w:rsidR="00F4065E" w:rsidRDefault="00F4065E" w:rsidP="007E4E81">
      <w:pPr>
        <w:pStyle w:val="a0"/>
        <w:rPr>
          <w:rtl/>
        </w:rPr>
      </w:pPr>
      <w:r>
        <w:rPr>
          <w:rFonts w:hint="cs"/>
          <w:rtl/>
        </w:rPr>
        <w:t xml:space="preserve">והוסיף </w:t>
      </w:r>
      <w:r w:rsidRPr="00E137E0">
        <w:rPr>
          <w:rStyle w:val="af9"/>
          <w:rFonts w:hint="cs"/>
          <w:rtl/>
        </w:rPr>
        <w:t>היד רמ"ה</w:t>
      </w:r>
      <w:r>
        <w:rPr>
          <w:rFonts w:hint="cs"/>
          <w:rtl/>
        </w:rPr>
        <w:t xml:space="preserve"> דה"ה כשיש שם על שהקרקע נקראת בשם אביהם</w:t>
      </w:r>
      <w:r w:rsidRPr="00B11B71">
        <w:rPr>
          <w:rFonts w:hint="cs"/>
          <w:rtl/>
        </w:rPr>
        <w:t xml:space="preserve"> </w:t>
      </w:r>
      <w:r>
        <w:rPr>
          <w:rFonts w:hint="cs"/>
          <w:rtl/>
        </w:rPr>
        <w:t xml:space="preserve">דחשיבי כמוחזקים, </w:t>
      </w:r>
      <w:r w:rsidRPr="00E137E0">
        <w:rPr>
          <w:rStyle w:val="afb"/>
          <w:rFonts w:hint="cs"/>
          <w:rtl/>
        </w:rPr>
        <w:t xml:space="preserve">[כדביאר </w:t>
      </w:r>
      <w:r w:rsidRPr="00E137E0">
        <w:rPr>
          <w:rStyle w:val="affa"/>
          <w:rFonts w:hint="cs"/>
          <w:rtl/>
        </w:rPr>
        <w:t>היד רמ"ה לעיל</w:t>
      </w:r>
      <w:r w:rsidRPr="00E137E0">
        <w:rPr>
          <w:rStyle w:val="afb"/>
          <w:rFonts w:hint="cs"/>
          <w:rtl/>
        </w:rPr>
        <w:t xml:space="preserve"> </w:t>
      </w:r>
      <w:r w:rsidRPr="00E137E0">
        <w:rPr>
          <w:rStyle w:val="aff6"/>
          <w:rFonts w:hint="cs"/>
          <w:rtl/>
        </w:rPr>
        <w:t>(לא. או' ל"ח ד"ה אנפא)</w:t>
      </w:r>
      <w:r w:rsidRPr="00E137E0">
        <w:rPr>
          <w:rStyle w:val="afb"/>
          <w:rFonts w:hint="cs"/>
          <w:rtl/>
        </w:rPr>
        <w:t xml:space="preserve">], </w:t>
      </w:r>
      <w:r>
        <w:rPr>
          <w:rFonts w:hint="cs"/>
          <w:rtl/>
        </w:rPr>
        <w:t xml:space="preserve">וא"כ כל שיצא קול שהקרקע היא של היתומים ולא יצא קול שהיא של רבא בר שרשום אמרינן שהקול יצא מחמת שהקרקע הייתה נקראת על שם אביהם, וכתב </w:t>
      </w:r>
      <w:r w:rsidRPr="00AC4821">
        <w:rPr>
          <w:rStyle w:val="af9"/>
          <w:rFonts w:hint="cs"/>
          <w:rtl/>
        </w:rPr>
        <w:t>הרמ"ה</w:t>
      </w:r>
      <w:r>
        <w:rPr>
          <w:rFonts w:hint="cs"/>
          <w:rtl/>
        </w:rPr>
        <w:t xml:space="preserve"> דאעפ"י שהקול יצא לאחר שהחזיק ג"ש, מ"מ כיון שהקול יצא לפני שהביא עידי חזקת ג"ש, ע"י הקול הקרקע עומדת בחזקתם, וממילא אין רבא בר שרשום יכול להביא עידי חזקה שלא בפני הבע"ד, דהא עכשיו הם קטנים.</w:t>
      </w:r>
    </w:p>
    <w:p w:rsidR="00F4065E" w:rsidRPr="00F03864" w:rsidRDefault="00F4065E" w:rsidP="00F4065E">
      <w:pPr>
        <w:pStyle w:val="a3"/>
        <w:rPr>
          <w:rtl/>
        </w:rPr>
      </w:pPr>
      <w:bookmarkStart w:id="15030" w:name="_Toc64205728"/>
      <w:bookmarkStart w:id="15031" w:name="_Toc64209408"/>
      <w:r>
        <w:rPr>
          <w:rFonts w:hint="cs"/>
          <w:rtl/>
        </w:rPr>
        <w:t>הביאור הב' ברמ"ה דהחזיק ג"ש לאח"מ האב ואין ראיה שהיא שלהם וע"י הקול הם מוחזקים</w:t>
      </w:r>
      <w:bookmarkEnd w:id="15030"/>
      <w:bookmarkEnd w:id="15031"/>
    </w:p>
    <w:p w:rsidR="00F4065E" w:rsidRDefault="00F4065E" w:rsidP="007E4E81">
      <w:pPr>
        <w:pStyle w:val="a0"/>
        <w:rPr>
          <w:rtl/>
        </w:rPr>
      </w:pPr>
      <w:r>
        <w:rPr>
          <w:rFonts w:hint="cs"/>
          <w:rtl/>
        </w:rPr>
        <w:t xml:space="preserve">וכתב </w:t>
      </w:r>
      <w:r w:rsidRPr="000A1704">
        <w:rPr>
          <w:rStyle w:val="af9"/>
          <w:rFonts w:hint="cs"/>
          <w:rtl/>
        </w:rPr>
        <w:t>היד רמ"ה</w:t>
      </w:r>
      <w:r>
        <w:rPr>
          <w:rFonts w:hint="cs"/>
          <w:rtl/>
        </w:rPr>
        <w:t xml:space="preserve"> </w:t>
      </w:r>
      <w:r w:rsidRPr="00754329">
        <w:rPr>
          <w:rStyle w:val="af7"/>
          <w:rFonts w:eastAsia="Guttman Hodes" w:hint="cs"/>
          <w:rtl/>
        </w:rPr>
        <w:t>(או' נ"א ד"ה ומשכחת)</w:t>
      </w:r>
      <w:r>
        <w:rPr>
          <w:rFonts w:hint="cs"/>
          <w:rtl/>
        </w:rPr>
        <w:t xml:space="preserve"> דאפשר להעמיד גם באופן שיש לרבא בר שרשום חזקה לאחר מיתת האב, ואיירי באופן שאין ליתומים ראיה שהקרקע היא שלהם, ורק מחמת הקול אמרינן שהקרקע היא שלהם, ולכן אם לא יצא הקול רבא בר שרשום היה נאמן לומר דהקרקע היא לקוחה בידו, במיגו דהיה אומר שלא הייתה הקרקע של אביהם מעולם, וכתב </w:t>
      </w:r>
      <w:r w:rsidRPr="000A1704">
        <w:rPr>
          <w:rStyle w:val="af9"/>
          <w:rFonts w:hint="cs"/>
          <w:rtl/>
        </w:rPr>
        <w:t>הרמ"ה</w:t>
      </w:r>
      <w:r>
        <w:rPr>
          <w:rFonts w:hint="cs"/>
          <w:rtl/>
        </w:rPr>
        <w:t xml:space="preserve"> דכיון שע"י המיגו הוא נאמן לטעון שהיא לקוחה בידו, לכן הוא נאמן לטעון שיש לו חוב על אביהם, ורק כיון שיצא קול שהקרקע היא שלהם, חשיבי היתומים כמוחזקים בקרקע, ואף אם יביא רבא בר שרשום עידי חזקה לא מהני, גם כיון שאין מקבלים עדות שלא בפני בע"ד, וגם כיון שאין מחזיקין בנכסי קטן.</w:t>
      </w:r>
    </w:p>
    <w:p w:rsidR="00F4065E" w:rsidRDefault="00F4065E" w:rsidP="00F4065E">
      <w:pPr>
        <w:pStyle w:val="a3"/>
        <w:rPr>
          <w:rtl/>
        </w:rPr>
      </w:pPr>
      <w:bookmarkStart w:id="15032" w:name="_Toc64205729"/>
      <w:bookmarkStart w:id="15033" w:name="_Toc64209409"/>
      <w:r>
        <w:rPr>
          <w:rFonts w:hint="cs"/>
          <w:rtl/>
        </w:rPr>
        <w:t>הביאור הג' ברמ"ה דאין לו חזקה ולולא הקול נאמן בלקוחה במיגו דלהד"ם ויש לו מיגו על החוב</w:t>
      </w:r>
      <w:bookmarkEnd w:id="15032"/>
      <w:bookmarkEnd w:id="15033"/>
    </w:p>
    <w:p w:rsidR="00F4065E" w:rsidRDefault="00F4065E" w:rsidP="007E4E81">
      <w:pPr>
        <w:pStyle w:val="a0"/>
        <w:rPr>
          <w:rtl/>
        </w:rPr>
      </w:pPr>
      <w:r>
        <w:rPr>
          <w:rFonts w:hint="cs"/>
          <w:rtl/>
        </w:rPr>
        <w:t xml:space="preserve">וכתב </w:t>
      </w:r>
      <w:r w:rsidRPr="000A1704">
        <w:rPr>
          <w:rStyle w:val="af9"/>
          <w:rFonts w:hint="cs"/>
          <w:rtl/>
        </w:rPr>
        <w:t>היד רמ"ה</w:t>
      </w:r>
      <w:r>
        <w:rPr>
          <w:rFonts w:hint="cs"/>
          <w:rtl/>
        </w:rPr>
        <w:t xml:space="preserve"> </w:t>
      </w:r>
      <w:r w:rsidRPr="00DB6AAE">
        <w:rPr>
          <w:rStyle w:val="af7"/>
          <w:rFonts w:eastAsia="Guttman Hodes" w:hint="cs"/>
          <w:rtl/>
        </w:rPr>
        <w:t>(או' נ"א ד"ה אי נמי)</w:t>
      </w:r>
      <w:r>
        <w:rPr>
          <w:rFonts w:hint="cs"/>
          <w:rtl/>
        </w:rPr>
        <w:t xml:space="preserve"> דאפשר להעמיד גם באופן שאין לרבא בר שרשום חזקת ג"ש כלל, ואיירי שאין ליתומים ראיה שהקרקע היא של אביהם, ואם לא היה קול היה נאמן לומר דהקרקע היא לקוחה בידו, במיגו דהיה אומר שלא הייתה הקרקע של אביהם מעולם, וכתב </w:t>
      </w:r>
      <w:r w:rsidRPr="00E137E0">
        <w:rPr>
          <w:rStyle w:val="af9"/>
          <w:rFonts w:hint="cs"/>
          <w:rtl/>
        </w:rPr>
        <w:t>הרמ"ה</w:t>
      </w:r>
      <w:r>
        <w:rPr>
          <w:rFonts w:hint="cs"/>
          <w:rtl/>
        </w:rPr>
        <w:t xml:space="preserve"> דכיון שע"י המיגו הוא נאמן לטעון שהיא לקוחה בידו, לכן הוא נאמן לטעון שיש לו חוב על אביהם, ורק כיון שיצא קול שהקרקע היא שלהם, חשיבי היתומים כמוחזקים בקרקע, ואינו נאמן לומר שהיא לקוחה בידו, כיון שאין לו חזקת ג"ש, וממילא אינו נאמן לטעון שיש לו חוב עליהם דהא אין לו כל מיגו,</w:t>
      </w:r>
      <w:r w:rsidRPr="004C5C7D">
        <w:rPr>
          <w:rtl/>
        </w:rPr>
        <w:t xml:space="preserve"> </w:t>
      </w:r>
      <w:r>
        <w:rPr>
          <w:rtl/>
        </w:rPr>
        <w:t xml:space="preserve">וכתב </w:t>
      </w:r>
      <w:r w:rsidRPr="00E137E0">
        <w:rPr>
          <w:rStyle w:val="af9"/>
          <w:rtl/>
        </w:rPr>
        <w:t>היד</w:t>
      </w:r>
      <w:r>
        <w:rPr>
          <w:rtl/>
        </w:rPr>
        <w:t xml:space="preserve"> </w:t>
      </w:r>
      <w:r w:rsidRPr="00E137E0">
        <w:rPr>
          <w:rStyle w:val="af9"/>
          <w:rtl/>
        </w:rPr>
        <w:t>רמ"ה</w:t>
      </w:r>
      <w:r>
        <w:rPr>
          <w:rtl/>
        </w:rPr>
        <w:t xml:space="preserve"> </w:t>
      </w:r>
      <w:r w:rsidRPr="00754329">
        <w:rPr>
          <w:rStyle w:val="af7"/>
          <w:rFonts w:eastAsia="Guttman Hodes"/>
          <w:rtl/>
        </w:rPr>
        <w:t>(או' נ"א ד"ה</w:t>
      </w:r>
      <w:r w:rsidRPr="00754329">
        <w:rPr>
          <w:rStyle w:val="af7"/>
          <w:rFonts w:eastAsia="Guttman Hodes" w:hint="cs"/>
          <w:rtl/>
        </w:rPr>
        <w:t xml:space="preserve"> והני)</w:t>
      </w:r>
      <w:r>
        <w:rPr>
          <w:rFonts w:hint="cs"/>
          <w:rtl/>
        </w:rPr>
        <w:t xml:space="preserve"> דאעפ"י דלדינא אפשר להעמיד בכל ג' האופנים הנ"ל, מ"מ בגמ' משמע דאיירי שאין לו חזקה כלל, עיי"ש במה שהאריך </w:t>
      </w:r>
      <w:r w:rsidRPr="00FE3B23">
        <w:rPr>
          <w:rStyle w:val="af9"/>
          <w:rFonts w:hint="cs"/>
          <w:rtl/>
        </w:rPr>
        <w:t>היד רמ"ה</w:t>
      </w:r>
      <w:r>
        <w:rPr>
          <w:rFonts w:hint="cs"/>
          <w:rtl/>
        </w:rPr>
        <w:t xml:space="preserve"> לבאר בזה. </w:t>
      </w:r>
    </w:p>
    <w:p w:rsidR="00F4065E" w:rsidRPr="007726E9" w:rsidRDefault="00F4065E" w:rsidP="00F4065E">
      <w:pPr>
        <w:pStyle w:val="afe"/>
        <w:rPr>
          <w:rtl/>
        </w:rPr>
      </w:pPr>
      <w:bookmarkStart w:id="15034" w:name="_Toc64148124"/>
      <w:bookmarkStart w:id="15035" w:name="_Toc64205730"/>
      <w:bookmarkStart w:id="15036" w:name="_Toc64209410"/>
      <w:r>
        <w:rPr>
          <w:rFonts w:hint="cs"/>
          <w:rtl/>
        </w:rPr>
        <w:t>ד' הסוברים דאינו נאמן בטענת לקוחה</w:t>
      </w:r>
      <w:bookmarkEnd w:id="14689"/>
      <w:bookmarkEnd w:id="14690"/>
      <w:bookmarkEnd w:id="14691"/>
      <w:bookmarkEnd w:id="14692"/>
      <w:bookmarkEnd w:id="14693"/>
      <w:bookmarkEnd w:id="14778"/>
      <w:bookmarkEnd w:id="14779"/>
      <w:bookmarkEnd w:id="14780"/>
      <w:bookmarkEnd w:id="14781"/>
      <w:bookmarkEnd w:id="15034"/>
      <w:bookmarkEnd w:id="15035"/>
      <w:bookmarkEnd w:id="15036"/>
    </w:p>
    <w:p w:rsidR="00F4065E" w:rsidRDefault="00F4065E" w:rsidP="00F4065E">
      <w:pPr>
        <w:pStyle w:val="1"/>
        <w:rPr>
          <w:rtl/>
        </w:rPr>
      </w:pPr>
      <w:bookmarkStart w:id="15037" w:name="_Toc63675691"/>
      <w:bookmarkStart w:id="15038" w:name="_Toc63703857"/>
      <w:bookmarkStart w:id="15039" w:name="_Toc63714157"/>
      <w:bookmarkStart w:id="15040" w:name="_Toc63854271"/>
      <w:bookmarkStart w:id="15041" w:name="_Toc63942251"/>
      <w:bookmarkStart w:id="15042" w:name="_Toc63975482"/>
      <w:bookmarkStart w:id="15043" w:name="_Toc63986522"/>
      <w:bookmarkStart w:id="15044" w:name="_Toc64024650"/>
      <w:bookmarkStart w:id="15045" w:name="_Toc64036058"/>
      <w:bookmarkStart w:id="15046" w:name="_Toc64148125"/>
      <w:bookmarkStart w:id="15047" w:name="_Toc64205731"/>
      <w:bookmarkStart w:id="15048" w:name="_Toc64209411"/>
      <w:r>
        <w:rPr>
          <w:rFonts w:hint="cs"/>
          <w:rtl/>
        </w:rPr>
        <w:t>בי' הרשב"ם</w:t>
      </w:r>
      <w:bookmarkEnd w:id="15037"/>
      <w:bookmarkEnd w:id="15038"/>
      <w:bookmarkEnd w:id="15039"/>
      <w:bookmarkEnd w:id="15040"/>
      <w:bookmarkEnd w:id="15041"/>
      <w:bookmarkEnd w:id="15042"/>
      <w:bookmarkEnd w:id="15043"/>
      <w:bookmarkEnd w:id="15044"/>
      <w:bookmarkEnd w:id="15045"/>
      <w:r>
        <w:rPr>
          <w:rFonts w:hint="cs"/>
          <w:rtl/>
        </w:rPr>
        <w:t xml:space="preserve"> דמחמת קול שנגמרה המשכנתא אינו נאמן בלקוחה</w:t>
      </w:r>
      <w:bookmarkEnd w:id="15046"/>
      <w:bookmarkEnd w:id="15047"/>
      <w:bookmarkEnd w:id="15048"/>
    </w:p>
    <w:p w:rsidR="00F4065E" w:rsidRPr="00BB0590" w:rsidRDefault="00F4065E" w:rsidP="00F4065E">
      <w:pPr>
        <w:pStyle w:val="a3"/>
        <w:rPr>
          <w:rtl/>
        </w:rPr>
      </w:pPr>
      <w:bookmarkStart w:id="15049" w:name="_Toc64148126"/>
      <w:bookmarkStart w:id="15050" w:name="_Toc64205732"/>
      <w:bookmarkStart w:id="15051" w:name="_Toc64209412"/>
      <w:r>
        <w:rPr>
          <w:rFonts w:hint="cs"/>
          <w:rtl/>
        </w:rPr>
        <w:t>דברי הרשב"ם דבירד למשכנתא ויש קול שנגמרה אינו נאמן בטענת לקוחה דצריך להזהר בשטר</w:t>
      </w:r>
      <w:bookmarkEnd w:id="15049"/>
      <w:bookmarkEnd w:id="15050"/>
      <w:bookmarkEnd w:id="15051"/>
    </w:p>
    <w:p w:rsidR="00F4065E" w:rsidRDefault="00F4065E" w:rsidP="007E4E81">
      <w:pPr>
        <w:pStyle w:val="a0"/>
        <w:rPr>
          <w:rtl/>
        </w:rPr>
      </w:pPr>
      <w:bookmarkStart w:id="15052" w:name="_Ref64140559"/>
      <w:r>
        <w:rPr>
          <w:rFonts w:hint="cs"/>
          <w:rtl/>
        </w:rPr>
        <w:t xml:space="preserve">בדברי אביי דאינו נאמן לטעון לקוחה היא בידי, ביאר </w:t>
      </w:r>
      <w:r w:rsidRPr="00891F8E">
        <w:rPr>
          <w:rStyle w:val="af9"/>
          <w:rFonts w:hint="cs"/>
          <w:rtl/>
        </w:rPr>
        <w:t>הרשב"ם</w:t>
      </w:r>
      <w:r>
        <w:rPr>
          <w:rFonts w:hint="cs"/>
          <w:rtl/>
        </w:rPr>
        <w:t xml:space="preserve"> </w:t>
      </w:r>
      <w:r w:rsidRPr="00EE1580">
        <w:rPr>
          <w:rStyle w:val="af7"/>
          <w:rFonts w:eastAsia="Guttman Hodes" w:hint="cs"/>
          <w:rtl/>
        </w:rPr>
        <w:t>(ד"ה אמר ליה)</w:t>
      </w:r>
      <w:r>
        <w:rPr>
          <w:rFonts w:hint="cs"/>
          <w:rtl/>
        </w:rPr>
        <w:t xml:space="preserve"> דכיון שהוא דבר ידוע שהקרקע באה לידו במשכנתא, לכן אינו נאמן בטענת לקוחה היא בידי, דהרי יש קול ועדות שנגמרו שני </w:t>
      </w:r>
      <w:r>
        <w:rPr>
          <w:rFonts w:hint="cs"/>
          <w:rtl/>
        </w:rPr>
        <w:lastRenderedPageBreak/>
        <w:t xml:space="preserve">המשכנתא, ועכשיו הקרקע היא של היתומים, וכיון שידע רבא בר שרשום שיש לו קול עליו, שהקרקע היא במשכנתא ואינה לקוחה בידו, א"כ אין לך מחאה גדולה מזו, והיה לו להזהר בשטרו, </w:t>
      </w:r>
      <w:r w:rsidRPr="00181401">
        <w:rPr>
          <w:rStyle w:val="afb"/>
          <w:rFonts w:hint="cs"/>
          <w:rtl/>
        </w:rPr>
        <w:t xml:space="preserve">[אם באמת הייתה לקוחה בידו ויצא קול], </w:t>
      </w:r>
      <w:r>
        <w:rPr>
          <w:rFonts w:hint="cs"/>
          <w:rtl/>
        </w:rPr>
        <w:t>וכיון שאין לו שטר, ל"מ לו החזקה, והוא צריך להחזיר את הקרקע ליתומים.</w:t>
      </w:r>
      <w:bookmarkEnd w:id="15052"/>
    </w:p>
    <w:p w:rsidR="00F4065E" w:rsidRPr="006B1B9A" w:rsidRDefault="00F4065E" w:rsidP="00F4065E">
      <w:pPr>
        <w:pStyle w:val="1"/>
        <w:rPr>
          <w:rtl/>
        </w:rPr>
      </w:pPr>
      <w:bookmarkStart w:id="15053" w:name="_Toc63942255"/>
      <w:bookmarkStart w:id="15054" w:name="_Toc63975486"/>
      <w:bookmarkStart w:id="15055" w:name="_Toc63986526"/>
      <w:bookmarkStart w:id="15056" w:name="_Toc64024654"/>
      <w:bookmarkStart w:id="15057" w:name="_Toc64036062"/>
      <w:bookmarkStart w:id="15058" w:name="_Toc64148127"/>
      <w:bookmarkStart w:id="15059" w:name="_Toc64205733"/>
      <w:bookmarkStart w:id="15060" w:name="_Toc64209413"/>
      <w:bookmarkStart w:id="15061" w:name="_Toc63675693"/>
      <w:bookmarkStart w:id="15062" w:name="_Toc63703859"/>
      <w:bookmarkStart w:id="15063" w:name="_Toc63714159"/>
      <w:bookmarkStart w:id="15064" w:name="_Toc63854273"/>
      <w:bookmarkStart w:id="15065" w:name="_Toc63942253"/>
      <w:bookmarkStart w:id="15066" w:name="_Toc63975484"/>
      <w:bookmarkStart w:id="15067" w:name="_Toc63986524"/>
      <w:bookmarkStart w:id="15068" w:name="_Toc64024652"/>
      <w:bookmarkStart w:id="15069" w:name="_Toc64036060"/>
      <w:r>
        <w:rPr>
          <w:rFonts w:hint="cs"/>
          <w:rtl/>
        </w:rPr>
        <w:t>דעת רה"ג דאינו נאמן לטעון לקוחה</w:t>
      </w:r>
      <w:bookmarkEnd w:id="15053"/>
      <w:bookmarkEnd w:id="15054"/>
      <w:bookmarkEnd w:id="15055"/>
      <w:bookmarkEnd w:id="15056"/>
      <w:bookmarkEnd w:id="15057"/>
      <w:r>
        <w:rPr>
          <w:rFonts w:hint="cs"/>
          <w:rtl/>
        </w:rPr>
        <w:t xml:space="preserve"> ובי' רבינו יונה דהוא מחאה</w:t>
      </w:r>
      <w:bookmarkEnd w:id="15058"/>
      <w:bookmarkEnd w:id="15059"/>
      <w:bookmarkEnd w:id="15060"/>
    </w:p>
    <w:p w:rsidR="00F4065E" w:rsidRDefault="00F4065E" w:rsidP="00F4065E">
      <w:pPr>
        <w:pStyle w:val="a3"/>
        <w:rPr>
          <w:rtl/>
        </w:rPr>
      </w:pPr>
      <w:bookmarkStart w:id="15070" w:name="_Toc64148128"/>
      <w:bookmarkStart w:id="15071" w:name="_Toc64205734"/>
      <w:bookmarkStart w:id="15072" w:name="_Toc64209414"/>
      <w:r>
        <w:rPr>
          <w:rFonts w:hint="cs"/>
          <w:rtl/>
        </w:rPr>
        <w:t>דברי רה"ג דע"י הקול שהיא של היתומים אינו נאמן בטענת לקוחה ודברי רבינו יונה דצ"ב טעמו</w:t>
      </w:r>
      <w:bookmarkEnd w:id="15070"/>
      <w:bookmarkEnd w:id="15071"/>
      <w:bookmarkEnd w:id="15072"/>
    </w:p>
    <w:p w:rsidR="00F4065E" w:rsidRDefault="00F4065E" w:rsidP="007E4E81">
      <w:pPr>
        <w:pStyle w:val="a0"/>
        <w:rPr>
          <w:rtl/>
        </w:rPr>
      </w:pPr>
      <w:bookmarkStart w:id="15073" w:name="_Ref63873925"/>
      <w:r>
        <w:rPr>
          <w:rFonts w:hint="cs"/>
          <w:rtl/>
        </w:rPr>
        <w:t xml:space="preserve">וכן הביאו </w:t>
      </w:r>
      <w:r w:rsidRPr="00891F8E">
        <w:rPr>
          <w:rStyle w:val="af9"/>
          <w:rFonts w:hint="cs"/>
          <w:rtl/>
        </w:rPr>
        <w:t>רבינו</w:t>
      </w:r>
      <w:r>
        <w:rPr>
          <w:rFonts w:hint="cs"/>
          <w:rtl/>
        </w:rPr>
        <w:t xml:space="preserve"> </w:t>
      </w:r>
      <w:r w:rsidRPr="00891F8E">
        <w:rPr>
          <w:rStyle w:val="af9"/>
          <w:rFonts w:hint="cs"/>
          <w:rtl/>
        </w:rPr>
        <w:t>יונה</w:t>
      </w:r>
      <w:r>
        <w:rPr>
          <w:rFonts w:hint="cs"/>
          <w:rtl/>
        </w:rPr>
        <w:t xml:space="preserve"> </w:t>
      </w:r>
      <w:r w:rsidRPr="00EE1580">
        <w:rPr>
          <w:rStyle w:val="af7"/>
          <w:rFonts w:eastAsia="Guttman Hodes" w:hint="cs"/>
          <w:rtl/>
        </w:rPr>
        <w:t>(ד"ה א"ל לקוחה)</w:t>
      </w:r>
      <w:r>
        <w:rPr>
          <w:rFonts w:hint="cs"/>
          <w:rtl/>
        </w:rPr>
        <w:t xml:space="preserve"> </w:t>
      </w:r>
      <w:r w:rsidRPr="00891F8E">
        <w:rPr>
          <w:rStyle w:val="af9"/>
          <w:rFonts w:hint="cs"/>
          <w:rtl/>
        </w:rPr>
        <w:t>והרא"ש</w:t>
      </w:r>
      <w:r>
        <w:rPr>
          <w:rFonts w:hint="cs"/>
          <w:rtl/>
        </w:rPr>
        <w:t xml:space="preserve"> </w:t>
      </w:r>
      <w:r w:rsidRPr="00EE1580">
        <w:rPr>
          <w:rStyle w:val="af7"/>
          <w:rFonts w:eastAsia="Guttman Hodes" w:hint="cs"/>
          <w:rtl/>
        </w:rPr>
        <w:t>(סי' י"ח)</w:t>
      </w:r>
      <w:r w:rsidRPr="000D06EA">
        <w:rPr>
          <w:rFonts w:hint="cs"/>
          <w:rtl/>
        </w:rPr>
        <w:t xml:space="preserve"> </w:t>
      </w:r>
      <w:r>
        <w:rPr>
          <w:rFonts w:hint="cs"/>
          <w:rtl/>
        </w:rPr>
        <w:t xml:space="preserve">בשם </w:t>
      </w:r>
      <w:r w:rsidRPr="00891F8E">
        <w:rPr>
          <w:rStyle w:val="af9"/>
          <w:rFonts w:hint="cs"/>
          <w:rtl/>
        </w:rPr>
        <w:t>רב</w:t>
      </w:r>
      <w:r>
        <w:rPr>
          <w:rFonts w:hint="cs"/>
          <w:rtl/>
        </w:rPr>
        <w:t xml:space="preserve"> </w:t>
      </w:r>
      <w:r w:rsidRPr="00891F8E">
        <w:rPr>
          <w:rStyle w:val="af9"/>
          <w:rFonts w:hint="cs"/>
          <w:rtl/>
        </w:rPr>
        <w:t>האי</w:t>
      </w:r>
      <w:r>
        <w:rPr>
          <w:rFonts w:hint="cs"/>
          <w:rtl/>
        </w:rPr>
        <w:t xml:space="preserve"> </w:t>
      </w:r>
      <w:r w:rsidRPr="00891F8E">
        <w:rPr>
          <w:rStyle w:val="af9"/>
          <w:rFonts w:hint="cs"/>
          <w:rtl/>
        </w:rPr>
        <w:t>גאון</w:t>
      </w:r>
      <w:r>
        <w:rPr>
          <w:rFonts w:hint="cs"/>
          <w:rtl/>
        </w:rPr>
        <w:t xml:space="preserve"> </w:t>
      </w:r>
      <w:r w:rsidRPr="00114905">
        <w:rPr>
          <w:rStyle w:val="afb"/>
          <w:rFonts w:hint="cs"/>
          <w:rtl/>
        </w:rPr>
        <w:t>[</w:t>
      </w:r>
      <w:r w:rsidRPr="00114905">
        <w:rPr>
          <w:rStyle w:val="affa"/>
          <w:rFonts w:hint="cs"/>
          <w:rtl/>
        </w:rPr>
        <w:t xml:space="preserve">במשפטי השבועות </w:t>
      </w:r>
      <w:r w:rsidRPr="00114905">
        <w:rPr>
          <w:rStyle w:val="aff6"/>
          <w:rFonts w:hint="cs"/>
          <w:rtl/>
        </w:rPr>
        <w:t>(ח"א [שער א'] סוד"ה התנאי החמישי, נד' בסוף ספר המקח</w:t>
      </w:r>
      <w:r>
        <w:rPr>
          <w:rStyle w:val="aff6"/>
          <w:rFonts w:hint="cs"/>
          <w:rtl/>
        </w:rPr>
        <w:t>)</w:t>
      </w:r>
      <w:r w:rsidRPr="00114905">
        <w:rPr>
          <w:rStyle w:val="afb"/>
          <w:rFonts w:hint="cs"/>
          <w:rtl/>
        </w:rPr>
        <w:t>]</w:t>
      </w:r>
      <w:r>
        <w:rPr>
          <w:rFonts w:hint="cs"/>
          <w:rtl/>
        </w:rPr>
        <w:t xml:space="preserve"> דאף אם היה טוען לקוחה היא בידי לא היה נאמן, כיון שיצא קול שהקרקע היא של היתומים, וכתב </w:t>
      </w:r>
      <w:r w:rsidRPr="00891F8E">
        <w:rPr>
          <w:rStyle w:val="af9"/>
          <w:rFonts w:hint="cs"/>
          <w:rtl/>
        </w:rPr>
        <w:t>רבינו</w:t>
      </w:r>
      <w:r>
        <w:rPr>
          <w:rFonts w:hint="cs"/>
          <w:rtl/>
        </w:rPr>
        <w:t xml:space="preserve"> </w:t>
      </w:r>
      <w:r w:rsidRPr="00891F8E">
        <w:rPr>
          <w:rStyle w:val="af9"/>
          <w:rFonts w:hint="cs"/>
          <w:rtl/>
        </w:rPr>
        <w:t>יונה</w:t>
      </w:r>
      <w:r>
        <w:rPr>
          <w:rFonts w:hint="cs"/>
          <w:rtl/>
        </w:rPr>
        <w:t xml:space="preserve"> דלא התברר מה טעמו של </w:t>
      </w:r>
      <w:r w:rsidRPr="00891F8E">
        <w:rPr>
          <w:rStyle w:val="af9"/>
          <w:rFonts w:hint="cs"/>
          <w:rtl/>
        </w:rPr>
        <w:t>רב האי</w:t>
      </w:r>
      <w:r>
        <w:rPr>
          <w:rFonts w:hint="cs"/>
          <w:rtl/>
        </w:rPr>
        <w:t xml:space="preserve"> </w:t>
      </w:r>
      <w:r w:rsidRPr="00891F8E">
        <w:rPr>
          <w:rStyle w:val="af9"/>
          <w:rFonts w:hint="cs"/>
          <w:rtl/>
        </w:rPr>
        <w:t>גאון</w:t>
      </w:r>
      <w:r>
        <w:rPr>
          <w:rFonts w:hint="cs"/>
          <w:rtl/>
        </w:rPr>
        <w:t>.</w:t>
      </w:r>
      <w:bookmarkEnd w:id="15073"/>
    </w:p>
    <w:p w:rsidR="00F4065E" w:rsidRPr="00114905" w:rsidRDefault="00F4065E" w:rsidP="00F4065E">
      <w:pPr>
        <w:pStyle w:val="a3"/>
      </w:pPr>
      <w:bookmarkStart w:id="15074" w:name="_Toc64148129"/>
      <w:bookmarkStart w:id="15075" w:name="_Toc64205735"/>
      <w:bookmarkStart w:id="15076" w:name="_Toc64209415"/>
      <w:r>
        <w:rPr>
          <w:rFonts w:hint="cs"/>
          <w:rtl/>
        </w:rPr>
        <w:t>ביאור רבינו יונה ברה"ג דבחייו יצא קול משכנתא ועברה המשכנתא לאח"מ והקול הוא כמחאה</w:t>
      </w:r>
      <w:bookmarkEnd w:id="15074"/>
      <w:bookmarkEnd w:id="15075"/>
      <w:bookmarkEnd w:id="15076"/>
    </w:p>
    <w:p w:rsidR="00F4065E" w:rsidRDefault="00F4065E" w:rsidP="007E4E81">
      <w:pPr>
        <w:pStyle w:val="a0"/>
        <w:rPr>
          <w:rStyle w:val="afb"/>
          <w:sz w:val="18"/>
          <w:szCs w:val="18"/>
          <w:rtl/>
        </w:rPr>
      </w:pPr>
      <w:bookmarkStart w:id="15077" w:name="_Ref63874014"/>
      <w:bookmarkStart w:id="15078" w:name="_Ref63673927"/>
      <w:r>
        <w:rPr>
          <w:rFonts w:hint="cs"/>
          <w:rtl/>
        </w:rPr>
        <w:t xml:space="preserve">וביאר </w:t>
      </w:r>
      <w:r w:rsidRPr="00891F8E">
        <w:rPr>
          <w:rStyle w:val="af9"/>
          <w:rFonts w:hint="cs"/>
          <w:rtl/>
        </w:rPr>
        <w:t>רבינו</w:t>
      </w:r>
      <w:r>
        <w:rPr>
          <w:rFonts w:hint="cs"/>
          <w:rtl/>
        </w:rPr>
        <w:t xml:space="preserve"> </w:t>
      </w:r>
      <w:r w:rsidRPr="00891F8E">
        <w:rPr>
          <w:rStyle w:val="af9"/>
          <w:rFonts w:hint="cs"/>
          <w:rtl/>
        </w:rPr>
        <w:t>יונה</w:t>
      </w:r>
      <w:r>
        <w:rPr>
          <w:rFonts w:hint="cs"/>
          <w:rtl/>
        </w:rPr>
        <w:t xml:space="preserve"> דס"ל </w:t>
      </w:r>
      <w:r w:rsidRPr="00891F8E">
        <w:rPr>
          <w:rStyle w:val="af9"/>
          <w:rFonts w:hint="cs"/>
          <w:rtl/>
        </w:rPr>
        <w:t>לרב</w:t>
      </w:r>
      <w:r>
        <w:rPr>
          <w:rFonts w:hint="cs"/>
          <w:rtl/>
        </w:rPr>
        <w:t xml:space="preserve"> </w:t>
      </w:r>
      <w:r w:rsidRPr="00891F8E">
        <w:rPr>
          <w:rStyle w:val="af9"/>
          <w:rFonts w:hint="cs"/>
          <w:rtl/>
        </w:rPr>
        <w:t>האי</w:t>
      </w:r>
      <w:r>
        <w:rPr>
          <w:rFonts w:hint="cs"/>
          <w:rtl/>
        </w:rPr>
        <w:t xml:space="preserve"> </w:t>
      </w:r>
      <w:r w:rsidRPr="00891F8E">
        <w:rPr>
          <w:rStyle w:val="af9"/>
          <w:rFonts w:hint="cs"/>
          <w:rtl/>
        </w:rPr>
        <w:t>גאון</w:t>
      </w:r>
      <w:r>
        <w:rPr>
          <w:rFonts w:hint="cs"/>
          <w:rtl/>
        </w:rPr>
        <w:t xml:space="preserve"> דאיירי שבחיי האב יצא קול שהקרקע במשכנתא אצל רבא בר שרשום לכמה שנים, וכל השנים שהיה עליהם הקול עברו לאחר מיתת האב, ולכן יצא קול שהוא אוכל קרקע של יתומים, וממילא מה שהחזיק בחיי האב אינה חזקה כלל, דאין לך מחאה גדולה מהקול שבאה לידו במשכנתא, ואם היה טוען שהיא לקוחה בידו, היה לו להזהר בשטרו,</w:t>
      </w:r>
      <w:r w:rsidRPr="00F87282">
        <w:rPr>
          <w:rFonts w:hint="cs"/>
          <w:rtl/>
        </w:rPr>
        <w:t xml:space="preserve"> </w:t>
      </w:r>
      <w:r>
        <w:rPr>
          <w:rFonts w:hint="cs"/>
          <w:rtl/>
        </w:rPr>
        <w:t xml:space="preserve">ואף שאין עדים על המחאה, מ"מ חשיבא כמחאה. </w:t>
      </w:r>
      <w:r w:rsidRPr="00BF3302">
        <w:rPr>
          <w:rStyle w:val="afb"/>
          <w:rFonts w:hint="cs"/>
          <w:rtl/>
        </w:rPr>
        <w:t xml:space="preserve">[וכתב </w:t>
      </w:r>
      <w:r w:rsidRPr="00EE1580">
        <w:rPr>
          <w:rStyle w:val="affa"/>
          <w:rFonts w:hint="cs"/>
          <w:rtl/>
        </w:rPr>
        <w:t>רבינו יונה</w:t>
      </w:r>
      <w:r w:rsidRPr="00BF3302">
        <w:rPr>
          <w:rStyle w:val="afb"/>
          <w:rFonts w:hint="cs"/>
          <w:rtl/>
        </w:rPr>
        <w:t xml:space="preserve"> דכיון שיצא הקול לא הוצרך האב למחות, או דאמרינן דהקול יצא מחמת שמחה בפני עדים שאינם מצוים וכל מחאה יוצאת ע"י קול, כדאמרינן לעיל </w:t>
      </w:r>
      <w:r w:rsidRPr="00EE1580">
        <w:rPr>
          <w:rStyle w:val="aff6"/>
          <w:rFonts w:hint="cs"/>
          <w:rtl/>
        </w:rPr>
        <w:t>(כח.)</w:t>
      </w:r>
      <w:r w:rsidRPr="00BF3302">
        <w:rPr>
          <w:rStyle w:val="afb"/>
          <w:rFonts w:hint="cs"/>
          <w:rtl/>
        </w:rPr>
        <w:t xml:space="preserve"> דחברך חברא אית ליה, ולכן היה לו להזהר בשטר מחמת הקול אעפ"י שאינו יודע אם מחה בו או לא]</w:t>
      </w:r>
      <w:r>
        <w:rPr>
          <w:rStyle w:val="afb"/>
          <w:rFonts w:hint="cs"/>
          <w:rtl/>
        </w:rPr>
        <w:t>.</w:t>
      </w:r>
      <w:bookmarkEnd w:id="15077"/>
    </w:p>
    <w:p w:rsidR="00F4065E" w:rsidRPr="006B1B9A" w:rsidRDefault="00F4065E" w:rsidP="00F4065E">
      <w:pPr>
        <w:pStyle w:val="a3"/>
      </w:pPr>
      <w:bookmarkStart w:id="15079" w:name="_Toc64148130"/>
      <w:bookmarkStart w:id="15080" w:name="_Toc64205736"/>
      <w:bookmarkStart w:id="15081" w:name="_Toc64209416"/>
      <w:r>
        <w:rPr>
          <w:rFonts w:hint="cs"/>
          <w:rtl/>
        </w:rPr>
        <w:t>דברי רבינו יונה דביצא הקול בחייו בתוך ג"ש  הוי מחאה אך ביצא הקול ליתומים יש לו חזקה</w:t>
      </w:r>
      <w:bookmarkEnd w:id="15079"/>
      <w:bookmarkEnd w:id="15080"/>
      <w:bookmarkEnd w:id="15081"/>
    </w:p>
    <w:p w:rsidR="00F4065E" w:rsidRDefault="00F4065E" w:rsidP="007E4E81">
      <w:pPr>
        <w:pStyle w:val="a0"/>
        <w:rPr>
          <w:rtl/>
        </w:rPr>
      </w:pPr>
      <w:r>
        <w:rPr>
          <w:rFonts w:hint="cs"/>
          <w:rtl/>
        </w:rPr>
        <w:t xml:space="preserve">אך כתב </w:t>
      </w:r>
      <w:r w:rsidRPr="003A611E">
        <w:rPr>
          <w:rStyle w:val="af9"/>
          <w:rFonts w:hint="cs"/>
          <w:rtl/>
        </w:rPr>
        <w:t>רבינו</w:t>
      </w:r>
      <w:r>
        <w:rPr>
          <w:rFonts w:hint="cs"/>
          <w:rtl/>
        </w:rPr>
        <w:t xml:space="preserve"> </w:t>
      </w:r>
      <w:r w:rsidRPr="003A611E">
        <w:rPr>
          <w:rStyle w:val="af9"/>
          <w:rFonts w:hint="cs"/>
          <w:rtl/>
        </w:rPr>
        <w:t>יונה</w:t>
      </w:r>
      <w:r>
        <w:rPr>
          <w:rFonts w:hint="cs"/>
          <w:rtl/>
        </w:rPr>
        <w:t xml:space="preserve"> דרק כשיצא הקול בחיי האב בתוך שני החזקה, חשיב כמחאה, אבל אם יצא הקול אחר שכבר יש לו בחיי האב חזקת ג"ש, ורק בפני היתומים יצא הקול, א"כ ודאי דחזקתו היא חזקה גמורה, דהא לא היה צריך להזהר בשטרו, ועי' במה שהקשה </w:t>
      </w:r>
      <w:r w:rsidRPr="003A611E">
        <w:rPr>
          <w:rStyle w:val="af9"/>
          <w:rFonts w:hint="cs"/>
          <w:rtl/>
        </w:rPr>
        <w:t>הרא"ש</w:t>
      </w:r>
      <w:r>
        <w:rPr>
          <w:rFonts w:hint="cs"/>
          <w:rtl/>
        </w:rPr>
        <w:t xml:space="preserve"> </w:t>
      </w:r>
      <w:r w:rsidRPr="004D0FB1">
        <w:rPr>
          <w:rStyle w:val="af7"/>
          <w:rFonts w:eastAsia="Guttman Hodes" w:hint="cs"/>
          <w:rtl/>
        </w:rPr>
        <w:t xml:space="preserve">(עי' אות </w:t>
      </w:r>
      <w:r w:rsidRPr="004D0FB1">
        <w:rPr>
          <w:rStyle w:val="af7"/>
          <w:rFonts w:eastAsia="Guttman Hodes"/>
          <w:rtl/>
        </w:rPr>
        <w:fldChar w:fldCharType="begin"/>
      </w:r>
      <w:r w:rsidRPr="004D0FB1">
        <w:rPr>
          <w:rStyle w:val="af7"/>
          <w:rFonts w:eastAsia="Guttman Hodes"/>
          <w:rtl/>
        </w:rPr>
        <w:instrText xml:space="preserve"> </w:instrText>
      </w:r>
      <w:r w:rsidRPr="004D0FB1">
        <w:rPr>
          <w:rStyle w:val="af7"/>
          <w:rFonts w:eastAsia="Guttman Hodes" w:hint="cs"/>
        </w:rPr>
        <w:instrText>REF</w:instrText>
      </w:r>
      <w:r w:rsidRPr="004D0FB1">
        <w:rPr>
          <w:rStyle w:val="af7"/>
          <w:rFonts w:eastAsia="Guttman Hodes" w:hint="cs"/>
          <w:rtl/>
        </w:rPr>
        <w:instrText xml:space="preserve"> _</w:instrText>
      </w:r>
      <w:r w:rsidRPr="004D0FB1">
        <w:rPr>
          <w:rStyle w:val="af7"/>
          <w:rFonts w:eastAsia="Guttman Hodes" w:hint="cs"/>
        </w:rPr>
        <w:instrText>Ref63674079 \r \h</w:instrText>
      </w:r>
      <w:r w:rsidRPr="004D0FB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D0FB1">
        <w:rPr>
          <w:rStyle w:val="af7"/>
          <w:rFonts w:eastAsia="Guttman Hodes"/>
          <w:rtl/>
        </w:rPr>
      </w:r>
      <w:r w:rsidRPr="004D0FB1">
        <w:rPr>
          <w:rStyle w:val="af7"/>
          <w:rFonts w:eastAsia="Guttman Hodes"/>
          <w:rtl/>
        </w:rPr>
        <w:fldChar w:fldCharType="separate"/>
      </w:r>
      <w:r w:rsidR="00265073">
        <w:rPr>
          <w:rStyle w:val="af7"/>
          <w:rFonts w:eastAsia="Guttman Hodes"/>
          <w:cs/>
        </w:rPr>
        <w:t>‎</w:t>
      </w:r>
      <w:r w:rsidR="00265073">
        <w:rPr>
          <w:rStyle w:val="af7"/>
          <w:rFonts w:eastAsia="Guttman Hodes"/>
          <w:rtl/>
        </w:rPr>
        <w:t>קו)</w:t>
      </w:r>
      <w:r w:rsidRPr="004D0FB1">
        <w:rPr>
          <w:rStyle w:val="af7"/>
          <w:rFonts w:eastAsia="Guttman Hodes"/>
          <w:rtl/>
        </w:rPr>
        <w:fldChar w:fldCharType="end"/>
      </w:r>
      <w:r>
        <w:rPr>
          <w:rFonts w:hint="cs"/>
          <w:rtl/>
        </w:rPr>
        <w:t xml:space="preserve"> דא"א לקבל עדות על חזקה כשהיתומים קטנים.</w:t>
      </w:r>
      <w:bookmarkEnd w:id="15078"/>
      <w:r>
        <w:rPr>
          <w:rFonts w:hint="cs"/>
          <w:rtl/>
        </w:rPr>
        <w:t xml:space="preserve"> </w:t>
      </w:r>
    </w:p>
    <w:p w:rsidR="00F4065E" w:rsidRDefault="00F4065E" w:rsidP="00F4065E">
      <w:pPr>
        <w:pStyle w:val="1"/>
        <w:rPr>
          <w:rtl/>
        </w:rPr>
      </w:pPr>
      <w:bookmarkStart w:id="15082" w:name="_Toc63666759"/>
      <w:bookmarkStart w:id="15083" w:name="_Toc63675696"/>
      <w:bookmarkStart w:id="15084" w:name="_Toc63703862"/>
      <w:bookmarkStart w:id="15085" w:name="_Toc63714162"/>
      <w:bookmarkStart w:id="15086" w:name="_Toc63854276"/>
      <w:bookmarkStart w:id="15087" w:name="_Toc63942258"/>
      <w:bookmarkStart w:id="15088" w:name="_Toc63975489"/>
      <w:bookmarkStart w:id="15089" w:name="_Toc63986529"/>
      <w:bookmarkStart w:id="15090" w:name="_Toc64024657"/>
      <w:bookmarkStart w:id="15091" w:name="_Toc64036065"/>
      <w:bookmarkStart w:id="15092" w:name="_Toc64148131"/>
      <w:bookmarkStart w:id="15093" w:name="_Toc64205737"/>
      <w:bookmarkStart w:id="15094" w:name="_Toc64209417"/>
      <w:r>
        <w:rPr>
          <w:rFonts w:hint="cs"/>
          <w:rtl/>
        </w:rPr>
        <w:t>דברי הרמב"ן</w:t>
      </w:r>
      <w:bookmarkEnd w:id="15082"/>
      <w:bookmarkEnd w:id="15083"/>
      <w:bookmarkEnd w:id="15084"/>
      <w:bookmarkEnd w:id="15085"/>
      <w:bookmarkEnd w:id="15086"/>
      <w:r>
        <w:rPr>
          <w:rFonts w:hint="cs"/>
          <w:rtl/>
        </w:rPr>
        <w:t xml:space="preserve"> </w:t>
      </w:r>
      <w:bookmarkEnd w:id="15087"/>
      <w:bookmarkEnd w:id="15088"/>
      <w:bookmarkEnd w:id="15089"/>
      <w:bookmarkEnd w:id="15090"/>
      <w:bookmarkEnd w:id="15091"/>
      <w:r>
        <w:rPr>
          <w:rFonts w:hint="cs"/>
          <w:rtl/>
        </w:rPr>
        <w:t>דאינו נאמן להביא עידי חזקה בפני היתומים</w:t>
      </w:r>
      <w:bookmarkEnd w:id="15092"/>
      <w:bookmarkEnd w:id="15093"/>
      <w:bookmarkEnd w:id="15094"/>
      <w:r>
        <w:rPr>
          <w:rFonts w:hint="cs"/>
          <w:rtl/>
        </w:rPr>
        <w:t xml:space="preserve"> </w:t>
      </w:r>
    </w:p>
    <w:p w:rsidR="00F4065E" w:rsidRDefault="00F4065E" w:rsidP="00F4065E">
      <w:pPr>
        <w:pStyle w:val="a3"/>
        <w:rPr>
          <w:rtl/>
        </w:rPr>
      </w:pPr>
      <w:bookmarkStart w:id="15095" w:name="_Toc64148132"/>
      <w:bookmarkStart w:id="15096" w:name="_Toc64205738"/>
      <w:bookmarkStart w:id="15097" w:name="_Toc64209418"/>
      <w:r>
        <w:rPr>
          <w:rFonts w:hint="cs"/>
          <w:rtl/>
        </w:rPr>
        <w:t>דברי הרמב"ן דמחמת הקול אינו נאמן בטענת לקוחה דאינו יכול להביא עידי חזקה בפני קטנים</w:t>
      </w:r>
      <w:bookmarkEnd w:id="15095"/>
      <w:bookmarkEnd w:id="15096"/>
      <w:bookmarkEnd w:id="15097"/>
    </w:p>
    <w:p w:rsidR="00F4065E" w:rsidRDefault="00F4065E" w:rsidP="007E4E81">
      <w:pPr>
        <w:pStyle w:val="a0"/>
        <w:rPr>
          <w:rtl/>
        </w:rPr>
      </w:pPr>
      <w:bookmarkStart w:id="15098" w:name="_Ref64144571"/>
      <w:bookmarkStart w:id="15099" w:name="_Ref64145147"/>
      <w:r>
        <w:rPr>
          <w:rFonts w:hint="cs"/>
          <w:rtl/>
        </w:rPr>
        <w:t xml:space="preserve">כתב </w:t>
      </w:r>
      <w:r w:rsidRPr="00CA4698">
        <w:rPr>
          <w:rStyle w:val="af9"/>
          <w:rFonts w:hint="cs"/>
          <w:rtl/>
        </w:rPr>
        <w:t>הרמב"ן</w:t>
      </w:r>
      <w:r w:rsidRPr="00D262EA">
        <w:rPr>
          <w:rStyle w:val="af7"/>
          <w:rFonts w:eastAsia="Guttman Hodes" w:hint="cs"/>
          <w:b/>
          <w:bCs/>
          <w:rtl/>
        </w:rPr>
        <w:t xml:space="preserve"> </w:t>
      </w:r>
      <w:r w:rsidRPr="00D262EA">
        <w:rPr>
          <w:rStyle w:val="af7"/>
          <w:rFonts w:eastAsia="Guttman Hodes" w:hint="cs"/>
          <w:rtl/>
        </w:rPr>
        <w:t xml:space="preserve">(ד"ה ולי נראה) </w:t>
      </w:r>
      <w:r>
        <w:rPr>
          <w:rFonts w:hint="cs"/>
          <w:rtl/>
        </w:rPr>
        <w:t>דס"ל לאביי דרבא בר שרשום אינו נאמן לטעון לקוחה היא בידי כיון דהקול הוא שהקרקע היא של היתומים, דהיינו שהכל יודעים שהקרקע ידועה ומוחזקת לאביהם של היתומים, או דאיירי דאפוטרופוס של היתומים או ב"ד תובעים את הקרקע, ולכן הוצרך רבא בר שרשום להביא עידי חזקה, ואינו יכול להביא את העדים כשהיתומים קטנים, דאין מקבלים עדות שלא בפני בע"ד שהוא צריך להביא עדים שהחזיק ג"ש בחיי האב</w:t>
      </w:r>
      <w:r w:rsidRPr="00FE3351">
        <w:rPr>
          <w:rFonts w:hint="cs"/>
          <w:rtl/>
        </w:rPr>
        <w:t>,</w:t>
      </w:r>
      <w:r w:rsidRPr="00FE3351">
        <w:rPr>
          <w:rStyle w:val="afb"/>
          <w:rFonts w:hint="cs"/>
          <w:rtl/>
        </w:rPr>
        <w:t xml:space="preserve"> </w:t>
      </w:r>
      <w:r w:rsidRPr="00F5777E">
        <w:rPr>
          <w:rStyle w:val="afb"/>
          <w:rFonts w:hint="cs"/>
          <w:rtl/>
        </w:rPr>
        <w:t>[</w:t>
      </w:r>
      <w:r w:rsidRPr="00F5777E">
        <w:rPr>
          <w:rStyle w:val="affa"/>
          <w:rFonts w:hint="cs"/>
          <w:rtl/>
        </w:rPr>
        <w:t>וכרשב"ם</w:t>
      </w:r>
      <w:r w:rsidRPr="00F5777E">
        <w:rPr>
          <w:rStyle w:val="afb"/>
          <w:rFonts w:hint="cs"/>
          <w:rtl/>
        </w:rPr>
        <w:t xml:space="preserve"> </w:t>
      </w:r>
      <w:r w:rsidRPr="00804252">
        <w:rPr>
          <w:rStyle w:val="aff6"/>
          <w:rFonts w:hint="cs"/>
          <w:rtl/>
        </w:rPr>
        <w:t xml:space="preserve">(עי' אות </w:t>
      </w:r>
      <w:r w:rsidRPr="00804252">
        <w:rPr>
          <w:rStyle w:val="aff6"/>
          <w:rtl/>
        </w:rPr>
        <w:fldChar w:fldCharType="begin"/>
      </w:r>
      <w:r w:rsidRPr="00804252">
        <w:rPr>
          <w:rStyle w:val="aff6"/>
          <w:rtl/>
        </w:rPr>
        <w:instrText xml:space="preserve"> </w:instrText>
      </w:r>
      <w:r w:rsidRPr="00804252">
        <w:rPr>
          <w:rStyle w:val="aff6"/>
          <w:rFonts w:hint="cs"/>
        </w:rPr>
        <w:instrText>REF</w:instrText>
      </w:r>
      <w:r w:rsidRPr="00804252">
        <w:rPr>
          <w:rStyle w:val="aff6"/>
          <w:rFonts w:hint="cs"/>
          <w:rtl/>
        </w:rPr>
        <w:instrText xml:space="preserve"> _</w:instrText>
      </w:r>
      <w:r w:rsidRPr="00804252">
        <w:rPr>
          <w:rStyle w:val="aff6"/>
          <w:rFonts w:hint="cs"/>
        </w:rPr>
        <w:instrText>Ref64190512 \r \h</w:instrText>
      </w:r>
      <w:r w:rsidRPr="00804252">
        <w:rPr>
          <w:rStyle w:val="aff6"/>
          <w:rtl/>
        </w:rPr>
        <w:instrText xml:space="preserve"> </w:instrText>
      </w:r>
      <w:r w:rsidRPr="00804252">
        <w:rPr>
          <w:rStyle w:val="aff6"/>
          <w:rtl/>
        </w:rPr>
      </w:r>
      <w:r w:rsidRPr="00804252">
        <w:rPr>
          <w:rStyle w:val="aff6"/>
          <w:rtl/>
        </w:rPr>
        <w:fldChar w:fldCharType="separate"/>
      </w:r>
      <w:r w:rsidR="00265073">
        <w:rPr>
          <w:rStyle w:val="aff6"/>
          <w:cs/>
        </w:rPr>
        <w:t>‎</w:t>
      </w:r>
      <w:r w:rsidR="00265073">
        <w:rPr>
          <w:rStyle w:val="aff6"/>
          <w:rtl/>
        </w:rPr>
        <w:t>פב)</w:t>
      </w:r>
      <w:r w:rsidRPr="00804252">
        <w:rPr>
          <w:rStyle w:val="aff6"/>
          <w:rtl/>
        </w:rPr>
        <w:fldChar w:fldCharType="end"/>
      </w:r>
      <w:r w:rsidRPr="00F5777E">
        <w:rPr>
          <w:rStyle w:val="afb"/>
          <w:rFonts w:hint="cs"/>
          <w:rtl/>
        </w:rPr>
        <w:t xml:space="preserve"> ודלא </w:t>
      </w:r>
      <w:r w:rsidRPr="00F5777E">
        <w:rPr>
          <w:rStyle w:val="affa"/>
          <w:rFonts w:hint="cs"/>
          <w:rtl/>
        </w:rPr>
        <w:t>כהר"י מגאש</w:t>
      </w:r>
      <w:r w:rsidRPr="00F5777E">
        <w:rPr>
          <w:rStyle w:val="afb"/>
          <w:rFonts w:hint="cs"/>
          <w:rtl/>
        </w:rPr>
        <w:t xml:space="preserve"> </w:t>
      </w:r>
      <w:r w:rsidRPr="00804252">
        <w:rPr>
          <w:rStyle w:val="aff6"/>
          <w:rFonts w:hint="cs"/>
          <w:rtl/>
        </w:rPr>
        <w:t xml:space="preserve">(עי' אות </w:t>
      </w:r>
      <w:r w:rsidRPr="00804252">
        <w:rPr>
          <w:rStyle w:val="aff6"/>
          <w:rtl/>
        </w:rPr>
        <w:fldChar w:fldCharType="begin"/>
      </w:r>
      <w:r w:rsidRPr="00804252">
        <w:rPr>
          <w:rStyle w:val="aff6"/>
          <w:rtl/>
        </w:rPr>
        <w:instrText xml:space="preserve"> </w:instrText>
      </w:r>
      <w:r w:rsidRPr="00804252">
        <w:rPr>
          <w:rStyle w:val="aff6"/>
          <w:rFonts w:hint="cs"/>
        </w:rPr>
        <w:instrText>REF</w:instrText>
      </w:r>
      <w:r w:rsidRPr="00804252">
        <w:rPr>
          <w:rStyle w:val="aff6"/>
          <w:rFonts w:hint="cs"/>
          <w:rtl/>
        </w:rPr>
        <w:instrText xml:space="preserve"> _</w:instrText>
      </w:r>
      <w:r w:rsidRPr="00804252">
        <w:rPr>
          <w:rStyle w:val="aff6"/>
          <w:rFonts w:hint="cs"/>
        </w:rPr>
        <w:instrText>Ref64209187 \r \h</w:instrText>
      </w:r>
      <w:r w:rsidRPr="00804252">
        <w:rPr>
          <w:rStyle w:val="aff6"/>
          <w:rtl/>
        </w:rPr>
        <w:instrText xml:space="preserve"> </w:instrText>
      </w:r>
      <w:r w:rsidRPr="00804252">
        <w:rPr>
          <w:rStyle w:val="aff6"/>
          <w:rtl/>
        </w:rPr>
      </w:r>
      <w:r w:rsidRPr="00804252">
        <w:rPr>
          <w:rStyle w:val="aff6"/>
          <w:rtl/>
        </w:rPr>
        <w:fldChar w:fldCharType="separate"/>
      </w:r>
      <w:r w:rsidR="00265073">
        <w:rPr>
          <w:rStyle w:val="aff6"/>
          <w:cs/>
        </w:rPr>
        <w:t>‎</w:t>
      </w:r>
      <w:r w:rsidR="00265073">
        <w:rPr>
          <w:rStyle w:val="aff6"/>
          <w:rtl/>
        </w:rPr>
        <w:t>פד)</w:t>
      </w:r>
      <w:r w:rsidRPr="00804252">
        <w:rPr>
          <w:rStyle w:val="aff6"/>
          <w:rtl/>
        </w:rPr>
        <w:fldChar w:fldCharType="end"/>
      </w:r>
      <w:r w:rsidRPr="00FE3351">
        <w:rPr>
          <w:rStyle w:val="afb"/>
          <w:rFonts w:hint="cs"/>
          <w:rtl/>
        </w:rPr>
        <w:t>],</w:t>
      </w:r>
      <w:r w:rsidRPr="00F5777E">
        <w:rPr>
          <w:rStyle w:val="afb"/>
          <w:rFonts w:hint="cs"/>
          <w:rtl/>
        </w:rPr>
        <w:t xml:space="preserve"> </w:t>
      </w:r>
      <w:r>
        <w:rPr>
          <w:rFonts w:hint="cs"/>
          <w:rtl/>
        </w:rPr>
        <w:t xml:space="preserve">ואינו יכול להביא את העדים כשהיתומים קטנים, כיון שאין מקבלים עדות שלא בפני בע"ד, כדאיתא בגמ' בב"ק </w:t>
      </w:r>
      <w:r w:rsidRPr="00D262EA">
        <w:rPr>
          <w:rStyle w:val="af7"/>
          <w:rFonts w:eastAsia="Guttman Hodes" w:hint="cs"/>
          <w:rtl/>
        </w:rPr>
        <w:t>(קיב.)</w:t>
      </w:r>
      <w:r>
        <w:rPr>
          <w:rFonts w:hint="cs"/>
          <w:rtl/>
        </w:rPr>
        <w:t xml:space="preserve"> במעשה דחמוה דרבי ירמיה</w:t>
      </w:r>
      <w:r>
        <w:rPr>
          <w:rStyle w:val="af1"/>
          <w:rtl/>
        </w:rPr>
        <w:footnoteReference w:id="107"/>
      </w:r>
      <w:r>
        <w:rPr>
          <w:rFonts w:hint="cs"/>
          <w:rtl/>
        </w:rPr>
        <w:t xml:space="preserve">, וכ"כ </w:t>
      </w:r>
      <w:r w:rsidRPr="00446A43">
        <w:rPr>
          <w:rStyle w:val="af9"/>
          <w:rFonts w:hint="cs"/>
          <w:rtl/>
        </w:rPr>
        <w:t>היד רמ"ה בביאורו הא'</w:t>
      </w:r>
      <w:r>
        <w:rPr>
          <w:rFonts w:hint="cs"/>
          <w:rtl/>
        </w:rPr>
        <w:t xml:space="preserve"> </w:t>
      </w:r>
      <w:r w:rsidRPr="00446A43">
        <w:rPr>
          <w:rStyle w:val="af7"/>
          <w:rFonts w:eastAsia="Guttman Hodes" w:hint="cs"/>
          <w:rtl/>
        </w:rPr>
        <w:t xml:space="preserve">(עי' אות </w:t>
      </w:r>
      <w:r w:rsidRPr="00446A43">
        <w:rPr>
          <w:rStyle w:val="af7"/>
          <w:rFonts w:eastAsia="Guttman Hodes"/>
          <w:rtl/>
        </w:rPr>
        <w:fldChar w:fldCharType="begin"/>
      </w:r>
      <w:r w:rsidRPr="00446A43">
        <w:rPr>
          <w:rStyle w:val="af7"/>
          <w:rFonts w:eastAsia="Guttman Hodes"/>
          <w:rtl/>
        </w:rPr>
        <w:instrText xml:space="preserve"> </w:instrText>
      </w:r>
      <w:r w:rsidRPr="00446A43">
        <w:rPr>
          <w:rStyle w:val="af7"/>
          <w:rFonts w:eastAsia="Guttman Hodes" w:hint="cs"/>
        </w:rPr>
        <w:instrText>REF</w:instrText>
      </w:r>
      <w:r w:rsidRPr="00446A43">
        <w:rPr>
          <w:rStyle w:val="af7"/>
          <w:rFonts w:eastAsia="Guttman Hodes" w:hint="cs"/>
          <w:rtl/>
        </w:rPr>
        <w:instrText xml:space="preserve"> _</w:instrText>
      </w:r>
      <w:r w:rsidRPr="00446A43">
        <w:rPr>
          <w:rStyle w:val="af7"/>
          <w:rFonts w:eastAsia="Guttman Hodes" w:hint="cs"/>
        </w:rPr>
        <w:instrText>Ref64191230 \r \h</w:instrText>
      </w:r>
      <w:r w:rsidRPr="00446A43">
        <w:rPr>
          <w:rStyle w:val="af7"/>
          <w:rFonts w:eastAsia="Guttman Hodes"/>
          <w:rtl/>
        </w:rPr>
        <w:instrText xml:space="preserve"> </w:instrText>
      </w:r>
      <w:r w:rsidRPr="00446A43">
        <w:rPr>
          <w:rStyle w:val="af7"/>
          <w:rFonts w:eastAsia="Guttman Hodes"/>
          <w:rtl/>
        </w:rPr>
      </w:r>
      <w:r w:rsidRPr="00446A43">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446A43">
        <w:rPr>
          <w:rStyle w:val="af7"/>
          <w:rFonts w:eastAsia="Guttman Hodes"/>
          <w:rtl/>
        </w:rPr>
        <w:fldChar w:fldCharType="end"/>
      </w:r>
      <w:r>
        <w:rPr>
          <w:rFonts w:hint="cs"/>
          <w:rtl/>
        </w:rPr>
        <w:t xml:space="preserve">. </w:t>
      </w:r>
      <w:bookmarkEnd w:id="15098"/>
      <w:r w:rsidRPr="003A7CC7">
        <w:rPr>
          <w:rStyle w:val="afb"/>
          <w:rFonts w:hint="cs"/>
          <w:rtl/>
        </w:rPr>
        <w:t xml:space="preserve">[ועי' במ"ש </w:t>
      </w:r>
      <w:r w:rsidRPr="003A7CC7">
        <w:rPr>
          <w:rStyle w:val="affa"/>
          <w:rFonts w:hint="cs"/>
          <w:rtl/>
        </w:rPr>
        <w:t>הרא"ש</w:t>
      </w:r>
      <w:r w:rsidRPr="003A7CC7">
        <w:rPr>
          <w:rStyle w:val="aff6"/>
          <w:rFonts w:hint="cs"/>
          <w:rtl/>
        </w:rPr>
        <w:t xml:space="preserve"> (עי' אות </w:t>
      </w:r>
      <w:r w:rsidRPr="003A7CC7">
        <w:rPr>
          <w:rStyle w:val="aff6"/>
          <w:rtl/>
        </w:rPr>
        <w:fldChar w:fldCharType="begin"/>
      </w:r>
      <w:r w:rsidRPr="003A7CC7">
        <w:rPr>
          <w:rStyle w:val="aff6"/>
          <w:rtl/>
        </w:rPr>
        <w:instrText xml:space="preserve"> </w:instrText>
      </w:r>
      <w:r w:rsidRPr="003A7CC7">
        <w:rPr>
          <w:rStyle w:val="aff6"/>
          <w:rFonts w:hint="cs"/>
        </w:rPr>
        <w:instrText>REF</w:instrText>
      </w:r>
      <w:r w:rsidRPr="003A7CC7">
        <w:rPr>
          <w:rStyle w:val="aff6"/>
          <w:rFonts w:hint="cs"/>
          <w:rtl/>
        </w:rPr>
        <w:instrText xml:space="preserve"> _</w:instrText>
      </w:r>
      <w:r w:rsidRPr="003A7CC7">
        <w:rPr>
          <w:rStyle w:val="aff6"/>
          <w:rFonts w:hint="cs"/>
        </w:rPr>
        <w:instrText>Ref64145039 \r \h</w:instrText>
      </w:r>
      <w:r w:rsidRPr="003A7CC7">
        <w:rPr>
          <w:rStyle w:val="aff6"/>
          <w:rtl/>
        </w:rPr>
        <w:instrText xml:space="preserve"> </w:instrText>
      </w:r>
      <w:r w:rsidRPr="003A7CC7">
        <w:rPr>
          <w:rStyle w:val="aff6"/>
          <w:rtl/>
        </w:rPr>
      </w:r>
      <w:r w:rsidRPr="003A7CC7">
        <w:rPr>
          <w:rStyle w:val="aff6"/>
          <w:rtl/>
        </w:rPr>
        <w:fldChar w:fldCharType="separate"/>
      </w:r>
      <w:r w:rsidR="00265073">
        <w:rPr>
          <w:rStyle w:val="aff6"/>
          <w:cs/>
        </w:rPr>
        <w:t>‎</w:t>
      </w:r>
      <w:r w:rsidR="00265073">
        <w:rPr>
          <w:rStyle w:val="aff6"/>
          <w:rtl/>
        </w:rPr>
        <w:t>קז)</w:t>
      </w:r>
      <w:r w:rsidRPr="003A7CC7">
        <w:rPr>
          <w:rStyle w:val="aff6"/>
          <w:rtl/>
        </w:rPr>
        <w:fldChar w:fldCharType="end"/>
      </w:r>
      <w:r w:rsidRPr="003A7CC7">
        <w:rPr>
          <w:rStyle w:val="aff6"/>
          <w:rFonts w:hint="cs"/>
          <w:rtl/>
        </w:rPr>
        <w:t xml:space="preserve"> </w:t>
      </w:r>
      <w:r w:rsidRPr="003A7CC7">
        <w:rPr>
          <w:rStyle w:val="afb"/>
          <w:rFonts w:hint="cs"/>
          <w:rtl/>
        </w:rPr>
        <w:t>דכל שהחזיק בחיי האב, חשיב מוחזק ויכול להביא עדים אף בפני קטנים].</w:t>
      </w:r>
      <w:bookmarkEnd w:id="15099"/>
    </w:p>
    <w:p w:rsidR="00F4065E" w:rsidRDefault="00F4065E" w:rsidP="00F4065E">
      <w:pPr>
        <w:pStyle w:val="a3"/>
        <w:rPr>
          <w:rtl/>
        </w:rPr>
      </w:pPr>
      <w:bookmarkStart w:id="15100" w:name="_Toc64148133"/>
      <w:bookmarkStart w:id="15101" w:name="_Toc64205739"/>
      <w:bookmarkStart w:id="15102" w:name="_Toc64209419"/>
      <w:r>
        <w:rPr>
          <w:rFonts w:hint="cs"/>
          <w:rtl/>
        </w:rPr>
        <w:t>דברי הרמב"ן דבלא הקול אף שהייתה בחזקת האב אין היתומים יכולים להוציאו מהקרקע</w:t>
      </w:r>
      <w:bookmarkEnd w:id="15100"/>
      <w:bookmarkEnd w:id="15101"/>
      <w:bookmarkEnd w:id="15102"/>
    </w:p>
    <w:p w:rsidR="00F4065E" w:rsidRDefault="00F4065E" w:rsidP="007E4E81">
      <w:pPr>
        <w:pStyle w:val="a0"/>
        <w:rPr>
          <w:rtl/>
        </w:rPr>
      </w:pPr>
      <w:bookmarkStart w:id="15103" w:name="_Ref64146633"/>
      <w:r>
        <w:rPr>
          <w:rFonts w:hint="cs"/>
          <w:rtl/>
        </w:rPr>
        <w:t xml:space="preserve">וכתב </w:t>
      </w:r>
      <w:r w:rsidRPr="00691C13">
        <w:rPr>
          <w:rStyle w:val="af9"/>
          <w:rFonts w:hint="cs"/>
          <w:rtl/>
        </w:rPr>
        <w:t>הרמב"ן</w:t>
      </w:r>
      <w:r>
        <w:rPr>
          <w:rFonts w:hint="cs"/>
          <w:rtl/>
        </w:rPr>
        <w:t xml:space="preserve"> דאם לא היה קול, אף אם יש עדים שהייתה בחזקת אביהם, מ"מ אין היתומים יכולים להוציא את הקרקע מידי רבא בר שרשום כדאיתא בב"ק </w:t>
      </w:r>
      <w:r w:rsidRPr="00220B3F">
        <w:rPr>
          <w:rStyle w:val="af7"/>
          <w:rFonts w:eastAsia="Guttman Hodes" w:hint="cs"/>
          <w:rtl/>
        </w:rPr>
        <w:t>(קיב:)</w:t>
      </w:r>
      <w:r>
        <w:rPr>
          <w:rFonts w:hint="cs"/>
          <w:rtl/>
        </w:rPr>
        <w:t xml:space="preserve"> דתינוק שתקף וירד לשדה חבירו, וטען שהיא שלו, דין ממתינים עד שיגדיל אלא מוציאין ממנו וכשיגדיל יוכל להביא עדים שהיא שלו, ולכן רק כיון שיצא הקול שהקרקע היא שלהם, הוצרך רבא בר שרשום להחזיר להם, ולכשיגדלו אם יביא עדים שהחזיק בקרקע בחיי אביהם, יהיה נאמן על החוב במיגו שהיה טוען לקוחה היא בידי, ועי' במה שהקשה </w:t>
      </w:r>
      <w:r w:rsidRPr="00260A1E">
        <w:rPr>
          <w:rStyle w:val="af9"/>
          <w:rFonts w:hint="cs"/>
          <w:rtl/>
        </w:rPr>
        <w:t>השיטה לא נודע למי בשיטמ"ק</w:t>
      </w:r>
      <w:r w:rsidRPr="00AC1C03">
        <w:rPr>
          <w:rFonts w:hint="cs"/>
          <w:rtl/>
        </w:rPr>
        <w:t xml:space="preserve"> </w:t>
      </w:r>
      <w:r w:rsidRPr="000A2260">
        <w:rPr>
          <w:rStyle w:val="af7"/>
          <w:rFonts w:eastAsia="Guttman Hodes" w:hint="cs"/>
          <w:rtl/>
        </w:rPr>
        <w:t xml:space="preserve">(ד"ה </w:t>
      </w:r>
      <w:r>
        <w:rPr>
          <w:rStyle w:val="af7"/>
          <w:rFonts w:eastAsia="Guttman Hodes" w:hint="cs"/>
          <w:rtl/>
        </w:rPr>
        <w:t>והרמב"ן ז"ל</w:t>
      </w:r>
      <w:r w:rsidRPr="000A2260">
        <w:rPr>
          <w:rStyle w:val="af7"/>
          <w:rFonts w:eastAsia="Guttman Hodes" w:hint="cs"/>
          <w:rtl/>
        </w:rPr>
        <w:t>)</w:t>
      </w:r>
      <w:r>
        <w:rPr>
          <w:rFonts w:hint="cs"/>
          <w:rtl/>
        </w:rPr>
        <w:t xml:space="preserve"> על דברי </w:t>
      </w:r>
      <w:r w:rsidRPr="000A2260">
        <w:rPr>
          <w:rStyle w:val="af9"/>
          <w:rFonts w:hint="cs"/>
          <w:rtl/>
        </w:rPr>
        <w:t>הרמב"ן</w:t>
      </w:r>
      <w:r>
        <w:rPr>
          <w:rFonts w:hint="cs"/>
          <w:rtl/>
        </w:rPr>
        <w:t>.</w:t>
      </w:r>
      <w:bookmarkEnd w:id="15103"/>
    </w:p>
    <w:p w:rsidR="00F4065E" w:rsidRPr="00882F70" w:rsidRDefault="00F4065E" w:rsidP="00F4065E">
      <w:pPr>
        <w:pStyle w:val="1"/>
        <w:rPr>
          <w:rtl/>
        </w:rPr>
      </w:pPr>
      <w:bookmarkStart w:id="15104" w:name="_Toc63675695"/>
      <w:bookmarkStart w:id="15105" w:name="_Toc63703861"/>
      <w:bookmarkStart w:id="15106" w:name="_Toc63714161"/>
      <w:bookmarkStart w:id="15107" w:name="_Toc63854275"/>
      <w:bookmarkStart w:id="15108" w:name="_Toc63942257"/>
      <w:bookmarkStart w:id="15109" w:name="_Toc63975488"/>
      <w:bookmarkStart w:id="15110" w:name="_Toc63986528"/>
      <w:bookmarkStart w:id="15111" w:name="_Toc64024656"/>
      <w:bookmarkStart w:id="15112" w:name="_Toc64036064"/>
      <w:bookmarkStart w:id="15113" w:name="_Toc64148134"/>
      <w:bookmarkStart w:id="15114" w:name="_Toc64205740"/>
      <w:bookmarkStart w:id="15115" w:name="_Toc64209420"/>
      <w:r>
        <w:rPr>
          <w:rFonts w:hint="cs"/>
          <w:rtl/>
        </w:rPr>
        <w:t>דעת הי"מ ברמב"ן דמדינא א"צ להחזיק ורק גברא רבה יחזיר</w:t>
      </w:r>
      <w:bookmarkEnd w:id="15104"/>
      <w:bookmarkEnd w:id="15105"/>
      <w:bookmarkEnd w:id="15106"/>
      <w:bookmarkEnd w:id="15107"/>
      <w:bookmarkEnd w:id="15108"/>
      <w:bookmarkEnd w:id="15109"/>
      <w:bookmarkEnd w:id="15110"/>
      <w:bookmarkEnd w:id="15111"/>
      <w:bookmarkEnd w:id="15112"/>
      <w:bookmarkEnd w:id="15113"/>
      <w:bookmarkEnd w:id="15114"/>
      <w:bookmarkEnd w:id="15115"/>
    </w:p>
    <w:p w:rsidR="00F4065E" w:rsidRDefault="00F4065E" w:rsidP="00F4065E">
      <w:pPr>
        <w:pStyle w:val="a3"/>
        <w:rPr>
          <w:rtl/>
        </w:rPr>
      </w:pPr>
      <w:bookmarkStart w:id="15116" w:name="_Toc64148135"/>
      <w:bookmarkStart w:id="15117" w:name="_Toc64205741"/>
      <w:bookmarkStart w:id="15118" w:name="_Toc64209421"/>
      <w:r>
        <w:rPr>
          <w:rFonts w:hint="cs"/>
          <w:rtl/>
        </w:rPr>
        <w:t>דעת הי"מ ברמב"ן דמדינא לא חייבו אביי להחזיר את הקרקע ונתן לו עיצה טובה שיחזיר</w:t>
      </w:r>
      <w:bookmarkEnd w:id="15116"/>
      <w:bookmarkEnd w:id="15117"/>
      <w:bookmarkEnd w:id="15118"/>
      <w:r>
        <w:rPr>
          <w:rFonts w:hint="cs"/>
          <w:rtl/>
        </w:rPr>
        <w:t xml:space="preserve"> </w:t>
      </w:r>
    </w:p>
    <w:p w:rsidR="00F4065E" w:rsidRDefault="00F4065E" w:rsidP="007E4E81">
      <w:pPr>
        <w:pStyle w:val="a0"/>
        <w:rPr>
          <w:rtl/>
        </w:rPr>
      </w:pPr>
      <w:r>
        <w:rPr>
          <w:rFonts w:hint="cs"/>
          <w:rtl/>
        </w:rPr>
        <w:t xml:space="preserve">עוד הביא </w:t>
      </w:r>
      <w:r w:rsidRPr="00CA4698">
        <w:rPr>
          <w:rStyle w:val="af9"/>
          <w:rFonts w:hint="cs"/>
          <w:rtl/>
        </w:rPr>
        <w:t>הרמב"ן</w:t>
      </w:r>
      <w:r>
        <w:rPr>
          <w:rFonts w:hint="cs"/>
          <w:rtl/>
        </w:rPr>
        <w:t xml:space="preserve"> </w:t>
      </w:r>
      <w:r w:rsidRPr="004D0FB1">
        <w:rPr>
          <w:rStyle w:val="af7"/>
          <w:rFonts w:eastAsia="Guttman Hodes" w:hint="cs"/>
          <w:rtl/>
        </w:rPr>
        <w:t>(ד"ה אמר ליה)</w:t>
      </w:r>
      <w:r>
        <w:rPr>
          <w:rFonts w:hint="cs"/>
          <w:rtl/>
        </w:rPr>
        <w:t xml:space="preserve"> בשם </w:t>
      </w:r>
      <w:r w:rsidRPr="00CA4698">
        <w:rPr>
          <w:rStyle w:val="af9"/>
          <w:rFonts w:hint="cs"/>
          <w:rtl/>
        </w:rPr>
        <w:t>י"מ</w:t>
      </w:r>
      <w:r>
        <w:rPr>
          <w:rFonts w:hint="cs"/>
          <w:rtl/>
        </w:rPr>
        <w:t xml:space="preserve"> דאביי לא אמר לרבא בר שרשום דמדינא הוא חייב להחזיר את הקרקע ליתומים, אלא אמר לו עיצה טובה, דכיון שהוא גברא רבה לא ראוי לו לנהוג כן.</w:t>
      </w:r>
    </w:p>
    <w:p w:rsidR="00F4065E" w:rsidRDefault="00F4065E" w:rsidP="00F4065E">
      <w:pPr>
        <w:pStyle w:val="1"/>
        <w:rPr>
          <w:rtl/>
        </w:rPr>
      </w:pPr>
      <w:bookmarkStart w:id="15119" w:name="_Toc63975490"/>
      <w:bookmarkStart w:id="15120" w:name="_Toc63986530"/>
      <w:bookmarkStart w:id="15121" w:name="_Toc64024658"/>
      <w:bookmarkStart w:id="15122" w:name="_Toc64036066"/>
      <w:bookmarkStart w:id="15123" w:name="_Toc64148136"/>
      <w:bookmarkStart w:id="15124" w:name="_Toc64205742"/>
      <w:bookmarkStart w:id="15125" w:name="_Toc64209422"/>
      <w:bookmarkStart w:id="15126" w:name="_Toc63975445"/>
      <w:bookmarkStart w:id="15127" w:name="_Toc63986462"/>
      <w:bookmarkStart w:id="15128" w:name="_Toc64024571"/>
      <w:bookmarkStart w:id="15129" w:name="_Toc64035966"/>
      <w:r>
        <w:rPr>
          <w:rFonts w:hint="cs"/>
          <w:rtl/>
        </w:rPr>
        <w:t xml:space="preserve">דברי הר"י מגאש </w:t>
      </w:r>
      <w:bookmarkEnd w:id="15119"/>
      <w:bookmarkEnd w:id="15120"/>
      <w:bookmarkEnd w:id="15121"/>
      <w:bookmarkEnd w:id="15122"/>
      <w:bookmarkEnd w:id="15123"/>
      <w:r>
        <w:rPr>
          <w:rFonts w:hint="cs"/>
          <w:rtl/>
        </w:rPr>
        <w:t>דהקול מחזיקם ול"מ חזקת ג"ש בנכסי קטן</w:t>
      </w:r>
      <w:bookmarkEnd w:id="15124"/>
      <w:bookmarkEnd w:id="15125"/>
    </w:p>
    <w:p w:rsidR="00F4065E" w:rsidRPr="00187949" w:rsidRDefault="00F4065E" w:rsidP="00F4065E">
      <w:pPr>
        <w:pStyle w:val="a3"/>
        <w:rPr>
          <w:rtl/>
        </w:rPr>
      </w:pPr>
      <w:bookmarkStart w:id="15130" w:name="_Toc64205743"/>
      <w:bookmarkStart w:id="15131" w:name="_Toc64209423"/>
      <w:r>
        <w:rPr>
          <w:rFonts w:hint="cs"/>
          <w:rtl/>
        </w:rPr>
        <w:t>דברי הר"י מגאש דהחזיק ג"ש רק בחיי היתומים וכיון שיש קול אינו יכול להחזיק בנכסי קטן</w:t>
      </w:r>
      <w:bookmarkEnd w:id="15130"/>
      <w:bookmarkEnd w:id="15131"/>
    </w:p>
    <w:p w:rsidR="00F4065E" w:rsidRPr="00A74EE6" w:rsidRDefault="00F4065E" w:rsidP="007E4E81">
      <w:pPr>
        <w:pStyle w:val="a0"/>
        <w:rPr>
          <w:rStyle w:val="afb"/>
          <w:rtl/>
        </w:rPr>
      </w:pPr>
      <w:bookmarkStart w:id="15132" w:name="_Ref64190848"/>
      <w:bookmarkStart w:id="15133" w:name="_Ref64195271"/>
      <w:r>
        <w:rPr>
          <w:rFonts w:hint="cs"/>
          <w:rtl/>
        </w:rPr>
        <w:t xml:space="preserve">כתב </w:t>
      </w:r>
      <w:r w:rsidRPr="00CA4698">
        <w:rPr>
          <w:rStyle w:val="af9"/>
          <w:rFonts w:hint="cs"/>
          <w:rtl/>
        </w:rPr>
        <w:t>הר"י מגאש</w:t>
      </w:r>
      <w:r>
        <w:rPr>
          <w:rFonts w:hint="cs"/>
          <w:rtl/>
        </w:rPr>
        <w:t xml:space="preserve"> </w:t>
      </w:r>
      <w:r w:rsidRPr="00D262EA">
        <w:rPr>
          <w:rStyle w:val="af7"/>
          <w:rFonts w:eastAsia="Guttman Hodes" w:hint="cs"/>
          <w:rtl/>
        </w:rPr>
        <w:t>(ד"ה אמר ליה [במהדו' ישנה ד"ה רבא])</w:t>
      </w:r>
      <w:r>
        <w:rPr>
          <w:rFonts w:hint="cs"/>
          <w:rtl/>
        </w:rPr>
        <w:t xml:space="preserve"> דרבא בר שרשום לא החזיק ג"ש בחיי האב, </w:t>
      </w:r>
      <w:r w:rsidRPr="00A74EE6">
        <w:rPr>
          <w:rStyle w:val="afb"/>
          <w:rFonts w:hint="cs"/>
          <w:rtl/>
        </w:rPr>
        <w:t xml:space="preserve">[ודלא </w:t>
      </w:r>
      <w:r w:rsidRPr="00A74EE6">
        <w:rPr>
          <w:rStyle w:val="affa"/>
          <w:rFonts w:hint="cs"/>
          <w:rtl/>
        </w:rPr>
        <w:t>כרשב"ם</w:t>
      </w:r>
      <w:r w:rsidRPr="00A74EE6">
        <w:rPr>
          <w:rStyle w:val="afb"/>
          <w:rFonts w:hint="cs"/>
          <w:rtl/>
        </w:rPr>
        <w:t xml:space="preserve"> </w:t>
      </w:r>
      <w:r w:rsidRPr="00A74EE6">
        <w:rPr>
          <w:rStyle w:val="aff6"/>
          <w:rFonts w:hint="cs"/>
          <w:rtl/>
        </w:rPr>
        <w:t xml:space="preserve">(עי' אות </w:t>
      </w:r>
      <w:r w:rsidRPr="00A74EE6">
        <w:rPr>
          <w:rStyle w:val="aff6"/>
          <w:rtl/>
        </w:rPr>
        <w:fldChar w:fldCharType="begin"/>
      </w:r>
      <w:r w:rsidRPr="00A74EE6">
        <w:rPr>
          <w:rStyle w:val="aff6"/>
          <w:rtl/>
        </w:rPr>
        <w:instrText xml:space="preserve"> </w:instrText>
      </w:r>
      <w:r w:rsidRPr="00A74EE6">
        <w:rPr>
          <w:rStyle w:val="aff6"/>
          <w:rFonts w:hint="cs"/>
        </w:rPr>
        <w:instrText>REF</w:instrText>
      </w:r>
      <w:r w:rsidRPr="00A74EE6">
        <w:rPr>
          <w:rStyle w:val="aff6"/>
          <w:rFonts w:hint="cs"/>
          <w:rtl/>
        </w:rPr>
        <w:instrText xml:space="preserve"> _</w:instrText>
      </w:r>
      <w:r w:rsidRPr="00A74EE6">
        <w:rPr>
          <w:rStyle w:val="aff6"/>
          <w:rFonts w:hint="cs"/>
        </w:rPr>
        <w:instrText>Ref63335819 \r \h</w:instrText>
      </w:r>
      <w:r w:rsidRPr="00A74EE6">
        <w:rPr>
          <w:rStyle w:val="aff6"/>
          <w:rtl/>
        </w:rPr>
        <w:instrText xml:space="preserve"> </w:instrText>
      </w:r>
      <w:r w:rsidRPr="00A74EE6">
        <w:rPr>
          <w:rStyle w:val="aff6"/>
          <w:rtl/>
        </w:rPr>
      </w:r>
      <w:r w:rsidRPr="00A74EE6">
        <w:rPr>
          <w:rStyle w:val="aff6"/>
          <w:rtl/>
        </w:rPr>
        <w:fldChar w:fldCharType="separate"/>
      </w:r>
      <w:r w:rsidR="00265073">
        <w:rPr>
          <w:rStyle w:val="aff6"/>
          <w:cs/>
        </w:rPr>
        <w:t>‎</w:t>
      </w:r>
      <w:r w:rsidR="00265073">
        <w:rPr>
          <w:rStyle w:val="aff6"/>
          <w:rtl/>
        </w:rPr>
        <w:t>פב)</w:t>
      </w:r>
      <w:r w:rsidRPr="00A74EE6">
        <w:rPr>
          <w:rStyle w:val="aff6"/>
          <w:rtl/>
        </w:rPr>
        <w:fldChar w:fldCharType="end"/>
      </w:r>
      <w:r w:rsidRPr="00A74EE6">
        <w:rPr>
          <w:rStyle w:val="afb"/>
          <w:rFonts w:hint="cs"/>
          <w:rtl/>
        </w:rPr>
        <w:t>],</w:t>
      </w:r>
      <w:r>
        <w:rPr>
          <w:rFonts w:hint="cs"/>
          <w:rtl/>
        </w:rPr>
        <w:t xml:space="preserve"> דאי היה לו חזקה בחיי האב היה נאמן בטענת לקוחה היא בידי, אלא היה לו </w:t>
      </w:r>
      <w:r w:rsidRPr="00981B6B">
        <w:rPr>
          <w:rFonts w:hint="cs"/>
          <w:rtl/>
        </w:rPr>
        <w:t>חזקה רק לאחר מיתת האב, ולכן כיון שיצא עליו קול שהקרקע של היתומים, אין חזקתו חזקה, דהא אין מחזיקין בנכסי קטן דאינו בר מחאה, והיה ל</w:t>
      </w:r>
      <w:r>
        <w:rPr>
          <w:rFonts w:hint="cs"/>
          <w:rtl/>
        </w:rPr>
        <w:t xml:space="preserve">רבא בר שרשום להזהר בשטרו, </w:t>
      </w:r>
      <w:r w:rsidRPr="00A74EE6">
        <w:rPr>
          <w:rStyle w:val="afb"/>
          <w:rFonts w:hint="cs"/>
          <w:rtl/>
        </w:rPr>
        <w:t>[אם באמת היא לקוחה בידו]</w:t>
      </w:r>
      <w:bookmarkEnd w:id="15132"/>
      <w:r>
        <w:rPr>
          <w:rStyle w:val="afb"/>
          <w:rFonts w:hint="cs"/>
          <w:rtl/>
        </w:rPr>
        <w:t>,</w:t>
      </w:r>
      <w:r w:rsidRPr="005D3604">
        <w:rPr>
          <w:rFonts w:hint="cs"/>
          <w:rtl/>
        </w:rPr>
        <w:t xml:space="preserve"> </w:t>
      </w:r>
      <w:r>
        <w:rPr>
          <w:rFonts w:hint="cs"/>
          <w:rtl/>
        </w:rPr>
        <w:t xml:space="preserve">ולכן א"ל אביי להחזיר את הקרקע ליתומים, ולכשיגדלו יתבע אותם, אך כשהם קטנים אינו יכול לתובעם, כדאיתא בערכין </w:t>
      </w:r>
      <w:r w:rsidRPr="00D262EA">
        <w:rPr>
          <w:rStyle w:val="af7"/>
          <w:rFonts w:eastAsia="Guttman Hodes" w:hint="cs"/>
          <w:rtl/>
        </w:rPr>
        <w:t xml:space="preserve">(כב.) </w:t>
      </w:r>
      <w:r>
        <w:rPr>
          <w:rFonts w:hint="cs"/>
          <w:rtl/>
        </w:rPr>
        <w:t xml:space="preserve">דאין נזקקין לנכסי יתומים, וכתב </w:t>
      </w:r>
      <w:r w:rsidRPr="009C2449">
        <w:rPr>
          <w:rStyle w:val="af9"/>
          <w:rFonts w:hint="cs"/>
          <w:rtl/>
        </w:rPr>
        <w:t>המ"מ</w:t>
      </w:r>
      <w:r>
        <w:rPr>
          <w:rFonts w:hint="cs"/>
          <w:rtl/>
        </w:rPr>
        <w:t xml:space="preserve"> </w:t>
      </w:r>
      <w:r w:rsidRPr="00220B3F">
        <w:rPr>
          <w:rStyle w:val="af7"/>
          <w:rFonts w:eastAsia="Guttman Hodes" w:hint="cs"/>
          <w:rtl/>
        </w:rPr>
        <w:t>(טו"נ פי"ד ה"ח)</w:t>
      </w:r>
      <w:r>
        <w:rPr>
          <w:rFonts w:hint="cs"/>
          <w:rtl/>
        </w:rPr>
        <w:t xml:space="preserve"> דכן מבואר מדברי </w:t>
      </w:r>
      <w:r w:rsidRPr="00067B68">
        <w:rPr>
          <w:rStyle w:val="af9"/>
          <w:rFonts w:hint="cs"/>
          <w:rtl/>
        </w:rPr>
        <w:t xml:space="preserve">הרמב"ם </w:t>
      </w:r>
      <w:r w:rsidRPr="00462ACA">
        <w:rPr>
          <w:rStyle w:val="af7"/>
          <w:rFonts w:eastAsia="Guttman Hodes" w:hint="cs"/>
          <w:rtl/>
        </w:rPr>
        <w:t xml:space="preserve">(עי' אות </w:t>
      </w:r>
      <w:r w:rsidRPr="00462ACA">
        <w:rPr>
          <w:rStyle w:val="af7"/>
          <w:rFonts w:eastAsia="Guttman Hodes"/>
          <w:rtl/>
        </w:rPr>
        <w:fldChar w:fldCharType="begin"/>
      </w:r>
      <w:r w:rsidRPr="00462ACA">
        <w:rPr>
          <w:rStyle w:val="af7"/>
          <w:rFonts w:eastAsia="Guttman Hodes"/>
          <w:rtl/>
        </w:rPr>
        <w:instrText xml:space="preserve"> </w:instrText>
      </w:r>
      <w:r w:rsidRPr="00462ACA">
        <w:rPr>
          <w:rStyle w:val="af7"/>
          <w:rFonts w:eastAsia="Guttman Hodes" w:hint="cs"/>
        </w:rPr>
        <w:instrText>REF</w:instrText>
      </w:r>
      <w:r w:rsidRPr="00462ACA">
        <w:rPr>
          <w:rStyle w:val="af7"/>
          <w:rFonts w:eastAsia="Guttman Hodes" w:hint="cs"/>
          <w:rtl/>
        </w:rPr>
        <w:instrText xml:space="preserve"> _</w:instrText>
      </w:r>
      <w:r w:rsidRPr="00462ACA">
        <w:rPr>
          <w:rStyle w:val="af7"/>
          <w:rFonts w:eastAsia="Guttman Hodes" w:hint="cs"/>
        </w:rPr>
        <w:instrText>Ref63702477 \r \h</w:instrText>
      </w:r>
      <w:r w:rsidRPr="00462ACA">
        <w:rPr>
          <w:rStyle w:val="af7"/>
          <w:rFonts w:eastAsia="Guttman Hodes"/>
          <w:rtl/>
        </w:rPr>
        <w:instrText xml:space="preserve"> </w:instrText>
      </w:r>
      <w:r w:rsidRPr="00462ACA">
        <w:rPr>
          <w:rStyle w:val="af7"/>
          <w:rFonts w:eastAsia="Guttman Hodes"/>
          <w:rtl/>
        </w:rPr>
      </w:r>
      <w:r w:rsidRPr="00462ACA">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462ACA">
        <w:rPr>
          <w:rStyle w:val="af7"/>
          <w:rFonts w:eastAsia="Guttman Hodes"/>
          <w:rtl/>
        </w:rPr>
        <w:fldChar w:fldCharType="end"/>
      </w:r>
      <w:r>
        <w:rPr>
          <w:rFonts w:hint="cs"/>
          <w:rtl/>
        </w:rPr>
        <w:t xml:space="preserve">, ועי' במה שביאר </w:t>
      </w:r>
      <w:r w:rsidRPr="006E326E">
        <w:rPr>
          <w:rStyle w:val="af9"/>
          <w:rFonts w:hint="cs"/>
          <w:rtl/>
        </w:rPr>
        <w:t>בחי' רבי נחום</w:t>
      </w:r>
      <w:r>
        <w:rPr>
          <w:rFonts w:hint="cs"/>
          <w:rtl/>
        </w:rPr>
        <w:t xml:space="preserve"> </w:t>
      </w:r>
      <w:r w:rsidRPr="006E326E">
        <w:rPr>
          <w:rStyle w:val="af7"/>
          <w:rFonts w:eastAsia="Guttman Hodes" w:hint="cs"/>
          <w:rtl/>
        </w:rPr>
        <w:t xml:space="preserve">(עי' אות </w:t>
      </w:r>
      <w:r w:rsidRPr="006E326E">
        <w:rPr>
          <w:rStyle w:val="af7"/>
          <w:rFonts w:eastAsia="Guttman Hodes"/>
          <w:rtl/>
        </w:rPr>
        <w:fldChar w:fldCharType="begin"/>
      </w:r>
      <w:r w:rsidRPr="006E326E">
        <w:rPr>
          <w:rStyle w:val="af7"/>
          <w:rFonts w:eastAsia="Guttman Hodes"/>
          <w:rtl/>
        </w:rPr>
        <w:instrText xml:space="preserve"> </w:instrText>
      </w:r>
      <w:r w:rsidRPr="006E326E">
        <w:rPr>
          <w:rStyle w:val="af7"/>
          <w:rFonts w:eastAsia="Guttman Hodes" w:hint="cs"/>
        </w:rPr>
        <w:instrText>REF</w:instrText>
      </w:r>
      <w:r w:rsidRPr="006E326E">
        <w:rPr>
          <w:rStyle w:val="af7"/>
          <w:rFonts w:eastAsia="Guttman Hodes" w:hint="cs"/>
          <w:rtl/>
        </w:rPr>
        <w:instrText xml:space="preserve"> _</w:instrText>
      </w:r>
      <w:r w:rsidRPr="006E326E">
        <w:rPr>
          <w:rStyle w:val="af7"/>
          <w:rFonts w:eastAsia="Guttman Hodes" w:hint="cs"/>
        </w:rPr>
        <w:instrText>Ref64200444 \r \h</w:instrText>
      </w:r>
      <w:r w:rsidRPr="006E326E">
        <w:rPr>
          <w:rStyle w:val="af7"/>
          <w:rFonts w:eastAsia="Guttman Hodes"/>
          <w:rtl/>
        </w:rPr>
        <w:instrText xml:space="preserve"> </w:instrText>
      </w:r>
      <w:r w:rsidRPr="006E326E">
        <w:rPr>
          <w:rStyle w:val="af7"/>
          <w:rFonts w:eastAsia="Guttman Hodes"/>
          <w:rtl/>
        </w:rPr>
      </w:r>
      <w:r w:rsidRPr="006E326E">
        <w:rPr>
          <w:rStyle w:val="af7"/>
          <w:rFonts w:eastAsia="Guttman Hodes"/>
          <w:rtl/>
        </w:rPr>
        <w:fldChar w:fldCharType="separate"/>
      </w:r>
      <w:r w:rsidR="00265073">
        <w:rPr>
          <w:rStyle w:val="af7"/>
          <w:rFonts w:eastAsia="Guttman Hodes"/>
          <w:cs/>
        </w:rPr>
        <w:t>‎</w:t>
      </w:r>
      <w:r w:rsidR="00265073">
        <w:rPr>
          <w:rStyle w:val="af7"/>
          <w:rFonts w:eastAsia="Guttman Hodes"/>
          <w:rtl/>
        </w:rPr>
        <w:t>קלא)</w:t>
      </w:r>
      <w:r w:rsidRPr="006E326E">
        <w:rPr>
          <w:rStyle w:val="af7"/>
          <w:rFonts w:eastAsia="Guttman Hodes"/>
          <w:rtl/>
        </w:rPr>
        <w:fldChar w:fldCharType="end"/>
      </w:r>
      <w:r>
        <w:rPr>
          <w:rFonts w:hint="cs"/>
          <w:rtl/>
        </w:rPr>
        <w:t xml:space="preserve"> בדעת </w:t>
      </w:r>
      <w:r>
        <w:rPr>
          <w:rStyle w:val="af9"/>
          <w:rFonts w:hint="cs"/>
          <w:rtl/>
        </w:rPr>
        <w:t>הר"י מגאש</w:t>
      </w:r>
      <w:r>
        <w:rPr>
          <w:rFonts w:hint="cs"/>
          <w:rtl/>
        </w:rPr>
        <w:t>.</w:t>
      </w:r>
      <w:bookmarkEnd w:id="15133"/>
    </w:p>
    <w:p w:rsidR="00F4065E" w:rsidRPr="005655AC" w:rsidRDefault="00F4065E" w:rsidP="00F4065E">
      <w:pPr>
        <w:pStyle w:val="a3"/>
      </w:pPr>
      <w:bookmarkStart w:id="15134" w:name="_Toc64148137"/>
      <w:bookmarkStart w:id="15135" w:name="_Toc64205744"/>
      <w:bookmarkStart w:id="15136" w:name="_Toc64209424"/>
      <w:bookmarkEnd w:id="15126"/>
      <w:bookmarkEnd w:id="15127"/>
      <w:bookmarkEnd w:id="15128"/>
      <w:bookmarkEnd w:id="15129"/>
      <w:r>
        <w:rPr>
          <w:rFonts w:hint="cs"/>
          <w:rtl/>
        </w:rPr>
        <w:t>ביאור הגר"א בר"י מגאש דע"י הקול חשיב שיש עדים שהקרקע של האב ול"מ חזקה בנכסי קטן</w:t>
      </w:r>
      <w:bookmarkEnd w:id="15134"/>
      <w:bookmarkEnd w:id="15135"/>
      <w:bookmarkEnd w:id="15136"/>
    </w:p>
    <w:p w:rsidR="00F4065E" w:rsidRDefault="00F4065E" w:rsidP="007E4E81">
      <w:pPr>
        <w:pStyle w:val="a0"/>
        <w:rPr>
          <w:rtl/>
        </w:rPr>
      </w:pPr>
      <w:bookmarkStart w:id="15137" w:name="_Ref64190368"/>
      <w:r>
        <w:rPr>
          <w:rFonts w:hint="cs"/>
          <w:rtl/>
        </w:rPr>
        <w:t xml:space="preserve">וביאר </w:t>
      </w:r>
      <w:r w:rsidRPr="00FB73BA">
        <w:rPr>
          <w:rStyle w:val="af9"/>
          <w:rFonts w:hint="cs"/>
          <w:rtl/>
        </w:rPr>
        <w:t>הגר"א</w:t>
      </w:r>
      <w:r>
        <w:rPr>
          <w:rFonts w:hint="cs"/>
          <w:rtl/>
        </w:rPr>
        <w:t xml:space="preserve"> </w:t>
      </w:r>
      <w:r w:rsidRPr="00292E95">
        <w:rPr>
          <w:rStyle w:val="af7"/>
          <w:rFonts w:eastAsia="Guttman Hodes" w:hint="cs"/>
          <w:rtl/>
        </w:rPr>
        <w:t>(סי' קמ"ט סקל"ה)</w:t>
      </w:r>
      <w:r>
        <w:rPr>
          <w:rFonts w:hint="cs"/>
          <w:rtl/>
        </w:rPr>
        <w:t xml:space="preserve"> את דברי </w:t>
      </w:r>
      <w:r w:rsidRPr="00FB73BA">
        <w:rPr>
          <w:rStyle w:val="af9"/>
          <w:rFonts w:hint="cs"/>
          <w:rtl/>
        </w:rPr>
        <w:t>הר"י מגאש</w:t>
      </w:r>
      <w:r>
        <w:rPr>
          <w:rFonts w:hint="cs"/>
          <w:rtl/>
        </w:rPr>
        <w:t xml:space="preserve"> דכל שיש קול חשיב שיש עדים שהייתה של אביהם של היתומים, וא"כ ידוע שהקרקע הייתה שלהם, ולכן א"א להחזיק בנכסי קטן, וכן ביאר </w:t>
      </w:r>
      <w:r w:rsidRPr="009C2449">
        <w:rPr>
          <w:rStyle w:val="af9"/>
          <w:rFonts w:hint="cs"/>
          <w:rtl/>
        </w:rPr>
        <w:t>הראב"ד</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Ref63960634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Pr>
          <w:rStyle w:val="af7"/>
          <w:rFonts w:eastAsia="Guttman Hodes"/>
          <w:rtl/>
        </w:rPr>
        <w:fldChar w:fldCharType="end"/>
      </w:r>
      <w:r>
        <w:rPr>
          <w:rStyle w:val="af7"/>
          <w:rFonts w:eastAsia="Guttman Hodes" w:hint="cs"/>
          <w:rtl/>
        </w:rPr>
        <w:t xml:space="preserve"> </w:t>
      </w:r>
      <w:r w:rsidRPr="00754329">
        <w:rPr>
          <w:rStyle w:val="af7"/>
          <w:rFonts w:eastAsia="Guttman Hodes" w:hint="cs"/>
          <w:rtl/>
        </w:rPr>
        <w:t xml:space="preserve"> </w:t>
      </w:r>
      <w:r>
        <w:rPr>
          <w:rFonts w:hint="cs"/>
          <w:rtl/>
        </w:rPr>
        <w:t>בדברי</w:t>
      </w:r>
      <w:r w:rsidRPr="009C2449">
        <w:rPr>
          <w:rStyle w:val="af9"/>
          <w:rFonts w:hint="cs"/>
          <w:rtl/>
        </w:rPr>
        <w:t xml:space="preserve"> הרמב"ם</w:t>
      </w:r>
      <w:r>
        <w:rPr>
          <w:rFonts w:hint="cs"/>
          <w:rtl/>
        </w:rPr>
        <w:t xml:space="preserve"> </w:t>
      </w:r>
      <w:r w:rsidRPr="00754329">
        <w:rPr>
          <w:rStyle w:val="af7"/>
          <w:rFonts w:eastAsia="Guttman Hodes" w:hint="cs"/>
          <w:rtl/>
        </w:rPr>
        <w:t xml:space="preserve">(עי'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Ref63702477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754329">
        <w:rPr>
          <w:rStyle w:val="af7"/>
          <w:rFonts w:eastAsia="Guttman Hodes"/>
          <w:rtl/>
        </w:rPr>
        <w:fldChar w:fldCharType="end"/>
      </w:r>
      <w:r>
        <w:rPr>
          <w:rFonts w:hint="cs"/>
          <w:rtl/>
        </w:rPr>
        <w:t xml:space="preserve"> דלא היו עדים שהקרקע הייתה של אביהם של היתומים, ועי' במ"ש </w:t>
      </w:r>
      <w:r w:rsidRPr="00E5060C">
        <w:rPr>
          <w:rStyle w:val="af9"/>
          <w:rFonts w:hint="cs"/>
          <w:rtl/>
        </w:rPr>
        <w:t>הש"ך</w:t>
      </w:r>
      <w:r>
        <w:rPr>
          <w:rFonts w:hint="cs"/>
          <w:rtl/>
        </w:rPr>
        <w:t xml:space="preserve"> </w:t>
      </w:r>
      <w:r w:rsidRPr="00E5060C">
        <w:rPr>
          <w:rStyle w:val="af7"/>
          <w:rFonts w:eastAsia="Guttman Hodes" w:hint="cs"/>
          <w:rtl/>
        </w:rPr>
        <w:t xml:space="preserve">(עי' אות </w:t>
      </w:r>
      <w:r w:rsidRPr="00E5060C">
        <w:rPr>
          <w:rStyle w:val="af7"/>
          <w:rFonts w:eastAsia="Guttman Hodes"/>
          <w:rtl/>
        </w:rPr>
        <w:fldChar w:fldCharType="begin"/>
      </w:r>
      <w:r w:rsidRPr="00E5060C">
        <w:rPr>
          <w:rStyle w:val="af7"/>
          <w:rFonts w:eastAsia="Guttman Hodes"/>
          <w:rtl/>
        </w:rPr>
        <w:instrText xml:space="preserve"> </w:instrText>
      </w:r>
      <w:r w:rsidRPr="00E5060C">
        <w:rPr>
          <w:rStyle w:val="af7"/>
          <w:rFonts w:eastAsia="Guttman Hodes" w:hint="cs"/>
        </w:rPr>
        <w:instrText>REF</w:instrText>
      </w:r>
      <w:r w:rsidRPr="00E5060C">
        <w:rPr>
          <w:rStyle w:val="af7"/>
          <w:rFonts w:eastAsia="Guttman Hodes" w:hint="cs"/>
          <w:rtl/>
        </w:rPr>
        <w:instrText xml:space="preserve"> _</w:instrText>
      </w:r>
      <w:r w:rsidRPr="00E5060C">
        <w:rPr>
          <w:rStyle w:val="af7"/>
          <w:rFonts w:eastAsia="Guttman Hodes" w:hint="cs"/>
        </w:rPr>
        <w:instrText>Ref63972988 \r \h</w:instrText>
      </w:r>
      <w:r w:rsidRPr="00E5060C">
        <w:rPr>
          <w:rStyle w:val="af7"/>
          <w:rFonts w:eastAsia="Guttman Hodes"/>
          <w:rtl/>
        </w:rPr>
        <w:instrText xml:space="preserve"> </w:instrText>
      </w:r>
      <w:r w:rsidRPr="00E5060C">
        <w:rPr>
          <w:rStyle w:val="af7"/>
          <w:rFonts w:eastAsia="Guttman Hodes"/>
          <w:rtl/>
        </w:rPr>
      </w:r>
      <w:r w:rsidRPr="00E5060C">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E5060C">
        <w:rPr>
          <w:rStyle w:val="af7"/>
          <w:rFonts w:eastAsia="Guttman Hodes"/>
          <w:rtl/>
        </w:rPr>
        <w:fldChar w:fldCharType="end"/>
      </w:r>
      <w:r w:rsidRPr="00D24BF7">
        <w:rPr>
          <w:rtl/>
        </w:rPr>
        <w:t xml:space="preserve"> </w:t>
      </w:r>
      <w:r>
        <w:rPr>
          <w:rtl/>
        </w:rPr>
        <w:t>ו</w:t>
      </w:r>
      <w:r>
        <w:rPr>
          <w:rFonts w:hint="cs"/>
          <w:rtl/>
        </w:rPr>
        <w:t xml:space="preserve">במה שביאר בדברי </w:t>
      </w:r>
      <w:r>
        <w:rPr>
          <w:rStyle w:val="af9"/>
          <w:rtl/>
        </w:rPr>
        <w:t>בחי'</w:t>
      </w:r>
      <w:r>
        <w:rPr>
          <w:rtl/>
        </w:rPr>
        <w:t xml:space="preserve"> </w:t>
      </w:r>
      <w:r>
        <w:rPr>
          <w:rStyle w:val="af9"/>
          <w:rtl/>
        </w:rPr>
        <w:t>רבי</w:t>
      </w:r>
      <w:r>
        <w:rPr>
          <w:rtl/>
        </w:rPr>
        <w:t xml:space="preserve"> </w:t>
      </w:r>
      <w:r>
        <w:rPr>
          <w:rStyle w:val="af9"/>
          <w:rtl/>
        </w:rPr>
        <w:t>נחום</w:t>
      </w:r>
      <w:r>
        <w:rPr>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Ref64141007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קלג</w:t>
      </w:r>
      <w:r w:rsidR="00265073">
        <w:rPr>
          <w:rStyle w:val="af7"/>
          <w:rFonts w:eastAsia="Guttman Hodes"/>
          <w:rtl/>
        </w:rPr>
        <w:t>)</w:t>
      </w:r>
      <w:r>
        <w:rPr>
          <w:rStyle w:val="af7"/>
          <w:rFonts w:eastAsia="Guttman Hodes" w:hint="cs"/>
          <w:rtl/>
        </w:rPr>
        <w:fldChar w:fldCharType="end"/>
      </w:r>
      <w:bookmarkEnd w:id="15137"/>
      <w:r w:rsidRPr="00D24BF7">
        <w:rPr>
          <w:rtl/>
        </w:rPr>
        <w:t xml:space="preserve"> </w:t>
      </w:r>
      <w:r w:rsidRPr="00D24BF7">
        <w:rPr>
          <w:rStyle w:val="af9"/>
          <w:rFonts w:hint="cs"/>
          <w:rtl/>
        </w:rPr>
        <w:t>הגר"א</w:t>
      </w:r>
      <w:r>
        <w:rPr>
          <w:rFonts w:hint="cs"/>
          <w:rtl/>
        </w:rPr>
        <w:t>.</w:t>
      </w:r>
    </w:p>
    <w:p w:rsidR="00F4065E" w:rsidRPr="00E64A5F" w:rsidRDefault="00F4065E" w:rsidP="00F4065E">
      <w:pPr>
        <w:pStyle w:val="a3"/>
        <w:rPr>
          <w:rtl/>
        </w:rPr>
      </w:pPr>
      <w:bookmarkStart w:id="15138" w:name="_Toc64205745"/>
      <w:bookmarkStart w:id="15139" w:name="_Toc64209425"/>
      <w:r>
        <w:rPr>
          <w:rFonts w:hint="cs"/>
          <w:rtl/>
        </w:rPr>
        <w:t>ביאור הרמב"ן בר"י מגאש דכיון שאין לו מיגו יחזיר דחיישינן לצררי דנאמנותו רק ע"י שטר</w:t>
      </w:r>
      <w:bookmarkEnd w:id="15138"/>
      <w:bookmarkEnd w:id="15139"/>
    </w:p>
    <w:p w:rsidR="00F4065E" w:rsidRDefault="00F4065E" w:rsidP="007E4E81">
      <w:pPr>
        <w:pStyle w:val="a0"/>
        <w:rPr>
          <w:rtl/>
        </w:rPr>
      </w:pPr>
      <w:bookmarkStart w:id="15140" w:name="_Ref63676244"/>
      <w:r>
        <w:rPr>
          <w:rFonts w:hint="cs"/>
          <w:rtl/>
        </w:rPr>
        <w:t xml:space="preserve">והוסיף </w:t>
      </w:r>
      <w:r w:rsidRPr="00691C13">
        <w:rPr>
          <w:rStyle w:val="af9"/>
          <w:rFonts w:hint="cs"/>
          <w:rtl/>
        </w:rPr>
        <w:t>הרמב"ן</w:t>
      </w:r>
      <w:r>
        <w:rPr>
          <w:rFonts w:hint="cs"/>
          <w:rtl/>
        </w:rPr>
        <w:t xml:space="preserve"> </w:t>
      </w:r>
      <w:r w:rsidRPr="00D262EA">
        <w:rPr>
          <w:rStyle w:val="af7"/>
          <w:rFonts w:eastAsia="Guttman Hodes" w:hint="cs"/>
          <w:rtl/>
        </w:rPr>
        <w:t>(ד"ה ונראה</w:t>
      </w:r>
      <w:r w:rsidRPr="007515E5">
        <w:rPr>
          <w:rStyle w:val="af7"/>
          <w:rFonts w:eastAsia="Guttman Hodes" w:hint="cs"/>
          <w:rtl/>
        </w:rPr>
        <w:t>, הועתק במהדו' חדשה בר"י מגאש מתוך דברי הרמב"ן</w:t>
      </w:r>
      <w:r w:rsidRPr="00D262EA">
        <w:rPr>
          <w:rStyle w:val="af7"/>
          <w:rFonts w:eastAsia="Guttman Hodes" w:hint="cs"/>
          <w:rtl/>
        </w:rPr>
        <w:t>)</w:t>
      </w:r>
      <w:r>
        <w:rPr>
          <w:rFonts w:hint="cs"/>
          <w:rtl/>
        </w:rPr>
        <w:t xml:space="preserve"> בשם </w:t>
      </w:r>
      <w:r w:rsidRPr="00691C13">
        <w:rPr>
          <w:rStyle w:val="af9"/>
          <w:rFonts w:hint="cs"/>
          <w:rtl/>
        </w:rPr>
        <w:t>הר"י מגאש</w:t>
      </w:r>
      <w:r>
        <w:rPr>
          <w:rFonts w:hint="cs"/>
          <w:rtl/>
        </w:rPr>
        <w:t xml:space="preserve"> דכיון שאינו נאמן לכן הוא צריך להחזיר את הקרקע ליתומים, דהא הקרקע היא בחזקתם, ויוכל לתבוע מהם את החוב שבשטר רק לאחר שיגדלו, דחיישינן לצררי או לשובר, </w:t>
      </w:r>
      <w:r w:rsidRPr="00A74EE6">
        <w:rPr>
          <w:rStyle w:val="afb"/>
          <w:rFonts w:hint="cs"/>
          <w:rtl/>
        </w:rPr>
        <w:t xml:space="preserve">[עי' בדברי </w:t>
      </w:r>
      <w:r w:rsidRPr="00A74EE6">
        <w:rPr>
          <w:rStyle w:val="affa"/>
          <w:rFonts w:hint="cs"/>
          <w:rtl/>
        </w:rPr>
        <w:t>התוס' והרא"ש</w:t>
      </w:r>
      <w:r w:rsidRPr="00A74EE6">
        <w:rPr>
          <w:rStyle w:val="afb"/>
          <w:rFonts w:hint="cs"/>
          <w:rtl/>
        </w:rPr>
        <w:t xml:space="preserve"> </w:t>
      </w:r>
      <w:r w:rsidRPr="00A74EE6">
        <w:rPr>
          <w:rStyle w:val="aff6"/>
          <w:rFonts w:hint="cs"/>
          <w:rtl/>
        </w:rPr>
        <w:t>(עי'</w:t>
      </w:r>
      <w:r>
        <w:rPr>
          <w:rStyle w:val="aff6"/>
          <w:rFonts w:hint="cs"/>
          <w:rtl/>
        </w:rPr>
        <w:t xml:space="preserve"> הערה</w:t>
      </w:r>
      <w:r w:rsidRPr="00E572D0">
        <w:rPr>
          <w:vertAlign w:val="superscript"/>
          <w:rtl/>
        </w:rPr>
        <w:fldChar w:fldCharType="begin"/>
      </w:r>
      <w:r w:rsidRPr="00E572D0">
        <w:rPr>
          <w:vertAlign w:val="superscript"/>
          <w:rtl/>
        </w:rPr>
        <w:instrText xml:space="preserve"> </w:instrText>
      </w:r>
      <w:r w:rsidRPr="00E572D0">
        <w:rPr>
          <w:rFonts w:hint="cs"/>
          <w:vertAlign w:val="superscript"/>
        </w:rPr>
        <w:instrText>NOTEREF</w:instrText>
      </w:r>
      <w:r w:rsidRPr="00E572D0">
        <w:rPr>
          <w:rFonts w:hint="cs"/>
          <w:vertAlign w:val="superscript"/>
          <w:rtl/>
        </w:rPr>
        <w:instrText xml:space="preserve"> _</w:instrText>
      </w:r>
      <w:r w:rsidRPr="00E572D0">
        <w:rPr>
          <w:rFonts w:hint="cs"/>
          <w:vertAlign w:val="superscript"/>
        </w:rPr>
        <w:instrText>Ref63871654 \h</w:instrText>
      </w:r>
      <w:r w:rsidRPr="00E572D0">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E572D0">
        <w:rPr>
          <w:vertAlign w:val="superscript"/>
          <w:rtl/>
        </w:rPr>
      </w:r>
      <w:r w:rsidRPr="00E572D0">
        <w:rPr>
          <w:vertAlign w:val="superscript"/>
          <w:rtl/>
        </w:rPr>
        <w:fldChar w:fldCharType="separate"/>
      </w:r>
      <w:r w:rsidR="00265073">
        <w:rPr>
          <w:vertAlign w:val="superscript"/>
          <w:rtl/>
        </w:rPr>
        <w:t>102</w:t>
      </w:r>
      <w:r w:rsidRPr="00E572D0">
        <w:rPr>
          <w:vertAlign w:val="superscript"/>
          <w:rtl/>
        </w:rPr>
        <w:fldChar w:fldCharType="end"/>
      </w:r>
      <w:r>
        <w:rPr>
          <w:rStyle w:val="aff6"/>
          <w:rFonts w:hint="cs"/>
          <w:rtl/>
        </w:rPr>
        <w:t>)</w:t>
      </w:r>
      <w:r w:rsidRPr="00A74EE6">
        <w:rPr>
          <w:rStyle w:val="afb"/>
          <w:rFonts w:hint="cs"/>
          <w:rtl/>
        </w:rPr>
        <w:t>],</w:t>
      </w:r>
      <w:r>
        <w:rPr>
          <w:rFonts w:hint="cs"/>
          <w:rtl/>
        </w:rPr>
        <w:t xml:space="preserve"> כיון שאין לו כל נאמנות של מיגו, ויש לו רק את הראיה של השטר.</w:t>
      </w:r>
      <w:r w:rsidRPr="0025494F">
        <w:rPr>
          <w:rStyle w:val="afb"/>
          <w:rFonts w:hint="cs"/>
          <w:rtl/>
        </w:rPr>
        <w:t xml:space="preserve"> [</w:t>
      </w:r>
      <w:r>
        <w:rPr>
          <w:rStyle w:val="afb"/>
          <w:rFonts w:hint="cs"/>
          <w:rtl/>
        </w:rPr>
        <w:t xml:space="preserve">דאף שיש לו שטר, מ"מ כיון שאין לו מיגו, אינו נאמן </w:t>
      </w:r>
      <w:r w:rsidRPr="0025494F">
        <w:rPr>
          <w:rStyle w:val="afb"/>
          <w:rFonts w:hint="cs"/>
          <w:rtl/>
        </w:rPr>
        <w:t>דלא התפיסו צררי או פרע לו]</w:t>
      </w:r>
      <w:r>
        <w:rPr>
          <w:rStyle w:val="afb"/>
          <w:rFonts w:hint="cs"/>
          <w:rtl/>
        </w:rPr>
        <w:t>.</w:t>
      </w:r>
      <w:bookmarkEnd w:id="15140"/>
    </w:p>
    <w:p w:rsidR="00F4065E" w:rsidRPr="008C59D1" w:rsidRDefault="00F4065E" w:rsidP="00F4065E">
      <w:pPr>
        <w:pStyle w:val="a3"/>
        <w:rPr>
          <w:rtl/>
        </w:rPr>
      </w:pPr>
      <w:bookmarkStart w:id="15141" w:name="_Toc64205746"/>
      <w:bookmarkStart w:id="15142" w:name="_Toc64209426"/>
      <w:r>
        <w:rPr>
          <w:rFonts w:hint="cs"/>
          <w:rtl/>
        </w:rPr>
        <w:lastRenderedPageBreak/>
        <w:t>דברי הר"י מגאש דלולי הקול אף שהודה דהיא שלהם נאמן מדין הפה שאסר אף שהם קטנים</w:t>
      </w:r>
      <w:bookmarkEnd w:id="15141"/>
      <w:bookmarkEnd w:id="15142"/>
    </w:p>
    <w:p w:rsidR="00F4065E" w:rsidRDefault="00F4065E" w:rsidP="007E4E81">
      <w:pPr>
        <w:pStyle w:val="a0"/>
        <w:rPr>
          <w:rtl/>
        </w:rPr>
      </w:pPr>
      <w:r>
        <w:rPr>
          <w:rFonts w:hint="cs"/>
          <w:rtl/>
        </w:rPr>
        <w:t xml:space="preserve">וביאר </w:t>
      </w:r>
      <w:r w:rsidRPr="00691C13">
        <w:rPr>
          <w:rStyle w:val="af9"/>
          <w:rFonts w:hint="cs"/>
          <w:rtl/>
        </w:rPr>
        <w:t>הר"י מגאש</w:t>
      </w:r>
      <w:r>
        <w:rPr>
          <w:rFonts w:hint="cs"/>
          <w:rtl/>
        </w:rPr>
        <w:t xml:space="preserve"> </w:t>
      </w:r>
      <w:r w:rsidRPr="00D262EA">
        <w:rPr>
          <w:rStyle w:val="af7"/>
          <w:rFonts w:eastAsia="Guttman Hodes" w:hint="cs"/>
          <w:rtl/>
        </w:rPr>
        <w:t>(ד"ה והאי)</w:t>
      </w:r>
      <w:r>
        <w:rPr>
          <w:rFonts w:hint="cs"/>
          <w:rtl/>
        </w:rPr>
        <w:t xml:space="preserve"> דהא דאינו נאמן בטענת לקוחה היא בידי, הוא רק כיון שיצא עליו קול שהקרקע של היתומים, דאם לא היה יוצא קול, ורק רבא בר שרשום היה מודה שהקרקע היא של היתומים, היה נאמן בטענת לקוחה היא בידי, דכ"מ דאין מחזיקין בנכסי קטן, הוא רק כשידוע שהקרקע היא של האב, והמחזיק טוען לקוחה היא בידי, אבל במקום שלא ידוע שהקרקע של האב, ורק המחזיק מודה שהייתה של האב, וטוען שקנה ממנו דנאמן במיגו דהיה יכול לומר שהקרקע היא שלו, ולא הייתה של האב מעולם, ולכן הוא נאמן אף שאין לו חזקת ג"ש בחיי האב מדין הפה שאסר</w:t>
      </w:r>
      <w:bookmarkStart w:id="15143" w:name="_Ref63934395"/>
      <w:r>
        <w:rPr>
          <w:rFonts w:hint="cs"/>
          <w:rtl/>
        </w:rPr>
        <w:t xml:space="preserve">, וביאר </w:t>
      </w:r>
      <w:r w:rsidRPr="00C82E04">
        <w:rPr>
          <w:rStyle w:val="af9"/>
          <w:rFonts w:hint="cs"/>
          <w:rtl/>
        </w:rPr>
        <w:t>המאירי</w:t>
      </w:r>
      <w:r>
        <w:rPr>
          <w:rFonts w:hint="cs"/>
          <w:rtl/>
        </w:rPr>
        <w:t xml:space="preserve"> </w:t>
      </w:r>
      <w:r w:rsidRPr="00C82E04">
        <w:rPr>
          <w:rStyle w:val="af7"/>
          <w:rFonts w:eastAsia="Guttman Hodes" w:hint="cs"/>
          <w:rtl/>
        </w:rPr>
        <w:t>(ד"ה מקצת)</w:t>
      </w:r>
      <w:r>
        <w:rPr>
          <w:rFonts w:hint="cs"/>
          <w:rtl/>
        </w:rPr>
        <w:t xml:space="preserve"> את דברי </w:t>
      </w:r>
      <w:r w:rsidRPr="00C82E04">
        <w:rPr>
          <w:rStyle w:val="af9"/>
          <w:rFonts w:hint="cs"/>
          <w:rtl/>
        </w:rPr>
        <w:t>הר"י מגאש [מקצת גאוני ספרד]</w:t>
      </w:r>
      <w:r>
        <w:rPr>
          <w:rFonts w:hint="cs"/>
          <w:rtl/>
        </w:rPr>
        <w:t xml:space="preserve"> דרבא בר שרשום סבר דמהני לו החזקה שהחזיק בפני היתומים, ועי' במ"ש </w:t>
      </w:r>
      <w:r w:rsidRPr="00C82E04">
        <w:rPr>
          <w:rStyle w:val="af9"/>
          <w:rFonts w:hint="cs"/>
          <w:rtl/>
        </w:rPr>
        <w:t>בחי' רבי נחום</w:t>
      </w:r>
      <w:r>
        <w:rPr>
          <w:rFonts w:hint="cs"/>
          <w:rtl/>
        </w:rPr>
        <w:t xml:space="preserve"> </w:t>
      </w:r>
      <w:r w:rsidRPr="00C82E04">
        <w:rPr>
          <w:rStyle w:val="af7"/>
          <w:rFonts w:eastAsia="Guttman Hodes" w:hint="cs"/>
          <w:rtl/>
        </w:rPr>
        <w:t>(עי' הערה</w:t>
      </w:r>
      <w:r>
        <w:rPr>
          <w:rStyle w:val="af1"/>
          <w:rtl/>
        </w:rPr>
        <w:footnoteReference w:id="108"/>
      </w:r>
      <w:bookmarkEnd w:id="15143"/>
      <w:r w:rsidRPr="00C82E04">
        <w:rPr>
          <w:rStyle w:val="af7"/>
          <w:rFonts w:eastAsia="Guttman Hodes" w:hint="cs"/>
          <w:rtl/>
        </w:rPr>
        <w:t>)</w:t>
      </w:r>
      <w:r>
        <w:rPr>
          <w:rFonts w:hint="cs"/>
          <w:rtl/>
        </w:rPr>
        <w:t>.</w:t>
      </w:r>
    </w:p>
    <w:p w:rsidR="00F4065E" w:rsidRPr="006936A4" w:rsidRDefault="00F4065E" w:rsidP="00F4065E">
      <w:pPr>
        <w:pStyle w:val="afe"/>
        <w:rPr>
          <w:rtl/>
        </w:rPr>
      </w:pPr>
      <w:bookmarkStart w:id="15144" w:name="_Toc64148138"/>
      <w:bookmarkStart w:id="15145" w:name="_Toc64205747"/>
      <w:bookmarkStart w:id="15146" w:name="_Toc64209427"/>
      <w:r>
        <w:rPr>
          <w:rFonts w:hint="cs"/>
          <w:rtl/>
        </w:rPr>
        <w:t>ד' הסוברים דרק במיגו דלקוחה לא נאמן</w:t>
      </w:r>
      <w:bookmarkEnd w:id="15144"/>
      <w:bookmarkEnd w:id="15145"/>
      <w:bookmarkEnd w:id="15146"/>
    </w:p>
    <w:p w:rsidR="00F4065E" w:rsidRPr="00723E6F" w:rsidRDefault="00F4065E" w:rsidP="00F4065E">
      <w:pPr>
        <w:pStyle w:val="1"/>
        <w:rPr>
          <w:rtl/>
        </w:rPr>
      </w:pPr>
      <w:bookmarkStart w:id="15147" w:name="_Toc63942254"/>
      <w:bookmarkStart w:id="15148" w:name="_Toc63975485"/>
      <w:bookmarkStart w:id="15149" w:name="_Toc63986525"/>
      <w:bookmarkStart w:id="15150" w:name="_Toc64024653"/>
      <w:bookmarkStart w:id="15151" w:name="_Toc64036061"/>
      <w:bookmarkStart w:id="15152" w:name="_Toc64148139"/>
      <w:bookmarkStart w:id="15153" w:name="_Toc64205748"/>
      <w:bookmarkStart w:id="15154" w:name="_Toc64209428"/>
      <w:bookmarkEnd w:id="15061"/>
      <w:bookmarkEnd w:id="15062"/>
      <w:bookmarkEnd w:id="15063"/>
      <w:bookmarkEnd w:id="15064"/>
      <w:bookmarkEnd w:id="15065"/>
      <w:bookmarkEnd w:id="15066"/>
      <w:bookmarkEnd w:id="15067"/>
      <w:bookmarkEnd w:id="15068"/>
      <w:bookmarkEnd w:id="15069"/>
      <w:r>
        <w:rPr>
          <w:rFonts w:hint="cs"/>
          <w:rtl/>
        </w:rPr>
        <w:t>ד' הראשונים דנאמן לטעון לקוחה אך מיגו דלקוחה הוא העזה</w:t>
      </w:r>
      <w:bookmarkEnd w:id="15147"/>
      <w:bookmarkEnd w:id="15148"/>
      <w:bookmarkEnd w:id="15149"/>
      <w:bookmarkEnd w:id="15150"/>
      <w:bookmarkEnd w:id="15151"/>
      <w:bookmarkEnd w:id="15152"/>
      <w:bookmarkEnd w:id="15153"/>
      <w:bookmarkEnd w:id="15154"/>
    </w:p>
    <w:p w:rsidR="00F4065E" w:rsidRPr="00442CCA" w:rsidRDefault="00F4065E" w:rsidP="00F4065E">
      <w:pPr>
        <w:pStyle w:val="a3"/>
      </w:pPr>
      <w:bookmarkStart w:id="15155" w:name="_Toc64148140"/>
      <w:bookmarkStart w:id="15156" w:name="_Toc64205749"/>
      <w:bookmarkStart w:id="15157" w:name="_Toc64209429"/>
      <w:r>
        <w:rPr>
          <w:rFonts w:hint="cs"/>
          <w:rtl/>
        </w:rPr>
        <w:t>דברי התוס' והראשונים דאם היה טוען לקוחה נאמן דחזקה לא מבטלת קול</w:t>
      </w:r>
      <w:bookmarkEnd w:id="15155"/>
      <w:bookmarkEnd w:id="15156"/>
      <w:bookmarkEnd w:id="15157"/>
      <w:r>
        <w:rPr>
          <w:rFonts w:hint="cs"/>
          <w:rtl/>
        </w:rPr>
        <w:t xml:space="preserve"> </w:t>
      </w:r>
    </w:p>
    <w:p w:rsidR="00F4065E" w:rsidRDefault="00F4065E" w:rsidP="007E4E81">
      <w:pPr>
        <w:pStyle w:val="a0"/>
        <w:rPr>
          <w:rtl/>
        </w:rPr>
      </w:pPr>
      <w:bookmarkStart w:id="15158" w:name="_Ref63886622"/>
      <w:r>
        <w:rPr>
          <w:rFonts w:hint="cs"/>
          <w:rtl/>
        </w:rPr>
        <w:t>כתבו</w:t>
      </w:r>
      <w:r w:rsidRPr="003A611E">
        <w:rPr>
          <w:rStyle w:val="af9"/>
          <w:rFonts w:hint="cs"/>
          <w:rtl/>
        </w:rPr>
        <w:t xml:space="preserve"> התוס'</w:t>
      </w:r>
      <w:r>
        <w:rPr>
          <w:rFonts w:hint="cs"/>
          <w:rtl/>
        </w:rPr>
        <w:t xml:space="preserve"> </w:t>
      </w:r>
      <w:r w:rsidRPr="004D0FB1">
        <w:rPr>
          <w:rStyle w:val="af7"/>
          <w:rFonts w:eastAsia="Guttman Hodes" w:hint="cs"/>
          <w:rtl/>
        </w:rPr>
        <w:t>(ד"ה לקוחה)</w:t>
      </w:r>
      <w:r>
        <w:rPr>
          <w:rFonts w:hint="cs"/>
          <w:rtl/>
        </w:rPr>
        <w:t xml:space="preserve"> דאעפ"י שאם היה טוען שהיא לקוחה בידו היה נאמן, מ"מ עכשיו שלא טען כן אין לו מיגו, ועיי"ש במ"ש </w:t>
      </w:r>
      <w:r w:rsidRPr="003A611E">
        <w:rPr>
          <w:rStyle w:val="af9"/>
          <w:rFonts w:hint="cs"/>
          <w:rtl/>
        </w:rPr>
        <w:t>התוס'</w:t>
      </w:r>
      <w:r>
        <w:rPr>
          <w:rFonts w:hint="cs"/>
          <w:rtl/>
        </w:rPr>
        <w:t xml:space="preserve"> דכן מצינו בגמ' בקידושין</w:t>
      </w:r>
      <w:r w:rsidRPr="004D0FB1">
        <w:rPr>
          <w:rStyle w:val="af7"/>
          <w:rFonts w:eastAsia="Guttman Hodes" w:hint="cs"/>
          <w:rtl/>
        </w:rPr>
        <w:t xml:space="preserve"> (נ.)</w:t>
      </w:r>
      <w:r>
        <w:rPr>
          <w:rFonts w:hint="cs"/>
          <w:rtl/>
        </w:rPr>
        <w:t xml:space="preserve">, וכ"כ </w:t>
      </w:r>
      <w:r w:rsidRPr="003A611E">
        <w:rPr>
          <w:rStyle w:val="af9"/>
          <w:rFonts w:hint="cs"/>
          <w:rtl/>
        </w:rPr>
        <w:t>הרשב"א</w:t>
      </w:r>
      <w:r w:rsidRPr="000D06EA">
        <w:rPr>
          <w:rFonts w:hint="cs"/>
          <w:rtl/>
        </w:rPr>
        <w:t xml:space="preserve"> </w:t>
      </w:r>
      <w:r w:rsidRPr="004D0FB1">
        <w:rPr>
          <w:rStyle w:val="af7"/>
          <w:rFonts w:eastAsia="Guttman Hodes" w:hint="cs"/>
          <w:rtl/>
        </w:rPr>
        <w:t>(סוד"ה א"ל)</w:t>
      </w:r>
      <w:r>
        <w:rPr>
          <w:rFonts w:hint="cs"/>
          <w:rtl/>
        </w:rPr>
        <w:t xml:space="preserve"> </w:t>
      </w:r>
      <w:r w:rsidRPr="000D06EA">
        <w:rPr>
          <w:rFonts w:hint="cs"/>
          <w:rtl/>
        </w:rPr>
        <w:t xml:space="preserve">בשם </w:t>
      </w:r>
      <w:r w:rsidRPr="00E765F2">
        <w:rPr>
          <w:rStyle w:val="af9"/>
          <w:rFonts w:hint="cs"/>
          <w:rtl/>
        </w:rPr>
        <w:t>הראב"ד בשיטמ"ק</w:t>
      </w:r>
      <w:r>
        <w:rPr>
          <w:rFonts w:hint="cs"/>
          <w:rtl/>
        </w:rPr>
        <w:t xml:space="preserve"> </w:t>
      </w:r>
      <w:r w:rsidRPr="00E765F2">
        <w:rPr>
          <w:rStyle w:val="af7"/>
          <w:rFonts w:eastAsia="Guttman Hodes" w:hint="cs"/>
          <w:rtl/>
        </w:rPr>
        <w:t>(ד"ה והראב"ד ז"ל פירש)</w:t>
      </w:r>
      <w:r>
        <w:rPr>
          <w:rFonts w:hint="cs"/>
          <w:rtl/>
        </w:rPr>
        <w:t xml:space="preserve"> </w:t>
      </w:r>
      <w:r w:rsidRPr="00171B3D">
        <w:rPr>
          <w:rStyle w:val="afb"/>
          <w:rFonts w:hint="cs"/>
          <w:rtl/>
        </w:rPr>
        <w:t>[</w:t>
      </w:r>
      <w:r w:rsidRPr="00171B3D">
        <w:rPr>
          <w:rStyle w:val="affa"/>
          <w:rFonts w:hint="cs"/>
          <w:rtl/>
        </w:rPr>
        <w:t>ובהשג'</w:t>
      </w:r>
      <w:r w:rsidRPr="00171B3D">
        <w:rPr>
          <w:rStyle w:val="afb"/>
          <w:rFonts w:hint="cs"/>
          <w:rtl/>
        </w:rPr>
        <w:t xml:space="preserve"> </w:t>
      </w:r>
      <w:r w:rsidRPr="00171B3D">
        <w:rPr>
          <w:rStyle w:val="aff6"/>
          <w:rFonts w:hint="cs"/>
          <w:rtl/>
        </w:rPr>
        <w:t xml:space="preserve">(עי' אות </w:t>
      </w:r>
      <w:r w:rsidRPr="00171B3D">
        <w:rPr>
          <w:rStyle w:val="aff6"/>
          <w:rtl/>
        </w:rPr>
        <w:fldChar w:fldCharType="begin"/>
      </w:r>
      <w:r w:rsidRPr="00171B3D">
        <w:rPr>
          <w:rStyle w:val="aff6"/>
          <w:rtl/>
        </w:rPr>
        <w:instrText xml:space="preserve"> </w:instrText>
      </w:r>
      <w:r w:rsidRPr="00171B3D">
        <w:rPr>
          <w:rStyle w:val="aff6"/>
          <w:rFonts w:hint="cs"/>
        </w:rPr>
        <w:instrText>REF</w:instrText>
      </w:r>
      <w:r w:rsidRPr="00171B3D">
        <w:rPr>
          <w:rStyle w:val="aff6"/>
          <w:rFonts w:hint="cs"/>
          <w:rtl/>
        </w:rPr>
        <w:instrText xml:space="preserve"> _</w:instrText>
      </w:r>
      <w:r w:rsidRPr="00171B3D">
        <w:rPr>
          <w:rStyle w:val="aff6"/>
          <w:rFonts w:hint="cs"/>
        </w:rPr>
        <w:instrText>Ref63702827 \r \h</w:instrText>
      </w:r>
      <w:r w:rsidRPr="00171B3D">
        <w:rPr>
          <w:rStyle w:val="aff6"/>
          <w:rtl/>
        </w:rPr>
        <w:instrText xml:space="preserve"> </w:instrText>
      </w:r>
      <w:r w:rsidRPr="00171B3D">
        <w:rPr>
          <w:rStyle w:val="aff6"/>
          <w:rtl/>
        </w:rPr>
      </w:r>
      <w:r w:rsidRPr="00171B3D">
        <w:rPr>
          <w:rStyle w:val="aff6"/>
          <w:rtl/>
        </w:rPr>
        <w:fldChar w:fldCharType="separate"/>
      </w:r>
      <w:r w:rsidR="00265073">
        <w:rPr>
          <w:rStyle w:val="aff6"/>
          <w:cs/>
        </w:rPr>
        <w:t>‎</w:t>
      </w:r>
      <w:r w:rsidR="00265073">
        <w:rPr>
          <w:rStyle w:val="aff6"/>
          <w:rtl/>
        </w:rPr>
        <w:t>קיד)</w:t>
      </w:r>
      <w:r w:rsidRPr="00171B3D">
        <w:rPr>
          <w:rStyle w:val="aff6"/>
          <w:rtl/>
        </w:rPr>
        <w:fldChar w:fldCharType="end"/>
      </w:r>
      <w:r w:rsidRPr="00171B3D">
        <w:rPr>
          <w:rStyle w:val="afb"/>
          <w:rFonts w:hint="cs"/>
          <w:rtl/>
        </w:rPr>
        <w:t>]</w:t>
      </w:r>
      <w:r>
        <w:rPr>
          <w:rFonts w:hint="cs"/>
          <w:rtl/>
        </w:rPr>
        <w:t xml:space="preserve"> </w:t>
      </w:r>
      <w:r>
        <w:rPr>
          <w:rStyle w:val="af9"/>
          <w:rFonts w:hint="cs"/>
          <w:rtl/>
        </w:rPr>
        <w:t>ו</w:t>
      </w:r>
      <w:r w:rsidRPr="003A611E">
        <w:rPr>
          <w:rStyle w:val="af9"/>
          <w:rFonts w:hint="cs"/>
          <w:rtl/>
        </w:rPr>
        <w:t>הרא"ש</w:t>
      </w:r>
      <w:r>
        <w:rPr>
          <w:rFonts w:hint="cs"/>
          <w:rtl/>
        </w:rPr>
        <w:t xml:space="preserve"> </w:t>
      </w:r>
      <w:r w:rsidRPr="004D0FB1">
        <w:rPr>
          <w:rStyle w:val="af7"/>
          <w:rFonts w:eastAsia="Guttman Hodes" w:hint="cs"/>
          <w:rtl/>
        </w:rPr>
        <w:t>(סי' י"ח)</w:t>
      </w:r>
      <w:r w:rsidRPr="000D06EA">
        <w:rPr>
          <w:rFonts w:hint="cs"/>
          <w:rtl/>
        </w:rPr>
        <w:t xml:space="preserve"> דאם היה טוען לקוחה היא בידי היה נאמן, אעפ"י שיש קול שהיא של היתומים,</w:t>
      </w:r>
      <w:r>
        <w:rPr>
          <w:rFonts w:hint="cs"/>
          <w:rtl/>
        </w:rPr>
        <w:t xml:space="preserve"> דא"א לבטל חזקה מכח קול. </w:t>
      </w:r>
      <w:r w:rsidRPr="00A74EE6">
        <w:rPr>
          <w:rStyle w:val="afb"/>
          <w:rFonts w:hint="cs"/>
          <w:rtl/>
        </w:rPr>
        <w:t>[והיינו כשיצא הקול לאחר ג"ש שכבר</w:t>
      </w:r>
      <w:r>
        <w:rPr>
          <w:rStyle w:val="afb"/>
          <w:rFonts w:hint="cs"/>
          <w:rtl/>
        </w:rPr>
        <w:t xml:space="preserve"> </w:t>
      </w:r>
      <w:r w:rsidRPr="00A74EE6">
        <w:rPr>
          <w:rStyle w:val="afb"/>
          <w:rFonts w:hint="cs"/>
          <w:rtl/>
        </w:rPr>
        <w:t>יש לו חזקה]</w:t>
      </w:r>
      <w:r>
        <w:rPr>
          <w:rStyle w:val="afb"/>
          <w:rFonts w:hint="cs"/>
          <w:rtl/>
        </w:rPr>
        <w:t>.</w:t>
      </w:r>
    </w:p>
    <w:p w:rsidR="00F4065E" w:rsidRPr="00171B3D" w:rsidRDefault="00F4065E" w:rsidP="00F4065E">
      <w:pPr>
        <w:pStyle w:val="a3"/>
      </w:pPr>
      <w:bookmarkStart w:id="15159" w:name="_Toc64148141"/>
      <w:bookmarkStart w:id="15160" w:name="_Toc64205750"/>
      <w:bookmarkStart w:id="15161" w:name="_Toc64209430"/>
      <w:r>
        <w:rPr>
          <w:rFonts w:hint="cs"/>
          <w:rtl/>
        </w:rPr>
        <w:t>ביאור התוס' והראשונים דאינו נאמן על החוב במיגו דהיה טוען לקוחה דהוא מיגו דהעזה</w:t>
      </w:r>
      <w:bookmarkEnd w:id="15159"/>
      <w:bookmarkEnd w:id="15160"/>
      <w:bookmarkEnd w:id="15161"/>
    </w:p>
    <w:p w:rsidR="00F4065E" w:rsidRDefault="00F4065E" w:rsidP="007E4E81">
      <w:pPr>
        <w:pStyle w:val="a0"/>
        <w:rPr>
          <w:rtl/>
        </w:rPr>
      </w:pPr>
      <w:r>
        <w:rPr>
          <w:rFonts w:hint="cs"/>
          <w:rtl/>
        </w:rPr>
        <w:t xml:space="preserve">אלא ביארו </w:t>
      </w:r>
      <w:r w:rsidRPr="00171B3D">
        <w:rPr>
          <w:rStyle w:val="af9"/>
          <w:rFonts w:hint="cs"/>
          <w:rtl/>
        </w:rPr>
        <w:t xml:space="preserve">התוס' </w:t>
      </w:r>
      <w:r>
        <w:rPr>
          <w:rStyle w:val="af9"/>
          <w:rFonts w:hint="cs"/>
          <w:rtl/>
        </w:rPr>
        <w:t>ו</w:t>
      </w:r>
      <w:r w:rsidRPr="003A611E">
        <w:rPr>
          <w:rStyle w:val="af9"/>
          <w:rFonts w:hint="cs"/>
          <w:rtl/>
        </w:rPr>
        <w:t>הרשב"א</w:t>
      </w:r>
      <w:r w:rsidRPr="000D06EA">
        <w:rPr>
          <w:rFonts w:hint="cs"/>
          <w:rtl/>
        </w:rPr>
        <w:t xml:space="preserve"> בשם </w:t>
      </w:r>
      <w:r w:rsidRPr="00E765F2">
        <w:rPr>
          <w:rStyle w:val="af9"/>
          <w:rFonts w:hint="cs"/>
          <w:rtl/>
        </w:rPr>
        <w:t xml:space="preserve">הראב"ד </w:t>
      </w:r>
      <w:r>
        <w:rPr>
          <w:rStyle w:val="af9"/>
          <w:rFonts w:hint="cs"/>
          <w:rtl/>
        </w:rPr>
        <w:t>ו</w:t>
      </w:r>
      <w:r w:rsidRPr="003A611E">
        <w:rPr>
          <w:rStyle w:val="af9"/>
          <w:rFonts w:hint="cs"/>
          <w:rtl/>
        </w:rPr>
        <w:t>הרא"ש</w:t>
      </w:r>
      <w:r>
        <w:rPr>
          <w:rFonts w:hint="cs"/>
          <w:rtl/>
        </w:rPr>
        <w:t xml:space="preserve"> דלא היה מעיז לטעון </w:t>
      </w:r>
      <w:r w:rsidRPr="000D06EA">
        <w:rPr>
          <w:rFonts w:hint="cs"/>
          <w:rtl/>
        </w:rPr>
        <w:t>לקוחה היא בידי</w:t>
      </w:r>
      <w:r>
        <w:rPr>
          <w:rFonts w:hint="cs"/>
          <w:rtl/>
        </w:rPr>
        <w:t xml:space="preserve"> מחמת הקול, ולכן אין לו מיגו דהוא מיגו דהעזה, והוסיף </w:t>
      </w:r>
      <w:r w:rsidRPr="003A611E">
        <w:rPr>
          <w:rStyle w:val="af9"/>
          <w:rFonts w:hint="cs"/>
          <w:rtl/>
        </w:rPr>
        <w:t>הריטב"א</w:t>
      </w:r>
      <w:r>
        <w:rPr>
          <w:rFonts w:hint="cs"/>
          <w:rtl/>
        </w:rPr>
        <w:t xml:space="preserve"> </w:t>
      </w:r>
      <w:r w:rsidRPr="004D0FB1">
        <w:rPr>
          <w:rStyle w:val="af7"/>
          <w:rFonts w:eastAsia="Guttman Hodes" w:hint="cs"/>
          <w:rtl/>
        </w:rPr>
        <w:t>(ד"ה א"ל)</w:t>
      </w:r>
      <w:r>
        <w:rPr>
          <w:rFonts w:hint="cs"/>
          <w:rtl/>
        </w:rPr>
        <w:t xml:space="preserve"> דאף אם היה נאמן במיגו, מ"מ היה חייב להשבע, כדי שיהיה לו מיגו ממעיז לשאינו מעיז, והרי רבא בר שרשום רצה להפטר מהשבועה.</w:t>
      </w:r>
      <w:bookmarkEnd w:id="15158"/>
      <w:r>
        <w:rPr>
          <w:rFonts w:hint="cs"/>
          <w:rtl/>
        </w:rPr>
        <w:t xml:space="preserve"> </w:t>
      </w:r>
    </w:p>
    <w:p w:rsidR="00F4065E" w:rsidRPr="006527F7" w:rsidRDefault="00F4065E" w:rsidP="00F4065E">
      <w:pPr>
        <w:pStyle w:val="a3"/>
        <w:rPr>
          <w:rtl/>
        </w:rPr>
      </w:pPr>
      <w:bookmarkStart w:id="15162" w:name="_Toc64148142"/>
      <w:bookmarkStart w:id="15163" w:name="_Toc64205751"/>
      <w:bookmarkStart w:id="15164" w:name="_Toc64209431"/>
      <w:bookmarkStart w:id="15165" w:name="_Toc63675694"/>
      <w:bookmarkStart w:id="15166" w:name="_Toc63703860"/>
      <w:bookmarkStart w:id="15167" w:name="_Toc63714160"/>
      <w:bookmarkStart w:id="15168" w:name="_Toc63854274"/>
      <w:bookmarkStart w:id="15169" w:name="_Toc63942256"/>
      <w:bookmarkStart w:id="15170" w:name="_Toc63975487"/>
      <w:bookmarkStart w:id="15171" w:name="_Toc63986527"/>
      <w:bookmarkStart w:id="15172" w:name="_Toc64024655"/>
      <w:bookmarkStart w:id="15173" w:name="_Toc64036063"/>
      <w:r>
        <w:rPr>
          <w:rFonts w:hint="cs"/>
          <w:rtl/>
        </w:rPr>
        <w:t>דברי רבינו יונה דאף אחר שאכל פירות נאמן בטענת לקוחה ולא במיגו דלקוחה דהוא העזה</w:t>
      </w:r>
      <w:bookmarkEnd w:id="15162"/>
      <w:bookmarkEnd w:id="15163"/>
      <w:bookmarkEnd w:id="15164"/>
    </w:p>
    <w:p w:rsidR="00F4065E" w:rsidRPr="00092D51" w:rsidRDefault="00F4065E" w:rsidP="007E4E81">
      <w:pPr>
        <w:pStyle w:val="a0"/>
        <w:rPr>
          <w:rStyle w:val="afb"/>
          <w:rtl/>
        </w:rPr>
      </w:pPr>
      <w:r>
        <w:rPr>
          <w:rFonts w:hint="cs"/>
          <w:rtl/>
        </w:rPr>
        <w:t xml:space="preserve">כתב </w:t>
      </w:r>
      <w:r w:rsidRPr="004D0FB1">
        <w:rPr>
          <w:rStyle w:val="af9"/>
          <w:rFonts w:hint="cs"/>
          <w:rtl/>
        </w:rPr>
        <w:t>רבינו יונה</w:t>
      </w:r>
      <w:r>
        <w:rPr>
          <w:rFonts w:hint="cs"/>
          <w:rtl/>
        </w:rPr>
        <w:t xml:space="preserve"> </w:t>
      </w:r>
      <w:r w:rsidRPr="004D0FB1">
        <w:rPr>
          <w:rStyle w:val="af7"/>
          <w:rFonts w:eastAsia="Guttman Hodes" w:hint="cs"/>
          <w:rtl/>
        </w:rPr>
        <w:t>(ד"ה א"ל לקוחה)</w:t>
      </w:r>
      <w:r>
        <w:rPr>
          <w:rFonts w:hint="cs"/>
          <w:rtl/>
        </w:rPr>
        <w:t xml:space="preserve"> דאף לאחר שיאכל את הפירות, לא יפטר משבועה, דאינו נחשב למשיב אבידה, כיון שיש קול ואינו נאמן במיגו שהיה טוען לקוחה, והביא </w:t>
      </w:r>
      <w:r w:rsidRPr="003A611E">
        <w:rPr>
          <w:rStyle w:val="af9"/>
          <w:rFonts w:hint="cs"/>
          <w:rtl/>
        </w:rPr>
        <w:t>רבינו</w:t>
      </w:r>
      <w:r>
        <w:rPr>
          <w:rFonts w:hint="cs"/>
          <w:rtl/>
        </w:rPr>
        <w:t xml:space="preserve"> </w:t>
      </w:r>
      <w:r w:rsidRPr="003A611E">
        <w:rPr>
          <w:rStyle w:val="af9"/>
          <w:rFonts w:hint="cs"/>
          <w:rtl/>
        </w:rPr>
        <w:t>יונה</w:t>
      </w:r>
      <w:r>
        <w:rPr>
          <w:rFonts w:hint="cs"/>
          <w:rtl/>
        </w:rPr>
        <w:t xml:space="preserve"> בשם </w:t>
      </w:r>
      <w:r w:rsidRPr="003A611E">
        <w:rPr>
          <w:rStyle w:val="af9"/>
          <w:rFonts w:hint="cs"/>
          <w:rtl/>
        </w:rPr>
        <w:t>רבותיו</w:t>
      </w:r>
      <w:r w:rsidRPr="005F0D3D">
        <w:rPr>
          <w:rFonts w:hint="cs"/>
          <w:rtl/>
        </w:rPr>
        <w:t xml:space="preserve"> </w:t>
      </w:r>
      <w:r w:rsidRPr="00E54F5D">
        <w:rPr>
          <w:rtl/>
        </w:rPr>
        <w:t xml:space="preserve">דאם היה טוען לקוחה היא בידי היה נאמן, אעפ"י שיש קול שהיא של היתומים, אלא דלא היה מעיז לטעון כן מחמת הקול, ולכן אין לו מיגו דהוא מיגו דהעזה, ועיי"ש במה שהוכיח </w:t>
      </w:r>
      <w:r w:rsidRPr="001334F0">
        <w:rPr>
          <w:rStyle w:val="af9"/>
          <w:rtl/>
        </w:rPr>
        <w:t>רבינו יונה</w:t>
      </w:r>
      <w:r w:rsidRPr="00E54F5D">
        <w:rPr>
          <w:rtl/>
        </w:rPr>
        <w:t xml:space="preserve"> כן מהגמ' בקידושין </w:t>
      </w:r>
      <w:r w:rsidRPr="00E54F5D">
        <w:rPr>
          <w:rStyle w:val="af7"/>
          <w:rFonts w:eastAsia="Guttman Hodes"/>
          <w:rtl/>
        </w:rPr>
        <w:t>(נ.)</w:t>
      </w:r>
      <w:r>
        <w:rPr>
          <w:rFonts w:hint="cs"/>
          <w:rtl/>
        </w:rPr>
        <w:t xml:space="preserve">. </w:t>
      </w:r>
      <w:r w:rsidRPr="00092D51">
        <w:rPr>
          <w:rStyle w:val="afb"/>
          <w:rFonts w:hint="cs"/>
          <w:rtl/>
        </w:rPr>
        <w:t xml:space="preserve">[ועי' במה שהביא </w:t>
      </w:r>
      <w:r w:rsidRPr="00092D51">
        <w:rPr>
          <w:rStyle w:val="affa"/>
          <w:rFonts w:hint="cs"/>
          <w:rtl/>
        </w:rPr>
        <w:t>רבינו יונה</w:t>
      </w:r>
      <w:r w:rsidRPr="00092D51">
        <w:rPr>
          <w:rStyle w:val="afb"/>
          <w:rFonts w:hint="cs"/>
          <w:rtl/>
        </w:rPr>
        <w:t xml:space="preserve"> </w:t>
      </w:r>
      <w:r w:rsidRPr="00092D51">
        <w:rPr>
          <w:rStyle w:val="aff6"/>
          <w:rFonts w:hint="cs"/>
          <w:rtl/>
        </w:rPr>
        <w:t xml:space="preserve">(עי' אות </w:t>
      </w:r>
      <w:r w:rsidRPr="00092D51">
        <w:rPr>
          <w:rStyle w:val="aff6"/>
          <w:rtl/>
        </w:rPr>
        <w:fldChar w:fldCharType="begin"/>
      </w:r>
      <w:r w:rsidRPr="00092D51">
        <w:rPr>
          <w:rStyle w:val="aff6"/>
          <w:rtl/>
        </w:rPr>
        <w:instrText xml:space="preserve"> </w:instrText>
      </w:r>
      <w:r w:rsidRPr="00092D51">
        <w:rPr>
          <w:rStyle w:val="aff6"/>
          <w:rFonts w:hint="cs"/>
        </w:rPr>
        <w:instrText>REF</w:instrText>
      </w:r>
      <w:r w:rsidRPr="00092D51">
        <w:rPr>
          <w:rStyle w:val="aff6"/>
          <w:rFonts w:hint="cs"/>
          <w:rtl/>
        </w:rPr>
        <w:instrText xml:space="preserve"> _</w:instrText>
      </w:r>
      <w:r w:rsidRPr="00092D51">
        <w:rPr>
          <w:rStyle w:val="aff6"/>
          <w:rFonts w:hint="cs"/>
        </w:rPr>
        <w:instrText>Ref63873925 \r \h</w:instrText>
      </w:r>
      <w:r w:rsidRPr="00092D51">
        <w:rPr>
          <w:rStyle w:val="aff6"/>
          <w:rtl/>
        </w:rPr>
        <w:instrText xml:space="preserve"> </w:instrText>
      </w:r>
      <w:r w:rsidRPr="00092D51">
        <w:rPr>
          <w:rStyle w:val="aff6"/>
          <w:rtl/>
        </w:rPr>
      </w:r>
      <w:r w:rsidRPr="00092D51">
        <w:rPr>
          <w:rStyle w:val="aff6"/>
          <w:rtl/>
        </w:rPr>
        <w:fldChar w:fldCharType="separate"/>
      </w:r>
      <w:r w:rsidR="00265073">
        <w:rPr>
          <w:rStyle w:val="aff6"/>
          <w:cs/>
        </w:rPr>
        <w:t>‎</w:t>
      </w:r>
      <w:r w:rsidR="00265073">
        <w:rPr>
          <w:rStyle w:val="aff6"/>
          <w:rtl/>
        </w:rPr>
        <w:t>צג)</w:t>
      </w:r>
      <w:r w:rsidRPr="00092D51">
        <w:rPr>
          <w:rStyle w:val="aff6"/>
          <w:rtl/>
        </w:rPr>
        <w:fldChar w:fldCharType="end"/>
      </w:r>
      <w:r w:rsidRPr="00092D51">
        <w:rPr>
          <w:rStyle w:val="afb"/>
          <w:rFonts w:hint="cs"/>
          <w:rtl/>
        </w:rPr>
        <w:t xml:space="preserve"> בשם </w:t>
      </w:r>
      <w:r w:rsidRPr="00092D51">
        <w:rPr>
          <w:rStyle w:val="affa"/>
          <w:rFonts w:hint="cs"/>
          <w:rtl/>
        </w:rPr>
        <w:t>רב האי גאון</w:t>
      </w:r>
      <w:r w:rsidRPr="00092D51">
        <w:rPr>
          <w:rStyle w:val="afb"/>
          <w:rFonts w:hint="cs"/>
          <w:rtl/>
        </w:rPr>
        <w:t xml:space="preserve"> דאף אם היה טוען לקוחה היא בידי לא היה נאמן]. </w:t>
      </w:r>
    </w:p>
    <w:p w:rsidR="00F4065E" w:rsidRDefault="00F4065E" w:rsidP="00F4065E">
      <w:pPr>
        <w:pStyle w:val="a3"/>
        <w:rPr>
          <w:rtl/>
        </w:rPr>
      </w:pPr>
      <w:bookmarkStart w:id="15174" w:name="_Toc64148143"/>
      <w:bookmarkStart w:id="15175" w:name="_Toc64205752"/>
      <w:bookmarkStart w:id="15176" w:name="_Toc64209432"/>
      <w:r>
        <w:rPr>
          <w:rFonts w:hint="cs"/>
          <w:rtl/>
        </w:rPr>
        <w:t>קושית הרא"ש דהאיך נאמן בטענת לקוחה הא א"א להביא עידי חזקת ג"ש בפני קטנים</w:t>
      </w:r>
      <w:bookmarkEnd w:id="15174"/>
      <w:bookmarkEnd w:id="15175"/>
      <w:bookmarkEnd w:id="15176"/>
    </w:p>
    <w:p w:rsidR="00F4065E" w:rsidRPr="00A74EE6" w:rsidRDefault="00F4065E" w:rsidP="007E4E81">
      <w:pPr>
        <w:pStyle w:val="a0"/>
        <w:rPr>
          <w:rStyle w:val="afb"/>
          <w:rtl/>
        </w:rPr>
      </w:pPr>
      <w:bookmarkStart w:id="15177" w:name="_Ref63674079"/>
      <w:r>
        <w:rPr>
          <w:rFonts w:hint="cs"/>
          <w:rtl/>
        </w:rPr>
        <w:t xml:space="preserve">אך הקשה </w:t>
      </w:r>
      <w:r w:rsidRPr="00691C13">
        <w:rPr>
          <w:rStyle w:val="af9"/>
          <w:rFonts w:hint="cs"/>
          <w:rtl/>
        </w:rPr>
        <w:t>הרא"ש</w:t>
      </w:r>
      <w:r>
        <w:rPr>
          <w:rFonts w:hint="cs"/>
          <w:rtl/>
        </w:rPr>
        <w:t xml:space="preserve"> </w:t>
      </w:r>
      <w:r w:rsidRPr="00220B3F">
        <w:rPr>
          <w:rStyle w:val="af7"/>
          <w:rFonts w:eastAsia="Guttman Hodes" w:hint="cs"/>
          <w:rtl/>
        </w:rPr>
        <w:t>(סו"ס י"ח)</w:t>
      </w:r>
      <w:r>
        <w:rPr>
          <w:rFonts w:hint="cs"/>
          <w:rtl/>
        </w:rPr>
        <w:t xml:space="preserve"> דהיאך אפש"ל דרבא בר שרשום יהיה נאמן בטענת לקוחה היא בידי, והרי אינו יכול להביא את העדים כשהיתומים קטנים, כיון שאין מקבלים עדות שלא בפני בע"ד, </w:t>
      </w:r>
      <w:r>
        <w:rPr>
          <w:rFonts w:hint="cs"/>
          <w:rtl/>
        </w:rPr>
        <w:t xml:space="preserve">כדאיתא בגמ' בב"ק </w:t>
      </w:r>
      <w:r w:rsidRPr="00220B3F">
        <w:rPr>
          <w:rStyle w:val="af7"/>
          <w:rFonts w:eastAsia="Guttman Hodes" w:hint="cs"/>
          <w:rtl/>
        </w:rPr>
        <w:t>(קיב</w:t>
      </w:r>
      <w:r>
        <w:rPr>
          <w:rStyle w:val="af7"/>
          <w:rFonts w:eastAsia="Guttman Hodes" w:hint="cs"/>
          <w:rtl/>
        </w:rPr>
        <w:t>.</w:t>
      </w:r>
      <w:r w:rsidRPr="00220B3F">
        <w:rPr>
          <w:rStyle w:val="af7"/>
          <w:rFonts w:eastAsia="Guttman Hodes" w:hint="cs"/>
          <w:rtl/>
        </w:rPr>
        <w:t>)</w:t>
      </w:r>
      <w:r>
        <w:rPr>
          <w:rFonts w:hint="cs"/>
          <w:rtl/>
        </w:rPr>
        <w:t xml:space="preserve"> במעשה דחמוה דרבי ירמיה, וא"כ רבא בר שרשום אינו יכול להביא עידי חזקה להוציא את הקרקע מחזקת היתומים.</w:t>
      </w:r>
      <w:r w:rsidRPr="007B45F4">
        <w:rPr>
          <w:rFonts w:hint="cs"/>
          <w:rtl/>
        </w:rPr>
        <w:t xml:space="preserve"> </w:t>
      </w:r>
      <w:r w:rsidRPr="00A74EE6">
        <w:rPr>
          <w:rStyle w:val="afb"/>
          <w:rFonts w:hint="cs"/>
          <w:rtl/>
        </w:rPr>
        <w:t xml:space="preserve">[ועי' במה שביאר </w:t>
      </w:r>
      <w:r w:rsidRPr="00A74EE6">
        <w:rPr>
          <w:rStyle w:val="affa"/>
          <w:rFonts w:hint="cs"/>
          <w:rtl/>
        </w:rPr>
        <w:t>הרמב"ן</w:t>
      </w:r>
      <w:r w:rsidRPr="00A74EE6">
        <w:rPr>
          <w:rStyle w:val="afb"/>
          <w:rFonts w:hint="cs"/>
          <w:rtl/>
        </w:rPr>
        <w:t xml:space="preserve"> </w:t>
      </w:r>
      <w:r w:rsidRPr="00127B5B">
        <w:rPr>
          <w:rStyle w:val="aff6"/>
          <w:rFonts w:hint="cs"/>
          <w:rtl/>
        </w:rPr>
        <w:t xml:space="preserve">(עי' אות </w:t>
      </w:r>
      <w:r w:rsidRPr="00127B5B">
        <w:rPr>
          <w:rStyle w:val="aff6"/>
          <w:rtl/>
        </w:rPr>
        <w:fldChar w:fldCharType="begin"/>
      </w:r>
      <w:r w:rsidRPr="00127B5B">
        <w:rPr>
          <w:rStyle w:val="aff6"/>
          <w:rtl/>
        </w:rPr>
        <w:instrText xml:space="preserve"> </w:instrText>
      </w:r>
      <w:r w:rsidRPr="00127B5B">
        <w:rPr>
          <w:rStyle w:val="aff6"/>
          <w:rFonts w:hint="cs"/>
        </w:rPr>
        <w:instrText>REF</w:instrText>
      </w:r>
      <w:r w:rsidRPr="00127B5B">
        <w:rPr>
          <w:rStyle w:val="aff6"/>
          <w:rFonts w:hint="cs"/>
          <w:rtl/>
        </w:rPr>
        <w:instrText xml:space="preserve"> _</w:instrText>
      </w:r>
      <w:r w:rsidRPr="00127B5B">
        <w:rPr>
          <w:rStyle w:val="aff6"/>
          <w:rFonts w:hint="cs"/>
        </w:rPr>
        <w:instrText>Ref64145147 \r \h</w:instrText>
      </w:r>
      <w:r w:rsidRPr="00127B5B">
        <w:rPr>
          <w:rStyle w:val="aff6"/>
          <w:rtl/>
        </w:rPr>
        <w:instrText xml:space="preserve"> </w:instrText>
      </w:r>
      <w:r w:rsidRPr="00127B5B">
        <w:rPr>
          <w:rStyle w:val="aff6"/>
          <w:rtl/>
        </w:rPr>
      </w:r>
      <w:r w:rsidRPr="00127B5B">
        <w:rPr>
          <w:rStyle w:val="aff6"/>
          <w:rtl/>
        </w:rPr>
        <w:fldChar w:fldCharType="separate"/>
      </w:r>
      <w:r w:rsidR="00265073">
        <w:rPr>
          <w:rStyle w:val="aff6"/>
          <w:cs/>
        </w:rPr>
        <w:t>‎</w:t>
      </w:r>
      <w:r w:rsidR="00265073">
        <w:rPr>
          <w:rStyle w:val="aff6"/>
          <w:rtl/>
        </w:rPr>
        <w:t>צו)</w:t>
      </w:r>
      <w:r w:rsidRPr="00127B5B">
        <w:rPr>
          <w:rStyle w:val="aff6"/>
          <w:rtl/>
        </w:rPr>
        <w:fldChar w:fldCharType="end"/>
      </w:r>
      <w:r w:rsidRPr="00A74EE6">
        <w:rPr>
          <w:rStyle w:val="afb"/>
          <w:rFonts w:hint="cs"/>
          <w:rtl/>
        </w:rPr>
        <w:t xml:space="preserve"> כן את דעת אביי</w:t>
      </w:r>
      <w:r>
        <w:rPr>
          <w:rStyle w:val="afb"/>
          <w:rFonts w:hint="cs"/>
          <w:rtl/>
        </w:rPr>
        <w:t xml:space="preserve">, כדס"ל </w:t>
      </w:r>
      <w:r w:rsidRPr="00127B5B">
        <w:rPr>
          <w:rStyle w:val="affa"/>
          <w:rFonts w:hint="cs"/>
          <w:rtl/>
        </w:rPr>
        <w:t>לרמב"ן</w:t>
      </w:r>
      <w:r>
        <w:rPr>
          <w:rStyle w:val="afb"/>
          <w:rFonts w:hint="cs"/>
          <w:rtl/>
        </w:rPr>
        <w:t xml:space="preserve"> דאינו נאמן לטעון לקוחה היא בידי</w:t>
      </w:r>
      <w:r w:rsidRPr="00A74EE6">
        <w:rPr>
          <w:rStyle w:val="afb"/>
          <w:rFonts w:hint="cs"/>
          <w:rtl/>
        </w:rPr>
        <w:t>].</w:t>
      </w:r>
      <w:bookmarkEnd w:id="15177"/>
    </w:p>
    <w:p w:rsidR="00F4065E" w:rsidRDefault="00F4065E" w:rsidP="00F4065E">
      <w:pPr>
        <w:pStyle w:val="a3"/>
        <w:rPr>
          <w:rtl/>
        </w:rPr>
      </w:pPr>
      <w:bookmarkStart w:id="15178" w:name="_Toc64148144"/>
      <w:bookmarkStart w:id="15179" w:name="_Toc64205753"/>
      <w:bookmarkStart w:id="15180" w:name="_Toc64209433"/>
      <w:r>
        <w:rPr>
          <w:rFonts w:hint="cs"/>
          <w:rtl/>
        </w:rPr>
        <w:t>תירוץ הרא"ש דכיון שיש לו חזקה חשיב שהוא מוחזק בה ואין היתומים יכולים להוציאו</w:t>
      </w:r>
      <w:bookmarkEnd w:id="15178"/>
      <w:bookmarkEnd w:id="15179"/>
      <w:bookmarkEnd w:id="15180"/>
    </w:p>
    <w:p w:rsidR="00F4065E" w:rsidRDefault="00F4065E" w:rsidP="007E4E81">
      <w:pPr>
        <w:pStyle w:val="a0"/>
        <w:rPr>
          <w:rtl/>
        </w:rPr>
      </w:pPr>
      <w:bookmarkStart w:id="15181" w:name="_Ref64145039"/>
      <w:r>
        <w:rPr>
          <w:rFonts w:hint="cs"/>
          <w:rtl/>
        </w:rPr>
        <w:t xml:space="preserve">ותירץ </w:t>
      </w:r>
      <w:r w:rsidRPr="00CA4698">
        <w:rPr>
          <w:rStyle w:val="af9"/>
          <w:rFonts w:hint="cs"/>
          <w:rtl/>
        </w:rPr>
        <w:t>הרא"ש</w:t>
      </w:r>
      <w:r>
        <w:rPr>
          <w:rFonts w:hint="cs"/>
          <w:rtl/>
        </w:rPr>
        <w:t xml:space="preserve"> דכיון שיש לו חזקת ג"ש בחיי האב, ולא ידוע שהקרקע באה לידו במשכנתא</w:t>
      </w:r>
      <w:r>
        <w:rPr>
          <w:rStyle w:val="af1"/>
          <w:rtl/>
        </w:rPr>
        <w:footnoteReference w:id="109"/>
      </w:r>
      <w:r>
        <w:rPr>
          <w:rFonts w:hint="cs"/>
          <w:rtl/>
        </w:rPr>
        <w:t xml:space="preserve">, א"כ הוא כבר מוחזק בקרקע בחיי האב, ולהחזיק דבר שבידו מקבלים עדות אף בפני יתומים קטנים, דהא אי אין מקבלים א"כ לא שבקת חיי לכל לוקח קרקע שמת המוכר, דיבואו היתומים הקטנים ויחזיקו בקרקע, ולא יוכל להוציא מהם עד שיגדלו, ודמי להא דאיתא בב"ק </w:t>
      </w:r>
      <w:r w:rsidRPr="004D0FB1">
        <w:rPr>
          <w:rStyle w:val="af7"/>
          <w:rFonts w:eastAsia="Guttman Hodes" w:hint="cs"/>
          <w:rtl/>
        </w:rPr>
        <w:t>(קיב:)</w:t>
      </w:r>
      <w:r>
        <w:rPr>
          <w:rFonts w:hint="cs"/>
          <w:rtl/>
        </w:rPr>
        <w:t xml:space="preserve"> דתינוק שתקף וירד לשדה חבירו, וטען שהיא שלו, דין ממתינים עד שיגדיל אלא מוציאין ממנו וכשיגדיל יוכל להביא עדים שהיא שלו, </w:t>
      </w:r>
      <w:r w:rsidRPr="00103E47">
        <w:rPr>
          <w:rStyle w:val="afb"/>
          <w:rFonts w:hint="cs"/>
          <w:rtl/>
        </w:rPr>
        <w:t>[ועי' במה שביאר</w:t>
      </w:r>
      <w:r w:rsidRPr="00103E47">
        <w:rPr>
          <w:rStyle w:val="affa"/>
          <w:rFonts w:hint="cs"/>
          <w:rtl/>
        </w:rPr>
        <w:t xml:space="preserve"> </w:t>
      </w:r>
      <w:r w:rsidRPr="002F7270">
        <w:rPr>
          <w:rStyle w:val="affa"/>
          <w:rFonts w:hint="cs"/>
          <w:rtl/>
        </w:rPr>
        <w:t>בחי' רבי נחום</w:t>
      </w:r>
      <w:r>
        <w:rPr>
          <w:rFonts w:hint="cs"/>
          <w:rtl/>
        </w:rPr>
        <w:t xml:space="preserve"> </w:t>
      </w:r>
      <w:r w:rsidRPr="00CF0BB0">
        <w:rPr>
          <w:rStyle w:val="aff6"/>
          <w:rFonts w:hint="cs"/>
          <w:rtl/>
        </w:rPr>
        <w:t xml:space="preserve">(או' </w:t>
      </w:r>
      <w:r>
        <w:rPr>
          <w:rStyle w:val="aff6"/>
          <w:rFonts w:hint="cs"/>
          <w:rtl/>
        </w:rPr>
        <w:t>ק"ע</w:t>
      </w:r>
      <w:r w:rsidRPr="00CF0BB0">
        <w:rPr>
          <w:rStyle w:val="aff6"/>
          <w:rFonts w:hint="cs"/>
          <w:rtl/>
        </w:rPr>
        <w:t xml:space="preserve">) </w:t>
      </w:r>
      <w:r w:rsidRPr="00103E47">
        <w:rPr>
          <w:rStyle w:val="afb"/>
          <w:rFonts w:hint="cs"/>
          <w:rtl/>
        </w:rPr>
        <w:t>בדברי</w:t>
      </w:r>
      <w:r>
        <w:rPr>
          <w:rFonts w:hint="cs"/>
          <w:rtl/>
        </w:rPr>
        <w:t xml:space="preserve"> </w:t>
      </w:r>
      <w:r w:rsidRPr="00103E47">
        <w:rPr>
          <w:rStyle w:val="affa"/>
          <w:rFonts w:hint="cs"/>
          <w:rtl/>
        </w:rPr>
        <w:t>הרא"ש</w:t>
      </w:r>
      <w:r w:rsidRPr="00103E47">
        <w:rPr>
          <w:rStyle w:val="afb"/>
          <w:rFonts w:hint="cs"/>
          <w:rtl/>
        </w:rPr>
        <w:t>]</w:t>
      </w:r>
      <w:bookmarkEnd w:id="15181"/>
      <w:r>
        <w:rPr>
          <w:rStyle w:val="afb"/>
          <w:rFonts w:hint="cs"/>
          <w:rtl/>
        </w:rPr>
        <w:t>,</w:t>
      </w:r>
      <w:r w:rsidRPr="0058056B">
        <w:rPr>
          <w:rFonts w:hint="cs"/>
          <w:rtl/>
        </w:rPr>
        <w:t xml:space="preserve"> </w:t>
      </w:r>
      <w:r>
        <w:rPr>
          <w:rFonts w:hint="cs"/>
          <w:rtl/>
        </w:rPr>
        <w:t xml:space="preserve">אך יעוי' במ"ש </w:t>
      </w:r>
      <w:r>
        <w:rPr>
          <w:rStyle w:val="af9"/>
          <w:rFonts w:hint="cs"/>
          <w:rtl/>
        </w:rPr>
        <w:t>ה</w:t>
      </w:r>
      <w:r w:rsidRPr="00103E47">
        <w:rPr>
          <w:rStyle w:val="af9"/>
          <w:rFonts w:hint="cs"/>
          <w:rtl/>
        </w:rPr>
        <w:t xml:space="preserve">רמב"ן </w:t>
      </w:r>
      <w:r w:rsidRPr="00692BA6">
        <w:rPr>
          <w:rStyle w:val="af7"/>
          <w:rFonts w:eastAsia="Guttman Hodes" w:hint="cs"/>
          <w:rtl/>
        </w:rPr>
        <w:t xml:space="preserve">(עי' אות </w:t>
      </w:r>
      <w:r w:rsidRPr="00692BA6">
        <w:rPr>
          <w:rStyle w:val="af7"/>
          <w:rFonts w:eastAsia="Guttman Hodes"/>
          <w:rtl/>
        </w:rPr>
        <w:fldChar w:fldCharType="begin"/>
      </w:r>
      <w:r w:rsidRPr="00692BA6">
        <w:rPr>
          <w:rStyle w:val="af7"/>
          <w:rFonts w:eastAsia="Guttman Hodes"/>
          <w:rtl/>
        </w:rPr>
        <w:instrText xml:space="preserve"> </w:instrText>
      </w:r>
      <w:r w:rsidRPr="00692BA6">
        <w:rPr>
          <w:rStyle w:val="af7"/>
          <w:rFonts w:eastAsia="Guttman Hodes" w:hint="cs"/>
        </w:rPr>
        <w:instrText>REF</w:instrText>
      </w:r>
      <w:r w:rsidRPr="00692BA6">
        <w:rPr>
          <w:rStyle w:val="af7"/>
          <w:rFonts w:eastAsia="Guttman Hodes" w:hint="cs"/>
          <w:rtl/>
        </w:rPr>
        <w:instrText xml:space="preserve"> _</w:instrText>
      </w:r>
      <w:r w:rsidRPr="00692BA6">
        <w:rPr>
          <w:rStyle w:val="af7"/>
          <w:rFonts w:eastAsia="Guttman Hodes" w:hint="cs"/>
        </w:rPr>
        <w:instrText>Ref64146633 \r \h</w:instrText>
      </w:r>
      <w:r w:rsidRPr="00692BA6">
        <w:rPr>
          <w:rStyle w:val="af7"/>
          <w:rFonts w:eastAsia="Guttman Hodes"/>
          <w:rtl/>
        </w:rPr>
        <w:instrText xml:space="preserve"> </w:instrText>
      </w:r>
      <w:r w:rsidRPr="00692BA6">
        <w:rPr>
          <w:rStyle w:val="af7"/>
          <w:rFonts w:eastAsia="Guttman Hodes"/>
          <w:rtl/>
        </w:rPr>
      </w:r>
      <w:r w:rsidRPr="00692BA6">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692BA6">
        <w:rPr>
          <w:rStyle w:val="af7"/>
          <w:rFonts w:eastAsia="Guttman Hodes"/>
          <w:rtl/>
        </w:rPr>
        <w:fldChar w:fldCharType="end"/>
      </w:r>
      <w:r>
        <w:rPr>
          <w:rFonts w:hint="cs"/>
          <w:rtl/>
        </w:rPr>
        <w:t xml:space="preserve"> דהיינו דוקא באופן שלא יצא הקול.</w:t>
      </w:r>
    </w:p>
    <w:p w:rsidR="00F4065E" w:rsidRDefault="00F4065E" w:rsidP="00F4065E">
      <w:pPr>
        <w:pStyle w:val="afe"/>
        <w:rPr>
          <w:rtl/>
        </w:rPr>
      </w:pPr>
      <w:bookmarkStart w:id="15182" w:name="_Toc63666762"/>
      <w:bookmarkStart w:id="15183" w:name="_Toc63675707"/>
      <w:bookmarkStart w:id="15184" w:name="_Toc63703876"/>
      <w:bookmarkStart w:id="15185" w:name="_Toc63714177"/>
      <w:bookmarkStart w:id="15186" w:name="_Toc63854291"/>
      <w:bookmarkStart w:id="15187" w:name="_Toc63942276"/>
      <w:bookmarkStart w:id="15188" w:name="_Toc63975508"/>
      <w:bookmarkStart w:id="15189" w:name="_Toc63986548"/>
      <w:bookmarkStart w:id="15190" w:name="_Toc64024676"/>
      <w:bookmarkStart w:id="15191" w:name="_Toc64036084"/>
      <w:bookmarkStart w:id="15192" w:name="_Toc64148146"/>
      <w:bookmarkStart w:id="15193" w:name="_Toc64205754"/>
      <w:bookmarkStart w:id="15194" w:name="_Toc64209434"/>
      <w:bookmarkStart w:id="15195" w:name="_Toc63703864"/>
      <w:bookmarkStart w:id="15196" w:name="_Toc63714164"/>
      <w:bookmarkStart w:id="15197" w:name="_Toc63854278"/>
      <w:bookmarkStart w:id="15198" w:name="_Toc63942260"/>
      <w:bookmarkStart w:id="15199" w:name="_Toc63975492"/>
      <w:bookmarkStart w:id="15200" w:name="_Toc63986532"/>
      <w:bookmarkStart w:id="15201" w:name="_Toc64024660"/>
      <w:bookmarkStart w:id="15202" w:name="_Toc64036068"/>
      <w:bookmarkEnd w:id="15165"/>
      <w:bookmarkEnd w:id="15166"/>
      <w:bookmarkEnd w:id="15167"/>
      <w:bookmarkEnd w:id="15168"/>
      <w:bookmarkEnd w:id="15169"/>
      <w:bookmarkEnd w:id="15170"/>
      <w:bookmarkEnd w:id="15171"/>
      <w:bookmarkEnd w:id="15172"/>
      <w:bookmarkEnd w:id="15173"/>
      <w:r>
        <w:rPr>
          <w:rFonts w:hint="cs"/>
          <w:rtl/>
        </w:rPr>
        <w:t>ד' הרשב"א</w:t>
      </w:r>
      <w:bookmarkEnd w:id="15182"/>
      <w:r>
        <w:rPr>
          <w:rFonts w:hint="cs"/>
          <w:rtl/>
        </w:rPr>
        <w:t xml:space="preserve"> דיורש חשיב כטוען ברי</w:t>
      </w:r>
      <w:bookmarkEnd w:id="15183"/>
      <w:bookmarkEnd w:id="15184"/>
      <w:bookmarkEnd w:id="15185"/>
      <w:bookmarkEnd w:id="15186"/>
      <w:bookmarkEnd w:id="15187"/>
      <w:bookmarkEnd w:id="15188"/>
      <w:bookmarkEnd w:id="15189"/>
      <w:bookmarkEnd w:id="15190"/>
      <w:bookmarkEnd w:id="15191"/>
      <w:bookmarkEnd w:id="15192"/>
      <w:bookmarkEnd w:id="15193"/>
      <w:bookmarkEnd w:id="15194"/>
    </w:p>
    <w:p w:rsidR="00F4065E" w:rsidRPr="000C2B05" w:rsidRDefault="00F4065E" w:rsidP="00F4065E">
      <w:pPr>
        <w:pStyle w:val="1"/>
        <w:rPr>
          <w:rtl/>
        </w:rPr>
      </w:pPr>
      <w:bookmarkStart w:id="15203" w:name="_Toc64205755"/>
      <w:bookmarkStart w:id="15204" w:name="_Toc64209435"/>
      <w:r>
        <w:rPr>
          <w:rFonts w:hint="cs"/>
          <w:rtl/>
        </w:rPr>
        <w:t>דברי הרשב"א דלולי המיגו צריך להחזיר דיורש חשיב כברי</w:t>
      </w:r>
      <w:bookmarkEnd w:id="15203"/>
      <w:bookmarkEnd w:id="15204"/>
    </w:p>
    <w:p w:rsidR="00F4065E" w:rsidRDefault="00F4065E" w:rsidP="00F4065E">
      <w:pPr>
        <w:pStyle w:val="a3"/>
        <w:rPr>
          <w:rtl/>
        </w:rPr>
      </w:pPr>
      <w:bookmarkStart w:id="15205" w:name="_Toc64205756"/>
      <w:bookmarkStart w:id="15206" w:name="_Toc64209436"/>
      <w:r>
        <w:rPr>
          <w:rFonts w:hint="cs"/>
          <w:rtl/>
        </w:rPr>
        <w:t>קושית הרשב"א דכיון שהיתומים לא תבעו למה א"ל להחזר הא אף אחר שאכל נאמן במיגו</w:t>
      </w:r>
      <w:bookmarkEnd w:id="15205"/>
      <w:bookmarkEnd w:id="15206"/>
    </w:p>
    <w:p w:rsidR="00F4065E" w:rsidRDefault="00F4065E" w:rsidP="007E4E81">
      <w:pPr>
        <w:pStyle w:val="a0"/>
        <w:rPr>
          <w:rtl/>
        </w:rPr>
      </w:pPr>
      <w:bookmarkStart w:id="15207" w:name="_Ref63617209"/>
      <w:r>
        <w:rPr>
          <w:rFonts w:hint="cs"/>
          <w:rtl/>
        </w:rPr>
        <w:t xml:space="preserve">הקשה </w:t>
      </w:r>
      <w:r w:rsidRPr="00E137E0">
        <w:rPr>
          <w:rStyle w:val="af9"/>
          <w:rFonts w:hint="cs"/>
          <w:rtl/>
        </w:rPr>
        <w:t>הרשב"א</w:t>
      </w:r>
      <w:r>
        <w:rPr>
          <w:rFonts w:hint="cs"/>
          <w:rtl/>
        </w:rPr>
        <w:t xml:space="preserve"> </w:t>
      </w:r>
      <w:r w:rsidRPr="00DB6AAE">
        <w:rPr>
          <w:rStyle w:val="af7"/>
          <w:rFonts w:eastAsia="Guttman Hodes" w:hint="cs"/>
          <w:rtl/>
        </w:rPr>
        <w:t xml:space="preserve">(ד"ה זיל) </w:t>
      </w:r>
      <w:r>
        <w:rPr>
          <w:rFonts w:hint="cs"/>
          <w:rtl/>
        </w:rPr>
        <w:t>דמשמע בגמ' דהיתומים לא תבעו את רבא בר שרשום לדין, אלא דמחמת הקול שאל אביי את רבא בר שרשום מה המעשה, וא"כ אמאי א"ל אביי להחזיר את הקרקע, הא כיון שאין היתומים טוענים טענת ברי, ולרבא בר שרשום יש מיגו אף לאחר שאכל את הפירות, א"כ הוא נאמן במה שאכל ופטור משבועה, והיה לאביי להניחו לאכול את שיעור החוב.</w:t>
      </w:r>
      <w:bookmarkEnd w:id="15207"/>
    </w:p>
    <w:p w:rsidR="00F4065E" w:rsidRPr="00283D9E" w:rsidRDefault="00F4065E" w:rsidP="00F4065E">
      <w:pPr>
        <w:pStyle w:val="a3"/>
        <w:rPr>
          <w:rtl/>
        </w:rPr>
      </w:pPr>
      <w:bookmarkStart w:id="15208" w:name="_Toc64205757"/>
      <w:bookmarkStart w:id="15209" w:name="_Toc64209437"/>
      <w:r>
        <w:rPr>
          <w:rFonts w:hint="cs"/>
          <w:rtl/>
        </w:rPr>
        <w:t>תירוץ הרשב"א דכל יורש חשיב כטוען ברי ורק מחמת המיגו ושהקרקע ברשותו נאמן</w:t>
      </w:r>
      <w:bookmarkEnd w:id="15208"/>
      <w:bookmarkEnd w:id="15209"/>
    </w:p>
    <w:p w:rsidR="00F4065E" w:rsidRDefault="00F4065E" w:rsidP="007E4E81">
      <w:pPr>
        <w:pStyle w:val="a0"/>
        <w:rPr>
          <w:rtl/>
        </w:rPr>
      </w:pPr>
      <w:r>
        <w:rPr>
          <w:rFonts w:hint="cs"/>
          <w:rtl/>
        </w:rPr>
        <w:t xml:space="preserve">ותירץ </w:t>
      </w:r>
      <w:r w:rsidRPr="0031153E">
        <w:rPr>
          <w:rStyle w:val="af9"/>
          <w:rFonts w:hint="cs"/>
          <w:rtl/>
        </w:rPr>
        <w:t>הרשב"א</w:t>
      </w:r>
      <w:r w:rsidRPr="0031153E">
        <w:rPr>
          <w:rFonts w:hint="cs"/>
          <w:rtl/>
        </w:rPr>
        <w:t xml:space="preserve"> דלולי המיגו ו</w:t>
      </w:r>
      <w:r>
        <w:rPr>
          <w:rFonts w:hint="cs"/>
          <w:rtl/>
        </w:rPr>
        <w:t>ש</w:t>
      </w:r>
      <w:r w:rsidRPr="0031153E">
        <w:rPr>
          <w:rFonts w:hint="cs"/>
          <w:rtl/>
        </w:rPr>
        <w:t>הקרקע</w:t>
      </w:r>
      <w:r>
        <w:rPr>
          <w:rFonts w:hint="cs"/>
          <w:rtl/>
        </w:rPr>
        <w:t xml:space="preserve"> הייתה ברשותו</w:t>
      </w:r>
      <w:r w:rsidRPr="0031153E">
        <w:rPr>
          <w:rFonts w:hint="cs"/>
          <w:rtl/>
        </w:rPr>
        <w:t>, היה רבא בר שרשום צריך להחזיר את</w:t>
      </w:r>
      <w:r>
        <w:rPr>
          <w:rFonts w:hint="cs"/>
          <w:rtl/>
        </w:rPr>
        <w:t xml:space="preserve"> הפירות, דחשיב שהיתומים טוענים טענת ברי, שאכל את פירות הקרקע שלהם, </w:t>
      </w:r>
      <w:r w:rsidRPr="00FD144D">
        <w:rPr>
          <w:rStyle w:val="afb"/>
          <w:rFonts w:hint="cs"/>
          <w:rtl/>
        </w:rPr>
        <w:t>[כיון שאינם יכולים לדעת יותר],</w:t>
      </w:r>
      <w:r>
        <w:rPr>
          <w:rFonts w:hint="cs"/>
          <w:rtl/>
        </w:rPr>
        <w:t xml:space="preserve"> וכתב </w:t>
      </w:r>
      <w:r w:rsidRPr="00E137E0">
        <w:rPr>
          <w:rStyle w:val="af9"/>
          <w:rFonts w:hint="cs"/>
          <w:rtl/>
        </w:rPr>
        <w:t>הרשב"א</w:t>
      </w:r>
      <w:r>
        <w:rPr>
          <w:rFonts w:hint="cs"/>
          <w:rtl/>
        </w:rPr>
        <w:t xml:space="preserve"> דאי לא אמרינן הכי א"כ לא שבקת חיי לכל יורש, דכ"א יכול לבא וליטול מתוך ביתו של היורש, ויטען אביך מכרו לי או שיש לי חוב עליו, והיורש אינו יודע להשיב לו.</w:t>
      </w:r>
    </w:p>
    <w:p w:rsidR="00F4065E" w:rsidRDefault="00F4065E" w:rsidP="00F4065E">
      <w:pPr>
        <w:pStyle w:val="afe"/>
        <w:rPr>
          <w:rtl/>
        </w:rPr>
      </w:pPr>
      <w:bookmarkStart w:id="15210" w:name="_Toc64205758"/>
      <w:bookmarkStart w:id="15211" w:name="_Toc64209438"/>
      <w:bookmarkStart w:id="15212" w:name="_Toc64148147"/>
      <w:r>
        <w:rPr>
          <w:rFonts w:hint="cs"/>
          <w:rtl/>
        </w:rPr>
        <w:t>פלוגתת הרמב"ם והראב"ד ברבא ב"ש</w:t>
      </w:r>
      <w:bookmarkEnd w:id="15210"/>
      <w:bookmarkEnd w:id="15211"/>
    </w:p>
    <w:p w:rsidR="00F4065E" w:rsidRDefault="00F4065E" w:rsidP="00F4065E">
      <w:pPr>
        <w:pStyle w:val="1"/>
        <w:rPr>
          <w:rtl/>
        </w:rPr>
      </w:pPr>
      <w:bookmarkStart w:id="15213" w:name="_Toc64205759"/>
      <w:bookmarkStart w:id="15214" w:name="_Toc64209439"/>
      <w:r>
        <w:rPr>
          <w:rFonts w:hint="cs"/>
          <w:rtl/>
        </w:rPr>
        <w:t>דברי הרמב"ם</w:t>
      </w:r>
      <w:bookmarkEnd w:id="15195"/>
      <w:bookmarkEnd w:id="15196"/>
      <w:bookmarkEnd w:id="15197"/>
      <w:bookmarkEnd w:id="15198"/>
      <w:bookmarkEnd w:id="15199"/>
      <w:bookmarkEnd w:id="15200"/>
      <w:bookmarkEnd w:id="15201"/>
      <w:bookmarkEnd w:id="15202"/>
      <w:bookmarkEnd w:id="15212"/>
      <w:r>
        <w:rPr>
          <w:rFonts w:hint="cs"/>
          <w:rtl/>
        </w:rPr>
        <w:t xml:space="preserve"> דכיון שלא החזיק בחיי האב ויצא קול אינו נאמן</w:t>
      </w:r>
      <w:bookmarkEnd w:id="15213"/>
      <w:bookmarkEnd w:id="15214"/>
    </w:p>
    <w:p w:rsidR="00F4065E" w:rsidRDefault="00F4065E" w:rsidP="00F4065E">
      <w:pPr>
        <w:pStyle w:val="a3"/>
        <w:rPr>
          <w:rtl/>
        </w:rPr>
      </w:pPr>
      <w:bookmarkStart w:id="15215" w:name="_Toc64205760"/>
      <w:bookmarkStart w:id="15216" w:name="_Toc64209440"/>
      <w:r>
        <w:rPr>
          <w:rFonts w:hint="cs"/>
          <w:rtl/>
        </w:rPr>
        <w:t>דברי הרמב"ם דבהחזיק בפני היתומים נאמן במיגו וכשיש קול ל"מ חזקתו דל"מ חזקה בנכסי קטן</w:t>
      </w:r>
      <w:bookmarkEnd w:id="15215"/>
      <w:bookmarkEnd w:id="15216"/>
    </w:p>
    <w:p w:rsidR="00F4065E" w:rsidRDefault="00F4065E" w:rsidP="007E4E81">
      <w:pPr>
        <w:pStyle w:val="a0"/>
        <w:rPr>
          <w:rtl/>
        </w:rPr>
      </w:pPr>
      <w:bookmarkStart w:id="15217" w:name="_Ref63702477"/>
      <w:r>
        <w:rPr>
          <w:rFonts w:hint="cs"/>
          <w:rtl/>
        </w:rPr>
        <w:t xml:space="preserve">כתב </w:t>
      </w:r>
      <w:r w:rsidRPr="00691C13">
        <w:rPr>
          <w:rStyle w:val="af9"/>
          <w:rFonts w:hint="cs"/>
          <w:rtl/>
        </w:rPr>
        <w:t>הרמב"ם</w:t>
      </w:r>
      <w:r w:rsidRPr="00220B3F">
        <w:rPr>
          <w:rStyle w:val="af7"/>
          <w:rFonts w:eastAsia="Guttman Hodes" w:hint="cs"/>
          <w:rtl/>
        </w:rPr>
        <w:t xml:space="preserve"> (טו"נ פי"ד ה"ח) </w:t>
      </w:r>
      <w:r>
        <w:rPr>
          <w:rFonts w:hint="cs"/>
          <w:rtl/>
        </w:rPr>
        <w:t>דהמחזיק שנים רבות בנכסי יתומים קטנים</w:t>
      </w:r>
      <w:r w:rsidRPr="00CF0BB0">
        <w:rPr>
          <w:vertAlign w:val="superscript"/>
          <w:rtl/>
        </w:rPr>
        <w:fldChar w:fldCharType="begin"/>
      </w:r>
      <w:r w:rsidRPr="00CF0BB0">
        <w:rPr>
          <w:vertAlign w:val="superscript"/>
          <w:rtl/>
        </w:rPr>
        <w:instrText xml:space="preserve"> </w:instrText>
      </w:r>
      <w:r w:rsidRPr="00CF0BB0">
        <w:rPr>
          <w:rFonts w:hint="cs"/>
          <w:vertAlign w:val="superscript"/>
        </w:rPr>
        <w:instrText>NOTEREF</w:instrText>
      </w:r>
      <w:r w:rsidRPr="00CF0BB0">
        <w:rPr>
          <w:rFonts w:hint="cs"/>
          <w:vertAlign w:val="superscript"/>
          <w:rtl/>
        </w:rPr>
        <w:instrText xml:space="preserve"> _</w:instrText>
      </w:r>
      <w:r w:rsidRPr="00CF0BB0">
        <w:rPr>
          <w:rFonts w:hint="cs"/>
          <w:vertAlign w:val="superscript"/>
        </w:rPr>
        <w:instrText>Ref63934395 \h</w:instrText>
      </w:r>
      <w:r w:rsidRPr="00CF0BB0">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CF0BB0">
        <w:rPr>
          <w:vertAlign w:val="superscript"/>
          <w:rtl/>
        </w:rPr>
      </w:r>
      <w:r w:rsidRPr="00CF0BB0">
        <w:rPr>
          <w:vertAlign w:val="superscript"/>
          <w:rtl/>
        </w:rPr>
        <w:fldChar w:fldCharType="separate"/>
      </w:r>
      <w:r w:rsidR="00265073">
        <w:rPr>
          <w:vertAlign w:val="superscript"/>
          <w:rtl/>
        </w:rPr>
        <w:t>108</w:t>
      </w:r>
      <w:r w:rsidRPr="00CF0BB0">
        <w:rPr>
          <w:vertAlign w:val="superscript"/>
          <w:rtl/>
        </w:rPr>
        <w:fldChar w:fldCharType="end"/>
      </w:r>
      <w:r>
        <w:rPr>
          <w:rFonts w:hint="cs"/>
          <w:rtl/>
        </w:rPr>
        <w:t xml:space="preserve">, שאינם מוחזקים לאביו של הקטן, ואמר שהם משכון בידו, אך יש לו חוב עליו נאמן, כיון שהיה יכול לטעון לקוחים הם בידי, </w:t>
      </w:r>
      <w:r>
        <w:rPr>
          <w:rFonts w:hint="cs"/>
          <w:rtl/>
        </w:rPr>
        <w:lastRenderedPageBreak/>
        <w:t>ולכן הוא יכול לגבות מהשבח</w:t>
      </w:r>
      <w:r>
        <w:rPr>
          <w:rStyle w:val="af1"/>
          <w:rtl/>
        </w:rPr>
        <w:footnoteReference w:id="110"/>
      </w:r>
      <w:r>
        <w:rPr>
          <w:rFonts w:hint="cs"/>
          <w:rtl/>
        </w:rPr>
        <w:t xml:space="preserve"> של הקרקע את החוב שטוען, ויחזיר את הנכסים ליתומים, אך כתב </w:t>
      </w:r>
      <w:r w:rsidRPr="009C2449">
        <w:rPr>
          <w:rStyle w:val="af9"/>
          <w:rFonts w:hint="cs"/>
          <w:rtl/>
        </w:rPr>
        <w:t>הרמב"ם</w:t>
      </w:r>
      <w:r>
        <w:rPr>
          <w:rFonts w:hint="cs"/>
          <w:rtl/>
        </w:rPr>
        <w:t xml:space="preserve"> דאם יצא קול שהקרקע היא של היתומים, אינו נאמן שיש לו חוב עליו, כיון שאין מחזיקין בנכסי קטן, וצריך להחזיר את השדה עם כל הפירות שאכל, וכשיגדלו היתומים יתבעם על החוב.</w:t>
      </w:r>
      <w:bookmarkEnd w:id="15217"/>
    </w:p>
    <w:p w:rsidR="00F4065E" w:rsidRPr="003E3C7D" w:rsidRDefault="00F4065E" w:rsidP="00F4065E">
      <w:pPr>
        <w:pStyle w:val="a3"/>
      </w:pPr>
      <w:bookmarkStart w:id="15218" w:name="_Toc64205761"/>
      <w:bookmarkStart w:id="15219" w:name="_Toc64209441"/>
      <w:r>
        <w:rPr>
          <w:rFonts w:hint="cs"/>
          <w:rtl/>
        </w:rPr>
        <w:t>דברי הרמב"ם דבהחזיק ג"ש בחיי האב דיש לו מיגו דלקוחה נאמן לטעון שיש לו חוב עליהם</w:t>
      </w:r>
      <w:bookmarkEnd w:id="15218"/>
      <w:bookmarkEnd w:id="15219"/>
    </w:p>
    <w:p w:rsidR="00F4065E" w:rsidRDefault="00F4065E" w:rsidP="007E4E81">
      <w:pPr>
        <w:pStyle w:val="a0"/>
        <w:rPr>
          <w:rtl/>
        </w:rPr>
      </w:pPr>
      <w:bookmarkStart w:id="15220" w:name="_Ref63702464"/>
      <w:r>
        <w:rPr>
          <w:rFonts w:hint="cs"/>
          <w:rtl/>
        </w:rPr>
        <w:t xml:space="preserve">והוסיף </w:t>
      </w:r>
      <w:r w:rsidRPr="009C2449">
        <w:rPr>
          <w:rStyle w:val="af9"/>
          <w:rFonts w:hint="cs"/>
          <w:rtl/>
        </w:rPr>
        <w:t>הרמב"ם</w:t>
      </w:r>
      <w:r>
        <w:rPr>
          <w:rFonts w:hint="cs"/>
          <w:rtl/>
        </w:rPr>
        <w:t xml:space="preserve"> </w:t>
      </w:r>
      <w:r w:rsidRPr="00220B3F">
        <w:rPr>
          <w:rStyle w:val="af7"/>
          <w:rFonts w:eastAsia="Guttman Hodes" w:hint="cs"/>
          <w:rtl/>
        </w:rPr>
        <w:t>(טו"נ פי"ד ה"ט)</w:t>
      </w:r>
      <w:r>
        <w:rPr>
          <w:rFonts w:hint="cs"/>
          <w:rtl/>
        </w:rPr>
        <w:t xml:space="preserve"> דאם יש למחזיק חזקת ג"ש, </w:t>
      </w:r>
      <w:r w:rsidRPr="002C2001">
        <w:rPr>
          <w:rStyle w:val="afb"/>
          <w:rFonts w:hint="cs"/>
          <w:rtl/>
        </w:rPr>
        <w:t>[בחיי האב],</w:t>
      </w:r>
      <w:r>
        <w:rPr>
          <w:rFonts w:hint="cs"/>
          <w:rtl/>
        </w:rPr>
        <w:t xml:space="preserve"> כיון שהוא נאמן לומר שקנה מאביהם של היתומים, הוא נאמן במיגו לטעון שיש לו חוב על אביהם, וגובה את החוב מהפירות בלי שבועה, דהא יש לו מיגו דהיה טוען שהפירות הם שלו</w:t>
      </w:r>
      <w:bookmarkEnd w:id="15220"/>
      <w:r>
        <w:rPr>
          <w:rFonts w:hint="cs"/>
          <w:rtl/>
        </w:rPr>
        <w:t xml:space="preserve">, וכתב </w:t>
      </w:r>
      <w:r w:rsidRPr="009C2449">
        <w:rPr>
          <w:rStyle w:val="af9"/>
          <w:rFonts w:hint="cs"/>
          <w:rtl/>
        </w:rPr>
        <w:t>המ"מ</w:t>
      </w:r>
      <w:r>
        <w:rPr>
          <w:rFonts w:hint="cs"/>
          <w:rtl/>
        </w:rPr>
        <w:t xml:space="preserve"> </w:t>
      </w:r>
      <w:r w:rsidRPr="00220B3F">
        <w:rPr>
          <w:rStyle w:val="af7"/>
          <w:rFonts w:eastAsia="Guttman Hodes" w:hint="cs"/>
          <w:rtl/>
        </w:rPr>
        <w:t>(טו"נ פי"ד ה"ח)</w:t>
      </w:r>
      <w:r>
        <w:rPr>
          <w:rFonts w:hint="cs"/>
          <w:rtl/>
        </w:rPr>
        <w:t xml:space="preserve"> דכל דברי </w:t>
      </w:r>
      <w:r w:rsidRPr="009C2449">
        <w:rPr>
          <w:rStyle w:val="af9"/>
          <w:rFonts w:hint="cs"/>
          <w:rtl/>
        </w:rPr>
        <w:t>הרמב"ם</w:t>
      </w:r>
      <w:r>
        <w:rPr>
          <w:rFonts w:hint="cs"/>
          <w:rtl/>
        </w:rPr>
        <w:t xml:space="preserve"> הם כדברי </w:t>
      </w:r>
      <w:r w:rsidRPr="009C2449">
        <w:rPr>
          <w:rStyle w:val="af9"/>
          <w:rFonts w:hint="cs"/>
          <w:rtl/>
        </w:rPr>
        <w:t>הר"י מגאש</w:t>
      </w:r>
      <w:r>
        <w:rPr>
          <w:rFonts w:hint="cs"/>
          <w:rtl/>
        </w:rPr>
        <w:t xml:space="preserve"> </w:t>
      </w:r>
      <w:r w:rsidRPr="001533AF">
        <w:rPr>
          <w:rStyle w:val="af7"/>
          <w:rFonts w:eastAsia="Guttman Hodes" w:hint="cs"/>
          <w:rtl/>
        </w:rPr>
        <w:t xml:space="preserve">(עי' אות </w:t>
      </w:r>
      <w:r w:rsidRPr="001533AF">
        <w:rPr>
          <w:rStyle w:val="af7"/>
          <w:rFonts w:eastAsia="Guttman Hodes"/>
          <w:rtl/>
        </w:rPr>
        <w:fldChar w:fldCharType="begin"/>
      </w:r>
      <w:r w:rsidRPr="001533AF">
        <w:rPr>
          <w:rStyle w:val="af7"/>
          <w:rFonts w:eastAsia="Guttman Hodes"/>
          <w:rtl/>
        </w:rPr>
        <w:instrText xml:space="preserve"> </w:instrText>
      </w:r>
      <w:r w:rsidRPr="001533AF">
        <w:rPr>
          <w:rStyle w:val="af7"/>
          <w:rFonts w:eastAsia="Guttman Hodes" w:hint="cs"/>
        </w:rPr>
        <w:instrText>REF</w:instrText>
      </w:r>
      <w:r w:rsidRPr="001533AF">
        <w:rPr>
          <w:rStyle w:val="af7"/>
          <w:rFonts w:eastAsia="Guttman Hodes" w:hint="cs"/>
          <w:rtl/>
        </w:rPr>
        <w:instrText xml:space="preserve"> _</w:instrText>
      </w:r>
      <w:r w:rsidRPr="001533AF">
        <w:rPr>
          <w:rStyle w:val="af7"/>
          <w:rFonts w:eastAsia="Guttman Hodes" w:hint="cs"/>
        </w:rPr>
        <w:instrText>Ref64195271 \r \h</w:instrText>
      </w:r>
      <w:r w:rsidRPr="001533AF">
        <w:rPr>
          <w:rStyle w:val="af7"/>
          <w:rFonts w:eastAsia="Guttman Hodes"/>
          <w:rtl/>
        </w:rPr>
        <w:instrText xml:space="preserve"> </w:instrText>
      </w:r>
      <w:r w:rsidRPr="001533AF">
        <w:rPr>
          <w:rStyle w:val="af7"/>
          <w:rFonts w:eastAsia="Guttman Hodes"/>
          <w:rtl/>
        </w:rPr>
      </w:r>
      <w:r w:rsidRPr="001533AF">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1533AF">
        <w:rPr>
          <w:rStyle w:val="af7"/>
          <w:rFonts w:eastAsia="Guttman Hodes"/>
          <w:rtl/>
        </w:rPr>
        <w:fldChar w:fldCharType="end"/>
      </w:r>
      <w:r>
        <w:rPr>
          <w:rFonts w:hint="cs"/>
          <w:rtl/>
        </w:rPr>
        <w:t>.</w:t>
      </w:r>
    </w:p>
    <w:p w:rsidR="00F4065E" w:rsidRDefault="00F4065E" w:rsidP="00F4065E">
      <w:pPr>
        <w:pStyle w:val="a3"/>
        <w:rPr>
          <w:rtl/>
        </w:rPr>
      </w:pPr>
      <w:bookmarkStart w:id="15221" w:name="_Toc64205762"/>
      <w:bookmarkStart w:id="15222" w:name="_Toc64209442"/>
      <w:r>
        <w:rPr>
          <w:rFonts w:hint="cs"/>
          <w:rtl/>
        </w:rPr>
        <w:t>דברי סה"ת דלרמב"ם ל"מ תפיסה בין בחיי האב ובין לאח"מ ורק במיגו דלקוחה נאמן</w:t>
      </w:r>
      <w:bookmarkEnd w:id="15221"/>
      <w:bookmarkEnd w:id="15222"/>
    </w:p>
    <w:p w:rsidR="00F4065E" w:rsidRPr="00170ED7" w:rsidRDefault="00F4065E" w:rsidP="007E4E81">
      <w:pPr>
        <w:pStyle w:val="a0"/>
        <w:rPr>
          <w:rtl/>
        </w:rPr>
      </w:pPr>
      <w:bookmarkStart w:id="15223" w:name="_Ref64209057"/>
      <w:r>
        <w:rPr>
          <w:rFonts w:hint="cs"/>
          <w:rtl/>
        </w:rPr>
        <w:t xml:space="preserve">וכתב </w:t>
      </w:r>
      <w:r w:rsidRPr="00326B60">
        <w:rPr>
          <w:rStyle w:val="af9"/>
          <w:rFonts w:hint="cs"/>
          <w:rtl/>
        </w:rPr>
        <w:t>בספר התרומות</w:t>
      </w:r>
      <w:r>
        <w:rPr>
          <w:rFonts w:hint="cs"/>
          <w:rtl/>
        </w:rPr>
        <w:t xml:space="preserve"> </w:t>
      </w:r>
      <w:r w:rsidRPr="00326B60">
        <w:rPr>
          <w:rStyle w:val="af7"/>
          <w:rFonts w:eastAsia="Guttman Hodes" w:hint="cs"/>
          <w:rtl/>
        </w:rPr>
        <w:t>(</w:t>
      </w:r>
      <w:r w:rsidRPr="00326B60">
        <w:rPr>
          <w:rStyle w:val="af7"/>
          <w:rFonts w:eastAsia="Guttman Hodes"/>
          <w:rtl/>
        </w:rPr>
        <w:t>שער י</w:t>
      </w:r>
      <w:r w:rsidRPr="00326B60">
        <w:rPr>
          <w:rStyle w:val="af7"/>
          <w:rFonts w:eastAsia="Guttman Hodes" w:hint="cs"/>
          <w:rtl/>
        </w:rPr>
        <w:t>"</w:t>
      </w:r>
      <w:r w:rsidRPr="00326B60">
        <w:rPr>
          <w:rStyle w:val="af7"/>
          <w:rFonts w:eastAsia="Guttman Hodes"/>
          <w:rtl/>
        </w:rPr>
        <w:t>ד ח</w:t>
      </w:r>
      <w:r w:rsidRPr="00326B60">
        <w:rPr>
          <w:rStyle w:val="af7"/>
          <w:rFonts w:eastAsia="Guttman Hodes" w:hint="cs"/>
          <w:rtl/>
        </w:rPr>
        <w:t>"</w:t>
      </w:r>
      <w:r w:rsidRPr="00326B60">
        <w:rPr>
          <w:rStyle w:val="af7"/>
          <w:rFonts w:eastAsia="Guttman Hodes"/>
          <w:rtl/>
        </w:rPr>
        <w:t>א או</w:t>
      </w:r>
      <w:r w:rsidRPr="00326B60">
        <w:rPr>
          <w:rStyle w:val="af7"/>
          <w:rFonts w:eastAsia="Guttman Hodes" w:hint="cs"/>
          <w:rtl/>
        </w:rPr>
        <w:t>'</w:t>
      </w:r>
      <w:r w:rsidRPr="00326B60">
        <w:rPr>
          <w:rStyle w:val="af7"/>
          <w:rFonts w:eastAsia="Guttman Hodes"/>
          <w:rtl/>
        </w:rPr>
        <w:t xml:space="preserve"> ו</w:t>
      </w:r>
      <w:r w:rsidRPr="00326B60">
        <w:rPr>
          <w:rStyle w:val="af7"/>
          <w:rFonts w:eastAsia="Guttman Hodes" w:hint="cs"/>
          <w:rtl/>
        </w:rPr>
        <w:t>'</w:t>
      </w:r>
      <w:r>
        <w:rPr>
          <w:rStyle w:val="af7"/>
          <w:rFonts w:eastAsia="Guttman Hodes" w:hint="cs"/>
          <w:rtl/>
        </w:rPr>
        <w:t>)</w:t>
      </w:r>
      <w:r w:rsidRPr="00326B60">
        <w:rPr>
          <w:rStyle w:val="af7"/>
          <w:rFonts w:eastAsia="Guttman Hodes" w:hint="cs"/>
          <w:rtl/>
        </w:rPr>
        <w:t xml:space="preserve"> </w:t>
      </w:r>
      <w:r>
        <w:rPr>
          <w:rFonts w:hint="cs"/>
          <w:rtl/>
        </w:rPr>
        <w:t xml:space="preserve">דמבואר מדברי </w:t>
      </w:r>
      <w:r w:rsidRPr="00B66A6C">
        <w:rPr>
          <w:rStyle w:val="af9"/>
          <w:rFonts w:hint="cs"/>
          <w:rtl/>
        </w:rPr>
        <w:t>הרמב"ם</w:t>
      </w:r>
      <w:r>
        <w:rPr>
          <w:rFonts w:hint="cs"/>
          <w:rtl/>
        </w:rPr>
        <w:t xml:space="preserve"> </w:t>
      </w:r>
      <w:r w:rsidRPr="00CD7289">
        <w:rPr>
          <w:rStyle w:val="af7"/>
          <w:rFonts w:eastAsia="Guttman Hodes" w:hint="cs"/>
          <w:rtl/>
        </w:rPr>
        <w:t xml:space="preserve">(עי' אות </w:t>
      </w:r>
      <w:r w:rsidRPr="00CD7289">
        <w:rPr>
          <w:rStyle w:val="af7"/>
          <w:rFonts w:eastAsia="Guttman Hodes"/>
          <w:rtl/>
        </w:rPr>
        <w:fldChar w:fldCharType="begin"/>
      </w:r>
      <w:r w:rsidRPr="00CD7289">
        <w:rPr>
          <w:rStyle w:val="af7"/>
          <w:rFonts w:eastAsia="Guttman Hodes"/>
          <w:rtl/>
        </w:rPr>
        <w:instrText xml:space="preserve"> </w:instrText>
      </w:r>
      <w:r w:rsidRPr="00CD7289">
        <w:rPr>
          <w:rStyle w:val="af7"/>
          <w:rFonts w:eastAsia="Guttman Hodes" w:hint="cs"/>
        </w:rPr>
        <w:instrText>REF</w:instrText>
      </w:r>
      <w:r w:rsidRPr="00CD7289">
        <w:rPr>
          <w:rStyle w:val="af7"/>
          <w:rFonts w:eastAsia="Guttman Hodes" w:hint="cs"/>
          <w:rtl/>
        </w:rPr>
        <w:instrText xml:space="preserve"> _</w:instrText>
      </w:r>
      <w:r w:rsidRPr="00CD7289">
        <w:rPr>
          <w:rStyle w:val="af7"/>
          <w:rFonts w:eastAsia="Guttman Hodes" w:hint="cs"/>
        </w:rPr>
        <w:instrText>Ref63702477 \r \h</w:instrText>
      </w:r>
      <w:r w:rsidRPr="00CD7289">
        <w:rPr>
          <w:rStyle w:val="af7"/>
          <w:rFonts w:eastAsia="Guttman Hodes"/>
          <w:rtl/>
        </w:rPr>
        <w:instrText xml:space="preserve"> </w:instrText>
      </w:r>
      <w:r w:rsidRPr="00CD7289">
        <w:rPr>
          <w:rStyle w:val="af7"/>
          <w:rFonts w:eastAsia="Guttman Hodes"/>
          <w:rtl/>
        </w:rPr>
      </w:r>
      <w:r w:rsidRPr="00CD7289">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CD7289">
        <w:rPr>
          <w:rStyle w:val="af7"/>
          <w:rFonts w:eastAsia="Guttman Hodes"/>
          <w:rtl/>
        </w:rPr>
        <w:fldChar w:fldCharType="end"/>
      </w:r>
      <w:r>
        <w:rPr>
          <w:rFonts w:hint="cs"/>
          <w:rtl/>
        </w:rPr>
        <w:t xml:space="preserve"> דלא מהני תפיסה בנכסי קטן, בין בחיי האב ובין לאחר מיתתו, ואם תפס מוציאין ממנו, ורק באופן שיש לו מיגו שיכול לטעון דהקרקע לקוחה בידו, נאמן לומר שיש לו חוב והוא יכול לגבות את החוב ע"י שיאכל את הפירות, וא"צ להשבע, ולא חיישינן לשובר או פרעון, ואם אין ליתומים עידי מרא קמא נאמן אף כשהחזיק בפני הקטן, ואם יש עידי מרא קמא נאמן כשהחזיק ג"ש בפני האב, דיש לו מיגו דלקוחה היא בידי.</w:t>
      </w:r>
      <w:bookmarkEnd w:id="15223"/>
    </w:p>
    <w:p w:rsidR="00F4065E" w:rsidRDefault="00F4065E" w:rsidP="00F4065E">
      <w:pPr>
        <w:pStyle w:val="1"/>
        <w:rPr>
          <w:rtl/>
        </w:rPr>
      </w:pPr>
      <w:bookmarkStart w:id="15224" w:name="_Toc63703865"/>
      <w:bookmarkStart w:id="15225" w:name="_Toc63714165"/>
      <w:bookmarkStart w:id="15226" w:name="_Toc63854279"/>
      <w:bookmarkStart w:id="15227" w:name="_Toc63942261"/>
      <w:bookmarkStart w:id="15228" w:name="_Toc63975493"/>
      <w:bookmarkStart w:id="15229" w:name="_Toc63986533"/>
      <w:bookmarkStart w:id="15230" w:name="_Toc64024661"/>
      <w:bookmarkStart w:id="15231" w:name="_Toc64036069"/>
      <w:bookmarkStart w:id="15232" w:name="_Toc64148148"/>
      <w:bookmarkStart w:id="15233" w:name="_Toc64205763"/>
      <w:bookmarkStart w:id="15234" w:name="_Toc64209443"/>
      <w:r>
        <w:rPr>
          <w:rFonts w:hint="cs"/>
          <w:rtl/>
        </w:rPr>
        <w:t>דברי הראב"ד</w:t>
      </w:r>
      <w:bookmarkEnd w:id="15224"/>
      <w:bookmarkEnd w:id="15225"/>
      <w:bookmarkEnd w:id="15226"/>
      <w:bookmarkEnd w:id="15227"/>
      <w:bookmarkEnd w:id="15228"/>
      <w:bookmarkEnd w:id="15229"/>
      <w:bookmarkEnd w:id="15230"/>
      <w:bookmarkEnd w:id="15231"/>
      <w:bookmarkEnd w:id="15232"/>
      <w:r>
        <w:rPr>
          <w:rFonts w:hint="cs"/>
          <w:rtl/>
        </w:rPr>
        <w:t xml:space="preserve"> דבחזקה נאמן על מה שאכל במיגו בלא שבועה</w:t>
      </w:r>
      <w:bookmarkEnd w:id="15233"/>
      <w:bookmarkEnd w:id="15234"/>
      <w:r>
        <w:rPr>
          <w:rFonts w:hint="cs"/>
          <w:rtl/>
        </w:rPr>
        <w:t xml:space="preserve"> </w:t>
      </w:r>
    </w:p>
    <w:p w:rsidR="00F4065E" w:rsidRPr="003E3C7D" w:rsidRDefault="00F4065E" w:rsidP="00F4065E">
      <w:pPr>
        <w:pStyle w:val="a3"/>
        <w:rPr>
          <w:rtl/>
        </w:rPr>
      </w:pPr>
      <w:bookmarkStart w:id="15235" w:name="_Toc64205764"/>
      <w:bookmarkStart w:id="15236" w:name="_Toc64209444"/>
      <w:r>
        <w:rPr>
          <w:rFonts w:hint="cs"/>
          <w:rtl/>
        </w:rPr>
        <w:t>קושית הראב"ד דמשמע ברמב"ם שאין להם עידי מר"ק וא"כ רבא ב"ש נאמן במיגו דלהד"ם</w:t>
      </w:r>
      <w:bookmarkEnd w:id="15235"/>
      <w:bookmarkEnd w:id="15236"/>
    </w:p>
    <w:p w:rsidR="00F4065E" w:rsidRPr="00FE3B23" w:rsidRDefault="00F4065E" w:rsidP="007E4E81">
      <w:pPr>
        <w:pStyle w:val="a0"/>
        <w:rPr>
          <w:rStyle w:val="afb"/>
          <w:rtl/>
        </w:rPr>
      </w:pPr>
      <w:bookmarkStart w:id="15237" w:name="_Ref63960634"/>
      <w:bookmarkStart w:id="15238" w:name="_Ref64200467"/>
      <w:r>
        <w:rPr>
          <w:rFonts w:hint="cs"/>
          <w:rtl/>
        </w:rPr>
        <w:t xml:space="preserve">וכתב </w:t>
      </w:r>
      <w:r w:rsidRPr="009C2449">
        <w:rPr>
          <w:rStyle w:val="af9"/>
          <w:rFonts w:hint="cs"/>
          <w:rtl/>
        </w:rPr>
        <w:t>הראב"ד</w:t>
      </w:r>
      <w:r>
        <w:rPr>
          <w:rFonts w:hint="cs"/>
          <w:rtl/>
        </w:rPr>
        <w:t xml:space="preserve"> </w:t>
      </w:r>
      <w:r w:rsidRPr="00993BD2">
        <w:rPr>
          <w:rStyle w:val="af7"/>
          <w:rFonts w:eastAsia="Guttman Hodes" w:hint="cs"/>
          <w:rtl/>
        </w:rPr>
        <w:t xml:space="preserve">(טו"נ פי"ד ה"ח) </w:t>
      </w:r>
      <w:r>
        <w:rPr>
          <w:rFonts w:hint="cs"/>
          <w:rtl/>
        </w:rPr>
        <w:t>דמשמע מדברי</w:t>
      </w:r>
      <w:r w:rsidRPr="009C2449">
        <w:rPr>
          <w:rStyle w:val="af9"/>
          <w:rFonts w:hint="cs"/>
          <w:rtl/>
        </w:rPr>
        <w:t xml:space="preserve"> הרמב"ם</w:t>
      </w:r>
      <w:r>
        <w:rPr>
          <w:rFonts w:hint="cs"/>
          <w:rtl/>
        </w:rPr>
        <w:t xml:space="preserve"> </w:t>
      </w:r>
      <w:r w:rsidRPr="00993BD2">
        <w:rPr>
          <w:rStyle w:val="af7"/>
          <w:rFonts w:eastAsia="Guttman Hodes" w:hint="cs"/>
          <w:rtl/>
        </w:rPr>
        <w:t xml:space="preserve">(עי' אות </w:t>
      </w:r>
      <w:r w:rsidRPr="00993BD2">
        <w:rPr>
          <w:rStyle w:val="af7"/>
          <w:rFonts w:eastAsia="Guttman Hodes"/>
          <w:rtl/>
        </w:rPr>
        <w:fldChar w:fldCharType="begin"/>
      </w:r>
      <w:r w:rsidRPr="00993BD2">
        <w:rPr>
          <w:rStyle w:val="af7"/>
          <w:rFonts w:eastAsia="Guttman Hodes"/>
          <w:rtl/>
        </w:rPr>
        <w:instrText xml:space="preserve"> </w:instrText>
      </w:r>
      <w:r w:rsidRPr="00993BD2">
        <w:rPr>
          <w:rStyle w:val="af7"/>
          <w:rFonts w:eastAsia="Guttman Hodes" w:hint="cs"/>
        </w:rPr>
        <w:instrText>REF</w:instrText>
      </w:r>
      <w:r w:rsidRPr="00993BD2">
        <w:rPr>
          <w:rStyle w:val="af7"/>
          <w:rFonts w:eastAsia="Guttman Hodes" w:hint="cs"/>
          <w:rtl/>
        </w:rPr>
        <w:instrText xml:space="preserve"> _</w:instrText>
      </w:r>
      <w:r w:rsidRPr="00993BD2">
        <w:rPr>
          <w:rStyle w:val="af7"/>
          <w:rFonts w:eastAsia="Guttman Hodes" w:hint="cs"/>
        </w:rPr>
        <w:instrText>Ref63702477 \r \h</w:instrText>
      </w:r>
      <w:r w:rsidRPr="00993BD2">
        <w:rPr>
          <w:rStyle w:val="af7"/>
          <w:rFonts w:eastAsia="Guttman Hodes"/>
          <w:rtl/>
        </w:rPr>
        <w:instrText xml:space="preserve">  \* </w:instrText>
      </w:r>
      <w:r w:rsidRPr="00993BD2">
        <w:rPr>
          <w:rStyle w:val="af7"/>
          <w:rFonts w:eastAsia="Guttman Hodes"/>
        </w:rPr>
        <w:instrText>MERGEFORMAT</w:instrText>
      </w:r>
      <w:r w:rsidRPr="00993BD2">
        <w:rPr>
          <w:rStyle w:val="af7"/>
          <w:rFonts w:eastAsia="Guttman Hodes"/>
          <w:rtl/>
        </w:rPr>
        <w:instrText xml:space="preserve"> </w:instrText>
      </w:r>
      <w:r w:rsidRPr="00993BD2">
        <w:rPr>
          <w:rStyle w:val="af7"/>
          <w:rFonts w:eastAsia="Guttman Hodes"/>
          <w:rtl/>
        </w:rPr>
      </w:r>
      <w:r w:rsidRPr="00993BD2">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993BD2">
        <w:rPr>
          <w:rStyle w:val="af7"/>
          <w:rFonts w:eastAsia="Guttman Hodes"/>
          <w:rtl/>
        </w:rPr>
        <w:fldChar w:fldCharType="end"/>
      </w:r>
      <w:r>
        <w:rPr>
          <w:rFonts w:hint="cs"/>
          <w:rtl/>
        </w:rPr>
        <w:t xml:space="preserve"> דביאר בסוגיין דלא היו עדים שהקרקע הייתה של אביהם של היתומים,</w:t>
      </w:r>
      <w:r w:rsidRPr="00993BD2">
        <w:rPr>
          <w:rFonts w:hint="cs"/>
          <w:rtl/>
        </w:rPr>
        <w:t xml:space="preserve"> </w:t>
      </w:r>
      <w:r w:rsidRPr="00993BD2">
        <w:rPr>
          <w:rStyle w:val="afb"/>
          <w:rFonts w:hint="cs"/>
          <w:rtl/>
        </w:rPr>
        <w:t xml:space="preserve">[וכן ביאר </w:t>
      </w:r>
      <w:r w:rsidRPr="00993BD2">
        <w:rPr>
          <w:rStyle w:val="affa"/>
          <w:rFonts w:hint="cs"/>
          <w:rtl/>
        </w:rPr>
        <w:t>הגר"א</w:t>
      </w:r>
      <w:r w:rsidRPr="00993BD2">
        <w:rPr>
          <w:rStyle w:val="afb"/>
          <w:rFonts w:hint="cs"/>
          <w:rtl/>
        </w:rPr>
        <w:t xml:space="preserve"> </w:t>
      </w:r>
      <w:r w:rsidRPr="00993BD2">
        <w:rPr>
          <w:rStyle w:val="aff6"/>
          <w:rFonts w:hint="cs"/>
          <w:rtl/>
        </w:rPr>
        <w:t xml:space="preserve">(עי' אות </w:t>
      </w:r>
      <w:r w:rsidRPr="00993BD2">
        <w:rPr>
          <w:rStyle w:val="aff6"/>
          <w:rtl/>
        </w:rPr>
        <w:fldChar w:fldCharType="begin"/>
      </w:r>
      <w:r w:rsidRPr="00993BD2">
        <w:rPr>
          <w:rStyle w:val="aff6"/>
          <w:rtl/>
        </w:rPr>
        <w:instrText xml:space="preserve"> </w:instrText>
      </w:r>
      <w:r w:rsidRPr="00993BD2">
        <w:rPr>
          <w:rStyle w:val="aff6"/>
          <w:rFonts w:hint="cs"/>
        </w:rPr>
        <w:instrText>REF</w:instrText>
      </w:r>
      <w:r w:rsidRPr="00993BD2">
        <w:rPr>
          <w:rStyle w:val="aff6"/>
          <w:rFonts w:hint="cs"/>
          <w:rtl/>
        </w:rPr>
        <w:instrText xml:space="preserve"> _</w:instrText>
      </w:r>
      <w:r w:rsidRPr="00993BD2">
        <w:rPr>
          <w:rStyle w:val="aff6"/>
          <w:rFonts w:hint="cs"/>
        </w:rPr>
        <w:instrText>Ref64190368 \r \h</w:instrText>
      </w:r>
      <w:r w:rsidRPr="00993BD2">
        <w:rPr>
          <w:rStyle w:val="aff6"/>
          <w:rtl/>
        </w:rPr>
        <w:instrText xml:space="preserve"> </w:instrText>
      </w:r>
      <w:r w:rsidRPr="00993BD2">
        <w:rPr>
          <w:rStyle w:val="aff6"/>
          <w:rtl/>
        </w:rPr>
      </w:r>
      <w:r w:rsidRPr="00993BD2">
        <w:rPr>
          <w:rStyle w:val="aff6"/>
          <w:rtl/>
        </w:rPr>
        <w:fldChar w:fldCharType="separate"/>
      </w:r>
      <w:r w:rsidR="00265073">
        <w:rPr>
          <w:rStyle w:val="aff6"/>
          <w:cs/>
        </w:rPr>
        <w:t>‎</w:t>
      </w:r>
      <w:r w:rsidR="00265073">
        <w:rPr>
          <w:rStyle w:val="aff6"/>
          <w:rtl/>
        </w:rPr>
        <w:t>ק)</w:t>
      </w:r>
      <w:r w:rsidRPr="00993BD2">
        <w:rPr>
          <w:rStyle w:val="aff6"/>
          <w:rtl/>
        </w:rPr>
        <w:fldChar w:fldCharType="end"/>
      </w:r>
      <w:r w:rsidRPr="00993BD2">
        <w:rPr>
          <w:rStyle w:val="afb"/>
          <w:rFonts w:hint="cs"/>
          <w:rtl/>
        </w:rPr>
        <w:t xml:space="preserve"> ב</w:t>
      </w:r>
      <w:r w:rsidRPr="00993BD2">
        <w:rPr>
          <w:rStyle w:val="afb"/>
          <w:rtl/>
        </w:rPr>
        <w:t xml:space="preserve">דברי </w:t>
      </w:r>
      <w:r w:rsidRPr="00993BD2">
        <w:rPr>
          <w:rStyle w:val="affa"/>
          <w:rtl/>
        </w:rPr>
        <w:t>הר"י מגאש</w:t>
      </w:r>
      <w:r w:rsidRPr="00993BD2">
        <w:rPr>
          <w:rStyle w:val="afb"/>
          <w:rtl/>
        </w:rPr>
        <w:t xml:space="preserve"> </w:t>
      </w:r>
      <w:r w:rsidRPr="00993BD2">
        <w:rPr>
          <w:rStyle w:val="aff6"/>
          <w:rFonts w:hint="cs"/>
          <w:rtl/>
        </w:rPr>
        <w:t xml:space="preserve">(עי' אות </w:t>
      </w:r>
      <w:r w:rsidRPr="00993BD2">
        <w:rPr>
          <w:rStyle w:val="aff6"/>
          <w:rtl/>
        </w:rPr>
        <w:fldChar w:fldCharType="begin"/>
      </w:r>
      <w:r w:rsidRPr="00993BD2">
        <w:rPr>
          <w:rStyle w:val="aff6"/>
          <w:rtl/>
        </w:rPr>
        <w:instrText xml:space="preserve"> </w:instrText>
      </w:r>
      <w:r w:rsidRPr="00993BD2">
        <w:rPr>
          <w:rStyle w:val="aff6"/>
          <w:rFonts w:hint="cs"/>
        </w:rPr>
        <w:instrText>REF</w:instrText>
      </w:r>
      <w:r w:rsidRPr="00993BD2">
        <w:rPr>
          <w:rStyle w:val="aff6"/>
          <w:rFonts w:hint="cs"/>
          <w:rtl/>
        </w:rPr>
        <w:instrText xml:space="preserve"> _</w:instrText>
      </w:r>
      <w:r w:rsidRPr="00993BD2">
        <w:rPr>
          <w:rStyle w:val="aff6"/>
          <w:rFonts w:hint="cs"/>
        </w:rPr>
        <w:instrText>Ref64190848 \r \h</w:instrText>
      </w:r>
      <w:r w:rsidRPr="00993BD2">
        <w:rPr>
          <w:rStyle w:val="aff6"/>
          <w:rtl/>
        </w:rPr>
        <w:instrText xml:space="preserve"> </w:instrText>
      </w:r>
      <w:r w:rsidRPr="00993BD2">
        <w:rPr>
          <w:rStyle w:val="aff6"/>
          <w:rtl/>
        </w:rPr>
      </w:r>
      <w:r w:rsidRPr="00993BD2">
        <w:rPr>
          <w:rStyle w:val="aff6"/>
          <w:rtl/>
        </w:rPr>
        <w:fldChar w:fldCharType="separate"/>
      </w:r>
      <w:r w:rsidR="00265073">
        <w:rPr>
          <w:rStyle w:val="aff6"/>
          <w:cs/>
        </w:rPr>
        <w:t>‎</w:t>
      </w:r>
      <w:r w:rsidR="00265073">
        <w:rPr>
          <w:rStyle w:val="aff6"/>
          <w:rtl/>
        </w:rPr>
        <w:t>צט)</w:t>
      </w:r>
      <w:r w:rsidRPr="00993BD2">
        <w:rPr>
          <w:rStyle w:val="aff6"/>
          <w:rtl/>
        </w:rPr>
        <w:fldChar w:fldCharType="end"/>
      </w:r>
      <w:r w:rsidRPr="00993BD2">
        <w:rPr>
          <w:rStyle w:val="afb"/>
          <w:rFonts w:hint="cs"/>
          <w:rtl/>
        </w:rPr>
        <w:t>],</w:t>
      </w:r>
      <w:r>
        <w:rPr>
          <w:rStyle w:val="afb"/>
          <w:rFonts w:hint="cs"/>
          <w:rtl/>
        </w:rPr>
        <w:t xml:space="preserve"> </w:t>
      </w:r>
      <w:r>
        <w:rPr>
          <w:rFonts w:hint="cs"/>
          <w:rtl/>
        </w:rPr>
        <w:t xml:space="preserve">והקשה </w:t>
      </w:r>
      <w:r w:rsidRPr="009C2449">
        <w:rPr>
          <w:rStyle w:val="af9"/>
          <w:rFonts w:hint="cs"/>
          <w:rtl/>
        </w:rPr>
        <w:t>הראב"ד</w:t>
      </w:r>
      <w:r>
        <w:rPr>
          <w:rFonts w:hint="cs"/>
          <w:rtl/>
        </w:rPr>
        <w:t xml:space="preserve"> על </w:t>
      </w:r>
      <w:r w:rsidRPr="009C2449">
        <w:rPr>
          <w:rStyle w:val="af9"/>
          <w:rFonts w:hint="cs"/>
          <w:rtl/>
        </w:rPr>
        <w:t>הרמב"ם</w:t>
      </w:r>
      <w:r>
        <w:rPr>
          <w:rFonts w:hint="cs"/>
          <w:rtl/>
        </w:rPr>
        <w:t xml:space="preserve"> דא"כ אמאי הוצרך רבא בר שרשום להיות נאמן במיגו דלקוחה, הא היה יכול לטעון שהיא שלו, </w:t>
      </w:r>
      <w:r w:rsidRPr="00FE3B23">
        <w:rPr>
          <w:rStyle w:val="afb"/>
          <w:rFonts w:hint="cs"/>
          <w:rtl/>
        </w:rPr>
        <w:t xml:space="preserve">[וכן הקשה </w:t>
      </w:r>
      <w:r w:rsidRPr="00FE3B23">
        <w:rPr>
          <w:rStyle w:val="affa"/>
          <w:rFonts w:hint="cs"/>
          <w:rtl/>
        </w:rPr>
        <w:t>הריטב"א</w:t>
      </w:r>
      <w:r w:rsidRPr="00FE3B23">
        <w:rPr>
          <w:rStyle w:val="afb"/>
          <w:rFonts w:hint="cs"/>
          <w:rtl/>
        </w:rPr>
        <w:t xml:space="preserve"> </w:t>
      </w:r>
      <w:r w:rsidRPr="00511105">
        <w:rPr>
          <w:rStyle w:val="aff6"/>
          <w:rFonts w:hint="cs"/>
          <w:rtl/>
        </w:rPr>
        <w:t xml:space="preserve">(עי' אות </w:t>
      </w:r>
      <w:r w:rsidRPr="00511105">
        <w:rPr>
          <w:rStyle w:val="aff6"/>
          <w:rtl/>
        </w:rPr>
        <w:fldChar w:fldCharType="begin"/>
      </w:r>
      <w:r w:rsidRPr="00511105">
        <w:rPr>
          <w:rStyle w:val="aff6"/>
          <w:rtl/>
        </w:rPr>
        <w:instrText xml:space="preserve"> </w:instrText>
      </w:r>
      <w:r w:rsidRPr="00511105">
        <w:rPr>
          <w:rStyle w:val="aff6"/>
          <w:rFonts w:hint="cs"/>
        </w:rPr>
        <w:instrText>REF</w:instrText>
      </w:r>
      <w:r w:rsidRPr="00511105">
        <w:rPr>
          <w:rStyle w:val="aff6"/>
          <w:rFonts w:hint="cs"/>
          <w:rtl/>
        </w:rPr>
        <w:instrText xml:space="preserve"> _</w:instrText>
      </w:r>
      <w:r w:rsidRPr="00511105">
        <w:rPr>
          <w:rStyle w:val="aff6"/>
          <w:rFonts w:hint="cs"/>
        </w:rPr>
        <w:instrText>Ref64190816 \r \h</w:instrText>
      </w:r>
      <w:r w:rsidRPr="00511105">
        <w:rPr>
          <w:rStyle w:val="aff6"/>
          <w:rtl/>
        </w:rPr>
        <w:instrText xml:space="preserve"> </w:instrText>
      </w:r>
      <w:r w:rsidRPr="00511105">
        <w:rPr>
          <w:rStyle w:val="aff6"/>
          <w:rtl/>
        </w:rPr>
      </w:r>
      <w:r w:rsidRPr="00511105">
        <w:rPr>
          <w:rStyle w:val="aff6"/>
          <w:rtl/>
        </w:rPr>
        <w:fldChar w:fldCharType="separate"/>
      </w:r>
      <w:r w:rsidR="00265073">
        <w:rPr>
          <w:rStyle w:val="aff6"/>
          <w:cs/>
        </w:rPr>
        <w:t>‎</w:t>
      </w:r>
      <w:r w:rsidR="00265073">
        <w:rPr>
          <w:rStyle w:val="aff6"/>
          <w:rtl/>
        </w:rPr>
        <w:t>פז)</w:t>
      </w:r>
      <w:r w:rsidRPr="00511105">
        <w:rPr>
          <w:rStyle w:val="aff6"/>
          <w:rtl/>
        </w:rPr>
        <w:fldChar w:fldCharType="end"/>
      </w:r>
      <w:r w:rsidRPr="00FE3B23">
        <w:rPr>
          <w:rStyle w:val="afb"/>
          <w:rFonts w:hint="cs"/>
          <w:rtl/>
        </w:rPr>
        <w:t>]</w:t>
      </w:r>
      <w:bookmarkEnd w:id="15237"/>
      <w:r>
        <w:rPr>
          <w:rStyle w:val="afb"/>
          <w:rFonts w:hint="cs"/>
          <w:rtl/>
        </w:rPr>
        <w:t>,</w:t>
      </w:r>
      <w:r w:rsidRPr="006E326E">
        <w:rPr>
          <w:rFonts w:hint="cs"/>
          <w:rtl/>
        </w:rPr>
        <w:t xml:space="preserve"> </w:t>
      </w:r>
      <w:r>
        <w:rPr>
          <w:rFonts w:hint="cs"/>
          <w:rtl/>
        </w:rPr>
        <w:t xml:space="preserve">ועי' במה שביארו </w:t>
      </w:r>
      <w:r>
        <w:rPr>
          <w:rStyle w:val="af9"/>
          <w:rFonts w:hint="cs"/>
          <w:rtl/>
        </w:rPr>
        <w:t xml:space="preserve">באבהא"ז </w:t>
      </w:r>
      <w:r w:rsidRPr="00574B5B">
        <w:rPr>
          <w:rStyle w:val="af7"/>
          <w:rFonts w:eastAsia="Guttman Hodes" w:hint="cs"/>
          <w:rtl/>
        </w:rPr>
        <w:t xml:space="preserve">(עי' אות </w:t>
      </w:r>
      <w:r w:rsidRPr="00574B5B">
        <w:rPr>
          <w:rStyle w:val="af7"/>
          <w:rFonts w:eastAsia="Guttman Hodes"/>
          <w:rtl/>
        </w:rPr>
        <w:fldChar w:fldCharType="begin"/>
      </w:r>
      <w:r w:rsidRPr="00574B5B">
        <w:rPr>
          <w:rStyle w:val="af7"/>
          <w:rFonts w:eastAsia="Guttman Hodes"/>
          <w:rtl/>
        </w:rPr>
        <w:instrText xml:space="preserve"> </w:instrText>
      </w:r>
      <w:r w:rsidRPr="00574B5B">
        <w:rPr>
          <w:rStyle w:val="af7"/>
          <w:rFonts w:eastAsia="Guttman Hodes" w:hint="cs"/>
        </w:rPr>
        <w:instrText>REF</w:instrText>
      </w:r>
      <w:r w:rsidRPr="00574B5B">
        <w:rPr>
          <w:rStyle w:val="af7"/>
          <w:rFonts w:eastAsia="Guttman Hodes" w:hint="cs"/>
          <w:rtl/>
        </w:rPr>
        <w:instrText xml:space="preserve"> _</w:instrText>
      </w:r>
      <w:r w:rsidRPr="00574B5B">
        <w:rPr>
          <w:rStyle w:val="af7"/>
          <w:rFonts w:eastAsia="Guttman Hodes" w:hint="cs"/>
        </w:rPr>
        <w:instrText>Ref64208608 \r \h</w:instrText>
      </w:r>
      <w:r w:rsidRPr="00574B5B">
        <w:rPr>
          <w:rStyle w:val="af7"/>
          <w:rFonts w:eastAsia="Guttman Hodes"/>
          <w:rtl/>
        </w:rPr>
        <w:instrText xml:space="preserve"> </w:instrText>
      </w:r>
      <w:r w:rsidRPr="00574B5B">
        <w:rPr>
          <w:rStyle w:val="af7"/>
          <w:rFonts w:eastAsia="Guttman Hodes"/>
          <w:rtl/>
        </w:rPr>
      </w:r>
      <w:r w:rsidRPr="00574B5B">
        <w:rPr>
          <w:rStyle w:val="af7"/>
          <w:rFonts w:eastAsia="Guttman Hodes"/>
          <w:rtl/>
        </w:rPr>
        <w:fldChar w:fldCharType="separate"/>
      </w:r>
      <w:r w:rsidR="00265073">
        <w:rPr>
          <w:rStyle w:val="af7"/>
          <w:rFonts w:eastAsia="Guttman Hodes"/>
          <w:cs/>
        </w:rPr>
        <w:t>‎</w:t>
      </w:r>
      <w:r w:rsidR="00265073">
        <w:rPr>
          <w:rStyle w:val="af7"/>
          <w:rFonts w:eastAsia="Guttman Hodes"/>
          <w:rtl/>
        </w:rPr>
        <w:t>קכט)</w:t>
      </w:r>
      <w:r w:rsidRPr="00574B5B">
        <w:rPr>
          <w:rStyle w:val="af7"/>
          <w:rFonts w:eastAsia="Guttman Hodes"/>
          <w:rtl/>
        </w:rPr>
        <w:fldChar w:fldCharType="end"/>
      </w:r>
      <w:r>
        <w:rPr>
          <w:rStyle w:val="af9"/>
          <w:rFonts w:hint="cs"/>
          <w:rtl/>
        </w:rPr>
        <w:t xml:space="preserve"> ו</w:t>
      </w:r>
      <w:r w:rsidRPr="006E326E">
        <w:rPr>
          <w:rStyle w:val="af9"/>
          <w:rFonts w:hint="cs"/>
          <w:rtl/>
        </w:rPr>
        <w:t>בחי' רבי נחום</w:t>
      </w:r>
      <w:r>
        <w:rPr>
          <w:rFonts w:hint="cs"/>
          <w:rtl/>
        </w:rPr>
        <w:t xml:space="preserve"> </w:t>
      </w:r>
      <w:r w:rsidRPr="006E326E">
        <w:rPr>
          <w:rStyle w:val="af7"/>
          <w:rFonts w:eastAsia="Guttman Hodes" w:hint="cs"/>
          <w:rtl/>
        </w:rPr>
        <w:t xml:space="preserve">(עי' אות </w:t>
      </w:r>
      <w:r w:rsidRPr="006E326E">
        <w:rPr>
          <w:rStyle w:val="af7"/>
          <w:rFonts w:eastAsia="Guttman Hodes"/>
          <w:rtl/>
        </w:rPr>
        <w:fldChar w:fldCharType="begin"/>
      </w:r>
      <w:r w:rsidRPr="006E326E">
        <w:rPr>
          <w:rStyle w:val="af7"/>
          <w:rFonts w:eastAsia="Guttman Hodes"/>
          <w:rtl/>
        </w:rPr>
        <w:instrText xml:space="preserve"> </w:instrText>
      </w:r>
      <w:r w:rsidRPr="006E326E">
        <w:rPr>
          <w:rStyle w:val="af7"/>
          <w:rFonts w:eastAsia="Guttman Hodes" w:hint="cs"/>
        </w:rPr>
        <w:instrText>REF</w:instrText>
      </w:r>
      <w:r w:rsidRPr="006E326E">
        <w:rPr>
          <w:rStyle w:val="af7"/>
          <w:rFonts w:eastAsia="Guttman Hodes" w:hint="cs"/>
          <w:rtl/>
        </w:rPr>
        <w:instrText xml:space="preserve"> _</w:instrText>
      </w:r>
      <w:r w:rsidRPr="006E326E">
        <w:rPr>
          <w:rStyle w:val="af7"/>
          <w:rFonts w:eastAsia="Guttman Hodes" w:hint="cs"/>
        </w:rPr>
        <w:instrText>Ref64200444 \r \h</w:instrText>
      </w:r>
      <w:r w:rsidRPr="006E326E">
        <w:rPr>
          <w:rStyle w:val="af7"/>
          <w:rFonts w:eastAsia="Guttman Hodes"/>
          <w:rtl/>
        </w:rPr>
        <w:instrText xml:space="preserve"> </w:instrText>
      </w:r>
      <w:r w:rsidRPr="006E326E">
        <w:rPr>
          <w:rStyle w:val="af7"/>
          <w:rFonts w:eastAsia="Guttman Hodes"/>
          <w:rtl/>
        </w:rPr>
      </w:r>
      <w:r w:rsidRPr="006E326E">
        <w:rPr>
          <w:rStyle w:val="af7"/>
          <w:rFonts w:eastAsia="Guttman Hodes"/>
          <w:rtl/>
        </w:rPr>
        <w:fldChar w:fldCharType="separate"/>
      </w:r>
      <w:r w:rsidR="00265073">
        <w:rPr>
          <w:rStyle w:val="af7"/>
          <w:rFonts w:eastAsia="Guttman Hodes"/>
          <w:cs/>
        </w:rPr>
        <w:t>‎</w:t>
      </w:r>
      <w:r w:rsidR="00265073">
        <w:rPr>
          <w:rStyle w:val="af7"/>
          <w:rFonts w:eastAsia="Guttman Hodes"/>
          <w:rtl/>
        </w:rPr>
        <w:t>קלא)</w:t>
      </w:r>
      <w:r w:rsidRPr="006E326E">
        <w:rPr>
          <w:rStyle w:val="af7"/>
          <w:rFonts w:eastAsia="Guttman Hodes"/>
          <w:rtl/>
        </w:rPr>
        <w:fldChar w:fldCharType="end"/>
      </w:r>
      <w:r>
        <w:rPr>
          <w:rFonts w:hint="cs"/>
          <w:rtl/>
        </w:rPr>
        <w:t xml:space="preserve"> בדעת </w:t>
      </w:r>
      <w:r w:rsidRPr="006E326E">
        <w:rPr>
          <w:rStyle w:val="af9"/>
          <w:rFonts w:hint="cs"/>
          <w:rtl/>
        </w:rPr>
        <w:t>הרמב"ם</w:t>
      </w:r>
      <w:r>
        <w:rPr>
          <w:rFonts w:hint="cs"/>
          <w:rtl/>
        </w:rPr>
        <w:t>.</w:t>
      </w:r>
      <w:bookmarkEnd w:id="15238"/>
    </w:p>
    <w:p w:rsidR="00F4065E" w:rsidRPr="003E3C7D" w:rsidRDefault="00F4065E" w:rsidP="00F4065E">
      <w:pPr>
        <w:pStyle w:val="a3"/>
        <w:rPr>
          <w:rtl/>
        </w:rPr>
      </w:pPr>
      <w:bookmarkStart w:id="15239" w:name="_Toc64205765"/>
      <w:bookmarkStart w:id="15240" w:name="_Toc64209445"/>
      <w:r>
        <w:rPr>
          <w:rFonts w:hint="cs"/>
          <w:rtl/>
        </w:rPr>
        <w:t>קושית הראב"ד דהאיך מהני קול לבטל חזקה הא אין כל חזקה לאביהם של היתומים</w:t>
      </w:r>
      <w:bookmarkEnd w:id="15239"/>
      <w:bookmarkEnd w:id="15240"/>
    </w:p>
    <w:p w:rsidR="00F4065E" w:rsidRDefault="00F4065E" w:rsidP="007E4E81">
      <w:pPr>
        <w:pStyle w:val="a0"/>
        <w:rPr>
          <w:rtl/>
        </w:rPr>
      </w:pPr>
      <w:bookmarkStart w:id="15241" w:name="_Ref63702827"/>
      <w:r>
        <w:rPr>
          <w:rFonts w:hint="cs"/>
          <w:rtl/>
        </w:rPr>
        <w:t xml:space="preserve">ועוד הקשה </w:t>
      </w:r>
      <w:r w:rsidRPr="000A1704">
        <w:rPr>
          <w:rStyle w:val="af9"/>
          <w:rFonts w:hint="cs"/>
          <w:rtl/>
        </w:rPr>
        <w:t>הראב"ד</w:t>
      </w:r>
      <w:r>
        <w:rPr>
          <w:rFonts w:hint="cs"/>
          <w:rtl/>
        </w:rPr>
        <w:t xml:space="preserve"> על </w:t>
      </w:r>
      <w:r w:rsidRPr="000A1704">
        <w:rPr>
          <w:rStyle w:val="af9"/>
          <w:rFonts w:hint="cs"/>
          <w:rtl/>
        </w:rPr>
        <w:t>הרמב"ם</w:t>
      </w:r>
      <w:r>
        <w:rPr>
          <w:rFonts w:hint="cs"/>
          <w:rtl/>
        </w:rPr>
        <w:t xml:space="preserve"> דהיאך אפשר לבטל חזקה דממונא מכח קול, והרי רבא בר שרשום מוחזק בקרקע, ואביהם של היתומים אינו מוחזק בה, ועי' במה שביאר </w:t>
      </w:r>
      <w:r w:rsidRPr="00DB7AA6">
        <w:rPr>
          <w:rStyle w:val="af9"/>
          <w:rFonts w:hint="cs"/>
          <w:rtl/>
        </w:rPr>
        <w:t>בשיעורי רבי שמואל</w:t>
      </w:r>
      <w:r>
        <w:rPr>
          <w:rFonts w:hint="cs"/>
          <w:rtl/>
        </w:rPr>
        <w:t xml:space="preserve"> </w:t>
      </w:r>
      <w:r w:rsidRPr="00DB7AA6">
        <w:rPr>
          <w:rStyle w:val="af7"/>
          <w:rFonts w:eastAsia="Guttman Hodes" w:hint="cs"/>
          <w:rtl/>
        </w:rPr>
        <w:t>(או' ל"ג ד"ה</w:t>
      </w:r>
      <w:r>
        <w:rPr>
          <w:rStyle w:val="af7"/>
          <w:rFonts w:eastAsia="Guttman Hodes" w:hint="cs"/>
          <w:rtl/>
        </w:rPr>
        <w:t xml:space="preserve"> והנה הר"מ)</w:t>
      </w:r>
      <w:r>
        <w:rPr>
          <w:rFonts w:hint="cs"/>
          <w:rtl/>
        </w:rPr>
        <w:t xml:space="preserve"> בפלוגתת </w:t>
      </w:r>
      <w:r w:rsidRPr="0078799C">
        <w:rPr>
          <w:rStyle w:val="af9"/>
          <w:rFonts w:hint="cs"/>
          <w:rtl/>
        </w:rPr>
        <w:t>הרמב"ם והראב"ד</w:t>
      </w:r>
      <w:r>
        <w:rPr>
          <w:rFonts w:hint="cs"/>
          <w:rtl/>
        </w:rPr>
        <w:t xml:space="preserve"> בזה,</w:t>
      </w:r>
      <w:r w:rsidRPr="00EB7518">
        <w:rPr>
          <w:rFonts w:hint="cs"/>
          <w:rtl/>
        </w:rPr>
        <w:t xml:space="preserve"> </w:t>
      </w:r>
      <w:r>
        <w:rPr>
          <w:rFonts w:hint="cs"/>
          <w:rtl/>
        </w:rPr>
        <w:t xml:space="preserve">ובמ"ש </w:t>
      </w:r>
      <w:r w:rsidRPr="00FB73BA">
        <w:rPr>
          <w:rStyle w:val="af9"/>
          <w:rFonts w:hint="cs"/>
          <w:rtl/>
        </w:rPr>
        <w:t>בחי'</w:t>
      </w:r>
      <w:r>
        <w:rPr>
          <w:rFonts w:hint="cs"/>
          <w:rtl/>
        </w:rPr>
        <w:t xml:space="preserve"> </w:t>
      </w:r>
      <w:r w:rsidRPr="00FB73BA">
        <w:rPr>
          <w:rStyle w:val="af9"/>
          <w:rFonts w:hint="cs"/>
          <w:rtl/>
        </w:rPr>
        <w:t>רבי</w:t>
      </w:r>
      <w:r>
        <w:rPr>
          <w:rFonts w:hint="cs"/>
          <w:rtl/>
        </w:rPr>
        <w:t xml:space="preserve"> </w:t>
      </w:r>
      <w:r w:rsidRPr="00FB73BA">
        <w:rPr>
          <w:rStyle w:val="af9"/>
          <w:rFonts w:hint="cs"/>
          <w:rtl/>
        </w:rPr>
        <w:t>נחום</w:t>
      </w:r>
      <w:r>
        <w:rPr>
          <w:rFonts w:hint="cs"/>
          <w:rtl/>
        </w:rPr>
        <w:t xml:space="preserve"> </w:t>
      </w:r>
      <w:r w:rsidRPr="0099728C">
        <w:rPr>
          <w:rStyle w:val="af7"/>
          <w:rFonts w:eastAsia="Guttman Hodes" w:hint="cs"/>
          <w:rtl/>
        </w:rPr>
        <w:t xml:space="preserve">(עי' אות </w:t>
      </w:r>
      <w:r w:rsidRPr="0099728C">
        <w:rPr>
          <w:rStyle w:val="af7"/>
          <w:rFonts w:eastAsia="Guttman Hodes"/>
          <w:rtl/>
        </w:rPr>
        <w:fldChar w:fldCharType="begin"/>
      </w:r>
      <w:r w:rsidRPr="0099728C">
        <w:rPr>
          <w:rStyle w:val="af7"/>
          <w:rFonts w:eastAsia="Guttman Hodes"/>
          <w:rtl/>
        </w:rPr>
        <w:instrText xml:space="preserve"> </w:instrText>
      </w:r>
      <w:r w:rsidRPr="0099728C">
        <w:rPr>
          <w:rStyle w:val="af7"/>
          <w:rFonts w:eastAsia="Guttman Hodes" w:hint="cs"/>
        </w:rPr>
        <w:instrText>REF</w:instrText>
      </w:r>
      <w:r w:rsidRPr="0099728C">
        <w:rPr>
          <w:rStyle w:val="af7"/>
          <w:rFonts w:eastAsia="Guttman Hodes" w:hint="cs"/>
          <w:rtl/>
        </w:rPr>
        <w:instrText xml:space="preserve"> _</w:instrText>
      </w:r>
      <w:r w:rsidRPr="0099728C">
        <w:rPr>
          <w:rStyle w:val="af7"/>
          <w:rFonts w:eastAsia="Guttman Hodes" w:hint="cs"/>
        </w:rPr>
        <w:instrText>Ref64141007 \r \h</w:instrText>
      </w:r>
      <w:r w:rsidRPr="0099728C">
        <w:rPr>
          <w:rStyle w:val="af7"/>
          <w:rFonts w:eastAsia="Guttman Hodes"/>
          <w:rtl/>
        </w:rPr>
        <w:instrText xml:space="preserve"> </w:instrText>
      </w:r>
      <w:r w:rsidRPr="0099728C">
        <w:rPr>
          <w:rStyle w:val="af7"/>
          <w:rFonts w:eastAsia="Guttman Hodes"/>
          <w:rtl/>
        </w:rPr>
      </w:r>
      <w:r w:rsidRPr="0099728C">
        <w:rPr>
          <w:rStyle w:val="af7"/>
          <w:rFonts w:eastAsia="Guttman Hodes"/>
          <w:rtl/>
        </w:rPr>
        <w:fldChar w:fldCharType="separate"/>
      </w:r>
      <w:r w:rsidR="00265073">
        <w:rPr>
          <w:rStyle w:val="af7"/>
          <w:rFonts w:eastAsia="Guttman Hodes"/>
          <w:cs/>
        </w:rPr>
        <w:t>‎</w:t>
      </w:r>
      <w:r w:rsidR="00265073">
        <w:rPr>
          <w:rStyle w:val="af7"/>
          <w:rFonts w:eastAsia="Guttman Hodes"/>
          <w:rtl/>
        </w:rPr>
        <w:t>קלג)</w:t>
      </w:r>
      <w:r w:rsidRPr="0099728C">
        <w:rPr>
          <w:rStyle w:val="af7"/>
          <w:rFonts w:eastAsia="Guttman Hodes"/>
          <w:rtl/>
        </w:rPr>
        <w:fldChar w:fldCharType="end"/>
      </w:r>
      <w:r>
        <w:rPr>
          <w:rFonts w:hint="cs"/>
          <w:rtl/>
        </w:rPr>
        <w:t>.</w:t>
      </w:r>
      <w:bookmarkEnd w:id="15241"/>
    </w:p>
    <w:p w:rsidR="00F4065E" w:rsidRDefault="00F4065E" w:rsidP="00F4065E">
      <w:pPr>
        <w:pStyle w:val="a3"/>
        <w:rPr>
          <w:rtl/>
        </w:rPr>
      </w:pPr>
      <w:bookmarkStart w:id="15242" w:name="_Toc64205766"/>
      <w:bookmarkStart w:id="15243" w:name="_Toc64209446"/>
      <w:r>
        <w:rPr>
          <w:rFonts w:hint="cs"/>
          <w:rtl/>
        </w:rPr>
        <w:t>ביאור הראב"ד דיש להם עידי מר"ק והחזיק רבא ב"ש ג"ש בחיי האב ורק מחמת הקול אינו נאמן</w:t>
      </w:r>
      <w:bookmarkEnd w:id="15242"/>
      <w:bookmarkEnd w:id="15243"/>
    </w:p>
    <w:p w:rsidR="00F4065E" w:rsidRDefault="00F4065E" w:rsidP="007E4E81">
      <w:pPr>
        <w:pStyle w:val="a0"/>
        <w:rPr>
          <w:rtl/>
        </w:rPr>
      </w:pPr>
      <w:bookmarkStart w:id="15244" w:name="_Ref63971944"/>
      <w:r>
        <w:rPr>
          <w:rFonts w:hint="cs"/>
          <w:rtl/>
        </w:rPr>
        <w:t xml:space="preserve">אלא ביאר </w:t>
      </w:r>
      <w:r w:rsidRPr="000A1704">
        <w:rPr>
          <w:rStyle w:val="af9"/>
          <w:rFonts w:hint="cs"/>
          <w:rtl/>
        </w:rPr>
        <w:t>הראב"ד</w:t>
      </w:r>
      <w:r>
        <w:rPr>
          <w:rFonts w:hint="cs"/>
          <w:rtl/>
        </w:rPr>
        <w:t xml:space="preserve"> דודאי איירי שיש ליתומים עדים שהייתה של אביהם, אלא דיש לרבא בר שרשום מיגו, כיון שהחזיק ג"ש בחיי האב בלא מחאה, ולכן אם לא היה קול, היה רבא בר שרשום נאמן במיגו, אך כיון שיש קול אינו נאמן במיגו, והקרקע בחזקת אביהם של היתומים.</w:t>
      </w:r>
      <w:bookmarkEnd w:id="15244"/>
    </w:p>
    <w:p w:rsidR="00E9459A" w:rsidRPr="00E9459A" w:rsidRDefault="00E9459A" w:rsidP="00E9459A">
      <w:pPr>
        <w:pStyle w:val="a3"/>
        <w:rPr>
          <w:rtl/>
        </w:rPr>
      </w:pPr>
    </w:p>
    <w:p w:rsidR="00F4065E" w:rsidRDefault="00F4065E" w:rsidP="00F4065E">
      <w:pPr>
        <w:pStyle w:val="a3"/>
        <w:rPr>
          <w:rtl/>
        </w:rPr>
      </w:pPr>
      <w:bookmarkStart w:id="15245" w:name="_Toc64205767"/>
      <w:bookmarkStart w:id="15246" w:name="_Toc64209447"/>
      <w:r>
        <w:rPr>
          <w:rFonts w:hint="cs"/>
          <w:rtl/>
        </w:rPr>
        <w:t>קושית הראב"ד על הרמב"ם דאי כשיש לו חזקה נאמן במיגו אמאי רבא ב"ש לא היה נאמן</w:t>
      </w:r>
      <w:bookmarkEnd w:id="15245"/>
      <w:bookmarkEnd w:id="15246"/>
    </w:p>
    <w:p w:rsidR="00F4065E" w:rsidRPr="00DB08D7" w:rsidRDefault="00F4065E" w:rsidP="007E4E81">
      <w:pPr>
        <w:pStyle w:val="a0"/>
        <w:rPr>
          <w:rStyle w:val="afb"/>
          <w:rtl/>
        </w:rPr>
      </w:pPr>
      <w:bookmarkStart w:id="15247" w:name="_Ref64200375"/>
      <w:r>
        <w:rPr>
          <w:rFonts w:hint="cs"/>
          <w:rtl/>
        </w:rPr>
        <w:t xml:space="preserve">ובמ"ש </w:t>
      </w:r>
      <w:r w:rsidRPr="000A1704">
        <w:rPr>
          <w:rStyle w:val="af9"/>
          <w:rFonts w:hint="cs"/>
          <w:rtl/>
        </w:rPr>
        <w:t>הרמב"ם</w:t>
      </w:r>
      <w:r w:rsidRPr="00754329">
        <w:rPr>
          <w:rStyle w:val="af7"/>
          <w:rFonts w:eastAsia="Guttman Hodes" w:hint="cs"/>
          <w:rtl/>
        </w:rPr>
        <w:t xml:space="preserve"> (עי'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Ref63702464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754329">
        <w:rPr>
          <w:rStyle w:val="af7"/>
          <w:rFonts w:eastAsia="Guttman Hodes"/>
          <w:rtl/>
        </w:rPr>
        <w:fldChar w:fldCharType="end"/>
      </w:r>
      <w:r w:rsidRPr="00754329">
        <w:rPr>
          <w:rStyle w:val="af7"/>
          <w:rFonts w:eastAsia="Guttman Hodes" w:hint="cs"/>
          <w:rtl/>
        </w:rPr>
        <w:t xml:space="preserve"> </w:t>
      </w:r>
      <w:r>
        <w:rPr>
          <w:rFonts w:hint="cs"/>
          <w:rtl/>
        </w:rPr>
        <w:t xml:space="preserve">דכשיש לו חזקה נאמן במיגו, כתב </w:t>
      </w:r>
      <w:r w:rsidRPr="000A1704">
        <w:rPr>
          <w:rStyle w:val="af9"/>
          <w:rFonts w:hint="cs"/>
          <w:rtl/>
        </w:rPr>
        <w:t>הראב"ד</w:t>
      </w:r>
      <w:r w:rsidRPr="00754329">
        <w:rPr>
          <w:rStyle w:val="af7"/>
          <w:rFonts w:eastAsia="Guttman Hodes" w:hint="cs"/>
          <w:rtl/>
        </w:rPr>
        <w:t xml:space="preserve"> (טו"נ פי"ד ה"ט) </w:t>
      </w:r>
      <w:r>
        <w:rPr>
          <w:rFonts w:hint="cs"/>
          <w:rtl/>
        </w:rPr>
        <w:t xml:space="preserve">דמשמע מדברי </w:t>
      </w:r>
      <w:r w:rsidRPr="000A1704">
        <w:rPr>
          <w:rStyle w:val="af9"/>
          <w:rFonts w:hint="cs"/>
          <w:rtl/>
        </w:rPr>
        <w:t>הרמב"ם</w:t>
      </w:r>
      <w:r>
        <w:rPr>
          <w:rFonts w:hint="cs"/>
          <w:rtl/>
        </w:rPr>
        <w:t xml:space="preserve"> דאף אם יצא עליו קול שהקרקע של היתומים, הוא נאמן במיגו, ודחה </w:t>
      </w:r>
      <w:r w:rsidRPr="000A1704">
        <w:rPr>
          <w:rStyle w:val="af9"/>
          <w:rFonts w:hint="cs"/>
          <w:rtl/>
        </w:rPr>
        <w:t>הראב"ד</w:t>
      </w:r>
      <w:r>
        <w:rPr>
          <w:rFonts w:hint="cs"/>
          <w:rtl/>
        </w:rPr>
        <w:t xml:space="preserve"> דודאי אינו נאמן </w:t>
      </w:r>
      <w:r>
        <w:rPr>
          <w:rtl/>
        </w:rPr>
        <w:t>דהיא היא</w:t>
      </w:r>
      <w:r>
        <w:rPr>
          <w:rFonts w:hint="cs"/>
          <w:rtl/>
        </w:rPr>
        <w:t xml:space="preserve">, וביאר </w:t>
      </w:r>
      <w:r w:rsidRPr="009C2449">
        <w:rPr>
          <w:rStyle w:val="af9"/>
          <w:rFonts w:hint="cs"/>
          <w:rtl/>
        </w:rPr>
        <w:t xml:space="preserve">המרכבת המשנה </w:t>
      </w:r>
      <w:r w:rsidRPr="00CF5931">
        <w:rPr>
          <w:rStyle w:val="af7"/>
          <w:rFonts w:eastAsia="Guttman Hodes" w:hint="cs"/>
          <w:rtl/>
        </w:rPr>
        <w:t>(טו"נ פי"ד ה"</w:t>
      </w:r>
      <w:r>
        <w:rPr>
          <w:rStyle w:val="af7"/>
          <w:rFonts w:eastAsia="Guttman Hodes" w:hint="cs"/>
          <w:rtl/>
        </w:rPr>
        <w:t>ט</w:t>
      </w:r>
      <w:r w:rsidRPr="00CF5931">
        <w:rPr>
          <w:rStyle w:val="af7"/>
          <w:rFonts w:eastAsia="Guttman Hodes" w:hint="cs"/>
          <w:rtl/>
        </w:rPr>
        <w:t>)</w:t>
      </w:r>
      <w:r>
        <w:rPr>
          <w:rFonts w:hint="cs"/>
          <w:rtl/>
        </w:rPr>
        <w:t xml:space="preserve"> דכוונתו להקשות דאף רבא בר שרשום החזיק ג"ש, ואפ"ה אינו נאמן במיגו כיון שיצא עליו קול דהוא מיגו דהעזה, </w:t>
      </w:r>
      <w:r w:rsidRPr="00DB08D7">
        <w:rPr>
          <w:rStyle w:val="afb"/>
          <w:rFonts w:hint="cs"/>
          <w:rtl/>
        </w:rPr>
        <w:t xml:space="preserve">[וכ"כ להדיא </w:t>
      </w:r>
      <w:r w:rsidRPr="00DB08D7">
        <w:rPr>
          <w:rStyle w:val="affa"/>
          <w:rFonts w:hint="cs"/>
          <w:rtl/>
        </w:rPr>
        <w:t>הראב"ד בשיטמ"ק</w:t>
      </w:r>
      <w:r w:rsidRPr="00DB08D7">
        <w:rPr>
          <w:rStyle w:val="afb"/>
          <w:rFonts w:hint="cs"/>
          <w:rtl/>
        </w:rPr>
        <w:t xml:space="preserve"> </w:t>
      </w:r>
      <w:r w:rsidRPr="00DB08D7">
        <w:rPr>
          <w:rStyle w:val="aff6"/>
          <w:rFonts w:hint="cs"/>
          <w:rtl/>
        </w:rPr>
        <w:t xml:space="preserve">(עי' אות </w:t>
      </w:r>
      <w:r w:rsidRPr="00DB08D7">
        <w:rPr>
          <w:rStyle w:val="aff6"/>
          <w:rtl/>
        </w:rPr>
        <w:fldChar w:fldCharType="begin"/>
      </w:r>
      <w:r w:rsidRPr="00DB08D7">
        <w:rPr>
          <w:rStyle w:val="aff6"/>
          <w:rtl/>
        </w:rPr>
        <w:instrText xml:space="preserve"> </w:instrText>
      </w:r>
      <w:r w:rsidRPr="00DB08D7">
        <w:rPr>
          <w:rStyle w:val="aff6"/>
          <w:rFonts w:hint="cs"/>
        </w:rPr>
        <w:instrText>REF</w:instrText>
      </w:r>
      <w:r w:rsidRPr="00DB08D7">
        <w:rPr>
          <w:rStyle w:val="aff6"/>
          <w:rFonts w:hint="cs"/>
          <w:rtl/>
        </w:rPr>
        <w:instrText xml:space="preserve"> _</w:instrText>
      </w:r>
      <w:r w:rsidRPr="00DB08D7">
        <w:rPr>
          <w:rStyle w:val="aff6"/>
          <w:rFonts w:hint="cs"/>
        </w:rPr>
        <w:instrText>Ref63886622 \r \h</w:instrText>
      </w:r>
      <w:r w:rsidRPr="00DB08D7">
        <w:rPr>
          <w:rStyle w:val="aff6"/>
          <w:rtl/>
        </w:rPr>
        <w:instrText xml:space="preserve"> </w:instrText>
      </w:r>
      <w:r w:rsidRPr="00DB08D7">
        <w:rPr>
          <w:rStyle w:val="aff6"/>
          <w:rtl/>
        </w:rPr>
      </w:r>
      <w:r w:rsidRPr="00DB08D7">
        <w:rPr>
          <w:rStyle w:val="aff6"/>
          <w:rtl/>
        </w:rPr>
        <w:fldChar w:fldCharType="separate"/>
      </w:r>
      <w:r w:rsidR="00265073">
        <w:rPr>
          <w:rStyle w:val="aff6"/>
          <w:cs/>
        </w:rPr>
        <w:t>‎</w:t>
      </w:r>
      <w:r w:rsidR="00265073">
        <w:rPr>
          <w:rStyle w:val="aff6"/>
          <w:rtl/>
        </w:rPr>
        <w:t>קג)</w:t>
      </w:r>
      <w:r w:rsidRPr="00DB08D7">
        <w:rPr>
          <w:rStyle w:val="aff6"/>
          <w:rtl/>
        </w:rPr>
        <w:fldChar w:fldCharType="end"/>
      </w:r>
      <w:r w:rsidRPr="00DB08D7">
        <w:rPr>
          <w:rStyle w:val="afb"/>
          <w:rFonts w:hint="cs"/>
          <w:rtl/>
        </w:rPr>
        <w:t xml:space="preserve"> דהוא מיגו דהעזה]</w:t>
      </w:r>
      <w:bookmarkEnd w:id="15247"/>
      <w:r>
        <w:rPr>
          <w:rStyle w:val="afb"/>
          <w:rFonts w:hint="cs"/>
          <w:rtl/>
        </w:rPr>
        <w:t>,</w:t>
      </w:r>
      <w:r w:rsidRPr="00705FB1">
        <w:rPr>
          <w:rFonts w:hint="cs"/>
          <w:rtl/>
        </w:rPr>
        <w:t xml:space="preserve"> </w:t>
      </w:r>
      <w:r>
        <w:rPr>
          <w:rFonts w:hint="cs"/>
          <w:rtl/>
        </w:rPr>
        <w:t xml:space="preserve">ועי' במה שביאר </w:t>
      </w:r>
      <w:r w:rsidRPr="00705FB1">
        <w:rPr>
          <w:rStyle w:val="af9"/>
          <w:rFonts w:hint="cs"/>
          <w:rtl/>
        </w:rPr>
        <w:t>בחי' רבי נחום</w:t>
      </w:r>
      <w:r>
        <w:rPr>
          <w:rFonts w:hint="cs"/>
          <w:rtl/>
        </w:rPr>
        <w:t xml:space="preserve"> </w:t>
      </w:r>
      <w:r w:rsidRPr="00705FB1">
        <w:rPr>
          <w:rStyle w:val="af7"/>
          <w:rFonts w:eastAsia="Guttman Hodes" w:hint="cs"/>
          <w:rtl/>
        </w:rPr>
        <w:t xml:space="preserve">(עי' אות </w:t>
      </w:r>
      <w:r w:rsidRPr="00705FB1">
        <w:rPr>
          <w:rStyle w:val="af7"/>
          <w:rFonts w:eastAsia="Guttman Hodes"/>
          <w:rtl/>
        </w:rPr>
        <w:fldChar w:fldCharType="begin"/>
      </w:r>
      <w:r w:rsidRPr="00705FB1">
        <w:rPr>
          <w:rStyle w:val="af7"/>
          <w:rFonts w:eastAsia="Guttman Hodes"/>
          <w:rtl/>
        </w:rPr>
        <w:instrText xml:space="preserve"> </w:instrText>
      </w:r>
      <w:r w:rsidRPr="00705FB1">
        <w:rPr>
          <w:rStyle w:val="af7"/>
          <w:rFonts w:eastAsia="Guttman Hodes" w:hint="cs"/>
        </w:rPr>
        <w:instrText>REF</w:instrText>
      </w:r>
      <w:r w:rsidRPr="00705FB1">
        <w:rPr>
          <w:rStyle w:val="af7"/>
          <w:rFonts w:eastAsia="Guttman Hodes" w:hint="cs"/>
          <w:rtl/>
        </w:rPr>
        <w:instrText xml:space="preserve"> _</w:instrText>
      </w:r>
      <w:r w:rsidRPr="00705FB1">
        <w:rPr>
          <w:rStyle w:val="af7"/>
          <w:rFonts w:eastAsia="Guttman Hodes" w:hint="cs"/>
        </w:rPr>
        <w:instrText>Ref64205064 \r \h</w:instrText>
      </w:r>
      <w:r w:rsidRPr="00705FB1">
        <w:rPr>
          <w:rStyle w:val="af7"/>
          <w:rFonts w:eastAsia="Guttman Hodes"/>
          <w:rtl/>
        </w:rPr>
        <w:instrText xml:space="preserve"> </w:instrText>
      </w:r>
      <w:r w:rsidRPr="00705FB1">
        <w:rPr>
          <w:rStyle w:val="af7"/>
          <w:rFonts w:eastAsia="Guttman Hodes"/>
          <w:rtl/>
        </w:rPr>
      </w:r>
      <w:r w:rsidRPr="00705FB1">
        <w:rPr>
          <w:rStyle w:val="af7"/>
          <w:rFonts w:eastAsia="Guttman Hodes"/>
          <w:rtl/>
        </w:rPr>
        <w:fldChar w:fldCharType="separate"/>
      </w:r>
      <w:r w:rsidR="00265073">
        <w:rPr>
          <w:rStyle w:val="af7"/>
          <w:rFonts w:eastAsia="Guttman Hodes"/>
          <w:cs/>
        </w:rPr>
        <w:t>‎</w:t>
      </w:r>
      <w:r w:rsidR="00265073">
        <w:rPr>
          <w:rStyle w:val="af7"/>
          <w:rFonts w:eastAsia="Guttman Hodes"/>
          <w:rtl/>
        </w:rPr>
        <w:t>קלד)</w:t>
      </w:r>
      <w:r w:rsidRPr="00705FB1">
        <w:rPr>
          <w:rStyle w:val="af7"/>
          <w:rFonts w:eastAsia="Guttman Hodes"/>
          <w:rtl/>
        </w:rPr>
        <w:fldChar w:fldCharType="end"/>
      </w:r>
      <w:r>
        <w:rPr>
          <w:rFonts w:hint="cs"/>
          <w:rtl/>
        </w:rPr>
        <w:t xml:space="preserve"> בדעת </w:t>
      </w:r>
      <w:r w:rsidRPr="00705FB1">
        <w:rPr>
          <w:rStyle w:val="af9"/>
          <w:rFonts w:hint="cs"/>
          <w:rtl/>
        </w:rPr>
        <w:t>הרמב"ם</w:t>
      </w:r>
      <w:r>
        <w:rPr>
          <w:rFonts w:hint="cs"/>
          <w:rtl/>
        </w:rPr>
        <w:t>.</w:t>
      </w:r>
    </w:p>
    <w:p w:rsidR="00F4065E" w:rsidRDefault="00F4065E" w:rsidP="00F4065E">
      <w:pPr>
        <w:pStyle w:val="a3"/>
        <w:rPr>
          <w:rtl/>
        </w:rPr>
      </w:pPr>
      <w:bookmarkStart w:id="15248" w:name="_Toc64205768"/>
      <w:bookmarkStart w:id="15249" w:name="_Toc64209448"/>
      <w:r>
        <w:rPr>
          <w:rFonts w:hint="cs"/>
          <w:rtl/>
        </w:rPr>
        <w:t>קושית הראב"ד על הרמב"ם דלפני שאכל נשבע כגאונים ורק אחר שאכל פטור משבועה</w:t>
      </w:r>
      <w:bookmarkEnd w:id="15248"/>
      <w:bookmarkEnd w:id="15249"/>
    </w:p>
    <w:p w:rsidR="00F4065E" w:rsidRDefault="00F4065E" w:rsidP="007E4E81">
      <w:pPr>
        <w:pStyle w:val="a0"/>
        <w:rPr>
          <w:rStyle w:val="afb"/>
          <w:sz w:val="18"/>
          <w:szCs w:val="18"/>
          <w:rtl/>
        </w:rPr>
      </w:pPr>
      <w:bookmarkStart w:id="15250" w:name="_Ref63847642"/>
      <w:bookmarkStart w:id="15251" w:name="_Ref63960661"/>
      <w:r>
        <w:rPr>
          <w:rFonts w:hint="cs"/>
          <w:rtl/>
        </w:rPr>
        <w:t xml:space="preserve">ועוד הקשה </w:t>
      </w:r>
      <w:r w:rsidRPr="000A1704">
        <w:rPr>
          <w:rStyle w:val="af9"/>
          <w:rFonts w:hint="cs"/>
          <w:rtl/>
        </w:rPr>
        <w:t>הראב"ד</w:t>
      </w:r>
      <w:r>
        <w:rPr>
          <w:rFonts w:hint="cs"/>
          <w:rtl/>
        </w:rPr>
        <w:t xml:space="preserve"> על </w:t>
      </w:r>
      <w:r w:rsidRPr="000A1704">
        <w:rPr>
          <w:rStyle w:val="af9"/>
          <w:rFonts w:hint="cs"/>
          <w:rtl/>
        </w:rPr>
        <w:t>הרמב"ם</w:t>
      </w:r>
      <w:r w:rsidRPr="00754329">
        <w:rPr>
          <w:rStyle w:val="af7"/>
          <w:rFonts w:eastAsia="Guttman Hodes" w:hint="cs"/>
          <w:rtl/>
        </w:rPr>
        <w:t xml:space="preserve"> (עי'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Ref63702464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754329">
        <w:rPr>
          <w:rStyle w:val="af7"/>
          <w:rFonts w:eastAsia="Guttman Hodes"/>
          <w:rtl/>
        </w:rPr>
        <w:fldChar w:fldCharType="end"/>
      </w:r>
      <w:r w:rsidRPr="00754329">
        <w:rPr>
          <w:rStyle w:val="af7"/>
          <w:rFonts w:eastAsia="Guttman Hodes" w:hint="cs"/>
          <w:rtl/>
        </w:rPr>
        <w:t xml:space="preserve"> </w:t>
      </w:r>
      <w:r>
        <w:rPr>
          <w:rFonts w:hint="cs"/>
          <w:rtl/>
        </w:rPr>
        <w:t xml:space="preserve">דודאי דאינו יכול לבא ולגבות מלכתחילה את הפירות, במיגו בלי שבועה, דהא אף בנשבע על המשכון דעת </w:t>
      </w:r>
      <w:r w:rsidRPr="00AC7F9A">
        <w:rPr>
          <w:rStyle w:val="af9"/>
          <w:rFonts w:hint="cs"/>
          <w:rtl/>
        </w:rPr>
        <w:t>הגאונים</w:t>
      </w:r>
      <w:r>
        <w:rPr>
          <w:rFonts w:hint="cs"/>
          <w:rtl/>
        </w:rPr>
        <w:t xml:space="preserve"> שהוא נשבע ונוטל, והרי רבא בר שרשום רצה להפטר מהשבועה, ולכן ביאר </w:t>
      </w:r>
      <w:r w:rsidRPr="000A1704">
        <w:rPr>
          <w:rStyle w:val="af9"/>
          <w:rFonts w:hint="cs"/>
          <w:rtl/>
        </w:rPr>
        <w:t>הראב"ד</w:t>
      </w:r>
      <w:r>
        <w:rPr>
          <w:rFonts w:hint="cs"/>
          <w:rtl/>
        </w:rPr>
        <w:t xml:space="preserve"> דרק לאחר שאכל את הפירות היה פטור משבועה</w:t>
      </w:r>
      <w:bookmarkEnd w:id="15250"/>
      <w:r>
        <w:rPr>
          <w:rFonts w:hint="cs"/>
          <w:rtl/>
        </w:rPr>
        <w:t xml:space="preserve">, </w:t>
      </w:r>
      <w:r w:rsidRPr="00FE4B3B">
        <w:rPr>
          <w:rStyle w:val="afb"/>
          <w:rFonts w:hint="cs"/>
          <w:rtl/>
        </w:rPr>
        <w:t>[</w:t>
      </w:r>
      <w:r>
        <w:rPr>
          <w:rStyle w:val="afb"/>
          <w:rFonts w:hint="cs"/>
          <w:rtl/>
        </w:rPr>
        <w:t xml:space="preserve">וע"ע </w:t>
      </w:r>
      <w:r w:rsidRPr="00181401">
        <w:rPr>
          <w:rStyle w:val="affa"/>
          <w:rFonts w:hint="cs"/>
          <w:rtl/>
        </w:rPr>
        <w:t>בראב"ד בהשג' על הבעה"מ בשבועות</w:t>
      </w:r>
      <w:r w:rsidRPr="00626D44">
        <w:rPr>
          <w:rStyle w:val="afb"/>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Ref63885914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כח)</w:t>
      </w:r>
      <w:r>
        <w:rPr>
          <w:rStyle w:val="aff6"/>
          <w:rtl/>
        </w:rPr>
        <w:fldChar w:fldCharType="end"/>
      </w:r>
      <w:r w:rsidRPr="00626D44">
        <w:rPr>
          <w:rStyle w:val="afb"/>
          <w:rFonts w:hint="cs"/>
          <w:rtl/>
        </w:rPr>
        <w:t>]</w:t>
      </w:r>
      <w:r>
        <w:rPr>
          <w:rStyle w:val="afb"/>
          <w:rFonts w:hint="cs"/>
          <w:rtl/>
        </w:rPr>
        <w:t>,</w:t>
      </w:r>
      <w:r w:rsidRPr="00423EC3">
        <w:rPr>
          <w:rFonts w:hint="cs"/>
          <w:rtl/>
        </w:rPr>
        <w:t xml:space="preserve"> </w:t>
      </w:r>
      <w:r>
        <w:rPr>
          <w:rFonts w:hint="cs"/>
          <w:rtl/>
        </w:rPr>
        <w:t xml:space="preserve">ועי' בדברי </w:t>
      </w:r>
      <w:r w:rsidRPr="00CA1F9F">
        <w:rPr>
          <w:rStyle w:val="af9"/>
          <w:rFonts w:hint="cs"/>
          <w:rtl/>
        </w:rPr>
        <w:t>רבינו יונה</w:t>
      </w:r>
      <w:r>
        <w:rPr>
          <w:rFonts w:hint="cs"/>
          <w:rtl/>
        </w:rPr>
        <w:t xml:space="preserve"> </w:t>
      </w:r>
      <w:r w:rsidRPr="00CA1F9F">
        <w:rPr>
          <w:rStyle w:val="af7"/>
          <w:rFonts w:eastAsia="Guttman Hodes" w:hint="cs"/>
          <w:rtl/>
        </w:rPr>
        <w:t xml:space="preserve">(עי' אות </w:t>
      </w:r>
      <w:r w:rsidRPr="00CA1F9F">
        <w:rPr>
          <w:rStyle w:val="af7"/>
          <w:rFonts w:eastAsia="Guttman Hodes"/>
          <w:rtl/>
        </w:rPr>
        <w:fldChar w:fldCharType="begin"/>
      </w:r>
      <w:r w:rsidRPr="00CA1F9F">
        <w:rPr>
          <w:rStyle w:val="af7"/>
          <w:rFonts w:eastAsia="Guttman Hodes"/>
          <w:rtl/>
        </w:rPr>
        <w:instrText xml:space="preserve"> </w:instrText>
      </w:r>
      <w:r w:rsidRPr="00CA1F9F">
        <w:rPr>
          <w:rStyle w:val="af7"/>
          <w:rFonts w:eastAsia="Guttman Hodes" w:hint="cs"/>
        </w:rPr>
        <w:instrText>REF</w:instrText>
      </w:r>
      <w:r w:rsidRPr="00CA1F9F">
        <w:rPr>
          <w:rStyle w:val="af7"/>
          <w:rFonts w:eastAsia="Guttman Hodes" w:hint="cs"/>
          <w:rtl/>
        </w:rPr>
        <w:instrText xml:space="preserve"> _</w:instrText>
      </w:r>
      <w:r w:rsidRPr="00CA1F9F">
        <w:rPr>
          <w:rStyle w:val="af7"/>
          <w:rFonts w:eastAsia="Guttman Hodes" w:hint="cs"/>
        </w:rPr>
        <w:instrText>Ref64021797 \r \h</w:instrText>
      </w:r>
      <w:r w:rsidRPr="00CA1F9F">
        <w:rPr>
          <w:rStyle w:val="af7"/>
          <w:rFonts w:eastAsia="Guttman Hodes"/>
          <w:rtl/>
        </w:rPr>
        <w:instrText xml:space="preserve"> </w:instrText>
      </w:r>
      <w:r w:rsidRPr="00CA1F9F">
        <w:rPr>
          <w:rStyle w:val="af7"/>
          <w:rFonts w:eastAsia="Guttman Hodes"/>
          <w:rtl/>
        </w:rPr>
      </w:r>
      <w:r w:rsidRPr="00CA1F9F">
        <w:rPr>
          <w:rStyle w:val="af7"/>
          <w:rFonts w:eastAsia="Guttman Hodes"/>
          <w:rtl/>
        </w:rPr>
        <w:fldChar w:fldCharType="separate"/>
      </w:r>
      <w:r w:rsidR="00265073">
        <w:rPr>
          <w:rStyle w:val="af7"/>
          <w:rFonts w:eastAsia="Guttman Hodes"/>
          <w:cs/>
        </w:rPr>
        <w:t>‎</w:t>
      </w:r>
      <w:r w:rsidR="00265073">
        <w:rPr>
          <w:rStyle w:val="af7"/>
          <w:rFonts w:eastAsia="Guttman Hodes"/>
          <w:rtl/>
        </w:rPr>
        <w:t>לד)</w:t>
      </w:r>
      <w:r w:rsidRPr="00CA1F9F">
        <w:rPr>
          <w:rStyle w:val="af7"/>
          <w:rFonts w:eastAsia="Guttman Hodes"/>
          <w:rtl/>
        </w:rPr>
        <w:fldChar w:fldCharType="end"/>
      </w:r>
      <w:r>
        <w:rPr>
          <w:rFonts w:hint="cs"/>
          <w:rtl/>
        </w:rPr>
        <w:t xml:space="preserve"> ובמ"ש </w:t>
      </w:r>
      <w:r w:rsidRPr="00CA1F9F">
        <w:rPr>
          <w:rStyle w:val="af9"/>
          <w:rFonts w:hint="cs"/>
          <w:rtl/>
        </w:rPr>
        <w:t>הב"י והמהרי"ט</w:t>
      </w:r>
      <w:r>
        <w:rPr>
          <w:rFonts w:hint="cs"/>
          <w:rtl/>
        </w:rPr>
        <w:t xml:space="preserve"> </w:t>
      </w:r>
      <w:r w:rsidRPr="00CA1F9F">
        <w:rPr>
          <w:rStyle w:val="af7"/>
          <w:rFonts w:eastAsia="Guttman Hodes" w:hint="cs"/>
          <w:rtl/>
        </w:rPr>
        <w:t xml:space="preserve">(עי' אות </w:t>
      </w:r>
      <w:r w:rsidRPr="00CA1F9F">
        <w:rPr>
          <w:rStyle w:val="af7"/>
          <w:rFonts w:eastAsia="Guttman Hodes"/>
          <w:rtl/>
        </w:rPr>
        <w:fldChar w:fldCharType="begin"/>
      </w:r>
      <w:r w:rsidRPr="00CA1F9F">
        <w:rPr>
          <w:rStyle w:val="af7"/>
          <w:rFonts w:eastAsia="Guttman Hodes"/>
          <w:rtl/>
        </w:rPr>
        <w:instrText xml:space="preserve"> </w:instrText>
      </w:r>
      <w:r w:rsidRPr="00CA1F9F">
        <w:rPr>
          <w:rStyle w:val="af7"/>
          <w:rFonts w:eastAsia="Guttman Hodes" w:hint="cs"/>
        </w:rPr>
        <w:instrText>REF</w:instrText>
      </w:r>
      <w:r w:rsidRPr="00CA1F9F">
        <w:rPr>
          <w:rStyle w:val="af7"/>
          <w:rFonts w:eastAsia="Guttman Hodes" w:hint="cs"/>
          <w:rtl/>
        </w:rPr>
        <w:instrText xml:space="preserve"> _</w:instrText>
      </w:r>
      <w:r w:rsidRPr="00CA1F9F">
        <w:rPr>
          <w:rStyle w:val="af7"/>
          <w:rFonts w:eastAsia="Guttman Hodes" w:hint="cs"/>
        </w:rPr>
        <w:instrText>Ref64196241 \r \h</w:instrText>
      </w:r>
      <w:r w:rsidRPr="00CA1F9F">
        <w:rPr>
          <w:rStyle w:val="af7"/>
          <w:rFonts w:eastAsia="Guttman Hodes"/>
          <w:rtl/>
        </w:rPr>
        <w:instrText xml:space="preserve"> </w:instrText>
      </w:r>
      <w:r w:rsidRPr="00CA1F9F">
        <w:rPr>
          <w:rStyle w:val="af7"/>
          <w:rFonts w:eastAsia="Guttman Hodes"/>
          <w:rtl/>
        </w:rPr>
      </w:r>
      <w:r w:rsidRPr="00CA1F9F">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CA1F9F">
        <w:rPr>
          <w:rStyle w:val="af7"/>
          <w:rFonts w:eastAsia="Guttman Hodes"/>
          <w:rtl/>
        </w:rPr>
        <w:fldChar w:fldCharType="end"/>
      </w:r>
      <w:r>
        <w:rPr>
          <w:rFonts w:hint="cs"/>
          <w:rtl/>
        </w:rPr>
        <w:t xml:space="preserve">, ועי' במה שביארו </w:t>
      </w:r>
      <w:r w:rsidRPr="00451095">
        <w:rPr>
          <w:rStyle w:val="af9"/>
          <w:rFonts w:hint="cs"/>
          <w:rtl/>
        </w:rPr>
        <w:t>האבי עזרי</w:t>
      </w:r>
      <w:r>
        <w:rPr>
          <w:rFonts w:hint="cs"/>
          <w:rtl/>
        </w:rPr>
        <w:t xml:space="preserve"> </w:t>
      </w:r>
      <w:r w:rsidRPr="0027374C">
        <w:rPr>
          <w:rStyle w:val="af7"/>
          <w:rFonts w:eastAsia="Guttman Hodes" w:hint="cs"/>
          <w:rtl/>
        </w:rPr>
        <w:t xml:space="preserve">(עי' אות </w:t>
      </w:r>
      <w:r w:rsidRPr="0027374C">
        <w:rPr>
          <w:rStyle w:val="af7"/>
          <w:rFonts w:eastAsia="Guttman Hodes"/>
          <w:rtl/>
        </w:rPr>
        <w:fldChar w:fldCharType="begin"/>
      </w:r>
      <w:r w:rsidRPr="0027374C">
        <w:rPr>
          <w:rStyle w:val="af7"/>
          <w:rFonts w:eastAsia="Guttman Hodes"/>
          <w:rtl/>
        </w:rPr>
        <w:instrText xml:space="preserve"> </w:instrText>
      </w:r>
      <w:r w:rsidRPr="0027374C">
        <w:rPr>
          <w:rStyle w:val="af7"/>
          <w:rFonts w:eastAsia="Guttman Hodes" w:hint="cs"/>
        </w:rPr>
        <w:instrText>REF</w:instrText>
      </w:r>
      <w:r w:rsidRPr="0027374C">
        <w:rPr>
          <w:rStyle w:val="af7"/>
          <w:rFonts w:eastAsia="Guttman Hodes" w:hint="cs"/>
          <w:rtl/>
        </w:rPr>
        <w:instrText xml:space="preserve"> _</w:instrText>
      </w:r>
      <w:r w:rsidRPr="0027374C">
        <w:rPr>
          <w:rStyle w:val="af7"/>
          <w:rFonts w:eastAsia="Guttman Hodes" w:hint="cs"/>
        </w:rPr>
        <w:instrText>Ref63958317 \r \h</w:instrText>
      </w:r>
      <w:r w:rsidRPr="0027374C">
        <w:rPr>
          <w:rStyle w:val="af7"/>
          <w:rFonts w:eastAsia="Guttman Hodes"/>
          <w:rtl/>
        </w:rPr>
        <w:instrText xml:space="preserve"> </w:instrText>
      </w:r>
      <w:r w:rsidRPr="0027374C">
        <w:rPr>
          <w:rStyle w:val="af7"/>
          <w:rFonts w:eastAsia="Guttman Hodes"/>
          <w:rtl/>
        </w:rPr>
      </w:r>
      <w:r w:rsidRPr="0027374C">
        <w:rPr>
          <w:rStyle w:val="af7"/>
          <w:rFonts w:eastAsia="Guttman Hodes"/>
          <w:rtl/>
        </w:rPr>
        <w:fldChar w:fldCharType="separate"/>
      </w:r>
      <w:r w:rsidR="00265073">
        <w:rPr>
          <w:rStyle w:val="af7"/>
          <w:rFonts w:eastAsia="Guttman Hodes"/>
          <w:cs/>
        </w:rPr>
        <w:t>‎</w:t>
      </w:r>
      <w:r w:rsidR="00265073">
        <w:rPr>
          <w:rStyle w:val="af7"/>
          <w:rFonts w:eastAsia="Guttman Hodes"/>
          <w:rtl/>
        </w:rPr>
        <w:t>קלה)</w:t>
      </w:r>
      <w:r w:rsidRPr="0027374C">
        <w:rPr>
          <w:rStyle w:val="af7"/>
          <w:rFonts w:eastAsia="Guttman Hodes"/>
          <w:rtl/>
        </w:rPr>
        <w:fldChar w:fldCharType="end"/>
      </w:r>
      <w:r>
        <w:rPr>
          <w:rFonts w:hint="cs"/>
          <w:rtl/>
        </w:rPr>
        <w:t xml:space="preserve"> </w:t>
      </w:r>
      <w:r w:rsidRPr="00574B5B">
        <w:rPr>
          <w:rStyle w:val="af9"/>
          <w:rFonts w:hint="cs"/>
          <w:rtl/>
        </w:rPr>
        <w:t>והקה"י</w:t>
      </w:r>
      <w:r>
        <w:rPr>
          <w:rFonts w:hint="cs"/>
          <w:rtl/>
        </w:rPr>
        <w:t xml:space="preserve"> </w:t>
      </w:r>
      <w:r w:rsidRPr="00574B5B">
        <w:rPr>
          <w:rStyle w:val="af7"/>
          <w:rFonts w:eastAsia="Guttman Hodes" w:hint="cs"/>
          <w:rtl/>
        </w:rPr>
        <w:t xml:space="preserve">(עי' אות </w:t>
      </w:r>
      <w:r w:rsidRPr="00574B5B">
        <w:rPr>
          <w:rStyle w:val="af7"/>
          <w:rFonts w:eastAsia="Guttman Hodes"/>
          <w:rtl/>
        </w:rPr>
        <w:fldChar w:fldCharType="begin"/>
      </w:r>
      <w:r w:rsidRPr="00574B5B">
        <w:rPr>
          <w:rStyle w:val="af7"/>
          <w:rFonts w:eastAsia="Guttman Hodes"/>
          <w:rtl/>
        </w:rPr>
        <w:instrText xml:space="preserve"> </w:instrText>
      </w:r>
      <w:r w:rsidRPr="00574B5B">
        <w:rPr>
          <w:rStyle w:val="af7"/>
          <w:rFonts w:eastAsia="Guttman Hodes" w:hint="cs"/>
        </w:rPr>
        <w:instrText>REF</w:instrText>
      </w:r>
      <w:r w:rsidRPr="00574B5B">
        <w:rPr>
          <w:rStyle w:val="af7"/>
          <w:rFonts w:eastAsia="Guttman Hodes" w:hint="cs"/>
          <w:rtl/>
        </w:rPr>
        <w:instrText xml:space="preserve"> _</w:instrText>
      </w:r>
      <w:r w:rsidRPr="00574B5B">
        <w:rPr>
          <w:rStyle w:val="af7"/>
          <w:rFonts w:eastAsia="Guttman Hodes" w:hint="cs"/>
        </w:rPr>
        <w:instrText>Ref64208460 \r \h</w:instrText>
      </w:r>
      <w:r w:rsidRPr="00574B5B">
        <w:rPr>
          <w:rStyle w:val="af7"/>
          <w:rFonts w:eastAsia="Guttman Hodes"/>
          <w:rtl/>
        </w:rPr>
        <w:instrText xml:space="preserve"> </w:instrText>
      </w:r>
      <w:r w:rsidRPr="00574B5B">
        <w:rPr>
          <w:rStyle w:val="af7"/>
          <w:rFonts w:eastAsia="Guttman Hodes"/>
          <w:rtl/>
        </w:rPr>
      </w:r>
      <w:r w:rsidRPr="00574B5B">
        <w:rPr>
          <w:rStyle w:val="af7"/>
          <w:rFonts w:eastAsia="Guttman Hodes"/>
          <w:rtl/>
        </w:rPr>
        <w:fldChar w:fldCharType="separate"/>
      </w:r>
      <w:r w:rsidR="00265073">
        <w:rPr>
          <w:rStyle w:val="af7"/>
          <w:rFonts w:eastAsia="Guttman Hodes"/>
          <w:cs/>
        </w:rPr>
        <w:t>‎</w:t>
      </w:r>
      <w:r w:rsidR="00265073">
        <w:rPr>
          <w:rStyle w:val="af7"/>
          <w:rFonts w:eastAsia="Guttman Hodes"/>
          <w:rtl/>
        </w:rPr>
        <w:t>קלט)</w:t>
      </w:r>
      <w:r w:rsidRPr="00574B5B">
        <w:rPr>
          <w:rStyle w:val="af7"/>
          <w:rFonts w:eastAsia="Guttman Hodes"/>
          <w:rtl/>
        </w:rPr>
        <w:fldChar w:fldCharType="end"/>
      </w:r>
      <w:r>
        <w:rPr>
          <w:rFonts w:hint="cs"/>
          <w:rtl/>
        </w:rPr>
        <w:t xml:space="preserve"> בדברי </w:t>
      </w:r>
      <w:r w:rsidRPr="00451095">
        <w:rPr>
          <w:rStyle w:val="af9"/>
          <w:rFonts w:hint="cs"/>
          <w:rtl/>
        </w:rPr>
        <w:t>הראב"ד</w:t>
      </w:r>
      <w:r>
        <w:rPr>
          <w:rFonts w:hint="cs"/>
          <w:rtl/>
        </w:rPr>
        <w:t>.</w:t>
      </w:r>
      <w:bookmarkEnd w:id="15251"/>
    </w:p>
    <w:p w:rsidR="00F4065E" w:rsidRPr="00813D0C" w:rsidRDefault="00F4065E" w:rsidP="00F4065E">
      <w:pPr>
        <w:pStyle w:val="1"/>
      </w:pPr>
      <w:bookmarkStart w:id="15252" w:name="_Toc64205769"/>
      <w:bookmarkStart w:id="15253" w:name="_Toc64209449"/>
      <w:r>
        <w:rPr>
          <w:rFonts w:hint="cs"/>
          <w:rtl/>
        </w:rPr>
        <w:t>תירוצי האחרונים על דברי הרמב"ם מקושיות הראב"ד</w:t>
      </w:r>
      <w:bookmarkEnd w:id="15252"/>
      <w:bookmarkEnd w:id="15253"/>
    </w:p>
    <w:p w:rsidR="00F4065E" w:rsidRDefault="00F4065E" w:rsidP="00F4065E">
      <w:pPr>
        <w:pStyle w:val="a3"/>
        <w:rPr>
          <w:rtl/>
        </w:rPr>
      </w:pPr>
      <w:bookmarkStart w:id="15254" w:name="_Toc64205770"/>
      <w:bookmarkStart w:id="15255" w:name="_Toc64209450"/>
      <w:r>
        <w:rPr>
          <w:rFonts w:hint="cs"/>
          <w:rtl/>
        </w:rPr>
        <w:t>ביאור המ"מ ברמב"ם דבקול שהוחזק בב"ד אמרינן דאם יחקר הענין יתברר שהיא של אביהם</w:t>
      </w:r>
      <w:bookmarkEnd w:id="15254"/>
      <w:bookmarkEnd w:id="15255"/>
    </w:p>
    <w:p w:rsidR="00F4065E" w:rsidRPr="00EB5EA2" w:rsidRDefault="00F4065E" w:rsidP="007E4E81">
      <w:pPr>
        <w:pStyle w:val="a0"/>
        <w:rPr>
          <w:rStyle w:val="afb"/>
          <w:rtl/>
        </w:rPr>
      </w:pPr>
      <w:bookmarkStart w:id="15256" w:name="_Ref63959773"/>
      <w:r>
        <w:rPr>
          <w:rFonts w:hint="cs"/>
          <w:rtl/>
        </w:rPr>
        <w:t xml:space="preserve">במה שהקשה </w:t>
      </w:r>
      <w:r w:rsidRPr="00691C13">
        <w:rPr>
          <w:rStyle w:val="af9"/>
          <w:rFonts w:hint="cs"/>
          <w:rtl/>
        </w:rPr>
        <w:t>הראב"ד</w:t>
      </w:r>
      <w:r>
        <w:rPr>
          <w:rFonts w:hint="cs"/>
          <w:rtl/>
        </w:rPr>
        <w:t xml:space="preserve"> </w:t>
      </w:r>
      <w:r w:rsidRPr="00FE3B23">
        <w:rPr>
          <w:rStyle w:val="af7"/>
          <w:rFonts w:eastAsia="Guttman Hodes" w:hint="cs"/>
          <w:rtl/>
        </w:rPr>
        <w:t xml:space="preserve">(עי' אות </w:t>
      </w:r>
      <w:r w:rsidRPr="00FE3B23">
        <w:rPr>
          <w:rStyle w:val="af7"/>
          <w:rFonts w:eastAsia="Guttman Hodes"/>
          <w:rtl/>
        </w:rPr>
        <w:fldChar w:fldCharType="begin"/>
      </w:r>
      <w:r w:rsidRPr="00FE3B23">
        <w:rPr>
          <w:rStyle w:val="af7"/>
          <w:rFonts w:eastAsia="Guttman Hodes"/>
          <w:rtl/>
        </w:rPr>
        <w:instrText xml:space="preserve"> </w:instrText>
      </w:r>
      <w:r w:rsidRPr="00FE3B23">
        <w:rPr>
          <w:rStyle w:val="af7"/>
          <w:rFonts w:eastAsia="Guttman Hodes" w:hint="cs"/>
        </w:rPr>
        <w:instrText>REF</w:instrText>
      </w:r>
      <w:r w:rsidRPr="00FE3B23">
        <w:rPr>
          <w:rStyle w:val="af7"/>
          <w:rFonts w:eastAsia="Guttman Hodes" w:hint="cs"/>
          <w:rtl/>
        </w:rPr>
        <w:instrText xml:space="preserve"> _</w:instrText>
      </w:r>
      <w:r w:rsidRPr="00FE3B23">
        <w:rPr>
          <w:rStyle w:val="af7"/>
          <w:rFonts w:eastAsia="Guttman Hodes" w:hint="cs"/>
        </w:rPr>
        <w:instrText>Ref63702827 \r \h</w:instrText>
      </w:r>
      <w:r w:rsidRPr="00FE3B23">
        <w:rPr>
          <w:rStyle w:val="af7"/>
          <w:rFonts w:eastAsia="Guttman Hodes"/>
          <w:rtl/>
        </w:rPr>
        <w:instrText xml:space="preserve"> </w:instrText>
      </w:r>
      <w:r w:rsidRPr="00FE3B23">
        <w:rPr>
          <w:rStyle w:val="af7"/>
          <w:rFonts w:eastAsia="Guttman Hodes"/>
          <w:rtl/>
        </w:rPr>
      </w:r>
      <w:r w:rsidRPr="00FE3B23">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sidRPr="00FE3B23">
        <w:rPr>
          <w:rStyle w:val="af7"/>
          <w:rFonts w:eastAsia="Guttman Hodes"/>
          <w:rtl/>
        </w:rPr>
        <w:fldChar w:fldCharType="end"/>
      </w:r>
      <w:r>
        <w:rPr>
          <w:rFonts w:hint="cs"/>
          <w:rtl/>
        </w:rPr>
        <w:t xml:space="preserve"> דקול אינו מבטל חזקה, תירץ </w:t>
      </w:r>
      <w:r w:rsidRPr="00691C13">
        <w:rPr>
          <w:rStyle w:val="af9"/>
          <w:rFonts w:hint="cs"/>
          <w:rtl/>
        </w:rPr>
        <w:t>המ"מ</w:t>
      </w:r>
      <w:r w:rsidRPr="00FE3B23">
        <w:rPr>
          <w:rStyle w:val="af7"/>
          <w:rFonts w:eastAsia="Guttman Hodes" w:hint="cs"/>
          <w:rtl/>
        </w:rPr>
        <w:t xml:space="preserve"> (טו"נ פי"ד ה"ח)</w:t>
      </w:r>
      <w:r>
        <w:rPr>
          <w:rFonts w:hint="cs"/>
          <w:rtl/>
        </w:rPr>
        <w:t xml:space="preserve"> דאיירי שלא החזיק ג"ש בחיי האב, ויצא קול שהוחזק בב"ד, שהקרקע היא של היתומים, </w:t>
      </w:r>
      <w:r w:rsidRPr="00FE3B23">
        <w:rPr>
          <w:rStyle w:val="afb"/>
          <w:rFonts w:hint="cs"/>
          <w:rtl/>
        </w:rPr>
        <w:t>[עי'</w:t>
      </w:r>
      <w:r>
        <w:rPr>
          <w:rStyle w:val="afb"/>
          <w:rFonts w:hint="cs"/>
          <w:rtl/>
        </w:rPr>
        <w:t xml:space="preserve"> במ"ש</w:t>
      </w:r>
      <w:r w:rsidRPr="00FE3B23">
        <w:rPr>
          <w:rStyle w:val="afb"/>
          <w:rFonts w:hint="cs"/>
          <w:rtl/>
        </w:rPr>
        <w:t xml:space="preserve"> </w:t>
      </w:r>
      <w:r>
        <w:rPr>
          <w:rStyle w:val="affa"/>
          <w:rFonts w:hint="cs"/>
          <w:rtl/>
        </w:rPr>
        <w:t>ה</w:t>
      </w:r>
      <w:r w:rsidRPr="00DC18A2">
        <w:rPr>
          <w:rStyle w:val="affa"/>
          <w:rFonts w:hint="cs"/>
          <w:rtl/>
        </w:rPr>
        <w:t>רמב"ן ו</w:t>
      </w:r>
      <w:r>
        <w:rPr>
          <w:rStyle w:val="affa"/>
          <w:rFonts w:hint="cs"/>
          <w:rtl/>
        </w:rPr>
        <w:t>ה</w:t>
      </w:r>
      <w:r w:rsidRPr="00DC18A2">
        <w:rPr>
          <w:rStyle w:val="affa"/>
          <w:rFonts w:hint="cs"/>
          <w:rtl/>
        </w:rPr>
        <w:t>רשב"א</w:t>
      </w:r>
      <w:r w:rsidRPr="00FE3B23">
        <w:rPr>
          <w:rStyle w:val="afb"/>
          <w:rFonts w:hint="cs"/>
          <w:rtl/>
        </w:rPr>
        <w:t xml:space="preserve"> </w:t>
      </w:r>
      <w:r w:rsidRPr="00813D0C">
        <w:rPr>
          <w:rStyle w:val="aff6"/>
          <w:rFonts w:hint="cs"/>
          <w:rtl/>
        </w:rPr>
        <w:t xml:space="preserve">(עי' אות </w:t>
      </w:r>
      <w:r w:rsidRPr="00813D0C">
        <w:rPr>
          <w:rStyle w:val="aff6"/>
          <w:rtl/>
        </w:rPr>
        <w:fldChar w:fldCharType="begin"/>
      </w:r>
      <w:r w:rsidRPr="00813D0C">
        <w:rPr>
          <w:rStyle w:val="aff6"/>
          <w:rtl/>
        </w:rPr>
        <w:instrText xml:space="preserve"> </w:instrText>
      </w:r>
      <w:r w:rsidRPr="00813D0C">
        <w:rPr>
          <w:rStyle w:val="aff6"/>
          <w:rFonts w:hint="cs"/>
        </w:rPr>
        <w:instrText>REF</w:instrText>
      </w:r>
      <w:r w:rsidRPr="00813D0C">
        <w:rPr>
          <w:rStyle w:val="aff6"/>
          <w:rFonts w:hint="cs"/>
          <w:rtl/>
        </w:rPr>
        <w:instrText xml:space="preserve"> _</w:instrText>
      </w:r>
      <w:r w:rsidRPr="00813D0C">
        <w:rPr>
          <w:rStyle w:val="aff6"/>
          <w:rFonts w:hint="cs"/>
        </w:rPr>
        <w:instrText>Ref64196374 \r \h</w:instrText>
      </w:r>
      <w:r w:rsidRPr="00813D0C">
        <w:rPr>
          <w:rStyle w:val="aff6"/>
          <w:rtl/>
        </w:rPr>
        <w:instrText xml:space="preserve"> </w:instrText>
      </w:r>
      <w:r w:rsidRPr="00813D0C">
        <w:rPr>
          <w:rStyle w:val="aff6"/>
          <w:rtl/>
        </w:rPr>
      </w:r>
      <w:r w:rsidRPr="00813D0C">
        <w:rPr>
          <w:rStyle w:val="aff6"/>
          <w:rtl/>
        </w:rPr>
        <w:fldChar w:fldCharType="separate"/>
      </w:r>
      <w:r w:rsidR="00265073">
        <w:rPr>
          <w:rStyle w:val="aff6"/>
          <w:cs/>
        </w:rPr>
        <w:t>‎</w:t>
      </w:r>
      <w:r w:rsidR="00265073">
        <w:rPr>
          <w:rStyle w:val="aff6"/>
          <w:rtl/>
        </w:rPr>
        <w:t>עא)</w:t>
      </w:r>
      <w:r w:rsidRPr="00813D0C">
        <w:rPr>
          <w:rStyle w:val="aff6"/>
          <w:rtl/>
        </w:rPr>
        <w:fldChar w:fldCharType="end"/>
      </w:r>
      <w:r w:rsidRPr="00FE3B23">
        <w:rPr>
          <w:rStyle w:val="afb"/>
          <w:rFonts w:hint="cs"/>
          <w:rtl/>
        </w:rPr>
        <w:t xml:space="preserve">], </w:t>
      </w:r>
      <w:r>
        <w:rPr>
          <w:rFonts w:hint="cs"/>
          <w:rtl/>
        </w:rPr>
        <w:t xml:space="preserve">ומחמת קול כזה מבטלים את החזקה שהחזיק בפני הקטן, ואעפ"י שיש לו מיגו דהיה טוען שלא הייתה של אביהם מעולם, מ"מ אינו נאמן, דכיון שיש קול אמרינן דודאי אם יחקרו את הענין יתברר שהקרקע הייתה של אביהם. </w:t>
      </w:r>
      <w:r w:rsidRPr="00EB5EA2">
        <w:rPr>
          <w:rStyle w:val="afb"/>
          <w:rFonts w:hint="cs"/>
          <w:rtl/>
        </w:rPr>
        <w:t xml:space="preserve">[ועי' במה שהסתפק </w:t>
      </w:r>
      <w:r w:rsidRPr="00EB5EA2">
        <w:rPr>
          <w:rStyle w:val="affa"/>
          <w:rFonts w:hint="cs"/>
          <w:rtl/>
        </w:rPr>
        <w:t>הגידולי תרומה</w:t>
      </w:r>
      <w:r w:rsidRPr="00EB5EA2">
        <w:rPr>
          <w:rStyle w:val="afb"/>
          <w:rFonts w:hint="cs"/>
          <w:rtl/>
        </w:rPr>
        <w:t xml:space="preserve"> </w:t>
      </w:r>
      <w:r w:rsidRPr="00EB5EA2">
        <w:rPr>
          <w:rStyle w:val="aff6"/>
          <w:rFonts w:hint="cs"/>
          <w:rtl/>
        </w:rPr>
        <w:t>(</w:t>
      </w:r>
      <w:r w:rsidRPr="00EB5EA2">
        <w:rPr>
          <w:rStyle w:val="aff6"/>
          <w:rtl/>
        </w:rPr>
        <w:t>שער י</w:t>
      </w:r>
      <w:r w:rsidRPr="00EB5EA2">
        <w:rPr>
          <w:rStyle w:val="aff6"/>
          <w:rFonts w:hint="cs"/>
          <w:rtl/>
        </w:rPr>
        <w:t>"</w:t>
      </w:r>
      <w:r w:rsidRPr="00EB5EA2">
        <w:rPr>
          <w:rStyle w:val="aff6"/>
          <w:rtl/>
        </w:rPr>
        <w:t>ד ח</w:t>
      </w:r>
      <w:r w:rsidRPr="00EB5EA2">
        <w:rPr>
          <w:rStyle w:val="aff6"/>
          <w:rFonts w:hint="cs"/>
          <w:rtl/>
        </w:rPr>
        <w:t>"</w:t>
      </w:r>
      <w:r w:rsidRPr="00EB5EA2">
        <w:rPr>
          <w:rStyle w:val="aff6"/>
          <w:rtl/>
        </w:rPr>
        <w:t>א או</w:t>
      </w:r>
      <w:r w:rsidRPr="00EB5EA2">
        <w:rPr>
          <w:rStyle w:val="aff6"/>
          <w:rFonts w:hint="cs"/>
          <w:rtl/>
        </w:rPr>
        <w:t>'</w:t>
      </w:r>
      <w:r w:rsidRPr="00EB5EA2">
        <w:rPr>
          <w:rStyle w:val="aff6"/>
          <w:rtl/>
        </w:rPr>
        <w:t xml:space="preserve"> ו</w:t>
      </w:r>
      <w:r w:rsidRPr="00EB5EA2">
        <w:rPr>
          <w:rStyle w:val="aff6"/>
          <w:rFonts w:hint="cs"/>
          <w:rtl/>
        </w:rPr>
        <w:t>' ד"ה ועל הדין)</w:t>
      </w:r>
      <w:r w:rsidRPr="00EB5EA2">
        <w:rPr>
          <w:rStyle w:val="afb"/>
          <w:rFonts w:hint="cs"/>
          <w:rtl/>
        </w:rPr>
        <w:t xml:space="preserve"> בכוונת </w:t>
      </w:r>
      <w:r w:rsidRPr="00EB5EA2">
        <w:rPr>
          <w:rStyle w:val="affa"/>
          <w:rFonts w:hint="cs"/>
          <w:rtl/>
        </w:rPr>
        <w:t>המ"מ</w:t>
      </w:r>
      <w:r w:rsidRPr="00EB5EA2">
        <w:rPr>
          <w:rStyle w:val="afb"/>
          <w:rFonts w:hint="cs"/>
          <w:rtl/>
        </w:rPr>
        <w:t>].</w:t>
      </w:r>
      <w:bookmarkEnd w:id="15256"/>
    </w:p>
    <w:p w:rsidR="00F4065E" w:rsidRPr="007A15BF" w:rsidRDefault="00F4065E" w:rsidP="00F4065E">
      <w:pPr>
        <w:pStyle w:val="a3"/>
        <w:rPr>
          <w:rtl/>
        </w:rPr>
      </w:pPr>
      <w:bookmarkStart w:id="15257" w:name="_Toc64205771"/>
      <w:bookmarkStart w:id="15258" w:name="_Toc64209451"/>
      <w:r>
        <w:rPr>
          <w:rFonts w:hint="cs"/>
          <w:rtl/>
        </w:rPr>
        <w:t>ביאור הש"ך במ"מ דנאמן בלהד"ם אך כיון שלא טען להד"ם אינו נאמן בלקוחה במיגו דלהד"ם</w:t>
      </w:r>
      <w:bookmarkEnd w:id="15257"/>
      <w:bookmarkEnd w:id="15258"/>
    </w:p>
    <w:p w:rsidR="00F4065E" w:rsidRDefault="00F4065E" w:rsidP="007E4E81">
      <w:pPr>
        <w:pStyle w:val="a0"/>
        <w:rPr>
          <w:rtl/>
        </w:rPr>
      </w:pPr>
      <w:bookmarkStart w:id="15259" w:name="_Ref63972612"/>
      <w:r>
        <w:rPr>
          <w:rFonts w:hint="cs"/>
          <w:rtl/>
        </w:rPr>
        <w:t xml:space="preserve">וכתב </w:t>
      </w:r>
      <w:r w:rsidRPr="006E0E6F">
        <w:rPr>
          <w:rStyle w:val="af9"/>
          <w:rFonts w:hint="cs"/>
          <w:rtl/>
        </w:rPr>
        <w:t xml:space="preserve">הש"ך </w:t>
      </w:r>
      <w:r w:rsidRPr="00683500">
        <w:rPr>
          <w:rStyle w:val="af7"/>
          <w:rFonts w:eastAsia="Guttman Hodes" w:hint="cs"/>
          <w:rtl/>
        </w:rPr>
        <w:t>(סי' קמ"ט סקכ"ב)</w:t>
      </w:r>
      <w:r>
        <w:rPr>
          <w:rFonts w:hint="cs"/>
          <w:rtl/>
        </w:rPr>
        <w:t xml:space="preserve"> דמשמע מדברי </w:t>
      </w:r>
      <w:r w:rsidRPr="006E0E6F">
        <w:rPr>
          <w:rStyle w:val="af9"/>
          <w:rFonts w:hint="cs"/>
          <w:rtl/>
        </w:rPr>
        <w:t>המ"מ</w:t>
      </w:r>
      <w:r>
        <w:rPr>
          <w:rFonts w:hint="cs"/>
          <w:rtl/>
        </w:rPr>
        <w:t xml:space="preserve"> </w:t>
      </w:r>
      <w:r w:rsidRPr="00DC18A2">
        <w:rPr>
          <w:rStyle w:val="af7"/>
          <w:rFonts w:eastAsia="Guttman Hodes" w:hint="cs"/>
          <w:rtl/>
        </w:rPr>
        <w:t xml:space="preserve">(עי' אות </w:t>
      </w:r>
      <w:r w:rsidRPr="00DC18A2">
        <w:rPr>
          <w:rStyle w:val="af7"/>
          <w:rFonts w:eastAsia="Guttman Hodes"/>
          <w:rtl/>
        </w:rPr>
        <w:fldChar w:fldCharType="begin"/>
      </w:r>
      <w:r w:rsidRPr="00DC18A2">
        <w:rPr>
          <w:rStyle w:val="af7"/>
          <w:rFonts w:eastAsia="Guttman Hodes"/>
          <w:rtl/>
        </w:rPr>
        <w:instrText xml:space="preserve"> </w:instrText>
      </w:r>
      <w:r w:rsidRPr="00DC18A2">
        <w:rPr>
          <w:rStyle w:val="af7"/>
          <w:rFonts w:eastAsia="Guttman Hodes" w:hint="cs"/>
        </w:rPr>
        <w:instrText>REF</w:instrText>
      </w:r>
      <w:r w:rsidRPr="00DC18A2">
        <w:rPr>
          <w:rStyle w:val="af7"/>
          <w:rFonts w:eastAsia="Guttman Hodes" w:hint="cs"/>
          <w:rtl/>
        </w:rPr>
        <w:instrText xml:space="preserve"> _</w:instrText>
      </w:r>
      <w:r w:rsidRPr="00DC18A2">
        <w:rPr>
          <w:rStyle w:val="af7"/>
          <w:rFonts w:eastAsia="Guttman Hodes" w:hint="cs"/>
        </w:rPr>
        <w:instrText>Ref63959773 \r \h</w:instrText>
      </w:r>
      <w:r w:rsidRPr="00DC18A2">
        <w:rPr>
          <w:rStyle w:val="af7"/>
          <w:rFonts w:eastAsia="Guttman Hodes"/>
          <w:rtl/>
        </w:rPr>
        <w:instrText xml:space="preserve"> </w:instrText>
      </w:r>
      <w:r w:rsidRPr="00DC18A2">
        <w:rPr>
          <w:rStyle w:val="af7"/>
          <w:rFonts w:eastAsia="Guttman Hodes"/>
          <w:rtl/>
        </w:rPr>
      </w:r>
      <w:r w:rsidRPr="00DC18A2">
        <w:rPr>
          <w:rStyle w:val="af7"/>
          <w:rFonts w:eastAsia="Guttman Hodes"/>
          <w:rtl/>
        </w:rPr>
        <w:fldChar w:fldCharType="separate"/>
      </w:r>
      <w:r w:rsidR="00265073">
        <w:rPr>
          <w:rStyle w:val="af7"/>
          <w:rFonts w:eastAsia="Guttman Hodes"/>
          <w:cs/>
        </w:rPr>
        <w:t>‎</w:t>
      </w:r>
      <w:r w:rsidR="00265073">
        <w:rPr>
          <w:rStyle w:val="af7"/>
          <w:rFonts w:eastAsia="Guttman Hodes"/>
          <w:rtl/>
        </w:rPr>
        <w:t>קיח)</w:t>
      </w:r>
      <w:r w:rsidRPr="00DC18A2">
        <w:rPr>
          <w:rStyle w:val="af7"/>
          <w:rFonts w:eastAsia="Guttman Hodes"/>
          <w:rtl/>
        </w:rPr>
        <w:fldChar w:fldCharType="end"/>
      </w:r>
      <w:r>
        <w:rPr>
          <w:rFonts w:hint="cs"/>
          <w:rtl/>
        </w:rPr>
        <w:t xml:space="preserve"> דקול אינו יכול לבטל טענה, ואם באמת היה טוען דלא הייתה של אביהם מעולם הוא נאמן, אלא דכיון שאין לו חזקת ג"ש, והוא טוען שהיא לקוחה בידו, ורוצה להיות נאמן במיגו דלא הייתה של אביהם מעולם, בכה"ג אינו נאמן, דכיון שיצא הקול לא ניחא ליה לטעון שלא הייתה של אביהם מעולם.</w:t>
      </w:r>
      <w:bookmarkEnd w:id="15259"/>
    </w:p>
    <w:p w:rsidR="00F4065E" w:rsidRPr="00FE3B23" w:rsidRDefault="00F4065E" w:rsidP="00F4065E">
      <w:pPr>
        <w:pStyle w:val="a3"/>
        <w:rPr>
          <w:rtl/>
        </w:rPr>
      </w:pPr>
      <w:bookmarkStart w:id="15260" w:name="_Toc64205772"/>
      <w:bookmarkStart w:id="15261" w:name="_Toc64209452"/>
      <w:r>
        <w:rPr>
          <w:rFonts w:hint="cs"/>
          <w:rtl/>
        </w:rPr>
        <w:t>ביאור המ"מ ברמב"ם דבקרקע אין נשבעים כשבועת הגאונים</w:t>
      </w:r>
      <w:bookmarkEnd w:id="15260"/>
      <w:bookmarkEnd w:id="15261"/>
    </w:p>
    <w:p w:rsidR="00F4065E" w:rsidRDefault="00F4065E" w:rsidP="007E4E81">
      <w:pPr>
        <w:pStyle w:val="a0"/>
        <w:rPr>
          <w:rtl/>
        </w:rPr>
      </w:pPr>
      <w:bookmarkStart w:id="15262" w:name="_Ref64198545"/>
      <w:r>
        <w:rPr>
          <w:rFonts w:hint="cs"/>
          <w:rtl/>
        </w:rPr>
        <w:t xml:space="preserve">ובמה שהקשה </w:t>
      </w:r>
      <w:r w:rsidRPr="00691C13">
        <w:rPr>
          <w:rStyle w:val="af9"/>
          <w:rFonts w:hint="cs"/>
          <w:rtl/>
        </w:rPr>
        <w:t>הראב"ד</w:t>
      </w:r>
      <w:r>
        <w:rPr>
          <w:rFonts w:hint="cs"/>
          <w:rtl/>
        </w:rPr>
        <w:t xml:space="preserve"> </w:t>
      </w:r>
      <w:r w:rsidRPr="0014438C">
        <w:rPr>
          <w:rStyle w:val="af7"/>
          <w:rFonts w:eastAsia="Guttman Hodes" w:hint="cs"/>
          <w:rtl/>
        </w:rPr>
        <w:t xml:space="preserve">(עי' אות </w:t>
      </w:r>
      <w:r w:rsidRPr="0014438C">
        <w:rPr>
          <w:rStyle w:val="af7"/>
          <w:rFonts w:eastAsia="Guttman Hodes"/>
          <w:rtl/>
        </w:rPr>
        <w:fldChar w:fldCharType="begin"/>
      </w:r>
      <w:r w:rsidRPr="0014438C">
        <w:rPr>
          <w:rStyle w:val="af7"/>
          <w:rFonts w:eastAsia="Guttman Hodes"/>
          <w:rtl/>
        </w:rPr>
        <w:instrText xml:space="preserve"> </w:instrText>
      </w:r>
      <w:r w:rsidRPr="0014438C">
        <w:rPr>
          <w:rStyle w:val="af7"/>
          <w:rFonts w:eastAsia="Guttman Hodes" w:hint="cs"/>
        </w:rPr>
        <w:instrText>REF</w:instrText>
      </w:r>
      <w:r w:rsidRPr="0014438C">
        <w:rPr>
          <w:rStyle w:val="af7"/>
          <w:rFonts w:eastAsia="Guttman Hodes" w:hint="cs"/>
          <w:rtl/>
        </w:rPr>
        <w:instrText xml:space="preserve"> _</w:instrText>
      </w:r>
      <w:r w:rsidRPr="0014438C">
        <w:rPr>
          <w:rStyle w:val="af7"/>
          <w:rFonts w:eastAsia="Guttman Hodes" w:hint="cs"/>
        </w:rPr>
        <w:instrText>Ref63960661 \r \h</w:instrText>
      </w:r>
      <w:r w:rsidRPr="0014438C">
        <w:rPr>
          <w:rStyle w:val="af7"/>
          <w:rFonts w:eastAsia="Guttman Hodes"/>
          <w:rtl/>
        </w:rPr>
        <w:instrText xml:space="preserve"> </w:instrText>
      </w:r>
      <w:r w:rsidRPr="0014438C">
        <w:rPr>
          <w:rStyle w:val="af7"/>
          <w:rFonts w:eastAsia="Guttman Hodes"/>
          <w:rtl/>
        </w:rPr>
      </w:r>
      <w:r w:rsidRPr="0014438C">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sidRPr="0014438C">
        <w:rPr>
          <w:rStyle w:val="af7"/>
          <w:rFonts w:eastAsia="Guttman Hodes"/>
          <w:rtl/>
        </w:rPr>
        <w:fldChar w:fldCharType="end"/>
      </w:r>
      <w:r>
        <w:rPr>
          <w:rFonts w:hint="cs"/>
          <w:rtl/>
        </w:rPr>
        <w:t xml:space="preserve"> דדעת </w:t>
      </w:r>
      <w:r w:rsidRPr="00FF4857">
        <w:rPr>
          <w:rStyle w:val="af9"/>
          <w:rFonts w:hint="cs"/>
          <w:rtl/>
        </w:rPr>
        <w:t xml:space="preserve">הגאונים </w:t>
      </w:r>
      <w:r>
        <w:rPr>
          <w:rFonts w:hint="cs"/>
          <w:rtl/>
        </w:rPr>
        <w:t xml:space="preserve">דאף שיש לו מיגו צריך להשבע, כתב </w:t>
      </w:r>
      <w:r w:rsidRPr="00691C13">
        <w:rPr>
          <w:rStyle w:val="af9"/>
          <w:rFonts w:hint="cs"/>
          <w:rtl/>
        </w:rPr>
        <w:t>המ"מ</w:t>
      </w:r>
      <w:r>
        <w:rPr>
          <w:rFonts w:hint="cs"/>
          <w:rtl/>
        </w:rPr>
        <w:t xml:space="preserve"> </w:t>
      </w:r>
      <w:r w:rsidRPr="00220B3F">
        <w:rPr>
          <w:rStyle w:val="af7"/>
          <w:rFonts w:eastAsia="Guttman Hodes" w:hint="cs"/>
          <w:rtl/>
        </w:rPr>
        <w:t>(טו"נ פי"ד ה"ח)</w:t>
      </w:r>
      <w:r w:rsidRPr="00691C13">
        <w:rPr>
          <w:rFonts w:hint="cs"/>
          <w:rtl/>
        </w:rPr>
        <w:t xml:space="preserve"> דאף</w:t>
      </w:r>
      <w:r>
        <w:rPr>
          <w:rStyle w:val="af9"/>
          <w:rFonts w:hint="cs"/>
          <w:rtl/>
        </w:rPr>
        <w:t xml:space="preserve"> </w:t>
      </w:r>
      <w:r w:rsidRPr="0001524E">
        <w:rPr>
          <w:rStyle w:val="af9"/>
          <w:rtl/>
        </w:rPr>
        <w:t>הרמב"ם</w:t>
      </w:r>
      <w:r w:rsidRPr="00CD3928">
        <w:rPr>
          <w:rtl/>
        </w:rPr>
        <w:t xml:space="preserve"> </w:t>
      </w:r>
      <w:r w:rsidRPr="00C17BF6">
        <w:rPr>
          <w:rStyle w:val="af7"/>
          <w:rFonts w:eastAsia="Guttman Hodes"/>
          <w:rtl/>
        </w:rPr>
        <w:t xml:space="preserve">(טו"נ </w:t>
      </w:r>
      <w:r>
        <w:rPr>
          <w:rStyle w:val="af7"/>
          <w:rFonts w:eastAsia="Guttman Hodes" w:hint="cs"/>
          <w:rtl/>
        </w:rPr>
        <w:t>פ"ח</w:t>
      </w:r>
      <w:r w:rsidRPr="00C17BF6">
        <w:rPr>
          <w:rStyle w:val="af7"/>
          <w:rFonts w:eastAsia="Guttman Hodes"/>
          <w:rtl/>
        </w:rPr>
        <w:t xml:space="preserve"> ה"ב)</w:t>
      </w:r>
      <w:r>
        <w:rPr>
          <w:rFonts w:hint="cs"/>
          <w:rtl/>
        </w:rPr>
        <w:t xml:space="preserve"> ס"ל כדעת </w:t>
      </w:r>
      <w:r w:rsidRPr="00691C13">
        <w:rPr>
          <w:rStyle w:val="af9"/>
          <w:rFonts w:hint="cs"/>
          <w:rtl/>
        </w:rPr>
        <w:t>הגאונים</w:t>
      </w:r>
      <w:r>
        <w:rPr>
          <w:rFonts w:hint="cs"/>
          <w:rtl/>
        </w:rPr>
        <w:t xml:space="preserve"> בנשבע על המשכון, אך כתב </w:t>
      </w:r>
      <w:r w:rsidRPr="00691C13">
        <w:rPr>
          <w:rStyle w:val="af9"/>
          <w:rFonts w:hint="cs"/>
          <w:rtl/>
        </w:rPr>
        <w:t>המ"מ</w:t>
      </w:r>
      <w:r>
        <w:rPr>
          <w:rFonts w:hint="cs"/>
          <w:rtl/>
        </w:rPr>
        <w:t xml:space="preserve"> דכיון דאיירי בקרקע א"כ אין נשבעין על הקרקעות, ועי' במה שהקשה </w:t>
      </w:r>
      <w:r w:rsidRPr="003B7475">
        <w:rPr>
          <w:rStyle w:val="af9"/>
          <w:rFonts w:hint="cs"/>
          <w:rtl/>
        </w:rPr>
        <w:t xml:space="preserve">הקה"י </w:t>
      </w:r>
      <w:r w:rsidRPr="00B944EB">
        <w:rPr>
          <w:rStyle w:val="af7"/>
          <w:rFonts w:eastAsia="Guttman Hodes" w:hint="cs"/>
          <w:rtl/>
        </w:rPr>
        <w:t xml:space="preserve">(סי' כ' או' א' ד"ה </w:t>
      </w:r>
      <w:r>
        <w:rPr>
          <w:rStyle w:val="af7"/>
          <w:rFonts w:eastAsia="Guttman Hodes" w:hint="cs"/>
          <w:rtl/>
        </w:rPr>
        <w:t>והרהמ"ג</w:t>
      </w:r>
      <w:r w:rsidRPr="00B944EB">
        <w:rPr>
          <w:rStyle w:val="af7"/>
          <w:rFonts w:eastAsia="Guttman Hodes" w:hint="cs"/>
          <w:rtl/>
        </w:rPr>
        <w:t>)</w:t>
      </w:r>
      <w:r>
        <w:rPr>
          <w:rFonts w:hint="cs"/>
          <w:rtl/>
        </w:rPr>
        <w:t xml:space="preserve"> על דברי </w:t>
      </w:r>
      <w:r w:rsidRPr="00691C13">
        <w:rPr>
          <w:rStyle w:val="af9"/>
          <w:rFonts w:hint="cs"/>
          <w:rtl/>
        </w:rPr>
        <w:t>המ"מ</w:t>
      </w:r>
      <w:r>
        <w:rPr>
          <w:rFonts w:hint="cs"/>
          <w:rtl/>
        </w:rPr>
        <w:t>.</w:t>
      </w:r>
      <w:bookmarkEnd w:id="15262"/>
    </w:p>
    <w:p w:rsidR="007F63C5" w:rsidRPr="007F63C5" w:rsidRDefault="007F63C5" w:rsidP="007F63C5">
      <w:pPr>
        <w:pStyle w:val="a3"/>
        <w:rPr>
          <w:rtl/>
        </w:rPr>
      </w:pPr>
    </w:p>
    <w:p w:rsidR="007F63C5" w:rsidRPr="007F63C5" w:rsidRDefault="007F63C5" w:rsidP="007F63C5">
      <w:pPr>
        <w:pStyle w:val="a3"/>
        <w:rPr>
          <w:rtl/>
        </w:rPr>
      </w:pPr>
    </w:p>
    <w:p w:rsidR="00F4065E" w:rsidRPr="00CF5931" w:rsidRDefault="00F4065E" w:rsidP="00F4065E">
      <w:pPr>
        <w:pStyle w:val="a3"/>
        <w:rPr>
          <w:rtl/>
        </w:rPr>
      </w:pPr>
      <w:bookmarkStart w:id="15263" w:name="_Toc64205773"/>
      <w:bookmarkStart w:id="15264" w:name="_Toc64209453"/>
      <w:r>
        <w:rPr>
          <w:rFonts w:hint="cs"/>
          <w:rtl/>
        </w:rPr>
        <w:lastRenderedPageBreak/>
        <w:t>בי' הש"ך ברמב"ם דאין נ"מ אי נאמן במיגו דלקוחה או להד"ם ובי' המרכה"מ דלהד"ם הוא העזה</w:t>
      </w:r>
      <w:bookmarkEnd w:id="15263"/>
      <w:bookmarkEnd w:id="15264"/>
    </w:p>
    <w:p w:rsidR="00F4065E" w:rsidRDefault="00F4065E" w:rsidP="007E4E81">
      <w:pPr>
        <w:pStyle w:val="a0"/>
        <w:rPr>
          <w:rtl/>
        </w:rPr>
      </w:pPr>
      <w:r>
        <w:rPr>
          <w:rFonts w:hint="cs"/>
          <w:rtl/>
        </w:rPr>
        <w:t xml:space="preserve">במה שהקשה </w:t>
      </w:r>
      <w:r w:rsidRPr="00A74EE6">
        <w:rPr>
          <w:rStyle w:val="af9"/>
          <w:rFonts w:hint="cs"/>
          <w:rtl/>
        </w:rPr>
        <w:t>הראב"ד</w:t>
      </w:r>
      <w:r>
        <w:rPr>
          <w:rFonts w:hint="cs"/>
          <w:rtl/>
        </w:rPr>
        <w:t xml:space="preserve"> </w:t>
      </w:r>
      <w:r w:rsidRPr="0014438C">
        <w:rPr>
          <w:rStyle w:val="af7"/>
          <w:rFonts w:eastAsia="Guttman Hodes" w:hint="cs"/>
          <w:rtl/>
        </w:rPr>
        <w:t xml:space="preserve">(עי' אות </w:t>
      </w:r>
      <w:r w:rsidRPr="0014438C">
        <w:rPr>
          <w:rStyle w:val="af7"/>
          <w:rFonts w:eastAsia="Guttman Hodes"/>
          <w:rtl/>
        </w:rPr>
        <w:fldChar w:fldCharType="begin"/>
      </w:r>
      <w:r w:rsidRPr="0014438C">
        <w:rPr>
          <w:rStyle w:val="af7"/>
          <w:rFonts w:eastAsia="Guttman Hodes"/>
          <w:rtl/>
        </w:rPr>
        <w:instrText xml:space="preserve"> </w:instrText>
      </w:r>
      <w:r w:rsidRPr="0014438C">
        <w:rPr>
          <w:rStyle w:val="af7"/>
          <w:rFonts w:eastAsia="Guttman Hodes" w:hint="cs"/>
        </w:rPr>
        <w:instrText>REF</w:instrText>
      </w:r>
      <w:r w:rsidRPr="0014438C">
        <w:rPr>
          <w:rStyle w:val="af7"/>
          <w:rFonts w:eastAsia="Guttman Hodes" w:hint="cs"/>
          <w:rtl/>
        </w:rPr>
        <w:instrText xml:space="preserve"> _</w:instrText>
      </w:r>
      <w:r w:rsidRPr="0014438C">
        <w:rPr>
          <w:rStyle w:val="af7"/>
          <w:rFonts w:eastAsia="Guttman Hodes" w:hint="cs"/>
        </w:rPr>
        <w:instrText>Ref63960634 \r \h</w:instrText>
      </w:r>
      <w:r w:rsidRPr="0014438C">
        <w:rPr>
          <w:rStyle w:val="af7"/>
          <w:rFonts w:eastAsia="Guttman Hodes"/>
          <w:rtl/>
        </w:rPr>
        <w:instrText xml:space="preserve"> </w:instrText>
      </w:r>
      <w:r w:rsidRPr="0014438C">
        <w:rPr>
          <w:rStyle w:val="af7"/>
          <w:rFonts w:eastAsia="Guttman Hodes"/>
          <w:rtl/>
        </w:rPr>
      </w:r>
      <w:r w:rsidRPr="0014438C">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14438C">
        <w:rPr>
          <w:rStyle w:val="af7"/>
          <w:rFonts w:eastAsia="Guttman Hodes"/>
          <w:rtl/>
        </w:rPr>
        <w:fldChar w:fldCharType="end"/>
      </w:r>
      <w:r>
        <w:rPr>
          <w:rFonts w:hint="cs"/>
          <w:rtl/>
        </w:rPr>
        <w:t xml:space="preserve"> על </w:t>
      </w:r>
      <w:r w:rsidRPr="009C2449">
        <w:rPr>
          <w:rStyle w:val="af9"/>
          <w:rFonts w:hint="cs"/>
          <w:rtl/>
        </w:rPr>
        <w:t>הרמב"ם</w:t>
      </w:r>
      <w:r>
        <w:rPr>
          <w:rFonts w:hint="cs"/>
          <w:rtl/>
        </w:rPr>
        <w:t xml:space="preserve"> </w:t>
      </w:r>
      <w:r w:rsidRPr="00754329">
        <w:rPr>
          <w:rStyle w:val="af7"/>
          <w:rFonts w:eastAsia="Guttman Hodes" w:hint="cs"/>
          <w:rtl/>
        </w:rPr>
        <w:t xml:space="preserve">(עי'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Ref63702477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754329">
        <w:rPr>
          <w:rStyle w:val="af7"/>
          <w:rFonts w:eastAsia="Guttman Hodes"/>
          <w:rtl/>
        </w:rPr>
        <w:fldChar w:fldCharType="end"/>
      </w:r>
      <w:r>
        <w:rPr>
          <w:rStyle w:val="af7"/>
          <w:rFonts w:eastAsia="Guttman Hodes" w:hint="cs"/>
          <w:rtl/>
        </w:rPr>
        <w:t xml:space="preserve"> </w:t>
      </w:r>
      <w:r>
        <w:rPr>
          <w:rFonts w:hint="cs"/>
          <w:rtl/>
        </w:rPr>
        <w:t xml:space="preserve">דאי אין עדים שהייתה של אביהם, א"כ רבא בר שרשום נאמן במיגו דלא הייתה של אביהם מעולם, תירץ </w:t>
      </w:r>
      <w:r>
        <w:rPr>
          <w:rStyle w:val="af9"/>
          <w:rFonts w:hint="cs"/>
          <w:rtl/>
        </w:rPr>
        <w:t>הש"ך</w:t>
      </w:r>
      <w:r w:rsidRPr="009C2449">
        <w:rPr>
          <w:rStyle w:val="af9"/>
          <w:rFonts w:hint="cs"/>
          <w:rtl/>
        </w:rPr>
        <w:t xml:space="preserve"> </w:t>
      </w:r>
      <w:r w:rsidRPr="00CF5931">
        <w:rPr>
          <w:rStyle w:val="af7"/>
          <w:rFonts w:eastAsia="Guttman Hodes" w:hint="cs"/>
          <w:rtl/>
        </w:rPr>
        <w:t xml:space="preserve">(סי' קמ"ט סקי"ט) </w:t>
      </w:r>
      <w:r w:rsidRPr="00445272">
        <w:rPr>
          <w:rFonts w:hint="cs"/>
          <w:rtl/>
        </w:rPr>
        <w:t xml:space="preserve">דס"ל </w:t>
      </w:r>
      <w:r w:rsidRPr="00EB5EA2">
        <w:rPr>
          <w:rStyle w:val="af9"/>
          <w:rFonts w:hint="cs"/>
          <w:rtl/>
        </w:rPr>
        <w:t>להרמב"ם</w:t>
      </w:r>
      <w:r w:rsidRPr="00CF5931">
        <w:rPr>
          <w:rStyle w:val="af7"/>
          <w:rFonts w:eastAsia="Guttman Hodes" w:hint="cs"/>
          <w:rtl/>
        </w:rPr>
        <w:t xml:space="preserve"> </w:t>
      </w:r>
      <w:r>
        <w:rPr>
          <w:rFonts w:hint="cs"/>
          <w:rtl/>
        </w:rPr>
        <w:t xml:space="preserve">דעכשיו טענת לקוחה היא כמו טענת לא הייתה שלו מעולם, דאין נ"מ ביניהם, </w:t>
      </w:r>
      <w:r>
        <w:rPr>
          <w:rStyle w:val="af9"/>
          <w:rFonts w:hint="cs"/>
          <w:rtl/>
        </w:rPr>
        <w:t>ו</w:t>
      </w:r>
      <w:r w:rsidRPr="009C2449">
        <w:rPr>
          <w:rStyle w:val="af9"/>
          <w:rFonts w:hint="cs"/>
          <w:rtl/>
        </w:rPr>
        <w:t xml:space="preserve">המרכבת המשנה </w:t>
      </w:r>
      <w:r w:rsidRPr="00CF5931">
        <w:rPr>
          <w:rStyle w:val="af7"/>
          <w:rFonts w:eastAsia="Guttman Hodes" w:hint="cs"/>
          <w:rtl/>
        </w:rPr>
        <w:t>(טו"נ פי"ד ה"ח)</w:t>
      </w:r>
      <w:r>
        <w:rPr>
          <w:rFonts w:hint="cs"/>
          <w:rtl/>
        </w:rPr>
        <w:t xml:space="preserve"> תירץ דטענת לא הייתה של אביהם מעולם, הוא מיגו דהעזה, שירא לטעון כן שמא יהיו עדים שיעידו שהייתה שלו, אך אינו ירא לטעון שהיא לקוחה, דהעדים אינם יכולים להכחישו שלא קנאה ממנו.</w:t>
      </w:r>
    </w:p>
    <w:p w:rsidR="00F4065E" w:rsidRPr="00963F96" w:rsidRDefault="00F4065E" w:rsidP="00F4065E">
      <w:pPr>
        <w:pStyle w:val="afe"/>
        <w:rPr>
          <w:rtl/>
        </w:rPr>
      </w:pPr>
      <w:bookmarkStart w:id="15265" w:name="_Toc63703853"/>
      <w:bookmarkStart w:id="15266" w:name="_Toc63714153"/>
      <w:bookmarkStart w:id="15267" w:name="_Toc63854267"/>
      <w:bookmarkStart w:id="15268" w:name="_Toc63942266"/>
      <w:bookmarkStart w:id="15269" w:name="_Toc63975498"/>
      <w:bookmarkStart w:id="15270" w:name="_Toc63986538"/>
      <w:bookmarkStart w:id="15271" w:name="_Toc64024666"/>
      <w:bookmarkStart w:id="15272" w:name="_Toc64036074"/>
      <w:bookmarkStart w:id="15273" w:name="_Toc64148149"/>
      <w:bookmarkStart w:id="15274" w:name="_Toc64205774"/>
      <w:bookmarkStart w:id="15275" w:name="_Toc64209454"/>
      <w:bookmarkStart w:id="15276" w:name="_Toc63675702"/>
      <w:bookmarkStart w:id="15277" w:name="_Toc63703871"/>
      <w:bookmarkStart w:id="15278" w:name="_Toc63714172"/>
      <w:bookmarkStart w:id="15279" w:name="_Toc63854286"/>
      <w:r>
        <w:rPr>
          <w:rFonts w:hint="cs"/>
          <w:rtl/>
        </w:rPr>
        <w:t>בדין חזקה ביורד למשכנתא</w:t>
      </w:r>
      <w:bookmarkEnd w:id="15265"/>
      <w:bookmarkEnd w:id="15266"/>
      <w:bookmarkEnd w:id="15267"/>
      <w:bookmarkEnd w:id="15268"/>
      <w:bookmarkEnd w:id="15269"/>
      <w:bookmarkEnd w:id="15270"/>
      <w:bookmarkEnd w:id="15271"/>
      <w:bookmarkEnd w:id="15272"/>
      <w:bookmarkEnd w:id="15273"/>
      <w:bookmarkEnd w:id="15274"/>
      <w:bookmarkEnd w:id="15275"/>
    </w:p>
    <w:p w:rsidR="00F4065E" w:rsidRDefault="00F4065E" w:rsidP="00F4065E">
      <w:pPr>
        <w:pStyle w:val="1"/>
        <w:rPr>
          <w:rtl/>
        </w:rPr>
      </w:pPr>
      <w:bookmarkStart w:id="15280" w:name="_Toc63666757"/>
      <w:bookmarkStart w:id="15281" w:name="_Toc63675688"/>
      <w:bookmarkStart w:id="15282" w:name="_Toc63703854"/>
      <w:bookmarkStart w:id="15283" w:name="_Toc63714154"/>
      <w:bookmarkStart w:id="15284" w:name="_Toc63854268"/>
      <w:bookmarkStart w:id="15285" w:name="_Toc63942267"/>
      <w:bookmarkStart w:id="15286" w:name="_Toc63975499"/>
      <w:bookmarkStart w:id="15287" w:name="_Toc63986539"/>
      <w:bookmarkStart w:id="15288" w:name="_Toc64024667"/>
      <w:bookmarkStart w:id="15289" w:name="_Toc64036075"/>
      <w:bookmarkStart w:id="15290" w:name="_Toc64148150"/>
      <w:bookmarkStart w:id="15291" w:name="_Toc64205775"/>
      <w:bookmarkStart w:id="15292" w:name="_Toc64209455"/>
      <w:r>
        <w:rPr>
          <w:rFonts w:hint="cs"/>
          <w:rtl/>
        </w:rPr>
        <w:t>דברי התוס'</w:t>
      </w:r>
      <w:bookmarkEnd w:id="15280"/>
      <w:bookmarkEnd w:id="15281"/>
      <w:bookmarkEnd w:id="15282"/>
      <w:bookmarkEnd w:id="15283"/>
      <w:bookmarkEnd w:id="15284"/>
      <w:bookmarkEnd w:id="15285"/>
      <w:bookmarkEnd w:id="15286"/>
      <w:bookmarkEnd w:id="15287"/>
      <w:bookmarkEnd w:id="15288"/>
      <w:bookmarkEnd w:id="15289"/>
      <w:bookmarkEnd w:id="15290"/>
      <w:r>
        <w:rPr>
          <w:rFonts w:hint="cs"/>
          <w:rtl/>
        </w:rPr>
        <w:t xml:space="preserve"> דבירד למשכנתא אינו נאמן בטענת לקוחה בידי</w:t>
      </w:r>
      <w:bookmarkEnd w:id="15291"/>
      <w:bookmarkEnd w:id="15292"/>
    </w:p>
    <w:p w:rsidR="00F4065E" w:rsidRPr="0057255C" w:rsidRDefault="00F4065E" w:rsidP="00F4065E">
      <w:pPr>
        <w:pStyle w:val="a3"/>
        <w:rPr>
          <w:rtl/>
        </w:rPr>
      </w:pPr>
      <w:bookmarkStart w:id="15293" w:name="_Toc64205776"/>
      <w:bookmarkStart w:id="15294" w:name="_Toc64209456"/>
      <w:r>
        <w:rPr>
          <w:rFonts w:hint="cs"/>
          <w:rtl/>
        </w:rPr>
        <w:t>דברי תוס' דכל שידוע דירד לקרקע במשכנתא אינו נאמן לטעון לקוחה היא ביד כאומן ואריס</w:t>
      </w:r>
      <w:bookmarkEnd w:id="15293"/>
      <w:bookmarkEnd w:id="15294"/>
    </w:p>
    <w:p w:rsidR="00F4065E" w:rsidRPr="00677F7D" w:rsidRDefault="00F4065E" w:rsidP="007E4E81">
      <w:pPr>
        <w:pStyle w:val="a0"/>
        <w:rPr>
          <w:rtl/>
        </w:rPr>
      </w:pPr>
      <w:r>
        <w:rPr>
          <w:rFonts w:hint="cs"/>
          <w:rtl/>
        </w:rPr>
        <w:t xml:space="preserve">כתבו </w:t>
      </w:r>
      <w:r w:rsidRPr="008628AE">
        <w:rPr>
          <w:rStyle w:val="af9"/>
          <w:rFonts w:hint="cs"/>
          <w:rtl/>
        </w:rPr>
        <w:t>התוס'</w:t>
      </w:r>
      <w:r>
        <w:rPr>
          <w:rFonts w:hint="cs"/>
          <w:rtl/>
        </w:rPr>
        <w:t xml:space="preserve"> </w:t>
      </w:r>
      <w:r w:rsidRPr="001C7ED0">
        <w:rPr>
          <w:rStyle w:val="af7"/>
          <w:rFonts w:eastAsia="Guttman Hodes" w:hint="cs"/>
          <w:rtl/>
        </w:rPr>
        <w:t>(ד"ה אכבשיה)</w:t>
      </w:r>
      <w:r>
        <w:rPr>
          <w:rFonts w:hint="cs"/>
          <w:rtl/>
        </w:rPr>
        <w:t xml:space="preserve"> דהא דרבא בר שרשום היה יכול לטעון לקוחה היא בידי, הוא רק מחמת שכבש את שטר המשכנתא, דלא היה ידוע שהקרקע באה לידו במשכנתא, אבל באופן שהיה ידוע שבאה אליו במשכנתא, לא היה נאמן לטעון לקוחה היא בידי, כמו דאומן ואריס אין להם חזקה, </w:t>
      </w:r>
      <w:r w:rsidRPr="00181401">
        <w:rPr>
          <w:rStyle w:val="afb"/>
          <w:rFonts w:hint="cs"/>
          <w:rtl/>
        </w:rPr>
        <w:t xml:space="preserve">[כדאיתא לקמן </w:t>
      </w:r>
      <w:r w:rsidRPr="00181401">
        <w:rPr>
          <w:rStyle w:val="aff6"/>
          <w:rFonts w:hint="cs"/>
          <w:rtl/>
        </w:rPr>
        <w:t>(מב.)</w:t>
      </w:r>
      <w:r w:rsidRPr="00181401">
        <w:rPr>
          <w:rStyle w:val="afb"/>
          <w:rFonts w:hint="cs"/>
          <w:rtl/>
        </w:rPr>
        <w:t>]</w:t>
      </w:r>
      <w:r>
        <w:rPr>
          <w:rFonts w:hint="cs"/>
          <w:rtl/>
        </w:rPr>
        <w:t xml:space="preserve"> וה"ה בדברים העשויין להשאיל ולהשכיר </w:t>
      </w:r>
      <w:r w:rsidRPr="004A7437">
        <w:rPr>
          <w:rStyle w:val="afb"/>
          <w:rFonts w:hint="cs"/>
          <w:rtl/>
        </w:rPr>
        <w:t xml:space="preserve">[כדאיתא לקמן </w:t>
      </w:r>
      <w:r w:rsidRPr="004A7437">
        <w:rPr>
          <w:rStyle w:val="aff6"/>
          <w:rFonts w:hint="cs"/>
          <w:rtl/>
        </w:rPr>
        <w:t>(נב:)</w:t>
      </w:r>
      <w:r w:rsidRPr="004A7437">
        <w:rPr>
          <w:rStyle w:val="afb"/>
          <w:rFonts w:hint="cs"/>
          <w:rtl/>
        </w:rPr>
        <w:t>]</w:t>
      </w:r>
      <w:r>
        <w:rPr>
          <w:rFonts w:hint="cs"/>
          <w:rtl/>
        </w:rPr>
        <w:t xml:space="preserve"> וכן בגזלן דכל שידוע שגזל את הקרקע אין לו כל חזקה בה.</w:t>
      </w:r>
      <w:r w:rsidRPr="00755DA1">
        <w:rPr>
          <w:rFonts w:hint="cs"/>
          <w:rtl/>
        </w:rPr>
        <w:t xml:space="preserve"> </w:t>
      </w:r>
      <w:r w:rsidRPr="004A7437">
        <w:rPr>
          <w:rStyle w:val="afb"/>
          <w:rFonts w:hint="cs"/>
          <w:rtl/>
        </w:rPr>
        <w:t xml:space="preserve">[כדאיתא לקמן </w:t>
      </w:r>
      <w:r w:rsidRPr="004A7437">
        <w:rPr>
          <w:rStyle w:val="aff6"/>
          <w:rFonts w:hint="cs"/>
          <w:rtl/>
        </w:rPr>
        <w:t>(מז.)</w:t>
      </w:r>
      <w:r w:rsidRPr="004A7437">
        <w:rPr>
          <w:rStyle w:val="afb"/>
          <w:rFonts w:hint="cs"/>
          <w:rtl/>
        </w:rPr>
        <w:t>],</w:t>
      </w:r>
      <w:r>
        <w:rPr>
          <w:rFonts w:hint="cs"/>
          <w:rtl/>
        </w:rPr>
        <w:t xml:space="preserve"> וכ"כ </w:t>
      </w:r>
      <w:r w:rsidRPr="008628AE">
        <w:rPr>
          <w:rStyle w:val="af9"/>
          <w:rFonts w:hint="cs"/>
          <w:rtl/>
        </w:rPr>
        <w:t>הריטב"א</w:t>
      </w:r>
      <w:r w:rsidRPr="004A7437">
        <w:rPr>
          <w:rStyle w:val="af7"/>
          <w:rFonts w:eastAsia="Guttman Hodes" w:hint="cs"/>
          <w:rtl/>
        </w:rPr>
        <w:t xml:space="preserve"> (ד"ה אמינא)</w:t>
      </w:r>
      <w:r>
        <w:rPr>
          <w:rFonts w:hint="cs"/>
          <w:rtl/>
        </w:rPr>
        <w:t xml:space="preserve">. </w:t>
      </w:r>
      <w:r w:rsidRPr="007A3D5A">
        <w:rPr>
          <w:rStyle w:val="afb"/>
          <w:rFonts w:hint="cs"/>
          <w:rtl/>
        </w:rPr>
        <w:t>[</w:t>
      </w:r>
      <w:r>
        <w:rPr>
          <w:rStyle w:val="afb"/>
          <w:rFonts w:hint="cs"/>
          <w:rtl/>
        </w:rPr>
        <w:t xml:space="preserve">וכתב </w:t>
      </w:r>
      <w:r w:rsidRPr="007A3D5A">
        <w:rPr>
          <w:rStyle w:val="affa"/>
          <w:rFonts w:hint="cs"/>
          <w:rtl/>
        </w:rPr>
        <w:t xml:space="preserve">בחי' רבי נחום </w:t>
      </w:r>
      <w:r w:rsidRPr="007A3D5A">
        <w:rPr>
          <w:rStyle w:val="aff6"/>
          <w:rFonts w:hint="cs"/>
          <w:rtl/>
        </w:rPr>
        <w:t>(או' קס"</w:t>
      </w:r>
      <w:r>
        <w:rPr>
          <w:rStyle w:val="aff6"/>
          <w:rFonts w:hint="cs"/>
          <w:rtl/>
        </w:rPr>
        <w:t>ט</w:t>
      </w:r>
      <w:r w:rsidRPr="007A3D5A">
        <w:rPr>
          <w:rStyle w:val="aff6"/>
          <w:rFonts w:hint="cs"/>
          <w:rtl/>
        </w:rPr>
        <w:t>)</w:t>
      </w:r>
      <w:r w:rsidRPr="007A3D5A">
        <w:rPr>
          <w:rStyle w:val="afb"/>
          <w:rFonts w:hint="cs"/>
          <w:rtl/>
        </w:rPr>
        <w:t xml:space="preserve"> </w:t>
      </w:r>
      <w:r>
        <w:rPr>
          <w:rStyle w:val="afb"/>
          <w:rFonts w:hint="cs"/>
          <w:rtl/>
        </w:rPr>
        <w:t xml:space="preserve">דכ"מ דכתבו </w:t>
      </w:r>
      <w:r w:rsidRPr="007A3D5A">
        <w:rPr>
          <w:rStyle w:val="affa"/>
          <w:rFonts w:hint="cs"/>
          <w:rtl/>
        </w:rPr>
        <w:t>התוס'</w:t>
      </w:r>
      <w:r>
        <w:rPr>
          <w:rStyle w:val="afb"/>
          <w:rFonts w:hint="cs"/>
          <w:rtl/>
        </w:rPr>
        <w:t xml:space="preserve"> דאינו נאמן היינו בתוך שני המשכנתא, אך לא ביארו </w:t>
      </w:r>
      <w:r w:rsidRPr="00800B79">
        <w:rPr>
          <w:rStyle w:val="affa"/>
          <w:rFonts w:hint="cs"/>
          <w:rtl/>
        </w:rPr>
        <w:t>התוס'</w:t>
      </w:r>
      <w:r>
        <w:rPr>
          <w:rStyle w:val="afb"/>
          <w:rFonts w:hint="cs"/>
          <w:rtl/>
        </w:rPr>
        <w:t xml:space="preserve"> אי נאמן כשהחזיק ג"ש לאחר שני המשכנתא, דהביא </w:t>
      </w:r>
      <w:r w:rsidRPr="00800B79">
        <w:rPr>
          <w:rStyle w:val="affa"/>
          <w:rFonts w:hint="cs"/>
          <w:rtl/>
        </w:rPr>
        <w:t xml:space="preserve">הרשב"א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Ref64209485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קכג)</w:t>
      </w:r>
      <w:r>
        <w:rPr>
          <w:rStyle w:val="aff6"/>
          <w:rtl/>
        </w:rPr>
        <w:fldChar w:fldCharType="end"/>
      </w:r>
      <w:r>
        <w:rPr>
          <w:rStyle w:val="aff6"/>
          <w:rFonts w:hint="cs"/>
          <w:rtl/>
        </w:rPr>
        <w:t xml:space="preserve"> </w:t>
      </w:r>
      <w:r>
        <w:rPr>
          <w:rStyle w:val="afb"/>
          <w:rFonts w:hint="cs"/>
          <w:rtl/>
        </w:rPr>
        <w:t xml:space="preserve">מחלוקת אי נאמן בכה"ג, </w:t>
      </w:r>
      <w:r w:rsidRPr="007A3D5A">
        <w:rPr>
          <w:rStyle w:val="afb"/>
          <w:rFonts w:hint="cs"/>
          <w:rtl/>
        </w:rPr>
        <w:t xml:space="preserve">ועי' במה שביאר </w:t>
      </w:r>
      <w:r w:rsidRPr="007A3D5A">
        <w:rPr>
          <w:rStyle w:val="affa"/>
          <w:rFonts w:hint="cs"/>
          <w:rtl/>
        </w:rPr>
        <w:t xml:space="preserve">בחי' רבי נחום </w:t>
      </w:r>
      <w:r w:rsidRPr="007A3D5A">
        <w:rPr>
          <w:rStyle w:val="aff6"/>
          <w:rFonts w:hint="cs"/>
          <w:rtl/>
        </w:rPr>
        <w:t>(או' קס"ח)</w:t>
      </w:r>
      <w:r w:rsidRPr="007A3D5A">
        <w:rPr>
          <w:rStyle w:val="afb"/>
          <w:rFonts w:hint="cs"/>
          <w:rtl/>
        </w:rPr>
        <w:t xml:space="preserve"> בדברי </w:t>
      </w:r>
      <w:r w:rsidRPr="007A3D5A">
        <w:rPr>
          <w:rStyle w:val="affa"/>
          <w:rFonts w:hint="cs"/>
          <w:rtl/>
        </w:rPr>
        <w:t>התוס'</w:t>
      </w:r>
      <w:r w:rsidRPr="007A3D5A">
        <w:rPr>
          <w:rStyle w:val="afb"/>
          <w:rFonts w:hint="cs"/>
          <w:rtl/>
        </w:rPr>
        <w:t>].</w:t>
      </w:r>
    </w:p>
    <w:p w:rsidR="00F4065E" w:rsidRPr="00ED7BD7" w:rsidRDefault="00F4065E" w:rsidP="00F4065E">
      <w:pPr>
        <w:pStyle w:val="1"/>
        <w:rPr>
          <w:rtl/>
        </w:rPr>
      </w:pPr>
      <w:bookmarkStart w:id="15295" w:name="_Toc64205777"/>
      <w:bookmarkStart w:id="15296" w:name="_Toc64209457"/>
      <w:r>
        <w:rPr>
          <w:rFonts w:hint="cs"/>
          <w:rtl/>
        </w:rPr>
        <w:t>דעת הרשב"א דבקול שירד במשכנתא אינו נאמן בטענת לקוחה</w:t>
      </w:r>
      <w:bookmarkEnd w:id="15295"/>
      <w:bookmarkEnd w:id="15296"/>
    </w:p>
    <w:p w:rsidR="00F4065E" w:rsidRPr="00891B70" w:rsidRDefault="00F4065E" w:rsidP="00F4065E">
      <w:pPr>
        <w:pStyle w:val="a3"/>
        <w:rPr>
          <w:rtl/>
        </w:rPr>
      </w:pPr>
      <w:bookmarkStart w:id="15297" w:name="_Toc64205778"/>
      <w:bookmarkStart w:id="15298" w:name="_Toc64209458"/>
      <w:r>
        <w:rPr>
          <w:rFonts w:hint="cs"/>
          <w:rtl/>
        </w:rPr>
        <w:t>ביאור הי"מ ברמב"ן וברשב"א דיש עדים שירד ברשות במשכנתא ואינו נאמן בטענת לקוחה</w:t>
      </w:r>
      <w:bookmarkEnd w:id="15297"/>
      <w:bookmarkEnd w:id="15298"/>
    </w:p>
    <w:p w:rsidR="00F4065E" w:rsidRDefault="00F4065E" w:rsidP="007E4E81">
      <w:pPr>
        <w:pStyle w:val="a0"/>
        <w:rPr>
          <w:rStyle w:val="afb"/>
          <w:rtl/>
        </w:rPr>
      </w:pPr>
      <w:bookmarkStart w:id="15299" w:name="_Ref64209485"/>
      <w:r>
        <w:rPr>
          <w:rFonts w:hint="cs"/>
          <w:rtl/>
        </w:rPr>
        <w:t xml:space="preserve">כתבו </w:t>
      </w:r>
      <w:r w:rsidRPr="00FC7913">
        <w:rPr>
          <w:rStyle w:val="af9"/>
          <w:rFonts w:hint="cs"/>
          <w:rtl/>
        </w:rPr>
        <w:t>הרמב"ן</w:t>
      </w:r>
      <w:r w:rsidRPr="007D117C">
        <w:rPr>
          <w:rStyle w:val="af7"/>
          <w:rFonts w:eastAsia="Guttman Hodes" w:hint="cs"/>
          <w:rtl/>
        </w:rPr>
        <w:t xml:space="preserve"> (ד"ה אמר ליה) </w:t>
      </w:r>
      <w:r w:rsidRPr="00FC7913">
        <w:rPr>
          <w:rStyle w:val="af9"/>
          <w:rFonts w:hint="cs"/>
          <w:rtl/>
        </w:rPr>
        <w:t>והרשב"א</w:t>
      </w:r>
      <w:r w:rsidRPr="007D117C">
        <w:rPr>
          <w:rStyle w:val="af7"/>
          <w:rFonts w:eastAsia="Guttman Hodes" w:hint="cs"/>
          <w:rtl/>
        </w:rPr>
        <w:t xml:space="preserve"> (ד"ה ויש מפרשים) </w:t>
      </w:r>
      <w:r>
        <w:rPr>
          <w:rFonts w:hint="cs"/>
          <w:rtl/>
        </w:rPr>
        <w:t xml:space="preserve">בשם </w:t>
      </w:r>
      <w:r w:rsidRPr="00FC7913">
        <w:rPr>
          <w:rStyle w:val="af9"/>
          <w:rFonts w:hint="cs"/>
          <w:rtl/>
        </w:rPr>
        <w:t>י"מ</w:t>
      </w:r>
      <w:r>
        <w:rPr>
          <w:rFonts w:hint="cs"/>
          <w:rtl/>
        </w:rPr>
        <w:t xml:space="preserve"> דבאו עדים והעידו שהקרקע באה לידי רבא בר שרשום במשכנתא, ומחמת עדות העדים יצא הקול שלא חזר ולקחה, דכיון שיש עדים שירד ברשות אין לו חזקה, כדאיתא לקמן </w:t>
      </w:r>
      <w:r w:rsidRPr="007D117C">
        <w:rPr>
          <w:rStyle w:val="af7"/>
          <w:rFonts w:eastAsia="Guttman Hodes" w:hint="cs"/>
          <w:rtl/>
        </w:rPr>
        <w:t>(לט:)</w:t>
      </w:r>
      <w:r>
        <w:rPr>
          <w:rFonts w:hint="cs"/>
          <w:rtl/>
        </w:rPr>
        <w:t xml:space="preserve">, וכתב </w:t>
      </w:r>
      <w:r>
        <w:rPr>
          <w:rStyle w:val="af9"/>
          <w:rtl/>
        </w:rPr>
        <w:t>הרשב"א</w:t>
      </w:r>
      <w:r>
        <w:rPr>
          <w:rFonts w:hint="cs"/>
          <w:rtl/>
        </w:rPr>
        <w:t xml:space="preserve"> דהוא כמו מפקיד אצל אומן שיש עדים שנתן לו, וראו את החפץ בידו, כדאיתא לקמן </w:t>
      </w:r>
      <w:r w:rsidRPr="007D117C">
        <w:rPr>
          <w:rStyle w:val="af7"/>
          <w:rFonts w:eastAsia="Guttman Hodes" w:hint="cs"/>
          <w:rtl/>
        </w:rPr>
        <w:t>(מו.)</w:t>
      </w:r>
      <w:r>
        <w:rPr>
          <w:rFonts w:hint="cs"/>
          <w:rtl/>
        </w:rPr>
        <w:t xml:space="preserve"> דכל אדם אינו נאמן לטעון בכה"ג חזרתי ולקחתי ממנו, </w:t>
      </w:r>
      <w:r w:rsidRPr="008A6A96">
        <w:rPr>
          <w:rStyle w:val="af9"/>
          <w:rFonts w:hint="cs"/>
          <w:rtl/>
        </w:rPr>
        <w:t>והריטב"א</w:t>
      </w:r>
      <w:r>
        <w:rPr>
          <w:rFonts w:hint="cs"/>
          <w:rtl/>
        </w:rPr>
        <w:t xml:space="preserve"> </w:t>
      </w:r>
      <w:r w:rsidRPr="007D117C">
        <w:rPr>
          <w:rStyle w:val="af7"/>
          <w:rFonts w:eastAsia="Guttman Hodes" w:hint="cs"/>
          <w:rtl/>
        </w:rPr>
        <w:t>(ד"ה א"ל)</w:t>
      </w:r>
      <w:r>
        <w:rPr>
          <w:rFonts w:hint="cs"/>
          <w:rtl/>
        </w:rPr>
        <w:t xml:space="preserve"> הביא בשם </w:t>
      </w:r>
      <w:r w:rsidRPr="008A6A96">
        <w:rPr>
          <w:rStyle w:val="af9"/>
          <w:rFonts w:hint="cs"/>
          <w:rtl/>
        </w:rPr>
        <w:t>י"מ</w:t>
      </w:r>
      <w:r>
        <w:rPr>
          <w:rFonts w:hint="cs"/>
          <w:rtl/>
        </w:rPr>
        <w:t xml:space="preserve"> דכיון שהקול הוא מפורסם, א"כ חשיב כאילו יש שטר שירד לקרקע במשכנתא, וכיון שירד במשכנתא חשיב יורד ברשות. </w:t>
      </w:r>
      <w:r w:rsidRPr="00465C7D">
        <w:rPr>
          <w:rStyle w:val="afb"/>
          <w:rFonts w:hint="cs"/>
          <w:rtl/>
        </w:rPr>
        <w:t xml:space="preserve">[וכדביאר </w:t>
      </w:r>
      <w:r w:rsidRPr="00465C7D">
        <w:rPr>
          <w:rStyle w:val="affa"/>
          <w:rFonts w:hint="cs"/>
          <w:rtl/>
        </w:rPr>
        <w:t>הריטב"א</w:t>
      </w:r>
      <w:r w:rsidRPr="00465C7D">
        <w:rPr>
          <w:rStyle w:val="afb"/>
          <w:rFonts w:hint="cs"/>
          <w:rtl/>
        </w:rPr>
        <w:t xml:space="preserve"> </w:t>
      </w:r>
      <w:r w:rsidRPr="00465C7D">
        <w:rPr>
          <w:rStyle w:val="aff6"/>
          <w:rFonts w:hint="cs"/>
          <w:rtl/>
        </w:rPr>
        <w:t xml:space="preserve">(עי' אות </w:t>
      </w:r>
      <w:r w:rsidRPr="00465C7D">
        <w:rPr>
          <w:rStyle w:val="aff6"/>
          <w:rtl/>
        </w:rPr>
        <w:fldChar w:fldCharType="begin"/>
      </w:r>
      <w:r w:rsidRPr="00465C7D">
        <w:rPr>
          <w:rStyle w:val="aff6"/>
          <w:rtl/>
        </w:rPr>
        <w:instrText xml:space="preserve"> </w:instrText>
      </w:r>
      <w:r w:rsidRPr="00465C7D">
        <w:rPr>
          <w:rStyle w:val="aff6"/>
          <w:rFonts w:hint="cs"/>
        </w:rPr>
        <w:instrText>REF</w:instrText>
      </w:r>
      <w:r w:rsidRPr="00465C7D">
        <w:rPr>
          <w:rStyle w:val="aff6"/>
          <w:rFonts w:hint="cs"/>
          <w:rtl/>
        </w:rPr>
        <w:instrText xml:space="preserve"> _</w:instrText>
      </w:r>
      <w:r w:rsidRPr="00465C7D">
        <w:rPr>
          <w:rStyle w:val="aff6"/>
          <w:rFonts w:hint="cs"/>
        </w:rPr>
        <w:instrText>Ref63971298 \r \h</w:instrText>
      </w:r>
      <w:r w:rsidRPr="00465C7D">
        <w:rPr>
          <w:rStyle w:val="aff6"/>
          <w:rtl/>
        </w:rPr>
        <w:instrText xml:space="preserve"> </w:instrText>
      </w:r>
      <w:r w:rsidRPr="00465C7D">
        <w:rPr>
          <w:rStyle w:val="aff6"/>
          <w:rtl/>
        </w:rPr>
      </w:r>
      <w:r w:rsidRPr="00465C7D">
        <w:rPr>
          <w:rStyle w:val="aff6"/>
          <w:rtl/>
        </w:rPr>
        <w:fldChar w:fldCharType="separate"/>
      </w:r>
      <w:r w:rsidR="00265073">
        <w:rPr>
          <w:rStyle w:val="aff6"/>
          <w:cs/>
        </w:rPr>
        <w:t>‎</w:t>
      </w:r>
      <w:r w:rsidR="00265073">
        <w:rPr>
          <w:rStyle w:val="aff6"/>
          <w:rtl/>
        </w:rPr>
        <w:t>סח)</w:t>
      </w:r>
      <w:r w:rsidRPr="00465C7D">
        <w:rPr>
          <w:rStyle w:val="aff6"/>
          <w:rtl/>
        </w:rPr>
        <w:fldChar w:fldCharType="end"/>
      </w:r>
      <w:r w:rsidRPr="00465C7D">
        <w:rPr>
          <w:rStyle w:val="afb"/>
          <w:rFonts w:hint="cs"/>
          <w:rtl/>
        </w:rPr>
        <w:t xml:space="preserve"> דהקול הוא הברה בעלמא].</w:t>
      </w:r>
      <w:bookmarkEnd w:id="15299"/>
    </w:p>
    <w:p w:rsidR="00F4065E" w:rsidRPr="00D0071B" w:rsidRDefault="00F4065E" w:rsidP="00F4065E">
      <w:pPr>
        <w:pStyle w:val="1"/>
        <w:rPr>
          <w:rtl/>
        </w:rPr>
      </w:pPr>
      <w:bookmarkStart w:id="15300" w:name="_Toc64205779"/>
      <w:bookmarkStart w:id="15301" w:name="_Toc64209459"/>
      <w:r>
        <w:rPr>
          <w:rFonts w:hint="cs"/>
          <w:rtl/>
        </w:rPr>
        <w:t>דעת הר"י מגאש והרי"ף דיורד למשכנתא נאמן בטענת לקוחה</w:t>
      </w:r>
      <w:bookmarkEnd w:id="15300"/>
      <w:bookmarkEnd w:id="15301"/>
    </w:p>
    <w:p w:rsidR="00F4065E" w:rsidRDefault="00F4065E" w:rsidP="00F4065E">
      <w:pPr>
        <w:pStyle w:val="a3"/>
        <w:rPr>
          <w:rtl/>
        </w:rPr>
      </w:pPr>
      <w:bookmarkStart w:id="15302" w:name="_Toc64205780"/>
      <w:bookmarkStart w:id="15303" w:name="_Toc64209460"/>
      <w:r>
        <w:rPr>
          <w:rFonts w:hint="cs"/>
          <w:rtl/>
        </w:rPr>
        <w:t>דברי העיטור בשם הר"י מגאש והרי"ף דאף ביורד למשכנתא נאמן בטענת לקוחה בידי</w:t>
      </w:r>
      <w:bookmarkEnd w:id="15302"/>
      <w:bookmarkEnd w:id="15303"/>
    </w:p>
    <w:p w:rsidR="00F4065E" w:rsidRDefault="00F4065E" w:rsidP="007E4E81">
      <w:pPr>
        <w:pStyle w:val="a0"/>
        <w:rPr>
          <w:rtl/>
        </w:rPr>
      </w:pPr>
      <w:bookmarkStart w:id="15304" w:name="_Ref63673713"/>
      <w:r>
        <w:rPr>
          <w:rFonts w:hint="cs"/>
          <w:rtl/>
        </w:rPr>
        <w:t xml:space="preserve">אך הביא </w:t>
      </w:r>
      <w:r w:rsidRPr="008628AE">
        <w:rPr>
          <w:rStyle w:val="af9"/>
          <w:rFonts w:hint="cs"/>
          <w:rtl/>
        </w:rPr>
        <w:t>הרשב"א</w:t>
      </w:r>
      <w:r>
        <w:rPr>
          <w:rFonts w:hint="cs"/>
          <w:rtl/>
        </w:rPr>
        <w:t xml:space="preserve"> </w:t>
      </w:r>
      <w:r w:rsidRPr="007D117C">
        <w:rPr>
          <w:rStyle w:val="af7"/>
          <w:rFonts w:eastAsia="Guttman Hodes" w:hint="cs"/>
          <w:rtl/>
        </w:rPr>
        <w:t xml:space="preserve">(ד"ה ויש מפרשים) </w:t>
      </w:r>
      <w:r>
        <w:rPr>
          <w:rFonts w:hint="cs"/>
          <w:rtl/>
        </w:rPr>
        <w:t xml:space="preserve">את דברי </w:t>
      </w:r>
      <w:r w:rsidRPr="008628AE">
        <w:rPr>
          <w:rStyle w:val="af9"/>
          <w:rFonts w:hint="cs"/>
          <w:rtl/>
        </w:rPr>
        <w:t>העיטור</w:t>
      </w:r>
      <w:r>
        <w:rPr>
          <w:rFonts w:hint="cs"/>
          <w:rtl/>
        </w:rPr>
        <w:t xml:space="preserve"> </w:t>
      </w:r>
      <w:r w:rsidRPr="00407792">
        <w:rPr>
          <w:rStyle w:val="af7"/>
          <w:rFonts w:eastAsia="Guttman Rashi" w:hint="cs"/>
          <w:rtl/>
        </w:rPr>
        <w:t xml:space="preserve">(או' מ' מחאה מג., הועתק בקובץ שיטות קמאי ב"ב ח"א עמ' תשפ"ח) </w:t>
      </w:r>
      <w:r>
        <w:rPr>
          <w:rFonts w:hint="cs"/>
          <w:rtl/>
        </w:rPr>
        <w:t xml:space="preserve">שהביא את דברי </w:t>
      </w:r>
      <w:r w:rsidRPr="008628AE">
        <w:rPr>
          <w:rStyle w:val="af9"/>
          <w:rFonts w:hint="cs"/>
          <w:rtl/>
        </w:rPr>
        <w:t>הר"י</w:t>
      </w:r>
      <w:r>
        <w:rPr>
          <w:rFonts w:hint="cs"/>
          <w:rtl/>
        </w:rPr>
        <w:t xml:space="preserve"> </w:t>
      </w:r>
      <w:r w:rsidRPr="008628AE">
        <w:rPr>
          <w:rStyle w:val="af9"/>
          <w:rFonts w:hint="cs"/>
          <w:rtl/>
        </w:rPr>
        <w:t>מגאש</w:t>
      </w:r>
      <w:r>
        <w:rPr>
          <w:rFonts w:hint="cs"/>
          <w:rtl/>
        </w:rPr>
        <w:t xml:space="preserve"> בשם </w:t>
      </w:r>
      <w:r w:rsidRPr="008628AE">
        <w:rPr>
          <w:rStyle w:val="af9"/>
          <w:rFonts w:hint="cs"/>
          <w:rtl/>
        </w:rPr>
        <w:t>הרי"ף</w:t>
      </w:r>
      <w:r>
        <w:rPr>
          <w:rFonts w:hint="cs"/>
          <w:rtl/>
        </w:rPr>
        <w:t xml:space="preserve"> דכתב דאף כשירד במשכנתא נאמן לטעון חזרתי ולקחתי, וכ"כ </w:t>
      </w:r>
      <w:r w:rsidRPr="008628AE">
        <w:rPr>
          <w:rStyle w:val="af9"/>
          <w:rFonts w:hint="cs"/>
          <w:rtl/>
        </w:rPr>
        <w:t>העיטור</w:t>
      </w:r>
      <w:r>
        <w:rPr>
          <w:rFonts w:hint="cs"/>
          <w:rtl/>
        </w:rPr>
        <w:t xml:space="preserve"> בשם </w:t>
      </w:r>
      <w:r w:rsidRPr="008628AE">
        <w:rPr>
          <w:rStyle w:val="af9"/>
          <w:rFonts w:hint="cs"/>
          <w:rtl/>
        </w:rPr>
        <w:t>ר"ת</w:t>
      </w:r>
      <w:r>
        <w:rPr>
          <w:rFonts w:hint="cs"/>
          <w:rtl/>
        </w:rPr>
        <w:t xml:space="preserve"> דכל שלא ידוע שיש שטר משכנתא נאמן, </w:t>
      </w:r>
      <w:r>
        <w:rPr>
          <w:rFonts w:hint="cs"/>
          <w:rtl/>
        </w:rPr>
        <w:t>ולכן סבר רבא בר שרשום לכבוש את שטר המשכנתא,</w:t>
      </w:r>
      <w:r w:rsidRPr="007169A5">
        <w:rPr>
          <w:rFonts w:hint="cs"/>
          <w:rtl/>
        </w:rPr>
        <w:t xml:space="preserve"> </w:t>
      </w:r>
      <w:r>
        <w:rPr>
          <w:rFonts w:hint="cs"/>
          <w:rtl/>
        </w:rPr>
        <w:t xml:space="preserve">וכ"כ </w:t>
      </w:r>
      <w:r w:rsidRPr="00891F8E">
        <w:rPr>
          <w:rStyle w:val="af9"/>
          <w:rFonts w:hint="cs"/>
          <w:rtl/>
        </w:rPr>
        <w:t>הרא"ש</w:t>
      </w:r>
      <w:r>
        <w:rPr>
          <w:rFonts w:hint="cs"/>
          <w:rtl/>
        </w:rPr>
        <w:t xml:space="preserve"> </w:t>
      </w:r>
      <w:r w:rsidRPr="00EE1580">
        <w:rPr>
          <w:rStyle w:val="af7"/>
          <w:rFonts w:eastAsia="Guttman Hodes" w:hint="cs"/>
          <w:rtl/>
        </w:rPr>
        <w:t>(סי' ט"ז)</w:t>
      </w:r>
      <w:r>
        <w:rPr>
          <w:rFonts w:hint="cs"/>
          <w:rtl/>
        </w:rPr>
        <w:t>, ועיי"ש במה שהביא</w:t>
      </w:r>
      <w:r w:rsidRPr="00891F8E">
        <w:rPr>
          <w:rStyle w:val="af9"/>
          <w:rFonts w:hint="cs"/>
          <w:rtl/>
        </w:rPr>
        <w:t xml:space="preserve"> הרשב"א </w:t>
      </w:r>
      <w:r>
        <w:rPr>
          <w:rFonts w:hint="cs"/>
          <w:rtl/>
        </w:rPr>
        <w:t xml:space="preserve">ראיות לדברי </w:t>
      </w:r>
      <w:r w:rsidRPr="00891F8E">
        <w:rPr>
          <w:rStyle w:val="af9"/>
          <w:rFonts w:hint="cs"/>
          <w:rtl/>
        </w:rPr>
        <w:t>הרי"ף</w:t>
      </w:r>
      <w:r>
        <w:rPr>
          <w:rFonts w:hint="cs"/>
          <w:rtl/>
        </w:rPr>
        <w:t xml:space="preserve"> ובמה שהקשה ע"ז.</w:t>
      </w:r>
    </w:p>
    <w:p w:rsidR="00F4065E" w:rsidRPr="00407792" w:rsidRDefault="00F4065E" w:rsidP="00F4065E">
      <w:pPr>
        <w:pStyle w:val="a3"/>
      </w:pPr>
      <w:bookmarkStart w:id="15305" w:name="_Toc64205781"/>
      <w:bookmarkStart w:id="15306" w:name="_Toc64209461"/>
      <w:bookmarkEnd w:id="15304"/>
      <w:r>
        <w:rPr>
          <w:rFonts w:hint="cs"/>
          <w:rtl/>
        </w:rPr>
        <w:t>ביאור המאירי דיורד למשכנתא המר"ק קפיד ומוחה שהוא במשכנתא ול"ד לאריס ושותף</w:t>
      </w:r>
      <w:bookmarkEnd w:id="15305"/>
      <w:bookmarkEnd w:id="15306"/>
    </w:p>
    <w:p w:rsidR="00F4065E" w:rsidRDefault="00F4065E" w:rsidP="007E4E81">
      <w:pPr>
        <w:pStyle w:val="a0"/>
        <w:rPr>
          <w:rtl/>
        </w:rPr>
      </w:pPr>
      <w:r>
        <w:rPr>
          <w:rFonts w:hint="cs"/>
          <w:rtl/>
        </w:rPr>
        <w:t xml:space="preserve">וביאר </w:t>
      </w:r>
      <w:r w:rsidRPr="00891F8E">
        <w:rPr>
          <w:rStyle w:val="af9"/>
          <w:rFonts w:hint="cs"/>
          <w:rtl/>
        </w:rPr>
        <w:t>המאירי</w:t>
      </w:r>
      <w:r>
        <w:rPr>
          <w:rFonts w:hint="cs"/>
          <w:rtl/>
        </w:rPr>
        <w:t xml:space="preserve"> </w:t>
      </w:r>
      <w:r w:rsidRPr="00181401">
        <w:rPr>
          <w:rStyle w:val="af7"/>
          <w:rFonts w:eastAsia="Guttman Hodes" w:hint="cs"/>
          <w:rtl/>
        </w:rPr>
        <w:t>(ד"ה מי שירד)</w:t>
      </w:r>
      <w:r>
        <w:rPr>
          <w:rFonts w:hint="cs"/>
          <w:rtl/>
        </w:rPr>
        <w:t xml:space="preserve"> בשם </w:t>
      </w:r>
      <w:r w:rsidRPr="00891F8E">
        <w:rPr>
          <w:rStyle w:val="af9"/>
          <w:rFonts w:hint="cs"/>
          <w:rtl/>
        </w:rPr>
        <w:t>י"מ</w:t>
      </w:r>
      <w:r>
        <w:rPr>
          <w:rFonts w:hint="cs"/>
          <w:rtl/>
        </w:rPr>
        <w:t xml:space="preserve"> דהיורד בתורת משכון לא דמי לאריס ושותף, שאין להם חזקה, כיון דבאריס ושותף אין הבעלים מקפיד עליהם ואינו מוחה בהם, אבל ביורד למשכון הבעלים מקפיד, והיה לו למחות בכל תוך ג"ש, ולומר שירד לקרקע במשכנתא, ועיי"ש במה שהביא</w:t>
      </w:r>
      <w:r w:rsidRPr="00E801FD">
        <w:rPr>
          <w:rStyle w:val="af9"/>
          <w:rFonts w:hint="cs"/>
          <w:rtl/>
        </w:rPr>
        <w:t xml:space="preserve"> המאירי </w:t>
      </w:r>
      <w:r>
        <w:rPr>
          <w:rFonts w:hint="cs"/>
          <w:rtl/>
        </w:rPr>
        <w:t xml:space="preserve">ראיה מהגמ' בב"מ </w:t>
      </w:r>
      <w:r w:rsidRPr="00EE1580">
        <w:rPr>
          <w:rStyle w:val="af7"/>
          <w:rFonts w:eastAsia="Guttman Hodes" w:hint="cs"/>
          <w:rtl/>
        </w:rPr>
        <w:t>(קי.)</w:t>
      </w:r>
      <w:r>
        <w:rPr>
          <w:rFonts w:hint="cs"/>
          <w:rtl/>
        </w:rPr>
        <w:t xml:space="preserve">. </w:t>
      </w:r>
    </w:p>
    <w:p w:rsidR="00F4065E" w:rsidRDefault="00F4065E" w:rsidP="00F4065E">
      <w:pPr>
        <w:pStyle w:val="afe"/>
        <w:rPr>
          <w:rtl/>
        </w:rPr>
      </w:pPr>
      <w:bookmarkStart w:id="15307" w:name="_Toc64205782"/>
      <w:bookmarkStart w:id="15308" w:name="_Toc64209462"/>
      <w:bookmarkEnd w:id="15276"/>
      <w:bookmarkEnd w:id="15277"/>
      <w:bookmarkEnd w:id="15278"/>
      <w:bookmarkEnd w:id="15279"/>
      <w:r>
        <w:rPr>
          <w:rFonts w:hint="cs"/>
          <w:rtl/>
        </w:rPr>
        <w:t>אי במלוה ע"פ נפרע מהיתומים בשבועה</w:t>
      </w:r>
      <w:bookmarkEnd w:id="15307"/>
      <w:bookmarkEnd w:id="15308"/>
    </w:p>
    <w:p w:rsidR="00F4065E" w:rsidRDefault="00F4065E" w:rsidP="00F4065E">
      <w:pPr>
        <w:pStyle w:val="1"/>
        <w:rPr>
          <w:rtl/>
        </w:rPr>
      </w:pPr>
      <w:bookmarkStart w:id="15309" w:name="_Toc64205783"/>
      <w:bookmarkStart w:id="15310" w:name="_Toc64209463"/>
      <w:r>
        <w:rPr>
          <w:rFonts w:hint="cs"/>
          <w:rtl/>
        </w:rPr>
        <w:t>פלוג' הרשב"ם והתורי"ד והרמב"ן אי במלוה ע"פ נפרע בשבועה</w:t>
      </w:r>
      <w:bookmarkEnd w:id="15309"/>
      <w:bookmarkEnd w:id="15310"/>
    </w:p>
    <w:p w:rsidR="00F4065E" w:rsidRDefault="00F4065E" w:rsidP="00F4065E">
      <w:pPr>
        <w:pStyle w:val="a3"/>
        <w:rPr>
          <w:rtl/>
        </w:rPr>
      </w:pPr>
      <w:bookmarkStart w:id="15311" w:name="_Toc64205784"/>
      <w:bookmarkStart w:id="15312" w:name="_Toc64209464"/>
      <w:r>
        <w:rPr>
          <w:rFonts w:hint="cs"/>
          <w:rtl/>
        </w:rPr>
        <w:t>דברי הרשב"ם דאף במלוה ע"פ יכול לתבוע מהיתומים כשיגדילו ויפרע מהם בשבועה</w:t>
      </w:r>
      <w:bookmarkEnd w:id="15311"/>
      <w:bookmarkEnd w:id="15312"/>
    </w:p>
    <w:p w:rsidR="00F4065E" w:rsidRDefault="00F4065E" w:rsidP="007E4E81">
      <w:pPr>
        <w:pStyle w:val="a0"/>
        <w:rPr>
          <w:rtl/>
        </w:rPr>
      </w:pPr>
      <w:r>
        <w:rPr>
          <w:rFonts w:hint="cs"/>
          <w:rtl/>
        </w:rPr>
        <w:t xml:space="preserve">כתב </w:t>
      </w:r>
      <w:r w:rsidRPr="00E137E0">
        <w:rPr>
          <w:rStyle w:val="af9"/>
          <w:rFonts w:hint="cs"/>
          <w:rtl/>
        </w:rPr>
        <w:t>הרשב"ם</w:t>
      </w:r>
      <w:r>
        <w:rPr>
          <w:rFonts w:hint="cs"/>
          <w:rtl/>
        </w:rPr>
        <w:t xml:space="preserve"> </w:t>
      </w:r>
      <w:r w:rsidRPr="003752A8">
        <w:rPr>
          <w:rStyle w:val="af7"/>
          <w:rFonts w:eastAsia="Guttman Hodes" w:hint="cs"/>
          <w:rtl/>
        </w:rPr>
        <w:t>(סוד"ה אמר ליה)</w:t>
      </w:r>
      <w:r>
        <w:rPr>
          <w:rFonts w:hint="cs"/>
          <w:rtl/>
        </w:rPr>
        <w:t xml:space="preserve"> דהא דרבא בר שרשום היה נאמן בשבועה על חוב שבשטר לאחר שיגדלו היתומים, ה"ה בחוב בע"פ שיש לו עדים על ההלואה, יכול לתבוע את היתומים לאחר שיגדלו, וישבע שלא פרע לו ויטול, כדאמר רב פפא לקמן </w:t>
      </w:r>
      <w:r w:rsidRPr="00DB6AAE">
        <w:rPr>
          <w:rStyle w:val="af7"/>
          <w:rFonts w:eastAsia="Guttman Hodes" w:hint="cs"/>
          <w:rtl/>
        </w:rPr>
        <w:t>(קנו.)</w:t>
      </w:r>
      <w:r>
        <w:rPr>
          <w:rFonts w:hint="cs"/>
          <w:rtl/>
        </w:rPr>
        <w:t xml:space="preserve"> דאף מלוה על פה גובה מן היורשים.</w:t>
      </w:r>
    </w:p>
    <w:p w:rsidR="00F4065E" w:rsidRDefault="00F4065E" w:rsidP="00F4065E">
      <w:pPr>
        <w:pStyle w:val="a3"/>
        <w:rPr>
          <w:rtl/>
        </w:rPr>
      </w:pPr>
      <w:bookmarkStart w:id="15313" w:name="_Toc64205785"/>
      <w:bookmarkStart w:id="15314" w:name="_Toc64209465"/>
      <w:r>
        <w:rPr>
          <w:rFonts w:hint="cs"/>
          <w:rtl/>
        </w:rPr>
        <w:t>דעת התוס' רי"ד דבסוגיין איירי במלוה ע"פ אבל בשטר היה נאמן בשבועה וא"צ להחזיר</w:t>
      </w:r>
      <w:bookmarkEnd w:id="15313"/>
      <w:bookmarkEnd w:id="15314"/>
    </w:p>
    <w:p w:rsidR="00F4065E" w:rsidRPr="009F2C96" w:rsidRDefault="00F4065E" w:rsidP="007E4E81">
      <w:pPr>
        <w:pStyle w:val="a0"/>
        <w:rPr>
          <w:rtl/>
        </w:rPr>
      </w:pPr>
      <w:r w:rsidRPr="00E8754D">
        <w:rPr>
          <w:rStyle w:val="af9"/>
          <w:rFonts w:hint="cs"/>
          <w:rtl/>
        </w:rPr>
        <w:t>ובתוס' רי"ד</w:t>
      </w:r>
      <w:r>
        <w:rPr>
          <w:rFonts w:hint="cs"/>
          <w:rtl/>
        </w:rPr>
        <w:t xml:space="preserve"> </w:t>
      </w:r>
      <w:r w:rsidRPr="00E8754D">
        <w:rPr>
          <w:rStyle w:val="af7"/>
          <w:rFonts w:eastAsia="Guttman Hodes" w:hint="cs"/>
          <w:rtl/>
        </w:rPr>
        <w:t xml:space="preserve">(או' י"א ד"ה הא) </w:t>
      </w:r>
      <w:r>
        <w:rPr>
          <w:rFonts w:hint="cs"/>
          <w:rtl/>
        </w:rPr>
        <w:t xml:space="preserve">כתב דלרבא בר שרשום לא היה שטר, דא"כ היה נשבע ונוטל, אלא איירי במלוה על פה, שהלוהו בעדים ולא היה יכול להוציא מהם דחיישינן שפרע אביהם, דהא טענינן ליתמי כל מה שאביהם היה יכול לטעון, וכתב </w:t>
      </w:r>
      <w:r w:rsidRPr="00E8754D">
        <w:rPr>
          <w:rStyle w:val="af9"/>
          <w:rFonts w:hint="cs"/>
          <w:rtl/>
        </w:rPr>
        <w:t>התוס' רי"ד</w:t>
      </w:r>
      <w:r>
        <w:rPr>
          <w:rFonts w:hint="cs"/>
          <w:rtl/>
        </w:rPr>
        <w:t xml:space="preserve"> </w:t>
      </w:r>
      <w:r w:rsidRPr="00E8754D">
        <w:rPr>
          <w:rStyle w:val="af7"/>
          <w:rFonts w:eastAsia="Guttman Hodes" w:hint="cs"/>
          <w:rtl/>
        </w:rPr>
        <w:t xml:space="preserve">(או' י"ב ד"ה וכי) </w:t>
      </w:r>
      <w:r>
        <w:rPr>
          <w:rFonts w:hint="cs"/>
          <w:rtl/>
        </w:rPr>
        <w:t>דהא דאמר ליה אביי שיתבע אותם לכשיגדלו, היינו רק באופן שהודה האב שחייב לו, או שנידוהו ומת בנידויו, או שלא הגיע זמן הפרעון.</w:t>
      </w:r>
    </w:p>
    <w:p w:rsidR="00F4065E" w:rsidRDefault="00F4065E" w:rsidP="00F4065E">
      <w:pPr>
        <w:pStyle w:val="a3"/>
        <w:rPr>
          <w:rtl/>
        </w:rPr>
      </w:pPr>
      <w:bookmarkStart w:id="15315" w:name="_Toc64205786"/>
      <w:bookmarkStart w:id="15316" w:name="_Toc64209466"/>
      <w:r>
        <w:rPr>
          <w:rFonts w:hint="cs"/>
          <w:rtl/>
        </w:rPr>
        <w:t>דברי הרמב"ן והרשב"א דבמלוה ע"פ לא היה נאמן בשבועה ואיירי בסוגיין רק במלוה בשטר</w:t>
      </w:r>
      <w:bookmarkEnd w:id="15315"/>
      <w:bookmarkEnd w:id="15316"/>
    </w:p>
    <w:p w:rsidR="00F4065E" w:rsidRPr="0042023D" w:rsidRDefault="00F4065E" w:rsidP="007E4E81">
      <w:pPr>
        <w:pStyle w:val="a0"/>
        <w:rPr>
          <w:rtl/>
        </w:rPr>
      </w:pPr>
      <w:r>
        <w:rPr>
          <w:rFonts w:hint="cs"/>
          <w:rtl/>
        </w:rPr>
        <w:t xml:space="preserve">אבל </w:t>
      </w:r>
      <w:r w:rsidRPr="00E137E0">
        <w:rPr>
          <w:rStyle w:val="af9"/>
          <w:rFonts w:hint="cs"/>
          <w:rtl/>
        </w:rPr>
        <w:t>הרמב"ן</w:t>
      </w:r>
      <w:r>
        <w:rPr>
          <w:rFonts w:hint="cs"/>
          <w:rtl/>
        </w:rPr>
        <w:t xml:space="preserve"> </w:t>
      </w:r>
      <w:r w:rsidRPr="00DB6AAE">
        <w:rPr>
          <w:rStyle w:val="af7"/>
          <w:rFonts w:eastAsia="Guttman Hodes" w:hint="cs"/>
          <w:rtl/>
        </w:rPr>
        <w:t>(ד"ה וכי)</w:t>
      </w:r>
      <w:r>
        <w:rPr>
          <w:rFonts w:hint="cs"/>
          <w:rtl/>
        </w:rPr>
        <w:t xml:space="preserve"> כתב דרק במלוה בשטר יוכל רבא בר שרשום לתבוע לכשיגדילו, אבל במלוה על פה אינו יכול לגבות כיון שאין לו מיגו, דהא החזקה שיש לרבא בר שרשום בקרקע לא מהני לו, כיון שאין גובין מלוה על פה מהיורשים, רק באופן שהחייב מודה, או שנידוהו ומת בנידויו, ואי איירי במלוה על פה, לא היה רבא בר שרשום אומר דאמור רבנן דהבא ליפרע לא יפרע אלא בשבועה, וכ"כ </w:t>
      </w:r>
      <w:r w:rsidRPr="00E137E0">
        <w:rPr>
          <w:rStyle w:val="af9"/>
          <w:rFonts w:hint="cs"/>
          <w:rtl/>
        </w:rPr>
        <w:t>הרשב"א</w:t>
      </w:r>
      <w:r>
        <w:rPr>
          <w:rFonts w:hint="cs"/>
          <w:rtl/>
        </w:rPr>
        <w:t xml:space="preserve"> </w:t>
      </w:r>
      <w:r w:rsidRPr="00DB6AAE">
        <w:rPr>
          <w:rStyle w:val="af7"/>
          <w:rFonts w:eastAsia="Guttman Hodes" w:hint="cs"/>
          <w:rtl/>
        </w:rPr>
        <w:t xml:space="preserve">(ד"ה ולכי) </w:t>
      </w:r>
      <w:r>
        <w:rPr>
          <w:rFonts w:hint="cs"/>
          <w:rtl/>
        </w:rPr>
        <w:t xml:space="preserve">דבמלוה ע"פ גובה רק כשהחייב מודה או שמת בנידויו, והוסיף </w:t>
      </w:r>
      <w:r w:rsidRPr="009505DC">
        <w:rPr>
          <w:rStyle w:val="af9"/>
          <w:rFonts w:hint="cs"/>
          <w:rtl/>
        </w:rPr>
        <w:t>הרשב"א</w:t>
      </w:r>
      <w:r>
        <w:rPr>
          <w:rFonts w:hint="cs"/>
          <w:rtl/>
        </w:rPr>
        <w:t xml:space="preserve"> דאי איירי במלוה ע"פ ומת האב לפני זמן הפרעון, יכול רבא בר שרשום לגבות בלא שבועה, כמבואר בגמ' לעיל </w:t>
      </w:r>
      <w:r w:rsidRPr="00DB6AAE">
        <w:rPr>
          <w:rStyle w:val="af7"/>
          <w:rFonts w:eastAsia="Guttman Hodes" w:hint="cs"/>
          <w:rtl/>
        </w:rPr>
        <w:t>(ה:)</w:t>
      </w:r>
      <w:r>
        <w:rPr>
          <w:rFonts w:hint="cs"/>
          <w:rtl/>
        </w:rPr>
        <w:t xml:space="preserve"> ואעפ"י שצריך להפרע מיתומים בשבועה, מ"מ כיון שיש חזקה דאין אדם פורע בתוך זמנו, א"צ להשבע, אלא מוכח דאיירי רק במלוה בשטר, וכתב </w:t>
      </w:r>
      <w:r w:rsidRPr="00E8754D">
        <w:rPr>
          <w:rStyle w:val="af9"/>
          <w:rFonts w:hint="cs"/>
          <w:rtl/>
        </w:rPr>
        <w:t>הרשב"א</w:t>
      </w:r>
      <w:r>
        <w:rPr>
          <w:rFonts w:hint="cs"/>
          <w:rtl/>
        </w:rPr>
        <w:t xml:space="preserve"> דכן דעת </w:t>
      </w:r>
      <w:r w:rsidRPr="00E8754D">
        <w:rPr>
          <w:rStyle w:val="af9"/>
          <w:rFonts w:hint="cs"/>
          <w:rtl/>
        </w:rPr>
        <w:t>ר"ח</w:t>
      </w:r>
      <w:r>
        <w:rPr>
          <w:rFonts w:hint="cs"/>
          <w:rtl/>
        </w:rPr>
        <w:t xml:space="preserve">, וכ"כ </w:t>
      </w:r>
      <w:r w:rsidRPr="00E137E0">
        <w:rPr>
          <w:rStyle w:val="af9"/>
          <w:rFonts w:hint="cs"/>
          <w:rtl/>
        </w:rPr>
        <w:t>הריטב"א</w:t>
      </w:r>
      <w:r w:rsidRPr="00DB6AAE">
        <w:rPr>
          <w:rStyle w:val="af7"/>
          <w:rFonts w:eastAsia="Guttman Hodes" w:hint="cs"/>
          <w:rtl/>
        </w:rPr>
        <w:t xml:space="preserve"> (ד"ה</w:t>
      </w:r>
      <w:r>
        <w:rPr>
          <w:rFonts w:hint="cs"/>
          <w:rtl/>
        </w:rPr>
        <w:t xml:space="preserve"> </w:t>
      </w:r>
      <w:r w:rsidRPr="00DB6AAE">
        <w:rPr>
          <w:rStyle w:val="af7"/>
          <w:rFonts w:eastAsia="Guttman Hodes" w:hint="cs"/>
          <w:rtl/>
        </w:rPr>
        <w:t>והוו)</w:t>
      </w:r>
      <w:r>
        <w:rPr>
          <w:rFonts w:hint="cs"/>
          <w:rtl/>
        </w:rPr>
        <w:t>.</w:t>
      </w:r>
    </w:p>
    <w:p w:rsidR="00F4065E" w:rsidRPr="00D2274E" w:rsidRDefault="00F4065E" w:rsidP="00F4065E">
      <w:pPr>
        <w:pStyle w:val="a3"/>
        <w:rPr>
          <w:highlight w:val="yellow"/>
          <w:rtl/>
        </w:rPr>
      </w:pPr>
    </w:p>
    <w:p w:rsidR="00F4065E" w:rsidRPr="00F131E9" w:rsidRDefault="00F4065E" w:rsidP="00F4065E">
      <w:pPr>
        <w:pStyle w:val="a3"/>
        <w:rPr>
          <w:rtl/>
        </w:rPr>
      </w:pPr>
    </w:p>
    <w:p w:rsidR="00F4065E" w:rsidRPr="00557EB9" w:rsidRDefault="00F4065E" w:rsidP="007E4E81">
      <w:pPr>
        <w:pStyle w:val="a0"/>
        <w:rPr>
          <w:rtl/>
        </w:rPr>
        <w:sectPr w:rsidR="00F4065E" w:rsidRPr="00557EB9" w:rsidSect="005049E2">
          <w:footerReference w:type="default" r:id="rId138"/>
          <w:type w:val="continuous"/>
          <w:pgSz w:w="11906" w:h="16838"/>
          <w:pgMar w:top="720" w:right="720" w:bottom="720" w:left="720" w:header="283" w:footer="283" w:gutter="0"/>
          <w:cols w:num="2" w:space="567"/>
          <w:titlePg/>
          <w:bidi/>
          <w:rtlGutter/>
          <w:docGrid w:linePitch="299"/>
        </w:sectPr>
      </w:pPr>
    </w:p>
    <w:p w:rsidR="00F4065E" w:rsidRDefault="00F4065E" w:rsidP="00F4065E">
      <w:pPr>
        <w:tabs>
          <w:tab w:val="left" w:pos="1163"/>
        </w:tabs>
        <w:spacing w:after="120" w:line="240" w:lineRule="auto"/>
        <w:ind w:left="0"/>
        <w:rPr>
          <w:rFonts w:ascii="Guttman Hodes" w:eastAsia="Guttman Hodes" w:hAnsi="Guttman Hodes" w:cs="Guttman Hodes"/>
          <w:noProof/>
          <w:sz w:val="18"/>
          <w:szCs w:val="18"/>
        </w:rPr>
        <w:sectPr w:rsidR="00F4065E" w:rsidSect="00AE06CB">
          <w:type w:val="continuous"/>
          <w:pgSz w:w="11906" w:h="16838"/>
          <w:pgMar w:top="720" w:right="720" w:bottom="720" w:left="720" w:header="283" w:footer="283" w:gutter="0"/>
          <w:cols w:space="567"/>
          <w:bidi/>
          <w:rtlGutter/>
          <w:docGrid w:linePitch="299"/>
        </w:sectPr>
      </w:pPr>
    </w:p>
    <w:p w:rsidR="00F4065E" w:rsidRPr="00D47CE7" w:rsidRDefault="00E949D5" w:rsidP="00F4065E">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39" type="#_x0000_t75" style="width:404.55pt;height:6.8pt" o:hrpct="0" o:hralign="center" o:hr="t">
            <v:imagedata r:id="rId24" o:title="BD14845_"/>
          </v:shape>
        </w:pict>
      </w:r>
      <w:r w:rsidR="00F4065E" w:rsidRPr="00D47CE7">
        <w:rPr>
          <w:rFonts w:ascii="Guttman Hodes" w:eastAsia="Guttman Hodes" w:hAnsi="Guttman Hodes" w:cs="Guttman Hodes" w:hint="cs"/>
          <w:noProof/>
          <w:sz w:val="18"/>
          <w:szCs w:val="18"/>
          <w:rtl/>
        </w:rPr>
        <w:t xml:space="preserve"> </w:t>
      </w:r>
    </w:p>
    <w:p w:rsidR="007F63C5" w:rsidRPr="0081356D" w:rsidRDefault="007F63C5" w:rsidP="007F63C5">
      <w:pPr>
        <w:pStyle w:val="afe"/>
        <w:rPr>
          <w:rtl/>
        </w:rPr>
        <w:sectPr w:rsidR="007F63C5" w:rsidRPr="0081356D" w:rsidSect="00361B2E">
          <w:pgSz w:w="11906" w:h="16838"/>
          <w:pgMar w:top="720" w:right="720" w:bottom="720" w:left="720" w:header="283" w:footer="283" w:gutter="0"/>
          <w:cols w:space="567"/>
          <w:bidi/>
          <w:rtlGutter/>
          <w:docGrid w:linePitch="299"/>
        </w:sectPr>
      </w:pPr>
      <w:bookmarkStart w:id="15317" w:name="_Toc12615969"/>
      <w:bookmarkStart w:id="15318" w:name="_Toc12791846"/>
      <w:bookmarkStart w:id="15319" w:name="_Toc12826328"/>
      <w:bookmarkStart w:id="15320" w:name="_Toc12872117"/>
      <w:bookmarkStart w:id="15321" w:name="_Toc12895423"/>
      <w:bookmarkStart w:id="15322" w:name="_Toc12896308"/>
      <w:bookmarkStart w:id="15323" w:name="_Toc12896468"/>
      <w:bookmarkStart w:id="15324" w:name="_Toc13134851"/>
      <w:bookmarkStart w:id="15325" w:name="_Toc13244712"/>
      <w:bookmarkStart w:id="15326" w:name="_Toc13396689"/>
      <w:bookmarkStart w:id="15327" w:name="_Toc13418709"/>
      <w:bookmarkStart w:id="15328" w:name="_Toc13516545"/>
      <w:bookmarkStart w:id="15329" w:name="_Toc13773316"/>
      <w:bookmarkStart w:id="15330" w:name="_Toc13952623"/>
      <w:bookmarkStart w:id="15331" w:name="_Toc14089996"/>
      <w:bookmarkStart w:id="15332" w:name="_Toc14109796"/>
      <w:bookmarkStart w:id="15333" w:name="_Toc14120171"/>
      <w:bookmarkStart w:id="15334" w:name="_Toc14122349"/>
      <w:bookmarkStart w:id="15335" w:name="_Toc14196329"/>
      <w:bookmarkStart w:id="15336" w:name="_Toc14208879"/>
      <w:bookmarkStart w:id="15337" w:name="_Toc14248986"/>
      <w:bookmarkStart w:id="15338" w:name="_Toc14257527"/>
      <w:bookmarkStart w:id="15339" w:name="_Toc14973656"/>
      <w:bookmarkStart w:id="15340" w:name="_Toc14993508"/>
      <w:bookmarkStart w:id="15341" w:name="_Toc15035035"/>
      <w:bookmarkStart w:id="15342" w:name="_Toc15057778"/>
      <w:bookmarkStart w:id="15343" w:name="_Toc15163229"/>
      <w:bookmarkStart w:id="15344" w:name="_Toc15227692"/>
      <w:bookmarkStart w:id="15345" w:name="_Toc15227859"/>
      <w:bookmarkStart w:id="15346" w:name="_Toc16679289"/>
      <w:bookmarkStart w:id="15347" w:name="_Toc16850495"/>
      <w:bookmarkStart w:id="15348" w:name="_Toc17624877"/>
      <w:bookmarkStart w:id="15349" w:name="_Toc17889828"/>
      <w:bookmarkStart w:id="15350" w:name="_Toc17975450"/>
      <w:bookmarkStart w:id="15351" w:name="_Toc17984138"/>
      <w:bookmarkStart w:id="15352" w:name="_Toc18228263"/>
      <w:bookmarkStart w:id="15353" w:name="_Toc18250807"/>
      <w:bookmarkStart w:id="15354" w:name="_Toc18266264"/>
      <w:bookmarkStart w:id="15355" w:name="_Toc18269175"/>
      <w:bookmarkStart w:id="15356" w:name="_Toc18323875"/>
      <w:bookmarkStart w:id="15357" w:name="_Toc18397470"/>
      <w:bookmarkStart w:id="15358" w:name="_Toc18404193"/>
      <w:bookmarkStart w:id="15359" w:name="_Toc18481614"/>
      <w:bookmarkStart w:id="15360" w:name="_Toc18946799"/>
      <w:bookmarkStart w:id="15361" w:name="_Toc19026262"/>
      <w:bookmarkStart w:id="15362" w:name="_Toc19029739"/>
      <w:bookmarkStart w:id="15363" w:name="_Toc19030123"/>
      <w:bookmarkStart w:id="15364" w:name="_Toc19082184"/>
      <w:bookmarkStart w:id="15365" w:name="_Toc19092744"/>
      <w:bookmarkStart w:id="15366" w:name="_Toc31017244"/>
      <w:bookmarkStart w:id="15367" w:name="_Toc31092798"/>
      <w:bookmarkStart w:id="15368" w:name="_Toc31194784"/>
      <w:bookmarkStart w:id="15369" w:name="_Toc31194916"/>
      <w:bookmarkStart w:id="15370" w:name="_Toc31277963"/>
      <w:bookmarkStart w:id="15371" w:name="_Toc31298678"/>
      <w:bookmarkStart w:id="15372" w:name="_Toc31300855"/>
      <w:bookmarkStart w:id="15373" w:name="_Toc32919199"/>
      <w:bookmarkStart w:id="15374" w:name="_Toc49977868"/>
      <w:bookmarkStart w:id="15375" w:name="_Toc50120242"/>
      <w:bookmarkStart w:id="15376" w:name="_Toc50282708"/>
      <w:bookmarkStart w:id="15377" w:name="_Toc52907768"/>
      <w:bookmarkStart w:id="15378" w:name="_Toc53402197"/>
      <w:bookmarkStart w:id="15379" w:name="_Toc53941228"/>
      <w:bookmarkStart w:id="15380" w:name="_Toc54000514"/>
      <w:bookmarkStart w:id="15381" w:name="_Toc54000905"/>
      <w:bookmarkStart w:id="15382" w:name="_Toc65142877"/>
      <w:bookmarkStart w:id="15383" w:name="_Toc65530018"/>
      <w:bookmarkStart w:id="15384" w:name="_Toc65748253"/>
      <w:bookmarkStart w:id="15385" w:name="_Toc65788191"/>
      <w:bookmarkStart w:id="15386" w:name="_Toc65839239"/>
      <w:bookmarkStart w:id="15387" w:name="_Toc66048877"/>
      <w:bookmarkStart w:id="15388" w:name="_Toc66055830"/>
      <w:bookmarkStart w:id="15389" w:name="_Toc66085950"/>
      <w:bookmarkStart w:id="15390" w:name="_Toc66110523"/>
      <w:bookmarkStart w:id="15391" w:name="_Toc66123386"/>
      <w:bookmarkStart w:id="15392" w:name="_Toc66143834"/>
      <w:bookmarkStart w:id="15393" w:name="_Toc66171997"/>
      <w:bookmarkStart w:id="15394" w:name="_Toc66183237"/>
      <w:bookmarkStart w:id="15395" w:name="_Toc66186020"/>
      <w:bookmarkStart w:id="15396" w:name="_Toc66193480"/>
      <w:bookmarkStart w:id="15397" w:name="_Toc64205788"/>
      <w:bookmarkStart w:id="15398" w:name="_Toc64209468"/>
      <w:r>
        <w:rPr>
          <w:rFonts w:hint="cs"/>
          <w:rtl/>
        </w:rPr>
        <w:t>~</w:t>
      </w:r>
      <w:r>
        <w:rPr>
          <w:noProof/>
          <w:rtl/>
        </w:rPr>
        <w:t>~~~~~~</w:t>
      </w:r>
      <w:r>
        <w:rPr>
          <w:rFonts w:hint="cs"/>
          <w:rtl/>
        </w:rPr>
        <w:t xml:space="preserve"> </w:t>
      </w:r>
      <w:r w:rsidRPr="0081356D">
        <w:rPr>
          <w:rFonts w:hint="cs"/>
          <w:rtl/>
        </w:rPr>
        <w:t>ביאורי ראשי הישיבות</w:t>
      </w:r>
      <w:bookmarkEnd w:id="15317"/>
      <w:bookmarkEnd w:id="15318"/>
      <w:bookmarkEnd w:id="15319"/>
      <w:bookmarkEnd w:id="15320"/>
      <w:bookmarkEnd w:id="15321"/>
      <w:bookmarkEnd w:id="15322"/>
      <w:bookmarkEnd w:id="15323"/>
      <w:bookmarkEnd w:id="15324"/>
      <w:bookmarkEnd w:id="15325"/>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bookmarkEnd w:id="15343"/>
      <w:bookmarkEnd w:id="15344"/>
      <w:bookmarkEnd w:id="15345"/>
      <w:bookmarkEnd w:id="15346"/>
      <w:bookmarkEnd w:id="15347"/>
      <w:bookmarkEnd w:id="15348"/>
      <w:bookmarkEnd w:id="15349"/>
      <w:bookmarkEnd w:id="15350"/>
      <w:bookmarkEnd w:id="15351"/>
      <w:bookmarkEnd w:id="15352"/>
      <w:bookmarkEnd w:id="15353"/>
      <w:bookmarkEnd w:id="15354"/>
      <w:bookmarkEnd w:id="15355"/>
      <w:bookmarkEnd w:id="15356"/>
      <w:bookmarkEnd w:id="15357"/>
      <w:bookmarkEnd w:id="15358"/>
      <w:bookmarkEnd w:id="15359"/>
      <w:bookmarkEnd w:id="15360"/>
      <w:bookmarkEnd w:id="15361"/>
      <w:bookmarkEnd w:id="15362"/>
      <w:bookmarkEnd w:id="15363"/>
      <w:bookmarkEnd w:id="15364"/>
      <w:bookmarkEnd w:id="15365"/>
      <w:bookmarkEnd w:id="15366"/>
      <w:bookmarkEnd w:id="15367"/>
      <w:bookmarkEnd w:id="15368"/>
      <w:bookmarkEnd w:id="15369"/>
      <w:bookmarkEnd w:id="15370"/>
      <w:bookmarkEnd w:id="15371"/>
      <w:bookmarkEnd w:id="15372"/>
      <w:bookmarkEnd w:id="15373"/>
      <w:bookmarkEnd w:id="15374"/>
      <w:bookmarkEnd w:id="15375"/>
      <w:bookmarkEnd w:id="15376"/>
      <w:bookmarkEnd w:id="15377"/>
      <w:bookmarkEnd w:id="15378"/>
      <w:bookmarkEnd w:id="15379"/>
      <w:bookmarkEnd w:id="15380"/>
      <w:bookmarkEnd w:id="15381"/>
      <w:bookmarkEnd w:id="15382"/>
      <w:bookmarkEnd w:id="15383"/>
      <w:bookmarkEnd w:id="15384"/>
      <w:r>
        <w:rPr>
          <w:rFonts w:hint="cs"/>
          <w:rtl/>
        </w:rPr>
        <w:t xml:space="preserve"> ~</w:t>
      </w:r>
      <w:r>
        <w:rPr>
          <w:noProof/>
          <w:rtl/>
        </w:rPr>
        <w:t>~~~~</w:t>
      </w:r>
      <w:r>
        <w:rPr>
          <w:rFonts w:hint="cs"/>
          <w:rtl/>
        </w:rPr>
        <w:t>~~</w:t>
      </w:r>
      <w:bookmarkEnd w:id="15385"/>
      <w:bookmarkEnd w:id="15386"/>
      <w:bookmarkEnd w:id="15387"/>
      <w:bookmarkEnd w:id="15388"/>
      <w:bookmarkEnd w:id="15389"/>
      <w:bookmarkEnd w:id="15390"/>
      <w:bookmarkEnd w:id="15391"/>
      <w:bookmarkEnd w:id="15392"/>
      <w:bookmarkEnd w:id="15393"/>
      <w:bookmarkEnd w:id="15394"/>
      <w:bookmarkEnd w:id="15395"/>
      <w:bookmarkEnd w:id="15396"/>
    </w:p>
    <w:p w:rsidR="00F4065E" w:rsidRDefault="00F4065E" w:rsidP="00F4065E">
      <w:pPr>
        <w:pStyle w:val="afe"/>
        <w:rPr>
          <w:rtl/>
        </w:rPr>
      </w:pPr>
      <w:r>
        <w:rPr>
          <w:rFonts w:hint="cs"/>
          <w:rtl/>
        </w:rPr>
        <w:t>בפלוגתת הרמב"ם והראב"ד</w:t>
      </w:r>
      <w:bookmarkEnd w:id="15397"/>
      <w:bookmarkEnd w:id="15398"/>
    </w:p>
    <w:p w:rsidR="00F4065E" w:rsidRPr="00F600AE" w:rsidRDefault="00F4065E" w:rsidP="00F4065E">
      <w:pPr>
        <w:pStyle w:val="1"/>
        <w:rPr>
          <w:rtl/>
        </w:rPr>
      </w:pPr>
      <w:bookmarkStart w:id="15399" w:name="_Toc64205797"/>
      <w:bookmarkStart w:id="15400" w:name="_Toc64209469"/>
      <w:bookmarkStart w:id="15401" w:name="_Toc64205789"/>
      <w:r>
        <w:rPr>
          <w:rFonts w:hint="cs"/>
          <w:rtl/>
        </w:rPr>
        <w:t>ביאורי האבהא"ז</w:t>
      </w:r>
      <w:bookmarkEnd w:id="15399"/>
      <w:r>
        <w:rPr>
          <w:rFonts w:hint="cs"/>
          <w:rtl/>
        </w:rPr>
        <w:t xml:space="preserve"> והגרנ"פ</w:t>
      </w:r>
      <w:r w:rsidRPr="00877948">
        <w:rPr>
          <w:rFonts w:hint="cs"/>
          <w:rtl/>
        </w:rPr>
        <w:t xml:space="preserve"> </w:t>
      </w:r>
      <w:r>
        <w:rPr>
          <w:rFonts w:hint="cs"/>
          <w:rtl/>
        </w:rPr>
        <w:t>ברמב"ם דאינו נאמן מדין הפה שאסר</w:t>
      </w:r>
      <w:bookmarkEnd w:id="15400"/>
    </w:p>
    <w:p w:rsidR="00F4065E" w:rsidRPr="000278A1" w:rsidRDefault="00F4065E" w:rsidP="00F4065E">
      <w:pPr>
        <w:pStyle w:val="a3"/>
      </w:pPr>
      <w:bookmarkStart w:id="15402" w:name="_Toc64209470"/>
      <w:r>
        <w:rPr>
          <w:rFonts w:hint="cs"/>
          <w:rtl/>
        </w:rPr>
        <w:t>ביאור האבאה"ז ברמב"ם דמדין הפה שאסר דלהד"ם נאמן באותו דבר שהודה ולא בדבר אחר</w:t>
      </w:r>
      <w:bookmarkEnd w:id="15402"/>
    </w:p>
    <w:p w:rsidR="00F4065E" w:rsidRDefault="00F4065E" w:rsidP="007E4E81">
      <w:pPr>
        <w:pStyle w:val="a0"/>
        <w:rPr>
          <w:rtl/>
        </w:rPr>
      </w:pPr>
      <w:bookmarkStart w:id="15403" w:name="_Ref64208608"/>
      <w:r>
        <w:rPr>
          <w:rFonts w:hint="cs"/>
          <w:rtl/>
        </w:rPr>
        <w:t xml:space="preserve">במה שהקשה </w:t>
      </w:r>
      <w:r w:rsidRPr="00A74EE6">
        <w:rPr>
          <w:rStyle w:val="af9"/>
          <w:rFonts w:hint="cs"/>
          <w:rtl/>
        </w:rPr>
        <w:t>הראב"ד</w:t>
      </w:r>
      <w:r>
        <w:rPr>
          <w:rFonts w:hint="cs"/>
          <w:rtl/>
        </w:rPr>
        <w:t xml:space="preserve"> </w:t>
      </w:r>
      <w:r w:rsidRPr="0014438C">
        <w:rPr>
          <w:rStyle w:val="af7"/>
          <w:rFonts w:eastAsia="Guttman Hodes" w:hint="cs"/>
          <w:rtl/>
        </w:rPr>
        <w:t xml:space="preserve">(עי' אות </w:t>
      </w:r>
      <w:r w:rsidRPr="0014438C">
        <w:rPr>
          <w:rStyle w:val="af7"/>
          <w:rFonts w:eastAsia="Guttman Hodes"/>
          <w:rtl/>
        </w:rPr>
        <w:fldChar w:fldCharType="begin"/>
      </w:r>
      <w:r w:rsidRPr="0014438C">
        <w:rPr>
          <w:rStyle w:val="af7"/>
          <w:rFonts w:eastAsia="Guttman Hodes"/>
          <w:rtl/>
        </w:rPr>
        <w:instrText xml:space="preserve"> </w:instrText>
      </w:r>
      <w:r w:rsidRPr="0014438C">
        <w:rPr>
          <w:rStyle w:val="af7"/>
          <w:rFonts w:eastAsia="Guttman Hodes" w:hint="cs"/>
        </w:rPr>
        <w:instrText>REF</w:instrText>
      </w:r>
      <w:r w:rsidRPr="0014438C">
        <w:rPr>
          <w:rStyle w:val="af7"/>
          <w:rFonts w:eastAsia="Guttman Hodes" w:hint="cs"/>
          <w:rtl/>
        </w:rPr>
        <w:instrText xml:space="preserve"> _</w:instrText>
      </w:r>
      <w:r w:rsidRPr="0014438C">
        <w:rPr>
          <w:rStyle w:val="af7"/>
          <w:rFonts w:eastAsia="Guttman Hodes" w:hint="cs"/>
        </w:rPr>
        <w:instrText>Ref63960634 \r \h</w:instrText>
      </w:r>
      <w:r w:rsidRPr="0014438C">
        <w:rPr>
          <w:rStyle w:val="af7"/>
          <w:rFonts w:eastAsia="Guttman Hodes"/>
          <w:rtl/>
        </w:rPr>
        <w:instrText xml:space="preserve"> </w:instrText>
      </w:r>
      <w:r w:rsidRPr="0014438C">
        <w:rPr>
          <w:rStyle w:val="af7"/>
          <w:rFonts w:eastAsia="Guttman Hodes"/>
          <w:rtl/>
        </w:rPr>
      </w:r>
      <w:r w:rsidRPr="0014438C">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14438C">
        <w:rPr>
          <w:rStyle w:val="af7"/>
          <w:rFonts w:eastAsia="Guttman Hodes"/>
          <w:rtl/>
        </w:rPr>
        <w:fldChar w:fldCharType="end"/>
      </w:r>
      <w:r>
        <w:rPr>
          <w:rFonts w:hint="cs"/>
          <w:rtl/>
        </w:rPr>
        <w:t xml:space="preserve"> על </w:t>
      </w:r>
      <w:r w:rsidRPr="009C2449">
        <w:rPr>
          <w:rStyle w:val="af9"/>
          <w:rFonts w:hint="cs"/>
          <w:rtl/>
        </w:rPr>
        <w:t>הרמב"ם</w:t>
      </w:r>
      <w:r>
        <w:rPr>
          <w:rFonts w:hint="cs"/>
          <w:rtl/>
        </w:rPr>
        <w:t xml:space="preserve"> </w:t>
      </w:r>
      <w:r w:rsidRPr="00754329">
        <w:rPr>
          <w:rStyle w:val="af7"/>
          <w:rFonts w:eastAsia="Guttman Hodes" w:hint="cs"/>
          <w:rtl/>
        </w:rPr>
        <w:t xml:space="preserve">(עי'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Ref63702477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754329">
        <w:rPr>
          <w:rStyle w:val="af7"/>
          <w:rFonts w:eastAsia="Guttman Hodes"/>
          <w:rtl/>
        </w:rPr>
        <w:fldChar w:fldCharType="end"/>
      </w:r>
      <w:r>
        <w:rPr>
          <w:rStyle w:val="af7"/>
          <w:rFonts w:eastAsia="Guttman Hodes" w:hint="cs"/>
          <w:rtl/>
        </w:rPr>
        <w:t xml:space="preserve"> </w:t>
      </w:r>
      <w:r>
        <w:rPr>
          <w:rFonts w:hint="cs"/>
          <w:rtl/>
        </w:rPr>
        <w:t xml:space="preserve">דאי אין עדים שהייתה של אביהם, א"כ רבא בר שרשום נאמן במיגו דלא הייתה של אביהם מעולם, תירץ </w:t>
      </w:r>
      <w:r w:rsidRPr="00AE125E">
        <w:rPr>
          <w:rStyle w:val="af9"/>
          <w:rFonts w:hint="cs"/>
          <w:rtl/>
        </w:rPr>
        <w:t>האבהא"ז</w:t>
      </w:r>
      <w:r>
        <w:rPr>
          <w:rFonts w:hint="cs"/>
          <w:rtl/>
        </w:rPr>
        <w:t xml:space="preserve"> </w:t>
      </w:r>
      <w:r w:rsidRPr="00CF5931">
        <w:rPr>
          <w:rStyle w:val="af7"/>
          <w:rFonts w:eastAsia="Guttman Hodes" w:hint="cs"/>
          <w:rtl/>
        </w:rPr>
        <w:t>(טו"נ פי"ד ה"ח</w:t>
      </w:r>
      <w:r>
        <w:rPr>
          <w:rStyle w:val="af7"/>
          <w:rFonts w:eastAsia="Guttman Hodes" w:hint="cs"/>
          <w:rtl/>
        </w:rPr>
        <w:t xml:space="preserve"> ד"ה ועכשיו</w:t>
      </w:r>
      <w:r w:rsidRPr="00CF5931">
        <w:rPr>
          <w:rStyle w:val="af7"/>
          <w:rFonts w:eastAsia="Guttman Hodes" w:hint="cs"/>
          <w:rtl/>
        </w:rPr>
        <w:t>)</w:t>
      </w:r>
      <w:r>
        <w:rPr>
          <w:rFonts w:hint="cs"/>
          <w:rtl/>
        </w:rPr>
        <w:t xml:space="preserve"> דהנאמנות בטענת לא הייתה שלך מעולם, היא מדין הפה שאסר ולא מדין מיגו, ובדין הפה שאסר נאמן רק באותו דבר עצמו, אך אינו נאמן לומר שיש לו חוב בדבר אחר, </w:t>
      </w:r>
      <w:r w:rsidRPr="00AE125E">
        <w:rPr>
          <w:rStyle w:val="afb"/>
          <w:rFonts w:hint="cs"/>
          <w:rtl/>
        </w:rPr>
        <w:t xml:space="preserve">[כדביאר </w:t>
      </w:r>
      <w:r w:rsidRPr="00AE125E">
        <w:rPr>
          <w:rStyle w:val="affa"/>
          <w:rFonts w:hint="cs"/>
          <w:rtl/>
        </w:rPr>
        <w:t>האבהא"ז</w:t>
      </w:r>
      <w:r w:rsidRPr="00AE125E">
        <w:rPr>
          <w:rStyle w:val="afb"/>
          <w:rFonts w:hint="cs"/>
          <w:rtl/>
        </w:rPr>
        <w:t xml:space="preserve"> עיי"ש בדבריו],</w:t>
      </w:r>
      <w:r>
        <w:rPr>
          <w:rFonts w:hint="cs"/>
          <w:rtl/>
        </w:rPr>
        <w:t xml:space="preserve"> וא"כ וכל הנאמנות היא רק מדין מיגו, ובמיגו אינו נאמן לטעון דלא הייתה שלו מעולם, דהוא ירא לטעון כן והוא מיגו דהעזה, ולכן נאמן רק במיגו דהיה יכול לטעון שהיא לקוחה בידו, ועיי"ש במה שהאריך </w:t>
      </w:r>
      <w:r w:rsidRPr="00AE125E">
        <w:rPr>
          <w:rStyle w:val="af9"/>
          <w:rFonts w:hint="cs"/>
          <w:rtl/>
        </w:rPr>
        <w:t>האבהא"ז</w:t>
      </w:r>
      <w:r>
        <w:rPr>
          <w:rFonts w:hint="cs"/>
          <w:rtl/>
        </w:rPr>
        <w:t xml:space="preserve"> בזה.</w:t>
      </w:r>
      <w:bookmarkEnd w:id="15403"/>
    </w:p>
    <w:p w:rsidR="00F4065E" w:rsidRPr="0078799C" w:rsidRDefault="00F4065E" w:rsidP="00F4065E">
      <w:pPr>
        <w:pStyle w:val="a3"/>
      </w:pPr>
      <w:bookmarkStart w:id="15404" w:name="_Toc64209471"/>
      <w:bookmarkStart w:id="15405" w:name="_Toc64205790"/>
      <w:bookmarkEnd w:id="15401"/>
      <w:r>
        <w:rPr>
          <w:rFonts w:hint="cs"/>
          <w:rtl/>
        </w:rPr>
        <w:t>ביאור הגרש"ר דלדברי רבינו יונה דהוא מיגו מממון לממון אפש"ל דאינו נאמן במיגו דהעזה</w:t>
      </w:r>
      <w:bookmarkEnd w:id="15404"/>
    </w:p>
    <w:p w:rsidR="00F4065E" w:rsidRDefault="00F4065E" w:rsidP="007E4E81">
      <w:pPr>
        <w:pStyle w:val="a0"/>
        <w:rPr>
          <w:rtl/>
        </w:rPr>
      </w:pPr>
      <w:r>
        <w:rPr>
          <w:rFonts w:hint="cs"/>
          <w:rtl/>
        </w:rPr>
        <w:t xml:space="preserve">ועי' במה שהקשה </w:t>
      </w:r>
      <w:r w:rsidRPr="00DB7AA6">
        <w:rPr>
          <w:rStyle w:val="af9"/>
          <w:rFonts w:hint="cs"/>
          <w:rtl/>
        </w:rPr>
        <w:t>בשיעורי רבי שמואל</w:t>
      </w:r>
      <w:r>
        <w:rPr>
          <w:rFonts w:hint="cs"/>
          <w:rtl/>
        </w:rPr>
        <w:t xml:space="preserve"> </w:t>
      </w:r>
      <w:r w:rsidRPr="00534FBC">
        <w:rPr>
          <w:rStyle w:val="af7"/>
          <w:rFonts w:eastAsia="Guttman Hodes" w:hint="cs"/>
          <w:rtl/>
        </w:rPr>
        <w:t xml:space="preserve">(או' ל"ג ד"ה והנה זה נכון) </w:t>
      </w:r>
      <w:r>
        <w:rPr>
          <w:rFonts w:hint="cs"/>
          <w:rtl/>
        </w:rPr>
        <w:t xml:space="preserve">על דברי </w:t>
      </w:r>
      <w:r w:rsidRPr="00AE125E">
        <w:rPr>
          <w:rStyle w:val="af9"/>
          <w:rFonts w:hint="cs"/>
          <w:rtl/>
        </w:rPr>
        <w:t>האבהא"ז</w:t>
      </w:r>
      <w:r>
        <w:rPr>
          <w:rFonts w:hint="cs"/>
          <w:rtl/>
        </w:rPr>
        <w:t xml:space="preserve">, וכתב </w:t>
      </w:r>
      <w:r w:rsidRPr="00DB7AA6">
        <w:rPr>
          <w:rStyle w:val="af9"/>
          <w:rFonts w:hint="cs"/>
          <w:rtl/>
        </w:rPr>
        <w:t>בשיעורי רבי שמואל</w:t>
      </w:r>
      <w:r>
        <w:rPr>
          <w:rFonts w:hint="cs"/>
          <w:rtl/>
        </w:rPr>
        <w:t xml:space="preserve"> דלפי דברי </w:t>
      </w:r>
      <w:r w:rsidRPr="0078799C">
        <w:rPr>
          <w:rStyle w:val="af9"/>
          <w:rFonts w:hint="cs"/>
          <w:rtl/>
        </w:rPr>
        <w:t>רבינו יונה</w:t>
      </w:r>
      <w:r>
        <w:rPr>
          <w:rFonts w:hint="cs"/>
          <w:rtl/>
        </w:rPr>
        <w:t xml:space="preserve"> </w:t>
      </w:r>
      <w:r w:rsidRPr="005F27AB">
        <w:rPr>
          <w:rStyle w:val="af7"/>
          <w:rFonts w:eastAsia="Guttman Hodes" w:hint="cs"/>
          <w:rtl/>
        </w:rPr>
        <w:t xml:space="preserve">(עי' אות </w:t>
      </w:r>
      <w:r w:rsidRPr="005F27AB">
        <w:rPr>
          <w:rStyle w:val="af7"/>
          <w:rFonts w:eastAsia="Guttman Hodes"/>
          <w:rtl/>
        </w:rPr>
        <w:fldChar w:fldCharType="begin"/>
      </w:r>
      <w:r w:rsidRPr="005F27AB">
        <w:rPr>
          <w:rStyle w:val="af7"/>
          <w:rFonts w:eastAsia="Guttman Hodes"/>
          <w:rtl/>
        </w:rPr>
        <w:instrText xml:space="preserve"> </w:instrText>
      </w:r>
      <w:r w:rsidRPr="005F27AB">
        <w:rPr>
          <w:rStyle w:val="af7"/>
          <w:rFonts w:eastAsia="Guttman Hodes" w:hint="cs"/>
        </w:rPr>
        <w:instrText>REF</w:instrText>
      </w:r>
      <w:r w:rsidRPr="005F27AB">
        <w:rPr>
          <w:rStyle w:val="af7"/>
          <w:rFonts w:eastAsia="Guttman Hodes" w:hint="cs"/>
          <w:rtl/>
        </w:rPr>
        <w:instrText xml:space="preserve"> _</w:instrText>
      </w:r>
      <w:r w:rsidRPr="005F27AB">
        <w:rPr>
          <w:rStyle w:val="af7"/>
          <w:rFonts w:eastAsia="Guttman Hodes" w:hint="cs"/>
        </w:rPr>
        <w:instrText>Ref63589778 \r \h</w:instrText>
      </w:r>
      <w:r w:rsidRPr="005F27AB">
        <w:rPr>
          <w:rStyle w:val="af7"/>
          <w:rFonts w:eastAsia="Guttman Hodes"/>
          <w:rtl/>
        </w:rPr>
        <w:instrText xml:space="preserve"> </w:instrText>
      </w:r>
      <w:r w:rsidRPr="005F27AB">
        <w:rPr>
          <w:rStyle w:val="af7"/>
          <w:rFonts w:eastAsia="Guttman Hodes"/>
          <w:rtl/>
        </w:rPr>
      </w:r>
      <w:r w:rsidRPr="005F27AB">
        <w:rPr>
          <w:rStyle w:val="af7"/>
          <w:rFonts w:eastAsia="Guttman Hodes"/>
          <w:rtl/>
        </w:rPr>
        <w:fldChar w:fldCharType="separate"/>
      </w:r>
      <w:r w:rsidR="00265073">
        <w:rPr>
          <w:rStyle w:val="af7"/>
          <w:rFonts w:eastAsia="Guttman Hodes"/>
          <w:cs/>
        </w:rPr>
        <w:t>‎</w:t>
      </w:r>
      <w:r w:rsidR="00265073">
        <w:rPr>
          <w:rStyle w:val="af7"/>
          <w:rFonts w:eastAsia="Guttman Hodes"/>
          <w:rtl/>
        </w:rPr>
        <w:t>מ)</w:t>
      </w:r>
      <w:r w:rsidRPr="005F27AB">
        <w:rPr>
          <w:rStyle w:val="af7"/>
          <w:rFonts w:eastAsia="Guttman Hodes"/>
          <w:rtl/>
        </w:rPr>
        <w:fldChar w:fldCharType="end"/>
      </w:r>
      <w:r>
        <w:rPr>
          <w:rFonts w:hint="cs"/>
          <w:rtl/>
        </w:rPr>
        <w:t xml:space="preserve"> דחשיב כמיגו מממון לממון, א"כ אפש"ל דבכה"ג אין דין נאמנות למיגו, וכל הנאמנות שיש לו היא רק מדין בירור, ובכה"ג אינו נאמן במיגו דהעזה,</w:t>
      </w:r>
      <w:r w:rsidRPr="0078799C">
        <w:rPr>
          <w:rFonts w:hint="cs"/>
          <w:rtl/>
        </w:rPr>
        <w:t xml:space="preserve"> </w:t>
      </w:r>
      <w:r>
        <w:rPr>
          <w:rFonts w:hint="cs"/>
          <w:rtl/>
        </w:rPr>
        <w:t xml:space="preserve">ועיי"ש במה שהוסיף </w:t>
      </w:r>
      <w:r w:rsidRPr="00DB7AA6">
        <w:rPr>
          <w:rStyle w:val="af9"/>
          <w:rFonts w:hint="cs"/>
          <w:rtl/>
        </w:rPr>
        <w:t>בשיעורי רבי שמואל</w:t>
      </w:r>
      <w:r>
        <w:rPr>
          <w:rFonts w:hint="cs"/>
          <w:rtl/>
        </w:rPr>
        <w:t xml:space="preserve"> לבאר בפלוגתת </w:t>
      </w:r>
      <w:r w:rsidRPr="0078799C">
        <w:rPr>
          <w:rStyle w:val="af9"/>
          <w:rFonts w:hint="cs"/>
          <w:rtl/>
        </w:rPr>
        <w:t>הרמב"ם והראב"ד</w:t>
      </w:r>
      <w:r>
        <w:rPr>
          <w:rFonts w:hint="cs"/>
          <w:rtl/>
        </w:rPr>
        <w:t>.</w:t>
      </w:r>
    </w:p>
    <w:p w:rsidR="00F4065E" w:rsidRDefault="00F4065E" w:rsidP="00F4065E">
      <w:pPr>
        <w:pStyle w:val="a3"/>
        <w:rPr>
          <w:rtl/>
        </w:rPr>
      </w:pPr>
      <w:bookmarkStart w:id="15406" w:name="_Toc64209472"/>
      <w:r>
        <w:rPr>
          <w:rFonts w:hint="cs"/>
          <w:rtl/>
        </w:rPr>
        <w:t>ביאור הגרנ"פ בר"י מגאש וברמב"ם דבמודה דהקרקע בחזקת היתומים אינו נאמן בהפה שאסר</w:t>
      </w:r>
      <w:bookmarkEnd w:id="15405"/>
      <w:bookmarkEnd w:id="15406"/>
    </w:p>
    <w:p w:rsidR="00F4065E" w:rsidRDefault="00F4065E" w:rsidP="007E4E81">
      <w:pPr>
        <w:pStyle w:val="a0"/>
        <w:rPr>
          <w:rtl/>
        </w:rPr>
      </w:pPr>
      <w:bookmarkStart w:id="15407" w:name="_Ref64200444"/>
      <w:r>
        <w:rPr>
          <w:rStyle w:val="af9"/>
          <w:rFonts w:hint="cs"/>
          <w:rtl/>
        </w:rPr>
        <w:t>ו</w:t>
      </w:r>
      <w:r w:rsidRPr="006E0E6F">
        <w:rPr>
          <w:rStyle w:val="af9"/>
          <w:rFonts w:hint="cs"/>
          <w:rtl/>
        </w:rPr>
        <w:t>בחי' רבי</w:t>
      </w:r>
      <w:r>
        <w:rPr>
          <w:rFonts w:hint="cs"/>
          <w:rtl/>
        </w:rPr>
        <w:t xml:space="preserve"> </w:t>
      </w:r>
      <w:r w:rsidRPr="006E0E6F">
        <w:rPr>
          <w:rStyle w:val="af9"/>
          <w:rFonts w:hint="cs"/>
          <w:rtl/>
        </w:rPr>
        <w:t>נחום</w:t>
      </w:r>
      <w:r>
        <w:rPr>
          <w:rFonts w:hint="cs"/>
          <w:rtl/>
        </w:rPr>
        <w:t xml:space="preserve"> </w:t>
      </w:r>
      <w:r w:rsidRPr="004C5F08">
        <w:rPr>
          <w:rStyle w:val="af7"/>
          <w:rFonts w:eastAsia="Guttman Hodes" w:hint="cs"/>
          <w:rtl/>
        </w:rPr>
        <w:t>(או' קס"ה ד"ה והנראה)</w:t>
      </w:r>
      <w:r>
        <w:rPr>
          <w:rFonts w:hint="cs"/>
          <w:rtl/>
        </w:rPr>
        <w:t xml:space="preserve"> תירץ את קושית </w:t>
      </w:r>
      <w:r w:rsidRPr="009C2449">
        <w:rPr>
          <w:rStyle w:val="af9"/>
          <w:rFonts w:hint="cs"/>
          <w:rtl/>
        </w:rPr>
        <w:t>הראב"ד</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Ref64200467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Pr>
          <w:rStyle w:val="af7"/>
          <w:rFonts w:eastAsia="Guttman Hodes"/>
          <w:rtl/>
        </w:rPr>
        <w:fldChar w:fldCharType="end"/>
      </w:r>
      <w:r>
        <w:rPr>
          <w:rStyle w:val="af7"/>
          <w:rFonts w:eastAsia="Guttman Hodes" w:hint="cs"/>
          <w:rtl/>
        </w:rPr>
        <w:t xml:space="preserve"> </w:t>
      </w:r>
      <w:r>
        <w:rPr>
          <w:rFonts w:hint="cs"/>
          <w:rtl/>
        </w:rPr>
        <w:t>על</w:t>
      </w:r>
      <w:r w:rsidRPr="009C2449">
        <w:rPr>
          <w:rStyle w:val="af9"/>
          <w:rFonts w:hint="cs"/>
          <w:rtl/>
        </w:rPr>
        <w:t xml:space="preserve"> הרמב"ם</w:t>
      </w:r>
      <w:r>
        <w:rPr>
          <w:rFonts w:hint="cs"/>
          <w:rtl/>
        </w:rPr>
        <w:t xml:space="preserve"> </w:t>
      </w:r>
      <w:r w:rsidRPr="00754329">
        <w:rPr>
          <w:rStyle w:val="af7"/>
          <w:rFonts w:eastAsia="Guttman Hodes" w:hint="cs"/>
          <w:rtl/>
        </w:rPr>
        <w:t xml:space="preserve">(עי'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Ref63702477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754329">
        <w:rPr>
          <w:rStyle w:val="af7"/>
          <w:rFonts w:eastAsia="Guttman Hodes"/>
          <w:rtl/>
        </w:rPr>
        <w:fldChar w:fldCharType="end"/>
      </w:r>
      <w:r>
        <w:rPr>
          <w:rFonts w:hint="cs"/>
          <w:rtl/>
        </w:rPr>
        <w:t xml:space="preserve"> [</w:t>
      </w:r>
      <w:r w:rsidRPr="006E0E6F">
        <w:rPr>
          <w:rStyle w:val="af9"/>
          <w:rFonts w:hint="cs"/>
          <w:rtl/>
        </w:rPr>
        <w:t>והר"י מגאש</w:t>
      </w:r>
      <w:r>
        <w:rPr>
          <w:rStyle w:val="af9"/>
          <w:rFonts w:hint="cs"/>
          <w:rtl/>
        </w:rPr>
        <w:t xml:space="preserve"> </w:t>
      </w:r>
      <w:r w:rsidRPr="00EB7518">
        <w:rPr>
          <w:rStyle w:val="af7"/>
          <w:rFonts w:eastAsia="Guttman Hodes" w:hint="cs"/>
          <w:rtl/>
        </w:rPr>
        <w:t xml:space="preserve">(עי' אות </w:t>
      </w:r>
      <w:r w:rsidRPr="00EB7518">
        <w:rPr>
          <w:rStyle w:val="af7"/>
          <w:rFonts w:eastAsia="Guttman Hodes"/>
          <w:rtl/>
        </w:rPr>
        <w:fldChar w:fldCharType="begin"/>
      </w:r>
      <w:r w:rsidRPr="00EB7518">
        <w:rPr>
          <w:rStyle w:val="af7"/>
          <w:rFonts w:eastAsia="Guttman Hodes"/>
          <w:rtl/>
        </w:rPr>
        <w:instrText xml:space="preserve"> </w:instrText>
      </w:r>
      <w:r w:rsidRPr="00EB7518">
        <w:rPr>
          <w:rStyle w:val="af7"/>
          <w:rFonts w:eastAsia="Guttman Hodes" w:hint="cs"/>
        </w:rPr>
        <w:instrText>REF</w:instrText>
      </w:r>
      <w:r w:rsidRPr="00EB7518">
        <w:rPr>
          <w:rStyle w:val="af7"/>
          <w:rFonts w:eastAsia="Guttman Hodes" w:hint="cs"/>
          <w:rtl/>
        </w:rPr>
        <w:instrText xml:space="preserve"> _</w:instrText>
      </w:r>
      <w:r w:rsidRPr="00EB7518">
        <w:rPr>
          <w:rStyle w:val="af7"/>
          <w:rFonts w:eastAsia="Guttman Hodes" w:hint="cs"/>
        </w:rPr>
        <w:instrText>Ref64195271 \r \h</w:instrText>
      </w:r>
      <w:r w:rsidRPr="00EB7518">
        <w:rPr>
          <w:rStyle w:val="af7"/>
          <w:rFonts w:eastAsia="Guttman Hodes"/>
          <w:rtl/>
        </w:rPr>
        <w:instrText xml:space="preserve"> </w:instrText>
      </w:r>
      <w:r w:rsidRPr="00EB7518">
        <w:rPr>
          <w:rStyle w:val="af7"/>
          <w:rFonts w:eastAsia="Guttman Hodes"/>
          <w:rtl/>
        </w:rPr>
      </w:r>
      <w:r w:rsidRPr="00EB7518">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EB7518">
        <w:rPr>
          <w:rStyle w:val="af7"/>
          <w:rFonts w:eastAsia="Guttman Hodes"/>
          <w:rtl/>
        </w:rPr>
        <w:fldChar w:fldCharType="end"/>
      </w:r>
      <w:r>
        <w:rPr>
          <w:rFonts w:hint="cs"/>
          <w:rtl/>
        </w:rPr>
        <w:t xml:space="preserve">] דביארו בסוגיין דלא היו עדים שהקרקע הייתה של אביהם של היתומים, דא"כ אמאי הוצרך רבא בר שרשום להיות נאמן במיגו דלקוחה, הא היה יכול לטעון שהיא שלו, דס"ל </w:t>
      </w:r>
      <w:r w:rsidRPr="006E0E6F">
        <w:rPr>
          <w:rStyle w:val="af9"/>
          <w:rFonts w:hint="cs"/>
          <w:rtl/>
        </w:rPr>
        <w:t>להרמב"ם</w:t>
      </w:r>
      <w:r>
        <w:rPr>
          <w:rStyle w:val="af9"/>
          <w:rFonts w:hint="cs"/>
          <w:rtl/>
        </w:rPr>
        <w:t xml:space="preserve"> </w:t>
      </w:r>
      <w:r w:rsidRPr="006E0E6F">
        <w:rPr>
          <w:rStyle w:val="af9"/>
          <w:rFonts w:hint="cs"/>
          <w:rtl/>
        </w:rPr>
        <w:t xml:space="preserve"> והר"י מגאש</w:t>
      </w:r>
      <w:r>
        <w:rPr>
          <w:rFonts w:hint="cs"/>
          <w:rtl/>
        </w:rPr>
        <w:t xml:space="preserve">  דדין הפה שאסר, אינו דין נאמנות, אלא דא"א לאסור מכח ההודאה יותר ממה שמתיר, כגון בשדה זו של אביך הייתה ולקחתיה ממנו, דא"א להחשיב את השדה בחזקת המרא קמא מכח הודאתו, וכתב </w:t>
      </w:r>
      <w:r w:rsidRPr="006E0E6F">
        <w:rPr>
          <w:rStyle w:val="af9"/>
          <w:rFonts w:hint="cs"/>
          <w:rtl/>
        </w:rPr>
        <w:t>בחי'</w:t>
      </w:r>
      <w:r>
        <w:rPr>
          <w:rFonts w:hint="cs"/>
          <w:rtl/>
        </w:rPr>
        <w:t xml:space="preserve"> </w:t>
      </w:r>
      <w:r w:rsidRPr="006E0E6F">
        <w:rPr>
          <w:rStyle w:val="af9"/>
          <w:rFonts w:hint="cs"/>
          <w:rtl/>
        </w:rPr>
        <w:t>רבי</w:t>
      </w:r>
      <w:r>
        <w:rPr>
          <w:rFonts w:hint="cs"/>
          <w:rtl/>
        </w:rPr>
        <w:t xml:space="preserve"> </w:t>
      </w:r>
      <w:r w:rsidRPr="006E0E6F">
        <w:rPr>
          <w:rStyle w:val="af9"/>
          <w:rFonts w:hint="cs"/>
          <w:rtl/>
        </w:rPr>
        <w:t>נחום</w:t>
      </w:r>
      <w:r>
        <w:rPr>
          <w:rFonts w:hint="cs"/>
          <w:rtl/>
        </w:rPr>
        <w:t xml:space="preserve"> דלפי"ז רק במקום שהוא טוען שהוא המוחזק שייך דין הפה שאסר, אבל הכא שאף רבא בר שרשום מודה שאינו מוחזק בקרקע, אלא ס"ל שיש לו עליו חוב אחר, א"כ לא שייך בזה דין הפה שאסר, דאף לדברי רבא בר שרשום הקרקע היא בחזקת המרא קמא, ואף שטוען שיש לו חוב עליהם, מ"מ אין כל חסרון בהודאה שלו שהקרקע הייתה של אביהם של היתומים.</w:t>
      </w:r>
      <w:bookmarkEnd w:id="15407"/>
    </w:p>
    <w:p w:rsidR="00F4065E" w:rsidRPr="00504700" w:rsidRDefault="00F4065E" w:rsidP="00F4065E">
      <w:pPr>
        <w:pStyle w:val="a3"/>
        <w:rPr>
          <w:rtl/>
        </w:rPr>
      </w:pPr>
      <w:bookmarkStart w:id="15408" w:name="_Toc64205791"/>
      <w:bookmarkStart w:id="15409" w:name="_Toc64209473"/>
      <w:r>
        <w:rPr>
          <w:rFonts w:hint="cs"/>
          <w:rtl/>
        </w:rPr>
        <w:t>ביאור הגרנ"פ בר"י מגאש וברמב"ם דנאמן רק במיגו דלקוחה ולא במיגו דלהד"ם דהוא העזה</w:t>
      </w:r>
      <w:bookmarkEnd w:id="15408"/>
      <w:bookmarkEnd w:id="15409"/>
    </w:p>
    <w:p w:rsidR="00F4065E" w:rsidRPr="004C5F08" w:rsidRDefault="00F4065E" w:rsidP="007E4E81">
      <w:pPr>
        <w:pStyle w:val="a0"/>
        <w:rPr>
          <w:rStyle w:val="afb"/>
          <w:rtl/>
        </w:rPr>
      </w:pPr>
      <w:r>
        <w:rPr>
          <w:rFonts w:hint="cs"/>
          <w:rtl/>
        </w:rPr>
        <w:t xml:space="preserve">וכתב </w:t>
      </w:r>
      <w:r w:rsidRPr="006E0E6F">
        <w:rPr>
          <w:rStyle w:val="af9"/>
          <w:rFonts w:hint="cs"/>
          <w:rtl/>
        </w:rPr>
        <w:t>בחי' רבי נחום</w:t>
      </w:r>
      <w:r>
        <w:rPr>
          <w:rFonts w:hint="cs"/>
          <w:rtl/>
        </w:rPr>
        <w:t xml:space="preserve"> דלכן ס"ל </w:t>
      </w:r>
      <w:r w:rsidRPr="006E0E6F">
        <w:rPr>
          <w:rStyle w:val="af9"/>
          <w:rFonts w:hint="cs"/>
          <w:rtl/>
        </w:rPr>
        <w:t>להרמב"ם והר"י מגאש</w:t>
      </w:r>
      <w:r>
        <w:rPr>
          <w:rFonts w:hint="cs"/>
          <w:rtl/>
        </w:rPr>
        <w:t xml:space="preserve"> דכל הנאמנות של רבא בר שרשום היא רק מכח המיגו דלקוחה, דהא לא מהני לו דין הפה שאסר דהיה יכול לטעון שלא הייתה הקרקע מעולם של אביהם של היתומים, ורק בטענת לקוחה נאמן</w:t>
      </w:r>
      <w:r w:rsidRPr="002005F9">
        <w:rPr>
          <w:rFonts w:hint="cs"/>
          <w:rtl/>
        </w:rPr>
        <w:t xml:space="preserve"> </w:t>
      </w:r>
      <w:r>
        <w:rPr>
          <w:rFonts w:hint="cs"/>
          <w:rtl/>
        </w:rPr>
        <w:t xml:space="preserve">לטעון שחייב לו חוב אחר, </w:t>
      </w:r>
      <w:r w:rsidRPr="004C5F08">
        <w:rPr>
          <w:rStyle w:val="afb"/>
          <w:rFonts w:hint="cs"/>
          <w:rtl/>
        </w:rPr>
        <w:t>[אף מדין הפה שאסר, דאי היה טוען שהיא לקוחה בידו, הוא היה המוחזק],</w:t>
      </w:r>
      <w:r>
        <w:rPr>
          <w:rFonts w:hint="cs"/>
          <w:rtl/>
        </w:rPr>
        <w:t xml:space="preserve"> וכתב </w:t>
      </w:r>
      <w:r w:rsidRPr="006E0E6F">
        <w:rPr>
          <w:rStyle w:val="af9"/>
          <w:rFonts w:hint="cs"/>
          <w:rtl/>
        </w:rPr>
        <w:t>בחי' רבי נחום</w:t>
      </w:r>
      <w:r>
        <w:rPr>
          <w:rFonts w:hint="cs"/>
          <w:rtl/>
        </w:rPr>
        <w:t xml:space="preserve"> דס"ל </w:t>
      </w:r>
      <w:r w:rsidRPr="006E0E6F">
        <w:rPr>
          <w:rStyle w:val="af9"/>
          <w:rFonts w:hint="cs"/>
          <w:rtl/>
        </w:rPr>
        <w:t>להרמב"ם</w:t>
      </w:r>
      <w:r>
        <w:rPr>
          <w:rFonts w:hint="cs"/>
          <w:rtl/>
        </w:rPr>
        <w:t xml:space="preserve"> דמדין מיגו א"א </w:t>
      </w:r>
      <w:r>
        <w:rPr>
          <w:rFonts w:hint="cs"/>
          <w:rtl/>
        </w:rPr>
        <w:t xml:space="preserve">להאמינו דהיה יכול לטעון שלא הייתה הקרקע מעולם של אביהם של היתומים, כיון שהוא ירא לטעון כן, שמא יבאו עדים שהייתה שלהם. </w:t>
      </w:r>
      <w:r w:rsidRPr="004C5F08">
        <w:rPr>
          <w:rStyle w:val="afb"/>
          <w:rFonts w:hint="cs"/>
          <w:rtl/>
        </w:rPr>
        <w:t xml:space="preserve">[וכעין דברי </w:t>
      </w:r>
      <w:r w:rsidRPr="004C5F08">
        <w:rPr>
          <w:rStyle w:val="affa"/>
          <w:rFonts w:hint="cs"/>
          <w:rtl/>
        </w:rPr>
        <w:t>הרא"ש לעיל</w:t>
      </w:r>
      <w:r w:rsidRPr="004C5F08">
        <w:rPr>
          <w:rStyle w:val="afb"/>
          <w:rFonts w:hint="cs"/>
          <w:rtl/>
        </w:rPr>
        <w:t xml:space="preserve"> </w:t>
      </w:r>
      <w:r w:rsidRPr="004C5F08">
        <w:rPr>
          <w:rStyle w:val="aff6"/>
          <w:rFonts w:hint="cs"/>
          <w:rtl/>
        </w:rPr>
        <w:t>(סי' ז', הובא בסימן ט' אות מ"ח)</w:t>
      </w:r>
      <w:r w:rsidRPr="004C5F08">
        <w:rPr>
          <w:rStyle w:val="afb"/>
          <w:rFonts w:hint="cs"/>
          <w:rtl/>
        </w:rPr>
        <w:t>].</w:t>
      </w:r>
    </w:p>
    <w:p w:rsidR="00F4065E" w:rsidRDefault="00F4065E" w:rsidP="00F4065E">
      <w:pPr>
        <w:pStyle w:val="a3"/>
        <w:rPr>
          <w:rtl/>
        </w:rPr>
      </w:pPr>
      <w:bookmarkStart w:id="15410" w:name="_Toc64205792"/>
      <w:bookmarkStart w:id="15411" w:name="_Toc64209474"/>
      <w:r>
        <w:rPr>
          <w:rFonts w:hint="cs"/>
          <w:rtl/>
        </w:rPr>
        <w:t>ביאור הגרנ"פ בגר"א דהקול אינו כעידי מר"ק אלא דכיון שמודה לקול ממילא הקרקע בחזקתם</w:t>
      </w:r>
      <w:bookmarkEnd w:id="15410"/>
      <w:bookmarkEnd w:id="15411"/>
    </w:p>
    <w:p w:rsidR="00F4065E" w:rsidRDefault="00F4065E" w:rsidP="007E4E81">
      <w:pPr>
        <w:pStyle w:val="a0"/>
        <w:rPr>
          <w:rtl/>
        </w:rPr>
      </w:pPr>
      <w:bookmarkStart w:id="15412" w:name="_Ref64141007"/>
      <w:r>
        <w:rPr>
          <w:rFonts w:hint="cs"/>
          <w:rtl/>
        </w:rPr>
        <w:t xml:space="preserve">ובמה שהוסיף </w:t>
      </w:r>
      <w:r w:rsidRPr="009C2449">
        <w:rPr>
          <w:rStyle w:val="af9"/>
          <w:rFonts w:hint="cs"/>
          <w:rtl/>
        </w:rPr>
        <w:t>הראב"ד</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Ref63702827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Pr>
          <w:rStyle w:val="af7"/>
          <w:rFonts w:eastAsia="Guttman Hodes"/>
          <w:rtl/>
        </w:rPr>
        <w:fldChar w:fldCharType="end"/>
      </w:r>
      <w:r>
        <w:rPr>
          <w:rStyle w:val="af7"/>
          <w:rFonts w:eastAsia="Guttman Hodes" w:hint="cs"/>
          <w:rtl/>
        </w:rPr>
        <w:t xml:space="preserve"> </w:t>
      </w:r>
      <w:r>
        <w:rPr>
          <w:rFonts w:hint="cs"/>
          <w:rtl/>
        </w:rPr>
        <w:t>להקשות על</w:t>
      </w:r>
      <w:r w:rsidRPr="009C2449">
        <w:rPr>
          <w:rStyle w:val="af9"/>
          <w:rFonts w:hint="cs"/>
          <w:rtl/>
        </w:rPr>
        <w:t xml:space="preserve"> הרמב"ם</w:t>
      </w:r>
      <w:r>
        <w:rPr>
          <w:rFonts w:hint="cs"/>
          <w:rtl/>
        </w:rPr>
        <w:t xml:space="preserve"> </w:t>
      </w:r>
      <w:r w:rsidRPr="00754329">
        <w:rPr>
          <w:rStyle w:val="af7"/>
          <w:rFonts w:eastAsia="Guttman Hodes" w:hint="cs"/>
          <w:rtl/>
        </w:rPr>
        <w:t xml:space="preserve">(עי'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Ref63702477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754329">
        <w:rPr>
          <w:rStyle w:val="af7"/>
          <w:rFonts w:eastAsia="Guttman Hodes"/>
          <w:rtl/>
        </w:rPr>
        <w:fldChar w:fldCharType="end"/>
      </w:r>
      <w:r>
        <w:rPr>
          <w:rFonts w:hint="cs"/>
          <w:rtl/>
        </w:rPr>
        <w:t xml:space="preserve"> [</w:t>
      </w:r>
      <w:r w:rsidRPr="006E0E6F">
        <w:rPr>
          <w:rStyle w:val="af9"/>
          <w:rFonts w:hint="cs"/>
          <w:rtl/>
        </w:rPr>
        <w:t>והר"י מגאש</w:t>
      </w:r>
      <w:r>
        <w:rPr>
          <w:rFonts w:hint="cs"/>
          <w:rtl/>
        </w:rPr>
        <w:t xml:space="preserve"> </w:t>
      </w:r>
      <w:r w:rsidRPr="00EB7518">
        <w:rPr>
          <w:rStyle w:val="af7"/>
          <w:rFonts w:eastAsia="Guttman Hodes" w:hint="cs"/>
          <w:rtl/>
        </w:rPr>
        <w:t xml:space="preserve">(עי' אות </w:t>
      </w:r>
      <w:r w:rsidRPr="00EB7518">
        <w:rPr>
          <w:rStyle w:val="af7"/>
          <w:rFonts w:eastAsia="Guttman Hodes"/>
          <w:rtl/>
        </w:rPr>
        <w:fldChar w:fldCharType="begin"/>
      </w:r>
      <w:r w:rsidRPr="00EB7518">
        <w:rPr>
          <w:rStyle w:val="af7"/>
          <w:rFonts w:eastAsia="Guttman Hodes"/>
          <w:rtl/>
        </w:rPr>
        <w:instrText xml:space="preserve"> </w:instrText>
      </w:r>
      <w:r w:rsidRPr="00EB7518">
        <w:rPr>
          <w:rStyle w:val="af7"/>
          <w:rFonts w:eastAsia="Guttman Hodes" w:hint="cs"/>
        </w:rPr>
        <w:instrText>REF</w:instrText>
      </w:r>
      <w:r w:rsidRPr="00EB7518">
        <w:rPr>
          <w:rStyle w:val="af7"/>
          <w:rFonts w:eastAsia="Guttman Hodes" w:hint="cs"/>
          <w:rtl/>
        </w:rPr>
        <w:instrText xml:space="preserve"> _</w:instrText>
      </w:r>
      <w:r w:rsidRPr="00EB7518">
        <w:rPr>
          <w:rStyle w:val="af7"/>
          <w:rFonts w:eastAsia="Guttman Hodes" w:hint="cs"/>
        </w:rPr>
        <w:instrText>Ref64195271 \r \h</w:instrText>
      </w:r>
      <w:r w:rsidRPr="00EB7518">
        <w:rPr>
          <w:rStyle w:val="af7"/>
          <w:rFonts w:eastAsia="Guttman Hodes"/>
          <w:rtl/>
        </w:rPr>
        <w:instrText xml:space="preserve"> </w:instrText>
      </w:r>
      <w:r w:rsidRPr="00EB7518">
        <w:rPr>
          <w:rStyle w:val="af7"/>
          <w:rFonts w:eastAsia="Guttman Hodes"/>
          <w:rtl/>
        </w:rPr>
      </w:r>
      <w:r w:rsidRPr="00EB7518">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sidRPr="00EB7518">
        <w:rPr>
          <w:rStyle w:val="af7"/>
          <w:rFonts w:eastAsia="Guttman Hodes"/>
          <w:rtl/>
        </w:rPr>
        <w:fldChar w:fldCharType="end"/>
      </w:r>
      <w:r>
        <w:rPr>
          <w:rFonts w:hint="cs"/>
          <w:rtl/>
        </w:rPr>
        <w:t xml:space="preserve">] דהיאך אפשר לבטל חזקה דממונא מכח קול, והרי רבא בר שרשום מוחזק בקרקע, ואביהם של היתומים אינו מוחזק בה, הביא </w:t>
      </w:r>
      <w:r w:rsidRPr="006E0E6F">
        <w:rPr>
          <w:rStyle w:val="af9"/>
          <w:rFonts w:hint="cs"/>
          <w:rtl/>
        </w:rPr>
        <w:t>בחי' רבי נחום</w:t>
      </w:r>
      <w:r>
        <w:rPr>
          <w:rStyle w:val="af7"/>
          <w:rFonts w:eastAsia="Guttman Hodes" w:hint="cs"/>
          <w:rtl/>
        </w:rPr>
        <w:t xml:space="preserve"> </w:t>
      </w:r>
      <w:r w:rsidRPr="004C5F08">
        <w:rPr>
          <w:rStyle w:val="af7"/>
          <w:rFonts w:eastAsia="Guttman Hodes" w:hint="cs"/>
          <w:rtl/>
        </w:rPr>
        <w:t>(או' קס"ה ד"ה ובישוב)</w:t>
      </w:r>
      <w:r>
        <w:rPr>
          <w:rFonts w:hint="cs"/>
          <w:rtl/>
        </w:rPr>
        <w:t xml:space="preserve"> את דברי </w:t>
      </w:r>
      <w:r w:rsidRPr="00FB526A">
        <w:rPr>
          <w:rStyle w:val="af9"/>
          <w:rFonts w:hint="cs"/>
          <w:rtl/>
        </w:rPr>
        <w:t>הגר"א</w:t>
      </w:r>
      <w:r>
        <w:rPr>
          <w:rFonts w:hint="cs"/>
          <w:rtl/>
        </w:rPr>
        <w:t xml:space="preserve"> </w:t>
      </w:r>
      <w:r w:rsidRPr="00FB526A">
        <w:rPr>
          <w:rStyle w:val="af7"/>
          <w:rFonts w:eastAsia="Guttman Hodes" w:hint="cs"/>
          <w:rtl/>
        </w:rPr>
        <w:t xml:space="preserve">(עי' אות </w:t>
      </w:r>
      <w:r w:rsidRPr="00FB526A">
        <w:rPr>
          <w:rStyle w:val="af7"/>
          <w:rFonts w:eastAsia="Guttman Hodes"/>
          <w:rtl/>
        </w:rPr>
        <w:fldChar w:fldCharType="begin"/>
      </w:r>
      <w:r w:rsidRPr="00FB526A">
        <w:rPr>
          <w:rStyle w:val="af7"/>
          <w:rFonts w:eastAsia="Guttman Hodes"/>
          <w:rtl/>
        </w:rPr>
        <w:instrText xml:space="preserve"> </w:instrText>
      </w:r>
      <w:r w:rsidRPr="00FB526A">
        <w:rPr>
          <w:rStyle w:val="af7"/>
          <w:rFonts w:eastAsia="Guttman Hodes" w:hint="cs"/>
        </w:rPr>
        <w:instrText>REF</w:instrText>
      </w:r>
      <w:r w:rsidRPr="00FB526A">
        <w:rPr>
          <w:rStyle w:val="af7"/>
          <w:rFonts w:eastAsia="Guttman Hodes" w:hint="cs"/>
          <w:rtl/>
        </w:rPr>
        <w:instrText xml:space="preserve"> _</w:instrText>
      </w:r>
      <w:r w:rsidRPr="00FB526A">
        <w:rPr>
          <w:rStyle w:val="af7"/>
          <w:rFonts w:eastAsia="Guttman Hodes" w:hint="cs"/>
        </w:rPr>
        <w:instrText>Ref64190368 \r \h</w:instrText>
      </w:r>
      <w:r w:rsidRPr="00FB526A">
        <w:rPr>
          <w:rStyle w:val="af7"/>
          <w:rFonts w:eastAsia="Guttman Hodes"/>
          <w:rtl/>
        </w:rPr>
        <w:instrText xml:space="preserve"> </w:instrText>
      </w:r>
      <w:r w:rsidRPr="00FB526A">
        <w:rPr>
          <w:rStyle w:val="af7"/>
          <w:rFonts w:eastAsia="Guttman Hodes"/>
          <w:rtl/>
        </w:rPr>
      </w:r>
      <w:r w:rsidRPr="00FB526A">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FB526A">
        <w:rPr>
          <w:rStyle w:val="af7"/>
          <w:rFonts w:eastAsia="Guttman Hodes"/>
          <w:rtl/>
        </w:rPr>
        <w:fldChar w:fldCharType="end"/>
      </w:r>
      <w:r>
        <w:rPr>
          <w:rFonts w:hint="cs"/>
          <w:rtl/>
        </w:rPr>
        <w:t xml:space="preserve"> דביאר בדעת </w:t>
      </w:r>
      <w:r w:rsidRPr="006E0E6F">
        <w:rPr>
          <w:rStyle w:val="af9"/>
          <w:rFonts w:hint="cs"/>
          <w:rtl/>
        </w:rPr>
        <w:t>הר"י מגאש</w:t>
      </w:r>
      <w:r>
        <w:rPr>
          <w:rFonts w:hint="cs"/>
          <w:rtl/>
        </w:rPr>
        <w:t xml:space="preserve"> דכל שיש קול חשיב שיש עדים שהייתה של אביהם של היתומים, וא"כ ידוע שהקרקע הייתה שלהם, ולכן א"א להחזיק בנכסי קטן, וכתב </w:t>
      </w:r>
      <w:r w:rsidRPr="006E0E6F">
        <w:rPr>
          <w:rStyle w:val="af9"/>
          <w:rFonts w:hint="cs"/>
          <w:rtl/>
        </w:rPr>
        <w:t>בחי' רבי נחום</w:t>
      </w:r>
      <w:r>
        <w:rPr>
          <w:rFonts w:hint="cs"/>
          <w:rtl/>
        </w:rPr>
        <w:t xml:space="preserve"> דאין כוונת </w:t>
      </w:r>
      <w:r w:rsidRPr="006E0E6F">
        <w:rPr>
          <w:rStyle w:val="af9"/>
          <w:rFonts w:hint="cs"/>
          <w:rtl/>
        </w:rPr>
        <w:t>הגר"א</w:t>
      </w:r>
      <w:r>
        <w:rPr>
          <w:rFonts w:hint="cs"/>
          <w:rtl/>
        </w:rPr>
        <w:t xml:space="preserve"> לומר דכיון שהקול הוא כעדים, א"כ ע"י הקול אפשר להוציא ממון, אלא דכיון דרבא בר שרשום אינו מכחיש את הקול, לכן מהני הקול להחשיב את אביהם של היתומים כמרא קמא, ולא מהני לרבא בר שרשום מיגו, ואעפ"י דהוא היה יכול להכחיש את הקול, מ"מ אחר שהודה, אין הקרקע בחזקת היתומים רק מחמת הודאתו אלא גם מכח הקול, ולכן אינו נאמן במיגו.</w:t>
      </w:r>
      <w:bookmarkEnd w:id="15412"/>
    </w:p>
    <w:p w:rsidR="00F4065E" w:rsidRDefault="00F4065E" w:rsidP="00F4065E">
      <w:pPr>
        <w:pStyle w:val="1"/>
        <w:rPr>
          <w:rtl/>
        </w:rPr>
      </w:pPr>
      <w:bookmarkStart w:id="15413" w:name="_Toc63942280"/>
      <w:bookmarkStart w:id="15414" w:name="_Toc63975512"/>
      <w:bookmarkStart w:id="15415" w:name="_Toc63986552"/>
      <w:bookmarkStart w:id="15416" w:name="_Toc64024680"/>
      <w:bookmarkStart w:id="15417" w:name="_Toc64036088"/>
      <w:bookmarkStart w:id="15418" w:name="_Toc64148157"/>
      <w:bookmarkStart w:id="15419" w:name="_Toc64205793"/>
      <w:bookmarkStart w:id="15420" w:name="_Toc64209475"/>
      <w:r>
        <w:rPr>
          <w:rFonts w:hint="cs"/>
          <w:rtl/>
        </w:rPr>
        <w:t>בי' הגרנ"פ בפלוגתת הרמב"ם והראב"ד בקול כשיש חזקת ג"ש</w:t>
      </w:r>
      <w:bookmarkEnd w:id="15413"/>
      <w:bookmarkEnd w:id="15414"/>
      <w:bookmarkEnd w:id="15415"/>
      <w:bookmarkEnd w:id="15416"/>
      <w:bookmarkEnd w:id="15417"/>
      <w:bookmarkEnd w:id="15418"/>
      <w:bookmarkEnd w:id="15419"/>
      <w:bookmarkEnd w:id="15420"/>
    </w:p>
    <w:p w:rsidR="00F4065E" w:rsidRDefault="00F4065E" w:rsidP="00F4065E">
      <w:pPr>
        <w:pStyle w:val="a3"/>
        <w:rPr>
          <w:rtl/>
        </w:rPr>
      </w:pPr>
      <w:bookmarkStart w:id="15421" w:name="_Toc64205794"/>
      <w:bookmarkStart w:id="15422" w:name="_Toc64209476"/>
      <w:r>
        <w:rPr>
          <w:rFonts w:hint="cs"/>
          <w:rtl/>
        </w:rPr>
        <w:t>ביאור הגרנ"פ דלרמב"ם הקול שהקרקע שלהם ולראב"ד שנגמרה המשכנתא ויש ריעותא בחזקה</w:t>
      </w:r>
      <w:bookmarkEnd w:id="15421"/>
      <w:bookmarkEnd w:id="15422"/>
    </w:p>
    <w:p w:rsidR="00F4065E" w:rsidRDefault="00F4065E" w:rsidP="007E4E81">
      <w:pPr>
        <w:pStyle w:val="a0"/>
        <w:rPr>
          <w:rStyle w:val="afb"/>
          <w:rtl/>
        </w:rPr>
      </w:pPr>
      <w:bookmarkStart w:id="15423" w:name="_Ref64205064"/>
      <w:r>
        <w:rPr>
          <w:rFonts w:hint="cs"/>
          <w:rtl/>
        </w:rPr>
        <w:t xml:space="preserve">במ"ש </w:t>
      </w:r>
      <w:r w:rsidRPr="000A1704">
        <w:rPr>
          <w:rStyle w:val="af9"/>
          <w:rFonts w:hint="cs"/>
          <w:rtl/>
        </w:rPr>
        <w:t>הרמב"ם</w:t>
      </w:r>
      <w:r w:rsidRPr="00754329">
        <w:rPr>
          <w:rStyle w:val="af7"/>
          <w:rFonts w:eastAsia="Guttman Hodes" w:hint="cs"/>
          <w:rtl/>
        </w:rPr>
        <w:t xml:space="preserve"> (עי'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Ref63702464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754329">
        <w:rPr>
          <w:rStyle w:val="af7"/>
          <w:rFonts w:eastAsia="Guttman Hodes"/>
          <w:rtl/>
        </w:rPr>
        <w:fldChar w:fldCharType="end"/>
      </w:r>
      <w:r w:rsidRPr="00754329">
        <w:rPr>
          <w:rStyle w:val="af7"/>
          <w:rFonts w:eastAsia="Guttman Hodes" w:hint="cs"/>
          <w:rtl/>
        </w:rPr>
        <w:t xml:space="preserve"> </w:t>
      </w:r>
      <w:r>
        <w:rPr>
          <w:rFonts w:hint="cs"/>
          <w:rtl/>
        </w:rPr>
        <w:t xml:space="preserve">דכשיש לו חזקה נאמן במיגו, אף שיש קול, ודחה </w:t>
      </w:r>
      <w:r w:rsidRPr="000A1704">
        <w:rPr>
          <w:rStyle w:val="af9"/>
          <w:rFonts w:hint="cs"/>
          <w:rtl/>
        </w:rPr>
        <w:t>הראב"ד</w:t>
      </w:r>
      <w:r>
        <w:rPr>
          <w:rFonts w:hint="cs"/>
          <w:rtl/>
        </w:rPr>
        <w:t xml:space="preserve"> </w:t>
      </w:r>
      <w:r w:rsidRPr="00705FB1">
        <w:rPr>
          <w:rStyle w:val="af7"/>
          <w:rFonts w:eastAsia="Guttman Hodes" w:hint="cs"/>
          <w:rtl/>
        </w:rPr>
        <w:t xml:space="preserve">(עי' אות </w:t>
      </w:r>
      <w:r w:rsidRPr="00705FB1">
        <w:rPr>
          <w:rStyle w:val="af7"/>
          <w:rFonts w:eastAsia="Guttman Hodes"/>
          <w:rtl/>
        </w:rPr>
        <w:fldChar w:fldCharType="begin"/>
      </w:r>
      <w:r w:rsidRPr="00705FB1">
        <w:rPr>
          <w:rStyle w:val="af7"/>
          <w:rFonts w:eastAsia="Guttman Hodes"/>
          <w:rtl/>
        </w:rPr>
        <w:instrText xml:space="preserve"> </w:instrText>
      </w:r>
      <w:r w:rsidRPr="00705FB1">
        <w:rPr>
          <w:rStyle w:val="af7"/>
          <w:rFonts w:eastAsia="Guttman Hodes" w:hint="cs"/>
        </w:rPr>
        <w:instrText>REF</w:instrText>
      </w:r>
      <w:r w:rsidRPr="00705FB1">
        <w:rPr>
          <w:rStyle w:val="af7"/>
          <w:rFonts w:eastAsia="Guttman Hodes" w:hint="cs"/>
          <w:rtl/>
        </w:rPr>
        <w:instrText xml:space="preserve"> _</w:instrText>
      </w:r>
      <w:r w:rsidRPr="00705FB1">
        <w:rPr>
          <w:rStyle w:val="af7"/>
          <w:rFonts w:eastAsia="Guttman Hodes" w:hint="cs"/>
        </w:rPr>
        <w:instrText>Ref64200375 \r \h</w:instrText>
      </w:r>
      <w:r w:rsidRPr="00705FB1">
        <w:rPr>
          <w:rStyle w:val="af7"/>
          <w:rFonts w:eastAsia="Guttman Hodes"/>
          <w:rtl/>
        </w:rPr>
        <w:instrText xml:space="preserve"> </w:instrText>
      </w:r>
      <w:r w:rsidRPr="00705FB1">
        <w:rPr>
          <w:rStyle w:val="af7"/>
          <w:rFonts w:eastAsia="Guttman Hodes"/>
          <w:rtl/>
        </w:rPr>
      </w:r>
      <w:r w:rsidRPr="00705FB1">
        <w:rPr>
          <w:rStyle w:val="af7"/>
          <w:rFonts w:eastAsia="Guttman Hodes"/>
          <w:rtl/>
        </w:rPr>
        <w:fldChar w:fldCharType="separate"/>
      </w:r>
      <w:r w:rsidR="00265073">
        <w:rPr>
          <w:rStyle w:val="af7"/>
          <w:rFonts w:eastAsia="Guttman Hodes"/>
          <w:cs/>
        </w:rPr>
        <w:t>‎</w:t>
      </w:r>
      <w:r w:rsidR="00265073">
        <w:rPr>
          <w:rStyle w:val="af7"/>
          <w:rFonts w:eastAsia="Guttman Hodes"/>
          <w:rtl/>
        </w:rPr>
        <w:t>קטז)</w:t>
      </w:r>
      <w:r w:rsidRPr="00705FB1">
        <w:rPr>
          <w:rStyle w:val="af7"/>
          <w:rFonts w:eastAsia="Guttman Hodes"/>
          <w:rtl/>
        </w:rPr>
        <w:fldChar w:fldCharType="end"/>
      </w:r>
      <w:r>
        <w:rPr>
          <w:rFonts w:hint="cs"/>
          <w:rtl/>
        </w:rPr>
        <w:t xml:space="preserve"> דודאי אינו נאמן כיון שיצא עליו קול, ביאר </w:t>
      </w:r>
      <w:r w:rsidRPr="00135B41">
        <w:rPr>
          <w:rStyle w:val="af9"/>
          <w:rFonts w:hint="cs"/>
          <w:rtl/>
        </w:rPr>
        <w:t>בחי' רבי נחום</w:t>
      </w:r>
      <w:r>
        <w:rPr>
          <w:rFonts w:hint="cs"/>
          <w:rtl/>
        </w:rPr>
        <w:t xml:space="preserve"> </w:t>
      </w:r>
      <w:r w:rsidRPr="00135B41">
        <w:rPr>
          <w:rStyle w:val="af7"/>
          <w:rFonts w:eastAsia="Guttman Hodes" w:hint="cs"/>
          <w:rtl/>
        </w:rPr>
        <w:t xml:space="preserve">(או' קס"ה ד"ה וע"ע ברמב"ם) </w:t>
      </w:r>
      <w:r>
        <w:rPr>
          <w:rFonts w:hint="cs"/>
          <w:rtl/>
        </w:rPr>
        <w:t xml:space="preserve">דלדעת </w:t>
      </w:r>
      <w:r w:rsidRPr="00135B41">
        <w:rPr>
          <w:rStyle w:val="af9"/>
          <w:rFonts w:hint="cs"/>
          <w:rtl/>
        </w:rPr>
        <w:t>הרמב"ם</w:t>
      </w:r>
      <w:r>
        <w:rPr>
          <w:rFonts w:hint="cs"/>
          <w:rtl/>
        </w:rPr>
        <w:t xml:space="preserve"> </w:t>
      </w:r>
      <w:r w:rsidRPr="0086706D">
        <w:rPr>
          <w:rStyle w:val="af7"/>
          <w:rFonts w:eastAsia="Guttman Hodes" w:hint="cs"/>
          <w:rtl/>
        </w:rPr>
        <w:t xml:space="preserve">(עי' אות </w:t>
      </w:r>
      <w:r w:rsidRPr="0086706D">
        <w:rPr>
          <w:rStyle w:val="af7"/>
          <w:rFonts w:eastAsia="Guttman Hodes"/>
          <w:rtl/>
        </w:rPr>
        <w:fldChar w:fldCharType="begin"/>
      </w:r>
      <w:r w:rsidRPr="0086706D">
        <w:rPr>
          <w:rStyle w:val="af7"/>
          <w:rFonts w:eastAsia="Guttman Hodes"/>
          <w:rtl/>
        </w:rPr>
        <w:instrText xml:space="preserve"> </w:instrText>
      </w:r>
      <w:r w:rsidRPr="0086706D">
        <w:rPr>
          <w:rStyle w:val="af7"/>
          <w:rFonts w:eastAsia="Guttman Hodes" w:hint="cs"/>
        </w:rPr>
        <w:instrText>REF</w:instrText>
      </w:r>
      <w:r w:rsidRPr="0086706D">
        <w:rPr>
          <w:rStyle w:val="af7"/>
          <w:rFonts w:eastAsia="Guttman Hodes" w:hint="cs"/>
          <w:rtl/>
        </w:rPr>
        <w:instrText xml:space="preserve"> _</w:instrText>
      </w:r>
      <w:r w:rsidRPr="0086706D">
        <w:rPr>
          <w:rStyle w:val="af7"/>
          <w:rFonts w:eastAsia="Guttman Hodes" w:hint="cs"/>
        </w:rPr>
        <w:instrText>Ref63702477 \r \h</w:instrText>
      </w:r>
      <w:r w:rsidRPr="0086706D">
        <w:rPr>
          <w:rStyle w:val="af7"/>
          <w:rFonts w:eastAsia="Guttman Hodes"/>
          <w:rtl/>
        </w:rPr>
        <w:instrText xml:space="preserve"> </w:instrText>
      </w:r>
      <w:r w:rsidRPr="0086706D">
        <w:rPr>
          <w:rStyle w:val="af7"/>
          <w:rFonts w:eastAsia="Guttman Hodes"/>
          <w:rtl/>
        </w:rPr>
      </w:r>
      <w:r w:rsidRPr="0086706D">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86706D">
        <w:rPr>
          <w:rStyle w:val="af7"/>
          <w:rFonts w:eastAsia="Guttman Hodes"/>
          <w:rtl/>
        </w:rPr>
        <w:fldChar w:fldCharType="end"/>
      </w:r>
      <w:r>
        <w:rPr>
          <w:rFonts w:hint="cs"/>
          <w:rtl/>
        </w:rPr>
        <w:t xml:space="preserve"> הקול שיצא הוא דהקרקע הייתה של אביהם של היתומים, דהא לא מבואר בגמ' דהקול מגרע את החזקה, אלא דבסוגיין איירי כשאין לרבא בר שרשום חזקת ג"ש, ונאמן במיגו, וכשיש קול אינו נאמן במיגו, אבל </w:t>
      </w:r>
      <w:r w:rsidRPr="00A952CF">
        <w:rPr>
          <w:rStyle w:val="af9"/>
          <w:rFonts w:hint="cs"/>
          <w:rtl/>
        </w:rPr>
        <w:t xml:space="preserve">הראב"ד </w:t>
      </w:r>
      <w:r w:rsidRPr="00A952CF">
        <w:rPr>
          <w:rStyle w:val="af7"/>
          <w:rFonts w:eastAsia="Guttman Hodes" w:hint="cs"/>
          <w:rtl/>
        </w:rPr>
        <w:t>(עי'</w:t>
      </w:r>
      <w:r w:rsidRPr="0086706D">
        <w:rPr>
          <w:rStyle w:val="af7"/>
          <w:rFonts w:eastAsia="Guttman Hodes" w:hint="cs"/>
          <w:rtl/>
        </w:rPr>
        <w:t xml:space="preserve"> אות </w:t>
      </w:r>
      <w:r w:rsidRPr="0086706D">
        <w:rPr>
          <w:rStyle w:val="af7"/>
          <w:rFonts w:eastAsia="Guttman Hodes"/>
          <w:rtl/>
        </w:rPr>
        <w:fldChar w:fldCharType="begin"/>
      </w:r>
      <w:r w:rsidRPr="0086706D">
        <w:rPr>
          <w:rStyle w:val="af7"/>
          <w:rFonts w:eastAsia="Guttman Hodes"/>
          <w:rtl/>
        </w:rPr>
        <w:instrText xml:space="preserve"> </w:instrText>
      </w:r>
      <w:r w:rsidRPr="0086706D">
        <w:rPr>
          <w:rStyle w:val="af7"/>
          <w:rFonts w:eastAsia="Guttman Hodes" w:hint="cs"/>
        </w:rPr>
        <w:instrText>REF</w:instrText>
      </w:r>
      <w:r w:rsidRPr="0086706D">
        <w:rPr>
          <w:rStyle w:val="af7"/>
          <w:rFonts w:eastAsia="Guttman Hodes" w:hint="cs"/>
          <w:rtl/>
        </w:rPr>
        <w:instrText xml:space="preserve"> _</w:instrText>
      </w:r>
      <w:r w:rsidRPr="0086706D">
        <w:rPr>
          <w:rStyle w:val="af7"/>
          <w:rFonts w:eastAsia="Guttman Hodes" w:hint="cs"/>
        </w:rPr>
        <w:instrText>Ref63971944 \r \h</w:instrText>
      </w:r>
      <w:r w:rsidRPr="0086706D">
        <w:rPr>
          <w:rStyle w:val="af7"/>
          <w:rFonts w:eastAsia="Guttman Hodes"/>
          <w:rtl/>
        </w:rPr>
        <w:instrText xml:space="preserve"> </w:instrText>
      </w:r>
      <w:r w:rsidRPr="0086706D">
        <w:rPr>
          <w:rStyle w:val="af7"/>
          <w:rFonts w:eastAsia="Guttman Hodes"/>
          <w:rtl/>
        </w:rPr>
      </w:r>
      <w:r w:rsidRPr="0086706D">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sidRPr="0086706D">
        <w:rPr>
          <w:rStyle w:val="af7"/>
          <w:rFonts w:eastAsia="Guttman Hodes"/>
          <w:rtl/>
        </w:rPr>
        <w:fldChar w:fldCharType="end"/>
      </w:r>
      <w:r>
        <w:rPr>
          <w:rFonts w:hint="cs"/>
          <w:rtl/>
        </w:rPr>
        <w:t xml:space="preserve"> ס"ל כדעת </w:t>
      </w:r>
      <w:r w:rsidRPr="00A952CF">
        <w:rPr>
          <w:rStyle w:val="af9"/>
          <w:rFonts w:hint="cs"/>
          <w:rtl/>
        </w:rPr>
        <w:t>התוס'</w:t>
      </w:r>
      <w:r>
        <w:rPr>
          <w:rFonts w:hint="cs"/>
          <w:rtl/>
        </w:rPr>
        <w:t xml:space="preserve"> </w:t>
      </w:r>
      <w:r w:rsidRPr="0086706D">
        <w:rPr>
          <w:rStyle w:val="af7"/>
          <w:rFonts w:eastAsia="Guttman Hodes" w:hint="cs"/>
          <w:rtl/>
        </w:rPr>
        <w:t xml:space="preserve">(עי' אות </w:t>
      </w:r>
      <w:r w:rsidRPr="0086706D">
        <w:rPr>
          <w:rStyle w:val="af7"/>
          <w:rFonts w:eastAsia="Guttman Hodes"/>
          <w:rtl/>
        </w:rPr>
        <w:fldChar w:fldCharType="begin"/>
      </w:r>
      <w:r w:rsidRPr="0086706D">
        <w:rPr>
          <w:rStyle w:val="af7"/>
          <w:rFonts w:eastAsia="Guttman Hodes"/>
          <w:rtl/>
        </w:rPr>
        <w:instrText xml:space="preserve"> </w:instrText>
      </w:r>
      <w:r w:rsidRPr="0086706D">
        <w:rPr>
          <w:rStyle w:val="af7"/>
          <w:rFonts w:eastAsia="Guttman Hodes" w:hint="cs"/>
        </w:rPr>
        <w:instrText>REF</w:instrText>
      </w:r>
      <w:r w:rsidRPr="0086706D">
        <w:rPr>
          <w:rStyle w:val="af7"/>
          <w:rFonts w:eastAsia="Guttman Hodes" w:hint="cs"/>
          <w:rtl/>
        </w:rPr>
        <w:instrText xml:space="preserve"> _</w:instrText>
      </w:r>
      <w:r w:rsidRPr="0086706D">
        <w:rPr>
          <w:rStyle w:val="af7"/>
          <w:rFonts w:eastAsia="Guttman Hodes" w:hint="cs"/>
        </w:rPr>
        <w:instrText>Ref63971904 \r \h</w:instrText>
      </w:r>
      <w:r w:rsidRPr="0086706D">
        <w:rPr>
          <w:rStyle w:val="af7"/>
          <w:rFonts w:eastAsia="Guttman Hodes"/>
          <w:rtl/>
        </w:rPr>
        <w:instrText xml:space="preserve"> </w:instrText>
      </w:r>
      <w:r w:rsidRPr="0086706D">
        <w:rPr>
          <w:rStyle w:val="af7"/>
          <w:rFonts w:eastAsia="Guttman Hodes"/>
          <w:rtl/>
        </w:rPr>
      </w:r>
      <w:r w:rsidRPr="0086706D">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86706D">
        <w:rPr>
          <w:rStyle w:val="af7"/>
          <w:rFonts w:eastAsia="Guttman Hodes"/>
          <w:rtl/>
        </w:rPr>
        <w:fldChar w:fldCharType="end"/>
      </w:r>
      <w:r>
        <w:rPr>
          <w:rFonts w:hint="cs"/>
          <w:rtl/>
        </w:rPr>
        <w:t xml:space="preserve"> דהקול הוא שנגמרו שני המשכתנא, וא"כ הקול עושה ריעותא בחזקה, ולכן ס"ל להראב"ד דאף שיש לו חזקה אינו נאמן כשיש קול.</w:t>
      </w:r>
      <w:bookmarkEnd w:id="15423"/>
      <w:r>
        <w:rPr>
          <w:rFonts w:hint="cs"/>
          <w:rtl/>
        </w:rPr>
        <w:t xml:space="preserve"> </w:t>
      </w:r>
    </w:p>
    <w:p w:rsidR="00F4065E" w:rsidRPr="00290141" w:rsidRDefault="00F4065E" w:rsidP="00F4065E">
      <w:pPr>
        <w:pStyle w:val="1"/>
        <w:rPr>
          <w:rtl/>
        </w:rPr>
      </w:pPr>
      <w:bookmarkStart w:id="15424" w:name="_Toc64205795"/>
      <w:bookmarkStart w:id="15425" w:name="_Toc64209477"/>
      <w:r>
        <w:rPr>
          <w:rFonts w:hint="cs"/>
          <w:rtl/>
        </w:rPr>
        <w:t>ביאור האבי עזרי ברמב"ם</w:t>
      </w:r>
      <w:bookmarkEnd w:id="15424"/>
      <w:r>
        <w:rPr>
          <w:rFonts w:hint="cs"/>
          <w:rtl/>
        </w:rPr>
        <w:t xml:space="preserve"> ובראב"ד בחיוב שבועה אחר שאכל</w:t>
      </w:r>
      <w:bookmarkEnd w:id="15425"/>
    </w:p>
    <w:p w:rsidR="00F4065E" w:rsidRDefault="00F4065E" w:rsidP="00F4065E">
      <w:pPr>
        <w:pStyle w:val="a3"/>
        <w:rPr>
          <w:rtl/>
        </w:rPr>
      </w:pPr>
      <w:bookmarkStart w:id="15426" w:name="_Toc64209478"/>
      <w:r>
        <w:rPr>
          <w:rFonts w:hint="cs"/>
          <w:rtl/>
        </w:rPr>
        <w:t>ביאור האבי עזרי ברמב"ם דהחיוב שבועה הוא רק בבא ליפרע ע"י שטר ולא בנאמן במיגו</w:t>
      </w:r>
      <w:bookmarkEnd w:id="15426"/>
    </w:p>
    <w:p w:rsidR="00F4065E" w:rsidRDefault="00F4065E" w:rsidP="007E4E81">
      <w:pPr>
        <w:pStyle w:val="a0"/>
        <w:rPr>
          <w:rtl/>
        </w:rPr>
      </w:pPr>
      <w:bookmarkStart w:id="15427" w:name="_Ref63959112"/>
      <w:bookmarkStart w:id="15428" w:name="_Ref63958317"/>
      <w:r>
        <w:rPr>
          <w:rFonts w:hint="cs"/>
          <w:rtl/>
        </w:rPr>
        <w:t xml:space="preserve">במה שהקשה </w:t>
      </w:r>
      <w:r>
        <w:rPr>
          <w:rStyle w:val="af9"/>
          <w:rtl/>
        </w:rPr>
        <w:t>הראב"ד</w:t>
      </w:r>
      <w:r>
        <w:rPr>
          <w:rtl/>
        </w:rPr>
        <w:t xml:space="preserve"> </w:t>
      </w:r>
      <w:r w:rsidRPr="00EA2A0D">
        <w:rPr>
          <w:rStyle w:val="af7"/>
          <w:rFonts w:eastAsia="Guttman Hodes" w:hint="cs"/>
          <w:rtl/>
        </w:rPr>
        <w:t xml:space="preserve">(עי' אות </w:t>
      </w:r>
      <w:r w:rsidRPr="00EA2A0D">
        <w:rPr>
          <w:rStyle w:val="af7"/>
          <w:rFonts w:eastAsia="Guttman Hodes" w:hint="cs"/>
          <w:rtl/>
        </w:rPr>
        <w:fldChar w:fldCharType="begin"/>
      </w:r>
      <w:r w:rsidRPr="00EA2A0D">
        <w:rPr>
          <w:rStyle w:val="af7"/>
          <w:rFonts w:eastAsia="Guttman Hodes" w:hint="cs"/>
          <w:rtl/>
        </w:rPr>
        <w:instrText xml:space="preserve"> </w:instrText>
      </w:r>
      <w:r w:rsidRPr="00EA2A0D">
        <w:rPr>
          <w:rStyle w:val="af7"/>
          <w:rFonts w:eastAsia="Guttman Hodes"/>
        </w:rPr>
        <w:instrText>REF</w:instrText>
      </w:r>
      <w:r w:rsidRPr="00EA2A0D">
        <w:rPr>
          <w:rStyle w:val="af7"/>
          <w:rFonts w:eastAsia="Guttman Hodes" w:hint="cs"/>
          <w:rtl/>
        </w:rPr>
        <w:instrText xml:space="preserve"> _</w:instrText>
      </w:r>
      <w:r w:rsidRPr="00EA2A0D">
        <w:rPr>
          <w:rStyle w:val="af7"/>
          <w:rFonts w:eastAsia="Guttman Hodes"/>
        </w:rPr>
        <w:instrText>Ref63847642 \r \h</w:instrText>
      </w:r>
      <w:r w:rsidRPr="00EA2A0D">
        <w:rPr>
          <w:rStyle w:val="af7"/>
          <w:rFonts w:eastAsia="Guttman Hodes" w:hint="cs"/>
          <w:rtl/>
        </w:rPr>
        <w:instrText xml:space="preserve"> </w:instrText>
      </w:r>
      <w:r w:rsidRPr="00EA2A0D">
        <w:rPr>
          <w:rStyle w:val="af7"/>
          <w:rFonts w:eastAsia="Guttman Hodes" w:hint="cs"/>
          <w:rtl/>
        </w:rPr>
      </w:r>
      <w:r w:rsidRPr="00EA2A0D">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קיז</w:t>
      </w:r>
      <w:r w:rsidR="00265073">
        <w:rPr>
          <w:rStyle w:val="af7"/>
          <w:rFonts w:eastAsia="Guttman Hodes"/>
          <w:rtl/>
        </w:rPr>
        <w:t>)</w:t>
      </w:r>
      <w:r w:rsidRPr="00EA2A0D">
        <w:rPr>
          <w:rStyle w:val="af7"/>
          <w:rFonts w:eastAsia="Guttman Hodes" w:hint="cs"/>
          <w:rtl/>
        </w:rPr>
        <w:fldChar w:fldCharType="end"/>
      </w:r>
      <w:r>
        <w:rPr>
          <w:rFonts w:hint="cs"/>
          <w:rtl/>
        </w:rPr>
        <w:t xml:space="preserve"> על </w:t>
      </w:r>
      <w:r w:rsidRPr="000A1704">
        <w:rPr>
          <w:rStyle w:val="af9"/>
          <w:rFonts w:hint="cs"/>
          <w:rtl/>
        </w:rPr>
        <w:t>הרמב"ם</w:t>
      </w:r>
      <w:r w:rsidRPr="00754329">
        <w:rPr>
          <w:rStyle w:val="af7"/>
          <w:rFonts w:eastAsia="Guttman Hodes" w:hint="cs"/>
          <w:rtl/>
        </w:rPr>
        <w:t xml:space="preserve"> (עי'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Ref63702464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754329">
        <w:rPr>
          <w:rStyle w:val="af7"/>
          <w:rFonts w:eastAsia="Guttman Hodes"/>
          <w:rtl/>
        </w:rPr>
        <w:fldChar w:fldCharType="end"/>
      </w:r>
      <w:r>
        <w:rPr>
          <w:rStyle w:val="af7"/>
          <w:rFonts w:eastAsia="Guttman Hodes" w:hint="cs"/>
          <w:rtl/>
        </w:rPr>
        <w:t xml:space="preserve"> </w:t>
      </w:r>
      <w:r>
        <w:rPr>
          <w:rFonts w:hint="cs"/>
          <w:rtl/>
        </w:rPr>
        <w:t xml:space="preserve">דודאי דאינו יכול לגבות מלכתחילה את הפירות, במיגו בלי שבועה, דהא אף בנשבע על המשכון דעת </w:t>
      </w:r>
      <w:r w:rsidRPr="00AC7F9A">
        <w:rPr>
          <w:rStyle w:val="af9"/>
          <w:rFonts w:hint="cs"/>
          <w:rtl/>
        </w:rPr>
        <w:t>הגאונים</w:t>
      </w:r>
      <w:r>
        <w:rPr>
          <w:rFonts w:hint="cs"/>
          <w:rtl/>
        </w:rPr>
        <w:t xml:space="preserve"> שהוא נשבע ונוטל, והרי רבא בר שרשום רצה להפטר מהשבועה, ולכן ביאר </w:t>
      </w:r>
      <w:r w:rsidRPr="000A1704">
        <w:rPr>
          <w:rStyle w:val="af9"/>
          <w:rFonts w:hint="cs"/>
          <w:rtl/>
        </w:rPr>
        <w:t>הראב"ד</w:t>
      </w:r>
      <w:r>
        <w:rPr>
          <w:rFonts w:hint="cs"/>
          <w:rtl/>
        </w:rPr>
        <w:t xml:space="preserve"> דרק לאחר שאכל את הפירות היה פטור משבועה, ביאר </w:t>
      </w:r>
      <w:r w:rsidRPr="006C639C">
        <w:rPr>
          <w:rStyle w:val="af9"/>
          <w:rFonts w:hint="cs"/>
          <w:rtl/>
        </w:rPr>
        <w:t>האבי עזרי</w:t>
      </w:r>
      <w:r>
        <w:rPr>
          <w:rFonts w:hint="cs"/>
          <w:rtl/>
        </w:rPr>
        <w:t xml:space="preserve"> </w:t>
      </w:r>
      <w:r w:rsidRPr="00EA2A0D">
        <w:rPr>
          <w:rStyle w:val="af7"/>
          <w:rFonts w:eastAsia="Guttman Hodes" w:hint="cs"/>
          <w:rtl/>
        </w:rPr>
        <w:t>(טו"נ פי"ד ה"ח בהערה)</w:t>
      </w:r>
      <w:r w:rsidRPr="001F279C">
        <w:rPr>
          <w:rFonts w:hint="cs"/>
          <w:rtl/>
        </w:rPr>
        <w:t xml:space="preserve"> ד</w:t>
      </w:r>
      <w:r>
        <w:rPr>
          <w:rFonts w:hint="cs"/>
          <w:rtl/>
        </w:rPr>
        <w:t xml:space="preserve">כל החיוב שבועה בבא ליפרע מיתומים, הוא רק במקום שרוצה לגבות מכח שטר, אבל כשרוצה לגבות ע"י בירור אחר שהוא נאמן מכח המיגו, אין חיוב שבועה, ועי' במ"ש </w:t>
      </w:r>
      <w:r w:rsidRPr="001E56F5">
        <w:rPr>
          <w:rStyle w:val="af9"/>
          <w:rFonts w:hint="cs"/>
          <w:rtl/>
        </w:rPr>
        <w:t>השער משפט</w:t>
      </w:r>
      <w:r>
        <w:rPr>
          <w:rFonts w:hint="cs"/>
          <w:rtl/>
        </w:rPr>
        <w:t xml:space="preserve"> </w:t>
      </w:r>
      <w:r w:rsidRPr="001E56F5">
        <w:rPr>
          <w:rStyle w:val="af7"/>
          <w:rFonts w:eastAsia="Guttman Hodes" w:hint="cs"/>
          <w:rtl/>
        </w:rPr>
        <w:t xml:space="preserve">(עי' אות </w:t>
      </w:r>
      <w:r w:rsidRPr="001E56F5">
        <w:rPr>
          <w:rStyle w:val="af7"/>
          <w:rFonts w:eastAsia="Guttman Hodes"/>
          <w:rtl/>
        </w:rPr>
        <w:fldChar w:fldCharType="begin"/>
      </w:r>
      <w:r w:rsidRPr="001E56F5">
        <w:rPr>
          <w:rStyle w:val="af7"/>
          <w:rFonts w:eastAsia="Guttman Hodes"/>
          <w:rtl/>
        </w:rPr>
        <w:instrText xml:space="preserve"> </w:instrText>
      </w:r>
      <w:r w:rsidRPr="001E56F5">
        <w:rPr>
          <w:rStyle w:val="af7"/>
          <w:rFonts w:eastAsia="Guttman Hodes" w:hint="cs"/>
        </w:rPr>
        <w:instrText>REF</w:instrText>
      </w:r>
      <w:r w:rsidRPr="001E56F5">
        <w:rPr>
          <w:rStyle w:val="af7"/>
          <w:rFonts w:eastAsia="Guttman Hodes" w:hint="cs"/>
          <w:rtl/>
        </w:rPr>
        <w:instrText xml:space="preserve"> _</w:instrText>
      </w:r>
      <w:r w:rsidRPr="001E56F5">
        <w:rPr>
          <w:rStyle w:val="af7"/>
          <w:rFonts w:eastAsia="Guttman Hodes" w:hint="cs"/>
        </w:rPr>
        <w:instrText>Ref63959126 \r \h</w:instrText>
      </w:r>
      <w:r w:rsidRPr="001E56F5">
        <w:rPr>
          <w:rStyle w:val="af7"/>
          <w:rFonts w:eastAsia="Guttman Hodes"/>
          <w:rtl/>
        </w:rPr>
        <w:instrText xml:space="preserve"> </w:instrText>
      </w:r>
      <w:r w:rsidRPr="001E56F5">
        <w:rPr>
          <w:rStyle w:val="af7"/>
          <w:rFonts w:eastAsia="Guttman Hodes"/>
          <w:rtl/>
        </w:rPr>
      </w:r>
      <w:r w:rsidRPr="001E56F5">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1E56F5">
        <w:rPr>
          <w:rStyle w:val="af7"/>
          <w:rFonts w:eastAsia="Guttman Hodes"/>
          <w:rtl/>
        </w:rPr>
        <w:fldChar w:fldCharType="end"/>
      </w:r>
      <w:r>
        <w:rPr>
          <w:rFonts w:hint="cs"/>
          <w:rtl/>
        </w:rPr>
        <w:t>.</w:t>
      </w:r>
      <w:bookmarkEnd w:id="15427"/>
    </w:p>
    <w:p w:rsidR="00F4065E" w:rsidRPr="001E56F5" w:rsidRDefault="00F4065E" w:rsidP="00F4065E">
      <w:pPr>
        <w:pStyle w:val="a3"/>
      </w:pPr>
      <w:bookmarkStart w:id="15429" w:name="_Toc64209479"/>
      <w:r>
        <w:rPr>
          <w:rFonts w:hint="cs"/>
          <w:rtl/>
        </w:rPr>
        <w:t>בי'האבי עזרי בראב"ד דאחר שאכל את הפירות פטור משבועהה דאינו בכלל שבועת הנוטלים</w:t>
      </w:r>
      <w:bookmarkEnd w:id="15429"/>
    </w:p>
    <w:p w:rsidR="00F4065E" w:rsidRDefault="00F4065E" w:rsidP="007E4E81">
      <w:pPr>
        <w:pStyle w:val="a0"/>
        <w:rPr>
          <w:rtl/>
        </w:rPr>
      </w:pPr>
      <w:r>
        <w:rPr>
          <w:rFonts w:hint="cs"/>
          <w:rtl/>
        </w:rPr>
        <w:t xml:space="preserve">וכתב </w:t>
      </w:r>
      <w:r w:rsidRPr="006C639C">
        <w:rPr>
          <w:rStyle w:val="af9"/>
          <w:rFonts w:hint="cs"/>
          <w:rtl/>
        </w:rPr>
        <w:t>האבי עזרי</w:t>
      </w:r>
      <w:r>
        <w:rPr>
          <w:rFonts w:hint="cs"/>
          <w:rtl/>
        </w:rPr>
        <w:t xml:space="preserve"> דלכן ס"ל </w:t>
      </w:r>
      <w:r w:rsidRPr="00EA2A0D">
        <w:rPr>
          <w:rStyle w:val="af9"/>
          <w:rFonts w:hint="cs"/>
          <w:rtl/>
        </w:rPr>
        <w:t>להראב"ד</w:t>
      </w:r>
      <w:r>
        <w:rPr>
          <w:rFonts w:hint="cs"/>
          <w:rtl/>
        </w:rPr>
        <w:t xml:space="preserve"> דאחר שכבר אכל את הפירות, ואי"ז חוב בשטר, אלא הוא צריך להוכיח שאינו חייב חיוב ממון להחזיר ליתומים את הפירות, בכה"ג אי"ז שבועת הנוטלים </w:t>
      </w:r>
      <w:r>
        <w:rPr>
          <w:rFonts w:hint="cs"/>
          <w:rtl/>
        </w:rPr>
        <w:lastRenderedPageBreak/>
        <w:t xml:space="preserve">כלל, והוא נאמן במיגו, וכתב </w:t>
      </w:r>
      <w:r w:rsidRPr="006C639C">
        <w:rPr>
          <w:rStyle w:val="af9"/>
          <w:rFonts w:hint="cs"/>
          <w:rtl/>
        </w:rPr>
        <w:t>האבי עזרי</w:t>
      </w:r>
      <w:r>
        <w:rPr>
          <w:rFonts w:hint="cs"/>
          <w:rtl/>
        </w:rPr>
        <w:t xml:space="preserve"> דכן מבואר להדיא </w:t>
      </w:r>
      <w:r w:rsidRPr="006C639C">
        <w:rPr>
          <w:rStyle w:val="af9"/>
          <w:rFonts w:hint="cs"/>
          <w:rtl/>
        </w:rPr>
        <w:t>ברמב"ן</w:t>
      </w:r>
      <w:r>
        <w:rPr>
          <w:rFonts w:hint="cs"/>
          <w:rtl/>
        </w:rPr>
        <w:t xml:space="preserve"> </w:t>
      </w:r>
      <w:r w:rsidRPr="00EA2A0D">
        <w:rPr>
          <w:rStyle w:val="af7"/>
          <w:rFonts w:eastAsia="Guttman Hodes" w:hint="cs"/>
          <w:rtl/>
        </w:rPr>
        <w:t xml:space="preserve">(עי' אות </w:t>
      </w:r>
      <w:r w:rsidRPr="00EA2A0D">
        <w:rPr>
          <w:rStyle w:val="af7"/>
          <w:rFonts w:eastAsia="Guttman Hodes"/>
          <w:rtl/>
        </w:rPr>
        <w:fldChar w:fldCharType="begin"/>
      </w:r>
      <w:r w:rsidRPr="00EA2A0D">
        <w:rPr>
          <w:rStyle w:val="af7"/>
          <w:rFonts w:eastAsia="Guttman Hodes"/>
          <w:rtl/>
        </w:rPr>
        <w:instrText xml:space="preserve"> </w:instrText>
      </w:r>
      <w:r w:rsidRPr="00EA2A0D">
        <w:rPr>
          <w:rStyle w:val="af7"/>
          <w:rFonts w:eastAsia="Guttman Hodes" w:hint="cs"/>
        </w:rPr>
        <w:instrText>REF</w:instrText>
      </w:r>
      <w:r w:rsidRPr="00EA2A0D">
        <w:rPr>
          <w:rStyle w:val="af7"/>
          <w:rFonts w:eastAsia="Guttman Hodes" w:hint="cs"/>
          <w:rtl/>
        </w:rPr>
        <w:instrText xml:space="preserve"> _</w:instrText>
      </w:r>
      <w:r w:rsidRPr="00EA2A0D">
        <w:rPr>
          <w:rStyle w:val="af7"/>
          <w:rFonts w:eastAsia="Guttman Hodes" w:hint="cs"/>
        </w:rPr>
        <w:instrText>Ref63958299 \r \h</w:instrText>
      </w:r>
      <w:r w:rsidRPr="00EA2A0D">
        <w:rPr>
          <w:rStyle w:val="af7"/>
          <w:rFonts w:eastAsia="Guttman Hodes"/>
          <w:rtl/>
        </w:rPr>
        <w:instrText xml:space="preserve"> </w:instrText>
      </w:r>
      <w:r w:rsidRPr="00EA2A0D">
        <w:rPr>
          <w:rStyle w:val="af7"/>
          <w:rFonts w:eastAsia="Guttman Hodes"/>
          <w:rtl/>
        </w:rPr>
      </w:r>
      <w:r w:rsidRPr="00EA2A0D">
        <w:rPr>
          <w:rStyle w:val="af7"/>
          <w:rFonts w:eastAsia="Guttman Hodes"/>
          <w:rtl/>
        </w:rPr>
        <w:fldChar w:fldCharType="separate"/>
      </w:r>
      <w:r w:rsidR="00265073">
        <w:rPr>
          <w:rStyle w:val="af7"/>
          <w:rFonts w:eastAsia="Guttman Hodes"/>
          <w:cs/>
        </w:rPr>
        <w:t>‎</w:t>
      </w:r>
      <w:r w:rsidR="00265073">
        <w:rPr>
          <w:rStyle w:val="af7"/>
          <w:rFonts w:eastAsia="Guttman Hodes"/>
          <w:rtl/>
        </w:rPr>
        <w:t>כו)</w:t>
      </w:r>
      <w:r w:rsidRPr="00EA2A0D">
        <w:rPr>
          <w:rStyle w:val="af7"/>
          <w:rFonts w:eastAsia="Guttman Hodes"/>
          <w:rtl/>
        </w:rPr>
        <w:fldChar w:fldCharType="end"/>
      </w:r>
      <w:r>
        <w:rPr>
          <w:rFonts w:hint="cs"/>
          <w:rtl/>
        </w:rPr>
        <w:t xml:space="preserve"> דלכן רצה רבא בר שרשום לאכול את הקרקע קודם, דעל מה שאכל כבר נאמן במיגו וא"צ להשבע.</w:t>
      </w:r>
      <w:bookmarkEnd w:id="15428"/>
    </w:p>
    <w:p w:rsidR="00F4065E" w:rsidRDefault="00F4065E" w:rsidP="00F4065E">
      <w:pPr>
        <w:pStyle w:val="a3"/>
        <w:rPr>
          <w:rtl/>
        </w:rPr>
      </w:pPr>
      <w:bookmarkStart w:id="15430" w:name="_Toc64209480"/>
      <w:r>
        <w:rPr>
          <w:rFonts w:hint="cs"/>
          <w:rtl/>
        </w:rPr>
        <w:t>דברי האבי עזרי דלהסוברים שחייב שבועה לאחר שגבה אי"ז מעיקר התקנה ולכן מהני מיגו</w:t>
      </w:r>
      <w:bookmarkEnd w:id="15430"/>
    </w:p>
    <w:p w:rsidR="00F4065E" w:rsidRDefault="00F4065E" w:rsidP="007E4E81">
      <w:pPr>
        <w:pStyle w:val="a0"/>
        <w:rPr>
          <w:rtl/>
        </w:rPr>
      </w:pPr>
      <w:r>
        <w:rPr>
          <w:rFonts w:hint="cs"/>
          <w:rtl/>
        </w:rPr>
        <w:t xml:space="preserve">וביאר </w:t>
      </w:r>
      <w:r w:rsidRPr="006C639C">
        <w:rPr>
          <w:rStyle w:val="af9"/>
          <w:rFonts w:hint="cs"/>
          <w:rtl/>
        </w:rPr>
        <w:t>האבי עזרי</w:t>
      </w:r>
      <w:r>
        <w:rPr>
          <w:rFonts w:hint="cs"/>
          <w:rtl/>
        </w:rPr>
        <w:t xml:space="preserve"> </w:t>
      </w:r>
      <w:r w:rsidRPr="001F279C">
        <w:rPr>
          <w:rStyle w:val="af7"/>
          <w:rFonts w:eastAsia="Guttman Hodes" w:hint="cs"/>
          <w:rtl/>
        </w:rPr>
        <w:t>(טו"נ פי"ד ה"ח</w:t>
      </w:r>
      <w:r>
        <w:rPr>
          <w:rStyle w:val="af7"/>
          <w:rFonts w:eastAsia="Guttman Hodes" w:hint="cs"/>
          <w:rtl/>
        </w:rPr>
        <w:t xml:space="preserve"> ד"ה אולם)</w:t>
      </w:r>
      <w:r>
        <w:rPr>
          <w:rFonts w:hint="cs"/>
          <w:rtl/>
        </w:rPr>
        <w:t xml:space="preserve"> דאף לדעת הסוברים שיש חיוב שבועה לאחר שגבה מהיתומים, מ"מ אי"ז מעיקר חיוב התקנה, אלא הוא כיון שיש ספק על הממון עצמו, וא"כ כשיש לו מיגו מהני הראיה של המיגו לברר כמו בכל ספק בממון.</w:t>
      </w:r>
    </w:p>
    <w:p w:rsidR="00F4065E" w:rsidRDefault="00F4065E" w:rsidP="00F4065E">
      <w:pPr>
        <w:pStyle w:val="a3"/>
        <w:rPr>
          <w:rtl/>
        </w:rPr>
      </w:pPr>
      <w:bookmarkStart w:id="15431" w:name="_Toc64209481"/>
      <w:r>
        <w:rPr>
          <w:rFonts w:hint="cs"/>
          <w:rtl/>
        </w:rPr>
        <w:t>ביאור האבי עזרי ברמב"ם דנאמן לגבות פירות שלא אכל דכשאין השני מוחזק לא חשיב נוטל</w:t>
      </w:r>
      <w:bookmarkEnd w:id="15431"/>
      <w:r>
        <w:rPr>
          <w:rFonts w:hint="cs"/>
          <w:rtl/>
        </w:rPr>
        <w:t xml:space="preserve"> </w:t>
      </w:r>
    </w:p>
    <w:p w:rsidR="00F4065E" w:rsidRDefault="00F4065E" w:rsidP="007E4E81">
      <w:pPr>
        <w:pStyle w:val="a0"/>
        <w:rPr>
          <w:rtl/>
        </w:rPr>
      </w:pPr>
      <w:r w:rsidRPr="000C0453">
        <w:rPr>
          <w:rFonts w:hint="cs"/>
          <w:rtl/>
        </w:rPr>
        <w:t>ועיי"ש במה שביאר</w:t>
      </w:r>
      <w:r>
        <w:rPr>
          <w:rFonts w:hint="cs"/>
          <w:rtl/>
        </w:rPr>
        <w:t xml:space="preserve"> </w:t>
      </w:r>
      <w:r w:rsidRPr="006C639C">
        <w:rPr>
          <w:rStyle w:val="af9"/>
          <w:rFonts w:hint="cs"/>
          <w:rtl/>
        </w:rPr>
        <w:t>האבי עזרי</w:t>
      </w:r>
      <w:r>
        <w:rPr>
          <w:rFonts w:hint="cs"/>
          <w:rtl/>
        </w:rPr>
        <w:t xml:space="preserve"> </w:t>
      </w:r>
      <w:r w:rsidRPr="001F279C">
        <w:rPr>
          <w:rStyle w:val="af7"/>
          <w:rFonts w:eastAsia="Guttman Hodes" w:hint="cs"/>
          <w:rtl/>
        </w:rPr>
        <w:t>(טו"נ פי"ד ה"</w:t>
      </w:r>
      <w:r w:rsidRPr="000C0453">
        <w:rPr>
          <w:rStyle w:val="af7"/>
          <w:rFonts w:eastAsia="Guttman Hodes" w:hint="cs"/>
          <w:rtl/>
        </w:rPr>
        <w:t>ח ד"ה והנה בדעת)</w:t>
      </w:r>
      <w:r>
        <w:rPr>
          <w:rFonts w:hint="cs"/>
          <w:rtl/>
        </w:rPr>
        <w:t xml:space="preserve"> </w:t>
      </w:r>
      <w:r w:rsidRPr="000C0453">
        <w:rPr>
          <w:rFonts w:hint="cs"/>
          <w:rtl/>
        </w:rPr>
        <w:t xml:space="preserve">בדעת </w:t>
      </w:r>
      <w:r w:rsidRPr="000A1704">
        <w:rPr>
          <w:rStyle w:val="af9"/>
          <w:rFonts w:hint="cs"/>
          <w:rtl/>
        </w:rPr>
        <w:t>הרמב"ם</w:t>
      </w:r>
      <w:r w:rsidRPr="00754329">
        <w:rPr>
          <w:rStyle w:val="af7"/>
          <w:rFonts w:eastAsia="Guttman Hodes" w:hint="cs"/>
          <w:rtl/>
        </w:rPr>
        <w:t xml:space="preserve"> (עי'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Ref63702464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754329">
        <w:rPr>
          <w:rStyle w:val="af7"/>
          <w:rFonts w:eastAsia="Guttman Hodes"/>
          <w:rtl/>
        </w:rPr>
        <w:fldChar w:fldCharType="end"/>
      </w:r>
      <w:r>
        <w:rPr>
          <w:rFonts w:hint="cs"/>
          <w:rtl/>
        </w:rPr>
        <w:t xml:space="preserve"> </w:t>
      </w:r>
      <w:r w:rsidRPr="000C0453">
        <w:rPr>
          <w:rFonts w:hint="cs"/>
          <w:rtl/>
        </w:rPr>
        <w:t xml:space="preserve">דס"ל דנאמן לגבות אף את הפירות שעדיין לא אכל, דס"ל </w:t>
      </w:r>
      <w:r w:rsidRPr="000C0453">
        <w:rPr>
          <w:rStyle w:val="af9"/>
          <w:rFonts w:hint="cs"/>
          <w:rtl/>
        </w:rPr>
        <w:t>להרמב"ם</w:t>
      </w:r>
      <w:r w:rsidRPr="000C0453">
        <w:rPr>
          <w:rFonts w:hint="cs"/>
          <w:rtl/>
        </w:rPr>
        <w:t xml:space="preserve"> דאם נוטל דבר שלו מרשות חבירו, שאין לחבירו חזקה בו, אי"ז נחשב לנוטל ולא נאמרה בכה"ג שבועת הנוטלין, עיי"ש בדבריו.</w:t>
      </w:r>
    </w:p>
    <w:p w:rsidR="00F4065E" w:rsidRPr="00A54719" w:rsidRDefault="00F4065E" w:rsidP="00F4065E">
      <w:pPr>
        <w:pStyle w:val="a3"/>
        <w:rPr>
          <w:rtl/>
        </w:rPr>
      </w:pPr>
    </w:p>
    <w:p w:rsidR="00F4065E" w:rsidRPr="00A54719" w:rsidRDefault="00F4065E" w:rsidP="00F4065E">
      <w:pPr>
        <w:pStyle w:val="a3"/>
        <w:rPr>
          <w:rtl/>
        </w:rPr>
      </w:pPr>
    </w:p>
    <w:p w:rsidR="00F4065E" w:rsidRPr="00A54719" w:rsidRDefault="00F4065E" w:rsidP="00F4065E">
      <w:pPr>
        <w:pStyle w:val="a3"/>
        <w:rPr>
          <w:rtl/>
        </w:rPr>
      </w:pPr>
    </w:p>
    <w:p w:rsidR="00F4065E" w:rsidRPr="00F600AE" w:rsidRDefault="00F4065E" w:rsidP="00F4065E">
      <w:pPr>
        <w:pStyle w:val="1"/>
        <w:rPr>
          <w:rtl/>
        </w:rPr>
      </w:pPr>
      <w:bookmarkStart w:id="15432" w:name="_Toc64205796"/>
      <w:bookmarkStart w:id="15433" w:name="_Toc64209482"/>
      <w:r>
        <w:rPr>
          <w:rFonts w:hint="cs"/>
          <w:rtl/>
        </w:rPr>
        <w:t>ביאור הקה"י</w:t>
      </w:r>
      <w:bookmarkEnd w:id="15432"/>
      <w:r>
        <w:rPr>
          <w:rFonts w:hint="cs"/>
          <w:rtl/>
        </w:rPr>
        <w:t xml:space="preserve"> דבנאמנות במיגו עם שטר אין את שבועת הגאונים</w:t>
      </w:r>
      <w:bookmarkEnd w:id="15433"/>
    </w:p>
    <w:p w:rsidR="00F4065E" w:rsidRDefault="00F4065E" w:rsidP="00F4065E">
      <w:pPr>
        <w:pStyle w:val="a3"/>
        <w:rPr>
          <w:rtl/>
        </w:rPr>
      </w:pPr>
      <w:bookmarkStart w:id="15434" w:name="_Toc64209483"/>
      <w:r>
        <w:rPr>
          <w:rFonts w:hint="cs"/>
          <w:rtl/>
        </w:rPr>
        <w:t>ביאור הקה"י דשבועת הגאונים היא רק במקום שכל הנאמנות היא מכח המיגו ולא ע"י השטר</w:t>
      </w:r>
      <w:bookmarkEnd w:id="15434"/>
    </w:p>
    <w:p w:rsidR="00F4065E" w:rsidRDefault="00F4065E" w:rsidP="007E4E81">
      <w:pPr>
        <w:pStyle w:val="a0"/>
        <w:rPr>
          <w:rtl/>
        </w:rPr>
      </w:pPr>
      <w:bookmarkStart w:id="15435" w:name="_Ref64208460"/>
      <w:r>
        <w:rPr>
          <w:rFonts w:hint="cs"/>
          <w:rtl/>
        </w:rPr>
        <w:t xml:space="preserve">במה שהקשה </w:t>
      </w:r>
      <w:r>
        <w:rPr>
          <w:rStyle w:val="af9"/>
          <w:rtl/>
        </w:rPr>
        <w:t>הראב"ד</w:t>
      </w:r>
      <w:r>
        <w:rPr>
          <w:rtl/>
        </w:rPr>
        <w:t xml:space="preserve"> </w:t>
      </w:r>
      <w:r w:rsidRPr="00EA2A0D">
        <w:rPr>
          <w:rStyle w:val="af7"/>
          <w:rFonts w:eastAsia="Guttman Hodes" w:hint="cs"/>
          <w:rtl/>
        </w:rPr>
        <w:t xml:space="preserve">(עי' אות </w:t>
      </w:r>
      <w:r w:rsidRPr="00EA2A0D">
        <w:rPr>
          <w:rStyle w:val="af7"/>
          <w:rFonts w:eastAsia="Guttman Hodes" w:hint="cs"/>
          <w:rtl/>
        </w:rPr>
        <w:fldChar w:fldCharType="begin"/>
      </w:r>
      <w:r w:rsidRPr="00EA2A0D">
        <w:rPr>
          <w:rStyle w:val="af7"/>
          <w:rFonts w:eastAsia="Guttman Hodes" w:hint="cs"/>
          <w:rtl/>
        </w:rPr>
        <w:instrText xml:space="preserve"> </w:instrText>
      </w:r>
      <w:r w:rsidRPr="00EA2A0D">
        <w:rPr>
          <w:rStyle w:val="af7"/>
          <w:rFonts w:eastAsia="Guttman Hodes"/>
        </w:rPr>
        <w:instrText>REF</w:instrText>
      </w:r>
      <w:r w:rsidRPr="00EA2A0D">
        <w:rPr>
          <w:rStyle w:val="af7"/>
          <w:rFonts w:eastAsia="Guttman Hodes" w:hint="cs"/>
          <w:rtl/>
        </w:rPr>
        <w:instrText xml:space="preserve"> _</w:instrText>
      </w:r>
      <w:r w:rsidRPr="00EA2A0D">
        <w:rPr>
          <w:rStyle w:val="af7"/>
          <w:rFonts w:eastAsia="Guttman Hodes"/>
        </w:rPr>
        <w:instrText>Ref63847642 \r \h</w:instrText>
      </w:r>
      <w:r w:rsidRPr="00EA2A0D">
        <w:rPr>
          <w:rStyle w:val="af7"/>
          <w:rFonts w:eastAsia="Guttman Hodes" w:hint="cs"/>
          <w:rtl/>
        </w:rPr>
        <w:instrText xml:space="preserve"> </w:instrText>
      </w:r>
      <w:r w:rsidRPr="00EA2A0D">
        <w:rPr>
          <w:rStyle w:val="af7"/>
          <w:rFonts w:eastAsia="Guttman Hodes" w:hint="cs"/>
          <w:rtl/>
        </w:rPr>
      </w:r>
      <w:r w:rsidRPr="00EA2A0D">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קיז</w:t>
      </w:r>
      <w:r w:rsidR="00265073">
        <w:rPr>
          <w:rStyle w:val="af7"/>
          <w:rFonts w:eastAsia="Guttman Hodes"/>
          <w:rtl/>
        </w:rPr>
        <w:t>)</w:t>
      </w:r>
      <w:r w:rsidRPr="00EA2A0D">
        <w:rPr>
          <w:rStyle w:val="af7"/>
          <w:rFonts w:eastAsia="Guttman Hodes" w:hint="cs"/>
          <w:rtl/>
        </w:rPr>
        <w:fldChar w:fldCharType="end"/>
      </w:r>
      <w:r>
        <w:rPr>
          <w:rFonts w:hint="cs"/>
          <w:rtl/>
        </w:rPr>
        <w:t xml:space="preserve"> על </w:t>
      </w:r>
      <w:r w:rsidRPr="000A1704">
        <w:rPr>
          <w:rStyle w:val="af9"/>
          <w:rFonts w:hint="cs"/>
          <w:rtl/>
        </w:rPr>
        <w:t>הרמב"ם</w:t>
      </w:r>
      <w:r w:rsidRPr="00754329">
        <w:rPr>
          <w:rStyle w:val="af7"/>
          <w:rFonts w:eastAsia="Guttman Hodes" w:hint="cs"/>
          <w:rtl/>
        </w:rPr>
        <w:t xml:space="preserve"> (עי' אות </w:t>
      </w:r>
      <w:r w:rsidRPr="00754329">
        <w:rPr>
          <w:rStyle w:val="af7"/>
          <w:rFonts w:eastAsia="Guttman Hodes"/>
          <w:rtl/>
        </w:rPr>
        <w:fldChar w:fldCharType="begin"/>
      </w:r>
      <w:r w:rsidRPr="00754329">
        <w:rPr>
          <w:rStyle w:val="af7"/>
          <w:rFonts w:eastAsia="Guttman Hodes"/>
          <w:rtl/>
        </w:rPr>
        <w:instrText xml:space="preserve"> </w:instrText>
      </w:r>
      <w:r w:rsidRPr="00754329">
        <w:rPr>
          <w:rStyle w:val="af7"/>
          <w:rFonts w:eastAsia="Guttman Hodes" w:hint="cs"/>
        </w:rPr>
        <w:instrText>REF</w:instrText>
      </w:r>
      <w:r w:rsidRPr="00754329">
        <w:rPr>
          <w:rStyle w:val="af7"/>
          <w:rFonts w:eastAsia="Guttman Hodes" w:hint="cs"/>
          <w:rtl/>
        </w:rPr>
        <w:instrText xml:space="preserve"> _</w:instrText>
      </w:r>
      <w:r w:rsidRPr="00754329">
        <w:rPr>
          <w:rStyle w:val="af7"/>
          <w:rFonts w:eastAsia="Guttman Hodes" w:hint="cs"/>
        </w:rPr>
        <w:instrText>Ref63702464 \r \h</w:instrText>
      </w:r>
      <w:r w:rsidRPr="00754329">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754329">
        <w:rPr>
          <w:rStyle w:val="af7"/>
          <w:rFonts w:eastAsia="Guttman Hodes"/>
          <w:rtl/>
        </w:rPr>
      </w:r>
      <w:r w:rsidRPr="00754329">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754329">
        <w:rPr>
          <w:rStyle w:val="af7"/>
          <w:rFonts w:eastAsia="Guttman Hodes"/>
          <w:rtl/>
        </w:rPr>
        <w:fldChar w:fldCharType="end"/>
      </w:r>
      <w:r w:rsidRPr="008C0FC3">
        <w:rPr>
          <w:rFonts w:hint="cs"/>
          <w:rtl/>
        </w:rPr>
        <w:t xml:space="preserve"> </w:t>
      </w:r>
      <w:r>
        <w:rPr>
          <w:rFonts w:hint="cs"/>
          <w:rtl/>
        </w:rPr>
        <w:t xml:space="preserve">דאינו יכול לגבות מלכתחילה את הפירות, במיגו בלי שבועה, דהא אף בנשבע על המשכון דעת </w:t>
      </w:r>
      <w:r w:rsidRPr="00AC7F9A">
        <w:rPr>
          <w:rStyle w:val="af9"/>
          <w:rFonts w:hint="cs"/>
          <w:rtl/>
        </w:rPr>
        <w:t>הגאונים</w:t>
      </w:r>
      <w:r>
        <w:rPr>
          <w:rFonts w:hint="cs"/>
          <w:rtl/>
        </w:rPr>
        <w:t xml:space="preserve"> שהוא נשבע ונוטל, והרי רבא בר שרשום רצה להפטר מהשבועה, כתב </w:t>
      </w:r>
      <w:r w:rsidRPr="003B7475">
        <w:rPr>
          <w:rStyle w:val="af9"/>
          <w:rFonts w:hint="cs"/>
          <w:rtl/>
        </w:rPr>
        <w:t xml:space="preserve">הקה"י </w:t>
      </w:r>
      <w:r w:rsidRPr="003B7475">
        <w:rPr>
          <w:rStyle w:val="af7"/>
          <w:rFonts w:eastAsia="Guttman Hodes" w:hint="cs"/>
          <w:rtl/>
        </w:rPr>
        <w:t xml:space="preserve">(סי' כ' או' א' ד"ה והנה מגוף) </w:t>
      </w:r>
      <w:r>
        <w:rPr>
          <w:rFonts w:hint="cs"/>
          <w:rtl/>
        </w:rPr>
        <w:t xml:space="preserve">דכ"מ דס"ל </w:t>
      </w:r>
      <w:r w:rsidRPr="00F600AE">
        <w:rPr>
          <w:rStyle w:val="af9"/>
          <w:rFonts w:hint="cs"/>
          <w:rtl/>
        </w:rPr>
        <w:t xml:space="preserve">להגאונים </w:t>
      </w:r>
      <w:r>
        <w:rPr>
          <w:rFonts w:hint="cs"/>
          <w:rtl/>
        </w:rPr>
        <w:t xml:space="preserve">דלא מהני מגו להפטר בנשבע על המשכון, היינו רק במקום דלולי המיגו לא היה נאמן כלל, וכל הנאמנות שלו היא מכח המיגו, ובכה"ג לא מהני המיגו לפוטרו מהשבועה, אבל רבא בר שרשום היה נאמן על עיקר החוב השני מכח שטר, וכל מה שהוא רצה להיות נאמן במיגו, הוא בכדי שלא יצטרך להשבע כדין הבא ליפרע מיתומים, וא"כ אפש"ל דבכה"ג אף לדעת </w:t>
      </w:r>
      <w:r w:rsidRPr="003B7475">
        <w:rPr>
          <w:rStyle w:val="af9"/>
          <w:rFonts w:hint="cs"/>
          <w:rtl/>
        </w:rPr>
        <w:t>הגאונים</w:t>
      </w:r>
      <w:r>
        <w:rPr>
          <w:rFonts w:hint="cs"/>
          <w:rtl/>
        </w:rPr>
        <w:t xml:space="preserve"> מהני המיגו לפוטרו מהשבועה.</w:t>
      </w:r>
      <w:bookmarkEnd w:id="15435"/>
    </w:p>
    <w:p w:rsidR="00F4065E" w:rsidRPr="00993430" w:rsidRDefault="00F4065E" w:rsidP="00F4065E">
      <w:pPr>
        <w:pStyle w:val="a3"/>
        <w:rPr>
          <w:rtl/>
        </w:rPr>
      </w:pPr>
      <w:bookmarkStart w:id="15436" w:name="_Toc64209484"/>
      <w:r>
        <w:rPr>
          <w:rFonts w:hint="cs"/>
          <w:rtl/>
        </w:rPr>
        <w:t>דברי הקה"י דכוונת הרמב"ם לומר דאף בחוב שאינו ע"י שטר והקרקע במשכון א"צ להשבע</w:t>
      </w:r>
      <w:bookmarkEnd w:id="15436"/>
    </w:p>
    <w:p w:rsidR="00E9459A" w:rsidRDefault="00F4065E" w:rsidP="007E4E81">
      <w:pPr>
        <w:pStyle w:val="a0"/>
        <w:rPr>
          <w:rtl/>
        </w:rPr>
        <w:sectPr w:rsidR="00E9459A" w:rsidSect="005049E2">
          <w:footerReference w:type="default" r:id="rId139"/>
          <w:type w:val="continuous"/>
          <w:pgSz w:w="11906" w:h="16838"/>
          <w:pgMar w:top="720" w:right="720" w:bottom="720" w:left="720" w:header="283" w:footer="283" w:gutter="0"/>
          <w:cols w:num="2" w:space="567"/>
          <w:titlePg/>
          <w:bidi/>
          <w:rtlGutter/>
          <w:docGrid w:linePitch="299"/>
        </w:sectPr>
      </w:pPr>
      <w:r>
        <w:rPr>
          <w:rFonts w:hint="cs"/>
          <w:rtl/>
        </w:rPr>
        <w:t xml:space="preserve">אך דחה </w:t>
      </w:r>
      <w:r w:rsidRPr="003B7475">
        <w:rPr>
          <w:rStyle w:val="af9"/>
          <w:rFonts w:hint="cs"/>
          <w:rtl/>
        </w:rPr>
        <w:t xml:space="preserve">הקה"י </w:t>
      </w:r>
      <w:r w:rsidRPr="009D34F7">
        <w:rPr>
          <w:rStyle w:val="af7"/>
          <w:rFonts w:eastAsia="Guttman Hodes" w:hint="cs"/>
          <w:rtl/>
        </w:rPr>
        <w:t>(סי' כ' או' א' ד"ה אלא)</w:t>
      </w:r>
      <w:r>
        <w:rPr>
          <w:rFonts w:hint="cs"/>
          <w:rtl/>
        </w:rPr>
        <w:t xml:space="preserve"> דמדברי </w:t>
      </w:r>
      <w:r w:rsidRPr="009C2449">
        <w:rPr>
          <w:rStyle w:val="af9"/>
          <w:rFonts w:hint="cs"/>
          <w:rtl/>
        </w:rPr>
        <w:t>הרמב"ם</w:t>
      </w:r>
      <w:r>
        <w:rPr>
          <w:rFonts w:hint="cs"/>
          <w:rtl/>
        </w:rPr>
        <w:t xml:space="preserve"> </w:t>
      </w:r>
      <w:r w:rsidRPr="009D34F7">
        <w:rPr>
          <w:rStyle w:val="af7"/>
          <w:rFonts w:eastAsia="Guttman Hodes" w:hint="cs"/>
          <w:rtl/>
        </w:rPr>
        <w:t xml:space="preserve">(עי' אות </w:t>
      </w:r>
      <w:r w:rsidRPr="009D34F7">
        <w:rPr>
          <w:rStyle w:val="af7"/>
          <w:rFonts w:eastAsia="Guttman Hodes"/>
          <w:rtl/>
        </w:rPr>
        <w:fldChar w:fldCharType="begin"/>
      </w:r>
      <w:r w:rsidRPr="009D34F7">
        <w:rPr>
          <w:rStyle w:val="af7"/>
          <w:rFonts w:eastAsia="Guttman Hodes"/>
          <w:rtl/>
        </w:rPr>
        <w:instrText xml:space="preserve"> </w:instrText>
      </w:r>
      <w:r w:rsidRPr="009D34F7">
        <w:rPr>
          <w:rStyle w:val="af7"/>
          <w:rFonts w:eastAsia="Guttman Hodes" w:hint="cs"/>
        </w:rPr>
        <w:instrText>REF</w:instrText>
      </w:r>
      <w:r w:rsidRPr="009D34F7">
        <w:rPr>
          <w:rStyle w:val="af7"/>
          <w:rFonts w:eastAsia="Guttman Hodes" w:hint="cs"/>
          <w:rtl/>
        </w:rPr>
        <w:instrText xml:space="preserve"> _</w:instrText>
      </w:r>
      <w:r w:rsidRPr="009D34F7">
        <w:rPr>
          <w:rStyle w:val="af7"/>
          <w:rFonts w:eastAsia="Guttman Hodes" w:hint="cs"/>
        </w:rPr>
        <w:instrText>Ref63702477 \r \h</w:instrText>
      </w:r>
      <w:r w:rsidRPr="009D34F7">
        <w:rPr>
          <w:rStyle w:val="af7"/>
          <w:rFonts w:eastAsia="Guttman Hodes"/>
          <w:rtl/>
        </w:rPr>
        <w:instrText xml:space="preserve">  \* </w:instrText>
      </w:r>
      <w:r w:rsidRPr="009D34F7">
        <w:rPr>
          <w:rStyle w:val="af7"/>
          <w:rFonts w:eastAsia="Guttman Hodes"/>
        </w:rPr>
        <w:instrText>MERGEFORMAT</w:instrText>
      </w:r>
      <w:r w:rsidRPr="009D34F7">
        <w:rPr>
          <w:rStyle w:val="af7"/>
          <w:rFonts w:eastAsia="Guttman Hodes"/>
          <w:rtl/>
        </w:rPr>
        <w:instrText xml:space="preserve"> </w:instrText>
      </w:r>
      <w:r w:rsidRPr="009D34F7">
        <w:rPr>
          <w:rStyle w:val="af7"/>
          <w:rFonts w:eastAsia="Guttman Hodes"/>
          <w:rtl/>
        </w:rPr>
      </w:r>
      <w:r w:rsidRPr="009D34F7">
        <w:rPr>
          <w:rStyle w:val="af7"/>
          <w:rFonts w:eastAsia="Guttman Hodes"/>
          <w:rtl/>
        </w:rPr>
        <w:fldChar w:fldCharType="separate"/>
      </w:r>
      <w:r w:rsidR="00265073">
        <w:rPr>
          <w:rStyle w:val="af7"/>
          <w:rFonts w:eastAsia="Guttman Hodes"/>
          <w:cs/>
        </w:rPr>
        <w:t>‎</w:t>
      </w:r>
      <w:r w:rsidR="00265073">
        <w:rPr>
          <w:rStyle w:val="af7"/>
          <w:rFonts w:eastAsia="Guttman Hodes"/>
          <w:rtl/>
        </w:rPr>
        <w:t>קי)</w:t>
      </w:r>
      <w:r w:rsidRPr="009D34F7">
        <w:rPr>
          <w:rStyle w:val="af7"/>
          <w:rFonts w:eastAsia="Guttman Hodes"/>
          <w:rtl/>
        </w:rPr>
        <w:fldChar w:fldCharType="end"/>
      </w:r>
      <w:r>
        <w:rPr>
          <w:rFonts w:hint="cs"/>
          <w:rtl/>
        </w:rPr>
        <w:t xml:space="preserve"> משמע דאף במקום שאין לו שטר, וכל הנאמנות שלו על החוב היא מחמת המיגו הוא ג"כ נאמן בלא שבועה, ועיי"ש במ"ש</w:t>
      </w:r>
      <w:r w:rsidRPr="00CC5280">
        <w:rPr>
          <w:rStyle w:val="af9"/>
          <w:rFonts w:hint="cs"/>
          <w:rtl/>
        </w:rPr>
        <w:t xml:space="preserve"> </w:t>
      </w:r>
      <w:r w:rsidRPr="003B7475">
        <w:rPr>
          <w:rStyle w:val="af9"/>
          <w:rFonts w:hint="cs"/>
          <w:rtl/>
        </w:rPr>
        <w:t xml:space="preserve">הקה"י </w:t>
      </w:r>
      <w:r w:rsidRPr="009D34F7">
        <w:rPr>
          <w:rStyle w:val="af7"/>
          <w:rFonts w:eastAsia="Guttman Hodes" w:hint="cs"/>
          <w:rtl/>
        </w:rPr>
        <w:t>(סי' כ' או' א' ד"ה ולכאו')</w:t>
      </w:r>
      <w:r>
        <w:rPr>
          <w:rFonts w:hint="cs"/>
          <w:rtl/>
        </w:rPr>
        <w:t xml:space="preserve"> דאפש"ל דבסוגיין ס"ל </w:t>
      </w:r>
      <w:r w:rsidRPr="00D56C80">
        <w:rPr>
          <w:rStyle w:val="af9"/>
          <w:rFonts w:hint="cs"/>
          <w:rtl/>
        </w:rPr>
        <w:t>להרמב"ם</w:t>
      </w:r>
      <w:r>
        <w:rPr>
          <w:rFonts w:hint="cs"/>
          <w:rtl/>
        </w:rPr>
        <w:t xml:space="preserve"> דנאמן במיגו כיון שיש לו שטר, והא דכתב </w:t>
      </w:r>
      <w:r w:rsidRPr="00D56C80">
        <w:rPr>
          <w:rStyle w:val="af9"/>
          <w:rFonts w:hint="cs"/>
          <w:rtl/>
        </w:rPr>
        <w:t>הרמב"ם</w:t>
      </w:r>
      <w:r>
        <w:rPr>
          <w:rFonts w:hint="cs"/>
          <w:rtl/>
        </w:rPr>
        <w:t xml:space="preserve"> דנאמן בכל חוב, היינו באופן שטוען שהקרקע עצמה ממושכנת לו עבור החוב, ובכה"ג ס"ל </w:t>
      </w:r>
      <w:r w:rsidRPr="00D56C80">
        <w:rPr>
          <w:rStyle w:val="af9"/>
          <w:rFonts w:hint="cs"/>
          <w:rtl/>
        </w:rPr>
        <w:t>להרמב"ם</w:t>
      </w:r>
      <w:r>
        <w:rPr>
          <w:rFonts w:hint="cs"/>
          <w:rtl/>
        </w:rPr>
        <w:t xml:space="preserve"> דאינו נחשב לנוטל כיון שהקרקע משועבדת לו לפירות ולכן הוא נאמן במיגו להפטר מהשבועה.</w:t>
      </w:r>
    </w:p>
    <w:p w:rsidR="00F4065E" w:rsidRDefault="00F4065E" w:rsidP="007E4E81">
      <w:pPr>
        <w:pStyle w:val="a0"/>
        <w:sectPr w:rsidR="00F4065E" w:rsidSect="005049E2">
          <w:type w:val="continuous"/>
          <w:pgSz w:w="11906" w:h="16838"/>
          <w:pgMar w:top="720" w:right="720" w:bottom="720" w:left="720" w:header="283" w:footer="283" w:gutter="0"/>
          <w:cols w:num="2" w:space="567"/>
          <w:titlePg/>
          <w:bidi/>
          <w:rtlGutter/>
          <w:docGrid w:linePitch="299"/>
        </w:sectPr>
      </w:pPr>
    </w:p>
    <w:p w:rsidR="00103C1B" w:rsidRDefault="00103C1B" w:rsidP="00103C1B">
      <w:pPr>
        <w:pStyle w:val="afd"/>
        <w:rPr>
          <w:rtl/>
        </w:rPr>
      </w:pPr>
      <w:bookmarkStart w:id="15437" w:name="_Toc64407306"/>
      <w:bookmarkStart w:id="15438" w:name="_Toc64454539"/>
      <w:bookmarkStart w:id="15439" w:name="_Toc64458627"/>
      <w:bookmarkStart w:id="15440" w:name="_Toc64549004"/>
      <w:bookmarkStart w:id="15441" w:name="_Toc64576165"/>
      <w:bookmarkStart w:id="15442" w:name="_Toc64588750"/>
      <w:bookmarkStart w:id="15443" w:name="_Toc64629341"/>
      <w:bookmarkStart w:id="15444" w:name="_Toc64642804"/>
      <w:bookmarkStart w:id="15445" w:name="_Toc66209227"/>
      <w:r w:rsidRPr="00C03D92">
        <w:rPr>
          <w:rFonts w:hint="cs"/>
          <w:rtl/>
        </w:rPr>
        <w:lastRenderedPageBreak/>
        <w:t xml:space="preserve">סימן </w:t>
      </w:r>
      <w:r>
        <w:rPr>
          <w:rFonts w:hint="cs"/>
          <w:rtl/>
        </w:rPr>
        <w:t>ט"ז</w:t>
      </w:r>
      <w:bookmarkEnd w:id="15437"/>
      <w:bookmarkEnd w:id="15438"/>
      <w:bookmarkEnd w:id="15439"/>
      <w:bookmarkEnd w:id="15440"/>
      <w:bookmarkEnd w:id="15441"/>
      <w:bookmarkEnd w:id="15442"/>
      <w:bookmarkEnd w:id="15443"/>
      <w:bookmarkEnd w:id="15444"/>
      <w:bookmarkEnd w:id="15445"/>
    </w:p>
    <w:p w:rsidR="00103C1B" w:rsidRPr="00C03D92" w:rsidRDefault="00103C1B" w:rsidP="00103C1B">
      <w:pPr>
        <w:pStyle w:val="afd"/>
        <w:rPr>
          <w:rFonts w:ascii="FrankRuehl" w:hAnsi="FrankRuehl"/>
          <w:b/>
          <w:noProof/>
          <w:rtl/>
        </w:rPr>
      </w:pPr>
      <w:bookmarkStart w:id="15446" w:name="_Toc64407307"/>
      <w:bookmarkStart w:id="15447" w:name="_Toc64454540"/>
      <w:bookmarkStart w:id="15448" w:name="_Toc64458628"/>
      <w:bookmarkStart w:id="15449" w:name="_Toc64549005"/>
      <w:bookmarkStart w:id="15450" w:name="_Toc64576166"/>
      <w:bookmarkStart w:id="15451" w:name="_Toc64588751"/>
      <w:bookmarkStart w:id="15452" w:name="_Toc64629342"/>
      <w:bookmarkStart w:id="15453" w:name="_Toc64642805"/>
      <w:bookmarkStart w:id="15454" w:name="_Toc66209228"/>
      <w:r>
        <w:rPr>
          <w:rFonts w:ascii="FrankRuehl" w:hAnsi="FrankRuehl" w:hint="cs"/>
          <w:b/>
          <w:noProof/>
          <w:rtl/>
        </w:rPr>
        <w:t>בסוגיא דקריביה דרב אידי</w:t>
      </w:r>
      <w:bookmarkEnd w:id="15446"/>
      <w:bookmarkEnd w:id="15447"/>
      <w:bookmarkEnd w:id="15448"/>
      <w:bookmarkEnd w:id="15449"/>
      <w:bookmarkEnd w:id="15450"/>
      <w:bookmarkEnd w:id="15451"/>
      <w:bookmarkEnd w:id="15452"/>
      <w:bookmarkEnd w:id="15453"/>
      <w:bookmarkEnd w:id="15454"/>
    </w:p>
    <w:p w:rsidR="00103C1B" w:rsidRDefault="00103C1B" w:rsidP="00103C1B">
      <w:pPr>
        <w:pStyle w:val="aff4"/>
      </w:pPr>
      <w:r>
        <w:rPr>
          <w:rFonts w:hint="cs"/>
          <w:noProof/>
          <w:rtl/>
        </w:rPr>
        <w:t>~~~~~~~</w:t>
      </w:r>
      <w:r>
        <w:rPr>
          <w:rFonts w:hint="cs"/>
          <w:rtl/>
        </w:rPr>
        <w:t xml:space="preserve"> תוכן הענינים </w:t>
      </w:r>
      <w:r>
        <w:rPr>
          <w:rFonts w:hint="cs"/>
          <w:noProof/>
          <w:rtl/>
        </w:rPr>
        <w:t>~~~~~~~</w:t>
      </w:r>
    </w:p>
    <w:p w:rsidR="00103C1B" w:rsidRDefault="00103C1B" w:rsidP="00103C1B">
      <w:pPr>
        <w:bidi w:val="0"/>
        <w:spacing w:line="240" w:lineRule="auto"/>
        <w:ind w:left="0"/>
        <w:jc w:val="left"/>
        <w:rPr>
          <w:rFonts w:ascii="Guttman Hodes" w:eastAsia="Guttman Hodes" w:hAnsi="Guttman Hodes" w:cs="Guttman Hodes"/>
          <w:b/>
          <w:bCs/>
          <w:sz w:val="18"/>
          <w:szCs w:val="18"/>
          <w:rtl/>
        </w:rPr>
        <w:sectPr w:rsidR="00103C1B" w:rsidSect="00103C1B">
          <w:headerReference w:type="default" r:id="rId140"/>
          <w:pgSz w:w="11906" w:h="16838"/>
          <w:pgMar w:top="720" w:right="720" w:bottom="720" w:left="720" w:header="283" w:footer="283" w:gutter="0"/>
          <w:cols w:space="720"/>
          <w:bidi/>
          <w:rtlGutter/>
        </w:sectPr>
      </w:pPr>
    </w:p>
    <w:p w:rsidR="00103C1B" w:rsidRDefault="00103C1B" w:rsidP="00103C1B">
      <w:pPr>
        <w:pStyle w:val="2"/>
        <w:rPr>
          <w:rFonts w:eastAsiaTheme="minorEastAsia" w:cstheme="minorBidi"/>
          <w:i/>
          <w:iCs/>
          <w:sz w:val="22"/>
          <w:szCs w:val="22"/>
          <w:rtl/>
        </w:rPr>
      </w:pPr>
      <w:r>
        <w:rPr>
          <w:i/>
          <w:i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i/>
          <w:iCs/>
          <w:rtl/>
        </w:rPr>
        <w:fldChar w:fldCharType="separate"/>
      </w:r>
      <w:r>
        <w:rPr>
          <w:rtl/>
        </w:rPr>
        <w:t>גי' הרשב"ם דהודה דרב אידי קרוב טפי</w:t>
      </w:r>
    </w:p>
    <w:p w:rsidR="00103C1B" w:rsidRDefault="00103C1B" w:rsidP="00103C1B">
      <w:pPr>
        <w:pStyle w:val="aff4"/>
        <w:rPr>
          <w:rFonts w:eastAsiaTheme="minorEastAsia" w:cstheme="minorBidi"/>
          <w:i/>
          <w:iCs/>
          <w:noProof/>
          <w:sz w:val="22"/>
          <w:szCs w:val="22"/>
          <w:rtl/>
        </w:rPr>
      </w:pPr>
      <w:r>
        <w:rPr>
          <w:noProof/>
          <w:rtl/>
        </w:rPr>
        <w:t>דברי הרשב"ם דההוא גברא הודה שרב אידי קרוב יותר ממנו</w:t>
      </w:r>
    </w:p>
    <w:p w:rsidR="00103C1B" w:rsidRPr="007E4E81" w:rsidRDefault="00103C1B" w:rsidP="00BA3263">
      <w:pPr>
        <w:pStyle w:val="a"/>
        <w:numPr>
          <w:ilvl w:val="0"/>
          <w:numId w:val="33"/>
        </w:numPr>
        <w:rPr>
          <w:rFonts w:eastAsiaTheme="minorEastAsia" w:cstheme="minorBidi"/>
          <w:sz w:val="22"/>
          <w:szCs w:val="22"/>
          <w:rtl/>
        </w:rPr>
      </w:pPr>
      <w:r>
        <w:rPr>
          <w:rtl/>
        </w:rPr>
        <w:t>דברי הרשב"ם דכשלא היה ידוע מי הקרוב החזיק ההוא גברא בדקל מדין כל דאלים גבר</w:t>
      </w:r>
    </w:p>
    <w:p w:rsidR="00103C1B" w:rsidRDefault="00103C1B" w:rsidP="007E4E81">
      <w:pPr>
        <w:pStyle w:val="a"/>
        <w:rPr>
          <w:rFonts w:eastAsiaTheme="minorEastAsia" w:cstheme="minorBidi"/>
          <w:sz w:val="22"/>
          <w:szCs w:val="22"/>
          <w:rtl/>
        </w:rPr>
      </w:pPr>
      <w:r>
        <w:rPr>
          <w:rtl/>
        </w:rPr>
        <w:t>דברי הרשב"ם דאחר שנה או שנתיים שהחזיק ההוא גברא בדקל הודה שרב אידי קרוב יותר</w:t>
      </w:r>
    </w:p>
    <w:p w:rsidR="00103C1B" w:rsidRDefault="00103C1B" w:rsidP="007E4E81">
      <w:pPr>
        <w:pStyle w:val="a"/>
        <w:rPr>
          <w:rtl/>
        </w:rPr>
      </w:pPr>
      <w:r>
        <w:rPr>
          <w:rFonts w:hint="cs"/>
          <w:rtl/>
        </w:rPr>
        <w:t>דברי הבה"ג דרב חסדא העמיד בתחילה בידי ההוא גברא ואחר שהודה העמידה בידי רב אידי</w:t>
      </w:r>
    </w:p>
    <w:p w:rsidR="00103C1B" w:rsidRDefault="00103C1B" w:rsidP="007E4E81">
      <w:pPr>
        <w:pStyle w:val="a"/>
        <w:rPr>
          <w:rFonts w:eastAsiaTheme="minorEastAsia" w:cstheme="minorBidi"/>
          <w:sz w:val="22"/>
          <w:szCs w:val="22"/>
          <w:rtl/>
        </w:rPr>
      </w:pPr>
      <w:r>
        <w:rPr>
          <w:rtl/>
        </w:rPr>
        <w:t>בי' הרשב"ם ברב חסדא דא"צ להחזיר את הפירות דזכה בדקל בכדא"ג ונתנו מדעתו לרב אידי</w:t>
      </w:r>
    </w:p>
    <w:p w:rsidR="00103C1B" w:rsidRDefault="00103C1B" w:rsidP="007E4E81">
      <w:pPr>
        <w:pStyle w:val="a"/>
        <w:rPr>
          <w:rFonts w:eastAsiaTheme="minorEastAsia" w:cstheme="minorBidi"/>
          <w:sz w:val="22"/>
          <w:szCs w:val="22"/>
          <w:rtl/>
        </w:rPr>
      </w:pPr>
      <w:r>
        <w:rPr>
          <w:rtl/>
        </w:rPr>
        <w:t>דברי רבינו גרשום דכיון שזכה ההוא גברא בפירות מדין כדא"ג לכן א"צ להחזירם לרב אידי</w:t>
      </w:r>
    </w:p>
    <w:p w:rsidR="00103C1B" w:rsidRDefault="00103C1B" w:rsidP="007E4E81">
      <w:pPr>
        <w:pStyle w:val="a"/>
        <w:rPr>
          <w:rFonts w:eastAsiaTheme="minorEastAsia" w:cstheme="minorBidi"/>
          <w:sz w:val="22"/>
          <w:szCs w:val="22"/>
          <w:rtl/>
        </w:rPr>
      </w:pPr>
      <w:r>
        <w:rPr>
          <w:rtl/>
        </w:rPr>
        <w:t>ביאור הרשב"ם באביי ורבא דכיון שהודה א"כ מה שהחזיק בפירות היה שלא כדין וצריך להחזיר</w:t>
      </w:r>
    </w:p>
    <w:p w:rsidR="00103C1B" w:rsidRDefault="00103C1B" w:rsidP="00103C1B">
      <w:pPr>
        <w:pStyle w:val="2"/>
        <w:rPr>
          <w:rFonts w:eastAsiaTheme="minorEastAsia" w:cstheme="minorBidi"/>
          <w:i/>
          <w:iCs/>
          <w:sz w:val="22"/>
          <w:szCs w:val="22"/>
          <w:rtl/>
        </w:rPr>
      </w:pPr>
      <w:r>
        <w:rPr>
          <w:rtl/>
        </w:rPr>
        <w:t>בד' הרשב"ם דהודה וא"צ להחזיר פירות</w:t>
      </w:r>
    </w:p>
    <w:p w:rsidR="00103C1B" w:rsidRDefault="00103C1B" w:rsidP="00103C1B">
      <w:pPr>
        <w:pStyle w:val="aff4"/>
        <w:rPr>
          <w:rFonts w:eastAsiaTheme="minorEastAsia" w:cstheme="minorBidi"/>
          <w:i/>
          <w:iCs/>
          <w:noProof/>
          <w:sz w:val="22"/>
          <w:szCs w:val="22"/>
          <w:rtl/>
        </w:rPr>
      </w:pPr>
      <w:r>
        <w:rPr>
          <w:noProof/>
          <w:rtl/>
        </w:rPr>
        <w:t>קושית התורא"ש על הרשב"ם דכיון שהודה ודאי צריך להחזיר</w:t>
      </w:r>
    </w:p>
    <w:p w:rsidR="00103C1B" w:rsidRDefault="00103C1B" w:rsidP="007E4E81">
      <w:pPr>
        <w:pStyle w:val="a"/>
        <w:rPr>
          <w:rFonts w:eastAsiaTheme="minorEastAsia" w:cstheme="minorBidi"/>
          <w:sz w:val="22"/>
          <w:szCs w:val="22"/>
          <w:rtl/>
        </w:rPr>
      </w:pPr>
      <w:r>
        <w:rPr>
          <w:rtl/>
        </w:rPr>
        <w:t>קושית התוס' הרא"ש על הרשב"ם דמאי ס"ל לרב חסדא הא הודה שאכל את הפירות בגזל</w:t>
      </w:r>
    </w:p>
    <w:p w:rsidR="00103C1B" w:rsidRDefault="00103C1B" w:rsidP="00103C1B">
      <w:pPr>
        <w:pStyle w:val="aff4"/>
        <w:rPr>
          <w:rFonts w:eastAsiaTheme="minorEastAsia" w:cstheme="minorBidi"/>
          <w:i/>
          <w:iCs/>
          <w:noProof/>
          <w:sz w:val="22"/>
          <w:szCs w:val="22"/>
          <w:rtl/>
        </w:rPr>
      </w:pPr>
      <w:r>
        <w:rPr>
          <w:noProof/>
          <w:rtl/>
        </w:rPr>
        <w:t>דברי השו"מ דמוכח ברשב"ם כמהריב"ל דהודאת בע"ד כמתנה</w:t>
      </w:r>
    </w:p>
    <w:p w:rsidR="00103C1B" w:rsidRDefault="00103C1B" w:rsidP="007E4E81">
      <w:pPr>
        <w:pStyle w:val="a"/>
        <w:rPr>
          <w:rFonts w:eastAsiaTheme="minorEastAsia" w:cstheme="minorBidi"/>
          <w:sz w:val="22"/>
          <w:szCs w:val="22"/>
          <w:rtl/>
        </w:rPr>
      </w:pPr>
      <w:r>
        <w:rPr>
          <w:rtl/>
        </w:rPr>
        <w:t>ביאור השו"מ דס"ל להרשב"ם כמהריב"ל דהודאת בע"ד הוא כמתנה וא"צ להחזיר את הפירות</w:t>
      </w:r>
    </w:p>
    <w:p w:rsidR="00103C1B" w:rsidRDefault="00103C1B" w:rsidP="007E4E81">
      <w:pPr>
        <w:pStyle w:val="a"/>
        <w:rPr>
          <w:rFonts w:eastAsiaTheme="minorEastAsia" w:cstheme="minorBidi"/>
          <w:sz w:val="22"/>
          <w:szCs w:val="22"/>
          <w:rtl/>
        </w:rPr>
      </w:pPr>
      <w:r>
        <w:rPr>
          <w:rtl/>
        </w:rPr>
        <w:t>דברי השו"מ דהקצוה"ח דהודאת בע"ד הוא נאמנות חשיב שהעיד דהדקל והפירות של רב אידי</w:t>
      </w:r>
    </w:p>
    <w:p w:rsidR="00103C1B" w:rsidRDefault="00103C1B" w:rsidP="007E4E81">
      <w:pPr>
        <w:pStyle w:val="a"/>
        <w:rPr>
          <w:rFonts w:eastAsiaTheme="minorEastAsia" w:cstheme="minorBidi"/>
          <w:sz w:val="22"/>
          <w:szCs w:val="22"/>
          <w:rtl/>
        </w:rPr>
      </w:pPr>
      <w:r>
        <w:rPr>
          <w:rtl/>
        </w:rPr>
        <w:t>דברי הצ"פ דרב חסדא ס"ל דהודאת בע"ד הוא חיוב חדש להבא ולאביי ורבא חייב אף למפרע</w:t>
      </w:r>
    </w:p>
    <w:p w:rsidR="00103C1B" w:rsidRDefault="00103C1B" w:rsidP="00103C1B">
      <w:pPr>
        <w:pStyle w:val="aff4"/>
        <w:rPr>
          <w:rFonts w:eastAsiaTheme="minorEastAsia" w:cstheme="minorBidi"/>
          <w:i/>
          <w:iCs/>
          <w:noProof/>
          <w:sz w:val="22"/>
          <w:szCs w:val="22"/>
          <w:rtl/>
        </w:rPr>
      </w:pPr>
      <w:r>
        <w:rPr>
          <w:noProof/>
          <w:rtl/>
        </w:rPr>
        <w:t>ביאור הפנ"ש ברשב"ם דבהודאת בע"ד לא בטל הכדא"ג למפרע</w:t>
      </w:r>
    </w:p>
    <w:p w:rsidR="00103C1B" w:rsidRDefault="00103C1B" w:rsidP="007E4E81">
      <w:pPr>
        <w:pStyle w:val="a"/>
        <w:rPr>
          <w:rFonts w:eastAsiaTheme="minorEastAsia" w:cstheme="minorBidi"/>
          <w:sz w:val="22"/>
          <w:szCs w:val="22"/>
          <w:rtl/>
        </w:rPr>
      </w:pPr>
      <w:r>
        <w:rPr>
          <w:rtl/>
        </w:rPr>
        <w:t>ביאור הפנ"ש ברשב"ם דההוא גברא זכה בפירות מדין כדא"ג ואיירי דאחר שהודה וחזר בו</w:t>
      </w:r>
    </w:p>
    <w:p w:rsidR="00103C1B" w:rsidRDefault="00103C1B" w:rsidP="007E4E81">
      <w:pPr>
        <w:pStyle w:val="a"/>
        <w:rPr>
          <w:rFonts w:eastAsiaTheme="minorEastAsia" w:cstheme="minorBidi"/>
          <w:sz w:val="22"/>
          <w:szCs w:val="22"/>
          <w:rtl/>
        </w:rPr>
      </w:pPr>
      <w:r>
        <w:rPr>
          <w:rtl/>
        </w:rPr>
        <w:t>ביאור הפנ"ש ברשב"ם דרב חסדא ס"ל כבית שמואל דהודאת בע"ד ל"מ למפרע ולאביי מהני</w:t>
      </w:r>
    </w:p>
    <w:p w:rsidR="00103C1B" w:rsidRDefault="00103C1B" w:rsidP="00103C1B">
      <w:pPr>
        <w:pStyle w:val="aff4"/>
        <w:rPr>
          <w:rFonts w:eastAsiaTheme="minorEastAsia" w:cstheme="minorBidi"/>
          <w:i/>
          <w:iCs/>
          <w:noProof/>
          <w:sz w:val="22"/>
          <w:szCs w:val="22"/>
          <w:rtl/>
        </w:rPr>
      </w:pPr>
      <w:r>
        <w:rPr>
          <w:noProof/>
          <w:rtl/>
        </w:rPr>
        <w:t>ביאור החת"ס ברשב"ם דל</w:t>
      </w:r>
      <w:r>
        <w:rPr>
          <w:rFonts w:hint="cs"/>
          <w:noProof/>
          <w:rtl/>
        </w:rPr>
        <w:t>ר</w:t>
      </w:r>
      <w:r>
        <w:rPr>
          <w:noProof/>
          <w:rtl/>
        </w:rPr>
        <w:t>ב חסדא רב אידי התייאש מהפירות</w:t>
      </w:r>
    </w:p>
    <w:p w:rsidR="00103C1B" w:rsidRDefault="00103C1B" w:rsidP="007E4E81">
      <w:pPr>
        <w:pStyle w:val="a"/>
        <w:rPr>
          <w:rFonts w:eastAsiaTheme="minorEastAsia" w:cstheme="minorBidi"/>
          <w:sz w:val="22"/>
          <w:szCs w:val="22"/>
          <w:rtl/>
        </w:rPr>
      </w:pPr>
      <w:r>
        <w:rPr>
          <w:rtl/>
        </w:rPr>
        <w:t>דברי החת"ס דמהא דהוצרך רב חסדא להעמיד בידי רב אידי מוכח דהוא התייאש מהקרקע</w:t>
      </w:r>
    </w:p>
    <w:p w:rsidR="00103C1B" w:rsidRDefault="00103C1B" w:rsidP="00103C1B">
      <w:pPr>
        <w:pStyle w:val="2"/>
        <w:rPr>
          <w:rFonts w:eastAsiaTheme="minorEastAsia" w:cstheme="minorBidi"/>
          <w:i/>
          <w:iCs/>
          <w:sz w:val="22"/>
          <w:szCs w:val="22"/>
          <w:rtl/>
        </w:rPr>
      </w:pPr>
      <w:r>
        <w:rPr>
          <w:rtl/>
        </w:rPr>
        <w:t>ביאור הרשב"א ברשב"ם דשניהם קרובים</w:t>
      </w:r>
    </w:p>
    <w:p w:rsidR="00103C1B" w:rsidRDefault="00103C1B" w:rsidP="00103C1B">
      <w:pPr>
        <w:pStyle w:val="aff4"/>
        <w:rPr>
          <w:rFonts w:eastAsiaTheme="minorEastAsia" w:cstheme="minorBidi"/>
          <w:i/>
          <w:iCs/>
          <w:noProof/>
          <w:sz w:val="22"/>
          <w:szCs w:val="22"/>
          <w:rtl/>
        </w:rPr>
      </w:pPr>
      <w:r>
        <w:rPr>
          <w:noProof/>
          <w:rtl/>
        </w:rPr>
        <w:t>בי' הרשב"א ברשב"ם דההוא גברא הודה שאף רב אידי קרוב</w:t>
      </w:r>
    </w:p>
    <w:p w:rsidR="00103C1B" w:rsidRDefault="00103C1B" w:rsidP="007E4E81">
      <w:pPr>
        <w:pStyle w:val="a"/>
        <w:rPr>
          <w:rFonts w:eastAsiaTheme="minorEastAsia" w:cstheme="minorBidi"/>
          <w:sz w:val="22"/>
          <w:szCs w:val="22"/>
          <w:rtl/>
        </w:rPr>
      </w:pPr>
      <w:r>
        <w:rPr>
          <w:rtl/>
        </w:rPr>
        <w:t>ביאור הרשב"א ברשב"ם דהודה שאף רב אידי קרוב וא"כ הוא ודאי יורש וההוא גברא כמוציא</w:t>
      </w:r>
    </w:p>
    <w:p w:rsidR="00103C1B" w:rsidRDefault="00103C1B" w:rsidP="007E4E81">
      <w:pPr>
        <w:pStyle w:val="a"/>
        <w:rPr>
          <w:rFonts w:eastAsiaTheme="minorEastAsia" w:cstheme="minorBidi"/>
          <w:sz w:val="22"/>
          <w:szCs w:val="22"/>
          <w:rtl/>
        </w:rPr>
      </w:pPr>
      <w:r>
        <w:rPr>
          <w:rtl/>
        </w:rPr>
        <w:t>ביאור הרשב"א ברשב"ם דלרב חסדא בפירות שאינם לפנינו נאמן בהפה שאסר דהם בחזקתו</w:t>
      </w:r>
    </w:p>
    <w:p w:rsidR="00103C1B" w:rsidRDefault="00103C1B" w:rsidP="007E4E81">
      <w:pPr>
        <w:pStyle w:val="a"/>
        <w:rPr>
          <w:rFonts w:eastAsiaTheme="minorEastAsia" w:cstheme="minorBidi"/>
          <w:sz w:val="22"/>
          <w:szCs w:val="22"/>
          <w:rtl/>
        </w:rPr>
      </w:pPr>
      <w:r>
        <w:rPr>
          <w:rtl/>
        </w:rPr>
        <w:t>קו' הרשב"א על הרשב"ם דאף בדקל זכה רב אידי מכח הודאתו וא"כ ודאי דנאמן בהפה שאסר</w:t>
      </w:r>
    </w:p>
    <w:p w:rsidR="00103C1B" w:rsidRDefault="00103C1B" w:rsidP="007E4E81">
      <w:pPr>
        <w:pStyle w:val="a"/>
        <w:rPr>
          <w:rFonts w:eastAsiaTheme="minorEastAsia" w:cstheme="minorBidi"/>
          <w:sz w:val="22"/>
          <w:szCs w:val="22"/>
          <w:rtl/>
        </w:rPr>
      </w:pPr>
      <w:r>
        <w:rPr>
          <w:rtl/>
        </w:rPr>
        <w:t>דברי הרשב"א דאפש"ל דלרשב"ם דמי לספק ובני יבם דחולקין כיון דבני היבם הם ודאי</w:t>
      </w:r>
    </w:p>
    <w:p w:rsidR="00103C1B" w:rsidRDefault="00103C1B" w:rsidP="007E4E81">
      <w:pPr>
        <w:pStyle w:val="a"/>
        <w:rPr>
          <w:rFonts w:eastAsiaTheme="minorEastAsia" w:cstheme="minorBidi"/>
          <w:sz w:val="22"/>
          <w:szCs w:val="22"/>
          <w:rtl/>
        </w:rPr>
      </w:pPr>
      <w:r>
        <w:rPr>
          <w:rtl/>
        </w:rPr>
        <w:t>דחיית הרשב"א דהתם הספק ידוע אבל הכא רק מחמת ההודאה זכה רב אידי ואינו כודאי</w:t>
      </w:r>
    </w:p>
    <w:p w:rsidR="00103C1B" w:rsidRDefault="00103C1B" w:rsidP="00103C1B">
      <w:pPr>
        <w:pStyle w:val="2"/>
        <w:rPr>
          <w:rFonts w:eastAsiaTheme="minorEastAsia" w:cstheme="minorBidi"/>
          <w:i/>
          <w:iCs/>
          <w:sz w:val="22"/>
          <w:szCs w:val="22"/>
          <w:rtl/>
        </w:rPr>
      </w:pPr>
      <w:r>
        <w:rPr>
          <w:rtl/>
        </w:rPr>
        <w:t>גי' התוס' דהודה שהוא קרוב אך ל"ג טפי</w:t>
      </w:r>
    </w:p>
    <w:p w:rsidR="00103C1B" w:rsidRDefault="00103C1B" w:rsidP="00103C1B">
      <w:pPr>
        <w:pStyle w:val="aff4"/>
        <w:rPr>
          <w:rFonts w:eastAsiaTheme="minorEastAsia" w:cstheme="minorBidi"/>
          <w:i/>
          <w:iCs/>
          <w:noProof/>
          <w:sz w:val="22"/>
          <w:szCs w:val="22"/>
          <w:rtl/>
        </w:rPr>
      </w:pPr>
      <w:r>
        <w:rPr>
          <w:noProof/>
          <w:rtl/>
        </w:rPr>
        <w:t>דברי התוס' דההוא גברא הודה שאף ר"א קרוב ונתן לו מרצונו</w:t>
      </w:r>
    </w:p>
    <w:p w:rsidR="00103C1B" w:rsidRDefault="00103C1B" w:rsidP="007E4E81">
      <w:pPr>
        <w:pStyle w:val="a"/>
        <w:rPr>
          <w:rFonts w:eastAsiaTheme="minorEastAsia" w:cstheme="minorBidi"/>
          <w:sz w:val="22"/>
          <w:szCs w:val="22"/>
          <w:rtl/>
        </w:rPr>
      </w:pPr>
      <w:r>
        <w:rPr>
          <w:rtl/>
        </w:rPr>
        <w:t>דברי התוס' דהודה שרב אידי קרוב אך לא גרסינן "טפי" דלא הודה שרב אידי קרוב יותר</w:t>
      </w:r>
    </w:p>
    <w:p w:rsidR="00103C1B" w:rsidRDefault="00103C1B" w:rsidP="007E4E81">
      <w:pPr>
        <w:pStyle w:val="a"/>
        <w:rPr>
          <w:rFonts w:eastAsiaTheme="minorEastAsia" w:cstheme="minorBidi"/>
          <w:sz w:val="22"/>
          <w:szCs w:val="22"/>
          <w:rtl/>
        </w:rPr>
      </w:pPr>
      <w:r>
        <w:rPr>
          <w:rtl/>
        </w:rPr>
        <w:t>ביאור התוס' ברב חסדא דהודה לו כיון שלא רצה לחלוק עמו ונתן מרצונו וא"צ להחזיר פירות</w:t>
      </w:r>
    </w:p>
    <w:p w:rsidR="00103C1B" w:rsidRDefault="00103C1B" w:rsidP="007E4E81">
      <w:pPr>
        <w:pStyle w:val="a"/>
        <w:rPr>
          <w:rFonts w:eastAsiaTheme="minorEastAsia" w:cstheme="minorBidi"/>
          <w:sz w:val="22"/>
          <w:szCs w:val="22"/>
          <w:rtl/>
        </w:rPr>
      </w:pPr>
      <w:r>
        <w:rPr>
          <w:rtl/>
        </w:rPr>
        <w:t>ביאור התוס' באביי ורבא דמסתמא הודה כיון שרב אידי קרוב אך קשה דלא משמע כן בגמ'</w:t>
      </w:r>
    </w:p>
    <w:p w:rsidR="00103C1B" w:rsidRDefault="00103C1B" w:rsidP="007E4E81">
      <w:pPr>
        <w:pStyle w:val="a"/>
        <w:rPr>
          <w:rFonts w:eastAsiaTheme="minorEastAsia" w:cstheme="minorBidi"/>
          <w:sz w:val="22"/>
          <w:szCs w:val="22"/>
          <w:rtl/>
        </w:rPr>
      </w:pPr>
      <w:r>
        <w:rPr>
          <w:rtl/>
        </w:rPr>
        <w:t>בי' התוס' דאי גרסינן "טפי" היינו שהודה שהוא קרוב יותר אך על הפירות יש עדים ולא הודה</w:t>
      </w:r>
    </w:p>
    <w:p w:rsidR="00103C1B" w:rsidRDefault="00103C1B" w:rsidP="007E4E81">
      <w:pPr>
        <w:pStyle w:val="a"/>
        <w:rPr>
          <w:rFonts w:eastAsiaTheme="minorEastAsia" w:cstheme="minorBidi"/>
          <w:sz w:val="22"/>
          <w:szCs w:val="22"/>
          <w:rtl/>
        </w:rPr>
      </w:pPr>
      <w:r>
        <w:rPr>
          <w:rtl/>
        </w:rPr>
        <w:t>ביאור התוס' ברב חסדא דנאמן במיגו על הפירות אף שמכחיש את העדים דאמרינן מיגו במק"ע</w:t>
      </w:r>
    </w:p>
    <w:p w:rsidR="00103C1B" w:rsidRDefault="00103C1B" w:rsidP="007E4E81">
      <w:pPr>
        <w:pStyle w:val="a"/>
        <w:rPr>
          <w:rFonts w:eastAsiaTheme="minorEastAsia" w:cstheme="minorBidi"/>
          <w:sz w:val="22"/>
          <w:szCs w:val="22"/>
          <w:rtl/>
        </w:rPr>
      </w:pPr>
      <w:r>
        <w:rPr>
          <w:rtl/>
        </w:rPr>
        <w:t>דחיית התוס' דלא משמע כן בדברי רב חסדא ועוד דהול"ל לאביי ורבא לומר דהוא מיגו במק"ע</w:t>
      </w:r>
    </w:p>
    <w:p w:rsidR="00103C1B" w:rsidRDefault="00103C1B" w:rsidP="00103C1B">
      <w:pPr>
        <w:pStyle w:val="aff4"/>
        <w:rPr>
          <w:rFonts w:eastAsiaTheme="minorEastAsia" w:cstheme="minorBidi"/>
          <w:i/>
          <w:iCs/>
          <w:noProof/>
          <w:sz w:val="22"/>
          <w:szCs w:val="22"/>
          <w:rtl/>
        </w:rPr>
      </w:pPr>
      <w:r>
        <w:rPr>
          <w:noProof/>
          <w:rtl/>
        </w:rPr>
        <w:t>ביאור החת"ס בתוס' דרק להוציא פירות חשיב ההודאה כמתנה</w:t>
      </w:r>
    </w:p>
    <w:p w:rsidR="00103C1B" w:rsidRDefault="00103C1B" w:rsidP="007E4E81">
      <w:pPr>
        <w:pStyle w:val="a"/>
        <w:rPr>
          <w:rFonts w:eastAsiaTheme="minorEastAsia" w:cstheme="minorBidi"/>
          <w:sz w:val="22"/>
          <w:szCs w:val="22"/>
          <w:rtl/>
        </w:rPr>
      </w:pPr>
      <w:r>
        <w:rPr>
          <w:rtl/>
        </w:rPr>
        <w:t>ביאור החת"ס בתוס' דלענין הדקל אף לרב חסדא אמרינן דנתן לו במתנה דהאמת שר"א קרוב</w:t>
      </w:r>
    </w:p>
    <w:p w:rsidR="00103C1B" w:rsidRDefault="00103C1B" w:rsidP="00103C1B">
      <w:pPr>
        <w:pStyle w:val="2"/>
        <w:rPr>
          <w:rFonts w:eastAsiaTheme="minorEastAsia" w:cstheme="minorBidi"/>
          <w:i/>
          <w:iCs/>
          <w:sz w:val="22"/>
          <w:szCs w:val="22"/>
          <w:rtl/>
        </w:rPr>
      </w:pPr>
      <w:r>
        <w:rPr>
          <w:rtl/>
        </w:rPr>
        <w:t>פלוג' התשב"ץ והקצוה"ח בד' הראב"ד</w:t>
      </w:r>
    </w:p>
    <w:p w:rsidR="00103C1B" w:rsidRDefault="00103C1B" w:rsidP="00103C1B">
      <w:pPr>
        <w:pStyle w:val="aff4"/>
        <w:rPr>
          <w:rFonts w:eastAsiaTheme="minorEastAsia" w:cstheme="minorBidi"/>
          <w:i/>
          <w:iCs/>
          <w:noProof/>
          <w:sz w:val="22"/>
          <w:szCs w:val="22"/>
          <w:rtl/>
        </w:rPr>
      </w:pPr>
      <w:r>
        <w:rPr>
          <w:noProof/>
          <w:rtl/>
        </w:rPr>
        <w:t>בבי' גי' הראב"ד דההוא גברא הודה שר"א קרוב ולא גרס "טפי"</w:t>
      </w:r>
    </w:p>
    <w:p w:rsidR="00103C1B" w:rsidRDefault="00103C1B" w:rsidP="007E4E81">
      <w:pPr>
        <w:pStyle w:val="a"/>
        <w:rPr>
          <w:rFonts w:eastAsiaTheme="minorEastAsia" w:cstheme="minorBidi"/>
          <w:sz w:val="22"/>
          <w:szCs w:val="22"/>
          <w:rtl/>
        </w:rPr>
      </w:pPr>
      <w:r>
        <w:rPr>
          <w:rtl/>
        </w:rPr>
        <w:t>ביאור התשב"ץ בראב"ד דהודה שאף ר"א קרוב והוי ר"א בחזקת קרוב וההוא גברא בחזקת רחוק</w:t>
      </w:r>
    </w:p>
    <w:p w:rsidR="00103C1B" w:rsidRDefault="00103C1B" w:rsidP="007E4E81">
      <w:pPr>
        <w:pStyle w:val="a"/>
        <w:rPr>
          <w:rFonts w:eastAsiaTheme="minorEastAsia" w:cstheme="minorBidi"/>
          <w:sz w:val="22"/>
          <w:szCs w:val="22"/>
          <w:rtl/>
        </w:rPr>
      </w:pPr>
      <w:r>
        <w:rPr>
          <w:rtl/>
        </w:rPr>
        <w:t>ביאור הקצוה"ח בתשב"ץ דההוא גברא לא חזר מטענתו דהוא קרוב טפי ואפ"ה חשיב רחוק</w:t>
      </w:r>
    </w:p>
    <w:p w:rsidR="00103C1B" w:rsidRDefault="00103C1B" w:rsidP="007E4E81">
      <w:pPr>
        <w:pStyle w:val="a"/>
        <w:rPr>
          <w:rFonts w:eastAsiaTheme="minorEastAsia" w:cstheme="minorBidi"/>
          <w:sz w:val="22"/>
          <w:szCs w:val="22"/>
          <w:rtl/>
        </w:rPr>
      </w:pPr>
      <w:r>
        <w:rPr>
          <w:rtl/>
        </w:rPr>
        <w:t>קו' הקצוה"ח על התשב"ץ דההוא גברא נאמן שהוא קרוב יותר במיגו דלא היה מודה לר"א</w:t>
      </w:r>
    </w:p>
    <w:p w:rsidR="00103C1B" w:rsidRDefault="00103C1B" w:rsidP="007E4E81">
      <w:pPr>
        <w:pStyle w:val="a"/>
        <w:rPr>
          <w:rFonts w:eastAsiaTheme="minorEastAsia" w:cstheme="minorBidi"/>
          <w:sz w:val="22"/>
          <w:szCs w:val="22"/>
          <w:rtl/>
        </w:rPr>
      </w:pPr>
      <w:r>
        <w:rPr>
          <w:rtl/>
        </w:rPr>
        <w:t>ביאור הקצוה"ח בראב"ד דההוא גברא מסופק מי קרוב יותר ול"מ מיגו כשטוען טענת שמא</w:t>
      </w:r>
    </w:p>
    <w:p w:rsidR="00103C1B" w:rsidRDefault="00103C1B" w:rsidP="00103C1B">
      <w:pPr>
        <w:pStyle w:val="2"/>
        <w:rPr>
          <w:rFonts w:eastAsiaTheme="minorEastAsia" w:cstheme="minorBidi"/>
          <w:i/>
          <w:iCs/>
          <w:sz w:val="22"/>
          <w:szCs w:val="22"/>
          <w:rtl/>
        </w:rPr>
      </w:pPr>
      <w:r>
        <w:rPr>
          <w:rtl/>
        </w:rPr>
        <w:t>דברי הריטב"א דמוכח דגרסינן "טפי"</w:t>
      </w:r>
    </w:p>
    <w:p w:rsidR="00103C1B" w:rsidRDefault="00103C1B" w:rsidP="00103C1B">
      <w:pPr>
        <w:pStyle w:val="aff4"/>
        <w:rPr>
          <w:rFonts w:eastAsiaTheme="minorEastAsia" w:cstheme="minorBidi"/>
          <w:i/>
          <w:iCs/>
          <w:noProof/>
          <w:sz w:val="22"/>
          <w:szCs w:val="22"/>
          <w:rtl/>
        </w:rPr>
      </w:pPr>
      <w:r>
        <w:rPr>
          <w:noProof/>
          <w:rtl/>
        </w:rPr>
        <w:t>ביאור הריטב"א דלגי' שהודה צריך לגרוס שהודה דקרוב "טפי"</w:t>
      </w:r>
    </w:p>
    <w:p w:rsidR="00103C1B" w:rsidRDefault="00103C1B" w:rsidP="007E4E81">
      <w:pPr>
        <w:pStyle w:val="a"/>
        <w:rPr>
          <w:rFonts w:eastAsiaTheme="minorEastAsia" w:cstheme="minorBidi"/>
          <w:sz w:val="22"/>
          <w:szCs w:val="22"/>
          <w:rtl/>
        </w:rPr>
      </w:pPr>
      <w:r>
        <w:rPr>
          <w:rtl/>
        </w:rPr>
        <w:t>קושית הריטב"א דאי לא הודה שר"א קרוב יותר א"כ נאמן בהפה שאסר ויחלוקו או יטול רביע</w:t>
      </w:r>
    </w:p>
    <w:p w:rsidR="00103C1B" w:rsidRDefault="00103C1B" w:rsidP="007E4E81">
      <w:pPr>
        <w:pStyle w:val="a"/>
        <w:rPr>
          <w:rFonts w:eastAsiaTheme="minorEastAsia" w:cstheme="minorBidi"/>
          <w:sz w:val="22"/>
          <w:szCs w:val="22"/>
          <w:rtl/>
        </w:rPr>
      </w:pPr>
      <w:r>
        <w:rPr>
          <w:rtl/>
        </w:rPr>
        <w:t>דברי הריטב"א דל"ד לספק ויבם דהא ר"א זכה רק מחמת הודאתו ול"ד לשנים אוחזין דכ"א תפוס</w:t>
      </w:r>
    </w:p>
    <w:p w:rsidR="00103C1B" w:rsidRDefault="00103C1B" w:rsidP="007E4E81">
      <w:pPr>
        <w:pStyle w:val="a"/>
        <w:rPr>
          <w:rFonts w:eastAsiaTheme="minorEastAsia" w:cstheme="minorBidi"/>
          <w:sz w:val="22"/>
          <w:szCs w:val="22"/>
          <w:rtl/>
        </w:rPr>
      </w:pPr>
      <w:r>
        <w:rPr>
          <w:rtl/>
        </w:rPr>
        <w:t>דברי הריטב"א דמוכח דלגירסא דההוא גברא הודה לר"א גרסינן "דאיהו קריב טפי"</w:t>
      </w:r>
    </w:p>
    <w:p w:rsidR="00103C1B" w:rsidRDefault="00103C1B" w:rsidP="00103C1B">
      <w:pPr>
        <w:pStyle w:val="2"/>
        <w:rPr>
          <w:rFonts w:eastAsiaTheme="minorEastAsia" w:cstheme="minorBidi"/>
          <w:i/>
          <w:iCs/>
          <w:sz w:val="22"/>
          <w:szCs w:val="22"/>
          <w:rtl/>
        </w:rPr>
      </w:pPr>
      <w:r>
        <w:rPr>
          <w:rtl/>
        </w:rPr>
        <w:t>בי' הריטב"א דנח' בדין חוזר וטוען</w:t>
      </w:r>
    </w:p>
    <w:p w:rsidR="00103C1B" w:rsidRDefault="00103C1B" w:rsidP="00103C1B">
      <w:pPr>
        <w:pStyle w:val="aff4"/>
        <w:rPr>
          <w:rFonts w:eastAsiaTheme="minorEastAsia" w:cstheme="minorBidi"/>
          <w:i/>
          <w:iCs/>
          <w:noProof/>
          <w:sz w:val="22"/>
          <w:szCs w:val="22"/>
          <w:rtl/>
        </w:rPr>
      </w:pPr>
      <w:r>
        <w:rPr>
          <w:noProof/>
          <w:rtl/>
        </w:rPr>
        <w:t>ביאור הריטב"א דההוא גברא חזר לבסוף וטען שלא אכל פירות</w:t>
      </w:r>
    </w:p>
    <w:p w:rsidR="00103C1B" w:rsidRDefault="00103C1B" w:rsidP="007E4E81">
      <w:pPr>
        <w:pStyle w:val="a"/>
        <w:rPr>
          <w:rFonts w:eastAsiaTheme="minorEastAsia" w:cstheme="minorBidi"/>
          <w:sz w:val="22"/>
          <w:szCs w:val="22"/>
          <w:rtl/>
        </w:rPr>
      </w:pPr>
      <w:r>
        <w:rPr>
          <w:rtl/>
        </w:rPr>
        <w:t>דברי הריטב"א דלגי' דהודה לר"א בתחילה הודה בפירות ולגי' שיש עדים מודה עכשיו בפירות</w:t>
      </w:r>
    </w:p>
    <w:p w:rsidR="00103C1B" w:rsidRDefault="00103C1B" w:rsidP="007E4E81">
      <w:pPr>
        <w:pStyle w:val="a"/>
        <w:rPr>
          <w:rFonts w:eastAsiaTheme="minorEastAsia" w:cstheme="minorBidi"/>
          <w:sz w:val="22"/>
          <w:szCs w:val="22"/>
          <w:rtl/>
        </w:rPr>
      </w:pPr>
      <w:r>
        <w:rPr>
          <w:rtl/>
        </w:rPr>
        <w:t>קו' הריטב"א דכיון דר"א הוחזק ליורש גמור ע"י הודאה או עדים אמאי א"צ להחזיר לרב חסדא</w:t>
      </w:r>
    </w:p>
    <w:p w:rsidR="00103C1B" w:rsidRDefault="00103C1B" w:rsidP="007E4E81">
      <w:pPr>
        <w:pStyle w:val="a"/>
        <w:rPr>
          <w:rFonts w:eastAsiaTheme="minorEastAsia" w:cstheme="minorBidi"/>
          <w:sz w:val="22"/>
          <w:szCs w:val="22"/>
          <w:rtl/>
        </w:rPr>
      </w:pPr>
      <w:r>
        <w:rPr>
          <w:rtl/>
        </w:rPr>
        <w:t>בי' הריטב"א דאחר שהודה לר"א או שבאו עדים שר"א קרוב חזר בו מהודאתו על אכילת פירות</w:t>
      </w:r>
    </w:p>
    <w:p w:rsidR="00103C1B" w:rsidRDefault="00103C1B" w:rsidP="007E4E81">
      <w:pPr>
        <w:pStyle w:val="a"/>
        <w:rPr>
          <w:rFonts w:eastAsiaTheme="minorEastAsia" w:cstheme="minorBidi"/>
          <w:sz w:val="22"/>
          <w:szCs w:val="22"/>
          <w:rtl/>
        </w:rPr>
      </w:pPr>
      <w:r>
        <w:rPr>
          <w:rtl/>
        </w:rPr>
        <w:t>ביאור הריטב"א דס"ל לרב חסדא דנאמן לחזור ולטעון שלא אכל פירות אף שהודה בתחילה</w:t>
      </w:r>
    </w:p>
    <w:p w:rsidR="00103C1B" w:rsidRDefault="00103C1B" w:rsidP="007E4E81">
      <w:pPr>
        <w:pStyle w:val="a"/>
        <w:rPr>
          <w:rFonts w:eastAsiaTheme="minorEastAsia" w:cstheme="minorBidi"/>
          <w:sz w:val="22"/>
          <w:szCs w:val="22"/>
          <w:rtl/>
        </w:rPr>
      </w:pPr>
      <w:r>
        <w:rPr>
          <w:rtl/>
        </w:rPr>
        <w:t>דברי הריטב"א דלאביי ורבא אחר שהתחייב בהודאתו אינו נאמן בשום מיגו לחזור ולטעון</w:t>
      </w:r>
    </w:p>
    <w:p w:rsidR="00103C1B" w:rsidRDefault="00103C1B" w:rsidP="00103C1B">
      <w:pPr>
        <w:pStyle w:val="2"/>
        <w:rPr>
          <w:rFonts w:eastAsiaTheme="minorEastAsia" w:cstheme="minorBidi"/>
          <w:i/>
          <w:iCs/>
          <w:sz w:val="22"/>
          <w:szCs w:val="22"/>
          <w:rtl/>
        </w:rPr>
      </w:pPr>
      <w:r>
        <w:rPr>
          <w:rtl/>
        </w:rPr>
        <w:t>גי' ר"ח דבאו עדים שהוא קרוב ול"ג טפי</w:t>
      </w:r>
    </w:p>
    <w:p w:rsidR="00103C1B" w:rsidRDefault="00103C1B" w:rsidP="00103C1B">
      <w:pPr>
        <w:pStyle w:val="aff4"/>
        <w:rPr>
          <w:rFonts w:eastAsiaTheme="minorEastAsia" w:cstheme="minorBidi"/>
          <w:i/>
          <w:iCs/>
          <w:noProof/>
          <w:sz w:val="22"/>
          <w:szCs w:val="22"/>
          <w:rtl/>
        </w:rPr>
      </w:pPr>
      <w:r>
        <w:rPr>
          <w:noProof/>
          <w:rtl/>
        </w:rPr>
        <w:t>גירסת ר"ח דיש עדים שר"א קרוב ואינם מכירים את ההוא גברא</w:t>
      </w:r>
    </w:p>
    <w:p w:rsidR="00103C1B" w:rsidRDefault="00103C1B" w:rsidP="007E4E81">
      <w:pPr>
        <w:pStyle w:val="a"/>
        <w:rPr>
          <w:rFonts w:eastAsiaTheme="minorEastAsia" w:cstheme="minorBidi"/>
          <w:sz w:val="22"/>
          <w:szCs w:val="22"/>
          <w:rtl/>
        </w:rPr>
      </w:pPr>
      <w:r>
        <w:rPr>
          <w:rtl/>
        </w:rPr>
        <w:t>גירסת ר"ח דיש עדים שרב אידי קרוב ול"ג "טפי" דהעדים אינם יודעים האם ההוא גברא קרוב</w:t>
      </w:r>
    </w:p>
    <w:p w:rsidR="00103C1B" w:rsidRDefault="00103C1B" w:rsidP="007E4E81">
      <w:pPr>
        <w:pStyle w:val="a"/>
        <w:rPr>
          <w:rFonts w:eastAsiaTheme="minorEastAsia" w:cstheme="minorBidi"/>
          <w:sz w:val="22"/>
          <w:szCs w:val="22"/>
          <w:rtl/>
        </w:rPr>
      </w:pPr>
      <w:r>
        <w:rPr>
          <w:rtl/>
        </w:rPr>
        <w:t>דברי התוס' דלגי' ר"ח אי גרסינן "טפי" היינו דר"א קרוב יותר משאר קרובים ולא מההוא גברא</w:t>
      </w:r>
    </w:p>
    <w:p w:rsidR="00103C1B" w:rsidRDefault="00103C1B" w:rsidP="007E4E81">
      <w:pPr>
        <w:pStyle w:val="a"/>
        <w:rPr>
          <w:rFonts w:eastAsiaTheme="minorEastAsia" w:cstheme="minorBidi"/>
          <w:sz w:val="22"/>
          <w:szCs w:val="22"/>
          <w:rtl/>
        </w:rPr>
      </w:pPr>
      <w:r>
        <w:rPr>
          <w:rtl/>
        </w:rPr>
        <w:t>ביאור רבינו יונה בר"ח דההוא גברא טען שהוא מזרע אחי המת ור"א מזרע האחיות</w:t>
      </w:r>
    </w:p>
    <w:p w:rsidR="00103C1B" w:rsidRDefault="00103C1B" w:rsidP="00103C1B">
      <w:pPr>
        <w:pStyle w:val="aff4"/>
        <w:rPr>
          <w:rFonts w:eastAsiaTheme="minorEastAsia" w:cstheme="minorBidi"/>
          <w:i/>
          <w:iCs/>
          <w:noProof/>
          <w:sz w:val="22"/>
          <w:szCs w:val="22"/>
          <w:rtl/>
        </w:rPr>
      </w:pPr>
      <w:r>
        <w:rPr>
          <w:noProof/>
          <w:rtl/>
        </w:rPr>
        <w:t>בביאור דעת הר"ח בדברי רב חסדא דא"צ להחזיר את הפירות</w:t>
      </w:r>
    </w:p>
    <w:p w:rsidR="00103C1B" w:rsidRDefault="00103C1B" w:rsidP="007E4E81">
      <w:pPr>
        <w:pStyle w:val="a"/>
        <w:rPr>
          <w:rFonts w:eastAsiaTheme="minorEastAsia" w:cstheme="minorBidi"/>
          <w:sz w:val="22"/>
          <w:szCs w:val="22"/>
          <w:rtl/>
        </w:rPr>
      </w:pPr>
      <w:r>
        <w:rPr>
          <w:rtl/>
        </w:rPr>
        <w:t>ביאור ר"ח ברב חסדא דר"א ודאי קרוב מכח הודאתו ולכן נאמן על הפירות במיגו דלא היה מודה</w:t>
      </w:r>
    </w:p>
    <w:p w:rsidR="00103C1B" w:rsidRDefault="00103C1B" w:rsidP="007E4E81">
      <w:pPr>
        <w:pStyle w:val="a"/>
        <w:rPr>
          <w:rFonts w:eastAsiaTheme="minorEastAsia" w:cstheme="minorBidi"/>
          <w:sz w:val="22"/>
          <w:szCs w:val="22"/>
          <w:rtl/>
        </w:rPr>
      </w:pPr>
      <w:r>
        <w:rPr>
          <w:rtl/>
        </w:rPr>
        <w:t>ביאור רבינו יונה והרשב"א בר"ח דר"א הוא ודאי וההוא גברא ספק ועליו להביא ראיה</w:t>
      </w:r>
    </w:p>
    <w:p w:rsidR="00103C1B" w:rsidRDefault="00103C1B" w:rsidP="007E4E81">
      <w:pPr>
        <w:pStyle w:val="a"/>
        <w:rPr>
          <w:rFonts w:eastAsiaTheme="minorEastAsia" w:cstheme="minorBidi"/>
          <w:sz w:val="22"/>
          <w:szCs w:val="22"/>
          <w:rtl/>
        </w:rPr>
      </w:pPr>
      <w:r>
        <w:rPr>
          <w:rtl/>
        </w:rPr>
        <w:t>ביאור הרשב"א בר"ח דעל הפירות נאמן מדין הפה שאסר ואינו מיגו במק"ע דאינם מכירים אותו</w:t>
      </w:r>
    </w:p>
    <w:p w:rsidR="00103C1B" w:rsidRDefault="00103C1B" w:rsidP="00103C1B">
      <w:pPr>
        <w:pStyle w:val="aff4"/>
        <w:rPr>
          <w:rFonts w:eastAsiaTheme="minorEastAsia" w:cstheme="minorBidi"/>
          <w:i/>
          <w:iCs/>
          <w:noProof/>
          <w:sz w:val="22"/>
          <w:szCs w:val="22"/>
          <w:rtl/>
        </w:rPr>
      </w:pPr>
      <w:r>
        <w:rPr>
          <w:noProof/>
          <w:rtl/>
        </w:rPr>
        <w:t>בביאור דעת הר"ח בדברי אביי ורבא דצריך להחזיר את הפירות</w:t>
      </w:r>
    </w:p>
    <w:p w:rsidR="00103C1B" w:rsidRDefault="00103C1B" w:rsidP="007E4E81">
      <w:pPr>
        <w:pStyle w:val="a"/>
        <w:rPr>
          <w:rFonts w:eastAsiaTheme="minorEastAsia" w:cstheme="minorBidi"/>
          <w:sz w:val="22"/>
          <w:szCs w:val="22"/>
          <w:rtl/>
        </w:rPr>
      </w:pPr>
      <w:r>
        <w:rPr>
          <w:rtl/>
        </w:rPr>
        <w:t>ביאור התוס' באביי ורבא דכשהקרקע יוצאת מתח"י ואין לו מיגו חייב לשלם את הפירות שהודה</w:t>
      </w:r>
    </w:p>
    <w:p w:rsidR="00103C1B" w:rsidRDefault="00103C1B" w:rsidP="007E4E81">
      <w:pPr>
        <w:pStyle w:val="a"/>
        <w:rPr>
          <w:rFonts w:eastAsiaTheme="minorEastAsia" w:cstheme="minorBidi"/>
          <w:sz w:val="22"/>
          <w:szCs w:val="22"/>
          <w:rtl/>
        </w:rPr>
      </w:pPr>
      <w:r>
        <w:rPr>
          <w:rtl/>
        </w:rPr>
        <w:t>ביאור רבינו יונה והרשב"א באביי ורבא דאחר שהדקל בחזקת ר"א אף הפירות בחזקתו</w:t>
      </w:r>
    </w:p>
    <w:p w:rsidR="00103C1B" w:rsidRDefault="00103C1B" w:rsidP="00103C1B">
      <w:pPr>
        <w:pStyle w:val="aff4"/>
        <w:rPr>
          <w:rFonts w:eastAsiaTheme="minorEastAsia" w:cstheme="minorBidi"/>
          <w:i/>
          <w:iCs/>
          <w:noProof/>
          <w:sz w:val="22"/>
          <w:szCs w:val="22"/>
          <w:rtl/>
        </w:rPr>
      </w:pPr>
      <w:r>
        <w:rPr>
          <w:noProof/>
          <w:rtl/>
        </w:rPr>
        <w:t>ביאור הרשב"א בר"ח דר"א חשיב ודאי ואין ספק מוציא מודאי</w:t>
      </w:r>
    </w:p>
    <w:p w:rsidR="00103C1B" w:rsidRDefault="00103C1B" w:rsidP="007E4E81">
      <w:pPr>
        <w:pStyle w:val="a"/>
        <w:rPr>
          <w:rFonts w:eastAsiaTheme="minorEastAsia" w:cstheme="minorBidi"/>
          <w:sz w:val="22"/>
          <w:szCs w:val="22"/>
          <w:rtl/>
        </w:rPr>
      </w:pPr>
      <w:r>
        <w:rPr>
          <w:rtl/>
        </w:rPr>
        <w:t>קושית הרשב"א על ר"ח דיתכן שאף ההוא גברא קרוב ויחלוקו או שיטול רבע כדין שנים אוחזין</w:t>
      </w:r>
    </w:p>
    <w:p w:rsidR="00103C1B" w:rsidRDefault="00103C1B" w:rsidP="007E4E81">
      <w:pPr>
        <w:pStyle w:val="a"/>
        <w:rPr>
          <w:rFonts w:eastAsiaTheme="minorEastAsia" w:cstheme="minorBidi"/>
          <w:sz w:val="22"/>
          <w:szCs w:val="22"/>
          <w:rtl/>
        </w:rPr>
      </w:pPr>
      <w:r>
        <w:rPr>
          <w:rtl/>
        </w:rPr>
        <w:t>תי' הרשב"א דבשנים אוחזין לא ידוע כלל של מי היא אבל הכא יש עדים דר"א מוחזק ליורש</w:t>
      </w:r>
    </w:p>
    <w:p w:rsidR="00103C1B" w:rsidRDefault="00103C1B" w:rsidP="007E4E81">
      <w:pPr>
        <w:pStyle w:val="a"/>
        <w:rPr>
          <w:rFonts w:eastAsiaTheme="minorEastAsia" w:cstheme="minorBidi"/>
          <w:sz w:val="22"/>
          <w:szCs w:val="22"/>
          <w:rtl/>
        </w:rPr>
      </w:pPr>
      <w:r>
        <w:rPr>
          <w:rtl/>
        </w:rPr>
        <w:t>דברי הרשב"א דלדעת ר"ח דמי לספק ויבם דהיבם חשיב לודאי ואין הספק מוציא מידי ודאי</w:t>
      </w:r>
    </w:p>
    <w:p w:rsidR="00103C1B" w:rsidRDefault="00103C1B" w:rsidP="00103C1B">
      <w:pPr>
        <w:pStyle w:val="aff4"/>
        <w:rPr>
          <w:rFonts w:eastAsiaTheme="minorEastAsia" w:cstheme="minorBidi"/>
          <w:i/>
          <w:iCs/>
          <w:noProof/>
          <w:sz w:val="22"/>
          <w:szCs w:val="22"/>
          <w:rtl/>
        </w:rPr>
      </w:pPr>
      <w:r>
        <w:rPr>
          <w:noProof/>
          <w:rtl/>
        </w:rPr>
        <w:t>קושית הרמב"ן על ר"ח דקיי"ל דפירי לא הדרי דנאמן במיגו</w:t>
      </w:r>
    </w:p>
    <w:p w:rsidR="00103C1B" w:rsidRDefault="00103C1B" w:rsidP="007E4E81">
      <w:pPr>
        <w:pStyle w:val="a"/>
        <w:rPr>
          <w:rFonts w:eastAsiaTheme="minorEastAsia" w:cstheme="minorBidi"/>
          <w:sz w:val="22"/>
          <w:szCs w:val="22"/>
          <w:rtl/>
        </w:rPr>
      </w:pPr>
      <w:r>
        <w:rPr>
          <w:rtl/>
        </w:rPr>
        <w:t>בי' הרמב"ן בר"ח דההוא גברא טען שקרוב יותר ולכן ירד לפירות והביא ר"א עדים שהוא קרוב</w:t>
      </w:r>
    </w:p>
    <w:p w:rsidR="00103C1B" w:rsidRDefault="00103C1B" w:rsidP="007E4E81">
      <w:pPr>
        <w:pStyle w:val="a"/>
        <w:rPr>
          <w:rFonts w:eastAsiaTheme="minorEastAsia" w:cstheme="minorBidi"/>
          <w:sz w:val="22"/>
          <w:szCs w:val="22"/>
          <w:rtl/>
        </w:rPr>
      </w:pPr>
      <w:r>
        <w:rPr>
          <w:rtl/>
        </w:rPr>
        <w:t>קושית הרמב"ן על ר"ח דאמאי פליגי אביי ורבא הא נאמן במיגו על הפירות דאין עדים עליהם</w:t>
      </w:r>
    </w:p>
    <w:p w:rsidR="00103C1B" w:rsidRDefault="00103C1B" w:rsidP="00103C1B">
      <w:pPr>
        <w:pStyle w:val="aff4"/>
        <w:rPr>
          <w:rFonts w:eastAsiaTheme="minorEastAsia" w:cstheme="minorBidi"/>
          <w:i/>
          <w:iCs/>
          <w:noProof/>
          <w:sz w:val="22"/>
          <w:szCs w:val="22"/>
          <w:rtl/>
        </w:rPr>
      </w:pPr>
      <w:r>
        <w:rPr>
          <w:noProof/>
          <w:rtl/>
        </w:rPr>
        <w:t>דחיית הרשב"ם לגי' ר"ח דההוא גברא לא נאמן לכפור בפירות</w:t>
      </w:r>
    </w:p>
    <w:p w:rsidR="00103C1B" w:rsidRDefault="00103C1B" w:rsidP="007E4E81">
      <w:pPr>
        <w:pStyle w:val="a"/>
        <w:rPr>
          <w:rFonts w:eastAsiaTheme="minorEastAsia" w:cstheme="minorBidi"/>
          <w:sz w:val="22"/>
          <w:szCs w:val="22"/>
          <w:rtl/>
        </w:rPr>
      </w:pPr>
      <w:r>
        <w:rPr>
          <w:rtl/>
        </w:rPr>
        <w:t>דחיית הרשב"ם דלא משמע בגמ' דההוא גברא הודה שאגל פירות אלא שהיו עדים ע"ז</w:t>
      </w:r>
    </w:p>
    <w:p w:rsidR="00103C1B" w:rsidRDefault="00103C1B" w:rsidP="00103C1B">
      <w:pPr>
        <w:pStyle w:val="2"/>
        <w:rPr>
          <w:rFonts w:eastAsiaTheme="minorEastAsia" w:cstheme="minorBidi"/>
          <w:i/>
          <w:iCs/>
          <w:sz w:val="22"/>
          <w:szCs w:val="22"/>
          <w:rtl/>
        </w:rPr>
      </w:pPr>
      <w:r>
        <w:rPr>
          <w:rtl/>
        </w:rPr>
        <w:t>ד' הבעה"מ דאפשר לברר בקל ול"א מיגו</w:t>
      </w:r>
    </w:p>
    <w:p w:rsidR="00103C1B" w:rsidRDefault="00103C1B" w:rsidP="00103C1B">
      <w:pPr>
        <w:pStyle w:val="aff4"/>
        <w:rPr>
          <w:rFonts w:eastAsiaTheme="minorEastAsia" w:cstheme="minorBidi"/>
          <w:i/>
          <w:iCs/>
          <w:noProof/>
          <w:sz w:val="22"/>
          <w:szCs w:val="22"/>
          <w:rtl/>
        </w:rPr>
      </w:pPr>
      <w:r>
        <w:rPr>
          <w:noProof/>
          <w:rtl/>
        </w:rPr>
        <w:t>ביאור הבעה"מ בגי' דבאו עדים אך לא גרסינן טפי</w:t>
      </w:r>
    </w:p>
    <w:p w:rsidR="00103C1B" w:rsidRDefault="00103C1B" w:rsidP="007E4E81">
      <w:pPr>
        <w:pStyle w:val="a"/>
        <w:rPr>
          <w:rFonts w:eastAsiaTheme="minorEastAsia" w:cstheme="minorBidi"/>
          <w:sz w:val="22"/>
          <w:szCs w:val="22"/>
          <w:rtl/>
        </w:rPr>
      </w:pPr>
      <w:r>
        <w:rPr>
          <w:rtl/>
        </w:rPr>
        <w:t>דברי הבעה"מ דמוכח דל"ג "טפי" מהא דלא הקשו אביי ורבא דהוא מיגו במק"ע</w:t>
      </w:r>
    </w:p>
    <w:p w:rsidR="00103C1B" w:rsidRDefault="00103C1B" w:rsidP="00103C1B">
      <w:pPr>
        <w:pStyle w:val="aff4"/>
        <w:rPr>
          <w:rFonts w:eastAsiaTheme="minorEastAsia" w:cstheme="minorBidi"/>
          <w:i/>
          <w:iCs/>
          <w:noProof/>
          <w:sz w:val="22"/>
          <w:szCs w:val="22"/>
          <w:rtl/>
        </w:rPr>
      </w:pPr>
      <w:r>
        <w:rPr>
          <w:noProof/>
          <w:rtl/>
        </w:rPr>
        <w:t>ביאור הבעה"מ דבמקום שמסתבר שיש עדים ל"א מיגו</w:t>
      </w:r>
    </w:p>
    <w:p w:rsidR="00103C1B" w:rsidRDefault="00103C1B" w:rsidP="007E4E81">
      <w:pPr>
        <w:pStyle w:val="a"/>
        <w:rPr>
          <w:rFonts w:eastAsiaTheme="minorEastAsia" w:cstheme="minorBidi"/>
          <w:sz w:val="22"/>
          <w:szCs w:val="22"/>
          <w:rtl/>
        </w:rPr>
      </w:pPr>
      <w:r>
        <w:rPr>
          <w:rtl/>
        </w:rPr>
        <w:t>ביאור הבעה"מ דלר"א יש עדים דקרוב ולההוא גברא אין עדים והוא בחזקת רחוק ול"מ מיגו</w:t>
      </w:r>
    </w:p>
    <w:p w:rsidR="00103C1B" w:rsidRDefault="00103C1B" w:rsidP="007E4E81">
      <w:pPr>
        <w:pStyle w:val="a"/>
        <w:rPr>
          <w:rFonts w:eastAsiaTheme="minorEastAsia" w:cstheme="minorBidi"/>
          <w:sz w:val="22"/>
          <w:szCs w:val="22"/>
          <w:rtl/>
        </w:rPr>
      </w:pPr>
      <w:r>
        <w:rPr>
          <w:rtl/>
        </w:rPr>
        <w:t>דברי הבעה"מ דבכל מקום שיכול להביא עדים בקל אינו נאמן במיגו</w:t>
      </w:r>
    </w:p>
    <w:p w:rsidR="00103C1B" w:rsidRDefault="00103C1B" w:rsidP="007E4E81">
      <w:pPr>
        <w:pStyle w:val="a"/>
        <w:rPr>
          <w:rFonts w:eastAsiaTheme="minorEastAsia" w:cstheme="minorBidi"/>
          <w:sz w:val="22"/>
          <w:szCs w:val="22"/>
          <w:rtl/>
        </w:rPr>
      </w:pPr>
      <w:r>
        <w:rPr>
          <w:rtl/>
        </w:rPr>
        <w:t>ביאור הבעה"מ דבחזקת ג"ש נאמן במיגו על הפירות דקשה להביא עדים על ג"ש רצופות</w:t>
      </w:r>
    </w:p>
    <w:p w:rsidR="00103C1B" w:rsidRDefault="00103C1B" w:rsidP="00103C1B">
      <w:pPr>
        <w:pStyle w:val="aff4"/>
        <w:rPr>
          <w:rFonts w:eastAsiaTheme="minorEastAsia" w:cstheme="minorBidi"/>
          <w:i/>
          <w:iCs/>
          <w:noProof/>
          <w:sz w:val="22"/>
          <w:szCs w:val="22"/>
          <w:rtl/>
        </w:rPr>
      </w:pPr>
      <w:r>
        <w:rPr>
          <w:noProof/>
          <w:rtl/>
        </w:rPr>
        <w:t>דחיית הרמב"ן דאף כשאפשר להביא עדים בקל אמרינן מיגו</w:t>
      </w:r>
    </w:p>
    <w:p w:rsidR="00103C1B" w:rsidRDefault="00103C1B" w:rsidP="007E4E81">
      <w:pPr>
        <w:pStyle w:val="a"/>
        <w:rPr>
          <w:rFonts w:eastAsiaTheme="minorEastAsia" w:cstheme="minorBidi"/>
          <w:sz w:val="22"/>
          <w:szCs w:val="22"/>
          <w:rtl/>
        </w:rPr>
      </w:pPr>
      <w:r>
        <w:rPr>
          <w:rtl/>
        </w:rPr>
        <w:t>דחיית הרמב"ן דאף כשאפשר להביא עדים בקל מהני מיגו וכ"ש הכא דנאמן מדין הפה שאסר</w:t>
      </w:r>
    </w:p>
    <w:p w:rsidR="00103C1B" w:rsidRDefault="00103C1B" w:rsidP="007E4E81">
      <w:pPr>
        <w:pStyle w:val="a"/>
        <w:rPr>
          <w:rFonts w:eastAsiaTheme="minorEastAsia" w:cstheme="minorBidi"/>
          <w:sz w:val="22"/>
          <w:szCs w:val="22"/>
          <w:rtl/>
        </w:rPr>
      </w:pPr>
      <w:r>
        <w:rPr>
          <w:rtl/>
        </w:rPr>
        <w:t>דברי הרמב"ן דכיון דנאמן בפה שאסר נקטו אביי ורבא לשון מודי דהודאתו מחייבתו</w:t>
      </w:r>
    </w:p>
    <w:p w:rsidR="00103C1B" w:rsidRDefault="00103C1B" w:rsidP="00103C1B">
      <w:pPr>
        <w:pStyle w:val="2"/>
        <w:rPr>
          <w:rFonts w:eastAsiaTheme="minorEastAsia" w:cstheme="minorBidi"/>
          <w:i/>
          <w:iCs/>
          <w:sz w:val="22"/>
          <w:szCs w:val="22"/>
          <w:rtl/>
        </w:rPr>
      </w:pPr>
      <w:r>
        <w:rPr>
          <w:rtl/>
        </w:rPr>
        <w:t>גי' הראשונים דיש עדים שקרוב טפי</w:t>
      </w:r>
    </w:p>
    <w:p w:rsidR="00103C1B" w:rsidRDefault="00103C1B" w:rsidP="00103C1B">
      <w:pPr>
        <w:pStyle w:val="aff4"/>
        <w:rPr>
          <w:rFonts w:eastAsiaTheme="minorEastAsia" w:cstheme="minorBidi"/>
          <w:i/>
          <w:iCs/>
          <w:noProof/>
          <w:sz w:val="22"/>
          <w:szCs w:val="22"/>
          <w:rtl/>
        </w:rPr>
      </w:pPr>
      <w:r>
        <w:rPr>
          <w:noProof/>
          <w:rtl/>
        </w:rPr>
        <w:t>גי' הרמב"ן דיש עדים דר"א קרוב יותר ונח' במיגו במק"ע</w:t>
      </w:r>
    </w:p>
    <w:p w:rsidR="00103C1B" w:rsidRDefault="00103C1B" w:rsidP="007E4E81">
      <w:pPr>
        <w:pStyle w:val="a"/>
        <w:rPr>
          <w:rFonts w:eastAsiaTheme="minorEastAsia" w:cstheme="minorBidi"/>
          <w:sz w:val="22"/>
          <w:szCs w:val="22"/>
          <w:rtl/>
        </w:rPr>
      </w:pPr>
      <w:r>
        <w:rPr>
          <w:rtl/>
        </w:rPr>
        <w:t>גירסת הרמב"ן דההוא גברא טען שהוא קרוב יותר ור"א הביא עדים שהוא הקרוב יותר</w:t>
      </w:r>
    </w:p>
    <w:p w:rsidR="00103C1B" w:rsidRDefault="00103C1B" w:rsidP="007E4E81">
      <w:pPr>
        <w:pStyle w:val="a"/>
        <w:rPr>
          <w:rFonts w:eastAsiaTheme="minorEastAsia" w:cstheme="minorBidi"/>
          <w:sz w:val="22"/>
          <w:szCs w:val="22"/>
          <w:rtl/>
        </w:rPr>
      </w:pPr>
      <w:r>
        <w:rPr>
          <w:rtl/>
        </w:rPr>
        <w:t>ביאור הרמב"ן ברב חסדא דע"י המיגו מתרצינן דיבוריה דכוונתו שקרוב לפירות ע"י שקנה ממנו</w:t>
      </w:r>
    </w:p>
    <w:p w:rsidR="00103C1B" w:rsidRDefault="00103C1B" w:rsidP="007E4E81">
      <w:pPr>
        <w:pStyle w:val="a"/>
        <w:rPr>
          <w:rFonts w:eastAsiaTheme="minorEastAsia" w:cstheme="minorBidi"/>
          <w:sz w:val="22"/>
          <w:szCs w:val="22"/>
          <w:rtl/>
        </w:rPr>
      </w:pPr>
      <w:r>
        <w:rPr>
          <w:rtl/>
        </w:rPr>
        <w:t>בי' הרשב"א ברב חסדא דכיון שיש לו מיגו טענינן מה שהיה יכול לטעון דכוונתו שקרוב לפירות</w:t>
      </w:r>
    </w:p>
    <w:p w:rsidR="00103C1B" w:rsidRDefault="00103C1B" w:rsidP="007E4E81">
      <w:pPr>
        <w:pStyle w:val="a"/>
        <w:rPr>
          <w:rFonts w:eastAsiaTheme="minorEastAsia" w:cstheme="minorBidi"/>
          <w:sz w:val="22"/>
          <w:szCs w:val="22"/>
          <w:rtl/>
        </w:rPr>
      </w:pPr>
      <w:r>
        <w:rPr>
          <w:rtl/>
        </w:rPr>
        <w:t>ביאור הרמב"ן דלאביי ורבא חשיב מיגו במקום עדים דדבריו משמע שקרוב ולא דהפירות קרובים</w:t>
      </w:r>
    </w:p>
    <w:p w:rsidR="00103C1B" w:rsidRDefault="00103C1B" w:rsidP="007E4E81">
      <w:pPr>
        <w:pStyle w:val="a"/>
        <w:rPr>
          <w:rFonts w:eastAsiaTheme="minorEastAsia" w:cstheme="minorBidi"/>
          <w:sz w:val="22"/>
          <w:szCs w:val="22"/>
          <w:rtl/>
        </w:rPr>
      </w:pPr>
      <w:r>
        <w:rPr>
          <w:rtl/>
        </w:rPr>
        <w:t>דחיית רבינו יונה והרשב"א דלשון אודי דוחק לפי"ז והיה לאביי ורבא לומר דהוא מיגו במק"ע</w:t>
      </w:r>
    </w:p>
    <w:p w:rsidR="00103C1B" w:rsidRDefault="00103C1B" w:rsidP="007E4E81">
      <w:pPr>
        <w:pStyle w:val="a"/>
        <w:rPr>
          <w:rFonts w:eastAsiaTheme="minorEastAsia" w:cstheme="minorBidi"/>
          <w:sz w:val="22"/>
          <w:szCs w:val="22"/>
          <w:rtl/>
        </w:rPr>
      </w:pPr>
      <w:r>
        <w:rPr>
          <w:rtl/>
        </w:rPr>
        <w:t>דברי הרמב"ן דנקטו אביי ורבא לשון אודי כיון דאינו חייב רק ע"י העדים אלא בעדים והודאה</w:t>
      </w:r>
    </w:p>
    <w:p w:rsidR="00103C1B" w:rsidRDefault="00103C1B" w:rsidP="007E4E81">
      <w:pPr>
        <w:pStyle w:val="a"/>
        <w:rPr>
          <w:rFonts w:eastAsiaTheme="minorEastAsia" w:cstheme="minorBidi"/>
          <w:sz w:val="22"/>
          <w:szCs w:val="22"/>
        </w:rPr>
      </w:pPr>
      <w:r>
        <w:rPr>
          <w:rtl/>
        </w:rPr>
        <w:t>הביאור הב' ברמב"ן דטוען שבתחילה אמר שאכל פירות ליפות טענתו ונח' אי חשיב הודאה</w:t>
      </w:r>
    </w:p>
    <w:p w:rsidR="00103C1B" w:rsidRDefault="00103C1B" w:rsidP="00103C1B">
      <w:pPr>
        <w:pStyle w:val="aff4"/>
        <w:rPr>
          <w:rFonts w:eastAsiaTheme="minorEastAsia" w:cstheme="minorBidi"/>
          <w:i/>
          <w:iCs/>
          <w:noProof/>
          <w:sz w:val="22"/>
          <w:szCs w:val="22"/>
          <w:rtl/>
        </w:rPr>
      </w:pPr>
      <w:r>
        <w:rPr>
          <w:noProof/>
          <w:rtl/>
        </w:rPr>
        <w:t>דברי הריטב"א דא"צ להביא עדים שהוא קרוב יותר</w:t>
      </w:r>
    </w:p>
    <w:p w:rsidR="00103C1B" w:rsidRDefault="00103C1B" w:rsidP="007E4E81">
      <w:pPr>
        <w:pStyle w:val="a"/>
        <w:rPr>
          <w:rFonts w:eastAsiaTheme="minorEastAsia" w:cstheme="minorBidi"/>
          <w:sz w:val="22"/>
          <w:szCs w:val="22"/>
          <w:rtl/>
        </w:rPr>
      </w:pPr>
      <w:r>
        <w:rPr>
          <w:rtl/>
        </w:rPr>
        <w:t>דחיית הריטב"א דא"צ להביא עדים דקרוב טפי וכל שיש לר"א עדים ההוא גברא בחזקת רחוק</w:t>
      </w:r>
    </w:p>
    <w:p w:rsidR="00103C1B" w:rsidRDefault="00103C1B" w:rsidP="00103C1B">
      <w:pPr>
        <w:pStyle w:val="2"/>
        <w:rPr>
          <w:rFonts w:eastAsiaTheme="minorEastAsia" w:cstheme="minorBidi"/>
          <w:i/>
          <w:iCs/>
          <w:sz w:val="22"/>
          <w:szCs w:val="22"/>
          <w:rtl/>
        </w:rPr>
      </w:pPr>
      <w:r>
        <w:rPr>
          <w:rtl/>
        </w:rPr>
        <w:lastRenderedPageBreak/>
        <w:t>בי' הרמב"ן דלא טען טפי ויש עדים לר"א</w:t>
      </w:r>
    </w:p>
    <w:p w:rsidR="00103C1B" w:rsidRDefault="00103C1B" w:rsidP="00103C1B">
      <w:pPr>
        <w:pStyle w:val="aff4"/>
        <w:rPr>
          <w:rFonts w:eastAsiaTheme="minorEastAsia" w:cstheme="minorBidi"/>
          <w:i/>
          <w:iCs/>
          <w:noProof/>
          <w:sz w:val="22"/>
          <w:szCs w:val="22"/>
          <w:rtl/>
        </w:rPr>
      </w:pPr>
      <w:r>
        <w:rPr>
          <w:noProof/>
          <w:rtl/>
        </w:rPr>
        <w:t>דברי הרמב"ן דההוא גברא מסופק אי ראוי לירש במקום ר"א</w:t>
      </w:r>
    </w:p>
    <w:p w:rsidR="00103C1B" w:rsidRDefault="00103C1B" w:rsidP="007E4E81">
      <w:pPr>
        <w:pStyle w:val="a"/>
        <w:rPr>
          <w:rFonts w:eastAsiaTheme="minorEastAsia" w:cstheme="minorBidi"/>
          <w:sz w:val="22"/>
          <w:szCs w:val="22"/>
          <w:rtl/>
        </w:rPr>
      </w:pPr>
      <w:r>
        <w:rPr>
          <w:rtl/>
        </w:rPr>
        <w:t>גי' הרמב"ן במסקנתו דבטענת ההוא גברא ל"ג דטען שקרוב טפי והביא ר"א עדים שהוא קרוב</w:t>
      </w:r>
    </w:p>
    <w:p w:rsidR="00103C1B" w:rsidRDefault="00103C1B" w:rsidP="007E4E81">
      <w:pPr>
        <w:pStyle w:val="a"/>
        <w:rPr>
          <w:rFonts w:eastAsiaTheme="minorEastAsia" w:cstheme="minorBidi"/>
          <w:sz w:val="22"/>
          <w:szCs w:val="22"/>
          <w:rtl/>
        </w:rPr>
      </w:pPr>
      <w:r>
        <w:rPr>
          <w:rtl/>
        </w:rPr>
        <w:t>בי' הרמב"ן דהעידו דר"א וודאי יורש וההוא גברא מסופק בטענתו אם גם הוא יורש במקום ר"א</w:t>
      </w:r>
    </w:p>
    <w:p w:rsidR="00103C1B" w:rsidRDefault="00103C1B" w:rsidP="00103C1B">
      <w:pPr>
        <w:pStyle w:val="aff4"/>
        <w:rPr>
          <w:rFonts w:eastAsiaTheme="minorEastAsia" w:cstheme="minorBidi"/>
          <w:i/>
          <w:iCs/>
          <w:noProof/>
          <w:sz w:val="22"/>
          <w:szCs w:val="22"/>
          <w:rtl/>
        </w:rPr>
      </w:pPr>
      <w:r>
        <w:rPr>
          <w:noProof/>
          <w:rtl/>
        </w:rPr>
        <w:t>בי' הרמב"ן ברב חסדא דיש מיגו על הפירות וא"א להוציא ממנו</w:t>
      </w:r>
    </w:p>
    <w:p w:rsidR="00103C1B" w:rsidRDefault="00103C1B" w:rsidP="007E4E81">
      <w:pPr>
        <w:pStyle w:val="a"/>
        <w:rPr>
          <w:rFonts w:eastAsiaTheme="minorEastAsia" w:cstheme="minorBidi"/>
          <w:sz w:val="22"/>
          <w:szCs w:val="22"/>
          <w:rtl/>
        </w:rPr>
      </w:pPr>
      <w:r>
        <w:rPr>
          <w:rtl/>
        </w:rPr>
        <w:t>ביאור הרמב"ן ברב חסדא דאין עדים על אכילת הפירות ונאמן לטעון דהוא קרוב ואכל חלקו</w:t>
      </w:r>
    </w:p>
    <w:p w:rsidR="00103C1B" w:rsidRDefault="00103C1B" w:rsidP="00103C1B">
      <w:pPr>
        <w:pStyle w:val="aff4"/>
        <w:rPr>
          <w:rFonts w:eastAsiaTheme="minorEastAsia" w:cstheme="minorBidi"/>
          <w:i/>
          <w:iCs/>
          <w:noProof/>
          <w:sz w:val="22"/>
          <w:szCs w:val="22"/>
          <w:rtl/>
        </w:rPr>
      </w:pPr>
      <w:r>
        <w:rPr>
          <w:noProof/>
          <w:rtl/>
        </w:rPr>
        <w:t>בי' הרמב"ן באביי ורבא דאין ספק מוציא מידי ודאי ול"מ מיגו</w:t>
      </w:r>
    </w:p>
    <w:p w:rsidR="00103C1B" w:rsidRDefault="00103C1B" w:rsidP="007E4E81">
      <w:pPr>
        <w:pStyle w:val="a"/>
        <w:rPr>
          <w:rFonts w:eastAsiaTheme="minorEastAsia" w:cstheme="minorBidi"/>
          <w:sz w:val="22"/>
          <w:szCs w:val="22"/>
          <w:rtl/>
        </w:rPr>
      </w:pPr>
      <w:r>
        <w:rPr>
          <w:rtl/>
        </w:rPr>
        <w:t>ביאור הרמב"ן באביי ורבא דר"א ודאי יורש וההוא גברא ספק ול"מ מיגו לספק להוציא מודאי</w:t>
      </w:r>
    </w:p>
    <w:p w:rsidR="00103C1B" w:rsidRDefault="00103C1B" w:rsidP="007E4E81">
      <w:pPr>
        <w:pStyle w:val="a"/>
        <w:rPr>
          <w:rFonts w:eastAsiaTheme="minorEastAsia" w:cstheme="minorBidi"/>
          <w:sz w:val="22"/>
          <w:szCs w:val="22"/>
          <w:rtl/>
        </w:rPr>
      </w:pPr>
      <w:r>
        <w:rPr>
          <w:rtl/>
        </w:rPr>
        <w:t>דברי הרמב"ן דדמי לספק ויבם דהיבם חשיב כודאי ואין הספק מוציא ממנו וה"ה ר"א חשיב ודאי</w:t>
      </w:r>
    </w:p>
    <w:p w:rsidR="00103C1B" w:rsidRDefault="00103C1B" w:rsidP="007E4E81">
      <w:pPr>
        <w:pStyle w:val="a"/>
        <w:rPr>
          <w:rFonts w:eastAsiaTheme="minorEastAsia" w:cstheme="minorBidi"/>
          <w:sz w:val="22"/>
          <w:szCs w:val="22"/>
          <w:rtl/>
        </w:rPr>
      </w:pPr>
      <w:r>
        <w:rPr>
          <w:rtl/>
        </w:rPr>
        <w:t>ביאור החת"ס ברמב"ן דאף ר"א עצמו היה מסופק אי ההוא גברא יורש כמוהו או שאינו יורש</w:t>
      </w:r>
    </w:p>
    <w:p w:rsidR="00103C1B" w:rsidRDefault="00103C1B" w:rsidP="007E4E81">
      <w:pPr>
        <w:pStyle w:val="a"/>
        <w:rPr>
          <w:rFonts w:eastAsiaTheme="minorEastAsia" w:cstheme="minorBidi"/>
          <w:sz w:val="22"/>
          <w:szCs w:val="22"/>
          <w:rtl/>
        </w:rPr>
      </w:pPr>
      <w:r>
        <w:rPr>
          <w:rtl/>
        </w:rPr>
        <w:t>ביאור הרמב"ן דאפשר לגרוס דבתחילה טען שר"א רחוק ממנו ובאו עדים שר"א גם קרוב</w:t>
      </w:r>
    </w:p>
    <w:p w:rsidR="00103C1B" w:rsidRDefault="00103C1B" w:rsidP="00103C1B">
      <w:pPr>
        <w:pStyle w:val="aff4"/>
        <w:rPr>
          <w:rFonts w:eastAsiaTheme="minorEastAsia" w:cstheme="minorBidi"/>
          <w:i/>
          <w:iCs/>
          <w:noProof/>
          <w:sz w:val="22"/>
          <w:szCs w:val="22"/>
          <w:rtl/>
        </w:rPr>
      </w:pPr>
      <w:r>
        <w:rPr>
          <w:noProof/>
          <w:rtl/>
        </w:rPr>
        <w:t>דעת הי"מ דהדקל בחזקת ההוא גברא וקו' הרמב"ן דיחלוקו</w:t>
      </w:r>
    </w:p>
    <w:p w:rsidR="00103C1B" w:rsidRDefault="00103C1B" w:rsidP="007E4E81">
      <w:pPr>
        <w:pStyle w:val="a"/>
        <w:rPr>
          <w:rFonts w:eastAsiaTheme="minorEastAsia" w:cstheme="minorBidi"/>
          <w:sz w:val="22"/>
          <w:szCs w:val="22"/>
          <w:rtl/>
        </w:rPr>
      </w:pPr>
      <w:r>
        <w:rPr>
          <w:rtl/>
        </w:rPr>
        <w:t>דברי הרמב"ן דיש מקצת נוסחאות דרב חסדא העמיד אף את הקרקע בידי ההוא גברא</w:t>
      </w:r>
    </w:p>
    <w:p w:rsidR="00103C1B" w:rsidRDefault="00103C1B" w:rsidP="007E4E81">
      <w:pPr>
        <w:pStyle w:val="a"/>
        <w:rPr>
          <w:rFonts w:eastAsiaTheme="minorEastAsia" w:cstheme="minorBidi"/>
          <w:sz w:val="22"/>
          <w:szCs w:val="22"/>
          <w:rtl/>
        </w:rPr>
      </w:pPr>
      <w:r>
        <w:rPr>
          <w:rtl/>
        </w:rPr>
        <w:t>דחיית הרמב"ן דכשאינם מודים זה לזה יחלוקו ואולי אפש"ל דהעמידו על חזקתו הראשונה</w:t>
      </w:r>
    </w:p>
    <w:p w:rsidR="00103C1B" w:rsidRDefault="00103C1B" w:rsidP="00103C1B">
      <w:pPr>
        <w:pStyle w:val="2"/>
        <w:rPr>
          <w:rFonts w:eastAsiaTheme="minorEastAsia" w:cstheme="minorBidi"/>
          <w:i/>
          <w:iCs/>
          <w:sz w:val="22"/>
          <w:szCs w:val="22"/>
          <w:rtl/>
        </w:rPr>
      </w:pPr>
      <w:r>
        <w:rPr>
          <w:rtl/>
        </w:rPr>
        <w:t>בי' הר"י מגאש דל"מ הפה שאסר במק"ע</w:t>
      </w:r>
    </w:p>
    <w:p w:rsidR="00103C1B" w:rsidRDefault="00103C1B" w:rsidP="00103C1B">
      <w:pPr>
        <w:pStyle w:val="aff4"/>
        <w:rPr>
          <w:rFonts w:eastAsiaTheme="minorEastAsia" w:cstheme="minorBidi"/>
          <w:i/>
          <w:iCs/>
          <w:noProof/>
          <w:sz w:val="22"/>
          <w:szCs w:val="22"/>
          <w:rtl/>
        </w:rPr>
      </w:pPr>
      <w:r>
        <w:rPr>
          <w:noProof/>
          <w:rtl/>
        </w:rPr>
        <w:t>ביאור הר"י מגאש והמאירי דנח' ר"ח ואביי בדין הפה שאסר</w:t>
      </w:r>
    </w:p>
    <w:p w:rsidR="00103C1B" w:rsidRDefault="00103C1B" w:rsidP="007E4E81">
      <w:pPr>
        <w:pStyle w:val="a"/>
        <w:rPr>
          <w:rFonts w:eastAsiaTheme="minorEastAsia" w:cstheme="minorBidi"/>
          <w:sz w:val="22"/>
          <w:szCs w:val="22"/>
          <w:rtl/>
        </w:rPr>
      </w:pPr>
      <w:r>
        <w:rPr>
          <w:rtl/>
        </w:rPr>
        <w:t>בי' הר"י מגאש דר"א הביא עדים דקרוב יותר ולרב חסדא א"צ להחזיר פירות מדין הפה שאסר</w:t>
      </w:r>
    </w:p>
    <w:p w:rsidR="00103C1B" w:rsidRDefault="00103C1B" w:rsidP="007E4E81">
      <w:pPr>
        <w:pStyle w:val="a"/>
        <w:rPr>
          <w:rFonts w:eastAsiaTheme="minorEastAsia" w:cstheme="minorBidi"/>
          <w:sz w:val="22"/>
          <w:szCs w:val="22"/>
          <w:rtl/>
        </w:rPr>
      </w:pPr>
      <w:r>
        <w:rPr>
          <w:rtl/>
        </w:rPr>
        <w:t>בי' הר"י מגאש והמאירי באביי ורבא דהפה שאסר ל"מ כשעדים מכחישים את טענת ההיתר</w:t>
      </w:r>
    </w:p>
    <w:p w:rsidR="00103C1B" w:rsidRDefault="00103C1B" w:rsidP="007E4E81">
      <w:pPr>
        <w:pStyle w:val="a"/>
        <w:rPr>
          <w:rFonts w:eastAsiaTheme="minorEastAsia" w:cstheme="minorBidi"/>
          <w:sz w:val="22"/>
          <w:szCs w:val="22"/>
          <w:rtl/>
        </w:rPr>
      </w:pPr>
      <w:r>
        <w:rPr>
          <w:rtl/>
        </w:rPr>
        <w:t>בי' הרמ"ה דלאביי ורבא הוא מיגו במק"ע דל"מ הפה שאסר כשעדים מכחישים את טענת ההיתר</w:t>
      </w:r>
    </w:p>
    <w:p w:rsidR="00103C1B" w:rsidRDefault="00103C1B" w:rsidP="007E4E81">
      <w:pPr>
        <w:pStyle w:val="a"/>
        <w:rPr>
          <w:rFonts w:eastAsiaTheme="minorEastAsia" w:cstheme="minorBidi"/>
          <w:sz w:val="22"/>
          <w:szCs w:val="22"/>
          <w:rtl/>
        </w:rPr>
      </w:pPr>
      <w:r>
        <w:rPr>
          <w:rtl/>
        </w:rPr>
        <w:t>דברי המאירי דקיי"ל כאביי ורבא בין לגי' דהודה לר"א ובין לגי' שיש עדים דאין לו הפה שאסר</w:t>
      </w:r>
    </w:p>
    <w:p w:rsidR="00103C1B" w:rsidRDefault="00103C1B" w:rsidP="007E4E81">
      <w:pPr>
        <w:pStyle w:val="a"/>
        <w:rPr>
          <w:rFonts w:eastAsiaTheme="minorEastAsia" w:cstheme="minorBidi"/>
          <w:sz w:val="22"/>
          <w:szCs w:val="22"/>
          <w:rtl/>
        </w:rPr>
      </w:pPr>
      <w:r>
        <w:rPr>
          <w:rtl/>
        </w:rPr>
        <w:t>דברי המאירי דאי גרסי' כר"ח א"צ להחזיר את הפירות דלא הוכחשה טענתו ונאמן בהפה שאסר</w:t>
      </w:r>
    </w:p>
    <w:p w:rsidR="00103C1B" w:rsidRDefault="00103C1B" w:rsidP="00103C1B">
      <w:pPr>
        <w:pStyle w:val="2"/>
        <w:rPr>
          <w:rtl/>
        </w:rPr>
      </w:pPr>
      <w:r>
        <w:rPr>
          <w:rtl/>
        </w:rPr>
        <w:t>ד' התוס' דדין הפירות כקרקע ול"מ מיגו</w:t>
      </w:r>
    </w:p>
    <w:p w:rsidR="00103C1B" w:rsidRDefault="00103C1B" w:rsidP="00103C1B">
      <w:pPr>
        <w:pStyle w:val="aff4"/>
        <w:rPr>
          <w:rFonts w:eastAsiaTheme="minorEastAsia" w:cstheme="minorBidi"/>
          <w:i/>
          <w:iCs/>
          <w:noProof/>
          <w:sz w:val="22"/>
          <w:szCs w:val="22"/>
          <w:rtl/>
        </w:rPr>
      </w:pPr>
      <w:r>
        <w:rPr>
          <w:noProof/>
          <w:rtl/>
        </w:rPr>
        <w:t>קו' התוס' והראשונים דבהודה שאכל ג"ש א"צ להחזיר פירות</w:t>
      </w:r>
    </w:p>
    <w:p w:rsidR="00103C1B" w:rsidRDefault="00103C1B" w:rsidP="007E4E81">
      <w:pPr>
        <w:pStyle w:val="a"/>
        <w:rPr>
          <w:rFonts w:eastAsiaTheme="minorEastAsia" w:cstheme="minorBidi"/>
          <w:sz w:val="22"/>
          <w:szCs w:val="22"/>
          <w:rtl/>
        </w:rPr>
      </w:pPr>
      <w:r>
        <w:rPr>
          <w:rtl/>
        </w:rPr>
        <w:t>קושית התוס' והראשונים להחזיר על אביי ורבא דבהודה שאכל ב"ש בלא עדים א"צ להחזיר</w:t>
      </w:r>
    </w:p>
    <w:p w:rsidR="00103C1B" w:rsidRDefault="00103C1B" w:rsidP="00103C1B">
      <w:pPr>
        <w:pStyle w:val="aff4"/>
        <w:rPr>
          <w:rFonts w:eastAsiaTheme="minorEastAsia" w:cstheme="minorBidi"/>
          <w:i/>
          <w:iCs/>
          <w:noProof/>
          <w:sz w:val="22"/>
          <w:szCs w:val="22"/>
          <w:rtl/>
        </w:rPr>
      </w:pPr>
      <w:r>
        <w:rPr>
          <w:noProof/>
          <w:rtl/>
        </w:rPr>
        <w:t>תירוץ התוס' דלטענתו יש לו חזקה וא"א להוציא ממנו פירות</w:t>
      </w:r>
    </w:p>
    <w:p w:rsidR="00103C1B" w:rsidRDefault="00103C1B" w:rsidP="007E4E81">
      <w:pPr>
        <w:pStyle w:val="a"/>
        <w:rPr>
          <w:rFonts w:eastAsiaTheme="minorEastAsia" w:cstheme="minorBidi"/>
          <w:sz w:val="22"/>
          <w:szCs w:val="22"/>
          <w:rtl/>
        </w:rPr>
      </w:pPr>
      <w:r>
        <w:rPr>
          <w:rtl/>
        </w:rPr>
        <w:t>תי' התוס' דלקמן איירי שטוען שאכל ג"ש ואי נאמן שאכלם א"כ יש לו חזקה וא"א להוציא ממנו</w:t>
      </w:r>
    </w:p>
    <w:p w:rsidR="00103C1B" w:rsidRDefault="00103C1B" w:rsidP="00103C1B">
      <w:pPr>
        <w:pStyle w:val="aff4"/>
        <w:rPr>
          <w:rFonts w:eastAsiaTheme="minorEastAsia" w:cstheme="minorBidi"/>
          <w:i/>
          <w:iCs/>
          <w:noProof/>
          <w:sz w:val="22"/>
          <w:szCs w:val="22"/>
          <w:rtl/>
        </w:rPr>
      </w:pPr>
      <w:r>
        <w:rPr>
          <w:noProof/>
          <w:rtl/>
        </w:rPr>
        <w:t>ביאור הש"ך בפלוג' הראשונים אי נאמן במיגו על הפירות</w:t>
      </w:r>
    </w:p>
    <w:p w:rsidR="00103C1B" w:rsidRDefault="00103C1B" w:rsidP="007E4E81">
      <w:pPr>
        <w:pStyle w:val="a"/>
        <w:rPr>
          <w:rFonts w:eastAsiaTheme="minorEastAsia" w:cstheme="minorBidi"/>
          <w:sz w:val="22"/>
          <w:szCs w:val="22"/>
          <w:rtl/>
        </w:rPr>
      </w:pPr>
      <w:r>
        <w:rPr>
          <w:rtl/>
        </w:rPr>
        <w:t>ביאור הסמ"ע בתוס' דביורש כל שאין לו מיגו בקרקע ויוצאת מתח"י ממילא מחזיר פירות</w:t>
      </w:r>
    </w:p>
    <w:p w:rsidR="00103C1B" w:rsidRDefault="00103C1B" w:rsidP="007E4E81">
      <w:pPr>
        <w:pStyle w:val="a"/>
        <w:rPr>
          <w:rFonts w:eastAsiaTheme="minorEastAsia" w:cstheme="minorBidi"/>
          <w:sz w:val="22"/>
          <w:szCs w:val="22"/>
          <w:rtl/>
        </w:rPr>
      </w:pPr>
      <w:r>
        <w:rPr>
          <w:rtl/>
        </w:rPr>
        <w:t>דברי הש"ך דלרשב"ם והרמב"ן והריב"ש והבעה"מ אף שלא נאמן בקרקע יש לו מיגו בפירות</w:t>
      </w:r>
    </w:p>
    <w:p w:rsidR="00103C1B" w:rsidRDefault="00103C1B" w:rsidP="00103C1B">
      <w:pPr>
        <w:pStyle w:val="aff4"/>
        <w:rPr>
          <w:rFonts w:eastAsiaTheme="minorEastAsia" w:cstheme="minorBidi"/>
          <w:i/>
          <w:iCs/>
          <w:noProof/>
          <w:sz w:val="22"/>
          <w:szCs w:val="22"/>
          <w:rtl/>
        </w:rPr>
      </w:pPr>
      <w:r>
        <w:rPr>
          <w:noProof/>
          <w:rtl/>
        </w:rPr>
        <w:t>בי' רבינו יונה והרשב"א דבמחזיק א"א להאמינו על פחות מג"ש</w:t>
      </w:r>
    </w:p>
    <w:p w:rsidR="00103C1B" w:rsidRDefault="00103C1B" w:rsidP="007E4E81">
      <w:pPr>
        <w:pStyle w:val="a"/>
        <w:rPr>
          <w:rFonts w:eastAsiaTheme="minorEastAsia" w:cstheme="minorBidi"/>
          <w:sz w:val="22"/>
          <w:szCs w:val="22"/>
          <w:rtl/>
        </w:rPr>
      </w:pPr>
      <w:r>
        <w:rPr>
          <w:rtl/>
        </w:rPr>
        <w:t>תי' רבינו יונה דאי נאמן שאכל ג"ש הקרקע שלו וא"א לומר דנאמן על ב' שנים ולא על ג"ש</w:t>
      </w:r>
    </w:p>
    <w:p w:rsidR="00103C1B" w:rsidRDefault="00103C1B" w:rsidP="007E4E81">
      <w:pPr>
        <w:pStyle w:val="a"/>
        <w:rPr>
          <w:rFonts w:eastAsiaTheme="minorEastAsia" w:cstheme="minorBidi"/>
          <w:sz w:val="22"/>
          <w:szCs w:val="22"/>
          <w:rtl/>
        </w:rPr>
      </w:pPr>
      <w:r>
        <w:rPr>
          <w:rtl/>
        </w:rPr>
        <w:t>ביאור רבינו יונה דלההוא גברא אין כל זכות באכילת הפירות ואם היו עדים חייב וה"ה כשהודה</w:t>
      </w:r>
    </w:p>
    <w:p w:rsidR="00103C1B" w:rsidRDefault="00103C1B" w:rsidP="007E4E81">
      <w:pPr>
        <w:pStyle w:val="a"/>
        <w:rPr>
          <w:rFonts w:eastAsiaTheme="minorEastAsia" w:cstheme="minorBidi"/>
          <w:sz w:val="22"/>
          <w:szCs w:val="22"/>
          <w:rtl/>
        </w:rPr>
      </w:pPr>
      <w:r>
        <w:rPr>
          <w:rtl/>
        </w:rPr>
        <w:t>בי' הרשב"א דהכא שניהם מודים שאכל פירות אך כשהמערער מכחישו אינו יכול להוציא ממנו</w:t>
      </w:r>
    </w:p>
    <w:p w:rsidR="00103C1B" w:rsidRDefault="00103C1B" w:rsidP="007E4E81">
      <w:pPr>
        <w:pStyle w:val="a"/>
        <w:rPr>
          <w:rFonts w:eastAsiaTheme="minorEastAsia" w:cstheme="minorBidi"/>
          <w:sz w:val="22"/>
          <w:szCs w:val="22"/>
          <w:rtl/>
        </w:rPr>
      </w:pPr>
      <w:r>
        <w:rPr>
          <w:rtl/>
        </w:rPr>
        <w:t>דברי הרשב"א דא"א לומר דהמערער יודה שאכל קצת פחות מג"ש דא"א להאמינו לחצאין</w:t>
      </w:r>
    </w:p>
    <w:p w:rsidR="00103C1B" w:rsidRDefault="00103C1B" w:rsidP="00103C1B">
      <w:pPr>
        <w:pStyle w:val="aff4"/>
        <w:rPr>
          <w:rFonts w:eastAsiaTheme="minorEastAsia" w:cstheme="minorBidi"/>
          <w:i/>
          <w:iCs/>
          <w:noProof/>
          <w:sz w:val="22"/>
          <w:szCs w:val="22"/>
          <w:rtl/>
        </w:rPr>
      </w:pPr>
      <w:r>
        <w:rPr>
          <w:noProof/>
          <w:rtl/>
        </w:rPr>
        <w:t>ביאור רבינו יונה דמיגו ל"מ כשאינו נאמן בעיקר טענתו</w:t>
      </w:r>
    </w:p>
    <w:p w:rsidR="00103C1B" w:rsidRDefault="00103C1B" w:rsidP="007E4E81">
      <w:pPr>
        <w:pStyle w:val="a"/>
        <w:rPr>
          <w:rFonts w:eastAsiaTheme="minorEastAsia" w:cstheme="minorBidi"/>
          <w:sz w:val="22"/>
          <w:szCs w:val="22"/>
          <w:rtl/>
        </w:rPr>
      </w:pPr>
      <w:r>
        <w:rPr>
          <w:rtl/>
        </w:rPr>
        <w:t>דברי רבינו יונה דכל שאינו נאמן בעיקר טענתו ל"מ מיגו לעקור את עיקר מה שטוען עכשיו</w:t>
      </w:r>
    </w:p>
    <w:p w:rsidR="00103C1B" w:rsidRDefault="00103C1B" w:rsidP="00103C1B">
      <w:pPr>
        <w:pStyle w:val="aff4"/>
        <w:rPr>
          <w:rFonts w:eastAsiaTheme="minorEastAsia" w:cstheme="minorBidi"/>
          <w:i/>
          <w:iCs/>
          <w:noProof/>
          <w:sz w:val="22"/>
          <w:szCs w:val="22"/>
          <w:rtl/>
        </w:rPr>
      </w:pPr>
      <w:r>
        <w:rPr>
          <w:noProof/>
          <w:rtl/>
        </w:rPr>
        <w:t>בי' חי' רמ"ש דלטענת המחזיק נולד הספק רק אחר שאבד השטר</w:t>
      </w:r>
    </w:p>
    <w:p w:rsidR="00103C1B" w:rsidRDefault="00103C1B" w:rsidP="007E4E81">
      <w:pPr>
        <w:pStyle w:val="a"/>
        <w:rPr>
          <w:rFonts w:eastAsiaTheme="minorEastAsia" w:cstheme="minorBidi"/>
          <w:sz w:val="22"/>
          <w:szCs w:val="22"/>
          <w:rtl/>
        </w:rPr>
      </w:pPr>
      <w:r>
        <w:rPr>
          <w:rtl/>
        </w:rPr>
        <w:t>תי' רמ"ש דהוברר למפרע דהדקל היה של ר"א אבל לטענת המערער הספק נולד כשאבד השטר</w:t>
      </w:r>
    </w:p>
    <w:p w:rsidR="00103C1B" w:rsidRDefault="00103C1B" w:rsidP="00103C1B">
      <w:pPr>
        <w:pStyle w:val="2"/>
        <w:rPr>
          <w:rtl/>
        </w:rPr>
      </w:pPr>
      <w:r>
        <w:rPr>
          <w:rtl/>
        </w:rPr>
        <w:t xml:space="preserve">ד' הרשב"ם דרק בסוגיין אין מיגו בפירות </w:t>
      </w:r>
    </w:p>
    <w:p w:rsidR="00103C1B" w:rsidRDefault="00103C1B" w:rsidP="00103C1B">
      <w:pPr>
        <w:pStyle w:val="aff4"/>
        <w:rPr>
          <w:rFonts w:eastAsiaTheme="minorEastAsia" w:cstheme="minorBidi"/>
          <w:i/>
          <w:iCs/>
          <w:noProof/>
          <w:sz w:val="22"/>
          <w:szCs w:val="22"/>
          <w:rtl/>
        </w:rPr>
      </w:pPr>
      <w:r>
        <w:rPr>
          <w:noProof/>
          <w:rtl/>
        </w:rPr>
        <w:t>דעת הרשב"ם דאף שמחזיר קרקע נאמן במיגו על הפירות</w:t>
      </w:r>
    </w:p>
    <w:p w:rsidR="00103C1B" w:rsidRDefault="00103C1B" w:rsidP="007E4E81">
      <w:pPr>
        <w:pStyle w:val="a"/>
        <w:rPr>
          <w:rFonts w:eastAsiaTheme="minorEastAsia" w:cstheme="minorBidi"/>
          <w:sz w:val="22"/>
          <w:szCs w:val="22"/>
          <w:rtl/>
        </w:rPr>
      </w:pPr>
      <w:r>
        <w:rPr>
          <w:rtl/>
        </w:rPr>
        <w:t>דברי הרשב"ם דבמקום שלטענתו הפירות שלו אף שהקרקע יוצאת מתח"י נאמן בפירות במיגו</w:t>
      </w:r>
    </w:p>
    <w:p w:rsidR="00103C1B" w:rsidRDefault="00103C1B" w:rsidP="007E4E81">
      <w:pPr>
        <w:pStyle w:val="a"/>
        <w:rPr>
          <w:rFonts w:eastAsiaTheme="minorEastAsia" w:cstheme="minorBidi"/>
          <w:sz w:val="22"/>
          <w:szCs w:val="22"/>
          <w:rtl/>
        </w:rPr>
      </w:pPr>
      <w:r>
        <w:rPr>
          <w:rtl/>
        </w:rPr>
        <w:t>בי' הרשב"ם באביי ורבא דהוברר דאין לההוא גברא חלק בקרקע והודה שאכל פירות שלא כדין</w:t>
      </w:r>
    </w:p>
    <w:p w:rsidR="00103C1B" w:rsidRDefault="00103C1B" w:rsidP="007E4E81">
      <w:pPr>
        <w:pStyle w:val="a"/>
        <w:rPr>
          <w:rFonts w:eastAsiaTheme="minorEastAsia" w:cstheme="minorBidi"/>
          <w:sz w:val="22"/>
          <w:szCs w:val="22"/>
          <w:rtl/>
        </w:rPr>
      </w:pPr>
      <w:r>
        <w:rPr>
          <w:rtl/>
        </w:rPr>
        <w:t>דברי הרשב"ם דבהודה שאכל פירות ב"ש נאמן על הפירות דאכל את שלו מדין הפה שאסר</w:t>
      </w:r>
    </w:p>
    <w:p w:rsidR="00103C1B" w:rsidRDefault="00103C1B" w:rsidP="007E4E81">
      <w:pPr>
        <w:pStyle w:val="a"/>
        <w:rPr>
          <w:rFonts w:eastAsiaTheme="minorEastAsia" w:cstheme="minorBidi"/>
          <w:sz w:val="22"/>
          <w:szCs w:val="22"/>
          <w:rtl/>
        </w:rPr>
      </w:pPr>
      <w:r>
        <w:rPr>
          <w:rtl/>
        </w:rPr>
        <w:t>דברי התוס' רי"ד דכשהודה שאכל ב"ש א"צ להחזיר פירות דנאמן לטעון אין אכלי ודידי אכלי</w:t>
      </w:r>
    </w:p>
    <w:p w:rsidR="00103C1B" w:rsidRDefault="00103C1B" w:rsidP="00103C1B">
      <w:pPr>
        <w:pStyle w:val="2"/>
        <w:rPr>
          <w:rFonts w:eastAsiaTheme="minorEastAsia" w:cstheme="minorBidi"/>
          <w:i/>
          <w:iCs/>
          <w:sz w:val="22"/>
          <w:szCs w:val="22"/>
          <w:rtl/>
        </w:rPr>
      </w:pPr>
      <w:r>
        <w:rPr>
          <w:rtl/>
        </w:rPr>
        <w:t>בי' הריב"ש מיגו ספק ל"מ להוציא מודאי</w:t>
      </w:r>
    </w:p>
    <w:p w:rsidR="00103C1B" w:rsidRDefault="00103C1B" w:rsidP="00103C1B">
      <w:pPr>
        <w:pStyle w:val="aff4"/>
        <w:rPr>
          <w:rFonts w:eastAsiaTheme="minorEastAsia" w:cstheme="minorBidi"/>
          <w:i/>
          <w:iCs/>
          <w:noProof/>
          <w:sz w:val="22"/>
          <w:szCs w:val="22"/>
          <w:rtl/>
        </w:rPr>
      </w:pPr>
      <w:r>
        <w:rPr>
          <w:noProof/>
          <w:rtl/>
        </w:rPr>
        <w:t>בי' הריב"ש דלר"ח ל"מ מיגו בפירות דאין ספק מוציא מודאי</w:t>
      </w:r>
    </w:p>
    <w:p w:rsidR="00103C1B" w:rsidRDefault="00103C1B" w:rsidP="007E4E81">
      <w:pPr>
        <w:pStyle w:val="a"/>
        <w:rPr>
          <w:rFonts w:eastAsiaTheme="minorEastAsia" w:cstheme="minorBidi"/>
          <w:sz w:val="22"/>
          <w:szCs w:val="22"/>
          <w:rtl/>
        </w:rPr>
      </w:pPr>
      <w:r>
        <w:rPr>
          <w:rtl/>
        </w:rPr>
        <w:t>דברי הריב"ש דבהודה על אכילת ג"ש נאמן במיגו שלא אכל כלל אף שמחזיר את הקרקע</w:t>
      </w:r>
    </w:p>
    <w:p w:rsidR="00103C1B" w:rsidRDefault="00103C1B" w:rsidP="007E4E81">
      <w:pPr>
        <w:pStyle w:val="a"/>
        <w:rPr>
          <w:rFonts w:eastAsiaTheme="minorEastAsia" w:cstheme="minorBidi"/>
          <w:sz w:val="22"/>
          <w:szCs w:val="22"/>
          <w:rtl/>
        </w:rPr>
      </w:pPr>
      <w:r>
        <w:rPr>
          <w:rtl/>
        </w:rPr>
        <w:t>ביאור הריב"ש באביי ורבא דל"מ מיגו לרמב"ן דהוא במק"ע ולר"ח דאין ספק מוציא מודאי</w:t>
      </w:r>
    </w:p>
    <w:p w:rsidR="00103C1B" w:rsidRDefault="00103C1B" w:rsidP="007E4E81">
      <w:pPr>
        <w:pStyle w:val="a"/>
        <w:rPr>
          <w:rFonts w:eastAsiaTheme="minorEastAsia" w:cstheme="minorBidi"/>
          <w:sz w:val="22"/>
          <w:szCs w:val="22"/>
          <w:rtl/>
        </w:rPr>
      </w:pPr>
      <w:r>
        <w:rPr>
          <w:rtl/>
        </w:rPr>
        <w:t>דברי הריב"ש דבעדים שאכל ב"ש וטוען שאכל ג"ש אינו נאמן על השנה הג' דא"כ יש לו חזקה</w:t>
      </w:r>
    </w:p>
    <w:p w:rsidR="00103C1B" w:rsidRDefault="00103C1B" w:rsidP="00103C1B">
      <w:pPr>
        <w:pStyle w:val="aff4"/>
        <w:rPr>
          <w:rFonts w:eastAsiaTheme="minorEastAsia" w:cstheme="minorBidi"/>
          <w:i/>
          <w:iCs/>
          <w:noProof/>
          <w:sz w:val="22"/>
          <w:szCs w:val="22"/>
          <w:rtl/>
        </w:rPr>
      </w:pPr>
      <w:r>
        <w:rPr>
          <w:noProof/>
          <w:rtl/>
        </w:rPr>
        <w:t>בי' תוס' דהודאה בפירות ל"ד למודה שכתב אזכרות שלא לשמן</w:t>
      </w:r>
    </w:p>
    <w:p w:rsidR="00103C1B" w:rsidRDefault="00103C1B" w:rsidP="007E4E81">
      <w:pPr>
        <w:pStyle w:val="a"/>
        <w:rPr>
          <w:rFonts w:eastAsiaTheme="minorEastAsia" w:cstheme="minorBidi"/>
          <w:sz w:val="22"/>
          <w:szCs w:val="22"/>
          <w:rtl/>
        </w:rPr>
      </w:pPr>
      <w:r>
        <w:rPr>
          <w:rtl/>
        </w:rPr>
        <w:t>דברי התוס' דא"א לומר דנאמן על אכילת פירות ולא נאמן שלקחה ואכלם בגזל</w:t>
      </w:r>
    </w:p>
    <w:p w:rsidR="00103C1B" w:rsidRDefault="00103C1B" w:rsidP="007E4E81">
      <w:pPr>
        <w:pStyle w:val="a"/>
        <w:rPr>
          <w:rFonts w:eastAsiaTheme="minorEastAsia" w:cstheme="minorBidi"/>
          <w:sz w:val="22"/>
          <w:szCs w:val="22"/>
          <w:rtl/>
        </w:rPr>
      </w:pPr>
      <w:r>
        <w:rPr>
          <w:rtl/>
        </w:rPr>
        <w:t>ספק רמ"ש אי כוונת התוס' דא"א להאמינו שאכל פירות ולא קנה את הקרקע הוא תרתי דסתרי</w:t>
      </w:r>
    </w:p>
    <w:p w:rsidR="00103C1B" w:rsidRDefault="00103C1B" w:rsidP="00103C1B">
      <w:pPr>
        <w:pStyle w:val="2"/>
        <w:rPr>
          <w:rFonts w:eastAsiaTheme="minorEastAsia" w:cstheme="minorBidi"/>
          <w:i/>
          <w:iCs/>
          <w:sz w:val="22"/>
          <w:szCs w:val="22"/>
        </w:rPr>
      </w:pPr>
      <w:r>
        <w:rPr>
          <w:rFonts w:hint="cs"/>
          <w:rtl/>
        </w:rPr>
        <w:t>~~~~~~~ ביאורי ראשי הישיבות ~~~~~~~</w:t>
      </w:r>
    </w:p>
    <w:p w:rsidR="00103C1B" w:rsidRDefault="00103C1B" w:rsidP="00103C1B">
      <w:pPr>
        <w:pStyle w:val="2"/>
        <w:rPr>
          <w:rFonts w:eastAsiaTheme="minorEastAsia" w:cstheme="minorBidi"/>
          <w:i/>
          <w:iCs/>
          <w:sz w:val="22"/>
          <w:szCs w:val="22"/>
          <w:rtl/>
        </w:rPr>
      </w:pPr>
      <w:r>
        <w:rPr>
          <w:rtl/>
        </w:rPr>
        <w:t>בביאור דעת הרשב"ם דהודה לר"א</w:t>
      </w:r>
    </w:p>
    <w:p w:rsidR="00103C1B" w:rsidRDefault="00103C1B" w:rsidP="00103C1B">
      <w:pPr>
        <w:pStyle w:val="aff4"/>
        <w:rPr>
          <w:rFonts w:eastAsiaTheme="minorEastAsia" w:cstheme="minorBidi"/>
          <w:i/>
          <w:iCs/>
          <w:noProof/>
          <w:sz w:val="22"/>
          <w:szCs w:val="22"/>
          <w:rtl/>
        </w:rPr>
      </w:pPr>
      <w:r>
        <w:rPr>
          <w:noProof/>
          <w:rtl/>
        </w:rPr>
        <w:t>דברי הגרנ"פ דצ"ל ברשב"ם דלא הודה לר"א רק טוען שמא</w:t>
      </w:r>
    </w:p>
    <w:p w:rsidR="00103C1B" w:rsidRDefault="00103C1B" w:rsidP="007E4E81">
      <w:pPr>
        <w:pStyle w:val="a"/>
        <w:rPr>
          <w:rFonts w:eastAsiaTheme="minorEastAsia" w:cstheme="minorBidi"/>
          <w:sz w:val="22"/>
          <w:szCs w:val="22"/>
          <w:rtl/>
        </w:rPr>
      </w:pPr>
      <w:r>
        <w:rPr>
          <w:rtl/>
        </w:rPr>
        <w:t>דברי הגרנ"פ דצריך לדחוק ברשב"ם דלא הודה דר"א קרוב יותר רק חזר ממה שטען טענת ברי</w:t>
      </w:r>
    </w:p>
    <w:p w:rsidR="00103C1B" w:rsidRDefault="00103C1B" w:rsidP="007E4E81">
      <w:pPr>
        <w:pStyle w:val="a"/>
        <w:rPr>
          <w:rFonts w:eastAsiaTheme="minorEastAsia" w:cstheme="minorBidi"/>
          <w:sz w:val="22"/>
          <w:szCs w:val="22"/>
          <w:rtl/>
        </w:rPr>
      </w:pPr>
      <w:r>
        <w:rPr>
          <w:rtl/>
        </w:rPr>
        <w:t>דברי הגרנ"פ דלפי"ז רב חסדא העמיד בידי ר"א דברי עדיף ולא התבטל דין כדא"ג למפרע</w:t>
      </w:r>
    </w:p>
    <w:p w:rsidR="00103C1B" w:rsidRDefault="00103C1B" w:rsidP="00103C1B">
      <w:pPr>
        <w:pStyle w:val="aff4"/>
        <w:rPr>
          <w:rFonts w:eastAsiaTheme="minorEastAsia" w:cstheme="minorBidi"/>
          <w:i/>
          <w:iCs/>
          <w:noProof/>
          <w:sz w:val="22"/>
          <w:szCs w:val="22"/>
          <w:rtl/>
        </w:rPr>
      </w:pPr>
      <w:r>
        <w:rPr>
          <w:noProof/>
          <w:rtl/>
        </w:rPr>
        <w:t>בי' הגרנ"ט ברשב"ם דל"מ הפה שאסר מטענת ספק לטענת שמא</w:t>
      </w:r>
    </w:p>
    <w:p w:rsidR="00103C1B" w:rsidRDefault="00103C1B" w:rsidP="007E4E81">
      <w:pPr>
        <w:pStyle w:val="a"/>
        <w:rPr>
          <w:rFonts w:eastAsiaTheme="minorEastAsia" w:cstheme="minorBidi"/>
          <w:sz w:val="22"/>
          <w:szCs w:val="22"/>
          <w:rtl/>
        </w:rPr>
      </w:pPr>
      <w:r>
        <w:rPr>
          <w:rtl/>
        </w:rPr>
        <w:t>ביאור הגרנ"ט ברשב"ם דהפה שאסר הוא רק בהיה נאמן בטענה שהיה טוען בתחילה כמו עכשיו</w:t>
      </w:r>
    </w:p>
    <w:p w:rsidR="00103C1B" w:rsidRDefault="00103C1B" w:rsidP="007E4E81">
      <w:pPr>
        <w:pStyle w:val="a"/>
        <w:rPr>
          <w:rFonts w:eastAsiaTheme="minorEastAsia" w:cstheme="minorBidi"/>
          <w:sz w:val="22"/>
          <w:szCs w:val="22"/>
          <w:rtl/>
        </w:rPr>
      </w:pPr>
      <w:r>
        <w:rPr>
          <w:rtl/>
        </w:rPr>
        <w:t>דברי הגרנ"ט דאי לא היה מודה לר"א היה הדין כדא"ג ול"מ הפה שאסר אחר שהודה שאין ספק</w:t>
      </w:r>
    </w:p>
    <w:p w:rsidR="00103C1B" w:rsidRDefault="00103C1B" w:rsidP="00103C1B">
      <w:pPr>
        <w:pStyle w:val="2"/>
        <w:rPr>
          <w:rFonts w:eastAsiaTheme="minorEastAsia" w:cstheme="minorBidi"/>
          <w:i/>
          <w:iCs/>
          <w:sz w:val="22"/>
          <w:szCs w:val="22"/>
          <w:rtl/>
        </w:rPr>
      </w:pPr>
      <w:r>
        <w:rPr>
          <w:rtl/>
        </w:rPr>
        <w:t>בפלוג' הראשונים בגדר דין הפה שאסר</w:t>
      </w:r>
    </w:p>
    <w:p w:rsidR="00103C1B" w:rsidRDefault="00103C1B" w:rsidP="00103C1B">
      <w:pPr>
        <w:pStyle w:val="aff4"/>
        <w:rPr>
          <w:rFonts w:eastAsiaTheme="minorEastAsia" w:cstheme="minorBidi"/>
          <w:i/>
          <w:iCs/>
          <w:noProof/>
          <w:sz w:val="22"/>
          <w:szCs w:val="22"/>
          <w:rtl/>
        </w:rPr>
      </w:pPr>
      <w:r>
        <w:rPr>
          <w:noProof/>
          <w:rtl/>
        </w:rPr>
        <w:t>ביאור הגרנ"פ בפלוגתת הרשב"ם והרשב"א בדין הפה שאסר</w:t>
      </w:r>
    </w:p>
    <w:p w:rsidR="00103C1B" w:rsidRDefault="00103C1B" w:rsidP="007E4E81">
      <w:pPr>
        <w:pStyle w:val="a"/>
        <w:rPr>
          <w:rFonts w:eastAsiaTheme="minorEastAsia" w:cstheme="minorBidi"/>
          <w:sz w:val="22"/>
          <w:szCs w:val="22"/>
          <w:rtl/>
        </w:rPr>
      </w:pPr>
      <w:r>
        <w:rPr>
          <w:rtl/>
        </w:rPr>
        <w:t>בי' הגרנ"פ ברשב"ם דהפה שאסר מהני מדין נאמנות ואחר שהודה דר"א מוחזק ל"מ הפה שאסר</w:t>
      </w:r>
    </w:p>
    <w:p w:rsidR="00103C1B" w:rsidRDefault="00103C1B" w:rsidP="007E4E81">
      <w:pPr>
        <w:pStyle w:val="a"/>
        <w:rPr>
          <w:rFonts w:eastAsiaTheme="minorEastAsia" w:cstheme="minorBidi"/>
          <w:sz w:val="22"/>
          <w:szCs w:val="22"/>
          <w:rtl/>
        </w:rPr>
      </w:pPr>
      <w:r>
        <w:rPr>
          <w:rtl/>
        </w:rPr>
        <w:t>בי' הגרנ"פ ברשב"א דבהפה שאסר חשיב שלא הודה כלל ואף דר"א מוחזק לא חשיב שהודה</w:t>
      </w:r>
    </w:p>
    <w:p w:rsidR="00103C1B" w:rsidRDefault="00103C1B" w:rsidP="00103C1B">
      <w:pPr>
        <w:pStyle w:val="aff4"/>
        <w:rPr>
          <w:rFonts w:eastAsiaTheme="minorEastAsia" w:cstheme="minorBidi"/>
          <w:i/>
          <w:iCs/>
          <w:noProof/>
          <w:sz w:val="22"/>
          <w:szCs w:val="22"/>
          <w:rtl/>
        </w:rPr>
      </w:pPr>
      <w:r>
        <w:rPr>
          <w:noProof/>
          <w:rtl/>
        </w:rPr>
        <w:t>בי' הגרנ"פ ברמב"ן ובר"י מגאש בדין הפה שאסר במק"ע</w:t>
      </w:r>
    </w:p>
    <w:p w:rsidR="00103C1B" w:rsidRDefault="00103C1B" w:rsidP="007E4E81">
      <w:pPr>
        <w:pStyle w:val="a"/>
        <w:rPr>
          <w:rFonts w:eastAsiaTheme="minorEastAsia" w:cstheme="minorBidi"/>
          <w:sz w:val="22"/>
          <w:szCs w:val="22"/>
          <w:rtl/>
        </w:rPr>
      </w:pPr>
      <w:r>
        <w:rPr>
          <w:rtl/>
        </w:rPr>
        <w:t>דברי הגרנ"פ דמבואר ברמב"ן דרב חסדא נחלק עם אביי ורבא בדין הפה שאסר במק"ע</w:t>
      </w:r>
    </w:p>
    <w:p w:rsidR="00103C1B" w:rsidRDefault="00103C1B" w:rsidP="007E4E81">
      <w:pPr>
        <w:pStyle w:val="a"/>
        <w:rPr>
          <w:rFonts w:eastAsiaTheme="minorEastAsia" w:cstheme="minorBidi"/>
          <w:sz w:val="22"/>
          <w:szCs w:val="22"/>
          <w:rtl/>
        </w:rPr>
      </w:pPr>
      <w:r>
        <w:rPr>
          <w:rtl/>
        </w:rPr>
        <w:t>ביאר הגרנ"פ ברמב"ן דהפה שאסר אינו נאמנות וחשיב שלא הודה ולרב חסדא מהני במק"ע</w:t>
      </w:r>
    </w:p>
    <w:p w:rsidR="00103C1B" w:rsidRDefault="00103C1B" w:rsidP="007E4E81">
      <w:pPr>
        <w:pStyle w:val="a"/>
        <w:rPr>
          <w:rFonts w:eastAsiaTheme="minorEastAsia" w:cstheme="minorBidi"/>
          <w:sz w:val="22"/>
          <w:szCs w:val="22"/>
          <w:rtl/>
        </w:rPr>
      </w:pPr>
      <w:r>
        <w:rPr>
          <w:rtl/>
        </w:rPr>
        <w:t>ביאור הגרנ"פ ברמב"ן ובר"י מגאש דלאביי ורבא דכנגד עדים אין טענת ההיתר טענה דהיא שקר</w:t>
      </w:r>
    </w:p>
    <w:p w:rsidR="00103C1B" w:rsidRDefault="00103C1B" w:rsidP="00103C1B">
      <w:pPr>
        <w:pStyle w:val="aff4"/>
        <w:rPr>
          <w:rFonts w:eastAsiaTheme="minorEastAsia" w:cstheme="minorBidi"/>
          <w:i/>
          <w:iCs/>
          <w:noProof/>
          <w:sz w:val="22"/>
          <w:szCs w:val="22"/>
          <w:rtl/>
        </w:rPr>
      </w:pPr>
      <w:r>
        <w:rPr>
          <w:noProof/>
          <w:rtl/>
        </w:rPr>
        <w:t>ביאור הגרנ"פ בדעת הרשב"א דהכא אינו נאמן במיגו דלהד"ם</w:t>
      </w:r>
    </w:p>
    <w:p w:rsidR="00103C1B" w:rsidRDefault="00103C1B" w:rsidP="007E4E81">
      <w:pPr>
        <w:pStyle w:val="a"/>
        <w:rPr>
          <w:rFonts w:eastAsiaTheme="minorEastAsia" w:cstheme="minorBidi"/>
          <w:sz w:val="22"/>
          <w:szCs w:val="22"/>
          <w:rtl/>
        </w:rPr>
      </w:pPr>
      <w:r>
        <w:rPr>
          <w:rtl/>
        </w:rPr>
        <w:t>בי' הגרנ"פ ברשב"א דבהיה יכול לזכות בטענת ספק ל"מ מיגו אחר שהודה והפה שאסר מהני</w:t>
      </w:r>
    </w:p>
    <w:p w:rsidR="00103C1B" w:rsidRDefault="00103C1B" w:rsidP="00103C1B">
      <w:pPr>
        <w:pStyle w:val="2"/>
        <w:rPr>
          <w:rFonts w:eastAsiaTheme="minorEastAsia" w:cstheme="minorBidi"/>
          <w:i/>
          <w:iCs/>
          <w:sz w:val="22"/>
          <w:szCs w:val="22"/>
          <w:rtl/>
        </w:rPr>
      </w:pPr>
      <w:r>
        <w:rPr>
          <w:rtl/>
        </w:rPr>
        <w:t>אי חשיב מיגו במק"ע כשהודה בפירות</w:t>
      </w:r>
    </w:p>
    <w:p w:rsidR="00103C1B" w:rsidRDefault="00103C1B" w:rsidP="00103C1B">
      <w:pPr>
        <w:pStyle w:val="aff4"/>
        <w:rPr>
          <w:rFonts w:eastAsiaTheme="minorEastAsia" w:cstheme="minorBidi"/>
          <w:i/>
          <w:iCs/>
          <w:noProof/>
          <w:sz w:val="22"/>
          <w:szCs w:val="22"/>
          <w:rtl/>
        </w:rPr>
      </w:pPr>
      <w:r>
        <w:rPr>
          <w:noProof/>
          <w:rtl/>
        </w:rPr>
        <w:t>ביאור הגרב"ב בפלוג' תוס' והרשב"ם אי חשיב מיגו במק"ע</w:t>
      </w:r>
    </w:p>
    <w:p w:rsidR="00103C1B" w:rsidRDefault="00103C1B" w:rsidP="007E4E81">
      <w:pPr>
        <w:pStyle w:val="a"/>
        <w:rPr>
          <w:rFonts w:eastAsiaTheme="minorEastAsia" w:cstheme="minorBidi"/>
          <w:sz w:val="22"/>
          <w:szCs w:val="22"/>
          <w:rtl/>
        </w:rPr>
      </w:pPr>
      <w:r>
        <w:rPr>
          <w:rtl/>
        </w:rPr>
        <w:t>ביאור הגרב"ב בתוס' וברמ"ה דכשהקרקע יוצאת מתח"י המיגו על הפירות חשיב כמיגו במק"ע</w:t>
      </w:r>
    </w:p>
    <w:p w:rsidR="00103C1B" w:rsidRDefault="00103C1B" w:rsidP="007E4E81">
      <w:pPr>
        <w:pStyle w:val="a"/>
        <w:rPr>
          <w:rFonts w:eastAsiaTheme="minorEastAsia" w:cstheme="minorBidi"/>
          <w:sz w:val="22"/>
          <w:szCs w:val="22"/>
          <w:rtl/>
        </w:rPr>
      </w:pPr>
      <w:r>
        <w:rPr>
          <w:rtl/>
        </w:rPr>
        <w:t>בי' הגרב"ב בתוס' דבטוען שאכל ג"ש אף שיוצאת מתח"י נאמן על הפירות דלטענתו יש לו חזקה</w:t>
      </w:r>
    </w:p>
    <w:p w:rsidR="00103C1B" w:rsidRDefault="00103C1B" w:rsidP="007E4E81">
      <w:pPr>
        <w:pStyle w:val="a"/>
        <w:rPr>
          <w:rFonts w:eastAsiaTheme="minorEastAsia" w:cstheme="minorBidi"/>
          <w:sz w:val="22"/>
          <w:szCs w:val="22"/>
          <w:rtl/>
        </w:rPr>
      </w:pPr>
      <w:r>
        <w:rPr>
          <w:rtl/>
        </w:rPr>
        <w:t>קושית הגרב"ב על הרשב"ם דהיאך נאמן במיגו על פירות כשהודה ואמאי אינו כמיגו במק"ע</w:t>
      </w:r>
    </w:p>
    <w:p w:rsidR="00103C1B" w:rsidRDefault="00103C1B" w:rsidP="007E4E81">
      <w:pPr>
        <w:pStyle w:val="a"/>
        <w:rPr>
          <w:rFonts w:eastAsiaTheme="minorEastAsia" w:cstheme="minorBidi"/>
          <w:sz w:val="22"/>
          <w:szCs w:val="22"/>
          <w:rtl/>
        </w:rPr>
      </w:pPr>
      <w:r>
        <w:rPr>
          <w:rtl/>
        </w:rPr>
        <w:t>ביאור הגרב"ב ברשב"ם דאף על הקרקע המיגו אינו נגד המר"ק ולכן אף בפירות אינו במק"ע</w:t>
      </w:r>
    </w:p>
    <w:p w:rsidR="00103C1B" w:rsidRDefault="00103C1B" w:rsidP="00103C1B">
      <w:pPr>
        <w:pStyle w:val="2"/>
        <w:rPr>
          <w:rFonts w:eastAsiaTheme="minorEastAsia" w:cstheme="minorBidi"/>
          <w:i/>
          <w:iCs/>
          <w:sz w:val="22"/>
          <w:szCs w:val="22"/>
          <w:rtl/>
        </w:rPr>
      </w:pPr>
      <w:r>
        <w:rPr>
          <w:rtl/>
        </w:rPr>
        <w:t>בדין אין ספק מוציא מודאי במיגו בפירות</w:t>
      </w:r>
    </w:p>
    <w:p w:rsidR="00103C1B" w:rsidRDefault="00103C1B" w:rsidP="00103C1B">
      <w:pPr>
        <w:pStyle w:val="aff4"/>
        <w:rPr>
          <w:rFonts w:eastAsiaTheme="minorEastAsia" w:cstheme="minorBidi"/>
          <w:i/>
          <w:iCs/>
          <w:noProof/>
          <w:sz w:val="22"/>
          <w:szCs w:val="22"/>
          <w:rtl/>
        </w:rPr>
      </w:pPr>
      <w:r>
        <w:rPr>
          <w:noProof/>
          <w:rtl/>
        </w:rPr>
        <w:t>ביאור הגרב"ב בתוס' דכשאינו זוכה בטענה ל"מ טענה לפירות</w:t>
      </w:r>
    </w:p>
    <w:p w:rsidR="00103C1B" w:rsidRDefault="00103C1B" w:rsidP="007E4E81">
      <w:pPr>
        <w:pStyle w:val="a"/>
        <w:rPr>
          <w:rFonts w:eastAsiaTheme="minorEastAsia" w:cstheme="minorBidi"/>
          <w:sz w:val="22"/>
          <w:szCs w:val="22"/>
          <w:rtl/>
        </w:rPr>
      </w:pPr>
      <w:r>
        <w:rPr>
          <w:rtl/>
        </w:rPr>
        <w:t>ביאור הגרב"ב בתוס' דכל שאינו זוכה בטענה על הקרקע ממילא לא מהני טענתו על הפירות</w:t>
      </w:r>
    </w:p>
    <w:p w:rsidR="00103C1B" w:rsidRDefault="00103C1B" w:rsidP="00103C1B">
      <w:pPr>
        <w:pStyle w:val="aff4"/>
        <w:rPr>
          <w:rFonts w:eastAsiaTheme="minorEastAsia" w:cstheme="minorBidi"/>
          <w:i/>
          <w:iCs/>
          <w:noProof/>
          <w:sz w:val="22"/>
          <w:szCs w:val="22"/>
          <w:rtl/>
        </w:rPr>
      </w:pPr>
      <w:r>
        <w:rPr>
          <w:noProof/>
          <w:rtl/>
        </w:rPr>
        <w:t>בי' הגרב"ב ברשב"ם ובריב"ש בדין אין ספק מוציא מודאי</w:t>
      </w:r>
    </w:p>
    <w:p w:rsidR="00103C1B" w:rsidRDefault="00103C1B" w:rsidP="007E4E81">
      <w:pPr>
        <w:pStyle w:val="a"/>
        <w:rPr>
          <w:rFonts w:eastAsiaTheme="minorEastAsia" w:cstheme="minorBidi"/>
          <w:sz w:val="22"/>
          <w:szCs w:val="22"/>
          <w:rtl/>
        </w:rPr>
      </w:pPr>
      <w:r>
        <w:rPr>
          <w:rtl/>
        </w:rPr>
        <w:t>ביאור הגרב"ב ברשב"ם ובריב"ש דנאמן במיגו בפירות אבל בסוגיין אין ספק מוציא מידי ודאי</w:t>
      </w:r>
    </w:p>
    <w:p w:rsidR="00103C1B" w:rsidRDefault="00103C1B" w:rsidP="007E4E81">
      <w:pPr>
        <w:pStyle w:val="a"/>
        <w:rPr>
          <w:rFonts w:eastAsiaTheme="minorEastAsia" w:cstheme="minorBidi"/>
          <w:sz w:val="22"/>
          <w:szCs w:val="22"/>
          <w:rtl/>
        </w:rPr>
      </w:pPr>
      <w:r>
        <w:rPr>
          <w:rtl/>
        </w:rPr>
        <w:t>בי' הגר"ח דודאי נחשב כבירור גמור ובי' הגרב"ב דלכן ר"א חשיב כיורש ויש בירור שהוא מוחזק</w:t>
      </w:r>
    </w:p>
    <w:p w:rsidR="00103C1B" w:rsidRDefault="00103C1B" w:rsidP="007E4E81">
      <w:pPr>
        <w:pStyle w:val="a"/>
        <w:rPr>
          <w:rFonts w:eastAsiaTheme="minorEastAsia" w:cstheme="minorBidi"/>
          <w:sz w:val="22"/>
          <w:szCs w:val="22"/>
          <w:rtl/>
        </w:rPr>
      </w:pPr>
      <w:r>
        <w:rPr>
          <w:rtl/>
        </w:rPr>
        <w:t>ביאור הגרב"ב בריב"ש דטענת מינך זבינתה היא טענה אף בלא ראיה ולכן נאמן במיגו בפירות</w:t>
      </w:r>
    </w:p>
    <w:p w:rsidR="00103C1B" w:rsidRDefault="00103C1B" w:rsidP="007E4E81">
      <w:pPr>
        <w:pStyle w:val="a"/>
        <w:rPr>
          <w:rFonts w:eastAsiaTheme="minorEastAsia" w:cstheme="minorBidi"/>
          <w:sz w:val="22"/>
          <w:szCs w:val="22"/>
          <w:rtl/>
        </w:rPr>
      </w:pPr>
      <w:r>
        <w:rPr>
          <w:rtl/>
        </w:rPr>
        <w:t>ביאור הגרב"ב בריב"ש דר"א ודאי יורש אין טענת ההוא גברא טענה ול"מ מיגו על הפירות</w:t>
      </w:r>
    </w:p>
    <w:p w:rsidR="00103C1B" w:rsidRDefault="00103C1B" w:rsidP="00103C1B">
      <w:pPr>
        <w:pStyle w:val="aff4"/>
        <w:rPr>
          <w:rFonts w:eastAsiaTheme="minorEastAsia" w:cstheme="minorBidi"/>
          <w:i/>
          <w:iCs/>
          <w:noProof/>
          <w:sz w:val="22"/>
          <w:szCs w:val="22"/>
          <w:rtl/>
        </w:rPr>
      </w:pPr>
      <w:r>
        <w:rPr>
          <w:noProof/>
          <w:rtl/>
        </w:rPr>
        <w:t>ביאור הגרש"ר בריב"ש דביורש הפירות הם תולדה מהקרקע</w:t>
      </w:r>
    </w:p>
    <w:p w:rsidR="00103C1B" w:rsidRDefault="00103C1B" w:rsidP="007E4E81">
      <w:pPr>
        <w:pStyle w:val="a"/>
        <w:rPr>
          <w:rFonts w:eastAsiaTheme="minorEastAsia" w:cstheme="minorBidi"/>
          <w:sz w:val="22"/>
          <w:szCs w:val="22"/>
          <w:rtl/>
        </w:rPr>
      </w:pPr>
      <w:r>
        <w:rPr>
          <w:rtl/>
        </w:rPr>
        <w:t>קו' הגרש"ר על הגרב"ב דאף בטוען לקוחה בידי הקרקע בחזקת המר"ק בודאי ול"מ מיגו בפירות</w:t>
      </w:r>
    </w:p>
    <w:p w:rsidR="00103C1B" w:rsidRDefault="00103C1B" w:rsidP="007E4E81">
      <w:pPr>
        <w:pStyle w:val="a"/>
        <w:rPr>
          <w:rFonts w:eastAsiaTheme="minorEastAsia" w:cstheme="minorBidi"/>
          <w:sz w:val="22"/>
          <w:szCs w:val="22"/>
          <w:rtl/>
        </w:rPr>
      </w:pPr>
      <w:r>
        <w:rPr>
          <w:rtl/>
        </w:rPr>
        <w:t>ביאור הגרש"ר בריב"ש דבטוען לקוחה פלגינן דיבוריה וביורש א"א לחלק את הנאמנות</w:t>
      </w:r>
    </w:p>
    <w:p w:rsidR="00103C1B" w:rsidRDefault="00103C1B" w:rsidP="007E4E81">
      <w:pPr>
        <w:pStyle w:val="a"/>
        <w:rPr>
          <w:rFonts w:eastAsiaTheme="minorEastAsia" w:cstheme="minorBidi"/>
          <w:sz w:val="22"/>
          <w:szCs w:val="22"/>
          <w:rtl/>
        </w:rPr>
      </w:pPr>
      <w:r>
        <w:rPr>
          <w:rtl/>
        </w:rPr>
        <w:t>ביאור הגרש"ר בש"ך דלריב"ש מהני מיגו אף ביורש דס"ל כרמב"ן דמודה שהוא ספק יורש</w:t>
      </w:r>
    </w:p>
    <w:p w:rsidR="00103C1B" w:rsidRDefault="00103C1B" w:rsidP="007E4E81">
      <w:pPr>
        <w:pStyle w:val="a"/>
        <w:rPr>
          <w:rFonts w:eastAsiaTheme="minorEastAsia" w:cstheme="minorBidi"/>
          <w:sz w:val="22"/>
          <w:szCs w:val="22"/>
          <w:rtl/>
        </w:rPr>
      </w:pPr>
      <w:r>
        <w:rPr>
          <w:rtl/>
        </w:rPr>
        <w:t>דברי הגרש"ר דבריב"ש ל"מ כרמב"ן אלא ס"ל דביורש הפירות תולדה מהקרקע כדכ' הגרב"ב</w:t>
      </w:r>
    </w:p>
    <w:p w:rsidR="00103C1B" w:rsidRDefault="00103C1B" w:rsidP="00103C1B">
      <w:pPr>
        <w:pStyle w:val="aff4"/>
        <w:rPr>
          <w:rFonts w:eastAsiaTheme="minorEastAsia" w:cstheme="minorBidi"/>
          <w:i/>
          <w:iCs/>
          <w:noProof/>
          <w:sz w:val="22"/>
          <w:szCs w:val="22"/>
          <w:rtl/>
        </w:rPr>
      </w:pPr>
      <w:r>
        <w:rPr>
          <w:noProof/>
          <w:rtl/>
        </w:rPr>
        <w:t>בי' הדברי מרדכי בתוס' עפי"ד הברכ"ש דאין ספק מוציא מודאי</w:t>
      </w:r>
    </w:p>
    <w:p w:rsidR="00103C1B" w:rsidRDefault="00103C1B" w:rsidP="007E4E81">
      <w:pPr>
        <w:pStyle w:val="a"/>
        <w:rPr>
          <w:rFonts w:eastAsiaTheme="minorEastAsia" w:cstheme="minorBidi"/>
          <w:sz w:val="22"/>
          <w:szCs w:val="22"/>
          <w:rtl/>
        </w:rPr>
      </w:pPr>
      <w:r>
        <w:rPr>
          <w:rtl/>
        </w:rPr>
        <w:t>ביאור הדברי מרדכי בתוס' דא"א לחלק את הנאמנות בקרקע מהנאמנות על הפירות</w:t>
      </w:r>
    </w:p>
    <w:p w:rsidR="00103C1B" w:rsidRDefault="00103C1B" w:rsidP="007E4E81">
      <w:pPr>
        <w:pStyle w:val="a"/>
        <w:rPr>
          <w:rFonts w:eastAsiaTheme="minorEastAsia" w:cstheme="minorBidi"/>
          <w:sz w:val="22"/>
          <w:szCs w:val="22"/>
          <w:rtl/>
        </w:rPr>
      </w:pPr>
      <w:r>
        <w:rPr>
          <w:rtl/>
        </w:rPr>
        <w:t>ביאור הדברי מרדכי בתוס' דהקרקע ודאי בידי ר"א אך א"כ קשה דאמאי ל"מ מיגו בפירות</w:t>
      </w:r>
    </w:p>
    <w:p w:rsidR="00103C1B" w:rsidRDefault="00103C1B" w:rsidP="007E4E81">
      <w:pPr>
        <w:pStyle w:val="a"/>
        <w:rPr>
          <w:rFonts w:eastAsiaTheme="minorEastAsia" w:cstheme="minorBidi"/>
          <w:sz w:val="22"/>
          <w:szCs w:val="22"/>
          <w:rtl/>
        </w:rPr>
      </w:pPr>
      <w:r>
        <w:rPr>
          <w:rtl/>
        </w:rPr>
        <w:t>ביאור הדברי מרדכי בתוס' דתפיסה בקרקע דמר"ק חשיבא כודאי ותפיסת המחזיק אינה ספק</w:t>
      </w:r>
    </w:p>
    <w:p w:rsidR="00103C1B" w:rsidRDefault="00103C1B" w:rsidP="00103C1B">
      <w:pPr>
        <w:pStyle w:val="aff4"/>
        <w:rPr>
          <w:rFonts w:eastAsiaTheme="minorEastAsia" w:cstheme="minorBidi"/>
          <w:i/>
          <w:iCs/>
          <w:noProof/>
          <w:sz w:val="22"/>
          <w:szCs w:val="22"/>
          <w:rtl/>
        </w:rPr>
      </w:pPr>
      <w:r>
        <w:rPr>
          <w:noProof/>
          <w:rtl/>
        </w:rPr>
        <w:t>ביאור הקוב"ש דנח' תוס' והריב"ש במיגו כשהקרקע אינה יוצאת</w:t>
      </w:r>
    </w:p>
    <w:p w:rsidR="00103C1B" w:rsidRDefault="00103C1B" w:rsidP="007E4E81">
      <w:pPr>
        <w:pStyle w:val="a"/>
        <w:rPr>
          <w:rFonts w:eastAsiaTheme="minorEastAsia" w:cstheme="minorBidi"/>
          <w:sz w:val="22"/>
          <w:szCs w:val="22"/>
          <w:rtl/>
        </w:rPr>
      </w:pPr>
      <w:r>
        <w:rPr>
          <w:rtl/>
        </w:rPr>
        <w:t>דברי הקוב"ש דמשמע בתוס' דאי לא הייתה הקרקע יוצאת מתח"י היה נאמן על הפירות במיגו</w:t>
      </w:r>
    </w:p>
    <w:p w:rsidR="00103C1B" w:rsidRDefault="00103C1B" w:rsidP="007E4E81">
      <w:pPr>
        <w:pStyle w:val="a"/>
        <w:rPr>
          <w:rFonts w:eastAsiaTheme="minorEastAsia" w:cstheme="minorBidi"/>
          <w:sz w:val="22"/>
          <w:szCs w:val="22"/>
          <w:rtl/>
        </w:rPr>
      </w:pPr>
      <w:r>
        <w:rPr>
          <w:rtl/>
        </w:rPr>
        <w:t>דברי הקוב"ש דבריב"ש מבואר דהא דלא מהני המיגו הוא מדין אין ספק מוציא מידי ודאי</w:t>
      </w:r>
    </w:p>
    <w:p w:rsidR="00103C1B" w:rsidRDefault="00103C1B" w:rsidP="00103C1B">
      <w:pPr>
        <w:pStyle w:val="2"/>
        <w:rPr>
          <w:rFonts w:eastAsiaTheme="minorEastAsia" w:cstheme="minorBidi"/>
          <w:i/>
          <w:iCs/>
          <w:sz w:val="22"/>
          <w:szCs w:val="22"/>
          <w:rtl/>
        </w:rPr>
      </w:pPr>
      <w:r>
        <w:rPr>
          <w:rtl/>
        </w:rPr>
        <w:t>בדין כח הטענה במיגו בפירות</w:t>
      </w:r>
    </w:p>
    <w:p w:rsidR="00103C1B" w:rsidRDefault="00103C1B" w:rsidP="00103C1B">
      <w:pPr>
        <w:pStyle w:val="aff4"/>
        <w:rPr>
          <w:rFonts w:eastAsiaTheme="minorEastAsia" w:cstheme="minorBidi"/>
          <w:i/>
          <w:iCs/>
          <w:noProof/>
          <w:sz w:val="22"/>
          <w:szCs w:val="22"/>
          <w:rtl/>
        </w:rPr>
      </w:pPr>
      <w:r>
        <w:rPr>
          <w:noProof/>
          <w:rtl/>
        </w:rPr>
        <w:t>ביאור הקוב"ש בתוס' דבמיגו כח הטענה פלגינן נאמנות בפירות</w:t>
      </w:r>
    </w:p>
    <w:p w:rsidR="00103C1B" w:rsidRDefault="00103C1B" w:rsidP="007E4E81">
      <w:pPr>
        <w:pStyle w:val="a"/>
        <w:rPr>
          <w:rFonts w:eastAsiaTheme="minorEastAsia" w:cstheme="minorBidi"/>
          <w:sz w:val="22"/>
          <w:szCs w:val="22"/>
          <w:rtl/>
        </w:rPr>
      </w:pPr>
      <w:r>
        <w:rPr>
          <w:rtl/>
        </w:rPr>
        <w:t>בי' הקוב"ש בתוס' דהא דל"מ מיגו בפירות כיון שאין לו כח הטענה בקרקע אף שיש לו נאמנות</w:t>
      </w:r>
    </w:p>
    <w:p w:rsidR="00103C1B" w:rsidRDefault="00103C1B" w:rsidP="007E4E81">
      <w:pPr>
        <w:pStyle w:val="a"/>
        <w:rPr>
          <w:rFonts w:eastAsiaTheme="minorEastAsia" w:cstheme="minorBidi"/>
          <w:sz w:val="22"/>
          <w:szCs w:val="22"/>
          <w:rtl/>
        </w:rPr>
      </w:pPr>
      <w:r>
        <w:rPr>
          <w:rtl/>
        </w:rPr>
        <w:t>בי' הקוב"ש דלאביי ורבא יש לו על הפירות ראיה מדין מיגו כח הטענה א"א לחלקם מדין הקרקע</w:t>
      </w:r>
    </w:p>
    <w:p w:rsidR="00103C1B" w:rsidRDefault="00103C1B" w:rsidP="00103C1B">
      <w:pPr>
        <w:pStyle w:val="aff4"/>
        <w:rPr>
          <w:rFonts w:eastAsiaTheme="minorEastAsia" w:cstheme="minorBidi"/>
          <w:i/>
          <w:iCs/>
          <w:noProof/>
          <w:sz w:val="22"/>
          <w:szCs w:val="22"/>
          <w:rtl/>
        </w:rPr>
      </w:pPr>
      <w:r>
        <w:rPr>
          <w:noProof/>
          <w:rtl/>
        </w:rPr>
        <w:t>ביאור הגרנ"פ בתוס' וברבינו יונה דאין כח טענה במיגו בפירות</w:t>
      </w:r>
    </w:p>
    <w:p w:rsidR="00103C1B" w:rsidRDefault="00103C1B" w:rsidP="007E4E81">
      <w:pPr>
        <w:pStyle w:val="a"/>
        <w:rPr>
          <w:rFonts w:eastAsiaTheme="minorEastAsia" w:cstheme="minorBidi"/>
          <w:sz w:val="22"/>
          <w:szCs w:val="22"/>
          <w:rtl/>
        </w:rPr>
      </w:pPr>
      <w:r>
        <w:rPr>
          <w:rtl/>
        </w:rPr>
        <w:t>דברי הגרנ"פ דאפש"ל דס"ל להתוס' דהמיגו בפירות ל"מ דהוא כעין מיגו להוציא</w:t>
      </w:r>
    </w:p>
    <w:p w:rsidR="00103C1B" w:rsidRDefault="00103C1B" w:rsidP="007E4E81">
      <w:pPr>
        <w:pStyle w:val="a"/>
        <w:rPr>
          <w:rtl/>
        </w:rPr>
        <w:sectPr w:rsidR="00103C1B" w:rsidSect="00DC277F">
          <w:headerReference w:type="even" r:id="rId141"/>
          <w:footerReference w:type="even" r:id="rId142"/>
          <w:headerReference w:type="first" r:id="rId143"/>
          <w:footerReference w:type="first" r:id="rId144"/>
          <w:type w:val="continuous"/>
          <w:pgSz w:w="11906" w:h="16838"/>
          <w:pgMar w:top="720" w:right="720" w:bottom="720" w:left="720" w:header="283" w:footer="283" w:gutter="0"/>
          <w:cols w:num="2" w:space="113"/>
          <w:titlePg/>
          <w:bidi/>
          <w:rtlGutter/>
          <w:docGrid w:linePitch="299"/>
        </w:sectPr>
      </w:pPr>
      <w:r>
        <w:rPr>
          <w:rtl/>
        </w:rPr>
        <w:t>ביאור הגרנ"פ בתוס' וברבינו יונה דכל שבטלה עיקר הטענה בקרקע אין כח טענה במיגו בפירות</w:t>
      </w:r>
    </w:p>
    <w:p w:rsidR="00103C1B" w:rsidRDefault="00103C1B" w:rsidP="007E4E81">
      <w:pPr>
        <w:pStyle w:val="a"/>
        <w:numPr>
          <w:ilvl w:val="0"/>
          <w:numId w:val="0"/>
        </w:numPr>
        <w:rPr>
          <w:rtl/>
        </w:rPr>
      </w:pPr>
    </w:p>
    <w:p w:rsidR="00103C1B" w:rsidRDefault="00103C1B" w:rsidP="00103C1B">
      <w:pPr>
        <w:pStyle w:val="2"/>
        <w:rPr>
          <w:rtl/>
        </w:rPr>
        <w:sectPr w:rsidR="00103C1B"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103C1B" w:rsidRDefault="00103C1B" w:rsidP="00103C1B">
      <w:pPr>
        <w:pStyle w:val="afe"/>
      </w:pPr>
      <w:bookmarkStart w:id="15455" w:name="_Toc64454543"/>
      <w:bookmarkStart w:id="15456" w:name="_Toc64458631"/>
      <w:bookmarkStart w:id="15457" w:name="_Toc64549008"/>
      <w:bookmarkStart w:id="15458" w:name="_Toc64576169"/>
      <w:bookmarkStart w:id="15459" w:name="_Toc64588754"/>
      <w:bookmarkStart w:id="15460" w:name="_Toc64629345"/>
      <w:bookmarkStart w:id="15461" w:name="_Toc64642808"/>
      <w:r>
        <w:rPr>
          <w:rFonts w:hint="cs"/>
          <w:rtl/>
        </w:rPr>
        <w:lastRenderedPageBreak/>
        <w:t>~~~</w:t>
      </w:r>
      <w:r>
        <w:rPr>
          <w:rFonts w:hint="cs"/>
          <w:noProof/>
          <w:rtl/>
        </w:rPr>
        <w:t>~~</w:t>
      </w:r>
      <w:r>
        <w:rPr>
          <w:rFonts w:hint="cs"/>
          <w:rtl/>
        </w:rPr>
        <w:t>~~ מראי מקומות וביאורים ~~~</w:t>
      </w:r>
      <w:r>
        <w:rPr>
          <w:rFonts w:hint="cs"/>
          <w:noProof/>
          <w:rtl/>
        </w:rPr>
        <w:t>~~</w:t>
      </w:r>
      <w:r>
        <w:rPr>
          <w:rFonts w:hint="cs"/>
          <w:rtl/>
        </w:rPr>
        <w:t>~~</w:t>
      </w:r>
    </w:p>
    <w:p w:rsidR="00103C1B" w:rsidRDefault="00103C1B" w:rsidP="00103C1B">
      <w:pPr>
        <w:bidi w:val="0"/>
        <w:ind w:left="0"/>
        <w:jc w:val="left"/>
        <w:rPr>
          <w:rFonts w:ascii="Guttman Adii-Light" w:eastAsia="Guttman Adii-Light" w:hAnsi="Guttman Adii-Light" w:cs="Guttman Hodes"/>
          <w:bCs/>
          <w:szCs w:val="28"/>
          <w:rtl/>
        </w:rPr>
        <w:sectPr w:rsidR="00103C1B">
          <w:pgSz w:w="11906" w:h="16838"/>
          <w:pgMar w:top="720" w:right="720" w:bottom="720" w:left="720" w:header="283" w:footer="283" w:gutter="0"/>
          <w:cols w:space="720"/>
          <w:bidi/>
          <w:rtlGutter/>
        </w:sectPr>
      </w:pPr>
    </w:p>
    <w:p w:rsidR="00103C1B" w:rsidRDefault="00103C1B" w:rsidP="00103C1B">
      <w:pPr>
        <w:pStyle w:val="afe"/>
        <w:rPr>
          <w:rtl/>
        </w:rPr>
      </w:pPr>
      <w:r>
        <w:rPr>
          <w:rFonts w:hint="cs"/>
          <w:rtl/>
        </w:rPr>
        <w:t>גי' הרשב"ם דהודה דרב אידי קרוב טפי</w:t>
      </w:r>
      <w:bookmarkEnd w:id="15455"/>
      <w:bookmarkEnd w:id="15456"/>
      <w:bookmarkEnd w:id="15457"/>
      <w:bookmarkEnd w:id="15458"/>
      <w:bookmarkEnd w:id="15459"/>
      <w:bookmarkEnd w:id="15460"/>
      <w:bookmarkEnd w:id="15461"/>
    </w:p>
    <w:p w:rsidR="00103C1B" w:rsidRDefault="00103C1B" w:rsidP="00103C1B">
      <w:pPr>
        <w:pStyle w:val="1"/>
        <w:rPr>
          <w:rtl/>
        </w:rPr>
      </w:pPr>
      <w:bookmarkStart w:id="15462" w:name="_Toc64407311"/>
      <w:bookmarkStart w:id="15463" w:name="_Toc64454544"/>
      <w:bookmarkStart w:id="15464" w:name="_Toc64458632"/>
      <w:bookmarkStart w:id="15465" w:name="_Toc64549009"/>
      <w:bookmarkStart w:id="15466" w:name="_Toc64576170"/>
      <w:bookmarkStart w:id="15467" w:name="_Toc64588755"/>
      <w:bookmarkStart w:id="15468" w:name="_Toc64629346"/>
      <w:bookmarkStart w:id="15469" w:name="_Toc64642809"/>
      <w:r>
        <w:rPr>
          <w:rFonts w:hint="cs"/>
          <w:rtl/>
        </w:rPr>
        <w:t>דברי הרשב"ם</w:t>
      </w:r>
      <w:bookmarkEnd w:id="15462"/>
      <w:bookmarkEnd w:id="15463"/>
      <w:bookmarkEnd w:id="15464"/>
      <w:bookmarkEnd w:id="15465"/>
      <w:r>
        <w:rPr>
          <w:rFonts w:hint="cs"/>
          <w:rtl/>
        </w:rPr>
        <w:t xml:space="preserve"> דההוא גברא הודה שרב אידי קרוב יותר ממנו</w:t>
      </w:r>
      <w:bookmarkEnd w:id="15466"/>
      <w:bookmarkEnd w:id="15467"/>
      <w:bookmarkEnd w:id="15468"/>
      <w:bookmarkEnd w:id="15469"/>
    </w:p>
    <w:p w:rsidR="00103C1B" w:rsidRDefault="00103C1B" w:rsidP="00103C1B">
      <w:pPr>
        <w:pStyle w:val="a3"/>
        <w:rPr>
          <w:rtl/>
        </w:rPr>
      </w:pPr>
      <w:bookmarkStart w:id="15470" w:name="_Toc64576171"/>
      <w:bookmarkStart w:id="15471" w:name="_Toc64588756"/>
      <w:bookmarkStart w:id="15472" w:name="_Toc64629347"/>
      <w:bookmarkStart w:id="15473" w:name="_Toc64642810"/>
      <w:r>
        <w:rPr>
          <w:rFonts w:hint="cs"/>
          <w:rtl/>
        </w:rPr>
        <w:t>דברי הרשב"ם דכשלא היה ידוע מי הקרוב החזיק ההוא גברא בדקל מדין כל דאלים גבר</w:t>
      </w:r>
      <w:bookmarkEnd w:id="15470"/>
      <w:bookmarkEnd w:id="15471"/>
      <w:bookmarkEnd w:id="15472"/>
      <w:bookmarkEnd w:id="15473"/>
    </w:p>
    <w:p w:rsidR="00103C1B" w:rsidRDefault="00103C1B" w:rsidP="00BA3263">
      <w:pPr>
        <w:pStyle w:val="a0"/>
        <w:numPr>
          <w:ilvl w:val="0"/>
          <w:numId w:val="34"/>
        </w:numPr>
        <w:rPr>
          <w:rtl/>
        </w:rPr>
      </w:pPr>
      <w:bookmarkStart w:id="15474" w:name="_Ref64450886"/>
      <w:r>
        <w:rPr>
          <w:rFonts w:hint="cs"/>
          <w:rtl/>
        </w:rPr>
        <w:t xml:space="preserve">כתב </w:t>
      </w:r>
      <w:r w:rsidRPr="001F2661">
        <w:rPr>
          <w:rStyle w:val="af9"/>
          <w:rFonts w:hint="cs"/>
          <w:rtl/>
        </w:rPr>
        <w:t>הרשב"ם</w:t>
      </w:r>
      <w:r>
        <w:rPr>
          <w:rFonts w:hint="cs"/>
          <w:rtl/>
        </w:rPr>
        <w:t xml:space="preserve"> </w:t>
      </w:r>
      <w:r w:rsidRPr="007E4E81">
        <w:rPr>
          <w:rStyle w:val="af7"/>
          <w:rFonts w:eastAsia="Guttman Hodes" w:hint="cs"/>
          <w:rtl/>
        </w:rPr>
        <w:t>(ד"ה אתא)</w:t>
      </w:r>
      <w:r>
        <w:rPr>
          <w:rFonts w:hint="cs"/>
          <w:rtl/>
        </w:rPr>
        <w:t xml:space="preserve"> דכיון שלא היה ידוע מיהו הקרוב יותר, לכן </w:t>
      </w:r>
      <w:r>
        <w:rPr>
          <w:rtl/>
        </w:rPr>
        <w:t>ההוא גברא</w:t>
      </w:r>
      <w:r>
        <w:rPr>
          <w:rFonts w:hint="cs"/>
          <w:rtl/>
        </w:rPr>
        <w:t xml:space="preserve"> שהיה יותר אלים החזיק בקרקע, דהא אמר ר"נ לקמן </w:t>
      </w:r>
      <w:r w:rsidRPr="007E4E81">
        <w:rPr>
          <w:rStyle w:val="af7"/>
          <w:rFonts w:eastAsia="Guttman Hodes" w:hint="cs"/>
          <w:rtl/>
        </w:rPr>
        <w:t>(לד:)</w:t>
      </w:r>
      <w:r>
        <w:rPr>
          <w:rFonts w:hint="cs"/>
          <w:rtl/>
        </w:rPr>
        <w:t xml:space="preserve"> דבזה אומר של אבותי וזה אומר של אבותי, אמרינן כל דאלים גבר.</w:t>
      </w:r>
      <w:bookmarkEnd w:id="15474"/>
    </w:p>
    <w:p w:rsidR="00103C1B" w:rsidRDefault="00103C1B" w:rsidP="00103C1B">
      <w:pPr>
        <w:pStyle w:val="a3"/>
        <w:rPr>
          <w:rtl/>
        </w:rPr>
      </w:pPr>
      <w:bookmarkStart w:id="15475" w:name="_Toc64576172"/>
      <w:bookmarkStart w:id="15476" w:name="_Toc64588757"/>
      <w:bookmarkStart w:id="15477" w:name="_Toc64629348"/>
      <w:bookmarkStart w:id="15478" w:name="_Toc64642811"/>
      <w:r>
        <w:rPr>
          <w:rFonts w:hint="cs"/>
          <w:rtl/>
        </w:rPr>
        <w:t>דברי הרשב"ם דאחר שנה או שנתיים שהחזיק ההוא גברא בדקל הודה שרב אידי קרוב יותר</w:t>
      </w:r>
      <w:bookmarkEnd w:id="15475"/>
      <w:bookmarkEnd w:id="15476"/>
      <w:bookmarkEnd w:id="15477"/>
      <w:bookmarkEnd w:id="15478"/>
    </w:p>
    <w:p w:rsidR="00103C1B" w:rsidRDefault="00103C1B" w:rsidP="007E4E81">
      <w:pPr>
        <w:pStyle w:val="a0"/>
        <w:rPr>
          <w:rtl/>
        </w:rPr>
      </w:pPr>
      <w:bookmarkStart w:id="15479" w:name="_Ref64451602"/>
      <w:r>
        <w:rPr>
          <w:rFonts w:hint="cs"/>
          <w:rtl/>
        </w:rPr>
        <w:t xml:space="preserve">וכתב </w:t>
      </w:r>
      <w:r w:rsidRPr="001F2661">
        <w:rPr>
          <w:rStyle w:val="af9"/>
          <w:rFonts w:hint="cs"/>
          <w:rtl/>
        </w:rPr>
        <w:t>הרשב"ם</w:t>
      </w:r>
      <w:r>
        <w:rPr>
          <w:rFonts w:hint="cs"/>
          <w:rtl/>
        </w:rPr>
        <w:t xml:space="preserve"> </w:t>
      </w:r>
      <w:r w:rsidRPr="001F2661">
        <w:rPr>
          <w:rStyle w:val="af7"/>
          <w:rFonts w:eastAsia="Guttman Hodes" w:hint="cs"/>
          <w:rtl/>
        </w:rPr>
        <w:t>(ד"ה לסוף, ד"ה אודי)</w:t>
      </w:r>
      <w:r>
        <w:rPr>
          <w:rFonts w:hint="cs"/>
          <w:rtl/>
        </w:rPr>
        <w:t xml:space="preserve"> דלאחר שנה או שנתיים שהחזיק </w:t>
      </w:r>
      <w:r>
        <w:rPr>
          <w:rtl/>
        </w:rPr>
        <w:t>ההוא גברא</w:t>
      </w:r>
      <w:r>
        <w:rPr>
          <w:rFonts w:hint="cs"/>
          <w:rtl/>
        </w:rPr>
        <w:t xml:space="preserve"> בדקל, הוא הודה דרב אידי הוא קרוב יותר, וכן הביאו </w:t>
      </w:r>
      <w:r w:rsidRPr="008C7973">
        <w:rPr>
          <w:rStyle w:val="af9"/>
          <w:rFonts w:hint="cs"/>
          <w:rtl/>
        </w:rPr>
        <w:t>הרי"ף</w:t>
      </w:r>
      <w:r>
        <w:rPr>
          <w:rStyle w:val="af9"/>
          <w:rFonts w:hint="cs"/>
          <w:rtl/>
        </w:rPr>
        <w:t xml:space="preserve"> </w:t>
      </w:r>
      <w:r w:rsidRPr="008C7973">
        <w:rPr>
          <w:rStyle w:val="af7"/>
          <w:rFonts w:eastAsia="Guttman Hodes" w:hint="cs"/>
          <w:rtl/>
        </w:rPr>
        <w:t>(יז. מדה"ר)</w:t>
      </w:r>
      <w:r>
        <w:rPr>
          <w:rFonts w:hint="cs"/>
          <w:rtl/>
        </w:rPr>
        <w:t xml:space="preserve"> </w:t>
      </w:r>
      <w:r>
        <w:rPr>
          <w:rStyle w:val="af9"/>
          <w:rFonts w:hint="cs"/>
          <w:rtl/>
        </w:rPr>
        <w:t xml:space="preserve">והרא"ש </w:t>
      </w:r>
      <w:r w:rsidRPr="00BA2724">
        <w:rPr>
          <w:rStyle w:val="af7"/>
          <w:rFonts w:eastAsia="Guttman Hodes" w:hint="cs"/>
          <w:rtl/>
        </w:rPr>
        <w:t xml:space="preserve">(סי' י"ט) </w:t>
      </w:r>
      <w:r>
        <w:rPr>
          <w:rFonts w:hint="cs"/>
          <w:rtl/>
        </w:rPr>
        <w:t xml:space="preserve">לישנא בתרא דגרסינן דהודה שרב אידי קרוב יותר, </w:t>
      </w:r>
      <w:r w:rsidRPr="00820FB1">
        <w:rPr>
          <w:rStyle w:val="afb"/>
          <w:rFonts w:hint="cs"/>
          <w:rtl/>
        </w:rPr>
        <w:t xml:space="preserve">[ועי' במ"ש </w:t>
      </w:r>
      <w:r w:rsidRPr="00820FB1">
        <w:rPr>
          <w:rStyle w:val="affa"/>
          <w:rFonts w:hint="cs"/>
          <w:rtl/>
        </w:rPr>
        <w:t>הרמב"ן</w:t>
      </w:r>
      <w:r w:rsidRPr="00820FB1">
        <w:rPr>
          <w:rStyle w:val="afb"/>
          <w:rFonts w:hint="cs"/>
          <w:rtl/>
        </w:rPr>
        <w:t xml:space="preserve"> </w:t>
      </w:r>
      <w:r w:rsidRPr="00820FB1">
        <w:rPr>
          <w:rStyle w:val="aff6"/>
          <w:rFonts w:hint="cs"/>
          <w:rtl/>
        </w:rPr>
        <w:t xml:space="preserve">(עי' אות </w:t>
      </w:r>
      <w:r w:rsidRPr="00820FB1">
        <w:rPr>
          <w:rStyle w:val="aff6"/>
          <w:rtl/>
        </w:rPr>
        <w:fldChar w:fldCharType="begin"/>
      </w:r>
      <w:r w:rsidRPr="00820FB1">
        <w:rPr>
          <w:rStyle w:val="aff6"/>
          <w:rtl/>
        </w:rPr>
        <w:instrText xml:space="preserve"> </w:instrText>
      </w:r>
      <w:r w:rsidRPr="00820FB1">
        <w:rPr>
          <w:rStyle w:val="aff6"/>
          <w:rFonts w:hint="cs"/>
        </w:rPr>
        <w:instrText>REF</w:instrText>
      </w:r>
      <w:r w:rsidRPr="00820FB1">
        <w:rPr>
          <w:rStyle w:val="aff6"/>
          <w:rFonts w:hint="cs"/>
          <w:rtl/>
        </w:rPr>
        <w:instrText xml:space="preserve"> _</w:instrText>
      </w:r>
      <w:r w:rsidRPr="00820FB1">
        <w:rPr>
          <w:rStyle w:val="aff6"/>
          <w:rFonts w:hint="cs"/>
        </w:rPr>
        <w:instrText>Ref64643082 \r \h</w:instrText>
      </w:r>
      <w:r w:rsidRPr="00820FB1">
        <w:rPr>
          <w:rStyle w:val="aff6"/>
          <w:rtl/>
        </w:rPr>
        <w:instrText xml:space="preserve"> </w:instrText>
      </w:r>
      <w:r w:rsidRPr="00820FB1">
        <w:rPr>
          <w:rStyle w:val="aff6"/>
          <w:rtl/>
        </w:rPr>
      </w:r>
      <w:r w:rsidRPr="00820FB1">
        <w:rPr>
          <w:rStyle w:val="aff6"/>
          <w:rtl/>
        </w:rPr>
        <w:fldChar w:fldCharType="separate"/>
      </w:r>
      <w:r w:rsidR="00265073">
        <w:rPr>
          <w:rStyle w:val="aff6"/>
          <w:cs/>
        </w:rPr>
        <w:t>‎</w:t>
      </w:r>
      <w:r w:rsidR="00265073">
        <w:rPr>
          <w:rStyle w:val="aff6"/>
          <w:rtl/>
        </w:rPr>
        <w:t>סד)</w:t>
      </w:r>
      <w:r w:rsidRPr="00820FB1">
        <w:rPr>
          <w:rStyle w:val="aff6"/>
          <w:rtl/>
        </w:rPr>
        <w:fldChar w:fldCharType="end"/>
      </w:r>
      <w:r w:rsidRPr="00820FB1">
        <w:rPr>
          <w:rStyle w:val="afb"/>
          <w:rFonts w:hint="cs"/>
          <w:rtl/>
        </w:rPr>
        <w:t xml:space="preserve"> בגירסת </w:t>
      </w:r>
      <w:r w:rsidRPr="00820FB1">
        <w:rPr>
          <w:rStyle w:val="affa"/>
          <w:rFonts w:hint="cs"/>
          <w:rtl/>
        </w:rPr>
        <w:t>הרי"</w:t>
      </w:r>
      <w:r w:rsidRPr="00240835">
        <w:rPr>
          <w:rStyle w:val="affa"/>
          <w:rFonts w:hint="cs"/>
          <w:rtl/>
        </w:rPr>
        <w:t>ף</w:t>
      </w:r>
      <w:r w:rsidRPr="00820FB1">
        <w:rPr>
          <w:rStyle w:val="afb"/>
          <w:rFonts w:hint="cs"/>
          <w:rtl/>
        </w:rPr>
        <w:t>],</w:t>
      </w:r>
      <w:r>
        <w:rPr>
          <w:rFonts w:hint="cs"/>
          <w:rtl/>
        </w:rPr>
        <w:t xml:space="preserve"> וכתב </w:t>
      </w:r>
      <w:r w:rsidRPr="001F2661">
        <w:rPr>
          <w:rStyle w:val="af9"/>
          <w:rFonts w:hint="cs"/>
          <w:rtl/>
        </w:rPr>
        <w:t>הרשב"ם</w:t>
      </w:r>
      <w:r w:rsidRPr="001F2661">
        <w:rPr>
          <w:rStyle w:val="af7"/>
          <w:rFonts w:eastAsia="Guttman Hodes" w:hint="cs"/>
          <w:rtl/>
        </w:rPr>
        <w:t xml:space="preserve"> (ד"ה אוקמא, ד"ה להדר לי) </w:t>
      </w:r>
      <w:r>
        <w:rPr>
          <w:rFonts w:hint="cs"/>
          <w:rtl/>
        </w:rPr>
        <w:t xml:space="preserve">דאחר שהודה העמיד רב חסדא את הקרקע בידי רב אידי, וכיון שהודה לו תבע רב אידי את הפירות שאכל </w:t>
      </w:r>
      <w:r>
        <w:rPr>
          <w:rtl/>
        </w:rPr>
        <w:t>ההוא גברא</w:t>
      </w:r>
      <w:r>
        <w:rPr>
          <w:rFonts w:hint="cs"/>
          <w:rtl/>
        </w:rPr>
        <w:t xml:space="preserve">, מאותו, יום שמת הקרוב, ועד עכשיו, דהא אכלם שלא כדין, ועי' במה שדחו </w:t>
      </w:r>
      <w:r w:rsidRPr="007C5B46">
        <w:rPr>
          <w:rStyle w:val="af9"/>
          <w:rFonts w:hint="cs"/>
          <w:rtl/>
        </w:rPr>
        <w:t xml:space="preserve">התוס' </w:t>
      </w:r>
      <w:r w:rsidRPr="007C5B46">
        <w:rPr>
          <w:rStyle w:val="af7"/>
          <w:rFonts w:eastAsia="Guttman Hodes" w:hint="cs"/>
          <w:rtl/>
        </w:rPr>
        <w:t xml:space="preserve">(עי' אות </w:t>
      </w:r>
      <w:r w:rsidRPr="007C5B46">
        <w:rPr>
          <w:rStyle w:val="af7"/>
          <w:rFonts w:eastAsia="Guttman Hodes"/>
          <w:rtl/>
        </w:rPr>
        <w:fldChar w:fldCharType="begin"/>
      </w:r>
      <w:r w:rsidRPr="007C5B46">
        <w:rPr>
          <w:rStyle w:val="af7"/>
          <w:rFonts w:eastAsia="Guttman Hodes"/>
          <w:rtl/>
        </w:rPr>
        <w:instrText xml:space="preserve"> </w:instrText>
      </w:r>
      <w:r w:rsidRPr="007C5B46">
        <w:rPr>
          <w:rStyle w:val="af7"/>
          <w:rFonts w:eastAsia="Guttman Hodes" w:hint="cs"/>
        </w:rPr>
        <w:instrText>REF</w:instrText>
      </w:r>
      <w:r w:rsidRPr="007C5B46">
        <w:rPr>
          <w:rStyle w:val="af7"/>
          <w:rFonts w:eastAsia="Guttman Hodes" w:hint="cs"/>
          <w:rtl/>
        </w:rPr>
        <w:instrText xml:space="preserve"> _</w:instrText>
      </w:r>
      <w:r w:rsidRPr="007C5B46">
        <w:rPr>
          <w:rStyle w:val="af7"/>
          <w:rFonts w:eastAsia="Guttman Hodes" w:hint="cs"/>
        </w:rPr>
        <w:instrText>Ref64451562 \r \h</w:instrText>
      </w:r>
      <w:r w:rsidRPr="007C5B46">
        <w:rPr>
          <w:rStyle w:val="af7"/>
          <w:rFonts w:eastAsia="Guttman Hodes"/>
          <w:rtl/>
        </w:rPr>
        <w:instrText xml:space="preserve"> </w:instrText>
      </w:r>
      <w:r w:rsidRPr="007C5B46">
        <w:rPr>
          <w:rStyle w:val="af7"/>
          <w:rFonts w:eastAsia="Guttman Hodes"/>
          <w:rtl/>
        </w:rPr>
      </w:r>
      <w:r w:rsidRPr="007C5B46">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7C5B46">
        <w:rPr>
          <w:rStyle w:val="af7"/>
          <w:rFonts w:eastAsia="Guttman Hodes"/>
          <w:rtl/>
        </w:rPr>
        <w:fldChar w:fldCharType="end"/>
      </w:r>
      <w:r>
        <w:rPr>
          <w:rFonts w:hint="cs"/>
          <w:rtl/>
        </w:rPr>
        <w:t xml:space="preserve"> דא"א לגרוס דההוא גברא הודה שהוא קרוב יותר, ובמה שהוכיח </w:t>
      </w:r>
      <w:r w:rsidRPr="001607A5">
        <w:rPr>
          <w:rStyle w:val="af9"/>
          <w:rFonts w:hint="cs"/>
          <w:rtl/>
        </w:rPr>
        <w:t>הריטב"א</w:t>
      </w:r>
      <w:r>
        <w:rPr>
          <w:rFonts w:hint="cs"/>
          <w:rtl/>
        </w:rPr>
        <w:t xml:space="preserve"> </w:t>
      </w:r>
      <w:r w:rsidRPr="001607A5">
        <w:rPr>
          <w:rStyle w:val="af7"/>
          <w:rFonts w:eastAsia="Guttman Hodes" w:hint="cs"/>
          <w:rtl/>
        </w:rPr>
        <w:t xml:space="preserve">(עי' אות </w:t>
      </w:r>
      <w:r w:rsidRPr="001607A5">
        <w:rPr>
          <w:rStyle w:val="af7"/>
          <w:rFonts w:eastAsia="Guttman Hodes"/>
          <w:rtl/>
        </w:rPr>
        <w:fldChar w:fldCharType="begin"/>
      </w:r>
      <w:r w:rsidRPr="001607A5">
        <w:rPr>
          <w:rStyle w:val="af7"/>
          <w:rFonts w:eastAsia="Guttman Hodes"/>
          <w:rtl/>
        </w:rPr>
        <w:instrText xml:space="preserve"> </w:instrText>
      </w:r>
      <w:r w:rsidRPr="001607A5">
        <w:rPr>
          <w:rStyle w:val="af7"/>
          <w:rFonts w:eastAsia="Guttman Hodes" w:hint="cs"/>
        </w:rPr>
        <w:instrText>REF</w:instrText>
      </w:r>
      <w:r w:rsidRPr="001607A5">
        <w:rPr>
          <w:rStyle w:val="af7"/>
          <w:rFonts w:eastAsia="Guttman Hodes" w:hint="cs"/>
          <w:rtl/>
        </w:rPr>
        <w:instrText xml:space="preserve"> _</w:instrText>
      </w:r>
      <w:r w:rsidRPr="001607A5">
        <w:rPr>
          <w:rStyle w:val="af7"/>
          <w:rFonts w:eastAsia="Guttman Hodes" w:hint="cs"/>
        </w:rPr>
        <w:instrText>Ref64561097 \r \h</w:instrText>
      </w:r>
      <w:r w:rsidRPr="001607A5">
        <w:rPr>
          <w:rStyle w:val="af7"/>
          <w:rFonts w:eastAsia="Guttman Hodes"/>
          <w:rtl/>
        </w:rPr>
        <w:instrText xml:space="preserve"> </w:instrText>
      </w:r>
      <w:r w:rsidRPr="001607A5">
        <w:rPr>
          <w:rStyle w:val="af7"/>
          <w:rFonts w:eastAsia="Guttman Hodes"/>
          <w:rtl/>
        </w:rPr>
      </w:r>
      <w:r w:rsidRPr="001607A5">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1607A5">
        <w:rPr>
          <w:rStyle w:val="af7"/>
          <w:rFonts w:eastAsia="Guttman Hodes"/>
          <w:rtl/>
        </w:rPr>
        <w:fldChar w:fldCharType="end"/>
      </w:r>
      <w:r>
        <w:rPr>
          <w:rFonts w:hint="cs"/>
          <w:rtl/>
        </w:rPr>
        <w:t xml:space="preserve"> כגירסת </w:t>
      </w:r>
      <w:r w:rsidRPr="001607A5">
        <w:rPr>
          <w:rStyle w:val="af9"/>
          <w:rFonts w:hint="cs"/>
          <w:rtl/>
        </w:rPr>
        <w:t>הרשב"ם</w:t>
      </w:r>
      <w:r>
        <w:rPr>
          <w:rFonts w:hint="cs"/>
          <w:rtl/>
        </w:rPr>
        <w:t xml:space="preserve">, ובמ"ש </w:t>
      </w:r>
      <w:r w:rsidRPr="00E429EB">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Ref64639683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Pr>
          <w:rStyle w:val="af7"/>
          <w:rFonts w:eastAsia="Guttman Hodes"/>
          <w:rtl/>
        </w:rPr>
        <w:fldChar w:fldCharType="end"/>
      </w:r>
      <w:r>
        <w:rPr>
          <w:rStyle w:val="af7"/>
          <w:rFonts w:eastAsia="Guttman Hodes" w:hint="cs"/>
          <w:rtl/>
        </w:rPr>
        <w:t xml:space="preserve"> </w:t>
      </w:r>
      <w:r>
        <w:rPr>
          <w:rFonts w:hint="cs"/>
          <w:rtl/>
        </w:rPr>
        <w:t xml:space="preserve">בדעת </w:t>
      </w:r>
      <w:r w:rsidRPr="00A67EBE">
        <w:rPr>
          <w:rStyle w:val="af9"/>
          <w:rFonts w:hint="cs"/>
          <w:rtl/>
        </w:rPr>
        <w:t>הרשב"ם</w:t>
      </w:r>
      <w:r>
        <w:rPr>
          <w:rFonts w:hint="cs"/>
          <w:rtl/>
        </w:rPr>
        <w:t>.</w:t>
      </w:r>
      <w:bookmarkEnd w:id="15479"/>
    </w:p>
    <w:p w:rsidR="00103C1B" w:rsidRDefault="00103C1B" w:rsidP="00103C1B">
      <w:pPr>
        <w:pStyle w:val="a3"/>
        <w:rPr>
          <w:rtl/>
        </w:rPr>
      </w:pPr>
      <w:bookmarkStart w:id="15480" w:name="_Toc64576173"/>
      <w:bookmarkStart w:id="15481" w:name="_Toc64588758"/>
      <w:bookmarkStart w:id="15482" w:name="_Toc64629349"/>
      <w:bookmarkStart w:id="15483" w:name="_Toc64642812"/>
      <w:r>
        <w:rPr>
          <w:rFonts w:hint="cs"/>
          <w:rtl/>
        </w:rPr>
        <w:t>דברי הבה"ג דרב חסדא העמיד בתחילה בידי ההוא גברא ואחר שהודה העמידה בידי רב אידי</w:t>
      </w:r>
    </w:p>
    <w:p w:rsidR="00103C1B" w:rsidRPr="00B3405B" w:rsidRDefault="00103C1B" w:rsidP="007E4E81">
      <w:pPr>
        <w:pStyle w:val="a0"/>
        <w:rPr>
          <w:rtl/>
        </w:rPr>
      </w:pPr>
      <w:bookmarkStart w:id="15484" w:name="_Ref64750415"/>
      <w:r>
        <w:rPr>
          <w:rFonts w:hint="cs"/>
          <w:rtl/>
        </w:rPr>
        <w:t xml:space="preserve">כתב </w:t>
      </w:r>
      <w:r w:rsidRPr="00240835">
        <w:rPr>
          <w:rStyle w:val="af9"/>
          <w:rtl/>
        </w:rPr>
        <w:t>הבה"ג</w:t>
      </w:r>
      <w:r w:rsidRPr="00240835">
        <w:rPr>
          <w:rStyle w:val="af9"/>
          <w:rFonts w:hint="cs"/>
          <w:rtl/>
        </w:rPr>
        <w:t xml:space="preserve"> </w:t>
      </w:r>
      <w:r w:rsidRPr="00040840">
        <w:rPr>
          <w:rStyle w:val="af7"/>
          <w:rFonts w:eastAsia="Guttman Hodes" w:hint="cs"/>
          <w:rtl/>
        </w:rPr>
        <w:t xml:space="preserve">(סי' מ"ו הל' ב"ב </w:t>
      </w:r>
      <w:r>
        <w:rPr>
          <w:rStyle w:val="af7"/>
          <w:rFonts w:eastAsia="Guttman Hodes" w:hint="cs"/>
          <w:rtl/>
        </w:rPr>
        <w:t>[</w:t>
      </w:r>
      <w:r w:rsidRPr="00040840">
        <w:rPr>
          <w:rStyle w:val="af7"/>
          <w:rFonts w:eastAsia="Guttman Hodes" w:hint="cs"/>
          <w:rtl/>
        </w:rPr>
        <w:t>עמ' תק"ט</w:t>
      </w:r>
      <w:r>
        <w:rPr>
          <w:rStyle w:val="af7"/>
          <w:rFonts w:eastAsia="Guttman Hodes" w:hint="cs"/>
          <w:rtl/>
        </w:rPr>
        <w:t>]</w:t>
      </w:r>
      <w:r w:rsidRPr="00040840">
        <w:rPr>
          <w:rStyle w:val="af7"/>
          <w:rFonts w:eastAsia="Guttman Hodes" w:hint="cs"/>
          <w:rtl/>
        </w:rPr>
        <w:t xml:space="preserve"> ד"ה קריביה</w:t>
      </w:r>
      <w:r w:rsidRPr="00040840">
        <w:rPr>
          <w:rStyle w:val="af7"/>
          <w:rFonts w:eastAsia="Guttman Rashi" w:hint="cs"/>
          <w:rtl/>
        </w:rPr>
        <w:t>, הועתק בקובץ שיטות קמאי ב"ב ח"א עמ' תת"י</w:t>
      </w:r>
      <w:r w:rsidRPr="00040840">
        <w:rPr>
          <w:rStyle w:val="af7"/>
          <w:rFonts w:eastAsia="Guttman Hodes" w:hint="cs"/>
          <w:rtl/>
        </w:rPr>
        <w:t>)</w:t>
      </w:r>
      <w:r>
        <w:rPr>
          <w:rFonts w:hint="cs"/>
          <w:rtl/>
        </w:rPr>
        <w:t xml:space="preserve"> כתב דכיון שההוא גברא טען שהוא קרוב יותר, לכן העמיד רב אידי את הדקל בידו, </w:t>
      </w:r>
      <w:bookmarkEnd w:id="15484"/>
      <w:r w:rsidRPr="00D560E3">
        <w:rPr>
          <w:rStyle w:val="afb"/>
          <w:rFonts w:hint="cs"/>
          <w:rtl/>
        </w:rPr>
        <w:t xml:space="preserve">[והיינו דמדינא רב חסדא העמיד את הדקל בידו, ולא מדין כל דאלים גבר, כדכתב </w:t>
      </w:r>
      <w:r w:rsidRPr="00D560E3">
        <w:rPr>
          <w:rStyle w:val="affa"/>
          <w:rFonts w:hint="cs"/>
          <w:rtl/>
        </w:rPr>
        <w:t>הרשב"ם</w:t>
      </w:r>
      <w:r w:rsidRPr="00D560E3">
        <w:rPr>
          <w:rStyle w:val="afb"/>
          <w:rFonts w:hint="cs"/>
          <w:rtl/>
        </w:rPr>
        <w:t xml:space="preserve"> </w:t>
      </w:r>
      <w:r w:rsidRPr="00D560E3">
        <w:rPr>
          <w:rStyle w:val="aff6"/>
          <w:rFonts w:hint="cs"/>
          <w:rtl/>
        </w:rPr>
        <w:t xml:space="preserve">(עי' אות </w:t>
      </w:r>
      <w:r w:rsidRPr="00D560E3">
        <w:rPr>
          <w:rStyle w:val="aff6"/>
          <w:rtl/>
        </w:rPr>
        <w:fldChar w:fldCharType="begin"/>
      </w:r>
      <w:r w:rsidRPr="00D560E3">
        <w:rPr>
          <w:rStyle w:val="aff6"/>
          <w:rtl/>
        </w:rPr>
        <w:instrText xml:space="preserve"> </w:instrText>
      </w:r>
      <w:r w:rsidRPr="00D560E3">
        <w:rPr>
          <w:rStyle w:val="aff6"/>
          <w:rFonts w:hint="cs"/>
        </w:rPr>
        <w:instrText>REF</w:instrText>
      </w:r>
      <w:r w:rsidRPr="00D560E3">
        <w:rPr>
          <w:rStyle w:val="aff6"/>
          <w:rFonts w:hint="cs"/>
          <w:rtl/>
        </w:rPr>
        <w:instrText xml:space="preserve"> _</w:instrText>
      </w:r>
      <w:r w:rsidRPr="00D560E3">
        <w:rPr>
          <w:rStyle w:val="aff6"/>
          <w:rFonts w:hint="cs"/>
        </w:rPr>
        <w:instrText>Ref64450886 \r \h</w:instrText>
      </w:r>
      <w:r w:rsidRPr="00D560E3">
        <w:rPr>
          <w:rStyle w:val="aff6"/>
          <w:rtl/>
        </w:rPr>
        <w:instrText xml:space="preserve"> </w:instrText>
      </w:r>
      <w:r w:rsidRPr="00D560E3">
        <w:rPr>
          <w:rStyle w:val="aff6"/>
          <w:rtl/>
        </w:rPr>
      </w:r>
      <w:r w:rsidRPr="00D560E3">
        <w:rPr>
          <w:rStyle w:val="aff6"/>
          <w:rtl/>
        </w:rPr>
        <w:fldChar w:fldCharType="separate"/>
      </w:r>
      <w:r w:rsidR="00265073">
        <w:rPr>
          <w:rStyle w:val="aff6"/>
          <w:cs/>
        </w:rPr>
        <w:t>‎</w:t>
      </w:r>
      <w:r w:rsidR="00265073">
        <w:rPr>
          <w:rStyle w:val="aff6"/>
          <w:rtl/>
        </w:rPr>
        <w:t>א)</w:t>
      </w:r>
      <w:r w:rsidRPr="00D560E3">
        <w:rPr>
          <w:rStyle w:val="aff6"/>
          <w:rtl/>
        </w:rPr>
        <w:fldChar w:fldCharType="end"/>
      </w:r>
      <w:r w:rsidRPr="00D560E3">
        <w:rPr>
          <w:rStyle w:val="afb"/>
          <w:rFonts w:hint="cs"/>
          <w:rtl/>
        </w:rPr>
        <w:t xml:space="preserve">], </w:t>
      </w:r>
      <w:r>
        <w:rPr>
          <w:rFonts w:hint="cs"/>
          <w:rtl/>
        </w:rPr>
        <w:t>ואח"כ כשהודה ההוא גברא שרב אידי קרוב יותר ממנו, העמיד רב חסדא את הדקל בידי רב אידי.</w:t>
      </w:r>
    </w:p>
    <w:p w:rsidR="00103C1B" w:rsidRPr="00D60E36" w:rsidRDefault="00103C1B" w:rsidP="00103C1B">
      <w:pPr>
        <w:pStyle w:val="a3"/>
        <w:rPr>
          <w:rtl/>
        </w:rPr>
      </w:pPr>
      <w:r w:rsidRPr="00C40DF7">
        <w:rPr>
          <w:rtl/>
        </w:rPr>
        <w:t>בי</w:t>
      </w:r>
      <w:r>
        <w:rPr>
          <w:rFonts w:hint="cs"/>
          <w:rtl/>
        </w:rPr>
        <w:t>'</w:t>
      </w:r>
      <w:r w:rsidRPr="00C40DF7">
        <w:rPr>
          <w:rtl/>
        </w:rPr>
        <w:t xml:space="preserve"> הרשב"ם ברב חסדא </w:t>
      </w:r>
      <w:r>
        <w:rPr>
          <w:rFonts w:hint="cs"/>
          <w:rtl/>
        </w:rPr>
        <w:t>ד</w:t>
      </w:r>
      <w:r>
        <w:rPr>
          <w:rtl/>
        </w:rPr>
        <w:t>א"צ להחזיר את הפירות</w:t>
      </w:r>
      <w:r w:rsidRPr="00C40DF7">
        <w:rPr>
          <w:rtl/>
        </w:rPr>
        <w:t xml:space="preserve"> </w:t>
      </w:r>
      <w:r>
        <w:rPr>
          <w:rFonts w:hint="cs"/>
          <w:rtl/>
        </w:rPr>
        <w:t>דזכה בדקל בכדא"ג ונתנו מדעתו לרב אידי</w:t>
      </w:r>
      <w:bookmarkEnd w:id="15480"/>
      <w:bookmarkEnd w:id="15481"/>
      <w:bookmarkEnd w:id="15482"/>
      <w:bookmarkEnd w:id="15483"/>
    </w:p>
    <w:p w:rsidR="00103C1B" w:rsidRDefault="00103C1B" w:rsidP="007E4E81">
      <w:pPr>
        <w:pStyle w:val="a0"/>
        <w:rPr>
          <w:rtl/>
        </w:rPr>
      </w:pPr>
      <w:bookmarkStart w:id="15485" w:name="_Ref64279894"/>
      <w:r>
        <w:rPr>
          <w:rFonts w:hint="cs"/>
          <w:rtl/>
        </w:rPr>
        <w:t xml:space="preserve">ובדברי רב חסדא דא"צ להחזיר את הפירות, ביאר </w:t>
      </w:r>
      <w:r w:rsidRPr="001F2661">
        <w:rPr>
          <w:rStyle w:val="af9"/>
          <w:rFonts w:hint="cs"/>
          <w:rtl/>
        </w:rPr>
        <w:t>הרשב"ם</w:t>
      </w:r>
      <w:r>
        <w:rPr>
          <w:rFonts w:hint="cs"/>
          <w:rtl/>
        </w:rPr>
        <w:t xml:space="preserve"> </w:t>
      </w:r>
      <w:r w:rsidRPr="001F2661">
        <w:rPr>
          <w:rStyle w:val="af7"/>
          <w:rFonts w:eastAsia="Guttman Hodes" w:hint="cs"/>
          <w:rtl/>
        </w:rPr>
        <w:t>(ד"ה אמאן, ד"ה אהאי)</w:t>
      </w:r>
      <w:r>
        <w:rPr>
          <w:rFonts w:hint="cs"/>
          <w:rtl/>
        </w:rPr>
        <w:t xml:space="preserve"> דכל הזכות של רב אידי בקרקע היא מחמת הודאתו של ההוא גברא, וכיון דלפני שהודה ולא היה ידוע מי קרוב יותר, זכה ההוא גברא שטען שהוא קרוב יותר, מדין כל דאלים גבר, א"כ כשהודה עכשיו שרב אידי יותר קרוב חשיב שנתן לו מדעתו את האילן, אעפ"י דרב אידי לא זכה בו מדינא.</w:t>
      </w:r>
      <w:bookmarkEnd w:id="15485"/>
    </w:p>
    <w:p w:rsidR="00103C1B" w:rsidRDefault="00103C1B" w:rsidP="00103C1B">
      <w:pPr>
        <w:pStyle w:val="a3"/>
        <w:rPr>
          <w:rtl/>
        </w:rPr>
      </w:pPr>
      <w:bookmarkStart w:id="15486" w:name="_Toc64576174"/>
      <w:bookmarkStart w:id="15487" w:name="_Toc64588759"/>
      <w:bookmarkStart w:id="15488" w:name="_Toc64629350"/>
      <w:bookmarkStart w:id="15489" w:name="_Toc64642813"/>
      <w:r>
        <w:rPr>
          <w:rFonts w:hint="cs"/>
          <w:rtl/>
        </w:rPr>
        <w:t>דברי רבינו גרשום דכיון שזכה ההוא גברא בפירות מדין כדא"ג לכן א"צ להחזירם לרב אידי</w:t>
      </w:r>
      <w:bookmarkEnd w:id="15486"/>
      <w:bookmarkEnd w:id="15487"/>
      <w:bookmarkEnd w:id="15488"/>
      <w:bookmarkEnd w:id="15489"/>
    </w:p>
    <w:p w:rsidR="00103C1B" w:rsidRPr="0033523B" w:rsidRDefault="00103C1B" w:rsidP="007E4E81">
      <w:pPr>
        <w:pStyle w:val="a0"/>
        <w:rPr>
          <w:rtl/>
        </w:rPr>
      </w:pPr>
      <w:r>
        <w:rPr>
          <w:rFonts w:hint="cs"/>
          <w:rtl/>
        </w:rPr>
        <w:t xml:space="preserve">וכ"כ </w:t>
      </w:r>
      <w:r w:rsidRPr="0033523B">
        <w:rPr>
          <w:rStyle w:val="af9"/>
          <w:rFonts w:hint="cs"/>
          <w:rtl/>
        </w:rPr>
        <w:t>רבינו גרשום</w:t>
      </w:r>
      <w:r>
        <w:rPr>
          <w:rFonts w:hint="cs"/>
          <w:rtl/>
        </w:rPr>
        <w:t xml:space="preserve"> </w:t>
      </w:r>
      <w:r w:rsidRPr="0033523B">
        <w:rPr>
          <w:rStyle w:val="af7"/>
          <w:rFonts w:eastAsia="Guttman Hodes" w:hint="cs"/>
          <w:rtl/>
        </w:rPr>
        <w:t>(ד"ה לסוף)</w:t>
      </w:r>
      <w:r>
        <w:rPr>
          <w:rFonts w:hint="cs"/>
          <w:rtl/>
        </w:rPr>
        <w:t xml:space="preserve"> דכיון שבזמן שההוא גברא אכל את הפירות, הוא טען שהוא קרוב יותר, ואכל מדינא דכל דאלים גבר, א"כ אינו צריך להחזיר את הפירות.</w:t>
      </w:r>
    </w:p>
    <w:p w:rsidR="00103C1B" w:rsidRDefault="00103C1B" w:rsidP="00103C1B">
      <w:pPr>
        <w:pStyle w:val="a3"/>
        <w:rPr>
          <w:rtl/>
        </w:rPr>
      </w:pPr>
      <w:bookmarkStart w:id="15490" w:name="_Toc64576175"/>
      <w:bookmarkStart w:id="15491" w:name="_Toc64588760"/>
      <w:bookmarkStart w:id="15492" w:name="_Toc64629351"/>
      <w:bookmarkStart w:id="15493" w:name="_Toc64642814"/>
      <w:r>
        <w:rPr>
          <w:rFonts w:hint="cs"/>
          <w:rtl/>
        </w:rPr>
        <w:t>ביאור הרשב"ם באביי ורבא דכיון שהודה א"כ מה שהחזיק בפירות היה שלא כדין וצריך להחזיר</w:t>
      </w:r>
      <w:bookmarkEnd w:id="15490"/>
      <w:bookmarkEnd w:id="15491"/>
      <w:bookmarkEnd w:id="15492"/>
      <w:bookmarkEnd w:id="15493"/>
    </w:p>
    <w:p w:rsidR="00103C1B" w:rsidRDefault="00103C1B" w:rsidP="007E4E81">
      <w:pPr>
        <w:pStyle w:val="a0"/>
        <w:rPr>
          <w:rtl/>
        </w:rPr>
      </w:pPr>
      <w:bookmarkStart w:id="15494" w:name="_Ref64279749"/>
      <w:r>
        <w:rPr>
          <w:rFonts w:hint="cs"/>
          <w:rtl/>
        </w:rPr>
        <w:t xml:space="preserve">ובדעת אביי ורבא ביאר </w:t>
      </w:r>
      <w:r w:rsidRPr="001F2661">
        <w:rPr>
          <w:rStyle w:val="af9"/>
          <w:rFonts w:hint="cs"/>
          <w:rtl/>
        </w:rPr>
        <w:t>הרשב"ם</w:t>
      </w:r>
      <w:r>
        <w:rPr>
          <w:rFonts w:hint="cs"/>
          <w:rtl/>
        </w:rPr>
        <w:t xml:space="preserve"> </w:t>
      </w:r>
      <w:r w:rsidRPr="001F2661">
        <w:rPr>
          <w:rStyle w:val="af7"/>
          <w:rFonts w:eastAsia="Guttman Hodes" w:hint="cs"/>
          <w:rtl/>
        </w:rPr>
        <w:t>(ד"ה כיון, ד"ה אודי)</w:t>
      </w:r>
      <w:r>
        <w:rPr>
          <w:rFonts w:hint="cs"/>
          <w:rtl/>
        </w:rPr>
        <w:t xml:space="preserve"> דס"ל דכיון שהודה ההוא גברא דרב אידי הוא הקרוב יותר, א"כ הודה דמה שהחזיק עד עכשיו, </w:t>
      </w:r>
      <w:r w:rsidRPr="001F2661">
        <w:rPr>
          <w:rStyle w:val="afb"/>
          <w:rFonts w:hint="cs"/>
          <w:rtl/>
        </w:rPr>
        <w:t>[מדין כל דאלים גבר</w:t>
      </w:r>
      <w:r>
        <w:rPr>
          <w:rStyle w:val="afb"/>
          <w:rFonts w:hint="cs"/>
          <w:rtl/>
        </w:rPr>
        <w:t xml:space="preserve">, כדביאר </w:t>
      </w:r>
      <w:r w:rsidRPr="00427223">
        <w:rPr>
          <w:rStyle w:val="affa"/>
          <w:rFonts w:hint="cs"/>
          <w:rtl/>
        </w:rPr>
        <w:t>הרשב"ם</w:t>
      </w:r>
      <w:r>
        <w:rPr>
          <w:rStyle w:val="afb"/>
          <w:rFonts w:hint="cs"/>
          <w:rtl/>
        </w:rPr>
        <w:t xml:space="preserve"> </w:t>
      </w:r>
      <w:r w:rsidRPr="00427223">
        <w:rPr>
          <w:rStyle w:val="aff6"/>
          <w:rFonts w:hint="cs"/>
          <w:rtl/>
        </w:rPr>
        <w:t xml:space="preserve">(עי' אות </w:t>
      </w:r>
      <w:r w:rsidRPr="00427223">
        <w:rPr>
          <w:rStyle w:val="aff6"/>
          <w:rtl/>
        </w:rPr>
        <w:fldChar w:fldCharType="begin"/>
      </w:r>
      <w:r w:rsidRPr="00427223">
        <w:rPr>
          <w:rStyle w:val="aff6"/>
          <w:rtl/>
        </w:rPr>
        <w:instrText xml:space="preserve"> </w:instrText>
      </w:r>
      <w:r w:rsidRPr="00427223">
        <w:rPr>
          <w:rStyle w:val="aff6"/>
          <w:rFonts w:hint="cs"/>
        </w:rPr>
        <w:instrText>REF</w:instrText>
      </w:r>
      <w:r w:rsidRPr="00427223">
        <w:rPr>
          <w:rStyle w:val="aff6"/>
          <w:rFonts w:hint="cs"/>
          <w:rtl/>
        </w:rPr>
        <w:instrText xml:space="preserve"> _</w:instrText>
      </w:r>
      <w:r w:rsidRPr="00427223">
        <w:rPr>
          <w:rStyle w:val="aff6"/>
          <w:rFonts w:hint="cs"/>
        </w:rPr>
        <w:instrText>Ref64450886 \r \h</w:instrText>
      </w:r>
      <w:r w:rsidRPr="00427223">
        <w:rPr>
          <w:rStyle w:val="aff6"/>
          <w:rtl/>
        </w:rPr>
        <w:instrText xml:space="preserve"> </w:instrText>
      </w:r>
      <w:r w:rsidRPr="00427223">
        <w:rPr>
          <w:rStyle w:val="aff6"/>
          <w:rtl/>
        </w:rPr>
      </w:r>
      <w:r w:rsidRPr="00427223">
        <w:rPr>
          <w:rStyle w:val="aff6"/>
          <w:rtl/>
        </w:rPr>
        <w:fldChar w:fldCharType="separate"/>
      </w:r>
      <w:r w:rsidR="00265073">
        <w:rPr>
          <w:rStyle w:val="aff6"/>
          <w:cs/>
        </w:rPr>
        <w:t>‎</w:t>
      </w:r>
      <w:r w:rsidR="00265073">
        <w:rPr>
          <w:rStyle w:val="aff6"/>
          <w:rtl/>
        </w:rPr>
        <w:t>א)</w:t>
      </w:r>
      <w:r w:rsidRPr="00427223">
        <w:rPr>
          <w:rStyle w:val="aff6"/>
          <w:rtl/>
        </w:rPr>
        <w:fldChar w:fldCharType="end"/>
      </w:r>
      <w:r w:rsidRPr="001F2661">
        <w:rPr>
          <w:rStyle w:val="afb"/>
          <w:rFonts w:hint="cs"/>
          <w:rtl/>
        </w:rPr>
        <w:t>],</w:t>
      </w:r>
      <w:r>
        <w:rPr>
          <w:rFonts w:hint="cs"/>
          <w:rtl/>
        </w:rPr>
        <w:t xml:space="preserve"> היה שלא כדין, וכיון </w:t>
      </w:r>
      <w:r>
        <w:rPr>
          <w:rFonts w:hint="cs"/>
          <w:rtl/>
        </w:rPr>
        <w:t xml:space="preserve">שהודה עליו לשלם את כל הפירות שאכל, וכתב </w:t>
      </w:r>
      <w:r w:rsidRPr="001F2661">
        <w:rPr>
          <w:rStyle w:val="af9"/>
          <w:rFonts w:hint="cs"/>
          <w:rtl/>
        </w:rPr>
        <w:t>הרשב"ם</w:t>
      </w:r>
      <w:r>
        <w:rPr>
          <w:rFonts w:hint="cs"/>
          <w:rtl/>
        </w:rPr>
        <w:t xml:space="preserve"> דכן קיי"ל, וע"ע במ"ש </w:t>
      </w:r>
      <w:r w:rsidRPr="004A5529">
        <w:rPr>
          <w:rStyle w:val="af9"/>
          <w:rFonts w:hint="cs"/>
          <w:rtl/>
        </w:rPr>
        <w:t>הרשב"ם</w:t>
      </w:r>
      <w:r>
        <w:rPr>
          <w:rFonts w:hint="cs"/>
          <w:rtl/>
        </w:rPr>
        <w:t xml:space="preserve"> </w:t>
      </w:r>
      <w:r>
        <w:rPr>
          <w:rStyle w:val="af9"/>
          <w:rFonts w:hint="cs"/>
          <w:rtl/>
        </w:rPr>
        <w:t>לקמן</w:t>
      </w:r>
      <w:r w:rsidRPr="004A5529">
        <w:rPr>
          <w:rStyle w:val="af7"/>
          <w:rFonts w:eastAsia="Guttman Hode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Ref64627556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Pr>
          <w:rStyle w:val="af7"/>
          <w:rFonts w:eastAsia="Guttman Hodes"/>
          <w:rtl/>
        </w:rPr>
        <w:fldChar w:fldCharType="end"/>
      </w:r>
      <w:r>
        <w:rPr>
          <w:rFonts w:hint="cs"/>
          <w:rtl/>
        </w:rPr>
        <w:t>.</w:t>
      </w:r>
      <w:bookmarkEnd w:id="15494"/>
    </w:p>
    <w:p w:rsidR="00103C1B" w:rsidRDefault="00103C1B" w:rsidP="00103C1B">
      <w:pPr>
        <w:pStyle w:val="afe"/>
        <w:rPr>
          <w:rtl/>
        </w:rPr>
      </w:pPr>
      <w:bookmarkStart w:id="15495" w:name="_Toc64576176"/>
      <w:bookmarkStart w:id="15496" w:name="_Toc64588761"/>
      <w:bookmarkStart w:id="15497" w:name="_Toc64629352"/>
      <w:bookmarkStart w:id="15498" w:name="_Toc64642815"/>
      <w:r>
        <w:rPr>
          <w:rFonts w:hint="cs"/>
          <w:rtl/>
        </w:rPr>
        <w:t>בד' הרשב"ם דהודה וא"צ להחזיר פירות</w:t>
      </w:r>
      <w:bookmarkEnd w:id="15495"/>
      <w:bookmarkEnd w:id="15496"/>
      <w:bookmarkEnd w:id="15497"/>
      <w:bookmarkEnd w:id="15498"/>
    </w:p>
    <w:p w:rsidR="00103C1B" w:rsidRPr="00930A4F" w:rsidRDefault="00103C1B" w:rsidP="00103C1B">
      <w:pPr>
        <w:pStyle w:val="1"/>
        <w:rPr>
          <w:rtl/>
        </w:rPr>
      </w:pPr>
      <w:bookmarkStart w:id="15499" w:name="_Toc64576177"/>
      <w:bookmarkStart w:id="15500" w:name="_Toc64588762"/>
      <w:bookmarkStart w:id="15501" w:name="_Toc64629353"/>
      <w:bookmarkStart w:id="15502" w:name="_Toc64642816"/>
      <w:r>
        <w:rPr>
          <w:rFonts w:hint="cs"/>
          <w:rtl/>
        </w:rPr>
        <w:t>קושית התורא"ש על הרשב"ם דכיון שהודה ודאי צריך להחזיר</w:t>
      </w:r>
      <w:bookmarkEnd w:id="15499"/>
      <w:bookmarkEnd w:id="15500"/>
      <w:bookmarkEnd w:id="15501"/>
      <w:bookmarkEnd w:id="15502"/>
    </w:p>
    <w:p w:rsidR="00103C1B" w:rsidRDefault="00103C1B" w:rsidP="00103C1B">
      <w:pPr>
        <w:pStyle w:val="a3"/>
        <w:rPr>
          <w:rtl/>
        </w:rPr>
      </w:pPr>
      <w:bookmarkStart w:id="15503" w:name="_Toc64576178"/>
      <w:bookmarkStart w:id="15504" w:name="_Toc64588763"/>
      <w:bookmarkStart w:id="15505" w:name="_Toc64629354"/>
      <w:bookmarkStart w:id="15506" w:name="_Toc64642817"/>
      <w:r>
        <w:rPr>
          <w:rFonts w:hint="cs"/>
          <w:rtl/>
        </w:rPr>
        <w:t>קושית התוס' הרא"ש על הרשב"ם דמאי ס"ל לרב חסדא הא הודה שאכל את הפירות בגזל</w:t>
      </w:r>
      <w:bookmarkEnd w:id="15503"/>
      <w:bookmarkEnd w:id="15504"/>
      <w:bookmarkEnd w:id="15505"/>
      <w:bookmarkEnd w:id="15506"/>
    </w:p>
    <w:p w:rsidR="00103C1B" w:rsidRDefault="00103C1B" w:rsidP="007E4E81">
      <w:pPr>
        <w:pStyle w:val="a0"/>
        <w:rPr>
          <w:rtl/>
        </w:rPr>
      </w:pPr>
      <w:bookmarkStart w:id="15507" w:name="_Ref64458514"/>
      <w:r>
        <w:rPr>
          <w:rFonts w:hint="cs"/>
          <w:rtl/>
        </w:rPr>
        <w:t xml:space="preserve">והקשה </w:t>
      </w:r>
      <w:r w:rsidRPr="00EF35EC">
        <w:rPr>
          <w:rStyle w:val="af9"/>
          <w:rFonts w:hint="cs"/>
          <w:rtl/>
        </w:rPr>
        <w:t>התוס' הרא"ש בשיטמ"ק</w:t>
      </w:r>
      <w:r>
        <w:rPr>
          <w:rFonts w:hint="cs"/>
          <w:rtl/>
        </w:rPr>
        <w:t xml:space="preserve"> </w:t>
      </w:r>
      <w:r w:rsidRPr="00EF35EC">
        <w:rPr>
          <w:rStyle w:val="af7"/>
          <w:rFonts w:eastAsia="Guttman Hodes" w:hint="cs"/>
          <w:rtl/>
        </w:rPr>
        <w:t xml:space="preserve">(ד"ה קריביה) </w:t>
      </w:r>
      <w:r>
        <w:rPr>
          <w:rFonts w:hint="cs"/>
          <w:rtl/>
        </w:rPr>
        <w:t xml:space="preserve">על </w:t>
      </w:r>
      <w:r w:rsidRPr="00EF35EC">
        <w:rPr>
          <w:rStyle w:val="af9"/>
          <w:rFonts w:hint="cs"/>
          <w:rtl/>
        </w:rPr>
        <w:t>הרשב"ם</w:t>
      </w:r>
      <w:r>
        <w:rPr>
          <w:rFonts w:hint="cs"/>
          <w:rtl/>
        </w:rPr>
        <w:t xml:space="preserve"> </w:t>
      </w:r>
      <w:r w:rsidRPr="00EF35EC">
        <w:rPr>
          <w:rStyle w:val="af7"/>
          <w:rFonts w:eastAsia="Guttman Hodes" w:hint="cs"/>
          <w:rtl/>
        </w:rPr>
        <w:t xml:space="preserve">(עי' אות </w:t>
      </w:r>
      <w:r w:rsidRPr="00EF35EC">
        <w:rPr>
          <w:rStyle w:val="af7"/>
          <w:rFonts w:eastAsia="Guttman Hodes"/>
          <w:rtl/>
        </w:rPr>
        <w:fldChar w:fldCharType="begin"/>
      </w:r>
      <w:r w:rsidRPr="00EF35EC">
        <w:rPr>
          <w:rStyle w:val="af7"/>
          <w:rFonts w:eastAsia="Guttman Hodes"/>
          <w:rtl/>
        </w:rPr>
        <w:instrText xml:space="preserve"> </w:instrText>
      </w:r>
      <w:r w:rsidRPr="00EF35EC">
        <w:rPr>
          <w:rStyle w:val="af7"/>
          <w:rFonts w:eastAsia="Guttman Hodes" w:hint="cs"/>
        </w:rPr>
        <w:instrText>REF</w:instrText>
      </w:r>
      <w:r w:rsidRPr="00EF35EC">
        <w:rPr>
          <w:rStyle w:val="af7"/>
          <w:rFonts w:eastAsia="Guttman Hodes" w:hint="cs"/>
          <w:rtl/>
        </w:rPr>
        <w:instrText xml:space="preserve"> _</w:instrText>
      </w:r>
      <w:r w:rsidRPr="00EF35EC">
        <w:rPr>
          <w:rStyle w:val="af7"/>
          <w:rFonts w:eastAsia="Guttman Hodes" w:hint="cs"/>
        </w:rPr>
        <w:instrText>Ref64279894 \r \h</w:instrText>
      </w:r>
      <w:r w:rsidRPr="00EF35EC">
        <w:rPr>
          <w:rStyle w:val="af7"/>
          <w:rFonts w:eastAsia="Guttman Hodes"/>
          <w:rtl/>
        </w:rPr>
        <w:instrText xml:space="preserve"> </w:instrText>
      </w:r>
      <w:r w:rsidRPr="00EF35EC">
        <w:rPr>
          <w:rStyle w:val="af7"/>
          <w:rFonts w:eastAsia="Guttman Hodes"/>
          <w:rtl/>
        </w:rPr>
      </w:r>
      <w:r w:rsidRPr="00EF35EC">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EF35EC">
        <w:rPr>
          <w:rStyle w:val="af7"/>
          <w:rFonts w:eastAsia="Guttman Hodes"/>
          <w:rtl/>
        </w:rPr>
        <w:fldChar w:fldCharType="end"/>
      </w:r>
      <w:r>
        <w:rPr>
          <w:rFonts w:hint="cs"/>
          <w:rtl/>
        </w:rPr>
        <w:t xml:space="preserve"> דמהי סברת רב חסדא דאינו חייב להחזיר את הפירות, והרי כיון שהוא הודה דרב אידי קרוב יותר ממנו, א"כ הודה שאכל את הפירות בגזל, ועי' במה שתירץ </w:t>
      </w:r>
      <w:r w:rsidRPr="00E429EB">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Ref64639683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Pr>
          <w:rStyle w:val="af7"/>
          <w:rFonts w:eastAsia="Guttman Hodes"/>
          <w:rtl/>
        </w:rPr>
        <w:fldChar w:fldCharType="end"/>
      </w:r>
      <w:r>
        <w:rPr>
          <w:rStyle w:val="af7"/>
          <w:rFonts w:eastAsia="Guttman Hodes" w:hint="cs"/>
          <w:rtl/>
        </w:rPr>
        <w:t xml:space="preserve"> </w:t>
      </w:r>
      <w:r>
        <w:rPr>
          <w:rFonts w:hint="cs"/>
          <w:rtl/>
        </w:rPr>
        <w:t xml:space="preserve">בדעת </w:t>
      </w:r>
      <w:r w:rsidRPr="00A67EBE">
        <w:rPr>
          <w:rStyle w:val="af9"/>
          <w:rFonts w:hint="cs"/>
          <w:rtl/>
        </w:rPr>
        <w:t>הרשב"ם</w:t>
      </w:r>
      <w:r>
        <w:rPr>
          <w:rFonts w:hint="cs"/>
          <w:rtl/>
        </w:rPr>
        <w:t>.</w:t>
      </w:r>
      <w:bookmarkEnd w:id="15507"/>
    </w:p>
    <w:p w:rsidR="00103C1B" w:rsidRDefault="00103C1B" w:rsidP="00103C1B">
      <w:pPr>
        <w:pStyle w:val="1"/>
        <w:rPr>
          <w:rtl/>
        </w:rPr>
      </w:pPr>
      <w:bookmarkStart w:id="15508" w:name="_Toc64407314"/>
      <w:bookmarkStart w:id="15509" w:name="_Toc64454546"/>
      <w:bookmarkStart w:id="15510" w:name="_Toc64458634"/>
      <w:bookmarkStart w:id="15511" w:name="_Toc64549011"/>
      <w:bookmarkStart w:id="15512" w:name="_Toc64576179"/>
      <w:bookmarkStart w:id="15513" w:name="_Toc64588764"/>
      <w:bookmarkStart w:id="15514" w:name="_Toc64629355"/>
      <w:bookmarkStart w:id="15515" w:name="_Toc64642818"/>
      <w:r>
        <w:rPr>
          <w:rFonts w:hint="cs"/>
          <w:rtl/>
        </w:rPr>
        <w:t>דברי השו"מ דמוכח ברשב"ם כמהריב"ל דהודאת בע"ד כמתנה</w:t>
      </w:r>
      <w:bookmarkEnd w:id="15508"/>
      <w:bookmarkEnd w:id="15509"/>
      <w:bookmarkEnd w:id="15510"/>
      <w:bookmarkEnd w:id="15511"/>
      <w:bookmarkEnd w:id="15512"/>
      <w:bookmarkEnd w:id="15513"/>
      <w:bookmarkEnd w:id="15514"/>
      <w:bookmarkEnd w:id="15515"/>
    </w:p>
    <w:p w:rsidR="00103C1B" w:rsidRDefault="00103C1B" w:rsidP="00103C1B">
      <w:pPr>
        <w:pStyle w:val="a3"/>
        <w:rPr>
          <w:rtl/>
        </w:rPr>
      </w:pPr>
      <w:bookmarkStart w:id="15516" w:name="_Toc64576180"/>
      <w:bookmarkStart w:id="15517" w:name="_Toc64588765"/>
      <w:bookmarkStart w:id="15518" w:name="_Toc64629356"/>
      <w:bookmarkStart w:id="15519" w:name="_Toc64642819"/>
      <w:r>
        <w:rPr>
          <w:rFonts w:hint="cs"/>
          <w:rtl/>
        </w:rPr>
        <w:t>ביאור השו"מ דס"ל להרשב"ם כמהריב"ל דהודאת בע"ד הוא כמתנה וא"צ להחזיר את הפירות</w:t>
      </w:r>
      <w:bookmarkEnd w:id="15516"/>
      <w:bookmarkEnd w:id="15517"/>
      <w:bookmarkEnd w:id="15518"/>
      <w:bookmarkEnd w:id="15519"/>
    </w:p>
    <w:p w:rsidR="00103C1B" w:rsidRDefault="00103C1B" w:rsidP="007E4E81">
      <w:pPr>
        <w:pStyle w:val="a0"/>
        <w:rPr>
          <w:sz w:val="10"/>
          <w:szCs w:val="14"/>
          <w:rtl/>
        </w:rPr>
      </w:pPr>
      <w:r>
        <w:rPr>
          <w:rFonts w:hint="cs"/>
          <w:rtl/>
        </w:rPr>
        <w:t xml:space="preserve">וכתב </w:t>
      </w:r>
      <w:r w:rsidRPr="004950B2">
        <w:rPr>
          <w:rStyle w:val="af9"/>
          <w:rFonts w:hint="cs"/>
          <w:rtl/>
        </w:rPr>
        <w:t>השואל ומשיב</w:t>
      </w:r>
      <w:r w:rsidRPr="004950B2">
        <w:rPr>
          <w:rStyle w:val="af7"/>
          <w:rFonts w:eastAsia="Guttman Hodes" w:hint="cs"/>
          <w:rtl/>
        </w:rPr>
        <w:t xml:space="preserve"> (מהדורא שתיתאה סי' י"ג [עמ' יד.] סוד"ה והנה במ"ש הש"ך)</w:t>
      </w:r>
      <w:r w:rsidRPr="004950B2">
        <w:rPr>
          <w:rFonts w:hint="cs"/>
          <w:rtl/>
        </w:rPr>
        <w:t xml:space="preserve"> דמדברי </w:t>
      </w:r>
      <w:r w:rsidRPr="004950B2">
        <w:rPr>
          <w:rStyle w:val="af9"/>
          <w:rFonts w:hint="cs"/>
          <w:rtl/>
        </w:rPr>
        <w:t>הרשב"ם</w:t>
      </w:r>
      <w:r w:rsidRPr="004950B2">
        <w:rPr>
          <w:rStyle w:val="af7"/>
          <w:rFonts w:eastAsia="Guttman Hodes" w:hint="cs"/>
          <w:rtl/>
        </w:rPr>
        <w:t xml:space="preserve"> (עי' אות </w:t>
      </w:r>
      <w:r w:rsidRPr="004950B2">
        <w:rPr>
          <w:rStyle w:val="af7"/>
          <w:rFonts w:eastAsia="Guttman Hodes"/>
          <w:rtl/>
        </w:rPr>
        <w:fldChar w:fldCharType="begin"/>
      </w:r>
      <w:r w:rsidRPr="004950B2">
        <w:rPr>
          <w:rStyle w:val="af7"/>
          <w:rFonts w:eastAsia="Guttman Hodes"/>
          <w:rtl/>
        </w:rPr>
        <w:instrText xml:space="preserve"> </w:instrText>
      </w:r>
      <w:r w:rsidRPr="004950B2">
        <w:rPr>
          <w:rStyle w:val="af7"/>
          <w:rFonts w:eastAsia="Guttman Hodes" w:hint="cs"/>
        </w:rPr>
        <w:instrText>REF</w:instrText>
      </w:r>
      <w:r w:rsidRPr="004950B2">
        <w:rPr>
          <w:rStyle w:val="af7"/>
          <w:rFonts w:eastAsia="Guttman Hodes" w:hint="cs"/>
          <w:rtl/>
        </w:rPr>
        <w:instrText xml:space="preserve"> _</w:instrText>
      </w:r>
      <w:r w:rsidRPr="004950B2">
        <w:rPr>
          <w:rStyle w:val="af7"/>
          <w:rFonts w:eastAsia="Guttman Hodes" w:hint="cs"/>
        </w:rPr>
        <w:instrText>Ref64279894 \r \h</w:instrText>
      </w:r>
      <w:r w:rsidRPr="004950B2">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950B2">
        <w:rPr>
          <w:rStyle w:val="af7"/>
          <w:rFonts w:eastAsia="Guttman Hodes"/>
          <w:rtl/>
        </w:rPr>
      </w:r>
      <w:r w:rsidRPr="004950B2">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4950B2">
        <w:rPr>
          <w:rStyle w:val="af7"/>
          <w:rFonts w:eastAsia="Guttman Hodes"/>
          <w:rtl/>
        </w:rPr>
        <w:fldChar w:fldCharType="end"/>
      </w:r>
      <w:r w:rsidRPr="004950B2">
        <w:rPr>
          <w:rStyle w:val="af7"/>
          <w:rFonts w:eastAsia="Guttman Hodes" w:hint="cs"/>
          <w:rtl/>
        </w:rPr>
        <w:t xml:space="preserve"> </w:t>
      </w:r>
      <w:r>
        <w:rPr>
          <w:rFonts w:hint="cs"/>
          <w:rtl/>
        </w:rPr>
        <w:t>דכתב דלרב חסדא אינו חייב להחזיר לו את הפירות, אעפ"י שהודה עכשיו שרב אידי קרוב יותר, דחשיב שנתן לו מדעתו את האילן,</w:t>
      </w:r>
      <w:r w:rsidRPr="004950B2">
        <w:rPr>
          <w:rFonts w:hint="cs"/>
          <w:rtl/>
        </w:rPr>
        <w:t xml:space="preserve"> יש ראיה ברורה לדעת </w:t>
      </w:r>
      <w:r w:rsidRPr="004950B2">
        <w:rPr>
          <w:rStyle w:val="af9"/>
          <w:rFonts w:hint="cs"/>
          <w:rtl/>
        </w:rPr>
        <w:t>המהר"י בן לב</w:t>
      </w:r>
      <w:r w:rsidRPr="004950B2">
        <w:rPr>
          <w:rFonts w:hint="cs"/>
          <w:rtl/>
        </w:rPr>
        <w:t xml:space="preserve"> </w:t>
      </w:r>
      <w:r w:rsidRPr="004950B2">
        <w:rPr>
          <w:rStyle w:val="af7"/>
          <w:rFonts w:eastAsia="Guttman Hodes" w:hint="cs"/>
          <w:rtl/>
        </w:rPr>
        <w:t>(ח"א סי' י"ט ד"ה איברא)</w:t>
      </w:r>
      <w:r w:rsidRPr="004950B2">
        <w:rPr>
          <w:rFonts w:hint="cs"/>
          <w:rtl/>
        </w:rPr>
        <w:t xml:space="preserve"> שהביא </w:t>
      </w:r>
      <w:r w:rsidRPr="004950B2">
        <w:rPr>
          <w:rStyle w:val="af9"/>
          <w:rFonts w:hint="cs"/>
          <w:rtl/>
        </w:rPr>
        <w:t>הקצוה"ח</w:t>
      </w:r>
      <w:r w:rsidRPr="004950B2">
        <w:rPr>
          <w:rFonts w:hint="cs"/>
          <w:rtl/>
        </w:rPr>
        <w:t xml:space="preserve"> </w:t>
      </w:r>
      <w:r w:rsidRPr="004950B2">
        <w:rPr>
          <w:rStyle w:val="af7"/>
          <w:rFonts w:eastAsia="Guttman Hodes" w:hint="cs"/>
          <w:rtl/>
        </w:rPr>
        <w:t>(סי' ל"ד סק"ד)</w:t>
      </w:r>
      <w:r w:rsidRPr="004950B2">
        <w:rPr>
          <w:rFonts w:hint="cs"/>
          <w:rtl/>
        </w:rPr>
        <w:t xml:space="preserve"> ד</w:t>
      </w:r>
      <w:r>
        <w:rPr>
          <w:rFonts w:hint="cs"/>
          <w:rtl/>
        </w:rPr>
        <w:t xml:space="preserve">ביאר </w:t>
      </w:r>
      <w:r w:rsidRPr="004950B2">
        <w:rPr>
          <w:rFonts w:hint="cs"/>
          <w:rtl/>
        </w:rPr>
        <w:t>הודאת בע"ד מהני מדין מתנה,</w:t>
      </w:r>
      <w:r>
        <w:rPr>
          <w:rFonts w:hint="cs"/>
          <w:rtl/>
        </w:rPr>
        <w:t xml:space="preserve"> ולכן אף שהודה שהדקל של רב אידי, מ"מ א"צ להחזיר את הפירות, דרק את הדקל נתן לו במתנה מכאן ולהבא. </w:t>
      </w:r>
    </w:p>
    <w:p w:rsidR="00103C1B" w:rsidRPr="00264F9C" w:rsidRDefault="00103C1B" w:rsidP="00103C1B">
      <w:pPr>
        <w:pStyle w:val="a3"/>
      </w:pPr>
      <w:bookmarkStart w:id="15520" w:name="_Toc64576181"/>
      <w:bookmarkStart w:id="15521" w:name="_Toc64588766"/>
      <w:bookmarkStart w:id="15522" w:name="_Toc64629357"/>
      <w:bookmarkStart w:id="15523" w:name="_Toc64642820"/>
      <w:r>
        <w:rPr>
          <w:rFonts w:hint="cs"/>
          <w:rtl/>
        </w:rPr>
        <w:t>דברי השו"מ דהקצוה"ח דהודאת בע"ד הוא נאמנות חשיב שהעיד דהדקל והפירות של רב אידי</w:t>
      </w:r>
      <w:bookmarkEnd w:id="15520"/>
      <w:bookmarkEnd w:id="15521"/>
      <w:bookmarkEnd w:id="15522"/>
      <w:bookmarkEnd w:id="15523"/>
    </w:p>
    <w:p w:rsidR="00103C1B" w:rsidRPr="002A487F" w:rsidRDefault="00103C1B" w:rsidP="007E4E81">
      <w:pPr>
        <w:pStyle w:val="a0"/>
        <w:rPr>
          <w:rStyle w:val="afb"/>
          <w:rtl/>
        </w:rPr>
      </w:pPr>
      <w:r>
        <w:rPr>
          <w:rFonts w:hint="cs"/>
          <w:rtl/>
        </w:rPr>
        <w:t xml:space="preserve">וכתב </w:t>
      </w:r>
      <w:r w:rsidRPr="004950B2">
        <w:rPr>
          <w:rStyle w:val="af9"/>
          <w:rFonts w:hint="cs"/>
          <w:rtl/>
        </w:rPr>
        <w:t>השואל ומשיב</w:t>
      </w:r>
      <w:r w:rsidRPr="004950B2">
        <w:rPr>
          <w:rStyle w:val="af7"/>
          <w:rFonts w:eastAsia="Guttman Hodes" w:hint="cs"/>
          <w:rtl/>
        </w:rPr>
        <w:t xml:space="preserve"> </w:t>
      </w:r>
      <w:r>
        <w:rPr>
          <w:rFonts w:hint="cs"/>
          <w:rtl/>
        </w:rPr>
        <w:t xml:space="preserve">דאי ס"ל </w:t>
      </w:r>
      <w:r w:rsidRPr="005508A0">
        <w:rPr>
          <w:rStyle w:val="af9"/>
          <w:rFonts w:hint="cs"/>
          <w:rtl/>
        </w:rPr>
        <w:t>להרשב</w:t>
      </w:r>
      <w:r w:rsidRPr="00E91E98">
        <w:rPr>
          <w:rStyle w:val="af9"/>
          <w:rFonts w:hint="cs"/>
          <w:rtl/>
        </w:rPr>
        <w:t>"ם</w:t>
      </w:r>
      <w:r>
        <w:rPr>
          <w:rFonts w:hint="cs"/>
          <w:rtl/>
        </w:rPr>
        <w:t xml:space="preserve"> דהודאת בע"ד היא מדין נאמנות כדביאר</w:t>
      </w:r>
      <w:r w:rsidRPr="004950B2">
        <w:rPr>
          <w:rFonts w:hint="cs"/>
          <w:rtl/>
        </w:rPr>
        <w:t xml:space="preserve"> </w:t>
      </w:r>
      <w:r w:rsidRPr="004950B2">
        <w:rPr>
          <w:rStyle w:val="af9"/>
          <w:rFonts w:hint="cs"/>
          <w:rtl/>
        </w:rPr>
        <w:t>הקצוה"ח</w:t>
      </w:r>
      <w:r>
        <w:rPr>
          <w:rStyle w:val="af9"/>
          <w:rFonts w:hint="cs"/>
          <w:rtl/>
        </w:rPr>
        <w:t xml:space="preserve"> </w:t>
      </w:r>
      <w:r w:rsidRPr="004950B2">
        <w:rPr>
          <w:rStyle w:val="af7"/>
          <w:rFonts w:eastAsia="Guttman Hodes" w:hint="cs"/>
          <w:rtl/>
        </w:rPr>
        <w:t>(סי' ל"ד סק"ד)</w:t>
      </w:r>
      <w:r w:rsidRPr="004950B2">
        <w:rPr>
          <w:rFonts w:hint="cs"/>
          <w:rtl/>
        </w:rPr>
        <w:t xml:space="preserve">  א"כ כל ש</w:t>
      </w:r>
      <w:r>
        <w:rPr>
          <w:rFonts w:hint="cs"/>
          <w:rtl/>
        </w:rPr>
        <w:t xml:space="preserve">הודה ההוא גברא לרב אידי בהודאת בע"ד, חשיב </w:t>
      </w:r>
      <w:r w:rsidRPr="00427223">
        <w:rPr>
          <w:rFonts w:hint="cs"/>
          <w:rtl/>
        </w:rPr>
        <w:t xml:space="preserve">שהעיד ההוא גברא שהקרקע היא של רבי אידי, וממילא הוא חייב להחזיר לו את הפירות, וכ"כ </w:t>
      </w:r>
      <w:r w:rsidRPr="00427223">
        <w:rPr>
          <w:rStyle w:val="af9"/>
          <w:rFonts w:hint="cs"/>
          <w:rtl/>
        </w:rPr>
        <w:t>הגידולי שמואל</w:t>
      </w:r>
      <w:r w:rsidRPr="00427223">
        <w:rPr>
          <w:rFonts w:hint="cs"/>
          <w:rtl/>
        </w:rPr>
        <w:t xml:space="preserve"> </w:t>
      </w:r>
      <w:r w:rsidRPr="00427223">
        <w:rPr>
          <w:rStyle w:val="af7"/>
          <w:rFonts w:eastAsia="Guttman Hodes" w:hint="cs"/>
          <w:rtl/>
        </w:rPr>
        <w:t>(ד"ה תו יש לומר)</w:t>
      </w:r>
      <w:r w:rsidRPr="00427223">
        <w:rPr>
          <w:rFonts w:hint="cs"/>
          <w:rtl/>
        </w:rPr>
        <w:t xml:space="preserve">. </w:t>
      </w:r>
      <w:r w:rsidRPr="00427223">
        <w:rPr>
          <w:rStyle w:val="afb"/>
          <w:rFonts w:hint="cs"/>
          <w:rtl/>
        </w:rPr>
        <w:t xml:space="preserve">[וכתב </w:t>
      </w:r>
      <w:r w:rsidRPr="00427223">
        <w:rPr>
          <w:rStyle w:val="affa"/>
          <w:rFonts w:hint="cs"/>
          <w:rtl/>
        </w:rPr>
        <w:t>השואל ומשיב</w:t>
      </w:r>
      <w:r w:rsidRPr="00427223">
        <w:rPr>
          <w:rStyle w:val="afb"/>
          <w:rFonts w:hint="cs"/>
          <w:rtl/>
        </w:rPr>
        <w:t xml:space="preserve"> דאעפ"י דלפי </w:t>
      </w:r>
      <w:r w:rsidRPr="00427223">
        <w:rPr>
          <w:rStyle w:val="affa"/>
          <w:rFonts w:hint="cs"/>
          <w:rtl/>
        </w:rPr>
        <w:t>התוס</w:t>
      </w:r>
      <w:r w:rsidRPr="00427223">
        <w:rPr>
          <w:rStyle w:val="afb"/>
          <w:rFonts w:hint="cs"/>
          <w:rtl/>
        </w:rPr>
        <w:t xml:space="preserve">' </w:t>
      </w:r>
      <w:r w:rsidRPr="00427223">
        <w:rPr>
          <w:rStyle w:val="aff6"/>
          <w:rFonts w:hint="cs"/>
          <w:rtl/>
        </w:rPr>
        <w:t xml:space="preserve">(עי' אות </w:t>
      </w:r>
      <w:r w:rsidRPr="00427223">
        <w:rPr>
          <w:rStyle w:val="aff6"/>
          <w:rtl/>
        </w:rPr>
        <w:fldChar w:fldCharType="begin"/>
      </w:r>
      <w:r w:rsidRPr="00427223">
        <w:rPr>
          <w:rStyle w:val="aff6"/>
          <w:rtl/>
        </w:rPr>
        <w:instrText xml:space="preserve"> </w:instrText>
      </w:r>
      <w:r w:rsidRPr="00427223">
        <w:rPr>
          <w:rStyle w:val="aff6"/>
          <w:rFonts w:hint="cs"/>
        </w:rPr>
        <w:instrText>REF</w:instrText>
      </w:r>
      <w:r w:rsidRPr="00427223">
        <w:rPr>
          <w:rStyle w:val="aff6"/>
          <w:rFonts w:hint="cs"/>
          <w:rtl/>
        </w:rPr>
        <w:instrText xml:space="preserve"> _</w:instrText>
      </w:r>
      <w:r w:rsidRPr="00427223">
        <w:rPr>
          <w:rStyle w:val="aff6"/>
          <w:rFonts w:hint="cs"/>
        </w:rPr>
        <w:instrText>Ref64303642 \r \h</w:instrText>
      </w:r>
      <w:r w:rsidRPr="00427223">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427223">
        <w:rPr>
          <w:rStyle w:val="aff6"/>
          <w:rtl/>
        </w:rPr>
      </w:r>
      <w:r w:rsidRPr="00427223">
        <w:rPr>
          <w:rStyle w:val="aff6"/>
          <w:rtl/>
        </w:rPr>
        <w:fldChar w:fldCharType="separate"/>
      </w:r>
      <w:r w:rsidR="00265073">
        <w:rPr>
          <w:rStyle w:val="aff6"/>
          <w:cs/>
        </w:rPr>
        <w:t>‎</w:t>
      </w:r>
      <w:r w:rsidR="00265073">
        <w:rPr>
          <w:rStyle w:val="aff6"/>
          <w:rtl/>
        </w:rPr>
        <w:t>לח)</w:t>
      </w:r>
      <w:r w:rsidRPr="00427223">
        <w:rPr>
          <w:rStyle w:val="aff6"/>
          <w:rtl/>
        </w:rPr>
        <w:fldChar w:fldCharType="end"/>
      </w:r>
      <w:r w:rsidRPr="00427223">
        <w:rPr>
          <w:rStyle w:val="afb"/>
          <w:rFonts w:hint="cs"/>
          <w:rtl/>
        </w:rPr>
        <w:t xml:space="preserve"> </w:t>
      </w:r>
      <w:r w:rsidRPr="00427223">
        <w:rPr>
          <w:rStyle w:val="affa"/>
          <w:rFonts w:hint="cs"/>
          <w:rtl/>
        </w:rPr>
        <w:t>והפוסקים</w:t>
      </w:r>
      <w:r w:rsidRPr="00427223">
        <w:rPr>
          <w:rStyle w:val="afb"/>
          <w:rFonts w:hint="cs"/>
          <w:rtl/>
        </w:rPr>
        <w:t xml:space="preserve"> דגרסו כדעת </w:t>
      </w:r>
      <w:r w:rsidRPr="00427223">
        <w:rPr>
          <w:rStyle w:val="affa"/>
          <w:rFonts w:hint="cs"/>
          <w:rtl/>
        </w:rPr>
        <w:t>ר"ח</w:t>
      </w:r>
      <w:r w:rsidRPr="00427223">
        <w:rPr>
          <w:rStyle w:val="afb"/>
          <w:rFonts w:hint="cs"/>
          <w:rtl/>
        </w:rPr>
        <w:t xml:space="preserve"> </w:t>
      </w:r>
      <w:r w:rsidRPr="008274C7">
        <w:rPr>
          <w:rStyle w:val="aff6"/>
          <w:rFonts w:hint="cs"/>
          <w:rtl/>
        </w:rPr>
        <w:t xml:space="preserve">(עי' אות </w:t>
      </w:r>
      <w:r w:rsidRPr="008274C7">
        <w:rPr>
          <w:rStyle w:val="aff6"/>
          <w:rtl/>
        </w:rPr>
        <w:fldChar w:fldCharType="begin"/>
      </w:r>
      <w:r w:rsidRPr="008274C7">
        <w:rPr>
          <w:rStyle w:val="aff6"/>
          <w:rtl/>
        </w:rPr>
        <w:instrText xml:space="preserve"> </w:instrText>
      </w:r>
      <w:r w:rsidRPr="008274C7">
        <w:rPr>
          <w:rStyle w:val="aff6"/>
          <w:rFonts w:hint="cs"/>
        </w:rPr>
        <w:instrText>REF</w:instrText>
      </w:r>
      <w:r w:rsidRPr="008274C7">
        <w:rPr>
          <w:rStyle w:val="aff6"/>
          <w:rFonts w:hint="cs"/>
          <w:rtl/>
        </w:rPr>
        <w:instrText xml:space="preserve"> _</w:instrText>
      </w:r>
      <w:r w:rsidRPr="008274C7">
        <w:rPr>
          <w:rStyle w:val="aff6"/>
          <w:rFonts w:hint="cs"/>
        </w:rPr>
        <w:instrText>Ref64454618 \r \h</w:instrText>
      </w:r>
      <w:r w:rsidRPr="008274C7">
        <w:rPr>
          <w:rStyle w:val="aff6"/>
          <w:rtl/>
        </w:rPr>
        <w:instrText xml:space="preserve"> </w:instrText>
      </w:r>
      <w:r w:rsidRPr="008274C7">
        <w:rPr>
          <w:rStyle w:val="aff6"/>
          <w:rtl/>
        </w:rPr>
      </w:r>
      <w:r w:rsidRPr="008274C7">
        <w:rPr>
          <w:rStyle w:val="aff6"/>
          <w:rtl/>
        </w:rPr>
        <w:fldChar w:fldCharType="separate"/>
      </w:r>
      <w:r w:rsidR="00265073">
        <w:rPr>
          <w:rStyle w:val="aff6"/>
          <w:cs/>
        </w:rPr>
        <w:t>‎</w:t>
      </w:r>
      <w:r w:rsidR="00265073">
        <w:rPr>
          <w:rStyle w:val="aff6"/>
          <w:rtl/>
        </w:rPr>
        <w:t>יט)</w:t>
      </w:r>
      <w:r w:rsidRPr="008274C7">
        <w:rPr>
          <w:rStyle w:val="aff6"/>
          <w:rtl/>
        </w:rPr>
        <w:fldChar w:fldCharType="end"/>
      </w:r>
      <w:r w:rsidRPr="008274C7">
        <w:rPr>
          <w:rStyle w:val="aff6"/>
          <w:rFonts w:hint="cs"/>
          <w:rtl/>
        </w:rPr>
        <w:t xml:space="preserve"> </w:t>
      </w:r>
      <w:r w:rsidRPr="00427223">
        <w:rPr>
          <w:rStyle w:val="afb"/>
          <w:rFonts w:hint="cs"/>
          <w:rtl/>
        </w:rPr>
        <w:t xml:space="preserve">אין ראיה </w:t>
      </w:r>
      <w:r w:rsidRPr="008274C7">
        <w:rPr>
          <w:rStyle w:val="affa"/>
          <w:rFonts w:hint="cs"/>
          <w:rtl/>
        </w:rPr>
        <w:t>למהריב"ל</w:t>
      </w:r>
      <w:r w:rsidRPr="00427223">
        <w:rPr>
          <w:rStyle w:val="afb"/>
          <w:rFonts w:hint="cs"/>
          <w:rtl/>
        </w:rPr>
        <w:t>, מ"מ ל</w:t>
      </w:r>
      <w:r w:rsidRPr="00756EC4">
        <w:rPr>
          <w:rStyle w:val="afb"/>
          <w:rFonts w:hint="cs"/>
          <w:rtl/>
        </w:rPr>
        <w:t xml:space="preserve">פי גירסת </w:t>
      </w:r>
      <w:r w:rsidRPr="00756EC4">
        <w:rPr>
          <w:rStyle w:val="affa"/>
          <w:rFonts w:hint="cs"/>
          <w:rtl/>
        </w:rPr>
        <w:t xml:space="preserve">הרשב"ם </w:t>
      </w:r>
      <w:r w:rsidRPr="008274C7">
        <w:rPr>
          <w:rStyle w:val="aff6"/>
          <w:rFonts w:hint="cs"/>
          <w:rtl/>
        </w:rPr>
        <w:t xml:space="preserve">(עי' אות </w:t>
      </w:r>
      <w:r w:rsidRPr="008274C7">
        <w:rPr>
          <w:rStyle w:val="aff6"/>
          <w:rtl/>
        </w:rPr>
        <w:fldChar w:fldCharType="begin"/>
      </w:r>
      <w:r w:rsidRPr="008274C7">
        <w:rPr>
          <w:rStyle w:val="aff6"/>
          <w:rtl/>
        </w:rPr>
        <w:instrText xml:space="preserve"> </w:instrText>
      </w:r>
      <w:r w:rsidRPr="008274C7">
        <w:rPr>
          <w:rStyle w:val="aff6"/>
          <w:rFonts w:hint="cs"/>
        </w:rPr>
        <w:instrText>REF</w:instrText>
      </w:r>
      <w:r w:rsidRPr="008274C7">
        <w:rPr>
          <w:rStyle w:val="aff6"/>
          <w:rFonts w:hint="cs"/>
          <w:rtl/>
        </w:rPr>
        <w:instrText xml:space="preserve"> _</w:instrText>
      </w:r>
      <w:r w:rsidRPr="008274C7">
        <w:rPr>
          <w:rStyle w:val="aff6"/>
          <w:rFonts w:hint="cs"/>
        </w:rPr>
        <w:instrText>Ref64451602 \r \h</w:instrText>
      </w:r>
      <w:r w:rsidRPr="008274C7">
        <w:rPr>
          <w:rStyle w:val="aff6"/>
          <w:rtl/>
        </w:rPr>
        <w:instrText xml:space="preserve"> </w:instrText>
      </w:r>
      <w:r w:rsidRPr="008274C7">
        <w:rPr>
          <w:rStyle w:val="aff6"/>
          <w:rtl/>
        </w:rPr>
      </w:r>
      <w:r w:rsidRPr="008274C7">
        <w:rPr>
          <w:rStyle w:val="aff6"/>
          <w:rtl/>
        </w:rPr>
        <w:fldChar w:fldCharType="separate"/>
      </w:r>
      <w:r w:rsidR="00265073">
        <w:rPr>
          <w:rStyle w:val="aff6"/>
          <w:cs/>
        </w:rPr>
        <w:t>‎</w:t>
      </w:r>
      <w:r w:rsidR="00265073">
        <w:rPr>
          <w:rStyle w:val="aff6"/>
          <w:rtl/>
        </w:rPr>
        <w:t>ב)</w:t>
      </w:r>
      <w:r w:rsidRPr="008274C7">
        <w:rPr>
          <w:rStyle w:val="aff6"/>
          <w:rtl/>
        </w:rPr>
        <w:fldChar w:fldCharType="end"/>
      </w:r>
      <w:r w:rsidRPr="00756EC4">
        <w:rPr>
          <w:rStyle w:val="afb"/>
          <w:rFonts w:hint="cs"/>
          <w:rtl/>
        </w:rPr>
        <w:t xml:space="preserve"> מוכח </w:t>
      </w:r>
      <w:r w:rsidRPr="002A487F">
        <w:rPr>
          <w:rStyle w:val="afb"/>
          <w:rFonts w:hint="cs"/>
          <w:rtl/>
        </w:rPr>
        <w:t xml:space="preserve">כדברי </w:t>
      </w:r>
      <w:r w:rsidRPr="002A487F">
        <w:rPr>
          <w:rStyle w:val="affa"/>
          <w:rFonts w:hint="cs"/>
          <w:rtl/>
        </w:rPr>
        <w:t>המהריב"ל</w:t>
      </w:r>
      <w:r w:rsidRPr="002A487F">
        <w:rPr>
          <w:rStyle w:val="afb"/>
          <w:rFonts w:hint="cs"/>
          <w:rtl/>
        </w:rPr>
        <w:t>]</w:t>
      </w:r>
      <w:r w:rsidRPr="002A487F">
        <w:rPr>
          <w:rStyle w:val="af1"/>
          <w:rtl/>
        </w:rPr>
        <w:footnoteReference w:id="111"/>
      </w:r>
      <w:r w:rsidRPr="002A487F">
        <w:rPr>
          <w:rFonts w:hint="cs"/>
          <w:rtl/>
        </w:rPr>
        <w:t>.</w:t>
      </w:r>
    </w:p>
    <w:p w:rsidR="00103C1B" w:rsidRPr="002A487F" w:rsidRDefault="00103C1B" w:rsidP="00103C1B">
      <w:pPr>
        <w:pStyle w:val="a3"/>
        <w:rPr>
          <w:rtl/>
        </w:rPr>
      </w:pPr>
      <w:bookmarkStart w:id="15524" w:name="_Toc64576182"/>
      <w:bookmarkStart w:id="15525" w:name="_Toc64588767"/>
      <w:bookmarkStart w:id="15526" w:name="_Toc64629358"/>
      <w:bookmarkStart w:id="15527" w:name="_Toc64642821"/>
      <w:r w:rsidRPr="002A487F">
        <w:rPr>
          <w:rFonts w:hint="cs"/>
          <w:rtl/>
        </w:rPr>
        <w:t xml:space="preserve">דברי </w:t>
      </w:r>
      <w:r>
        <w:rPr>
          <w:rFonts w:hint="cs"/>
          <w:rtl/>
        </w:rPr>
        <w:t>הצ"פ דרב חסדא ס"ל דהודאת בע"ד הוא חיוב חדש להבא ולאביי ורבא חייב אף למפרע</w:t>
      </w:r>
      <w:bookmarkEnd w:id="15524"/>
      <w:bookmarkEnd w:id="15525"/>
      <w:bookmarkEnd w:id="15526"/>
      <w:bookmarkEnd w:id="15527"/>
    </w:p>
    <w:p w:rsidR="00103C1B" w:rsidRDefault="00103C1B" w:rsidP="007E4E81">
      <w:pPr>
        <w:pStyle w:val="a0"/>
        <w:rPr>
          <w:rtl/>
        </w:rPr>
      </w:pPr>
      <w:r w:rsidRPr="002A487F">
        <w:rPr>
          <w:rFonts w:hint="cs"/>
          <w:rtl/>
        </w:rPr>
        <w:t xml:space="preserve">וכ"כ </w:t>
      </w:r>
      <w:r w:rsidRPr="002A487F">
        <w:rPr>
          <w:rStyle w:val="af9"/>
          <w:rFonts w:hint="cs"/>
          <w:rtl/>
        </w:rPr>
        <w:t>הצפנת פענח</w:t>
      </w:r>
      <w:r w:rsidRPr="002A487F">
        <w:rPr>
          <w:rFonts w:hint="cs"/>
          <w:rtl/>
        </w:rPr>
        <w:t xml:space="preserve"> </w:t>
      </w:r>
      <w:r w:rsidRPr="002A487F">
        <w:rPr>
          <w:rStyle w:val="af7"/>
          <w:rFonts w:eastAsia="Guttman Hodes" w:hint="cs"/>
          <w:rtl/>
        </w:rPr>
        <w:t xml:space="preserve">(נערה בתולה פ"א ה"א בתו"ד) </w:t>
      </w:r>
      <w:r w:rsidRPr="002A487F">
        <w:rPr>
          <w:rFonts w:hint="cs"/>
          <w:rtl/>
        </w:rPr>
        <w:t>דרב חסדא ואביי ורבא נחלקו בדין הודאת בע"ד, דרב חסדא ס"ל דההודאה היא חיוב חדש, ולכן א"צ להחזיר א</w:t>
      </w:r>
      <w:r>
        <w:rPr>
          <w:rFonts w:hint="cs"/>
          <w:rtl/>
        </w:rPr>
        <w:t>ת הפירות, דחייב את עצמו רק מכאן ולהבא, ולאביי ורבא הודאת בע"ד אינה חיוב חדש, ולכן צריך לשלם גם את הפירות שאכל.</w:t>
      </w:r>
    </w:p>
    <w:p w:rsidR="00103C1B" w:rsidRPr="00103C1B" w:rsidRDefault="00103C1B" w:rsidP="00103C1B">
      <w:pPr>
        <w:pStyle w:val="a3"/>
        <w:rPr>
          <w:rtl/>
        </w:rPr>
      </w:pPr>
    </w:p>
    <w:p w:rsidR="00103C1B" w:rsidRPr="00103C1B" w:rsidRDefault="00103C1B" w:rsidP="00103C1B">
      <w:pPr>
        <w:pStyle w:val="a3"/>
        <w:rPr>
          <w:rtl/>
        </w:rPr>
      </w:pPr>
    </w:p>
    <w:p w:rsidR="00103C1B" w:rsidRDefault="00103C1B" w:rsidP="00103C1B">
      <w:pPr>
        <w:pStyle w:val="1"/>
        <w:rPr>
          <w:rtl/>
        </w:rPr>
      </w:pPr>
      <w:bookmarkStart w:id="15528" w:name="_Toc64458635"/>
      <w:bookmarkStart w:id="15529" w:name="_Toc64549012"/>
      <w:bookmarkStart w:id="15530" w:name="_Toc64576183"/>
      <w:bookmarkStart w:id="15531" w:name="_Toc64588768"/>
      <w:bookmarkStart w:id="15532" w:name="_Toc64629359"/>
      <w:bookmarkStart w:id="15533" w:name="_Toc64642822"/>
      <w:r>
        <w:rPr>
          <w:rFonts w:hint="cs"/>
          <w:rtl/>
        </w:rPr>
        <w:lastRenderedPageBreak/>
        <w:t>ביאור הפנ"ש ברשב"ם</w:t>
      </w:r>
      <w:bookmarkEnd w:id="15528"/>
      <w:r>
        <w:rPr>
          <w:rFonts w:hint="cs"/>
          <w:rtl/>
        </w:rPr>
        <w:t xml:space="preserve"> דבהודאת בע"ד לא בטל הכדא"ג</w:t>
      </w:r>
      <w:bookmarkEnd w:id="15529"/>
      <w:r>
        <w:rPr>
          <w:rFonts w:hint="cs"/>
          <w:rtl/>
        </w:rPr>
        <w:t xml:space="preserve"> למפרע</w:t>
      </w:r>
      <w:bookmarkEnd w:id="15530"/>
      <w:bookmarkEnd w:id="15531"/>
      <w:bookmarkEnd w:id="15532"/>
      <w:bookmarkEnd w:id="15533"/>
    </w:p>
    <w:p w:rsidR="00103C1B" w:rsidRPr="00193F3C" w:rsidRDefault="00103C1B" w:rsidP="00103C1B">
      <w:pPr>
        <w:pStyle w:val="a3"/>
        <w:rPr>
          <w:rtl/>
        </w:rPr>
      </w:pPr>
      <w:bookmarkStart w:id="15534" w:name="_Toc64576184"/>
      <w:bookmarkStart w:id="15535" w:name="_Toc64588769"/>
      <w:bookmarkStart w:id="15536" w:name="_Toc64629360"/>
      <w:bookmarkStart w:id="15537" w:name="_Toc64642823"/>
      <w:r>
        <w:rPr>
          <w:rFonts w:hint="cs"/>
          <w:rtl/>
        </w:rPr>
        <w:t>ביאור הפנ"ש ברשב"ם דההוא גברא זכה בפירות מדין כדא"ג ואיירי דאחר שהודה וחזר בו</w:t>
      </w:r>
      <w:bookmarkEnd w:id="15534"/>
      <w:bookmarkEnd w:id="15535"/>
      <w:bookmarkEnd w:id="15536"/>
      <w:bookmarkEnd w:id="15537"/>
      <w:r>
        <w:rPr>
          <w:rFonts w:hint="cs"/>
          <w:rtl/>
        </w:rPr>
        <w:t xml:space="preserve"> </w:t>
      </w:r>
    </w:p>
    <w:p w:rsidR="00103C1B" w:rsidRDefault="00103C1B" w:rsidP="007E4E81">
      <w:pPr>
        <w:pStyle w:val="a0"/>
        <w:rPr>
          <w:rtl/>
        </w:rPr>
      </w:pPr>
      <w:bookmarkStart w:id="15538" w:name="_Toc64407315"/>
      <w:bookmarkStart w:id="15539" w:name="_Toc64454547"/>
      <w:r w:rsidRPr="00193F3C">
        <w:rPr>
          <w:rStyle w:val="af9"/>
          <w:rFonts w:hint="cs"/>
          <w:rtl/>
        </w:rPr>
        <w:t>ובפני</w:t>
      </w:r>
      <w:r>
        <w:rPr>
          <w:rFonts w:hint="cs"/>
          <w:rtl/>
        </w:rPr>
        <w:t xml:space="preserve"> </w:t>
      </w:r>
      <w:r w:rsidRPr="00193F3C">
        <w:rPr>
          <w:rStyle w:val="af9"/>
          <w:rFonts w:hint="cs"/>
          <w:rtl/>
        </w:rPr>
        <w:t>שלמה</w:t>
      </w:r>
      <w:r>
        <w:rPr>
          <w:rFonts w:hint="cs"/>
          <w:rtl/>
        </w:rPr>
        <w:t xml:space="preserve"> </w:t>
      </w:r>
      <w:r w:rsidRPr="00193F3C">
        <w:rPr>
          <w:rStyle w:val="af7"/>
          <w:rFonts w:eastAsia="Guttman Hodes" w:hint="cs"/>
          <w:rtl/>
        </w:rPr>
        <w:t>(על הר</w:t>
      </w:r>
      <w:r w:rsidRPr="00E951FA">
        <w:rPr>
          <w:rStyle w:val="af7"/>
          <w:rFonts w:eastAsia="Guttman Hodes" w:hint="cs"/>
          <w:rtl/>
        </w:rPr>
        <w:t>שב"ם ד"</w:t>
      </w:r>
      <w:r w:rsidRPr="00193F3C">
        <w:rPr>
          <w:rStyle w:val="af7"/>
          <w:rFonts w:eastAsia="Guttman Hodes" w:hint="cs"/>
          <w:rtl/>
        </w:rPr>
        <w:t>ה אתא)</w:t>
      </w:r>
      <w:r>
        <w:rPr>
          <w:rFonts w:hint="cs"/>
          <w:rtl/>
        </w:rPr>
        <w:t xml:space="preserve"> ביאר דס"ל </w:t>
      </w:r>
      <w:r w:rsidRPr="00193F3C">
        <w:rPr>
          <w:rStyle w:val="af9"/>
          <w:rFonts w:hint="cs"/>
          <w:rtl/>
        </w:rPr>
        <w:t>להרשב"ם</w:t>
      </w:r>
      <w:r>
        <w:rPr>
          <w:rFonts w:hint="cs"/>
          <w:rtl/>
        </w:rPr>
        <w:t xml:space="preserve"> </w:t>
      </w:r>
      <w:r w:rsidRPr="00930A4F">
        <w:rPr>
          <w:rStyle w:val="af7"/>
          <w:rFonts w:eastAsia="Guttman Hodes" w:hint="cs"/>
          <w:rtl/>
        </w:rPr>
        <w:t xml:space="preserve">(עי' אות </w:t>
      </w:r>
      <w:r w:rsidRPr="00930A4F">
        <w:rPr>
          <w:rStyle w:val="af7"/>
          <w:rFonts w:eastAsia="Guttman Hodes"/>
          <w:rtl/>
        </w:rPr>
        <w:fldChar w:fldCharType="begin"/>
      </w:r>
      <w:r w:rsidRPr="00930A4F">
        <w:rPr>
          <w:rStyle w:val="af7"/>
          <w:rFonts w:eastAsia="Guttman Hodes"/>
          <w:rtl/>
        </w:rPr>
        <w:instrText xml:space="preserve"> </w:instrText>
      </w:r>
      <w:r w:rsidRPr="00930A4F">
        <w:rPr>
          <w:rStyle w:val="af7"/>
          <w:rFonts w:eastAsia="Guttman Hodes" w:hint="cs"/>
        </w:rPr>
        <w:instrText>REF</w:instrText>
      </w:r>
      <w:r w:rsidRPr="00930A4F">
        <w:rPr>
          <w:rStyle w:val="af7"/>
          <w:rFonts w:eastAsia="Guttman Hodes" w:hint="cs"/>
          <w:rtl/>
        </w:rPr>
        <w:instrText xml:space="preserve"> _</w:instrText>
      </w:r>
      <w:r w:rsidRPr="00930A4F">
        <w:rPr>
          <w:rStyle w:val="af7"/>
          <w:rFonts w:eastAsia="Guttman Hodes" w:hint="cs"/>
        </w:rPr>
        <w:instrText>Ref64279894 \r \h</w:instrText>
      </w:r>
      <w:r w:rsidRPr="00930A4F">
        <w:rPr>
          <w:rStyle w:val="af7"/>
          <w:rFonts w:eastAsia="Guttman Hodes"/>
          <w:rtl/>
        </w:rPr>
        <w:instrText xml:space="preserve"> </w:instrText>
      </w:r>
      <w:r w:rsidRPr="00930A4F">
        <w:rPr>
          <w:rStyle w:val="af7"/>
          <w:rFonts w:eastAsia="Guttman Hodes"/>
          <w:rtl/>
        </w:rPr>
      </w:r>
      <w:r w:rsidRPr="00930A4F">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930A4F">
        <w:rPr>
          <w:rStyle w:val="af7"/>
          <w:rFonts w:eastAsia="Guttman Hodes"/>
          <w:rtl/>
        </w:rPr>
        <w:fldChar w:fldCharType="end"/>
      </w:r>
      <w:r>
        <w:rPr>
          <w:rFonts w:hint="cs"/>
          <w:rtl/>
        </w:rPr>
        <w:t xml:space="preserve"> כדעת </w:t>
      </w:r>
      <w:r w:rsidRPr="00193F3C">
        <w:rPr>
          <w:rStyle w:val="af9"/>
          <w:rFonts w:hint="cs"/>
          <w:rtl/>
        </w:rPr>
        <w:t>הרא"ש</w:t>
      </w:r>
      <w:r>
        <w:rPr>
          <w:rFonts w:hint="cs"/>
          <w:rtl/>
        </w:rPr>
        <w:t xml:space="preserve"> </w:t>
      </w:r>
      <w:r w:rsidRPr="00193F3C">
        <w:rPr>
          <w:rStyle w:val="af9"/>
          <w:rFonts w:hint="cs"/>
          <w:rtl/>
        </w:rPr>
        <w:t>לקמן</w:t>
      </w:r>
      <w:r w:rsidRPr="002979BD">
        <w:rPr>
          <w:rStyle w:val="af7"/>
          <w:rFonts w:eastAsia="Guttman Hodes" w:hint="cs"/>
          <w:rtl/>
        </w:rPr>
        <w:t xml:space="preserve"> (סי' כ"ב) </w:t>
      </w:r>
      <w:r>
        <w:rPr>
          <w:rFonts w:hint="cs"/>
          <w:rtl/>
        </w:rPr>
        <w:t xml:space="preserve">דבדינא דכל דאלים גבר, אחר שאחד מהם גבר על חבירו, אין השני יכול להוציא ממנו, </w:t>
      </w:r>
      <w:r w:rsidRPr="00193F3C">
        <w:rPr>
          <w:rStyle w:val="afb"/>
          <w:rFonts w:hint="cs"/>
          <w:rtl/>
        </w:rPr>
        <w:t>[ודלא</w:t>
      </w:r>
      <w:r>
        <w:rPr>
          <w:rStyle w:val="afb"/>
          <w:rFonts w:hint="cs"/>
          <w:rtl/>
        </w:rPr>
        <w:t xml:space="preserve"> </w:t>
      </w:r>
      <w:r>
        <w:rPr>
          <w:rStyle w:val="affa"/>
          <w:rFonts w:hint="cs"/>
          <w:rtl/>
        </w:rPr>
        <w:t>כ</w:t>
      </w:r>
      <w:r w:rsidRPr="000A355D">
        <w:rPr>
          <w:rStyle w:val="affa"/>
          <w:rFonts w:hint="cs"/>
          <w:rtl/>
        </w:rPr>
        <w:t xml:space="preserve">תוס' </w:t>
      </w:r>
      <w:r>
        <w:rPr>
          <w:rStyle w:val="affa"/>
          <w:rFonts w:hint="cs"/>
          <w:rtl/>
        </w:rPr>
        <w:t>בב"מ</w:t>
      </w:r>
      <w:r w:rsidRPr="00193F3C">
        <w:rPr>
          <w:rStyle w:val="afb"/>
          <w:rFonts w:hint="cs"/>
          <w:rtl/>
        </w:rPr>
        <w:t xml:space="preserve"> </w:t>
      </w:r>
      <w:r w:rsidRPr="00FA15B6">
        <w:rPr>
          <w:rStyle w:val="aff6"/>
          <w:rFonts w:hint="cs"/>
          <w:rtl/>
        </w:rPr>
        <w:t xml:space="preserve">(ו. ד"ה והא) </w:t>
      </w:r>
      <w:r w:rsidRPr="00193F3C">
        <w:rPr>
          <w:rStyle w:val="afb"/>
          <w:rFonts w:hint="cs"/>
          <w:rtl/>
        </w:rPr>
        <w:t>ד</w:t>
      </w:r>
      <w:r>
        <w:rPr>
          <w:rStyle w:val="afb"/>
          <w:rFonts w:hint="cs"/>
          <w:rtl/>
        </w:rPr>
        <w:t>ס"ל ד</w:t>
      </w:r>
      <w:r w:rsidRPr="00193F3C">
        <w:rPr>
          <w:rStyle w:val="afb"/>
          <w:rFonts w:hint="cs"/>
          <w:rtl/>
        </w:rPr>
        <w:t>כ"א יכול לחזור ולהוציא מהשני שגבר עליו],</w:t>
      </w:r>
      <w:r>
        <w:rPr>
          <w:rFonts w:hint="cs"/>
          <w:rtl/>
        </w:rPr>
        <w:t xml:space="preserve"> וכתב </w:t>
      </w:r>
      <w:r w:rsidRPr="00193F3C">
        <w:rPr>
          <w:rStyle w:val="af9"/>
          <w:rFonts w:hint="cs"/>
          <w:rtl/>
        </w:rPr>
        <w:t>הפני</w:t>
      </w:r>
      <w:r>
        <w:rPr>
          <w:rFonts w:hint="cs"/>
          <w:rtl/>
        </w:rPr>
        <w:t xml:space="preserve"> </w:t>
      </w:r>
      <w:r w:rsidRPr="00193F3C">
        <w:rPr>
          <w:rStyle w:val="af9"/>
          <w:rFonts w:hint="cs"/>
          <w:rtl/>
        </w:rPr>
        <w:t>שלמה</w:t>
      </w:r>
      <w:r>
        <w:rPr>
          <w:rFonts w:hint="cs"/>
          <w:rtl/>
        </w:rPr>
        <w:t xml:space="preserve"> דא"כ דין כל דאלים גבר אינו מדין תפיסה, אלא מי שהתגבר זוכה בדין לגמרי, וכיון דכתב </w:t>
      </w:r>
      <w:r w:rsidRPr="00193F3C">
        <w:rPr>
          <w:rStyle w:val="af9"/>
          <w:rFonts w:hint="cs"/>
          <w:rtl/>
        </w:rPr>
        <w:t>הרשב"ם</w:t>
      </w:r>
      <w:r>
        <w:rPr>
          <w:rFonts w:hint="cs"/>
          <w:rtl/>
        </w:rPr>
        <w:t xml:space="preserve"> </w:t>
      </w:r>
      <w:r w:rsidRPr="00045CD8">
        <w:rPr>
          <w:rStyle w:val="af7"/>
          <w:rFonts w:eastAsia="Guttman Hodes" w:hint="cs"/>
          <w:rtl/>
        </w:rPr>
        <w:t xml:space="preserve">(עי' אות </w:t>
      </w:r>
      <w:r w:rsidRPr="00045CD8">
        <w:rPr>
          <w:rStyle w:val="af7"/>
          <w:rFonts w:eastAsia="Guttman Hodes"/>
          <w:rtl/>
        </w:rPr>
        <w:fldChar w:fldCharType="begin"/>
      </w:r>
      <w:r w:rsidRPr="00045CD8">
        <w:rPr>
          <w:rStyle w:val="af7"/>
          <w:rFonts w:eastAsia="Guttman Hodes"/>
          <w:rtl/>
        </w:rPr>
        <w:instrText xml:space="preserve"> </w:instrText>
      </w:r>
      <w:r w:rsidRPr="00045CD8">
        <w:rPr>
          <w:rStyle w:val="af7"/>
          <w:rFonts w:eastAsia="Guttman Hodes" w:hint="cs"/>
        </w:rPr>
        <w:instrText>REF</w:instrText>
      </w:r>
      <w:r w:rsidRPr="00045CD8">
        <w:rPr>
          <w:rStyle w:val="af7"/>
          <w:rFonts w:eastAsia="Guttman Hodes" w:hint="cs"/>
          <w:rtl/>
        </w:rPr>
        <w:instrText xml:space="preserve"> _</w:instrText>
      </w:r>
      <w:r w:rsidRPr="00045CD8">
        <w:rPr>
          <w:rStyle w:val="af7"/>
          <w:rFonts w:eastAsia="Guttman Hodes" w:hint="cs"/>
        </w:rPr>
        <w:instrText>Ref64450886 \r \h</w:instrText>
      </w:r>
      <w:r w:rsidRPr="00045CD8">
        <w:rPr>
          <w:rStyle w:val="af7"/>
          <w:rFonts w:eastAsia="Guttman Hodes"/>
          <w:rtl/>
        </w:rPr>
        <w:instrText xml:space="preserve"> </w:instrText>
      </w:r>
      <w:r w:rsidRPr="00045CD8">
        <w:rPr>
          <w:rStyle w:val="af7"/>
          <w:rFonts w:eastAsia="Guttman Hodes"/>
          <w:rtl/>
        </w:rPr>
      </w:r>
      <w:r w:rsidRPr="00045CD8">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045CD8">
        <w:rPr>
          <w:rStyle w:val="af7"/>
          <w:rFonts w:eastAsia="Guttman Hodes"/>
          <w:rtl/>
        </w:rPr>
        <w:fldChar w:fldCharType="end"/>
      </w:r>
      <w:r>
        <w:rPr>
          <w:rFonts w:hint="cs"/>
          <w:rtl/>
        </w:rPr>
        <w:t xml:space="preserve"> דההוא גברא זכה מדין כל דאלים גבר, </w:t>
      </w:r>
      <w:r w:rsidRPr="000A355D">
        <w:rPr>
          <w:rStyle w:val="afb"/>
          <w:rFonts w:hint="cs"/>
          <w:rtl/>
        </w:rPr>
        <w:t xml:space="preserve">[וכ"כ </w:t>
      </w:r>
      <w:r w:rsidRPr="000A355D">
        <w:rPr>
          <w:rStyle w:val="affa"/>
          <w:rFonts w:hint="cs"/>
          <w:rtl/>
        </w:rPr>
        <w:t>הרא"ש</w:t>
      </w:r>
      <w:r>
        <w:rPr>
          <w:rStyle w:val="affa"/>
          <w:rFonts w:hint="cs"/>
          <w:rtl/>
        </w:rPr>
        <w:t xml:space="preserve"> בסוגיין</w:t>
      </w:r>
      <w:r w:rsidRPr="000A355D">
        <w:rPr>
          <w:rStyle w:val="afb"/>
          <w:rFonts w:hint="cs"/>
          <w:rtl/>
        </w:rPr>
        <w:t xml:space="preserve"> </w:t>
      </w:r>
      <w:r w:rsidRPr="00FA15B6">
        <w:rPr>
          <w:rStyle w:val="aff6"/>
          <w:rFonts w:hint="cs"/>
          <w:rtl/>
        </w:rPr>
        <w:t>(סי' י"ט)</w:t>
      </w:r>
      <w:r w:rsidRPr="000A355D">
        <w:rPr>
          <w:rStyle w:val="afb"/>
          <w:rFonts w:hint="cs"/>
          <w:rtl/>
        </w:rPr>
        <w:t xml:space="preserve">], </w:t>
      </w:r>
      <w:r>
        <w:rPr>
          <w:rFonts w:hint="cs"/>
          <w:rtl/>
        </w:rPr>
        <w:t xml:space="preserve">א"כ הפירות שלו מעיקר הדין, ואעפ"י שאח"כ הודה לרב אידי, מ"מ איירי שחזר בו אח"כ או שמת, ועכשיו אינו מודה לו, ולכן כיון שבתחילה זכה מדינא, ס"ל </w:t>
      </w:r>
      <w:r w:rsidRPr="00193F3C">
        <w:rPr>
          <w:rStyle w:val="af9"/>
          <w:rFonts w:hint="cs"/>
          <w:rtl/>
        </w:rPr>
        <w:t>להרשב"ם</w:t>
      </w:r>
      <w:r>
        <w:rPr>
          <w:rFonts w:hint="cs"/>
          <w:rtl/>
        </w:rPr>
        <w:t xml:space="preserve"> דא"צ להחזיר את הפירות.</w:t>
      </w:r>
    </w:p>
    <w:p w:rsidR="00103C1B" w:rsidRPr="0030681C" w:rsidRDefault="00103C1B" w:rsidP="00103C1B">
      <w:pPr>
        <w:pStyle w:val="a3"/>
        <w:rPr>
          <w:rtl/>
        </w:rPr>
      </w:pPr>
      <w:bookmarkStart w:id="15540" w:name="_Toc64576185"/>
      <w:bookmarkStart w:id="15541" w:name="_Toc64588770"/>
      <w:bookmarkStart w:id="15542" w:name="_Toc64629361"/>
      <w:bookmarkStart w:id="15543" w:name="_Toc64642824"/>
      <w:r>
        <w:rPr>
          <w:rFonts w:hint="cs"/>
          <w:rtl/>
        </w:rPr>
        <w:t>ביאור הפנ"ש ברשב"ם דרב חסדא ס"ל כבית שמואל דהודאת בע"ד ל"מ למפרע ולאביי מהני</w:t>
      </w:r>
      <w:bookmarkEnd w:id="15540"/>
      <w:bookmarkEnd w:id="15541"/>
      <w:bookmarkEnd w:id="15542"/>
      <w:bookmarkEnd w:id="15543"/>
    </w:p>
    <w:p w:rsidR="00103C1B" w:rsidRDefault="00103C1B" w:rsidP="007E4E81">
      <w:pPr>
        <w:pStyle w:val="a0"/>
        <w:rPr>
          <w:rtl/>
        </w:rPr>
      </w:pPr>
      <w:r>
        <w:rPr>
          <w:rFonts w:hint="cs"/>
          <w:rtl/>
        </w:rPr>
        <w:t xml:space="preserve">וכתב </w:t>
      </w:r>
      <w:r w:rsidRPr="000F4729">
        <w:rPr>
          <w:rStyle w:val="af9"/>
          <w:rFonts w:hint="cs"/>
          <w:rtl/>
        </w:rPr>
        <w:t>הפני</w:t>
      </w:r>
      <w:r>
        <w:rPr>
          <w:rFonts w:hint="cs"/>
          <w:rtl/>
        </w:rPr>
        <w:t xml:space="preserve"> </w:t>
      </w:r>
      <w:r w:rsidRPr="000F4729">
        <w:rPr>
          <w:rStyle w:val="af9"/>
          <w:rFonts w:hint="cs"/>
          <w:rtl/>
        </w:rPr>
        <w:t>שלמה</w:t>
      </w:r>
      <w:r>
        <w:rPr>
          <w:rFonts w:hint="cs"/>
          <w:rtl/>
        </w:rPr>
        <w:t xml:space="preserve"> דאף שההוא גברא הודה לרב אידי, מ"מ אי"ז חשיב כעדות של עדים גמורים, אלא הוא הודאת בע"ד, והביא </w:t>
      </w:r>
      <w:r w:rsidRPr="000F4729">
        <w:rPr>
          <w:rStyle w:val="af9"/>
          <w:rFonts w:hint="cs"/>
          <w:rtl/>
        </w:rPr>
        <w:t>הפני</w:t>
      </w:r>
      <w:r>
        <w:rPr>
          <w:rFonts w:hint="cs"/>
          <w:rtl/>
        </w:rPr>
        <w:t xml:space="preserve"> </w:t>
      </w:r>
      <w:r w:rsidRPr="000F4729">
        <w:rPr>
          <w:rStyle w:val="af9"/>
          <w:rFonts w:hint="cs"/>
          <w:rtl/>
        </w:rPr>
        <w:t>שלמה</w:t>
      </w:r>
      <w:r>
        <w:rPr>
          <w:rFonts w:hint="cs"/>
          <w:rtl/>
        </w:rPr>
        <w:t xml:space="preserve"> את דברי </w:t>
      </w:r>
      <w:r w:rsidRPr="000F4729">
        <w:rPr>
          <w:rStyle w:val="af9"/>
          <w:rFonts w:hint="cs"/>
          <w:rtl/>
        </w:rPr>
        <w:t>הבית</w:t>
      </w:r>
      <w:r>
        <w:rPr>
          <w:rFonts w:hint="cs"/>
          <w:rtl/>
        </w:rPr>
        <w:t xml:space="preserve"> </w:t>
      </w:r>
      <w:r w:rsidRPr="000F4729">
        <w:rPr>
          <w:rStyle w:val="af9"/>
          <w:rFonts w:hint="cs"/>
          <w:rtl/>
        </w:rPr>
        <w:t>שמואל</w:t>
      </w:r>
      <w:r>
        <w:rPr>
          <w:rFonts w:hint="cs"/>
          <w:rtl/>
        </w:rPr>
        <w:t xml:space="preserve"> </w:t>
      </w:r>
      <w:r w:rsidRPr="00045CD8">
        <w:rPr>
          <w:rStyle w:val="af7"/>
          <w:rFonts w:eastAsia="Guttman Hodes" w:hint="cs"/>
          <w:rtl/>
        </w:rPr>
        <w:t>(אבהע"ז סי' ל"ח סקל"א)</w:t>
      </w:r>
      <w:r>
        <w:rPr>
          <w:rFonts w:hint="cs"/>
          <w:rtl/>
        </w:rPr>
        <w:t xml:space="preserve"> דמבואר מדבריו ס"ל דהודאת בע"ד לא מהני למפרע, אך מדברי </w:t>
      </w:r>
      <w:r w:rsidRPr="000F4729">
        <w:rPr>
          <w:rStyle w:val="af9"/>
          <w:rFonts w:hint="cs"/>
          <w:rtl/>
        </w:rPr>
        <w:t>החלקת</w:t>
      </w:r>
      <w:r>
        <w:rPr>
          <w:rFonts w:hint="cs"/>
          <w:rtl/>
        </w:rPr>
        <w:t xml:space="preserve"> </w:t>
      </w:r>
      <w:r w:rsidRPr="000F4729">
        <w:rPr>
          <w:rStyle w:val="af9"/>
          <w:rFonts w:hint="cs"/>
          <w:rtl/>
        </w:rPr>
        <w:t>מחוקק</w:t>
      </w:r>
      <w:r>
        <w:rPr>
          <w:rFonts w:hint="cs"/>
          <w:rtl/>
        </w:rPr>
        <w:t xml:space="preserve"> </w:t>
      </w:r>
      <w:r w:rsidRPr="00045CD8">
        <w:rPr>
          <w:rStyle w:val="af7"/>
          <w:rFonts w:eastAsia="Guttman Hodes" w:hint="cs"/>
          <w:rtl/>
        </w:rPr>
        <w:t>(אבהע"ז סי' ל"ח סקכ"ג)</w:t>
      </w:r>
      <w:r>
        <w:rPr>
          <w:rFonts w:hint="cs"/>
          <w:rtl/>
        </w:rPr>
        <w:t xml:space="preserve"> מבואר דס"ל דהודאת בע"ד מהני אף למפרע, וכתב הפני שלמה דלפי"ז אפשר לבאר את דעת </w:t>
      </w:r>
      <w:r w:rsidRPr="000F4729">
        <w:rPr>
          <w:rStyle w:val="af9"/>
          <w:rFonts w:hint="cs"/>
          <w:rtl/>
        </w:rPr>
        <w:t>הרשב"ם</w:t>
      </w:r>
      <w:r>
        <w:rPr>
          <w:rFonts w:hint="cs"/>
          <w:rtl/>
        </w:rPr>
        <w:t xml:space="preserve"> דס"ל לרב חסדא כדעת </w:t>
      </w:r>
      <w:r w:rsidRPr="000F4729">
        <w:rPr>
          <w:rStyle w:val="af9"/>
          <w:rFonts w:hint="cs"/>
          <w:rtl/>
        </w:rPr>
        <w:t>הבית</w:t>
      </w:r>
      <w:r>
        <w:rPr>
          <w:rFonts w:hint="cs"/>
          <w:rtl/>
        </w:rPr>
        <w:t xml:space="preserve"> </w:t>
      </w:r>
      <w:r w:rsidRPr="000F4729">
        <w:rPr>
          <w:rStyle w:val="af9"/>
          <w:rFonts w:hint="cs"/>
          <w:rtl/>
        </w:rPr>
        <w:t>שמואל</w:t>
      </w:r>
      <w:r>
        <w:rPr>
          <w:rFonts w:hint="cs"/>
          <w:rtl/>
        </w:rPr>
        <w:t xml:space="preserve"> דההודאת בע"ד אינה מחייבתו למפרע, כיון שבתחילה זכה בפירות מדין כל דאלים גבר, ובדעת אביי ורבא כתב </w:t>
      </w:r>
      <w:r w:rsidRPr="000F4729">
        <w:rPr>
          <w:rStyle w:val="af9"/>
          <w:rFonts w:hint="cs"/>
          <w:rtl/>
        </w:rPr>
        <w:t>הפני</w:t>
      </w:r>
      <w:r>
        <w:rPr>
          <w:rFonts w:hint="cs"/>
          <w:rtl/>
        </w:rPr>
        <w:t xml:space="preserve"> </w:t>
      </w:r>
      <w:r w:rsidRPr="000F4729">
        <w:rPr>
          <w:rStyle w:val="af9"/>
          <w:rFonts w:hint="cs"/>
          <w:rtl/>
        </w:rPr>
        <w:t>שלמה</w:t>
      </w:r>
      <w:r>
        <w:rPr>
          <w:rFonts w:hint="cs"/>
          <w:rtl/>
        </w:rPr>
        <w:t xml:space="preserve"> דאפש"ל דס"ל כדעת </w:t>
      </w:r>
      <w:r w:rsidRPr="000F4729">
        <w:rPr>
          <w:rStyle w:val="af9"/>
          <w:rFonts w:hint="cs"/>
          <w:rtl/>
        </w:rPr>
        <w:t>החלקת</w:t>
      </w:r>
      <w:r>
        <w:rPr>
          <w:rFonts w:hint="cs"/>
          <w:rtl/>
        </w:rPr>
        <w:t xml:space="preserve"> </w:t>
      </w:r>
      <w:r w:rsidRPr="000F4729">
        <w:rPr>
          <w:rStyle w:val="af9"/>
          <w:rFonts w:hint="cs"/>
          <w:rtl/>
        </w:rPr>
        <w:t>מחוקק</w:t>
      </w:r>
      <w:r>
        <w:rPr>
          <w:rFonts w:hint="cs"/>
          <w:rtl/>
        </w:rPr>
        <w:t xml:space="preserve"> דמהני ההודאת בע"ד אף למפרע, או דדוקא הכא ס"ל דמהני. </w:t>
      </w:r>
      <w:r w:rsidRPr="000F4729">
        <w:rPr>
          <w:rStyle w:val="afb"/>
          <w:rFonts w:hint="cs"/>
          <w:rtl/>
        </w:rPr>
        <w:t>[דא"א לחלק בין הקרקע לפירות].</w:t>
      </w:r>
    </w:p>
    <w:p w:rsidR="00103C1B" w:rsidRDefault="00103C1B" w:rsidP="00103C1B">
      <w:pPr>
        <w:pStyle w:val="1"/>
        <w:rPr>
          <w:rtl/>
        </w:rPr>
      </w:pPr>
      <w:bookmarkStart w:id="15544" w:name="_Toc64458636"/>
      <w:bookmarkStart w:id="15545" w:name="_Toc64549013"/>
      <w:bookmarkStart w:id="15546" w:name="_Toc64576186"/>
      <w:bookmarkStart w:id="15547" w:name="_Toc64588771"/>
      <w:bookmarkStart w:id="15548" w:name="_Toc64629362"/>
      <w:bookmarkStart w:id="15549" w:name="_Toc64642825"/>
      <w:r>
        <w:rPr>
          <w:rFonts w:hint="cs"/>
          <w:rtl/>
        </w:rPr>
        <w:t>ביאור החת"ס ברשב"ם</w:t>
      </w:r>
      <w:bookmarkEnd w:id="15544"/>
      <w:r>
        <w:rPr>
          <w:rFonts w:hint="cs"/>
          <w:rtl/>
        </w:rPr>
        <w:t xml:space="preserve"> דלרב חסדא רב אידי התייאש מהפירות</w:t>
      </w:r>
      <w:bookmarkEnd w:id="15545"/>
      <w:bookmarkEnd w:id="15546"/>
      <w:bookmarkEnd w:id="15547"/>
      <w:bookmarkEnd w:id="15548"/>
      <w:bookmarkEnd w:id="15549"/>
    </w:p>
    <w:p w:rsidR="00103C1B" w:rsidRDefault="00103C1B" w:rsidP="00103C1B">
      <w:pPr>
        <w:pStyle w:val="a3"/>
        <w:rPr>
          <w:rtl/>
        </w:rPr>
      </w:pPr>
      <w:bookmarkStart w:id="15550" w:name="_Toc64576187"/>
      <w:bookmarkStart w:id="15551" w:name="_Toc64588772"/>
      <w:bookmarkStart w:id="15552" w:name="_Toc64629363"/>
      <w:bookmarkStart w:id="15553" w:name="_Toc64642826"/>
      <w:r>
        <w:rPr>
          <w:rFonts w:hint="cs"/>
          <w:rtl/>
        </w:rPr>
        <w:t>דברי החת"ס דמהא דהוצרך רב חסדא להעמיד בידי רב אידי מוכח דהוא התייאש מהקרקע</w:t>
      </w:r>
      <w:bookmarkEnd w:id="15550"/>
      <w:bookmarkEnd w:id="15551"/>
      <w:bookmarkEnd w:id="15552"/>
      <w:bookmarkEnd w:id="15553"/>
    </w:p>
    <w:p w:rsidR="00103C1B" w:rsidRDefault="00103C1B" w:rsidP="007E4E81">
      <w:pPr>
        <w:pStyle w:val="a0"/>
        <w:rPr>
          <w:rtl/>
        </w:rPr>
      </w:pPr>
      <w:r>
        <w:rPr>
          <w:rFonts w:hint="cs"/>
          <w:rtl/>
        </w:rPr>
        <w:t xml:space="preserve">הקשה </w:t>
      </w:r>
      <w:r w:rsidRPr="001E1B5A">
        <w:rPr>
          <w:rStyle w:val="af9"/>
          <w:rFonts w:hint="cs"/>
          <w:rtl/>
        </w:rPr>
        <w:t>החת"ס</w:t>
      </w:r>
      <w:r>
        <w:rPr>
          <w:rFonts w:hint="cs"/>
          <w:rtl/>
        </w:rPr>
        <w:t xml:space="preserve"> </w:t>
      </w:r>
      <w:r w:rsidRPr="001E1B5A">
        <w:rPr>
          <w:rStyle w:val="af7"/>
          <w:rFonts w:eastAsia="Guttman Hodes" w:hint="cs"/>
          <w:rtl/>
        </w:rPr>
        <w:t>(ד"ה אוקמיה)</w:t>
      </w:r>
      <w:r>
        <w:rPr>
          <w:rFonts w:hint="cs"/>
          <w:rtl/>
        </w:rPr>
        <w:t xml:space="preserve"> על </w:t>
      </w:r>
      <w:r w:rsidRPr="001E1B5A">
        <w:rPr>
          <w:rStyle w:val="af9"/>
          <w:rFonts w:hint="cs"/>
          <w:rtl/>
        </w:rPr>
        <w:t>הרשב"ם</w:t>
      </w:r>
      <w:r>
        <w:rPr>
          <w:rFonts w:hint="cs"/>
          <w:rtl/>
        </w:rPr>
        <w:t xml:space="preserve"> </w:t>
      </w:r>
      <w:r w:rsidRPr="001E1B5A">
        <w:rPr>
          <w:rStyle w:val="af7"/>
          <w:rFonts w:eastAsia="Guttman Hodes" w:hint="cs"/>
          <w:rtl/>
        </w:rPr>
        <w:t xml:space="preserve">(עי' אות </w:t>
      </w:r>
      <w:r w:rsidRPr="001E1B5A">
        <w:rPr>
          <w:rStyle w:val="af7"/>
          <w:rFonts w:eastAsia="Guttman Hodes"/>
          <w:rtl/>
        </w:rPr>
        <w:fldChar w:fldCharType="begin"/>
      </w:r>
      <w:r w:rsidRPr="001E1B5A">
        <w:rPr>
          <w:rStyle w:val="af7"/>
          <w:rFonts w:eastAsia="Guttman Hodes"/>
          <w:rtl/>
        </w:rPr>
        <w:instrText xml:space="preserve"> </w:instrText>
      </w:r>
      <w:r w:rsidRPr="001E1B5A">
        <w:rPr>
          <w:rStyle w:val="af7"/>
          <w:rFonts w:eastAsia="Guttman Hodes" w:hint="cs"/>
        </w:rPr>
        <w:instrText>REF</w:instrText>
      </w:r>
      <w:r w:rsidRPr="001E1B5A">
        <w:rPr>
          <w:rStyle w:val="af7"/>
          <w:rFonts w:eastAsia="Guttman Hodes" w:hint="cs"/>
          <w:rtl/>
        </w:rPr>
        <w:instrText xml:space="preserve"> _</w:instrText>
      </w:r>
      <w:r w:rsidRPr="001E1B5A">
        <w:rPr>
          <w:rStyle w:val="af7"/>
          <w:rFonts w:eastAsia="Guttman Hodes" w:hint="cs"/>
        </w:rPr>
        <w:instrText>Ref64451602 \r \h</w:instrText>
      </w:r>
      <w:r w:rsidRPr="001E1B5A">
        <w:rPr>
          <w:rStyle w:val="af7"/>
          <w:rFonts w:eastAsia="Guttman Hodes"/>
          <w:rtl/>
        </w:rPr>
        <w:instrText xml:space="preserve"> </w:instrText>
      </w:r>
      <w:r w:rsidRPr="001E1B5A">
        <w:rPr>
          <w:rStyle w:val="af7"/>
          <w:rFonts w:eastAsia="Guttman Hodes"/>
          <w:rtl/>
        </w:rPr>
      </w:r>
      <w:r w:rsidRPr="001E1B5A">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1E1B5A">
        <w:rPr>
          <w:rStyle w:val="af7"/>
          <w:rFonts w:eastAsia="Guttman Hodes"/>
          <w:rtl/>
        </w:rPr>
        <w:fldChar w:fldCharType="end"/>
      </w:r>
      <w:r>
        <w:rPr>
          <w:rFonts w:hint="cs"/>
          <w:rtl/>
        </w:rPr>
        <w:t xml:space="preserve"> דאי ההוא גברא הודה לרב אידי, א"כ אמאי הוצרך רב חסדא להעמיד בדינא את הדקל בידי רב אידי, הא פשיטא דהוא שלו כשהשני מודה לו, ותירץ </w:t>
      </w:r>
      <w:r w:rsidRPr="001E1B5A">
        <w:rPr>
          <w:rStyle w:val="af9"/>
          <w:rFonts w:hint="cs"/>
          <w:rtl/>
        </w:rPr>
        <w:t>החת"ס</w:t>
      </w:r>
      <w:r>
        <w:rPr>
          <w:rFonts w:hint="cs"/>
          <w:rtl/>
        </w:rPr>
        <w:t xml:space="preserve"> דההוא גברא הודה לרב אידי שהוא קרוב, אך ס"ל לרב חסדא דכיון שההוא גברא כבר זכה בדקל מדינא דכל דאלים גבר, א"כ כבר התייאש רב אידי מהדקל, וקנאה ההוא גברא ביאוש, אך מ"מ העמיד רב חסדא את הדקל בידי רב אידי כיון דס"ל דאין קרקע נקנית ביאוש, אבל את הפירות קנה ביאוש, ואביי ורבא ס"ל דאף את הפירות לא קנה ביאוש.</w:t>
      </w:r>
    </w:p>
    <w:p w:rsidR="00103C1B" w:rsidRDefault="00103C1B" w:rsidP="00103C1B">
      <w:pPr>
        <w:pStyle w:val="afe"/>
        <w:rPr>
          <w:rtl/>
        </w:rPr>
      </w:pPr>
      <w:bookmarkStart w:id="15554" w:name="_Toc64458637"/>
      <w:bookmarkStart w:id="15555" w:name="_Toc64549014"/>
      <w:bookmarkStart w:id="15556" w:name="_Toc64576188"/>
      <w:bookmarkStart w:id="15557" w:name="_Toc64588773"/>
      <w:bookmarkStart w:id="15558" w:name="_Toc64629364"/>
      <w:bookmarkStart w:id="15559" w:name="_Toc64642827"/>
      <w:r>
        <w:rPr>
          <w:rFonts w:hint="cs"/>
          <w:rtl/>
        </w:rPr>
        <w:t>ביאור הרשב"א ברשב"ם</w:t>
      </w:r>
      <w:bookmarkEnd w:id="15538"/>
      <w:bookmarkEnd w:id="15539"/>
      <w:bookmarkEnd w:id="15554"/>
      <w:bookmarkEnd w:id="15555"/>
      <w:bookmarkEnd w:id="15556"/>
      <w:r>
        <w:rPr>
          <w:rFonts w:hint="cs"/>
          <w:rtl/>
        </w:rPr>
        <w:t xml:space="preserve"> דשניהם קרובים</w:t>
      </w:r>
      <w:bookmarkEnd w:id="15557"/>
      <w:bookmarkEnd w:id="15558"/>
      <w:bookmarkEnd w:id="15559"/>
    </w:p>
    <w:p w:rsidR="00103C1B" w:rsidRPr="00A3096F" w:rsidRDefault="00103C1B" w:rsidP="00103C1B">
      <w:pPr>
        <w:pStyle w:val="1"/>
        <w:rPr>
          <w:rtl/>
        </w:rPr>
      </w:pPr>
      <w:bookmarkStart w:id="15560" w:name="_Toc64549015"/>
      <w:bookmarkStart w:id="15561" w:name="_Toc64576189"/>
      <w:bookmarkStart w:id="15562" w:name="_Toc64588774"/>
      <w:bookmarkStart w:id="15563" w:name="_Toc64629365"/>
      <w:bookmarkStart w:id="15564" w:name="_Toc64642828"/>
      <w:r>
        <w:rPr>
          <w:rFonts w:hint="cs"/>
          <w:rtl/>
        </w:rPr>
        <w:t>בי' הרשב"א</w:t>
      </w:r>
      <w:bookmarkEnd w:id="15560"/>
      <w:bookmarkEnd w:id="15561"/>
      <w:r>
        <w:rPr>
          <w:rFonts w:hint="cs"/>
          <w:rtl/>
        </w:rPr>
        <w:t xml:space="preserve"> ברשב"ם דההוא גברא הודה שאף רב אידי קרוב</w:t>
      </w:r>
      <w:bookmarkEnd w:id="15562"/>
      <w:bookmarkEnd w:id="15563"/>
      <w:bookmarkEnd w:id="15564"/>
      <w:r>
        <w:rPr>
          <w:rFonts w:hint="cs"/>
          <w:rtl/>
        </w:rPr>
        <w:t xml:space="preserve"> </w:t>
      </w:r>
    </w:p>
    <w:p w:rsidR="00103C1B" w:rsidRDefault="00103C1B" w:rsidP="00103C1B">
      <w:pPr>
        <w:pStyle w:val="a3"/>
        <w:rPr>
          <w:rtl/>
        </w:rPr>
      </w:pPr>
      <w:bookmarkStart w:id="15565" w:name="_Toc64588775"/>
      <w:bookmarkStart w:id="15566" w:name="_Toc64629366"/>
      <w:bookmarkStart w:id="15567" w:name="_Toc64642829"/>
      <w:r>
        <w:rPr>
          <w:rFonts w:hint="cs"/>
          <w:rtl/>
        </w:rPr>
        <w:t>ביאור הרשב"א ברשב"ם דהודה שאף רב אידי קרוב וא"כ הוא ודאי יורש וההוא גברא כמוציא</w:t>
      </w:r>
      <w:bookmarkEnd w:id="15565"/>
      <w:bookmarkEnd w:id="15566"/>
      <w:bookmarkEnd w:id="15567"/>
    </w:p>
    <w:p w:rsidR="00103C1B" w:rsidRDefault="00103C1B" w:rsidP="007E4E81">
      <w:pPr>
        <w:pStyle w:val="a0"/>
        <w:rPr>
          <w:rtl/>
        </w:rPr>
      </w:pPr>
      <w:r w:rsidRPr="00161B43">
        <w:rPr>
          <w:rStyle w:val="af9"/>
          <w:rFonts w:hint="cs"/>
          <w:rtl/>
        </w:rPr>
        <w:t>והרשב"א</w:t>
      </w:r>
      <w:r>
        <w:rPr>
          <w:rFonts w:hint="cs"/>
          <w:rtl/>
        </w:rPr>
        <w:t xml:space="preserve"> </w:t>
      </w:r>
      <w:r w:rsidRPr="00450D69">
        <w:rPr>
          <w:rStyle w:val="af7"/>
          <w:rFonts w:eastAsia="Guttman Hodes" w:hint="cs"/>
          <w:rtl/>
        </w:rPr>
        <w:t>(ד"ה ור"ש)</w:t>
      </w:r>
      <w:r>
        <w:rPr>
          <w:rFonts w:hint="cs"/>
          <w:rtl/>
        </w:rPr>
        <w:t xml:space="preserve"> הביא בשם </w:t>
      </w:r>
      <w:r w:rsidRPr="00161B43">
        <w:rPr>
          <w:rStyle w:val="af9"/>
          <w:rFonts w:hint="cs"/>
          <w:rtl/>
        </w:rPr>
        <w:t>הרשב"ם</w:t>
      </w:r>
      <w:r>
        <w:rPr>
          <w:rFonts w:hint="cs"/>
          <w:rtl/>
        </w:rPr>
        <w:t xml:space="preserve"> </w:t>
      </w:r>
      <w:r w:rsidRPr="00B22071">
        <w:rPr>
          <w:rStyle w:val="af7"/>
          <w:rFonts w:eastAsia="Guttman Hodes" w:hint="cs"/>
          <w:rtl/>
        </w:rPr>
        <w:t xml:space="preserve">(עי' אות </w:t>
      </w:r>
      <w:r w:rsidRPr="00B22071">
        <w:rPr>
          <w:rStyle w:val="af7"/>
          <w:rFonts w:eastAsia="Guttman Hodes"/>
          <w:rtl/>
        </w:rPr>
        <w:fldChar w:fldCharType="begin"/>
      </w:r>
      <w:r w:rsidRPr="00B22071">
        <w:rPr>
          <w:rStyle w:val="af7"/>
          <w:rFonts w:eastAsia="Guttman Hodes"/>
          <w:rtl/>
        </w:rPr>
        <w:instrText xml:space="preserve"> </w:instrText>
      </w:r>
      <w:r w:rsidRPr="00B22071">
        <w:rPr>
          <w:rStyle w:val="af7"/>
          <w:rFonts w:eastAsia="Guttman Hodes" w:hint="cs"/>
        </w:rPr>
        <w:instrText>REF</w:instrText>
      </w:r>
      <w:r w:rsidRPr="00B22071">
        <w:rPr>
          <w:rStyle w:val="af7"/>
          <w:rFonts w:eastAsia="Guttman Hodes" w:hint="cs"/>
          <w:rtl/>
        </w:rPr>
        <w:instrText xml:space="preserve"> _</w:instrText>
      </w:r>
      <w:r w:rsidRPr="00B22071">
        <w:rPr>
          <w:rStyle w:val="af7"/>
          <w:rFonts w:eastAsia="Guttman Hodes" w:hint="cs"/>
        </w:rPr>
        <w:instrText>Ref64451602 \r \h</w:instrText>
      </w:r>
      <w:r w:rsidRPr="00B22071">
        <w:rPr>
          <w:rStyle w:val="af7"/>
          <w:rFonts w:eastAsia="Guttman Hodes"/>
          <w:rtl/>
        </w:rPr>
        <w:instrText xml:space="preserve"> </w:instrText>
      </w:r>
      <w:r w:rsidRPr="00B22071">
        <w:rPr>
          <w:rStyle w:val="af7"/>
          <w:rFonts w:eastAsia="Guttman Hodes"/>
          <w:rtl/>
        </w:rPr>
      </w:r>
      <w:r w:rsidRPr="00B22071">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B22071">
        <w:rPr>
          <w:rStyle w:val="af7"/>
          <w:rFonts w:eastAsia="Guttman Hodes"/>
          <w:rtl/>
        </w:rPr>
        <w:fldChar w:fldCharType="end"/>
      </w:r>
      <w:r>
        <w:rPr>
          <w:rFonts w:hint="cs"/>
          <w:rtl/>
        </w:rPr>
        <w:t xml:space="preserve"> דגרס דלבסוף הודה ההוא גברא שרב אידי קרובו, וביאר </w:t>
      </w:r>
      <w:r w:rsidRPr="00161B43">
        <w:rPr>
          <w:rStyle w:val="af9"/>
          <w:rFonts w:hint="cs"/>
          <w:rtl/>
        </w:rPr>
        <w:t>הרשב"א</w:t>
      </w:r>
      <w:r>
        <w:rPr>
          <w:rFonts w:hint="cs"/>
          <w:rtl/>
        </w:rPr>
        <w:t xml:space="preserve"> את דברי </w:t>
      </w:r>
      <w:r w:rsidRPr="00161B43">
        <w:rPr>
          <w:rStyle w:val="af9"/>
          <w:rFonts w:hint="cs"/>
          <w:rtl/>
        </w:rPr>
        <w:t>הרשב"ם</w:t>
      </w:r>
      <w:r>
        <w:rPr>
          <w:rFonts w:hint="cs"/>
          <w:rtl/>
        </w:rPr>
        <w:t xml:space="preserve"> דההוא גברא הודה שאף רב אידי הוא קרוב של המת, </w:t>
      </w:r>
      <w:r w:rsidRPr="00B22071">
        <w:rPr>
          <w:rStyle w:val="afb"/>
          <w:rFonts w:hint="cs"/>
          <w:rtl/>
        </w:rPr>
        <w:t>[</w:t>
      </w:r>
      <w:r>
        <w:rPr>
          <w:rStyle w:val="afb"/>
          <w:rFonts w:hint="cs"/>
          <w:rtl/>
        </w:rPr>
        <w:t>ודלא</w:t>
      </w:r>
      <w:r w:rsidRPr="00B22071">
        <w:rPr>
          <w:rStyle w:val="afb"/>
          <w:rFonts w:hint="cs"/>
          <w:rtl/>
        </w:rPr>
        <w:t xml:space="preserve"> </w:t>
      </w:r>
      <w:r>
        <w:rPr>
          <w:rStyle w:val="affa"/>
          <w:rFonts w:hint="cs"/>
          <w:rtl/>
        </w:rPr>
        <w:t>כ</w:t>
      </w:r>
      <w:r w:rsidRPr="00B22071">
        <w:rPr>
          <w:rStyle w:val="affa"/>
          <w:rFonts w:hint="cs"/>
          <w:rtl/>
        </w:rPr>
        <w:t>רשב"ם</w:t>
      </w:r>
      <w:r w:rsidRPr="00B22071">
        <w:rPr>
          <w:rStyle w:val="afb"/>
          <w:rFonts w:hint="cs"/>
          <w:rtl/>
        </w:rPr>
        <w:t xml:space="preserve"> </w:t>
      </w:r>
      <w:r w:rsidRPr="00B22071">
        <w:rPr>
          <w:rStyle w:val="aff6"/>
          <w:rFonts w:hint="cs"/>
          <w:rtl/>
        </w:rPr>
        <w:t xml:space="preserve">(עי' אות </w:t>
      </w:r>
      <w:r w:rsidRPr="00B22071">
        <w:rPr>
          <w:rStyle w:val="aff6"/>
          <w:rtl/>
        </w:rPr>
        <w:fldChar w:fldCharType="begin"/>
      </w:r>
      <w:r w:rsidRPr="00B22071">
        <w:rPr>
          <w:rStyle w:val="aff6"/>
          <w:rtl/>
        </w:rPr>
        <w:instrText xml:space="preserve"> </w:instrText>
      </w:r>
      <w:r w:rsidRPr="00B22071">
        <w:rPr>
          <w:rStyle w:val="aff6"/>
          <w:rFonts w:hint="cs"/>
        </w:rPr>
        <w:instrText>REF</w:instrText>
      </w:r>
      <w:r w:rsidRPr="00B22071">
        <w:rPr>
          <w:rStyle w:val="aff6"/>
          <w:rFonts w:hint="cs"/>
          <w:rtl/>
        </w:rPr>
        <w:instrText xml:space="preserve"> _</w:instrText>
      </w:r>
      <w:r w:rsidRPr="00B22071">
        <w:rPr>
          <w:rStyle w:val="aff6"/>
          <w:rFonts w:hint="cs"/>
        </w:rPr>
        <w:instrText>Ref64451602 \r \h</w:instrText>
      </w:r>
      <w:r w:rsidRPr="00B22071">
        <w:rPr>
          <w:rStyle w:val="aff6"/>
          <w:rtl/>
        </w:rPr>
        <w:instrText xml:space="preserve"> </w:instrText>
      </w:r>
      <w:r w:rsidRPr="00B22071">
        <w:rPr>
          <w:rStyle w:val="aff6"/>
          <w:rtl/>
        </w:rPr>
      </w:r>
      <w:r w:rsidRPr="00B22071">
        <w:rPr>
          <w:rStyle w:val="aff6"/>
          <w:rtl/>
        </w:rPr>
        <w:fldChar w:fldCharType="separate"/>
      </w:r>
      <w:r w:rsidR="00265073">
        <w:rPr>
          <w:rStyle w:val="aff6"/>
          <w:cs/>
        </w:rPr>
        <w:t>‎</w:t>
      </w:r>
      <w:r w:rsidR="00265073">
        <w:rPr>
          <w:rStyle w:val="aff6"/>
          <w:rtl/>
        </w:rPr>
        <w:t>ב)</w:t>
      </w:r>
      <w:r w:rsidRPr="00B22071">
        <w:rPr>
          <w:rStyle w:val="aff6"/>
          <w:rtl/>
        </w:rPr>
        <w:fldChar w:fldCharType="end"/>
      </w:r>
      <w:r w:rsidRPr="00B22071">
        <w:rPr>
          <w:rStyle w:val="afb"/>
          <w:rFonts w:hint="cs"/>
          <w:rtl/>
        </w:rPr>
        <w:t xml:space="preserve"> לפנינו </w:t>
      </w:r>
      <w:r>
        <w:rPr>
          <w:rStyle w:val="afb"/>
          <w:rFonts w:hint="cs"/>
          <w:rtl/>
        </w:rPr>
        <w:t>ד</w:t>
      </w:r>
      <w:r w:rsidRPr="00B22071">
        <w:rPr>
          <w:rStyle w:val="afb"/>
          <w:rFonts w:hint="cs"/>
          <w:rtl/>
        </w:rPr>
        <w:t>כתב ד</w:t>
      </w:r>
      <w:r w:rsidRPr="00B22071">
        <w:rPr>
          <w:rStyle w:val="afb"/>
          <w:rtl/>
        </w:rPr>
        <w:t>ההוא גברא</w:t>
      </w:r>
      <w:r w:rsidRPr="00B22071">
        <w:rPr>
          <w:rStyle w:val="afb"/>
          <w:rFonts w:hint="cs"/>
          <w:rtl/>
        </w:rPr>
        <w:t xml:space="preserve"> הודה רב אידי הוא קרוב יותר ממנו</w:t>
      </w:r>
      <w:r>
        <w:rPr>
          <w:rStyle w:val="afb"/>
          <w:rFonts w:hint="cs"/>
          <w:rtl/>
        </w:rPr>
        <w:t xml:space="preserve">, ועי' במ"ש </w:t>
      </w:r>
      <w:r w:rsidRPr="006B75BA">
        <w:rPr>
          <w:rStyle w:val="affa"/>
          <w:rFonts w:hint="cs"/>
          <w:rtl/>
        </w:rPr>
        <w:t>התוס'</w:t>
      </w:r>
      <w:r>
        <w:rPr>
          <w:rStyle w:val="afb"/>
          <w:rFonts w:hint="cs"/>
          <w:rtl/>
        </w:rPr>
        <w:t xml:space="preserve"> </w:t>
      </w:r>
      <w:r w:rsidRPr="006B75BA">
        <w:rPr>
          <w:rStyle w:val="aff6"/>
          <w:rFonts w:hint="cs"/>
          <w:rtl/>
        </w:rPr>
        <w:t xml:space="preserve">(עי' אות </w:t>
      </w:r>
      <w:r w:rsidRPr="006B75BA">
        <w:rPr>
          <w:rStyle w:val="aff6"/>
          <w:rtl/>
        </w:rPr>
        <w:fldChar w:fldCharType="begin"/>
      </w:r>
      <w:r w:rsidRPr="006B75BA">
        <w:rPr>
          <w:rStyle w:val="aff6"/>
          <w:rtl/>
        </w:rPr>
        <w:instrText xml:space="preserve"> </w:instrText>
      </w:r>
      <w:r w:rsidRPr="006B75BA">
        <w:rPr>
          <w:rStyle w:val="aff6"/>
          <w:rFonts w:hint="cs"/>
        </w:rPr>
        <w:instrText>REF</w:instrText>
      </w:r>
      <w:r w:rsidRPr="006B75BA">
        <w:rPr>
          <w:rStyle w:val="aff6"/>
          <w:rFonts w:hint="cs"/>
          <w:rtl/>
        </w:rPr>
        <w:instrText xml:space="preserve"> _</w:instrText>
      </w:r>
      <w:r w:rsidRPr="006B75BA">
        <w:rPr>
          <w:rStyle w:val="aff6"/>
          <w:rFonts w:hint="cs"/>
        </w:rPr>
        <w:instrText>Ref64454618 \r \h</w:instrText>
      </w:r>
      <w:r w:rsidRPr="006B75BA">
        <w:rPr>
          <w:rStyle w:val="aff6"/>
          <w:rtl/>
        </w:rPr>
        <w:instrText xml:space="preserve"> </w:instrText>
      </w:r>
      <w:r w:rsidRPr="006B75BA">
        <w:rPr>
          <w:rStyle w:val="aff6"/>
          <w:rtl/>
        </w:rPr>
      </w:r>
      <w:r w:rsidRPr="006B75BA">
        <w:rPr>
          <w:rStyle w:val="aff6"/>
          <w:rtl/>
        </w:rPr>
        <w:fldChar w:fldCharType="separate"/>
      </w:r>
      <w:r w:rsidR="00265073">
        <w:rPr>
          <w:rStyle w:val="aff6"/>
          <w:cs/>
        </w:rPr>
        <w:t>‎</w:t>
      </w:r>
      <w:r w:rsidR="00265073">
        <w:rPr>
          <w:rStyle w:val="aff6"/>
          <w:rtl/>
        </w:rPr>
        <w:t>יט)</w:t>
      </w:r>
      <w:r w:rsidRPr="006B75BA">
        <w:rPr>
          <w:rStyle w:val="aff6"/>
          <w:rtl/>
        </w:rPr>
        <w:fldChar w:fldCharType="end"/>
      </w:r>
      <w:r w:rsidRPr="00B22071">
        <w:rPr>
          <w:rStyle w:val="afb"/>
          <w:rFonts w:hint="cs"/>
          <w:rtl/>
        </w:rPr>
        <w:t>],</w:t>
      </w:r>
      <w:r>
        <w:rPr>
          <w:rFonts w:hint="cs"/>
          <w:rtl/>
        </w:rPr>
        <w:t xml:space="preserve"> ואפ"ה העמיד רב חסדא את כל הדקל בידי רב אידי, דכיון שההוא גברא הודה לרב אידי שהוא יורש, ממילא הדקל </w:t>
      </w:r>
      <w:r>
        <w:rPr>
          <w:rFonts w:hint="cs"/>
          <w:rtl/>
        </w:rPr>
        <w:t>עומד בחזקת היורש, ואילו ההוא גברא חשיב כמוציא ממוחזק ועליו להביא ראיה.</w:t>
      </w:r>
    </w:p>
    <w:p w:rsidR="00103C1B" w:rsidRPr="001A35B8" w:rsidRDefault="00103C1B" w:rsidP="00103C1B">
      <w:pPr>
        <w:pStyle w:val="a3"/>
      </w:pPr>
      <w:bookmarkStart w:id="15568" w:name="_Toc64588776"/>
      <w:bookmarkStart w:id="15569" w:name="_Toc64629367"/>
      <w:bookmarkStart w:id="15570" w:name="_Toc64642830"/>
      <w:r>
        <w:rPr>
          <w:rFonts w:hint="cs"/>
          <w:rtl/>
        </w:rPr>
        <w:t>ביאור הרשב"א ברשב"ם דלרב חסדא בפירות שאינם לפנינו נאמן בהפה שאסר דהם בחזקתו</w:t>
      </w:r>
      <w:bookmarkEnd w:id="15568"/>
      <w:bookmarkEnd w:id="15569"/>
      <w:bookmarkEnd w:id="15570"/>
    </w:p>
    <w:p w:rsidR="00103C1B" w:rsidRDefault="00103C1B" w:rsidP="007E4E81">
      <w:pPr>
        <w:pStyle w:val="a0"/>
        <w:rPr>
          <w:rtl/>
        </w:rPr>
      </w:pPr>
      <w:r>
        <w:rPr>
          <w:rFonts w:hint="cs"/>
          <w:rtl/>
        </w:rPr>
        <w:t xml:space="preserve">וביאר </w:t>
      </w:r>
      <w:r w:rsidRPr="00161B43">
        <w:rPr>
          <w:rStyle w:val="af9"/>
          <w:rFonts w:hint="cs"/>
          <w:rtl/>
        </w:rPr>
        <w:t>הרשב"א</w:t>
      </w:r>
      <w:r>
        <w:rPr>
          <w:rFonts w:hint="cs"/>
          <w:rtl/>
        </w:rPr>
        <w:t xml:space="preserve"> בדעת </w:t>
      </w:r>
      <w:r w:rsidRPr="00161B43">
        <w:rPr>
          <w:rStyle w:val="af9"/>
          <w:rFonts w:hint="cs"/>
          <w:rtl/>
        </w:rPr>
        <w:t>הרשב"ם</w:t>
      </w:r>
      <w:r>
        <w:rPr>
          <w:rFonts w:hint="cs"/>
          <w:rtl/>
        </w:rPr>
        <w:t xml:space="preserve"> דס"ל לרב חסדא דההוא גברא אינו נאמן מדין הפה שאסר, לומר שאף הוא קרוב, אבל לענין הפירות סבר רב חסדא שהוא נאמן מדין הפה שאסר, דכיון שהפירות אינם לפנינו לא מעמידים אותם בחזקת היורש, וא"כ ההוא גברא לא חשיב כמוציא ממוחזק, ואינו צריך להביא ראיה שהם שלו, ורק הדקל שנמצא לפנינו עומד בחזקת היורש, ואביי ורבא ס"ל דכיון שהודה אף לגבי הפירות אינו נאמן מדין הפה שאסר.</w:t>
      </w:r>
    </w:p>
    <w:p w:rsidR="00103C1B" w:rsidRDefault="00103C1B" w:rsidP="00103C1B">
      <w:pPr>
        <w:pStyle w:val="a3"/>
        <w:jc w:val="both"/>
      </w:pPr>
      <w:bookmarkStart w:id="15571" w:name="_Toc64588777"/>
      <w:bookmarkStart w:id="15572" w:name="_Toc64629368"/>
      <w:bookmarkStart w:id="15573" w:name="_Toc64642831"/>
      <w:bookmarkStart w:id="15574" w:name="_Ref64561202"/>
      <w:r>
        <w:rPr>
          <w:rFonts w:hint="cs"/>
          <w:rtl/>
        </w:rPr>
        <w:t>קו' הרשב"א על הרשב"ם דאף בדקל זכה רב אידי מכח הודאתו וא"כ ודאי דנאמן בהפה שאסר</w:t>
      </w:r>
      <w:bookmarkEnd w:id="15571"/>
      <w:bookmarkEnd w:id="15572"/>
      <w:bookmarkEnd w:id="15573"/>
      <w:r>
        <w:rPr>
          <w:rFonts w:hint="cs"/>
          <w:rtl/>
        </w:rPr>
        <w:t xml:space="preserve"> </w:t>
      </w:r>
    </w:p>
    <w:p w:rsidR="00103C1B" w:rsidRDefault="00103C1B" w:rsidP="007E4E81">
      <w:pPr>
        <w:pStyle w:val="a0"/>
        <w:rPr>
          <w:rtl/>
        </w:rPr>
      </w:pPr>
      <w:bookmarkStart w:id="15575" w:name="_Ref64578680"/>
      <w:r>
        <w:rPr>
          <w:rFonts w:hint="cs"/>
          <w:rtl/>
        </w:rPr>
        <w:t xml:space="preserve">והקשה </w:t>
      </w:r>
      <w:r w:rsidRPr="00161B43">
        <w:rPr>
          <w:rStyle w:val="af9"/>
          <w:rFonts w:hint="cs"/>
          <w:rtl/>
        </w:rPr>
        <w:t>הרשב"א</w:t>
      </w:r>
      <w:r>
        <w:rPr>
          <w:rFonts w:hint="cs"/>
          <w:rtl/>
        </w:rPr>
        <w:t xml:space="preserve"> על </w:t>
      </w:r>
      <w:r w:rsidRPr="00161B43">
        <w:rPr>
          <w:rStyle w:val="af9"/>
          <w:rFonts w:hint="cs"/>
          <w:rtl/>
        </w:rPr>
        <w:t>הרשב"ם</w:t>
      </w:r>
      <w:r>
        <w:rPr>
          <w:rFonts w:hint="cs"/>
          <w:rtl/>
        </w:rPr>
        <w:t xml:space="preserve"> דאף מה שהדקל עומד בחזקת רב אידי, הוא מכח הודאת ההוא גברא, וא"כ הוא נאמן מדין הפה שאסר, ומ"ש מהא דתנן בכתובות </w:t>
      </w:r>
      <w:r w:rsidRPr="00450D69">
        <w:rPr>
          <w:rStyle w:val="af7"/>
          <w:rFonts w:eastAsia="Guttman Hodes" w:hint="cs"/>
          <w:rtl/>
        </w:rPr>
        <w:t>(טו:)</w:t>
      </w:r>
      <w:r>
        <w:rPr>
          <w:rFonts w:hint="cs"/>
          <w:rtl/>
        </w:rPr>
        <w:t xml:space="preserve"> דהאומר שדה זו של אביך הייתה ולקחתיה ממנו, דנאמן מדין הפה שאסר, ולדברי </w:t>
      </w:r>
      <w:r w:rsidRPr="0003338F">
        <w:rPr>
          <w:rStyle w:val="af9"/>
          <w:rFonts w:hint="cs"/>
          <w:rtl/>
        </w:rPr>
        <w:t>הרשב"ם</w:t>
      </w:r>
      <w:r>
        <w:rPr>
          <w:rFonts w:hint="cs"/>
          <w:rtl/>
        </w:rPr>
        <w:t xml:space="preserve"> אף בכתובות אפש"ל דכיון שהודה שאביו של המערער הוא המרא קמא ממילא עומדת הקרקע בחזקתו, והמחזיק נחשב כמוציא ממוחזק, ועליו להביא ראיה, ועי' במה שהקשה </w:t>
      </w:r>
      <w:r w:rsidRPr="00A95847">
        <w:rPr>
          <w:rStyle w:val="af9"/>
          <w:rFonts w:hint="cs"/>
          <w:rtl/>
        </w:rPr>
        <w:t>הריטב"א</w:t>
      </w:r>
      <w:r>
        <w:rPr>
          <w:rFonts w:hint="cs"/>
          <w:rtl/>
        </w:rPr>
        <w:t xml:space="preserve"> </w:t>
      </w:r>
      <w:r w:rsidRPr="00A95847">
        <w:rPr>
          <w:rStyle w:val="af7"/>
          <w:rFonts w:eastAsia="Guttman Hodes" w:hint="cs"/>
          <w:rtl/>
        </w:rPr>
        <w:t xml:space="preserve">(עי' אות </w:t>
      </w:r>
      <w:r w:rsidRPr="00A95847">
        <w:rPr>
          <w:rStyle w:val="af7"/>
          <w:rFonts w:eastAsia="Guttman Hodes"/>
          <w:rtl/>
        </w:rPr>
        <w:fldChar w:fldCharType="begin"/>
      </w:r>
      <w:r w:rsidRPr="00A95847">
        <w:rPr>
          <w:rStyle w:val="af7"/>
          <w:rFonts w:eastAsia="Guttman Hodes"/>
          <w:rtl/>
        </w:rPr>
        <w:instrText xml:space="preserve"> </w:instrText>
      </w:r>
      <w:r w:rsidRPr="00A95847">
        <w:rPr>
          <w:rStyle w:val="af7"/>
          <w:rFonts w:eastAsia="Guttman Hodes" w:hint="cs"/>
        </w:rPr>
        <w:instrText>REF</w:instrText>
      </w:r>
      <w:r w:rsidRPr="00A95847">
        <w:rPr>
          <w:rStyle w:val="af7"/>
          <w:rFonts w:eastAsia="Guttman Hodes" w:hint="cs"/>
          <w:rtl/>
        </w:rPr>
        <w:instrText xml:space="preserve"> _</w:instrText>
      </w:r>
      <w:r w:rsidRPr="00A95847">
        <w:rPr>
          <w:rStyle w:val="af7"/>
          <w:rFonts w:eastAsia="Guttman Hodes" w:hint="cs"/>
        </w:rPr>
        <w:instrText>Ref64561097 \r \h</w:instrText>
      </w:r>
      <w:r w:rsidRPr="00A95847">
        <w:rPr>
          <w:rStyle w:val="af7"/>
          <w:rFonts w:eastAsia="Guttman Hodes"/>
          <w:rtl/>
        </w:rPr>
        <w:instrText xml:space="preserve"> </w:instrText>
      </w:r>
      <w:r w:rsidRPr="00A95847">
        <w:rPr>
          <w:rStyle w:val="af7"/>
          <w:rFonts w:eastAsia="Guttman Hodes"/>
          <w:rtl/>
        </w:rPr>
      </w:r>
      <w:r w:rsidRPr="00A95847">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A95847">
        <w:rPr>
          <w:rStyle w:val="af7"/>
          <w:rFonts w:eastAsia="Guttman Hodes"/>
          <w:rtl/>
        </w:rPr>
        <w:fldChar w:fldCharType="end"/>
      </w:r>
      <w:r>
        <w:rPr>
          <w:rFonts w:hint="cs"/>
          <w:rtl/>
        </w:rPr>
        <w:t xml:space="preserve">, ובמה שתירצו </w:t>
      </w:r>
      <w:r w:rsidRPr="006B75BA">
        <w:rPr>
          <w:rStyle w:val="af9"/>
          <w:rFonts w:hint="cs"/>
          <w:rtl/>
        </w:rPr>
        <w:t>הגרנ"ט</w:t>
      </w:r>
      <w:r>
        <w:rPr>
          <w:rFonts w:hint="cs"/>
          <w:rtl/>
        </w:rPr>
        <w:t xml:space="preserve"> </w:t>
      </w:r>
      <w:r w:rsidRPr="006B75BA">
        <w:rPr>
          <w:rStyle w:val="af7"/>
          <w:rFonts w:eastAsia="Guttman Hodes" w:hint="cs"/>
          <w:rtl/>
        </w:rPr>
        <w:t xml:space="preserve">(עי' אות </w:t>
      </w:r>
      <w:r w:rsidRPr="006B75BA">
        <w:rPr>
          <w:rStyle w:val="af7"/>
          <w:rFonts w:eastAsia="Guttman Hodes"/>
          <w:rtl/>
        </w:rPr>
        <w:fldChar w:fldCharType="begin"/>
      </w:r>
      <w:r w:rsidRPr="006B75BA">
        <w:rPr>
          <w:rStyle w:val="af7"/>
          <w:rFonts w:eastAsia="Guttman Hodes"/>
          <w:rtl/>
        </w:rPr>
        <w:instrText xml:space="preserve"> </w:instrText>
      </w:r>
      <w:r w:rsidRPr="006B75BA">
        <w:rPr>
          <w:rStyle w:val="af7"/>
          <w:rFonts w:eastAsia="Guttman Hodes" w:hint="cs"/>
        </w:rPr>
        <w:instrText>REF</w:instrText>
      </w:r>
      <w:r w:rsidRPr="006B75BA">
        <w:rPr>
          <w:rStyle w:val="af7"/>
          <w:rFonts w:eastAsia="Guttman Hodes" w:hint="cs"/>
          <w:rtl/>
        </w:rPr>
        <w:instrText xml:space="preserve"> _</w:instrText>
      </w:r>
      <w:r w:rsidRPr="006B75BA">
        <w:rPr>
          <w:rStyle w:val="af7"/>
          <w:rFonts w:eastAsia="Guttman Hodes" w:hint="cs"/>
        </w:rPr>
        <w:instrText>Ref64561186 \r \h</w:instrText>
      </w:r>
      <w:r w:rsidRPr="006B75BA">
        <w:rPr>
          <w:rStyle w:val="af7"/>
          <w:rFonts w:eastAsia="Guttman Hodes"/>
          <w:rtl/>
        </w:rPr>
        <w:instrText xml:space="preserve"> </w:instrText>
      </w:r>
      <w:r w:rsidRPr="006B75BA">
        <w:rPr>
          <w:rStyle w:val="af7"/>
          <w:rFonts w:eastAsia="Guttman Hodes"/>
          <w:rtl/>
        </w:rPr>
      </w:r>
      <w:r w:rsidRPr="006B75BA">
        <w:rPr>
          <w:rStyle w:val="af7"/>
          <w:rFonts w:eastAsia="Guttman Hodes"/>
          <w:rtl/>
        </w:rPr>
        <w:fldChar w:fldCharType="separate"/>
      </w:r>
      <w:r w:rsidR="00265073">
        <w:rPr>
          <w:rStyle w:val="af7"/>
          <w:rFonts w:eastAsia="Guttman Hodes"/>
          <w:cs/>
        </w:rPr>
        <w:t>‎</w:t>
      </w:r>
      <w:r w:rsidR="00265073">
        <w:rPr>
          <w:rStyle w:val="af7"/>
          <w:rFonts w:eastAsia="Guttman Hodes"/>
          <w:rtl/>
        </w:rPr>
        <w:t>קא)</w:t>
      </w:r>
      <w:r w:rsidRPr="006B75BA">
        <w:rPr>
          <w:rStyle w:val="af7"/>
          <w:rFonts w:eastAsia="Guttman Hodes"/>
          <w:rtl/>
        </w:rPr>
        <w:fldChar w:fldCharType="end"/>
      </w:r>
      <w:r>
        <w:rPr>
          <w:rFonts w:hint="cs"/>
          <w:rtl/>
        </w:rPr>
        <w:t xml:space="preserve"> </w:t>
      </w:r>
      <w:r>
        <w:rPr>
          <w:rStyle w:val="af9"/>
          <w:rFonts w:hint="cs"/>
          <w:rtl/>
        </w:rPr>
        <w:t>ו</w:t>
      </w:r>
      <w:r w:rsidRPr="00EC0C74">
        <w:rPr>
          <w:rStyle w:val="af9"/>
          <w:rFonts w:hint="cs"/>
          <w:rtl/>
        </w:rPr>
        <w:t>בחי' 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Ref64567951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קג)</w:t>
      </w:r>
      <w:r>
        <w:rPr>
          <w:rStyle w:val="af7"/>
          <w:rFonts w:eastAsia="Guttman Hodes"/>
          <w:rtl/>
        </w:rPr>
        <w:fldChar w:fldCharType="end"/>
      </w:r>
      <w:r w:rsidRPr="00EC0C74">
        <w:rPr>
          <w:rStyle w:val="af7"/>
          <w:rFonts w:eastAsia="Guttman Hodes"/>
          <w:rtl/>
        </w:rPr>
        <w:t xml:space="preserve"> </w:t>
      </w:r>
      <w:r>
        <w:rPr>
          <w:rFonts w:hint="cs"/>
          <w:rtl/>
        </w:rPr>
        <w:t xml:space="preserve">בדעת </w:t>
      </w:r>
      <w:r w:rsidRPr="006B75BA">
        <w:rPr>
          <w:rStyle w:val="af9"/>
          <w:rFonts w:hint="cs"/>
          <w:rtl/>
        </w:rPr>
        <w:t>הרשב"ם</w:t>
      </w:r>
      <w:r>
        <w:rPr>
          <w:rFonts w:hint="cs"/>
          <w:rtl/>
        </w:rPr>
        <w:t>.</w:t>
      </w:r>
      <w:bookmarkEnd w:id="15574"/>
      <w:bookmarkEnd w:id="15575"/>
      <w:r w:rsidRPr="009648BB">
        <w:rPr>
          <w:rStyle w:val="afb"/>
          <w:rFonts w:hint="cs"/>
          <w:rtl/>
        </w:rPr>
        <w:t xml:space="preserve"> </w:t>
      </w:r>
      <w:r w:rsidRPr="008D51C8">
        <w:rPr>
          <w:rStyle w:val="afb"/>
          <w:rFonts w:hint="cs"/>
          <w:rtl/>
        </w:rPr>
        <w:t>[ו</w:t>
      </w:r>
      <w:r>
        <w:rPr>
          <w:rStyle w:val="afb"/>
          <w:rFonts w:hint="cs"/>
          <w:rtl/>
        </w:rPr>
        <w:t>ע"ע במה שביאר</w:t>
      </w:r>
      <w:r w:rsidRPr="008D51C8">
        <w:rPr>
          <w:rStyle w:val="afb"/>
          <w:rFonts w:hint="cs"/>
          <w:rtl/>
        </w:rPr>
        <w:t xml:space="preserve"> </w:t>
      </w:r>
      <w:r w:rsidRPr="008D51C8">
        <w:rPr>
          <w:rStyle w:val="affa"/>
          <w:rFonts w:hint="cs"/>
          <w:rtl/>
        </w:rPr>
        <w:t>בחי' רבי נחום</w:t>
      </w:r>
      <w:r w:rsidRPr="008D51C8">
        <w:rPr>
          <w:rStyle w:val="afb"/>
          <w:rFonts w:hint="cs"/>
          <w:rtl/>
        </w:rPr>
        <w:t xml:space="preserve"> </w:t>
      </w:r>
      <w:r w:rsidRPr="008D51C8">
        <w:rPr>
          <w:rStyle w:val="aff6"/>
          <w:rFonts w:hint="cs"/>
          <w:rtl/>
        </w:rPr>
        <w:t xml:space="preserve">(עי' אות </w:t>
      </w:r>
      <w:r w:rsidRPr="008D51C8">
        <w:rPr>
          <w:rStyle w:val="aff6"/>
          <w:rtl/>
        </w:rPr>
        <w:fldChar w:fldCharType="begin"/>
      </w:r>
      <w:r w:rsidRPr="008D51C8">
        <w:rPr>
          <w:rStyle w:val="aff6"/>
          <w:rtl/>
        </w:rPr>
        <w:instrText xml:space="preserve"> </w:instrText>
      </w:r>
      <w:r w:rsidRPr="008D51C8">
        <w:rPr>
          <w:rStyle w:val="aff6"/>
          <w:rFonts w:hint="cs"/>
        </w:rPr>
        <w:instrText>REF</w:instrText>
      </w:r>
      <w:r w:rsidRPr="008D51C8">
        <w:rPr>
          <w:rStyle w:val="aff6"/>
          <w:rFonts w:hint="cs"/>
          <w:rtl/>
        </w:rPr>
        <w:instrText xml:space="preserve"> _</w:instrText>
      </w:r>
      <w:r w:rsidRPr="008D51C8">
        <w:rPr>
          <w:rStyle w:val="aff6"/>
          <w:rFonts w:hint="cs"/>
        </w:rPr>
        <w:instrText>Ref64568227 \r \h</w:instrText>
      </w:r>
      <w:r w:rsidRPr="008D51C8">
        <w:rPr>
          <w:rStyle w:val="aff6"/>
          <w:rtl/>
        </w:rPr>
        <w:instrText xml:space="preserve"> </w:instrText>
      </w:r>
      <w:r w:rsidRPr="008D51C8">
        <w:rPr>
          <w:rStyle w:val="aff6"/>
          <w:rtl/>
        </w:rPr>
      </w:r>
      <w:r w:rsidRPr="008D51C8">
        <w:rPr>
          <w:rStyle w:val="aff6"/>
          <w:rtl/>
        </w:rPr>
        <w:fldChar w:fldCharType="separate"/>
      </w:r>
      <w:r w:rsidR="00265073">
        <w:rPr>
          <w:rStyle w:val="aff6"/>
          <w:cs/>
        </w:rPr>
        <w:t>‎</w:t>
      </w:r>
      <w:r w:rsidR="00265073">
        <w:rPr>
          <w:rStyle w:val="aff6"/>
          <w:rtl/>
        </w:rPr>
        <w:t>קח)</w:t>
      </w:r>
      <w:r w:rsidRPr="008D51C8">
        <w:rPr>
          <w:rStyle w:val="aff6"/>
          <w:rtl/>
        </w:rPr>
        <w:fldChar w:fldCharType="end"/>
      </w:r>
      <w:r w:rsidRPr="008D51C8">
        <w:rPr>
          <w:rStyle w:val="afb"/>
          <w:rFonts w:hint="cs"/>
          <w:rtl/>
        </w:rPr>
        <w:t xml:space="preserve"> בדעת </w:t>
      </w:r>
      <w:r w:rsidRPr="008D51C8">
        <w:rPr>
          <w:rStyle w:val="affa"/>
          <w:rFonts w:hint="cs"/>
          <w:rtl/>
        </w:rPr>
        <w:t>הרשב"א</w:t>
      </w:r>
      <w:r>
        <w:rPr>
          <w:rStyle w:val="afb"/>
          <w:rFonts w:hint="cs"/>
          <w:rtl/>
        </w:rPr>
        <w:t xml:space="preserve"> דהנאמנות בסוגיין היא רק מדין הפה שאסר, ולא מדין מיגו</w:t>
      </w:r>
      <w:r w:rsidRPr="008D51C8">
        <w:rPr>
          <w:rStyle w:val="afb"/>
          <w:rFonts w:hint="cs"/>
          <w:rtl/>
        </w:rPr>
        <w:t>]</w:t>
      </w:r>
      <w:r>
        <w:rPr>
          <w:rStyle w:val="afb"/>
          <w:rFonts w:hint="cs"/>
          <w:rtl/>
        </w:rPr>
        <w:t>.</w:t>
      </w:r>
      <w:r>
        <w:rPr>
          <w:rFonts w:hint="cs"/>
          <w:rtl/>
        </w:rPr>
        <w:t xml:space="preserve"> </w:t>
      </w:r>
    </w:p>
    <w:p w:rsidR="00103C1B" w:rsidRPr="00E41306" w:rsidRDefault="00103C1B" w:rsidP="00103C1B">
      <w:pPr>
        <w:pStyle w:val="a3"/>
        <w:rPr>
          <w:rtl/>
        </w:rPr>
      </w:pPr>
      <w:bookmarkStart w:id="15576" w:name="_Toc64588778"/>
      <w:bookmarkStart w:id="15577" w:name="_Toc64629369"/>
      <w:bookmarkStart w:id="15578" w:name="_Toc64642832"/>
      <w:r>
        <w:rPr>
          <w:rFonts w:hint="cs"/>
          <w:rtl/>
        </w:rPr>
        <w:t>דברי הרשב"א דאפש"ל דלרשב"ם דמי לספק ובני יבם דחולקין כיון דבני היבם הם ודאי</w:t>
      </w:r>
      <w:bookmarkEnd w:id="15576"/>
      <w:bookmarkEnd w:id="15577"/>
      <w:bookmarkEnd w:id="15578"/>
    </w:p>
    <w:p w:rsidR="00103C1B" w:rsidRPr="00045CD8" w:rsidRDefault="00103C1B" w:rsidP="007E4E81">
      <w:pPr>
        <w:pStyle w:val="a0"/>
        <w:rPr>
          <w:rStyle w:val="afb"/>
          <w:rtl/>
        </w:rPr>
      </w:pPr>
      <w:r>
        <w:rPr>
          <w:rFonts w:hint="cs"/>
          <w:rtl/>
        </w:rPr>
        <w:t xml:space="preserve">וכתב </w:t>
      </w:r>
      <w:r w:rsidRPr="00161B43">
        <w:rPr>
          <w:rStyle w:val="af9"/>
          <w:rFonts w:hint="cs"/>
          <w:rtl/>
        </w:rPr>
        <w:t>הרשב"א</w:t>
      </w:r>
      <w:r>
        <w:rPr>
          <w:rFonts w:hint="cs"/>
          <w:rtl/>
        </w:rPr>
        <w:t xml:space="preserve"> דהיה אפש"ל דביאור </w:t>
      </w:r>
      <w:r w:rsidRPr="00427223">
        <w:rPr>
          <w:rStyle w:val="af9"/>
          <w:rFonts w:hint="cs"/>
          <w:rtl/>
        </w:rPr>
        <w:t>הרשב"ם</w:t>
      </w:r>
      <w:r>
        <w:rPr>
          <w:rFonts w:hint="cs"/>
          <w:rtl/>
        </w:rPr>
        <w:t xml:space="preserve"> דמי להא דאיתא ביבמות </w:t>
      </w:r>
      <w:r w:rsidRPr="00992F0E">
        <w:rPr>
          <w:rStyle w:val="af7"/>
          <w:rFonts w:eastAsia="Guttman Hodes" w:hint="cs"/>
          <w:rtl/>
        </w:rPr>
        <w:t>(לח.)</w:t>
      </w:r>
      <w:r>
        <w:rPr>
          <w:rFonts w:hint="cs"/>
          <w:rtl/>
        </w:rPr>
        <w:t xml:space="preserve"> דספק ובני יבם שבוא לחלוק בנכסי סבא, </w:t>
      </w:r>
      <w:r w:rsidRPr="00E12372">
        <w:rPr>
          <w:rStyle w:val="afb"/>
          <w:rFonts w:hint="cs"/>
          <w:rtl/>
        </w:rPr>
        <w:t>[דהתייבמה היבמה בתוך ג' חודשים וילדה לסוף ז', ולא ידוע אם הוא בן של המת, או בן של המיבם, ואח</w:t>
      </w:r>
      <w:r>
        <w:rPr>
          <w:rStyle w:val="afb"/>
          <w:rFonts w:hint="cs"/>
          <w:rtl/>
        </w:rPr>
        <w:t>"כ מת הסבא שהוא אבי המת והמייבם</w:t>
      </w:r>
      <w:r w:rsidRPr="00E12372">
        <w:rPr>
          <w:rStyle w:val="afb"/>
          <w:rFonts w:hint="cs"/>
          <w:rtl/>
        </w:rPr>
        <w:t>],</w:t>
      </w:r>
      <w:r>
        <w:rPr>
          <w:rFonts w:hint="cs"/>
          <w:rtl/>
        </w:rPr>
        <w:t xml:space="preserve"> דהספק אומר שהוא בנו האח שמת, והוא צריך לקבל חצי מהירושה מכח אביו, ובני היבם אומרים לספק שהוא אחיהם, והוא צריך לחלוק עמהם את נכסי הסבא, ואמרינן דבני היבם, נחשבים לודאי, והספק נחשב לספק, ואין ספק מוציאי מידי ודאי. </w:t>
      </w:r>
      <w:r w:rsidRPr="00045CD8">
        <w:rPr>
          <w:rStyle w:val="afb"/>
          <w:rFonts w:hint="cs"/>
          <w:rtl/>
        </w:rPr>
        <w:t>[והיינו דאף בסוגיין כיון שהודה ההוא גברא דרב אידי הוא קרוב, חשיב רב אידי ודאי, וההוא גברא ספק ואין ספק מוציא מידי ודאי].</w:t>
      </w:r>
    </w:p>
    <w:p w:rsidR="00103C1B" w:rsidRPr="00FE5F94" w:rsidRDefault="00103C1B" w:rsidP="00103C1B">
      <w:pPr>
        <w:pStyle w:val="a3"/>
        <w:rPr>
          <w:rtl/>
        </w:rPr>
      </w:pPr>
      <w:bookmarkStart w:id="15579" w:name="_Toc64588779"/>
      <w:bookmarkStart w:id="15580" w:name="_Toc64629370"/>
      <w:bookmarkStart w:id="15581" w:name="_Toc64642833"/>
      <w:r>
        <w:rPr>
          <w:rFonts w:hint="cs"/>
          <w:rtl/>
        </w:rPr>
        <w:t>דחיית הרשב"א דהתם הספק ידוע אבל הכא רק מחמת ההודאה זכה רב אידי ואינו כודאי</w:t>
      </w:r>
      <w:bookmarkEnd w:id="15579"/>
      <w:bookmarkEnd w:id="15580"/>
      <w:bookmarkEnd w:id="15581"/>
    </w:p>
    <w:p w:rsidR="00103C1B" w:rsidRPr="00AC7281" w:rsidRDefault="00103C1B" w:rsidP="007E4E81">
      <w:pPr>
        <w:pStyle w:val="a0"/>
        <w:rPr>
          <w:rStyle w:val="afb"/>
          <w:rtl/>
        </w:rPr>
      </w:pPr>
      <w:bookmarkStart w:id="15582" w:name="_Ref64579039"/>
      <w:r>
        <w:rPr>
          <w:rFonts w:hint="cs"/>
          <w:rtl/>
        </w:rPr>
        <w:t xml:space="preserve">אך דחה </w:t>
      </w:r>
      <w:r w:rsidRPr="00161B43">
        <w:rPr>
          <w:rStyle w:val="af9"/>
          <w:rFonts w:hint="cs"/>
          <w:rtl/>
        </w:rPr>
        <w:t>הרשב"א</w:t>
      </w:r>
      <w:r>
        <w:rPr>
          <w:rFonts w:hint="cs"/>
          <w:rtl/>
        </w:rPr>
        <w:t xml:space="preserve"> דהתם הספק הוא ידוע לכל, ולא מפיו של הספק אנו חיין, ולכן הוא נחשב לספק שאינו יכול להוציא מודאי, </w:t>
      </w:r>
      <w:r w:rsidRPr="00427223">
        <w:rPr>
          <w:rStyle w:val="afb"/>
          <w:rFonts w:hint="cs"/>
          <w:rtl/>
        </w:rPr>
        <w:t>[דבני היבם ידועים לנו בודאי ולא מכח הודאת הספק],</w:t>
      </w:r>
      <w:r>
        <w:rPr>
          <w:rFonts w:hint="cs"/>
          <w:rtl/>
        </w:rPr>
        <w:t xml:space="preserve"> אבל בסוגיין כל מה שהדקל הוא ברשות רבי אידי הוא מכח הודאת ההוא גברא, וא"כ לא שייך לומר דרב אידי הוא ודאי וההוא גברא הוא ספק,</w:t>
      </w:r>
      <w:r w:rsidRPr="001B7C1D">
        <w:rPr>
          <w:rStyle w:val="afb"/>
          <w:rFonts w:hint="cs"/>
          <w:rtl/>
        </w:rPr>
        <w:t xml:space="preserve"> [וכעי"ז כתב </w:t>
      </w:r>
      <w:r>
        <w:rPr>
          <w:rStyle w:val="affa"/>
          <w:rFonts w:hint="cs"/>
          <w:rtl/>
        </w:rPr>
        <w:t>הריטב"א</w:t>
      </w:r>
      <w:r w:rsidRPr="001B7C1D">
        <w:rPr>
          <w:rStyle w:val="afb"/>
          <w:rFonts w:hint="cs"/>
          <w:rtl/>
        </w:rPr>
        <w:t xml:space="preserve"> </w:t>
      </w:r>
      <w:r w:rsidRPr="001B7C1D">
        <w:rPr>
          <w:rStyle w:val="aff6"/>
          <w:rFonts w:hint="cs"/>
          <w:rtl/>
        </w:rPr>
        <w:t xml:space="preserve">(עי' אות </w:t>
      </w:r>
      <w:r w:rsidRPr="001B7C1D">
        <w:rPr>
          <w:rStyle w:val="aff6"/>
          <w:rtl/>
        </w:rPr>
        <w:fldChar w:fldCharType="begin"/>
      </w:r>
      <w:r w:rsidRPr="001B7C1D">
        <w:rPr>
          <w:rStyle w:val="aff6"/>
          <w:rtl/>
        </w:rPr>
        <w:instrText xml:space="preserve"> </w:instrText>
      </w:r>
      <w:r w:rsidRPr="001B7C1D">
        <w:rPr>
          <w:rStyle w:val="aff6"/>
          <w:rFonts w:hint="cs"/>
        </w:rPr>
        <w:instrText>REF</w:instrText>
      </w:r>
      <w:r w:rsidRPr="001B7C1D">
        <w:rPr>
          <w:rStyle w:val="aff6"/>
          <w:rFonts w:hint="cs"/>
          <w:rtl/>
        </w:rPr>
        <w:instrText xml:space="preserve"> _</w:instrText>
      </w:r>
      <w:r w:rsidRPr="001B7C1D">
        <w:rPr>
          <w:rStyle w:val="aff6"/>
          <w:rFonts w:hint="cs"/>
        </w:rPr>
        <w:instrText>Ref64579070 \r \h</w:instrText>
      </w:r>
      <w:r w:rsidRPr="001B7C1D">
        <w:rPr>
          <w:rStyle w:val="aff6"/>
          <w:rtl/>
        </w:rPr>
        <w:instrText xml:space="preserve"> </w:instrText>
      </w:r>
      <w:r w:rsidRPr="001B7C1D">
        <w:rPr>
          <w:rStyle w:val="aff6"/>
          <w:rtl/>
        </w:rPr>
      </w:r>
      <w:r w:rsidRPr="001B7C1D">
        <w:rPr>
          <w:rStyle w:val="aff6"/>
          <w:rtl/>
        </w:rPr>
        <w:fldChar w:fldCharType="separate"/>
      </w:r>
      <w:r w:rsidR="00265073">
        <w:rPr>
          <w:rStyle w:val="aff6"/>
          <w:cs/>
        </w:rPr>
        <w:t>‎</w:t>
      </w:r>
      <w:r w:rsidR="00265073">
        <w:rPr>
          <w:rStyle w:val="aff6"/>
          <w:rtl/>
        </w:rPr>
        <w:t>לא)</w:t>
      </w:r>
      <w:r w:rsidRPr="001B7C1D">
        <w:rPr>
          <w:rStyle w:val="aff6"/>
          <w:rtl/>
        </w:rPr>
        <w:fldChar w:fldCharType="end"/>
      </w:r>
      <w:r w:rsidRPr="001B7C1D">
        <w:rPr>
          <w:rStyle w:val="afb"/>
          <w:rFonts w:hint="cs"/>
          <w:rtl/>
        </w:rPr>
        <w:t xml:space="preserve">], </w:t>
      </w:r>
      <w:r>
        <w:rPr>
          <w:rFonts w:hint="cs"/>
          <w:rtl/>
        </w:rPr>
        <w:t xml:space="preserve"> וכתב </w:t>
      </w:r>
      <w:r w:rsidRPr="00161B43">
        <w:rPr>
          <w:rStyle w:val="af9"/>
          <w:rFonts w:hint="cs"/>
          <w:rtl/>
        </w:rPr>
        <w:t>הרשב"א</w:t>
      </w:r>
      <w:r>
        <w:rPr>
          <w:rFonts w:hint="cs"/>
          <w:rtl/>
        </w:rPr>
        <w:t xml:space="preserve"> דגירסת </w:t>
      </w:r>
      <w:r w:rsidRPr="00161B43">
        <w:rPr>
          <w:rStyle w:val="af9"/>
          <w:rFonts w:hint="cs"/>
          <w:rtl/>
        </w:rPr>
        <w:t>הרשב"ם</w:t>
      </w:r>
      <w:r>
        <w:rPr>
          <w:rFonts w:hint="cs"/>
          <w:rtl/>
        </w:rPr>
        <w:t xml:space="preserve"> צ"ע, וגירסת </w:t>
      </w:r>
      <w:r w:rsidRPr="00161B43">
        <w:rPr>
          <w:rStyle w:val="af9"/>
          <w:rFonts w:hint="cs"/>
          <w:rtl/>
        </w:rPr>
        <w:t>ר"ח</w:t>
      </w:r>
      <w:r>
        <w:rPr>
          <w:rFonts w:hint="cs"/>
          <w:rtl/>
        </w:rPr>
        <w:t xml:space="preserve"> </w:t>
      </w:r>
      <w:r w:rsidRPr="00414ED4">
        <w:rPr>
          <w:rStyle w:val="af7"/>
          <w:rFonts w:eastAsia="Guttman Hodes" w:hint="cs"/>
          <w:rtl/>
        </w:rPr>
        <w:t xml:space="preserve">(עי' אות </w:t>
      </w:r>
      <w:r w:rsidRPr="00414ED4">
        <w:rPr>
          <w:rStyle w:val="af7"/>
          <w:rFonts w:eastAsia="Guttman Hodes"/>
          <w:rtl/>
        </w:rPr>
        <w:fldChar w:fldCharType="begin"/>
      </w:r>
      <w:r w:rsidRPr="00414ED4">
        <w:rPr>
          <w:rStyle w:val="af7"/>
          <w:rFonts w:eastAsia="Guttman Hodes"/>
          <w:rtl/>
        </w:rPr>
        <w:instrText xml:space="preserve"> </w:instrText>
      </w:r>
      <w:r w:rsidRPr="00414ED4">
        <w:rPr>
          <w:rStyle w:val="af7"/>
          <w:rFonts w:eastAsia="Guttman Hodes" w:hint="cs"/>
        </w:rPr>
        <w:instrText>REF</w:instrText>
      </w:r>
      <w:r w:rsidRPr="00414ED4">
        <w:rPr>
          <w:rStyle w:val="af7"/>
          <w:rFonts w:eastAsia="Guttman Hodes" w:hint="cs"/>
          <w:rtl/>
        </w:rPr>
        <w:instrText xml:space="preserve"> _</w:instrText>
      </w:r>
      <w:r w:rsidRPr="00414ED4">
        <w:rPr>
          <w:rStyle w:val="af7"/>
          <w:rFonts w:eastAsia="Guttman Hodes" w:hint="cs"/>
        </w:rPr>
        <w:instrText>Ref64561356 \r \h</w:instrText>
      </w:r>
      <w:r w:rsidRPr="00414ED4">
        <w:rPr>
          <w:rStyle w:val="af7"/>
          <w:rFonts w:eastAsia="Guttman Hodes"/>
          <w:rtl/>
        </w:rPr>
        <w:instrText xml:space="preserve"> </w:instrText>
      </w:r>
      <w:r w:rsidRPr="00414ED4">
        <w:rPr>
          <w:rStyle w:val="af7"/>
          <w:rFonts w:eastAsia="Guttman Hodes"/>
          <w:rtl/>
        </w:rPr>
      </w:r>
      <w:r w:rsidRPr="00414ED4">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414ED4">
        <w:rPr>
          <w:rStyle w:val="af7"/>
          <w:rFonts w:eastAsia="Guttman Hodes"/>
          <w:rtl/>
        </w:rPr>
        <w:fldChar w:fldCharType="end"/>
      </w:r>
      <w:r>
        <w:rPr>
          <w:rFonts w:hint="cs"/>
          <w:rtl/>
        </w:rPr>
        <w:t xml:space="preserve"> מבוארת.</w:t>
      </w:r>
      <w:r w:rsidRPr="005D76D6">
        <w:rPr>
          <w:rFonts w:hint="cs"/>
          <w:rtl/>
        </w:rPr>
        <w:t xml:space="preserve"> </w:t>
      </w:r>
      <w:r w:rsidRPr="00AC7281">
        <w:rPr>
          <w:rStyle w:val="afb"/>
          <w:rFonts w:hint="cs"/>
          <w:rtl/>
        </w:rPr>
        <w:t xml:space="preserve">[ועי' במ"ש </w:t>
      </w:r>
      <w:r w:rsidRPr="00AC7281">
        <w:rPr>
          <w:rStyle w:val="affa"/>
          <w:rFonts w:hint="cs"/>
          <w:rtl/>
        </w:rPr>
        <w:t>הרשב"א</w:t>
      </w:r>
      <w:r w:rsidRPr="00AC7281">
        <w:rPr>
          <w:rStyle w:val="afb"/>
          <w:rFonts w:hint="cs"/>
          <w:rtl/>
        </w:rPr>
        <w:t xml:space="preserve"> דלגירסת </w:t>
      </w:r>
      <w:r w:rsidRPr="00AC7281">
        <w:rPr>
          <w:rStyle w:val="affa"/>
          <w:rFonts w:hint="cs"/>
          <w:rtl/>
        </w:rPr>
        <w:t>ר"ח</w:t>
      </w:r>
      <w:r w:rsidRPr="00AC7281">
        <w:rPr>
          <w:rStyle w:val="afb"/>
          <w:rFonts w:hint="cs"/>
          <w:rtl/>
        </w:rPr>
        <w:t xml:space="preserve"> </w:t>
      </w:r>
      <w:r w:rsidRPr="00414ED4">
        <w:rPr>
          <w:rStyle w:val="aff6"/>
          <w:rFonts w:hint="cs"/>
          <w:rtl/>
        </w:rPr>
        <w:t xml:space="preserve">(עי' אות </w:t>
      </w:r>
      <w:r w:rsidRPr="00414ED4">
        <w:rPr>
          <w:rStyle w:val="aff6"/>
          <w:rtl/>
        </w:rPr>
        <w:fldChar w:fldCharType="begin"/>
      </w:r>
      <w:r w:rsidRPr="00414ED4">
        <w:rPr>
          <w:rStyle w:val="aff6"/>
          <w:rtl/>
        </w:rPr>
        <w:instrText xml:space="preserve"> </w:instrText>
      </w:r>
      <w:r w:rsidRPr="00414ED4">
        <w:rPr>
          <w:rStyle w:val="aff6"/>
          <w:rFonts w:hint="cs"/>
        </w:rPr>
        <w:instrText>REF</w:instrText>
      </w:r>
      <w:r w:rsidRPr="00414ED4">
        <w:rPr>
          <w:rStyle w:val="aff6"/>
          <w:rFonts w:hint="cs"/>
          <w:rtl/>
        </w:rPr>
        <w:instrText xml:space="preserve"> _</w:instrText>
      </w:r>
      <w:r w:rsidRPr="00414ED4">
        <w:rPr>
          <w:rStyle w:val="aff6"/>
          <w:rFonts w:hint="cs"/>
        </w:rPr>
        <w:instrText>Ref64561428 \r \h</w:instrText>
      </w:r>
      <w:r w:rsidRPr="00414ED4">
        <w:rPr>
          <w:rStyle w:val="aff6"/>
          <w:rtl/>
        </w:rPr>
        <w:instrText xml:space="preserve"> </w:instrText>
      </w:r>
      <w:r w:rsidRPr="00414ED4">
        <w:rPr>
          <w:rStyle w:val="aff6"/>
          <w:rtl/>
        </w:rPr>
      </w:r>
      <w:r w:rsidRPr="00414ED4">
        <w:rPr>
          <w:rStyle w:val="aff6"/>
          <w:rtl/>
        </w:rPr>
        <w:fldChar w:fldCharType="separate"/>
      </w:r>
      <w:r w:rsidR="00265073">
        <w:rPr>
          <w:rStyle w:val="aff6"/>
          <w:cs/>
        </w:rPr>
        <w:t>‎</w:t>
      </w:r>
      <w:r w:rsidR="00265073">
        <w:rPr>
          <w:rStyle w:val="aff6"/>
          <w:rtl/>
        </w:rPr>
        <w:t>מח)</w:t>
      </w:r>
      <w:r w:rsidRPr="00414ED4">
        <w:rPr>
          <w:rStyle w:val="aff6"/>
          <w:rtl/>
        </w:rPr>
        <w:fldChar w:fldCharType="end"/>
      </w:r>
      <w:r w:rsidRPr="00AC7281">
        <w:rPr>
          <w:rStyle w:val="afb"/>
          <w:rFonts w:hint="cs"/>
          <w:rtl/>
        </w:rPr>
        <w:t xml:space="preserve"> דמי לספק ויבם שבאו לחלוק בנכסי סבא].</w:t>
      </w:r>
      <w:bookmarkEnd w:id="15582"/>
    </w:p>
    <w:p w:rsidR="00103C1B" w:rsidRDefault="00103C1B" w:rsidP="00103C1B">
      <w:pPr>
        <w:pStyle w:val="afe"/>
        <w:rPr>
          <w:rtl/>
        </w:rPr>
      </w:pPr>
      <w:bookmarkStart w:id="15583" w:name="_Toc64454548"/>
      <w:bookmarkStart w:id="15584" w:name="_Toc64458638"/>
      <w:bookmarkStart w:id="15585" w:name="_Toc64549016"/>
      <w:bookmarkStart w:id="15586" w:name="_Toc64576190"/>
      <w:bookmarkStart w:id="15587" w:name="_Toc64588780"/>
      <w:bookmarkStart w:id="15588" w:name="_Toc64629371"/>
      <w:bookmarkStart w:id="15589" w:name="_Toc64642834"/>
      <w:bookmarkStart w:id="15590" w:name="_Toc64407316"/>
      <w:r>
        <w:rPr>
          <w:rFonts w:hint="cs"/>
          <w:rtl/>
        </w:rPr>
        <w:t>גי' התוס' דהודה שהוא קרוב אך ל"ג טפי</w:t>
      </w:r>
      <w:bookmarkEnd w:id="15583"/>
      <w:bookmarkEnd w:id="15584"/>
      <w:bookmarkEnd w:id="15585"/>
      <w:bookmarkEnd w:id="15586"/>
      <w:bookmarkEnd w:id="15587"/>
      <w:bookmarkEnd w:id="15588"/>
      <w:bookmarkEnd w:id="15589"/>
    </w:p>
    <w:p w:rsidR="00103C1B" w:rsidRPr="00A3096F" w:rsidRDefault="00103C1B" w:rsidP="00103C1B">
      <w:pPr>
        <w:pStyle w:val="1"/>
        <w:rPr>
          <w:rtl/>
        </w:rPr>
      </w:pPr>
      <w:bookmarkStart w:id="15591" w:name="_Toc64549017"/>
      <w:bookmarkStart w:id="15592" w:name="_Toc64576191"/>
      <w:bookmarkStart w:id="15593" w:name="_Toc64588781"/>
      <w:bookmarkStart w:id="15594" w:name="_Toc64629372"/>
      <w:bookmarkStart w:id="15595" w:name="_Toc64642835"/>
      <w:r>
        <w:rPr>
          <w:rFonts w:hint="cs"/>
          <w:rtl/>
        </w:rPr>
        <w:t>דברי התוס'</w:t>
      </w:r>
      <w:bookmarkEnd w:id="15591"/>
      <w:bookmarkEnd w:id="15592"/>
      <w:r>
        <w:rPr>
          <w:rFonts w:hint="cs"/>
          <w:rtl/>
        </w:rPr>
        <w:t xml:space="preserve"> דההוא גברא הודה שאף ר"א קרוב ונתן לו מרצונו</w:t>
      </w:r>
      <w:bookmarkEnd w:id="15593"/>
      <w:bookmarkEnd w:id="15594"/>
      <w:bookmarkEnd w:id="15595"/>
    </w:p>
    <w:p w:rsidR="00103C1B" w:rsidRDefault="00103C1B" w:rsidP="00103C1B">
      <w:pPr>
        <w:pStyle w:val="a3"/>
        <w:rPr>
          <w:rtl/>
        </w:rPr>
      </w:pPr>
      <w:bookmarkStart w:id="15596" w:name="_Toc64588782"/>
      <w:bookmarkStart w:id="15597" w:name="_Toc64629373"/>
      <w:bookmarkStart w:id="15598" w:name="_Toc64642836"/>
      <w:r>
        <w:rPr>
          <w:rFonts w:hint="cs"/>
          <w:rtl/>
        </w:rPr>
        <w:t>דברי התוס' דהודה שרב אידי קרוב אך לא גרסינן "טפי" דלא הודה שרב אידי קרוב יותר</w:t>
      </w:r>
      <w:bookmarkEnd w:id="15596"/>
      <w:bookmarkEnd w:id="15597"/>
      <w:bookmarkEnd w:id="15598"/>
      <w:r>
        <w:rPr>
          <w:rFonts w:hint="cs"/>
          <w:rtl/>
        </w:rPr>
        <w:t xml:space="preserve"> </w:t>
      </w:r>
    </w:p>
    <w:p w:rsidR="00103C1B" w:rsidRDefault="00103C1B" w:rsidP="007E4E81">
      <w:pPr>
        <w:pStyle w:val="a0"/>
        <w:rPr>
          <w:rtl/>
        </w:rPr>
      </w:pPr>
      <w:bookmarkStart w:id="15599" w:name="_Ref64454618"/>
      <w:r>
        <w:rPr>
          <w:rFonts w:hint="cs"/>
          <w:rtl/>
        </w:rPr>
        <w:t xml:space="preserve">כתבו </w:t>
      </w:r>
      <w:r w:rsidRPr="008076B1">
        <w:rPr>
          <w:rStyle w:val="af9"/>
          <w:rFonts w:hint="cs"/>
          <w:rtl/>
        </w:rPr>
        <w:t>התוס'</w:t>
      </w:r>
      <w:r>
        <w:rPr>
          <w:rFonts w:hint="cs"/>
          <w:rtl/>
        </w:rPr>
        <w:t xml:space="preserve"> </w:t>
      </w:r>
      <w:r w:rsidRPr="00EF35EC">
        <w:rPr>
          <w:rStyle w:val="af7"/>
          <w:rFonts w:eastAsia="Guttman Hodes" w:hint="cs"/>
          <w:rtl/>
        </w:rPr>
        <w:t>(</w:t>
      </w:r>
      <w:r>
        <w:rPr>
          <w:rStyle w:val="af7"/>
          <w:rFonts w:eastAsia="Guttman Hodes" w:hint="cs"/>
          <w:rtl/>
        </w:rPr>
        <w:t xml:space="preserve">ריש </w:t>
      </w:r>
      <w:r w:rsidRPr="00EF35EC">
        <w:rPr>
          <w:rStyle w:val="af7"/>
          <w:rFonts w:eastAsia="Guttman Hodes" w:hint="cs"/>
          <w:rtl/>
        </w:rPr>
        <w:t>ד"ה ה"ג)</w:t>
      </w:r>
      <w:r>
        <w:rPr>
          <w:rFonts w:hint="cs"/>
          <w:rtl/>
        </w:rPr>
        <w:t xml:space="preserve"> דגרסינן "לסוף אודי ליה" ולא גרסינן דהודה "דאיהו קרוב טפי". </w:t>
      </w:r>
      <w:r w:rsidRPr="008779BB">
        <w:rPr>
          <w:rStyle w:val="afb"/>
          <w:rFonts w:hint="cs"/>
          <w:rtl/>
        </w:rPr>
        <w:t xml:space="preserve">[ודלא </w:t>
      </w:r>
      <w:r w:rsidRPr="008779BB">
        <w:rPr>
          <w:rStyle w:val="affa"/>
          <w:rFonts w:hint="cs"/>
          <w:rtl/>
        </w:rPr>
        <w:t>כרשב"ם</w:t>
      </w:r>
      <w:r w:rsidRPr="008779BB">
        <w:rPr>
          <w:rStyle w:val="afb"/>
          <w:rFonts w:hint="cs"/>
          <w:rtl/>
        </w:rPr>
        <w:t xml:space="preserve"> </w:t>
      </w:r>
      <w:r w:rsidRPr="008779BB">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Ref64451602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ב)</w:t>
      </w:r>
      <w:r>
        <w:rPr>
          <w:rStyle w:val="aff6"/>
          <w:rtl/>
        </w:rPr>
        <w:fldChar w:fldCharType="end"/>
      </w:r>
      <w:r w:rsidRPr="008779BB">
        <w:rPr>
          <w:rStyle w:val="aff6"/>
          <w:rFonts w:hint="cs"/>
          <w:rtl/>
        </w:rPr>
        <w:t xml:space="preserve"> </w:t>
      </w:r>
      <w:r w:rsidRPr="008779BB">
        <w:rPr>
          <w:rStyle w:val="afb"/>
          <w:rFonts w:hint="cs"/>
          <w:rtl/>
        </w:rPr>
        <w:t>דגרס שהודה שהוא קרוב טפי]</w:t>
      </w:r>
      <w:r>
        <w:rPr>
          <w:rStyle w:val="afb"/>
          <w:rFonts w:hint="cs"/>
          <w:rtl/>
        </w:rPr>
        <w:t>.</w:t>
      </w:r>
    </w:p>
    <w:p w:rsidR="00103C1B" w:rsidRPr="006B6712" w:rsidRDefault="00103C1B" w:rsidP="00103C1B">
      <w:pPr>
        <w:pStyle w:val="a3"/>
      </w:pPr>
      <w:bookmarkStart w:id="15600" w:name="_Toc64588783"/>
      <w:bookmarkStart w:id="15601" w:name="_Toc64629374"/>
      <w:bookmarkStart w:id="15602" w:name="_Toc64642837"/>
      <w:r>
        <w:rPr>
          <w:rFonts w:hint="cs"/>
          <w:rtl/>
        </w:rPr>
        <w:lastRenderedPageBreak/>
        <w:t>ביאור התוס' ברב חסדא דהודה לו כיון שלא רצה לחלוק עמו ונתן מרצונו וא"צ להחזיר פירות</w:t>
      </w:r>
      <w:bookmarkEnd w:id="15600"/>
      <w:bookmarkEnd w:id="15601"/>
      <w:bookmarkEnd w:id="15602"/>
    </w:p>
    <w:p w:rsidR="00103C1B" w:rsidRDefault="00103C1B" w:rsidP="007E4E81">
      <w:pPr>
        <w:pStyle w:val="a0"/>
        <w:rPr>
          <w:rtl/>
        </w:rPr>
      </w:pPr>
      <w:bookmarkStart w:id="15603" w:name="_Ref64577926"/>
      <w:r>
        <w:rPr>
          <w:rFonts w:hint="cs"/>
          <w:rtl/>
        </w:rPr>
        <w:t xml:space="preserve">וביארו </w:t>
      </w:r>
      <w:r w:rsidRPr="008076B1">
        <w:rPr>
          <w:rStyle w:val="af9"/>
          <w:rFonts w:hint="cs"/>
          <w:rtl/>
        </w:rPr>
        <w:t>התוס'</w:t>
      </w:r>
      <w:r>
        <w:rPr>
          <w:rFonts w:hint="cs"/>
          <w:rtl/>
        </w:rPr>
        <w:t xml:space="preserve"> דההוא גברא נתן את הדקל לרב אידי בחינם דלא רצה להיות עמו במחלוקת, ולא מחמת דהודה שרב אידי קרוב יותר, ולכן אמר רב חסדא דכיון דההוא גברא טען שהוא קרוב יותר, ומרצונו נתן ולא מחמת שאתה קרוב יותר, א"כ אינו צריך להחזיר את הפירות, ועי' במ"ש </w:t>
      </w:r>
      <w:r w:rsidRPr="006B75BA">
        <w:rPr>
          <w:rStyle w:val="af9"/>
          <w:rFonts w:hint="cs"/>
          <w:rtl/>
        </w:rPr>
        <w:t xml:space="preserve">הריטב"א </w:t>
      </w:r>
      <w:r w:rsidRPr="006B75BA">
        <w:rPr>
          <w:rStyle w:val="af7"/>
          <w:rFonts w:eastAsia="Guttman Hodes" w:hint="cs"/>
          <w:rtl/>
        </w:rPr>
        <w:t xml:space="preserve">(עי' אות </w:t>
      </w:r>
      <w:r w:rsidRPr="006B75BA">
        <w:rPr>
          <w:rStyle w:val="af7"/>
          <w:rFonts w:eastAsia="Guttman Hodes"/>
          <w:rtl/>
        </w:rPr>
        <w:fldChar w:fldCharType="begin"/>
      </w:r>
      <w:r w:rsidRPr="006B75BA">
        <w:rPr>
          <w:rStyle w:val="af7"/>
          <w:rFonts w:eastAsia="Guttman Hodes"/>
          <w:rtl/>
        </w:rPr>
        <w:instrText xml:space="preserve"> </w:instrText>
      </w:r>
      <w:r w:rsidRPr="006B75BA">
        <w:rPr>
          <w:rStyle w:val="af7"/>
          <w:rFonts w:eastAsia="Guttman Hodes" w:hint="cs"/>
        </w:rPr>
        <w:instrText>REF</w:instrText>
      </w:r>
      <w:r w:rsidRPr="006B75BA">
        <w:rPr>
          <w:rStyle w:val="af7"/>
          <w:rFonts w:eastAsia="Guttman Hodes" w:hint="cs"/>
          <w:rtl/>
        </w:rPr>
        <w:instrText xml:space="preserve"> _</w:instrText>
      </w:r>
      <w:r w:rsidRPr="006B75BA">
        <w:rPr>
          <w:rStyle w:val="af7"/>
          <w:rFonts w:eastAsia="Guttman Hodes" w:hint="cs"/>
        </w:rPr>
        <w:instrText>Ref64561097 \r \h</w:instrText>
      </w:r>
      <w:r w:rsidRPr="006B75BA">
        <w:rPr>
          <w:rStyle w:val="af7"/>
          <w:rFonts w:eastAsia="Guttman Hodes"/>
          <w:rtl/>
        </w:rPr>
        <w:instrText xml:space="preserve"> </w:instrText>
      </w:r>
      <w:r w:rsidRPr="006B75BA">
        <w:rPr>
          <w:rStyle w:val="af7"/>
          <w:rFonts w:eastAsia="Guttman Hodes"/>
          <w:rtl/>
        </w:rPr>
      </w:r>
      <w:r w:rsidRPr="006B75BA">
        <w:rPr>
          <w:rStyle w:val="af7"/>
          <w:rFonts w:eastAsia="Guttman Hodes"/>
          <w:rtl/>
        </w:rPr>
        <w:fldChar w:fldCharType="separate"/>
      </w:r>
      <w:r w:rsidR="00265073">
        <w:rPr>
          <w:rStyle w:val="af7"/>
          <w:rFonts w:eastAsia="Guttman Hodes"/>
          <w:cs/>
        </w:rPr>
        <w:t>‎</w:t>
      </w:r>
      <w:r w:rsidR="00265073">
        <w:rPr>
          <w:rStyle w:val="af7"/>
          <w:rFonts w:eastAsia="Guttman Hodes"/>
          <w:rtl/>
        </w:rPr>
        <w:t>ל)</w:t>
      </w:r>
      <w:r w:rsidRPr="006B75BA">
        <w:rPr>
          <w:rStyle w:val="af7"/>
          <w:rFonts w:eastAsia="Guttman Hodes"/>
          <w:rtl/>
        </w:rPr>
        <w:fldChar w:fldCharType="end"/>
      </w:r>
      <w:r>
        <w:rPr>
          <w:rFonts w:hint="cs"/>
          <w:rtl/>
        </w:rPr>
        <w:t xml:space="preserve"> דמוכח דגרסינן "טפי".</w:t>
      </w:r>
      <w:bookmarkEnd w:id="15599"/>
      <w:bookmarkEnd w:id="15603"/>
    </w:p>
    <w:p w:rsidR="00103C1B" w:rsidRDefault="00103C1B" w:rsidP="00103C1B">
      <w:pPr>
        <w:pStyle w:val="a3"/>
        <w:rPr>
          <w:rtl/>
        </w:rPr>
      </w:pPr>
      <w:bookmarkStart w:id="15604" w:name="_Toc64588784"/>
      <w:bookmarkStart w:id="15605" w:name="_Toc64629375"/>
      <w:bookmarkStart w:id="15606" w:name="_Toc64642838"/>
      <w:r>
        <w:rPr>
          <w:rFonts w:hint="cs"/>
          <w:rtl/>
        </w:rPr>
        <w:t>ביאור התוס' באביי ורבא דמסתמא הודה כיון שרב אידי קרוב אך קשה דלא משמע כן בגמ'</w:t>
      </w:r>
      <w:bookmarkEnd w:id="15604"/>
      <w:bookmarkEnd w:id="15605"/>
      <w:bookmarkEnd w:id="15606"/>
    </w:p>
    <w:p w:rsidR="00103C1B" w:rsidRDefault="00103C1B" w:rsidP="007E4E81">
      <w:pPr>
        <w:pStyle w:val="a0"/>
        <w:rPr>
          <w:rtl/>
        </w:rPr>
      </w:pPr>
      <w:r>
        <w:rPr>
          <w:rFonts w:hint="cs"/>
          <w:rtl/>
        </w:rPr>
        <w:t xml:space="preserve">ובדעת אביי ורבא ביארו </w:t>
      </w:r>
      <w:r w:rsidRPr="008076B1">
        <w:rPr>
          <w:rStyle w:val="af9"/>
          <w:rFonts w:hint="cs"/>
          <w:rtl/>
        </w:rPr>
        <w:t>התוס'</w:t>
      </w:r>
      <w:r>
        <w:rPr>
          <w:rFonts w:hint="cs"/>
          <w:rtl/>
        </w:rPr>
        <w:t xml:space="preserve"> דכיון שהודה אמרינן דמסתמא לא מחל לו אם רב אידי לא היה קרוב יותר, וכתבו </w:t>
      </w:r>
      <w:r w:rsidRPr="008076B1">
        <w:rPr>
          <w:rStyle w:val="af9"/>
          <w:rFonts w:hint="cs"/>
          <w:rtl/>
        </w:rPr>
        <w:t>התוס'</w:t>
      </w:r>
      <w:r>
        <w:rPr>
          <w:rFonts w:hint="cs"/>
          <w:rtl/>
        </w:rPr>
        <w:t xml:space="preserve"> דלפי"ז דחוק הלשון כיון דאודי "אודי", וכן סברת אביי ורבא דחוקה לפי"ז,</w:t>
      </w:r>
      <w:r w:rsidRPr="00A666CA">
        <w:rPr>
          <w:rFonts w:hint="cs"/>
          <w:rtl/>
        </w:rPr>
        <w:t xml:space="preserve"> </w:t>
      </w:r>
      <w:r>
        <w:rPr>
          <w:rFonts w:hint="cs"/>
          <w:rtl/>
        </w:rPr>
        <w:t xml:space="preserve">וביאר </w:t>
      </w:r>
      <w:r w:rsidRPr="00A666CA">
        <w:rPr>
          <w:rStyle w:val="af9"/>
          <w:rFonts w:hint="cs"/>
          <w:rtl/>
        </w:rPr>
        <w:t xml:space="preserve">המהרש"א </w:t>
      </w:r>
      <w:r w:rsidRPr="00A666CA">
        <w:rPr>
          <w:rStyle w:val="af7"/>
          <w:rFonts w:eastAsia="Guttman Hodes" w:hint="cs"/>
          <w:rtl/>
        </w:rPr>
        <w:t xml:space="preserve">(על תוד"ה ה"ג) </w:t>
      </w:r>
      <w:r>
        <w:rPr>
          <w:rFonts w:hint="cs"/>
          <w:rtl/>
        </w:rPr>
        <w:t xml:space="preserve">דכוונת </w:t>
      </w:r>
      <w:r w:rsidRPr="00A666CA">
        <w:rPr>
          <w:rStyle w:val="af9"/>
          <w:rFonts w:hint="cs"/>
          <w:rtl/>
        </w:rPr>
        <w:t>התוס'</w:t>
      </w:r>
      <w:r>
        <w:rPr>
          <w:rFonts w:hint="cs"/>
          <w:rtl/>
        </w:rPr>
        <w:t xml:space="preserve"> להקשות דאי ההוא גברא נתן לרב אידי את הדקל בחינם, א"כ לא שייך הלשון כיון דאודי "אודי", ולכן אף סברת אביי ורבא היא סברא דחוקה, דאמאי אמרו שההוא גברא הודה לו, והרי הוא רק נתן לו בחינם, ולא הודה לו כלל.</w:t>
      </w:r>
    </w:p>
    <w:p w:rsidR="00103C1B" w:rsidRDefault="00103C1B" w:rsidP="00103C1B">
      <w:pPr>
        <w:pStyle w:val="a3"/>
        <w:rPr>
          <w:rtl/>
        </w:rPr>
      </w:pPr>
      <w:bookmarkStart w:id="15607" w:name="_Toc64588785"/>
      <w:bookmarkStart w:id="15608" w:name="_Toc64629376"/>
      <w:bookmarkStart w:id="15609" w:name="_Toc64642839"/>
      <w:r>
        <w:rPr>
          <w:rFonts w:hint="cs"/>
          <w:rtl/>
        </w:rPr>
        <w:t>בי' התוס' דאי גרסינן "טפי" היינו שהודה שהוא קרוב יותר אך על הפירות יש עדים ולא הודה</w:t>
      </w:r>
      <w:bookmarkEnd w:id="15607"/>
      <w:bookmarkEnd w:id="15608"/>
      <w:bookmarkEnd w:id="15609"/>
    </w:p>
    <w:p w:rsidR="00103C1B" w:rsidRDefault="00103C1B" w:rsidP="007E4E81">
      <w:pPr>
        <w:pStyle w:val="a0"/>
        <w:rPr>
          <w:rtl/>
        </w:rPr>
      </w:pPr>
      <w:bookmarkStart w:id="15610" w:name="_Ref64539630"/>
      <w:r>
        <w:rPr>
          <w:rFonts w:hint="cs"/>
          <w:rtl/>
        </w:rPr>
        <w:t xml:space="preserve">והביאו </w:t>
      </w:r>
      <w:r w:rsidRPr="008076B1">
        <w:rPr>
          <w:rStyle w:val="af9"/>
          <w:rFonts w:hint="cs"/>
          <w:rtl/>
        </w:rPr>
        <w:t>התוס'</w:t>
      </w:r>
      <w:r>
        <w:rPr>
          <w:rFonts w:hint="cs"/>
          <w:rtl/>
        </w:rPr>
        <w:t xml:space="preserve"> את הגירסא "דאיהו קרוב טפי", והיינו דהודה שרב אידי קרוב יותר, </w:t>
      </w:r>
      <w:r w:rsidRPr="008779BB">
        <w:rPr>
          <w:rStyle w:val="afb"/>
          <w:rFonts w:hint="cs"/>
          <w:rtl/>
        </w:rPr>
        <w:t>[</w:t>
      </w:r>
      <w:r>
        <w:rPr>
          <w:rStyle w:val="afb"/>
          <w:rFonts w:hint="cs"/>
          <w:rtl/>
        </w:rPr>
        <w:t>וכדגרס</w:t>
      </w:r>
      <w:r w:rsidRPr="008779BB">
        <w:rPr>
          <w:rStyle w:val="afb"/>
          <w:rFonts w:hint="cs"/>
          <w:rtl/>
        </w:rPr>
        <w:t xml:space="preserve"> </w:t>
      </w:r>
      <w:r>
        <w:rPr>
          <w:rStyle w:val="affa"/>
          <w:rFonts w:hint="cs"/>
          <w:rtl/>
        </w:rPr>
        <w:t>ה</w:t>
      </w:r>
      <w:r w:rsidRPr="008779BB">
        <w:rPr>
          <w:rStyle w:val="affa"/>
          <w:rFonts w:hint="cs"/>
          <w:rtl/>
        </w:rPr>
        <w:t>רשב"ם</w:t>
      </w:r>
      <w:r w:rsidRPr="008779BB">
        <w:rPr>
          <w:rStyle w:val="afb"/>
          <w:rFonts w:hint="cs"/>
          <w:rtl/>
        </w:rPr>
        <w:t xml:space="preserve"> </w:t>
      </w:r>
      <w:r w:rsidRPr="008779BB">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Ref64451602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ב)</w:t>
      </w:r>
      <w:r>
        <w:rPr>
          <w:rStyle w:val="aff6"/>
          <w:rtl/>
        </w:rPr>
        <w:fldChar w:fldCharType="end"/>
      </w:r>
      <w:r w:rsidRPr="008779BB">
        <w:rPr>
          <w:rStyle w:val="afb"/>
          <w:rFonts w:hint="cs"/>
          <w:rtl/>
        </w:rPr>
        <w:t xml:space="preserve">], </w:t>
      </w:r>
      <w:r>
        <w:rPr>
          <w:rFonts w:hint="cs"/>
          <w:rtl/>
        </w:rPr>
        <w:t xml:space="preserve">אך כתבו </w:t>
      </w:r>
      <w:r w:rsidRPr="007C5B46">
        <w:rPr>
          <w:rStyle w:val="af9"/>
          <w:rFonts w:hint="cs"/>
          <w:rtl/>
        </w:rPr>
        <w:t>התוס'</w:t>
      </w:r>
      <w:r>
        <w:rPr>
          <w:rFonts w:hint="cs"/>
          <w:rtl/>
        </w:rPr>
        <w:t xml:space="preserve"> דההוא גברא טוען שלא אכל פירות, והביא רב אידי עדים שההוא גברא אכל את הפירות.</w:t>
      </w:r>
    </w:p>
    <w:p w:rsidR="00103C1B" w:rsidRPr="000010A0" w:rsidRDefault="00103C1B" w:rsidP="00103C1B">
      <w:pPr>
        <w:pStyle w:val="a3"/>
      </w:pPr>
      <w:bookmarkStart w:id="15611" w:name="_Toc64588786"/>
      <w:bookmarkStart w:id="15612" w:name="_Toc64629377"/>
      <w:bookmarkStart w:id="15613" w:name="_Toc64642840"/>
      <w:r>
        <w:rPr>
          <w:rFonts w:hint="cs"/>
          <w:rtl/>
        </w:rPr>
        <w:t>ביאור התוס' ברב חסדא דנאמן במיגו על הפירות אף שמכחיש את העדים דאמרינן מיגו במק"ע</w:t>
      </w:r>
      <w:bookmarkEnd w:id="15611"/>
      <w:bookmarkEnd w:id="15612"/>
      <w:bookmarkEnd w:id="15613"/>
    </w:p>
    <w:p w:rsidR="00103C1B" w:rsidRDefault="00103C1B" w:rsidP="007E4E81">
      <w:pPr>
        <w:pStyle w:val="a0"/>
        <w:rPr>
          <w:rtl/>
        </w:rPr>
      </w:pPr>
      <w:r>
        <w:rPr>
          <w:rFonts w:hint="cs"/>
          <w:rtl/>
        </w:rPr>
        <w:t xml:space="preserve">וכתבו </w:t>
      </w:r>
      <w:r w:rsidRPr="000010A0">
        <w:rPr>
          <w:rStyle w:val="af9"/>
          <w:rFonts w:hint="cs"/>
          <w:rtl/>
        </w:rPr>
        <w:t>התוס'</w:t>
      </w:r>
      <w:r>
        <w:rPr>
          <w:rFonts w:hint="cs"/>
          <w:rtl/>
        </w:rPr>
        <w:t xml:space="preserve"> דלפי"ז מה שאמר רב חסדא "</w:t>
      </w:r>
      <w:r>
        <w:rPr>
          <w:rtl/>
        </w:rPr>
        <w:t>הא קאמר דאנא מקרבנא טפי</w:t>
      </w:r>
      <w:r>
        <w:rPr>
          <w:rFonts w:hint="cs"/>
          <w:rtl/>
        </w:rPr>
        <w:t xml:space="preserve">", כוונתו לומר דבתחילה טען כן, אבל עכשיו הוא מודה שרב אידי קרוב יותר, ולכן הוא נאמן במה שאומר שלא אכל את הפירות, במיגו דלא היה מודה שרב אידי קרוב יותר, ולפי"ז ס"ל לרב חסדא דאמרינן מיגו במקום עדים, וכדעת רב חסדא בגמ' בהמשך </w:t>
      </w:r>
      <w:r w:rsidRPr="00EF35EC">
        <w:rPr>
          <w:rStyle w:val="af7"/>
          <w:rFonts w:eastAsia="Guttman Hodes" w:hint="cs"/>
          <w:rtl/>
        </w:rPr>
        <w:t>(לג:)</w:t>
      </w:r>
      <w:r>
        <w:rPr>
          <w:rFonts w:hint="cs"/>
          <w:rtl/>
        </w:rPr>
        <w:t>.</w:t>
      </w:r>
      <w:bookmarkEnd w:id="15610"/>
    </w:p>
    <w:p w:rsidR="00103C1B" w:rsidRPr="007C5B46" w:rsidRDefault="00103C1B" w:rsidP="00103C1B">
      <w:pPr>
        <w:pStyle w:val="a3"/>
      </w:pPr>
      <w:bookmarkStart w:id="15614" w:name="_Toc64588787"/>
      <w:bookmarkStart w:id="15615" w:name="_Toc64629378"/>
      <w:bookmarkStart w:id="15616" w:name="_Toc64642841"/>
      <w:r>
        <w:rPr>
          <w:rFonts w:hint="cs"/>
          <w:rtl/>
        </w:rPr>
        <w:t>דחיית התוס' דלא משמע כן בדברי רב חסדא ועוד דהול"ל לאביי ורבא לומר דהוא מיגו במק"ע</w:t>
      </w:r>
      <w:bookmarkEnd w:id="15614"/>
      <w:bookmarkEnd w:id="15615"/>
      <w:bookmarkEnd w:id="15616"/>
    </w:p>
    <w:p w:rsidR="00103C1B" w:rsidRDefault="00103C1B" w:rsidP="007E4E81">
      <w:pPr>
        <w:pStyle w:val="a0"/>
        <w:rPr>
          <w:rtl/>
        </w:rPr>
      </w:pPr>
      <w:bookmarkStart w:id="15617" w:name="_Ref64451562"/>
      <w:r>
        <w:rPr>
          <w:rFonts w:hint="cs"/>
          <w:rtl/>
        </w:rPr>
        <w:t xml:space="preserve">אך דחו </w:t>
      </w:r>
      <w:r w:rsidRPr="008076B1">
        <w:rPr>
          <w:rStyle w:val="af9"/>
          <w:rFonts w:hint="cs"/>
          <w:rtl/>
        </w:rPr>
        <w:t>התוס'</w:t>
      </w:r>
      <w:r>
        <w:rPr>
          <w:rFonts w:hint="cs"/>
          <w:rtl/>
        </w:rPr>
        <w:t xml:space="preserve"> דא"א לגרוס דהודה שרב אידי קרוב יותר, דא"כ היה לרב חסדא לומר דהא ההוא גברא אומר שלא אכל, והיה יכול לומר שהוא קרוב יותר, ואמאי אמר רב חסדא דהא הוא אמר שהוא קרוב יותר, ועוד דחו </w:t>
      </w:r>
      <w:r w:rsidRPr="00AC7281">
        <w:rPr>
          <w:rStyle w:val="af9"/>
          <w:rFonts w:hint="cs"/>
          <w:rtl/>
        </w:rPr>
        <w:t xml:space="preserve">התוס' </w:t>
      </w:r>
      <w:r>
        <w:rPr>
          <w:rFonts w:hint="cs"/>
          <w:rtl/>
        </w:rPr>
        <w:t xml:space="preserve">דא"כ היה לגמ' לומר דאביי ורבא פליגי על רב חסדא דהא מיגו במקום עדים לא אמרינן, כדאיתא בגמ' בהמשך </w:t>
      </w:r>
      <w:r w:rsidRPr="00EF35EC">
        <w:rPr>
          <w:rStyle w:val="af7"/>
          <w:rFonts w:eastAsia="Guttman Hodes" w:hint="cs"/>
          <w:rtl/>
        </w:rPr>
        <w:t>(לג:)</w:t>
      </w:r>
      <w:r>
        <w:rPr>
          <w:rFonts w:hint="cs"/>
          <w:rtl/>
        </w:rPr>
        <w:t>.</w:t>
      </w:r>
      <w:bookmarkEnd w:id="15617"/>
    </w:p>
    <w:p w:rsidR="00103C1B" w:rsidRDefault="00103C1B" w:rsidP="00103C1B">
      <w:pPr>
        <w:pStyle w:val="1"/>
        <w:rPr>
          <w:rtl/>
        </w:rPr>
      </w:pPr>
      <w:bookmarkStart w:id="15618" w:name="_Toc64458639"/>
      <w:bookmarkStart w:id="15619" w:name="_Toc64549018"/>
      <w:bookmarkStart w:id="15620" w:name="_Toc64576192"/>
      <w:bookmarkStart w:id="15621" w:name="_Toc64588788"/>
      <w:bookmarkStart w:id="15622" w:name="_Toc64629379"/>
      <w:bookmarkStart w:id="15623" w:name="_Toc64642842"/>
      <w:r>
        <w:rPr>
          <w:rFonts w:hint="cs"/>
          <w:rtl/>
        </w:rPr>
        <w:t>ביאור החת"ס בתוס'</w:t>
      </w:r>
      <w:bookmarkEnd w:id="15618"/>
      <w:bookmarkEnd w:id="15619"/>
      <w:bookmarkEnd w:id="15620"/>
      <w:r>
        <w:rPr>
          <w:rFonts w:hint="cs"/>
          <w:rtl/>
        </w:rPr>
        <w:t xml:space="preserve"> דרק להוציא פירות חשיב ההודאה כמתנה</w:t>
      </w:r>
      <w:bookmarkEnd w:id="15621"/>
      <w:bookmarkEnd w:id="15622"/>
      <w:bookmarkEnd w:id="15623"/>
    </w:p>
    <w:p w:rsidR="00103C1B" w:rsidRDefault="00103C1B" w:rsidP="00103C1B">
      <w:pPr>
        <w:pStyle w:val="a3"/>
        <w:rPr>
          <w:rtl/>
        </w:rPr>
      </w:pPr>
      <w:bookmarkStart w:id="15624" w:name="_Toc64588789"/>
      <w:bookmarkStart w:id="15625" w:name="_Toc64629380"/>
      <w:bookmarkStart w:id="15626" w:name="_Toc64642843"/>
      <w:r>
        <w:rPr>
          <w:rFonts w:hint="cs"/>
          <w:rtl/>
        </w:rPr>
        <w:t>ביאור החת"ס בתוס' דלענין הדקל אף לרב חסדא אמרינן דנתן לו במתנה דהאמת שר"א קרוב</w:t>
      </w:r>
      <w:bookmarkEnd w:id="15624"/>
      <w:bookmarkEnd w:id="15625"/>
      <w:bookmarkEnd w:id="15626"/>
    </w:p>
    <w:p w:rsidR="00103C1B" w:rsidRDefault="00103C1B" w:rsidP="007E4E81">
      <w:pPr>
        <w:pStyle w:val="a0"/>
        <w:rPr>
          <w:rtl/>
        </w:rPr>
      </w:pPr>
      <w:r>
        <w:rPr>
          <w:rFonts w:hint="cs"/>
          <w:rtl/>
        </w:rPr>
        <w:t xml:space="preserve">הקשה </w:t>
      </w:r>
      <w:r w:rsidRPr="001E1B5A">
        <w:rPr>
          <w:rStyle w:val="af9"/>
          <w:rFonts w:hint="cs"/>
          <w:rtl/>
        </w:rPr>
        <w:t xml:space="preserve">החת"ס </w:t>
      </w:r>
      <w:r w:rsidRPr="001E1B5A">
        <w:rPr>
          <w:rStyle w:val="af7"/>
          <w:rFonts w:eastAsia="Guttman Hodes" w:hint="cs"/>
          <w:rtl/>
        </w:rPr>
        <w:t>(ד"ה אוקמיה)</w:t>
      </w:r>
      <w:r>
        <w:rPr>
          <w:rFonts w:hint="cs"/>
          <w:rtl/>
        </w:rPr>
        <w:t xml:space="preserve"> על </w:t>
      </w:r>
      <w:r w:rsidRPr="001E1B5A">
        <w:rPr>
          <w:rStyle w:val="af9"/>
          <w:rFonts w:hint="cs"/>
          <w:rtl/>
        </w:rPr>
        <w:t>התוס'</w:t>
      </w:r>
      <w:r>
        <w:rPr>
          <w:rFonts w:hint="cs"/>
          <w:rtl/>
        </w:rPr>
        <w:t xml:space="preserve"> </w:t>
      </w:r>
      <w:r w:rsidRPr="001E1B5A">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Ref64577926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w:t>
      </w:r>
      <w:r>
        <w:rPr>
          <w:rStyle w:val="af7"/>
          <w:rFonts w:eastAsia="Guttman Hodes"/>
          <w:rtl/>
        </w:rPr>
        <w:fldChar w:fldCharType="end"/>
      </w:r>
      <w:r>
        <w:rPr>
          <w:rStyle w:val="af7"/>
          <w:rFonts w:eastAsia="Guttman Hodes" w:hint="cs"/>
          <w:rtl/>
        </w:rPr>
        <w:t xml:space="preserve"> </w:t>
      </w:r>
      <w:r>
        <w:rPr>
          <w:rFonts w:hint="cs"/>
          <w:rtl/>
        </w:rPr>
        <w:t xml:space="preserve">דאי ההוא גברא לא הודה שרב אידי קרוב יותר אלא מחל לו, א"כ אמאי הוצרך רב חסדא להעמיד בדינא את הדקל בידי רב אידי, הא פשיטא דהוא שלו כשהשני מוחל לו, ותירץ </w:t>
      </w:r>
      <w:r w:rsidRPr="001E1B5A">
        <w:rPr>
          <w:rStyle w:val="af9"/>
          <w:rFonts w:hint="cs"/>
          <w:rtl/>
        </w:rPr>
        <w:t xml:space="preserve">החת"ס </w:t>
      </w:r>
      <w:r>
        <w:rPr>
          <w:rFonts w:hint="cs"/>
          <w:rtl/>
        </w:rPr>
        <w:t>דרב חסדא העמיד את הדקל בידי רב אידי בלי שטר מתנה, דסבר רב חסדא דאי הוא מודה לו, מסתמא הוא כיון דההוא גברא יודע בעצמו שהאמת היא שרב אידי קרוב יותר, אך מ"מ לא סמך רב חסדא על סברא זו בכדי להוציא ממנו את הפירות, ואביי ורבא ס"ל דאף לענין הפירות אמרינן דמסתמא הודה כיון שיודע שרב אידי הוא הקרוב.</w:t>
      </w:r>
    </w:p>
    <w:p w:rsidR="00103C1B" w:rsidRPr="00D560E3" w:rsidRDefault="00103C1B" w:rsidP="00103C1B">
      <w:pPr>
        <w:pStyle w:val="a3"/>
        <w:rPr>
          <w:rtl/>
        </w:rPr>
      </w:pPr>
    </w:p>
    <w:p w:rsidR="00103C1B" w:rsidRPr="00D560E3" w:rsidRDefault="00103C1B" w:rsidP="00103C1B">
      <w:pPr>
        <w:pStyle w:val="a3"/>
        <w:rPr>
          <w:rtl/>
        </w:rPr>
      </w:pPr>
    </w:p>
    <w:p w:rsidR="00103C1B" w:rsidRPr="00D8304A" w:rsidRDefault="00103C1B" w:rsidP="00103C1B">
      <w:pPr>
        <w:pStyle w:val="afe"/>
        <w:rPr>
          <w:rtl/>
        </w:rPr>
      </w:pPr>
      <w:bookmarkStart w:id="15627" w:name="_Toc64588790"/>
      <w:bookmarkStart w:id="15628" w:name="_Toc64629381"/>
      <w:bookmarkStart w:id="15629" w:name="_Toc64642844"/>
      <w:r>
        <w:rPr>
          <w:rFonts w:hint="cs"/>
          <w:rtl/>
        </w:rPr>
        <w:t>פלוג' התשב"ץ והקצוה"ח בד' הראב"ד</w:t>
      </w:r>
      <w:bookmarkEnd w:id="15627"/>
      <w:bookmarkEnd w:id="15628"/>
      <w:bookmarkEnd w:id="15629"/>
    </w:p>
    <w:p w:rsidR="00103C1B" w:rsidRDefault="00103C1B" w:rsidP="00103C1B">
      <w:pPr>
        <w:pStyle w:val="1"/>
        <w:rPr>
          <w:rtl/>
        </w:rPr>
      </w:pPr>
      <w:bookmarkStart w:id="15630" w:name="_Toc64588791"/>
      <w:bookmarkStart w:id="15631" w:name="_Toc64629382"/>
      <w:bookmarkStart w:id="15632" w:name="_Toc64642845"/>
      <w:r>
        <w:rPr>
          <w:rFonts w:hint="cs"/>
          <w:rtl/>
        </w:rPr>
        <w:t>בבי' גי' הראב"ד דההוא גברא הודה שר"א קרוב ולא גרס "טפי"</w:t>
      </w:r>
      <w:bookmarkEnd w:id="15630"/>
      <w:bookmarkEnd w:id="15631"/>
      <w:bookmarkEnd w:id="15632"/>
    </w:p>
    <w:p w:rsidR="00103C1B" w:rsidRDefault="00103C1B" w:rsidP="00103C1B">
      <w:pPr>
        <w:pStyle w:val="a3"/>
        <w:rPr>
          <w:rtl/>
        </w:rPr>
      </w:pPr>
      <w:bookmarkStart w:id="15633" w:name="_Toc64588792"/>
      <w:bookmarkStart w:id="15634" w:name="_Toc64629383"/>
      <w:bookmarkStart w:id="15635" w:name="_Toc64642846"/>
      <w:r>
        <w:rPr>
          <w:rFonts w:hint="cs"/>
          <w:rtl/>
        </w:rPr>
        <w:t>ביאור התשב"ץ בראב"ד דהודה שאף ר"א קרוב והוי ר"א בחזקת קרוב וההוא גברא בחזקת רחוק</w:t>
      </w:r>
      <w:bookmarkEnd w:id="15633"/>
      <w:bookmarkEnd w:id="15634"/>
      <w:bookmarkEnd w:id="15635"/>
    </w:p>
    <w:p w:rsidR="00103C1B" w:rsidRDefault="00103C1B" w:rsidP="007E4E81">
      <w:pPr>
        <w:pStyle w:val="a0"/>
        <w:rPr>
          <w:rtl/>
        </w:rPr>
      </w:pPr>
      <w:r>
        <w:rPr>
          <w:rFonts w:hint="cs"/>
          <w:rtl/>
        </w:rPr>
        <w:t xml:space="preserve">הביא </w:t>
      </w:r>
      <w:r w:rsidRPr="009B7365">
        <w:rPr>
          <w:rStyle w:val="af9"/>
          <w:rFonts w:hint="cs"/>
          <w:rtl/>
        </w:rPr>
        <w:t>התשב"ץ</w:t>
      </w:r>
      <w:r>
        <w:rPr>
          <w:rFonts w:hint="cs"/>
          <w:rtl/>
        </w:rPr>
        <w:t xml:space="preserve"> </w:t>
      </w:r>
      <w:r w:rsidRPr="00414ED4">
        <w:rPr>
          <w:rStyle w:val="af7"/>
          <w:rFonts w:eastAsia="Guttman Hodes" w:hint="cs"/>
          <w:rtl/>
        </w:rPr>
        <w:t>(ח"א סי' נ"ח ד"ה ואני אומר שאין אנו צריכין)</w:t>
      </w:r>
      <w:r>
        <w:rPr>
          <w:rFonts w:hint="cs"/>
          <w:rtl/>
        </w:rPr>
        <w:t xml:space="preserve"> בשם </w:t>
      </w:r>
      <w:r w:rsidRPr="009B7365">
        <w:rPr>
          <w:rStyle w:val="af9"/>
          <w:rFonts w:hint="cs"/>
          <w:rtl/>
        </w:rPr>
        <w:t>הראב"ד</w:t>
      </w:r>
      <w:r>
        <w:rPr>
          <w:rFonts w:hint="cs"/>
          <w:rtl/>
        </w:rPr>
        <w:t xml:space="preserve"> דגרס דההוא גברא הודה לרב אידי, אך לא גרס "טפי", וביאר </w:t>
      </w:r>
      <w:r w:rsidRPr="009B7365">
        <w:rPr>
          <w:rStyle w:val="af9"/>
          <w:rFonts w:hint="cs"/>
          <w:rtl/>
        </w:rPr>
        <w:t>התשב"ץ</w:t>
      </w:r>
      <w:r>
        <w:rPr>
          <w:rFonts w:hint="cs"/>
          <w:rtl/>
        </w:rPr>
        <w:t xml:space="preserve"> דאף שרק הודה שרב אידי קרוב, ולא הודה שרב אידי קרוב יותר ממנו, מ"מ העמיד רב חסדא את הדקל בידי רב אידי, דכיון שהודה לו א"כ רב אידי הוא בחזקת קרוב, ואילו ההוא גברא הוא בחזקת רחוק, כיון שרב אידי לא הודה לו, אעפ"י שיתכן דהאמת היא כטענת ההוא גברא שהוא קרוב יותר מרב אידי.</w:t>
      </w:r>
    </w:p>
    <w:p w:rsidR="00103C1B" w:rsidRDefault="00103C1B" w:rsidP="00103C1B">
      <w:pPr>
        <w:pStyle w:val="a3"/>
        <w:rPr>
          <w:rtl/>
        </w:rPr>
      </w:pPr>
      <w:bookmarkStart w:id="15636" w:name="_Toc64588793"/>
      <w:bookmarkStart w:id="15637" w:name="_Toc64629384"/>
      <w:bookmarkStart w:id="15638" w:name="_Toc64642847"/>
      <w:r>
        <w:rPr>
          <w:rFonts w:hint="cs"/>
          <w:rtl/>
        </w:rPr>
        <w:t>ביאור הקצוה"ח בתשב"ץ דההוא גברא לא חזר מטענתו דהוא קרוב טפי ואפ"ה חשיב רחוק</w:t>
      </w:r>
      <w:bookmarkEnd w:id="15636"/>
      <w:bookmarkEnd w:id="15637"/>
      <w:bookmarkEnd w:id="15638"/>
    </w:p>
    <w:p w:rsidR="00103C1B" w:rsidRDefault="00103C1B" w:rsidP="007E4E81">
      <w:pPr>
        <w:pStyle w:val="a0"/>
        <w:rPr>
          <w:rtl/>
        </w:rPr>
      </w:pPr>
      <w:r>
        <w:rPr>
          <w:rFonts w:hint="cs"/>
          <w:rtl/>
        </w:rPr>
        <w:t xml:space="preserve">וכתב </w:t>
      </w:r>
      <w:r w:rsidRPr="009B7365">
        <w:rPr>
          <w:rStyle w:val="af9"/>
          <w:rFonts w:hint="cs"/>
          <w:rtl/>
        </w:rPr>
        <w:t>הקצוה"ח</w:t>
      </w:r>
      <w:r>
        <w:rPr>
          <w:rFonts w:hint="cs"/>
          <w:rtl/>
        </w:rPr>
        <w:t xml:space="preserve"> </w:t>
      </w:r>
      <w:r w:rsidRPr="00414ED4">
        <w:rPr>
          <w:rStyle w:val="af7"/>
          <w:rFonts w:eastAsia="Guttman Hodes" w:hint="cs"/>
          <w:rtl/>
        </w:rPr>
        <w:t>(סי' רפ"ד סק"א)</w:t>
      </w:r>
      <w:r>
        <w:rPr>
          <w:rFonts w:hint="cs"/>
          <w:rtl/>
        </w:rPr>
        <w:t xml:space="preserve"> דמשמע מדברי </w:t>
      </w:r>
      <w:r w:rsidRPr="009B7365">
        <w:rPr>
          <w:rStyle w:val="af9"/>
          <w:rFonts w:hint="cs"/>
          <w:rtl/>
        </w:rPr>
        <w:t>התשב"ץ</w:t>
      </w:r>
      <w:r>
        <w:rPr>
          <w:rFonts w:hint="cs"/>
          <w:rtl/>
        </w:rPr>
        <w:t xml:space="preserve"> </w:t>
      </w:r>
      <w:r w:rsidRPr="009B7365">
        <w:rPr>
          <w:rStyle w:val="af9"/>
          <w:rFonts w:hint="cs"/>
          <w:rtl/>
        </w:rPr>
        <w:t>דהראב"ד</w:t>
      </w:r>
      <w:r>
        <w:rPr>
          <w:rFonts w:hint="cs"/>
          <w:rtl/>
        </w:rPr>
        <w:t xml:space="preserve"> ביאר דאף לאחר שההוא גברא הודה שרב אידי קרוב, מ"מ הוא לא חזר בו מטענתו שהוא קרוב יותר מרב אידי, ואפ"ה העמיד רב חסדא את הדקל בידי רב אידי, כיון שההוא גברא הודה לו, ואילו רב אידי לא הודה לההוא גברא.</w:t>
      </w:r>
    </w:p>
    <w:p w:rsidR="00103C1B" w:rsidRPr="003F39BA" w:rsidRDefault="00103C1B" w:rsidP="00103C1B">
      <w:pPr>
        <w:pStyle w:val="a3"/>
        <w:rPr>
          <w:rtl/>
        </w:rPr>
      </w:pPr>
      <w:bookmarkStart w:id="15639" w:name="_Toc64588794"/>
      <w:bookmarkStart w:id="15640" w:name="_Toc64629385"/>
      <w:bookmarkStart w:id="15641" w:name="_Toc64642848"/>
      <w:r>
        <w:rPr>
          <w:rFonts w:hint="cs"/>
          <w:rtl/>
        </w:rPr>
        <w:t>קו' הקצוה"ח על התשב"ץ דההוא גברא נאמן שהוא קרוב יותר במיגו דלא היה מודה לר"א</w:t>
      </w:r>
      <w:bookmarkEnd w:id="15639"/>
      <w:bookmarkEnd w:id="15640"/>
      <w:bookmarkEnd w:id="15641"/>
    </w:p>
    <w:p w:rsidR="00103C1B" w:rsidRDefault="00103C1B" w:rsidP="007E4E81">
      <w:pPr>
        <w:pStyle w:val="a0"/>
        <w:rPr>
          <w:rtl/>
        </w:rPr>
      </w:pPr>
      <w:r>
        <w:rPr>
          <w:rFonts w:hint="cs"/>
          <w:rtl/>
        </w:rPr>
        <w:t xml:space="preserve">והקשה </w:t>
      </w:r>
      <w:r w:rsidRPr="009B7365">
        <w:rPr>
          <w:rStyle w:val="af9"/>
          <w:rFonts w:hint="cs"/>
          <w:rtl/>
        </w:rPr>
        <w:t>הקצוה"ח</w:t>
      </w:r>
      <w:r>
        <w:rPr>
          <w:rFonts w:hint="cs"/>
          <w:rtl/>
        </w:rPr>
        <w:t xml:space="preserve"> על ביאור </w:t>
      </w:r>
      <w:r w:rsidRPr="009B7365">
        <w:rPr>
          <w:rStyle w:val="af9"/>
          <w:rFonts w:hint="cs"/>
          <w:rtl/>
        </w:rPr>
        <w:t>התשב"ץ בראב"ד</w:t>
      </w:r>
      <w:r>
        <w:rPr>
          <w:rFonts w:hint="cs"/>
          <w:rtl/>
        </w:rPr>
        <w:t xml:space="preserve"> דאמאי ההוא גברא אינו נאמן בטענתו שהוא קרוב יותר, במיגו דלא היה מודה שרב אידי קרוב, והיאך ס"ל לאביי ורבא </w:t>
      </w:r>
      <w:r w:rsidRPr="00414ED4">
        <w:rPr>
          <w:rFonts w:hint="cs"/>
          <w:rtl/>
        </w:rPr>
        <w:t xml:space="preserve">דצריך להחזיר את הפירות שכבר אכל, וכתב </w:t>
      </w:r>
      <w:r w:rsidRPr="00414ED4">
        <w:rPr>
          <w:rStyle w:val="af9"/>
          <w:rFonts w:hint="cs"/>
          <w:rtl/>
        </w:rPr>
        <w:t>הקצוה"ח</w:t>
      </w:r>
      <w:r w:rsidRPr="00414ED4">
        <w:rPr>
          <w:rFonts w:hint="cs"/>
          <w:rtl/>
        </w:rPr>
        <w:t xml:space="preserve"> דהרי ביארו </w:t>
      </w:r>
      <w:r w:rsidRPr="00414ED4">
        <w:rPr>
          <w:rStyle w:val="af9"/>
          <w:rFonts w:hint="cs"/>
          <w:rtl/>
        </w:rPr>
        <w:t>התוס'</w:t>
      </w:r>
      <w:r w:rsidRPr="00414ED4">
        <w:rPr>
          <w:rFonts w:hint="cs"/>
          <w:rtl/>
        </w:rPr>
        <w:t xml:space="preserve"> </w:t>
      </w:r>
      <w:r w:rsidRPr="00414ED4">
        <w:rPr>
          <w:rStyle w:val="af7"/>
          <w:rFonts w:eastAsia="Guttman Hodes" w:hint="cs"/>
          <w:rtl/>
        </w:rPr>
        <w:t xml:space="preserve">(עי' אות </w:t>
      </w:r>
      <w:r w:rsidRPr="00414ED4">
        <w:rPr>
          <w:rStyle w:val="af7"/>
          <w:rFonts w:eastAsia="Guttman Hodes"/>
          <w:rtl/>
        </w:rPr>
        <w:fldChar w:fldCharType="begin"/>
      </w:r>
      <w:r w:rsidRPr="00414ED4">
        <w:rPr>
          <w:rStyle w:val="af7"/>
          <w:rFonts w:eastAsia="Guttman Hodes"/>
          <w:rtl/>
        </w:rPr>
        <w:instrText xml:space="preserve"> </w:instrText>
      </w:r>
      <w:r w:rsidRPr="00414ED4">
        <w:rPr>
          <w:rStyle w:val="af7"/>
          <w:rFonts w:eastAsia="Guttman Hodes" w:hint="cs"/>
        </w:rPr>
        <w:instrText>REF</w:instrText>
      </w:r>
      <w:r w:rsidRPr="00414ED4">
        <w:rPr>
          <w:rStyle w:val="af7"/>
          <w:rFonts w:eastAsia="Guttman Hodes" w:hint="cs"/>
          <w:rtl/>
        </w:rPr>
        <w:instrText xml:space="preserve"> _</w:instrText>
      </w:r>
      <w:r w:rsidRPr="00414ED4">
        <w:rPr>
          <w:rStyle w:val="af7"/>
          <w:rFonts w:eastAsia="Guttman Hodes" w:hint="cs"/>
        </w:rPr>
        <w:instrText>Ref64561541 \r \h</w:instrText>
      </w:r>
      <w:r w:rsidRPr="00414ED4">
        <w:rPr>
          <w:rStyle w:val="af7"/>
          <w:rFonts w:eastAsia="Guttman Hodes"/>
          <w:rtl/>
        </w:rPr>
        <w:instrText xml:space="preserve"> </w:instrText>
      </w:r>
      <w:r w:rsidRPr="00414ED4">
        <w:rPr>
          <w:rStyle w:val="af7"/>
          <w:rFonts w:eastAsia="Guttman Hodes"/>
          <w:rtl/>
        </w:rPr>
      </w:r>
      <w:r w:rsidRPr="00414ED4">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414ED4">
        <w:rPr>
          <w:rStyle w:val="af7"/>
          <w:rFonts w:eastAsia="Guttman Hodes"/>
          <w:rtl/>
        </w:rPr>
        <w:fldChar w:fldCharType="end"/>
      </w:r>
      <w:r w:rsidRPr="00414ED4">
        <w:rPr>
          <w:rFonts w:hint="cs"/>
          <w:rtl/>
        </w:rPr>
        <w:t xml:space="preserve"> </w:t>
      </w:r>
      <w:r w:rsidRPr="00414ED4">
        <w:rPr>
          <w:rStyle w:val="afb"/>
          <w:rFonts w:hint="cs"/>
          <w:rtl/>
        </w:rPr>
        <w:t>[</w:t>
      </w:r>
      <w:r>
        <w:rPr>
          <w:rStyle w:val="afb"/>
          <w:rFonts w:hint="cs"/>
          <w:rtl/>
        </w:rPr>
        <w:t>ב</w:t>
      </w:r>
      <w:r w:rsidRPr="00414ED4">
        <w:rPr>
          <w:rStyle w:val="afb"/>
          <w:rFonts w:hint="cs"/>
          <w:rtl/>
        </w:rPr>
        <w:t xml:space="preserve">גירסת </w:t>
      </w:r>
      <w:r w:rsidRPr="00414ED4">
        <w:rPr>
          <w:rStyle w:val="affa"/>
          <w:rFonts w:hint="cs"/>
          <w:rtl/>
        </w:rPr>
        <w:t>ר"ח</w:t>
      </w:r>
      <w:r w:rsidRPr="00414ED4">
        <w:rPr>
          <w:rStyle w:val="afb"/>
          <w:rFonts w:hint="cs"/>
          <w:rtl/>
        </w:rPr>
        <w:t xml:space="preserve"> </w:t>
      </w:r>
      <w:r w:rsidRPr="00414ED4">
        <w:rPr>
          <w:rStyle w:val="aff6"/>
          <w:rFonts w:hint="cs"/>
          <w:rtl/>
        </w:rPr>
        <w:t xml:space="preserve">(עי' אות </w:t>
      </w:r>
      <w:r w:rsidRPr="00414ED4">
        <w:rPr>
          <w:rStyle w:val="aff6"/>
          <w:rtl/>
        </w:rPr>
        <w:fldChar w:fldCharType="begin"/>
      </w:r>
      <w:r w:rsidRPr="00414ED4">
        <w:rPr>
          <w:rStyle w:val="aff6"/>
          <w:rtl/>
        </w:rPr>
        <w:instrText xml:space="preserve"> </w:instrText>
      </w:r>
      <w:r w:rsidRPr="00414ED4">
        <w:rPr>
          <w:rStyle w:val="aff6"/>
          <w:rFonts w:hint="cs"/>
        </w:rPr>
        <w:instrText>REF</w:instrText>
      </w:r>
      <w:r w:rsidRPr="00414ED4">
        <w:rPr>
          <w:rStyle w:val="aff6"/>
          <w:rFonts w:hint="cs"/>
          <w:rtl/>
        </w:rPr>
        <w:instrText xml:space="preserve"> _</w:instrText>
      </w:r>
      <w:r w:rsidRPr="00414ED4">
        <w:rPr>
          <w:rStyle w:val="aff6"/>
          <w:rFonts w:hint="cs"/>
        </w:rPr>
        <w:instrText>Ref64561356 \r \h</w:instrText>
      </w:r>
      <w:r w:rsidRPr="00414ED4">
        <w:rPr>
          <w:rStyle w:val="aff6"/>
          <w:rtl/>
        </w:rPr>
        <w:instrText xml:space="preserve"> </w:instrText>
      </w:r>
      <w:r w:rsidRPr="00414ED4">
        <w:rPr>
          <w:rStyle w:val="aff6"/>
          <w:rtl/>
        </w:rPr>
      </w:r>
      <w:r w:rsidRPr="00414ED4">
        <w:rPr>
          <w:rStyle w:val="aff6"/>
          <w:rtl/>
        </w:rPr>
        <w:fldChar w:fldCharType="separate"/>
      </w:r>
      <w:r w:rsidR="00265073">
        <w:rPr>
          <w:rStyle w:val="aff6"/>
          <w:cs/>
        </w:rPr>
        <w:t>‎</w:t>
      </w:r>
      <w:r w:rsidR="00265073">
        <w:rPr>
          <w:rStyle w:val="aff6"/>
          <w:rtl/>
        </w:rPr>
        <w:t>לח)</w:t>
      </w:r>
      <w:r w:rsidRPr="00414ED4">
        <w:rPr>
          <w:rStyle w:val="aff6"/>
          <w:rtl/>
        </w:rPr>
        <w:fldChar w:fldCharType="end"/>
      </w:r>
      <w:r w:rsidRPr="00414ED4">
        <w:rPr>
          <w:rStyle w:val="afb"/>
          <w:rFonts w:hint="cs"/>
          <w:rtl/>
        </w:rPr>
        <w:t xml:space="preserve">] </w:t>
      </w:r>
      <w:r w:rsidRPr="00414ED4">
        <w:rPr>
          <w:rFonts w:hint="cs"/>
          <w:rtl/>
        </w:rPr>
        <w:t>שבאו עדים שרב אידי קרוב, ולא העידו שהוא קרוב יותר מההוא גברא, הא דס"ל לאביי ורבא דצריך להחזיר את הפירות, הוא כיון שמוציאין את הקרקע מתח"י, וכיון</w:t>
      </w:r>
      <w:r>
        <w:rPr>
          <w:rFonts w:hint="cs"/>
          <w:rtl/>
        </w:rPr>
        <w:t xml:space="preserve"> שאינו נאמן על הקרקע במיגו, לכן אינו נאמן אף על הפירות, אבל לפי גירסת </w:t>
      </w:r>
      <w:r w:rsidRPr="00414ED4">
        <w:rPr>
          <w:rStyle w:val="af9"/>
          <w:rFonts w:hint="cs"/>
          <w:rtl/>
        </w:rPr>
        <w:t>הראב"ד</w:t>
      </w:r>
      <w:r>
        <w:rPr>
          <w:rFonts w:hint="cs"/>
          <w:rtl/>
        </w:rPr>
        <w:t xml:space="preserve"> שלא באו עדים, אלא ההוא גברא הודה שרב אידי קרוב, א"כ יש לו מיגו אף על הקרקע, דהיה יכול לטעון שהוא קרוב יותר.</w:t>
      </w:r>
    </w:p>
    <w:p w:rsidR="00103C1B" w:rsidRDefault="00103C1B" w:rsidP="00103C1B">
      <w:pPr>
        <w:pStyle w:val="a3"/>
        <w:rPr>
          <w:rtl/>
        </w:rPr>
      </w:pPr>
      <w:bookmarkStart w:id="15642" w:name="_Toc64588795"/>
      <w:bookmarkStart w:id="15643" w:name="_Toc64629386"/>
      <w:bookmarkStart w:id="15644" w:name="_Toc64642849"/>
      <w:r>
        <w:rPr>
          <w:rFonts w:hint="cs"/>
          <w:rtl/>
        </w:rPr>
        <w:t>ביאור הקצוה"ח בראב"ד דההוא גברא מסופק מי קרוב יותר ול"מ מיגו כשטוען טענת שמא</w:t>
      </w:r>
      <w:bookmarkEnd w:id="15642"/>
      <w:bookmarkEnd w:id="15643"/>
      <w:bookmarkEnd w:id="15644"/>
      <w:r>
        <w:rPr>
          <w:rFonts w:hint="cs"/>
          <w:rtl/>
        </w:rPr>
        <w:t xml:space="preserve"> </w:t>
      </w:r>
    </w:p>
    <w:p w:rsidR="00103C1B" w:rsidRDefault="00103C1B" w:rsidP="007E4E81">
      <w:pPr>
        <w:pStyle w:val="a0"/>
        <w:rPr>
          <w:rStyle w:val="afb"/>
          <w:rtl/>
        </w:rPr>
      </w:pPr>
      <w:bookmarkStart w:id="15645" w:name="_Ref64490523"/>
      <w:r>
        <w:rPr>
          <w:rFonts w:hint="cs"/>
          <w:rtl/>
        </w:rPr>
        <w:t xml:space="preserve">וכתב </w:t>
      </w:r>
      <w:r w:rsidRPr="009C60FB">
        <w:rPr>
          <w:rStyle w:val="af9"/>
          <w:rFonts w:hint="cs"/>
          <w:rtl/>
        </w:rPr>
        <w:t>הקצוה"ח</w:t>
      </w:r>
      <w:r>
        <w:rPr>
          <w:rFonts w:hint="cs"/>
          <w:rtl/>
        </w:rPr>
        <w:t xml:space="preserve"> דמוכח דס"</w:t>
      </w:r>
      <w:r w:rsidRPr="009C60FB">
        <w:rPr>
          <w:rStyle w:val="af9"/>
          <w:rFonts w:hint="cs"/>
          <w:rtl/>
        </w:rPr>
        <w:t>ל להראב"ד</w:t>
      </w:r>
      <w:r>
        <w:rPr>
          <w:rFonts w:hint="cs"/>
          <w:rtl/>
        </w:rPr>
        <w:t xml:space="preserve"> דההוא גברא הודה לרב אידי שהוא ודאי קרוב, אך אינו יודע אם הוא קרוב יותר ממנו או לא, ולכן כיון דהוא מודה לרב אידי, ואילו רב אידי לא הודה לו, העמיד רב חסדא את הדקל ביד רב אידי, ולאביי ורבא צריך להחזיר את הפירות, ואינו נאמן במיגו, כיון שהוא עצמו טוען טענת שמא, דאינו יודע אם הוא קרוב יותר מרב אידי, וציין </w:t>
      </w:r>
      <w:r w:rsidRPr="009C60FB">
        <w:rPr>
          <w:rStyle w:val="af9"/>
          <w:rFonts w:hint="cs"/>
          <w:rtl/>
        </w:rPr>
        <w:t>הקצוה"ח</w:t>
      </w:r>
      <w:r>
        <w:rPr>
          <w:rFonts w:hint="cs"/>
          <w:rtl/>
        </w:rPr>
        <w:t xml:space="preserve"> דכן ביאר </w:t>
      </w:r>
      <w:r w:rsidRPr="009C60FB">
        <w:rPr>
          <w:rStyle w:val="af9"/>
          <w:rFonts w:hint="cs"/>
          <w:rtl/>
        </w:rPr>
        <w:t>הרמב"ן</w:t>
      </w:r>
      <w:r>
        <w:rPr>
          <w:rFonts w:hint="cs"/>
          <w:rtl/>
        </w:rPr>
        <w:t xml:space="preserve"> </w:t>
      </w:r>
      <w:r w:rsidRPr="009C60FB">
        <w:rPr>
          <w:rStyle w:val="af7"/>
          <w:rFonts w:eastAsia="Guttman Hodes" w:hint="cs"/>
          <w:rtl/>
        </w:rPr>
        <w:t>(עי'</w:t>
      </w:r>
      <w:r>
        <w:rPr>
          <w:rFonts w:hint="cs"/>
          <w:rtl/>
        </w:rPr>
        <w:t xml:space="preserve"> </w:t>
      </w:r>
      <w:r w:rsidRPr="009C60FB">
        <w:rPr>
          <w:rStyle w:val="af7"/>
          <w:rFonts w:eastAsia="Guttman Hodes" w:hint="cs"/>
          <w:rtl/>
        </w:rPr>
        <w:t xml:space="preserve">אות </w:t>
      </w:r>
      <w:r w:rsidRPr="009C60FB">
        <w:rPr>
          <w:rStyle w:val="af7"/>
          <w:rFonts w:eastAsia="Guttman Hodes"/>
          <w:rtl/>
        </w:rPr>
        <w:fldChar w:fldCharType="begin"/>
      </w:r>
      <w:r w:rsidRPr="009C60FB">
        <w:rPr>
          <w:rStyle w:val="af7"/>
          <w:rFonts w:eastAsia="Guttman Hodes"/>
          <w:rtl/>
        </w:rPr>
        <w:instrText xml:space="preserve"> </w:instrText>
      </w:r>
      <w:r w:rsidRPr="009C60FB">
        <w:rPr>
          <w:rStyle w:val="af7"/>
          <w:rFonts w:eastAsia="Guttman Hodes" w:hint="cs"/>
        </w:rPr>
        <w:instrText>REF</w:instrText>
      </w:r>
      <w:r w:rsidRPr="009C60FB">
        <w:rPr>
          <w:rStyle w:val="af7"/>
          <w:rFonts w:eastAsia="Guttman Hodes" w:hint="cs"/>
          <w:rtl/>
        </w:rPr>
        <w:instrText xml:space="preserve"> _</w:instrText>
      </w:r>
      <w:r w:rsidRPr="009C60FB">
        <w:rPr>
          <w:rStyle w:val="af7"/>
          <w:rFonts w:eastAsia="Guttman Hodes" w:hint="cs"/>
        </w:rPr>
        <w:instrText>Ref64476038 \r \h</w:instrText>
      </w:r>
      <w:r w:rsidRPr="009C60FB">
        <w:rPr>
          <w:rStyle w:val="af7"/>
          <w:rFonts w:eastAsia="Guttman Hodes"/>
          <w:rtl/>
        </w:rPr>
        <w:instrText xml:space="preserve"> </w:instrText>
      </w:r>
      <w:r w:rsidRPr="009C60FB">
        <w:rPr>
          <w:rStyle w:val="af7"/>
          <w:rFonts w:eastAsia="Guttman Hodes"/>
          <w:rtl/>
        </w:rPr>
      </w:r>
      <w:r w:rsidRPr="009C60FB">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9C60FB">
        <w:rPr>
          <w:rStyle w:val="af7"/>
          <w:rFonts w:eastAsia="Guttman Hodes"/>
          <w:rtl/>
        </w:rPr>
        <w:fldChar w:fldCharType="end"/>
      </w:r>
      <w:r>
        <w:rPr>
          <w:rFonts w:hint="cs"/>
          <w:rtl/>
        </w:rPr>
        <w:t xml:space="preserve">. </w:t>
      </w:r>
      <w:r w:rsidRPr="009C60FB">
        <w:rPr>
          <w:rStyle w:val="afb"/>
          <w:rFonts w:hint="cs"/>
          <w:rtl/>
        </w:rPr>
        <w:t>[אך הרמב"ן גרס דבאו עדים, ולא כראב"ד דההוא גברא הודה].</w:t>
      </w:r>
      <w:bookmarkEnd w:id="15645"/>
    </w:p>
    <w:p w:rsidR="00103C1B" w:rsidRPr="00D8304A" w:rsidRDefault="00103C1B" w:rsidP="00103C1B">
      <w:pPr>
        <w:pStyle w:val="afe"/>
        <w:rPr>
          <w:rtl/>
        </w:rPr>
      </w:pPr>
      <w:bookmarkStart w:id="15646" w:name="_Toc64588796"/>
      <w:bookmarkStart w:id="15647" w:name="_Toc64629387"/>
      <w:bookmarkStart w:id="15648" w:name="_Toc64642850"/>
      <w:r>
        <w:rPr>
          <w:rFonts w:hint="cs"/>
          <w:rtl/>
        </w:rPr>
        <w:t>דברי הריטב"א דמוכח דגרסינן "טפי"</w:t>
      </w:r>
      <w:bookmarkEnd w:id="15646"/>
      <w:bookmarkEnd w:id="15647"/>
      <w:bookmarkEnd w:id="15648"/>
    </w:p>
    <w:p w:rsidR="00103C1B" w:rsidRDefault="00103C1B" w:rsidP="00103C1B">
      <w:pPr>
        <w:pStyle w:val="1"/>
        <w:rPr>
          <w:rtl/>
        </w:rPr>
      </w:pPr>
      <w:bookmarkStart w:id="15649" w:name="_Toc64407326"/>
      <w:bookmarkStart w:id="15650" w:name="_Toc64454562"/>
      <w:bookmarkStart w:id="15651" w:name="_Toc64458653"/>
      <w:bookmarkStart w:id="15652" w:name="_Toc64549020"/>
      <w:bookmarkStart w:id="15653" w:name="_Toc64576194"/>
      <w:bookmarkStart w:id="15654" w:name="_Toc64588797"/>
      <w:bookmarkStart w:id="15655" w:name="_Toc64629388"/>
      <w:bookmarkStart w:id="15656" w:name="_Toc64642851"/>
      <w:bookmarkStart w:id="15657" w:name="_Toc64454549"/>
      <w:bookmarkStart w:id="15658" w:name="_Toc64458640"/>
      <w:r>
        <w:rPr>
          <w:rFonts w:hint="cs"/>
          <w:rtl/>
        </w:rPr>
        <w:t xml:space="preserve">ביאור הריטב"א </w:t>
      </w:r>
      <w:bookmarkEnd w:id="15649"/>
      <w:bookmarkEnd w:id="15650"/>
      <w:bookmarkEnd w:id="15651"/>
      <w:bookmarkEnd w:id="15652"/>
      <w:r>
        <w:rPr>
          <w:rFonts w:hint="cs"/>
          <w:rtl/>
        </w:rPr>
        <w:t>דלגי' שהודה צריך לגרוס שהודה דקרוב "טפי"</w:t>
      </w:r>
      <w:bookmarkEnd w:id="15653"/>
      <w:bookmarkEnd w:id="15654"/>
      <w:bookmarkEnd w:id="15655"/>
      <w:bookmarkEnd w:id="15656"/>
    </w:p>
    <w:p w:rsidR="00103C1B" w:rsidRPr="001E09BA" w:rsidRDefault="00103C1B" w:rsidP="00103C1B">
      <w:pPr>
        <w:pStyle w:val="a3"/>
        <w:rPr>
          <w:rtl/>
        </w:rPr>
      </w:pPr>
      <w:bookmarkStart w:id="15659" w:name="_Toc64588798"/>
      <w:bookmarkStart w:id="15660" w:name="_Toc64629389"/>
      <w:bookmarkStart w:id="15661" w:name="_Toc64642852"/>
      <w:r>
        <w:rPr>
          <w:rFonts w:hint="cs"/>
          <w:rtl/>
        </w:rPr>
        <w:t>קושית הריטב"א דאי לא הודה שר"א קרוב יותר א"כ נאמן בהפה שאסר ויחלוקו או יטול רביע</w:t>
      </w:r>
      <w:bookmarkEnd w:id="15659"/>
      <w:bookmarkEnd w:id="15660"/>
      <w:bookmarkEnd w:id="15661"/>
    </w:p>
    <w:p w:rsidR="00103C1B" w:rsidRDefault="00103C1B" w:rsidP="007E4E81">
      <w:pPr>
        <w:pStyle w:val="a0"/>
        <w:rPr>
          <w:rtl/>
        </w:rPr>
      </w:pPr>
      <w:bookmarkStart w:id="15662" w:name="_Ref64561097"/>
      <w:r>
        <w:rPr>
          <w:rFonts w:hint="cs"/>
          <w:rtl/>
        </w:rPr>
        <w:t xml:space="preserve">כתב </w:t>
      </w:r>
      <w:r w:rsidRPr="001206C1">
        <w:rPr>
          <w:rStyle w:val="af9"/>
          <w:rFonts w:hint="cs"/>
          <w:rtl/>
        </w:rPr>
        <w:t>הריטב"א</w:t>
      </w:r>
      <w:r>
        <w:rPr>
          <w:rFonts w:hint="cs"/>
          <w:rtl/>
        </w:rPr>
        <w:t xml:space="preserve"> </w:t>
      </w:r>
      <w:r w:rsidRPr="00450D69">
        <w:rPr>
          <w:rStyle w:val="af7"/>
          <w:rFonts w:eastAsia="Guttman Hodes" w:hint="cs"/>
          <w:rtl/>
        </w:rPr>
        <w:t>(ד"ה גירסת)</w:t>
      </w:r>
      <w:r>
        <w:rPr>
          <w:rFonts w:hint="cs"/>
          <w:rtl/>
        </w:rPr>
        <w:t xml:space="preserve"> דלפי הגירסא </w:t>
      </w:r>
      <w:r w:rsidRPr="00C16594">
        <w:rPr>
          <w:rStyle w:val="afb"/>
          <w:rFonts w:hint="cs"/>
          <w:rtl/>
        </w:rPr>
        <w:t xml:space="preserve">[עי' </w:t>
      </w:r>
      <w:r w:rsidRPr="00C16594">
        <w:rPr>
          <w:rStyle w:val="affa"/>
          <w:rFonts w:hint="cs"/>
          <w:rtl/>
        </w:rPr>
        <w:t xml:space="preserve">ברשב"ם </w:t>
      </w:r>
      <w:r w:rsidRPr="00C16594">
        <w:rPr>
          <w:rStyle w:val="aff6"/>
          <w:rFonts w:hint="cs"/>
          <w:rtl/>
        </w:rPr>
        <w:t xml:space="preserve">(עי' אות </w:t>
      </w:r>
      <w:r w:rsidRPr="00C16594">
        <w:rPr>
          <w:rStyle w:val="aff6"/>
          <w:rtl/>
        </w:rPr>
        <w:fldChar w:fldCharType="begin"/>
      </w:r>
      <w:r w:rsidRPr="00C16594">
        <w:rPr>
          <w:rStyle w:val="aff6"/>
          <w:rtl/>
        </w:rPr>
        <w:instrText xml:space="preserve"> </w:instrText>
      </w:r>
      <w:r w:rsidRPr="00C16594">
        <w:rPr>
          <w:rStyle w:val="aff6"/>
          <w:rFonts w:hint="cs"/>
        </w:rPr>
        <w:instrText>REF</w:instrText>
      </w:r>
      <w:r w:rsidRPr="00C16594">
        <w:rPr>
          <w:rStyle w:val="aff6"/>
          <w:rFonts w:hint="cs"/>
          <w:rtl/>
        </w:rPr>
        <w:instrText xml:space="preserve"> _</w:instrText>
      </w:r>
      <w:r w:rsidRPr="00C16594">
        <w:rPr>
          <w:rStyle w:val="aff6"/>
          <w:rFonts w:hint="cs"/>
        </w:rPr>
        <w:instrText>Ref64451602 \r \h</w:instrText>
      </w:r>
      <w:r w:rsidRPr="00C16594">
        <w:rPr>
          <w:rStyle w:val="aff6"/>
          <w:rtl/>
        </w:rPr>
        <w:instrText xml:space="preserve"> </w:instrText>
      </w:r>
      <w:r w:rsidRPr="00C16594">
        <w:rPr>
          <w:rStyle w:val="aff6"/>
          <w:rtl/>
        </w:rPr>
      </w:r>
      <w:r w:rsidRPr="00C16594">
        <w:rPr>
          <w:rStyle w:val="aff6"/>
          <w:rtl/>
        </w:rPr>
        <w:fldChar w:fldCharType="separate"/>
      </w:r>
      <w:r w:rsidR="00265073">
        <w:rPr>
          <w:rStyle w:val="aff6"/>
          <w:cs/>
        </w:rPr>
        <w:t>‎</w:t>
      </w:r>
      <w:r w:rsidR="00265073">
        <w:rPr>
          <w:rStyle w:val="aff6"/>
          <w:rtl/>
        </w:rPr>
        <w:t>ב)</w:t>
      </w:r>
      <w:r w:rsidRPr="00C16594">
        <w:rPr>
          <w:rStyle w:val="aff6"/>
          <w:rtl/>
        </w:rPr>
        <w:fldChar w:fldCharType="end"/>
      </w:r>
      <w:r>
        <w:rPr>
          <w:rStyle w:val="afb"/>
          <w:rFonts w:hint="cs"/>
          <w:rtl/>
        </w:rPr>
        <w:t xml:space="preserve"> </w:t>
      </w:r>
      <w:r w:rsidRPr="00C16594">
        <w:rPr>
          <w:rStyle w:val="affa"/>
          <w:rFonts w:hint="cs"/>
          <w:rtl/>
        </w:rPr>
        <w:t>ובתוס'</w:t>
      </w:r>
      <w:r w:rsidRPr="00C16594">
        <w:rPr>
          <w:rStyle w:val="afb"/>
          <w:rFonts w:hint="cs"/>
          <w:rtl/>
        </w:rPr>
        <w:t xml:space="preserve"> </w:t>
      </w:r>
      <w:r w:rsidRPr="00C16594">
        <w:rPr>
          <w:rStyle w:val="aff6"/>
          <w:rFonts w:hint="cs"/>
          <w:rtl/>
        </w:rPr>
        <w:t xml:space="preserve">(עי' אות </w:t>
      </w:r>
      <w:r w:rsidRPr="00C16594">
        <w:rPr>
          <w:rStyle w:val="aff6"/>
          <w:rtl/>
        </w:rPr>
        <w:fldChar w:fldCharType="begin"/>
      </w:r>
      <w:r w:rsidRPr="00C16594">
        <w:rPr>
          <w:rStyle w:val="aff6"/>
          <w:rtl/>
        </w:rPr>
        <w:instrText xml:space="preserve"> </w:instrText>
      </w:r>
      <w:r w:rsidRPr="00C16594">
        <w:rPr>
          <w:rStyle w:val="aff6"/>
          <w:rFonts w:hint="cs"/>
        </w:rPr>
        <w:instrText>REF</w:instrText>
      </w:r>
      <w:r w:rsidRPr="00C16594">
        <w:rPr>
          <w:rStyle w:val="aff6"/>
          <w:rFonts w:hint="cs"/>
          <w:rtl/>
        </w:rPr>
        <w:instrText xml:space="preserve"> _</w:instrText>
      </w:r>
      <w:r w:rsidRPr="00C16594">
        <w:rPr>
          <w:rStyle w:val="aff6"/>
          <w:rFonts w:hint="cs"/>
        </w:rPr>
        <w:instrText>Ref64454618 \r \h</w:instrText>
      </w:r>
      <w:r w:rsidRPr="00C16594">
        <w:rPr>
          <w:rStyle w:val="aff6"/>
          <w:rtl/>
        </w:rPr>
        <w:instrText xml:space="preserve"> </w:instrText>
      </w:r>
      <w:r w:rsidRPr="00C16594">
        <w:rPr>
          <w:rStyle w:val="aff6"/>
          <w:rtl/>
        </w:rPr>
      </w:r>
      <w:r w:rsidRPr="00C16594">
        <w:rPr>
          <w:rStyle w:val="aff6"/>
          <w:rtl/>
        </w:rPr>
        <w:fldChar w:fldCharType="separate"/>
      </w:r>
      <w:r w:rsidR="00265073">
        <w:rPr>
          <w:rStyle w:val="aff6"/>
          <w:cs/>
        </w:rPr>
        <w:t>‎</w:t>
      </w:r>
      <w:r w:rsidR="00265073">
        <w:rPr>
          <w:rStyle w:val="aff6"/>
          <w:rtl/>
        </w:rPr>
        <w:t>יט)</w:t>
      </w:r>
      <w:r w:rsidRPr="00C16594">
        <w:rPr>
          <w:rStyle w:val="aff6"/>
          <w:rtl/>
        </w:rPr>
        <w:fldChar w:fldCharType="end"/>
      </w:r>
      <w:r w:rsidRPr="00C16594">
        <w:rPr>
          <w:rStyle w:val="afb"/>
          <w:rFonts w:hint="cs"/>
          <w:rtl/>
        </w:rPr>
        <w:t xml:space="preserve">] </w:t>
      </w:r>
      <w:r>
        <w:rPr>
          <w:rFonts w:hint="cs"/>
          <w:rtl/>
        </w:rPr>
        <w:t xml:space="preserve">דלבסוף הודה ההוא גברא שרב אידי קרוב, צריך לגרוס דהודה שהוא קרוב יותר, </w:t>
      </w:r>
      <w:r w:rsidRPr="00C16594">
        <w:rPr>
          <w:rStyle w:val="afb"/>
          <w:rFonts w:hint="cs"/>
          <w:rtl/>
        </w:rPr>
        <w:t>[</w:t>
      </w:r>
      <w:r>
        <w:rPr>
          <w:rStyle w:val="afb"/>
          <w:rFonts w:hint="cs"/>
          <w:rtl/>
        </w:rPr>
        <w:t>וכדביאר</w:t>
      </w:r>
      <w:r w:rsidRPr="00C16594">
        <w:rPr>
          <w:rStyle w:val="afb"/>
          <w:rFonts w:hint="cs"/>
          <w:rtl/>
        </w:rPr>
        <w:t xml:space="preserve"> </w:t>
      </w:r>
      <w:r>
        <w:rPr>
          <w:rStyle w:val="affa"/>
          <w:rFonts w:hint="cs"/>
          <w:rtl/>
        </w:rPr>
        <w:t>ה</w:t>
      </w:r>
      <w:r w:rsidRPr="00C16594">
        <w:rPr>
          <w:rStyle w:val="affa"/>
          <w:rFonts w:hint="cs"/>
          <w:rtl/>
        </w:rPr>
        <w:t xml:space="preserve">רשב"ם </w:t>
      </w:r>
      <w:r w:rsidRPr="00C16594">
        <w:rPr>
          <w:rStyle w:val="aff6"/>
          <w:rFonts w:hint="cs"/>
          <w:rtl/>
        </w:rPr>
        <w:t xml:space="preserve">(עי' אות </w:t>
      </w:r>
      <w:r w:rsidRPr="00C16594">
        <w:rPr>
          <w:rStyle w:val="aff6"/>
          <w:rtl/>
        </w:rPr>
        <w:fldChar w:fldCharType="begin"/>
      </w:r>
      <w:r w:rsidRPr="00C16594">
        <w:rPr>
          <w:rStyle w:val="aff6"/>
          <w:rtl/>
        </w:rPr>
        <w:instrText xml:space="preserve"> </w:instrText>
      </w:r>
      <w:r w:rsidRPr="00C16594">
        <w:rPr>
          <w:rStyle w:val="aff6"/>
          <w:rFonts w:hint="cs"/>
        </w:rPr>
        <w:instrText>REF</w:instrText>
      </w:r>
      <w:r w:rsidRPr="00C16594">
        <w:rPr>
          <w:rStyle w:val="aff6"/>
          <w:rFonts w:hint="cs"/>
          <w:rtl/>
        </w:rPr>
        <w:instrText xml:space="preserve"> _</w:instrText>
      </w:r>
      <w:r w:rsidRPr="00C16594">
        <w:rPr>
          <w:rStyle w:val="aff6"/>
          <w:rFonts w:hint="cs"/>
        </w:rPr>
        <w:instrText>Ref64451602 \r \h</w:instrText>
      </w:r>
      <w:r w:rsidRPr="00C16594">
        <w:rPr>
          <w:rStyle w:val="aff6"/>
          <w:rtl/>
        </w:rPr>
        <w:instrText xml:space="preserve"> </w:instrText>
      </w:r>
      <w:r w:rsidRPr="00C16594">
        <w:rPr>
          <w:rStyle w:val="aff6"/>
          <w:rtl/>
        </w:rPr>
      </w:r>
      <w:r w:rsidRPr="00C16594">
        <w:rPr>
          <w:rStyle w:val="aff6"/>
          <w:rtl/>
        </w:rPr>
        <w:fldChar w:fldCharType="separate"/>
      </w:r>
      <w:r w:rsidR="00265073">
        <w:rPr>
          <w:rStyle w:val="aff6"/>
          <w:cs/>
        </w:rPr>
        <w:t>‎</w:t>
      </w:r>
      <w:r w:rsidR="00265073">
        <w:rPr>
          <w:rStyle w:val="aff6"/>
          <w:rtl/>
        </w:rPr>
        <w:t>ב)</w:t>
      </w:r>
      <w:r w:rsidRPr="00C16594">
        <w:rPr>
          <w:rStyle w:val="aff6"/>
          <w:rtl/>
        </w:rPr>
        <w:fldChar w:fldCharType="end"/>
      </w:r>
      <w:r>
        <w:rPr>
          <w:rStyle w:val="afb"/>
          <w:rFonts w:hint="cs"/>
          <w:rtl/>
        </w:rPr>
        <w:t xml:space="preserve"> </w:t>
      </w:r>
      <w:r w:rsidRPr="00C16594">
        <w:rPr>
          <w:rStyle w:val="afb"/>
          <w:rFonts w:hint="cs"/>
          <w:rtl/>
        </w:rPr>
        <w:t>ודלא כביאור</w:t>
      </w:r>
      <w:r>
        <w:rPr>
          <w:rStyle w:val="affa"/>
          <w:rFonts w:hint="cs"/>
          <w:rtl/>
        </w:rPr>
        <w:t xml:space="preserve"> ה</w:t>
      </w:r>
      <w:r w:rsidRPr="00C16594">
        <w:rPr>
          <w:rStyle w:val="affa"/>
          <w:rFonts w:hint="cs"/>
          <w:rtl/>
        </w:rPr>
        <w:t>תוס'</w:t>
      </w:r>
      <w:r w:rsidRPr="00C16594">
        <w:rPr>
          <w:rStyle w:val="afb"/>
          <w:rFonts w:hint="cs"/>
          <w:rtl/>
        </w:rPr>
        <w:t xml:space="preserve"> </w:t>
      </w:r>
      <w:r w:rsidRPr="00C16594">
        <w:rPr>
          <w:rStyle w:val="aff6"/>
          <w:rFonts w:hint="cs"/>
          <w:rtl/>
        </w:rPr>
        <w:t xml:space="preserve">(עי' אות </w:t>
      </w:r>
      <w:r w:rsidRPr="00C16594">
        <w:rPr>
          <w:rStyle w:val="aff6"/>
          <w:rtl/>
        </w:rPr>
        <w:fldChar w:fldCharType="begin"/>
      </w:r>
      <w:r w:rsidRPr="00C16594">
        <w:rPr>
          <w:rStyle w:val="aff6"/>
          <w:rtl/>
        </w:rPr>
        <w:instrText xml:space="preserve"> </w:instrText>
      </w:r>
      <w:r w:rsidRPr="00C16594">
        <w:rPr>
          <w:rStyle w:val="aff6"/>
          <w:rFonts w:hint="cs"/>
        </w:rPr>
        <w:instrText>REF</w:instrText>
      </w:r>
      <w:r w:rsidRPr="00C16594">
        <w:rPr>
          <w:rStyle w:val="aff6"/>
          <w:rFonts w:hint="cs"/>
          <w:rtl/>
        </w:rPr>
        <w:instrText xml:space="preserve"> _</w:instrText>
      </w:r>
      <w:r w:rsidRPr="00C16594">
        <w:rPr>
          <w:rStyle w:val="aff6"/>
          <w:rFonts w:hint="cs"/>
        </w:rPr>
        <w:instrText>Ref64454618 \r \h</w:instrText>
      </w:r>
      <w:r w:rsidRPr="00C16594">
        <w:rPr>
          <w:rStyle w:val="aff6"/>
          <w:rtl/>
        </w:rPr>
        <w:instrText xml:space="preserve"> </w:instrText>
      </w:r>
      <w:r w:rsidRPr="00C16594">
        <w:rPr>
          <w:rStyle w:val="aff6"/>
          <w:rtl/>
        </w:rPr>
      </w:r>
      <w:r w:rsidRPr="00C16594">
        <w:rPr>
          <w:rStyle w:val="aff6"/>
          <w:rtl/>
        </w:rPr>
        <w:fldChar w:fldCharType="separate"/>
      </w:r>
      <w:r w:rsidR="00265073">
        <w:rPr>
          <w:rStyle w:val="aff6"/>
          <w:cs/>
        </w:rPr>
        <w:t>‎</w:t>
      </w:r>
      <w:r w:rsidR="00265073">
        <w:rPr>
          <w:rStyle w:val="aff6"/>
          <w:rtl/>
        </w:rPr>
        <w:t>יט)</w:t>
      </w:r>
      <w:r w:rsidRPr="00C16594">
        <w:rPr>
          <w:rStyle w:val="aff6"/>
          <w:rtl/>
        </w:rPr>
        <w:fldChar w:fldCharType="end"/>
      </w:r>
      <w:r w:rsidRPr="00C16594">
        <w:rPr>
          <w:rStyle w:val="afb"/>
          <w:rFonts w:hint="cs"/>
          <w:rtl/>
        </w:rPr>
        <w:t>]</w:t>
      </w:r>
      <w:r>
        <w:rPr>
          <w:rStyle w:val="afb"/>
          <w:rFonts w:hint="cs"/>
          <w:rtl/>
        </w:rPr>
        <w:t xml:space="preserve">, </w:t>
      </w:r>
      <w:r>
        <w:rPr>
          <w:rFonts w:hint="cs"/>
          <w:rtl/>
        </w:rPr>
        <w:t xml:space="preserve">דהא אי לא הודה שרב אידי קרוב יותר ממנו, אלא ששניהם קרובים בשווה, א"כ הוא נאמן מדין הפה שאסר ויחלוקו, או שרב אידי יטול </w:t>
      </w:r>
      <w:r>
        <w:rPr>
          <w:rFonts w:hint="cs"/>
          <w:rtl/>
        </w:rPr>
        <w:lastRenderedPageBreak/>
        <w:t xml:space="preserve">ג' חלקים וההוא גברא יטול רבע, כמו בשנים אוחזין בטלית בב"מ </w:t>
      </w:r>
      <w:r w:rsidRPr="00012F25">
        <w:rPr>
          <w:rStyle w:val="af7"/>
          <w:rFonts w:eastAsia="Guttman Hodes" w:hint="cs"/>
          <w:rtl/>
        </w:rPr>
        <w:t>(ב.)</w:t>
      </w:r>
      <w:r>
        <w:rPr>
          <w:rFonts w:hint="cs"/>
          <w:rtl/>
        </w:rPr>
        <w:t xml:space="preserve"> בזה אומר כולה שלי, וזה אומר חציה שלי. </w:t>
      </w:r>
      <w:r>
        <w:rPr>
          <w:rStyle w:val="afb"/>
          <w:rFonts w:hint="cs"/>
          <w:rtl/>
        </w:rPr>
        <w:t xml:space="preserve">[וכעי"ז </w:t>
      </w:r>
      <w:r w:rsidRPr="00012F25">
        <w:rPr>
          <w:rStyle w:val="afb"/>
          <w:rFonts w:hint="cs"/>
          <w:rtl/>
        </w:rPr>
        <w:t xml:space="preserve">הקשה </w:t>
      </w:r>
      <w:r w:rsidRPr="00012F25">
        <w:rPr>
          <w:rStyle w:val="affa"/>
          <w:rFonts w:hint="cs"/>
          <w:rtl/>
        </w:rPr>
        <w:t>הרשב"א</w:t>
      </w:r>
      <w:r w:rsidRPr="00012F25">
        <w:rPr>
          <w:rStyle w:val="afb"/>
          <w:rFonts w:hint="cs"/>
          <w:rtl/>
        </w:rPr>
        <w:t xml:space="preserve"> </w:t>
      </w:r>
      <w:r w:rsidRPr="00A95847">
        <w:rPr>
          <w:rStyle w:val="aff6"/>
          <w:rFonts w:hint="cs"/>
          <w:rtl/>
        </w:rPr>
        <w:t xml:space="preserve">(עי' אות </w:t>
      </w:r>
      <w:r w:rsidRPr="00A95847">
        <w:rPr>
          <w:rStyle w:val="aff6"/>
          <w:rtl/>
        </w:rPr>
        <w:fldChar w:fldCharType="begin"/>
      </w:r>
      <w:r w:rsidRPr="00A95847">
        <w:rPr>
          <w:rStyle w:val="aff6"/>
          <w:rtl/>
        </w:rPr>
        <w:instrText xml:space="preserve"> </w:instrText>
      </w:r>
      <w:r w:rsidRPr="00A95847">
        <w:rPr>
          <w:rStyle w:val="aff6"/>
          <w:rFonts w:hint="cs"/>
        </w:rPr>
        <w:instrText>REF</w:instrText>
      </w:r>
      <w:r w:rsidRPr="00A95847">
        <w:rPr>
          <w:rStyle w:val="aff6"/>
          <w:rFonts w:hint="cs"/>
          <w:rtl/>
        </w:rPr>
        <w:instrText xml:space="preserve"> _</w:instrText>
      </w:r>
      <w:r w:rsidRPr="00A95847">
        <w:rPr>
          <w:rStyle w:val="aff6"/>
          <w:rFonts w:hint="cs"/>
        </w:rPr>
        <w:instrText>Ref64578680 \r \h</w:instrText>
      </w:r>
      <w:r w:rsidRPr="00A95847">
        <w:rPr>
          <w:rStyle w:val="aff6"/>
          <w:rtl/>
        </w:rPr>
        <w:instrText xml:space="preserve"> </w:instrText>
      </w:r>
      <w:r w:rsidRPr="00A95847">
        <w:rPr>
          <w:rStyle w:val="aff6"/>
          <w:rtl/>
        </w:rPr>
      </w:r>
      <w:r w:rsidRPr="00A95847">
        <w:rPr>
          <w:rStyle w:val="aff6"/>
          <w:rtl/>
        </w:rPr>
        <w:fldChar w:fldCharType="separate"/>
      </w:r>
      <w:r w:rsidR="00265073">
        <w:rPr>
          <w:rStyle w:val="aff6"/>
          <w:cs/>
        </w:rPr>
        <w:t>‎</w:t>
      </w:r>
      <w:r w:rsidR="00265073">
        <w:rPr>
          <w:rStyle w:val="aff6"/>
          <w:rtl/>
        </w:rPr>
        <w:t>טז)</w:t>
      </w:r>
      <w:r w:rsidRPr="00A95847">
        <w:rPr>
          <w:rStyle w:val="aff6"/>
          <w:rtl/>
        </w:rPr>
        <w:fldChar w:fldCharType="end"/>
      </w:r>
      <w:r w:rsidRPr="00A95847">
        <w:rPr>
          <w:rStyle w:val="aff6"/>
          <w:rFonts w:hint="cs"/>
          <w:rtl/>
        </w:rPr>
        <w:t xml:space="preserve"> </w:t>
      </w:r>
      <w:r w:rsidRPr="00012F25">
        <w:rPr>
          <w:rStyle w:val="afb"/>
          <w:rFonts w:hint="cs"/>
          <w:rtl/>
        </w:rPr>
        <w:t xml:space="preserve">על </w:t>
      </w:r>
      <w:r w:rsidRPr="00012F25">
        <w:rPr>
          <w:rStyle w:val="affa"/>
          <w:rFonts w:hint="cs"/>
          <w:rtl/>
        </w:rPr>
        <w:t>הרשב"ם</w:t>
      </w:r>
      <w:r>
        <w:rPr>
          <w:rStyle w:val="afb"/>
          <w:rFonts w:hint="cs"/>
          <w:rtl/>
        </w:rPr>
        <w:t xml:space="preserve"> דאמאי אינו נאמן מדין הפה שאסר, ועי' במה ש</w:t>
      </w:r>
      <w:r w:rsidRPr="00012F25">
        <w:rPr>
          <w:rStyle w:val="afb"/>
          <w:rFonts w:hint="cs"/>
          <w:rtl/>
        </w:rPr>
        <w:t xml:space="preserve">הקשה </w:t>
      </w:r>
      <w:r w:rsidRPr="00012F25">
        <w:rPr>
          <w:rStyle w:val="affa"/>
          <w:rFonts w:hint="cs"/>
          <w:rtl/>
        </w:rPr>
        <w:t>הרשב"א</w:t>
      </w:r>
      <w:r w:rsidRPr="00012F25">
        <w:rPr>
          <w:rStyle w:val="afb"/>
          <w:rFonts w:hint="cs"/>
          <w:rtl/>
        </w:rPr>
        <w:t xml:space="preserve"> </w:t>
      </w:r>
      <w:r w:rsidRPr="00A05F17">
        <w:rPr>
          <w:rStyle w:val="aff6"/>
          <w:rFonts w:hint="cs"/>
          <w:rtl/>
        </w:rPr>
        <w:t xml:space="preserve">(עי' אות </w:t>
      </w:r>
      <w:r w:rsidRPr="00A05F17">
        <w:rPr>
          <w:rStyle w:val="aff6"/>
          <w:rtl/>
        </w:rPr>
        <w:fldChar w:fldCharType="begin"/>
      </w:r>
      <w:r w:rsidRPr="00A05F17">
        <w:rPr>
          <w:rStyle w:val="aff6"/>
          <w:rtl/>
        </w:rPr>
        <w:instrText xml:space="preserve"> </w:instrText>
      </w:r>
      <w:r w:rsidRPr="00A05F17">
        <w:rPr>
          <w:rStyle w:val="aff6"/>
          <w:rFonts w:hint="cs"/>
        </w:rPr>
        <w:instrText>REF</w:instrText>
      </w:r>
      <w:r w:rsidRPr="00A05F17">
        <w:rPr>
          <w:rStyle w:val="aff6"/>
          <w:rFonts w:hint="cs"/>
          <w:rtl/>
        </w:rPr>
        <w:instrText xml:space="preserve"> _</w:instrText>
      </w:r>
      <w:r w:rsidRPr="00A05F17">
        <w:rPr>
          <w:rStyle w:val="aff6"/>
          <w:rFonts w:hint="cs"/>
        </w:rPr>
        <w:instrText>Ref64561763 \r \h</w:instrText>
      </w:r>
      <w:r w:rsidRPr="00A05F17">
        <w:rPr>
          <w:rStyle w:val="aff6"/>
          <w:rtl/>
        </w:rPr>
        <w:instrText xml:space="preserve"> </w:instrText>
      </w:r>
      <w:r w:rsidRPr="00A05F17">
        <w:rPr>
          <w:rStyle w:val="aff6"/>
          <w:rtl/>
        </w:rPr>
      </w:r>
      <w:r w:rsidRPr="00A05F17">
        <w:rPr>
          <w:rStyle w:val="aff6"/>
          <w:rtl/>
        </w:rPr>
        <w:fldChar w:fldCharType="separate"/>
      </w:r>
      <w:r w:rsidR="00265073">
        <w:rPr>
          <w:rStyle w:val="aff6"/>
          <w:cs/>
        </w:rPr>
        <w:t>‎</w:t>
      </w:r>
      <w:r w:rsidR="00265073">
        <w:rPr>
          <w:rStyle w:val="aff6"/>
          <w:rtl/>
        </w:rPr>
        <w:t>מו)</w:t>
      </w:r>
      <w:r w:rsidRPr="00A05F17">
        <w:rPr>
          <w:rStyle w:val="aff6"/>
          <w:rtl/>
        </w:rPr>
        <w:fldChar w:fldCharType="end"/>
      </w:r>
      <w:r w:rsidRPr="00012F25">
        <w:rPr>
          <w:rStyle w:val="afb"/>
          <w:rFonts w:hint="cs"/>
          <w:rtl/>
        </w:rPr>
        <w:t xml:space="preserve"> על </w:t>
      </w:r>
      <w:r>
        <w:rPr>
          <w:rStyle w:val="affa"/>
          <w:rFonts w:hint="cs"/>
          <w:rtl/>
        </w:rPr>
        <w:t>ר"ח</w:t>
      </w:r>
      <w:r>
        <w:rPr>
          <w:rStyle w:val="afb"/>
          <w:rFonts w:hint="cs"/>
          <w:rtl/>
        </w:rPr>
        <w:t xml:space="preserve"> מדין שנים אוחזין</w:t>
      </w:r>
      <w:r w:rsidRPr="00012F25">
        <w:rPr>
          <w:rStyle w:val="afb"/>
          <w:rFonts w:hint="cs"/>
          <w:rtl/>
        </w:rPr>
        <w:t>]</w:t>
      </w:r>
      <w:r>
        <w:rPr>
          <w:rStyle w:val="afb"/>
          <w:rFonts w:hint="cs"/>
          <w:rtl/>
        </w:rPr>
        <w:t>.</w:t>
      </w:r>
      <w:bookmarkEnd w:id="15662"/>
    </w:p>
    <w:p w:rsidR="00103C1B" w:rsidRPr="004E627D" w:rsidRDefault="00103C1B" w:rsidP="00103C1B">
      <w:pPr>
        <w:pStyle w:val="a3"/>
        <w:rPr>
          <w:rtl/>
        </w:rPr>
      </w:pPr>
      <w:bookmarkStart w:id="15663" w:name="_Toc64588799"/>
      <w:bookmarkStart w:id="15664" w:name="_Toc64629390"/>
      <w:bookmarkStart w:id="15665" w:name="_Toc64642853"/>
      <w:r>
        <w:rPr>
          <w:rFonts w:hint="cs"/>
          <w:rtl/>
        </w:rPr>
        <w:t>דברי הריטב"א דל"ד לספק ויבם דהא ר"א זכה רק מחמת הודאתו ול"ד לשנים אוחזין דכ"א תפוס</w:t>
      </w:r>
      <w:bookmarkEnd w:id="15663"/>
      <w:bookmarkEnd w:id="15664"/>
      <w:bookmarkEnd w:id="15665"/>
    </w:p>
    <w:p w:rsidR="00103C1B" w:rsidRDefault="00103C1B" w:rsidP="007E4E81">
      <w:pPr>
        <w:pStyle w:val="a0"/>
        <w:rPr>
          <w:rtl/>
        </w:rPr>
      </w:pPr>
      <w:bookmarkStart w:id="15666" w:name="_Ref64579070"/>
      <w:r>
        <w:rPr>
          <w:rFonts w:hint="cs"/>
          <w:rtl/>
        </w:rPr>
        <w:t xml:space="preserve">והוסיף </w:t>
      </w:r>
      <w:r w:rsidRPr="001206C1">
        <w:rPr>
          <w:rStyle w:val="af9"/>
          <w:rFonts w:hint="cs"/>
          <w:rtl/>
        </w:rPr>
        <w:t>הריטב"א</w:t>
      </w:r>
      <w:r>
        <w:rPr>
          <w:rFonts w:hint="cs"/>
          <w:rtl/>
        </w:rPr>
        <w:t xml:space="preserve"> דלא דמי להא דאיתא ביבמות </w:t>
      </w:r>
      <w:r w:rsidRPr="00A05F17">
        <w:rPr>
          <w:rStyle w:val="af7"/>
          <w:rFonts w:eastAsia="Guttman Hodes" w:hint="cs"/>
          <w:rtl/>
        </w:rPr>
        <w:t>(לח.)</w:t>
      </w:r>
      <w:r>
        <w:rPr>
          <w:rFonts w:hint="cs"/>
          <w:rtl/>
        </w:rPr>
        <w:t xml:space="preserve"> דספק ויבם שבוא לחלוק בנכסי סבא, </w:t>
      </w:r>
      <w:r w:rsidRPr="00E12372">
        <w:rPr>
          <w:rStyle w:val="afb"/>
          <w:rFonts w:hint="cs"/>
          <w:rtl/>
        </w:rPr>
        <w:t>[דהתייבמה היבמה בתוך ג' חודשים וילדה לסוף ז', ולא ידוע אם הוא בן של המת, או בן של המיבם, ואח"כ מת הסבא שהוא אבי המת והמייבם, דהספק הוא ספק בן בנו מכח המת ויורש, או בן בנו מכח המייבם ואינו יורש],</w:t>
      </w:r>
      <w:r>
        <w:rPr>
          <w:rFonts w:hint="cs"/>
          <w:rtl/>
        </w:rPr>
        <w:t xml:space="preserve"> דהא דהיבם נחשב לודאי, והספק נחשב לספק, ואמרינן דאין ספק מוציאי מידי ודאי, הוא כיון שמה שהספק מודה ליבם שהוא ודאי יורש, הוא כיון שיש עדים ע"ז ואינו מכח הודאת הספק, אבל בסוגיין רב אידי הוא ודאי יורש, רק מכח הודאת ההוא גברא, וא"כ הוא נאמן מדין הפה שאסר, ולכן צריך להיות הדין שיחלוקו, </w:t>
      </w:r>
      <w:r w:rsidRPr="001B7C1D">
        <w:rPr>
          <w:rStyle w:val="afb"/>
          <w:rFonts w:hint="cs"/>
          <w:rtl/>
        </w:rPr>
        <w:t xml:space="preserve">[וכעי"ז כתב </w:t>
      </w:r>
      <w:r w:rsidRPr="001B7C1D">
        <w:rPr>
          <w:rStyle w:val="affa"/>
          <w:rFonts w:hint="cs"/>
          <w:rtl/>
        </w:rPr>
        <w:t>הרשב"א</w:t>
      </w:r>
      <w:r w:rsidRPr="001B7C1D">
        <w:rPr>
          <w:rStyle w:val="afb"/>
          <w:rFonts w:hint="cs"/>
          <w:rtl/>
        </w:rPr>
        <w:t xml:space="preserve"> </w:t>
      </w:r>
      <w:r w:rsidRPr="001B7C1D">
        <w:rPr>
          <w:rStyle w:val="aff6"/>
          <w:rFonts w:hint="cs"/>
          <w:rtl/>
        </w:rPr>
        <w:t xml:space="preserve">(עי' אות </w:t>
      </w:r>
      <w:r w:rsidRPr="001B7C1D">
        <w:rPr>
          <w:rStyle w:val="aff6"/>
          <w:rtl/>
        </w:rPr>
        <w:fldChar w:fldCharType="begin"/>
      </w:r>
      <w:r w:rsidRPr="001B7C1D">
        <w:rPr>
          <w:rStyle w:val="aff6"/>
          <w:rtl/>
        </w:rPr>
        <w:instrText xml:space="preserve"> </w:instrText>
      </w:r>
      <w:r w:rsidRPr="001B7C1D">
        <w:rPr>
          <w:rStyle w:val="aff6"/>
          <w:rFonts w:hint="cs"/>
        </w:rPr>
        <w:instrText>REF</w:instrText>
      </w:r>
      <w:r w:rsidRPr="001B7C1D">
        <w:rPr>
          <w:rStyle w:val="aff6"/>
          <w:rFonts w:hint="cs"/>
          <w:rtl/>
        </w:rPr>
        <w:instrText xml:space="preserve"> _</w:instrText>
      </w:r>
      <w:r w:rsidRPr="001B7C1D">
        <w:rPr>
          <w:rStyle w:val="aff6"/>
          <w:rFonts w:hint="cs"/>
        </w:rPr>
        <w:instrText>Ref64579039 \r \h</w:instrText>
      </w:r>
      <w:r w:rsidRPr="001B7C1D">
        <w:rPr>
          <w:rStyle w:val="aff6"/>
          <w:rtl/>
        </w:rPr>
        <w:instrText xml:space="preserve"> </w:instrText>
      </w:r>
      <w:r w:rsidRPr="001B7C1D">
        <w:rPr>
          <w:rStyle w:val="aff6"/>
          <w:rtl/>
        </w:rPr>
      </w:r>
      <w:r w:rsidRPr="001B7C1D">
        <w:rPr>
          <w:rStyle w:val="aff6"/>
          <w:rtl/>
        </w:rPr>
        <w:fldChar w:fldCharType="separate"/>
      </w:r>
      <w:r w:rsidR="00265073">
        <w:rPr>
          <w:rStyle w:val="aff6"/>
          <w:cs/>
        </w:rPr>
        <w:t>‎</w:t>
      </w:r>
      <w:r w:rsidR="00265073">
        <w:rPr>
          <w:rStyle w:val="aff6"/>
          <w:rtl/>
        </w:rPr>
        <w:t>יח)</w:t>
      </w:r>
      <w:r w:rsidRPr="001B7C1D">
        <w:rPr>
          <w:rStyle w:val="aff6"/>
          <w:rtl/>
        </w:rPr>
        <w:fldChar w:fldCharType="end"/>
      </w:r>
      <w:r w:rsidRPr="001B7C1D">
        <w:rPr>
          <w:rStyle w:val="afb"/>
          <w:rFonts w:hint="cs"/>
          <w:rtl/>
        </w:rPr>
        <w:t xml:space="preserve">], </w:t>
      </w:r>
      <w:r>
        <w:rPr>
          <w:rFonts w:hint="cs"/>
          <w:rtl/>
        </w:rPr>
        <w:t xml:space="preserve">וכתב </w:t>
      </w:r>
      <w:r w:rsidRPr="001206C1">
        <w:rPr>
          <w:rStyle w:val="af9"/>
          <w:rFonts w:hint="cs"/>
          <w:rtl/>
        </w:rPr>
        <w:t>הריטב"א</w:t>
      </w:r>
      <w:r>
        <w:rPr>
          <w:rFonts w:hint="cs"/>
          <w:rtl/>
        </w:rPr>
        <w:t xml:space="preserve"> דהא דבשנים אוחזין אחד נוטל ג' חלקים ואחד נוטל רבע, הוא כיון שהם תופסים את הטלית, וכל מה שאחד מהם תופס אנן סהדי שהוא שלו, והוא יכול לטעון רק על החצי השני.</w:t>
      </w:r>
      <w:bookmarkEnd w:id="15666"/>
    </w:p>
    <w:p w:rsidR="00103C1B" w:rsidRPr="00173120" w:rsidRDefault="00103C1B" w:rsidP="00103C1B">
      <w:pPr>
        <w:pStyle w:val="a3"/>
      </w:pPr>
      <w:bookmarkStart w:id="15667" w:name="_Toc64588800"/>
      <w:bookmarkStart w:id="15668" w:name="_Toc64629391"/>
      <w:bookmarkStart w:id="15669" w:name="_Toc64642854"/>
      <w:r>
        <w:rPr>
          <w:rFonts w:hint="cs"/>
          <w:rtl/>
        </w:rPr>
        <w:t>דברי הריטב"א דמוכח דלגירסא דההוא גברא הודה לר"א גרסינן "דאיהו קריב טפי"</w:t>
      </w:r>
      <w:bookmarkEnd w:id="15667"/>
      <w:bookmarkEnd w:id="15668"/>
      <w:bookmarkEnd w:id="15669"/>
    </w:p>
    <w:p w:rsidR="00103C1B" w:rsidRDefault="00103C1B" w:rsidP="007E4E81">
      <w:pPr>
        <w:pStyle w:val="a0"/>
        <w:rPr>
          <w:rStyle w:val="afb"/>
          <w:rtl/>
        </w:rPr>
      </w:pPr>
      <w:r>
        <w:rPr>
          <w:rFonts w:hint="cs"/>
          <w:rtl/>
        </w:rPr>
        <w:t xml:space="preserve">אלא כתב </w:t>
      </w:r>
      <w:r w:rsidRPr="00F310B5">
        <w:rPr>
          <w:rStyle w:val="af9"/>
          <w:rFonts w:hint="cs"/>
          <w:rtl/>
        </w:rPr>
        <w:t>הריטב"א</w:t>
      </w:r>
      <w:r>
        <w:rPr>
          <w:rFonts w:hint="cs"/>
          <w:rtl/>
        </w:rPr>
        <w:t xml:space="preserve"> דמוכח דלפי הגירסא דלבסוף אודי ליה ההוא גברא, צריך לגרוס דהודה לו שהוא קרוב "טפי". </w:t>
      </w:r>
      <w:r w:rsidRPr="00C16594">
        <w:rPr>
          <w:rStyle w:val="afb"/>
          <w:rFonts w:hint="cs"/>
          <w:rtl/>
        </w:rPr>
        <w:t>[</w:t>
      </w:r>
      <w:r>
        <w:rPr>
          <w:rStyle w:val="afb"/>
          <w:rFonts w:hint="cs"/>
          <w:rtl/>
        </w:rPr>
        <w:t>וכדביאר</w:t>
      </w:r>
      <w:r w:rsidRPr="00C16594">
        <w:rPr>
          <w:rStyle w:val="afb"/>
          <w:rFonts w:hint="cs"/>
          <w:rtl/>
        </w:rPr>
        <w:t xml:space="preserve"> </w:t>
      </w:r>
      <w:r>
        <w:rPr>
          <w:rStyle w:val="affa"/>
          <w:rFonts w:hint="cs"/>
          <w:rtl/>
        </w:rPr>
        <w:t>ה</w:t>
      </w:r>
      <w:r w:rsidRPr="00C16594">
        <w:rPr>
          <w:rStyle w:val="affa"/>
          <w:rFonts w:hint="cs"/>
          <w:rtl/>
        </w:rPr>
        <w:t xml:space="preserve">רשב"ם </w:t>
      </w:r>
      <w:r w:rsidRPr="00C16594">
        <w:rPr>
          <w:rStyle w:val="aff6"/>
          <w:rFonts w:hint="cs"/>
          <w:rtl/>
        </w:rPr>
        <w:t xml:space="preserve">(עי' אות </w:t>
      </w:r>
      <w:r w:rsidRPr="00C16594">
        <w:rPr>
          <w:rStyle w:val="aff6"/>
          <w:rtl/>
        </w:rPr>
        <w:fldChar w:fldCharType="begin"/>
      </w:r>
      <w:r w:rsidRPr="00C16594">
        <w:rPr>
          <w:rStyle w:val="aff6"/>
          <w:rtl/>
        </w:rPr>
        <w:instrText xml:space="preserve"> </w:instrText>
      </w:r>
      <w:r w:rsidRPr="00C16594">
        <w:rPr>
          <w:rStyle w:val="aff6"/>
          <w:rFonts w:hint="cs"/>
        </w:rPr>
        <w:instrText>REF</w:instrText>
      </w:r>
      <w:r w:rsidRPr="00C16594">
        <w:rPr>
          <w:rStyle w:val="aff6"/>
          <w:rFonts w:hint="cs"/>
          <w:rtl/>
        </w:rPr>
        <w:instrText xml:space="preserve"> _</w:instrText>
      </w:r>
      <w:r w:rsidRPr="00C16594">
        <w:rPr>
          <w:rStyle w:val="aff6"/>
          <w:rFonts w:hint="cs"/>
        </w:rPr>
        <w:instrText>Ref64451602 \r \h</w:instrText>
      </w:r>
      <w:r w:rsidRPr="00C16594">
        <w:rPr>
          <w:rStyle w:val="aff6"/>
          <w:rtl/>
        </w:rPr>
        <w:instrText xml:space="preserve"> </w:instrText>
      </w:r>
      <w:r w:rsidRPr="00C16594">
        <w:rPr>
          <w:rStyle w:val="aff6"/>
          <w:rtl/>
        </w:rPr>
      </w:r>
      <w:r w:rsidRPr="00C16594">
        <w:rPr>
          <w:rStyle w:val="aff6"/>
          <w:rtl/>
        </w:rPr>
        <w:fldChar w:fldCharType="separate"/>
      </w:r>
      <w:r w:rsidR="00265073">
        <w:rPr>
          <w:rStyle w:val="aff6"/>
          <w:cs/>
        </w:rPr>
        <w:t>‎</w:t>
      </w:r>
      <w:r w:rsidR="00265073">
        <w:rPr>
          <w:rStyle w:val="aff6"/>
          <w:rtl/>
        </w:rPr>
        <w:t>ב)</w:t>
      </w:r>
      <w:r w:rsidRPr="00C16594">
        <w:rPr>
          <w:rStyle w:val="aff6"/>
          <w:rtl/>
        </w:rPr>
        <w:fldChar w:fldCharType="end"/>
      </w:r>
      <w:r>
        <w:rPr>
          <w:rStyle w:val="afb"/>
          <w:rFonts w:hint="cs"/>
          <w:rtl/>
        </w:rPr>
        <w:t xml:space="preserve"> </w:t>
      </w:r>
      <w:r w:rsidRPr="00C16594">
        <w:rPr>
          <w:rStyle w:val="afb"/>
          <w:rFonts w:hint="cs"/>
          <w:rtl/>
        </w:rPr>
        <w:t>ודלא כביאור</w:t>
      </w:r>
      <w:r>
        <w:rPr>
          <w:rStyle w:val="affa"/>
          <w:rFonts w:hint="cs"/>
          <w:rtl/>
        </w:rPr>
        <w:t xml:space="preserve"> ה</w:t>
      </w:r>
      <w:r w:rsidRPr="00C16594">
        <w:rPr>
          <w:rStyle w:val="affa"/>
          <w:rFonts w:hint="cs"/>
          <w:rtl/>
        </w:rPr>
        <w:t>תוס'</w:t>
      </w:r>
      <w:r w:rsidRPr="00C16594">
        <w:rPr>
          <w:rStyle w:val="afb"/>
          <w:rFonts w:hint="cs"/>
          <w:rtl/>
        </w:rPr>
        <w:t xml:space="preserve"> </w:t>
      </w:r>
      <w:r w:rsidRPr="00C16594">
        <w:rPr>
          <w:rStyle w:val="aff6"/>
          <w:rFonts w:hint="cs"/>
          <w:rtl/>
        </w:rPr>
        <w:t xml:space="preserve">(עי' אות </w:t>
      </w:r>
      <w:r w:rsidRPr="00C16594">
        <w:rPr>
          <w:rStyle w:val="aff6"/>
          <w:rtl/>
        </w:rPr>
        <w:fldChar w:fldCharType="begin"/>
      </w:r>
      <w:r w:rsidRPr="00C16594">
        <w:rPr>
          <w:rStyle w:val="aff6"/>
          <w:rtl/>
        </w:rPr>
        <w:instrText xml:space="preserve"> </w:instrText>
      </w:r>
      <w:r w:rsidRPr="00C16594">
        <w:rPr>
          <w:rStyle w:val="aff6"/>
          <w:rFonts w:hint="cs"/>
        </w:rPr>
        <w:instrText>REF</w:instrText>
      </w:r>
      <w:r w:rsidRPr="00C16594">
        <w:rPr>
          <w:rStyle w:val="aff6"/>
          <w:rFonts w:hint="cs"/>
          <w:rtl/>
        </w:rPr>
        <w:instrText xml:space="preserve"> _</w:instrText>
      </w:r>
      <w:r w:rsidRPr="00C16594">
        <w:rPr>
          <w:rStyle w:val="aff6"/>
          <w:rFonts w:hint="cs"/>
        </w:rPr>
        <w:instrText>Ref64454618 \r \h</w:instrText>
      </w:r>
      <w:r w:rsidRPr="00C16594">
        <w:rPr>
          <w:rStyle w:val="aff6"/>
          <w:rtl/>
        </w:rPr>
        <w:instrText xml:space="preserve"> </w:instrText>
      </w:r>
      <w:r w:rsidRPr="00C16594">
        <w:rPr>
          <w:rStyle w:val="aff6"/>
          <w:rtl/>
        </w:rPr>
      </w:r>
      <w:r w:rsidRPr="00C16594">
        <w:rPr>
          <w:rStyle w:val="aff6"/>
          <w:rtl/>
        </w:rPr>
        <w:fldChar w:fldCharType="separate"/>
      </w:r>
      <w:r w:rsidR="00265073">
        <w:rPr>
          <w:rStyle w:val="aff6"/>
          <w:cs/>
        </w:rPr>
        <w:t>‎</w:t>
      </w:r>
      <w:r w:rsidR="00265073">
        <w:rPr>
          <w:rStyle w:val="aff6"/>
          <w:rtl/>
        </w:rPr>
        <w:t>יט)</w:t>
      </w:r>
      <w:r w:rsidRPr="00C16594">
        <w:rPr>
          <w:rStyle w:val="aff6"/>
          <w:rtl/>
        </w:rPr>
        <w:fldChar w:fldCharType="end"/>
      </w:r>
      <w:r w:rsidRPr="00C16594">
        <w:rPr>
          <w:rStyle w:val="afb"/>
          <w:rFonts w:hint="cs"/>
          <w:rtl/>
        </w:rPr>
        <w:t>]</w:t>
      </w:r>
      <w:r>
        <w:rPr>
          <w:rStyle w:val="afb"/>
          <w:rFonts w:hint="cs"/>
          <w:rtl/>
        </w:rPr>
        <w:t>.</w:t>
      </w:r>
    </w:p>
    <w:p w:rsidR="00103C1B" w:rsidRPr="0057128E" w:rsidRDefault="00103C1B" w:rsidP="00103C1B">
      <w:pPr>
        <w:pStyle w:val="afe"/>
        <w:rPr>
          <w:rtl/>
        </w:rPr>
      </w:pPr>
      <w:bookmarkStart w:id="15670" w:name="_Toc64588801"/>
      <w:bookmarkStart w:id="15671" w:name="_Toc64629392"/>
      <w:bookmarkStart w:id="15672" w:name="_Toc64642855"/>
      <w:r>
        <w:rPr>
          <w:rFonts w:hint="cs"/>
          <w:rtl/>
        </w:rPr>
        <w:t>בי' הריטב"א דנח' בדין חוזר וטוען</w:t>
      </w:r>
      <w:bookmarkEnd w:id="15670"/>
      <w:bookmarkEnd w:id="15671"/>
      <w:bookmarkEnd w:id="15672"/>
    </w:p>
    <w:p w:rsidR="00103C1B" w:rsidRPr="00A05F17" w:rsidRDefault="00103C1B" w:rsidP="00103C1B">
      <w:pPr>
        <w:pStyle w:val="1"/>
        <w:rPr>
          <w:rtl/>
        </w:rPr>
      </w:pPr>
      <w:bookmarkStart w:id="15673" w:name="_Toc64576195"/>
      <w:bookmarkStart w:id="15674" w:name="_Toc64588802"/>
      <w:bookmarkStart w:id="15675" w:name="_Toc64629393"/>
      <w:bookmarkStart w:id="15676" w:name="_Toc64642856"/>
      <w:r>
        <w:rPr>
          <w:rFonts w:hint="cs"/>
          <w:rtl/>
        </w:rPr>
        <w:t xml:space="preserve">ביאור הריטב"א </w:t>
      </w:r>
      <w:bookmarkEnd w:id="15673"/>
      <w:r>
        <w:rPr>
          <w:rFonts w:hint="cs"/>
          <w:rtl/>
        </w:rPr>
        <w:t>דההוא גברא חזר לבסוף וטען שלא אכל פירות</w:t>
      </w:r>
      <w:bookmarkEnd w:id="15674"/>
      <w:bookmarkEnd w:id="15675"/>
      <w:bookmarkEnd w:id="15676"/>
    </w:p>
    <w:p w:rsidR="00103C1B" w:rsidRPr="001E09BA" w:rsidRDefault="00103C1B" w:rsidP="00103C1B">
      <w:pPr>
        <w:pStyle w:val="a3"/>
        <w:rPr>
          <w:rtl/>
        </w:rPr>
      </w:pPr>
      <w:bookmarkStart w:id="15677" w:name="_Toc64588803"/>
      <w:bookmarkStart w:id="15678" w:name="_Toc64629394"/>
      <w:bookmarkStart w:id="15679" w:name="_Toc64642857"/>
      <w:r>
        <w:rPr>
          <w:rFonts w:hint="cs"/>
          <w:rtl/>
        </w:rPr>
        <w:t>דברי הריטב"א דלגי' דהודה לר"א בתחילה הודה בפירות ולגי' שיש עדים מודה עכשיו בפירות</w:t>
      </w:r>
      <w:bookmarkEnd w:id="15677"/>
      <w:bookmarkEnd w:id="15678"/>
      <w:bookmarkEnd w:id="15679"/>
    </w:p>
    <w:p w:rsidR="00103C1B" w:rsidRDefault="00103C1B" w:rsidP="007E4E81">
      <w:pPr>
        <w:pStyle w:val="a0"/>
        <w:rPr>
          <w:rtl/>
        </w:rPr>
      </w:pPr>
      <w:r>
        <w:rPr>
          <w:rFonts w:hint="cs"/>
          <w:rtl/>
        </w:rPr>
        <w:t xml:space="preserve">בהא דאמר רב חסדא לרב אידי </w:t>
      </w:r>
      <w:r>
        <w:rPr>
          <w:rtl/>
        </w:rPr>
        <w:t>אמאן קא סמיך מר אהאי</w:t>
      </w:r>
      <w:r>
        <w:rPr>
          <w:rFonts w:hint="cs"/>
          <w:rtl/>
        </w:rPr>
        <w:t>,</w:t>
      </w:r>
      <w:r>
        <w:rPr>
          <w:rtl/>
        </w:rPr>
        <w:t xml:space="preserve"> </w:t>
      </w:r>
      <w:r>
        <w:rPr>
          <w:rFonts w:hint="cs"/>
          <w:rtl/>
        </w:rPr>
        <w:t xml:space="preserve">ביאר </w:t>
      </w:r>
      <w:r w:rsidRPr="00F310B5">
        <w:rPr>
          <w:rStyle w:val="af9"/>
          <w:rFonts w:hint="cs"/>
          <w:rtl/>
        </w:rPr>
        <w:t>הריטב"א</w:t>
      </w:r>
      <w:r>
        <w:rPr>
          <w:rFonts w:hint="cs"/>
          <w:rtl/>
        </w:rPr>
        <w:t xml:space="preserve"> </w:t>
      </w:r>
      <w:r w:rsidRPr="00B96B76">
        <w:rPr>
          <w:rStyle w:val="af7"/>
          <w:rFonts w:eastAsia="Guttman Hodes" w:hint="cs"/>
          <w:rtl/>
        </w:rPr>
        <w:t>(ד"ה אמאי)</w:t>
      </w:r>
      <w:r>
        <w:rPr>
          <w:rFonts w:hint="cs"/>
          <w:rtl/>
        </w:rPr>
        <w:t xml:space="preserve"> דלפי הגירסא [עי' </w:t>
      </w:r>
      <w:r w:rsidRPr="00F310B5">
        <w:rPr>
          <w:rStyle w:val="af9"/>
          <w:rFonts w:hint="cs"/>
          <w:rtl/>
        </w:rPr>
        <w:t>רשב"ם</w:t>
      </w:r>
      <w:r>
        <w:rPr>
          <w:rFonts w:hint="cs"/>
          <w:rtl/>
        </w:rPr>
        <w:t xml:space="preserve"> </w:t>
      </w:r>
      <w:r w:rsidRPr="00A05F17">
        <w:rPr>
          <w:rStyle w:val="af7"/>
          <w:rFonts w:eastAsia="Guttman Hodes" w:hint="cs"/>
          <w:rtl/>
        </w:rPr>
        <w:t xml:space="preserve">(עי' אות </w:t>
      </w:r>
      <w:r w:rsidRPr="00A05F17">
        <w:rPr>
          <w:rStyle w:val="af7"/>
          <w:rFonts w:eastAsia="Guttman Hodes"/>
          <w:rtl/>
        </w:rPr>
        <w:fldChar w:fldCharType="begin"/>
      </w:r>
      <w:r w:rsidRPr="00A05F17">
        <w:rPr>
          <w:rStyle w:val="af7"/>
          <w:rFonts w:eastAsia="Guttman Hodes"/>
          <w:rtl/>
        </w:rPr>
        <w:instrText xml:space="preserve"> </w:instrText>
      </w:r>
      <w:r w:rsidRPr="00A05F17">
        <w:rPr>
          <w:rStyle w:val="af7"/>
          <w:rFonts w:eastAsia="Guttman Hodes" w:hint="cs"/>
        </w:rPr>
        <w:instrText>REF</w:instrText>
      </w:r>
      <w:r w:rsidRPr="00A05F17">
        <w:rPr>
          <w:rStyle w:val="af7"/>
          <w:rFonts w:eastAsia="Guttman Hodes" w:hint="cs"/>
          <w:rtl/>
        </w:rPr>
        <w:instrText xml:space="preserve"> _</w:instrText>
      </w:r>
      <w:r w:rsidRPr="00A05F17">
        <w:rPr>
          <w:rStyle w:val="af7"/>
          <w:rFonts w:eastAsia="Guttman Hodes" w:hint="cs"/>
        </w:rPr>
        <w:instrText>Ref64451602 \r \h</w:instrText>
      </w:r>
      <w:r w:rsidRPr="00A05F17">
        <w:rPr>
          <w:rStyle w:val="af7"/>
          <w:rFonts w:eastAsia="Guttman Hodes"/>
          <w:rtl/>
        </w:rPr>
        <w:instrText xml:space="preserve"> </w:instrText>
      </w:r>
      <w:r w:rsidRPr="00A05F17">
        <w:rPr>
          <w:rStyle w:val="af7"/>
          <w:rFonts w:eastAsia="Guttman Hodes"/>
          <w:rtl/>
        </w:rPr>
      </w:r>
      <w:r w:rsidRPr="00A05F17">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05F17">
        <w:rPr>
          <w:rStyle w:val="af7"/>
          <w:rFonts w:eastAsia="Guttman Hodes"/>
          <w:rtl/>
        </w:rPr>
        <w:fldChar w:fldCharType="end"/>
      </w:r>
      <w:r>
        <w:rPr>
          <w:rFonts w:hint="cs"/>
          <w:rtl/>
        </w:rPr>
        <w:t xml:space="preserve">] דההוא גברא הודה לרב אידי, א"כ כוונת דרב חסדא לומר דכל מה דרב אידי תובע את הפירות הוא מכח הודאת ההוא גברא שאכלם, והרי הוא טוען שהוא קרוב יותר, והיינו שהודה בתחילה שהוא אכל את הפירות, לפני שהודה לרב אידי שהוא קרוב, וכתב </w:t>
      </w:r>
      <w:r w:rsidRPr="00F310B5">
        <w:rPr>
          <w:rStyle w:val="af9"/>
          <w:rFonts w:hint="cs"/>
          <w:rtl/>
        </w:rPr>
        <w:t>הריטב"א</w:t>
      </w:r>
      <w:r>
        <w:rPr>
          <w:rFonts w:hint="cs"/>
          <w:rtl/>
        </w:rPr>
        <w:t xml:space="preserve"> דלפי הגירסא [עי' </w:t>
      </w:r>
      <w:r w:rsidRPr="0031000F">
        <w:rPr>
          <w:rStyle w:val="af9"/>
          <w:rFonts w:hint="cs"/>
          <w:rtl/>
        </w:rPr>
        <w:t>ר"ח</w:t>
      </w:r>
      <w:r>
        <w:rPr>
          <w:rFonts w:hint="cs"/>
          <w:rtl/>
        </w:rPr>
        <w:t xml:space="preserve"> </w:t>
      </w:r>
      <w:r w:rsidRPr="0031000F">
        <w:rPr>
          <w:rStyle w:val="af7"/>
          <w:rFonts w:eastAsia="Guttman Hodes" w:hint="cs"/>
          <w:rtl/>
        </w:rPr>
        <w:t xml:space="preserve">(עי' אות </w:t>
      </w:r>
      <w:r w:rsidRPr="0031000F">
        <w:rPr>
          <w:rStyle w:val="af7"/>
          <w:rFonts w:eastAsia="Guttman Hodes"/>
          <w:rtl/>
        </w:rPr>
        <w:fldChar w:fldCharType="begin"/>
      </w:r>
      <w:r w:rsidRPr="0031000F">
        <w:rPr>
          <w:rStyle w:val="af7"/>
          <w:rFonts w:eastAsia="Guttman Hodes"/>
          <w:rtl/>
        </w:rPr>
        <w:instrText xml:space="preserve"> </w:instrText>
      </w:r>
      <w:r w:rsidRPr="0031000F">
        <w:rPr>
          <w:rStyle w:val="af7"/>
          <w:rFonts w:eastAsia="Guttman Hodes" w:hint="cs"/>
        </w:rPr>
        <w:instrText>REF</w:instrText>
      </w:r>
      <w:r w:rsidRPr="0031000F">
        <w:rPr>
          <w:rStyle w:val="af7"/>
          <w:rFonts w:eastAsia="Guttman Hodes" w:hint="cs"/>
          <w:rtl/>
        </w:rPr>
        <w:instrText xml:space="preserve"> _</w:instrText>
      </w:r>
      <w:r w:rsidRPr="0031000F">
        <w:rPr>
          <w:rStyle w:val="af7"/>
          <w:rFonts w:eastAsia="Guttman Hodes" w:hint="cs"/>
        </w:rPr>
        <w:instrText>Ref64561356 \r \h</w:instrText>
      </w:r>
      <w:r w:rsidRPr="0031000F">
        <w:rPr>
          <w:rStyle w:val="af7"/>
          <w:rFonts w:eastAsia="Guttman Hodes"/>
          <w:rtl/>
        </w:rPr>
        <w:instrText xml:space="preserve"> </w:instrText>
      </w:r>
      <w:r w:rsidRPr="0031000F">
        <w:rPr>
          <w:rStyle w:val="af7"/>
          <w:rFonts w:eastAsia="Guttman Hodes"/>
          <w:rtl/>
        </w:rPr>
      </w:r>
      <w:r w:rsidRPr="0031000F">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31000F">
        <w:rPr>
          <w:rStyle w:val="af7"/>
          <w:rFonts w:eastAsia="Guttman Hodes"/>
          <w:rtl/>
        </w:rPr>
        <w:fldChar w:fldCharType="end"/>
      </w:r>
      <w:r>
        <w:rPr>
          <w:rFonts w:hint="cs"/>
          <w:rtl/>
        </w:rPr>
        <w:t>] דרב אידי הביא עדים שהוא קרוב,</w:t>
      </w:r>
      <w:r w:rsidRPr="00950F38">
        <w:rPr>
          <w:rFonts w:hint="cs"/>
          <w:rtl/>
        </w:rPr>
        <w:t xml:space="preserve"> </w:t>
      </w:r>
      <w:r>
        <w:rPr>
          <w:rFonts w:hint="cs"/>
          <w:rtl/>
        </w:rPr>
        <w:t>א"כ ההוא גברא מודה עכשיו שהוא אכל את הפירות.</w:t>
      </w:r>
    </w:p>
    <w:p w:rsidR="00103C1B" w:rsidRPr="00950F38" w:rsidRDefault="00103C1B" w:rsidP="00103C1B">
      <w:pPr>
        <w:pStyle w:val="a3"/>
        <w:rPr>
          <w:rtl/>
        </w:rPr>
      </w:pPr>
      <w:bookmarkStart w:id="15680" w:name="_Toc64588804"/>
      <w:bookmarkStart w:id="15681" w:name="_Toc64629395"/>
      <w:bookmarkStart w:id="15682" w:name="_Toc64642858"/>
      <w:r>
        <w:rPr>
          <w:rFonts w:hint="cs"/>
          <w:rtl/>
        </w:rPr>
        <w:t>קו' הריטב"א דכיון דר"א הוחזק ליורש גמור ע"י הודאה או עדים אמאי א"צ להחזיר לרב חסדא</w:t>
      </w:r>
      <w:bookmarkEnd w:id="15680"/>
      <w:bookmarkEnd w:id="15681"/>
      <w:bookmarkEnd w:id="15682"/>
    </w:p>
    <w:p w:rsidR="00103C1B" w:rsidRDefault="00103C1B" w:rsidP="007E4E81">
      <w:pPr>
        <w:pStyle w:val="a0"/>
        <w:rPr>
          <w:rtl/>
        </w:rPr>
      </w:pPr>
      <w:r>
        <w:rPr>
          <w:rFonts w:hint="cs"/>
          <w:rtl/>
        </w:rPr>
        <w:t xml:space="preserve">אך הקשה </w:t>
      </w:r>
      <w:r w:rsidRPr="00F310B5">
        <w:rPr>
          <w:rStyle w:val="af9"/>
          <w:rFonts w:hint="cs"/>
          <w:rtl/>
        </w:rPr>
        <w:t>הריטב"א</w:t>
      </w:r>
      <w:r>
        <w:rPr>
          <w:rFonts w:hint="cs"/>
          <w:rtl/>
        </w:rPr>
        <w:t xml:space="preserve"> דאמאי תמה רב חסדא על רב אידי היאך אדם גדול תובע את הפירות, והרי כיון שהוא מוחזק ליורש גמור, ובין אם הוחזק ליורש עפ"י עדים, ובין אם הוחזק ע"י הודאת ההוא גברא, צריך ההוא גברא להחזיר את הפירות, ואף שהוא טוען שהוא קרוב יותר, מ"מ כבר התבררה האמת דרב אידי מוחזק ליורש.</w:t>
      </w:r>
    </w:p>
    <w:p w:rsidR="00103C1B" w:rsidRPr="00D560E3" w:rsidRDefault="00103C1B" w:rsidP="00103C1B">
      <w:pPr>
        <w:pStyle w:val="a3"/>
        <w:rPr>
          <w:rtl/>
        </w:rPr>
      </w:pPr>
    </w:p>
    <w:p w:rsidR="00103C1B" w:rsidRDefault="00103C1B" w:rsidP="00103C1B">
      <w:pPr>
        <w:pStyle w:val="a3"/>
        <w:rPr>
          <w:rtl/>
        </w:rPr>
      </w:pPr>
      <w:bookmarkStart w:id="15683" w:name="_Toc64588805"/>
      <w:bookmarkStart w:id="15684" w:name="_Toc64629396"/>
      <w:bookmarkStart w:id="15685" w:name="_Toc64642859"/>
      <w:r>
        <w:rPr>
          <w:rFonts w:hint="cs"/>
          <w:rtl/>
        </w:rPr>
        <w:t>בי' הריטב"א דאחר שהודה לר"א או שבאו עדים שר"א קרוב חזר בו מהודאתו על אכילת פירות</w:t>
      </w:r>
      <w:bookmarkEnd w:id="15683"/>
      <w:bookmarkEnd w:id="15684"/>
      <w:bookmarkEnd w:id="15685"/>
      <w:r>
        <w:rPr>
          <w:rFonts w:hint="cs"/>
          <w:rtl/>
        </w:rPr>
        <w:t xml:space="preserve"> </w:t>
      </w:r>
    </w:p>
    <w:p w:rsidR="00103C1B" w:rsidRDefault="00103C1B" w:rsidP="007E4E81">
      <w:pPr>
        <w:pStyle w:val="a0"/>
        <w:rPr>
          <w:rtl/>
        </w:rPr>
      </w:pPr>
      <w:r>
        <w:rPr>
          <w:rFonts w:hint="cs"/>
          <w:rtl/>
        </w:rPr>
        <w:t xml:space="preserve">ותירץ </w:t>
      </w:r>
      <w:r w:rsidRPr="00F310B5">
        <w:rPr>
          <w:rStyle w:val="af9"/>
          <w:rFonts w:hint="cs"/>
          <w:rtl/>
        </w:rPr>
        <w:t>הריטב"א</w:t>
      </w:r>
      <w:r>
        <w:rPr>
          <w:rFonts w:hint="cs"/>
          <w:rtl/>
        </w:rPr>
        <w:t xml:space="preserve"> [בשם </w:t>
      </w:r>
      <w:r w:rsidRPr="00F310B5">
        <w:rPr>
          <w:rStyle w:val="af9"/>
          <w:rFonts w:hint="cs"/>
          <w:rtl/>
        </w:rPr>
        <w:t>הרא"ה</w:t>
      </w:r>
      <w:r>
        <w:rPr>
          <w:rFonts w:hint="cs"/>
          <w:rtl/>
        </w:rPr>
        <w:t>] דאיירי שבתחילה טען ההוא גברא שהוא אכל את הפירות, ואחר שבאו העדים שרב אידי קרוב, או אחר שהודה ההוא גברא לרב אידי, חזר ההוא גברא וטען שלא אכל את הפירות, ולכן ס"ל לרב חסדא דא"א לחייבו להחזיר את הפירות, מחמת ההודאה כיון שחזר בו מהודאתו.</w:t>
      </w:r>
    </w:p>
    <w:p w:rsidR="00103C1B" w:rsidRPr="000B3F15" w:rsidRDefault="00103C1B" w:rsidP="00103C1B">
      <w:pPr>
        <w:pStyle w:val="a3"/>
        <w:rPr>
          <w:rtl/>
        </w:rPr>
      </w:pPr>
      <w:bookmarkStart w:id="15686" w:name="_Toc64588806"/>
      <w:bookmarkStart w:id="15687" w:name="_Toc64629397"/>
      <w:bookmarkStart w:id="15688" w:name="_Toc64642860"/>
      <w:r>
        <w:rPr>
          <w:rFonts w:hint="cs"/>
          <w:rtl/>
        </w:rPr>
        <w:t>ביאור הריטב"א דס"ל לרב חסדא דנאמן לחזור ולטעון שלא אכל פירות אף שהודה בתחילה</w:t>
      </w:r>
      <w:bookmarkEnd w:id="15686"/>
      <w:bookmarkEnd w:id="15687"/>
      <w:bookmarkEnd w:id="15688"/>
    </w:p>
    <w:p w:rsidR="00103C1B" w:rsidRPr="00973003" w:rsidRDefault="00103C1B" w:rsidP="007E4E81">
      <w:pPr>
        <w:pStyle w:val="a0"/>
        <w:rPr>
          <w:rtl/>
        </w:rPr>
      </w:pPr>
      <w:r>
        <w:rPr>
          <w:rFonts w:hint="cs"/>
          <w:rtl/>
        </w:rPr>
        <w:t xml:space="preserve">וכתב </w:t>
      </w:r>
      <w:r w:rsidRPr="00F310B5">
        <w:rPr>
          <w:rStyle w:val="af9"/>
          <w:rFonts w:hint="cs"/>
          <w:rtl/>
        </w:rPr>
        <w:t>הריטב"א</w:t>
      </w:r>
      <w:r>
        <w:rPr>
          <w:rFonts w:hint="cs"/>
          <w:rtl/>
        </w:rPr>
        <w:t xml:space="preserve"> דלפי הגירסא [עי' </w:t>
      </w:r>
      <w:r w:rsidRPr="00F310B5">
        <w:rPr>
          <w:rStyle w:val="af9"/>
          <w:rFonts w:hint="cs"/>
          <w:rtl/>
        </w:rPr>
        <w:t>רשב"ם</w:t>
      </w:r>
      <w:r>
        <w:rPr>
          <w:rFonts w:hint="cs"/>
          <w:rtl/>
        </w:rPr>
        <w:t xml:space="preserve"> </w:t>
      </w:r>
      <w:r w:rsidRPr="00A05F17">
        <w:rPr>
          <w:rStyle w:val="af7"/>
          <w:rFonts w:eastAsia="Guttman Hodes" w:hint="cs"/>
          <w:rtl/>
        </w:rPr>
        <w:t xml:space="preserve">(עי' אות </w:t>
      </w:r>
      <w:r w:rsidRPr="00A05F17">
        <w:rPr>
          <w:rStyle w:val="af7"/>
          <w:rFonts w:eastAsia="Guttman Hodes"/>
          <w:rtl/>
        </w:rPr>
        <w:fldChar w:fldCharType="begin"/>
      </w:r>
      <w:r w:rsidRPr="00A05F17">
        <w:rPr>
          <w:rStyle w:val="af7"/>
          <w:rFonts w:eastAsia="Guttman Hodes"/>
          <w:rtl/>
        </w:rPr>
        <w:instrText xml:space="preserve"> </w:instrText>
      </w:r>
      <w:r w:rsidRPr="00A05F17">
        <w:rPr>
          <w:rStyle w:val="af7"/>
          <w:rFonts w:eastAsia="Guttman Hodes" w:hint="cs"/>
        </w:rPr>
        <w:instrText>REF</w:instrText>
      </w:r>
      <w:r w:rsidRPr="00A05F17">
        <w:rPr>
          <w:rStyle w:val="af7"/>
          <w:rFonts w:eastAsia="Guttman Hodes" w:hint="cs"/>
          <w:rtl/>
        </w:rPr>
        <w:instrText xml:space="preserve"> _</w:instrText>
      </w:r>
      <w:r w:rsidRPr="00A05F17">
        <w:rPr>
          <w:rStyle w:val="af7"/>
          <w:rFonts w:eastAsia="Guttman Hodes" w:hint="cs"/>
        </w:rPr>
        <w:instrText>Ref64451602 \r \h</w:instrText>
      </w:r>
      <w:r w:rsidRPr="00A05F17">
        <w:rPr>
          <w:rStyle w:val="af7"/>
          <w:rFonts w:eastAsia="Guttman Hodes"/>
          <w:rtl/>
        </w:rPr>
        <w:instrText xml:space="preserve"> </w:instrText>
      </w:r>
      <w:r w:rsidRPr="00A05F17">
        <w:rPr>
          <w:rStyle w:val="af7"/>
          <w:rFonts w:eastAsia="Guttman Hodes"/>
          <w:rtl/>
        </w:rPr>
      </w:r>
      <w:r w:rsidRPr="00A05F17">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05F17">
        <w:rPr>
          <w:rStyle w:val="af7"/>
          <w:rFonts w:eastAsia="Guttman Hodes"/>
          <w:rtl/>
        </w:rPr>
        <w:fldChar w:fldCharType="end"/>
      </w:r>
      <w:r>
        <w:rPr>
          <w:rFonts w:hint="cs"/>
          <w:rtl/>
        </w:rPr>
        <w:t xml:space="preserve">] דההוא גברא הודה לרב אידי, ודאי שהוא יכול לחזור ולטעון שלא אכל את הפירות, ולומר דמה שאמר כן בתחילה הוא בכדי לחזק את דבריו, כיון שבמה שהודה לרב אידי הוא כמשיב אבידה, וכשחוזר וטוען שלא אכל את הפירות, אינו סותר לגמרי את הודאתו הראשונה, דהא הוא נותן אמתלא לדבריו, </w:t>
      </w:r>
      <w:r w:rsidRPr="00B96B76">
        <w:rPr>
          <w:rStyle w:val="afb"/>
          <w:rFonts w:hint="cs"/>
          <w:rtl/>
        </w:rPr>
        <w:t xml:space="preserve">[וכתב </w:t>
      </w:r>
      <w:r w:rsidRPr="00B96B76">
        <w:rPr>
          <w:rStyle w:val="affa"/>
          <w:rFonts w:hint="cs"/>
          <w:rtl/>
        </w:rPr>
        <w:t>הריטב"א</w:t>
      </w:r>
      <w:r w:rsidRPr="00B96B76">
        <w:rPr>
          <w:rStyle w:val="afb"/>
          <w:rFonts w:hint="cs"/>
          <w:rtl/>
        </w:rPr>
        <w:t xml:space="preserve"> דדמי להא דאיתא לעיל </w:t>
      </w:r>
      <w:r w:rsidRPr="00B96B76">
        <w:rPr>
          <w:rStyle w:val="aff6"/>
          <w:rFonts w:hint="cs"/>
          <w:rtl/>
        </w:rPr>
        <w:t>(לא.)</w:t>
      </w:r>
      <w:r w:rsidRPr="00B96B76">
        <w:rPr>
          <w:rStyle w:val="afb"/>
          <w:rFonts w:hint="cs"/>
          <w:rtl/>
        </w:rPr>
        <w:t xml:space="preserve"> דנאמן לחזור ולטעון דסמיך עלה כדאבהתי],</w:t>
      </w:r>
      <w:r>
        <w:rPr>
          <w:rFonts w:hint="cs"/>
          <w:rtl/>
        </w:rPr>
        <w:t xml:space="preserve"> והוסיף </w:t>
      </w:r>
      <w:r w:rsidRPr="00F310B5">
        <w:rPr>
          <w:rStyle w:val="af9"/>
          <w:rFonts w:hint="cs"/>
          <w:rtl/>
        </w:rPr>
        <w:t>הריטב"א</w:t>
      </w:r>
      <w:r>
        <w:rPr>
          <w:rFonts w:hint="cs"/>
          <w:rtl/>
        </w:rPr>
        <w:t xml:space="preserve"> דאף לפי הגירסא [עי' </w:t>
      </w:r>
      <w:r w:rsidRPr="0031000F">
        <w:rPr>
          <w:rStyle w:val="af9"/>
          <w:rFonts w:hint="cs"/>
          <w:rtl/>
        </w:rPr>
        <w:t>ר"ח</w:t>
      </w:r>
      <w:r>
        <w:rPr>
          <w:rFonts w:hint="cs"/>
          <w:rtl/>
        </w:rPr>
        <w:t xml:space="preserve"> </w:t>
      </w:r>
      <w:r w:rsidRPr="0031000F">
        <w:rPr>
          <w:rStyle w:val="af7"/>
          <w:rFonts w:eastAsia="Guttman Hodes" w:hint="cs"/>
          <w:rtl/>
        </w:rPr>
        <w:t xml:space="preserve">(עי' אות </w:t>
      </w:r>
      <w:r w:rsidRPr="0031000F">
        <w:rPr>
          <w:rStyle w:val="af7"/>
          <w:rFonts w:eastAsia="Guttman Hodes"/>
          <w:rtl/>
        </w:rPr>
        <w:fldChar w:fldCharType="begin"/>
      </w:r>
      <w:r w:rsidRPr="0031000F">
        <w:rPr>
          <w:rStyle w:val="af7"/>
          <w:rFonts w:eastAsia="Guttman Hodes"/>
          <w:rtl/>
        </w:rPr>
        <w:instrText xml:space="preserve"> </w:instrText>
      </w:r>
      <w:r w:rsidRPr="0031000F">
        <w:rPr>
          <w:rStyle w:val="af7"/>
          <w:rFonts w:eastAsia="Guttman Hodes" w:hint="cs"/>
        </w:rPr>
        <w:instrText>REF</w:instrText>
      </w:r>
      <w:r w:rsidRPr="0031000F">
        <w:rPr>
          <w:rStyle w:val="af7"/>
          <w:rFonts w:eastAsia="Guttman Hodes" w:hint="cs"/>
          <w:rtl/>
        </w:rPr>
        <w:instrText xml:space="preserve"> _</w:instrText>
      </w:r>
      <w:r w:rsidRPr="0031000F">
        <w:rPr>
          <w:rStyle w:val="af7"/>
          <w:rFonts w:eastAsia="Guttman Hodes" w:hint="cs"/>
        </w:rPr>
        <w:instrText>Ref64561356 \r \h</w:instrText>
      </w:r>
      <w:r w:rsidRPr="0031000F">
        <w:rPr>
          <w:rStyle w:val="af7"/>
          <w:rFonts w:eastAsia="Guttman Hodes"/>
          <w:rtl/>
        </w:rPr>
        <w:instrText xml:space="preserve"> </w:instrText>
      </w:r>
      <w:r w:rsidRPr="0031000F">
        <w:rPr>
          <w:rStyle w:val="af7"/>
          <w:rFonts w:eastAsia="Guttman Hodes"/>
          <w:rtl/>
        </w:rPr>
      </w:r>
      <w:r w:rsidRPr="0031000F">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31000F">
        <w:rPr>
          <w:rStyle w:val="af7"/>
          <w:rFonts w:eastAsia="Guttman Hodes"/>
          <w:rtl/>
        </w:rPr>
        <w:fldChar w:fldCharType="end"/>
      </w:r>
      <w:r>
        <w:rPr>
          <w:rFonts w:hint="cs"/>
          <w:rtl/>
        </w:rPr>
        <w:t>] שבאו עדים שרב אידי קרוב, מ"מ הוא נאמן לחזור ולטעון שלא אכל פירות, כיון שהשטענה הראשונה שהודה שאכל פירות הוא בכדי לחזק את דבריו, ועביד איניש דאמר הכי.</w:t>
      </w:r>
    </w:p>
    <w:p w:rsidR="00103C1B" w:rsidRPr="008731E0" w:rsidRDefault="00103C1B" w:rsidP="00103C1B">
      <w:pPr>
        <w:pStyle w:val="a3"/>
        <w:rPr>
          <w:rtl/>
        </w:rPr>
      </w:pPr>
      <w:bookmarkStart w:id="15689" w:name="_Toc64588807"/>
      <w:bookmarkStart w:id="15690" w:name="_Toc64629398"/>
      <w:bookmarkStart w:id="15691" w:name="_Toc64642861"/>
      <w:r>
        <w:rPr>
          <w:rFonts w:hint="cs"/>
          <w:rtl/>
        </w:rPr>
        <w:t>דברי הריטב"א דלאביי ורבא אחר שהתחייב בהודאתו אינו נאמן בשום מיגו לחזור ולטעון</w:t>
      </w:r>
      <w:bookmarkEnd w:id="15689"/>
      <w:bookmarkEnd w:id="15690"/>
      <w:bookmarkEnd w:id="15691"/>
    </w:p>
    <w:p w:rsidR="00103C1B" w:rsidRPr="00B96B76" w:rsidRDefault="00103C1B" w:rsidP="007E4E81">
      <w:pPr>
        <w:pStyle w:val="a0"/>
        <w:rPr>
          <w:rStyle w:val="afb"/>
          <w:rtl/>
        </w:rPr>
      </w:pPr>
      <w:r>
        <w:rPr>
          <w:rFonts w:hint="cs"/>
          <w:rtl/>
        </w:rPr>
        <w:t xml:space="preserve">ובדעת אביי ורבא ביאר </w:t>
      </w:r>
      <w:r w:rsidRPr="00F310B5">
        <w:rPr>
          <w:rStyle w:val="af9"/>
          <w:rFonts w:hint="cs"/>
          <w:rtl/>
        </w:rPr>
        <w:t>הריטב"א</w:t>
      </w:r>
      <w:r>
        <w:rPr>
          <w:rFonts w:hint="cs"/>
          <w:rtl/>
        </w:rPr>
        <w:t xml:space="preserve"> </w:t>
      </w:r>
      <w:r w:rsidRPr="00B96B76">
        <w:rPr>
          <w:rStyle w:val="af7"/>
          <w:rFonts w:eastAsia="Guttman Hodes" w:hint="cs"/>
          <w:rtl/>
        </w:rPr>
        <w:t>(ד"ה ואביי)</w:t>
      </w:r>
      <w:r>
        <w:rPr>
          <w:rFonts w:hint="cs"/>
          <w:rtl/>
        </w:rPr>
        <w:t xml:space="preserve"> בשם </w:t>
      </w:r>
      <w:r w:rsidRPr="00F310B5">
        <w:rPr>
          <w:rStyle w:val="af9"/>
          <w:rFonts w:hint="cs"/>
          <w:rtl/>
        </w:rPr>
        <w:t>הרא"ה</w:t>
      </w:r>
      <w:r>
        <w:rPr>
          <w:rFonts w:hint="cs"/>
          <w:rtl/>
        </w:rPr>
        <w:t xml:space="preserve"> דס"ל דאינו נאמן לחזור ולטעון, דכיון שהודה בתחילה שאכל את הפירות אף שטוען שאמר כן בדרך טענה לחזק את דבריו, מ"מ הוא התחייב כבר בהודאתו, ואינו חוזר וטוען, ואעפ"י דכל מה שזכה רב אידי הוא מכח ההודאה השניה שהודה שרב אידי קרוב, [לגירסת </w:t>
      </w:r>
      <w:r w:rsidRPr="00F310B5">
        <w:rPr>
          <w:rStyle w:val="af9"/>
          <w:rFonts w:hint="cs"/>
          <w:rtl/>
        </w:rPr>
        <w:t>הרשב"ם</w:t>
      </w:r>
      <w:r>
        <w:rPr>
          <w:rStyle w:val="af9"/>
          <w:rFonts w:hint="cs"/>
          <w:rtl/>
        </w:rPr>
        <w:t xml:space="preserve"> </w:t>
      </w:r>
      <w:r w:rsidRPr="00A05F17">
        <w:rPr>
          <w:rStyle w:val="af7"/>
          <w:rFonts w:eastAsia="Guttman Hodes" w:hint="cs"/>
          <w:rtl/>
        </w:rPr>
        <w:t xml:space="preserve">(עי' אות </w:t>
      </w:r>
      <w:r w:rsidRPr="00A05F17">
        <w:rPr>
          <w:rStyle w:val="af7"/>
          <w:rFonts w:eastAsia="Guttman Hodes"/>
          <w:rtl/>
        </w:rPr>
        <w:fldChar w:fldCharType="begin"/>
      </w:r>
      <w:r w:rsidRPr="00A05F17">
        <w:rPr>
          <w:rStyle w:val="af7"/>
          <w:rFonts w:eastAsia="Guttman Hodes"/>
          <w:rtl/>
        </w:rPr>
        <w:instrText xml:space="preserve"> </w:instrText>
      </w:r>
      <w:r w:rsidRPr="00A05F17">
        <w:rPr>
          <w:rStyle w:val="af7"/>
          <w:rFonts w:eastAsia="Guttman Hodes" w:hint="cs"/>
        </w:rPr>
        <w:instrText>REF</w:instrText>
      </w:r>
      <w:r w:rsidRPr="00A05F17">
        <w:rPr>
          <w:rStyle w:val="af7"/>
          <w:rFonts w:eastAsia="Guttman Hodes" w:hint="cs"/>
          <w:rtl/>
        </w:rPr>
        <w:instrText xml:space="preserve"> _</w:instrText>
      </w:r>
      <w:r w:rsidRPr="00A05F17">
        <w:rPr>
          <w:rStyle w:val="af7"/>
          <w:rFonts w:eastAsia="Guttman Hodes" w:hint="cs"/>
        </w:rPr>
        <w:instrText>Ref64451602 \r \h</w:instrText>
      </w:r>
      <w:r w:rsidRPr="00A05F17">
        <w:rPr>
          <w:rStyle w:val="af7"/>
          <w:rFonts w:eastAsia="Guttman Hodes"/>
          <w:rtl/>
        </w:rPr>
        <w:instrText xml:space="preserve"> </w:instrText>
      </w:r>
      <w:r w:rsidRPr="00A05F17">
        <w:rPr>
          <w:rStyle w:val="af7"/>
          <w:rFonts w:eastAsia="Guttman Hodes"/>
          <w:rtl/>
        </w:rPr>
      </w:r>
      <w:r w:rsidRPr="00A05F17">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A05F17">
        <w:rPr>
          <w:rStyle w:val="af7"/>
          <w:rFonts w:eastAsia="Guttman Hodes"/>
          <w:rtl/>
        </w:rPr>
        <w:fldChar w:fldCharType="end"/>
      </w:r>
      <w:r>
        <w:rPr>
          <w:rFonts w:hint="cs"/>
          <w:rtl/>
        </w:rPr>
        <w:t xml:space="preserve">], מ"מ אינו נאמן בשום מיגו לסתור את מה שהודה בב"ד, וכתב </w:t>
      </w:r>
      <w:r w:rsidRPr="00F310B5">
        <w:rPr>
          <w:rStyle w:val="af9"/>
          <w:rFonts w:hint="cs"/>
          <w:rtl/>
        </w:rPr>
        <w:t>הריטב"א</w:t>
      </w:r>
      <w:r>
        <w:rPr>
          <w:rFonts w:hint="cs"/>
          <w:rtl/>
        </w:rPr>
        <w:t xml:space="preserve"> דקיי"ל כאביי ורבא. </w:t>
      </w:r>
      <w:r w:rsidRPr="00B96B76">
        <w:rPr>
          <w:rStyle w:val="afb"/>
          <w:rFonts w:hint="cs"/>
          <w:rtl/>
        </w:rPr>
        <w:t xml:space="preserve">[והוסיף </w:t>
      </w:r>
      <w:r w:rsidRPr="00B96B76">
        <w:rPr>
          <w:rStyle w:val="affa"/>
          <w:rFonts w:hint="cs"/>
          <w:rtl/>
        </w:rPr>
        <w:t>הריטב"א</w:t>
      </w:r>
      <w:r w:rsidRPr="00B96B76">
        <w:rPr>
          <w:rStyle w:val="afb"/>
          <w:rFonts w:hint="cs"/>
          <w:rtl/>
        </w:rPr>
        <w:t xml:space="preserve"> בשם </w:t>
      </w:r>
      <w:r w:rsidRPr="00B96B76">
        <w:rPr>
          <w:rStyle w:val="affa"/>
          <w:rFonts w:hint="cs"/>
          <w:rtl/>
        </w:rPr>
        <w:t>הרא"ה</w:t>
      </w:r>
      <w:r w:rsidRPr="00B96B76">
        <w:rPr>
          <w:rStyle w:val="afb"/>
          <w:rFonts w:hint="cs"/>
          <w:rtl/>
        </w:rPr>
        <w:t xml:space="preserve"> דה"ה במודה בב"ד בשטר שהוא פרוע או </w:t>
      </w:r>
      <w:r>
        <w:rPr>
          <w:rStyle w:val="afb"/>
          <w:rFonts w:hint="cs"/>
          <w:rtl/>
        </w:rPr>
        <w:t>א</w:t>
      </w:r>
      <w:r w:rsidRPr="00B96B76">
        <w:rPr>
          <w:rStyle w:val="afb"/>
          <w:rFonts w:hint="cs"/>
          <w:rtl/>
        </w:rPr>
        <w:t xml:space="preserve">מנה, </w:t>
      </w:r>
      <w:r>
        <w:rPr>
          <w:rStyle w:val="afb"/>
          <w:rFonts w:hint="cs"/>
          <w:rtl/>
        </w:rPr>
        <w:t xml:space="preserve">וחזר וטען שאמר כן </w:t>
      </w:r>
      <w:r w:rsidRPr="00B96B76">
        <w:rPr>
          <w:rStyle w:val="afb"/>
          <w:rFonts w:hint="cs"/>
          <w:rtl/>
        </w:rPr>
        <w:t>כדי להבריחו מבעל חוב, ד</w:t>
      </w:r>
      <w:r>
        <w:rPr>
          <w:rStyle w:val="afb"/>
          <w:rFonts w:hint="cs"/>
          <w:rtl/>
        </w:rPr>
        <w:t>אינו נאמן לחזור בו, ו</w:t>
      </w:r>
      <w:r w:rsidRPr="00B96B76">
        <w:rPr>
          <w:rStyle w:val="afb"/>
          <w:rFonts w:hint="cs"/>
          <w:rtl/>
        </w:rPr>
        <w:t>מהני הודאתו ללוה של השטר, דכיון דאודי אודי, ו</w:t>
      </w:r>
      <w:r>
        <w:rPr>
          <w:rStyle w:val="afb"/>
          <w:rFonts w:hint="cs"/>
          <w:rtl/>
        </w:rPr>
        <w:t>אעפ"י שלא הודה ממש ללוה, ואינו נאמן</w:t>
      </w:r>
      <w:r w:rsidRPr="00B96B76">
        <w:rPr>
          <w:rStyle w:val="afb"/>
          <w:rFonts w:hint="cs"/>
          <w:rtl/>
        </w:rPr>
        <w:t xml:space="preserve"> לטעון שהודה כן בכדי להשמט מהבעל חוב].</w:t>
      </w:r>
    </w:p>
    <w:p w:rsidR="00103C1B" w:rsidRDefault="00103C1B" w:rsidP="00103C1B">
      <w:pPr>
        <w:pStyle w:val="afe"/>
        <w:rPr>
          <w:rtl/>
        </w:rPr>
      </w:pPr>
      <w:bookmarkStart w:id="15692" w:name="_Toc64549021"/>
      <w:bookmarkStart w:id="15693" w:name="_Toc64576196"/>
      <w:bookmarkStart w:id="15694" w:name="_Toc64588808"/>
      <w:bookmarkStart w:id="15695" w:name="_Toc64629399"/>
      <w:bookmarkStart w:id="15696" w:name="_Toc64642862"/>
      <w:r>
        <w:rPr>
          <w:rFonts w:hint="cs"/>
          <w:rtl/>
        </w:rPr>
        <w:t>גי' ר"ח דבאו עדים שהוא קרוב ול"ג טפי</w:t>
      </w:r>
      <w:bookmarkEnd w:id="15657"/>
      <w:bookmarkEnd w:id="15658"/>
      <w:bookmarkEnd w:id="15692"/>
      <w:bookmarkEnd w:id="15693"/>
      <w:bookmarkEnd w:id="15694"/>
      <w:bookmarkEnd w:id="15695"/>
      <w:bookmarkEnd w:id="15696"/>
    </w:p>
    <w:p w:rsidR="00103C1B" w:rsidRDefault="00103C1B" w:rsidP="00103C1B">
      <w:pPr>
        <w:pStyle w:val="1"/>
        <w:rPr>
          <w:rtl/>
        </w:rPr>
      </w:pPr>
      <w:bookmarkStart w:id="15697" w:name="_Toc64642863"/>
      <w:bookmarkEnd w:id="15590"/>
      <w:r>
        <w:rPr>
          <w:rFonts w:hint="cs"/>
          <w:rtl/>
        </w:rPr>
        <w:t>גירסת ר"ח דיש עדים שר"א קרוב ואינם מכירים את ההוא גברא</w:t>
      </w:r>
      <w:bookmarkEnd w:id="15697"/>
    </w:p>
    <w:p w:rsidR="00103C1B" w:rsidRDefault="00103C1B" w:rsidP="00103C1B">
      <w:pPr>
        <w:pStyle w:val="a3"/>
        <w:rPr>
          <w:rtl/>
        </w:rPr>
      </w:pPr>
      <w:bookmarkStart w:id="15698" w:name="_Toc64588810"/>
      <w:bookmarkStart w:id="15699" w:name="_Toc64629401"/>
      <w:bookmarkStart w:id="15700" w:name="_Toc64642864"/>
      <w:r>
        <w:rPr>
          <w:rFonts w:hint="cs"/>
          <w:rtl/>
        </w:rPr>
        <w:t>גירסת ר"ח דיש עדים שרב אידי קרוב ול"ג "טפי" דהעדים אינם יודעים האם ההוא גברא קרוב</w:t>
      </w:r>
      <w:bookmarkEnd w:id="15698"/>
      <w:bookmarkEnd w:id="15699"/>
      <w:bookmarkEnd w:id="15700"/>
    </w:p>
    <w:p w:rsidR="00103C1B" w:rsidRDefault="00103C1B" w:rsidP="007E4E81">
      <w:pPr>
        <w:pStyle w:val="a0"/>
      </w:pPr>
      <w:bookmarkStart w:id="15701" w:name="_Ref64587281"/>
      <w:bookmarkStart w:id="15702" w:name="_Ref64561356"/>
      <w:bookmarkStart w:id="15703" w:name="_Ref64303077"/>
      <w:r>
        <w:rPr>
          <w:rFonts w:hint="cs"/>
          <w:rtl/>
        </w:rPr>
        <w:t xml:space="preserve">הביא </w:t>
      </w:r>
      <w:r w:rsidRPr="00B17200">
        <w:rPr>
          <w:rStyle w:val="af9"/>
          <w:rFonts w:hint="cs"/>
          <w:rtl/>
        </w:rPr>
        <w:t>הרשב"ם</w:t>
      </w:r>
      <w:r>
        <w:rPr>
          <w:rFonts w:hint="cs"/>
          <w:rtl/>
        </w:rPr>
        <w:t xml:space="preserve"> </w:t>
      </w:r>
      <w:r w:rsidRPr="00B371A8">
        <w:rPr>
          <w:rStyle w:val="af7"/>
          <w:rFonts w:eastAsia="Guttman Hodes" w:hint="cs"/>
          <w:rtl/>
        </w:rPr>
        <w:t>(ד"ה ויש ספרים)</w:t>
      </w:r>
      <w:r>
        <w:rPr>
          <w:rFonts w:hint="cs"/>
          <w:rtl/>
        </w:rPr>
        <w:t xml:space="preserve"> </w:t>
      </w:r>
      <w:r w:rsidRPr="00B17200">
        <w:rPr>
          <w:rStyle w:val="af9"/>
          <w:rFonts w:hint="cs"/>
          <w:rtl/>
        </w:rPr>
        <w:t>דר"ח</w:t>
      </w:r>
      <w:r>
        <w:rPr>
          <w:rFonts w:hint="cs"/>
          <w:rtl/>
        </w:rPr>
        <w:t xml:space="preserve"> גרס דרב אידי הביא עדים שהוא קרוב למוריש, ולכן העמיד רב חסדא את הקרקע בידו, וכ"כ </w:t>
      </w:r>
      <w:bookmarkStart w:id="15704" w:name="_Ref64303642"/>
      <w:r w:rsidRPr="008076B1">
        <w:rPr>
          <w:rStyle w:val="af9"/>
          <w:rFonts w:hint="cs"/>
          <w:rtl/>
        </w:rPr>
        <w:t>ר"י בתוס'</w:t>
      </w:r>
      <w:r>
        <w:rPr>
          <w:rFonts w:hint="cs"/>
          <w:rtl/>
        </w:rPr>
        <w:t xml:space="preserve"> </w:t>
      </w:r>
      <w:r w:rsidRPr="00B371A8">
        <w:rPr>
          <w:rStyle w:val="af7"/>
          <w:rFonts w:eastAsia="Guttman Hodes" w:hint="cs"/>
          <w:rtl/>
        </w:rPr>
        <w:t>(ד"ה ה"ג)</w:t>
      </w:r>
      <w:r>
        <w:rPr>
          <w:rFonts w:hint="cs"/>
          <w:rtl/>
        </w:rPr>
        <w:t xml:space="preserve"> דנראה כגירסת </w:t>
      </w:r>
      <w:r w:rsidRPr="008076B1">
        <w:rPr>
          <w:rStyle w:val="af9"/>
          <w:rFonts w:hint="cs"/>
          <w:rtl/>
        </w:rPr>
        <w:t>ר"ח</w:t>
      </w:r>
      <w:r>
        <w:rPr>
          <w:rFonts w:hint="cs"/>
          <w:rtl/>
        </w:rPr>
        <w:t xml:space="preserve"> דלא גרסינן "לסוף אודי ליה", אלא גרסינן "לסוף אייתי סהדי דאיהו קריביה", ולא גרסינן "קרוב טפי", והיינו דרב אידי הביא עדים שהוא קרוב, אך לא העידו העדים דרב אידי קרוב יותר מההוא גברא, ואינם יודעים אם הוא קרוב או לא, ולא היה לההוא גברא כל עדים שהוא קרוב, וכ"כ </w:t>
      </w:r>
      <w:r w:rsidRPr="0002227D">
        <w:rPr>
          <w:rStyle w:val="af9"/>
          <w:rFonts w:hint="cs"/>
          <w:rtl/>
        </w:rPr>
        <w:t>רבינו</w:t>
      </w:r>
      <w:r>
        <w:rPr>
          <w:rFonts w:hint="cs"/>
          <w:rtl/>
        </w:rPr>
        <w:t xml:space="preserve"> </w:t>
      </w:r>
      <w:r w:rsidRPr="0002227D">
        <w:rPr>
          <w:rStyle w:val="af9"/>
          <w:rFonts w:hint="cs"/>
          <w:rtl/>
        </w:rPr>
        <w:t>יונה</w:t>
      </w:r>
      <w:r>
        <w:rPr>
          <w:rFonts w:hint="cs"/>
          <w:rtl/>
        </w:rPr>
        <w:t xml:space="preserve"> </w:t>
      </w:r>
      <w:r w:rsidRPr="00450D69">
        <w:rPr>
          <w:rStyle w:val="af7"/>
          <w:rFonts w:eastAsia="Guttman Hodes" w:hint="cs"/>
          <w:rtl/>
        </w:rPr>
        <w:t>(ד"ה ה"ג)</w:t>
      </w:r>
      <w:r>
        <w:rPr>
          <w:rFonts w:hint="cs"/>
          <w:rtl/>
        </w:rPr>
        <w:t xml:space="preserve"> </w:t>
      </w:r>
      <w:r>
        <w:rPr>
          <w:rStyle w:val="af9"/>
          <w:rFonts w:hint="cs"/>
          <w:rtl/>
        </w:rPr>
        <w:t>ו</w:t>
      </w:r>
      <w:r w:rsidRPr="001206C1">
        <w:rPr>
          <w:rStyle w:val="af9"/>
          <w:rFonts w:hint="cs"/>
          <w:rtl/>
        </w:rPr>
        <w:t xml:space="preserve">הרשב"א </w:t>
      </w:r>
      <w:r w:rsidRPr="00B371A8">
        <w:rPr>
          <w:rStyle w:val="af7"/>
          <w:rFonts w:eastAsia="Guttman Hodes" w:hint="cs"/>
          <w:b/>
          <w:bCs/>
          <w:rtl/>
        </w:rPr>
        <w:t>(</w:t>
      </w:r>
      <w:r w:rsidRPr="00B371A8">
        <w:rPr>
          <w:rStyle w:val="af7"/>
          <w:rFonts w:eastAsia="Guttman Hodes" w:hint="cs"/>
          <w:rtl/>
        </w:rPr>
        <w:t>ד"ה והגירסא)</w:t>
      </w:r>
      <w:r>
        <w:rPr>
          <w:rFonts w:hint="cs"/>
          <w:rtl/>
        </w:rPr>
        <w:t xml:space="preserve"> דהגירסא הנכונה היא גירסת </w:t>
      </w:r>
      <w:r w:rsidRPr="001206C1">
        <w:rPr>
          <w:rStyle w:val="af9"/>
          <w:rFonts w:hint="cs"/>
          <w:rtl/>
        </w:rPr>
        <w:t>ר"ח</w:t>
      </w:r>
      <w:r>
        <w:rPr>
          <w:rFonts w:hint="cs"/>
          <w:rtl/>
        </w:rPr>
        <w:t xml:space="preserve">, וכן היא גירסת </w:t>
      </w:r>
      <w:r w:rsidRPr="00ED0E90">
        <w:rPr>
          <w:rStyle w:val="af9"/>
          <w:rFonts w:hint="cs"/>
          <w:rtl/>
        </w:rPr>
        <w:t>הבעה"מ</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Ref64407298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Pr>
          <w:rStyle w:val="af7"/>
          <w:rFonts w:eastAsia="Guttman Hodes"/>
          <w:rtl/>
        </w:rPr>
        <w:fldChar w:fldCharType="end"/>
      </w:r>
      <w:r>
        <w:rPr>
          <w:rStyle w:val="af1"/>
          <w:rFonts w:ascii="Calibri" w:hAnsi="Calibri" w:cs="Guttman Rashi"/>
          <w:sz w:val="10"/>
          <w:szCs w:val="12"/>
          <w:rtl/>
        </w:rPr>
        <w:footnoteReference w:id="112"/>
      </w:r>
      <w:r>
        <w:rPr>
          <w:rFonts w:hint="cs"/>
          <w:rtl/>
        </w:rPr>
        <w:t>.</w:t>
      </w:r>
      <w:bookmarkEnd w:id="15701"/>
    </w:p>
    <w:p w:rsidR="00103C1B" w:rsidRPr="0032350C" w:rsidRDefault="00103C1B" w:rsidP="00103C1B">
      <w:pPr>
        <w:pStyle w:val="a3"/>
      </w:pPr>
      <w:bookmarkStart w:id="15705" w:name="_Toc64588811"/>
      <w:bookmarkStart w:id="15706" w:name="_Toc64629402"/>
      <w:bookmarkStart w:id="15707" w:name="_Toc64642865"/>
      <w:bookmarkEnd w:id="15702"/>
      <w:r>
        <w:rPr>
          <w:rFonts w:hint="cs"/>
          <w:rtl/>
        </w:rPr>
        <w:lastRenderedPageBreak/>
        <w:t>דברי התוס' דלגי' ר"ח אי גרסינן "טפי" היינו דר"א קרוב יותר משאר קרובים ולא מההוא גברא</w:t>
      </w:r>
      <w:bookmarkEnd w:id="15705"/>
      <w:bookmarkEnd w:id="15706"/>
      <w:bookmarkEnd w:id="15707"/>
    </w:p>
    <w:p w:rsidR="00103C1B" w:rsidRDefault="00103C1B" w:rsidP="007E4E81">
      <w:pPr>
        <w:pStyle w:val="a0"/>
        <w:rPr>
          <w:rStyle w:val="afb"/>
          <w:rtl/>
        </w:rPr>
      </w:pPr>
      <w:r>
        <w:rPr>
          <w:rFonts w:hint="cs"/>
          <w:rtl/>
        </w:rPr>
        <w:t xml:space="preserve">והוסיפו </w:t>
      </w:r>
      <w:r w:rsidRPr="008076B1">
        <w:rPr>
          <w:rStyle w:val="af9"/>
          <w:rFonts w:hint="cs"/>
          <w:rtl/>
        </w:rPr>
        <w:t>התוס'</w:t>
      </w:r>
      <w:r>
        <w:rPr>
          <w:rFonts w:hint="cs"/>
          <w:rtl/>
        </w:rPr>
        <w:t xml:space="preserve"> דלגירסת </w:t>
      </w:r>
      <w:r w:rsidRPr="007C5B46">
        <w:rPr>
          <w:rStyle w:val="af9"/>
          <w:rFonts w:hint="cs"/>
          <w:rtl/>
        </w:rPr>
        <w:t>ר"ח</w:t>
      </w:r>
      <w:r>
        <w:rPr>
          <w:rFonts w:hint="cs"/>
          <w:rtl/>
        </w:rPr>
        <w:t xml:space="preserve"> אף אי גרסינן שהוא קרוב "טפי", אפשר לבאר דהכוונה שרב אידי הוא קרוב יותר משאר התובעים שהעדים הכירו. </w:t>
      </w:r>
      <w:r w:rsidRPr="00CF6669">
        <w:rPr>
          <w:rStyle w:val="afb"/>
          <w:rFonts w:hint="cs"/>
          <w:rtl/>
        </w:rPr>
        <w:t xml:space="preserve">[אך </w:t>
      </w:r>
      <w:r>
        <w:rPr>
          <w:rStyle w:val="afb"/>
          <w:rFonts w:hint="cs"/>
          <w:rtl/>
        </w:rPr>
        <w:t>לא העידו שרב אידי קרוב יותר</w:t>
      </w:r>
      <w:r w:rsidRPr="00CF6669">
        <w:rPr>
          <w:rStyle w:val="afb"/>
          <w:rFonts w:hint="cs"/>
          <w:rtl/>
        </w:rPr>
        <w:t xml:space="preserve"> מההוא גברא</w:t>
      </w:r>
      <w:r>
        <w:rPr>
          <w:rStyle w:val="afb"/>
          <w:rFonts w:hint="cs"/>
          <w:rtl/>
        </w:rPr>
        <w:t>, ד</w:t>
      </w:r>
      <w:r w:rsidRPr="00CF6669">
        <w:rPr>
          <w:rStyle w:val="afb"/>
          <w:rFonts w:hint="cs"/>
          <w:rtl/>
        </w:rPr>
        <w:t>אינם מכירים אותו אם הוא קרוב או לא].</w:t>
      </w:r>
    </w:p>
    <w:p w:rsidR="00103C1B" w:rsidRDefault="00103C1B" w:rsidP="00103C1B">
      <w:pPr>
        <w:pStyle w:val="a3"/>
        <w:rPr>
          <w:rtl/>
        </w:rPr>
      </w:pPr>
      <w:bookmarkStart w:id="15708" w:name="_Toc64588812"/>
      <w:bookmarkStart w:id="15709" w:name="_Toc64629403"/>
      <w:bookmarkStart w:id="15710" w:name="_Toc64642866"/>
      <w:bookmarkEnd w:id="15704"/>
      <w:r>
        <w:rPr>
          <w:rFonts w:hint="cs"/>
          <w:rtl/>
        </w:rPr>
        <w:t>ביאור רבינו יונה בר"ח דההוא גברא טען שהוא מזרע אחי המת ור"א מזרע האחיות</w:t>
      </w:r>
      <w:bookmarkEnd w:id="15708"/>
      <w:bookmarkEnd w:id="15709"/>
      <w:bookmarkEnd w:id="15710"/>
    </w:p>
    <w:p w:rsidR="00103C1B" w:rsidRDefault="00103C1B" w:rsidP="007E4E81">
      <w:pPr>
        <w:pStyle w:val="a0"/>
      </w:pPr>
      <w:bookmarkStart w:id="15711" w:name="_Ref64368995"/>
      <w:r>
        <w:rPr>
          <w:rFonts w:hint="cs"/>
          <w:rtl/>
        </w:rPr>
        <w:t xml:space="preserve">וביאר </w:t>
      </w:r>
      <w:r w:rsidRPr="00887FBB">
        <w:rPr>
          <w:rStyle w:val="af9"/>
          <w:rFonts w:hint="cs"/>
          <w:rtl/>
        </w:rPr>
        <w:t>רבינו יונה</w:t>
      </w:r>
      <w:r>
        <w:rPr>
          <w:rFonts w:hint="cs"/>
          <w:rtl/>
        </w:rPr>
        <w:t xml:space="preserve"> </w:t>
      </w:r>
      <w:r w:rsidRPr="00450D69">
        <w:rPr>
          <w:rStyle w:val="af7"/>
          <w:rFonts w:eastAsia="Guttman Hodes" w:hint="cs"/>
          <w:rtl/>
        </w:rPr>
        <w:t>(ד"ה ה"ג)</w:t>
      </w:r>
      <w:r>
        <w:rPr>
          <w:rFonts w:hint="cs"/>
          <w:rtl/>
        </w:rPr>
        <w:t xml:space="preserve"> בדעת </w:t>
      </w:r>
      <w:r w:rsidRPr="0002227D">
        <w:rPr>
          <w:rStyle w:val="af9"/>
          <w:rFonts w:hint="cs"/>
          <w:rtl/>
        </w:rPr>
        <w:t>ר"ח</w:t>
      </w:r>
      <w:r>
        <w:rPr>
          <w:rFonts w:hint="cs"/>
          <w:rtl/>
        </w:rPr>
        <w:t xml:space="preserve"> דההוא גברא טען שהוא קרוב וראוי לירש, כגון שרב אידי היה קרובו של המת מזרע אחיותיו, ואילו ההוא גברא טען שהוא קרובו מזרע אחיו, והביא רב אידי עדים שהוא קרוב, והעדים אינם יודעים אם ההוא גברא קרוב יותר ממנו.</w:t>
      </w:r>
    </w:p>
    <w:p w:rsidR="00103C1B" w:rsidRDefault="00103C1B" w:rsidP="00103C1B">
      <w:pPr>
        <w:pStyle w:val="1"/>
        <w:rPr>
          <w:rtl/>
        </w:rPr>
      </w:pPr>
      <w:bookmarkStart w:id="15712" w:name="_Toc64549023"/>
      <w:bookmarkStart w:id="15713" w:name="_Toc64576198"/>
      <w:bookmarkStart w:id="15714" w:name="_Toc64588813"/>
      <w:bookmarkStart w:id="15715" w:name="_Toc64629404"/>
      <w:bookmarkStart w:id="15716" w:name="_Toc64642867"/>
      <w:bookmarkEnd w:id="15711"/>
      <w:r>
        <w:rPr>
          <w:rFonts w:hint="cs"/>
          <w:rtl/>
        </w:rPr>
        <w:t xml:space="preserve">בביאור </w:t>
      </w:r>
      <w:bookmarkEnd w:id="15712"/>
      <w:r>
        <w:rPr>
          <w:rFonts w:hint="cs"/>
          <w:rtl/>
        </w:rPr>
        <w:t>דעת הר"ח בדברי רב חסדא דא"צ להחזיר את הפירות</w:t>
      </w:r>
      <w:bookmarkEnd w:id="15713"/>
      <w:bookmarkEnd w:id="15714"/>
      <w:bookmarkEnd w:id="15715"/>
      <w:bookmarkEnd w:id="15716"/>
      <w:r>
        <w:rPr>
          <w:rFonts w:hint="cs"/>
          <w:rtl/>
        </w:rPr>
        <w:t xml:space="preserve"> </w:t>
      </w:r>
    </w:p>
    <w:p w:rsidR="00103C1B" w:rsidRPr="00A64DA6" w:rsidRDefault="00103C1B" w:rsidP="00103C1B">
      <w:pPr>
        <w:pStyle w:val="a3"/>
        <w:rPr>
          <w:rtl/>
        </w:rPr>
      </w:pPr>
      <w:bookmarkStart w:id="15717" w:name="_Toc64588814"/>
      <w:bookmarkStart w:id="15718" w:name="_Toc64629405"/>
      <w:bookmarkStart w:id="15719" w:name="_Toc64642868"/>
      <w:r>
        <w:rPr>
          <w:rFonts w:hint="cs"/>
          <w:rtl/>
        </w:rPr>
        <w:t>ביאור ר"ח ברב חסדא דר"א ודאי קרוב מכח הודאתו ולכן נאמן על הפירות במיגו דלא היה מודה</w:t>
      </w:r>
      <w:bookmarkEnd w:id="15717"/>
      <w:bookmarkEnd w:id="15718"/>
      <w:bookmarkEnd w:id="15719"/>
    </w:p>
    <w:p w:rsidR="00103C1B" w:rsidRDefault="00103C1B" w:rsidP="007E4E81">
      <w:pPr>
        <w:pStyle w:val="a0"/>
        <w:rPr>
          <w:rtl/>
        </w:rPr>
      </w:pPr>
      <w:bookmarkStart w:id="15720" w:name="_Ref64628892"/>
      <w:r>
        <w:rPr>
          <w:rFonts w:hint="cs"/>
          <w:rtl/>
        </w:rPr>
        <w:t xml:space="preserve">ובדברי רב חסדא ביארו </w:t>
      </w:r>
      <w:r w:rsidRPr="00B17200">
        <w:rPr>
          <w:rStyle w:val="af9"/>
          <w:rFonts w:hint="cs"/>
          <w:rtl/>
        </w:rPr>
        <w:t>הרשב"ם</w:t>
      </w:r>
      <w:r>
        <w:rPr>
          <w:rFonts w:hint="cs"/>
          <w:rtl/>
        </w:rPr>
        <w:t xml:space="preserve"> </w:t>
      </w:r>
      <w:r w:rsidRPr="00B371A8">
        <w:rPr>
          <w:rStyle w:val="af7"/>
          <w:rFonts w:eastAsia="Guttman Hodes" w:hint="cs"/>
          <w:rtl/>
        </w:rPr>
        <w:t>(ד"ה ויש ספרים)</w:t>
      </w:r>
      <w:r>
        <w:rPr>
          <w:rFonts w:hint="cs"/>
          <w:rtl/>
        </w:rPr>
        <w:t xml:space="preserve"> </w:t>
      </w:r>
      <w:r>
        <w:rPr>
          <w:rStyle w:val="af9"/>
          <w:rFonts w:hint="cs"/>
          <w:rtl/>
        </w:rPr>
        <w:t>ו</w:t>
      </w:r>
      <w:r w:rsidRPr="008076B1">
        <w:rPr>
          <w:rStyle w:val="af9"/>
          <w:rFonts w:hint="cs"/>
          <w:rtl/>
        </w:rPr>
        <w:t xml:space="preserve">ר"י בתוס' </w:t>
      </w:r>
      <w:r w:rsidRPr="00D44CFA">
        <w:rPr>
          <w:rStyle w:val="af7"/>
          <w:rFonts w:eastAsia="Guttman Hodes" w:hint="cs"/>
          <w:rtl/>
        </w:rPr>
        <w:t>(ד"ה ה"ג)</w:t>
      </w:r>
      <w:r>
        <w:rPr>
          <w:rFonts w:hint="cs"/>
          <w:rtl/>
        </w:rPr>
        <w:t xml:space="preserve"> , </w:t>
      </w:r>
      <w:r>
        <w:rPr>
          <w:rStyle w:val="af9"/>
          <w:rFonts w:hint="cs"/>
          <w:rtl/>
        </w:rPr>
        <w:t>ו</w:t>
      </w:r>
      <w:r w:rsidRPr="0002227D">
        <w:rPr>
          <w:rStyle w:val="af9"/>
          <w:rFonts w:hint="cs"/>
          <w:rtl/>
        </w:rPr>
        <w:t>רבינו</w:t>
      </w:r>
      <w:r>
        <w:rPr>
          <w:rFonts w:hint="cs"/>
          <w:rtl/>
        </w:rPr>
        <w:t xml:space="preserve"> </w:t>
      </w:r>
      <w:r w:rsidRPr="0002227D">
        <w:rPr>
          <w:rStyle w:val="af9"/>
          <w:rFonts w:hint="cs"/>
          <w:rtl/>
        </w:rPr>
        <w:t>יונה</w:t>
      </w:r>
      <w:r>
        <w:rPr>
          <w:rFonts w:hint="cs"/>
          <w:rtl/>
        </w:rPr>
        <w:t xml:space="preserve"> </w:t>
      </w:r>
      <w:r w:rsidRPr="00450D69">
        <w:rPr>
          <w:rStyle w:val="af7"/>
          <w:rFonts w:eastAsia="Guttman Hodes" w:hint="cs"/>
          <w:rtl/>
        </w:rPr>
        <w:t>(ד"ה ה"ג)</w:t>
      </w:r>
      <w:r>
        <w:rPr>
          <w:rFonts w:hint="cs"/>
          <w:rtl/>
        </w:rPr>
        <w:t xml:space="preserve"> </w:t>
      </w:r>
      <w:r>
        <w:rPr>
          <w:rStyle w:val="af9"/>
          <w:rFonts w:hint="cs"/>
          <w:rtl/>
        </w:rPr>
        <w:t>ו</w:t>
      </w:r>
      <w:r w:rsidRPr="001206C1">
        <w:rPr>
          <w:rStyle w:val="af9"/>
          <w:rFonts w:hint="cs"/>
          <w:rtl/>
        </w:rPr>
        <w:t xml:space="preserve">הרשב"א </w:t>
      </w:r>
      <w:r w:rsidRPr="00B371A8">
        <w:rPr>
          <w:rStyle w:val="af7"/>
          <w:rFonts w:eastAsia="Guttman Hodes" w:hint="cs"/>
          <w:b/>
          <w:bCs/>
          <w:rtl/>
        </w:rPr>
        <w:t>(</w:t>
      </w:r>
      <w:r w:rsidRPr="00B371A8">
        <w:rPr>
          <w:rStyle w:val="af7"/>
          <w:rFonts w:eastAsia="Guttman Hodes" w:hint="cs"/>
          <w:rtl/>
        </w:rPr>
        <w:t>ד"ה והגירסא)</w:t>
      </w:r>
      <w:r>
        <w:rPr>
          <w:rFonts w:hint="cs"/>
          <w:rtl/>
        </w:rPr>
        <w:t xml:space="preserve"> בשם</w:t>
      </w:r>
      <w:r w:rsidRPr="00B17200">
        <w:rPr>
          <w:rStyle w:val="af9"/>
          <w:rFonts w:hint="cs"/>
          <w:rtl/>
        </w:rPr>
        <w:t xml:space="preserve"> ר"ח</w:t>
      </w:r>
      <w:r>
        <w:rPr>
          <w:rFonts w:hint="cs"/>
          <w:rtl/>
        </w:rPr>
        <w:t xml:space="preserve"> דכיון שהעדים אינם מעידים שרב אידי קרוב יותר מההוא גברא, ושהוא היורש, אלא הם רק מעידים שהוא קרוב, ואינם יודעים אם ההוא גברא ג"כ קרוב, וא"כ כל מה שאתה יכול לתבוע את הפירות, הוא רק מחמת מה שההוא גברא הודה שאכל, יכול רב אידי לתבוע את הפירות, ובמיגו שהיה יכול לומר שלא אכל, הוא נאמן לטעון אין אכלי ודידי אכלי, דלטענתו הוא קרוב יותר, והעדים אינם מכחישים אותו, ולכן אמר רב חסדא שאין מוציאין ממנו</w:t>
      </w:r>
      <w:bookmarkEnd w:id="15703"/>
      <w:r>
        <w:rPr>
          <w:rFonts w:hint="cs"/>
          <w:rtl/>
        </w:rPr>
        <w:t>.</w:t>
      </w:r>
      <w:bookmarkEnd w:id="15720"/>
    </w:p>
    <w:p w:rsidR="00103C1B" w:rsidRPr="00E33205" w:rsidRDefault="00103C1B" w:rsidP="00103C1B">
      <w:pPr>
        <w:pStyle w:val="a3"/>
      </w:pPr>
      <w:bookmarkStart w:id="15721" w:name="_Toc64588815"/>
      <w:bookmarkStart w:id="15722" w:name="_Toc64629406"/>
      <w:bookmarkStart w:id="15723" w:name="_Toc64642869"/>
      <w:r>
        <w:rPr>
          <w:rFonts w:hint="cs"/>
          <w:rtl/>
        </w:rPr>
        <w:t>ביאור רבינו יונה והרשב"א בר"ח דר"א הוא ודאי וההוא גברא ספק ועליו להביא ראיה</w:t>
      </w:r>
      <w:bookmarkEnd w:id="15721"/>
      <w:bookmarkEnd w:id="15722"/>
      <w:bookmarkEnd w:id="15723"/>
    </w:p>
    <w:p w:rsidR="00103C1B" w:rsidRDefault="00103C1B" w:rsidP="007E4E81">
      <w:pPr>
        <w:pStyle w:val="a0"/>
        <w:rPr>
          <w:rtl/>
        </w:rPr>
      </w:pPr>
      <w:r>
        <w:rPr>
          <w:rFonts w:hint="cs"/>
          <w:rtl/>
        </w:rPr>
        <w:t xml:space="preserve">וביאר </w:t>
      </w:r>
      <w:r w:rsidRPr="00887FBB">
        <w:rPr>
          <w:rStyle w:val="af9"/>
          <w:rFonts w:hint="cs"/>
          <w:rtl/>
        </w:rPr>
        <w:t>רבינו יונה</w:t>
      </w:r>
      <w:r>
        <w:rPr>
          <w:rFonts w:hint="cs"/>
          <w:rtl/>
        </w:rPr>
        <w:t xml:space="preserve"> </w:t>
      </w:r>
      <w:r w:rsidRPr="00676D67">
        <w:rPr>
          <w:rStyle w:val="af7"/>
          <w:rFonts w:eastAsia="Guttman Hodes" w:hint="cs"/>
          <w:rtl/>
        </w:rPr>
        <w:t>(ד"ה ה"ג)</w:t>
      </w:r>
      <w:r>
        <w:rPr>
          <w:rFonts w:hint="cs"/>
          <w:rtl/>
        </w:rPr>
        <w:t xml:space="preserve"> בדעת </w:t>
      </w:r>
      <w:r w:rsidRPr="0002227D">
        <w:rPr>
          <w:rStyle w:val="af9"/>
          <w:rFonts w:hint="cs"/>
          <w:rtl/>
        </w:rPr>
        <w:t>ר"ח</w:t>
      </w:r>
      <w:r>
        <w:rPr>
          <w:rFonts w:hint="cs"/>
          <w:rtl/>
        </w:rPr>
        <w:t xml:space="preserve"> דכיון שיש עדים שהוא קרוב, ואין כל עדים שיש קרוב אחר שראוי לירש יחד עמו, לכן העמיד רב חסדא את הדקל בידי רב אידי, ואעפ"י שההוא גברא טען שהוא קרוב יותר, מ"מ אמרינן דאין ספק מוציא מידי ודאי, וכ"כ </w:t>
      </w:r>
      <w:r w:rsidRPr="001206C1">
        <w:rPr>
          <w:rStyle w:val="af9"/>
          <w:rFonts w:hint="cs"/>
          <w:rtl/>
        </w:rPr>
        <w:t xml:space="preserve">הרשב"א </w:t>
      </w:r>
      <w:r w:rsidRPr="00676D67">
        <w:rPr>
          <w:rStyle w:val="af7"/>
          <w:rFonts w:eastAsia="Guttman Hodes" w:hint="cs"/>
          <w:rtl/>
        </w:rPr>
        <w:t>(ד"ה והגירסא)</w:t>
      </w:r>
      <w:r>
        <w:rPr>
          <w:rFonts w:hint="cs"/>
          <w:rtl/>
        </w:rPr>
        <w:t xml:space="preserve"> דרב חסדא העמיד בידי רב אידי, כיון שיש לו עדים שהוא קרוב למת, לכן הדקל בחזקת היורש שידוע שהוא קרוב, וההוא גברא שהוא טוען שהוא קרוב, צריך להביא </w:t>
      </w:r>
      <w:r w:rsidRPr="008B1984">
        <w:rPr>
          <w:rFonts w:hint="cs"/>
          <w:rtl/>
        </w:rPr>
        <w:t>ראיה</w:t>
      </w:r>
      <w:r>
        <w:rPr>
          <w:rFonts w:hint="cs"/>
          <w:rtl/>
        </w:rPr>
        <w:t>.</w:t>
      </w:r>
    </w:p>
    <w:p w:rsidR="00103C1B" w:rsidRPr="009648BB" w:rsidRDefault="00103C1B" w:rsidP="00103C1B">
      <w:pPr>
        <w:pStyle w:val="a3"/>
      </w:pPr>
      <w:bookmarkStart w:id="15724" w:name="_Toc64588816"/>
      <w:bookmarkStart w:id="15725" w:name="_Toc64629407"/>
      <w:bookmarkStart w:id="15726" w:name="_Toc64642870"/>
      <w:r>
        <w:rPr>
          <w:rFonts w:hint="cs"/>
          <w:rtl/>
        </w:rPr>
        <w:t>ביאור הרשב"א בר"ח דעל הפירות נאמן מדין הפה שאסר ואינו מיגו במק"ע דאינם מכירים אותו</w:t>
      </w:r>
      <w:bookmarkEnd w:id="15724"/>
      <w:bookmarkEnd w:id="15725"/>
      <w:bookmarkEnd w:id="15726"/>
    </w:p>
    <w:p w:rsidR="00103C1B" w:rsidRDefault="00103C1B" w:rsidP="007E4E81">
      <w:pPr>
        <w:pStyle w:val="a0"/>
        <w:rPr>
          <w:rtl/>
        </w:rPr>
      </w:pPr>
      <w:bookmarkStart w:id="15727" w:name="_Ref64586421"/>
      <w:r w:rsidRPr="008B1984">
        <w:rPr>
          <w:rFonts w:hint="cs"/>
          <w:rtl/>
        </w:rPr>
        <w:t>וכת</w:t>
      </w:r>
      <w:r w:rsidRPr="00676D67">
        <w:rPr>
          <w:rFonts w:hint="cs"/>
          <w:rtl/>
        </w:rPr>
        <w:t xml:space="preserve">ב </w:t>
      </w:r>
      <w:r w:rsidRPr="00D44CFA">
        <w:rPr>
          <w:rStyle w:val="af9"/>
          <w:rFonts w:hint="cs"/>
          <w:rtl/>
        </w:rPr>
        <w:t>הר</w:t>
      </w:r>
      <w:r w:rsidRPr="00735C33">
        <w:rPr>
          <w:rStyle w:val="af9"/>
          <w:rFonts w:hint="cs"/>
          <w:rtl/>
        </w:rPr>
        <w:t>שב"א</w:t>
      </w:r>
      <w:r>
        <w:rPr>
          <w:rFonts w:hint="cs"/>
          <w:rtl/>
        </w:rPr>
        <w:t xml:space="preserve"> דהא דס"ל לרב חסדא דא"צ להחזיר את הפירות, הוא כיון </w:t>
      </w:r>
      <w:r w:rsidRPr="00BA761A">
        <w:rPr>
          <w:rFonts w:hint="cs"/>
          <w:rtl/>
        </w:rPr>
        <w:t>שאין עדים שאכל את ה</w:t>
      </w:r>
      <w:r>
        <w:rPr>
          <w:rFonts w:hint="cs"/>
          <w:rtl/>
        </w:rPr>
        <w:t xml:space="preserve">פירות, ולכן נאמן מדין הפה שאסר, </w:t>
      </w:r>
      <w:r w:rsidRPr="00BA761A">
        <w:rPr>
          <w:rFonts w:hint="cs"/>
          <w:rtl/>
        </w:rPr>
        <w:t xml:space="preserve">והוסיף </w:t>
      </w:r>
      <w:r w:rsidRPr="00BA761A">
        <w:rPr>
          <w:rStyle w:val="af9"/>
          <w:rFonts w:hint="cs"/>
          <w:rtl/>
        </w:rPr>
        <w:t>הרשב"א</w:t>
      </w:r>
      <w:r w:rsidRPr="00BA761A">
        <w:rPr>
          <w:rFonts w:hint="cs"/>
          <w:rtl/>
        </w:rPr>
        <w:t xml:space="preserve"> דאי"ז מיגו במקום עדים, כיון שהעדים אינם מעידים דההוא גברא אינו קרוב, ואינם מכירים אותו</w:t>
      </w:r>
      <w:r>
        <w:rPr>
          <w:rFonts w:hint="cs"/>
          <w:rtl/>
        </w:rPr>
        <w:t xml:space="preserve">, ועי' במה שביאר </w:t>
      </w:r>
      <w:r w:rsidRPr="00DA1127">
        <w:rPr>
          <w:rStyle w:val="af9"/>
          <w:rFonts w:hint="cs"/>
          <w:rtl/>
        </w:rPr>
        <w:t>בחי' רבי נחום</w:t>
      </w:r>
      <w:r>
        <w:rPr>
          <w:rFonts w:hint="cs"/>
          <w:rtl/>
        </w:rPr>
        <w:t xml:space="preserve"> </w:t>
      </w:r>
      <w:r w:rsidRPr="009648BB">
        <w:rPr>
          <w:rStyle w:val="af7"/>
          <w:rFonts w:eastAsia="Guttman Rashi" w:hint="cs"/>
          <w:rtl/>
        </w:rPr>
        <w:t xml:space="preserve">(עי' אות </w:t>
      </w:r>
      <w:r w:rsidRPr="009648BB">
        <w:rPr>
          <w:rStyle w:val="af7"/>
          <w:rFonts w:eastAsia="Guttman Rashi"/>
          <w:rtl/>
        </w:rPr>
        <w:fldChar w:fldCharType="begin"/>
      </w:r>
      <w:r w:rsidRPr="009648BB">
        <w:rPr>
          <w:rStyle w:val="af7"/>
          <w:rFonts w:eastAsia="Guttman Rashi"/>
          <w:rtl/>
        </w:rPr>
        <w:instrText xml:space="preserve"> </w:instrText>
      </w:r>
      <w:r w:rsidRPr="009648BB">
        <w:rPr>
          <w:rStyle w:val="af7"/>
          <w:rFonts w:eastAsia="Guttman Rashi" w:hint="cs"/>
        </w:rPr>
        <w:instrText>REF</w:instrText>
      </w:r>
      <w:r w:rsidRPr="009648BB">
        <w:rPr>
          <w:rStyle w:val="af7"/>
          <w:rFonts w:eastAsia="Guttman Rashi" w:hint="cs"/>
          <w:rtl/>
        </w:rPr>
        <w:instrText xml:space="preserve"> _</w:instrText>
      </w:r>
      <w:r w:rsidRPr="009648BB">
        <w:rPr>
          <w:rStyle w:val="af7"/>
          <w:rFonts w:eastAsia="Guttman Rashi" w:hint="cs"/>
        </w:rPr>
        <w:instrText>Ref64568227 \r \h</w:instrText>
      </w:r>
      <w:r w:rsidRPr="009648BB">
        <w:rPr>
          <w:rStyle w:val="af7"/>
          <w:rFonts w:eastAsia="Guttman Rashi"/>
          <w:rtl/>
        </w:rPr>
        <w:instrText xml:space="preserve"> </w:instrText>
      </w:r>
      <w:r w:rsidRPr="009648BB">
        <w:rPr>
          <w:rStyle w:val="af7"/>
          <w:rFonts w:eastAsia="Guttman Rashi"/>
          <w:rtl/>
        </w:rPr>
      </w:r>
      <w:r w:rsidRPr="009648BB">
        <w:rPr>
          <w:rStyle w:val="af7"/>
          <w:rFonts w:eastAsia="Guttman Rashi"/>
          <w:rtl/>
        </w:rPr>
        <w:fldChar w:fldCharType="separate"/>
      </w:r>
      <w:r w:rsidR="00265073">
        <w:rPr>
          <w:rStyle w:val="af7"/>
          <w:rFonts w:eastAsia="Guttman Rashi"/>
          <w:cs/>
        </w:rPr>
        <w:t>‎</w:t>
      </w:r>
      <w:r w:rsidR="00265073">
        <w:rPr>
          <w:rStyle w:val="af7"/>
          <w:rFonts w:eastAsia="Guttman Rashi"/>
          <w:rtl/>
        </w:rPr>
        <w:t>קח)</w:t>
      </w:r>
      <w:r w:rsidRPr="009648BB">
        <w:rPr>
          <w:rStyle w:val="af7"/>
          <w:rFonts w:eastAsia="Guttman Rashi"/>
          <w:rtl/>
        </w:rPr>
        <w:fldChar w:fldCharType="end"/>
      </w:r>
      <w:r>
        <w:rPr>
          <w:rFonts w:hint="cs"/>
          <w:rtl/>
        </w:rPr>
        <w:t xml:space="preserve"> במ"ש </w:t>
      </w:r>
      <w:r w:rsidRPr="00DA1127">
        <w:rPr>
          <w:rStyle w:val="af9"/>
          <w:rFonts w:hint="cs"/>
          <w:rtl/>
        </w:rPr>
        <w:t>הרשב"א</w:t>
      </w:r>
      <w:r>
        <w:rPr>
          <w:rFonts w:hint="cs"/>
          <w:rtl/>
        </w:rPr>
        <w:t xml:space="preserve"> דנאמן מדין הפה שאסר, ולא כתב דנאמן במיגו.</w:t>
      </w:r>
      <w:bookmarkEnd w:id="15727"/>
    </w:p>
    <w:p w:rsidR="00103C1B" w:rsidRDefault="00103C1B" w:rsidP="00103C1B">
      <w:pPr>
        <w:pStyle w:val="1"/>
        <w:rPr>
          <w:rtl/>
        </w:rPr>
      </w:pPr>
      <w:bookmarkStart w:id="15728" w:name="_Toc64576199"/>
      <w:bookmarkStart w:id="15729" w:name="_Toc64588817"/>
      <w:bookmarkStart w:id="15730" w:name="_Toc64629408"/>
      <w:bookmarkStart w:id="15731" w:name="_Toc64642871"/>
      <w:r>
        <w:rPr>
          <w:rFonts w:hint="cs"/>
          <w:rtl/>
        </w:rPr>
        <w:t>בביאור דעת הר"ח בדברי אביי ורבא דצריך להחזיר את הפירות</w:t>
      </w:r>
      <w:bookmarkEnd w:id="15728"/>
      <w:bookmarkEnd w:id="15729"/>
      <w:bookmarkEnd w:id="15730"/>
      <w:bookmarkEnd w:id="15731"/>
      <w:r>
        <w:rPr>
          <w:rFonts w:hint="cs"/>
          <w:rtl/>
        </w:rPr>
        <w:t xml:space="preserve"> </w:t>
      </w:r>
    </w:p>
    <w:p w:rsidR="00103C1B" w:rsidRPr="004826F7" w:rsidRDefault="00103C1B" w:rsidP="00103C1B">
      <w:pPr>
        <w:pStyle w:val="a3"/>
      </w:pPr>
      <w:bookmarkStart w:id="15732" w:name="_Toc64588818"/>
      <w:bookmarkStart w:id="15733" w:name="_Toc64629409"/>
      <w:bookmarkStart w:id="15734" w:name="_Toc64642872"/>
      <w:r>
        <w:rPr>
          <w:rFonts w:hint="cs"/>
          <w:rtl/>
        </w:rPr>
        <w:t>ביאור התוס' באביי ורבא דכשהקרקע יוצאת מתח"י ואין לו מיגו חייב לשלם את הפירות שהודה</w:t>
      </w:r>
      <w:bookmarkEnd w:id="15732"/>
      <w:bookmarkEnd w:id="15733"/>
      <w:bookmarkEnd w:id="15734"/>
    </w:p>
    <w:p w:rsidR="00103C1B" w:rsidRDefault="00103C1B" w:rsidP="007E4E81">
      <w:pPr>
        <w:pStyle w:val="a0"/>
        <w:rPr>
          <w:rtl/>
        </w:rPr>
      </w:pPr>
      <w:bookmarkStart w:id="15735" w:name="_Ref64561541"/>
      <w:r>
        <w:rPr>
          <w:rFonts w:hint="cs"/>
          <w:rtl/>
        </w:rPr>
        <w:t xml:space="preserve">ובדעת אביי ורבא דההוא גברא צריך להחזיר את הפירות, ביאר </w:t>
      </w:r>
      <w:r w:rsidRPr="008076B1">
        <w:rPr>
          <w:rStyle w:val="af9"/>
          <w:rFonts w:hint="cs"/>
          <w:rtl/>
        </w:rPr>
        <w:t xml:space="preserve">ר"י בתוס' </w:t>
      </w:r>
      <w:r w:rsidRPr="00C50B53">
        <w:rPr>
          <w:rStyle w:val="af7"/>
          <w:rFonts w:eastAsia="Guttman Hodes" w:hint="cs"/>
          <w:rtl/>
        </w:rPr>
        <w:t>(ד"ה ה"ג)</w:t>
      </w:r>
      <w:r>
        <w:rPr>
          <w:rFonts w:hint="cs"/>
          <w:rtl/>
        </w:rPr>
        <w:t xml:space="preserve"> דלדעת </w:t>
      </w:r>
      <w:r w:rsidRPr="008076B1">
        <w:rPr>
          <w:rStyle w:val="af9"/>
          <w:rFonts w:hint="cs"/>
          <w:rtl/>
        </w:rPr>
        <w:t>ר"ח</w:t>
      </w:r>
      <w:r>
        <w:rPr>
          <w:rFonts w:hint="cs"/>
          <w:rtl/>
        </w:rPr>
        <w:t xml:space="preserve"> דס"ל דאינו נאמן במיגו כיון שמדינא הקרקע יוצאת מתח"י, ועל הקרקע אין לו מיגו, ולכן כיון שהודה </w:t>
      </w:r>
      <w:r>
        <w:rPr>
          <w:rFonts w:hint="cs"/>
          <w:rtl/>
        </w:rPr>
        <w:t xml:space="preserve">שאכל את הפירות, הוא חייב לשלם, ועי' במ"ש </w:t>
      </w:r>
      <w:r w:rsidRPr="00E17EDE">
        <w:rPr>
          <w:rStyle w:val="af9"/>
          <w:rFonts w:hint="cs"/>
          <w:rtl/>
        </w:rPr>
        <w:t xml:space="preserve">בקוב"ש </w:t>
      </w:r>
      <w:r w:rsidRPr="00C10F6F">
        <w:rPr>
          <w:rStyle w:val="af7"/>
          <w:rFonts w:eastAsia="Guttman Hodes" w:hint="cs"/>
          <w:rtl/>
        </w:rPr>
        <w:t xml:space="preserve">(עי' אות </w:t>
      </w:r>
      <w:r w:rsidRPr="00C10F6F">
        <w:rPr>
          <w:rStyle w:val="af7"/>
          <w:rFonts w:eastAsia="Guttman Hodes"/>
          <w:rtl/>
        </w:rPr>
        <w:fldChar w:fldCharType="begin"/>
      </w:r>
      <w:r w:rsidRPr="00C10F6F">
        <w:rPr>
          <w:rStyle w:val="af7"/>
          <w:rFonts w:eastAsia="Guttman Hodes"/>
          <w:rtl/>
        </w:rPr>
        <w:instrText xml:space="preserve"> </w:instrText>
      </w:r>
      <w:r w:rsidRPr="00C10F6F">
        <w:rPr>
          <w:rStyle w:val="af7"/>
          <w:rFonts w:eastAsia="Guttman Hodes" w:hint="cs"/>
        </w:rPr>
        <w:instrText>REF</w:instrText>
      </w:r>
      <w:r w:rsidRPr="00C10F6F">
        <w:rPr>
          <w:rStyle w:val="af7"/>
          <w:rFonts w:eastAsia="Guttman Hodes" w:hint="cs"/>
          <w:rtl/>
        </w:rPr>
        <w:instrText xml:space="preserve"> _</w:instrText>
      </w:r>
      <w:r w:rsidRPr="00C10F6F">
        <w:rPr>
          <w:rStyle w:val="af7"/>
          <w:rFonts w:eastAsia="Guttman Hodes" w:hint="cs"/>
        </w:rPr>
        <w:instrText>Ref64628737 \r \h</w:instrText>
      </w:r>
      <w:r w:rsidRPr="00C10F6F">
        <w:rPr>
          <w:rStyle w:val="af7"/>
          <w:rFonts w:eastAsia="Guttman Hodes"/>
          <w:rtl/>
        </w:rPr>
        <w:instrText xml:space="preserve"> </w:instrText>
      </w:r>
      <w:r w:rsidRPr="00C10F6F">
        <w:rPr>
          <w:rStyle w:val="af7"/>
          <w:rFonts w:eastAsia="Guttman Hodes"/>
          <w:rtl/>
        </w:rPr>
      </w:r>
      <w:r w:rsidRPr="00C10F6F">
        <w:rPr>
          <w:rStyle w:val="af7"/>
          <w:rFonts w:eastAsia="Guttman Hodes"/>
          <w:rtl/>
        </w:rPr>
        <w:fldChar w:fldCharType="separate"/>
      </w:r>
      <w:r w:rsidR="00265073">
        <w:rPr>
          <w:rStyle w:val="af7"/>
          <w:rFonts w:eastAsia="Guttman Hodes"/>
          <w:cs/>
        </w:rPr>
        <w:t>‎</w:t>
      </w:r>
      <w:r w:rsidR="00265073">
        <w:rPr>
          <w:rStyle w:val="af7"/>
          <w:rFonts w:eastAsia="Guttman Hodes"/>
          <w:rtl/>
        </w:rPr>
        <w:t>קכה)</w:t>
      </w:r>
      <w:r w:rsidRPr="00C10F6F">
        <w:rPr>
          <w:rStyle w:val="af7"/>
          <w:rFonts w:eastAsia="Guttman Hodes"/>
          <w:rtl/>
        </w:rPr>
        <w:fldChar w:fldCharType="end"/>
      </w:r>
      <w:r w:rsidRPr="00C10F6F">
        <w:rPr>
          <w:rStyle w:val="af7"/>
          <w:rFonts w:eastAsia="Guttman Hodes" w:hint="cs"/>
          <w:rtl/>
        </w:rPr>
        <w:t xml:space="preserve"> </w:t>
      </w:r>
      <w:r w:rsidRPr="00E17EDE">
        <w:rPr>
          <w:rStyle w:val="af9"/>
          <w:rFonts w:hint="cs"/>
          <w:rtl/>
        </w:rPr>
        <w:t xml:space="preserve">ובדברי מרדכי </w:t>
      </w:r>
      <w:r w:rsidRPr="00BC3439">
        <w:rPr>
          <w:rStyle w:val="af7"/>
          <w:rFonts w:eastAsia="Guttman Hodes" w:hint="cs"/>
          <w:rtl/>
        </w:rPr>
        <w:t xml:space="preserve">(עי' אות </w:t>
      </w:r>
      <w:r w:rsidRPr="00BC3439">
        <w:rPr>
          <w:rStyle w:val="af7"/>
          <w:rFonts w:eastAsia="Guttman Hodes"/>
          <w:rtl/>
        </w:rPr>
        <w:fldChar w:fldCharType="begin"/>
      </w:r>
      <w:r w:rsidRPr="00BC3439">
        <w:rPr>
          <w:rStyle w:val="af7"/>
          <w:rFonts w:eastAsia="Guttman Hodes"/>
          <w:rtl/>
        </w:rPr>
        <w:instrText xml:space="preserve"> </w:instrText>
      </w:r>
      <w:r w:rsidRPr="00BC3439">
        <w:rPr>
          <w:rStyle w:val="af7"/>
          <w:rFonts w:eastAsia="Guttman Hodes" w:hint="cs"/>
        </w:rPr>
        <w:instrText>REF</w:instrText>
      </w:r>
      <w:r w:rsidRPr="00BC3439">
        <w:rPr>
          <w:rStyle w:val="af7"/>
          <w:rFonts w:eastAsia="Guttman Hodes" w:hint="cs"/>
          <w:rtl/>
        </w:rPr>
        <w:instrText xml:space="preserve"> _</w:instrText>
      </w:r>
      <w:r w:rsidRPr="00BC3439">
        <w:rPr>
          <w:rStyle w:val="af7"/>
          <w:rFonts w:eastAsia="Guttman Hodes" w:hint="cs"/>
        </w:rPr>
        <w:instrText>Ref64388993 \r \h</w:instrText>
      </w:r>
      <w:r w:rsidRPr="00BC3439">
        <w:rPr>
          <w:rStyle w:val="af7"/>
          <w:rFonts w:eastAsia="Guttman Hodes"/>
          <w:rtl/>
        </w:rPr>
        <w:instrText xml:space="preserve"> </w:instrText>
      </w:r>
      <w:r w:rsidRPr="00BC3439">
        <w:rPr>
          <w:rStyle w:val="af7"/>
          <w:rFonts w:eastAsia="Guttman Hodes"/>
          <w:rtl/>
        </w:rPr>
      </w:r>
      <w:r w:rsidRPr="00BC3439">
        <w:rPr>
          <w:rStyle w:val="af7"/>
          <w:rFonts w:eastAsia="Guttman Hodes"/>
          <w:rtl/>
        </w:rPr>
        <w:fldChar w:fldCharType="separate"/>
      </w:r>
      <w:r w:rsidR="00265073">
        <w:rPr>
          <w:rStyle w:val="af7"/>
          <w:rFonts w:eastAsia="Guttman Hodes"/>
          <w:cs/>
        </w:rPr>
        <w:t>‎</w:t>
      </w:r>
      <w:r w:rsidR="00265073">
        <w:rPr>
          <w:rStyle w:val="af7"/>
          <w:rFonts w:eastAsia="Guttman Hodes"/>
          <w:rtl/>
        </w:rPr>
        <w:t>קכב)</w:t>
      </w:r>
      <w:r w:rsidRPr="00BC3439">
        <w:rPr>
          <w:rStyle w:val="af7"/>
          <w:rFonts w:eastAsia="Guttman Hodes"/>
          <w:rtl/>
        </w:rPr>
        <w:fldChar w:fldCharType="end"/>
      </w:r>
      <w:r>
        <w:rPr>
          <w:rFonts w:hint="cs"/>
          <w:rtl/>
        </w:rPr>
        <w:t>.</w:t>
      </w:r>
      <w:bookmarkEnd w:id="15735"/>
    </w:p>
    <w:p w:rsidR="00103C1B" w:rsidRDefault="00103C1B" w:rsidP="00103C1B">
      <w:pPr>
        <w:pStyle w:val="a3"/>
        <w:rPr>
          <w:rtl/>
        </w:rPr>
      </w:pPr>
      <w:bookmarkStart w:id="15736" w:name="_Toc64588819"/>
      <w:bookmarkStart w:id="15737" w:name="_Toc64629410"/>
      <w:bookmarkStart w:id="15738" w:name="_Toc64642873"/>
      <w:r>
        <w:rPr>
          <w:rFonts w:hint="cs"/>
          <w:rtl/>
        </w:rPr>
        <w:t>ביאור רבינו יונה והרשב"א באביי ורבא דאחר שהדקל בחזקת ר"א אף הפירות בחזקתו</w:t>
      </w:r>
      <w:bookmarkEnd w:id="15736"/>
      <w:bookmarkEnd w:id="15737"/>
      <w:bookmarkEnd w:id="15738"/>
    </w:p>
    <w:p w:rsidR="00103C1B" w:rsidRDefault="00103C1B" w:rsidP="007E4E81">
      <w:pPr>
        <w:pStyle w:val="a0"/>
        <w:rPr>
          <w:rtl/>
        </w:rPr>
      </w:pPr>
      <w:bookmarkStart w:id="15739" w:name="_Ref64453884"/>
      <w:r w:rsidRPr="007D4735">
        <w:rPr>
          <w:rStyle w:val="af9"/>
          <w:rFonts w:hint="cs"/>
          <w:rtl/>
        </w:rPr>
        <w:t>ור</w:t>
      </w:r>
      <w:r w:rsidRPr="0002227D">
        <w:rPr>
          <w:rStyle w:val="af9"/>
          <w:rFonts w:hint="cs"/>
          <w:rtl/>
        </w:rPr>
        <w:t>בינו</w:t>
      </w:r>
      <w:r>
        <w:rPr>
          <w:rFonts w:hint="cs"/>
          <w:rtl/>
        </w:rPr>
        <w:t xml:space="preserve"> </w:t>
      </w:r>
      <w:r w:rsidRPr="0002227D">
        <w:rPr>
          <w:rStyle w:val="af9"/>
          <w:rFonts w:hint="cs"/>
          <w:rtl/>
        </w:rPr>
        <w:t>יונה</w:t>
      </w:r>
      <w:r>
        <w:rPr>
          <w:rFonts w:hint="cs"/>
          <w:rtl/>
        </w:rPr>
        <w:t xml:space="preserve"> </w:t>
      </w:r>
      <w:r w:rsidRPr="00D44CFA">
        <w:rPr>
          <w:rStyle w:val="af7"/>
          <w:rFonts w:eastAsia="Guttman Hodes" w:hint="cs"/>
          <w:rtl/>
        </w:rPr>
        <w:t>(ד"ה ה"ג)</w:t>
      </w:r>
      <w:r>
        <w:rPr>
          <w:rFonts w:hint="cs"/>
          <w:rtl/>
        </w:rPr>
        <w:t xml:space="preserve"> ביאר דלדעת </w:t>
      </w:r>
      <w:r w:rsidRPr="008076B1">
        <w:rPr>
          <w:rStyle w:val="af9"/>
          <w:rFonts w:hint="cs"/>
          <w:rtl/>
        </w:rPr>
        <w:t>ר"ח</w:t>
      </w:r>
      <w:r>
        <w:rPr>
          <w:rFonts w:hint="cs"/>
          <w:rtl/>
        </w:rPr>
        <w:t xml:space="preserve"> ס"ל לאביי ורבא דכיון שא"א להאמין לטענתו שהוא קרוב יותר, במיגו דלא אכל, ולהעמיד את הדקל בידו, כיון שיש עדים שרב אידי קרוב, וא"א להחזיק שום קרוב אחר בלא עדים, וא"כ הדקל הוא בחזקת רב אידי, וכיון שהפירות שייכים לבעל הדקל, וכל מה שהוא טוען שזכה בפירות הוא מכח טענתו שהדקל שלו, א"כ אחר שהדקל בחזקת רב אידי והודה שאכל את הפירות, הוא צריך להחזירם לבעל הדקל, שהוא רב אידי, וכן ביאר </w:t>
      </w:r>
      <w:r w:rsidRPr="00BA761A">
        <w:rPr>
          <w:rStyle w:val="af9"/>
          <w:rFonts w:hint="cs"/>
          <w:rtl/>
        </w:rPr>
        <w:t>הרשב"א</w:t>
      </w:r>
      <w:r w:rsidRPr="00BA761A">
        <w:rPr>
          <w:rFonts w:hint="cs"/>
          <w:rtl/>
        </w:rPr>
        <w:t xml:space="preserve"> </w:t>
      </w:r>
      <w:r w:rsidRPr="00290E08">
        <w:rPr>
          <w:rStyle w:val="af7"/>
          <w:rFonts w:eastAsia="Guttman Hodes" w:hint="cs"/>
          <w:rtl/>
        </w:rPr>
        <w:t>ד"ה והגירסא)</w:t>
      </w:r>
      <w:r>
        <w:rPr>
          <w:rFonts w:hint="cs"/>
          <w:rtl/>
        </w:rPr>
        <w:t xml:space="preserve"> </w:t>
      </w:r>
      <w:r w:rsidRPr="00BA761A">
        <w:rPr>
          <w:rFonts w:hint="cs"/>
          <w:rtl/>
        </w:rPr>
        <w:t xml:space="preserve">דס"ל </w:t>
      </w:r>
      <w:r>
        <w:rPr>
          <w:rFonts w:hint="cs"/>
          <w:rtl/>
        </w:rPr>
        <w:t>ל</w:t>
      </w:r>
      <w:r w:rsidRPr="00BA761A">
        <w:rPr>
          <w:rFonts w:hint="cs"/>
          <w:rtl/>
        </w:rPr>
        <w:t>אביי ורבא דאעפ"י שההוא גברא נאמן מדין הפה שאסר, מ"מ לא יתכן שהדקל יהיה של אחד, והפירות יהיו של אחר, וכיון שמוציאין את ההוא גברא מהדקל ממילא הפירות אינם שלו, וכיון שהודה</w:t>
      </w:r>
      <w:r>
        <w:rPr>
          <w:rFonts w:hint="cs"/>
          <w:rtl/>
        </w:rPr>
        <w:t xml:space="preserve"> שאכל, הודה שאכל פירות שאינם שלו והוא צריך להחזיר. </w:t>
      </w:r>
    </w:p>
    <w:p w:rsidR="00103C1B" w:rsidRPr="003776B4" w:rsidRDefault="00103C1B" w:rsidP="00103C1B">
      <w:pPr>
        <w:pStyle w:val="1"/>
        <w:rPr>
          <w:rtl/>
        </w:rPr>
      </w:pPr>
      <w:bookmarkStart w:id="15740" w:name="_Toc64576200"/>
      <w:bookmarkStart w:id="15741" w:name="_Toc64588820"/>
      <w:bookmarkStart w:id="15742" w:name="_Toc64629411"/>
      <w:bookmarkStart w:id="15743" w:name="_Toc64642874"/>
      <w:r>
        <w:rPr>
          <w:rFonts w:hint="cs"/>
          <w:rtl/>
        </w:rPr>
        <w:t>ביאור הרשב"א בר"ח</w:t>
      </w:r>
      <w:bookmarkEnd w:id="15740"/>
      <w:r>
        <w:rPr>
          <w:rFonts w:hint="cs"/>
          <w:rtl/>
        </w:rPr>
        <w:t xml:space="preserve"> דר"א חשיב ודאי ואין ספק מוציא מודאי</w:t>
      </w:r>
      <w:bookmarkEnd w:id="15741"/>
      <w:bookmarkEnd w:id="15742"/>
      <w:bookmarkEnd w:id="15743"/>
    </w:p>
    <w:p w:rsidR="00103C1B" w:rsidRPr="00726907" w:rsidRDefault="00103C1B" w:rsidP="00103C1B">
      <w:pPr>
        <w:pStyle w:val="a3"/>
        <w:rPr>
          <w:rtl/>
        </w:rPr>
      </w:pPr>
      <w:bookmarkStart w:id="15744" w:name="_Toc64588821"/>
      <w:bookmarkStart w:id="15745" w:name="_Toc64629412"/>
      <w:bookmarkStart w:id="15746" w:name="_Toc64642875"/>
      <w:bookmarkStart w:id="15747" w:name="_Toc64407321"/>
      <w:bookmarkStart w:id="15748" w:name="_Toc64407317"/>
      <w:bookmarkEnd w:id="15739"/>
      <w:r>
        <w:rPr>
          <w:rFonts w:hint="cs"/>
          <w:rtl/>
        </w:rPr>
        <w:t>קושית הרשב"א על ר"ח דיתכן שאף ההוא גברא קרוב ויחלוקו או שיטול רבע כדין שנים אוחזין</w:t>
      </w:r>
      <w:bookmarkEnd w:id="15744"/>
      <w:bookmarkEnd w:id="15745"/>
      <w:bookmarkEnd w:id="15746"/>
    </w:p>
    <w:p w:rsidR="00103C1B" w:rsidRDefault="00103C1B" w:rsidP="007E4E81">
      <w:pPr>
        <w:pStyle w:val="a0"/>
        <w:rPr>
          <w:rtl/>
        </w:rPr>
      </w:pPr>
      <w:bookmarkStart w:id="15749" w:name="_Ref64561763"/>
      <w:r>
        <w:rPr>
          <w:rFonts w:hint="cs"/>
          <w:rtl/>
        </w:rPr>
        <w:t xml:space="preserve">אך הקשה </w:t>
      </w:r>
      <w:r w:rsidRPr="00F310B5">
        <w:rPr>
          <w:rStyle w:val="af9"/>
          <w:rFonts w:hint="cs"/>
          <w:rtl/>
        </w:rPr>
        <w:t>הרשב"א</w:t>
      </w:r>
      <w:r>
        <w:rPr>
          <w:rFonts w:hint="cs"/>
          <w:rtl/>
        </w:rPr>
        <w:t xml:space="preserve"> </w:t>
      </w:r>
      <w:r w:rsidRPr="00B96B76">
        <w:rPr>
          <w:rStyle w:val="af7"/>
          <w:rFonts w:eastAsia="Guttman Hodes" w:hint="cs"/>
          <w:rtl/>
        </w:rPr>
        <w:t>(ד"ה ומיהו)</w:t>
      </w:r>
      <w:r>
        <w:rPr>
          <w:rFonts w:hint="cs"/>
          <w:rtl/>
        </w:rPr>
        <w:t xml:space="preserve"> דלדעת </w:t>
      </w:r>
      <w:r w:rsidRPr="008076B1">
        <w:rPr>
          <w:rStyle w:val="af9"/>
          <w:rFonts w:hint="cs"/>
          <w:rtl/>
        </w:rPr>
        <w:t>ר"ח</w:t>
      </w:r>
      <w:r>
        <w:rPr>
          <w:rFonts w:hint="cs"/>
          <w:rtl/>
        </w:rPr>
        <w:t xml:space="preserve"> אמאי כו"ע מודו דהדקל עצמו הוא ברשות רב אידי, הא כיון שהעדים רק מעידים שרב אידי קרוב, ואינם יודעים שההוא גברא אינו קרוב, א"כ יתכן ששניהם קרובים, והם צריכים לחלוק בדקל, כמו בשנים אוחזין בטלית בב"מ </w:t>
      </w:r>
      <w:r w:rsidRPr="00B96B76">
        <w:rPr>
          <w:rStyle w:val="af7"/>
          <w:rFonts w:eastAsia="Guttman Hodes" w:hint="cs"/>
          <w:rtl/>
        </w:rPr>
        <w:t>(ב.)</w:t>
      </w:r>
      <w:r>
        <w:rPr>
          <w:rFonts w:hint="cs"/>
          <w:rtl/>
        </w:rPr>
        <w:t>, דבזה אומר כולה שלי וזה אומר חציה שלי, דזה נוטל ג' חלקים וזה נוטל רבע, אעפ"י שאחד מהם מודה שהשני שותף עמו בחציה, והודאת בע"ד כמאה עדים, מ"מ הוא מקבל רבע.</w:t>
      </w:r>
      <w:bookmarkEnd w:id="15749"/>
      <w:r w:rsidRPr="001A7B19">
        <w:rPr>
          <w:rStyle w:val="afb"/>
          <w:rFonts w:hint="cs"/>
          <w:rtl/>
        </w:rPr>
        <w:t xml:space="preserve"> </w:t>
      </w:r>
      <w:r>
        <w:rPr>
          <w:rStyle w:val="afb"/>
          <w:rFonts w:hint="cs"/>
          <w:rtl/>
        </w:rPr>
        <w:t>[ועי' במה ש</w:t>
      </w:r>
      <w:r w:rsidRPr="00012F25">
        <w:rPr>
          <w:rStyle w:val="afb"/>
          <w:rFonts w:hint="cs"/>
          <w:rtl/>
        </w:rPr>
        <w:t xml:space="preserve">הקשה </w:t>
      </w:r>
      <w:r w:rsidRPr="001A7B19">
        <w:rPr>
          <w:rStyle w:val="affa"/>
          <w:rFonts w:hint="cs"/>
          <w:rtl/>
        </w:rPr>
        <w:t>הריטב"א</w:t>
      </w:r>
      <w:r>
        <w:rPr>
          <w:rFonts w:hint="cs"/>
          <w:rtl/>
        </w:rPr>
        <w:t xml:space="preserve"> </w:t>
      </w:r>
      <w:r w:rsidRPr="001A7B19">
        <w:rPr>
          <w:rStyle w:val="aff6"/>
          <w:rFonts w:hint="cs"/>
          <w:rtl/>
        </w:rPr>
        <w:t xml:space="preserve">(עי' אות </w:t>
      </w:r>
      <w:r w:rsidRPr="001A7B19">
        <w:rPr>
          <w:rStyle w:val="aff6"/>
          <w:rtl/>
        </w:rPr>
        <w:fldChar w:fldCharType="begin"/>
      </w:r>
      <w:r w:rsidRPr="001A7B19">
        <w:rPr>
          <w:rStyle w:val="aff6"/>
          <w:rtl/>
        </w:rPr>
        <w:instrText xml:space="preserve"> </w:instrText>
      </w:r>
      <w:r w:rsidRPr="001A7B19">
        <w:rPr>
          <w:rStyle w:val="aff6"/>
          <w:rFonts w:hint="cs"/>
        </w:rPr>
        <w:instrText>REF</w:instrText>
      </w:r>
      <w:r w:rsidRPr="001A7B19">
        <w:rPr>
          <w:rStyle w:val="aff6"/>
          <w:rFonts w:hint="cs"/>
          <w:rtl/>
        </w:rPr>
        <w:instrText xml:space="preserve"> _</w:instrText>
      </w:r>
      <w:r w:rsidRPr="001A7B19">
        <w:rPr>
          <w:rStyle w:val="aff6"/>
          <w:rFonts w:hint="cs"/>
        </w:rPr>
        <w:instrText>Ref64561097 \r \h</w:instrText>
      </w:r>
      <w:r w:rsidRPr="001A7B19">
        <w:rPr>
          <w:rStyle w:val="aff6"/>
          <w:rtl/>
        </w:rPr>
        <w:instrText xml:space="preserve"> </w:instrText>
      </w:r>
      <w:r w:rsidRPr="001A7B19">
        <w:rPr>
          <w:rStyle w:val="aff6"/>
          <w:rtl/>
        </w:rPr>
      </w:r>
      <w:r w:rsidRPr="001A7B19">
        <w:rPr>
          <w:rStyle w:val="aff6"/>
          <w:rtl/>
        </w:rPr>
        <w:fldChar w:fldCharType="separate"/>
      </w:r>
      <w:r w:rsidR="00265073">
        <w:rPr>
          <w:rStyle w:val="aff6"/>
          <w:cs/>
        </w:rPr>
        <w:t>‎</w:t>
      </w:r>
      <w:r w:rsidR="00265073">
        <w:rPr>
          <w:rStyle w:val="aff6"/>
          <w:rtl/>
        </w:rPr>
        <w:t>ל)</w:t>
      </w:r>
      <w:r w:rsidRPr="001A7B19">
        <w:rPr>
          <w:rStyle w:val="aff6"/>
          <w:rtl/>
        </w:rPr>
        <w:fldChar w:fldCharType="end"/>
      </w:r>
      <w:r w:rsidRPr="00012F25">
        <w:rPr>
          <w:rStyle w:val="afb"/>
          <w:rFonts w:hint="cs"/>
          <w:rtl/>
        </w:rPr>
        <w:t xml:space="preserve"> על </w:t>
      </w:r>
      <w:r>
        <w:rPr>
          <w:rStyle w:val="affa"/>
          <w:rFonts w:hint="cs"/>
          <w:rtl/>
        </w:rPr>
        <w:t>הרשב"ם</w:t>
      </w:r>
      <w:r>
        <w:rPr>
          <w:rStyle w:val="afb"/>
          <w:rFonts w:hint="cs"/>
          <w:rtl/>
        </w:rPr>
        <w:t xml:space="preserve"> מדין שנים אוחזין</w:t>
      </w:r>
      <w:r w:rsidRPr="00012F25">
        <w:rPr>
          <w:rStyle w:val="afb"/>
          <w:rFonts w:hint="cs"/>
          <w:rtl/>
        </w:rPr>
        <w:t>]</w:t>
      </w:r>
      <w:r>
        <w:rPr>
          <w:rStyle w:val="afb"/>
          <w:rFonts w:hint="cs"/>
          <w:rtl/>
        </w:rPr>
        <w:t>.</w:t>
      </w:r>
      <w:r>
        <w:rPr>
          <w:rFonts w:hint="cs"/>
          <w:rtl/>
        </w:rPr>
        <w:t xml:space="preserve"> </w:t>
      </w:r>
    </w:p>
    <w:p w:rsidR="00103C1B" w:rsidRDefault="00103C1B" w:rsidP="00103C1B">
      <w:pPr>
        <w:pStyle w:val="a3"/>
        <w:rPr>
          <w:rtl/>
        </w:rPr>
      </w:pPr>
      <w:bookmarkStart w:id="15750" w:name="_Toc64588822"/>
      <w:bookmarkStart w:id="15751" w:name="_Toc64629413"/>
      <w:bookmarkStart w:id="15752" w:name="_Toc64642876"/>
      <w:r>
        <w:rPr>
          <w:rFonts w:hint="cs"/>
          <w:rtl/>
        </w:rPr>
        <w:t>תי' הרשב"א דבשנים אוחזין לא ידוע כלל של מי היא אבל הכא יש עדים דר"א מוחזק ליורש</w:t>
      </w:r>
      <w:bookmarkEnd w:id="15750"/>
      <w:bookmarkEnd w:id="15751"/>
      <w:bookmarkEnd w:id="15752"/>
    </w:p>
    <w:p w:rsidR="00103C1B" w:rsidRDefault="00103C1B" w:rsidP="007E4E81">
      <w:pPr>
        <w:pStyle w:val="a0"/>
        <w:rPr>
          <w:rtl/>
        </w:rPr>
      </w:pPr>
      <w:r>
        <w:rPr>
          <w:rFonts w:hint="cs"/>
          <w:rtl/>
        </w:rPr>
        <w:t xml:space="preserve">ותירץ </w:t>
      </w:r>
      <w:r w:rsidRPr="00F310B5">
        <w:rPr>
          <w:rStyle w:val="af9"/>
          <w:rFonts w:hint="cs"/>
          <w:rtl/>
        </w:rPr>
        <w:t>הרשב"א</w:t>
      </w:r>
      <w:r>
        <w:rPr>
          <w:rFonts w:hint="cs"/>
          <w:rtl/>
        </w:rPr>
        <w:t xml:space="preserve"> דבשנים אוחזין בטלית, לא ידוע לנו כלל של מי הטלית, ורק אחד מהם מודה לשני שחציה שלו, ומכח הודאתו א"א לסלק אותו לגמרי מכל הטלית, אבל בסוגיין כיון שידוע לנו ע"י עדים שרב אידי הוא קרוב, ממילא עומד הדקל בחזקת רב אידי שהוא היורש, וההוא גברא צריך להביא ראיה.</w:t>
      </w:r>
    </w:p>
    <w:p w:rsidR="00103C1B" w:rsidRPr="00414ED4" w:rsidRDefault="00103C1B" w:rsidP="00103C1B">
      <w:pPr>
        <w:pStyle w:val="a3"/>
      </w:pPr>
      <w:bookmarkStart w:id="15753" w:name="_Toc64588823"/>
      <w:bookmarkStart w:id="15754" w:name="_Toc64629414"/>
      <w:bookmarkStart w:id="15755" w:name="_Toc64642877"/>
      <w:r>
        <w:rPr>
          <w:rFonts w:hint="cs"/>
          <w:rtl/>
        </w:rPr>
        <w:t>דברי הרשב"א דלדעת ר"ח דמי לספק ויבם דהיבם חשיב לודאי ואין הספק מוציא מידי ודאי</w:t>
      </w:r>
      <w:bookmarkEnd w:id="15753"/>
      <w:bookmarkEnd w:id="15754"/>
      <w:bookmarkEnd w:id="15755"/>
    </w:p>
    <w:p w:rsidR="00103C1B" w:rsidRDefault="00103C1B" w:rsidP="007E4E81">
      <w:pPr>
        <w:pStyle w:val="a0"/>
        <w:rPr>
          <w:rtl/>
        </w:rPr>
      </w:pPr>
      <w:bookmarkStart w:id="15756" w:name="_Ref64561428"/>
      <w:r>
        <w:rPr>
          <w:rFonts w:hint="cs"/>
          <w:rtl/>
        </w:rPr>
        <w:t xml:space="preserve">וכתב </w:t>
      </w:r>
      <w:r w:rsidRPr="00F310B5">
        <w:rPr>
          <w:rStyle w:val="af9"/>
          <w:rFonts w:hint="cs"/>
          <w:rtl/>
        </w:rPr>
        <w:t>הרשב"א</w:t>
      </w:r>
      <w:r>
        <w:rPr>
          <w:rFonts w:hint="cs"/>
          <w:rtl/>
        </w:rPr>
        <w:t xml:space="preserve"> דדמי להא דאיתא ביבמות </w:t>
      </w:r>
      <w:r w:rsidRPr="00992F0E">
        <w:rPr>
          <w:rStyle w:val="af7"/>
          <w:rFonts w:eastAsia="Guttman Hodes" w:hint="cs"/>
          <w:rtl/>
        </w:rPr>
        <w:t>(לח.)</w:t>
      </w:r>
      <w:r>
        <w:rPr>
          <w:rFonts w:hint="cs"/>
          <w:rtl/>
        </w:rPr>
        <w:t xml:space="preserve"> דספק ויבם שבוא לחלוק בנכסי סבא, </w:t>
      </w:r>
      <w:r w:rsidRPr="00E12372">
        <w:rPr>
          <w:rStyle w:val="afb"/>
          <w:rFonts w:hint="cs"/>
          <w:rtl/>
        </w:rPr>
        <w:t>[דהתייבמה היבמה בתוך ג' חודשים וילדה לסוף ז', ולא ידוע אם הוא בן של המת, או בן של המיבם, ואח</w:t>
      </w:r>
      <w:r>
        <w:rPr>
          <w:rStyle w:val="afb"/>
          <w:rFonts w:hint="cs"/>
          <w:rtl/>
        </w:rPr>
        <w:t>"כ מת הסבא שהוא אבי המת והמייבם</w:t>
      </w:r>
      <w:r w:rsidRPr="00E12372">
        <w:rPr>
          <w:rStyle w:val="afb"/>
          <w:rFonts w:hint="cs"/>
          <w:rtl/>
        </w:rPr>
        <w:t>],</w:t>
      </w:r>
      <w:r>
        <w:rPr>
          <w:rFonts w:hint="cs"/>
          <w:rtl/>
        </w:rPr>
        <w:t xml:space="preserve"> דהספק אומר שהוא בנו האח שמת, והוא צריך לקבל חצי מהירושה מכח אביו, ויבם אומר לספק שהוא בנו, ואין לו כל חלק בנכסי הסבא, ואמרינן דכל הנכסים הם ברשות היבם, כיון שהוא נחשב לודאי דהוא ידוע לכל, והספק נחשב לספק, ואמרינן דאין ספק מוציא מידי ודאי, וה"ה הכא דרב אידי נחשב לודאי,</w:t>
      </w:r>
      <w:r w:rsidRPr="000A5F51">
        <w:rPr>
          <w:rFonts w:hint="cs"/>
          <w:rtl/>
        </w:rPr>
        <w:t xml:space="preserve"> </w:t>
      </w:r>
      <w:r w:rsidRPr="001B7C1D">
        <w:rPr>
          <w:rStyle w:val="afb"/>
          <w:rFonts w:hint="cs"/>
          <w:rtl/>
        </w:rPr>
        <w:t>[</w:t>
      </w:r>
      <w:r>
        <w:rPr>
          <w:rStyle w:val="afb"/>
          <w:rFonts w:hint="cs"/>
          <w:rtl/>
        </w:rPr>
        <w:t xml:space="preserve">ועי' במ"ש </w:t>
      </w:r>
      <w:r w:rsidRPr="001B7C1D">
        <w:rPr>
          <w:rStyle w:val="affa"/>
          <w:rFonts w:hint="cs"/>
          <w:rtl/>
        </w:rPr>
        <w:t>הרשב"א</w:t>
      </w:r>
      <w:r w:rsidRPr="001B7C1D">
        <w:rPr>
          <w:rStyle w:val="afb"/>
          <w:rFonts w:hint="cs"/>
          <w:rtl/>
        </w:rPr>
        <w:t xml:space="preserve"> </w:t>
      </w:r>
      <w:r w:rsidRPr="001B7C1D">
        <w:rPr>
          <w:rStyle w:val="aff6"/>
          <w:rFonts w:hint="cs"/>
          <w:rtl/>
        </w:rPr>
        <w:t xml:space="preserve">(עי' אות </w:t>
      </w:r>
      <w:r w:rsidRPr="001B7C1D">
        <w:rPr>
          <w:rStyle w:val="aff6"/>
          <w:rtl/>
        </w:rPr>
        <w:fldChar w:fldCharType="begin"/>
      </w:r>
      <w:r w:rsidRPr="001B7C1D">
        <w:rPr>
          <w:rStyle w:val="aff6"/>
          <w:rtl/>
        </w:rPr>
        <w:instrText xml:space="preserve"> </w:instrText>
      </w:r>
      <w:r w:rsidRPr="001B7C1D">
        <w:rPr>
          <w:rStyle w:val="aff6"/>
          <w:rFonts w:hint="cs"/>
        </w:rPr>
        <w:instrText>REF</w:instrText>
      </w:r>
      <w:r w:rsidRPr="001B7C1D">
        <w:rPr>
          <w:rStyle w:val="aff6"/>
          <w:rFonts w:hint="cs"/>
          <w:rtl/>
        </w:rPr>
        <w:instrText xml:space="preserve"> _</w:instrText>
      </w:r>
      <w:r w:rsidRPr="001B7C1D">
        <w:rPr>
          <w:rStyle w:val="aff6"/>
          <w:rFonts w:hint="cs"/>
        </w:rPr>
        <w:instrText>Ref64579039 \r \h</w:instrText>
      </w:r>
      <w:r w:rsidRPr="001B7C1D">
        <w:rPr>
          <w:rStyle w:val="aff6"/>
          <w:rtl/>
        </w:rPr>
        <w:instrText xml:space="preserve"> </w:instrText>
      </w:r>
      <w:r w:rsidRPr="001B7C1D">
        <w:rPr>
          <w:rStyle w:val="aff6"/>
          <w:rtl/>
        </w:rPr>
      </w:r>
      <w:r w:rsidRPr="001B7C1D">
        <w:rPr>
          <w:rStyle w:val="aff6"/>
          <w:rtl/>
        </w:rPr>
        <w:fldChar w:fldCharType="separate"/>
      </w:r>
      <w:r w:rsidR="00265073">
        <w:rPr>
          <w:rStyle w:val="aff6"/>
          <w:cs/>
        </w:rPr>
        <w:t>‎</w:t>
      </w:r>
      <w:r w:rsidR="00265073">
        <w:rPr>
          <w:rStyle w:val="aff6"/>
          <w:rtl/>
        </w:rPr>
        <w:t>יח)</w:t>
      </w:r>
      <w:r w:rsidRPr="001B7C1D">
        <w:rPr>
          <w:rStyle w:val="aff6"/>
          <w:rtl/>
        </w:rPr>
        <w:fldChar w:fldCharType="end"/>
      </w:r>
      <w:r w:rsidRPr="001B7C1D">
        <w:rPr>
          <w:rStyle w:val="afb"/>
          <w:rFonts w:hint="cs"/>
          <w:rtl/>
        </w:rPr>
        <w:t xml:space="preserve"> </w:t>
      </w:r>
      <w:r>
        <w:rPr>
          <w:rStyle w:val="affa"/>
          <w:rFonts w:hint="cs"/>
          <w:rtl/>
        </w:rPr>
        <w:t>והריטב"א</w:t>
      </w:r>
      <w:r w:rsidRPr="001B7C1D">
        <w:rPr>
          <w:rStyle w:val="afb"/>
          <w:rFonts w:hint="cs"/>
          <w:rtl/>
        </w:rPr>
        <w:t xml:space="preserve"> </w:t>
      </w:r>
      <w:r w:rsidRPr="001B7C1D">
        <w:rPr>
          <w:rStyle w:val="aff6"/>
          <w:rFonts w:hint="cs"/>
          <w:rtl/>
        </w:rPr>
        <w:t xml:space="preserve">(עי' אות </w:t>
      </w:r>
      <w:r w:rsidRPr="001B7C1D">
        <w:rPr>
          <w:rStyle w:val="aff6"/>
          <w:rtl/>
        </w:rPr>
        <w:fldChar w:fldCharType="begin"/>
      </w:r>
      <w:r w:rsidRPr="001B7C1D">
        <w:rPr>
          <w:rStyle w:val="aff6"/>
          <w:rtl/>
        </w:rPr>
        <w:instrText xml:space="preserve"> </w:instrText>
      </w:r>
      <w:r w:rsidRPr="001B7C1D">
        <w:rPr>
          <w:rStyle w:val="aff6"/>
          <w:rFonts w:hint="cs"/>
        </w:rPr>
        <w:instrText>REF</w:instrText>
      </w:r>
      <w:r w:rsidRPr="001B7C1D">
        <w:rPr>
          <w:rStyle w:val="aff6"/>
          <w:rFonts w:hint="cs"/>
          <w:rtl/>
        </w:rPr>
        <w:instrText xml:space="preserve"> _</w:instrText>
      </w:r>
      <w:r w:rsidRPr="001B7C1D">
        <w:rPr>
          <w:rStyle w:val="aff6"/>
          <w:rFonts w:hint="cs"/>
        </w:rPr>
        <w:instrText>Ref64579070 \r \h</w:instrText>
      </w:r>
      <w:r w:rsidRPr="001B7C1D">
        <w:rPr>
          <w:rStyle w:val="aff6"/>
          <w:rtl/>
        </w:rPr>
        <w:instrText xml:space="preserve"> </w:instrText>
      </w:r>
      <w:r w:rsidRPr="001B7C1D">
        <w:rPr>
          <w:rStyle w:val="aff6"/>
          <w:rtl/>
        </w:rPr>
      </w:r>
      <w:r w:rsidRPr="001B7C1D">
        <w:rPr>
          <w:rStyle w:val="aff6"/>
          <w:rtl/>
        </w:rPr>
        <w:fldChar w:fldCharType="separate"/>
      </w:r>
      <w:r w:rsidR="00265073">
        <w:rPr>
          <w:rStyle w:val="aff6"/>
          <w:cs/>
        </w:rPr>
        <w:t>‎</w:t>
      </w:r>
      <w:r w:rsidR="00265073">
        <w:rPr>
          <w:rStyle w:val="aff6"/>
          <w:rtl/>
        </w:rPr>
        <w:t>לא)</w:t>
      </w:r>
      <w:r w:rsidRPr="001B7C1D">
        <w:rPr>
          <w:rStyle w:val="aff6"/>
          <w:rtl/>
        </w:rPr>
        <w:fldChar w:fldCharType="end"/>
      </w:r>
      <w:r>
        <w:rPr>
          <w:rStyle w:val="afb"/>
          <w:rFonts w:hint="cs"/>
          <w:rtl/>
        </w:rPr>
        <w:t xml:space="preserve"> בדעת </w:t>
      </w:r>
      <w:r w:rsidRPr="000A5F51">
        <w:rPr>
          <w:rStyle w:val="affa"/>
          <w:rFonts w:hint="cs"/>
          <w:rtl/>
        </w:rPr>
        <w:t>הרשב"ם</w:t>
      </w:r>
      <w:r>
        <w:rPr>
          <w:rStyle w:val="afb"/>
          <w:rFonts w:hint="cs"/>
          <w:rtl/>
        </w:rPr>
        <w:t xml:space="preserve"> בדין ספק ויבם</w:t>
      </w:r>
      <w:r w:rsidRPr="001B7C1D">
        <w:rPr>
          <w:rStyle w:val="afb"/>
          <w:rFonts w:hint="cs"/>
          <w:rtl/>
        </w:rPr>
        <w:t xml:space="preserve">], </w:t>
      </w:r>
      <w:r>
        <w:rPr>
          <w:rFonts w:hint="cs"/>
          <w:rtl/>
        </w:rPr>
        <w:t>ועי' בדברי</w:t>
      </w:r>
      <w:r w:rsidRPr="0057093F">
        <w:rPr>
          <w:rStyle w:val="af9"/>
          <w:rFonts w:hint="cs"/>
          <w:rtl/>
        </w:rPr>
        <w:t xml:space="preserve"> </w:t>
      </w:r>
      <w:r w:rsidRPr="00651515">
        <w:rPr>
          <w:rStyle w:val="af9"/>
          <w:rFonts w:hint="cs"/>
          <w:rtl/>
        </w:rPr>
        <w:t>התוס' בב"מ</w:t>
      </w:r>
      <w:r>
        <w:rPr>
          <w:rFonts w:hint="cs"/>
          <w:rtl/>
        </w:rPr>
        <w:t xml:space="preserve"> </w:t>
      </w:r>
      <w:r w:rsidRPr="00651515">
        <w:rPr>
          <w:rStyle w:val="af7"/>
          <w:rFonts w:eastAsia="Guttman Hodes" w:hint="cs"/>
          <w:rtl/>
        </w:rPr>
        <w:t>(ב. ד"ה וזה)</w:t>
      </w:r>
      <w:r>
        <w:rPr>
          <w:rFonts w:hint="cs"/>
          <w:rtl/>
        </w:rPr>
        <w:t xml:space="preserve"> </w:t>
      </w:r>
      <w:r>
        <w:rPr>
          <w:rStyle w:val="af9"/>
          <w:rFonts w:hint="cs"/>
          <w:rtl/>
        </w:rPr>
        <w:t>ו</w:t>
      </w:r>
      <w:r w:rsidRPr="00651515">
        <w:rPr>
          <w:rStyle w:val="af9"/>
          <w:rFonts w:hint="cs"/>
          <w:rtl/>
        </w:rPr>
        <w:t xml:space="preserve">התוס' </w:t>
      </w:r>
      <w:r>
        <w:rPr>
          <w:rStyle w:val="af9"/>
          <w:rFonts w:hint="cs"/>
          <w:rtl/>
        </w:rPr>
        <w:t xml:space="preserve">רא"ש </w:t>
      </w:r>
      <w:r w:rsidRPr="00651515">
        <w:rPr>
          <w:rStyle w:val="af9"/>
          <w:rFonts w:hint="cs"/>
          <w:rtl/>
        </w:rPr>
        <w:t>בב"מ</w:t>
      </w:r>
      <w:r>
        <w:rPr>
          <w:rFonts w:hint="cs"/>
          <w:rtl/>
        </w:rPr>
        <w:t xml:space="preserve"> </w:t>
      </w:r>
      <w:r w:rsidRPr="00651515">
        <w:rPr>
          <w:rStyle w:val="af7"/>
          <w:rFonts w:eastAsia="Guttman Hodes" w:hint="cs"/>
          <w:rtl/>
        </w:rPr>
        <w:t xml:space="preserve">(ב. ד"ה </w:t>
      </w:r>
      <w:r w:rsidRPr="0057093F">
        <w:rPr>
          <w:rStyle w:val="af7"/>
          <w:rFonts w:eastAsia="Guttman Hodes"/>
          <w:rtl/>
        </w:rPr>
        <w:t>בשבועה</w:t>
      </w:r>
      <w:r w:rsidRPr="00651515">
        <w:rPr>
          <w:rStyle w:val="af7"/>
          <w:rFonts w:eastAsia="Guttman Hodes" w:hint="cs"/>
          <w:rtl/>
        </w:rPr>
        <w:t>)</w:t>
      </w:r>
      <w:r>
        <w:rPr>
          <w:rFonts w:hint="cs"/>
          <w:rtl/>
        </w:rPr>
        <w:t>.</w:t>
      </w:r>
      <w:bookmarkEnd w:id="15756"/>
      <w:r w:rsidRPr="0057093F">
        <w:rPr>
          <w:rtl/>
        </w:rPr>
        <w:t xml:space="preserve"> </w:t>
      </w:r>
    </w:p>
    <w:p w:rsidR="00103C1B" w:rsidRPr="003776B4" w:rsidRDefault="00103C1B" w:rsidP="00103C1B">
      <w:pPr>
        <w:pStyle w:val="1"/>
        <w:rPr>
          <w:rtl/>
        </w:rPr>
      </w:pPr>
      <w:bookmarkStart w:id="15757" w:name="_Toc64576201"/>
      <w:bookmarkStart w:id="15758" w:name="_Toc64588824"/>
      <w:bookmarkStart w:id="15759" w:name="_Toc64629415"/>
      <w:bookmarkStart w:id="15760" w:name="_Toc64642878"/>
      <w:r>
        <w:rPr>
          <w:rFonts w:hint="cs"/>
          <w:rtl/>
        </w:rPr>
        <w:lastRenderedPageBreak/>
        <w:t>קושית הרמב"ן על ר"ח</w:t>
      </w:r>
      <w:bookmarkEnd w:id="15757"/>
      <w:r>
        <w:rPr>
          <w:rFonts w:hint="cs"/>
          <w:rtl/>
        </w:rPr>
        <w:t xml:space="preserve"> דקיי"ל דפירי לא הדרי דנאמן במיגו</w:t>
      </w:r>
      <w:bookmarkEnd w:id="15758"/>
      <w:bookmarkEnd w:id="15759"/>
      <w:bookmarkEnd w:id="15760"/>
    </w:p>
    <w:p w:rsidR="00103C1B" w:rsidRPr="004C73FC" w:rsidRDefault="00103C1B" w:rsidP="00103C1B">
      <w:pPr>
        <w:pStyle w:val="a3"/>
        <w:rPr>
          <w:rtl/>
        </w:rPr>
      </w:pPr>
      <w:bookmarkStart w:id="15761" w:name="_Toc64588825"/>
      <w:bookmarkStart w:id="15762" w:name="_Toc64629416"/>
      <w:bookmarkStart w:id="15763" w:name="_Toc64642879"/>
      <w:bookmarkStart w:id="15764" w:name="_Toc64549024"/>
      <w:r w:rsidRPr="009F72E0">
        <w:rPr>
          <w:rtl/>
        </w:rPr>
        <w:t>בי' הרמב"ן בר"ח דההוא גברא טען שקרוב יותר ולכן ירד לפירות והביא ר"א עדים שהוא קרוב</w:t>
      </w:r>
      <w:bookmarkEnd w:id="15761"/>
      <w:bookmarkEnd w:id="15762"/>
      <w:bookmarkEnd w:id="15763"/>
    </w:p>
    <w:p w:rsidR="00103C1B" w:rsidRDefault="00103C1B" w:rsidP="007E4E81">
      <w:pPr>
        <w:pStyle w:val="a0"/>
      </w:pPr>
      <w:bookmarkStart w:id="15765" w:name="_Ref64620992"/>
      <w:r>
        <w:rPr>
          <w:rStyle w:val="af9"/>
          <w:rFonts w:hint="cs"/>
          <w:rtl/>
        </w:rPr>
        <w:t>ו</w:t>
      </w:r>
      <w:r w:rsidRPr="00BF6A82">
        <w:rPr>
          <w:rStyle w:val="af9"/>
          <w:rFonts w:hint="cs"/>
          <w:rtl/>
        </w:rPr>
        <w:t>הרמב"ן</w:t>
      </w:r>
      <w:r>
        <w:rPr>
          <w:rFonts w:hint="cs"/>
          <w:rtl/>
        </w:rPr>
        <w:t xml:space="preserve"> </w:t>
      </w:r>
      <w:r w:rsidRPr="00BF6A82">
        <w:rPr>
          <w:rStyle w:val="af7"/>
          <w:rFonts w:eastAsia="Guttman Hodes" w:hint="cs"/>
          <w:rtl/>
        </w:rPr>
        <w:t>(</w:t>
      </w:r>
      <w:r>
        <w:rPr>
          <w:rStyle w:val="af7"/>
          <w:rFonts w:eastAsia="Guttman Hodes" w:hint="cs"/>
          <w:rtl/>
        </w:rPr>
        <w:t xml:space="preserve">ריש </w:t>
      </w:r>
      <w:r w:rsidRPr="00BF6A82">
        <w:rPr>
          <w:rStyle w:val="af7"/>
          <w:rFonts w:eastAsia="Guttman Hodes" w:hint="cs"/>
          <w:rtl/>
        </w:rPr>
        <w:t>ד"ה וההוא)</w:t>
      </w:r>
      <w:r>
        <w:rPr>
          <w:rFonts w:hint="cs"/>
          <w:rtl/>
        </w:rPr>
        <w:t xml:space="preserve"> הביא את דברי </w:t>
      </w:r>
      <w:r w:rsidRPr="00BF6A82">
        <w:rPr>
          <w:rStyle w:val="af9"/>
          <w:rFonts w:hint="cs"/>
          <w:rtl/>
        </w:rPr>
        <w:t xml:space="preserve">ר"ח </w:t>
      </w:r>
      <w:r>
        <w:rPr>
          <w:rFonts w:hint="cs"/>
          <w:rtl/>
        </w:rPr>
        <w:t xml:space="preserve">דגרס דההוא גברא אמר שהוא קרוב יותר וירד לאכול את הפירות של הדקל, </w:t>
      </w:r>
      <w:r w:rsidRPr="003733F7">
        <w:rPr>
          <w:rStyle w:val="afb"/>
          <w:rFonts w:hint="cs"/>
          <w:rtl/>
        </w:rPr>
        <w:t xml:space="preserve">[ומשמע דכוונת </w:t>
      </w:r>
      <w:r w:rsidRPr="00012F25">
        <w:rPr>
          <w:rStyle w:val="affa"/>
          <w:rFonts w:hint="cs"/>
          <w:rtl/>
        </w:rPr>
        <w:t>הרמב"ן</w:t>
      </w:r>
      <w:r w:rsidRPr="003733F7">
        <w:rPr>
          <w:rStyle w:val="afb"/>
          <w:rFonts w:hint="cs"/>
          <w:rtl/>
        </w:rPr>
        <w:t xml:space="preserve"> לומר שהבעלים הורידוהו לאכול את הפירות, כיון שהוא קרוב יותר, כדכתב </w:t>
      </w:r>
      <w:r w:rsidRPr="00012F25">
        <w:rPr>
          <w:rStyle w:val="affa"/>
          <w:rFonts w:hint="cs"/>
          <w:rtl/>
        </w:rPr>
        <w:t>הרמב"ן</w:t>
      </w:r>
      <w:r w:rsidRPr="003733F7">
        <w:rPr>
          <w:rStyle w:val="afb"/>
          <w:rFonts w:hint="cs"/>
          <w:rtl/>
        </w:rPr>
        <w:t xml:space="preserve"> </w:t>
      </w:r>
      <w:r w:rsidRPr="008C0AEB">
        <w:rPr>
          <w:rStyle w:val="aff6"/>
          <w:rFonts w:hint="cs"/>
          <w:rtl/>
        </w:rPr>
        <w:t xml:space="preserve">(עי' אות </w:t>
      </w:r>
      <w:r w:rsidRPr="008C0AEB">
        <w:rPr>
          <w:rStyle w:val="aff6"/>
          <w:rtl/>
        </w:rPr>
        <w:fldChar w:fldCharType="begin"/>
      </w:r>
      <w:r w:rsidRPr="008C0AEB">
        <w:rPr>
          <w:rStyle w:val="aff6"/>
          <w:rtl/>
        </w:rPr>
        <w:instrText xml:space="preserve"> </w:instrText>
      </w:r>
      <w:r w:rsidRPr="008C0AEB">
        <w:rPr>
          <w:rStyle w:val="aff6"/>
          <w:rFonts w:hint="cs"/>
        </w:rPr>
        <w:instrText>REF</w:instrText>
      </w:r>
      <w:r w:rsidRPr="008C0AEB">
        <w:rPr>
          <w:rStyle w:val="aff6"/>
          <w:rFonts w:hint="cs"/>
          <w:rtl/>
        </w:rPr>
        <w:instrText xml:space="preserve"> _</w:instrText>
      </w:r>
      <w:r w:rsidRPr="008C0AEB">
        <w:rPr>
          <w:rStyle w:val="aff6"/>
          <w:rFonts w:hint="cs"/>
        </w:rPr>
        <w:instrText>Ref64588626 \r \h</w:instrText>
      </w:r>
      <w:r w:rsidRPr="008C0AEB">
        <w:rPr>
          <w:rStyle w:val="aff6"/>
          <w:rtl/>
        </w:rPr>
        <w:instrText xml:space="preserve"> </w:instrText>
      </w:r>
      <w:r w:rsidRPr="008C0AEB">
        <w:rPr>
          <w:rStyle w:val="aff6"/>
          <w:rtl/>
        </w:rPr>
      </w:r>
      <w:r w:rsidRPr="008C0AEB">
        <w:rPr>
          <w:rStyle w:val="aff6"/>
          <w:rtl/>
        </w:rPr>
        <w:fldChar w:fldCharType="separate"/>
      </w:r>
      <w:r w:rsidR="00265073">
        <w:rPr>
          <w:rStyle w:val="aff6"/>
          <w:cs/>
        </w:rPr>
        <w:t>‎</w:t>
      </w:r>
      <w:r w:rsidR="00265073">
        <w:rPr>
          <w:rStyle w:val="aff6"/>
          <w:rtl/>
        </w:rPr>
        <w:t>סד)</w:t>
      </w:r>
      <w:r w:rsidRPr="008C0AEB">
        <w:rPr>
          <w:rStyle w:val="aff6"/>
          <w:rtl/>
        </w:rPr>
        <w:fldChar w:fldCharType="end"/>
      </w:r>
      <w:r>
        <w:rPr>
          <w:rStyle w:val="afb"/>
          <w:rFonts w:hint="cs"/>
          <w:rtl/>
        </w:rPr>
        <w:t xml:space="preserve"> ד</w:t>
      </w:r>
      <w:r w:rsidRPr="00400560">
        <w:rPr>
          <w:rStyle w:val="afb"/>
          <w:rtl/>
        </w:rPr>
        <w:t>אמר כן אלא לייפות את כח עצמו</w:t>
      </w:r>
      <w:r w:rsidRPr="003733F7">
        <w:rPr>
          <w:rStyle w:val="afb"/>
          <w:rFonts w:hint="cs"/>
          <w:rtl/>
        </w:rPr>
        <w:t>],</w:t>
      </w:r>
      <w:r>
        <w:rPr>
          <w:rFonts w:hint="cs"/>
          <w:rtl/>
        </w:rPr>
        <w:t xml:space="preserve"> והביא רב אידי עדים שהוא קרוב.</w:t>
      </w:r>
      <w:bookmarkEnd w:id="15765"/>
    </w:p>
    <w:p w:rsidR="00103C1B" w:rsidRPr="00DA1127" w:rsidRDefault="00103C1B" w:rsidP="00103C1B">
      <w:pPr>
        <w:pStyle w:val="a3"/>
      </w:pPr>
      <w:bookmarkStart w:id="15766" w:name="_Toc64588826"/>
      <w:bookmarkStart w:id="15767" w:name="_Toc64629417"/>
      <w:bookmarkStart w:id="15768" w:name="_Toc64642880"/>
      <w:r>
        <w:rPr>
          <w:rFonts w:hint="cs"/>
          <w:rtl/>
        </w:rPr>
        <w:t>קושית הרמב"ן על ר"ח דאמאי פליגי אביי ורבא הא נאמן במיגו על הפירות דאין עדים עליהם</w:t>
      </w:r>
      <w:bookmarkEnd w:id="15766"/>
      <w:bookmarkEnd w:id="15767"/>
      <w:bookmarkEnd w:id="15768"/>
    </w:p>
    <w:p w:rsidR="00103C1B" w:rsidRDefault="00103C1B" w:rsidP="007E4E81">
      <w:pPr>
        <w:pStyle w:val="a0"/>
        <w:rPr>
          <w:sz w:val="10"/>
          <w:szCs w:val="14"/>
          <w:rtl/>
        </w:rPr>
      </w:pPr>
      <w:bookmarkStart w:id="15769" w:name="_Ref64542256"/>
      <w:r>
        <w:rPr>
          <w:rFonts w:hint="cs"/>
          <w:rtl/>
        </w:rPr>
        <w:t xml:space="preserve">אך הקשה </w:t>
      </w:r>
      <w:r w:rsidRPr="00DA1127">
        <w:rPr>
          <w:rStyle w:val="af9"/>
          <w:rFonts w:hint="cs"/>
          <w:rtl/>
        </w:rPr>
        <w:t>ה</w:t>
      </w:r>
      <w:r w:rsidRPr="00BF6A82">
        <w:rPr>
          <w:rStyle w:val="af9"/>
          <w:rFonts w:hint="cs"/>
          <w:rtl/>
        </w:rPr>
        <w:t xml:space="preserve">רמב"ן </w:t>
      </w:r>
      <w:r>
        <w:rPr>
          <w:rFonts w:hint="cs"/>
          <w:rtl/>
        </w:rPr>
        <w:t xml:space="preserve">על גירסת </w:t>
      </w:r>
      <w:r w:rsidRPr="00BF6A82">
        <w:rPr>
          <w:rStyle w:val="af9"/>
          <w:rFonts w:hint="cs"/>
          <w:rtl/>
        </w:rPr>
        <w:t xml:space="preserve">ר"ח </w:t>
      </w:r>
      <w:r>
        <w:rPr>
          <w:rFonts w:hint="cs"/>
          <w:rtl/>
        </w:rPr>
        <w:t xml:space="preserve">דא"כ במאי פליגי אביי ורבא על רב חסדא, הא דמי לטוען שקנה קרקע מחבירו ואכל פירות ג"ש, ואין לו עדים על החזקה, דכל שיש למערער עידי מרא קמא, הקרקע חוזרת למערער, אבל הפירות אינם חוזרים כיון שאין עדים שאכל פירות של ג"ש, ומיגו דיכול לומר שלא אכל, הוא נאמן לומר אין אכלי ודידי אכלי, ומ"ש הכא דס"ל לאביי ורבא דאינו נאמן, ועי' במה שביארו בזה </w:t>
      </w:r>
      <w:r w:rsidRPr="00170FA0">
        <w:rPr>
          <w:rStyle w:val="af9"/>
          <w:rFonts w:hint="cs"/>
          <w:rtl/>
        </w:rPr>
        <w:t>התוס'</w:t>
      </w:r>
      <w:r>
        <w:rPr>
          <w:rFonts w:hint="cs"/>
          <w:rtl/>
        </w:rPr>
        <w:t xml:space="preserve"> </w:t>
      </w:r>
      <w:r w:rsidRPr="00170FA0">
        <w:rPr>
          <w:rStyle w:val="af7"/>
          <w:rFonts w:eastAsia="Guttman Hodes" w:hint="cs"/>
          <w:rtl/>
        </w:rPr>
        <w:t xml:space="preserve">(עי' אות </w:t>
      </w:r>
      <w:r w:rsidRPr="00170FA0">
        <w:rPr>
          <w:rStyle w:val="af7"/>
          <w:rFonts w:eastAsia="Guttman Hodes"/>
          <w:rtl/>
        </w:rPr>
        <w:fldChar w:fldCharType="begin"/>
      </w:r>
      <w:r w:rsidRPr="00170FA0">
        <w:rPr>
          <w:rStyle w:val="af7"/>
          <w:rFonts w:eastAsia="Guttman Hodes"/>
          <w:rtl/>
        </w:rPr>
        <w:instrText xml:space="preserve"> </w:instrText>
      </w:r>
      <w:r w:rsidRPr="00170FA0">
        <w:rPr>
          <w:rStyle w:val="af7"/>
          <w:rFonts w:eastAsia="Guttman Hodes" w:hint="cs"/>
        </w:rPr>
        <w:instrText>REF</w:instrText>
      </w:r>
      <w:r w:rsidRPr="00170FA0">
        <w:rPr>
          <w:rStyle w:val="af7"/>
          <w:rFonts w:eastAsia="Guttman Hodes" w:hint="cs"/>
          <w:rtl/>
        </w:rPr>
        <w:instrText xml:space="preserve"> _</w:instrText>
      </w:r>
      <w:r w:rsidRPr="00170FA0">
        <w:rPr>
          <w:rStyle w:val="af7"/>
          <w:rFonts w:eastAsia="Guttman Hodes" w:hint="cs"/>
        </w:rPr>
        <w:instrText>Ref64389009 \r \h</w:instrText>
      </w:r>
      <w:r w:rsidRPr="00170FA0">
        <w:rPr>
          <w:rStyle w:val="af7"/>
          <w:rFonts w:eastAsia="Guttman Hodes"/>
          <w:rtl/>
        </w:rPr>
        <w:instrText xml:space="preserve"> </w:instrText>
      </w:r>
      <w:r w:rsidRPr="00170FA0">
        <w:rPr>
          <w:rStyle w:val="af7"/>
          <w:rFonts w:eastAsia="Guttman Hodes"/>
          <w:rtl/>
        </w:rPr>
      </w:r>
      <w:r w:rsidRPr="00170FA0">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170FA0">
        <w:rPr>
          <w:rStyle w:val="af7"/>
          <w:rFonts w:eastAsia="Guttman Hodes"/>
          <w:rtl/>
        </w:rPr>
        <w:fldChar w:fldCharType="end"/>
      </w:r>
      <w:r>
        <w:rPr>
          <w:rFonts w:hint="cs"/>
          <w:rtl/>
        </w:rPr>
        <w:t xml:space="preserve"> </w:t>
      </w:r>
      <w:r w:rsidRPr="00170FA0">
        <w:rPr>
          <w:rStyle w:val="af9"/>
          <w:rFonts w:hint="cs"/>
          <w:rtl/>
        </w:rPr>
        <w:t xml:space="preserve">ורבינו יונה </w:t>
      </w:r>
      <w:r w:rsidRPr="00170FA0">
        <w:rPr>
          <w:rStyle w:val="af7"/>
          <w:rFonts w:eastAsia="Guttman Hodes" w:hint="cs"/>
          <w:rtl/>
        </w:rPr>
        <w:t xml:space="preserve">(עי' אות </w:t>
      </w:r>
      <w:r w:rsidRPr="00170FA0">
        <w:rPr>
          <w:rStyle w:val="af7"/>
          <w:rFonts w:eastAsia="Guttman Hodes"/>
          <w:rtl/>
        </w:rPr>
        <w:fldChar w:fldCharType="begin"/>
      </w:r>
      <w:r w:rsidRPr="00170FA0">
        <w:rPr>
          <w:rStyle w:val="af7"/>
          <w:rFonts w:eastAsia="Guttman Hodes"/>
          <w:rtl/>
        </w:rPr>
        <w:instrText xml:space="preserve"> </w:instrText>
      </w:r>
      <w:r w:rsidRPr="00170FA0">
        <w:rPr>
          <w:rStyle w:val="af7"/>
          <w:rFonts w:eastAsia="Guttman Hodes" w:hint="cs"/>
        </w:rPr>
        <w:instrText>REF</w:instrText>
      </w:r>
      <w:r w:rsidRPr="00170FA0">
        <w:rPr>
          <w:rStyle w:val="af7"/>
          <w:rFonts w:eastAsia="Guttman Hodes" w:hint="cs"/>
          <w:rtl/>
        </w:rPr>
        <w:instrText xml:space="preserve"> _</w:instrText>
      </w:r>
      <w:r w:rsidRPr="00170FA0">
        <w:rPr>
          <w:rStyle w:val="af7"/>
          <w:rFonts w:eastAsia="Guttman Hodes" w:hint="cs"/>
        </w:rPr>
        <w:instrText>Ref64474971 \r \h</w:instrText>
      </w:r>
      <w:r w:rsidRPr="00170FA0">
        <w:rPr>
          <w:rStyle w:val="af7"/>
          <w:rFonts w:eastAsia="Guttman Hodes"/>
          <w:rtl/>
        </w:rPr>
        <w:instrText xml:space="preserve"> </w:instrText>
      </w:r>
      <w:r w:rsidRPr="00170FA0">
        <w:rPr>
          <w:rStyle w:val="af7"/>
          <w:rFonts w:eastAsia="Guttman Hodes"/>
          <w:rtl/>
        </w:rPr>
      </w:r>
      <w:r w:rsidRPr="00170FA0">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sidRPr="00170FA0">
        <w:rPr>
          <w:rStyle w:val="af7"/>
          <w:rFonts w:eastAsia="Guttman Hodes"/>
          <w:rtl/>
        </w:rPr>
        <w:fldChar w:fldCharType="end"/>
      </w:r>
      <w:r>
        <w:rPr>
          <w:rFonts w:hint="cs"/>
          <w:rtl/>
        </w:rPr>
        <w:t xml:space="preserve"> </w:t>
      </w:r>
      <w:r w:rsidRPr="00170FA0">
        <w:rPr>
          <w:rStyle w:val="af9"/>
          <w:rFonts w:hint="cs"/>
          <w:rtl/>
        </w:rPr>
        <w:t xml:space="preserve">והרשב"א </w:t>
      </w:r>
      <w:r w:rsidRPr="00170FA0">
        <w:rPr>
          <w:rStyle w:val="af7"/>
          <w:rFonts w:eastAsia="Guttman Hodes" w:hint="cs"/>
          <w:rtl/>
        </w:rPr>
        <w:t xml:space="preserve">(עי' אות </w:t>
      </w:r>
      <w:r w:rsidRPr="00170FA0">
        <w:rPr>
          <w:rStyle w:val="af7"/>
          <w:rFonts w:eastAsia="Guttman Hodes"/>
          <w:rtl/>
        </w:rPr>
        <w:fldChar w:fldCharType="begin"/>
      </w:r>
      <w:r w:rsidRPr="00170FA0">
        <w:rPr>
          <w:rStyle w:val="af7"/>
          <w:rFonts w:eastAsia="Guttman Hodes"/>
          <w:rtl/>
        </w:rPr>
        <w:instrText xml:space="preserve"> </w:instrText>
      </w:r>
      <w:r w:rsidRPr="00170FA0">
        <w:rPr>
          <w:rStyle w:val="af7"/>
          <w:rFonts w:eastAsia="Guttman Hodes" w:hint="cs"/>
        </w:rPr>
        <w:instrText>REF</w:instrText>
      </w:r>
      <w:r w:rsidRPr="00170FA0">
        <w:rPr>
          <w:rStyle w:val="af7"/>
          <w:rFonts w:eastAsia="Guttman Hodes" w:hint="cs"/>
          <w:rtl/>
        </w:rPr>
        <w:instrText xml:space="preserve"> _</w:instrText>
      </w:r>
      <w:r w:rsidRPr="00170FA0">
        <w:rPr>
          <w:rStyle w:val="af7"/>
          <w:rFonts w:eastAsia="Guttman Hodes" w:hint="cs"/>
        </w:rPr>
        <w:instrText>Ref64403417 \r \h</w:instrText>
      </w:r>
      <w:r w:rsidRPr="00170FA0">
        <w:rPr>
          <w:rStyle w:val="af7"/>
          <w:rFonts w:eastAsia="Guttman Hodes"/>
          <w:rtl/>
        </w:rPr>
        <w:instrText xml:space="preserve"> </w:instrText>
      </w:r>
      <w:r w:rsidRPr="00170FA0">
        <w:rPr>
          <w:rStyle w:val="af7"/>
          <w:rFonts w:eastAsia="Guttman Hodes"/>
          <w:rtl/>
        </w:rPr>
      </w:r>
      <w:r w:rsidRPr="00170FA0">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170FA0">
        <w:rPr>
          <w:rStyle w:val="af7"/>
          <w:rFonts w:eastAsia="Guttman Hodes"/>
          <w:rtl/>
        </w:rPr>
        <w:fldChar w:fldCharType="end"/>
      </w:r>
      <w:r>
        <w:rPr>
          <w:rFonts w:hint="cs"/>
          <w:rtl/>
        </w:rPr>
        <w:t xml:space="preserve"> </w:t>
      </w:r>
      <w:r w:rsidRPr="00170FA0">
        <w:rPr>
          <w:rStyle w:val="af9"/>
          <w:rFonts w:hint="cs"/>
          <w:rtl/>
        </w:rPr>
        <w:t>והריב"ש</w:t>
      </w:r>
      <w:r>
        <w:rPr>
          <w:rFonts w:hint="cs"/>
          <w:rtl/>
        </w:rPr>
        <w:t xml:space="preserve"> </w:t>
      </w:r>
      <w:r w:rsidRPr="00170FA0">
        <w:rPr>
          <w:rStyle w:val="af7"/>
          <w:rFonts w:eastAsia="Guttman Hodes" w:hint="cs"/>
          <w:rtl/>
        </w:rPr>
        <w:t xml:space="preserve">(עי' אות </w:t>
      </w:r>
      <w:r w:rsidRPr="00170FA0">
        <w:rPr>
          <w:rStyle w:val="af7"/>
          <w:rFonts w:eastAsia="Guttman Hodes"/>
          <w:rtl/>
        </w:rPr>
        <w:fldChar w:fldCharType="begin"/>
      </w:r>
      <w:r w:rsidRPr="00170FA0">
        <w:rPr>
          <w:rStyle w:val="af7"/>
          <w:rFonts w:eastAsia="Guttman Hodes"/>
          <w:rtl/>
        </w:rPr>
        <w:instrText xml:space="preserve"> </w:instrText>
      </w:r>
      <w:r w:rsidRPr="00170FA0">
        <w:rPr>
          <w:rStyle w:val="af7"/>
          <w:rFonts w:eastAsia="Guttman Hodes" w:hint="cs"/>
        </w:rPr>
        <w:instrText>REF</w:instrText>
      </w:r>
      <w:r w:rsidRPr="00170FA0">
        <w:rPr>
          <w:rStyle w:val="af7"/>
          <w:rFonts w:eastAsia="Guttman Hodes" w:hint="cs"/>
          <w:rtl/>
        </w:rPr>
        <w:instrText xml:space="preserve"> _</w:instrText>
      </w:r>
      <w:r w:rsidRPr="00170FA0">
        <w:rPr>
          <w:rStyle w:val="af7"/>
          <w:rFonts w:eastAsia="Guttman Hodes" w:hint="cs"/>
        </w:rPr>
        <w:instrText>Ref64475002 \r \h</w:instrText>
      </w:r>
      <w:r w:rsidRPr="00170FA0">
        <w:rPr>
          <w:rStyle w:val="af7"/>
          <w:rFonts w:eastAsia="Guttman Hodes"/>
          <w:rtl/>
        </w:rPr>
        <w:instrText xml:space="preserve"> </w:instrText>
      </w:r>
      <w:r w:rsidRPr="00170FA0">
        <w:rPr>
          <w:rStyle w:val="af7"/>
          <w:rFonts w:eastAsia="Guttman Hodes"/>
          <w:rtl/>
        </w:rPr>
      </w:r>
      <w:r w:rsidRPr="00170FA0">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170FA0">
        <w:rPr>
          <w:rStyle w:val="af7"/>
          <w:rFonts w:eastAsia="Guttman Hodes"/>
          <w:rtl/>
        </w:rPr>
        <w:fldChar w:fldCharType="end"/>
      </w:r>
      <w:r>
        <w:rPr>
          <w:rFonts w:hint="cs"/>
          <w:rtl/>
        </w:rPr>
        <w:t xml:space="preserve">, ובמה שביאר </w:t>
      </w:r>
      <w:r>
        <w:rPr>
          <w:rStyle w:val="af9"/>
          <w:rtl/>
        </w:rPr>
        <w:t>הש"ך</w:t>
      </w:r>
      <w:r>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Ref64542143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פג</w:t>
      </w:r>
      <w:r w:rsidR="00265073">
        <w:rPr>
          <w:rStyle w:val="af7"/>
          <w:rFonts w:eastAsia="Guttman Hodes"/>
          <w:rtl/>
        </w:rPr>
        <w:t>)</w:t>
      </w:r>
      <w:r>
        <w:rPr>
          <w:rStyle w:val="af7"/>
          <w:rFonts w:eastAsia="Guttman Hodes" w:hint="cs"/>
          <w:rtl/>
        </w:rPr>
        <w:fldChar w:fldCharType="end"/>
      </w:r>
      <w:r>
        <w:rPr>
          <w:rFonts w:hint="cs"/>
          <w:rtl/>
        </w:rPr>
        <w:t xml:space="preserve"> בדעת </w:t>
      </w:r>
      <w:r>
        <w:rPr>
          <w:rStyle w:val="af9"/>
          <w:rFonts w:hint="cs"/>
          <w:rtl/>
        </w:rPr>
        <w:t>הרמב"ן</w:t>
      </w:r>
      <w:r>
        <w:rPr>
          <w:rFonts w:hint="cs"/>
          <w:rtl/>
        </w:rPr>
        <w:t>.</w:t>
      </w:r>
      <w:bookmarkEnd w:id="15769"/>
    </w:p>
    <w:p w:rsidR="00103C1B" w:rsidRPr="00EF7B74" w:rsidRDefault="00103C1B" w:rsidP="00103C1B">
      <w:pPr>
        <w:pStyle w:val="1"/>
        <w:rPr>
          <w:rtl/>
        </w:rPr>
      </w:pPr>
      <w:bookmarkStart w:id="15770" w:name="_Toc64576202"/>
      <w:bookmarkStart w:id="15771" w:name="_Toc64588827"/>
      <w:bookmarkStart w:id="15772" w:name="_Toc64629418"/>
      <w:bookmarkStart w:id="15773" w:name="_Toc64642881"/>
      <w:r>
        <w:rPr>
          <w:rFonts w:hint="cs"/>
          <w:rtl/>
        </w:rPr>
        <w:t>דחיית הרשב"ם לגי' ר"ח</w:t>
      </w:r>
      <w:bookmarkEnd w:id="15764"/>
      <w:bookmarkEnd w:id="15770"/>
      <w:r>
        <w:rPr>
          <w:rFonts w:hint="cs"/>
          <w:rtl/>
        </w:rPr>
        <w:t xml:space="preserve"> דההוא גברא לא נאמן לכפור בפירות</w:t>
      </w:r>
      <w:bookmarkEnd w:id="15771"/>
      <w:bookmarkEnd w:id="15772"/>
      <w:bookmarkEnd w:id="15773"/>
    </w:p>
    <w:p w:rsidR="00103C1B" w:rsidRPr="00AA7208" w:rsidRDefault="00103C1B" w:rsidP="00103C1B">
      <w:pPr>
        <w:pStyle w:val="a3"/>
        <w:rPr>
          <w:rtl/>
        </w:rPr>
      </w:pPr>
      <w:bookmarkStart w:id="15774" w:name="_Toc64588828"/>
      <w:bookmarkStart w:id="15775" w:name="_Toc64629419"/>
      <w:bookmarkStart w:id="15776" w:name="_Toc64642882"/>
      <w:bookmarkStart w:id="15777" w:name="_Toc64454555"/>
      <w:bookmarkStart w:id="15778" w:name="_Toc64458646"/>
      <w:r>
        <w:rPr>
          <w:rFonts w:hint="cs"/>
          <w:rtl/>
        </w:rPr>
        <w:t>דחיית הרשב"ם דלא משמע בגמ' דההוא גברא הודה שאגל פירות אלא שהיו עדים ע"ז</w:t>
      </w:r>
      <w:bookmarkEnd w:id="15774"/>
      <w:bookmarkEnd w:id="15775"/>
      <w:bookmarkEnd w:id="15776"/>
    </w:p>
    <w:p w:rsidR="00103C1B" w:rsidRDefault="00103C1B" w:rsidP="007E4E81">
      <w:pPr>
        <w:pStyle w:val="a0"/>
        <w:rPr>
          <w:rtl/>
        </w:rPr>
      </w:pPr>
      <w:bookmarkStart w:id="15779" w:name="_Ref64302897"/>
      <w:r>
        <w:rPr>
          <w:rStyle w:val="af9"/>
          <w:rFonts w:hint="cs"/>
          <w:rtl/>
        </w:rPr>
        <w:t>ו</w:t>
      </w:r>
      <w:r w:rsidRPr="00EF35EC">
        <w:rPr>
          <w:rStyle w:val="af9"/>
          <w:rFonts w:hint="cs"/>
          <w:rtl/>
        </w:rPr>
        <w:t>הרשב"ם</w:t>
      </w:r>
      <w:r>
        <w:rPr>
          <w:rFonts w:hint="cs"/>
          <w:rtl/>
        </w:rPr>
        <w:t xml:space="preserve"> </w:t>
      </w:r>
      <w:r w:rsidRPr="00EF35EC">
        <w:rPr>
          <w:rStyle w:val="af7"/>
          <w:rFonts w:eastAsia="Guttman Hodes" w:hint="cs"/>
          <w:rtl/>
        </w:rPr>
        <w:t>(סוד"ה ויש ספרים)</w:t>
      </w:r>
      <w:r>
        <w:rPr>
          <w:rFonts w:hint="cs"/>
          <w:rtl/>
        </w:rPr>
        <w:t xml:space="preserve"> דחה את גירסת </w:t>
      </w:r>
      <w:r w:rsidRPr="00EF35EC">
        <w:rPr>
          <w:rStyle w:val="af9"/>
          <w:rFonts w:hint="cs"/>
          <w:rtl/>
        </w:rPr>
        <w:t>ר"ח</w:t>
      </w:r>
      <w:r>
        <w:rPr>
          <w:rFonts w:hint="cs"/>
          <w:rtl/>
        </w:rPr>
        <w:t xml:space="preserve"> </w:t>
      </w:r>
      <w:r w:rsidRPr="00CD24E4">
        <w:rPr>
          <w:rStyle w:val="af7"/>
          <w:rFonts w:eastAsia="Guttman Hodes" w:hint="cs"/>
          <w:rtl/>
        </w:rPr>
        <w:t xml:space="preserve">(עי' אות </w:t>
      </w:r>
      <w:r w:rsidRPr="00CD24E4">
        <w:rPr>
          <w:rStyle w:val="af7"/>
          <w:rFonts w:eastAsia="Guttman Hodes"/>
          <w:rtl/>
        </w:rPr>
        <w:fldChar w:fldCharType="begin"/>
      </w:r>
      <w:r w:rsidRPr="00CD24E4">
        <w:rPr>
          <w:rStyle w:val="af7"/>
          <w:rFonts w:eastAsia="Guttman Hodes"/>
          <w:rtl/>
        </w:rPr>
        <w:instrText xml:space="preserve"> </w:instrText>
      </w:r>
      <w:r w:rsidRPr="00CD24E4">
        <w:rPr>
          <w:rStyle w:val="af7"/>
          <w:rFonts w:eastAsia="Guttman Hodes" w:hint="cs"/>
        </w:rPr>
        <w:instrText>REF</w:instrText>
      </w:r>
      <w:r w:rsidRPr="00CD24E4">
        <w:rPr>
          <w:rStyle w:val="af7"/>
          <w:rFonts w:eastAsia="Guttman Hodes" w:hint="cs"/>
          <w:rtl/>
        </w:rPr>
        <w:instrText xml:space="preserve"> _</w:instrText>
      </w:r>
      <w:r w:rsidRPr="00CD24E4">
        <w:rPr>
          <w:rStyle w:val="af7"/>
          <w:rFonts w:eastAsia="Guttman Hodes" w:hint="cs"/>
        </w:rPr>
        <w:instrText>Ref64587281 \r \h</w:instrText>
      </w:r>
      <w:r w:rsidRPr="00CD24E4">
        <w:rPr>
          <w:rStyle w:val="af7"/>
          <w:rFonts w:eastAsia="Guttman Hodes"/>
          <w:rtl/>
        </w:rPr>
        <w:instrText xml:space="preserve"> </w:instrText>
      </w:r>
      <w:r w:rsidRPr="00CD24E4">
        <w:rPr>
          <w:rStyle w:val="af7"/>
          <w:rFonts w:eastAsia="Guttman Hodes"/>
          <w:rtl/>
        </w:rPr>
      </w:r>
      <w:r w:rsidRPr="00CD24E4">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CD24E4">
        <w:rPr>
          <w:rStyle w:val="af7"/>
          <w:rFonts w:eastAsia="Guttman Hodes"/>
          <w:rtl/>
        </w:rPr>
        <w:fldChar w:fldCharType="end"/>
      </w:r>
      <w:r>
        <w:rPr>
          <w:rFonts w:hint="cs"/>
          <w:rtl/>
        </w:rPr>
        <w:t xml:space="preserve"> דלא משמע בגמ' דההוא גברא הודה על אכילת הפירות, אלא שהיו עדים שאכל פירות, וא"כ אינו יכול לכפור ולומר שלא אכל.</w:t>
      </w:r>
      <w:bookmarkEnd w:id="15779"/>
    </w:p>
    <w:p w:rsidR="00103C1B" w:rsidRDefault="00103C1B" w:rsidP="00103C1B">
      <w:pPr>
        <w:pStyle w:val="afe"/>
        <w:rPr>
          <w:rtl/>
        </w:rPr>
      </w:pPr>
      <w:bookmarkStart w:id="15780" w:name="_Toc64588830"/>
      <w:bookmarkStart w:id="15781" w:name="_Toc64629420"/>
      <w:bookmarkStart w:id="15782" w:name="_Toc64642883"/>
      <w:bookmarkStart w:id="15783" w:name="_Toc64549026"/>
      <w:bookmarkStart w:id="15784" w:name="_Toc64576204"/>
      <w:r>
        <w:rPr>
          <w:rFonts w:hint="cs"/>
          <w:rtl/>
        </w:rPr>
        <w:t>ד' הבעה"מ דאפשר לברר בקל ול"א מיגו</w:t>
      </w:r>
      <w:bookmarkEnd w:id="15780"/>
      <w:bookmarkEnd w:id="15781"/>
      <w:bookmarkEnd w:id="15782"/>
    </w:p>
    <w:p w:rsidR="00103C1B" w:rsidRDefault="00103C1B" w:rsidP="00103C1B">
      <w:pPr>
        <w:pStyle w:val="1"/>
        <w:rPr>
          <w:rtl/>
        </w:rPr>
      </w:pPr>
      <w:bookmarkStart w:id="15785" w:name="_Toc64588831"/>
      <w:bookmarkStart w:id="15786" w:name="_Toc64629421"/>
      <w:bookmarkStart w:id="15787" w:name="_Toc64642884"/>
      <w:r>
        <w:rPr>
          <w:rFonts w:hint="cs"/>
          <w:rtl/>
        </w:rPr>
        <w:t>ביאור הבעה"מ</w:t>
      </w:r>
      <w:bookmarkEnd w:id="15747"/>
      <w:r>
        <w:rPr>
          <w:rFonts w:hint="cs"/>
          <w:rtl/>
        </w:rPr>
        <w:t xml:space="preserve"> בגי' דבאו עדים אך לא גרסינן טפי</w:t>
      </w:r>
      <w:bookmarkEnd w:id="15777"/>
      <w:bookmarkEnd w:id="15778"/>
      <w:bookmarkEnd w:id="15783"/>
      <w:bookmarkEnd w:id="15784"/>
      <w:bookmarkEnd w:id="15785"/>
      <w:bookmarkEnd w:id="15786"/>
      <w:bookmarkEnd w:id="15787"/>
    </w:p>
    <w:p w:rsidR="00103C1B" w:rsidRPr="00A42303" w:rsidRDefault="00103C1B" w:rsidP="00103C1B">
      <w:pPr>
        <w:pStyle w:val="a3"/>
        <w:rPr>
          <w:rtl/>
        </w:rPr>
      </w:pPr>
      <w:bookmarkStart w:id="15788" w:name="_Toc64588832"/>
      <w:bookmarkStart w:id="15789" w:name="_Toc64629422"/>
      <w:bookmarkStart w:id="15790" w:name="_Toc64642885"/>
      <w:r>
        <w:rPr>
          <w:rFonts w:hint="cs"/>
          <w:rtl/>
        </w:rPr>
        <w:t>דברי הבעה"מ דמוכח דל"ג "טפי" מהא דלא הקשו אביי ורבא דהוא מיגו במק"ע</w:t>
      </w:r>
      <w:bookmarkEnd w:id="15788"/>
      <w:bookmarkEnd w:id="15789"/>
      <w:bookmarkEnd w:id="15790"/>
    </w:p>
    <w:p w:rsidR="00103C1B" w:rsidRDefault="00103C1B" w:rsidP="007E4E81">
      <w:pPr>
        <w:pStyle w:val="a0"/>
        <w:rPr>
          <w:sz w:val="10"/>
          <w:szCs w:val="14"/>
          <w:rtl/>
        </w:rPr>
      </w:pPr>
      <w:bookmarkStart w:id="15791" w:name="_Ref64407298"/>
      <w:r>
        <w:rPr>
          <w:rFonts w:hint="cs"/>
          <w:rtl/>
        </w:rPr>
        <w:t xml:space="preserve">כתב </w:t>
      </w:r>
      <w:r w:rsidRPr="00ED0E90">
        <w:rPr>
          <w:rStyle w:val="af9"/>
          <w:rFonts w:hint="cs"/>
          <w:rtl/>
        </w:rPr>
        <w:t>הבעה"מ</w:t>
      </w:r>
      <w:r>
        <w:rPr>
          <w:rFonts w:hint="cs"/>
          <w:rtl/>
        </w:rPr>
        <w:t xml:space="preserve"> </w:t>
      </w:r>
      <w:r w:rsidRPr="00ED0E90">
        <w:rPr>
          <w:rStyle w:val="af7"/>
          <w:rFonts w:eastAsia="Guttman Hodes" w:hint="cs"/>
          <w:rtl/>
        </w:rPr>
        <w:t xml:space="preserve">(יז. מדה"ר ד"ה קריביה) </w:t>
      </w:r>
      <w:r>
        <w:rPr>
          <w:rFonts w:hint="cs"/>
          <w:rtl/>
        </w:rPr>
        <w:t xml:space="preserve">דגרסינן דרב אידי הביא עדים שהוא קרוב, אך לא גרסינן שהוא קרוב "טפי", </w:t>
      </w:r>
      <w:r w:rsidRPr="000D5982">
        <w:rPr>
          <w:rStyle w:val="afb"/>
          <w:rFonts w:hint="cs"/>
          <w:rtl/>
        </w:rPr>
        <w:t>[וכ</w:t>
      </w:r>
      <w:r>
        <w:rPr>
          <w:rStyle w:val="afb"/>
          <w:rFonts w:hint="cs"/>
          <w:rtl/>
        </w:rPr>
        <w:t>ן גרס</w:t>
      </w:r>
      <w:r w:rsidRPr="000D5982">
        <w:rPr>
          <w:rStyle w:val="afb"/>
          <w:rFonts w:hint="cs"/>
          <w:rtl/>
        </w:rPr>
        <w:t xml:space="preserve"> </w:t>
      </w:r>
      <w:r w:rsidRPr="000D5982">
        <w:rPr>
          <w:rStyle w:val="affa"/>
          <w:rFonts w:hint="cs"/>
          <w:rtl/>
        </w:rPr>
        <w:t>ר"ח</w:t>
      </w:r>
      <w:r w:rsidRPr="000D5982">
        <w:rPr>
          <w:rStyle w:val="afb"/>
          <w:rFonts w:hint="cs"/>
          <w:rtl/>
        </w:rPr>
        <w:t xml:space="preserve"> </w:t>
      </w:r>
      <w:r w:rsidRPr="00CD24E4">
        <w:rPr>
          <w:rStyle w:val="af7"/>
          <w:rFonts w:eastAsia="Guttman Hodes" w:hint="cs"/>
          <w:rtl/>
        </w:rPr>
        <w:t xml:space="preserve">(עי' אות </w:t>
      </w:r>
      <w:r w:rsidRPr="00CD24E4">
        <w:rPr>
          <w:rStyle w:val="af7"/>
          <w:rFonts w:eastAsia="Guttman Hodes"/>
          <w:rtl/>
        </w:rPr>
        <w:fldChar w:fldCharType="begin"/>
      </w:r>
      <w:r w:rsidRPr="00CD24E4">
        <w:rPr>
          <w:rStyle w:val="af7"/>
          <w:rFonts w:eastAsia="Guttman Hodes"/>
          <w:rtl/>
        </w:rPr>
        <w:instrText xml:space="preserve"> </w:instrText>
      </w:r>
      <w:r w:rsidRPr="00CD24E4">
        <w:rPr>
          <w:rStyle w:val="af7"/>
          <w:rFonts w:eastAsia="Guttman Hodes" w:hint="cs"/>
        </w:rPr>
        <w:instrText>REF</w:instrText>
      </w:r>
      <w:r w:rsidRPr="00CD24E4">
        <w:rPr>
          <w:rStyle w:val="af7"/>
          <w:rFonts w:eastAsia="Guttman Hodes" w:hint="cs"/>
          <w:rtl/>
        </w:rPr>
        <w:instrText xml:space="preserve"> _</w:instrText>
      </w:r>
      <w:r w:rsidRPr="00CD24E4">
        <w:rPr>
          <w:rStyle w:val="af7"/>
          <w:rFonts w:eastAsia="Guttman Hodes" w:hint="cs"/>
        </w:rPr>
        <w:instrText>Ref64587281 \r \h</w:instrText>
      </w:r>
      <w:r w:rsidRPr="00CD24E4">
        <w:rPr>
          <w:rStyle w:val="af7"/>
          <w:rFonts w:eastAsia="Guttman Hodes"/>
          <w:rtl/>
        </w:rPr>
        <w:instrText xml:space="preserve"> </w:instrText>
      </w:r>
      <w:r w:rsidRPr="00CD24E4">
        <w:rPr>
          <w:rStyle w:val="af7"/>
          <w:rFonts w:eastAsia="Guttman Hodes"/>
          <w:rtl/>
        </w:rPr>
      </w:r>
      <w:r w:rsidRPr="00CD24E4">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CD24E4">
        <w:rPr>
          <w:rStyle w:val="af7"/>
          <w:rFonts w:eastAsia="Guttman Hodes"/>
          <w:rtl/>
        </w:rPr>
        <w:fldChar w:fldCharType="end"/>
      </w:r>
      <w:r w:rsidRPr="000D5982">
        <w:rPr>
          <w:rStyle w:val="afb"/>
          <w:rFonts w:hint="cs"/>
          <w:rtl/>
        </w:rPr>
        <w:t>],</w:t>
      </w:r>
      <w:r>
        <w:rPr>
          <w:rFonts w:hint="cs"/>
          <w:rtl/>
        </w:rPr>
        <w:t xml:space="preserve"> וביאר </w:t>
      </w:r>
      <w:r w:rsidRPr="00ED0E90">
        <w:rPr>
          <w:rStyle w:val="af9"/>
          <w:rFonts w:hint="cs"/>
          <w:rtl/>
        </w:rPr>
        <w:t>הבעה"מ</w:t>
      </w:r>
      <w:r>
        <w:rPr>
          <w:rFonts w:hint="cs"/>
          <w:rtl/>
        </w:rPr>
        <w:t xml:space="preserve"> דא"א לומר שיש עדים שרב אידי קרוב יותר, דא"כ היאך אמאי אביי ורבא דכיון דאודי אודי, הא הול"ל דהוא מיגו במקום עדים, דמיגו במקום עדים לא </w:t>
      </w:r>
      <w:r w:rsidRPr="009F2C0B">
        <w:rPr>
          <w:rFonts w:hint="cs"/>
          <w:rtl/>
        </w:rPr>
        <w:t xml:space="preserve">אמרינן, כדאמרו אביי ורבא </w:t>
      </w:r>
      <w:r>
        <w:rPr>
          <w:rFonts w:hint="cs"/>
          <w:rtl/>
        </w:rPr>
        <w:t xml:space="preserve">לעיל </w:t>
      </w:r>
      <w:r w:rsidRPr="00ED0E90">
        <w:rPr>
          <w:rStyle w:val="af7"/>
          <w:rFonts w:eastAsia="Guttman Hodes" w:hint="cs"/>
          <w:rtl/>
        </w:rPr>
        <w:t xml:space="preserve">(לא.) </w:t>
      </w:r>
      <w:r>
        <w:rPr>
          <w:rFonts w:hint="cs"/>
          <w:rtl/>
        </w:rPr>
        <w:t>ו</w:t>
      </w:r>
      <w:r w:rsidRPr="009F2C0B">
        <w:rPr>
          <w:rFonts w:hint="cs"/>
          <w:rtl/>
        </w:rPr>
        <w:t xml:space="preserve">בגמ' בהמשך </w:t>
      </w:r>
      <w:r w:rsidRPr="00ED0E90">
        <w:rPr>
          <w:rStyle w:val="af7"/>
          <w:rFonts w:eastAsia="Guttman Rashi" w:hint="cs"/>
          <w:rtl/>
        </w:rPr>
        <w:t>(לג:)</w:t>
      </w:r>
      <w:r w:rsidRPr="009F2C0B">
        <w:rPr>
          <w:rFonts w:hint="cs"/>
          <w:rtl/>
        </w:rPr>
        <w:t xml:space="preserve">, </w:t>
      </w:r>
      <w:r w:rsidRPr="00CD24E4">
        <w:rPr>
          <w:rFonts w:hint="cs"/>
          <w:rtl/>
        </w:rPr>
        <w:t>ועי' במה שביאר</w:t>
      </w:r>
      <w:r w:rsidRPr="00EB1BB5">
        <w:rPr>
          <w:rStyle w:val="afb"/>
          <w:rFonts w:hint="cs"/>
          <w:rtl/>
        </w:rPr>
        <w:t xml:space="preserve"> </w:t>
      </w:r>
      <w:r w:rsidRPr="00CD24E4">
        <w:rPr>
          <w:rStyle w:val="af9"/>
          <w:rFonts w:hint="cs"/>
          <w:rtl/>
        </w:rPr>
        <w:t>הרמב"ן</w:t>
      </w:r>
      <w:r w:rsidRPr="00EB1BB5">
        <w:rPr>
          <w:rStyle w:val="afb"/>
          <w:rFonts w:hint="cs"/>
          <w:rtl/>
        </w:rPr>
        <w:t xml:space="preserve"> </w:t>
      </w:r>
      <w:r w:rsidRPr="00CD24E4">
        <w:rPr>
          <w:rStyle w:val="af7"/>
          <w:rFonts w:eastAsia="Guttman Rashi" w:hint="cs"/>
          <w:rtl/>
        </w:rPr>
        <w:t xml:space="preserve">(עי' אות </w:t>
      </w:r>
      <w:r w:rsidRPr="00CD24E4">
        <w:rPr>
          <w:rStyle w:val="af7"/>
          <w:rFonts w:eastAsia="Guttman Rashi"/>
          <w:rtl/>
        </w:rPr>
        <w:fldChar w:fldCharType="begin"/>
      </w:r>
      <w:r w:rsidRPr="00CD24E4">
        <w:rPr>
          <w:rStyle w:val="af7"/>
          <w:rFonts w:eastAsia="Guttman Rashi"/>
          <w:rtl/>
        </w:rPr>
        <w:instrText xml:space="preserve"> </w:instrText>
      </w:r>
      <w:r w:rsidRPr="00CD24E4">
        <w:rPr>
          <w:rStyle w:val="af7"/>
          <w:rFonts w:eastAsia="Guttman Rashi" w:hint="cs"/>
        </w:rPr>
        <w:instrText>REF</w:instrText>
      </w:r>
      <w:r w:rsidRPr="00CD24E4">
        <w:rPr>
          <w:rStyle w:val="af7"/>
          <w:rFonts w:eastAsia="Guttman Rashi" w:hint="cs"/>
          <w:rtl/>
        </w:rPr>
        <w:instrText xml:space="preserve"> _</w:instrText>
      </w:r>
      <w:r w:rsidRPr="00CD24E4">
        <w:rPr>
          <w:rStyle w:val="af7"/>
          <w:rFonts w:eastAsia="Guttman Rashi" w:hint="cs"/>
        </w:rPr>
        <w:instrText>Ref64454088 \r \h</w:instrText>
      </w:r>
      <w:r w:rsidRPr="00CD24E4">
        <w:rPr>
          <w:rStyle w:val="af7"/>
          <w:rFonts w:eastAsia="Guttman Rashi"/>
          <w:rtl/>
        </w:rPr>
        <w:instrText xml:space="preserve"> </w:instrText>
      </w:r>
      <w:r w:rsidRPr="00CD24E4">
        <w:rPr>
          <w:rStyle w:val="af7"/>
          <w:rFonts w:eastAsia="Guttman Rashi"/>
          <w:rtl/>
        </w:rPr>
      </w:r>
      <w:r w:rsidRPr="00CD24E4">
        <w:rPr>
          <w:rStyle w:val="af7"/>
          <w:rFonts w:eastAsia="Guttman Rashi"/>
          <w:rtl/>
        </w:rPr>
        <w:fldChar w:fldCharType="separate"/>
      </w:r>
      <w:r w:rsidR="00265073">
        <w:rPr>
          <w:rStyle w:val="af7"/>
          <w:rFonts w:eastAsia="Guttman Rashi"/>
          <w:cs/>
        </w:rPr>
        <w:t>‎</w:t>
      </w:r>
      <w:r w:rsidR="00265073">
        <w:rPr>
          <w:rStyle w:val="af7"/>
          <w:rFonts w:eastAsia="Guttman Rashi"/>
          <w:rtl/>
        </w:rPr>
        <w:t>נט)</w:t>
      </w:r>
      <w:r w:rsidRPr="00CD24E4">
        <w:rPr>
          <w:rStyle w:val="af7"/>
          <w:rFonts w:eastAsia="Guttman Rashi"/>
          <w:rtl/>
        </w:rPr>
        <w:fldChar w:fldCharType="end"/>
      </w:r>
      <w:r>
        <w:rPr>
          <w:rFonts w:hint="cs"/>
          <w:rtl/>
        </w:rPr>
        <w:t>.</w:t>
      </w:r>
    </w:p>
    <w:p w:rsidR="00103C1B" w:rsidRPr="00DE788E" w:rsidRDefault="00103C1B" w:rsidP="00103C1B">
      <w:pPr>
        <w:pStyle w:val="1"/>
        <w:rPr>
          <w:rtl/>
        </w:rPr>
      </w:pPr>
      <w:bookmarkStart w:id="15792" w:name="_Toc64629423"/>
      <w:bookmarkStart w:id="15793" w:name="_Toc64642886"/>
      <w:r>
        <w:rPr>
          <w:rFonts w:hint="cs"/>
          <w:rtl/>
        </w:rPr>
        <w:t>ביאור הבעה"מ דבמקום שמסתבר שיש עדים ל"א מיגו</w:t>
      </w:r>
      <w:bookmarkEnd w:id="15792"/>
      <w:bookmarkEnd w:id="15793"/>
    </w:p>
    <w:p w:rsidR="00103C1B" w:rsidRPr="00CD24E4" w:rsidRDefault="00103C1B" w:rsidP="00103C1B">
      <w:pPr>
        <w:pStyle w:val="a3"/>
      </w:pPr>
      <w:bookmarkStart w:id="15794" w:name="_Toc64588833"/>
      <w:bookmarkStart w:id="15795" w:name="_Toc64629424"/>
      <w:bookmarkStart w:id="15796" w:name="_Toc64642887"/>
      <w:r>
        <w:rPr>
          <w:rFonts w:hint="cs"/>
          <w:rtl/>
        </w:rPr>
        <w:t>ביאור הבעה"מ דלר"א יש עדים דקרוב ולההוא גברא אין עדים והוא בחזקת רחוק ול"מ מיגו</w:t>
      </w:r>
      <w:bookmarkEnd w:id="15794"/>
      <w:bookmarkEnd w:id="15795"/>
      <w:bookmarkEnd w:id="15796"/>
    </w:p>
    <w:p w:rsidR="00103C1B" w:rsidRDefault="00103C1B" w:rsidP="007E4E81">
      <w:pPr>
        <w:pStyle w:val="a0"/>
        <w:rPr>
          <w:sz w:val="10"/>
          <w:szCs w:val="14"/>
          <w:rtl/>
        </w:rPr>
      </w:pPr>
      <w:r>
        <w:rPr>
          <w:rFonts w:hint="cs"/>
          <w:rtl/>
        </w:rPr>
        <w:t xml:space="preserve">אלא ביאר </w:t>
      </w:r>
      <w:r w:rsidRPr="00ED0E90">
        <w:rPr>
          <w:rStyle w:val="af9"/>
          <w:rFonts w:hint="cs"/>
          <w:rtl/>
        </w:rPr>
        <w:t>הבעה"מ</w:t>
      </w:r>
      <w:r>
        <w:rPr>
          <w:rFonts w:hint="cs"/>
          <w:rtl/>
        </w:rPr>
        <w:t xml:space="preserve"> דכיון שיש לרב אידי עדים שהוא קרוב, וההוא גברא לא הביא עדים כלל, א"כ עומד ההוא גברא בחזקת רחוק, </w:t>
      </w:r>
      <w:r w:rsidRPr="002A46DC">
        <w:rPr>
          <w:rStyle w:val="afb"/>
          <w:rFonts w:hint="cs"/>
          <w:rtl/>
        </w:rPr>
        <w:t xml:space="preserve">[וכ"כ </w:t>
      </w:r>
      <w:r w:rsidRPr="002A46DC">
        <w:rPr>
          <w:rStyle w:val="affa"/>
          <w:rFonts w:hint="cs"/>
          <w:rtl/>
        </w:rPr>
        <w:t>הריטב"א</w:t>
      </w:r>
      <w:r w:rsidRPr="002A46DC">
        <w:rPr>
          <w:rStyle w:val="afb"/>
          <w:rFonts w:hint="cs"/>
          <w:rtl/>
        </w:rPr>
        <w:t xml:space="preserve"> </w:t>
      </w:r>
      <w:r w:rsidRPr="002A46DC">
        <w:rPr>
          <w:rStyle w:val="aff6"/>
          <w:rFonts w:hint="cs"/>
          <w:rtl/>
        </w:rPr>
        <w:t xml:space="preserve">(עי' אות </w:t>
      </w:r>
      <w:r w:rsidRPr="002A46DC">
        <w:rPr>
          <w:rStyle w:val="aff6"/>
          <w:rtl/>
        </w:rPr>
        <w:fldChar w:fldCharType="begin"/>
      </w:r>
      <w:r w:rsidRPr="002A46DC">
        <w:rPr>
          <w:rStyle w:val="aff6"/>
          <w:rtl/>
        </w:rPr>
        <w:instrText xml:space="preserve"> </w:instrText>
      </w:r>
      <w:r w:rsidRPr="002A46DC">
        <w:rPr>
          <w:rStyle w:val="aff6"/>
          <w:rFonts w:hint="cs"/>
        </w:rPr>
        <w:instrText>REF</w:instrText>
      </w:r>
      <w:r w:rsidRPr="002A46DC">
        <w:rPr>
          <w:rStyle w:val="aff6"/>
          <w:rFonts w:hint="cs"/>
          <w:rtl/>
        </w:rPr>
        <w:instrText xml:space="preserve"> _</w:instrText>
      </w:r>
      <w:r w:rsidRPr="002A46DC">
        <w:rPr>
          <w:rStyle w:val="aff6"/>
          <w:rFonts w:hint="cs"/>
        </w:rPr>
        <w:instrText>Ref64454152 \r \h</w:instrText>
      </w:r>
      <w:r w:rsidRPr="002A46DC">
        <w:rPr>
          <w:rStyle w:val="aff6"/>
          <w:rtl/>
        </w:rPr>
        <w:instrText xml:space="preserve"> </w:instrText>
      </w:r>
      <w:r w:rsidRPr="002A46DC">
        <w:rPr>
          <w:rStyle w:val="aff6"/>
          <w:rtl/>
        </w:rPr>
      </w:r>
      <w:r w:rsidRPr="002A46DC">
        <w:rPr>
          <w:rStyle w:val="aff6"/>
          <w:rtl/>
        </w:rPr>
        <w:fldChar w:fldCharType="separate"/>
      </w:r>
      <w:r w:rsidR="00265073">
        <w:rPr>
          <w:rStyle w:val="aff6"/>
          <w:cs/>
        </w:rPr>
        <w:t>‎</w:t>
      </w:r>
      <w:r w:rsidR="00265073">
        <w:rPr>
          <w:rStyle w:val="aff6"/>
          <w:rtl/>
        </w:rPr>
        <w:t>סה)</w:t>
      </w:r>
      <w:r w:rsidRPr="002A46DC">
        <w:rPr>
          <w:rStyle w:val="aff6"/>
          <w:rtl/>
        </w:rPr>
        <w:fldChar w:fldCharType="end"/>
      </w:r>
      <w:r w:rsidRPr="002A46DC">
        <w:rPr>
          <w:rStyle w:val="afb"/>
          <w:rFonts w:hint="cs"/>
          <w:rtl/>
        </w:rPr>
        <w:t>],</w:t>
      </w:r>
      <w:r>
        <w:rPr>
          <w:rFonts w:hint="cs"/>
          <w:rtl/>
        </w:rPr>
        <w:t xml:space="preserve"> וכתב </w:t>
      </w:r>
      <w:r w:rsidRPr="00ED0E90">
        <w:rPr>
          <w:rStyle w:val="af9"/>
          <w:rFonts w:hint="cs"/>
          <w:rtl/>
        </w:rPr>
        <w:t>הבעה"מ</w:t>
      </w:r>
      <w:r>
        <w:rPr>
          <w:rFonts w:hint="cs"/>
          <w:rtl/>
        </w:rPr>
        <w:t xml:space="preserve"> דאינו נאמן בטענת אין אכלי ודידי אכלי, במיגו דהיה יכול לומר שלא אכל פירות, דאינו נאמן כלל בטענה שהוא קרוב יותר, כיון שהוא עומד </w:t>
      </w:r>
      <w:r w:rsidRPr="00DA53FC">
        <w:rPr>
          <w:rFonts w:hint="cs"/>
          <w:rtl/>
        </w:rPr>
        <w:t>בחזקת רחוק</w:t>
      </w:r>
      <w:r>
        <w:rPr>
          <w:rFonts w:hint="cs"/>
          <w:rtl/>
        </w:rPr>
        <w:t>.</w:t>
      </w:r>
      <w:bookmarkEnd w:id="15791"/>
    </w:p>
    <w:p w:rsidR="00103C1B" w:rsidRPr="00DA53FC" w:rsidRDefault="00103C1B" w:rsidP="00103C1B">
      <w:pPr>
        <w:pStyle w:val="a3"/>
      </w:pPr>
      <w:bookmarkStart w:id="15797" w:name="_Toc64588834"/>
      <w:bookmarkStart w:id="15798" w:name="_Toc64629425"/>
      <w:bookmarkStart w:id="15799" w:name="_Toc64642888"/>
      <w:r>
        <w:rPr>
          <w:rFonts w:hint="cs"/>
          <w:rtl/>
        </w:rPr>
        <w:t>דברי הבעה"מ דבכל מקום שיכול להביא עדים בקל אינו נאמן במיגו</w:t>
      </w:r>
      <w:bookmarkEnd w:id="15797"/>
      <w:bookmarkEnd w:id="15798"/>
      <w:bookmarkEnd w:id="15799"/>
    </w:p>
    <w:p w:rsidR="00103C1B" w:rsidRDefault="00103C1B" w:rsidP="007E4E81">
      <w:pPr>
        <w:pStyle w:val="a0"/>
        <w:rPr>
          <w:rtl/>
        </w:rPr>
      </w:pPr>
      <w:bookmarkStart w:id="15800" w:name="_Ref64407061"/>
      <w:r w:rsidRPr="00DA53FC">
        <w:rPr>
          <w:rFonts w:hint="cs"/>
          <w:rtl/>
        </w:rPr>
        <w:t xml:space="preserve">וכתב </w:t>
      </w:r>
      <w:r w:rsidRPr="00DA53FC">
        <w:rPr>
          <w:rStyle w:val="af9"/>
          <w:rFonts w:hint="cs"/>
          <w:rtl/>
        </w:rPr>
        <w:t>הבעה"מ</w:t>
      </w:r>
      <w:r w:rsidRPr="00DA53FC">
        <w:rPr>
          <w:rFonts w:hint="cs"/>
          <w:rtl/>
        </w:rPr>
        <w:t xml:space="preserve"> דה"ה באומר מפלניא זבינתה דזבנה מינך ואין לו עדים דדר בה המוכר חד יומא, דאינו נאמן לומר קמי דידי דר בה חד יומא, דאמרינן ליה דאי דר בה חד יומא לא יתכן שלא ראו אותו </w:t>
      </w:r>
      <w:r w:rsidRPr="00DA53FC">
        <w:rPr>
          <w:rFonts w:hint="cs"/>
          <w:rtl/>
        </w:rPr>
        <w:t>עדים אחרים, והוא דבר קל להביא עדים ע"ז,</w:t>
      </w:r>
      <w:r w:rsidRPr="00ED0E90">
        <w:rPr>
          <w:rStyle w:val="afb"/>
          <w:rFonts w:hint="cs"/>
          <w:rtl/>
        </w:rPr>
        <w:t xml:space="preserve"> </w:t>
      </w:r>
      <w:r w:rsidRPr="00273514">
        <w:rPr>
          <w:rFonts w:hint="cs"/>
          <w:rtl/>
        </w:rPr>
        <w:t xml:space="preserve">וכתב </w:t>
      </w:r>
      <w:r w:rsidRPr="00273514">
        <w:rPr>
          <w:rStyle w:val="af9"/>
          <w:rFonts w:hint="cs"/>
          <w:rtl/>
        </w:rPr>
        <w:t>הבעה"מ</w:t>
      </w:r>
      <w:r w:rsidRPr="00273514">
        <w:rPr>
          <w:rFonts w:hint="cs"/>
          <w:rtl/>
        </w:rPr>
        <w:t xml:space="preserve"> דבכל הטענות הללו אינו נאמן במיגו</w:t>
      </w:r>
      <w:r>
        <w:rPr>
          <w:rFonts w:hint="cs"/>
          <w:rtl/>
        </w:rPr>
        <w:t>,</w:t>
      </w:r>
      <w:r w:rsidRPr="00A34133">
        <w:rPr>
          <w:rFonts w:hint="cs"/>
          <w:rtl/>
        </w:rPr>
        <w:t xml:space="preserve"> </w:t>
      </w:r>
      <w:r>
        <w:rPr>
          <w:rFonts w:hint="cs"/>
          <w:rtl/>
        </w:rPr>
        <w:t xml:space="preserve">וביאר </w:t>
      </w:r>
      <w:r w:rsidRPr="001B1656">
        <w:rPr>
          <w:rStyle w:val="af9"/>
          <w:rFonts w:hint="cs"/>
          <w:rtl/>
        </w:rPr>
        <w:t>הרמב"ן במלחמות</w:t>
      </w:r>
      <w:r>
        <w:rPr>
          <w:rFonts w:hint="cs"/>
          <w:rtl/>
        </w:rPr>
        <w:t xml:space="preserve"> </w:t>
      </w:r>
      <w:r w:rsidRPr="001B1656">
        <w:rPr>
          <w:rStyle w:val="af7"/>
          <w:rFonts w:eastAsia="Guttman Hodes" w:hint="cs"/>
          <w:rtl/>
        </w:rPr>
        <w:t>(יז. מדה"ר ד"ה ועוד קריביה)</w:t>
      </w:r>
      <w:r>
        <w:rPr>
          <w:rFonts w:hint="cs"/>
          <w:rtl/>
        </w:rPr>
        <w:t xml:space="preserve"> </w:t>
      </w:r>
      <w:r w:rsidRPr="00E82A44">
        <w:rPr>
          <w:rtl/>
        </w:rPr>
        <w:t xml:space="preserve">דכוונת </w:t>
      </w:r>
      <w:r w:rsidRPr="001B1656">
        <w:rPr>
          <w:rStyle w:val="af9"/>
          <w:rtl/>
        </w:rPr>
        <w:t>הבעה"מ</w:t>
      </w:r>
      <w:r w:rsidRPr="00E82A44">
        <w:rPr>
          <w:rtl/>
        </w:rPr>
        <w:t xml:space="preserve"> לומר דבמקום שהוא יכול להביא עדים בקל</w:t>
      </w:r>
      <w:r>
        <w:rPr>
          <w:rFonts w:hint="cs"/>
          <w:rtl/>
        </w:rPr>
        <w:t>, לא אמרינן מיגו</w:t>
      </w:r>
      <w:r w:rsidRPr="00273514">
        <w:rPr>
          <w:rFonts w:hint="cs"/>
          <w:rtl/>
        </w:rPr>
        <w:t>.</w:t>
      </w:r>
      <w:bookmarkEnd w:id="15800"/>
    </w:p>
    <w:p w:rsidR="00103C1B" w:rsidRPr="00E82A44" w:rsidRDefault="00103C1B" w:rsidP="00103C1B">
      <w:pPr>
        <w:pStyle w:val="a3"/>
        <w:rPr>
          <w:rtl/>
        </w:rPr>
      </w:pPr>
      <w:bookmarkStart w:id="15801" w:name="_Toc64588835"/>
      <w:bookmarkStart w:id="15802" w:name="_Toc64629426"/>
      <w:bookmarkStart w:id="15803" w:name="_Toc64642889"/>
      <w:r>
        <w:rPr>
          <w:rFonts w:hint="cs"/>
          <w:rtl/>
        </w:rPr>
        <w:t>ביאור הבעה"מ דבחזקת ג"ש נאמן במיגו על הפירות דקשה להביא עדים על ג"ש רצופות</w:t>
      </w:r>
      <w:bookmarkEnd w:id="15801"/>
      <w:bookmarkEnd w:id="15802"/>
      <w:bookmarkEnd w:id="15803"/>
    </w:p>
    <w:p w:rsidR="00103C1B" w:rsidRDefault="00103C1B" w:rsidP="007E4E81">
      <w:pPr>
        <w:pStyle w:val="a0"/>
        <w:rPr>
          <w:rStyle w:val="afb"/>
          <w:rtl/>
        </w:rPr>
      </w:pPr>
      <w:bookmarkStart w:id="15804" w:name="_Ref64542078"/>
      <w:r>
        <w:rPr>
          <w:rFonts w:hint="cs"/>
          <w:rtl/>
        </w:rPr>
        <w:t xml:space="preserve">אך כתב </w:t>
      </w:r>
      <w:r w:rsidRPr="00ED0E90">
        <w:rPr>
          <w:rStyle w:val="af9"/>
          <w:rFonts w:hint="cs"/>
          <w:rtl/>
        </w:rPr>
        <w:t>הבעה"מ</w:t>
      </w:r>
      <w:r>
        <w:rPr>
          <w:rFonts w:hint="cs"/>
          <w:rtl/>
        </w:rPr>
        <w:t xml:space="preserve"> דבמקום שיש ע"א שאכל פירות ג"ש, או שהוא טוען שאכל פירות ג"ש, ואין לו עדות כלל, דאעפ"י דהדרא ארעא, מ"מ על הפירות הוא נאמן לומר אין אכלי ודידי אכלי, במיגו דהיה יכול לומר שלא אכל פירות מעולם, </w:t>
      </w:r>
      <w:r w:rsidRPr="007A1F9E">
        <w:rPr>
          <w:rFonts w:hint="cs"/>
          <w:rtl/>
        </w:rPr>
        <w:t xml:space="preserve">וביאר </w:t>
      </w:r>
      <w:r w:rsidRPr="001B1656">
        <w:rPr>
          <w:rStyle w:val="af9"/>
          <w:rFonts w:hint="cs"/>
          <w:rtl/>
        </w:rPr>
        <w:t>הבעה"מ</w:t>
      </w:r>
      <w:r w:rsidRPr="007A1F9E">
        <w:rPr>
          <w:rFonts w:hint="cs"/>
          <w:rtl/>
        </w:rPr>
        <w:t xml:space="preserve"> דלא אמרינן שאם היה כדבריו ודאי שיש עדים ע"ז, כיון שהוא דבר קשה להביא עדים על אכילת ג"ש רצופות</w:t>
      </w:r>
      <w:r>
        <w:rPr>
          <w:rFonts w:hint="cs"/>
          <w:rtl/>
        </w:rPr>
        <w:t>,</w:t>
      </w:r>
      <w:r>
        <w:rPr>
          <w:rStyle w:val="afb"/>
          <w:rFonts w:hint="cs"/>
          <w:rtl/>
        </w:rPr>
        <w:t xml:space="preserve"> [והיינו דכל הנאמנות של מיגו בחזקת ג"ש, הוא כיון שקשה להביא עדים ע"ז</w:t>
      </w:r>
      <w:r w:rsidRPr="00ED0E90">
        <w:rPr>
          <w:rStyle w:val="afb"/>
          <w:rFonts w:hint="cs"/>
          <w:rtl/>
        </w:rPr>
        <w:t>]</w:t>
      </w:r>
      <w:bookmarkEnd w:id="15804"/>
      <w:r>
        <w:rPr>
          <w:rStyle w:val="afb"/>
          <w:rFonts w:hint="cs"/>
          <w:rtl/>
        </w:rPr>
        <w:t>,</w:t>
      </w:r>
      <w:r w:rsidRPr="00B81A5A">
        <w:rPr>
          <w:rFonts w:hint="cs"/>
          <w:rtl/>
        </w:rPr>
        <w:t xml:space="preserve"> </w:t>
      </w:r>
      <w:r>
        <w:rPr>
          <w:rFonts w:hint="cs"/>
          <w:rtl/>
        </w:rPr>
        <w:t xml:space="preserve">ועי' במה שביאר </w:t>
      </w:r>
      <w:r w:rsidRPr="00B81A5A">
        <w:rPr>
          <w:rStyle w:val="af9"/>
          <w:rFonts w:hint="cs"/>
          <w:rtl/>
        </w:rPr>
        <w:t>הש"ך</w:t>
      </w:r>
      <w:r>
        <w:rPr>
          <w:rFonts w:hint="cs"/>
          <w:rtl/>
        </w:rPr>
        <w:t xml:space="preserve"> </w:t>
      </w:r>
      <w:r w:rsidRPr="00B81A5A">
        <w:rPr>
          <w:rStyle w:val="af7"/>
          <w:rFonts w:eastAsia="Guttman Hodes" w:hint="cs"/>
          <w:rtl/>
        </w:rPr>
        <w:t xml:space="preserve">(עי' אות </w:t>
      </w:r>
      <w:r w:rsidRPr="00B81A5A">
        <w:rPr>
          <w:rStyle w:val="af7"/>
          <w:rFonts w:eastAsia="Guttman Hodes"/>
          <w:rtl/>
        </w:rPr>
        <w:fldChar w:fldCharType="begin"/>
      </w:r>
      <w:r w:rsidRPr="00B81A5A">
        <w:rPr>
          <w:rStyle w:val="af7"/>
          <w:rFonts w:eastAsia="Guttman Hodes"/>
          <w:rtl/>
        </w:rPr>
        <w:instrText xml:space="preserve"> </w:instrText>
      </w:r>
      <w:r w:rsidRPr="00B81A5A">
        <w:rPr>
          <w:rStyle w:val="af7"/>
          <w:rFonts w:eastAsia="Guttman Hodes" w:hint="cs"/>
        </w:rPr>
        <w:instrText>REF</w:instrText>
      </w:r>
      <w:r w:rsidRPr="00B81A5A">
        <w:rPr>
          <w:rStyle w:val="af7"/>
          <w:rFonts w:eastAsia="Guttman Hodes" w:hint="cs"/>
          <w:rtl/>
        </w:rPr>
        <w:instrText xml:space="preserve"> _</w:instrText>
      </w:r>
      <w:r w:rsidRPr="00B81A5A">
        <w:rPr>
          <w:rStyle w:val="af7"/>
          <w:rFonts w:eastAsia="Guttman Hodes" w:hint="cs"/>
        </w:rPr>
        <w:instrText>Ref64542143 \r \h</w:instrText>
      </w:r>
      <w:r w:rsidRPr="00B81A5A">
        <w:rPr>
          <w:rStyle w:val="af7"/>
          <w:rFonts w:eastAsia="Guttman Hodes"/>
          <w:rtl/>
        </w:rPr>
        <w:instrText xml:space="preserve"> </w:instrText>
      </w:r>
      <w:r w:rsidRPr="00B81A5A">
        <w:rPr>
          <w:rStyle w:val="af7"/>
          <w:rFonts w:eastAsia="Guttman Hodes"/>
          <w:rtl/>
        </w:rPr>
      </w:r>
      <w:r w:rsidRPr="00B81A5A">
        <w:rPr>
          <w:rStyle w:val="af7"/>
          <w:rFonts w:eastAsia="Guttman Hodes"/>
          <w:rtl/>
        </w:rPr>
        <w:fldChar w:fldCharType="separate"/>
      </w:r>
      <w:r w:rsidR="00265073">
        <w:rPr>
          <w:rStyle w:val="af7"/>
          <w:rFonts w:eastAsia="Guttman Hodes"/>
          <w:cs/>
        </w:rPr>
        <w:t>‎</w:t>
      </w:r>
      <w:r w:rsidR="00265073">
        <w:rPr>
          <w:rStyle w:val="af7"/>
          <w:rFonts w:eastAsia="Guttman Hodes"/>
          <w:rtl/>
        </w:rPr>
        <w:t>פג)</w:t>
      </w:r>
      <w:r w:rsidRPr="00B81A5A">
        <w:rPr>
          <w:rStyle w:val="af7"/>
          <w:rFonts w:eastAsia="Guttman Hodes"/>
          <w:rtl/>
        </w:rPr>
        <w:fldChar w:fldCharType="end"/>
      </w:r>
      <w:r>
        <w:rPr>
          <w:rFonts w:hint="cs"/>
          <w:rtl/>
        </w:rPr>
        <w:t xml:space="preserve"> בדברי </w:t>
      </w:r>
      <w:r w:rsidRPr="00B81A5A">
        <w:rPr>
          <w:rStyle w:val="af9"/>
          <w:rFonts w:hint="cs"/>
          <w:rtl/>
        </w:rPr>
        <w:t>הבעה"מ</w:t>
      </w:r>
      <w:r>
        <w:rPr>
          <w:rFonts w:hint="cs"/>
          <w:rtl/>
        </w:rPr>
        <w:t>.</w:t>
      </w:r>
    </w:p>
    <w:p w:rsidR="00103C1B" w:rsidRPr="00DE788E" w:rsidRDefault="00103C1B" w:rsidP="00103C1B">
      <w:pPr>
        <w:pStyle w:val="1"/>
        <w:rPr>
          <w:rtl/>
        </w:rPr>
      </w:pPr>
      <w:bookmarkStart w:id="15805" w:name="_Toc64629427"/>
      <w:bookmarkStart w:id="15806" w:name="_Toc64642890"/>
      <w:r>
        <w:rPr>
          <w:rFonts w:hint="cs"/>
          <w:rtl/>
        </w:rPr>
        <w:t>דחיית הרמב"ן דאף כשאפשר להביא עדים בקל אמרינן מיגו</w:t>
      </w:r>
      <w:bookmarkEnd w:id="15805"/>
      <w:bookmarkEnd w:id="15806"/>
    </w:p>
    <w:p w:rsidR="00103C1B" w:rsidRPr="00E82A44" w:rsidRDefault="00103C1B" w:rsidP="00103C1B">
      <w:pPr>
        <w:pStyle w:val="a3"/>
        <w:rPr>
          <w:rtl/>
        </w:rPr>
      </w:pPr>
      <w:bookmarkStart w:id="15807" w:name="_Toc64588836"/>
      <w:bookmarkStart w:id="15808" w:name="_Toc64629428"/>
      <w:bookmarkStart w:id="15809" w:name="_Toc64642891"/>
      <w:r>
        <w:rPr>
          <w:rFonts w:hint="cs"/>
          <w:rtl/>
        </w:rPr>
        <w:t>דחיית הרמב"ן דאף כשאפשר להביא עדים בקל מהני מיגו וכ"ש הכא דנאמן מדין הפה שאסר</w:t>
      </w:r>
      <w:bookmarkEnd w:id="15807"/>
      <w:bookmarkEnd w:id="15808"/>
      <w:bookmarkEnd w:id="15809"/>
    </w:p>
    <w:p w:rsidR="00103C1B" w:rsidRPr="001D61F8" w:rsidRDefault="00103C1B" w:rsidP="007E4E81">
      <w:pPr>
        <w:pStyle w:val="a0"/>
        <w:rPr>
          <w:rtl/>
        </w:rPr>
      </w:pPr>
      <w:r>
        <w:rPr>
          <w:rFonts w:hint="cs"/>
          <w:rtl/>
        </w:rPr>
        <w:t xml:space="preserve">ודחה </w:t>
      </w:r>
      <w:r w:rsidRPr="001B1656">
        <w:rPr>
          <w:rStyle w:val="af9"/>
          <w:rFonts w:hint="cs"/>
          <w:rtl/>
        </w:rPr>
        <w:t>הרמב"ן במלחמות</w:t>
      </w:r>
      <w:r>
        <w:rPr>
          <w:rFonts w:hint="cs"/>
          <w:rtl/>
        </w:rPr>
        <w:t xml:space="preserve"> </w:t>
      </w:r>
      <w:r w:rsidRPr="00513C68">
        <w:rPr>
          <w:rStyle w:val="af7"/>
          <w:rFonts w:eastAsia="Guttman Hodes" w:hint="cs"/>
          <w:rtl/>
        </w:rPr>
        <w:t>(יז. מדה"ר ד"ה ועוד קריביה)</w:t>
      </w:r>
      <w:r>
        <w:rPr>
          <w:rFonts w:hint="cs"/>
          <w:rtl/>
        </w:rPr>
        <w:t xml:space="preserve"> את דברי </w:t>
      </w:r>
      <w:r w:rsidRPr="001B1656">
        <w:rPr>
          <w:rStyle w:val="af9"/>
          <w:rFonts w:hint="cs"/>
          <w:rtl/>
        </w:rPr>
        <w:t>הבעה"מ</w:t>
      </w:r>
      <w:r>
        <w:rPr>
          <w:rFonts w:hint="cs"/>
          <w:rtl/>
        </w:rPr>
        <w:t xml:space="preserve"> </w:t>
      </w:r>
      <w:r w:rsidRPr="00513C68">
        <w:rPr>
          <w:rStyle w:val="af7"/>
          <w:rFonts w:eastAsia="Guttman Hodes" w:hint="cs"/>
          <w:rtl/>
        </w:rPr>
        <w:t xml:space="preserve">(עי' אות </w:t>
      </w:r>
      <w:r w:rsidRPr="00513C68">
        <w:rPr>
          <w:rStyle w:val="af7"/>
          <w:rFonts w:eastAsia="Guttman Hodes"/>
          <w:rtl/>
        </w:rPr>
        <w:fldChar w:fldCharType="begin"/>
      </w:r>
      <w:r w:rsidRPr="00513C68">
        <w:rPr>
          <w:rStyle w:val="af7"/>
          <w:rFonts w:eastAsia="Guttman Hodes"/>
          <w:rtl/>
        </w:rPr>
        <w:instrText xml:space="preserve"> </w:instrText>
      </w:r>
      <w:r w:rsidRPr="00513C68">
        <w:rPr>
          <w:rStyle w:val="af7"/>
          <w:rFonts w:eastAsia="Guttman Hodes" w:hint="cs"/>
        </w:rPr>
        <w:instrText>REF</w:instrText>
      </w:r>
      <w:r w:rsidRPr="00513C68">
        <w:rPr>
          <w:rStyle w:val="af7"/>
          <w:rFonts w:eastAsia="Guttman Hodes" w:hint="cs"/>
          <w:rtl/>
        </w:rPr>
        <w:instrText xml:space="preserve"> _</w:instrText>
      </w:r>
      <w:r w:rsidRPr="00513C68">
        <w:rPr>
          <w:rStyle w:val="af7"/>
          <w:rFonts w:eastAsia="Guttman Hodes" w:hint="cs"/>
        </w:rPr>
        <w:instrText>Ref64407061 \r \h</w:instrText>
      </w:r>
      <w:r w:rsidRPr="00513C68">
        <w:rPr>
          <w:rStyle w:val="af7"/>
          <w:rFonts w:eastAsia="Guttman Hodes"/>
          <w:rtl/>
        </w:rPr>
        <w:instrText xml:space="preserve">  \* </w:instrText>
      </w:r>
      <w:r w:rsidRPr="00513C68">
        <w:rPr>
          <w:rStyle w:val="af7"/>
          <w:rFonts w:eastAsia="Guttman Hodes"/>
        </w:rPr>
        <w:instrText>MERGEFORMAT</w:instrText>
      </w:r>
      <w:r w:rsidRPr="00513C68">
        <w:rPr>
          <w:rStyle w:val="af7"/>
          <w:rFonts w:eastAsia="Guttman Hodes"/>
          <w:rtl/>
        </w:rPr>
        <w:instrText xml:space="preserve"> </w:instrText>
      </w:r>
      <w:r w:rsidRPr="00513C68">
        <w:rPr>
          <w:rStyle w:val="af7"/>
          <w:rFonts w:eastAsia="Guttman Hodes"/>
          <w:rtl/>
        </w:rPr>
      </w:r>
      <w:r w:rsidRPr="00513C68">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513C68">
        <w:rPr>
          <w:rStyle w:val="af7"/>
          <w:rFonts w:eastAsia="Guttman Hodes"/>
          <w:rtl/>
        </w:rPr>
        <w:fldChar w:fldCharType="end"/>
      </w:r>
      <w:r>
        <w:rPr>
          <w:rFonts w:hint="cs"/>
          <w:rtl/>
        </w:rPr>
        <w:t xml:space="preserve"> דאף במקום שהוא יכול להביא בקל הוא נאמן במיגו, ועיי"ש במה שהביא </w:t>
      </w:r>
      <w:r w:rsidRPr="001B1656">
        <w:rPr>
          <w:rStyle w:val="af9"/>
          <w:rFonts w:hint="cs"/>
          <w:rtl/>
        </w:rPr>
        <w:t>הרמב"ן</w:t>
      </w:r>
      <w:r>
        <w:rPr>
          <w:rFonts w:hint="cs"/>
          <w:rtl/>
        </w:rPr>
        <w:t xml:space="preserve"> ראיות מהגמ' לקמן </w:t>
      </w:r>
      <w:r w:rsidRPr="00513C68">
        <w:rPr>
          <w:rStyle w:val="af7"/>
          <w:rFonts w:eastAsia="Guttman Hodes" w:hint="cs"/>
          <w:rtl/>
        </w:rPr>
        <w:t>(קכז:, קלד.)</w:t>
      </w:r>
      <w:r>
        <w:rPr>
          <w:rFonts w:hint="cs"/>
          <w:rtl/>
        </w:rPr>
        <w:t xml:space="preserve"> ובקידושין </w:t>
      </w:r>
      <w:r w:rsidRPr="00513C68">
        <w:rPr>
          <w:rStyle w:val="af7"/>
          <w:rFonts w:eastAsia="Guttman Hodes" w:hint="cs"/>
          <w:rtl/>
        </w:rPr>
        <w:t>(סד.)</w:t>
      </w:r>
      <w:r>
        <w:rPr>
          <w:rFonts w:hint="cs"/>
          <w:rtl/>
        </w:rPr>
        <w:t xml:space="preserve"> ובכתובות </w:t>
      </w:r>
      <w:r w:rsidRPr="00513C68">
        <w:rPr>
          <w:rStyle w:val="af7"/>
          <w:rFonts w:eastAsia="Guttman Hodes" w:hint="cs"/>
          <w:rtl/>
        </w:rPr>
        <w:t>(טז:)</w:t>
      </w:r>
      <w:r>
        <w:rPr>
          <w:rFonts w:hint="cs"/>
          <w:rtl/>
        </w:rPr>
        <w:t xml:space="preserve"> דמהני מיגו אף כשאפשר להביא עדים, וכתב </w:t>
      </w:r>
      <w:r w:rsidRPr="001B1656">
        <w:rPr>
          <w:rStyle w:val="af9"/>
          <w:rFonts w:hint="cs"/>
          <w:rtl/>
        </w:rPr>
        <w:t>הרמב"ן במלחמות</w:t>
      </w:r>
      <w:r>
        <w:rPr>
          <w:rFonts w:hint="cs"/>
          <w:rtl/>
        </w:rPr>
        <w:t xml:space="preserve"> דכ"ש בסוגיין דהוא נאמן מדין הפה שאסר, וכל מה שאפשר לחייבו הוא רק מחמת הודאתו, ואם היה שותק ולא היה טוען כלל היה פטור, והוסיף </w:t>
      </w:r>
      <w:r w:rsidRPr="00A34133">
        <w:rPr>
          <w:rStyle w:val="af9"/>
          <w:rFonts w:hint="cs"/>
          <w:rtl/>
        </w:rPr>
        <w:t xml:space="preserve">הרמב"ן </w:t>
      </w:r>
      <w:r>
        <w:rPr>
          <w:rFonts w:hint="cs"/>
          <w:rtl/>
        </w:rPr>
        <w:t>דאף במקום חזקה נאמן במיגו, וכ"ש בסוגיין דנאמן.</w:t>
      </w:r>
    </w:p>
    <w:p w:rsidR="00103C1B" w:rsidRPr="00513C68" w:rsidRDefault="00103C1B" w:rsidP="00103C1B">
      <w:pPr>
        <w:pStyle w:val="a3"/>
        <w:rPr>
          <w:rtl/>
        </w:rPr>
      </w:pPr>
      <w:bookmarkStart w:id="15810" w:name="_Toc64588837"/>
      <w:bookmarkStart w:id="15811" w:name="_Toc64629429"/>
      <w:bookmarkStart w:id="15812" w:name="_Toc64642892"/>
      <w:r>
        <w:rPr>
          <w:rFonts w:hint="cs"/>
          <w:rtl/>
        </w:rPr>
        <w:t>דברי הרמב"ן דכיון דנאמן בפה שאסר נקטו אביי ורבא לשון מודי דהודאתו מחייבתו</w:t>
      </w:r>
      <w:bookmarkEnd w:id="15810"/>
      <w:bookmarkEnd w:id="15811"/>
      <w:bookmarkEnd w:id="15812"/>
    </w:p>
    <w:p w:rsidR="00103C1B" w:rsidRDefault="00103C1B" w:rsidP="007E4E81">
      <w:pPr>
        <w:pStyle w:val="a0"/>
        <w:rPr>
          <w:rtl/>
        </w:rPr>
      </w:pPr>
      <w:bookmarkStart w:id="15813" w:name="_Ref64629020"/>
      <w:r>
        <w:rPr>
          <w:rFonts w:hint="cs"/>
          <w:rtl/>
        </w:rPr>
        <w:t xml:space="preserve">ובמ"ש </w:t>
      </w:r>
      <w:r w:rsidRPr="001B1656">
        <w:rPr>
          <w:rStyle w:val="af9"/>
          <w:rFonts w:hint="cs"/>
          <w:rtl/>
        </w:rPr>
        <w:t>הבעה"מ</w:t>
      </w:r>
      <w:r>
        <w:rPr>
          <w:rFonts w:hint="cs"/>
          <w:rtl/>
        </w:rPr>
        <w:t xml:space="preserve"> </w:t>
      </w:r>
      <w:r w:rsidRPr="001B1656">
        <w:rPr>
          <w:rStyle w:val="af7"/>
          <w:rFonts w:eastAsia="Guttman Hodes" w:hint="cs"/>
          <w:rtl/>
        </w:rPr>
        <w:t xml:space="preserve">(עי' אות </w:t>
      </w:r>
      <w:r w:rsidRPr="001B1656">
        <w:rPr>
          <w:rStyle w:val="af7"/>
          <w:rFonts w:eastAsia="Guttman Hodes"/>
          <w:rtl/>
        </w:rPr>
        <w:fldChar w:fldCharType="begin"/>
      </w:r>
      <w:r w:rsidRPr="001B1656">
        <w:rPr>
          <w:rStyle w:val="af7"/>
          <w:rFonts w:eastAsia="Guttman Hodes"/>
          <w:rtl/>
        </w:rPr>
        <w:instrText xml:space="preserve"> </w:instrText>
      </w:r>
      <w:r w:rsidRPr="001B1656">
        <w:rPr>
          <w:rStyle w:val="af7"/>
          <w:rFonts w:eastAsia="Guttman Hodes" w:hint="cs"/>
        </w:rPr>
        <w:instrText>REF</w:instrText>
      </w:r>
      <w:r w:rsidRPr="001B1656">
        <w:rPr>
          <w:rStyle w:val="af7"/>
          <w:rFonts w:eastAsia="Guttman Hodes" w:hint="cs"/>
          <w:rtl/>
        </w:rPr>
        <w:instrText xml:space="preserve"> _</w:instrText>
      </w:r>
      <w:r w:rsidRPr="001B1656">
        <w:rPr>
          <w:rStyle w:val="af7"/>
          <w:rFonts w:eastAsia="Guttman Hodes" w:hint="cs"/>
        </w:rPr>
        <w:instrText>Ref64407298 \r \h</w:instrText>
      </w:r>
      <w:r w:rsidRPr="001B165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B1656">
        <w:rPr>
          <w:rStyle w:val="af7"/>
          <w:rFonts w:eastAsia="Guttman Hodes"/>
          <w:rtl/>
        </w:rPr>
      </w:r>
      <w:r w:rsidRPr="001B1656">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1B1656">
        <w:rPr>
          <w:rStyle w:val="af7"/>
          <w:rFonts w:eastAsia="Guttman Hodes"/>
          <w:rtl/>
        </w:rPr>
        <w:fldChar w:fldCharType="end"/>
      </w:r>
      <w:r>
        <w:rPr>
          <w:rFonts w:hint="cs"/>
          <w:rtl/>
        </w:rPr>
        <w:t xml:space="preserve"> דלא גרסינן שרב אידי הביא עדים שהוא קרוב יותר, דא"כ היה לאביי ורבא לומר דהוא מיגו במקום עדים, כתב </w:t>
      </w:r>
      <w:r w:rsidRPr="001B1656">
        <w:rPr>
          <w:rStyle w:val="af9"/>
          <w:rFonts w:hint="cs"/>
          <w:rtl/>
        </w:rPr>
        <w:t>הרמב"ן במלחמות</w:t>
      </w:r>
      <w:r>
        <w:rPr>
          <w:rFonts w:hint="cs"/>
          <w:rtl/>
        </w:rPr>
        <w:t xml:space="preserve"> דאפש"ל דהכא כיון שהוא נאמן מדין הפה שאסר, ולכן אמרו אביי ורבא דכיון דאודי אודי, דכוונתם לומר דההודאה שלו היא שמחייבת אותו לשלם, ולא דמי לגמ' לעיל דהוא מיגו דמה לי לשקר במקום עדים, </w:t>
      </w:r>
      <w:r w:rsidRPr="008C7973">
        <w:rPr>
          <w:rFonts w:hint="cs"/>
          <w:rtl/>
        </w:rPr>
        <w:t xml:space="preserve">וכתב </w:t>
      </w:r>
      <w:r w:rsidRPr="008C7973">
        <w:rPr>
          <w:rStyle w:val="af9"/>
          <w:rFonts w:hint="cs"/>
          <w:rtl/>
        </w:rPr>
        <w:t>הרמב"ן</w:t>
      </w:r>
      <w:r w:rsidRPr="008C7973">
        <w:rPr>
          <w:rFonts w:hint="cs"/>
          <w:rtl/>
        </w:rPr>
        <w:t xml:space="preserve"> דלכן א"צ למחוק את הגירסא הזו, דהיא הגירסא של </w:t>
      </w:r>
      <w:r w:rsidRPr="008C7973">
        <w:rPr>
          <w:rStyle w:val="af9"/>
          <w:rFonts w:hint="cs"/>
          <w:rtl/>
        </w:rPr>
        <w:t xml:space="preserve">הרי"ף </w:t>
      </w:r>
      <w:r w:rsidRPr="00820FB1">
        <w:rPr>
          <w:rStyle w:val="af7"/>
          <w:rFonts w:eastAsia="Guttman Hodes" w:hint="cs"/>
          <w:rtl/>
        </w:rPr>
        <w:t xml:space="preserve">(עי' אות </w:t>
      </w:r>
      <w:r w:rsidRPr="00820FB1">
        <w:rPr>
          <w:rStyle w:val="af7"/>
          <w:rFonts w:eastAsia="Guttman Hodes"/>
          <w:rtl/>
        </w:rPr>
        <w:fldChar w:fldCharType="begin"/>
      </w:r>
      <w:r w:rsidRPr="00820FB1">
        <w:rPr>
          <w:rStyle w:val="af7"/>
          <w:rFonts w:eastAsia="Guttman Hodes"/>
          <w:rtl/>
        </w:rPr>
        <w:instrText xml:space="preserve"> </w:instrText>
      </w:r>
      <w:r w:rsidRPr="00820FB1">
        <w:rPr>
          <w:rStyle w:val="af7"/>
          <w:rFonts w:eastAsia="Guttman Hodes" w:hint="cs"/>
        </w:rPr>
        <w:instrText>REF</w:instrText>
      </w:r>
      <w:r w:rsidRPr="00820FB1">
        <w:rPr>
          <w:rStyle w:val="af7"/>
          <w:rFonts w:eastAsia="Guttman Hodes" w:hint="cs"/>
          <w:rtl/>
        </w:rPr>
        <w:instrText xml:space="preserve"> _</w:instrText>
      </w:r>
      <w:r w:rsidRPr="00820FB1">
        <w:rPr>
          <w:rStyle w:val="af7"/>
          <w:rFonts w:eastAsia="Guttman Hodes" w:hint="cs"/>
        </w:rPr>
        <w:instrText>Ref64451602 \r \h</w:instrText>
      </w:r>
      <w:r w:rsidRPr="00820FB1">
        <w:rPr>
          <w:rStyle w:val="af7"/>
          <w:rFonts w:eastAsia="Guttman Hodes"/>
          <w:rtl/>
        </w:rPr>
        <w:instrText xml:space="preserve"> </w:instrText>
      </w:r>
      <w:r w:rsidRPr="00820FB1">
        <w:rPr>
          <w:rStyle w:val="af7"/>
          <w:rFonts w:eastAsia="Guttman Hodes"/>
          <w:rtl/>
        </w:rPr>
      </w:r>
      <w:r w:rsidRPr="00820FB1">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820FB1">
        <w:rPr>
          <w:rStyle w:val="af7"/>
          <w:rFonts w:eastAsia="Guttman Hodes"/>
          <w:rtl/>
        </w:rPr>
        <w:fldChar w:fldCharType="end"/>
      </w:r>
      <w:r>
        <w:rPr>
          <w:rStyle w:val="af7"/>
          <w:rFonts w:eastAsia="Guttman Hodes" w:hint="cs"/>
          <w:rtl/>
        </w:rPr>
        <w:t xml:space="preserve"> </w:t>
      </w:r>
      <w:r w:rsidRPr="008C7973">
        <w:rPr>
          <w:rStyle w:val="af9"/>
          <w:rFonts w:hint="cs"/>
          <w:rtl/>
        </w:rPr>
        <w:t>והבה"ג</w:t>
      </w:r>
      <w:r>
        <w:rPr>
          <w:rStyle w:val="af9"/>
          <w:rFonts w:hint="cs"/>
          <w:rtl/>
        </w:rPr>
        <w:t xml:space="preserve"> </w:t>
      </w:r>
      <w:r w:rsidRPr="00354A1D">
        <w:rPr>
          <w:rStyle w:val="af7"/>
          <w:rFonts w:eastAsia="Guttman Hodes" w:hint="cs"/>
          <w:rtl/>
        </w:rPr>
        <w:t xml:space="preserve">(עי' אות </w:t>
      </w:r>
      <w:r w:rsidRPr="00354A1D">
        <w:rPr>
          <w:rStyle w:val="af7"/>
          <w:rFonts w:eastAsia="Guttman Hodes" w:hint="cs"/>
          <w:rtl/>
        </w:rPr>
        <w:fldChar w:fldCharType="begin"/>
      </w:r>
      <w:r w:rsidRPr="00354A1D">
        <w:rPr>
          <w:rStyle w:val="af7"/>
          <w:rFonts w:eastAsia="Guttman Hodes" w:hint="cs"/>
          <w:rtl/>
        </w:rPr>
        <w:instrText xml:space="preserve"> </w:instrText>
      </w:r>
      <w:r w:rsidRPr="00354A1D">
        <w:rPr>
          <w:rStyle w:val="af7"/>
          <w:rFonts w:eastAsia="Guttman Hodes"/>
        </w:rPr>
        <w:instrText>REF</w:instrText>
      </w:r>
      <w:r w:rsidRPr="00354A1D">
        <w:rPr>
          <w:rStyle w:val="af7"/>
          <w:rFonts w:eastAsia="Guttman Hodes" w:hint="cs"/>
          <w:rtl/>
        </w:rPr>
        <w:instrText xml:space="preserve"> _</w:instrText>
      </w:r>
      <w:r w:rsidRPr="00354A1D">
        <w:rPr>
          <w:rStyle w:val="af7"/>
          <w:rFonts w:eastAsia="Guttman Hodes"/>
        </w:rPr>
        <w:instrText>Ref64750415 \r \h</w:instrText>
      </w:r>
      <w:r w:rsidRPr="00354A1D">
        <w:rPr>
          <w:rStyle w:val="af7"/>
          <w:rFonts w:eastAsia="Guttman Hodes" w:hint="cs"/>
          <w:rtl/>
        </w:rPr>
        <w:instrText xml:space="preserve"> </w:instrText>
      </w:r>
      <w:r w:rsidRPr="00354A1D">
        <w:rPr>
          <w:rStyle w:val="af7"/>
          <w:rFonts w:eastAsia="Guttman Hodes" w:hint="cs"/>
          <w:rtl/>
        </w:rPr>
      </w:r>
      <w:r w:rsidRPr="00354A1D">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ג</w:t>
      </w:r>
      <w:r w:rsidR="00265073">
        <w:rPr>
          <w:rStyle w:val="af7"/>
          <w:rFonts w:eastAsia="Guttman Hodes"/>
          <w:rtl/>
        </w:rPr>
        <w:t>)</w:t>
      </w:r>
      <w:r w:rsidRPr="00354A1D">
        <w:rPr>
          <w:rStyle w:val="af7"/>
          <w:rFonts w:eastAsia="Guttman Hodes" w:hint="cs"/>
          <w:rtl/>
        </w:rPr>
        <w:fldChar w:fldCharType="end"/>
      </w:r>
      <w:r w:rsidRPr="008C7973">
        <w:rPr>
          <w:rFonts w:hint="cs"/>
          <w:rtl/>
        </w:rPr>
        <w:t xml:space="preserve">, </w:t>
      </w:r>
      <w:r w:rsidRPr="00965B33">
        <w:rPr>
          <w:rStyle w:val="afb"/>
          <w:rFonts w:hint="cs"/>
          <w:rtl/>
        </w:rPr>
        <w:t>[</w:t>
      </w:r>
      <w:r w:rsidRPr="00965B33">
        <w:rPr>
          <w:rStyle w:val="affa"/>
          <w:rFonts w:hint="cs"/>
          <w:rtl/>
        </w:rPr>
        <w:t>הרי"ף</w:t>
      </w:r>
      <w:r>
        <w:rPr>
          <w:rStyle w:val="affa"/>
          <w:rFonts w:hint="cs"/>
          <w:rtl/>
        </w:rPr>
        <w:t xml:space="preserve"> </w:t>
      </w:r>
      <w:r>
        <w:rPr>
          <w:rStyle w:val="afb"/>
          <w:rFonts w:hint="cs"/>
          <w:rtl/>
        </w:rPr>
        <w:t>גרס כן בל"ק ולא בל"ב, אבל</w:t>
      </w:r>
      <w:r>
        <w:rPr>
          <w:rStyle w:val="affa"/>
          <w:rFonts w:hint="cs"/>
          <w:rtl/>
        </w:rPr>
        <w:t xml:space="preserve"> </w:t>
      </w:r>
      <w:r w:rsidRPr="003141B2">
        <w:rPr>
          <w:rStyle w:val="affa"/>
          <w:rtl/>
        </w:rPr>
        <w:t>הבה"ג</w:t>
      </w:r>
      <w:r>
        <w:rPr>
          <w:rStyle w:val="af9"/>
          <w:rtl/>
        </w:rPr>
        <w:t xml:space="preserve"> </w:t>
      </w:r>
      <w:r>
        <w:rPr>
          <w:rStyle w:val="af7"/>
          <w:rFonts w:eastAsia="Guttman Hodes" w:hint="cs"/>
          <w:rtl/>
        </w:rPr>
        <w:t xml:space="preserve"> </w:t>
      </w:r>
      <w:r>
        <w:rPr>
          <w:rStyle w:val="afb"/>
          <w:rFonts w:hint="cs"/>
          <w:rtl/>
        </w:rPr>
        <w:t xml:space="preserve">גרס </w:t>
      </w:r>
      <w:r w:rsidRPr="00965B33">
        <w:rPr>
          <w:rStyle w:val="afb"/>
          <w:rFonts w:hint="cs"/>
          <w:rtl/>
        </w:rPr>
        <w:t>דקרוב "טפי", אך לא גרס שיש עדים, אלא שהודה לרב אידי],</w:t>
      </w:r>
      <w:r>
        <w:rPr>
          <w:rFonts w:hint="cs"/>
          <w:rtl/>
        </w:rPr>
        <w:t xml:space="preserve"> </w:t>
      </w:r>
      <w:r w:rsidRPr="008C7973">
        <w:rPr>
          <w:rFonts w:hint="cs"/>
          <w:rtl/>
        </w:rPr>
        <w:t xml:space="preserve">אך ציין </w:t>
      </w:r>
      <w:r w:rsidRPr="008C7973">
        <w:rPr>
          <w:rStyle w:val="af9"/>
          <w:rFonts w:hint="cs"/>
          <w:rtl/>
        </w:rPr>
        <w:t>הרמב"ן</w:t>
      </w:r>
      <w:r w:rsidRPr="008C7973">
        <w:rPr>
          <w:rFonts w:hint="cs"/>
          <w:rtl/>
        </w:rPr>
        <w:t xml:space="preserve">  לדבריו </w:t>
      </w:r>
      <w:r w:rsidRPr="008C7973">
        <w:rPr>
          <w:rStyle w:val="af7"/>
          <w:rFonts w:eastAsia="Guttman Hodes" w:hint="cs"/>
          <w:rtl/>
        </w:rPr>
        <w:t xml:space="preserve">(עי' אות </w:t>
      </w:r>
      <w:r w:rsidRPr="008C7973">
        <w:rPr>
          <w:rStyle w:val="af7"/>
          <w:rFonts w:eastAsia="Guttman Hodes"/>
          <w:rtl/>
        </w:rPr>
        <w:fldChar w:fldCharType="begin"/>
      </w:r>
      <w:r w:rsidRPr="008C7973">
        <w:rPr>
          <w:rStyle w:val="af7"/>
          <w:rFonts w:eastAsia="Guttman Hodes"/>
          <w:rtl/>
        </w:rPr>
        <w:instrText xml:space="preserve"> </w:instrText>
      </w:r>
      <w:r w:rsidRPr="008C7973">
        <w:rPr>
          <w:rStyle w:val="af7"/>
          <w:rFonts w:eastAsia="Guttman Hodes" w:hint="cs"/>
        </w:rPr>
        <w:instrText>REF</w:instrText>
      </w:r>
      <w:r w:rsidRPr="008C7973">
        <w:rPr>
          <w:rStyle w:val="af7"/>
          <w:rFonts w:eastAsia="Guttman Hodes" w:hint="cs"/>
          <w:rtl/>
        </w:rPr>
        <w:instrText xml:space="preserve"> _</w:instrText>
      </w:r>
      <w:r w:rsidRPr="008C7973">
        <w:rPr>
          <w:rStyle w:val="af7"/>
          <w:rFonts w:eastAsia="Guttman Hodes" w:hint="cs"/>
        </w:rPr>
        <w:instrText>Ref64476038 \r \h</w:instrText>
      </w:r>
      <w:r w:rsidRPr="008C797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C7973">
        <w:rPr>
          <w:rStyle w:val="af7"/>
          <w:rFonts w:eastAsia="Guttman Hodes"/>
          <w:rtl/>
        </w:rPr>
      </w:r>
      <w:r w:rsidRPr="008C7973">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8C7973">
        <w:rPr>
          <w:rStyle w:val="af7"/>
          <w:rFonts w:eastAsia="Guttman Hodes"/>
          <w:rtl/>
        </w:rPr>
        <w:fldChar w:fldCharType="end"/>
      </w:r>
      <w:r w:rsidRPr="008C7973">
        <w:rPr>
          <w:rStyle w:val="af7"/>
          <w:rFonts w:eastAsia="Guttman Hodes" w:hint="cs"/>
          <w:rtl/>
        </w:rPr>
        <w:t xml:space="preserve"> </w:t>
      </w:r>
      <w:r w:rsidRPr="008C7973">
        <w:rPr>
          <w:rFonts w:hint="cs"/>
          <w:rtl/>
        </w:rPr>
        <w:t>דהוא</w:t>
      </w:r>
      <w:r>
        <w:rPr>
          <w:rFonts w:hint="cs"/>
          <w:rtl/>
        </w:rPr>
        <w:t xml:space="preserve"> ביאר ביאור טוב יותר, ועי' במה שביאר </w:t>
      </w:r>
      <w:r w:rsidRPr="0064379F">
        <w:rPr>
          <w:rStyle w:val="af9"/>
          <w:rFonts w:hint="cs"/>
          <w:rtl/>
        </w:rPr>
        <w:t>בחי'</w:t>
      </w:r>
      <w:r>
        <w:rPr>
          <w:rFonts w:hint="cs"/>
          <w:rtl/>
        </w:rPr>
        <w:t xml:space="preserve"> </w:t>
      </w:r>
      <w:r w:rsidRPr="0064379F">
        <w:rPr>
          <w:rStyle w:val="af9"/>
          <w:rFonts w:hint="cs"/>
          <w:rtl/>
        </w:rPr>
        <w:t>רבי נחום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Ref64629077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קה)</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64379F">
        <w:rPr>
          <w:rStyle w:val="af9"/>
          <w:rFonts w:hint="cs"/>
          <w:rtl/>
        </w:rPr>
        <w:t>הרמב"ן</w:t>
      </w:r>
      <w:r>
        <w:rPr>
          <w:rFonts w:hint="cs"/>
          <w:rtl/>
        </w:rPr>
        <w:t>.</w:t>
      </w:r>
      <w:bookmarkEnd w:id="15813"/>
    </w:p>
    <w:p w:rsidR="00103C1B" w:rsidRPr="00A70C7A" w:rsidRDefault="00103C1B" w:rsidP="00103C1B">
      <w:pPr>
        <w:pStyle w:val="afe"/>
        <w:rPr>
          <w:rtl/>
        </w:rPr>
      </w:pPr>
      <w:bookmarkStart w:id="15814" w:name="_Toc64454556"/>
      <w:bookmarkStart w:id="15815" w:name="_Toc64458647"/>
      <w:bookmarkStart w:id="15816" w:name="_Toc64549027"/>
      <w:bookmarkStart w:id="15817" w:name="_Toc64576205"/>
      <w:bookmarkStart w:id="15818" w:name="_Toc64588838"/>
      <w:bookmarkStart w:id="15819" w:name="_Toc64629430"/>
      <w:bookmarkStart w:id="15820" w:name="_Toc64642893"/>
      <w:r>
        <w:rPr>
          <w:rFonts w:hint="cs"/>
          <w:rtl/>
        </w:rPr>
        <w:t>גי' הראשונים דיש עדים שקרוב טפי</w:t>
      </w:r>
      <w:bookmarkEnd w:id="15814"/>
      <w:bookmarkEnd w:id="15815"/>
      <w:bookmarkEnd w:id="15816"/>
      <w:bookmarkEnd w:id="15817"/>
      <w:bookmarkEnd w:id="15818"/>
      <w:bookmarkEnd w:id="15819"/>
      <w:bookmarkEnd w:id="15820"/>
    </w:p>
    <w:p w:rsidR="00103C1B" w:rsidRDefault="00103C1B" w:rsidP="00103C1B">
      <w:pPr>
        <w:pStyle w:val="1"/>
        <w:rPr>
          <w:rtl/>
        </w:rPr>
      </w:pPr>
      <w:bookmarkStart w:id="15821" w:name="_Toc64629431"/>
      <w:bookmarkStart w:id="15822" w:name="_Toc64642894"/>
      <w:bookmarkEnd w:id="15748"/>
      <w:r>
        <w:rPr>
          <w:rFonts w:hint="cs"/>
          <w:rtl/>
        </w:rPr>
        <w:t>גי' הרמב"ן דיש עדים דר"א קרוב יותר ונח' במיגו במק"ע</w:t>
      </w:r>
      <w:bookmarkEnd w:id="15821"/>
      <w:bookmarkEnd w:id="15822"/>
    </w:p>
    <w:p w:rsidR="00103C1B" w:rsidRPr="003D1050" w:rsidRDefault="00103C1B" w:rsidP="00103C1B">
      <w:pPr>
        <w:pStyle w:val="a3"/>
        <w:rPr>
          <w:rtl/>
        </w:rPr>
      </w:pPr>
      <w:bookmarkStart w:id="15823" w:name="_Toc64588840"/>
      <w:bookmarkStart w:id="15824" w:name="_Toc64629432"/>
      <w:bookmarkStart w:id="15825" w:name="_Toc64642895"/>
      <w:r>
        <w:rPr>
          <w:rFonts w:hint="cs"/>
          <w:rtl/>
        </w:rPr>
        <w:t>גירסת הרמב"ן דההוא גברא טען שהוא קרוב יותר ור"א הביא עדים שהוא הקרוב יותר</w:t>
      </w:r>
      <w:bookmarkEnd w:id="15823"/>
      <w:bookmarkEnd w:id="15824"/>
      <w:bookmarkEnd w:id="15825"/>
    </w:p>
    <w:p w:rsidR="00103C1B" w:rsidRDefault="00103C1B" w:rsidP="007E4E81">
      <w:pPr>
        <w:pStyle w:val="a0"/>
      </w:pPr>
      <w:bookmarkStart w:id="15826" w:name="_Ref64475351"/>
      <w:bookmarkStart w:id="15827" w:name="_Ref64587875"/>
      <w:r>
        <w:rPr>
          <w:rFonts w:hint="cs"/>
          <w:rtl/>
        </w:rPr>
        <w:t xml:space="preserve">כתב </w:t>
      </w:r>
      <w:r w:rsidRPr="00BF6A82">
        <w:rPr>
          <w:rStyle w:val="af9"/>
          <w:rFonts w:hint="cs"/>
          <w:rtl/>
        </w:rPr>
        <w:t>הרמב"ן</w:t>
      </w:r>
      <w:r>
        <w:rPr>
          <w:rFonts w:hint="cs"/>
          <w:rtl/>
        </w:rPr>
        <w:t xml:space="preserve"> </w:t>
      </w:r>
      <w:r w:rsidRPr="00BF6A82">
        <w:rPr>
          <w:rStyle w:val="af7"/>
          <w:rFonts w:eastAsia="Guttman Hodes" w:hint="cs"/>
          <w:rtl/>
        </w:rPr>
        <w:t>(ד"ה וההוא)</w:t>
      </w:r>
      <w:r>
        <w:rPr>
          <w:rFonts w:hint="cs"/>
          <w:rtl/>
        </w:rPr>
        <w:t xml:space="preserve"> דבכל הנוסחאות הגירסא היא דההוא גברא אמר שהוא קרוב יותר, והביא רב אידי עדים שהוא הקרוב יותר, וכ"כ </w:t>
      </w:r>
      <w:r w:rsidRPr="001206C1">
        <w:rPr>
          <w:rStyle w:val="af9"/>
          <w:rFonts w:hint="cs"/>
          <w:rtl/>
        </w:rPr>
        <w:t>רבינו</w:t>
      </w:r>
      <w:r>
        <w:rPr>
          <w:rFonts w:hint="cs"/>
          <w:rtl/>
        </w:rPr>
        <w:t xml:space="preserve"> </w:t>
      </w:r>
      <w:r w:rsidRPr="001206C1">
        <w:rPr>
          <w:rStyle w:val="af9"/>
          <w:rFonts w:hint="cs"/>
          <w:rtl/>
        </w:rPr>
        <w:t>יונה</w:t>
      </w:r>
      <w:r>
        <w:rPr>
          <w:rFonts w:hint="cs"/>
          <w:rtl/>
        </w:rPr>
        <w:t xml:space="preserve"> </w:t>
      </w:r>
      <w:r w:rsidRPr="00450D69">
        <w:rPr>
          <w:rStyle w:val="af7"/>
          <w:rFonts w:eastAsia="Guttman Hodes" w:hint="cs"/>
          <w:rtl/>
        </w:rPr>
        <w:t>(סוד"ה ואי ק"ל)</w:t>
      </w:r>
      <w:r>
        <w:rPr>
          <w:rStyle w:val="af7"/>
          <w:rFonts w:eastAsia="Guttman Hodes" w:hint="cs"/>
          <w:rtl/>
        </w:rPr>
        <w:t xml:space="preserve"> </w:t>
      </w:r>
      <w:r>
        <w:rPr>
          <w:rStyle w:val="af9"/>
          <w:rFonts w:hint="cs"/>
          <w:rtl/>
        </w:rPr>
        <w:t>ו</w:t>
      </w:r>
      <w:r w:rsidRPr="001206C1">
        <w:rPr>
          <w:rStyle w:val="af9"/>
          <w:rFonts w:hint="cs"/>
          <w:rtl/>
        </w:rPr>
        <w:t>הרשב"א</w:t>
      </w:r>
      <w:r>
        <w:rPr>
          <w:rFonts w:hint="cs"/>
          <w:rtl/>
        </w:rPr>
        <w:t xml:space="preserve"> </w:t>
      </w:r>
      <w:r w:rsidRPr="00450D69">
        <w:rPr>
          <w:rStyle w:val="af7"/>
          <w:rFonts w:eastAsia="Guttman Hodes" w:hint="cs"/>
          <w:rtl/>
        </w:rPr>
        <w:t>(ד"ה במעשה)</w:t>
      </w:r>
      <w:r>
        <w:rPr>
          <w:rFonts w:hint="cs"/>
          <w:rtl/>
        </w:rPr>
        <w:t xml:space="preserve"> בשם </w:t>
      </w:r>
      <w:r w:rsidRPr="00EA0907">
        <w:rPr>
          <w:rStyle w:val="af9"/>
          <w:rFonts w:hint="cs"/>
          <w:rtl/>
        </w:rPr>
        <w:t>י"מ</w:t>
      </w:r>
      <w:bookmarkEnd w:id="15826"/>
      <w:r w:rsidRPr="00EA0907">
        <w:rPr>
          <w:rFonts w:hint="cs"/>
          <w:rtl/>
        </w:rPr>
        <w:t xml:space="preserve"> </w:t>
      </w:r>
      <w:r>
        <w:rPr>
          <w:rFonts w:hint="cs"/>
          <w:rtl/>
        </w:rPr>
        <w:t>דהעדים העידו שרב אידי הוא קרוב, והכחישו את טענת ההוא גברא דהוא קרוב יותר מרב אידי,</w:t>
      </w:r>
      <w:r w:rsidRPr="005F177B">
        <w:rPr>
          <w:rFonts w:hint="cs"/>
          <w:rtl/>
        </w:rPr>
        <w:t xml:space="preserve"> </w:t>
      </w:r>
      <w:r>
        <w:rPr>
          <w:rFonts w:hint="cs"/>
          <w:rtl/>
        </w:rPr>
        <w:t xml:space="preserve">וכן גרסו </w:t>
      </w:r>
      <w:r w:rsidRPr="00C22039">
        <w:rPr>
          <w:rStyle w:val="af9"/>
          <w:rFonts w:hint="cs"/>
          <w:rtl/>
        </w:rPr>
        <w:t>הר"י מגאש</w:t>
      </w:r>
      <w:r>
        <w:rPr>
          <w:rFonts w:hint="cs"/>
          <w:rtl/>
        </w:rPr>
        <w:t xml:space="preserve"> </w:t>
      </w:r>
      <w:r w:rsidRPr="00C22039">
        <w:rPr>
          <w:rStyle w:val="af7"/>
          <w:rFonts w:eastAsia="Guttman Hodes" w:hint="cs"/>
          <w:rtl/>
        </w:rPr>
        <w:t xml:space="preserve">(עי' אות </w:t>
      </w:r>
      <w:r w:rsidRPr="00C22039">
        <w:rPr>
          <w:rStyle w:val="af7"/>
          <w:rFonts w:eastAsia="Guttman Hodes"/>
          <w:rtl/>
        </w:rPr>
        <w:fldChar w:fldCharType="begin"/>
      </w:r>
      <w:r w:rsidRPr="00C22039">
        <w:rPr>
          <w:rStyle w:val="af7"/>
          <w:rFonts w:eastAsia="Guttman Hodes"/>
          <w:rtl/>
        </w:rPr>
        <w:instrText xml:space="preserve"> </w:instrText>
      </w:r>
      <w:r w:rsidRPr="00C22039">
        <w:rPr>
          <w:rStyle w:val="af7"/>
          <w:rFonts w:eastAsia="Guttman Hodes" w:hint="cs"/>
        </w:rPr>
        <w:instrText>REF</w:instrText>
      </w:r>
      <w:r w:rsidRPr="00C22039">
        <w:rPr>
          <w:rStyle w:val="af7"/>
          <w:rFonts w:eastAsia="Guttman Hodes" w:hint="cs"/>
          <w:rtl/>
        </w:rPr>
        <w:instrText xml:space="preserve"> _</w:instrText>
      </w:r>
      <w:r w:rsidRPr="00C22039">
        <w:rPr>
          <w:rStyle w:val="af7"/>
          <w:rFonts w:eastAsia="Guttman Hodes" w:hint="cs"/>
        </w:rPr>
        <w:instrText>Ref64479401 \r \h</w:instrText>
      </w:r>
      <w:r w:rsidRPr="00C22039">
        <w:rPr>
          <w:rStyle w:val="af7"/>
          <w:rFonts w:eastAsia="Guttman Hodes"/>
          <w:rtl/>
        </w:rPr>
        <w:instrText xml:space="preserve"> </w:instrText>
      </w:r>
      <w:r w:rsidRPr="00C22039">
        <w:rPr>
          <w:rStyle w:val="af7"/>
          <w:rFonts w:eastAsia="Guttman Hodes"/>
          <w:rtl/>
        </w:rPr>
      </w:r>
      <w:r w:rsidRPr="00C22039">
        <w:rPr>
          <w:rStyle w:val="af7"/>
          <w:rFonts w:eastAsia="Guttman Hodes"/>
          <w:rtl/>
        </w:rPr>
        <w:fldChar w:fldCharType="separate"/>
      </w:r>
      <w:r w:rsidR="00265073">
        <w:rPr>
          <w:rStyle w:val="af7"/>
          <w:rFonts w:eastAsia="Guttman Hodes"/>
          <w:cs/>
        </w:rPr>
        <w:t>‎</w:t>
      </w:r>
      <w:r w:rsidR="00265073">
        <w:rPr>
          <w:rStyle w:val="af7"/>
          <w:rFonts w:eastAsia="Guttman Hodes"/>
          <w:rtl/>
        </w:rPr>
        <w:t>עה)</w:t>
      </w:r>
      <w:r w:rsidRPr="00C22039">
        <w:rPr>
          <w:rStyle w:val="af7"/>
          <w:rFonts w:eastAsia="Guttman Hodes"/>
          <w:rtl/>
        </w:rPr>
        <w:fldChar w:fldCharType="end"/>
      </w:r>
      <w:r w:rsidRPr="00513C68">
        <w:rPr>
          <w:rStyle w:val="affa"/>
          <w:rFonts w:hint="cs"/>
          <w:rtl/>
        </w:rPr>
        <w:t xml:space="preserve"> </w:t>
      </w:r>
      <w:r w:rsidRPr="00513C68">
        <w:rPr>
          <w:rStyle w:val="af9"/>
          <w:rFonts w:hint="cs"/>
          <w:rtl/>
        </w:rPr>
        <w:t>והיד רמ"ה</w:t>
      </w:r>
      <w:r w:rsidRPr="00C22039">
        <w:rPr>
          <w:rStyle w:val="afb"/>
          <w:rFonts w:hint="cs"/>
          <w:rtl/>
        </w:rPr>
        <w:t xml:space="preserve"> </w:t>
      </w:r>
      <w:r w:rsidRPr="00513C68">
        <w:rPr>
          <w:rStyle w:val="af7"/>
          <w:rFonts w:eastAsia="Guttman Rashi" w:hint="cs"/>
          <w:rtl/>
        </w:rPr>
        <w:t xml:space="preserve">(עי' אות </w:t>
      </w:r>
      <w:r w:rsidRPr="00513C68">
        <w:rPr>
          <w:rStyle w:val="af7"/>
          <w:rFonts w:eastAsia="Guttman Rashi"/>
          <w:rtl/>
        </w:rPr>
        <w:fldChar w:fldCharType="begin"/>
      </w:r>
      <w:r w:rsidRPr="00513C68">
        <w:rPr>
          <w:rStyle w:val="af7"/>
          <w:rFonts w:eastAsia="Guttman Rashi"/>
          <w:rtl/>
        </w:rPr>
        <w:instrText xml:space="preserve"> </w:instrText>
      </w:r>
      <w:r w:rsidRPr="00513C68">
        <w:rPr>
          <w:rStyle w:val="af7"/>
          <w:rFonts w:eastAsia="Guttman Rashi" w:hint="cs"/>
        </w:rPr>
        <w:instrText>REF</w:instrText>
      </w:r>
      <w:r w:rsidRPr="00513C68">
        <w:rPr>
          <w:rStyle w:val="af7"/>
          <w:rFonts w:eastAsia="Guttman Rashi" w:hint="cs"/>
          <w:rtl/>
        </w:rPr>
        <w:instrText xml:space="preserve"> _</w:instrText>
      </w:r>
      <w:r w:rsidRPr="00513C68">
        <w:rPr>
          <w:rStyle w:val="af7"/>
          <w:rFonts w:eastAsia="Guttman Rashi" w:hint="cs"/>
        </w:rPr>
        <w:instrText>Ref64479368 \r \h</w:instrText>
      </w:r>
      <w:r w:rsidRPr="00513C68">
        <w:rPr>
          <w:rStyle w:val="af7"/>
          <w:rFonts w:eastAsia="Guttman Rashi"/>
          <w:rtl/>
        </w:rPr>
        <w:instrText xml:space="preserve"> </w:instrText>
      </w:r>
      <w:r w:rsidRPr="00513C68">
        <w:rPr>
          <w:rStyle w:val="af7"/>
          <w:rFonts w:eastAsia="Guttman Rashi"/>
          <w:rtl/>
        </w:rPr>
      </w:r>
      <w:r w:rsidRPr="00513C68">
        <w:rPr>
          <w:rStyle w:val="af7"/>
          <w:rFonts w:eastAsia="Guttman Rashi"/>
          <w:rtl/>
        </w:rPr>
        <w:fldChar w:fldCharType="separate"/>
      </w:r>
      <w:r w:rsidR="00265073">
        <w:rPr>
          <w:rStyle w:val="af7"/>
          <w:rFonts w:eastAsia="Guttman Rashi"/>
          <w:cs/>
        </w:rPr>
        <w:t>‎</w:t>
      </w:r>
      <w:r w:rsidR="00265073">
        <w:rPr>
          <w:rStyle w:val="af7"/>
          <w:rFonts w:eastAsia="Guttman Rashi"/>
          <w:rtl/>
        </w:rPr>
        <w:t>עז)</w:t>
      </w:r>
      <w:r w:rsidRPr="00513C68">
        <w:rPr>
          <w:rStyle w:val="af7"/>
          <w:rFonts w:eastAsia="Guttman Rashi"/>
          <w:rtl/>
        </w:rPr>
        <w:fldChar w:fldCharType="end"/>
      </w:r>
      <w:r>
        <w:rPr>
          <w:rFonts w:hint="cs"/>
          <w:rtl/>
        </w:rPr>
        <w:t>.</w:t>
      </w:r>
      <w:bookmarkEnd w:id="15827"/>
    </w:p>
    <w:p w:rsidR="00103C1B" w:rsidRPr="00B83636" w:rsidRDefault="00103C1B" w:rsidP="00103C1B">
      <w:pPr>
        <w:pStyle w:val="a3"/>
      </w:pPr>
      <w:bookmarkStart w:id="15828" w:name="_Toc64588841"/>
      <w:bookmarkStart w:id="15829" w:name="_Toc64629433"/>
      <w:bookmarkStart w:id="15830" w:name="_Toc64642896"/>
      <w:r>
        <w:rPr>
          <w:rFonts w:hint="cs"/>
          <w:rtl/>
        </w:rPr>
        <w:lastRenderedPageBreak/>
        <w:t>ביאור הרמב"ן ברב חסדא דע"י המיגו מתרצינן דיבוריה דכוונתו שקרוב לפירות ע"י שקנה ממנו</w:t>
      </w:r>
      <w:bookmarkEnd w:id="15828"/>
      <w:bookmarkEnd w:id="15829"/>
      <w:bookmarkEnd w:id="15830"/>
    </w:p>
    <w:p w:rsidR="00103C1B" w:rsidRDefault="00103C1B" w:rsidP="007E4E81">
      <w:pPr>
        <w:pStyle w:val="a0"/>
        <w:rPr>
          <w:rtl/>
        </w:rPr>
      </w:pPr>
      <w:r>
        <w:rPr>
          <w:rFonts w:hint="cs"/>
          <w:rtl/>
        </w:rPr>
        <w:t xml:space="preserve">אך הקשה </w:t>
      </w:r>
      <w:r w:rsidRPr="00BF6A82">
        <w:rPr>
          <w:rStyle w:val="af9"/>
          <w:rFonts w:hint="cs"/>
          <w:rtl/>
        </w:rPr>
        <w:t>הרמב"ן</w:t>
      </w:r>
      <w:r>
        <w:rPr>
          <w:rFonts w:hint="cs"/>
          <w:rtl/>
        </w:rPr>
        <w:t xml:space="preserve"> </w:t>
      </w:r>
      <w:r w:rsidRPr="00F14F5C">
        <w:rPr>
          <w:rStyle w:val="af7"/>
          <w:rFonts w:eastAsia="Guttman Hodes" w:hint="cs"/>
          <w:rtl/>
        </w:rPr>
        <w:t>(סוד"ה וההוא)</w:t>
      </w:r>
      <w:r>
        <w:rPr>
          <w:rFonts w:hint="cs"/>
          <w:rtl/>
        </w:rPr>
        <w:t xml:space="preserve"> דלפי גירסא זו שיש עדים שרב אידי יותר קרוב, א"כ אמאי אמר רב חסדא דאינו חייב להחזיר את הפירות, </w:t>
      </w:r>
      <w:bookmarkStart w:id="15831" w:name="_Ref64454088"/>
      <w:r>
        <w:rPr>
          <w:rFonts w:hint="cs"/>
          <w:rtl/>
        </w:rPr>
        <w:t xml:space="preserve">וכתב </w:t>
      </w:r>
      <w:r w:rsidRPr="00BF6A82">
        <w:rPr>
          <w:rStyle w:val="af9"/>
          <w:rFonts w:hint="cs"/>
          <w:rtl/>
        </w:rPr>
        <w:t>הרמב"ן</w:t>
      </w:r>
      <w:r>
        <w:rPr>
          <w:rFonts w:hint="cs"/>
          <w:rtl/>
        </w:rPr>
        <w:t xml:space="preserve"> דאפשר לתרץ דרב חסדא ס"ל דאמרינן מיגו במקום עדים, </w:t>
      </w:r>
      <w:r w:rsidRPr="00BF6A82">
        <w:rPr>
          <w:rStyle w:val="afb"/>
          <w:rFonts w:hint="cs"/>
          <w:rtl/>
        </w:rPr>
        <w:t xml:space="preserve">[כדעת רב חסדא בגמ' בהמשך </w:t>
      </w:r>
      <w:r w:rsidRPr="00BF6A82">
        <w:rPr>
          <w:rStyle w:val="aff6"/>
          <w:rFonts w:hint="cs"/>
          <w:rtl/>
        </w:rPr>
        <w:t>(לג:)</w:t>
      </w:r>
      <w:r w:rsidRPr="00BF6A82">
        <w:rPr>
          <w:rStyle w:val="afb"/>
          <w:rFonts w:hint="cs"/>
          <w:rtl/>
        </w:rPr>
        <w:t xml:space="preserve">], </w:t>
      </w:r>
      <w:r>
        <w:rPr>
          <w:rFonts w:hint="cs"/>
          <w:rtl/>
        </w:rPr>
        <w:t xml:space="preserve">וטענתו שטען כנגד העדים חשיבא כטענה, והיינו דמתרצינן דיבוריה, דמה שטען ההוא גברא שהוא קרוב יותר, כוונתו שלגבי הפירות הוא קרוב יותר, כיון שקנה מרב אידי, ואעפ"י שהוא לא טען כן כלל, מ"מ כיון שיש לו מיגו, חשיב כאילו טען, </w:t>
      </w:r>
      <w:r>
        <w:rPr>
          <w:rStyle w:val="af9"/>
          <w:rFonts w:hint="cs"/>
          <w:rtl/>
        </w:rPr>
        <w:t>ו</w:t>
      </w:r>
      <w:r w:rsidRPr="001206C1">
        <w:rPr>
          <w:rStyle w:val="af9"/>
          <w:rFonts w:hint="cs"/>
          <w:rtl/>
        </w:rPr>
        <w:t>הרשב"א</w:t>
      </w:r>
      <w:r w:rsidRPr="00F14F5C">
        <w:rPr>
          <w:rStyle w:val="af7"/>
          <w:rFonts w:eastAsia="Guttman Hodes" w:hint="cs"/>
          <w:rtl/>
        </w:rPr>
        <w:t xml:space="preserve"> (ד"ה במעשה)</w:t>
      </w:r>
      <w:r>
        <w:rPr>
          <w:rFonts w:hint="cs"/>
          <w:rtl/>
        </w:rPr>
        <w:t xml:space="preserve"> ביאר בשם </w:t>
      </w:r>
      <w:r w:rsidRPr="0054404C">
        <w:rPr>
          <w:rStyle w:val="af9"/>
          <w:rFonts w:hint="cs"/>
          <w:rtl/>
        </w:rPr>
        <w:t>י"מ</w:t>
      </w:r>
      <w:r>
        <w:rPr>
          <w:rFonts w:hint="cs"/>
          <w:rtl/>
        </w:rPr>
        <w:t xml:space="preserve"> דלרב חסדא הוא נאמן מדין הפה שאסר. </w:t>
      </w:r>
      <w:r w:rsidRPr="00012F25">
        <w:rPr>
          <w:rStyle w:val="afb"/>
          <w:rFonts w:hint="cs"/>
          <w:rtl/>
        </w:rPr>
        <w:t xml:space="preserve">[כדכתב </w:t>
      </w:r>
      <w:r w:rsidRPr="00012F25">
        <w:rPr>
          <w:rStyle w:val="affa"/>
          <w:rFonts w:hint="cs"/>
          <w:rtl/>
        </w:rPr>
        <w:t>הרשב"א</w:t>
      </w:r>
      <w:r w:rsidRPr="00012F25">
        <w:rPr>
          <w:rStyle w:val="afb"/>
          <w:rFonts w:hint="cs"/>
          <w:rtl/>
        </w:rPr>
        <w:t xml:space="preserve"> </w:t>
      </w:r>
      <w:r w:rsidRPr="00F14F5C">
        <w:rPr>
          <w:rStyle w:val="aff6"/>
          <w:rFonts w:hint="cs"/>
          <w:rtl/>
        </w:rPr>
        <w:t xml:space="preserve">(עי' אות </w:t>
      </w:r>
      <w:r w:rsidRPr="00F14F5C">
        <w:rPr>
          <w:rStyle w:val="aff6"/>
          <w:rtl/>
        </w:rPr>
        <w:fldChar w:fldCharType="begin"/>
      </w:r>
      <w:r w:rsidRPr="00F14F5C">
        <w:rPr>
          <w:rStyle w:val="aff6"/>
          <w:rtl/>
        </w:rPr>
        <w:instrText xml:space="preserve"> </w:instrText>
      </w:r>
      <w:r w:rsidRPr="00F14F5C">
        <w:rPr>
          <w:rStyle w:val="aff6"/>
          <w:rFonts w:hint="cs"/>
        </w:rPr>
        <w:instrText>REF</w:instrText>
      </w:r>
      <w:r w:rsidRPr="00F14F5C">
        <w:rPr>
          <w:rStyle w:val="aff6"/>
          <w:rFonts w:hint="cs"/>
          <w:rtl/>
        </w:rPr>
        <w:instrText xml:space="preserve"> _</w:instrText>
      </w:r>
      <w:r w:rsidRPr="00F14F5C">
        <w:rPr>
          <w:rStyle w:val="aff6"/>
          <w:rFonts w:hint="cs"/>
        </w:rPr>
        <w:instrText>Ref64586421 \r \h</w:instrText>
      </w:r>
      <w:r w:rsidRPr="00F14F5C">
        <w:rPr>
          <w:rStyle w:val="aff6"/>
          <w:rtl/>
        </w:rPr>
        <w:instrText xml:space="preserve"> </w:instrText>
      </w:r>
      <w:r w:rsidRPr="00F14F5C">
        <w:rPr>
          <w:rStyle w:val="aff6"/>
          <w:rtl/>
        </w:rPr>
      </w:r>
      <w:r w:rsidRPr="00F14F5C">
        <w:rPr>
          <w:rStyle w:val="aff6"/>
          <w:rtl/>
        </w:rPr>
        <w:fldChar w:fldCharType="separate"/>
      </w:r>
      <w:r w:rsidR="00265073">
        <w:rPr>
          <w:rStyle w:val="aff6"/>
          <w:cs/>
        </w:rPr>
        <w:t>‎</w:t>
      </w:r>
      <w:r w:rsidR="00265073">
        <w:rPr>
          <w:rStyle w:val="aff6"/>
          <w:rtl/>
        </w:rPr>
        <w:t>מג)</w:t>
      </w:r>
      <w:r w:rsidRPr="00F14F5C">
        <w:rPr>
          <w:rStyle w:val="aff6"/>
          <w:rtl/>
        </w:rPr>
        <w:fldChar w:fldCharType="end"/>
      </w:r>
      <w:r w:rsidRPr="00012F25">
        <w:rPr>
          <w:rStyle w:val="afb"/>
          <w:rFonts w:hint="cs"/>
          <w:rtl/>
        </w:rPr>
        <w:t xml:space="preserve"> דהנאמנות </w:t>
      </w:r>
      <w:r>
        <w:rPr>
          <w:rStyle w:val="afb"/>
          <w:rFonts w:hint="cs"/>
          <w:rtl/>
        </w:rPr>
        <w:t xml:space="preserve">בסוגיין </w:t>
      </w:r>
      <w:r w:rsidRPr="00012F25">
        <w:rPr>
          <w:rStyle w:val="afb"/>
          <w:rFonts w:hint="cs"/>
          <w:rtl/>
        </w:rPr>
        <w:t xml:space="preserve">היא מדין הפה </w:t>
      </w:r>
      <w:r w:rsidRPr="00F14F5C">
        <w:rPr>
          <w:rStyle w:val="afb"/>
          <w:rFonts w:hint="cs"/>
          <w:rtl/>
        </w:rPr>
        <w:t xml:space="preserve">שאסר, ועי' במה שביאר </w:t>
      </w:r>
      <w:r w:rsidRPr="00F14F5C">
        <w:rPr>
          <w:rStyle w:val="affa"/>
          <w:rFonts w:hint="cs"/>
          <w:rtl/>
        </w:rPr>
        <w:t>בחי' רבי נחום</w:t>
      </w:r>
      <w:r>
        <w:rPr>
          <w:rFonts w:hint="cs"/>
          <w:rtl/>
        </w:rPr>
        <w:t xml:space="preserve"> </w:t>
      </w:r>
      <w:r w:rsidRPr="00F14F5C">
        <w:rPr>
          <w:rStyle w:val="aff6"/>
          <w:rFonts w:hint="cs"/>
          <w:rtl/>
        </w:rPr>
        <w:t xml:space="preserve">(עי' אות </w:t>
      </w:r>
      <w:r w:rsidRPr="00F14F5C">
        <w:rPr>
          <w:rStyle w:val="aff6"/>
          <w:rtl/>
        </w:rPr>
        <w:fldChar w:fldCharType="begin"/>
      </w:r>
      <w:r w:rsidRPr="00F14F5C">
        <w:rPr>
          <w:rStyle w:val="aff6"/>
          <w:rtl/>
        </w:rPr>
        <w:instrText xml:space="preserve"> </w:instrText>
      </w:r>
      <w:r w:rsidRPr="00F14F5C">
        <w:rPr>
          <w:rStyle w:val="aff6"/>
          <w:rFonts w:hint="cs"/>
        </w:rPr>
        <w:instrText>REF</w:instrText>
      </w:r>
      <w:r w:rsidRPr="00F14F5C">
        <w:rPr>
          <w:rStyle w:val="aff6"/>
          <w:rFonts w:hint="cs"/>
          <w:rtl/>
        </w:rPr>
        <w:instrText xml:space="preserve"> _</w:instrText>
      </w:r>
      <w:r w:rsidRPr="00F14F5C">
        <w:rPr>
          <w:rStyle w:val="aff6"/>
          <w:rFonts w:hint="cs"/>
        </w:rPr>
        <w:instrText>Ref64568227 \r \h</w:instrText>
      </w:r>
      <w:r w:rsidRPr="00F14F5C">
        <w:rPr>
          <w:rStyle w:val="aff6"/>
          <w:rtl/>
        </w:rPr>
        <w:instrText xml:space="preserve"> </w:instrText>
      </w:r>
      <w:r w:rsidRPr="00F14F5C">
        <w:rPr>
          <w:rStyle w:val="aff6"/>
          <w:rtl/>
        </w:rPr>
      </w:r>
      <w:r w:rsidRPr="00F14F5C">
        <w:rPr>
          <w:rStyle w:val="aff6"/>
          <w:rtl/>
        </w:rPr>
        <w:fldChar w:fldCharType="separate"/>
      </w:r>
      <w:r w:rsidR="00265073">
        <w:rPr>
          <w:rStyle w:val="aff6"/>
          <w:cs/>
        </w:rPr>
        <w:t>‎</w:t>
      </w:r>
      <w:r w:rsidR="00265073">
        <w:rPr>
          <w:rStyle w:val="aff6"/>
          <w:rtl/>
        </w:rPr>
        <w:t>קח)</w:t>
      </w:r>
      <w:r w:rsidRPr="00F14F5C">
        <w:rPr>
          <w:rStyle w:val="aff6"/>
          <w:rtl/>
        </w:rPr>
        <w:fldChar w:fldCharType="end"/>
      </w:r>
      <w:r>
        <w:rPr>
          <w:rFonts w:hint="cs"/>
          <w:rtl/>
        </w:rPr>
        <w:t xml:space="preserve"> </w:t>
      </w:r>
      <w:r w:rsidRPr="00F14F5C">
        <w:rPr>
          <w:rStyle w:val="afb"/>
          <w:rFonts w:hint="cs"/>
          <w:rtl/>
        </w:rPr>
        <w:t xml:space="preserve">במ"ש </w:t>
      </w:r>
      <w:r w:rsidRPr="00F14F5C">
        <w:rPr>
          <w:rStyle w:val="affa"/>
          <w:rFonts w:hint="cs"/>
          <w:rtl/>
        </w:rPr>
        <w:t>הרשב"א</w:t>
      </w:r>
      <w:r>
        <w:rPr>
          <w:rFonts w:hint="cs"/>
          <w:rtl/>
        </w:rPr>
        <w:t xml:space="preserve"> </w:t>
      </w:r>
      <w:r w:rsidRPr="00F14F5C">
        <w:rPr>
          <w:rStyle w:val="afb"/>
          <w:rFonts w:hint="cs"/>
          <w:rtl/>
        </w:rPr>
        <w:t>דנאמן מדין הפה שאסר, ולא כתב דנאמן במיגו</w:t>
      </w:r>
      <w:r w:rsidRPr="00012F25">
        <w:rPr>
          <w:rStyle w:val="afb"/>
          <w:rFonts w:hint="cs"/>
          <w:rtl/>
        </w:rPr>
        <w:t>]</w:t>
      </w:r>
      <w:r>
        <w:rPr>
          <w:rStyle w:val="afb"/>
          <w:rFonts w:hint="cs"/>
          <w:rtl/>
        </w:rPr>
        <w:t>.</w:t>
      </w:r>
    </w:p>
    <w:p w:rsidR="00103C1B" w:rsidRDefault="00103C1B" w:rsidP="00103C1B">
      <w:pPr>
        <w:pStyle w:val="a3"/>
        <w:rPr>
          <w:rtl/>
        </w:rPr>
      </w:pPr>
      <w:bookmarkStart w:id="15832" w:name="_Toc64588842"/>
      <w:bookmarkStart w:id="15833" w:name="_Toc64629434"/>
      <w:bookmarkStart w:id="15834" w:name="_Toc64642897"/>
      <w:r>
        <w:rPr>
          <w:rFonts w:hint="cs"/>
          <w:rtl/>
        </w:rPr>
        <w:t>בי' הרשב"א ברב חסדא דכיון שיש לו מיגו טענינן מה שהיה יכול לטעון דכוונתו שקרוב לפירות</w:t>
      </w:r>
      <w:bookmarkEnd w:id="15832"/>
      <w:bookmarkEnd w:id="15833"/>
      <w:bookmarkEnd w:id="15834"/>
    </w:p>
    <w:p w:rsidR="00103C1B" w:rsidRDefault="00103C1B" w:rsidP="007E4E81">
      <w:pPr>
        <w:pStyle w:val="a0"/>
      </w:pPr>
      <w:r>
        <w:rPr>
          <w:rStyle w:val="af9"/>
          <w:rFonts w:hint="cs"/>
          <w:rtl/>
        </w:rPr>
        <w:t>ו</w:t>
      </w:r>
      <w:r w:rsidRPr="00755214">
        <w:rPr>
          <w:rStyle w:val="af9"/>
          <w:rFonts w:hint="cs"/>
          <w:rtl/>
        </w:rPr>
        <w:t>הרשב"א</w:t>
      </w:r>
      <w:r>
        <w:rPr>
          <w:rFonts w:hint="cs"/>
          <w:rtl/>
        </w:rPr>
        <w:t xml:space="preserve"> </w:t>
      </w:r>
      <w:r w:rsidRPr="00450D69">
        <w:rPr>
          <w:rStyle w:val="af7"/>
          <w:rFonts w:eastAsia="Guttman Hodes" w:hint="cs"/>
          <w:rtl/>
        </w:rPr>
        <w:t>(סוד"ה ואי ק"ל)</w:t>
      </w:r>
      <w:r>
        <w:rPr>
          <w:rFonts w:hint="cs"/>
          <w:rtl/>
        </w:rPr>
        <w:t xml:space="preserve"> הקשה דהאיך אפש"ל דס"ל לרב חסדא דאמרינן מיגו במקום עדים, והא תנן בכתובות </w:t>
      </w:r>
      <w:r w:rsidRPr="00652FFA">
        <w:rPr>
          <w:rStyle w:val="af7"/>
          <w:rFonts w:eastAsia="Guttman Hodes" w:hint="cs"/>
          <w:rtl/>
        </w:rPr>
        <w:t>(</w:t>
      </w:r>
      <w:r>
        <w:rPr>
          <w:rStyle w:val="af7"/>
          <w:rFonts w:eastAsia="Guttman Hodes" w:hint="cs"/>
          <w:rtl/>
        </w:rPr>
        <w:t>טו</w:t>
      </w:r>
      <w:r w:rsidRPr="00652FFA">
        <w:rPr>
          <w:rStyle w:val="af7"/>
          <w:rFonts w:eastAsia="Guttman Hodes" w:hint="cs"/>
          <w:rtl/>
        </w:rPr>
        <w:t>:)</w:t>
      </w:r>
      <w:r>
        <w:rPr>
          <w:rFonts w:hint="cs"/>
          <w:rtl/>
        </w:rPr>
        <w:t xml:space="preserve"> דאם יש עדים שיצאה בהינומא וראשה פרוע, כתובתה מאתיים, ואינו נאמן שנשאה אלמנה וכתובתה מנה, במיגו שהיה יכול לטעון שפרע את כתובתה, ותירץ </w:t>
      </w:r>
      <w:r w:rsidRPr="00755214">
        <w:rPr>
          <w:rStyle w:val="af9"/>
          <w:rFonts w:hint="cs"/>
          <w:rtl/>
        </w:rPr>
        <w:t>הרשב"א</w:t>
      </w:r>
      <w:r>
        <w:rPr>
          <w:rFonts w:hint="cs"/>
          <w:rtl/>
        </w:rPr>
        <w:t xml:space="preserve"> דס"ל לרב חסדא דכיון שיש לו נאמנות במיגו, המיגו הוא אלים דטענינן ליה את מה שהוא היה יכול לטעון ולתרץ את דיבורו, וטענינן ליה דמה שאמר שהוא קרוב יותר, כוונתו הייתה שהוא קרוב לפירות יותר מרב אידי, כיון שהוא קנה ממנו את הפירות.</w:t>
      </w:r>
      <w:r w:rsidRPr="00576A4D">
        <w:rPr>
          <w:rFonts w:hint="cs"/>
          <w:rtl/>
        </w:rPr>
        <w:t xml:space="preserve"> </w:t>
      </w:r>
      <w:r w:rsidRPr="00755214">
        <w:rPr>
          <w:rStyle w:val="afb"/>
          <w:rFonts w:hint="cs"/>
          <w:rtl/>
        </w:rPr>
        <w:t xml:space="preserve">[וציין </w:t>
      </w:r>
      <w:r w:rsidRPr="00755214">
        <w:rPr>
          <w:rStyle w:val="affa"/>
          <w:rFonts w:hint="cs"/>
          <w:rtl/>
        </w:rPr>
        <w:t>הרשב"א</w:t>
      </w:r>
      <w:r w:rsidRPr="00755214">
        <w:rPr>
          <w:rStyle w:val="afb"/>
          <w:rFonts w:hint="cs"/>
          <w:rtl/>
        </w:rPr>
        <w:t xml:space="preserve"> למה שביאר כן לעיל </w:t>
      </w:r>
      <w:r w:rsidRPr="00755214">
        <w:rPr>
          <w:rStyle w:val="aff6"/>
          <w:rFonts w:hint="cs"/>
          <w:rtl/>
        </w:rPr>
        <w:t>(לא. ד"ה אמר, הובא בסימן י"ב אות מ"ו)</w:t>
      </w:r>
      <w:r w:rsidRPr="00755214">
        <w:rPr>
          <w:rStyle w:val="afb"/>
          <w:rFonts w:hint="cs"/>
          <w:rtl/>
        </w:rPr>
        <w:t>]</w:t>
      </w:r>
      <w:r>
        <w:rPr>
          <w:rStyle w:val="afb"/>
          <w:rFonts w:hint="cs"/>
          <w:rtl/>
        </w:rPr>
        <w:t>.</w:t>
      </w:r>
    </w:p>
    <w:p w:rsidR="00103C1B" w:rsidRDefault="00103C1B" w:rsidP="00103C1B">
      <w:pPr>
        <w:pStyle w:val="a3"/>
        <w:rPr>
          <w:rtl/>
        </w:rPr>
      </w:pPr>
      <w:bookmarkStart w:id="15835" w:name="_Toc64588843"/>
      <w:bookmarkStart w:id="15836" w:name="_Toc64629435"/>
      <w:bookmarkStart w:id="15837" w:name="_Toc64642898"/>
      <w:r>
        <w:rPr>
          <w:rFonts w:hint="cs"/>
          <w:rtl/>
        </w:rPr>
        <w:t>ביאור הרמב"ן דלאביי ורבא חשיב מיגו במקום עדים דדבריו משמע שקרוב ולא דהפירות קרובים</w:t>
      </w:r>
      <w:bookmarkEnd w:id="15835"/>
      <w:bookmarkEnd w:id="15836"/>
      <w:bookmarkEnd w:id="15837"/>
    </w:p>
    <w:p w:rsidR="00103C1B" w:rsidRDefault="00103C1B" w:rsidP="007E4E81">
      <w:pPr>
        <w:pStyle w:val="a0"/>
        <w:rPr>
          <w:rtl/>
        </w:rPr>
      </w:pPr>
      <w:r>
        <w:rPr>
          <w:rFonts w:hint="cs"/>
          <w:rtl/>
        </w:rPr>
        <w:t xml:space="preserve">וכתב </w:t>
      </w:r>
      <w:r w:rsidRPr="00BF6A82">
        <w:rPr>
          <w:rStyle w:val="af9"/>
          <w:rFonts w:hint="cs"/>
          <w:rtl/>
        </w:rPr>
        <w:t>הרמב"ן</w:t>
      </w:r>
      <w:r>
        <w:rPr>
          <w:rFonts w:hint="cs"/>
          <w:rtl/>
        </w:rPr>
        <w:t xml:space="preserve"> ד</w:t>
      </w:r>
      <w:r w:rsidRPr="005636B6">
        <w:rPr>
          <w:rFonts w:hint="cs"/>
          <w:rtl/>
        </w:rPr>
        <w:t>אביי</w:t>
      </w:r>
      <w:r>
        <w:rPr>
          <w:rFonts w:hint="cs"/>
          <w:rtl/>
        </w:rPr>
        <w:t xml:space="preserve"> ורבא ס"ל דמיגו במקום עדים לא אמרינן, כיון דכשאמר שהוא קרוב יותר, משמע דכוונתו שהוא קרוב ממש, ואין כוונתו לגבי הפירות, ורק אם חזר וטען שזו כוונתו הוא נאמן, וכ"כ </w:t>
      </w:r>
      <w:r w:rsidRPr="001206C1">
        <w:rPr>
          <w:rStyle w:val="af9"/>
          <w:rFonts w:hint="cs"/>
          <w:rtl/>
        </w:rPr>
        <w:t>רבינו</w:t>
      </w:r>
      <w:r>
        <w:rPr>
          <w:rFonts w:hint="cs"/>
          <w:rtl/>
        </w:rPr>
        <w:t xml:space="preserve"> </w:t>
      </w:r>
      <w:r w:rsidRPr="001206C1">
        <w:rPr>
          <w:rStyle w:val="af9"/>
          <w:rFonts w:hint="cs"/>
          <w:rtl/>
        </w:rPr>
        <w:t>יונה</w:t>
      </w:r>
      <w:r>
        <w:rPr>
          <w:rStyle w:val="af7"/>
          <w:rFonts w:eastAsia="Guttman Hodes" w:hint="cs"/>
          <w:rtl/>
        </w:rPr>
        <w:t xml:space="preserve"> </w:t>
      </w:r>
      <w:r w:rsidRPr="00D14F3F">
        <w:rPr>
          <w:rStyle w:val="af7"/>
          <w:rFonts w:eastAsia="Guttman Hodes" w:hint="cs"/>
          <w:rtl/>
        </w:rPr>
        <w:t>(ד"ה במעשה)</w:t>
      </w:r>
      <w:r>
        <w:rPr>
          <w:rFonts w:hint="cs"/>
          <w:rtl/>
        </w:rPr>
        <w:t xml:space="preserve"> </w:t>
      </w:r>
      <w:r>
        <w:rPr>
          <w:rStyle w:val="af9"/>
          <w:rFonts w:hint="cs"/>
          <w:rtl/>
        </w:rPr>
        <w:t>ו</w:t>
      </w:r>
      <w:r w:rsidRPr="001206C1">
        <w:rPr>
          <w:rStyle w:val="af9"/>
          <w:rFonts w:hint="cs"/>
          <w:rtl/>
        </w:rPr>
        <w:t>הרשב"א</w:t>
      </w:r>
      <w:r w:rsidRPr="00D14F3F">
        <w:rPr>
          <w:rStyle w:val="af7"/>
          <w:rFonts w:eastAsia="Guttman Hodes" w:hint="cs"/>
          <w:rtl/>
        </w:rPr>
        <w:t xml:space="preserve"> </w:t>
      </w:r>
      <w:r w:rsidRPr="00450D69">
        <w:rPr>
          <w:rStyle w:val="af7"/>
          <w:rFonts w:eastAsia="Guttman Hodes" w:hint="cs"/>
          <w:rtl/>
        </w:rPr>
        <w:t>(סוד"ה ואי ק"ל)</w:t>
      </w:r>
      <w:r>
        <w:rPr>
          <w:rFonts w:hint="cs"/>
          <w:rtl/>
        </w:rPr>
        <w:t xml:space="preserve"> דס"ל לאביי ורבא דכיון דאודי אודי, דחשיב כמיגו במקום עדים.</w:t>
      </w:r>
    </w:p>
    <w:p w:rsidR="00103C1B" w:rsidRDefault="00103C1B" w:rsidP="00103C1B">
      <w:pPr>
        <w:pStyle w:val="a3"/>
      </w:pPr>
      <w:bookmarkStart w:id="15838" w:name="_Toc64588844"/>
      <w:bookmarkStart w:id="15839" w:name="_Toc64629436"/>
      <w:bookmarkStart w:id="15840" w:name="_Toc64642899"/>
      <w:r>
        <w:rPr>
          <w:rFonts w:hint="cs"/>
          <w:rtl/>
        </w:rPr>
        <w:t>דחיית רבינו יונה והרשב"א דלשון אודי דוחק לפי"ז והיה לאביי ורבא לומר דהוא מיגו במק"ע</w:t>
      </w:r>
      <w:bookmarkEnd w:id="15838"/>
      <w:bookmarkEnd w:id="15839"/>
      <w:bookmarkEnd w:id="15840"/>
    </w:p>
    <w:p w:rsidR="00103C1B" w:rsidRDefault="00103C1B" w:rsidP="007E4E81">
      <w:pPr>
        <w:pStyle w:val="a0"/>
        <w:rPr>
          <w:rtl/>
        </w:rPr>
      </w:pPr>
      <w:r>
        <w:rPr>
          <w:rFonts w:hint="cs"/>
          <w:rtl/>
        </w:rPr>
        <w:t xml:space="preserve">אך דחו </w:t>
      </w:r>
      <w:r w:rsidRPr="0002227D">
        <w:rPr>
          <w:rStyle w:val="af9"/>
          <w:rFonts w:hint="cs"/>
          <w:rtl/>
        </w:rPr>
        <w:t>רבינו</w:t>
      </w:r>
      <w:r>
        <w:rPr>
          <w:rFonts w:hint="cs"/>
          <w:rtl/>
        </w:rPr>
        <w:t xml:space="preserve"> </w:t>
      </w:r>
      <w:r w:rsidRPr="0002227D">
        <w:rPr>
          <w:rStyle w:val="af9"/>
          <w:rFonts w:hint="cs"/>
          <w:rtl/>
        </w:rPr>
        <w:t>יונה</w:t>
      </w:r>
      <w:r>
        <w:rPr>
          <w:rStyle w:val="af9"/>
          <w:rFonts w:hint="cs"/>
          <w:rtl/>
        </w:rPr>
        <w:t xml:space="preserve"> והרשב"א</w:t>
      </w:r>
      <w:r>
        <w:rPr>
          <w:rFonts w:hint="cs"/>
          <w:rtl/>
        </w:rPr>
        <w:t xml:space="preserve"> דלפי"ז דחוק הלשון כיון דאודי "אודי", דהא הוא מיגו במקום עדים, ועוד דא"כ היה לגמ' לומר דאביי ורבא פליגי על רב חסדא דהא מיגו במקום עדים לא אמרינן, כדאיתא בגמ' בהמשך </w:t>
      </w:r>
      <w:r w:rsidRPr="00EF35EC">
        <w:rPr>
          <w:rStyle w:val="af7"/>
          <w:rFonts w:eastAsia="Guttman Hodes" w:hint="cs"/>
          <w:rtl/>
        </w:rPr>
        <w:t>(לג:)</w:t>
      </w:r>
      <w:r>
        <w:rPr>
          <w:rFonts w:hint="cs"/>
          <w:rtl/>
        </w:rPr>
        <w:t>.</w:t>
      </w:r>
      <w:r w:rsidRPr="00D14F3F">
        <w:rPr>
          <w:rFonts w:hint="cs"/>
          <w:rtl/>
        </w:rPr>
        <w:t xml:space="preserve"> </w:t>
      </w:r>
      <w:r w:rsidRPr="00D14F3F">
        <w:rPr>
          <w:rStyle w:val="afb"/>
          <w:rFonts w:hint="cs"/>
          <w:rtl/>
        </w:rPr>
        <w:t xml:space="preserve">[עי' בדברי </w:t>
      </w:r>
      <w:r w:rsidRPr="0006797D">
        <w:rPr>
          <w:rStyle w:val="af9"/>
          <w:rFonts w:hint="cs"/>
          <w:rtl/>
        </w:rPr>
        <w:t>התוס'</w:t>
      </w:r>
      <w:r w:rsidRPr="00D14F3F">
        <w:rPr>
          <w:rStyle w:val="afb"/>
          <w:rFonts w:hint="cs"/>
          <w:rtl/>
        </w:rPr>
        <w:t xml:space="preserve"> </w:t>
      </w:r>
      <w:r w:rsidRPr="0006797D">
        <w:rPr>
          <w:rStyle w:val="aff6"/>
          <w:rFonts w:hint="cs"/>
          <w:rtl/>
        </w:rPr>
        <w:t xml:space="preserve">(עי' אות </w:t>
      </w:r>
      <w:r w:rsidRPr="0006797D">
        <w:rPr>
          <w:rStyle w:val="aff6"/>
          <w:rtl/>
        </w:rPr>
        <w:fldChar w:fldCharType="begin"/>
      </w:r>
      <w:r w:rsidRPr="0006797D">
        <w:rPr>
          <w:rStyle w:val="aff6"/>
          <w:rtl/>
        </w:rPr>
        <w:instrText xml:space="preserve"> </w:instrText>
      </w:r>
      <w:r w:rsidRPr="0006797D">
        <w:rPr>
          <w:rStyle w:val="aff6"/>
          <w:rFonts w:hint="cs"/>
        </w:rPr>
        <w:instrText>REF</w:instrText>
      </w:r>
      <w:r w:rsidRPr="0006797D">
        <w:rPr>
          <w:rStyle w:val="aff6"/>
          <w:rFonts w:hint="cs"/>
          <w:rtl/>
        </w:rPr>
        <w:instrText xml:space="preserve"> _</w:instrText>
      </w:r>
      <w:r w:rsidRPr="0006797D">
        <w:rPr>
          <w:rStyle w:val="aff6"/>
          <w:rFonts w:hint="cs"/>
        </w:rPr>
        <w:instrText>Ref64451562 \r \h</w:instrText>
      </w:r>
      <w:r w:rsidRPr="0006797D">
        <w:rPr>
          <w:rStyle w:val="aff6"/>
          <w:rtl/>
        </w:rPr>
        <w:instrText xml:space="preserve"> </w:instrText>
      </w:r>
      <w:r w:rsidRPr="0006797D">
        <w:rPr>
          <w:rStyle w:val="aff6"/>
          <w:rtl/>
        </w:rPr>
      </w:r>
      <w:r w:rsidRPr="0006797D">
        <w:rPr>
          <w:rStyle w:val="aff6"/>
          <w:rtl/>
        </w:rPr>
        <w:fldChar w:fldCharType="separate"/>
      </w:r>
      <w:r w:rsidR="00265073">
        <w:rPr>
          <w:rStyle w:val="aff6"/>
          <w:cs/>
        </w:rPr>
        <w:t>‎</w:t>
      </w:r>
      <w:r w:rsidR="00265073">
        <w:rPr>
          <w:rStyle w:val="aff6"/>
          <w:rtl/>
        </w:rPr>
        <w:t>כד)</w:t>
      </w:r>
      <w:r w:rsidRPr="0006797D">
        <w:rPr>
          <w:rStyle w:val="aff6"/>
          <w:rtl/>
        </w:rPr>
        <w:fldChar w:fldCharType="end"/>
      </w:r>
      <w:r w:rsidRPr="00D14F3F">
        <w:rPr>
          <w:rStyle w:val="afb"/>
          <w:rFonts w:hint="cs"/>
          <w:rtl/>
        </w:rPr>
        <w:t>].</w:t>
      </w:r>
    </w:p>
    <w:p w:rsidR="00103C1B" w:rsidRPr="00704708" w:rsidRDefault="00103C1B" w:rsidP="00103C1B">
      <w:pPr>
        <w:pStyle w:val="a3"/>
        <w:rPr>
          <w:rtl/>
        </w:rPr>
      </w:pPr>
      <w:bookmarkStart w:id="15841" w:name="_Toc64588845"/>
      <w:bookmarkStart w:id="15842" w:name="_Toc64629437"/>
      <w:bookmarkStart w:id="15843" w:name="_Toc64642900"/>
      <w:r w:rsidRPr="00F14F5C">
        <w:rPr>
          <w:rtl/>
        </w:rPr>
        <w:t xml:space="preserve">דברי הרמב"ן </w:t>
      </w:r>
      <w:r>
        <w:rPr>
          <w:rFonts w:hint="cs"/>
          <w:rtl/>
        </w:rPr>
        <w:t>ד</w:t>
      </w:r>
      <w:r w:rsidRPr="00F14F5C">
        <w:rPr>
          <w:rtl/>
        </w:rPr>
        <w:t xml:space="preserve">נקטו אביי ורבא לשון </w:t>
      </w:r>
      <w:r>
        <w:rPr>
          <w:rFonts w:hint="cs"/>
          <w:rtl/>
        </w:rPr>
        <w:t>א</w:t>
      </w:r>
      <w:r w:rsidRPr="00F14F5C">
        <w:rPr>
          <w:rtl/>
        </w:rPr>
        <w:t xml:space="preserve">ודי </w:t>
      </w:r>
      <w:r>
        <w:rPr>
          <w:rFonts w:hint="cs"/>
          <w:rtl/>
        </w:rPr>
        <w:t xml:space="preserve">כיון דאינו </w:t>
      </w:r>
      <w:r w:rsidRPr="00F14F5C">
        <w:rPr>
          <w:rtl/>
        </w:rPr>
        <w:t xml:space="preserve">חייב </w:t>
      </w:r>
      <w:r>
        <w:rPr>
          <w:rFonts w:hint="cs"/>
          <w:rtl/>
        </w:rPr>
        <w:t>רק ע"י העדים אלא ב</w:t>
      </w:r>
      <w:r w:rsidRPr="00F14F5C">
        <w:rPr>
          <w:rtl/>
        </w:rPr>
        <w:t>עדים והודאה</w:t>
      </w:r>
      <w:bookmarkEnd w:id="15841"/>
      <w:bookmarkEnd w:id="15842"/>
      <w:bookmarkEnd w:id="15843"/>
    </w:p>
    <w:p w:rsidR="00103C1B" w:rsidRDefault="00103C1B" w:rsidP="007E4E81">
      <w:pPr>
        <w:pStyle w:val="a0"/>
        <w:rPr>
          <w:rtl/>
        </w:rPr>
      </w:pPr>
      <w:r>
        <w:rPr>
          <w:rStyle w:val="af9"/>
          <w:rFonts w:hint="cs"/>
          <w:rtl/>
        </w:rPr>
        <w:t>ו</w:t>
      </w:r>
      <w:r w:rsidRPr="0092664C">
        <w:rPr>
          <w:rStyle w:val="af9"/>
          <w:rFonts w:hint="cs"/>
          <w:rtl/>
        </w:rPr>
        <w:t>הרמב"ן</w:t>
      </w:r>
      <w:r>
        <w:rPr>
          <w:rFonts w:hint="cs"/>
          <w:rtl/>
        </w:rPr>
        <w:t xml:space="preserve"> ביאר דהא דלא אמרי אביי ורבא דמיגו במקום עדים לא אמרינן, </w:t>
      </w:r>
      <w:r w:rsidRPr="00BF6A82">
        <w:rPr>
          <w:rStyle w:val="afb"/>
          <w:rFonts w:hint="cs"/>
          <w:rtl/>
        </w:rPr>
        <w:t xml:space="preserve">[כדאמרו אביי ורבא בגמ' בהמשך </w:t>
      </w:r>
      <w:r w:rsidRPr="00BF6A82">
        <w:rPr>
          <w:rStyle w:val="aff6"/>
          <w:rFonts w:hint="cs"/>
          <w:rtl/>
        </w:rPr>
        <w:t>(לג:)</w:t>
      </w:r>
      <w:r w:rsidRPr="00BF6A82">
        <w:rPr>
          <w:rStyle w:val="afb"/>
          <w:rFonts w:hint="cs"/>
          <w:rtl/>
        </w:rPr>
        <w:t xml:space="preserve">], </w:t>
      </w:r>
      <w:r>
        <w:rPr>
          <w:rFonts w:hint="cs"/>
          <w:rtl/>
        </w:rPr>
        <w:t>הוא כיון דההוא גברא אינו מתחייב רק מחמת עדות העדים, אלא מכח הודאת עצמו יחד עם העדים.</w:t>
      </w:r>
      <w:bookmarkStart w:id="15844" w:name="_Toc64407323"/>
      <w:bookmarkEnd w:id="15831"/>
    </w:p>
    <w:p w:rsidR="00103C1B" w:rsidRDefault="00103C1B" w:rsidP="00103C1B">
      <w:pPr>
        <w:pStyle w:val="a3"/>
        <w:rPr>
          <w:rtl/>
        </w:rPr>
      </w:pPr>
      <w:bookmarkStart w:id="15845" w:name="_Toc64588846"/>
      <w:bookmarkStart w:id="15846" w:name="_Toc64629438"/>
      <w:bookmarkStart w:id="15847" w:name="_Toc64642901"/>
      <w:bookmarkEnd w:id="15844"/>
      <w:r>
        <w:rPr>
          <w:rFonts w:hint="cs"/>
          <w:rtl/>
        </w:rPr>
        <w:t>הביאור הב' ברמב"ן דטוען שבתחילה אמר שאכל פירות ליפות טענתו ונח' אי חשיב הודאה</w:t>
      </w:r>
      <w:bookmarkEnd w:id="15845"/>
      <w:bookmarkEnd w:id="15846"/>
      <w:bookmarkEnd w:id="15847"/>
    </w:p>
    <w:p w:rsidR="00103C1B" w:rsidRDefault="00103C1B" w:rsidP="007E4E81">
      <w:pPr>
        <w:pStyle w:val="a0"/>
        <w:rPr>
          <w:rtl/>
        </w:rPr>
      </w:pPr>
      <w:bookmarkStart w:id="15848" w:name="_Ref64643082"/>
      <w:bookmarkStart w:id="15849" w:name="_Ref64588626"/>
      <w:r>
        <w:rPr>
          <w:rFonts w:hint="cs"/>
          <w:rtl/>
        </w:rPr>
        <w:t xml:space="preserve">ועוד ביאר </w:t>
      </w:r>
      <w:r w:rsidRPr="005B4680">
        <w:rPr>
          <w:rStyle w:val="af9"/>
          <w:rFonts w:hint="cs"/>
          <w:rtl/>
        </w:rPr>
        <w:t>הרמב"ן</w:t>
      </w:r>
      <w:r>
        <w:rPr>
          <w:rFonts w:hint="cs"/>
          <w:rtl/>
        </w:rPr>
        <w:t xml:space="preserve"> </w:t>
      </w:r>
      <w:r w:rsidRPr="00450D69">
        <w:rPr>
          <w:rStyle w:val="af7"/>
          <w:rFonts w:eastAsia="Guttman Hodes" w:hint="cs"/>
          <w:rtl/>
        </w:rPr>
        <w:t>(ד"ה ויש לפרש)</w:t>
      </w:r>
      <w:r>
        <w:rPr>
          <w:rFonts w:hint="cs"/>
          <w:rtl/>
        </w:rPr>
        <w:t xml:space="preserve"> בדעת רב חסדא דכשטען ההוא גברא בתחילה שהוא קרוב יותר, הוא אמר שאכל פירות, ולכן אמר רב חסדא דכל שלא הודה שאכל לאחר שבאו העדים שרב אידי קרוב יותר, אינו מתחייב במה שהודה בתחילה, כיון שלא אמר כן אלא לייפות את כח עצמו, דכוונתו לטעון שהוא קרוב יותר, ולכן הורידוהו הבעלים </w:t>
      </w:r>
      <w:r w:rsidRPr="00820FB1">
        <w:rPr>
          <w:rFonts w:hint="cs"/>
          <w:rtl/>
        </w:rPr>
        <w:t xml:space="preserve">לאכול את הפירות, וא"כ לא חשיבא הודאה כלל, ובדעת אביי ורבא ביאר </w:t>
      </w:r>
      <w:r w:rsidRPr="00820FB1">
        <w:rPr>
          <w:rStyle w:val="af9"/>
          <w:rFonts w:hint="cs"/>
          <w:rtl/>
        </w:rPr>
        <w:t>הרמב"ן</w:t>
      </w:r>
      <w:r w:rsidRPr="00820FB1">
        <w:rPr>
          <w:rFonts w:hint="cs"/>
          <w:rtl/>
        </w:rPr>
        <w:t xml:space="preserve"> דס"ל דכיון שטענתו שהוא קרוב יותר, אינה תלויה בזה שהורידוהו לאכול פירות, א"כ חשיבא כהודאה, וכתב </w:t>
      </w:r>
      <w:r w:rsidRPr="00820FB1">
        <w:rPr>
          <w:rStyle w:val="af9"/>
          <w:rFonts w:hint="cs"/>
          <w:rtl/>
        </w:rPr>
        <w:t>הרמב"ן</w:t>
      </w:r>
      <w:r w:rsidRPr="00820FB1">
        <w:rPr>
          <w:rFonts w:hint="cs"/>
          <w:rtl/>
        </w:rPr>
        <w:t xml:space="preserve"> דביאור זה נכון אף לפי הגירסא של </w:t>
      </w:r>
      <w:r w:rsidRPr="008C7973">
        <w:rPr>
          <w:rStyle w:val="af9"/>
          <w:rFonts w:hint="cs"/>
          <w:rtl/>
        </w:rPr>
        <w:t xml:space="preserve">הרי"ף </w:t>
      </w:r>
      <w:r w:rsidRPr="00820FB1">
        <w:rPr>
          <w:rStyle w:val="af7"/>
          <w:rFonts w:eastAsia="Guttman Hodes" w:hint="cs"/>
          <w:rtl/>
        </w:rPr>
        <w:t xml:space="preserve">(עי' אות </w:t>
      </w:r>
      <w:r w:rsidRPr="00820FB1">
        <w:rPr>
          <w:rStyle w:val="af7"/>
          <w:rFonts w:eastAsia="Guttman Hodes"/>
          <w:rtl/>
        </w:rPr>
        <w:fldChar w:fldCharType="begin"/>
      </w:r>
      <w:r w:rsidRPr="00820FB1">
        <w:rPr>
          <w:rStyle w:val="af7"/>
          <w:rFonts w:eastAsia="Guttman Hodes"/>
          <w:rtl/>
        </w:rPr>
        <w:instrText xml:space="preserve"> </w:instrText>
      </w:r>
      <w:r w:rsidRPr="00820FB1">
        <w:rPr>
          <w:rStyle w:val="af7"/>
          <w:rFonts w:eastAsia="Guttman Hodes" w:hint="cs"/>
        </w:rPr>
        <w:instrText>REF</w:instrText>
      </w:r>
      <w:r w:rsidRPr="00820FB1">
        <w:rPr>
          <w:rStyle w:val="af7"/>
          <w:rFonts w:eastAsia="Guttman Hodes" w:hint="cs"/>
          <w:rtl/>
        </w:rPr>
        <w:instrText xml:space="preserve"> _</w:instrText>
      </w:r>
      <w:r w:rsidRPr="00820FB1">
        <w:rPr>
          <w:rStyle w:val="af7"/>
          <w:rFonts w:eastAsia="Guttman Hodes" w:hint="cs"/>
        </w:rPr>
        <w:instrText>Ref64451602 \r \h</w:instrText>
      </w:r>
      <w:r w:rsidRPr="00820FB1">
        <w:rPr>
          <w:rStyle w:val="af7"/>
          <w:rFonts w:eastAsia="Guttman Hodes"/>
          <w:rtl/>
        </w:rPr>
        <w:instrText xml:space="preserve"> </w:instrText>
      </w:r>
      <w:r w:rsidRPr="00820FB1">
        <w:rPr>
          <w:rStyle w:val="af7"/>
          <w:rFonts w:eastAsia="Guttman Hodes"/>
          <w:rtl/>
        </w:rPr>
      </w:r>
      <w:r w:rsidRPr="00820FB1">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820FB1">
        <w:rPr>
          <w:rStyle w:val="af7"/>
          <w:rFonts w:eastAsia="Guttman Hodes"/>
          <w:rtl/>
        </w:rPr>
        <w:fldChar w:fldCharType="end"/>
      </w:r>
      <w:r>
        <w:rPr>
          <w:rStyle w:val="af7"/>
          <w:rFonts w:eastAsia="Guttman Hodes" w:hint="cs"/>
          <w:rtl/>
        </w:rPr>
        <w:t xml:space="preserve"> </w:t>
      </w:r>
      <w:r w:rsidRPr="008C7973">
        <w:rPr>
          <w:rStyle w:val="af9"/>
          <w:rFonts w:hint="cs"/>
          <w:rtl/>
        </w:rPr>
        <w:t>והבה"ג</w:t>
      </w:r>
      <w:r>
        <w:rPr>
          <w:rStyle w:val="af9"/>
          <w:rFonts w:hint="cs"/>
          <w:rtl/>
        </w:rPr>
        <w:t xml:space="preserve"> </w:t>
      </w:r>
      <w:r w:rsidRPr="00354A1D">
        <w:rPr>
          <w:rStyle w:val="af7"/>
          <w:rFonts w:eastAsia="Guttman Hodes" w:hint="cs"/>
          <w:rtl/>
        </w:rPr>
        <w:t xml:space="preserve">(עי' אות </w:t>
      </w:r>
      <w:r w:rsidRPr="00354A1D">
        <w:rPr>
          <w:rStyle w:val="af7"/>
          <w:rFonts w:eastAsia="Guttman Hodes" w:hint="cs"/>
          <w:rtl/>
        </w:rPr>
        <w:fldChar w:fldCharType="begin"/>
      </w:r>
      <w:r w:rsidRPr="00354A1D">
        <w:rPr>
          <w:rStyle w:val="af7"/>
          <w:rFonts w:eastAsia="Guttman Hodes" w:hint="cs"/>
          <w:rtl/>
        </w:rPr>
        <w:instrText xml:space="preserve"> </w:instrText>
      </w:r>
      <w:r w:rsidRPr="00354A1D">
        <w:rPr>
          <w:rStyle w:val="af7"/>
          <w:rFonts w:eastAsia="Guttman Hodes"/>
        </w:rPr>
        <w:instrText>REF</w:instrText>
      </w:r>
      <w:r w:rsidRPr="00354A1D">
        <w:rPr>
          <w:rStyle w:val="af7"/>
          <w:rFonts w:eastAsia="Guttman Hodes" w:hint="cs"/>
          <w:rtl/>
        </w:rPr>
        <w:instrText xml:space="preserve"> _</w:instrText>
      </w:r>
      <w:r w:rsidRPr="00354A1D">
        <w:rPr>
          <w:rStyle w:val="af7"/>
          <w:rFonts w:eastAsia="Guttman Hodes"/>
        </w:rPr>
        <w:instrText>Ref64750415 \r \h</w:instrText>
      </w:r>
      <w:r w:rsidRPr="00354A1D">
        <w:rPr>
          <w:rStyle w:val="af7"/>
          <w:rFonts w:eastAsia="Guttman Hodes" w:hint="cs"/>
          <w:rtl/>
        </w:rPr>
        <w:instrText xml:space="preserve"> </w:instrText>
      </w:r>
      <w:r w:rsidRPr="00354A1D">
        <w:rPr>
          <w:rStyle w:val="af7"/>
          <w:rFonts w:eastAsia="Guttman Hodes" w:hint="cs"/>
          <w:rtl/>
        </w:rPr>
      </w:r>
      <w:r w:rsidRPr="00354A1D">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ג</w:t>
      </w:r>
      <w:r w:rsidR="00265073">
        <w:rPr>
          <w:rStyle w:val="af7"/>
          <w:rFonts w:eastAsia="Guttman Hodes"/>
          <w:rtl/>
        </w:rPr>
        <w:t>)</w:t>
      </w:r>
      <w:r w:rsidRPr="00354A1D">
        <w:rPr>
          <w:rStyle w:val="af7"/>
          <w:rFonts w:eastAsia="Guttman Hodes" w:hint="cs"/>
          <w:rtl/>
        </w:rPr>
        <w:fldChar w:fldCharType="end"/>
      </w:r>
      <w:r>
        <w:rPr>
          <w:rFonts w:hint="cs"/>
          <w:rtl/>
        </w:rPr>
        <w:t xml:space="preserve"> </w:t>
      </w:r>
      <w:r w:rsidRPr="00820FB1">
        <w:rPr>
          <w:rFonts w:hint="cs"/>
          <w:rtl/>
        </w:rPr>
        <w:t>דגרסינן "</w:t>
      </w:r>
      <w:r>
        <w:rPr>
          <w:rFonts w:hint="cs"/>
          <w:rtl/>
        </w:rPr>
        <w:t>איכא דאמרי לסוף אודי ליה דאיהו קריב טפי".</w:t>
      </w:r>
      <w:bookmarkEnd w:id="15848"/>
      <w:r>
        <w:rPr>
          <w:rFonts w:hint="cs"/>
          <w:rtl/>
        </w:rPr>
        <w:t xml:space="preserve"> </w:t>
      </w:r>
      <w:bookmarkEnd w:id="15849"/>
    </w:p>
    <w:p w:rsidR="00103C1B" w:rsidRDefault="00103C1B" w:rsidP="00103C1B">
      <w:pPr>
        <w:pStyle w:val="1"/>
        <w:rPr>
          <w:rtl/>
        </w:rPr>
      </w:pPr>
      <w:bookmarkStart w:id="15850" w:name="_Toc64629439"/>
      <w:bookmarkStart w:id="15851" w:name="_Toc64642902"/>
      <w:bookmarkStart w:id="15852" w:name="_Toc64454558"/>
      <w:bookmarkStart w:id="15853" w:name="_Toc64458649"/>
      <w:r>
        <w:rPr>
          <w:rFonts w:hint="cs"/>
          <w:rtl/>
        </w:rPr>
        <w:t>דברי הריטב"א דא"צ להביא עדים שהוא קרוב יותר</w:t>
      </w:r>
      <w:bookmarkEnd w:id="15850"/>
      <w:bookmarkEnd w:id="15851"/>
    </w:p>
    <w:p w:rsidR="00103C1B" w:rsidRPr="001465DE" w:rsidRDefault="00103C1B" w:rsidP="00103C1B">
      <w:pPr>
        <w:pStyle w:val="a3"/>
        <w:rPr>
          <w:rtl/>
        </w:rPr>
      </w:pPr>
      <w:bookmarkStart w:id="15854" w:name="_Toc64588848"/>
      <w:bookmarkStart w:id="15855" w:name="_Toc64629440"/>
      <w:bookmarkStart w:id="15856" w:name="_Toc64642903"/>
      <w:r>
        <w:rPr>
          <w:rFonts w:hint="cs"/>
          <w:rtl/>
        </w:rPr>
        <w:t>דחיית הריטב"א דא"צ להביא עדים דקרוב טפי וכל שיש לר"א עדים ההוא גברא בחזקת רחוק</w:t>
      </w:r>
      <w:bookmarkEnd w:id="15854"/>
      <w:bookmarkEnd w:id="15855"/>
      <w:bookmarkEnd w:id="15856"/>
    </w:p>
    <w:p w:rsidR="00103C1B" w:rsidRDefault="00103C1B" w:rsidP="007E4E81">
      <w:pPr>
        <w:pStyle w:val="a0"/>
        <w:rPr>
          <w:rtl/>
        </w:rPr>
      </w:pPr>
      <w:bookmarkStart w:id="15857" w:name="_Ref64454152"/>
      <w:r>
        <w:rPr>
          <w:rFonts w:hint="cs"/>
          <w:rtl/>
        </w:rPr>
        <w:t xml:space="preserve">אך </w:t>
      </w:r>
      <w:r w:rsidRPr="001206C1">
        <w:rPr>
          <w:rStyle w:val="af9"/>
          <w:rFonts w:hint="cs"/>
          <w:rtl/>
        </w:rPr>
        <w:t>הריטב"א</w:t>
      </w:r>
      <w:r>
        <w:rPr>
          <w:rFonts w:hint="cs"/>
          <w:rtl/>
        </w:rPr>
        <w:t xml:space="preserve"> </w:t>
      </w:r>
      <w:r w:rsidRPr="00450D69">
        <w:rPr>
          <w:rStyle w:val="af7"/>
          <w:rFonts w:eastAsia="Guttman Hodes" w:hint="cs"/>
          <w:rtl/>
        </w:rPr>
        <w:t>(ד"ה גירסת)</w:t>
      </w:r>
      <w:r>
        <w:rPr>
          <w:rFonts w:hint="cs"/>
          <w:rtl/>
        </w:rPr>
        <w:t xml:space="preserve"> דחה את גירסת רוב הספרים דרב אידי הביא עדים שהוא קרוב יותר,</w:t>
      </w:r>
      <w:r w:rsidRPr="005F177B">
        <w:rPr>
          <w:rStyle w:val="afb"/>
          <w:rFonts w:hint="cs"/>
          <w:rtl/>
        </w:rPr>
        <w:t xml:space="preserve"> </w:t>
      </w:r>
      <w:r w:rsidRPr="00C16594">
        <w:rPr>
          <w:rStyle w:val="afb"/>
          <w:rFonts w:hint="cs"/>
          <w:rtl/>
        </w:rPr>
        <w:t>[</w:t>
      </w:r>
      <w:r>
        <w:rPr>
          <w:rStyle w:val="afb"/>
          <w:rFonts w:hint="cs"/>
          <w:rtl/>
        </w:rPr>
        <w:t>וכד</w:t>
      </w:r>
      <w:r w:rsidRPr="00C16594">
        <w:rPr>
          <w:rStyle w:val="afb"/>
          <w:rFonts w:hint="cs"/>
          <w:rtl/>
        </w:rPr>
        <w:t xml:space="preserve">הביא </w:t>
      </w:r>
      <w:r w:rsidRPr="00C16594">
        <w:rPr>
          <w:rStyle w:val="affa"/>
          <w:rFonts w:hint="cs"/>
          <w:rtl/>
        </w:rPr>
        <w:t>הרמב"ן</w:t>
      </w:r>
      <w:r w:rsidRPr="00C16594">
        <w:rPr>
          <w:rStyle w:val="afb"/>
          <w:rFonts w:hint="cs"/>
          <w:rtl/>
        </w:rPr>
        <w:t xml:space="preserve"> </w:t>
      </w:r>
      <w:r w:rsidRPr="00C16594">
        <w:rPr>
          <w:rStyle w:val="aff6"/>
          <w:rFonts w:hint="cs"/>
          <w:rtl/>
        </w:rPr>
        <w:t xml:space="preserve">(עי' אות </w:t>
      </w:r>
      <w:r w:rsidRPr="00C16594">
        <w:rPr>
          <w:rStyle w:val="aff6"/>
          <w:rtl/>
        </w:rPr>
        <w:fldChar w:fldCharType="begin"/>
      </w:r>
      <w:r w:rsidRPr="00C16594">
        <w:rPr>
          <w:rStyle w:val="aff6"/>
          <w:rtl/>
        </w:rPr>
        <w:instrText xml:space="preserve"> </w:instrText>
      </w:r>
      <w:r w:rsidRPr="00C16594">
        <w:rPr>
          <w:rStyle w:val="aff6"/>
          <w:rFonts w:hint="cs"/>
        </w:rPr>
        <w:instrText>REF</w:instrText>
      </w:r>
      <w:r w:rsidRPr="00C16594">
        <w:rPr>
          <w:rStyle w:val="aff6"/>
          <w:rFonts w:hint="cs"/>
          <w:rtl/>
        </w:rPr>
        <w:instrText xml:space="preserve"> _</w:instrText>
      </w:r>
      <w:r w:rsidRPr="00C16594">
        <w:rPr>
          <w:rStyle w:val="aff6"/>
          <w:rFonts w:hint="cs"/>
        </w:rPr>
        <w:instrText>Ref64475351 \r \h</w:instrText>
      </w:r>
      <w:r w:rsidRPr="00C16594">
        <w:rPr>
          <w:rStyle w:val="aff6"/>
          <w:rtl/>
        </w:rPr>
        <w:instrText xml:space="preserve"> </w:instrText>
      </w:r>
      <w:r w:rsidRPr="00C16594">
        <w:rPr>
          <w:rStyle w:val="aff6"/>
          <w:rtl/>
        </w:rPr>
      </w:r>
      <w:r w:rsidRPr="00C16594">
        <w:rPr>
          <w:rStyle w:val="aff6"/>
          <w:rtl/>
        </w:rPr>
        <w:fldChar w:fldCharType="separate"/>
      </w:r>
      <w:r w:rsidR="00265073">
        <w:rPr>
          <w:rStyle w:val="aff6"/>
          <w:cs/>
        </w:rPr>
        <w:t>‎</w:t>
      </w:r>
      <w:r w:rsidR="00265073">
        <w:rPr>
          <w:rStyle w:val="aff6"/>
          <w:rtl/>
        </w:rPr>
        <w:t>נח)</w:t>
      </w:r>
      <w:r w:rsidRPr="00C16594">
        <w:rPr>
          <w:rStyle w:val="aff6"/>
          <w:rtl/>
        </w:rPr>
        <w:fldChar w:fldCharType="end"/>
      </w:r>
      <w:r w:rsidRPr="00C16594">
        <w:rPr>
          <w:rStyle w:val="afb"/>
          <w:rFonts w:hint="cs"/>
          <w:rtl/>
        </w:rPr>
        <w:t>],</w:t>
      </w:r>
      <w:r>
        <w:rPr>
          <w:rFonts w:hint="cs"/>
          <w:rtl/>
        </w:rPr>
        <w:t xml:space="preserve"> דהא ודאי שאינו צריך להביא עדים שהוא יותר קרוב, דכל שיש לרב אידי עדים שהוא קרוב, ולההוא גברא אין עדים שהוא קרוב, ממילא רב אידי הוא בחזקת יורש, וההוא גברא הוא בחזקת רחוק, </w:t>
      </w:r>
      <w:r w:rsidRPr="002A46DC">
        <w:rPr>
          <w:rStyle w:val="afb"/>
          <w:rFonts w:hint="cs"/>
          <w:rtl/>
        </w:rPr>
        <w:t xml:space="preserve">[וכ"כ </w:t>
      </w:r>
      <w:r w:rsidRPr="002A46DC">
        <w:rPr>
          <w:rStyle w:val="affa"/>
          <w:rFonts w:hint="cs"/>
          <w:rtl/>
        </w:rPr>
        <w:t>הבעה"מ</w:t>
      </w:r>
      <w:r w:rsidRPr="002A46DC">
        <w:rPr>
          <w:rStyle w:val="afb"/>
          <w:rFonts w:hint="cs"/>
          <w:rtl/>
        </w:rPr>
        <w:t xml:space="preserve"> </w:t>
      </w:r>
      <w:r w:rsidRPr="002A46DC">
        <w:rPr>
          <w:rStyle w:val="aff6"/>
          <w:rFonts w:hint="cs"/>
          <w:rtl/>
        </w:rPr>
        <w:t xml:space="preserve">(עי' אות </w:t>
      </w:r>
      <w:r w:rsidRPr="002A46DC">
        <w:rPr>
          <w:rStyle w:val="aff6"/>
          <w:rtl/>
        </w:rPr>
        <w:fldChar w:fldCharType="begin"/>
      </w:r>
      <w:r w:rsidRPr="002A46DC">
        <w:rPr>
          <w:rStyle w:val="aff6"/>
          <w:rtl/>
        </w:rPr>
        <w:instrText xml:space="preserve"> </w:instrText>
      </w:r>
      <w:r w:rsidRPr="002A46DC">
        <w:rPr>
          <w:rStyle w:val="aff6"/>
          <w:rFonts w:hint="cs"/>
        </w:rPr>
        <w:instrText>REF</w:instrText>
      </w:r>
      <w:r w:rsidRPr="002A46DC">
        <w:rPr>
          <w:rStyle w:val="aff6"/>
          <w:rFonts w:hint="cs"/>
          <w:rtl/>
        </w:rPr>
        <w:instrText xml:space="preserve"> _</w:instrText>
      </w:r>
      <w:r w:rsidRPr="002A46DC">
        <w:rPr>
          <w:rStyle w:val="aff6"/>
          <w:rFonts w:hint="cs"/>
        </w:rPr>
        <w:instrText>Ref64407298 \r \h</w:instrText>
      </w:r>
      <w:r w:rsidRPr="002A46DC">
        <w:rPr>
          <w:rStyle w:val="aff6"/>
          <w:rtl/>
        </w:rPr>
        <w:instrText xml:space="preserve"> </w:instrText>
      </w:r>
      <w:r w:rsidRPr="002A46DC">
        <w:rPr>
          <w:rStyle w:val="aff6"/>
          <w:rtl/>
        </w:rPr>
      </w:r>
      <w:r w:rsidRPr="002A46DC">
        <w:rPr>
          <w:rStyle w:val="aff6"/>
          <w:rtl/>
        </w:rPr>
        <w:fldChar w:fldCharType="separate"/>
      </w:r>
      <w:r w:rsidR="00265073">
        <w:rPr>
          <w:rStyle w:val="aff6"/>
          <w:cs/>
        </w:rPr>
        <w:t>‎</w:t>
      </w:r>
      <w:r w:rsidR="00265073">
        <w:rPr>
          <w:rStyle w:val="aff6"/>
          <w:rtl/>
        </w:rPr>
        <w:t>נב)</w:t>
      </w:r>
      <w:r w:rsidRPr="002A46DC">
        <w:rPr>
          <w:rStyle w:val="aff6"/>
          <w:rtl/>
        </w:rPr>
        <w:fldChar w:fldCharType="end"/>
      </w:r>
      <w:r w:rsidRPr="002A46DC">
        <w:rPr>
          <w:rStyle w:val="afb"/>
          <w:rFonts w:hint="cs"/>
          <w:rtl/>
        </w:rPr>
        <w:t>],</w:t>
      </w:r>
      <w:r>
        <w:rPr>
          <w:rFonts w:hint="cs"/>
          <w:rtl/>
        </w:rPr>
        <w:t xml:space="preserve"> אלא כתב </w:t>
      </w:r>
      <w:r w:rsidRPr="001206C1">
        <w:rPr>
          <w:rStyle w:val="af9"/>
          <w:rFonts w:hint="cs"/>
          <w:rtl/>
        </w:rPr>
        <w:t>הריטב"א</w:t>
      </w:r>
      <w:r>
        <w:rPr>
          <w:rFonts w:hint="cs"/>
          <w:rtl/>
        </w:rPr>
        <w:t xml:space="preserve"> דכך היה המעשה שהעדים העידו שרב אידי קרוב יותר ממנו.</w:t>
      </w:r>
      <w:bookmarkEnd w:id="15857"/>
    </w:p>
    <w:p w:rsidR="00103C1B" w:rsidRDefault="00103C1B" w:rsidP="00103C1B">
      <w:pPr>
        <w:pStyle w:val="afe"/>
      </w:pPr>
      <w:bookmarkStart w:id="15858" w:name="_Toc64549031"/>
      <w:bookmarkStart w:id="15859" w:name="_Toc64576208"/>
      <w:bookmarkStart w:id="15860" w:name="_Toc64588849"/>
      <w:bookmarkStart w:id="15861" w:name="_Toc64629441"/>
      <w:bookmarkStart w:id="15862" w:name="_Toc64642904"/>
      <w:r>
        <w:rPr>
          <w:rFonts w:hint="cs"/>
          <w:rtl/>
        </w:rPr>
        <w:t>בי' הרמב"ן דלא טען טפי ויש עדים לר"א</w:t>
      </w:r>
      <w:bookmarkEnd w:id="15852"/>
      <w:bookmarkEnd w:id="15853"/>
      <w:bookmarkEnd w:id="15858"/>
      <w:bookmarkEnd w:id="15859"/>
      <w:bookmarkEnd w:id="15860"/>
      <w:bookmarkEnd w:id="15861"/>
      <w:bookmarkEnd w:id="15862"/>
    </w:p>
    <w:p w:rsidR="00103C1B" w:rsidRDefault="00103C1B" w:rsidP="00103C1B">
      <w:pPr>
        <w:pStyle w:val="1"/>
        <w:rPr>
          <w:rtl/>
        </w:rPr>
      </w:pPr>
      <w:bookmarkStart w:id="15863" w:name="_Toc64454559"/>
      <w:bookmarkStart w:id="15864" w:name="_Toc64458650"/>
      <w:bookmarkStart w:id="15865" w:name="_Toc64549032"/>
      <w:bookmarkStart w:id="15866" w:name="_Toc64576209"/>
      <w:bookmarkStart w:id="15867" w:name="_Toc64588850"/>
      <w:bookmarkStart w:id="15868" w:name="_Toc64629442"/>
      <w:bookmarkStart w:id="15869" w:name="_Toc64642905"/>
      <w:r>
        <w:rPr>
          <w:rFonts w:hint="cs"/>
          <w:rtl/>
        </w:rPr>
        <w:t>דברי הרמב"ן</w:t>
      </w:r>
      <w:bookmarkEnd w:id="15863"/>
      <w:bookmarkEnd w:id="15864"/>
      <w:bookmarkEnd w:id="15865"/>
      <w:bookmarkEnd w:id="15866"/>
      <w:bookmarkEnd w:id="15867"/>
      <w:r>
        <w:rPr>
          <w:rFonts w:hint="cs"/>
          <w:rtl/>
        </w:rPr>
        <w:t xml:space="preserve"> דההוא גברא מסופק אי ראוי לירש במקום ר"א</w:t>
      </w:r>
      <w:bookmarkEnd w:id="15868"/>
      <w:bookmarkEnd w:id="15869"/>
    </w:p>
    <w:p w:rsidR="00103C1B" w:rsidRDefault="00103C1B" w:rsidP="00103C1B">
      <w:pPr>
        <w:pStyle w:val="a3"/>
        <w:rPr>
          <w:rtl/>
        </w:rPr>
      </w:pPr>
      <w:bookmarkStart w:id="15870" w:name="_Toc64629443"/>
      <w:bookmarkStart w:id="15871" w:name="_Toc64642906"/>
      <w:r>
        <w:rPr>
          <w:rFonts w:hint="cs"/>
          <w:rtl/>
        </w:rPr>
        <w:t xml:space="preserve">גי' הרמב"ן במסקנתו </w:t>
      </w:r>
      <w:r w:rsidRPr="00361E21">
        <w:rPr>
          <w:rtl/>
        </w:rPr>
        <w:t xml:space="preserve">דבטענת ההוא גברא </w:t>
      </w:r>
      <w:r>
        <w:rPr>
          <w:rFonts w:hint="cs"/>
          <w:rtl/>
        </w:rPr>
        <w:t>ל"ג דטען שקרוב טפי והביא ר"א עדים שהוא קרוב</w:t>
      </w:r>
      <w:bookmarkEnd w:id="15870"/>
      <w:bookmarkEnd w:id="15871"/>
    </w:p>
    <w:p w:rsidR="00103C1B" w:rsidRDefault="00103C1B" w:rsidP="007E4E81">
      <w:pPr>
        <w:pStyle w:val="a0"/>
        <w:rPr>
          <w:rtl/>
        </w:rPr>
      </w:pPr>
      <w:bookmarkStart w:id="15872" w:name="_Ref64629171"/>
      <w:bookmarkStart w:id="15873" w:name="_Ref64476038"/>
      <w:r w:rsidRPr="00C924D0">
        <w:rPr>
          <w:rFonts w:hint="cs"/>
          <w:rtl/>
        </w:rPr>
        <w:t xml:space="preserve">ובמסקנת דבריו כתב </w:t>
      </w:r>
      <w:r w:rsidRPr="00C924D0">
        <w:rPr>
          <w:rStyle w:val="af9"/>
          <w:rFonts w:hint="cs"/>
          <w:rtl/>
        </w:rPr>
        <w:t>הרמב"ן</w:t>
      </w:r>
      <w:r w:rsidRPr="005E13EE">
        <w:rPr>
          <w:rStyle w:val="af7"/>
          <w:rFonts w:eastAsia="Guttman Hodes" w:hint="cs"/>
          <w:rtl/>
        </w:rPr>
        <w:t xml:space="preserve"> (ד"ה ולי נראה) </w:t>
      </w:r>
      <w:r w:rsidRPr="00C924D0">
        <w:rPr>
          <w:rFonts w:hint="cs"/>
          <w:rtl/>
        </w:rPr>
        <w:t>דלא גרסינן דההוא גברא טען שהוא קרוב יותר, אלא דבתחילה טען רק שהוא קרוב, והביא רב אידי עדים שהוא קרוב והוא ראוי לירש את קרובו</w:t>
      </w:r>
      <w:r>
        <w:rPr>
          <w:rFonts w:hint="cs"/>
          <w:rtl/>
        </w:rPr>
        <w:t>.</w:t>
      </w:r>
      <w:bookmarkEnd w:id="15872"/>
    </w:p>
    <w:p w:rsidR="00103C1B" w:rsidRPr="000728D4" w:rsidRDefault="00103C1B" w:rsidP="00103C1B">
      <w:pPr>
        <w:pStyle w:val="a3"/>
      </w:pPr>
      <w:bookmarkStart w:id="15874" w:name="_Toc64629444"/>
      <w:bookmarkStart w:id="15875" w:name="_Toc64642907"/>
      <w:r>
        <w:rPr>
          <w:rFonts w:hint="cs"/>
          <w:rtl/>
        </w:rPr>
        <w:t>בי' הרמב"ן דהעידו דר"א וודאי יורש וההוא גברא מסופק בטענתו אם גם הוא יורש במקום ר"א</w:t>
      </w:r>
      <w:bookmarkEnd w:id="15874"/>
      <w:bookmarkEnd w:id="15875"/>
    </w:p>
    <w:p w:rsidR="00103C1B" w:rsidRDefault="00103C1B" w:rsidP="007E4E81">
      <w:pPr>
        <w:pStyle w:val="a0"/>
        <w:rPr>
          <w:rtl/>
        </w:rPr>
      </w:pPr>
      <w:bookmarkStart w:id="15876" w:name="_Ref64623234"/>
      <w:r>
        <w:rPr>
          <w:rFonts w:hint="cs"/>
          <w:rtl/>
        </w:rPr>
        <w:t>ו</w:t>
      </w:r>
      <w:r w:rsidRPr="00C924D0">
        <w:rPr>
          <w:rFonts w:hint="cs"/>
          <w:rtl/>
        </w:rPr>
        <w:t xml:space="preserve">כתב </w:t>
      </w:r>
      <w:r w:rsidRPr="00C924D0">
        <w:rPr>
          <w:rStyle w:val="af9"/>
          <w:rFonts w:hint="cs"/>
          <w:rtl/>
        </w:rPr>
        <w:t>הרמב"ן</w:t>
      </w:r>
      <w:r w:rsidRPr="005E13EE">
        <w:rPr>
          <w:rStyle w:val="af7"/>
          <w:rFonts w:eastAsia="Guttman Hodes" w:hint="cs"/>
          <w:rtl/>
        </w:rPr>
        <w:t xml:space="preserve"> </w:t>
      </w:r>
      <w:r>
        <w:rPr>
          <w:rFonts w:hint="cs"/>
          <w:rtl/>
        </w:rPr>
        <w:t xml:space="preserve">דאיירי </w:t>
      </w:r>
      <w:r w:rsidRPr="00C924D0">
        <w:rPr>
          <w:rFonts w:hint="cs"/>
          <w:rtl/>
        </w:rPr>
        <w:t>כגון שהעדים העידו שאין למת בנים</w:t>
      </w:r>
      <w:r>
        <w:rPr>
          <w:rFonts w:hint="cs"/>
          <w:rtl/>
        </w:rPr>
        <w:t>,</w:t>
      </w:r>
      <w:r w:rsidRPr="00C924D0">
        <w:rPr>
          <w:rFonts w:hint="cs"/>
          <w:rtl/>
        </w:rPr>
        <w:t xml:space="preserve"> ורב אידי הוא בן אחיו או מזרעו של אחיו, דהוא ודאי יורש, ואילו ההוא גברא לא ידע בבירור אם הוא</w:t>
      </w:r>
      <w:r>
        <w:rPr>
          <w:rFonts w:hint="cs"/>
          <w:rtl/>
        </w:rPr>
        <w:t xml:space="preserve"> ראוי לירש את המת, במקום רב אידי או דרב אידי ראוי לירש, וביאר </w:t>
      </w:r>
      <w:r w:rsidRPr="007C5F2D">
        <w:rPr>
          <w:rStyle w:val="af9"/>
          <w:rFonts w:hint="cs"/>
          <w:rtl/>
        </w:rPr>
        <w:t>הרמב"ן</w:t>
      </w:r>
      <w:r>
        <w:rPr>
          <w:rFonts w:hint="cs"/>
          <w:rtl/>
        </w:rPr>
        <w:t xml:space="preserve"> דאיירי כגון שהיו למת אחים ואחי האב, וההוא גברא לא ידע אם הוא מהבנים של אחי האב ואינו ראוי לירש במקום רב אידי כלל, או שהוא מהבנים של האחים, וא"כ אף שרב אידי הביא עדים שהוא מהבנים של האחים, עדיין ההוא גברא ראוי לירש חצי, ועי' במ"ש </w:t>
      </w:r>
      <w:r w:rsidRPr="009C60FB">
        <w:rPr>
          <w:rStyle w:val="af9"/>
          <w:rFonts w:hint="cs"/>
          <w:rtl/>
        </w:rPr>
        <w:t>הקצוה"ח</w:t>
      </w:r>
      <w:r>
        <w:rPr>
          <w:rFonts w:hint="cs"/>
          <w:rtl/>
        </w:rPr>
        <w:t xml:space="preserve"> </w:t>
      </w:r>
      <w:r w:rsidRPr="009C60FB">
        <w:rPr>
          <w:rStyle w:val="af7"/>
          <w:rFonts w:eastAsia="Guttman Hodes" w:hint="cs"/>
          <w:rtl/>
        </w:rPr>
        <w:t xml:space="preserve">(עי' אות </w:t>
      </w:r>
      <w:r w:rsidRPr="009C60FB">
        <w:rPr>
          <w:rStyle w:val="af7"/>
          <w:rFonts w:eastAsia="Guttman Hodes"/>
          <w:rtl/>
        </w:rPr>
        <w:fldChar w:fldCharType="begin"/>
      </w:r>
      <w:r w:rsidRPr="009C60FB">
        <w:rPr>
          <w:rStyle w:val="af7"/>
          <w:rFonts w:eastAsia="Guttman Hodes"/>
          <w:rtl/>
        </w:rPr>
        <w:instrText xml:space="preserve"> </w:instrText>
      </w:r>
      <w:r w:rsidRPr="009C60FB">
        <w:rPr>
          <w:rStyle w:val="af7"/>
          <w:rFonts w:eastAsia="Guttman Hodes" w:hint="cs"/>
        </w:rPr>
        <w:instrText>REF</w:instrText>
      </w:r>
      <w:r w:rsidRPr="009C60FB">
        <w:rPr>
          <w:rStyle w:val="af7"/>
          <w:rFonts w:eastAsia="Guttman Hodes" w:hint="cs"/>
          <w:rtl/>
        </w:rPr>
        <w:instrText xml:space="preserve"> _</w:instrText>
      </w:r>
      <w:r w:rsidRPr="009C60FB">
        <w:rPr>
          <w:rStyle w:val="af7"/>
          <w:rFonts w:eastAsia="Guttman Hodes" w:hint="cs"/>
        </w:rPr>
        <w:instrText>Ref64490523 \r \h</w:instrText>
      </w:r>
      <w:r w:rsidRPr="009C60FB">
        <w:rPr>
          <w:rStyle w:val="af7"/>
          <w:rFonts w:eastAsia="Guttman Hodes"/>
          <w:rtl/>
        </w:rPr>
        <w:instrText xml:space="preserve"> </w:instrText>
      </w:r>
      <w:r w:rsidRPr="009C60FB">
        <w:rPr>
          <w:rStyle w:val="af7"/>
          <w:rFonts w:eastAsia="Guttman Hodes"/>
          <w:rtl/>
        </w:rPr>
      </w:r>
      <w:r w:rsidRPr="009C60FB">
        <w:rPr>
          <w:rStyle w:val="af7"/>
          <w:rFonts w:eastAsia="Guttman Hodes"/>
          <w:rtl/>
        </w:rPr>
        <w:fldChar w:fldCharType="separate"/>
      </w:r>
      <w:r w:rsidR="00265073">
        <w:rPr>
          <w:rStyle w:val="af7"/>
          <w:rFonts w:eastAsia="Guttman Hodes"/>
          <w:cs/>
        </w:rPr>
        <w:t>‎</w:t>
      </w:r>
      <w:r w:rsidR="00265073">
        <w:rPr>
          <w:rStyle w:val="af7"/>
          <w:rFonts w:eastAsia="Guttman Hodes"/>
          <w:rtl/>
        </w:rPr>
        <w:t>כט)</w:t>
      </w:r>
      <w:r w:rsidRPr="009C60FB">
        <w:rPr>
          <w:rStyle w:val="af7"/>
          <w:rFonts w:eastAsia="Guttman Hodes"/>
          <w:rtl/>
        </w:rPr>
        <w:fldChar w:fldCharType="end"/>
      </w:r>
      <w:r>
        <w:rPr>
          <w:rFonts w:hint="cs"/>
          <w:rtl/>
        </w:rPr>
        <w:t xml:space="preserve"> בדעת </w:t>
      </w:r>
      <w:r w:rsidRPr="009C60FB">
        <w:rPr>
          <w:rStyle w:val="af9"/>
          <w:rFonts w:hint="cs"/>
          <w:rtl/>
        </w:rPr>
        <w:t>הראב"ד</w:t>
      </w:r>
      <w:r>
        <w:rPr>
          <w:rFonts w:hint="cs"/>
          <w:rtl/>
        </w:rPr>
        <w:t>.</w:t>
      </w:r>
      <w:bookmarkEnd w:id="15873"/>
      <w:bookmarkEnd w:id="15876"/>
    </w:p>
    <w:p w:rsidR="00103C1B" w:rsidRDefault="00103C1B" w:rsidP="00103C1B">
      <w:pPr>
        <w:pStyle w:val="1"/>
      </w:pPr>
      <w:bookmarkStart w:id="15877" w:name="_Toc64629445"/>
      <w:bookmarkStart w:id="15878" w:name="_Toc64642908"/>
      <w:r>
        <w:rPr>
          <w:rFonts w:hint="cs"/>
          <w:rtl/>
        </w:rPr>
        <w:t>בי' הרמב"ן ברב חסדא דיש מיגו על הפירות וא"א להוציא ממנו</w:t>
      </w:r>
      <w:bookmarkEnd w:id="15877"/>
      <w:bookmarkEnd w:id="15878"/>
    </w:p>
    <w:p w:rsidR="00103C1B" w:rsidRDefault="00103C1B" w:rsidP="00103C1B">
      <w:pPr>
        <w:pStyle w:val="a3"/>
      </w:pPr>
      <w:bookmarkStart w:id="15879" w:name="_Toc64629446"/>
      <w:bookmarkStart w:id="15880" w:name="_Toc64642909"/>
      <w:r>
        <w:rPr>
          <w:rFonts w:hint="cs"/>
          <w:rtl/>
        </w:rPr>
        <w:t>ביאור הרמב"ן ברב חסדא דאין עדים על אכילת הפירות ונאמן לטעון דהוא קרוב ואכל חלקו</w:t>
      </w:r>
      <w:bookmarkEnd w:id="15879"/>
      <w:bookmarkEnd w:id="15880"/>
    </w:p>
    <w:p w:rsidR="00103C1B" w:rsidRDefault="00103C1B" w:rsidP="007E4E81">
      <w:pPr>
        <w:pStyle w:val="a0"/>
        <w:rPr>
          <w:rtl/>
        </w:rPr>
      </w:pPr>
      <w:r>
        <w:rPr>
          <w:rFonts w:hint="cs"/>
          <w:rtl/>
        </w:rPr>
        <w:t xml:space="preserve">וכתב </w:t>
      </w:r>
      <w:r w:rsidRPr="006E1B90">
        <w:rPr>
          <w:rStyle w:val="af9"/>
          <w:rFonts w:hint="cs"/>
          <w:rtl/>
        </w:rPr>
        <w:t>הרמב"ן</w:t>
      </w:r>
      <w:r>
        <w:rPr>
          <w:rFonts w:hint="cs"/>
          <w:rtl/>
        </w:rPr>
        <w:t xml:space="preserve"> </w:t>
      </w:r>
      <w:r w:rsidRPr="005E13EE">
        <w:rPr>
          <w:rStyle w:val="af7"/>
          <w:rFonts w:eastAsia="Guttman Hodes" w:hint="cs"/>
          <w:rtl/>
        </w:rPr>
        <w:t xml:space="preserve">(ד"ה ולי נראה) </w:t>
      </w:r>
      <w:r>
        <w:rPr>
          <w:rFonts w:hint="cs"/>
          <w:rtl/>
        </w:rPr>
        <w:t>דרב חסדא סבר דכיון שאין עדים שאכל את הפירות, א"כ לענין הפירות הוא נאמן לטעון שהוא קרוב של המת, וכיון שהוא נאמן לטעון כן, ויש ספק אם הוא ראוי לירש במקום רב אידי, א"כ אין מוציאין ממנו את מה שקדם ואכל, כיון שיתכן שהוא קרוב כמו רב אידי, והוא אכל את החלק שלו.</w:t>
      </w:r>
    </w:p>
    <w:p w:rsidR="00103C1B" w:rsidRPr="00EC0F62" w:rsidRDefault="00103C1B" w:rsidP="00103C1B">
      <w:pPr>
        <w:pStyle w:val="1"/>
        <w:rPr>
          <w:rtl/>
        </w:rPr>
      </w:pPr>
      <w:bookmarkStart w:id="15881" w:name="_Toc64629447"/>
      <w:bookmarkStart w:id="15882" w:name="_Toc64642910"/>
      <w:r>
        <w:rPr>
          <w:rFonts w:hint="cs"/>
          <w:rtl/>
        </w:rPr>
        <w:t>בי' הרמב"ן באביי ורבא דאין ספק מוציא מידי ודאי ול"מ מיגו</w:t>
      </w:r>
      <w:bookmarkEnd w:id="15881"/>
      <w:bookmarkEnd w:id="15882"/>
    </w:p>
    <w:p w:rsidR="00103C1B" w:rsidRPr="000E5103" w:rsidRDefault="00103C1B" w:rsidP="00103C1B">
      <w:pPr>
        <w:pStyle w:val="a3"/>
      </w:pPr>
      <w:bookmarkStart w:id="15883" w:name="_Toc64629448"/>
      <w:bookmarkStart w:id="15884" w:name="_Toc64642911"/>
      <w:r>
        <w:rPr>
          <w:rFonts w:hint="cs"/>
          <w:rtl/>
        </w:rPr>
        <w:t>ביאור הרמב"ן באביי ורבא דר"א ודאי יורש וההוא גברא ספק ול"מ מיגו לספק להוציא מודאי</w:t>
      </w:r>
      <w:bookmarkEnd w:id="15883"/>
      <w:bookmarkEnd w:id="15884"/>
    </w:p>
    <w:p w:rsidR="00103C1B" w:rsidRDefault="00103C1B" w:rsidP="007E4E81">
      <w:pPr>
        <w:pStyle w:val="a0"/>
        <w:rPr>
          <w:rtl/>
        </w:rPr>
      </w:pPr>
      <w:bookmarkStart w:id="15885" w:name="_Ref64625553"/>
      <w:r>
        <w:rPr>
          <w:rFonts w:hint="cs"/>
          <w:rtl/>
        </w:rPr>
        <w:t xml:space="preserve">ובדעת אביי ורבא ביאר </w:t>
      </w:r>
      <w:r w:rsidRPr="000E5103">
        <w:rPr>
          <w:rStyle w:val="af9"/>
          <w:rFonts w:hint="cs"/>
          <w:rtl/>
        </w:rPr>
        <w:t>הרמב"ן</w:t>
      </w:r>
      <w:r>
        <w:rPr>
          <w:rFonts w:hint="cs"/>
          <w:rtl/>
        </w:rPr>
        <w:t xml:space="preserve"> </w:t>
      </w:r>
      <w:r w:rsidRPr="005E13EE">
        <w:rPr>
          <w:rStyle w:val="af7"/>
          <w:rFonts w:eastAsia="Guttman Hodes" w:hint="cs"/>
          <w:rtl/>
        </w:rPr>
        <w:t xml:space="preserve">(ד"ה ולי נראה) </w:t>
      </w:r>
      <w:r>
        <w:rPr>
          <w:rFonts w:hint="cs"/>
          <w:rtl/>
        </w:rPr>
        <w:t>דס"ל דכיון דרב אידי ודאי ראוי לירש, וההוא גברא טוען שהוא ספק ראוי לירש, א"כ אין ספק מוציא מידי ודאי, ואף שקדם ואכל מוציאין ממנו, ואף שיש לו מיגו, מ"מ אינו נאמן במיגו בטענת ספק להוציא ממון ממי שטוען טענת ודאי.</w:t>
      </w:r>
      <w:bookmarkEnd w:id="15885"/>
    </w:p>
    <w:p w:rsidR="00103C1B" w:rsidRDefault="00103C1B" w:rsidP="00103C1B">
      <w:pPr>
        <w:pStyle w:val="a3"/>
        <w:rPr>
          <w:rtl/>
        </w:rPr>
      </w:pPr>
      <w:bookmarkStart w:id="15886" w:name="_Toc64629449"/>
      <w:bookmarkStart w:id="15887" w:name="_Toc64642912"/>
      <w:r>
        <w:rPr>
          <w:rFonts w:hint="cs"/>
          <w:rtl/>
        </w:rPr>
        <w:t>דברי הרמב"ן דדמי לספק ויבם דהיבם חשיב כודאי ואין הספק מוציא ממנו וה"ה ר"א חשיב ודאי</w:t>
      </w:r>
      <w:bookmarkEnd w:id="15886"/>
      <w:bookmarkEnd w:id="15887"/>
    </w:p>
    <w:p w:rsidR="00103C1B" w:rsidRPr="00D560E3" w:rsidRDefault="00103C1B" w:rsidP="007E4E81">
      <w:pPr>
        <w:pStyle w:val="a0"/>
        <w:rPr>
          <w:rtl/>
        </w:rPr>
      </w:pPr>
      <w:bookmarkStart w:id="15888" w:name="_Ref64476085"/>
      <w:r>
        <w:rPr>
          <w:rFonts w:hint="cs"/>
          <w:rtl/>
        </w:rPr>
        <w:t xml:space="preserve">וכתב </w:t>
      </w:r>
      <w:r w:rsidRPr="006E1B90">
        <w:rPr>
          <w:rStyle w:val="af9"/>
          <w:rFonts w:hint="cs"/>
          <w:rtl/>
        </w:rPr>
        <w:t>הרמב"ן</w:t>
      </w:r>
      <w:r>
        <w:rPr>
          <w:rFonts w:hint="cs"/>
          <w:rtl/>
        </w:rPr>
        <w:t xml:space="preserve"> דדמי להא דאיתא ביבמות </w:t>
      </w:r>
      <w:r w:rsidRPr="00992F0E">
        <w:rPr>
          <w:rStyle w:val="af7"/>
          <w:rFonts w:eastAsia="Guttman Hodes" w:hint="cs"/>
          <w:rtl/>
        </w:rPr>
        <w:t>(לח.)</w:t>
      </w:r>
      <w:r>
        <w:rPr>
          <w:rFonts w:hint="cs"/>
          <w:rtl/>
        </w:rPr>
        <w:t xml:space="preserve"> דספק ויבם שבוא לחלוק בנכסי סבא, </w:t>
      </w:r>
      <w:r w:rsidRPr="00E12372">
        <w:rPr>
          <w:rStyle w:val="afb"/>
          <w:rFonts w:hint="cs"/>
          <w:rtl/>
        </w:rPr>
        <w:t xml:space="preserve">[דהתייבמה היבמה בתוך ג' חודשים וילדה לסוף ז', ולא ידוע </w:t>
      </w:r>
      <w:r w:rsidRPr="00E12372">
        <w:rPr>
          <w:rStyle w:val="afb"/>
          <w:rFonts w:hint="cs"/>
          <w:rtl/>
        </w:rPr>
        <w:lastRenderedPageBreak/>
        <w:t>אם הוא בן של המת, או בן של המיבם, ואח"כ מת הסבא שהוא אבי המת והמייבם, דהספק הוא ספק בן בנו מכח המת ויורש, או בן בנו מכח המייבם ואינו יורש],</w:t>
      </w:r>
      <w:r>
        <w:rPr>
          <w:rFonts w:hint="cs"/>
          <w:rtl/>
        </w:rPr>
        <w:t xml:space="preserve"> דהיבם נחשב לודאי, והספק נחשב לספק, ואמרינן דאין ספק מוציא מידי ודאי, וה"ה הכא דרב אידי נחשב לודאי, ועי' במ"ש </w:t>
      </w:r>
      <w:r w:rsidRPr="002A46DC">
        <w:rPr>
          <w:rStyle w:val="af9"/>
          <w:rFonts w:hint="cs"/>
          <w:rtl/>
        </w:rPr>
        <w:t>הרשב"א</w:t>
      </w:r>
      <w:r>
        <w:rPr>
          <w:rFonts w:hint="cs"/>
          <w:rtl/>
        </w:rPr>
        <w:t xml:space="preserve"> </w:t>
      </w:r>
      <w:r w:rsidRPr="006945BF">
        <w:rPr>
          <w:rStyle w:val="af7"/>
          <w:rFonts w:eastAsia="Guttman Hodes"/>
          <w:rtl/>
        </w:rPr>
        <w:t xml:space="preserve">(עי' אות </w:t>
      </w:r>
      <w:r w:rsidRPr="006945BF">
        <w:rPr>
          <w:rStyle w:val="af7"/>
          <w:rFonts w:eastAsia="Guttman Hodes"/>
          <w:rtl/>
        </w:rPr>
        <w:fldChar w:fldCharType="begin"/>
      </w:r>
      <w:r w:rsidRPr="006945BF">
        <w:rPr>
          <w:rStyle w:val="af7"/>
          <w:rFonts w:eastAsia="Guttman Hodes"/>
          <w:rtl/>
        </w:rPr>
        <w:instrText xml:space="preserve"> </w:instrText>
      </w:r>
      <w:r w:rsidRPr="006945BF">
        <w:rPr>
          <w:rStyle w:val="af7"/>
          <w:rFonts w:eastAsia="Guttman Hodes"/>
        </w:rPr>
        <w:instrText>REF</w:instrText>
      </w:r>
      <w:r w:rsidRPr="006945BF">
        <w:rPr>
          <w:rStyle w:val="af7"/>
          <w:rFonts w:eastAsia="Guttman Hodes"/>
          <w:rtl/>
        </w:rPr>
        <w:instrText xml:space="preserve"> _</w:instrText>
      </w:r>
      <w:r w:rsidRPr="006945BF">
        <w:rPr>
          <w:rStyle w:val="af7"/>
          <w:rFonts w:eastAsia="Guttman Hodes"/>
        </w:rPr>
        <w:instrText>Ref64579039 \r \h</w:instrText>
      </w:r>
      <w:r w:rsidRPr="006945BF">
        <w:rPr>
          <w:rStyle w:val="af7"/>
          <w:rFonts w:eastAsia="Guttman Hodes"/>
          <w:rtl/>
        </w:rPr>
        <w:instrText xml:space="preserve"> </w:instrText>
      </w:r>
      <w:r w:rsidRPr="006945BF">
        <w:rPr>
          <w:rStyle w:val="af7"/>
          <w:rFonts w:eastAsia="Guttman Hodes"/>
          <w:rtl/>
        </w:rPr>
      </w:r>
      <w:r w:rsidRPr="006945BF">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6945BF">
        <w:rPr>
          <w:rStyle w:val="af7"/>
          <w:rFonts w:eastAsia="Guttman Hodes"/>
          <w:rtl/>
        </w:rPr>
        <w:fldChar w:fldCharType="end"/>
      </w:r>
      <w:r>
        <w:rPr>
          <w:rFonts w:hint="cs"/>
          <w:rtl/>
        </w:rPr>
        <w:t xml:space="preserve"> </w:t>
      </w:r>
      <w:r w:rsidRPr="002A46DC">
        <w:rPr>
          <w:rStyle w:val="af9"/>
          <w:rFonts w:hint="cs"/>
          <w:rtl/>
        </w:rPr>
        <w:t>והריטב"א</w:t>
      </w:r>
      <w:r>
        <w:rPr>
          <w:rFonts w:hint="cs"/>
          <w:rtl/>
        </w:rPr>
        <w:t xml:space="preserve"> </w:t>
      </w:r>
      <w:r w:rsidRPr="006945BF">
        <w:rPr>
          <w:rStyle w:val="af7"/>
          <w:rFonts w:eastAsia="Guttman Hodes"/>
          <w:rtl/>
        </w:rPr>
        <w:t xml:space="preserve">(עי' אות </w:t>
      </w:r>
      <w:r w:rsidRPr="006945BF">
        <w:rPr>
          <w:rStyle w:val="af7"/>
          <w:rFonts w:eastAsia="Guttman Hodes"/>
          <w:rtl/>
        </w:rPr>
        <w:fldChar w:fldCharType="begin"/>
      </w:r>
      <w:r w:rsidRPr="006945BF">
        <w:rPr>
          <w:rStyle w:val="af7"/>
          <w:rFonts w:eastAsia="Guttman Hodes"/>
          <w:rtl/>
        </w:rPr>
        <w:instrText xml:space="preserve"> </w:instrText>
      </w:r>
      <w:r w:rsidRPr="006945BF">
        <w:rPr>
          <w:rStyle w:val="af7"/>
          <w:rFonts w:eastAsia="Guttman Hodes"/>
        </w:rPr>
        <w:instrText>REF</w:instrText>
      </w:r>
      <w:r w:rsidRPr="006945BF">
        <w:rPr>
          <w:rStyle w:val="af7"/>
          <w:rFonts w:eastAsia="Guttman Hodes"/>
          <w:rtl/>
        </w:rPr>
        <w:instrText xml:space="preserve"> _</w:instrText>
      </w:r>
      <w:r w:rsidRPr="006945BF">
        <w:rPr>
          <w:rStyle w:val="af7"/>
          <w:rFonts w:eastAsia="Guttman Hodes"/>
        </w:rPr>
        <w:instrText>Ref64579070 \r \h</w:instrText>
      </w:r>
      <w:r w:rsidRPr="006945BF">
        <w:rPr>
          <w:rStyle w:val="af7"/>
          <w:rFonts w:eastAsia="Guttman Hodes"/>
          <w:rtl/>
        </w:rPr>
        <w:instrText xml:space="preserve"> </w:instrText>
      </w:r>
      <w:r w:rsidRPr="006945BF">
        <w:rPr>
          <w:rStyle w:val="af7"/>
          <w:rFonts w:eastAsia="Guttman Hodes"/>
          <w:rtl/>
        </w:rPr>
      </w:r>
      <w:r w:rsidRPr="006945BF">
        <w:rPr>
          <w:rStyle w:val="af7"/>
          <w:rFonts w:eastAsia="Guttman Hodes"/>
          <w:rtl/>
        </w:rPr>
        <w:fldChar w:fldCharType="separate"/>
      </w:r>
      <w:r w:rsidR="00265073">
        <w:rPr>
          <w:rStyle w:val="af7"/>
          <w:rFonts w:eastAsia="Guttman Hodes"/>
          <w:cs/>
        </w:rPr>
        <w:t>‎</w:t>
      </w:r>
      <w:r w:rsidR="00265073">
        <w:rPr>
          <w:rStyle w:val="af7"/>
          <w:rFonts w:eastAsia="Guttman Hodes"/>
          <w:rtl/>
        </w:rPr>
        <w:t>לא)</w:t>
      </w:r>
      <w:r w:rsidRPr="006945BF">
        <w:rPr>
          <w:rStyle w:val="af7"/>
          <w:rFonts w:eastAsia="Guttman Hodes"/>
          <w:rtl/>
        </w:rPr>
        <w:fldChar w:fldCharType="end"/>
      </w:r>
      <w:bookmarkEnd w:id="15888"/>
      <w:r>
        <w:rPr>
          <w:rFonts w:hint="cs"/>
          <w:rtl/>
        </w:rPr>
        <w:t>.</w:t>
      </w:r>
    </w:p>
    <w:p w:rsidR="00103C1B" w:rsidRPr="006945BF" w:rsidRDefault="00103C1B" w:rsidP="00103C1B">
      <w:pPr>
        <w:pStyle w:val="a3"/>
      </w:pPr>
      <w:bookmarkStart w:id="15889" w:name="_Toc64629450"/>
      <w:bookmarkStart w:id="15890" w:name="_Toc64642913"/>
      <w:r>
        <w:rPr>
          <w:rFonts w:hint="cs"/>
          <w:rtl/>
        </w:rPr>
        <w:t>ביאור החת"ס ברמב"ן דאף ר"א עצמו היה מסופק אי ההוא גברא יורש כמוהו או שאינו יורש</w:t>
      </w:r>
      <w:bookmarkEnd w:id="15889"/>
      <w:bookmarkEnd w:id="15890"/>
    </w:p>
    <w:p w:rsidR="00103C1B" w:rsidRDefault="00103C1B" w:rsidP="007E4E81">
      <w:pPr>
        <w:pStyle w:val="a0"/>
        <w:rPr>
          <w:rtl/>
        </w:rPr>
      </w:pPr>
      <w:r>
        <w:rPr>
          <w:rFonts w:hint="cs"/>
          <w:rtl/>
        </w:rPr>
        <w:t xml:space="preserve">וכתב </w:t>
      </w:r>
      <w:r w:rsidRPr="00FC4C6C">
        <w:rPr>
          <w:rStyle w:val="af9"/>
          <w:rFonts w:hint="cs"/>
          <w:rtl/>
        </w:rPr>
        <w:t>החת"ס</w:t>
      </w:r>
      <w:r>
        <w:rPr>
          <w:rFonts w:hint="cs"/>
          <w:rtl/>
        </w:rPr>
        <w:t xml:space="preserve"> </w:t>
      </w:r>
      <w:r w:rsidRPr="00852381">
        <w:rPr>
          <w:rStyle w:val="af7"/>
          <w:rFonts w:eastAsia="Guttman Hodes" w:hint="cs"/>
          <w:rtl/>
        </w:rPr>
        <w:t>(ד"ה ועיי')</w:t>
      </w:r>
      <w:r>
        <w:rPr>
          <w:rFonts w:hint="cs"/>
          <w:rtl/>
        </w:rPr>
        <w:t xml:space="preserve"> דביאור </w:t>
      </w:r>
      <w:r w:rsidRPr="00FC4C6C">
        <w:rPr>
          <w:rStyle w:val="af9"/>
          <w:rFonts w:hint="cs"/>
          <w:rtl/>
        </w:rPr>
        <w:t>הרמב"ן</w:t>
      </w:r>
      <w:r>
        <w:rPr>
          <w:rFonts w:hint="cs"/>
          <w:rtl/>
        </w:rPr>
        <w:t xml:space="preserve"> </w:t>
      </w:r>
      <w:r w:rsidRPr="00852381">
        <w:rPr>
          <w:rStyle w:val="af7"/>
          <w:rFonts w:eastAsia="Guttman Hodes" w:hint="cs"/>
          <w:rtl/>
        </w:rPr>
        <w:t xml:space="preserve">(עי' אות </w:t>
      </w:r>
      <w:r w:rsidRPr="00852381">
        <w:rPr>
          <w:rStyle w:val="af7"/>
          <w:rFonts w:eastAsia="Guttman Hodes"/>
          <w:rtl/>
        </w:rPr>
        <w:fldChar w:fldCharType="begin"/>
      </w:r>
      <w:r w:rsidRPr="00852381">
        <w:rPr>
          <w:rStyle w:val="af7"/>
          <w:rFonts w:eastAsia="Guttman Hodes"/>
          <w:rtl/>
        </w:rPr>
        <w:instrText xml:space="preserve"> </w:instrText>
      </w:r>
      <w:r w:rsidRPr="00852381">
        <w:rPr>
          <w:rStyle w:val="af7"/>
          <w:rFonts w:eastAsia="Guttman Hodes" w:hint="cs"/>
        </w:rPr>
        <w:instrText>REF</w:instrText>
      </w:r>
      <w:r w:rsidRPr="00852381">
        <w:rPr>
          <w:rStyle w:val="af7"/>
          <w:rFonts w:eastAsia="Guttman Hodes" w:hint="cs"/>
          <w:rtl/>
        </w:rPr>
        <w:instrText xml:space="preserve"> _</w:instrText>
      </w:r>
      <w:r w:rsidRPr="00852381">
        <w:rPr>
          <w:rStyle w:val="af7"/>
          <w:rFonts w:eastAsia="Guttman Hodes" w:hint="cs"/>
        </w:rPr>
        <w:instrText>Ref64476038 \r \h</w:instrText>
      </w:r>
      <w:r w:rsidRPr="00852381">
        <w:rPr>
          <w:rStyle w:val="af7"/>
          <w:rFonts w:eastAsia="Guttman Hodes"/>
          <w:rtl/>
        </w:rPr>
        <w:instrText xml:space="preserve"> </w:instrText>
      </w:r>
      <w:r w:rsidRPr="00852381">
        <w:rPr>
          <w:rStyle w:val="af7"/>
          <w:rFonts w:eastAsia="Guttman Hodes"/>
          <w:rtl/>
        </w:rPr>
      </w:r>
      <w:r w:rsidRPr="00852381">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852381">
        <w:rPr>
          <w:rStyle w:val="af7"/>
          <w:rFonts w:eastAsia="Guttman Hodes"/>
          <w:rtl/>
        </w:rPr>
        <w:fldChar w:fldCharType="end"/>
      </w:r>
      <w:r>
        <w:rPr>
          <w:rFonts w:hint="cs"/>
          <w:rtl/>
        </w:rPr>
        <w:t xml:space="preserve"> אינו כביאור </w:t>
      </w:r>
      <w:r w:rsidRPr="00852381">
        <w:rPr>
          <w:rStyle w:val="af9"/>
          <w:rFonts w:hint="cs"/>
          <w:rtl/>
        </w:rPr>
        <w:t>ר"ח</w:t>
      </w:r>
      <w:r>
        <w:rPr>
          <w:rFonts w:hint="cs"/>
          <w:rtl/>
        </w:rPr>
        <w:t xml:space="preserve"> </w:t>
      </w:r>
      <w:r w:rsidRPr="00852381">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Ref64620992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מט)</w:t>
      </w:r>
      <w:r>
        <w:rPr>
          <w:rStyle w:val="af7"/>
          <w:rFonts w:eastAsia="Guttman Hodes"/>
          <w:rtl/>
        </w:rPr>
        <w:fldChar w:fldCharType="end"/>
      </w:r>
      <w:r>
        <w:rPr>
          <w:rFonts w:hint="cs"/>
          <w:rtl/>
        </w:rPr>
        <w:t xml:space="preserve">, דס"ל </w:t>
      </w:r>
      <w:r w:rsidRPr="00FC4C6C">
        <w:rPr>
          <w:rStyle w:val="af9"/>
          <w:rFonts w:hint="cs"/>
          <w:rtl/>
        </w:rPr>
        <w:t>להרמב"ן</w:t>
      </w:r>
      <w:r>
        <w:rPr>
          <w:rFonts w:hint="cs"/>
          <w:rtl/>
        </w:rPr>
        <w:t xml:space="preserve"> דרב אידי היה ודאי בן אחיו של המת, וההוא גברא היה ספק אם בן אחי אביו של המת, ואינו יורש כלל במקום רב אידי, או שהוא ספק בן אחי המת, וצריך לחלוק עם רב אידי, ואף רב אידי עצמו היה מסופק מהי הקירבה של ההוא גברא, אלא דרב אידי ודאי יורש</w:t>
      </w:r>
      <w:r w:rsidRPr="00922042">
        <w:rPr>
          <w:rFonts w:hint="cs"/>
          <w:rtl/>
        </w:rPr>
        <w:t xml:space="preserve"> </w:t>
      </w:r>
      <w:r>
        <w:rPr>
          <w:rFonts w:hint="cs"/>
          <w:rtl/>
        </w:rPr>
        <w:t xml:space="preserve">חצי, וההוא גברא ספק אם הוא יורש או שאינו יורש כלל, וכתב </w:t>
      </w:r>
      <w:r w:rsidRPr="00FB3CCC">
        <w:rPr>
          <w:rStyle w:val="af9"/>
          <w:rFonts w:hint="cs"/>
          <w:rtl/>
        </w:rPr>
        <w:t>החת"ס</w:t>
      </w:r>
      <w:r>
        <w:rPr>
          <w:rFonts w:hint="cs"/>
          <w:rtl/>
        </w:rPr>
        <w:t xml:space="preserve"> דלכן ביאר </w:t>
      </w:r>
      <w:r w:rsidRPr="00FB3CCC">
        <w:rPr>
          <w:rStyle w:val="af9"/>
          <w:rFonts w:hint="cs"/>
          <w:rtl/>
        </w:rPr>
        <w:t>הרמב"ן</w:t>
      </w:r>
      <w:r w:rsidRPr="00EE49E4">
        <w:rPr>
          <w:rStyle w:val="af7"/>
          <w:rFonts w:eastAsia="Guttman Hodes" w:hint="cs"/>
          <w:rtl/>
        </w:rPr>
        <w:t xml:space="preserve"> (עי' אות </w:t>
      </w:r>
      <w:r w:rsidRPr="00EE49E4">
        <w:rPr>
          <w:rStyle w:val="af7"/>
          <w:rFonts w:eastAsia="Guttman Hodes"/>
          <w:rtl/>
        </w:rPr>
        <w:fldChar w:fldCharType="begin"/>
      </w:r>
      <w:r w:rsidRPr="00EE49E4">
        <w:rPr>
          <w:rStyle w:val="af7"/>
          <w:rFonts w:eastAsia="Guttman Hodes"/>
          <w:rtl/>
        </w:rPr>
        <w:instrText xml:space="preserve"> </w:instrText>
      </w:r>
      <w:r w:rsidRPr="00EE49E4">
        <w:rPr>
          <w:rStyle w:val="af7"/>
          <w:rFonts w:eastAsia="Guttman Hodes" w:hint="cs"/>
        </w:rPr>
        <w:instrText>REF</w:instrText>
      </w:r>
      <w:r w:rsidRPr="00EE49E4">
        <w:rPr>
          <w:rStyle w:val="af7"/>
          <w:rFonts w:eastAsia="Guttman Hodes" w:hint="cs"/>
          <w:rtl/>
        </w:rPr>
        <w:instrText xml:space="preserve"> _</w:instrText>
      </w:r>
      <w:r w:rsidRPr="00EE49E4">
        <w:rPr>
          <w:rStyle w:val="af7"/>
          <w:rFonts w:eastAsia="Guttman Hodes" w:hint="cs"/>
        </w:rPr>
        <w:instrText>Ref64476085 \r \h</w:instrText>
      </w:r>
      <w:r w:rsidRPr="00EE49E4">
        <w:rPr>
          <w:rStyle w:val="af7"/>
          <w:rFonts w:eastAsia="Guttman Hodes"/>
          <w:rtl/>
        </w:rPr>
        <w:instrText xml:space="preserve">  \* </w:instrText>
      </w:r>
      <w:r w:rsidRPr="00EE49E4">
        <w:rPr>
          <w:rStyle w:val="af7"/>
          <w:rFonts w:eastAsia="Guttman Hodes"/>
        </w:rPr>
        <w:instrText>MERGEFORMAT</w:instrText>
      </w:r>
      <w:r w:rsidRPr="00EE49E4">
        <w:rPr>
          <w:rStyle w:val="af7"/>
          <w:rFonts w:eastAsia="Guttman Hodes"/>
          <w:rtl/>
        </w:rPr>
        <w:instrText xml:space="preserve"> </w:instrText>
      </w:r>
      <w:r w:rsidRPr="00EE49E4">
        <w:rPr>
          <w:rStyle w:val="af7"/>
          <w:rFonts w:eastAsia="Guttman Hodes"/>
          <w:rtl/>
        </w:rPr>
      </w:r>
      <w:r w:rsidRPr="00EE49E4">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EE49E4">
        <w:rPr>
          <w:rStyle w:val="af7"/>
          <w:rFonts w:eastAsia="Guttman Hodes"/>
          <w:rtl/>
        </w:rPr>
        <w:fldChar w:fldCharType="end"/>
      </w:r>
      <w:r w:rsidRPr="00EE49E4">
        <w:rPr>
          <w:rStyle w:val="af7"/>
          <w:rFonts w:eastAsia="Guttman Hodes" w:hint="cs"/>
          <w:rtl/>
        </w:rPr>
        <w:t xml:space="preserve"> </w:t>
      </w:r>
      <w:r>
        <w:rPr>
          <w:rFonts w:hint="cs"/>
          <w:rtl/>
        </w:rPr>
        <w:t xml:space="preserve">דרב חסדא העמיד את הדקל בידי רב אידי, כדין ספק ויבם, וציין </w:t>
      </w:r>
      <w:r w:rsidRPr="00213738">
        <w:rPr>
          <w:rStyle w:val="af9"/>
          <w:rFonts w:hint="cs"/>
          <w:rtl/>
        </w:rPr>
        <w:t>החת"ס</w:t>
      </w:r>
      <w:r>
        <w:rPr>
          <w:rFonts w:hint="cs"/>
          <w:rtl/>
        </w:rPr>
        <w:t xml:space="preserve"> לדברי </w:t>
      </w:r>
      <w:r w:rsidRPr="00651515">
        <w:rPr>
          <w:rStyle w:val="af9"/>
          <w:rFonts w:hint="cs"/>
          <w:rtl/>
        </w:rPr>
        <w:t>התוס' בב"מ</w:t>
      </w:r>
      <w:r w:rsidRPr="00EE49E4">
        <w:rPr>
          <w:rStyle w:val="af7"/>
          <w:rFonts w:eastAsia="Guttman Hodes" w:hint="cs"/>
          <w:rtl/>
        </w:rPr>
        <w:t xml:space="preserve"> (ב. ד"ה וזה)</w:t>
      </w:r>
      <w:r>
        <w:rPr>
          <w:rFonts w:hint="cs"/>
          <w:rtl/>
        </w:rPr>
        <w:t xml:space="preserve">, </w:t>
      </w:r>
      <w:r w:rsidRPr="00213738">
        <w:rPr>
          <w:rFonts w:hint="cs"/>
          <w:rtl/>
        </w:rPr>
        <w:t>וע"ע</w:t>
      </w:r>
      <w:r>
        <w:rPr>
          <w:rStyle w:val="af9"/>
          <w:rFonts w:hint="cs"/>
          <w:rtl/>
        </w:rPr>
        <w:t xml:space="preserve"> בת</w:t>
      </w:r>
      <w:r w:rsidRPr="00651515">
        <w:rPr>
          <w:rStyle w:val="af9"/>
          <w:rFonts w:hint="cs"/>
          <w:rtl/>
        </w:rPr>
        <w:t xml:space="preserve">וס' </w:t>
      </w:r>
      <w:r>
        <w:rPr>
          <w:rStyle w:val="af9"/>
          <w:rFonts w:hint="cs"/>
          <w:rtl/>
        </w:rPr>
        <w:t xml:space="preserve">רא"ש </w:t>
      </w:r>
      <w:r w:rsidRPr="00651515">
        <w:rPr>
          <w:rStyle w:val="af9"/>
          <w:rFonts w:hint="cs"/>
          <w:rtl/>
        </w:rPr>
        <w:t>בב"מ</w:t>
      </w:r>
      <w:r w:rsidRPr="00EE49E4">
        <w:rPr>
          <w:rStyle w:val="af7"/>
          <w:rFonts w:eastAsia="Guttman Hodes" w:hint="cs"/>
          <w:rtl/>
        </w:rPr>
        <w:t xml:space="preserve"> (ב. ד"ה </w:t>
      </w:r>
      <w:r w:rsidRPr="00EE49E4">
        <w:rPr>
          <w:rStyle w:val="af7"/>
          <w:rFonts w:eastAsia="Guttman Hodes"/>
          <w:rtl/>
        </w:rPr>
        <w:t>בשבועה</w:t>
      </w:r>
      <w:r w:rsidRPr="00EE49E4">
        <w:rPr>
          <w:rStyle w:val="af7"/>
          <w:rFonts w:eastAsia="Guttman Hodes" w:hint="cs"/>
          <w:rtl/>
        </w:rPr>
        <w:t>)</w:t>
      </w:r>
      <w:r>
        <w:rPr>
          <w:rFonts w:hint="cs"/>
          <w:rtl/>
        </w:rPr>
        <w:t>.</w:t>
      </w:r>
    </w:p>
    <w:p w:rsidR="00103C1B" w:rsidRDefault="00103C1B" w:rsidP="00103C1B">
      <w:pPr>
        <w:pStyle w:val="a3"/>
        <w:rPr>
          <w:rtl/>
        </w:rPr>
      </w:pPr>
      <w:bookmarkStart w:id="15891" w:name="_Toc64629451"/>
      <w:bookmarkStart w:id="15892" w:name="_Toc64642914"/>
      <w:r>
        <w:rPr>
          <w:rFonts w:hint="cs"/>
          <w:rtl/>
        </w:rPr>
        <w:t>ביאור הרמב"ן דאפשר לגרוס דבתחילה טען שר"א רחוק ממנו ובאו עדים שר"א גם קרוב</w:t>
      </w:r>
      <w:bookmarkEnd w:id="15891"/>
      <w:bookmarkEnd w:id="15892"/>
      <w:r>
        <w:rPr>
          <w:rFonts w:hint="cs"/>
          <w:rtl/>
        </w:rPr>
        <w:t xml:space="preserve"> </w:t>
      </w:r>
    </w:p>
    <w:p w:rsidR="00103C1B" w:rsidRDefault="00103C1B" w:rsidP="007E4E81">
      <w:pPr>
        <w:pStyle w:val="a0"/>
        <w:rPr>
          <w:rtl/>
        </w:rPr>
      </w:pPr>
      <w:r>
        <w:rPr>
          <w:rFonts w:hint="cs"/>
          <w:rtl/>
        </w:rPr>
        <w:t xml:space="preserve">וכתב </w:t>
      </w:r>
      <w:r w:rsidRPr="006E1B90">
        <w:rPr>
          <w:rStyle w:val="af9"/>
          <w:rFonts w:hint="cs"/>
          <w:rtl/>
        </w:rPr>
        <w:t>הרמב"ן</w:t>
      </w:r>
      <w:r>
        <w:rPr>
          <w:rFonts w:hint="cs"/>
          <w:rtl/>
        </w:rPr>
        <w:t xml:space="preserve"> </w:t>
      </w:r>
      <w:r w:rsidRPr="00B83636">
        <w:rPr>
          <w:rStyle w:val="af7"/>
          <w:rFonts w:eastAsia="Guttman Hodes" w:hint="cs"/>
          <w:rtl/>
        </w:rPr>
        <w:t>(</w:t>
      </w:r>
      <w:r>
        <w:rPr>
          <w:rStyle w:val="af7"/>
          <w:rFonts w:eastAsia="Guttman Hodes" w:hint="cs"/>
          <w:rtl/>
        </w:rPr>
        <w:t>סו</w:t>
      </w:r>
      <w:r w:rsidRPr="00B83636">
        <w:rPr>
          <w:rStyle w:val="af7"/>
          <w:rFonts w:eastAsia="Guttman Hodes" w:hint="cs"/>
          <w:rtl/>
        </w:rPr>
        <w:t>ד"ה ולי נראה)</w:t>
      </w:r>
      <w:r w:rsidRPr="00B83636">
        <w:rPr>
          <w:rFonts w:hint="cs"/>
          <w:rtl/>
        </w:rPr>
        <w:t xml:space="preserve"> </w:t>
      </w:r>
      <w:r>
        <w:rPr>
          <w:rFonts w:hint="cs"/>
          <w:rtl/>
        </w:rPr>
        <w:t xml:space="preserve">דיש גירסאות רבות בסוגיין ולכן אין לחוש לגירסאות הללו, והוסיף </w:t>
      </w:r>
      <w:r w:rsidRPr="006E1B90">
        <w:rPr>
          <w:rStyle w:val="af9"/>
          <w:rFonts w:hint="cs"/>
          <w:rtl/>
        </w:rPr>
        <w:t>הרמב"ן</w:t>
      </w:r>
      <w:r>
        <w:rPr>
          <w:rFonts w:hint="cs"/>
          <w:rtl/>
        </w:rPr>
        <w:t xml:space="preserve"> דאף לפי הגירסא דטען שהוא קרוב יותר, </w:t>
      </w:r>
      <w:r w:rsidRPr="00C16594">
        <w:rPr>
          <w:rStyle w:val="afb"/>
          <w:rFonts w:hint="cs"/>
          <w:rtl/>
        </w:rPr>
        <w:t xml:space="preserve">[שהביא </w:t>
      </w:r>
      <w:r w:rsidRPr="00C16594">
        <w:rPr>
          <w:rStyle w:val="affa"/>
          <w:rFonts w:hint="cs"/>
          <w:rtl/>
        </w:rPr>
        <w:t>הרמב"ן</w:t>
      </w:r>
      <w:r w:rsidRPr="00C16594">
        <w:rPr>
          <w:rStyle w:val="afb"/>
          <w:rFonts w:hint="cs"/>
          <w:rtl/>
        </w:rPr>
        <w:t xml:space="preserve"> </w:t>
      </w:r>
      <w:r w:rsidRPr="00C16594">
        <w:rPr>
          <w:rStyle w:val="aff6"/>
          <w:rFonts w:hint="cs"/>
          <w:rtl/>
        </w:rPr>
        <w:t xml:space="preserve">(עי' אות </w:t>
      </w:r>
      <w:r w:rsidRPr="00C16594">
        <w:rPr>
          <w:rStyle w:val="aff6"/>
          <w:rtl/>
        </w:rPr>
        <w:fldChar w:fldCharType="begin"/>
      </w:r>
      <w:r w:rsidRPr="00C16594">
        <w:rPr>
          <w:rStyle w:val="aff6"/>
          <w:rtl/>
        </w:rPr>
        <w:instrText xml:space="preserve"> </w:instrText>
      </w:r>
      <w:r w:rsidRPr="00C16594">
        <w:rPr>
          <w:rStyle w:val="aff6"/>
          <w:rFonts w:hint="cs"/>
        </w:rPr>
        <w:instrText>REF</w:instrText>
      </w:r>
      <w:r w:rsidRPr="00C16594">
        <w:rPr>
          <w:rStyle w:val="aff6"/>
          <w:rFonts w:hint="cs"/>
          <w:rtl/>
        </w:rPr>
        <w:instrText xml:space="preserve"> _</w:instrText>
      </w:r>
      <w:r w:rsidRPr="00C16594">
        <w:rPr>
          <w:rStyle w:val="aff6"/>
          <w:rFonts w:hint="cs"/>
        </w:rPr>
        <w:instrText>Ref64475351 \r \h</w:instrText>
      </w:r>
      <w:r w:rsidRPr="00C16594">
        <w:rPr>
          <w:rStyle w:val="aff6"/>
          <w:rtl/>
        </w:rPr>
        <w:instrText xml:space="preserve"> </w:instrText>
      </w:r>
      <w:r w:rsidRPr="00C16594">
        <w:rPr>
          <w:rStyle w:val="aff6"/>
          <w:rtl/>
        </w:rPr>
      </w:r>
      <w:r w:rsidRPr="00C16594">
        <w:rPr>
          <w:rStyle w:val="aff6"/>
          <w:rtl/>
        </w:rPr>
        <w:fldChar w:fldCharType="separate"/>
      </w:r>
      <w:r w:rsidR="00265073">
        <w:rPr>
          <w:rStyle w:val="aff6"/>
          <w:cs/>
        </w:rPr>
        <w:t>‎</w:t>
      </w:r>
      <w:r w:rsidR="00265073">
        <w:rPr>
          <w:rStyle w:val="aff6"/>
          <w:rtl/>
        </w:rPr>
        <w:t>נח)</w:t>
      </w:r>
      <w:r w:rsidRPr="00C16594">
        <w:rPr>
          <w:rStyle w:val="aff6"/>
          <w:rtl/>
        </w:rPr>
        <w:fldChar w:fldCharType="end"/>
      </w:r>
      <w:r w:rsidRPr="00C16594">
        <w:rPr>
          <w:rStyle w:val="afb"/>
          <w:rFonts w:hint="cs"/>
          <w:rtl/>
        </w:rPr>
        <w:t>],</w:t>
      </w:r>
      <w:r>
        <w:rPr>
          <w:rFonts w:hint="cs"/>
          <w:rtl/>
        </w:rPr>
        <w:t xml:space="preserve"> מ"מ אפשר לבאר דטען כן בתחילה, דטען לרב אידי אתה קרוב למת בקירבה רחוקה, ואני קרוב יותר, אך לא טען טענת ברי אם הוא בן אחיו של המת, או שהוא בן אחי אבין של המת, ולכן כשבאו לבסוף עדים דרב אידי הוא בן אחיו, והוא ראוי ליורשו, ממילא חשיבא טענת ההוא גברא כטענת ספק, ואמרינן דאין ספק מוציאין מידי ודאי.</w:t>
      </w:r>
    </w:p>
    <w:p w:rsidR="00103C1B" w:rsidRPr="000F0101" w:rsidRDefault="00103C1B" w:rsidP="00103C1B">
      <w:pPr>
        <w:pStyle w:val="1"/>
        <w:rPr>
          <w:rtl/>
        </w:rPr>
      </w:pPr>
      <w:bookmarkStart w:id="15893" w:name="_Toc64454565"/>
      <w:bookmarkStart w:id="15894" w:name="_Toc64458656"/>
      <w:bookmarkStart w:id="15895" w:name="_Toc64549035"/>
      <w:bookmarkStart w:id="15896" w:name="_Toc64576212"/>
      <w:bookmarkStart w:id="15897" w:name="_Toc64588854"/>
      <w:bookmarkStart w:id="15898" w:name="_Toc64629452"/>
      <w:bookmarkStart w:id="15899" w:name="_Toc64642915"/>
      <w:bookmarkStart w:id="15900" w:name="_Toc64454563"/>
      <w:bookmarkStart w:id="15901" w:name="_Toc64458654"/>
      <w:bookmarkStart w:id="15902" w:name="_Toc64549033"/>
      <w:bookmarkStart w:id="15903" w:name="_Toc64576210"/>
      <w:bookmarkStart w:id="15904" w:name="_Toc64588851"/>
      <w:r>
        <w:rPr>
          <w:rFonts w:hint="cs"/>
          <w:rtl/>
        </w:rPr>
        <w:t>דעת הי"מ דהדקל בחזקת ההוא גברא</w:t>
      </w:r>
      <w:bookmarkEnd w:id="15893"/>
      <w:bookmarkEnd w:id="15894"/>
      <w:bookmarkEnd w:id="15895"/>
      <w:bookmarkEnd w:id="15896"/>
      <w:bookmarkEnd w:id="15897"/>
      <w:r>
        <w:rPr>
          <w:rFonts w:hint="cs"/>
          <w:rtl/>
        </w:rPr>
        <w:t xml:space="preserve"> וקו' הרמב"ן דיחלוקו</w:t>
      </w:r>
      <w:bookmarkEnd w:id="15898"/>
      <w:bookmarkEnd w:id="15899"/>
    </w:p>
    <w:p w:rsidR="00103C1B" w:rsidRDefault="00103C1B" w:rsidP="00103C1B">
      <w:pPr>
        <w:pStyle w:val="a3"/>
        <w:rPr>
          <w:rtl/>
        </w:rPr>
      </w:pPr>
      <w:bookmarkStart w:id="15905" w:name="_Toc64629453"/>
      <w:bookmarkStart w:id="15906" w:name="_Toc64642916"/>
      <w:r>
        <w:rPr>
          <w:rFonts w:hint="cs"/>
          <w:rtl/>
        </w:rPr>
        <w:t>דברי הרמב"ן דיש מקצת נוסחאות דרב חסדא העמיד אף את הקרקע בידי ההוא גברא</w:t>
      </w:r>
      <w:bookmarkEnd w:id="15905"/>
      <w:bookmarkEnd w:id="15906"/>
    </w:p>
    <w:p w:rsidR="00103C1B" w:rsidRDefault="00103C1B" w:rsidP="007E4E81">
      <w:pPr>
        <w:pStyle w:val="a0"/>
        <w:rPr>
          <w:rtl/>
        </w:rPr>
      </w:pPr>
      <w:bookmarkStart w:id="15907" w:name="_Ref64539528"/>
      <w:r>
        <w:rPr>
          <w:rFonts w:hint="cs"/>
          <w:rtl/>
        </w:rPr>
        <w:t xml:space="preserve">והביא </w:t>
      </w:r>
      <w:r w:rsidRPr="001206C1">
        <w:rPr>
          <w:rStyle w:val="af9"/>
          <w:rFonts w:hint="cs"/>
          <w:rtl/>
        </w:rPr>
        <w:t>הרמב"ן</w:t>
      </w:r>
      <w:r>
        <w:rPr>
          <w:rFonts w:hint="cs"/>
          <w:rtl/>
        </w:rPr>
        <w:t xml:space="preserve"> </w:t>
      </w:r>
      <w:r w:rsidRPr="00450D69">
        <w:rPr>
          <w:rStyle w:val="af7"/>
          <w:rFonts w:eastAsia="Guttman Hodes" w:hint="cs"/>
          <w:rtl/>
        </w:rPr>
        <w:t>(ד"ה ומאי)</w:t>
      </w:r>
      <w:r>
        <w:rPr>
          <w:rFonts w:hint="cs"/>
          <w:rtl/>
        </w:rPr>
        <w:t xml:space="preserve"> שיש מקצת גירסאות דגרסי, דרב חסדא העמיד את הקרקע, בידי ההוא גברא.</w:t>
      </w:r>
      <w:bookmarkEnd w:id="15907"/>
    </w:p>
    <w:p w:rsidR="00103C1B" w:rsidRPr="00A42303" w:rsidRDefault="00103C1B" w:rsidP="00103C1B">
      <w:pPr>
        <w:pStyle w:val="a3"/>
      </w:pPr>
      <w:bookmarkStart w:id="15908" w:name="_Toc64629454"/>
      <w:bookmarkStart w:id="15909" w:name="_Toc64642917"/>
      <w:r>
        <w:rPr>
          <w:rFonts w:hint="cs"/>
          <w:rtl/>
        </w:rPr>
        <w:t>דחיית הרמב"ן דכשאינם מודים זה לזה יחלוקו ואולי אפש"ל דהעמידו על חזקתו הראשונה</w:t>
      </w:r>
      <w:bookmarkEnd w:id="15908"/>
      <w:bookmarkEnd w:id="15909"/>
    </w:p>
    <w:p w:rsidR="00103C1B" w:rsidRDefault="00103C1B" w:rsidP="007E4E81">
      <w:pPr>
        <w:pStyle w:val="a0"/>
        <w:rPr>
          <w:rtl/>
        </w:rPr>
      </w:pPr>
      <w:r>
        <w:rPr>
          <w:rFonts w:hint="cs"/>
          <w:rtl/>
        </w:rPr>
        <w:t xml:space="preserve">אך דחה </w:t>
      </w:r>
      <w:r w:rsidRPr="001206C1">
        <w:rPr>
          <w:rStyle w:val="af9"/>
          <w:rFonts w:hint="cs"/>
          <w:rtl/>
        </w:rPr>
        <w:t>הרמב"ן</w:t>
      </w:r>
      <w:r>
        <w:rPr>
          <w:rFonts w:hint="cs"/>
          <w:rtl/>
        </w:rPr>
        <w:t xml:space="preserve"> דא"א לבאר כן דהא כיון דבין ההוא גברא ובין רב אידי אינם מודים שהשני ג"כ קרוב, א"כ הוא ממון המוטל בספק וחולקים, והוסיף </w:t>
      </w:r>
      <w:r w:rsidRPr="001206C1">
        <w:rPr>
          <w:rStyle w:val="af9"/>
          <w:rFonts w:hint="cs"/>
          <w:rtl/>
        </w:rPr>
        <w:t>הרמב"ן</w:t>
      </w:r>
      <w:r>
        <w:rPr>
          <w:rFonts w:hint="cs"/>
          <w:rtl/>
        </w:rPr>
        <w:t xml:space="preserve"> דאף אם נאמר דההוא גברא טוען שהוא קרוב יותר מרב אידי, ורב אידי אינו טוען שהוא קרוב יותר, מ"מ א"א להעמיד את הדקל בידי ההוא גברא, רק מכח טענתו, וכתב </w:t>
      </w:r>
      <w:r w:rsidRPr="001206C1">
        <w:rPr>
          <w:rStyle w:val="af9"/>
          <w:rFonts w:hint="cs"/>
          <w:rtl/>
        </w:rPr>
        <w:t>הרמב"ן</w:t>
      </w:r>
      <w:r>
        <w:rPr>
          <w:rFonts w:hint="cs"/>
          <w:rtl/>
        </w:rPr>
        <w:t xml:space="preserve"> דשמא אפש"ל דהדקל היה בחזקת ההוא גברא, ורב חסדא העמידו בחזקתו הראשונה.</w:t>
      </w:r>
    </w:p>
    <w:p w:rsidR="00103C1B" w:rsidRPr="008E1B83" w:rsidRDefault="00103C1B" w:rsidP="00103C1B">
      <w:pPr>
        <w:pStyle w:val="afe"/>
        <w:rPr>
          <w:rtl/>
        </w:rPr>
      </w:pPr>
      <w:bookmarkStart w:id="15910" w:name="_Toc64629455"/>
      <w:bookmarkStart w:id="15911" w:name="_Toc64642918"/>
      <w:r>
        <w:rPr>
          <w:rFonts w:hint="cs"/>
          <w:rtl/>
        </w:rPr>
        <w:t>בי' הר"י מגאש</w:t>
      </w:r>
      <w:bookmarkEnd w:id="15900"/>
      <w:bookmarkEnd w:id="15901"/>
      <w:bookmarkEnd w:id="15902"/>
      <w:bookmarkEnd w:id="15903"/>
      <w:bookmarkEnd w:id="15904"/>
      <w:r>
        <w:rPr>
          <w:rFonts w:hint="cs"/>
          <w:rtl/>
        </w:rPr>
        <w:t xml:space="preserve"> דל"מ הפה שאסר במק"ע</w:t>
      </w:r>
      <w:bookmarkEnd w:id="15910"/>
      <w:bookmarkEnd w:id="15911"/>
    </w:p>
    <w:p w:rsidR="00103C1B" w:rsidRDefault="00103C1B" w:rsidP="00103C1B">
      <w:pPr>
        <w:pStyle w:val="1"/>
        <w:rPr>
          <w:rtl/>
        </w:rPr>
      </w:pPr>
      <w:bookmarkStart w:id="15912" w:name="_Toc64454564"/>
      <w:bookmarkStart w:id="15913" w:name="_Toc64458655"/>
      <w:bookmarkStart w:id="15914" w:name="_Toc64549034"/>
      <w:bookmarkStart w:id="15915" w:name="_Toc64576211"/>
      <w:bookmarkStart w:id="15916" w:name="_Toc64588852"/>
      <w:bookmarkStart w:id="15917" w:name="_Toc64629456"/>
      <w:bookmarkStart w:id="15918" w:name="_Toc64642919"/>
      <w:r>
        <w:rPr>
          <w:rFonts w:hint="cs"/>
          <w:rtl/>
        </w:rPr>
        <w:t>ביאור הר"י מגאש והמאירי</w:t>
      </w:r>
      <w:bookmarkEnd w:id="15912"/>
      <w:bookmarkEnd w:id="15913"/>
      <w:r>
        <w:rPr>
          <w:rFonts w:hint="cs"/>
          <w:rtl/>
        </w:rPr>
        <w:t xml:space="preserve"> דנח' ר"ח ואביי בדין הפה שאסר</w:t>
      </w:r>
      <w:bookmarkEnd w:id="15914"/>
      <w:bookmarkEnd w:id="15915"/>
      <w:bookmarkEnd w:id="15916"/>
      <w:bookmarkEnd w:id="15917"/>
      <w:bookmarkEnd w:id="15918"/>
    </w:p>
    <w:p w:rsidR="00103C1B" w:rsidRPr="005E4847" w:rsidRDefault="00103C1B" w:rsidP="00103C1B">
      <w:pPr>
        <w:pStyle w:val="a3"/>
        <w:rPr>
          <w:rtl/>
        </w:rPr>
      </w:pPr>
      <w:bookmarkStart w:id="15919" w:name="_Toc64629457"/>
      <w:bookmarkStart w:id="15920" w:name="_Toc64642920"/>
      <w:r>
        <w:rPr>
          <w:rFonts w:hint="cs"/>
          <w:rtl/>
        </w:rPr>
        <w:t>בי' הר"י מגאש דר"א הביא עדים דקרוב יותר ולרב חסדא א"צ להחזיר פירות מדין הפה שאסר</w:t>
      </w:r>
      <w:bookmarkEnd w:id="15919"/>
      <w:bookmarkEnd w:id="15920"/>
    </w:p>
    <w:p w:rsidR="00103C1B" w:rsidRDefault="00103C1B" w:rsidP="007E4E81">
      <w:pPr>
        <w:pStyle w:val="a0"/>
        <w:rPr>
          <w:rtl/>
        </w:rPr>
      </w:pPr>
      <w:bookmarkStart w:id="15921" w:name="_Ref64479401"/>
      <w:r>
        <w:rPr>
          <w:rFonts w:hint="cs"/>
          <w:rtl/>
        </w:rPr>
        <w:t xml:space="preserve">כתב </w:t>
      </w:r>
      <w:r w:rsidRPr="00F86679">
        <w:rPr>
          <w:rStyle w:val="af9"/>
          <w:rFonts w:hint="cs"/>
          <w:rtl/>
        </w:rPr>
        <w:t>הר"י מגאש</w:t>
      </w:r>
      <w:r w:rsidRPr="00DE1BA0">
        <w:rPr>
          <w:rStyle w:val="af7"/>
          <w:rFonts w:eastAsia="Guttman Hodes" w:hint="cs"/>
          <w:rtl/>
        </w:rPr>
        <w:t xml:space="preserve"> (ד"ה ה"ג קריביה) </w:t>
      </w:r>
      <w:r>
        <w:rPr>
          <w:rFonts w:hint="cs"/>
          <w:rtl/>
        </w:rPr>
        <w:t xml:space="preserve">דגרסינן דרב אידי הביא עדים שהוא קרוב יותר, </w:t>
      </w:r>
      <w:r w:rsidRPr="00C22039">
        <w:rPr>
          <w:rStyle w:val="afb"/>
          <w:rFonts w:hint="cs"/>
          <w:rtl/>
        </w:rPr>
        <w:t xml:space="preserve">[וכן גרסו </w:t>
      </w:r>
      <w:r w:rsidRPr="00C22039">
        <w:rPr>
          <w:rStyle w:val="affa"/>
          <w:rFonts w:hint="cs"/>
          <w:rtl/>
        </w:rPr>
        <w:t>הרמב"ן</w:t>
      </w:r>
      <w:r w:rsidRPr="00C22039">
        <w:rPr>
          <w:rStyle w:val="afb"/>
          <w:rFonts w:hint="cs"/>
          <w:rtl/>
        </w:rPr>
        <w:t xml:space="preserve"> </w:t>
      </w:r>
      <w:r w:rsidRPr="00C22039">
        <w:rPr>
          <w:rStyle w:val="aff6"/>
          <w:rFonts w:hint="cs"/>
          <w:rtl/>
        </w:rPr>
        <w:t xml:space="preserve">(עי' אות </w:t>
      </w:r>
      <w:r w:rsidRPr="00C22039">
        <w:rPr>
          <w:rStyle w:val="aff6"/>
          <w:rtl/>
        </w:rPr>
        <w:fldChar w:fldCharType="begin"/>
      </w:r>
      <w:r w:rsidRPr="00C22039">
        <w:rPr>
          <w:rStyle w:val="aff6"/>
          <w:rtl/>
        </w:rPr>
        <w:instrText xml:space="preserve"> </w:instrText>
      </w:r>
      <w:r w:rsidRPr="00C22039">
        <w:rPr>
          <w:rStyle w:val="aff6"/>
          <w:rFonts w:hint="cs"/>
        </w:rPr>
        <w:instrText>REF</w:instrText>
      </w:r>
      <w:r w:rsidRPr="00C22039">
        <w:rPr>
          <w:rStyle w:val="aff6"/>
          <w:rFonts w:hint="cs"/>
          <w:rtl/>
        </w:rPr>
        <w:instrText xml:space="preserve"> _</w:instrText>
      </w:r>
      <w:r w:rsidRPr="00C22039">
        <w:rPr>
          <w:rStyle w:val="aff6"/>
          <w:rFonts w:hint="cs"/>
        </w:rPr>
        <w:instrText>Ref64475351 \r \h</w:instrText>
      </w:r>
      <w:r w:rsidRPr="00C22039">
        <w:rPr>
          <w:rStyle w:val="aff6"/>
          <w:rtl/>
        </w:rPr>
        <w:instrText xml:space="preserve"> </w:instrText>
      </w:r>
      <w:r w:rsidRPr="00C22039">
        <w:rPr>
          <w:rStyle w:val="aff6"/>
          <w:rtl/>
        </w:rPr>
      </w:r>
      <w:r w:rsidRPr="00C22039">
        <w:rPr>
          <w:rStyle w:val="aff6"/>
          <w:rtl/>
        </w:rPr>
        <w:fldChar w:fldCharType="separate"/>
      </w:r>
      <w:r w:rsidR="00265073">
        <w:rPr>
          <w:rStyle w:val="aff6"/>
          <w:cs/>
        </w:rPr>
        <w:t>‎</w:t>
      </w:r>
      <w:r w:rsidR="00265073">
        <w:rPr>
          <w:rStyle w:val="aff6"/>
          <w:rtl/>
        </w:rPr>
        <w:t>נח)</w:t>
      </w:r>
      <w:r w:rsidRPr="00C22039">
        <w:rPr>
          <w:rStyle w:val="aff6"/>
          <w:rtl/>
        </w:rPr>
        <w:fldChar w:fldCharType="end"/>
      </w:r>
      <w:r w:rsidRPr="00C22039">
        <w:rPr>
          <w:rStyle w:val="afb"/>
          <w:rFonts w:hint="cs"/>
          <w:rtl/>
        </w:rPr>
        <w:t xml:space="preserve"> </w:t>
      </w:r>
      <w:r w:rsidRPr="00C22039">
        <w:rPr>
          <w:rStyle w:val="affa"/>
          <w:rFonts w:hint="cs"/>
          <w:rtl/>
        </w:rPr>
        <w:t>והיד רמ"ה</w:t>
      </w:r>
      <w:r w:rsidRPr="00C22039">
        <w:rPr>
          <w:rStyle w:val="afb"/>
          <w:rFonts w:hint="cs"/>
          <w:rtl/>
        </w:rPr>
        <w:t xml:space="preserve"> </w:t>
      </w:r>
      <w:r w:rsidRPr="00C22039">
        <w:rPr>
          <w:rStyle w:val="aff6"/>
          <w:rFonts w:hint="cs"/>
          <w:rtl/>
        </w:rPr>
        <w:t xml:space="preserve">(עי' אות </w:t>
      </w:r>
      <w:r w:rsidRPr="00C22039">
        <w:rPr>
          <w:rStyle w:val="aff6"/>
          <w:rtl/>
        </w:rPr>
        <w:fldChar w:fldCharType="begin"/>
      </w:r>
      <w:r w:rsidRPr="00C22039">
        <w:rPr>
          <w:rStyle w:val="aff6"/>
          <w:rtl/>
        </w:rPr>
        <w:instrText xml:space="preserve"> </w:instrText>
      </w:r>
      <w:r w:rsidRPr="00C22039">
        <w:rPr>
          <w:rStyle w:val="aff6"/>
          <w:rFonts w:hint="cs"/>
        </w:rPr>
        <w:instrText>REF</w:instrText>
      </w:r>
      <w:r w:rsidRPr="00C22039">
        <w:rPr>
          <w:rStyle w:val="aff6"/>
          <w:rFonts w:hint="cs"/>
          <w:rtl/>
        </w:rPr>
        <w:instrText xml:space="preserve"> _</w:instrText>
      </w:r>
      <w:r w:rsidRPr="00C22039">
        <w:rPr>
          <w:rStyle w:val="aff6"/>
          <w:rFonts w:hint="cs"/>
        </w:rPr>
        <w:instrText>Ref64479368 \r \h</w:instrText>
      </w:r>
      <w:r w:rsidRPr="00C22039">
        <w:rPr>
          <w:rStyle w:val="aff6"/>
          <w:rtl/>
        </w:rPr>
        <w:instrText xml:space="preserve"> </w:instrText>
      </w:r>
      <w:r w:rsidRPr="00C22039">
        <w:rPr>
          <w:rStyle w:val="aff6"/>
          <w:rtl/>
        </w:rPr>
      </w:r>
      <w:r w:rsidRPr="00C22039">
        <w:rPr>
          <w:rStyle w:val="aff6"/>
          <w:rtl/>
        </w:rPr>
        <w:fldChar w:fldCharType="separate"/>
      </w:r>
      <w:r w:rsidR="00265073">
        <w:rPr>
          <w:rStyle w:val="aff6"/>
          <w:cs/>
        </w:rPr>
        <w:t>‎</w:t>
      </w:r>
      <w:r w:rsidR="00265073">
        <w:rPr>
          <w:rStyle w:val="aff6"/>
          <w:rtl/>
        </w:rPr>
        <w:t>עז)</w:t>
      </w:r>
      <w:r w:rsidRPr="00C22039">
        <w:rPr>
          <w:rStyle w:val="aff6"/>
          <w:rtl/>
        </w:rPr>
        <w:fldChar w:fldCharType="end"/>
      </w:r>
      <w:r w:rsidRPr="00C22039">
        <w:rPr>
          <w:rStyle w:val="afb"/>
          <w:rFonts w:hint="cs"/>
          <w:rtl/>
        </w:rPr>
        <w:t>],</w:t>
      </w:r>
      <w:r>
        <w:rPr>
          <w:rFonts w:hint="cs"/>
          <w:rtl/>
        </w:rPr>
        <w:t xml:space="preserve"> ואמר רב חסדא שההוא גברא א"צ להחזיר את הפירות, כיון שאין עדים שאכלם, ואעפ"י שהודה הוא נאמן לטעון אין אכלי ודידי אכלי, מדין הפה שאסר.</w:t>
      </w:r>
      <w:bookmarkEnd w:id="15921"/>
    </w:p>
    <w:p w:rsidR="00103C1B" w:rsidRPr="002D54BF" w:rsidRDefault="00103C1B" w:rsidP="00103C1B">
      <w:pPr>
        <w:pStyle w:val="a3"/>
        <w:rPr>
          <w:rtl/>
        </w:rPr>
      </w:pPr>
      <w:bookmarkStart w:id="15922" w:name="_Toc64629458"/>
      <w:bookmarkStart w:id="15923" w:name="_Toc64642921"/>
      <w:r>
        <w:rPr>
          <w:rFonts w:hint="cs"/>
          <w:rtl/>
        </w:rPr>
        <w:t>בי' הר"י מגאש והמאירי באביי ורבא דהפה שאסר ל"מ כשעדים מכחישים את טענת ההיתר</w:t>
      </w:r>
      <w:bookmarkEnd w:id="15922"/>
      <w:bookmarkEnd w:id="15923"/>
    </w:p>
    <w:p w:rsidR="00103C1B" w:rsidRDefault="00103C1B" w:rsidP="007E4E81">
      <w:pPr>
        <w:pStyle w:val="a0"/>
        <w:rPr>
          <w:rtl/>
        </w:rPr>
      </w:pPr>
      <w:bookmarkStart w:id="15924" w:name="_Ref64629108"/>
      <w:r>
        <w:rPr>
          <w:rFonts w:hint="cs"/>
          <w:rtl/>
        </w:rPr>
        <w:t xml:space="preserve">ובדעת אביי ורבא ביארו </w:t>
      </w:r>
      <w:r w:rsidRPr="00F86679">
        <w:rPr>
          <w:rStyle w:val="af9"/>
          <w:rFonts w:hint="cs"/>
          <w:rtl/>
        </w:rPr>
        <w:t>הר"י מגאש</w:t>
      </w:r>
      <w:r>
        <w:rPr>
          <w:rFonts w:hint="cs"/>
          <w:rtl/>
        </w:rPr>
        <w:t xml:space="preserve"> </w:t>
      </w:r>
      <w:r w:rsidRPr="00E123B9">
        <w:rPr>
          <w:rStyle w:val="af7"/>
          <w:rFonts w:eastAsia="Guttman Hodes" w:hint="cs"/>
          <w:rtl/>
        </w:rPr>
        <w:t>(ד"ה אביי)</w:t>
      </w:r>
      <w:r>
        <w:rPr>
          <w:rFonts w:hint="cs"/>
          <w:rtl/>
        </w:rPr>
        <w:t xml:space="preserve"> </w:t>
      </w:r>
      <w:r>
        <w:rPr>
          <w:rStyle w:val="af9"/>
          <w:rFonts w:hint="cs"/>
          <w:rtl/>
        </w:rPr>
        <w:t>ו</w:t>
      </w:r>
      <w:r w:rsidRPr="000F791B">
        <w:rPr>
          <w:rStyle w:val="af9"/>
          <w:rFonts w:hint="cs"/>
          <w:rtl/>
        </w:rPr>
        <w:t>המאירי</w:t>
      </w:r>
      <w:r>
        <w:rPr>
          <w:rFonts w:hint="cs"/>
          <w:rtl/>
        </w:rPr>
        <w:t xml:space="preserve"> </w:t>
      </w:r>
      <w:r w:rsidRPr="00E123B9">
        <w:rPr>
          <w:rStyle w:val="af7"/>
          <w:rFonts w:eastAsia="Guttman Hodes" w:hint="cs"/>
          <w:rtl/>
        </w:rPr>
        <w:t>(ד"ה בירור)</w:t>
      </w:r>
      <w:r>
        <w:rPr>
          <w:rFonts w:hint="cs"/>
          <w:rtl/>
        </w:rPr>
        <w:t xml:space="preserve"> דס"ל דכיון שהודה שאכל את הפירות חייב לשלם, ואינו נאמן מדין הפה שאסר, דכל הנאמנות מדין הפה שאסר, הוא רק במקום שטוען טענה שמסתברת, ואין עדים שמכחישים את טענתו, דאפש"ל שטענתו היא אמת, אבל הכא דהוא טוען טענה שאינה מסתברת, כיון שיש עדים שמכחישים את טענתו, א"כ א"א לומר דהוא נאמן מדין הפה שאסר, דדין הפה שאסר לא נאמר במקום שהתברר לנו שעיקר טענתו היא שקר, כיון דמה שטוען אין אכלי ודידי אכלי הוא מוכחש לגמרי ע"י העדים, וא"ה מה שהוא התיר, </w:t>
      </w:r>
      <w:r w:rsidRPr="00CA54B3">
        <w:rPr>
          <w:rStyle w:val="afb"/>
          <w:rFonts w:hint="cs"/>
          <w:rtl/>
        </w:rPr>
        <w:t xml:space="preserve">[כשטען שהוא קרוב יותר והפירות שאכל הם שלו], </w:t>
      </w:r>
      <w:r>
        <w:rPr>
          <w:rFonts w:hint="cs"/>
          <w:rtl/>
        </w:rPr>
        <w:t xml:space="preserve">אינו היתר, ולכן כיון שהודה שאכל את הפירות הוא חייב לשלם, דהוא אסר את עצמו ולא התיר, ועי' במה שביאר </w:t>
      </w:r>
      <w:r w:rsidRPr="0064379F">
        <w:rPr>
          <w:rStyle w:val="af9"/>
          <w:rFonts w:hint="cs"/>
          <w:rtl/>
        </w:rPr>
        <w:t>בחי' רבי נחום</w:t>
      </w:r>
      <w:r>
        <w:rPr>
          <w:rFonts w:hint="cs"/>
          <w:rtl/>
        </w:rPr>
        <w:t xml:space="preserve"> </w:t>
      </w:r>
      <w:r w:rsidRPr="00BC3439">
        <w:rPr>
          <w:rStyle w:val="af7"/>
          <w:rFonts w:eastAsia="Guttman Hodes" w:hint="cs"/>
          <w:rtl/>
        </w:rPr>
        <w:t xml:space="preserve">(עי' אות </w:t>
      </w:r>
      <w:r w:rsidRPr="00BC3439">
        <w:rPr>
          <w:rStyle w:val="af7"/>
          <w:rFonts w:eastAsia="Guttman Hodes"/>
          <w:rtl/>
        </w:rPr>
        <w:fldChar w:fldCharType="begin"/>
      </w:r>
      <w:r w:rsidRPr="00BC3439">
        <w:rPr>
          <w:rStyle w:val="af7"/>
          <w:rFonts w:eastAsia="Guttman Hodes"/>
          <w:rtl/>
        </w:rPr>
        <w:instrText xml:space="preserve"> </w:instrText>
      </w:r>
      <w:r w:rsidRPr="00BC3439">
        <w:rPr>
          <w:rStyle w:val="af7"/>
          <w:rFonts w:eastAsia="Guttman Hodes" w:hint="cs"/>
        </w:rPr>
        <w:instrText>REF</w:instrText>
      </w:r>
      <w:r w:rsidRPr="00BC3439">
        <w:rPr>
          <w:rStyle w:val="af7"/>
          <w:rFonts w:eastAsia="Guttman Hodes" w:hint="cs"/>
          <w:rtl/>
        </w:rPr>
        <w:instrText xml:space="preserve"> _</w:instrText>
      </w:r>
      <w:r w:rsidRPr="00BC3439">
        <w:rPr>
          <w:rStyle w:val="af7"/>
          <w:rFonts w:eastAsia="Guttman Hodes" w:hint="cs"/>
        </w:rPr>
        <w:instrText>Ref64629141 \r \h</w:instrText>
      </w:r>
      <w:r w:rsidRPr="00BC3439">
        <w:rPr>
          <w:rStyle w:val="af7"/>
          <w:rFonts w:eastAsia="Guttman Hodes"/>
          <w:rtl/>
        </w:rPr>
        <w:instrText xml:space="preserve"> </w:instrText>
      </w:r>
      <w:r w:rsidRPr="00BC3439">
        <w:rPr>
          <w:rStyle w:val="af7"/>
          <w:rFonts w:eastAsia="Guttman Hodes"/>
          <w:rtl/>
        </w:rPr>
      </w:r>
      <w:r w:rsidRPr="00BC3439">
        <w:rPr>
          <w:rStyle w:val="af7"/>
          <w:rFonts w:eastAsia="Guttman Hodes"/>
          <w:rtl/>
        </w:rPr>
        <w:fldChar w:fldCharType="separate"/>
      </w:r>
      <w:r w:rsidR="00265073">
        <w:rPr>
          <w:rStyle w:val="af7"/>
          <w:rFonts w:eastAsia="Guttman Hodes"/>
          <w:cs/>
        </w:rPr>
        <w:t>‎</w:t>
      </w:r>
      <w:r w:rsidR="00265073">
        <w:rPr>
          <w:rStyle w:val="af7"/>
          <w:rFonts w:eastAsia="Guttman Hodes"/>
          <w:rtl/>
        </w:rPr>
        <w:t>קז)</w:t>
      </w:r>
      <w:r w:rsidRPr="00BC3439">
        <w:rPr>
          <w:rStyle w:val="af7"/>
          <w:rFonts w:eastAsia="Guttman Hodes"/>
          <w:rtl/>
        </w:rPr>
        <w:fldChar w:fldCharType="end"/>
      </w:r>
      <w:r>
        <w:rPr>
          <w:rFonts w:hint="cs"/>
          <w:rtl/>
        </w:rPr>
        <w:t xml:space="preserve"> בדברי </w:t>
      </w:r>
      <w:r w:rsidRPr="0064379F">
        <w:rPr>
          <w:rStyle w:val="af9"/>
          <w:rFonts w:hint="cs"/>
          <w:rtl/>
        </w:rPr>
        <w:t>הר"י מגאש</w:t>
      </w:r>
      <w:r>
        <w:rPr>
          <w:rFonts w:hint="cs"/>
          <w:rtl/>
        </w:rPr>
        <w:t>.</w:t>
      </w:r>
      <w:bookmarkEnd w:id="15924"/>
    </w:p>
    <w:p w:rsidR="00103C1B" w:rsidRDefault="00103C1B" w:rsidP="00103C1B">
      <w:pPr>
        <w:pStyle w:val="a3"/>
        <w:rPr>
          <w:rtl/>
        </w:rPr>
      </w:pPr>
      <w:bookmarkStart w:id="15925" w:name="_Toc64588853"/>
      <w:bookmarkStart w:id="15926" w:name="_Toc64629459"/>
      <w:bookmarkStart w:id="15927" w:name="_Toc64642922"/>
      <w:r>
        <w:rPr>
          <w:rFonts w:hint="cs"/>
          <w:rtl/>
        </w:rPr>
        <w:t>בי' הרמ"ה דלאביי ורבא הוא מיגו במק"ע</w:t>
      </w:r>
      <w:bookmarkEnd w:id="15925"/>
      <w:r>
        <w:rPr>
          <w:rFonts w:hint="cs"/>
          <w:rtl/>
        </w:rPr>
        <w:t xml:space="preserve"> דל"מ הפה שאסר כשעדים מכחישים את טענת ההיתר</w:t>
      </w:r>
      <w:bookmarkEnd w:id="15926"/>
      <w:bookmarkEnd w:id="15927"/>
    </w:p>
    <w:p w:rsidR="00103C1B" w:rsidRPr="00513C68" w:rsidRDefault="00103C1B" w:rsidP="007E4E81">
      <w:pPr>
        <w:pStyle w:val="a0"/>
        <w:rPr>
          <w:rtl/>
        </w:rPr>
      </w:pPr>
      <w:bookmarkStart w:id="15928" w:name="_Ref64479368"/>
      <w:r>
        <w:rPr>
          <w:rFonts w:hint="cs"/>
          <w:rtl/>
        </w:rPr>
        <w:t>וכעי"ז כתב</w:t>
      </w:r>
      <w:r w:rsidRPr="00EA4AF2">
        <w:rPr>
          <w:rFonts w:hint="cs"/>
          <w:rtl/>
        </w:rPr>
        <w:t xml:space="preserve"> </w:t>
      </w:r>
      <w:r w:rsidRPr="00735C33">
        <w:rPr>
          <w:rStyle w:val="af9"/>
          <w:rFonts w:hint="cs"/>
          <w:rtl/>
        </w:rPr>
        <w:t>היד רמ"ה</w:t>
      </w:r>
      <w:r>
        <w:rPr>
          <w:rFonts w:hint="cs"/>
          <w:rtl/>
        </w:rPr>
        <w:t xml:space="preserve"> </w:t>
      </w:r>
      <w:r w:rsidRPr="00735C33">
        <w:rPr>
          <w:rStyle w:val="af7"/>
          <w:rFonts w:eastAsia="Guttman Hodes" w:hint="cs"/>
          <w:rtl/>
        </w:rPr>
        <w:t>(או' נ"ג ד"ה קריביה)</w:t>
      </w:r>
      <w:r>
        <w:rPr>
          <w:rFonts w:hint="cs"/>
          <w:rtl/>
        </w:rPr>
        <w:t xml:space="preserve"> דאיירי שהביא רב אידי עדים שהוא קרוב יותר,</w:t>
      </w:r>
      <w:r>
        <w:rPr>
          <w:rStyle w:val="af7"/>
          <w:rFonts w:eastAsia="Guttman Hodes" w:hint="cs"/>
          <w:rtl/>
        </w:rPr>
        <w:t xml:space="preserve"> </w:t>
      </w:r>
      <w:r>
        <w:rPr>
          <w:rFonts w:hint="cs"/>
          <w:rtl/>
        </w:rPr>
        <w:t xml:space="preserve">וס"ל לאביי ורבא דכיון שההוא גברא הודה שאכל פירות, אינו נאמן במיגו, דחשיב כמיגו במקום עדים, וכתב </w:t>
      </w:r>
      <w:r w:rsidRPr="007A3A77">
        <w:rPr>
          <w:rStyle w:val="af9"/>
          <w:rFonts w:hint="cs"/>
          <w:rtl/>
        </w:rPr>
        <w:t>היד רמ"ה</w:t>
      </w:r>
      <w:r>
        <w:rPr>
          <w:rFonts w:hint="cs"/>
          <w:rtl/>
        </w:rPr>
        <w:t xml:space="preserve"> דקיי"ל כאביי ורבא כיון דכל הנאמנות מדין הפה שאסר, הוא רק במקום שאין עדים שמכחישים את מה שהתיר, אבל הכא שהעדים מכחישים את מה שהתיר, דהם מעידים שרב אידי קרוב יותר, א"כ התברר שהמחזיק רק אסר על עצמו, במה שהודה שאכל פירות, ולא התיר כלל במה שטען שהוא קרוב יותר, דאינו נאמן בטענה זו להחכיש את העדים, ולכן הוא חייב, ועי' במ"ש </w:t>
      </w:r>
      <w:r>
        <w:rPr>
          <w:rStyle w:val="af9"/>
          <w:rFonts w:hint="cs"/>
          <w:rtl/>
        </w:rPr>
        <w:t xml:space="preserve">בחו"ש הגרב"ב </w:t>
      </w:r>
      <w:r w:rsidRPr="00027F1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Ref64640779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Pr>
          <w:rStyle w:val="af7"/>
          <w:rFonts w:eastAsia="Guttman Hodes"/>
          <w:rtl/>
        </w:rPr>
        <w:fldChar w:fldCharType="end"/>
      </w:r>
      <w:r>
        <w:rPr>
          <w:rFonts w:hint="cs"/>
          <w:rtl/>
        </w:rPr>
        <w:t>.</w:t>
      </w:r>
      <w:bookmarkEnd w:id="15928"/>
    </w:p>
    <w:p w:rsidR="00103C1B" w:rsidRPr="005E4847" w:rsidRDefault="00103C1B" w:rsidP="00103C1B">
      <w:pPr>
        <w:pStyle w:val="a3"/>
      </w:pPr>
      <w:bookmarkStart w:id="15929" w:name="_Toc64629460"/>
      <w:bookmarkStart w:id="15930" w:name="_Toc64642923"/>
      <w:r>
        <w:rPr>
          <w:rFonts w:hint="cs"/>
          <w:rtl/>
        </w:rPr>
        <w:t>דברי המאירי דקיי"ל כאביי ורבא בין לגי' דהודה לר"א ובין לגי' שיש עדים דאין לו הפה שאסר</w:t>
      </w:r>
      <w:bookmarkEnd w:id="15929"/>
      <w:bookmarkEnd w:id="15930"/>
    </w:p>
    <w:p w:rsidR="00103C1B" w:rsidRDefault="00103C1B" w:rsidP="007E4E81">
      <w:pPr>
        <w:pStyle w:val="a0"/>
      </w:pPr>
      <w:r>
        <w:rPr>
          <w:rFonts w:hint="cs"/>
          <w:rtl/>
        </w:rPr>
        <w:t xml:space="preserve">וכתב </w:t>
      </w:r>
      <w:r w:rsidRPr="000F791B">
        <w:rPr>
          <w:rStyle w:val="af9"/>
          <w:rFonts w:hint="cs"/>
          <w:rtl/>
        </w:rPr>
        <w:t>המאירי</w:t>
      </w:r>
      <w:r>
        <w:rPr>
          <w:rFonts w:hint="cs"/>
          <w:rtl/>
        </w:rPr>
        <w:t xml:space="preserve"> דקיי"ל כאביי ורבא דצריך להחזיר את הפירות, בין לגירסא שהודה שרב אידי קרוב יותר, </w:t>
      </w:r>
      <w:r w:rsidRPr="008779BB">
        <w:rPr>
          <w:rStyle w:val="afb"/>
          <w:rFonts w:hint="cs"/>
          <w:rtl/>
        </w:rPr>
        <w:t>[</w:t>
      </w:r>
      <w:r>
        <w:rPr>
          <w:rStyle w:val="afb"/>
          <w:rFonts w:hint="cs"/>
          <w:rtl/>
        </w:rPr>
        <w:t>וכדגרס</w:t>
      </w:r>
      <w:r w:rsidRPr="008779BB">
        <w:rPr>
          <w:rStyle w:val="afb"/>
          <w:rFonts w:hint="cs"/>
          <w:rtl/>
        </w:rPr>
        <w:t xml:space="preserve"> </w:t>
      </w:r>
      <w:r>
        <w:rPr>
          <w:rStyle w:val="affa"/>
          <w:rFonts w:hint="cs"/>
          <w:rtl/>
        </w:rPr>
        <w:t>ה</w:t>
      </w:r>
      <w:r w:rsidRPr="008779BB">
        <w:rPr>
          <w:rStyle w:val="affa"/>
          <w:rFonts w:hint="cs"/>
          <w:rtl/>
        </w:rPr>
        <w:t>רשב"ם</w:t>
      </w:r>
      <w:r w:rsidRPr="008779BB">
        <w:rPr>
          <w:rStyle w:val="afb"/>
          <w:rFonts w:hint="cs"/>
          <w:rtl/>
        </w:rPr>
        <w:t xml:space="preserve"> </w:t>
      </w:r>
      <w:r w:rsidRPr="008779BB">
        <w:rPr>
          <w:rStyle w:val="aff6"/>
          <w:rFonts w:hint="cs"/>
          <w:rtl/>
        </w:rPr>
        <w:t>(עי'</w:t>
      </w:r>
      <w:r>
        <w:rPr>
          <w:rStyle w:val="aff6"/>
          <w:rFonts w:hint="cs"/>
          <w:rtl/>
        </w:rPr>
        <w:t xml:space="preserve">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Ref64451602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ב)</w:t>
      </w:r>
      <w:r>
        <w:rPr>
          <w:rStyle w:val="aff6"/>
          <w:rtl/>
        </w:rPr>
        <w:fldChar w:fldCharType="end"/>
      </w:r>
      <w:r w:rsidRPr="008779BB">
        <w:rPr>
          <w:rStyle w:val="afb"/>
          <w:rFonts w:hint="cs"/>
          <w:rtl/>
        </w:rPr>
        <w:t xml:space="preserve">], </w:t>
      </w:r>
      <w:r>
        <w:rPr>
          <w:rFonts w:hint="cs"/>
          <w:rtl/>
        </w:rPr>
        <w:t xml:space="preserve">ובין לגירסא שבאו עדים שרב אידי קרוב יותר, </w:t>
      </w:r>
      <w:r w:rsidRPr="008779BB">
        <w:rPr>
          <w:rStyle w:val="afb"/>
          <w:rFonts w:hint="cs"/>
          <w:rtl/>
        </w:rPr>
        <w:t>[</w:t>
      </w:r>
      <w:r>
        <w:rPr>
          <w:rStyle w:val="afb"/>
          <w:rFonts w:hint="cs"/>
          <w:rtl/>
        </w:rPr>
        <w:t>וכדגרסו</w:t>
      </w:r>
      <w:r w:rsidRPr="008779BB">
        <w:rPr>
          <w:rStyle w:val="afb"/>
          <w:rFonts w:hint="cs"/>
          <w:rtl/>
        </w:rPr>
        <w:t xml:space="preserve"> </w:t>
      </w:r>
      <w:r w:rsidRPr="00C22039">
        <w:rPr>
          <w:rStyle w:val="affa"/>
          <w:rFonts w:hint="cs"/>
          <w:rtl/>
        </w:rPr>
        <w:t>הר"י מגאש</w:t>
      </w:r>
      <w:r>
        <w:rPr>
          <w:rFonts w:hint="cs"/>
          <w:rtl/>
        </w:rPr>
        <w:t xml:space="preserve"> </w:t>
      </w:r>
      <w:r w:rsidRPr="00C22039">
        <w:rPr>
          <w:rStyle w:val="aff6"/>
          <w:rFonts w:hint="cs"/>
          <w:rtl/>
        </w:rPr>
        <w:t xml:space="preserve">(עי' אות </w:t>
      </w:r>
      <w:r w:rsidRPr="00C22039">
        <w:rPr>
          <w:rStyle w:val="aff6"/>
          <w:rtl/>
        </w:rPr>
        <w:fldChar w:fldCharType="begin"/>
      </w:r>
      <w:r w:rsidRPr="00C22039">
        <w:rPr>
          <w:rStyle w:val="aff6"/>
          <w:rtl/>
        </w:rPr>
        <w:instrText xml:space="preserve"> </w:instrText>
      </w:r>
      <w:r w:rsidRPr="00C22039">
        <w:rPr>
          <w:rStyle w:val="aff6"/>
          <w:rFonts w:hint="cs"/>
        </w:rPr>
        <w:instrText>REF</w:instrText>
      </w:r>
      <w:r w:rsidRPr="00C22039">
        <w:rPr>
          <w:rStyle w:val="aff6"/>
          <w:rFonts w:hint="cs"/>
          <w:rtl/>
        </w:rPr>
        <w:instrText xml:space="preserve"> _</w:instrText>
      </w:r>
      <w:r w:rsidRPr="00C22039">
        <w:rPr>
          <w:rStyle w:val="aff6"/>
          <w:rFonts w:hint="cs"/>
        </w:rPr>
        <w:instrText>Ref64479401 \r \h</w:instrText>
      </w:r>
      <w:r w:rsidRPr="00C22039">
        <w:rPr>
          <w:rStyle w:val="aff6"/>
          <w:rtl/>
        </w:rPr>
        <w:instrText xml:space="preserve"> </w:instrText>
      </w:r>
      <w:r w:rsidRPr="00C22039">
        <w:rPr>
          <w:rStyle w:val="aff6"/>
          <w:rtl/>
        </w:rPr>
      </w:r>
      <w:r w:rsidRPr="00C22039">
        <w:rPr>
          <w:rStyle w:val="aff6"/>
          <w:rtl/>
        </w:rPr>
        <w:fldChar w:fldCharType="separate"/>
      </w:r>
      <w:r w:rsidR="00265073">
        <w:rPr>
          <w:rStyle w:val="aff6"/>
          <w:cs/>
        </w:rPr>
        <w:t>‎</w:t>
      </w:r>
      <w:r w:rsidR="00265073">
        <w:rPr>
          <w:rStyle w:val="aff6"/>
          <w:rtl/>
        </w:rPr>
        <w:t>עה)</w:t>
      </w:r>
      <w:r w:rsidRPr="00C22039">
        <w:rPr>
          <w:rStyle w:val="aff6"/>
          <w:rtl/>
        </w:rPr>
        <w:fldChar w:fldCharType="end"/>
      </w:r>
      <w:r>
        <w:rPr>
          <w:rStyle w:val="aff6"/>
          <w:rFonts w:hint="cs"/>
          <w:rtl/>
        </w:rPr>
        <w:t xml:space="preserve"> </w:t>
      </w:r>
      <w:r>
        <w:rPr>
          <w:rStyle w:val="affa"/>
          <w:rFonts w:hint="cs"/>
          <w:rtl/>
        </w:rPr>
        <w:t>ו</w:t>
      </w:r>
      <w:r w:rsidRPr="00C22039">
        <w:rPr>
          <w:rStyle w:val="affa"/>
          <w:rFonts w:hint="cs"/>
          <w:rtl/>
        </w:rPr>
        <w:t>הרמב"ן</w:t>
      </w:r>
      <w:r w:rsidRPr="00C22039">
        <w:rPr>
          <w:rStyle w:val="afb"/>
          <w:rFonts w:hint="cs"/>
          <w:rtl/>
        </w:rPr>
        <w:t xml:space="preserve"> </w:t>
      </w:r>
      <w:r w:rsidRPr="00C22039">
        <w:rPr>
          <w:rStyle w:val="aff6"/>
          <w:rFonts w:hint="cs"/>
          <w:rtl/>
        </w:rPr>
        <w:t xml:space="preserve">(עי' אות </w:t>
      </w:r>
      <w:r w:rsidRPr="00C22039">
        <w:rPr>
          <w:rStyle w:val="aff6"/>
          <w:rtl/>
        </w:rPr>
        <w:fldChar w:fldCharType="begin"/>
      </w:r>
      <w:r w:rsidRPr="00C22039">
        <w:rPr>
          <w:rStyle w:val="aff6"/>
          <w:rtl/>
        </w:rPr>
        <w:instrText xml:space="preserve"> </w:instrText>
      </w:r>
      <w:r w:rsidRPr="00C22039">
        <w:rPr>
          <w:rStyle w:val="aff6"/>
          <w:rFonts w:hint="cs"/>
        </w:rPr>
        <w:instrText>REF</w:instrText>
      </w:r>
      <w:r w:rsidRPr="00C22039">
        <w:rPr>
          <w:rStyle w:val="aff6"/>
          <w:rFonts w:hint="cs"/>
          <w:rtl/>
        </w:rPr>
        <w:instrText xml:space="preserve"> _</w:instrText>
      </w:r>
      <w:r w:rsidRPr="00C22039">
        <w:rPr>
          <w:rStyle w:val="aff6"/>
          <w:rFonts w:hint="cs"/>
        </w:rPr>
        <w:instrText>Ref64475351 \r \h</w:instrText>
      </w:r>
      <w:r w:rsidRPr="00C22039">
        <w:rPr>
          <w:rStyle w:val="aff6"/>
          <w:rtl/>
        </w:rPr>
        <w:instrText xml:space="preserve"> </w:instrText>
      </w:r>
      <w:r w:rsidRPr="00C22039">
        <w:rPr>
          <w:rStyle w:val="aff6"/>
          <w:rtl/>
        </w:rPr>
      </w:r>
      <w:r w:rsidRPr="00C22039">
        <w:rPr>
          <w:rStyle w:val="aff6"/>
          <w:rtl/>
        </w:rPr>
        <w:fldChar w:fldCharType="separate"/>
      </w:r>
      <w:r w:rsidR="00265073">
        <w:rPr>
          <w:rStyle w:val="aff6"/>
          <w:cs/>
        </w:rPr>
        <w:t>‎</w:t>
      </w:r>
      <w:r w:rsidR="00265073">
        <w:rPr>
          <w:rStyle w:val="aff6"/>
          <w:rtl/>
        </w:rPr>
        <w:t>נח)</w:t>
      </w:r>
      <w:r w:rsidRPr="00C22039">
        <w:rPr>
          <w:rStyle w:val="aff6"/>
          <w:rtl/>
        </w:rPr>
        <w:fldChar w:fldCharType="end"/>
      </w:r>
      <w:r w:rsidRPr="00C22039">
        <w:rPr>
          <w:rStyle w:val="afb"/>
          <w:rFonts w:hint="cs"/>
          <w:rtl/>
        </w:rPr>
        <w:t xml:space="preserve"> </w:t>
      </w:r>
      <w:r w:rsidRPr="00C22039">
        <w:rPr>
          <w:rStyle w:val="affa"/>
          <w:rFonts w:hint="cs"/>
          <w:rtl/>
        </w:rPr>
        <w:t>והיד רמ"ה</w:t>
      </w:r>
      <w:r w:rsidRPr="00C22039">
        <w:rPr>
          <w:rStyle w:val="afb"/>
          <w:rFonts w:hint="cs"/>
          <w:rtl/>
        </w:rPr>
        <w:t xml:space="preserve"> </w:t>
      </w:r>
      <w:r w:rsidRPr="00C22039">
        <w:rPr>
          <w:rStyle w:val="aff6"/>
          <w:rFonts w:hint="cs"/>
          <w:rtl/>
        </w:rPr>
        <w:t xml:space="preserve">(עי' אות </w:t>
      </w:r>
      <w:r w:rsidRPr="00C22039">
        <w:rPr>
          <w:rStyle w:val="aff6"/>
          <w:rtl/>
        </w:rPr>
        <w:fldChar w:fldCharType="begin"/>
      </w:r>
      <w:r w:rsidRPr="00C22039">
        <w:rPr>
          <w:rStyle w:val="aff6"/>
          <w:rtl/>
        </w:rPr>
        <w:instrText xml:space="preserve"> </w:instrText>
      </w:r>
      <w:r w:rsidRPr="00C22039">
        <w:rPr>
          <w:rStyle w:val="aff6"/>
          <w:rFonts w:hint="cs"/>
        </w:rPr>
        <w:instrText>REF</w:instrText>
      </w:r>
      <w:r w:rsidRPr="00C22039">
        <w:rPr>
          <w:rStyle w:val="aff6"/>
          <w:rFonts w:hint="cs"/>
          <w:rtl/>
        </w:rPr>
        <w:instrText xml:space="preserve"> _</w:instrText>
      </w:r>
      <w:r w:rsidRPr="00C22039">
        <w:rPr>
          <w:rStyle w:val="aff6"/>
          <w:rFonts w:hint="cs"/>
        </w:rPr>
        <w:instrText>Ref64479368 \r \h</w:instrText>
      </w:r>
      <w:r w:rsidRPr="00C22039">
        <w:rPr>
          <w:rStyle w:val="aff6"/>
          <w:rtl/>
        </w:rPr>
        <w:instrText xml:space="preserve"> </w:instrText>
      </w:r>
      <w:r w:rsidRPr="00C22039">
        <w:rPr>
          <w:rStyle w:val="aff6"/>
          <w:rtl/>
        </w:rPr>
      </w:r>
      <w:r w:rsidRPr="00C22039">
        <w:rPr>
          <w:rStyle w:val="aff6"/>
          <w:rtl/>
        </w:rPr>
        <w:fldChar w:fldCharType="separate"/>
      </w:r>
      <w:r w:rsidR="00265073">
        <w:rPr>
          <w:rStyle w:val="aff6"/>
          <w:cs/>
        </w:rPr>
        <w:t>‎</w:t>
      </w:r>
      <w:r w:rsidR="00265073">
        <w:rPr>
          <w:rStyle w:val="aff6"/>
          <w:rtl/>
        </w:rPr>
        <w:t>עז)</w:t>
      </w:r>
      <w:r w:rsidRPr="00C22039">
        <w:rPr>
          <w:rStyle w:val="aff6"/>
          <w:rtl/>
        </w:rPr>
        <w:fldChar w:fldCharType="end"/>
      </w:r>
      <w:r w:rsidRPr="00C22039">
        <w:rPr>
          <w:rStyle w:val="afb"/>
          <w:rFonts w:hint="cs"/>
          <w:rtl/>
        </w:rPr>
        <w:t>],</w:t>
      </w:r>
      <w:r>
        <w:rPr>
          <w:rFonts w:hint="cs"/>
          <w:rtl/>
        </w:rPr>
        <w:t xml:space="preserve"> דכיון שהקרקע בחזקת רב אידי בין ע"י עדים ובין ע"י הודאתו, א"כ הוא מוכחש במה שטען שהקרקע שלו, ואינו נאמן מדין הפה שאסר.</w:t>
      </w:r>
    </w:p>
    <w:p w:rsidR="00103C1B" w:rsidRDefault="00103C1B" w:rsidP="00103C1B">
      <w:pPr>
        <w:pStyle w:val="a3"/>
        <w:rPr>
          <w:rtl/>
        </w:rPr>
      </w:pPr>
      <w:bookmarkStart w:id="15931" w:name="_Toc64629461"/>
      <w:bookmarkStart w:id="15932" w:name="_Toc64642924"/>
      <w:r>
        <w:rPr>
          <w:rFonts w:hint="cs"/>
          <w:rtl/>
        </w:rPr>
        <w:t>דברי המאירי דאי גרסי' כר"ח א"צ להחזיר את הפירות דלא הוכחשה טענתו ונאמן בהפה שאסר</w:t>
      </w:r>
      <w:bookmarkEnd w:id="15931"/>
      <w:bookmarkEnd w:id="15932"/>
    </w:p>
    <w:p w:rsidR="00103C1B" w:rsidRDefault="00103C1B" w:rsidP="007E4E81">
      <w:pPr>
        <w:pStyle w:val="a0"/>
        <w:rPr>
          <w:rtl/>
        </w:rPr>
      </w:pPr>
      <w:r>
        <w:rPr>
          <w:rFonts w:hint="cs"/>
          <w:rtl/>
        </w:rPr>
        <w:t xml:space="preserve">אך כתב </w:t>
      </w:r>
      <w:r w:rsidRPr="000F791B">
        <w:rPr>
          <w:rStyle w:val="af9"/>
          <w:rFonts w:hint="cs"/>
          <w:rtl/>
        </w:rPr>
        <w:t>המאירי</w:t>
      </w:r>
      <w:r>
        <w:rPr>
          <w:rFonts w:hint="cs"/>
          <w:rtl/>
        </w:rPr>
        <w:t xml:space="preserve"> דאי ההוא גברא טוען שהוא קרוב יותר, ויש עדים שרב אידי קרוב, ולההוא גברא אין עדים שהוא קרוב, </w:t>
      </w:r>
      <w:r w:rsidRPr="00307F50">
        <w:rPr>
          <w:rStyle w:val="afb"/>
          <w:rFonts w:hint="cs"/>
          <w:rtl/>
        </w:rPr>
        <w:t xml:space="preserve">[כגירסת </w:t>
      </w:r>
      <w:r w:rsidRPr="00E425E7">
        <w:rPr>
          <w:rStyle w:val="affa"/>
          <w:rFonts w:hint="cs"/>
          <w:rtl/>
        </w:rPr>
        <w:t>ר"ח</w:t>
      </w:r>
      <w:r w:rsidRPr="00307F50">
        <w:rPr>
          <w:rStyle w:val="afb"/>
          <w:rFonts w:hint="cs"/>
          <w:rtl/>
        </w:rPr>
        <w:t xml:space="preserve"> </w:t>
      </w:r>
      <w:r w:rsidRPr="00FB3CCC">
        <w:rPr>
          <w:rStyle w:val="aff6"/>
          <w:rFonts w:hint="cs"/>
          <w:rtl/>
        </w:rPr>
        <w:t xml:space="preserve">(עי' אות </w:t>
      </w:r>
      <w:r w:rsidRPr="00FB3CCC">
        <w:rPr>
          <w:rStyle w:val="aff6"/>
          <w:rtl/>
        </w:rPr>
        <w:fldChar w:fldCharType="begin"/>
      </w:r>
      <w:r w:rsidRPr="00FB3CCC">
        <w:rPr>
          <w:rStyle w:val="aff6"/>
          <w:rtl/>
        </w:rPr>
        <w:instrText xml:space="preserve"> </w:instrText>
      </w:r>
      <w:r w:rsidRPr="00FB3CCC">
        <w:rPr>
          <w:rStyle w:val="aff6"/>
          <w:rFonts w:hint="cs"/>
        </w:rPr>
        <w:instrText>REF</w:instrText>
      </w:r>
      <w:r w:rsidRPr="00FB3CCC">
        <w:rPr>
          <w:rStyle w:val="aff6"/>
          <w:rFonts w:hint="cs"/>
          <w:rtl/>
        </w:rPr>
        <w:instrText xml:space="preserve"> _</w:instrText>
      </w:r>
      <w:r w:rsidRPr="00FB3CCC">
        <w:rPr>
          <w:rStyle w:val="aff6"/>
          <w:rFonts w:hint="cs"/>
        </w:rPr>
        <w:instrText>Ref64561356 \r \h</w:instrText>
      </w:r>
      <w:r w:rsidRPr="00FB3CCC">
        <w:rPr>
          <w:rStyle w:val="aff6"/>
          <w:rtl/>
        </w:rPr>
        <w:instrText xml:space="preserve"> </w:instrText>
      </w:r>
      <w:r w:rsidRPr="00FB3CCC">
        <w:rPr>
          <w:rStyle w:val="aff6"/>
          <w:rtl/>
        </w:rPr>
      </w:r>
      <w:r w:rsidRPr="00FB3CCC">
        <w:rPr>
          <w:rStyle w:val="aff6"/>
          <w:rtl/>
        </w:rPr>
        <w:fldChar w:fldCharType="separate"/>
      </w:r>
      <w:r w:rsidR="00265073">
        <w:rPr>
          <w:rStyle w:val="aff6"/>
          <w:cs/>
        </w:rPr>
        <w:t>‎</w:t>
      </w:r>
      <w:r w:rsidR="00265073">
        <w:rPr>
          <w:rStyle w:val="aff6"/>
          <w:rtl/>
        </w:rPr>
        <w:t>לח)</w:t>
      </w:r>
      <w:r w:rsidRPr="00FB3CCC">
        <w:rPr>
          <w:rStyle w:val="aff6"/>
          <w:rtl/>
        </w:rPr>
        <w:fldChar w:fldCharType="end"/>
      </w:r>
      <w:r w:rsidRPr="00307F50">
        <w:rPr>
          <w:rStyle w:val="afb"/>
          <w:rFonts w:hint="cs"/>
          <w:rtl/>
        </w:rPr>
        <w:t>],</w:t>
      </w:r>
      <w:r>
        <w:rPr>
          <w:rFonts w:hint="cs"/>
          <w:rtl/>
        </w:rPr>
        <w:t xml:space="preserve"> דאעפ"י שרק קירבתו של רב אידי מבוררת, מ"מ אינו צריך להחזיר את הפירות, כיון שאין עדים שאכל את הפירות, ואף שהוא מודה שאכל, מ"מ אין הכחשה כנגד טענתו, דהא אף ההוא גברא מודה לעדים שרב אידי קרוב, רק הוא טוען שהוא קרוב יותר מרב אידי, ולכן הוא נאמן מדין הפה שאסר.</w:t>
      </w:r>
    </w:p>
    <w:p w:rsidR="00103C1B" w:rsidRPr="008779BB" w:rsidRDefault="00103C1B" w:rsidP="00103C1B">
      <w:pPr>
        <w:pStyle w:val="afe"/>
        <w:rPr>
          <w:rtl/>
        </w:rPr>
      </w:pPr>
      <w:r>
        <w:rPr>
          <w:rFonts w:hint="cs"/>
          <w:rtl/>
        </w:rPr>
        <w:t>ד' התוס' דדין הפירות כקרקע ול"מ מיגו</w:t>
      </w:r>
    </w:p>
    <w:p w:rsidR="00103C1B" w:rsidRDefault="00103C1B" w:rsidP="00103C1B">
      <w:pPr>
        <w:pStyle w:val="1"/>
        <w:rPr>
          <w:rtl/>
        </w:rPr>
      </w:pPr>
      <w:bookmarkStart w:id="15933" w:name="_Toc64576214"/>
      <w:bookmarkStart w:id="15934" w:name="_Toc64588856"/>
      <w:bookmarkStart w:id="15935" w:name="_Toc64629463"/>
      <w:bookmarkStart w:id="15936" w:name="_Toc64642926"/>
      <w:r>
        <w:rPr>
          <w:rFonts w:hint="cs"/>
          <w:rtl/>
        </w:rPr>
        <w:t>קו' התוס' והראשונים</w:t>
      </w:r>
      <w:bookmarkEnd w:id="15933"/>
      <w:bookmarkEnd w:id="15934"/>
      <w:r>
        <w:rPr>
          <w:rFonts w:hint="cs"/>
          <w:rtl/>
        </w:rPr>
        <w:t xml:space="preserve"> דבהודה שאכל ג"ש א"צ להחזיר פירות</w:t>
      </w:r>
      <w:bookmarkEnd w:id="15935"/>
      <w:bookmarkEnd w:id="15936"/>
    </w:p>
    <w:p w:rsidR="00103C1B" w:rsidRPr="00D84AF2" w:rsidRDefault="00103C1B" w:rsidP="00103C1B">
      <w:pPr>
        <w:pStyle w:val="a3"/>
        <w:rPr>
          <w:rtl/>
        </w:rPr>
      </w:pPr>
      <w:bookmarkStart w:id="15937" w:name="_Toc64629464"/>
      <w:bookmarkStart w:id="15938" w:name="_Toc64642927"/>
      <w:r>
        <w:rPr>
          <w:rFonts w:hint="cs"/>
          <w:rtl/>
        </w:rPr>
        <w:t>קושית התוס' והראשונים להחזיר על אביי ורבא דבהודה שאכל ב"ש בלא עדים א"צ להחזיר</w:t>
      </w:r>
      <w:bookmarkEnd w:id="15937"/>
      <w:bookmarkEnd w:id="15938"/>
    </w:p>
    <w:p w:rsidR="00103C1B" w:rsidRDefault="00103C1B" w:rsidP="007E4E81">
      <w:pPr>
        <w:pStyle w:val="a0"/>
        <w:rPr>
          <w:rStyle w:val="afb"/>
          <w:rtl/>
        </w:rPr>
      </w:pPr>
      <w:bookmarkStart w:id="15939" w:name="_Ref64476599"/>
      <w:r>
        <w:rPr>
          <w:rFonts w:hint="cs"/>
          <w:rtl/>
        </w:rPr>
        <w:t xml:space="preserve">בדברי אביי ורבא דאמרו דההוא גברא צריך להחזיר את הפירות, הקשו </w:t>
      </w:r>
      <w:r w:rsidRPr="008076B1">
        <w:rPr>
          <w:rStyle w:val="af9"/>
          <w:rFonts w:hint="cs"/>
          <w:rtl/>
        </w:rPr>
        <w:t>התוס'</w:t>
      </w:r>
      <w:r>
        <w:rPr>
          <w:rFonts w:hint="cs"/>
          <w:rtl/>
        </w:rPr>
        <w:t xml:space="preserve"> </w:t>
      </w:r>
      <w:r w:rsidRPr="00EF35EC">
        <w:rPr>
          <w:rStyle w:val="af7"/>
          <w:rFonts w:eastAsia="Guttman Hodes" w:hint="cs"/>
          <w:rtl/>
        </w:rPr>
        <w:t>(</w:t>
      </w:r>
      <w:r>
        <w:rPr>
          <w:rStyle w:val="af7"/>
          <w:rFonts w:eastAsia="Guttman Hodes" w:hint="cs"/>
          <w:rtl/>
        </w:rPr>
        <w:t>סו</w:t>
      </w:r>
      <w:r w:rsidRPr="00EF35EC">
        <w:rPr>
          <w:rStyle w:val="af7"/>
          <w:rFonts w:eastAsia="Guttman Hodes" w:hint="cs"/>
          <w:rtl/>
        </w:rPr>
        <w:t>ד"ה ה"ג)</w:t>
      </w:r>
      <w:r>
        <w:rPr>
          <w:rFonts w:hint="cs"/>
          <w:rtl/>
        </w:rPr>
        <w:t xml:space="preserve"> </w:t>
      </w:r>
      <w:r w:rsidRPr="004A4D3A">
        <w:rPr>
          <w:rStyle w:val="af9"/>
          <w:rFonts w:hint="cs"/>
          <w:rtl/>
        </w:rPr>
        <w:t>ורבינו יונה</w:t>
      </w:r>
      <w:r>
        <w:rPr>
          <w:rFonts w:hint="cs"/>
          <w:rtl/>
        </w:rPr>
        <w:t xml:space="preserve"> </w:t>
      </w:r>
      <w:r w:rsidRPr="004A4D3A">
        <w:rPr>
          <w:rStyle w:val="af7"/>
          <w:rFonts w:eastAsia="Guttman Hodes" w:hint="cs"/>
          <w:rtl/>
        </w:rPr>
        <w:t>(ד"ה ואי ק"ל)</w:t>
      </w:r>
      <w:r>
        <w:rPr>
          <w:rFonts w:hint="cs"/>
          <w:rtl/>
        </w:rPr>
        <w:t xml:space="preserve"> </w:t>
      </w:r>
      <w:r w:rsidRPr="0009635C">
        <w:rPr>
          <w:rStyle w:val="af9"/>
          <w:rFonts w:hint="cs"/>
          <w:rtl/>
        </w:rPr>
        <w:t>והרשב"א</w:t>
      </w:r>
      <w:r>
        <w:rPr>
          <w:rFonts w:hint="cs"/>
          <w:rtl/>
        </w:rPr>
        <w:t xml:space="preserve"> </w:t>
      </w:r>
      <w:r w:rsidRPr="0009635C">
        <w:rPr>
          <w:rStyle w:val="af7"/>
          <w:rFonts w:eastAsia="Guttman Hodes" w:hint="cs"/>
          <w:rtl/>
        </w:rPr>
        <w:t>(ד"ה וא"ת)</w:t>
      </w:r>
      <w:r>
        <w:rPr>
          <w:rFonts w:hint="cs"/>
          <w:rtl/>
        </w:rPr>
        <w:t xml:space="preserve"> דהא אמרינן בגמ' לקמן </w:t>
      </w:r>
      <w:r w:rsidRPr="004A4D3A">
        <w:rPr>
          <w:rStyle w:val="af7"/>
          <w:rFonts w:eastAsia="Guttman Hodes" w:hint="cs"/>
          <w:rtl/>
        </w:rPr>
        <w:t>(לד.)</w:t>
      </w:r>
      <w:r>
        <w:rPr>
          <w:rFonts w:hint="cs"/>
          <w:rtl/>
        </w:rPr>
        <w:t xml:space="preserve"> דמחזיק שיש לו ע"א שהחזיק ב' שנים בקרקע ואכל את הפירות, דכיון שאין לו חזקת ג"ש, ומודה שאכל פירות ויש ע"א שאכל, הוא חייב שבועה ומתוך שאינו יכול להשבע משלם, </w:t>
      </w:r>
      <w:r>
        <w:rPr>
          <w:rFonts w:hint="cs"/>
          <w:rtl/>
        </w:rPr>
        <w:lastRenderedPageBreak/>
        <w:t>ומבואר דאם אין ע"א שאכל את הפירות, אינו חייב לשלם, אעפ"י שהקרקע יוצאת מתח"י, ע"י שהביא המערער עדים שהוא המרא קמא, והמחזיק מודה שאכל פירות, ולדעת אביי ורבא קשה דכיון שמוציאין את הקרקע מתחת ידו, א"כ אמאי אינו חייב להחזיר את הפירות,</w:t>
      </w:r>
      <w:r>
        <w:rPr>
          <w:rStyle w:val="afb"/>
          <w:rFonts w:hint="cs"/>
          <w:rtl/>
        </w:rPr>
        <w:t xml:space="preserve"> </w:t>
      </w:r>
      <w:r w:rsidRPr="00012F25">
        <w:rPr>
          <w:rStyle w:val="afb"/>
          <w:rFonts w:hint="cs"/>
          <w:rtl/>
        </w:rPr>
        <w:t>[</w:t>
      </w:r>
      <w:r w:rsidRPr="000A7B89">
        <w:rPr>
          <w:rStyle w:val="affa"/>
          <w:rFonts w:hint="cs"/>
          <w:rtl/>
        </w:rPr>
        <w:t>והרשב"א</w:t>
      </w:r>
      <w:r w:rsidRPr="000A7B89">
        <w:rPr>
          <w:rStyle w:val="afb"/>
          <w:rFonts w:hint="cs"/>
          <w:rtl/>
        </w:rPr>
        <w:t xml:space="preserve"> הקשה דאמאי לאביי ורבא אינו נאמן על הפירות מדין הפה שאסר, כד</w:t>
      </w:r>
      <w:r>
        <w:rPr>
          <w:rStyle w:val="afb"/>
          <w:rFonts w:hint="cs"/>
          <w:rtl/>
        </w:rPr>
        <w:t>עת</w:t>
      </w:r>
      <w:r w:rsidRPr="00012F25">
        <w:rPr>
          <w:rStyle w:val="afb"/>
          <w:rFonts w:hint="cs"/>
          <w:rtl/>
        </w:rPr>
        <w:t xml:space="preserve"> </w:t>
      </w:r>
      <w:r w:rsidRPr="00012F25">
        <w:rPr>
          <w:rStyle w:val="affa"/>
          <w:rFonts w:hint="cs"/>
          <w:rtl/>
        </w:rPr>
        <w:t>הרשב"א</w:t>
      </w:r>
      <w:r w:rsidRPr="00012F25">
        <w:rPr>
          <w:rStyle w:val="afb"/>
          <w:rFonts w:hint="cs"/>
          <w:rtl/>
        </w:rPr>
        <w:t xml:space="preserve"> </w:t>
      </w:r>
      <w:r w:rsidRPr="000A7B89">
        <w:rPr>
          <w:rStyle w:val="aff6"/>
          <w:rFonts w:hint="cs"/>
          <w:rtl/>
        </w:rPr>
        <w:t xml:space="preserve">(עי' אות </w:t>
      </w:r>
      <w:r w:rsidRPr="000A7B89">
        <w:rPr>
          <w:rStyle w:val="aff6"/>
          <w:rtl/>
        </w:rPr>
        <w:fldChar w:fldCharType="begin"/>
      </w:r>
      <w:r w:rsidRPr="000A7B89">
        <w:rPr>
          <w:rStyle w:val="aff6"/>
          <w:rtl/>
        </w:rPr>
        <w:instrText xml:space="preserve"> </w:instrText>
      </w:r>
      <w:r w:rsidRPr="000A7B89">
        <w:rPr>
          <w:rStyle w:val="aff6"/>
          <w:rFonts w:hint="cs"/>
        </w:rPr>
        <w:instrText>REF</w:instrText>
      </w:r>
      <w:r w:rsidRPr="000A7B89">
        <w:rPr>
          <w:rStyle w:val="aff6"/>
          <w:rFonts w:hint="cs"/>
          <w:rtl/>
        </w:rPr>
        <w:instrText xml:space="preserve"> _</w:instrText>
      </w:r>
      <w:r w:rsidRPr="000A7B89">
        <w:rPr>
          <w:rStyle w:val="aff6"/>
          <w:rFonts w:hint="cs"/>
        </w:rPr>
        <w:instrText>Ref64586421 \r \h</w:instrText>
      </w:r>
      <w:r w:rsidRPr="000A7B89">
        <w:rPr>
          <w:rStyle w:val="aff6"/>
          <w:rtl/>
        </w:rPr>
        <w:instrText xml:space="preserve"> </w:instrText>
      </w:r>
      <w:r w:rsidRPr="000A7B89">
        <w:rPr>
          <w:rStyle w:val="aff6"/>
          <w:rtl/>
        </w:rPr>
      </w:r>
      <w:r w:rsidRPr="000A7B89">
        <w:rPr>
          <w:rStyle w:val="aff6"/>
          <w:rtl/>
        </w:rPr>
        <w:fldChar w:fldCharType="separate"/>
      </w:r>
      <w:r w:rsidR="00265073">
        <w:rPr>
          <w:rStyle w:val="aff6"/>
          <w:cs/>
        </w:rPr>
        <w:t>‎</w:t>
      </w:r>
      <w:r w:rsidR="00265073">
        <w:rPr>
          <w:rStyle w:val="aff6"/>
          <w:rtl/>
        </w:rPr>
        <w:t>מג)</w:t>
      </w:r>
      <w:r w:rsidRPr="000A7B89">
        <w:rPr>
          <w:rStyle w:val="aff6"/>
          <w:rtl/>
        </w:rPr>
        <w:fldChar w:fldCharType="end"/>
      </w:r>
      <w:r>
        <w:rPr>
          <w:rFonts w:hint="cs"/>
          <w:rtl/>
        </w:rPr>
        <w:t xml:space="preserve"> </w:t>
      </w:r>
      <w:r w:rsidRPr="00012F25">
        <w:rPr>
          <w:rStyle w:val="afb"/>
          <w:rFonts w:hint="cs"/>
          <w:rtl/>
        </w:rPr>
        <w:t>דהנאמנות על הפירות היא מדין הפה שאסר]</w:t>
      </w:r>
      <w:r>
        <w:rPr>
          <w:rStyle w:val="afb"/>
          <w:rFonts w:hint="cs"/>
          <w:rtl/>
        </w:rPr>
        <w:t>,</w:t>
      </w:r>
      <w:r w:rsidRPr="00E977D5">
        <w:rPr>
          <w:rFonts w:hint="cs"/>
          <w:rtl/>
        </w:rPr>
        <w:t xml:space="preserve"> </w:t>
      </w:r>
      <w:r>
        <w:rPr>
          <w:rFonts w:hint="cs"/>
          <w:rtl/>
        </w:rPr>
        <w:t xml:space="preserve">וכעי"ז הקשה </w:t>
      </w:r>
      <w:r w:rsidRPr="00E977D5">
        <w:rPr>
          <w:rStyle w:val="af9"/>
          <w:rFonts w:hint="cs"/>
          <w:rtl/>
        </w:rPr>
        <w:t>הרמב"ן</w:t>
      </w:r>
      <w:r>
        <w:rPr>
          <w:rFonts w:hint="cs"/>
          <w:rtl/>
        </w:rPr>
        <w:t xml:space="preserve"> </w:t>
      </w:r>
      <w:r w:rsidRPr="00E977D5">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Ref64542256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w:t>
      </w:r>
      <w:r>
        <w:rPr>
          <w:rStyle w:val="af7"/>
          <w:rFonts w:eastAsia="Guttman Hodes"/>
          <w:rtl/>
        </w:rPr>
        <w:fldChar w:fldCharType="end"/>
      </w:r>
      <w:r>
        <w:rPr>
          <w:rStyle w:val="af7"/>
          <w:rFonts w:eastAsia="Guttman Hodes" w:hint="cs"/>
          <w:rtl/>
        </w:rPr>
        <w:t xml:space="preserve"> </w:t>
      </w:r>
      <w:r>
        <w:rPr>
          <w:rFonts w:hint="cs"/>
          <w:rtl/>
        </w:rPr>
        <w:t xml:space="preserve">על גירסת </w:t>
      </w:r>
      <w:r w:rsidRPr="00E977D5">
        <w:rPr>
          <w:rStyle w:val="af9"/>
          <w:rFonts w:hint="cs"/>
          <w:rtl/>
        </w:rPr>
        <w:t>ר"ח</w:t>
      </w:r>
      <w:r>
        <w:rPr>
          <w:rFonts w:hint="cs"/>
          <w:rtl/>
        </w:rPr>
        <w:t xml:space="preserve">, ועי' במה שביאר </w:t>
      </w:r>
      <w:r>
        <w:rPr>
          <w:rStyle w:val="af9"/>
          <w:rFonts w:hint="cs"/>
          <w:rtl/>
        </w:rPr>
        <w:t xml:space="preserve">בחו"ש הגרב"ב </w:t>
      </w:r>
      <w:r w:rsidRPr="00690542">
        <w:rPr>
          <w:rStyle w:val="af7"/>
          <w:rFonts w:eastAsia="Guttman Hodes" w:hint="cs"/>
          <w:rtl/>
        </w:rPr>
        <w:t xml:space="preserve">(עי' אות </w:t>
      </w:r>
      <w:r w:rsidRPr="00690542">
        <w:rPr>
          <w:rStyle w:val="af7"/>
          <w:rFonts w:eastAsia="Guttman Hodes"/>
          <w:rtl/>
        </w:rPr>
        <w:fldChar w:fldCharType="begin"/>
      </w:r>
      <w:r w:rsidRPr="00690542">
        <w:rPr>
          <w:rStyle w:val="af7"/>
          <w:rFonts w:eastAsia="Guttman Hodes"/>
          <w:rtl/>
        </w:rPr>
        <w:instrText xml:space="preserve"> </w:instrText>
      </w:r>
      <w:r w:rsidRPr="00690542">
        <w:rPr>
          <w:rStyle w:val="af7"/>
          <w:rFonts w:eastAsia="Guttman Hodes" w:hint="cs"/>
        </w:rPr>
        <w:instrText>REF</w:instrText>
      </w:r>
      <w:r w:rsidRPr="00690542">
        <w:rPr>
          <w:rStyle w:val="af7"/>
          <w:rFonts w:eastAsia="Guttman Hodes" w:hint="cs"/>
          <w:rtl/>
        </w:rPr>
        <w:instrText xml:space="preserve"> _</w:instrText>
      </w:r>
      <w:r w:rsidRPr="00690542">
        <w:rPr>
          <w:rStyle w:val="af7"/>
          <w:rFonts w:eastAsia="Guttman Hodes" w:hint="cs"/>
        </w:rPr>
        <w:instrText>Ref64540081 \r \h</w:instrText>
      </w:r>
      <w:r w:rsidRPr="00690542">
        <w:rPr>
          <w:rStyle w:val="af7"/>
          <w:rFonts w:eastAsia="Guttman Hodes"/>
          <w:rtl/>
        </w:rPr>
        <w:instrText xml:space="preserve"> </w:instrText>
      </w:r>
      <w:r w:rsidRPr="00690542">
        <w:rPr>
          <w:rStyle w:val="af7"/>
          <w:rFonts w:eastAsia="Guttman Hodes"/>
          <w:rtl/>
        </w:rPr>
      </w:r>
      <w:r w:rsidRPr="00690542">
        <w:rPr>
          <w:rStyle w:val="af7"/>
          <w:rFonts w:eastAsia="Guttman Hodes"/>
          <w:rtl/>
        </w:rPr>
        <w:fldChar w:fldCharType="separate"/>
      </w:r>
      <w:r w:rsidR="00265073">
        <w:rPr>
          <w:rStyle w:val="af7"/>
          <w:rFonts w:eastAsia="Guttman Hodes"/>
          <w:cs/>
        </w:rPr>
        <w:t>‎</w:t>
      </w:r>
      <w:r w:rsidR="00265073">
        <w:rPr>
          <w:rStyle w:val="af7"/>
          <w:rFonts w:eastAsia="Guttman Hodes"/>
          <w:rtl/>
        </w:rPr>
        <w:t>קיג)</w:t>
      </w:r>
      <w:r w:rsidRPr="00690542">
        <w:rPr>
          <w:rStyle w:val="af7"/>
          <w:rFonts w:eastAsia="Guttman Hodes"/>
          <w:rtl/>
        </w:rPr>
        <w:fldChar w:fldCharType="end"/>
      </w:r>
      <w:r>
        <w:rPr>
          <w:rFonts w:hint="cs"/>
          <w:rtl/>
        </w:rPr>
        <w:t xml:space="preserve"> בדברי </w:t>
      </w:r>
      <w:r w:rsidRPr="00690542">
        <w:rPr>
          <w:rStyle w:val="af9"/>
          <w:rFonts w:hint="cs"/>
          <w:rtl/>
        </w:rPr>
        <w:t>התוס'</w:t>
      </w:r>
      <w:r>
        <w:rPr>
          <w:rFonts w:hint="cs"/>
          <w:rtl/>
        </w:rPr>
        <w:t>.</w:t>
      </w:r>
      <w:bookmarkEnd w:id="15939"/>
    </w:p>
    <w:p w:rsidR="00103C1B" w:rsidRPr="00FB3CCC" w:rsidRDefault="00103C1B" w:rsidP="00103C1B">
      <w:pPr>
        <w:pStyle w:val="1"/>
        <w:rPr>
          <w:rtl/>
        </w:rPr>
      </w:pPr>
      <w:bookmarkStart w:id="15940" w:name="_Toc64576215"/>
      <w:bookmarkStart w:id="15941" w:name="_Toc64588857"/>
      <w:bookmarkStart w:id="15942" w:name="_Toc64629465"/>
      <w:bookmarkStart w:id="15943" w:name="_Toc64642928"/>
      <w:r>
        <w:rPr>
          <w:rFonts w:hint="cs"/>
          <w:rtl/>
        </w:rPr>
        <w:t>תירוץ התוס'</w:t>
      </w:r>
      <w:bookmarkEnd w:id="15940"/>
      <w:bookmarkEnd w:id="15941"/>
      <w:r>
        <w:rPr>
          <w:rFonts w:hint="cs"/>
          <w:rtl/>
        </w:rPr>
        <w:t xml:space="preserve"> דלטענתו יש לו חזקה וא"א להוציא ממנו פירות</w:t>
      </w:r>
      <w:bookmarkEnd w:id="15942"/>
      <w:bookmarkEnd w:id="15943"/>
    </w:p>
    <w:p w:rsidR="00103C1B" w:rsidRDefault="00103C1B" w:rsidP="00103C1B">
      <w:pPr>
        <w:pStyle w:val="a3"/>
        <w:rPr>
          <w:rtl/>
        </w:rPr>
      </w:pPr>
      <w:bookmarkStart w:id="15944" w:name="_Toc64629466"/>
      <w:bookmarkStart w:id="15945" w:name="_Toc64642929"/>
      <w:r>
        <w:rPr>
          <w:rFonts w:hint="cs"/>
          <w:rtl/>
        </w:rPr>
        <w:t>תי' התוס' דלקמן איירי שטוען שאכל ג"ש ואי נאמן שאכלם א"כ יש לו חזקה וא"א להוציא ממנו</w:t>
      </w:r>
      <w:bookmarkEnd w:id="15944"/>
      <w:bookmarkEnd w:id="15945"/>
    </w:p>
    <w:p w:rsidR="00103C1B" w:rsidRDefault="00103C1B" w:rsidP="007E4E81">
      <w:pPr>
        <w:pStyle w:val="a0"/>
        <w:rPr>
          <w:rStyle w:val="afb"/>
          <w:rtl/>
        </w:rPr>
      </w:pPr>
      <w:bookmarkStart w:id="15946" w:name="_Ref64389009"/>
      <w:r>
        <w:rPr>
          <w:rFonts w:hint="cs"/>
          <w:rtl/>
        </w:rPr>
        <w:t xml:space="preserve">ותירצו </w:t>
      </w:r>
      <w:r w:rsidRPr="0002227D">
        <w:rPr>
          <w:rStyle w:val="af9"/>
          <w:rFonts w:hint="cs"/>
          <w:rtl/>
        </w:rPr>
        <w:t>התוס'</w:t>
      </w:r>
      <w:r>
        <w:rPr>
          <w:rFonts w:hint="cs"/>
          <w:rtl/>
        </w:rPr>
        <w:t xml:space="preserve"> </w:t>
      </w:r>
      <w:r w:rsidRPr="00EF35EC">
        <w:rPr>
          <w:rStyle w:val="af7"/>
          <w:rFonts w:eastAsia="Guttman Hodes" w:hint="cs"/>
          <w:rtl/>
        </w:rPr>
        <w:t>(</w:t>
      </w:r>
      <w:r>
        <w:rPr>
          <w:rStyle w:val="af7"/>
          <w:rFonts w:eastAsia="Guttman Hodes" w:hint="cs"/>
          <w:rtl/>
        </w:rPr>
        <w:t>סו</w:t>
      </w:r>
      <w:r w:rsidRPr="00EF35EC">
        <w:rPr>
          <w:rStyle w:val="af7"/>
          <w:rFonts w:eastAsia="Guttman Hodes" w:hint="cs"/>
          <w:rtl/>
        </w:rPr>
        <w:t>ד"ה ה"ג)</w:t>
      </w:r>
      <w:r>
        <w:rPr>
          <w:rFonts w:hint="cs"/>
          <w:rtl/>
        </w:rPr>
        <w:t xml:space="preserve"> דבגמ' לקמן איירי שהמחזיק טוען שיש לו חזקת ג"ש, ויש לו ע"א רק על ב' שנים, דאם לא היה מביא את הע"א, ודאי שלא היה צריך להחזיר את הפירות, דאעפ"י שאין לו עדים על חזקתו והקרקע יוצאת מתח"י, מ"מ כיון שאם הוא נאמן שאכל פירות ג"ש, ממילא יש לו חזקה וא"א להוציא את הקרקע מתח"י</w:t>
      </w:r>
      <w:bookmarkStart w:id="15947" w:name="_Ref64745503"/>
      <w:r>
        <w:rPr>
          <w:rStyle w:val="af1"/>
          <w:rtl/>
        </w:rPr>
        <w:footnoteReference w:id="113"/>
      </w:r>
      <w:bookmarkEnd w:id="15947"/>
      <w:r>
        <w:rPr>
          <w:rFonts w:hint="cs"/>
          <w:rtl/>
        </w:rPr>
        <w:t xml:space="preserve">, וכתבו </w:t>
      </w:r>
      <w:r w:rsidRPr="00B4265B">
        <w:rPr>
          <w:rStyle w:val="af9"/>
          <w:rFonts w:hint="cs"/>
          <w:rtl/>
        </w:rPr>
        <w:t>התוס'</w:t>
      </w:r>
      <w:r w:rsidRPr="000622BD">
        <w:rPr>
          <w:rFonts w:hint="cs"/>
          <w:rtl/>
        </w:rPr>
        <w:t xml:space="preserve"> </w:t>
      </w:r>
      <w:r>
        <w:rPr>
          <w:rFonts w:hint="cs"/>
          <w:rtl/>
        </w:rPr>
        <w:t>דא"א להאמינו במה שטוען שאכל ג"ש, ולא להאמינו שקנה מהמרא קמא, ונאמר שהוא אכל ג"ש בגזל,</w:t>
      </w:r>
      <w:r w:rsidRPr="00554663">
        <w:rPr>
          <w:rStyle w:val="afb"/>
          <w:rFonts w:hint="cs"/>
          <w:rtl/>
        </w:rPr>
        <w:t xml:space="preserve"> </w:t>
      </w:r>
      <w:r w:rsidRPr="007F2D60">
        <w:rPr>
          <w:rStyle w:val="afb"/>
          <w:rFonts w:hint="cs"/>
          <w:rtl/>
        </w:rPr>
        <w:t xml:space="preserve">[אבל </w:t>
      </w:r>
      <w:r w:rsidRPr="007F2D60">
        <w:rPr>
          <w:rStyle w:val="affa"/>
          <w:rFonts w:hint="cs"/>
          <w:rtl/>
        </w:rPr>
        <w:t>הרמב"ן</w:t>
      </w:r>
      <w:r w:rsidRPr="007F2D60">
        <w:rPr>
          <w:rStyle w:val="afb"/>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Ref64542256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נ)</w:t>
      </w:r>
      <w:r>
        <w:rPr>
          <w:rStyle w:val="aff6"/>
          <w:rtl/>
        </w:rPr>
        <w:fldChar w:fldCharType="end"/>
      </w:r>
      <w:r>
        <w:rPr>
          <w:rStyle w:val="aff6"/>
          <w:rFonts w:hint="cs"/>
          <w:rtl/>
        </w:rPr>
        <w:t xml:space="preserve"> </w:t>
      </w:r>
      <w:r w:rsidRPr="007F2D60">
        <w:rPr>
          <w:rStyle w:val="afb"/>
          <w:rFonts w:hint="cs"/>
          <w:rtl/>
        </w:rPr>
        <w:t>כתב דאף כשאומר שאכל ב' שנים נאמן במיגו</w:t>
      </w:r>
      <w:r>
        <w:rPr>
          <w:rStyle w:val="afb"/>
          <w:rFonts w:hint="cs"/>
          <w:rtl/>
        </w:rPr>
        <w:t xml:space="preserve">, </w:t>
      </w:r>
      <w:r w:rsidRPr="007F2D60">
        <w:rPr>
          <w:rStyle w:val="afb"/>
          <w:rFonts w:hint="cs"/>
          <w:rtl/>
        </w:rPr>
        <w:t xml:space="preserve">ועי' במה </w:t>
      </w:r>
      <w:r>
        <w:rPr>
          <w:rStyle w:val="afb"/>
          <w:rFonts w:hint="cs"/>
          <w:rtl/>
        </w:rPr>
        <w:t>שהאריך לב</w:t>
      </w:r>
      <w:r w:rsidRPr="007F2D60">
        <w:rPr>
          <w:rStyle w:val="afb"/>
          <w:rFonts w:hint="cs"/>
          <w:rtl/>
        </w:rPr>
        <w:t xml:space="preserve">אר </w:t>
      </w:r>
      <w:r w:rsidRPr="007F2D60">
        <w:rPr>
          <w:rStyle w:val="affa"/>
          <w:rFonts w:hint="cs"/>
          <w:rtl/>
        </w:rPr>
        <w:t>החזון יחזקאל</w:t>
      </w:r>
      <w:r w:rsidRPr="007F2D60">
        <w:rPr>
          <w:rStyle w:val="afb"/>
          <w:rFonts w:hint="cs"/>
          <w:rtl/>
        </w:rPr>
        <w:t xml:space="preserve"> </w:t>
      </w:r>
      <w:r w:rsidRPr="007F2D60">
        <w:rPr>
          <w:rStyle w:val="aff6"/>
          <w:rFonts w:hint="cs"/>
          <w:rtl/>
        </w:rPr>
        <w:t xml:space="preserve">(תוספתא פ"ב ה"ד ד"ה ואולי בהכי) </w:t>
      </w:r>
      <w:r>
        <w:rPr>
          <w:rStyle w:val="afb"/>
          <w:rFonts w:hint="cs"/>
          <w:rtl/>
        </w:rPr>
        <w:t xml:space="preserve">את </w:t>
      </w:r>
      <w:r w:rsidRPr="007F2D60">
        <w:rPr>
          <w:rStyle w:val="afb"/>
          <w:rFonts w:hint="cs"/>
          <w:rtl/>
        </w:rPr>
        <w:t xml:space="preserve">פלוגתת </w:t>
      </w:r>
      <w:r w:rsidRPr="007F2D60">
        <w:rPr>
          <w:rStyle w:val="affa"/>
          <w:rFonts w:hint="cs"/>
          <w:rtl/>
        </w:rPr>
        <w:t>התוס' והרמב"ן</w:t>
      </w:r>
      <w:r w:rsidRPr="007F2D60">
        <w:rPr>
          <w:rStyle w:val="afb"/>
          <w:rFonts w:hint="cs"/>
          <w:rtl/>
        </w:rPr>
        <w:t xml:space="preserve"> </w:t>
      </w:r>
      <w:r>
        <w:rPr>
          <w:rStyle w:val="afb"/>
          <w:rFonts w:hint="cs"/>
          <w:rtl/>
        </w:rPr>
        <w:t xml:space="preserve">בדין הפירות, דנחלקו </w:t>
      </w:r>
      <w:r w:rsidRPr="007F2D60">
        <w:rPr>
          <w:rStyle w:val="afb"/>
          <w:rFonts w:hint="cs"/>
          <w:rtl/>
        </w:rPr>
        <w:t>בגדר חזקת ג"ש]</w:t>
      </w:r>
      <w:r>
        <w:rPr>
          <w:rStyle w:val="afb"/>
          <w:rFonts w:hint="cs"/>
          <w:rtl/>
        </w:rPr>
        <w:t>,</w:t>
      </w:r>
      <w:r w:rsidRPr="00CD73B0">
        <w:rPr>
          <w:rFonts w:hint="cs"/>
          <w:rtl/>
        </w:rPr>
        <w:t xml:space="preserve"> </w:t>
      </w:r>
      <w:r>
        <w:rPr>
          <w:rFonts w:hint="cs"/>
          <w:rtl/>
        </w:rPr>
        <w:t xml:space="preserve">ועי' במה שביארו </w:t>
      </w:r>
      <w:r>
        <w:rPr>
          <w:rStyle w:val="af9"/>
          <w:rFonts w:hint="cs"/>
          <w:rtl/>
        </w:rPr>
        <w:t xml:space="preserve">בחו"ש הגרב"ב </w:t>
      </w:r>
      <w:r w:rsidRPr="00027F16">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Ref64640779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Pr>
          <w:rStyle w:val="af7"/>
          <w:rFonts w:eastAsia="Guttman Hodes"/>
          <w:rtl/>
        </w:rPr>
        <w:fldChar w:fldCharType="end"/>
      </w:r>
      <w:r>
        <w:rPr>
          <w:rStyle w:val="af7"/>
          <w:rFonts w:eastAsia="Guttman Hodes" w:hint="cs"/>
          <w:rtl/>
        </w:rPr>
        <w:t xml:space="preserve"> </w:t>
      </w:r>
      <w:r w:rsidRPr="0042614B">
        <w:rPr>
          <w:rStyle w:val="af9"/>
          <w:rFonts w:hint="cs"/>
          <w:rtl/>
        </w:rPr>
        <w:t xml:space="preserve">בחי' רבי נחום </w:t>
      </w:r>
      <w:r w:rsidRPr="0042614B">
        <w:rPr>
          <w:rStyle w:val="af7"/>
          <w:rFonts w:eastAsia="Guttman Hodes" w:hint="cs"/>
          <w:rtl/>
        </w:rPr>
        <w:t xml:space="preserve">(עי' אות </w:t>
      </w:r>
      <w:r w:rsidRPr="0042614B">
        <w:rPr>
          <w:rStyle w:val="af7"/>
          <w:rFonts w:eastAsia="Guttman Hodes"/>
          <w:rtl/>
        </w:rPr>
        <w:fldChar w:fldCharType="begin"/>
      </w:r>
      <w:r w:rsidRPr="0042614B">
        <w:rPr>
          <w:rStyle w:val="af7"/>
          <w:rFonts w:eastAsia="Guttman Hodes"/>
          <w:rtl/>
        </w:rPr>
        <w:instrText xml:space="preserve"> </w:instrText>
      </w:r>
      <w:r w:rsidRPr="0042614B">
        <w:rPr>
          <w:rStyle w:val="af7"/>
          <w:rFonts w:eastAsia="Guttman Hodes" w:hint="cs"/>
        </w:rPr>
        <w:instrText>REF</w:instrText>
      </w:r>
      <w:r w:rsidRPr="0042614B">
        <w:rPr>
          <w:rStyle w:val="af7"/>
          <w:rFonts w:eastAsia="Guttman Hodes" w:hint="cs"/>
          <w:rtl/>
        </w:rPr>
        <w:instrText xml:space="preserve"> _</w:instrText>
      </w:r>
      <w:r w:rsidRPr="0042614B">
        <w:rPr>
          <w:rStyle w:val="af7"/>
          <w:rFonts w:eastAsia="Guttman Hodes" w:hint="cs"/>
        </w:rPr>
        <w:instrText>Ref64563840 \r \h</w:instrText>
      </w:r>
      <w:r w:rsidRPr="0042614B">
        <w:rPr>
          <w:rStyle w:val="af7"/>
          <w:rFonts w:eastAsia="Guttman Hodes"/>
          <w:rtl/>
        </w:rPr>
        <w:instrText xml:space="preserve"> </w:instrText>
      </w:r>
      <w:r w:rsidRPr="0042614B">
        <w:rPr>
          <w:rStyle w:val="af7"/>
          <w:rFonts w:eastAsia="Guttman Hodes"/>
          <w:rtl/>
        </w:rPr>
      </w:r>
      <w:r w:rsidRPr="0042614B">
        <w:rPr>
          <w:rStyle w:val="af7"/>
          <w:rFonts w:eastAsia="Guttman Hodes"/>
          <w:rtl/>
        </w:rPr>
        <w:fldChar w:fldCharType="separate"/>
      </w:r>
      <w:r w:rsidR="00265073">
        <w:rPr>
          <w:rStyle w:val="af7"/>
          <w:rFonts w:eastAsia="Guttman Hodes"/>
          <w:cs/>
        </w:rPr>
        <w:t>‎</w:t>
      </w:r>
      <w:r w:rsidR="00265073">
        <w:rPr>
          <w:rStyle w:val="af7"/>
          <w:rFonts w:eastAsia="Guttman Hodes"/>
          <w:rtl/>
        </w:rPr>
        <w:t>קכט)</w:t>
      </w:r>
      <w:r w:rsidRPr="0042614B">
        <w:rPr>
          <w:rStyle w:val="af7"/>
          <w:rFonts w:eastAsia="Guttman Hodes"/>
          <w:rtl/>
        </w:rPr>
        <w:fldChar w:fldCharType="end"/>
      </w:r>
      <w:r>
        <w:rPr>
          <w:rStyle w:val="af9"/>
          <w:rFonts w:hint="cs"/>
          <w:rtl/>
        </w:rPr>
        <w:t xml:space="preserve"> ו</w:t>
      </w:r>
      <w:r w:rsidRPr="00E17EDE">
        <w:rPr>
          <w:rStyle w:val="af9"/>
          <w:rFonts w:hint="cs"/>
          <w:rtl/>
        </w:rPr>
        <w:t xml:space="preserve">בקוב"ש </w:t>
      </w:r>
      <w:r w:rsidRPr="00C10F6F">
        <w:rPr>
          <w:rStyle w:val="af7"/>
          <w:rFonts w:eastAsia="Guttman Hodes" w:hint="cs"/>
          <w:rtl/>
        </w:rPr>
        <w:t xml:space="preserve">(עי' אות </w:t>
      </w:r>
      <w:r w:rsidRPr="00C10F6F">
        <w:rPr>
          <w:rStyle w:val="af7"/>
          <w:rFonts w:eastAsia="Guttman Hodes"/>
          <w:rtl/>
        </w:rPr>
        <w:fldChar w:fldCharType="begin"/>
      </w:r>
      <w:r w:rsidRPr="00C10F6F">
        <w:rPr>
          <w:rStyle w:val="af7"/>
          <w:rFonts w:eastAsia="Guttman Hodes"/>
          <w:rtl/>
        </w:rPr>
        <w:instrText xml:space="preserve"> </w:instrText>
      </w:r>
      <w:r w:rsidRPr="00C10F6F">
        <w:rPr>
          <w:rStyle w:val="af7"/>
          <w:rFonts w:eastAsia="Guttman Hodes" w:hint="cs"/>
        </w:rPr>
        <w:instrText>REF</w:instrText>
      </w:r>
      <w:r w:rsidRPr="00C10F6F">
        <w:rPr>
          <w:rStyle w:val="af7"/>
          <w:rFonts w:eastAsia="Guttman Hodes" w:hint="cs"/>
          <w:rtl/>
        </w:rPr>
        <w:instrText xml:space="preserve"> _</w:instrText>
      </w:r>
      <w:r w:rsidRPr="00C10F6F">
        <w:rPr>
          <w:rStyle w:val="af7"/>
          <w:rFonts w:eastAsia="Guttman Hodes" w:hint="cs"/>
        </w:rPr>
        <w:instrText>Ref64628737 \r \h</w:instrText>
      </w:r>
      <w:r w:rsidRPr="00C10F6F">
        <w:rPr>
          <w:rStyle w:val="af7"/>
          <w:rFonts w:eastAsia="Guttman Hodes"/>
          <w:rtl/>
        </w:rPr>
        <w:instrText xml:space="preserve"> </w:instrText>
      </w:r>
      <w:r w:rsidRPr="00C10F6F">
        <w:rPr>
          <w:rStyle w:val="af7"/>
          <w:rFonts w:eastAsia="Guttman Hodes"/>
          <w:rtl/>
        </w:rPr>
      </w:r>
      <w:r w:rsidRPr="00C10F6F">
        <w:rPr>
          <w:rStyle w:val="af7"/>
          <w:rFonts w:eastAsia="Guttman Hodes"/>
          <w:rtl/>
        </w:rPr>
        <w:fldChar w:fldCharType="separate"/>
      </w:r>
      <w:r w:rsidR="00265073">
        <w:rPr>
          <w:rStyle w:val="af7"/>
          <w:rFonts w:eastAsia="Guttman Hodes"/>
          <w:cs/>
        </w:rPr>
        <w:t>‎</w:t>
      </w:r>
      <w:r w:rsidR="00265073">
        <w:rPr>
          <w:rStyle w:val="af7"/>
          <w:rFonts w:eastAsia="Guttman Hodes"/>
          <w:rtl/>
        </w:rPr>
        <w:t>קכה)</w:t>
      </w:r>
      <w:r w:rsidRPr="00C10F6F">
        <w:rPr>
          <w:rStyle w:val="af7"/>
          <w:rFonts w:eastAsia="Guttman Hodes"/>
          <w:rtl/>
        </w:rPr>
        <w:fldChar w:fldCharType="end"/>
      </w:r>
      <w:r>
        <w:rPr>
          <w:rStyle w:val="af9"/>
          <w:rFonts w:hint="cs"/>
          <w:rtl/>
        </w:rPr>
        <w:t xml:space="preserve"> וב</w:t>
      </w:r>
      <w:r w:rsidRPr="00D76ED6">
        <w:rPr>
          <w:rStyle w:val="af9"/>
          <w:rFonts w:hint="cs"/>
          <w:rtl/>
        </w:rPr>
        <w:t xml:space="preserve">דברי מרדכי </w:t>
      </w:r>
      <w:r w:rsidRPr="00D65756">
        <w:rPr>
          <w:rStyle w:val="af7"/>
          <w:rFonts w:eastAsia="Guttman Hodes" w:hint="cs"/>
          <w:rtl/>
        </w:rPr>
        <w:t xml:space="preserve">(עי' אות </w:t>
      </w:r>
      <w:r w:rsidRPr="00D65756">
        <w:rPr>
          <w:rStyle w:val="af7"/>
          <w:rFonts w:eastAsia="Guttman Hodes"/>
          <w:rtl/>
        </w:rPr>
        <w:fldChar w:fldCharType="begin"/>
      </w:r>
      <w:r w:rsidRPr="00D65756">
        <w:rPr>
          <w:rStyle w:val="af7"/>
          <w:rFonts w:eastAsia="Guttman Hodes"/>
          <w:rtl/>
        </w:rPr>
        <w:instrText xml:space="preserve"> </w:instrText>
      </w:r>
      <w:r w:rsidRPr="00D65756">
        <w:rPr>
          <w:rStyle w:val="af7"/>
          <w:rFonts w:eastAsia="Guttman Hodes" w:hint="cs"/>
        </w:rPr>
        <w:instrText>REF</w:instrText>
      </w:r>
      <w:r w:rsidRPr="00D65756">
        <w:rPr>
          <w:rStyle w:val="af7"/>
          <w:rFonts w:eastAsia="Guttman Hodes" w:hint="cs"/>
          <w:rtl/>
        </w:rPr>
        <w:instrText xml:space="preserve"> _</w:instrText>
      </w:r>
      <w:r w:rsidRPr="00D65756">
        <w:rPr>
          <w:rStyle w:val="af7"/>
          <w:rFonts w:eastAsia="Guttman Hodes" w:hint="cs"/>
        </w:rPr>
        <w:instrText>Ref64388993 \r \h</w:instrText>
      </w:r>
      <w:r w:rsidRPr="00D65756">
        <w:rPr>
          <w:rStyle w:val="af7"/>
          <w:rFonts w:eastAsia="Guttman Hodes"/>
          <w:rtl/>
        </w:rPr>
        <w:instrText xml:space="preserve"> </w:instrText>
      </w:r>
      <w:r w:rsidRPr="00D65756">
        <w:rPr>
          <w:rStyle w:val="af7"/>
          <w:rFonts w:eastAsia="Guttman Hodes"/>
          <w:rtl/>
        </w:rPr>
      </w:r>
      <w:r w:rsidRPr="00D65756">
        <w:rPr>
          <w:rStyle w:val="af7"/>
          <w:rFonts w:eastAsia="Guttman Hodes"/>
          <w:rtl/>
        </w:rPr>
        <w:fldChar w:fldCharType="separate"/>
      </w:r>
      <w:r w:rsidR="00265073">
        <w:rPr>
          <w:rStyle w:val="af7"/>
          <w:rFonts w:eastAsia="Guttman Hodes"/>
          <w:cs/>
        </w:rPr>
        <w:t>‎</w:t>
      </w:r>
      <w:r w:rsidR="00265073">
        <w:rPr>
          <w:rStyle w:val="af7"/>
          <w:rFonts w:eastAsia="Guttman Hodes"/>
          <w:rtl/>
        </w:rPr>
        <w:t>קכב)</w:t>
      </w:r>
      <w:r w:rsidRPr="00D65756">
        <w:rPr>
          <w:rStyle w:val="af7"/>
          <w:rFonts w:eastAsia="Guttman Hodes"/>
          <w:rtl/>
        </w:rPr>
        <w:fldChar w:fldCharType="end"/>
      </w:r>
      <w:r>
        <w:rPr>
          <w:rFonts w:hint="cs"/>
          <w:rtl/>
        </w:rPr>
        <w:t xml:space="preserve"> בדברי </w:t>
      </w:r>
      <w:r w:rsidRPr="00D76ED6">
        <w:rPr>
          <w:rStyle w:val="af9"/>
          <w:rFonts w:hint="cs"/>
          <w:rtl/>
        </w:rPr>
        <w:t>התוס'</w:t>
      </w:r>
      <w:r>
        <w:rPr>
          <w:rFonts w:hint="cs"/>
          <w:rtl/>
        </w:rPr>
        <w:t>.</w:t>
      </w:r>
      <w:bookmarkEnd w:id="15946"/>
      <w:r w:rsidRPr="007F2D60">
        <w:rPr>
          <w:rFonts w:hint="cs"/>
          <w:rtl/>
        </w:rPr>
        <w:t xml:space="preserve"> </w:t>
      </w:r>
    </w:p>
    <w:p w:rsidR="00103C1B" w:rsidRPr="00D7176B" w:rsidRDefault="00103C1B" w:rsidP="00103C1B">
      <w:pPr>
        <w:pStyle w:val="1"/>
        <w:rPr>
          <w:rtl/>
        </w:rPr>
      </w:pPr>
      <w:bookmarkStart w:id="15948" w:name="_Toc64576216"/>
      <w:bookmarkStart w:id="15949" w:name="_Toc64588858"/>
      <w:bookmarkStart w:id="15950" w:name="_Toc64629467"/>
      <w:bookmarkStart w:id="15951" w:name="_Toc64642930"/>
      <w:r>
        <w:rPr>
          <w:rFonts w:hint="cs"/>
          <w:rtl/>
        </w:rPr>
        <w:t>ביאור הש"ך בפלוג' הראשונים אי נאמן במיגו על הפירות</w:t>
      </w:r>
      <w:bookmarkEnd w:id="15948"/>
      <w:bookmarkEnd w:id="15949"/>
      <w:bookmarkEnd w:id="15950"/>
      <w:bookmarkEnd w:id="15951"/>
    </w:p>
    <w:p w:rsidR="00103C1B" w:rsidRDefault="00103C1B" w:rsidP="00103C1B">
      <w:pPr>
        <w:pStyle w:val="a3"/>
        <w:rPr>
          <w:rtl/>
        </w:rPr>
      </w:pPr>
      <w:bookmarkStart w:id="15952" w:name="_Toc64629468"/>
      <w:bookmarkStart w:id="15953" w:name="_Toc64642931"/>
      <w:r>
        <w:rPr>
          <w:rFonts w:hint="cs"/>
          <w:rtl/>
        </w:rPr>
        <w:t>ביאור הסמ"ע בתוס' דביורש כל שאין לו מיגו בקרקע ויוצאת מתח"י ממילא מחזיר פירות</w:t>
      </w:r>
      <w:bookmarkEnd w:id="15952"/>
      <w:bookmarkEnd w:id="15953"/>
    </w:p>
    <w:p w:rsidR="00103C1B" w:rsidRDefault="00103C1B" w:rsidP="007E4E81">
      <w:pPr>
        <w:pStyle w:val="a0"/>
        <w:rPr>
          <w:rtl/>
        </w:rPr>
      </w:pPr>
      <w:r>
        <w:rPr>
          <w:rFonts w:hint="cs"/>
          <w:rtl/>
        </w:rPr>
        <w:t xml:space="preserve">וביאר </w:t>
      </w:r>
      <w:r w:rsidRPr="00B81A5A">
        <w:rPr>
          <w:rStyle w:val="af9"/>
          <w:rFonts w:hint="cs"/>
          <w:rtl/>
        </w:rPr>
        <w:t>הסמ"ע</w:t>
      </w:r>
      <w:r>
        <w:rPr>
          <w:rFonts w:hint="cs"/>
          <w:rtl/>
        </w:rPr>
        <w:t xml:space="preserve"> </w:t>
      </w:r>
      <w:r w:rsidRPr="00B81A5A">
        <w:rPr>
          <w:rStyle w:val="af7"/>
          <w:rFonts w:eastAsia="Guttman Hodes" w:hint="cs"/>
          <w:rtl/>
        </w:rPr>
        <w:t>(סי' קל"ט סק"ח)</w:t>
      </w:r>
      <w:r>
        <w:rPr>
          <w:rFonts w:hint="cs"/>
          <w:rtl/>
        </w:rPr>
        <w:t xml:space="preserve"> את דברי </w:t>
      </w:r>
      <w:r w:rsidRPr="00D84AF2">
        <w:rPr>
          <w:rStyle w:val="af9"/>
          <w:rFonts w:hint="cs"/>
          <w:rtl/>
        </w:rPr>
        <w:t>התוס'</w:t>
      </w:r>
      <w:r>
        <w:rPr>
          <w:rFonts w:hint="cs"/>
          <w:rtl/>
        </w:rPr>
        <w:t xml:space="preserve"> </w:t>
      </w:r>
      <w:r w:rsidRPr="00D84AF2">
        <w:rPr>
          <w:rStyle w:val="af7"/>
          <w:rFonts w:eastAsia="Guttman Hodes" w:hint="cs"/>
          <w:rtl/>
        </w:rPr>
        <w:t xml:space="preserve">(עי' אות </w:t>
      </w:r>
      <w:r w:rsidRPr="00D84AF2">
        <w:rPr>
          <w:rStyle w:val="af7"/>
          <w:rFonts w:eastAsia="Guttman Hodes"/>
          <w:rtl/>
        </w:rPr>
        <w:fldChar w:fldCharType="begin"/>
      </w:r>
      <w:r w:rsidRPr="00D84AF2">
        <w:rPr>
          <w:rStyle w:val="af7"/>
          <w:rFonts w:eastAsia="Guttman Hodes"/>
          <w:rtl/>
        </w:rPr>
        <w:instrText xml:space="preserve"> </w:instrText>
      </w:r>
      <w:r w:rsidRPr="00D84AF2">
        <w:rPr>
          <w:rStyle w:val="af7"/>
          <w:rFonts w:eastAsia="Guttman Hodes" w:hint="cs"/>
        </w:rPr>
        <w:instrText>REF</w:instrText>
      </w:r>
      <w:r w:rsidRPr="00D84AF2">
        <w:rPr>
          <w:rStyle w:val="af7"/>
          <w:rFonts w:eastAsia="Guttman Hodes" w:hint="cs"/>
          <w:rtl/>
        </w:rPr>
        <w:instrText xml:space="preserve"> _</w:instrText>
      </w:r>
      <w:r w:rsidRPr="00D84AF2">
        <w:rPr>
          <w:rStyle w:val="af7"/>
          <w:rFonts w:eastAsia="Guttman Hodes" w:hint="cs"/>
        </w:rPr>
        <w:instrText>Ref64389009 \r \h</w:instrText>
      </w:r>
      <w:r w:rsidRPr="00D84AF2">
        <w:rPr>
          <w:rStyle w:val="af7"/>
          <w:rFonts w:eastAsia="Guttman Hodes"/>
          <w:rtl/>
        </w:rPr>
        <w:instrText xml:space="preserve"> </w:instrText>
      </w:r>
      <w:r w:rsidRPr="00D84AF2">
        <w:rPr>
          <w:rStyle w:val="af7"/>
          <w:rFonts w:eastAsia="Guttman Hodes"/>
          <w:rtl/>
        </w:rPr>
      </w:r>
      <w:r w:rsidRPr="00D84AF2">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D84AF2">
        <w:rPr>
          <w:rStyle w:val="af7"/>
          <w:rFonts w:eastAsia="Guttman Hodes"/>
          <w:rtl/>
        </w:rPr>
        <w:fldChar w:fldCharType="end"/>
      </w:r>
      <w:r>
        <w:rPr>
          <w:rFonts w:hint="cs"/>
          <w:rtl/>
        </w:rPr>
        <w:t xml:space="preserve"> דרק בלוקח אכילת ג"ש היא ראיה, ואי נאמן בטענתו שאכל ג"ש, א"כ יש לו חזקה, אבל ביורש אף שאין עדים שאכל ורק הוא הודה שאכל ג"ש, ס"ל לאביי ורבא דצריך להחזיר את הפירות, כיון שאינו טוען שקנה את הקרקע, אלא טוען שהוא יורש, והאכילה של הפירות אינה כל ראיה שהוא היורש, וכיון שכל הזכות שיש לו בפירות היא מכח הקרקע, לכן כל שיש עדים שרב אידי קרוב והקרקע יוצאת מתח"י, ואין לו מיגו על הקרקע, </w:t>
      </w:r>
      <w:r>
        <w:rPr>
          <w:rStyle w:val="afb"/>
          <w:rFonts w:hint="cs"/>
          <w:rtl/>
        </w:rPr>
        <w:t>[</w:t>
      </w:r>
      <w:r w:rsidRPr="00307F50">
        <w:rPr>
          <w:rStyle w:val="afb"/>
          <w:rFonts w:hint="cs"/>
          <w:rtl/>
        </w:rPr>
        <w:t xml:space="preserve">כגירסת </w:t>
      </w:r>
      <w:r w:rsidRPr="00E425E7">
        <w:rPr>
          <w:rStyle w:val="affa"/>
          <w:rFonts w:hint="cs"/>
          <w:rtl/>
        </w:rPr>
        <w:t>ר"ח</w:t>
      </w:r>
      <w:r w:rsidRPr="00307F50">
        <w:rPr>
          <w:rStyle w:val="afb"/>
          <w:rFonts w:hint="cs"/>
          <w:rtl/>
        </w:rPr>
        <w:t xml:space="preserve"> </w:t>
      </w:r>
      <w:r w:rsidRPr="00FB3CCC">
        <w:rPr>
          <w:rStyle w:val="aff6"/>
          <w:rFonts w:hint="cs"/>
          <w:rtl/>
        </w:rPr>
        <w:t xml:space="preserve">(עי' אות </w:t>
      </w:r>
      <w:r w:rsidRPr="00FB3CCC">
        <w:rPr>
          <w:rStyle w:val="aff6"/>
          <w:rtl/>
        </w:rPr>
        <w:fldChar w:fldCharType="begin"/>
      </w:r>
      <w:r w:rsidRPr="00FB3CCC">
        <w:rPr>
          <w:rStyle w:val="aff6"/>
          <w:rtl/>
        </w:rPr>
        <w:instrText xml:space="preserve"> </w:instrText>
      </w:r>
      <w:r w:rsidRPr="00FB3CCC">
        <w:rPr>
          <w:rStyle w:val="aff6"/>
          <w:rFonts w:hint="cs"/>
        </w:rPr>
        <w:instrText>REF</w:instrText>
      </w:r>
      <w:r w:rsidRPr="00FB3CCC">
        <w:rPr>
          <w:rStyle w:val="aff6"/>
          <w:rFonts w:hint="cs"/>
          <w:rtl/>
        </w:rPr>
        <w:instrText xml:space="preserve"> _</w:instrText>
      </w:r>
      <w:r w:rsidRPr="00FB3CCC">
        <w:rPr>
          <w:rStyle w:val="aff6"/>
          <w:rFonts w:hint="cs"/>
        </w:rPr>
        <w:instrText>Ref64561356 \r \h</w:instrText>
      </w:r>
      <w:r w:rsidRPr="00FB3CCC">
        <w:rPr>
          <w:rStyle w:val="aff6"/>
          <w:rtl/>
        </w:rPr>
        <w:instrText xml:space="preserve"> </w:instrText>
      </w:r>
      <w:r w:rsidRPr="00FB3CCC">
        <w:rPr>
          <w:rStyle w:val="aff6"/>
          <w:rtl/>
        </w:rPr>
      </w:r>
      <w:r w:rsidRPr="00FB3CCC">
        <w:rPr>
          <w:rStyle w:val="aff6"/>
          <w:rtl/>
        </w:rPr>
        <w:fldChar w:fldCharType="separate"/>
      </w:r>
      <w:r w:rsidR="00265073">
        <w:rPr>
          <w:rStyle w:val="aff6"/>
          <w:cs/>
        </w:rPr>
        <w:t>‎</w:t>
      </w:r>
      <w:r w:rsidR="00265073">
        <w:rPr>
          <w:rStyle w:val="aff6"/>
          <w:rtl/>
        </w:rPr>
        <w:t>לח)</w:t>
      </w:r>
      <w:r w:rsidRPr="00FB3CCC">
        <w:rPr>
          <w:rStyle w:val="aff6"/>
          <w:rtl/>
        </w:rPr>
        <w:fldChar w:fldCharType="end"/>
      </w:r>
      <w:r w:rsidRPr="00307F50">
        <w:rPr>
          <w:rStyle w:val="afb"/>
          <w:rFonts w:hint="cs"/>
          <w:rtl/>
        </w:rPr>
        <w:t>],</w:t>
      </w:r>
      <w:r>
        <w:rPr>
          <w:rFonts w:hint="cs"/>
          <w:rtl/>
        </w:rPr>
        <w:t xml:space="preserve"> ממילא הוא צריך להחזיר את הפירות.</w:t>
      </w:r>
    </w:p>
    <w:p w:rsidR="00103C1B" w:rsidRPr="008511BD" w:rsidRDefault="00103C1B" w:rsidP="00103C1B">
      <w:pPr>
        <w:pStyle w:val="a3"/>
        <w:rPr>
          <w:rtl/>
        </w:rPr>
      </w:pPr>
      <w:bookmarkStart w:id="15954" w:name="_Toc64629469"/>
      <w:bookmarkStart w:id="15955" w:name="_Toc64642932"/>
      <w:r>
        <w:rPr>
          <w:rFonts w:hint="cs"/>
          <w:rtl/>
        </w:rPr>
        <w:t>דברי הש"ך דלרשב"ם והרמב"ן והריב"ש והבעה"מ אף שלא נאמן בקרקע יש לו מיגו בפירות</w:t>
      </w:r>
      <w:bookmarkEnd w:id="15954"/>
      <w:bookmarkEnd w:id="15955"/>
    </w:p>
    <w:p w:rsidR="00103C1B" w:rsidRPr="00F16352" w:rsidRDefault="00103C1B" w:rsidP="007E4E81">
      <w:pPr>
        <w:pStyle w:val="a0"/>
        <w:rPr>
          <w:rStyle w:val="afb"/>
          <w:rtl/>
        </w:rPr>
      </w:pPr>
      <w:bookmarkStart w:id="15956" w:name="_Ref64542143"/>
      <w:r>
        <w:rPr>
          <w:rFonts w:hint="cs"/>
          <w:rtl/>
        </w:rPr>
        <w:t xml:space="preserve">אך כתב </w:t>
      </w:r>
      <w:r w:rsidRPr="00B81A5A">
        <w:rPr>
          <w:rStyle w:val="af9"/>
          <w:rFonts w:hint="cs"/>
          <w:rtl/>
        </w:rPr>
        <w:t>הש"ך</w:t>
      </w:r>
      <w:r>
        <w:rPr>
          <w:rFonts w:hint="cs"/>
          <w:rtl/>
        </w:rPr>
        <w:t xml:space="preserve"> </w:t>
      </w:r>
      <w:r w:rsidRPr="00B81A5A">
        <w:rPr>
          <w:rStyle w:val="af7"/>
          <w:rFonts w:eastAsia="Guttman Hodes" w:hint="cs"/>
          <w:rtl/>
        </w:rPr>
        <w:t>(סי' קל"ט סק"ה)</w:t>
      </w:r>
      <w:r>
        <w:rPr>
          <w:rFonts w:hint="cs"/>
          <w:rtl/>
        </w:rPr>
        <w:t xml:space="preserve"> דמדברי </w:t>
      </w:r>
      <w:r w:rsidRPr="00E977D5">
        <w:rPr>
          <w:rStyle w:val="af9"/>
          <w:rFonts w:hint="cs"/>
          <w:rtl/>
        </w:rPr>
        <w:t>הרמב"ן</w:t>
      </w:r>
      <w:r>
        <w:rPr>
          <w:rFonts w:hint="cs"/>
          <w:rtl/>
        </w:rPr>
        <w:t xml:space="preserve"> </w:t>
      </w:r>
      <w:r w:rsidRPr="00E977D5">
        <w:rPr>
          <w:rStyle w:val="af7"/>
          <w:rFonts w:eastAsia="Guttman Hodes" w:hint="cs"/>
          <w:rtl/>
        </w:rPr>
        <w:t xml:space="preserve">(עי'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Ref64542256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w:t>
      </w:r>
      <w:r>
        <w:rPr>
          <w:rStyle w:val="af7"/>
          <w:rFonts w:eastAsia="Guttman Hodes"/>
          <w:rtl/>
        </w:rPr>
        <w:fldChar w:fldCharType="end"/>
      </w:r>
      <w:r>
        <w:rPr>
          <w:rStyle w:val="af7"/>
          <w:rFonts w:eastAsia="Guttman Hodes" w:hint="cs"/>
          <w:rtl/>
        </w:rPr>
        <w:t xml:space="preserve"> </w:t>
      </w:r>
      <w:r>
        <w:rPr>
          <w:rFonts w:hint="cs"/>
          <w:rtl/>
        </w:rPr>
        <w:t xml:space="preserve">מבואר דפליג על </w:t>
      </w:r>
      <w:r w:rsidRPr="00D84AF2">
        <w:rPr>
          <w:rStyle w:val="af9"/>
          <w:rFonts w:hint="cs"/>
          <w:rtl/>
        </w:rPr>
        <w:t>התוס'</w:t>
      </w:r>
      <w:r>
        <w:rPr>
          <w:rFonts w:hint="cs"/>
          <w:rtl/>
        </w:rPr>
        <w:t xml:space="preserve"> </w:t>
      </w:r>
      <w:r w:rsidRPr="00D84AF2">
        <w:rPr>
          <w:rStyle w:val="af7"/>
          <w:rFonts w:eastAsia="Guttman Hodes" w:hint="cs"/>
          <w:rtl/>
        </w:rPr>
        <w:t xml:space="preserve">(עי' אות </w:t>
      </w:r>
      <w:r w:rsidRPr="00D84AF2">
        <w:rPr>
          <w:rStyle w:val="af7"/>
          <w:rFonts w:eastAsia="Guttman Hodes"/>
          <w:rtl/>
        </w:rPr>
        <w:fldChar w:fldCharType="begin"/>
      </w:r>
      <w:r w:rsidRPr="00D84AF2">
        <w:rPr>
          <w:rStyle w:val="af7"/>
          <w:rFonts w:eastAsia="Guttman Hodes"/>
          <w:rtl/>
        </w:rPr>
        <w:instrText xml:space="preserve"> </w:instrText>
      </w:r>
      <w:r w:rsidRPr="00D84AF2">
        <w:rPr>
          <w:rStyle w:val="af7"/>
          <w:rFonts w:eastAsia="Guttman Hodes" w:hint="cs"/>
        </w:rPr>
        <w:instrText>REF</w:instrText>
      </w:r>
      <w:r w:rsidRPr="00D84AF2">
        <w:rPr>
          <w:rStyle w:val="af7"/>
          <w:rFonts w:eastAsia="Guttman Hodes" w:hint="cs"/>
          <w:rtl/>
        </w:rPr>
        <w:instrText xml:space="preserve"> _</w:instrText>
      </w:r>
      <w:r w:rsidRPr="00D84AF2">
        <w:rPr>
          <w:rStyle w:val="af7"/>
          <w:rFonts w:eastAsia="Guttman Hodes" w:hint="cs"/>
        </w:rPr>
        <w:instrText>Ref64389009 \r \h</w:instrText>
      </w:r>
      <w:r w:rsidRPr="00D84AF2">
        <w:rPr>
          <w:rStyle w:val="af7"/>
          <w:rFonts w:eastAsia="Guttman Hodes"/>
          <w:rtl/>
        </w:rPr>
        <w:instrText xml:space="preserve"> </w:instrText>
      </w:r>
      <w:r w:rsidRPr="00D84AF2">
        <w:rPr>
          <w:rStyle w:val="af7"/>
          <w:rFonts w:eastAsia="Guttman Hodes"/>
          <w:rtl/>
        </w:rPr>
      </w:r>
      <w:r w:rsidRPr="00D84AF2">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D84AF2">
        <w:rPr>
          <w:rStyle w:val="af7"/>
          <w:rFonts w:eastAsia="Guttman Hodes"/>
          <w:rtl/>
        </w:rPr>
        <w:fldChar w:fldCharType="end"/>
      </w:r>
      <w:r>
        <w:rPr>
          <w:rFonts w:hint="cs"/>
          <w:rtl/>
        </w:rPr>
        <w:t xml:space="preserve">, וס"ל </w:t>
      </w:r>
      <w:r w:rsidRPr="00B81A5A">
        <w:rPr>
          <w:rStyle w:val="af9"/>
          <w:rFonts w:hint="cs"/>
          <w:rtl/>
        </w:rPr>
        <w:t>להרמב"ן</w:t>
      </w:r>
      <w:r>
        <w:rPr>
          <w:rFonts w:hint="cs"/>
          <w:rtl/>
        </w:rPr>
        <w:t xml:space="preserve"> דאף שאינו נאמן על הקרקע מ"מ נאמן על הפירות, וכתב </w:t>
      </w:r>
      <w:r w:rsidRPr="00B81A5A">
        <w:rPr>
          <w:rStyle w:val="af9"/>
          <w:rFonts w:hint="cs"/>
          <w:rtl/>
        </w:rPr>
        <w:t>הש"ך</w:t>
      </w:r>
      <w:r>
        <w:rPr>
          <w:rFonts w:hint="cs"/>
          <w:rtl/>
        </w:rPr>
        <w:t xml:space="preserve"> דרק במקום שאף ההוא גברא עצמו מסופק אם הוא קרוב יותר, כתב </w:t>
      </w:r>
      <w:r w:rsidRPr="00FE55DC">
        <w:rPr>
          <w:rStyle w:val="af9"/>
          <w:rFonts w:hint="cs"/>
          <w:rtl/>
        </w:rPr>
        <w:t>הרמב"ן</w:t>
      </w:r>
      <w:r w:rsidRPr="00FC19CE">
        <w:rPr>
          <w:rStyle w:val="af7"/>
          <w:rFonts w:eastAsia="Guttman Hodes" w:hint="cs"/>
          <w:rtl/>
        </w:rPr>
        <w:t xml:space="preserve"> (עי' אות </w:t>
      </w:r>
      <w:r w:rsidRPr="00FC19CE">
        <w:rPr>
          <w:rStyle w:val="af7"/>
          <w:rFonts w:eastAsia="Guttman Hodes"/>
          <w:rtl/>
        </w:rPr>
        <w:fldChar w:fldCharType="begin"/>
      </w:r>
      <w:r w:rsidRPr="00FC19CE">
        <w:rPr>
          <w:rStyle w:val="af7"/>
          <w:rFonts w:eastAsia="Guttman Hodes"/>
          <w:rtl/>
        </w:rPr>
        <w:instrText xml:space="preserve"> </w:instrText>
      </w:r>
      <w:r w:rsidRPr="00FC19CE">
        <w:rPr>
          <w:rStyle w:val="af7"/>
          <w:rFonts w:eastAsia="Guttman Hodes" w:hint="cs"/>
        </w:rPr>
        <w:instrText>REF</w:instrText>
      </w:r>
      <w:r w:rsidRPr="00FC19CE">
        <w:rPr>
          <w:rStyle w:val="af7"/>
          <w:rFonts w:eastAsia="Guttman Hodes" w:hint="cs"/>
          <w:rtl/>
        </w:rPr>
        <w:instrText xml:space="preserve"> _</w:instrText>
      </w:r>
      <w:r w:rsidRPr="00FC19CE">
        <w:rPr>
          <w:rStyle w:val="af7"/>
          <w:rFonts w:eastAsia="Guttman Hodes" w:hint="cs"/>
        </w:rPr>
        <w:instrText>Ref64625553 \r \h</w:instrText>
      </w:r>
      <w:r w:rsidRPr="00FC19CE">
        <w:rPr>
          <w:rStyle w:val="af7"/>
          <w:rFonts w:eastAsia="Guttman Hodes"/>
          <w:rtl/>
        </w:rPr>
        <w:instrText xml:space="preserve"> </w:instrText>
      </w:r>
      <w:r w:rsidRPr="00FC19CE">
        <w:rPr>
          <w:rStyle w:val="af7"/>
          <w:rFonts w:eastAsia="Guttman Hodes"/>
          <w:rtl/>
        </w:rPr>
      </w:r>
      <w:r w:rsidRPr="00FC19CE">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sidRPr="00FC19CE">
        <w:rPr>
          <w:rStyle w:val="af7"/>
          <w:rFonts w:eastAsia="Guttman Hodes"/>
          <w:rtl/>
        </w:rPr>
        <w:fldChar w:fldCharType="end"/>
      </w:r>
      <w:r w:rsidRPr="00FC19CE">
        <w:rPr>
          <w:rStyle w:val="af7"/>
          <w:rFonts w:eastAsia="Guttman Hodes" w:hint="cs"/>
          <w:rtl/>
        </w:rPr>
        <w:t xml:space="preserve"> </w:t>
      </w:r>
      <w:r>
        <w:rPr>
          <w:rFonts w:hint="cs"/>
          <w:rtl/>
        </w:rPr>
        <w:t xml:space="preserve">דאינו נאמן במיגו, דאין ספק מוציא מידי ודאי, </w:t>
      </w:r>
      <w:r w:rsidRPr="009F534B">
        <w:rPr>
          <w:rStyle w:val="afb"/>
          <w:rFonts w:hint="cs"/>
          <w:rtl/>
        </w:rPr>
        <w:t xml:space="preserve">[דהקשה </w:t>
      </w:r>
      <w:r w:rsidRPr="00C20C1E">
        <w:rPr>
          <w:rStyle w:val="affa"/>
          <w:rFonts w:hint="cs"/>
          <w:rtl/>
        </w:rPr>
        <w:t xml:space="preserve">הרמב"ן </w:t>
      </w:r>
      <w:r w:rsidRPr="009F534B">
        <w:rPr>
          <w:rStyle w:val="afb"/>
          <w:rFonts w:hint="cs"/>
          <w:rtl/>
        </w:rPr>
        <w:t xml:space="preserve">על גירסת </w:t>
      </w:r>
      <w:r w:rsidRPr="009F534B">
        <w:rPr>
          <w:rStyle w:val="affa"/>
          <w:rFonts w:hint="cs"/>
          <w:rtl/>
        </w:rPr>
        <w:t>ר"ח</w:t>
      </w:r>
      <w:r w:rsidRPr="009F534B">
        <w:rPr>
          <w:rStyle w:val="afb"/>
          <w:rFonts w:hint="cs"/>
          <w:rtl/>
        </w:rPr>
        <w:t xml:space="preserve"> דאי יש עדים שרב אידי קרוב, אך אינם מעידים </w:t>
      </w:r>
      <w:r>
        <w:rPr>
          <w:rStyle w:val="afb"/>
          <w:rFonts w:hint="cs"/>
          <w:rtl/>
        </w:rPr>
        <w:t>ש</w:t>
      </w:r>
      <w:r w:rsidRPr="009F534B">
        <w:rPr>
          <w:rStyle w:val="afb"/>
          <w:rFonts w:hint="cs"/>
          <w:rtl/>
        </w:rPr>
        <w:t>הוא קרוב יותר, ואין עדים על הפירות</w:t>
      </w:r>
      <w:r>
        <w:rPr>
          <w:rStyle w:val="afb"/>
          <w:rFonts w:hint="cs"/>
          <w:rtl/>
        </w:rPr>
        <w:t>,</w:t>
      </w:r>
      <w:r w:rsidRPr="009F534B">
        <w:rPr>
          <w:rStyle w:val="afb"/>
          <w:rFonts w:hint="cs"/>
          <w:rtl/>
        </w:rPr>
        <w:t xml:space="preserve"> א"כ </w:t>
      </w:r>
      <w:r>
        <w:rPr>
          <w:rStyle w:val="afb"/>
          <w:rFonts w:hint="cs"/>
          <w:rtl/>
        </w:rPr>
        <w:t xml:space="preserve">אף שמעמידים את הקרקע בידי רב אידי, מ"מ על הפירות </w:t>
      </w:r>
      <w:r w:rsidRPr="009F534B">
        <w:rPr>
          <w:rStyle w:val="afb"/>
          <w:rFonts w:hint="cs"/>
          <w:rtl/>
        </w:rPr>
        <w:t>נאמן</w:t>
      </w:r>
      <w:r>
        <w:rPr>
          <w:rStyle w:val="afb"/>
          <w:rFonts w:hint="cs"/>
          <w:rtl/>
        </w:rPr>
        <w:t xml:space="preserve"> ההוא גברא </w:t>
      </w:r>
      <w:r w:rsidRPr="009F534B">
        <w:rPr>
          <w:rStyle w:val="afb"/>
          <w:rFonts w:hint="cs"/>
          <w:rtl/>
        </w:rPr>
        <w:t>לומר אין אכלי ודידי אכלי</w:t>
      </w:r>
      <w:r>
        <w:rPr>
          <w:rStyle w:val="afb"/>
          <w:rFonts w:hint="cs"/>
          <w:rtl/>
        </w:rPr>
        <w:t>,</w:t>
      </w:r>
      <w:r w:rsidRPr="009F534B">
        <w:rPr>
          <w:rStyle w:val="afb"/>
          <w:rFonts w:hint="cs"/>
          <w:rtl/>
        </w:rPr>
        <w:t xml:space="preserve"> </w:t>
      </w:r>
      <w:r>
        <w:rPr>
          <w:rStyle w:val="afb"/>
          <w:rFonts w:hint="cs"/>
          <w:rtl/>
        </w:rPr>
        <w:t>ב</w:t>
      </w:r>
      <w:r w:rsidRPr="009F534B">
        <w:rPr>
          <w:rStyle w:val="afb"/>
          <w:rFonts w:hint="cs"/>
          <w:rtl/>
        </w:rPr>
        <w:t>מיגו ד</w:t>
      </w:r>
      <w:r>
        <w:rPr>
          <w:rStyle w:val="afb"/>
          <w:rFonts w:hint="cs"/>
          <w:rtl/>
        </w:rPr>
        <w:t xml:space="preserve">היה </w:t>
      </w:r>
      <w:r w:rsidRPr="009F534B">
        <w:rPr>
          <w:rStyle w:val="afb"/>
          <w:rFonts w:hint="cs"/>
          <w:rtl/>
        </w:rPr>
        <w:t>יכול לומר שלא אכל],</w:t>
      </w:r>
      <w:r>
        <w:rPr>
          <w:rFonts w:hint="cs"/>
          <w:rtl/>
        </w:rPr>
        <w:t xml:space="preserve"> וכתב </w:t>
      </w:r>
      <w:r w:rsidRPr="00B81A5A">
        <w:rPr>
          <w:rStyle w:val="af9"/>
          <w:rFonts w:hint="cs"/>
          <w:rtl/>
        </w:rPr>
        <w:t>הש"ך</w:t>
      </w:r>
      <w:r>
        <w:rPr>
          <w:rFonts w:hint="cs"/>
          <w:rtl/>
        </w:rPr>
        <w:t xml:space="preserve"> דכן דעת </w:t>
      </w:r>
      <w:r w:rsidRPr="00B81A5A">
        <w:rPr>
          <w:rStyle w:val="af9"/>
          <w:rFonts w:hint="cs"/>
          <w:rtl/>
        </w:rPr>
        <w:t>הריב"ש</w:t>
      </w:r>
      <w:r>
        <w:rPr>
          <w:rFonts w:hint="cs"/>
          <w:rtl/>
        </w:rPr>
        <w:t xml:space="preserve"> </w:t>
      </w:r>
      <w:r w:rsidRPr="00B81A5A">
        <w:rPr>
          <w:rStyle w:val="af7"/>
          <w:rFonts w:eastAsia="Guttman Hodes" w:hint="cs"/>
          <w:rtl/>
        </w:rPr>
        <w:t>(עי'</w:t>
      </w:r>
      <w:r>
        <w:rPr>
          <w:rFonts w:hint="cs"/>
          <w:rtl/>
        </w:rPr>
        <w:t xml:space="preserve"> </w:t>
      </w:r>
      <w:r w:rsidRPr="00B81A5A">
        <w:rPr>
          <w:rStyle w:val="af7"/>
          <w:rFonts w:eastAsia="Guttman Hodes" w:hint="cs"/>
          <w:rtl/>
        </w:rPr>
        <w:t>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Ref64625697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צה)</w:t>
      </w:r>
      <w:r>
        <w:rPr>
          <w:rStyle w:val="af7"/>
          <w:rFonts w:eastAsia="Guttman Hodes"/>
          <w:rtl/>
        </w:rPr>
        <w:fldChar w:fldCharType="end"/>
      </w:r>
      <w:r w:rsidRPr="00B81A5A">
        <w:rPr>
          <w:rStyle w:val="af7"/>
          <w:rFonts w:eastAsia="Guttman Hodes" w:hint="cs"/>
          <w:rtl/>
        </w:rPr>
        <w:t xml:space="preserve"> </w:t>
      </w:r>
      <w:r>
        <w:rPr>
          <w:rFonts w:hint="cs"/>
          <w:rtl/>
        </w:rPr>
        <w:t xml:space="preserve">דאף שאינו נאמן על הקרקע, מ"מ נאמן במיגו על הפירות, </w:t>
      </w:r>
      <w:r w:rsidRPr="00E96D7A">
        <w:rPr>
          <w:rStyle w:val="afb"/>
          <w:rFonts w:hint="cs"/>
          <w:rtl/>
        </w:rPr>
        <w:t>[</w:t>
      </w:r>
      <w:r>
        <w:rPr>
          <w:rStyle w:val="afb"/>
          <w:rFonts w:hint="cs"/>
          <w:rtl/>
        </w:rPr>
        <w:t xml:space="preserve">דכתב </w:t>
      </w:r>
      <w:r w:rsidRPr="00FC19CE">
        <w:rPr>
          <w:rStyle w:val="affa"/>
          <w:rFonts w:hint="cs"/>
          <w:rtl/>
        </w:rPr>
        <w:t>הריב"ש</w:t>
      </w:r>
      <w:r>
        <w:rPr>
          <w:rStyle w:val="afb"/>
          <w:rFonts w:hint="cs"/>
          <w:rtl/>
        </w:rPr>
        <w:t xml:space="preserve"> ד</w:t>
      </w:r>
      <w:r w:rsidRPr="00D0391F">
        <w:rPr>
          <w:rStyle w:val="afb"/>
          <w:rtl/>
        </w:rPr>
        <w:t>ס"ל לאביי ורבא דלא אמרינן מיגו שהספק יוציא מודאי, אבל במקום שאין המיגו נגד עדים, וכן אין המיגו מוציא מודאי לספק, הוא נאמן במיגו לגבי הפירות, אעפ"י שאינו נאמן על הקרקע עצמה שאין לו מיגו</w:t>
      </w:r>
      <w:r w:rsidRPr="00E96D7A">
        <w:rPr>
          <w:rStyle w:val="afb"/>
          <w:rFonts w:hint="cs"/>
          <w:rtl/>
        </w:rPr>
        <w:t>],</w:t>
      </w:r>
      <w:r>
        <w:rPr>
          <w:rFonts w:hint="cs"/>
          <w:rtl/>
        </w:rPr>
        <w:t xml:space="preserve"> וכתב </w:t>
      </w:r>
      <w:r w:rsidRPr="00B81A5A">
        <w:rPr>
          <w:rStyle w:val="af9"/>
          <w:rFonts w:hint="cs"/>
          <w:rtl/>
        </w:rPr>
        <w:t>הש"ך</w:t>
      </w:r>
      <w:r>
        <w:rPr>
          <w:rFonts w:hint="cs"/>
          <w:rtl/>
        </w:rPr>
        <w:t xml:space="preserve"> דכן דעת </w:t>
      </w:r>
      <w:r w:rsidRPr="00B81A5A">
        <w:rPr>
          <w:rStyle w:val="af9"/>
          <w:rFonts w:hint="cs"/>
          <w:rtl/>
        </w:rPr>
        <w:t>הרשב"ם</w:t>
      </w:r>
      <w:r>
        <w:rPr>
          <w:rFonts w:hint="cs"/>
          <w:rtl/>
        </w:rPr>
        <w:t xml:space="preserve"> </w:t>
      </w:r>
      <w:r w:rsidRPr="00B81A5A">
        <w:rPr>
          <w:rStyle w:val="af7"/>
          <w:rFonts w:eastAsia="Guttman Hodes" w:hint="cs"/>
          <w:rtl/>
        </w:rPr>
        <w:t xml:space="preserve">(עי' אות </w:t>
      </w:r>
      <w:r w:rsidRPr="00B81A5A">
        <w:rPr>
          <w:rStyle w:val="af7"/>
          <w:rFonts w:eastAsia="Guttman Hodes"/>
          <w:rtl/>
        </w:rPr>
        <w:fldChar w:fldCharType="begin"/>
      </w:r>
      <w:r w:rsidRPr="00B81A5A">
        <w:rPr>
          <w:rStyle w:val="af7"/>
          <w:rFonts w:eastAsia="Guttman Hodes"/>
          <w:rtl/>
        </w:rPr>
        <w:instrText xml:space="preserve"> </w:instrText>
      </w:r>
      <w:r w:rsidRPr="00B81A5A">
        <w:rPr>
          <w:rStyle w:val="af7"/>
          <w:rFonts w:eastAsia="Guttman Hodes" w:hint="cs"/>
        </w:rPr>
        <w:instrText>REF</w:instrText>
      </w:r>
      <w:r w:rsidRPr="00B81A5A">
        <w:rPr>
          <w:rStyle w:val="af7"/>
          <w:rFonts w:eastAsia="Guttman Hodes" w:hint="cs"/>
          <w:rtl/>
        </w:rPr>
        <w:instrText xml:space="preserve"> _</w:instrText>
      </w:r>
      <w:r w:rsidRPr="00B81A5A">
        <w:rPr>
          <w:rStyle w:val="af7"/>
          <w:rFonts w:eastAsia="Guttman Hodes" w:hint="cs"/>
        </w:rPr>
        <w:instrText>Ref64539680 \r \h</w:instrText>
      </w:r>
      <w:r w:rsidRPr="00B81A5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81A5A">
        <w:rPr>
          <w:rStyle w:val="af7"/>
          <w:rFonts w:eastAsia="Guttman Hodes"/>
          <w:rtl/>
        </w:rPr>
      </w:r>
      <w:r w:rsidRPr="00B81A5A">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B81A5A">
        <w:rPr>
          <w:rStyle w:val="af7"/>
          <w:rFonts w:eastAsia="Guttman Hodes"/>
          <w:rtl/>
        </w:rPr>
        <w:fldChar w:fldCharType="end"/>
      </w:r>
      <w:r w:rsidRPr="00D35D0A">
        <w:rPr>
          <w:rStyle w:val="af9"/>
          <w:rFonts w:hint="cs"/>
          <w:rtl/>
        </w:rPr>
        <w:t xml:space="preserve"> </w:t>
      </w:r>
      <w:r>
        <w:rPr>
          <w:rFonts w:hint="cs"/>
          <w:rtl/>
        </w:rPr>
        <w:t xml:space="preserve">דאף שאינו נאמן על הקרקע, מ"מ נאמן במיגו על הפירות, </w:t>
      </w:r>
      <w:r w:rsidRPr="00E96D7A">
        <w:rPr>
          <w:rStyle w:val="afb"/>
          <w:rFonts w:hint="cs"/>
          <w:rtl/>
        </w:rPr>
        <w:t>[</w:t>
      </w:r>
      <w:r>
        <w:rPr>
          <w:rStyle w:val="afb"/>
          <w:rFonts w:hint="cs"/>
          <w:rtl/>
        </w:rPr>
        <w:t xml:space="preserve">דכתב </w:t>
      </w:r>
      <w:r w:rsidRPr="00FC19CE">
        <w:rPr>
          <w:rStyle w:val="affa"/>
          <w:rFonts w:hint="cs"/>
          <w:rtl/>
        </w:rPr>
        <w:t>הרשב"ם</w:t>
      </w:r>
      <w:r>
        <w:rPr>
          <w:rStyle w:val="afb"/>
          <w:rFonts w:hint="cs"/>
          <w:rtl/>
        </w:rPr>
        <w:t xml:space="preserve"> דב</w:t>
      </w:r>
      <w:r w:rsidRPr="00211D1D">
        <w:rPr>
          <w:rStyle w:val="afb"/>
          <w:rtl/>
        </w:rPr>
        <w:t xml:space="preserve">טוען המחזיק מינך זבינתה ואכלתיה </w:t>
      </w:r>
      <w:r>
        <w:rPr>
          <w:rStyle w:val="afb"/>
          <w:rFonts w:hint="cs"/>
          <w:rtl/>
        </w:rPr>
        <w:t>ג"ש</w:t>
      </w:r>
      <w:r w:rsidRPr="00211D1D">
        <w:rPr>
          <w:rStyle w:val="afb"/>
          <w:rtl/>
        </w:rPr>
        <w:t xml:space="preserve">, ואין עדים על אכילת הפירות, </w:t>
      </w:r>
      <w:r w:rsidRPr="00404E99">
        <w:rPr>
          <w:rStyle w:val="afb"/>
          <w:rtl/>
        </w:rPr>
        <w:t xml:space="preserve">אף שהקרקע יוצאת מתח"י א"צ להחזיר את הפירות, </w:t>
      </w:r>
      <w:r>
        <w:rPr>
          <w:rStyle w:val="afb"/>
          <w:rFonts w:hint="cs"/>
          <w:rtl/>
        </w:rPr>
        <w:t>דנ</w:t>
      </w:r>
      <w:r w:rsidRPr="00404E99">
        <w:rPr>
          <w:rStyle w:val="afb"/>
          <w:rtl/>
        </w:rPr>
        <w:t xml:space="preserve">אמן במיגו דהיה יכול לטעון שאכל מעט פירות, כגון דעייל כורא ואפיק מעט יותר מכורא דמהני לחזקה, ולכן אף כשטוען שאכל הרבה פירות והם שלו </w:t>
      </w:r>
      <w:r>
        <w:rPr>
          <w:rStyle w:val="afb"/>
          <w:rFonts w:hint="cs"/>
          <w:rtl/>
        </w:rPr>
        <w:t>ד</w:t>
      </w:r>
      <w:r w:rsidRPr="00404E99">
        <w:rPr>
          <w:rStyle w:val="afb"/>
          <w:rtl/>
        </w:rPr>
        <w:t>קנה את הקרקע</w:t>
      </w:r>
      <w:r>
        <w:rPr>
          <w:rStyle w:val="afb"/>
          <w:rFonts w:hint="cs"/>
          <w:rtl/>
        </w:rPr>
        <w:t>,</w:t>
      </w:r>
      <w:r w:rsidRPr="00495F1A">
        <w:rPr>
          <w:rStyle w:val="afb"/>
          <w:rtl/>
        </w:rPr>
        <w:t xml:space="preserve"> </w:t>
      </w:r>
      <w:r w:rsidRPr="00404E99">
        <w:rPr>
          <w:rStyle w:val="afb"/>
          <w:rtl/>
        </w:rPr>
        <w:t>נאמן</w:t>
      </w:r>
      <w:r>
        <w:rPr>
          <w:rStyle w:val="afb"/>
          <w:rFonts w:hint="cs"/>
          <w:rtl/>
        </w:rPr>
        <w:t xml:space="preserve"> על הפירות</w:t>
      </w:r>
      <w:r w:rsidRPr="00E96D7A">
        <w:rPr>
          <w:rStyle w:val="afb"/>
          <w:rFonts w:hint="cs"/>
          <w:rtl/>
        </w:rPr>
        <w:t>],</w:t>
      </w:r>
      <w:r>
        <w:rPr>
          <w:rFonts w:hint="cs"/>
          <w:rtl/>
        </w:rPr>
        <w:t xml:space="preserve"> וכתב </w:t>
      </w:r>
      <w:r w:rsidRPr="00B81A5A">
        <w:rPr>
          <w:rStyle w:val="af9"/>
          <w:rFonts w:hint="cs"/>
          <w:rtl/>
        </w:rPr>
        <w:t>הש"ך</w:t>
      </w:r>
      <w:r>
        <w:rPr>
          <w:rFonts w:hint="cs"/>
          <w:rtl/>
        </w:rPr>
        <w:t xml:space="preserve"> דכן משמע מדברי </w:t>
      </w:r>
      <w:r w:rsidRPr="00B81A5A">
        <w:rPr>
          <w:rStyle w:val="af9"/>
          <w:rFonts w:hint="cs"/>
          <w:rtl/>
        </w:rPr>
        <w:t>הבעה"מ</w:t>
      </w:r>
      <w:r>
        <w:rPr>
          <w:rFonts w:hint="cs"/>
          <w:rtl/>
        </w:rPr>
        <w:t xml:space="preserve"> </w:t>
      </w:r>
      <w:r w:rsidRPr="00B81A5A">
        <w:rPr>
          <w:rStyle w:val="af7"/>
          <w:rFonts w:eastAsia="Guttman Hodes" w:hint="cs"/>
          <w:rtl/>
        </w:rPr>
        <w:t xml:space="preserve">(עי' אות </w:t>
      </w:r>
      <w:r w:rsidRPr="00B81A5A">
        <w:rPr>
          <w:rStyle w:val="af7"/>
          <w:rFonts w:eastAsia="Guttman Hodes"/>
          <w:rtl/>
        </w:rPr>
        <w:fldChar w:fldCharType="begin"/>
      </w:r>
      <w:r w:rsidRPr="00B81A5A">
        <w:rPr>
          <w:rStyle w:val="af7"/>
          <w:rFonts w:eastAsia="Guttman Hodes"/>
          <w:rtl/>
        </w:rPr>
        <w:instrText xml:space="preserve"> </w:instrText>
      </w:r>
      <w:r w:rsidRPr="00B81A5A">
        <w:rPr>
          <w:rStyle w:val="af7"/>
          <w:rFonts w:eastAsia="Guttman Hodes" w:hint="cs"/>
        </w:rPr>
        <w:instrText>REF</w:instrText>
      </w:r>
      <w:r w:rsidRPr="00B81A5A">
        <w:rPr>
          <w:rStyle w:val="af7"/>
          <w:rFonts w:eastAsia="Guttman Hodes" w:hint="cs"/>
          <w:rtl/>
        </w:rPr>
        <w:instrText xml:space="preserve"> _</w:instrText>
      </w:r>
      <w:r w:rsidRPr="00B81A5A">
        <w:rPr>
          <w:rStyle w:val="af7"/>
          <w:rFonts w:eastAsia="Guttman Hodes" w:hint="cs"/>
        </w:rPr>
        <w:instrText>Ref64542078 \r \h</w:instrText>
      </w:r>
      <w:r w:rsidRPr="00B81A5A">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81A5A">
        <w:rPr>
          <w:rStyle w:val="af7"/>
          <w:rFonts w:eastAsia="Guttman Hodes"/>
          <w:rtl/>
        </w:rPr>
      </w:r>
      <w:r w:rsidRPr="00B81A5A">
        <w:rPr>
          <w:rStyle w:val="af7"/>
          <w:rFonts w:eastAsia="Guttman Hodes"/>
          <w:rtl/>
        </w:rPr>
        <w:fldChar w:fldCharType="separate"/>
      </w:r>
      <w:r w:rsidR="00265073">
        <w:rPr>
          <w:rStyle w:val="af7"/>
          <w:rFonts w:eastAsia="Guttman Hodes"/>
          <w:cs/>
        </w:rPr>
        <w:t>‎</w:t>
      </w:r>
      <w:r w:rsidR="00265073">
        <w:rPr>
          <w:rStyle w:val="af7"/>
          <w:rFonts w:eastAsia="Guttman Hodes"/>
          <w:rtl/>
        </w:rPr>
        <w:t>נה)</w:t>
      </w:r>
      <w:r w:rsidRPr="00B81A5A">
        <w:rPr>
          <w:rStyle w:val="af7"/>
          <w:rFonts w:eastAsia="Guttman Hodes"/>
          <w:rtl/>
        </w:rPr>
        <w:fldChar w:fldCharType="end"/>
      </w:r>
      <w:r w:rsidRPr="00900518">
        <w:rPr>
          <w:rStyle w:val="afb"/>
          <w:rFonts w:hint="cs"/>
          <w:rtl/>
        </w:rPr>
        <w:t xml:space="preserve"> </w:t>
      </w:r>
      <w:r>
        <w:rPr>
          <w:rFonts w:hint="cs"/>
          <w:rtl/>
        </w:rPr>
        <w:t>דאף שאינו נאמן על הקרקע, מ"מ נאמן במיגו על הפירות.</w:t>
      </w:r>
      <w:r w:rsidRPr="00E96D7A">
        <w:rPr>
          <w:rStyle w:val="afb"/>
          <w:rFonts w:hint="cs"/>
          <w:rtl/>
        </w:rPr>
        <w:t xml:space="preserve"> [</w:t>
      </w:r>
      <w:r>
        <w:rPr>
          <w:rStyle w:val="afb"/>
          <w:rFonts w:hint="cs"/>
          <w:rtl/>
        </w:rPr>
        <w:t xml:space="preserve">דכתב </w:t>
      </w:r>
      <w:r w:rsidRPr="00FC19CE">
        <w:rPr>
          <w:rStyle w:val="affa"/>
          <w:rFonts w:hint="cs"/>
          <w:rtl/>
        </w:rPr>
        <w:t>הבעה"מ</w:t>
      </w:r>
      <w:r>
        <w:rPr>
          <w:rStyle w:val="afb"/>
          <w:rFonts w:hint="cs"/>
          <w:rtl/>
        </w:rPr>
        <w:t xml:space="preserve"> </w:t>
      </w:r>
      <w:r w:rsidRPr="00900518">
        <w:rPr>
          <w:rStyle w:val="afb"/>
          <w:rtl/>
        </w:rPr>
        <w:t>דבמקום שטוען שאכל פירות ג"ש, דאעפ"י דהדרא ארעא, מ"מ על הפירות הוא נאמן לומר אין אכלי ודידי אכלי, במיגו דהיה יכול לומר שלא אכל פירות מעולם</w:t>
      </w:r>
      <w:r w:rsidRPr="00E96D7A">
        <w:rPr>
          <w:rStyle w:val="afb"/>
          <w:rFonts w:hint="cs"/>
          <w:rtl/>
        </w:rPr>
        <w:t>]</w:t>
      </w:r>
      <w:r>
        <w:rPr>
          <w:rFonts w:hint="cs"/>
          <w:rtl/>
        </w:rPr>
        <w:t xml:space="preserve">, ועי' במ"ש </w:t>
      </w:r>
      <w:r w:rsidRPr="002A5364">
        <w:rPr>
          <w:rStyle w:val="af9"/>
          <w:rFonts w:hint="cs"/>
          <w:rtl/>
        </w:rPr>
        <w:t>בחי' רבי שמואל</w:t>
      </w:r>
      <w:r>
        <w:rPr>
          <w:rFonts w:hint="cs"/>
          <w:rtl/>
        </w:rPr>
        <w:t xml:space="preserve"> </w:t>
      </w:r>
      <w:r w:rsidRPr="00DF6AE1">
        <w:rPr>
          <w:rStyle w:val="af7"/>
          <w:rFonts w:eastAsia="Guttman Hodes" w:hint="cs"/>
          <w:rtl/>
        </w:rPr>
        <w:t xml:space="preserve">(עי' אות </w:t>
      </w:r>
      <w:r w:rsidRPr="00DF6AE1">
        <w:rPr>
          <w:rStyle w:val="af7"/>
          <w:rFonts w:eastAsia="Guttman Hodes"/>
          <w:rtl/>
        </w:rPr>
        <w:fldChar w:fldCharType="begin"/>
      </w:r>
      <w:r w:rsidRPr="00DF6AE1">
        <w:rPr>
          <w:rStyle w:val="af7"/>
          <w:rFonts w:eastAsia="Guttman Hodes"/>
          <w:rtl/>
        </w:rPr>
        <w:instrText xml:space="preserve"> </w:instrText>
      </w:r>
      <w:r w:rsidRPr="00DF6AE1">
        <w:rPr>
          <w:rStyle w:val="af7"/>
          <w:rFonts w:eastAsia="Guttman Hodes" w:hint="cs"/>
        </w:rPr>
        <w:instrText>REF</w:instrText>
      </w:r>
      <w:r w:rsidRPr="00DF6AE1">
        <w:rPr>
          <w:rStyle w:val="af7"/>
          <w:rFonts w:eastAsia="Guttman Hodes" w:hint="cs"/>
          <w:rtl/>
        </w:rPr>
        <w:instrText xml:space="preserve"> _</w:instrText>
      </w:r>
      <w:r w:rsidRPr="00DF6AE1">
        <w:rPr>
          <w:rStyle w:val="af7"/>
          <w:rFonts w:eastAsia="Guttman Hodes" w:hint="cs"/>
        </w:rPr>
        <w:instrText>Ref64642011 \r \h</w:instrText>
      </w:r>
      <w:r w:rsidRPr="00DF6AE1">
        <w:rPr>
          <w:rStyle w:val="af7"/>
          <w:rFonts w:eastAsia="Guttman Hodes"/>
          <w:rtl/>
        </w:rPr>
        <w:instrText xml:space="preserve"> </w:instrText>
      </w:r>
      <w:r w:rsidRPr="00DF6AE1">
        <w:rPr>
          <w:rStyle w:val="af7"/>
          <w:rFonts w:eastAsia="Guttman Hodes"/>
          <w:rtl/>
        </w:rPr>
      </w:r>
      <w:r w:rsidRPr="00DF6AE1">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sidRPr="00DF6AE1">
        <w:rPr>
          <w:rStyle w:val="af7"/>
          <w:rFonts w:eastAsia="Guttman Hodes"/>
          <w:rtl/>
        </w:rPr>
        <w:fldChar w:fldCharType="end"/>
      </w:r>
      <w:r>
        <w:rPr>
          <w:rFonts w:hint="cs"/>
          <w:rtl/>
        </w:rPr>
        <w:t xml:space="preserve"> בדברי </w:t>
      </w:r>
      <w:r w:rsidRPr="00DF6AE1">
        <w:rPr>
          <w:rStyle w:val="af9"/>
          <w:rFonts w:hint="cs"/>
          <w:rtl/>
        </w:rPr>
        <w:t>הש"ך</w:t>
      </w:r>
      <w:r>
        <w:rPr>
          <w:rFonts w:hint="cs"/>
          <w:rtl/>
        </w:rPr>
        <w:t xml:space="preserve"> בדעת </w:t>
      </w:r>
      <w:r w:rsidRPr="00DF6AE1">
        <w:rPr>
          <w:rStyle w:val="af9"/>
          <w:rFonts w:hint="cs"/>
          <w:rtl/>
        </w:rPr>
        <w:t>הריב"ש</w:t>
      </w:r>
      <w:r>
        <w:rPr>
          <w:rFonts w:hint="cs"/>
          <w:rtl/>
        </w:rPr>
        <w:t>.</w:t>
      </w:r>
      <w:bookmarkEnd w:id="15956"/>
      <w:r>
        <w:rPr>
          <w:rFonts w:hint="cs"/>
          <w:rtl/>
        </w:rPr>
        <w:t xml:space="preserve"> </w:t>
      </w:r>
      <w:r w:rsidRPr="00F16352">
        <w:rPr>
          <w:rStyle w:val="afb"/>
          <w:rFonts w:hint="cs"/>
          <w:rtl/>
        </w:rPr>
        <w:t>[וע"ע</w:t>
      </w:r>
      <w:r>
        <w:rPr>
          <w:rFonts w:hint="cs"/>
          <w:rtl/>
        </w:rPr>
        <w:t xml:space="preserve"> </w:t>
      </w:r>
      <w:r w:rsidRPr="00F16352">
        <w:rPr>
          <w:rStyle w:val="affa"/>
          <w:rFonts w:hint="cs"/>
          <w:rtl/>
        </w:rPr>
        <w:t xml:space="preserve">בשער משפט </w:t>
      </w:r>
      <w:r w:rsidRPr="00F16352">
        <w:rPr>
          <w:rStyle w:val="aff6"/>
          <w:rFonts w:hint="cs"/>
          <w:rtl/>
        </w:rPr>
        <w:t>(עי'</w:t>
      </w:r>
      <w:r>
        <w:rPr>
          <w:rFonts w:hint="cs"/>
          <w:rtl/>
        </w:rPr>
        <w:t xml:space="preserve"> </w:t>
      </w:r>
      <w:r w:rsidRPr="00F16352">
        <w:rPr>
          <w:rStyle w:val="aff6"/>
          <w:rFonts w:hint="cs"/>
          <w:rtl/>
        </w:rPr>
        <w:t>הערה</w:t>
      </w:r>
      <w:r w:rsidRPr="00F16352">
        <w:rPr>
          <w:vertAlign w:val="superscript"/>
          <w:rtl/>
        </w:rPr>
        <w:fldChar w:fldCharType="begin"/>
      </w:r>
      <w:r w:rsidRPr="00F16352">
        <w:rPr>
          <w:vertAlign w:val="superscript"/>
          <w:rtl/>
        </w:rPr>
        <w:instrText xml:space="preserve"> </w:instrText>
      </w:r>
      <w:r w:rsidRPr="00F16352">
        <w:rPr>
          <w:rFonts w:hint="cs"/>
          <w:vertAlign w:val="superscript"/>
        </w:rPr>
        <w:instrText>NOTEREF</w:instrText>
      </w:r>
      <w:r w:rsidRPr="00F16352">
        <w:rPr>
          <w:rFonts w:hint="cs"/>
          <w:vertAlign w:val="superscript"/>
          <w:rtl/>
        </w:rPr>
        <w:instrText xml:space="preserve"> _</w:instrText>
      </w:r>
      <w:r w:rsidRPr="00F16352">
        <w:rPr>
          <w:rFonts w:hint="cs"/>
          <w:vertAlign w:val="superscript"/>
        </w:rPr>
        <w:instrText>Ref64745503 \h</w:instrText>
      </w:r>
      <w:r w:rsidRPr="00F16352">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F16352">
        <w:rPr>
          <w:vertAlign w:val="superscript"/>
          <w:rtl/>
        </w:rPr>
      </w:r>
      <w:r w:rsidRPr="00F16352">
        <w:rPr>
          <w:vertAlign w:val="superscript"/>
          <w:rtl/>
        </w:rPr>
        <w:fldChar w:fldCharType="separate"/>
      </w:r>
      <w:r w:rsidR="00265073">
        <w:rPr>
          <w:vertAlign w:val="superscript"/>
          <w:rtl/>
        </w:rPr>
        <w:t>113</w:t>
      </w:r>
      <w:r w:rsidRPr="00F16352">
        <w:rPr>
          <w:vertAlign w:val="superscript"/>
          <w:rtl/>
        </w:rPr>
        <w:fldChar w:fldCharType="end"/>
      </w:r>
      <w:r w:rsidRPr="00F16352">
        <w:rPr>
          <w:rStyle w:val="aff6"/>
          <w:rFonts w:hint="cs"/>
          <w:rtl/>
        </w:rPr>
        <w:t>)</w:t>
      </w:r>
      <w:r>
        <w:rPr>
          <w:rFonts w:hint="cs"/>
          <w:rtl/>
        </w:rPr>
        <w:t xml:space="preserve"> </w:t>
      </w:r>
      <w:r w:rsidRPr="00F16352">
        <w:rPr>
          <w:rStyle w:val="afb"/>
          <w:rFonts w:hint="cs"/>
          <w:rtl/>
        </w:rPr>
        <w:t xml:space="preserve">דביאר את דברי </w:t>
      </w:r>
      <w:r w:rsidRPr="00F16352">
        <w:rPr>
          <w:rStyle w:val="affa"/>
          <w:rFonts w:hint="cs"/>
          <w:rtl/>
        </w:rPr>
        <w:t xml:space="preserve">התוס' </w:t>
      </w:r>
      <w:r w:rsidRPr="00F16352">
        <w:rPr>
          <w:rStyle w:val="afb"/>
          <w:rFonts w:hint="cs"/>
          <w:rtl/>
        </w:rPr>
        <w:t xml:space="preserve">עפי"ד </w:t>
      </w:r>
      <w:r w:rsidRPr="00F16352">
        <w:rPr>
          <w:rStyle w:val="affa"/>
          <w:rFonts w:hint="cs"/>
          <w:rtl/>
        </w:rPr>
        <w:t>הריב"ש</w:t>
      </w:r>
      <w:r w:rsidRPr="00F16352">
        <w:rPr>
          <w:rStyle w:val="afb"/>
          <w:rFonts w:hint="cs"/>
          <w:rtl/>
        </w:rPr>
        <w:t xml:space="preserve">, ומשמע דס"ל דלא פליגי </w:t>
      </w:r>
      <w:r w:rsidRPr="00F16352">
        <w:rPr>
          <w:rStyle w:val="affa"/>
          <w:rFonts w:hint="cs"/>
          <w:rtl/>
        </w:rPr>
        <w:t>התוס'</w:t>
      </w:r>
      <w:r w:rsidRPr="00F16352">
        <w:rPr>
          <w:rStyle w:val="afb"/>
          <w:rFonts w:hint="cs"/>
          <w:rtl/>
        </w:rPr>
        <w:t xml:space="preserve"> על </w:t>
      </w:r>
      <w:r w:rsidRPr="00F16352">
        <w:rPr>
          <w:rStyle w:val="affa"/>
          <w:rFonts w:hint="cs"/>
          <w:rtl/>
        </w:rPr>
        <w:t>הריב"ש</w:t>
      </w:r>
      <w:r w:rsidRPr="00F16352">
        <w:rPr>
          <w:rStyle w:val="afb"/>
          <w:rFonts w:hint="cs"/>
          <w:rtl/>
        </w:rPr>
        <w:t>].</w:t>
      </w:r>
    </w:p>
    <w:p w:rsidR="00103C1B" w:rsidRPr="00D84AF2" w:rsidRDefault="00103C1B" w:rsidP="00103C1B">
      <w:pPr>
        <w:pStyle w:val="1"/>
        <w:rPr>
          <w:rtl/>
        </w:rPr>
      </w:pPr>
      <w:bookmarkStart w:id="15957" w:name="_Toc64549038"/>
      <w:bookmarkStart w:id="15958" w:name="_Toc64576217"/>
      <w:bookmarkStart w:id="15959" w:name="_Toc64588859"/>
      <w:bookmarkStart w:id="15960" w:name="_Toc64629470"/>
      <w:bookmarkStart w:id="15961" w:name="_Toc64642933"/>
      <w:r>
        <w:rPr>
          <w:rFonts w:hint="cs"/>
          <w:rtl/>
        </w:rPr>
        <w:t>בי' רבינו יונה והרשב"א</w:t>
      </w:r>
      <w:bookmarkEnd w:id="15957"/>
      <w:bookmarkEnd w:id="15958"/>
      <w:bookmarkEnd w:id="15959"/>
      <w:r>
        <w:rPr>
          <w:rFonts w:hint="cs"/>
          <w:rtl/>
        </w:rPr>
        <w:t xml:space="preserve"> דבמחזיק א"א להאמינו על פחות מג"ש</w:t>
      </w:r>
      <w:bookmarkEnd w:id="15960"/>
      <w:bookmarkEnd w:id="15961"/>
    </w:p>
    <w:p w:rsidR="00103C1B" w:rsidRPr="00A53994" w:rsidRDefault="00103C1B" w:rsidP="00103C1B">
      <w:pPr>
        <w:pStyle w:val="a3"/>
        <w:rPr>
          <w:rtl/>
        </w:rPr>
      </w:pPr>
      <w:bookmarkStart w:id="15962" w:name="_Toc64629471"/>
      <w:bookmarkStart w:id="15963" w:name="_Toc64642934"/>
      <w:r>
        <w:rPr>
          <w:rFonts w:hint="cs"/>
          <w:rtl/>
        </w:rPr>
        <w:t>תי' רבינו יונה דאי נאמן שאכל ג"ש הקרקע שלו וא"א לומר דנאמן על ב' שנים ולא על ג"ש</w:t>
      </w:r>
      <w:bookmarkEnd w:id="15962"/>
      <w:bookmarkEnd w:id="15963"/>
    </w:p>
    <w:p w:rsidR="00103C1B" w:rsidRPr="00D00A15" w:rsidRDefault="00103C1B" w:rsidP="007E4E81">
      <w:pPr>
        <w:pStyle w:val="a0"/>
        <w:rPr>
          <w:sz w:val="10"/>
          <w:szCs w:val="14"/>
          <w:rtl/>
        </w:rPr>
      </w:pPr>
      <w:bookmarkStart w:id="15964" w:name="_Ref64474971"/>
      <w:r w:rsidRPr="0002227D">
        <w:rPr>
          <w:rStyle w:val="af9"/>
          <w:rFonts w:hint="cs"/>
          <w:rtl/>
        </w:rPr>
        <w:t>ורבינו</w:t>
      </w:r>
      <w:r w:rsidRPr="00A53994">
        <w:rPr>
          <w:rFonts w:hint="cs"/>
          <w:rtl/>
        </w:rPr>
        <w:t xml:space="preserve"> </w:t>
      </w:r>
      <w:r w:rsidRPr="0002227D">
        <w:rPr>
          <w:rStyle w:val="af9"/>
          <w:rFonts w:hint="cs"/>
          <w:rtl/>
        </w:rPr>
        <w:t>יונה</w:t>
      </w:r>
      <w:r w:rsidRPr="00A53994">
        <w:rPr>
          <w:rFonts w:hint="cs"/>
          <w:rtl/>
        </w:rPr>
        <w:t xml:space="preserve"> </w:t>
      </w:r>
      <w:r w:rsidRPr="004A4D3A">
        <w:rPr>
          <w:rStyle w:val="af7"/>
          <w:rFonts w:eastAsia="Guttman Hodes" w:hint="cs"/>
          <w:rtl/>
        </w:rPr>
        <w:t>(ד"ה ואי ק"ל)</w:t>
      </w:r>
      <w:r>
        <w:rPr>
          <w:rFonts w:hint="cs"/>
          <w:rtl/>
        </w:rPr>
        <w:t xml:space="preserve"> </w:t>
      </w:r>
      <w:r w:rsidRPr="00A53994">
        <w:rPr>
          <w:rFonts w:hint="cs"/>
          <w:rtl/>
        </w:rPr>
        <w:t xml:space="preserve">בשם </w:t>
      </w:r>
      <w:r w:rsidRPr="0002227D">
        <w:rPr>
          <w:rStyle w:val="af9"/>
          <w:rFonts w:hint="cs"/>
          <w:rtl/>
        </w:rPr>
        <w:t>ר"י</w:t>
      </w:r>
      <w:r w:rsidRPr="00A53994">
        <w:rPr>
          <w:rFonts w:hint="cs"/>
          <w:rtl/>
        </w:rPr>
        <w:t xml:space="preserve"> תירץ דבגמ' לקמן אי ההמחזיק נאמן שאכל ג"ש, א"כ ודאי</w:t>
      </w:r>
      <w:r>
        <w:rPr>
          <w:rFonts w:hint="cs"/>
          <w:rtl/>
        </w:rPr>
        <w:t xml:space="preserve"> </w:t>
      </w:r>
      <w:r w:rsidRPr="00A53994">
        <w:rPr>
          <w:rFonts w:hint="cs"/>
          <w:rtl/>
        </w:rPr>
        <w:t>שהקרקע שלו, דהא אי היה מביא עדים שאכל פירות ג"ש, היה זוכה בקרקע, וכיון שאינו נאמן שאכל ג"ש, א"א לומר דהוא נאמן שאכל ב' שנים, ואינו נאמן שאכל את השנה השלישית</w:t>
      </w:r>
      <w:r>
        <w:rPr>
          <w:rFonts w:hint="cs"/>
          <w:rtl/>
        </w:rPr>
        <w:t>.</w:t>
      </w:r>
    </w:p>
    <w:p w:rsidR="00103C1B" w:rsidRPr="00DB3403" w:rsidRDefault="00103C1B" w:rsidP="00103C1B">
      <w:pPr>
        <w:pStyle w:val="a3"/>
      </w:pPr>
      <w:bookmarkStart w:id="15965" w:name="_Toc64629472"/>
      <w:bookmarkStart w:id="15966" w:name="_Toc64642935"/>
      <w:r>
        <w:rPr>
          <w:rFonts w:hint="cs"/>
          <w:rtl/>
        </w:rPr>
        <w:t>ביאור רבינו יונה דלההוא גברא אין כל זכות באכילת הפירות ואם היו עדים חייב וה"ה כשהודה</w:t>
      </w:r>
      <w:bookmarkEnd w:id="15965"/>
      <w:bookmarkEnd w:id="15966"/>
    </w:p>
    <w:p w:rsidR="00103C1B" w:rsidRPr="00420984" w:rsidRDefault="00103C1B" w:rsidP="007E4E81">
      <w:pPr>
        <w:pStyle w:val="a0"/>
        <w:rPr>
          <w:rStyle w:val="afb"/>
          <w:rtl/>
        </w:rPr>
      </w:pPr>
      <w:r w:rsidRPr="00A53994">
        <w:rPr>
          <w:rFonts w:hint="cs"/>
          <w:rtl/>
        </w:rPr>
        <w:t xml:space="preserve">אבל בסוגיין </w:t>
      </w:r>
      <w:r>
        <w:rPr>
          <w:rFonts w:hint="cs"/>
          <w:rtl/>
        </w:rPr>
        <w:t xml:space="preserve">ביאר </w:t>
      </w:r>
      <w:r w:rsidRPr="0002227D">
        <w:rPr>
          <w:rStyle w:val="af9"/>
          <w:rFonts w:hint="cs"/>
          <w:rtl/>
        </w:rPr>
        <w:t>רבינו</w:t>
      </w:r>
      <w:r w:rsidRPr="00A53994">
        <w:rPr>
          <w:rFonts w:hint="cs"/>
          <w:rtl/>
        </w:rPr>
        <w:t xml:space="preserve"> </w:t>
      </w:r>
      <w:r w:rsidRPr="0002227D">
        <w:rPr>
          <w:rStyle w:val="af9"/>
          <w:rFonts w:hint="cs"/>
          <w:rtl/>
        </w:rPr>
        <w:t>יונה</w:t>
      </w:r>
      <w:r w:rsidRPr="00A53994">
        <w:rPr>
          <w:rFonts w:hint="cs"/>
          <w:rtl/>
        </w:rPr>
        <w:t xml:space="preserve"> </w:t>
      </w:r>
      <w:r>
        <w:rPr>
          <w:rFonts w:hint="cs"/>
          <w:rtl/>
        </w:rPr>
        <w:t xml:space="preserve">דאין לההוא גברא כל זכות במה שהודה שאכל את הפירות, דהרי אם היו עדים שאכלם הוא חייב להחזיר, דהא יש עדים שרב אידי קרוב יותר, </w:t>
      </w:r>
      <w:r w:rsidRPr="00572267">
        <w:rPr>
          <w:rStyle w:val="afb"/>
          <w:rFonts w:hint="cs"/>
          <w:rtl/>
        </w:rPr>
        <w:t xml:space="preserve">[והיינו כדביאר </w:t>
      </w:r>
      <w:r w:rsidRPr="00572267">
        <w:rPr>
          <w:rStyle w:val="affa"/>
          <w:rFonts w:hint="cs"/>
          <w:rtl/>
        </w:rPr>
        <w:t>רבינו יונה</w:t>
      </w:r>
      <w:r w:rsidRPr="00572267">
        <w:rPr>
          <w:rStyle w:val="afb"/>
          <w:rFonts w:hint="cs"/>
          <w:rtl/>
        </w:rPr>
        <w:t xml:space="preserve"> </w:t>
      </w:r>
      <w:r w:rsidRPr="00572267">
        <w:rPr>
          <w:rStyle w:val="aff6"/>
          <w:rFonts w:hint="cs"/>
          <w:rtl/>
        </w:rPr>
        <w:t xml:space="preserve">(עי' אות </w:t>
      </w:r>
      <w:r w:rsidRPr="00572267">
        <w:rPr>
          <w:rStyle w:val="aff6"/>
          <w:rtl/>
        </w:rPr>
        <w:fldChar w:fldCharType="begin"/>
      </w:r>
      <w:r w:rsidRPr="00572267">
        <w:rPr>
          <w:rStyle w:val="aff6"/>
          <w:rtl/>
        </w:rPr>
        <w:instrText xml:space="preserve"> </w:instrText>
      </w:r>
      <w:r w:rsidRPr="00572267">
        <w:rPr>
          <w:rStyle w:val="aff6"/>
          <w:rFonts w:hint="cs"/>
        </w:rPr>
        <w:instrText>REF</w:instrText>
      </w:r>
      <w:r w:rsidRPr="00572267">
        <w:rPr>
          <w:rStyle w:val="aff6"/>
          <w:rFonts w:hint="cs"/>
          <w:rtl/>
        </w:rPr>
        <w:instrText xml:space="preserve"> _</w:instrText>
      </w:r>
      <w:r w:rsidRPr="00572267">
        <w:rPr>
          <w:rStyle w:val="aff6"/>
          <w:rFonts w:hint="cs"/>
        </w:rPr>
        <w:instrText>Ref64368995 \r \h</w:instrText>
      </w:r>
      <w:r w:rsidRPr="00572267">
        <w:rPr>
          <w:rStyle w:val="aff6"/>
          <w:rtl/>
        </w:rPr>
        <w:instrText xml:space="preserve"> </w:instrText>
      </w:r>
      <w:r w:rsidRPr="00572267">
        <w:rPr>
          <w:rStyle w:val="aff6"/>
          <w:rtl/>
        </w:rPr>
      </w:r>
      <w:r w:rsidRPr="00572267">
        <w:rPr>
          <w:rStyle w:val="aff6"/>
          <w:rtl/>
        </w:rPr>
        <w:fldChar w:fldCharType="separate"/>
      </w:r>
      <w:r w:rsidR="00265073">
        <w:rPr>
          <w:rStyle w:val="aff6"/>
          <w:cs/>
        </w:rPr>
        <w:t>‎</w:t>
      </w:r>
      <w:r w:rsidR="00265073">
        <w:rPr>
          <w:rStyle w:val="aff6"/>
          <w:rtl/>
        </w:rPr>
        <w:t>מ)</w:t>
      </w:r>
      <w:r w:rsidRPr="00572267">
        <w:rPr>
          <w:rStyle w:val="aff6"/>
          <w:rtl/>
        </w:rPr>
        <w:fldChar w:fldCharType="end"/>
      </w:r>
      <w:r w:rsidRPr="00572267">
        <w:rPr>
          <w:rStyle w:val="aff6"/>
          <w:rFonts w:hint="cs"/>
          <w:rtl/>
        </w:rPr>
        <w:t xml:space="preserve"> </w:t>
      </w:r>
      <w:r w:rsidRPr="00572267">
        <w:rPr>
          <w:rStyle w:val="afb"/>
          <w:rFonts w:hint="cs"/>
          <w:rtl/>
        </w:rPr>
        <w:t>דלרב אידי יש עדים שהוא קרוב, ולההוא גברא אין עדים על קורבתו, אך אין כוונתו דיש עדים שרב אידי קרוב יותר ממנו],</w:t>
      </w:r>
      <w:r>
        <w:rPr>
          <w:rFonts w:hint="cs"/>
          <w:rtl/>
        </w:rPr>
        <w:t xml:space="preserve"> וכתב </w:t>
      </w:r>
      <w:r w:rsidRPr="0002227D">
        <w:rPr>
          <w:rStyle w:val="af9"/>
          <w:rFonts w:hint="cs"/>
          <w:rtl/>
        </w:rPr>
        <w:t>רבינו</w:t>
      </w:r>
      <w:r>
        <w:rPr>
          <w:rFonts w:hint="cs"/>
          <w:rtl/>
        </w:rPr>
        <w:t xml:space="preserve"> </w:t>
      </w:r>
      <w:r w:rsidRPr="0002227D">
        <w:rPr>
          <w:rStyle w:val="af9"/>
          <w:rFonts w:hint="cs"/>
          <w:rtl/>
        </w:rPr>
        <w:t>יונה</w:t>
      </w:r>
      <w:r>
        <w:rPr>
          <w:rFonts w:hint="cs"/>
          <w:rtl/>
        </w:rPr>
        <w:t xml:space="preserve"> דה"ה אם בגמ' לקמן היה המחזיק טוען מינך זבינתה ואכלתיה ב' שנים, והיה למערער </w:t>
      </w:r>
      <w:r w:rsidRPr="00420984">
        <w:rPr>
          <w:rFonts w:hint="cs"/>
          <w:rtl/>
        </w:rPr>
        <w:t xml:space="preserve">עידי מרא קמא, דכיון שהקרקע יוצאת מתח"י הוא חייב להחזיר את הפירות </w:t>
      </w:r>
      <w:r w:rsidRPr="00420984">
        <w:rPr>
          <w:rStyle w:val="afb"/>
          <w:rFonts w:hint="cs"/>
          <w:rtl/>
        </w:rPr>
        <w:t>[דאין לו כל זכות במה שהודה שאכל ב' שנים],</w:t>
      </w:r>
      <w:r w:rsidRPr="00420984">
        <w:rPr>
          <w:rFonts w:hint="cs"/>
          <w:rtl/>
        </w:rPr>
        <w:t xml:space="preserve"> וציין </w:t>
      </w:r>
      <w:r w:rsidRPr="00420984">
        <w:rPr>
          <w:rStyle w:val="af9"/>
          <w:rFonts w:hint="cs"/>
          <w:rtl/>
        </w:rPr>
        <w:t>רבינו</w:t>
      </w:r>
      <w:r w:rsidRPr="00420984">
        <w:rPr>
          <w:rFonts w:hint="cs"/>
          <w:rtl/>
        </w:rPr>
        <w:t xml:space="preserve"> </w:t>
      </w:r>
      <w:r w:rsidRPr="00420984">
        <w:rPr>
          <w:rStyle w:val="af9"/>
          <w:rFonts w:hint="cs"/>
          <w:rtl/>
        </w:rPr>
        <w:t>יונה</w:t>
      </w:r>
      <w:r w:rsidRPr="00420984">
        <w:rPr>
          <w:rFonts w:hint="cs"/>
          <w:rtl/>
        </w:rPr>
        <w:t xml:space="preserve"> לדבריו לקמן </w:t>
      </w:r>
      <w:r w:rsidRPr="00420984">
        <w:rPr>
          <w:rStyle w:val="af7"/>
          <w:rFonts w:eastAsia="Guttman Hodes" w:hint="cs"/>
          <w:rtl/>
        </w:rPr>
        <w:t>(לד. ד"ה א"ל)</w:t>
      </w:r>
      <w:r>
        <w:rPr>
          <w:rFonts w:hint="cs"/>
          <w:rtl/>
        </w:rPr>
        <w:t xml:space="preserve"> </w:t>
      </w:r>
      <w:r w:rsidRPr="00420984">
        <w:rPr>
          <w:rFonts w:hint="cs"/>
          <w:rtl/>
        </w:rPr>
        <w:t>דכתב דכן משמע בגמ' לקמן.</w:t>
      </w:r>
      <w:bookmarkEnd w:id="15964"/>
    </w:p>
    <w:p w:rsidR="00103C1B" w:rsidRPr="00C40160" w:rsidRDefault="00103C1B" w:rsidP="00103C1B">
      <w:pPr>
        <w:pStyle w:val="a3"/>
        <w:rPr>
          <w:rtl/>
        </w:rPr>
      </w:pPr>
      <w:bookmarkStart w:id="15967" w:name="_Toc64629473"/>
      <w:bookmarkStart w:id="15968" w:name="_Toc64642936"/>
      <w:r>
        <w:rPr>
          <w:rFonts w:hint="cs"/>
          <w:rtl/>
        </w:rPr>
        <w:t>בי' הרשב"א דהכא שניהם מודים שאכל פירות אך כשהמערער מכחישו אינו יכול להוציא ממנו</w:t>
      </w:r>
      <w:bookmarkEnd w:id="15967"/>
      <w:bookmarkEnd w:id="15968"/>
    </w:p>
    <w:p w:rsidR="00103C1B" w:rsidRDefault="00103C1B" w:rsidP="007E4E81">
      <w:pPr>
        <w:pStyle w:val="a0"/>
        <w:rPr>
          <w:rtl/>
        </w:rPr>
      </w:pPr>
      <w:bookmarkStart w:id="15969" w:name="_Ref64403417"/>
      <w:r w:rsidRPr="0002227D">
        <w:rPr>
          <w:rStyle w:val="af9"/>
          <w:rFonts w:hint="cs"/>
          <w:rtl/>
        </w:rPr>
        <w:t>והרשב"א</w:t>
      </w:r>
      <w:r>
        <w:rPr>
          <w:rFonts w:hint="cs"/>
          <w:rtl/>
        </w:rPr>
        <w:t xml:space="preserve"> </w:t>
      </w:r>
      <w:r w:rsidRPr="0009635C">
        <w:rPr>
          <w:rStyle w:val="af7"/>
          <w:rFonts w:eastAsia="Guttman Hodes" w:hint="cs"/>
          <w:rtl/>
        </w:rPr>
        <w:t>(ד"ה וא"ת)</w:t>
      </w:r>
      <w:r>
        <w:rPr>
          <w:rFonts w:hint="cs"/>
          <w:rtl/>
        </w:rPr>
        <w:t xml:space="preserve"> הוסיף על דברי </w:t>
      </w:r>
      <w:r w:rsidRPr="0002227D">
        <w:rPr>
          <w:rStyle w:val="af9"/>
          <w:rFonts w:hint="cs"/>
          <w:rtl/>
        </w:rPr>
        <w:t>רבינו</w:t>
      </w:r>
      <w:r>
        <w:rPr>
          <w:rFonts w:hint="cs"/>
          <w:rtl/>
        </w:rPr>
        <w:t xml:space="preserve"> </w:t>
      </w:r>
      <w:r w:rsidRPr="0002227D">
        <w:rPr>
          <w:rStyle w:val="af9"/>
          <w:rFonts w:hint="cs"/>
          <w:rtl/>
        </w:rPr>
        <w:t>יונה</w:t>
      </w:r>
      <w:r>
        <w:rPr>
          <w:rFonts w:hint="cs"/>
          <w:rtl/>
        </w:rPr>
        <w:t xml:space="preserve"> דהכא רב אידי מודה לדברי ההוא גברא שאכל את הפירות, אבל בגמ' לקמן המערער אינו מודה לטענת המחזיק שאכל פירות ג"ש, דאי הוא מודה לו א"כ יש לו חזקת ג"ש, וכיון שהמערער טוען שלא אכל פירות, אינו יכול להוציא אותם מהמחזיק, אעפ"י שהודה המחזיק שאכל.</w:t>
      </w:r>
    </w:p>
    <w:p w:rsidR="000F5507" w:rsidRPr="000F5507" w:rsidRDefault="000F5507" w:rsidP="000F5507">
      <w:pPr>
        <w:pStyle w:val="a3"/>
        <w:rPr>
          <w:rtl/>
        </w:rPr>
      </w:pPr>
    </w:p>
    <w:p w:rsidR="000F5507" w:rsidRPr="000F5507" w:rsidRDefault="000F5507" w:rsidP="000F5507">
      <w:pPr>
        <w:pStyle w:val="a3"/>
        <w:rPr>
          <w:rtl/>
        </w:rPr>
      </w:pPr>
    </w:p>
    <w:p w:rsidR="00103C1B" w:rsidRPr="00CC786A" w:rsidRDefault="00103C1B" w:rsidP="00103C1B">
      <w:pPr>
        <w:pStyle w:val="a3"/>
      </w:pPr>
      <w:bookmarkStart w:id="15970" w:name="_Toc64629474"/>
      <w:bookmarkStart w:id="15971" w:name="_Toc64642937"/>
      <w:r>
        <w:rPr>
          <w:rFonts w:hint="cs"/>
          <w:rtl/>
        </w:rPr>
        <w:lastRenderedPageBreak/>
        <w:t>דברי הרשב"א דא"א לומר דהמערער יודה שאכל קצת פחות מג"ש דא"א להאמינו לחצאין</w:t>
      </w:r>
      <w:bookmarkEnd w:id="15970"/>
      <w:bookmarkEnd w:id="15971"/>
    </w:p>
    <w:p w:rsidR="00103C1B" w:rsidRDefault="00103C1B" w:rsidP="007E4E81">
      <w:pPr>
        <w:pStyle w:val="a0"/>
        <w:rPr>
          <w:rtl/>
        </w:rPr>
      </w:pPr>
      <w:r>
        <w:rPr>
          <w:rFonts w:hint="cs"/>
          <w:rtl/>
        </w:rPr>
        <w:t xml:space="preserve">וכתב </w:t>
      </w:r>
      <w:r w:rsidRPr="0002227D">
        <w:rPr>
          <w:rStyle w:val="af9"/>
          <w:rFonts w:hint="cs"/>
          <w:rtl/>
        </w:rPr>
        <w:t>הרשב"א</w:t>
      </w:r>
      <w:r>
        <w:rPr>
          <w:rFonts w:hint="cs"/>
          <w:rtl/>
        </w:rPr>
        <w:t xml:space="preserve"> דא"א לומר דהמערער יודה לו שאכל קצת פחות מג"ש, דאין לו עי"ז חזקת ג"ש, ויוכל להוציא ממנו פירות של קצת פחות מג"ש, כיון שא"א להאמין להודאת המחזיק לחצאין.</w:t>
      </w:r>
      <w:bookmarkEnd w:id="15969"/>
      <w:r>
        <w:rPr>
          <w:rFonts w:hint="cs"/>
          <w:rtl/>
        </w:rPr>
        <w:t xml:space="preserve"> </w:t>
      </w:r>
    </w:p>
    <w:p w:rsidR="00103C1B" w:rsidRPr="00EB7B12" w:rsidRDefault="00103C1B" w:rsidP="00103C1B">
      <w:pPr>
        <w:pStyle w:val="1"/>
        <w:rPr>
          <w:rtl/>
        </w:rPr>
      </w:pPr>
      <w:bookmarkStart w:id="15972" w:name="_Toc64629475"/>
      <w:bookmarkStart w:id="15973" w:name="_Toc64642938"/>
      <w:r>
        <w:rPr>
          <w:rFonts w:hint="cs"/>
          <w:rtl/>
        </w:rPr>
        <w:t>ביאור רבינו יונה דמיגו ל"מ כשאינו נאמן בעיקר טענתו</w:t>
      </w:r>
      <w:bookmarkEnd w:id="15972"/>
      <w:bookmarkEnd w:id="15973"/>
    </w:p>
    <w:p w:rsidR="00103C1B" w:rsidRPr="00420984" w:rsidRDefault="00103C1B" w:rsidP="00103C1B">
      <w:pPr>
        <w:pStyle w:val="a3"/>
        <w:rPr>
          <w:rtl/>
        </w:rPr>
      </w:pPr>
      <w:bookmarkStart w:id="15974" w:name="_Toc64629476"/>
      <w:bookmarkStart w:id="15975" w:name="_Toc64642939"/>
      <w:r>
        <w:rPr>
          <w:rFonts w:hint="cs"/>
          <w:rtl/>
        </w:rPr>
        <w:t>דברי רבינו יונה דכל שאינו נאמן בעיקר טענתו ל"מ מיגו לעקור את עיקר מה שטוען עכשיו</w:t>
      </w:r>
      <w:bookmarkEnd w:id="15974"/>
      <w:bookmarkEnd w:id="15975"/>
    </w:p>
    <w:p w:rsidR="00103C1B" w:rsidRDefault="00103C1B" w:rsidP="007E4E81">
      <w:pPr>
        <w:pStyle w:val="a0"/>
        <w:rPr>
          <w:rtl/>
        </w:rPr>
      </w:pPr>
      <w:bookmarkStart w:id="15976" w:name="_Ref64563745"/>
      <w:r w:rsidRPr="00420984">
        <w:rPr>
          <w:rFonts w:hint="cs"/>
          <w:rtl/>
        </w:rPr>
        <w:t xml:space="preserve">והוסיף </w:t>
      </w:r>
      <w:r w:rsidRPr="00420984">
        <w:rPr>
          <w:rStyle w:val="af9"/>
          <w:rFonts w:hint="cs"/>
          <w:rtl/>
        </w:rPr>
        <w:t>רבינו יונה</w:t>
      </w:r>
      <w:r w:rsidRPr="00420984">
        <w:rPr>
          <w:rFonts w:hint="cs"/>
          <w:rtl/>
        </w:rPr>
        <w:t xml:space="preserve"> </w:t>
      </w:r>
      <w:r w:rsidRPr="00420984">
        <w:rPr>
          <w:rStyle w:val="af7"/>
          <w:rFonts w:eastAsia="Guttman Hodes" w:hint="cs"/>
          <w:rtl/>
        </w:rPr>
        <w:t>(ד"ה עלה בידינו)</w:t>
      </w:r>
      <w:r w:rsidRPr="00420984">
        <w:rPr>
          <w:rFonts w:hint="cs"/>
          <w:rtl/>
        </w:rPr>
        <w:t xml:space="preserve"> לבאר דמיגו לא מהני לעקור את הטענה שטוען עכשיו</w:t>
      </w:r>
      <w:r>
        <w:rPr>
          <w:rFonts w:hint="cs"/>
          <w:rtl/>
        </w:rPr>
        <w:t xml:space="preserve">, ולכן כשטוען לקוחה היא בידי ומודה שאכל פירות ב' שנים, דהקרקע חוזרת למרא קמא, אף את הפירות הוא צריך להחזיר, דלא אמרינן שהוא נאמן במיגו על הפירות, דהיה יכול לטעון לא אכלתי, דכיון שלעיקר טענתו שקנה את הקרקע אינו נאמן, ממילא אינו נאמן אף לענין הפירות, אבל במקום שטוען שאכל פירות ג"ש, ואין לו עדים, דאעפ"י שהקרקע חוזרת למרא קמא, מ"מ אינו צריך להחזיר את הפירות כיון שאם הוא נאמן שאכל ג"ש, ממילא הוא נאמן על עיקר טענתו אף לענין הקרקע, דאם היו לו עדים היה זוכה בקרקע, ואי אינו נאמן על אכילת ג"ש, א"כ אין כל ראיה שאכל פירות כלל, ועי' במה שביאר </w:t>
      </w:r>
      <w:r w:rsidRPr="00D86860">
        <w:rPr>
          <w:rStyle w:val="af9"/>
          <w:rFonts w:hint="cs"/>
          <w:rtl/>
        </w:rPr>
        <w:t>בחי' רבי נחום</w:t>
      </w:r>
      <w:r>
        <w:rPr>
          <w:rFonts w:hint="cs"/>
          <w:rtl/>
        </w:rPr>
        <w:t xml:space="preserve"> </w:t>
      </w:r>
      <w:r w:rsidRPr="0042614B">
        <w:rPr>
          <w:rStyle w:val="af7"/>
          <w:rFonts w:eastAsia="Guttman Hodes" w:hint="cs"/>
          <w:rtl/>
        </w:rPr>
        <w:t xml:space="preserve">(עי' אות </w:t>
      </w:r>
      <w:r w:rsidRPr="0042614B">
        <w:rPr>
          <w:rStyle w:val="af7"/>
          <w:rFonts w:eastAsia="Guttman Hodes"/>
          <w:rtl/>
        </w:rPr>
        <w:fldChar w:fldCharType="begin"/>
      </w:r>
      <w:r w:rsidRPr="0042614B">
        <w:rPr>
          <w:rStyle w:val="af7"/>
          <w:rFonts w:eastAsia="Guttman Hodes"/>
          <w:rtl/>
        </w:rPr>
        <w:instrText xml:space="preserve"> </w:instrText>
      </w:r>
      <w:r w:rsidRPr="0042614B">
        <w:rPr>
          <w:rStyle w:val="af7"/>
          <w:rFonts w:eastAsia="Guttman Hodes" w:hint="cs"/>
        </w:rPr>
        <w:instrText>REF</w:instrText>
      </w:r>
      <w:r w:rsidRPr="0042614B">
        <w:rPr>
          <w:rStyle w:val="af7"/>
          <w:rFonts w:eastAsia="Guttman Hodes" w:hint="cs"/>
          <w:rtl/>
        </w:rPr>
        <w:instrText xml:space="preserve"> _</w:instrText>
      </w:r>
      <w:r w:rsidRPr="0042614B">
        <w:rPr>
          <w:rStyle w:val="af7"/>
          <w:rFonts w:eastAsia="Guttman Hodes" w:hint="cs"/>
        </w:rPr>
        <w:instrText>Ref64563762 \r \h</w:instrText>
      </w:r>
      <w:r w:rsidRPr="0042614B">
        <w:rPr>
          <w:rStyle w:val="af7"/>
          <w:rFonts w:eastAsia="Guttman Hodes"/>
          <w:rtl/>
        </w:rPr>
        <w:instrText xml:space="preserve"> </w:instrText>
      </w:r>
      <w:r w:rsidRPr="0042614B">
        <w:rPr>
          <w:rStyle w:val="af7"/>
          <w:rFonts w:eastAsia="Guttman Hodes"/>
          <w:rtl/>
        </w:rPr>
      </w:r>
      <w:r w:rsidRPr="0042614B">
        <w:rPr>
          <w:rStyle w:val="af7"/>
          <w:rFonts w:eastAsia="Guttman Hodes"/>
          <w:rtl/>
        </w:rPr>
        <w:fldChar w:fldCharType="separate"/>
      </w:r>
      <w:r w:rsidR="00265073">
        <w:rPr>
          <w:rStyle w:val="af7"/>
          <w:rFonts w:eastAsia="Guttman Hodes"/>
          <w:cs/>
        </w:rPr>
        <w:t>‎</w:t>
      </w:r>
      <w:r w:rsidR="00265073">
        <w:rPr>
          <w:rStyle w:val="af7"/>
          <w:rFonts w:eastAsia="Guttman Hodes"/>
          <w:rtl/>
        </w:rPr>
        <w:t>קל)</w:t>
      </w:r>
      <w:r w:rsidRPr="0042614B">
        <w:rPr>
          <w:rStyle w:val="af7"/>
          <w:rFonts w:eastAsia="Guttman Hodes"/>
          <w:rtl/>
        </w:rPr>
        <w:fldChar w:fldCharType="end"/>
      </w:r>
      <w:r>
        <w:rPr>
          <w:rFonts w:hint="cs"/>
          <w:rtl/>
        </w:rPr>
        <w:t xml:space="preserve"> בדברי </w:t>
      </w:r>
      <w:r w:rsidRPr="00D86860">
        <w:rPr>
          <w:rStyle w:val="af9"/>
          <w:rFonts w:hint="cs"/>
          <w:rtl/>
        </w:rPr>
        <w:t>רבינו יונה</w:t>
      </w:r>
      <w:r>
        <w:rPr>
          <w:rFonts w:hint="cs"/>
          <w:rtl/>
        </w:rPr>
        <w:t>.</w:t>
      </w:r>
      <w:bookmarkEnd w:id="15976"/>
    </w:p>
    <w:p w:rsidR="00103C1B" w:rsidRPr="00687BBB" w:rsidRDefault="00103C1B" w:rsidP="00103C1B">
      <w:pPr>
        <w:pStyle w:val="1"/>
        <w:rPr>
          <w:rtl/>
        </w:rPr>
      </w:pPr>
      <w:bookmarkStart w:id="15977" w:name="_Toc64629477"/>
      <w:bookmarkStart w:id="15978" w:name="_Toc64642940"/>
      <w:r>
        <w:rPr>
          <w:rFonts w:hint="cs"/>
          <w:rtl/>
        </w:rPr>
        <w:t>בי' חי' רמ"ש דלטענת המחזיק נולד הספק רק אחר שאבד השטר</w:t>
      </w:r>
      <w:bookmarkEnd w:id="15977"/>
      <w:bookmarkEnd w:id="15978"/>
    </w:p>
    <w:p w:rsidR="00103C1B" w:rsidRDefault="00103C1B" w:rsidP="00103C1B">
      <w:pPr>
        <w:pStyle w:val="a3"/>
        <w:rPr>
          <w:rtl/>
        </w:rPr>
      </w:pPr>
      <w:bookmarkStart w:id="15979" w:name="_Toc64629478"/>
      <w:bookmarkStart w:id="15980" w:name="_Toc64642941"/>
      <w:r>
        <w:rPr>
          <w:rFonts w:hint="cs"/>
          <w:rtl/>
        </w:rPr>
        <w:t>תי' רמ"ש דהוברר למפרע דהדקל היה של ר"א אבל לטענת המערער הספק נולד כשאבד השטר</w:t>
      </w:r>
      <w:bookmarkEnd w:id="15979"/>
      <w:bookmarkEnd w:id="15980"/>
    </w:p>
    <w:p w:rsidR="00103C1B" w:rsidRDefault="00103C1B" w:rsidP="007E4E81">
      <w:pPr>
        <w:pStyle w:val="a0"/>
        <w:rPr>
          <w:rtl/>
        </w:rPr>
      </w:pPr>
      <w:r w:rsidRPr="00101D28">
        <w:rPr>
          <w:rStyle w:val="af9"/>
          <w:rFonts w:hint="cs"/>
          <w:rtl/>
        </w:rPr>
        <w:t>ובחי' רמ"ש</w:t>
      </w:r>
      <w:r>
        <w:rPr>
          <w:rFonts w:hint="cs"/>
          <w:rtl/>
        </w:rPr>
        <w:t xml:space="preserve"> </w:t>
      </w:r>
      <w:r w:rsidRPr="00101D28">
        <w:rPr>
          <w:rStyle w:val="af7"/>
          <w:rFonts w:eastAsia="Guttman Hodes" w:hint="cs"/>
          <w:rtl/>
        </w:rPr>
        <w:t xml:space="preserve">(על תוד"ה ה"ג) </w:t>
      </w:r>
      <w:r>
        <w:rPr>
          <w:rFonts w:hint="cs"/>
          <w:rtl/>
        </w:rPr>
        <w:t xml:space="preserve">תירץ את קושית </w:t>
      </w:r>
      <w:r w:rsidRPr="00101D28">
        <w:rPr>
          <w:rStyle w:val="af9"/>
          <w:rFonts w:hint="cs"/>
          <w:rtl/>
        </w:rPr>
        <w:t>התוס'</w:t>
      </w:r>
      <w:r>
        <w:rPr>
          <w:rFonts w:hint="cs"/>
          <w:rtl/>
        </w:rPr>
        <w:t xml:space="preserve"> </w:t>
      </w:r>
      <w:r w:rsidRPr="00101D28">
        <w:rPr>
          <w:rStyle w:val="af7"/>
          <w:rFonts w:eastAsia="Guttman Hodes" w:hint="cs"/>
          <w:rtl/>
        </w:rPr>
        <w:t xml:space="preserve">(עי' אות </w:t>
      </w:r>
      <w:r w:rsidRPr="00101D28">
        <w:rPr>
          <w:rStyle w:val="af7"/>
          <w:rFonts w:eastAsia="Guttman Hodes"/>
          <w:rtl/>
        </w:rPr>
        <w:fldChar w:fldCharType="begin"/>
      </w:r>
      <w:r w:rsidRPr="00101D28">
        <w:rPr>
          <w:rStyle w:val="af7"/>
          <w:rFonts w:eastAsia="Guttman Hodes"/>
          <w:rtl/>
        </w:rPr>
        <w:instrText xml:space="preserve"> </w:instrText>
      </w:r>
      <w:r w:rsidRPr="00101D28">
        <w:rPr>
          <w:rStyle w:val="af7"/>
          <w:rFonts w:eastAsia="Guttman Hodes" w:hint="cs"/>
        </w:rPr>
        <w:instrText>REF</w:instrText>
      </w:r>
      <w:r w:rsidRPr="00101D28">
        <w:rPr>
          <w:rStyle w:val="af7"/>
          <w:rFonts w:eastAsia="Guttman Hodes" w:hint="cs"/>
          <w:rtl/>
        </w:rPr>
        <w:instrText xml:space="preserve"> _</w:instrText>
      </w:r>
      <w:r w:rsidRPr="00101D28">
        <w:rPr>
          <w:rStyle w:val="af7"/>
          <w:rFonts w:eastAsia="Guttman Hodes" w:hint="cs"/>
        </w:rPr>
        <w:instrText>Ref64476599 \r \h</w:instrText>
      </w:r>
      <w:r w:rsidRPr="00101D28">
        <w:rPr>
          <w:rStyle w:val="af7"/>
          <w:rFonts w:eastAsia="Guttman Hodes"/>
          <w:rtl/>
        </w:rPr>
        <w:instrText xml:space="preserve"> </w:instrText>
      </w:r>
      <w:r w:rsidRPr="00101D28">
        <w:rPr>
          <w:rStyle w:val="af7"/>
          <w:rFonts w:eastAsia="Guttman Hodes"/>
          <w:rtl/>
        </w:rPr>
      </w:r>
      <w:r w:rsidRPr="00101D28">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101D28">
        <w:rPr>
          <w:rStyle w:val="af7"/>
          <w:rFonts w:eastAsia="Guttman Hodes"/>
          <w:rtl/>
        </w:rPr>
        <w:fldChar w:fldCharType="end"/>
      </w:r>
      <w:r w:rsidRPr="00101D28">
        <w:rPr>
          <w:rStyle w:val="af7"/>
          <w:rFonts w:eastAsia="Guttman Hodes" w:hint="cs"/>
          <w:rtl/>
        </w:rPr>
        <w:t xml:space="preserve"> </w:t>
      </w:r>
      <w:r>
        <w:rPr>
          <w:rFonts w:hint="cs"/>
          <w:rtl/>
        </w:rPr>
        <w:t xml:space="preserve">דבסוגיין כיון דבזמן שההוא גברא ירד לאכול את הדקל, לא היה לנו כל בירור מיהו הקרוב יותר, ועכשיו שבאו עדים והתברר דרב אידי הוא ודאי קרוב, א"כ אמרינן דכיון דאין ספק מוציא מידי ודאי, חשיב שהבירור היה כבר בזמן שההוא גברא ירד לאכול את פירות הדקל, וכיון שהוא הודה שאכל, ויש לנו בירור בתורת ודאי שהדקל הוא של רב אידי, לכן ס"ל לאביי ורבא דצריך להחזיר את הפירות, אבל בגמ' לקמן ביאר </w:t>
      </w:r>
      <w:r w:rsidRPr="00101D28">
        <w:rPr>
          <w:rStyle w:val="af9"/>
          <w:rFonts w:hint="cs"/>
          <w:rtl/>
        </w:rPr>
        <w:t>בחי' רמ"ש</w:t>
      </w:r>
      <w:r>
        <w:rPr>
          <w:rFonts w:hint="cs"/>
          <w:rtl/>
        </w:rPr>
        <w:t xml:space="preserve"> דכשיש ע"א או כשהודה שאכל ג"ש ואין עדים, הוא טוען שלפני שאכל את הפירות היה לו שטר ואבד לו, ולטענתו כל הספק נולד רק לאחר שנאבד השטר, וא"כ א"א לדון מכח הודאתו על אכילת הפירות שלפני לידת הספק, דלטענתו יש למערער רק זכות בקרקע כיון שאין לו עדים על החזקה, אך לא הודה לו על הפירות כלל, דלפי הודאתו בשעה שאכל לא היה כל ספק.</w:t>
      </w:r>
    </w:p>
    <w:p w:rsidR="00103C1B" w:rsidRPr="00CE4642" w:rsidRDefault="00103C1B" w:rsidP="00103C1B">
      <w:pPr>
        <w:pStyle w:val="afe"/>
        <w:rPr>
          <w:rtl/>
        </w:rPr>
      </w:pPr>
      <w:r>
        <w:rPr>
          <w:rFonts w:hint="cs"/>
          <w:rtl/>
        </w:rPr>
        <w:t>ד' הרשב"ם דרק בסוגיין אין מיגו בפירות</w:t>
      </w:r>
    </w:p>
    <w:p w:rsidR="00103C1B" w:rsidRDefault="00103C1B" w:rsidP="00103C1B">
      <w:pPr>
        <w:pStyle w:val="1"/>
        <w:rPr>
          <w:rtl/>
        </w:rPr>
      </w:pPr>
      <w:bookmarkStart w:id="15981" w:name="_Toc64549039"/>
      <w:bookmarkStart w:id="15982" w:name="_Toc64576218"/>
      <w:bookmarkStart w:id="15983" w:name="_Toc64588860"/>
      <w:bookmarkStart w:id="15984" w:name="_Toc64629479"/>
      <w:bookmarkStart w:id="15985" w:name="_Toc64642942"/>
      <w:r>
        <w:rPr>
          <w:rFonts w:hint="cs"/>
          <w:rtl/>
        </w:rPr>
        <w:t>דעת הרשב"ם</w:t>
      </w:r>
      <w:bookmarkEnd w:id="15981"/>
      <w:bookmarkEnd w:id="15982"/>
      <w:bookmarkEnd w:id="15983"/>
      <w:bookmarkEnd w:id="15984"/>
      <w:r>
        <w:rPr>
          <w:rFonts w:hint="cs"/>
          <w:rtl/>
        </w:rPr>
        <w:t xml:space="preserve"> דאף שמחזיר קרקע נאמן במיגו על הפירות</w:t>
      </w:r>
      <w:bookmarkEnd w:id="15985"/>
    </w:p>
    <w:p w:rsidR="00103C1B" w:rsidRDefault="00103C1B" w:rsidP="00103C1B">
      <w:pPr>
        <w:pStyle w:val="a3"/>
        <w:rPr>
          <w:rtl/>
        </w:rPr>
      </w:pPr>
      <w:bookmarkStart w:id="15986" w:name="_Toc64629480"/>
      <w:bookmarkStart w:id="15987" w:name="_Toc64642943"/>
      <w:r>
        <w:rPr>
          <w:rFonts w:hint="cs"/>
          <w:rtl/>
        </w:rPr>
        <w:t>דברי הרשב"ם דבמקום שלטענתו הפירות שלו אף שהקרקע יוצאת מתח"י נאמן בפירות במיגו</w:t>
      </w:r>
      <w:bookmarkEnd w:id="15986"/>
      <w:bookmarkEnd w:id="15987"/>
    </w:p>
    <w:p w:rsidR="00103C1B" w:rsidRDefault="00103C1B" w:rsidP="007E4E81">
      <w:pPr>
        <w:pStyle w:val="a0"/>
        <w:rPr>
          <w:rtl/>
        </w:rPr>
      </w:pPr>
      <w:bookmarkStart w:id="15988" w:name="_Ref64539538"/>
      <w:r>
        <w:rPr>
          <w:rStyle w:val="af9"/>
          <w:rFonts w:hint="cs"/>
          <w:rtl/>
        </w:rPr>
        <w:t>ו</w:t>
      </w:r>
      <w:r w:rsidRPr="004A5529">
        <w:rPr>
          <w:rStyle w:val="af9"/>
          <w:rFonts w:hint="cs"/>
          <w:rtl/>
        </w:rPr>
        <w:t>הרשב"ם</w:t>
      </w:r>
      <w:r>
        <w:rPr>
          <w:rFonts w:hint="cs"/>
          <w:rtl/>
        </w:rPr>
        <w:t xml:space="preserve"> </w:t>
      </w:r>
      <w:r>
        <w:rPr>
          <w:rStyle w:val="af9"/>
          <w:rFonts w:hint="cs"/>
          <w:rtl/>
        </w:rPr>
        <w:t>לקמן</w:t>
      </w:r>
      <w:r w:rsidRPr="004A5529">
        <w:rPr>
          <w:rStyle w:val="af7"/>
          <w:rFonts w:eastAsia="Guttman Hodes" w:hint="cs"/>
          <w:rtl/>
        </w:rPr>
        <w:t xml:space="preserve"> (לג: ד"ה והדרי) </w:t>
      </w:r>
      <w:r>
        <w:rPr>
          <w:rFonts w:hint="cs"/>
          <w:rtl/>
        </w:rPr>
        <w:t xml:space="preserve">כתב דבמקום שטוען המחזיק מינך זבינתה ואכלתיה ג"ש, ואין עדים על אכילת הפירות, דא"צ להחזיר את הפירות שהודה שאכל, דאעפ"י שהודה מ"מ לטענתו שקנה את הקרקע, הפירות הם שלו, ואף שהקרקע יוצאת מתח"י כיון שאין לו עידי חזקה או שטר, מ"מ א"צ להחזיר את הפירות, והוא נאמן במיגו דהיה יכול לטעון שאכל מעט פירות, כגון דעייל כורא ואפיק מעט </w:t>
      </w:r>
      <w:r>
        <w:rPr>
          <w:rFonts w:hint="cs"/>
          <w:rtl/>
        </w:rPr>
        <w:t xml:space="preserve">יותר מכורא, דמהני לחזקה, ולכן נאמן אף כשטוען שאכל הרבה פירות והם שלו שהוא קנה את הקרקע, וביאר </w:t>
      </w:r>
      <w:r w:rsidRPr="004A5529">
        <w:rPr>
          <w:rStyle w:val="af9"/>
          <w:rFonts w:hint="cs"/>
          <w:rtl/>
        </w:rPr>
        <w:t>הרשב"ם</w:t>
      </w:r>
      <w:r>
        <w:rPr>
          <w:rFonts w:hint="cs"/>
          <w:rtl/>
        </w:rPr>
        <w:t xml:space="preserve"> דאי"ז מיגו במקום עדים, כיון שלא ידוע לנו אם באמת הוא קנה את הקרקע או שהיה לו שטר ואבד בתוך ג"ש, וכתב </w:t>
      </w:r>
      <w:r w:rsidRPr="009F534B">
        <w:rPr>
          <w:rStyle w:val="af9"/>
          <w:rFonts w:hint="cs"/>
          <w:rtl/>
        </w:rPr>
        <w:t>הש"ך</w:t>
      </w:r>
      <w:r>
        <w:rPr>
          <w:rFonts w:hint="cs"/>
          <w:rtl/>
        </w:rPr>
        <w:t xml:space="preserve"> </w:t>
      </w:r>
      <w:r w:rsidRPr="009F534B">
        <w:rPr>
          <w:rStyle w:val="af7"/>
          <w:rFonts w:eastAsia="Guttman Hodes" w:hint="cs"/>
          <w:rtl/>
        </w:rPr>
        <w:t xml:space="preserve">(עי' אות </w:t>
      </w:r>
      <w:r w:rsidRPr="009F534B">
        <w:rPr>
          <w:rStyle w:val="af7"/>
          <w:rFonts w:eastAsia="Guttman Hodes"/>
          <w:rtl/>
        </w:rPr>
        <w:fldChar w:fldCharType="begin"/>
      </w:r>
      <w:r w:rsidRPr="009F534B">
        <w:rPr>
          <w:rStyle w:val="af7"/>
          <w:rFonts w:eastAsia="Guttman Hodes"/>
          <w:rtl/>
        </w:rPr>
        <w:instrText xml:space="preserve"> </w:instrText>
      </w:r>
      <w:r w:rsidRPr="009F534B">
        <w:rPr>
          <w:rStyle w:val="af7"/>
          <w:rFonts w:eastAsia="Guttman Hodes" w:hint="cs"/>
        </w:rPr>
        <w:instrText>REF</w:instrText>
      </w:r>
      <w:r w:rsidRPr="009F534B">
        <w:rPr>
          <w:rStyle w:val="af7"/>
          <w:rFonts w:eastAsia="Guttman Hodes" w:hint="cs"/>
          <w:rtl/>
        </w:rPr>
        <w:instrText xml:space="preserve"> _</w:instrText>
      </w:r>
      <w:r w:rsidRPr="009F534B">
        <w:rPr>
          <w:rStyle w:val="af7"/>
          <w:rFonts w:eastAsia="Guttman Hodes" w:hint="cs"/>
        </w:rPr>
        <w:instrText>Ref64542143 \r \h</w:instrText>
      </w:r>
      <w:r w:rsidRPr="009F534B">
        <w:rPr>
          <w:rStyle w:val="af7"/>
          <w:rFonts w:eastAsia="Guttman Hodes"/>
          <w:rtl/>
        </w:rPr>
        <w:instrText xml:space="preserve"> </w:instrText>
      </w:r>
      <w:r w:rsidRPr="009F534B">
        <w:rPr>
          <w:rStyle w:val="af7"/>
          <w:rFonts w:eastAsia="Guttman Hodes"/>
          <w:rtl/>
        </w:rPr>
      </w:r>
      <w:r w:rsidRPr="009F534B">
        <w:rPr>
          <w:rStyle w:val="af7"/>
          <w:rFonts w:eastAsia="Guttman Hodes"/>
          <w:rtl/>
        </w:rPr>
        <w:fldChar w:fldCharType="separate"/>
      </w:r>
      <w:r w:rsidR="00265073">
        <w:rPr>
          <w:rStyle w:val="af7"/>
          <w:rFonts w:eastAsia="Guttman Hodes"/>
          <w:cs/>
        </w:rPr>
        <w:t>‎</w:t>
      </w:r>
      <w:r w:rsidR="00265073">
        <w:rPr>
          <w:rStyle w:val="af7"/>
          <w:rFonts w:eastAsia="Guttman Hodes"/>
          <w:rtl/>
        </w:rPr>
        <w:t>פג)</w:t>
      </w:r>
      <w:r w:rsidRPr="009F534B">
        <w:rPr>
          <w:rStyle w:val="af7"/>
          <w:rFonts w:eastAsia="Guttman Hodes"/>
          <w:rtl/>
        </w:rPr>
        <w:fldChar w:fldCharType="end"/>
      </w:r>
      <w:r>
        <w:rPr>
          <w:rFonts w:hint="cs"/>
          <w:rtl/>
        </w:rPr>
        <w:t xml:space="preserve"> </w:t>
      </w:r>
      <w:r w:rsidRPr="009F534B">
        <w:rPr>
          <w:rStyle w:val="af9"/>
          <w:rFonts w:hint="cs"/>
          <w:rtl/>
        </w:rPr>
        <w:t>דהרשב"ם</w:t>
      </w:r>
      <w:r>
        <w:rPr>
          <w:rFonts w:hint="cs"/>
          <w:rtl/>
        </w:rPr>
        <w:t xml:space="preserve"> לא ס"ל </w:t>
      </w:r>
      <w:r w:rsidRPr="00B61312">
        <w:rPr>
          <w:rStyle w:val="af9"/>
          <w:rFonts w:hint="cs"/>
          <w:rtl/>
        </w:rPr>
        <w:t xml:space="preserve">כתוס' </w:t>
      </w:r>
      <w:r w:rsidRPr="00B61312">
        <w:rPr>
          <w:rStyle w:val="af7"/>
          <w:rFonts w:eastAsia="Guttman Hodes" w:hint="cs"/>
          <w:rtl/>
        </w:rPr>
        <w:t xml:space="preserve">(עי' אות </w:t>
      </w:r>
      <w:r w:rsidRPr="00B61312">
        <w:rPr>
          <w:rStyle w:val="af7"/>
          <w:rFonts w:eastAsia="Guttman Hodes"/>
          <w:rtl/>
        </w:rPr>
        <w:fldChar w:fldCharType="begin"/>
      </w:r>
      <w:r w:rsidRPr="00B61312">
        <w:rPr>
          <w:rStyle w:val="af7"/>
          <w:rFonts w:eastAsia="Guttman Hodes"/>
          <w:rtl/>
        </w:rPr>
        <w:instrText xml:space="preserve"> </w:instrText>
      </w:r>
      <w:r w:rsidRPr="00B61312">
        <w:rPr>
          <w:rStyle w:val="af7"/>
          <w:rFonts w:eastAsia="Guttman Hodes" w:hint="cs"/>
        </w:rPr>
        <w:instrText>REF</w:instrText>
      </w:r>
      <w:r w:rsidRPr="00B61312">
        <w:rPr>
          <w:rStyle w:val="af7"/>
          <w:rFonts w:eastAsia="Guttman Hodes" w:hint="cs"/>
          <w:rtl/>
        </w:rPr>
        <w:instrText xml:space="preserve"> _</w:instrText>
      </w:r>
      <w:r w:rsidRPr="00B61312">
        <w:rPr>
          <w:rStyle w:val="af7"/>
          <w:rFonts w:eastAsia="Guttman Hodes" w:hint="cs"/>
        </w:rPr>
        <w:instrText>Ref64476599 \r \h</w:instrText>
      </w:r>
      <w:r w:rsidRPr="00B61312">
        <w:rPr>
          <w:rStyle w:val="af7"/>
          <w:rFonts w:eastAsia="Guttman Hodes"/>
          <w:rtl/>
        </w:rPr>
        <w:instrText xml:space="preserve"> </w:instrText>
      </w:r>
      <w:r w:rsidRPr="00B61312">
        <w:rPr>
          <w:rStyle w:val="af7"/>
          <w:rFonts w:eastAsia="Guttman Hodes"/>
          <w:rtl/>
        </w:rPr>
      </w:r>
      <w:r w:rsidRPr="00B61312">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B61312">
        <w:rPr>
          <w:rStyle w:val="af7"/>
          <w:rFonts w:eastAsia="Guttman Hodes"/>
          <w:rtl/>
        </w:rPr>
        <w:fldChar w:fldCharType="end"/>
      </w:r>
      <w:r>
        <w:rPr>
          <w:rFonts w:hint="cs"/>
          <w:rtl/>
        </w:rPr>
        <w:t xml:space="preserve"> דכתבו דאף כשאין ע"א אינו נאמן על הפירות במיגו.</w:t>
      </w:r>
      <w:bookmarkEnd w:id="15988"/>
    </w:p>
    <w:p w:rsidR="00103C1B" w:rsidRDefault="00103C1B" w:rsidP="00103C1B">
      <w:pPr>
        <w:pStyle w:val="a3"/>
        <w:rPr>
          <w:rtl/>
        </w:rPr>
      </w:pPr>
      <w:bookmarkStart w:id="15989" w:name="_Toc64629481"/>
      <w:bookmarkStart w:id="15990" w:name="_Toc64642944"/>
      <w:r>
        <w:rPr>
          <w:rFonts w:hint="cs"/>
          <w:rtl/>
        </w:rPr>
        <w:t>בי' הרשב"ם באביי ורבא דהוברר דאין לההוא גברא חלק בקרקע והודה שאכל פירות שלא כדין</w:t>
      </w:r>
      <w:bookmarkEnd w:id="15989"/>
      <w:bookmarkEnd w:id="15990"/>
    </w:p>
    <w:p w:rsidR="00103C1B" w:rsidRDefault="00103C1B" w:rsidP="007E4E81">
      <w:pPr>
        <w:pStyle w:val="a0"/>
        <w:rPr>
          <w:rtl/>
        </w:rPr>
      </w:pPr>
      <w:bookmarkStart w:id="15991" w:name="_Ref64627556"/>
      <w:r>
        <w:rPr>
          <w:rFonts w:hint="cs"/>
          <w:rtl/>
        </w:rPr>
        <w:t xml:space="preserve">וכתב </w:t>
      </w:r>
      <w:r w:rsidRPr="004A5529">
        <w:rPr>
          <w:rStyle w:val="af9"/>
          <w:rFonts w:hint="cs"/>
          <w:rtl/>
        </w:rPr>
        <w:t>הרשב"ם</w:t>
      </w:r>
      <w:r>
        <w:rPr>
          <w:rStyle w:val="af9"/>
          <w:rFonts w:hint="cs"/>
          <w:rtl/>
        </w:rPr>
        <w:t xml:space="preserve"> לקמן</w:t>
      </w:r>
      <w:r>
        <w:rPr>
          <w:rFonts w:hint="cs"/>
          <w:rtl/>
        </w:rPr>
        <w:t xml:space="preserve"> דלא דמי לדברי אביי ורבא דס"ל דההוא גברא צריך להחזיר את הפירות, כיון דבסוגיין הוברר שרב אידי הוא קרוב יותר, וא"כ ידוע לנו שאין לההוא גברא חלק בקרקע, ולכן הוא צריך להחזיר את הפירות כיון שאכל את הפירות שלא כדין, ואעפ"י שהוא הודה שאכל את הפירות, ואין עדים שאכל מ"מ ודאי שאכל שלא כדין, ועי' במה שביאר </w:t>
      </w:r>
      <w:r w:rsidRPr="00B61312">
        <w:rPr>
          <w:rStyle w:val="af9"/>
          <w:rFonts w:hint="cs"/>
          <w:rtl/>
        </w:rPr>
        <w:t>בחו"ש הגרב"ב</w:t>
      </w:r>
      <w:r>
        <w:rPr>
          <w:rFonts w:hint="cs"/>
          <w:rtl/>
        </w:rPr>
        <w:t xml:space="preserve"> </w:t>
      </w:r>
      <w:r w:rsidRPr="00B61312">
        <w:rPr>
          <w:rStyle w:val="af7"/>
          <w:rFonts w:eastAsia="Guttman Hodes" w:hint="cs"/>
          <w:rtl/>
        </w:rPr>
        <w:t xml:space="preserve">(עי' אות </w:t>
      </w:r>
      <w:r w:rsidRPr="00B61312">
        <w:rPr>
          <w:rStyle w:val="af7"/>
          <w:rFonts w:eastAsia="Guttman Hodes"/>
          <w:rtl/>
        </w:rPr>
        <w:fldChar w:fldCharType="begin"/>
      </w:r>
      <w:r w:rsidRPr="00B61312">
        <w:rPr>
          <w:rStyle w:val="af7"/>
          <w:rFonts w:eastAsia="Guttman Hodes"/>
          <w:rtl/>
        </w:rPr>
        <w:instrText xml:space="preserve"> </w:instrText>
      </w:r>
      <w:r w:rsidRPr="00B61312">
        <w:rPr>
          <w:rStyle w:val="af7"/>
          <w:rFonts w:eastAsia="Guttman Hodes" w:hint="cs"/>
        </w:rPr>
        <w:instrText>REF</w:instrText>
      </w:r>
      <w:r w:rsidRPr="00B61312">
        <w:rPr>
          <w:rStyle w:val="af7"/>
          <w:rFonts w:eastAsia="Guttman Hodes" w:hint="cs"/>
          <w:rtl/>
        </w:rPr>
        <w:instrText xml:space="preserve"> _</w:instrText>
      </w:r>
      <w:r w:rsidRPr="00B61312">
        <w:rPr>
          <w:rStyle w:val="af7"/>
          <w:rFonts w:eastAsia="Guttman Hodes" w:hint="cs"/>
        </w:rPr>
        <w:instrText>Ref64540372 \r \h</w:instrText>
      </w:r>
      <w:r w:rsidRPr="00B61312">
        <w:rPr>
          <w:rStyle w:val="af7"/>
          <w:rFonts w:eastAsia="Guttman Hodes"/>
          <w:rtl/>
        </w:rPr>
        <w:instrText xml:space="preserve"> </w:instrText>
      </w:r>
      <w:r w:rsidRPr="00B61312">
        <w:rPr>
          <w:rStyle w:val="af7"/>
          <w:rFonts w:eastAsia="Guttman Hodes"/>
          <w:rtl/>
        </w:rPr>
      </w:r>
      <w:r w:rsidRPr="00B61312">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sidRPr="00B61312">
        <w:rPr>
          <w:rStyle w:val="af7"/>
          <w:rFonts w:eastAsia="Guttman Hodes"/>
          <w:rtl/>
        </w:rPr>
        <w:fldChar w:fldCharType="end"/>
      </w:r>
      <w:r>
        <w:rPr>
          <w:rFonts w:hint="cs"/>
          <w:rtl/>
        </w:rPr>
        <w:t xml:space="preserve"> בדברי </w:t>
      </w:r>
      <w:r w:rsidRPr="00B61312">
        <w:rPr>
          <w:rStyle w:val="af9"/>
          <w:rFonts w:hint="cs"/>
          <w:rtl/>
        </w:rPr>
        <w:t>הרשב"ם</w:t>
      </w:r>
      <w:r>
        <w:rPr>
          <w:rFonts w:hint="cs"/>
          <w:rtl/>
        </w:rPr>
        <w:t>.</w:t>
      </w:r>
      <w:bookmarkEnd w:id="15991"/>
    </w:p>
    <w:p w:rsidR="00103C1B" w:rsidRDefault="00103C1B" w:rsidP="00103C1B">
      <w:pPr>
        <w:pStyle w:val="a3"/>
        <w:rPr>
          <w:rtl/>
        </w:rPr>
      </w:pPr>
      <w:bookmarkStart w:id="15992" w:name="_Toc64629482"/>
      <w:bookmarkStart w:id="15993" w:name="_Toc64642945"/>
      <w:r>
        <w:rPr>
          <w:rFonts w:hint="cs"/>
          <w:rtl/>
        </w:rPr>
        <w:t>דברי הרשב"ם דבהודה שאכל פירות ב"ש נאמן על הפירות דאכל את שלו מדין הפה שאסר</w:t>
      </w:r>
      <w:bookmarkEnd w:id="15992"/>
      <w:bookmarkEnd w:id="15993"/>
      <w:r>
        <w:rPr>
          <w:rFonts w:hint="cs"/>
          <w:rtl/>
        </w:rPr>
        <w:t xml:space="preserve"> </w:t>
      </w:r>
    </w:p>
    <w:p w:rsidR="00103C1B" w:rsidRDefault="00103C1B" w:rsidP="007E4E81">
      <w:pPr>
        <w:pStyle w:val="a0"/>
        <w:rPr>
          <w:rtl/>
        </w:rPr>
      </w:pPr>
      <w:bookmarkStart w:id="15994" w:name="_Ref64539680"/>
      <w:r>
        <w:rPr>
          <w:rFonts w:hint="cs"/>
          <w:rtl/>
        </w:rPr>
        <w:t xml:space="preserve">ועוד כתב </w:t>
      </w:r>
      <w:r w:rsidRPr="00B61312">
        <w:rPr>
          <w:rStyle w:val="af9"/>
          <w:rFonts w:hint="cs"/>
          <w:rtl/>
        </w:rPr>
        <w:t>הרשב"ם לקמן</w:t>
      </w:r>
      <w:r w:rsidRPr="00237566">
        <w:rPr>
          <w:rStyle w:val="af7"/>
          <w:rFonts w:eastAsia="Guttman Hodes" w:hint="cs"/>
          <w:rtl/>
        </w:rPr>
        <w:t xml:space="preserve"> (לד. ד"ה אלא) </w:t>
      </w:r>
      <w:r>
        <w:rPr>
          <w:rFonts w:hint="cs"/>
          <w:rtl/>
        </w:rPr>
        <w:t xml:space="preserve">דבמקום שהמחזיק מודה שאכל פירות ב' שנים, ואין לו עידי חזקה, ואין עדים על אכילת הפירות, דהוא צריך להחזיר את הקרקע למרא קמא, אך על הפירות הוא נאמן מדין הפה שאסר, דמיגו היה יכול לטעון שלא אכל, נאמן לטעון אין אכלי ודידי אכלי דמינך זבנתיה, ורק במקום שיש ע"א שאכל את הפירות, הוא חייב להחזיר את הפירות, מדין מתוך שאינו יכול להשבע משלם, ועי' במה שביאר </w:t>
      </w:r>
      <w:r w:rsidRPr="00B61312">
        <w:rPr>
          <w:rStyle w:val="af9"/>
          <w:rFonts w:hint="cs"/>
          <w:rtl/>
        </w:rPr>
        <w:t>בחו"ש הגרב"ב</w:t>
      </w:r>
      <w:r w:rsidRPr="00237566">
        <w:rPr>
          <w:rStyle w:val="af7"/>
          <w:rFonts w:eastAsia="Guttman Hodes" w:hint="cs"/>
          <w:rtl/>
        </w:rPr>
        <w:t xml:space="preserve"> (עי' אות </w:t>
      </w:r>
      <w:r w:rsidRPr="00237566">
        <w:rPr>
          <w:rStyle w:val="af7"/>
          <w:rFonts w:eastAsia="Guttman Hodes"/>
          <w:rtl/>
        </w:rPr>
        <w:fldChar w:fldCharType="begin"/>
      </w:r>
      <w:r w:rsidRPr="00237566">
        <w:rPr>
          <w:rStyle w:val="af7"/>
          <w:rFonts w:eastAsia="Guttman Hodes"/>
          <w:rtl/>
        </w:rPr>
        <w:instrText xml:space="preserve"> </w:instrText>
      </w:r>
      <w:r w:rsidRPr="00237566">
        <w:rPr>
          <w:rStyle w:val="af7"/>
          <w:rFonts w:eastAsia="Guttman Hodes" w:hint="cs"/>
        </w:rPr>
        <w:instrText>REF</w:instrText>
      </w:r>
      <w:r w:rsidRPr="00237566">
        <w:rPr>
          <w:rStyle w:val="af7"/>
          <w:rFonts w:eastAsia="Guttman Hodes" w:hint="cs"/>
          <w:rtl/>
        </w:rPr>
        <w:instrText xml:space="preserve"> _</w:instrText>
      </w:r>
      <w:r w:rsidRPr="00237566">
        <w:rPr>
          <w:rStyle w:val="af7"/>
          <w:rFonts w:eastAsia="Guttman Hodes" w:hint="cs"/>
        </w:rPr>
        <w:instrText>Ref64540586 \r \h</w:instrText>
      </w:r>
      <w:r w:rsidRPr="00237566">
        <w:rPr>
          <w:rStyle w:val="af7"/>
          <w:rFonts w:eastAsia="Guttman Hodes"/>
          <w:rtl/>
        </w:rPr>
        <w:instrText xml:space="preserve"> </w:instrText>
      </w:r>
      <w:r w:rsidRPr="00237566">
        <w:rPr>
          <w:rStyle w:val="af7"/>
          <w:rFonts w:eastAsia="Guttman Hodes"/>
          <w:rtl/>
        </w:rPr>
      </w:r>
      <w:r w:rsidRPr="00237566">
        <w:rPr>
          <w:rStyle w:val="af7"/>
          <w:rFonts w:eastAsia="Guttman Hodes"/>
          <w:rtl/>
        </w:rPr>
        <w:fldChar w:fldCharType="separate"/>
      </w:r>
      <w:r w:rsidR="00265073">
        <w:rPr>
          <w:rStyle w:val="af7"/>
          <w:rFonts w:eastAsia="Guttman Hodes"/>
          <w:cs/>
        </w:rPr>
        <w:t>‎</w:t>
      </w:r>
      <w:r w:rsidR="00265073">
        <w:rPr>
          <w:rStyle w:val="af7"/>
          <w:rFonts w:eastAsia="Guttman Hodes"/>
          <w:rtl/>
        </w:rPr>
        <w:t>קיא)</w:t>
      </w:r>
      <w:r w:rsidRPr="00237566">
        <w:rPr>
          <w:rStyle w:val="af7"/>
          <w:rFonts w:eastAsia="Guttman Hodes"/>
          <w:rtl/>
        </w:rPr>
        <w:fldChar w:fldCharType="end"/>
      </w:r>
      <w:r>
        <w:rPr>
          <w:rFonts w:hint="cs"/>
          <w:rtl/>
        </w:rPr>
        <w:t xml:space="preserve"> את דברי </w:t>
      </w:r>
      <w:r w:rsidRPr="00B61312">
        <w:rPr>
          <w:rStyle w:val="af9"/>
          <w:rFonts w:hint="cs"/>
          <w:rtl/>
        </w:rPr>
        <w:t>הרשב"ם</w:t>
      </w:r>
      <w:r>
        <w:rPr>
          <w:rFonts w:hint="cs"/>
          <w:rtl/>
        </w:rPr>
        <w:t>.</w:t>
      </w:r>
      <w:bookmarkEnd w:id="15994"/>
    </w:p>
    <w:p w:rsidR="00103C1B" w:rsidRDefault="00103C1B" w:rsidP="00103C1B">
      <w:pPr>
        <w:pStyle w:val="a3"/>
        <w:rPr>
          <w:rtl/>
        </w:rPr>
      </w:pPr>
      <w:bookmarkStart w:id="15995" w:name="_Toc64629483"/>
      <w:bookmarkStart w:id="15996" w:name="_Toc64642946"/>
      <w:r>
        <w:rPr>
          <w:rFonts w:hint="cs"/>
          <w:rtl/>
        </w:rPr>
        <w:t>דברי התוס' רי"ד דכשהודה שאכל ב"ש א"צ להחזיר פירות דנאמן לטעון אין אכלי ודידי אכלי</w:t>
      </w:r>
      <w:bookmarkEnd w:id="15995"/>
      <w:bookmarkEnd w:id="15996"/>
    </w:p>
    <w:p w:rsidR="00103C1B" w:rsidRDefault="00103C1B" w:rsidP="007E4E81">
      <w:pPr>
        <w:pStyle w:val="a0"/>
        <w:rPr>
          <w:rStyle w:val="afb"/>
          <w:rtl/>
        </w:rPr>
      </w:pPr>
      <w:r w:rsidRPr="00FB3CCC">
        <w:rPr>
          <w:rStyle w:val="af9"/>
          <w:rFonts w:hint="cs"/>
          <w:rtl/>
        </w:rPr>
        <w:t>והתוס' רי"ד</w:t>
      </w:r>
      <w:r w:rsidRPr="00FB3CCC">
        <w:rPr>
          <w:rStyle w:val="af7"/>
          <w:rFonts w:eastAsia="Guttman Hodes" w:hint="cs"/>
          <w:rtl/>
        </w:rPr>
        <w:t xml:space="preserve"> </w:t>
      </w:r>
      <w:r w:rsidRPr="00FB3CCC">
        <w:rPr>
          <w:rStyle w:val="af7"/>
          <w:rFonts w:eastAsia="Guttman Rashi" w:hint="cs"/>
          <w:rtl/>
        </w:rPr>
        <w:t>(לד. או' ט"ו ד"ה הכא)</w:t>
      </w:r>
      <w:r w:rsidRPr="00FB3CCC">
        <w:rPr>
          <w:rStyle w:val="af7"/>
          <w:rFonts w:eastAsia="Guttman Hodes" w:hint="cs"/>
          <w:rtl/>
        </w:rPr>
        <w:t xml:space="preserve"> </w:t>
      </w:r>
      <w:r>
        <w:rPr>
          <w:rFonts w:hint="cs"/>
          <w:rtl/>
        </w:rPr>
        <w:t xml:space="preserve">כתב דדוקא כשיש ע"א הוא חייב להחזיר את הפירות כיון שאינו יכול להשבע, אבל כשהודה שאכל פירות ב' שנים, א"א לחייבו דהוא טוען אין אכלי ודידי אכלי. </w:t>
      </w:r>
      <w:r w:rsidRPr="00FB3CCC">
        <w:rPr>
          <w:rStyle w:val="afb"/>
          <w:rFonts w:hint="cs"/>
          <w:rtl/>
        </w:rPr>
        <w:t>[ומשמע דאף שאינו טוען שהחזיק ג"ש, מ"מ א"צ להחזיר פירות עפ"י הודאתו].</w:t>
      </w:r>
    </w:p>
    <w:p w:rsidR="00103C1B" w:rsidRPr="00CE4642" w:rsidRDefault="00103C1B" w:rsidP="00103C1B">
      <w:pPr>
        <w:pStyle w:val="afe"/>
        <w:rPr>
          <w:rtl/>
        </w:rPr>
      </w:pPr>
      <w:r>
        <w:rPr>
          <w:rFonts w:hint="cs"/>
          <w:rtl/>
        </w:rPr>
        <w:t xml:space="preserve">בי' הריב"ש מיגו ספק ל"מ להוציא מודאי </w:t>
      </w:r>
    </w:p>
    <w:p w:rsidR="00103C1B" w:rsidRDefault="00103C1B" w:rsidP="00103C1B">
      <w:pPr>
        <w:pStyle w:val="1"/>
        <w:rPr>
          <w:rtl/>
        </w:rPr>
      </w:pPr>
      <w:bookmarkStart w:id="15997" w:name="_Toc64549040"/>
      <w:bookmarkStart w:id="15998" w:name="_Toc64576219"/>
      <w:bookmarkStart w:id="15999" w:name="_Toc64588861"/>
      <w:bookmarkStart w:id="16000" w:name="_Toc64629484"/>
      <w:bookmarkStart w:id="16001" w:name="_Toc64642947"/>
      <w:r>
        <w:rPr>
          <w:rFonts w:hint="cs"/>
          <w:rtl/>
        </w:rPr>
        <w:t>בי' הריב"ש</w:t>
      </w:r>
      <w:bookmarkEnd w:id="15997"/>
      <w:bookmarkEnd w:id="15998"/>
      <w:bookmarkEnd w:id="15999"/>
      <w:r>
        <w:rPr>
          <w:rFonts w:hint="cs"/>
          <w:rtl/>
        </w:rPr>
        <w:t xml:space="preserve"> דלר"ח ל"מ מיגו בפירות דאין ספק מוציא מודאי</w:t>
      </w:r>
      <w:bookmarkEnd w:id="16000"/>
      <w:bookmarkEnd w:id="16001"/>
    </w:p>
    <w:p w:rsidR="00103C1B" w:rsidRPr="003B103B" w:rsidRDefault="00103C1B" w:rsidP="00103C1B">
      <w:pPr>
        <w:pStyle w:val="a3"/>
        <w:rPr>
          <w:rtl/>
        </w:rPr>
      </w:pPr>
      <w:bookmarkStart w:id="16002" w:name="_Toc64629485"/>
      <w:bookmarkStart w:id="16003" w:name="_Toc64642948"/>
      <w:r>
        <w:rPr>
          <w:rFonts w:hint="cs"/>
          <w:rtl/>
        </w:rPr>
        <w:t>דברי הריב"ש דבהודה על אכילת ג"ש נאמן במיגו שלא אכל כלל אף שמחזיר את הקרקע</w:t>
      </w:r>
      <w:bookmarkEnd w:id="16002"/>
      <w:bookmarkEnd w:id="16003"/>
    </w:p>
    <w:p w:rsidR="00103C1B" w:rsidRDefault="00103C1B" w:rsidP="007E4E81">
      <w:pPr>
        <w:pStyle w:val="a0"/>
        <w:rPr>
          <w:rtl/>
        </w:rPr>
      </w:pPr>
      <w:bookmarkStart w:id="16004" w:name="_Ref64539551"/>
      <w:r>
        <w:rPr>
          <w:rFonts w:hint="cs"/>
          <w:rtl/>
        </w:rPr>
        <w:t xml:space="preserve">כתב </w:t>
      </w:r>
      <w:r w:rsidRPr="005622E6">
        <w:rPr>
          <w:rStyle w:val="af9"/>
          <w:rFonts w:hint="cs"/>
          <w:rtl/>
        </w:rPr>
        <w:t>הריב"ש</w:t>
      </w:r>
      <w:r>
        <w:rPr>
          <w:rFonts w:hint="cs"/>
          <w:rtl/>
        </w:rPr>
        <w:t xml:space="preserve"> </w:t>
      </w:r>
      <w:r w:rsidRPr="005622E6">
        <w:rPr>
          <w:rStyle w:val="af7"/>
          <w:rFonts w:eastAsia="Guttman Hodes" w:hint="cs"/>
          <w:rtl/>
        </w:rPr>
        <w:t>(סי' של"ו ד"ה תשובה)</w:t>
      </w:r>
      <w:r>
        <w:rPr>
          <w:rFonts w:hint="cs"/>
          <w:rtl/>
        </w:rPr>
        <w:t xml:space="preserve"> דמחזיק שטוען שאכל פירות ג"ש, ואין לו עדים על כך, אינו חייב להחזיר את הפירות, ונאמן לומר אין אכלי ודידי אכלי, במיגו דהיה יכול לטעון שלא אכל פירות כלל, ולא אמרינן דכיון שהוא צריך להחזיר את הקרקע, ממילא הוא חייב להחזיר אף את הפירות.</w:t>
      </w:r>
      <w:bookmarkEnd w:id="16004"/>
    </w:p>
    <w:p w:rsidR="00103C1B" w:rsidRPr="006F7B4C" w:rsidRDefault="00103C1B" w:rsidP="00103C1B">
      <w:pPr>
        <w:pStyle w:val="a3"/>
        <w:rPr>
          <w:rtl/>
        </w:rPr>
      </w:pPr>
      <w:bookmarkStart w:id="16005" w:name="_Toc64629486"/>
      <w:bookmarkStart w:id="16006" w:name="_Toc64642949"/>
      <w:r>
        <w:rPr>
          <w:rFonts w:hint="cs"/>
          <w:rtl/>
        </w:rPr>
        <w:t>ביאור הריב"ש באביי ורבא דל"מ מיגו לרמב"ן דהוא במק"ע ולר"ח דאין ספק מוציא מודאי</w:t>
      </w:r>
      <w:bookmarkEnd w:id="16005"/>
      <w:bookmarkEnd w:id="16006"/>
    </w:p>
    <w:p w:rsidR="00103C1B" w:rsidRDefault="00103C1B" w:rsidP="007E4E81">
      <w:pPr>
        <w:pStyle w:val="a0"/>
        <w:rPr>
          <w:rtl/>
        </w:rPr>
      </w:pPr>
      <w:bookmarkStart w:id="16007" w:name="_Ref64625697"/>
      <w:r>
        <w:rPr>
          <w:rFonts w:hint="cs"/>
          <w:rtl/>
        </w:rPr>
        <w:t xml:space="preserve">וכתב </w:t>
      </w:r>
      <w:r w:rsidRPr="005622E6">
        <w:rPr>
          <w:rStyle w:val="af9"/>
          <w:rFonts w:hint="cs"/>
          <w:rtl/>
        </w:rPr>
        <w:t>הריב"ש</w:t>
      </w:r>
      <w:r>
        <w:rPr>
          <w:rFonts w:hint="cs"/>
          <w:rtl/>
        </w:rPr>
        <w:t xml:space="preserve"> דהא דאביי ורבא חייבו את ההוא גברא להחזיר את הפירות, דלפי הגירסא </w:t>
      </w:r>
      <w:r w:rsidRPr="00414ED4">
        <w:rPr>
          <w:rStyle w:val="afb"/>
          <w:rFonts w:hint="cs"/>
          <w:rtl/>
        </w:rPr>
        <w:t xml:space="preserve">[גירסת </w:t>
      </w:r>
      <w:r>
        <w:rPr>
          <w:rStyle w:val="affa"/>
          <w:rFonts w:hint="cs"/>
          <w:rtl/>
        </w:rPr>
        <w:t>הרמב"ן</w:t>
      </w:r>
      <w:r w:rsidRPr="00414ED4">
        <w:rPr>
          <w:rStyle w:val="afb"/>
          <w:rFonts w:hint="cs"/>
          <w:rtl/>
        </w:rPr>
        <w:t xml:space="preserve"> </w:t>
      </w:r>
      <w:r w:rsidRPr="00414ED4">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Ref64587875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נח)</w:t>
      </w:r>
      <w:r>
        <w:rPr>
          <w:rStyle w:val="aff6"/>
          <w:rtl/>
        </w:rPr>
        <w:fldChar w:fldCharType="end"/>
      </w:r>
      <w:r w:rsidRPr="00414ED4">
        <w:rPr>
          <w:rStyle w:val="afb"/>
          <w:rFonts w:hint="cs"/>
          <w:rtl/>
        </w:rPr>
        <w:t xml:space="preserve">] </w:t>
      </w:r>
      <w:r>
        <w:rPr>
          <w:rFonts w:hint="cs"/>
          <w:rtl/>
        </w:rPr>
        <w:t xml:space="preserve">דגרסינן "טפי", דהביא רב אידי עדים שהוא קרוב יותר, א"כ ס"ל לאביי ורבא דאין לו מיגו דהוא כמיגו במקום עדים, וכתב </w:t>
      </w:r>
      <w:r w:rsidRPr="005622E6">
        <w:rPr>
          <w:rStyle w:val="af9"/>
          <w:rFonts w:hint="cs"/>
          <w:rtl/>
        </w:rPr>
        <w:t>הריב"ש</w:t>
      </w:r>
      <w:r>
        <w:rPr>
          <w:rFonts w:hint="cs"/>
          <w:rtl/>
        </w:rPr>
        <w:t xml:space="preserve"> דלפי הגירסא </w:t>
      </w:r>
      <w:r w:rsidRPr="00414ED4">
        <w:rPr>
          <w:rStyle w:val="afb"/>
          <w:rFonts w:hint="cs"/>
          <w:rtl/>
        </w:rPr>
        <w:t xml:space="preserve">[גירסת </w:t>
      </w:r>
      <w:r w:rsidRPr="00414ED4">
        <w:rPr>
          <w:rStyle w:val="affa"/>
          <w:rFonts w:hint="cs"/>
          <w:rtl/>
        </w:rPr>
        <w:t>ר"ח</w:t>
      </w:r>
      <w:r w:rsidRPr="00414ED4">
        <w:rPr>
          <w:rStyle w:val="afb"/>
          <w:rFonts w:hint="cs"/>
          <w:rtl/>
        </w:rPr>
        <w:t xml:space="preserve"> </w:t>
      </w:r>
      <w:r w:rsidRPr="00414ED4">
        <w:rPr>
          <w:rStyle w:val="aff6"/>
          <w:rFonts w:hint="cs"/>
          <w:rtl/>
        </w:rPr>
        <w:t xml:space="preserve">(עי' אות </w:t>
      </w:r>
      <w:r w:rsidRPr="00414ED4">
        <w:rPr>
          <w:rStyle w:val="aff6"/>
          <w:rtl/>
        </w:rPr>
        <w:fldChar w:fldCharType="begin"/>
      </w:r>
      <w:r w:rsidRPr="00414ED4">
        <w:rPr>
          <w:rStyle w:val="aff6"/>
          <w:rtl/>
        </w:rPr>
        <w:instrText xml:space="preserve"> </w:instrText>
      </w:r>
      <w:r w:rsidRPr="00414ED4">
        <w:rPr>
          <w:rStyle w:val="aff6"/>
          <w:rFonts w:hint="cs"/>
        </w:rPr>
        <w:instrText>REF</w:instrText>
      </w:r>
      <w:r w:rsidRPr="00414ED4">
        <w:rPr>
          <w:rStyle w:val="aff6"/>
          <w:rFonts w:hint="cs"/>
          <w:rtl/>
        </w:rPr>
        <w:instrText xml:space="preserve"> _</w:instrText>
      </w:r>
      <w:r w:rsidRPr="00414ED4">
        <w:rPr>
          <w:rStyle w:val="aff6"/>
          <w:rFonts w:hint="cs"/>
        </w:rPr>
        <w:instrText>Ref64561356 \r \h</w:instrText>
      </w:r>
      <w:r w:rsidRPr="00414ED4">
        <w:rPr>
          <w:rStyle w:val="aff6"/>
          <w:rtl/>
        </w:rPr>
        <w:instrText xml:space="preserve"> </w:instrText>
      </w:r>
      <w:r w:rsidRPr="00414ED4">
        <w:rPr>
          <w:rStyle w:val="aff6"/>
          <w:rtl/>
        </w:rPr>
      </w:r>
      <w:r w:rsidRPr="00414ED4">
        <w:rPr>
          <w:rStyle w:val="aff6"/>
          <w:rtl/>
        </w:rPr>
        <w:fldChar w:fldCharType="separate"/>
      </w:r>
      <w:r w:rsidR="00265073">
        <w:rPr>
          <w:rStyle w:val="aff6"/>
          <w:cs/>
        </w:rPr>
        <w:t>‎</w:t>
      </w:r>
      <w:r w:rsidR="00265073">
        <w:rPr>
          <w:rStyle w:val="aff6"/>
          <w:rtl/>
        </w:rPr>
        <w:t>לח)</w:t>
      </w:r>
      <w:r w:rsidRPr="00414ED4">
        <w:rPr>
          <w:rStyle w:val="aff6"/>
          <w:rtl/>
        </w:rPr>
        <w:fldChar w:fldCharType="end"/>
      </w:r>
      <w:r w:rsidRPr="00414ED4">
        <w:rPr>
          <w:rStyle w:val="afb"/>
          <w:rFonts w:hint="cs"/>
          <w:rtl/>
        </w:rPr>
        <w:t xml:space="preserve">] </w:t>
      </w:r>
      <w:r>
        <w:rPr>
          <w:rFonts w:hint="cs"/>
          <w:rtl/>
        </w:rPr>
        <w:t xml:space="preserve"> דלא גרסינן "טפי" והביא רב אידי עדים רק שהוא קרוב, א"כ ס"ל לאביי ורבא דלא אמרינן מיגו שהספק יוציא מודאי, אבל במקום שאין המיגו נגד עדים, וכן אין המיגו מוציא מודאי לספק, הוא נאמן במיגו לגבי הפירות, אעפ"י שאינו נאמן על הקרקע עצמה שאין לו </w:t>
      </w:r>
      <w:r>
        <w:rPr>
          <w:rFonts w:hint="cs"/>
          <w:rtl/>
        </w:rPr>
        <w:lastRenderedPageBreak/>
        <w:t xml:space="preserve">מיגו, ועי' במה שביארו </w:t>
      </w:r>
      <w:r>
        <w:rPr>
          <w:rStyle w:val="af9"/>
          <w:rtl/>
        </w:rPr>
        <w:t>הש"ך</w:t>
      </w:r>
      <w:r>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Ref64542143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פג</w:t>
      </w:r>
      <w:r w:rsidR="00265073">
        <w:rPr>
          <w:rStyle w:val="af7"/>
          <w:rFonts w:eastAsia="Guttman Hodes"/>
          <w:rtl/>
        </w:rPr>
        <w:t>)</w:t>
      </w:r>
      <w:r>
        <w:rPr>
          <w:rStyle w:val="af7"/>
          <w:rFonts w:eastAsia="Guttman Hodes" w:hint="cs"/>
          <w:rtl/>
        </w:rPr>
        <w:fldChar w:fldCharType="end"/>
      </w:r>
      <w:r>
        <w:rPr>
          <w:rFonts w:hint="cs"/>
          <w:rtl/>
        </w:rPr>
        <w:t xml:space="preserve"> </w:t>
      </w:r>
      <w:r>
        <w:rPr>
          <w:rStyle w:val="af9"/>
          <w:rFonts w:hint="cs"/>
          <w:rtl/>
        </w:rPr>
        <w:t>ו</w:t>
      </w:r>
      <w:r w:rsidRPr="00B61312">
        <w:rPr>
          <w:rStyle w:val="af9"/>
          <w:rFonts w:hint="cs"/>
          <w:rtl/>
        </w:rPr>
        <w:t>בחו"ש הגרב"ב</w:t>
      </w:r>
      <w:r>
        <w:rPr>
          <w:rFonts w:hint="cs"/>
          <w:rtl/>
        </w:rPr>
        <w:t xml:space="preserve"> </w:t>
      </w:r>
      <w:r w:rsidRPr="00B61312">
        <w:rPr>
          <w:rStyle w:val="af7"/>
          <w:rFonts w:eastAsia="Guttman Hodes" w:hint="cs"/>
          <w:rtl/>
        </w:rPr>
        <w:t xml:space="preserve">(עי' אות </w:t>
      </w:r>
      <w:r w:rsidRPr="00B61312">
        <w:rPr>
          <w:rStyle w:val="af7"/>
          <w:rFonts w:eastAsia="Guttman Hodes"/>
          <w:rtl/>
        </w:rPr>
        <w:fldChar w:fldCharType="begin"/>
      </w:r>
      <w:r w:rsidRPr="00B61312">
        <w:rPr>
          <w:rStyle w:val="af7"/>
          <w:rFonts w:eastAsia="Guttman Hodes"/>
          <w:rtl/>
        </w:rPr>
        <w:instrText xml:space="preserve"> </w:instrText>
      </w:r>
      <w:r w:rsidRPr="00B61312">
        <w:rPr>
          <w:rStyle w:val="af7"/>
          <w:rFonts w:eastAsia="Guttman Hodes" w:hint="cs"/>
        </w:rPr>
        <w:instrText>REF</w:instrText>
      </w:r>
      <w:r w:rsidRPr="00B61312">
        <w:rPr>
          <w:rStyle w:val="af7"/>
          <w:rFonts w:eastAsia="Guttman Hodes" w:hint="cs"/>
          <w:rtl/>
        </w:rPr>
        <w:instrText xml:space="preserve"> _</w:instrText>
      </w:r>
      <w:r w:rsidRPr="00B61312">
        <w:rPr>
          <w:rStyle w:val="af7"/>
          <w:rFonts w:eastAsia="Guttman Hodes" w:hint="cs"/>
        </w:rPr>
        <w:instrText>Ref64540372 \r \h</w:instrText>
      </w:r>
      <w:r w:rsidRPr="00B61312">
        <w:rPr>
          <w:rStyle w:val="af7"/>
          <w:rFonts w:eastAsia="Guttman Hodes"/>
          <w:rtl/>
        </w:rPr>
        <w:instrText xml:space="preserve"> </w:instrText>
      </w:r>
      <w:r w:rsidRPr="00B61312">
        <w:rPr>
          <w:rStyle w:val="af7"/>
          <w:rFonts w:eastAsia="Guttman Hodes"/>
          <w:rtl/>
        </w:rPr>
      </w:r>
      <w:r w:rsidRPr="00B61312">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sidRPr="00B61312">
        <w:rPr>
          <w:rStyle w:val="af7"/>
          <w:rFonts w:eastAsia="Guttman Hodes"/>
          <w:rtl/>
        </w:rPr>
        <w:fldChar w:fldCharType="end"/>
      </w:r>
      <w:r>
        <w:rPr>
          <w:rFonts w:hint="cs"/>
          <w:rtl/>
        </w:rPr>
        <w:t xml:space="preserve"> </w:t>
      </w:r>
      <w:r w:rsidRPr="00907CC2">
        <w:rPr>
          <w:rStyle w:val="af9"/>
          <w:rFonts w:hint="cs"/>
          <w:rtl/>
        </w:rPr>
        <w:t>ובשיעורי רבי שמואל</w:t>
      </w:r>
      <w:r>
        <w:rPr>
          <w:rFonts w:hint="cs"/>
          <w:rtl/>
        </w:rPr>
        <w:t xml:space="preserve"> </w:t>
      </w:r>
      <w:r w:rsidRPr="0006797D">
        <w:rPr>
          <w:rStyle w:val="af7"/>
          <w:rFonts w:eastAsia="Guttman Hodes" w:hint="cs"/>
          <w:rtl/>
        </w:rPr>
        <w:t xml:space="preserve">(עי' אות </w:t>
      </w:r>
      <w:r w:rsidRPr="0006797D">
        <w:rPr>
          <w:rStyle w:val="af7"/>
          <w:rFonts w:eastAsia="Guttman Hodes"/>
          <w:rtl/>
        </w:rPr>
        <w:fldChar w:fldCharType="begin"/>
      </w:r>
      <w:r w:rsidRPr="0006797D">
        <w:rPr>
          <w:rStyle w:val="af7"/>
          <w:rFonts w:eastAsia="Guttman Hodes"/>
          <w:rtl/>
        </w:rPr>
        <w:instrText xml:space="preserve"> </w:instrText>
      </w:r>
      <w:r w:rsidRPr="0006797D">
        <w:rPr>
          <w:rStyle w:val="af7"/>
          <w:rFonts w:eastAsia="Guttman Hodes" w:hint="cs"/>
        </w:rPr>
        <w:instrText>REF</w:instrText>
      </w:r>
      <w:r w:rsidRPr="0006797D">
        <w:rPr>
          <w:rStyle w:val="af7"/>
          <w:rFonts w:eastAsia="Guttman Hodes" w:hint="cs"/>
          <w:rtl/>
        </w:rPr>
        <w:instrText xml:space="preserve"> _</w:instrText>
      </w:r>
      <w:r w:rsidRPr="0006797D">
        <w:rPr>
          <w:rStyle w:val="af7"/>
          <w:rFonts w:eastAsia="Guttman Hodes" w:hint="cs"/>
        </w:rPr>
        <w:instrText>Ref64628981 \r \h</w:instrText>
      </w:r>
      <w:r w:rsidRPr="0006797D">
        <w:rPr>
          <w:rStyle w:val="af7"/>
          <w:rFonts w:eastAsia="Guttman Hodes"/>
          <w:rtl/>
        </w:rPr>
        <w:instrText xml:space="preserve"> </w:instrText>
      </w:r>
      <w:r w:rsidRPr="0006797D">
        <w:rPr>
          <w:rStyle w:val="af7"/>
          <w:rFonts w:eastAsia="Guttman Hodes"/>
          <w:rtl/>
        </w:rPr>
      </w:r>
      <w:r w:rsidRPr="0006797D">
        <w:rPr>
          <w:rStyle w:val="af7"/>
          <w:rFonts w:eastAsia="Guttman Hodes"/>
          <w:rtl/>
        </w:rPr>
        <w:fldChar w:fldCharType="separate"/>
      </w:r>
      <w:r w:rsidR="00265073">
        <w:rPr>
          <w:rStyle w:val="af7"/>
          <w:rFonts w:eastAsia="Guttman Hodes"/>
          <w:cs/>
        </w:rPr>
        <w:t>‎</w:t>
      </w:r>
      <w:r w:rsidR="00265073">
        <w:rPr>
          <w:rStyle w:val="af7"/>
          <w:rFonts w:eastAsia="Guttman Hodes"/>
          <w:rtl/>
        </w:rPr>
        <w:t>קיח)</w:t>
      </w:r>
      <w:r w:rsidRPr="0006797D">
        <w:rPr>
          <w:rStyle w:val="af7"/>
          <w:rFonts w:eastAsia="Guttman Hodes"/>
          <w:rtl/>
        </w:rPr>
        <w:fldChar w:fldCharType="end"/>
      </w:r>
      <w:r>
        <w:rPr>
          <w:rFonts w:hint="cs"/>
          <w:rtl/>
        </w:rPr>
        <w:t xml:space="preserve"> בדברי </w:t>
      </w:r>
      <w:r w:rsidRPr="00B61312">
        <w:rPr>
          <w:rStyle w:val="af9"/>
          <w:rFonts w:hint="cs"/>
          <w:rtl/>
        </w:rPr>
        <w:t>הר</w:t>
      </w:r>
      <w:r>
        <w:rPr>
          <w:rStyle w:val="af9"/>
          <w:rFonts w:hint="cs"/>
          <w:rtl/>
        </w:rPr>
        <w:t>יב"ש</w:t>
      </w:r>
      <w:r>
        <w:rPr>
          <w:rFonts w:hint="cs"/>
          <w:rtl/>
        </w:rPr>
        <w:t>.</w:t>
      </w:r>
      <w:bookmarkEnd w:id="16007"/>
    </w:p>
    <w:p w:rsidR="00103C1B" w:rsidRDefault="00103C1B" w:rsidP="00103C1B">
      <w:pPr>
        <w:pStyle w:val="a3"/>
        <w:rPr>
          <w:rtl/>
        </w:rPr>
      </w:pPr>
      <w:bookmarkStart w:id="16008" w:name="_Toc64629487"/>
      <w:bookmarkStart w:id="16009" w:name="_Toc64642950"/>
      <w:r>
        <w:rPr>
          <w:rFonts w:hint="cs"/>
          <w:rtl/>
        </w:rPr>
        <w:t>דברי הריב"ש דבעדים שאכל ב"ש וטוען שאכל ג"ש אינו נאמן על השנה הג' דא"כ יש לו חזקה</w:t>
      </w:r>
      <w:bookmarkEnd w:id="16008"/>
      <w:bookmarkEnd w:id="16009"/>
      <w:r>
        <w:rPr>
          <w:rFonts w:hint="cs"/>
          <w:rtl/>
        </w:rPr>
        <w:t xml:space="preserve"> </w:t>
      </w:r>
    </w:p>
    <w:p w:rsidR="00103C1B" w:rsidRDefault="00103C1B" w:rsidP="007E4E81">
      <w:pPr>
        <w:pStyle w:val="a0"/>
        <w:rPr>
          <w:rtl/>
        </w:rPr>
      </w:pPr>
      <w:bookmarkStart w:id="16010" w:name="_Ref64475002"/>
      <w:r>
        <w:rPr>
          <w:rFonts w:hint="cs"/>
          <w:rtl/>
        </w:rPr>
        <w:t xml:space="preserve">ובמה שהביא </w:t>
      </w:r>
      <w:r w:rsidRPr="005622E6">
        <w:rPr>
          <w:rStyle w:val="af9"/>
          <w:rFonts w:hint="cs"/>
          <w:rtl/>
        </w:rPr>
        <w:t>השואל בתשו' הריב"ש</w:t>
      </w:r>
      <w:r>
        <w:rPr>
          <w:rFonts w:hint="cs"/>
          <w:rtl/>
        </w:rPr>
        <w:t xml:space="preserve"> ראיה דמהני מיגו על אכילת הפירות, אעפ"י שאינו נאמן על הקרקע, מהא דאיתא בגמ' לקמן </w:t>
      </w:r>
      <w:r w:rsidRPr="004A4D3A">
        <w:rPr>
          <w:rStyle w:val="af7"/>
          <w:rFonts w:eastAsia="Guttman Hodes" w:hint="cs"/>
          <w:rtl/>
        </w:rPr>
        <w:t>(ל</w:t>
      </w:r>
      <w:r>
        <w:rPr>
          <w:rStyle w:val="af7"/>
          <w:rFonts w:eastAsia="Guttman Hodes" w:hint="cs"/>
          <w:rtl/>
        </w:rPr>
        <w:t>ג:</w:t>
      </w:r>
      <w:r w:rsidRPr="004A4D3A">
        <w:rPr>
          <w:rStyle w:val="af7"/>
          <w:rFonts w:eastAsia="Guttman Hodes" w:hint="cs"/>
          <w:rtl/>
        </w:rPr>
        <w:t>)</w:t>
      </w:r>
      <w:r>
        <w:rPr>
          <w:rFonts w:hint="cs"/>
          <w:rtl/>
        </w:rPr>
        <w:t xml:space="preserve"> דמחזיק שטוען שאכל פירות ג"ש, ויש לו עדים שהחזיק ב' שנים בקרקע ואכל את הפירות, דהדרא ארעא והדרי פירי, ומבואר דאינו צריך להחזיר את הפירות של השנה השלישית, כיון שהוא נאמן לומר אין אכלי ודידי אכלי במיגו דהיה טוען שלא אכל כלל, דחה </w:t>
      </w:r>
      <w:r w:rsidRPr="005622E6">
        <w:rPr>
          <w:rStyle w:val="af9"/>
          <w:rFonts w:hint="cs"/>
          <w:rtl/>
        </w:rPr>
        <w:t>הריב"ש</w:t>
      </w:r>
      <w:r>
        <w:rPr>
          <w:rFonts w:hint="cs"/>
          <w:rtl/>
        </w:rPr>
        <w:t xml:space="preserve"> </w:t>
      </w:r>
      <w:r w:rsidRPr="005622E6">
        <w:rPr>
          <w:rStyle w:val="af7"/>
          <w:rFonts w:eastAsia="Guttman Hodes" w:hint="cs"/>
          <w:rtl/>
        </w:rPr>
        <w:t>(סי' של"ו ד"ה מיהו)</w:t>
      </w:r>
      <w:r>
        <w:rPr>
          <w:rFonts w:hint="cs"/>
          <w:rtl/>
        </w:rPr>
        <w:t xml:space="preserve"> דהא דאינו חייב להחזיר את הפירות של השנה השלישית, אינו מחמת שיש לו מיגו, אלא דממה נפשך אינו חייב להחזיר, דאי הוא נאמן שאכל ג"ש, א"כ יש לו חזקת ג"ש, ואינו צריך להחזיר לא את הקרקע ולא את הפירות, ואי אינו נאמן על השנה השלישית לענין הקרקע, א"כ א"א להאמינו לענין הפירות, וכ"כ </w:t>
      </w:r>
      <w:r w:rsidRPr="005622E6">
        <w:rPr>
          <w:rStyle w:val="af9"/>
          <w:rFonts w:hint="cs"/>
          <w:rtl/>
        </w:rPr>
        <w:t>הרשב"א</w:t>
      </w:r>
      <w:r>
        <w:rPr>
          <w:rFonts w:hint="cs"/>
          <w:rtl/>
        </w:rPr>
        <w:t xml:space="preserve"> </w:t>
      </w:r>
      <w:r w:rsidRPr="005622E6">
        <w:rPr>
          <w:rStyle w:val="af7"/>
          <w:rFonts w:eastAsia="Guttman Hodes" w:hint="cs"/>
          <w:rtl/>
        </w:rPr>
        <w:t xml:space="preserve">(עי' אות </w:t>
      </w:r>
      <w:r w:rsidRPr="005622E6">
        <w:rPr>
          <w:rStyle w:val="af7"/>
          <w:rFonts w:eastAsia="Guttman Hodes"/>
          <w:rtl/>
        </w:rPr>
        <w:fldChar w:fldCharType="begin"/>
      </w:r>
      <w:r w:rsidRPr="005622E6">
        <w:rPr>
          <w:rStyle w:val="af7"/>
          <w:rFonts w:eastAsia="Guttman Hodes"/>
          <w:rtl/>
        </w:rPr>
        <w:instrText xml:space="preserve"> </w:instrText>
      </w:r>
      <w:r w:rsidRPr="005622E6">
        <w:rPr>
          <w:rStyle w:val="af7"/>
          <w:rFonts w:eastAsia="Guttman Hodes" w:hint="cs"/>
        </w:rPr>
        <w:instrText>REF</w:instrText>
      </w:r>
      <w:r w:rsidRPr="005622E6">
        <w:rPr>
          <w:rStyle w:val="af7"/>
          <w:rFonts w:eastAsia="Guttman Hodes" w:hint="cs"/>
          <w:rtl/>
        </w:rPr>
        <w:instrText xml:space="preserve"> _</w:instrText>
      </w:r>
      <w:r w:rsidRPr="005622E6">
        <w:rPr>
          <w:rStyle w:val="af7"/>
          <w:rFonts w:eastAsia="Guttman Hodes" w:hint="cs"/>
        </w:rPr>
        <w:instrText>Ref64403417 \r \h</w:instrText>
      </w:r>
      <w:r w:rsidRPr="005622E6">
        <w:rPr>
          <w:rStyle w:val="af7"/>
          <w:rFonts w:eastAsia="Guttman Hodes"/>
          <w:rtl/>
        </w:rPr>
        <w:instrText xml:space="preserve"> </w:instrText>
      </w:r>
      <w:r w:rsidRPr="005622E6">
        <w:rPr>
          <w:rStyle w:val="af7"/>
          <w:rFonts w:eastAsia="Guttman Hodes"/>
          <w:rtl/>
        </w:rPr>
      </w:r>
      <w:r w:rsidRPr="005622E6">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5622E6">
        <w:rPr>
          <w:rStyle w:val="af7"/>
          <w:rFonts w:eastAsia="Guttman Hodes"/>
          <w:rtl/>
        </w:rPr>
        <w:fldChar w:fldCharType="end"/>
      </w:r>
      <w:r>
        <w:rPr>
          <w:rFonts w:hint="cs"/>
          <w:rtl/>
        </w:rPr>
        <w:t>.</w:t>
      </w:r>
      <w:bookmarkEnd w:id="16010"/>
    </w:p>
    <w:p w:rsidR="00103C1B" w:rsidRDefault="00103C1B" w:rsidP="00103C1B">
      <w:pPr>
        <w:pStyle w:val="1"/>
        <w:rPr>
          <w:rtl/>
        </w:rPr>
      </w:pPr>
      <w:bookmarkStart w:id="16011" w:name="_Toc64407318"/>
      <w:bookmarkStart w:id="16012" w:name="_Toc64454567"/>
      <w:bookmarkStart w:id="16013" w:name="_Toc64458658"/>
      <w:bookmarkStart w:id="16014" w:name="_Toc64549041"/>
      <w:bookmarkStart w:id="16015" w:name="_Toc64576220"/>
      <w:bookmarkStart w:id="16016" w:name="_Toc64588862"/>
      <w:bookmarkStart w:id="16017" w:name="_Toc64629488"/>
      <w:bookmarkStart w:id="16018" w:name="_Toc64642951"/>
      <w:r>
        <w:rPr>
          <w:rFonts w:hint="cs"/>
          <w:rtl/>
        </w:rPr>
        <w:t>בי' תוס'</w:t>
      </w:r>
      <w:bookmarkEnd w:id="16011"/>
      <w:bookmarkEnd w:id="16012"/>
      <w:bookmarkEnd w:id="16013"/>
      <w:bookmarkEnd w:id="16014"/>
      <w:bookmarkEnd w:id="16015"/>
      <w:bookmarkEnd w:id="16016"/>
      <w:r>
        <w:rPr>
          <w:rFonts w:hint="cs"/>
          <w:rtl/>
        </w:rPr>
        <w:t xml:space="preserve"> דהודאה בפירות ל"ד למודה שכתב אזכרות שלא לשמן</w:t>
      </w:r>
      <w:bookmarkEnd w:id="16017"/>
      <w:bookmarkEnd w:id="16018"/>
    </w:p>
    <w:p w:rsidR="00103C1B" w:rsidRPr="00F77C92" w:rsidRDefault="00103C1B" w:rsidP="00103C1B">
      <w:pPr>
        <w:pStyle w:val="a3"/>
        <w:rPr>
          <w:rtl/>
        </w:rPr>
      </w:pPr>
      <w:bookmarkStart w:id="16019" w:name="_Toc64629489"/>
      <w:bookmarkStart w:id="16020" w:name="_Toc64642952"/>
      <w:r>
        <w:rPr>
          <w:rFonts w:hint="cs"/>
          <w:rtl/>
        </w:rPr>
        <w:t>דברי התוס' דא"א לומר דנאמן על אכילת פירות ולא נאמן שלקחה ואכלם בגזל</w:t>
      </w:r>
      <w:bookmarkEnd w:id="16019"/>
      <w:bookmarkEnd w:id="16020"/>
    </w:p>
    <w:p w:rsidR="00103C1B" w:rsidRDefault="00103C1B" w:rsidP="007E4E81">
      <w:pPr>
        <w:pStyle w:val="a0"/>
      </w:pPr>
      <w:bookmarkStart w:id="16021" w:name="_Ref64476760"/>
      <w:r>
        <w:rPr>
          <w:rFonts w:hint="cs"/>
          <w:rtl/>
        </w:rPr>
        <w:t xml:space="preserve">כתבו </w:t>
      </w:r>
      <w:r w:rsidRPr="008076B1">
        <w:rPr>
          <w:rStyle w:val="af9"/>
          <w:rFonts w:hint="cs"/>
          <w:rtl/>
        </w:rPr>
        <w:t>התוס'</w:t>
      </w:r>
      <w:r>
        <w:rPr>
          <w:rFonts w:hint="cs"/>
          <w:rtl/>
        </w:rPr>
        <w:t xml:space="preserve"> </w:t>
      </w:r>
      <w:r w:rsidRPr="00EF35EC">
        <w:rPr>
          <w:rStyle w:val="af7"/>
          <w:rFonts w:eastAsia="Guttman Hodes" w:hint="cs"/>
          <w:rtl/>
        </w:rPr>
        <w:t>(</w:t>
      </w:r>
      <w:r>
        <w:rPr>
          <w:rStyle w:val="af7"/>
          <w:rFonts w:eastAsia="Guttman Hodes" w:hint="cs"/>
          <w:rtl/>
        </w:rPr>
        <w:t>סו</w:t>
      </w:r>
      <w:r w:rsidRPr="00EF35EC">
        <w:rPr>
          <w:rStyle w:val="af7"/>
          <w:rFonts w:eastAsia="Guttman Hodes" w:hint="cs"/>
          <w:rtl/>
        </w:rPr>
        <w:t>ד"ה ה"ג)</w:t>
      </w:r>
      <w:r>
        <w:rPr>
          <w:rFonts w:hint="cs"/>
          <w:rtl/>
        </w:rPr>
        <w:t xml:space="preserve"> דאעפ"י דאיתא בגמ' בגיטין </w:t>
      </w:r>
      <w:r w:rsidRPr="00AC7281">
        <w:rPr>
          <w:rStyle w:val="af7"/>
          <w:rFonts w:eastAsia="Guttman Hodes" w:hint="cs"/>
          <w:rtl/>
        </w:rPr>
        <w:t>(נד:)</w:t>
      </w:r>
      <w:r>
        <w:rPr>
          <w:rFonts w:hint="cs"/>
          <w:rtl/>
        </w:rPr>
        <w:t xml:space="preserve"> דסופר שאמר על ס"ת שכתב, דלא כתבו את האזכרות שבו לשמן, דאינו נאמן לפסול את הס"ת, אך נאמן להפסיד את שכרו, מ"מ כתבו </w:t>
      </w:r>
      <w:r w:rsidRPr="00AC7281">
        <w:rPr>
          <w:rStyle w:val="af9"/>
          <w:rFonts w:hint="cs"/>
          <w:rtl/>
        </w:rPr>
        <w:t>התוס'</w:t>
      </w:r>
      <w:r>
        <w:rPr>
          <w:rFonts w:hint="cs"/>
          <w:rtl/>
        </w:rPr>
        <w:t xml:space="preserve"> דהכא א"א לומר דנאמן שאכל, אך לא נאמן שקנה ממנו ואמרינן שאכלה בגזל, כיון דבס"ת כשהוא נמצא כבר בידי הלוקח חשיב שיש עדים שנכתבו האזכרות לשמן, ואינו נאמן כלל, אלא דהוא מפסיד את שכרו כיון שמודה שלא חייבין לו כלום.</w:t>
      </w:r>
      <w:bookmarkEnd w:id="16021"/>
      <w:r>
        <w:rPr>
          <w:rFonts w:hint="cs"/>
          <w:rtl/>
        </w:rPr>
        <w:t xml:space="preserve"> </w:t>
      </w:r>
      <w:r w:rsidRPr="003C26A6">
        <w:rPr>
          <w:rStyle w:val="afb"/>
          <w:rFonts w:hint="cs"/>
          <w:rtl/>
        </w:rPr>
        <w:t>[ועי' במה שביאר</w:t>
      </w:r>
      <w:r w:rsidRPr="004C3EF1">
        <w:rPr>
          <w:rStyle w:val="affa"/>
          <w:rFonts w:hint="cs"/>
          <w:rtl/>
        </w:rPr>
        <w:t xml:space="preserve"> </w:t>
      </w:r>
      <w:r w:rsidRPr="00963F5C">
        <w:rPr>
          <w:rStyle w:val="affa"/>
          <w:rFonts w:hint="cs"/>
          <w:rtl/>
        </w:rPr>
        <w:t>בחי' רבי נחום</w:t>
      </w:r>
      <w:r>
        <w:rPr>
          <w:rFonts w:hint="cs"/>
          <w:rtl/>
        </w:rPr>
        <w:t xml:space="preserve"> </w:t>
      </w:r>
      <w:r w:rsidRPr="00963F5C">
        <w:rPr>
          <w:rStyle w:val="aff6"/>
          <w:rFonts w:hint="cs"/>
          <w:rtl/>
        </w:rPr>
        <w:t xml:space="preserve">(או' קע"ד ד"ה </w:t>
      </w:r>
      <w:r>
        <w:rPr>
          <w:rStyle w:val="aff6"/>
          <w:rFonts w:hint="cs"/>
          <w:rtl/>
        </w:rPr>
        <w:t>ולפי"ז א"ש</w:t>
      </w:r>
      <w:r w:rsidRPr="00963F5C">
        <w:rPr>
          <w:rStyle w:val="aff6"/>
          <w:rFonts w:hint="cs"/>
          <w:rtl/>
        </w:rPr>
        <w:t>)</w:t>
      </w:r>
      <w:r>
        <w:rPr>
          <w:rFonts w:hint="cs"/>
          <w:rtl/>
        </w:rPr>
        <w:t xml:space="preserve"> </w:t>
      </w:r>
      <w:r w:rsidRPr="003C26A6">
        <w:rPr>
          <w:rStyle w:val="afb"/>
          <w:rFonts w:hint="cs"/>
          <w:rtl/>
        </w:rPr>
        <w:t>בדברי</w:t>
      </w:r>
      <w:r>
        <w:rPr>
          <w:rFonts w:hint="cs"/>
          <w:rtl/>
        </w:rPr>
        <w:t xml:space="preserve"> </w:t>
      </w:r>
      <w:r w:rsidRPr="00963F5C">
        <w:rPr>
          <w:rStyle w:val="affa"/>
          <w:rFonts w:hint="cs"/>
          <w:rtl/>
        </w:rPr>
        <w:t>התוס'</w:t>
      </w:r>
      <w:r w:rsidRPr="003C26A6">
        <w:rPr>
          <w:rStyle w:val="afb"/>
          <w:rFonts w:hint="cs"/>
          <w:rtl/>
        </w:rPr>
        <w:t>].</w:t>
      </w:r>
    </w:p>
    <w:p w:rsidR="00103C1B" w:rsidRDefault="00103C1B" w:rsidP="00103C1B">
      <w:pPr>
        <w:pStyle w:val="a3"/>
      </w:pPr>
      <w:bookmarkStart w:id="16022" w:name="_Toc64629490"/>
      <w:bookmarkStart w:id="16023" w:name="_Toc64642953"/>
      <w:r>
        <w:rPr>
          <w:rFonts w:hint="cs"/>
          <w:rtl/>
        </w:rPr>
        <w:t>ספק רמ"ש אי כוונת התוס' דא"א להאמינו שאכל פירות ולא קנה את הקרקע הוא תרתי דסתרי</w:t>
      </w:r>
      <w:bookmarkEnd w:id="16022"/>
      <w:bookmarkEnd w:id="16023"/>
    </w:p>
    <w:p w:rsidR="00103C1B" w:rsidRPr="00545AB0" w:rsidRDefault="00103C1B" w:rsidP="007E4E81">
      <w:pPr>
        <w:pStyle w:val="a0"/>
        <w:rPr>
          <w:rtl/>
        </w:rPr>
      </w:pPr>
      <w:r>
        <w:rPr>
          <w:rFonts w:hint="cs"/>
          <w:rtl/>
        </w:rPr>
        <w:t>במ"ש</w:t>
      </w:r>
      <w:r w:rsidRPr="00F66C07">
        <w:rPr>
          <w:rFonts w:hint="cs"/>
          <w:rtl/>
        </w:rPr>
        <w:t xml:space="preserve"> </w:t>
      </w:r>
      <w:r w:rsidRPr="00AC7281">
        <w:rPr>
          <w:rStyle w:val="af9"/>
          <w:rFonts w:hint="cs"/>
          <w:rtl/>
        </w:rPr>
        <w:t>התוס'</w:t>
      </w:r>
      <w:r>
        <w:rPr>
          <w:rFonts w:hint="cs"/>
          <w:rtl/>
        </w:rPr>
        <w:t xml:space="preserve"> </w:t>
      </w:r>
      <w:r w:rsidRPr="00B00141">
        <w:rPr>
          <w:rStyle w:val="af7"/>
          <w:rFonts w:eastAsia="Guttman Hodes" w:hint="cs"/>
          <w:rtl/>
        </w:rPr>
        <w:t xml:space="preserve">(עי' אות </w:t>
      </w:r>
      <w:r w:rsidRPr="00B00141">
        <w:rPr>
          <w:rStyle w:val="af7"/>
          <w:rFonts w:eastAsia="Guttman Hodes"/>
          <w:rtl/>
        </w:rPr>
        <w:fldChar w:fldCharType="begin"/>
      </w:r>
      <w:r w:rsidRPr="00B00141">
        <w:rPr>
          <w:rStyle w:val="af7"/>
          <w:rFonts w:eastAsia="Guttman Hodes"/>
          <w:rtl/>
        </w:rPr>
        <w:instrText xml:space="preserve"> </w:instrText>
      </w:r>
      <w:r w:rsidRPr="00B00141">
        <w:rPr>
          <w:rStyle w:val="af7"/>
          <w:rFonts w:eastAsia="Guttman Hodes" w:hint="cs"/>
        </w:rPr>
        <w:instrText>REF</w:instrText>
      </w:r>
      <w:r w:rsidRPr="00B00141">
        <w:rPr>
          <w:rStyle w:val="af7"/>
          <w:rFonts w:eastAsia="Guttman Hodes" w:hint="cs"/>
          <w:rtl/>
        </w:rPr>
        <w:instrText xml:space="preserve"> _</w:instrText>
      </w:r>
      <w:r w:rsidRPr="00B00141">
        <w:rPr>
          <w:rStyle w:val="af7"/>
          <w:rFonts w:eastAsia="Guttman Hodes" w:hint="cs"/>
        </w:rPr>
        <w:instrText>Ref64476760 \r \h</w:instrText>
      </w:r>
      <w:r w:rsidRPr="00B0014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00141">
        <w:rPr>
          <w:rStyle w:val="af7"/>
          <w:rFonts w:eastAsia="Guttman Hodes"/>
          <w:rtl/>
        </w:rPr>
      </w:r>
      <w:r w:rsidRPr="00B00141">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B00141">
        <w:rPr>
          <w:rStyle w:val="af7"/>
          <w:rFonts w:eastAsia="Guttman Hodes"/>
          <w:rtl/>
        </w:rPr>
        <w:fldChar w:fldCharType="end"/>
      </w:r>
      <w:r>
        <w:rPr>
          <w:rFonts w:hint="cs"/>
          <w:rtl/>
        </w:rPr>
        <w:t xml:space="preserve"> דהכא א"א לומר דנאמן שאכל, אך לא נאמן שקנה ממנו ואמרינן שאכלה בגזל, כתב </w:t>
      </w:r>
      <w:r w:rsidRPr="00B00141">
        <w:rPr>
          <w:rStyle w:val="af9"/>
          <w:rFonts w:hint="cs"/>
          <w:rtl/>
        </w:rPr>
        <w:t>בחי' רמ"ש</w:t>
      </w:r>
      <w:r>
        <w:rPr>
          <w:rFonts w:hint="cs"/>
          <w:rtl/>
        </w:rPr>
        <w:t xml:space="preserve"> </w:t>
      </w:r>
      <w:r w:rsidRPr="00B00141">
        <w:rPr>
          <w:rStyle w:val="af7"/>
          <w:rFonts w:eastAsia="Guttman Hodes" w:hint="cs"/>
          <w:rtl/>
        </w:rPr>
        <w:t>(ד"ה שם</w:t>
      </w:r>
      <w:r>
        <w:rPr>
          <w:rFonts w:hint="cs"/>
          <w:rtl/>
        </w:rPr>
        <w:t xml:space="preserve"> </w:t>
      </w:r>
      <w:r w:rsidRPr="00B00141">
        <w:rPr>
          <w:rStyle w:val="af7"/>
          <w:rFonts w:eastAsia="Guttman Hodes" w:hint="cs"/>
          <w:rtl/>
        </w:rPr>
        <w:t>בסוה"ד)</w:t>
      </w:r>
      <w:r>
        <w:rPr>
          <w:rFonts w:hint="cs"/>
          <w:rtl/>
        </w:rPr>
        <w:t xml:space="preserve"> דיש להסתפק אי כוונתם דחשיב תרתי דסתרי, או דלא חשיב תרתי דסתרי, וציין </w:t>
      </w:r>
      <w:r w:rsidRPr="00B00141">
        <w:rPr>
          <w:rStyle w:val="af9"/>
          <w:rFonts w:hint="cs"/>
          <w:rtl/>
        </w:rPr>
        <w:t>בחי' רמ"ש</w:t>
      </w:r>
      <w:r>
        <w:rPr>
          <w:rFonts w:hint="cs"/>
          <w:rtl/>
        </w:rPr>
        <w:t xml:space="preserve"> לגמ' בב"מ </w:t>
      </w:r>
      <w:r w:rsidRPr="00B00141">
        <w:rPr>
          <w:rStyle w:val="af7"/>
          <w:rFonts w:eastAsia="Guttman Hodes" w:hint="cs"/>
          <w:rtl/>
        </w:rPr>
        <w:t>(קי.)</w:t>
      </w:r>
      <w:r>
        <w:rPr>
          <w:rFonts w:hint="cs"/>
          <w:rtl/>
        </w:rPr>
        <w:t>.</w:t>
      </w:r>
    </w:p>
    <w:p w:rsidR="00103C1B" w:rsidRPr="00DB0FAF" w:rsidRDefault="00103C1B" w:rsidP="00103C1B">
      <w:pPr>
        <w:pStyle w:val="a3"/>
        <w:rPr>
          <w:rtl/>
        </w:rPr>
        <w:sectPr w:rsidR="00103C1B" w:rsidRPr="00DB0FAF" w:rsidSect="005049E2">
          <w:footerReference w:type="default" r:id="rId145"/>
          <w:type w:val="continuous"/>
          <w:pgSz w:w="11906" w:h="16838"/>
          <w:pgMar w:top="720" w:right="720" w:bottom="720" w:left="720" w:header="283" w:footer="283" w:gutter="0"/>
          <w:cols w:num="2" w:space="567"/>
          <w:titlePg/>
          <w:bidi/>
          <w:rtlGutter/>
          <w:docGrid w:linePitch="299"/>
        </w:sectPr>
      </w:pPr>
    </w:p>
    <w:p w:rsidR="00103C1B" w:rsidRDefault="00103C1B" w:rsidP="00103C1B">
      <w:pPr>
        <w:tabs>
          <w:tab w:val="left" w:pos="1163"/>
        </w:tabs>
        <w:spacing w:after="120" w:line="240" w:lineRule="auto"/>
        <w:ind w:left="0"/>
        <w:rPr>
          <w:rFonts w:ascii="Guttman Hodes" w:eastAsia="Guttman Hodes" w:hAnsi="Guttman Hodes" w:cs="Guttman Hodes"/>
          <w:noProof/>
          <w:sz w:val="18"/>
          <w:szCs w:val="18"/>
        </w:rPr>
        <w:sectPr w:rsidR="00103C1B" w:rsidSect="00AE06CB">
          <w:type w:val="continuous"/>
          <w:pgSz w:w="11906" w:h="16838"/>
          <w:pgMar w:top="720" w:right="720" w:bottom="720" w:left="720" w:header="283" w:footer="283" w:gutter="0"/>
          <w:cols w:space="567"/>
          <w:bidi/>
          <w:rtlGutter/>
          <w:docGrid w:linePitch="299"/>
        </w:sectPr>
      </w:pPr>
    </w:p>
    <w:p w:rsidR="00103C1B" w:rsidRPr="00D47CE7" w:rsidRDefault="00E949D5" w:rsidP="00103C1B">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40" type="#_x0000_t75" style="width:404.55pt;height:6.8pt" o:hrpct="0" o:hralign="center" o:hr="t">
            <v:imagedata r:id="rId24" o:title="BD14845_"/>
          </v:shape>
        </w:pict>
      </w:r>
      <w:r w:rsidR="00103C1B" w:rsidRPr="00D47CE7">
        <w:rPr>
          <w:rFonts w:ascii="Guttman Hodes" w:eastAsia="Guttman Hodes" w:hAnsi="Guttman Hodes" w:cs="Guttman Hodes" w:hint="cs"/>
          <w:noProof/>
          <w:sz w:val="18"/>
          <w:szCs w:val="18"/>
          <w:rtl/>
        </w:rPr>
        <w:t xml:space="preserve"> </w:t>
      </w:r>
    </w:p>
    <w:p w:rsidR="00103C1B" w:rsidRDefault="00103C1B" w:rsidP="00103C1B">
      <w:pPr>
        <w:pStyle w:val="afe"/>
      </w:pPr>
      <w:bookmarkStart w:id="16024" w:name="_Toc64458660"/>
      <w:bookmarkStart w:id="16025" w:name="_Toc64549043"/>
      <w:bookmarkStart w:id="16026" w:name="_Toc64576222"/>
      <w:bookmarkStart w:id="16027" w:name="_Toc64588864"/>
      <w:bookmarkStart w:id="16028" w:name="_Toc64629492"/>
      <w:bookmarkStart w:id="16029" w:name="_Toc64642955"/>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p>
    <w:p w:rsidR="00103C1B" w:rsidRDefault="00103C1B" w:rsidP="00103C1B">
      <w:pPr>
        <w:bidi w:val="0"/>
        <w:ind w:left="0"/>
        <w:jc w:val="left"/>
        <w:rPr>
          <w:rFonts w:ascii="Guttman Adii-Light" w:eastAsia="Guttman Adii-Light" w:hAnsi="Guttman Adii-Light" w:cs="Guttman Hodes"/>
          <w:bCs/>
          <w:szCs w:val="28"/>
          <w:rtl/>
        </w:rPr>
        <w:sectPr w:rsidR="00103C1B">
          <w:pgSz w:w="11906" w:h="16838"/>
          <w:pgMar w:top="720" w:right="720" w:bottom="720" w:left="720" w:header="283" w:footer="283" w:gutter="0"/>
          <w:cols w:space="720"/>
          <w:bidi/>
          <w:rtlGutter/>
        </w:sectPr>
      </w:pPr>
    </w:p>
    <w:p w:rsidR="00103C1B" w:rsidRDefault="00103C1B" w:rsidP="00103C1B">
      <w:pPr>
        <w:pStyle w:val="afe"/>
        <w:rPr>
          <w:rtl/>
        </w:rPr>
      </w:pPr>
      <w:r>
        <w:rPr>
          <w:rFonts w:hint="cs"/>
          <w:rtl/>
        </w:rPr>
        <w:t>בביאור דעת הרשב"ם</w:t>
      </w:r>
      <w:bookmarkEnd w:id="16024"/>
      <w:bookmarkEnd w:id="16025"/>
      <w:bookmarkEnd w:id="16026"/>
      <w:bookmarkEnd w:id="16027"/>
      <w:bookmarkEnd w:id="16028"/>
      <w:r>
        <w:rPr>
          <w:rFonts w:hint="cs"/>
          <w:rtl/>
        </w:rPr>
        <w:t xml:space="preserve"> דהודה לר"א</w:t>
      </w:r>
      <w:bookmarkEnd w:id="16029"/>
    </w:p>
    <w:p w:rsidR="00103C1B" w:rsidRDefault="00103C1B" w:rsidP="00103C1B">
      <w:pPr>
        <w:pStyle w:val="1"/>
        <w:rPr>
          <w:rtl/>
        </w:rPr>
      </w:pPr>
      <w:bookmarkStart w:id="16030" w:name="_Toc64458661"/>
      <w:bookmarkStart w:id="16031" w:name="_Toc64549044"/>
      <w:bookmarkStart w:id="16032" w:name="_Toc64576223"/>
      <w:bookmarkStart w:id="16033" w:name="_Toc64588865"/>
      <w:bookmarkStart w:id="16034" w:name="_Toc64629493"/>
      <w:bookmarkStart w:id="16035" w:name="_Toc64642956"/>
      <w:r>
        <w:rPr>
          <w:rFonts w:hint="cs"/>
          <w:rtl/>
        </w:rPr>
        <w:t>דברי הגרנ"פ</w:t>
      </w:r>
      <w:bookmarkEnd w:id="16030"/>
      <w:bookmarkEnd w:id="16031"/>
      <w:bookmarkEnd w:id="16032"/>
      <w:bookmarkEnd w:id="16033"/>
      <w:bookmarkEnd w:id="16034"/>
      <w:r>
        <w:rPr>
          <w:rFonts w:hint="cs"/>
          <w:rtl/>
        </w:rPr>
        <w:t xml:space="preserve"> דצ"ל ברשב"ם דלא הודה לר"א רק טוען שמא</w:t>
      </w:r>
      <w:bookmarkEnd w:id="16035"/>
    </w:p>
    <w:p w:rsidR="00103C1B" w:rsidRDefault="00103C1B" w:rsidP="00103C1B">
      <w:pPr>
        <w:pStyle w:val="a3"/>
        <w:rPr>
          <w:rtl/>
        </w:rPr>
      </w:pPr>
      <w:bookmarkStart w:id="16036" w:name="_Toc64642957"/>
      <w:r>
        <w:rPr>
          <w:rFonts w:hint="cs"/>
          <w:rtl/>
        </w:rPr>
        <w:t>דברי הגרנ"פ דצריך לדחוק ברשב"ם דלא הודה דר"א קרוב יותר רק חזר ממה שטען טענת ברי</w:t>
      </w:r>
      <w:bookmarkEnd w:id="16036"/>
    </w:p>
    <w:p w:rsidR="00103C1B" w:rsidRDefault="00103C1B" w:rsidP="007E4E81">
      <w:pPr>
        <w:pStyle w:val="a0"/>
        <w:rPr>
          <w:rtl/>
        </w:rPr>
      </w:pPr>
      <w:bookmarkStart w:id="16037" w:name="_Ref64639683"/>
      <w:r>
        <w:rPr>
          <w:rFonts w:hint="cs"/>
          <w:rtl/>
        </w:rPr>
        <w:t xml:space="preserve">במה שהקשה </w:t>
      </w:r>
      <w:r w:rsidRPr="00E429EB">
        <w:rPr>
          <w:rStyle w:val="af9"/>
          <w:rFonts w:hint="cs"/>
          <w:rtl/>
        </w:rPr>
        <w:t>התוס' הרא"ש</w:t>
      </w:r>
      <w:r>
        <w:rPr>
          <w:rFonts w:hint="cs"/>
          <w:rtl/>
        </w:rPr>
        <w:t xml:space="preserve"> </w:t>
      </w:r>
      <w:r w:rsidRPr="00F34935">
        <w:rPr>
          <w:rStyle w:val="af7"/>
          <w:rFonts w:eastAsia="Guttman Hodes" w:hint="cs"/>
          <w:rtl/>
        </w:rPr>
        <w:t xml:space="preserve">(עי' אות </w:t>
      </w:r>
      <w:r w:rsidRPr="00F34935">
        <w:rPr>
          <w:rStyle w:val="af7"/>
          <w:rFonts w:eastAsia="Guttman Hodes"/>
          <w:rtl/>
        </w:rPr>
        <w:fldChar w:fldCharType="begin"/>
      </w:r>
      <w:r w:rsidRPr="00F34935">
        <w:rPr>
          <w:rStyle w:val="af7"/>
          <w:rFonts w:eastAsia="Guttman Hodes"/>
          <w:rtl/>
        </w:rPr>
        <w:instrText xml:space="preserve"> </w:instrText>
      </w:r>
      <w:r w:rsidRPr="00F34935">
        <w:rPr>
          <w:rStyle w:val="af7"/>
          <w:rFonts w:eastAsia="Guttman Hodes" w:hint="cs"/>
        </w:rPr>
        <w:instrText>REF</w:instrText>
      </w:r>
      <w:r w:rsidRPr="00F34935">
        <w:rPr>
          <w:rStyle w:val="af7"/>
          <w:rFonts w:eastAsia="Guttman Hodes" w:hint="cs"/>
          <w:rtl/>
        </w:rPr>
        <w:instrText xml:space="preserve"> _</w:instrText>
      </w:r>
      <w:r w:rsidRPr="00F34935">
        <w:rPr>
          <w:rStyle w:val="af7"/>
          <w:rFonts w:eastAsia="Guttman Hodes" w:hint="cs"/>
        </w:rPr>
        <w:instrText>Ref64458514 \r \h</w:instrText>
      </w:r>
      <w:r w:rsidRPr="00F34935">
        <w:rPr>
          <w:rStyle w:val="af7"/>
          <w:rFonts w:eastAsia="Guttman Hodes"/>
          <w:rtl/>
        </w:rPr>
        <w:instrText xml:space="preserve"> </w:instrText>
      </w:r>
      <w:r w:rsidRPr="00F34935">
        <w:rPr>
          <w:rStyle w:val="af7"/>
          <w:rFonts w:eastAsia="Guttman Hodes"/>
          <w:rtl/>
        </w:rPr>
      </w:r>
      <w:r w:rsidRPr="00F34935">
        <w:rPr>
          <w:rStyle w:val="af7"/>
          <w:rFonts w:eastAsia="Guttman Hodes"/>
          <w:rtl/>
        </w:rPr>
        <w:fldChar w:fldCharType="separate"/>
      </w:r>
      <w:r w:rsidR="00265073">
        <w:rPr>
          <w:rStyle w:val="af7"/>
          <w:rFonts w:eastAsia="Guttman Hodes"/>
          <w:cs/>
        </w:rPr>
        <w:t>‎</w:t>
      </w:r>
      <w:r w:rsidR="00265073">
        <w:rPr>
          <w:rStyle w:val="af7"/>
          <w:rFonts w:eastAsia="Guttman Hodes"/>
          <w:rtl/>
        </w:rPr>
        <w:t>ז)</w:t>
      </w:r>
      <w:r w:rsidRPr="00F34935">
        <w:rPr>
          <w:rStyle w:val="af7"/>
          <w:rFonts w:eastAsia="Guttman Hodes"/>
          <w:rtl/>
        </w:rPr>
        <w:fldChar w:fldCharType="end"/>
      </w:r>
      <w:r w:rsidRPr="00F34935">
        <w:rPr>
          <w:rStyle w:val="af7"/>
          <w:rFonts w:eastAsia="Guttman Hodes" w:hint="cs"/>
          <w:rtl/>
        </w:rPr>
        <w:t xml:space="preserve"> </w:t>
      </w:r>
      <w:r w:rsidRPr="00E429EB">
        <w:rPr>
          <w:rStyle w:val="af9"/>
          <w:rFonts w:hint="cs"/>
          <w:rtl/>
        </w:rPr>
        <w:t>על הרשב"ם</w:t>
      </w:r>
      <w:r>
        <w:rPr>
          <w:rFonts w:hint="cs"/>
          <w:rtl/>
        </w:rPr>
        <w:t xml:space="preserve"> </w:t>
      </w:r>
      <w:r w:rsidRPr="00F34935">
        <w:rPr>
          <w:rStyle w:val="af7"/>
          <w:rFonts w:eastAsia="Guttman Hodes" w:hint="cs"/>
          <w:rtl/>
        </w:rPr>
        <w:t xml:space="preserve">(עי' אות </w:t>
      </w:r>
      <w:r w:rsidRPr="00F34935">
        <w:rPr>
          <w:rStyle w:val="af7"/>
          <w:rFonts w:eastAsia="Guttman Hodes"/>
          <w:rtl/>
        </w:rPr>
        <w:fldChar w:fldCharType="begin"/>
      </w:r>
      <w:r w:rsidRPr="00F34935">
        <w:rPr>
          <w:rStyle w:val="af7"/>
          <w:rFonts w:eastAsia="Guttman Hodes"/>
          <w:rtl/>
        </w:rPr>
        <w:instrText xml:space="preserve"> </w:instrText>
      </w:r>
      <w:r w:rsidRPr="00F34935">
        <w:rPr>
          <w:rStyle w:val="af7"/>
          <w:rFonts w:eastAsia="Guttman Hodes" w:hint="cs"/>
        </w:rPr>
        <w:instrText>REF</w:instrText>
      </w:r>
      <w:r w:rsidRPr="00F34935">
        <w:rPr>
          <w:rStyle w:val="af7"/>
          <w:rFonts w:eastAsia="Guttman Hodes" w:hint="cs"/>
          <w:rtl/>
        </w:rPr>
        <w:instrText xml:space="preserve"> _</w:instrText>
      </w:r>
      <w:r w:rsidRPr="00F34935">
        <w:rPr>
          <w:rStyle w:val="af7"/>
          <w:rFonts w:eastAsia="Guttman Hodes" w:hint="cs"/>
        </w:rPr>
        <w:instrText>Ref64279894 \r \h</w:instrText>
      </w:r>
      <w:r w:rsidRPr="00F34935">
        <w:rPr>
          <w:rStyle w:val="af7"/>
          <w:rFonts w:eastAsia="Guttman Hodes"/>
          <w:rtl/>
        </w:rPr>
        <w:instrText xml:space="preserve"> </w:instrText>
      </w:r>
      <w:r w:rsidRPr="00F34935">
        <w:rPr>
          <w:rStyle w:val="af7"/>
          <w:rFonts w:eastAsia="Guttman Hodes"/>
          <w:rtl/>
        </w:rPr>
      </w:r>
      <w:r w:rsidRPr="00F34935">
        <w:rPr>
          <w:rStyle w:val="af7"/>
          <w:rFonts w:eastAsia="Guttman Hodes"/>
          <w:rtl/>
        </w:rPr>
        <w:fldChar w:fldCharType="separate"/>
      </w:r>
      <w:r w:rsidR="00265073">
        <w:rPr>
          <w:rStyle w:val="af7"/>
          <w:rFonts w:eastAsia="Guttman Hodes"/>
          <w:cs/>
        </w:rPr>
        <w:t>‎</w:t>
      </w:r>
      <w:r w:rsidR="00265073">
        <w:rPr>
          <w:rStyle w:val="af7"/>
          <w:rFonts w:eastAsia="Guttman Hodes"/>
          <w:rtl/>
        </w:rPr>
        <w:t>ד)</w:t>
      </w:r>
      <w:r w:rsidRPr="00F34935">
        <w:rPr>
          <w:rStyle w:val="af7"/>
          <w:rFonts w:eastAsia="Guttman Hodes"/>
          <w:rtl/>
        </w:rPr>
        <w:fldChar w:fldCharType="end"/>
      </w:r>
      <w:r w:rsidRPr="00F34935">
        <w:rPr>
          <w:rStyle w:val="af7"/>
          <w:rFonts w:eastAsia="Guttman Hodes" w:hint="cs"/>
          <w:rtl/>
        </w:rPr>
        <w:t xml:space="preserve"> </w:t>
      </w:r>
      <w:r>
        <w:rPr>
          <w:rFonts w:hint="cs"/>
          <w:rtl/>
        </w:rPr>
        <w:t xml:space="preserve">דהאיך אפש"ל דרב חסדא ס"ל דא"צ להחזיר את הפירות, אחר שההוא גברא הודה לרב אידי, דהא הודאת בע"ד כמאה עדים, כתב </w:t>
      </w:r>
      <w:r w:rsidRPr="00E429EB">
        <w:rPr>
          <w:rStyle w:val="af9"/>
          <w:rFonts w:hint="cs"/>
          <w:rtl/>
        </w:rPr>
        <w:t>בחי' רבי נחום</w:t>
      </w:r>
      <w:r>
        <w:rPr>
          <w:rFonts w:hint="cs"/>
          <w:rtl/>
        </w:rPr>
        <w:t xml:space="preserve"> </w:t>
      </w:r>
      <w:r w:rsidRPr="00E429EB">
        <w:rPr>
          <w:rStyle w:val="af7"/>
          <w:rFonts w:eastAsia="Guttman Hodes" w:hint="cs"/>
          <w:rtl/>
        </w:rPr>
        <w:t>(או' קע"א ד"ה ולחומר הקושיה)</w:t>
      </w:r>
      <w:r>
        <w:rPr>
          <w:rFonts w:hint="cs"/>
          <w:rtl/>
        </w:rPr>
        <w:t xml:space="preserve"> דצריך לדחוק </w:t>
      </w:r>
      <w:r w:rsidRPr="00E429EB">
        <w:rPr>
          <w:rStyle w:val="af9"/>
          <w:rFonts w:hint="cs"/>
          <w:rtl/>
        </w:rPr>
        <w:t>ברשב"ם</w:t>
      </w:r>
      <w:r>
        <w:rPr>
          <w:rFonts w:hint="cs"/>
          <w:rtl/>
        </w:rPr>
        <w:t xml:space="preserve"> דההוא גברא לא הודה בהודאה גמורה דרב אידי קרוב יותר, רק חזר בו ממה שטען בתחילה בטענת ברי דהוא קרוב יותר מרב אידי, והודה שאינו יודע מי מהם קרוב יותר, וא"כ ההוא גברא טוען שמא ורב אידי טוען ברי.</w:t>
      </w:r>
      <w:bookmarkEnd w:id="16037"/>
    </w:p>
    <w:p w:rsidR="00103C1B" w:rsidRPr="00E429EB" w:rsidRDefault="00103C1B" w:rsidP="00103C1B">
      <w:pPr>
        <w:pStyle w:val="a3"/>
      </w:pPr>
      <w:bookmarkStart w:id="16038" w:name="_Toc64642958"/>
      <w:r>
        <w:rPr>
          <w:rFonts w:hint="cs"/>
          <w:rtl/>
        </w:rPr>
        <w:t>דברי הגרנ"פ דלפי"ז רב חסדא העמיד בידי ר"א דברי עדיף ולא התבטל דין כדא"ג למפרע</w:t>
      </w:r>
      <w:bookmarkEnd w:id="16038"/>
    </w:p>
    <w:p w:rsidR="00103C1B" w:rsidRDefault="00103C1B" w:rsidP="007E4E81">
      <w:pPr>
        <w:pStyle w:val="a0"/>
        <w:rPr>
          <w:rtl/>
        </w:rPr>
      </w:pPr>
      <w:r>
        <w:rPr>
          <w:rFonts w:hint="cs"/>
          <w:rtl/>
        </w:rPr>
        <w:t xml:space="preserve">וכתב </w:t>
      </w:r>
      <w:r w:rsidRPr="00E429EB">
        <w:rPr>
          <w:rStyle w:val="af9"/>
          <w:rFonts w:hint="cs"/>
          <w:rtl/>
        </w:rPr>
        <w:t>בחי' רבי נחום</w:t>
      </w:r>
      <w:r>
        <w:rPr>
          <w:rFonts w:hint="cs"/>
          <w:rtl/>
        </w:rPr>
        <w:t xml:space="preserve"> דלכן העמיד רב חסדא בידי רב אידי, כיון דברי ושמא ברי עדיף, וס"ל לרב חסדא דכיון שבתחילה זכה ההוא גברא מדין כל דאלים גבר, ובתחילה טען טענת ברי, לכן אף שעכשיו טוען שמא, לא מתבטל למפרע דין כל דאלים גבר, ואביי ורבא סברי דהוא מתבטל למפרע, ועיי"ש במה שהוסיף </w:t>
      </w:r>
      <w:r w:rsidRPr="00E429EB">
        <w:rPr>
          <w:rStyle w:val="af9"/>
          <w:rFonts w:hint="cs"/>
          <w:rtl/>
        </w:rPr>
        <w:t>בחי' רבי נחום</w:t>
      </w:r>
      <w:r>
        <w:rPr>
          <w:rFonts w:hint="cs"/>
          <w:rtl/>
        </w:rPr>
        <w:t xml:space="preserve"> לבאר בזה.</w:t>
      </w:r>
    </w:p>
    <w:p w:rsidR="00103C1B" w:rsidRDefault="00103C1B" w:rsidP="00103C1B">
      <w:pPr>
        <w:pStyle w:val="1"/>
        <w:rPr>
          <w:rtl/>
        </w:rPr>
      </w:pPr>
      <w:bookmarkStart w:id="16039" w:name="_Toc64642959"/>
      <w:r>
        <w:rPr>
          <w:rFonts w:hint="cs"/>
          <w:rtl/>
        </w:rPr>
        <w:t>בי' הגרנ"ט ברשב"ם דל"מ הפה שאסר מטענת ספק לטענת שמא</w:t>
      </w:r>
      <w:bookmarkEnd w:id="16039"/>
      <w:r>
        <w:rPr>
          <w:rFonts w:hint="cs"/>
          <w:rtl/>
        </w:rPr>
        <w:t xml:space="preserve"> </w:t>
      </w:r>
    </w:p>
    <w:p w:rsidR="00103C1B" w:rsidRDefault="00103C1B" w:rsidP="00103C1B">
      <w:pPr>
        <w:pStyle w:val="a3"/>
        <w:rPr>
          <w:rtl/>
        </w:rPr>
      </w:pPr>
      <w:bookmarkStart w:id="16040" w:name="_Toc64642960"/>
      <w:r>
        <w:rPr>
          <w:rFonts w:hint="cs"/>
          <w:rtl/>
        </w:rPr>
        <w:t>ביאור הגרנ"ט ברשב"ם דהפה שאסר הוא רק בהיה נאמן בטענה שהיה טוען בתחילה כמו עכשיו</w:t>
      </w:r>
      <w:bookmarkEnd w:id="16040"/>
    </w:p>
    <w:p w:rsidR="00103C1B" w:rsidRDefault="00103C1B" w:rsidP="007E4E81">
      <w:pPr>
        <w:pStyle w:val="a0"/>
      </w:pPr>
      <w:bookmarkStart w:id="16041" w:name="_Ref64561186"/>
      <w:bookmarkStart w:id="16042" w:name="_Toc64458662"/>
      <w:r>
        <w:rPr>
          <w:rFonts w:hint="cs"/>
          <w:rtl/>
        </w:rPr>
        <w:t xml:space="preserve">במה שהקשה </w:t>
      </w:r>
      <w:r>
        <w:rPr>
          <w:rStyle w:val="af9"/>
          <w:rtl/>
        </w:rPr>
        <w:t>הרשב"א</w:t>
      </w:r>
      <w:r>
        <w:rPr>
          <w:rFonts w:hint="cs"/>
          <w:rtl/>
        </w:rPr>
        <w:t xml:space="preserve"> </w:t>
      </w:r>
      <w:r w:rsidRPr="006B75BA">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Ref64578680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Pr>
          <w:rStyle w:val="af7"/>
          <w:rFonts w:eastAsia="Guttman Hodes"/>
          <w:rtl/>
        </w:rPr>
        <w:fldChar w:fldCharType="end"/>
      </w:r>
      <w:r>
        <w:rPr>
          <w:rStyle w:val="af7"/>
          <w:rFonts w:eastAsia="Guttman Hodes" w:hint="cs"/>
          <w:rtl/>
        </w:rPr>
        <w:t xml:space="preserve"> </w:t>
      </w:r>
      <w:r>
        <w:rPr>
          <w:rFonts w:hint="cs"/>
          <w:rtl/>
        </w:rPr>
        <w:t xml:space="preserve">על </w:t>
      </w:r>
      <w:r>
        <w:rPr>
          <w:rStyle w:val="af9"/>
          <w:rtl/>
        </w:rPr>
        <w:t>הרשב"ם</w:t>
      </w:r>
      <w:r>
        <w:rPr>
          <w:rFonts w:hint="cs"/>
          <w:rtl/>
        </w:rPr>
        <w:t xml:space="preserve"> דמה שהדקל עומד בחזקת רב אידי, הוא מכח הודאת ההוא גברא, וא"כ הוא נאמן מדין הפה שאסר, ואמאי ס"ל לאביי ורבא ס"ל דכיון שהודה אף לגבי הפירות אינו נאמן מדין הפה שאסר, ומ"ש מהא דתנן בכתובות </w:t>
      </w:r>
      <w:r>
        <w:rPr>
          <w:rStyle w:val="af7"/>
          <w:rFonts w:eastAsia="Guttman Hodes" w:hint="cs"/>
          <w:rtl/>
        </w:rPr>
        <w:t>(טו:)</w:t>
      </w:r>
      <w:r>
        <w:rPr>
          <w:rFonts w:hint="cs"/>
          <w:rtl/>
        </w:rPr>
        <w:t xml:space="preserve"> דהאומר שדה זו של אביך הייתה ולקחתיה ממנו, דנאמן מדין הפה שאסר, כתב </w:t>
      </w:r>
      <w:r w:rsidRPr="006B75BA">
        <w:rPr>
          <w:rStyle w:val="af9"/>
          <w:rFonts w:hint="cs"/>
          <w:rtl/>
        </w:rPr>
        <w:t>הגרנ"ט</w:t>
      </w:r>
      <w:r w:rsidRPr="006B75BA">
        <w:rPr>
          <w:rStyle w:val="af7"/>
          <w:rFonts w:eastAsia="Guttman Hodes" w:hint="cs"/>
          <w:rtl/>
        </w:rPr>
        <w:t xml:space="preserve"> (סי' קע"ו ד"ה ונראה דבאמת) </w:t>
      </w:r>
      <w:r>
        <w:rPr>
          <w:rFonts w:hint="cs"/>
          <w:rtl/>
        </w:rPr>
        <w:t xml:space="preserve">דס"ל </w:t>
      </w:r>
      <w:r w:rsidRPr="006B75BA">
        <w:rPr>
          <w:rStyle w:val="af9"/>
          <w:rFonts w:hint="cs"/>
          <w:rtl/>
        </w:rPr>
        <w:t>להרשב"ם</w:t>
      </w:r>
      <w:r>
        <w:rPr>
          <w:rFonts w:hint="cs"/>
          <w:rtl/>
        </w:rPr>
        <w:t xml:space="preserve"> דדין מיגו והפה שאסר, שייך רק במקום שאם היה טוען את טענת המיגו היא הייתה מועילה לו, ולכן אמרינן דהוא נאמן במה שטוען עכשיו במיגו שהיה יכול לטעון טענה אחרת, אבל א"א להחזיקו בטענה שטוען עכשיו, כיון שהיה יכול לטעון טענה אחרת שהדין בה יהיה דין אחר.</w:t>
      </w:r>
      <w:bookmarkEnd w:id="16041"/>
    </w:p>
    <w:p w:rsidR="00103C1B" w:rsidRDefault="00103C1B" w:rsidP="00103C1B">
      <w:pPr>
        <w:pStyle w:val="a3"/>
        <w:rPr>
          <w:rtl/>
        </w:rPr>
      </w:pPr>
      <w:bookmarkStart w:id="16043" w:name="_Toc64642961"/>
      <w:r>
        <w:rPr>
          <w:rFonts w:hint="cs"/>
          <w:rtl/>
        </w:rPr>
        <w:t>דברי הגרנ"ט דאי לא היה מודה לר"א היה הדין כדא"ג ול"מ הפה שאסר אחר שהודה שאין ספק</w:t>
      </w:r>
      <w:bookmarkEnd w:id="16043"/>
    </w:p>
    <w:p w:rsidR="00103C1B" w:rsidRDefault="00103C1B" w:rsidP="007E4E81">
      <w:pPr>
        <w:pStyle w:val="a0"/>
        <w:rPr>
          <w:rtl/>
        </w:rPr>
      </w:pPr>
      <w:r>
        <w:rPr>
          <w:rFonts w:hint="cs"/>
          <w:rtl/>
        </w:rPr>
        <w:t xml:space="preserve">וכתב </w:t>
      </w:r>
      <w:r w:rsidRPr="006B75BA">
        <w:rPr>
          <w:rStyle w:val="af9"/>
          <w:rFonts w:hint="cs"/>
          <w:rtl/>
        </w:rPr>
        <w:t>הגרנ"ט</w:t>
      </w:r>
      <w:r>
        <w:rPr>
          <w:rFonts w:hint="cs"/>
          <w:rtl/>
        </w:rPr>
        <w:t xml:space="preserve"> דהכא אם היה לא היה מודה לרב אידי, אלא כ"א מהם היה טוען שהוא הקרוב יותר, א"כ הדין היה דכל דאלים גבר, וכל מה ששייך לומר כל דאלים גבר, הוא במקום שיש ספק שקול, אבל הכא לאחר שהודה ההוא גברא דרב אידי קרוב, א"כ רב אידי הוא ודאי יורש וההוא גברא הוא ספק, וא"כ אף שיש לההוא גברא מיגו לענין הפירות, מ"מ אינו יכול לזכות בהם במה שזכה מדין כל דאלים גבר, דהא עכשיו אי"ז ספק השקול, אלא הוא ספק וודאי, ולא שייך לומר דהוא נאמן במיגו שהיה משאיר את המצב בספק והיה יכול לתפוס מדין כל דאלים גבר, אם הוא היה גובר, דאי"ז נחשב </w:t>
      </w:r>
      <w:r>
        <w:rPr>
          <w:rFonts w:hint="cs"/>
          <w:rtl/>
        </w:rPr>
        <w:t xml:space="preserve">למיגו שמכח זה נחזיקו עכשיו כשאין ספק שקול לפנינו, ועיי"ש במה שהוכיח כן </w:t>
      </w:r>
      <w:r w:rsidRPr="006B75BA">
        <w:rPr>
          <w:rStyle w:val="af9"/>
          <w:rFonts w:hint="cs"/>
          <w:rtl/>
        </w:rPr>
        <w:t>הגרנ"ט</w:t>
      </w:r>
      <w:r>
        <w:rPr>
          <w:rFonts w:hint="cs"/>
          <w:rtl/>
        </w:rPr>
        <w:t xml:space="preserve"> מדברי </w:t>
      </w:r>
      <w:r w:rsidRPr="006B75BA">
        <w:rPr>
          <w:rStyle w:val="af9"/>
          <w:rFonts w:hint="cs"/>
          <w:rtl/>
        </w:rPr>
        <w:t>הרא"ש לעיל</w:t>
      </w:r>
      <w:r>
        <w:rPr>
          <w:rFonts w:hint="cs"/>
          <w:rtl/>
        </w:rPr>
        <w:t xml:space="preserve">, ועי' במ"ש </w:t>
      </w:r>
      <w:r w:rsidRPr="00612F8C">
        <w:rPr>
          <w:rStyle w:val="af9"/>
          <w:rFonts w:hint="cs"/>
          <w:rtl/>
        </w:rPr>
        <w:t>בחי' רבי נחום</w:t>
      </w:r>
      <w:r>
        <w:rPr>
          <w:rFonts w:hint="cs"/>
          <w:rtl/>
        </w:rPr>
        <w:t xml:space="preserve"> </w:t>
      </w:r>
      <w:r w:rsidRPr="00612F8C">
        <w:rPr>
          <w:rStyle w:val="af7"/>
          <w:rFonts w:eastAsia="Guttman Hodes" w:hint="cs"/>
          <w:rtl/>
        </w:rPr>
        <w:t xml:space="preserve">(עי' אות </w:t>
      </w:r>
      <w:r w:rsidRPr="00612F8C">
        <w:rPr>
          <w:rStyle w:val="af7"/>
          <w:rFonts w:eastAsia="Guttman Hodes"/>
          <w:rtl/>
        </w:rPr>
        <w:fldChar w:fldCharType="begin"/>
      </w:r>
      <w:r w:rsidRPr="00612F8C">
        <w:rPr>
          <w:rStyle w:val="af7"/>
          <w:rFonts w:eastAsia="Guttman Hodes"/>
          <w:rtl/>
        </w:rPr>
        <w:instrText xml:space="preserve"> </w:instrText>
      </w:r>
      <w:r w:rsidRPr="00612F8C">
        <w:rPr>
          <w:rStyle w:val="af7"/>
          <w:rFonts w:eastAsia="Guttman Hodes" w:hint="cs"/>
        </w:rPr>
        <w:instrText>REF</w:instrText>
      </w:r>
      <w:r w:rsidRPr="00612F8C">
        <w:rPr>
          <w:rStyle w:val="af7"/>
          <w:rFonts w:eastAsia="Guttman Hodes" w:hint="cs"/>
          <w:rtl/>
        </w:rPr>
        <w:instrText xml:space="preserve"> _</w:instrText>
      </w:r>
      <w:r w:rsidRPr="00612F8C">
        <w:rPr>
          <w:rStyle w:val="af7"/>
          <w:rFonts w:eastAsia="Guttman Hodes" w:hint="cs"/>
        </w:rPr>
        <w:instrText>Ref64640555 \r \h</w:instrText>
      </w:r>
      <w:r w:rsidRPr="00612F8C">
        <w:rPr>
          <w:rStyle w:val="af7"/>
          <w:rFonts w:eastAsia="Guttman Hodes"/>
          <w:rtl/>
        </w:rPr>
        <w:instrText xml:space="preserve"> </w:instrText>
      </w:r>
      <w:r w:rsidRPr="00612F8C">
        <w:rPr>
          <w:rStyle w:val="af7"/>
          <w:rFonts w:eastAsia="Guttman Hodes"/>
          <w:rtl/>
        </w:rPr>
      </w:r>
      <w:r w:rsidRPr="00612F8C">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612F8C">
        <w:rPr>
          <w:rStyle w:val="af7"/>
          <w:rFonts w:eastAsia="Guttman Hodes"/>
          <w:rtl/>
        </w:rPr>
        <w:fldChar w:fldCharType="end"/>
      </w:r>
      <w:r>
        <w:rPr>
          <w:rFonts w:hint="cs"/>
          <w:rtl/>
        </w:rPr>
        <w:t>.</w:t>
      </w:r>
    </w:p>
    <w:p w:rsidR="00103C1B" w:rsidRPr="008944B5" w:rsidRDefault="00103C1B" w:rsidP="00103C1B">
      <w:pPr>
        <w:pStyle w:val="afe"/>
        <w:rPr>
          <w:rtl/>
        </w:rPr>
      </w:pPr>
      <w:bookmarkStart w:id="16044" w:name="_Toc64576225"/>
      <w:bookmarkStart w:id="16045" w:name="_Toc64588867"/>
      <w:bookmarkStart w:id="16046" w:name="_Toc64629495"/>
      <w:bookmarkStart w:id="16047" w:name="_Toc64642962"/>
      <w:r>
        <w:rPr>
          <w:rFonts w:hint="cs"/>
          <w:rtl/>
        </w:rPr>
        <w:t>בפלוג' הראשונים בגדר דין הפה שאסר</w:t>
      </w:r>
      <w:bookmarkEnd w:id="16044"/>
      <w:bookmarkEnd w:id="16045"/>
      <w:bookmarkEnd w:id="16046"/>
      <w:bookmarkEnd w:id="16047"/>
    </w:p>
    <w:p w:rsidR="00103C1B" w:rsidRPr="008D51C8" w:rsidRDefault="00103C1B" w:rsidP="00103C1B">
      <w:pPr>
        <w:pStyle w:val="1"/>
        <w:rPr>
          <w:rtl/>
        </w:rPr>
      </w:pPr>
      <w:bookmarkStart w:id="16048" w:name="_Toc64576226"/>
      <w:bookmarkStart w:id="16049" w:name="_Toc64588868"/>
      <w:bookmarkStart w:id="16050" w:name="_Toc64629496"/>
      <w:bookmarkStart w:id="16051" w:name="_Toc64642963"/>
      <w:r>
        <w:rPr>
          <w:rFonts w:hint="cs"/>
          <w:rtl/>
        </w:rPr>
        <w:t>ביאור הגרנ"פ בפלוגתת הרשב"ם והרשב"א בדין הפה שאסר</w:t>
      </w:r>
      <w:bookmarkEnd w:id="16048"/>
      <w:bookmarkEnd w:id="16049"/>
      <w:bookmarkEnd w:id="16050"/>
      <w:bookmarkEnd w:id="16051"/>
    </w:p>
    <w:p w:rsidR="00103C1B" w:rsidRDefault="00103C1B" w:rsidP="00103C1B">
      <w:pPr>
        <w:pStyle w:val="a3"/>
        <w:rPr>
          <w:rtl/>
        </w:rPr>
      </w:pPr>
      <w:bookmarkStart w:id="16052" w:name="_Toc64642964"/>
      <w:r>
        <w:rPr>
          <w:rFonts w:hint="cs"/>
          <w:rtl/>
        </w:rPr>
        <w:t>בי' הגרנ"פ ברשב"ם דהפה שאסר מהני מדין נאמנות ואחר שהודה דר"א מוחזק ל"מ הפה שאסר</w:t>
      </w:r>
      <w:bookmarkEnd w:id="16052"/>
    </w:p>
    <w:p w:rsidR="00103C1B" w:rsidRDefault="00103C1B" w:rsidP="007E4E81">
      <w:pPr>
        <w:pStyle w:val="a0"/>
        <w:rPr>
          <w:rtl/>
        </w:rPr>
      </w:pPr>
      <w:bookmarkStart w:id="16053" w:name="_Ref64567951"/>
      <w:r>
        <w:rPr>
          <w:rFonts w:hint="cs"/>
          <w:rtl/>
        </w:rPr>
        <w:t xml:space="preserve">במה שהקשה </w:t>
      </w:r>
      <w:r>
        <w:rPr>
          <w:rStyle w:val="af9"/>
          <w:rtl/>
        </w:rPr>
        <w:t>הרשב"א</w:t>
      </w:r>
      <w:r>
        <w:rPr>
          <w:rFonts w:hint="cs"/>
          <w:rtl/>
        </w:rPr>
        <w:t xml:space="preserve"> </w:t>
      </w:r>
      <w:r w:rsidRPr="006B75BA">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Ref64578680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Pr>
          <w:rStyle w:val="af7"/>
          <w:rFonts w:eastAsia="Guttman Hodes"/>
          <w:rtl/>
        </w:rPr>
        <w:fldChar w:fldCharType="end"/>
      </w:r>
      <w:r>
        <w:rPr>
          <w:rStyle w:val="af7"/>
          <w:rFonts w:eastAsia="Guttman Hodes" w:hint="cs"/>
          <w:rtl/>
        </w:rPr>
        <w:t xml:space="preserve"> </w:t>
      </w:r>
      <w:r>
        <w:rPr>
          <w:rFonts w:hint="cs"/>
          <w:rtl/>
        </w:rPr>
        <w:t xml:space="preserve">על </w:t>
      </w:r>
      <w:r w:rsidRPr="00161B43">
        <w:rPr>
          <w:rStyle w:val="af9"/>
          <w:rFonts w:hint="cs"/>
          <w:rtl/>
        </w:rPr>
        <w:t>הרשב"ם</w:t>
      </w:r>
      <w:r>
        <w:rPr>
          <w:rFonts w:hint="cs"/>
          <w:rtl/>
        </w:rPr>
        <w:t xml:space="preserve"> דאף מה שהדקל עומד בחזקת רב אידי, הוא מכח הודאת ההוא גברא, וא"כ הוא נאמן מדין הפה שאסר, ומ"ש מהא דתנן בכתובות </w:t>
      </w:r>
      <w:r w:rsidRPr="00450D69">
        <w:rPr>
          <w:rStyle w:val="af7"/>
          <w:rFonts w:eastAsia="Guttman Hodes" w:hint="cs"/>
          <w:rtl/>
        </w:rPr>
        <w:t>(טו:)</w:t>
      </w:r>
      <w:r>
        <w:rPr>
          <w:rFonts w:hint="cs"/>
          <w:rtl/>
        </w:rPr>
        <w:t xml:space="preserve"> דהאומר שדה זו של אביך הייתה ולקחתיה ממנו, דנאמן מדין הפה שאסר, כתב</w:t>
      </w:r>
      <w:r w:rsidRPr="00630776">
        <w:rPr>
          <w:rFonts w:hint="cs"/>
          <w:rtl/>
        </w:rPr>
        <w:t xml:space="preserve"> </w:t>
      </w:r>
      <w:r w:rsidRPr="00E42E02">
        <w:rPr>
          <w:rStyle w:val="af9"/>
          <w:rFonts w:hint="cs"/>
          <w:rtl/>
        </w:rPr>
        <w:t xml:space="preserve">בחי' רבי נחום </w:t>
      </w:r>
      <w:r w:rsidRPr="00536E43">
        <w:rPr>
          <w:rStyle w:val="af7"/>
          <w:rFonts w:eastAsia="Guttman Hodes" w:hint="cs"/>
          <w:rtl/>
        </w:rPr>
        <w:t>(או' קע"ט ד"ה וע"כ נראה)</w:t>
      </w:r>
      <w:r>
        <w:rPr>
          <w:rFonts w:hint="cs"/>
          <w:rtl/>
        </w:rPr>
        <w:t xml:space="preserve"> דמשמע מדברי </w:t>
      </w:r>
      <w:r w:rsidRPr="00E42E02">
        <w:rPr>
          <w:rStyle w:val="af9"/>
          <w:rFonts w:hint="cs"/>
          <w:rtl/>
        </w:rPr>
        <w:t>הרשב"א</w:t>
      </w:r>
      <w:r>
        <w:rPr>
          <w:rFonts w:hint="cs"/>
          <w:rtl/>
        </w:rPr>
        <w:t xml:space="preserve"> שמסברא אפש"ל </w:t>
      </w:r>
      <w:r w:rsidRPr="00E42E02">
        <w:rPr>
          <w:rStyle w:val="af9"/>
          <w:rFonts w:hint="cs"/>
          <w:rtl/>
        </w:rPr>
        <w:t>כרשב"ם</w:t>
      </w:r>
      <w:r>
        <w:rPr>
          <w:rFonts w:hint="cs"/>
          <w:rtl/>
        </w:rPr>
        <w:t xml:space="preserve"> אלא דבגמ' בכתובות מוכח דלא כדבריו, וביאר </w:t>
      </w:r>
      <w:r w:rsidRPr="00E42E02">
        <w:rPr>
          <w:rStyle w:val="af9"/>
          <w:rFonts w:hint="cs"/>
          <w:rtl/>
        </w:rPr>
        <w:t>בחי' רבי נחום דהרשב"ם</w:t>
      </w:r>
      <w:r>
        <w:rPr>
          <w:rFonts w:hint="cs"/>
          <w:rtl/>
        </w:rPr>
        <w:t xml:space="preserve"> ס"ל דדין הפה שאסר הוא דין נאמנות, ולכן ס"ל דהכא מודה ההוא גברא דרב אידי מוחזק ולא מהני הפה שאסר</w:t>
      </w:r>
      <w:r w:rsidRPr="009E3790">
        <w:rPr>
          <w:rFonts w:hint="cs"/>
          <w:rtl/>
        </w:rPr>
        <w:t xml:space="preserve"> </w:t>
      </w:r>
      <w:r>
        <w:rPr>
          <w:rFonts w:hint="cs"/>
          <w:rtl/>
        </w:rPr>
        <w:t>להוציא ממוחזק, אבל בגמ' בכתובות דהמחזיק מוחזק בקרקע, לכן מהני לו הנאמנות מדין הפה שאסר.</w:t>
      </w:r>
      <w:bookmarkEnd w:id="16053"/>
    </w:p>
    <w:p w:rsidR="00103C1B" w:rsidRDefault="00103C1B" w:rsidP="00103C1B">
      <w:pPr>
        <w:pStyle w:val="a3"/>
        <w:rPr>
          <w:rtl/>
        </w:rPr>
      </w:pPr>
      <w:bookmarkStart w:id="16054" w:name="_Toc64642965"/>
      <w:r>
        <w:rPr>
          <w:rFonts w:hint="cs"/>
          <w:rtl/>
        </w:rPr>
        <w:t>בי' הגרנ"פ ברשב"א דבהפה שאסר חשיב שלא הודה כלל ואף דר"א מוחזק לא חשיב שהודה</w:t>
      </w:r>
      <w:bookmarkEnd w:id="16054"/>
    </w:p>
    <w:p w:rsidR="00103C1B" w:rsidRDefault="00103C1B" w:rsidP="007E4E81">
      <w:pPr>
        <w:pStyle w:val="a0"/>
        <w:rPr>
          <w:rtl/>
        </w:rPr>
      </w:pPr>
      <w:bookmarkStart w:id="16055" w:name="_Ref64568199"/>
      <w:r>
        <w:rPr>
          <w:rFonts w:hint="cs"/>
          <w:rtl/>
        </w:rPr>
        <w:t xml:space="preserve">ובדעת </w:t>
      </w:r>
      <w:r w:rsidRPr="00E42E02">
        <w:rPr>
          <w:rStyle w:val="af9"/>
          <w:rFonts w:hint="cs"/>
          <w:rtl/>
        </w:rPr>
        <w:t>הרשב"א</w:t>
      </w:r>
      <w:r>
        <w:rPr>
          <w:rFonts w:hint="cs"/>
          <w:rtl/>
        </w:rPr>
        <w:t xml:space="preserve"> ביאר </w:t>
      </w:r>
      <w:r w:rsidRPr="00E42E02">
        <w:rPr>
          <w:rStyle w:val="af9"/>
          <w:rFonts w:hint="cs"/>
          <w:rtl/>
        </w:rPr>
        <w:t>בחי' רבי נחום</w:t>
      </w:r>
      <w:r w:rsidRPr="00630776">
        <w:rPr>
          <w:rFonts w:hint="cs"/>
          <w:rtl/>
        </w:rPr>
        <w:t xml:space="preserve"> </w:t>
      </w:r>
      <w:r w:rsidRPr="008D51C8">
        <w:rPr>
          <w:rStyle w:val="af7"/>
          <w:rFonts w:eastAsia="Guttman Hodes" w:hint="cs"/>
          <w:rtl/>
        </w:rPr>
        <w:t>(או' קע"ט ד"ה ולפי"ז י"ל)</w:t>
      </w:r>
      <w:r>
        <w:rPr>
          <w:rFonts w:hint="cs"/>
          <w:rtl/>
        </w:rPr>
        <w:t xml:space="preserve"> דאף דלא מהני הפה שאסר להוציא, מ"מ ס"ל </w:t>
      </w:r>
      <w:r w:rsidRPr="00E42E02">
        <w:rPr>
          <w:rStyle w:val="af9"/>
          <w:rFonts w:hint="cs"/>
          <w:rtl/>
        </w:rPr>
        <w:t>להרשב"א</w:t>
      </w:r>
      <w:r>
        <w:rPr>
          <w:rFonts w:hint="cs"/>
          <w:rtl/>
        </w:rPr>
        <w:t xml:space="preserve"> דדין הפה שאסר אינו דין נאמנות, אלא דא"א לאסור מכח הודאתו את מה שהוא עצמו התיר, וחשיב שלא הודה כלל, ולכן אף דרב אידי נחשב מוחזק, מ"מ א"א לחייב את ההוא גברא להחזיר את הפירות מכח הודאתו, דלא חשיבא הודאה, וזה מה שבא </w:t>
      </w:r>
      <w:r w:rsidRPr="00E42E02">
        <w:rPr>
          <w:rStyle w:val="af9"/>
          <w:rFonts w:hint="cs"/>
          <w:rtl/>
        </w:rPr>
        <w:t>הרשב"א</w:t>
      </w:r>
      <w:r>
        <w:rPr>
          <w:rFonts w:hint="cs"/>
          <w:rtl/>
        </w:rPr>
        <w:t xml:space="preserve"> להוכיח מהגמ' בכתובות דהפה שאסר מהני אף נגד מוחזקות של מרא קמא, באופן שכל המוחזקות נודעה לנו ע"י הודאתו, </w:t>
      </w:r>
      <w:r w:rsidRPr="008D51C8">
        <w:rPr>
          <w:rStyle w:val="afb"/>
          <w:rFonts w:hint="cs"/>
          <w:rtl/>
        </w:rPr>
        <w:t xml:space="preserve">[וכדביאר </w:t>
      </w:r>
      <w:r w:rsidRPr="008D51C8">
        <w:rPr>
          <w:rStyle w:val="affa"/>
          <w:rFonts w:hint="cs"/>
          <w:rtl/>
        </w:rPr>
        <w:t>בחי' רבי נחום</w:t>
      </w:r>
      <w:r w:rsidRPr="008D51C8">
        <w:rPr>
          <w:rStyle w:val="afb"/>
          <w:rFonts w:hint="cs"/>
          <w:rtl/>
        </w:rPr>
        <w:t xml:space="preserve"> </w:t>
      </w:r>
      <w:r w:rsidRPr="008D51C8">
        <w:rPr>
          <w:rStyle w:val="aff6"/>
          <w:rFonts w:hint="cs"/>
          <w:rtl/>
        </w:rPr>
        <w:t xml:space="preserve">(עי' אות </w:t>
      </w:r>
      <w:r w:rsidRPr="008D51C8">
        <w:rPr>
          <w:rStyle w:val="aff6"/>
          <w:rtl/>
        </w:rPr>
        <w:fldChar w:fldCharType="begin"/>
      </w:r>
      <w:r w:rsidRPr="008D51C8">
        <w:rPr>
          <w:rStyle w:val="aff6"/>
          <w:rtl/>
        </w:rPr>
        <w:instrText xml:space="preserve"> </w:instrText>
      </w:r>
      <w:r w:rsidRPr="008D51C8">
        <w:rPr>
          <w:rStyle w:val="aff6"/>
          <w:rFonts w:hint="cs"/>
        </w:rPr>
        <w:instrText>REF</w:instrText>
      </w:r>
      <w:r w:rsidRPr="008D51C8">
        <w:rPr>
          <w:rStyle w:val="aff6"/>
          <w:rFonts w:hint="cs"/>
          <w:rtl/>
        </w:rPr>
        <w:instrText xml:space="preserve"> _</w:instrText>
      </w:r>
      <w:r w:rsidRPr="008D51C8">
        <w:rPr>
          <w:rStyle w:val="aff6"/>
          <w:rFonts w:hint="cs"/>
        </w:rPr>
        <w:instrText>Ref64568227 \r \h</w:instrText>
      </w:r>
      <w:r w:rsidRPr="008D51C8">
        <w:rPr>
          <w:rStyle w:val="aff6"/>
          <w:rtl/>
        </w:rPr>
        <w:instrText xml:space="preserve"> </w:instrText>
      </w:r>
      <w:r w:rsidRPr="008D51C8">
        <w:rPr>
          <w:rStyle w:val="aff6"/>
          <w:rtl/>
        </w:rPr>
      </w:r>
      <w:r w:rsidRPr="008D51C8">
        <w:rPr>
          <w:rStyle w:val="aff6"/>
          <w:rtl/>
        </w:rPr>
        <w:fldChar w:fldCharType="separate"/>
      </w:r>
      <w:r w:rsidR="00265073">
        <w:rPr>
          <w:rStyle w:val="aff6"/>
          <w:cs/>
        </w:rPr>
        <w:t>‎</w:t>
      </w:r>
      <w:r w:rsidR="00265073">
        <w:rPr>
          <w:rStyle w:val="aff6"/>
          <w:rtl/>
        </w:rPr>
        <w:t>קח)</w:t>
      </w:r>
      <w:r w:rsidRPr="008D51C8">
        <w:rPr>
          <w:rStyle w:val="aff6"/>
          <w:rtl/>
        </w:rPr>
        <w:fldChar w:fldCharType="end"/>
      </w:r>
      <w:r w:rsidRPr="008D51C8">
        <w:rPr>
          <w:rStyle w:val="afb"/>
          <w:rFonts w:hint="cs"/>
          <w:rtl/>
        </w:rPr>
        <w:t xml:space="preserve"> בדעת </w:t>
      </w:r>
      <w:r w:rsidRPr="008D51C8">
        <w:rPr>
          <w:rStyle w:val="affa"/>
          <w:rFonts w:hint="cs"/>
          <w:rtl/>
        </w:rPr>
        <w:t>הרשב"א</w:t>
      </w:r>
      <w:r w:rsidRPr="00F31C09">
        <w:rPr>
          <w:rStyle w:val="afb"/>
          <w:rFonts w:hint="cs"/>
          <w:rtl/>
        </w:rPr>
        <w:t>, ובדעת</w:t>
      </w:r>
      <w:r>
        <w:rPr>
          <w:rStyle w:val="affa"/>
          <w:rFonts w:hint="cs"/>
          <w:rtl/>
        </w:rPr>
        <w:t xml:space="preserve"> הרמב"ן </w:t>
      </w:r>
      <w:r w:rsidRPr="00F31C09">
        <w:rPr>
          <w:rStyle w:val="aff6"/>
          <w:rFonts w:hint="cs"/>
          <w:rtl/>
        </w:rPr>
        <w:t xml:space="preserve">(עי' אות </w:t>
      </w:r>
      <w:r w:rsidRPr="00F31C09">
        <w:rPr>
          <w:rStyle w:val="aff6"/>
          <w:rtl/>
        </w:rPr>
        <w:fldChar w:fldCharType="begin"/>
      </w:r>
      <w:r w:rsidRPr="00F31C09">
        <w:rPr>
          <w:rStyle w:val="aff6"/>
          <w:rtl/>
        </w:rPr>
        <w:instrText xml:space="preserve"> </w:instrText>
      </w:r>
      <w:r w:rsidRPr="00F31C09">
        <w:rPr>
          <w:rStyle w:val="aff6"/>
          <w:rFonts w:hint="cs"/>
        </w:rPr>
        <w:instrText>REF</w:instrText>
      </w:r>
      <w:r w:rsidRPr="00F31C09">
        <w:rPr>
          <w:rStyle w:val="aff6"/>
          <w:rFonts w:hint="cs"/>
          <w:rtl/>
        </w:rPr>
        <w:instrText xml:space="preserve"> _</w:instrText>
      </w:r>
      <w:r w:rsidRPr="00F31C09">
        <w:rPr>
          <w:rStyle w:val="aff6"/>
          <w:rFonts w:hint="cs"/>
        </w:rPr>
        <w:instrText>Ref64640260 \r \h</w:instrText>
      </w:r>
      <w:r w:rsidRPr="00F31C09">
        <w:rPr>
          <w:rStyle w:val="aff6"/>
          <w:rtl/>
        </w:rPr>
        <w:instrText xml:space="preserve"> </w:instrText>
      </w:r>
      <w:r w:rsidRPr="00F31C09">
        <w:rPr>
          <w:rStyle w:val="aff6"/>
          <w:rtl/>
        </w:rPr>
      </w:r>
      <w:r w:rsidRPr="00F31C09">
        <w:rPr>
          <w:rStyle w:val="aff6"/>
          <w:rtl/>
        </w:rPr>
        <w:fldChar w:fldCharType="separate"/>
      </w:r>
      <w:r w:rsidR="00265073">
        <w:rPr>
          <w:rStyle w:val="aff6"/>
          <w:cs/>
        </w:rPr>
        <w:t>‎</w:t>
      </w:r>
      <w:r w:rsidR="00265073">
        <w:rPr>
          <w:rStyle w:val="aff6"/>
          <w:rtl/>
        </w:rPr>
        <w:t>קו)</w:t>
      </w:r>
      <w:r w:rsidRPr="00F31C09">
        <w:rPr>
          <w:rStyle w:val="aff6"/>
          <w:rtl/>
        </w:rPr>
        <w:fldChar w:fldCharType="end"/>
      </w:r>
      <w:r w:rsidRPr="008D51C8">
        <w:rPr>
          <w:rStyle w:val="afb"/>
          <w:rFonts w:hint="cs"/>
          <w:rtl/>
        </w:rPr>
        <w:t>]</w:t>
      </w:r>
      <w:r>
        <w:rPr>
          <w:rStyle w:val="afb"/>
          <w:rFonts w:hint="cs"/>
          <w:rtl/>
        </w:rPr>
        <w:t xml:space="preserve">, </w:t>
      </w:r>
      <w:r>
        <w:rPr>
          <w:rFonts w:hint="cs"/>
          <w:rtl/>
        </w:rPr>
        <w:t xml:space="preserve">וע"ע במה שביאר </w:t>
      </w:r>
      <w:r w:rsidRPr="00EC0C74">
        <w:rPr>
          <w:rStyle w:val="af9"/>
          <w:rFonts w:hint="cs"/>
          <w:rtl/>
        </w:rPr>
        <w:t>בחי' רבי נחום</w:t>
      </w:r>
      <w:r>
        <w:rPr>
          <w:rFonts w:hint="cs"/>
          <w:rtl/>
        </w:rPr>
        <w:t xml:space="preserve"> </w:t>
      </w:r>
      <w:r w:rsidRPr="008D51C8">
        <w:rPr>
          <w:rStyle w:val="af7"/>
          <w:rFonts w:eastAsia="Guttman Hodes" w:hint="cs"/>
          <w:rtl/>
        </w:rPr>
        <w:t xml:space="preserve">(או' קע"ט ד"ה </w:t>
      </w:r>
      <w:r w:rsidRPr="008D51C8">
        <w:rPr>
          <w:rStyle w:val="af7"/>
          <w:rFonts w:eastAsia="Guttman Hodes"/>
          <w:rtl/>
        </w:rPr>
        <w:t>ובעיקר משה"ק</w:t>
      </w:r>
      <w:r w:rsidRPr="008D51C8">
        <w:rPr>
          <w:rStyle w:val="af7"/>
          <w:rFonts w:eastAsia="Guttman Hodes" w:hint="cs"/>
          <w:rtl/>
        </w:rPr>
        <w:t>)</w:t>
      </w:r>
      <w:r w:rsidRPr="008D51C8">
        <w:rPr>
          <w:rStyle w:val="af7"/>
          <w:rFonts w:eastAsia="Guttman Hodes"/>
          <w:rtl/>
        </w:rPr>
        <w:t xml:space="preserve"> </w:t>
      </w:r>
      <w:r>
        <w:rPr>
          <w:rFonts w:hint="cs"/>
          <w:rtl/>
        </w:rPr>
        <w:t xml:space="preserve">בדעת </w:t>
      </w:r>
      <w:r w:rsidRPr="00EC0C74">
        <w:rPr>
          <w:rStyle w:val="af9"/>
          <w:rFonts w:hint="cs"/>
          <w:rtl/>
        </w:rPr>
        <w:t>הרשב"ם</w:t>
      </w:r>
      <w:r>
        <w:rPr>
          <w:rFonts w:hint="cs"/>
          <w:rtl/>
        </w:rPr>
        <w:t>.</w:t>
      </w:r>
      <w:bookmarkEnd w:id="16055"/>
      <w:r>
        <w:rPr>
          <w:rFonts w:hint="cs"/>
          <w:rtl/>
        </w:rPr>
        <w:t xml:space="preserve"> </w:t>
      </w:r>
    </w:p>
    <w:p w:rsidR="00103C1B" w:rsidRDefault="00103C1B" w:rsidP="00103C1B">
      <w:pPr>
        <w:pStyle w:val="1"/>
        <w:rPr>
          <w:rtl/>
        </w:rPr>
      </w:pPr>
      <w:bookmarkStart w:id="16056" w:name="_Toc64576227"/>
      <w:bookmarkStart w:id="16057" w:name="_Toc64588869"/>
      <w:bookmarkStart w:id="16058" w:name="_Toc64629497"/>
      <w:bookmarkStart w:id="16059" w:name="_Toc64642966"/>
      <w:r>
        <w:rPr>
          <w:rFonts w:hint="cs"/>
          <w:rtl/>
        </w:rPr>
        <w:t xml:space="preserve">בי' הגרנ"פ ברמב"ן ובר"י מגאש בדין הפה שאסר </w:t>
      </w:r>
      <w:bookmarkEnd w:id="16056"/>
      <w:bookmarkEnd w:id="16057"/>
      <w:bookmarkEnd w:id="16058"/>
      <w:r>
        <w:rPr>
          <w:rFonts w:hint="cs"/>
          <w:rtl/>
        </w:rPr>
        <w:t>במק"ע</w:t>
      </w:r>
      <w:bookmarkEnd w:id="16059"/>
      <w:r>
        <w:rPr>
          <w:rFonts w:hint="cs"/>
          <w:rtl/>
        </w:rPr>
        <w:t xml:space="preserve"> </w:t>
      </w:r>
    </w:p>
    <w:p w:rsidR="00103C1B" w:rsidRPr="004E4C4E" w:rsidRDefault="00103C1B" w:rsidP="00103C1B">
      <w:pPr>
        <w:pStyle w:val="a3"/>
      </w:pPr>
      <w:bookmarkStart w:id="16060" w:name="_Toc64642967"/>
      <w:r>
        <w:rPr>
          <w:rFonts w:hint="cs"/>
          <w:rtl/>
        </w:rPr>
        <w:t>דברי הגרנ"פ דמבואר ברמב"ן דרב חסדא נחלק עם אביי ורבא בדין הפה שאסר במק"ע</w:t>
      </w:r>
      <w:bookmarkEnd w:id="16060"/>
    </w:p>
    <w:p w:rsidR="00103C1B" w:rsidRDefault="00103C1B" w:rsidP="007E4E81">
      <w:pPr>
        <w:pStyle w:val="a0"/>
        <w:rPr>
          <w:rtl/>
        </w:rPr>
      </w:pPr>
      <w:bookmarkStart w:id="16061" w:name="_Ref64629077"/>
      <w:r>
        <w:rPr>
          <w:rFonts w:hint="cs"/>
          <w:rtl/>
        </w:rPr>
        <w:t>במה שהקשה</w:t>
      </w:r>
      <w:r w:rsidRPr="00D66BF0">
        <w:rPr>
          <w:rFonts w:hint="cs"/>
          <w:rtl/>
        </w:rPr>
        <w:t xml:space="preserve"> </w:t>
      </w:r>
      <w:r w:rsidRPr="00D66BF0">
        <w:rPr>
          <w:rStyle w:val="af9"/>
          <w:rFonts w:hint="cs"/>
          <w:rtl/>
        </w:rPr>
        <w:t>הבעה"מ</w:t>
      </w:r>
      <w:r w:rsidRPr="00D66BF0">
        <w:rPr>
          <w:rFonts w:hint="cs"/>
          <w:rtl/>
        </w:rPr>
        <w:t xml:space="preserve"> </w:t>
      </w:r>
      <w:r w:rsidRPr="00D66BF0">
        <w:rPr>
          <w:rStyle w:val="af7"/>
          <w:rFonts w:eastAsia="Guttman Hodes" w:hint="cs"/>
          <w:rtl/>
        </w:rPr>
        <w:t xml:space="preserve">(עי' אות </w:t>
      </w:r>
      <w:r w:rsidRPr="00D66BF0">
        <w:rPr>
          <w:rStyle w:val="af7"/>
          <w:rFonts w:eastAsia="Guttman Hodes"/>
          <w:rtl/>
        </w:rPr>
        <w:fldChar w:fldCharType="begin"/>
      </w:r>
      <w:r w:rsidRPr="00D66BF0">
        <w:rPr>
          <w:rStyle w:val="af7"/>
          <w:rFonts w:eastAsia="Guttman Hodes"/>
          <w:rtl/>
        </w:rPr>
        <w:instrText xml:space="preserve"> </w:instrText>
      </w:r>
      <w:r w:rsidRPr="00D66BF0">
        <w:rPr>
          <w:rStyle w:val="af7"/>
          <w:rFonts w:eastAsia="Guttman Hodes" w:hint="cs"/>
        </w:rPr>
        <w:instrText>REF</w:instrText>
      </w:r>
      <w:r w:rsidRPr="00D66BF0">
        <w:rPr>
          <w:rStyle w:val="af7"/>
          <w:rFonts w:eastAsia="Guttman Hodes" w:hint="cs"/>
          <w:rtl/>
        </w:rPr>
        <w:instrText xml:space="preserve"> _</w:instrText>
      </w:r>
      <w:r w:rsidRPr="00D66BF0">
        <w:rPr>
          <w:rStyle w:val="af7"/>
          <w:rFonts w:eastAsia="Guttman Hodes" w:hint="cs"/>
        </w:rPr>
        <w:instrText>Ref64407298 \r \h</w:instrText>
      </w:r>
      <w:r w:rsidRPr="00D66BF0">
        <w:rPr>
          <w:rStyle w:val="af7"/>
          <w:rFonts w:eastAsia="Guttman Hodes"/>
          <w:rtl/>
        </w:rPr>
        <w:instrText xml:space="preserve">  \* </w:instrText>
      </w:r>
      <w:r w:rsidRPr="00D66BF0">
        <w:rPr>
          <w:rStyle w:val="af7"/>
          <w:rFonts w:eastAsia="Guttman Hodes"/>
        </w:rPr>
        <w:instrText>MERGEFORMAT</w:instrText>
      </w:r>
      <w:r w:rsidRPr="00D66BF0">
        <w:rPr>
          <w:rStyle w:val="af7"/>
          <w:rFonts w:eastAsia="Guttman Hodes"/>
          <w:rtl/>
        </w:rPr>
        <w:instrText xml:space="preserve"> </w:instrText>
      </w:r>
      <w:r w:rsidRPr="00D66BF0">
        <w:rPr>
          <w:rStyle w:val="af7"/>
          <w:rFonts w:eastAsia="Guttman Hodes"/>
          <w:rtl/>
        </w:rPr>
      </w:r>
      <w:r w:rsidRPr="00D66BF0">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D66BF0">
        <w:rPr>
          <w:rStyle w:val="af7"/>
          <w:rFonts w:eastAsia="Guttman Hodes"/>
          <w:rtl/>
        </w:rPr>
        <w:fldChar w:fldCharType="end"/>
      </w:r>
      <w:r w:rsidRPr="00D66BF0">
        <w:rPr>
          <w:rFonts w:hint="cs"/>
          <w:rtl/>
        </w:rPr>
        <w:t xml:space="preserve"> ד</w:t>
      </w:r>
      <w:r>
        <w:rPr>
          <w:rFonts w:hint="cs"/>
          <w:rtl/>
        </w:rPr>
        <w:t>אי</w:t>
      </w:r>
      <w:r w:rsidRPr="00D66BF0">
        <w:rPr>
          <w:rFonts w:hint="cs"/>
          <w:rtl/>
        </w:rPr>
        <w:t xml:space="preserve"> גרסינן שרב אידי הביא עדים שהוא קרוב יותר, א"כ היה לאביי ורבא לומר דהוא מיגו במקום עדים, </w:t>
      </w:r>
      <w:r>
        <w:rPr>
          <w:rFonts w:hint="cs"/>
          <w:rtl/>
        </w:rPr>
        <w:t>ותירץ</w:t>
      </w:r>
      <w:r w:rsidRPr="00D66BF0">
        <w:rPr>
          <w:rFonts w:hint="cs"/>
          <w:rtl/>
        </w:rPr>
        <w:t xml:space="preserve"> </w:t>
      </w:r>
      <w:r w:rsidRPr="00D66BF0">
        <w:rPr>
          <w:rStyle w:val="af9"/>
          <w:rFonts w:hint="cs"/>
          <w:rtl/>
        </w:rPr>
        <w:t>הרמב"ן במלחמות</w:t>
      </w:r>
      <w:r w:rsidRPr="00D66BF0">
        <w:rPr>
          <w:rFonts w:hint="cs"/>
          <w:rtl/>
        </w:rPr>
        <w:t xml:space="preserve"> </w:t>
      </w:r>
      <w:r w:rsidRPr="0006797D">
        <w:rPr>
          <w:rStyle w:val="af7"/>
          <w:rFonts w:eastAsia="Guttman Hodes" w:hint="cs"/>
          <w:rtl/>
        </w:rPr>
        <w:t xml:space="preserve">(עי' אות </w:t>
      </w:r>
      <w:r w:rsidRPr="0006797D">
        <w:rPr>
          <w:rStyle w:val="af7"/>
          <w:rFonts w:eastAsia="Guttman Hodes"/>
          <w:rtl/>
        </w:rPr>
        <w:fldChar w:fldCharType="begin"/>
      </w:r>
      <w:r w:rsidRPr="0006797D">
        <w:rPr>
          <w:rStyle w:val="af7"/>
          <w:rFonts w:eastAsia="Guttman Hodes"/>
          <w:rtl/>
        </w:rPr>
        <w:instrText xml:space="preserve"> </w:instrText>
      </w:r>
      <w:r w:rsidRPr="0006797D">
        <w:rPr>
          <w:rStyle w:val="af7"/>
          <w:rFonts w:eastAsia="Guttman Hodes" w:hint="cs"/>
        </w:rPr>
        <w:instrText>REF</w:instrText>
      </w:r>
      <w:r w:rsidRPr="0006797D">
        <w:rPr>
          <w:rStyle w:val="af7"/>
          <w:rFonts w:eastAsia="Guttman Hodes" w:hint="cs"/>
          <w:rtl/>
        </w:rPr>
        <w:instrText xml:space="preserve"> _</w:instrText>
      </w:r>
      <w:r w:rsidRPr="0006797D">
        <w:rPr>
          <w:rStyle w:val="af7"/>
          <w:rFonts w:eastAsia="Guttman Hodes" w:hint="cs"/>
        </w:rPr>
        <w:instrText>Ref64629020 \r \h</w:instrText>
      </w:r>
      <w:r w:rsidRPr="0006797D">
        <w:rPr>
          <w:rStyle w:val="af7"/>
          <w:rFonts w:eastAsia="Guttman Hodes"/>
          <w:rtl/>
        </w:rPr>
        <w:instrText xml:space="preserve"> </w:instrText>
      </w:r>
      <w:r w:rsidRPr="0006797D">
        <w:rPr>
          <w:rStyle w:val="af7"/>
          <w:rFonts w:eastAsia="Guttman Hodes"/>
          <w:rtl/>
        </w:rPr>
      </w:r>
      <w:r w:rsidRPr="0006797D">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06797D">
        <w:rPr>
          <w:rStyle w:val="af7"/>
          <w:rFonts w:eastAsia="Guttman Hodes"/>
          <w:rtl/>
        </w:rPr>
        <w:fldChar w:fldCharType="end"/>
      </w:r>
      <w:r>
        <w:rPr>
          <w:rFonts w:hint="cs"/>
          <w:rtl/>
        </w:rPr>
        <w:t xml:space="preserve"> </w:t>
      </w:r>
      <w:r w:rsidRPr="00D66BF0">
        <w:rPr>
          <w:rFonts w:hint="cs"/>
          <w:rtl/>
        </w:rPr>
        <w:t xml:space="preserve">דאפש"ל דהכא כיון שהוא נאמן מדין הפה שאסר, ולכן אמרו אביי ורבא דכיון דאודי אודי, דכוונתם לומר דההודאה שלו היא שמחייבת אותו לשלם, ולא דמי לגמ' לעיל דהוא מיגו דמה לי לשקר במקום עדים, </w:t>
      </w:r>
      <w:r>
        <w:rPr>
          <w:rFonts w:hint="cs"/>
          <w:rtl/>
        </w:rPr>
        <w:t xml:space="preserve">כתב </w:t>
      </w:r>
      <w:r w:rsidRPr="0064379F">
        <w:rPr>
          <w:rStyle w:val="af9"/>
          <w:rFonts w:hint="cs"/>
          <w:rtl/>
        </w:rPr>
        <w:t>בחי'</w:t>
      </w:r>
      <w:r>
        <w:rPr>
          <w:rFonts w:hint="cs"/>
          <w:rtl/>
        </w:rPr>
        <w:t xml:space="preserve"> </w:t>
      </w:r>
      <w:r w:rsidRPr="0064379F">
        <w:rPr>
          <w:rStyle w:val="af9"/>
          <w:rFonts w:hint="cs"/>
          <w:rtl/>
        </w:rPr>
        <w:t>רבי נחום</w:t>
      </w:r>
      <w:r>
        <w:rPr>
          <w:rFonts w:hint="cs"/>
          <w:rtl/>
        </w:rPr>
        <w:t xml:space="preserve"> </w:t>
      </w:r>
      <w:r w:rsidRPr="00536E43">
        <w:rPr>
          <w:rStyle w:val="af7"/>
          <w:rFonts w:eastAsia="Guttman Hodes" w:hint="cs"/>
          <w:rtl/>
        </w:rPr>
        <w:t>(או קע"ח ד"ה בביאור)</w:t>
      </w:r>
      <w:r>
        <w:rPr>
          <w:rFonts w:hint="cs"/>
          <w:rtl/>
        </w:rPr>
        <w:t xml:space="preserve"> דמבואר מדברי </w:t>
      </w:r>
      <w:r w:rsidRPr="0064379F">
        <w:rPr>
          <w:rStyle w:val="af9"/>
          <w:rFonts w:hint="cs"/>
          <w:rtl/>
        </w:rPr>
        <w:t>הרמב"ן</w:t>
      </w:r>
      <w:r>
        <w:rPr>
          <w:rFonts w:hint="cs"/>
          <w:rtl/>
        </w:rPr>
        <w:t xml:space="preserve"> דפלוגתת רב חסדא עם אביי ורבא, אינה בדין מיגו במקום עדים, אלא דנחלקו אי דין הפה שאסר נאמן במקום עדים.</w:t>
      </w:r>
      <w:bookmarkEnd w:id="16061"/>
    </w:p>
    <w:p w:rsidR="00103C1B" w:rsidRPr="00D560E3" w:rsidRDefault="00103C1B" w:rsidP="00103C1B">
      <w:pPr>
        <w:pStyle w:val="a3"/>
        <w:rPr>
          <w:rtl/>
        </w:rPr>
      </w:pPr>
    </w:p>
    <w:p w:rsidR="00103C1B" w:rsidRPr="00D560E3" w:rsidRDefault="00103C1B" w:rsidP="00103C1B">
      <w:pPr>
        <w:pStyle w:val="a3"/>
        <w:rPr>
          <w:rtl/>
        </w:rPr>
      </w:pPr>
    </w:p>
    <w:p w:rsidR="00103C1B" w:rsidRDefault="00103C1B" w:rsidP="00103C1B">
      <w:pPr>
        <w:pStyle w:val="a3"/>
        <w:rPr>
          <w:rtl/>
        </w:rPr>
      </w:pPr>
      <w:bookmarkStart w:id="16062" w:name="_Toc64642968"/>
      <w:r>
        <w:rPr>
          <w:rFonts w:hint="cs"/>
          <w:rtl/>
        </w:rPr>
        <w:lastRenderedPageBreak/>
        <w:t>ביאר הגרנ"פ ברמב"ן דהפה שאסר אינו נאמנות וחשיב שלא הודה ולרב חסדא מהני במק"ע</w:t>
      </w:r>
      <w:bookmarkEnd w:id="16062"/>
    </w:p>
    <w:p w:rsidR="00103C1B" w:rsidRDefault="00103C1B" w:rsidP="007E4E81">
      <w:pPr>
        <w:pStyle w:val="a0"/>
        <w:rPr>
          <w:rtl/>
        </w:rPr>
      </w:pPr>
      <w:bookmarkStart w:id="16063" w:name="_Ref64640260"/>
      <w:r>
        <w:rPr>
          <w:rFonts w:hint="cs"/>
          <w:rtl/>
        </w:rPr>
        <w:t xml:space="preserve">וביאר </w:t>
      </w:r>
      <w:r w:rsidRPr="0064379F">
        <w:rPr>
          <w:rStyle w:val="af9"/>
          <w:rFonts w:hint="cs"/>
          <w:rtl/>
        </w:rPr>
        <w:t>בחי' רבי נחום</w:t>
      </w:r>
      <w:r>
        <w:rPr>
          <w:rFonts w:hint="cs"/>
          <w:rtl/>
        </w:rPr>
        <w:t xml:space="preserve"> דדין הפה שאסר אינו מדין נאמנות, </w:t>
      </w:r>
      <w:r w:rsidRPr="008D51C8">
        <w:rPr>
          <w:rStyle w:val="afb"/>
          <w:rFonts w:hint="cs"/>
          <w:rtl/>
        </w:rPr>
        <w:t xml:space="preserve">[וכדביאר </w:t>
      </w:r>
      <w:r w:rsidRPr="008D51C8">
        <w:rPr>
          <w:rStyle w:val="affa"/>
          <w:rFonts w:hint="cs"/>
          <w:rtl/>
        </w:rPr>
        <w:t>בחי' רבי נחום</w:t>
      </w:r>
      <w:r w:rsidRPr="008D51C8">
        <w:rPr>
          <w:rStyle w:val="afb"/>
          <w:rFonts w:hint="cs"/>
          <w:rtl/>
        </w:rPr>
        <w:t xml:space="preserve"> </w:t>
      </w:r>
      <w:r w:rsidRPr="008D51C8">
        <w:rPr>
          <w:rStyle w:val="aff6"/>
          <w:rFonts w:hint="cs"/>
          <w:rtl/>
        </w:rPr>
        <w:t xml:space="preserve">(עי' אות </w:t>
      </w:r>
      <w:r w:rsidRPr="008D51C8">
        <w:rPr>
          <w:rStyle w:val="aff6"/>
          <w:rtl/>
        </w:rPr>
        <w:fldChar w:fldCharType="begin"/>
      </w:r>
      <w:r w:rsidRPr="008D51C8">
        <w:rPr>
          <w:rStyle w:val="aff6"/>
          <w:rtl/>
        </w:rPr>
        <w:instrText xml:space="preserve"> </w:instrText>
      </w:r>
      <w:r w:rsidRPr="008D51C8">
        <w:rPr>
          <w:rStyle w:val="aff6"/>
          <w:rFonts w:hint="cs"/>
        </w:rPr>
        <w:instrText>REF</w:instrText>
      </w:r>
      <w:r w:rsidRPr="008D51C8">
        <w:rPr>
          <w:rStyle w:val="aff6"/>
          <w:rFonts w:hint="cs"/>
          <w:rtl/>
        </w:rPr>
        <w:instrText xml:space="preserve"> _</w:instrText>
      </w:r>
      <w:r w:rsidRPr="008D51C8">
        <w:rPr>
          <w:rStyle w:val="aff6"/>
          <w:rFonts w:hint="cs"/>
        </w:rPr>
        <w:instrText>Ref64568227 \r \h</w:instrText>
      </w:r>
      <w:r w:rsidRPr="008D51C8">
        <w:rPr>
          <w:rStyle w:val="aff6"/>
          <w:rtl/>
        </w:rPr>
        <w:instrText xml:space="preserve"> </w:instrText>
      </w:r>
      <w:r w:rsidRPr="008D51C8">
        <w:rPr>
          <w:rStyle w:val="aff6"/>
          <w:rtl/>
        </w:rPr>
      </w:r>
      <w:r w:rsidRPr="008D51C8">
        <w:rPr>
          <w:rStyle w:val="aff6"/>
          <w:rtl/>
        </w:rPr>
        <w:fldChar w:fldCharType="separate"/>
      </w:r>
      <w:r w:rsidR="00265073">
        <w:rPr>
          <w:rStyle w:val="aff6"/>
          <w:cs/>
        </w:rPr>
        <w:t>‎</w:t>
      </w:r>
      <w:r w:rsidR="00265073">
        <w:rPr>
          <w:rStyle w:val="aff6"/>
          <w:rtl/>
        </w:rPr>
        <w:t>קח)</w:t>
      </w:r>
      <w:r w:rsidRPr="008D51C8">
        <w:rPr>
          <w:rStyle w:val="aff6"/>
          <w:rtl/>
        </w:rPr>
        <w:fldChar w:fldCharType="end"/>
      </w:r>
      <w:r w:rsidRPr="008D51C8">
        <w:rPr>
          <w:rStyle w:val="afb"/>
          <w:rFonts w:hint="cs"/>
          <w:rtl/>
        </w:rPr>
        <w:t xml:space="preserve"> בדעת </w:t>
      </w:r>
      <w:r w:rsidRPr="008D51C8">
        <w:rPr>
          <w:rStyle w:val="affa"/>
          <w:rFonts w:hint="cs"/>
          <w:rtl/>
        </w:rPr>
        <w:t>הרשב"א</w:t>
      </w:r>
      <w:r w:rsidRPr="008D51C8">
        <w:rPr>
          <w:rStyle w:val="afb"/>
          <w:rFonts w:hint="cs"/>
          <w:rtl/>
        </w:rPr>
        <w:t>]</w:t>
      </w:r>
      <w:r>
        <w:rPr>
          <w:rStyle w:val="afb"/>
          <w:rFonts w:hint="cs"/>
          <w:rtl/>
        </w:rPr>
        <w:t>,</w:t>
      </w:r>
      <w:r>
        <w:rPr>
          <w:rFonts w:hint="cs"/>
          <w:rtl/>
        </w:rPr>
        <w:t xml:space="preserve"> אלא דא"א לאסור מכח הודאתו את מה שהוא עצמו התיר, וחשיב שלא הודה כלל, ולכן ס"ל </w:t>
      </w:r>
      <w:r w:rsidRPr="0064379F">
        <w:rPr>
          <w:rStyle w:val="af9"/>
          <w:rFonts w:hint="cs"/>
          <w:rtl/>
        </w:rPr>
        <w:t>להרמב"ן</w:t>
      </w:r>
      <w:r>
        <w:rPr>
          <w:rFonts w:hint="cs"/>
          <w:rtl/>
        </w:rPr>
        <w:t xml:space="preserve"> דאף אי לא אמרינן מיגו במקום עדים, מ"מ דין הפה שאסר אפש"ל דמהני במקום עדים, דהא לא הודה כלל.</w:t>
      </w:r>
      <w:bookmarkEnd w:id="16063"/>
    </w:p>
    <w:p w:rsidR="00103C1B" w:rsidRPr="00865048" w:rsidRDefault="00103C1B" w:rsidP="00103C1B">
      <w:pPr>
        <w:pStyle w:val="a3"/>
        <w:rPr>
          <w:rtl/>
        </w:rPr>
      </w:pPr>
      <w:bookmarkStart w:id="16064" w:name="_Toc64642969"/>
      <w:r>
        <w:rPr>
          <w:rFonts w:hint="cs"/>
          <w:rtl/>
        </w:rPr>
        <w:t>ביאור הגרנ"פ ברמב"ן ובר"י מגאש דלאביי ורבא דכנגד עדים אין טענת ההיתר טענה דהיא שקר</w:t>
      </w:r>
      <w:bookmarkEnd w:id="16064"/>
    </w:p>
    <w:p w:rsidR="00103C1B" w:rsidRDefault="00103C1B" w:rsidP="007E4E81">
      <w:pPr>
        <w:pStyle w:val="a0"/>
        <w:rPr>
          <w:rtl/>
        </w:rPr>
      </w:pPr>
      <w:bookmarkStart w:id="16065" w:name="_Ref64629141"/>
      <w:r>
        <w:rPr>
          <w:rFonts w:hint="cs"/>
          <w:rtl/>
        </w:rPr>
        <w:t xml:space="preserve">ובדעת אביי ורבא ביאר </w:t>
      </w:r>
      <w:r w:rsidRPr="0064379F">
        <w:rPr>
          <w:rStyle w:val="af9"/>
          <w:rFonts w:hint="cs"/>
          <w:rtl/>
        </w:rPr>
        <w:t>בחי' רבי נחום</w:t>
      </w:r>
      <w:r>
        <w:rPr>
          <w:rFonts w:hint="cs"/>
          <w:rtl/>
        </w:rPr>
        <w:t xml:space="preserve"> </w:t>
      </w:r>
      <w:r w:rsidRPr="00536E43">
        <w:rPr>
          <w:rStyle w:val="af7"/>
          <w:rFonts w:eastAsia="Guttman Hodes" w:hint="cs"/>
          <w:rtl/>
        </w:rPr>
        <w:t>(או</w:t>
      </w:r>
      <w:r>
        <w:rPr>
          <w:rStyle w:val="af7"/>
          <w:rFonts w:eastAsia="Guttman Hodes" w:hint="cs"/>
          <w:rtl/>
        </w:rPr>
        <w:t>'</w:t>
      </w:r>
      <w:r w:rsidRPr="00536E43">
        <w:rPr>
          <w:rStyle w:val="af7"/>
          <w:rFonts w:eastAsia="Guttman Hodes" w:hint="cs"/>
          <w:rtl/>
        </w:rPr>
        <w:t xml:space="preserve"> קע"ח ד"ה ובביאור ד' אביי)</w:t>
      </w:r>
      <w:r>
        <w:rPr>
          <w:rFonts w:hint="cs"/>
          <w:rtl/>
        </w:rPr>
        <w:t xml:space="preserve"> דס"ל דכל שיש עדים שמכחישים את טענת ההיתר, א"כ לא חשיבא כטענה כלל, וכתב </w:t>
      </w:r>
      <w:r w:rsidRPr="0064379F">
        <w:rPr>
          <w:rStyle w:val="af9"/>
          <w:rFonts w:hint="cs"/>
          <w:rtl/>
        </w:rPr>
        <w:t>בחי' רבי נחום</w:t>
      </w:r>
      <w:r>
        <w:rPr>
          <w:rFonts w:hint="cs"/>
          <w:rtl/>
        </w:rPr>
        <w:t xml:space="preserve"> דכן מבואר בדברי </w:t>
      </w:r>
      <w:r w:rsidRPr="0064379F">
        <w:rPr>
          <w:rStyle w:val="af9"/>
          <w:rFonts w:hint="cs"/>
          <w:rtl/>
        </w:rPr>
        <w:t xml:space="preserve">הר"י מגאש </w:t>
      </w:r>
      <w:r w:rsidRPr="0006797D">
        <w:rPr>
          <w:rStyle w:val="af7"/>
          <w:rFonts w:eastAsia="Guttman Hodes" w:hint="cs"/>
          <w:rtl/>
        </w:rPr>
        <w:t xml:space="preserve">(עי' אות </w:t>
      </w:r>
      <w:r w:rsidRPr="0006797D">
        <w:rPr>
          <w:rStyle w:val="af7"/>
          <w:rFonts w:eastAsia="Guttman Hodes"/>
          <w:rtl/>
        </w:rPr>
        <w:fldChar w:fldCharType="begin"/>
      </w:r>
      <w:r w:rsidRPr="0006797D">
        <w:rPr>
          <w:rStyle w:val="af7"/>
          <w:rFonts w:eastAsia="Guttman Hodes"/>
          <w:rtl/>
        </w:rPr>
        <w:instrText xml:space="preserve"> </w:instrText>
      </w:r>
      <w:r w:rsidRPr="0006797D">
        <w:rPr>
          <w:rStyle w:val="af7"/>
          <w:rFonts w:eastAsia="Guttman Hodes" w:hint="cs"/>
        </w:rPr>
        <w:instrText>REF</w:instrText>
      </w:r>
      <w:r w:rsidRPr="0006797D">
        <w:rPr>
          <w:rStyle w:val="af7"/>
          <w:rFonts w:eastAsia="Guttman Hodes" w:hint="cs"/>
          <w:rtl/>
        </w:rPr>
        <w:instrText xml:space="preserve"> _</w:instrText>
      </w:r>
      <w:r w:rsidRPr="0006797D">
        <w:rPr>
          <w:rStyle w:val="af7"/>
          <w:rFonts w:eastAsia="Guttman Hodes" w:hint="cs"/>
        </w:rPr>
        <w:instrText>Ref64629108 \r \h</w:instrText>
      </w:r>
      <w:r w:rsidRPr="0006797D">
        <w:rPr>
          <w:rStyle w:val="af7"/>
          <w:rFonts w:eastAsia="Guttman Hodes"/>
          <w:rtl/>
        </w:rPr>
        <w:instrText xml:space="preserve"> </w:instrText>
      </w:r>
      <w:r w:rsidRPr="0006797D">
        <w:rPr>
          <w:rStyle w:val="af7"/>
          <w:rFonts w:eastAsia="Guttman Hodes"/>
          <w:rtl/>
        </w:rPr>
      </w:r>
      <w:r w:rsidRPr="0006797D">
        <w:rPr>
          <w:rStyle w:val="af7"/>
          <w:rFonts w:eastAsia="Guttman Hodes"/>
          <w:rtl/>
        </w:rPr>
        <w:fldChar w:fldCharType="separate"/>
      </w:r>
      <w:r w:rsidR="00265073">
        <w:rPr>
          <w:rStyle w:val="af7"/>
          <w:rFonts w:eastAsia="Guttman Hodes"/>
          <w:cs/>
        </w:rPr>
        <w:t>‎</w:t>
      </w:r>
      <w:r w:rsidR="00265073">
        <w:rPr>
          <w:rStyle w:val="af7"/>
          <w:rFonts w:eastAsia="Guttman Hodes"/>
          <w:rtl/>
        </w:rPr>
        <w:t>עו)</w:t>
      </w:r>
      <w:r w:rsidRPr="0006797D">
        <w:rPr>
          <w:rStyle w:val="af7"/>
          <w:rFonts w:eastAsia="Guttman Hodes"/>
          <w:rtl/>
        </w:rPr>
        <w:fldChar w:fldCharType="end"/>
      </w:r>
      <w:r>
        <w:rPr>
          <w:rFonts w:hint="cs"/>
          <w:rtl/>
        </w:rPr>
        <w:t xml:space="preserve"> דביאר בדעת אביי ורבא דהנאמנות בהפה שאסר, הוא רק במקום שטוען טענה שמסתברת, ואין עדים שמכחישים את טענתו, דאפש"ל שטענתו היא אמת, אבל כשיש עדים שמכחישים את טענתו, והתברר לנו שעיקר טענתו היא שקר, א"א לומר דהוא נאמן מדין הפה שאסר, וכתב </w:t>
      </w:r>
      <w:r w:rsidRPr="0064379F">
        <w:rPr>
          <w:rStyle w:val="af9"/>
          <w:rFonts w:hint="cs"/>
          <w:rtl/>
        </w:rPr>
        <w:t>בחי' רבי נחום</w:t>
      </w:r>
      <w:r>
        <w:rPr>
          <w:rFonts w:hint="cs"/>
          <w:rtl/>
        </w:rPr>
        <w:t xml:space="preserve"> דמבואר מדברי </w:t>
      </w:r>
      <w:r w:rsidRPr="0064379F">
        <w:rPr>
          <w:rStyle w:val="af9"/>
          <w:rFonts w:hint="cs"/>
          <w:rtl/>
        </w:rPr>
        <w:t>הר"י מגאש</w:t>
      </w:r>
      <w:r>
        <w:rPr>
          <w:rFonts w:hint="cs"/>
          <w:rtl/>
        </w:rPr>
        <w:t xml:space="preserve"> דבמקום עדים לא חשיב שיש כאן הודאה כלל.</w:t>
      </w:r>
      <w:bookmarkEnd w:id="16065"/>
    </w:p>
    <w:p w:rsidR="00103C1B" w:rsidRDefault="00103C1B" w:rsidP="00103C1B">
      <w:pPr>
        <w:pStyle w:val="1"/>
        <w:rPr>
          <w:rtl/>
        </w:rPr>
      </w:pPr>
      <w:bookmarkStart w:id="16066" w:name="_Toc64576228"/>
      <w:bookmarkStart w:id="16067" w:name="_Toc64588870"/>
      <w:bookmarkStart w:id="16068" w:name="_Toc64629498"/>
      <w:bookmarkStart w:id="16069" w:name="_Toc64642970"/>
      <w:r>
        <w:rPr>
          <w:rFonts w:hint="cs"/>
          <w:rtl/>
        </w:rPr>
        <w:t>ביאור הגרנ"פ בדעת הרשב"א</w:t>
      </w:r>
      <w:bookmarkEnd w:id="16066"/>
      <w:bookmarkEnd w:id="16067"/>
      <w:bookmarkEnd w:id="16068"/>
      <w:r>
        <w:rPr>
          <w:rFonts w:hint="cs"/>
          <w:rtl/>
        </w:rPr>
        <w:t xml:space="preserve"> דהכא אינו נאמן במיגו דלהד"ם</w:t>
      </w:r>
      <w:bookmarkEnd w:id="16069"/>
    </w:p>
    <w:p w:rsidR="00103C1B" w:rsidRDefault="00103C1B" w:rsidP="00103C1B">
      <w:pPr>
        <w:pStyle w:val="a3"/>
        <w:rPr>
          <w:rtl/>
        </w:rPr>
      </w:pPr>
      <w:bookmarkStart w:id="16070" w:name="_Toc64642971"/>
      <w:r>
        <w:rPr>
          <w:rFonts w:hint="cs"/>
          <w:rtl/>
        </w:rPr>
        <w:t>בי' הגרנ"פ ברשב"א דבהיה יכול לזכות בטענת ספק ל"מ מיגו אחר שהודה והפה שאסר מהני</w:t>
      </w:r>
      <w:bookmarkEnd w:id="16070"/>
    </w:p>
    <w:p w:rsidR="00103C1B" w:rsidRPr="008D51C8" w:rsidRDefault="00103C1B" w:rsidP="007E4E81">
      <w:pPr>
        <w:pStyle w:val="a0"/>
        <w:rPr>
          <w:rStyle w:val="afb"/>
          <w:rtl/>
        </w:rPr>
      </w:pPr>
      <w:bookmarkStart w:id="16071" w:name="_Ref64568227"/>
      <w:bookmarkStart w:id="16072" w:name="_Ref64640555"/>
      <w:r>
        <w:rPr>
          <w:rFonts w:hint="cs"/>
          <w:rtl/>
        </w:rPr>
        <w:t xml:space="preserve">במ"ש </w:t>
      </w:r>
      <w:r w:rsidRPr="0064379F">
        <w:rPr>
          <w:rStyle w:val="af9"/>
          <w:rFonts w:hint="cs"/>
          <w:rtl/>
        </w:rPr>
        <w:t>הרשב"א</w:t>
      </w:r>
      <w:r>
        <w:rPr>
          <w:rFonts w:hint="cs"/>
          <w:rtl/>
        </w:rPr>
        <w:t xml:space="preserve"> </w:t>
      </w:r>
      <w:r w:rsidRPr="009648BB">
        <w:rPr>
          <w:rStyle w:val="af7"/>
          <w:rFonts w:eastAsia="Guttman Hodes" w:hint="cs"/>
          <w:rtl/>
        </w:rPr>
        <w:t xml:space="preserve">(עי' אות </w:t>
      </w:r>
      <w:r w:rsidRPr="009648BB">
        <w:rPr>
          <w:rStyle w:val="af7"/>
          <w:rFonts w:eastAsia="Guttman Hodes"/>
          <w:rtl/>
        </w:rPr>
        <w:fldChar w:fldCharType="begin"/>
      </w:r>
      <w:r w:rsidRPr="009648BB">
        <w:rPr>
          <w:rStyle w:val="af7"/>
          <w:rFonts w:eastAsia="Guttman Hodes"/>
          <w:rtl/>
        </w:rPr>
        <w:instrText xml:space="preserve"> </w:instrText>
      </w:r>
      <w:r w:rsidRPr="009648BB">
        <w:rPr>
          <w:rStyle w:val="af7"/>
          <w:rFonts w:eastAsia="Guttman Hodes" w:hint="cs"/>
        </w:rPr>
        <w:instrText>REF</w:instrText>
      </w:r>
      <w:r w:rsidRPr="009648BB">
        <w:rPr>
          <w:rStyle w:val="af7"/>
          <w:rFonts w:eastAsia="Guttman Hodes" w:hint="cs"/>
          <w:rtl/>
        </w:rPr>
        <w:instrText xml:space="preserve"> _</w:instrText>
      </w:r>
      <w:r w:rsidRPr="009648BB">
        <w:rPr>
          <w:rStyle w:val="af7"/>
          <w:rFonts w:eastAsia="Guttman Hodes" w:hint="cs"/>
        </w:rPr>
        <w:instrText>Ref64586421 \r \h</w:instrText>
      </w:r>
      <w:r w:rsidRPr="009648BB">
        <w:rPr>
          <w:rStyle w:val="af7"/>
          <w:rFonts w:eastAsia="Guttman Hodes"/>
          <w:rtl/>
        </w:rPr>
        <w:instrText xml:space="preserve"> </w:instrText>
      </w:r>
      <w:r w:rsidRPr="009648BB">
        <w:rPr>
          <w:rStyle w:val="af7"/>
          <w:rFonts w:eastAsia="Guttman Hodes"/>
          <w:rtl/>
        </w:rPr>
      </w:r>
      <w:r w:rsidRPr="009648BB">
        <w:rPr>
          <w:rStyle w:val="af7"/>
          <w:rFonts w:eastAsia="Guttman Hodes"/>
          <w:rtl/>
        </w:rPr>
        <w:fldChar w:fldCharType="separate"/>
      </w:r>
      <w:r w:rsidR="00265073">
        <w:rPr>
          <w:rStyle w:val="af7"/>
          <w:rFonts w:eastAsia="Guttman Hodes"/>
          <w:cs/>
        </w:rPr>
        <w:t>‎</w:t>
      </w:r>
      <w:r w:rsidR="00265073">
        <w:rPr>
          <w:rStyle w:val="af7"/>
          <w:rFonts w:eastAsia="Guttman Hodes"/>
          <w:rtl/>
        </w:rPr>
        <w:t>מג)</w:t>
      </w:r>
      <w:r w:rsidRPr="009648BB">
        <w:rPr>
          <w:rStyle w:val="af7"/>
          <w:rFonts w:eastAsia="Guttman Hodes"/>
          <w:rtl/>
        </w:rPr>
        <w:fldChar w:fldCharType="end"/>
      </w:r>
      <w:r>
        <w:rPr>
          <w:rFonts w:hint="cs"/>
          <w:rtl/>
        </w:rPr>
        <w:t xml:space="preserve"> דהנאמנות בסוגיין היא מדין הפה שאסר, כתב </w:t>
      </w:r>
      <w:r w:rsidRPr="0064379F">
        <w:rPr>
          <w:rStyle w:val="af9"/>
          <w:rFonts w:hint="cs"/>
          <w:rtl/>
        </w:rPr>
        <w:t>בחי' רבי נחום</w:t>
      </w:r>
      <w:r>
        <w:rPr>
          <w:rFonts w:hint="cs"/>
          <w:rtl/>
        </w:rPr>
        <w:t xml:space="preserve"> </w:t>
      </w:r>
      <w:r w:rsidRPr="00536E43">
        <w:rPr>
          <w:rStyle w:val="af7"/>
          <w:rFonts w:eastAsia="Guttman Hodes" w:hint="cs"/>
          <w:rtl/>
        </w:rPr>
        <w:t>(או' קע"ט ד"ה והנה ברשב"א)</w:t>
      </w:r>
      <w:r>
        <w:rPr>
          <w:rFonts w:hint="cs"/>
          <w:rtl/>
        </w:rPr>
        <w:t xml:space="preserve"> דמבואר מדברי </w:t>
      </w:r>
      <w:r w:rsidRPr="0064379F">
        <w:rPr>
          <w:rStyle w:val="af9"/>
          <w:rFonts w:hint="cs"/>
          <w:rtl/>
        </w:rPr>
        <w:t>הרשב"א</w:t>
      </w:r>
      <w:r>
        <w:rPr>
          <w:rFonts w:hint="cs"/>
          <w:rtl/>
        </w:rPr>
        <w:t xml:space="preserve"> דהכא לא שייך נאמנות מדין מיגו דלהד"ם, כיון דמיגו מהני רק כשהוא נאמן לגמרי בטענה שהיה יכול לטעון, אבל הכא שאינו נאמן בטענה שהוא קרוב יותר, וכ"מ שהיה יכול לזכות בטענה זו הוא מכח ספק, ס"ל </w:t>
      </w:r>
      <w:r w:rsidRPr="0064379F">
        <w:rPr>
          <w:rStyle w:val="af9"/>
          <w:rFonts w:hint="cs"/>
          <w:rtl/>
        </w:rPr>
        <w:t>להרשב"א</w:t>
      </w:r>
      <w:r>
        <w:rPr>
          <w:rFonts w:hint="cs"/>
          <w:rtl/>
        </w:rPr>
        <w:t xml:space="preserve"> דאין לו נאמנות במיגו, ולכן ביאר </w:t>
      </w:r>
      <w:r w:rsidRPr="008D51C8">
        <w:rPr>
          <w:rStyle w:val="af9"/>
          <w:rFonts w:hint="cs"/>
          <w:rtl/>
        </w:rPr>
        <w:t>הרשב"א</w:t>
      </w:r>
      <w:r>
        <w:rPr>
          <w:rFonts w:hint="cs"/>
          <w:rtl/>
        </w:rPr>
        <w:t xml:space="preserve"> דהנאמנות היא מדין הפה שאסר, </w:t>
      </w:r>
      <w:r w:rsidRPr="008D51C8">
        <w:rPr>
          <w:rStyle w:val="afb"/>
          <w:rFonts w:hint="cs"/>
          <w:rtl/>
        </w:rPr>
        <w:t xml:space="preserve">[וכדביאר </w:t>
      </w:r>
      <w:r w:rsidRPr="008D51C8">
        <w:rPr>
          <w:rStyle w:val="affa"/>
          <w:rFonts w:hint="cs"/>
          <w:rtl/>
        </w:rPr>
        <w:t>בחי' רבי נחום</w:t>
      </w:r>
      <w:r w:rsidRPr="008D51C8">
        <w:rPr>
          <w:rStyle w:val="afb"/>
          <w:rFonts w:hint="cs"/>
          <w:rtl/>
        </w:rPr>
        <w:t xml:space="preserve"> </w:t>
      </w:r>
      <w:r w:rsidRPr="008D51C8">
        <w:rPr>
          <w:rStyle w:val="aff6"/>
          <w:rFonts w:hint="cs"/>
          <w:rtl/>
        </w:rPr>
        <w:t xml:space="preserve">(עי' אות </w:t>
      </w:r>
      <w:r w:rsidRPr="008D51C8">
        <w:rPr>
          <w:rStyle w:val="aff6"/>
          <w:rtl/>
        </w:rPr>
        <w:fldChar w:fldCharType="begin"/>
      </w:r>
      <w:r w:rsidRPr="008D51C8">
        <w:rPr>
          <w:rStyle w:val="aff6"/>
          <w:rtl/>
        </w:rPr>
        <w:instrText xml:space="preserve"> </w:instrText>
      </w:r>
      <w:r w:rsidRPr="008D51C8">
        <w:rPr>
          <w:rStyle w:val="aff6"/>
          <w:rFonts w:hint="cs"/>
        </w:rPr>
        <w:instrText>REF</w:instrText>
      </w:r>
      <w:r w:rsidRPr="008D51C8">
        <w:rPr>
          <w:rStyle w:val="aff6"/>
          <w:rFonts w:hint="cs"/>
          <w:rtl/>
        </w:rPr>
        <w:instrText xml:space="preserve"> _</w:instrText>
      </w:r>
      <w:r w:rsidRPr="008D51C8">
        <w:rPr>
          <w:rStyle w:val="aff6"/>
          <w:rFonts w:hint="cs"/>
        </w:rPr>
        <w:instrText>Ref64568199 \r \h</w:instrText>
      </w:r>
      <w:r w:rsidRPr="008D51C8">
        <w:rPr>
          <w:rStyle w:val="aff6"/>
          <w:rtl/>
        </w:rPr>
        <w:instrText xml:space="preserve"> </w:instrText>
      </w:r>
      <w:r w:rsidRPr="008D51C8">
        <w:rPr>
          <w:rStyle w:val="aff6"/>
          <w:rtl/>
        </w:rPr>
      </w:r>
      <w:r w:rsidRPr="008D51C8">
        <w:rPr>
          <w:rStyle w:val="aff6"/>
          <w:rtl/>
        </w:rPr>
        <w:fldChar w:fldCharType="separate"/>
      </w:r>
      <w:r w:rsidR="00265073">
        <w:rPr>
          <w:rStyle w:val="aff6"/>
          <w:cs/>
        </w:rPr>
        <w:t>‎</w:t>
      </w:r>
      <w:r w:rsidR="00265073">
        <w:rPr>
          <w:rStyle w:val="aff6"/>
          <w:rtl/>
        </w:rPr>
        <w:t>קד)</w:t>
      </w:r>
      <w:r w:rsidRPr="008D51C8">
        <w:rPr>
          <w:rStyle w:val="aff6"/>
          <w:rtl/>
        </w:rPr>
        <w:fldChar w:fldCharType="end"/>
      </w:r>
      <w:r w:rsidRPr="008D51C8">
        <w:rPr>
          <w:rStyle w:val="afb"/>
          <w:rFonts w:hint="cs"/>
          <w:rtl/>
        </w:rPr>
        <w:t xml:space="preserve"> בדעת </w:t>
      </w:r>
      <w:r w:rsidRPr="008D51C8">
        <w:rPr>
          <w:rStyle w:val="affa"/>
          <w:rFonts w:hint="cs"/>
          <w:rtl/>
        </w:rPr>
        <w:t>הרשב"א</w:t>
      </w:r>
      <w:r w:rsidRPr="00F31C09">
        <w:rPr>
          <w:rStyle w:val="afb"/>
          <w:rFonts w:hint="cs"/>
          <w:rtl/>
        </w:rPr>
        <w:t>, ובדעת</w:t>
      </w:r>
      <w:r>
        <w:rPr>
          <w:rStyle w:val="affa"/>
          <w:rFonts w:hint="cs"/>
          <w:rtl/>
        </w:rPr>
        <w:t xml:space="preserve"> הרמב"ן </w:t>
      </w:r>
      <w:r w:rsidRPr="00F31C09">
        <w:rPr>
          <w:rStyle w:val="aff6"/>
          <w:rFonts w:hint="cs"/>
          <w:rtl/>
        </w:rPr>
        <w:t xml:space="preserve">(עי' אות </w:t>
      </w:r>
      <w:r w:rsidRPr="00F31C09">
        <w:rPr>
          <w:rStyle w:val="aff6"/>
          <w:rtl/>
        </w:rPr>
        <w:fldChar w:fldCharType="begin"/>
      </w:r>
      <w:r w:rsidRPr="00F31C09">
        <w:rPr>
          <w:rStyle w:val="aff6"/>
          <w:rtl/>
        </w:rPr>
        <w:instrText xml:space="preserve"> </w:instrText>
      </w:r>
      <w:r w:rsidRPr="00F31C09">
        <w:rPr>
          <w:rStyle w:val="aff6"/>
          <w:rFonts w:hint="cs"/>
        </w:rPr>
        <w:instrText>REF</w:instrText>
      </w:r>
      <w:r w:rsidRPr="00F31C09">
        <w:rPr>
          <w:rStyle w:val="aff6"/>
          <w:rFonts w:hint="cs"/>
          <w:rtl/>
        </w:rPr>
        <w:instrText xml:space="preserve"> _</w:instrText>
      </w:r>
      <w:r w:rsidRPr="00F31C09">
        <w:rPr>
          <w:rStyle w:val="aff6"/>
          <w:rFonts w:hint="cs"/>
        </w:rPr>
        <w:instrText>Ref64640260 \r \h</w:instrText>
      </w:r>
      <w:r w:rsidRPr="00F31C09">
        <w:rPr>
          <w:rStyle w:val="aff6"/>
          <w:rtl/>
        </w:rPr>
        <w:instrText xml:space="preserve"> </w:instrText>
      </w:r>
      <w:r w:rsidRPr="00F31C09">
        <w:rPr>
          <w:rStyle w:val="aff6"/>
          <w:rtl/>
        </w:rPr>
      </w:r>
      <w:r w:rsidRPr="00F31C09">
        <w:rPr>
          <w:rStyle w:val="aff6"/>
          <w:rtl/>
        </w:rPr>
        <w:fldChar w:fldCharType="separate"/>
      </w:r>
      <w:r w:rsidR="00265073">
        <w:rPr>
          <w:rStyle w:val="aff6"/>
          <w:cs/>
        </w:rPr>
        <w:t>‎</w:t>
      </w:r>
      <w:r w:rsidR="00265073">
        <w:rPr>
          <w:rStyle w:val="aff6"/>
          <w:rtl/>
        </w:rPr>
        <w:t>קו)</w:t>
      </w:r>
      <w:r w:rsidRPr="00F31C09">
        <w:rPr>
          <w:rStyle w:val="aff6"/>
          <w:rtl/>
        </w:rPr>
        <w:fldChar w:fldCharType="end"/>
      </w:r>
      <w:r w:rsidRPr="008D51C8">
        <w:rPr>
          <w:rStyle w:val="afb"/>
          <w:rFonts w:hint="cs"/>
          <w:rtl/>
        </w:rPr>
        <w:t>]</w:t>
      </w:r>
      <w:bookmarkEnd w:id="16071"/>
      <w:r>
        <w:rPr>
          <w:rStyle w:val="afb"/>
          <w:rFonts w:hint="cs"/>
          <w:rtl/>
        </w:rPr>
        <w:t>,</w:t>
      </w:r>
      <w:r w:rsidRPr="00612F8C">
        <w:rPr>
          <w:rFonts w:hint="cs"/>
          <w:rtl/>
        </w:rPr>
        <w:t xml:space="preserve"> </w:t>
      </w:r>
      <w:r>
        <w:rPr>
          <w:rFonts w:hint="cs"/>
          <w:rtl/>
        </w:rPr>
        <w:t xml:space="preserve">ועי' במ"ש </w:t>
      </w:r>
      <w:r w:rsidRPr="00612F8C">
        <w:rPr>
          <w:rStyle w:val="af9"/>
          <w:rFonts w:hint="cs"/>
          <w:rtl/>
        </w:rPr>
        <w:t>הגרנ"ט</w:t>
      </w:r>
      <w:r>
        <w:rPr>
          <w:rFonts w:hint="cs"/>
          <w:rtl/>
        </w:rPr>
        <w:t xml:space="preserve"> </w:t>
      </w:r>
      <w:r w:rsidRPr="00612F8C">
        <w:rPr>
          <w:rStyle w:val="af7"/>
          <w:rFonts w:eastAsia="Guttman Hodes" w:hint="cs"/>
          <w:rtl/>
        </w:rPr>
        <w:t xml:space="preserve">(עי' אות </w:t>
      </w:r>
      <w:r w:rsidRPr="00612F8C">
        <w:rPr>
          <w:rStyle w:val="af7"/>
          <w:rFonts w:eastAsia="Guttman Hodes"/>
          <w:rtl/>
        </w:rPr>
        <w:fldChar w:fldCharType="begin"/>
      </w:r>
      <w:r w:rsidRPr="00612F8C">
        <w:rPr>
          <w:rStyle w:val="af7"/>
          <w:rFonts w:eastAsia="Guttman Hodes"/>
          <w:rtl/>
        </w:rPr>
        <w:instrText xml:space="preserve"> </w:instrText>
      </w:r>
      <w:r w:rsidRPr="00612F8C">
        <w:rPr>
          <w:rStyle w:val="af7"/>
          <w:rFonts w:eastAsia="Guttman Hodes" w:hint="cs"/>
        </w:rPr>
        <w:instrText>REF</w:instrText>
      </w:r>
      <w:r w:rsidRPr="00612F8C">
        <w:rPr>
          <w:rStyle w:val="af7"/>
          <w:rFonts w:eastAsia="Guttman Hodes" w:hint="cs"/>
          <w:rtl/>
        </w:rPr>
        <w:instrText xml:space="preserve"> _</w:instrText>
      </w:r>
      <w:r w:rsidRPr="00612F8C">
        <w:rPr>
          <w:rStyle w:val="af7"/>
          <w:rFonts w:eastAsia="Guttman Hodes" w:hint="cs"/>
        </w:rPr>
        <w:instrText>Ref64561186 \r \h</w:instrText>
      </w:r>
      <w:r w:rsidRPr="00612F8C">
        <w:rPr>
          <w:rStyle w:val="af7"/>
          <w:rFonts w:eastAsia="Guttman Hodes"/>
          <w:rtl/>
        </w:rPr>
        <w:instrText xml:space="preserve"> </w:instrText>
      </w:r>
      <w:r w:rsidRPr="00612F8C">
        <w:rPr>
          <w:rStyle w:val="af7"/>
          <w:rFonts w:eastAsia="Guttman Hodes"/>
          <w:rtl/>
        </w:rPr>
      </w:r>
      <w:r w:rsidRPr="00612F8C">
        <w:rPr>
          <w:rStyle w:val="af7"/>
          <w:rFonts w:eastAsia="Guttman Hodes"/>
          <w:rtl/>
        </w:rPr>
        <w:fldChar w:fldCharType="separate"/>
      </w:r>
      <w:r w:rsidR="00265073">
        <w:rPr>
          <w:rStyle w:val="af7"/>
          <w:rFonts w:eastAsia="Guttman Hodes"/>
          <w:cs/>
        </w:rPr>
        <w:t>‎</w:t>
      </w:r>
      <w:r w:rsidR="00265073">
        <w:rPr>
          <w:rStyle w:val="af7"/>
          <w:rFonts w:eastAsia="Guttman Hodes"/>
          <w:rtl/>
        </w:rPr>
        <w:t>קא)</w:t>
      </w:r>
      <w:r w:rsidRPr="00612F8C">
        <w:rPr>
          <w:rStyle w:val="af7"/>
          <w:rFonts w:eastAsia="Guttman Hodes"/>
          <w:rtl/>
        </w:rPr>
        <w:fldChar w:fldCharType="end"/>
      </w:r>
      <w:r>
        <w:rPr>
          <w:rFonts w:hint="cs"/>
          <w:rtl/>
        </w:rPr>
        <w:t>.</w:t>
      </w:r>
      <w:bookmarkEnd w:id="16072"/>
    </w:p>
    <w:p w:rsidR="00103C1B" w:rsidRDefault="00103C1B" w:rsidP="00103C1B">
      <w:pPr>
        <w:pStyle w:val="afe"/>
        <w:rPr>
          <w:rtl/>
        </w:rPr>
      </w:pPr>
      <w:bookmarkStart w:id="16073" w:name="_Toc64576229"/>
      <w:bookmarkStart w:id="16074" w:name="_Toc64588871"/>
      <w:bookmarkStart w:id="16075" w:name="_Toc64629499"/>
      <w:bookmarkStart w:id="16076" w:name="_Toc64642972"/>
      <w:bookmarkEnd w:id="16042"/>
      <w:r>
        <w:rPr>
          <w:rFonts w:hint="cs"/>
          <w:rtl/>
        </w:rPr>
        <w:t xml:space="preserve">אי חשיב </w:t>
      </w:r>
      <w:bookmarkEnd w:id="16073"/>
      <w:bookmarkEnd w:id="16074"/>
      <w:bookmarkEnd w:id="16075"/>
      <w:r>
        <w:rPr>
          <w:rFonts w:hint="cs"/>
          <w:rtl/>
        </w:rPr>
        <w:t>מיגו במק"ע כשהודה בפירות</w:t>
      </w:r>
      <w:bookmarkEnd w:id="16076"/>
    </w:p>
    <w:p w:rsidR="00103C1B" w:rsidRPr="00672357" w:rsidRDefault="00103C1B" w:rsidP="00103C1B">
      <w:pPr>
        <w:pStyle w:val="1"/>
        <w:rPr>
          <w:rtl/>
        </w:rPr>
      </w:pPr>
      <w:bookmarkStart w:id="16077" w:name="_Toc64549049"/>
      <w:bookmarkStart w:id="16078" w:name="_Toc64576230"/>
      <w:bookmarkStart w:id="16079" w:name="_Toc64588872"/>
      <w:bookmarkStart w:id="16080" w:name="_Toc64629500"/>
      <w:bookmarkStart w:id="16081" w:name="_Toc64642973"/>
      <w:bookmarkStart w:id="16082" w:name="_Toc64549047"/>
      <w:r>
        <w:rPr>
          <w:rFonts w:hint="cs"/>
          <w:rtl/>
        </w:rPr>
        <w:t>ביאור הגרב"ב</w:t>
      </w:r>
      <w:bookmarkEnd w:id="16077"/>
      <w:r>
        <w:rPr>
          <w:rFonts w:hint="cs"/>
          <w:rtl/>
        </w:rPr>
        <w:t xml:space="preserve"> בפלוג' תוס' והרשב"ם אי חשיב מיגו במק"ע</w:t>
      </w:r>
      <w:bookmarkEnd w:id="16078"/>
      <w:bookmarkEnd w:id="16079"/>
      <w:bookmarkEnd w:id="16080"/>
      <w:bookmarkEnd w:id="16081"/>
    </w:p>
    <w:p w:rsidR="00103C1B" w:rsidRPr="00904536" w:rsidRDefault="00103C1B" w:rsidP="00103C1B">
      <w:pPr>
        <w:pStyle w:val="a3"/>
        <w:rPr>
          <w:rtl/>
        </w:rPr>
      </w:pPr>
      <w:bookmarkStart w:id="16083" w:name="_Toc64642974"/>
      <w:r>
        <w:rPr>
          <w:rFonts w:hint="cs"/>
          <w:rtl/>
        </w:rPr>
        <w:t>ביאור הגרב"ב בתוס' וברמ"ה דכשהקרקע יוצאת מתח"י המיגו על הפירות חשיב כמיגו במק"ע</w:t>
      </w:r>
      <w:bookmarkEnd w:id="16083"/>
    </w:p>
    <w:p w:rsidR="00103C1B" w:rsidRDefault="00103C1B" w:rsidP="007E4E81">
      <w:pPr>
        <w:pStyle w:val="a0"/>
        <w:rPr>
          <w:rtl/>
        </w:rPr>
      </w:pPr>
      <w:bookmarkStart w:id="16084" w:name="_Ref64640779"/>
      <w:r w:rsidRPr="00436B00">
        <w:rPr>
          <w:rFonts w:hint="cs"/>
          <w:rtl/>
        </w:rPr>
        <w:t>במ"ש</w:t>
      </w:r>
      <w:r>
        <w:rPr>
          <w:rStyle w:val="af9"/>
          <w:rFonts w:hint="cs"/>
          <w:rtl/>
        </w:rPr>
        <w:t xml:space="preserve"> </w:t>
      </w:r>
      <w:r w:rsidRPr="008076B1">
        <w:rPr>
          <w:rStyle w:val="af9"/>
          <w:rFonts w:hint="cs"/>
          <w:rtl/>
        </w:rPr>
        <w:t>התוס'</w:t>
      </w:r>
      <w:r>
        <w:rPr>
          <w:rFonts w:hint="cs"/>
          <w:rtl/>
        </w:rPr>
        <w:t xml:space="preserve"> </w:t>
      </w:r>
      <w:r w:rsidRPr="00926E25">
        <w:rPr>
          <w:rStyle w:val="af7"/>
          <w:rFonts w:eastAsia="Guttman Hodes" w:hint="cs"/>
          <w:rtl/>
        </w:rPr>
        <w:t xml:space="preserve">(עי' אות </w:t>
      </w:r>
      <w:r>
        <w:rPr>
          <w:rStyle w:val="af7"/>
          <w:rFonts w:eastAsia="Guttman Hodes"/>
          <w:rtl/>
        </w:rPr>
        <w:fldChar w:fldCharType="begin"/>
      </w:r>
      <w:r w:rsidRPr="001F72F1">
        <w:rPr>
          <w:rStyle w:val="af7"/>
          <w:rFonts w:eastAsia="Guttman Hodes"/>
          <w:rtl/>
        </w:rPr>
        <w:instrText xml:space="preserve"> </w:instrText>
      </w:r>
      <w:r w:rsidRPr="001F72F1">
        <w:rPr>
          <w:rStyle w:val="af7"/>
          <w:rFonts w:eastAsia="Guttman Hodes" w:hint="cs"/>
        </w:rPr>
        <w:instrText>REF</w:instrText>
      </w:r>
      <w:r w:rsidRPr="001F72F1">
        <w:rPr>
          <w:rStyle w:val="af7"/>
          <w:rFonts w:eastAsia="Guttman Hodes" w:hint="cs"/>
          <w:rtl/>
        </w:rPr>
        <w:instrText xml:space="preserve"> _</w:instrText>
      </w:r>
      <w:r w:rsidRPr="001F72F1">
        <w:rPr>
          <w:rStyle w:val="af7"/>
          <w:rFonts w:eastAsia="Guttman Hodes" w:hint="cs"/>
        </w:rPr>
        <w:instrText>Ref64389009 \r \h</w:instrText>
      </w:r>
      <w:r w:rsidRPr="001F72F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Pr>
          <w:rStyle w:val="af7"/>
          <w:rFonts w:eastAsia="Guttman Hodes"/>
          <w:rtl/>
        </w:rPr>
        <w:fldChar w:fldCharType="end"/>
      </w:r>
      <w:r>
        <w:rPr>
          <w:rFonts w:hint="cs"/>
          <w:rtl/>
        </w:rPr>
        <w:t xml:space="preserve"> דבטוען שקנה את הקרקע מהמרא קמא, ואכל פירות ב' שנים, ואין עדים שאכל את הפירות, דלדעת אביי ורבא הוא צריך להחזיר את הפירות, ואינו נאמן עליהם במיגו דלא היה מודה שאכל, כיון שהקרקע יוצאת מתח"י, כתב </w:t>
      </w:r>
      <w:r w:rsidRPr="001F466E">
        <w:rPr>
          <w:rStyle w:val="af9"/>
          <w:rFonts w:hint="cs"/>
          <w:rtl/>
        </w:rPr>
        <w:t>בחו"ש הגרב"ב</w:t>
      </w:r>
      <w:r>
        <w:rPr>
          <w:rFonts w:hint="cs"/>
          <w:rtl/>
        </w:rPr>
        <w:t xml:space="preserve"> </w:t>
      </w:r>
      <w:r w:rsidRPr="001F72F1">
        <w:rPr>
          <w:rStyle w:val="af7"/>
          <w:rFonts w:eastAsia="Guttman Hodes" w:hint="cs"/>
          <w:rtl/>
        </w:rPr>
        <w:t xml:space="preserve">(ח"ג ב"ב סי' א' ד"ה </w:t>
      </w:r>
      <w:r w:rsidRPr="001F72F1">
        <w:rPr>
          <w:rStyle w:val="af7"/>
          <w:rFonts w:eastAsia="Guttman Hodes"/>
          <w:rtl/>
        </w:rPr>
        <w:t>ויש להביא</w:t>
      </w:r>
      <w:r w:rsidRPr="001F72F1">
        <w:rPr>
          <w:rStyle w:val="af7"/>
          <w:rFonts w:eastAsia="Guttman Hodes" w:hint="cs"/>
          <w:rtl/>
        </w:rPr>
        <w:t>)</w:t>
      </w:r>
      <w:r>
        <w:rPr>
          <w:rFonts w:hint="cs"/>
          <w:rtl/>
        </w:rPr>
        <w:t xml:space="preserve"> דס"ל דהוא כמיגו במקום עדים, </w:t>
      </w:r>
      <w:r w:rsidRPr="003836F2">
        <w:rPr>
          <w:rStyle w:val="afb"/>
          <w:rFonts w:hint="cs"/>
          <w:rtl/>
        </w:rPr>
        <w:t xml:space="preserve">[עי' במ"ש </w:t>
      </w:r>
      <w:r w:rsidRPr="007911DA">
        <w:rPr>
          <w:rStyle w:val="affa"/>
          <w:rFonts w:hint="cs"/>
          <w:rtl/>
        </w:rPr>
        <w:t xml:space="preserve">התוס' </w:t>
      </w:r>
      <w:r w:rsidRPr="007911DA">
        <w:rPr>
          <w:rStyle w:val="aff6"/>
          <w:rFonts w:hint="cs"/>
          <w:rtl/>
        </w:rPr>
        <w:t xml:space="preserve">(עי' אות </w:t>
      </w:r>
      <w:r w:rsidRPr="007911DA">
        <w:rPr>
          <w:rStyle w:val="aff6"/>
          <w:rtl/>
        </w:rPr>
        <w:fldChar w:fldCharType="begin"/>
      </w:r>
      <w:r w:rsidRPr="007911DA">
        <w:rPr>
          <w:rStyle w:val="aff6"/>
          <w:rtl/>
        </w:rPr>
        <w:instrText xml:space="preserve"> </w:instrText>
      </w:r>
      <w:r w:rsidRPr="007911DA">
        <w:rPr>
          <w:rStyle w:val="aff6"/>
          <w:rFonts w:hint="cs"/>
        </w:rPr>
        <w:instrText>REF</w:instrText>
      </w:r>
      <w:r w:rsidRPr="007911DA">
        <w:rPr>
          <w:rStyle w:val="aff6"/>
          <w:rFonts w:hint="cs"/>
          <w:rtl/>
        </w:rPr>
        <w:instrText xml:space="preserve"> _</w:instrText>
      </w:r>
      <w:r w:rsidRPr="007911DA">
        <w:rPr>
          <w:rStyle w:val="aff6"/>
          <w:rFonts w:hint="cs"/>
        </w:rPr>
        <w:instrText>Ref64539630 \r \h</w:instrText>
      </w:r>
      <w:r w:rsidRPr="007911DA">
        <w:rPr>
          <w:rStyle w:val="aff6"/>
          <w:rtl/>
        </w:rPr>
        <w:instrText xml:space="preserve"> </w:instrText>
      </w:r>
      <w:r w:rsidRPr="007911DA">
        <w:rPr>
          <w:rStyle w:val="aff6"/>
          <w:rtl/>
        </w:rPr>
      </w:r>
      <w:r w:rsidRPr="007911DA">
        <w:rPr>
          <w:rStyle w:val="aff6"/>
          <w:rtl/>
        </w:rPr>
        <w:fldChar w:fldCharType="separate"/>
      </w:r>
      <w:r w:rsidR="00265073">
        <w:rPr>
          <w:rStyle w:val="aff6"/>
          <w:cs/>
        </w:rPr>
        <w:t>‎</w:t>
      </w:r>
      <w:r w:rsidR="00265073">
        <w:rPr>
          <w:rStyle w:val="aff6"/>
          <w:rtl/>
        </w:rPr>
        <w:t>כב)</w:t>
      </w:r>
      <w:r w:rsidRPr="007911DA">
        <w:rPr>
          <w:rStyle w:val="aff6"/>
          <w:rtl/>
        </w:rPr>
        <w:fldChar w:fldCharType="end"/>
      </w:r>
      <w:r w:rsidRPr="003836F2">
        <w:rPr>
          <w:rStyle w:val="afb"/>
          <w:rFonts w:hint="cs"/>
          <w:rtl/>
        </w:rPr>
        <w:t>],</w:t>
      </w:r>
      <w:r w:rsidRPr="00CC35A7">
        <w:rPr>
          <w:rFonts w:hint="cs"/>
          <w:rtl/>
        </w:rPr>
        <w:t xml:space="preserve"> </w:t>
      </w:r>
      <w:r w:rsidRPr="00EA4AF2">
        <w:rPr>
          <w:rFonts w:hint="cs"/>
          <w:rtl/>
        </w:rPr>
        <w:t>ו</w:t>
      </w:r>
      <w:r>
        <w:rPr>
          <w:rFonts w:hint="cs"/>
          <w:rtl/>
        </w:rPr>
        <w:t xml:space="preserve">הביא </w:t>
      </w:r>
      <w:r w:rsidRPr="001F466E">
        <w:rPr>
          <w:rStyle w:val="af9"/>
          <w:rFonts w:hint="cs"/>
          <w:rtl/>
        </w:rPr>
        <w:t>בחו"ש הגרב"ב</w:t>
      </w:r>
      <w:r>
        <w:rPr>
          <w:rFonts w:hint="cs"/>
          <w:rtl/>
        </w:rPr>
        <w:t xml:space="preserve"> ד</w:t>
      </w:r>
      <w:r w:rsidRPr="00EA4AF2">
        <w:rPr>
          <w:rFonts w:hint="cs"/>
          <w:rtl/>
        </w:rPr>
        <w:t xml:space="preserve">כ"כ </w:t>
      </w:r>
      <w:r w:rsidRPr="00735C33">
        <w:rPr>
          <w:rStyle w:val="af9"/>
          <w:rFonts w:hint="cs"/>
          <w:rtl/>
        </w:rPr>
        <w:t>היד רמ"ה</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Ref64479368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Pr>
          <w:rStyle w:val="af7"/>
          <w:rFonts w:eastAsia="Guttman Hodes"/>
          <w:rtl/>
        </w:rPr>
        <w:fldChar w:fldCharType="end"/>
      </w:r>
      <w:r>
        <w:rPr>
          <w:rStyle w:val="af7"/>
          <w:rFonts w:eastAsia="Guttman Hodes" w:hint="cs"/>
          <w:rtl/>
        </w:rPr>
        <w:t xml:space="preserve"> </w:t>
      </w:r>
      <w:r>
        <w:rPr>
          <w:rFonts w:hint="cs"/>
          <w:rtl/>
        </w:rPr>
        <w:t>דחשיב כמיגו במקום עדים.</w:t>
      </w:r>
      <w:bookmarkEnd w:id="16084"/>
    </w:p>
    <w:p w:rsidR="00103C1B" w:rsidRPr="005F75BD" w:rsidRDefault="00103C1B" w:rsidP="00103C1B">
      <w:pPr>
        <w:pStyle w:val="a3"/>
        <w:rPr>
          <w:rtl/>
        </w:rPr>
      </w:pPr>
      <w:bookmarkStart w:id="16085" w:name="_Toc64642975"/>
      <w:r>
        <w:rPr>
          <w:rFonts w:hint="cs"/>
          <w:rtl/>
        </w:rPr>
        <w:t>בי' הגרב"ב בתוס' דבטוען שאכל ג"ש אף שיוצאת מתח"י נאמן על הפירות דלטענתו יש לו חזקה</w:t>
      </w:r>
      <w:bookmarkEnd w:id="16085"/>
    </w:p>
    <w:p w:rsidR="00103C1B" w:rsidRDefault="00103C1B" w:rsidP="007E4E81">
      <w:pPr>
        <w:pStyle w:val="a0"/>
        <w:rPr>
          <w:rtl/>
        </w:rPr>
      </w:pPr>
      <w:bookmarkStart w:id="16086" w:name="_Ref64540558"/>
      <w:r>
        <w:rPr>
          <w:rFonts w:hint="cs"/>
          <w:rtl/>
        </w:rPr>
        <w:t xml:space="preserve">וכתב </w:t>
      </w:r>
      <w:r w:rsidRPr="00547063">
        <w:rPr>
          <w:rStyle w:val="af9"/>
          <w:rFonts w:hint="cs"/>
          <w:rtl/>
        </w:rPr>
        <w:t>בחו"ש הגרב"ב</w:t>
      </w:r>
      <w:r>
        <w:rPr>
          <w:rFonts w:hint="cs"/>
          <w:rtl/>
        </w:rPr>
        <w:t xml:space="preserve"> דלכן כתבו </w:t>
      </w:r>
      <w:r w:rsidRPr="00547063">
        <w:rPr>
          <w:rStyle w:val="af9"/>
          <w:rFonts w:hint="cs"/>
          <w:rtl/>
        </w:rPr>
        <w:t>התוס'</w:t>
      </w:r>
      <w:r w:rsidRPr="006613FD">
        <w:rPr>
          <w:rStyle w:val="af7"/>
          <w:rFonts w:eastAsia="Guttman Hodes" w:hint="cs"/>
          <w:rtl/>
        </w:rPr>
        <w:t xml:space="preserve"> (עי' אות </w:t>
      </w:r>
      <w:r w:rsidRPr="006613FD">
        <w:rPr>
          <w:rStyle w:val="af7"/>
          <w:rFonts w:eastAsia="Guttman Hodes"/>
          <w:rtl/>
        </w:rPr>
        <w:fldChar w:fldCharType="begin"/>
      </w:r>
      <w:r w:rsidRPr="006613FD">
        <w:rPr>
          <w:rStyle w:val="af7"/>
          <w:rFonts w:eastAsia="Guttman Hodes"/>
          <w:rtl/>
        </w:rPr>
        <w:instrText xml:space="preserve"> </w:instrText>
      </w:r>
      <w:r w:rsidRPr="006613FD">
        <w:rPr>
          <w:rStyle w:val="af7"/>
          <w:rFonts w:eastAsia="Guttman Hodes" w:hint="cs"/>
        </w:rPr>
        <w:instrText>REF</w:instrText>
      </w:r>
      <w:r w:rsidRPr="006613FD">
        <w:rPr>
          <w:rStyle w:val="af7"/>
          <w:rFonts w:eastAsia="Guttman Hodes" w:hint="cs"/>
          <w:rtl/>
        </w:rPr>
        <w:instrText xml:space="preserve"> _</w:instrText>
      </w:r>
      <w:r w:rsidRPr="006613FD">
        <w:rPr>
          <w:rStyle w:val="af7"/>
          <w:rFonts w:eastAsia="Guttman Hodes" w:hint="cs"/>
        </w:rPr>
        <w:instrText>Ref64474971 \r \h</w:instrText>
      </w:r>
      <w:r w:rsidRPr="006613FD">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6613FD">
        <w:rPr>
          <w:rStyle w:val="af7"/>
          <w:rFonts w:eastAsia="Guttman Hodes"/>
          <w:rtl/>
        </w:rPr>
      </w:r>
      <w:r w:rsidRPr="006613FD">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sidRPr="006613FD">
        <w:rPr>
          <w:rStyle w:val="af7"/>
          <w:rFonts w:eastAsia="Guttman Hodes"/>
          <w:rtl/>
        </w:rPr>
        <w:fldChar w:fldCharType="end"/>
      </w:r>
      <w:r w:rsidRPr="006613FD">
        <w:rPr>
          <w:rStyle w:val="af7"/>
          <w:rFonts w:eastAsia="Guttman Hodes" w:hint="cs"/>
          <w:rtl/>
        </w:rPr>
        <w:t xml:space="preserve"> </w:t>
      </w:r>
      <w:r>
        <w:rPr>
          <w:rFonts w:hint="cs"/>
          <w:rtl/>
        </w:rPr>
        <w:t>דדוקא במקום שהוא טוען שהחזיק ג"ש דלטענתו יש לו חזקת ג"ש, דאעפ"י שאין לו עדים על חזקתו והקרקע יוצאת מתח"י, מ"מ כיון שאם הוא נאמן שאכל פירות ג"ש, ממילא יש לו חזקה וא"א להוציא את הקרקע מתח"י, אבל בטוען שאכל רק ב' שנים, אף שיש לו מיגו על הפירות, מ"מ כיון שהקרקע יוצאת מתח"י אינו נאמן.</w:t>
      </w:r>
      <w:bookmarkEnd w:id="16086"/>
    </w:p>
    <w:p w:rsidR="00103C1B" w:rsidRPr="00D560E3" w:rsidRDefault="00103C1B" w:rsidP="00103C1B">
      <w:pPr>
        <w:pStyle w:val="a3"/>
        <w:rPr>
          <w:rtl/>
        </w:rPr>
      </w:pPr>
    </w:p>
    <w:p w:rsidR="00103C1B" w:rsidRPr="00D570A1" w:rsidRDefault="00103C1B" w:rsidP="00103C1B">
      <w:pPr>
        <w:pStyle w:val="a3"/>
      </w:pPr>
      <w:bookmarkStart w:id="16087" w:name="_Toc64642976"/>
      <w:r>
        <w:rPr>
          <w:rFonts w:hint="cs"/>
          <w:rtl/>
        </w:rPr>
        <w:t>קושית הגרב"ב על הרשב"ם דהיאך נאמן במיגו על פירות כשהודה ואמאי אינו כמיגו במק"ע</w:t>
      </w:r>
      <w:bookmarkEnd w:id="16087"/>
    </w:p>
    <w:p w:rsidR="00103C1B" w:rsidRDefault="00103C1B" w:rsidP="007E4E81">
      <w:pPr>
        <w:pStyle w:val="a0"/>
        <w:rPr>
          <w:rtl/>
        </w:rPr>
      </w:pPr>
      <w:bookmarkStart w:id="16088" w:name="_Ref64540586"/>
      <w:r>
        <w:rPr>
          <w:rFonts w:hint="cs"/>
          <w:rtl/>
        </w:rPr>
        <w:t xml:space="preserve">אך הביא </w:t>
      </w:r>
      <w:r w:rsidRPr="00547063">
        <w:rPr>
          <w:rStyle w:val="af9"/>
          <w:rFonts w:hint="cs"/>
          <w:rtl/>
        </w:rPr>
        <w:t>בחו"ש הגרב"ב</w:t>
      </w:r>
      <w:r>
        <w:rPr>
          <w:rFonts w:hint="cs"/>
          <w:rtl/>
        </w:rPr>
        <w:t xml:space="preserve"> </w:t>
      </w:r>
      <w:r w:rsidRPr="003836F2">
        <w:rPr>
          <w:rFonts w:hint="cs"/>
          <w:rtl/>
        </w:rPr>
        <w:t>את דברי</w:t>
      </w:r>
      <w:r>
        <w:rPr>
          <w:rStyle w:val="af9"/>
          <w:rFonts w:hint="cs"/>
          <w:rtl/>
        </w:rPr>
        <w:t xml:space="preserve"> </w:t>
      </w:r>
      <w:r w:rsidRPr="003836F2">
        <w:rPr>
          <w:rStyle w:val="af9"/>
          <w:rFonts w:hint="cs"/>
          <w:rtl/>
        </w:rPr>
        <w:t>ה</w:t>
      </w:r>
      <w:r w:rsidRPr="00547063">
        <w:rPr>
          <w:rStyle w:val="af9"/>
          <w:rFonts w:hint="cs"/>
          <w:rtl/>
        </w:rPr>
        <w:t>רשב"ם</w:t>
      </w:r>
      <w:r w:rsidRPr="00BB2544">
        <w:rPr>
          <w:rStyle w:val="af7"/>
          <w:rFonts w:eastAsia="Guttman Hodes" w:hint="cs"/>
          <w:rtl/>
        </w:rPr>
        <w:t xml:space="preserve"> (עי' אות </w:t>
      </w:r>
      <w:r w:rsidRPr="00BB2544">
        <w:rPr>
          <w:rStyle w:val="af7"/>
          <w:rFonts w:eastAsia="Guttman Hodes"/>
          <w:rtl/>
        </w:rPr>
        <w:fldChar w:fldCharType="begin"/>
      </w:r>
      <w:r w:rsidRPr="00BB2544">
        <w:rPr>
          <w:rStyle w:val="af7"/>
          <w:rFonts w:eastAsia="Guttman Hodes"/>
          <w:rtl/>
        </w:rPr>
        <w:instrText xml:space="preserve"> </w:instrText>
      </w:r>
      <w:r w:rsidRPr="00BB2544">
        <w:rPr>
          <w:rStyle w:val="af7"/>
          <w:rFonts w:eastAsia="Guttman Hodes" w:hint="cs"/>
        </w:rPr>
        <w:instrText>REF</w:instrText>
      </w:r>
      <w:r w:rsidRPr="00BB2544">
        <w:rPr>
          <w:rStyle w:val="af7"/>
          <w:rFonts w:eastAsia="Guttman Hodes" w:hint="cs"/>
          <w:rtl/>
        </w:rPr>
        <w:instrText xml:space="preserve"> _</w:instrText>
      </w:r>
      <w:r w:rsidRPr="00BB2544">
        <w:rPr>
          <w:rStyle w:val="af7"/>
          <w:rFonts w:eastAsia="Guttman Hodes" w:hint="cs"/>
        </w:rPr>
        <w:instrText>Ref64539680 \r \h</w:instrText>
      </w:r>
      <w:r w:rsidRPr="00BB254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B2544">
        <w:rPr>
          <w:rStyle w:val="af7"/>
          <w:rFonts w:eastAsia="Guttman Hodes"/>
          <w:rtl/>
        </w:rPr>
      </w:r>
      <w:r w:rsidRPr="00BB2544">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BB2544">
        <w:rPr>
          <w:rStyle w:val="af7"/>
          <w:rFonts w:eastAsia="Guttman Hodes"/>
          <w:rtl/>
        </w:rPr>
        <w:fldChar w:fldCharType="end"/>
      </w:r>
      <w:r>
        <w:rPr>
          <w:rFonts w:hint="cs"/>
          <w:rtl/>
        </w:rPr>
        <w:t xml:space="preserve"> דס"ל דרק כשיש ע"א שאכל את הפירות הוא חייב לשלם מדין מתוך שאינו יכול להשבע משלם, אבל כשאין ע"א שאכל ורק הוא מודה על אכילת הפירות של ב' שנים, הוא נאמן במיגו על הפירות, אעפ"י שהקרקע יוצאת מתח"י, והקשה </w:t>
      </w:r>
      <w:r w:rsidRPr="00547063">
        <w:rPr>
          <w:rStyle w:val="af9"/>
          <w:rFonts w:hint="cs"/>
          <w:rtl/>
        </w:rPr>
        <w:t>בחו"ש הגרב"ב</w:t>
      </w:r>
      <w:r>
        <w:rPr>
          <w:rFonts w:hint="cs"/>
          <w:rtl/>
        </w:rPr>
        <w:t xml:space="preserve"> דכיון שהקרקע יוצאת מתח"י והיא בחזקת המרא קמא, א"כ חשיב המיגו כמיגו במקום עדים.</w:t>
      </w:r>
      <w:bookmarkEnd w:id="16088"/>
    </w:p>
    <w:p w:rsidR="00103C1B" w:rsidRDefault="00103C1B" w:rsidP="00103C1B">
      <w:pPr>
        <w:pStyle w:val="a3"/>
        <w:rPr>
          <w:rtl/>
        </w:rPr>
      </w:pPr>
      <w:bookmarkStart w:id="16089" w:name="_Toc64642977"/>
      <w:r>
        <w:rPr>
          <w:rFonts w:hint="cs"/>
          <w:rtl/>
        </w:rPr>
        <w:t>ביאור הגרב"ב ברשב"ם דאף על הקרקע המיגו אינו נגד המר"ק ולכן אף בפירות אינו במק"ע</w:t>
      </w:r>
      <w:bookmarkEnd w:id="16089"/>
    </w:p>
    <w:p w:rsidR="00103C1B" w:rsidRDefault="00103C1B" w:rsidP="007E4E81">
      <w:pPr>
        <w:pStyle w:val="a0"/>
        <w:rPr>
          <w:rtl/>
        </w:rPr>
      </w:pPr>
      <w:r>
        <w:rPr>
          <w:rFonts w:hint="cs"/>
          <w:rtl/>
        </w:rPr>
        <w:t xml:space="preserve">ותירץ </w:t>
      </w:r>
      <w:r w:rsidRPr="00547063">
        <w:rPr>
          <w:rStyle w:val="af9"/>
          <w:rFonts w:hint="cs"/>
          <w:rtl/>
        </w:rPr>
        <w:t>בחו"ש הגרב"ב</w:t>
      </w:r>
      <w:r>
        <w:rPr>
          <w:rFonts w:hint="cs"/>
          <w:rtl/>
        </w:rPr>
        <w:t xml:space="preserve"> דס"ל </w:t>
      </w:r>
      <w:r w:rsidRPr="00547063">
        <w:rPr>
          <w:rStyle w:val="af9"/>
          <w:rFonts w:hint="cs"/>
          <w:rtl/>
        </w:rPr>
        <w:t>להרשב"ם</w:t>
      </w:r>
      <w:r>
        <w:rPr>
          <w:rFonts w:hint="cs"/>
          <w:rtl/>
        </w:rPr>
        <w:t xml:space="preserve"> דלענין הפירות לא חשיב המיגו כמיגו במקום עדים, כיון דאף על הקרקע לענין הפירות אין המיגו כנגד המרא קמא, </w:t>
      </w:r>
      <w:r w:rsidRPr="003836F2">
        <w:rPr>
          <w:rStyle w:val="afb"/>
          <w:rFonts w:hint="cs"/>
          <w:rtl/>
        </w:rPr>
        <w:t>[דאי היה טוען שהקרקע של המרא קמא ורק הפירות שלו אינו סותר לחזקת המרא קמא],</w:t>
      </w:r>
      <w:r>
        <w:rPr>
          <w:rFonts w:hint="cs"/>
          <w:rtl/>
        </w:rPr>
        <w:t xml:space="preserve"> ולכן הוצרך </w:t>
      </w:r>
      <w:r w:rsidRPr="00547063">
        <w:rPr>
          <w:rStyle w:val="af9"/>
          <w:rFonts w:hint="cs"/>
          <w:rtl/>
        </w:rPr>
        <w:t>הרשב"ם</w:t>
      </w:r>
      <w:r>
        <w:rPr>
          <w:rFonts w:hint="cs"/>
          <w:rtl/>
        </w:rPr>
        <w:t xml:space="preserve"> לומר דדוקא במקום שיש ע"א הוא צריך להחזיר את הפירות, מדין מתוך שאינו יכול להשבע משלם.</w:t>
      </w:r>
    </w:p>
    <w:p w:rsidR="00103C1B" w:rsidRPr="008109B7" w:rsidRDefault="00103C1B" w:rsidP="00103C1B">
      <w:pPr>
        <w:pStyle w:val="afe"/>
        <w:rPr>
          <w:rtl/>
        </w:rPr>
      </w:pPr>
      <w:bookmarkStart w:id="16090" w:name="_Toc64642980"/>
      <w:bookmarkStart w:id="16091" w:name="_Toc64576231"/>
      <w:bookmarkStart w:id="16092" w:name="_Toc64588873"/>
      <w:bookmarkStart w:id="16093" w:name="_Toc64629501"/>
      <w:bookmarkStart w:id="16094" w:name="_Toc64642978"/>
      <w:r>
        <w:rPr>
          <w:rFonts w:hint="cs"/>
          <w:rtl/>
        </w:rPr>
        <w:t>בדין אין ספק מוציא מודאי במיגו בפירות</w:t>
      </w:r>
      <w:bookmarkEnd w:id="16090"/>
    </w:p>
    <w:p w:rsidR="00103C1B" w:rsidRDefault="00103C1B" w:rsidP="00103C1B">
      <w:pPr>
        <w:pStyle w:val="1"/>
        <w:rPr>
          <w:rtl/>
        </w:rPr>
      </w:pPr>
      <w:r>
        <w:rPr>
          <w:rFonts w:hint="cs"/>
          <w:rtl/>
        </w:rPr>
        <w:t>ביאור הגרב"ב</w:t>
      </w:r>
      <w:bookmarkEnd w:id="16082"/>
      <w:r>
        <w:rPr>
          <w:rFonts w:hint="cs"/>
          <w:rtl/>
        </w:rPr>
        <w:t xml:space="preserve"> בתוס' דכשאינו זוכה בטענה ל"מ טענה לפירות</w:t>
      </w:r>
      <w:bookmarkEnd w:id="16091"/>
      <w:bookmarkEnd w:id="16092"/>
      <w:bookmarkEnd w:id="16093"/>
      <w:bookmarkEnd w:id="16094"/>
    </w:p>
    <w:p w:rsidR="00103C1B" w:rsidRDefault="00103C1B" w:rsidP="00103C1B">
      <w:pPr>
        <w:pStyle w:val="a3"/>
        <w:rPr>
          <w:rtl/>
        </w:rPr>
      </w:pPr>
      <w:bookmarkStart w:id="16095" w:name="_Toc64642979"/>
      <w:r>
        <w:rPr>
          <w:rFonts w:hint="cs"/>
          <w:rtl/>
        </w:rPr>
        <w:t>ביאור הגרב"ב בתוס' דכל שאינו זוכה בטענה על הקרקע ממילא לא מהני טענתו על הפירות</w:t>
      </w:r>
      <w:bookmarkEnd w:id="16095"/>
    </w:p>
    <w:p w:rsidR="00103C1B" w:rsidRDefault="00103C1B" w:rsidP="007E4E81">
      <w:pPr>
        <w:pStyle w:val="a0"/>
        <w:rPr>
          <w:rtl/>
        </w:rPr>
      </w:pPr>
      <w:bookmarkStart w:id="16096" w:name="_Ref64540081"/>
      <w:r>
        <w:rPr>
          <w:rFonts w:hint="cs"/>
          <w:rtl/>
        </w:rPr>
        <w:t xml:space="preserve">כתב </w:t>
      </w:r>
      <w:r w:rsidRPr="001F466E">
        <w:rPr>
          <w:rStyle w:val="af9"/>
          <w:rFonts w:hint="cs"/>
          <w:rtl/>
        </w:rPr>
        <w:t>בחו"ש הגרב"ב</w:t>
      </w:r>
      <w:r>
        <w:rPr>
          <w:rFonts w:hint="cs"/>
          <w:rtl/>
        </w:rPr>
        <w:t xml:space="preserve"> </w:t>
      </w:r>
      <w:r w:rsidRPr="001F72F1">
        <w:rPr>
          <w:rStyle w:val="af7"/>
          <w:rFonts w:eastAsia="Guttman Hodes" w:hint="cs"/>
          <w:rtl/>
        </w:rPr>
        <w:t>(ח"א ב"ב סי' א' ד"ה והק' האור שמח)</w:t>
      </w:r>
      <w:r>
        <w:rPr>
          <w:rFonts w:hint="cs"/>
          <w:rtl/>
        </w:rPr>
        <w:t xml:space="preserve"> דמדברי </w:t>
      </w:r>
      <w:r w:rsidRPr="001F466E">
        <w:rPr>
          <w:rStyle w:val="af9"/>
          <w:rFonts w:hint="cs"/>
          <w:rtl/>
        </w:rPr>
        <w:t>התוס'</w:t>
      </w:r>
      <w:r>
        <w:rPr>
          <w:rFonts w:hint="cs"/>
          <w:rtl/>
        </w:rPr>
        <w:t xml:space="preserve"> </w:t>
      </w:r>
      <w:r w:rsidRPr="001F72F1">
        <w:rPr>
          <w:rStyle w:val="af7"/>
          <w:rFonts w:eastAsia="Guttman Hodes" w:hint="cs"/>
          <w:rtl/>
        </w:rPr>
        <w:t>(עי'</w:t>
      </w:r>
      <w:r>
        <w:rPr>
          <w:rFonts w:hint="cs"/>
          <w:rtl/>
        </w:rPr>
        <w:t xml:space="preserve"> </w:t>
      </w:r>
      <w:r w:rsidRPr="001F72F1">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Ref64476599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w:t>
      </w:r>
      <w:r>
        <w:rPr>
          <w:rStyle w:val="af7"/>
          <w:rFonts w:eastAsia="Guttman Hodes"/>
          <w:rtl/>
        </w:rPr>
        <w:fldChar w:fldCharType="end"/>
      </w:r>
      <w:r>
        <w:rPr>
          <w:rStyle w:val="af7"/>
          <w:rFonts w:eastAsia="Guttman Hodes" w:hint="cs"/>
          <w:rtl/>
        </w:rPr>
        <w:t xml:space="preserve"> </w:t>
      </w:r>
      <w:r>
        <w:rPr>
          <w:rFonts w:hint="cs"/>
          <w:rtl/>
        </w:rPr>
        <w:t>דבטוען שקנה את הקרקע מהמרא קמא, ואכל פירות ב' שנים, ואין עדים שאכל את הפירות, דלדעת אביי ורבא הוא צריך להחזיר את הפירות, ואינו נאמן עליהם במיגו דלא היה מודה שאכל, כיון שהקרקע יוצאת מתח"י, ומבואר דכל שאינו זוכה בטענתו על הקרקע דאינו נאמן לומר מינך זבינתה, ממילא לא מהני לו הטענה אף על הפירות.</w:t>
      </w:r>
      <w:bookmarkEnd w:id="16096"/>
    </w:p>
    <w:p w:rsidR="00103C1B" w:rsidRPr="00697BE2" w:rsidRDefault="00103C1B" w:rsidP="00103C1B">
      <w:pPr>
        <w:pStyle w:val="1"/>
        <w:rPr>
          <w:rtl/>
        </w:rPr>
      </w:pPr>
      <w:bookmarkStart w:id="16097" w:name="_Toc64576232"/>
      <w:bookmarkStart w:id="16098" w:name="_Toc64588874"/>
      <w:bookmarkStart w:id="16099" w:name="_Toc64629502"/>
      <w:bookmarkStart w:id="16100" w:name="_Toc64642981"/>
      <w:r>
        <w:rPr>
          <w:rFonts w:hint="cs"/>
          <w:rtl/>
        </w:rPr>
        <w:t>בי' הגרב"ב ברשב"ם ובריב"ש</w:t>
      </w:r>
      <w:bookmarkEnd w:id="16097"/>
      <w:bookmarkEnd w:id="16098"/>
      <w:bookmarkEnd w:id="16099"/>
      <w:r>
        <w:rPr>
          <w:rFonts w:hint="cs"/>
          <w:rtl/>
        </w:rPr>
        <w:t xml:space="preserve"> בדין אין ספק מוציא מודאי</w:t>
      </w:r>
      <w:bookmarkEnd w:id="16100"/>
    </w:p>
    <w:p w:rsidR="00103C1B" w:rsidRPr="003836F2" w:rsidRDefault="00103C1B" w:rsidP="00103C1B">
      <w:pPr>
        <w:pStyle w:val="a3"/>
      </w:pPr>
      <w:bookmarkStart w:id="16101" w:name="_Toc64642982"/>
      <w:r>
        <w:rPr>
          <w:rFonts w:hint="cs"/>
          <w:rtl/>
        </w:rPr>
        <w:t>ביאור הגרב"ב ברשב"ם ובריב"ש דנאמן במיגו בפירות אבל בסוגיין אין ספק מוציא מידי ודאי</w:t>
      </w:r>
      <w:bookmarkEnd w:id="16101"/>
    </w:p>
    <w:p w:rsidR="00103C1B" w:rsidRDefault="00103C1B" w:rsidP="007E4E81">
      <w:pPr>
        <w:pStyle w:val="a0"/>
        <w:rPr>
          <w:rtl/>
        </w:rPr>
      </w:pPr>
      <w:bookmarkStart w:id="16102" w:name="_Ref64540372"/>
      <w:r>
        <w:rPr>
          <w:rFonts w:hint="cs"/>
          <w:rtl/>
        </w:rPr>
        <w:t xml:space="preserve">וכתב </w:t>
      </w:r>
      <w:r w:rsidRPr="001F466E">
        <w:rPr>
          <w:rStyle w:val="af9"/>
          <w:rFonts w:hint="cs"/>
          <w:rtl/>
        </w:rPr>
        <w:t xml:space="preserve">בחו"ש הגרב"ב </w:t>
      </w:r>
      <w:r>
        <w:rPr>
          <w:rFonts w:hint="cs"/>
          <w:rtl/>
        </w:rPr>
        <w:t xml:space="preserve">דמדברי </w:t>
      </w:r>
      <w:r w:rsidRPr="001F466E">
        <w:rPr>
          <w:rStyle w:val="af9"/>
          <w:rFonts w:hint="cs"/>
          <w:rtl/>
        </w:rPr>
        <w:t>הרשב"ם</w:t>
      </w:r>
      <w:r>
        <w:rPr>
          <w:rFonts w:hint="cs"/>
          <w:rtl/>
        </w:rPr>
        <w:t xml:space="preserve"> </w:t>
      </w:r>
      <w:r w:rsidRPr="001F72F1">
        <w:rPr>
          <w:rStyle w:val="af7"/>
          <w:rFonts w:eastAsia="Guttman Hodes" w:hint="cs"/>
          <w:rtl/>
        </w:rPr>
        <w:t xml:space="preserve">(עי' אות </w:t>
      </w:r>
      <w:r w:rsidRPr="001F72F1">
        <w:rPr>
          <w:rStyle w:val="af7"/>
          <w:rFonts w:eastAsia="Guttman Hodes"/>
          <w:rtl/>
        </w:rPr>
        <w:fldChar w:fldCharType="begin"/>
      </w:r>
      <w:r w:rsidRPr="001F72F1">
        <w:rPr>
          <w:rStyle w:val="af7"/>
          <w:rFonts w:eastAsia="Guttman Hodes"/>
          <w:rtl/>
        </w:rPr>
        <w:instrText xml:space="preserve"> </w:instrText>
      </w:r>
      <w:r w:rsidRPr="001F72F1">
        <w:rPr>
          <w:rStyle w:val="af7"/>
          <w:rFonts w:eastAsia="Guttman Hodes" w:hint="cs"/>
        </w:rPr>
        <w:instrText>REF</w:instrText>
      </w:r>
      <w:r w:rsidRPr="001F72F1">
        <w:rPr>
          <w:rStyle w:val="af7"/>
          <w:rFonts w:eastAsia="Guttman Hodes" w:hint="cs"/>
          <w:rtl/>
        </w:rPr>
        <w:instrText xml:space="preserve"> _</w:instrText>
      </w:r>
      <w:r w:rsidRPr="001F72F1">
        <w:rPr>
          <w:rStyle w:val="af7"/>
          <w:rFonts w:eastAsia="Guttman Hodes" w:hint="cs"/>
        </w:rPr>
        <w:instrText>Ref64539538 \r \h</w:instrText>
      </w:r>
      <w:r w:rsidRPr="001F72F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F72F1">
        <w:rPr>
          <w:rStyle w:val="af7"/>
          <w:rFonts w:eastAsia="Guttman Hodes"/>
          <w:rtl/>
        </w:rPr>
      </w:r>
      <w:r w:rsidRPr="001F72F1">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1F72F1">
        <w:rPr>
          <w:rStyle w:val="af7"/>
          <w:rFonts w:eastAsia="Guttman Hodes"/>
          <w:rtl/>
        </w:rPr>
        <w:fldChar w:fldCharType="end"/>
      </w:r>
      <w:r>
        <w:rPr>
          <w:rFonts w:hint="cs"/>
          <w:rtl/>
        </w:rPr>
        <w:t xml:space="preserve"> מבואר דפליג על </w:t>
      </w:r>
      <w:r w:rsidRPr="001F466E">
        <w:rPr>
          <w:rStyle w:val="af9"/>
          <w:rFonts w:hint="cs"/>
          <w:rtl/>
        </w:rPr>
        <w:t>התוס'</w:t>
      </w:r>
      <w:r>
        <w:rPr>
          <w:rStyle w:val="af9"/>
          <w:rFonts w:hint="cs"/>
          <w:rtl/>
        </w:rPr>
        <w:t xml:space="preserve"> </w:t>
      </w:r>
      <w:r>
        <w:rPr>
          <w:rFonts w:hint="cs"/>
          <w:rtl/>
        </w:rPr>
        <w:t>וס"ל דלענין הפירות הוא נאמן במיגו,</w:t>
      </w:r>
      <w:r w:rsidRPr="00690542">
        <w:rPr>
          <w:rFonts w:hint="cs"/>
          <w:rtl/>
        </w:rPr>
        <w:t xml:space="preserve"> </w:t>
      </w:r>
      <w:r>
        <w:rPr>
          <w:rFonts w:hint="cs"/>
          <w:rtl/>
        </w:rPr>
        <w:t xml:space="preserve">וכתב </w:t>
      </w:r>
      <w:r w:rsidRPr="001F466E">
        <w:rPr>
          <w:rStyle w:val="af9"/>
          <w:rFonts w:hint="cs"/>
          <w:rtl/>
        </w:rPr>
        <w:t>בחו"ש הגרב"ב דהריב"ש</w:t>
      </w:r>
      <w:r w:rsidRPr="001F72F1">
        <w:rPr>
          <w:rStyle w:val="af7"/>
          <w:rFonts w:eastAsia="Guttman Hodes" w:hint="cs"/>
          <w:rtl/>
        </w:rPr>
        <w:t xml:space="preserve"> (עי' אות </w:t>
      </w:r>
      <w:r w:rsidRPr="001F72F1">
        <w:rPr>
          <w:rStyle w:val="af7"/>
          <w:rFonts w:eastAsia="Guttman Hodes"/>
          <w:rtl/>
        </w:rPr>
        <w:fldChar w:fldCharType="begin"/>
      </w:r>
      <w:r w:rsidRPr="001F72F1">
        <w:rPr>
          <w:rStyle w:val="af7"/>
          <w:rFonts w:eastAsia="Guttman Hodes"/>
          <w:rtl/>
        </w:rPr>
        <w:instrText xml:space="preserve"> </w:instrText>
      </w:r>
      <w:r w:rsidRPr="001F72F1">
        <w:rPr>
          <w:rStyle w:val="af7"/>
          <w:rFonts w:eastAsia="Guttman Hodes" w:hint="cs"/>
        </w:rPr>
        <w:instrText>REF</w:instrText>
      </w:r>
      <w:r w:rsidRPr="001F72F1">
        <w:rPr>
          <w:rStyle w:val="af7"/>
          <w:rFonts w:eastAsia="Guttman Hodes" w:hint="cs"/>
          <w:rtl/>
        </w:rPr>
        <w:instrText xml:space="preserve"> _</w:instrText>
      </w:r>
      <w:r w:rsidRPr="001F72F1">
        <w:rPr>
          <w:rStyle w:val="af7"/>
          <w:rFonts w:eastAsia="Guttman Hodes" w:hint="cs"/>
        </w:rPr>
        <w:instrText>Ref64539551 \r \h</w:instrText>
      </w:r>
      <w:r w:rsidRPr="001F72F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F72F1">
        <w:rPr>
          <w:rStyle w:val="af7"/>
          <w:rFonts w:eastAsia="Guttman Hodes"/>
          <w:rtl/>
        </w:rPr>
      </w:r>
      <w:r w:rsidRPr="001F72F1">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1F72F1">
        <w:rPr>
          <w:rStyle w:val="af7"/>
          <w:rFonts w:eastAsia="Guttman Hodes"/>
          <w:rtl/>
        </w:rPr>
        <w:fldChar w:fldCharType="end"/>
      </w:r>
      <w:r>
        <w:rPr>
          <w:rFonts w:hint="cs"/>
          <w:rtl/>
        </w:rPr>
        <w:t xml:space="preserve"> ס"ל כדעת </w:t>
      </w:r>
      <w:r w:rsidRPr="001F466E">
        <w:rPr>
          <w:rStyle w:val="af9"/>
          <w:rFonts w:hint="cs"/>
          <w:rtl/>
        </w:rPr>
        <w:t>הרשב"ם</w:t>
      </w:r>
      <w:r>
        <w:rPr>
          <w:rFonts w:hint="cs"/>
          <w:rtl/>
        </w:rPr>
        <w:t xml:space="preserve"> דבטוען מינך זבינתה ואכלתיה ב' שנים הוא נאמן על הפירות במיגו, וכתב </w:t>
      </w:r>
      <w:r w:rsidRPr="001F466E">
        <w:rPr>
          <w:rStyle w:val="af9"/>
          <w:rFonts w:hint="cs"/>
          <w:rtl/>
        </w:rPr>
        <w:t xml:space="preserve">בחו"ש הגרב"ב </w:t>
      </w:r>
      <w:r>
        <w:rPr>
          <w:rFonts w:hint="cs"/>
          <w:rtl/>
        </w:rPr>
        <w:t xml:space="preserve">דביאר </w:t>
      </w:r>
      <w:r w:rsidRPr="001F466E">
        <w:rPr>
          <w:rStyle w:val="af9"/>
          <w:rFonts w:hint="cs"/>
          <w:rtl/>
        </w:rPr>
        <w:t>הריב"ש</w:t>
      </w:r>
      <w:r>
        <w:rPr>
          <w:rFonts w:hint="cs"/>
          <w:rtl/>
        </w:rPr>
        <w:t xml:space="preserve"> דהא דבסוגיין הוא צריך להחזיר את הפירות, אעפ"י שיש לו מיגו, כיון דרב אידי הוא ודאי יורש, וס"ל לאביי ורבא דלא אמרינן מיגו שהספק יוציא מודאי, אבל במקום שאין המיגו נגד עדים, וכן אין המיגו מוציא מודאי לספק, הוא נאמן במיגו לגבי הפירות, אעפ"י שאינו נאמן על הקרקע עצמה שאין לו מיגו.</w:t>
      </w:r>
      <w:bookmarkEnd w:id="16102"/>
    </w:p>
    <w:p w:rsidR="00103C1B" w:rsidRDefault="00103C1B" w:rsidP="00103C1B">
      <w:pPr>
        <w:pStyle w:val="a3"/>
        <w:rPr>
          <w:rtl/>
        </w:rPr>
      </w:pPr>
      <w:bookmarkStart w:id="16103" w:name="_Toc64642983"/>
      <w:r>
        <w:rPr>
          <w:rFonts w:hint="cs"/>
          <w:rtl/>
        </w:rPr>
        <w:t>בי' הגר"ח דודאי נחשב כבירור גמור ובי' הגרב"ב דלכן ר"א חשיב כיורש ויש בירור שהוא מוחזק</w:t>
      </w:r>
      <w:bookmarkEnd w:id="16103"/>
    </w:p>
    <w:p w:rsidR="00103C1B" w:rsidRDefault="00103C1B" w:rsidP="007E4E81">
      <w:pPr>
        <w:pStyle w:val="a0"/>
        <w:rPr>
          <w:rtl/>
        </w:rPr>
      </w:pPr>
      <w:bookmarkStart w:id="16104" w:name="_Ref64539766"/>
      <w:r>
        <w:rPr>
          <w:rFonts w:hint="cs"/>
          <w:rtl/>
        </w:rPr>
        <w:t xml:space="preserve">וכתב </w:t>
      </w:r>
      <w:r w:rsidRPr="001F466E">
        <w:rPr>
          <w:rStyle w:val="af9"/>
          <w:rFonts w:hint="cs"/>
          <w:rtl/>
        </w:rPr>
        <w:t>הברכ"ש בב"מ</w:t>
      </w:r>
      <w:r>
        <w:rPr>
          <w:rFonts w:hint="cs"/>
          <w:rtl/>
        </w:rPr>
        <w:t xml:space="preserve"> </w:t>
      </w:r>
      <w:r w:rsidRPr="001F72F1">
        <w:rPr>
          <w:rStyle w:val="af7"/>
          <w:rFonts w:eastAsia="Guttman Hodes" w:hint="cs"/>
          <w:rtl/>
        </w:rPr>
        <w:t>(ריש סי' ב')</w:t>
      </w:r>
      <w:r w:rsidRPr="00313DF6">
        <w:rPr>
          <w:rFonts w:hint="cs"/>
          <w:rtl/>
        </w:rPr>
        <w:t xml:space="preserve"> </w:t>
      </w:r>
      <w:r w:rsidRPr="001F466E">
        <w:rPr>
          <w:rStyle w:val="af9"/>
          <w:rFonts w:hint="cs"/>
          <w:rtl/>
        </w:rPr>
        <w:t>ובחו"ש הגרב"ב</w:t>
      </w:r>
      <w:r>
        <w:rPr>
          <w:rFonts w:hint="cs"/>
          <w:rtl/>
        </w:rPr>
        <w:t xml:space="preserve"> </w:t>
      </w:r>
      <w:r w:rsidRPr="001F72F1">
        <w:rPr>
          <w:rStyle w:val="af7"/>
          <w:rFonts w:eastAsia="Guttman Hodes" w:hint="cs"/>
          <w:rtl/>
        </w:rPr>
        <w:t>(ח"א ב"ב</w:t>
      </w:r>
      <w:r>
        <w:rPr>
          <w:rFonts w:hint="cs"/>
          <w:rtl/>
        </w:rPr>
        <w:t xml:space="preserve"> </w:t>
      </w:r>
      <w:r w:rsidRPr="001F72F1">
        <w:rPr>
          <w:rStyle w:val="af7"/>
          <w:rFonts w:eastAsia="Guttman Hodes" w:hint="cs"/>
          <w:rtl/>
        </w:rPr>
        <w:t>סי' א' ד"ה ונראה לומר)</w:t>
      </w:r>
      <w:r>
        <w:rPr>
          <w:rFonts w:hint="cs"/>
          <w:rtl/>
        </w:rPr>
        <w:t xml:space="preserve"> בשם </w:t>
      </w:r>
      <w:r w:rsidRPr="001F466E">
        <w:rPr>
          <w:rStyle w:val="af9"/>
          <w:rFonts w:hint="cs"/>
          <w:rtl/>
        </w:rPr>
        <w:t>הגר"ח</w:t>
      </w:r>
      <w:r>
        <w:rPr>
          <w:rFonts w:hint="cs"/>
          <w:rtl/>
        </w:rPr>
        <w:t xml:space="preserve"> דביאר דדין אין ספק מוציא מידי ודאי, היינו דהודאי נחשב לודאי גמור, ואינו רק מדין דמעמידים את הממון בחזקתו, כמו כל דין מוחזק דאמרינן דהמוציא מחבירו עליו הראיה, וכתב </w:t>
      </w:r>
      <w:r w:rsidRPr="001F466E">
        <w:rPr>
          <w:rStyle w:val="af9"/>
          <w:rFonts w:hint="cs"/>
          <w:rtl/>
        </w:rPr>
        <w:t>בחו"ש הגרב"ב</w:t>
      </w:r>
      <w:r>
        <w:rPr>
          <w:rFonts w:hint="cs"/>
          <w:rtl/>
        </w:rPr>
        <w:t xml:space="preserve"> דלכן כיון דרב אידי הוא ודאי יורש, ואילו ההוא גברא הוא ספק יורש, א"כ חשיב שיש בירור ודאי שהממון הוא בחזקתו.</w:t>
      </w:r>
      <w:bookmarkEnd w:id="16104"/>
    </w:p>
    <w:p w:rsidR="00103C1B" w:rsidRPr="00D560E3" w:rsidRDefault="00103C1B" w:rsidP="00103C1B">
      <w:pPr>
        <w:pStyle w:val="a3"/>
        <w:rPr>
          <w:rtl/>
        </w:rPr>
      </w:pPr>
    </w:p>
    <w:p w:rsidR="00103C1B" w:rsidRDefault="00103C1B" w:rsidP="00103C1B">
      <w:pPr>
        <w:pStyle w:val="a3"/>
        <w:rPr>
          <w:rtl/>
        </w:rPr>
      </w:pPr>
      <w:bookmarkStart w:id="16105" w:name="_Toc64642984"/>
      <w:r>
        <w:rPr>
          <w:rFonts w:hint="cs"/>
          <w:rtl/>
        </w:rPr>
        <w:lastRenderedPageBreak/>
        <w:t>ביאור הגרב"ב בריב"ש דטענת מינך זבינתה היא טענה אף בלא ראיה ולכן נאמן במיגו בפירות</w:t>
      </w:r>
      <w:bookmarkEnd w:id="16105"/>
    </w:p>
    <w:p w:rsidR="00103C1B" w:rsidRDefault="00103C1B" w:rsidP="007E4E81">
      <w:pPr>
        <w:pStyle w:val="a0"/>
        <w:rPr>
          <w:rtl/>
        </w:rPr>
      </w:pPr>
      <w:r>
        <w:rPr>
          <w:rFonts w:hint="cs"/>
          <w:rtl/>
        </w:rPr>
        <w:t xml:space="preserve">ולפי"ז ביאר </w:t>
      </w:r>
      <w:r w:rsidRPr="001F466E">
        <w:rPr>
          <w:rStyle w:val="af9"/>
          <w:rFonts w:hint="cs"/>
          <w:rtl/>
        </w:rPr>
        <w:t>בחו"ש הגרב"ב</w:t>
      </w:r>
      <w:r>
        <w:rPr>
          <w:rFonts w:hint="cs"/>
          <w:rtl/>
        </w:rPr>
        <w:t xml:space="preserve"> [</w:t>
      </w:r>
      <w:r w:rsidRPr="001F466E">
        <w:rPr>
          <w:rStyle w:val="af9"/>
          <w:rFonts w:hint="cs"/>
          <w:rtl/>
        </w:rPr>
        <w:t>ובברכ"ש בב"מ</w:t>
      </w:r>
      <w:r w:rsidRPr="00697BE2">
        <w:rPr>
          <w:rFonts w:hint="cs"/>
          <w:rtl/>
        </w:rPr>
        <w:t xml:space="preserve">] </w:t>
      </w:r>
      <w:r>
        <w:rPr>
          <w:rFonts w:hint="cs"/>
          <w:rtl/>
        </w:rPr>
        <w:t xml:space="preserve">את דברי </w:t>
      </w:r>
      <w:r w:rsidRPr="001F466E">
        <w:rPr>
          <w:rStyle w:val="af9"/>
          <w:rFonts w:hint="cs"/>
          <w:rtl/>
        </w:rPr>
        <w:t>הריב"ש</w:t>
      </w:r>
      <w:r>
        <w:rPr>
          <w:rFonts w:hint="cs"/>
          <w:rtl/>
        </w:rPr>
        <w:t xml:space="preserve"> </w:t>
      </w:r>
      <w:r w:rsidRPr="00027F16">
        <w:rPr>
          <w:rStyle w:val="af7"/>
          <w:rFonts w:eastAsia="Guttman Hodes" w:hint="cs"/>
          <w:rtl/>
        </w:rPr>
        <w:t xml:space="preserve">(עי' אות </w:t>
      </w:r>
      <w:r w:rsidRPr="00027F16">
        <w:rPr>
          <w:rStyle w:val="af7"/>
          <w:rFonts w:eastAsia="Guttman Hodes"/>
          <w:rtl/>
        </w:rPr>
        <w:fldChar w:fldCharType="begin"/>
      </w:r>
      <w:r w:rsidRPr="00027F16">
        <w:rPr>
          <w:rStyle w:val="af7"/>
          <w:rFonts w:eastAsia="Guttman Hodes"/>
          <w:rtl/>
        </w:rPr>
        <w:instrText xml:space="preserve"> </w:instrText>
      </w:r>
      <w:r w:rsidRPr="00027F16">
        <w:rPr>
          <w:rStyle w:val="af7"/>
          <w:rFonts w:eastAsia="Guttman Hodes" w:hint="cs"/>
        </w:rPr>
        <w:instrText>REF</w:instrText>
      </w:r>
      <w:r w:rsidRPr="00027F16">
        <w:rPr>
          <w:rStyle w:val="af7"/>
          <w:rFonts w:eastAsia="Guttman Hodes" w:hint="cs"/>
          <w:rtl/>
        </w:rPr>
        <w:instrText xml:space="preserve"> _</w:instrText>
      </w:r>
      <w:r w:rsidRPr="00027F16">
        <w:rPr>
          <w:rStyle w:val="af7"/>
          <w:rFonts w:eastAsia="Guttman Hodes" w:hint="cs"/>
        </w:rPr>
        <w:instrText>Ref64475002 \r \h</w:instrText>
      </w:r>
      <w:r w:rsidRPr="00027F16">
        <w:rPr>
          <w:rStyle w:val="af7"/>
          <w:rFonts w:eastAsia="Guttman Hodes"/>
          <w:rtl/>
        </w:rPr>
        <w:instrText xml:space="preserve"> </w:instrText>
      </w:r>
      <w:r w:rsidRPr="00027F16">
        <w:rPr>
          <w:rStyle w:val="af7"/>
          <w:rFonts w:eastAsia="Guttman Hodes"/>
          <w:rtl/>
        </w:rPr>
      </w:r>
      <w:r w:rsidRPr="00027F16">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027F16">
        <w:rPr>
          <w:rStyle w:val="af7"/>
          <w:rFonts w:eastAsia="Guttman Hodes"/>
          <w:rtl/>
        </w:rPr>
        <w:fldChar w:fldCharType="end"/>
      </w:r>
      <w:r w:rsidRPr="00027F16">
        <w:rPr>
          <w:rStyle w:val="af7"/>
          <w:rFonts w:eastAsia="Guttman Hodes" w:hint="cs"/>
          <w:rtl/>
        </w:rPr>
        <w:t xml:space="preserve"> </w:t>
      </w:r>
      <w:r>
        <w:rPr>
          <w:rFonts w:hint="cs"/>
          <w:rtl/>
        </w:rPr>
        <w:t>דכשטוען מינך זבינתה, אף כשאין לו ראיה על טענתו, מ"מ א"א שאין טענתו טענה כלל, דהא הוא דבר מצוי שבנ"א מוכרים את קרקעותיהם, ויתכן שבאמת הוא קנה מהמרא קמא, וא"כ טענתו היא טענה טובה ואין בה כל חסרון, אלא דאינו יכול לזכות בקרקע ע"י טענתו כיון שאין לו ראיה עליה, אבל לענין הפירות, כיון שטענתו היא טענה ויש לו ראיה של מיגו הוא נאמן.</w:t>
      </w:r>
    </w:p>
    <w:p w:rsidR="00103C1B" w:rsidRPr="0058647F" w:rsidRDefault="00103C1B" w:rsidP="00103C1B">
      <w:pPr>
        <w:pStyle w:val="a3"/>
        <w:rPr>
          <w:rtl/>
        </w:rPr>
      </w:pPr>
      <w:bookmarkStart w:id="16106" w:name="_Toc64642985"/>
      <w:r>
        <w:rPr>
          <w:rFonts w:hint="cs"/>
          <w:rtl/>
        </w:rPr>
        <w:t>ביאור הגרב"ב בריב"ש דר"א ודאי יורש אין טענת ההוא גברא טענה ול"מ מיגו על הפירות</w:t>
      </w:r>
      <w:bookmarkEnd w:id="16106"/>
    </w:p>
    <w:p w:rsidR="00103C1B" w:rsidRDefault="00103C1B" w:rsidP="007E4E81">
      <w:pPr>
        <w:pStyle w:val="a0"/>
        <w:rPr>
          <w:rtl/>
        </w:rPr>
      </w:pPr>
      <w:bookmarkStart w:id="16107" w:name="_Ref64563632"/>
      <w:r>
        <w:rPr>
          <w:rFonts w:hint="cs"/>
          <w:rtl/>
        </w:rPr>
        <w:t xml:space="preserve">אבל בסוגיין דההוא גברא אינו טוען שקנה מהמרא קמא, אלא שהוא היורש, ביאר </w:t>
      </w:r>
      <w:r w:rsidRPr="001F466E">
        <w:rPr>
          <w:rStyle w:val="af9"/>
          <w:rFonts w:hint="cs"/>
          <w:rtl/>
        </w:rPr>
        <w:t>בחו"ש הגרב"ב</w:t>
      </w:r>
      <w:r>
        <w:rPr>
          <w:rFonts w:hint="cs"/>
          <w:rtl/>
        </w:rPr>
        <w:t xml:space="preserve"> דס"ל </w:t>
      </w:r>
      <w:r w:rsidRPr="001F466E">
        <w:rPr>
          <w:rStyle w:val="af9"/>
          <w:rFonts w:hint="cs"/>
          <w:rtl/>
        </w:rPr>
        <w:t>להריב"ש</w:t>
      </w:r>
      <w:r>
        <w:rPr>
          <w:rFonts w:hint="cs"/>
          <w:rtl/>
        </w:rPr>
        <w:t xml:space="preserve"> כיון שהוא עצמו מודה דרב אידי הוא ודאי יורש, א"כ אעפ"י שהוא טוען שגם הוא יורש, מ"מ רב אידי יש לו דין ודאי, וכדביאר </w:t>
      </w:r>
      <w:r w:rsidRPr="001F466E">
        <w:rPr>
          <w:rStyle w:val="af9"/>
          <w:rFonts w:hint="cs"/>
          <w:rtl/>
        </w:rPr>
        <w:t>הגר"ח</w:t>
      </w:r>
      <w:r>
        <w:rPr>
          <w:rFonts w:hint="cs"/>
          <w:rtl/>
        </w:rPr>
        <w:t xml:space="preserve"> דחשיב שיש בירור ודאי דהוא היורש, ואילו ההוא גברא הוא ספק ואין ספק מוציא מידי ודאי, וא"כ אין לההוא גברא כל כח של טענה, ואי"ז רק חסרון שאין לו ראיה לטענתו, דכיון שהוא מודה דרב אידי הוא היורש, ממילא הדקל בחזקתו בתורת ודאי, וטענת ההוא גברא שהוא יורש אין לה כל כח, ולכן אף שיש לו מיגו על הפירות, ס"ל </w:t>
      </w:r>
      <w:r w:rsidRPr="001F466E">
        <w:rPr>
          <w:rStyle w:val="af9"/>
          <w:rFonts w:hint="cs"/>
          <w:rtl/>
        </w:rPr>
        <w:t>להריב"ש</w:t>
      </w:r>
      <w:r>
        <w:rPr>
          <w:rFonts w:hint="cs"/>
          <w:rtl/>
        </w:rPr>
        <w:t xml:space="preserve"> דלא מהני לו המיגו כלל, ולכן אף דס"ל </w:t>
      </w:r>
      <w:r w:rsidRPr="00904536">
        <w:rPr>
          <w:rStyle w:val="af9"/>
          <w:rFonts w:hint="cs"/>
          <w:rtl/>
        </w:rPr>
        <w:t>להרשב"ם</w:t>
      </w:r>
      <w:r>
        <w:rPr>
          <w:rFonts w:hint="cs"/>
          <w:rtl/>
        </w:rPr>
        <w:t xml:space="preserve"> </w:t>
      </w:r>
      <w:r w:rsidRPr="009C548C">
        <w:rPr>
          <w:rStyle w:val="af9"/>
          <w:rFonts w:hint="cs"/>
          <w:rtl/>
        </w:rPr>
        <w:t>ולהריב"ש</w:t>
      </w:r>
      <w:r>
        <w:rPr>
          <w:rFonts w:hint="cs"/>
          <w:rtl/>
        </w:rPr>
        <w:t xml:space="preserve"> דכשטוען מינך זבינתה נאמן על הפירות, מ"מ בבא בטענת ירושה מודו </w:t>
      </w:r>
      <w:r w:rsidRPr="001F466E">
        <w:rPr>
          <w:rStyle w:val="af9"/>
          <w:rFonts w:hint="cs"/>
          <w:rtl/>
        </w:rPr>
        <w:t>הרשב"ם והריב"ש לתוס'</w:t>
      </w:r>
      <w:r>
        <w:rPr>
          <w:rFonts w:hint="cs"/>
          <w:rtl/>
        </w:rPr>
        <w:t xml:space="preserve"> דאינו נאמן במיגו על הפירות, כיון שאין לו כל טענה.</w:t>
      </w:r>
      <w:bookmarkEnd w:id="16107"/>
    </w:p>
    <w:p w:rsidR="00103C1B" w:rsidRDefault="00103C1B" w:rsidP="00103C1B">
      <w:pPr>
        <w:pStyle w:val="1"/>
        <w:rPr>
          <w:rtl/>
        </w:rPr>
      </w:pPr>
      <w:bookmarkStart w:id="16108" w:name="_Toc64549048"/>
      <w:bookmarkStart w:id="16109" w:name="_Toc64576233"/>
      <w:bookmarkStart w:id="16110" w:name="_Toc64588875"/>
      <w:bookmarkStart w:id="16111" w:name="_Toc64629503"/>
      <w:bookmarkStart w:id="16112" w:name="_Toc64642986"/>
      <w:r>
        <w:rPr>
          <w:rFonts w:hint="cs"/>
          <w:rtl/>
        </w:rPr>
        <w:t>ביאור הגרש"ר בריב"ש</w:t>
      </w:r>
      <w:bookmarkEnd w:id="16108"/>
      <w:bookmarkEnd w:id="16109"/>
      <w:bookmarkEnd w:id="16110"/>
      <w:bookmarkEnd w:id="16111"/>
      <w:r>
        <w:rPr>
          <w:rFonts w:hint="cs"/>
          <w:rtl/>
        </w:rPr>
        <w:t xml:space="preserve"> דביורש הפירות הם תולדה מהקרקע</w:t>
      </w:r>
      <w:bookmarkEnd w:id="16112"/>
    </w:p>
    <w:p w:rsidR="00103C1B" w:rsidRDefault="00103C1B" w:rsidP="00103C1B">
      <w:pPr>
        <w:pStyle w:val="a3"/>
        <w:rPr>
          <w:rtl/>
        </w:rPr>
      </w:pPr>
      <w:bookmarkStart w:id="16113" w:name="_Toc64642987"/>
      <w:r>
        <w:rPr>
          <w:rFonts w:hint="cs"/>
          <w:rtl/>
        </w:rPr>
        <w:t>קו' הגרש"ר על הגרב"ב דאף בטוען לקוחה בידי הקרקע בחזקת המר"ק בודאי ול"מ מיגו בפירות</w:t>
      </w:r>
      <w:bookmarkEnd w:id="16113"/>
    </w:p>
    <w:p w:rsidR="00103C1B" w:rsidRDefault="00103C1B" w:rsidP="007E4E81">
      <w:pPr>
        <w:pStyle w:val="a0"/>
        <w:rPr>
          <w:rtl/>
        </w:rPr>
      </w:pPr>
      <w:bookmarkStart w:id="16114" w:name="_Ref64628981"/>
      <w:r>
        <w:rPr>
          <w:rFonts w:hint="cs"/>
          <w:rtl/>
        </w:rPr>
        <w:t xml:space="preserve">במ"ש </w:t>
      </w:r>
      <w:r w:rsidRPr="002A5364">
        <w:rPr>
          <w:rStyle w:val="af9"/>
          <w:rFonts w:hint="cs"/>
          <w:rtl/>
        </w:rPr>
        <w:t xml:space="preserve">בחו"ש </w:t>
      </w:r>
      <w:r w:rsidRPr="009D3585">
        <w:rPr>
          <w:rStyle w:val="af9"/>
          <w:rFonts w:hint="cs"/>
          <w:rtl/>
        </w:rPr>
        <w:t>הגרב"ב</w:t>
      </w:r>
      <w:r>
        <w:rPr>
          <w:rFonts w:hint="cs"/>
          <w:rtl/>
        </w:rPr>
        <w:t xml:space="preserve"> </w:t>
      </w:r>
      <w:r w:rsidRPr="0042614B">
        <w:rPr>
          <w:rStyle w:val="af7"/>
          <w:rFonts w:eastAsia="Guttman Hodes" w:hint="cs"/>
          <w:rtl/>
        </w:rPr>
        <w:t xml:space="preserve">(עי' אות </w:t>
      </w:r>
      <w:r w:rsidRPr="0042614B">
        <w:rPr>
          <w:rStyle w:val="af7"/>
          <w:rFonts w:eastAsia="Guttman Hodes"/>
          <w:rtl/>
        </w:rPr>
        <w:fldChar w:fldCharType="begin"/>
      </w:r>
      <w:r w:rsidRPr="0042614B">
        <w:rPr>
          <w:rStyle w:val="af7"/>
          <w:rFonts w:eastAsia="Guttman Hodes"/>
          <w:rtl/>
        </w:rPr>
        <w:instrText xml:space="preserve"> </w:instrText>
      </w:r>
      <w:r w:rsidRPr="0042614B">
        <w:rPr>
          <w:rStyle w:val="af7"/>
          <w:rFonts w:eastAsia="Guttman Hodes" w:hint="cs"/>
        </w:rPr>
        <w:instrText>REF</w:instrText>
      </w:r>
      <w:r w:rsidRPr="0042614B">
        <w:rPr>
          <w:rStyle w:val="af7"/>
          <w:rFonts w:eastAsia="Guttman Hodes" w:hint="cs"/>
          <w:rtl/>
        </w:rPr>
        <w:instrText xml:space="preserve"> _</w:instrText>
      </w:r>
      <w:r w:rsidRPr="0042614B">
        <w:rPr>
          <w:rStyle w:val="af7"/>
          <w:rFonts w:eastAsia="Guttman Hodes" w:hint="cs"/>
        </w:rPr>
        <w:instrText>Ref64563632 \r \h</w:instrText>
      </w:r>
      <w:r w:rsidRPr="0042614B">
        <w:rPr>
          <w:rStyle w:val="af7"/>
          <w:rFonts w:eastAsia="Guttman Hodes"/>
          <w:rtl/>
        </w:rPr>
        <w:instrText xml:space="preserve"> </w:instrText>
      </w:r>
      <w:r w:rsidRPr="0042614B">
        <w:rPr>
          <w:rStyle w:val="af7"/>
          <w:rFonts w:eastAsia="Guttman Hodes"/>
          <w:rtl/>
        </w:rPr>
      </w:r>
      <w:r w:rsidRPr="0042614B">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sidRPr="0042614B">
        <w:rPr>
          <w:rStyle w:val="af7"/>
          <w:rFonts w:eastAsia="Guttman Hodes"/>
          <w:rtl/>
        </w:rPr>
        <w:fldChar w:fldCharType="end"/>
      </w:r>
      <w:r>
        <w:rPr>
          <w:rFonts w:hint="cs"/>
          <w:rtl/>
        </w:rPr>
        <w:t xml:space="preserve"> בדעת </w:t>
      </w:r>
      <w:r w:rsidRPr="002A5364">
        <w:rPr>
          <w:rStyle w:val="af9"/>
          <w:rFonts w:hint="cs"/>
          <w:rtl/>
        </w:rPr>
        <w:t>הריב"ש</w:t>
      </w:r>
      <w:r>
        <w:rPr>
          <w:rFonts w:hint="cs"/>
          <w:rtl/>
        </w:rPr>
        <w:t xml:space="preserve"> </w:t>
      </w:r>
      <w:r w:rsidRPr="001F72F1">
        <w:rPr>
          <w:rStyle w:val="af7"/>
          <w:rFonts w:eastAsia="Guttman Hodes" w:hint="cs"/>
          <w:rtl/>
        </w:rPr>
        <w:t xml:space="preserve">(עי' אות </w:t>
      </w:r>
      <w:r w:rsidRPr="001F72F1">
        <w:rPr>
          <w:rStyle w:val="af7"/>
          <w:rFonts w:eastAsia="Guttman Hodes"/>
          <w:rtl/>
        </w:rPr>
        <w:fldChar w:fldCharType="begin"/>
      </w:r>
      <w:r w:rsidRPr="001F72F1">
        <w:rPr>
          <w:rStyle w:val="af7"/>
          <w:rFonts w:eastAsia="Guttman Hodes"/>
          <w:rtl/>
        </w:rPr>
        <w:instrText xml:space="preserve"> </w:instrText>
      </w:r>
      <w:r w:rsidRPr="001F72F1">
        <w:rPr>
          <w:rStyle w:val="af7"/>
          <w:rFonts w:eastAsia="Guttman Hodes" w:hint="cs"/>
        </w:rPr>
        <w:instrText>REF</w:instrText>
      </w:r>
      <w:r w:rsidRPr="001F72F1">
        <w:rPr>
          <w:rStyle w:val="af7"/>
          <w:rFonts w:eastAsia="Guttman Hodes" w:hint="cs"/>
          <w:rtl/>
        </w:rPr>
        <w:instrText xml:space="preserve"> _</w:instrText>
      </w:r>
      <w:r w:rsidRPr="001F72F1">
        <w:rPr>
          <w:rStyle w:val="af7"/>
          <w:rFonts w:eastAsia="Guttman Hodes" w:hint="cs"/>
        </w:rPr>
        <w:instrText>Ref64539551 \r \h</w:instrText>
      </w:r>
      <w:r w:rsidRPr="001F72F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1F72F1">
        <w:rPr>
          <w:rStyle w:val="af7"/>
          <w:rFonts w:eastAsia="Guttman Hodes"/>
          <w:rtl/>
        </w:rPr>
      </w:r>
      <w:r w:rsidRPr="001F72F1">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1F72F1">
        <w:rPr>
          <w:rStyle w:val="af7"/>
          <w:rFonts w:eastAsia="Guttman Hodes"/>
          <w:rtl/>
        </w:rPr>
        <w:fldChar w:fldCharType="end"/>
      </w:r>
      <w:r>
        <w:rPr>
          <w:rFonts w:hint="cs"/>
          <w:rtl/>
        </w:rPr>
        <w:t xml:space="preserve"> דכיון שרב אידי הוא יורש ודאי, א"כ אין טענת ההוא גברא טענה כלל, אבל בטוען לקוחה היא בידי, אף שאין לו ראיה על הקרקע, מ"מ טענתו טענה, ולכן נאמן במיגו על הפירות, הקשה </w:t>
      </w:r>
      <w:r w:rsidRPr="002A5364">
        <w:rPr>
          <w:rStyle w:val="af9"/>
          <w:rFonts w:hint="cs"/>
          <w:rtl/>
        </w:rPr>
        <w:t xml:space="preserve">בשיעורי רבי שמואל </w:t>
      </w:r>
      <w:r w:rsidRPr="0042614B">
        <w:rPr>
          <w:rStyle w:val="af7"/>
          <w:rFonts w:eastAsia="Guttman Hodes" w:hint="cs"/>
          <w:rtl/>
        </w:rPr>
        <w:t>(או' כ"ח ד"ה ועצם)</w:t>
      </w:r>
      <w:r>
        <w:rPr>
          <w:rFonts w:hint="cs"/>
          <w:rtl/>
        </w:rPr>
        <w:t xml:space="preserve"> דאף כשטוען טענת לקוחה, כל שאין לו ראיה ואין כל ספק, מעמידים את הקרקע בחזקת המרא קמא מדין ודאי.</w:t>
      </w:r>
      <w:bookmarkEnd w:id="16114"/>
    </w:p>
    <w:p w:rsidR="00103C1B" w:rsidRDefault="00103C1B" w:rsidP="00103C1B">
      <w:pPr>
        <w:pStyle w:val="a3"/>
        <w:rPr>
          <w:rtl/>
        </w:rPr>
      </w:pPr>
      <w:bookmarkStart w:id="16115" w:name="_Toc64642988"/>
      <w:r>
        <w:rPr>
          <w:rFonts w:hint="cs"/>
          <w:rtl/>
        </w:rPr>
        <w:t>ביאור הגרש"ר בריב"ש דבטוען לקוחה פלגינן דיבוריה וביורש א"א לחלק את הנאמנות</w:t>
      </w:r>
      <w:bookmarkEnd w:id="16115"/>
    </w:p>
    <w:p w:rsidR="00103C1B" w:rsidRDefault="00103C1B" w:rsidP="007E4E81">
      <w:pPr>
        <w:pStyle w:val="a0"/>
        <w:rPr>
          <w:rtl/>
        </w:rPr>
      </w:pPr>
      <w:r>
        <w:rPr>
          <w:rFonts w:hint="cs"/>
          <w:rtl/>
        </w:rPr>
        <w:t xml:space="preserve">אלא ביאר </w:t>
      </w:r>
      <w:r w:rsidRPr="002A5364">
        <w:rPr>
          <w:rStyle w:val="af9"/>
          <w:rFonts w:hint="cs"/>
          <w:rtl/>
        </w:rPr>
        <w:t>בשיעורי רבי שמואל</w:t>
      </w:r>
      <w:r>
        <w:rPr>
          <w:rFonts w:hint="cs"/>
          <w:rtl/>
        </w:rPr>
        <w:t xml:space="preserve"> דס"ל </w:t>
      </w:r>
      <w:r w:rsidRPr="002A5364">
        <w:rPr>
          <w:rStyle w:val="af9"/>
          <w:rFonts w:hint="cs"/>
          <w:rtl/>
        </w:rPr>
        <w:t>להריב"ש</w:t>
      </w:r>
      <w:r>
        <w:rPr>
          <w:rFonts w:hint="cs"/>
          <w:rtl/>
        </w:rPr>
        <w:t xml:space="preserve"> דכשוטען לקוחה היא בידי, אפשר לחלק את הטענה לענין הקרקע, מהטענה לענין הפירות, דפלגינן לדיבוריה, ורק לענין הפירות הוא נאמן בטענה שהם לקוחים בידו, אך אינו נאמן בטענה שהקרקע לקוחה בידו, משא"כ ביורש דא"א לחלק את דיבורו בין הקרקע לבין הפירות, ואפשר לחלק רק את הנאמנות שלו, וכל שההוא גברא אינו נאמן בטענתו שהוא קרוב יותר, לענין הקרקע, א"כ אף לענין הפירות אינו נאמן דהם תולדה מדין הקרקע.</w:t>
      </w:r>
    </w:p>
    <w:p w:rsidR="00103C1B" w:rsidRPr="008E2EC9" w:rsidRDefault="00103C1B" w:rsidP="00103C1B">
      <w:pPr>
        <w:pStyle w:val="a3"/>
        <w:rPr>
          <w:rtl/>
        </w:rPr>
      </w:pPr>
      <w:bookmarkStart w:id="16116" w:name="_Toc64642989"/>
      <w:r>
        <w:rPr>
          <w:rFonts w:hint="cs"/>
          <w:rtl/>
        </w:rPr>
        <w:t>ביאור הגרש"ר בש"ך דלריב"ש מהני מיגו אף ביורש דס"ל כרמב"ן דמודה שהוא ספק יורש</w:t>
      </w:r>
      <w:bookmarkEnd w:id="16116"/>
    </w:p>
    <w:p w:rsidR="00103C1B" w:rsidRDefault="00103C1B" w:rsidP="007E4E81">
      <w:pPr>
        <w:pStyle w:val="a0"/>
        <w:rPr>
          <w:rtl/>
        </w:rPr>
      </w:pPr>
      <w:bookmarkStart w:id="16117" w:name="_Ref64642011"/>
      <w:r>
        <w:rPr>
          <w:rFonts w:hint="cs"/>
          <w:rtl/>
        </w:rPr>
        <w:t xml:space="preserve">וכתב </w:t>
      </w:r>
      <w:r w:rsidRPr="002A5364">
        <w:rPr>
          <w:rStyle w:val="af9"/>
          <w:rFonts w:hint="cs"/>
          <w:rtl/>
        </w:rPr>
        <w:t>בחי' רבי שמואל</w:t>
      </w:r>
      <w:r>
        <w:rPr>
          <w:rFonts w:hint="cs"/>
          <w:rtl/>
        </w:rPr>
        <w:t xml:space="preserve"> דכן מבואר מדברי </w:t>
      </w:r>
      <w:r>
        <w:rPr>
          <w:rStyle w:val="af9"/>
          <w:rFonts w:eastAsia="Guttman Adii-Light"/>
          <w:rtl/>
        </w:rPr>
        <w:t>הש"ך</w:t>
      </w:r>
      <w:r>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Ref64542143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פג</w:t>
      </w:r>
      <w:r w:rsidR="00265073">
        <w:rPr>
          <w:rStyle w:val="af7"/>
          <w:rFonts w:eastAsia="Guttman Hodes"/>
          <w:rtl/>
        </w:rPr>
        <w:t>)</w:t>
      </w:r>
      <w:r>
        <w:rPr>
          <w:rStyle w:val="af7"/>
          <w:rFonts w:eastAsia="Guttman Hodes" w:hint="cs"/>
          <w:rtl/>
        </w:rPr>
        <w:fldChar w:fldCharType="end"/>
      </w:r>
      <w:r>
        <w:rPr>
          <w:rFonts w:hint="cs"/>
          <w:rtl/>
        </w:rPr>
        <w:t xml:space="preserve"> שביאר כן בדעת </w:t>
      </w:r>
      <w:r>
        <w:rPr>
          <w:rStyle w:val="af9"/>
          <w:rFonts w:hint="cs"/>
          <w:rtl/>
        </w:rPr>
        <w:t>הריב"ש</w:t>
      </w:r>
      <w:r>
        <w:rPr>
          <w:rFonts w:hint="cs"/>
          <w:rtl/>
        </w:rPr>
        <w:t xml:space="preserve"> דס"ל דאף בטוען שהוא יורש מהני הנאמנות של המיגו לענין הפירות, כמו בטענת לקוחה בידי, וביאר </w:t>
      </w:r>
      <w:r w:rsidRPr="002A5364">
        <w:rPr>
          <w:rStyle w:val="af9"/>
          <w:rFonts w:eastAsia="Guttman Adii-Light" w:hint="cs"/>
          <w:rtl/>
        </w:rPr>
        <w:t>בשיעורי רבי שמואל</w:t>
      </w:r>
      <w:r>
        <w:rPr>
          <w:rFonts w:hint="cs"/>
          <w:rtl/>
        </w:rPr>
        <w:t xml:space="preserve"> </w:t>
      </w:r>
      <w:r w:rsidRPr="0042614B">
        <w:rPr>
          <w:rStyle w:val="af7"/>
          <w:rFonts w:eastAsia="Guttman Hodes" w:hint="cs"/>
          <w:rtl/>
        </w:rPr>
        <w:t>(או' כ"ח סוד"ה והנה בדברי)</w:t>
      </w:r>
      <w:r>
        <w:rPr>
          <w:rFonts w:hint="cs"/>
          <w:rtl/>
        </w:rPr>
        <w:t xml:space="preserve"> דצ"ל לדעת </w:t>
      </w:r>
      <w:r w:rsidRPr="002A5364">
        <w:rPr>
          <w:rStyle w:val="af9"/>
          <w:rFonts w:eastAsia="Guttman Adii-Light" w:hint="cs"/>
          <w:rtl/>
        </w:rPr>
        <w:t>הש"ך דהריב"ש</w:t>
      </w:r>
      <w:r>
        <w:rPr>
          <w:rFonts w:hint="cs"/>
          <w:rtl/>
        </w:rPr>
        <w:t xml:space="preserve"> ס"ל כדביאר </w:t>
      </w:r>
      <w:r w:rsidRPr="002A5364">
        <w:rPr>
          <w:rStyle w:val="af9"/>
          <w:rFonts w:eastAsia="Guttman Adii-Light" w:hint="cs"/>
          <w:rtl/>
        </w:rPr>
        <w:t>הרמב"ן</w:t>
      </w:r>
      <w:r>
        <w:rPr>
          <w:rFonts w:hint="cs"/>
          <w:rtl/>
        </w:rPr>
        <w:t xml:space="preserve"> </w:t>
      </w:r>
      <w:r w:rsidRPr="00BC3439">
        <w:rPr>
          <w:rStyle w:val="af7"/>
          <w:rFonts w:eastAsia="Guttman Hodes" w:hint="cs"/>
          <w:rtl/>
        </w:rPr>
        <w:t xml:space="preserve">(עי' אות </w:t>
      </w:r>
      <w:r w:rsidRPr="00BC3439">
        <w:rPr>
          <w:rStyle w:val="af7"/>
          <w:rFonts w:eastAsia="Guttman Hodes"/>
          <w:rtl/>
        </w:rPr>
        <w:fldChar w:fldCharType="begin"/>
      </w:r>
      <w:r w:rsidRPr="00BC3439">
        <w:rPr>
          <w:rStyle w:val="af7"/>
          <w:rFonts w:eastAsia="Guttman Hodes"/>
          <w:rtl/>
        </w:rPr>
        <w:instrText xml:space="preserve"> </w:instrText>
      </w:r>
      <w:r w:rsidRPr="00BC3439">
        <w:rPr>
          <w:rStyle w:val="af7"/>
          <w:rFonts w:eastAsia="Guttman Hodes" w:hint="cs"/>
        </w:rPr>
        <w:instrText>REF</w:instrText>
      </w:r>
      <w:r w:rsidRPr="00BC3439">
        <w:rPr>
          <w:rStyle w:val="af7"/>
          <w:rFonts w:eastAsia="Guttman Hodes" w:hint="cs"/>
          <w:rtl/>
        </w:rPr>
        <w:instrText xml:space="preserve"> _</w:instrText>
      </w:r>
      <w:r w:rsidRPr="00BC3439">
        <w:rPr>
          <w:rStyle w:val="af7"/>
          <w:rFonts w:eastAsia="Guttman Hodes" w:hint="cs"/>
        </w:rPr>
        <w:instrText>Ref64629171 \r \h</w:instrText>
      </w:r>
      <w:r w:rsidRPr="00BC3439">
        <w:rPr>
          <w:rStyle w:val="af7"/>
          <w:rFonts w:eastAsia="Guttman Hodes"/>
          <w:rtl/>
        </w:rPr>
        <w:instrText xml:space="preserve"> </w:instrText>
      </w:r>
      <w:r w:rsidRPr="00BC3439">
        <w:rPr>
          <w:rStyle w:val="af7"/>
          <w:rFonts w:eastAsia="Guttman Hodes"/>
          <w:rtl/>
        </w:rPr>
      </w:r>
      <w:r w:rsidRPr="00BC3439">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BC3439">
        <w:rPr>
          <w:rStyle w:val="af7"/>
          <w:rFonts w:eastAsia="Guttman Hodes"/>
          <w:rtl/>
        </w:rPr>
        <w:fldChar w:fldCharType="end"/>
      </w:r>
      <w:r w:rsidRPr="00BC3439">
        <w:rPr>
          <w:rStyle w:val="af7"/>
          <w:rFonts w:eastAsia="Guttman Hodes" w:hint="cs"/>
          <w:rtl/>
        </w:rPr>
        <w:t xml:space="preserve"> </w:t>
      </w:r>
      <w:r>
        <w:rPr>
          <w:rFonts w:hint="cs"/>
          <w:rtl/>
        </w:rPr>
        <w:t xml:space="preserve">דמודה ההוא גברא שהוא ספק יורש, ולכן הכא אינו נאמן לענין הפירות, מדין אין ספק מוציא מידי ודאי, אבל במקום שטוען שהוא ודאי יורש, ס"ל </w:t>
      </w:r>
      <w:r w:rsidRPr="002A5364">
        <w:rPr>
          <w:rStyle w:val="af9"/>
          <w:rFonts w:eastAsia="Guttman Adii-Light" w:hint="cs"/>
          <w:rtl/>
        </w:rPr>
        <w:t>להש"ך</w:t>
      </w:r>
      <w:r>
        <w:rPr>
          <w:rFonts w:hint="cs"/>
          <w:rtl/>
        </w:rPr>
        <w:t xml:space="preserve"> בדעת </w:t>
      </w:r>
      <w:r w:rsidRPr="002A5364">
        <w:rPr>
          <w:rStyle w:val="af9"/>
          <w:rFonts w:eastAsia="Guttman Adii-Light" w:hint="cs"/>
          <w:rtl/>
        </w:rPr>
        <w:t>הריב"ש</w:t>
      </w:r>
      <w:r>
        <w:rPr>
          <w:rFonts w:hint="cs"/>
          <w:rtl/>
        </w:rPr>
        <w:t xml:space="preserve"> דאין כל חילוק בין טענת יורש לטענת לקוחה היא בידי, ונאמן על הפירות</w:t>
      </w:r>
      <w:bookmarkEnd w:id="16117"/>
      <w:r>
        <w:rPr>
          <w:rFonts w:hint="cs"/>
          <w:rtl/>
        </w:rPr>
        <w:t>.</w:t>
      </w:r>
    </w:p>
    <w:p w:rsidR="00103C1B" w:rsidRPr="00DF6AE1" w:rsidRDefault="00103C1B" w:rsidP="00103C1B">
      <w:pPr>
        <w:pStyle w:val="a3"/>
      </w:pPr>
      <w:bookmarkStart w:id="16118" w:name="_Toc64642990"/>
      <w:r>
        <w:rPr>
          <w:rFonts w:hint="cs"/>
          <w:rtl/>
        </w:rPr>
        <w:t>דברי הגרש"ר דבריב"ש ל"מ כרמב"ן אלא ס"ל דביורש הפירות תולדה מהקרקע כדכ' הגרב"ב</w:t>
      </w:r>
      <w:bookmarkEnd w:id="16118"/>
    </w:p>
    <w:p w:rsidR="00103C1B" w:rsidRDefault="00103C1B" w:rsidP="007E4E81">
      <w:pPr>
        <w:pStyle w:val="a0"/>
        <w:rPr>
          <w:rtl/>
        </w:rPr>
      </w:pPr>
      <w:r>
        <w:rPr>
          <w:rFonts w:hint="cs"/>
          <w:rtl/>
        </w:rPr>
        <w:t xml:space="preserve">אך כתב </w:t>
      </w:r>
      <w:r w:rsidRPr="002A5364">
        <w:rPr>
          <w:rStyle w:val="af9"/>
          <w:rFonts w:eastAsia="Guttman Adii-Light" w:hint="cs"/>
          <w:rtl/>
        </w:rPr>
        <w:t>בשיעורי רבי שמואל</w:t>
      </w:r>
      <w:r w:rsidRPr="00B442A8">
        <w:rPr>
          <w:rStyle w:val="af7"/>
          <w:rFonts w:eastAsia="Guttman Hodes" w:hint="cs"/>
          <w:rtl/>
        </w:rPr>
        <w:t xml:space="preserve"> (או' כ"ח סוד"ה והנה בדברי) </w:t>
      </w:r>
      <w:r>
        <w:rPr>
          <w:rFonts w:hint="cs"/>
          <w:rtl/>
        </w:rPr>
        <w:t xml:space="preserve">דמדברי </w:t>
      </w:r>
      <w:r w:rsidRPr="002A5364">
        <w:rPr>
          <w:rStyle w:val="af9"/>
          <w:rFonts w:eastAsia="Guttman Adii-Light" w:hint="cs"/>
          <w:rtl/>
        </w:rPr>
        <w:t>הריב"ש</w:t>
      </w:r>
      <w:r>
        <w:rPr>
          <w:rFonts w:hint="cs"/>
          <w:rtl/>
        </w:rPr>
        <w:t xml:space="preserve"> לא משמע דביאר </w:t>
      </w:r>
      <w:r w:rsidRPr="002A5364">
        <w:rPr>
          <w:rStyle w:val="af9"/>
          <w:rFonts w:eastAsia="Guttman Adii-Light" w:hint="cs"/>
          <w:rtl/>
        </w:rPr>
        <w:t>כרמב"ן</w:t>
      </w:r>
      <w:r>
        <w:rPr>
          <w:rFonts w:hint="cs"/>
          <w:rtl/>
        </w:rPr>
        <w:t xml:space="preserve">, אלא כוונת </w:t>
      </w:r>
      <w:r w:rsidRPr="002A5364">
        <w:rPr>
          <w:rStyle w:val="af9"/>
          <w:rFonts w:eastAsia="Guttman Adii-Light" w:hint="cs"/>
          <w:rtl/>
        </w:rPr>
        <w:t>הריב"ש</w:t>
      </w:r>
      <w:r>
        <w:rPr>
          <w:rFonts w:hint="cs"/>
          <w:rtl/>
        </w:rPr>
        <w:t xml:space="preserve"> לומר דביורש כל שהקרקע יוצאת מתח"י, הפירות נגררים בתר הקרקע, </w:t>
      </w:r>
      <w:r w:rsidRPr="0042614B">
        <w:rPr>
          <w:rStyle w:val="afb"/>
          <w:rFonts w:hint="cs"/>
          <w:rtl/>
        </w:rPr>
        <w:t xml:space="preserve">[וכמבואר מלשון </w:t>
      </w:r>
      <w:r w:rsidRPr="0042614B">
        <w:rPr>
          <w:rStyle w:val="affa"/>
          <w:rFonts w:hint="cs"/>
          <w:rtl/>
        </w:rPr>
        <w:t>הריב"ש</w:t>
      </w:r>
      <w:r w:rsidRPr="0042614B">
        <w:rPr>
          <w:rStyle w:val="afb"/>
          <w:rFonts w:hint="cs"/>
          <w:rtl/>
        </w:rPr>
        <w:t xml:space="preserve"> דכתב דכוונתו כדברי השואל, עיי"ש בדבריו], </w:t>
      </w:r>
      <w:r>
        <w:rPr>
          <w:rFonts w:hint="cs"/>
          <w:rtl/>
        </w:rPr>
        <w:t xml:space="preserve">דכיון שביורש בעיקר הקרקע אמרינן דאין ספק מוציא מידי ודאי, לכן אינו נאמן במיגו על הפירות, דעיקר טענתו היא על גוף הקרקע, וכתב </w:t>
      </w:r>
      <w:r w:rsidRPr="002A5364">
        <w:rPr>
          <w:rStyle w:val="af9"/>
          <w:rFonts w:eastAsia="Guttman Adii-Light" w:hint="cs"/>
          <w:rtl/>
        </w:rPr>
        <w:t>בשיעורי רבי שמואל</w:t>
      </w:r>
      <w:r>
        <w:rPr>
          <w:rFonts w:hint="cs"/>
          <w:rtl/>
        </w:rPr>
        <w:t xml:space="preserve"> דצ"ל דכוונתו כדביאר </w:t>
      </w:r>
      <w:r w:rsidRPr="002A5364">
        <w:rPr>
          <w:rStyle w:val="af9"/>
          <w:rFonts w:eastAsia="Guttman Adii-Light" w:hint="cs"/>
          <w:rtl/>
        </w:rPr>
        <w:t>הגרב"ב</w:t>
      </w:r>
      <w:r>
        <w:rPr>
          <w:rFonts w:hint="cs"/>
          <w:rtl/>
        </w:rPr>
        <w:t xml:space="preserve"> </w:t>
      </w:r>
      <w:r w:rsidRPr="0042614B">
        <w:rPr>
          <w:rStyle w:val="af7"/>
          <w:rFonts w:eastAsia="Guttman Hodes" w:hint="cs"/>
          <w:rtl/>
        </w:rPr>
        <w:t>(עי' אות</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Ref64563632 \r \h</w:instrText>
      </w:r>
      <w:r>
        <w:rPr>
          <w:rtl/>
        </w:rPr>
        <w:instrText xml:space="preserve">  \* </w:instrText>
      </w:r>
      <w:r>
        <w:instrText>MERGEFORMAT</w:instrText>
      </w:r>
      <w:r>
        <w:rPr>
          <w:rtl/>
        </w:rPr>
        <w:instrText xml:space="preserve"> </w:instrText>
      </w:r>
      <w:r>
        <w:rPr>
          <w:rtl/>
        </w:rPr>
      </w:r>
      <w:r>
        <w:rPr>
          <w:rtl/>
        </w:rPr>
        <w:fldChar w:fldCharType="separate"/>
      </w:r>
      <w:r w:rsidR="00265073">
        <w:rPr>
          <w:cs/>
        </w:rPr>
        <w:t>‎</w:t>
      </w:r>
      <w:r w:rsidR="00265073" w:rsidRPr="00265073">
        <w:rPr>
          <w:rStyle w:val="af7"/>
          <w:rFonts w:eastAsia="Guttman Hodes"/>
          <w:rtl/>
        </w:rPr>
        <w:t>קיז)</w:t>
      </w:r>
      <w:r>
        <w:rPr>
          <w:rtl/>
        </w:rPr>
        <w:fldChar w:fldCharType="end"/>
      </w:r>
      <w:r>
        <w:rPr>
          <w:rFonts w:hint="cs"/>
          <w:rtl/>
        </w:rPr>
        <w:t xml:space="preserve"> דביורש שהוא דין ודאי, אין לו כל טענה, ולכן אינו נאמן על הפירות.</w:t>
      </w:r>
    </w:p>
    <w:p w:rsidR="00103C1B" w:rsidRPr="00593984" w:rsidRDefault="00103C1B" w:rsidP="00103C1B">
      <w:pPr>
        <w:pStyle w:val="1"/>
        <w:rPr>
          <w:rtl/>
        </w:rPr>
      </w:pPr>
      <w:bookmarkStart w:id="16119" w:name="_Toc64549052"/>
      <w:bookmarkStart w:id="16120" w:name="_Toc64576234"/>
      <w:bookmarkStart w:id="16121" w:name="_Toc64588876"/>
      <w:bookmarkStart w:id="16122" w:name="_Toc64629504"/>
      <w:bookmarkStart w:id="16123" w:name="_Toc64642991"/>
      <w:bookmarkStart w:id="16124" w:name="_Toc64549050"/>
      <w:r>
        <w:rPr>
          <w:rFonts w:hint="cs"/>
          <w:rtl/>
        </w:rPr>
        <w:t xml:space="preserve">בי' הדברי מרדכי בתוס' </w:t>
      </w:r>
      <w:bookmarkEnd w:id="16119"/>
      <w:r>
        <w:rPr>
          <w:rFonts w:hint="cs"/>
          <w:rtl/>
        </w:rPr>
        <w:t>עפי"ד הברכ"ש</w:t>
      </w:r>
      <w:bookmarkEnd w:id="16120"/>
      <w:bookmarkEnd w:id="16121"/>
      <w:bookmarkEnd w:id="16122"/>
      <w:r>
        <w:rPr>
          <w:rFonts w:hint="cs"/>
          <w:rtl/>
        </w:rPr>
        <w:t xml:space="preserve"> דאין ספק מוציא מודאי</w:t>
      </w:r>
      <w:bookmarkEnd w:id="16123"/>
    </w:p>
    <w:p w:rsidR="00103C1B" w:rsidRDefault="00103C1B" w:rsidP="00103C1B">
      <w:pPr>
        <w:pStyle w:val="a3"/>
        <w:rPr>
          <w:rtl/>
        </w:rPr>
      </w:pPr>
      <w:bookmarkStart w:id="16125" w:name="_Toc64642992"/>
      <w:r>
        <w:rPr>
          <w:rFonts w:hint="cs"/>
          <w:rtl/>
        </w:rPr>
        <w:t>ביאור הדברי מרדכי בתוס' דא"א לחלק את הנאמנות בקרקע מהנאמנות על הפירות</w:t>
      </w:r>
      <w:bookmarkEnd w:id="16125"/>
    </w:p>
    <w:p w:rsidR="00103C1B" w:rsidRDefault="00103C1B" w:rsidP="007E4E81">
      <w:pPr>
        <w:pStyle w:val="a0"/>
      </w:pPr>
      <w:bookmarkStart w:id="16126" w:name="_Ref64388993"/>
      <w:r>
        <w:rPr>
          <w:rFonts w:hint="cs"/>
          <w:rtl/>
        </w:rPr>
        <w:t xml:space="preserve">במ"ש </w:t>
      </w:r>
      <w:r w:rsidRPr="00D76ED6">
        <w:rPr>
          <w:rStyle w:val="af9"/>
          <w:rFonts w:hint="cs"/>
          <w:rtl/>
        </w:rPr>
        <w:t xml:space="preserve">התוס' </w:t>
      </w:r>
      <w:r w:rsidRPr="00D65756">
        <w:rPr>
          <w:rStyle w:val="af7"/>
          <w:rFonts w:eastAsia="Guttman Hodes" w:hint="cs"/>
          <w:rtl/>
        </w:rPr>
        <w:t xml:space="preserve">(עי' אות </w:t>
      </w:r>
      <w:r w:rsidRPr="00D65756">
        <w:rPr>
          <w:rStyle w:val="af7"/>
          <w:rFonts w:eastAsia="Guttman Hodes"/>
          <w:rtl/>
        </w:rPr>
        <w:fldChar w:fldCharType="begin"/>
      </w:r>
      <w:r w:rsidRPr="00D65756">
        <w:rPr>
          <w:rStyle w:val="af7"/>
          <w:rFonts w:eastAsia="Guttman Hodes"/>
          <w:rtl/>
        </w:rPr>
        <w:instrText xml:space="preserve"> </w:instrText>
      </w:r>
      <w:r w:rsidRPr="00D65756">
        <w:rPr>
          <w:rStyle w:val="af7"/>
          <w:rFonts w:eastAsia="Guttman Hodes" w:hint="cs"/>
        </w:rPr>
        <w:instrText>REF</w:instrText>
      </w:r>
      <w:r w:rsidRPr="00D65756">
        <w:rPr>
          <w:rStyle w:val="af7"/>
          <w:rFonts w:eastAsia="Guttman Hodes" w:hint="cs"/>
          <w:rtl/>
        </w:rPr>
        <w:instrText xml:space="preserve"> _</w:instrText>
      </w:r>
      <w:r w:rsidRPr="00D65756">
        <w:rPr>
          <w:rStyle w:val="af7"/>
          <w:rFonts w:eastAsia="Guttman Hodes" w:hint="cs"/>
        </w:rPr>
        <w:instrText>Ref64389009 \r \h</w:instrText>
      </w:r>
      <w:r w:rsidRPr="00D65756">
        <w:rPr>
          <w:rStyle w:val="af7"/>
          <w:rFonts w:eastAsia="Guttman Hodes"/>
          <w:rtl/>
        </w:rPr>
        <w:instrText xml:space="preserve"> </w:instrText>
      </w:r>
      <w:r w:rsidRPr="00D65756">
        <w:rPr>
          <w:rStyle w:val="af7"/>
          <w:rFonts w:eastAsia="Guttman Hodes"/>
          <w:rtl/>
        </w:rPr>
      </w:r>
      <w:r w:rsidRPr="00D65756">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D65756">
        <w:rPr>
          <w:rStyle w:val="af7"/>
          <w:rFonts w:eastAsia="Guttman Hodes"/>
          <w:rtl/>
        </w:rPr>
        <w:fldChar w:fldCharType="end"/>
      </w:r>
      <w:r>
        <w:rPr>
          <w:rFonts w:hint="cs"/>
          <w:rtl/>
        </w:rPr>
        <w:t xml:space="preserve"> דהא דבגמ' לקמן כשאינו נאמן לטעון שאכל פירות ג' שנים, דמוציאין ממנו את הקרקע, ואינו צריך להחזיר את הפירות, כיון שאם הוא נאמן שאכל פירות ג"ש, ממילא יש לו חזקה וא"א להוציא את הקרקע מתח"י, כתב </w:t>
      </w:r>
      <w:r w:rsidRPr="00D76ED6">
        <w:rPr>
          <w:rStyle w:val="af9"/>
          <w:rFonts w:hint="cs"/>
          <w:rtl/>
        </w:rPr>
        <w:t xml:space="preserve">הדברי מרדכי </w:t>
      </w:r>
      <w:r w:rsidRPr="00D76ED6">
        <w:rPr>
          <w:rStyle w:val="af7"/>
          <w:rFonts w:eastAsia="Guttman Hodes" w:hint="cs"/>
          <w:rtl/>
        </w:rPr>
        <w:t>(סי' כ"ה או' א' ד"ה בגמ')</w:t>
      </w:r>
      <w:r>
        <w:rPr>
          <w:rFonts w:hint="cs"/>
          <w:rtl/>
        </w:rPr>
        <w:t xml:space="preserve"> דמבואר מדברי </w:t>
      </w:r>
      <w:r w:rsidRPr="00D76ED6">
        <w:rPr>
          <w:rStyle w:val="af9"/>
          <w:rFonts w:hint="cs"/>
          <w:rtl/>
        </w:rPr>
        <w:t xml:space="preserve">התוס' </w:t>
      </w:r>
      <w:r>
        <w:rPr>
          <w:rFonts w:hint="cs"/>
          <w:rtl/>
        </w:rPr>
        <w:t>דא"א לחלק את הנאמנות שלו דיהיה נאמן במיגו על הפירות, ולא יהיה נאמן על הקרקע, כיון שאינו נאמן בטענתו שקנה את הקרקע, לכן אינו נאמן אף על הפירות.</w:t>
      </w:r>
      <w:bookmarkEnd w:id="16126"/>
    </w:p>
    <w:p w:rsidR="00103C1B" w:rsidRDefault="00103C1B" w:rsidP="00103C1B">
      <w:pPr>
        <w:pStyle w:val="a3"/>
      </w:pPr>
      <w:bookmarkStart w:id="16127" w:name="_Toc64642993"/>
      <w:r>
        <w:rPr>
          <w:rFonts w:hint="cs"/>
          <w:rtl/>
        </w:rPr>
        <w:t>ביאור הדברי מרדכי בתוס' דהקרקע ודאי בידי ר"א אך א"כ קשה דאמאי ל"מ מיגו בפירות</w:t>
      </w:r>
      <w:bookmarkEnd w:id="16127"/>
    </w:p>
    <w:p w:rsidR="00103C1B" w:rsidRDefault="00103C1B" w:rsidP="007E4E81">
      <w:pPr>
        <w:pStyle w:val="a0"/>
      </w:pPr>
      <w:r w:rsidRPr="005969AF">
        <w:rPr>
          <w:rFonts w:hint="cs"/>
          <w:rtl/>
        </w:rPr>
        <w:t xml:space="preserve">והביא </w:t>
      </w:r>
      <w:r w:rsidRPr="005969AF">
        <w:rPr>
          <w:rStyle w:val="af9"/>
          <w:rFonts w:hint="cs"/>
          <w:rtl/>
        </w:rPr>
        <w:t xml:space="preserve">הדברי מרדכי </w:t>
      </w:r>
      <w:r w:rsidRPr="005969AF">
        <w:rPr>
          <w:rStyle w:val="af7"/>
          <w:rFonts w:eastAsia="Guttman Hodes" w:hint="cs"/>
          <w:rtl/>
        </w:rPr>
        <w:t>(סי' כ"ה או' ב' ד"ה ונראה)</w:t>
      </w:r>
      <w:r w:rsidRPr="005969AF">
        <w:rPr>
          <w:rFonts w:hint="cs"/>
          <w:rtl/>
        </w:rPr>
        <w:t xml:space="preserve"> את ביאור </w:t>
      </w:r>
      <w:r w:rsidRPr="005969AF">
        <w:rPr>
          <w:rStyle w:val="af9"/>
          <w:rFonts w:hint="cs"/>
          <w:rtl/>
        </w:rPr>
        <w:t xml:space="preserve">הברכ"ש </w:t>
      </w:r>
      <w:r w:rsidRPr="00BB2544">
        <w:rPr>
          <w:rStyle w:val="af7"/>
          <w:rFonts w:eastAsia="Guttman Hodes" w:hint="cs"/>
          <w:rtl/>
        </w:rPr>
        <w:t xml:space="preserve">(עי' אות </w:t>
      </w:r>
      <w:r w:rsidRPr="00BB2544">
        <w:rPr>
          <w:rStyle w:val="af7"/>
          <w:rFonts w:eastAsia="Guttman Hodes"/>
          <w:rtl/>
        </w:rPr>
        <w:fldChar w:fldCharType="begin"/>
      </w:r>
      <w:r w:rsidRPr="00BB2544">
        <w:rPr>
          <w:rStyle w:val="af7"/>
          <w:rFonts w:eastAsia="Guttman Hodes"/>
          <w:rtl/>
        </w:rPr>
        <w:instrText xml:space="preserve"> </w:instrText>
      </w:r>
      <w:r w:rsidRPr="00BB2544">
        <w:rPr>
          <w:rStyle w:val="af7"/>
          <w:rFonts w:eastAsia="Guttman Hodes" w:hint="cs"/>
        </w:rPr>
        <w:instrText>REF</w:instrText>
      </w:r>
      <w:r w:rsidRPr="00BB2544">
        <w:rPr>
          <w:rStyle w:val="af7"/>
          <w:rFonts w:eastAsia="Guttman Hodes" w:hint="cs"/>
          <w:rtl/>
        </w:rPr>
        <w:instrText xml:space="preserve"> _</w:instrText>
      </w:r>
      <w:r w:rsidRPr="00BB2544">
        <w:rPr>
          <w:rStyle w:val="af7"/>
          <w:rFonts w:eastAsia="Guttman Hodes" w:hint="cs"/>
        </w:rPr>
        <w:instrText>Ref64539766 \r \h</w:instrText>
      </w:r>
      <w:r w:rsidRPr="00BB254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B2544">
        <w:rPr>
          <w:rStyle w:val="af7"/>
          <w:rFonts w:eastAsia="Guttman Hodes"/>
          <w:rtl/>
        </w:rPr>
      </w:r>
      <w:r w:rsidRPr="00BB2544">
        <w:rPr>
          <w:rStyle w:val="af7"/>
          <w:rFonts w:eastAsia="Guttman Hodes"/>
          <w:rtl/>
        </w:rPr>
        <w:fldChar w:fldCharType="separate"/>
      </w:r>
      <w:r w:rsidR="00265073">
        <w:rPr>
          <w:rStyle w:val="af7"/>
          <w:rFonts w:eastAsia="Guttman Hodes"/>
          <w:cs/>
        </w:rPr>
        <w:t>‎</w:t>
      </w:r>
      <w:r w:rsidR="00265073">
        <w:rPr>
          <w:rStyle w:val="af7"/>
          <w:rFonts w:eastAsia="Guttman Hodes"/>
          <w:rtl/>
        </w:rPr>
        <w:t>קטו)</w:t>
      </w:r>
      <w:r w:rsidRPr="00BB2544">
        <w:rPr>
          <w:rStyle w:val="af7"/>
          <w:rFonts w:eastAsia="Guttman Hodes"/>
          <w:rtl/>
        </w:rPr>
        <w:fldChar w:fldCharType="end"/>
      </w:r>
      <w:r w:rsidRPr="005969AF">
        <w:rPr>
          <w:rFonts w:hint="cs"/>
          <w:rtl/>
        </w:rPr>
        <w:t xml:space="preserve"> בשם </w:t>
      </w:r>
      <w:r w:rsidRPr="005969AF">
        <w:rPr>
          <w:rStyle w:val="af9"/>
          <w:rFonts w:hint="cs"/>
          <w:rtl/>
        </w:rPr>
        <w:t>הגר"ח</w:t>
      </w:r>
      <w:r>
        <w:rPr>
          <w:rFonts w:hint="cs"/>
          <w:rtl/>
        </w:rPr>
        <w:t xml:space="preserve"> דדין אין ספק מוציא מידי ודאי, היינו דהודאי חשיב כודאי גמור,</w:t>
      </w:r>
      <w:r w:rsidRPr="005969AF">
        <w:rPr>
          <w:rFonts w:hint="cs"/>
          <w:rtl/>
        </w:rPr>
        <w:t xml:space="preserve"> וכתב </w:t>
      </w:r>
      <w:r w:rsidRPr="005969AF">
        <w:rPr>
          <w:rStyle w:val="af9"/>
          <w:rFonts w:hint="cs"/>
          <w:rtl/>
        </w:rPr>
        <w:t xml:space="preserve">הדברי מרדכי </w:t>
      </w:r>
      <w:r w:rsidRPr="005969AF">
        <w:rPr>
          <w:rFonts w:hint="cs"/>
          <w:rtl/>
        </w:rPr>
        <w:t xml:space="preserve">דלפי"ז כוונת </w:t>
      </w:r>
      <w:r w:rsidRPr="005969AF">
        <w:rPr>
          <w:rStyle w:val="af9"/>
          <w:rFonts w:hint="cs"/>
          <w:rtl/>
        </w:rPr>
        <w:t>התוס'</w:t>
      </w:r>
      <w:r w:rsidRPr="005969AF">
        <w:rPr>
          <w:rFonts w:hint="cs"/>
          <w:rtl/>
        </w:rPr>
        <w:t xml:space="preserve"> לומר דכיון שהקרקע יוצאת מתח"י, ואינו נאמן לטעון שהקרקע היא שלו, לכן צריך להחזיר אף את הפירות, כיון שהקרקע היא של רב אידי בודאי,</w:t>
      </w:r>
      <w:r>
        <w:rPr>
          <w:rFonts w:hint="cs"/>
          <w:rtl/>
        </w:rPr>
        <w:t xml:space="preserve"> ממילא צריך להחזיר את הפירות, אך הקשה </w:t>
      </w:r>
      <w:r w:rsidRPr="00D76ED6">
        <w:rPr>
          <w:rStyle w:val="af9"/>
          <w:rFonts w:hint="cs"/>
          <w:rtl/>
        </w:rPr>
        <w:t xml:space="preserve">הדברי מרדכי </w:t>
      </w:r>
      <w:r>
        <w:rPr>
          <w:rFonts w:hint="cs"/>
          <w:rtl/>
        </w:rPr>
        <w:t xml:space="preserve">דא"כ מה הקשו </w:t>
      </w:r>
      <w:r w:rsidRPr="00D76ED6">
        <w:rPr>
          <w:rStyle w:val="af9"/>
          <w:rFonts w:hint="cs"/>
          <w:rtl/>
        </w:rPr>
        <w:t>התוס'</w:t>
      </w:r>
      <w:r>
        <w:rPr>
          <w:rFonts w:hint="cs"/>
          <w:rtl/>
        </w:rPr>
        <w:t xml:space="preserve"> מהגמ' לקמן, דא"צ להחזיר את הפירות, הא בגמ' לקמן אין מעמידים את הקרקע ביד המרא קמא מדין ודאי, אלא כיון שיש לו חזקת מרא קמא, וא"כ אפש"ל כדברי </w:t>
      </w:r>
      <w:r w:rsidRPr="00D76ED6">
        <w:rPr>
          <w:rStyle w:val="af9"/>
          <w:rFonts w:hint="cs"/>
          <w:rtl/>
        </w:rPr>
        <w:t>הריב"ש</w:t>
      </w:r>
      <w:r w:rsidRPr="00BB2544">
        <w:rPr>
          <w:rStyle w:val="af7"/>
          <w:rFonts w:eastAsia="Guttman Hodes" w:hint="cs"/>
          <w:b/>
          <w:bCs/>
          <w:rtl/>
        </w:rPr>
        <w:t xml:space="preserve"> </w:t>
      </w:r>
      <w:r w:rsidRPr="00BB2544">
        <w:rPr>
          <w:rStyle w:val="af7"/>
          <w:rFonts w:eastAsia="Guttman Hodes" w:hint="cs"/>
          <w:rtl/>
        </w:rPr>
        <w:t xml:space="preserve">(עי' אות </w:t>
      </w:r>
      <w:r w:rsidRPr="00BB2544">
        <w:rPr>
          <w:rStyle w:val="af7"/>
          <w:rFonts w:eastAsia="Guttman Hodes"/>
          <w:rtl/>
        </w:rPr>
        <w:fldChar w:fldCharType="begin"/>
      </w:r>
      <w:r w:rsidRPr="00BB2544">
        <w:rPr>
          <w:rStyle w:val="af7"/>
          <w:rFonts w:eastAsia="Guttman Hodes"/>
          <w:rtl/>
        </w:rPr>
        <w:instrText xml:space="preserve"> </w:instrText>
      </w:r>
      <w:r w:rsidRPr="00BB2544">
        <w:rPr>
          <w:rStyle w:val="af7"/>
          <w:rFonts w:eastAsia="Guttman Hodes" w:hint="cs"/>
        </w:rPr>
        <w:instrText>REF</w:instrText>
      </w:r>
      <w:r w:rsidRPr="00BB2544">
        <w:rPr>
          <w:rStyle w:val="af7"/>
          <w:rFonts w:eastAsia="Guttman Hodes" w:hint="cs"/>
          <w:rtl/>
        </w:rPr>
        <w:instrText xml:space="preserve"> _</w:instrText>
      </w:r>
      <w:r w:rsidRPr="00BB2544">
        <w:rPr>
          <w:rStyle w:val="af7"/>
          <w:rFonts w:eastAsia="Guttman Hodes" w:hint="cs"/>
        </w:rPr>
        <w:instrText>Ref64475002 \r \h</w:instrText>
      </w:r>
      <w:r w:rsidRPr="00BB254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B2544">
        <w:rPr>
          <w:rStyle w:val="af7"/>
          <w:rFonts w:eastAsia="Guttman Hodes"/>
          <w:rtl/>
        </w:rPr>
      </w:r>
      <w:r w:rsidRPr="00BB2544">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BB2544">
        <w:rPr>
          <w:rStyle w:val="af7"/>
          <w:rFonts w:eastAsia="Guttman Hodes"/>
          <w:rtl/>
        </w:rPr>
        <w:fldChar w:fldCharType="end"/>
      </w:r>
      <w:r>
        <w:rPr>
          <w:rFonts w:hint="cs"/>
          <w:rtl/>
        </w:rPr>
        <w:t xml:space="preserve"> דהקרקע היא בחזקת המרא קמא, אבל על הפירות שאכל כבר והוא מוחזק בהם, הוא נאמן עליהם.</w:t>
      </w:r>
    </w:p>
    <w:p w:rsidR="00103C1B" w:rsidRDefault="00103C1B" w:rsidP="00103C1B">
      <w:pPr>
        <w:pStyle w:val="a3"/>
      </w:pPr>
      <w:bookmarkStart w:id="16128" w:name="_Toc64642994"/>
      <w:r>
        <w:rPr>
          <w:rFonts w:hint="cs"/>
          <w:rtl/>
        </w:rPr>
        <w:t>ביאור הדברי מרדכי בתוס' דתפיסה בקרקע דמר"ק חשיבא כודאי ותפיסת המחזיק אינה ספק</w:t>
      </w:r>
      <w:bookmarkEnd w:id="16128"/>
    </w:p>
    <w:p w:rsidR="00103C1B" w:rsidRDefault="00103C1B" w:rsidP="007E4E81">
      <w:pPr>
        <w:pStyle w:val="a0"/>
        <w:rPr>
          <w:rtl/>
        </w:rPr>
      </w:pPr>
      <w:r>
        <w:rPr>
          <w:rFonts w:hint="cs"/>
          <w:rtl/>
        </w:rPr>
        <w:t xml:space="preserve">וכתב </w:t>
      </w:r>
      <w:r w:rsidRPr="00D76ED6">
        <w:rPr>
          <w:rStyle w:val="af9"/>
          <w:rFonts w:hint="cs"/>
          <w:rtl/>
        </w:rPr>
        <w:t xml:space="preserve">הדברי מרדכי </w:t>
      </w:r>
      <w:r w:rsidRPr="00D76ED6">
        <w:rPr>
          <w:rStyle w:val="af7"/>
          <w:rFonts w:eastAsia="Guttman Hodes" w:hint="cs"/>
          <w:rtl/>
        </w:rPr>
        <w:t>(סי' כ"ה או' ב' ד"ה ובדעת)</w:t>
      </w:r>
      <w:r>
        <w:rPr>
          <w:rFonts w:hint="cs"/>
          <w:rtl/>
        </w:rPr>
        <w:t xml:space="preserve"> דבדעת </w:t>
      </w:r>
      <w:r w:rsidRPr="00D76ED6">
        <w:rPr>
          <w:rStyle w:val="af9"/>
          <w:rFonts w:hint="cs"/>
          <w:rtl/>
        </w:rPr>
        <w:t>התוס'</w:t>
      </w:r>
      <w:r>
        <w:rPr>
          <w:rFonts w:hint="cs"/>
          <w:rtl/>
        </w:rPr>
        <w:t xml:space="preserve"> צ"ל דכיון שהקרקע היא בחזקת המרא קמא, א"כ אף שהמחזיק תפוס בה אינו נחשב שע"י תפיסתו הוא מוחזק בספק, כמו בתופס מטלטלין, דבקרקע לעולם חשיבא כודאי בחזקת המרא קמא, ותפיסת השני אינה עושה ספק כלל, כמבואר בדברי </w:t>
      </w:r>
      <w:r>
        <w:rPr>
          <w:rStyle w:val="af9"/>
          <w:rFonts w:hint="cs"/>
          <w:rtl/>
        </w:rPr>
        <w:t>ה</w:t>
      </w:r>
      <w:r w:rsidRPr="00D76ED6">
        <w:rPr>
          <w:rStyle w:val="af9"/>
          <w:rFonts w:hint="cs"/>
          <w:rtl/>
        </w:rPr>
        <w:t xml:space="preserve">תוס' בכתובות </w:t>
      </w:r>
      <w:r w:rsidRPr="00D76ED6">
        <w:rPr>
          <w:rStyle w:val="af7"/>
          <w:rFonts w:eastAsia="Guttman Hodes" w:hint="cs"/>
          <w:rtl/>
        </w:rPr>
        <w:t>(</w:t>
      </w:r>
      <w:r>
        <w:rPr>
          <w:rStyle w:val="af7"/>
          <w:rFonts w:eastAsia="Guttman Hodes" w:hint="cs"/>
          <w:rtl/>
        </w:rPr>
        <w:t>כ. ד"ה ואוקי</w:t>
      </w:r>
      <w:r w:rsidRPr="00D76ED6">
        <w:rPr>
          <w:rStyle w:val="af7"/>
          <w:rFonts w:eastAsia="Guttman Hodes" w:hint="cs"/>
          <w:rtl/>
        </w:rPr>
        <w:t>)</w:t>
      </w:r>
      <w:r>
        <w:rPr>
          <w:rFonts w:hint="cs"/>
          <w:rtl/>
        </w:rPr>
        <w:t xml:space="preserve">, ולכן כל שאינו נאמן במיגו על הקרקע, חשיבא שהקרקע בחזקת המרא קמא מדין ודאי, ואחר שהוכרע דהקרקע אינה של המחזיק אף את הפירות הוא צריך להחזיק, ועיי"ש במה שתירץ </w:t>
      </w:r>
      <w:r w:rsidRPr="00D76ED6">
        <w:rPr>
          <w:rStyle w:val="af9"/>
          <w:rFonts w:hint="cs"/>
          <w:rtl/>
        </w:rPr>
        <w:t xml:space="preserve">הדברי מרדכי </w:t>
      </w:r>
      <w:r>
        <w:rPr>
          <w:rFonts w:hint="cs"/>
          <w:rtl/>
        </w:rPr>
        <w:t xml:space="preserve">לפי"ז את קושית </w:t>
      </w:r>
      <w:r w:rsidRPr="00D76ED6">
        <w:rPr>
          <w:rStyle w:val="af9"/>
          <w:rFonts w:hint="cs"/>
          <w:rtl/>
        </w:rPr>
        <w:t xml:space="preserve">השער משפט </w:t>
      </w:r>
      <w:r w:rsidRPr="00D65756">
        <w:rPr>
          <w:rStyle w:val="af7"/>
          <w:rFonts w:eastAsia="Guttman Hodes" w:hint="cs"/>
          <w:rtl/>
        </w:rPr>
        <w:t>(סי' קל"ז ס"א)</w:t>
      </w:r>
      <w:r>
        <w:rPr>
          <w:rFonts w:hint="cs"/>
          <w:rtl/>
        </w:rPr>
        <w:t>.</w:t>
      </w:r>
    </w:p>
    <w:p w:rsidR="00103C1B" w:rsidRDefault="00103C1B" w:rsidP="00103C1B">
      <w:pPr>
        <w:pStyle w:val="1"/>
        <w:rPr>
          <w:u w:val="single"/>
          <w:rtl/>
        </w:rPr>
      </w:pPr>
      <w:bookmarkStart w:id="16129" w:name="_Toc64407329"/>
      <w:bookmarkStart w:id="16130" w:name="_Toc64454570"/>
      <w:bookmarkStart w:id="16131" w:name="_Toc64458663"/>
      <w:bookmarkStart w:id="16132" w:name="_Toc64549051"/>
      <w:bookmarkStart w:id="16133" w:name="_Toc64576236"/>
      <w:bookmarkStart w:id="16134" w:name="_Toc64588878"/>
      <w:bookmarkStart w:id="16135" w:name="_Toc64629506"/>
      <w:bookmarkStart w:id="16136" w:name="_Toc64642995"/>
      <w:r>
        <w:rPr>
          <w:rFonts w:hint="cs"/>
          <w:rtl/>
        </w:rPr>
        <w:t>ביאור הקוב"ש דנח' תוס' והריב"</w:t>
      </w:r>
      <w:bookmarkEnd w:id="16129"/>
      <w:bookmarkEnd w:id="16130"/>
      <w:bookmarkEnd w:id="16131"/>
      <w:bookmarkEnd w:id="16132"/>
      <w:bookmarkEnd w:id="16133"/>
      <w:bookmarkEnd w:id="16134"/>
      <w:bookmarkEnd w:id="16135"/>
      <w:r>
        <w:rPr>
          <w:rFonts w:hint="cs"/>
          <w:rtl/>
        </w:rPr>
        <w:t>ש במיגו כשהקרקע אינה יוצאת</w:t>
      </w:r>
      <w:bookmarkEnd w:id="16136"/>
    </w:p>
    <w:p w:rsidR="00103C1B" w:rsidRPr="00593984" w:rsidRDefault="00103C1B" w:rsidP="00103C1B">
      <w:pPr>
        <w:pStyle w:val="a3"/>
        <w:rPr>
          <w:rtl/>
        </w:rPr>
      </w:pPr>
      <w:bookmarkStart w:id="16137" w:name="_Toc64642996"/>
      <w:r>
        <w:rPr>
          <w:rFonts w:hint="cs"/>
          <w:rtl/>
        </w:rPr>
        <w:t>דברי הקוב"ש דמשמע בתוס' דאי לא הייתה הקרקע יוצאת מתח"י היה נאמן על הפירות במיגו</w:t>
      </w:r>
      <w:bookmarkEnd w:id="16137"/>
    </w:p>
    <w:p w:rsidR="00103C1B" w:rsidRDefault="00103C1B" w:rsidP="007E4E81">
      <w:pPr>
        <w:pStyle w:val="a0"/>
        <w:rPr>
          <w:rtl/>
        </w:rPr>
      </w:pPr>
      <w:bookmarkStart w:id="16138" w:name="_Ref64628737"/>
      <w:r>
        <w:rPr>
          <w:rFonts w:hint="cs"/>
          <w:rtl/>
        </w:rPr>
        <w:t xml:space="preserve">במ"ש </w:t>
      </w:r>
      <w:r>
        <w:rPr>
          <w:rStyle w:val="af9"/>
          <w:rFonts w:hint="cs"/>
          <w:rtl/>
        </w:rPr>
        <w:t>ה</w:t>
      </w:r>
      <w:r w:rsidRPr="008076B1">
        <w:rPr>
          <w:rStyle w:val="af9"/>
          <w:rFonts w:hint="cs"/>
          <w:rtl/>
        </w:rPr>
        <w:t xml:space="preserve">תוס' </w:t>
      </w:r>
      <w:r w:rsidRPr="0054150D">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Ref64561541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Pr>
          <w:rStyle w:val="af7"/>
          <w:rFonts w:eastAsia="Guttman Hodes"/>
          <w:rtl/>
        </w:rPr>
        <w:fldChar w:fldCharType="end"/>
      </w:r>
      <w:r>
        <w:rPr>
          <w:rStyle w:val="af7"/>
          <w:rFonts w:eastAsia="Guttman Hodes" w:hint="cs"/>
          <w:rtl/>
        </w:rPr>
        <w:t xml:space="preserve"> </w:t>
      </w:r>
      <w:r>
        <w:rPr>
          <w:rFonts w:hint="cs"/>
          <w:rtl/>
        </w:rPr>
        <w:t xml:space="preserve">דאביי ורבא ס"ל דאינו נאמן במיגו כיון שמדינא הקרקע יוצאת מתח"י, ועל הקרקע אין לו מיגו, ולכן כיון שהודה שאכל את הפירות, הוא חייב לשלם, כתב </w:t>
      </w:r>
      <w:r w:rsidRPr="00593984">
        <w:rPr>
          <w:rStyle w:val="af9"/>
          <w:rFonts w:hint="cs"/>
          <w:rtl/>
        </w:rPr>
        <w:t>הקוב"ש</w:t>
      </w:r>
      <w:r>
        <w:rPr>
          <w:rFonts w:hint="cs"/>
          <w:rtl/>
        </w:rPr>
        <w:t xml:space="preserve"> </w:t>
      </w:r>
      <w:r w:rsidRPr="00BB2544">
        <w:rPr>
          <w:rStyle w:val="af7"/>
          <w:rFonts w:eastAsia="Guttman Hodes" w:hint="cs"/>
          <w:rtl/>
        </w:rPr>
        <w:t>(או' קמ"ג)</w:t>
      </w:r>
      <w:r>
        <w:rPr>
          <w:rFonts w:hint="cs"/>
          <w:rtl/>
        </w:rPr>
        <w:t xml:space="preserve"> דמשמע מדברי </w:t>
      </w:r>
      <w:r w:rsidRPr="00593984">
        <w:rPr>
          <w:rStyle w:val="af9"/>
          <w:rFonts w:hint="cs"/>
          <w:rtl/>
        </w:rPr>
        <w:t>התוס'</w:t>
      </w:r>
      <w:r>
        <w:rPr>
          <w:rFonts w:hint="cs"/>
          <w:rtl/>
        </w:rPr>
        <w:t xml:space="preserve"> דלולי שהקרקע יוצאת מתח"י, היה נאמן על </w:t>
      </w:r>
      <w:r>
        <w:rPr>
          <w:rFonts w:hint="cs"/>
          <w:rtl/>
        </w:rPr>
        <w:lastRenderedPageBreak/>
        <w:t>הפירות, ורק על הקרקע שאין לו כל ראיה אמרינן דאין ספק מוציא מידי ודאי, אבל על הפירות שיש לו מיגו, לא אמרינן דאין ספק מוציא מידי ודאי, דהא יש לו ראיה דמיגו.</w:t>
      </w:r>
      <w:bookmarkEnd w:id="16138"/>
    </w:p>
    <w:p w:rsidR="00103C1B" w:rsidRDefault="00103C1B" w:rsidP="00103C1B">
      <w:pPr>
        <w:pStyle w:val="a3"/>
        <w:rPr>
          <w:rtl/>
        </w:rPr>
      </w:pPr>
      <w:bookmarkStart w:id="16139" w:name="_Toc64642997"/>
      <w:r>
        <w:rPr>
          <w:rFonts w:hint="cs"/>
          <w:rtl/>
        </w:rPr>
        <w:t>דברי הקוב"ש דבריב"ש מבואר דהא דלא מהני המיגו הוא מדין אין ספק מוציא מידי ודאי</w:t>
      </w:r>
      <w:bookmarkEnd w:id="16139"/>
      <w:r>
        <w:rPr>
          <w:rFonts w:hint="cs"/>
          <w:rtl/>
        </w:rPr>
        <w:t xml:space="preserve"> </w:t>
      </w:r>
    </w:p>
    <w:p w:rsidR="00103C1B" w:rsidRPr="00593984" w:rsidRDefault="00103C1B" w:rsidP="007E4E81">
      <w:pPr>
        <w:pStyle w:val="a0"/>
        <w:rPr>
          <w:rStyle w:val="afb"/>
          <w:rtl/>
        </w:rPr>
      </w:pPr>
      <w:r>
        <w:rPr>
          <w:rFonts w:hint="cs"/>
          <w:rtl/>
        </w:rPr>
        <w:t xml:space="preserve">אך כתב </w:t>
      </w:r>
      <w:r w:rsidRPr="00593984">
        <w:rPr>
          <w:rStyle w:val="af9"/>
          <w:rFonts w:hint="cs"/>
          <w:rtl/>
        </w:rPr>
        <w:t>הקוב"ש דבריב"ש</w:t>
      </w:r>
      <w:r>
        <w:rPr>
          <w:rFonts w:hint="cs"/>
          <w:rtl/>
        </w:rPr>
        <w:t xml:space="preserve"> </w:t>
      </w:r>
      <w:r w:rsidRPr="00BB2544">
        <w:rPr>
          <w:rStyle w:val="af7"/>
          <w:rFonts w:eastAsia="Guttman Hodes" w:hint="cs"/>
          <w:rtl/>
        </w:rPr>
        <w:t xml:space="preserve">(עי' אות </w:t>
      </w:r>
      <w:r w:rsidRPr="00BB2544">
        <w:rPr>
          <w:rStyle w:val="af7"/>
          <w:rFonts w:eastAsia="Guttman Hodes"/>
          <w:rtl/>
        </w:rPr>
        <w:fldChar w:fldCharType="begin"/>
      </w:r>
      <w:r w:rsidRPr="00BB2544">
        <w:rPr>
          <w:rStyle w:val="af7"/>
          <w:rFonts w:eastAsia="Guttman Hodes"/>
          <w:rtl/>
        </w:rPr>
        <w:instrText xml:space="preserve"> </w:instrText>
      </w:r>
      <w:r w:rsidRPr="00BB2544">
        <w:rPr>
          <w:rStyle w:val="af7"/>
          <w:rFonts w:eastAsia="Guttman Hodes" w:hint="cs"/>
        </w:rPr>
        <w:instrText>REF</w:instrText>
      </w:r>
      <w:r w:rsidRPr="00BB2544">
        <w:rPr>
          <w:rStyle w:val="af7"/>
          <w:rFonts w:eastAsia="Guttman Hodes" w:hint="cs"/>
          <w:rtl/>
        </w:rPr>
        <w:instrText xml:space="preserve"> _</w:instrText>
      </w:r>
      <w:r w:rsidRPr="00BB2544">
        <w:rPr>
          <w:rStyle w:val="af7"/>
          <w:rFonts w:eastAsia="Guttman Hodes" w:hint="cs"/>
        </w:rPr>
        <w:instrText>Ref64539551 \r \h</w:instrText>
      </w:r>
      <w:r w:rsidRPr="00BB2544">
        <w:rPr>
          <w:rStyle w:val="af7"/>
          <w:rFonts w:eastAsia="Guttman Hodes"/>
          <w:rtl/>
        </w:rPr>
        <w:instrText xml:space="preserve"> </w:instrText>
      </w:r>
      <w:r w:rsidRPr="00BB2544">
        <w:rPr>
          <w:rStyle w:val="af7"/>
          <w:rFonts w:eastAsia="Guttman Hodes"/>
          <w:rtl/>
        </w:rPr>
      </w:r>
      <w:r w:rsidRPr="00BB2544">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BB2544">
        <w:rPr>
          <w:rStyle w:val="af7"/>
          <w:rFonts w:eastAsia="Guttman Hodes"/>
          <w:rtl/>
        </w:rPr>
        <w:fldChar w:fldCharType="end"/>
      </w:r>
      <w:r>
        <w:rPr>
          <w:rFonts w:hint="cs"/>
          <w:rtl/>
        </w:rPr>
        <w:t xml:space="preserve"> מבואר דלא </w:t>
      </w:r>
      <w:r w:rsidRPr="00593984">
        <w:rPr>
          <w:rStyle w:val="af9"/>
          <w:rFonts w:hint="cs"/>
          <w:rtl/>
        </w:rPr>
        <w:t>כהתוס'</w:t>
      </w:r>
      <w:r>
        <w:rPr>
          <w:rFonts w:hint="cs"/>
          <w:rtl/>
        </w:rPr>
        <w:t xml:space="preserve">, דהא דלא מהני המיגו הוא כיון דאין ספק מוציא מידי ודאי, </w:t>
      </w:r>
      <w:r w:rsidRPr="005262D0">
        <w:rPr>
          <w:rStyle w:val="afb"/>
          <w:rFonts w:hint="cs"/>
          <w:rtl/>
        </w:rPr>
        <w:t xml:space="preserve">[והיינו אף כשאין הקרקע יוצאת מתח"י, ודלא </w:t>
      </w:r>
      <w:r w:rsidRPr="005262D0">
        <w:rPr>
          <w:rStyle w:val="affa"/>
          <w:rFonts w:hint="cs"/>
          <w:rtl/>
        </w:rPr>
        <w:t>כהתוס'</w:t>
      </w:r>
      <w:r w:rsidRPr="005262D0">
        <w:rPr>
          <w:rStyle w:val="afb"/>
          <w:rFonts w:hint="cs"/>
          <w:rtl/>
        </w:rPr>
        <w:t xml:space="preserve">], </w:t>
      </w:r>
      <w:r>
        <w:rPr>
          <w:rFonts w:hint="cs"/>
          <w:rtl/>
        </w:rPr>
        <w:t xml:space="preserve">והביא </w:t>
      </w:r>
      <w:r w:rsidRPr="00265B2C">
        <w:rPr>
          <w:rStyle w:val="af9"/>
          <w:rFonts w:hint="cs"/>
          <w:rtl/>
        </w:rPr>
        <w:t>הקוב"ש</w:t>
      </w:r>
      <w:r>
        <w:rPr>
          <w:rFonts w:hint="cs"/>
          <w:rtl/>
        </w:rPr>
        <w:t xml:space="preserve"> את דברי </w:t>
      </w:r>
      <w:r w:rsidRPr="00593984">
        <w:rPr>
          <w:rStyle w:val="af9"/>
          <w:rFonts w:hint="cs"/>
          <w:rtl/>
        </w:rPr>
        <w:t>התוס'</w:t>
      </w:r>
      <w:r>
        <w:rPr>
          <w:rFonts w:hint="cs"/>
          <w:rtl/>
        </w:rPr>
        <w:t xml:space="preserve"> </w:t>
      </w:r>
      <w:r w:rsidRPr="0054150D">
        <w:rPr>
          <w:rStyle w:val="af7"/>
          <w:rFonts w:eastAsia="Guttman Hodes" w:hint="cs"/>
          <w:rtl/>
        </w:rPr>
        <w:t>(לג: ד"ה ואי)</w:t>
      </w:r>
      <w:r>
        <w:rPr>
          <w:rFonts w:hint="cs"/>
          <w:rtl/>
        </w:rPr>
        <w:t xml:space="preserve"> דהקשו דכל שיש לו עדים שהחזיק ב' שנים, אמאי אינו נאמן במיגו דהיה יכול לטעון לפירות ירדתי, וכתב </w:t>
      </w:r>
      <w:r w:rsidRPr="00593984">
        <w:rPr>
          <w:rStyle w:val="af9"/>
          <w:rFonts w:hint="cs"/>
          <w:rtl/>
        </w:rPr>
        <w:t>הקוב"ש</w:t>
      </w:r>
      <w:r>
        <w:rPr>
          <w:rFonts w:hint="cs"/>
          <w:rtl/>
        </w:rPr>
        <w:t xml:space="preserve"> דלביאור </w:t>
      </w:r>
      <w:r w:rsidRPr="00593984">
        <w:rPr>
          <w:rStyle w:val="af9"/>
          <w:rFonts w:hint="cs"/>
          <w:rtl/>
        </w:rPr>
        <w:t>הריב"ש</w:t>
      </w:r>
      <w:r>
        <w:rPr>
          <w:rFonts w:hint="cs"/>
          <w:rtl/>
        </w:rPr>
        <w:t xml:space="preserve"> מתורצת קושית </w:t>
      </w:r>
      <w:r w:rsidRPr="00593984">
        <w:rPr>
          <w:rStyle w:val="af9"/>
          <w:rFonts w:hint="cs"/>
          <w:rtl/>
        </w:rPr>
        <w:t>התוס'</w:t>
      </w:r>
      <w:r w:rsidRPr="001A251C">
        <w:rPr>
          <w:rFonts w:hint="cs"/>
          <w:rtl/>
        </w:rPr>
        <w:t xml:space="preserve"> </w:t>
      </w:r>
      <w:r>
        <w:rPr>
          <w:rFonts w:hint="cs"/>
          <w:rtl/>
        </w:rPr>
        <w:t xml:space="preserve">דאינו נאמן במיגו כיון שמוציאין ממנו מדין אין ספק מוציא מידי ודאי. </w:t>
      </w:r>
      <w:r w:rsidRPr="00593984">
        <w:rPr>
          <w:rStyle w:val="afb"/>
          <w:rFonts w:hint="cs"/>
          <w:rtl/>
        </w:rPr>
        <w:t xml:space="preserve">[וכתב </w:t>
      </w:r>
      <w:r w:rsidRPr="0054150D">
        <w:rPr>
          <w:rStyle w:val="affa"/>
          <w:rFonts w:hint="cs"/>
          <w:rtl/>
        </w:rPr>
        <w:t>הקוב"ש</w:t>
      </w:r>
      <w:r w:rsidRPr="00593984">
        <w:rPr>
          <w:rStyle w:val="afb"/>
          <w:rFonts w:hint="cs"/>
          <w:rtl/>
        </w:rPr>
        <w:t xml:space="preserve"> דכן מ"ש </w:t>
      </w:r>
      <w:r w:rsidRPr="0054150D">
        <w:rPr>
          <w:rStyle w:val="affa"/>
          <w:rFonts w:hint="cs"/>
          <w:rtl/>
        </w:rPr>
        <w:t>התוס'</w:t>
      </w:r>
      <w:r w:rsidRPr="00593984">
        <w:rPr>
          <w:rStyle w:val="afb"/>
          <w:rFonts w:hint="cs"/>
          <w:rtl/>
        </w:rPr>
        <w:t xml:space="preserve"> </w:t>
      </w:r>
      <w:r w:rsidRPr="00C436D4">
        <w:rPr>
          <w:rStyle w:val="aff6"/>
          <w:rFonts w:hint="cs"/>
          <w:rtl/>
        </w:rPr>
        <w:t>(לג: ד"ה אי הכי)</w:t>
      </w:r>
      <w:r w:rsidRPr="00593984">
        <w:rPr>
          <w:rStyle w:val="afb"/>
          <w:rFonts w:hint="cs"/>
          <w:rtl/>
        </w:rPr>
        <w:t xml:space="preserve"> דכתבו דביורד לפירות דנאמן מסברת לא חציף כל שטוען שהקרקע שלו, אף שצריך להחזיר את הקרקע מ"מ א"צ להחזיר את הפירות שאכל, דלדברי </w:t>
      </w:r>
      <w:r w:rsidRPr="0054150D">
        <w:rPr>
          <w:rStyle w:val="affa"/>
          <w:rFonts w:hint="cs"/>
          <w:rtl/>
        </w:rPr>
        <w:t>הריב"ש</w:t>
      </w:r>
      <w:r w:rsidRPr="00593984">
        <w:rPr>
          <w:rStyle w:val="afb"/>
          <w:rFonts w:hint="cs"/>
          <w:rtl/>
        </w:rPr>
        <w:t xml:space="preserve"> צריך להחזיר מדין אין ספק מוציא מידי ודאי].</w:t>
      </w:r>
      <w:r>
        <w:rPr>
          <w:rStyle w:val="afb"/>
          <w:rFonts w:hint="cs"/>
          <w:rtl/>
        </w:rPr>
        <w:t xml:space="preserve"> </w:t>
      </w:r>
    </w:p>
    <w:p w:rsidR="00103C1B" w:rsidRPr="00C50F81" w:rsidRDefault="00103C1B" w:rsidP="00103C1B">
      <w:pPr>
        <w:pStyle w:val="afe"/>
        <w:rPr>
          <w:rtl/>
        </w:rPr>
      </w:pPr>
      <w:bookmarkStart w:id="16140" w:name="_Toc64642998"/>
      <w:r>
        <w:rPr>
          <w:rFonts w:hint="cs"/>
          <w:rtl/>
        </w:rPr>
        <w:t>בדין כח הטענה במיגו בפירות</w:t>
      </w:r>
      <w:bookmarkEnd w:id="16140"/>
    </w:p>
    <w:p w:rsidR="00103C1B" w:rsidRDefault="00103C1B" w:rsidP="00103C1B">
      <w:pPr>
        <w:pStyle w:val="1"/>
        <w:rPr>
          <w:rtl/>
        </w:rPr>
      </w:pPr>
      <w:bookmarkStart w:id="16141" w:name="_Toc64549053"/>
      <w:bookmarkStart w:id="16142" w:name="_Toc64576237"/>
      <w:bookmarkStart w:id="16143" w:name="_Toc64588879"/>
      <w:bookmarkStart w:id="16144" w:name="_Toc64629507"/>
      <w:bookmarkStart w:id="16145" w:name="_Toc64642999"/>
      <w:bookmarkEnd w:id="16124"/>
      <w:r>
        <w:rPr>
          <w:rFonts w:hint="cs"/>
          <w:rtl/>
        </w:rPr>
        <w:t>ביאור הקוב"ש בתוס' דבמיגו כח הטענה פלגינן נאמנות בפירות</w:t>
      </w:r>
      <w:bookmarkEnd w:id="16141"/>
      <w:bookmarkEnd w:id="16142"/>
      <w:bookmarkEnd w:id="16143"/>
      <w:bookmarkEnd w:id="16144"/>
      <w:bookmarkEnd w:id="16145"/>
    </w:p>
    <w:p w:rsidR="00103C1B" w:rsidRDefault="00103C1B" w:rsidP="00103C1B">
      <w:pPr>
        <w:pStyle w:val="a3"/>
        <w:rPr>
          <w:rtl/>
        </w:rPr>
      </w:pPr>
      <w:bookmarkStart w:id="16146" w:name="_Toc64643000"/>
      <w:r>
        <w:rPr>
          <w:rFonts w:hint="cs"/>
          <w:rtl/>
        </w:rPr>
        <w:t>בי' הקוב"ש בתוס' דהא דל"מ מיגו בפירות כיון שאין לו כח הטענה בקרקע אף שיש לו נאמנות</w:t>
      </w:r>
      <w:bookmarkEnd w:id="16146"/>
    </w:p>
    <w:p w:rsidR="00103C1B" w:rsidRDefault="00103C1B" w:rsidP="007E4E81">
      <w:pPr>
        <w:pStyle w:val="a0"/>
        <w:rPr>
          <w:rtl/>
        </w:rPr>
      </w:pPr>
      <w:r>
        <w:rPr>
          <w:rFonts w:hint="cs"/>
          <w:rtl/>
        </w:rPr>
        <w:t xml:space="preserve">במ"ש </w:t>
      </w:r>
      <w:r>
        <w:rPr>
          <w:rStyle w:val="af9"/>
          <w:rFonts w:hint="cs"/>
          <w:rtl/>
        </w:rPr>
        <w:t>ה</w:t>
      </w:r>
      <w:r w:rsidRPr="008076B1">
        <w:rPr>
          <w:rStyle w:val="af9"/>
          <w:rFonts w:hint="cs"/>
          <w:rtl/>
        </w:rPr>
        <w:t xml:space="preserve">תוס' </w:t>
      </w:r>
      <w:r w:rsidRPr="0006797D">
        <w:rPr>
          <w:rStyle w:val="af7"/>
          <w:rFonts w:eastAsia="Guttman Hodes" w:hint="cs"/>
          <w:rtl/>
        </w:rPr>
        <w:t xml:space="preserve">(עי' אות </w:t>
      </w:r>
      <w:r w:rsidRPr="0006797D">
        <w:rPr>
          <w:rStyle w:val="af7"/>
          <w:rFonts w:eastAsia="Guttman Hodes"/>
          <w:rtl/>
        </w:rPr>
        <w:fldChar w:fldCharType="begin"/>
      </w:r>
      <w:r w:rsidRPr="0006797D">
        <w:rPr>
          <w:rStyle w:val="af7"/>
          <w:rFonts w:eastAsia="Guttman Hodes"/>
          <w:rtl/>
        </w:rPr>
        <w:instrText xml:space="preserve"> </w:instrText>
      </w:r>
      <w:r w:rsidRPr="0006797D">
        <w:rPr>
          <w:rStyle w:val="af7"/>
          <w:rFonts w:eastAsia="Guttman Hodes" w:hint="cs"/>
        </w:rPr>
        <w:instrText>REF</w:instrText>
      </w:r>
      <w:r w:rsidRPr="0006797D">
        <w:rPr>
          <w:rStyle w:val="af7"/>
          <w:rFonts w:eastAsia="Guttman Hodes" w:hint="cs"/>
          <w:rtl/>
        </w:rPr>
        <w:instrText xml:space="preserve"> _</w:instrText>
      </w:r>
      <w:r w:rsidRPr="0006797D">
        <w:rPr>
          <w:rStyle w:val="af7"/>
          <w:rFonts w:eastAsia="Guttman Hodes" w:hint="cs"/>
        </w:rPr>
        <w:instrText>Ref64628892 \r \h</w:instrText>
      </w:r>
      <w:r w:rsidRPr="0006797D">
        <w:rPr>
          <w:rStyle w:val="af7"/>
          <w:rFonts w:eastAsia="Guttman Hodes"/>
          <w:rtl/>
        </w:rPr>
        <w:instrText xml:space="preserve"> </w:instrText>
      </w:r>
      <w:r w:rsidRPr="0006797D">
        <w:rPr>
          <w:rStyle w:val="af7"/>
          <w:rFonts w:eastAsia="Guttman Hodes"/>
          <w:rtl/>
        </w:rPr>
      </w:r>
      <w:r w:rsidRPr="0006797D">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06797D">
        <w:rPr>
          <w:rStyle w:val="af7"/>
          <w:rFonts w:eastAsia="Guttman Hodes"/>
          <w:rtl/>
        </w:rPr>
        <w:fldChar w:fldCharType="end"/>
      </w:r>
      <w:r>
        <w:rPr>
          <w:rFonts w:hint="cs"/>
          <w:rtl/>
        </w:rPr>
        <w:t xml:space="preserve"> דס"ל לרב חסדא דההוא גברא פטור על הפירות במיגו, דכיון שהיה יכול לטעון לא אכלתי, כשטוען אין אכלי ודידי אכלי הוא נאמן, ביאר </w:t>
      </w:r>
      <w:r w:rsidRPr="00BA1397">
        <w:rPr>
          <w:rStyle w:val="af9"/>
          <w:rFonts w:hint="cs"/>
          <w:rtl/>
        </w:rPr>
        <w:t>הקוב"ש</w:t>
      </w:r>
      <w:r>
        <w:rPr>
          <w:rFonts w:hint="cs"/>
          <w:rtl/>
        </w:rPr>
        <w:t xml:space="preserve"> </w:t>
      </w:r>
      <w:r w:rsidRPr="00BA1397">
        <w:rPr>
          <w:rStyle w:val="af7"/>
          <w:rFonts w:eastAsia="Guttman Hodes" w:hint="cs"/>
          <w:rtl/>
        </w:rPr>
        <w:t>(או' קמ"ד, ח"ב סי' ג' או' י"ג)</w:t>
      </w:r>
      <w:r>
        <w:rPr>
          <w:rFonts w:hint="cs"/>
          <w:rtl/>
        </w:rPr>
        <w:t xml:space="preserve"> דס"ל לרב חסדא דמה שהקרקע יוצאת מתח"י, הוא כיון שאין לו ראיה על הקרקע, אבל על הפירות שיש לו מיגו הוא נאמן, והמיגו מהני לפירות ולא לענין הקרקע, וכתב </w:t>
      </w:r>
      <w:r w:rsidRPr="00BA1397">
        <w:rPr>
          <w:rStyle w:val="af9"/>
          <w:rFonts w:hint="cs"/>
          <w:rtl/>
        </w:rPr>
        <w:t>הקוב"ש</w:t>
      </w:r>
      <w:r>
        <w:rPr>
          <w:rFonts w:hint="cs"/>
          <w:rtl/>
        </w:rPr>
        <w:t xml:space="preserve"> דמוכח מדברי </w:t>
      </w:r>
      <w:r w:rsidRPr="00BA1397">
        <w:rPr>
          <w:rStyle w:val="af9"/>
          <w:rFonts w:hint="cs"/>
          <w:rtl/>
        </w:rPr>
        <w:t>התוס'</w:t>
      </w:r>
      <w:r>
        <w:rPr>
          <w:rFonts w:hint="cs"/>
          <w:rtl/>
        </w:rPr>
        <w:t xml:space="preserve"> דמיגו מהני מדין כח הטענה, ולא רק מחמת הראיה דמה לי לשקר, ולכן שייך לומר דנאמן רק על הפירות ולא על הקרקע, כדין פליגנן נאמנות, אבל אי הנאמנות במיגו היא מדין מה לי לשקר, כתב </w:t>
      </w:r>
      <w:r w:rsidRPr="00B346CD">
        <w:rPr>
          <w:rStyle w:val="af9"/>
          <w:rFonts w:hint="cs"/>
          <w:rtl/>
        </w:rPr>
        <w:t>הקוב"ש</w:t>
      </w:r>
      <w:r>
        <w:rPr>
          <w:rFonts w:hint="cs"/>
          <w:rtl/>
        </w:rPr>
        <w:t xml:space="preserve"> דא"כ א"א לחלק בין הקרקע לבין הפירות, דכל שמוכח </w:t>
      </w:r>
      <w:r>
        <w:rPr>
          <w:rFonts w:hint="cs"/>
          <w:rtl/>
        </w:rPr>
        <w:t>דטענתו שהוא קרוב יותר היא אמת, ההוכחה היא בין על הקרקע ובין על הפירות.</w:t>
      </w:r>
    </w:p>
    <w:p w:rsidR="00103C1B" w:rsidRPr="0008292B" w:rsidRDefault="00103C1B" w:rsidP="00103C1B">
      <w:pPr>
        <w:pStyle w:val="a3"/>
        <w:rPr>
          <w:rtl/>
        </w:rPr>
      </w:pPr>
      <w:bookmarkStart w:id="16147" w:name="_Toc64643001"/>
      <w:r>
        <w:rPr>
          <w:rFonts w:hint="cs"/>
          <w:rtl/>
        </w:rPr>
        <w:t>בי' הקוב"ש דלאביי ורבא יש לו על הפירות ראיה מדין מיגו כח הטענה א"א לחלקם מדין הקרקע</w:t>
      </w:r>
      <w:bookmarkEnd w:id="16147"/>
    </w:p>
    <w:p w:rsidR="00103C1B" w:rsidRDefault="00103C1B" w:rsidP="007E4E81">
      <w:pPr>
        <w:pStyle w:val="a0"/>
      </w:pPr>
      <w:r>
        <w:rPr>
          <w:rFonts w:hint="cs"/>
          <w:rtl/>
        </w:rPr>
        <w:t xml:space="preserve">ובדעת אביי ורבא ביאר </w:t>
      </w:r>
      <w:r w:rsidRPr="00BA1397">
        <w:rPr>
          <w:rStyle w:val="af9"/>
          <w:rFonts w:hint="cs"/>
          <w:rtl/>
        </w:rPr>
        <w:t>הקוב"ש</w:t>
      </w:r>
      <w:r>
        <w:rPr>
          <w:rFonts w:hint="cs"/>
          <w:rtl/>
        </w:rPr>
        <w:t xml:space="preserve"> </w:t>
      </w:r>
      <w:r w:rsidRPr="005262D0">
        <w:rPr>
          <w:rStyle w:val="af7"/>
          <w:rFonts w:eastAsia="Guttman Hodes" w:hint="cs"/>
          <w:rtl/>
        </w:rPr>
        <w:t>(ח"ב סי' ג' או' י"ג)</w:t>
      </w:r>
      <w:r>
        <w:rPr>
          <w:rFonts w:hint="cs"/>
          <w:rtl/>
        </w:rPr>
        <w:t xml:space="preserve"> דס"ל דאעפ"י שעל הפירות יש לו ראיה מדין מיגו כח הטענה, מ"מ א"א לחלק בין הקרקע לבין הפירות, כיון שהפירות הם תולדה מכח הקרקע</w:t>
      </w:r>
      <w:r w:rsidRPr="005262D0">
        <w:rPr>
          <w:rFonts w:asciiTheme="minorHAnsi" w:hAnsiTheme="minorHAnsi" w:hint="cs"/>
          <w:rtl/>
        </w:rPr>
        <w:t xml:space="preserve">. </w:t>
      </w:r>
      <w:bookmarkStart w:id="16148" w:name="_Toc64576235"/>
      <w:bookmarkStart w:id="16149" w:name="_Toc64588877"/>
      <w:bookmarkStart w:id="16150" w:name="_Toc64629505"/>
    </w:p>
    <w:p w:rsidR="00103C1B" w:rsidRDefault="00103C1B" w:rsidP="00103C1B">
      <w:pPr>
        <w:pStyle w:val="1"/>
        <w:rPr>
          <w:rtl/>
        </w:rPr>
      </w:pPr>
      <w:bookmarkStart w:id="16151" w:name="_Toc64643002"/>
      <w:r>
        <w:rPr>
          <w:rFonts w:hint="cs"/>
          <w:rtl/>
        </w:rPr>
        <w:t>ביאור הגרנ"פ בתוס' וברבינו יונה</w:t>
      </w:r>
      <w:bookmarkEnd w:id="16148"/>
      <w:bookmarkEnd w:id="16149"/>
      <w:bookmarkEnd w:id="16150"/>
      <w:r>
        <w:rPr>
          <w:rFonts w:hint="cs"/>
          <w:rtl/>
        </w:rPr>
        <w:t xml:space="preserve"> דאין כח טענה במיגו בפירות</w:t>
      </w:r>
      <w:bookmarkEnd w:id="16151"/>
    </w:p>
    <w:p w:rsidR="00103C1B" w:rsidRDefault="00103C1B" w:rsidP="00103C1B">
      <w:pPr>
        <w:pStyle w:val="a3"/>
        <w:rPr>
          <w:rtl/>
        </w:rPr>
      </w:pPr>
      <w:bookmarkStart w:id="16152" w:name="_Toc64643003"/>
      <w:r>
        <w:rPr>
          <w:rFonts w:hint="cs"/>
          <w:rtl/>
        </w:rPr>
        <w:t>דברי הגרנ"פ דאפש"ל דס"ל להתוס' דהמיגו בפירות ל"מ דהוא כעין מיגו להוציא</w:t>
      </w:r>
      <w:bookmarkEnd w:id="16152"/>
    </w:p>
    <w:p w:rsidR="00103C1B" w:rsidRDefault="00103C1B" w:rsidP="007E4E81">
      <w:pPr>
        <w:pStyle w:val="a0"/>
        <w:rPr>
          <w:rtl/>
        </w:rPr>
      </w:pPr>
      <w:bookmarkStart w:id="16153" w:name="_Ref64563840"/>
      <w:r w:rsidRPr="00436B00">
        <w:rPr>
          <w:rFonts w:hint="cs"/>
          <w:rtl/>
        </w:rPr>
        <w:t>במ"ש</w:t>
      </w:r>
      <w:r>
        <w:rPr>
          <w:rStyle w:val="af9"/>
          <w:rFonts w:hint="cs"/>
          <w:rtl/>
        </w:rPr>
        <w:t xml:space="preserve"> </w:t>
      </w:r>
      <w:r w:rsidRPr="008076B1">
        <w:rPr>
          <w:rStyle w:val="af9"/>
          <w:rFonts w:hint="cs"/>
          <w:rtl/>
        </w:rPr>
        <w:t>התוס'</w:t>
      </w:r>
      <w:r>
        <w:rPr>
          <w:rFonts w:hint="cs"/>
          <w:rtl/>
        </w:rPr>
        <w:t xml:space="preserve"> </w:t>
      </w:r>
      <w:r w:rsidRPr="00926E25">
        <w:rPr>
          <w:rStyle w:val="af7"/>
          <w:rFonts w:eastAsia="Guttman Hodes" w:hint="cs"/>
          <w:rtl/>
        </w:rPr>
        <w:t xml:space="preserve">(עי' אות </w:t>
      </w:r>
      <w:r>
        <w:rPr>
          <w:rStyle w:val="af7"/>
          <w:rFonts w:eastAsia="Guttman Hodes"/>
          <w:rtl/>
        </w:rPr>
        <w:fldChar w:fldCharType="begin"/>
      </w:r>
      <w:r w:rsidRPr="001F72F1">
        <w:rPr>
          <w:rStyle w:val="af7"/>
          <w:rFonts w:eastAsia="Guttman Hodes"/>
          <w:rtl/>
        </w:rPr>
        <w:instrText xml:space="preserve"> </w:instrText>
      </w:r>
      <w:r w:rsidRPr="001F72F1">
        <w:rPr>
          <w:rStyle w:val="af7"/>
          <w:rFonts w:eastAsia="Guttman Hodes" w:hint="cs"/>
        </w:rPr>
        <w:instrText>REF</w:instrText>
      </w:r>
      <w:r w:rsidRPr="001F72F1">
        <w:rPr>
          <w:rStyle w:val="af7"/>
          <w:rFonts w:eastAsia="Guttman Hodes" w:hint="cs"/>
          <w:rtl/>
        </w:rPr>
        <w:instrText xml:space="preserve"> _</w:instrText>
      </w:r>
      <w:r w:rsidRPr="001F72F1">
        <w:rPr>
          <w:rStyle w:val="af7"/>
          <w:rFonts w:eastAsia="Guttman Hodes" w:hint="cs"/>
        </w:rPr>
        <w:instrText>Ref64389009 \r \h</w:instrText>
      </w:r>
      <w:r w:rsidRPr="001F72F1">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Pr>
          <w:rStyle w:val="af7"/>
          <w:rFonts w:eastAsia="Guttman Hodes"/>
          <w:rtl/>
        </w:rPr>
        <w:fldChar w:fldCharType="end"/>
      </w:r>
      <w:r>
        <w:rPr>
          <w:rFonts w:hint="cs"/>
          <w:rtl/>
        </w:rPr>
        <w:t xml:space="preserve"> דלדעת אביי ורבא הוא צריך להחזיר את הפירות, ואינו נאמן עליהם במיגו דלא היה מודה שאכל, כיון שהקרקע יוצאת מתח"י, כתב </w:t>
      </w:r>
      <w:r w:rsidRPr="0042614B">
        <w:rPr>
          <w:rStyle w:val="af9"/>
          <w:rFonts w:hint="cs"/>
          <w:rtl/>
        </w:rPr>
        <w:t xml:space="preserve">בחי' רבי נחום </w:t>
      </w:r>
      <w:r w:rsidRPr="0042614B">
        <w:rPr>
          <w:rStyle w:val="af7"/>
          <w:rFonts w:eastAsia="Guttman Hodes" w:hint="cs"/>
          <w:rtl/>
        </w:rPr>
        <w:t>(או' קע"ב ד"ה תד"ה)</w:t>
      </w:r>
      <w:r>
        <w:rPr>
          <w:rFonts w:hint="cs"/>
          <w:rtl/>
        </w:rPr>
        <w:t xml:space="preserve"> </w:t>
      </w:r>
      <w:r w:rsidRPr="0042614B">
        <w:rPr>
          <w:rStyle w:val="af9"/>
          <w:rFonts w:hint="cs"/>
          <w:rtl/>
        </w:rPr>
        <w:t xml:space="preserve">דהתוס' </w:t>
      </w:r>
      <w:r>
        <w:rPr>
          <w:rFonts w:hint="cs"/>
          <w:rtl/>
        </w:rPr>
        <w:t>לא ביארו אמאי אינו נאמן במיגו על הפירות, ומ</w:t>
      </w:r>
      <w:r w:rsidRPr="003836F2">
        <w:rPr>
          <w:rFonts w:hint="cs"/>
          <w:rtl/>
        </w:rPr>
        <w:t>דברי</w:t>
      </w:r>
      <w:r>
        <w:rPr>
          <w:rStyle w:val="af9"/>
          <w:rFonts w:hint="cs"/>
          <w:rtl/>
        </w:rPr>
        <w:t xml:space="preserve"> </w:t>
      </w:r>
      <w:r w:rsidRPr="003836F2">
        <w:rPr>
          <w:rStyle w:val="af9"/>
          <w:rFonts w:hint="cs"/>
          <w:rtl/>
        </w:rPr>
        <w:t>ה</w:t>
      </w:r>
      <w:r w:rsidRPr="00547063">
        <w:rPr>
          <w:rStyle w:val="af9"/>
          <w:rFonts w:hint="cs"/>
          <w:rtl/>
        </w:rPr>
        <w:t>רשב"ם</w:t>
      </w:r>
      <w:r w:rsidRPr="00BB2544">
        <w:rPr>
          <w:rStyle w:val="af7"/>
          <w:rFonts w:eastAsia="Guttman Hodes" w:hint="cs"/>
          <w:rtl/>
        </w:rPr>
        <w:t xml:space="preserve"> (עי' אות </w:t>
      </w:r>
      <w:r w:rsidRPr="00BB2544">
        <w:rPr>
          <w:rStyle w:val="af7"/>
          <w:rFonts w:eastAsia="Guttman Hodes"/>
          <w:rtl/>
        </w:rPr>
        <w:fldChar w:fldCharType="begin"/>
      </w:r>
      <w:r w:rsidRPr="00BB2544">
        <w:rPr>
          <w:rStyle w:val="af7"/>
          <w:rFonts w:eastAsia="Guttman Hodes"/>
          <w:rtl/>
        </w:rPr>
        <w:instrText xml:space="preserve"> </w:instrText>
      </w:r>
      <w:r w:rsidRPr="00BB2544">
        <w:rPr>
          <w:rStyle w:val="af7"/>
          <w:rFonts w:eastAsia="Guttman Hodes" w:hint="cs"/>
        </w:rPr>
        <w:instrText>REF</w:instrText>
      </w:r>
      <w:r w:rsidRPr="00BB2544">
        <w:rPr>
          <w:rStyle w:val="af7"/>
          <w:rFonts w:eastAsia="Guttman Hodes" w:hint="cs"/>
          <w:rtl/>
        </w:rPr>
        <w:instrText xml:space="preserve"> _</w:instrText>
      </w:r>
      <w:r w:rsidRPr="00BB2544">
        <w:rPr>
          <w:rStyle w:val="af7"/>
          <w:rFonts w:eastAsia="Guttman Hodes" w:hint="cs"/>
        </w:rPr>
        <w:instrText>Ref64539680 \r \h</w:instrText>
      </w:r>
      <w:r w:rsidRPr="00BB2544">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B2544">
        <w:rPr>
          <w:rStyle w:val="af7"/>
          <w:rFonts w:eastAsia="Guttman Hodes"/>
          <w:rtl/>
        </w:rPr>
      </w:r>
      <w:r w:rsidRPr="00BB2544">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BB2544">
        <w:rPr>
          <w:rStyle w:val="af7"/>
          <w:rFonts w:eastAsia="Guttman Hodes"/>
          <w:rtl/>
        </w:rPr>
        <w:fldChar w:fldCharType="end"/>
      </w:r>
      <w:r>
        <w:rPr>
          <w:rFonts w:hint="cs"/>
          <w:rtl/>
        </w:rPr>
        <w:t xml:space="preserve"> מבואר דפליג על </w:t>
      </w:r>
      <w:r w:rsidRPr="0042614B">
        <w:rPr>
          <w:rStyle w:val="af9"/>
          <w:rFonts w:hint="cs"/>
          <w:rtl/>
        </w:rPr>
        <w:t xml:space="preserve">התוס' </w:t>
      </w:r>
      <w:r>
        <w:rPr>
          <w:rFonts w:hint="cs"/>
          <w:rtl/>
        </w:rPr>
        <w:t xml:space="preserve">וס"ל דהוא נאמן במיגו על הפירות, אעפ"י שהקרקע יוצאת מתח"י, וצ"ב במה נחלקו, וכתב </w:t>
      </w:r>
      <w:r w:rsidRPr="0042614B">
        <w:rPr>
          <w:rStyle w:val="af9"/>
          <w:rFonts w:hint="cs"/>
          <w:rtl/>
        </w:rPr>
        <w:t xml:space="preserve">בחי' רבי נחום </w:t>
      </w:r>
      <w:r>
        <w:rPr>
          <w:rFonts w:hint="cs"/>
          <w:rtl/>
        </w:rPr>
        <w:t xml:space="preserve">דאפשר לבאר דכוונת </w:t>
      </w:r>
      <w:r w:rsidRPr="0042614B">
        <w:rPr>
          <w:rStyle w:val="af9"/>
          <w:rFonts w:hint="cs"/>
          <w:rtl/>
        </w:rPr>
        <w:t xml:space="preserve">התוס' </w:t>
      </w:r>
      <w:r>
        <w:rPr>
          <w:rFonts w:hint="cs"/>
          <w:rtl/>
        </w:rPr>
        <w:t>דהוא כעין מיגו להוציא, כיון דגוף הקרקע נשאר בחזקת המרא קמא, ממילא הוא חשיב כמוחזק אף בפירות.</w:t>
      </w:r>
      <w:bookmarkEnd w:id="16153"/>
    </w:p>
    <w:p w:rsidR="00103C1B" w:rsidRDefault="00103C1B" w:rsidP="00103C1B">
      <w:pPr>
        <w:pStyle w:val="a3"/>
        <w:rPr>
          <w:rtl/>
        </w:rPr>
      </w:pPr>
      <w:bookmarkStart w:id="16154" w:name="_Toc64643004"/>
      <w:r>
        <w:rPr>
          <w:rFonts w:hint="cs"/>
          <w:rtl/>
        </w:rPr>
        <w:t>ביאור הגרנ"פ בתוס' וברבינו יונה דכל שבטלה עיקר הטענה בקרקע אין כח טענה במיגו בפירות</w:t>
      </w:r>
      <w:bookmarkEnd w:id="16154"/>
    </w:p>
    <w:p w:rsidR="00103C1B" w:rsidRDefault="00103C1B" w:rsidP="007E4E81">
      <w:pPr>
        <w:pStyle w:val="a0"/>
        <w:rPr>
          <w:rtl/>
        </w:rPr>
        <w:sectPr w:rsidR="00103C1B" w:rsidSect="005049E2">
          <w:footerReference w:type="default" r:id="rId146"/>
          <w:type w:val="continuous"/>
          <w:pgSz w:w="11906" w:h="16838"/>
          <w:pgMar w:top="720" w:right="720" w:bottom="720" w:left="720" w:header="283" w:footer="283" w:gutter="0"/>
          <w:cols w:num="2" w:space="567"/>
          <w:titlePg/>
          <w:bidi/>
          <w:rtlGutter/>
          <w:docGrid w:linePitch="299"/>
        </w:sectPr>
      </w:pPr>
      <w:bookmarkStart w:id="16155" w:name="_Ref64563762"/>
      <w:r>
        <w:rPr>
          <w:rFonts w:hint="cs"/>
          <w:rtl/>
        </w:rPr>
        <w:t xml:space="preserve">אך כתב </w:t>
      </w:r>
      <w:r w:rsidRPr="0042614B">
        <w:rPr>
          <w:rStyle w:val="af9"/>
          <w:rFonts w:hint="cs"/>
          <w:rtl/>
        </w:rPr>
        <w:t xml:space="preserve">בחי' רבי נחום </w:t>
      </w:r>
      <w:r w:rsidRPr="0042614B">
        <w:rPr>
          <w:rStyle w:val="af7"/>
          <w:rFonts w:eastAsia="Guttman Hodes" w:hint="cs"/>
          <w:rtl/>
        </w:rPr>
        <w:t xml:space="preserve">(או' קע"ב ד"ה </w:t>
      </w:r>
      <w:r w:rsidRPr="0042614B">
        <w:rPr>
          <w:rStyle w:val="af7"/>
          <w:rFonts w:eastAsia="Guttman Hodes"/>
          <w:rtl/>
        </w:rPr>
        <w:t>דהנה ברבינו יונה</w:t>
      </w:r>
      <w:r w:rsidRPr="0042614B">
        <w:rPr>
          <w:rStyle w:val="af7"/>
          <w:rFonts w:eastAsia="Guttman Hodes" w:hint="cs"/>
          <w:rtl/>
        </w:rPr>
        <w:t>)</w:t>
      </w:r>
      <w:r>
        <w:rPr>
          <w:rFonts w:hint="cs"/>
          <w:rtl/>
        </w:rPr>
        <w:t xml:space="preserve"> דיותר נראה לבאר דכוונת </w:t>
      </w:r>
      <w:r w:rsidRPr="0042614B">
        <w:rPr>
          <w:rStyle w:val="af9"/>
          <w:rFonts w:hint="cs"/>
          <w:rtl/>
        </w:rPr>
        <w:t xml:space="preserve">התוס' </w:t>
      </w:r>
      <w:r>
        <w:rPr>
          <w:rFonts w:hint="cs"/>
          <w:rtl/>
        </w:rPr>
        <w:t xml:space="preserve">כדברי </w:t>
      </w:r>
      <w:r w:rsidRPr="0042614B">
        <w:rPr>
          <w:rStyle w:val="af9"/>
          <w:rFonts w:hint="cs"/>
          <w:rtl/>
        </w:rPr>
        <w:t xml:space="preserve">רבינו יונה </w:t>
      </w:r>
      <w:r w:rsidRPr="0042614B">
        <w:rPr>
          <w:rStyle w:val="af7"/>
          <w:rFonts w:eastAsia="Guttman Hodes" w:hint="cs"/>
          <w:rtl/>
        </w:rPr>
        <w:t xml:space="preserve">(עי' אות </w:t>
      </w:r>
      <w:r w:rsidRPr="0042614B">
        <w:rPr>
          <w:rStyle w:val="af7"/>
          <w:rFonts w:eastAsia="Guttman Hodes"/>
          <w:rtl/>
        </w:rPr>
        <w:fldChar w:fldCharType="begin"/>
      </w:r>
      <w:r w:rsidRPr="0042614B">
        <w:rPr>
          <w:rStyle w:val="af7"/>
          <w:rFonts w:eastAsia="Guttman Hodes"/>
          <w:rtl/>
        </w:rPr>
        <w:instrText xml:space="preserve"> </w:instrText>
      </w:r>
      <w:r w:rsidRPr="0042614B">
        <w:rPr>
          <w:rStyle w:val="af7"/>
          <w:rFonts w:eastAsia="Guttman Hodes" w:hint="cs"/>
        </w:rPr>
        <w:instrText>REF</w:instrText>
      </w:r>
      <w:r w:rsidRPr="0042614B">
        <w:rPr>
          <w:rStyle w:val="af7"/>
          <w:rFonts w:eastAsia="Guttman Hodes" w:hint="cs"/>
          <w:rtl/>
        </w:rPr>
        <w:instrText xml:space="preserve"> _</w:instrText>
      </w:r>
      <w:r w:rsidRPr="0042614B">
        <w:rPr>
          <w:rStyle w:val="af7"/>
          <w:rFonts w:eastAsia="Guttman Hodes" w:hint="cs"/>
        </w:rPr>
        <w:instrText>Ref64563745 \r \h</w:instrText>
      </w:r>
      <w:r w:rsidRPr="0042614B">
        <w:rPr>
          <w:rStyle w:val="af7"/>
          <w:rFonts w:eastAsia="Guttman Hodes"/>
          <w:rtl/>
        </w:rPr>
        <w:instrText xml:space="preserve"> </w:instrText>
      </w:r>
      <w:r w:rsidRPr="0042614B">
        <w:rPr>
          <w:rStyle w:val="af7"/>
          <w:rFonts w:eastAsia="Guttman Hodes"/>
          <w:rtl/>
        </w:rPr>
      </w:r>
      <w:r w:rsidRPr="0042614B">
        <w:rPr>
          <w:rStyle w:val="af7"/>
          <w:rFonts w:eastAsia="Guttman Hodes"/>
          <w:rtl/>
        </w:rPr>
        <w:fldChar w:fldCharType="separate"/>
      </w:r>
      <w:r w:rsidR="00265073">
        <w:rPr>
          <w:rStyle w:val="af7"/>
          <w:rFonts w:eastAsia="Guttman Hodes"/>
          <w:cs/>
        </w:rPr>
        <w:t>‎</w:t>
      </w:r>
      <w:r w:rsidR="00265073">
        <w:rPr>
          <w:rStyle w:val="af7"/>
          <w:rFonts w:eastAsia="Guttman Hodes"/>
          <w:rtl/>
        </w:rPr>
        <w:t>פח)</w:t>
      </w:r>
      <w:r w:rsidRPr="0042614B">
        <w:rPr>
          <w:rStyle w:val="af7"/>
          <w:rFonts w:eastAsia="Guttman Hodes"/>
          <w:rtl/>
        </w:rPr>
        <w:fldChar w:fldCharType="end"/>
      </w:r>
      <w:r>
        <w:rPr>
          <w:rFonts w:hint="cs"/>
          <w:rtl/>
        </w:rPr>
        <w:t xml:space="preserve"> דכתב</w:t>
      </w:r>
      <w:r w:rsidRPr="00740B9F">
        <w:rPr>
          <w:rFonts w:hint="cs"/>
          <w:rtl/>
        </w:rPr>
        <w:t xml:space="preserve"> </w:t>
      </w:r>
      <w:r>
        <w:rPr>
          <w:rFonts w:hint="cs"/>
          <w:rtl/>
        </w:rPr>
        <w:t xml:space="preserve">דכיון שלעיקר טענתו שקנה את הקרקע אינו נאמן, ממילא אינו נאמן אף לענין הפירות, וכתב </w:t>
      </w:r>
      <w:r w:rsidRPr="0042614B">
        <w:rPr>
          <w:rStyle w:val="af9"/>
          <w:rFonts w:hint="cs"/>
          <w:rtl/>
        </w:rPr>
        <w:t>בחי' רבי נחום</w:t>
      </w:r>
      <w:r>
        <w:rPr>
          <w:rFonts w:hint="cs"/>
          <w:rtl/>
        </w:rPr>
        <w:t xml:space="preserve"> דכוונת </w:t>
      </w:r>
      <w:r w:rsidRPr="0042614B">
        <w:rPr>
          <w:rStyle w:val="af9"/>
          <w:rFonts w:hint="cs"/>
          <w:rtl/>
        </w:rPr>
        <w:t xml:space="preserve">רבינו יונה </w:t>
      </w:r>
      <w:r>
        <w:rPr>
          <w:rFonts w:hint="cs"/>
          <w:rtl/>
        </w:rPr>
        <w:t xml:space="preserve">לומר דאינו נאמן במיגו על הפירות, כיון שעיקר טענתו לא התקיימה, והיינו דאין לו מיגו כח הטענה, דכל דין מיגו הוא לחזק את טענתו, דע"י המיגו הוא נאמן במה שטוען, אבל כשעיקר טענתו לא מתקבלת, דאינו נאמן שקנה את הקרקע, ממילא לא שייך להאמין לו לענין הפירות במיגו, דהמיגו לא יכול לחזק טענה שלא התקבלה, ועיי"ש במה שביאר </w:t>
      </w:r>
      <w:r w:rsidRPr="00DF3E85">
        <w:rPr>
          <w:rStyle w:val="af9"/>
          <w:rFonts w:hint="cs"/>
          <w:rtl/>
        </w:rPr>
        <w:t>בחי' רבי נחום</w:t>
      </w:r>
      <w:r>
        <w:rPr>
          <w:rFonts w:hint="cs"/>
          <w:rtl/>
        </w:rPr>
        <w:t xml:space="preserve"> לפי"ז את דברי </w:t>
      </w:r>
      <w:r w:rsidRPr="00DF3E85">
        <w:rPr>
          <w:rStyle w:val="af9"/>
          <w:rFonts w:hint="cs"/>
          <w:rtl/>
        </w:rPr>
        <w:t>רבינו יונה לקמן</w:t>
      </w:r>
      <w:r>
        <w:rPr>
          <w:rFonts w:hint="cs"/>
          <w:rtl/>
        </w:rPr>
        <w:t xml:space="preserve"> </w:t>
      </w:r>
      <w:r w:rsidRPr="00420984">
        <w:rPr>
          <w:rStyle w:val="af7"/>
          <w:rFonts w:eastAsia="Guttman Hodes" w:hint="cs"/>
          <w:rtl/>
        </w:rPr>
        <w:t>(לד. ד"ה א"ל)</w:t>
      </w:r>
      <w:r>
        <w:rPr>
          <w:rFonts w:hint="cs"/>
          <w:rtl/>
        </w:rPr>
        <w:t>.</w:t>
      </w:r>
      <w:bookmarkEnd w:id="16155"/>
    </w:p>
    <w:p w:rsidR="00103C1B" w:rsidRDefault="00103C1B" w:rsidP="007E4E81">
      <w:pPr>
        <w:pStyle w:val="a0"/>
        <w:rPr>
          <w:rtl/>
        </w:rPr>
        <w:sectPr w:rsidR="00103C1B" w:rsidSect="005049E2">
          <w:type w:val="continuous"/>
          <w:pgSz w:w="11906" w:h="16838"/>
          <w:pgMar w:top="720" w:right="720" w:bottom="720" w:left="720" w:header="283" w:footer="283" w:gutter="0"/>
          <w:cols w:num="2" w:space="567"/>
          <w:titlePg/>
          <w:bidi/>
          <w:rtlGutter/>
          <w:docGrid w:linePitch="299"/>
        </w:sectPr>
      </w:pPr>
    </w:p>
    <w:p w:rsidR="000F5507" w:rsidRDefault="000F5507" w:rsidP="000F5507">
      <w:pPr>
        <w:pStyle w:val="afd"/>
        <w:rPr>
          <w:rtl/>
        </w:rPr>
      </w:pPr>
      <w:bookmarkStart w:id="16156" w:name="_Toc64925377"/>
      <w:bookmarkStart w:id="16157" w:name="_Toc65141928"/>
      <w:bookmarkStart w:id="16158" w:name="_Toc65185620"/>
      <w:bookmarkStart w:id="16159" w:name="_Toc65529959"/>
      <w:bookmarkStart w:id="16160" w:name="_Toc65604012"/>
      <w:bookmarkStart w:id="16161" w:name="_Toc65605894"/>
      <w:bookmarkStart w:id="16162" w:name="_Toc65617138"/>
      <w:bookmarkStart w:id="16163" w:name="_Toc65666092"/>
      <w:bookmarkStart w:id="16164" w:name="_Toc65689748"/>
      <w:bookmarkStart w:id="16165" w:name="_Toc65703288"/>
      <w:bookmarkStart w:id="16166" w:name="_Toc65713956"/>
      <w:bookmarkStart w:id="16167" w:name="_Toc65714809"/>
      <w:bookmarkStart w:id="16168" w:name="_Toc66209229"/>
      <w:r w:rsidRPr="00C03D92">
        <w:rPr>
          <w:rFonts w:hint="cs"/>
          <w:rtl/>
        </w:rPr>
        <w:lastRenderedPageBreak/>
        <w:t xml:space="preserve">סימן </w:t>
      </w:r>
      <w:r>
        <w:rPr>
          <w:rFonts w:hint="cs"/>
          <w:rtl/>
        </w:rPr>
        <w:t>י"ז</w:t>
      </w:r>
      <w:bookmarkEnd w:id="16156"/>
      <w:bookmarkEnd w:id="16157"/>
      <w:bookmarkEnd w:id="16158"/>
      <w:bookmarkEnd w:id="16159"/>
      <w:bookmarkEnd w:id="16160"/>
      <w:bookmarkEnd w:id="16161"/>
      <w:bookmarkEnd w:id="16162"/>
      <w:bookmarkEnd w:id="16163"/>
      <w:bookmarkEnd w:id="16164"/>
      <w:bookmarkEnd w:id="16165"/>
      <w:bookmarkEnd w:id="16166"/>
      <w:bookmarkEnd w:id="16167"/>
      <w:bookmarkEnd w:id="16168"/>
    </w:p>
    <w:p w:rsidR="000F5507" w:rsidRDefault="000F5507" w:rsidP="000F5507">
      <w:pPr>
        <w:pStyle w:val="afd"/>
        <w:rPr>
          <w:noProof/>
          <w:rtl/>
        </w:rPr>
      </w:pPr>
      <w:bookmarkStart w:id="16169" w:name="_Toc64925378"/>
      <w:bookmarkStart w:id="16170" w:name="_Toc65141929"/>
      <w:bookmarkStart w:id="16171" w:name="_Toc65185621"/>
      <w:bookmarkStart w:id="16172" w:name="_Toc65529960"/>
      <w:bookmarkStart w:id="16173" w:name="_Toc65604013"/>
      <w:bookmarkStart w:id="16174" w:name="_Toc65605895"/>
      <w:bookmarkStart w:id="16175" w:name="_Toc65617139"/>
      <w:bookmarkStart w:id="16176" w:name="_Toc65666093"/>
      <w:bookmarkStart w:id="16177" w:name="_Toc65689749"/>
      <w:bookmarkStart w:id="16178" w:name="_Toc65703289"/>
      <w:bookmarkStart w:id="16179" w:name="_Toc65713957"/>
      <w:bookmarkStart w:id="16180" w:name="_Toc65714810"/>
      <w:bookmarkStart w:id="16181" w:name="_Toc66209230"/>
      <w:r>
        <w:rPr>
          <w:rFonts w:hint="cs"/>
          <w:noProof/>
          <w:rtl/>
        </w:rPr>
        <w:t xml:space="preserve">בסוגיא </w:t>
      </w:r>
      <w:bookmarkEnd w:id="16169"/>
      <w:r>
        <w:rPr>
          <w:rFonts w:hint="cs"/>
          <w:noProof/>
          <w:rtl/>
        </w:rPr>
        <w:t>דנסכא דרבי אבא</w:t>
      </w:r>
      <w:bookmarkEnd w:id="16170"/>
      <w:bookmarkEnd w:id="16171"/>
      <w:bookmarkEnd w:id="16172"/>
      <w:r>
        <w:rPr>
          <w:rFonts w:hint="cs"/>
          <w:noProof/>
          <w:rtl/>
        </w:rPr>
        <w:t xml:space="preserve"> (א')</w:t>
      </w:r>
      <w:bookmarkEnd w:id="16173"/>
      <w:bookmarkEnd w:id="16174"/>
      <w:bookmarkEnd w:id="16175"/>
      <w:bookmarkEnd w:id="16176"/>
      <w:bookmarkEnd w:id="16177"/>
      <w:bookmarkEnd w:id="16178"/>
      <w:bookmarkEnd w:id="16179"/>
      <w:bookmarkEnd w:id="16180"/>
      <w:bookmarkEnd w:id="16181"/>
    </w:p>
    <w:p w:rsidR="000F5507" w:rsidRDefault="000F5507" w:rsidP="000F5507">
      <w:pPr>
        <w:pStyle w:val="afe"/>
        <w:rPr>
          <w:rtl/>
        </w:rPr>
      </w:pPr>
      <w:bookmarkStart w:id="16182" w:name="_Toc65689750"/>
      <w:bookmarkStart w:id="16183" w:name="_Toc65703290"/>
      <w:bookmarkStart w:id="16184" w:name="_Toc65713958"/>
      <w:bookmarkStart w:id="16185" w:name="_Toc65714811"/>
      <w:r>
        <w:rPr>
          <w:rFonts w:hint="cs"/>
          <w:rtl/>
        </w:rPr>
        <w:t>בהא דא"א לחייבו או לפוטרו ואינו יכול להשבע ובדין ע"א באכילת פירות</w:t>
      </w:r>
      <w:bookmarkEnd w:id="16182"/>
      <w:bookmarkEnd w:id="16183"/>
      <w:bookmarkEnd w:id="16184"/>
      <w:bookmarkEnd w:id="16185"/>
    </w:p>
    <w:p w:rsidR="000F5507" w:rsidRDefault="000F5507" w:rsidP="000F5507">
      <w:pPr>
        <w:pStyle w:val="aff4"/>
      </w:pPr>
      <w:r>
        <w:rPr>
          <w:rFonts w:hint="cs"/>
          <w:noProof/>
          <w:rtl/>
        </w:rPr>
        <w:t>~~~~~~~</w:t>
      </w:r>
      <w:r>
        <w:rPr>
          <w:rFonts w:hint="cs"/>
          <w:rtl/>
        </w:rPr>
        <w:t xml:space="preserve"> תוכן הענינים </w:t>
      </w:r>
      <w:r>
        <w:rPr>
          <w:rFonts w:hint="cs"/>
          <w:noProof/>
          <w:rtl/>
        </w:rPr>
        <w:t>~~~~~~~</w:t>
      </w:r>
    </w:p>
    <w:p w:rsidR="000F5507" w:rsidRDefault="000F5507" w:rsidP="000F5507">
      <w:pPr>
        <w:bidi w:val="0"/>
        <w:spacing w:line="240" w:lineRule="auto"/>
        <w:ind w:left="0"/>
        <w:jc w:val="left"/>
        <w:rPr>
          <w:rFonts w:ascii="Guttman Hodes" w:eastAsia="Guttman Hodes" w:hAnsi="Guttman Hodes" w:cs="Guttman Hodes"/>
          <w:b/>
          <w:bCs/>
          <w:sz w:val="18"/>
          <w:szCs w:val="18"/>
          <w:rtl/>
        </w:rPr>
        <w:sectPr w:rsidR="000F5507" w:rsidSect="000F5507">
          <w:headerReference w:type="default" r:id="rId147"/>
          <w:pgSz w:w="11906" w:h="16838"/>
          <w:pgMar w:top="720" w:right="720" w:bottom="720" w:left="720" w:header="283" w:footer="283" w:gutter="0"/>
          <w:cols w:space="720"/>
          <w:bidi/>
          <w:rtlGutter/>
        </w:sectPr>
      </w:pPr>
    </w:p>
    <w:p w:rsidR="000F5507" w:rsidRDefault="000F5507" w:rsidP="000F5507">
      <w:pPr>
        <w:pStyle w:val="2"/>
        <w:rPr>
          <w:rFonts w:eastAsiaTheme="minorEastAsia" w:cstheme="minorBidi"/>
          <w:i/>
          <w:iCs/>
          <w:sz w:val="22"/>
          <w:szCs w:val="22"/>
          <w:rtl/>
        </w:rPr>
      </w:pPr>
      <w:r>
        <w:rPr>
          <w:rFonts w:asciiTheme="minorHAnsi" w:eastAsiaTheme="minorHAnsi" w:hAnsiTheme="minorHAnsi" w:cstheme="minorHAnsi"/>
          <w:i/>
          <w:iCs/>
          <w:noProof w:val="0"/>
          <w:sz w:val="20"/>
          <w:szCs w:val="20"/>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rFonts w:asciiTheme="minorHAnsi" w:eastAsiaTheme="minorHAnsi" w:hAnsiTheme="minorHAnsi" w:cstheme="minorHAnsi"/>
          <w:i/>
          <w:iCs/>
          <w:noProof w:val="0"/>
          <w:sz w:val="20"/>
          <w:szCs w:val="20"/>
          <w:rtl/>
        </w:rPr>
        <w:fldChar w:fldCharType="separate"/>
      </w:r>
      <w:r>
        <w:rPr>
          <w:rtl/>
        </w:rPr>
        <w:t>בבי' האופנים דחייב או פטור או נשבע</w:t>
      </w:r>
    </w:p>
    <w:p w:rsidR="000F5507" w:rsidRDefault="000F5507" w:rsidP="000F5507">
      <w:pPr>
        <w:pStyle w:val="aff4"/>
        <w:rPr>
          <w:rFonts w:eastAsiaTheme="minorEastAsia" w:cstheme="minorBidi"/>
          <w:i/>
          <w:iCs/>
          <w:noProof/>
          <w:sz w:val="22"/>
          <w:szCs w:val="22"/>
          <w:rtl/>
        </w:rPr>
      </w:pPr>
      <w:r>
        <w:rPr>
          <w:noProof/>
          <w:rtl/>
        </w:rPr>
        <w:t>בי' הרשב"ם דבג' אופנים הדין פשוט דחייב או פטור או נשבע</w:t>
      </w:r>
    </w:p>
    <w:p w:rsidR="000F5507" w:rsidRPr="007E4E81" w:rsidRDefault="000F5507" w:rsidP="00BA3263">
      <w:pPr>
        <w:pStyle w:val="a"/>
        <w:numPr>
          <w:ilvl w:val="0"/>
          <w:numId w:val="35"/>
        </w:numPr>
        <w:rPr>
          <w:rFonts w:eastAsiaTheme="minorEastAsia" w:cstheme="minorBidi"/>
          <w:sz w:val="22"/>
          <w:szCs w:val="22"/>
          <w:rtl/>
        </w:rPr>
      </w:pPr>
      <w:r>
        <w:rPr>
          <w:rtl/>
        </w:rPr>
        <w:t>דברי הרשב"ם דכשיש ב' עדים שחטף אינו נאמן בטענת דידי חטפי להוציא ממוחזק בלא ראיה</w:t>
      </w:r>
    </w:p>
    <w:p w:rsidR="000F5507" w:rsidRDefault="000F5507" w:rsidP="007E4E81">
      <w:pPr>
        <w:pStyle w:val="a"/>
        <w:rPr>
          <w:rFonts w:eastAsiaTheme="minorEastAsia" w:cstheme="minorBidi"/>
          <w:sz w:val="22"/>
          <w:szCs w:val="22"/>
          <w:rtl/>
        </w:rPr>
      </w:pPr>
      <w:r>
        <w:rPr>
          <w:rtl/>
        </w:rPr>
        <w:t>דברי הרשב"ם דבמודה שחטף נאמן בטענת דידי חטפי במיגו ובע"א נאמן בשבועה רק דלא חטף</w:t>
      </w:r>
    </w:p>
    <w:p w:rsidR="000F5507" w:rsidRDefault="000F5507" w:rsidP="000F5507">
      <w:pPr>
        <w:pStyle w:val="aff4"/>
        <w:rPr>
          <w:rFonts w:eastAsiaTheme="minorEastAsia" w:cstheme="minorBidi"/>
          <w:i/>
          <w:iCs/>
          <w:noProof/>
          <w:sz w:val="22"/>
          <w:szCs w:val="22"/>
          <w:rtl/>
        </w:rPr>
      </w:pPr>
      <w:r>
        <w:rPr>
          <w:noProof/>
          <w:rtl/>
        </w:rPr>
        <w:t>פלוג' האחרונים בטוען דידי חטפי בב' עדים אי נעשה חשוד</w:t>
      </w:r>
    </w:p>
    <w:p w:rsidR="000F5507" w:rsidRDefault="000F5507" w:rsidP="007E4E81">
      <w:pPr>
        <w:pStyle w:val="a"/>
        <w:rPr>
          <w:rFonts w:eastAsiaTheme="minorEastAsia" w:cstheme="minorBidi"/>
          <w:sz w:val="22"/>
          <w:szCs w:val="22"/>
          <w:rtl/>
        </w:rPr>
      </w:pPr>
      <w:r>
        <w:rPr>
          <w:rtl/>
        </w:rPr>
        <w:t>ביאור הנוב"י ברש"י דלשבועה זו פסול כגזלן ולשאר שבועות אפש"ל דאינו פסול אף בב' עדים</w:t>
      </w:r>
    </w:p>
    <w:p w:rsidR="000F5507" w:rsidRDefault="000F5507" w:rsidP="007E4E81">
      <w:pPr>
        <w:pStyle w:val="a"/>
        <w:rPr>
          <w:rFonts w:eastAsiaTheme="minorEastAsia" w:cstheme="minorBidi"/>
          <w:sz w:val="22"/>
          <w:szCs w:val="22"/>
          <w:rtl/>
        </w:rPr>
      </w:pPr>
      <w:r>
        <w:rPr>
          <w:rtl/>
        </w:rPr>
        <w:t>דברי הדרכ"מ דבב' עדים וטוען דידי חטפי אינו נעשה חשוד לשבועה ויכול להשבע שהחזיר</w:t>
      </w:r>
    </w:p>
    <w:p w:rsidR="000F5507" w:rsidRDefault="000F5507" w:rsidP="007E4E81">
      <w:pPr>
        <w:pStyle w:val="a"/>
        <w:rPr>
          <w:rFonts w:eastAsiaTheme="minorEastAsia" w:cstheme="minorBidi"/>
          <w:sz w:val="22"/>
          <w:szCs w:val="22"/>
          <w:rtl/>
        </w:rPr>
      </w:pPr>
      <w:r>
        <w:rPr>
          <w:rtl/>
        </w:rPr>
        <w:t>ביאור התומים ברשב"ם דכשיש ב' עדים שחטף וטוען דידי חטפי הוא גזלן גמור ופסול לעדות</w:t>
      </w:r>
    </w:p>
    <w:p w:rsidR="000F5507" w:rsidRDefault="000F5507" w:rsidP="000F5507">
      <w:pPr>
        <w:pStyle w:val="2"/>
        <w:rPr>
          <w:rFonts w:eastAsiaTheme="minorEastAsia" w:cstheme="minorBidi"/>
          <w:i/>
          <w:iCs/>
          <w:sz w:val="22"/>
          <w:szCs w:val="22"/>
          <w:rtl/>
        </w:rPr>
      </w:pPr>
      <w:r>
        <w:rPr>
          <w:rtl/>
        </w:rPr>
        <w:t>בהא דא"א לחייבו או לפוטרו</w:t>
      </w:r>
    </w:p>
    <w:p w:rsidR="000F5507" w:rsidRDefault="000F5507" w:rsidP="000F5507">
      <w:pPr>
        <w:pStyle w:val="aff4"/>
        <w:rPr>
          <w:rFonts w:eastAsiaTheme="minorEastAsia" w:cstheme="minorBidi"/>
          <w:i/>
          <w:iCs/>
          <w:noProof/>
          <w:sz w:val="22"/>
          <w:szCs w:val="22"/>
          <w:rtl/>
        </w:rPr>
      </w:pPr>
      <w:r>
        <w:rPr>
          <w:noProof/>
          <w:rtl/>
        </w:rPr>
        <w:t>ביאור רש"י בשבועות והרשב"ם בהא דא"א לחייבו וא"א לפוטרו</w:t>
      </w:r>
    </w:p>
    <w:p w:rsidR="000F5507" w:rsidRDefault="000F5507" w:rsidP="007E4E81">
      <w:pPr>
        <w:pStyle w:val="a"/>
        <w:rPr>
          <w:rFonts w:eastAsiaTheme="minorEastAsia" w:cstheme="minorBidi"/>
          <w:sz w:val="22"/>
          <w:szCs w:val="22"/>
          <w:rtl/>
        </w:rPr>
      </w:pPr>
      <w:r>
        <w:rPr>
          <w:rtl/>
        </w:rPr>
        <w:t>דברי רש"י בשבועות דטענת החוטף היא שהראשון גזלה ממנו ולכן חזר וחטפה מהראשון</w:t>
      </w:r>
    </w:p>
    <w:p w:rsidR="000F5507" w:rsidRDefault="000F5507" w:rsidP="007E4E81">
      <w:pPr>
        <w:pStyle w:val="a"/>
        <w:rPr>
          <w:rFonts w:eastAsiaTheme="minorEastAsia" w:cstheme="minorBidi"/>
          <w:sz w:val="22"/>
          <w:szCs w:val="22"/>
          <w:rtl/>
        </w:rPr>
      </w:pPr>
      <w:r>
        <w:rPr>
          <w:rtl/>
        </w:rPr>
        <w:t>דברי רש"י דאין ב' עדים וצריך לפוטרו במיגו אך א"א לפוטרו בלא שנשבע להכחיש את הע"א</w:t>
      </w:r>
    </w:p>
    <w:p w:rsidR="000F5507" w:rsidRDefault="000F5507" w:rsidP="007E4E81">
      <w:pPr>
        <w:pStyle w:val="a"/>
        <w:rPr>
          <w:rFonts w:eastAsiaTheme="minorEastAsia" w:cstheme="minorBidi"/>
          <w:sz w:val="22"/>
          <w:szCs w:val="22"/>
          <w:rtl/>
        </w:rPr>
      </w:pPr>
      <w:r>
        <w:rPr>
          <w:rtl/>
        </w:rPr>
        <w:t>דברי רש"י דצריך לחייבו לשלם דכל גזלן לא נאמן לומר דידי חטפי אך א"א לחייבו דיש לו מיגו</w:t>
      </w:r>
    </w:p>
    <w:p w:rsidR="000F5507" w:rsidRDefault="000F5507" w:rsidP="007E4E81">
      <w:pPr>
        <w:pStyle w:val="a"/>
        <w:rPr>
          <w:rFonts w:eastAsiaTheme="minorEastAsia" w:cstheme="minorBidi"/>
          <w:sz w:val="22"/>
          <w:szCs w:val="22"/>
          <w:rtl/>
        </w:rPr>
      </w:pPr>
      <w:r>
        <w:rPr>
          <w:rtl/>
        </w:rPr>
        <w:t>דברי הרשב"ם דבטוען דידי חטפי א"א לחייבו מדין מוציא ממוחזק דאין ב' עדים ונאמן במיגו</w:t>
      </w:r>
    </w:p>
    <w:p w:rsidR="000F5507" w:rsidRDefault="000F5507" w:rsidP="007E4E81">
      <w:pPr>
        <w:pStyle w:val="a"/>
        <w:rPr>
          <w:rFonts w:eastAsiaTheme="minorEastAsia" w:cstheme="minorBidi"/>
          <w:sz w:val="22"/>
          <w:szCs w:val="22"/>
          <w:rtl/>
        </w:rPr>
      </w:pPr>
      <w:r>
        <w:rPr>
          <w:rtl/>
        </w:rPr>
        <w:t>דברי הרשב"ם דא"א לפוטרו דנאמן במיגו דהא שיש ע"א שחטף ואי היה מכחישו היה נשבע</w:t>
      </w:r>
    </w:p>
    <w:p w:rsidR="000F5507" w:rsidRDefault="000F5507" w:rsidP="007E4E81">
      <w:pPr>
        <w:pStyle w:val="a"/>
        <w:rPr>
          <w:rFonts w:eastAsiaTheme="minorEastAsia" w:cstheme="minorBidi"/>
          <w:sz w:val="22"/>
          <w:szCs w:val="22"/>
          <w:rtl/>
        </w:rPr>
      </w:pPr>
      <w:r>
        <w:rPr>
          <w:rtl/>
        </w:rPr>
        <w:t>דברי הרשב"ם דא"א לפוטרו בלא כלום כיון שעדות הע"א עושה ריעותא במיגו</w:t>
      </w:r>
    </w:p>
    <w:p w:rsidR="000F5507" w:rsidRDefault="000F5507" w:rsidP="000F5507">
      <w:pPr>
        <w:pStyle w:val="2"/>
        <w:rPr>
          <w:rFonts w:eastAsiaTheme="minorEastAsia" w:cstheme="minorBidi"/>
          <w:i/>
          <w:iCs/>
          <w:sz w:val="22"/>
          <w:szCs w:val="22"/>
          <w:rtl/>
        </w:rPr>
      </w:pPr>
      <w:r w:rsidRPr="00834D79">
        <w:rPr>
          <w:rtl/>
        </w:rPr>
        <w:t>בי' הרשב"ם בהא דא"י לישבע כגזלן</w:t>
      </w:r>
    </w:p>
    <w:p w:rsidR="000F5507" w:rsidRDefault="000F5507" w:rsidP="000F5507">
      <w:pPr>
        <w:pStyle w:val="aff4"/>
        <w:rPr>
          <w:rFonts w:eastAsiaTheme="minorEastAsia" w:cstheme="minorBidi"/>
          <w:i/>
          <w:iCs/>
          <w:noProof/>
          <w:sz w:val="22"/>
          <w:szCs w:val="22"/>
          <w:rtl/>
        </w:rPr>
      </w:pPr>
      <w:r>
        <w:rPr>
          <w:noProof/>
          <w:rtl/>
        </w:rPr>
        <w:t>בי' רש"י והרשב"ם דלשבועה זו לא נשבע כגזלן בשאר שבועות</w:t>
      </w:r>
    </w:p>
    <w:p w:rsidR="000F5507" w:rsidRDefault="000F5507" w:rsidP="007E4E81">
      <w:pPr>
        <w:pStyle w:val="a"/>
        <w:rPr>
          <w:rFonts w:eastAsiaTheme="minorEastAsia" w:cstheme="minorBidi"/>
          <w:sz w:val="22"/>
          <w:szCs w:val="22"/>
          <w:rtl/>
        </w:rPr>
      </w:pPr>
      <w:r>
        <w:rPr>
          <w:rtl/>
        </w:rPr>
        <w:t>דברי רש"י דהשבועה שהעד מחייבו להכחישו אינו יכול להשבע דהודה והוא כגזלן לשבועה זו</w:t>
      </w:r>
    </w:p>
    <w:p w:rsidR="000F5507" w:rsidRDefault="000F5507" w:rsidP="007E4E81">
      <w:pPr>
        <w:pStyle w:val="a"/>
        <w:rPr>
          <w:rFonts w:eastAsiaTheme="minorEastAsia" w:cstheme="minorBidi"/>
          <w:sz w:val="22"/>
          <w:szCs w:val="22"/>
          <w:rtl/>
        </w:rPr>
      </w:pPr>
      <w:r>
        <w:rPr>
          <w:rtl/>
        </w:rPr>
        <w:t>דברי רש"י דאם רוצה להחזיק בנסכא חייב לשלם בע"כ מדין משאיל"מ כיון דמודה לעדות העד</w:t>
      </w:r>
    </w:p>
    <w:p w:rsidR="000F5507" w:rsidRDefault="000F5507" w:rsidP="007E4E81">
      <w:pPr>
        <w:pStyle w:val="a"/>
        <w:rPr>
          <w:rFonts w:eastAsiaTheme="minorEastAsia" w:cstheme="minorBidi"/>
          <w:sz w:val="22"/>
          <w:szCs w:val="22"/>
          <w:rtl/>
        </w:rPr>
      </w:pPr>
      <w:r>
        <w:rPr>
          <w:rtl/>
        </w:rPr>
        <w:t>ביאור הרשב"ם דא"א לחייבו שבועה דהא מודה שחטף והחיוב שבועה הוא רק להכחיש את העד</w:t>
      </w:r>
    </w:p>
    <w:p w:rsidR="000F5507" w:rsidRDefault="000F5507" w:rsidP="007E4E81">
      <w:pPr>
        <w:pStyle w:val="a"/>
        <w:rPr>
          <w:rFonts w:eastAsiaTheme="minorEastAsia" w:cstheme="minorBidi"/>
          <w:sz w:val="22"/>
          <w:szCs w:val="22"/>
          <w:rtl/>
        </w:rPr>
      </w:pPr>
      <w:r>
        <w:rPr>
          <w:rtl/>
        </w:rPr>
        <w:t>ביאור הרשב"ם דהוא פסול לשבועה להכחיש את העד כמו גזלן שפסול לשאר שבועות</w:t>
      </w:r>
    </w:p>
    <w:p w:rsidR="000F5507" w:rsidRDefault="000F5507" w:rsidP="007E4E81">
      <w:pPr>
        <w:pStyle w:val="a"/>
        <w:rPr>
          <w:rFonts w:eastAsiaTheme="minorEastAsia" w:cstheme="minorBidi"/>
          <w:sz w:val="22"/>
          <w:szCs w:val="22"/>
          <w:rtl/>
        </w:rPr>
      </w:pPr>
      <w:r>
        <w:rPr>
          <w:rtl/>
        </w:rPr>
        <w:t>דברי הרשב"ם דאינו יכול להשבע שחטף את שלו כיון ששבועה זו לא מוטלת עליו</w:t>
      </w:r>
    </w:p>
    <w:p w:rsidR="000F5507" w:rsidRDefault="000F5507" w:rsidP="000F5507">
      <w:pPr>
        <w:pStyle w:val="aff4"/>
        <w:rPr>
          <w:rFonts w:eastAsiaTheme="minorEastAsia" w:cstheme="minorBidi"/>
          <w:i/>
          <w:iCs/>
          <w:noProof/>
          <w:sz w:val="22"/>
          <w:szCs w:val="22"/>
          <w:rtl/>
        </w:rPr>
      </w:pPr>
      <w:r>
        <w:rPr>
          <w:noProof/>
          <w:rtl/>
        </w:rPr>
        <w:t>ביאור הרשב"ם דהע"א מרע את המיגו ולכן אמרינן משאיל"מ</w:t>
      </w:r>
    </w:p>
    <w:p w:rsidR="000F5507" w:rsidRDefault="000F5507" w:rsidP="007E4E81">
      <w:pPr>
        <w:pStyle w:val="a"/>
        <w:rPr>
          <w:rFonts w:eastAsiaTheme="minorEastAsia" w:cstheme="minorBidi"/>
          <w:sz w:val="22"/>
          <w:szCs w:val="22"/>
          <w:rtl/>
        </w:rPr>
      </w:pPr>
      <w:r>
        <w:rPr>
          <w:rtl/>
        </w:rPr>
        <w:t>דברי הרשב"ם דהע"א עושה ריעותא במיגו של החוטף ואמרינן מתוך שאינו יכול לישבע משלם</w:t>
      </w:r>
    </w:p>
    <w:p w:rsidR="000F5507" w:rsidRDefault="000F5507" w:rsidP="000F5507">
      <w:pPr>
        <w:pStyle w:val="aff4"/>
        <w:rPr>
          <w:rFonts w:eastAsiaTheme="minorEastAsia" w:cstheme="minorBidi"/>
          <w:i/>
          <w:iCs/>
          <w:noProof/>
          <w:sz w:val="22"/>
          <w:szCs w:val="22"/>
          <w:rtl/>
        </w:rPr>
      </w:pPr>
      <w:r>
        <w:rPr>
          <w:noProof/>
          <w:rtl/>
        </w:rPr>
        <w:t>ביאור התו"ח ברש"י וברשב"ם ובתוס' דהוא כגזלן נגד החזקה</w:t>
      </w:r>
    </w:p>
    <w:p w:rsidR="000F5507" w:rsidRDefault="000F5507" w:rsidP="007E4E81">
      <w:pPr>
        <w:pStyle w:val="a"/>
        <w:rPr>
          <w:rFonts w:eastAsiaTheme="minorEastAsia" w:cstheme="minorBidi"/>
          <w:sz w:val="22"/>
          <w:szCs w:val="22"/>
          <w:rtl/>
        </w:rPr>
      </w:pPr>
      <w:r>
        <w:rPr>
          <w:rtl/>
        </w:rPr>
        <w:t>קושית התו"ח על רש"י והרשב"ם דכל שמודה ודאי אינו יכול להכחישו ואמאי צ"ל שהוא כגזלן</w:t>
      </w:r>
    </w:p>
    <w:p w:rsidR="000F5507" w:rsidRDefault="000F5507" w:rsidP="007E4E81">
      <w:pPr>
        <w:pStyle w:val="a"/>
        <w:rPr>
          <w:rFonts w:eastAsiaTheme="minorEastAsia" w:cstheme="minorBidi"/>
          <w:sz w:val="22"/>
          <w:szCs w:val="22"/>
          <w:rtl/>
        </w:rPr>
      </w:pPr>
      <w:r>
        <w:rPr>
          <w:rtl/>
        </w:rPr>
        <w:t>ביאור התו"ח ברש"י וברשב"ם ובתוס' דע"י חזקה דמה שתח"י יש ריעותא בשבועת דידי חטפי</w:t>
      </w:r>
    </w:p>
    <w:p w:rsidR="000F5507" w:rsidRDefault="000F5507" w:rsidP="007E4E81">
      <w:pPr>
        <w:pStyle w:val="a"/>
        <w:rPr>
          <w:rFonts w:eastAsiaTheme="minorEastAsia" w:cstheme="minorBidi"/>
          <w:sz w:val="22"/>
          <w:szCs w:val="22"/>
          <w:rtl/>
        </w:rPr>
      </w:pPr>
      <w:r>
        <w:rPr>
          <w:rtl/>
        </w:rPr>
        <w:t>בי' התו"ח ברש"י וברשב"ם דע"א משביע להכחישו ובלא נאמן כגזלן א"י לישבע דדידי חטפי</w:t>
      </w:r>
    </w:p>
    <w:p w:rsidR="000F5507" w:rsidRDefault="000F5507" w:rsidP="000F5507">
      <w:pPr>
        <w:pStyle w:val="aff4"/>
        <w:rPr>
          <w:rFonts w:eastAsiaTheme="minorEastAsia" w:cstheme="minorBidi"/>
          <w:i/>
          <w:iCs/>
          <w:noProof/>
          <w:sz w:val="22"/>
          <w:szCs w:val="22"/>
          <w:rtl/>
        </w:rPr>
      </w:pPr>
      <w:r>
        <w:rPr>
          <w:noProof/>
          <w:rtl/>
        </w:rPr>
        <w:t>ביאור רגמ"ה דהע"א מרע טענתו כגזלן לשבועת דידי חטפי</w:t>
      </w:r>
    </w:p>
    <w:p w:rsidR="000F5507" w:rsidRDefault="000F5507" w:rsidP="007E4E81">
      <w:pPr>
        <w:pStyle w:val="a"/>
        <w:rPr>
          <w:rFonts w:eastAsiaTheme="minorEastAsia" w:cstheme="minorBidi"/>
          <w:sz w:val="22"/>
          <w:szCs w:val="22"/>
          <w:rtl/>
        </w:rPr>
      </w:pPr>
      <w:r>
        <w:rPr>
          <w:rtl/>
        </w:rPr>
        <w:t>דברי רבינו גרשום דבטענת דידי חטפי אינו יכול להשבע דכיון שהודה שחטף הוא כגזלן</w:t>
      </w:r>
    </w:p>
    <w:p w:rsidR="000F5507" w:rsidRDefault="000F5507" w:rsidP="007E4E81">
      <w:pPr>
        <w:pStyle w:val="a"/>
        <w:rPr>
          <w:rFonts w:eastAsiaTheme="minorEastAsia" w:cstheme="minorBidi"/>
          <w:sz w:val="22"/>
          <w:szCs w:val="22"/>
          <w:rtl/>
        </w:rPr>
      </w:pPr>
      <w:r>
        <w:rPr>
          <w:rtl/>
        </w:rPr>
        <w:t>דברי רבינו גרשום דבטענת דידי חטפי אינו יכול להשבע דהע"א מרע טענתו וחשיב כגזלן</w:t>
      </w:r>
    </w:p>
    <w:p w:rsidR="000F5507" w:rsidRDefault="000F5507" w:rsidP="000F5507">
      <w:pPr>
        <w:pStyle w:val="2"/>
        <w:rPr>
          <w:rFonts w:eastAsiaTheme="minorEastAsia" w:cstheme="minorBidi"/>
          <w:i/>
          <w:iCs/>
          <w:sz w:val="22"/>
          <w:szCs w:val="22"/>
          <w:rtl/>
        </w:rPr>
      </w:pPr>
      <w:r>
        <w:rPr>
          <w:rtl/>
        </w:rPr>
        <w:t>בי' התוס' דהמוציא מהמוחזק תח"י כגזלן</w:t>
      </w:r>
    </w:p>
    <w:p w:rsidR="000F5507" w:rsidRDefault="000F5507" w:rsidP="000F5507">
      <w:pPr>
        <w:pStyle w:val="aff4"/>
        <w:rPr>
          <w:rFonts w:eastAsiaTheme="minorEastAsia" w:cstheme="minorBidi"/>
          <w:i/>
          <w:iCs/>
          <w:noProof/>
          <w:sz w:val="22"/>
          <w:szCs w:val="22"/>
          <w:rtl/>
        </w:rPr>
      </w:pPr>
      <w:r>
        <w:rPr>
          <w:noProof/>
          <w:rtl/>
        </w:rPr>
        <w:t>דברי התוס' בשבועות ולקמן דהוציא מהמוחזק וחשיב כגזלן</w:t>
      </w:r>
    </w:p>
    <w:p w:rsidR="000F5507" w:rsidRDefault="000F5507" w:rsidP="007E4E81">
      <w:pPr>
        <w:pStyle w:val="a"/>
        <w:rPr>
          <w:rFonts w:eastAsiaTheme="minorEastAsia" w:cstheme="minorBidi"/>
          <w:sz w:val="22"/>
          <w:szCs w:val="22"/>
          <w:rtl/>
        </w:rPr>
      </w:pPr>
      <w:r>
        <w:rPr>
          <w:rtl/>
        </w:rPr>
        <w:t>דברי התוס' בשבועות דבהודה שחטף מהמוחזק שהיא תח"י חשיב כגזלן דהא בב' עדים לא נאמן</w:t>
      </w:r>
    </w:p>
    <w:p w:rsidR="000F5507" w:rsidRDefault="000F5507" w:rsidP="007E4E81">
      <w:pPr>
        <w:pStyle w:val="a"/>
        <w:rPr>
          <w:rFonts w:eastAsiaTheme="minorEastAsia" w:cstheme="minorBidi"/>
          <w:sz w:val="22"/>
          <w:szCs w:val="22"/>
          <w:rtl/>
        </w:rPr>
      </w:pPr>
      <w:r>
        <w:rPr>
          <w:rtl/>
        </w:rPr>
        <w:t>דברי התוס' דמוכח דצריך להעמיד כל דבר בחזקת מי שבידו וכאילו ברור שהיא של הראשון</w:t>
      </w:r>
    </w:p>
    <w:p w:rsidR="000F5507" w:rsidRDefault="000F5507" w:rsidP="000F5507">
      <w:pPr>
        <w:pStyle w:val="2"/>
        <w:rPr>
          <w:rFonts w:eastAsiaTheme="minorEastAsia" w:cstheme="minorBidi"/>
          <w:i/>
          <w:iCs/>
          <w:sz w:val="22"/>
          <w:szCs w:val="22"/>
          <w:rtl/>
        </w:rPr>
      </w:pPr>
      <w:r>
        <w:rPr>
          <w:rtl/>
        </w:rPr>
        <w:t>בי' רבינו יונה דבא"י לישבע ע"א כשנים</w:t>
      </w:r>
    </w:p>
    <w:p w:rsidR="000F5507" w:rsidRDefault="000F5507" w:rsidP="000F5507">
      <w:pPr>
        <w:pStyle w:val="aff4"/>
        <w:rPr>
          <w:rFonts w:eastAsiaTheme="minorEastAsia" w:cstheme="minorBidi"/>
          <w:i/>
          <w:iCs/>
          <w:noProof/>
          <w:sz w:val="22"/>
          <w:szCs w:val="22"/>
          <w:rtl/>
        </w:rPr>
      </w:pPr>
      <w:r>
        <w:rPr>
          <w:noProof/>
          <w:rtl/>
        </w:rPr>
        <w:t xml:space="preserve">בי' רבינו יונה דכל שאינו נשבע להכחיש את הע"א הוא </w:t>
      </w:r>
      <w:r>
        <w:rPr>
          <w:rFonts w:hint="cs"/>
          <w:noProof/>
          <w:rtl/>
        </w:rPr>
        <w:t>כ</w:t>
      </w:r>
      <w:r>
        <w:rPr>
          <w:noProof/>
          <w:rtl/>
        </w:rPr>
        <w:t>שנים</w:t>
      </w:r>
    </w:p>
    <w:p w:rsidR="000F5507" w:rsidRDefault="000F5507" w:rsidP="007E4E81">
      <w:pPr>
        <w:pStyle w:val="a"/>
        <w:rPr>
          <w:rFonts w:eastAsiaTheme="minorEastAsia" w:cstheme="minorBidi"/>
          <w:sz w:val="22"/>
          <w:szCs w:val="22"/>
          <w:rtl/>
        </w:rPr>
      </w:pPr>
      <w:r>
        <w:rPr>
          <w:rtl/>
        </w:rPr>
        <w:t>דברי רבינו יונה דחייבה התורה שבועה בע"א רק להכחיש את העד ודינו או לישבע או לשלם</w:t>
      </w:r>
    </w:p>
    <w:p w:rsidR="000F5507" w:rsidRDefault="000F5507" w:rsidP="007E4E81">
      <w:pPr>
        <w:pStyle w:val="a"/>
        <w:rPr>
          <w:rFonts w:eastAsiaTheme="minorEastAsia" w:cstheme="minorBidi"/>
          <w:sz w:val="22"/>
          <w:szCs w:val="22"/>
          <w:rtl/>
        </w:rPr>
      </w:pPr>
      <w:r>
        <w:rPr>
          <w:rtl/>
        </w:rPr>
        <w:t>דברי רבינו יונה דכשמודה לע"א ואינו מכחישו וא"י לישבע הע"א כשנים ואמרינן משאיל"מ</w:t>
      </w:r>
    </w:p>
    <w:p w:rsidR="000F5507" w:rsidRDefault="000F5507" w:rsidP="007E4E81">
      <w:pPr>
        <w:pStyle w:val="a"/>
        <w:rPr>
          <w:rFonts w:eastAsiaTheme="minorEastAsia" w:cstheme="minorBidi"/>
          <w:sz w:val="22"/>
          <w:szCs w:val="22"/>
          <w:rtl/>
        </w:rPr>
      </w:pPr>
      <w:r>
        <w:rPr>
          <w:rtl/>
        </w:rPr>
        <w:t>דברי רבינו יונה דדינא דמשאיל"מ הוא בין במודה לע"א ובין בשבועת מודה במקצת והוא חשוד</w:t>
      </w:r>
    </w:p>
    <w:p w:rsidR="000F5507" w:rsidRDefault="000F5507" w:rsidP="000F5507">
      <w:pPr>
        <w:pStyle w:val="aff4"/>
        <w:rPr>
          <w:rFonts w:eastAsiaTheme="minorEastAsia" w:cstheme="minorBidi"/>
          <w:i/>
          <w:iCs/>
          <w:noProof/>
          <w:sz w:val="22"/>
          <w:szCs w:val="22"/>
          <w:rtl/>
        </w:rPr>
      </w:pPr>
      <w:r>
        <w:rPr>
          <w:noProof/>
          <w:rtl/>
        </w:rPr>
        <w:t>ביאור רבינו יונה בדעת רב ושמואל דלא אמרינן משאיל"מ</w:t>
      </w:r>
    </w:p>
    <w:p w:rsidR="000F5507" w:rsidRDefault="000F5507" w:rsidP="007E4E81">
      <w:pPr>
        <w:pStyle w:val="a"/>
        <w:rPr>
          <w:rFonts w:eastAsiaTheme="minorEastAsia" w:cstheme="minorBidi"/>
          <w:sz w:val="22"/>
          <w:szCs w:val="22"/>
          <w:rtl/>
        </w:rPr>
      </w:pPr>
      <w:r>
        <w:rPr>
          <w:rtl/>
        </w:rPr>
        <w:t>דברי רבינו יונה דלרב ושמואל דל"א משאיל"מ כשאינו יכול להשבע לא חל חיוב שבועה</w:t>
      </w:r>
    </w:p>
    <w:p w:rsidR="000F5507" w:rsidRDefault="000F5507" w:rsidP="007E4E81">
      <w:pPr>
        <w:pStyle w:val="a"/>
        <w:rPr>
          <w:rFonts w:eastAsiaTheme="minorEastAsia" w:cstheme="minorBidi"/>
          <w:sz w:val="22"/>
          <w:szCs w:val="22"/>
          <w:rtl/>
        </w:rPr>
      </w:pPr>
      <w:r>
        <w:rPr>
          <w:rtl/>
        </w:rPr>
        <w:t>דברי רבינו יונה דלרב ושמואל דבמודה במקצת והוא חשוד פטור מדאו' ומדרבנן שכנגדו נשבע</w:t>
      </w:r>
    </w:p>
    <w:p w:rsidR="000F5507" w:rsidRDefault="000F5507" w:rsidP="007E4E81">
      <w:pPr>
        <w:pStyle w:val="a"/>
        <w:rPr>
          <w:rFonts w:eastAsiaTheme="minorEastAsia" w:cstheme="minorBidi"/>
          <w:sz w:val="22"/>
          <w:szCs w:val="22"/>
          <w:rtl/>
        </w:rPr>
      </w:pPr>
      <w:r>
        <w:rPr>
          <w:rtl/>
        </w:rPr>
        <w:t>דברי רבינו יונה דלרב ושמואל דמודה לע"א צריך להפטר אך א"א לפוטרו דאי יש ב' עדים חייב</w:t>
      </w:r>
    </w:p>
    <w:p w:rsidR="000F5507" w:rsidRDefault="000F5507" w:rsidP="007E4E81">
      <w:pPr>
        <w:pStyle w:val="a"/>
        <w:rPr>
          <w:rFonts w:eastAsiaTheme="minorEastAsia" w:cstheme="minorBidi"/>
          <w:sz w:val="22"/>
          <w:szCs w:val="22"/>
          <w:rtl/>
        </w:rPr>
      </w:pPr>
      <w:r>
        <w:rPr>
          <w:rtl/>
        </w:rPr>
        <w:t>ביאור רבינו יונה דלרב ושמואל בטוען דידי חטפי נשבע ונאמן במיגו דהיה נשבע להחכיש העד</w:t>
      </w:r>
    </w:p>
    <w:p w:rsidR="000F5507" w:rsidRDefault="000F5507" w:rsidP="007E4E81">
      <w:pPr>
        <w:pStyle w:val="a"/>
        <w:rPr>
          <w:rFonts w:eastAsiaTheme="minorEastAsia" w:cstheme="minorBidi"/>
          <w:sz w:val="22"/>
          <w:szCs w:val="22"/>
          <w:rtl/>
        </w:rPr>
      </w:pPr>
      <w:r>
        <w:rPr>
          <w:rtl/>
        </w:rPr>
        <w:t>דברי רבינו יונה דלר"א כל שלא נשבע שבועה דאו' יש גזיה"כ דהע"א כשנים ואמרינן משאיל"מ</w:t>
      </w:r>
    </w:p>
    <w:p w:rsidR="000F5507" w:rsidRDefault="000F5507" w:rsidP="007E4E81">
      <w:pPr>
        <w:pStyle w:val="a"/>
        <w:rPr>
          <w:rFonts w:eastAsiaTheme="minorEastAsia" w:cstheme="minorBidi"/>
          <w:sz w:val="22"/>
          <w:szCs w:val="22"/>
          <w:rtl/>
        </w:rPr>
      </w:pPr>
      <w:r>
        <w:rPr>
          <w:rtl/>
        </w:rPr>
        <w:t>דברי הריטב"א דכל דין מתוך שאינו יכול לישבע משלם הוא בשבועה דאו' ולא בשבועה דרבנן</w:t>
      </w:r>
    </w:p>
    <w:p w:rsidR="000F5507" w:rsidRDefault="000F5507" w:rsidP="000F5507">
      <w:pPr>
        <w:pStyle w:val="2"/>
        <w:rPr>
          <w:rFonts w:eastAsiaTheme="minorEastAsia" w:cstheme="minorBidi"/>
          <w:i/>
          <w:iCs/>
          <w:sz w:val="22"/>
          <w:szCs w:val="22"/>
          <w:rtl/>
        </w:rPr>
      </w:pPr>
      <w:r>
        <w:rPr>
          <w:rtl/>
        </w:rPr>
        <w:t>דעת הראב"ן דלשבועה זו חשוד כגזלן</w:t>
      </w:r>
    </w:p>
    <w:p w:rsidR="000F5507" w:rsidRDefault="000F5507" w:rsidP="000F5507">
      <w:pPr>
        <w:pStyle w:val="aff4"/>
        <w:rPr>
          <w:rFonts w:eastAsiaTheme="minorEastAsia" w:cstheme="minorBidi"/>
          <w:i/>
          <w:iCs/>
          <w:noProof/>
          <w:sz w:val="22"/>
          <w:szCs w:val="22"/>
          <w:rtl/>
        </w:rPr>
      </w:pPr>
      <w:r>
        <w:rPr>
          <w:noProof/>
          <w:rtl/>
        </w:rPr>
        <w:t>ביאור הראב"ן בהא דא"א לחייבו וא"א לפוטרו מדין הפה שאסר</w:t>
      </w:r>
    </w:p>
    <w:p w:rsidR="000F5507" w:rsidRDefault="000F5507" w:rsidP="007E4E81">
      <w:pPr>
        <w:pStyle w:val="a"/>
        <w:rPr>
          <w:rFonts w:eastAsiaTheme="minorEastAsia" w:cstheme="minorBidi"/>
          <w:sz w:val="22"/>
          <w:szCs w:val="22"/>
          <w:rtl/>
        </w:rPr>
      </w:pPr>
      <w:r>
        <w:rPr>
          <w:rtl/>
        </w:rPr>
        <w:t>דברי הראב"ן דא"א לחייבו לשלם כיון שאין ב' עדים ואף שהודה שחטף נאמן מדין הפה שאסר</w:t>
      </w:r>
    </w:p>
    <w:p w:rsidR="000F5507" w:rsidRDefault="000F5507" w:rsidP="007E4E81">
      <w:pPr>
        <w:pStyle w:val="a"/>
        <w:rPr>
          <w:rFonts w:eastAsiaTheme="minorEastAsia" w:cstheme="minorBidi"/>
          <w:sz w:val="22"/>
          <w:szCs w:val="22"/>
          <w:rtl/>
        </w:rPr>
      </w:pPr>
      <w:r>
        <w:rPr>
          <w:rtl/>
        </w:rPr>
        <w:t>דברי הראב"ן דא"א לפוטרו ולהאמינו מדין הפה שאסר כיון שיש ע"א והודאתו היא מכח הע"א</w:t>
      </w:r>
    </w:p>
    <w:p w:rsidR="000F5507" w:rsidRDefault="000F5507" w:rsidP="000F5507">
      <w:pPr>
        <w:pStyle w:val="aff4"/>
        <w:rPr>
          <w:rFonts w:eastAsiaTheme="minorEastAsia" w:cstheme="minorBidi"/>
          <w:i/>
          <w:iCs/>
          <w:noProof/>
          <w:sz w:val="22"/>
          <w:szCs w:val="22"/>
          <w:rtl/>
        </w:rPr>
      </w:pPr>
      <w:r>
        <w:rPr>
          <w:noProof/>
          <w:rtl/>
        </w:rPr>
        <w:t>קושיות הראב"ן אמאי אינו יכול להשבע ואינו נאמן במיגו</w:t>
      </w:r>
    </w:p>
    <w:p w:rsidR="000F5507" w:rsidRDefault="000F5507" w:rsidP="007E4E81">
      <w:pPr>
        <w:pStyle w:val="a"/>
        <w:rPr>
          <w:rFonts w:eastAsiaTheme="minorEastAsia" w:cstheme="minorBidi"/>
          <w:sz w:val="22"/>
          <w:szCs w:val="22"/>
          <w:rtl/>
        </w:rPr>
      </w:pPr>
      <w:r>
        <w:rPr>
          <w:rtl/>
        </w:rPr>
        <w:t>קושית הראב"ן דאמאי אינו נאמן בטענת דידי חטפי בשבועה במיגו דהיה נשבע דלא חטף</w:t>
      </w:r>
    </w:p>
    <w:p w:rsidR="000F5507" w:rsidRDefault="000F5507" w:rsidP="007E4E81">
      <w:pPr>
        <w:pStyle w:val="a"/>
        <w:rPr>
          <w:rFonts w:eastAsiaTheme="minorEastAsia" w:cstheme="minorBidi"/>
          <w:sz w:val="22"/>
          <w:szCs w:val="22"/>
          <w:rtl/>
        </w:rPr>
      </w:pPr>
      <w:r>
        <w:rPr>
          <w:rtl/>
        </w:rPr>
        <w:t>קושית המרדכי בשם הראב"ן דאי אינו יכול להשבע כיון שהודה א"כ אמאי אמרינן דהו"ל כגזלן</w:t>
      </w:r>
    </w:p>
    <w:p w:rsidR="000F5507" w:rsidRDefault="000F5507" w:rsidP="007E4E81">
      <w:pPr>
        <w:pStyle w:val="a"/>
        <w:rPr>
          <w:rFonts w:eastAsiaTheme="minorEastAsia" w:cstheme="minorBidi"/>
          <w:sz w:val="22"/>
          <w:szCs w:val="22"/>
          <w:rtl/>
        </w:rPr>
      </w:pPr>
      <w:r>
        <w:rPr>
          <w:rtl/>
        </w:rPr>
        <w:t>קו' המרדכי בשם הראב"ן דאמאי נפסל כגזלן הא דמי לע"א שנתן לו נסכא וטוען ששלו נתן לו</w:t>
      </w:r>
    </w:p>
    <w:p w:rsidR="000F5507" w:rsidRDefault="000F5507" w:rsidP="000F5507">
      <w:pPr>
        <w:pStyle w:val="aff4"/>
        <w:rPr>
          <w:rFonts w:eastAsiaTheme="minorEastAsia" w:cstheme="minorBidi"/>
          <w:i/>
          <w:iCs/>
          <w:noProof/>
          <w:sz w:val="22"/>
          <w:szCs w:val="22"/>
          <w:rtl/>
        </w:rPr>
      </w:pPr>
      <w:r>
        <w:rPr>
          <w:noProof/>
          <w:rtl/>
        </w:rPr>
        <w:t>בי' הראב"ן דבהודאתו מצטרף עם הע"א לפסול עצמו משבועה</w:t>
      </w:r>
    </w:p>
    <w:p w:rsidR="000F5507" w:rsidRDefault="000F5507" w:rsidP="007E4E81">
      <w:pPr>
        <w:pStyle w:val="a"/>
        <w:rPr>
          <w:rFonts w:eastAsiaTheme="minorEastAsia" w:cstheme="minorBidi"/>
          <w:sz w:val="22"/>
          <w:szCs w:val="22"/>
          <w:rtl/>
        </w:rPr>
      </w:pPr>
      <w:r>
        <w:rPr>
          <w:rtl/>
        </w:rPr>
        <w:t>בי' המרדכי בשם הראב"ן דבמודה שבאה לידו בדרך גזלנות ובעדים היה חייב בע"א נפסל כגזלן</w:t>
      </w:r>
    </w:p>
    <w:p w:rsidR="000F5507" w:rsidRDefault="000F5507" w:rsidP="007E4E81">
      <w:pPr>
        <w:pStyle w:val="a"/>
        <w:rPr>
          <w:rFonts w:eastAsiaTheme="minorEastAsia" w:cstheme="minorBidi"/>
          <w:sz w:val="22"/>
          <w:szCs w:val="22"/>
          <w:rtl/>
        </w:rPr>
      </w:pPr>
      <w:r>
        <w:rPr>
          <w:rtl/>
        </w:rPr>
        <w:t>בי'המרדכי בשם הראב"ן דלכו"ע בדין פלוני רבעני לרצוני נאמן להצטרף לע"א לפסול את עצמו</w:t>
      </w:r>
    </w:p>
    <w:p w:rsidR="000F5507" w:rsidRDefault="000F5507" w:rsidP="007E4E81">
      <w:pPr>
        <w:pStyle w:val="a"/>
        <w:rPr>
          <w:rFonts w:eastAsiaTheme="minorEastAsia" w:cstheme="minorBidi"/>
          <w:sz w:val="22"/>
          <w:szCs w:val="22"/>
          <w:rtl/>
        </w:rPr>
      </w:pPr>
      <w:r>
        <w:rPr>
          <w:rtl/>
        </w:rPr>
        <w:t>דברי המרדכי בשם הראב"ד דהחוטף מצטרף לע"א לפסול א"ע כגזלן כשמודה שנטל בדרך גזילה</w:t>
      </w:r>
    </w:p>
    <w:p w:rsidR="000F5507" w:rsidRDefault="000F5507" w:rsidP="007E4E81">
      <w:pPr>
        <w:pStyle w:val="a"/>
        <w:rPr>
          <w:rFonts w:eastAsiaTheme="minorEastAsia" w:cstheme="minorBidi"/>
          <w:sz w:val="22"/>
          <w:szCs w:val="22"/>
          <w:rtl/>
        </w:rPr>
      </w:pPr>
      <w:r>
        <w:rPr>
          <w:rtl/>
        </w:rPr>
        <w:t>בי' הראב"ן דבמודה לע"א שנטל בדרך גזילה חשיב שיש ב' עדים שחטף ואינו נאמן דשלו חטף</w:t>
      </w:r>
    </w:p>
    <w:p w:rsidR="000F5507" w:rsidRDefault="000F5507" w:rsidP="007E4E81">
      <w:pPr>
        <w:pStyle w:val="a"/>
        <w:rPr>
          <w:rFonts w:eastAsiaTheme="minorEastAsia" w:cstheme="minorBidi"/>
          <w:sz w:val="22"/>
          <w:szCs w:val="22"/>
          <w:rtl/>
        </w:rPr>
      </w:pPr>
      <w:r>
        <w:rPr>
          <w:rtl/>
        </w:rPr>
        <w:t>דברי הראב"ן דכיון שנפסל כגזלן ומחוייב להשבע דדידיה חטף וא"י להשבע אמרינן משאיל"מ</w:t>
      </w:r>
    </w:p>
    <w:p w:rsidR="000F5507" w:rsidRDefault="000F5507" w:rsidP="007E4E81">
      <w:pPr>
        <w:pStyle w:val="a"/>
        <w:rPr>
          <w:rFonts w:eastAsiaTheme="minorEastAsia" w:cstheme="minorBidi"/>
          <w:sz w:val="22"/>
          <w:szCs w:val="22"/>
          <w:rtl/>
        </w:rPr>
      </w:pPr>
      <w:r>
        <w:rPr>
          <w:rtl/>
        </w:rPr>
        <w:t>ביאור המרדכי בשם הראב"ן דשכגנדו א"צ להשבע דלא תיקנו שבועה במקום שהפסיד לעצמו</w:t>
      </w:r>
    </w:p>
    <w:p w:rsidR="000F5507" w:rsidRDefault="000F5507" w:rsidP="000F5507">
      <w:pPr>
        <w:pStyle w:val="2"/>
        <w:rPr>
          <w:rFonts w:eastAsiaTheme="minorEastAsia" w:cstheme="minorBidi"/>
          <w:i/>
          <w:iCs/>
          <w:sz w:val="22"/>
          <w:szCs w:val="22"/>
          <w:rtl/>
        </w:rPr>
      </w:pPr>
      <w:r>
        <w:rPr>
          <w:rtl/>
        </w:rPr>
        <w:t>גירסאות הראשונים אמאי א"י להשבע</w:t>
      </w:r>
    </w:p>
    <w:p w:rsidR="000F5507" w:rsidRDefault="000F5507" w:rsidP="000F5507">
      <w:pPr>
        <w:pStyle w:val="aff4"/>
        <w:rPr>
          <w:rFonts w:eastAsiaTheme="minorEastAsia" w:cstheme="minorBidi"/>
          <w:i/>
          <w:iCs/>
          <w:noProof/>
          <w:sz w:val="22"/>
          <w:szCs w:val="22"/>
          <w:rtl/>
        </w:rPr>
      </w:pPr>
      <w:r>
        <w:rPr>
          <w:noProof/>
          <w:rtl/>
        </w:rPr>
        <w:t>גירסת הרי"ף והראשונים דכיון שהודה א"י להשבע ול"ג כגזלן</w:t>
      </w:r>
    </w:p>
    <w:p w:rsidR="000F5507" w:rsidRDefault="000F5507" w:rsidP="007E4E81">
      <w:pPr>
        <w:pStyle w:val="a"/>
        <w:rPr>
          <w:rFonts w:eastAsiaTheme="minorEastAsia" w:cstheme="minorBidi"/>
          <w:sz w:val="22"/>
          <w:szCs w:val="22"/>
          <w:rtl/>
        </w:rPr>
      </w:pPr>
      <w:r>
        <w:rPr>
          <w:rtl/>
        </w:rPr>
        <w:t>גירסת הרי"ף והג' הא' בר"ח דכיון שמודה לע"א שחטף לכן אינו יכול להשבע</w:t>
      </w:r>
    </w:p>
    <w:p w:rsidR="000F5507" w:rsidRDefault="000F5507" w:rsidP="007E4E81">
      <w:pPr>
        <w:pStyle w:val="a"/>
        <w:rPr>
          <w:rFonts w:eastAsiaTheme="minorEastAsia" w:cstheme="minorBidi"/>
          <w:sz w:val="22"/>
          <w:szCs w:val="22"/>
          <w:rtl/>
        </w:rPr>
      </w:pPr>
      <w:r>
        <w:rPr>
          <w:rtl/>
        </w:rPr>
        <w:t>דברי הריטב"א דגרסינן דכיון שהודה א"י לישבע ול"ג דהו"ל כגזלן וכ"מ ברמב"ן וברבינו יונה</w:t>
      </w:r>
    </w:p>
    <w:p w:rsidR="000F5507" w:rsidRDefault="000F5507" w:rsidP="000F5507">
      <w:pPr>
        <w:pStyle w:val="aff4"/>
        <w:rPr>
          <w:rFonts w:eastAsiaTheme="minorEastAsia" w:cstheme="minorBidi"/>
          <w:i/>
          <w:iCs/>
          <w:noProof/>
          <w:sz w:val="22"/>
          <w:szCs w:val="22"/>
          <w:rtl/>
        </w:rPr>
      </w:pPr>
      <w:r>
        <w:rPr>
          <w:noProof/>
          <w:rtl/>
        </w:rPr>
        <w:t>גי' הבה"ג והרא"ש והי"א בריטב"א דכיון דאמר חטפי הוא כגזלן</w:t>
      </w:r>
    </w:p>
    <w:p w:rsidR="000F5507" w:rsidRDefault="000F5507" w:rsidP="007E4E81">
      <w:pPr>
        <w:pStyle w:val="a"/>
        <w:rPr>
          <w:rFonts w:eastAsiaTheme="minorEastAsia" w:cstheme="minorBidi"/>
          <w:sz w:val="22"/>
          <w:szCs w:val="22"/>
          <w:rtl/>
        </w:rPr>
      </w:pPr>
      <w:r>
        <w:rPr>
          <w:rtl/>
        </w:rPr>
        <w:t>הגי' לפנינו וגי' הבה"ג והרא"ש והתורי"ד והי"א בריטב"א דכיון שהודה שחטף לכן הו"ל כגזלן</w:t>
      </w:r>
    </w:p>
    <w:p w:rsidR="000F5507" w:rsidRDefault="000F5507" w:rsidP="007E4E81">
      <w:pPr>
        <w:pStyle w:val="a"/>
        <w:rPr>
          <w:rFonts w:eastAsiaTheme="minorEastAsia" w:cstheme="minorBidi"/>
          <w:sz w:val="22"/>
          <w:szCs w:val="22"/>
          <w:rtl/>
        </w:rPr>
      </w:pPr>
      <w:r>
        <w:rPr>
          <w:rtl/>
        </w:rPr>
        <w:t>בי' הריטב"א דכיון שהודה דינו קצת כגזלן שא"י להשבע אעפ"י דלפי הודאתו אינו ממש כגזלן</w:t>
      </w:r>
    </w:p>
    <w:p w:rsidR="000F5507" w:rsidRDefault="000F5507" w:rsidP="000F5507">
      <w:pPr>
        <w:pStyle w:val="aff4"/>
        <w:rPr>
          <w:rFonts w:eastAsiaTheme="minorEastAsia" w:cstheme="minorBidi"/>
          <w:i/>
          <w:iCs/>
          <w:noProof/>
          <w:sz w:val="22"/>
          <w:szCs w:val="22"/>
          <w:rtl/>
        </w:rPr>
      </w:pPr>
      <w:r>
        <w:rPr>
          <w:noProof/>
          <w:rtl/>
        </w:rPr>
        <w:t>גירסת ר"ח דהוא כגזלן דחייב שבועה כמו בב' עדים על גזילה</w:t>
      </w:r>
    </w:p>
    <w:p w:rsidR="000F5507" w:rsidRDefault="000F5507" w:rsidP="007E4E81">
      <w:pPr>
        <w:pStyle w:val="a"/>
        <w:rPr>
          <w:rFonts w:eastAsiaTheme="minorEastAsia" w:cstheme="minorBidi"/>
          <w:sz w:val="22"/>
          <w:szCs w:val="22"/>
          <w:rtl/>
        </w:rPr>
      </w:pPr>
      <w:r>
        <w:rPr>
          <w:rtl/>
        </w:rPr>
        <w:t>הגי' הב' בר"ח ובראשונים דאינו יכול להשבע דהו"ל כגזלן וכן משמע ברש"י ורשב"ם ותוס'</w:t>
      </w:r>
    </w:p>
    <w:p w:rsidR="000F5507" w:rsidRDefault="000F5507" w:rsidP="007E4E81">
      <w:pPr>
        <w:pStyle w:val="a"/>
        <w:rPr>
          <w:rFonts w:eastAsiaTheme="minorEastAsia" w:cstheme="minorBidi"/>
          <w:sz w:val="22"/>
          <w:szCs w:val="22"/>
          <w:rtl/>
        </w:rPr>
      </w:pPr>
      <w:r>
        <w:rPr>
          <w:rtl/>
        </w:rPr>
        <w:t>ביאור ר"ח דכיון שאם היו ב' עדים שחטף היה גזלן לכן כשהודה לע"א חייב שבועה</w:t>
      </w:r>
    </w:p>
    <w:p w:rsidR="000F5507" w:rsidRDefault="000F5507" w:rsidP="007E4E81">
      <w:pPr>
        <w:pStyle w:val="a"/>
        <w:rPr>
          <w:rFonts w:eastAsiaTheme="minorEastAsia" w:cstheme="minorBidi"/>
          <w:sz w:val="22"/>
          <w:szCs w:val="22"/>
          <w:rtl/>
        </w:rPr>
      </w:pPr>
      <w:r>
        <w:rPr>
          <w:rtl/>
        </w:rPr>
        <w:t>ביאור רבינו יונה והרשב"א דכיון שאינו מחכיש את העד הוא כגזל בעדים דלא נאמן בדידי חטפי</w:t>
      </w:r>
    </w:p>
    <w:p w:rsidR="000F5507" w:rsidRDefault="000F5507" w:rsidP="007E4E81">
      <w:pPr>
        <w:pStyle w:val="a"/>
        <w:rPr>
          <w:rFonts w:eastAsiaTheme="minorEastAsia" w:cstheme="minorBidi"/>
          <w:sz w:val="22"/>
          <w:szCs w:val="22"/>
          <w:rtl/>
        </w:rPr>
      </w:pPr>
      <w:r>
        <w:rPr>
          <w:rtl/>
        </w:rPr>
        <w:t>דברי רבינו יונה דאינו חשוד כגזלן דהא אף בע"א שגזל וטוען החזרתי אינו חשוד וכ"ש הכא</w:t>
      </w:r>
    </w:p>
    <w:p w:rsidR="000F5507" w:rsidRDefault="000F5507" w:rsidP="000F5507">
      <w:pPr>
        <w:pStyle w:val="aff4"/>
        <w:rPr>
          <w:rFonts w:eastAsiaTheme="minorEastAsia" w:cstheme="minorBidi"/>
          <w:i/>
          <w:iCs/>
          <w:noProof/>
          <w:sz w:val="22"/>
          <w:szCs w:val="22"/>
          <w:rtl/>
        </w:rPr>
      </w:pPr>
      <w:r>
        <w:rPr>
          <w:noProof/>
          <w:rtl/>
        </w:rPr>
        <w:t>דחיית הריטב"א והתוס' רי"ד דא"א לגרוס שהוא כגזלן</w:t>
      </w:r>
    </w:p>
    <w:p w:rsidR="000F5507" w:rsidRDefault="000F5507" w:rsidP="007E4E81">
      <w:pPr>
        <w:pStyle w:val="a"/>
        <w:rPr>
          <w:rFonts w:eastAsiaTheme="minorEastAsia" w:cstheme="minorBidi"/>
          <w:sz w:val="22"/>
          <w:szCs w:val="22"/>
          <w:rtl/>
        </w:rPr>
      </w:pPr>
      <w:r>
        <w:rPr>
          <w:rtl/>
        </w:rPr>
        <w:t>דברי הריטב"א דא"א לגרוס שהוא כגזלן דהא בגזלן שכנגדו נשבע והכא א"צ להשבע</w:t>
      </w:r>
    </w:p>
    <w:p w:rsidR="000F5507" w:rsidRDefault="000F5507" w:rsidP="007E4E81">
      <w:pPr>
        <w:pStyle w:val="a"/>
        <w:rPr>
          <w:rFonts w:eastAsiaTheme="minorEastAsia" w:cstheme="minorBidi"/>
          <w:sz w:val="22"/>
          <w:szCs w:val="22"/>
          <w:rtl/>
        </w:rPr>
      </w:pPr>
      <w:r>
        <w:rPr>
          <w:rtl/>
        </w:rPr>
        <w:t>דברי התורי"ד דא"א לגרוס שהוא כגזלן דהא הטעם שאינו נשבע הוא כיון שהודה ואינו חשוד</w:t>
      </w:r>
    </w:p>
    <w:p w:rsidR="000F5507" w:rsidRDefault="000F5507" w:rsidP="000F5507">
      <w:pPr>
        <w:pStyle w:val="2"/>
        <w:rPr>
          <w:rFonts w:eastAsiaTheme="minorEastAsia" w:cstheme="minorBidi"/>
          <w:i/>
          <w:iCs/>
          <w:sz w:val="22"/>
          <w:szCs w:val="22"/>
          <w:rtl/>
        </w:rPr>
      </w:pPr>
      <w:r>
        <w:rPr>
          <w:rtl/>
        </w:rPr>
        <w:t>בעידי חטיפה אי נאמן במיגו דהחזרתי</w:t>
      </w:r>
    </w:p>
    <w:p w:rsidR="000F5507" w:rsidRDefault="000F5507" w:rsidP="000F5507">
      <w:pPr>
        <w:pStyle w:val="aff4"/>
        <w:rPr>
          <w:rFonts w:eastAsiaTheme="minorEastAsia" w:cstheme="minorBidi"/>
          <w:i/>
          <w:iCs/>
          <w:noProof/>
          <w:sz w:val="22"/>
          <w:szCs w:val="22"/>
          <w:rtl/>
        </w:rPr>
      </w:pPr>
      <w:r>
        <w:rPr>
          <w:noProof/>
          <w:rtl/>
        </w:rPr>
        <w:t>דברי הרמב"ן דבנסכא איירי בראה דאל"ה נאמן במיגו דהחזרתי</w:t>
      </w:r>
    </w:p>
    <w:p w:rsidR="000F5507" w:rsidRDefault="000F5507" w:rsidP="007E4E81">
      <w:pPr>
        <w:pStyle w:val="a"/>
        <w:rPr>
          <w:rFonts w:eastAsiaTheme="minorEastAsia" w:cstheme="minorBidi"/>
          <w:sz w:val="22"/>
          <w:szCs w:val="22"/>
          <w:rtl/>
        </w:rPr>
      </w:pPr>
      <w:r>
        <w:rPr>
          <w:rtl/>
        </w:rPr>
        <w:t>דעת הרמב"ן והראב"ד איירי דידוע שהנסכא בידו דאל"ה נאמן בדידי חטפי במיגו דהחזרתי</w:t>
      </w:r>
    </w:p>
    <w:p w:rsidR="000F5507" w:rsidRDefault="000F5507" w:rsidP="000F5507">
      <w:pPr>
        <w:pStyle w:val="aff4"/>
        <w:rPr>
          <w:rFonts w:eastAsiaTheme="minorEastAsia" w:cstheme="minorBidi"/>
          <w:i/>
          <w:iCs/>
          <w:noProof/>
          <w:sz w:val="22"/>
          <w:szCs w:val="22"/>
          <w:rtl/>
        </w:rPr>
      </w:pPr>
      <w:r>
        <w:rPr>
          <w:noProof/>
          <w:rtl/>
        </w:rPr>
        <w:t>דעת הסוברים דאינו נאמן בדידי חטפי במיגו דהחזרתי</w:t>
      </w:r>
    </w:p>
    <w:p w:rsidR="000F5507" w:rsidRDefault="000F5507" w:rsidP="007E4E81">
      <w:pPr>
        <w:pStyle w:val="a"/>
        <w:rPr>
          <w:rFonts w:eastAsiaTheme="minorEastAsia" w:cstheme="minorBidi"/>
          <w:sz w:val="22"/>
          <w:szCs w:val="22"/>
          <w:rtl/>
        </w:rPr>
      </w:pPr>
      <w:r>
        <w:rPr>
          <w:rtl/>
        </w:rPr>
        <w:t>דעת רבינו יונה דגזלן לא נאמן בהחזרתי בלי עדים ולא דמי להלואה דנטל ע"מ להחזיר</w:t>
      </w:r>
    </w:p>
    <w:p w:rsidR="000F5507" w:rsidRDefault="000F5507" w:rsidP="007E4E81">
      <w:pPr>
        <w:pStyle w:val="a"/>
        <w:rPr>
          <w:rFonts w:eastAsiaTheme="minorEastAsia" w:cstheme="minorBidi"/>
          <w:sz w:val="22"/>
          <w:szCs w:val="22"/>
          <w:rtl/>
        </w:rPr>
      </w:pPr>
      <w:r>
        <w:rPr>
          <w:rtl/>
        </w:rPr>
        <w:t>דברי הי"מ ברשב"א דמוכח בגמ' בשבועות גזלן לא נאמן בהחזרתי ודברי הרשב"א דאי"ז ראיה</w:t>
      </w:r>
    </w:p>
    <w:p w:rsidR="000F5507" w:rsidRDefault="000F5507" w:rsidP="000F5507">
      <w:pPr>
        <w:pStyle w:val="aff4"/>
        <w:rPr>
          <w:rFonts w:eastAsiaTheme="minorEastAsia" w:cstheme="minorBidi"/>
          <w:i/>
          <w:iCs/>
          <w:noProof/>
          <w:sz w:val="22"/>
          <w:szCs w:val="22"/>
          <w:rtl/>
        </w:rPr>
      </w:pPr>
      <w:r>
        <w:rPr>
          <w:noProof/>
          <w:rtl/>
        </w:rPr>
        <w:t>דברי הרמב"ן בשם הרמ"ה דגזלן נאמן לומר החזרתי בלי עדים</w:t>
      </w:r>
    </w:p>
    <w:p w:rsidR="000F5507" w:rsidRDefault="000F5507" w:rsidP="007E4E81">
      <w:pPr>
        <w:pStyle w:val="a"/>
        <w:rPr>
          <w:rFonts w:eastAsiaTheme="minorEastAsia" w:cstheme="minorBidi"/>
          <w:sz w:val="22"/>
          <w:szCs w:val="22"/>
          <w:rtl/>
        </w:rPr>
      </w:pPr>
      <w:r>
        <w:rPr>
          <w:rtl/>
        </w:rPr>
        <w:t>דברי הרמב"ן והרשב"א בשם הרמ"ה דמוכח בכתובות דגזלן נאמן בטענת החזרתי בלי עדים</w:t>
      </w:r>
    </w:p>
    <w:p w:rsidR="000F5507" w:rsidRDefault="000F5507" w:rsidP="007E4E81">
      <w:pPr>
        <w:pStyle w:val="a"/>
        <w:rPr>
          <w:rFonts w:eastAsiaTheme="minorEastAsia" w:cstheme="minorBidi"/>
          <w:sz w:val="22"/>
          <w:szCs w:val="22"/>
          <w:rtl/>
        </w:rPr>
      </w:pPr>
      <w:r>
        <w:rPr>
          <w:rtl/>
        </w:rPr>
        <w:t>קושית הר"ן על הרמ"ה דאי גזלן נאמן בהחזרתי אמאי בדידי חטפי לא נאמן במיגו דהחזרתי</w:t>
      </w:r>
    </w:p>
    <w:p w:rsidR="000F5507" w:rsidRDefault="000F5507" w:rsidP="007E4E81">
      <w:pPr>
        <w:pStyle w:val="a"/>
        <w:rPr>
          <w:rFonts w:eastAsiaTheme="minorEastAsia" w:cstheme="minorBidi"/>
          <w:sz w:val="22"/>
          <w:szCs w:val="22"/>
          <w:rtl/>
        </w:rPr>
      </w:pPr>
      <w:r>
        <w:rPr>
          <w:rtl/>
        </w:rPr>
        <w:t>תירוץ הרשב"א והר"ן דבסוגיין איירי שהנסכא יוצאת עכשיו מתח"י ואין לו מיגו</w:t>
      </w:r>
    </w:p>
    <w:p w:rsidR="000F5507" w:rsidRDefault="000F5507" w:rsidP="007E4E81">
      <w:pPr>
        <w:pStyle w:val="a"/>
        <w:rPr>
          <w:rFonts w:eastAsiaTheme="minorEastAsia" w:cstheme="minorBidi"/>
          <w:sz w:val="22"/>
          <w:szCs w:val="22"/>
          <w:rtl/>
        </w:rPr>
      </w:pPr>
      <w:r>
        <w:rPr>
          <w:rtl/>
        </w:rPr>
        <w:t>דברי הדרכ"מ דהא דבדידי חטפי אינו נאמן במיגו דהחזרתי הוא כיון דהוא כמיגו במקום עדים</w:t>
      </w:r>
    </w:p>
    <w:p w:rsidR="000F5507" w:rsidRDefault="000F5507" w:rsidP="000F5507">
      <w:pPr>
        <w:pStyle w:val="2"/>
        <w:rPr>
          <w:rFonts w:eastAsiaTheme="minorEastAsia" w:cstheme="minorBidi"/>
          <w:i/>
          <w:iCs/>
          <w:sz w:val="22"/>
          <w:szCs w:val="22"/>
          <w:rtl/>
        </w:rPr>
      </w:pPr>
      <w:r>
        <w:rPr>
          <w:rtl/>
        </w:rPr>
        <w:t>אי בדין משאיל"מ שכנגדו נשבע ונוטל</w:t>
      </w:r>
    </w:p>
    <w:p w:rsidR="000F5507" w:rsidRDefault="000F5507" w:rsidP="000F5507">
      <w:pPr>
        <w:pStyle w:val="aff4"/>
        <w:rPr>
          <w:rFonts w:eastAsiaTheme="minorEastAsia" w:cstheme="minorBidi"/>
          <w:i/>
          <w:iCs/>
          <w:noProof/>
          <w:sz w:val="22"/>
          <w:szCs w:val="22"/>
          <w:rtl/>
        </w:rPr>
      </w:pPr>
      <w:r>
        <w:rPr>
          <w:noProof/>
          <w:rtl/>
        </w:rPr>
        <w:t>דברי הרשב"א דבמשאיל"מ אין שכנגדו צריך להשבע כחשוד</w:t>
      </w:r>
    </w:p>
    <w:p w:rsidR="000F5507" w:rsidRDefault="000F5507" w:rsidP="007E4E81">
      <w:pPr>
        <w:pStyle w:val="a"/>
        <w:rPr>
          <w:rFonts w:eastAsiaTheme="minorEastAsia" w:cstheme="minorBidi"/>
          <w:sz w:val="22"/>
          <w:szCs w:val="22"/>
          <w:rtl/>
        </w:rPr>
      </w:pPr>
      <w:r>
        <w:rPr>
          <w:rtl/>
        </w:rPr>
        <w:t>דברי הרשב"א והריטב"א דבדין משאיל"מ שכנגדו אינו נשבע ול"ד לחשוד שהוא רוצה לישבע</w:t>
      </w:r>
    </w:p>
    <w:p w:rsidR="000F5507" w:rsidRDefault="000F5507" w:rsidP="007E4E81">
      <w:pPr>
        <w:pStyle w:val="a"/>
        <w:rPr>
          <w:rFonts w:eastAsiaTheme="minorEastAsia" w:cstheme="minorBidi"/>
          <w:sz w:val="22"/>
          <w:szCs w:val="22"/>
          <w:rtl/>
        </w:rPr>
      </w:pPr>
      <w:r>
        <w:rPr>
          <w:rtl/>
        </w:rPr>
        <w:lastRenderedPageBreak/>
        <w:t>דברי הרשב"א דבחשוד הטילו רבנן שבועה על שכנגדו דאל"ה לא שבקת חיי לכל חשוד</w:t>
      </w:r>
    </w:p>
    <w:p w:rsidR="000F5507" w:rsidRDefault="000F5507" w:rsidP="000F5507">
      <w:pPr>
        <w:pStyle w:val="aff4"/>
        <w:rPr>
          <w:rFonts w:eastAsiaTheme="minorEastAsia" w:cstheme="minorBidi"/>
          <w:i/>
          <w:iCs/>
          <w:noProof/>
          <w:sz w:val="22"/>
          <w:szCs w:val="22"/>
          <w:rtl/>
        </w:rPr>
      </w:pPr>
      <w:r>
        <w:rPr>
          <w:noProof/>
          <w:rtl/>
        </w:rPr>
        <w:t>דעת העיטור ורבינו שמואל בראב"ן דבמשאיל"מ שכנגדו נשבע</w:t>
      </w:r>
    </w:p>
    <w:p w:rsidR="000F5507" w:rsidRDefault="000F5507" w:rsidP="007E4E81">
      <w:pPr>
        <w:pStyle w:val="a"/>
        <w:rPr>
          <w:rFonts w:eastAsiaTheme="minorEastAsia" w:cstheme="minorBidi"/>
          <w:sz w:val="22"/>
          <w:szCs w:val="22"/>
          <w:rtl/>
        </w:rPr>
      </w:pPr>
      <w:r>
        <w:rPr>
          <w:rtl/>
        </w:rPr>
        <w:t>דברי העיטור והראב"ן בשם רבינו שמואל דבדין משאיל"מ שכנגדו נשבע ונוטל</w:t>
      </w:r>
    </w:p>
    <w:p w:rsidR="000F5507" w:rsidRDefault="000F5507" w:rsidP="000F5507">
      <w:pPr>
        <w:pStyle w:val="2"/>
        <w:rPr>
          <w:rFonts w:eastAsiaTheme="minorEastAsia" w:cstheme="minorBidi"/>
          <w:i/>
          <w:iCs/>
          <w:sz w:val="22"/>
          <w:szCs w:val="22"/>
          <w:rtl/>
        </w:rPr>
      </w:pPr>
      <w:r>
        <w:rPr>
          <w:rtl/>
        </w:rPr>
        <w:t>ד' ר"ח דמחוייב שבועה דבתחילה הכחיש</w:t>
      </w:r>
    </w:p>
    <w:p w:rsidR="000F5507" w:rsidRDefault="000F5507" w:rsidP="007E4E81">
      <w:pPr>
        <w:pStyle w:val="a"/>
        <w:rPr>
          <w:rFonts w:eastAsiaTheme="minorEastAsia" w:cstheme="minorBidi"/>
          <w:sz w:val="22"/>
          <w:szCs w:val="22"/>
          <w:rtl/>
        </w:rPr>
      </w:pPr>
      <w:r>
        <w:rPr>
          <w:rtl/>
        </w:rPr>
        <w:t>דברי ר"ח דבתחילה הכחיש את וטען לא חטפי ואחר שבא הע"א חזר וטען אין חטפי ודידי חטפי</w:t>
      </w:r>
    </w:p>
    <w:p w:rsidR="000F5507" w:rsidRDefault="000F5507" w:rsidP="007E4E81">
      <w:pPr>
        <w:pStyle w:val="a"/>
        <w:rPr>
          <w:rFonts w:eastAsiaTheme="minorEastAsia" w:cstheme="minorBidi"/>
          <w:sz w:val="22"/>
          <w:szCs w:val="22"/>
          <w:rtl/>
        </w:rPr>
      </w:pPr>
      <w:r>
        <w:rPr>
          <w:rtl/>
        </w:rPr>
        <w:t>משמעות רבינו גרשום מכת"י דהא דאינו נאמן בטענת דידי חטפי כיון שטען כן אחר עדות הע"א</w:t>
      </w:r>
    </w:p>
    <w:p w:rsidR="000F5507" w:rsidRDefault="000F5507" w:rsidP="007E4E81">
      <w:pPr>
        <w:pStyle w:val="a"/>
        <w:rPr>
          <w:rFonts w:eastAsiaTheme="minorEastAsia" w:cstheme="minorBidi"/>
          <w:sz w:val="22"/>
          <w:szCs w:val="22"/>
          <w:rtl/>
        </w:rPr>
      </w:pPr>
      <w:r>
        <w:rPr>
          <w:rtl/>
        </w:rPr>
        <w:t>ביאור הרי"ד בשבועות דאינו נאמן בשבועה דדידי חטפי כיון שהכחיש וחשיב שהודה שאינה שלו</w:t>
      </w:r>
    </w:p>
    <w:p w:rsidR="000F5507" w:rsidRDefault="000F5507" w:rsidP="007E4E81">
      <w:pPr>
        <w:pStyle w:val="a"/>
        <w:rPr>
          <w:rFonts w:eastAsiaTheme="minorEastAsia" w:cstheme="minorBidi"/>
          <w:sz w:val="22"/>
          <w:szCs w:val="22"/>
          <w:rtl/>
        </w:rPr>
      </w:pPr>
      <w:r>
        <w:rPr>
          <w:rtl/>
        </w:rPr>
        <w:t>בי' הרי"ד דבהכחיש לא נאמן לחזור ולומר דידי חטפי וכהאומר לא לויתי כאומר לא פרעתי דמי</w:t>
      </w:r>
    </w:p>
    <w:p w:rsidR="000F5507" w:rsidRDefault="000F5507" w:rsidP="007E4E81">
      <w:pPr>
        <w:pStyle w:val="a"/>
        <w:rPr>
          <w:rFonts w:eastAsiaTheme="minorEastAsia" w:cstheme="minorBidi"/>
          <w:sz w:val="22"/>
          <w:szCs w:val="22"/>
          <w:rtl/>
        </w:rPr>
      </w:pPr>
      <w:r>
        <w:rPr>
          <w:rtl/>
        </w:rPr>
        <w:t>דחיית הרי"ד דאי הכחיש בתחילה חייב לשלם ולא שייך דין משאיל"מ כלל</w:t>
      </w:r>
    </w:p>
    <w:p w:rsidR="000F5507" w:rsidRDefault="000F5507" w:rsidP="000F5507">
      <w:pPr>
        <w:pStyle w:val="2"/>
        <w:rPr>
          <w:rFonts w:eastAsiaTheme="minorEastAsia" w:cstheme="minorBidi"/>
          <w:i/>
          <w:iCs/>
          <w:sz w:val="22"/>
          <w:szCs w:val="22"/>
          <w:rtl/>
        </w:rPr>
      </w:pPr>
      <w:r>
        <w:rPr>
          <w:rtl/>
        </w:rPr>
        <w:t>בהא דסבור רבנן דאכילת פירות כנסכא</w:t>
      </w:r>
    </w:p>
    <w:p w:rsidR="000F5507" w:rsidRDefault="000F5507" w:rsidP="000F5507">
      <w:pPr>
        <w:pStyle w:val="aff4"/>
        <w:rPr>
          <w:rFonts w:eastAsiaTheme="minorEastAsia" w:cstheme="minorBidi"/>
          <w:i/>
          <w:iCs/>
          <w:noProof/>
          <w:sz w:val="22"/>
          <w:szCs w:val="22"/>
          <w:rtl/>
        </w:rPr>
      </w:pPr>
      <w:r>
        <w:rPr>
          <w:noProof/>
          <w:rtl/>
        </w:rPr>
        <w:t>הבי' הא' ברשב"ם דע"א על ג"ש דמי לנסכא לענין הקרקע</w:t>
      </w:r>
    </w:p>
    <w:p w:rsidR="000F5507" w:rsidRDefault="000F5507" w:rsidP="007E4E81">
      <w:pPr>
        <w:pStyle w:val="a"/>
        <w:rPr>
          <w:rFonts w:eastAsiaTheme="minorEastAsia" w:cstheme="minorBidi"/>
          <w:sz w:val="22"/>
          <w:szCs w:val="22"/>
          <w:rtl/>
        </w:rPr>
      </w:pPr>
      <w:r>
        <w:rPr>
          <w:rtl/>
        </w:rPr>
        <w:t>הבי' הא' ברשב"ם דבע"א בחזקת ג"ש פשיטא דהקרקע חוזרת ודימו לנסכא בדמיון בעלמא</w:t>
      </w:r>
    </w:p>
    <w:p w:rsidR="000F5507" w:rsidRDefault="000F5507" w:rsidP="007E4E81">
      <w:pPr>
        <w:pStyle w:val="a"/>
        <w:rPr>
          <w:rFonts w:eastAsiaTheme="minorEastAsia" w:cstheme="minorBidi"/>
          <w:sz w:val="22"/>
          <w:szCs w:val="22"/>
          <w:rtl/>
        </w:rPr>
      </w:pPr>
      <w:r>
        <w:rPr>
          <w:rtl/>
        </w:rPr>
        <w:t>ביאור הרשב"א ברשב"ם דהדימוי הוא לענין הקרקע בדמיון בעלמא ורק למסקנא דמי לפירות</w:t>
      </w:r>
    </w:p>
    <w:p w:rsidR="000F5507" w:rsidRDefault="000F5507" w:rsidP="007E4E81">
      <w:pPr>
        <w:pStyle w:val="a"/>
        <w:rPr>
          <w:rFonts w:eastAsiaTheme="minorEastAsia" w:cstheme="minorBidi"/>
          <w:sz w:val="22"/>
          <w:szCs w:val="22"/>
          <w:rtl/>
        </w:rPr>
      </w:pPr>
      <w:r>
        <w:rPr>
          <w:rtl/>
        </w:rPr>
        <w:t>דחיית הרשב"א דא"א לומר דהדימוי הוא בקרקע והגמ' במסקנא מפרשת דהדימוי לענין הפירות</w:t>
      </w:r>
    </w:p>
    <w:p w:rsidR="000F5507" w:rsidRDefault="000F5507" w:rsidP="000F5507">
      <w:pPr>
        <w:pStyle w:val="aff4"/>
        <w:rPr>
          <w:rFonts w:eastAsiaTheme="minorEastAsia" w:cstheme="minorBidi"/>
          <w:i/>
          <w:iCs/>
          <w:noProof/>
          <w:sz w:val="22"/>
          <w:szCs w:val="22"/>
          <w:rtl/>
        </w:rPr>
      </w:pPr>
      <w:r>
        <w:rPr>
          <w:noProof/>
          <w:rtl/>
        </w:rPr>
        <w:t>הבי' הב' ברשב"ם דע"א בקרקע מחזיק פירות מדין משאיל"מ</w:t>
      </w:r>
    </w:p>
    <w:p w:rsidR="000F5507" w:rsidRDefault="000F5507" w:rsidP="007E4E81">
      <w:pPr>
        <w:pStyle w:val="a"/>
        <w:rPr>
          <w:rFonts w:eastAsiaTheme="minorEastAsia" w:cstheme="minorBidi"/>
          <w:sz w:val="22"/>
          <w:szCs w:val="22"/>
          <w:rtl/>
        </w:rPr>
      </w:pPr>
      <w:r>
        <w:rPr>
          <w:rtl/>
        </w:rPr>
        <w:t>הבי' הב' ברשב"ם דדמי לנסכא דחשיב שיש עדים שאכל פירות והדרי פירי ובלא"ה לא הדרי</w:t>
      </w:r>
    </w:p>
    <w:p w:rsidR="000F5507" w:rsidRDefault="000F5507" w:rsidP="007E4E81">
      <w:pPr>
        <w:pStyle w:val="a"/>
        <w:rPr>
          <w:rFonts w:eastAsiaTheme="minorEastAsia" w:cstheme="minorBidi"/>
          <w:sz w:val="22"/>
          <w:szCs w:val="22"/>
          <w:rtl/>
        </w:rPr>
      </w:pPr>
      <w:r>
        <w:rPr>
          <w:rtl/>
        </w:rPr>
        <w:t>דברי הרשב"ם דבנסכא בב' עדים משלם וה"ה בע"א ואינו יכול להשבע וה"ה בע"א בחזקת ג"ש</w:t>
      </w:r>
    </w:p>
    <w:p w:rsidR="000F5507" w:rsidRDefault="000F5507" w:rsidP="007E4E81">
      <w:pPr>
        <w:pStyle w:val="a"/>
        <w:rPr>
          <w:rFonts w:eastAsiaTheme="minorEastAsia" w:cstheme="minorBidi"/>
          <w:sz w:val="22"/>
          <w:szCs w:val="22"/>
          <w:rtl/>
        </w:rPr>
      </w:pPr>
      <w:r>
        <w:rPr>
          <w:rtl/>
        </w:rPr>
        <w:t>בי' הרשב"ם דחזקה כנסכא דבעדים הוי חזקה ובלי עדים מוציאין ובמודה לע"א א"א להשבע</w:t>
      </w:r>
    </w:p>
    <w:p w:rsidR="000F5507" w:rsidRDefault="000F5507" w:rsidP="000F5507">
      <w:pPr>
        <w:pStyle w:val="aff4"/>
        <w:rPr>
          <w:rFonts w:eastAsiaTheme="minorEastAsia" w:cstheme="minorBidi"/>
          <w:i/>
          <w:iCs/>
          <w:noProof/>
          <w:sz w:val="22"/>
          <w:szCs w:val="22"/>
          <w:rtl/>
        </w:rPr>
      </w:pPr>
      <w:r>
        <w:rPr>
          <w:noProof/>
          <w:rtl/>
        </w:rPr>
        <w:t>דברי התוס' בהא דסבור רבנן ודברי אביי בע"א בחזקת ג"ש</w:t>
      </w:r>
    </w:p>
    <w:p w:rsidR="000F5507" w:rsidRDefault="000F5507" w:rsidP="007E4E81">
      <w:pPr>
        <w:pStyle w:val="a"/>
        <w:rPr>
          <w:rFonts w:eastAsiaTheme="minorEastAsia" w:cstheme="minorBidi"/>
          <w:sz w:val="22"/>
          <w:szCs w:val="22"/>
          <w:rtl/>
        </w:rPr>
      </w:pPr>
      <w:r>
        <w:rPr>
          <w:rtl/>
        </w:rPr>
        <w:t>דברי התוס' דסבור רבנן דדמי לפירות דיש ריעותא בטענתו ע"י הע"א וחשיב שמחייבו שבועה</w:t>
      </w:r>
    </w:p>
    <w:p w:rsidR="000F5507" w:rsidRDefault="000F5507" w:rsidP="007E4E81">
      <w:pPr>
        <w:pStyle w:val="a"/>
        <w:rPr>
          <w:rFonts w:eastAsiaTheme="minorEastAsia" w:cstheme="minorBidi"/>
          <w:sz w:val="22"/>
          <w:szCs w:val="22"/>
          <w:rtl/>
        </w:rPr>
      </w:pPr>
      <w:r>
        <w:rPr>
          <w:rtl/>
        </w:rPr>
        <w:t>דברי התוס' כיון שאין עוד עד חשיב עדות על הפירות ולא לחזקה ואינו מעיד לטובת המחזיק</w:t>
      </w:r>
    </w:p>
    <w:p w:rsidR="000F5507" w:rsidRDefault="000F5507" w:rsidP="000F5507">
      <w:pPr>
        <w:pStyle w:val="aff4"/>
        <w:rPr>
          <w:rFonts w:eastAsiaTheme="minorEastAsia" w:cstheme="minorBidi"/>
          <w:i/>
          <w:iCs/>
          <w:noProof/>
          <w:sz w:val="22"/>
          <w:szCs w:val="22"/>
          <w:rtl/>
        </w:rPr>
      </w:pPr>
      <w:r>
        <w:rPr>
          <w:noProof/>
          <w:rtl/>
        </w:rPr>
        <w:t>דברי התוס' הרמב"ן והריטב"א דאף בהו"א הנדון לענין הפירות</w:t>
      </w:r>
    </w:p>
    <w:p w:rsidR="000F5507" w:rsidRDefault="000F5507" w:rsidP="007E4E81">
      <w:pPr>
        <w:pStyle w:val="a"/>
        <w:rPr>
          <w:rFonts w:eastAsiaTheme="minorEastAsia" w:cstheme="minorBidi"/>
          <w:sz w:val="22"/>
          <w:szCs w:val="22"/>
          <w:rtl/>
        </w:rPr>
      </w:pPr>
      <w:r>
        <w:rPr>
          <w:rtl/>
        </w:rPr>
        <w:t>דברי התוס' דהא דאמרינן למסקנא דאיירי בפירות הוא אגב ב' שנים ואף בהו"א איירי בפירות</w:t>
      </w:r>
    </w:p>
    <w:p w:rsidR="000F5507" w:rsidRDefault="000F5507" w:rsidP="007E4E81">
      <w:pPr>
        <w:pStyle w:val="a"/>
        <w:rPr>
          <w:rFonts w:eastAsiaTheme="minorEastAsia" w:cstheme="minorBidi"/>
          <w:sz w:val="22"/>
          <w:szCs w:val="22"/>
          <w:rtl/>
        </w:rPr>
      </w:pPr>
      <w:r>
        <w:rPr>
          <w:rtl/>
        </w:rPr>
        <w:t>דברי הרמב"ן דסבור רבנן דע"א בחזקת ג"ש דמי לנסכא לענין הפירות ולא בקרקע כמו במסקנא</w:t>
      </w:r>
    </w:p>
    <w:p w:rsidR="000F5507" w:rsidRDefault="000F5507" w:rsidP="007E4E81">
      <w:pPr>
        <w:pStyle w:val="a"/>
        <w:rPr>
          <w:rFonts w:eastAsiaTheme="minorEastAsia" w:cstheme="minorBidi"/>
          <w:sz w:val="22"/>
          <w:szCs w:val="22"/>
          <w:rtl/>
        </w:rPr>
      </w:pPr>
      <w:r>
        <w:rPr>
          <w:rtl/>
        </w:rPr>
        <w:t>דברי הריטב"א דהקרקע ל"ד כלל לנסכא וכוונת הגמ' במסקנא דפירות בב' שנים ממש כנסכא</w:t>
      </w:r>
    </w:p>
    <w:p w:rsidR="000F5507" w:rsidRDefault="000F5507" w:rsidP="000F5507">
      <w:pPr>
        <w:pStyle w:val="aff4"/>
        <w:rPr>
          <w:rFonts w:eastAsiaTheme="minorEastAsia" w:cstheme="minorBidi"/>
          <w:i/>
          <w:iCs/>
          <w:noProof/>
          <w:sz w:val="22"/>
          <w:szCs w:val="22"/>
          <w:rtl/>
        </w:rPr>
      </w:pPr>
      <w:r>
        <w:rPr>
          <w:noProof/>
          <w:rtl/>
        </w:rPr>
        <w:t>בי' רבינו יונה דמכח חזקת מר"ק חשיב שמעיד שאכל בגזלנות</w:t>
      </w:r>
    </w:p>
    <w:p w:rsidR="000F5507" w:rsidRDefault="000F5507" w:rsidP="007E4E81">
      <w:pPr>
        <w:pStyle w:val="a"/>
        <w:rPr>
          <w:rFonts w:eastAsiaTheme="minorEastAsia" w:cstheme="minorBidi"/>
          <w:sz w:val="22"/>
          <w:szCs w:val="22"/>
          <w:rtl/>
        </w:rPr>
      </w:pPr>
      <w:r>
        <w:rPr>
          <w:rtl/>
        </w:rPr>
        <w:t>קושית רבינו יונה דמה ההו"א דע"א בג"ש דמי לנסכא הא בב' עדים זוכה המחזיק בקרקע</w:t>
      </w:r>
    </w:p>
    <w:p w:rsidR="000F5507" w:rsidRDefault="000F5507" w:rsidP="007E4E81">
      <w:pPr>
        <w:pStyle w:val="a"/>
        <w:rPr>
          <w:rFonts w:eastAsiaTheme="minorEastAsia" w:cstheme="minorBidi"/>
          <w:sz w:val="22"/>
          <w:szCs w:val="22"/>
          <w:rtl/>
        </w:rPr>
      </w:pPr>
      <w:r>
        <w:rPr>
          <w:rtl/>
        </w:rPr>
        <w:t>בי' רבינו יונה דבע"א על חזקה דהקרקע בחזקת המר"ק אנו דנים שהעיד על אכילת פירות בגזל</w:t>
      </w:r>
    </w:p>
    <w:p w:rsidR="000F5507" w:rsidRDefault="000F5507" w:rsidP="000F5507">
      <w:pPr>
        <w:pStyle w:val="aff4"/>
        <w:rPr>
          <w:rFonts w:eastAsiaTheme="minorEastAsia" w:cstheme="minorBidi"/>
          <w:i/>
          <w:iCs/>
          <w:noProof/>
          <w:sz w:val="22"/>
          <w:szCs w:val="22"/>
          <w:rtl/>
        </w:rPr>
      </w:pPr>
      <w:r>
        <w:rPr>
          <w:noProof/>
          <w:rtl/>
        </w:rPr>
        <w:t>בי' הרשב"ם באביי דבע"א על חזקה לא הורע כחו כמו בנסכא</w:t>
      </w:r>
    </w:p>
    <w:p w:rsidR="000F5507" w:rsidRDefault="000F5507" w:rsidP="007E4E81">
      <w:pPr>
        <w:pStyle w:val="a"/>
        <w:rPr>
          <w:rFonts w:eastAsiaTheme="minorEastAsia" w:cstheme="minorBidi"/>
          <w:sz w:val="22"/>
          <w:szCs w:val="22"/>
          <w:rtl/>
        </w:rPr>
      </w:pPr>
      <w:r>
        <w:rPr>
          <w:rtl/>
        </w:rPr>
        <w:t>ביאור הרשב"ם באביי דבנסכא הורע כח החוטף אבל בחזקה לא הורע כחו וא"א לומר משאיל"מ</w:t>
      </w:r>
    </w:p>
    <w:p w:rsidR="000F5507" w:rsidRDefault="000F5507" w:rsidP="000F5507">
      <w:pPr>
        <w:pStyle w:val="aff4"/>
        <w:rPr>
          <w:rFonts w:eastAsiaTheme="minorEastAsia" w:cstheme="minorBidi"/>
          <w:i/>
          <w:iCs/>
          <w:noProof/>
          <w:sz w:val="22"/>
          <w:szCs w:val="22"/>
          <w:rtl/>
        </w:rPr>
      </w:pPr>
      <w:r>
        <w:rPr>
          <w:noProof/>
          <w:rtl/>
        </w:rPr>
        <w:t>ביאור הרמ"ה באביי דלענין הפירות בג"ש הע"א כמאן דליתיה</w:t>
      </w:r>
    </w:p>
    <w:p w:rsidR="000F5507" w:rsidRDefault="000F5507" w:rsidP="007E4E81">
      <w:pPr>
        <w:pStyle w:val="a"/>
        <w:rPr>
          <w:rFonts w:eastAsiaTheme="minorEastAsia" w:cstheme="minorBidi"/>
          <w:sz w:val="22"/>
          <w:szCs w:val="22"/>
          <w:rtl/>
        </w:rPr>
      </w:pPr>
      <w:r>
        <w:rPr>
          <w:rtl/>
        </w:rPr>
        <w:t>ביאור הרשב"ם באביי דע"א על ג"ש לענין הפירות הוא כמאן דליתיה כיון שבא לסייע למחזיק</w:t>
      </w:r>
    </w:p>
    <w:p w:rsidR="000F5507" w:rsidRDefault="000F5507" w:rsidP="000F5507">
      <w:pPr>
        <w:pStyle w:val="aff4"/>
        <w:rPr>
          <w:rFonts w:eastAsiaTheme="minorEastAsia" w:cstheme="minorBidi"/>
          <w:i/>
          <w:iCs/>
          <w:noProof/>
          <w:sz w:val="22"/>
          <w:szCs w:val="22"/>
          <w:rtl/>
        </w:rPr>
      </w:pPr>
      <w:r>
        <w:rPr>
          <w:noProof/>
          <w:rtl/>
        </w:rPr>
        <w:t>דברי הרא"ש דאי הע"א נאמן א"כ הקרקע ביד המחזיק</w:t>
      </w:r>
    </w:p>
    <w:p w:rsidR="000F5507" w:rsidRDefault="000F5507" w:rsidP="007E4E81">
      <w:pPr>
        <w:pStyle w:val="a"/>
        <w:rPr>
          <w:rFonts w:eastAsiaTheme="minorEastAsia" w:cstheme="minorBidi"/>
          <w:sz w:val="22"/>
          <w:szCs w:val="22"/>
          <w:rtl/>
        </w:rPr>
      </w:pPr>
      <w:r>
        <w:rPr>
          <w:rtl/>
        </w:rPr>
        <w:t>ביאור הרא"ש באביי דאי ע"א נאמן צריך להעמיד את הקרקע ביד המחזיק דבב' עדים הוי חזקה</w:t>
      </w:r>
    </w:p>
    <w:p w:rsidR="000F5507" w:rsidRDefault="000F5507" w:rsidP="007E4E81">
      <w:pPr>
        <w:pStyle w:val="a"/>
        <w:rPr>
          <w:rFonts w:eastAsiaTheme="minorEastAsia" w:cstheme="minorBidi"/>
          <w:sz w:val="22"/>
          <w:szCs w:val="22"/>
          <w:rtl/>
        </w:rPr>
      </w:pPr>
      <w:r>
        <w:rPr>
          <w:rtl/>
        </w:rPr>
        <w:t>בי' הריטב"א דבחזקה דשנים לאמחייבים ממון אין ע"א מחייב שבועה ודמי לטוען לויתי ופרעתי</w:t>
      </w:r>
    </w:p>
    <w:p w:rsidR="000F5507" w:rsidRDefault="000F5507" w:rsidP="000F5507">
      <w:pPr>
        <w:pStyle w:val="aff4"/>
        <w:rPr>
          <w:rFonts w:eastAsiaTheme="minorEastAsia" w:cstheme="minorBidi"/>
          <w:i/>
          <w:iCs/>
          <w:noProof/>
          <w:sz w:val="22"/>
          <w:szCs w:val="22"/>
          <w:rtl/>
        </w:rPr>
      </w:pPr>
      <w:r>
        <w:rPr>
          <w:noProof/>
          <w:rtl/>
        </w:rPr>
        <w:t>ביאור הרשב"ם במסקנא דנסכא דמי לע"א על אכילת ב' שנים</w:t>
      </w:r>
    </w:p>
    <w:p w:rsidR="000F5507" w:rsidRDefault="000F5507" w:rsidP="007E4E81">
      <w:pPr>
        <w:pStyle w:val="a"/>
        <w:rPr>
          <w:rFonts w:eastAsiaTheme="minorEastAsia" w:cstheme="minorBidi"/>
          <w:sz w:val="22"/>
          <w:szCs w:val="22"/>
          <w:rtl/>
        </w:rPr>
      </w:pPr>
      <w:r>
        <w:rPr>
          <w:rtl/>
        </w:rPr>
        <w:t>בי' הרשב"ם במסקנא דבמודה שאכל ב' שנים וטוען לקוחה א"צ להחזיר פירות מדין הפה שאסר</w:t>
      </w:r>
    </w:p>
    <w:p w:rsidR="000F5507" w:rsidRDefault="000F5507" w:rsidP="007E4E81">
      <w:pPr>
        <w:pStyle w:val="a"/>
        <w:rPr>
          <w:rFonts w:eastAsiaTheme="minorEastAsia" w:cstheme="minorBidi"/>
          <w:sz w:val="22"/>
          <w:szCs w:val="22"/>
          <w:rtl/>
        </w:rPr>
      </w:pPr>
      <w:r>
        <w:rPr>
          <w:rtl/>
        </w:rPr>
        <w:t>בי' הרשב"ם במסקנא דבע"א על ב' שנים אינו מסייע למחזיק ודמי לנסכא שיש ספק היאך לדון</w:t>
      </w:r>
    </w:p>
    <w:p w:rsidR="000F5507" w:rsidRDefault="000F5507" w:rsidP="007E4E81">
      <w:pPr>
        <w:pStyle w:val="a"/>
        <w:rPr>
          <w:rFonts w:eastAsiaTheme="minorEastAsia" w:cstheme="minorBidi"/>
          <w:sz w:val="22"/>
          <w:szCs w:val="22"/>
          <w:rtl/>
        </w:rPr>
      </w:pPr>
      <w:r>
        <w:rPr>
          <w:rtl/>
        </w:rPr>
        <w:t>דברי הרשב"ם דבע"א על ב' שנים א"א לחייבו או לפוטרו ומחזיק פירות מדין משאיל"מ כנסכא</w:t>
      </w:r>
    </w:p>
    <w:p w:rsidR="000F5507" w:rsidRDefault="000F5507" w:rsidP="000F5507">
      <w:pPr>
        <w:pStyle w:val="2"/>
        <w:rPr>
          <w:rFonts w:eastAsiaTheme="minorEastAsia" w:cstheme="minorBidi"/>
          <w:i/>
          <w:iCs/>
          <w:sz w:val="22"/>
          <w:szCs w:val="22"/>
        </w:rPr>
      </w:pPr>
      <w:r>
        <w:rPr>
          <w:rFonts w:hint="cs"/>
          <w:rtl/>
        </w:rPr>
        <w:t>~~~~~~~ ביאורי ראשי הישיבות ~~~~~~~</w:t>
      </w:r>
    </w:p>
    <w:p w:rsidR="000F5507" w:rsidRDefault="000F5507" w:rsidP="000F5507">
      <w:pPr>
        <w:pStyle w:val="2"/>
        <w:rPr>
          <w:rFonts w:eastAsiaTheme="minorEastAsia" w:cstheme="minorBidi"/>
          <w:i/>
          <w:iCs/>
          <w:sz w:val="22"/>
          <w:szCs w:val="22"/>
          <w:rtl/>
        </w:rPr>
      </w:pPr>
      <w:r>
        <w:rPr>
          <w:rtl/>
        </w:rPr>
        <w:t>בהא דלא נאמן בטענת דידי חטפי בעדים</w:t>
      </w:r>
    </w:p>
    <w:p w:rsidR="000F5507" w:rsidRDefault="000F5507" w:rsidP="000F5507">
      <w:pPr>
        <w:pStyle w:val="aff4"/>
        <w:rPr>
          <w:rFonts w:eastAsiaTheme="minorEastAsia" w:cstheme="minorBidi"/>
          <w:i/>
          <w:iCs/>
          <w:noProof/>
          <w:sz w:val="22"/>
          <w:szCs w:val="22"/>
          <w:rtl/>
        </w:rPr>
      </w:pPr>
      <w:r>
        <w:rPr>
          <w:noProof/>
          <w:rtl/>
        </w:rPr>
        <w:t>בי' הגרנ"פ ברשב"ם ובתוס' אמאי לא נאמן בדידי חטפי בעדים</w:t>
      </w:r>
    </w:p>
    <w:p w:rsidR="000F5507" w:rsidRDefault="000F5507" w:rsidP="007E4E81">
      <w:pPr>
        <w:pStyle w:val="a"/>
        <w:rPr>
          <w:rFonts w:eastAsiaTheme="minorEastAsia" w:cstheme="minorBidi"/>
          <w:sz w:val="22"/>
          <w:szCs w:val="22"/>
          <w:rtl/>
        </w:rPr>
      </w:pPr>
      <w:r>
        <w:rPr>
          <w:rtl/>
        </w:rPr>
        <w:t>ביאור הגרנ"פ ברשב"ם דהא דבב' עדים שחטף אינו נאמן לומר דידי חטפי הוא מדין המע"ה</w:t>
      </w:r>
    </w:p>
    <w:p w:rsidR="000F5507" w:rsidRDefault="000F5507" w:rsidP="007E4E81">
      <w:pPr>
        <w:pStyle w:val="a"/>
        <w:rPr>
          <w:rFonts w:eastAsiaTheme="minorEastAsia" w:cstheme="minorBidi"/>
          <w:sz w:val="22"/>
          <w:szCs w:val="22"/>
          <w:rtl/>
        </w:rPr>
      </w:pPr>
      <w:r>
        <w:rPr>
          <w:rtl/>
        </w:rPr>
        <w:t>ביאור הגרנ"פ בתוס' דאינו נאמן בטענת דידי חטפי מדין חזקה דמה שתח"י ולא מדין המע"ה</w:t>
      </w:r>
    </w:p>
    <w:p w:rsidR="000F5507" w:rsidRDefault="000F5507" w:rsidP="000F5507">
      <w:pPr>
        <w:pStyle w:val="2"/>
        <w:rPr>
          <w:rFonts w:eastAsiaTheme="minorEastAsia" w:cstheme="minorBidi"/>
          <w:i/>
          <w:iCs/>
          <w:sz w:val="22"/>
          <w:szCs w:val="22"/>
          <w:rtl/>
        </w:rPr>
      </w:pPr>
      <w:r>
        <w:rPr>
          <w:rtl/>
        </w:rPr>
        <w:t>בדברי רש"י והרשב"ם דהוא כגזלן</w:t>
      </w:r>
    </w:p>
    <w:p w:rsidR="000F5507" w:rsidRDefault="000F5507" w:rsidP="000F5507">
      <w:pPr>
        <w:pStyle w:val="aff4"/>
        <w:rPr>
          <w:rFonts w:eastAsiaTheme="minorEastAsia" w:cstheme="minorBidi"/>
          <w:i/>
          <w:iCs/>
          <w:noProof/>
          <w:sz w:val="22"/>
          <w:szCs w:val="22"/>
          <w:rtl/>
        </w:rPr>
      </w:pPr>
      <w:r>
        <w:rPr>
          <w:noProof/>
          <w:rtl/>
        </w:rPr>
        <w:t>בי' הגרנ"פ ברש"י וברשב"ם דבהודה לע"א אין כח טענה למיגו</w:t>
      </w:r>
    </w:p>
    <w:p w:rsidR="000F5507" w:rsidRDefault="000F5507" w:rsidP="007E4E81">
      <w:pPr>
        <w:pStyle w:val="a"/>
        <w:rPr>
          <w:rFonts w:eastAsiaTheme="minorEastAsia" w:cstheme="minorBidi"/>
          <w:sz w:val="22"/>
          <w:szCs w:val="22"/>
          <w:rtl/>
        </w:rPr>
      </w:pPr>
      <w:r>
        <w:rPr>
          <w:rtl/>
        </w:rPr>
        <w:t>קושית הגרנ"פ על רש"י והרשב"ם דכל שמודה ודאי אינו יכול להכחישו ואמאי צ"ל שהוא כגזלן</w:t>
      </w:r>
    </w:p>
    <w:p w:rsidR="000F5507" w:rsidRDefault="000F5507" w:rsidP="007E4E81">
      <w:pPr>
        <w:pStyle w:val="a"/>
        <w:rPr>
          <w:rFonts w:eastAsiaTheme="minorEastAsia" w:cstheme="minorBidi"/>
          <w:sz w:val="22"/>
          <w:szCs w:val="22"/>
          <w:rtl/>
        </w:rPr>
      </w:pPr>
      <w:r>
        <w:rPr>
          <w:rtl/>
        </w:rPr>
        <w:t>דברי הגרנ"פ דאפשר לדחוק ברשב"ם דהוא דומה לגזלן לשבועת דידי חטפי אך לא משמע כן</w:t>
      </w:r>
    </w:p>
    <w:p w:rsidR="000F5507" w:rsidRDefault="000F5507" w:rsidP="007E4E81">
      <w:pPr>
        <w:pStyle w:val="a"/>
        <w:rPr>
          <w:rFonts w:eastAsiaTheme="minorEastAsia" w:cstheme="minorBidi"/>
          <w:sz w:val="22"/>
          <w:szCs w:val="22"/>
          <w:rtl/>
        </w:rPr>
      </w:pPr>
      <w:r>
        <w:rPr>
          <w:rtl/>
        </w:rPr>
        <w:t>ביאור הגרנ"פ ברש"י וברשב"ם דאינו נאמן במיגו כיון ש אחר שהודה אין לו את כח הטענה</w:t>
      </w:r>
    </w:p>
    <w:p w:rsidR="000F5507" w:rsidRDefault="000F5507" w:rsidP="007E4E81">
      <w:pPr>
        <w:pStyle w:val="a"/>
        <w:rPr>
          <w:rFonts w:eastAsiaTheme="minorEastAsia" w:cstheme="minorBidi"/>
          <w:sz w:val="22"/>
          <w:szCs w:val="22"/>
          <w:rtl/>
        </w:rPr>
      </w:pPr>
      <w:r>
        <w:rPr>
          <w:rtl/>
        </w:rPr>
        <w:t>ביאור הגרנ"פ דבלא הע"א אף בהודה יש לו את כח הטענה על עצם הממון דהנסכא שלו</w:t>
      </w:r>
    </w:p>
    <w:p w:rsidR="000F5507" w:rsidRDefault="000F5507" w:rsidP="000F5507">
      <w:pPr>
        <w:pStyle w:val="2"/>
        <w:rPr>
          <w:rFonts w:eastAsiaTheme="minorEastAsia" w:cstheme="minorBidi"/>
          <w:i/>
          <w:iCs/>
          <w:sz w:val="22"/>
          <w:szCs w:val="22"/>
          <w:rtl/>
        </w:rPr>
      </w:pPr>
      <w:r>
        <w:rPr>
          <w:rtl/>
        </w:rPr>
        <w:t>בד' הסוברים דא"י לישבע דדידיה חטף</w:t>
      </w:r>
    </w:p>
    <w:p w:rsidR="000F5507" w:rsidRDefault="000F5507" w:rsidP="000F5507">
      <w:pPr>
        <w:pStyle w:val="aff4"/>
        <w:rPr>
          <w:rFonts w:eastAsiaTheme="minorEastAsia" w:cstheme="minorBidi"/>
          <w:i/>
          <w:iCs/>
          <w:noProof/>
          <w:sz w:val="22"/>
          <w:szCs w:val="22"/>
          <w:rtl/>
        </w:rPr>
      </w:pPr>
      <w:r>
        <w:rPr>
          <w:noProof/>
          <w:rtl/>
        </w:rPr>
        <w:t>בי' הגרנ"פ בתוס' ובגרמ"ה ובראב"ן דא"י לישבע דדידיה חטף</w:t>
      </w:r>
    </w:p>
    <w:p w:rsidR="000F5507" w:rsidRDefault="000F5507" w:rsidP="007E4E81">
      <w:pPr>
        <w:pStyle w:val="a"/>
        <w:rPr>
          <w:rFonts w:eastAsiaTheme="minorEastAsia" w:cstheme="minorBidi"/>
          <w:sz w:val="22"/>
          <w:szCs w:val="22"/>
          <w:rtl/>
        </w:rPr>
      </w:pPr>
      <w:r>
        <w:rPr>
          <w:rtl/>
        </w:rPr>
        <w:t>בי' הגרנ"פ בגרמ"ה ובראב"ן ובתוס' וברשב"א דא"י לישבע כגזלן היינו בשבועה דדידי חטפי</w:t>
      </w:r>
    </w:p>
    <w:p w:rsidR="000F5507" w:rsidRDefault="000F5507" w:rsidP="007E4E81">
      <w:pPr>
        <w:pStyle w:val="a"/>
        <w:rPr>
          <w:rFonts w:eastAsiaTheme="minorEastAsia" w:cstheme="minorBidi"/>
          <w:sz w:val="22"/>
          <w:szCs w:val="22"/>
          <w:rtl/>
        </w:rPr>
      </w:pPr>
      <w:r>
        <w:rPr>
          <w:rtl/>
        </w:rPr>
        <w:t>דברי הגרנ"פ דלתוס' א"י לישבע כנגד חזקה דמה שתח"י ולראב"ן דפסול כגזלן לשבועה זו</w:t>
      </w:r>
    </w:p>
    <w:p w:rsidR="000F5507" w:rsidRDefault="000F5507" w:rsidP="007E4E81">
      <w:pPr>
        <w:pStyle w:val="a"/>
        <w:rPr>
          <w:rFonts w:eastAsiaTheme="minorEastAsia" w:cstheme="minorBidi"/>
          <w:sz w:val="22"/>
          <w:szCs w:val="22"/>
          <w:rtl/>
        </w:rPr>
      </w:pPr>
      <w:r>
        <w:rPr>
          <w:rtl/>
        </w:rPr>
        <w:t>ביאור הגרנ"פ דהוכיחו התוס' מהא דאינו נאמן בשבועה דדידיה חטף לדין חזקה דמה שתח"י</w:t>
      </w:r>
    </w:p>
    <w:p w:rsidR="000F5507" w:rsidRDefault="000F5507" w:rsidP="007E4E81">
      <w:pPr>
        <w:pStyle w:val="a"/>
        <w:rPr>
          <w:rFonts w:eastAsiaTheme="minorEastAsia" w:cstheme="minorBidi"/>
          <w:sz w:val="22"/>
          <w:szCs w:val="22"/>
          <w:rtl/>
        </w:rPr>
      </w:pPr>
      <w:r>
        <w:rPr>
          <w:rtl/>
        </w:rPr>
        <w:t>דברי הגרנ"פ דלרשב"ם אינו יכול להשבע להכחיש העד ואין כל ראיה לחזקה דמה שתח"י</w:t>
      </w:r>
    </w:p>
    <w:p w:rsidR="000F5507" w:rsidRDefault="000F5507" w:rsidP="000F5507">
      <w:pPr>
        <w:pStyle w:val="aff4"/>
        <w:rPr>
          <w:rFonts w:eastAsiaTheme="minorEastAsia" w:cstheme="minorBidi"/>
          <w:i/>
          <w:iCs/>
          <w:noProof/>
          <w:sz w:val="22"/>
          <w:szCs w:val="22"/>
          <w:rtl/>
        </w:rPr>
      </w:pPr>
      <w:r>
        <w:rPr>
          <w:noProof/>
          <w:rtl/>
        </w:rPr>
        <w:t>ביאור הגרנ"פ בפלוג' הראשונים אי מהני שבועה שאינו מכחיש</w:t>
      </w:r>
    </w:p>
    <w:p w:rsidR="000F5507" w:rsidRDefault="000F5507" w:rsidP="007E4E81">
      <w:pPr>
        <w:pStyle w:val="a"/>
        <w:rPr>
          <w:rFonts w:eastAsiaTheme="minorEastAsia" w:cstheme="minorBidi"/>
          <w:sz w:val="22"/>
          <w:szCs w:val="22"/>
          <w:rtl/>
        </w:rPr>
      </w:pPr>
      <w:r>
        <w:rPr>
          <w:rtl/>
        </w:rPr>
        <w:t>דברי הגרנ"פ דלתוס' ורבינו גרשום מדינא מהני שבועה דדידי חטפי אך לא נאמן נגד חזקה</w:t>
      </w:r>
    </w:p>
    <w:p w:rsidR="000F5507" w:rsidRDefault="000F5507" w:rsidP="007E4E81">
      <w:pPr>
        <w:pStyle w:val="a"/>
        <w:rPr>
          <w:rFonts w:eastAsiaTheme="minorEastAsia" w:cstheme="minorBidi"/>
          <w:sz w:val="22"/>
          <w:szCs w:val="22"/>
          <w:rtl/>
        </w:rPr>
      </w:pPr>
      <w:r>
        <w:rPr>
          <w:rtl/>
        </w:rPr>
        <w:t>דברי הגרנ"פ דלרש"י והרשב"ם כל הנאמנות כנגד ע"א היא רק בשבועה שמכחיש את העד</w:t>
      </w:r>
    </w:p>
    <w:p w:rsidR="000F5507" w:rsidRDefault="000F5507" w:rsidP="000F5507">
      <w:pPr>
        <w:pStyle w:val="2"/>
        <w:rPr>
          <w:rFonts w:eastAsiaTheme="minorEastAsia" w:cstheme="minorBidi"/>
          <w:i/>
          <w:iCs/>
          <w:sz w:val="22"/>
          <w:szCs w:val="22"/>
          <w:rtl/>
        </w:rPr>
      </w:pPr>
      <w:r>
        <w:rPr>
          <w:rtl/>
        </w:rPr>
        <w:t>בדברי הראב"ן דלשבועה זו פסול כגזלן</w:t>
      </w:r>
    </w:p>
    <w:p w:rsidR="000F5507" w:rsidRDefault="000F5507" w:rsidP="000F5507">
      <w:pPr>
        <w:pStyle w:val="aff4"/>
        <w:rPr>
          <w:rFonts w:eastAsiaTheme="minorEastAsia" w:cstheme="minorBidi"/>
          <w:i/>
          <w:iCs/>
          <w:noProof/>
          <w:sz w:val="22"/>
          <w:szCs w:val="22"/>
          <w:rtl/>
        </w:rPr>
      </w:pPr>
      <w:r>
        <w:rPr>
          <w:noProof/>
          <w:rtl/>
        </w:rPr>
        <w:t>ביאור הגרש"ש בראב"ן דבמודה לע"א חשוד לממון ושבועה זו</w:t>
      </w:r>
    </w:p>
    <w:p w:rsidR="000F5507" w:rsidRDefault="000F5507" w:rsidP="007E4E81">
      <w:pPr>
        <w:pStyle w:val="a"/>
        <w:rPr>
          <w:rFonts w:eastAsiaTheme="minorEastAsia" w:cstheme="minorBidi"/>
          <w:sz w:val="22"/>
          <w:szCs w:val="22"/>
          <w:rtl/>
        </w:rPr>
      </w:pPr>
      <w:r>
        <w:rPr>
          <w:rtl/>
        </w:rPr>
        <w:t>ביאור הגרש"ש בראב"ן דבהודה מצטרף לע"ע ועל ממון זה הוא חשוד שאינו שלו אף לשבועה</w:t>
      </w:r>
    </w:p>
    <w:p w:rsidR="000F5507" w:rsidRDefault="000F5507" w:rsidP="007E4E81">
      <w:pPr>
        <w:pStyle w:val="a"/>
        <w:rPr>
          <w:rtl/>
        </w:rPr>
        <w:sectPr w:rsidR="000F5507" w:rsidSect="00DC277F">
          <w:headerReference w:type="even" r:id="rId148"/>
          <w:footerReference w:type="even" r:id="rId149"/>
          <w:headerReference w:type="first" r:id="rId150"/>
          <w:footerReference w:type="first" r:id="rId151"/>
          <w:type w:val="continuous"/>
          <w:pgSz w:w="11906" w:h="16838"/>
          <w:pgMar w:top="720" w:right="720" w:bottom="720" w:left="720" w:header="283" w:footer="283" w:gutter="0"/>
          <w:cols w:num="2" w:space="113"/>
          <w:titlePg/>
          <w:bidi/>
          <w:rtlGutter/>
          <w:docGrid w:linePitch="299"/>
        </w:sectPr>
      </w:pPr>
      <w:r>
        <w:rPr>
          <w:rtl/>
        </w:rPr>
        <w:t>ביאור הגרש"ש בראב"ן דהכא החשד דגזילה הוא ע"י נאמנותו ובכל גזילה הוא ע"י העדים</w:t>
      </w:r>
    </w:p>
    <w:p w:rsidR="000F5507" w:rsidRDefault="000F5507" w:rsidP="007E4E81">
      <w:pPr>
        <w:pStyle w:val="a"/>
        <w:numPr>
          <w:ilvl w:val="0"/>
          <w:numId w:val="0"/>
        </w:numPr>
        <w:rPr>
          <w:rtl/>
        </w:rPr>
      </w:pPr>
    </w:p>
    <w:p w:rsidR="000F5507" w:rsidRDefault="000F5507" w:rsidP="000F5507">
      <w:pPr>
        <w:pStyle w:val="2"/>
        <w:rPr>
          <w:rtl/>
        </w:rPr>
        <w:sectPr w:rsidR="000F5507" w:rsidSect="00DC277F">
          <w:type w:val="continuous"/>
          <w:pgSz w:w="11906" w:h="16838"/>
          <w:pgMar w:top="720" w:right="720" w:bottom="720" w:left="720" w:header="283" w:footer="283" w:gutter="0"/>
          <w:cols w:num="2" w:space="113"/>
          <w:titlePg/>
          <w:bidi/>
          <w:rtlGutter/>
          <w:docGrid w:linePitch="299"/>
        </w:sectPr>
      </w:pPr>
      <w:r>
        <w:rPr>
          <w:rtl/>
        </w:rPr>
        <w:fldChar w:fldCharType="end"/>
      </w:r>
    </w:p>
    <w:p w:rsidR="000F5507" w:rsidRDefault="000F5507" w:rsidP="000F5507">
      <w:pPr>
        <w:pStyle w:val="afe"/>
      </w:pPr>
      <w:bookmarkStart w:id="16186" w:name="_Toc65689753"/>
      <w:bookmarkStart w:id="16187" w:name="_Toc65703293"/>
      <w:bookmarkStart w:id="16188" w:name="_Toc65713961"/>
      <w:bookmarkStart w:id="16189" w:name="_Toc65714814"/>
      <w:r>
        <w:rPr>
          <w:rFonts w:hint="cs"/>
          <w:rtl/>
        </w:rPr>
        <w:lastRenderedPageBreak/>
        <w:t>~~~</w:t>
      </w:r>
      <w:r>
        <w:rPr>
          <w:rFonts w:hint="cs"/>
          <w:noProof/>
          <w:rtl/>
        </w:rPr>
        <w:t>~~</w:t>
      </w:r>
      <w:r>
        <w:rPr>
          <w:rFonts w:hint="cs"/>
          <w:rtl/>
        </w:rPr>
        <w:t>~~ מראי מקומות וביאורים ~~~</w:t>
      </w:r>
      <w:r>
        <w:rPr>
          <w:rFonts w:hint="cs"/>
          <w:noProof/>
          <w:rtl/>
        </w:rPr>
        <w:t>~~</w:t>
      </w:r>
      <w:r>
        <w:rPr>
          <w:rFonts w:hint="cs"/>
          <w:rtl/>
        </w:rPr>
        <w:t>~~</w:t>
      </w:r>
    </w:p>
    <w:p w:rsidR="000F5507" w:rsidRDefault="000F5507" w:rsidP="000F5507">
      <w:pPr>
        <w:bidi w:val="0"/>
        <w:ind w:left="0"/>
        <w:jc w:val="left"/>
        <w:rPr>
          <w:rFonts w:ascii="Guttman Adii-Light" w:eastAsia="Guttman Adii-Light" w:hAnsi="Guttman Adii-Light" w:cs="Guttman Hodes"/>
          <w:bCs/>
          <w:szCs w:val="28"/>
          <w:rtl/>
        </w:rPr>
        <w:sectPr w:rsidR="000F5507">
          <w:pgSz w:w="11906" w:h="16838"/>
          <w:pgMar w:top="720" w:right="720" w:bottom="720" w:left="720" w:header="283" w:footer="283" w:gutter="0"/>
          <w:cols w:space="720"/>
          <w:bidi/>
          <w:rtlGutter/>
        </w:sectPr>
      </w:pPr>
    </w:p>
    <w:p w:rsidR="000F5507" w:rsidRDefault="000F5507" w:rsidP="000F5507">
      <w:pPr>
        <w:pStyle w:val="afe"/>
        <w:rPr>
          <w:rtl/>
        </w:rPr>
      </w:pPr>
      <w:r>
        <w:rPr>
          <w:rFonts w:hint="cs"/>
          <w:rtl/>
        </w:rPr>
        <w:t>בבי' האופנים דחייב או פטור או נשבע</w:t>
      </w:r>
      <w:bookmarkEnd w:id="16186"/>
      <w:bookmarkEnd w:id="16187"/>
      <w:bookmarkEnd w:id="16188"/>
      <w:bookmarkEnd w:id="16189"/>
    </w:p>
    <w:p w:rsidR="000F5507" w:rsidRPr="004B36AB" w:rsidRDefault="000F5507" w:rsidP="000F5507">
      <w:pPr>
        <w:pStyle w:val="1"/>
        <w:rPr>
          <w:rtl/>
        </w:rPr>
      </w:pPr>
      <w:bookmarkStart w:id="16190" w:name="_Toc64925386"/>
      <w:bookmarkStart w:id="16191" w:name="_Toc65141937"/>
      <w:bookmarkStart w:id="16192" w:name="_Toc65185630"/>
      <w:bookmarkStart w:id="16193" w:name="_Toc65529970"/>
      <w:bookmarkStart w:id="16194" w:name="_Toc65604018"/>
      <w:bookmarkStart w:id="16195" w:name="_Toc65605900"/>
      <w:bookmarkStart w:id="16196" w:name="_Toc65617144"/>
      <w:bookmarkStart w:id="16197" w:name="_Toc65666098"/>
      <w:bookmarkStart w:id="16198" w:name="_Toc65689754"/>
      <w:bookmarkStart w:id="16199" w:name="_Toc65703294"/>
      <w:bookmarkStart w:id="16200" w:name="_Toc65713962"/>
      <w:bookmarkStart w:id="16201" w:name="_Toc65714815"/>
      <w:r>
        <w:rPr>
          <w:rFonts w:hint="cs"/>
          <w:rtl/>
        </w:rPr>
        <w:t>בי' הרשב"ם דבג' אופנים הדין פשוט דחייב או פטור או נשבע</w:t>
      </w:r>
      <w:bookmarkEnd w:id="16190"/>
      <w:bookmarkEnd w:id="16191"/>
      <w:bookmarkEnd w:id="16192"/>
      <w:bookmarkEnd w:id="16193"/>
      <w:bookmarkEnd w:id="16194"/>
      <w:bookmarkEnd w:id="16195"/>
      <w:bookmarkEnd w:id="16196"/>
      <w:bookmarkEnd w:id="16197"/>
      <w:bookmarkEnd w:id="16198"/>
      <w:bookmarkEnd w:id="16199"/>
      <w:bookmarkEnd w:id="16200"/>
      <w:bookmarkEnd w:id="16201"/>
    </w:p>
    <w:p w:rsidR="000F5507" w:rsidRPr="00D13DDC" w:rsidRDefault="000F5507" w:rsidP="000F5507">
      <w:pPr>
        <w:pStyle w:val="a3"/>
        <w:rPr>
          <w:rtl/>
        </w:rPr>
      </w:pPr>
      <w:bookmarkStart w:id="16202" w:name="_Toc65605901"/>
      <w:bookmarkStart w:id="16203" w:name="_Toc65617145"/>
      <w:bookmarkStart w:id="16204" w:name="_Toc65666099"/>
      <w:bookmarkStart w:id="16205" w:name="_Toc65689755"/>
      <w:bookmarkStart w:id="16206" w:name="_Toc65703295"/>
      <w:bookmarkStart w:id="16207" w:name="_Toc65713963"/>
      <w:bookmarkStart w:id="16208" w:name="_Toc65714816"/>
      <w:r w:rsidRPr="00D13DDC">
        <w:rPr>
          <w:rFonts w:hint="cs"/>
          <w:rtl/>
        </w:rPr>
        <w:t>דברי הרשב"ם דכשיש ב' עדים שחטף אינו נאמן בטענת דידי חטפי להוציא ממוחזק בלא ראיה</w:t>
      </w:r>
      <w:bookmarkEnd w:id="16202"/>
      <w:bookmarkEnd w:id="16203"/>
      <w:bookmarkEnd w:id="16204"/>
      <w:bookmarkEnd w:id="16205"/>
      <w:bookmarkEnd w:id="16206"/>
      <w:bookmarkEnd w:id="16207"/>
      <w:bookmarkEnd w:id="16208"/>
    </w:p>
    <w:p w:rsidR="000F5507" w:rsidRDefault="000F5507" w:rsidP="00BA3263">
      <w:pPr>
        <w:pStyle w:val="a0"/>
        <w:numPr>
          <w:ilvl w:val="0"/>
          <w:numId w:val="36"/>
        </w:numPr>
        <w:rPr>
          <w:rtl/>
        </w:rPr>
      </w:pPr>
      <w:bookmarkStart w:id="16209" w:name="_Ref65702680"/>
      <w:bookmarkStart w:id="16210" w:name="_Ref64971133"/>
      <w:r>
        <w:rPr>
          <w:rFonts w:hint="cs"/>
          <w:rtl/>
        </w:rPr>
        <w:t xml:space="preserve">בהא דאמרינן </w:t>
      </w:r>
      <w:r>
        <w:rPr>
          <w:rtl/>
        </w:rPr>
        <w:t>היכי לידיינוה דייני</w:t>
      </w:r>
      <w:r>
        <w:rPr>
          <w:rFonts w:hint="cs"/>
          <w:rtl/>
        </w:rPr>
        <w:t>,</w:t>
      </w:r>
      <w:r>
        <w:rPr>
          <w:rtl/>
        </w:rPr>
        <w:t xml:space="preserve"> </w:t>
      </w:r>
      <w:r>
        <w:rPr>
          <w:rFonts w:hint="cs"/>
          <w:rtl/>
        </w:rPr>
        <w:t xml:space="preserve">כתב </w:t>
      </w:r>
      <w:r w:rsidRPr="00323898">
        <w:rPr>
          <w:rStyle w:val="af9"/>
          <w:rFonts w:hint="cs"/>
          <w:rtl/>
        </w:rPr>
        <w:t>הרשב"ם</w:t>
      </w:r>
      <w:r>
        <w:rPr>
          <w:rFonts w:hint="cs"/>
          <w:rtl/>
        </w:rPr>
        <w:t xml:space="preserve"> </w:t>
      </w:r>
      <w:r w:rsidRPr="007E4E81">
        <w:rPr>
          <w:rStyle w:val="af7"/>
          <w:rFonts w:eastAsia="Guttman Hodes" w:hint="cs"/>
          <w:rtl/>
        </w:rPr>
        <w:t>(ד"ה היכי)</w:t>
      </w:r>
      <w:r>
        <w:rPr>
          <w:rFonts w:hint="cs"/>
          <w:rtl/>
        </w:rPr>
        <w:t xml:space="preserve"> דיש ג' אופנים שבהם הדין הוא פשוט,</w:t>
      </w:r>
      <w:r w:rsidRPr="008B7F99">
        <w:rPr>
          <w:rStyle w:val="afb"/>
          <w:rFonts w:hint="cs"/>
          <w:rtl/>
        </w:rPr>
        <w:t xml:space="preserve"> </w:t>
      </w:r>
      <w:r w:rsidRPr="003A7196">
        <w:rPr>
          <w:rStyle w:val="afb"/>
          <w:rFonts w:hint="cs"/>
          <w:rtl/>
        </w:rPr>
        <w:t xml:space="preserve">[ועי' במה שביאר </w:t>
      </w:r>
      <w:r w:rsidRPr="003A7196">
        <w:rPr>
          <w:rStyle w:val="affa"/>
          <w:rFonts w:hint="cs"/>
          <w:rtl/>
        </w:rPr>
        <w:t>הרשב"ם</w:t>
      </w:r>
      <w:r w:rsidRPr="003A7196">
        <w:rPr>
          <w:rStyle w:val="afb"/>
          <w:rFonts w:hint="cs"/>
          <w:rtl/>
        </w:rPr>
        <w:t xml:space="preserve"> </w:t>
      </w:r>
      <w:r w:rsidRPr="003A7196">
        <w:rPr>
          <w:rStyle w:val="aff6"/>
          <w:rFonts w:hint="cs"/>
          <w:rtl/>
        </w:rPr>
        <w:t xml:space="preserve">(עי' אות </w:t>
      </w:r>
      <w:r w:rsidRPr="003A7196">
        <w:rPr>
          <w:rStyle w:val="aff6"/>
          <w:rtl/>
        </w:rPr>
        <w:fldChar w:fldCharType="begin"/>
      </w:r>
      <w:r w:rsidRPr="003A7196">
        <w:rPr>
          <w:rStyle w:val="aff6"/>
          <w:rtl/>
        </w:rPr>
        <w:instrText xml:space="preserve"> </w:instrText>
      </w:r>
      <w:r w:rsidRPr="003A7196">
        <w:rPr>
          <w:rStyle w:val="aff6"/>
          <w:rFonts w:hint="cs"/>
        </w:rPr>
        <w:instrText>REF</w:instrText>
      </w:r>
      <w:r w:rsidRPr="003A7196">
        <w:rPr>
          <w:rStyle w:val="aff6"/>
          <w:rFonts w:hint="cs"/>
          <w:rtl/>
        </w:rPr>
        <w:instrText xml:space="preserve"> _</w:instrText>
      </w:r>
      <w:r w:rsidRPr="003A7196">
        <w:rPr>
          <w:rStyle w:val="aff6"/>
          <w:rFonts w:hint="cs"/>
        </w:rPr>
        <w:instrText>Ref65604073 \r \h</w:instrText>
      </w:r>
      <w:r w:rsidRPr="003A7196">
        <w:rPr>
          <w:rStyle w:val="aff6"/>
          <w:rtl/>
        </w:rPr>
        <w:instrText xml:space="preserve"> </w:instrText>
      </w:r>
      <w:r w:rsidRPr="003A7196">
        <w:rPr>
          <w:rStyle w:val="aff6"/>
          <w:rtl/>
        </w:rPr>
      </w:r>
      <w:r w:rsidRPr="003A7196">
        <w:rPr>
          <w:rStyle w:val="aff6"/>
          <w:rtl/>
        </w:rPr>
        <w:fldChar w:fldCharType="separate"/>
      </w:r>
      <w:r w:rsidR="00265073">
        <w:rPr>
          <w:rStyle w:val="aff6"/>
          <w:cs/>
        </w:rPr>
        <w:t>‎</w:t>
      </w:r>
      <w:r w:rsidR="00265073">
        <w:rPr>
          <w:rStyle w:val="aff6"/>
          <w:rtl/>
        </w:rPr>
        <w:t>עה)</w:t>
      </w:r>
      <w:r w:rsidRPr="003A7196">
        <w:rPr>
          <w:rStyle w:val="aff6"/>
          <w:rtl/>
        </w:rPr>
        <w:fldChar w:fldCharType="end"/>
      </w:r>
      <w:r w:rsidRPr="003A7196">
        <w:rPr>
          <w:rStyle w:val="afb"/>
          <w:rFonts w:hint="cs"/>
          <w:rtl/>
        </w:rPr>
        <w:t xml:space="preserve"> דאף בע"א על חזקת ג"ש יש ג' אופנים, וזו כוונת רבנן דע"א על חזקת ג"ש דמי לנסכא דר"א]</w:t>
      </w:r>
      <w:r>
        <w:rPr>
          <w:rStyle w:val="afb"/>
          <w:rFonts w:hint="cs"/>
          <w:rtl/>
        </w:rPr>
        <w:t>,</w:t>
      </w:r>
      <w:r>
        <w:rPr>
          <w:rFonts w:hint="cs"/>
          <w:rtl/>
        </w:rPr>
        <w:t xml:space="preserve"> והאופן הא' כתב </w:t>
      </w:r>
      <w:r w:rsidRPr="00323898">
        <w:rPr>
          <w:rStyle w:val="af9"/>
          <w:rFonts w:hint="cs"/>
          <w:rtl/>
        </w:rPr>
        <w:t>הרשב"ם</w:t>
      </w:r>
      <w:r>
        <w:rPr>
          <w:rFonts w:hint="cs"/>
          <w:rtl/>
        </w:rPr>
        <w:t xml:space="preserve"> שאם היו שנים שמעידים שחטף, ודאי היה חייב לשלם, דאין אדם נאמן לחטוף דבר מאחר ולומר שהוא שלו, כשאין לו עדים ע"ז, דהא העמד דבר על חזקתו וא"א להוציא ממוחזק בלי ראיה, וכל החוטף ממוחזק הוא גזלן גמור, ועי' במה שביאר </w:t>
      </w:r>
      <w:r w:rsidRPr="00094CB3">
        <w:rPr>
          <w:rStyle w:val="af9"/>
          <w:rFonts w:hint="cs"/>
          <w:rtl/>
        </w:rPr>
        <w:t>בחי' רבי נחום</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Ref65604166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7E4E81">
        <w:rPr>
          <w:rStyle w:val="af7"/>
          <w:rFonts w:eastAsia="Guttman Hodes"/>
          <w:rtl/>
        </w:rPr>
        <w:fldChar w:fldCharType="end"/>
      </w:r>
      <w:r>
        <w:rPr>
          <w:rFonts w:hint="cs"/>
          <w:rtl/>
        </w:rPr>
        <w:t xml:space="preserve"> בדברי </w:t>
      </w:r>
      <w:r w:rsidRPr="00970C27">
        <w:rPr>
          <w:rStyle w:val="af9"/>
          <w:rFonts w:hint="cs"/>
          <w:rtl/>
        </w:rPr>
        <w:t>הרשב"ם</w:t>
      </w:r>
      <w:r>
        <w:rPr>
          <w:rFonts w:hint="cs"/>
          <w:rtl/>
        </w:rPr>
        <w:t>.</w:t>
      </w:r>
      <w:bookmarkEnd w:id="16209"/>
      <w:r w:rsidRPr="008B7F99">
        <w:rPr>
          <w:rStyle w:val="afb"/>
          <w:rFonts w:hint="cs"/>
          <w:rtl/>
        </w:rPr>
        <w:t xml:space="preserve"> </w:t>
      </w:r>
    </w:p>
    <w:p w:rsidR="000F5507" w:rsidRPr="00D13DDC" w:rsidRDefault="000F5507" w:rsidP="000F5507">
      <w:pPr>
        <w:pStyle w:val="a3"/>
      </w:pPr>
      <w:bookmarkStart w:id="16211" w:name="_Toc65605902"/>
      <w:bookmarkStart w:id="16212" w:name="_Toc65617146"/>
      <w:bookmarkStart w:id="16213" w:name="_Toc65666100"/>
      <w:bookmarkStart w:id="16214" w:name="_Toc65689756"/>
      <w:bookmarkStart w:id="16215" w:name="_Toc65703296"/>
      <w:bookmarkStart w:id="16216" w:name="_Toc65713964"/>
      <w:bookmarkStart w:id="16217" w:name="_Toc65714817"/>
      <w:r w:rsidRPr="00D13DDC">
        <w:rPr>
          <w:rFonts w:hint="cs"/>
          <w:rtl/>
        </w:rPr>
        <w:t>דברי הרשב"ם דבמודה שחטף נאמן בטענת דידי חטפי במיגו ובע"א נאמן בשבועה רק דלא חטף</w:t>
      </w:r>
      <w:bookmarkEnd w:id="16211"/>
      <w:bookmarkEnd w:id="16212"/>
      <w:bookmarkEnd w:id="16213"/>
      <w:bookmarkEnd w:id="16214"/>
      <w:bookmarkEnd w:id="16215"/>
      <w:bookmarkEnd w:id="16216"/>
      <w:bookmarkEnd w:id="16217"/>
    </w:p>
    <w:p w:rsidR="000F5507" w:rsidRDefault="000F5507" w:rsidP="007E4E81">
      <w:pPr>
        <w:pStyle w:val="a0"/>
        <w:rPr>
          <w:rStyle w:val="afb"/>
          <w:rtl/>
        </w:rPr>
      </w:pPr>
      <w:r>
        <w:rPr>
          <w:rFonts w:hint="cs"/>
          <w:rtl/>
        </w:rPr>
        <w:t xml:space="preserve">והאופן הב' כתב </w:t>
      </w:r>
      <w:r w:rsidRPr="00323898">
        <w:rPr>
          <w:rStyle w:val="af9"/>
          <w:rFonts w:hint="cs"/>
          <w:rtl/>
        </w:rPr>
        <w:t>הרשב"ם</w:t>
      </w:r>
      <w:r>
        <w:rPr>
          <w:rFonts w:hint="cs"/>
          <w:rtl/>
        </w:rPr>
        <w:t xml:space="preserve"> שלא היה ע"א שראה את החטיפה, היה החוטף נאמן לטעון אין חטפי ודידי חטפי, במיגו דהיה טוען לא חטפתי, כיון שעכשיו אנו רואים את החפץ בידו, והוא המוחזק בממון, והאופן הג' שיש ע"א שחטף והחוטף מכחישו וטוען שלא חטפתי, היה חייב שבועה, בכדי שיהיה נאמן להכחיש את העד. </w:t>
      </w:r>
      <w:bookmarkEnd w:id="16210"/>
    </w:p>
    <w:p w:rsidR="000F5507" w:rsidRDefault="000F5507" w:rsidP="000F5507">
      <w:pPr>
        <w:pStyle w:val="1"/>
        <w:rPr>
          <w:rtl/>
        </w:rPr>
      </w:pPr>
      <w:bookmarkStart w:id="16218" w:name="_Toc65617167"/>
      <w:bookmarkStart w:id="16219" w:name="_Toc65666121"/>
      <w:bookmarkStart w:id="16220" w:name="_Toc65689757"/>
      <w:bookmarkStart w:id="16221" w:name="_Toc65703297"/>
      <w:bookmarkStart w:id="16222" w:name="_Toc65713965"/>
      <w:bookmarkStart w:id="16223" w:name="_Toc65714818"/>
      <w:r>
        <w:rPr>
          <w:rFonts w:hint="cs"/>
          <w:rtl/>
        </w:rPr>
        <w:t>פלוג' האחרונים בטוען דידי חטפי בב' עדים אי נעשה חשוד</w:t>
      </w:r>
      <w:bookmarkEnd w:id="16218"/>
      <w:bookmarkEnd w:id="16219"/>
      <w:bookmarkEnd w:id="16220"/>
      <w:bookmarkEnd w:id="16221"/>
      <w:bookmarkEnd w:id="16222"/>
      <w:bookmarkEnd w:id="16223"/>
    </w:p>
    <w:p w:rsidR="000F5507" w:rsidRPr="00D13DDC" w:rsidRDefault="000F5507" w:rsidP="000F5507">
      <w:pPr>
        <w:pStyle w:val="a3"/>
        <w:rPr>
          <w:rtl/>
        </w:rPr>
      </w:pPr>
      <w:bookmarkStart w:id="16224" w:name="_Toc65617168"/>
      <w:bookmarkStart w:id="16225" w:name="_Toc65666122"/>
      <w:bookmarkStart w:id="16226" w:name="_Toc65689758"/>
      <w:bookmarkStart w:id="16227" w:name="_Toc65703298"/>
      <w:bookmarkStart w:id="16228" w:name="_Toc65713966"/>
      <w:bookmarkStart w:id="16229" w:name="_Toc65714819"/>
      <w:r w:rsidRPr="00D13DDC">
        <w:rPr>
          <w:rFonts w:hint="cs"/>
          <w:rtl/>
        </w:rPr>
        <w:t>ביאור הנוב"י ברש"י דלשבועה זו פסול כגזלן ולשאר שבועות אפש"ל דאינו פסול אף בב' עדים</w:t>
      </w:r>
      <w:bookmarkEnd w:id="16224"/>
      <w:bookmarkEnd w:id="16225"/>
      <w:bookmarkEnd w:id="16226"/>
      <w:bookmarkEnd w:id="16227"/>
      <w:bookmarkEnd w:id="16228"/>
      <w:bookmarkEnd w:id="16229"/>
    </w:p>
    <w:p w:rsidR="000F5507" w:rsidRDefault="000F5507" w:rsidP="007E4E81">
      <w:pPr>
        <w:pStyle w:val="a0"/>
        <w:rPr>
          <w:rtl/>
        </w:rPr>
      </w:pPr>
      <w:bookmarkStart w:id="16230" w:name="_Ref65095523"/>
      <w:r>
        <w:rPr>
          <w:rFonts w:hint="cs"/>
          <w:rtl/>
        </w:rPr>
        <w:t xml:space="preserve">במ"ש </w:t>
      </w:r>
      <w:r w:rsidRPr="0079745A">
        <w:rPr>
          <w:rStyle w:val="af9"/>
          <w:rFonts w:hint="cs"/>
          <w:rtl/>
        </w:rPr>
        <w:t>רש"י בשבועות</w:t>
      </w:r>
      <w:r>
        <w:rPr>
          <w:rFonts w:hint="cs"/>
          <w:rtl/>
        </w:rPr>
        <w:t xml:space="preserve"> </w:t>
      </w:r>
      <w:r>
        <w:rPr>
          <w:rStyle w:val="af7"/>
          <w:rFonts w:eastAsia="Guttman Hodes" w:hint="cs"/>
          <w:rtl/>
        </w:rPr>
        <w:t xml:space="preserve">(עי' </w:t>
      </w:r>
      <w:r w:rsidRPr="00BB7B94">
        <w:rPr>
          <w:rStyle w:val="af7"/>
          <w:rFonts w:eastAsia="Guttman Hodes" w:hint="cs"/>
          <w:rtl/>
        </w:rPr>
        <w:t xml:space="preserve">אות </w:t>
      </w:r>
      <w:r w:rsidRPr="00BB7B94">
        <w:rPr>
          <w:rStyle w:val="af7"/>
          <w:rFonts w:eastAsia="Guttman Hodes"/>
          <w:rtl/>
        </w:rPr>
        <w:fldChar w:fldCharType="begin"/>
      </w:r>
      <w:r w:rsidRPr="00BB7B94">
        <w:rPr>
          <w:rStyle w:val="af7"/>
          <w:rFonts w:eastAsia="Guttman Hodes"/>
          <w:rtl/>
        </w:rPr>
        <w:instrText xml:space="preserve"> </w:instrText>
      </w:r>
      <w:r w:rsidRPr="00BB7B94">
        <w:rPr>
          <w:rStyle w:val="af7"/>
          <w:rFonts w:eastAsia="Guttman Hodes" w:hint="cs"/>
        </w:rPr>
        <w:instrText>REF</w:instrText>
      </w:r>
      <w:r w:rsidRPr="00BB7B94">
        <w:rPr>
          <w:rStyle w:val="af7"/>
          <w:rFonts w:eastAsia="Guttman Hodes" w:hint="cs"/>
          <w:rtl/>
        </w:rPr>
        <w:instrText xml:space="preserve"> _</w:instrText>
      </w:r>
      <w:r w:rsidRPr="00BB7B94">
        <w:rPr>
          <w:rStyle w:val="af7"/>
          <w:rFonts w:eastAsia="Guttman Hodes" w:hint="cs"/>
        </w:rPr>
        <w:instrText>Ref65095506 \r \h</w:instrText>
      </w:r>
      <w:r w:rsidRPr="00BB7B94">
        <w:rPr>
          <w:rStyle w:val="af7"/>
          <w:rFonts w:eastAsia="Guttman Hodes"/>
          <w:rtl/>
        </w:rPr>
        <w:instrText xml:space="preserve"> </w:instrText>
      </w:r>
      <w:r w:rsidRPr="00BB7B94">
        <w:rPr>
          <w:rStyle w:val="af7"/>
          <w:rFonts w:eastAsia="Guttman Hodes"/>
          <w:rtl/>
        </w:rPr>
      </w:r>
      <w:r w:rsidRPr="00BB7B94">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BB7B94">
        <w:rPr>
          <w:rStyle w:val="af7"/>
          <w:rFonts w:eastAsia="Guttman Hodes"/>
          <w:rtl/>
        </w:rPr>
        <w:fldChar w:fldCharType="end"/>
      </w:r>
      <w:r>
        <w:rPr>
          <w:rFonts w:hint="cs"/>
          <w:rtl/>
        </w:rPr>
        <w:t xml:space="preserve"> דחשיב החוטף לגבי השבועה הזו, כמו גזלן דאינו יכול להשבע בכל השבועות, כתב </w:t>
      </w:r>
      <w:r w:rsidRPr="00CE5544">
        <w:rPr>
          <w:rStyle w:val="af9"/>
          <w:rFonts w:hint="cs"/>
          <w:rtl/>
        </w:rPr>
        <w:t>הנודע ביהודה</w:t>
      </w:r>
      <w:r>
        <w:rPr>
          <w:rFonts w:hint="cs"/>
          <w:rtl/>
        </w:rPr>
        <w:t xml:space="preserve"> </w:t>
      </w:r>
      <w:r w:rsidRPr="00CE5544">
        <w:rPr>
          <w:rStyle w:val="af7"/>
          <w:rFonts w:eastAsia="Guttman Hodes" w:hint="cs"/>
          <w:rtl/>
        </w:rPr>
        <w:t>(תניינא אבהע"ז סי' כ' ד"</w:t>
      </w:r>
      <w:r>
        <w:rPr>
          <w:rStyle w:val="af7"/>
          <w:rFonts w:eastAsia="Guttman Hodes" w:hint="cs"/>
          <w:rtl/>
        </w:rPr>
        <w:t>ה</w:t>
      </w:r>
      <w:r w:rsidRPr="00CE5544">
        <w:rPr>
          <w:rStyle w:val="af7"/>
          <w:rFonts w:eastAsia="Guttman Hodes" w:hint="cs"/>
          <w:rtl/>
        </w:rPr>
        <w:t xml:space="preserve"> ואמנם)</w:t>
      </w:r>
      <w:r>
        <w:rPr>
          <w:rFonts w:hint="cs"/>
          <w:rtl/>
        </w:rPr>
        <w:t xml:space="preserve"> דמבואר מדברי </w:t>
      </w:r>
      <w:r w:rsidRPr="008E5887">
        <w:rPr>
          <w:rStyle w:val="af9"/>
          <w:rFonts w:hint="cs"/>
          <w:rtl/>
        </w:rPr>
        <w:t>רש"י</w:t>
      </w:r>
      <w:r>
        <w:rPr>
          <w:rFonts w:hint="cs"/>
          <w:rtl/>
        </w:rPr>
        <w:t xml:space="preserve"> דלענין השבועה הזו הוא פסול כגזלן, אך אינו נפסל לענין שאר השבועות, אך הוסיף </w:t>
      </w:r>
      <w:r w:rsidRPr="00CE5544">
        <w:rPr>
          <w:rStyle w:val="af9"/>
          <w:rFonts w:hint="cs"/>
          <w:rtl/>
        </w:rPr>
        <w:t>הנודע ביהודה</w:t>
      </w:r>
      <w:r>
        <w:rPr>
          <w:rFonts w:hint="cs"/>
          <w:rtl/>
        </w:rPr>
        <w:t xml:space="preserve"> דאפש"ל שאף אם היו ב' עדים שחטף, והוא טוען אין חטפי ודידי חטפי, דאעפ"י שודאי חייב להחזיר, מ"מ אינו נפסל בשאר השבועות כגזלן, כיון שלטענתו אינו גזלן.</w:t>
      </w:r>
      <w:bookmarkEnd w:id="16230"/>
    </w:p>
    <w:p w:rsidR="000F5507" w:rsidRPr="00D13DDC" w:rsidRDefault="000F5507" w:rsidP="000F5507">
      <w:pPr>
        <w:pStyle w:val="a3"/>
        <w:rPr>
          <w:rtl/>
        </w:rPr>
      </w:pPr>
      <w:bookmarkStart w:id="16231" w:name="_Toc65617169"/>
      <w:bookmarkStart w:id="16232" w:name="_Toc65666123"/>
      <w:bookmarkStart w:id="16233" w:name="_Toc65689759"/>
      <w:bookmarkStart w:id="16234" w:name="_Toc65703299"/>
      <w:bookmarkStart w:id="16235" w:name="_Toc65713967"/>
      <w:bookmarkStart w:id="16236" w:name="_Toc65714820"/>
      <w:r w:rsidRPr="00D13DDC">
        <w:rPr>
          <w:rFonts w:hint="cs"/>
          <w:rtl/>
        </w:rPr>
        <w:t>דברי הדרכ"מ דבב' עדים וטוען דידי חטפי אינו נעשה חשוד לשבועה ויכול להשבע שהחזיר</w:t>
      </w:r>
      <w:bookmarkEnd w:id="16231"/>
      <w:bookmarkEnd w:id="16232"/>
      <w:bookmarkEnd w:id="16233"/>
      <w:bookmarkEnd w:id="16234"/>
      <w:bookmarkEnd w:id="16235"/>
      <w:bookmarkEnd w:id="16236"/>
    </w:p>
    <w:p w:rsidR="000F5507" w:rsidRPr="00997AEF" w:rsidRDefault="000F5507" w:rsidP="007E4E81">
      <w:pPr>
        <w:pStyle w:val="a0"/>
        <w:rPr>
          <w:rtl/>
        </w:rPr>
      </w:pPr>
      <w:r>
        <w:rPr>
          <w:rFonts w:hint="cs"/>
          <w:rtl/>
        </w:rPr>
        <w:t xml:space="preserve">וע"ע </w:t>
      </w:r>
      <w:r w:rsidRPr="00997AEF">
        <w:rPr>
          <w:rStyle w:val="af9"/>
          <w:rFonts w:hint="cs"/>
          <w:rtl/>
        </w:rPr>
        <w:t>בדרכ"מ</w:t>
      </w:r>
      <w:r>
        <w:rPr>
          <w:rFonts w:hint="cs"/>
          <w:rtl/>
        </w:rPr>
        <w:t xml:space="preserve"> </w:t>
      </w:r>
      <w:r w:rsidRPr="00997AEF">
        <w:rPr>
          <w:rStyle w:val="af7"/>
          <w:rFonts w:eastAsia="Guttman Hodes" w:hint="cs"/>
          <w:rtl/>
        </w:rPr>
        <w:t>(סי' שס"ד א')</w:t>
      </w:r>
      <w:r>
        <w:rPr>
          <w:rFonts w:hint="cs"/>
          <w:rtl/>
        </w:rPr>
        <w:t xml:space="preserve"> דכתב דאף דכשיש ב' עדים שחטף אינו נאמן לטעון דידי חטפי, מ"מ אינו נעשה ע"י החטיפה כגזלן שהוא חשוד על השבועה, ולכן הגוזל מחבירו בעדים וטען דידי חטפי, ואח"כ טען החזרתי נאמן בשבועה.</w:t>
      </w:r>
    </w:p>
    <w:p w:rsidR="000F5507" w:rsidRPr="00D13DDC" w:rsidRDefault="000F5507" w:rsidP="000F5507">
      <w:pPr>
        <w:pStyle w:val="a3"/>
      </w:pPr>
      <w:bookmarkStart w:id="16237" w:name="_Toc65617170"/>
      <w:bookmarkStart w:id="16238" w:name="_Toc65666124"/>
      <w:bookmarkStart w:id="16239" w:name="_Toc65689760"/>
      <w:bookmarkStart w:id="16240" w:name="_Toc65703300"/>
      <w:bookmarkStart w:id="16241" w:name="_Toc65713968"/>
      <w:bookmarkStart w:id="16242" w:name="_Toc65714821"/>
      <w:r w:rsidRPr="00D13DDC">
        <w:rPr>
          <w:rFonts w:hint="cs"/>
          <w:rtl/>
        </w:rPr>
        <w:t>ביאור התומים ברשב"ם דכשיש ב' עדים שחטף וטוען דידי חטפי הוא גזלן גמור ופסול לעדות</w:t>
      </w:r>
      <w:bookmarkEnd w:id="16237"/>
      <w:bookmarkEnd w:id="16238"/>
      <w:bookmarkEnd w:id="16239"/>
      <w:bookmarkEnd w:id="16240"/>
      <w:bookmarkEnd w:id="16241"/>
      <w:bookmarkEnd w:id="16242"/>
    </w:p>
    <w:p w:rsidR="000F5507" w:rsidRDefault="000F5507" w:rsidP="007E4E81">
      <w:pPr>
        <w:pStyle w:val="a0"/>
        <w:rPr>
          <w:rStyle w:val="afb"/>
          <w:rtl/>
        </w:rPr>
      </w:pPr>
      <w:r>
        <w:rPr>
          <w:rFonts w:hint="cs"/>
          <w:rtl/>
        </w:rPr>
        <w:t xml:space="preserve">אמנם </w:t>
      </w:r>
      <w:r w:rsidRPr="00C62D40">
        <w:rPr>
          <w:rStyle w:val="af9"/>
          <w:rFonts w:hint="cs"/>
          <w:rtl/>
        </w:rPr>
        <w:t>התומים בכללי מיגו</w:t>
      </w:r>
      <w:r>
        <w:rPr>
          <w:rFonts w:hint="cs"/>
          <w:rtl/>
        </w:rPr>
        <w:t xml:space="preserve"> </w:t>
      </w:r>
      <w:r w:rsidRPr="00B81CF9">
        <w:rPr>
          <w:rStyle w:val="af7"/>
          <w:rFonts w:eastAsia="Guttman Hodes" w:hint="cs"/>
          <w:rtl/>
        </w:rPr>
        <w:t>(סוף או' פ"ג ד"ה אך עדיין בתו"ד)</w:t>
      </w:r>
      <w:r>
        <w:rPr>
          <w:rFonts w:hint="cs"/>
          <w:rtl/>
        </w:rPr>
        <w:t xml:space="preserve"> כתב דמהא </w:t>
      </w:r>
      <w:r w:rsidRPr="009625B9">
        <w:rPr>
          <w:rFonts w:hint="cs"/>
          <w:rtl/>
        </w:rPr>
        <w:t>דכתב</w:t>
      </w:r>
      <w:r>
        <w:rPr>
          <w:rFonts w:hint="cs"/>
          <w:rtl/>
        </w:rPr>
        <w:t xml:space="preserve"> </w:t>
      </w:r>
      <w:r w:rsidRPr="009625B9">
        <w:rPr>
          <w:rStyle w:val="af9"/>
          <w:rFonts w:hint="cs"/>
          <w:rtl/>
        </w:rPr>
        <w:t>הרשב"ם</w:t>
      </w:r>
      <w:r w:rsidRPr="009F198E">
        <w:rPr>
          <w:rStyle w:val="afb"/>
          <w:rFonts w:hint="cs"/>
          <w:rtl/>
        </w:rPr>
        <w:t xml:space="preserve"> </w:t>
      </w:r>
      <w:r w:rsidRPr="00B81CF9">
        <w:rPr>
          <w:rStyle w:val="af7"/>
          <w:rFonts w:eastAsia="Guttman Hodes" w:hint="cs"/>
          <w:rtl/>
        </w:rPr>
        <w:t xml:space="preserve">(עי' אות </w:t>
      </w:r>
      <w:r w:rsidRPr="00B81CF9">
        <w:rPr>
          <w:rStyle w:val="af7"/>
          <w:rFonts w:eastAsia="Guttman Hodes"/>
          <w:rtl/>
        </w:rPr>
        <w:fldChar w:fldCharType="begin"/>
      </w:r>
      <w:r w:rsidRPr="00B81CF9">
        <w:rPr>
          <w:rStyle w:val="af7"/>
          <w:rFonts w:eastAsia="Guttman Hodes"/>
          <w:rtl/>
        </w:rPr>
        <w:instrText xml:space="preserve"> </w:instrText>
      </w:r>
      <w:r w:rsidRPr="00B81CF9">
        <w:rPr>
          <w:rStyle w:val="af7"/>
          <w:rFonts w:eastAsia="Guttman Hodes" w:hint="cs"/>
        </w:rPr>
        <w:instrText>REF</w:instrText>
      </w:r>
      <w:r w:rsidRPr="00B81CF9">
        <w:rPr>
          <w:rStyle w:val="af7"/>
          <w:rFonts w:eastAsia="Guttman Hodes" w:hint="cs"/>
          <w:rtl/>
        </w:rPr>
        <w:instrText xml:space="preserve"> _</w:instrText>
      </w:r>
      <w:r w:rsidRPr="00B81CF9">
        <w:rPr>
          <w:rStyle w:val="af7"/>
          <w:rFonts w:eastAsia="Guttman Hodes" w:hint="cs"/>
        </w:rPr>
        <w:instrText>Ref64971133 \r \h</w:instrText>
      </w:r>
      <w:r w:rsidRPr="00B81CF9">
        <w:rPr>
          <w:rStyle w:val="af7"/>
          <w:rFonts w:eastAsia="Guttman Hodes"/>
          <w:rtl/>
        </w:rPr>
        <w:instrText xml:space="preserve"> </w:instrText>
      </w:r>
      <w:r w:rsidRPr="00B81CF9">
        <w:rPr>
          <w:rStyle w:val="af7"/>
          <w:rFonts w:eastAsia="Guttman Hodes"/>
          <w:rtl/>
        </w:rPr>
      </w:r>
      <w:r w:rsidRPr="00B81CF9">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B81CF9">
        <w:rPr>
          <w:rStyle w:val="af7"/>
          <w:rFonts w:eastAsia="Guttman Hodes"/>
          <w:rtl/>
        </w:rPr>
        <w:fldChar w:fldCharType="end"/>
      </w:r>
      <w:r w:rsidRPr="009F198E">
        <w:rPr>
          <w:rStyle w:val="afb"/>
          <w:rFonts w:hint="cs"/>
          <w:rtl/>
        </w:rPr>
        <w:t xml:space="preserve"> </w:t>
      </w:r>
      <w:r w:rsidRPr="009625B9">
        <w:rPr>
          <w:rFonts w:hint="cs"/>
          <w:rtl/>
        </w:rPr>
        <w:t>דכשיש ב' עדים החוטף ממוחזק הוא גזלן גמור</w:t>
      </w:r>
      <w:r>
        <w:rPr>
          <w:rFonts w:hint="cs"/>
          <w:rtl/>
        </w:rPr>
        <w:t xml:space="preserve">, מבואר דהוא גזלן ופסול לעדות, ולא מהני מה שטוען דידי </w:t>
      </w:r>
      <w:r w:rsidRPr="0064791A">
        <w:rPr>
          <w:rFonts w:hint="cs"/>
          <w:rtl/>
        </w:rPr>
        <w:t>חטפי.</w:t>
      </w:r>
    </w:p>
    <w:p w:rsidR="000F5507" w:rsidRPr="00103A68" w:rsidRDefault="000F5507" w:rsidP="000F5507">
      <w:pPr>
        <w:pStyle w:val="a3"/>
        <w:rPr>
          <w:rtl/>
        </w:rPr>
      </w:pPr>
    </w:p>
    <w:p w:rsidR="000F5507" w:rsidRPr="00103A68" w:rsidRDefault="000F5507" w:rsidP="000F5507">
      <w:pPr>
        <w:pStyle w:val="a3"/>
        <w:rPr>
          <w:rtl/>
        </w:rPr>
      </w:pPr>
    </w:p>
    <w:p w:rsidR="000F5507" w:rsidRPr="00103A68" w:rsidRDefault="000F5507" w:rsidP="000F5507">
      <w:pPr>
        <w:pStyle w:val="a3"/>
        <w:rPr>
          <w:rtl/>
        </w:rPr>
      </w:pPr>
    </w:p>
    <w:p w:rsidR="000F5507" w:rsidRPr="00B70AF5" w:rsidRDefault="000F5507" w:rsidP="000F5507">
      <w:pPr>
        <w:pStyle w:val="afe"/>
        <w:rPr>
          <w:rtl/>
        </w:rPr>
      </w:pPr>
      <w:bookmarkStart w:id="16243" w:name="_Toc65689761"/>
      <w:bookmarkStart w:id="16244" w:name="_Toc65703301"/>
      <w:bookmarkStart w:id="16245" w:name="_Toc65713969"/>
      <w:bookmarkStart w:id="16246" w:name="_Toc65714822"/>
      <w:r>
        <w:rPr>
          <w:rFonts w:hint="cs"/>
          <w:rtl/>
        </w:rPr>
        <w:t>בהא דא"א לחייבו או לפוטרו</w:t>
      </w:r>
      <w:bookmarkEnd w:id="16243"/>
      <w:bookmarkEnd w:id="16244"/>
      <w:bookmarkEnd w:id="16245"/>
      <w:bookmarkEnd w:id="16246"/>
    </w:p>
    <w:p w:rsidR="000F5507" w:rsidRDefault="000F5507" w:rsidP="000F5507">
      <w:pPr>
        <w:pStyle w:val="1"/>
        <w:rPr>
          <w:rtl/>
        </w:rPr>
      </w:pPr>
      <w:bookmarkStart w:id="16247" w:name="_Toc65141941"/>
      <w:bookmarkStart w:id="16248" w:name="_Toc65185634"/>
      <w:bookmarkStart w:id="16249" w:name="_Toc65529974"/>
      <w:bookmarkStart w:id="16250" w:name="_Toc65604023"/>
      <w:bookmarkStart w:id="16251" w:name="_Toc65605913"/>
      <w:bookmarkStart w:id="16252" w:name="_Toc65617161"/>
      <w:bookmarkStart w:id="16253" w:name="_Toc65666115"/>
      <w:bookmarkStart w:id="16254" w:name="_Toc65689766"/>
      <w:bookmarkStart w:id="16255" w:name="_Toc65703306"/>
      <w:bookmarkStart w:id="16256" w:name="_Toc65713970"/>
      <w:bookmarkStart w:id="16257" w:name="_Toc65714823"/>
      <w:bookmarkStart w:id="16258" w:name="_Toc64925387"/>
      <w:bookmarkStart w:id="16259" w:name="_Toc65141938"/>
      <w:bookmarkStart w:id="16260" w:name="_Toc65185631"/>
      <w:bookmarkStart w:id="16261" w:name="_Toc65529971"/>
      <w:bookmarkStart w:id="16262" w:name="_Toc65604019"/>
      <w:bookmarkStart w:id="16263" w:name="_Toc65605903"/>
      <w:bookmarkStart w:id="16264" w:name="_Toc65617147"/>
      <w:bookmarkStart w:id="16265" w:name="_Toc65666101"/>
      <w:bookmarkStart w:id="16266" w:name="_Toc65689762"/>
      <w:bookmarkStart w:id="16267" w:name="_Toc65703302"/>
      <w:r>
        <w:rPr>
          <w:rFonts w:hint="cs"/>
          <w:rtl/>
        </w:rPr>
        <w:t>ביאור רש"י בשבועות</w:t>
      </w:r>
      <w:bookmarkEnd w:id="16247"/>
      <w:bookmarkEnd w:id="16248"/>
      <w:bookmarkEnd w:id="16249"/>
      <w:bookmarkEnd w:id="16250"/>
      <w:bookmarkEnd w:id="16251"/>
      <w:bookmarkEnd w:id="16252"/>
      <w:bookmarkEnd w:id="16253"/>
      <w:bookmarkEnd w:id="16254"/>
      <w:bookmarkEnd w:id="16255"/>
      <w:r>
        <w:rPr>
          <w:rFonts w:hint="cs"/>
          <w:rtl/>
        </w:rPr>
        <w:t xml:space="preserve"> והרשב"ם בהא דא"א לחייבו וא"א לפוטרו</w:t>
      </w:r>
      <w:bookmarkEnd w:id="16256"/>
      <w:bookmarkEnd w:id="16257"/>
    </w:p>
    <w:p w:rsidR="000F5507" w:rsidRPr="00D13DDC" w:rsidRDefault="000F5507" w:rsidP="000F5507">
      <w:pPr>
        <w:pStyle w:val="a3"/>
        <w:rPr>
          <w:rtl/>
        </w:rPr>
      </w:pPr>
      <w:bookmarkStart w:id="16268" w:name="_Toc65617162"/>
      <w:bookmarkStart w:id="16269" w:name="_Toc65666116"/>
      <w:bookmarkStart w:id="16270" w:name="_Toc65689767"/>
      <w:bookmarkStart w:id="16271" w:name="_Toc65703307"/>
      <w:bookmarkStart w:id="16272" w:name="_Toc65713971"/>
      <w:bookmarkStart w:id="16273" w:name="_Toc65714824"/>
      <w:bookmarkStart w:id="16274" w:name="_Toc65605904"/>
      <w:bookmarkStart w:id="16275" w:name="_Toc65617148"/>
      <w:bookmarkStart w:id="16276" w:name="_Toc65666102"/>
      <w:bookmarkStart w:id="16277" w:name="_Toc65689763"/>
      <w:bookmarkStart w:id="16278" w:name="_Toc65703303"/>
      <w:bookmarkEnd w:id="16258"/>
      <w:bookmarkEnd w:id="16259"/>
      <w:bookmarkEnd w:id="16260"/>
      <w:bookmarkEnd w:id="16261"/>
      <w:bookmarkEnd w:id="16262"/>
      <w:bookmarkEnd w:id="16263"/>
      <w:bookmarkEnd w:id="16264"/>
      <w:bookmarkEnd w:id="16265"/>
      <w:bookmarkEnd w:id="16266"/>
      <w:bookmarkEnd w:id="16267"/>
      <w:r w:rsidRPr="00D13DDC">
        <w:rPr>
          <w:rFonts w:hint="cs"/>
          <w:rtl/>
        </w:rPr>
        <w:t>דברי רש"י בשבועות דטענת החוטף היא שהראשון גזלה ממנו ולכן חזר וחטפה מהראשון</w:t>
      </w:r>
      <w:bookmarkEnd w:id="16268"/>
      <w:bookmarkEnd w:id="16269"/>
      <w:bookmarkEnd w:id="16270"/>
      <w:bookmarkEnd w:id="16271"/>
      <w:bookmarkEnd w:id="16272"/>
      <w:bookmarkEnd w:id="16273"/>
    </w:p>
    <w:p w:rsidR="000F5507" w:rsidRDefault="000F5507" w:rsidP="007E4E81">
      <w:pPr>
        <w:pStyle w:val="a0"/>
      </w:pPr>
      <w:r>
        <w:rPr>
          <w:rFonts w:hint="cs"/>
          <w:rtl/>
        </w:rPr>
        <w:t xml:space="preserve"> כתב </w:t>
      </w:r>
      <w:r w:rsidRPr="0079745A">
        <w:rPr>
          <w:rStyle w:val="af9"/>
          <w:rFonts w:hint="cs"/>
          <w:rtl/>
        </w:rPr>
        <w:t>רש"י בשבועות</w:t>
      </w:r>
      <w:r>
        <w:rPr>
          <w:rFonts w:hint="cs"/>
          <w:rtl/>
        </w:rPr>
        <w:t xml:space="preserve"> </w:t>
      </w:r>
      <w:r w:rsidRPr="0079745A">
        <w:rPr>
          <w:rStyle w:val="af7"/>
          <w:rFonts w:eastAsia="Guttman Hodes" w:hint="cs"/>
          <w:rtl/>
        </w:rPr>
        <w:t>(לב: ד"ה חטפי)</w:t>
      </w:r>
      <w:r>
        <w:rPr>
          <w:rFonts w:hint="cs"/>
          <w:rtl/>
        </w:rPr>
        <w:t xml:space="preserve"> דהא דטוען דידי חטפי, כוונתו לומר דהראשון גזלה ממנו, ולכן חזר וחטפה מהראשון.</w:t>
      </w:r>
    </w:p>
    <w:p w:rsidR="000F5507" w:rsidRPr="00D13DDC" w:rsidRDefault="000F5507" w:rsidP="000F5507">
      <w:pPr>
        <w:pStyle w:val="a3"/>
        <w:rPr>
          <w:rtl/>
        </w:rPr>
      </w:pPr>
      <w:bookmarkStart w:id="16279" w:name="_Toc65617163"/>
      <w:bookmarkStart w:id="16280" w:name="_Toc65666117"/>
      <w:bookmarkStart w:id="16281" w:name="_Toc65689768"/>
      <w:bookmarkStart w:id="16282" w:name="_Toc65703308"/>
      <w:bookmarkStart w:id="16283" w:name="_Toc65713972"/>
      <w:bookmarkStart w:id="16284" w:name="_Toc65714825"/>
      <w:r w:rsidRPr="00D13DDC">
        <w:rPr>
          <w:rFonts w:hint="cs"/>
          <w:rtl/>
        </w:rPr>
        <w:t>דברי רש"י דאין ב' עדים וצריך לפוטרו במיגו אך א"א לפוטרו בלא שנשבע להכחיש את הע"א</w:t>
      </w:r>
      <w:bookmarkEnd w:id="16279"/>
      <w:bookmarkEnd w:id="16280"/>
      <w:bookmarkEnd w:id="16281"/>
      <w:bookmarkEnd w:id="16282"/>
      <w:bookmarkEnd w:id="16283"/>
      <w:bookmarkEnd w:id="16284"/>
    </w:p>
    <w:p w:rsidR="000F5507" w:rsidRPr="0079745A" w:rsidRDefault="000F5507" w:rsidP="007E4E81">
      <w:pPr>
        <w:pStyle w:val="a0"/>
        <w:rPr>
          <w:rStyle w:val="afb"/>
          <w:rtl/>
        </w:rPr>
      </w:pPr>
      <w:r>
        <w:rPr>
          <w:rFonts w:hint="cs"/>
          <w:rtl/>
        </w:rPr>
        <w:t xml:space="preserve">וכתב </w:t>
      </w:r>
      <w:r w:rsidRPr="0079745A">
        <w:rPr>
          <w:rStyle w:val="af9"/>
          <w:rFonts w:hint="cs"/>
          <w:rtl/>
        </w:rPr>
        <w:t>רש"י בשבועות</w:t>
      </w:r>
      <w:r>
        <w:rPr>
          <w:rFonts w:hint="cs"/>
          <w:rtl/>
        </w:rPr>
        <w:t xml:space="preserve"> </w:t>
      </w:r>
      <w:r w:rsidRPr="0079745A">
        <w:rPr>
          <w:rStyle w:val="af7"/>
          <w:rFonts w:eastAsia="Guttman Hodes" w:hint="cs"/>
          <w:rtl/>
        </w:rPr>
        <w:t xml:space="preserve">(לב: ד"ה ליפטריה, ד"ה איכא) </w:t>
      </w:r>
      <w:r>
        <w:rPr>
          <w:rFonts w:hint="cs"/>
          <w:rtl/>
        </w:rPr>
        <w:t xml:space="preserve">דכיון שאין ב' עדים שחטף א"כ צריך לפוטרו, דהוא נאמן בטענת דידי חטפי, במיגו דהיה יכול לומר לא חטפתי, אך כיון שיש ע"א שחטף א"א לפוטרו, דהא אם היה טוען לא חטפי היה צריך להשבע להכחיש את העד. </w:t>
      </w:r>
      <w:r w:rsidRPr="0079745A">
        <w:rPr>
          <w:rStyle w:val="afb"/>
          <w:rFonts w:hint="cs"/>
          <w:rtl/>
        </w:rPr>
        <w:t>[ו</w:t>
      </w:r>
      <w:r>
        <w:rPr>
          <w:rStyle w:val="afb"/>
          <w:rFonts w:hint="cs"/>
          <w:rtl/>
        </w:rPr>
        <w:t>א"כ</w:t>
      </w:r>
      <w:r w:rsidRPr="0079745A">
        <w:rPr>
          <w:rStyle w:val="afb"/>
          <w:rFonts w:hint="cs"/>
          <w:rtl/>
        </w:rPr>
        <w:t xml:space="preserve"> אינו נאמן במיגו דלא חטפי].</w:t>
      </w:r>
    </w:p>
    <w:p w:rsidR="000F5507" w:rsidRPr="00D13DDC" w:rsidRDefault="000F5507" w:rsidP="000F5507">
      <w:pPr>
        <w:pStyle w:val="a3"/>
        <w:rPr>
          <w:rtl/>
        </w:rPr>
      </w:pPr>
      <w:bookmarkStart w:id="16285" w:name="_Toc65617164"/>
      <w:bookmarkStart w:id="16286" w:name="_Toc65666118"/>
      <w:bookmarkStart w:id="16287" w:name="_Toc65689769"/>
      <w:bookmarkStart w:id="16288" w:name="_Toc65703309"/>
      <w:bookmarkStart w:id="16289" w:name="_Toc65713973"/>
      <w:bookmarkStart w:id="16290" w:name="_Toc65714826"/>
      <w:r w:rsidRPr="00D13DDC">
        <w:rPr>
          <w:rFonts w:hint="cs"/>
          <w:rtl/>
        </w:rPr>
        <w:t>דברי רש"י דצריך לחייבו לשלם דכל גזלן לא נאמן לומר דידי חטפי אך א"א לחייבו דיש לו מיגו</w:t>
      </w:r>
      <w:bookmarkEnd w:id="16285"/>
      <w:bookmarkEnd w:id="16286"/>
      <w:bookmarkEnd w:id="16287"/>
      <w:bookmarkEnd w:id="16288"/>
      <w:bookmarkEnd w:id="16289"/>
      <w:bookmarkEnd w:id="16290"/>
    </w:p>
    <w:p w:rsidR="000F5507" w:rsidRDefault="000F5507" w:rsidP="007E4E81">
      <w:pPr>
        <w:pStyle w:val="a0"/>
        <w:rPr>
          <w:rtl/>
        </w:rPr>
      </w:pPr>
      <w:r>
        <w:rPr>
          <w:rFonts w:hint="cs"/>
          <w:rtl/>
        </w:rPr>
        <w:t xml:space="preserve">ובהא דאמרינן דא"א לחייבו לשלם, ביאר </w:t>
      </w:r>
      <w:r w:rsidRPr="0079745A">
        <w:rPr>
          <w:rStyle w:val="af9"/>
          <w:rFonts w:hint="cs"/>
          <w:rtl/>
        </w:rPr>
        <w:t>רש"י בשבועות</w:t>
      </w:r>
      <w:r>
        <w:rPr>
          <w:rFonts w:hint="cs"/>
          <w:rtl/>
        </w:rPr>
        <w:t xml:space="preserve"> </w:t>
      </w:r>
      <w:r w:rsidRPr="0079745A">
        <w:rPr>
          <w:rStyle w:val="af7"/>
          <w:rFonts w:eastAsia="Guttman Hodes" w:hint="cs"/>
          <w:rtl/>
        </w:rPr>
        <w:t>(לב: ד"ה לישלם, ד"ה ליכא)</w:t>
      </w:r>
      <w:r>
        <w:rPr>
          <w:rFonts w:hint="cs"/>
          <w:rtl/>
        </w:rPr>
        <w:t xml:space="preserve"> דהיה צריך לחייבו לשלם, כיון שכל חוטף אינו נאמן לומר שלי חטפתי, דא"כ אין גזלן שחייב לשלם, אף כשיש עדים שחטף, אבל הכא א"א לחייבו לשלם, כיון שאין עדים שחטף, וא"כ אפש"ל דהוא נאמן במיגו.</w:t>
      </w:r>
    </w:p>
    <w:p w:rsidR="000F5507" w:rsidRPr="00D13DDC" w:rsidRDefault="000F5507" w:rsidP="000F5507">
      <w:pPr>
        <w:pStyle w:val="a3"/>
        <w:rPr>
          <w:rtl/>
        </w:rPr>
      </w:pPr>
      <w:bookmarkStart w:id="16291" w:name="_Toc65713974"/>
      <w:bookmarkStart w:id="16292" w:name="_Toc65714827"/>
      <w:r w:rsidRPr="00D13DDC">
        <w:rPr>
          <w:rFonts w:hint="cs"/>
          <w:rtl/>
        </w:rPr>
        <w:t>דברי הרשב"ם דבטוען דידי חטפי א"א לחייבו מדין מוציא ממוחזק דאין ב' עדים ונאמן במיגו</w:t>
      </w:r>
      <w:bookmarkEnd w:id="16274"/>
      <w:bookmarkEnd w:id="16275"/>
      <w:bookmarkEnd w:id="16276"/>
      <w:bookmarkEnd w:id="16277"/>
      <w:bookmarkEnd w:id="16278"/>
      <w:bookmarkEnd w:id="16291"/>
      <w:bookmarkEnd w:id="16292"/>
    </w:p>
    <w:p w:rsidR="000F5507" w:rsidRDefault="000F5507" w:rsidP="007E4E81">
      <w:pPr>
        <w:pStyle w:val="a0"/>
        <w:rPr>
          <w:rtl/>
        </w:rPr>
      </w:pPr>
      <w:r>
        <w:rPr>
          <w:rFonts w:hint="cs"/>
          <w:rtl/>
        </w:rPr>
        <w:t xml:space="preserve">כתב </w:t>
      </w:r>
      <w:r w:rsidRPr="00323898">
        <w:rPr>
          <w:rStyle w:val="af9"/>
          <w:rFonts w:hint="cs"/>
          <w:rtl/>
        </w:rPr>
        <w:t>הרשב"ם</w:t>
      </w:r>
      <w:r>
        <w:rPr>
          <w:rFonts w:hint="cs"/>
          <w:rtl/>
        </w:rPr>
        <w:t xml:space="preserve"> </w:t>
      </w:r>
      <w:r w:rsidRPr="00EC5727">
        <w:rPr>
          <w:rStyle w:val="af7"/>
          <w:rFonts w:eastAsia="Guttman Hodes" w:hint="cs"/>
          <w:rtl/>
        </w:rPr>
        <w:t>(סוד"ה היכי)</w:t>
      </w:r>
      <w:r>
        <w:rPr>
          <w:rFonts w:hint="cs"/>
          <w:rtl/>
        </w:rPr>
        <w:t xml:space="preserve"> דהכא דאיירי שיש רק ע"א שחטף, והחוטף אינו מכחיש את העד, ומודה שחטף וטוען שחטף את שלו, ולכן יש נדון איך לדון בזה, וכתב </w:t>
      </w:r>
      <w:r w:rsidRPr="00323898">
        <w:rPr>
          <w:rStyle w:val="af9"/>
          <w:rFonts w:hint="cs"/>
          <w:rtl/>
        </w:rPr>
        <w:t>הרשב"ם</w:t>
      </w:r>
      <w:r>
        <w:rPr>
          <w:rFonts w:hint="cs"/>
          <w:rtl/>
        </w:rPr>
        <w:t xml:space="preserve"> </w:t>
      </w:r>
      <w:r w:rsidRPr="00EC5727">
        <w:rPr>
          <w:rStyle w:val="af7"/>
          <w:rFonts w:eastAsia="Guttman Hodes" w:hint="cs"/>
          <w:rtl/>
        </w:rPr>
        <w:t>(ד"ה לישלם, ד"ה ליכא)</w:t>
      </w:r>
      <w:r>
        <w:rPr>
          <w:rFonts w:hint="cs"/>
          <w:rtl/>
        </w:rPr>
        <w:t xml:space="preserve"> דא"א לומר דחייב לשלם, כיון שמודה שחטף</w:t>
      </w:r>
      <w:r w:rsidRPr="00443E23">
        <w:rPr>
          <w:rFonts w:hint="cs"/>
          <w:rtl/>
        </w:rPr>
        <w:t xml:space="preserve"> </w:t>
      </w:r>
      <w:r>
        <w:rPr>
          <w:rFonts w:hint="cs"/>
          <w:rtl/>
        </w:rPr>
        <w:t>ואין החוטף נאמן לומר שלי חטפתי, והעמד דבר על חזקתו, דהא אין ב' עדים שחטף, והוא נאמן לומר דידי חטפי, במיגו דהיה יכול לטעון לא חטפתי.</w:t>
      </w:r>
    </w:p>
    <w:p w:rsidR="000F5507" w:rsidRPr="00D13DDC" w:rsidRDefault="000F5507" w:rsidP="000F5507">
      <w:pPr>
        <w:pStyle w:val="a3"/>
      </w:pPr>
      <w:bookmarkStart w:id="16293" w:name="_Toc65605905"/>
      <w:bookmarkStart w:id="16294" w:name="_Toc65617149"/>
      <w:bookmarkStart w:id="16295" w:name="_Toc65666103"/>
      <w:bookmarkStart w:id="16296" w:name="_Toc65689764"/>
      <w:bookmarkStart w:id="16297" w:name="_Toc65703304"/>
      <w:bookmarkStart w:id="16298" w:name="_Toc65713975"/>
      <w:bookmarkStart w:id="16299" w:name="_Toc65714828"/>
      <w:r w:rsidRPr="00D13DDC">
        <w:rPr>
          <w:rFonts w:hint="cs"/>
          <w:rtl/>
        </w:rPr>
        <w:t>דברי הרשב"ם דא"א לפוטרו דנאמן במיגו דהא שיש ע"א שחטף ואי היה מכחישו היה נשבע</w:t>
      </w:r>
      <w:bookmarkEnd w:id="16293"/>
      <w:bookmarkEnd w:id="16294"/>
      <w:bookmarkEnd w:id="16295"/>
      <w:bookmarkEnd w:id="16296"/>
      <w:bookmarkEnd w:id="16297"/>
      <w:bookmarkEnd w:id="16298"/>
      <w:bookmarkEnd w:id="16299"/>
    </w:p>
    <w:p w:rsidR="000F5507" w:rsidRDefault="000F5507" w:rsidP="007E4E81">
      <w:pPr>
        <w:pStyle w:val="a0"/>
        <w:rPr>
          <w:rtl/>
        </w:rPr>
      </w:pPr>
      <w:r>
        <w:rPr>
          <w:rFonts w:hint="cs"/>
          <w:rtl/>
        </w:rPr>
        <w:t xml:space="preserve">וכתב </w:t>
      </w:r>
      <w:r w:rsidRPr="00323898">
        <w:rPr>
          <w:rStyle w:val="af9"/>
          <w:rFonts w:hint="cs"/>
          <w:rtl/>
        </w:rPr>
        <w:t>הרשב"ם</w:t>
      </w:r>
      <w:r>
        <w:rPr>
          <w:rFonts w:hint="cs"/>
          <w:rtl/>
        </w:rPr>
        <w:t xml:space="preserve"> </w:t>
      </w:r>
      <w:r w:rsidRPr="00EC5727">
        <w:rPr>
          <w:rStyle w:val="af7"/>
          <w:rFonts w:eastAsia="Guttman Hodes" w:hint="cs"/>
          <w:rtl/>
        </w:rPr>
        <w:t>(ד"ה ליפטריה)</w:t>
      </w:r>
      <w:r>
        <w:rPr>
          <w:rFonts w:hint="cs"/>
          <w:rtl/>
        </w:rPr>
        <w:t xml:space="preserve"> דא"א לומר שיהיה פטור כיון שהוא נאמן במיגו, דהא יש ע"א שאומר שהוא חטף, ואם היה טוען שלא חטף היה צריך להשבע להכחישו.</w:t>
      </w:r>
    </w:p>
    <w:p w:rsidR="000F5507" w:rsidRPr="00D13DDC" w:rsidRDefault="000F5507" w:rsidP="000F5507">
      <w:pPr>
        <w:pStyle w:val="a3"/>
      </w:pPr>
      <w:bookmarkStart w:id="16300" w:name="_Toc65605906"/>
      <w:bookmarkStart w:id="16301" w:name="_Toc65617150"/>
      <w:bookmarkStart w:id="16302" w:name="_Toc65666104"/>
      <w:bookmarkStart w:id="16303" w:name="_Toc65689765"/>
      <w:bookmarkStart w:id="16304" w:name="_Toc65703305"/>
      <w:bookmarkStart w:id="16305" w:name="_Toc65713976"/>
      <w:bookmarkStart w:id="16306" w:name="_Toc65714829"/>
      <w:bookmarkStart w:id="16307" w:name="_Toc64925388"/>
      <w:bookmarkStart w:id="16308" w:name="_Toc65141939"/>
      <w:bookmarkStart w:id="16309" w:name="_Toc65185632"/>
      <w:bookmarkStart w:id="16310" w:name="_Toc65529972"/>
      <w:bookmarkStart w:id="16311" w:name="_Toc65604020"/>
      <w:r w:rsidRPr="00D13DDC">
        <w:rPr>
          <w:rFonts w:hint="cs"/>
          <w:rtl/>
        </w:rPr>
        <w:t>דברי הרשב"ם דא"א לפוטרו בלא כלום כיון שעדות הע"א עושה ריעותא במיגו</w:t>
      </w:r>
      <w:bookmarkEnd w:id="16300"/>
      <w:bookmarkEnd w:id="16301"/>
      <w:bookmarkEnd w:id="16302"/>
      <w:bookmarkEnd w:id="16303"/>
      <w:bookmarkEnd w:id="16304"/>
      <w:bookmarkEnd w:id="16305"/>
      <w:bookmarkEnd w:id="16306"/>
    </w:p>
    <w:p w:rsidR="000F5507" w:rsidRDefault="000F5507" w:rsidP="007E4E81">
      <w:pPr>
        <w:pStyle w:val="a0"/>
        <w:rPr>
          <w:rStyle w:val="afb"/>
          <w:rtl/>
        </w:rPr>
      </w:pPr>
      <w:bookmarkStart w:id="16312" w:name="_Ref65605666"/>
      <w:r>
        <w:rPr>
          <w:rFonts w:hint="cs"/>
          <w:rtl/>
        </w:rPr>
        <w:t xml:space="preserve">והוסיף </w:t>
      </w:r>
      <w:r w:rsidRPr="00323898">
        <w:rPr>
          <w:rStyle w:val="af9"/>
          <w:rFonts w:hint="cs"/>
          <w:rtl/>
        </w:rPr>
        <w:t>הרשב"ם</w:t>
      </w:r>
      <w:r>
        <w:rPr>
          <w:rFonts w:hint="cs"/>
          <w:rtl/>
        </w:rPr>
        <w:t xml:space="preserve"> </w:t>
      </w:r>
      <w:r w:rsidRPr="00EC5727">
        <w:rPr>
          <w:rStyle w:val="af7"/>
          <w:rFonts w:eastAsia="Guttman Hodes" w:hint="cs"/>
          <w:rtl/>
        </w:rPr>
        <w:t>(ד"ה לישתבע)</w:t>
      </w:r>
      <w:r>
        <w:rPr>
          <w:rFonts w:hint="cs"/>
          <w:rtl/>
        </w:rPr>
        <w:t xml:space="preserve"> לבאר דא"א לפוטרו בלא כלום, כיון שיש ריעותא במיגו, ע"י עדות הע"א.</w:t>
      </w:r>
      <w:bookmarkEnd w:id="16312"/>
      <w:r>
        <w:rPr>
          <w:rFonts w:hint="cs"/>
          <w:rtl/>
        </w:rPr>
        <w:t xml:space="preserve"> </w:t>
      </w:r>
    </w:p>
    <w:p w:rsidR="000F5507" w:rsidRPr="00B70AF5" w:rsidRDefault="000F5507" w:rsidP="000F5507">
      <w:pPr>
        <w:pStyle w:val="afe"/>
        <w:rPr>
          <w:rtl/>
        </w:rPr>
      </w:pPr>
      <w:r w:rsidRPr="007934A6">
        <w:rPr>
          <w:rtl/>
        </w:rPr>
        <w:t xml:space="preserve">בי' הרשב"ם </w:t>
      </w:r>
      <w:r>
        <w:rPr>
          <w:rFonts w:hint="cs"/>
          <w:rtl/>
        </w:rPr>
        <w:t>בהא דא"י לישבע כגזלן</w:t>
      </w:r>
    </w:p>
    <w:p w:rsidR="000F5507" w:rsidRPr="006F23DA" w:rsidRDefault="000F5507" w:rsidP="000F5507">
      <w:pPr>
        <w:pStyle w:val="1"/>
        <w:rPr>
          <w:rtl/>
        </w:rPr>
      </w:pPr>
      <w:bookmarkStart w:id="16313" w:name="_Toc65713978"/>
      <w:bookmarkStart w:id="16314" w:name="_Toc65714831"/>
      <w:bookmarkStart w:id="16315" w:name="_Toc65617165"/>
      <w:bookmarkStart w:id="16316" w:name="_Toc65666119"/>
      <w:bookmarkStart w:id="16317" w:name="_Toc65689778"/>
      <w:bookmarkStart w:id="16318" w:name="_Toc65703318"/>
      <w:bookmarkStart w:id="16319" w:name="_Toc65605907"/>
      <w:bookmarkStart w:id="16320" w:name="_Toc65617151"/>
      <w:bookmarkStart w:id="16321" w:name="_Toc65666105"/>
      <w:bookmarkStart w:id="16322" w:name="_Toc65689771"/>
      <w:bookmarkStart w:id="16323" w:name="_Toc65703311"/>
      <w:r>
        <w:rPr>
          <w:rFonts w:hint="cs"/>
          <w:rtl/>
        </w:rPr>
        <w:t>בי' רש"י והרשב"ם דלשבועה זו לא נשבע כגזלן בשאר שבועות</w:t>
      </w:r>
      <w:bookmarkEnd w:id="16313"/>
      <w:bookmarkEnd w:id="16314"/>
    </w:p>
    <w:p w:rsidR="000F5507" w:rsidRPr="00D13DDC" w:rsidRDefault="000F5507" w:rsidP="000F5507">
      <w:pPr>
        <w:pStyle w:val="a3"/>
        <w:rPr>
          <w:rtl/>
        </w:rPr>
      </w:pPr>
      <w:bookmarkStart w:id="16324" w:name="_Toc65713979"/>
      <w:bookmarkStart w:id="16325" w:name="_Toc65714832"/>
      <w:r w:rsidRPr="00D13DDC">
        <w:rPr>
          <w:rFonts w:hint="cs"/>
          <w:rtl/>
        </w:rPr>
        <w:t>דברי רש"י דהשבועה שהעד מחייבו להכחישו אינו יכול להשבע דהודה והוא כגזלן לשבועה זו</w:t>
      </w:r>
      <w:bookmarkEnd w:id="16315"/>
      <w:bookmarkEnd w:id="16316"/>
      <w:bookmarkEnd w:id="16317"/>
      <w:bookmarkEnd w:id="16318"/>
      <w:bookmarkEnd w:id="16324"/>
      <w:bookmarkEnd w:id="16325"/>
    </w:p>
    <w:p w:rsidR="000F5507" w:rsidRDefault="000F5507" w:rsidP="007E4E81">
      <w:pPr>
        <w:pStyle w:val="a0"/>
        <w:rPr>
          <w:rtl/>
        </w:rPr>
      </w:pPr>
      <w:bookmarkStart w:id="16326" w:name="_Ref65095506"/>
      <w:bookmarkStart w:id="16327" w:name="_Ref65714397"/>
      <w:r>
        <w:rPr>
          <w:rFonts w:hint="cs"/>
          <w:rtl/>
        </w:rPr>
        <w:t xml:space="preserve">כתב </w:t>
      </w:r>
      <w:r w:rsidRPr="0079745A">
        <w:rPr>
          <w:rStyle w:val="af9"/>
          <w:rFonts w:hint="cs"/>
          <w:rtl/>
        </w:rPr>
        <w:t>רש"י בשבועות</w:t>
      </w:r>
      <w:r>
        <w:rPr>
          <w:rFonts w:hint="cs"/>
          <w:rtl/>
        </w:rPr>
        <w:t xml:space="preserve"> </w:t>
      </w:r>
      <w:r w:rsidRPr="0079745A">
        <w:rPr>
          <w:rStyle w:val="af7"/>
          <w:rFonts w:eastAsia="Guttman Hodes" w:hint="cs"/>
          <w:rtl/>
        </w:rPr>
        <w:t>(לב: ד"ה לשתבע, ד"ה כיון)</w:t>
      </w:r>
      <w:r>
        <w:rPr>
          <w:rFonts w:hint="cs"/>
          <w:rtl/>
        </w:rPr>
        <w:t xml:space="preserve"> דא"א לחייבו את השבועה שהעד מחייבו, דכיון שאמר אין חטפי, א"כ הוא כגזלן, ואילו חיוב שבועה מכח ע"א, הוא שנשבע על עדות הע"א ומכחישו, והכא החוטף אינו יכול להשבע להכחיש את הע"א, דהרי הוא מודה </w:t>
      </w:r>
      <w:r>
        <w:rPr>
          <w:rFonts w:hint="cs"/>
          <w:rtl/>
        </w:rPr>
        <w:lastRenderedPageBreak/>
        <w:t xml:space="preserve">לעדות הע"א דאומר אין חטפי, וא"כ חשיב החוטף לגבי השבועה הזו, כמו גזלן דאינו יכול להשבע בכל השבועות, ואף החוטף הכא אינו יכול להשבע בשבועה זו, כיון שהוא מודה לעדות הע"א, ועי' במה שביארו </w:t>
      </w:r>
      <w:r w:rsidRPr="003A224C">
        <w:rPr>
          <w:rStyle w:val="af9"/>
          <w:rFonts w:hint="cs"/>
          <w:rtl/>
        </w:rPr>
        <w:t>הנודע ביהודה</w:t>
      </w:r>
      <w:r>
        <w:rPr>
          <w:rFonts w:hint="cs"/>
          <w:rtl/>
        </w:rPr>
        <w:t xml:space="preserve"> </w:t>
      </w:r>
      <w:r w:rsidRPr="003A224C">
        <w:rPr>
          <w:rStyle w:val="af7"/>
          <w:rFonts w:eastAsia="Guttman Hodes" w:hint="cs"/>
          <w:rtl/>
        </w:rPr>
        <w:t xml:space="preserve">(עי' אות </w:t>
      </w:r>
      <w:r w:rsidRPr="003A224C">
        <w:rPr>
          <w:rStyle w:val="af7"/>
          <w:rFonts w:eastAsia="Guttman Hodes"/>
          <w:rtl/>
        </w:rPr>
        <w:fldChar w:fldCharType="begin"/>
      </w:r>
      <w:r w:rsidRPr="003A224C">
        <w:rPr>
          <w:rStyle w:val="af7"/>
          <w:rFonts w:eastAsia="Guttman Hodes"/>
          <w:rtl/>
        </w:rPr>
        <w:instrText xml:space="preserve"> </w:instrText>
      </w:r>
      <w:r w:rsidRPr="003A224C">
        <w:rPr>
          <w:rStyle w:val="af7"/>
          <w:rFonts w:eastAsia="Guttman Hodes" w:hint="cs"/>
        </w:rPr>
        <w:instrText>REF</w:instrText>
      </w:r>
      <w:r w:rsidRPr="003A224C">
        <w:rPr>
          <w:rStyle w:val="af7"/>
          <w:rFonts w:eastAsia="Guttman Hodes" w:hint="cs"/>
          <w:rtl/>
        </w:rPr>
        <w:instrText xml:space="preserve"> _</w:instrText>
      </w:r>
      <w:r w:rsidRPr="003A224C">
        <w:rPr>
          <w:rStyle w:val="af7"/>
          <w:rFonts w:eastAsia="Guttman Hodes" w:hint="cs"/>
        </w:rPr>
        <w:instrText>Ref65095523 \r \h</w:instrText>
      </w:r>
      <w:r w:rsidRPr="003A224C">
        <w:rPr>
          <w:rStyle w:val="af7"/>
          <w:rFonts w:eastAsia="Guttman Hodes"/>
          <w:rtl/>
        </w:rPr>
        <w:instrText xml:space="preserve"> </w:instrText>
      </w:r>
      <w:r w:rsidRPr="003A224C">
        <w:rPr>
          <w:rStyle w:val="af7"/>
          <w:rFonts w:eastAsia="Guttman Hodes"/>
          <w:rtl/>
        </w:rPr>
      </w:r>
      <w:r w:rsidRPr="003A224C">
        <w:rPr>
          <w:rStyle w:val="af7"/>
          <w:rFonts w:eastAsia="Guttman Hodes"/>
          <w:rtl/>
        </w:rPr>
        <w:fldChar w:fldCharType="separate"/>
      </w:r>
      <w:r w:rsidR="00265073">
        <w:rPr>
          <w:rStyle w:val="af7"/>
          <w:rFonts w:eastAsia="Guttman Hodes"/>
          <w:cs/>
        </w:rPr>
        <w:t>‎</w:t>
      </w:r>
      <w:r w:rsidR="00265073">
        <w:rPr>
          <w:rStyle w:val="af7"/>
          <w:rFonts w:eastAsia="Guttman Hodes"/>
          <w:rtl/>
        </w:rPr>
        <w:t>ג)</w:t>
      </w:r>
      <w:r w:rsidRPr="003A224C">
        <w:rPr>
          <w:rStyle w:val="af7"/>
          <w:rFonts w:eastAsia="Guttman Hodes"/>
          <w:rtl/>
        </w:rPr>
        <w:fldChar w:fldCharType="end"/>
      </w:r>
      <w:r>
        <w:rPr>
          <w:rFonts w:hint="cs"/>
          <w:rtl/>
        </w:rPr>
        <w:t xml:space="preserve"> </w:t>
      </w:r>
      <w:r w:rsidRPr="003A224C">
        <w:rPr>
          <w:rStyle w:val="af9"/>
          <w:rFonts w:hint="cs"/>
          <w:rtl/>
        </w:rPr>
        <w:t>והתורת חיים</w:t>
      </w:r>
      <w:r>
        <w:rPr>
          <w:rFonts w:hint="cs"/>
          <w:rtl/>
        </w:rPr>
        <w:t xml:space="preserve"> </w:t>
      </w:r>
      <w:r w:rsidRPr="003A224C">
        <w:rPr>
          <w:rStyle w:val="af7"/>
          <w:rFonts w:eastAsia="Guttman Hodes" w:hint="cs"/>
          <w:rtl/>
        </w:rPr>
        <w:t xml:space="preserve">(עי' אות </w:t>
      </w:r>
      <w:r w:rsidRPr="003A224C">
        <w:rPr>
          <w:rStyle w:val="af7"/>
          <w:rFonts w:eastAsia="Guttman Hodes"/>
          <w:rtl/>
        </w:rPr>
        <w:fldChar w:fldCharType="begin"/>
      </w:r>
      <w:r w:rsidRPr="003A224C">
        <w:rPr>
          <w:rStyle w:val="af7"/>
          <w:rFonts w:eastAsia="Guttman Hodes"/>
          <w:rtl/>
        </w:rPr>
        <w:instrText xml:space="preserve"> </w:instrText>
      </w:r>
      <w:r w:rsidRPr="003A224C">
        <w:rPr>
          <w:rStyle w:val="af7"/>
          <w:rFonts w:eastAsia="Guttman Hodes" w:hint="cs"/>
        </w:rPr>
        <w:instrText>REF</w:instrText>
      </w:r>
      <w:r w:rsidRPr="003A224C">
        <w:rPr>
          <w:rStyle w:val="af7"/>
          <w:rFonts w:eastAsia="Guttman Hodes" w:hint="cs"/>
          <w:rtl/>
        </w:rPr>
        <w:instrText xml:space="preserve"> _</w:instrText>
      </w:r>
      <w:r w:rsidRPr="003A224C">
        <w:rPr>
          <w:rStyle w:val="af7"/>
          <w:rFonts w:eastAsia="Guttman Hodes" w:hint="cs"/>
        </w:rPr>
        <w:instrText>Ref65095550 \r \h</w:instrText>
      </w:r>
      <w:r w:rsidRPr="003A224C">
        <w:rPr>
          <w:rStyle w:val="af7"/>
          <w:rFonts w:eastAsia="Guttman Hodes"/>
          <w:rtl/>
        </w:rPr>
        <w:instrText xml:space="preserve"> </w:instrText>
      </w:r>
      <w:r w:rsidRPr="003A224C">
        <w:rPr>
          <w:rStyle w:val="af7"/>
          <w:rFonts w:eastAsia="Guttman Hodes"/>
          <w:rtl/>
        </w:rPr>
      </w:r>
      <w:r w:rsidRPr="003A224C">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3A224C">
        <w:rPr>
          <w:rStyle w:val="af7"/>
          <w:rFonts w:eastAsia="Guttman Hodes"/>
          <w:rtl/>
        </w:rPr>
        <w:fldChar w:fldCharType="end"/>
      </w:r>
      <w:r>
        <w:rPr>
          <w:rFonts w:hint="cs"/>
          <w:rtl/>
        </w:rPr>
        <w:t xml:space="preserve"> </w:t>
      </w:r>
      <w:r w:rsidRPr="007479C6">
        <w:rPr>
          <w:rStyle w:val="af9"/>
          <w:rFonts w:hint="cs"/>
          <w:rtl/>
        </w:rPr>
        <w:t>ובחי' רבי נחום</w:t>
      </w:r>
      <w:r>
        <w:rPr>
          <w:rFonts w:hint="cs"/>
          <w:rtl/>
        </w:rPr>
        <w:t xml:space="preserve"> </w:t>
      </w:r>
      <w:r w:rsidRPr="007479C6">
        <w:rPr>
          <w:rStyle w:val="af7"/>
          <w:rFonts w:eastAsia="Guttman Hodes" w:hint="cs"/>
          <w:rtl/>
        </w:rPr>
        <w:t xml:space="preserve">(עי' אות </w:t>
      </w:r>
      <w:r w:rsidRPr="007479C6">
        <w:rPr>
          <w:rStyle w:val="af7"/>
          <w:rFonts w:eastAsia="Guttman Hodes"/>
          <w:rtl/>
        </w:rPr>
        <w:fldChar w:fldCharType="begin"/>
      </w:r>
      <w:r w:rsidRPr="007479C6">
        <w:rPr>
          <w:rStyle w:val="af7"/>
          <w:rFonts w:eastAsia="Guttman Hodes"/>
          <w:rtl/>
        </w:rPr>
        <w:instrText xml:space="preserve"> </w:instrText>
      </w:r>
      <w:r w:rsidRPr="007479C6">
        <w:rPr>
          <w:rStyle w:val="af7"/>
          <w:rFonts w:eastAsia="Guttman Hodes" w:hint="cs"/>
        </w:rPr>
        <w:instrText>REF</w:instrText>
      </w:r>
      <w:r w:rsidRPr="007479C6">
        <w:rPr>
          <w:rStyle w:val="af7"/>
          <w:rFonts w:eastAsia="Guttman Hodes" w:hint="cs"/>
          <w:rtl/>
        </w:rPr>
        <w:instrText xml:space="preserve"> _</w:instrText>
      </w:r>
      <w:r w:rsidRPr="007479C6">
        <w:rPr>
          <w:rStyle w:val="af7"/>
          <w:rFonts w:eastAsia="Guttman Hodes" w:hint="cs"/>
        </w:rPr>
        <w:instrText>Ref65575609 \r \h</w:instrText>
      </w:r>
      <w:r w:rsidRPr="007479C6">
        <w:rPr>
          <w:rStyle w:val="af7"/>
          <w:rFonts w:eastAsia="Guttman Hodes"/>
          <w:rtl/>
        </w:rPr>
        <w:instrText xml:space="preserve"> </w:instrText>
      </w:r>
      <w:r w:rsidRPr="007479C6">
        <w:rPr>
          <w:rStyle w:val="af7"/>
          <w:rFonts w:eastAsia="Guttman Hodes"/>
          <w:rtl/>
        </w:rPr>
      </w:r>
      <w:r w:rsidRPr="007479C6">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7479C6">
        <w:rPr>
          <w:rStyle w:val="af7"/>
          <w:rFonts w:eastAsia="Guttman Hodes"/>
          <w:rtl/>
        </w:rPr>
        <w:fldChar w:fldCharType="end"/>
      </w:r>
      <w:r>
        <w:rPr>
          <w:rFonts w:hint="cs"/>
          <w:rtl/>
        </w:rPr>
        <w:t xml:space="preserve"> בדברי </w:t>
      </w:r>
      <w:r w:rsidRPr="003A224C">
        <w:rPr>
          <w:rStyle w:val="af9"/>
          <w:rFonts w:hint="cs"/>
          <w:rtl/>
        </w:rPr>
        <w:t>רש"י</w:t>
      </w:r>
      <w:r>
        <w:rPr>
          <w:rFonts w:hint="cs"/>
          <w:rtl/>
        </w:rPr>
        <w:t>.</w:t>
      </w:r>
      <w:bookmarkEnd w:id="16326"/>
      <w:r w:rsidRPr="00772AE6">
        <w:rPr>
          <w:rStyle w:val="afb"/>
          <w:rFonts w:hint="cs"/>
          <w:rtl/>
        </w:rPr>
        <w:t xml:space="preserve"> </w:t>
      </w:r>
      <w:r w:rsidRPr="00395433">
        <w:rPr>
          <w:rStyle w:val="afb"/>
          <w:rFonts w:hint="cs"/>
          <w:rtl/>
        </w:rPr>
        <w:t xml:space="preserve">[ועי' בגירסת </w:t>
      </w:r>
      <w:r w:rsidRPr="00395433">
        <w:rPr>
          <w:rStyle w:val="affa"/>
          <w:rFonts w:hint="cs"/>
          <w:rtl/>
        </w:rPr>
        <w:t>ר"ח</w:t>
      </w:r>
      <w:r w:rsidRPr="00395433">
        <w:rPr>
          <w:rStyle w:val="afb"/>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Ref65690180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מט)</w:t>
      </w:r>
      <w:r>
        <w:rPr>
          <w:rStyle w:val="aff6"/>
          <w:rtl/>
        </w:rPr>
        <w:fldChar w:fldCharType="end"/>
      </w:r>
      <w:r w:rsidRPr="00395433">
        <w:rPr>
          <w:rStyle w:val="afb"/>
          <w:rFonts w:hint="cs"/>
          <w:rtl/>
        </w:rPr>
        <w:t>].</w:t>
      </w:r>
      <w:bookmarkEnd w:id="16327"/>
    </w:p>
    <w:p w:rsidR="000F5507" w:rsidRPr="00D13DDC" w:rsidRDefault="000F5507" w:rsidP="000F5507">
      <w:pPr>
        <w:pStyle w:val="a3"/>
        <w:rPr>
          <w:rtl/>
        </w:rPr>
      </w:pPr>
      <w:bookmarkStart w:id="16328" w:name="_Toc65617166"/>
      <w:bookmarkStart w:id="16329" w:name="_Toc65666120"/>
      <w:bookmarkStart w:id="16330" w:name="_Toc65689779"/>
      <w:bookmarkStart w:id="16331" w:name="_Toc65703319"/>
      <w:bookmarkStart w:id="16332" w:name="_Toc65713980"/>
      <w:bookmarkStart w:id="16333" w:name="_Toc65714833"/>
      <w:r w:rsidRPr="00D13DDC">
        <w:rPr>
          <w:rFonts w:hint="cs"/>
          <w:rtl/>
        </w:rPr>
        <w:t>דברי רש"י דאם רוצה להחזיק בנסכא חייב לשלם בע"כ מדין משאיל"מ כיון דמודה לעדות העד</w:t>
      </w:r>
      <w:bookmarkEnd w:id="16328"/>
      <w:bookmarkEnd w:id="16329"/>
      <w:bookmarkEnd w:id="16330"/>
      <w:bookmarkEnd w:id="16331"/>
      <w:bookmarkEnd w:id="16332"/>
      <w:bookmarkEnd w:id="16333"/>
    </w:p>
    <w:p w:rsidR="000F5507" w:rsidRDefault="000F5507" w:rsidP="007E4E81">
      <w:pPr>
        <w:pStyle w:val="a0"/>
        <w:rPr>
          <w:rtl/>
        </w:rPr>
      </w:pPr>
      <w:r>
        <w:rPr>
          <w:rFonts w:hint="cs"/>
          <w:rtl/>
        </w:rPr>
        <w:t xml:space="preserve">ובהא דאמר ר"א דאמרינן מתוך שאינו יכול לישבע משלם, ביאר </w:t>
      </w:r>
      <w:r w:rsidRPr="0079745A">
        <w:rPr>
          <w:rStyle w:val="af9"/>
          <w:rFonts w:hint="cs"/>
          <w:rtl/>
        </w:rPr>
        <w:t>רש"י בשבועות</w:t>
      </w:r>
      <w:r>
        <w:rPr>
          <w:rFonts w:hint="cs"/>
          <w:rtl/>
        </w:rPr>
        <w:t xml:space="preserve"> </w:t>
      </w:r>
      <w:r w:rsidRPr="0079745A">
        <w:rPr>
          <w:rStyle w:val="af7"/>
          <w:rFonts w:eastAsia="Guttman Hodes" w:hint="cs"/>
          <w:rtl/>
        </w:rPr>
        <w:t>(לב: ד"ה הוה)</w:t>
      </w:r>
      <w:r>
        <w:rPr>
          <w:rFonts w:hint="cs"/>
          <w:rtl/>
        </w:rPr>
        <w:t xml:space="preserve"> דאם הוא רוצה להחזיק בנסכא, הוא חייב לשלם בע"כ, דהא שחוטף אינו נאמן בטענת דידי חטפי, וכיון שהע"א מחייבו להשבע על עדותו, הוא צריך להשבע שלא חטפה, והוא הרי אינו יכול להשבע, כיון שהוא מודה לעדות הע"א.</w:t>
      </w:r>
    </w:p>
    <w:p w:rsidR="000F5507" w:rsidRPr="00D13DDC" w:rsidRDefault="000F5507" w:rsidP="000F5507">
      <w:pPr>
        <w:pStyle w:val="a3"/>
        <w:rPr>
          <w:rtl/>
        </w:rPr>
      </w:pPr>
      <w:bookmarkStart w:id="16334" w:name="_Toc65605908"/>
      <w:bookmarkStart w:id="16335" w:name="_Toc65617152"/>
      <w:bookmarkStart w:id="16336" w:name="_Toc65666106"/>
      <w:bookmarkStart w:id="16337" w:name="_Toc65689772"/>
      <w:bookmarkStart w:id="16338" w:name="_Toc65703312"/>
      <w:bookmarkStart w:id="16339" w:name="_Toc65713981"/>
      <w:bookmarkStart w:id="16340" w:name="_Toc65714834"/>
      <w:bookmarkEnd w:id="16307"/>
      <w:bookmarkEnd w:id="16308"/>
      <w:bookmarkEnd w:id="16309"/>
      <w:bookmarkEnd w:id="16310"/>
      <w:bookmarkEnd w:id="16311"/>
      <w:bookmarkEnd w:id="16319"/>
      <w:bookmarkEnd w:id="16320"/>
      <w:bookmarkEnd w:id="16321"/>
      <w:bookmarkEnd w:id="16322"/>
      <w:bookmarkEnd w:id="16323"/>
      <w:r w:rsidRPr="00D13DDC">
        <w:rPr>
          <w:rFonts w:hint="cs"/>
          <w:rtl/>
        </w:rPr>
        <w:t>ביאור הרשב"ם דא"א לחייבו שבועה דהא מודה שחטף והחיוב שבועה הוא רק להכחיש את העד</w:t>
      </w:r>
      <w:bookmarkEnd w:id="16334"/>
      <w:bookmarkEnd w:id="16335"/>
      <w:bookmarkEnd w:id="16336"/>
      <w:bookmarkEnd w:id="16337"/>
      <w:bookmarkEnd w:id="16338"/>
      <w:bookmarkEnd w:id="16339"/>
      <w:bookmarkEnd w:id="16340"/>
    </w:p>
    <w:p w:rsidR="000F5507" w:rsidRDefault="000F5507" w:rsidP="007E4E81">
      <w:pPr>
        <w:pStyle w:val="a0"/>
        <w:rPr>
          <w:rtl/>
        </w:rPr>
      </w:pPr>
      <w:bookmarkStart w:id="16341" w:name="_Ref65713717"/>
      <w:r>
        <w:rPr>
          <w:rFonts w:hint="cs"/>
          <w:rtl/>
        </w:rPr>
        <w:t xml:space="preserve">כתב </w:t>
      </w:r>
      <w:r w:rsidRPr="00323898">
        <w:rPr>
          <w:rStyle w:val="af9"/>
          <w:rFonts w:hint="cs"/>
          <w:rtl/>
        </w:rPr>
        <w:t>הרשב"ם</w:t>
      </w:r>
      <w:r w:rsidRPr="00B01D95">
        <w:rPr>
          <w:rStyle w:val="af9"/>
          <w:rFonts w:hint="cs"/>
          <w:rtl/>
        </w:rPr>
        <w:t xml:space="preserve"> </w:t>
      </w:r>
      <w:r w:rsidRPr="00EC5727">
        <w:rPr>
          <w:rStyle w:val="af7"/>
          <w:rFonts w:eastAsia="Guttman Hodes" w:hint="cs"/>
          <w:rtl/>
        </w:rPr>
        <w:t>(ד"ה לישתבע)</w:t>
      </w:r>
      <w:r>
        <w:rPr>
          <w:rFonts w:hint="cs"/>
          <w:rtl/>
        </w:rPr>
        <w:t xml:space="preserve"> דא"א לומר שיהיה חייב שבועה, כיון שהע"א מחייבו להשבע, דהרי הוא מודה שחטף, וכתב </w:t>
      </w:r>
      <w:r w:rsidRPr="00323898">
        <w:rPr>
          <w:rStyle w:val="af9"/>
          <w:rFonts w:hint="cs"/>
          <w:rtl/>
        </w:rPr>
        <w:t>הרשב"ם</w:t>
      </w:r>
      <w:r>
        <w:rPr>
          <w:rFonts w:hint="cs"/>
          <w:rtl/>
        </w:rPr>
        <w:t xml:space="preserve"> דהשבועה שהעד מחייבו היא רק להכחיש את הע"א ולטעון שלא חטף, דהא ילפינן בגמ' בשבועות </w:t>
      </w:r>
      <w:r w:rsidRPr="00EC5727">
        <w:rPr>
          <w:rStyle w:val="af7"/>
          <w:rFonts w:eastAsia="Guttman Hodes" w:hint="cs"/>
          <w:rtl/>
        </w:rPr>
        <w:t>(מ.)</w:t>
      </w:r>
      <w:r>
        <w:rPr>
          <w:rFonts w:hint="cs"/>
          <w:rtl/>
        </w:rPr>
        <w:t xml:space="preserve"> מהא דכתיב "</w:t>
      </w:r>
      <w:r>
        <w:rPr>
          <w:rtl/>
        </w:rPr>
        <w:t>לא יקום עד אחד באיש לכל עון ולכל חטאת</w:t>
      </w:r>
      <w:r>
        <w:rPr>
          <w:rFonts w:hint="cs"/>
          <w:rtl/>
        </w:rPr>
        <w:t>", דע"א אינו מחייבו ממון, אבל מחייבו להשבע שלא חטף ולהכחיש את העד.</w:t>
      </w:r>
      <w:bookmarkEnd w:id="16341"/>
    </w:p>
    <w:p w:rsidR="000F5507" w:rsidRPr="00D13DDC" w:rsidRDefault="000F5507" w:rsidP="000F5507">
      <w:pPr>
        <w:pStyle w:val="a3"/>
        <w:rPr>
          <w:rtl/>
        </w:rPr>
      </w:pPr>
      <w:bookmarkStart w:id="16342" w:name="_Toc65605909"/>
      <w:bookmarkStart w:id="16343" w:name="_Toc65617153"/>
      <w:bookmarkStart w:id="16344" w:name="_Toc65666107"/>
      <w:bookmarkStart w:id="16345" w:name="_Toc65689773"/>
      <w:bookmarkStart w:id="16346" w:name="_Toc65703313"/>
      <w:bookmarkStart w:id="16347" w:name="_Toc65713982"/>
      <w:bookmarkStart w:id="16348" w:name="_Toc65714835"/>
      <w:r w:rsidRPr="00D13DDC">
        <w:rPr>
          <w:rFonts w:hint="cs"/>
          <w:rtl/>
        </w:rPr>
        <w:t>ביאור הרשב"ם דהוא פסול לשבועה להכחיש את העד כמו גזלן שפסול לשאר שבועות</w:t>
      </w:r>
      <w:bookmarkEnd w:id="16342"/>
      <w:bookmarkEnd w:id="16343"/>
      <w:bookmarkEnd w:id="16344"/>
      <w:bookmarkEnd w:id="16345"/>
      <w:bookmarkEnd w:id="16346"/>
      <w:bookmarkEnd w:id="16347"/>
      <w:bookmarkEnd w:id="16348"/>
      <w:r w:rsidRPr="00D13DDC">
        <w:rPr>
          <w:rFonts w:hint="cs"/>
          <w:rtl/>
        </w:rPr>
        <w:t xml:space="preserve"> </w:t>
      </w:r>
    </w:p>
    <w:p w:rsidR="000F5507" w:rsidRDefault="000F5507" w:rsidP="007E4E81">
      <w:pPr>
        <w:pStyle w:val="a0"/>
        <w:rPr>
          <w:sz w:val="10"/>
          <w:szCs w:val="14"/>
          <w:rtl/>
        </w:rPr>
      </w:pPr>
      <w:bookmarkStart w:id="16349" w:name="_Ref65713723"/>
      <w:bookmarkStart w:id="16350" w:name="_Ref65575511"/>
      <w:r>
        <w:rPr>
          <w:rFonts w:hint="cs"/>
          <w:rtl/>
        </w:rPr>
        <w:t xml:space="preserve">והוסיף </w:t>
      </w:r>
      <w:r w:rsidRPr="00323898">
        <w:rPr>
          <w:rStyle w:val="af9"/>
          <w:rFonts w:hint="cs"/>
          <w:rtl/>
        </w:rPr>
        <w:t>הרשב"ם</w:t>
      </w:r>
      <w:r>
        <w:rPr>
          <w:rFonts w:hint="cs"/>
          <w:rtl/>
        </w:rPr>
        <w:t xml:space="preserve"> דלענין השבועה להכחיש את העד, החוטף פסול כגזלן לגבי שאר השבועות, ועי' במה שביארו</w:t>
      </w:r>
      <w:r w:rsidRPr="002D2E26">
        <w:rPr>
          <w:rStyle w:val="af9"/>
          <w:rFonts w:hint="cs"/>
          <w:rtl/>
        </w:rPr>
        <w:t xml:space="preserve"> </w:t>
      </w:r>
      <w:r w:rsidRPr="003A224C">
        <w:rPr>
          <w:rStyle w:val="af9"/>
          <w:rFonts w:hint="cs"/>
          <w:rtl/>
        </w:rPr>
        <w:t>התורת חיים</w:t>
      </w:r>
      <w:r>
        <w:rPr>
          <w:rFonts w:hint="cs"/>
          <w:rtl/>
        </w:rPr>
        <w:t xml:space="preserve"> </w:t>
      </w:r>
      <w:r w:rsidRPr="003A224C">
        <w:rPr>
          <w:rStyle w:val="af7"/>
          <w:rFonts w:eastAsia="Guttman Hodes" w:hint="cs"/>
          <w:rtl/>
        </w:rPr>
        <w:t xml:space="preserve">(עי' אות </w:t>
      </w:r>
      <w:r w:rsidRPr="003A224C">
        <w:rPr>
          <w:rStyle w:val="af7"/>
          <w:rFonts w:eastAsia="Guttman Hodes"/>
          <w:rtl/>
        </w:rPr>
        <w:fldChar w:fldCharType="begin"/>
      </w:r>
      <w:r w:rsidRPr="003A224C">
        <w:rPr>
          <w:rStyle w:val="af7"/>
          <w:rFonts w:eastAsia="Guttman Hodes"/>
          <w:rtl/>
        </w:rPr>
        <w:instrText xml:space="preserve"> </w:instrText>
      </w:r>
      <w:r w:rsidRPr="003A224C">
        <w:rPr>
          <w:rStyle w:val="af7"/>
          <w:rFonts w:eastAsia="Guttman Hodes" w:hint="cs"/>
        </w:rPr>
        <w:instrText>REF</w:instrText>
      </w:r>
      <w:r w:rsidRPr="003A224C">
        <w:rPr>
          <w:rStyle w:val="af7"/>
          <w:rFonts w:eastAsia="Guttman Hodes" w:hint="cs"/>
          <w:rtl/>
        </w:rPr>
        <w:instrText xml:space="preserve"> _</w:instrText>
      </w:r>
      <w:r w:rsidRPr="003A224C">
        <w:rPr>
          <w:rStyle w:val="af7"/>
          <w:rFonts w:eastAsia="Guttman Hodes" w:hint="cs"/>
        </w:rPr>
        <w:instrText>Ref65095550 \r \h</w:instrText>
      </w:r>
      <w:r w:rsidRPr="003A224C">
        <w:rPr>
          <w:rStyle w:val="af7"/>
          <w:rFonts w:eastAsia="Guttman Hodes"/>
          <w:rtl/>
        </w:rPr>
        <w:instrText xml:space="preserve"> </w:instrText>
      </w:r>
      <w:r w:rsidRPr="003A224C">
        <w:rPr>
          <w:rStyle w:val="af7"/>
          <w:rFonts w:eastAsia="Guttman Hodes"/>
          <w:rtl/>
        </w:rPr>
      </w:r>
      <w:r w:rsidRPr="003A224C">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3A224C">
        <w:rPr>
          <w:rStyle w:val="af7"/>
          <w:rFonts w:eastAsia="Guttman Hodes"/>
          <w:rtl/>
        </w:rPr>
        <w:fldChar w:fldCharType="end"/>
      </w:r>
      <w:r>
        <w:rPr>
          <w:rFonts w:hint="cs"/>
          <w:rtl/>
        </w:rPr>
        <w:t xml:space="preserve"> </w:t>
      </w:r>
      <w:r>
        <w:rPr>
          <w:rStyle w:val="af9"/>
          <w:rFonts w:hint="cs"/>
          <w:rtl/>
        </w:rPr>
        <w:t>ו</w:t>
      </w:r>
      <w:r w:rsidRPr="00772AE6">
        <w:rPr>
          <w:rStyle w:val="af9"/>
          <w:rFonts w:hint="cs"/>
          <w:rtl/>
        </w:rPr>
        <w:t>בחי' רבי נחום</w:t>
      </w:r>
      <w:r>
        <w:rPr>
          <w:rFonts w:hint="cs"/>
          <w:rtl/>
        </w:rPr>
        <w:t xml:space="preserve"> </w:t>
      </w:r>
      <w:r w:rsidRPr="00772AE6">
        <w:rPr>
          <w:rStyle w:val="af7"/>
          <w:rFonts w:eastAsia="Guttman Hodes" w:hint="cs"/>
          <w:rtl/>
        </w:rPr>
        <w:t xml:space="preserve">(עי' אות </w:t>
      </w:r>
      <w:r w:rsidRPr="00772AE6">
        <w:rPr>
          <w:rStyle w:val="af7"/>
          <w:rFonts w:eastAsia="Guttman Hodes"/>
          <w:rtl/>
        </w:rPr>
        <w:fldChar w:fldCharType="begin"/>
      </w:r>
      <w:r w:rsidRPr="00772AE6">
        <w:rPr>
          <w:rStyle w:val="af7"/>
          <w:rFonts w:eastAsia="Guttman Hodes"/>
          <w:rtl/>
        </w:rPr>
        <w:instrText xml:space="preserve"> </w:instrText>
      </w:r>
      <w:r w:rsidRPr="00772AE6">
        <w:rPr>
          <w:rStyle w:val="af7"/>
          <w:rFonts w:eastAsia="Guttman Hodes" w:hint="cs"/>
        </w:rPr>
        <w:instrText>REF</w:instrText>
      </w:r>
      <w:r w:rsidRPr="00772AE6">
        <w:rPr>
          <w:rStyle w:val="af7"/>
          <w:rFonts w:eastAsia="Guttman Hodes" w:hint="cs"/>
          <w:rtl/>
        </w:rPr>
        <w:instrText xml:space="preserve"> _</w:instrText>
      </w:r>
      <w:r w:rsidRPr="00772AE6">
        <w:rPr>
          <w:rStyle w:val="af7"/>
          <w:rFonts w:eastAsia="Guttman Hodes" w:hint="cs"/>
        </w:rPr>
        <w:instrText>Ref65713769 \r \h</w:instrText>
      </w:r>
      <w:r w:rsidRPr="00772AE6">
        <w:rPr>
          <w:rStyle w:val="af7"/>
          <w:rFonts w:eastAsia="Guttman Hodes"/>
          <w:rtl/>
        </w:rPr>
        <w:instrText xml:space="preserve"> </w:instrText>
      </w:r>
      <w:r w:rsidRPr="00772AE6">
        <w:rPr>
          <w:rStyle w:val="af7"/>
          <w:rFonts w:eastAsia="Guttman Hodes"/>
          <w:rtl/>
        </w:rPr>
      </w:r>
      <w:r w:rsidRPr="00772AE6">
        <w:rPr>
          <w:rStyle w:val="af7"/>
          <w:rFonts w:eastAsia="Guttman Hodes"/>
          <w:rtl/>
        </w:rPr>
        <w:fldChar w:fldCharType="separate"/>
      </w:r>
      <w:r w:rsidR="00265073">
        <w:rPr>
          <w:rStyle w:val="af7"/>
          <w:rFonts w:eastAsia="Guttman Hodes"/>
          <w:cs/>
        </w:rPr>
        <w:t>‎</w:t>
      </w:r>
      <w:r w:rsidR="00265073">
        <w:rPr>
          <w:rStyle w:val="af7"/>
          <w:rFonts w:eastAsia="Guttman Hodes"/>
          <w:rtl/>
        </w:rPr>
        <w:t>קא)</w:t>
      </w:r>
      <w:r w:rsidRPr="00772AE6">
        <w:rPr>
          <w:rStyle w:val="af7"/>
          <w:rFonts w:eastAsia="Guttman Hodes"/>
          <w:rtl/>
        </w:rPr>
        <w:fldChar w:fldCharType="end"/>
      </w:r>
      <w:r>
        <w:rPr>
          <w:rFonts w:hint="cs"/>
          <w:rtl/>
        </w:rPr>
        <w:t xml:space="preserve"> בדברי </w:t>
      </w:r>
      <w:r w:rsidRPr="00772AE6">
        <w:rPr>
          <w:rStyle w:val="af9"/>
          <w:rFonts w:hint="cs"/>
          <w:rtl/>
        </w:rPr>
        <w:t>הרשב"ם</w:t>
      </w:r>
      <w:r>
        <w:rPr>
          <w:rFonts w:hint="cs"/>
          <w:rtl/>
        </w:rPr>
        <w:t>.</w:t>
      </w:r>
      <w:r w:rsidRPr="00226386">
        <w:rPr>
          <w:rStyle w:val="afb"/>
          <w:rFonts w:hint="cs"/>
          <w:rtl/>
        </w:rPr>
        <w:t xml:space="preserve"> </w:t>
      </w:r>
      <w:r w:rsidRPr="00395433">
        <w:rPr>
          <w:rStyle w:val="afb"/>
          <w:rFonts w:hint="cs"/>
          <w:rtl/>
        </w:rPr>
        <w:t xml:space="preserve">[ועי' בגירסת </w:t>
      </w:r>
      <w:r w:rsidRPr="00395433">
        <w:rPr>
          <w:rStyle w:val="affa"/>
          <w:rFonts w:hint="cs"/>
          <w:rtl/>
        </w:rPr>
        <w:t>ר"ח</w:t>
      </w:r>
      <w:r w:rsidRPr="00395433">
        <w:rPr>
          <w:rStyle w:val="afb"/>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Ref65690180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מט)</w:t>
      </w:r>
      <w:r>
        <w:rPr>
          <w:rStyle w:val="aff6"/>
          <w:rtl/>
        </w:rPr>
        <w:fldChar w:fldCharType="end"/>
      </w:r>
      <w:r w:rsidRPr="00395433">
        <w:rPr>
          <w:rStyle w:val="afb"/>
          <w:rFonts w:hint="cs"/>
          <w:rtl/>
        </w:rPr>
        <w:t>].</w:t>
      </w:r>
      <w:bookmarkEnd w:id="16349"/>
    </w:p>
    <w:p w:rsidR="000F5507" w:rsidRPr="00D13DDC" w:rsidRDefault="000F5507" w:rsidP="000F5507">
      <w:pPr>
        <w:pStyle w:val="a3"/>
      </w:pPr>
      <w:bookmarkStart w:id="16351" w:name="_Toc65605910"/>
      <w:bookmarkStart w:id="16352" w:name="_Toc65617154"/>
      <w:bookmarkStart w:id="16353" w:name="_Toc65666108"/>
      <w:bookmarkStart w:id="16354" w:name="_Toc65689774"/>
      <w:bookmarkStart w:id="16355" w:name="_Toc65703314"/>
      <w:bookmarkStart w:id="16356" w:name="_Toc65713983"/>
      <w:bookmarkStart w:id="16357" w:name="_Toc65714836"/>
      <w:r w:rsidRPr="00D13DDC">
        <w:rPr>
          <w:rFonts w:hint="cs"/>
          <w:rtl/>
        </w:rPr>
        <w:t>דברי הרשב"ם דאינו יכול להשבע שחטף את שלו כיון ששבועה זו לא מוטלת עליו</w:t>
      </w:r>
      <w:bookmarkEnd w:id="16351"/>
      <w:bookmarkEnd w:id="16352"/>
      <w:bookmarkEnd w:id="16353"/>
      <w:bookmarkEnd w:id="16354"/>
      <w:bookmarkEnd w:id="16355"/>
      <w:bookmarkEnd w:id="16356"/>
      <w:bookmarkEnd w:id="16357"/>
    </w:p>
    <w:p w:rsidR="000F5507" w:rsidRDefault="000F5507" w:rsidP="007E4E81">
      <w:pPr>
        <w:pStyle w:val="a0"/>
        <w:rPr>
          <w:sz w:val="10"/>
          <w:szCs w:val="14"/>
          <w:rtl/>
        </w:rPr>
      </w:pPr>
      <w:bookmarkStart w:id="16358" w:name="_Ref65714360"/>
      <w:r>
        <w:rPr>
          <w:rFonts w:hint="cs"/>
          <w:rtl/>
        </w:rPr>
        <w:t xml:space="preserve">וכתב </w:t>
      </w:r>
      <w:r w:rsidRPr="00323898">
        <w:rPr>
          <w:rStyle w:val="af9"/>
          <w:rFonts w:hint="cs"/>
          <w:rtl/>
        </w:rPr>
        <w:t>הרשב"ם</w:t>
      </w:r>
      <w:r>
        <w:rPr>
          <w:rFonts w:hint="cs"/>
          <w:rtl/>
        </w:rPr>
        <w:t xml:space="preserve"> דהא אינו יכול להשבע שחטף את שלו, כיון שהשבועה הזו לא מוטלת עליו.</w:t>
      </w:r>
      <w:bookmarkEnd w:id="16358"/>
    </w:p>
    <w:p w:rsidR="000F5507" w:rsidRPr="00574CDC" w:rsidRDefault="000F5507" w:rsidP="000F5507">
      <w:pPr>
        <w:pStyle w:val="1"/>
        <w:rPr>
          <w:rtl/>
        </w:rPr>
      </w:pPr>
      <w:bookmarkStart w:id="16359" w:name="_Toc65617155"/>
      <w:bookmarkStart w:id="16360" w:name="_Toc65666109"/>
      <w:bookmarkStart w:id="16361" w:name="_Toc65689775"/>
      <w:bookmarkStart w:id="16362" w:name="_Toc65703315"/>
      <w:bookmarkStart w:id="16363" w:name="_Toc65713984"/>
      <w:bookmarkStart w:id="16364" w:name="_Toc65714837"/>
      <w:r>
        <w:rPr>
          <w:rFonts w:hint="cs"/>
          <w:rtl/>
        </w:rPr>
        <w:t>ביאור הרשב"ם דהע"א מרע את המיגו ולכן אמרינן משאיל"מ</w:t>
      </w:r>
      <w:bookmarkEnd w:id="16359"/>
      <w:bookmarkEnd w:id="16360"/>
      <w:bookmarkEnd w:id="16361"/>
      <w:bookmarkEnd w:id="16362"/>
      <w:bookmarkEnd w:id="16363"/>
      <w:bookmarkEnd w:id="16364"/>
    </w:p>
    <w:p w:rsidR="000F5507" w:rsidRPr="00D13DDC" w:rsidRDefault="000F5507" w:rsidP="000F5507">
      <w:pPr>
        <w:pStyle w:val="a3"/>
        <w:rPr>
          <w:rtl/>
        </w:rPr>
      </w:pPr>
      <w:bookmarkStart w:id="16365" w:name="_Toc65617156"/>
      <w:bookmarkStart w:id="16366" w:name="_Toc65666110"/>
      <w:bookmarkStart w:id="16367" w:name="_Toc65689776"/>
      <w:bookmarkStart w:id="16368" w:name="_Toc65703316"/>
      <w:bookmarkStart w:id="16369" w:name="_Toc65713985"/>
      <w:bookmarkStart w:id="16370" w:name="_Toc65714838"/>
      <w:r w:rsidRPr="00D13DDC">
        <w:rPr>
          <w:rFonts w:hint="cs"/>
          <w:rtl/>
        </w:rPr>
        <w:t>דברי הרשב"ם דהע"א עושה ריעותא במיגו של החוטף ואמרינן מתוך שאינו יכול לישבע משלם</w:t>
      </w:r>
      <w:bookmarkEnd w:id="16365"/>
      <w:bookmarkEnd w:id="16366"/>
      <w:bookmarkEnd w:id="16367"/>
      <w:bookmarkEnd w:id="16368"/>
      <w:bookmarkEnd w:id="16369"/>
      <w:bookmarkEnd w:id="16370"/>
      <w:r w:rsidRPr="00D13DDC">
        <w:rPr>
          <w:rFonts w:hint="cs"/>
          <w:rtl/>
        </w:rPr>
        <w:t xml:space="preserve"> </w:t>
      </w:r>
    </w:p>
    <w:p w:rsidR="000F5507" w:rsidRDefault="000F5507" w:rsidP="007E4E81">
      <w:pPr>
        <w:pStyle w:val="a0"/>
        <w:rPr>
          <w:rtl/>
        </w:rPr>
      </w:pPr>
      <w:bookmarkStart w:id="16371" w:name="_Toc65604021"/>
      <w:bookmarkEnd w:id="16350"/>
      <w:r>
        <w:rPr>
          <w:rFonts w:hint="cs"/>
          <w:rtl/>
        </w:rPr>
        <w:t xml:space="preserve">וע"ע במה שביאר </w:t>
      </w:r>
      <w:r w:rsidRPr="00323898">
        <w:rPr>
          <w:rStyle w:val="af9"/>
          <w:rFonts w:hint="cs"/>
          <w:rtl/>
        </w:rPr>
        <w:t>הרשב"ם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Ref65605575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פג)</w:t>
      </w:r>
      <w:r>
        <w:rPr>
          <w:rStyle w:val="af7"/>
          <w:rFonts w:eastAsia="Guttman Hodes"/>
          <w:rtl/>
        </w:rPr>
        <w:fldChar w:fldCharType="end"/>
      </w:r>
      <w:r>
        <w:rPr>
          <w:rFonts w:hint="cs"/>
          <w:rtl/>
        </w:rPr>
        <w:t xml:space="preserve"> בדברי אביי דע"א על חזקת ג"ש לא דמי לר"א, דבנסכא הע"א בא לעשות ריעותא בטענת החוטף, דהוא מעיד שחטף מחבירו והורע כח המיגו של החוטף, </w:t>
      </w:r>
      <w:r w:rsidRPr="004534D6">
        <w:rPr>
          <w:rStyle w:val="afb"/>
          <w:rFonts w:hint="cs"/>
          <w:rtl/>
        </w:rPr>
        <w:t xml:space="preserve">[כדכתב </w:t>
      </w:r>
      <w:r w:rsidRPr="004534D6">
        <w:rPr>
          <w:rStyle w:val="affa"/>
          <w:rFonts w:hint="cs"/>
          <w:rtl/>
        </w:rPr>
        <w:t>הרשב"ם</w:t>
      </w:r>
      <w:r w:rsidRPr="004534D6">
        <w:rPr>
          <w:rStyle w:val="afb"/>
          <w:rFonts w:hint="cs"/>
          <w:rtl/>
        </w:rPr>
        <w:t xml:space="preserve"> </w:t>
      </w:r>
      <w:r w:rsidRPr="004534D6">
        <w:rPr>
          <w:rStyle w:val="aff6"/>
          <w:rFonts w:hint="cs"/>
          <w:rtl/>
        </w:rPr>
        <w:t xml:space="preserve">(עי' אות </w:t>
      </w:r>
      <w:r w:rsidRPr="004534D6">
        <w:rPr>
          <w:rStyle w:val="aff6"/>
          <w:rtl/>
        </w:rPr>
        <w:fldChar w:fldCharType="begin"/>
      </w:r>
      <w:r w:rsidRPr="004534D6">
        <w:rPr>
          <w:rStyle w:val="aff6"/>
          <w:rtl/>
        </w:rPr>
        <w:instrText xml:space="preserve"> </w:instrText>
      </w:r>
      <w:r w:rsidRPr="004534D6">
        <w:rPr>
          <w:rStyle w:val="aff6"/>
          <w:rFonts w:hint="cs"/>
        </w:rPr>
        <w:instrText>REF</w:instrText>
      </w:r>
      <w:r w:rsidRPr="004534D6">
        <w:rPr>
          <w:rStyle w:val="aff6"/>
          <w:rFonts w:hint="cs"/>
          <w:rtl/>
        </w:rPr>
        <w:instrText xml:space="preserve"> _</w:instrText>
      </w:r>
      <w:r w:rsidRPr="004534D6">
        <w:rPr>
          <w:rStyle w:val="aff6"/>
          <w:rFonts w:hint="cs"/>
        </w:rPr>
        <w:instrText>Ref65605666 \r \h</w:instrText>
      </w:r>
      <w:r w:rsidRPr="004534D6">
        <w:rPr>
          <w:rStyle w:val="aff6"/>
          <w:rtl/>
        </w:rPr>
        <w:instrText xml:space="preserve"> </w:instrText>
      </w:r>
      <w:r w:rsidRPr="004534D6">
        <w:rPr>
          <w:rStyle w:val="aff6"/>
          <w:rtl/>
        </w:rPr>
      </w:r>
      <w:r w:rsidRPr="004534D6">
        <w:rPr>
          <w:rStyle w:val="aff6"/>
          <w:rtl/>
        </w:rPr>
        <w:fldChar w:fldCharType="separate"/>
      </w:r>
      <w:r w:rsidR="00265073">
        <w:rPr>
          <w:rStyle w:val="aff6"/>
          <w:cs/>
        </w:rPr>
        <w:t>‎</w:t>
      </w:r>
      <w:r w:rsidR="00265073">
        <w:rPr>
          <w:rStyle w:val="aff6"/>
          <w:rtl/>
        </w:rPr>
        <w:t>יא)</w:t>
      </w:r>
      <w:r w:rsidRPr="004534D6">
        <w:rPr>
          <w:rStyle w:val="aff6"/>
          <w:rtl/>
        </w:rPr>
        <w:fldChar w:fldCharType="end"/>
      </w:r>
      <w:r w:rsidRPr="004534D6">
        <w:rPr>
          <w:rStyle w:val="afb"/>
          <w:rFonts w:hint="cs"/>
          <w:rtl/>
        </w:rPr>
        <w:t>],</w:t>
      </w:r>
      <w:r>
        <w:rPr>
          <w:rFonts w:hint="cs"/>
          <w:rtl/>
        </w:rPr>
        <w:t xml:space="preserve"> והע"א מחייבו שבועה, ולכן אמרינן מתוך שאינו יכול להשבע משלם, ואם היה עוד עד שמעיד שהוא חטף, היו מוציאין ממנו, ואף אם היה נשבע לא היה נאמן, אבל בע"א על חזקת ג"ש,</w:t>
      </w:r>
      <w:r w:rsidRPr="007F4B32">
        <w:rPr>
          <w:rFonts w:hint="cs"/>
          <w:rtl/>
        </w:rPr>
        <w:t xml:space="preserve"> </w:t>
      </w:r>
      <w:r>
        <w:rPr>
          <w:rFonts w:hint="cs"/>
          <w:rtl/>
        </w:rPr>
        <w:t>הע"א בא לסייע למחזיק, ולא שייך לומר מתוך שאינו יכול לישבע משלם,</w:t>
      </w:r>
      <w:r w:rsidRPr="00DC3D5A">
        <w:rPr>
          <w:rFonts w:hint="cs"/>
          <w:rtl/>
        </w:rPr>
        <w:t xml:space="preserve"> </w:t>
      </w:r>
      <w:r>
        <w:rPr>
          <w:rFonts w:hint="cs"/>
          <w:rtl/>
        </w:rPr>
        <w:t>דהא העד לא בא לעשות ריעותא בטענתו.</w:t>
      </w:r>
    </w:p>
    <w:p w:rsidR="000F5507" w:rsidRDefault="000F5507" w:rsidP="000F5507">
      <w:pPr>
        <w:pStyle w:val="1"/>
        <w:rPr>
          <w:rtl/>
        </w:rPr>
      </w:pPr>
      <w:bookmarkStart w:id="16372" w:name="_Toc65530014"/>
      <w:bookmarkStart w:id="16373" w:name="_Toc65713986"/>
      <w:bookmarkStart w:id="16374" w:name="_Toc65714839"/>
      <w:bookmarkStart w:id="16375" w:name="_Toc65605911"/>
      <w:bookmarkStart w:id="16376" w:name="_Toc65617157"/>
      <w:bookmarkStart w:id="16377" w:name="_Toc65666111"/>
      <w:bookmarkStart w:id="16378" w:name="_Toc65689780"/>
      <w:bookmarkStart w:id="16379" w:name="_Toc65703320"/>
      <w:r>
        <w:rPr>
          <w:rFonts w:hint="cs"/>
          <w:rtl/>
        </w:rPr>
        <w:t>ביאור התו"ח ברש"י וברשב"ם ובתוס' דהוא כגזלן נגד החזקה</w:t>
      </w:r>
      <w:bookmarkEnd w:id="16372"/>
      <w:bookmarkEnd w:id="16373"/>
      <w:bookmarkEnd w:id="16374"/>
    </w:p>
    <w:p w:rsidR="000F5507" w:rsidRDefault="000F5507" w:rsidP="000F5507">
      <w:pPr>
        <w:pStyle w:val="a3"/>
        <w:rPr>
          <w:rtl/>
        </w:rPr>
      </w:pPr>
      <w:bookmarkStart w:id="16380" w:name="_Toc65714840"/>
      <w:r>
        <w:rPr>
          <w:rFonts w:hint="cs"/>
          <w:rtl/>
        </w:rPr>
        <w:t>קושית התו"ח על רש"י והרשב"ם דכל שמודה ודאי אינו יכול להכחישו ואמאי צ"ל שהוא כגזלן</w:t>
      </w:r>
      <w:bookmarkEnd w:id="16380"/>
    </w:p>
    <w:p w:rsidR="000F5507" w:rsidRDefault="000F5507" w:rsidP="007E4E81">
      <w:pPr>
        <w:pStyle w:val="a0"/>
        <w:rPr>
          <w:rtl/>
        </w:rPr>
      </w:pPr>
      <w:bookmarkStart w:id="16381" w:name="_Ref65095550"/>
      <w:r>
        <w:rPr>
          <w:rFonts w:hint="cs"/>
          <w:rtl/>
        </w:rPr>
        <w:t xml:space="preserve">במ"ש </w:t>
      </w:r>
      <w:r w:rsidRPr="00323898">
        <w:rPr>
          <w:rStyle w:val="af9"/>
          <w:rFonts w:hint="cs"/>
          <w:rtl/>
        </w:rPr>
        <w:t>הרשב"ם</w:t>
      </w:r>
      <w:r>
        <w:rPr>
          <w:rFonts w:hint="cs"/>
          <w:rtl/>
        </w:rPr>
        <w:t xml:space="preserve"> </w:t>
      </w:r>
      <w:r w:rsidRPr="002D2E26">
        <w:rPr>
          <w:rStyle w:val="af7"/>
          <w:rFonts w:eastAsia="Guttman Hodes" w:hint="cs"/>
          <w:rtl/>
        </w:rPr>
        <w:t xml:space="preserve">(עי' אות </w:t>
      </w:r>
      <w:r w:rsidRPr="002D2E26">
        <w:rPr>
          <w:rStyle w:val="af7"/>
          <w:rFonts w:eastAsia="Guttman Hodes"/>
          <w:rtl/>
        </w:rPr>
        <w:fldChar w:fldCharType="begin"/>
      </w:r>
      <w:r w:rsidRPr="002D2E26">
        <w:rPr>
          <w:rStyle w:val="af7"/>
          <w:rFonts w:eastAsia="Guttman Hodes"/>
          <w:rtl/>
        </w:rPr>
        <w:instrText xml:space="preserve"> </w:instrText>
      </w:r>
      <w:r w:rsidRPr="002D2E26">
        <w:rPr>
          <w:rStyle w:val="af7"/>
          <w:rFonts w:eastAsia="Guttman Hodes" w:hint="cs"/>
        </w:rPr>
        <w:instrText>REF</w:instrText>
      </w:r>
      <w:r w:rsidRPr="002D2E26">
        <w:rPr>
          <w:rStyle w:val="af7"/>
          <w:rFonts w:eastAsia="Guttman Hodes" w:hint="cs"/>
          <w:rtl/>
        </w:rPr>
        <w:instrText xml:space="preserve"> _</w:instrText>
      </w:r>
      <w:r w:rsidRPr="002D2E26">
        <w:rPr>
          <w:rStyle w:val="af7"/>
          <w:rFonts w:eastAsia="Guttman Hodes" w:hint="cs"/>
        </w:rPr>
        <w:instrText>Ref65713723 \r \h</w:instrText>
      </w:r>
      <w:r w:rsidRPr="002D2E26">
        <w:rPr>
          <w:rStyle w:val="af7"/>
          <w:rFonts w:eastAsia="Guttman Hodes"/>
          <w:rtl/>
        </w:rPr>
        <w:instrText xml:space="preserve"> </w:instrText>
      </w:r>
      <w:r w:rsidRPr="002D2E26">
        <w:rPr>
          <w:rStyle w:val="af7"/>
          <w:rFonts w:eastAsia="Guttman Hodes"/>
          <w:rtl/>
        </w:rPr>
      </w:r>
      <w:r w:rsidRPr="002D2E26">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2D2E26">
        <w:rPr>
          <w:rStyle w:val="af7"/>
          <w:rFonts w:eastAsia="Guttman Hodes"/>
          <w:rtl/>
        </w:rPr>
        <w:fldChar w:fldCharType="end"/>
      </w:r>
      <w:r>
        <w:rPr>
          <w:rFonts w:hint="cs"/>
          <w:rtl/>
        </w:rPr>
        <w:t xml:space="preserve"> דלענין השבועה להכחיש את העד, החוטף פסול כגזלן לגבי שאר השבועות, וכן</w:t>
      </w:r>
      <w:r w:rsidRPr="00513C6F">
        <w:rPr>
          <w:rFonts w:hint="cs"/>
          <w:rtl/>
        </w:rPr>
        <w:t xml:space="preserve"> </w:t>
      </w:r>
      <w:r>
        <w:rPr>
          <w:rFonts w:hint="cs"/>
          <w:rtl/>
        </w:rPr>
        <w:t xml:space="preserve">ביאר </w:t>
      </w:r>
      <w:r w:rsidRPr="0079745A">
        <w:rPr>
          <w:rStyle w:val="af9"/>
          <w:rFonts w:hint="cs"/>
          <w:rtl/>
        </w:rPr>
        <w:t>רש"י בשבועות</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Ref65095506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Pr>
          <w:rStyle w:val="af7"/>
          <w:rFonts w:eastAsia="Guttman Hodes"/>
          <w:rtl/>
        </w:rPr>
        <w:fldChar w:fldCharType="end"/>
      </w:r>
      <w:r>
        <w:rPr>
          <w:rStyle w:val="af7"/>
          <w:rFonts w:eastAsia="Guttman Hodes" w:hint="cs"/>
          <w:rtl/>
        </w:rPr>
        <w:t xml:space="preserve"> </w:t>
      </w:r>
      <w:r>
        <w:rPr>
          <w:rFonts w:hint="cs"/>
          <w:rtl/>
        </w:rPr>
        <w:t xml:space="preserve">דא"א לחייבו את השבועה שהעד מחייבו, דכיון שאמר אין חטפי, א"כ הוא כגזלן, הקשה </w:t>
      </w:r>
      <w:r w:rsidRPr="00020355">
        <w:rPr>
          <w:rStyle w:val="af9"/>
          <w:rFonts w:hint="cs"/>
          <w:rtl/>
        </w:rPr>
        <w:t>התורת חיים</w:t>
      </w:r>
      <w:r>
        <w:rPr>
          <w:rFonts w:hint="cs"/>
          <w:rtl/>
        </w:rPr>
        <w:t xml:space="preserve"> </w:t>
      </w:r>
      <w:r w:rsidRPr="00020355">
        <w:rPr>
          <w:rStyle w:val="af7"/>
          <w:rFonts w:eastAsia="Guttman Hodes" w:hint="cs"/>
          <w:rtl/>
        </w:rPr>
        <w:t>(ד"ה וכיון)</w:t>
      </w:r>
      <w:r>
        <w:rPr>
          <w:rFonts w:hint="cs"/>
          <w:rtl/>
        </w:rPr>
        <w:t xml:space="preserve"> דלמה הוצרכה הגמ' לומר דאינו יכול להשבע כמו גזלן, הא בלא"ה אינו יכול להשבע שלא חטף, כיון שהוא מודה דחטף.</w:t>
      </w:r>
      <w:bookmarkEnd w:id="16381"/>
    </w:p>
    <w:p w:rsidR="000F5507" w:rsidRPr="00103A68" w:rsidRDefault="000F5507" w:rsidP="000F5507">
      <w:pPr>
        <w:pStyle w:val="a3"/>
        <w:rPr>
          <w:rtl/>
        </w:rPr>
      </w:pPr>
    </w:p>
    <w:p w:rsidR="000F5507" w:rsidRPr="002D2E26" w:rsidRDefault="000F5507" w:rsidP="000F5507">
      <w:pPr>
        <w:pStyle w:val="a3"/>
        <w:rPr>
          <w:rtl/>
        </w:rPr>
      </w:pPr>
      <w:bookmarkStart w:id="16382" w:name="_Toc65714841"/>
      <w:r>
        <w:rPr>
          <w:rFonts w:hint="cs"/>
          <w:rtl/>
        </w:rPr>
        <w:t>ביאור התו"ח ברש"י וברשב"ם ובתוס' דע"י חזקה דמה שתח"י יש ריעותא בשבועת דידי חטפי</w:t>
      </w:r>
      <w:bookmarkEnd w:id="16382"/>
    </w:p>
    <w:p w:rsidR="000F5507" w:rsidRDefault="000F5507" w:rsidP="007E4E81">
      <w:pPr>
        <w:pStyle w:val="a0"/>
        <w:rPr>
          <w:rtl/>
        </w:rPr>
      </w:pPr>
      <w:bookmarkStart w:id="16383" w:name="_Ref65714315"/>
      <w:r>
        <w:rPr>
          <w:rFonts w:hint="cs"/>
          <w:rtl/>
        </w:rPr>
        <w:t xml:space="preserve">וביאר </w:t>
      </w:r>
      <w:r w:rsidRPr="00020355">
        <w:rPr>
          <w:rStyle w:val="af9"/>
          <w:rFonts w:hint="cs"/>
          <w:rtl/>
        </w:rPr>
        <w:t>התורת</w:t>
      </w:r>
      <w:r>
        <w:rPr>
          <w:rFonts w:hint="cs"/>
          <w:rtl/>
        </w:rPr>
        <w:t xml:space="preserve"> </w:t>
      </w:r>
      <w:r w:rsidRPr="00020355">
        <w:rPr>
          <w:rStyle w:val="af9"/>
          <w:rFonts w:hint="cs"/>
          <w:rtl/>
        </w:rPr>
        <w:t>חיים</w:t>
      </w:r>
      <w:r>
        <w:rPr>
          <w:rFonts w:hint="cs"/>
          <w:rtl/>
        </w:rPr>
        <w:t xml:space="preserve"> דכוונת </w:t>
      </w:r>
      <w:r w:rsidRPr="00020355">
        <w:rPr>
          <w:rStyle w:val="af9"/>
          <w:rFonts w:hint="cs"/>
          <w:rtl/>
        </w:rPr>
        <w:t>רש"י בשבועות והרשב"ם</w:t>
      </w:r>
      <w:r>
        <w:rPr>
          <w:rFonts w:hint="cs"/>
          <w:rtl/>
        </w:rPr>
        <w:t xml:space="preserve"> לומר דא"א להאמינו בשבועת דידי חטפי, כמו שגזלן אינו נאמן כיון שיש ריעותא בטענתו, אף הכא יש ריעותא במה שטוען אין חטפי ודידי חטפי, דהא הנסכא היא בחזקת מי שהייתה בידו, דחזקה מה שתח"י שלו הוא, וכתב </w:t>
      </w:r>
      <w:r w:rsidRPr="00020355">
        <w:rPr>
          <w:rStyle w:val="af9"/>
          <w:rFonts w:hint="cs"/>
          <w:rtl/>
        </w:rPr>
        <w:t>התורת</w:t>
      </w:r>
      <w:r>
        <w:rPr>
          <w:rFonts w:hint="cs"/>
          <w:rtl/>
        </w:rPr>
        <w:t xml:space="preserve"> </w:t>
      </w:r>
      <w:r w:rsidRPr="00020355">
        <w:rPr>
          <w:rStyle w:val="af9"/>
          <w:rFonts w:hint="cs"/>
          <w:rtl/>
        </w:rPr>
        <w:t>חיים</w:t>
      </w:r>
      <w:r>
        <w:rPr>
          <w:rFonts w:hint="cs"/>
          <w:rtl/>
        </w:rPr>
        <w:t xml:space="preserve"> דכן מבואר בדברי </w:t>
      </w:r>
      <w:r w:rsidRPr="00F64465">
        <w:rPr>
          <w:rStyle w:val="af9"/>
          <w:rFonts w:hint="cs"/>
          <w:rtl/>
        </w:rPr>
        <w:t>התוס' בשבועות</w:t>
      </w:r>
      <w:r w:rsidRPr="00F64465">
        <w:rPr>
          <w:rStyle w:val="af7"/>
          <w:rFonts w:eastAsia="Guttman Hodes" w:hint="cs"/>
          <w:rtl/>
        </w:rPr>
        <w:t xml:space="preserve"> (עי' אות </w:t>
      </w:r>
      <w:r w:rsidRPr="00F64465">
        <w:rPr>
          <w:rStyle w:val="af7"/>
          <w:rFonts w:eastAsia="Guttman Hodes"/>
          <w:rtl/>
        </w:rPr>
        <w:fldChar w:fldCharType="begin"/>
      </w:r>
      <w:r w:rsidRPr="00F64465">
        <w:rPr>
          <w:rStyle w:val="af7"/>
          <w:rFonts w:eastAsia="Guttman Hodes"/>
          <w:rtl/>
        </w:rPr>
        <w:instrText xml:space="preserve"> </w:instrText>
      </w:r>
      <w:r w:rsidRPr="00F64465">
        <w:rPr>
          <w:rStyle w:val="af7"/>
          <w:rFonts w:eastAsia="Guttman Hodes" w:hint="cs"/>
        </w:rPr>
        <w:instrText>REF</w:instrText>
      </w:r>
      <w:r w:rsidRPr="00F64465">
        <w:rPr>
          <w:rStyle w:val="af7"/>
          <w:rFonts w:eastAsia="Guttman Hodes" w:hint="cs"/>
          <w:rtl/>
        </w:rPr>
        <w:instrText xml:space="preserve"> _</w:instrText>
      </w:r>
      <w:r w:rsidRPr="00F64465">
        <w:rPr>
          <w:rStyle w:val="af7"/>
          <w:rFonts w:eastAsia="Guttman Hodes" w:hint="cs"/>
        </w:rPr>
        <w:instrText>Ref64998749 \r \h</w:instrText>
      </w:r>
      <w:r w:rsidRPr="00F64465">
        <w:rPr>
          <w:rStyle w:val="af7"/>
          <w:rFonts w:eastAsia="Guttman Hodes"/>
          <w:rtl/>
        </w:rPr>
        <w:instrText xml:space="preserve"> </w:instrText>
      </w:r>
      <w:r w:rsidRPr="00F64465">
        <w:rPr>
          <w:rStyle w:val="af7"/>
          <w:rFonts w:eastAsia="Guttman Hodes"/>
          <w:rtl/>
        </w:rPr>
      </w:r>
      <w:r w:rsidRPr="00F64465">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F64465">
        <w:rPr>
          <w:rStyle w:val="af7"/>
          <w:rFonts w:eastAsia="Guttman Hodes"/>
          <w:rtl/>
        </w:rPr>
        <w:fldChar w:fldCharType="end"/>
      </w:r>
      <w:r>
        <w:rPr>
          <w:rFonts w:hint="cs"/>
          <w:rtl/>
        </w:rPr>
        <w:t xml:space="preserve"> דכתבו</w:t>
      </w:r>
      <w:r w:rsidRPr="00552C8B">
        <w:rPr>
          <w:rFonts w:hint="cs"/>
          <w:rtl/>
        </w:rPr>
        <w:t xml:space="preserve"> </w:t>
      </w:r>
      <w:r>
        <w:rPr>
          <w:rFonts w:hint="cs"/>
          <w:rtl/>
        </w:rPr>
        <w:t>דהחוטף אינו יכול להשבע דהוא נחשב כגזלן, כיון דמחזיקין כל דבר בחזקת מי שהוא נמצא בידו.</w:t>
      </w:r>
      <w:bookmarkEnd w:id="16383"/>
    </w:p>
    <w:p w:rsidR="000F5507" w:rsidRDefault="000F5507" w:rsidP="000F5507">
      <w:pPr>
        <w:pStyle w:val="a3"/>
        <w:rPr>
          <w:rtl/>
        </w:rPr>
      </w:pPr>
      <w:bookmarkStart w:id="16384" w:name="_Toc65714842"/>
      <w:r>
        <w:rPr>
          <w:rFonts w:hint="cs"/>
          <w:rtl/>
        </w:rPr>
        <w:t>בי' התו"ח ברש"י וברשב"ם דע"א משביע להכחישו ובלא נאמן כגזלן א"י לישבע דדידי חטפי</w:t>
      </w:r>
      <w:bookmarkEnd w:id="16384"/>
    </w:p>
    <w:p w:rsidR="000F5507" w:rsidRPr="00301021" w:rsidRDefault="000F5507" w:rsidP="007E4E81">
      <w:pPr>
        <w:pStyle w:val="a0"/>
        <w:rPr>
          <w:rtl/>
        </w:rPr>
      </w:pPr>
      <w:r>
        <w:rPr>
          <w:rFonts w:hint="cs"/>
          <w:rtl/>
        </w:rPr>
        <w:t>ובמ"ש</w:t>
      </w:r>
      <w:r w:rsidRPr="001D0CDC">
        <w:rPr>
          <w:rStyle w:val="af9"/>
          <w:rFonts w:hint="cs"/>
          <w:rtl/>
        </w:rPr>
        <w:t xml:space="preserve"> </w:t>
      </w:r>
      <w:r w:rsidRPr="00323898">
        <w:rPr>
          <w:rStyle w:val="af9"/>
          <w:rFonts w:hint="cs"/>
          <w:rtl/>
        </w:rPr>
        <w:t>הרשב"ם</w:t>
      </w:r>
      <w:r>
        <w:rPr>
          <w:rFonts w:hint="cs"/>
          <w:rtl/>
        </w:rPr>
        <w:t xml:space="preserve"> </w:t>
      </w:r>
      <w:r w:rsidRPr="008E14FD">
        <w:rPr>
          <w:rStyle w:val="af7"/>
          <w:rFonts w:eastAsia="Guttman Hodes" w:hint="cs"/>
          <w:rtl/>
        </w:rPr>
        <w:t xml:space="preserve">(עי' אות </w:t>
      </w:r>
      <w:r w:rsidRPr="008E14FD">
        <w:rPr>
          <w:rStyle w:val="af7"/>
          <w:rFonts w:eastAsia="Guttman Hodes"/>
          <w:rtl/>
        </w:rPr>
        <w:fldChar w:fldCharType="begin"/>
      </w:r>
      <w:r w:rsidRPr="008E14FD">
        <w:rPr>
          <w:rStyle w:val="af7"/>
          <w:rFonts w:eastAsia="Guttman Hodes"/>
          <w:rtl/>
        </w:rPr>
        <w:instrText xml:space="preserve"> </w:instrText>
      </w:r>
      <w:r w:rsidRPr="008E14FD">
        <w:rPr>
          <w:rStyle w:val="af7"/>
          <w:rFonts w:eastAsia="Guttman Hodes" w:hint="cs"/>
        </w:rPr>
        <w:instrText>REF</w:instrText>
      </w:r>
      <w:r w:rsidRPr="008E14FD">
        <w:rPr>
          <w:rStyle w:val="af7"/>
          <w:rFonts w:eastAsia="Guttman Hodes" w:hint="cs"/>
          <w:rtl/>
        </w:rPr>
        <w:instrText xml:space="preserve"> _</w:instrText>
      </w:r>
      <w:r w:rsidRPr="008E14FD">
        <w:rPr>
          <w:rStyle w:val="af7"/>
          <w:rFonts w:eastAsia="Guttman Hodes" w:hint="cs"/>
        </w:rPr>
        <w:instrText>Ref65714360 \r \h</w:instrText>
      </w:r>
      <w:r w:rsidRPr="008E14FD">
        <w:rPr>
          <w:rStyle w:val="af7"/>
          <w:rFonts w:eastAsia="Guttman Hodes"/>
          <w:rtl/>
        </w:rPr>
        <w:instrText xml:space="preserve"> </w:instrText>
      </w:r>
      <w:r w:rsidRPr="008E14FD">
        <w:rPr>
          <w:rStyle w:val="af7"/>
          <w:rFonts w:eastAsia="Guttman Hodes"/>
          <w:rtl/>
        </w:rPr>
      </w:r>
      <w:r w:rsidRPr="008E14FD">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8E14FD">
        <w:rPr>
          <w:rStyle w:val="af7"/>
          <w:rFonts w:eastAsia="Guttman Hodes"/>
          <w:rtl/>
        </w:rPr>
        <w:fldChar w:fldCharType="end"/>
      </w:r>
      <w:r>
        <w:rPr>
          <w:rFonts w:hint="cs"/>
          <w:rtl/>
        </w:rPr>
        <w:t xml:space="preserve"> דהא אינו יכול להשבע שחטף את שלו, כיון שהשבועה הזו לא מוטלת עליו, וא"א לפוטרו בלא כלום, כיון שיש ריעותא במיגו, וכן מ"ש </w:t>
      </w:r>
      <w:r w:rsidRPr="0079745A">
        <w:rPr>
          <w:rStyle w:val="af9"/>
          <w:rFonts w:hint="cs"/>
          <w:rtl/>
        </w:rPr>
        <w:t>רש"י בשבועות</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Ref65714397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Pr>
          <w:rStyle w:val="af7"/>
          <w:rFonts w:eastAsia="Guttman Hodes"/>
          <w:rtl/>
        </w:rPr>
        <w:fldChar w:fldCharType="end"/>
      </w:r>
      <w:r>
        <w:rPr>
          <w:rFonts w:hint="cs"/>
          <w:rtl/>
        </w:rPr>
        <w:t xml:space="preserve"> דא"א לחייבו את השבועה שהעד מחייבו, כיון שחיוב השבועה הוא להכחיש את הע"א, והחוטף אינו יכול להשבע להכחיש את הע"א, כתב </w:t>
      </w:r>
      <w:r w:rsidRPr="00020355">
        <w:rPr>
          <w:rStyle w:val="af9"/>
          <w:rFonts w:hint="cs"/>
          <w:rtl/>
        </w:rPr>
        <w:t>התורת</w:t>
      </w:r>
      <w:r>
        <w:rPr>
          <w:rFonts w:hint="cs"/>
          <w:rtl/>
        </w:rPr>
        <w:t xml:space="preserve"> </w:t>
      </w:r>
      <w:r w:rsidRPr="00020355">
        <w:rPr>
          <w:rStyle w:val="af9"/>
          <w:rFonts w:hint="cs"/>
          <w:rtl/>
        </w:rPr>
        <w:t>חיים</w:t>
      </w:r>
      <w:r>
        <w:rPr>
          <w:rFonts w:hint="cs"/>
          <w:rtl/>
        </w:rPr>
        <w:t xml:space="preserve"> דכוונתם לומר דילפינן דע"א קם לשבועה, היינו להכחישו, או לפטור את עצמו בטענה, ולכן במקום שאינו נאמן כגזלן, א"א להשביעו על טענתו דדידיה חטף.</w:t>
      </w:r>
    </w:p>
    <w:p w:rsidR="000F5507" w:rsidRDefault="000F5507" w:rsidP="000F5507">
      <w:pPr>
        <w:pStyle w:val="1"/>
        <w:rPr>
          <w:rtl/>
        </w:rPr>
      </w:pPr>
      <w:bookmarkStart w:id="16385" w:name="_Toc65713987"/>
      <w:bookmarkStart w:id="16386" w:name="_Toc65714843"/>
      <w:r>
        <w:rPr>
          <w:rFonts w:hint="cs"/>
          <w:rtl/>
        </w:rPr>
        <w:t xml:space="preserve">ביאור </w:t>
      </w:r>
      <w:bookmarkEnd w:id="16371"/>
      <w:bookmarkEnd w:id="16375"/>
      <w:r>
        <w:rPr>
          <w:rFonts w:hint="cs"/>
          <w:rtl/>
        </w:rPr>
        <w:t>רגמ"ה דהע"א מרע טענתו כגזלן לשבועת דידי חטפי</w:t>
      </w:r>
      <w:bookmarkEnd w:id="16376"/>
      <w:bookmarkEnd w:id="16377"/>
      <w:bookmarkEnd w:id="16378"/>
      <w:bookmarkEnd w:id="16379"/>
      <w:bookmarkEnd w:id="16385"/>
      <w:bookmarkEnd w:id="16386"/>
    </w:p>
    <w:p w:rsidR="000F5507" w:rsidRPr="00D13DDC" w:rsidRDefault="000F5507" w:rsidP="000F5507">
      <w:pPr>
        <w:pStyle w:val="a3"/>
      </w:pPr>
      <w:bookmarkStart w:id="16387" w:name="_Toc65617158"/>
      <w:bookmarkStart w:id="16388" w:name="_Toc65666112"/>
      <w:bookmarkStart w:id="16389" w:name="_Toc65689781"/>
      <w:bookmarkStart w:id="16390" w:name="_Toc65703321"/>
      <w:bookmarkStart w:id="16391" w:name="_Toc65713988"/>
      <w:bookmarkStart w:id="16392" w:name="_Toc65714844"/>
      <w:r w:rsidRPr="00D13DDC">
        <w:rPr>
          <w:rFonts w:hint="cs"/>
          <w:rtl/>
        </w:rPr>
        <w:t>דברי רבינו גרשום דבטענת דידי חטפי אינו יכול להשבע דכיון שהודה שחטף הוא כגזלן</w:t>
      </w:r>
      <w:bookmarkEnd w:id="16387"/>
      <w:bookmarkEnd w:id="16388"/>
      <w:bookmarkEnd w:id="16389"/>
      <w:bookmarkEnd w:id="16390"/>
      <w:bookmarkEnd w:id="16391"/>
      <w:bookmarkEnd w:id="16392"/>
    </w:p>
    <w:p w:rsidR="000F5507" w:rsidRDefault="000F5507" w:rsidP="007E4E81">
      <w:pPr>
        <w:pStyle w:val="a0"/>
        <w:rPr>
          <w:rtl/>
        </w:rPr>
      </w:pPr>
      <w:bookmarkStart w:id="16393" w:name="_Ref65702759"/>
      <w:r>
        <w:rPr>
          <w:rFonts w:hint="cs"/>
          <w:rtl/>
        </w:rPr>
        <w:t xml:space="preserve">בהא דאמרינן דאינו יכול להשבע שהוא כגזלן, ביאר </w:t>
      </w:r>
      <w:r w:rsidRPr="00F916CD">
        <w:rPr>
          <w:rStyle w:val="af9"/>
          <w:rFonts w:hint="cs"/>
          <w:rtl/>
        </w:rPr>
        <w:t>רבינו גרשום</w:t>
      </w:r>
      <w:r>
        <w:rPr>
          <w:rFonts w:hint="cs"/>
          <w:rtl/>
        </w:rPr>
        <w:t xml:space="preserve"> </w:t>
      </w:r>
      <w:r w:rsidRPr="00F916CD">
        <w:rPr>
          <w:rStyle w:val="af7"/>
          <w:rFonts w:eastAsia="Guttman Hodes" w:hint="cs"/>
          <w:rtl/>
        </w:rPr>
        <w:t>(</w:t>
      </w:r>
      <w:r>
        <w:rPr>
          <w:rStyle w:val="af7"/>
          <w:rFonts w:eastAsia="Guttman Hodes" w:hint="cs"/>
          <w:rtl/>
        </w:rPr>
        <w:t>ד"ה לישתבע)</w:t>
      </w:r>
      <w:r w:rsidRPr="00C92FB1">
        <w:rPr>
          <w:rFonts w:hint="cs"/>
          <w:rtl/>
        </w:rPr>
        <w:t xml:space="preserve"> </w:t>
      </w:r>
      <w:r>
        <w:rPr>
          <w:rFonts w:hint="cs"/>
          <w:rtl/>
        </w:rPr>
        <w:t>דאינו יכול להשבע בטענת דידי חטפי, כיון שיש רק ע"א ואינו יכול להשבע, דהוא מודה שחטף והו"ל כגזלן</w:t>
      </w:r>
      <w:r w:rsidRPr="00537BCA">
        <w:rPr>
          <w:rFonts w:hint="cs"/>
          <w:rtl/>
        </w:rPr>
        <w:t xml:space="preserve"> </w:t>
      </w:r>
      <w:r>
        <w:rPr>
          <w:rFonts w:hint="cs"/>
          <w:rtl/>
        </w:rPr>
        <w:t xml:space="preserve">ועי' במה שביאר </w:t>
      </w:r>
      <w:r w:rsidRPr="00F916CD">
        <w:rPr>
          <w:rStyle w:val="af9"/>
          <w:rFonts w:hint="cs"/>
          <w:rtl/>
        </w:rPr>
        <w:t>בחי' רבי נחום</w:t>
      </w:r>
      <w:r>
        <w:rPr>
          <w:rFonts w:hint="cs"/>
          <w:rtl/>
        </w:rPr>
        <w:t xml:space="preserve"> </w:t>
      </w:r>
      <w:r w:rsidRPr="00537BCA">
        <w:rPr>
          <w:rStyle w:val="af7"/>
          <w:rFonts w:eastAsia="Guttman Hodes" w:hint="cs"/>
          <w:rtl/>
        </w:rPr>
        <w:t xml:space="preserve">(עי' אות </w:t>
      </w:r>
      <w:r w:rsidRPr="00537BCA">
        <w:rPr>
          <w:rStyle w:val="af7"/>
          <w:rFonts w:eastAsia="Guttman Hodes"/>
          <w:rtl/>
        </w:rPr>
        <w:fldChar w:fldCharType="begin"/>
      </w:r>
      <w:r w:rsidRPr="00537BCA">
        <w:rPr>
          <w:rStyle w:val="af7"/>
          <w:rFonts w:eastAsia="Guttman Hodes"/>
          <w:rtl/>
        </w:rPr>
        <w:instrText xml:space="preserve"> </w:instrText>
      </w:r>
      <w:r w:rsidRPr="00537BCA">
        <w:rPr>
          <w:rStyle w:val="af7"/>
          <w:rFonts w:eastAsia="Guttman Hodes" w:hint="cs"/>
        </w:rPr>
        <w:instrText>REF</w:instrText>
      </w:r>
      <w:r w:rsidRPr="00537BCA">
        <w:rPr>
          <w:rStyle w:val="af7"/>
          <w:rFonts w:eastAsia="Guttman Hodes" w:hint="cs"/>
          <w:rtl/>
        </w:rPr>
        <w:instrText xml:space="preserve"> _</w:instrText>
      </w:r>
      <w:r w:rsidRPr="00537BCA">
        <w:rPr>
          <w:rStyle w:val="af7"/>
          <w:rFonts w:eastAsia="Guttman Hodes" w:hint="cs"/>
        </w:rPr>
        <w:instrText>Ref65702806 \r \h</w:instrText>
      </w:r>
      <w:r w:rsidRPr="00537BCA">
        <w:rPr>
          <w:rStyle w:val="af7"/>
          <w:rFonts w:eastAsia="Guttman Hodes"/>
          <w:rtl/>
        </w:rPr>
        <w:instrText xml:space="preserve"> </w:instrText>
      </w:r>
      <w:r w:rsidRPr="00537BCA">
        <w:rPr>
          <w:rStyle w:val="af7"/>
          <w:rFonts w:eastAsia="Guttman Hodes"/>
          <w:rtl/>
        </w:rPr>
      </w:r>
      <w:r w:rsidRPr="00537BCA">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537BCA">
        <w:rPr>
          <w:rStyle w:val="af7"/>
          <w:rFonts w:eastAsia="Guttman Hodes"/>
          <w:rtl/>
        </w:rPr>
        <w:fldChar w:fldCharType="end"/>
      </w:r>
      <w:r>
        <w:rPr>
          <w:rFonts w:hint="cs"/>
          <w:rtl/>
        </w:rPr>
        <w:t xml:space="preserve"> בדברי </w:t>
      </w:r>
      <w:r w:rsidRPr="00F916CD">
        <w:rPr>
          <w:rStyle w:val="af9"/>
          <w:rFonts w:hint="cs"/>
          <w:rtl/>
        </w:rPr>
        <w:t>רבינו גרשום</w:t>
      </w:r>
      <w:r>
        <w:rPr>
          <w:rFonts w:hint="cs"/>
          <w:rtl/>
        </w:rPr>
        <w:t>.</w:t>
      </w:r>
      <w:bookmarkEnd w:id="16393"/>
    </w:p>
    <w:p w:rsidR="000F5507" w:rsidRPr="00D13DDC" w:rsidRDefault="000F5507" w:rsidP="000F5507">
      <w:pPr>
        <w:pStyle w:val="a3"/>
        <w:rPr>
          <w:rtl/>
        </w:rPr>
      </w:pPr>
      <w:bookmarkStart w:id="16394" w:name="_Toc65617159"/>
      <w:bookmarkStart w:id="16395" w:name="_Toc65666113"/>
      <w:bookmarkStart w:id="16396" w:name="_Toc65689782"/>
      <w:bookmarkStart w:id="16397" w:name="_Toc65703322"/>
      <w:bookmarkStart w:id="16398" w:name="_Toc65713989"/>
      <w:bookmarkStart w:id="16399" w:name="_Toc65714845"/>
      <w:r w:rsidRPr="00D13DDC">
        <w:rPr>
          <w:rFonts w:hint="cs"/>
          <w:rtl/>
        </w:rPr>
        <w:t>דברי רבינו גרשום דבטענת דידי חטפי אינו יכול להשבע דהע"א מרע טענתו וחשיב כגזלן</w:t>
      </w:r>
      <w:bookmarkEnd w:id="16394"/>
      <w:bookmarkEnd w:id="16395"/>
      <w:bookmarkEnd w:id="16396"/>
      <w:bookmarkEnd w:id="16397"/>
      <w:bookmarkEnd w:id="16398"/>
      <w:bookmarkEnd w:id="16399"/>
    </w:p>
    <w:p w:rsidR="000F5507" w:rsidRPr="00F916CD" w:rsidRDefault="000F5507" w:rsidP="007E4E81">
      <w:pPr>
        <w:pStyle w:val="a0"/>
        <w:rPr>
          <w:rtl/>
        </w:rPr>
      </w:pPr>
      <w:r>
        <w:rPr>
          <w:rFonts w:hint="cs"/>
          <w:rtl/>
        </w:rPr>
        <w:t xml:space="preserve">והוסיף </w:t>
      </w:r>
      <w:r w:rsidRPr="00F916CD">
        <w:rPr>
          <w:rStyle w:val="af9"/>
          <w:rFonts w:hint="cs"/>
          <w:rtl/>
        </w:rPr>
        <w:t>רבינו גרשום</w:t>
      </w:r>
      <w:r>
        <w:rPr>
          <w:rFonts w:hint="cs"/>
          <w:rtl/>
        </w:rPr>
        <w:t xml:space="preserve"> </w:t>
      </w:r>
      <w:r w:rsidRPr="00F916CD">
        <w:rPr>
          <w:rStyle w:val="af7"/>
          <w:rFonts w:eastAsia="Guttman Hodes" w:hint="cs"/>
          <w:rtl/>
        </w:rPr>
        <w:t>(סוד"ה אלא)</w:t>
      </w:r>
      <w:r>
        <w:rPr>
          <w:rFonts w:hint="cs"/>
          <w:rtl/>
        </w:rPr>
        <w:t xml:space="preserve"> לבאר דבטוען אין חטפי ודידי חטפי אינו יכול להשבע כגזלן, הוא כיון שהע"א מרע את טענת הנתבע ומכחישו, ולכן הוא מחשיבו כגזלן, וכיון שאינו יכול להשבע צריך להחזיר, ועי' במה שהקשה </w:t>
      </w:r>
      <w:r w:rsidRPr="0063507F">
        <w:rPr>
          <w:rStyle w:val="af9"/>
          <w:rFonts w:hint="cs"/>
          <w:rtl/>
        </w:rPr>
        <w:t>בחי' רבי נחום</w:t>
      </w:r>
      <w:r>
        <w:rPr>
          <w:rFonts w:hint="cs"/>
          <w:rtl/>
        </w:rPr>
        <w:t xml:space="preserve"> </w:t>
      </w:r>
      <w:r w:rsidRPr="0063507F">
        <w:rPr>
          <w:rStyle w:val="af7"/>
          <w:rFonts w:eastAsia="Guttman Hodes" w:hint="cs"/>
          <w:rtl/>
        </w:rPr>
        <w:t>(או' קצ"ו ד"ה וכעי"ז)</w:t>
      </w:r>
      <w:r>
        <w:rPr>
          <w:rFonts w:hint="cs"/>
          <w:rtl/>
        </w:rPr>
        <w:t xml:space="preserve"> על דברי </w:t>
      </w:r>
      <w:r w:rsidRPr="00F916CD">
        <w:rPr>
          <w:rStyle w:val="af9"/>
          <w:rFonts w:hint="cs"/>
          <w:rtl/>
        </w:rPr>
        <w:t>רבינו גרשום</w:t>
      </w:r>
      <w:r>
        <w:rPr>
          <w:rFonts w:hint="cs"/>
          <w:rtl/>
        </w:rPr>
        <w:t>.</w:t>
      </w:r>
    </w:p>
    <w:p w:rsidR="000F5507" w:rsidRDefault="000F5507" w:rsidP="000F5507">
      <w:pPr>
        <w:pStyle w:val="afe"/>
      </w:pPr>
      <w:bookmarkStart w:id="16400" w:name="_Toc65617184"/>
      <w:bookmarkStart w:id="16401" w:name="_Toc65666137"/>
      <w:bookmarkStart w:id="16402" w:name="_Toc65689783"/>
      <w:bookmarkStart w:id="16403" w:name="_Toc65703323"/>
      <w:bookmarkStart w:id="16404" w:name="_Toc65713990"/>
      <w:bookmarkStart w:id="16405" w:name="_Toc65714846"/>
      <w:bookmarkStart w:id="16406" w:name="_Toc64925389"/>
      <w:bookmarkStart w:id="16407" w:name="_Toc65141943"/>
      <w:bookmarkStart w:id="16408" w:name="_Toc65185636"/>
      <w:bookmarkStart w:id="16409" w:name="_Toc65529976"/>
      <w:bookmarkStart w:id="16410" w:name="_Toc65604025"/>
      <w:bookmarkStart w:id="16411" w:name="_Toc65605915"/>
      <w:bookmarkStart w:id="16412" w:name="_Toc65617171"/>
      <w:bookmarkStart w:id="16413" w:name="_Toc65666125"/>
      <w:r>
        <w:rPr>
          <w:rFonts w:hint="cs"/>
          <w:rtl/>
        </w:rPr>
        <w:t>בי' התוס'</w:t>
      </w:r>
      <w:bookmarkEnd w:id="16400"/>
      <w:bookmarkEnd w:id="16401"/>
      <w:r>
        <w:rPr>
          <w:rFonts w:hint="cs"/>
          <w:rtl/>
        </w:rPr>
        <w:t xml:space="preserve"> דהמוציא מהמוחזק תח"י כגזלן</w:t>
      </w:r>
      <w:bookmarkEnd w:id="16402"/>
      <w:bookmarkEnd w:id="16403"/>
      <w:bookmarkEnd w:id="16404"/>
      <w:bookmarkEnd w:id="16405"/>
    </w:p>
    <w:p w:rsidR="000F5507" w:rsidRDefault="000F5507" w:rsidP="000F5507">
      <w:pPr>
        <w:pStyle w:val="1"/>
        <w:rPr>
          <w:rtl/>
        </w:rPr>
      </w:pPr>
      <w:bookmarkStart w:id="16414" w:name="_Toc65666138"/>
      <w:bookmarkStart w:id="16415" w:name="_Toc65689784"/>
      <w:bookmarkStart w:id="16416" w:name="_Toc65703324"/>
      <w:bookmarkStart w:id="16417" w:name="_Toc65713991"/>
      <w:bookmarkStart w:id="16418" w:name="_Toc65714847"/>
      <w:bookmarkStart w:id="16419" w:name="_Toc64925393"/>
      <w:r>
        <w:rPr>
          <w:rFonts w:hint="cs"/>
          <w:rtl/>
        </w:rPr>
        <w:t>דברי התוס' בשבועות ולקמן דהוציא מהמוחזק וחשיב כגזלן</w:t>
      </w:r>
      <w:bookmarkEnd w:id="16414"/>
      <w:bookmarkEnd w:id="16415"/>
      <w:bookmarkEnd w:id="16416"/>
      <w:bookmarkEnd w:id="16417"/>
      <w:bookmarkEnd w:id="16418"/>
    </w:p>
    <w:p w:rsidR="000F5507" w:rsidRPr="00D13DDC" w:rsidRDefault="000F5507" w:rsidP="000F5507">
      <w:pPr>
        <w:pStyle w:val="a3"/>
        <w:rPr>
          <w:rtl/>
        </w:rPr>
      </w:pPr>
      <w:bookmarkStart w:id="16420" w:name="_Toc65689785"/>
      <w:bookmarkStart w:id="16421" w:name="_Toc65703325"/>
      <w:bookmarkStart w:id="16422" w:name="_Toc65713992"/>
      <w:bookmarkStart w:id="16423" w:name="_Toc65714848"/>
      <w:r>
        <w:rPr>
          <w:rFonts w:hint="cs"/>
          <w:rtl/>
        </w:rPr>
        <w:t>דברי התוס' בשבועות דבהודה שחטף מהמוחזק שהיא תח"י חשיב כגזלן דהא בב' עדים לא נאמן</w:t>
      </w:r>
      <w:bookmarkEnd w:id="16420"/>
      <w:bookmarkEnd w:id="16421"/>
      <w:bookmarkEnd w:id="16422"/>
      <w:bookmarkEnd w:id="16423"/>
    </w:p>
    <w:p w:rsidR="000F5507" w:rsidRDefault="000F5507" w:rsidP="007E4E81">
      <w:pPr>
        <w:pStyle w:val="a0"/>
      </w:pPr>
      <w:bookmarkStart w:id="16424" w:name="_Ref64998749"/>
      <w:r>
        <w:rPr>
          <w:rFonts w:hint="cs"/>
          <w:rtl/>
        </w:rPr>
        <w:t xml:space="preserve">כתבו </w:t>
      </w:r>
      <w:r>
        <w:rPr>
          <w:rStyle w:val="af9"/>
          <w:rtl/>
        </w:rPr>
        <w:t>התוס' בשבועות</w:t>
      </w:r>
      <w:r>
        <w:rPr>
          <w:rFonts w:hint="cs"/>
          <w:rtl/>
        </w:rPr>
        <w:t xml:space="preserve"> </w:t>
      </w:r>
      <w:r>
        <w:rPr>
          <w:rStyle w:val="af7"/>
          <w:rFonts w:eastAsia="Guttman Hodes" w:hint="cs"/>
          <w:rtl/>
        </w:rPr>
        <w:t xml:space="preserve">(לב: ד"ה הוה) </w:t>
      </w:r>
      <w:r>
        <w:rPr>
          <w:rFonts w:hint="cs"/>
          <w:rtl/>
        </w:rPr>
        <w:t xml:space="preserve">דהא דאמרינן דהחוטף אינו יכול להשבע דהו"ל כגזלן, </w:t>
      </w:r>
      <w:r>
        <w:rPr>
          <w:rStyle w:val="afb"/>
          <w:rtl/>
        </w:rPr>
        <w:t xml:space="preserve">[והיינו </w:t>
      </w:r>
      <w:r>
        <w:rPr>
          <w:rStyle w:val="afb"/>
          <w:rFonts w:hint="cs"/>
          <w:rtl/>
        </w:rPr>
        <w:t>כגי' הנוסחאות שהביאו</w:t>
      </w:r>
      <w:r w:rsidRPr="00466489">
        <w:rPr>
          <w:rStyle w:val="afb"/>
          <w:rFonts w:hint="cs"/>
          <w:rtl/>
        </w:rPr>
        <w:t xml:space="preserve"> </w:t>
      </w:r>
      <w:r w:rsidRPr="002F7C87">
        <w:rPr>
          <w:rStyle w:val="affa"/>
          <w:rFonts w:hint="cs"/>
          <w:rtl/>
        </w:rPr>
        <w:t xml:space="preserve">ר"ח </w:t>
      </w:r>
      <w:r>
        <w:rPr>
          <w:rStyle w:val="affa"/>
          <w:rtl/>
        </w:rPr>
        <w:t>והראשונים</w:t>
      </w:r>
      <w:r>
        <w:rPr>
          <w:rStyle w:val="afb"/>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Ref65690180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מט)</w:t>
      </w:r>
      <w:r>
        <w:rPr>
          <w:rStyle w:val="aff6"/>
          <w:rtl/>
        </w:rPr>
        <w:fldChar w:fldCharType="end"/>
      </w:r>
      <w:r>
        <w:rPr>
          <w:rStyle w:val="afb"/>
          <w:rtl/>
        </w:rPr>
        <w:t xml:space="preserve"> דלישתבע הו"ל כגזלן],</w:t>
      </w:r>
      <w:r>
        <w:rPr>
          <w:rFonts w:hint="cs"/>
          <w:rtl/>
        </w:rPr>
        <w:t xml:space="preserve"> היינו דהוא נחשב כגזלן כיון דמחזיקין כל דבר בחזקת מי שהוא נמצא בידו, ואם היו ב' עדים שחטף ממנו, לא היה נאמן לטעון דידי חטפי, וה"ה הכא שהוא מודה שחטף דחשיב כגזלן, ועי' במה שביארו </w:t>
      </w:r>
      <w:r w:rsidRPr="00F64465">
        <w:rPr>
          <w:rStyle w:val="af9"/>
          <w:rFonts w:hint="cs"/>
          <w:rtl/>
        </w:rPr>
        <w:t>התורת חיים</w:t>
      </w:r>
      <w:r>
        <w:rPr>
          <w:rFonts w:hint="cs"/>
          <w:rtl/>
        </w:rPr>
        <w:t xml:space="preserve"> </w:t>
      </w:r>
      <w:r w:rsidRPr="00F64465">
        <w:rPr>
          <w:rStyle w:val="af7"/>
          <w:rFonts w:eastAsia="Guttman Hodes" w:hint="cs"/>
          <w:rtl/>
        </w:rPr>
        <w:t xml:space="preserve">(עי' אות </w:t>
      </w:r>
      <w:r w:rsidRPr="00F64465">
        <w:rPr>
          <w:rStyle w:val="af7"/>
          <w:rFonts w:eastAsia="Guttman Hodes"/>
          <w:rtl/>
        </w:rPr>
        <w:fldChar w:fldCharType="begin"/>
      </w:r>
      <w:r w:rsidRPr="00F64465">
        <w:rPr>
          <w:rStyle w:val="af7"/>
          <w:rFonts w:eastAsia="Guttman Hodes"/>
          <w:rtl/>
        </w:rPr>
        <w:instrText xml:space="preserve"> </w:instrText>
      </w:r>
      <w:r w:rsidRPr="00F64465">
        <w:rPr>
          <w:rStyle w:val="af7"/>
          <w:rFonts w:eastAsia="Guttman Hodes" w:hint="cs"/>
        </w:rPr>
        <w:instrText>REF</w:instrText>
      </w:r>
      <w:r w:rsidRPr="00F64465">
        <w:rPr>
          <w:rStyle w:val="af7"/>
          <w:rFonts w:eastAsia="Guttman Hodes" w:hint="cs"/>
          <w:rtl/>
        </w:rPr>
        <w:instrText xml:space="preserve"> _</w:instrText>
      </w:r>
      <w:r w:rsidRPr="00F64465">
        <w:rPr>
          <w:rStyle w:val="af7"/>
          <w:rFonts w:eastAsia="Guttman Hodes" w:hint="cs"/>
        </w:rPr>
        <w:instrText>Ref65714315 \r \h</w:instrText>
      </w:r>
      <w:r w:rsidRPr="00F64465">
        <w:rPr>
          <w:rStyle w:val="af7"/>
          <w:rFonts w:eastAsia="Guttman Hodes"/>
          <w:rtl/>
        </w:rPr>
        <w:instrText xml:space="preserve"> </w:instrText>
      </w:r>
      <w:r w:rsidRPr="00F64465">
        <w:rPr>
          <w:rStyle w:val="af7"/>
          <w:rFonts w:eastAsia="Guttman Hodes"/>
          <w:rtl/>
        </w:rPr>
      </w:r>
      <w:r w:rsidRPr="00F64465">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F64465">
        <w:rPr>
          <w:rStyle w:val="af7"/>
          <w:rFonts w:eastAsia="Guttman Hodes"/>
          <w:rtl/>
        </w:rPr>
        <w:fldChar w:fldCharType="end"/>
      </w:r>
      <w:r>
        <w:rPr>
          <w:rFonts w:hint="cs"/>
          <w:rtl/>
        </w:rPr>
        <w:t xml:space="preserve"> </w:t>
      </w:r>
      <w:r w:rsidRPr="00F64465">
        <w:rPr>
          <w:rStyle w:val="af9"/>
          <w:rFonts w:hint="cs"/>
          <w:rtl/>
        </w:rPr>
        <w:t>וב</w:t>
      </w:r>
      <w:r w:rsidRPr="008C0A43">
        <w:rPr>
          <w:rStyle w:val="af9"/>
          <w:rFonts w:hint="cs"/>
          <w:rtl/>
        </w:rPr>
        <w:t xml:space="preserve">חי' רבי נחום </w:t>
      </w:r>
      <w:r w:rsidRPr="00415DD9">
        <w:rPr>
          <w:rStyle w:val="af7"/>
          <w:rFonts w:eastAsia="Guttman Hodes" w:hint="cs"/>
          <w:rtl/>
        </w:rPr>
        <w:t xml:space="preserve">(עי' אות </w:t>
      </w:r>
      <w:r w:rsidRPr="00415DD9">
        <w:rPr>
          <w:rStyle w:val="af7"/>
          <w:rFonts w:eastAsia="Guttman Hodes"/>
          <w:rtl/>
        </w:rPr>
        <w:fldChar w:fldCharType="begin"/>
      </w:r>
      <w:r w:rsidRPr="00415DD9">
        <w:rPr>
          <w:rStyle w:val="af7"/>
          <w:rFonts w:eastAsia="Guttman Hodes"/>
          <w:rtl/>
        </w:rPr>
        <w:instrText xml:space="preserve"> </w:instrText>
      </w:r>
      <w:r w:rsidRPr="00415DD9">
        <w:rPr>
          <w:rStyle w:val="af7"/>
          <w:rFonts w:eastAsia="Guttman Hodes" w:hint="cs"/>
        </w:rPr>
        <w:instrText>REF</w:instrText>
      </w:r>
      <w:r w:rsidRPr="00415DD9">
        <w:rPr>
          <w:rStyle w:val="af7"/>
          <w:rFonts w:eastAsia="Guttman Hodes" w:hint="cs"/>
          <w:rtl/>
        </w:rPr>
        <w:instrText xml:space="preserve"> _</w:instrText>
      </w:r>
      <w:r w:rsidRPr="00415DD9">
        <w:rPr>
          <w:rStyle w:val="af7"/>
          <w:rFonts w:eastAsia="Guttman Hodes" w:hint="cs"/>
        </w:rPr>
        <w:instrText>Ref65712983 \r \h</w:instrText>
      </w:r>
      <w:r w:rsidRPr="00415DD9">
        <w:rPr>
          <w:rStyle w:val="af7"/>
          <w:rFonts w:eastAsia="Guttman Hodes"/>
          <w:rtl/>
        </w:rPr>
        <w:instrText xml:space="preserve"> </w:instrText>
      </w:r>
      <w:r w:rsidRPr="00415DD9">
        <w:rPr>
          <w:rStyle w:val="af7"/>
          <w:rFonts w:eastAsia="Guttman Hodes"/>
          <w:rtl/>
        </w:rPr>
      </w:r>
      <w:r w:rsidRPr="00415DD9">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415DD9">
        <w:rPr>
          <w:rStyle w:val="af7"/>
          <w:rFonts w:eastAsia="Guttman Hodes"/>
          <w:rtl/>
        </w:rPr>
        <w:fldChar w:fldCharType="end"/>
      </w:r>
      <w:r>
        <w:rPr>
          <w:rFonts w:hint="cs"/>
          <w:rtl/>
        </w:rPr>
        <w:t xml:space="preserve"> בדברי </w:t>
      </w:r>
      <w:r w:rsidRPr="008C0A43">
        <w:rPr>
          <w:rStyle w:val="af9"/>
          <w:rFonts w:hint="cs"/>
          <w:rtl/>
        </w:rPr>
        <w:t>התוס'</w:t>
      </w:r>
      <w:r>
        <w:rPr>
          <w:rStyle w:val="af9"/>
          <w:rFonts w:hint="cs"/>
          <w:rtl/>
        </w:rPr>
        <w:t xml:space="preserve"> בשבועות</w:t>
      </w:r>
      <w:r>
        <w:rPr>
          <w:rFonts w:hint="cs"/>
          <w:rtl/>
        </w:rPr>
        <w:t>.</w:t>
      </w:r>
      <w:bookmarkEnd w:id="16424"/>
    </w:p>
    <w:p w:rsidR="000F5507" w:rsidRPr="00D13DDC" w:rsidRDefault="000F5507" w:rsidP="000F5507">
      <w:pPr>
        <w:pStyle w:val="a3"/>
        <w:rPr>
          <w:rtl/>
        </w:rPr>
      </w:pPr>
      <w:bookmarkStart w:id="16425" w:name="_Toc65689786"/>
      <w:bookmarkStart w:id="16426" w:name="_Toc65703326"/>
      <w:bookmarkStart w:id="16427" w:name="_Toc65713993"/>
      <w:bookmarkStart w:id="16428" w:name="_Toc65714849"/>
      <w:r>
        <w:rPr>
          <w:rFonts w:hint="cs"/>
          <w:rtl/>
        </w:rPr>
        <w:t>דברי התוס' דמוכח דצריך להעמיד כל דבר בחזקת מי שבידו וכאילו ברור שהיא של הראשון</w:t>
      </w:r>
      <w:bookmarkEnd w:id="16425"/>
      <w:bookmarkEnd w:id="16426"/>
      <w:bookmarkEnd w:id="16427"/>
      <w:bookmarkEnd w:id="16428"/>
    </w:p>
    <w:p w:rsidR="000F5507" w:rsidRDefault="000F5507" w:rsidP="007E4E81">
      <w:pPr>
        <w:pStyle w:val="a0"/>
        <w:rPr>
          <w:rtl/>
        </w:rPr>
      </w:pPr>
      <w:bookmarkStart w:id="16429" w:name="_Ref65667407"/>
      <w:r>
        <w:rPr>
          <w:rFonts w:hint="cs"/>
          <w:rtl/>
        </w:rPr>
        <w:t xml:space="preserve">וכ"כ </w:t>
      </w:r>
      <w:r>
        <w:rPr>
          <w:rStyle w:val="af9"/>
          <w:rtl/>
        </w:rPr>
        <w:t>התוס' לקמן</w:t>
      </w:r>
      <w:r>
        <w:rPr>
          <w:rFonts w:hint="cs"/>
          <w:rtl/>
        </w:rPr>
        <w:t xml:space="preserve"> </w:t>
      </w:r>
      <w:r>
        <w:rPr>
          <w:rStyle w:val="af7"/>
          <w:rFonts w:eastAsia="Guttman Hodes" w:hint="cs"/>
          <w:rtl/>
        </w:rPr>
        <w:t>(לד: ריש ד"ה ההוא ארבא)</w:t>
      </w:r>
      <w:r>
        <w:rPr>
          <w:rFonts w:hint="cs"/>
          <w:rtl/>
        </w:rPr>
        <w:t xml:space="preserve"> דמהא דבטוען דידי חטפי חשיב כגזלן, </w:t>
      </w:r>
      <w:r>
        <w:rPr>
          <w:rStyle w:val="afb"/>
          <w:rtl/>
        </w:rPr>
        <w:t xml:space="preserve">[והיינו </w:t>
      </w:r>
      <w:r>
        <w:rPr>
          <w:rStyle w:val="afb"/>
          <w:rFonts w:hint="cs"/>
          <w:rtl/>
        </w:rPr>
        <w:t>כגי' הנוסחאות שהביאו</w:t>
      </w:r>
      <w:r w:rsidRPr="00466489">
        <w:rPr>
          <w:rStyle w:val="afb"/>
          <w:rFonts w:hint="cs"/>
          <w:rtl/>
        </w:rPr>
        <w:t xml:space="preserve"> </w:t>
      </w:r>
      <w:r w:rsidRPr="002F7C87">
        <w:rPr>
          <w:rStyle w:val="affa"/>
          <w:rFonts w:hint="cs"/>
          <w:rtl/>
        </w:rPr>
        <w:t xml:space="preserve">ר"ח </w:t>
      </w:r>
      <w:r>
        <w:rPr>
          <w:rStyle w:val="affa"/>
          <w:rtl/>
        </w:rPr>
        <w:t>והראשונים</w:t>
      </w:r>
      <w:r>
        <w:rPr>
          <w:rStyle w:val="afb"/>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Ref65690180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מט)</w:t>
      </w:r>
      <w:r>
        <w:rPr>
          <w:rStyle w:val="aff6"/>
          <w:rtl/>
        </w:rPr>
        <w:fldChar w:fldCharType="end"/>
      </w:r>
      <w:r>
        <w:rPr>
          <w:rStyle w:val="afb"/>
          <w:rFonts w:hint="cs"/>
          <w:rtl/>
        </w:rPr>
        <w:t xml:space="preserve"> </w:t>
      </w:r>
      <w:r>
        <w:rPr>
          <w:rStyle w:val="afb"/>
          <w:rtl/>
        </w:rPr>
        <w:t>דלישתבע הו"ל כגזלן],</w:t>
      </w:r>
      <w:r>
        <w:rPr>
          <w:rFonts w:hint="cs"/>
          <w:rtl/>
        </w:rPr>
        <w:t xml:space="preserve"> מוכח דצריך להעמיד כל דבר בחזקת מי שהוא בידו, ולכן הוא חייב לשלם, כאילו ברור לנו שהנסכא היא של מי שהיה מוחזק </w:t>
      </w:r>
      <w:r>
        <w:rPr>
          <w:rFonts w:hint="cs"/>
          <w:rtl/>
        </w:rPr>
        <w:lastRenderedPageBreak/>
        <w:t xml:space="preserve">בה, ועי' במה שביארו </w:t>
      </w:r>
      <w:r w:rsidRPr="008C0A43">
        <w:rPr>
          <w:rStyle w:val="af9"/>
          <w:rFonts w:hint="cs"/>
          <w:rtl/>
        </w:rPr>
        <w:t xml:space="preserve">בחי' רבי נחום </w:t>
      </w:r>
      <w:r w:rsidRPr="008C0A43">
        <w:rPr>
          <w:rStyle w:val="af7"/>
          <w:rFonts w:eastAsia="Guttman Hodes" w:hint="cs"/>
          <w:rtl/>
        </w:rPr>
        <w:t xml:space="preserve">(עי' אות </w:t>
      </w:r>
      <w:r w:rsidRPr="008C0A43">
        <w:rPr>
          <w:rStyle w:val="af7"/>
          <w:rFonts w:eastAsia="Guttman Hodes"/>
          <w:rtl/>
        </w:rPr>
        <w:fldChar w:fldCharType="begin"/>
      </w:r>
      <w:r w:rsidRPr="008C0A43">
        <w:rPr>
          <w:rStyle w:val="af7"/>
          <w:rFonts w:eastAsia="Guttman Hodes"/>
          <w:rtl/>
        </w:rPr>
        <w:instrText xml:space="preserve"> </w:instrText>
      </w:r>
      <w:r w:rsidRPr="008C0A43">
        <w:rPr>
          <w:rStyle w:val="af7"/>
          <w:rFonts w:eastAsia="Guttman Hodes" w:hint="cs"/>
        </w:rPr>
        <w:instrText>REF</w:instrText>
      </w:r>
      <w:r w:rsidRPr="008C0A43">
        <w:rPr>
          <w:rStyle w:val="af7"/>
          <w:rFonts w:eastAsia="Guttman Hodes" w:hint="cs"/>
          <w:rtl/>
        </w:rPr>
        <w:instrText xml:space="preserve"> _</w:instrText>
      </w:r>
      <w:r w:rsidRPr="008C0A43">
        <w:rPr>
          <w:rStyle w:val="af7"/>
          <w:rFonts w:eastAsia="Guttman Hodes" w:hint="cs"/>
        </w:rPr>
        <w:instrText>Ref65703112 \r \h</w:instrText>
      </w:r>
      <w:r w:rsidRPr="008C0A43">
        <w:rPr>
          <w:rStyle w:val="af7"/>
          <w:rFonts w:eastAsia="Guttman Hodes"/>
          <w:rtl/>
        </w:rPr>
        <w:instrText xml:space="preserve"> </w:instrText>
      </w:r>
      <w:r w:rsidRPr="008C0A43">
        <w:rPr>
          <w:rStyle w:val="af7"/>
          <w:rFonts w:eastAsia="Guttman Hodes"/>
          <w:rtl/>
        </w:rPr>
      </w:r>
      <w:r w:rsidRPr="008C0A43">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8C0A43">
        <w:rPr>
          <w:rStyle w:val="af7"/>
          <w:rFonts w:eastAsia="Guttman Hodes"/>
          <w:rtl/>
        </w:rPr>
        <w:fldChar w:fldCharType="end"/>
      </w:r>
      <w:r>
        <w:rPr>
          <w:rFonts w:hint="cs"/>
          <w:rtl/>
        </w:rPr>
        <w:t xml:space="preserve"> </w:t>
      </w:r>
      <w:r>
        <w:rPr>
          <w:rStyle w:val="af9"/>
          <w:rFonts w:hint="cs"/>
          <w:rtl/>
        </w:rPr>
        <w:t>וב</w:t>
      </w:r>
      <w:r w:rsidRPr="000F6B46">
        <w:rPr>
          <w:rStyle w:val="af9"/>
          <w:rFonts w:hint="cs"/>
          <w:rtl/>
        </w:rPr>
        <w:t>ברכ"ש</w:t>
      </w:r>
      <w:r w:rsidRPr="000F6B46">
        <w:rPr>
          <w:rFonts w:hint="cs"/>
          <w:rtl/>
        </w:rPr>
        <w:t xml:space="preserve"> </w:t>
      </w:r>
      <w:r w:rsidRPr="000F6B46">
        <w:rPr>
          <w:rStyle w:val="af7"/>
          <w:rFonts w:eastAsia="Guttman Hodes" w:hint="cs"/>
          <w:rtl/>
        </w:rPr>
        <w:t>(סי' ל"ג או' א' ד"ה והנה ראית</w:t>
      </w:r>
      <w:r>
        <w:rPr>
          <w:rStyle w:val="af7"/>
          <w:rFonts w:eastAsia="Guttman Hodes" w:hint="cs"/>
          <w:rtl/>
        </w:rPr>
        <w:t>, הובא בסימן י"ח אות קכ"ד)</w:t>
      </w:r>
      <w:r>
        <w:rPr>
          <w:rStyle w:val="af9"/>
          <w:rFonts w:hint="cs"/>
          <w:rtl/>
        </w:rPr>
        <w:t xml:space="preserve"> ו</w:t>
      </w:r>
      <w:r w:rsidRPr="00214983">
        <w:rPr>
          <w:rStyle w:val="af9"/>
          <w:rFonts w:hint="cs"/>
          <w:rtl/>
        </w:rPr>
        <w:t>בחו"ש הגרב"ב</w:t>
      </w:r>
      <w:r>
        <w:rPr>
          <w:rFonts w:hint="cs"/>
          <w:rtl/>
        </w:rPr>
        <w:t xml:space="preserve"> </w:t>
      </w:r>
      <w:r w:rsidRPr="00DA5FD0">
        <w:rPr>
          <w:rStyle w:val="af7"/>
          <w:rFonts w:eastAsia="Guttman Hodes" w:hint="cs"/>
          <w:rtl/>
        </w:rPr>
        <w:t>(ח"א סי' י"ג ד"ה ועי' בשיעורי</w:t>
      </w:r>
      <w:r>
        <w:rPr>
          <w:rStyle w:val="af7"/>
          <w:rFonts w:eastAsia="Guttman Hodes" w:hint="cs"/>
          <w:rtl/>
        </w:rPr>
        <w:t>, הובא בסימן י"ח אות קכ"ג)</w:t>
      </w:r>
      <w:r w:rsidRPr="00DA5FD0">
        <w:rPr>
          <w:rStyle w:val="af7"/>
          <w:rFonts w:eastAsia="Guttman Hodes" w:hint="cs"/>
          <w:rtl/>
        </w:rPr>
        <w:t xml:space="preserve"> </w:t>
      </w:r>
      <w:r>
        <w:rPr>
          <w:rFonts w:hint="cs"/>
          <w:rtl/>
        </w:rPr>
        <w:t xml:space="preserve">בדברי </w:t>
      </w:r>
      <w:r w:rsidRPr="008C0A43">
        <w:rPr>
          <w:rStyle w:val="af9"/>
          <w:rFonts w:hint="cs"/>
          <w:rtl/>
        </w:rPr>
        <w:t>התוס'</w:t>
      </w:r>
      <w:r>
        <w:rPr>
          <w:rFonts w:hint="cs"/>
          <w:rtl/>
        </w:rPr>
        <w:t xml:space="preserve"> </w:t>
      </w:r>
      <w:r w:rsidRPr="008C0A43">
        <w:rPr>
          <w:rStyle w:val="af9"/>
          <w:rFonts w:hint="cs"/>
          <w:rtl/>
        </w:rPr>
        <w:t>לקמן</w:t>
      </w:r>
      <w:r>
        <w:rPr>
          <w:rFonts w:hint="cs"/>
          <w:rtl/>
        </w:rPr>
        <w:t>.</w:t>
      </w:r>
      <w:bookmarkEnd w:id="16419"/>
      <w:bookmarkEnd w:id="16429"/>
    </w:p>
    <w:p w:rsidR="000F5507" w:rsidRDefault="000F5507" w:rsidP="000F5507">
      <w:pPr>
        <w:pStyle w:val="afe"/>
        <w:rPr>
          <w:rtl/>
        </w:rPr>
      </w:pPr>
      <w:bookmarkStart w:id="16430" w:name="_Toc65689787"/>
      <w:bookmarkStart w:id="16431" w:name="_Toc65703327"/>
      <w:bookmarkStart w:id="16432" w:name="_Toc65713994"/>
      <w:bookmarkStart w:id="16433" w:name="_Toc65714850"/>
      <w:r>
        <w:rPr>
          <w:rFonts w:hint="cs"/>
          <w:rtl/>
        </w:rPr>
        <w:t>בי' רבינו יונה</w:t>
      </w:r>
      <w:bookmarkEnd w:id="16430"/>
      <w:bookmarkEnd w:id="16431"/>
      <w:r>
        <w:rPr>
          <w:rFonts w:hint="cs"/>
          <w:rtl/>
        </w:rPr>
        <w:t xml:space="preserve"> </w:t>
      </w:r>
      <w:bookmarkEnd w:id="16406"/>
      <w:bookmarkEnd w:id="16407"/>
      <w:bookmarkEnd w:id="16408"/>
      <w:bookmarkEnd w:id="16409"/>
      <w:bookmarkEnd w:id="16410"/>
      <w:bookmarkEnd w:id="16411"/>
      <w:bookmarkEnd w:id="16412"/>
      <w:bookmarkEnd w:id="16413"/>
      <w:r>
        <w:rPr>
          <w:rFonts w:hint="cs"/>
          <w:rtl/>
        </w:rPr>
        <w:t>דבא"י לישבע ע"א כשנים</w:t>
      </w:r>
      <w:bookmarkEnd w:id="16432"/>
      <w:bookmarkEnd w:id="16433"/>
    </w:p>
    <w:p w:rsidR="000F5507" w:rsidRDefault="000F5507" w:rsidP="000F5507">
      <w:pPr>
        <w:pStyle w:val="1"/>
        <w:rPr>
          <w:rtl/>
        </w:rPr>
      </w:pPr>
      <w:bookmarkStart w:id="16434" w:name="_Toc64925390"/>
      <w:bookmarkStart w:id="16435" w:name="_Toc65141944"/>
      <w:bookmarkStart w:id="16436" w:name="_Toc65185637"/>
      <w:bookmarkStart w:id="16437" w:name="_Toc65529977"/>
      <w:bookmarkStart w:id="16438" w:name="_Toc65604026"/>
      <w:bookmarkStart w:id="16439" w:name="_Toc65605916"/>
      <w:bookmarkStart w:id="16440" w:name="_Toc65617172"/>
      <w:bookmarkStart w:id="16441" w:name="_Toc65666126"/>
      <w:bookmarkStart w:id="16442" w:name="_Toc65689788"/>
      <w:bookmarkStart w:id="16443" w:name="_Toc65703328"/>
      <w:bookmarkStart w:id="16444" w:name="_Toc65713995"/>
      <w:bookmarkStart w:id="16445" w:name="_Toc65714851"/>
      <w:r w:rsidRPr="00ED1ACF">
        <w:rPr>
          <w:rFonts w:hint="cs"/>
          <w:rtl/>
        </w:rPr>
        <w:t>בי</w:t>
      </w:r>
      <w:r>
        <w:rPr>
          <w:rFonts w:hint="cs"/>
          <w:rtl/>
        </w:rPr>
        <w:t>'</w:t>
      </w:r>
      <w:r w:rsidRPr="00ED1ACF">
        <w:rPr>
          <w:rFonts w:hint="cs"/>
          <w:rtl/>
        </w:rPr>
        <w:t xml:space="preserve"> רבינו יונה </w:t>
      </w:r>
      <w:bookmarkEnd w:id="16434"/>
      <w:bookmarkEnd w:id="16435"/>
      <w:bookmarkEnd w:id="16436"/>
      <w:bookmarkEnd w:id="16437"/>
      <w:bookmarkEnd w:id="16438"/>
      <w:bookmarkEnd w:id="16439"/>
      <w:bookmarkEnd w:id="16440"/>
      <w:r w:rsidRPr="00ED1ACF">
        <w:rPr>
          <w:rFonts w:hint="cs"/>
          <w:rtl/>
        </w:rPr>
        <w:t>ד</w:t>
      </w:r>
      <w:r>
        <w:rPr>
          <w:rFonts w:hint="cs"/>
          <w:rtl/>
        </w:rPr>
        <w:t>כל ש</w:t>
      </w:r>
      <w:r w:rsidRPr="00ED1ACF">
        <w:rPr>
          <w:rFonts w:hint="cs"/>
          <w:rtl/>
        </w:rPr>
        <w:t xml:space="preserve">אינו נשבע </w:t>
      </w:r>
      <w:bookmarkEnd w:id="16441"/>
      <w:bookmarkEnd w:id="16442"/>
      <w:bookmarkEnd w:id="16443"/>
      <w:r>
        <w:rPr>
          <w:rFonts w:hint="cs"/>
          <w:rtl/>
        </w:rPr>
        <w:t>להכחיש את הע"א הוא כשנים</w:t>
      </w:r>
      <w:bookmarkEnd w:id="16444"/>
      <w:bookmarkEnd w:id="16445"/>
    </w:p>
    <w:p w:rsidR="000F5507" w:rsidRPr="00D13DDC" w:rsidRDefault="000F5507" w:rsidP="000F5507">
      <w:pPr>
        <w:pStyle w:val="a3"/>
        <w:rPr>
          <w:rtl/>
        </w:rPr>
      </w:pPr>
      <w:bookmarkStart w:id="16446" w:name="_Toc65666127"/>
      <w:bookmarkStart w:id="16447" w:name="_Toc65689789"/>
      <w:bookmarkStart w:id="16448" w:name="_Toc65703329"/>
      <w:bookmarkStart w:id="16449" w:name="_Toc65713996"/>
      <w:bookmarkStart w:id="16450" w:name="_Toc65714852"/>
      <w:r w:rsidRPr="00D13DDC">
        <w:rPr>
          <w:rFonts w:hint="cs"/>
          <w:rtl/>
        </w:rPr>
        <w:t>דברי רבינו יונה דחייבה התורה שבועה בע"א רק להכחיש את העד ודינו או לישבע או לשלם</w:t>
      </w:r>
      <w:bookmarkEnd w:id="16446"/>
      <w:bookmarkEnd w:id="16447"/>
      <w:bookmarkEnd w:id="16448"/>
      <w:bookmarkEnd w:id="16449"/>
      <w:bookmarkEnd w:id="16450"/>
    </w:p>
    <w:p w:rsidR="000F5507" w:rsidRPr="00DA32D8" w:rsidRDefault="000F5507" w:rsidP="007E4E81">
      <w:pPr>
        <w:pStyle w:val="a0"/>
        <w:rPr>
          <w:u w:val="single"/>
        </w:rPr>
      </w:pPr>
      <w:bookmarkStart w:id="16451" w:name="_Ref65702598"/>
      <w:r>
        <w:rPr>
          <w:rFonts w:hint="cs"/>
          <w:rtl/>
        </w:rPr>
        <w:t xml:space="preserve">בהא דאמרינן דלישבע אינו יכול כיון שהוא מודה שחטף, כתב </w:t>
      </w:r>
      <w:r w:rsidRPr="00E079C5">
        <w:rPr>
          <w:rStyle w:val="af9"/>
          <w:rFonts w:hint="cs"/>
          <w:rtl/>
        </w:rPr>
        <w:t>רבינו יונה</w:t>
      </w:r>
      <w:r>
        <w:rPr>
          <w:rFonts w:hint="cs"/>
          <w:rtl/>
        </w:rPr>
        <w:t xml:space="preserve"> </w:t>
      </w:r>
      <w:r w:rsidRPr="00E079C5">
        <w:rPr>
          <w:rStyle w:val="af7"/>
          <w:rFonts w:eastAsia="Guttman Hodes" w:hint="cs"/>
          <w:rtl/>
        </w:rPr>
        <w:t>(ד"ה לשתבע)</w:t>
      </w:r>
      <w:r>
        <w:rPr>
          <w:rFonts w:hint="cs"/>
          <w:rtl/>
        </w:rPr>
        <w:t xml:space="preserve"> דכשחייבה התורה שבועה עפ"י ע"א, החיוב הוא להשבע להכחיש את העד, דהא ילפינן דלא יקום ע"א באיש, אבל קם הוא לשבועה, דהיינו שאינו יכול לחייב בעדותו אך הוא יכול לחייב שבועה, שהמכחיש את עדותו צריך להשבע, וא"כ הנתבע חייב להשבע שעדות הע"א אינה אמת, וכתב </w:t>
      </w:r>
      <w:r w:rsidRPr="00DA32D8">
        <w:rPr>
          <w:rStyle w:val="af9"/>
          <w:rFonts w:hint="cs"/>
          <w:rtl/>
        </w:rPr>
        <w:t>רבינו יונה</w:t>
      </w:r>
      <w:r>
        <w:rPr>
          <w:rFonts w:hint="cs"/>
          <w:rtl/>
        </w:rPr>
        <w:t xml:space="preserve"> דדין שבועת התורה היא שצריך או להשבע את שבועת התורה או לשלם.</w:t>
      </w:r>
      <w:bookmarkEnd w:id="16451"/>
    </w:p>
    <w:p w:rsidR="000F5507" w:rsidRPr="00D13DDC" w:rsidRDefault="000F5507" w:rsidP="000F5507">
      <w:pPr>
        <w:pStyle w:val="a3"/>
      </w:pPr>
      <w:bookmarkStart w:id="16452" w:name="_Toc65666128"/>
      <w:bookmarkStart w:id="16453" w:name="_Toc65689790"/>
      <w:bookmarkStart w:id="16454" w:name="_Toc65703330"/>
      <w:bookmarkStart w:id="16455" w:name="_Toc65713997"/>
      <w:bookmarkStart w:id="16456" w:name="_Toc65714853"/>
      <w:r w:rsidRPr="00D13DDC">
        <w:rPr>
          <w:rFonts w:hint="cs"/>
          <w:rtl/>
        </w:rPr>
        <w:t>דברי רבינו יונה דכשמודה לע"א ואינו מכחישו וא"י לישבע הע"א כשנים ואמרינן משאיל"מ</w:t>
      </w:r>
      <w:bookmarkEnd w:id="16452"/>
      <w:bookmarkEnd w:id="16453"/>
      <w:bookmarkEnd w:id="16454"/>
      <w:bookmarkEnd w:id="16455"/>
      <w:bookmarkEnd w:id="16456"/>
    </w:p>
    <w:p w:rsidR="000F5507" w:rsidRDefault="000F5507" w:rsidP="007E4E81">
      <w:pPr>
        <w:pStyle w:val="a0"/>
        <w:rPr>
          <w:u w:val="single"/>
          <w:rtl/>
        </w:rPr>
      </w:pPr>
      <w:r>
        <w:rPr>
          <w:rFonts w:hint="cs"/>
          <w:rtl/>
        </w:rPr>
        <w:t xml:space="preserve">וכתב </w:t>
      </w:r>
      <w:r w:rsidRPr="00DA32D8">
        <w:rPr>
          <w:rStyle w:val="af9"/>
          <w:rFonts w:hint="cs"/>
          <w:rtl/>
        </w:rPr>
        <w:t>רבינו יונה</w:t>
      </w:r>
      <w:r>
        <w:rPr>
          <w:rFonts w:hint="cs"/>
          <w:rtl/>
        </w:rPr>
        <w:t xml:space="preserve"> דהכא שטוען אין חטפי ודידי חטפי, דאינו יכול להכחיש את הע"א בשבועה, ולכן אינו יכול להשבע את שבועת התורה, א"כ חשיב שהע"א הוא כשנים, וכמו שאם היו שנים מעידים שחטף היה חייב לשלם, ה"ה כשאינו יכול להשבע להכחיש את הע"א, וזו כוונת רבי אבא דאמר מתוך שאינו יכול לישבע משלם.</w:t>
      </w:r>
    </w:p>
    <w:p w:rsidR="000F5507" w:rsidRPr="00D13DDC" w:rsidRDefault="000F5507" w:rsidP="000F5507">
      <w:pPr>
        <w:pStyle w:val="a3"/>
        <w:rPr>
          <w:rtl/>
        </w:rPr>
      </w:pPr>
      <w:bookmarkStart w:id="16457" w:name="_Toc65666129"/>
      <w:bookmarkStart w:id="16458" w:name="_Toc65689791"/>
      <w:bookmarkStart w:id="16459" w:name="_Toc65703331"/>
      <w:bookmarkStart w:id="16460" w:name="_Toc65713998"/>
      <w:bookmarkStart w:id="16461" w:name="_Toc65714854"/>
      <w:r w:rsidRPr="00D13DDC">
        <w:rPr>
          <w:rFonts w:hint="cs"/>
          <w:rtl/>
        </w:rPr>
        <w:t>דברי רבינו יונה דדינא דמשאיל"מ הוא בין במודה לע"א ובין בשבועת מודה במקצת והוא חשוד</w:t>
      </w:r>
      <w:bookmarkEnd w:id="16457"/>
      <w:bookmarkEnd w:id="16458"/>
      <w:bookmarkEnd w:id="16459"/>
      <w:bookmarkEnd w:id="16460"/>
      <w:bookmarkEnd w:id="16461"/>
    </w:p>
    <w:p w:rsidR="000F5507" w:rsidRDefault="000F5507" w:rsidP="007E4E81">
      <w:pPr>
        <w:pStyle w:val="a0"/>
        <w:rPr>
          <w:rtl/>
        </w:rPr>
      </w:pPr>
      <w:r>
        <w:rPr>
          <w:rFonts w:hint="cs"/>
          <w:rtl/>
        </w:rPr>
        <w:t xml:space="preserve">וכתב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דלרבי אבא אמרינן את דינא דמתוך שאינו יכול לישבע משלם, בין בשבועת ע"א, ובין בשבועת מודה במקצת, כשהוא חשוד על השבועה ואינו יכול להשבע.</w:t>
      </w:r>
    </w:p>
    <w:p w:rsidR="000F5507" w:rsidRPr="006904A4" w:rsidRDefault="000F5507" w:rsidP="000F5507">
      <w:pPr>
        <w:pStyle w:val="1"/>
        <w:rPr>
          <w:rtl/>
        </w:rPr>
      </w:pPr>
      <w:bookmarkStart w:id="16462" w:name="_Toc65713999"/>
      <w:bookmarkStart w:id="16463" w:name="_Toc65714855"/>
      <w:r>
        <w:rPr>
          <w:rFonts w:hint="cs"/>
          <w:rtl/>
        </w:rPr>
        <w:t>ביאור רבינו יונה בדעת רב ושמואל דלא אמרינן משאיל"מ</w:t>
      </w:r>
      <w:bookmarkEnd w:id="16462"/>
      <w:bookmarkEnd w:id="16463"/>
    </w:p>
    <w:p w:rsidR="000F5507" w:rsidRPr="00D13DDC" w:rsidRDefault="000F5507" w:rsidP="000F5507">
      <w:pPr>
        <w:pStyle w:val="a3"/>
        <w:rPr>
          <w:rtl/>
        </w:rPr>
      </w:pPr>
      <w:bookmarkStart w:id="16464" w:name="_Toc65666130"/>
      <w:bookmarkStart w:id="16465" w:name="_Toc65689792"/>
      <w:bookmarkStart w:id="16466" w:name="_Toc65703332"/>
      <w:bookmarkStart w:id="16467" w:name="_Toc65714000"/>
      <w:bookmarkStart w:id="16468" w:name="_Toc65714856"/>
      <w:bookmarkStart w:id="16469" w:name="_Toc65617173"/>
      <w:r w:rsidRPr="00D13DDC">
        <w:rPr>
          <w:rFonts w:hint="cs"/>
          <w:rtl/>
        </w:rPr>
        <w:t>דברי רבינו יונה דלרב ושמואל דל"א משאיל"מ כשאינו יכול להשבע לא חל חיוב שבועה</w:t>
      </w:r>
      <w:bookmarkEnd w:id="16464"/>
      <w:bookmarkEnd w:id="16465"/>
      <w:bookmarkEnd w:id="16466"/>
      <w:bookmarkEnd w:id="16467"/>
      <w:bookmarkEnd w:id="16468"/>
    </w:p>
    <w:p w:rsidR="000F5507" w:rsidRDefault="000F5507" w:rsidP="007E4E81">
      <w:pPr>
        <w:pStyle w:val="a0"/>
        <w:rPr>
          <w:rtl/>
        </w:rPr>
      </w:pPr>
      <w:bookmarkStart w:id="16470" w:name="_Toc64925391"/>
      <w:bookmarkStart w:id="16471" w:name="_Toc65141945"/>
      <w:bookmarkStart w:id="16472" w:name="_Toc65185638"/>
      <w:bookmarkStart w:id="16473" w:name="_Toc65529978"/>
      <w:bookmarkStart w:id="16474" w:name="_Toc65604027"/>
      <w:bookmarkStart w:id="16475" w:name="_Toc65605917"/>
      <w:bookmarkEnd w:id="16469"/>
      <w:r>
        <w:rPr>
          <w:rFonts w:hint="cs"/>
          <w:rtl/>
        </w:rPr>
        <w:t>ובדעת רב ושמואל דס"ל בגמ' בשבועות</w:t>
      </w:r>
      <w:r w:rsidRPr="006F23DA">
        <w:rPr>
          <w:rStyle w:val="af9"/>
          <w:rFonts w:hint="cs"/>
          <w:rtl/>
        </w:rPr>
        <w:t xml:space="preserve"> </w:t>
      </w:r>
      <w:r w:rsidRPr="00E23A21">
        <w:rPr>
          <w:rStyle w:val="af7"/>
          <w:rFonts w:eastAsia="Guttman Hodes" w:hint="cs"/>
          <w:rtl/>
        </w:rPr>
        <w:t>(מז.)</w:t>
      </w:r>
      <w:r w:rsidRPr="006F23DA">
        <w:rPr>
          <w:rStyle w:val="af9"/>
          <w:rFonts w:hint="cs"/>
          <w:rtl/>
        </w:rPr>
        <w:t xml:space="preserve"> </w:t>
      </w:r>
      <w:r w:rsidRPr="007B46DC">
        <w:rPr>
          <w:rFonts w:hint="cs"/>
          <w:rtl/>
        </w:rPr>
        <w:t>דלא אמרינן</w:t>
      </w:r>
      <w:r>
        <w:rPr>
          <w:rFonts w:hint="cs"/>
          <w:rtl/>
        </w:rPr>
        <w:t xml:space="preserve"> משאיל"מ אלא חזרה שבועה לסיני, ביאר</w:t>
      </w:r>
      <w:r>
        <w:rPr>
          <w:rStyle w:val="af9"/>
          <w:rFonts w:hint="cs"/>
          <w:rtl/>
        </w:rPr>
        <w:t xml:space="preserve">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w:t>
      </w:r>
      <w:r w:rsidRPr="00E23A21">
        <w:rPr>
          <w:rStyle w:val="af7"/>
          <w:rFonts w:eastAsia="Guttman Hodes" w:hint="cs"/>
          <w:rtl/>
        </w:rPr>
        <w:t>(ד"ה לשתבע)</w:t>
      </w:r>
      <w:r>
        <w:rPr>
          <w:rFonts w:hint="cs"/>
          <w:rtl/>
        </w:rPr>
        <w:t xml:space="preserve"> דדין שבועה הוא דבמקום שיכול להשבע בשבועת התורה, או שנשבע או שמשלם, ובמקום שאינו יכול להשבע, כיון שהוא חשוד, או שהוא מודה לע"א ופוטר את עצמו בטענה אחרת, ואינו מכחיש את הע"א, כגון בסוגיין דטוען אין חטפי ודידי חטפי, לא חל עליו חיוב שבועה, וא"כ א"א לומר דהוא מחויב שבועה שאינו יכול להשבע,</w:t>
      </w:r>
      <w:r w:rsidRPr="00E23A21">
        <w:rPr>
          <w:rFonts w:hint="cs"/>
          <w:rtl/>
        </w:rPr>
        <w:t xml:space="preserve"> </w:t>
      </w:r>
      <w:r>
        <w:rPr>
          <w:rFonts w:hint="cs"/>
          <w:rtl/>
        </w:rPr>
        <w:t>ולכן ס"ל לרב ושמואל דלא אמרינן מתוך שאינו יכול לישבע משלם.</w:t>
      </w:r>
    </w:p>
    <w:p w:rsidR="000F5507" w:rsidRPr="00D13DDC" w:rsidRDefault="000F5507" w:rsidP="000F5507">
      <w:pPr>
        <w:pStyle w:val="a3"/>
        <w:rPr>
          <w:rtl/>
        </w:rPr>
      </w:pPr>
      <w:bookmarkStart w:id="16476" w:name="_Toc65666132"/>
      <w:bookmarkStart w:id="16477" w:name="_Toc65689793"/>
      <w:bookmarkStart w:id="16478" w:name="_Toc65703333"/>
      <w:bookmarkStart w:id="16479" w:name="_Toc65714001"/>
      <w:bookmarkStart w:id="16480" w:name="_Toc65714857"/>
      <w:r w:rsidRPr="00D13DDC">
        <w:rPr>
          <w:rFonts w:hint="cs"/>
          <w:rtl/>
        </w:rPr>
        <w:t>דברי רבינו יונה דלרב ושמואל דבמודה במקצת והוא חשוד פטור מדאו' ומדרבנן שכנגדו נשבע</w:t>
      </w:r>
      <w:bookmarkEnd w:id="16476"/>
      <w:bookmarkEnd w:id="16477"/>
      <w:bookmarkEnd w:id="16478"/>
      <w:bookmarkEnd w:id="16479"/>
      <w:bookmarkEnd w:id="16480"/>
    </w:p>
    <w:p w:rsidR="000F5507" w:rsidRDefault="000F5507" w:rsidP="007E4E81">
      <w:pPr>
        <w:pStyle w:val="a0"/>
        <w:rPr>
          <w:rtl/>
        </w:rPr>
      </w:pPr>
      <w:r>
        <w:rPr>
          <w:rFonts w:hint="cs"/>
          <w:rtl/>
        </w:rPr>
        <w:t xml:space="preserve">וביאר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דס"ל לרב ושמואל דבשבועת מודה במקצת, והוא חשוד על השבועה, מדאו' הוא פטור משבועה, ורק רבנן תיקנו דכשנגדו נשבע ונוטל, ואם שניהם חשודים פטור</w:t>
      </w:r>
      <w:bookmarkStart w:id="16481" w:name="_Ref64910939"/>
      <w:r>
        <w:rPr>
          <w:rFonts w:hint="cs"/>
          <w:rtl/>
        </w:rPr>
        <w:t>.</w:t>
      </w:r>
    </w:p>
    <w:p w:rsidR="000F5507" w:rsidRPr="00D13DDC" w:rsidRDefault="000F5507" w:rsidP="000F5507">
      <w:pPr>
        <w:pStyle w:val="a3"/>
        <w:rPr>
          <w:rtl/>
        </w:rPr>
      </w:pPr>
      <w:bookmarkStart w:id="16482" w:name="_Toc65666133"/>
      <w:bookmarkStart w:id="16483" w:name="_Toc65689794"/>
      <w:bookmarkStart w:id="16484" w:name="_Toc65703334"/>
      <w:bookmarkStart w:id="16485" w:name="_Toc65714002"/>
      <w:bookmarkStart w:id="16486" w:name="_Toc65714858"/>
      <w:r w:rsidRPr="00D13DDC">
        <w:rPr>
          <w:rFonts w:hint="cs"/>
          <w:rtl/>
        </w:rPr>
        <w:t>דברי רבינו יונה דלרב ושמואל דמודה לע"א צריך להפטר אך א"א לפוטרו דאי יש ב' עדים חייב</w:t>
      </w:r>
      <w:bookmarkEnd w:id="16482"/>
      <w:bookmarkEnd w:id="16483"/>
      <w:bookmarkEnd w:id="16484"/>
      <w:bookmarkEnd w:id="16485"/>
      <w:bookmarkEnd w:id="16486"/>
    </w:p>
    <w:p w:rsidR="000F5507" w:rsidRDefault="000F5507" w:rsidP="007E4E81">
      <w:pPr>
        <w:pStyle w:val="a0"/>
        <w:rPr>
          <w:rtl/>
        </w:rPr>
      </w:pPr>
      <w:r>
        <w:rPr>
          <w:rFonts w:hint="cs"/>
          <w:rtl/>
        </w:rPr>
        <w:t xml:space="preserve">ובשבועת ע"א ואינו מכחיש את הע"א כנסכא דר"א, ביאר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דס"ל לרב ושמואל דמדינא כיון שאינו יכול להשבע שבועה דאו', היה ראוי לפוטרו מהשבועה, אך כיון שאם היו ב' עדים שחטף, לא היה נאמן לטעון אין חטפי ודידי חטפי, במיגו דלא חטפי, לכן כשיש ע"א א"א לפוטרו בלא שבועה.</w:t>
      </w:r>
    </w:p>
    <w:p w:rsidR="000F5507" w:rsidRPr="00D13DDC" w:rsidRDefault="000F5507" w:rsidP="000F5507">
      <w:pPr>
        <w:pStyle w:val="a3"/>
      </w:pPr>
      <w:bookmarkStart w:id="16487" w:name="_Toc65666134"/>
      <w:bookmarkStart w:id="16488" w:name="_Toc65689795"/>
      <w:bookmarkStart w:id="16489" w:name="_Toc65703335"/>
      <w:bookmarkStart w:id="16490" w:name="_Toc65714003"/>
      <w:bookmarkStart w:id="16491" w:name="_Toc65714859"/>
      <w:r w:rsidRPr="00D13DDC">
        <w:rPr>
          <w:rFonts w:hint="cs"/>
          <w:rtl/>
        </w:rPr>
        <w:t>ביאור רבינו יונה דלרב ושמואל בטוען דידי חטפי נשבע ונאמן במיגו דהיה נשבע להחכיש העד</w:t>
      </w:r>
      <w:bookmarkEnd w:id="16487"/>
      <w:bookmarkEnd w:id="16488"/>
      <w:bookmarkEnd w:id="16489"/>
      <w:bookmarkEnd w:id="16490"/>
      <w:bookmarkEnd w:id="16491"/>
    </w:p>
    <w:p w:rsidR="000F5507" w:rsidRDefault="000F5507" w:rsidP="007E4E81">
      <w:pPr>
        <w:pStyle w:val="a0"/>
        <w:rPr>
          <w:rtl/>
        </w:rPr>
      </w:pPr>
      <w:r>
        <w:rPr>
          <w:rFonts w:hint="cs"/>
          <w:rtl/>
        </w:rPr>
        <w:t xml:space="preserve">וכתב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דלכן ס"ל לרב ושמואל דכיון שאם היה טוען לא חטפי היה מחוייב שבועה, לכן עכשיו שטוען אין חטפי ודידי חטפי, דכל הנאמנות שלו היא במיגו דהיה טוען לא חטפי, הוא נאמן רק בשבועה, וכדאיתא בגמ' לקמן </w:t>
      </w:r>
      <w:r w:rsidRPr="00A530C5">
        <w:rPr>
          <w:rStyle w:val="af7"/>
          <w:rFonts w:eastAsia="Guttman Hodes" w:hint="cs"/>
          <w:rtl/>
        </w:rPr>
        <w:t>(ע.)</w:t>
      </w:r>
      <w:r>
        <w:rPr>
          <w:rFonts w:hint="cs"/>
          <w:rtl/>
        </w:rPr>
        <w:t xml:space="preserve"> דהמפקיד בשטר נאמן לומר החזרתי, במיגו דהיה טוען נאנסו שהיה נאמן בשבועה, דכיון שבטענת המיגו דנאנסו היה נאמן רק בשבועה, אף כשטוען החזרתי נאמן</w:t>
      </w:r>
      <w:r w:rsidRPr="00BA4FE3">
        <w:rPr>
          <w:rFonts w:hint="cs"/>
          <w:rtl/>
        </w:rPr>
        <w:t xml:space="preserve"> </w:t>
      </w:r>
      <w:r>
        <w:rPr>
          <w:rFonts w:hint="cs"/>
          <w:rtl/>
        </w:rPr>
        <w:t>בשבועה.</w:t>
      </w:r>
      <w:bookmarkEnd w:id="16481"/>
      <w:r>
        <w:rPr>
          <w:rFonts w:hint="cs"/>
          <w:rtl/>
        </w:rPr>
        <w:t xml:space="preserve"> </w:t>
      </w:r>
    </w:p>
    <w:p w:rsidR="000F5507" w:rsidRPr="00D13DDC" w:rsidRDefault="000F5507" w:rsidP="000F5507">
      <w:pPr>
        <w:pStyle w:val="a3"/>
        <w:rPr>
          <w:rtl/>
        </w:rPr>
      </w:pPr>
      <w:bookmarkStart w:id="16492" w:name="_Toc65666135"/>
      <w:bookmarkStart w:id="16493" w:name="_Toc65689796"/>
      <w:bookmarkStart w:id="16494" w:name="_Toc65703336"/>
      <w:bookmarkStart w:id="16495" w:name="_Toc65714004"/>
      <w:bookmarkStart w:id="16496" w:name="_Toc65714860"/>
      <w:r w:rsidRPr="00D13DDC">
        <w:rPr>
          <w:rFonts w:hint="cs"/>
          <w:rtl/>
        </w:rPr>
        <w:t>דברי רבינו יונה דלר"א כל שלא נשבע שבועה דאו' יש גזיה"כ דהע"א כשנים ואמרינן משאיל"מ</w:t>
      </w:r>
      <w:bookmarkEnd w:id="16492"/>
      <w:bookmarkEnd w:id="16493"/>
      <w:bookmarkEnd w:id="16494"/>
      <w:bookmarkEnd w:id="16495"/>
      <w:bookmarkEnd w:id="16496"/>
    </w:p>
    <w:p w:rsidR="000F5507" w:rsidRPr="00F95EBC" w:rsidRDefault="000F5507" w:rsidP="007E4E81">
      <w:pPr>
        <w:pStyle w:val="a0"/>
        <w:rPr>
          <w:rStyle w:val="afb"/>
          <w:rtl/>
        </w:rPr>
      </w:pPr>
      <w:r>
        <w:rPr>
          <w:rFonts w:hint="cs"/>
          <w:rtl/>
        </w:rPr>
        <w:t xml:space="preserve">ובדעת רבי אבא דס"ל דאמרינן מתוך שאינו יכול לישבע משלם, ביאר </w:t>
      </w:r>
      <w:r w:rsidRPr="00E079C5">
        <w:rPr>
          <w:rStyle w:val="af9"/>
          <w:rFonts w:hint="cs"/>
          <w:rtl/>
        </w:rPr>
        <w:t>רבינו יונה</w:t>
      </w:r>
      <w:r>
        <w:rPr>
          <w:rFonts w:hint="cs"/>
          <w:rtl/>
        </w:rPr>
        <w:t xml:space="preserve"> דכל שאינו נשבע שבועה דאו', יש גזיה"כ שהע"א הוא כשנים, וממילא אינו נאמן במיגו, כמו שאם היו שנים שמעידים שחטף דלא היה נאמן במיגו והיה חייב לשלם. </w:t>
      </w:r>
      <w:r w:rsidRPr="00F95EBC">
        <w:rPr>
          <w:rStyle w:val="afb"/>
          <w:rFonts w:hint="cs"/>
          <w:rtl/>
        </w:rPr>
        <w:t xml:space="preserve">[ומתורצת קושית </w:t>
      </w:r>
      <w:r w:rsidRPr="00F95EBC">
        <w:rPr>
          <w:rStyle w:val="affa"/>
          <w:rFonts w:hint="cs"/>
          <w:rtl/>
        </w:rPr>
        <w:t>התוס' והראשונים</w:t>
      </w:r>
      <w:r w:rsidRPr="00F95EBC">
        <w:rPr>
          <w:rStyle w:val="afb"/>
          <w:rFonts w:hint="cs"/>
          <w:rtl/>
        </w:rPr>
        <w:t xml:space="preserve"> דאמאי אינו נאמן במיגו, </w:t>
      </w:r>
      <w:r>
        <w:rPr>
          <w:rStyle w:val="afb"/>
          <w:rFonts w:hint="cs"/>
          <w:rtl/>
        </w:rPr>
        <w:t xml:space="preserve">ועי' במה שביאר </w:t>
      </w:r>
      <w:r w:rsidRPr="000B54D3">
        <w:rPr>
          <w:rStyle w:val="affa"/>
          <w:rFonts w:hint="cs"/>
          <w:rtl/>
        </w:rPr>
        <w:t>רבינו יונה</w:t>
      </w:r>
      <w:r>
        <w:rPr>
          <w:rStyle w:val="afb"/>
          <w:rFonts w:hint="cs"/>
          <w:rtl/>
        </w:rPr>
        <w:t xml:space="preserve"> אמאי לא קשה על רבי אבא מהגמ' לקמן, </w:t>
      </w:r>
      <w:r w:rsidRPr="00F95EBC">
        <w:rPr>
          <w:rStyle w:val="afb"/>
          <w:rFonts w:hint="cs"/>
          <w:rtl/>
        </w:rPr>
        <w:t>אי"ה יובאו דבריהם בהמשך].</w:t>
      </w:r>
    </w:p>
    <w:p w:rsidR="000F5507" w:rsidRPr="00D13DDC" w:rsidRDefault="000F5507" w:rsidP="000F5507">
      <w:pPr>
        <w:pStyle w:val="a3"/>
        <w:rPr>
          <w:rtl/>
        </w:rPr>
      </w:pPr>
      <w:bookmarkStart w:id="16497" w:name="_Toc65666136"/>
      <w:bookmarkStart w:id="16498" w:name="_Toc65689797"/>
      <w:bookmarkStart w:id="16499" w:name="_Toc65703337"/>
      <w:bookmarkStart w:id="16500" w:name="_Toc65714005"/>
      <w:bookmarkStart w:id="16501" w:name="_Toc65714861"/>
      <w:bookmarkStart w:id="16502" w:name="_Toc65617174"/>
      <w:r w:rsidRPr="00D13DDC">
        <w:rPr>
          <w:rFonts w:hint="cs"/>
          <w:rtl/>
        </w:rPr>
        <w:t>דברי הריטב"א דכל דין מתוך שאינו יכול לישבע משלם הוא בשבועה דאו' ולא בשבועה דרבנן</w:t>
      </w:r>
      <w:bookmarkEnd w:id="16497"/>
      <w:bookmarkEnd w:id="16498"/>
      <w:bookmarkEnd w:id="16499"/>
      <w:bookmarkEnd w:id="16500"/>
      <w:bookmarkEnd w:id="16501"/>
    </w:p>
    <w:p w:rsidR="000F5507" w:rsidRDefault="000F5507" w:rsidP="007E4E81">
      <w:pPr>
        <w:pStyle w:val="a0"/>
        <w:rPr>
          <w:rtl/>
        </w:rPr>
      </w:pPr>
      <w:r>
        <w:rPr>
          <w:rFonts w:hint="cs"/>
          <w:rtl/>
        </w:rPr>
        <w:t xml:space="preserve">ועי' במ"ש </w:t>
      </w:r>
      <w:r w:rsidRPr="00634E86">
        <w:rPr>
          <w:rStyle w:val="af9"/>
          <w:rFonts w:hint="cs"/>
          <w:rtl/>
        </w:rPr>
        <w:t>הריטב"א</w:t>
      </w:r>
      <w:r>
        <w:rPr>
          <w:rFonts w:hint="cs"/>
          <w:rtl/>
        </w:rPr>
        <w:t xml:space="preserve"> </w:t>
      </w:r>
      <w:r>
        <w:rPr>
          <w:rStyle w:val="af9"/>
          <w:rFonts w:hint="cs"/>
          <w:rtl/>
        </w:rPr>
        <w:t>בסוגיין</w:t>
      </w:r>
      <w:r w:rsidRPr="00634E86">
        <w:rPr>
          <w:rStyle w:val="af7"/>
          <w:rFonts w:eastAsia="Guttman Hodes" w:hint="cs"/>
          <w:rtl/>
        </w:rPr>
        <w:t xml:space="preserve"> (ד"ה והוי)</w:t>
      </w:r>
      <w:r>
        <w:rPr>
          <w:rFonts w:hint="cs"/>
          <w:rtl/>
        </w:rPr>
        <w:t xml:space="preserve"> </w:t>
      </w:r>
      <w:r>
        <w:rPr>
          <w:rStyle w:val="af9"/>
          <w:rFonts w:hint="cs"/>
          <w:rtl/>
        </w:rPr>
        <w:t>ו</w:t>
      </w:r>
      <w:r w:rsidRPr="005C04A2">
        <w:rPr>
          <w:rStyle w:val="af9"/>
          <w:rFonts w:hint="cs"/>
          <w:rtl/>
        </w:rPr>
        <w:t>בשבועות</w:t>
      </w:r>
      <w:r>
        <w:rPr>
          <w:rFonts w:hint="cs"/>
          <w:rtl/>
        </w:rPr>
        <w:t xml:space="preserve"> </w:t>
      </w:r>
      <w:r w:rsidRPr="005C04A2">
        <w:rPr>
          <w:rStyle w:val="af7"/>
          <w:rFonts w:eastAsia="Guttman Hodes" w:hint="cs"/>
          <w:rtl/>
        </w:rPr>
        <w:t xml:space="preserve">(לב: </w:t>
      </w:r>
      <w:r>
        <w:rPr>
          <w:rStyle w:val="af7"/>
          <w:rFonts w:eastAsia="Guttman Hodes" w:hint="cs"/>
          <w:rtl/>
        </w:rPr>
        <w:t>והדבר ידוע</w:t>
      </w:r>
      <w:r w:rsidRPr="005C04A2">
        <w:rPr>
          <w:rStyle w:val="af7"/>
          <w:rFonts w:eastAsia="Guttman Hodes" w:hint="cs"/>
          <w:rtl/>
        </w:rPr>
        <w:t>)</w:t>
      </w:r>
      <w:r>
        <w:rPr>
          <w:rStyle w:val="af7"/>
          <w:rFonts w:eastAsia="Guttman Hodes" w:hint="cs"/>
          <w:rtl/>
        </w:rPr>
        <w:t xml:space="preserve"> </w:t>
      </w:r>
      <w:r>
        <w:rPr>
          <w:rFonts w:hint="cs"/>
          <w:rtl/>
        </w:rPr>
        <w:t xml:space="preserve">דדין מתוך שאינו יכול לישבע משלם, הוא רק בשבועה דאו', ולא בשבועה דרבנן, עיי"ש במ"ש </w:t>
      </w:r>
      <w:r w:rsidRPr="00634E86">
        <w:rPr>
          <w:rStyle w:val="af9"/>
          <w:rFonts w:hint="cs"/>
          <w:rtl/>
        </w:rPr>
        <w:t>הריטב"א</w:t>
      </w:r>
      <w:r>
        <w:rPr>
          <w:rFonts w:hint="cs"/>
          <w:rtl/>
        </w:rPr>
        <w:t xml:space="preserve"> </w:t>
      </w:r>
      <w:r w:rsidRPr="005C04A2">
        <w:rPr>
          <w:rStyle w:val="af9"/>
          <w:rFonts w:hint="cs"/>
          <w:rtl/>
        </w:rPr>
        <w:t>בשבועות</w:t>
      </w:r>
      <w:r>
        <w:rPr>
          <w:rFonts w:hint="cs"/>
          <w:rtl/>
        </w:rPr>
        <w:t>.</w:t>
      </w:r>
    </w:p>
    <w:p w:rsidR="000F5507" w:rsidRDefault="000F5507" w:rsidP="000F5507">
      <w:pPr>
        <w:pStyle w:val="afe"/>
        <w:rPr>
          <w:rtl/>
        </w:rPr>
      </w:pPr>
      <w:bookmarkStart w:id="16503" w:name="_Toc65141946"/>
      <w:bookmarkStart w:id="16504" w:name="_Toc65185639"/>
      <w:bookmarkStart w:id="16505" w:name="_Toc65529979"/>
      <w:bookmarkStart w:id="16506" w:name="_Toc65604028"/>
      <w:bookmarkStart w:id="16507" w:name="_Toc65605918"/>
      <w:bookmarkStart w:id="16508" w:name="_Toc65617175"/>
      <w:bookmarkStart w:id="16509" w:name="_Toc65666139"/>
      <w:bookmarkStart w:id="16510" w:name="_Toc65689798"/>
      <w:bookmarkStart w:id="16511" w:name="_Toc65703338"/>
      <w:bookmarkStart w:id="16512" w:name="_Toc65714006"/>
      <w:bookmarkStart w:id="16513" w:name="_Toc65714862"/>
      <w:bookmarkStart w:id="16514" w:name="_Toc64925392"/>
      <w:bookmarkEnd w:id="16470"/>
      <w:bookmarkEnd w:id="16471"/>
      <w:bookmarkEnd w:id="16472"/>
      <w:bookmarkEnd w:id="16473"/>
      <w:bookmarkEnd w:id="16474"/>
      <w:bookmarkEnd w:id="16475"/>
      <w:bookmarkEnd w:id="16502"/>
      <w:r>
        <w:rPr>
          <w:rFonts w:hint="cs"/>
          <w:rtl/>
        </w:rPr>
        <w:t xml:space="preserve">דעת הראב"ן </w:t>
      </w:r>
      <w:bookmarkEnd w:id="16503"/>
      <w:bookmarkEnd w:id="16504"/>
      <w:bookmarkEnd w:id="16505"/>
      <w:bookmarkEnd w:id="16506"/>
      <w:bookmarkEnd w:id="16507"/>
      <w:bookmarkEnd w:id="16508"/>
      <w:bookmarkEnd w:id="16509"/>
      <w:bookmarkEnd w:id="16510"/>
      <w:bookmarkEnd w:id="16511"/>
      <w:r>
        <w:rPr>
          <w:rFonts w:hint="cs"/>
          <w:rtl/>
        </w:rPr>
        <w:t>דלשבועה זו חשוד כגזלן</w:t>
      </w:r>
      <w:bookmarkEnd w:id="16512"/>
      <w:bookmarkEnd w:id="16513"/>
    </w:p>
    <w:p w:rsidR="000F5507" w:rsidRDefault="000F5507" w:rsidP="000F5507">
      <w:pPr>
        <w:pStyle w:val="1"/>
        <w:rPr>
          <w:rtl/>
        </w:rPr>
      </w:pPr>
      <w:bookmarkStart w:id="16515" w:name="_Toc65141947"/>
      <w:bookmarkStart w:id="16516" w:name="_Toc65185640"/>
      <w:bookmarkStart w:id="16517" w:name="_Toc65529980"/>
      <w:bookmarkStart w:id="16518" w:name="_Toc65604029"/>
      <w:bookmarkStart w:id="16519" w:name="_Toc65605919"/>
      <w:bookmarkStart w:id="16520" w:name="_Toc65617176"/>
      <w:bookmarkStart w:id="16521" w:name="_Toc65666140"/>
      <w:bookmarkStart w:id="16522" w:name="_Toc65689799"/>
      <w:bookmarkStart w:id="16523" w:name="_Toc65703339"/>
      <w:bookmarkStart w:id="16524" w:name="_Toc65714007"/>
      <w:bookmarkStart w:id="16525" w:name="_Toc65714863"/>
      <w:r>
        <w:rPr>
          <w:rFonts w:hint="cs"/>
          <w:rtl/>
        </w:rPr>
        <w:t>ביאור הראב"ן</w:t>
      </w:r>
      <w:bookmarkEnd w:id="16515"/>
      <w:bookmarkEnd w:id="16516"/>
      <w:bookmarkEnd w:id="16517"/>
      <w:bookmarkEnd w:id="16518"/>
      <w:bookmarkEnd w:id="16519"/>
      <w:bookmarkEnd w:id="16520"/>
      <w:bookmarkEnd w:id="16521"/>
      <w:bookmarkEnd w:id="16522"/>
      <w:bookmarkEnd w:id="16523"/>
      <w:r w:rsidRPr="0061702F">
        <w:rPr>
          <w:rFonts w:hint="cs"/>
          <w:rtl/>
        </w:rPr>
        <w:t xml:space="preserve"> </w:t>
      </w:r>
      <w:r>
        <w:rPr>
          <w:rFonts w:hint="cs"/>
          <w:rtl/>
        </w:rPr>
        <w:t>בהא דא"א לחייבו וא"א לפוטרו מדין הפה שאסר</w:t>
      </w:r>
      <w:bookmarkEnd w:id="16524"/>
      <w:bookmarkEnd w:id="16525"/>
    </w:p>
    <w:p w:rsidR="000F5507" w:rsidRPr="00D13DDC" w:rsidRDefault="000F5507" w:rsidP="000F5507">
      <w:pPr>
        <w:pStyle w:val="a3"/>
        <w:rPr>
          <w:rtl/>
        </w:rPr>
      </w:pPr>
      <w:bookmarkStart w:id="16526" w:name="_Toc65666141"/>
      <w:bookmarkStart w:id="16527" w:name="_Toc65689800"/>
      <w:bookmarkStart w:id="16528" w:name="_Toc65703340"/>
      <w:bookmarkStart w:id="16529" w:name="_Toc65714008"/>
      <w:bookmarkStart w:id="16530" w:name="_Toc65714864"/>
      <w:r w:rsidRPr="00D13DDC">
        <w:rPr>
          <w:rFonts w:hint="cs"/>
          <w:rtl/>
        </w:rPr>
        <w:t>דברי הראב"ן דא"א לחייבו לשלם כיון שאין ב' עדים ואף שהודה שחטף נאמן מדין הפה שאסר</w:t>
      </w:r>
      <w:bookmarkEnd w:id="16526"/>
      <w:bookmarkEnd w:id="16527"/>
      <w:bookmarkEnd w:id="16528"/>
      <w:bookmarkEnd w:id="16529"/>
      <w:bookmarkEnd w:id="16530"/>
    </w:p>
    <w:p w:rsidR="000F5507" w:rsidRDefault="000F5507" w:rsidP="007E4E81">
      <w:pPr>
        <w:pStyle w:val="a0"/>
        <w:rPr>
          <w:rtl/>
        </w:rPr>
      </w:pPr>
      <w:r>
        <w:rPr>
          <w:rFonts w:hint="cs"/>
          <w:rtl/>
        </w:rPr>
        <w:t xml:space="preserve">כתב </w:t>
      </w:r>
      <w:r w:rsidRPr="007F5C42">
        <w:rPr>
          <w:rStyle w:val="af9"/>
          <w:rFonts w:hint="cs"/>
          <w:rtl/>
        </w:rPr>
        <w:t>הראב"ן</w:t>
      </w:r>
      <w:r>
        <w:rPr>
          <w:rFonts w:hint="cs"/>
          <w:rtl/>
        </w:rPr>
        <w:t xml:space="preserve"> </w:t>
      </w:r>
      <w:r w:rsidRPr="007D4A00">
        <w:rPr>
          <w:rStyle w:val="af7"/>
          <w:rFonts w:eastAsia="Guttman Hodes" w:hint="cs"/>
          <w:rtl/>
        </w:rPr>
        <w:t>(בתשו' בתחילת הספר סי' כ"ז ד"ה ראיתי</w:t>
      </w:r>
      <w:r>
        <w:rPr>
          <w:rStyle w:val="af7"/>
          <w:rFonts w:eastAsia="Guttman Hodes" w:hint="cs"/>
          <w:rtl/>
        </w:rPr>
        <w:t xml:space="preserve"> עמ</w:t>
      </w:r>
      <w:r>
        <w:rPr>
          <w:rStyle w:val="af7"/>
          <w:rFonts w:eastAsia="Guttman Hodes"/>
          <w:rtl/>
        </w:rPr>
        <w:t>'</w:t>
      </w:r>
      <w:r>
        <w:rPr>
          <w:rStyle w:val="af7"/>
          <w:rFonts w:eastAsia="Guttman Hodes" w:hint="cs"/>
          <w:rtl/>
        </w:rPr>
        <w:t xml:space="preserve"> </w:t>
      </w:r>
      <w:r w:rsidRPr="007D4A00">
        <w:rPr>
          <w:rStyle w:val="af7"/>
          <w:rFonts w:eastAsia="Guttman Hodes" w:hint="cs"/>
          <w:rtl/>
        </w:rPr>
        <w:t xml:space="preserve">כ"ד, </w:t>
      </w:r>
      <w:r>
        <w:rPr>
          <w:rStyle w:val="af7"/>
          <w:rFonts w:eastAsia="Guttman Hodes" w:hint="cs"/>
          <w:rtl/>
        </w:rPr>
        <w:t>מהדו</w:t>
      </w:r>
      <w:r>
        <w:rPr>
          <w:rStyle w:val="af7"/>
          <w:rFonts w:eastAsia="Guttman Hodes"/>
          <w:rtl/>
        </w:rPr>
        <w:t>'</w:t>
      </w:r>
      <w:r>
        <w:rPr>
          <w:rStyle w:val="af7"/>
          <w:rFonts w:eastAsia="Guttman Hodes" w:hint="cs"/>
          <w:rtl/>
        </w:rPr>
        <w:t xml:space="preserve"> חד</w:t>
      </w:r>
      <w:r>
        <w:rPr>
          <w:rStyle w:val="af7"/>
          <w:rFonts w:eastAsia="Guttman Hodes"/>
          <w:rtl/>
        </w:rPr>
        <w:t>'</w:t>
      </w:r>
      <w:r w:rsidRPr="007D4A00">
        <w:rPr>
          <w:rStyle w:val="af7"/>
          <w:rFonts w:eastAsia="Guttman Hodes" w:hint="cs"/>
          <w:rtl/>
        </w:rPr>
        <w:t xml:space="preserve"> ח"א עמ' צ"ח</w:t>
      </w:r>
      <w:r w:rsidRPr="00BA1DD1">
        <w:rPr>
          <w:rStyle w:val="af7"/>
          <w:rFonts w:eastAsia="Guttman Hodes" w:hint="cs"/>
          <w:rtl/>
        </w:rPr>
        <w:t>,</w:t>
      </w:r>
      <w:r w:rsidRPr="007E098A">
        <w:rPr>
          <w:rStyle w:val="af7"/>
          <w:rFonts w:eastAsia="Guttman Hodes" w:hint="cs"/>
          <w:rtl/>
        </w:rPr>
        <w:t xml:space="preserve"> הועתק בקובץ שיטות קמאי ב"ב ח"א עמ' </w:t>
      </w:r>
      <w:r w:rsidRPr="0007510E">
        <w:rPr>
          <w:rStyle w:val="af7"/>
          <w:rFonts w:eastAsia="Guttman Hodes"/>
          <w:rtl/>
        </w:rPr>
        <w:t>תתל"ט</w:t>
      </w:r>
      <w:r w:rsidRPr="007D4A00">
        <w:rPr>
          <w:rStyle w:val="af7"/>
          <w:rFonts w:eastAsia="Guttman Hodes" w:hint="cs"/>
          <w:rtl/>
        </w:rPr>
        <w:t>)</w:t>
      </w:r>
      <w:r>
        <w:rPr>
          <w:rFonts w:hint="cs"/>
          <w:rtl/>
        </w:rPr>
        <w:t xml:space="preserve"> דהא דאמר רבי אמי דא"א לומר לו לשלם, היינו כדאיתא בשבועות </w:t>
      </w:r>
      <w:r w:rsidRPr="007D4A00">
        <w:rPr>
          <w:rStyle w:val="af7"/>
          <w:rFonts w:eastAsia="Guttman Hodes" w:hint="cs"/>
          <w:rtl/>
        </w:rPr>
        <w:t>(מו.)</w:t>
      </w:r>
      <w:r>
        <w:rPr>
          <w:rFonts w:hint="cs"/>
          <w:rtl/>
        </w:rPr>
        <w:t xml:space="preserve"> דכשיש עדים שנכנס לביתו למשכנו, חייב להחזיר ואינו נאמן לטעון דידי שקלי, אבל הכא כיון שאין ב' עדים א"א לחייבו להחזיר, ואף שהוא עצמו מודה שחטף, מ"מ א"א לחייבו לשלם, כיון שהוא נאמן על החטיפה מדין הפה שאסר, [</w:t>
      </w:r>
      <w:r w:rsidRPr="0096788F">
        <w:rPr>
          <w:rStyle w:val="afb"/>
          <w:rFonts w:hint="cs"/>
          <w:rtl/>
        </w:rPr>
        <w:t xml:space="preserve">כמבואר במשנה בכתובות </w:t>
      </w:r>
      <w:r w:rsidRPr="0096788F">
        <w:rPr>
          <w:rStyle w:val="aff6"/>
          <w:rFonts w:hint="cs"/>
          <w:rtl/>
        </w:rPr>
        <w:t>(טו:)</w:t>
      </w:r>
      <w:r w:rsidRPr="0096788F">
        <w:rPr>
          <w:rStyle w:val="afb"/>
          <w:rFonts w:hint="cs"/>
          <w:rtl/>
        </w:rPr>
        <w:t xml:space="preserve">], </w:t>
      </w:r>
      <w:r>
        <w:rPr>
          <w:rFonts w:hint="cs"/>
          <w:rtl/>
        </w:rPr>
        <w:t>והפה שאמר אין חטפי הוא אמר גם דידי חטפי ונאמן בזה.</w:t>
      </w:r>
    </w:p>
    <w:p w:rsidR="000F5507" w:rsidRPr="00D13DDC" w:rsidRDefault="000F5507" w:rsidP="000F5507">
      <w:pPr>
        <w:pStyle w:val="a3"/>
        <w:rPr>
          <w:rtl/>
        </w:rPr>
      </w:pPr>
      <w:bookmarkStart w:id="16531" w:name="_Toc65666142"/>
      <w:bookmarkStart w:id="16532" w:name="_Toc65689801"/>
      <w:bookmarkStart w:id="16533" w:name="_Toc65703341"/>
      <w:bookmarkStart w:id="16534" w:name="_Toc65714009"/>
      <w:bookmarkStart w:id="16535" w:name="_Toc65714865"/>
      <w:r w:rsidRPr="00D13DDC">
        <w:rPr>
          <w:rFonts w:hint="cs"/>
          <w:rtl/>
        </w:rPr>
        <w:t>דברי הראב"ן דא"א לפוטרו ולהאמינו מדין הפה שאסר כיון שיש ע"א והודאתו היא מכח הע"א</w:t>
      </w:r>
      <w:bookmarkEnd w:id="16531"/>
      <w:bookmarkEnd w:id="16532"/>
      <w:bookmarkEnd w:id="16533"/>
      <w:bookmarkEnd w:id="16534"/>
      <w:bookmarkEnd w:id="16535"/>
    </w:p>
    <w:p w:rsidR="000F5507" w:rsidRDefault="000F5507" w:rsidP="007E4E81">
      <w:pPr>
        <w:pStyle w:val="a0"/>
        <w:rPr>
          <w:rtl/>
        </w:rPr>
      </w:pPr>
      <w:bookmarkStart w:id="16536" w:name="_Ref65701400"/>
      <w:r>
        <w:rPr>
          <w:rFonts w:hint="cs"/>
          <w:rtl/>
        </w:rPr>
        <w:t xml:space="preserve">וכתב </w:t>
      </w:r>
      <w:r w:rsidRPr="007F5C42">
        <w:rPr>
          <w:rStyle w:val="af9"/>
          <w:rFonts w:hint="cs"/>
          <w:rtl/>
        </w:rPr>
        <w:t>הראב"ן</w:t>
      </w:r>
      <w:r>
        <w:rPr>
          <w:rFonts w:hint="cs"/>
          <w:rtl/>
        </w:rPr>
        <w:t xml:space="preserve"> דאמר רבי אמי דאעפ"י שהוא נאמן מדין הפה שאסר, מ"מ א"א לפוטרו, כיון שיש ע"א שמעיד שחטף, והודאתו היא ע"י עדות העד, </w:t>
      </w:r>
      <w:r w:rsidRPr="00C6440C">
        <w:rPr>
          <w:rStyle w:val="afb"/>
          <w:rFonts w:hint="cs"/>
          <w:rtl/>
        </w:rPr>
        <w:t xml:space="preserve">[עי' בדברי </w:t>
      </w:r>
      <w:r w:rsidRPr="00C6440C">
        <w:rPr>
          <w:rStyle w:val="affa"/>
          <w:rFonts w:hint="cs"/>
          <w:rtl/>
        </w:rPr>
        <w:t>ר"ח</w:t>
      </w:r>
      <w:r w:rsidRPr="00C6440C">
        <w:rPr>
          <w:rStyle w:val="afb"/>
          <w:rFonts w:hint="cs"/>
          <w:rtl/>
        </w:rPr>
        <w:t xml:space="preserve"> </w:t>
      </w:r>
      <w:r w:rsidRPr="00C6440C">
        <w:rPr>
          <w:rStyle w:val="aff6"/>
          <w:rFonts w:hint="cs"/>
          <w:rtl/>
        </w:rPr>
        <w:t xml:space="preserve">(עי' אות </w:t>
      </w:r>
      <w:r w:rsidRPr="00C6440C">
        <w:rPr>
          <w:rStyle w:val="aff6"/>
          <w:rtl/>
        </w:rPr>
        <w:fldChar w:fldCharType="begin"/>
      </w:r>
      <w:r w:rsidRPr="00C6440C">
        <w:rPr>
          <w:rStyle w:val="aff6"/>
          <w:rtl/>
        </w:rPr>
        <w:instrText xml:space="preserve"> </w:instrText>
      </w:r>
      <w:r w:rsidRPr="00C6440C">
        <w:rPr>
          <w:rStyle w:val="aff6"/>
          <w:rFonts w:hint="cs"/>
        </w:rPr>
        <w:instrText>REF</w:instrText>
      </w:r>
      <w:r w:rsidRPr="00C6440C">
        <w:rPr>
          <w:rStyle w:val="aff6"/>
          <w:rFonts w:hint="cs"/>
          <w:rtl/>
        </w:rPr>
        <w:instrText xml:space="preserve"> _</w:instrText>
      </w:r>
      <w:r w:rsidRPr="00C6440C">
        <w:rPr>
          <w:rStyle w:val="aff6"/>
          <w:rFonts w:hint="cs"/>
        </w:rPr>
        <w:instrText>Ref65192570 \r \h</w:instrText>
      </w:r>
      <w:r w:rsidRPr="00C6440C">
        <w:rPr>
          <w:rStyle w:val="aff6"/>
          <w:rtl/>
        </w:rPr>
        <w:instrText xml:space="preserve"> </w:instrText>
      </w:r>
      <w:r w:rsidRPr="00C6440C">
        <w:rPr>
          <w:rStyle w:val="aff6"/>
          <w:rtl/>
        </w:rPr>
      </w:r>
      <w:r w:rsidRPr="00C6440C">
        <w:rPr>
          <w:rStyle w:val="aff6"/>
          <w:rtl/>
        </w:rPr>
        <w:fldChar w:fldCharType="separate"/>
      </w:r>
      <w:r w:rsidR="00265073">
        <w:rPr>
          <w:rStyle w:val="aff6"/>
          <w:cs/>
        </w:rPr>
        <w:t>‎</w:t>
      </w:r>
      <w:r w:rsidR="00265073">
        <w:rPr>
          <w:rStyle w:val="aff6"/>
          <w:rtl/>
        </w:rPr>
        <w:t>סה)</w:t>
      </w:r>
      <w:r w:rsidRPr="00C6440C">
        <w:rPr>
          <w:rStyle w:val="aff6"/>
          <w:rtl/>
        </w:rPr>
        <w:fldChar w:fldCharType="end"/>
      </w:r>
      <w:r w:rsidRPr="00C6440C">
        <w:rPr>
          <w:rStyle w:val="afb"/>
          <w:rFonts w:hint="cs"/>
          <w:rtl/>
        </w:rPr>
        <w:t>],</w:t>
      </w:r>
      <w:r>
        <w:rPr>
          <w:rFonts w:hint="cs"/>
          <w:rtl/>
        </w:rPr>
        <w:t xml:space="preserve"> וא"כ א"א להאמין לו מדין הפה שאסר.</w:t>
      </w:r>
      <w:bookmarkEnd w:id="16536"/>
    </w:p>
    <w:p w:rsidR="000F5507" w:rsidRDefault="000F5507" w:rsidP="000F5507">
      <w:pPr>
        <w:pStyle w:val="1"/>
        <w:rPr>
          <w:rtl/>
        </w:rPr>
      </w:pPr>
      <w:bookmarkStart w:id="16537" w:name="_Toc65666143"/>
      <w:bookmarkStart w:id="16538" w:name="_Toc65689802"/>
      <w:bookmarkStart w:id="16539" w:name="_Toc65703342"/>
      <w:bookmarkStart w:id="16540" w:name="_Toc65714010"/>
      <w:bookmarkStart w:id="16541" w:name="_Toc65714866"/>
      <w:r>
        <w:rPr>
          <w:rFonts w:hint="cs"/>
          <w:rtl/>
        </w:rPr>
        <w:t>קושיות הראב"ן</w:t>
      </w:r>
      <w:bookmarkEnd w:id="16537"/>
      <w:bookmarkEnd w:id="16538"/>
      <w:bookmarkEnd w:id="16539"/>
      <w:r>
        <w:rPr>
          <w:rFonts w:hint="cs"/>
          <w:rtl/>
        </w:rPr>
        <w:t xml:space="preserve"> אמאי אינו יכול להשבע ואינו נאמן במיגו</w:t>
      </w:r>
      <w:bookmarkEnd w:id="16540"/>
      <w:bookmarkEnd w:id="16541"/>
    </w:p>
    <w:p w:rsidR="000F5507" w:rsidRPr="00D13DDC" w:rsidRDefault="000F5507" w:rsidP="000F5507">
      <w:pPr>
        <w:pStyle w:val="a3"/>
        <w:rPr>
          <w:rtl/>
        </w:rPr>
      </w:pPr>
      <w:bookmarkStart w:id="16542" w:name="_Toc65666144"/>
      <w:bookmarkStart w:id="16543" w:name="_Toc65689803"/>
      <w:bookmarkStart w:id="16544" w:name="_Toc65703343"/>
      <w:bookmarkStart w:id="16545" w:name="_Toc65714011"/>
      <w:bookmarkStart w:id="16546" w:name="_Toc65714867"/>
      <w:r w:rsidRPr="00D13DDC">
        <w:rPr>
          <w:rFonts w:hint="cs"/>
          <w:rtl/>
        </w:rPr>
        <w:t>קושית הראב"ן דאמאי אינו נאמן בטענת דידי חטפי בשבועה במיגו דהיה נשבע דלא חטף</w:t>
      </w:r>
      <w:bookmarkEnd w:id="16542"/>
      <w:bookmarkEnd w:id="16543"/>
      <w:bookmarkEnd w:id="16544"/>
      <w:bookmarkEnd w:id="16545"/>
      <w:bookmarkEnd w:id="16546"/>
      <w:r w:rsidRPr="00D13DDC">
        <w:rPr>
          <w:rFonts w:hint="cs"/>
          <w:rtl/>
        </w:rPr>
        <w:t xml:space="preserve"> </w:t>
      </w:r>
    </w:p>
    <w:p w:rsidR="000F5507" w:rsidRDefault="000F5507" w:rsidP="007E4E81">
      <w:pPr>
        <w:pStyle w:val="a0"/>
        <w:rPr>
          <w:rtl/>
        </w:rPr>
      </w:pPr>
      <w:r>
        <w:rPr>
          <w:rFonts w:hint="cs"/>
          <w:rtl/>
        </w:rPr>
        <w:t xml:space="preserve">אך הקשה </w:t>
      </w:r>
      <w:r w:rsidRPr="007F5C42">
        <w:rPr>
          <w:rStyle w:val="af9"/>
          <w:rFonts w:hint="cs"/>
          <w:rtl/>
        </w:rPr>
        <w:t>הראב"ן</w:t>
      </w:r>
      <w:r w:rsidRPr="002668AF">
        <w:rPr>
          <w:rStyle w:val="af9"/>
          <w:rFonts w:hint="cs"/>
          <w:rtl/>
        </w:rPr>
        <w:t xml:space="preserve"> </w:t>
      </w:r>
      <w:r w:rsidRPr="007D4A00">
        <w:rPr>
          <w:rStyle w:val="af7"/>
          <w:rFonts w:eastAsia="Guttman Hodes" w:hint="cs"/>
          <w:rtl/>
        </w:rPr>
        <w:t>(בתשו' בתחילת הספר סי' כ"ז ד"ה ראיתי</w:t>
      </w:r>
      <w:r>
        <w:rPr>
          <w:rStyle w:val="af7"/>
          <w:rFonts w:eastAsia="Guttman Hodes" w:hint="cs"/>
          <w:rtl/>
        </w:rPr>
        <w:t xml:space="preserve"> עמ</w:t>
      </w:r>
      <w:r>
        <w:rPr>
          <w:rStyle w:val="af7"/>
          <w:rFonts w:eastAsia="Guttman Hodes"/>
          <w:rtl/>
        </w:rPr>
        <w:t>'</w:t>
      </w:r>
      <w:r>
        <w:rPr>
          <w:rStyle w:val="af7"/>
          <w:rFonts w:eastAsia="Guttman Hodes" w:hint="cs"/>
          <w:rtl/>
        </w:rPr>
        <w:t xml:space="preserve"> </w:t>
      </w:r>
      <w:r w:rsidRPr="007D4A00">
        <w:rPr>
          <w:rStyle w:val="af7"/>
          <w:rFonts w:eastAsia="Guttman Hodes" w:hint="cs"/>
          <w:rtl/>
        </w:rPr>
        <w:t xml:space="preserve">כ"ד, </w:t>
      </w:r>
      <w:r>
        <w:rPr>
          <w:rStyle w:val="af7"/>
          <w:rFonts w:eastAsia="Guttman Hodes" w:hint="cs"/>
          <w:rtl/>
        </w:rPr>
        <w:t>מהדו</w:t>
      </w:r>
      <w:r>
        <w:rPr>
          <w:rStyle w:val="af7"/>
          <w:rFonts w:eastAsia="Guttman Hodes"/>
          <w:rtl/>
        </w:rPr>
        <w:t>'</w:t>
      </w:r>
      <w:r>
        <w:rPr>
          <w:rStyle w:val="af7"/>
          <w:rFonts w:eastAsia="Guttman Hodes" w:hint="cs"/>
          <w:rtl/>
        </w:rPr>
        <w:t xml:space="preserve"> חד</w:t>
      </w:r>
      <w:r>
        <w:rPr>
          <w:rStyle w:val="af7"/>
          <w:rFonts w:eastAsia="Guttman Hodes"/>
          <w:rtl/>
        </w:rPr>
        <w:t>'</w:t>
      </w:r>
      <w:r w:rsidRPr="007D4A00">
        <w:rPr>
          <w:rStyle w:val="af7"/>
          <w:rFonts w:eastAsia="Guttman Hodes" w:hint="cs"/>
          <w:rtl/>
        </w:rPr>
        <w:t xml:space="preserve"> ח"א עמ' צ"ח</w:t>
      </w:r>
      <w:r w:rsidRPr="00BA1DD1">
        <w:rPr>
          <w:rStyle w:val="af7"/>
          <w:rFonts w:eastAsia="Guttman Hodes" w:hint="cs"/>
          <w:rtl/>
        </w:rPr>
        <w:t>,</w:t>
      </w:r>
      <w:r w:rsidRPr="007E098A">
        <w:rPr>
          <w:rStyle w:val="af7"/>
          <w:rFonts w:eastAsia="Guttman Hodes" w:hint="cs"/>
          <w:rtl/>
        </w:rPr>
        <w:t xml:space="preserve"> הועתק בקובץ שיטות קמאי ב"ב ח"א עמ' </w:t>
      </w:r>
      <w:r w:rsidRPr="0007510E">
        <w:rPr>
          <w:rStyle w:val="af7"/>
          <w:rFonts w:eastAsia="Guttman Hodes"/>
          <w:rtl/>
        </w:rPr>
        <w:t>תתל"ט</w:t>
      </w:r>
      <w:r w:rsidRPr="007D4A00">
        <w:rPr>
          <w:rStyle w:val="af7"/>
          <w:rFonts w:eastAsia="Guttman Hodes" w:hint="cs"/>
          <w:rtl/>
        </w:rPr>
        <w:t>)</w:t>
      </w:r>
      <w:r>
        <w:rPr>
          <w:rFonts w:hint="cs"/>
          <w:rtl/>
        </w:rPr>
        <w:t xml:space="preserve"> דאמאי אינו נאמן בטענת דידי חטפי בשבועה, במיגו שהיה טוען לא חטפי דהיה נאמן בשבועה, כדמוכח בגמ' לקמן </w:t>
      </w:r>
      <w:r w:rsidRPr="007D4A00">
        <w:rPr>
          <w:rStyle w:val="af7"/>
          <w:rFonts w:eastAsia="Guttman Hodes" w:hint="cs"/>
          <w:rtl/>
        </w:rPr>
        <w:t>(ע.)</w:t>
      </w:r>
      <w:r>
        <w:rPr>
          <w:rFonts w:hint="cs"/>
          <w:rtl/>
        </w:rPr>
        <w:t xml:space="preserve"> דמהני מיגו בכה"ג.</w:t>
      </w:r>
      <w:r w:rsidRPr="00D36119">
        <w:rPr>
          <w:rStyle w:val="afb"/>
          <w:rFonts w:hint="cs"/>
          <w:rtl/>
        </w:rPr>
        <w:t xml:space="preserve"> [כדהקשו </w:t>
      </w:r>
      <w:r w:rsidRPr="00D36119">
        <w:rPr>
          <w:rStyle w:val="affa"/>
          <w:rFonts w:hint="cs"/>
          <w:rtl/>
        </w:rPr>
        <w:t>התוס'</w:t>
      </w:r>
      <w:r>
        <w:rPr>
          <w:rFonts w:hint="cs"/>
          <w:rtl/>
        </w:rPr>
        <w:t xml:space="preserve"> </w:t>
      </w:r>
      <w:r w:rsidRPr="00B2145B">
        <w:rPr>
          <w:rStyle w:val="aff6"/>
          <w:rFonts w:hint="cs"/>
          <w:rtl/>
        </w:rPr>
        <w:t xml:space="preserve">(ד"ה הוי) </w:t>
      </w:r>
      <w:r w:rsidRPr="00D36119">
        <w:rPr>
          <w:rStyle w:val="affa"/>
          <w:rFonts w:hint="cs"/>
          <w:rtl/>
        </w:rPr>
        <w:t>והראשונים</w:t>
      </w:r>
      <w:r>
        <w:rPr>
          <w:rStyle w:val="afb"/>
          <w:rFonts w:hint="cs"/>
          <w:rtl/>
        </w:rPr>
        <w:t xml:space="preserve">, </w:t>
      </w:r>
      <w:r w:rsidRPr="004769A2">
        <w:rPr>
          <w:rStyle w:val="afb"/>
          <w:rFonts w:hint="cs"/>
          <w:rtl/>
        </w:rPr>
        <w:t>אי"ה יובאו דבריהם בהמשך]</w:t>
      </w:r>
      <w:r w:rsidRPr="00645D5B">
        <w:rPr>
          <w:rStyle w:val="afb"/>
          <w:rFonts w:hint="cs"/>
          <w:rtl/>
        </w:rPr>
        <w:t>].</w:t>
      </w:r>
    </w:p>
    <w:p w:rsidR="000F5507" w:rsidRPr="00103A68" w:rsidRDefault="000F5507" w:rsidP="000F5507">
      <w:pPr>
        <w:pStyle w:val="a3"/>
        <w:rPr>
          <w:rtl/>
        </w:rPr>
      </w:pPr>
    </w:p>
    <w:p w:rsidR="000F5507" w:rsidRPr="00D13DDC" w:rsidRDefault="000F5507" w:rsidP="000F5507">
      <w:pPr>
        <w:pStyle w:val="a3"/>
        <w:rPr>
          <w:rtl/>
        </w:rPr>
      </w:pPr>
      <w:bookmarkStart w:id="16547" w:name="_Toc65666145"/>
      <w:bookmarkStart w:id="16548" w:name="_Toc65689804"/>
      <w:bookmarkStart w:id="16549" w:name="_Toc65703344"/>
      <w:bookmarkStart w:id="16550" w:name="_Toc65714012"/>
      <w:bookmarkStart w:id="16551" w:name="_Toc65714868"/>
      <w:r w:rsidRPr="00D13DDC">
        <w:rPr>
          <w:rFonts w:hint="cs"/>
          <w:rtl/>
        </w:rPr>
        <w:lastRenderedPageBreak/>
        <w:t>קושית המרדכי בשם הראב"ן דאי אינו יכול להשבע כיון שהודה א"כ אמאי אמרינן דהו"ל כגזלן</w:t>
      </w:r>
      <w:bookmarkEnd w:id="16547"/>
      <w:bookmarkEnd w:id="16548"/>
      <w:bookmarkEnd w:id="16549"/>
      <w:bookmarkEnd w:id="16550"/>
      <w:bookmarkEnd w:id="16551"/>
    </w:p>
    <w:p w:rsidR="000F5507" w:rsidRDefault="000F5507" w:rsidP="007E4E81">
      <w:pPr>
        <w:pStyle w:val="a0"/>
        <w:rPr>
          <w:rtl/>
        </w:rPr>
      </w:pPr>
      <w:bookmarkStart w:id="16552" w:name="_Ref65575628"/>
      <w:r>
        <w:rPr>
          <w:rFonts w:hint="cs"/>
          <w:rtl/>
        </w:rPr>
        <w:t xml:space="preserve">ועוד הביא </w:t>
      </w:r>
      <w:r w:rsidRPr="00554D2B">
        <w:rPr>
          <w:rStyle w:val="af9"/>
          <w:rFonts w:hint="cs"/>
          <w:rtl/>
        </w:rPr>
        <w:t>המרדכי</w:t>
      </w:r>
      <w:r>
        <w:rPr>
          <w:rFonts w:hint="cs"/>
          <w:rtl/>
        </w:rPr>
        <w:t xml:space="preserve"> </w:t>
      </w:r>
      <w:r w:rsidRPr="00554D2B">
        <w:rPr>
          <w:rStyle w:val="af7"/>
          <w:rFonts w:eastAsia="Guttman Hodes" w:hint="cs"/>
          <w:rtl/>
        </w:rPr>
        <w:t>(רמז תקכ"ח)</w:t>
      </w:r>
      <w:r>
        <w:rPr>
          <w:rFonts w:hint="cs"/>
          <w:rtl/>
        </w:rPr>
        <w:t xml:space="preserve"> בשם </w:t>
      </w:r>
      <w:r w:rsidRPr="00554D2B">
        <w:rPr>
          <w:rStyle w:val="af9"/>
          <w:rFonts w:hint="cs"/>
          <w:rtl/>
        </w:rPr>
        <w:t>האביאסף</w:t>
      </w:r>
      <w:r>
        <w:rPr>
          <w:rFonts w:hint="cs"/>
          <w:rtl/>
        </w:rPr>
        <w:t xml:space="preserve"> דהא דאינו יכול להשבע, היינו שהוא צריך להשבע להכחיש את הע"א, ואינו יכול להשבע, כיון דאמר אין חטפי ודידי חטפי, והביא </w:t>
      </w:r>
      <w:r w:rsidRPr="00554D2B">
        <w:rPr>
          <w:rStyle w:val="af9"/>
          <w:rFonts w:hint="cs"/>
          <w:rtl/>
        </w:rPr>
        <w:t>המרדכי</w:t>
      </w:r>
      <w:r>
        <w:rPr>
          <w:rFonts w:hint="cs"/>
          <w:rtl/>
        </w:rPr>
        <w:t xml:space="preserve"> בשם </w:t>
      </w:r>
      <w:r w:rsidRPr="00554D2B">
        <w:rPr>
          <w:rStyle w:val="af9"/>
          <w:rFonts w:hint="cs"/>
          <w:rtl/>
        </w:rPr>
        <w:t>הראב"ן</w:t>
      </w:r>
      <w:r>
        <w:rPr>
          <w:rFonts w:hint="cs"/>
          <w:rtl/>
        </w:rPr>
        <w:t xml:space="preserve"> </w:t>
      </w:r>
      <w:r w:rsidRPr="007D4A00">
        <w:rPr>
          <w:rStyle w:val="af7"/>
          <w:rFonts w:eastAsia="Guttman Hodes" w:hint="cs"/>
          <w:rtl/>
        </w:rPr>
        <w:t xml:space="preserve">(בתשו' בתחילת הספר סי' כ"ז </w:t>
      </w:r>
      <w:r>
        <w:rPr>
          <w:rStyle w:val="af7"/>
          <w:rFonts w:eastAsia="Guttman Hodes" w:hint="cs"/>
          <w:rtl/>
        </w:rPr>
        <w:t xml:space="preserve">ריש </w:t>
      </w:r>
      <w:r w:rsidRPr="007D4A00">
        <w:rPr>
          <w:rStyle w:val="af7"/>
          <w:rFonts w:eastAsia="Guttman Hodes" w:hint="cs"/>
          <w:rtl/>
        </w:rPr>
        <w:t>עמ' כ"</w:t>
      </w:r>
      <w:r>
        <w:rPr>
          <w:rStyle w:val="af7"/>
          <w:rFonts w:eastAsia="Guttman Hodes" w:hint="cs"/>
          <w:rtl/>
        </w:rPr>
        <w:t>ו</w:t>
      </w:r>
      <w:r w:rsidRPr="007D4A00">
        <w:rPr>
          <w:rStyle w:val="af7"/>
          <w:rFonts w:eastAsia="Guttman Hodes" w:hint="cs"/>
          <w:rtl/>
        </w:rPr>
        <w:t xml:space="preserve">, </w:t>
      </w:r>
      <w:r>
        <w:rPr>
          <w:rStyle w:val="af7"/>
          <w:rFonts w:eastAsia="Guttman Hodes" w:hint="cs"/>
          <w:rtl/>
        </w:rPr>
        <w:t>מהדו</w:t>
      </w:r>
      <w:r>
        <w:rPr>
          <w:rStyle w:val="af7"/>
          <w:rFonts w:eastAsia="Guttman Hodes"/>
          <w:rtl/>
        </w:rPr>
        <w:t>'</w:t>
      </w:r>
      <w:r>
        <w:rPr>
          <w:rStyle w:val="af7"/>
          <w:rFonts w:eastAsia="Guttman Hodes" w:hint="cs"/>
          <w:rtl/>
        </w:rPr>
        <w:t xml:space="preserve"> חד</w:t>
      </w:r>
      <w:r>
        <w:rPr>
          <w:rStyle w:val="af7"/>
          <w:rFonts w:eastAsia="Guttman Hodes"/>
          <w:rtl/>
        </w:rPr>
        <w:t>'</w:t>
      </w:r>
      <w:r w:rsidRPr="007D4A00">
        <w:rPr>
          <w:rStyle w:val="af7"/>
          <w:rFonts w:eastAsia="Guttman Hodes" w:hint="cs"/>
          <w:rtl/>
        </w:rPr>
        <w:t xml:space="preserve"> ח"א עמ' </w:t>
      </w:r>
      <w:r>
        <w:rPr>
          <w:rStyle w:val="af7"/>
          <w:rFonts w:eastAsia="Guttman Hodes" w:hint="cs"/>
          <w:rtl/>
        </w:rPr>
        <w:t>ק"א ד"ה ורבותי</w:t>
      </w:r>
      <w:r w:rsidRPr="00BA1DD1">
        <w:rPr>
          <w:rStyle w:val="af7"/>
          <w:rFonts w:eastAsia="Guttman Hodes" w:hint="cs"/>
          <w:rtl/>
        </w:rPr>
        <w:t>,</w:t>
      </w:r>
      <w:r w:rsidRPr="007E098A">
        <w:rPr>
          <w:rStyle w:val="af7"/>
          <w:rFonts w:eastAsia="Guttman Hodes" w:hint="cs"/>
          <w:rtl/>
        </w:rPr>
        <w:t xml:space="preserve"> הועתק בקובץ שיטות קמאי ב"ב ח"א עמ' </w:t>
      </w:r>
      <w:r w:rsidRPr="0007510E">
        <w:rPr>
          <w:rStyle w:val="af7"/>
          <w:rFonts w:eastAsia="Guttman Hodes"/>
          <w:rtl/>
        </w:rPr>
        <w:t>תתל"ט</w:t>
      </w:r>
      <w:r w:rsidRPr="007D4A00">
        <w:rPr>
          <w:rStyle w:val="af7"/>
          <w:rFonts w:eastAsia="Guttman Hodes" w:hint="cs"/>
          <w:rtl/>
        </w:rPr>
        <w:t>)</w:t>
      </w:r>
      <w:r>
        <w:rPr>
          <w:rFonts w:hint="cs"/>
          <w:rtl/>
        </w:rPr>
        <w:t xml:space="preserve"> דהקשה דא"כ לא היה לגמ' לומר דאינו יכול להשבע כיון שהוא גזלן,</w:t>
      </w:r>
      <w:r w:rsidRPr="00F51A53">
        <w:rPr>
          <w:rFonts w:hint="cs"/>
          <w:rtl/>
        </w:rPr>
        <w:t xml:space="preserve"> </w:t>
      </w:r>
      <w:r w:rsidRPr="00466489">
        <w:rPr>
          <w:rStyle w:val="afb"/>
          <w:rFonts w:hint="cs"/>
          <w:rtl/>
        </w:rPr>
        <w:t>[והיינו כגי'</w:t>
      </w:r>
      <w:r>
        <w:rPr>
          <w:rStyle w:val="afb"/>
          <w:rFonts w:hint="cs"/>
          <w:rtl/>
        </w:rPr>
        <w:t xml:space="preserve"> הנוסחאות שהביאו</w:t>
      </w:r>
      <w:r w:rsidRPr="00466489">
        <w:rPr>
          <w:rStyle w:val="afb"/>
          <w:rFonts w:hint="cs"/>
          <w:rtl/>
        </w:rPr>
        <w:t xml:space="preserve"> </w:t>
      </w:r>
      <w:r w:rsidRPr="002F7C87">
        <w:rPr>
          <w:rStyle w:val="affa"/>
          <w:rFonts w:hint="cs"/>
          <w:rtl/>
        </w:rPr>
        <w:t>ר"ח והראשונים</w:t>
      </w:r>
      <w:r w:rsidRPr="002F7C87">
        <w:rPr>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Ref65690180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מט)</w:t>
      </w:r>
      <w:r>
        <w:rPr>
          <w:rStyle w:val="aff6"/>
          <w:rtl/>
        </w:rPr>
        <w:fldChar w:fldCharType="end"/>
      </w:r>
      <w:r>
        <w:rPr>
          <w:rStyle w:val="afb"/>
          <w:rFonts w:hint="cs"/>
          <w:rtl/>
        </w:rPr>
        <w:t xml:space="preserve"> </w:t>
      </w:r>
      <w:r w:rsidRPr="00466489">
        <w:rPr>
          <w:rStyle w:val="afb"/>
          <w:rFonts w:hint="cs"/>
          <w:rtl/>
        </w:rPr>
        <w:t>דלישתבע</w:t>
      </w:r>
      <w:r>
        <w:rPr>
          <w:rStyle w:val="afb"/>
          <w:rFonts w:hint="cs"/>
          <w:rtl/>
        </w:rPr>
        <w:t xml:space="preserve"> </w:t>
      </w:r>
      <w:r w:rsidRPr="00466489">
        <w:rPr>
          <w:rStyle w:val="afb"/>
          <w:rFonts w:hint="cs"/>
          <w:rtl/>
        </w:rPr>
        <w:t xml:space="preserve">הו"ל כגזלן], </w:t>
      </w:r>
      <w:r>
        <w:rPr>
          <w:rFonts w:hint="cs"/>
          <w:rtl/>
        </w:rPr>
        <w:t xml:space="preserve">אלא היה לגמ' לומר דאינו יכול להשבע כיון שהודה שחטף, </w:t>
      </w:r>
      <w:r w:rsidRPr="00F275C3">
        <w:rPr>
          <w:rStyle w:val="afb"/>
          <w:rFonts w:hint="cs"/>
          <w:rtl/>
        </w:rPr>
        <w:t>[</w:t>
      </w:r>
      <w:r>
        <w:rPr>
          <w:rStyle w:val="afb"/>
          <w:rFonts w:hint="cs"/>
          <w:rtl/>
        </w:rPr>
        <w:t>ובאמת כן היא גירסת</w:t>
      </w:r>
      <w:r w:rsidRPr="00F275C3">
        <w:rPr>
          <w:rStyle w:val="afb"/>
          <w:rFonts w:hint="cs"/>
          <w:rtl/>
        </w:rPr>
        <w:t xml:space="preserve"> </w:t>
      </w:r>
      <w:r>
        <w:rPr>
          <w:rStyle w:val="affa"/>
          <w:rFonts w:hint="cs"/>
          <w:rtl/>
        </w:rPr>
        <w:t xml:space="preserve">הרי"ף </w:t>
      </w:r>
      <w:r w:rsidRPr="00F275C3">
        <w:rPr>
          <w:rStyle w:val="aff6"/>
          <w:rFonts w:hint="cs"/>
          <w:rtl/>
        </w:rPr>
        <w:t>(</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Ref65689731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מה)</w:t>
      </w:r>
      <w:r>
        <w:rPr>
          <w:rStyle w:val="aff6"/>
          <w:rtl/>
        </w:rPr>
        <w:fldChar w:fldCharType="end"/>
      </w:r>
      <w:r>
        <w:rPr>
          <w:rStyle w:val="afb"/>
          <w:rtl/>
        </w:rPr>
        <w:t xml:space="preserve"> </w:t>
      </w:r>
      <w:r>
        <w:rPr>
          <w:rStyle w:val="affa"/>
          <w:rFonts w:hint="cs"/>
          <w:rtl/>
        </w:rPr>
        <w:t>ו</w:t>
      </w:r>
      <w:r w:rsidRPr="00F275C3">
        <w:rPr>
          <w:rStyle w:val="affa"/>
          <w:rFonts w:hint="cs"/>
          <w:rtl/>
        </w:rPr>
        <w:t>הריטב"א</w:t>
      </w:r>
      <w:r>
        <w:rPr>
          <w:rStyle w:val="afb"/>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Ref65689874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מו)</w:t>
      </w:r>
      <w:r>
        <w:rPr>
          <w:rStyle w:val="aff6"/>
          <w:rtl/>
        </w:rPr>
        <w:fldChar w:fldCharType="end"/>
      </w:r>
      <w:r>
        <w:rPr>
          <w:rStyle w:val="aff6"/>
          <w:rFonts w:hint="cs"/>
          <w:rtl/>
        </w:rPr>
        <w:t xml:space="preserve"> </w:t>
      </w:r>
      <w:r w:rsidRPr="00F275C3">
        <w:rPr>
          <w:rStyle w:val="afb"/>
          <w:rFonts w:hint="cs"/>
          <w:rtl/>
        </w:rPr>
        <w:t>דלישתבע הא קא מודה</w:t>
      </w:r>
      <w:r>
        <w:rPr>
          <w:rStyle w:val="afb"/>
          <w:rFonts w:hint="cs"/>
          <w:rtl/>
        </w:rPr>
        <w:t>],</w:t>
      </w:r>
      <w:r w:rsidRPr="00203765">
        <w:rPr>
          <w:rFonts w:hint="cs"/>
          <w:rtl/>
        </w:rPr>
        <w:t xml:space="preserve"> </w:t>
      </w:r>
      <w:r>
        <w:rPr>
          <w:rFonts w:hint="cs"/>
          <w:rtl/>
        </w:rPr>
        <w:t xml:space="preserve">ועי' במ"ש </w:t>
      </w:r>
      <w:r w:rsidRPr="00203765">
        <w:rPr>
          <w:rStyle w:val="af9"/>
          <w:rFonts w:hint="cs"/>
          <w:rtl/>
        </w:rPr>
        <w:t>בחי' רבי נחום</w:t>
      </w:r>
      <w:r>
        <w:rPr>
          <w:rFonts w:hint="cs"/>
          <w:rtl/>
        </w:rPr>
        <w:t xml:space="preserve"> </w:t>
      </w:r>
      <w:r w:rsidRPr="00203765">
        <w:rPr>
          <w:rStyle w:val="af7"/>
          <w:rFonts w:eastAsia="Guttman Hodes" w:hint="cs"/>
          <w:rtl/>
        </w:rPr>
        <w:t xml:space="preserve">(עי' אות </w:t>
      </w:r>
      <w:r w:rsidRPr="00203765">
        <w:rPr>
          <w:rStyle w:val="af7"/>
          <w:rFonts w:eastAsia="Guttman Hodes"/>
          <w:rtl/>
        </w:rPr>
        <w:fldChar w:fldCharType="begin"/>
      </w:r>
      <w:r w:rsidRPr="00203765">
        <w:rPr>
          <w:rStyle w:val="af7"/>
          <w:rFonts w:eastAsia="Guttman Hodes"/>
          <w:rtl/>
        </w:rPr>
        <w:instrText xml:space="preserve"> </w:instrText>
      </w:r>
      <w:r w:rsidRPr="00203765">
        <w:rPr>
          <w:rStyle w:val="af7"/>
          <w:rFonts w:eastAsia="Guttman Hodes" w:hint="cs"/>
        </w:rPr>
        <w:instrText>REF</w:instrText>
      </w:r>
      <w:r w:rsidRPr="00203765">
        <w:rPr>
          <w:rStyle w:val="af7"/>
          <w:rFonts w:eastAsia="Guttman Hodes" w:hint="cs"/>
          <w:rtl/>
        </w:rPr>
        <w:instrText xml:space="preserve"> _</w:instrText>
      </w:r>
      <w:r w:rsidRPr="00203765">
        <w:rPr>
          <w:rStyle w:val="af7"/>
          <w:rFonts w:eastAsia="Guttman Hodes" w:hint="cs"/>
        </w:rPr>
        <w:instrText>Ref65575609 \r \h</w:instrText>
      </w:r>
      <w:r w:rsidRPr="00203765">
        <w:rPr>
          <w:rStyle w:val="af7"/>
          <w:rFonts w:eastAsia="Guttman Hodes"/>
          <w:rtl/>
        </w:rPr>
        <w:instrText xml:space="preserve"> </w:instrText>
      </w:r>
      <w:r w:rsidRPr="00203765">
        <w:rPr>
          <w:rStyle w:val="af7"/>
          <w:rFonts w:eastAsia="Guttman Hodes"/>
          <w:rtl/>
        </w:rPr>
      </w:r>
      <w:r w:rsidRPr="00203765">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203765">
        <w:rPr>
          <w:rStyle w:val="af7"/>
          <w:rFonts w:eastAsia="Guttman Hodes"/>
          <w:rtl/>
        </w:rPr>
        <w:fldChar w:fldCharType="end"/>
      </w:r>
      <w:r>
        <w:rPr>
          <w:rFonts w:hint="cs"/>
          <w:rtl/>
        </w:rPr>
        <w:t>.</w:t>
      </w:r>
      <w:bookmarkEnd w:id="16552"/>
    </w:p>
    <w:p w:rsidR="000F5507" w:rsidRPr="00D13DDC" w:rsidRDefault="000F5507" w:rsidP="000F5507">
      <w:pPr>
        <w:pStyle w:val="a3"/>
        <w:rPr>
          <w:rtl/>
        </w:rPr>
      </w:pPr>
      <w:bookmarkStart w:id="16553" w:name="_Toc65666146"/>
      <w:bookmarkStart w:id="16554" w:name="_Toc65689805"/>
      <w:bookmarkStart w:id="16555" w:name="_Toc65703345"/>
      <w:bookmarkStart w:id="16556" w:name="_Toc65714013"/>
      <w:bookmarkStart w:id="16557" w:name="_Toc65714869"/>
      <w:r w:rsidRPr="00D13DDC">
        <w:rPr>
          <w:rFonts w:hint="cs"/>
          <w:rtl/>
        </w:rPr>
        <w:t>קו' המרדכי בשם הראב"ן דאמאי נפסל כגזלן הא דמי לע"א שנתן לו נסכא וטוען ששלו נתן לו</w:t>
      </w:r>
      <w:bookmarkEnd w:id="16553"/>
      <w:bookmarkEnd w:id="16554"/>
      <w:bookmarkEnd w:id="16555"/>
      <w:bookmarkEnd w:id="16556"/>
      <w:bookmarkEnd w:id="16557"/>
    </w:p>
    <w:p w:rsidR="000F5507" w:rsidRDefault="000F5507" w:rsidP="007E4E81">
      <w:pPr>
        <w:pStyle w:val="a0"/>
        <w:rPr>
          <w:rtl/>
        </w:rPr>
      </w:pPr>
      <w:r>
        <w:rPr>
          <w:rFonts w:hint="cs"/>
          <w:rtl/>
        </w:rPr>
        <w:t xml:space="preserve">ועוד הקשה </w:t>
      </w:r>
      <w:r w:rsidRPr="00554D2B">
        <w:rPr>
          <w:rStyle w:val="af9"/>
          <w:rFonts w:hint="cs"/>
          <w:rtl/>
        </w:rPr>
        <w:t>המרדכי</w:t>
      </w:r>
      <w:r>
        <w:rPr>
          <w:rFonts w:hint="cs"/>
          <w:rtl/>
        </w:rPr>
        <w:t xml:space="preserve"> בשם </w:t>
      </w:r>
      <w:r w:rsidRPr="00554D2B">
        <w:rPr>
          <w:rStyle w:val="af9"/>
          <w:rFonts w:hint="cs"/>
          <w:rtl/>
        </w:rPr>
        <w:t>הראב"ן</w:t>
      </w:r>
      <w:r>
        <w:rPr>
          <w:rFonts w:hint="cs"/>
          <w:rtl/>
        </w:rPr>
        <w:t xml:space="preserve"> דאף שאינו יכול להשבע להכחיש את הע"א, מ"מ אמאי הוא נפסל כגזלן, והרי אם בא ע"א והעיד שראובן נתן את הנסכא לשמעון, ועכבה שמעון בידו, וטען שנתן לו את הנסכא שלו, דהוא מודה לדברי הע"א דראובן נתנו לו, ואמאי לא ישבע שהיא שלו, והא נאמן במיגו דהיה יכול לטעון שלא נתנה לו ראובן,</w:t>
      </w:r>
      <w:r w:rsidRPr="00466489">
        <w:rPr>
          <w:rStyle w:val="afb"/>
          <w:rFonts w:hint="cs"/>
          <w:rtl/>
        </w:rPr>
        <w:t xml:space="preserve"> [וישבע להכחיש את הע"א], </w:t>
      </w:r>
      <w:r>
        <w:rPr>
          <w:rFonts w:hint="cs"/>
          <w:rtl/>
        </w:rPr>
        <w:t>ולכן אף כשטוען ששלו נתן לו נשבע שהיא שלו ונפטר, וא"כ ה"ה בטוען אין חטפי ודידי חטפי, אמאי אינו נאמן בשבועה דדידיה חטף.</w:t>
      </w:r>
    </w:p>
    <w:p w:rsidR="000F5507" w:rsidRDefault="000F5507" w:rsidP="000F5507">
      <w:pPr>
        <w:pStyle w:val="1"/>
        <w:rPr>
          <w:rtl/>
        </w:rPr>
      </w:pPr>
      <w:bookmarkStart w:id="16558" w:name="_Toc65141948"/>
      <w:bookmarkStart w:id="16559" w:name="_Toc65185641"/>
      <w:bookmarkStart w:id="16560" w:name="_Toc65529981"/>
      <w:bookmarkStart w:id="16561" w:name="_Toc65604030"/>
      <w:bookmarkStart w:id="16562" w:name="_Toc65605920"/>
      <w:bookmarkStart w:id="16563" w:name="_Toc65617177"/>
      <w:bookmarkStart w:id="16564" w:name="_Toc65666147"/>
      <w:bookmarkStart w:id="16565" w:name="_Toc65689806"/>
      <w:bookmarkStart w:id="16566" w:name="_Toc65703346"/>
      <w:bookmarkStart w:id="16567" w:name="_Toc65714014"/>
      <w:bookmarkStart w:id="16568" w:name="_Toc65714870"/>
      <w:r>
        <w:rPr>
          <w:rFonts w:hint="cs"/>
          <w:rtl/>
        </w:rPr>
        <w:t>בי' הראב"ן דבהודאתו מצטרף עם הע"א לפסול עצמו משבועה</w:t>
      </w:r>
      <w:bookmarkEnd w:id="16558"/>
      <w:bookmarkEnd w:id="16559"/>
      <w:bookmarkEnd w:id="16560"/>
      <w:bookmarkEnd w:id="16561"/>
      <w:bookmarkEnd w:id="16562"/>
      <w:bookmarkEnd w:id="16563"/>
      <w:bookmarkEnd w:id="16564"/>
      <w:bookmarkEnd w:id="16565"/>
      <w:bookmarkEnd w:id="16566"/>
      <w:bookmarkEnd w:id="16567"/>
      <w:bookmarkEnd w:id="16568"/>
    </w:p>
    <w:p w:rsidR="000F5507" w:rsidRPr="00D13DDC" w:rsidRDefault="000F5507" w:rsidP="000F5507">
      <w:pPr>
        <w:pStyle w:val="a3"/>
        <w:rPr>
          <w:rtl/>
        </w:rPr>
      </w:pPr>
      <w:bookmarkStart w:id="16569" w:name="_Toc65666148"/>
      <w:bookmarkStart w:id="16570" w:name="_Toc65689807"/>
      <w:bookmarkStart w:id="16571" w:name="_Toc65703347"/>
      <w:bookmarkStart w:id="16572" w:name="_Toc65714015"/>
      <w:bookmarkStart w:id="16573" w:name="_Toc65714871"/>
      <w:r w:rsidRPr="00D13DDC">
        <w:rPr>
          <w:rFonts w:hint="cs"/>
          <w:rtl/>
        </w:rPr>
        <w:t>בי' המרדכי בשם הראב"ן דבמודה שבאה לידו בדרך גזלנות ובעדים היה חייב בע"א נפסל כגזלן</w:t>
      </w:r>
      <w:bookmarkEnd w:id="16569"/>
      <w:bookmarkEnd w:id="16570"/>
      <w:bookmarkEnd w:id="16571"/>
      <w:bookmarkEnd w:id="16572"/>
      <w:bookmarkEnd w:id="16573"/>
    </w:p>
    <w:p w:rsidR="000F5507" w:rsidRPr="00BD5B1A" w:rsidRDefault="000F5507" w:rsidP="007E4E81">
      <w:pPr>
        <w:pStyle w:val="a0"/>
        <w:rPr>
          <w:rtl/>
        </w:rPr>
      </w:pPr>
      <w:bookmarkStart w:id="16574" w:name="_Ref65517321"/>
      <w:r>
        <w:rPr>
          <w:rFonts w:hint="cs"/>
          <w:rtl/>
        </w:rPr>
        <w:t xml:space="preserve">אלא ביאר </w:t>
      </w:r>
      <w:r w:rsidRPr="00554D2B">
        <w:rPr>
          <w:rStyle w:val="af9"/>
          <w:rFonts w:hint="cs"/>
          <w:rtl/>
        </w:rPr>
        <w:t>המרדכי</w:t>
      </w:r>
      <w:r>
        <w:rPr>
          <w:rFonts w:hint="cs"/>
          <w:rtl/>
        </w:rPr>
        <w:t xml:space="preserve"> </w:t>
      </w:r>
      <w:r w:rsidRPr="00554D2B">
        <w:rPr>
          <w:rStyle w:val="af7"/>
          <w:rFonts w:eastAsia="Guttman Hodes" w:hint="cs"/>
          <w:rtl/>
        </w:rPr>
        <w:t>(רמז תקכ"ח)</w:t>
      </w:r>
      <w:r>
        <w:rPr>
          <w:rFonts w:hint="cs"/>
          <w:rtl/>
        </w:rPr>
        <w:t xml:space="preserve"> בשם </w:t>
      </w:r>
      <w:r w:rsidRPr="00554D2B">
        <w:rPr>
          <w:rStyle w:val="af9"/>
          <w:rFonts w:hint="cs"/>
          <w:rtl/>
        </w:rPr>
        <w:t>הראב"ן</w:t>
      </w:r>
      <w:r>
        <w:rPr>
          <w:rFonts w:hint="cs"/>
          <w:rtl/>
        </w:rPr>
        <w:t xml:space="preserve"> </w:t>
      </w:r>
      <w:r w:rsidRPr="007D4A00">
        <w:rPr>
          <w:rStyle w:val="af7"/>
          <w:rFonts w:eastAsia="Guttman Hodes" w:hint="cs"/>
          <w:rtl/>
        </w:rPr>
        <w:t>(בתשו' בתחילת הספר סי' כ"ז ד"ה ראיתי</w:t>
      </w:r>
      <w:r>
        <w:rPr>
          <w:rStyle w:val="af7"/>
          <w:rFonts w:eastAsia="Guttman Hodes" w:hint="cs"/>
          <w:rtl/>
        </w:rPr>
        <w:t xml:space="preserve"> עמ</w:t>
      </w:r>
      <w:r>
        <w:rPr>
          <w:rStyle w:val="af7"/>
          <w:rFonts w:eastAsia="Guttman Hodes"/>
          <w:rtl/>
        </w:rPr>
        <w:t>'</w:t>
      </w:r>
      <w:r>
        <w:rPr>
          <w:rStyle w:val="af7"/>
          <w:rFonts w:eastAsia="Guttman Hodes" w:hint="cs"/>
          <w:rtl/>
        </w:rPr>
        <w:t xml:space="preserve"> </w:t>
      </w:r>
      <w:r w:rsidRPr="007D4A00">
        <w:rPr>
          <w:rStyle w:val="af7"/>
          <w:rFonts w:eastAsia="Guttman Hodes" w:hint="cs"/>
          <w:rtl/>
        </w:rPr>
        <w:t xml:space="preserve">כ"ד, </w:t>
      </w:r>
      <w:r>
        <w:rPr>
          <w:rStyle w:val="af7"/>
          <w:rFonts w:eastAsia="Guttman Hodes" w:hint="cs"/>
          <w:rtl/>
        </w:rPr>
        <w:t>מהדו</w:t>
      </w:r>
      <w:r>
        <w:rPr>
          <w:rStyle w:val="af7"/>
          <w:rFonts w:eastAsia="Guttman Hodes"/>
          <w:rtl/>
        </w:rPr>
        <w:t>'</w:t>
      </w:r>
      <w:r>
        <w:rPr>
          <w:rStyle w:val="af7"/>
          <w:rFonts w:eastAsia="Guttman Hodes" w:hint="cs"/>
          <w:rtl/>
        </w:rPr>
        <w:t xml:space="preserve"> חד</w:t>
      </w:r>
      <w:r>
        <w:rPr>
          <w:rStyle w:val="af7"/>
          <w:rFonts w:eastAsia="Guttman Hodes"/>
          <w:rtl/>
        </w:rPr>
        <w:t>'</w:t>
      </w:r>
      <w:r w:rsidRPr="007D4A00">
        <w:rPr>
          <w:rStyle w:val="af7"/>
          <w:rFonts w:eastAsia="Guttman Hodes" w:hint="cs"/>
          <w:rtl/>
        </w:rPr>
        <w:t xml:space="preserve"> ח"א עמ' צ"</w:t>
      </w:r>
      <w:r>
        <w:rPr>
          <w:rStyle w:val="af7"/>
          <w:rFonts w:eastAsia="Guttman Hodes" w:hint="cs"/>
          <w:rtl/>
        </w:rPr>
        <w:t>ט</w:t>
      </w:r>
      <w:r w:rsidRPr="00BA1DD1">
        <w:rPr>
          <w:rStyle w:val="af7"/>
          <w:rFonts w:eastAsia="Guttman Hodes" w:hint="cs"/>
          <w:rtl/>
        </w:rPr>
        <w:t>,</w:t>
      </w:r>
      <w:r w:rsidRPr="007E098A">
        <w:rPr>
          <w:rStyle w:val="af7"/>
          <w:rFonts w:eastAsia="Guttman Hodes" w:hint="cs"/>
          <w:rtl/>
        </w:rPr>
        <w:t xml:space="preserve"> הועתק בקובץ שיטות קמאי ב"ב ח"א עמ' </w:t>
      </w:r>
      <w:r w:rsidRPr="0007510E">
        <w:rPr>
          <w:rStyle w:val="af7"/>
          <w:rFonts w:eastAsia="Guttman Hodes"/>
          <w:rtl/>
        </w:rPr>
        <w:t>תתל"ט</w:t>
      </w:r>
      <w:r w:rsidRPr="007D4A00">
        <w:rPr>
          <w:rStyle w:val="af7"/>
          <w:rFonts w:eastAsia="Guttman Hodes" w:hint="cs"/>
          <w:rtl/>
        </w:rPr>
        <w:t>)</w:t>
      </w:r>
      <w:r>
        <w:rPr>
          <w:rFonts w:hint="cs"/>
          <w:rtl/>
        </w:rPr>
        <w:t xml:space="preserve"> דהא דאמרינן דאינו יכול להשבע כיון שהוא כגזלן, היינו דכיון שיש ע"א שהנסכא באה לידי החוטף בדרך של חטיפה </w:t>
      </w:r>
      <w:r w:rsidRPr="00BD5B1A">
        <w:rPr>
          <w:rFonts w:hint="cs"/>
          <w:rtl/>
        </w:rPr>
        <w:t>וגזלנות, והוא עצמו מודה לזה, ואם היו ב' עדים ע"ז היה חייב לשלם, לכן אף כשיש ע"א אינו יכול להשבע, דהוא פסול לשבועה זו כגזלן, ועי' במה שביאר</w:t>
      </w:r>
      <w:r>
        <w:rPr>
          <w:rFonts w:hint="cs"/>
          <w:rtl/>
        </w:rPr>
        <w:t>ו</w:t>
      </w:r>
      <w:r w:rsidRPr="00BD5B1A">
        <w:rPr>
          <w:rFonts w:hint="cs"/>
          <w:rtl/>
        </w:rPr>
        <w:t xml:space="preserve"> </w:t>
      </w:r>
      <w:r w:rsidRPr="00BD5B1A">
        <w:rPr>
          <w:rStyle w:val="af9"/>
          <w:rFonts w:hint="cs"/>
          <w:rtl/>
        </w:rPr>
        <w:t>בחי' הגרש"</w:t>
      </w:r>
      <w:r>
        <w:rPr>
          <w:rStyle w:val="af9"/>
          <w:rFonts w:hint="cs"/>
          <w:rtl/>
        </w:rPr>
        <w:t>ש</w:t>
      </w:r>
      <w:r w:rsidRPr="0088046E">
        <w:rPr>
          <w:rStyle w:val="af7"/>
          <w:rFonts w:eastAsia="Guttman Hodes" w:hint="cs"/>
          <w:rtl/>
        </w:rPr>
        <w:t xml:space="preserve"> (עי' אות </w:t>
      </w:r>
      <w:r w:rsidRPr="0088046E">
        <w:rPr>
          <w:rStyle w:val="af7"/>
          <w:rFonts w:eastAsia="Guttman Hodes"/>
          <w:rtl/>
        </w:rPr>
        <w:fldChar w:fldCharType="begin"/>
      </w:r>
      <w:r w:rsidRPr="0088046E">
        <w:rPr>
          <w:rStyle w:val="af7"/>
          <w:rFonts w:eastAsia="Guttman Hodes"/>
          <w:rtl/>
        </w:rPr>
        <w:instrText xml:space="preserve"> </w:instrText>
      </w:r>
      <w:r w:rsidRPr="0088046E">
        <w:rPr>
          <w:rStyle w:val="af7"/>
          <w:rFonts w:eastAsia="Guttman Hodes" w:hint="cs"/>
        </w:rPr>
        <w:instrText>REF</w:instrText>
      </w:r>
      <w:r w:rsidRPr="0088046E">
        <w:rPr>
          <w:rStyle w:val="af7"/>
          <w:rFonts w:eastAsia="Guttman Hodes" w:hint="cs"/>
          <w:rtl/>
        </w:rPr>
        <w:instrText xml:space="preserve"> _</w:instrText>
      </w:r>
      <w:r w:rsidRPr="0088046E">
        <w:rPr>
          <w:rStyle w:val="af7"/>
          <w:rFonts w:eastAsia="Guttman Hodes" w:hint="cs"/>
        </w:rPr>
        <w:instrText>Ref65517333 \r \h</w:instrText>
      </w:r>
      <w:r w:rsidRPr="0088046E">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88046E">
        <w:rPr>
          <w:rStyle w:val="af7"/>
          <w:rFonts w:eastAsia="Guttman Hodes"/>
          <w:rtl/>
        </w:rPr>
      </w:r>
      <w:r w:rsidRPr="0088046E">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88046E">
        <w:rPr>
          <w:rStyle w:val="af7"/>
          <w:rFonts w:eastAsia="Guttman Hodes"/>
          <w:rtl/>
        </w:rPr>
        <w:fldChar w:fldCharType="end"/>
      </w:r>
      <w:r w:rsidRPr="0088046E">
        <w:rPr>
          <w:rStyle w:val="af7"/>
          <w:rFonts w:eastAsia="Guttman Hodes" w:hint="cs"/>
          <w:rtl/>
        </w:rPr>
        <w:t xml:space="preserve"> </w:t>
      </w:r>
      <w:r>
        <w:rPr>
          <w:rStyle w:val="af9"/>
          <w:rFonts w:hint="cs"/>
          <w:rtl/>
        </w:rPr>
        <w:t>ו</w:t>
      </w:r>
      <w:r w:rsidRPr="00F916CD">
        <w:rPr>
          <w:rStyle w:val="af9"/>
          <w:rFonts w:hint="cs"/>
          <w:rtl/>
        </w:rPr>
        <w:t>בחי' רבי נחום</w:t>
      </w:r>
      <w:r>
        <w:rPr>
          <w:rFonts w:hint="cs"/>
          <w:rtl/>
        </w:rPr>
        <w:t xml:space="preserve"> </w:t>
      </w:r>
      <w:r w:rsidRPr="00537BCA">
        <w:rPr>
          <w:rStyle w:val="af7"/>
          <w:rFonts w:eastAsia="Guttman Hodes" w:hint="cs"/>
          <w:rtl/>
        </w:rPr>
        <w:t xml:space="preserve">(עי' אות </w:t>
      </w:r>
      <w:r w:rsidRPr="00537BCA">
        <w:rPr>
          <w:rStyle w:val="af7"/>
          <w:rFonts w:eastAsia="Guttman Hodes"/>
          <w:rtl/>
        </w:rPr>
        <w:fldChar w:fldCharType="begin"/>
      </w:r>
      <w:r w:rsidRPr="00537BCA">
        <w:rPr>
          <w:rStyle w:val="af7"/>
          <w:rFonts w:eastAsia="Guttman Hodes"/>
          <w:rtl/>
        </w:rPr>
        <w:instrText xml:space="preserve"> </w:instrText>
      </w:r>
      <w:r w:rsidRPr="00537BCA">
        <w:rPr>
          <w:rStyle w:val="af7"/>
          <w:rFonts w:eastAsia="Guttman Hodes" w:hint="cs"/>
        </w:rPr>
        <w:instrText>REF</w:instrText>
      </w:r>
      <w:r w:rsidRPr="00537BCA">
        <w:rPr>
          <w:rStyle w:val="af7"/>
          <w:rFonts w:eastAsia="Guttman Hodes" w:hint="cs"/>
          <w:rtl/>
        </w:rPr>
        <w:instrText xml:space="preserve"> _</w:instrText>
      </w:r>
      <w:r w:rsidRPr="00537BCA">
        <w:rPr>
          <w:rStyle w:val="af7"/>
          <w:rFonts w:eastAsia="Guttman Hodes" w:hint="cs"/>
        </w:rPr>
        <w:instrText>Ref65702806 \r \h</w:instrText>
      </w:r>
      <w:r w:rsidRPr="00537BCA">
        <w:rPr>
          <w:rStyle w:val="af7"/>
          <w:rFonts w:eastAsia="Guttman Hodes"/>
          <w:rtl/>
        </w:rPr>
        <w:instrText xml:space="preserve"> </w:instrText>
      </w:r>
      <w:r w:rsidRPr="00537BCA">
        <w:rPr>
          <w:rStyle w:val="af7"/>
          <w:rFonts w:eastAsia="Guttman Hodes"/>
          <w:rtl/>
        </w:rPr>
      </w:r>
      <w:r w:rsidRPr="00537BCA">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sidRPr="00537BCA">
        <w:rPr>
          <w:rStyle w:val="af7"/>
          <w:rFonts w:eastAsia="Guttman Hodes"/>
          <w:rtl/>
        </w:rPr>
        <w:fldChar w:fldCharType="end"/>
      </w:r>
      <w:r>
        <w:rPr>
          <w:rFonts w:hint="cs"/>
          <w:rtl/>
        </w:rPr>
        <w:t xml:space="preserve"> </w:t>
      </w:r>
      <w:r w:rsidRPr="00BD5B1A">
        <w:rPr>
          <w:rFonts w:hint="cs"/>
          <w:rtl/>
        </w:rPr>
        <w:t xml:space="preserve">בדברי </w:t>
      </w:r>
      <w:r w:rsidRPr="00BD5B1A">
        <w:rPr>
          <w:rStyle w:val="af9"/>
          <w:rFonts w:hint="cs"/>
          <w:rtl/>
        </w:rPr>
        <w:t>הראב"ן</w:t>
      </w:r>
      <w:r w:rsidRPr="00BD5B1A">
        <w:rPr>
          <w:rFonts w:hint="cs"/>
          <w:rtl/>
        </w:rPr>
        <w:t>.</w:t>
      </w:r>
      <w:bookmarkEnd w:id="16574"/>
    </w:p>
    <w:p w:rsidR="000F5507" w:rsidRPr="00D13DDC" w:rsidRDefault="000F5507" w:rsidP="000F5507">
      <w:pPr>
        <w:pStyle w:val="a3"/>
      </w:pPr>
      <w:bookmarkStart w:id="16575" w:name="_Toc65666149"/>
      <w:bookmarkStart w:id="16576" w:name="_Toc65689808"/>
      <w:bookmarkStart w:id="16577" w:name="_Toc65703348"/>
      <w:bookmarkStart w:id="16578" w:name="_Toc65714016"/>
      <w:bookmarkStart w:id="16579" w:name="_Toc65714872"/>
      <w:r w:rsidRPr="00D13DDC">
        <w:rPr>
          <w:rFonts w:hint="cs"/>
          <w:rtl/>
        </w:rPr>
        <w:t>בי'המרדכי בשם הראב"ן דלכו"ע בדין פלוני רבעני לרצוני נאמן להצטרף לע"א לפסול את עצמו</w:t>
      </w:r>
      <w:bookmarkEnd w:id="16575"/>
      <w:bookmarkEnd w:id="16576"/>
      <w:bookmarkEnd w:id="16577"/>
      <w:bookmarkEnd w:id="16578"/>
      <w:bookmarkEnd w:id="16579"/>
    </w:p>
    <w:p w:rsidR="000F5507" w:rsidRDefault="000F5507" w:rsidP="007E4E81">
      <w:pPr>
        <w:pStyle w:val="a0"/>
        <w:rPr>
          <w:rtl/>
        </w:rPr>
      </w:pPr>
      <w:r>
        <w:rPr>
          <w:rFonts w:hint="cs"/>
          <w:rtl/>
        </w:rPr>
        <w:t xml:space="preserve">וביאר </w:t>
      </w:r>
      <w:r w:rsidRPr="00554D2B">
        <w:rPr>
          <w:rStyle w:val="af9"/>
          <w:rFonts w:hint="cs"/>
          <w:rtl/>
        </w:rPr>
        <w:t>המרדכי</w:t>
      </w:r>
      <w:r>
        <w:rPr>
          <w:rFonts w:hint="cs"/>
          <w:rtl/>
        </w:rPr>
        <w:t xml:space="preserve"> בשם </w:t>
      </w:r>
      <w:r w:rsidRPr="00554D2B">
        <w:rPr>
          <w:rStyle w:val="af9"/>
          <w:rFonts w:hint="cs"/>
          <w:rtl/>
        </w:rPr>
        <w:t>הראב"ן</w:t>
      </w:r>
      <w:r>
        <w:rPr>
          <w:rFonts w:hint="cs"/>
          <w:rtl/>
        </w:rPr>
        <w:t xml:space="preserve"> דאף לדעת רבא בסנהדרין </w:t>
      </w:r>
      <w:r w:rsidRPr="00373F52">
        <w:rPr>
          <w:rStyle w:val="af7"/>
          <w:rFonts w:eastAsia="Guttman Hodes" w:hint="cs"/>
          <w:rtl/>
        </w:rPr>
        <w:t xml:space="preserve">(ט:) </w:t>
      </w:r>
      <w:r>
        <w:rPr>
          <w:rFonts w:hint="cs"/>
          <w:rtl/>
        </w:rPr>
        <w:t xml:space="preserve">דס"ל דלא אמרינן פלגינן דיבוריה, והאומר פלוני רבעני לרצוני, אינו מצטרף עם אחר להרוג את פלוני, כיון שאינו נאמן על עצמו, דאין אדם משים עצמו רשע, ולא פלגינן לדיבוריה, מ"מ אם היה ע"א שמעיד כדבריו דהוא נרבע לרצונו, הוא היה מצטרף עם העד לפסול את עצמו. </w:t>
      </w:r>
      <w:r w:rsidRPr="00A669C0">
        <w:rPr>
          <w:rStyle w:val="afb"/>
          <w:rFonts w:hint="cs"/>
          <w:rtl/>
        </w:rPr>
        <w:t xml:space="preserve">[ועיי"ש בדברי </w:t>
      </w:r>
      <w:r w:rsidRPr="00A669C0">
        <w:rPr>
          <w:rStyle w:val="affa"/>
          <w:rFonts w:hint="cs"/>
          <w:rtl/>
        </w:rPr>
        <w:t>הראב"ן</w:t>
      </w:r>
      <w:r w:rsidRPr="00A669C0">
        <w:rPr>
          <w:rStyle w:val="afb"/>
          <w:rFonts w:hint="cs"/>
          <w:rtl/>
        </w:rPr>
        <w:t xml:space="preserve"> </w:t>
      </w:r>
      <w:r w:rsidRPr="00A669C0">
        <w:rPr>
          <w:rStyle w:val="aff6"/>
          <w:rFonts w:hint="cs"/>
          <w:rtl/>
        </w:rPr>
        <w:t>(בתשו' בתחילת הספר סי' כ"ז ד"ה ראיתי</w:t>
      </w:r>
      <w:r>
        <w:rPr>
          <w:rStyle w:val="aff6"/>
          <w:rFonts w:hint="cs"/>
          <w:rtl/>
        </w:rPr>
        <w:t xml:space="preserve"> עמ</w:t>
      </w:r>
      <w:r>
        <w:rPr>
          <w:rStyle w:val="aff6"/>
          <w:rtl/>
        </w:rPr>
        <w:t>'</w:t>
      </w:r>
      <w:r>
        <w:rPr>
          <w:rStyle w:val="aff6"/>
          <w:rFonts w:hint="cs"/>
          <w:rtl/>
        </w:rPr>
        <w:t xml:space="preserve"> </w:t>
      </w:r>
      <w:r w:rsidRPr="00A669C0">
        <w:rPr>
          <w:rStyle w:val="aff6"/>
          <w:rFonts w:hint="cs"/>
          <w:rtl/>
        </w:rPr>
        <w:t xml:space="preserve">כ"ד, </w:t>
      </w:r>
      <w:r>
        <w:rPr>
          <w:rStyle w:val="aff6"/>
          <w:rFonts w:hint="cs"/>
          <w:rtl/>
        </w:rPr>
        <w:t>מהדו</w:t>
      </w:r>
      <w:r>
        <w:rPr>
          <w:rStyle w:val="aff6"/>
          <w:rtl/>
        </w:rPr>
        <w:t>'</w:t>
      </w:r>
      <w:r>
        <w:rPr>
          <w:rStyle w:val="aff6"/>
          <w:rFonts w:hint="cs"/>
          <w:rtl/>
        </w:rPr>
        <w:t xml:space="preserve"> חד</w:t>
      </w:r>
      <w:r>
        <w:rPr>
          <w:rStyle w:val="aff6"/>
          <w:rtl/>
        </w:rPr>
        <w:t>'</w:t>
      </w:r>
      <w:r w:rsidRPr="00A669C0">
        <w:rPr>
          <w:rStyle w:val="aff6"/>
          <w:rFonts w:hint="cs"/>
          <w:rtl/>
        </w:rPr>
        <w:t xml:space="preserve"> ח"א עמ' צ"ט</w:t>
      </w:r>
      <w:r w:rsidRPr="00613E1C">
        <w:rPr>
          <w:rtl/>
        </w:rPr>
        <w:t xml:space="preserve"> </w:t>
      </w:r>
      <w:r w:rsidRPr="00613E1C">
        <w:rPr>
          <w:rStyle w:val="aff6"/>
          <w:rtl/>
        </w:rPr>
        <w:t>ד"ה ודיקדוקי</w:t>
      </w:r>
      <w:r w:rsidRPr="00A669C0">
        <w:rPr>
          <w:rStyle w:val="aff6"/>
          <w:rFonts w:hint="cs"/>
          <w:rtl/>
        </w:rPr>
        <w:t>)</w:t>
      </w:r>
      <w:r w:rsidRPr="00A669C0">
        <w:rPr>
          <w:rStyle w:val="afb"/>
          <w:rFonts w:hint="cs"/>
          <w:rtl/>
        </w:rPr>
        <w:t xml:space="preserve"> במה שהוכיח כן מדברי רבא בסנהדרין</w:t>
      </w:r>
      <w:r>
        <w:rPr>
          <w:rStyle w:val="afb"/>
          <w:rFonts w:hint="cs"/>
          <w:rtl/>
        </w:rPr>
        <w:t>, וכן מהא דאמרינן בסוגיין דהוא גזלן ואינו יכול להשבע</w:t>
      </w:r>
      <w:r w:rsidRPr="00A669C0">
        <w:rPr>
          <w:rStyle w:val="afb"/>
          <w:rFonts w:hint="cs"/>
          <w:rtl/>
        </w:rPr>
        <w:t>]</w:t>
      </w:r>
      <w:r>
        <w:rPr>
          <w:rStyle w:val="afb"/>
          <w:rFonts w:hint="cs"/>
          <w:rtl/>
        </w:rPr>
        <w:t>.</w:t>
      </w:r>
    </w:p>
    <w:p w:rsidR="000F5507" w:rsidRPr="00D13DDC" w:rsidRDefault="000F5507" w:rsidP="000F5507">
      <w:pPr>
        <w:pStyle w:val="a3"/>
      </w:pPr>
      <w:bookmarkStart w:id="16580" w:name="_Toc65666150"/>
      <w:bookmarkStart w:id="16581" w:name="_Toc65689809"/>
      <w:bookmarkStart w:id="16582" w:name="_Toc65703349"/>
      <w:bookmarkStart w:id="16583" w:name="_Toc65714017"/>
      <w:bookmarkStart w:id="16584" w:name="_Toc65714873"/>
      <w:r w:rsidRPr="00D13DDC">
        <w:rPr>
          <w:rFonts w:hint="cs"/>
          <w:rtl/>
        </w:rPr>
        <w:t>דברי המרדכי בשם הראב"ד דהחוטף מצטרף לע"א לפסול א"ע כגזלן כשמודה שנטל בדרך גזילה</w:t>
      </w:r>
      <w:bookmarkEnd w:id="16580"/>
      <w:bookmarkEnd w:id="16581"/>
      <w:bookmarkEnd w:id="16582"/>
      <w:bookmarkEnd w:id="16583"/>
      <w:bookmarkEnd w:id="16584"/>
    </w:p>
    <w:p w:rsidR="000F5507" w:rsidRDefault="000F5507" w:rsidP="007E4E81">
      <w:pPr>
        <w:pStyle w:val="a0"/>
        <w:rPr>
          <w:rtl/>
        </w:rPr>
      </w:pPr>
      <w:r>
        <w:rPr>
          <w:rFonts w:hint="cs"/>
          <w:rtl/>
        </w:rPr>
        <w:t xml:space="preserve">וכתב </w:t>
      </w:r>
      <w:r w:rsidRPr="00554D2B">
        <w:rPr>
          <w:rStyle w:val="af9"/>
          <w:rFonts w:hint="cs"/>
          <w:rtl/>
        </w:rPr>
        <w:t>המרדכי</w:t>
      </w:r>
      <w:r>
        <w:rPr>
          <w:rFonts w:hint="cs"/>
          <w:rtl/>
        </w:rPr>
        <w:t xml:space="preserve"> בשם </w:t>
      </w:r>
      <w:r w:rsidRPr="00554D2B">
        <w:rPr>
          <w:rStyle w:val="af9"/>
          <w:rFonts w:hint="cs"/>
          <w:rtl/>
        </w:rPr>
        <w:t>הראב"ן</w:t>
      </w:r>
      <w:r>
        <w:rPr>
          <w:rFonts w:hint="cs"/>
          <w:rtl/>
        </w:rPr>
        <w:t xml:space="preserve"> דה"ה הכא כשיש ע"א שמעיד כדברי החוטף, דהוא נטל את הנסכא בגזילה, דהחוטף מצטרף לע"א לפסול את עצמו כגזלן, דהיינו דלענין ממון הזה הוא חשוד כגזלן, ולכן אינו יכול להשבע.</w:t>
      </w:r>
    </w:p>
    <w:p w:rsidR="000F5507" w:rsidRPr="00D13DDC" w:rsidRDefault="000F5507" w:rsidP="000F5507">
      <w:pPr>
        <w:pStyle w:val="a3"/>
        <w:rPr>
          <w:rtl/>
        </w:rPr>
      </w:pPr>
      <w:bookmarkStart w:id="16585" w:name="_Toc65666151"/>
      <w:bookmarkStart w:id="16586" w:name="_Toc65689810"/>
      <w:bookmarkStart w:id="16587" w:name="_Toc65703350"/>
      <w:bookmarkStart w:id="16588" w:name="_Toc65714018"/>
      <w:bookmarkStart w:id="16589" w:name="_Toc65714874"/>
      <w:r w:rsidRPr="00D13DDC">
        <w:rPr>
          <w:rFonts w:hint="cs"/>
          <w:rtl/>
        </w:rPr>
        <w:t>בי' הראב"ן דבמודה לע"א שנטל בדרך גזילה חשיב שיש ב' עדים שחטף ואינו נאמן דשלו חטף</w:t>
      </w:r>
      <w:bookmarkEnd w:id="16585"/>
      <w:bookmarkEnd w:id="16586"/>
      <w:bookmarkEnd w:id="16587"/>
      <w:bookmarkEnd w:id="16588"/>
      <w:bookmarkEnd w:id="16589"/>
    </w:p>
    <w:p w:rsidR="000F5507" w:rsidRDefault="000F5507" w:rsidP="007E4E81">
      <w:pPr>
        <w:pStyle w:val="a0"/>
        <w:rPr>
          <w:rtl/>
        </w:rPr>
      </w:pPr>
      <w:r>
        <w:rPr>
          <w:rFonts w:hint="cs"/>
          <w:rtl/>
        </w:rPr>
        <w:t xml:space="preserve">והוסיף </w:t>
      </w:r>
      <w:r w:rsidRPr="00554D2B">
        <w:rPr>
          <w:rStyle w:val="af9"/>
          <w:rFonts w:hint="cs"/>
          <w:rtl/>
        </w:rPr>
        <w:t>הראב"ן</w:t>
      </w:r>
      <w:r>
        <w:rPr>
          <w:rFonts w:hint="cs"/>
          <w:rtl/>
        </w:rPr>
        <w:t xml:space="preserve"> </w:t>
      </w:r>
      <w:r w:rsidRPr="007D4A00">
        <w:rPr>
          <w:rStyle w:val="af7"/>
          <w:rFonts w:eastAsia="Guttman Hodes" w:hint="cs"/>
          <w:rtl/>
        </w:rPr>
        <w:t>(בתשו' בתחילת הספר סי' כ"ז ד"ה ראיתי</w:t>
      </w:r>
      <w:r>
        <w:rPr>
          <w:rStyle w:val="af7"/>
          <w:rFonts w:eastAsia="Guttman Hodes" w:hint="cs"/>
          <w:rtl/>
        </w:rPr>
        <w:t xml:space="preserve"> עמ</w:t>
      </w:r>
      <w:r>
        <w:rPr>
          <w:rStyle w:val="af7"/>
          <w:rFonts w:eastAsia="Guttman Hodes"/>
          <w:rtl/>
        </w:rPr>
        <w:t>'</w:t>
      </w:r>
      <w:r>
        <w:rPr>
          <w:rStyle w:val="af7"/>
          <w:rFonts w:eastAsia="Guttman Hodes" w:hint="cs"/>
          <w:rtl/>
        </w:rPr>
        <w:t xml:space="preserve"> </w:t>
      </w:r>
      <w:r w:rsidRPr="007D4A00">
        <w:rPr>
          <w:rStyle w:val="af7"/>
          <w:rFonts w:eastAsia="Guttman Hodes" w:hint="cs"/>
          <w:rtl/>
        </w:rPr>
        <w:t xml:space="preserve">כ"ד, </w:t>
      </w:r>
      <w:r>
        <w:rPr>
          <w:rStyle w:val="af7"/>
          <w:rFonts w:eastAsia="Guttman Hodes" w:hint="cs"/>
          <w:rtl/>
        </w:rPr>
        <w:t>מהדו</w:t>
      </w:r>
      <w:r>
        <w:rPr>
          <w:rStyle w:val="af7"/>
          <w:rFonts w:eastAsia="Guttman Hodes"/>
          <w:rtl/>
        </w:rPr>
        <w:t>'</w:t>
      </w:r>
      <w:r>
        <w:rPr>
          <w:rStyle w:val="af7"/>
          <w:rFonts w:eastAsia="Guttman Hodes" w:hint="cs"/>
          <w:rtl/>
        </w:rPr>
        <w:t xml:space="preserve"> חד</w:t>
      </w:r>
      <w:r>
        <w:rPr>
          <w:rStyle w:val="af7"/>
          <w:rFonts w:eastAsia="Guttman Hodes"/>
          <w:rtl/>
        </w:rPr>
        <w:t>'</w:t>
      </w:r>
      <w:r w:rsidRPr="007D4A00">
        <w:rPr>
          <w:rStyle w:val="af7"/>
          <w:rFonts w:eastAsia="Guttman Hodes" w:hint="cs"/>
          <w:rtl/>
        </w:rPr>
        <w:t xml:space="preserve"> ח"א עמ' צ"</w:t>
      </w:r>
      <w:r>
        <w:rPr>
          <w:rStyle w:val="af7"/>
          <w:rFonts w:eastAsia="Guttman Hodes" w:hint="cs"/>
          <w:rtl/>
        </w:rPr>
        <w:t>ט</w:t>
      </w:r>
      <w:r w:rsidRPr="007D4A00">
        <w:rPr>
          <w:rStyle w:val="af7"/>
          <w:rFonts w:eastAsia="Guttman Hodes" w:hint="cs"/>
          <w:rtl/>
        </w:rPr>
        <w:t>)</w:t>
      </w:r>
      <w:r>
        <w:rPr>
          <w:rFonts w:hint="cs"/>
          <w:rtl/>
        </w:rPr>
        <w:t xml:space="preserve"> לבאר דכיון שהוא מודה לדברי הע"א, שחטף את הנסכא במעשה של גזילה וחטיפה, חשיב כאילו יש ב' עדים על החטיפה, ואינו יכול להשבע על חטיפה זו, אבל לענין התשלומין לא חשיב שיש ב' עדים, כיון שהוא טוען דידי חטפי.</w:t>
      </w:r>
    </w:p>
    <w:p w:rsidR="000F5507" w:rsidRPr="00D13DDC" w:rsidRDefault="000F5507" w:rsidP="000F5507">
      <w:pPr>
        <w:pStyle w:val="a3"/>
        <w:rPr>
          <w:rtl/>
        </w:rPr>
      </w:pPr>
      <w:bookmarkStart w:id="16590" w:name="_Toc65666152"/>
      <w:bookmarkStart w:id="16591" w:name="_Toc65689811"/>
      <w:bookmarkStart w:id="16592" w:name="_Toc65703351"/>
      <w:bookmarkStart w:id="16593" w:name="_Toc65714019"/>
      <w:bookmarkStart w:id="16594" w:name="_Toc65714875"/>
      <w:r w:rsidRPr="00D13DDC">
        <w:rPr>
          <w:rFonts w:hint="cs"/>
          <w:rtl/>
        </w:rPr>
        <w:t>דברי הראב"ן דכיון שנפסל כגזלן ומחוייב להשבע דדידיה חטף וא"י להשבע אמרינן משאיל"מ</w:t>
      </w:r>
      <w:bookmarkEnd w:id="16590"/>
      <w:bookmarkEnd w:id="16591"/>
      <w:bookmarkEnd w:id="16592"/>
      <w:bookmarkEnd w:id="16593"/>
      <w:bookmarkEnd w:id="16594"/>
    </w:p>
    <w:p w:rsidR="000F5507" w:rsidRDefault="000F5507" w:rsidP="007E4E81">
      <w:pPr>
        <w:pStyle w:val="a0"/>
        <w:rPr>
          <w:rtl/>
        </w:rPr>
      </w:pPr>
      <w:r>
        <w:rPr>
          <w:rFonts w:hint="cs"/>
          <w:rtl/>
        </w:rPr>
        <w:t>ובדברי רבי אבא דאמרינן מתוך שאינו יכול לישבע משלם, ביאר</w:t>
      </w:r>
      <w:r w:rsidRPr="00B92B37">
        <w:rPr>
          <w:rStyle w:val="af9"/>
          <w:rFonts w:hint="cs"/>
          <w:rtl/>
        </w:rPr>
        <w:t xml:space="preserve"> </w:t>
      </w:r>
      <w:r w:rsidRPr="00554D2B">
        <w:rPr>
          <w:rStyle w:val="af9"/>
          <w:rFonts w:hint="cs"/>
          <w:rtl/>
        </w:rPr>
        <w:t>הראב"ן</w:t>
      </w:r>
      <w:r>
        <w:rPr>
          <w:rFonts w:hint="cs"/>
          <w:rtl/>
        </w:rPr>
        <w:t xml:space="preserve"> </w:t>
      </w:r>
      <w:r w:rsidRPr="007D4A00">
        <w:rPr>
          <w:rStyle w:val="af7"/>
          <w:rFonts w:eastAsia="Guttman Hodes" w:hint="cs"/>
          <w:rtl/>
        </w:rPr>
        <w:t>(בתשו' בתחילת הספר סי' כ"</w:t>
      </w:r>
      <w:r>
        <w:rPr>
          <w:rStyle w:val="af7"/>
          <w:rFonts w:eastAsia="Guttman Hodes" w:hint="cs"/>
          <w:rtl/>
        </w:rPr>
        <w:t>ז</w:t>
      </w:r>
      <w:r w:rsidRPr="007D4A00">
        <w:rPr>
          <w:rStyle w:val="af7"/>
          <w:rFonts w:eastAsia="Guttman Hodes" w:hint="cs"/>
          <w:rtl/>
        </w:rPr>
        <w:t xml:space="preserve"> ד"ה </w:t>
      </w:r>
      <w:r w:rsidRPr="00B92B37">
        <w:rPr>
          <w:rStyle w:val="af7"/>
          <w:rFonts w:eastAsia="Guttman Hodes"/>
          <w:rtl/>
        </w:rPr>
        <w:t>א"ל ר' אבא</w:t>
      </w:r>
      <w:r>
        <w:rPr>
          <w:rStyle w:val="af7"/>
          <w:rFonts w:eastAsia="Guttman Hodes" w:hint="cs"/>
          <w:rtl/>
        </w:rPr>
        <w:t xml:space="preserve"> עמ</w:t>
      </w:r>
      <w:r>
        <w:rPr>
          <w:rStyle w:val="af7"/>
          <w:rFonts w:eastAsia="Guttman Hodes"/>
          <w:rtl/>
        </w:rPr>
        <w:t>'</w:t>
      </w:r>
      <w:r>
        <w:rPr>
          <w:rStyle w:val="af7"/>
          <w:rFonts w:eastAsia="Guttman Hodes" w:hint="cs"/>
          <w:rtl/>
        </w:rPr>
        <w:t xml:space="preserve"> </w:t>
      </w:r>
      <w:r w:rsidRPr="007D4A00">
        <w:rPr>
          <w:rStyle w:val="af7"/>
          <w:rFonts w:eastAsia="Guttman Hodes" w:hint="cs"/>
          <w:rtl/>
        </w:rPr>
        <w:t>כ"</w:t>
      </w:r>
      <w:r>
        <w:rPr>
          <w:rStyle w:val="af7"/>
          <w:rFonts w:eastAsia="Guttman Hodes" w:hint="cs"/>
          <w:rtl/>
        </w:rPr>
        <w:t>ו</w:t>
      </w:r>
      <w:r w:rsidRPr="007D4A00">
        <w:rPr>
          <w:rStyle w:val="af7"/>
          <w:rFonts w:eastAsia="Guttman Hodes" w:hint="cs"/>
          <w:rtl/>
        </w:rPr>
        <w:t>, מהדו' חד</w:t>
      </w:r>
      <w:r>
        <w:rPr>
          <w:rStyle w:val="af7"/>
          <w:rFonts w:eastAsia="Guttman Hodes" w:hint="cs"/>
          <w:rtl/>
        </w:rPr>
        <w:t>'</w:t>
      </w:r>
      <w:r w:rsidRPr="007D4A00">
        <w:rPr>
          <w:rStyle w:val="af7"/>
          <w:rFonts w:eastAsia="Guttman Hodes" w:hint="cs"/>
          <w:rtl/>
        </w:rPr>
        <w:t xml:space="preserve"> ח"א עמ' </w:t>
      </w:r>
      <w:r>
        <w:rPr>
          <w:rStyle w:val="af7"/>
          <w:rFonts w:eastAsia="Guttman Hodes" w:hint="cs"/>
          <w:rtl/>
        </w:rPr>
        <w:t>ק"ב</w:t>
      </w:r>
      <w:r w:rsidRPr="00A633D1">
        <w:rPr>
          <w:rStyle w:val="afb"/>
          <w:rFonts w:hint="cs"/>
          <w:rtl/>
        </w:rPr>
        <w:t xml:space="preserve"> </w:t>
      </w:r>
      <w:r w:rsidRPr="007D4A00">
        <w:rPr>
          <w:rStyle w:val="af7"/>
          <w:rFonts w:eastAsia="Guttman Hodes" w:hint="cs"/>
          <w:rtl/>
        </w:rPr>
        <w:t xml:space="preserve">ד"ה </w:t>
      </w:r>
      <w:r w:rsidRPr="00B92B37">
        <w:rPr>
          <w:rStyle w:val="af7"/>
          <w:rFonts w:eastAsia="Guttman Hodes"/>
          <w:rtl/>
        </w:rPr>
        <w:t>א"ל ר' אבא</w:t>
      </w:r>
      <w:r w:rsidRPr="007D4A00">
        <w:rPr>
          <w:rStyle w:val="af7"/>
          <w:rFonts w:eastAsia="Guttman Hodes" w:hint="cs"/>
          <w:rtl/>
        </w:rPr>
        <w:t>)</w:t>
      </w:r>
      <w:r>
        <w:rPr>
          <w:rFonts w:hint="cs"/>
          <w:rtl/>
        </w:rPr>
        <w:t xml:space="preserve"> דכיון שהוא נפסל לשבועה זו כגזלן, א"כ הוא מחוייב להשבע לאמת את דבריו דדידיה חטף, ואנו יכול להשבע, כשפסל את עצמו והודה שהוא חטפן, ולכן הוא צריך לשלם.</w:t>
      </w:r>
    </w:p>
    <w:p w:rsidR="000F5507" w:rsidRPr="00D13DDC" w:rsidRDefault="000F5507" w:rsidP="000F5507">
      <w:pPr>
        <w:pStyle w:val="a3"/>
        <w:rPr>
          <w:rtl/>
        </w:rPr>
      </w:pPr>
      <w:bookmarkStart w:id="16595" w:name="_Toc65666153"/>
      <w:bookmarkStart w:id="16596" w:name="_Toc65689812"/>
      <w:bookmarkStart w:id="16597" w:name="_Toc65703352"/>
      <w:bookmarkStart w:id="16598" w:name="_Toc65714020"/>
      <w:bookmarkStart w:id="16599" w:name="_Toc65714876"/>
      <w:r w:rsidRPr="00D13DDC">
        <w:rPr>
          <w:rFonts w:hint="cs"/>
          <w:rtl/>
        </w:rPr>
        <w:t>ביאור המרדכי בשם הראב"ן דשכ</w:t>
      </w:r>
      <w:r>
        <w:rPr>
          <w:rFonts w:hint="cs"/>
          <w:rtl/>
        </w:rPr>
        <w:t>ג</w:t>
      </w:r>
      <w:r w:rsidRPr="00D13DDC">
        <w:rPr>
          <w:rFonts w:hint="cs"/>
          <w:rtl/>
        </w:rPr>
        <w:t>נדו א"צ להשבע דלא תיקנו שבועה במקום שהפסיד לעצמו</w:t>
      </w:r>
      <w:bookmarkEnd w:id="16595"/>
      <w:bookmarkEnd w:id="16596"/>
      <w:bookmarkEnd w:id="16597"/>
      <w:bookmarkEnd w:id="16598"/>
      <w:bookmarkEnd w:id="16599"/>
    </w:p>
    <w:p w:rsidR="000F5507" w:rsidRPr="00B75B1F" w:rsidRDefault="000F5507" w:rsidP="007E4E81">
      <w:pPr>
        <w:pStyle w:val="a0"/>
        <w:rPr>
          <w:rtl/>
        </w:rPr>
      </w:pPr>
      <w:bookmarkStart w:id="16600" w:name="_Ref65662014"/>
      <w:r>
        <w:rPr>
          <w:rFonts w:hint="cs"/>
          <w:rtl/>
        </w:rPr>
        <w:t xml:space="preserve">וכתב </w:t>
      </w:r>
      <w:r w:rsidRPr="00373F52">
        <w:rPr>
          <w:rStyle w:val="af9"/>
          <w:rFonts w:hint="cs"/>
          <w:rtl/>
        </w:rPr>
        <w:t>המרדכי</w:t>
      </w:r>
      <w:r>
        <w:rPr>
          <w:rFonts w:hint="cs"/>
          <w:rtl/>
        </w:rPr>
        <w:t xml:space="preserve"> </w:t>
      </w:r>
      <w:r w:rsidRPr="00554D2B">
        <w:rPr>
          <w:rStyle w:val="af7"/>
          <w:rFonts w:eastAsia="Guttman Hodes" w:hint="cs"/>
          <w:rtl/>
        </w:rPr>
        <w:t>(</w:t>
      </w:r>
      <w:r>
        <w:rPr>
          <w:rStyle w:val="af7"/>
          <w:rFonts w:eastAsia="Guttman Hodes" w:hint="cs"/>
          <w:rtl/>
        </w:rPr>
        <w:t xml:space="preserve">סוף </w:t>
      </w:r>
      <w:r w:rsidRPr="00554D2B">
        <w:rPr>
          <w:rStyle w:val="af7"/>
          <w:rFonts w:eastAsia="Guttman Hodes" w:hint="cs"/>
          <w:rtl/>
        </w:rPr>
        <w:t>רמז תקכ"ח)</w:t>
      </w:r>
      <w:r>
        <w:rPr>
          <w:rFonts w:hint="cs"/>
          <w:rtl/>
        </w:rPr>
        <w:t xml:space="preserve"> בשם </w:t>
      </w:r>
      <w:r w:rsidRPr="00373F52">
        <w:rPr>
          <w:rStyle w:val="af9"/>
          <w:rFonts w:hint="cs"/>
          <w:rtl/>
        </w:rPr>
        <w:t>הראב"ן</w:t>
      </w:r>
      <w:r>
        <w:rPr>
          <w:rFonts w:hint="cs"/>
          <w:rtl/>
        </w:rPr>
        <w:t xml:space="preserve"> </w:t>
      </w:r>
      <w:r w:rsidRPr="007D4A00">
        <w:rPr>
          <w:rStyle w:val="af7"/>
          <w:rFonts w:eastAsia="Guttman Hodes" w:hint="cs"/>
          <w:rtl/>
        </w:rPr>
        <w:t>(בתשו' בתחילת הספר סי' כ"</w:t>
      </w:r>
      <w:r>
        <w:rPr>
          <w:rStyle w:val="af7"/>
          <w:rFonts w:eastAsia="Guttman Hodes" w:hint="cs"/>
          <w:rtl/>
        </w:rPr>
        <w:t>ז</w:t>
      </w:r>
      <w:r w:rsidRPr="007D4A00">
        <w:rPr>
          <w:rStyle w:val="af7"/>
          <w:rFonts w:eastAsia="Guttman Hodes" w:hint="cs"/>
          <w:rtl/>
        </w:rPr>
        <w:t xml:space="preserve"> ד"ה </w:t>
      </w:r>
      <w:r w:rsidRPr="00B92B37">
        <w:rPr>
          <w:rStyle w:val="af7"/>
          <w:rFonts w:eastAsia="Guttman Hodes"/>
          <w:rtl/>
        </w:rPr>
        <w:t>א"ל ר' אבא</w:t>
      </w:r>
      <w:r>
        <w:rPr>
          <w:rStyle w:val="af7"/>
          <w:rFonts w:eastAsia="Guttman Hodes" w:hint="cs"/>
          <w:rtl/>
        </w:rPr>
        <w:t xml:space="preserve"> עמ</w:t>
      </w:r>
      <w:r>
        <w:rPr>
          <w:rStyle w:val="af7"/>
          <w:rFonts w:eastAsia="Guttman Hodes"/>
          <w:rtl/>
        </w:rPr>
        <w:t>'</w:t>
      </w:r>
      <w:r>
        <w:rPr>
          <w:rStyle w:val="af7"/>
          <w:rFonts w:eastAsia="Guttman Hodes" w:hint="cs"/>
          <w:rtl/>
        </w:rPr>
        <w:t xml:space="preserve"> </w:t>
      </w:r>
      <w:r w:rsidRPr="007D4A00">
        <w:rPr>
          <w:rStyle w:val="af7"/>
          <w:rFonts w:eastAsia="Guttman Hodes" w:hint="cs"/>
          <w:rtl/>
        </w:rPr>
        <w:t>כ"</w:t>
      </w:r>
      <w:r>
        <w:rPr>
          <w:rStyle w:val="af7"/>
          <w:rFonts w:eastAsia="Guttman Hodes" w:hint="cs"/>
          <w:rtl/>
        </w:rPr>
        <w:t>ו</w:t>
      </w:r>
      <w:r w:rsidRPr="007D4A00">
        <w:rPr>
          <w:rStyle w:val="af7"/>
          <w:rFonts w:eastAsia="Guttman Hodes" w:hint="cs"/>
          <w:rtl/>
        </w:rPr>
        <w:t xml:space="preserve">, </w:t>
      </w:r>
      <w:r>
        <w:rPr>
          <w:rStyle w:val="af7"/>
          <w:rFonts w:eastAsia="Guttman Hodes" w:hint="cs"/>
          <w:rtl/>
        </w:rPr>
        <w:t>מהדו</w:t>
      </w:r>
      <w:r>
        <w:rPr>
          <w:rStyle w:val="af7"/>
          <w:rFonts w:eastAsia="Guttman Hodes"/>
          <w:rtl/>
        </w:rPr>
        <w:t>'</w:t>
      </w:r>
      <w:r>
        <w:rPr>
          <w:rStyle w:val="af7"/>
          <w:rFonts w:eastAsia="Guttman Hodes" w:hint="cs"/>
          <w:rtl/>
        </w:rPr>
        <w:t xml:space="preserve"> חד</w:t>
      </w:r>
      <w:r>
        <w:rPr>
          <w:rStyle w:val="af7"/>
          <w:rFonts w:eastAsia="Guttman Hodes"/>
          <w:rtl/>
        </w:rPr>
        <w:t>'</w:t>
      </w:r>
      <w:r w:rsidRPr="007D4A00">
        <w:rPr>
          <w:rStyle w:val="af7"/>
          <w:rFonts w:eastAsia="Guttman Hodes" w:hint="cs"/>
          <w:rtl/>
        </w:rPr>
        <w:t xml:space="preserve"> ח"א עמ' </w:t>
      </w:r>
      <w:r>
        <w:rPr>
          <w:rStyle w:val="af7"/>
          <w:rFonts w:eastAsia="Guttman Hodes" w:hint="cs"/>
          <w:rtl/>
        </w:rPr>
        <w:t>ק"ב</w:t>
      </w:r>
      <w:r w:rsidRPr="00A633D1">
        <w:rPr>
          <w:rStyle w:val="af9"/>
          <w:rFonts w:hint="cs"/>
          <w:rtl/>
        </w:rPr>
        <w:t xml:space="preserve"> </w:t>
      </w:r>
      <w:r w:rsidRPr="007D4A00">
        <w:rPr>
          <w:rStyle w:val="af7"/>
          <w:rFonts w:eastAsia="Guttman Hodes" w:hint="cs"/>
          <w:rtl/>
        </w:rPr>
        <w:t xml:space="preserve">ד"ה </w:t>
      </w:r>
      <w:r w:rsidRPr="00B92B37">
        <w:rPr>
          <w:rStyle w:val="af7"/>
          <w:rFonts w:eastAsia="Guttman Hodes"/>
          <w:rtl/>
        </w:rPr>
        <w:t>א"ל ר' אבא</w:t>
      </w:r>
      <w:r w:rsidRPr="007D4A00">
        <w:rPr>
          <w:rStyle w:val="af7"/>
          <w:rFonts w:eastAsia="Guttman Hodes" w:hint="cs"/>
          <w:rtl/>
        </w:rPr>
        <w:t>)</w:t>
      </w:r>
      <w:r>
        <w:rPr>
          <w:rFonts w:hint="cs"/>
          <w:rtl/>
        </w:rPr>
        <w:t xml:space="preserve"> דהא דשכנגדו א"צ להשבע, הוא כיון דאינו מילתא דשכיחא שיודה על עצמו שעשה מעשה חטיפה וגזילה, ויפסול את עצמו יחד עם ע"א, ורק בגזלן תיקנו רבנן שבועה על שכנגדו, כדי שלא יקפצו רבים לתובעו, בדברים שלא היו כלל, ולא יוכל להכחישם, </w:t>
      </w:r>
      <w:r w:rsidRPr="00440602">
        <w:rPr>
          <w:rStyle w:val="afb"/>
          <w:rFonts w:hint="cs"/>
          <w:rtl/>
        </w:rPr>
        <w:t xml:space="preserve">[עי' </w:t>
      </w:r>
      <w:r w:rsidRPr="00440602">
        <w:rPr>
          <w:rStyle w:val="affa"/>
          <w:rFonts w:hint="cs"/>
          <w:rtl/>
        </w:rPr>
        <w:t>ברשב"א</w:t>
      </w:r>
      <w:r w:rsidRPr="00440602">
        <w:rPr>
          <w:rStyle w:val="afb"/>
          <w:rFonts w:hint="cs"/>
          <w:rtl/>
        </w:rPr>
        <w:t xml:space="preserve"> </w:t>
      </w:r>
      <w:r w:rsidRPr="00982F59">
        <w:rPr>
          <w:rStyle w:val="aff6"/>
          <w:rFonts w:hint="cs"/>
          <w:rtl/>
        </w:rPr>
        <w:t xml:space="preserve">(עי' אות </w:t>
      </w:r>
      <w:r w:rsidRPr="00982F59">
        <w:rPr>
          <w:rStyle w:val="aff6"/>
          <w:rtl/>
        </w:rPr>
        <w:fldChar w:fldCharType="begin"/>
      </w:r>
      <w:r w:rsidRPr="00982F59">
        <w:rPr>
          <w:rStyle w:val="aff6"/>
          <w:rtl/>
        </w:rPr>
        <w:instrText xml:space="preserve"> </w:instrText>
      </w:r>
      <w:r w:rsidRPr="00982F59">
        <w:rPr>
          <w:rStyle w:val="aff6"/>
          <w:rFonts w:hint="cs"/>
        </w:rPr>
        <w:instrText>REF</w:instrText>
      </w:r>
      <w:r w:rsidRPr="00982F59">
        <w:rPr>
          <w:rStyle w:val="aff6"/>
          <w:rFonts w:hint="cs"/>
          <w:rtl/>
        </w:rPr>
        <w:instrText xml:space="preserve"> _</w:instrText>
      </w:r>
      <w:r w:rsidRPr="00982F59">
        <w:rPr>
          <w:rStyle w:val="aff6"/>
          <w:rFonts w:hint="cs"/>
        </w:rPr>
        <w:instrText>Ref65661933 \r \h</w:instrText>
      </w:r>
      <w:r w:rsidRPr="00982F59">
        <w:rPr>
          <w:rStyle w:val="aff6"/>
          <w:rtl/>
        </w:rPr>
        <w:instrText xml:space="preserve"> </w:instrText>
      </w:r>
      <w:r w:rsidRPr="00982F59">
        <w:rPr>
          <w:rStyle w:val="aff6"/>
          <w:rtl/>
        </w:rPr>
      </w:r>
      <w:r w:rsidRPr="00982F59">
        <w:rPr>
          <w:rStyle w:val="aff6"/>
          <w:rtl/>
        </w:rPr>
        <w:fldChar w:fldCharType="separate"/>
      </w:r>
      <w:r w:rsidR="00265073">
        <w:rPr>
          <w:rStyle w:val="aff6"/>
          <w:cs/>
        </w:rPr>
        <w:t>‎</w:t>
      </w:r>
      <w:r w:rsidR="00265073">
        <w:rPr>
          <w:rStyle w:val="aff6"/>
          <w:rtl/>
        </w:rPr>
        <w:t>סג)</w:t>
      </w:r>
      <w:r w:rsidRPr="00982F59">
        <w:rPr>
          <w:rStyle w:val="aff6"/>
          <w:rtl/>
        </w:rPr>
        <w:fldChar w:fldCharType="end"/>
      </w:r>
      <w:r w:rsidRPr="00440602">
        <w:rPr>
          <w:rStyle w:val="afb"/>
          <w:rFonts w:hint="cs"/>
          <w:rtl/>
        </w:rPr>
        <w:t>],</w:t>
      </w:r>
      <w:r>
        <w:rPr>
          <w:rFonts w:hint="cs"/>
          <w:rtl/>
        </w:rPr>
        <w:t xml:space="preserve"> אבל הכא שאינו פסול לשאר השבועות, ורק על הממון הזה אינו יכול להשבע, לא תיקנו שבועה על שכנגדו, דהוא מילתא דלא שכיחא כיון שכל אדם נזהר בטענותיו, ולמי שמפסיד את עצמו בטענתו לא תיקנו רבנן שבועה לכשנגדו, אך כתב </w:t>
      </w:r>
      <w:r w:rsidRPr="00373F52">
        <w:rPr>
          <w:rStyle w:val="af9"/>
          <w:rFonts w:hint="cs"/>
          <w:rtl/>
        </w:rPr>
        <w:t>המרדכי</w:t>
      </w:r>
      <w:r>
        <w:rPr>
          <w:rFonts w:hint="cs"/>
          <w:rtl/>
        </w:rPr>
        <w:t xml:space="preserve"> בשם </w:t>
      </w:r>
      <w:r>
        <w:rPr>
          <w:rStyle w:val="af9"/>
          <w:rFonts w:hint="cs"/>
          <w:rtl/>
        </w:rPr>
        <w:t>ה</w:t>
      </w:r>
      <w:r w:rsidRPr="00273135">
        <w:rPr>
          <w:rStyle w:val="af9"/>
          <w:rtl/>
        </w:rPr>
        <w:t>אביאסף</w:t>
      </w:r>
      <w:r w:rsidRPr="00273135">
        <w:rPr>
          <w:rStyle w:val="af9"/>
          <w:rFonts w:hint="cs"/>
          <w:rtl/>
        </w:rPr>
        <w:t xml:space="preserve"> </w:t>
      </w:r>
      <w:r>
        <w:rPr>
          <w:rFonts w:hint="cs"/>
          <w:rtl/>
        </w:rPr>
        <w:t xml:space="preserve">דאפשר לדחות ביאור את </w:t>
      </w:r>
      <w:r w:rsidRPr="00373F52">
        <w:rPr>
          <w:rStyle w:val="af9"/>
          <w:rFonts w:hint="cs"/>
          <w:rtl/>
        </w:rPr>
        <w:t>הראב"ן</w:t>
      </w:r>
      <w:r>
        <w:rPr>
          <w:rFonts w:hint="cs"/>
          <w:rtl/>
        </w:rPr>
        <w:t xml:space="preserve">. </w:t>
      </w:r>
      <w:r w:rsidRPr="002868B2">
        <w:rPr>
          <w:rStyle w:val="afb"/>
          <w:rFonts w:hint="cs"/>
          <w:rtl/>
        </w:rPr>
        <w:t>[וע</w:t>
      </w:r>
      <w:r>
        <w:rPr>
          <w:rStyle w:val="afb"/>
          <w:rFonts w:hint="cs"/>
          <w:rtl/>
        </w:rPr>
        <w:t xml:space="preserve">"ע במ"ש </w:t>
      </w:r>
      <w:r>
        <w:rPr>
          <w:rStyle w:val="affa"/>
          <w:rFonts w:hint="cs"/>
          <w:rtl/>
        </w:rPr>
        <w:t>ה</w:t>
      </w:r>
      <w:r w:rsidRPr="00440602">
        <w:rPr>
          <w:rStyle w:val="affa"/>
          <w:rFonts w:hint="cs"/>
          <w:rtl/>
        </w:rPr>
        <w:t>רשב"א</w:t>
      </w:r>
      <w:r w:rsidRPr="002868B2">
        <w:rPr>
          <w:rStyle w:val="afb"/>
          <w:rFonts w:hint="cs"/>
          <w:rtl/>
        </w:rPr>
        <w:t xml:space="preserve"> </w:t>
      </w:r>
      <w:r w:rsidRPr="00440602">
        <w:rPr>
          <w:rStyle w:val="affa"/>
          <w:rFonts w:hint="cs"/>
          <w:rtl/>
        </w:rPr>
        <w:t>ו</w:t>
      </w:r>
      <w:r>
        <w:rPr>
          <w:rStyle w:val="affa"/>
          <w:rFonts w:hint="cs"/>
          <w:rtl/>
        </w:rPr>
        <w:t>ה</w:t>
      </w:r>
      <w:r w:rsidRPr="00440602">
        <w:rPr>
          <w:rStyle w:val="affa"/>
          <w:rFonts w:hint="cs"/>
          <w:rtl/>
        </w:rPr>
        <w:t>ריטב"א</w:t>
      </w:r>
      <w:r w:rsidRPr="002868B2">
        <w:rPr>
          <w:rStyle w:val="afb"/>
          <w:rFonts w:hint="cs"/>
          <w:rtl/>
        </w:rPr>
        <w:t xml:space="preserve"> </w:t>
      </w:r>
      <w:r w:rsidRPr="00982F59">
        <w:rPr>
          <w:rStyle w:val="aff6"/>
          <w:rFonts w:hint="cs"/>
          <w:rtl/>
        </w:rPr>
        <w:t xml:space="preserve">(עי' אות </w:t>
      </w:r>
      <w:r w:rsidRPr="00982F59">
        <w:rPr>
          <w:rStyle w:val="aff6"/>
          <w:rtl/>
        </w:rPr>
        <w:fldChar w:fldCharType="begin"/>
      </w:r>
      <w:r w:rsidRPr="00982F59">
        <w:rPr>
          <w:rStyle w:val="aff6"/>
          <w:rtl/>
        </w:rPr>
        <w:instrText xml:space="preserve"> </w:instrText>
      </w:r>
      <w:r w:rsidRPr="00982F59">
        <w:rPr>
          <w:rStyle w:val="aff6"/>
          <w:rFonts w:hint="cs"/>
        </w:rPr>
        <w:instrText>REF</w:instrText>
      </w:r>
      <w:r w:rsidRPr="00982F59">
        <w:rPr>
          <w:rStyle w:val="aff6"/>
          <w:rFonts w:hint="cs"/>
          <w:rtl/>
        </w:rPr>
        <w:instrText xml:space="preserve"> _</w:instrText>
      </w:r>
      <w:r w:rsidRPr="00982F59">
        <w:rPr>
          <w:rStyle w:val="aff6"/>
          <w:rFonts w:hint="cs"/>
        </w:rPr>
        <w:instrText>Ref64998698 \r \h</w:instrText>
      </w:r>
      <w:r w:rsidRPr="00982F59">
        <w:rPr>
          <w:rStyle w:val="aff6"/>
          <w:rtl/>
        </w:rPr>
        <w:instrText xml:space="preserve"> </w:instrText>
      </w:r>
      <w:r w:rsidRPr="00982F59">
        <w:rPr>
          <w:rStyle w:val="aff6"/>
          <w:rtl/>
        </w:rPr>
      </w:r>
      <w:r w:rsidRPr="00982F59">
        <w:rPr>
          <w:rStyle w:val="aff6"/>
          <w:rtl/>
        </w:rPr>
        <w:fldChar w:fldCharType="separate"/>
      </w:r>
      <w:r w:rsidR="00265073">
        <w:rPr>
          <w:rStyle w:val="aff6"/>
          <w:cs/>
        </w:rPr>
        <w:t>‎</w:t>
      </w:r>
      <w:r w:rsidR="00265073">
        <w:rPr>
          <w:rStyle w:val="aff6"/>
          <w:rtl/>
        </w:rPr>
        <w:t>סב)</w:t>
      </w:r>
      <w:r w:rsidRPr="00982F59">
        <w:rPr>
          <w:rStyle w:val="aff6"/>
          <w:rtl/>
        </w:rPr>
        <w:fldChar w:fldCharType="end"/>
      </w:r>
      <w:r>
        <w:rPr>
          <w:rStyle w:val="aff6"/>
          <w:rFonts w:hint="cs"/>
          <w:rtl/>
        </w:rPr>
        <w:t xml:space="preserve"> </w:t>
      </w:r>
      <w:r>
        <w:rPr>
          <w:rStyle w:val="afb"/>
          <w:rFonts w:hint="cs"/>
          <w:rtl/>
        </w:rPr>
        <w:t>דשכנגדו א"צ להשבע</w:t>
      </w:r>
      <w:r w:rsidRPr="002868B2">
        <w:rPr>
          <w:rStyle w:val="afb"/>
          <w:rFonts w:hint="cs"/>
          <w:rtl/>
        </w:rPr>
        <w:t>].</w:t>
      </w:r>
      <w:bookmarkEnd w:id="16600"/>
    </w:p>
    <w:p w:rsidR="000F5507" w:rsidRPr="00D13DDC" w:rsidRDefault="000F5507" w:rsidP="000F5507">
      <w:pPr>
        <w:pStyle w:val="a3"/>
        <w:rPr>
          <w:rtl/>
        </w:rPr>
      </w:pPr>
    </w:p>
    <w:p w:rsidR="000F5507" w:rsidRDefault="000F5507" w:rsidP="000F5507">
      <w:pPr>
        <w:pStyle w:val="afe"/>
        <w:rPr>
          <w:rtl/>
        </w:rPr>
      </w:pPr>
      <w:bookmarkStart w:id="16601" w:name="_Toc65689813"/>
      <w:bookmarkStart w:id="16602" w:name="_Toc65703353"/>
      <w:bookmarkStart w:id="16603" w:name="_Toc65714021"/>
      <w:bookmarkStart w:id="16604" w:name="_Toc65714877"/>
      <w:bookmarkStart w:id="16605" w:name="_Toc64925399"/>
      <w:bookmarkStart w:id="16606" w:name="_Toc65141949"/>
      <w:bookmarkStart w:id="16607" w:name="_Toc65185642"/>
      <w:bookmarkStart w:id="16608" w:name="_Toc65529982"/>
      <w:bookmarkStart w:id="16609" w:name="_Toc65604031"/>
      <w:bookmarkStart w:id="16610" w:name="_Toc65605921"/>
      <w:bookmarkStart w:id="16611" w:name="_Toc65617178"/>
      <w:bookmarkStart w:id="16612" w:name="_Toc65666154"/>
      <w:bookmarkEnd w:id="16514"/>
      <w:r w:rsidRPr="00E90F5E">
        <w:rPr>
          <w:rFonts w:hint="cs"/>
          <w:rtl/>
        </w:rPr>
        <w:t>גירסאות הראשונים</w:t>
      </w:r>
      <w:r>
        <w:rPr>
          <w:rFonts w:hint="cs"/>
          <w:rtl/>
        </w:rPr>
        <w:t xml:space="preserve"> אמאי א"י להשבע</w:t>
      </w:r>
      <w:bookmarkEnd w:id="16601"/>
      <w:bookmarkEnd w:id="16602"/>
      <w:bookmarkEnd w:id="16603"/>
      <w:bookmarkEnd w:id="16604"/>
    </w:p>
    <w:p w:rsidR="000F5507" w:rsidRPr="00D40858" w:rsidRDefault="000F5507" w:rsidP="000F5507">
      <w:pPr>
        <w:pStyle w:val="1"/>
        <w:rPr>
          <w:rtl/>
        </w:rPr>
      </w:pPr>
      <w:bookmarkStart w:id="16613" w:name="_Toc65689814"/>
      <w:bookmarkStart w:id="16614" w:name="_Toc65703354"/>
      <w:bookmarkStart w:id="16615" w:name="_Toc65714022"/>
      <w:bookmarkStart w:id="16616" w:name="_Toc65714878"/>
      <w:r>
        <w:rPr>
          <w:rFonts w:hint="cs"/>
          <w:rtl/>
        </w:rPr>
        <w:t>גירסת הרי"ף והראשונים דכיון שהודה א"י להשבע ול"ג כגזלן</w:t>
      </w:r>
      <w:bookmarkEnd w:id="16613"/>
      <w:bookmarkEnd w:id="16614"/>
      <w:bookmarkEnd w:id="16615"/>
      <w:bookmarkEnd w:id="16616"/>
    </w:p>
    <w:p w:rsidR="000F5507" w:rsidRPr="00D13DDC" w:rsidRDefault="000F5507" w:rsidP="000F5507">
      <w:pPr>
        <w:pStyle w:val="a3"/>
        <w:rPr>
          <w:rtl/>
        </w:rPr>
      </w:pPr>
      <w:bookmarkStart w:id="16617" w:name="_Toc65689815"/>
      <w:bookmarkStart w:id="16618" w:name="_Toc65703355"/>
      <w:bookmarkStart w:id="16619" w:name="_Toc65714023"/>
      <w:bookmarkStart w:id="16620" w:name="_Toc65714879"/>
      <w:r w:rsidRPr="00D13DDC">
        <w:rPr>
          <w:rFonts w:hint="cs"/>
          <w:rtl/>
        </w:rPr>
        <w:t>גירסת הרי"ף והג' הא' בר"ח דכיון שמודה לע"א שחטף לכן אינו יכול להשבע</w:t>
      </w:r>
      <w:bookmarkEnd w:id="16617"/>
      <w:bookmarkEnd w:id="16618"/>
      <w:bookmarkEnd w:id="16619"/>
      <w:bookmarkEnd w:id="16620"/>
    </w:p>
    <w:p w:rsidR="000F5507" w:rsidRPr="00306F6D" w:rsidRDefault="000F5507" w:rsidP="007E4E81">
      <w:pPr>
        <w:pStyle w:val="a0"/>
        <w:rPr>
          <w:rStyle w:val="afb"/>
          <w:rtl/>
        </w:rPr>
      </w:pPr>
      <w:bookmarkStart w:id="16621" w:name="_Ref65689731"/>
      <w:r w:rsidRPr="00F165DD">
        <w:rPr>
          <w:rFonts w:hint="cs"/>
          <w:rtl/>
        </w:rPr>
        <w:t xml:space="preserve">בתחילת דבריו הביא </w:t>
      </w:r>
      <w:r w:rsidRPr="007E098A">
        <w:rPr>
          <w:rStyle w:val="af9"/>
          <w:rFonts w:hint="cs"/>
          <w:rtl/>
        </w:rPr>
        <w:t>ר</w:t>
      </w:r>
      <w:r>
        <w:rPr>
          <w:rStyle w:val="af9"/>
          <w:rFonts w:hint="cs"/>
          <w:rtl/>
        </w:rPr>
        <w:t xml:space="preserve">"ח </w:t>
      </w:r>
      <w:r w:rsidRPr="002F2019">
        <w:rPr>
          <w:rStyle w:val="af7"/>
          <w:rFonts w:eastAsia="Guttman Hodes" w:hint="cs"/>
          <w:rtl/>
        </w:rPr>
        <w:t xml:space="preserve">(ד"ה </w:t>
      </w:r>
      <w:r w:rsidRPr="002F2019">
        <w:rPr>
          <w:rStyle w:val="af7"/>
          <w:rFonts w:eastAsia="Guttman Hodes"/>
          <w:rtl/>
        </w:rPr>
        <w:t>ניפטריה</w:t>
      </w:r>
      <w:r w:rsidRPr="002F2019">
        <w:rPr>
          <w:rStyle w:val="af7"/>
          <w:rFonts w:eastAsia="Guttman Hodes" w:hint="cs"/>
          <w:rtl/>
        </w:rPr>
        <w:t xml:space="preserve">, הועתק בקובץ שיטות קמאי ב"ב ח"א עמ' </w:t>
      </w:r>
      <w:r w:rsidRPr="002F2019">
        <w:rPr>
          <w:rStyle w:val="af7"/>
          <w:rFonts w:eastAsia="Guttman Hodes"/>
          <w:rtl/>
        </w:rPr>
        <w:t>תתכ</w:t>
      </w:r>
      <w:r w:rsidRPr="002F2019">
        <w:rPr>
          <w:rStyle w:val="af7"/>
          <w:rFonts w:eastAsia="Guttman Hodes" w:hint="cs"/>
          <w:rtl/>
        </w:rPr>
        <w:t>"</w:t>
      </w:r>
      <w:r w:rsidRPr="002F2019">
        <w:rPr>
          <w:rStyle w:val="af7"/>
          <w:rFonts w:eastAsia="Guttman Hodes"/>
          <w:rtl/>
        </w:rPr>
        <w:t>ז</w:t>
      </w:r>
      <w:r w:rsidRPr="002F2019">
        <w:rPr>
          <w:rStyle w:val="af7"/>
          <w:rFonts w:eastAsia="Guttman Hodes" w:hint="cs"/>
          <w:rtl/>
        </w:rPr>
        <w:t>)</w:t>
      </w:r>
      <w:r>
        <w:rPr>
          <w:rFonts w:hint="cs"/>
          <w:rtl/>
        </w:rPr>
        <w:t xml:space="preserve"> </w:t>
      </w:r>
      <w:r w:rsidRPr="00F165DD">
        <w:rPr>
          <w:rFonts w:hint="cs"/>
          <w:rtl/>
        </w:rPr>
        <w:t xml:space="preserve">את הגירסא דאינו יכול להשבע על מה שהעיד העד, כיון שמודה שחטף, </w:t>
      </w:r>
      <w:r>
        <w:rPr>
          <w:rFonts w:hint="cs"/>
          <w:rtl/>
        </w:rPr>
        <w:t xml:space="preserve">וכן היא גירסת </w:t>
      </w:r>
      <w:r w:rsidRPr="003120C6">
        <w:rPr>
          <w:rStyle w:val="af9"/>
          <w:rFonts w:hint="cs"/>
          <w:rtl/>
        </w:rPr>
        <w:t xml:space="preserve">הרי"ף </w:t>
      </w:r>
      <w:r w:rsidRPr="002F2019">
        <w:rPr>
          <w:rStyle w:val="af7"/>
          <w:rFonts w:eastAsia="Guttman Hodes" w:hint="cs"/>
          <w:rtl/>
        </w:rPr>
        <w:t>(יז: מדה"ר)</w:t>
      </w:r>
      <w:r>
        <w:rPr>
          <w:rFonts w:hint="cs"/>
          <w:rtl/>
        </w:rPr>
        <w:t xml:space="preserve">, </w:t>
      </w:r>
      <w:r w:rsidRPr="00F165DD">
        <w:rPr>
          <w:rFonts w:hint="cs"/>
          <w:rtl/>
        </w:rPr>
        <w:t>ו</w:t>
      </w:r>
      <w:r>
        <w:rPr>
          <w:rFonts w:hint="cs"/>
          <w:rtl/>
        </w:rPr>
        <w:t xml:space="preserve">ביאר </w:t>
      </w:r>
      <w:r w:rsidRPr="007E098A">
        <w:rPr>
          <w:rStyle w:val="af9"/>
          <w:rFonts w:hint="cs"/>
          <w:rtl/>
        </w:rPr>
        <w:t>ר</w:t>
      </w:r>
      <w:r>
        <w:rPr>
          <w:rStyle w:val="af9"/>
          <w:rFonts w:hint="cs"/>
          <w:rtl/>
        </w:rPr>
        <w:t xml:space="preserve">"ח </w:t>
      </w:r>
      <w:r>
        <w:rPr>
          <w:rFonts w:hint="cs"/>
          <w:rtl/>
        </w:rPr>
        <w:t>דהוא חייב להחזיר את הנסכא, דכיון שאם היו ב' עדים שחטף היה חייב להחזיר, ובעדות של ע"א מתחייב שבועה, וכיון שהוא מחוייב שבועה ואינו יכול להשבע משלם.</w:t>
      </w:r>
      <w:r w:rsidRPr="00417E17">
        <w:rPr>
          <w:rStyle w:val="afb"/>
          <w:rFonts w:hint="cs"/>
          <w:rtl/>
        </w:rPr>
        <w:t xml:space="preserve"> </w:t>
      </w:r>
      <w:r w:rsidRPr="00306F6D">
        <w:rPr>
          <w:rStyle w:val="afb"/>
          <w:rFonts w:hint="cs"/>
          <w:rtl/>
        </w:rPr>
        <w:t xml:space="preserve">[וכן משמע בדברי </w:t>
      </w:r>
      <w:r w:rsidRPr="00306F6D">
        <w:rPr>
          <w:rStyle w:val="affa"/>
          <w:rFonts w:hint="cs"/>
          <w:rtl/>
        </w:rPr>
        <w:t>ר"ח בשבועות</w:t>
      </w:r>
      <w:r w:rsidRPr="00306F6D">
        <w:rPr>
          <w:rStyle w:val="afb"/>
          <w:rFonts w:hint="cs"/>
          <w:rtl/>
        </w:rPr>
        <w:t xml:space="preserve"> </w:t>
      </w:r>
      <w:r w:rsidRPr="00F90681">
        <w:rPr>
          <w:rStyle w:val="aff6"/>
          <w:rFonts w:hint="cs"/>
          <w:rtl/>
        </w:rPr>
        <w:t>(לב: ד"ה הכל)</w:t>
      </w:r>
      <w:r w:rsidRPr="00306F6D">
        <w:rPr>
          <w:rStyle w:val="afb"/>
          <w:rFonts w:hint="cs"/>
          <w:rtl/>
        </w:rPr>
        <w:t xml:space="preserve">, וע"ע בגירסא הב' שהביא </w:t>
      </w:r>
      <w:r w:rsidRPr="00306F6D">
        <w:rPr>
          <w:rStyle w:val="affa"/>
          <w:rFonts w:hint="cs"/>
          <w:rtl/>
        </w:rPr>
        <w:t>ר"ח</w:t>
      </w:r>
      <w:r w:rsidRPr="00306F6D">
        <w:rPr>
          <w:rStyle w:val="afb"/>
          <w:rFonts w:hint="cs"/>
          <w:rtl/>
        </w:rPr>
        <w:t xml:space="preserve"> </w:t>
      </w:r>
      <w:r>
        <w:rPr>
          <w:rStyle w:val="aff6"/>
          <w:rtl/>
        </w:rPr>
        <w:t>(</w:t>
      </w:r>
      <w:r w:rsidRPr="006301DA">
        <w:rPr>
          <w:rStyle w:val="aff6"/>
          <w:rtl/>
        </w:rPr>
        <w:t xml:space="preserve">עי' אות </w:t>
      </w:r>
      <w:r w:rsidRPr="006301DA">
        <w:rPr>
          <w:rStyle w:val="aff6"/>
          <w:rtl/>
        </w:rPr>
        <w:fldChar w:fldCharType="begin"/>
      </w:r>
      <w:r w:rsidRPr="006301DA">
        <w:rPr>
          <w:rStyle w:val="aff6"/>
          <w:rtl/>
        </w:rPr>
        <w:instrText xml:space="preserve"> </w:instrText>
      </w:r>
      <w:r w:rsidRPr="006301DA">
        <w:rPr>
          <w:rStyle w:val="aff6"/>
          <w:rFonts w:hint="cs"/>
        </w:rPr>
        <w:instrText>REF</w:instrText>
      </w:r>
      <w:r w:rsidRPr="006301DA">
        <w:rPr>
          <w:rStyle w:val="aff6"/>
          <w:rFonts w:hint="cs"/>
          <w:rtl/>
        </w:rPr>
        <w:instrText xml:space="preserve"> _</w:instrText>
      </w:r>
      <w:r w:rsidRPr="006301DA">
        <w:rPr>
          <w:rStyle w:val="aff6"/>
          <w:rFonts w:hint="cs"/>
        </w:rPr>
        <w:instrText>Ref65690180 \r \h</w:instrText>
      </w:r>
      <w:r w:rsidRPr="006301DA">
        <w:rPr>
          <w:rStyle w:val="aff6"/>
          <w:rtl/>
        </w:rPr>
        <w:instrText xml:space="preserve"> </w:instrText>
      </w:r>
      <w:r w:rsidRPr="006301DA">
        <w:rPr>
          <w:rStyle w:val="aff6"/>
          <w:rtl/>
        </w:rPr>
      </w:r>
      <w:r w:rsidRPr="006301DA">
        <w:rPr>
          <w:rStyle w:val="aff6"/>
          <w:rtl/>
        </w:rPr>
        <w:fldChar w:fldCharType="separate"/>
      </w:r>
      <w:r w:rsidR="00265073">
        <w:rPr>
          <w:rStyle w:val="aff6"/>
          <w:cs/>
        </w:rPr>
        <w:t>‎</w:t>
      </w:r>
      <w:r w:rsidR="00265073">
        <w:rPr>
          <w:rStyle w:val="aff6"/>
          <w:rtl/>
        </w:rPr>
        <w:t>מט)</w:t>
      </w:r>
      <w:r w:rsidRPr="006301DA">
        <w:rPr>
          <w:rStyle w:val="aff6"/>
          <w:rtl/>
        </w:rPr>
        <w:fldChar w:fldCharType="end"/>
      </w:r>
      <w:r>
        <w:rPr>
          <w:rStyle w:val="afb"/>
          <w:rFonts w:hint="cs"/>
          <w:rtl/>
        </w:rPr>
        <w:t xml:space="preserve">, </w:t>
      </w:r>
      <w:r w:rsidRPr="00306F6D">
        <w:rPr>
          <w:rStyle w:val="afb"/>
          <w:rFonts w:hint="cs"/>
          <w:rtl/>
        </w:rPr>
        <w:t>ו</w:t>
      </w:r>
      <w:r>
        <w:rPr>
          <w:rStyle w:val="afb"/>
          <w:rFonts w:hint="cs"/>
          <w:rtl/>
        </w:rPr>
        <w:t>במה שביאר בזה</w:t>
      </w:r>
      <w:r w:rsidRPr="00306F6D">
        <w:rPr>
          <w:rStyle w:val="afb"/>
          <w:rFonts w:hint="cs"/>
          <w:rtl/>
        </w:rPr>
        <w:t xml:space="preserve"> </w:t>
      </w:r>
      <w:r w:rsidRPr="00306F6D">
        <w:rPr>
          <w:rStyle w:val="affa"/>
          <w:rFonts w:hint="cs"/>
          <w:rtl/>
        </w:rPr>
        <w:t>הר"ח בשבועות</w:t>
      </w:r>
      <w:r w:rsidRPr="00306F6D">
        <w:rPr>
          <w:rStyle w:val="afb"/>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Ref65690143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נ)</w:t>
      </w:r>
      <w:r>
        <w:rPr>
          <w:rStyle w:val="aff6"/>
          <w:rtl/>
        </w:rPr>
        <w:fldChar w:fldCharType="end"/>
      </w:r>
      <w:r w:rsidRPr="00306F6D">
        <w:rPr>
          <w:rStyle w:val="afb"/>
          <w:rFonts w:hint="cs"/>
          <w:rtl/>
        </w:rPr>
        <w:t>].</w:t>
      </w:r>
      <w:bookmarkEnd w:id="16621"/>
    </w:p>
    <w:p w:rsidR="000F5507" w:rsidRPr="00D13DDC" w:rsidRDefault="000F5507" w:rsidP="000F5507">
      <w:pPr>
        <w:pStyle w:val="a3"/>
      </w:pPr>
      <w:bookmarkStart w:id="16622" w:name="_Toc65689816"/>
      <w:bookmarkStart w:id="16623" w:name="_Toc65703356"/>
      <w:bookmarkStart w:id="16624" w:name="_Toc65714024"/>
      <w:bookmarkStart w:id="16625" w:name="_Toc65714880"/>
      <w:r w:rsidRPr="00D13DDC">
        <w:rPr>
          <w:rFonts w:hint="cs"/>
          <w:rtl/>
        </w:rPr>
        <w:t>דברי הריטב"א דגרסינן דכיון שהודה א"י לישבע ול"ג דהו"ל כגזלן וכ"מ ברמב"ן וברבינו יונה</w:t>
      </w:r>
      <w:bookmarkEnd w:id="16622"/>
      <w:bookmarkEnd w:id="16623"/>
      <w:bookmarkEnd w:id="16624"/>
      <w:bookmarkEnd w:id="16625"/>
    </w:p>
    <w:p w:rsidR="000F5507" w:rsidRDefault="000F5507" w:rsidP="007E4E81">
      <w:pPr>
        <w:pStyle w:val="a0"/>
        <w:rPr>
          <w:rtl/>
        </w:rPr>
      </w:pPr>
      <w:bookmarkStart w:id="16626" w:name="_Ref65689874"/>
      <w:r>
        <w:rPr>
          <w:rFonts w:hint="cs"/>
          <w:rtl/>
        </w:rPr>
        <w:t xml:space="preserve">וכ"כ </w:t>
      </w:r>
      <w:r w:rsidRPr="00A201B2">
        <w:rPr>
          <w:rStyle w:val="af9"/>
          <w:rFonts w:hint="cs"/>
          <w:rtl/>
        </w:rPr>
        <w:t>הריטב"א</w:t>
      </w:r>
      <w:r>
        <w:rPr>
          <w:rStyle w:val="af9"/>
          <w:rFonts w:hint="cs"/>
          <w:rtl/>
        </w:rPr>
        <w:t xml:space="preserve"> בסוגיין</w:t>
      </w:r>
      <w:r w:rsidRPr="002F2019">
        <w:rPr>
          <w:rStyle w:val="af7"/>
          <w:rFonts w:eastAsia="Guttman Hodes" w:hint="cs"/>
          <w:rtl/>
        </w:rPr>
        <w:t xml:space="preserve"> (ד"ה גירסת)</w:t>
      </w:r>
      <w:r>
        <w:rPr>
          <w:rFonts w:hint="cs"/>
          <w:rtl/>
        </w:rPr>
        <w:t xml:space="preserve"> </w:t>
      </w:r>
      <w:r>
        <w:rPr>
          <w:rStyle w:val="af9"/>
          <w:rFonts w:hint="cs"/>
          <w:rtl/>
        </w:rPr>
        <w:t>ו</w:t>
      </w:r>
      <w:r w:rsidRPr="005C04A2">
        <w:rPr>
          <w:rStyle w:val="af9"/>
          <w:rFonts w:hint="cs"/>
          <w:rtl/>
        </w:rPr>
        <w:t>בשבועות</w:t>
      </w:r>
      <w:r>
        <w:rPr>
          <w:rFonts w:hint="cs"/>
          <w:rtl/>
        </w:rPr>
        <w:t xml:space="preserve"> </w:t>
      </w:r>
      <w:r w:rsidRPr="005C04A2">
        <w:rPr>
          <w:rStyle w:val="af7"/>
          <w:rFonts w:eastAsia="Guttman Hodes" w:hint="cs"/>
          <w:rtl/>
        </w:rPr>
        <w:t>(לב: ד"ה יש)</w:t>
      </w:r>
      <w:r>
        <w:rPr>
          <w:rFonts w:hint="cs"/>
          <w:rtl/>
        </w:rPr>
        <w:t xml:space="preserve"> דהגירסא הנכונה היא דלא גרסינן שהוא כגזלן, אלא דאינו יכול להשבע כיון שמודה שחטף, וכן משמע בדברי </w:t>
      </w:r>
      <w:r w:rsidRPr="00551E7C">
        <w:rPr>
          <w:rStyle w:val="af9"/>
          <w:rFonts w:hint="cs"/>
          <w:rtl/>
        </w:rPr>
        <w:t>הרמב"ן</w:t>
      </w:r>
      <w:r>
        <w:rPr>
          <w:rFonts w:hint="cs"/>
          <w:rtl/>
        </w:rPr>
        <w:t xml:space="preserve"> </w:t>
      </w:r>
      <w:r w:rsidRPr="00551E7C">
        <w:rPr>
          <w:rStyle w:val="af7"/>
          <w:rFonts w:eastAsia="Guttman Hodes" w:hint="cs"/>
          <w:rtl/>
        </w:rPr>
        <w:t>(ד"ה ויש שפירשו)</w:t>
      </w:r>
      <w:r>
        <w:rPr>
          <w:rFonts w:hint="cs"/>
          <w:rtl/>
        </w:rPr>
        <w:t xml:space="preserve"> </w:t>
      </w:r>
      <w:r w:rsidRPr="00D633C3">
        <w:rPr>
          <w:rStyle w:val="af9"/>
          <w:rFonts w:hint="cs"/>
          <w:rtl/>
        </w:rPr>
        <w:t>ור</w:t>
      </w:r>
      <w:r w:rsidRPr="00D633C3">
        <w:rPr>
          <w:rFonts w:hint="cs"/>
          <w:b/>
          <w:bCs/>
          <w:rtl/>
        </w:rPr>
        <w:t>בינו יונה</w:t>
      </w:r>
      <w:r>
        <w:rPr>
          <w:rFonts w:hint="cs"/>
          <w:b/>
          <w:bCs/>
          <w:rtl/>
        </w:rPr>
        <w:t xml:space="preserve"> </w:t>
      </w:r>
      <w:r>
        <w:rPr>
          <w:rFonts w:ascii="Calibri" w:hAnsi="Calibri" w:cs="Guttman Rashi" w:hint="cs"/>
          <w:noProof w:val="0"/>
          <w:sz w:val="10"/>
          <w:szCs w:val="12"/>
          <w:rtl/>
        </w:rPr>
        <w:t>(</w:t>
      </w:r>
      <w:r w:rsidRPr="00D633C3">
        <w:rPr>
          <w:rFonts w:ascii="Calibri" w:hAnsi="Calibri" w:cs="Guttman Rashi" w:hint="cs"/>
          <w:noProof w:val="0"/>
          <w:sz w:val="10"/>
          <w:szCs w:val="12"/>
          <w:rtl/>
        </w:rPr>
        <w:t>ד"ה לשתבע)</w:t>
      </w:r>
      <w:r w:rsidRPr="00D633C3">
        <w:rPr>
          <w:rFonts w:ascii="Calibri" w:eastAsia="Calibri" w:hAnsi="Calibri" w:cs="Arial" w:hint="cs"/>
          <w:noProof w:val="0"/>
          <w:sz w:val="22"/>
          <w:szCs w:val="22"/>
          <w:rtl/>
        </w:rPr>
        <w:t xml:space="preserve"> </w:t>
      </w:r>
      <w:r>
        <w:rPr>
          <w:rFonts w:hint="cs"/>
          <w:b/>
          <w:bCs/>
          <w:rtl/>
        </w:rPr>
        <w:t>והר"ן</w:t>
      </w:r>
      <w:r w:rsidRPr="00D633C3">
        <w:rPr>
          <w:rFonts w:ascii="Calibri" w:eastAsia="Calibri" w:hAnsi="Calibri" w:cs="Arial" w:hint="cs"/>
          <w:noProof w:val="0"/>
          <w:sz w:val="22"/>
          <w:szCs w:val="22"/>
          <w:rtl/>
        </w:rPr>
        <w:t xml:space="preserve"> </w:t>
      </w:r>
      <w:r w:rsidRPr="00D633C3">
        <w:rPr>
          <w:rFonts w:ascii="Calibri" w:hAnsi="Calibri" w:cs="Guttman Rashi" w:hint="cs"/>
          <w:noProof w:val="0"/>
          <w:sz w:val="10"/>
          <w:szCs w:val="12"/>
          <w:rtl/>
        </w:rPr>
        <w:t>(ד"ה ל</w:t>
      </w:r>
      <w:r>
        <w:rPr>
          <w:rFonts w:ascii="Calibri" w:hAnsi="Calibri" w:cs="Guttman Rashi" w:hint="cs"/>
          <w:noProof w:val="0"/>
          <w:sz w:val="10"/>
          <w:szCs w:val="12"/>
          <w:rtl/>
        </w:rPr>
        <w:t>י</w:t>
      </w:r>
      <w:r w:rsidRPr="00D633C3">
        <w:rPr>
          <w:rFonts w:ascii="Calibri" w:hAnsi="Calibri" w:cs="Guttman Rashi" w:hint="cs"/>
          <w:noProof w:val="0"/>
          <w:sz w:val="10"/>
          <w:szCs w:val="12"/>
          <w:rtl/>
        </w:rPr>
        <w:t>שתבע</w:t>
      </w:r>
      <w:r>
        <w:rPr>
          <w:rFonts w:ascii="Calibri" w:hAnsi="Calibri" w:cs="Guttman Rashi" w:hint="cs"/>
          <w:noProof w:val="0"/>
          <w:sz w:val="10"/>
          <w:szCs w:val="12"/>
          <w:rtl/>
        </w:rPr>
        <w:t>)</w:t>
      </w:r>
      <w:r>
        <w:rPr>
          <w:rFonts w:hint="cs"/>
          <w:rtl/>
        </w:rPr>
        <w:t xml:space="preserve"> דהגירסא הפשוטה היא דכיון שהודה אינו יכול להשבע, ול"ג שהוא כגזלן.</w:t>
      </w:r>
      <w:bookmarkEnd w:id="16626"/>
    </w:p>
    <w:p w:rsidR="000F5507" w:rsidRDefault="000F5507" w:rsidP="000F5507">
      <w:pPr>
        <w:pStyle w:val="1"/>
        <w:rPr>
          <w:rtl/>
        </w:rPr>
      </w:pPr>
      <w:bookmarkStart w:id="16627" w:name="_Toc65689817"/>
      <w:bookmarkStart w:id="16628" w:name="_Toc65703357"/>
      <w:bookmarkStart w:id="16629" w:name="_Toc65714025"/>
      <w:bookmarkStart w:id="16630" w:name="_Toc65714881"/>
      <w:r>
        <w:rPr>
          <w:rFonts w:hint="cs"/>
          <w:rtl/>
        </w:rPr>
        <w:t>גי' הבה"ג והרא"ש והי"א בריטב"א דכיון דאמר חטפי הוא כגזלן</w:t>
      </w:r>
      <w:bookmarkEnd w:id="16627"/>
      <w:bookmarkEnd w:id="16628"/>
      <w:bookmarkEnd w:id="16629"/>
      <w:bookmarkEnd w:id="16630"/>
    </w:p>
    <w:p w:rsidR="000F5507" w:rsidRPr="00D13DDC" w:rsidRDefault="000F5507" w:rsidP="000F5507">
      <w:pPr>
        <w:pStyle w:val="a3"/>
        <w:rPr>
          <w:rtl/>
        </w:rPr>
      </w:pPr>
      <w:bookmarkStart w:id="16631" w:name="_Toc65689818"/>
      <w:bookmarkStart w:id="16632" w:name="_Toc65703358"/>
      <w:bookmarkStart w:id="16633" w:name="_Toc65714026"/>
      <w:bookmarkStart w:id="16634" w:name="_Toc65714882"/>
      <w:r w:rsidRPr="00D13DDC">
        <w:rPr>
          <w:rFonts w:hint="cs"/>
          <w:rtl/>
        </w:rPr>
        <w:t>הגי' לפנינו וגי' הבה"ג והרא"ש והתורי"ד והי"א בריטב"א דכיון שהודה שחטף לכן הו"ל כגזלן</w:t>
      </w:r>
      <w:bookmarkEnd w:id="16631"/>
      <w:bookmarkEnd w:id="16632"/>
      <w:bookmarkEnd w:id="16633"/>
      <w:bookmarkEnd w:id="16634"/>
    </w:p>
    <w:p w:rsidR="000F5507" w:rsidRPr="008A552D" w:rsidRDefault="000F5507" w:rsidP="007E4E81">
      <w:pPr>
        <w:pStyle w:val="a0"/>
      </w:pPr>
      <w:bookmarkStart w:id="16635" w:name="_Ref65689629"/>
      <w:r w:rsidRPr="00A201B2">
        <w:rPr>
          <w:rStyle w:val="af9"/>
          <w:rFonts w:hint="cs"/>
          <w:rtl/>
        </w:rPr>
        <w:t>והריטב"א</w:t>
      </w:r>
      <w:r>
        <w:rPr>
          <w:rFonts w:hint="cs"/>
          <w:rtl/>
        </w:rPr>
        <w:t xml:space="preserve"> </w:t>
      </w:r>
      <w:r w:rsidRPr="00A201B2">
        <w:rPr>
          <w:rStyle w:val="af7"/>
          <w:rFonts w:eastAsia="Guttman Hodes" w:hint="cs"/>
          <w:rtl/>
        </w:rPr>
        <w:t>(ד"ה גירסת)</w:t>
      </w:r>
      <w:r>
        <w:rPr>
          <w:rFonts w:hint="cs"/>
          <w:rtl/>
        </w:rPr>
        <w:t xml:space="preserve"> הביא שיש גורסים בדברי רבי אבא דאינו יכול להשבע, "</w:t>
      </w:r>
      <w:r>
        <w:rPr>
          <w:rtl/>
        </w:rPr>
        <w:t>כיון דאמר מחטף חטפה</w:t>
      </w:r>
      <w:r>
        <w:rPr>
          <w:rFonts w:hint="cs"/>
          <w:rtl/>
        </w:rPr>
        <w:t>,</w:t>
      </w:r>
      <w:r>
        <w:rPr>
          <w:rtl/>
        </w:rPr>
        <w:t xml:space="preserve"> הוה ליה כגזלן</w:t>
      </w:r>
      <w:r>
        <w:rPr>
          <w:rFonts w:hint="cs"/>
          <w:rtl/>
        </w:rPr>
        <w:t xml:space="preserve">", וכן היא גירסת </w:t>
      </w:r>
      <w:r>
        <w:rPr>
          <w:rStyle w:val="af9"/>
          <w:rFonts w:hint="cs"/>
          <w:rtl/>
        </w:rPr>
        <w:lastRenderedPageBreak/>
        <w:t xml:space="preserve">הבה"ג </w:t>
      </w:r>
      <w:r w:rsidRPr="009F3351">
        <w:rPr>
          <w:rStyle w:val="af7"/>
          <w:rFonts w:eastAsia="Guttman Hodes" w:hint="cs"/>
          <w:rtl/>
        </w:rPr>
        <w:t>(</w:t>
      </w:r>
      <w:r w:rsidRPr="009F3351">
        <w:rPr>
          <w:rStyle w:val="af7"/>
          <w:rFonts w:eastAsia="Guttman Hodes"/>
          <w:rtl/>
        </w:rPr>
        <w:t>סי</w:t>
      </w:r>
      <w:r>
        <w:rPr>
          <w:rStyle w:val="af7"/>
          <w:rFonts w:eastAsia="Guttman Hodes" w:hint="cs"/>
          <w:rtl/>
        </w:rPr>
        <w:t xml:space="preserve">' </w:t>
      </w:r>
      <w:r w:rsidRPr="009F3351">
        <w:rPr>
          <w:rStyle w:val="af7"/>
          <w:rFonts w:eastAsia="Guttman Hodes"/>
          <w:rtl/>
        </w:rPr>
        <w:t>מ</w:t>
      </w:r>
      <w:r>
        <w:rPr>
          <w:rStyle w:val="af7"/>
          <w:rFonts w:eastAsia="Guttman Hodes" w:hint="cs"/>
          <w:rtl/>
        </w:rPr>
        <w:t>"</w:t>
      </w:r>
      <w:r w:rsidRPr="009F3351">
        <w:rPr>
          <w:rStyle w:val="af7"/>
          <w:rFonts w:eastAsia="Guttman Hodes"/>
          <w:rtl/>
        </w:rPr>
        <w:t xml:space="preserve">ו </w:t>
      </w:r>
      <w:r>
        <w:rPr>
          <w:rStyle w:val="af7"/>
          <w:rFonts w:eastAsia="Guttman Hodes"/>
          <w:rtl/>
        </w:rPr>
        <w:t>הל</w:t>
      </w:r>
      <w:r>
        <w:rPr>
          <w:rStyle w:val="af7"/>
          <w:rFonts w:eastAsia="Guttman Hodes" w:hint="cs"/>
          <w:rtl/>
        </w:rPr>
        <w:t>'</w:t>
      </w:r>
      <w:r>
        <w:rPr>
          <w:rStyle w:val="af7"/>
          <w:rFonts w:eastAsia="Guttman Hodes"/>
          <w:rtl/>
        </w:rPr>
        <w:t xml:space="preserve"> בבא בתרא עמ</w:t>
      </w:r>
      <w:r>
        <w:rPr>
          <w:rStyle w:val="af7"/>
          <w:rFonts w:eastAsia="Guttman Hodes" w:hint="cs"/>
          <w:rtl/>
        </w:rPr>
        <w:t>'</w:t>
      </w:r>
      <w:r w:rsidRPr="009F3351">
        <w:rPr>
          <w:rStyle w:val="af7"/>
          <w:rFonts w:eastAsia="Guttman Hodes"/>
          <w:rtl/>
        </w:rPr>
        <w:t xml:space="preserve"> תק</w:t>
      </w:r>
      <w:r>
        <w:rPr>
          <w:rStyle w:val="af7"/>
          <w:rFonts w:eastAsia="Guttman Hodes" w:hint="cs"/>
          <w:rtl/>
        </w:rPr>
        <w:t>"</w:t>
      </w:r>
      <w:r w:rsidRPr="009F3351">
        <w:rPr>
          <w:rStyle w:val="af7"/>
          <w:rFonts w:eastAsia="Guttman Hodes"/>
          <w:rtl/>
        </w:rPr>
        <w:t>ט</w:t>
      </w:r>
      <w:r w:rsidRPr="009F3351">
        <w:rPr>
          <w:rStyle w:val="af7"/>
          <w:rFonts w:eastAsia="Guttman Hodes" w:hint="cs"/>
          <w:rtl/>
        </w:rPr>
        <w:t>)</w:t>
      </w:r>
      <w:r>
        <w:rPr>
          <w:rStyle w:val="af9"/>
          <w:rFonts w:hint="cs"/>
          <w:rtl/>
        </w:rPr>
        <w:t xml:space="preserve"> ו</w:t>
      </w:r>
      <w:r w:rsidRPr="003120C6">
        <w:rPr>
          <w:rStyle w:val="af9"/>
          <w:rFonts w:hint="cs"/>
          <w:rtl/>
        </w:rPr>
        <w:t>הרא"ש</w:t>
      </w:r>
      <w:r>
        <w:rPr>
          <w:rFonts w:hint="cs"/>
          <w:rtl/>
        </w:rPr>
        <w:t xml:space="preserve"> </w:t>
      </w:r>
      <w:r w:rsidRPr="003120C6">
        <w:rPr>
          <w:rStyle w:val="af7"/>
          <w:rFonts w:eastAsia="Guttman Hodes" w:hint="cs"/>
          <w:rtl/>
        </w:rPr>
        <w:t>(סי' כ')</w:t>
      </w:r>
      <w:r>
        <w:rPr>
          <w:rFonts w:hint="cs"/>
          <w:rtl/>
        </w:rPr>
        <w:t xml:space="preserve"> </w:t>
      </w:r>
      <w:r w:rsidRPr="00AA074F">
        <w:rPr>
          <w:rStyle w:val="af9"/>
          <w:rFonts w:hint="cs"/>
          <w:rtl/>
        </w:rPr>
        <w:t>והתוס' רי"ד</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Ref65688013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Pr>
          <w:rStyle w:val="af7"/>
          <w:rFonts w:eastAsia="Guttman Hodes"/>
          <w:rtl/>
        </w:rPr>
        <w:fldChar w:fldCharType="end"/>
      </w:r>
      <w:r>
        <w:rPr>
          <w:rFonts w:hint="cs"/>
          <w:rtl/>
        </w:rPr>
        <w:t xml:space="preserve">, </w:t>
      </w:r>
      <w:r w:rsidRPr="00174C0E">
        <w:rPr>
          <w:rFonts w:hint="cs"/>
          <w:rtl/>
        </w:rPr>
        <w:t>וכן הגירסא לפנינו</w:t>
      </w:r>
      <w:bookmarkStart w:id="16636" w:name="_Ref65688039"/>
      <w:r>
        <w:rPr>
          <w:rStyle w:val="af1"/>
          <w:rtl/>
        </w:rPr>
        <w:footnoteReference w:id="114"/>
      </w:r>
      <w:bookmarkEnd w:id="16636"/>
      <w:r>
        <w:rPr>
          <w:rFonts w:hint="cs"/>
          <w:rtl/>
        </w:rPr>
        <w:t>.</w:t>
      </w:r>
      <w:bookmarkEnd w:id="16635"/>
    </w:p>
    <w:p w:rsidR="000F5507" w:rsidRPr="00D13DDC" w:rsidRDefault="000F5507" w:rsidP="000F5507">
      <w:pPr>
        <w:pStyle w:val="a3"/>
      </w:pPr>
      <w:bookmarkStart w:id="16637" w:name="_Toc65689819"/>
      <w:bookmarkStart w:id="16638" w:name="_Toc65703359"/>
      <w:bookmarkStart w:id="16639" w:name="_Toc65714027"/>
      <w:bookmarkStart w:id="16640" w:name="_Toc65714883"/>
      <w:r w:rsidRPr="00D13DDC">
        <w:rPr>
          <w:rFonts w:hint="cs"/>
          <w:rtl/>
        </w:rPr>
        <w:t>בי' הריטב"א דכיון שהודה דינו קצת כגזלן שא"י להשבע אעפ"י דלפי הודאתו אינו ממש כגזלן</w:t>
      </w:r>
      <w:bookmarkEnd w:id="16637"/>
      <w:bookmarkEnd w:id="16638"/>
      <w:bookmarkEnd w:id="16639"/>
      <w:bookmarkEnd w:id="16640"/>
    </w:p>
    <w:p w:rsidR="000F5507" w:rsidRDefault="000F5507" w:rsidP="007E4E81">
      <w:pPr>
        <w:pStyle w:val="a0"/>
        <w:rPr>
          <w:rtl/>
        </w:rPr>
      </w:pPr>
      <w:r>
        <w:rPr>
          <w:rFonts w:hint="cs"/>
          <w:rtl/>
        </w:rPr>
        <w:t xml:space="preserve">וביאר </w:t>
      </w:r>
      <w:r w:rsidRPr="00A201B2">
        <w:rPr>
          <w:rStyle w:val="af9"/>
          <w:rFonts w:hint="cs"/>
          <w:rtl/>
        </w:rPr>
        <w:t>הריטב"א</w:t>
      </w:r>
      <w:r>
        <w:rPr>
          <w:rStyle w:val="af9"/>
          <w:rFonts w:hint="cs"/>
          <w:rtl/>
        </w:rPr>
        <w:t xml:space="preserve"> בסוגיין</w:t>
      </w:r>
      <w:r>
        <w:rPr>
          <w:rFonts w:hint="cs"/>
          <w:rtl/>
        </w:rPr>
        <w:t xml:space="preserve"> דכיון שהוא מודה דינו קצת כגזלן, שאין נותנים לו להשבע,</w:t>
      </w:r>
      <w:r w:rsidRPr="005C04A2">
        <w:rPr>
          <w:rFonts w:hint="cs"/>
          <w:rtl/>
        </w:rPr>
        <w:t xml:space="preserve"> </w:t>
      </w:r>
      <w:r w:rsidRPr="005C04A2">
        <w:rPr>
          <w:rStyle w:val="af9"/>
          <w:rFonts w:hint="cs"/>
          <w:rtl/>
        </w:rPr>
        <w:t>והריטב"א בשבועות</w:t>
      </w:r>
      <w:r>
        <w:rPr>
          <w:rFonts w:hint="cs"/>
          <w:rtl/>
        </w:rPr>
        <w:t xml:space="preserve"> </w:t>
      </w:r>
      <w:r w:rsidRPr="005C04A2">
        <w:rPr>
          <w:rStyle w:val="af7"/>
          <w:rFonts w:eastAsia="Guttman Hodes" w:hint="cs"/>
          <w:rtl/>
        </w:rPr>
        <w:t>(לב: ד"ה יש)</w:t>
      </w:r>
      <w:r>
        <w:rPr>
          <w:rFonts w:hint="cs"/>
          <w:rtl/>
        </w:rPr>
        <w:t xml:space="preserve"> הוסיף לבאר דא"א לומר שהוא כגזלן, דהא אף לפי טענתו דמודה דחטף, מ"מ אינו אומר שהוא גזל את הנסכא, דטוען דדידיה חטף, אלא דמ"מ דינו כגזלן שאינו יכול להפטר מחיובו בשבועה.</w:t>
      </w:r>
    </w:p>
    <w:p w:rsidR="000F5507" w:rsidRDefault="000F5507" w:rsidP="000F5507">
      <w:pPr>
        <w:pStyle w:val="1"/>
        <w:rPr>
          <w:rtl/>
        </w:rPr>
      </w:pPr>
      <w:bookmarkStart w:id="16641" w:name="_Toc65689820"/>
      <w:bookmarkStart w:id="16642" w:name="_Toc65703360"/>
      <w:bookmarkStart w:id="16643" w:name="_Toc65714028"/>
      <w:bookmarkStart w:id="16644" w:name="_Toc65714884"/>
      <w:r w:rsidRPr="00F93167">
        <w:rPr>
          <w:rFonts w:hint="cs"/>
          <w:rtl/>
        </w:rPr>
        <w:t>גירסת ר"ח דהוא כגזלן</w:t>
      </w:r>
      <w:r>
        <w:rPr>
          <w:rFonts w:hint="cs"/>
          <w:rtl/>
        </w:rPr>
        <w:t xml:space="preserve"> דחייב שבועה כמו בב' עדים על גזילה</w:t>
      </w:r>
      <w:bookmarkEnd w:id="16641"/>
      <w:bookmarkEnd w:id="16642"/>
      <w:bookmarkEnd w:id="16643"/>
      <w:bookmarkEnd w:id="16644"/>
    </w:p>
    <w:p w:rsidR="000F5507" w:rsidRPr="00D13DDC" w:rsidRDefault="000F5507" w:rsidP="000F5507">
      <w:pPr>
        <w:pStyle w:val="a3"/>
        <w:rPr>
          <w:rtl/>
        </w:rPr>
      </w:pPr>
      <w:bookmarkStart w:id="16645" w:name="_Toc65714029"/>
      <w:bookmarkStart w:id="16646" w:name="_Toc65714885"/>
      <w:bookmarkStart w:id="16647" w:name="_Toc65689821"/>
      <w:bookmarkStart w:id="16648" w:name="_Toc65703361"/>
      <w:r>
        <w:rPr>
          <w:rFonts w:hint="cs"/>
          <w:rtl/>
        </w:rPr>
        <w:t>הגי' הב' בר"ח ובראשונים דאינו יכול להשבע דהו"ל כגזלן וכן משמע ברש"י ורשב"ם ותוס'</w:t>
      </w:r>
      <w:bookmarkEnd w:id="16645"/>
      <w:bookmarkEnd w:id="16646"/>
      <w:r>
        <w:rPr>
          <w:rFonts w:hint="cs"/>
          <w:rtl/>
        </w:rPr>
        <w:t xml:space="preserve"> </w:t>
      </w:r>
      <w:bookmarkEnd w:id="16647"/>
      <w:bookmarkEnd w:id="16648"/>
    </w:p>
    <w:p w:rsidR="000F5507" w:rsidRDefault="000F5507" w:rsidP="007E4E81">
      <w:pPr>
        <w:pStyle w:val="a0"/>
      </w:pPr>
      <w:bookmarkStart w:id="16649" w:name="_Ref65690180"/>
      <w:bookmarkStart w:id="16650" w:name="_Ref65689666"/>
      <w:r>
        <w:rPr>
          <w:rFonts w:hint="cs"/>
          <w:rtl/>
        </w:rPr>
        <w:t>ועוד</w:t>
      </w:r>
      <w:r w:rsidRPr="00F165DD">
        <w:rPr>
          <w:rFonts w:hint="cs"/>
          <w:rtl/>
        </w:rPr>
        <w:t xml:space="preserve"> הביא</w:t>
      </w:r>
      <w:r>
        <w:rPr>
          <w:rFonts w:hint="cs"/>
          <w:rtl/>
        </w:rPr>
        <w:t>ו</w:t>
      </w:r>
      <w:r w:rsidRPr="00F165DD">
        <w:rPr>
          <w:rFonts w:hint="cs"/>
          <w:rtl/>
        </w:rPr>
        <w:t xml:space="preserve"> </w:t>
      </w:r>
      <w:r w:rsidRPr="007E098A">
        <w:rPr>
          <w:rStyle w:val="af9"/>
          <w:rFonts w:hint="cs"/>
          <w:rtl/>
        </w:rPr>
        <w:t>ר</w:t>
      </w:r>
      <w:r>
        <w:rPr>
          <w:rStyle w:val="af9"/>
          <w:rFonts w:hint="cs"/>
          <w:rtl/>
        </w:rPr>
        <w:t xml:space="preserve">"ח </w:t>
      </w:r>
      <w:r w:rsidRPr="000A4708">
        <w:rPr>
          <w:rStyle w:val="af7"/>
          <w:rFonts w:eastAsia="Guttman Hodes" w:hint="cs"/>
          <w:rtl/>
        </w:rPr>
        <w:t xml:space="preserve">(ד"ה </w:t>
      </w:r>
      <w:r w:rsidRPr="000A4708">
        <w:rPr>
          <w:rStyle w:val="af7"/>
          <w:rFonts w:eastAsia="Guttman Hodes"/>
          <w:rtl/>
        </w:rPr>
        <w:t>ונוסחאות</w:t>
      </w:r>
      <w:r w:rsidRPr="000A4708">
        <w:rPr>
          <w:rStyle w:val="af7"/>
          <w:rFonts w:eastAsia="Guttman Hodes" w:hint="cs"/>
          <w:rtl/>
        </w:rPr>
        <w:t xml:space="preserve">, הועתק בקובץ שיטות קמאי ב"ב ח"א עמ' </w:t>
      </w:r>
      <w:r w:rsidRPr="000A4708">
        <w:rPr>
          <w:rStyle w:val="af7"/>
          <w:rFonts w:eastAsia="Guttman Hodes"/>
          <w:rtl/>
        </w:rPr>
        <w:t>תתכ</w:t>
      </w:r>
      <w:r w:rsidRPr="000A4708">
        <w:rPr>
          <w:rStyle w:val="af7"/>
          <w:rFonts w:eastAsia="Guttman Hodes" w:hint="cs"/>
          <w:rtl/>
        </w:rPr>
        <w:t>"</w:t>
      </w:r>
      <w:r w:rsidRPr="000A4708">
        <w:rPr>
          <w:rStyle w:val="af7"/>
          <w:rFonts w:eastAsia="Guttman Hodes"/>
          <w:rtl/>
        </w:rPr>
        <w:t>ז</w:t>
      </w:r>
      <w:r w:rsidRPr="000A4708">
        <w:rPr>
          <w:rStyle w:val="af7"/>
          <w:rFonts w:eastAsia="Guttman Hodes" w:hint="cs"/>
          <w:rtl/>
        </w:rPr>
        <w:t>)</w:t>
      </w:r>
      <w:r>
        <w:rPr>
          <w:rFonts w:hint="cs"/>
          <w:rtl/>
        </w:rPr>
        <w:t xml:space="preserve"> </w:t>
      </w:r>
      <w:r w:rsidRPr="00050692">
        <w:rPr>
          <w:rStyle w:val="af9"/>
          <w:rFonts w:hint="cs"/>
          <w:rtl/>
        </w:rPr>
        <w:t>וה</w:t>
      </w:r>
      <w:r w:rsidRPr="00551E7C">
        <w:rPr>
          <w:rStyle w:val="af9"/>
          <w:rFonts w:hint="cs"/>
          <w:rtl/>
        </w:rPr>
        <w:t>רמב"ן</w:t>
      </w:r>
      <w:r>
        <w:rPr>
          <w:rFonts w:hint="cs"/>
          <w:rtl/>
        </w:rPr>
        <w:t xml:space="preserve"> </w:t>
      </w:r>
      <w:r w:rsidRPr="000A4708">
        <w:rPr>
          <w:rStyle w:val="af7"/>
          <w:rFonts w:eastAsia="Guttman Hodes" w:hint="cs"/>
          <w:rtl/>
        </w:rPr>
        <w:t>(ד"ה ויש שפירשו)</w:t>
      </w:r>
      <w:r>
        <w:rPr>
          <w:rFonts w:hint="cs"/>
          <w:rtl/>
        </w:rPr>
        <w:t xml:space="preserve"> </w:t>
      </w:r>
      <w:r w:rsidRPr="00B46084">
        <w:rPr>
          <w:rStyle w:val="af9"/>
          <w:rFonts w:hint="cs"/>
          <w:rtl/>
        </w:rPr>
        <w:t>ורבינו יונה</w:t>
      </w:r>
      <w:r w:rsidRPr="00255EB7">
        <w:rPr>
          <w:rFonts w:hint="cs"/>
          <w:rtl/>
        </w:rPr>
        <w:t xml:space="preserve"> </w:t>
      </w:r>
      <w:r w:rsidRPr="000A4708">
        <w:rPr>
          <w:rFonts w:ascii="Calibri" w:hAnsi="Calibri" w:cs="Guttman Rashi" w:hint="cs"/>
          <w:noProof w:val="0"/>
          <w:sz w:val="10"/>
          <w:szCs w:val="12"/>
          <w:rtl/>
        </w:rPr>
        <w:t>(סוד"ה לשתבע)</w:t>
      </w:r>
      <w:r w:rsidRPr="000A4708">
        <w:rPr>
          <w:rFonts w:ascii="Calibri" w:eastAsia="Calibri" w:hAnsi="Calibri" w:cs="Arial" w:hint="cs"/>
          <w:noProof w:val="0"/>
          <w:sz w:val="22"/>
          <w:szCs w:val="22"/>
          <w:rtl/>
        </w:rPr>
        <w:t xml:space="preserve"> </w:t>
      </w:r>
      <w:r w:rsidRPr="00B46084">
        <w:rPr>
          <w:rStyle w:val="af9"/>
          <w:rFonts w:hint="cs"/>
          <w:rtl/>
        </w:rPr>
        <w:t>והרשב"א</w:t>
      </w:r>
      <w:r w:rsidRPr="000A4708">
        <w:rPr>
          <w:rFonts w:ascii="Calibri" w:eastAsia="Calibri" w:hAnsi="Calibri" w:cs="Arial" w:hint="cs"/>
          <w:noProof w:val="0"/>
          <w:sz w:val="22"/>
          <w:szCs w:val="22"/>
          <w:rtl/>
        </w:rPr>
        <w:t xml:space="preserve"> </w:t>
      </w:r>
      <w:r w:rsidRPr="000A4708">
        <w:rPr>
          <w:rFonts w:ascii="Calibri" w:hAnsi="Calibri" w:cs="Guttman Rashi" w:hint="cs"/>
          <w:noProof w:val="0"/>
          <w:sz w:val="10"/>
          <w:szCs w:val="12"/>
          <w:rtl/>
        </w:rPr>
        <w:t xml:space="preserve">(ד"ה איכא) </w:t>
      </w:r>
      <w:r w:rsidRPr="00F165DD">
        <w:rPr>
          <w:rFonts w:hint="cs"/>
          <w:rtl/>
        </w:rPr>
        <w:t>שיש נוסחאות</w:t>
      </w:r>
      <w:r>
        <w:rPr>
          <w:rFonts w:hint="cs"/>
          <w:rtl/>
        </w:rPr>
        <w:t xml:space="preserve"> דגרסי</w:t>
      </w:r>
      <w:r w:rsidRPr="00F165DD">
        <w:rPr>
          <w:rFonts w:hint="cs"/>
          <w:rtl/>
        </w:rPr>
        <w:t xml:space="preserve"> </w:t>
      </w:r>
      <w:r>
        <w:rPr>
          <w:rFonts w:hint="cs"/>
          <w:rtl/>
        </w:rPr>
        <w:t>"</w:t>
      </w:r>
      <w:r>
        <w:rPr>
          <w:rtl/>
        </w:rPr>
        <w:t>לישתבע הוה ליה כגזלן</w:t>
      </w:r>
      <w:r>
        <w:rPr>
          <w:rFonts w:hint="cs"/>
          <w:rtl/>
        </w:rPr>
        <w:t>"</w:t>
      </w:r>
      <w:r w:rsidRPr="000A4708">
        <w:rPr>
          <w:vertAlign w:val="superscript"/>
          <w:rtl/>
        </w:rPr>
        <w:fldChar w:fldCharType="begin"/>
      </w:r>
      <w:r w:rsidRPr="000A4708">
        <w:rPr>
          <w:vertAlign w:val="superscript"/>
          <w:rtl/>
        </w:rPr>
        <w:instrText xml:space="preserve"> </w:instrText>
      </w:r>
      <w:r w:rsidRPr="000A4708">
        <w:rPr>
          <w:rFonts w:hint="cs"/>
          <w:vertAlign w:val="superscript"/>
        </w:rPr>
        <w:instrText>NOTEREF</w:instrText>
      </w:r>
      <w:r w:rsidRPr="000A4708">
        <w:rPr>
          <w:rFonts w:hint="cs"/>
          <w:vertAlign w:val="superscript"/>
          <w:rtl/>
        </w:rPr>
        <w:instrText xml:space="preserve"> _</w:instrText>
      </w:r>
      <w:r w:rsidRPr="000A4708">
        <w:rPr>
          <w:rFonts w:hint="cs"/>
          <w:vertAlign w:val="superscript"/>
        </w:rPr>
        <w:instrText>Ref65688039 \h</w:instrText>
      </w:r>
      <w:r w:rsidRPr="000A4708">
        <w:rPr>
          <w:vertAlign w:val="superscript"/>
          <w:rtl/>
        </w:rPr>
        <w:instrText xml:space="preserve">  \* </w:instrText>
      </w:r>
      <w:r w:rsidRPr="000A4708">
        <w:rPr>
          <w:vertAlign w:val="superscript"/>
        </w:rPr>
        <w:instrText>MERGEFORMAT</w:instrText>
      </w:r>
      <w:r w:rsidRPr="000A4708">
        <w:rPr>
          <w:vertAlign w:val="superscript"/>
          <w:rtl/>
        </w:rPr>
        <w:instrText xml:space="preserve"> </w:instrText>
      </w:r>
      <w:r w:rsidRPr="000A4708">
        <w:rPr>
          <w:vertAlign w:val="superscript"/>
          <w:rtl/>
        </w:rPr>
      </w:r>
      <w:r w:rsidRPr="000A4708">
        <w:rPr>
          <w:vertAlign w:val="superscript"/>
          <w:rtl/>
        </w:rPr>
        <w:fldChar w:fldCharType="separate"/>
      </w:r>
      <w:r w:rsidR="00265073">
        <w:rPr>
          <w:vertAlign w:val="superscript"/>
          <w:rtl/>
        </w:rPr>
        <w:t>114</w:t>
      </w:r>
      <w:r w:rsidRPr="000A4708">
        <w:rPr>
          <w:vertAlign w:val="superscript"/>
          <w:rtl/>
        </w:rPr>
        <w:fldChar w:fldCharType="end"/>
      </w:r>
      <w:r>
        <w:rPr>
          <w:rFonts w:hint="cs"/>
          <w:rtl/>
        </w:rPr>
        <w:t xml:space="preserve">, </w:t>
      </w:r>
      <w:r w:rsidRPr="00174C0E">
        <w:rPr>
          <w:rFonts w:hint="cs"/>
          <w:rtl/>
        </w:rPr>
        <w:t>וכן מ</w:t>
      </w:r>
      <w:r>
        <w:rPr>
          <w:rFonts w:hint="cs"/>
          <w:rtl/>
        </w:rPr>
        <w:t>שמע ב</w:t>
      </w:r>
      <w:r w:rsidRPr="00174C0E">
        <w:rPr>
          <w:rFonts w:hint="cs"/>
          <w:rtl/>
        </w:rPr>
        <w:t xml:space="preserve">דברי </w:t>
      </w:r>
      <w:r w:rsidRPr="00323898">
        <w:rPr>
          <w:rStyle w:val="af9"/>
          <w:rFonts w:hint="cs"/>
          <w:rtl/>
        </w:rPr>
        <w:t>הרשב"ם</w:t>
      </w:r>
      <w:r>
        <w:rPr>
          <w:rFonts w:hint="cs"/>
          <w:rtl/>
        </w:rPr>
        <w:t xml:space="preserve"> </w:t>
      </w:r>
      <w:r w:rsidRPr="00E27F38">
        <w:rPr>
          <w:rStyle w:val="af7"/>
          <w:rFonts w:eastAsia="Guttman Hodes" w:hint="cs"/>
          <w:rtl/>
        </w:rPr>
        <w:t xml:space="preserve">(עי' </w:t>
      </w:r>
      <w:r w:rsidRPr="00920683">
        <w:rPr>
          <w:rStyle w:val="af7"/>
          <w:rFonts w:eastAsia="Guttman Hodes" w:hint="cs"/>
          <w:rtl/>
        </w:rPr>
        <w:t xml:space="preserve">אות </w:t>
      </w:r>
      <w:r w:rsidRPr="00920683">
        <w:rPr>
          <w:rStyle w:val="af7"/>
          <w:rFonts w:eastAsia="Guttman Hodes"/>
          <w:rtl/>
        </w:rPr>
        <w:fldChar w:fldCharType="begin"/>
      </w:r>
      <w:r w:rsidRPr="00920683">
        <w:rPr>
          <w:rStyle w:val="af7"/>
          <w:rFonts w:eastAsia="Guttman Hodes"/>
          <w:rtl/>
        </w:rPr>
        <w:instrText xml:space="preserve"> </w:instrText>
      </w:r>
      <w:r w:rsidRPr="00920683">
        <w:rPr>
          <w:rStyle w:val="af7"/>
          <w:rFonts w:eastAsia="Guttman Hodes" w:hint="cs"/>
        </w:rPr>
        <w:instrText>REF</w:instrText>
      </w:r>
      <w:r w:rsidRPr="00920683">
        <w:rPr>
          <w:rStyle w:val="af7"/>
          <w:rFonts w:eastAsia="Guttman Hodes" w:hint="cs"/>
          <w:rtl/>
        </w:rPr>
        <w:instrText xml:space="preserve"> _</w:instrText>
      </w:r>
      <w:r w:rsidRPr="00920683">
        <w:rPr>
          <w:rStyle w:val="af7"/>
          <w:rFonts w:eastAsia="Guttman Hodes" w:hint="cs"/>
        </w:rPr>
        <w:instrText>Ref65575511 \r \h</w:instrText>
      </w:r>
      <w:r w:rsidRPr="00920683">
        <w:rPr>
          <w:rStyle w:val="af7"/>
          <w:rFonts w:eastAsia="Guttman Hodes"/>
          <w:rtl/>
        </w:rPr>
        <w:instrText xml:space="preserve"> </w:instrText>
      </w:r>
      <w:r w:rsidRPr="00920683">
        <w:rPr>
          <w:rStyle w:val="af7"/>
          <w:rFonts w:eastAsia="Guttman Hodes"/>
          <w:rtl/>
        </w:rPr>
      </w:r>
      <w:r w:rsidRPr="00920683">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920683">
        <w:rPr>
          <w:rStyle w:val="af7"/>
          <w:rFonts w:eastAsia="Guttman Hodes"/>
          <w:rtl/>
        </w:rPr>
        <w:fldChar w:fldCharType="end"/>
      </w:r>
      <w:r w:rsidRPr="00D13DDC">
        <w:rPr>
          <w:rStyle w:val="aff6"/>
          <w:rFonts w:hint="cs"/>
          <w:b/>
          <w:bCs/>
          <w:rtl/>
        </w:rPr>
        <w:t xml:space="preserve"> </w:t>
      </w:r>
      <w:r>
        <w:rPr>
          <w:rStyle w:val="af9"/>
          <w:rFonts w:hint="cs"/>
          <w:rtl/>
        </w:rPr>
        <w:t>ו</w:t>
      </w:r>
      <w:r w:rsidRPr="0079745A">
        <w:rPr>
          <w:rStyle w:val="af9"/>
          <w:rFonts w:hint="cs"/>
          <w:rtl/>
        </w:rPr>
        <w:t>רש"י בשבועות</w:t>
      </w:r>
      <w:r>
        <w:rPr>
          <w:rFonts w:hint="cs"/>
          <w:rtl/>
        </w:rPr>
        <w:t xml:space="preserve"> </w:t>
      </w:r>
      <w:r w:rsidRPr="00E27F38">
        <w:rPr>
          <w:rStyle w:val="af7"/>
          <w:rFonts w:eastAsia="Guttman Hodes" w:hint="cs"/>
          <w:rtl/>
        </w:rPr>
        <w:t xml:space="preserve">(עי' אות </w:t>
      </w:r>
      <w:r w:rsidRPr="00E27F38">
        <w:rPr>
          <w:rStyle w:val="af7"/>
          <w:rFonts w:eastAsia="Guttman Hodes"/>
          <w:rtl/>
        </w:rPr>
        <w:fldChar w:fldCharType="begin"/>
      </w:r>
      <w:r w:rsidRPr="00E27F38">
        <w:rPr>
          <w:rStyle w:val="af7"/>
          <w:rFonts w:eastAsia="Guttman Hodes"/>
          <w:rtl/>
        </w:rPr>
        <w:instrText xml:space="preserve"> </w:instrText>
      </w:r>
      <w:r w:rsidRPr="00E27F38">
        <w:rPr>
          <w:rStyle w:val="af7"/>
          <w:rFonts w:eastAsia="Guttman Hodes" w:hint="cs"/>
        </w:rPr>
        <w:instrText>REF</w:instrText>
      </w:r>
      <w:r w:rsidRPr="00E27F38">
        <w:rPr>
          <w:rStyle w:val="af7"/>
          <w:rFonts w:eastAsia="Guttman Hodes" w:hint="cs"/>
          <w:rtl/>
        </w:rPr>
        <w:instrText xml:space="preserve"> _</w:instrText>
      </w:r>
      <w:r w:rsidRPr="00E27F38">
        <w:rPr>
          <w:rStyle w:val="af7"/>
          <w:rFonts w:eastAsia="Guttman Hodes" w:hint="cs"/>
        </w:rPr>
        <w:instrText>Ref65095506 \r \h</w:instrText>
      </w:r>
      <w:r w:rsidRPr="00E27F38">
        <w:rPr>
          <w:rStyle w:val="af7"/>
          <w:rFonts w:eastAsia="Guttman Hodes"/>
          <w:rtl/>
        </w:rPr>
        <w:instrText xml:space="preserve"> </w:instrText>
      </w:r>
      <w:r w:rsidRPr="00E27F38">
        <w:rPr>
          <w:rStyle w:val="af7"/>
          <w:rFonts w:eastAsia="Guttman Hodes"/>
          <w:rtl/>
        </w:rPr>
      </w:r>
      <w:r w:rsidRPr="00E27F38">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E27F38">
        <w:rPr>
          <w:rStyle w:val="af7"/>
          <w:rFonts w:eastAsia="Guttman Hodes"/>
          <w:rtl/>
        </w:rPr>
        <w:fldChar w:fldCharType="end"/>
      </w:r>
      <w:r>
        <w:rPr>
          <w:rFonts w:hint="cs"/>
          <w:rtl/>
        </w:rPr>
        <w:t xml:space="preserve"> </w:t>
      </w:r>
      <w:r>
        <w:rPr>
          <w:rStyle w:val="af9"/>
          <w:rFonts w:hint="cs"/>
          <w:rtl/>
        </w:rPr>
        <w:t>ו</w:t>
      </w:r>
      <w:r w:rsidRPr="00174C0E">
        <w:rPr>
          <w:rStyle w:val="af9"/>
          <w:rFonts w:hint="cs"/>
          <w:rtl/>
        </w:rPr>
        <w:t xml:space="preserve">התוס' </w:t>
      </w:r>
      <w:r>
        <w:rPr>
          <w:rStyle w:val="af9"/>
          <w:rFonts w:hint="cs"/>
          <w:rtl/>
        </w:rPr>
        <w:t xml:space="preserve">לקמן </w:t>
      </w:r>
      <w:r w:rsidRPr="000A4708">
        <w:rPr>
          <w:rStyle w:val="af7"/>
          <w:rFonts w:eastAsia="Guttman Hodes" w:hint="cs"/>
          <w:rtl/>
        </w:rPr>
        <w:t xml:space="preserve">(עי' אות </w:t>
      </w:r>
      <w:r w:rsidRPr="000A4708">
        <w:rPr>
          <w:rStyle w:val="af7"/>
          <w:rFonts w:eastAsia="Guttman Hodes"/>
          <w:rtl/>
        </w:rPr>
        <w:fldChar w:fldCharType="begin"/>
      </w:r>
      <w:r w:rsidRPr="000A4708">
        <w:rPr>
          <w:rStyle w:val="af7"/>
          <w:rFonts w:eastAsia="Guttman Hodes"/>
          <w:rtl/>
        </w:rPr>
        <w:instrText xml:space="preserve"> </w:instrText>
      </w:r>
      <w:r w:rsidRPr="000A4708">
        <w:rPr>
          <w:rStyle w:val="af7"/>
          <w:rFonts w:eastAsia="Guttman Hodes" w:hint="cs"/>
        </w:rPr>
        <w:instrText>REF</w:instrText>
      </w:r>
      <w:r w:rsidRPr="000A4708">
        <w:rPr>
          <w:rStyle w:val="af7"/>
          <w:rFonts w:eastAsia="Guttman Hodes" w:hint="cs"/>
          <w:rtl/>
        </w:rPr>
        <w:instrText xml:space="preserve"> _</w:instrText>
      </w:r>
      <w:r w:rsidRPr="000A4708">
        <w:rPr>
          <w:rStyle w:val="af7"/>
          <w:rFonts w:eastAsia="Guttman Hodes" w:hint="cs"/>
        </w:rPr>
        <w:instrText>Ref65667407 \r \h</w:instrText>
      </w:r>
      <w:r w:rsidRPr="000A4708">
        <w:rPr>
          <w:rStyle w:val="af7"/>
          <w:rFonts w:eastAsia="Guttman Hodes"/>
          <w:rtl/>
        </w:rPr>
        <w:instrText xml:space="preserve"> </w:instrText>
      </w:r>
      <w:r w:rsidRPr="000A4708">
        <w:rPr>
          <w:rStyle w:val="af7"/>
          <w:rFonts w:eastAsia="Guttman Hodes"/>
          <w:rtl/>
        </w:rPr>
      </w:r>
      <w:r w:rsidRPr="000A4708">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sidRPr="000A4708">
        <w:rPr>
          <w:rStyle w:val="af7"/>
          <w:rFonts w:eastAsia="Guttman Hodes"/>
          <w:rtl/>
        </w:rPr>
        <w:fldChar w:fldCharType="end"/>
      </w:r>
      <w:r>
        <w:rPr>
          <w:rStyle w:val="af9"/>
          <w:rFonts w:hint="cs"/>
          <w:rtl/>
        </w:rPr>
        <w:t xml:space="preserve"> ו</w:t>
      </w:r>
      <w:r w:rsidRPr="00174C0E">
        <w:rPr>
          <w:rStyle w:val="af9"/>
          <w:rFonts w:hint="cs"/>
          <w:rtl/>
        </w:rPr>
        <w:t>בשבועות</w:t>
      </w:r>
      <w:r w:rsidRPr="00174C0E">
        <w:rPr>
          <w:rFonts w:hint="cs"/>
          <w:rtl/>
        </w:rPr>
        <w:t xml:space="preserve"> </w:t>
      </w:r>
      <w:r w:rsidRPr="000A4708">
        <w:rPr>
          <w:rStyle w:val="af7"/>
          <w:rFonts w:eastAsia="Guttman Hodes" w:hint="cs"/>
          <w:rtl/>
        </w:rPr>
        <w:t xml:space="preserve">(עי' אות </w:t>
      </w:r>
      <w:r w:rsidRPr="000A4708">
        <w:rPr>
          <w:rStyle w:val="af7"/>
          <w:rFonts w:eastAsia="Guttman Hodes"/>
          <w:rtl/>
        </w:rPr>
        <w:fldChar w:fldCharType="begin"/>
      </w:r>
      <w:r w:rsidRPr="000A4708">
        <w:rPr>
          <w:rStyle w:val="af7"/>
          <w:rFonts w:eastAsia="Guttman Hodes"/>
          <w:rtl/>
        </w:rPr>
        <w:instrText xml:space="preserve"> </w:instrText>
      </w:r>
      <w:r w:rsidRPr="000A4708">
        <w:rPr>
          <w:rStyle w:val="af7"/>
          <w:rFonts w:eastAsia="Guttman Hodes" w:hint="cs"/>
        </w:rPr>
        <w:instrText>REF</w:instrText>
      </w:r>
      <w:r w:rsidRPr="000A4708">
        <w:rPr>
          <w:rStyle w:val="af7"/>
          <w:rFonts w:eastAsia="Guttman Hodes" w:hint="cs"/>
          <w:rtl/>
        </w:rPr>
        <w:instrText xml:space="preserve"> _</w:instrText>
      </w:r>
      <w:r w:rsidRPr="000A4708">
        <w:rPr>
          <w:rStyle w:val="af7"/>
          <w:rFonts w:eastAsia="Guttman Hodes" w:hint="cs"/>
        </w:rPr>
        <w:instrText>Ref64998749 \r \h</w:instrText>
      </w:r>
      <w:r w:rsidRPr="000A4708">
        <w:rPr>
          <w:rStyle w:val="af7"/>
          <w:rFonts w:eastAsia="Guttman Hodes"/>
          <w:rtl/>
        </w:rPr>
        <w:instrText xml:space="preserve"> </w:instrText>
      </w:r>
      <w:r w:rsidRPr="000A4708">
        <w:rPr>
          <w:rStyle w:val="af7"/>
          <w:rFonts w:eastAsia="Guttman Hodes"/>
          <w:rtl/>
        </w:rPr>
      </w:r>
      <w:r w:rsidRPr="000A4708">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0A4708">
        <w:rPr>
          <w:rStyle w:val="af7"/>
          <w:rFonts w:eastAsia="Guttman Hodes"/>
          <w:rtl/>
        </w:rPr>
        <w:fldChar w:fldCharType="end"/>
      </w:r>
      <w:r>
        <w:rPr>
          <w:rFonts w:hint="cs"/>
          <w:rtl/>
        </w:rPr>
        <w:t xml:space="preserve"> דגרסינן שהוא כגזלן</w:t>
      </w:r>
      <w:r>
        <w:rPr>
          <w:rStyle w:val="af1"/>
          <w:rtl/>
        </w:rPr>
        <w:footnoteReference w:id="115"/>
      </w:r>
      <w:r>
        <w:rPr>
          <w:rFonts w:hint="cs"/>
          <w:rtl/>
        </w:rPr>
        <w:t>.</w:t>
      </w:r>
      <w:bookmarkEnd w:id="16649"/>
      <w:r>
        <w:rPr>
          <w:rFonts w:hint="cs"/>
          <w:rtl/>
        </w:rPr>
        <w:t xml:space="preserve"> </w:t>
      </w:r>
      <w:bookmarkStart w:id="16651" w:name="_Toc65689822"/>
      <w:bookmarkEnd w:id="16650"/>
    </w:p>
    <w:p w:rsidR="000F5507" w:rsidRPr="005E68AF" w:rsidRDefault="000F5507" w:rsidP="000F5507">
      <w:pPr>
        <w:pStyle w:val="a3"/>
      </w:pPr>
      <w:bookmarkStart w:id="16652" w:name="_Toc65703362"/>
      <w:bookmarkStart w:id="16653" w:name="_Toc65714030"/>
      <w:bookmarkStart w:id="16654" w:name="_Toc65714886"/>
      <w:r>
        <w:rPr>
          <w:rFonts w:hint="cs"/>
          <w:rtl/>
        </w:rPr>
        <w:t xml:space="preserve">ביאור ר"ח דכיון שאם היו ב' עדים שחטף היה גזלן לכן </w:t>
      </w:r>
      <w:bookmarkEnd w:id="16651"/>
      <w:r>
        <w:rPr>
          <w:rFonts w:hint="cs"/>
          <w:rtl/>
        </w:rPr>
        <w:t>כשהודה לע"א חייב שבועה</w:t>
      </w:r>
      <w:bookmarkEnd w:id="16652"/>
      <w:bookmarkEnd w:id="16653"/>
      <w:bookmarkEnd w:id="16654"/>
      <w:r>
        <w:rPr>
          <w:rFonts w:hint="cs"/>
          <w:rtl/>
        </w:rPr>
        <w:t xml:space="preserve"> </w:t>
      </w:r>
    </w:p>
    <w:p w:rsidR="000F5507" w:rsidRPr="000A4708" w:rsidRDefault="000F5507" w:rsidP="007E4E81">
      <w:pPr>
        <w:pStyle w:val="a0"/>
        <w:rPr>
          <w:rtl/>
        </w:rPr>
      </w:pPr>
      <w:bookmarkStart w:id="16655" w:name="_Ref65690143"/>
      <w:bookmarkStart w:id="16656" w:name="_Ref65688722"/>
      <w:r>
        <w:rPr>
          <w:rFonts w:hint="cs"/>
          <w:rtl/>
        </w:rPr>
        <w:t xml:space="preserve">והביא </w:t>
      </w:r>
      <w:r w:rsidRPr="00CB639A">
        <w:rPr>
          <w:rStyle w:val="af9"/>
          <w:rFonts w:hint="cs"/>
          <w:rtl/>
        </w:rPr>
        <w:t>הרמב"ן</w:t>
      </w:r>
      <w:r>
        <w:rPr>
          <w:rFonts w:hint="cs"/>
          <w:rtl/>
        </w:rPr>
        <w:t xml:space="preserve"> את דברי </w:t>
      </w:r>
      <w:r w:rsidRPr="007E098A">
        <w:rPr>
          <w:rStyle w:val="af9"/>
          <w:rFonts w:hint="cs"/>
          <w:rtl/>
        </w:rPr>
        <w:t>ר</w:t>
      </w:r>
      <w:r>
        <w:rPr>
          <w:rStyle w:val="af9"/>
          <w:rFonts w:hint="cs"/>
          <w:rtl/>
        </w:rPr>
        <w:t xml:space="preserve">"ח </w:t>
      </w:r>
      <w:r>
        <w:rPr>
          <w:rFonts w:hint="cs"/>
          <w:rtl/>
        </w:rPr>
        <w:t xml:space="preserve">דביאר את הגירסא דהוא כגזלן, דכיון שאם היו ב' עדים שהוא חטף היה גזלן וחייב להחזיר, לכן אף ע"א מחייבו </w:t>
      </w:r>
      <w:r w:rsidRPr="00174C0E">
        <w:rPr>
          <w:rFonts w:hint="cs"/>
          <w:rtl/>
        </w:rPr>
        <w:t>שבועה</w:t>
      </w:r>
      <w:r>
        <w:rPr>
          <w:rFonts w:hint="cs"/>
          <w:rtl/>
        </w:rPr>
        <w:t xml:space="preserve">, </w:t>
      </w:r>
      <w:r w:rsidRPr="00E90F5E">
        <w:rPr>
          <w:rFonts w:hint="cs"/>
          <w:rtl/>
        </w:rPr>
        <w:t>ו</w:t>
      </w:r>
      <w:r>
        <w:rPr>
          <w:rFonts w:hint="cs"/>
          <w:rtl/>
        </w:rPr>
        <w:t>הוסיף</w:t>
      </w:r>
      <w:r w:rsidRPr="00E90F5E">
        <w:rPr>
          <w:rFonts w:hint="cs"/>
          <w:rtl/>
        </w:rPr>
        <w:t xml:space="preserve"> </w:t>
      </w:r>
      <w:r w:rsidRPr="00E90F5E">
        <w:rPr>
          <w:rStyle w:val="af9"/>
          <w:rFonts w:hint="cs"/>
          <w:rtl/>
        </w:rPr>
        <w:t>והרמב"ן</w:t>
      </w:r>
      <w:r w:rsidRPr="00E90F5E">
        <w:rPr>
          <w:rFonts w:hint="cs"/>
          <w:rtl/>
        </w:rPr>
        <w:t xml:space="preserve"> </w:t>
      </w:r>
      <w:r>
        <w:rPr>
          <w:rFonts w:hint="cs"/>
          <w:rtl/>
        </w:rPr>
        <w:t>בשם</w:t>
      </w:r>
      <w:r w:rsidRPr="00E90F5E">
        <w:rPr>
          <w:rFonts w:hint="cs"/>
          <w:rtl/>
        </w:rPr>
        <w:t xml:space="preserve"> </w:t>
      </w:r>
      <w:r w:rsidRPr="007E098A">
        <w:rPr>
          <w:rStyle w:val="af9"/>
          <w:rFonts w:hint="cs"/>
          <w:rtl/>
        </w:rPr>
        <w:t>ר</w:t>
      </w:r>
      <w:r>
        <w:rPr>
          <w:rStyle w:val="af9"/>
          <w:rFonts w:hint="cs"/>
          <w:rtl/>
        </w:rPr>
        <w:t xml:space="preserve">"ח </w:t>
      </w:r>
      <w:r w:rsidRPr="00E90F5E">
        <w:rPr>
          <w:rFonts w:hint="cs"/>
          <w:rtl/>
        </w:rPr>
        <w:t>דהא דמקשה הגמ' "</w:t>
      </w:r>
      <w:r w:rsidRPr="00E90F5E">
        <w:rPr>
          <w:rtl/>
        </w:rPr>
        <w:t>לישתבע</w:t>
      </w:r>
      <w:r w:rsidRPr="00E90F5E">
        <w:rPr>
          <w:rFonts w:hint="cs"/>
          <w:rtl/>
        </w:rPr>
        <w:t>", אין כוונת</w:t>
      </w:r>
      <w:r>
        <w:rPr>
          <w:rFonts w:hint="cs"/>
          <w:rtl/>
        </w:rPr>
        <w:t xml:space="preserve"> הגמ' להקשות דהוא כגזלן ולא משביעים גזלנים, אלא כיון שהודה במה שהעיד העד, אינו יכול להשבע,</w:t>
      </w:r>
      <w:r w:rsidRPr="000A4708">
        <w:rPr>
          <w:rtl/>
        </w:rPr>
        <w:t xml:space="preserve"> </w:t>
      </w:r>
      <w:r>
        <w:rPr>
          <w:rFonts w:hint="cs"/>
          <w:rtl/>
        </w:rPr>
        <w:t>וכ"כ</w:t>
      </w:r>
      <w:r w:rsidRPr="000A4708">
        <w:rPr>
          <w:rtl/>
        </w:rPr>
        <w:t xml:space="preserve"> </w:t>
      </w:r>
      <w:r w:rsidRPr="000A4708">
        <w:rPr>
          <w:rStyle w:val="af9"/>
          <w:rtl/>
        </w:rPr>
        <w:t>הר"ח בשבועות</w:t>
      </w:r>
      <w:r w:rsidRPr="000A4708">
        <w:rPr>
          <w:rtl/>
        </w:rPr>
        <w:t xml:space="preserve"> </w:t>
      </w:r>
      <w:r w:rsidRPr="000A4708">
        <w:rPr>
          <w:rStyle w:val="af7"/>
          <w:rFonts w:eastAsia="Guttman Hodes"/>
          <w:rtl/>
        </w:rPr>
        <w:t>(מז. ד"ה א"ר אמי)</w:t>
      </w:r>
      <w:r w:rsidRPr="000A4708">
        <w:rPr>
          <w:rtl/>
        </w:rPr>
        <w:t xml:space="preserve"> דאינו יכול להשבע, כיון שהעד מעיד עליו, ואינו מכחישו, אלא הוא טוען אין חטפי ודידי חטפי, והו"ל כגזלן.</w:t>
      </w:r>
      <w:bookmarkEnd w:id="16655"/>
    </w:p>
    <w:p w:rsidR="000F5507" w:rsidRPr="005E68AF" w:rsidRDefault="000F5507" w:rsidP="000F5507">
      <w:pPr>
        <w:pStyle w:val="a3"/>
        <w:rPr>
          <w:rtl/>
        </w:rPr>
      </w:pPr>
      <w:bookmarkStart w:id="16657" w:name="_Toc65703363"/>
      <w:bookmarkStart w:id="16658" w:name="_Toc65714031"/>
      <w:bookmarkStart w:id="16659" w:name="_Toc65714887"/>
      <w:bookmarkEnd w:id="16656"/>
      <w:r>
        <w:rPr>
          <w:rFonts w:hint="cs"/>
          <w:rtl/>
        </w:rPr>
        <w:t>ביאור רבינו יונה והרשב"א דכיון שאינו מחכיש את העד הוא כגזל בעדים דלא נאמן בדידי חטפי</w:t>
      </w:r>
      <w:bookmarkEnd w:id="16657"/>
      <w:bookmarkEnd w:id="16658"/>
      <w:bookmarkEnd w:id="16659"/>
    </w:p>
    <w:p w:rsidR="000F5507" w:rsidRDefault="000F5507" w:rsidP="007E4E81">
      <w:pPr>
        <w:pStyle w:val="a0"/>
        <w:rPr>
          <w:rtl/>
        </w:rPr>
      </w:pPr>
      <w:bookmarkStart w:id="16660" w:name="_Ref65702968"/>
      <w:r>
        <w:rPr>
          <w:rFonts w:hint="cs"/>
          <w:rtl/>
        </w:rPr>
        <w:t>וביארו</w:t>
      </w:r>
      <w:r>
        <w:rPr>
          <w:rStyle w:val="af9"/>
          <w:rFonts w:hint="cs"/>
          <w:rtl/>
        </w:rPr>
        <w:t xml:space="preserve"> </w:t>
      </w:r>
      <w:r w:rsidRPr="00D633C3">
        <w:rPr>
          <w:rStyle w:val="af9"/>
          <w:rFonts w:hint="cs"/>
          <w:rtl/>
        </w:rPr>
        <w:t>ר</w:t>
      </w:r>
      <w:r w:rsidRPr="00D633C3">
        <w:rPr>
          <w:rFonts w:hint="cs"/>
          <w:b/>
          <w:bCs/>
          <w:rtl/>
        </w:rPr>
        <w:t xml:space="preserve">בינו </w:t>
      </w:r>
      <w:r w:rsidRPr="0012184C">
        <w:rPr>
          <w:rStyle w:val="af9"/>
          <w:rFonts w:hint="cs"/>
          <w:rtl/>
        </w:rPr>
        <w:t>יונה והרשב"א</w:t>
      </w:r>
      <w:r w:rsidRPr="00F262AF">
        <w:rPr>
          <w:rFonts w:hint="cs"/>
          <w:rtl/>
        </w:rPr>
        <w:t xml:space="preserve"> </w:t>
      </w:r>
      <w:r>
        <w:rPr>
          <w:rFonts w:hint="cs"/>
          <w:rtl/>
        </w:rPr>
        <w:t xml:space="preserve">דכיון שיש ע"א שחטף והוא אינו מכחישו, </w:t>
      </w:r>
      <w:r w:rsidRPr="00C33AD4">
        <w:rPr>
          <w:rStyle w:val="afb"/>
          <w:rFonts w:hint="cs"/>
          <w:rtl/>
        </w:rPr>
        <w:t>[בשבועה],</w:t>
      </w:r>
      <w:r>
        <w:rPr>
          <w:rFonts w:hint="cs"/>
          <w:rtl/>
        </w:rPr>
        <w:t xml:space="preserve"> לכן הוא כגזלן שיש ב' עדים שחטף, דאינו נאמן לטעון דידי חטפי אף בשבועה, וכתב ר</w:t>
      </w:r>
      <w:r w:rsidRPr="00C33AD4">
        <w:rPr>
          <w:rStyle w:val="af9"/>
          <w:rFonts w:hint="cs"/>
          <w:rtl/>
        </w:rPr>
        <w:t xml:space="preserve">בינו יונה </w:t>
      </w:r>
      <w:r>
        <w:rPr>
          <w:rFonts w:hint="cs"/>
          <w:rtl/>
        </w:rPr>
        <w:t xml:space="preserve">דהביאור לפי גירסא זו, היא כדביאר </w:t>
      </w:r>
      <w:r w:rsidRPr="007E2923">
        <w:rPr>
          <w:rStyle w:val="af9"/>
          <w:rFonts w:hint="cs"/>
          <w:rtl/>
        </w:rPr>
        <w:t>רבי</w:t>
      </w:r>
      <w:r w:rsidRPr="00C33AD4">
        <w:rPr>
          <w:rStyle w:val="af9"/>
          <w:rFonts w:hint="cs"/>
          <w:rtl/>
        </w:rPr>
        <w:t xml:space="preserve">נו יונה </w:t>
      </w:r>
      <w:r w:rsidRPr="00C33AD4">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Ref65702598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Pr>
          <w:rStyle w:val="af7"/>
          <w:rFonts w:eastAsia="Guttman Hodes"/>
          <w:rtl/>
        </w:rPr>
        <w:fldChar w:fldCharType="end"/>
      </w:r>
      <w:r w:rsidRPr="00C33AD4">
        <w:rPr>
          <w:rStyle w:val="af7"/>
          <w:rFonts w:eastAsia="Guttman Hodes" w:hint="cs"/>
          <w:rtl/>
        </w:rPr>
        <w:t xml:space="preserve"> </w:t>
      </w:r>
      <w:r>
        <w:rPr>
          <w:rFonts w:hint="cs"/>
          <w:rtl/>
        </w:rPr>
        <w:t xml:space="preserve">לפי הגירסא "לישתבע הא קא מודה". [אמנם יעוי' במה שביאר </w:t>
      </w:r>
      <w:r w:rsidRPr="00554D2B">
        <w:rPr>
          <w:rStyle w:val="af9"/>
          <w:rFonts w:hint="cs"/>
          <w:rtl/>
        </w:rPr>
        <w:t>המרדכי</w:t>
      </w:r>
      <w:r>
        <w:rPr>
          <w:rFonts w:hint="cs"/>
          <w:rtl/>
        </w:rPr>
        <w:t xml:space="preserve"> </w:t>
      </w:r>
      <w:r w:rsidRPr="00502379">
        <w:rPr>
          <w:rStyle w:val="af7"/>
          <w:rFonts w:eastAsia="Guttman Hodes" w:hint="cs"/>
          <w:rtl/>
        </w:rPr>
        <w:t xml:space="preserve">(עי' אות </w:t>
      </w:r>
      <w:r w:rsidRPr="00502379">
        <w:rPr>
          <w:rStyle w:val="af7"/>
          <w:rFonts w:eastAsia="Guttman Hodes"/>
          <w:rtl/>
        </w:rPr>
        <w:fldChar w:fldCharType="begin"/>
      </w:r>
      <w:r w:rsidRPr="00502379">
        <w:rPr>
          <w:rStyle w:val="af7"/>
          <w:rFonts w:eastAsia="Guttman Hodes"/>
          <w:rtl/>
        </w:rPr>
        <w:instrText xml:space="preserve"> </w:instrText>
      </w:r>
      <w:r w:rsidRPr="00502379">
        <w:rPr>
          <w:rStyle w:val="af7"/>
          <w:rFonts w:eastAsia="Guttman Hodes" w:hint="cs"/>
        </w:rPr>
        <w:instrText>REF</w:instrText>
      </w:r>
      <w:r w:rsidRPr="00502379">
        <w:rPr>
          <w:rStyle w:val="af7"/>
          <w:rFonts w:eastAsia="Guttman Hodes" w:hint="cs"/>
          <w:rtl/>
        </w:rPr>
        <w:instrText xml:space="preserve"> _</w:instrText>
      </w:r>
      <w:r w:rsidRPr="00502379">
        <w:rPr>
          <w:rStyle w:val="af7"/>
          <w:rFonts w:eastAsia="Guttman Hodes" w:hint="cs"/>
        </w:rPr>
        <w:instrText>Ref65517321 \r \h</w:instrText>
      </w:r>
      <w:r w:rsidRPr="00502379">
        <w:rPr>
          <w:rStyle w:val="af7"/>
          <w:rFonts w:eastAsia="Guttman Hodes"/>
          <w:rtl/>
        </w:rPr>
        <w:instrText xml:space="preserve"> </w:instrText>
      </w:r>
      <w:r w:rsidRPr="00502379">
        <w:rPr>
          <w:rStyle w:val="af7"/>
          <w:rFonts w:eastAsia="Guttman Hodes"/>
          <w:rtl/>
        </w:rPr>
      </w:r>
      <w:r w:rsidRPr="00502379">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502379">
        <w:rPr>
          <w:rStyle w:val="af7"/>
          <w:rFonts w:eastAsia="Guttman Hodes"/>
          <w:rtl/>
        </w:rPr>
        <w:fldChar w:fldCharType="end"/>
      </w:r>
      <w:r>
        <w:rPr>
          <w:rFonts w:hint="cs"/>
          <w:rtl/>
        </w:rPr>
        <w:t xml:space="preserve"> בשם </w:t>
      </w:r>
      <w:r w:rsidRPr="00554D2B">
        <w:rPr>
          <w:rStyle w:val="af9"/>
          <w:rFonts w:hint="cs"/>
          <w:rtl/>
        </w:rPr>
        <w:t>הראב"ן</w:t>
      </w:r>
      <w:r>
        <w:rPr>
          <w:rFonts w:hint="cs"/>
          <w:rtl/>
        </w:rPr>
        <w:t xml:space="preserve"> דהוא חשוד כגזלן].</w:t>
      </w:r>
      <w:bookmarkEnd w:id="16660"/>
    </w:p>
    <w:p w:rsidR="000F5507" w:rsidRPr="00D13DDC" w:rsidRDefault="000F5507" w:rsidP="000F5507">
      <w:pPr>
        <w:pStyle w:val="a3"/>
      </w:pPr>
      <w:bookmarkStart w:id="16661" w:name="_Toc65703364"/>
      <w:bookmarkStart w:id="16662" w:name="_Toc65714032"/>
      <w:bookmarkStart w:id="16663" w:name="_Toc65714888"/>
      <w:r>
        <w:rPr>
          <w:rFonts w:hint="cs"/>
          <w:rtl/>
        </w:rPr>
        <w:t>דברי רבינו יונה דאינו חשוד כגזלן דהא אף בע"א שגזל וטוען החזרתי אינו חשוד וכ"ש הכא</w:t>
      </w:r>
      <w:bookmarkEnd w:id="16661"/>
      <w:bookmarkEnd w:id="16662"/>
      <w:bookmarkEnd w:id="16663"/>
    </w:p>
    <w:p w:rsidR="000F5507" w:rsidRDefault="000F5507" w:rsidP="007E4E81">
      <w:pPr>
        <w:pStyle w:val="a0"/>
        <w:rPr>
          <w:rtl/>
        </w:rPr>
      </w:pPr>
      <w:r>
        <w:rPr>
          <w:rFonts w:hint="cs"/>
          <w:rtl/>
        </w:rPr>
        <w:t>והוסיף</w:t>
      </w:r>
      <w:r w:rsidRPr="00D633C3">
        <w:rPr>
          <w:rStyle w:val="af9"/>
          <w:rFonts w:hint="cs"/>
          <w:rtl/>
        </w:rPr>
        <w:t xml:space="preserve"> ר</w:t>
      </w:r>
      <w:r w:rsidRPr="00D633C3">
        <w:rPr>
          <w:rFonts w:hint="cs"/>
          <w:b/>
          <w:bCs/>
          <w:rtl/>
        </w:rPr>
        <w:t>בינו יונה</w:t>
      </w:r>
      <w:r w:rsidRPr="00F262AF">
        <w:rPr>
          <w:rFonts w:hint="cs"/>
          <w:rtl/>
        </w:rPr>
        <w:t xml:space="preserve"> </w:t>
      </w:r>
      <w:r>
        <w:rPr>
          <w:rFonts w:hint="cs"/>
          <w:rtl/>
        </w:rPr>
        <w:t xml:space="preserve">דאין לטעות ולבאר דלגירסא שהוא כגזלן, היינו דכיון שמודה שחטף הוא כגזלן שפסול לשבועה, ולכן אינו יכול להשבע בטענת דידי חטפי, דהא במקום שאין ע"א שמעיד שהוא גזלן, והוא טוען גזלתי והחזרתי, דאינו נעשה בזה חשוד לשבועה, כיון שהוא מעיד על עצמו שעשה תשובה, והוא נאמן בזה במיגו דהיה יכול לומר שלא גזל, וכתב </w:t>
      </w:r>
      <w:r w:rsidRPr="00D633C3">
        <w:rPr>
          <w:rStyle w:val="af9"/>
          <w:rFonts w:hint="cs"/>
          <w:rtl/>
        </w:rPr>
        <w:t>ר</w:t>
      </w:r>
      <w:r w:rsidRPr="00D633C3">
        <w:rPr>
          <w:rFonts w:hint="cs"/>
          <w:b/>
          <w:bCs/>
          <w:rtl/>
        </w:rPr>
        <w:t>בינו יונה</w:t>
      </w:r>
      <w:r w:rsidRPr="00F262AF">
        <w:rPr>
          <w:rFonts w:hint="cs"/>
          <w:rtl/>
        </w:rPr>
        <w:t xml:space="preserve"> </w:t>
      </w:r>
      <w:r>
        <w:rPr>
          <w:rFonts w:hint="cs"/>
          <w:rtl/>
        </w:rPr>
        <w:t xml:space="preserve">דכ"ש הכא שהחוטף טוען שלא גזל כלל, אלא טוען שנטל את שלו מיד מי שהחזיק בו, </w:t>
      </w:r>
      <w:r>
        <w:rPr>
          <w:rFonts w:hint="cs"/>
          <w:rtl/>
        </w:rPr>
        <w:t>דודאי שאינו נפסל עי"ז לשבועה במה שהודה שחטף, ואף שיש ע"א שמעיד על החטיפה, מ"מ אינו נעשה חשוד לשבועה ע"י ע"א.</w:t>
      </w:r>
    </w:p>
    <w:p w:rsidR="000F5507" w:rsidRPr="00D1078E" w:rsidRDefault="000F5507" w:rsidP="000F5507">
      <w:pPr>
        <w:pStyle w:val="1"/>
        <w:rPr>
          <w:rtl/>
        </w:rPr>
      </w:pPr>
      <w:bookmarkStart w:id="16664" w:name="_Toc65666162"/>
      <w:bookmarkStart w:id="16665" w:name="_Toc65689823"/>
      <w:bookmarkStart w:id="16666" w:name="_Toc65703365"/>
      <w:bookmarkStart w:id="16667" w:name="_Toc65714033"/>
      <w:bookmarkStart w:id="16668" w:name="_Toc65714889"/>
      <w:bookmarkStart w:id="16669" w:name="_Toc64925401"/>
      <w:bookmarkStart w:id="16670" w:name="_Toc65141952"/>
      <w:bookmarkStart w:id="16671" w:name="_Toc65185645"/>
      <w:bookmarkStart w:id="16672" w:name="_Toc65529985"/>
      <w:bookmarkStart w:id="16673" w:name="_Toc65604034"/>
      <w:bookmarkStart w:id="16674" w:name="_Toc65605924"/>
      <w:bookmarkStart w:id="16675" w:name="_Toc65617181"/>
      <w:bookmarkEnd w:id="16605"/>
      <w:bookmarkEnd w:id="16606"/>
      <w:bookmarkEnd w:id="16607"/>
      <w:bookmarkEnd w:id="16608"/>
      <w:bookmarkEnd w:id="16609"/>
      <w:bookmarkEnd w:id="16610"/>
      <w:bookmarkEnd w:id="16611"/>
      <w:bookmarkEnd w:id="16612"/>
      <w:r>
        <w:rPr>
          <w:rFonts w:hint="cs"/>
          <w:rtl/>
        </w:rPr>
        <w:t>דחיית הריטב"א והתוס' רי"ד דא"א לגרוס שהוא כגזלן</w:t>
      </w:r>
      <w:bookmarkEnd w:id="16664"/>
      <w:bookmarkEnd w:id="16665"/>
      <w:bookmarkEnd w:id="16666"/>
      <w:bookmarkEnd w:id="16667"/>
      <w:bookmarkEnd w:id="16668"/>
    </w:p>
    <w:p w:rsidR="000F5507" w:rsidRPr="00D13DDC" w:rsidRDefault="000F5507" w:rsidP="000F5507">
      <w:pPr>
        <w:pStyle w:val="a3"/>
        <w:rPr>
          <w:rtl/>
        </w:rPr>
      </w:pPr>
      <w:bookmarkStart w:id="16676" w:name="_Toc65703366"/>
      <w:bookmarkStart w:id="16677" w:name="_Toc65714034"/>
      <w:bookmarkStart w:id="16678" w:name="_Toc65714890"/>
      <w:r>
        <w:rPr>
          <w:rFonts w:hint="cs"/>
          <w:rtl/>
        </w:rPr>
        <w:t>דברי הריטב"א דא"א לגרוס שהוא כגזלן דהא בגזלן שכנגדו נשבע והכא א"צ להשבע</w:t>
      </w:r>
      <w:bookmarkEnd w:id="16676"/>
      <w:bookmarkEnd w:id="16677"/>
      <w:bookmarkEnd w:id="16678"/>
    </w:p>
    <w:p w:rsidR="000F5507" w:rsidRDefault="000F5507" w:rsidP="007E4E81">
      <w:pPr>
        <w:pStyle w:val="a0"/>
        <w:rPr>
          <w:rtl/>
        </w:rPr>
      </w:pPr>
      <w:r>
        <w:rPr>
          <w:rFonts w:hint="cs"/>
          <w:rtl/>
        </w:rPr>
        <w:t xml:space="preserve">כתב </w:t>
      </w:r>
      <w:r w:rsidRPr="005C04A2">
        <w:rPr>
          <w:rStyle w:val="af9"/>
          <w:rFonts w:hint="cs"/>
          <w:rtl/>
        </w:rPr>
        <w:t>הריטב"א בשבועות</w:t>
      </w:r>
      <w:r>
        <w:rPr>
          <w:rFonts w:hint="cs"/>
          <w:rtl/>
        </w:rPr>
        <w:t xml:space="preserve"> </w:t>
      </w:r>
      <w:r w:rsidRPr="005C04A2">
        <w:rPr>
          <w:rStyle w:val="af7"/>
          <w:rFonts w:eastAsia="Guttman Hodes" w:hint="cs"/>
          <w:rtl/>
        </w:rPr>
        <w:t>(לב: ד"ה יש)</w:t>
      </w:r>
      <w:r>
        <w:rPr>
          <w:rFonts w:hint="cs"/>
          <w:rtl/>
        </w:rPr>
        <w:t xml:space="preserve"> דא"א לומר דאינו נשבע כיון דדינו כגזלן שפטור משבועה, דהא בגזלן שכנגדו נשבע ונוטל, ואילו הכא נוטל שכנגדו בלא שבועה, וכדביאר </w:t>
      </w:r>
      <w:r w:rsidRPr="001822A8">
        <w:rPr>
          <w:rStyle w:val="af9"/>
          <w:rFonts w:hint="cs"/>
          <w:rtl/>
        </w:rPr>
        <w:t>הריטב"א</w:t>
      </w:r>
      <w:r>
        <w:rPr>
          <w:rFonts w:hint="cs"/>
          <w:rtl/>
        </w:rPr>
        <w:t xml:space="preserve"> </w:t>
      </w:r>
      <w:r w:rsidRPr="001822A8">
        <w:rPr>
          <w:rStyle w:val="af7"/>
          <w:rFonts w:eastAsia="Guttman Hodes" w:hint="cs"/>
          <w:rtl/>
        </w:rPr>
        <w:t xml:space="preserve">(עי' אות </w:t>
      </w:r>
      <w:r w:rsidRPr="001822A8">
        <w:rPr>
          <w:rStyle w:val="af7"/>
          <w:rFonts w:eastAsia="Guttman Hodes"/>
          <w:rtl/>
        </w:rPr>
        <w:fldChar w:fldCharType="begin"/>
      </w:r>
      <w:r w:rsidRPr="001822A8">
        <w:rPr>
          <w:rStyle w:val="af7"/>
          <w:rFonts w:eastAsia="Guttman Hodes"/>
          <w:rtl/>
        </w:rPr>
        <w:instrText xml:space="preserve"> </w:instrText>
      </w:r>
      <w:r w:rsidRPr="001822A8">
        <w:rPr>
          <w:rStyle w:val="af7"/>
          <w:rFonts w:eastAsia="Guttman Hodes" w:hint="cs"/>
        </w:rPr>
        <w:instrText>REF</w:instrText>
      </w:r>
      <w:r w:rsidRPr="001822A8">
        <w:rPr>
          <w:rStyle w:val="af7"/>
          <w:rFonts w:eastAsia="Guttman Hodes" w:hint="cs"/>
          <w:rtl/>
        </w:rPr>
        <w:instrText xml:space="preserve"> _</w:instrText>
      </w:r>
      <w:r w:rsidRPr="001822A8">
        <w:rPr>
          <w:rStyle w:val="af7"/>
          <w:rFonts w:eastAsia="Guttman Hodes" w:hint="cs"/>
        </w:rPr>
        <w:instrText>Ref64998698 \r \h</w:instrText>
      </w:r>
      <w:r w:rsidRPr="001822A8">
        <w:rPr>
          <w:rStyle w:val="af7"/>
          <w:rFonts w:eastAsia="Guttman Hodes"/>
          <w:rtl/>
        </w:rPr>
        <w:instrText xml:space="preserve"> </w:instrText>
      </w:r>
      <w:r w:rsidRPr="001822A8">
        <w:rPr>
          <w:rStyle w:val="af7"/>
          <w:rFonts w:eastAsia="Guttman Hodes"/>
          <w:rtl/>
        </w:rPr>
      </w:r>
      <w:r w:rsidRPr="001822A8">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1822A8">
        <w:rPr>
          <w:rStyle w:val="af7"/>
          <w:rFonts w:eastAsia="Guttman Hodes"/>
          <w:rtl/>
        </w:rPr>
        <w:fldChar w:fldCharType="end"/>
      </w:r>
      <w:r w:rsidRPr="001822A8">
        <w:rPr>
          <w:rStyle w:val="af7"/>
          <w:rFonts w:eastAsia="Guttman Hodes" w:hint="cs"/>
          <w:rtl/>
        </w:rPr>
        <w:t xml:space="preserve"> </w:t>
      </w:r>
      <w:r>
        <w:rPr>
          <w:rFonts w:hint="cs"/>
          <w:rtl/>
        </w:rPr>
        <w:t>דאין שכנגדו נשבע, כיון שגזלן יכול להשבע, ואנו לא רוצים לקבל את שבועתו, אבל החוטף אינו יכול כלל להשבע.</w:t>
      </w:r>
    </w:p>
    <w:p w:rsidR="000F5507" w:rsidRPr="00D13DDC" w:rsidRDefault="000F5507" w:rsidP="000F5507">
      <w:pPr>
        <w:pStyle w:val="a3"/>
        <w:rPr>
          <w:rtl/>
        </w:rPr>
      </w:pPr>
      <w:bookmarkStart w:id="16679" w:name="_Toc65703367"/>
      <w:bookmarkStart w:id="16680" w:name="_Toc65714035"/>
      <w:bookmarkStart w:id="16681" w:name="_Toc65714891"/>
      <w:r>
        <w:rPr>
          <w:rFonts w:hint="cs"/>
          <w:rtl/>
        </w:rPr>
        <w:t>דברי התורי"ד דא"א לגרוס שהוא כגזלן דהא הטעם שאינו נשבע הוא כיון שהודה ואינו חשוד</w:t>
      </w:r>
      <w:bookmarkEnd w:id="16679"/>
      <w:bookmarkEnd w:id="16680"/>
      <w:bookmarkEnd w:id="16681"/>
    </w:p>
    <w:p w:rsidR="000F5507" w:rsidRDefault="000F5507" w:rsidP="007E4E81">
      <w:pPr>
        <w:pStyle w:val="a0"/>
        <w:rPr>
          <w:rtl/>
        </w:rPr>
      </w:pPr>
      <w:bookmarkStart w:id="16682" w:name="_Ref65688013"/>
      <w:r>
        <w:rPr>
          <w:rStyle w:val="af9"/>
          <w:rFonts w:hint="cs"/>
          <w:rtl/>
        </w:rPr>
        <w:t>ו</w:t>
      </w:r>
      <w:r w:rsidRPr="00AA074F">
        <w:rPr>
          <w:rStyle w:val="af9"/>
          <w:rFonts w:hint="cs"/>
          <w:rtl/>
        </w:rPr>
        <w:t>התוס' רי"ד</w:t>
      </w:r>
      <w:r>
        <w:rPr>
          <w:rFonts w:hint="cs"/>
          <w:rtl/>
        </w:rPr>
        <w:t xml:space="preserve"> </w:t>
      </w:r>
      <w:r w:rsidRPr="00AA074F">
        <w:rPr>
          <w:rStyle w:val="af7"/>
          <w:rFonts w:eastAsia="Guttman Hodes" w:hint="cs"/>
          <w:rtl/>
        </w:rPr>
        <w:t xml:space="preserve">(או' ט"ו ד"ה לישתבע) </w:t>
      </w:r>
      <w:r>
        <w:rPr>
          <w:rFonts w:hint="cs"/>
          <w:rtl/>
        </w:rPr>
        <w:t xml:space="preserve">דחה דל"ג דהו"ל כגזלן, כיון שהיא מיותרת בלא צורך, דהא דאמרינן </w:t>
      </w:r>
      <w:r>
        <w:rPr>
          <w:rtl/>
        </w:rPr>
        <w:t>כיון דאמר מחטף חטפה</w:t>
      </w:r>
      <w:r>
        <w:rPr>
          <w:rFonts w:hint="cs"/>
          <w:rtl/>
        </w:rPr>
        <w:t xml:space="preserve">, </w:t>
      </w:r>
      <w:r w:rsidRPr="00510696">
        <w:rPr>
          <w:rStyle w:val="afb"/>
          <w:rFonts w:hint="cs"/>
          <w:rtl/>
        </w:rPr>
        <w:t xml:space="preserve">[כגי' </w:t>
      </w:r>
      <w:r w:rsidRPr="00510696">
        <w:rPr>
          <w:rStyle w:val="affa"/>
          <w:rFonts w:hint="cs"/>
          <w:rtl/>
        </w:rPr>
        <w:t>הבה"ג</w:t>
      </w:r>
      <w:r w:rsidRPr="00510696">
        <w:rPr>
          <w:rStyle w:val="afb"/>
          <w:rFonts w:hint="cs"/>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Ref65689629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מז)</w:t>
      </w:r>
      <w:r>
        <w:rPr>
          <w:rStyle w:val="aff6"/>
          <w:rtl/>
        </w:rPr>
        <w:fldChar w:fldCharType="end"/>
      </w:r>
      <w:r w:rsidRPr="00510696">
        <w:rPr>
          <w:rStyle w:val="afb"/>
          <w:rFonts w:hint="cs"/>
          <w:rtl/>
        </w:rPr>
        <w:t>]</w:t>
      </w:r>
      <w:r>
        <w:rPr>
          <w:rFonts w:hint="cs"/>
          <w:rtl/>
        </w:rPr>
        <w:t xml:space="preserve">, הוא הטעם שאינו נשבע, דהודה לדברי העד, ואין הכוונה שכיון שאמר שחטפה הוא נעשה חשוד. [ועי' במה שתירץ </w:t>
      </w:r>
      <w:r w:rsidRPr="00554D2B">
        <w:rPr>
          <w:rStyle w:val="af9"/>
          <w:rFonts w:hint="cs"/>
          <w:rtl/>
        </w:rPr>
        <w:t>המרדכי</w:t>
      </w:r>
      <w:r>
        <w:rPr>
          <w:rFonts w:hint="cs"/>
          <w:rtl/>
        </w:rPr>
        <w:t xml:space="preserve"> </w:t>
      </w:r>
      <w:r w:rsidRPr="00502379">
        <w:rPr>
          <w:rStyle w:val="af7"/>
          <w:rFonts w:eastAsia="Guttman Hodes" w:hint="cs"/>
          <w:rtl/>
        </w:rPr>
        <w:t xml:space="preserve">(עי' אות </w:t>
      </w:r>
      <w:r w:rsidRPr="00502379">
        <w:rPr>
          <w:rStyle w:val="af7"/>
          <w:rFonts w:eastAsia="Guttman Hodes"/>
          <w:rtl/>
        </w:rPr>
        <w:fldChar w:fldCharType="begin"/>
      </w:r>
      <w:r w:rsidRPr="00502379">
        <w:rPr>
          <w:rStyle w:val="af7"/>
          <w:rFonts w:eastAsia="Guttman Hodes"/>
          <w:rtl/>
        </w:rPr>
        <w:instrText xml:space="preserve"> </w:instrText>
      </w:r>
      <w:r w:rsidRPr="00502379">
        <w:rPr>
          <w:rStyle w:val="af7"/>
          <w:rFonts w:eastAsia="Guttman Hodes" w:hint="cs"/>
        </w:rPr>
        <w:instrText>REF</w:instrText>
      </w:r>
      <w:r w:rsidRPr="00502379">
        <w:rPr>
          <w:rStyle w:val="af7"/>
          <w:rFonts w:eastAsia="Guttman Hodes" w:hint="cs"/>
          <w:rtl/>
        </w:rPr>
        <w:instrText xml:space="preserve"> _</w:instrText>
      </w:r>
      <w:r w:rsidRPr="00502379">
        <w:rPr>
          <w:rStyle w:val="af7"/>
          <w:rFonts w:eastAsia="Guttman Hodes" w:hint="cs"/>
        </w:rPr>
        <w:instrText>Ref65517321 \r \h</w:instrText>
      </w:r>
      <w:r w:rsidRPr="00502379">
        <w:rPr>
          <w:rStyle w:val="af7"/>
          <w:rFonts w:eastAsia="Guttman Hodes"/>
          <w:rtl/>
        </w:rPr>
        <w:instrText xml:space="preserve"> </w:instrText>
      </w:r>
      <w:r w:rsidRPr="00502379">
        <w:rPr>
          <w:rStyle w:val="af7"/>
          <w:rFonts w:eastAsia="Guttman Hodes"/>
          <w:rtl/>
        </w:rPr>
      </w:r>
      <w:r w:rsidRPr="00502379">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502379">
        <w:rPr>
          <w:rStyle w:val="af7"/>
          <w:rFonts w:eastAsia="Guttman Hodes"/>
          <w:rtl/>
        </w:rPr>
        <w:fldChar w:fldCharType="end"/>
      </w:r>
      <w:r>
        <w:rPr>
          <w:rFonts w:hint="cs"/>
          <w:rtl/>
        </w:rPr>
        <w:t xml:space="preserve"> בשם </w:t>
      </w:r>
      <w:r w:rsidRPr="00554D2B">
        <w:rPr>
          <w:rStyle w:val="af9"/>
          <w:rFonts w:hint="cs"/>
          <w:rtl/>
        </w:rPr>
        <w:t>הראב"ן</w:t>
      </w:r>
      <w:r w:rsidRPr="00196BA5">
        <w:rPr>
          <w:rFonts w:hint="cs"/>
          <w:rtl/>
        </w:rPr>
        <w:t xml:space="preserve"> </w:t>
      </w:r>
      <w:r>
        <w:rPr>
          <w:rFonts w:hint="cs"/>
          <w:rtl/>
        </w:rPr>
        <w:t>דהוא חשוד כגזלן].</w:t>
      </w:r>
      <w:bookmarkEnd w:id="16682"/>
    </w:p>
    <w:p w:rsidR="000F5507" w:rsidRDefault="000F5507" w:rsidP="000F5507">
      <w:pPr>
        <w:pStyle w:val="afe"/>
        <w:rPr>
          <w:rtl/>
        </w:rPr>
      </w:pPr>
      <w:bookmarkStart w:id="16683" w:name="_Toc64925402"/>
      <w:bookmarkStart w:id="16684" w:name="_Toc65141953"/>
      <w:bookmarkStart w:id="16685" w:name="_Toc65185646"/>
      <w:bookmarkStart w:id="16686" w:name="_Toc65529986"/>
      <w:bookmarkStart w:id="16687" w:name="_Toc65604035"/>
      <w:bookmarkStart w:id="16688" w:name="_Toc65605925"/>
      <w:bookmarkStart w:id="16689" w:name="_Toc65617182"/>
      <w:bookmarkStart w:id="16690" w:name="_Toc65666163"/>
      <w:bookmarkStart w:id="16691" w:name="_Toc65689824"/>
      <w:bookmarkStart w:id="16692" w:name="_Toc65703368"/>
      <w:bookmarkStart w:id="16693" w:name="_Toc65714036"/>
      <w:bookmarkStart w:id="16694" w:name="_Toc65714892"/>
      <w:bookmarkEnd w:id="16669"/>
      <w:bookmarkEnd w:id="16670"/>
      <w:bookmarkEnd w:id="16671"/>
      <w:bookmarkEnd w:id="16672"/>
      <w:bookmarkEnd w:id="16673"/>
      <w:bookmarkEnd w:id="16674"/>
      <w:bookmarkEnd w:id="16675"/>
      <w:r>
        <w:rPr>
          <w:rFonts w:hint="cs"/>
          <w:rtl/>
        </w:rPr>
        <w:t>בעידי חטיפה אי נאמן במיגו דהחזרתי</w:t>
      </w:r>
      <w:bookmarkEnd w:id="16683"/>
      <w:bookmarkEnd w:id="16684"/>
      <w:bookmarkEnd w:id="16685"/>
      <w:bookmarkEnd w:id="16686"/>
      <w:bookmarkEnd w:id="16687"/>
      <w:bookmarkEnd w:id="16688"/>
      <w:bookmarkEnd w:id="16689"/>
      <w:bookmarkEnd w:id="16690"/>
      <w:bookmarkEnd w:id="16691"/>
      <w:bookmarkEnd w:id="16692"/>
      <w:bookmarkEnd w:id="16693"/>
      <w:bookmarkEnd w:id="16694"/>
    </w:p>
    <w:p w:rsidR="000F5507" w:rsidRDefault="000F5507" w:rsidP="000F5507">
      <w:pPr>
        <w:pStyle w:val="1"/>
        <w:rPr>
          <w:rtl/>
        </w:rPr>
      </w:pPr>
      <w:bookmarkStart w:id="16695" w:name="_Toc64925403"/>
      <w:bookmarkStart w:id="16696" w:name="_Toc65141954"/>
      <w:bookmarkStart w:id="16697" w:name="_Toc65185647"/>
      <w:bookmarkStart w:id="16698" w:name="_Toc65529987"/>
      <w:bookmarkStart w:id="16699" w:name="_Toc65604036"/>
      <w:bookmarkStart w:id="16700" w:name="_Toc65605926"/>
      <w:bookmarkStart w:id="16701" w:name="_Toc65617183"/>
      <w:bookmarkStart w:id="16702" w:name="_Toc65666164"/>
      <w:bookmarkStart w:id="16703" w:name="_Toc65689825"/>
      <w:bookmarkStart w:id="16704" w:name="_Toc65703369"/>
      <w:bookmarkStart w:id="16705" w:name="_Toc65714037"/>
      <w:bookmarkStart w:id="16706" w:name="_Toc65714893"/>
      <w:r>
        <w:rPr>
          <w:rFonts w:hint="cs"/>
          <w:rtl/>
        </w:rPr>
        <w:t>דברי הרמב"ן</w:t>
      </w:r>
      <w:bookmarkEnd w:id="16695"/>
      <w:bookmarkEnd w:id="16696"/>
      <w:bookmarkEnd w:id="16697"/>
      <w:bookmarkEnd w:id="16698"/>
      <w:bookmarkEnd w:id="16699"/>
      <w:bookmarkEnd w:id="16700"/>
      <w:bookmarkEnd w:id="16701"/>
      <w:bookmarkEnd w:id="16702"/>
      <w:bookmarkEnd w:id="16703"/>
      <w:r>
        <w:rPr>
          <w:rFonts w:hint="cs"/>
          <w:rtl/>
        </w:rPr>
        <w:t xml:space="preserve"> דבנסכא איירי בראה דאל"ה נאמן במיגו דהחזרתי</w:t>
      </w:r>
      <w:bookmarkEnd w:id="16704"/>
      <w:bookmarkEnd w:id="16705"/>
      <w:bookmarkEnd w:id="16706"/>
    </w:p>
    <w:p w:rsidR="000F5507" w:rsidRPr="00D13DDC" w:rsidRDefault="000F5507" w:rsidP="000F5507">
      <w:pPr>
        <w:pStyle w:val="a3"/>
        <w:rPr>
          <w:rtl/>
        </w:rPr>
      </w:pPr>
      <w:bookmarkStart w:id="16707" w:name="_Toc65703370"/>
      <w:bookmarkStart w:id="16708" w:name="_Toc65714038"/>
      <w:bookmarkStart w:id="16709" w:name="_Toc65714894"/>
      <w:r>
        <w:rPr>
          <w:rFonts w:hint="cs"/>
          <w:rtl/>
        </w:rPr>
        <w:t>דעת הרמב"ן והראב"ד איירי דידוע שהנסכא בידו דאל"ה נאמן בדידי חטפי במיגו דהחזרתי</w:t>
      </w:r>
      <w:bookmarkEnd w:id="16707"/>
      <w:bookmarkEnd w:id="16708"/>
      <w:bookmarkEnd w:id="16709"/>
    </w:p>
    <w:p w:rsidR="000F5507" w:rsidRDefault="000F5507" w:rsidP="007E4E81">
      <w:pPr>
        <w:pStyle w:val="a0"/>
        <w:rPr>
          <w:rtl/>
        </w:rPr>
      </w:pPr>
      <w:bookmarkStart w:id="16710" w:name="_Ref65691298"/>
      <w:r>
        <w:rPr>
          <w:rFonts w:hint="cs"/>
          <w:rtl/>
        </w:rPr>
        <w:t>כתב</w:t>
      </w:r>
      <w:r w:rsidRPr="00CC629F">
        <w:rPr>
          <w:rStyle w:val="af9"/>
          <w:rtl/>
        </w:rPr>
        <w:t xml:space="preserve"> </w:t>
      </w:r>
      <w:r w:rsidRPr="00041F3B">
        <w:rPr>
          <w:rStyle w:val="af9"/>
          <w:rtl/>
        </w:rPr>
        <w:t>הרמב"ן</w:t>
      </w:r>
      <w:r w:rsidRPr="00041F3B">
        <w:rPr>
          <w:rtl/>
        </w:rPr>
        <w:t xml:space="preserve"> </w:t>
      </w:r>
      <w:r w:rsidRPr="00FB33E1">
        <w:rPr>
          <w:rStyle w:val="af7"/>
          <w:rFonts w:eastAsia="Guttman Hodes"/>
          <w:rtl/>
        </w:rPr>
        <w:t>(ד"ה</w:t>
      </w:r>
      <w:r w:rsidRPr="00FB33E1">
        <w:rPr>
          <w:rStyle w:val="af7"/>
          <w:rFonts w:eastAsia="Guttman Hodes" w:hint="cs"/>
          <w:rtl/>
        </w:rPr>
        <w:t xml:space="preserve"> והוי)</w:t>
      </w:r>
      <w:r>
        <w:rPr>
          <w:rStyle w:val="af7"/>
          <w:rFonts w:eastAsia="Guttman Hodes" w:hint="cs"/>
          <w:rtl/>
        </w:rPr>
        <w:t xml:space="preserve"> </w:t>
      </w:r>
      <w:r>
        <w:rPr>
          <w:rFonts w:hint="cs"/>
          <w:rtl/>
        </w:rPr>
        <w:t>דבנסכא דר"א איירי דידוע שהנסכא נמצאת ברשות הגזלן, וראו עדים אותה ברשותו כשבא לב"ד, דהא אם לא ראוה אצלו, נאמן לומר אין חטפי ודידי חטפי במיגו דהחזרתי, אף אם יש ב' עדים שחטפה,</w:t>
      </w:r>
      <w:r w:rsidRPr="00A02B62">
        <w:rPr>
          <w:rFonts w:hint="cs"/>
          <w:rtl/>
        </w:rPr>
        <w:t xml:space="preserve"> </w:t>
      </w:r>
      <w:r>
        <w:rPr>
          <w:rFonts w:hint="cs"/>
          <w:rtl/>
        </w:rPr>
        <w:t xml:space="preserve">והביא </w:t>
      </w:r>
      <w:r w:rsidRPr="00F12898">
        <w:rPr>
          <w:rStyle w:val="af9"/>
          <w:rFonts w:hint="cs"/>
          <w:rtl/>
        </w:rPr>
        <w:t>הרמב"ן</w:t>
      </w:r>
      <w:r>
        <w:rPr>
          <w:rFonts w:hint="cs"/>
          <w:rtl/>
        </w:rPr>
        <w:t xml:space="preserve"> דכ"כ </w:t>
      </w:r>
      <w:r w:rsidRPr="00F12898">
        <w:rPr>
          <w:rStyle w:val="af9"/>
          <w:rFonts w:hint="cs"/>
          <w:rtl/>
        </w:rPr>
        <w:t>הראב"ד בתשו'</w:t>
      </w:r>
      <w:r>
        <w:rPr>
          <w:rFonts w:hint="cs"/>
          <w:rtl/>
        </w:rPr>
        <w:t>.</w:t>
      </w:r>
      <w:bookmarkEnd w:id="16710"/>
    </w:p>
    <w:p w:rsidR="000F5507" w:rsidRPr="00ED6104" w:rsidRDefault="000F5507" w:rsidP="000F5507">
      <w:pPr>
        <w:pStyle w:val="1"/>
        <w:rPr>
          <w:rtl/>
        </w:rPr>
      </w:pPr>
      <w:bookmarkStart w:id="16711" w:name="_Toc65703371"/>
      <w:bookmarkStart w:id="16712" w:name="_Toc65714039"/>
      <w:bookmarkStart w:id="16713" w:name="_Toc65714895"/>
      <w:r>
        <w:rPr>
          <w:rFonts w:hint="cs"/>
          <w:rtl/>
        </w:rPr>
        <w:t>דעת הסוברים דאינו נאמן בדידי חטפי במיגו דהחזרתי</w:t>
      </w:r>
      <w:bookmarkEnd w:id="16711"/>
      <w:bookmarkEnd w:id="16712"/>
      <w:bookmarkEnd w:id="16713"/>
    </w:p>
    <w:p w:rsidR="000F5507" w:rsidRPr="00D13DDC" w:rsidRDefault="000F5507" w:rsidP="000F5507">
      <w:pPr>
        <w:pStyle w:val="a3"/>
        <w:rPr>
          <w:rtl/>
        </w:rPr>
      </w:pPr>
      <w:bookmarkStart w:id="16714" w:name="_Toc65703372"/>
      <w:bookmarkStart w:id="16715" w:name="_Toc65714040"/>
      <w:bookmarkStart w:id="16716" w:name="_Toc65714896"/>
      <w:r>
        <w:rPr>
          <w:rFonts w:hint="cs"/>
          <w:rtl/>
        </w:rPr>
        <w:t>דעת רבינו יונה דגזלן לא נאמן בהחזרתי בלי עדים ולא דמי להלואה דנטל ע"מ להחזיר</w:t>
      </w:r>
      <w:bookmarkEnd w:id="16714"/>
      <w:bookmarkEnd w:id="16715"/>
      <w:bookmarkEnd w:id="16716"/>
    </w:p>
    <w:p w:rsidR="000F5507" w:rsidRDefault="000F5507" w:rsidP="007E4E81">
      <w:pPr>
        <w:pStyle w:val="a0"/>
        <w:rPr>
          <w:rtl/>
        </w:rPr>
      </w:pPr>
      <w:r>
        <w:rPr>
          <w:rFonts w:hint="cs"/>
          <w:rtl/>
        </w:rPr>
        <w:t xml:space="preserve">הביא </w:t>
      </w:r>
      <w:r w:rsidRPr="00041F3B">
        <w:rPr>
          <w:rStyle w:val="af9"/>
          <w:rtl/>
        </w:rPr>
        <w:t>הרמב"ן</w:t>
      </w:r>
      <w:r w:rsidRPr="00041F3B">
        <w:rPr>
          <w:rtl/>
        </w:rPr>
        <w:t xml:space="preserve"> </w:t>
      </w:r>
      <w:r w:rsidRPr="00FB33E1">
        <w:rPr>
          <w:rStyle w:val="af7"/>
          <w:rFonts w:eastAsia="Guttman Hodes"/>
          <w:rtl/>
        </w:rPr>
        <w:t>(ד"ה</w:t>
      </w:r>
      <w:r w:rsidRPr="00FB33E1">
        <w:rPr>
          <w:rStyle w:val="af7"/>
          <w:rFonts w:eastAsia="Guttman Hodes" w:hint="cs"/>
          <w:rtl/>
        </w:rPr>
        <w:t xml:space="preserve"> והוי)</w:t>
      </w:r>
      <w:r>
        <w:rPr>
          <w:rStyle w:val="af7"/>
          <w:rFonts w:eastAsia="Guttman Hodes" w:hint="cs"/>
          <w:rtl/>
        </w:rPr>
        <w:t xml:space="preserve"> </w:t>
      </w:r>
      <w:r>
        <w:rPr>
          <w:rFonts w:hint="cs"/>
          <w:rtl/>
        </w:rPr>
        <w:t xml:space="preserve">בשם </w:t>
      </w:r>
      <w:r w:rsidRPr="00F12898">
        <w:rPr>
          <w:rStyle w:val="af9"/>
          <w:rFonts w:hint="cs"/>
          <w:rtl/>
        </w:rPr>
        <w:t>י"מ</w:t>
      </w:r>
      <w:r>
        <w:rPr>
          <w:rFonts w:hint="cs"/>
          <w:rtl/>
        </w:rPr>
        <w:t xml:space="preserve"> דבמקום שיש עדים שגזל את חבירו, צריך להחזיר לו בעדים ואינו נאמן בטענת החזרתי, וכ"כ </w:t>
      </w:r>
      <w:r w:rsidRPr="005C7DC8">
        <w:rPr>
          <w:rStyle w:val="af9"/>
          <w:rFonts w:hint="cs"/>
          <w:rtl/>
        </w:rPr>
        <w:t>רבינו יונה</w:t>
      </w:r>
      <w:r>
        <w:rPr>
          <w:rFonts w:hint="cs"/>
          <w:rtl/>
        </w:rPr>
        <w:t xml:space="preserve"> </w:t>
      </w:r>
      <w:r w:rsidRPr="005C7DC8">
        <w:rPr>
          <w:rStyle w:val="af7"/>
          <w:rFonts w:eastAsia="Guttman Hodes" w:hint="cs"/>
          <w:rtl/>
        </w:rPr>
        <w:t>(</w:t>
      </w:r>
      <w:r>
        <w:rPr>
          <w:rStyle w:val="af7"/>
          <w:rFonts w:eastAsia="Guttman Hodes" w:hint="cs"/>
          <w:rtl/>
        </w:rPr>
        <w:t xml:space="preserve">לג: </w:t>
      </w:r>
      <w:r w:rsidRPr="005C7DC8">
        <w:rPr>
          <w:rStyle w:val="af7"/>
          <w:rFonts w:eastAsia="Guttman Hodes" w:hint="cs"/>
          <w:rtl/>
        </w:rPr>
        <w:t>ד"ה ההוא)</w:t>
      </w:r>
      <w:r>
        <w:rPr>
          <w:rFonts w:hint="cs"/>
          <w:rtl/>
        </w:rPr>
        <w:t xml:space="preserve"> דאינו נאמן להחזיר בלי עדים, וא"כ אינו נאמן בטענת דידי חטפי במיגו דהחזרתי, וכ"כ </w:t>
      </w:r>
      <w:r>
        <w:rPr>
          <w:rFonts w:hint="cs"/>
          <w:b/>
          <w:bCs/>
          <w:rtl/>
        </w:rPr>
        <w:t>הרשב"א</w:t>
      </w:r>
      <w:r w:rsidRPr="005C0A36">
        <w:rPr>
          <w:rStyle w:val="af7"/>
          <w:rFonts w:eastAsia="Calibri" w:hint="cs"/>
          <w:rtl/>
        </w:rPr>
        <w:t xml:space="preserve"> </w:t>
      </w:r>
      <w:r w:rsidRPr="005C0A36">
        <w:rPr>
          <w:rStyle w:val="af7"/>
          <w:rFonts w:eastAsia="Guttman Hodes" w:hint="cs"/>
          <w:rtl/>
        </w:rPr>
        <w:t xml:space="preserve">(ד"ה ואסיקנא) </w:t>
      </w:r>
      <w:r>
        <w:rPr>
          <w:rFonts w:hint="cs"/>
          <w:rtl/>
        </w:rPr>
        <w:t xml:space="preserve">בשם </w:t>
      </w:r>
      <w:r w:rsidRPr="00487F7D">
        <w:rPr>
          <w:rStyle w:val="af9"/>
          <w:rFonts w:hint="cs"/>
          <w:rtl/>
        </w:rPr>
        <w:t>י"מ</w:t>
      </w:r>
      <w:r>
        <w:rPr>
          <w:rFonts w:hint="cs"/>
          <w:rtl/>
        </w:rPr>
        <w:t xml:space="preserve"> וביארו </w:t>
      </w:r>
      <w:r w:rsidRPr="005C7DC8">
        <w:rPr>
          <w:rStyle w:val="af9"/>
          <w:rFonts w:hint="cs"/>
          <w:rtl/>
        </w:rPr>
        <w:t xml:space="preserve">רבינו </w:t>
      </w:r>
      <w:r w:rsidRPr="00895857">
        <w:rPr>
          <w:rStyle w:val="af9"/>
          <w:rFonts w:hint="cs"/>
          <w:rtl/>
        </w:rPr>
        <w:t>יונה והרשב</w:t>
      </w:r>
      <w:r>
        <w:rPr>
          <w:rFonts w:hint="cs"/>
          <w:b/>
          <w:bCs/>
          <w:rtl/>
        </w:rPr>
        <w:t>"א</w:t>
      </w:r>
      <w:r w:rsidRPr="00D633C3">
        <w:rPr>
          <w:rFonts w:ascii="Calibri" w:eastAsia="Calibri" w:hAnsi="Calibri" w:cs="Arial" w:hint="cs"/>
          <w:noProof w:val="0"/>
          <w:sz w:val="22"/>
          <w:szCs w:val="22"/>
          <w:rtl/>
        </w:rPr>
        <w:t xml:space="preserve"> </w:t>
      </w:r>
      <w:r>
        <w:rPr>
          <w:rFonts w:hint="cs"/>
          <w:rtl/>
        </w:rPr>
        <w:t>דאעפ"י דקיי"ל המלוה את חבירו בעדים א"צ להחזיר לו בעדים, היינו דוקא בהלואה שלוה ממנו בתחילה ע"מ לפורעו, ולכן הוא נאמן בטענת פרעתי, אבל גזלן שאינו גוזל ע"מ לשלם, אינו נאמן בטענת החזרתי, וחייב להחזיר בעדים.</w:t>
      </w:r>
    </w:p>
    <w:p w:rsidR="000F5507" w:rsidRPr="00103A68" w:rsidRDefault="000F5507" w:rsidP="000F5507">
      <w:pPr>
        <w:pStyle w:val="a3"/>
        <w:rPr>
          <w:rtl/>
        </w:rPr>
      </w:pPr>
    </w:p>
    <w:p w:rsidR="000F5507" w:rsidRPr="00D13DDC" w:rsidRDefault="000F5507" w:rsidP="000F5507">
      <w:pPr>
        <w:pStyle w:val="a3"/>
        <w:rPr>
          <w:rtl/>
        </w:rPr>
      </w:pPr>
      <w:bookmarkStart w:id="16717" w:name="_Toc65703373"/>
      <w:bookmarkStart w:id="16718" w:name="_Toc65714041"/>
      <w:bookmarkStart w:id="16719" w:name="_Toc65714897"/>
      <w:r>
        <w:rPr>
          <w:rFonts w:hint="cs"/>
          <w:rtl/>
        </w:rPr>
        <w:lastRenderedPageBreak/>
        <w:t>דברי הי"מ ברשב"א דמוכח בגמ' בשבועות גזלן לא נאמן בהחזרתי ודברי הרשב"א דאי"ז ראיה</w:t>
      </w:r>
      <w:bookmarkEnd w:id="16717"/>
      <w:bookmarkEnd w:id="16718"/>
      <w:bookmarkEnd w:id="16719"/>
    </w:p>
    <w:p w:rsidR="000F5507" w:rsidRDefault="000F5507" w:rsidP="007E4E81">
      <w:pPr>
        <w:pStyle w:val="a0"/>
        <w:rPr>
          <w:rtl/>
        </w:rPr>
      </w:pPr>
      <w:r>
        <w:rPr>
          <w:rFonts w:hint="cs"/>
          <w:rtl/>
        </w:rPr>
        <w:t xml:space="preserve">והביא </w:t>
      </w:r>
      <w:r w:rsidRPr="001E26C2">
        <w:rPr>
          <w:rStyle w:val="af9"/>
          <w:rFonts w:hint="cs"/>
          <w:rtl/>
        </w:rPr>
        <w:t>הרשב"א</w:t>
      </w:r>
      <w:r w:rsidRPr="00F475E2">
        <w:rPr>
          <w:rFonts w:ascii="Calibri" w:eastAsia="Calibri" w:hAnsi="Calibri" w:cs="Arial" w:hint="cs"/>
          <w:noProof w:val="0"/>
          <w:sz w:val="22"/>
          <w:szCs w:val="22"/>
          <w:rtl/>
        </w:rPr>
        <w:t xml:space="preserve"> </w:t>
      </w:r>
      <w:r>
        <w:rPr>
          <w:rFonts w:hint="cs"/>
          <w:rtl/>
        </w:rPr>
        <w:t xml:space="preserve">בשם </w:t>
      </w:r>
      <w:r w:rsidRPr="00487F7D">
        <w:rPr>
          <w:rStyle w:val="af9"/>
          <w:rFonts w:hint="cs"/>
          <w:rtl/>
        </w:rPr>
        <w:t>י"מ</w:t>
      </w:r>
      <w:r>
        <w:rPr>
          <w:rFonts w:hint="cs"/>
          <w:rtl/>
        </w:rPr>
        <w:t xml:space="preserve"> דכן מוכח מהא דנגזל דשכנגדו נשבע ונוטל, והעמידה הגמ' בשבועות </w:t>
      </w:r>
      <w:r w:rsidRPr="00F475E2">
        <w:rPr>
          <w:rStyle w:val="af7"/>
          <w:rFonts w:eastAsia="Guttman Hodes" w:hint="cs"/>
          <w:rtl/>
        </w:rPr>
        <w:t>(מו.)</w:t>
      </w:r>
      <w:r>
        <w:rPr>
          <w:rFonts w:hint="cs"/>
          <w:rtl/>
        </w:rPr>
        <w:t xml:space="preserve"> דאיירי שיצא מבית וכלים טמונים תחת כנפיו, ולא ידעו כמה כלים לקח, ומוכח דאין הגזלן נאמן לומר החזרתי, דהא אם הוא נאמן א"כ כיון שנאמן לומר החזרתי על כולם, כ"ש דנאמן על חלקם לומר דכך וכך לקחתי, אך דחה </w:t>
      </w:r>
      <w:r w:rsidRPr="00BE219B">
        <w:rPr>
          <w:rStyle w:val="af9"/>
          <w:rFonts w:hint="cs"/>
          <w:rtl/>
        </w:rPr>
        <w:t>הרשב"א</w:t>
      </w:r>
      <w:r>
        <w:rPr>
          <w:rFonts w:hint="cs"/>
          <w:rtl/>
        </w:rPr>
        <w:t xml:space="preserve"> דאפש"ל דאיירי שיש עדים שלא החזיר, דלא זזה ידם מתוך יד הנגזל עד שעמד בדין, וע"ע במה שהביא </w:t>
      </w:r>
      <w:r w:rsidRPr="00F475E2">
        <w:rPr>
          <w:rFonts w:hint="cs"/>
          <w:b/>
          <w:bCs/>
          <w:rtl/>
        </w:rPr>
        <w:t>הרשב"א</w:t>
      </w:r>
      <w:r w:rsidRPr="00F475E2">
        <w:rPr>
          <w:rFonts w:ascii="Calibri" w:eastAsia="Calibri" w:hAnsi="Calibri" w:cs="Arial" w:hint="cs"/>
          <w:noProof w:val="0"/>
          <w:sz w:val="22"/>
          <w:szCs w:val="22"/>
          <w:rtl/>
        </w:rPr>
        <w:t xml:space="preserve"> </w:t>
      </w:r>
      <w:r>
        <w:rPr>
          <w:rFonts w:hint="cs"/>
          <w:rtl/>
        </w:rPr>
        <w:t xml:space="preserve">בשם </w:t>
      </w:r>
      <w:r w:rsidRPr="00487F7D">
        <w:rPr>
          <w:rStyle w:val="af9"/>
          <w:rFonts w:hint="cs"/>
          <w:rtl/>
        </w:rPr>
        <w:t>י"מ</w:t>
      </w:r>
      <w:r>
        <w:rPr>
          <w:rFonts w:hint="cs"/>
          <w:rtl/>
        </w:rPr>
        <w:t xml:space="preserve"> דכן מוכח מהא דאיתא בכתובות </w:t>
      </w:r>
      <w:r w:rsidRPr="00F475E2">
        <w:rPr>
          <w:rStyle w:val="af7"/>
          <w:rFonts w:eastAsia="Guttman Hodes" w:hint="cs"/>
          <w:rtl/>
        </w:rPr>
        <w:t>(כא:)</w:t>
      </w:r>
      <w:r>
        <w:rPr>
          <w:rFonts w:hint="cs"/>
          <w:rtl/>
        </w:rPr>
        <w:t>.</w:t>
      </w:r>
    </w:p>
    <w:p w:rsidR="000F5507" w:rsidRDefault="000F5507" w:rsidP="000F5507">
      <w:pPr>
        <w:pStyle w:val="1"/>
        <w:rPr>
          <w:rtl/>
        </w:rPr>
      </w:pPr>
      <w:bookmarkStart w:id="16720" w:name="_Toc65703374"/>
      <w:bookmarkStart w:id="16721" w:name="_Toc65714042"/>
      <w:bookmarkStart w:id="16722" w:name="_Toc65714898"/>
      <w:r>
        <w:rPr>
          <w:rFonts w:hint="cs"/>
          <w:rtl/>
        </w:rPr>
        <w:t>דברי הרמב"ן בשם הרמ"ה דגזלן נאמן לומר החזרתי בלי עדים</w:t>
      </w:r>
      <w:bookmarkEnd w:id="16720"/>
      <w:bookmarkEnd w:id="16721"/>
      <w:bookmarkEnd w:id="16722"/>
    </w:p>
    <w:p w:rsidR="000F5507" w:rsidRPr="00F475E2" w:rsidRDefault="000F5507" w:rsidP="000F5507">
      <w:pPr>
        <w:pStyle w:val="a3"/>
      </w:pPr>
      <w:bookmarkStart w:id="16723" w:name="_Toc65703375"/>
      <w:bookmarkStart w:id="16724" w:name="_Toc65714043"/>
      <w:bookmarkStart w:id="16725" w:name="_Toc65714899"/>
      <w:r>
        <w:rPr>
          <w:rFonts w:hint="cs"/>
          <w:rtl/>
        </w:rPr>
        <w:t>דברי הרמב"ן והרשב"א בשם הרמ"ה דמוכח בכתובות דגזלן נאמן בטענת החזרתי בלי עדים</w:t>
      </w:r>
      <w:bookmarkEnd w:id="16723"/>
      <w:bookmarkEnd w:id="16724"/>
      <w:bookmarkEnd w:id="16725"/>
    </w:p>
    <w:p w:rsidR="000F5507" w:rsidRDefault="000F5507" w:rsidP="007E4E81">
      <w:pPr>
        <w:pStyle w:val="a0"/>
        <w:rPr>
          <w:rtl/>
        </w:rPr>
      </w:pPr>
      <w:bookmarkStart w:id="16726" w:name="_Ref64969939"/>
      <w:r>
        <w:rPr>
          <w:rFonts w:hint="cs"/>
          <w:rtl/>
        </w:rPr>
        <w:t>אך כתב</w:t>
      </w:r>
      <w:r w:rsidRPr="00CC629F">
        <w:rPr>
          <w:rStyle w:val="af9"/>
          <w:rtl/>
        </w:rPr>
        <w:t xml:space="preserve"> </w:t>
      </w:r>
      <w:r w:rsidRPr="00041F3B">
        <w:rPr>
          <w:rStyle w:val="af9"/>
          <w:rtl/>
        </w:rPr>
        <w:t>הרמב"ן</w:t>
      </w:r>
      <w:r>
        <w:rPr>
          <w:rFonts w:hint="cs"/>
          <w:rtl/>
        </w:rPr>
        <w:t xml:space="preserve"> </w:t>
      </w:r>
      <w:r w:rsidRPr="00FB33E1">
        <w:rPr>
          <w:rStyle w:val="af7"/>
          <w:rFonts w:eastAsia="Guttman Hodes"/>
          <w:rtl/>
        </w:rPr>
        <w:t>(ד"ה</w:t>
      </w:r>
      <w:r w:rsidRPr="00FB33E1">
        <w:rPr>
          <w:rStyle w:val="af7"/>
          <w:rFonts w:eastAsia="Guttman Hodes" w:hint="cs"/>
          <w:rtl/>
        </w:rPr>
        <w:t xml:space="preserve"> והוי)</w:t>
      </w:r>
      <w:r>
        <w:rPr>
          <w:rStyle w:val="af7"/>
          <w:rFonts w:eastAsia="Guttman Hodes" w:hint="cs"/>
          <w:rtl/>
        </w:rPr>
        <w:t xml:space="preserve"> </w:t>
      </w:r>
      <w:r>
        <w:rPr>
          <w:rFonts w:hint="cs"/>
          <w:rtl/>
        </w:rPr>
        <w:t xml:space="preserve">ששאל את </w:t>
      </w:r>
      <w:r w:rsidRPr="00F12898">
        <w:rPr>
          <w:rStyle w:val="af9"/>
          <w:rFonts w:hint="cs"/>
          <w:rtl/>
        </w:rPr>
        <w:t>הרמ"ה</w:t>
      </w:r>
      <w:r>
        <w:rPr>
          <w:rFonts w:hint="cs"/>
          <w:rtl/>
        </w:rPr>
        <w:t xml:space="preserve"> בגזל בפני עדים, אי נאמן הגזלן לומר החזרתי, או שצריך עדים שהחזיר, והשיב לו </w:t>
      </w:r>
      <w:r w:rsidRPr="00F12898">
        <w:rPr>
          <w:rStyle w:val="af9"/>
          <w:rFonts w:hint="cs"/>
          <w:rtl/>
        </w:rPr>
        <w:t>הרמ"ה</w:t>
      </w:r>
      <w:r>
        <w:rPr>
          <w:rFonts w:hint="cs"/>
          <w:rtl/>
        </w:rPr>
        <w:t xml:space="preserve"> דבגמ' בכתובות </w:t>
      </w:r>
      <w:r w:rsidRPr="00F12898">
        <w:rPr>
          <w:rStyle w:val="af7"/>
          <w:rFonts w:eastAsia="Guttman Hodes" w:hint="cs"/>
          <w:rtl/>
        </w:rPr>
        <w:t xml:space="preserve">(יז:) </w:t>
      </w:r>
      <w:r>
        <w:rPr>
          <w:rFonts w:hint="cs"/>
          <w:rtl/>
        </w:rPr>
        <w:t xml:space="preserve">מוכח דנאמן, עיי"ש בדבריו, וכ"כ </w:t>
      </w:r>
      <w:r>
        <w:rPr>
          <w:rFonts w:hint="cs"/>
          <w:b/>
          <w:bCs/>
          <w:rtl/>
        </w:rPr>
        <w:t>הרשב"א</w:t>
      </w:r>
      <w:r w:rsidRPr="005C0A36">
        <w:rPr>
          <w:rStyle w:val="af7"/>
          <w:rFonts w:eastAsia="Calibri" w:hint="cs"/>
          <w:rtl/>
        </w:rPr>
        <w:t xml:space="preserve"> </w:t>
      </w:r>
      <w:r w:rsidRPr="005C0A36">
        <w:rPr>
          <w:rStyle w:val="af7"/>
          <w:rFonts w:eastAsia="Guttman Hodes" w:hint="cs"/>
          <w:rtl/>
        </w:rPr>
        <w:t>(ד"ה ואסיקנא)</w:t>
      </w:r>
      <w:r>
        <w:rPr>
          <w:rFonts w:hint="cs"/>
          <w:rtl/>
        </w:rPr>
        <w:t>,</w:t>
      </w:r>
      <w:r w:rsidRPr="007955BA">
        <w:rPr>
          <w:rFonts w:hint="cs"/>
          <w:rtl/>
        </w:rPr>
        <w:t xml:space="preserve"> </w:t>
      </w:r>
      <w:r>
        <w:rPr>
          <w:rFonts w:hint="cs"/>
          <w:rtl/>
        </w:rPr>
        <w:t xml:space="preserve">ועי' במ"ש </w:t>
      </w:r>
      <w:r w:rsidRPr="007955BA">
        <w:rPr>
          <w:rStyle w:val="af9"/>
          <w:rFonts w:hint="cs"/>
          <w:rtl/>
        </w:rPr>
        <w:t>החת"ס</w:t>
      </w:r>
      <w:r>
        <w:rPr>
          <w:rFonts w:hint="cs"/>
          <w:rtl/>
        </w:rPr>
        <w:t xml:space="preserve"> </w:t>
      </w:r>
      <w:r w:rsidRPr="007955BA">
        <w:rPr>
          <w:rStyle w:val="af7"/>
          <w:rFonts w:eastAsia="Guttman Hodes" w:hint="cs"/>
          <w:rtl/>
        </w:rPr>
        <w:t>(ד"ה ליפטריה)</w:t>
      </w:r>
      <w:r>
        <w:rPr>
          <w:rFonts w:hint="cs"/>
          <w:rtl/>
        </w:rPr>
        <w:t xml:space="preserve"> </w:t>
      </w:r>
      <w:r w:rsidRPr="00DE23B0">
        <w:rPr>
          <w:rStyle w:val="af9"/>
          <w:rFonts w:hint="cs"/>
          <w:rtl/>
        </w:rPr>
        <w:t>והאו"ש</w:t>
      </w:r>
      <w:r>
        <w:rPr>
          <w:rFonts w:hint="cs"/>
          <w:rtl/>
        </w:rPr>
        <w:t xml:space="preserve"> </w:t>
      </w:r>
      <w:r w:rsidRPr="00DE23B0">
        <w:rPr>
          <w:rStyle w:val="af7"/>
          <w:rFonts w:eastAsia="Guttman Hodes" w:hint="cs"/>
          <w:rtl/>
        </w:rPr>
        <w:t>(</w:t>
      </w:r>
      <w:r w:rsidRPr="00DE23B0">
        <w:rPr>
          <w:rStyle w:val="af7"/>
          <w:rFonts w:eastAsia="Guttman Hodes"/>
          <w:rtl/>
        </w:rPr>
        <w:t>גז</w:t>
      </w:r>
      <w:r w:rsidRPr="00DE23B0">
        <w:rPr>
          <w:rStyle w:val="af7"/>
          <w:rFonts w:eastAsia="Guttman Hodes" w:hint="cs"/>
          <w:rtl/>
        </w:rPr>
        <w:t>י</w:t>
      </w:r>
      <w:r w:rsidRPr="00DE23B0">
        <w:rPr>
          <w:rStyle w:val="af7"/>
          <w:rFonts w:eastAsia="Guttman Hodes"/>
          <w:rtl/>
        </w:rPr>
        <w:t>לה ואבדה פ</w:t>
      </w:r>
      <w:r w:rsidRPr="00DE23B0">
        <w:rPr>
          <w:rStyle w:val="af7"/>
          <w:rFonts w:eastAsia="Guttman Hodes" w:hint="cs"/>
          <w:rtl/>
        </w:rPr>
        <w:t>"</w:t>
      </w:r>
      <w:r w:rsidRPr="00DE23B0">
        <w:rPr>
          <w:rStyle w:val="af7"/>
          <w:rFonts w:eastAsia="Guttman Hodes"/>
          <w:rtl/>
        </w:rPr>
        <w:t>ד הי</w:t>
      </w:r>
      <w:r w:rsidRPr="00DE23B0">
        <w:rPr>
          <w:rStyle w:val="af7"/>
          <w:rFonts w:eastAsia="Guttman Hodes" w:hint="cs"/>
          <w:rtl/>
        </w:rPr>
        <w:t>"</w:t>
      </w:r>
      <w:r w:rsidRPr="00DE23B0">
        <w:rPr>
          <w:rStyle w:val="af7"/>
          <w:rFonts w:eastAsia="Guttman Hodes"/>
          <w:rtl/>
        </w:rPr>
        <w:t>ד</w:t>
      </w:r>
      <w:r w:rsidRPr="00DE23B0">
        <w:rPr>
          <w:rStyle w:val="af7"/>
          <w:rFonts w:eastAsia="Guttman Hodes" w:hint="cs"/>
          <w:rtl/>
        </w:rPr>
        <w:t>)</w:t>
      </w:r>
      <w:r>
        <w:rPr>
          <w:rFonts w:hint="cs"/>
          <w:rtl/>
        </w:rPr>
        <w:t xml:space="preserve"> בדברי </w:t>
      </w:r>
      <w:r w:rsidRPr="007955BA">
        <w:rPr>
          <w:rStyle w:val="af9"/>
          <w:rFonts w:hint="cs"/>
          <w:rtl/>
        </w:rPr>
        <w:t>הרמ"ה</w:t>
      </w:r>
      <w:r>
        <w:rPr>
          <w:rFonts w:hint="cs"/>
          <w:rtl/>
        </w:rPr>
        <w:t>.</w:t>
      </w:r>
      <w:bookmarkEnd w:id="16726"/>
    </w:p>
    <w:p w:rsidR="000F5507" w:rsidRPr="00D13DDC" w:rsidRDefault="000F5507" w:rsidP="000F5507">
      <w:pPr>
        <w:pStyle w:val="a3"/>
        <w:rPr>
          <w:rtl/>
        </w:rPr>
      </w:pPr>
      <w:bookmarkStart w:id="16727" w:name="_Toc65703376"/>
      <w:bookmarkStart w:id="16728" w:name="_Toc65714044"/>
      <w:bookmarkStart w:id="16729" w:name="_Toc65714900"/>
      <w:r>
        <w:rPr>
          <w:rFonts w:hint="cs"/>
          <w:rtl/>
        </w:rPr>
        <w:t>קושית הר"ן על הרמ"ה דאי גזלן נאמן בהחזרתי אמאי בדידי חטפי לא נאמן במיגו דהחזרתי</w:t>
      </w:r>
      <w:bookmarkEnd w:id="16727"/>
      <w:bookmarkEnd w:id="16728"/>
      <w:bookmarkEnd w:id="16729"/>
    </w:p>
    <w:p w:rsidR="000F5507" w:rsidRDefault="000F5507" w:rsidP="007E4E81">
      <w:pPr>
        <w:pStyle w:val="a0"/>
        <w:rPr>
          <w:rtl/>
        </w:rPr>
      </w:pPr>
      <w:r>
        <w:rPr>
          <w:rFonts w:hint="cs"/>
          <w:rtl/>
        </w:rPr>
        <w:t xml:space="preserve">אך הקשה </w:t>
      </w:r>
      <w:r w:rsidRPr="00BE219B">
        <w:rPr>
          <w:rStyle w:val="af9"/>
          <w:rFonts w:hint="cs"/>
          <w:rtl/>
        </w:rPr>
        <w:t>הר"ן</w:t>
      </w:r>
      <w:r>
        <w:rPr>
          <w:rFonts w:hint="cs"/>
          <w:rtl/>
        </w:rPr>
        <w:t xml:space="preserve"> </w:t>
      </w:r>
      <w:r w:rsidRPr="00BE219B">
        <w:rPr>
          <w:rStyle w:val="af7"/>
          <w:rFonts w:eastAsia="Guttman Hodes" w:hint="cs"/>
          <w:rtl/>
        </w:rPr>
        <w:t xml:space="preserve">(ד"ה הוה) </w:t>
      </w:r>
      <w:r>
        <w:rPr>
          <w:rFonts w:hint="cs"/>
          <w:rtl/>
        </w:rPr>
        <w:t xml:space="preserve">על דברי </w:t>
      </w:r>
      <w:r w:rsidRPr="00BE219B">
        <w:rPr>
          <w:rStyle w:val="af9"/>
          <w:rFonts w:hint="cs"/>
          <w:rtl/>
        </w:rPr>
        <w:t>הרמב"ן</w:t>
      </w:r>
      <w:r>
        <w:rPr>
          <w:rFonts w:hint="cs"/>
          <w:rtl/>
        </w:rPr>
        <w:t xml:space="preserve"> </w:t>
      </w:r>
      <w:r w:rsidRPr="00BE219B">
        <w:rPr>
          <w:rStyle w:val="af7"/>
          <w:rFonts w:eastAsia="Guttman Hodes" w:hint="cs"/>
          <w:rtl/>
        </w:rPr>
        <w:t xml:space="preserve">(עי' אות </w:t>
      </w:r>
      <w:r w:rsidRPr="00BE219B">
        <w:rPr>
          <w:rStyle w:val="af7"/>
          <w:rFonts w:eastAsia="Guttman Hodes"/>
          <w:rtl/>
        </w:rPr>
        <w:fldChar w:fldCharType="begin"/>
      </w:r>
      <w:r w:rsidRPr="00BE219B">
        <w:rPr>
          <w:rStyle w:val="af7"/>
          <w:rFonts w:eastAsia="Guttman Hodes"/>
          <w:rtl/>
        </w:rPr>
        <w:instrText xml:space="preserve"> </w:instrText>
      </w:r>
      <w:r w:rsidRPr="00BE219B">
        <w:rPr>
          <w:rStyle w:val="af7"/>
          <w:rFonts w:eastAsia="Guttman Hodes" w:hint="cs"/>
        </w:rPr>
        <w:instrText>REF</w:instrText>
      </w:r>
      <w:r w:rsidRPr="00BE219B">
        <w:rPr>
          <w:rStyle w:val="af7"/>
          <w:rFonts w:eastAsia="Guttman Hodes" w:hint="cs"/>
          <w:rtl/>
        </w:rPr>
        <w:instrText xml:space="preserve"> _</w:instrText>
      </w:r>
      <w:r w:rsidRPr="00BE219B">
        <w:rPr>
          <w:rStyle w:val="af7"/>
          <w:rFonts w:eastAsia="Guttman Hodes" w:hint="cs"/>
        </w:rPr>
        <w:instrText>Ref64969939 \r \h</w:instrText>
      </w:r>
      <w:r w:rsidRPr="00BE219B">
        <w:rPr>
          <w:rStyle w:val="af7"/>
          <w:rFonts w:eastAsia="Guttman Hodes"/>
          <w:rtl/>
        </w:rPr>
        <w:instrText xml:space="preserve"> </w:instrText>
      </w:r>
      <w:r w:rsidRPr="00BE219B">
        <w:rPr>
          <w:rStyle w:val="af7"/>
          <w:rFonts w:eastAsia="Guttman Hodes"/>
          <w:rtl/>
        </w:rPr>
      </w:r>
      <w:r w:rsidRPr="00BE219B">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BE219B">
        <w:rPr>
          <w:rStyle w:val="af7"/>
          <w:rFonts w:eastAsia="Guttman Hodes"/>
          <w:rtl/>
        </w:rPr>
        <w:fldChar w:fldCharType="end"/>
      </w:r>
      <w:r>
        <w:rPr>
          <w:rFonts w:hint="cs"/>
          <w:rtl/>
        </w:rPr>
        <w:t xml:space="preserve"> בשם </w:t>
      </w:r>
      <w:r w:rsidRPr="00BE219B">
        <w:rPr>
          <w:rStyle w:val="af9"/>
          <w:rFonts w:hint="cs"/>
          <w:rtl/>
        </w:rPr>
        <w:t>הרמ"ה</w:t>
      </w:r>
      <w:r>
        <w:rPr>
          <w:rFonts w:hint="cs"/>
          <w:rtl/>
        </w:rPr>
        <w:t xml:space="preserve"> דכיון דהוא נאמן בטענת פרעתי, א"כ הדרא קושיין לדוכתא דאמאי אינו נאמן בטענת לא חטפי במיגו דהחזרתי.</w:t>
      </w:r>
    </w:p>
    <w:p w:rsidR="000F5507" w:rsidRPr="00D13DDC" w:rsidRDefault="000F5507" w:rsidP="000F5507">
      <w:pPr>
        <w:pStyle w:val="a3"/>
        <w:rPr>
          <w:rtl/>
        </w:rPr>
      </w:pPr>
      <w:bookmarkStart w:id="16730" w:name="_Toc65703377"/>
      <w:bookmarkStart w:id="16731" w:name="_Toc65714045"/>
      <w:bookmarkStart w:id="16732" w:name="_Toc65714901"/>
      <w:r>
        <w:rPr>
          <w:rFonts w:hint="cs"/>
          <w:rtl/>
        </w:rPr>
        <w:t>תירוץ הרשב"א והר"ן דבסוגיין איירי שהנסכא יוצאת עכשיו מתח"י ואין לו מיגו</w:t>
      </w:r>
      <w:bookmarkEnd w:id="16730"/>
      <w:bookmarkEnd w:id="16731"/>
      <w:bookmarkEnd w:id="16732"/>
    </w:p>
    <w:p w:rsidR="000F5507" w:rsidRPr="00E75130" w:rsidRDefault="000F5507" w:rsidP="007E4E81">
      <w:pPr>
        <w:pStyle w:val="a0"/>
        <w:rPr>
          <w:rtl/>
        </w:rPr>
      </w:pPr>
      <w:bookmarkStart w:id="16733" w:name="_Ref65714731"/>
      <w:r>
        <w:rPr>
          <w:rFonts w:hint="cs"/>
          <w:rtl/>
        </w:rPr>
        <w:t xml:space="preserve">וכתבו </w:t>
      </w:r>
      <w:r>
        <w:rPr>
          <w:rFonts w:hint="cs"/>
          <w:b/>
          <w:bCs/>
          <w:rtl/>
        </w:rPr>
        <w:t>הרשב"א</w:t>
      </w:r>
      <w:r w:rsidRPr="005C0A36">
        <w:rPr>
          <w:rStyle w:val="af7"/>
          <w:rFonts w:eastAsia="Calibri" w:hint="cs"/>
          <w:rtl/>
        </w:rPr>
        <w:t xml:space="preserve"> </w:t>
      </w:r>
      <w:r w:rsidRPr="005C0A36">
        <w:rPr>
          <w:rStyle w:val="af7"/>
          <w:rFonts w:eastAsia="Guttman Hodes" w:hint="cs"/>
          <w:rtl/>
        </w:rPr>
        <w:t>(</w:t>
      </w:r>
      <w:r>
        <w:rPr>
          <w:rStyle w:val="af7"/>
          <w:rFonts w:eastAsia="Guttman Hodes" w:hint="cs"/>
          <w:rtl/>
        </w:rPr>
        <w:t>סו</w:t>
      </w:r>
      <w:r w:rsidRPr="005C0A36">
        <w:rPr>
          <w:rStyle w:val="af7"/>
          <w:rFonts w:eastAsia="Guttman Hodes" w:hint="cs"/>
          <w:rtl/>
        </w:rPr>
        <w:t>ד"ה ואסיקנא)</w:t>
      </w:r>
      <w:r>
        <w:rPr>
          <w:rFonts w:hint="cs"/>
          <w:rtl/>
        </w:rPr>
        <w:t xml:space="preserve"> בשם </w:t>
      </w:r>
      <w:r w:rsidRPr="00487F7D">
        <w:rPr>
          <w:rStyle w:val="af9"/>
          <w:rFonts w:hint="cs"/>
          <w:rtl/>
        </w:rPr>
        <w:t>י"מ</w:t>
      </w:r>
      <w:r>
        <w:rPr>
          <w:rStyle w:val="af9"/>
          <w:rFonts w:hint="cs"/>
          <w:rtl/>
        </w:rPr>
        <w:t xml:space="preserve"> והר"ן</w:t>
      </w:r>
      <w:r>
        <w:rPr>
          <w:rFonts w:hint="cs"/>
          <w:rtl/>
        </w:rPr>
        <w:t xml:space="preserve"> </w:t>
      </w:r>
      <w:r w:rsidRPr="00BE219B">
        <w:rPr>
          <w:rStyle w:val="af7"/>
          <w:rFonts w:eastAsia="Guttman Hodes" w:hint="cs"/>
          <w:rtl/>
        </w:rPr>
        <w:t xml:space="preserve">(ד"ה הוה) </w:t>
      </w:r>
      <w:r>
        <w:rPr>
          <w:rFonts w:hint="cs"/>
          <w:rtl/>
        </w:rPr>
        <w:t xml:space="preserve">דבסוגיין לא שייך לומר דנאמן במיגו דהחזרתי דאיירי שהנסכא יוצאת עכשיו מתחת ידו בפנינו, וא"כ אין לו מיגו, וכ"כ </w:t>
      </w:r>
      <w:r w:rsidRPr="0055503D">
        <w:rPr>
          <w:rStyle w:val="af9"/>
          <w:rFonts w:hint="cs"/>
          <w:rtl/>
        </w:rPr>
        <w:t>הרמב"ן והראב"ד</w:t>
      </w:r>
      <w:r>
        <w:rPr>
          <w:rFonts w:hint="cs"/>
          <w:rtl/>
        </w:rPr>
        <w:t xml:space="preserve"> </w:t>
      </w:r>
      <w:r w:rsidRPr="0055503D">
        <w:rPr>
          <w:rStyle w:val="af7"/>
          <w:rFonts w:eastAsia="Guttman Hodes" w:hint="cs"/>
          <w:rtl/>
        </w:rPr>
        <w:t xml:space="preserve">(עי' אות </w:t>
      </w:r>
      <w:r w:rsidRPr="0055503D">
        <w:rPr>
          <w:rStyle w:val="af7"/>
          <w:rFonts w:eastAsia="Guttman Hodes"/>
          <w:rtl/>
        </w:rPr>
        <w:fldChar w:fldCharType="begin"/>
      </w:r>
      <w:r w:rsidRPr="0055503D">
        <w:rPr>
          <w:rStyle w:val="af7"/>
          <w:rFonts w:eastAsia="Guttman Hodes"/>
          <w:rtl/>
        </w:rPr>
        <w:instrText xml:space="preserve"> </w:instrText>
      </w:r>
      <w:r w:rsidRPr="0055503D">
        <w:rPr>
          <w:rStyle w:val="af7"/>
          <w:rFonts w:eastAsia="Guttman Hodes" w:hint="cs"/>
        </w:rPr>
        <w:instrText>REF</w:instrText>
      </w:r>
      <w:r w:rsidRPr="0055503D">
        <w:rPr>
          <w:rStyle w:val="af7"/>
          <w:rFonts w:eastAsia="Guttman Hodes" w:hint="cs"/>
          <w:rtl/>
        </w:rPr>
        <w:instrText xml:space="preserve"> _</w:instrText>
      </w:r>
      <w:r w:rsidRPr="0055503D">
        <w:rPr>
          <w:rStyle w:val="af7"/>
          <w:rFonts w:eastAsia="Guttman Hodes" w:hint="cs"/>
        </w:rPr>
        <w:instrText>Ref65691298 \r \h</w:instrText>
      </w:r>
      <w:r w:rsidRPr="0055503D">
        <w:rPr>
          <w:rStyle w:val="af7"/>
          <w:rFonts w:eastAsia="Guttman Hodes"/>
          <w:rtl/>
        </w:rPr>
        <w:instrText xml:space="preserve"> </w:instrText>
      </w:r>
      <w:r w:rsidRPr="0055503D">
        <w:rPr>
          <w:rStyle w:val="af7"/>
          <w:rFonts w:eastAsia="Guttman Hodes"/>
          <w:rtl/>
        </w:rPr>
      </w:r>
      <w:r w:rsidRPr="0055503D">
        <w:rPr>
          <w:rStyle w:val="af7"/>
          <w:rFonts w:eastAsia="Guttman Hodes"/>
          <w:rtl/>
        </w:rPr>
        <w:fldChar w:fldCharType="separate"/>
      </w:r>
      <w:r w:rsidR="00265073">
        <w:rPr>
          <w:rStyle w:val="af7"/>
          <w:rFonts w:eastAsia="Guttman Hodes"/>
          <w:cs/>
        </w:rPr>
        <w:t>‎</w:t>
      </w:r>
      <w:r w:rsidR="00265073">
        <w:rPr>
          <w:rStyle w:val="af7"/>
          <w:rFonts w:eastAsia="Guttman Hodes"/>
          <w:rtl/>
        </w:rPr>
        <w:t>נה)</w:t>
      </w:r>
      <w:r w:rsidRPr="0055503D">
        <w:rPr>
          <w:rStyle w:val="af7"/>
          <w:rFonts w:eastAsia="Guttman Hodes"/>
          <w:rtl/>
        </w:rPr>
        <w:fldChar w:fldCharType="end"/>
      </w:r>
      <w:r>
        <w:rPr>
          <w:rFonts w:hint="cs"/>
          <w:rtl/>
        </w:rPr>
        <w:t>.</w:t>
      </w:r>
      <w:bookmarkEnd w:id="16733"/>
    </w:p>
    <w:p w:rsidR="000F5507" w:rsidRDefault="000F5507" w:rsidP="000F5507">
      <w:pPr>
        <w:pStyle w:val="a3"/>
      </w:pPr>
      <w:bookmarkStart w:id="16734" w:name="_Toc65703378"/>
      <w:bookmarkStart w:id="16735" w:name="_Toc65714046"/>
      <w:bookmarkStart w:id="16736" w:name="_Toc65714902"/>
      <w:bookmarkStart w:id="16737" w:name="_Toc65529988"/>
      <w:bookmarkStart w:id="16738" w:name="_Toc65604037"/>
      <w:bookmarkStart w:id="16739" w:name="_Toc65605927"/>
      <w:r>
        <w:rPr>
          <w:rFonts w:hint="cs"/>
          <w:rtl/>
        </w:rPr>
        <w:t>דברי הדרכ"מ דהא דבדידי חטפי אינו נאמן במיגו דהחזרתי הוא כיון דהוא כמיגו במקום עדים</w:t>
      </w:r>
      <w:bookmarkEnd w:id="16734"/>
      <w:bookmarkEnd w:id="16735"/>
      <w:bookmarkEnd w:id="16736"/>
    </w:p>
    <w:p w:rsidR="000F5507" w:rsidRDefault="000F5507" w:rsidP="007E4E81">
      <w:pPr>
        <w:pStyle w:val="a0"/>
      </w:pPr>
      <w:r w:rsidRPr="00CB3E87">
        <w:rPr>
          <w:rFonts w:hint="cs"/>
          <w:rtl/>
        </w:rPr>
        <w:t xml:space="preserve">וע"ע </w:t>
      </w:r>
      <w:r w:rsidRPr="00CB3E87">
        <w:rPr>
          <w:rStyle w:val="af9"/>
          <w:rFonts w:hint="cs"/>
          <w:rtl/>
        </w:rPr>
        <w:t>בדרכ"מ</w:t>
      </w:r>
      <w:r w:rsidRPr="00CB3E87">
        <w:rPr>
          <w:rFonts w:hint="cs"/>
          <w:rtl/>
        </w:rPr>
        <w:t xml:space="preserve"> </w:t>
      </w:r>
      <w:r w:rsidRPr="00CB3E87">
        <w:rPr>
          <w:rStyle w:val="af7"/>
          <w:rFonts w:eastAsia="Guttman Hodes" w:hint="cs"/>
          <w:rtl/>
        </w:rPr>
        <w:t>(סי' שס"ד א')</w:t>
      </w:r>
      <w:r w:rsidRPr="00CB3E87">
        <w:rPr>
          <w:rFonts w:hint="cs"/>
          <w:rtl/>
        </w:rPr>
        <w:t xml:space="preserve"> ד</w:t>
      </w:r>
      <w:r>
        <w:rPr>
          <w:rFonts w:hint="cs"/>
          <w:rtl/>
        </w:rPr>
        <w:t xml:space="preserve">הביא את דברי </w:t>
      </w:r>
      <w:r w:rsidRPr="005E58AB">
        <w:rPr>
          <w:rStyle w:val="af9"/>
          <w:rFonts w:hint="cs"/>
          <w:rtl/>
        </w:rPr>
        <w:t>הר"ן על הרי"ף בכתובות</w:t>
      </w:r>
      <w:r>
        <w:rPr>
          <w:rFonts w:hint="cs"/>
          <w:rtl/>
        </w:rPr>
        <w:t xml:space="preserve"> </w:t>
      </w:r>
      <w:r w:rsidRPr="0015425F">
        <w:rPr>
          <w:rStyle w:val="af7"/>
          <w:rFonts w:eastAsia="Guttman Hodes" w:hint="cs"/>
          <w:rtl/>
        </w:rPr>
        <w:t>(ו. מדה"ר סוד"ה מתני')</w:t>
      </w:r>
      <w:r>
        <w:rPr>
          <w:rFonts w:hint="cs"/>
          <w:rtl/>
        </w:rPr>
        <w:t xml:space="preserve"> דהביא את דברי </w:t>
      </w:r>
      <w:r w:rsidRPr="005E58AB">
        <w:rPr>
          <w:rStyle w:val="af9"/>
          <w:rFonts w:hint="cs"/>
          <w:rtl/>
        </w:rPr>
        <w:t>הרמב"ן</w:t>
      </w:r>
      <w:r>
        <w:rPr>
          <w:rFonts w:hint="cs"/>
          <w:rtl/>
        </w:rPr>
        <w:t xml:space="preserve"> </w:t>
      </w:r>
      <w:r w:rsidRPr="0015425F">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Ref64969939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Pr>
          <w:rStyle w:val="af7"/>
          <w:rFonts w:eastAsia="Guttman Hodes"/>
          <w:rtl/>
        </w:rPr>
        <w:fldChar w:fldCharType="end"/>
      </w:r>
      <w:r w:rsidRPr="0015425F">
        <w:rPr>
          <w:rStyle w:val="af7"/>
          <w:rFonts w:eastAsia="Guttman Hodes" w:hint="cs"/>
          <w:rtl/>
        </w:rPr>
        <w:t xml:space="preserve"> </w:t>
      </w:r>
      <w:r>
        <w:rPr>
          <w:rFonts w:hint="cs"/>
          <w:rtl/>
        </w:rPr>
        <w:t xml:space="preserve">בשם </w:t>
      </w:r>
      <w:r w:rsidRPr="005E58AB">
        <w:rPr>
          <w:rStyle w:val="af9"/>
          <w:rFonts w:hint="cs"/>
          <w:rtl/>
        </w:rPr>
        <w:t>הרמ"ה</w:t>
      </w:r>
      <w:r>
        <w:rPr>
          <w:rFonts w:hint="cs"/>
          <w:rtl/>
        </w:rPr>
        <w:t xml:space="preserve"> ד</w:t>
      </w:r>
      <w:r w:rsidRPr="00CB3E87">
        <w:rPr>
          <w:rFonts w:hint="cs"/>
          <w:rtl/>
        </w:rPr>
        <w:t xml:space="preserve">כתב </w:t>
      </w:r>
      <w:r>
        <w:rPr>
          <w:rFonts w:hint="cs"/>
          <w:rtl/>
        </w:rPr>
        <w:t xml:space="preserve">דבגזל בפני עדים, נאמן הגזלן לומר החזרתי בלא עדים, וכתב </w:t>
      </w:r>
      <w:r w:rsidRPr="005E58AB">
        <w:rPr>
          <w:rStyle w:val="af9"/>
          <w:rFonts w:hint="cs"/>
          <w:rtl/>
        </w:rPr>
        <w:t>הדרכ"מ</w:t>
      </w:r>
      <w:r>
        <w:rPr>
          <w:rFonts w:hint="cs"/>
          <w:rtl/>
        </w:rPr>
        <w:t xml:space="preserve"> דלפי"ז בטוען דידי חטפי הוא נאמן בשבועה לומר החזרתי, דאעפ"י שאינו נאמן דנטל את שלו, מ"מ אינו נעשה חשוד על השבועה, וכתב </w:t>
      </w:r>
      <w:r w:rsidRPr="005E58AB">
        <w:rPr>
          <w:rStyle w:val="af9"/>
          <w:rFonts w:hint="cs"/>
          <w:rtl/>
        </w:rPr>
        <w:t>הדרכ"מ</w:t>
      </w:r>
      <w:r>
        <w:rPr>
          <w:rFonts w:hint="cs"/>
          <w:rtl/>
        </w:rPr>
        <w:t xml:space="preserve"> דהא דאינו נאמן בטענת דידי חטפי במיגו דהחזרתי, הוא כיון שהוא כמיגו במקום עדים, והקשה </w:t>
      </w:r>
      <w:r w:rsidRPr="005E58AB">
        <w:rPr>
          <w:rStyle w:val="af9"/>
          <w:rFonts w:hint="cs"/>
          <w:rtl/>
        </w:rPr>
        <w:t>הגר"א</w:t>
      </w:r>
      <w:r>
        <w:rPr>
          <w:rFonts w:hint="cs"/>
          <w:rtl/>
        </w:rPr>
        <w:t xml:space="preserve"> </w:t>
      </w:r>
      <w:r w:rsidRPr="001E0D78">
        <w:rPr>
          <w:rStyle w:val="af7"/>
          <w:rFonts w:eastAsia="Guttman Hodes" w:hint="cs"/>
          <w:rtl/>
        </w:rPr>
        <w:t>(סי' שס"ד סק"ז)</w:t>
      </w:r>
      <w:r>
        <w:rPr>
          <w:rFonts w:hint="cs"/>
          <w:rtl/>
        </w:rPr>
        <w:t xml:space="preserve"> על </w:t>
      </w:r>
      <w:r w:rsidRPr="005E58AB">
        <w:rPr>
          <w:rStyle w:val="af9"/>
          <w:rFonts w:hint="cs"/>
          <w:rtl/>
        </w:rPr>
        <w:t>הדרכ"מ</w:t>
      </w:r>
      <w:r>
        <w:rPr>
          <w:rFonts w:hint="cs"/>
          <w:rtl/>
        </w:rPr>
        <w:t xml:space="preserve"> דהא </w:t>
      </w:r>
      <w:r w:rsidRPr="005E58AB">
        <w:rPr>
          <w:rStyle w:val="af9"/>
          <w:rFonts w:hint="cs"/>
          <w:rtl/>
        </w:rPr>
        <w:t>הר"ן</w:t>
      </w:r>
      <w:r>
        <w:rPr>
          <w:rFonts w:hint="cs"/>
          <w:rtl/>
        </w:rPr>
        <w:t xml:space="preserve"> </w:t>
      </w:r>
      <w:r w:rsidRPr="001E0D7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Ref65714731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w:t>
      </w:r>
      <w:r>
        <w:rPr>
          <w:rStyle w:val="af7"/>
          <w:rFonts w:eastAsia="Guttman Hodes"/>
          <w:rtl/>
        </w:rPr>
        <w:fldChar w:fldCharType="end"/>
      </w:r>
      <w:r w:rsidRPr="001E0D78">
        <w:rPr>
          <w:rStyle w:val="af7"/>
          <w:rFonts w:eastAsia="Guttman Hodes" w:hint="cs"/>
          <w:rtl/>
        </w:rPr>
        <w:t xml:space="preserve"> </w:t>
      </w:r>
      <w:r>
        <w:rPr>
          <w:rFonts w:hint="cs"/>
          <w:rtl/>
        </w:rPr>
        <w:t xml:space="preserve">תירץ דאינו נאמן במיגו כיון דאיירי שרואים את הנסכא ביד החוטף, ועיי"ש במ"ש </w:t>
      </w:r>
      <w:r w:rsidRPr="005E58AB">
        <w:rPr>
          <w:rStyle w:val="af9"/>
          <w:rFonts w:hint="cs"/>
          <w:rtl/>
        </w:rPr>
        <w:t>הדרכ"מ והגר"א</w:t>
      </w:r>
      <w:r>
        <w:rPr>
          <w:rFonts w:hint="cs"/>
          <w:rtl/>
        </w:rPr>
        <w:t xml:space="preserve"> בדעת </w:t>
      </w:r>
      <w:r w:rsidRPr="005E58AB">
        <w:rPr>
          <w:rStyle w:val="af9"/>
          <w:rFonts w:hint="cs"/>
          <w:rtl/>
        </w:rPr>
        <w:t>הרמב"ם</w:t>
      </w:r>
      <w:r>
        <w:rPr>
          <w:rFonts w:hint="cs"/>
          <w:rtl/>
        </w:rPr>
        <w:t xml:space="preserve"> בזה.</w:t>
      </w:r>
    </w:p>
    <w:p w:rsidR="000F5507" w:rsidRPr="00846C4F" w:rsidRDefault="000F5507" w:rsidP="000F5507">
      <w:pPr>
        <w:pStyle w:val="afe"/>
        <w:rPr>
          <w:rtl/>
        </w:rPr>
      </w:pPr>
      <w:bookmarkStart w:id="16740" w:name="_Toc65703379"/>
      <w:bookmarkStart w:id="16741" w:name="_Toc65714047"/>
      <w:bookmarkStart w:id="16742" w:name="_Toc65714903"/>
      <w:r>
        <w:rPr>
          <w:rFonts w:hint="cs"/>
          <w:rtl/>
        </w:rPr>
        <w:t>אי בדין משאיל"מ שכנגדו נשבע ונוטל</w:t>
      </w:r>
      <w:bookmarkEnd w:id="16740"/>
      <w:bookmarkEnd w:id="16741"/>
      <w:bookmarkEnd w:id="16742"/>
    </w:p>
    <w:p w:rsidR="000F5507" w:rsidRPr="00746AED" w:rsidRDefault="000F5507" w:rsidP="000F5507">
      <w:pPr>
        <w:pStyle w:val="1"/>
        <w:rPr>
          <w:rtl/>
        </w:rPr>
      </w:pPr>
      <w:bookmarkStart w:id="16743" w:name="_Toc65666193"/>
      <w:bookmarkStart w:id="16744" w:name="_Toc65689854"/>
      <w:bookmarkStart w:id="16745" w:name="_Toc65703380"/>
      <w:bookmarkStart w:id="16746" w:name="_Toc65714048"/>
      <w:bookmarkStart w:id="16747" w:name="_Toc65714904"/>
      <w:bookmarkStart w:id="16748" w:name="_Toc65529993"/>
      <w:bookmarkStart w:id="16749" w:name="_Toc65604038"/>
      <w:bookmarkStart w:id="16750" w:name="_Toc65605928"/>
      <w:bookmarkStart w:id="16751" w:name="_Toc65617185"/>
      <w:bookmarkStart w:id="16752" w:name="_Toc65666165"/>
      <w:bookmarkStart w:id="16753" w:name="_Toc65689826"/>
      <w:bookmarkEnd w:id="16737"/>
      <w:bookmarkEnd w:id="16738"/>
      <w:bookmarkEnd w:id="16739"/>
      <w:r>
        <w:rPr>
          <w:rFonts w:hint="cs"/>
          <w:rtl/>
        </w:rPr>
        <w:t>דברי הרשב"א דבמשאיל"מ אין שכנגדו צריך להשבע כחשוד</w:t>
      </w:r>
      <w:bookmarkEnd w:id="16743"/>
      <w:bookmarkEnd w:id="16744"/>
      <w:bookmarkEnd w:id="16745"/>
      <w:bookmarkEnd w:id="16746"/>
      <w:bookmarkEnd w:id="16747"/>
    </w:p>
    <w:p w:rsidR="000F5507" w:rsidRPr="00D13DDC" w:rsidRDefault="000F5507" w:rsidP="000F5507">
      <w:pPr>
        <w:pStyle w:val="a3"/>
        <w:rPr>
          <w:rtl/>
        </w:rPr>
      </w:pPr>
      <w:bookmarkStart w:id="16754" w:name="_Toc65666194"/>
      <w:bookmarkStart w:id="16755" w:name="_Toc65689855"/>
      <w:bookmarkStart w:id="16756" w:name="_Toc65703381"/>
      <w:bookmarkStart w:id="16757" w:name="_Toc65714049"/>
      <w:bookmarkStart w:id="16758" w:name="_Toc65714905"/>
      <w:r w:rsidRPr="00D13DDC">
        <w:rPr>
          <w:rFonts w:hint="cs"/>
          <w:rtl/>
        </w:rPr>
        <w:t>דברי הרשב"א והריטב"א דבדין משאיל"מ שכנגדו אינו נשבע ול"ד לחשוד שהוא רוצה לישבע</w:t>
      </w:r>
      <w:bookmarkEnd w:id="16754"/>
      <w:bookmarkEnd w:id="16755"/>
      <w:bookmarkEnd w:id="16756"/>
      <w:bookmarkEnd w:id="16757"/>
      <w:bookmarkEnd w:id="16758"/>
    </w:p>
    <w:p w:rsidR="000F5507" w:rsidRDefault="000F5507" w:rsidP="007E4E81">
      <w:pPr>
        <w:pStyle w:val="a0"/>
        <w:rPr>
          <w:rtl/>
        </w:rPr>
      </w:pPr>
      <w:bookmarkStart w:id="16759" w:name="_Ref64998698"/>
      <w:r>
        <w:rPr>
          <w:rFonts w:hint="cs"/>
          <w:rtl/>
        </w:rPr>
        <w:t xml:space="preserve">כתב </w:t>
      </w:r>
      <w:r w:rsidRPr="00746AED">
        <w:rPr>
          <w:rStyle w:val="af9"/>
          <w:rFonts w:hint="cs"/>
          <w:rtl/>
        </w:rPr>
        <w:t>הרשב"א</w:t>
      </w:r>
      <w:r>
        <w:rPr>
          <w:rFonts w:hint="cs"/>
          <w:rtl/>
        </w:rPr>
        <w:t xml:space="preserve"> </w:t>
      </w:r>
      <w:r w:rsidRPr="00746AED">
        <w:rPr>
          <w:rStyle w:val="af7"/>
          <w:rFonts w:eastAsia="Guttman Hodes" w:hint="cs"/>
          <w:rtl/>
        </w:rPr>
        <w:t>(ד"ה ומשלם)</w:t>
      </w:r>
      <w:r>
        <w:rPr>
          <w:rFonts w:hint="cs"/>
          <w:rtl/>
        </w:rPr>
        <w:t xml:space="preserve"> דהא דאמרינן דמתוך שאינו יכול לישבע משלם, ולא אמרינן דכשנגדו נשבע ונוטל, הוא כיון דלא דמי לחשוד על השבועה, דכשנגדו נשבע, כיון דהחשוד רוצה להשבע את השבועה שחייבתו תורה, אלא דכיון שהוא חשוד לא נותנים לו להשבע, וכ"כ</w:t>
      </w:r>
      <w:r w:rsidRPr="00317D84">
        <w:rPr>
          <w:rStyle w:val="af9"/>
          <w:rFonts w:hint="cs"/>
          <w:rtl/>
        </w:rPr>
        <w:t xml:space="preserve"> </w:t>
      </w:r>
      <w:r w:rsidRPr="00A201B2">
        <w:rPr>
          <w:rStyle w:val="af9"/>
          <w:rFonts w:hint="cs"/>
          <w:rtl/>
        </w:rPr>
        <w:t>הריטב"א</w:t>
      </w:r>
      <w:r>
        <w:rPr>
          <w:rStyle w:val="af9"/>
          <w:rFonts w:hint="cs"/>
          <w:rtl/>
        </w:rPr>
        <w:t xml:space="preserve"> בסוגיין</w:t>
      </w:r>
      <w:r>
        <w:rPr>
          <w:rFonts w:hint="cs"/>
          <w:rtl/>
        </w:rPr>
        <w:t xml:space="preserve"> </w:t>
      </w:r>
      <w:r w:rsidRPr="00A201B2">
        <w:rPr>
          <w:rStyle w:val="af7"/>
          <w:rFonts w:eastAsia="Guttman Hodes" w:hint="cs"/>
          <w:rtl/>
        </w:rPr>
        <w:t>(ד"ה</w:t>
      </w:r>
      <w:r>
        <w:rPr>
          <w:rStyle w:val="af7"/>
          <w:rFonts w:eastAsia="Guttman Hodes" w:hint="cs"/>
          <w:rtl/>
        </w:rPr>
        <w:t xml:space="preserve"> הו"ל)</w:t>
      </w:r>
      <w:r w:rsidRPr="001822A8">
        <w:rPr>
          <w:rStyle w:val="af9"/>
          <w:rFonts w:hint="cs"/>
          <w:rtl/>
        </w:rPr>
        <w:t xml:space="preserve"> </w:t>
      </w:r>
      <w:r>
        <w:rPr>
          <w:rStyle w:val="af9"/>
          <w:rFonts w:hint="cs"/>
          <w:rtl/>
        </w:rPr>
        <w:t>ו</w:t>
      </w:r>
      <w:r w:rsidRPr="005C04A2">
        <w:rPr>
          <w:rStyle w:val="af9"/>
          <w:rFonts w:hint="cs"/>
          <w:rtl/>
        </w:rPr>
        <w:t>בשבועות</w:t>
      </w:r>
      <w:r>
        <w:rPr>
          <w:rFonts w:hint="cs"/>
          <w:rtl/>
        </w:rPr>
        <w:t xml:space="preserve"> </w:t>
      </w:r>
      <w:r w:rsidRPr="005C04A2">
        <w:rPr>
          <w:rStyle w:val="af7"/>
          <w:rFonts w:eastAsia="Guttman Hodes" w:hint="cs"/>
          <w:rtl/>
        </w:rPr>
        <w:t>(לב: ד"ה יש)</w:t>
      </w:r>
      <w:r>
        <w:rPr>
          <w:rFonts w:hint="cs"/>
          <w:rtl/>
        </w:rPr>
        <w:t>.</w:t>
      </w:r>
      <w:bookmarkEnd w:id="16759"/>
      <w:r>
        <w:rPr>
          <w:rFonts w:hint="cs"/>
          <w:rtl/>
        </w:rPr>
        <w:t xml:space="preserve"> </w:t>
      </w:r>
    </w:p>
    <w:p w:rsidR="000F5507" w:rsidRPr="00103A68" w:rsidRDefault="000F5507" w:rsidP="000F5507">
      <w:pPr>
        <w:pStyle w:val="a3"/>
        <w:rPr>
          <w:rtl/>
        </w:rPr>
      </w:pPr>
    </w:p>
    <w:p w:rsidR="000F5507" w:rsidRPr="00D13DDC" w:rsidRDefault="000F5507" w:rsidP="000F5507">
      <w:pPr>
        <w:pStyle w:val="a3"/>
      </w:pPr>
      <w:bookmarkStart w:id="16760" w:name="_Toc65666195"/>
      <w:bookmarkStart w:id="16761" w:name="_Toc65689856"/>
      <w:bookmarkStart w:id="16762" w:name="_Toc65703382"/>
      <w:bookmarkStart w:id="16763" w:name="_Toc65714050"/>
      <w:bookmarkStart w:id="16764" w:name="_Toc65714906"/>
      <w:r w:rsidRPr="00D13DDC">
        <w:rPr>
          <w:rFonts w:hint="cs"/>
          <w:rtl/>
        </w:rPr>
        <w:t>דברי הרשב"א דבחשוד הטילו רבנן שבועה על שכנגדו דאל"ה לא שבקת חיי לכל חשוד</w:t>
      </w:r>
      <w:bookmarkEnd w:id="16760"/>
      <w:bookmarkEnd w:id="16761"/>
      <w:bookmarkEnd w:id="16762"/>
      <w:bookmarkEnd w:id="16763"/>
      <w:bookmarkEnd w:id="16764"/>
    </w:p>
    <w:p w:rsidR="000F5507" w:rsidRDefault="000F5507" w:rsidP="007E4E81">
      <w:pPr>
        <w:pStyle w:val="a0"/>
        <w:rPr>
          <w:rtl/>
        </w:rPr>
      </w:pPr>
      <w:bookmarkStart w:id="16765" w:name="_Ref65661933"/>
      <w:r>
        <w:rPr>
          <w:rFonts w:hint="cs"/>
          <w:rtl/>
        </w:rPr>
        <w:t xml:space="preserve">ועוד ביאר </w:t>
      </w:r>
      <w:r w:rsidRPr="00746AED">
        <w:rPr>
          <w:rStyle w:val="af9"/>
          <w:rFonts w:hint="cs"/>
          <w:rtl/>
        </w:rPr>
        <w:t>הרשב"א</w:t>
      </w:r>
      <w:r>
        <w:rPr>
          <w:rFonts w:hint="cs"/>
          <w:rtl/>
        </w:rPr>
        <w:t xml:space="preserve"> דאי חשוד היה משלם בלא שישבע שכנגדו, א"כ לא שבקת חיי לכל חשוד, ולכן הטילו רבנן על שכנגדו להשבע, אבל בנסכא דר"א שאינו יכול להשבע את השבועה שחייבתו תורה, לכן מדינא אמרינן דמתוך שאינו יכול לישבע משלם, וא"צ שכנגדו להשבע,</w:t>
      </w:r>
      <w:r w:rsidRPr="00EA0E43">
        <w:rPr>
          <w:rFonts w:hint="cs"/>
          <w:rtl/>
        </w:rPr>
        <w:t xml:space="preserve"> </w:t>
      </w:r>
      <w:r>
        <w:rPr>
          <w:rFonts w:hint="cs"/>
          <w:rtl/>
        </w:rPr>
        <w:t xml:space="preserve">ועיי"ש במה שהביא </w:t>
      </w:r>
      <w:r w:rsidRPr="00746AED">
        <w:rPr>
          <w:rStyle w:val="af9"/>
          <w:rFonts w:hint="cs"/>
          <w:rtl/>
        </w:rPr>
        <w:t>הרשב"א</w:t>
      </w:r>
      <w:r>
        <w:rPr>
          <w:rFonts w:hint="cs"/>
          <w:rtl/>
        </w:rPr>
        <w:t xml:space="preserve"> ראיה מהגמ' בשבועות </w:t>
      </w:r>
      <w:r w:rsidRPr="00746AED">
        <w:rPr>
          <w:rStyle w:val="af7"/>
          <w:rFonts w:eastAsia="Guttman Hodes" w:hint="cs"/>
          <w:rtl/>
        </w:rPr>
        <w:t>(לב:)</w:t>
      </w:r>
      <w:r>
        <w:rPr>
          <w:rFonts w:hint="cs"/>
          <w:rtl/>
        </w:rPr>
        <w:t>.</w:t>
      </w:r>
    </w:p>
    <w:p w:rsidR="000F5507" w:rsidRPr="00135169" w:rsidRDefault="000F5507" w:rsidP="000F5507">
      <w:pPr>
        <w:pStyle w:val="1"/>
        <w:rPr>
          <w:rtl/>
        </w:rPr>
      </w:pPr>
      <w:bookmarkStart w:id="16766" w:name="_Toc65703383"/>
      <w:bookmarkStart w:id="16767" w:name="_Toc65714051"/>
      <w:bookmarkStart w:id="16768" w:name="_Toc65714907"/>
      <w:r>
        <w:rPr>
          <w:rFonts w:hint="cs"/>
          <w:rtl/>
        </w:rPr>
        <w:t>דעת העיטור ורבינו שמואל בראב"ן דבמשאיל"מ שכנגדו נשבע</w:t>
      </w:r>
      <w:bookmarkEnd w:id="16766"/>
      <w:bookmarkEnd w:id="16767"/>
      <w:bookmarkEnd w:id="16768"/>
    </w:p>
    <w:p w:rsidR="000F5507" w:rsidRPr="00135169" w:rsidRDefault="000F5507" w:rsidP="000F5507">
      <w:pPr>
        <w:pStyle w:val="a3"/>
      </w:pPr>
      <w:bookmarkStart w:id="16769" w:name="_Toc65703384"/>
      <w:bookmarkStart w:id="16770" w:name="_Toc65714052"/>
      <w:bookmarkStart w:id="16771" w:name="_Toc65714908"/>
      <w:r>
        <w:rPr>
          <w:rFonts w:hint="cs"/>
          <w:rtl/>
        </w:rPr>
        <w:t>דברי העיטור והראב"ן בשם רבינו שמואל דבדין משאיל"מ שכנגדו נשבע ונוטל</w:t>
      </w:r>
      <w:bookmarkEnd w:id="16769"/>
      <w:bookmarkEnd w:id="16770"/>
      <w:bookmarkEnd w:id="16771"/>
    </w:p>
    <w:p w:rsidR="000F5507" w:rsidRPr="005A1131" w:rsidRDefault="000F5507" w:rsidP="007E4E81">
      <w:pPr>
        <w:pStyle w:val="a0"/>
        <w:rPr>
          <w:rStyle w:val="afb"/>
          <w:rtl/>
        </w:rPr>
      </w:pPr>
      <w:r>
        <w:rPr>
          <w:rFonts w:hint="cs"/>
          <w:rtl/>
        </w:rPr>
        <w:t xml:space="preserve">אבל </w:t>
      </w:r>
      <w:r w:rsidRPr="00CC0C0C">
        <w:rPr>
          <w:rStyle w:val="af9"/>
          <w:rFonts w:hint="cs"/>
          <w:rtl/>
        </w:rPr>
        <w:t xml:space="preserve">העיטור </w:t>
      </w:r>
      <w:r w:rsidRPr="00CC0C0C">
        <w:rPr>
          <w:rStyle w:val="af7"/>
          <w:rFonts w:eastAsia="Guttman Hodes" w:hint="cs"/>
          <w:rtl/>
        </w:rPr>
        <w:t>(או' פ' פקדון דף עד ע"א, הועתק בקובץ שיטות קמאי ב"ק ח"א עמ' תשע"ו</w:t>
      </w:r>
      <w:r>
        <w:rPr>
          <w:rStyle w:val="af7"/>
          <w:rFonts w:eastAsia="Guttman Hodes" w:hint="cs"/>
          <w:rtl/>
        </w:rPr>
        <w:t xml:space="preserve">) </w:t>
      </w:r>
      <w:r>
        <w:rPr>
          <w:rFonts w:hint="cs"/>
          <w:rtl/>
        </w:rPr>
        <w:t xml:space="preserve">כתב דבכל דין מתוך שאינו יכול לישבע משלם שכנגדו נשבע ונוטל, </w:t>
      </w:r>
      <w:r w:rsidRPr="00B34C8F">
        <w:rPr>
          <w:rStyle w:val="afb"/>
          <w:rFonts w:hint="cs"/>
          <w:rtl/>
        </w:rPr>
        <w:t xml:space="preserve">[וכן הביא </w:t>
      </w:r>
      <w:r w:rsidRPr="00B34C8F">
        <w:rPr>
          <w:rStyle w:val="affa"/>
          <w:rFonts w:hint="cs"/>
          <w:rtl/>
        </w:rPr>
        <w:t>הרשב"א בשבועות</w:t>
      </w:r>
      <w:r w:rsidRPr="00B34C8F">
        <w:rPr>
          <w:rStyle w:val="afb"/>
          <w:rFonts w:hint="cs"/>
          <w:rtl/>
        </w:rPr>
        <w:t xml:space="preserve"> </w:t>
      </w:r>
      <w:r w:rsidRPr="00B34C8F">
        <w:rPr>
          <w:rStyle w:val="aff6"/>
          <w:rFonts w:hint="cs"/>
          <w:rtl/>
        </w:rPr>
        <w:t>(לב: ד"ה מהא)</w:t>
      </w:r>
      <w:r w:rsidRPr="00B34C8F">
        <w:rPr>
          <w:rStyle w:val="afb"/>
          <w:rFonts w:hint="cs"/>
          <w:rtl/>
        </w:rPr>
        <w:t xml:space="preserve"> בשם </w:t>
      </w:r>
      <w:r w:rsidRPr="00B34C8F">
        <w:rPr>
          <w:rStyle w:val="affa"/>
          <w:rFonts w:hint="cs"/>
          <w:rtl/>
        </w:rPr>
        <w:t>אחד מגדולי המחברים</w:t>
      </w:r>
      <w:r w:rsidRPr="00B34C8F">
        <w:rPr>
          <w:rStyle w:val="afb"/>
          <w:rFonts w:hint="cs"/>
          <w:rtl/>
        </w:rPr>
        <w:t>],</w:t>
      </w:r>
      <w:r>
        <w:rPr>
          <w:rFonts w:hint="cs"/>
          <w:rtl/>
        </w:rPr>
        <w:t xml:space="preserve"> וכן הביא</w:t>
      </w:r>
      <w:r w:rsidRPr="00CD44AF">
        <w:rPr>
          <w:rStyle w:val="af9"/>
          <w:rFonts w:hint="cs"/>
          <w:rtl/>
        </w:rPr>
        <w:t xml:space="preserve"> ה</w:t>
      </w:r>
      <w:r w:rsidRPr="007F5C42">
        <w:rPr>
          <w:rStyle w:val="af9"/>
          <w:rFonts w:hint="cs"/>
          <w:rtl/>
        </w:rPr>
        <w:t>ראב"ן</w:t>
      </w:r>
      <w:r>
        <w:rPr>
          <w:rFonts w:hint="cs"/>
          <w:rtl/>
        </w:rPr>
        <w:t xml:space="preserve"> </w:t>
      </w:r>
      <w:r w:rsidRPr="007D4A00">
        <w:rPr>
          <w:rStyle w:val="af7"/>
          <w:rFonts w:eastAsia="Guttman Hodes" w:hint="cs"/>
          <w:rtl/>
        </w:rPr>
        <w:t>(בתשו' בתחילת הספר סי' כ"ז ד"ה ראיתי</w:t>
      </w:r>
      <w:r>
        <w:rPr>
          <w:rStyle w:val="af7"/>
          <w:rFonts w:eastAsia="Guttman Hodes" w:hint="cs"/>
          <w:rtl/>
        </w:rPr>
        <w:t xml:space="preserve"> עמ</w:t>
      </w:r>
      <w:r>
        <w:rPr>
          <w:rStyle w:val="af7"/>
          <w:rFonts w:eastAsia="Guttman Hodes"/>
          <w:rtl/>
        </w:rPr>
        <w:t>'</w:t>
      </w:r>
      <w:r>
        <w:rPr>
          <w:rStyle w:val="af7"/>
          <w:rFonts w:eastAsia="Guttman Hodes" w:hint="cs"/>
          <w:rtl/>
        </w:rPr>
        <w:t xml:space="preserve"> </w:t>
      </w:r>
      <w:r w:rsidRPr="007D4A00">
        <w:rPr>
          <w:rStyle w:val="af7"/>
          <w:rFonts w:eastAsia="Guttman Hodes" w:hint="cs"/>
          <w:rtl/>
        </w:rPr>
        <w:t xml:space="preserve">כ"ד, </w:t>
      </w:r>
      <w:r>
        <w:rPr>
          <w:rStyle w:val="af7"/>
          <w:rFonts w:eastAsia="Guttman Hodes" w:hint="cs"/>
          <w:rtl/>
        </w:rPr>
        <w:t>מהדו</w:t>
      </w:r>
      <w:r>
        <w:rPr>
          <w:rStyle w:val="af7"/>
          <w:rFonts w:eastAsia="Guttman Hodes"/>
          <w:rtl/>
        </w:rPr>
        <w:t>'</w:t>
      </w:r>
      <w:r>
        <w:rPr>
          <w:rStyle w:val="af7"/>
          <w:rFonts w:eastAsia="Guttman Hodes" w:hint="cs"/>
          <w:rtl/>
        </w:rPr>
        <w:t xml:space="preserve"> חד</w:t>
      </w:r>
      <w:r>
        <w:rPr>
          <w:rStyle w:val="af7"/>
          <w:rFonts w:eastAsia="Guttman Hodes"/>
          <w:rtl/>
        </w:rPr>
        <w:t>'</w:t>
      </w:r>
      <w:r w:rsidRPr="007D4A00">
        <w:rPr>
          <w:rStyle w:val="af7"/>
          <w:rFonts w:eastAsia="Guttman Hodes" w:hint="cs"/>
          <w:rtl/>
        </w:rPr>
        <w:t xml:space="preserve"> ח"א עמ' צ"ח</w:t>
      </w:r>
      <w:r w:rsidRPr="00BA1DD1">
        <w:rPr>
          <w:rStyle w:val="af7"/>
          <w:rFonts w:eastAsia="Guttman Hodes" w:hint="cs"/>
          <w:rtl/>
        </w:rPr>
        <w:t>,</w:t>
      </w:r>
      <w:r w:rsidRPr="007E098A">
        <w:rPr>
          <w:rStyle w:val="af7"/>
          <w:rFonts w:eastAsia="Guttman Hodes" w:hint="cs"/>
          <w:rtl/>
        </w:rPr>
        <w:t xml:space="preserve"> הועתק בקובץ שיטות קמאי ב"ב ח"א עמ' </w:t>
      </w:r>
      <w:r w:rsidRPr="0007510E">
        <w:rPr>
          <w:rStyle w:val="af7"/>
          <w:rFonts w:eastAsia="Guttman Hodes"/>
          <w:rtl/>
        </w:rPr>
        <w:t>תתל"ט</w:t>
      </w:r>
      <w:r w:rsidRPr="007D4A00">
        <w:rPr>
          <w:rStyle w:val="af7"/>
          <w:rFonts w:eastAsia="Guttman Hodes" w:hint="cs"/>
          <w:rtl/>
        </w:rPr>
        <w:t>)</w:t>
      </w:r>
      <w:r>
        <w:rPr>
          <w:rFonts w:hint="cs"/>
          <w:rtl/>
        </w:rPr>
        <w:t xml:space="preserve"> בשם </w:t>
      </w:r>
      <w:r w:rsidRPr="00135169">
        <w:rPr>
          <w:rStyle w:val="af9"/>
          <w:rFonts w:hint="cs"/>
          <w:rtl/>
        </w:rPr>
        <w:t>חתנו רבי שמואל</w:t>
      </w:r>
      <w:r>
        <w:rPr>
          <w:rFonts w:hint="cs"/>
          <w:rtl/>
        </w:rPr>
        <w:t xml:space="preserve">, ועי' במה שביאר </w:t>
      </w:r>
      <w:r w:rsidRPr="00982F59">
        <w:rPr>
          <w:rStyle w:val="af9"/>
          <w:rFonts w:hint="cs"/>
          <w:rtl/>
        </w:rPr>
        <w:t>המרדכי</w:t>
      </w:r>
      <w:r>
        <w:rPr>
          <w:rFonts w:hint="cs"/>
          <w:rtl/>
        </w:rPr>
        <w:t xml:space="preserve"> </w:t>
      </w:r>
      <w:r w:rsidRPr="00982F59">
        <w:rPr>
          <w:rStyle w:val="af7"/>
          <w:rFonts w:eastAsia="Guttman Hodes" w:hint="cs"/>
          <w:rtl/>
        </w:rPr>
        <w:t xml:space="preserve">(עי' אות </w:t>
      </w:r>
      <w:r w:rsidRPr="00982F59">
        <w:rPr>
          <w:rStyle w:val="af7"/>
          <w:rFonts w:eastAsia="Guttman Hodes"/>
          <w:rtl/>
        </w:rPr>
        <w:fldChar w:fldCharType="begin"/>
      </w:r>
      <w:r w:rsidRPr="00982F59">
        <w:rPr>
          <w:rStyle w:val="af7"/>
          <w:rFonts w:eastAsia="Guttman Hodes"/>
          <w:rtl/>
        </w:rPr>
        <w:instrText xml:space="preserve"> </w:instrText>
      </w:r>
      <w:r w:rsidRPr="00982F59">
        <w:rPr>
          <w:rStyle w:val="af7"/>
          <w:rFonts w:eastAsia="Guttman Hodes" w:hint="cs"/>
        </w:rPr>
        <w:instrText>REF</w:instrText>
      </w:r>
      <w:r w:rsidRPr="00982F59">
        <w:rPr>
          <w:rStyle w:val="af7"/>
          <w:rFonts w:eastAsia="Guttman Hodes" w:hint="cs"/>
          <w:rtl/>
        </w:rPr>
        <w:instrText xml:space="preserve"> _</w:instrText>
      </w:r>
      <w:r w:rsidRPr="00982F59">
        <w:rPr>
          <w:rStyle w:val="af7"/>
          <w:rFonts w:eastAsia="Guttman Hodes" w:hint="cs"/>
        </w:rPr>
        <w:instrText>Ref65662014 \r \h</w:instrText>
      </w:r>
      <w:r w:rsidRPr="00982F59">
        <w:rPr>
          <w:rStyle w:val="af7"/>
          <w:rFonts w:eastAsia="Guttman Hodes"/>
          <w:rtl/>
        </w:rPr>
        <w:instrText xml:space="preserve"> </w:instrText>
      </w:r>
      <w:r w:rsidRPr="00982F59">
        <w:rPr>
          <w:rStyle w:val="af7"/>
          <w:rFonts w:eastAsia="Guttman Hodes"/>
          <w:rtl/>
        </w:rPr>
      </w:r>
      <w:r w:rsidRPr="00982F59">
        <w:rPr>
          <w:rStyle w:val="af7"/>
          <w:rFonts w:eastAsia="Guttman Hodes"/>
          <w:rtl/>
        </w:rPr>
        <w:fldChar w:fldCharType="separate"/>
      </w:r>
      <w:r w:rsidR="00265073">
        <w:rPr>
          <w:rStyle w:val="af7"/>
          <w:rFonts w:eastAsia="Guttman Hodes"/>
          <w:cs/>
        </w:rPr>
        <w:t>‎</w:t>
      </w:r>
      <w:r w:rsidR="00265073">
        <w:rPr>
          <w:rStyle w:val="af7"/>
          <w:rFonts w:eastAsia="Guttman Hodes"/>
          <w:rtl/>
        </w:rPr>
        <w:t>מד)</w:t>
      </w:r>
      <w:r w:rsidRPr="00982F59">
        <w:rPr>
          <w:rStyle w:val="af7"/>
          <w:rFonts w:eastAsia="Guttman Hodes"/>
          <w:rtl/>
        </w:rPr>
        <w:fldChar w:fldCharType="end"/>
      </w:r>
      <w:r>
        <w:rPr>
          <w:rFonts w:hint="cs"/>
          <w:rtl/>
        </w:rPr>
        <w:t xml:space="preserve"> בשם </w:t>
      </w:r>
      <w:r w:rsidRPr="00982F59">
        <w:rPr>
          <w:rStyle w:val="af9"/>
          <w:rFonts w:hint="cs"/>
          <w:rtl/>
        </w:rPr>
        <w:t>הראב"ן</w:t>
      </w:r>
      <w:r>
        <w:rPr>
          <w:rFonts w:hint="cs"/>
          <w:rtl/>
        </w:rPr>
        <w:t xml:space="preserve"> דאין שכנגדו צריך להשבע. </w:t>
      </w:r>
      <w:bookmarkEnd w:id="16765"/>
      <w:r w:rsidRPr="005A1131">
        <w:rPr>
          <w:rStyle w:val="afb"/>
          <w:rFonts w:hint="cs"/>
          <w:rtl/>
        </w:rPr>
        <w:t xml:space="preserve">[וכל אריכות דברי </w:t>
      </w:r>
      <w:r w:rsidRPr="005A1131">
        <w:rPr>
          <w:rStyle w:val="affa"/>
          <w:rFonts w:hint="cs"/>
          <w:rtl/>
        </w:rPr>
        <w:t>הראב"ן</w:t>
      </w:r>
      <w:r w:rsidRPr="005A1131">
        <w:rPr>
          <w:rStyle w:val="afb"/>
          <w:rFonts w:hint="cs"/>
          <w:rtl/>
        </w:rPr>
        <w:t xml:space="preserve"> </w:t>
      </w:r>
      <w:r>
        <w:rPr>
          <w:rStyle w:val="afb"/>
          <w:rFonts w:hint="cs"/>
          <w:rtl/>
        </w:rPr>
        <w:t xml:space="preserve">בסוגיין </w:t>
      </w:r>
      <w:r w:rsidRPr="005A1131">
        <w:rPr>
          <w:rStyle w:val="afb"/>
          <w:rFonts w:hint="cs"/>
          <w:rtl/>
        </w:rPr>
        <w:t>היא לדחות שיטה זו].</w:t>
      </w:r>
    </w:p>
    <w:p w:rsidR="000F5507" w:rsidRDefault="000F5507" w:rsidP="000F5507">
      <w:pPr>
        <w:pStyle w:val="afe"/>
        <w:rPr>
          <w:rtl/>
        </w:rPr>
      </w:pPr>
      <w:bookmarkStart w:id="16772" w:name="_Toc64925407"/>
      <w:bookmarkStart w:id="16773" w:name="_Toc65141960"/>
      <w:bookmarkStart w:id="16774" w:name="_Toc65185653"/>
      <w:bookmarkStart w:id="16775" w:name="_Toc65529995"/>
      <w:bookmarkStart w:id="16776" w:name="_Toc65604040"/>
      <w:bookmarkStart w:id="16777" w:name="_Toc65605930"/>
      <w:bookmarkStart w:id="16778" w:name="_Toc65617187"/>
      <w:bookmarkStart w:id="16779" w:name="_Toc65666167"/>
      <w:bookmarkStart w:id="16780" w:name="_Toc65689828"/>
      <w:bookmarkStart w:id="16781" w:name="_Toc65703385"/>
      <w:bookmarkStart w:id="16782" w:name="_Toc65714053"/>
      <w:bookmarkStart w:id="16783" w:name="_Toc65714909"/>
      <w:bookmarkEnd w:id="16748"/>
      <w:bookmarkEnd w:id="16749"/>
      <w:bookmarkEnd w:id="16750"/>
      <w:bookmarkEnd w:id="16751"/>
      <w:bookmarkEnd w:id="16752"/>
      <w:bookmarkEnd w:id="16753"/>
      <w:r>
        <w:rPr>
          <w:rFonts w:hint="cs"/>
          <w:rtl/>
        </w:rPr>
        <w:t>ד' ר"ח</w:t>
      </w:r>
      <w:bookmarkEnd w:id="16772"/>
      <w:bookmarkEnd w:id="16773"/>
      <w:bookmarkEnd w:id="16774"/>
      <w:bookmarkEnd w:id="16775"/>
      <w:bookmarkEnd w:id="16776"/>
      <w:bookmarkEnd w:id="16777"/>
      <w:bookmarkEnd w:id="16778"/>
      <w:bookmarkEnd w:id="16779"/>
      <w:bookmarkEnd w:id="16780"/>
      <w:r>
        <w:rPr>
          <w:rFonts w:hint="cs"/>
          <w:rtl/>
        </w:rPr>
        <w:t xml:space="preserve"> דמחוייב שבועה דבתחילה הכחיש</w:t>
      </w:r>
      <w:bookmarkEnd w:id="16781"/>
      <w:bookmarkEnd w:id="16782"/>
      <w:bookmarkEnd w:id="16783"/>
    </w:p>
    <w:p w:rsidR="000F5507" w:rsidRPr="00D13DDC" w:rsidRDefault="000F5507" w:rsidP="000F5507">
      <w:pPr>
        <w:pStyle w:val="a3"/>
        <w:rPr>
          <w:rtl/>
        </w:rPr>
      </w:pPr>
      <w:bookmarkStart w:id="16784" w:name="_Toc65703386"/>
      <w:bookmarkStart w:id="16785" w:name="_Toc65714054"/>
      <w:bookmarkStart w:id="16786" w:name="_Toc65714910"/>
      <w:r>
        <w:rPr>
          <w:rFonts w:hint="cs"/>
          <w:rtl/>
        </w:rPr>
        <w:t>דברי ר"ח דבתחילה הכחיש את וטען לא חטפי ואחר שבא הע"א חזר וטען אין חטפי ודידי חטפי</w:t>
      </w:r>
      <w:bookmarkEnd w:id="16784"/>
      <w:bookmarkEnd w:id="16785"/>
      <w:bookmarkEnd w:id="16786"/>
    </w:p>
    <w:p w:rsidR="000F5507" w:rsidRDefault="000F5507" w:rsidP="007E4E81">
      <w:pPr>
        <w:pStyle w:val="a0"/>
        <w:rPr>
          <w:rtl/>
        </w:rPr>
      </w:pPr>
      <w:bookmarkStart w:id="16787" w:name="_Ref65192570"/>
      <w:r>
        <w:rPr>
          <w:rFonts w:hint="cs"/>
          <w:rtl/>
        </w:rPr>
        <w:t xml:space="preserve">כתב </w:t>
      </w:r>
      <w:r w:rsidRPr="007E098A">
        <w:rPr>
          <w:rStyle w:val="af9"/>
          <w:rFonts w:hint="cs"/>
          <w:rtl/>
        </w:rPr>
        <w:t>רבינו חננאל</w:t>
      </w:r>
      <w:r>
        <w:rPr>
          <w:rFonts w:hint="cs"/>
          <w:rtl/>
        </w:rPr>
        <w:t xml:space="preserve"> </w:t>
      </w:r>
      <w:r w:rsidRPr="007E098A">
        <w:rPr>
          <w:rStyle w:val="af7"/>
          <w:rFonts w:eastAsia="Guttman Hodes" w:hint="cs"/>
          <w:rtl/>
        </w:rPr>
        <w:t xml:space="preserve">(ד"ה פירוש ההוא, הועתק בקובץ שיטות קמאי ב"ב ח"א עמ' </w:t>
      </w:r>
      <w:r w:rsidRPr="007E098A">
        <w:rPr>
          <w:rStyle w:val="af7"/>
          <w:rFonts w:eastAsia="Guttman Hodes"/>
          <w:rtl/>
        </w:rPr>
        <w:t>תתכ</w:t>
      </w:r>
      <w:r w:rsidRPr="007E098A">
        <w:rPr>
          <w:rStyle w:val="af7"/>
          <w:rFonts w:eastAsia="Guttman Hodes" w:hint="cs"/>
          <w:rtl/>
        </w:rPr>
        <w:t>"</w:t>
      </w:r>
      <w:r w:rsidRPr="007E098A">
        <w:rPr>
          <w:rStyle w:val="af7"/>
          <w:rFonts w:eastAsia="Guttman Hodes"/>
          <w:rtl/>
        </w:rPr>
        <w:t>ז</w:t>
      </w:r>
      <w:r w:rsidRPr="007E098A">
        <w:rPr>
          <w:rStyle w:val="af7"/>
          <w:rFonts w:eastAsia="Guttman Hodes" w:hint="cs"/>
          <w:rtl/>
        </w:rPr>
        <w:t>)</w:t>
      </w:r>
      <w:r>
        <w:rPr>
          <w:rFonts w:hint="cs"/>
          <w:rtl/>
        </w:rPr>
        <w:t xml:space="preserve"> דבנסכא דר"א איירי שבתחילה טען לחוטף שיחזיר לו את הנסכא, וכפר בו החוטף, ואמר לא חטפתי, ואח"כ הביא ע"א שחטף ממנו, וחייבו רב אמי שבועה להכחיש את העד שישבע שלא חטף ממנו, ואחר שהתחייב שבועה, חזר בו החוטף וטען אין חטפי ודידי חטפי, ובזה הסתפק רב אמי היכי לידיינוה דייני להאי דינא וכו', וא"ל רבי אבא דכיון שהחוטף התחייב שבועה ע"י הע"א,</w:t>
      </w:r>
      <w:r w:rsidRPr="00F41476">
        <w:rPr>
          <w:rStyle w:val="afb"/>
          <w:rFonts w:hint="cs"/>
          <w:rtl/>
        </w:rPr>
        <w:t xml:space="preserve"> [דהיינו שבתחילה שכפר בו התחייב שבועה], </w:t>
      </w:r>
      <w:r>
        <w:rPr>
          <w:rFonts w:hint="cs"/>
          <w:rtl/>
        </w:rPr>
        <w:t xml:space="preserve">ואינו יכול להשבע כיון שחזר והודה שחטף, א"כ אינו יכול להשבע את השבועה שחייב בה מדאו', וכיון שהוא דוחה את החיוב שבועה דאו', הוא מתחייב לשלם, ועי' במה שביאר </w:t>
      </w:r>
      <w:r w:rsidRPr="00434A10">
        <w:rPr>
          <w:rStyle w:val="af9"/>
          <w:rFonts w:hint="cs"/>
          <w:rtl/>
        </w:rPr>
        <w:t>בפסקי</w:t>
      </w:r>
      <w:r>
        <w:rPr>
          <w:rFonts w:hint="cs"/>
          <w:rtl/>
        </w:rPr>
        <w:t xml:space="preserve"> </w:t>
      </w:r>
      <w:r w:rsidRPr="00434A10">
        <w:rPr>
          <w:rStyle w:val="af9"/>
          <w:rFonts w:hint="cs"/>
          <w:rtl/>
        </w:rPr>
        <w:t>הרי"ד</w:t>
      </w:r>
      <w:r>
        <w:rPr>
          <w:rFonts w:hint="cs"/>
          <w:rtl/>
        </w:rPr>
        <w:t xml:space="preserve"> (עי' אות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Ref65701732 \r \h</w:instrText>
      </w:r>
      <w:r>
        <w:rPr>
          <w:rtl/>
        </w:rPr>
        <w:instrText xml:space="preserve"> </w:instrText>
      </w:r>
      <w:r>
        <w:rPr>
          <w:rtl/>
        </w:rPr>
      </w:r>
      <w:r>
        <w:rPr>
          <w:rtl/>
        </w:rPr>
        <w:fldChar w:fldCharType="separate"/>
      </w:r>
      <w:r w:rsidR="00265073">
        <w:rPr>
          <w:cs/>
        </w:rPr>
        <w:t>‎</w:t>
      </w:r>
      <w:r w:rsidR="00265073">
        <w:rPr>
          <w:rtl/>
        </w:rPr>
        <w:t>סז)</w:t>
      </w:r>
      <w:r>
        <w:rPr>
          <w:rtl/>
        </w:rPr>
        <w:fldChar w:fldCharType="end"/>
      </w:r>
      <w:r>
        <w:rPr>
          <w:rFonts w:hint="cs"/>
          <w:rtl/>
        </w:rPr>
        <w:t xml:space="preserve"> בדברי </w:t>
      </w:r>
      <w:r w:rsidRPr="00434A10">
        <w:rPr>
          <w:rStyle w:val="af9"/>
          <w:rFonts w:hint="cs"/>
          <w:rtl/>
        </w:rPr>
        <w:t>ר"ח</w:t>
      </w:r>
      <w:r>
        <w:rPr>
          <w:rFonts w:hint="cs"/>
          <w:rtl/>
        </w:rPr>
        <w:t>.</w:t>
      </w:r>
      <w:bookmarkEnd w:id="16787"/>
      <w:r w:rsidRPr="00AF6AE5">
        <w:rPr>
          <w:rStyle w:val="afb"/>
          <w:rFonts w:hint="cs"/>
          <w:rtl/>
        </w:rPr>
        <w:t xml:space="preserve"> [וכן משמע קצת בדברי </w:t>
      </w:r>
      <w:r w:rsidRPr="00AF6AE5">
        <w:rPr>
          <w:rStyle w:val="affa"/>
          <w:rFonts w:hint="cs"/>
          <w:rtl/>
        </w:rPr>
        <w:t>הראב"ן</w:t>
      </w:r>
      <w:r w:rsidRPr="00AF6AE5">
        <w:rPr>
          <w:rStyle w:val="afb"/>
          <w:rFonts w:hint="cs"/>
          <w:rtl/>
        </w:rPr>
        <w:t xml:space="preserve"> </w:t>
      </w:r>
      <w:r w:rsidRPr="00AF6AE5">
        <w:rPr>
          <w:rStyle w:val="aff6"/>
          <w:rFonts w:hint="cs"/>
          <w:rtl/>
        </w:rPr>
        <w:t xml:space="preserve">(עי' אות </w:t>
      </w:r>
      <w:r w:rsidRPr="00AF6AE5">
        <w:rPr>
          <w:rStyle w:val="aff6"/>
          <w:rtl/>
        </w:rPr>
        <w:fldChar w:fldCharType="begin"/>
      </w:r>
      <w:r w:rsidRPr="00AF6AE5">
        <w:rPr>
          <w:rStyle w:val="aff6"/>
          <w:rtl/>
        </w:rPr>
        <w:instrText xml:space="preserve"> </w:instrText>
      </w:r>
      <w:r w:rsidRPr="00AF6AE5">
        <w:rPr>
          <w:rStyle w:val="aff6"/>
          <w:rFonts w:hint="cs"/>
        </w:rPr>
        <w:instrText>REF</w:instrText>
      </w:r>
      <w:r w:rsidRPr="00AF6AE5">
        <w:rPr>
          <w:rStyle w:val="aff6"/>
          <w:rFonts w:hint="cs"/>
          <w:rtl/>
        </w:rPr>
        <w:instrText xml:space="preserve"> _</w:instrText>
      </w:r>
      <w:r w:rsidRPr="00AF6AE5">
        <w:rPr>
          <w:rStyle w:val="aff6"/>
          <w:rFonts w:hint="cs"/>
        </w:rPr>
        <w:instrText>Ref65701400 \r \h</w:instrText>
      </w:r>
      <w:r w:rsidRPr="00AF6AE5">
        <w:rPr>
          <w:rStyle w:val="aff6"/>
          <w:rtl/>
        </w:rPr>
        <w:instrText xml:space="preserve"> </w:instrText>
      </w:r>
      <w:r w:rsidRPr="00AF6AE5">
        <w:rPr>
          <w:rStyle w:val="aff6"/>
          <w:rtl/>
        </w:rPr>
      </w:r>
      <w:r w:rsidRPr="00AF6AE5">
        <w:rPr>
          <w:rStyle w:val="aff6"/>
          <w:rtl/>
        </w:rPr>
        <w:fldChar w:fldCharType="separate"/>
      </w:r>
      <w:r w:rsidR="00265073">
        <w:rPr>
          <w:rStyle w:val="aff6"/>
          <w:cs/>
        </w:rPr>
        <w:t>‎</w:t>
      </w:r>
      <w:r w:rsidR="00265073">
        <w:rPr>
          <w:rStyle w:val="aff6"/>
          <w:rtl/>
        </w:rPr>
        <w:t>לה)</w:t>
      </w:r>
      <w:r w:rsidRPr="00AF6AE5">
        <w:rPr>
          <w:rStyle w:val="aff6"/>
          <w:rtl/>
        </w:rPr>
        <w:fldChar w:fldCharType="end"/>
      </w:r>
      <w:r>
        <w:rPr>
          <w:rStyle w:val="afb"/>
          <w:rFonts w:hint="cs"/>
          <w:rtl/>
        </w:rPr>
        <w:t xml:space="preserve"> דכתב ד</w:t>
      </w:r>
      <w:r w:rsidRPr="00AF6AE5">
        <w:rPr>
          <w:rStyle w:val="afb"/>
          <w:rtl/>
        </w:rPr>
        <w:t xml:space="preserve">הודאתו </w:t>
      </w:r>
      <w:r>
        <w:rPr>
          <w:rStyle w:val="afb"/>
          <w:rFonts w:hint="cs"/>
          <w:rtl/>
        </w:rPr>
        <w:t xml:space="preserve">דדידי חטפי </w:t>
      </w:r>
      <w:r w:rsidRPr="00AF6AE5">
        <w:rPr>
          <w:rStyle w:val="afb"/>
          <w:rtl/>
        </w:rPr>
        <w:t>היא ע"י עדות הע</w:t>
      </w:r>
      <w:r>
        <w:rPr>
          <w:rStyle w:val="afb"/>
          <w:rFonts w:hint="cs"/>
          <w:rtl/>
        </w:rPr>
        <w:t>ד</w:t>
      </w:r>
      <w:r w:rsidRPr="00AF6AE5">
        <w:rPr>
          <w:rStyle w:val="afb"/>
          <w:rFonts w:hint="cs"/>
          <w:rtl/>
        </w:rPr>
        <w:t>].</w:t>
      </w:r>
    </w:p>
    <w:p w:rsidR="000F5507" w:rsidRPr="00D13DDC" w:rsidRDefault="000F5507" w:rsidP="000F5507">
      <w:pPr>
        <w:pStyle w:val="a3"/>
      </w:pPr>
      <w:bookmarkStart w:id="16788" w:name="_Toc65703387"/>
      <w:bookmarkStart w:id="16789" w:name="_Toc65714055"/>
      <w:bookmarkStart w:id="16790" w:name="_Toc65714911"/>
      <w:r>
        <w:rPr>
          <w:rFonts w:hint="cs"/>
          <w:rtl/>
        </w:rPr>
        <w:t>משמעות רבינו גרשום מכת"י דהא דאינו נאמן בטענת דידי חטפי כיון שטען כן אחר עדות הע"א</w:t>
      </w:r>
      <w:bookmarkEnd w:id="16788"/>
      <w:bookmarkEnd w:id="16789"/>
      <w:bookmarkEnd w:id="16790"/>
    </w:p>
    <w:p w:rsidR="000F5507" w:rsidRPr="00AF6AE5" w:rsidRDefault="000F5507" w:rsidP="007E4E81">
      <w:pPr>
        <w:pStyle w:val="a0"/>
        <w:rPr>
          <w:rStyle w:val="afb"/>
          <w:rtl/>
        </w:rPr>
      </w:pPr>
      <w:r>
        <w:rPr>
          <w:rFonts w:hint="cs"/>
          <w:rtl/>
        </w:rPr>
        <w:t xml:space="preserve">וכן משמע </w:t>
      </w:r>
      <w:r w:rsidRPr="00F41476">
        <w:rPr>
          <w:rStyle w:val="af9"/>
          <w:rFonts w:hint="cs"/>
          <w:rtl/>
        </w:rPr>
        <w:t>בפירוש רבינו גרשום השלם מכת"י</w:t>
      </w:r>
      <w:r>
        <w:rPr>
          <w:rFonts w:hint="cs"/>
          <w:rtl/>
        </w:rPr>
        <w:t xml:space="preserve"> </w:t>
      </w:r>
      <w:r w:rsidRPr="00F41476">
        <w:rPr>
          <w:rStyle w:val="af7"/>
          <w:rFonts w:eastAsia="Guttman Hodes" w:hint="cs"/>
          <w:rtl/>
        </w:rPr>
        <w:t>(ד"ה ליכא)</w:t>
      </w:r>
      <w:r>
        <w:rPr>
          <w:rFonts w:hint="cs"/>
          <w:rtl/>
        </w:rPr>
        <w:t xml:space="preserve"> דכתב דהא דטוען דידי חטפי אינו כלום, כיון שטען כן לאחר שבא הע"א והעיד שחטף, ולכן אינו נאמן. </w:t>
      </w:r>
    </w:p>
    <w:p w:rsidR="000F5507" w:rsidRPr="00D13DDC" w:rsidRDefault="000F5507" w:rsidP="000F5507">
      <w:pPr>
        <w:pStyle w:val="a3"/>
        <w:rPr>
          <w:rtl/>
        </w:rPr>
      </w:pPr>
      <w:bookmarkStart w:id="16791" w:name="_Toc65703388"/>
      <w:bookmarkStart w:id="16792" w:name="_Toc65714056"/>
      <w:bookmarkStart w:id="16793" w:name="_Toc65714912"/>
      <w:r>
        <w:rPr>
          <w:rFonts w:hint="cs"/>
          <w:rtl/>
        </w:rPr>
        <w:t>ביאור הרי"ד בשבועות דאינו נאמן בשבועה דדידי חטפי כיון שהכחיש וחשיב שהודה שאינה שלו</w:t>
      </w:r>
      <w:bookmarkEnd w:id="16791"/>
      <w:bookmarkEnd w:id="16792"/>
      <w:bookmarkEnd w:id="16793"/>
    </w:p>
    <w:p w:rsidR="000F5507" w:rsidRDefault="000F5507" w:rsidP="007E4E81">
      <w:pPr>
        <w:pStyle w:val="a0"/>
        <w:rPr>
          <w:rtl/>
        </w:rPr>
      </w:pPr>
      <w:bookmarkStart w:id="16794" w:name="_Ref65701732"/>
      <w:bookmarkStart w:id="16795" w:name="_Ref65192303"/>
      <w:r>
        <w:rPr>
          <w:rFonts w:hint="cs"/>
          <w:rtl/>
        </w:rPr>
        <w:t xml:space="preserve">וכ"כ </w:t>
      </w:r>
      <w:r>
        <w:rPr>
          <w:rStyle w:val="af9"/>
          <w:rFonts w:hint="cs"/>
          <w:rtl/>
        </w:rPr>
        <w:t>ב</w:t>
      </w:r>
      <w:r w:rsidRPr="00465DC9">
        <w:rPr>
          <w:rStyle w:val="af9"/>
          <w:rFonts w:hint="cs"/>
          <w:rtl/>
        </w:rPr>
        <w:t>פסקי הרי"ד בשבועות</w:t>
      </w:r>
      <w:r>
        <w:rPr>
          <w:rFonts w:hint="cs"/>
          <w:rtl/>
        </w:rPr>
        <w:t xml:space="preserve"> </w:t>
      </w:r>
      <w:r w:rsidRPr="00701FEC">
        <w:rPr>
          <w:rStyle w:val="af9"/>
          <w:rFonts w:hint="cs"/>
          <w:rtl/>
        </w:rPr>
        <w:t xml:space="preserve">בבי' הא' </w:t>
      </w:r>
      <w:r w:rsidRPr="00701FEC">
        <w:rPr>
          <w:rStyle w:val="af7"/>
          <w:rFonts w:eastAsia="Guttman Hodes" w:hint="cs"/>
          <w:rtl/>
        </w:rPr>
        <w:t>(לב: ד"ה ונראה לי, הועתק בקובץ שיטות קמאי שבועות עמ' ש"ה)</w:t>
      </w:r>
      <w:r>
        <w:rPr>
          <w:rFonts w:hint="cs"/>
          <w:rtl/>
        </w:rPr>
        <w:t xml:space="preserve"> דבסוגיין איירי שבתחילה טען לא חטפי, ואחר שהעיד העד שחטף, חזר וטען אין חטפי ודידי חטפי, ולכן אינו נאמן בשבועה דדידיה חטף, דהא בתחילה הודה שהנסכא אינה שלו, ולכן כשחוזר וטוען אין חטפי ודידי חטפי אינו נאמן, והביא </w:t>
      </w:r>
      <w:r w:rsidRPr="003F029E">
        <w:rPr>
          <w:rStyle w:val="af9"/>
          <w:rFonts w:hint="cs"/>
          <w:rtl/>
        </w:rPr>
        <w:t>הפסקי הרי"ד</w:t>
      </w:r>
      <w:r>
        <w:rPr>
          <w:rFonts w:hint="cs"/>
          <w:rtl/>
        </w:rPr>
        <w:t xml:space="preserve"> דכן מבואר בדברי </w:t>
      </w:r>
      <w:r w:rsidRPr="00465DC9">
        <w:rPr>
          <w:rStyle w:val="af9"/>
          <w:rFonts w:hint="cs"/>
          <w:rtl/>
        </w:rPr>
        <w:t>ר"ח בסוגיין</w:t>
      </w:r>
      <w:r>
        <w:rPr>
          <w:rFonts w:hint="cs"/>
          <w:rtl/>
        </w:rPr>
        <w:t xml:space="preserve"> </w:t>
      </w:r>
      <w:r w:rsidRPr="0038059F">
        <w:rPr>
          <w:rStyle w:val="af7"/>
          <w:rFonts w:eastAsia="Guttman Hodes" w:hint="cs"/>
          <w:rtl/>
        </w:rPr>
        <w:t xml:space="preserve">(עי' אות </w:t>
      </w:r>
      <w:r w:rsidRPr="0038059F">
        <w:rPr>
          <w:rStyle w:val="af7"/>
          <w:rFonts w:eastAsia="Guttman Hodes"/>
          <w:rtl/>
        </w:rPr>
        <w:fldChar w:fldCharType="begin"/>
      </w:r>
      <w:r w:rsidRPr="0038059F">
        <w:rPr>
          <w:rStyle w:val="af7"/>
          <w:rFonts w:eastAsia="Guttman Hodes"/>
          <w:rtl/>
        </w:rPr>
        <w:instrText xml:space="preserve"> </w:instrText>
      </w:r>
      <w:r w:rsidRPr="0038059F">
        <w:rPr>
          <w:rStyle w:val="af7"/>
          <w:rFonts w:eastAsia="Guttman Hodes" w:hint="cs"/>
        </w:rPr>
        <w:instrText>REF</w:instrText>
      </w:r>
      <w:r w:rsidRPr="0038059F">
        <w:rPr>
          <w:rStyle w:val="af7"/>
          <w:rFonts w:eastAsia="Guttman Hodes" w:hint="cs"/>
          <w:rtl/>
        </w:rPr>
        <w:instrText xml:space="preserve"> _</w:instrText>
      </w:r>
      <w:r w:rsidRPr="0038059F">
        <w:rPr>
          <w:rStyle w:val="af7"/>
          <w:rFonts w:eastAsia="Guttman Hodes" w:hint="cs"/>
        </w:rPr>
        <w:instrText>Ref65192570 \r \h</w:instrText>
      </w:r>
      <w:r w:rsidRPr="0038059F">
        <w:rPr>
          <w:rStyle w:val="af7"/>
          <w:rFonts w:eastAsia="Guttman Hodes"/>
          <w:rtl/>
        </w:rPr>
        <w:instrText xml:space="preserve"> </w:instrText>
      </w:r>
      <w:r w:rsidRPr="0038059F">
        <w:rPr>
          <w:rStyle w:val="af7"/>
          <w:rFonts w:eastAsia="Guttman Hodes"/>
          <w:rtl/>
        </w:rPr>
      </w:r>
      <w:r w:rsidRPr="0038059F">
        <w:rPr>
          <w:rStyle w:val="af7"/>
          <w:rFonts w:eastAsia="Guttman Hodes"/>
          <w:rtl/>
        </w:rPr>
        <w:fldChar w:fldCharType="separate"/>
      </w:r>
      <w:r w:rsidR="00265073">
        <w:rPr>
          <w:rStyle w:val="af7"/>
          <w:rFonts w:eastAsia="Guttman Hodes"/>
          <w:cs/>
        </w:rPr>
        <w:t>‎</w:t>
      </w:r>
      <w:r w:rsidR="00265073">
        <w:rPr>
          <w:rStyle w:val="af7"/>
          <w:rFonts w:eastAsia="Guttman Hodes"/>
          <w:rtl/>
        </w:rPr>
        <w:t>סה)</w:t>
      </w:r>
      <w:r w:rsidRPr="0038059F">
        <w:rPr>
          <w:rStyle w:val="af7"/>
          <w:rFonts w:eastAsia="Guttman Hodes"/>
          <w:rtl/>
        </w:rPr>
        <w:fldChar w:fldCharType="end"/>
      </w:r>
      <w:r>
        <w:rPr>
          <w:rFonts w:hint="cs"/>
          <w:rtl/>
        </w:rPr>
        <w:t xml:space="preserve"> דבתחילה טען לא חטפי, ואחר שבא ע"א שחטף חזר וטען אין חטפי ודידי חטפי.</w:t>
      </w:r>
      <w:bookmarkEnd w:id="16794"/>
    </w:p>
    <w:p w:rsidR="000F5507" w:rsidRPr="00103A68" w:rsidRDefault="000F5507" w:rsidP="000F5507">
      <w:pPr>
        <w:pStyle w:val="a3"/>
        <w:rPr>
          <w:rtl/>
        </w:rPr>
      </w:pPr>
    </w:p>
    <w:p w:rsidR="000F5507" w:rsidRPr="00103A68" w:rsidRDefault="000F5507" w:rsidP="000F5507">
      <w:pPr>
        <w:pStyle w:val="a3"/>
        <w:rPr>
          <w:rtl/>
        </w:rPr>
      </w:pPr>
    </w:p>
    <w:p w:rsidR="000F5507" w:rsidRPr="00103A68" w:rsidRDefault="000F5507" w:rsidP="000F5507">
      <w:pPr>
        <w:pStyle w:val="a3"/>
        <w:rPr>
          <w:rtl/>
        </w:rPr>
      </w:pPr>
    </w:p>
    <w:p w:rsidR="000F5507" w:rsidRPr="00103A68" w:rsidRDefault="000F5507" w:rsidP="000F5507">
      <w:pPr>
        <w:pStyle w:val="a3"/>
        <w:rPr>
          <w:rtl/>
        </w:rPr>
      </w:pPr>
    </w:p>
    <w:p w:rsidR="000F5507" w:rsidRPr="00EF01E2" w:rsidRDefault="000F5507" w:rsidP="000F5507">
      <w:pPr>
        <w:pStyle w:val="a3"/>
      </w:pPr>
      <w:bookmarkStart w:id="16796" w:name="_Toc65703389"/>
      <w:bookmarkStart w:id="16797" w:name="_Toc65714057"/>
      <w:bookmarkStart w:id="16798" w:name="_Toc65714913"/>
      <w:r>
        <w:rPr>
          <w:rFonts w:hint="cs"/>
          <w:rtl/>
        </w:rPr>
        <w:lastRenderedPageBreak/>
        <w:t>בי' הרי"ד דבהכחיש לא נאמן לחזור ולומר דידי חטפי וכהאומר לא לויתי כאומר לא פרעתי דמי</w:t>
      </w:r>
      <w:bookmarkEnd w:id="16796"/>
      <w:bookmarkEnd w:id="16797"/>
      <w:bookmarkEnd w:id="16798"/>
    </w:p>
    <w:p w:rsidR="000F5507" w:rsidRDefault="000F5507" w:rsidP="007E4E81">
      <w:pPr>
        <w:pStyle w:val="a0"/>
        <w:rPr>
          <w:rtl/>
        </w:rPr>
      </w:pPr>
      <w:r>
        <w:rPr>
          <w:rFonts w:hint="cs"/>
          <w:rtl/>
        </w:rPr>
        <w:t xml:space="preserve">וביאר </w:t>
      </w:r>
      <w:r>
        <w:rPr>
          <w:rStyle w:val="af9"/>
          <w:rFonts w:hint="cs"/>
          <w:rtl/>
        </w:rPr>
        <w:t>ב</w:t>
      </w:r>
      <w:r w:rsidRPr="00465DC9">
        <w:rPr>
          <w:rStyle w:val="af9"/>
          <w:rFonts w:hint="cs"/>
          <w:rtl/>
        </w:rPr>
        <w:t xml:space="preserve">פסקי הרי"ד </w:t>
      </w:r>
      <w:r>
        <w:rPr>
          <w:rFonts w:hint="cs"/>
          <w:rtl/>
        </w:rPr>
        <w:t>דכשאמר לא חטפי חשיב שהודה שאינה שלו, כמו שמצינו דהטוען</w:t>
      </w:r>
      <w:r w:rsidRPr="00097F95">
        <w:rPr>
          <w:rFonts w:hint="cs"/>
          <w:rtl/>
        </w:rPr>
        <w:t xml:space="preserve"> שלא לוה, ובאו עדים שלוה דאינו נאמן לטעון פרעתי, דהאומר לא לויתי כאומר לא פרעתי דמי</w:t>
      </w:r>
      <w:r>
        <w:rPr>
          <w:rStyle w:val="af1"/>
          <w:rtl/>
        </w:rPr>
        <w:footnoteReference w:id="116"/>
      </w:r>
      <w:r>
        <w:rPr>
          <w:rFonts w:hint="cs"/>
          <w:rtl/>
        </w:rPr>
        <w:t>.</w:t>
      </w:r>
      <w:bookmarkEnd w:id="16795"/>
    </w:p>
    <w:p w:rsidR="000F5507" w:rsidRPr="00D13DDC" w:rsidRDefault="000F5507" w:rsidP="000F5507">
      <w:pPr>
        <w:pStyle w:val="a3"/>
        <w:rPr>
          <w:rtl/>
        </w:rPr>
      </w:pPr>
      <w:bookmarkStart w:id="16799" w:name="_Toc65703390"/>
      <w:bookmarkStart w:id="16800" w:name="_Toc65714058"/>
      <w:bookmarkStart w:id="16801" w:name="_Toc65714914"/>
      <w:r>
        <w:rPr>
          <w:rFonts w:hint="cs"/>
          <w:rtl/>
        </w:rPr>
        <w:t>דחיית הרי"ד דאי הכחיש בתחילה חייב לשלם ולא שייך דין משאיל"מ כלל</w:t>
      </w:r>
      <w:bookmarkEnd w:id="16799"/>
      <w:bookmarkEnd w:id="16800"/>
      <w:bookmarkEnd w:id="16801"/>
    </w:p>
    <w:p w:rsidR="000F5507" w:rsidRDefault="000F5507" w:rsidP="007E4E81">
      <w:pPr>
        <w:pStyle w:val="a0"/>
        <w:rPr>
          <w:rtl/>
        </w:rPr>
      </w:pPr>
      <w:r>
        <w:rPr>
          <w:rFonts w:hint="cs"/>
          <w:rtl/>
        </w:rPr>
        <w:t xml:space="preserve">אך דחה </w:t>
      </w:r>
      <w:r>
        <w:rPr>
          <w:rStyle w:val="af9"/>
          <w:rFonts w:hint="cs"/>
          <w:rtl/>
        </w:rPr>
        <w:t>ב</w:t>
      </w:r>
      <w:r w:rsidRPr="00465DC9">
        <w:rPr>
          <w:rStyle w:val="af9"/>
          <w:rFonts w:hint="cs"/>
          <w:rtl/>
        </w:rPr>
        <w:t>פסקי הרי"ד בשבועות</w:t>
      </w:r>
      <w:r>
        <w:rPr>
          <w:rFonts w:hint="cs"/>
          <w:rtl/>
        </w:rPr>
        <w:t xml:space="preserve"> </w:t>
      </w:r>
      <w:r>
        <w:rPr>
          <w:rStyle w:val="af7"/>
          <w:rFonts w:eastAsia="Guttman Hodes" w:hint="cs"/>
          <w:rtl/>
        </w:rPr>
        <w:t>(</w:t>
      </w:r>
      <w:r w:rsidRPr="0076108E">
        <w:rPr>
          <w:rStyle w:val="af7"/>
          <w:rFonts w:eastAsia="Guttman Hodes" w:hint="cs"/>
          <w:rtl/>
        </w:rPr>
        <w:t xml:space="preserve">לב: ד"ה </w:t>
      </w:r>
      <w:r>
        <w:rPr>
          <w:rStyle w:val="af7"/>
          <w:rFonts w:eastAsia="Guttman Hodes" w:hint="cs"/>
          <w:rtl/>
        </w:rPr>
        <w:t>אבל אינו</w:t>
      </w:r>
      <w:r w:rsidRPr="0076108E">
        <w:rPr>
          <w:rStyle w:val="af7"/>
          <w:rFonts w:eastAsia="Guttman Hodes" w:hint="cs"/>
          <w:rtl/>
        </w:rPr>
        <w:t>, הועתק בקובץ</w:t>
      </w:r>
      <w:r w:rsidRPr="007E098A">
        <w:rPr>
          <w:rStyle w:val="af7"/>
          <w:rFonts w:eastAsia="Guttman Hodes" w:hint="cs"/>
          <w:rtl/>
        </w:rPr>
        <w:t xml:space="preserve"> שיטות קמאי </w:t>
      </w:r>
      <w:r>
        <w:rPr>
          <w:rStyle w:val="af7"/>
          <w:rFonts w:eastAsia="Guttman Hodes" w:hint="cs"/>
          <w:rtl/>
        </w:rPr>
        <w:t>שבועות</w:t>
      </w:r>
      <w:r w:rsidRPr="007E098A">
        <w:rPr>
          <w:rStyle w:val="af7"/>
          <w:rFonts w:eastAsia="Guttman Hodes" w:hint="cs"/>
          <w:rtl/>
        </w:rPr>
        <w:t xml:space="preserve"> עמ' </w:t>
      </w:r>
      <w:r>
        <w:rPr>
          <w:rStyle w:val="af7"/>
          <w:rFonts w:eastAsia="Guttman Hodes" w:hint="cs"/>
          <w:rtl/>
        </w:rPr>
        <w:t>ש"ה</w:t>
      </w:r>
      <w:r w:rsidRPr="007E098A">
        <w:rPr>
          <w:rStyle w:val="af7"/>
          <w:rFonts w:eastAsia="Guttman Hodes" w:hint="cs"/>
          <w:rtl/>
        </w:rPr>
        <w:t>)</w:t>
      </w:r>
      <w:r>
        <w:rPr>
          <w:rStyle w:val="af7"/>
          <w:rFonts w:eastAsia="Guttman Hodes" w:hint="cs"/>
          <w:rtl/>
        </w:rPr>
        <w:t xml:space="preserve"> </w:t>
      </w:r>
      <w:r>
        <w:rPr>
          <w:rFonts w:hint="cs"/>
          <w:rtl/>
        </w:rPr>
        <w:t>דלא נראה לומר דבתחילה טען שלא חטף, ורק אחר שבא הע"א חזר וטען אין חטפי ודידי חטפי, דא"כ האיך אמרינן שהעד משביע אותו ואינו יכול להשבע וחייב לשלם, הא כיון שטען בתחילה לא חטפי, ואח"כ העיד העד שחטף, א"כ כ"מ שהעד חייב אותו הוא להשבע שבועה, דהא בשעת העדות עדיין לא חזר וטען אין חטפי ודידי חטפי, אלא כתב</w:t>
      </w:r>
      <w:r w:rsidRPr="00D13105">
        <w:rPr>
          <w:rStyle w:val="af9"/>
          <w:rFonts w:hint="cs"/>
          <w:rtl/>
        </w:rPr>
        <w:t xml:space="preserve"> </w:t>
      </w:r>
      <w:r>
        <w:rPr>
          <w:rStyle w:val="af9"/>
          <w:rFonts w:hint="cs"/>
          <w:rtl/>
        </w:rPr>
        <w:t>ב</w:t>
      </w:r>
      <w:r w:rsidRPr="00465DC9">
        <w:rPr>
          <w:rStyle w:val="af9"/>
          <w:rFonts w:hint="cs"/>
          <w:rtl/>
        </w:rPr>
        <w:t>פסקי הרי"ד בשבועות</w:t>
      </w:r>
      <w:r>
        <w:rPr>
          <w:rFonts w:hint="cs"/>
          <w:rtl/>
        </w:rPr>
        <w:t xml:space="preserve"> דמוכח דאף מתחילה טען אין חטפי ודידי חטפי, ולכן כשהעיד הע"א שחטף הוא מתחייב לשלם. </w:t>
      </w:r>
      <w:r w:rsidRPr="005574A4">
        <w:rPr>
          <w:rStyle w:val="afb"/>
          <w:rFonts w:hint="cs"/>
          <w:rtl/>
        </w:rPr>
        <w:t xml:space="preserve">[אלא כתב </w:t>
      </w:r>
      <w:r w:rsidRPr="005574A4">
        <w:rPr>
          <w:rStyle w:val="affa"/>
          <w:rFonts w:hint="cs"/>
          <w:rtl/>
        </w:rPr>
        <w:t>בפסקי הרי"ד בשבועות</w:t>
      </w:r>
      <w:r w:rsidRPr="005574A4">
        <w:rPr>
          <w:rStyle w:val="afb"/>
          <w:rFonts w:hint="cs"/>
          <w:rtl/>
        </w:rPr>
        <w:t xml:space="preserve"> דמוכח כמו שביאר </w:t>
      </w:r>
      <w:r w:rsidRPr="005574A4">
        <w:rPr>
          <w:rStyle w:val="affa"/>
          <w:rFonts w:hint="cs"/>
          <w:rtl/>
        </w:rPr>
        <w:t xml:space="preserve">בפסקי הרי"ד בסוגיין </w:t>
      </w:r>
      <w:r w:rsidRPr="005574A4">
        <w:rPr>
          <w:rStyle w:val="aff6"/>
          <w:rFonts w:hint="cs"/>
          <w:rtl/>
        </w:rPr>
        <w:t>(ד"ה תשובה, הועתק בקובץ שיטות קמאי ב"ב ח"א עמ' תתל"ב)</w:t>
      </w:r>
      <w:r>
        <w:rPr>
          <w:rStyle w:val="afb"/>
          <w:rFonts w:hint="cs"/>
          <w:rtl/>
        </w:rPr>
        <w:t xml:space="preserve">, </w:t>
      </w:r>
      <w:r w:rsidRPr="000146D1">
        <w:rPr>
          <w:rStyle w:val="afb"/>
          <w:rFonts w:hint="cs"/>
          <w:rtl/>
        </w:rPr>
        <w:t xml:space="preserve">אי"ה יובאו דבריו בהמשך במ"ש לתרץ את קושית </w:t>
      </w:r>
      <w:r w:rsidRPr="000146D1">
        <w:rPr>
          <w:rStyle w:val="affa"/>
          <w:rFonts w:hint="cs"/>
          <w:rtl/>
        </w:rPr>
        <w:t xml:space="preserve">התוס' </w:t>
      </w:r>
      <w:r w:rsidRPr="000146D1">
        <w:rPr>
          <w:rStyle w:val="afb"/>
          <w:rFonts w:hint="cs"/>
          <w:rtl/>
        </w:rPr>
        <w:t>דאמאי אינו נאמן במיגו דהיה נשבע דלא חטף].</w:t>
      </w:r>
    </w:p>
    <w:p w:rsidR="000F5507" w:rsidRDefault="000F5507" w:rsidP="000F5507">
      <w:pPr>
        <w:pStyle w:val="afe"/>
        <w:rPr>
          <w:rtl/>
        </w:rPr>
      </w:pPr>
      <w:bookmarkStart w:id="16802" w:name="_Toc64925381"/>
      <w:bookmarkStart w:id="16803" w:name="_Toc65141932"/>
      <w:bookmarkStart w:id="16804" w:name="_Toc65185624"/>
      <w:bookmarkStart w:id="16805" w:name="_Toc65529963"/>
      <w:bookmarkStart w:id="16806" w:name="_Toc65604041"/>
      <w:bookmarkStart w:id="16807" w:name="_Toc65605931"/>
      <w:bookmarkStart w:id="16808" w:name="_Toc65617188"/>
      <w:bookmarkStart w:id="16809" w:name="_Toc65666168"/>
      <w:bookmarkStart w:id="16810" w:name="_Toc65689829"/>
      <w:bookmarkStart w:id="16811" w:name="_Toc65703391"/>
      <w:bookmarkStart w:id="16812" w:name="_Toc65714059"/>
      <w:bookmarkStart w:id="16813" w:name="_Toc65714915"/>
      <w:r>
        <w:rPr>
          <w:rFonts w:hint="cs"/>
          <w:rtl/>
        </w:rPr>
        <w:t>בהא דסבור רבנן דאכילת פירות כנסכא</w:t>
      </w:r>
      <w:bookmarkEnd w:id="16802"/>
      <w:bookmarkEnd w:id="16803"/>
      <w:bookmarkEnd w:id="16804"/>
      <w:bookmarkEnd w:id="16805"/>
      <w:bookmarkEnd w:id="16806"/>
      <w:bookmarkEnd w:id="16807"/>
      <w:bookmarkEnd w:id="16808"/>
      <w:bookmarkEnd w:id="16809"/>
      <w:bookmarkEnd w:id="16810"/>
      <w:bookmarkEnd w:id="16811"/>
      <w:bookmarkEnd w:id="16812"/>
      <w:bookmarkEnd w:id="16813"/>
    </w:p>
    <w:p w:rsidR="000F5507" w:rsidRDefault="000F5507" w:rsidP="000F5507">
      <w:pPr>
        <w:pStyle w:val="1"/>
        <w:rPr>
          <w:rtl/>
        </w:rPr>
      </w:pPr>
      <w:bookmarkStart w:id="16814" w:name="_Toc64925382"/>
      <w:bookmarkStart w:id="16815" w:name="_Toc65141933"/>
      <w:bookmarkStart w:id="16816" w:name="_Toc65185625"/>
      <w:bookmarkStart w:id="16817" w:name="_Toc65529964"/>
      <w:bookmarkStart w:id="16818" w:name="_Toc65604042"/>
      <w:bookmarkStart w:id="16819" w:name="_Toc65605932"/>
      <w:bookmarkStart w:id="16820" w:name="_Toc65617189"/>
      <w:bookmarkStart w:id="16821" w:name="_Toc65666169"/>
      <w:bookmarkStart w:id="16822" w:name="_Toc65689830"/>
      <w:bookmarkStart w:id="16823" w:name="_Toc65703392"/>
      <w:bookmarkStart w:id="16824" w:name="_Toc65714060"/>
      <w:bookmarkStart w:id="16825" w:name="_Toc65714916"/>
      <w:r>
        <w:rPr>
          <w:rFonts w:hint="cs"/>
          <w:rtl/>
        </w:rPr>
        <w:t>הבי' הא' ברשב"ם דע"א על ג"ש</w:t>
      </w:r>
      <w:bookmarkEnd w:id="16814"/>
      <w:bookmarkEnd w:id="16815"/>
      <w:bookmarkEnd w:id="16816"/>
      <w:bookmarkEnd w:id="16817"/>
      <w:r>
        <w:rPr>
          <w:rFonts w:hint="cs"/>
          <w:rtl/>
        </w:rPr>
        <w:t xml:space="preserve"> דמי לנסכא לענין הקרקע</w:t>
      </w:r>
      <w:bookmarkEnd w:id="16818"/>
      <w:bookmarkEnd w:id="16819"/>
      <w:bookmarkEnd w:id="16820"/>
      <w:bookmarkEnd w:id="16821"/>
      <w:bookmarkEnd w:id="16822"/>
      <w:bookmarkEnd w:id="16823"/>
      <w:bookmarkEnd w:id="16824"/>
      <w:bookmarkEnd w:id="16825"/>
    </w:p>
    <w:p w:rsidR="000F5507" w:rsidRPr="00D13DDC" w:rsidRDefault="000F5507" w:rsidP="000F5507">
      <w:pPr>
        <w:pStyle w:val="a3"/>
        <w:rPr>
          <w:rtl/>
        </w:rPr>
      </w:pPr>
      <w:bookmarkStart w:id="16826" w:name="_Toc65604043"/>
      <w:bookmarkStart w:id="16827" w:name="_Toc65605933"/>
      <w:bookmarkStart w:id="16828" w:name="_Toc65617190"/>
      <w:bookmarkStart w:id="16829" w:name="_Toc65666170"/>
      <w:bookmarkStart w:id="16830" w:name="_Toc65689831"/>
      <w:bookmarkStart w:id="16831" w:name="_Toc65703393"/>
      <w:bookmarkStart w:id="16832" w:name="_Toc65714061"/>
      <w:bookmarkStart w:id="16833" w:name="_Toc65714917"/>
      <w:r w:rsidRPr="00D13DDC">
        <w:rPr>
          <w:rFonts w:hint="cs"/>
          <w:rtl/>
        </w:rPr>
        <w:t>הבי' הא' ברשב"ם דבע"א בחזקת ג"ש פשיטא דהקרקע חוזרת ודימו לנסכא בדמיון בעלמא</w:t>
      </w:r>
      <w:bookmarkEnd w:id="16826"/>
      <w:bookmarkEnd w:id="16827"/>
      <w:bookmarkEnd w:id="16828"/>
      <w:bookmarkEnd w:id="16829"/>
      <w:bookmarkEnd w:id="16830"/>
      <w:bookmarkEnd w:id="16831"/>
      <w:bookmarkEnd w:id="16832"/>
      <w:bookmarkEnd w:id="16833"/>
      <w:r w:rsidRPr="00D13DDC">
        <w:rPr>
          <w:rFonts w:hint="cs"/>
          <w:rtl/>
        </w:rPr>
        <w:t xml:space="preserve"> </w:t>
      </w:r>
    </w:p>
    <w:p w:rsidR="000F5507" w:rsidRDefault="000F5507" w:rsidP="007E4E81">
      <w:pPr>
        <w:pStyle w:val="a0"/>
        <w:rPr>
          <w:rtl/>
        </w:rPr>
      </w:pPr>
      <w:r>
        <w:rPr>
          <w:rFonts w:hint="cs"/>
          <w:rtl/>
        </w:rPr>
        <w:t xml:space="preserve">בהא דסבור רבנן דכשיש ע"א שהחזיק בקרקע ג"ש, דמי לנסכא דר"א, כתב </w:t>
      </w:r>
      <w:r w:rsidRPr="00323898">
        <w:rPr>
          <w:rStyle w:val="af9"/>
          <w:rFonts w:hint="cs"/>
          <w:rtl/>
        </w:rPr>
        <w:t>הרשב"ם</w:t>
      </w:r>
      <w:r>
        <w:rPr>
          <w:rStyle w:val="af9"/>
          <w:rFonts w:hint="cs"/>
          <w:rtl/>
        </w:rPr>
        <w:t xml:space="preserve"> בביאורו הא'</w:t>
      </w:r>
      <w:r>
        <w:rPr>
          <w:rFonts w:hint="cs"/>
          <w:rtl/>
        </w:rPr>
        <w:t xml:space="preserve"> </w:t>
      </w:r>
      <w:r w:rsidRPr="00EC5727">
        <w:rPr>
          <w:rStyle w:val="af7"/>
          <w:rFonts w:eastAsia="Guttman Hodes" w:hint="cs"/>
          <w:rtl/>
        </w:rPr>
        <w:t>(לג: ד"ה היינו)</w:t>
      </w:r>
      <w:r>
        <w:rPr>
          <w:rFonts w:hint="cs"/>
          <w:rtl/>
        </w:rPr>
        <w:t xml:space="preserve"> אין כוונת רבנן דצריך ללמוד מדינא דנסכא דר"א, שצריך להחזיר את הקרקע, דכיון שאין לו ב' עדים שהחזיק ג"ש, הוא דבר פשוט שהקרקע חוזרת למרא קמא, אלא הוא דמיון בעלמא דדמי לנסכא דר"א.</w:t>
      </w:r>
    </w:p>
    <w:p w:rsidR="000F5507" w:rsidRPr="00D13DDC" w:rsidRDefault="000F5507" w:rsidP="000F5507">
      <w:pPr>
        <w:pStyle w:val="a3"/>
      </w:pPr>
      <w:bookmarkStart w:id="16834" w:name="_Toc65604044"/>
      <w:bookmarkStart w:id="16835" w:name="_Toc65605934"/>
      <w:bookmarkStart w:id="16836" w:name="_Toc65617191"/>
      <w:bookmarkStart w:id="16837" w:name="_Toc65666171"/>
      <w:bookmarkStart w:id="16838" w:name="_Toc65689832"/>
      <w:bookmarkStart w:id="16839" w:name="_Toc65703394"/>
      <w:bookmarkStart w:id="16840" w:name="_Toc65714062"/>
      <w:bookmarkStart w:id="16841" w:name="_Toc65714918"/>
      <w:r w:rsidRPr="00D13DDC">
        <w:rPr>
          <w:rFonts w:hint="cs"/>
          <w:rtl/>
        </w:rPr>
        <w:t>ביאור הרשב"א ברשב"ם דהדימוי הוא לענין הקרקע בדמיון בעלמא ורק למסקנא דמי לפירות</w:t>
      </w:r>
      <w:bookmarkEnd w:id="16834"/>
      <w:bookmarkEnd w:id="16835"/>
      <w:bookmarkEnd w:id="16836"/>
      <w:bookmarkEnd w:id="16837"/>
      <w:bookmarkEnd w:id="16838"/>
      <w:bookmarkEnd w:id="16839"/>
      <w:bookmarkEnd w:id="16840"/>
      <w:bookmarkEnd w:id="16841"/>
    </w:p>
    <w:p w:rsidR="000F5507" w:rsidRDefault="000F5507" w:rsidP="007E4E81">
      <w:pPr>
        <w:pStyle w:val="a0"/>
        <w:rPr>
          <w:rtl/>
        </w:rPr>
      </w:pPr>
      <w:bookmarkStart w:id="16842" w:name="_Ref64921005"/>
      <w:r>
        <w:rPr>
          <w:rFonts w:hint="cs"/>
          <w:rtl/>
        </w:rPr>
        <w:t>וביאר</w:t>
      </w:r>
      <w:r>
        <w:rPr>
          <w:rStyle w:val="af9"/>
          <w:rFonts w:hint="cs"/>
          <w:rtl/>
        </w:rPr>
        <w:t xml:space="preserve"> הרשב"א</w:t>
      </w:r>
      <w:r>
        <w:rPr>
          <w:rFonts w:hint="cs"/>
          <w:rtl/>
        </w:rPr>
        <w:t xml:space="preserve"> </w:t>
      </w:r>
      <w:r w:rsidRPr="00EC5727">
        <w:rPr>
          <w:rStyle w:val="af7"/>
          <w:rFonts w:eastAsia="Guttman Hodes" w:hint="cs"/>
          <w:rtl/>
        </w:rPr>
        <w:t xml:space="preserve">(לג: ד"ה </w:t>
      </w:r>
      <w:r>
        <w:rPr>
          <w:rStyle w:val="af7"/>
          <w:rFonts w:eastAsia="Guttman Hodes" w:hint="cs"/>
          <w:rtl/>
        </w:rPr>
        <w:t>סבור</w:t>
      </w:r>
      <w:r w:rsidRPr="00EC5727">
        <w:rPr>
          <w:rStyle w:val="af7"/>
          <w:rFonts w:eastAsia="Guttman Hodes" w:hint="cs"/>
          <w:rtl/>
        </w:rPr>
        <w:t>)</w:t>
      </w:r>
      <w:r>
        <w:rPr>
          <w:rFonts w:hint="cs"/>
          <w:rtl/>
        </w:rPr>
        <w:t xml:space="preserve"> את דברי </w:t>
      </w:r>
      <w:r w:rsidRPr="00323898">
        <w:rPr>
          <w:rStyle w:val="af9"/>
          <w:rFonts w:hint="cs"/>
          <w:rtl/>
        </w:rPr>
        <w:t>הרשב"ם</w:t>
      </w:r>
      <w:r>
        <w:rPr>
          <w:rStyle w:val="af9"/>
          <w:rFonts w:hint="cs"/>
          <w:rtl/>
        </w:rPr>
        <w:t xml:space="preserve"> בביאורו הא'</w:t>
      </w:r>
      <w:r>
        <w:rPr>
          <w:rFonts w:hint="cs"/>
          <w:rtl/>
        </w:rPr>
        <w:t xml:space="preserve"> דכוונת רבנן לדמות את הקרקע עצמה לנסכא דר"א, ולא את הפירות, וכיון דפשיטא שצריך להחזיר את הקרקע, נדחק </w:t>
      </w:r>
      <w:r w:rsidRPr="009216C5">
        <w:rPr>
          <w:rStyle w:val="af9"/>
          <w:rFonts w:hint="cs"/>
          <w:rtl/>
        </w:rPr>
        <w:t xml:space="preserve">הרשב"ם </w:t>
      </w:r>
      <w:r>
        <w:rPr>
          <w:rFonts w:hint="cs"/>
          <w:rtl/>
        </w:rPr>
        <w:t xml:space="preserve">לומר דכוונתם למילתא בעלמא, וכתב </w:t>
      </w:r>
      <w:r w:rsidRPr="009216C5">
        <w:rPr>
          <w:rStyle w:val="af9"/>
          <w:rFonts w:hint="cs"/>
          <w:rtl/>
        </w:rPr>
        <w:t xml:space="preserve">הרשב"א </w:t>
      </w:r>
      <w:r>
        <w:rPr>
          <w:rFonts w:hint="cs"/>
          <w:rtl/>
        </w:rPr>
        <w:t xml:space="preserve">דהוצרך </w:t>
      </w:r>
      <w:r w:rsidRPr="009216C5">
        <w:rPr>
          <w:rStyle w:val="af9"/>
          <w:rFonts w:hint="cs"/>
          <w:rtl/>
        </w:rPr>
        <w:t xml:space="preserve">הרשב"ם </w:t>
      </w:r>
      <w:r>
        <w:rPr>
          <w:rFonts w:hint="cs"/>
          <w:rtl/>
        </w:rPr>
        <w:t>לדחוק כן כיון דבמסקנת הגמ' אמרינן דדינא דר"א דמי לע"א שמעיד על אכילת ב' שנים לענין הפירות, ומדאמרינן דהוא לענין הפירות, משמע דבהו"א הדמיון היה על הקרקע עצמה ולא על הפירות.</w:t>
      </w:r>
      <w:bookmarkEnd w:id="16842"/>
    </w:p>
    <w:p w:rsidR="000F5507" w:rsidRPr="00D13DDC" w:rsidRDefault="000F5507" w:rsidP="000F5507">
      <w:pPr>
        <w:pStyle w:val="a3"/>
      </w:pPr>
      <w:bookmarkStart w:id="16843" w:name="_Toc65604045"/>
      <w:bookmarkStart w:id="16844" w:name="_Toc65605935"/>
      <w:bookmarkStart w:id="16845" w:name="_Toc65617192"/>
      <w:bookmarkStart w:id="16846" w:name="_Toc65666172"/>
      <w:bookmarkStart w:id="16847" w:name="_Toc65689833"/>
      <w:bookmarkStart w:id="16848" w:name="_Toc65703395"/>
      <w:bookmarkStart w:id="16849" w:name="_Toc65714063"/>
      <w:bookmarkStart w:id="16850" w:name="_Toc65714919"/>
      <w:r w:rsidRPr="00D13DDC">
        <w:rPr>
          <w:rFonts w:hint="cs"/>
          <w:rtl/>
        </w:rPr>
        <w:t>דחיית הרשב"א דא"א לומר דהדימוי הוא בקרקע והגמ' במסקנא מפרשת דהדימוי לענין הפירות</w:t>
      </w:r>
      <w:bookmarkEnd w:id="16843"/>
      <w:bookmarkEnd w:id="16844"/>
      <w:bookmarkEnd w:id="16845"/>
      <w:bookmarkEnd w:id="16846"/>
      <w:bookmarkEnd w:id="16847"/>
      <w:bookmarkEnd w:id="16848"/>
      <w:bookmarkEnd w:id="16849"/>
      <w:bookmarkEnd w:id="16850"/>
    </w:p>
    <w:p w:rsidR="000F5507" w:rsidRDefault="000F5507" w:rsidP="007E4E81">
      <w:pPr>
        <w:pStyle w:val="a0"/>
        <w:rPr>
          <w:rtl/>
        </w:rPr>
      </w:pPr>
      <w:bookmarkStart w:id="16851" w:name="_Ref64921011"/>
      <w:r>
        <w:rPr>
          <w:rFonts w:hint="cs"/>
          <w:rtl/>
        </w:rPr>
        <w:t xml:space="preserve">ודחה </w:t>
      </w:r>
      <w:r w:rsidRPr="009216C5">
        <w:rPr>
          <w:rStyle w:val="af9"/>
          <w:rFonts w:hint="cs"/>
          <w:rtl/>
        </w:rPr>
        <w:t xml:space="preserve">הרשב"א </w:t>
      </w:r>
      <w:r>
        <w:rPr>
          <w:rFonts w:hint="cs"/>
          <w:rtl/>
        </w:rPr>
        <w:t xml:space="preserve">את דברי </w:t>
      </w:r>
      <w:r w:rsidRPr="00323898">
        <w:rPr>
          <w:rStyle w:val="af9"/>
          <w:rFonts w:hint="cs"/>
          <w:rtl/>
        </w:rPr>
        <w:t>הרשב"ם</w:t>
      </w:r>
      <w:r>
        <w:rPr>
          <w:rStyle w:val="af9"/>
          <w:rFonts w:hint="cs"/>
          <w:rtl/>
        </w:rPr>
        <w:t xml:space="preserve"> בביאורו הא'</w:t>
      </w:r>
      <w:r>
        <w:rPr>
          <w:rFonts w:hint="cs"/>
          <w:rtl/>
        </w:rPr>
        <w:t xml:space="preserve"> דא"א לומר דכל הנדון בגמ' הוא על הקרקע דהיא מילתא דפשיטא שמחזיר, אלא ביאר </w:t>
      </w:r>
      <w:r w:rsidRPr="009216C5">
        <w:rPr>
          <w:rStyle w:val="af9"/>
          <w:rFonts w:hint="cs"/>
          <w:rtl/>
        </w:rPr>
        <w:t xml:space="preserve">הרשב"א </w:t>
      </w:r>
      <w:r>
        <w:rPr>
          <w:rFonts w:hint="cs"/>
          <w:rtl/>
        </w:rPr>
        <w:t xml:space="preserve">דאף בהו"א איירי בפירות, ובמסקנא מפרשת הגמ' דכל הנדון בסוגיין הוא רק על הפירות, ועי' במ"ש </w:t>
      </w:r>
      <w:r w:rsidRPr="009216C5">
        <w:rPr>
          <w:rStyle w:val="af9"/>
          <w:rFonts w:hint="cs"/>
          <w:rtl/>
        </w:rPr>
        <w:t xml:space="preserve">התוס' </w:t>
      </w:r>
      <w:r w:rsidRPr="009216C5">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Ref65702282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עח)</w:t>
      </w:r>
      <w:r>
        <w:rPr>
          <w:rStyle w:val="af7"/>
          <w:rFonts w:eastAsia="Guttman Hodes"/>
          <w:rtl/>
        </w:rPr>
        <w:fldChar w:fldCharType="end"/>
      </w:r>
      <w:r w:rsidRPr="009216C5">
        <w:rPr>
          <w:rStyle w:val="af7"/>
          <w:rFonts w:eastAsia="Guttman Hodes" w:hint="cs"/>
          <w:rtl/>
        </w:rPr>
        <w:t xml:space="preserve"> </w:t>
      </w:r>
      <w:r>
        <w:rPr>
          <w:rStyle w:val="af9"/>
          <w:rFonts w:hint="cs"/>
          <w:rtl/>
        </w:rPr>
        <w:t>ו</w:t>
      </w:r>
      <w:r w:rsidRPr="00C659CE">
        <w:rPr>
          <w:rStyle w:val="af9"/>
          <w:rFonts w:hint="cs"/>
          <w:rtl/>
        </w:rPr>
        <w:t>הרמב"ן</w:t>
      </w:r>
      <w:r>
        <w:rPr>
          <w:rFonts w:hint="cs"/>
          <w:rtl/>
        </w:rPr>
        <w:t xml:space="preserve"> </w:t>
      </w:r>
      <w:r w:rsidRPr="00C659CE">
        <w:rPr>
          <w:rStyle w:val="af7"/>
          <w:rFonts w:eastAsia="Guttman Hodes" w:hint="cs"/>
          <w:rtl/>
        </w:rPr>
        <w:t xml:space="preserve">(עי' אות </w:t>
      </w:r>
      <w:r w:rsidRPr="00C659CE">
        <w:rPr>
          <w:rStyle w:val="af7"/>
          <w:rFonts w:eastAsia="Guttman Hodes"/>
          <w:rtl/>
        </w:rPr>
        <w:fldChar w:fldCharType="begin"/>
      </w:r>
      <w:r w:rsidRPr="00C659CE">
        <w:rPr>
          <w:rStyle w:val="af7"/>
          <w:rFonts w:eastAsia="Guttman Hodes"/>
          <w:rtl/>
        </w:rPr>
        <w:instrText xml:space="preserve"> </w:instrText>
      </w:r>
      <w:r w:rsidRPr="00C659CE">
        <w:rPr>
          <w:rStyle w:val="af7"/>
          <w:rFonts w:eastAsia="Guttman Hodes" w:hint="cs"/>
        </w:rPr>
        <w:instrText>REF</w:instrText>
      </w:r>
      <w:r w:rsidRPr="00C659CE">
        <w:rPr>
          <w:rStyle w:val="af7"/>
          <w:rFonts w:eastAsia="Guttman Hodes" w:hint="cs"/>
          <w:rtl/>
        </w:rPr>
        <w:instrText xml:space="preserve"> _</w:instrText>
      </w:r>
      <w:r w:rsidRPr="00C659CE">
        <w:rPr>
          <w:rStyle w:val="af7"/>
          <w:rFonts w:eastAsia="Guttman Hodes" w:hint="cs"/>
        </w:rPr>
        <w:instrText>Ref65601475 \r \h</w:instrText>
      </w:r>
      <w:r w:rsidRPr="00C659CE">
        <w:rPr>
          <w:rStyle w:val="af7"/>
          <w:rFonts w:eastAsia="Guttman Hodes"/>
          <w:rtl/>
        </w:rPr>
        <w:instrText xml:space="preserve"> </w:instrText>
      </w:r>
      <w:r w:rsidRPr="00C659CE">
        <w:rPr>
          <w:rStyle w:val="af7"/>
          <w:rFonts w:eastAsia="Guttman Hodes"/>
          <w:rtl/>
        </w:rPr>
      </w:r>
      <w:r w:rsidRPr="00C659CE">
        <w:rPr>
          <w:rStyle w:val="af7"/>
          <w:rFonts w:eastAsia="Guttman Hodes"/>
          <w:rtl/>
        </w:rPr>
        <w:fldChar w:fldCharType="separate"/>
      </w:r>
      <w:r w:rsidR="00265073">
        <w:rPr>
          <w:rStyle w:val="af7"/>
          <w:rFonts w:eastAsia="Guttman Hodes"/>
          <w:cs/>
        </w:rPr>
        <w:t>‎</w:t>
      </w:r>
      <w:r w:rsidR="00265073">
        <w:rPr>
          <w:rStyle w:val="af7"/>
          <w:rFonts w:eastAsia="Guttman Hodes"/>
          <w:rtl/>
        </w:rPr>
        <w:t>עט)</w:t>
      </w:r>
      <w:r w:rsidRPr="00C659CE">
        <w:rPr>
          <w:rStyle w:val="af7"/>
          <w:rFonts w:eastAsia="Guttman Hodes"/>
          <w:rtl/>
        </w:rPr>
        <w:fldChar w:fldCharType="end"/>
      </w:r>
      <w:r>
        <w:rPr>
          <w:rFonts w:hint="cs"/>
          <w:rtl/>
        </w:rPr>
        <w:t xml:space="preserve"> </w:t>
      </w:r>
      <w:r>
        <w:rPr>
          <w:rStyle w:val="af9"/>
          <w:rFonts w:hint="cs"/>
          <w:rtl/>
        </w:rPr>
        <w:t>ו</w:t>
      </w:r>
      <w:r w:rsidRPr="009222C6">
        <w:rPr>
          <w:rStyle w:val="af9"/>
          <w:rFonts w:hint="cs"/>
          <w:rtl/>
        </w:rPr>
        <w:t>הריטב"א</w:t>
      </w:r>
      <w:r>
        <w:rPr>
          <w:rFonts w:hint="cs"/>
          <w:rtl/>
        </w:rPr>
        <w:t xml:space="preserve"> </w:t>
      </w:r>
      <w:r w:rsidRPr="009222C6">
        <w:rPr>
          <w:rStyle w:val="af7"/>
          <w:rFonts w:eastAsia="Guttman Hodes" w:hint="cs"/>
          <w:rtl/>
        </w:rPr>
        <w:t xml:space="preserve">(עי' אות </w:t>
      </w:r>
      <w:r w:rsidRPr="009222C6">
        <w:rPr>
          <w:rStyle w:val="af7"/>
          <w:rFonts w:eastAsia="Guttman Hodes"/>
          <w:rtl/>
        </w:rPr>
        <w:fldChar w:fldCharType="begin"/>
      </w:r>
      <w:r w:rsidRPr="009222C6">
        <w:rPr>
          <w:rStyle w:val="af7"/>
          <w:rFonts w:eastAsia="Guttman Hodes"/>
          <w:rtl/>
        </w:rPr>
        <w:instrText xml:space="preserve"> </w:instrText>
      </w:r>
      <w:r w:rsidRPr="009222C6">
        <w:rPr>
          <w:rStyle w:val="af7"/>
          <w:rFonts w:eastAsia="Guttman Hodes" w:hint="cs"/>
        </w:rPr>
        <w:instrText>REF</w:instrText>
      </w:r>
      <w:r w:rsidRPr="009222C6">
        <w:rPr>
          <w:rStyle w:val="af7"/>
          <w:rFonts w:eastAsia="Guttman Hodes" w:hint="cs"/>
          <w:rtl/>
        </w:rPr>
        <w:instrText xml:space="preserve"> _</w:instrText>
      </w:r>
      <w:r w:rsidRPr="009222C6">
        <w:rPr>
          <w:rStyle w:val="af7"/>
          <w:rFonts w:eastAsia="Guttman Hodes" w:hint="cs"/>
        </w:rPr>
        <w:instrText>Ref64959916 \r \h</w:instrText>
      </w:r>
      <w:r w:rsidRPr="009222C6">
        <w:rPr>
          <w:rStyle w:val="af7"/>
          <w:rFonts w:eastAsia="Guttman Hodes"/>
          <w:rtl/>
        </w:rPr>
        <w:instrText xml:space="preserve"> </w:instrText>
      </w:r>
      <w:r w:rsidRPr="009222C6">
        <w:rPr>
          <w:rStyle w:val="af7"/>
          <w:rFonts w:eastAsia="Guttman Hodes"/>
          <w:rtl/>
        </w:rPr>
      </w:r>
      <w:r w:rsidRPr="009222C6">
        <w:rPr>
          <w:rStyle w:val="af7"/>
          <w:rFonts w:eastAsia="Guttman Hodes"/>
          <w:rtl/>
        </w:rPr>
        <w:fldChar w:fldCharType="separate"/>
      </w:r>
      <w:r w:rsidR="00265073">
        <w:rPr>
          <w:rStyle w:val="af7"/>
          <w:rFonts w:eastAsia="Guttman Hodes"/>
          <w:cs/>
        </w:rPr>
        <w:t>‎</w:t>
      </w:r>
      <w:r w:rsidR="00265073">
        <w:rPr>
          <w:rStyle w:val="af7"/>
          <w:rFonts w:eastAsia="Guttman Hodes"/>
          <w:rtl/>
        </w:rPr>
        <w:t>פ)</w:t>
      </w:r>
      <w:r w:rsidRPr="009222C6">
        <w:rPr>
          <w:rStyle w:val="af7"/>
          <w:rFonts w:eastAsia="Guttman Hodes"/>
          <w:rtl/>
        </w:rPr>
        <w:fldChar w:fldCharType="end"/>
      </w:r>
      <w:r>
        <w:rPr>
          <w:rFonts w:hint="cs"/>
          <w:rtl/>
        </w:rPr>
        <w:t>.</w:t>
      </w:r>
      <w:bookmarkEnd w:id="16851"/>
    </w:p>
    <w:p w:rsidR="000F5507" w:rsidRPr="00110E66" w:rsidRDefault="000F5507" w:rsidP="000F5507">
      <w:pPr>
        <w:pStyle w:val="1"/>
        <w:rPr>
          <w:rtl/>
        </w:rPr>
      </w:pPr>
      <w:bookmarkStart w:id="16852" w:name="_Toc65604046"/>
      <w:bookmarkStart w:id="16853" w:name="_Toc65605936"/>
      <w:bookmarkStart w:id="16854" w:name="_Toc65617193"/>
      <w:bookmarkStart w:id="16855" w:name="_Toc65666173"/>
      <w:bookmarkStart w:id="16856" w:name="_Toc65689834"/>
      <w:bookmarkStart w:id="16857" w:name="_Toc65703396"/>
      <w:bookmarkStart w:id="16858" w:name="_Toc65714064"/>
      <w:bookmarkStart w:id="16859" w:name="_Toc65714920"/>
      <w:r>
        <w:rPr>
          <w:rFonts w:hint="cs"/>
          <w:rtl/>
        </w:rPr>
        <w:t>הבי' הב' ברשב"ם דע"א בקרקע מחזיק פירות מדין משאיל"מ</w:t>
      </w:r>
      <w:bookmarkEnd w:id="16852"/>
      <w:bookmarkEnd w:id="16853"/>
      <w:bookmarkEnd w:id="16854"/>
      <w:bookmarkEnd w:id="16855"/>
      <w:bookmarkEnd w:id="16856"/>
      <w:bookmarkEnd w:id="16857"/>
      <w:bookmarkEnd w:id="16858"/>
      <w:bookmarkEnd w:id="16859"/>
    </w:p>
    <w:p w:rsidR="000F5507" w:rsidRPr="00D13DDC" w:rsidRDefault="000F5507" w:rsidP="000F5507">
      <w:pPr>
        <w:pStyle w:val="a3"/>
        <w:rPr>
          <w:rtl/>
        </w:rPr>
      </w:pPr>
      <w:bookmarkStart w:id="16860" w:name="_Toc65604047"/>
      <w:bookmarkStart w:id="16861" w:name="_Toc65605937"/>
      <w:bookmarkStart w:id="16862" w:name="_Toc65617194"/>
      <w:bookmarkStart w:id="16863" w:name="_Toc65666174"/>
      <w:bookmarkStart w:id="16864" w:name="_Toc65689835"/>
      <w:bookmarkStart w:id="16865" w:name="_Toc65703397"/>
      <w:bookmarkStart w:id="16866" w:name="_Toc65714065"/>
      <w:bookmarkStart w:id="16867" w:name="_Toc65714921"/>
      <w:r w:rsidRPr="00D13DDC">
        <w:rPr>
          <w:rFonts w:hint="cs"/>
          <w:rtl/>
        </w:rPr>
        <w:t>הבי' הב' ברשב"ם דדמי לנסכא דחשיב שיש עדים שאכל פירות והדרי פירי ובלא"ה לא הדרי</w:t>
      </w:r>
      <w:bookmarkEnd w:id="16860"/>
      <w:bookmarkEnd w:id="16861"/>
      <w:bookmarkEnd w:id="16862"/>
      <w:bookmarkEnd w:id="16863"/>
      <w:bookmarkEnd w:id="16864"/>
      <w:bookmarkEnd w:id="16865"/>
      <w:bookmarkEnd w:id="16866"/>
      <w:bookmarkEnd w:id="16867"/>
    </w:p>
    <w:p w:rsidR="000F5507" w:rsidRDefault="000F5507" w:rsidP="007E4E81">
      <w:pPr>
        <w:pStyle w:val="a0"/>
        <w:rPr>
          <w:rtl/>
        </w:rPr>
      </w:pPr>
      <w:r>
        <w:rPr>
          <w:rFonts w:hint="cs"/>
          <w:rtl/>
        </w:rPr>
        <w:t xml:space="preserve">ועוד כתב </w:t>
      </w:r>
      <w:r w:rsidRPr="00323898">
        <w:rPr>
          <w:rStyle w:val="af9"/>
          <w:rFonts w:hint="cs"/>
          <w:rtl/>
        </w:rPr>
        <w:t>הרשב"ם</w:t>
      </w:r>
      <w:r>
        <w:rPr>
          <w:rStyle w:val="af9"/>
          <w:rFonts w:hint="cs"/>
          <w:rtl/>
        </w:rPr>
        <w:t xml:space="preserve"> בביאורו הב'</w:t>
      </w:r>
      <w:r>
        <w:rPr>
          <w:rFonts w:hint="cs"/>
          <w:rtl/>
        </w:rPr>
        <w:t xml:space="preserve"> </w:t>
      </w:r>
      <w:r w:rsidRPr="00EC5727">
        <w:rPr>
          <w:rStyle w:val="af7"/>
          <w:rFonts w:eastAsia="Guttman Hodes" w:hint="cs"/>
          <w:rtl/>
        </w:rPr>
        <w:t>(לג: ד"ה היינו)</w:t>
      </w:r>
      <w:r>
        <w:rPr>
          <w:rFonts w:hint="cs"/>
          <w:rtl/>
        </w:rPr>
        <w:t xml:space="preserve"> דהא דסבור רבנן דדמי לנסכא דר"א, כוונתם לומר דדמי לר"א במה שהקרקע חוזרת עם הפירות, וחשיב שיש עדים שאכל פירות, דהא אם לא היו עדים על הפירות לא היה צריך להחזיר את הפירות, כדאמר ר"נ דפירי לא הדרי, ורק הקרקע הייתה חוזרת, ועי' במה שביאר</w:t>
      </w:r>
      <w:r w:rsidRPr="00D55E83">
        <w:rPr>
          <w:rStyle w:val="af9"/>
          <w:rFonts w:hint="cs"/>
          <w:rtl/>
        </w:rPr>
        <w:t xml:space="preserve"> בחי' רבי נחום </w:t>
      </w:r>
      <w:r w:rsidRPr="00D55E83">
        <w:rPr>
          <w:rStyle w:val="af7"/>
          <w:rFonts w:eastAsia="Guttman Hodes" w:hint="cs"/>
          <w:rtl/>
        </w:rPr>
        <w:t>(או' קצ"א)</w:t>
      </w:r>
      <w:r>
        <w:rPr>
          <w:rFonts w:hint="cs"/>
          <w:rtl/>
        </w:rPr>
        <w:t xml:space="preserve"> בדברי </w:t>
      </w:r>
      <w:r w:rsidRPr="00D55E83">
        <w:rPr>
          <w:rStyle w:val="af9"/>
          <w:rFonts w:hint="cs"/>
          <w:rtl/>
        </w:rPr>
        <w:t>הרשב"ם</w:t>
      </w:r>
      <w:r>
        <w:rPr>
          <w:rFonts w:hint="cs"/>
          <w:rtl/>
        </w:rPr>
        <w:t>.</w:t>
      </w:r>
    </w:p>
    <w:p w:rsidR="000F5507" w:rsidRPr="00D13DDC" w:rsidRDefault="000F5507" w:rsidP="000F5507">
      <w:pPr>
        <w:pStyle w:val="a3"/>
        <w:rPr>
          <w:rtl/>
        </w:rPr>
      </w:pPr>
      <w:bookmarkStart w:id="16868" w:name="_Toc65604048"/>
      <w:bookmarkStart w:id="16869" w:name="_Toc65605938"/>
      <w:bookmarkStart w:id="16870" w:name="_Toc65617195"/>
      <w:bookmarkStart w:id="16871" w:name="_Toc65666175"/>
      <w:bookmarkStart w:id="16872" w:name="_Toc65689836"/>
      <w:bookmarkStart w:id="16873" w:name="_Toc65703398"/>
      <w:bookmarkStart w:id="16874" w:name="_Toc65714066"/>
      <w:bookmarkStart w:id="16875" w:name="_Toc65714922"/>
      <w:r w:rsidRPr="00D13DDC">
        <w:rPr>
          <w:rFonts w:hint="cs"/>
          <w:rtl/>
        </w:rPr>
        <w:t>דברי הרשב"ם דבנסכא בב' עדים משלם וה"ה בע"א ואינו יכול להשבע וה"ה בע"א בחזקת ג"ש</w:t>
      </w:r>
      <w:bookmarkEnd w:id="16868"/>
      <w:bookmarkEnd w:id="16869"/>
      <w:bookmarkEnd w:id="16870"/>
      <w:bookmarkEnd w:id="16871"/>
      <w:bookmarkEnd w:id="16872"/>
      <w:bookmarkEnd w:id="16873"/>
      <w:bookmarkEnd w:id="16874"/>
      <w:bookmarkEnd w:id="16875"/>
    </w:p>
    <w:p w:rsidR="000F5507" w:rsidRDefault="000F5507" w:rsidP="007E4E81">
      <w:pPr>
        <w:pStyle w:val="a0"/>
        <w:rPr>
          <w:rtl/>
        </w:rPr>
      </w:pPr>
      <w:r>
        <w:rPr>
          <w:rFonts w:hint="cs"/>
          <w:rtl/>
        </w:rPr>
        <w:t>וכתב</w:t>
      </w:r>
      <w:r w:rsidRPr="00323898">
        <w:rPr>
          <w:rStyle w:val="af9"/>
          <w:rFonts w:hint="cs"/>
          <w:rtl/>
        </w:rPr>
        <w:t xml:space="preserve"> הרשב"ם</w:t>
      </w:r>
      <w:r>
        <w:rPr>
          <w:rFonts w:hint="cs"/>
          <w:rtl/>
        </w:rPr>
        <w:t xml:space="preserve"> </w:t>
      </w:r>
      <w:r w:rsidRPr="00EC5727">
        <w:rPr>
          <w:rStyle w:val="af7"/>
          <w:rFonts w:eastAsia="Guttman Hodes" w:hint="cs"/>
          <w:rtl/>
        </w:rPr>
        <w:t>(ד"ה א"ל</w:t>
      </w:r>
      <w:r>
        <w:rPr>
          <w:rStyle w:val="af7"/>
          <w:rFonts w:eastAsia="Guttman Hodes" w:hint="cs"/>
          <w:rtl/>
        </w:rPr>
        <w:t xml:space="preserve"> ר"א</w:t>
      </w:r>
      <w:r w:rsidRPr="00EC5727">
        <w:rPr>
          <w:rStyle w:val="af7"/>
          <w:rFonts w:eastAsia="Guttman Hodes" w:hint="cs"/>
          <w:rtl/>
        </w:rPr>
        <w:t>)</w:t>
      </w:r>
      <w:r>
        <w:rPr>
          <w:rFonts w:hint="cs"/>
          <w:rtl/>
        </w:rPr>
        <w:t xml:space="preserve"> דכיון דאמרינן דבנסכא שאם היו ב' עדים שחטף היה משלם, לכן כשיש ע"א והוא מחויב שבועה שאינו יכול להשבע, אמרינן מתוך שאינו יכול לישבע משלם, לכן סבור רבנן לדמות את ע"א שהחזיק בקרקע ג"ש לנסכא דר"א.</w:t>
      </w:r>
    </w:p>
    <w:p w:rsidR="000F5507" w:rsidRPr="00D13DDC" w:rsidRDefault="000F5507" w:rsidP="000F5507">
      <w:pPr>
        <w:pStyle w:val="a3"/>
      </w:pPr>
      <w:bookmarkStart w:id="16876" w:name="_Toc65604049"/>
      <w:bookmarkStart w:id="16877" w:name="_Toc65605939"/>
      <w:bookmarkStart w:id="16878" w:name="_Toc65617196"/>
      <w:bookmarkStart w:id="16879" w:name="_Toc65666176"/>
      <w:bookmarkStart w:id="16880" w:name="_Toc65689837"/>
      <w:bookmarkStart w:id="16881" w:name="_Toc65703399"/>
      <w:bookmarkStart w:id="16882" w:name="_Toc65714067"/>
      <w:bookmarkStart w:id="16883" w:name="_Toc65714923"/>
      <w:r w:rsidRPr="00D13DDC">
        <w:rPr>
          <w:rFonts w:hint="cs"/>
          <w:rtl/>
        </w:rPr>
        <w:t>בי' הרשב"ם דחזקה כנסכא דבעדים הוי חזקה ובלי עדים מוציאין ובמודה לע"א א"א להשבע</w:t>
      </w:r>
      <w:bookmarkEnd w:id="16876"/>
      <w:bookmarkEnd w:id="16877"/>
      <w:bookmarkEnd w:id="16878"/>
      <w:bookmarkEnd w:id="16879"/>
      <w:bookmarkEnd w:id="16880"/>
      <w:bookmarkEnd w:id="16881"/>
      <w:bookmarkEnd w:id="16882"/>
      <w:bookmarkEnd w:id="16883"/>
    </w:p>
    <w:p w:rsidR="000F5507" w:rsidRDefault="000F5507" w:rsidP="007E4E81">
      <w:pPr>
        <w:pStyle w:val="a0"/>
        <w:rPr>
          <w:rtl/>
        </w:rPr>
      </w:pPr>
      <w:bookmarkStart w:id="16884" w:name="_Ref65604073"/>
      <w:r>
        <w:rPr>
          <w:rFonts w:hint="cs"/>
          <w:rtl/>
        </w:rPr>
        <w:t xml:space="preserve">וביאר </w:t>
      </w:r>
      <w:r w:rsidRPr="00323898">
        <w:rPr>
          <w:rStyle w:val="af9"/>
          <w:rFonts w:hint="cs"/>
          <w:rtl/>
        </w:rPr>
        <w:t>הרשב"ם</w:t>
      </w:r>
      <w:r>
        <w:rPr>
          <w:rFonts w:hint="cs"/>
          <w:rtl/>
        </w:rPr>
        <w:t xml:space="preserve"> דכוונת רבנן לומר </w:t>
      </w:r>
      <w:r w:rsidRPr="00AF1626">
        <w:rPr>
          <w:rFonts w:hint="cs"/>
          <w:rtl/>
        </w:rPr>
        <w:t>דכמו ד</w:t>
      </w:r>
      <w:r w:rsidRPr="00AF1626">
        <w:rPr>
          <w:rtl/>
        </w:rPr>
        <w:t>בנסכא דר"א</w:t>
      </w:r>
      <w:r w:rsidRPr="00AF1626">
        <w:rPr>
          <w:rStyle w:val="afb"/>
          <w:rFonts w:hint="cs"/>
          <w:rtl/>
        </w:rPr>
        <w:t xml:space="preserve"> </w:t>
      </w:r>
      <w:r>
        <w:rPr>
          <w:rFonts w:hint="cs"/>
          <w:rtl/>
        </w:rPr>
        <w:t>יש ג' אופנים,</w:t>
      </w:r>
      <w:r w:rsidRPr="00F97737">
        <w:rPr>
          <w:rStyle w:val="afb"/>
          <w:rFonts w:hint="cs"/>
          <w:rtl/>
        </w:rPr>
        <w:t xml:space="preserve"> [כדביאר </w:t>
      </w:r>
      <w:r w:rsidRPr="00F97737">
        <w:rPr>
          <w:rStyle w:val="affa"/>
          <w:rFonts w:hint="cs"/>
          <w:rtl/>
        </w:rPr>
        <w:t>הרשב"ם</w:t>
      </w:r>
      <w:r w:rsidRPr="00F97737">
        <w:rPr>
          <w:rStyle w:val="afb"/>
          <w:rFonts w:hint="cs"/>
          <w:rtl/>
        </w:rPr>
        <w:t xml:space="preserve"> </w:t>
      </w:r>
      <w:r w:rsidRPr="00BC0072">
        <w:rPr>
          <w:rStyle w:val="aff6"/>
          <w:rFonts w:hint="cs"/>
          <w:rtl/>
        </w:rPr>
        <w:t xml:space="preserve">(עי' אות </w:t>
      </w:r>
      <w:r w:rsidRPr="00BC0072">
        <w:rPr>
          <w:rStyle w:val="aff6"/>
          <w:rtl/>
        </w:rPr>
        <w:fldChar w:fldCharType="begin"/>
      </w:r>
      <w:r w:rsidRPr="00BC0072">
        <w:rPr>
          <w:rStyle w:val="aff6"/>
          <w:rtl/>
        </w:rPr>
        <w:instrText xml:space="preserve"> </w:instrText>
      </w:r>
      <w:r w:rsidRPr="00BC0072">
        <w:rPr>
          <w:rStyle w:val="aff6"/>
          <w:rFonts w:hint="cs"/>
        </w:rPr>
        <w:instrText>REF</w:instrText>
      </w:r>
      <w:r w:rsidRPr="00BC0072">
        <w:rPr>
          <w:rStyle w:val="aff6"/>
          <w:rFonts w:hint="cs"/>
          <w:rtl/>
        </w:rPr>
        <w:instrText xml:space="preserve"> _</w:instrText>
      </w:r>
      <w:r w:rsidRPr="00BC0072">
        <w:rPr>
          <w:rStyle w:val="aff6"/>
          <w:rFonts w:hint="cs"/>
        </w:rPr>
        <w:instrText>Ref64971133 \r \h</w:instrText>
      </w:r>
      <w:r w:rsidRPr="00BC0072">
        <w:rPr>
          <w:rStyle w:val="aff6"/>
          <w:rtl/>
        </w:rPr>
        <w:instrText xml:space="preserve"> </w:instrText>
      </w:r>
      <w:r w:rsidRPr="00BC0072">
        <w:rPr>
          <w:rStyle w:val="aff6"/>
          <w:rtl/>
        </w:rPr>
      </w:r>
      <w:r w:rsidRPr="00BC0072">
        <w:rPr>
          <w:rStyle w:val="aff6"/>
          <w:rtl/>
        </w:rPr>
        <w:fldChar w:fldCharType="separate"/>
      </w:r>
      <w:r w:rsidR="00265073">
        <w:rPr>
          <w:rStyle w:val="aff6"/>
          <w:cs/>
        </w:rPr>
        <w:t>‎</w:t>
      </w:r>
      <w:r w:rsidR="00265073">
        <w:rPr>
          <w:rStyle w:val="aff6"/>
          <w:rtl/>
        </w:rPr>
        <w:t>א)</w:t>
      </w:r>
      <w:r w:rsidRPr="00BC0072">
        <w:rPr>
          <w:rStyle w:val="aff6"/>
          <w:rtl/>
        </w:rPr>
        <w:fldChar w:fldCharType="end"/>
      </w:r>
      <w:r w:rsidRPr="00F97737">
        <w:rPr>
          <w:rStyle w:val="afb"/>
          <w:rFonts w:hint="cs"/>
          <w:rtl/>
        </w:rPr>
        <w:t>]</w:t>
      </w:r>
      <w:r>
        <w:rPr>
          <w:rStyle w:val="afb"/>
          <w:rFonts w:hint="cs"/>
          <w:rtl/>
        </w:rPr>
        <w:t>,</w:t>
      </w:r>
      <w:r>
        <w:rPr>
          <w:rFonts w:hint="cs"/>
          <w:rtl/>
        </w:rPr>
        <w:t xml:space="preserve"> אף במחזיק בקרקע</w:t>
      </w:r>
      <w:r w:rsidRPr="000D3F4D">
        <w:rPr>
          <w:rFonts w:hint="cs"/>
          <w:rtl/>
        </w:rPr>
        <w:t xml:space="preserve"> </w:t>
      </w:r>
      <w:r>
        <w:rPr>
          <w:rFonts w:hint="cs"/>
          <w:rtl/>
        </w:rPr>
        <w:t xml:space="preserve">יש ג' אופנים, והאופן הא' הוא כשיש ב' עדים שהחזיק ג"ש, דמעמידים את הקרקע בידו, והאופן הב' הוא כשאין עדים על חזקת ג"ש, דמוציאים מהמחזיק ומחזירים למרא קמא, והאופן הג' הוא כשיש ע"א שאכל פירות ג"ש, דהוא צריך להשבע, כיון דע"א קם לשבועה, אך אינו יכול להשבע, לא רק מחמת דאין נשבעין על הקרקעות, אלא כיון שאינו מכחיש את הע"א, דהוא מודה שאכל וטוען אין אכלי ודידי אכלי, </w:t>
      </w:r>
      <w:r w:rsidRPr="002A4A62">
        <w:rPr>
          <w:rStyle w:val="afb"/>
          <w:rFonts w:hint="cs"/>
          <w:rtl/>
        </w:rPr>
        <w:t xml:space="preserve">[וביאר </w:t>
      </w:r>
      <w:r w:rsidRPr="002A4A62">
        <w:rPr>
          <w:rStyle w:val="affa"/>
          <w:rFonts w:hint="cs"/>
          <w:rtl/>
        </w:rPr>
        <w:t>התוס' הרא"ש בשיטמ"ק</w:t>
      </w:r>
      <w:r w:rsidRPr="002A4A62">
        <w:rPr>
          <w:rStyle w:val="afb"/>
          <w:rFonts w:hint="cs"/>
          <w:rtl/>
        </w:rPr>
        <w:t xml:space="preserve"> </w:t>
      </w:r>
      <w:r w:rsidRPr="002A4A62">
        <w:rPr>
          <w:rStyle w:val="aff6"/>
          <w:rFonts w:hint="cs"/>
          <w:rtl/>
        </w:rPr>
        <w:t>(ד"ה פירש רשב"ם)</w:t>
      </w:r>
      <w:r w:rsidRPr="002A4A62">
        <w:rPr>
          <w:rStyle w:val="afb"/>
          <w:rFonts w:hint="cs"/>
          <w:rtl/>
        </w:rPr>
        <w:t xml:space="preserve"> את דברי </w:t>
      </w:r>
      <w:r w:rsidRPr="002A4A62">
        <w:rPr>
          <w:rStyle w:val="affa"/>
          <w:rFonts w:hint="cs"/>
          <w:rtl/>
        </w:rPr>
        <w:t>הרשב"ם</w:t>
      </w:r>
      <w:r w:rsidRPr="002A4A62">
        <w:rPr>
          <w:rStyle w:val="afb"/>
          <w:rFonts w:hint="cs"/>
          <w:rtl/>
        </w:rPr>
        <w:t xml:space="preserve"> דבב' האופנים הראשונים הנדון הוא לענין הקרקע, ובאופן הג' הנדון הוא לענין הפירות]</w:t>
      </w:r>
      <w:r>
        <w:rPr>
          <w:rStyle w:val="afb"/>
          <w:rFonts w:hint="cs"/>
          <w:rtl/>
        </w:rPr>
        <w:t>,</w:t>
      </w:r>
      <w:r>
        <w:rPr>
          <w:rFonts w:hint="cs"/>
          <w:rtl/>
        </w:rPr>
        <w:t xml:space="preserve">ועי' במה שהקשה </w:t>
      </w:r>
      <w:r w:rsidRPr="00D227C2">
        <w:rPr>
          <w:rStyle w:val="af9"/>
          <w:rFonts w:hint="cs"/>
          <w:rtl/>
        </w:rPr>
        <w:t>בחי' רבי נחום</w:t>
      </w:r>
      <w:r>
        <w:rPr>
          <w:rFonts w:hint="cs"/>
          <w:rtl/>
        </w:rPr>
        <w:t xml:space="preserve"> </w:t>
      </w:r>
      <w:r w:rsidRPr="00D227C2">
        <w:rPr>
          <w:rStyle w:val="af7"/>
          <w:rFonts w:eastAsia="Guttman Hodes" w:hint="cs"/>
          <w:rtl/>
        </w:rPr>
        <w:t>(או' קצ"ו ד"ה רשב"ם)</w:t>
      </w:r>
      <w:r>
        <w:rPr>
          <w:rFonts w:hint="cs"/>
          <w:rtl/>
        </w:rPr>
        <w:t xml:space="preserve"> על דברי </w:t>
      </w:r>
      <w:r w:rsidRPr="00D227C2">
        <w:rPr>
          <w:rStyle w:val="af9"/>
          <w:rFonts w:hint="cs"/>
          <w:rtl/>
        </w:rPr>
        <w:t>הרשב"ם</w:t>
      </w:r>
      <w:r>
        <w:rPr>
          <w:rFonts w:hint="cs"/>
          <w:rtl/>
        </w:rPr>
        <w:t>.</w:t>
      </w:r>
      <w:r>
        <w:rPr>
          <w:rStyle w:val="afb"/>
          <w:rFonts w:hint="cs"/>
          <w:rtl/>
        </w:rPr>
        <w:t xml:space="preserve"> </w:t>
      </w:r>
      <w:bookmarkEnd w:id="16884"/>
    </w:p>
    <w:p w:rsidR="000F5507" w:rsidRDefault="000F5507" w:rsidP="000F5507">
      <w:pPr>
        <w:pStyle w:val="1"/>
        <w:rPr>
          <w:rtl/>
        </w:rPr>
      </w:pPr>
      <w:bookmarkStart w:id="16885" w:name="_Toc64925383"/>
      <w:bookmarkStart w:id="16886" w:name="_Toc65141934"/>
      <w:bookmarkStart w:id="16887" w:name="_Toc65185627"/>
      <w:bookmarkStart w:id="16888" w:name="_Toc65529967"/>
      <w:bookmarkStart w:id="16889" w:name="_Toc65604050"/>
      <w:bookmarkStart w:id="16890" w:name="_Toc65605940"/>
      <w:bookmarkStart w:id="16891" w:name="_Toc65617197"/>
      <w:bookmarkStart w:id="16892" w:name="_Toc65666177"/>
      <w:bookmarkStart w:id="16893" w:name="_Toc65689838"/>
      <w:bookmarkStart w:id="16894" w:name="_Toc65703400"/>
      <w:bookmarkStart w:id="16895" w:name="_Toc65714068"/>
      <w:bookmarkStart w:id="16896" w:name="_Toc65714924"/>
      <w:r>
        <w:rPr>
          <w:rFonts w:hint="cs"/>
          <w:rtl/>
        </w:rPr>
        <w:t>דברי התוס' בהא דסבור רבנן ודברי אביי בע"א בחזקת ג"ש</w:t>
      </w:r>
      <w:bookmarkEnd w:id="16885"/>
      <w:bookmarkEnd w:id="16886"/>
      <w:bookmarkEnd w:id="16887"/>
      <w:bookmarkEnd w:id="16888"/>
      <w:bookmarkEnd w:id="16889"/>
      <w:bookmarkEnd w:id="16890"/>
      <w:bookmarkEnd w:id="16891"/>
      <w:bookmarkEnd w:id="16892"/>
      <w:bookmarkEnd w:id="16893"/>
      <w:bookmarkEnd w:id="16894"/>
      <w:bookmarkEnd w:id="16895"/>
      <w:bookmarkEnd w:id="16896"/>
    </w:p>
    <w:p w:rsidR="000F5507" w:rsidRPr="00D13DDC" w:rsidRDefault="000F5507" w:rsidP="000F5507">
      <w:pPr>
        <w:pStyle w:val="a3"/>
        <w:rPr>
          <w:rtl/>
        </w:rPr>
      </w:pPr>
      <w:bookmarkStart w:id="16897" w:name="_Toc65703401"/>
      <w:bookmarkStart w:id="16898" w:name="_Toc65714069"/>
      <w:bookmarkStart w:id="16899" w:name="_Toc65714925"/>
      <w:r>
        <w:rPr>
          <w:rFonts w:hint="cs"/>
          <w:rtl/>
        </w:rPr>
        <w:t>דברי התוס' דסבור רבנן דדמי לפירות דיש ריעותא בטענתו ע"י הע"א וחשיב שמחייבו שבועה</w:t>
      </w:r>
      <w:bookmarkEnd w:id="16897"/>
      <w:bookmarkEnd w:id="16898"/>
      <w:bookmarkEnd w:id="16899"/>
    </w:p>
    <w:p w:rsidR="000F5507" w:rsidRDefault="000F5507" w:rsidP="007E4E81">
      <w:pPr>
        <w:pStyle w:val="a0"/>
        <w:rPr>
          <w:rtl/>
        </w:rPr>
      </w:pPr>
      <w:r w:rsidRPr="00267EC9">
        <w:rPr>
          <w:rStyle w:val="af9"/>
          <w:rFonts w:hint="cs"/>
          <w:rtl/>
        </w:rPr>
        <w:t>והתוס'</w:t>
      </w:r>
      <w:r>
        <w:rPr>
          <w:rFonts w:hint="cs"/>
          <w:rtl/>
        </w:rPr>
        <w:t xml:space="preserve"> </w:t>
      </w:r>
      <w:r w:rsidRPr="00A530C5">
        <w:rPr>
          <w:rStyle w:val="af7"/>
          <w:rFonts w:eastAsia="Guttman Hodes" w:hint="cs"/>
          <w:rtl/>
        </w:rPr>
        <w:t>(לג: ד"ה היינו)</w:t>
      </w:r>
      <w:r>
        <w:rPr>
          <w:rFonts w:hint="cs"/>
          <w:rtl/>
        </w:rPr>
        <w:t xml:space="preserve"> כתבו דהא דסבור רבנן דדמי לנסכא דר"א, אין הכוונה לענין הקרקע, דהא פשיטא שצריך להחזיר את הקרקע, כיון שאין לו עידי חזקת ג"ש, אלא דסבור רבנן דאף את הפירות צריך להחזיר, מדין מתוך שאינו יכול לישבע משלם, דהו"א שהע"א עושה ריעותא בטענת המחזיק לענין הפירות שאכל, דאינו יכול לכפור ולומר לא אכלתי, ולכן סברי רבנן דחשיב שהע"א בא לחייבו שבועה על הפירות אם יכפור שלא אכל.</w:t>
      </w:r>
    </w:p>
    <w:p w:rsidR="000F5507" w:rsidRPr="00151999" w:rsidRDefault="000F5507" w:rsidP="000F5507">
      <w:pPr>
        <w:pStyle w:val="a3"/>
      </w:pPr>
      <w:bookmarkStart w:id="16900" w:name="_Toc65703402"/>
      <w:bookmarkStart w:id="16901" w:name="_Toc65714070"/>
      <w:bookmarkStart w:id="16902" w:name="_Toc65714926"/>
      <w:r>
        <w:rPr>
          <w:rFonts w:hint="cs"/>
          <w:rtl/>
        </w:rPr>
        <w:t>דברי התוס' כיון שאין עוד עד חשיב עדות על הפירות ולא לחזקה</w:t>
      </w:r>
      <w:r w:rsidRPr="00151999">
        <w:rPr>
          <w:rFonts w:hint="cs"/>
          <w:rtl/>
        </w:rPr>
        <w:t xml:space="preserve"> </w:t>
      </w:r>
      <w:r>
        <w:rPr>
          <w:rFonts w:hint="cs"/>
          <w:rtl/>
        </w:rPr>
        <w:t>ואינו מעיד לטובת המחזיק</w:t>
      </w:r>
      <w:bookmarkEnd w:id="16900"/>
      <w:bookmarkEnd w:id="16901"/>
      <w:bookmarkEnd w:id="16902"/>
    </w:p>
    <w:p w:rsidR="000F5507" w:rsidRDefault="000F5507" w:rsidP="007E4E81">
      <w:pPr>
        <w:pStyle w:val="a0"/>
        <w:rPr>
          <w:rtl/>
        </w:rPr>
      </w:pPr>
      <w:r>
        <w:rPr>
          <w:rFonts w:hint="cs"/>
          <w:rtl/>
        </w:rPr>
        <w:t xml:space="preserve">וכתבו </w:t>
      </w:r>
      <w:r w:rsidRPr="00151999">
        <w:rPr>
          <w:rStyle w:val="af9"/>
          <w:rFonts w:hint="cs"/>
          <w:rtl/>
        </w:rPr>
        <w:t xml:space="preserve">התוס' </w:t>
      </w:r>
      <w:r>
        <w:rPr>
          <w:rFonts w:hint="cs"/>
          <w:rtl/>
        </w:rPr>
        <w:t>דאעפ"י שהע"א מעיד לטובת המחזיק שיש לו חזקת ג"ש, מ"מ כיון שאין עוד עד שמצטרף עמו, חשיב כאילו אינו מעיד על החזקה, אלא הוא ע"א לתובעו פירות.</w:t>
      </w:r>
    </w:p>
    <w:p w:rsidR="000F5507" w:rsidRPr="00DA4AC2" w:rsidRDefault="000F5507" w:rsidP="000F5507">
      <w:pPr>
        <w:pStyle w:val="1"/>
        <w:rPr>
          <w:rtl/>
        </w:rPr>
      </w:pPr>
      <w:bookmarkStart w:id="16903" w:name="_Toc65604051"/>
      <w:bookmarkStart w:id="16904" w:name="_Toc65605941"/>
      <w:bookmarkStart w:id="16905" w:name="_Toc65617198"/>
      <w:bookmarkStart w:id="16906" w:name="_Toc65666178"/>
      <w:bookmarkStart w:id="16907" w:name="_Toc65689839"/>
      <w:bookmarkStart w:id="16908" w:name="_Toc65703403"/>
      <w:bookmarkStart w:id="16909" w:name="_Toc65714071"/>
      <w:bookmarkStart w:id="16910" w:name="_Toc65714927"/>
      <w:r>
        <w:rPr>
          <w:rFonts w:hint="cs"/>
          <w:rtl/>
        </w:rPr>
        <w:lastRenderedPageBreak/>
        <w:t>דברי התוס' הרמב"ן והריטב"א</w:t>
      </w:r>
      <w:bookmarkEnd w:id="16903"/>
      <w:bookmarkEnd w:id="16904"/>
      <w:bookmarkEnd w:id="16905"/>
      <w:bookmarkEnd w:id="16906"/>
      <w:bookmarkEnd w:id="16907"/>
      <w:r>
        <w:rPr>
          <w:rFonts w:hint="cs"/>
          <w:rtl/>
        </w:rPr>
        <w:t xml:space="preserve"> דאף בהו"א הנדון לענין הפירות</w:t>
      </w:r>
      <w:bookmarkEnd w:id="16908"/>
      <w:bookmarkEnd w:id="16909"/>
      <w:bookmarkEnd w:id="16910"/>
    </w:p>
    <w:p w:rsidR="000F5507" w:rsidRDefault="000F5507" w:rsidP="000F5507">
      <w:pPr>
        <w:pStyle w:val="a3"/>
        <w:rPr>
          <w:rtl/>
        </w:rPr>
      </w:pPr>
      <w:bookmarkStart w:id="16911" w:name="_Toc65703404"/>
      <w:bookmarkStart w:id="16912" w:name="_Toc65714072"/>
      <w:bookmarkStart w:id="16913" w:name="_Toc65714928"/>
      <w:bookmarkStart w:id="16914" w:name="_Toc65604052"/>
      <w:bookmarkStart w:id="16915" w:name="_Toc65605942"/>
      <w:bookmarkStart w:id="16916" w:name="_Toc65617199"/>
      <w:bookmarkStart w:id="16917" w:name="_Toc65666179"/>
      <w:bookmarkStart w:id="16918" w:name="_Toc65689840"/>
      <w:r>
        <w:rPr>
          <w:rFonts w:hint="cs"/>
          <w:rtl/>
        </w:rPr>
        <w:t>דברי התוס' דהא דאמרינן למסקנא דאיירי בפירות הוא אגב ב' שנים ואף בהו"א איירי בפירות</w:t>
      </w:r>
      <w:bookmarkEnd w:id="16911"/>
      <w:bookmarkEnd w:id="16912"/>
      <w:bookmarkEnd w:id="16913"/>
    </w:p>
    <w:p w:rsidR="000F5507" w:rsidRPr="00CD28C0" w:rsidRDefault="000F5507" w:rsidP="007E4E81">
      <w:pPr>
        <w:pStyle w:val="a0"/>
        <w:rPr>
          <w:rtl/>
        </w:rPr>
      </w:pPr>
      <w:bookmarkStart w:id="16919" w:name="_Ref65702282"/>
      <w:r>
        <w:rPr>
          <w:rFonts w:hint="cs"/>
          <w:rtl/>
        </w:rPr>
        <w:t xml:space="preserve">כתבו </w:t>
      </w:r>
      <w:r w:rsidRPr="00267EC9">
        <w:rPr>
          <w:rStyle w:val="af9"/>
          <w:rFonts w:hint="cs"/>
          <w:rtl/>
        </w:rPr>
        <w:t>התוס'</w:t>
      </w:r>
      <w:r>
        <w:rPr>
          <w:rFonts w:hint="cs"/>
          <w:rtl/>
        </w:rPr>
        <w:t xml:space="preserve"> </w:t>
      </w:r>
      <w:r w:rsidRPr="00A530C5">
        <w:rPr>
          <w:rStyle w:val="af7"/>
          <w:rFonts w:eastAsia="Guttman Hodes" w:hint="cs"/>
          <w:rtl/>
        </w:rPr>
        <w:t>(לג: ד"ה היינו)</w:t>
      </w:r>
      <w:r>
        <w:rPr>
          <w:rFonts w:hint="cs"/>
          <w:rtl/>
        </w:rPr>
        <w:t xml:space="preserve"> דהא דאמרינן למסקנא דדינא דר"א דמי לע"א שמעיד על אכילת ב' שנים, ולענין הפירות, באמת הגמ' לא הייתה צריכה להוסיף דהע"א הוא על הפירות, כיון דאף בהו"א איירי לענין הפירות, אלא אגב דאמרינן דמעיד על ב' שנים, נקטה הגמ' דהע"א מעיד גם על הפירות.</w:t>
      </w:r>
      <w:bookmarkEnd w:id="16919"/>
    </w:p>
    <w:p w:rsidR="000F5507" w:rsidRPr="00D13DDC" w:rsidRDefault="000F5507" w:rsidP="000F5507">
      <w:pPr>
        <w:pStyle w:val="a3"/>
        <w:rPr>
          <w:rtl/>
        </w:rPr>
      </w:pPr>
      <w:bookmarkStart w:id="16920" w:name="_Toc65703405"/>
      <w:bookmarkStart w:id="16921" w:name="_Toc65714073"/>
      <w:bookmarkStart w:id="16922" w:name="_Toc65714929"/>
      <w:r w:rsidRPr="00D13DDC">
        <w:rPr>
          <w:rFonts w:hint="cs"/>
          <w:rtl/>
        </w:rPr>
        <w:t>דברי הרמב"ן דסבור רבנן דע"א בחזקת ג"ש דמי לנסכא לענין הפירות ולא בקרקע כמו במסקנא</w:t>
      </w:r>
      <w:bookmarkEnd w:id="16914"/>
      <w:bookmarkEnd w:id="16915"/>
      <w:bookmarkEnd w:id="16916"/>
      <w:bookmarkEnd w:id="16917"/>
      <w:bookmarkEnd w:id="16918"/>
      <w:bookmarkEnd w:id="16920"/>
      <w:bookmarkEnd w:id="16921"/>
      <w:bookmarkEnd w:id="16922"/>
    </w:p>
    <w:p w:rsidR="000F5507" w:rsidRDefault="000F5507" w:rsidP="007E4E81">
      <w:pPr>
        <w:pStyle w:val="a0"/>
        <w:rPr>
          <w:rtl/>
        </w:rPr>
      </w:pPr>
      <w:bookmarkStart w:id="16923" w:name="_Ref65601475"/>
      <w:r w:rsidRPr="00660FEB">
        <w:rPr>
          <w:rStyle w:val="af9"/>
          <w:rFonts w:hint="cs"/>
          <w:rtl/>
        </w:rPr>
        <w:t>והרמב"ן</w:t>
      </w:r>
      <w:r>
        <w:rPr>
          <w:rFonts w:hint="cs"/>
          <w:rtl/>
        </w:rPr>
        <w:t xml:space="preserve"> </w:t>
      </w:r>
      <w:r w:rsidRPr="00660FEB">
        <w:rPr>
          <w:rStyle w:val="af7"/>
          <w:rFonts w:eastAsia="Guttman Hodes" w:hint="cs"/>
          <w:rtl/>
        </w:rPr>
        <w:t>(לג: ד"ה סבור)</w:t>
      </w:r>
      <w:r>
        <w:rPr>
          <w:rFonts w:hint="cs"/>
          <w:rtl/>
        </w:rPr>
        <w:t xml:space="preserve"> כתב דהא דסבור רבנן דדמי לנסכא דר"א, היינו לענין הפירות, וכמסקנת הגמ' דדמי לע"א שאכל פירות ב' שנים, אבל הקרקע ודאי חוזרת כיון שיש למערער עידי מרא קמא, ואין למחזיק עידי חזקה, וכ"כ </w:t>
      </w:r>
      <w:r w:rsidRPr="009222C6">
        <w:rPr>
          <w:rStyle w:val="af9"/>
          <w:rFonts w:hint="cs"/>
          <w:rtl/>
        </w:rPr>
        <w:t>הרשב"א</w:t>
      </w:r>
      <w:r w:rsidRPr="009222C6">
        <w:rPr>
          <w:rFonts w:hint="cs"/>
          <w:rtl/>
        </w:rPr>
        <w:t xml:space="preserve"> </w:t>
      </w:r>
      <w:r w:rsidRPr="009222C6">
        <w:rPr>
          <w:rStyle w:val="af7"/>
          <w:rFonts w:eastAsia="Guttman Rashi" w:hint="cs"/>
          <w:rtl/>
        </w:rPr>
        <w:t xml:space="preserve">(עי' אות </w:t>
      </w:r>
      <w:r w:rsidRPr="009222C6">
        <w:rPr>
          <w:rStyle w:val="af7"/>
          <w:rFonts w:eastAsia="Guttman Rashi"/>
          <w:rtl/>
        </w:rPr>
        <w:fldChar w:fldCharType="begin"/>
      </w:r>
      <w:r w:rsidRPr="009222C6">
        <w:rPr>
          <w:rStyle w:val="af7"/>
          <w:rFonts w:eastAsia="Guttman Rashi"/>
          <w:rtl/>
        </w:rPr>
        <w:instrText xml:space="preserve"> </w:instrText>
      </w:r>
      <w:r w:rsidRPr="009222C6">
        <w:rPr>
          <w:rStyle w:val="af7"/>
          <w:rFonts w:eastAsia="Guttman Rashi" w:hint="cs"/>
        </w:rPr>
        <w:instrText>REF</w:instrText>
      </w:r>
      <w:r w:rsidRPr="009222C6">
        <w:rPr>
          <w:rStyle w:val="af7"/>
          <w:rFonts w:eastAsia="Guttman Rashi" w:hint="cs"/>
          <w:rtl/>
        </w:rPr>
        <w:instrText xml:space="preserve"> _</w:instrText>
      </w:r>
      <w:r w:rsidRPr="009222C6">
        <w:rPr>
          <w:rStyle w:val="af7"/>
          <w:rFonts w:eastAsia="Guttman Rashi" w:hint="cs"/>
        </w:rPr>
        <w:instrText>Ref64921011 \r \h</w:instrText>
      </w:r>
      <w:r w:rsidRPr="009222C6">
        <w:rPr>
          <w:rStyle w:val="af7"/>
          <w:rFonts w:eastAsia="Guttman Rashi"/>
          <w:rtl/>
        </w:rPr>
        <w:instrText xml:space="preserve"> </w:instrText>
      </w:r>
      <w:r w:rsidRPr="009222C6">
        <w:rPr>
          <w:rStyle w:val="af7"/>
          <w:rFonts w:eastAsia="Guttman Rashi"/>
          <w:rtl/>
        </w:rPr>
      </w:r>
      <w:r w:rsidRPr="009222C6">
        <w:rPr>
          <w:rStyle w:val="af7"/>
          <w:rFonts w:eastAsia="Guttman Rashi"/>
          <w:rtl/>
        </w:rPr>
        <w:fldChar w:fldCharType="separate"/>
      </w:r>
      <w:r w:rsidR="00265073">
        <w:rPr>
          <w:rStyle w:val="af7"/>
          <w:rFonts w:eastAsia="Guttman Rashi"/>
          <w:cs/>
        </w:rPr>
        <w:t>‎</w:t>
      </w:r>
      <w:r w:rsidR="00265073">
        <w:rPr>
          <w:rStyle w:val="af7"/>
          <w:rFonts w:eastAsia="Guttman Rashi"/>
          <w:rtl/>
        </w:rPr>
        <w:t>עב)</w:t>
      </w:r>
      <w:r w:rsidRPr="009222C6">
        <w:rPr>
          <w:rStyle w:val="af7"/>
          <w:rFonts w:eastAsia="Guttman Rashi"/>
          <w:rtl/>
        </w:rPr>
        <w:fldChar w:fldCharType="end"/>
      </w:r>
      <w:r>
        <w:rPr>
          <w:rFonts w:hint="cs"/>
          <w:rtl/>
        </w:rPr>
        <w:t>.</w:t>
      </w:r>
      <w:bookmarkEnd w:id="16923"/>
    </w:p>
    <w:p w:rsidR="000F5507" w:rsidRPr="00D13DDC" w:rsidRDefault="000F5507" w:rsidP="000F5507">
      <w:pPr>
        <w:pStyle w:val="a3"/>
        <w:rPr>
          <w:rtl/>
        </w:rPr>
      </w:pPr>
      <w:bookmarkStart w:id="16924" w:name="_Toc65604053"/>
      <w:bookmarkStart w:id="16925" w:name="_Toc65605943"/>
      <w:bookmarkStart w:id="16926" w:name="_Toc65617200"/>
      <w:bookmarkStart w:id="16927" w:name="_Toc65666180"/>
      <w:bookmarkStart w:id="16928" w:name="_Toc65689841"/>
      <w:bookmarkStart w:id="16929" w:name="_Toc65703406"/>
      <w:bookmarkStart w:id="16930" w:name="_Toc65714074"/>
      <w:bookmarkStart w:id="16931" w:name="_Toc65714930"/>
      <w:r w:rsidRPr="00D13DDC">
        <w:rPr>
          <w:rFonts w:hint="cs"/>
          <w:rtl/>
        </w:rPr>
        <w:t>דברי הריטב"א דהקרקע ל"ד כלל לנסכא וכוונת הגמ' במסקנא דפירות בב' שנים ממש כנסכא</w:t>
      </w:r>
      <w:bookmarkEnd w:id="16924"/>
      <w:bookmarkEnd w:id="16925"/>
      <w:bookmarkEnd w:id="16926"/>
      <w:bookmarkEnd w:id="16927"/>
      <w:bookmarkEnd w:id="16928"/>
      <w:bookmarkEnd w:id="16929"/>
      <w:bookmarkEnd w:id="16930"/>
      <w:bookmarkEnd w:id="16931"/>
    </w:p>
    <w:p w:rsidR="000F5507" w:rsidRDefault="000F5507" w:rsidP="007E4E81">
      <w:pPr>
        <w:pStyle w:val="a0"/>
        <w:rPr>
          <w:rtl/>
        </w:rPr>
      </w:pPr>
      <w:bookmarkStart w:id="16932" w:name="_Ref64959916"/>
      <w:r>
        <w:rPr>
          <w:rFonts w:hint="cs"/>
          <w:rtl/>
        </w:rPr>
        <w:t xml:space="preserve">וכ"כ </w:t>
      </w:r>
      <w:r w:rsidRPr="00D4241C">
        <w:rPr>
          <w:rStyle w:val="af9"/>
          <w:rFonts w:hint="cs"/>
          <w:rtl/>
        </w:rPr>
        <w:t>הריטב"א</w:t>
      </w:r>
      <w:r>
        <w:rPr>
          <w:rFonts w:hint="cs"/>
          <w:rtl/>
        </w:rPr>
        <w:t xml:space="preserve"> </w:t>
      </w:r>
      <w:r w:rsidRPr="00D4241C">
        <w:rPr>
          <w:rStyle w:val="af7"/>
          <w:rFonts w:eastAsia="Guttman Hodes" w:hint="cs"/>
          <w:rtl/>
        </w:rPr>
        <w:t>(לג: ד"ה ההוא)</w:t>
      </w:r>
      <w:r>
        <w:rPr>
          <w:rFonts w:hint="cs"/>
          <w:rtl/>
        </w:rPr>
        <w:t xml:space="preserve"> דכל מה שדימתה הגמ' לנסכא דר"א, הוא רק לענין הפירות, אבל לענין הקרקע לא שייך כלל לדמות לנסכא דר"א, דהא יש למערער עידי מרא קמא, וכן לא שייך שבועה בקרקע דהא אין נשבעין על הקרקעות שבועה דאו', וכתב </w:t>
      </w:r>
      <w:r w:rsidRPr="00D4241C">
        <w:rPr>
          <w:rStyle w:val="af9"/>
          <w:rFonts w:hint="cs"/>
          <w:rtl/>
        </w:rPr>
        <w:t>הריטב"א</w:t>
      </w:r>
      <w:r>
        <w:rPr>
          <w:rFonts w:hint="cs"/>
          <w:rtl/>
        </w:rPr>
        <w:t xml:space="preserve"> דהא דאמרינן למסקנא דנסכא דר"א דמי לע"א שמעיד על אכילת ב' שנים, ואמרינן דהוא לענין הפירות, אין כוונת הגמ' לומר דבהו"א הנדון היה על הקרקע ולא על הפירות, אלא כוונת הגמ' לומר דלמסקנא דמי ממש לנסכא דר"א. [ועי' </w:t>
      </w:r>
      <w:r w:rsidRPr="009222C6">
        <w:rPr>
          <w:rFonts w:hint="cs"/>
          <w:rtl/>
        </w:rPr>
        <w:t>במ</w:t>
      </w:r>
      <w:r>
        <w:rPr>
          <w:rFonts w:hint="cs"/>
          <w:rtl/>
        </w:rPr>
        <w:t>ה שביאר</w:t>
      </w:r>
      <w:r w:rsidRPr="009222C6">
        <w:rPr>
          <w:rFonts w:hint="cs"/>
          <w:rtl/>
        </w:rPr>
        <w:t xml:space="preserve"> </w:t>
      </w:r>
      <w:r w:rsidRPr="009222C6">
        <w:rPr>
          <w:rStyle w:val="af9"/>
          <w:rFonts w:hint="cs"/>
          <w:rtl/>
        </w:rPr>
        <w:t>הרשב"א</w:t>
      </w:r>
      <w:r w:rsidRPr="009222C6">
        <w:rPr>
          <w:rFonts w:hint="cs"/>
          <w:rtl/>
        </w:rPr>
        <w:t xml:space="preserve"> </w:t>
      </w:r>
      <w:r w:rsidRPr="009222C6">
        <w:rPr>
          <w:rStyle w:val="af7"/>
          <w:rFonts w:eastAsia="Guttman Rashi" w:hint="cs"/>
          <w:rtl/>
        </w:rPr>
        <w:t xml:space="preserve">(עי' אות </w:t>
      </w:r>
      <w:r w:rsidRPr="009222C6">
        <w:rPr>
          <w:rStyle w:val="af7"/>
          <w:rFonts w:eastAsia="Guttman Rashi"/>
          <w:rtl/>
        </w:rPr>
        <w:fldChar w:fldCharType="begin"/>
      </w:r>
      <w:r w:rsidRPr="009222C6">
        <w:rPr>
          <w:rStyle w:val="af7"/>
          <w:rFonts w:eastAsia="Guttman Rashi"/>
          <w:rtl/>
        </w:rPr>
        <w:instrText xml:space="preserve"> </w:instrText>
      </w:r>
      <w:r w:rsidRPr="009222C6">
        <w:rPr>
          <w:rStyle w:val="af7"/>
          <w:rFonts w:eastAsia="Guttman Rashi" w:hint="cs"/>
        </w:rPr>
        <w:instrText>REF</w:instrText>
      </w:r>
      <w:r w:rsidRPr="009222C6">
        <w:rPr>
          <w:rStyle w:val="af7"/>
          <w:rFonts w:eastAsia="Guttman Rashi" w:hint="cs"/>
          <w:rtl/>
        </w:rPr>
        <w:instrText xml:space="preserve"> _</w:instrText>
      </w:r>
      <w:r w:rsidRPr="009222C6">
        <w:rPr>
          <w:rStyle w:val="af7"/>
          <w:rFonts w:eastAsia="Guttman Rashi" w:hint="cs"/>
        </w:rPr>
        <w:instrText>Ref64921005 \r \h</w:instrText>
      </w:r>
      <w:r w:rsidRPr="009222C6">
        <w:rPr>
          <w:rStyle w:val="af7"/>
          <w:rFonts w:eastAsia="Guttman Rashi"/>
          <w:rtl/>
        </w:rPr>
        <w:instrText xml:space="preserve"> </w:instrText>
      </w:r>
      <w:r w:rsidRPr="009222C6">
        <w:rPr>
          <w:rStyle w:val="af7"/>
          <w:rFonts w:eastAsia="Guttman Rashi"/>
          <w:rtl/>
        </w:rPr>
      </w:r>
      <w:r w:rsidRPr="009222C6">
        <w:rPr>
          <w:rStyle w:val="af7"/>
          <w:rFonts w:eastAsia="Guttman Rashi"/>
          <w:rtl/>
        </w:rPr>
        <w:fldChar w:fldCharType="separate"/>
      </w:r>
      <w:r w:rsidR="00265073">
        <w:rPr>
          <w:rStyle w:val="af7"/>
          <w:rFonts w:eastAsia="Guttman Rashi"/>
          <w:cs/>
        </w:rPr>
        <w:t>‎</w:t>
      </w:r>
      <w:r w:rsidR="00265073">
        <w:rPr>
          <w:rStyle w:val="af7"/>
          <w:rFonts w:eastAsia="Guttman Rashi"/>
          <w:rtl/>
        </w:rPr>
        <w:t>עא)</w:t>
      </w:r>
      <w:r w:rsidRPr="009222C6">
        <w:rPr>
          <w:rStyle w:val="af7"/>
          <w:rFonts w:eastAsia="Guttman Rashi"/>
          <w:rtl/>
        </w:rPr>
        <w:fldChar w:fldCharType="end"/>
      </w:r>
      <w:r w:rsidRPr="009222C6">
        <w:rPr>
          <w:rFonts w:hint="cs"/>
          <w:rtl/>
        </w:rPr>
        <w:t xml:space="preserve"> בדעת </w:t>
      </w:r>
      <w:r w:rsidRPr="009222C6">
        <w:rPr>
          <w:rStyle w:val="af9"/>
          <w:rFonts w:hint="cs"/>
          <w:rtl/>
        </w:rPr>
        <w:t>הרשב"ם</w:t>
      </w:r>
      <w:r w:rsidRPr="009222C6">
        <w:rPr>
          <w:rFonts w:hint="cs"/>
          <w:rtl/>
        </w:rPr>
        <w:t xml:space="preserve">, ובמה שדחה </w:t>
      </w:r>
      <w:r w:rsidRPr="009222C6">
        <w:rPr>
          <w:rStyle w:val="af9"/>
          <w:rFonts w:hint="cs"/>
          <w:rtl/>
        </w:rPr>
        <w:t>הרשב"א</w:t>
      </w:r>
      <w:r w:rsidRPr="009222C6">
        <w:rPr>
          <w:rFonts w:hint="cs"/>
          <w:rtl/>
        </w:rPr>
        <w:t xml:space="preserve"> </w:t>
      </w:r>
      <w:r w:rsidRPr="009222C6">
        <w:rPr>
          <w:rStyle w:val="af7"/>
          <w:rFonts w:eastAsia="Guttman Rashi" w:hint="cs"/>
          <w:rtl/>
        </w:rPr>
        <w:t xml:space="preserve">(עי' אות </w:t>
      </w:r>
      <w:r w:rsidRPr="009222C6">
        <w:rPr>
          <w:rStyle w:val="af7"/>
          <w:rFonts w:eastAsia="Guttman Rashi"/>
          <w:rtl/>
        </w:rPr>
        <w:fldChar w:fldCharType="begin"/>
      </w:r>
      <w:r w:rsidRPr="009222C6">
        <w:rPr>
          <w:rStyle w:val="af7"/>
          <w:rFonts w:eastAsia="Guttman Rashi"/>
          <w:rtl/>
        </w:rPr>
        <w:instrText xml:space="preserve"> </w:instrText>
      </w:r>
      <w:r w:rsidRPr="009222C6">
        <w:rPr>
          <w:rStyle w:val="af7"/>
          <w:rFonts w:eastAsia="Guttman Rashi" w:hint="cs"/>
        </w:rPr>
        <w:instrText>REF</w:instrText>
      </w:r>
      <w:r w:rsidRPr="009222C6">
        <w:rPr>
          <w:rStyle w:val="af7"/>
          <w:rFonts w:eastAsia="Guttman Rashi" w:hint="cs"/>
          <w:rtl/>
        </w:rPr>
        <w:instrText xml:space="preserve"> _</w:instrText>
      </w:r>
      <w:r w:rsidRPr="009222C6">
        <w:rPr>
          <w:rStyle w:val="af7"/>
          <w:rFonts w:eastAsia="Guttman Rashi" w:hint="cs"/>
        </w:rPr>
        <w:instrText>Ref64921011 \r \h</w:instrText>
      </w:r>
      <w:r w:rsidRPr="009222C6">
        <w:rPr>
          <w:rStyle w:val="af7"/>
          <w:rFonts w:eastAsia="Guttman Rashi"/>
          <w:rtl/>
        </w:rPr>
        <w:instrText xml:space="preserve"> </w:instrText>
      </w:r>
      <w:r w:rsidRPr="009222C6">
        <w:rPr>
          <w:rStyle w:val="af7"/>
          <w:rFonts w:eastAsia="Guttman Rashi"/>
          <w:rtl/>
        </w:rPr>
      </w:r>
      <w:r w:rsidRPr="009222C6">
        <w:rPr>
          <w:rStyle w:val="af7"/>
          <w:rFonts w:eastAsia="Guttman Rashi"/>
          <w:rtl/>
        </w:rPr>
        <w:fldChar w:fldCharType="separate"/>
      </w:r>
      <w:r w:rsidR="00265073">
        <w:rPr>
          <w:rStyle w:val="af7"/>
          <w:rFonts w:eastAsia="Guttman Rashi"/>
          <w:cs/>
        </w:rPr>
        <w:t>‎</w:t>
      </w:r>
      <w:r w:rsidR="00265073">
        <w:rPr>
          <w:rStyle w:val="af7"/>
          <w:rFonts w:eastAsia="Guttman Rashi"/>
          <w:rtl/>
        </w:rPr>
        <w:t>עב)</w:t>
      </w:r>
      <w:r w:rsidRPr="009222C6">
        <w:rPr>
          <w:rStyle w:val="af7"/>
          <w:rFonts w:eastAsia="Guttman Rashi"/>
          <w:rtl/>
        </w:rPr>
        <w:fldChar w:fldCharType="end"/>
      </w:r>
      <w:r w:rsidRPr="009222C6">
        <w:rPr>
          <w:rFonts w:hint="cs"/>
          <w:rtl/>
        </w:rPr>
        <w:t xml:space="preserve"> את ביאור</w:t>
      </w:r>
      <w:r w:rsidRPr="009222C6">
        <w:rPr>
          <w:rStyle w:val="af9"/>
          <w:rFonts w:hint="cs"/>
          <w:rtl/>
        </w:rPr>
        <w:t xml:space="preserve"> הרשב"ם</w:t>
      </w:r>
      <w:r>
        <w:rPr>
          <w:rFonts w:hint="cs"/>
          <w:rtl/>
        </w:rPr>
        <w:t>]</w:t>
      </w:r>
      <w:r w:rsidRPr="009222C6">
        <w:rPr>
          <w:rFonts w:hint="cs"/>
          <w:rtl/>
        </w:rPr>
        <w:t>.</w:t>
      </w:r>
      <w:bookmarkEnd w:id="16932"/>
    </w:p>
    <w:p w:rsidR="000F5507" w:rsidRDefault="000F5507" w:rsidP="000F5507">
      <w:pPr>
        <w:pStyle w:val="1"/>
        <w:rPr>
          <w:rtl/>
        </w:rPr>
      </w:pPr>
      <w:bookmarkStart w:id="16933" w:name="_Toc64925384"/>
      <w:bookmarkStart w:id="16934" w:name="_Toc65141935"/>
      <w:bookmarkStart w:id="16935" w:name="_Toc65185628"/>
      <w:bookmarkStart w:id="16936" w:name="_Toc65529968"/>
      <w:bookmarkStart w:id="16937" w:name="_Toc65604054"/>
      <w:bookmarkStart w:id="16938" w:name="_Toc65605944"/>
      <w:bookmarkStart w:id="16939" w:name="_Toc65617201"/>
      <w:bookmarkStart w:id="16940" w:name="_Toc65666181"/>
      <w:bookmarkStart w:id="16941" w:name="_Toc65689842"/>
      <w:bookmarkStart w:id="16942" w:name="_Toc65703407"/>
      <w:bookmarkStart w:id="16943" w:name="_Toc65714075"/>
      <w:bookmarkStart w:id="16944" w:name="_Toc65714931"/>
      <w:r>
        <w:rPr>
          <w:rFonts w:hint="cs"/>
          <w:rtl/>
        </w:rPr>
        <w:t>בי' רבינו יונה דמכח חזקת מר"ק חשיב שמעיד שאכל בגזלנות</w:t>
      </w:r>
      <w:bookmarkEnd w:id="16933"/>
      <w:bookmarkEnd w:id="16934"/>
      <w:bookmarkEnd w:id="16935"/>
      <w:bookmarkEnd w:id="16936"/>
      <w:bookmarkEnd w:id="16937"/>
      <w:bookmarkEnd w:id="16938"/>
      <w:bookmarkEnd w:id="16939"/>
      <w:bookmarkEnd w:id="16940"/>
      <w:bookmarkEnd w:id="16941"/>
      <w:bookmarkEnd w:id="16942"/>
      <w:bookmarkEnd w:id="16943"/>
      <w:bookmarkEnd w:id="16944"/>
    </w:p>
    <w:p w:rsidR="000F5507" w:rsidRPr="00D13DDC" w:rsidRDefault="000F5507" w:rsidP="000F5507">
      <w:pPr>
        <w:pStyle w:val="a3"/>
        <w:rPr>
          <w:rtl/>
        </w:rPr>
      </w:pPr>
      <w:bookmarkStart w:id="16945" w:name="_Toc65703408"/>
      <w:bookmarkStart w:id="16946" w:name="_Toc65714076"/>
      <w:bookmarkStart w:id="16947" w:name="_Toc65714932"/>
      <w:r>
        <w:rPr>
          <w:rFonts w:hint="cs"/>
          <w:rtl/>
        </w:rPr>
        <w:t>קושית רבינו יונה דמה ההו"א דע"א בג"ש דמי לנסכא הא בב' עדים זוכה המחזיק בקרקע</w:t>
      </w:r>
      <w:bookmarkEnd w:id="16945"/>
      <w:bookmarkEnd w:id="16946"/>
      <w:bookmarkEnd w:id="16947"/>
    </w:p>
    <w:p w:rsidR="000F5507" w:rsidRPr="007E2923" w:rsidRDefault="000F5507" w:rsidP="007E4E81">
      <w:pPr>
        <w:pStyle w:val="a0"/>
        <w:rPr>
          <w:rStyle w:val="afb"/>
          <w:rtl/>
        </w:rPr>
      </w:pPr>
      <w:r>
        <w:rPr>
          <w:rFonts w:hint="cs"/>
          <w:rtl/>
        </w:rPr>
        <w:t>בהא דסבור רבנן דע"א שהחזיק בקרקע ג"ש, וטוען המחזיק אין אכלי ודידי אכלי, דמי לר"א</w:t>
      </w:r>
      <w:r w:rsidRPr="00E310A3">
        <w:rPr>
          <w:rFonts w:hint="cs"/>
          <w:rtl/>
        </w:rPr>
        <w:t xml:space="preserve"> </w:t>
      </w:r>
      <w:r>
        <w:rPr>
          <w:rFonts w:hint="cs"/>
          <w:rtl/>
        </w:rPr>
        <w:t xml:space="preserve">דאמרינן מתוך שאינו יכול לישבע משלם, הקשה </w:t>
      </w:r>
      <w:r w:rsidRPr="007E2923">
        <w:rPr>
          <w:rStyle w:val="af9"/>
          <w:rFonts w:hint="cs"/>
          <w:rtl/>
        </w:rPr>
        <w:t xml:space="preserve">רבינו יונה </w:t>
      </w:r>
      <w:r w:rsidRPr="007E2923">
        <w:rPr>
          <w:rStyle w:val="af7"/>
          <w:rFonts w:eastAsia="Guttman Hodes" w:hint="cs"/>
          <w:rtl/>
        </w:rPr>
        <w:t>(ד"ה א"ל ר"א)</w:t>
      </w:r>
      <w:r>
        <w:rPr>
          <w:rFonts w:hint="cs"/>
          <w:rtl/>
        </w:rPr>
        <w:t xml:space="preserve"> דהא אי העד נאמן שאכל ג"ש, א"כ זכה המחזיק בקרקע, דהרי אם היו ב' עדים שמעידים שאכל ג"ש ודאי שהוא זוכה בחזקה, וכתב </w:t>
      </w:r>
      <w:r w:rsidRPr="00401FF6">
        <w:rPr>
          <w:rStyle w:val="af9"/>
          <w:rFonts w:hint="cs"/>
          <w:rtl/>
        </w:rPr>
        <w:t>רבינו יונה</w:t>
      </w:r>
      <w:r>
        <w:rPr>
          <w:rFonts w:hint="cs"/>
          <w:rtl/>
        </w:rPr>
        <w:t xml:space="preserve"> דאעפ"י דדחה אביי דלא דמי לרבי אבא כיון שהע"א בא לסייע למחזיק, מ"מ צריך לבאר מה ההו"א דסבור רבנן. </w:t>
      </w:r>
      <w:r w:rsidRPr="007E2923">
        <w:rPr>
          <w:rStyle w:val="afb"/>
          <w:rFonts w:hint="cs"/>
          <w:rtl/>
        </w:rPr>
        <w:t xml:space="preserve">[כוונת </w:t>
      </w:r>
      <w:r w:rsidRPr="005D7CCF">
        <w:rPr>
          <w:rStyle w:val="affa"/>
          <w:rFonts w:hint="cs"/>
          <w:rtl/>
        </w:rPr>
        <w:t>רבינו יונה</w:t>
      </w:r>
      <w:r w:rsidRPr="007E2923">
        <w:rPr>
          <w:rStyle w:val="afb"/>
          <w:rFonts w:hint="cs"/>
          <w:rtl/>
        </w:rPr>
        <w:t xml:space="preserve"> להקשות לפי מה שביאר </w:t>
      </w:r>
      <w:r w:rsidRPr="005D7CCF">
        <w:rPr>
          <w:rStyle w:val="affa"/>
          <w:rFonts w:hint="cs"/>
          <w:rtl/>
        </w:rPr>
        <w:t>רבינו יונה</w:t>
      </w:r>
      <w:r w:rsidRPr="00C33AD4">
        <w:rPr>
          <w:rStyle w:val="af9"/>
          <w:rFonts w:hint="cs"/>
          <w:rtl/>
        </w:rPr>
        <w:t xml:space="preserve"> </w:t>
      </w:r>
      <w:r w:rsidRPr="005D7CCF">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Ref65702598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כה)</w:t>
      </w:r>
      <w:r>
        <w:rPr>
          <w:rStyle w:val="aff6"/>
          <w:rtl/>
        </w:rPr>
        <w:fldChar w:fldCharType="end"/>
      </w:r>
      <w:r>
        <w:rPr>
          <w:rStyle w:val="aff6"/>
          <w:rFonts w:hint="cs"/>
          <w:rtl/>
        </w:rPr>
        <w:t xml:space="preserve"> </w:t>
      </w:r>
      <w:r w:rsidRPr="007E2923">
        <w:rPr>
          <w:rStyle w:val="afb"/>
          <w:rFonts w:hint="cs"/>
          <w:rtl/>
        </w:rPr>
        <w:t>בדברי רבי אבא, דדין מתוך שאינו יכול לישבע משלם, הוא כיון דכל שאינו יכול להשבע להכחיש את העד, נאמן העד כשנים, ואי הכא הוא נאמן כשנים, א"כ יש לו חזקת ג"ש].</w:t>
      </w:r>
    </w:p>
    <w:p w:rsidR="000F5507" w:rsidRPr="00D13DDC" w:rsidRDefault="000F5507" w:rsidP="000F5507">
      <w:pPr>
        <w:pStyle w:val="a3"/>
        <w:rPr>
          <w:rtl/>
        </w:rPr>
      </w:pPr>
      <w:bookmarkStart w:id="16948" w:name="_Toc65703409"/>
      <w:bookmarkStart w:id="16949" w:name="_Toc65714077"/>
      <w:bookmarkStart w:id="16950" w:name="_Toc65714933"/>
      <w:r>
        <w:rPr>
          <w:rFonts w:hint="cs"/>
          <w:rtl/>
        </w:rPr>
        <w:t>בי' רבינו יונה דבע"א על חזקה דהקרקע בחזקת המר"ק אנו דנים שהעיד על אכילת פירות בגזל</w:t>
      </w:r>
      <w:bookmarkEnd w:id="16948"/>
      <w:bookmarkEnd w:id="16949"/>
      <w:bookmarkEnd w:id="16950"/>
    </w:p>
    <w:p w:rsidR="000F5507" w:rsidRDefault="000F5507" w:rsidP="007E4E81">
      <w:pPr>
        <w:pStyle w:val="a0"/>
        <w:rPr>
          <w:rtl/>
        </w:rPr>
      </w:pPr>
      <w:r>
        <w:rPr>
          <w:rFonts w:hint="cs"/>
          <w:rtl/>
        </w:rPr>
        <w:t xml:space="preserve">ותירץ </w:t>
      </w:r>
      <w:r w:rsidRPr="007E2923">
        <w:rPr>
          <w:rStyle w:val="af9"/>
          <w:rFonts w:hint="cs"/>
          <w:rtl/>
        </w:rPr>
        <w:t xml:space="preserve">רבינו יונה </w:t>
      </w:r>
      <w:r>
        <w:rPr>
          <w:rFonts w:hint="cs"/>
          <w:rtl/>
        </w:rPr>
        <w:t xml:space="preserve">דסבור רבנן בהו"א דכיון שהקרקע חוזרת למערער בעידי מרא קמא, והמחזיק אינו יכול לזכות בה ע"י ע"א, א"כ כל שיש ע"א שאכל ג"ש, אנו מחייבים את המחזיק על אכילת הפירות מכח עדות הע"א, דאמרינן שאכל ג"ש בגזלנות, וביאר </w:t>
      </w:r>
      <w:r w:rsidRPr="007E2923">
        <w:rPr>
          <w:rStyle w:val="af9"/>
          <w:rFonts w:hint="cs"/>
          <w:rtl/>
        </w:rPr>
        <w:t>רבינו יונה</w:t>
      </w:r>
      <w:r>
        <w:rPr>
          <w:rFonts w:hint="cs"/>
          <w:rtl/>
        </w:rPr>
        <w:t xml:space="preserve"> דאעפ"י שאם היו ב' עדים שמעידים שאכל פירות ג"ש, היה זוכה בקרקע ובפירות, מ"מ כיון שכשיש רק ע"א, הקרקע היא בחזקת המרא קמא, לכן אנו דנים שעדות הע"א היא שאכל פירות בגזלנות. </w:t>
      </w:r>
    </w:p>
    <w:p w:rsidR="000F5507" w:rsidRPr="00103A68" w:rsidRDefault="000F5507" w:rsidP="000F5507">
      <w:pPr>
        <w:pStyle w:val="a3"/>
        <w:rPr>
          <w:rtl/>
        </w:rPr>
      </w:pPr>
    </w:p>
    <w:p w:rsidR="000F5507" w:rsidRDefault="000F5507" w:rsidP="000F5507">
      <w:pPr>
        <w:pStyle w:val="1"/>
        <w:rPr>
          <w:rtl/>
        </w:rPr>
      </w:pPr>
      <w:bookmarkStart w:id="16951" w:name="_Toc65604055"/>
      <w:bookmarkStart w:id="16952" w:name="_Toc65605945"/>
      <w:bookmarkStart w:id="16953" w:name="_Toc65617202"/>
      <w:bookmarkStart w:id="16954" w:name="_Toc65666182"/>
      <w:bookmarkStart w:id="16955" w:name="_Toc65689843"/>
      <w:bookmarkStart w:id="16956" w:name="_Toc65703410"/>
      <w:bookmarkStart w:id="16957" w:name="_Toc65714078"/>
      <w:bookmarkStart w:id="16958" w:name="_Toc65714934"/>
      <w:r>
        <w:rPr>
          <w:rFonts w:hint="cs"/>
          <w:rtl/>
        </w:rPr>
        <w:t>בי' הרשב"ם באביי דבע"א על חזקה לא הורע כחו כמו בנסכא</w:t>
      </w:r>
      <w:bookmarkEnd w:id="16951"/>
      <w:bookmarkEnd w:id="16952"/>
      <w:bookmarkEnd w:id="16953"/>
      <w:bookmarkEnd w:id="16954"/>
      <w:bookmarkEnd w:id="16955"/>
      <w:bookmarkEnd w:id="16956"/>
      <w:bookmarkEnd w:id="16957"/>
      <w:bookmarkEnd w:id="16958"/>
    </w:p>
    <w:p w:rsidR="000F5507" w:rsidRPr="00D13DDC" w:rsidRDefault="000F5507" w:rsidP="000F5507">
      <w:pPr>
        <w:pStyle w:val="a3"/>
        <w:rPr>
          <w:rtl/>
        </w:rPr>
      </w:pPr>
      <w:bookmarkStart w:id="16959" w:name="_Toc65604056"/>
      <w:bookmarkStart w:id="16960" w:name="_Toc65605946"/>
      <w:bookmarkStart w:id="16961" w:name="_Toc65617203"/>
      <w:bookmarkStart w:id="16962" w:name="_Toc65666183"/>
      <w:bookmarkStart w:id="16963" w:name="_Toc65689844"/>
      <w:bookmarkStart w:id="16964" w:name="_Toc65703411"/>
      <w:bookmarkStart w:id="16965" w:name="_Toc65714079"/>
      <w:bookmarkStart w:id="16966" w:name="_Toc65714935"/>
      <w:r w:rsidRPr="00D13DDC">
        <w:rPr>
          <w:rFonts w:hint="cs"/>
          <w:rtl/>
        </w:rPr>
        <w:t>ביאור הרשב"ם באביי דבנסכא הורע כח החוטף אבל בחזקה לא הורע כחו וא"א לומר משאיל"מ</w:t>
      </w:r>
      <w:bookmarkEnd w:id="16959"/>
      <w:bookmarkEnd w:id="16960"/>
      <w:bookmarkEnd w:id="16961"/>
      <w:bookmarkEnd w:id="16962"/>
      <w:bookmarkEnd w:id="16963"/>
      <w:bookmarkEnd w:id="16964"/>
      <w:bookmarkEnd w:id="16965"/>
      <w:bookmarkEnd w:id="16966"/>
    </w:p>
    <w:p w:rsidR="000F5507" w:rsidRDefault="000F5507" w:rsidP="007E4E81">
      <w:pPr>
        <w:pStyle w:val="a0"/>
        <w:rPr>
          <w:rtl/>
        </w:rPr>
      </w:pPr>
      <w:bookmarkStart w:id="16967" w:name="_Ref65605575"/>
      <w:r>
        <w:rPr>
          <w:rFonts w:hint="cs"/>
          <w:rtl/>
        </w:rPr>
        <w:t xml:space="preserve">ובהא דדחה אביי דע"א על חזקת ג"ש לא דמי לר"א, ביאר </w:t>
      </w:r>
      <w:r w:rsidRPr="00323898">
        <w:rPr>
          <w:rStyle w:val="af9"/>
          <w:rFonts w:hint="cs"/>
          <w:rtl/>
        </w:rPr>
        <w:t>הרשב"ם</w:t>
      </w:r>
      <w:r>
        <w:rPr>
          <w:rFonts w:hint="cs"/>
          <w:rtl/>
        </w:rPr>
        <w:t xml:space="preserve"> </w:t>
      </w:r>
      <w:r w:rsidRPr="00DC0675">
        <w:rPr>
          <w:rStyle w:val="af7"/>
          <w:rFonts w:eastAsia="Guttman Hodes" w:hint="cs"/>
          <w:rtl/>
        </w:rPr>
        <w:t>(ד"ה התם)</w:t>
      </w:r>
      <w:r>
        <w:rPr>
          <w:rFonts w:hint="cs"/>
          <w:rtl/>
        </w:rPr>
        <w:t xml:space="preserve"> דבנסכא דר"א הע"א בא לעשות ריעותא בטענת החוטף, דהוא מעיד שחטף מחבירו והורע כח המיגו של החוטף, והוא מחייבו שבועה, ולכן אמרינן מתוך שאינו יכול להשבע משלם, ואם היה עוד עד שמעיד שהוא חטף, היו מוציאין ממנו, ואף אם היה נשבע לא היה נאמן, אבל בע"א על חזקת ג"ש, כתב </w:t>
      </w:r>
      <w:r w:rsidRPr="00323898">
        <w:rPr>
          <w:rStyle w:val="af9"/>
          <w:rFonts w:hint="cs"/>
          <w:rtl/>
        </w:rPr>
        <w:t>הרשב"ם</w:t>
      </w:r>
      <w:r>
        <w:rPr>
          <w:rFonts w:hint="cs"/>
          <w:rtl/>
        </w:rPr>
        <w:t xml:space="preserve"> </w:t>
      </w:r>
      <w:r w:rsidRPr="00DC0675">
        <w:rPr>
          <w:rStyle w:val="af7"/>
          <w:rFonts w:eastAsia="Guttman Hodes" w:hint="cs"/>
          <w:rtl/>
        </w:rPr>
        <w:t>(ד"ה הכא)</w:t>
      </w:r>
      <w:r>
        <w:rPr>
          <w:rFonts w:hint="cs"/>
          <w:rtl/>
        </w:rPr>
        <w:t xml:space="preserve"> דהע"א בא לסייע למחזיק, דהוא מעיד על חזקת ג"ש, ואם היה עוד עד שמעיד שהחזיק, הייתה הקרקע בידו, וא"כ א"א לומר שע"י הע"א על החזקה יתחייב שבועה, ומתוך שאינו יכול להשבע משלם, דהא העד לא בא לעשות ריעותא בטענתו, אך כתב </w:t>
      </w:r>
      <w:r w:rsidRPr="00323898">
        <w:rPr>
          <w:rStyle w:val="af9"/>
          <w:rFonts w:hint="cs"/>
          <w:rtl/>
        </w:rPr>
        <w:t>הרשב"ם</w:t>
      </w:r>
      <w:r>
        <w:rPr>
          <w:rFonts w:hint="cs"/>
          <w:rtl/>
        </w:rPr>
        <w:t xml:space="preserve"> דמ"מ אף לאביי מוציאין את הקרקע מיד המחזיק, כיון שאין לו חזקת ג"ש.</w:t>
      </w:r>
      <w:bookmarkEnd w:id="16967"/>
      <w:r>
        <w:rPr>
          <w:rFonts w:hint="cs"/>
          <w:rtl/>
        </w:rPr>
        <w:t xml:space="preserve"> </w:t>
      </w:r>
    </w:p>
    <w:p w:rsidR="000F5507" w:rsidRDefault="000F5507" w:rsidP="000F5507">
      <w:pPr>
        <w:pStyle w:val="1"/>
        <w:rPr>
          <w:rtl/>
        </w:rPr>
      </w:pPr>
      <w:bookmarkStart w:id="16968" w:name="_Toc65604058"/>
      <w:bookmarkStart w:id="16969" w:name="_Toc65605948"/>
      <w:bookmarkStart w:id="16970" w:name="_Toc65617205"/>
      <w:bookmarkStart w:id="16971" w:name="_Toc65666185"/>
      <w:bookmarkStart w:id="16972" w:name="_Toc65689846"/>
      <w:bookmarkStart w:id="16973" w:name="_Toc65703412"/>
      <w:bookmarkStart w:id="16974" w:name="_Toc65714080"/>
      <w:bookmarkStart w:id="16975" w:name="_Toc65714936"/>
      <w:bookmarkStart w:id="16976" w:name="_Toc65185626"/>
      <w:r>
        <w:rPr>
          <w:rFonts w:hint="cs"/>
          <w:rtl/>
        </w:rPr>
        <w:t>ביאור הרמ"ה באביי דלענין הפירות בג"ש הע"א כמאן דליתיה</w:t>
      </w:r>
      <w:bookmarkEnd w:id="16968"/>
      <w:bookmarkEnd w:id="16969"/>
      <w:bookmarkEnd w:id="16970"/>
      <w:bookmarkEnd w:id="16971"/>
      <w:bookmarkEnd w:id="16972"/>
      <w:bookmarkEnd w:id="16973"/>
      <w:bookmarkEnd w:id="16974"/>
      <w:bookmarkEnd w:id="16975"/>
    </w:p>
    <w:p w:rsidR="000F5507" w:rsidRPr="00D13DDC" w:rsidRDefault="000F5507" w:rsidP="000F5507">
      <w:pPr>
        <w:pStyle w:val="a3"/>
        <w:rPr>
          <w:rtl/>
        </w:rPr>
      </w:pPr>
      <w:bookmarkStart w:id="16977" w:name="_Toc65604059"/>
      <w:bookmarkStart w:id="16978" w:name="_Toc65605949"/>
      <w:bookmarkStart w:id="16979" w:name="_Toc65617206"/>
      <w:bookmarkStart w:id="16980" w:name="_Toc65666186"/>
      <w:bookmarkStart w:id="16981" w:name="_Toc65689847"/>
      <w:bookmarkStart w:id="16982" w:name="_Toc65703413"/>
      <w:bookmarkStart w:id="16983" w:name="_Toc65714081"/>
      <w:bookmarkStart w:id="16984" w:name="_Toc65714937"/>
      <w:r w:rsidRPr="00D13DDC">
        <w:rPr>
          <w:rFonts w:hint="cs"/>
          <w:rtl/>
        </w:rPr>
        <w:t>ביאור הרשב"ם באביי דע"א על ג"ש לענין הפירות הוא כמאן דליתיה כיון שבא לסייע למחזיק</w:t>
      </w:r>
      <w:bookmarkEnd w:id="16977"/>
      <w:bookmarkEnd w:id="16978"/>
      <w:bookmarkEnd w:id="16979"/>
      <w:bookmarkEnd w:id="16980"/>
      <w:bookmarkEnd w:id="16981"/>
      <w:bookmarkEnd w:id="16982"/>
      <w:bookmarkEnd w:id="16983"/>
      <w:bookmarkEnd w:id="16984"/>
    </w:p>
    <w:p w:rsidR="000F5507" w:rsidRDefault="000F5507" w:rsidP="007E4E81">
      <w:pPr>
        <w:pStyle w:val="a0"/>
        <w:rPr>
          <w:rtl/>
        </w:rPr>
      </w:pPr>
      <w:r>
        <w:rPr>
          <w:rFonts w:hint="cs"/>
          <w:rtl/>
        </w:rPr>
        <w:t>בהא דדחה אביי דע"א על חזקת ג"ש לא דמי לנסכא דר"א, ביאר</w:t>
      </w:r>
      <w:r w:rsidRPr="00F045B1">
        <w:rPr>
          <w:rStyle w:val="af9"/>
          <w:rFonts w:hint="cs"/>
          <w:rtl/>
        </w:rPr>
        <w:t xml:space="preserve"> היד רמ"ה </w:t>
      </w:r>
      <w:r w:rsidRPr="00BC0072">
        <w:rPr>
          <w:rStyle w:val="af7"/>
          <w:rFonts w:eastAsia="Guttman Hodes" w:hint="cs"/>
          <w:rtl/>
        </w:rPr>
        <w:t>(או' נ"ז ד"ה א"ל אביי)</w:t>
      </w:r>
      <w:r>
        <w:rPr>
          <w:rFonts w:hint="cs"/>
          <w:rtl/>
        </w:rPr>
        <w:t xml:space="preserve"> דכיון שאם היו ב' עדים שהחזיק ג"ש, לא היה מתחייב ממון, א"כ ע"א אינו מחייבו שבועה כלל, ולכן א"א לומר את דין מתוך שאינו יכול לישבע משלם, ומדינא הוא צריך להחזיר את הקרקע למרא קמא, ועל הפירות נשבע המחזיק שבועת היסת, שאכל את שלו ונפטר, וביאר </w:t>
      </w:r>
      <w:r w:rsidRPr="00F045B1">
        <w:rPr>
          <w:rStyle w:val="af9"/>
          <w:rFonts w:hint="cs"/>
          <w:rtl/>
        </w:rPr>
        <w:t>היד רמ"ה</w:t>
      </w:r>
      <w:r>
        <w:rPr>
          <w:rFonts w:hint="cs"/>
          <w:rtl/>
        </w:rPr>
        <w:t xml:space="preserve"> דהע"א לגבי הפירות חשיב כמאן דליתיה, כיון שעדותו היא באה לסייע למחזיק.</w:t>
      </w:r>
    </w:p>
    <w:p w:rsidR="000F5507" w:rsidRDefault="000F5507" w:rsidP="000F5507">
      <w:pPr>
        <w:pStyle w:val="1"/>
        <w:rPr>
          <w:rtl/>
        </w:rPr>
      </w:pPr>
      <w:bookmarkStart w:id="16985" w:name="_Toc65529966"/>
      <w:bookmarkStart w:id="16986" w:name="_Toc65604060"/>
      <w:bookmarkStart w:id="16987" w:name="_Toc65605950"/>
      <w:bookmarkStart w:id="16988" w:name="_Toc65617207"/>
      <w:bookmarkStart w:id="16989" w:name="_Toc65666187"/>
      <w:bookmarkStart w:id="16990" w:name="_Toc65689848"/>
      <w:bookmarkStart w:id="16991" w:name="_Toc65703414"/>
      <w:bookmarkStart w:id="16992" w:name="_Toc65714082"/>
      <w:bookmarkStart w:id="16993" w:name="_Toc65714938"/>
      <w:r>
        <w:rPr>
          <w:rFonts w:hint="cs"/>
          <w:rtl/>
        </w:rPr>
        <w:t>דברי הרא"ש</w:t>
      </w:r>
      <w:bookmarkEnd w:id="16976"/>
      <w:bookmarkEnd w:id="16985"/>
      <w:r>
        <w:rPr>
          <w:rFonts w:hint="cs"/>
          <w:rtl/>
        </w:rPr>
        <w:t xml:space="preserve"> דאי הע"א נאמן א"כ הקרקע ביד המחזיק</w:t>
      </w:r>
      <w:bookmarkEnd w:id="16986"/>
      <w:bookmarkEnd w:id="16987"/>
      <w:bookmarkEnd w:id="16988"/>
      <w:bookmarkEnd w:id="16989"/>
      <w:bookmarkEnd w:id="16990"/>
      <w:bookmarkEnd w:id="16991"/>
      <w:bookmarkEnd w:id="16992"/>
      <w:bookmarkEnd w:id="16993"/>
    </w:p>
    <w:p w:rsidR="000F5507" w:rsidRPr="00D13DDC" w:rsidRDefault="000F5507" w:rsidP="000F5507">
      <w:pPr>
        <w:pStyle w:val="a3"/>
        <w:rPr>
          <w:rtl/>
        </w:rPr>
      </w:pPr>
      <w:bookmarkStart w:id="16994" w:name="_Toc65604061"/>
      <w:bookmarkStart w:id="16995" w:name="_Toc65605951"/>
      <w:bookmarkStart w:id="16996" w:name="_Toc65617208"/>
      <w:bookmarkStart w:id="16997" w:name="_Toc65666188"/>
      <w:bookmarkStart w:id="16998" w:name="_Toc65689849"/>
      <w:bookmarkStart w:id="16999" w:name="_Toc65703415"/>
      <w:bookmarkStart w:id="17000" w:name="_Toc65714083"/>
      <w:bookmarkStart w:id="17001" w:name="_Toc65714939"/>
      <w:r w:rsidRPr="00D13DDC">
        <w:rPr>
          <w:rFonts w:hint="cs"/>
          <w:rtl/>
        </w:rPr>
        <w:t>ביאור הרא"ש באביי דאי ע"א נאמן צריך להעמיד את הקרקע ביד המחזיק דבב' עדים הוי חזקה</w:t>
      </w:r>
      <w:bookmarkEnd w:id="16994"/>
      <w:bookmarkEnd w:id="16995"/>
      <w:bookmarkEnd w:id="16996"/>
      <w:bookmarkEnd w:id="16997"/>
      <w:bookmarkEnd w:id="16998"/>
      <w:bookmarkEnd w:id="16999"/>
      <w:bookmarkEnd w:id="17000"/>
      <w:bookmarkEnd w:id="17001"/>
    </w:p>
    <w:p w:rsidR="000F5507" w:rsidRPr="00211AFB" w:rsidRDefault="000F5507" w:rsidP="007E4E81">
      <w:pPr>
        <w:pStyle w:val="a0"/>
        <w:rPr>
          <w:rtl/>
        </w:rPr>
      </w:pPr>
      <w:r w:rsidRPr="00211AFB">
        <w:rPr>
          <w:rStyle w:val="af9"/>
          <w:rFonts w:hint="cs"/>
          <w:rtl/>
        </w:rPr>
        <w:t>והר</w:t>
      </w:r>
      <w:r w:rsidRPr="003120C6">
        <w:rPr>
          <w:rStyle w:val="af9"/>
          <w:rFonts w:hint="cs"/>
          <w:rtl/>
        </w:rPr>
        <w:t>א"ש</w:t>
      </w:r>
      <w:r>
        <w:rPr>
          <w:rFonts w:hint="cs"/>
          <w:rtl/>
        </w:rPr>
        <w:t xml:space="preserve"> </w:t>
      </w:r>
      <w:r w:rsidRPr="003120C6">
        <w:rPr>
          <w:rStyle w:val="af7"/>
          <w:rFonts w:eastAsia="Guttman Hodes" w:hint="cs"/>
          <w:rtl/>
        </w:rPr>
        <w:t>(סי' כ')</w:t>
      </w:r>
      <w:r>
        <w:rPr>
          <w:rFonts w:hint="cs"/>
          <w:rtl/>
        </w:rPr>
        <w:t xml:space="preserve"> כתב</w:t>
      </w:r>
      <w:r w:rsidRPr="00211AFB">
        <w:rPr>
          <w:rStyle w:val="af9"/>
          <w:rFonts w:hint="cs"/>
          <w:rtl/>
        </w:rPr>
        <w:t xml:space="preserve"> </w:t>
      </w:r>
      <w:r>
        <w:rPr>
          <w:rFonts w:hint="cs"/>
          <w:rtl/>
        </w:rPr>
        <w:t>דבע"א על חזקת ג"ש שהוא בא לסייע למחזיק, כיון שאם היו שנים היו מעמידים את הקרקע ביד המחזיק, אי אמרינן דהע"א נאמן, א"כ צריך להעמיד את הקרקע ביד המחזיק.</w:t>
      </w:r>
    </w:p>
    <w:p w:rsidR="000F5507" w:rsidRPr="00D13DDC" w:rsidRDefault="000F5507" w:rsidP="000F5507">
      <w:pPr>
        <w:pStyle w:val="a3"/>
        <w:rPr>
          <w:rtl/>
        </w:rPr>
      </w:pPr>
      <w:bookmarkStart w:id="17002" w:name="_Toc65703416"/>
      <w:bookmarkStart w:id="17003" w:name="_Toc65714084"/>
      <w:bookmarkStart w:id="17004" w:name="_Toc65714940"/>
      <w:r>
        <w:rPr>
          <w:rFonts w:hint="cs"/>
          <w:rtl/>
        </w:rPr>
        <w:t>בי' הריטב"א דבחזקה דשנים לאמחייבים ממון אין ע"א מחייב שבועה ודמי לטוען לויתי ופרעתי</w:t>
      </w:r>
      <w:bookmarkEnd w:id="17002"/>
      <w:bookmarkEnd w:id="17003"/>
      <w:bookmarkEnd w:id="17004"/>
    </w:p>
    <w:p w:rsidR="000F5507" w:rsidRPr="00A77A80" w:rsidRDefault="000F5507" w:rsidP="007E4E81">
      <w:pPr>
        <w:pStyle w:val="a0"/>
        <w:rPr>
          <w:rStyle w:val="afb"/>
          <w:rtl/>
        </w:rPr>
      </w:pPr>
      <w:r>
        <w:rPr>
          <w:rStyle w:val="af9"/>
          <w:rFonts w:hint="cs"/>
          <w:rtl/>
        </w:rPr>
        <w:t>ו</w:t>
      </w:r>
      <w:r w:rsidRPr="00B137B7">
        <w:rPr>
          <w:rStyle w:val="af9"/>
          <w:rFonts w:hint="cs"/>
          <w:rtl/>
        </w:rPr>
        <w:t>הריטב"א</w:t>
      </w:r>
      <w:r>
        <w:rPr>
          <w:rFonts w:hint="cs"/>
          <w:rtl/>
        </w:rPr>
        <w:t xml:space="preserve"> </w:t>
      </w:r>
      <w:r w:rsidRPr="00A77A80">
        <w:rPr>
          <w:rStyle w:val="af7"/>
          <w:rFonts w:eastAsia="Guttman Hodes" w:hint="cs"/>
          <w:rtl/>
        </w:rPr>
        <w:t>(ד"ה א"ל אביי)</w:t>
      </w:r>
      <w:r>
        <w:rPr>
          <w:rFonts w:hint="cs"/>
          <w:rtl/>
        </w:rPr>
        <w:t xml:space="preserve"> ביאר דבנסכא דר"א כיון שאם היו ב' עדים היה חייב לשלם, לכן ע"א מחייבו שבועה, אבל בחזקת ג"ש, שאין שנים מחייבים אותו ממון, אין ע"א מחייבו שבועה, וא"כ אינו מחוייב שבועה שאינו יכול להשבע, וכתב </w:t>
      </w:r>
      <w:r w:rsidRPr="00B137B7">
        <w:rPr>
          <w:rStyle w:val="af9"/>
          <w:rFonts w:hint="cs"/>
          <w:rtl/>
        </w:rPr>
        <w:t>הריטב"א</w:t>
      </w:r>
      <w:r>
        <w:rPr>
          <w:rFonts w:hint="cs"/>
          <w:rtl/>
        </w:rPr>
        <w:t xml:space="preserve"> דדמי לע"א על הלואה, וטוען הלוה לויתי ופרעתי, דהע"א אינו מחייבו שבועה, כיון שגם אם היו ב' עדים היה נאמן בטענת פרעתי. </w:t>
      </w:r>
      <w:r w:rsidRPr="00A77A80">
        <w:rPr>
          <w:rStyle w:val="afb"/>
          <w:rFonts w:hint="cs"/>
          <w:rtl/>
        </w:rPr>
        <w:t xml:space="preserve">[וכתב </w:t>
      </w:r>
      <w:r w:rsidRPr="00A77A80">
        <w:rPr>
          <w:rStyle w:val="affa"/>
          <w:rFonts w:hint="cs"/>
          <w:rtl/>
        </w:rPr>
        <w:t>הריטב"א</w:t>
      </w:r>
      <w:r w:rsidRPr="00A77A80">
        <w:rPr>
          <w:rStyle w:val="afb"/>
          <w:rFonts w:hint="cs"/>
          <w:rtl/>
        </w:rPr>
        <w:t xml:space="preserve"> דהאופן דהלואה דמי לנסכא דר"א, הוא כשכפר וטען לא לויתי, ובא ע"א שלוה וחזר ואמר לויתי ופרעתי, דבכה"ג אם היו שנים היה חייב ממון, כיון דכל האומר לא לויתי כאומר לא פרעתי דמי, ועוד כתב </w:t>
      </w:r>
      <w:r w:rsidRPr="00A77A80">
        <w:rPr>
          <w:rStyle w:val="affa"/>
          <w:rFonts w:hint="cs"/>
          <w:rtl/>
        </w:rPr>
        <w:t>הריטב"א</w:t>
      </w:r>
      <w:r w:rsidRPr="00A77A80">
        <w:rPr>
          <w:rStyle w:val="afb"/>
          <w:rFonts w:hint="cs"/>
          <w:rtl/>
        </w:rPr>
        <w:t xml:space="preserve"> דאפשר לדמות לע"א בשטר עם נאמנות,</w:t>
      </w:r>
      <w:r>
        <w:rPr>
          <w:rFonts w:hint="cs"/>
          <w:rtl/>
        </w:rPr>
        <w:t xml:space="preserve"> </w:t>
      </w:r>
      <w:r w:rsidRPr="00B137B7">
        <w:rPr>
          <w:rStyle w:val="afb"/>
          <w:rFonts w:hint="cs"/>
          <w:rtl/>
        </w:rPr>
        <w:t xml:space="preserve">[דהמלוה נאמן שלא פרעו </w:t>
      </w:r>
      <w:r w:rsidRPr="00A77A80">
        <w:rPr>
          <w:rStyle w:val="afb"/>
          <w:rFonts w:hint="cs"/>
          <w:rtl/>
        </w:rPr>
        <w:t>הלוה], וטוען הלוה פרעתי, דלדעת המ"ד דבעדות בשטר חייב שבועה, דמי לנסכא דר"א דהוא מחויב שבועה ואינו יכול להשבע</w:t>
      </w:r>
      <w:r>
        <w:rPr>
          <w:rStyle w:val="afb"/>
          <w:rFonts w:hint="cs"/>
          <w:rtl/>
        </w:rPr>
        <w:t>]</w:t>
      </w:r>
      <w:r w:rsidRPr="00A77A80">
        <w:rPr>
          <w:rStyle w:val="afb"/>
          <w:rFonts w:hint="cs"/>
          <w:rtl/>
        </w:rPr>
        <w:t>.</w:t>
      </w:r>
    </w:p>
    <w:p w:rsidR="000F5507" w:rsidRPr="005D1A1C" w:rsidRDefault="000F5507" w:rsidP="000F5507">
      <w:pPr>
        <w:pStyle w:val="1"/>
        <w:rPr>
          <w:rtl/>
        </w:rPr>
      </w:pPr>
      <w:bookmarkStart w:id="17005" w:name="_Toc65604062"/>
      <w:bookmarkStart w:id="17006" w:name="_Toc65605952"/>
      <w:bookmarkStart w:id="17007" w:name="_Toc65617209"/>
      <w:bookmarkStart w:id="17008" w:name="_Toc65666189"/>
      <w:bookmarkStart w:id="17009" w:name="_Toc65689850"/>
      <w:bookmarkStart w:id="17010" w:name="_Toc65703417"/>
      <w:bookmarkStart w:id="17011" w:name="_Toc65714085"/>
      <w:bookmarkStart w:id="17012" w:name="_Toc65714941"/>
      <w:r>
        <w:rPr>
          <w:rFonts w:hint="cs"/>
          <w:rtl/>
        </w:rPr>
        <w:t>ביאור הרשב"ם במסקנא דנסכא דמי לע"א על אכילת ב' שנים</w:t>
      </w:r>
      <w:bookmarkEnd w:id="17005"/>
      <w:bookmarkEnd w:id="17006"/>
      <w:bookmarkEnd w:id="17007"/>
      <w:bookmarkEnd w:id="17008"/>
      <w:bookmarkEnd w:id="17009"/>
      <w:bookmarkEnd w:id="17010"/>
      <w:bookmarkEnd w:id="17011"/>
      <w:bookmarkEnd w:id="17012"/>
    </w:p>
    <w:p w:rsidR="000F5507" w:rsidRPr="00D13DDC" w:rsidRDefault="000F5507" w:rsidP="000F5507">
      <w:pPr>
        <w:pStyle w:val="a3"/>
        <w:rPr>
          <w:rtl/>
        </w:rPr>
      </w:pPr>
      <w:bookmarkStart w:id="17013" w:name="_Toc65604063"/>
      <w:bookmarkStart w:id="17014" w:name="_Toc65605953"/>
      <w:bookmarkStart w:id="17015" w:name="_Toc65617210"/>
      <w:bookmarkStart w:id="17016" w:name="_Toc65666190"/>
      <w:bookmarkStart w:id="17017" w:name="_Toc65689851"/>
      <w:bookmarkStart w:id="17018" w:name="_Toc65703418"/>
      <w:bookmarkStart w:id="17019" w:name="_Toc65714086"/>
      <w:bookmarkStart w:id="17020" w:name="_Toc65714942"/>
      <w:r w:rsidRPr="00D13DDC">
        <w:rPr>
          <w:rFonts w:hint="cs"/>
          <w:rtl/>
        </w:rPr>
        <w:t>בי' הרשב"ם במסקנא דבמודה שאכל ב' שנים וטוען לקוחה א"צ להחזיר פירות מדין הפה שאסר</w:t>
      </w:r>
      <w:bookmarkEnd w:id="17013"/>
      <w:bookmarkEnd w:id="17014"/>
      <w:bookmarkEnd w:id="17015"/>
      <w:bookmarkEnd w:id="17016"/>
      <w:bookmarkEnd w:id="17017"/>
      <w:bookmarkEnd w:id="17018"/>
      <w:bookmarkEnd w:id="17019"/>
      <w:bookmarkEnd w:id="17020"/>
      <w:r w:rsidRPr="00D13DDC">
        <w:rPr>
          <w:rFonts w:hint="cs"/>
          <w:rtl/>
        </w:rPr>
        <w:t xml:space="preserve"> </w:t>
      </w:r>
    </w:p>
    <w:p w:rsidR="000F5507" w:rsidRDefault="000F5507" w:rsidP="007E4E81">
      <w:pPr>
        <w:pStyle w:val="a0"/>
        <w:rPr>
          <w:rtl/>
        </w:rPr>
      </w:pPr>
      <w:r>
        <w:rPr>
          <w:rFonts w:hint="cs"/>
          <w:rtl/>
        </w:rPr>
        <w:t xml:space="preserve">ובמסקנת הגמ' דאמרינן דנסכא דר"א דמי לע"א שמעיד על אכילת פירות בב' שנים, כתב </w:t>
      </w:r>
      <w:r w:rsidRPr="0076069F">
        <w:rPr>
          <w:rStyle w:val="af9"/>
          <w:rFonts w:hint="cs"/>
          <w:rtl/>
        </w:rPr>
        <w:t>הרשב"ם</w:t>
      </w:r>
      <w:r>
        <w:rPr>
          <w:rFonts w:hint="cs"/>
          <w:rtl/>
        </w:rPr>
        <w:t xml:space="preserve"> </w:t>
      </w:r>
      <w:r w:rsidRPr="0076069F">
        <w:rPr>
          <w:rStyle w:val="af7"/>
          <w:rFonts w:eastAsia="Guttman Hodes" w:hint="cs"/>
          <w:rtl/>
        </w:rPr>
        <w:t>(ד"ה אלא)</w:t>
      </w:r>
      <w:r>
        <w:rPr>
          <w:rFonts w:hint="cs"/>
          <w:rtl/>
        </w:rPr>
        <w:t xml:space="preserve"> דבמקום שטוען המערער למחזיק שאכל את הקרקע בגזילה ב' שנים, והמחזיק טוען </w:t>
      </w:r>
      <w:r>
        <w:rPr>
          <w:rFonts w:hint="cs"/>
          <w:rtl/>
        </w:rPr>
        <w:lastRenderedPageBreak/>
        <w:t xml:space="preserve">לקוחה היא בידי, אך אין לו עידי חזקה, ואין עדים כלל שאכל פירות, דצריך להחזיר את הקרקע למערער, ועל הפירות נאמן מדין הפה שאסר, בשבועה שאכל את שלו, וכתב </w:t>
      </w:r>
      <w:r w:rsidRPr="0076069F">
        <w:rPr>
          <w:rStyle w:val="af9"/>
          <w:rFonts w:hint="cs"/>
          <w:rtl/>
        </w:rPr>
        <w:t>הרשב"ם</w:t>
      </w:r>
      <w:r>
        <w:rPr>
          <w:rFonts w:hint="cs"/>
          <w:rtl/>
        </w:rPr>
        <w:t xml:space="preserve"> דאעפ"י שהוא צריך להחזיר את הקרקע, מ"מ א"צ להחזיר את הפירות, כיון שאין עדים שאכלם, והוא נאמן לגבי הפירות שהם שלו ע"י שקנה את הקרקע, במיגו דהיה יכול לומר לא אכלתי פירות כלל, והוא צריך רק להשבע שהפירות שלו. </w:t>
      </w:r>
      <w:r w:rsidRPr="006B4C39">
        <w:rPr>
          <w:rStyle w:val="afb"/>
          <w:rFonts w:hint="cs"/>
          <w:rtl/>
        </w:rPr>
        <w:t xml:space="preserve">[ודלא </w:t>
      </w:r>
      <w:r w:rsidRPr="006B4C39">
        <w:rPr>
          <w:rStyle w:val="affa"/>
          <w:rFonts w:hint="cs"/>
          <w:rtl/>
        </w:rPr>
        <w:t>כתוס' לעיל</w:t>
      </w:r>
      <w:r w:rsidRPr="006B4C39">
        <w:rPr>
          <w:rStyle w:val="afb"/>
          <w:rFonts w:hint="cs"/>
          <w:rtl/>
        </w:rPr>
        <w:t xml:space="preserve"> </w:t>
      </w:r>
      <w:r w:rsidRPr="006B4C39">
        <w:rPr>
          <w:rStyle w:val="aff6"/>
          <w:rFonts w:hint="cs"/>
          <w:rtl/>
        </w:rPr>
        <w:t>(לג. סוד"ה ה"ג, הובא בסימן ט"ז אות פ"א)</w:t>
      </w:r>
      <w:r>
        <w:rPr>
          <w:rStyle w:val="aff6"/>
          <w:rFonts w:hint="cs"/>
          <w:rtl/>
        </w:rPr>
        <w:t xml:space="preserve"> </w:t>
      </w:r>
      <w:r w:rsidRPr="006829BB">
        <w:rPr>
          <w:rStyle w:val="afb"/>
          <w:rFonts w:hint="cs"/>
          <w:rtl/>
        </w:rPr>
        <w:t>דכתבו דכיון שהקרקע חוזרת אף הפירות חוזרים,</w:t>
      </w:r>
      <w:r w:rsidRPr="006B4C39">
        <w:rPr>
          <w:rStyle w:val="afb"/>
          <w:rFonts w:hint="cs"/>
          <w:rtl/>
        </w:rPr>
        <w:t xml:space="preserve"> ועי' במ</w:t>
      </w:r>
      <w:r>
        <w:rPr>
          <w:rStyle w:val="afb"/>
          <w:rFonts w:hint="cs"/>
          <w:rtl/>
        </w:rPr>
        <w:t>ה שביאר</w:t>
      </w:r>
      <w:r w:rsidRPr="006B4C39">
        <w:rPr>
          <w:rStyle w:val="afb"/>
          <w:rFonts w:hint="cs"/>
          <w:rtl/>
        </w:rPr>
        <w:t xml:space="preserve"> </w:t>
      </w:r>
      <w:r w:rsidRPr="006B4C39">
        <w:rPr>
          <w:rStyle w:val="affa"/>
          <w:rFonts w:hint="cs"/>
          <w:rtl/>
        </w:rPr>
        <w:t>הש"ך</w:t>
      </w:r>
      <w:r w:rsidRPr="006B4C39">
        <w:rPr>
          <w:rStyle w:val="afb"/>
          <w:rFonts w:hint="cs"/>
          <w:rtl/>
        </w:rPr>
        <w:t xml:space="preserve"> </w:t>
      </w:r>
      <w:r w:rsidRPr="006B4C39">
        <w:rPr>
          <w:rStyle w:val="aff6"/>
          <w:rFonts w:hint="cs"/>
          <w:rtl/>
        </w:rPr>
        <w:t>(סי' קל"ט סק"ה, הובא בסימן ט"ז אות פ"ב)</w:t>
      </w:r>
      <w:r>
        <w:rPr>
          <w:rStyle w:val="afb"/>
          <w:rFonts w:hint="cs"/>
          <w:rtl/>
        </w:rPr>
        <w:t xml:space="preserve"> בפלוגתת </w:t>
      </w:r>
      <w:r w:rsidRPr="006829BB">
        <w:rPr>
          <w:rStyle w:val="affa"/>
          <w:rFonts w:hint="cs"/>
          <w:rtl/>
        </w:rPr>
        <w:t>הרשב"ם והתוס'</w:t>
      </w:r>
      <w:r>
        <w:rPr>
          <w:rStyle w:val="afb"/>
          <w:rFonts w:hint="cs"/>
          <w:rtl/>
        </w:rPr>
        <w:t xml:space="preserve">, ובמ"ש </w:t>
      </w:r>
      <w:r w:rsidRPr="00511240">
        <w:rPr>
          <w:rStyle w:val="affa"/>
          <w:rFonts w:hint="cs"/>
          <w:rtl/>
        </w:rPr>
        <w:t>הש"ך דהרמב"ן והריב"ש והבעה"מ</w:t>
      </w:r>
      <w:r>
        <w:rPr>
          <w:rStyle w:val="afb"/>
          <w:rFonts w:hint="cs"/>
          <w:rtl/>
        </w:rPr>
        <w:t xml:space="preserve"> ס"ל כדעת </w:t>
      </w:r>
      <w:r w:rsidRPr="00511240">
        <w:rPr>
          <w:rStyle w:val="affa"/>
          <w:rFonts w:hint="cs"/>
          <w:rtl/>
        </w:rPr>
        <w:t>הרשב"ם</w:t>
      </w:r>
      <w:r>
        <w:rPr>
          <w:rStyle w:val="afb"/>
          <w:rFonts w:hint="cs"/>
          <w:rtl/>
        </w:rPr>
        <w:t>].</w:t>
      </w:r>
    </w:p>
    <w:p w:rsidR="000F5507" w:rsidRPr="00D13DDC" w:rsidRDefault="000F5507" w:rsidP="000F5507">
      <w:pPr>
        <w:pStyle w:val="a3"/>
        <w:rPr>
          <w:rtl/>
        </w:rPr>
      </w:pPr>
      <w:bookmarkStart w:id="17021" w:name="_Toc65604064"/>
      <w:bookmarkStart w:id="17022" w:name="_Toc65605954"/>
      <w:bookmarkStart w:id="17023" w:name="_Toc65617211"/>
      <w:bookmarkStart w:id="17024" w:name="_Toc65666191"/>
      <w:bookmarkStart w:id="17025" w:name="_Toc65689852"/>
      <w:bookmarkStart w:id="17026" w:name="_Toc65703419"/>
      <w:bookmarkStart w:id="17027" w:name="_Toc65714087"/>
      <w:bookmarkStart w:id="17028" w:name="_Toc65714943"/>
      <w:r w:rsidRPr="00D13DDC">
        <w:rPr>
          <w:rFonts w:hint="cs"/>
          <w:rtl/>
        </w:rPr>
        <w:t>בי' הרשב"ם במסקנא דבע"א על ב' שנים אינו מסייע למחזיק ודמי לנסכא שיש ספק היאך לדון</w:t>
      </w:r>
      <w:bookmarkEnd w:id="17021"/>
      <w:bookmarkEnd w:id="17022"/>
      <w:bookmarkEnd w:id="17023"/>
      <w:bookmarkEnd w:id="17024"/>
      <w:bookmarkEnd w:id="17025"/>
      <w:bookmarkEnd w:id="17026"/>
      <w:bookmarkEnd w:id="17027"/>
      <w:bookmarkEnd w:id="17028"/>
    </w:p>
    <w:p w:rsidR="000F5507" w:rsidRDefault="000F5507" w:rsidP="007E4E81">
      <w:pPr>
        <w:pStyle w:val="a0"/>
        <w:rPr>
          <w:rtl/>
        </w:rPr>
      </w:pPr>
      <w:r>
        <w:rPr>
          <w:rFonts w:hint="cs"/>
          <w:rtl/>
        </w:rPr>
        <w:t xml:space="preserve">וכתב </w:t>
      </w:r>
      <w:r w:rsidRPr="00BC0072">
        <w:rPr>
          <w:rStyle w:val="af9"/>
          <w:rFonts w:hint="cs"/>
          <w:rtl/>
        </w:rPr>
        <w:t>הרשב"ם</w:t>
      </w:r>
      <w:r>
        <w:rPr>
          <w:rFonts w:hint="cs"/>
          <w:rtl/>
        </w:rPr>
        <w:t xml:space="preserve"> דבמקום שיש ע"א שאכל פירות ג"ש, הוא חייב להחזיר את הפירות, וכדברי ר"נ </w:t>
      </w:r>
      <w:r w:rsidRPr="00BC0072">
        <w:rPr>
          <w:rStyle w:val="af7"/>
          <w:rFonts w:eastAsia="Guttman Hodes" w:hint="cs"/>
          <w:rtl/>
        </w:rPr>
        <w:t>(לג:)</w:t>
      </w:r>
      <w:r>
        <w:rPr>
          <w:rFonts w:hint="cs"/>
          <w:rtl/>
        </w:rPr>
        <w:t xml:space="preserve"> דהדרא ארעא והדרא פירי, </w:t>
      </w:r>
      <w:r w:rsidRPr="00BC0072">
        <w:rPr>
          <w:rStyle w:val="afb"/>
          <w:rFonts w:hint="cs"/>
          <w:rtl/>
        </w:rPr>
        <w:t>[כיון שאין לו ב' עדים על חזקה],</w:t>
      </w:r>
      <w:r>
        <w:rPr>
          <w:rFonts w:hint="cs"/>
          <w:rtl/>
        </w:rPr>
        <w:t xml:space="preserve"> וכתב </w:t>
      </w:r>
      <w:r w:rsidRPr="00BC0072">
        <w:rPr>
          <w:rStyle w:val="af9"/>
          <w:rFonts w:hint="cs"/>
          <w:rtl/>
        </w:rPr>
        <w:t>הרשב"ם</w:t>
      </w:r>
      <w:r>
        <w:rPr>
          <w:rFonts w:hint="cs"/>
          <w:rtl/>
        </w:rPr>
        <w:t xml:space="preserve"> דכשיש ע"א שאכל פירות ב' שנים, ואיירי שהעד מעיד שאכל רק ב' שנים ולא יותר, דבכה"ג אינו בא לסייע למחזיק, </w:t>
      </w:r>
      <w:r w:rsidRPr="00CD534E">
        <w:rPr>
          <w:rStyle w:val="afb"/>
          <w:rFonts w:hint="cs"/>
          <w:rtl/>
        </w:rPr>
        <w:t>[דהא אינו יכול להצטרף עם אחר לעדות ג"ש, כיון שהוא מעיד שלא החזיק ג"ש, ורק אכל פירות ב"ש],</w:t>
      </w:r>
      <w:r>
        <w:rPr>
          <w:rFonts w:hint="cs"/>
          <w:rtl/>
        </w:rPr>
        <w:t xml:space="preserve"> וטועון המחזיק שקנה את הקרקע ולא נזהר בשטרו, כתב </w:t>
      </w:r>
      <w:r w:rsidRPr="00BC0072">
        <w:rPr>
          <w:rStyle w:val="af9"/>
          <w:rFonts w:hint="cs"/>
          <w:rtl/>
        </w:rPr>
        <w:t>הרשב"ם</w:t>
      </w:r>
      <w:r>
        <w:rPr>
          <w:rFonts w:hint="cs"/>
          <w:rtl/>
        </w:rPr>
        <w:t xml:space="preserve"> דבכה"ג אמר אביי דאפשר לדמות </w:t>
      </w:r>
      <w:r>
        <w:rPr>
          <w:rFonts w:hint="cs"/>
          <w:rtl/>
        </w:rPr>
        <w:t xml:space="preserve">לנסכא דר"א, דאף בכה"ג יש את הספק האיך לדון האי דינא, ועי' במה שביאר </w:t>
      </w:r>
      <w:r w:rsidRPr="00871A31">
        <w:rPr>
          <w:rStyle w:val="af9"/>
          <w:rFonts w:hint="cs"/>
          <w:rtl/>
        </w:rPr>
        <w:t>בחי' רבי נחום</w:t>
      </w:r>
      <w:r>
        <w:rPr>
          <w:rFonts w:hint="cs"/>
          <w:rtl/>
        </w:rPr>
        <w:t xml:space="preserve"> </w:t>
      </w:r>
      <w:r w:rsidRPr="00871A31">
        <w:rPr>
          <w:rStyle w:val="af7"/>
          <w:rFonts w:eastAsia="Guttman Hodes" w:hint="cs"/>
          <w:rtl/>
        </w:rPr>
        <w:t>(או' ר"י)</w:t>
      </w:r>
      <w:r>
        <w:rPr>
          <w:rFonts w:hint="cs"/>
          <w:rtl/>
        </w:rPr>
        <w:t xml:space="preserve"> בדברי </w:t>
      </w:r>
      <w:r w:rsidRPr="00871A31">
        <w:rPr>
          <w:rStyle w:val="af9"/>
          <w:rFonts w:hint="cs"/>
          <w:rtl/>
        </w:rPr>
        <w:t>הרשב"ם</w:t>
      </w:r>
      <w:r>
        <w:rPr>
          <w:rFonts w:hint="cs"/>
          <w:rtl/>
        </w:rPr>
        <w:t>.</w:t>
      </w:r>
    </w:p>
    <w:p w:rsidR="000F5507" w:rsidRPr="00D13DDC" w:rsidRDefault="000F5507" w:rsidP="000F5507">
      <w:pPr>
        <w:pStyle w:val="a3"/>
      </w:pPr>
      <w:bookmarkStart w:id="17029" w:name="_Toc65604065"/>
      <w:bookmarkStart w:id="17030" w:name="_Toc65605955"/>
      <w:bookmarkStart w:id="17031" w:name="_Toc65617212"/>
      <w:bookmarkStart w:id="17032" w:name="_Toc65666192"/>
      <w:bookmarkStart w:id="17033" w:name="_Toc65689853"/>
      <w:bookmarkStart w:id="17034" w:name="_Toc65703420"/>
      <w:bookmarkStart w:id="17035" w:name="_Toc65714088"/>
      <w:bookmarkStart w:id="17036" w:name="_Toc65714944"/>
      <w:r w:rsidRPr="00D13DDC">
        <w:rPr>
          <w:rFonts w:hint="cs"/>
          <w:rtl/>
        </w:rPr>
        <w:t>דברי הרשב"ם דבע"א על ב' שנים א"א לחייבו או לפוטרו ומחזיק פירות מדין משאיל"מ כנסכא</w:t>
      </w:r>
      <w:bookmarkEnd w:id="17029"/>
      <w:bookmarkEnd w:id="17030"/>
      <w:bookmarkEnd w:id="17031"/>
      <w:bookmarkEnd w:id="17032"/>
      <w:bookmarkEnd w:id="17033"/>
      <w:bookmarkEnd w:id="17034"/>
      <w:bookmarkEnd w:id="17035"/>
      <w:bookmarkEnd w:id="17036"/>
    </w:p>
    <w:p w:rsidR="000F5507" w:rsidRPr="005D73CA" w:rsidRDefault="000F5507" w:rsidP="007E4E81">
      <w:pPr>
        <w:pStyle w:val="a0"/>
        <w:rPr>
          <w:rtl/>
        </w:rPr>
      </w:pPr>
      <w:r>
        <w:rPr>
          <w:rFonts w:hint="cs"/>
          <w:rtl/>
        </w:rPr>
        <w:t xml:space="preserve">וביאר </w:t>
      </w:r>
      <w:r w:rsidRPr="00F045B1">
        <w:rPr>
          <w:rStyle w:val="af9"/>
          <w:rFonts w:hint="cs"/>
          <w:rtl/>
        </w:rPr>
        <w:t>הרשב"ם</w:t>
      </w:r>
      <w:r>
        <w:rPr>
          <w:rFonts w:hint="cs"/>
          <w:rtl/>
        </w:rPr>
        <w:t xml:space="preserve"> דבע"א על אכילת פירות ב' שנים, א"א לחייבו להחזיר את הפירות, כיון שאין ב' עדים שאכל את הפירות, ואעפ"י שהודה שאכלם, א"א לחייבו מכח הודאתו, כיון שהוא טוען שאכל את שלו, ולפוטרו במיגו א"א כיון שיש ע"א שאכל את הפירות, ולהשביעו להכחיש את הע"א א"א כיון שהוא מודה שאכל, ואינו יכול לכפור בהודאת הע"א ולהשבע לשקר, וא"א לחייבו מכח הע"א להשבע, כיון שאם היו שנים היו מחייבים אותו ממון, וא"כ ע"א יכול לחייבו שבועה, דכ"מ דע"א מחייבו שבועה, הוא דוקא במקום שכופר בעדות הע"א, ונשבע שלא היו דברים מעולם, אבל כשמודה לע"א וטוען דידי אכלי, הוא מחויב שבועה שאינו יכול להשבע ומשלם, וכתב </w:t>
      </w:r>
      <w:r w:rsidRPr="00F045B1">
        <w:rPr>
          <w:rStyle w:val="af9"/>
          <w:rFonts w:hint="cs"/>
          <w:rtl/>
        </w:rPr>
        <w:t>הרשב"ם</w:t>
      </w:r>
      <w:r>
        <w:rPr>
          <w:rFonts w:hint="cs"/>
          <w:rtl/>
        </w:rPr>
        <w:t xml:space="preserve"> דכן מבואר בדברי </w:t>
      </w:r>
      <w:r>
        <w:rPr>
          <w:rStyle w:val="af9"/>
          <w:rtl/>
        </w:rPr>
        <w:t xml:space="preserve">ר"ח </w:t>
      </w:r>
      <w:r w:rsidRPr="005D1A1C">
        <w:rPr>
          <w:rStyle w:val="af7"/>
          <w:rFonts w:eastAsia="Guttman Hodes" w:hint="cs"/>
          <w:rtl/>
        </w:rPr>
        <w:t>(ד"ה אייתי, הועתק בקובץ שיטות קמאי ב"ב ח"א עמ' תתכ"ז)</w:t>
      </w:r>
      <w:r>
        <w:rPr>
          <w:rFonts w:hint="cs"/>
          <w:rtl/>
        </w:rPr>
        <w:t xml:space="preserve">, וכתב </w:t>
      </w:r>
      <w:r w:rsidRPr="00F045B1">
        <w:rPr>
          <w:rStyle w:val="af9"/>
          <w:rFonts w:hint="cs"/>
          <w:rtl/>
        </w:rPr>
        <w:t>הרשב"ם</w:t>
      </w:r>
      <w:r>
        <w:rPr>
          <w:rFonts w:hint="cs"/>
          <w:rtl/>
        </w:rPr>
        <w:t xml:space="preserve"> </w:t>
      </w:r>
      <w:r w:rsidRPr="005D1A1C">
        <w:rPr>
          <w:rStyle w:val="af7"/>
          <w:rFonts w:eastAsia="Guttman Hodes" w:hint="cs"/>
          <w:rtl/>
        </w:rPr>
        <w:t xml:space="preserve">(לד: סוד"ה אלא) </w:t>
      </w:r>
      <w:r>
        <w:rPr>
          <w:rFonts w:hint="cs"/>
          <w:rtl/>
        </w:rPr>
        <w:t>דקיי"ל כר"א ודלא כרב ושמואל דס"ל בגמ' בשבועות</w:t>
      </w:r>
      <w:r w:rsidRPr="005D1A1C">
        <w:rPr>
          <w:rStyle w:val="af7"/>
          <w:rFonts w:eastAsia="Guttman Hodes" w:hint="cs"/>
          <w:rtl/>
        </w:rPr>
        <w:t xml:space="preserve"> (מז.)</w:t>
      </w:r>
      <w:r>
        <w:rPr>
          <w:rFonts w:hint="cs"/>
          <w:rtl/>
        </w:rPr>
        <w:t xml:space="preserve"> דחזרה שבועה לסיני, עיי"ש במה שהוכיח כן </w:t>
      </w:r>
      <w:r w:rsidRPr="00BC0072">
        <w:rPr>
          <w:rStyle w:val="af9"/>
          <w:rFonts w:hint="cs"/>
          <w:rtl/>
        </w:rPr>
        <w:t>הרשב"ם</w:t>
      </w:r>
      <w:r>
        <w:rPr>
          <w:rFonts w:hint="cs"/>
          <w:rtl/>
        </w:rPr>
        <w:t>.</w:t>
      </w:r>
    </w:p>
    <w:p w:rsidR="000F5507" w:rsidRPr="00557EB9" w:rsidRDefault="000F5507" w:rsidP="007E4E81">
      <w:pPr>
        <w:pStyle w:val="a0"/>
        <w:rPr>
          <w:rtl/>
        </w:rPr>
        <w:sectPr w:rsidR="000F5507" w:rsidRPr="00557EB9" w:rsidSect="005049E2">
          <w:footerReference w:type="default" r:id="rId152"/>
          <w:type w:val="continuous"/>
          <w:pgSz w:w="11906" w:h="16838"/>
          <w:pgMar w:top="720" w:right="720" w:bottom="720" w:left="720" w:header="283" w:footer="283" w:gutter="0"/>
          <w:cols w:num="2" w:space="567"/>
          <w:titlePg/>
          <w:bidi/>
          <w:rtlGutter/>
          <w:docGrid w:linePitch="299"/>
        </w:sectPr>
      </w:pPr>
    </w:p>
    <w:p w:rsidR="000F5507" w:rsidRDefault="000F5507" w:rsidP="000F5507">
      <w:pPr>
        <w:tabs>
          <w:tab w:val="left" w:pos="1163"/>
        </w:tabs>
        <w:spacing w:after="120" w:line="240" w:lineRule="auto"/>
        <w:ind w:left="0"/>
        <w:rPr>
          <w:rFonts w:ascii="Guttman Hodes" w:eastAsia="Guttman Hodes" w:hAnsi="Guttman Hodes" w:cs="Guttman Hodes"/>
          <w:noProof/>
          <w:sz w:val="18"/>
          <w:szCs w:val="18"/>
        </w:rPr>
        <w:sectPr w:rsidR="000F5507" w:rsidSect="00AE06CB">
          <w:type w:val="continuous"/>
          <w:pgSz w:w="11906" w:h="16838"/>
          <w:pgMar w:top="720" w:right="720" w:bottom="720" w:left="720" w:header="283" w:footer="283" w:gutter="0"/>
          <w:cols w:space="567"/>
          <w:bidi/>
          <w:rtlGutter/>
          <w:docGrid w:linePitch="299"/>
        </w:sectPr>
      </w:pPr>
    </w:p>
    <w:p w:rsidR="000F5507" w:rsidRPr="00D47CE7" w:rsidRDefault="00E949D5" w:rsidP="000F5507">
      <w:pPr>
        <w:tabs>
          <w:tab w:val="left" w:pos="1163"/>
        </w:tabs>
        <w:spacing w:after="120" w:line="240" w:lineRule="auto"/>
        <w:ind w:left="0"/>
        <w:rPr>
          <w:rFonts w:ascii="Guttman Hodes" w:eastAsia="Guttman Hodes" w:hAnsi="Guttman Hodes" w:cs="Guttman Hodes"/>
          <w:noProof/>
          <w:sz w:val="18"/>
          <w:szCs w:val="18"/>
          <w:rtl/>
        </w:rPr>
      </w:pPr>
      <w:r>
        <w:rPr>
          <w:rFonts w:ascii="Guttman Hodes" w:eastAsia="Guttman Hodes" w:hAnsi="Guttman Hodes" w:cs="Guttman Hodes"/>
          <w:noProof/>
          <w:sz w:val="18"/>
          <w:szCs w:val="18"/>
        </w:rPr>
        <w:lastRenderedPageBreak/>
        <w:pict>
          <v:shape id="_x0000_i1041" type="#_x0000_t75" style="width:404.55pt;height:6.8pt" o:hrpct="0" o:hralign="center" o:hr="t">
            <v:imagedata r:id="rId24" o:title="BD14845_"/>
          </v:shape>
        </w:pict>
      </w:r>
      <w:r w:rsidR="000F5507" w:rsidRPr="00D47CE7">
        <w:rPr>
          <w:rFonts w:ascii="Guttman Hodes" w:eastAsia="Guttman Hodes" w:hAnsi="Guttman Hodes" w:cs="Guttman Hodes" w:hint="cs"/>
          <w:noProof/>
          <w:sz w:val="18"/>
          <w:szCs w:val="18"/>
          <w:rtl/>
        </w:rPr>
        <w:t xml:space="preserve"> </w:t>
      </w:r>
    </w:p>
    <w:p w:rsidR="000F5507" w:rsidRDefault="000F5507" w:rsidP="000F5507">
      <w:pPr>
        <w:pStyle w:val="afe"/>
      </w:pPr>
      <w:bookmarkStart w:id="17037" w:name="_Toc65714090"/>
      <w:bookmarkStart w:id="17038" w:name="_Toc65714946"/>
      <w:bookmarkStart w:id="17039" w:name="_Toc65529992"/>
      <w:bookmarkStart w:id="17040" w:name="_Toc65604071"/>
      <w:bookmarkStart w:id="17041" w:name="_Toc65605961"/>
      <w:bookmarkStart w:id="17042" w:name="_Toc65617218"/>
      <w:bookmarkStart w:id="17043" w:name="_Toc65666201"/>
      <w:bookmarkStart w:id="17044" w:name="_Toc65689862"/>
      <w:bookmarkStart w:id="17045" w:name="_Toc65703426"/>
      <w:bookmarkStart w:id="17046" w:name="_Toc65604067"/>
      <w:bookmarkStart w:id="17047" w:name="_Toc65605957"/>
      <w:bookmarkStart w:id="17048" w:name="_Toc65617214"/>
      <w:bookmarkStart w:id="17049" w:name="_Toc65666197"/>
      <w:bookmarkStart w:id="17050" w:name="_Toc65689858"/>
      <w:bookmarkStart w:id="17051" w:name="_Toc65703422"/>
      <w:bookmarkStart w:id="17052" w:name="_Toc65529990"/>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p>
    <w:p w:rsidR="000F5507" w:rsidRDefault="000F5507" w:rsidP="000F5507">
      <w:pPr>
        <w:bidi w:val="0"/>
        <w:ind w:left="0"/>
        <w:jc w:val="left"/>
        <w:rPr>
          <w:rFonts w:ascii="Guttman Adii-Light" w:eastAsia="Guttman Adii-Light" w:hAnsi="Guttman Adii-Light" w:cs="Guttman Hodes"/>
          <w:bCs/>
          <w:szCs w:val="28"/>
          <w:rtl/>
        </w:rPr>
        <w:sectPr w:rsidR="000F5507">
          <w:pgSz w:w="11906" w:h="16838"/>
          <w:pgMar w:top="720" w:right="720" w:bottom="720" w:left="720" w:header="283" w:footer="283" w:gutter="0"/>
          <w:cols w:space="720"/>
          <w:bidi/>
          <w:rtlGutter/>
        </w:sectPr>
      </w:pPr>
    </w:p>
    <w:p w:rsidR="000F5507" w:rsidRDefault="000F5507" w:rsidP="000F5507">
      <w:pPr>
        <w:pStyle w:val="afe"/>
        <w:rPr>
          <w:rtl/>
        </w:rPr>
      </w:pPr>
      <w:r>
        <w:rPr>
          <w:rFonts w:hint="cs"/>
          <w:rtl/>
        </w:rPr>
        <w:t>בהא דלא נאמן בטענת דידי חטפי בעדים</w:t>
      </w:r>
      <w:bookmarkEnd w:id="17037"/>
      <w:bookmarkEnd w:id="17038"/>
    </w:p>
    <w:p w:rsidR="000F5507" w:rsidRDefault="000F5507" w:rsidP="000F5507">
      <w:pPr>
        <w:pStyle w:val="1"/>
        <w:rPr>
          <w:rtl/>
        </w:rPr>
      </w:pPr>
      <w:bookmarkStart w:id="17053" w:name="_Toc65714091"/>
      <w:bookmarkStart w:id="17054" w:name="_Toc65714947"/>
      <w:r>
        <w:rPr>
          <w:rFonts w:hint="cs"/>
          <w:rtl/>
        </w:rPr>
        <w:t>בי' הגרנ"פ ברשב"ם ובתוס' אמאי לא נאמן בדידי חטפי בעדים</w:t>
      </w:r>
      <w:bookmarkEnd w:id="17039"/>
      <w:bookmarkEnd w:id="17040"/>
      <w:bookmarkEnd w:id="17041"/>
      <w:bookmarkEnd w:id="17042"/>
      <w:bookmarkEnd w:id="17043"/>
      <w:bookmarkEnd w:id="17044"/>
      <w:bookmarkEnd w:id="17045"/>
      <w:bookmarkEnd w:id="17053"/>
      <w:bookmarkEnd w:id="17054"/>
    </w:p>
    <w:p w:rsidR="000F5507" w:rsidRPr="00D13DDC" w:rsidRDefault="000F5507" w:rsidP="000F5507">
      <w:pPr>
        <w:pStyle w:val="a3"/>
        <w:rPr>
          <w:rtl/>
        </w:rPr>
      </w:pPr>
      <w:bookmarkStart w:id="17055" w:name="_Toc65714092"/>
      <w:bookmarkStart w:id="17056" w:name="_Toc65714948"/>
      <w:r>
        <w:rPr>
          <w:rFonts w:hint="cs"/>
          <w:rtl/>
        </w:rPr>
        <w:t>ביאור הגרנ"פ ברשב"ם דהא דבב' עדים שחטף אינו נאמן לומר דידי חטפי הוא מדין המע"ה</w:t>
      </w:r>
      <w:bookmarkEnd w:id="17055"/>
      <w:bookmarkEnd w:id="17056"/>
    </w:p>
    <w:p w:rsidR="000F5507" w:rsidRDefault="000F5507" w:rsidP="007E4E81">
      <w:pPr>
        <w:pStyle w:val="a0"/>
        <w:rPr>
          <w:rtl/>
        </w:rPr>
      </w:pPr>
      <w:bookmarkStart w:id="17057" w:name="_Ref65604166"/>
      <w:r>
        <w:rPr>
          <w:rFonts w:hint="cs"/>
          <w:rtl/>
        </w:rPr>
        <w:t xml:space="preserve">במ"ש </w:t>
      </w:r>
      <w:r w:rsidRPr="00323898">
        <w:rPr>
          <w:rStyle w:val="af9"/>
          <w:rFonts w:hint="cs"/>
          <w:rtl/>
        </w:rPr>
        <w:t>הרשב"ם</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Ref65702680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א)</w:t>
      </w:r>
      <w:r>
        <w:rPr>
          <w:rStyle w:val="af7"/>
          <w:rFonts w:eastAsia="Guttman Hodes"/>
          <w:rtl/>
        </w:rPr>
        <w:fldChar w:fldCharType="end"/>
      </w:r>
      <w:r>
        <w:rPr>
          <w:rStyle w:val="af7"/>
          <w:rFonts w:eastAsia="Guttman Hodes" w:hint="cs"/>
          <w:rtl/>
        </w:rPr>
        <w:t xml:space="preserve"> </w:t>
      </w:r>
      <w:r>
        <w:rPr>
          <w:rFonts w:hint="cs"/>
          <w:rtl/>
        </w:rPr>
        <w:t xml:space="preserve">דכשיש ב' עדים שחטף חייב לשלם, דאין אדם נאמן לחטוף דבר מאחר ולומר שהוא שלו, דהא העמד דבר על חזקתו וא"א להוציא ממוחזק בלי ראיה, וכל החוטף ממוחזק הוא גזלן גמור, כתב </w:t>
      </w:r>
      <w:r w:rsidRPr="00094CB3">
        <w:rPr>
          <w:rStyle w:val="af9"/>
          <w:rFonts w:hint="cs"/>
          <w:rtl/>
        </w:rPr>
        <w:t>בחי' רבי נחום</w:t>
      </w:r>
      <w:r>
        <w:rPr>
          <w:rFonts w:hint="cs"/>
          <w:rtl/>
        </w:rPr>
        <w:t xml:space="preserve"> </w:t>
      </w:r>
      <w:r w:rsidRPr="008E5887">
        <w:rPr>
          <w:rStyle w:val="af7"/>
          <w:rFonts w:eastAsia="Guttman Hodes" w:hint="cs"/>
          <w:rtl/>
        </w:rPr>
        <w:t>(או' קצ"ב)</w:t>
      </w:r>
      <w:r>
        <w:rPr>
          <w:rFonts w:hint="cs"/>
          <w:rtl/>
        </w:rPr>
        <w:t xml:space="preserve"> דמשמע דרק מדין המוציא מחבירו עליו הראיה, ל"מ חטיפה בעדים, ועי' במה שהוסיף לבאר </w:t>
      </w:r>
      <w:r w:rsidRPr="00270D7D">
        <w:rPr>
          <w:rStyle w:val="af9"/>
          <w:rFonts w:hint="cs"/>
          <w:rtl/>
        </w:rPr>
        <w:t>בחי'</w:t>
      </w:r>
      <w:r>
        <w:rPr>
          <w:rFonts w:hint="cs"/>
          <w:rtl/>
        </w:rPr>
        <w:t xml:space="preserve"> </w:t>
      </w:r>
      <w:r w:rsidRPr="00270D7D">
        <w:rPr>
          <w:rStyle w:val="af9"/>
          <w:rFonts w:hint="cs"/>
          <w:rtl/>
        </w:rPr>
        <w:t>רבי</w:t>
      </w:r>
      <w:r>
        <w:rPr>
          <w:rFonts w:hint="cs"/>
          <w:rtl/>
        </w:rPr>
        <w:t xml:space="preserve"> </w:t>
      </w:r>
      <w:r w:rsidRPr="00270D7D">
        <w:rPr>
          <w:rStyle w:val="af9"/>
          <w:rFonts w:hint="cs"/>
          <w:rtl/>
        </w:rPr>
        <w:t>נחום</w:t>
      </w:r>
      <w:r>
        <w:rPr>
          <w:rFonts w:hint="cs"/>
          <w:rtl/>
        </w:rPr>
        <w:t xml:space="preserve"> </w:t>
      </w:r>
      <w:r w:rsidRPr="00CC670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Ref65713373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צט)</w:t>
      </w:r>
      <w:r>
        <w:rPr>
          <w:rStyle w:val="af7"/>
          <w:rFonts w:eastAsia="Guttman Hodes"/>
          <w:rtl/>
        </w:rPr>
        <w:fldChar w:fldCharType="end"/>
      </w:r>
      <w:r>
        <w:rPr>
          <w:rStyle w:val="af7"/>
          <w:rFonts w:eastAsia="Guttman Hodes" w:hint="cs"/>
          <w:rtl/>
        </w:rPr>
        <w:t xml:space="preserve"> </w:t>
      </w:r>
      <w:r>
        <w:rPr>
          <w:rFonts w:hint="cs"/>
          <w:rtl/>
        </w:rPr>
        <w:t xml:space="preserve">בזה בדברי </w:t>
      </w:r>
      <w:r>
        <w:rPr>
          <w:rStyle w:val="af9"/>
          <w:rFonts w:hint="cs"/>
          <w:rtl/>
        </w:rPr>
        <w:t>הרשב"ם</w:t>
      </w:r>
      <w:r>
        <w:rPr>
          <w:rFonts w:hint="cs"/>
          <w:rtl/>
        </w:rPr>
        <w:t>.</w:t>
      </w:r>
      <w:bookmarkEnd w:id="17057"/>
    </w:p>
    <w:p w:rsidR="000F5507" w:rsidRPr="00D13DDC" w:rsidRDefault="000F5507" w:rsidP="000F5507">
      <w:pPr>
        <w:pStyle w:val="a3"/>
        <w:rPr>
          <w:rtl/>
        </w:rPr>
      </w:pPr>
      <w:bookmarkStart w:id="17058" w:name="_Toc65714093"/>
      <w:bookmarkStart w:id="17059" w:name="_Toc65714949"/>
      <w:r>
        <w:rPr>
          <w:rFonts w:hint="cs"/>
          <w:rtl/>
        </w:rPr>
        <w:t>ביאור הגרנ"פ בתוס' דאינו נאמן בטענת דידי חטפי מדין חזקה דמה שתח"י ולא מדין המע"ה</w:t>
      </w:r>
      <w:bookmarkEnd w:id="17058"/>
      <w:bookmarkEnd w:id="17059"/>
    </w:p>
    <w:p w:rsidR="000F5507" w:rsidRDefault="000F5507" w:rsidP="007E4E81">
      <w:pPr>
        <w:pStyle w:val="a0"/>
        <w:rPr>
          <w:rtl/>
        </w:rPr>
      </w:pPr>
      <w:bookmarkStart w:id="17060" w:name="_Ref65703112"/>
      <w:r>
        <w:rPr>
          <w:rFonts w:hint="cs"/>
          <w:rtl/>
        </w:rPr>
        <w:t xml:space="preserve">וכתב </w:t>
      </w:r>
      <w:r w:rsidRPr="00094CB3">
        <w:rPr>
          <w:rStyle w:val="af9"/>
          <w:rFonts w:hint="cs"/>
          <w:rtl/>
        </w:rPr>
        <w:t>בחי' רבי נחום</w:t>
      </w:r>
      <w:r>
        <w:rPr>
          <w:rFonts w:hint="cs"/>
          <w:rtl/>
        </w:rPr>
        <w:t xml:space="preserve"> דמדברי </w:t>
      </w:r>
      <w:r>
        <w:rPr>
          <w:rStyle w:val="af9"/>
          <w:rtl/>
        </w:rPr>
        <w:t>התוס' 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Ref65667407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Pr>
          <w:rStyle w:val="af7"/>
          <w:rFonts w:eastAsia="Guttman Hodes"/>
          <w:rtl/>
        </w:rPr>
        <w:fldChar w:fldCharType="end"/>
      </w:r>
      <w:r>
        <w:rPr>
          <w:rStyle w:val="af7"/>
          <w:rFonts w:eastAsia="Guttman Hodes" w:hint="cs"/>
          <w:rtl/>
        </w:rPr>
        <w:t xml:space="preserve"> </w:t>
      </w:r>
      <w:r>
        <w:rPr>
          <w:rFonts w:hint="cs"/>
          <w:rtl/>
        </w:rPr>
        <w:t xml:space="preserve">דכתבו דמהא דבטוען דידי חטפי חשיב כגזלן, מוכח דצריך להעמיד כל דבר בחזקת מי שהוא בידו, ולכן הוא חייב לשלם, כאילו ברור לנו שהנסכא היא של מי שהיה מוחזק בה, משמע דלא ס"ל </w:t>
      </w:r>
      <w:r w:rsidRPr="00580A87">
        <w:rPr>
          <w:rStyle w:val="af9"/>
          <w:rFonts w:hint="cs"/>
          <w:rtl/>
        </w:rPr>
        <w:t>להתוס' כהרשב"ם</w:t>
      </w:r>
      <w:r>
        <w:rPr>
          <w:rFonts w:hint="cs"/>
          <w:rtl/>
        </w:rPr>
        <w:t xml:space="preserve">, דאי ס"ל דאינו נאמן מדין המוציא מחבירו עליו הראיה, א"כ א"צ להוכיח כן מסוגיין, אלא ביאר </w:t>
      </w:r>
      <w:r w:rsidRPr="00580A87">
        <w:rPr>
          <w:rStyle w:val="af9"/>
          <w:rFonts w:hint="cs"/>
          <w:rtl/>
        </w:rPr>
        <w:t xml:space="preserve">בחי' רבי נחום </w:t>
      </w:r>
      <w:r>
        <w:rPr>
          <w:rFonts w:hint="cs"/>
          <w:rtl/>
        </w:rPr>
        <w:t xml:space="preserve">דכוונת </w:t>
      </w:r>
      <w:r w:rsidRPr="00580A87">
        <w:rPr>
          <w:rStyle w:val="af9"/>
          <w:rFonts w:hint="cs"/>
          <w:rtl/>
        </w:rPr>
        <w:t>התוס'</w:t>
      </w:r>
      <w:r>
        <w:rPr>
          <w:rFonts w:hint="cs"/>
          <w:rtl/>
        </w:rPr>
        <w:t xml:space="preserve"> לומר דמוכח בסוגיין שיש חזקה דמה שתח"י שלו הוא, ולכן צריך להעמיד כל דבר בחזקת מי שהוא בידו, וא"כ מבואר מדברי </w:t>
      </w:r>
      <w:r w:rsidRPr="00580A87">
        <w:rPr>
          <w:rStyle w:val="af9"/>
          <w:rFonts w:hint="cs"/>
          <w:rtl/>
        </w:rPr>
        <w:t xml:space="preserve">התוס' </w:t>
      </w:r>
      <w:r>
        <w:rPr>
          <w:rFonts w:hint="cs"/>
          <w:rtl/>
        </w:rPr>
        <w:t xml:space="preserve">דאינו נאמן לחטוף בעדים, הוא מחמת החזקה דמה שתח"י שלו הוא, ועי' במה שהוסיף לבאר </w:t>
      </w:r>
      <w:r w:rsidRPr="00270D7D">
        <w:rPr>
          <w:rStyle w:val="af9"/>
          <w:rFonts w:hint="cs"/>
          <w:rtl/>
        </w:rPr>
        <w:t>בחי'</w:t>
      </w:r>
      <w:r>
        <w:rPr>
          <w:rFonts w:hint="cs"/>
          <w:rtl/>
        </w:rPr>
        <w:t xml:space="preserve"> </w:t>
      </w:r>
      <w:r w:rsidRPr="00270D7D">
        <w:rPr>
          <w:rStyle w:val="af9"/>
          <w:rFonts w:hint="cs"/>
          <w:rtl/>
        </w:rPr>
        <w:t>רבי</w:t>
      </w:r>
      <w:r>
        <w:rPr>
          <w:rFonts w:hint="cs"/>
          <w:rtl/>
        </w:rPr>
        <w:t xml:space="preserve"> </w:t>
      </w:r>
      <w:r w:rsidRPr="00270D7D">
        <w:rPr>
          <w:rStyle w:val="af9"/>
          <w:rFonts w:hint="cs"/>
          <w:rtl/>
        </w:rPr>
        <w:t>נחום</w:t>
      </w:r>
      <w:r>
        <w:rPr>
          <w:rFonts w:hint="cs"/>
          <w:rtl/>
        </w:rPr>
        <w:t xml:space="preserve"> </w:t>
      </w:r>
      <w:r w:rsidRPr="00CC670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Ref65713246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צח)</w:t>
      </w:r>
      <w:r>
        <w:rPr>
          <w:rStyle w:val="af7"/>
          <w:rFonts w:eastAsia="Guttman Hodes"/>
          <w:rtl/>
        </w:rPr>
        <w:fldChar w:fldCharType="end"/>
      </w:r>
      <w:r w:rsidRPr="00CC670C">
        <w:rPr>
          <w:rStyle w:val="af7"/>
          <w:rFonts w:eastAsia="Guttman Hodes" w:hint="cs"/>
          <w:rtl/>
        </w:rPr>
        <w:t xml:space="preserve"> </w:t>
      </w:r>
      <w:r>
        <w:rPr>
          <w:rFonts w:hint="cs"/>
          <w:rtl/>
        </w:rPr>
        <w:t xml:space="preserve">בזה בדברי </w:t>
      </w:r>
      <w:r>
        <w:rPr>
          <w:rStyle w:val="af9"/>
          <w:rtl/>
        </w:rPr>
        <w:t>התוס' לקמן</w:t>
      </w:r>
      <w:r>
        <w:rPr>
          <w:rFonts w:hint="cs"/>
          <w:rtl/>
        </w:rPr>
        <w:t>.</w:t>
      </w:r>
      <w:bookmarkEnd w:id="17060"/>
    </w:p>
    <w:p w:rsidR="000F5507" w:rsidRDefault="000F5507" w:rsidP="000F5507">
      <w:pPr>
        <w:pStyle w:val="afe"/>
        <w:rPr>
          <w:rtl/>
        </w:rPr>
      </w:pPr>
      <w:bookmarkStart w:id="17061" w:name="_Toc65714094"/>
      <w:bookmarkStart w:id="17062" w:name="_Toc65714950"/>
      <w:r>
        <w:rPr>
          <w:rFonts w:hint="cs"/>
          <w:rtl/>
        </w:rPr>
        <w:t>בדברי רש"י והרשב"ם דהוא כגזלן</w:t>
      </w:r>
      <w:bookmarkEnd w:id="17046"/>
      <w:bookmarkEnd w:id="17047"/>
      <w:bookmarkEnd w:id="17048"/>
      <w:bookmarkEnd w:id="17049"/>
      <w:bookmarkEnd w:id="17050"/>
      <w:bookmarkEnd w:id="17051"/>
      <w:bookmarkEnd w:id="17061"/>
      <w:bookmarkEnd w:id="17062"/>
    </w:p>
    <w:p w:rsidR="000F5507" w:rsidRDefault="000F5507" w:rsidP="000F5507">
      <w:pPr>
        <w:pStyle w:val="1"/>
        <w:rPr>
          <w:rtl/>
        </w:rPr>
      </w:pPr>
      <w:bookmarkStart w:id="17063" w:name="_Toc65604068"/>
      <w:bookmarkStart w:id="17064" w:name="_Toc65605958"/>
      <w:bookmarkStart w:id="17065" w:name="_Toc65617215"/>
      <w:bookmarkStart w:id="17066" w:name="_Toc65666198"/>
      <w:bookmarkStart w:id="17067" w:name="_Toc65689859"/>
      <w:bookmarkStart w:id="17068" w:name="_Toc65703423"/>
      <w:bookmarkStart w:id="17069" w:name="_Toc65714095"/>
      <w:bookmarkStart w:id="17070" w:name="_Toc65714951"/>
      <w:r>
        <w:rPr>
          <w:rFonts w:hint="cs"/>
          <w:rtl/>
        </w:rPr>
        <w:t>בי' הגרנ"פ</w:t>
      </w:r>
      <w:bookmarkEnd w:id="17063"/>
      <w:bookmarkEnd w:id="17064"/>
      <w:bookmarkEnd w:id="17065"/>
      <w:bookmarkEnd w:id="17066"/>
      <w:bookmarkEnd w:id="17067"/>
      <w:bookmarkEnd w:id="17068"/>
      <w:r>
        <w:rPr>
          <w:rFonts w:hint="cs"/>
          <w:rtl/>
        </w:rPr>
        <w:t xml:space="preserve"> ברש"י וברשב"ם דבהודה לע"א אין כח טענה למיגו</w:t>
      </w:r>
      <w:bookmarkEnd w:id="17069"/>
      <w:bookmarkEnd w:id="17070"/>
    </w:p>
    <w:p w:rsidR="000F5507" w:rsidRPr="00D13DDC" w:rsidRDefault="000F5507" w:rsidP="000F5507">
      <w:pPr>
        <w:pStyle w:val="a3"/>
        <w:rPr>
          <w:rtl/>
        </w:rPr>
      </w:pPr>
      <w:bookmarkStart w:id="17071" w:name="_Toc65714096"/>
      <w:bookmarkStart w:id="17072" w:name="_Toc65714952"/>
      <w:r>
        <w:rPr>
          <w:rFonts w:hint="cs"/>
          <w:rtl/>
        </w:rPr>
        <w:t>קושית הגרנ"פ על רש"י והרשב"ם דכל שמודה ודאי אינו יכול להכחישו ואמאי צ"ל שהוא כגזלן</w:t>
      </w:r>
      <w:bookmarkEnd w:id="17071"/>
      <w:bookmarkEnd w:id="17072"/>
    </w:p>
    <w:p w:rsidR="000F5507" w:rsidRDefault="000F5507" w:rsidP="007E4E81">
      <w:pPr>
        <w:pStyle w:val="a0"/>
        <w:rPr>
          <w:rtl/>
        </w:rPr>
      </w:pPr>
      <w:bookmarkStart w:id="17073" w:name="_Ref65575609"/>
      <w:r>
        <w:rPr>
          <w:rFonts w:hint="cs"/>
          <w:rtl/>
        </w:rPr>
        <w:t xml:space="preserve">במ"ש </w:t>
      </w:r>
      <w:r w:rsidRPr="00323898">
        <w:rPr>
          <w:rStyle w:val="af9"/>
          <w:rFonts w:hint="cs"/>
          <w:rtl/>
        </w:rPr>
        <w:t>הרשב"ם</w:t>
      </w:r>
      <w:r>
        <w:rPr>
          <w:rFonts w:hint="cs"/>
          <w:rtl/>
        </w:rPr>
        <w:t xml:space="preserve"> </w:t>
      </w:r>
      <w:r w:rsidRPr="00E27F38">
        <w:rPr>
          <w:rStyle w:val="af7"/>
          <w:rFonts w:eastAsia="Guttman Hodes" w:hint="cs"/>
          <w:rtl/>
        </w:rPr>
        <w:t xml:space="preserve">(עי' </w:t>
      </w:r>
      <w:r w:rsidRPr="00920683">
        <w:rPr>
          <w:rStyle w:val="af7"/>
          <w:rFonts w:eastAsia="Guttman Hodes" w:hint="cs"/>
          <w:rtl/>
        </w:rPr>
        <w:t xml:space="preserve">אות </w:t>
      </w:r>
      <w:r w:rsidRPr="00920683">
        <w:rPr>
          <w:rStyle w:val="af7"/>
          <w:rFonts w:eastAsia="Guttman Hodes"/>
          <w:rtl/>
        </w:rPr>
        <w:fldChar w:fldCharType="begin"/>
      </w:r>
      <w:r w:rsidRPr="00920683">
        <w:rPr>
          <w:rStyle w:val="af7"/>
          <w:rFonts w:eastAsia="Guttman Hodes"/>
          <w:rtl/>
        </w:rPr>
        <w:instrText xml:space="preserve"> </w:instrText>
      </w:r>
      <w:r w:rsidRPr="00920683">
        <w:rPr>
          <w:rStyle w:val="af7"/>
          <w:rFonts w:eastAsia="Guttman Hodes" w:hint="cs"/>
        </w:rPr>
        <w:instrText>REF</w:instrText>
      </w:r>
      <w:r w:rsidRPr="00920683">
        <w:rPr>
          <w:rStyle w:val="af7"/>
          <w:rFonts w:eastAsia="Guttman Hodes" w:hint="cs"/>
          <w:rtl/>
        </w:rPr>
        <w:instrText xml:space="preserve"> _</w:instrText>
      </w:r>
      <w:r w:rsidRPr="00920683">
        <w:rPr>
          <w:rStyle w:val="af7"/>
          <w:rFonts w:eastAsia="Guttman Hodes" w:hint="cs"/>
        </w:rPr>
        <w:instrText>Ref65575511 \r \h</w:instrText>
      </w:r>
      <w:r w:rsidRPr="00920683">
        <w:rPr>
          <w:rStyle w:val="af7"/>
          <w:rFonts w:eastAsia="Guttman Hodes"/>
          <w:rtl/>
        </w:rPr>
        <w:instrText xml:space="preserve"> </w:instrText>
      </w:r>
      <w:r w:rsidRPr="00920683">
        <w:rPr>
          <w:rStyle w:val="af7"/>
          <w:rFonts w:eastAsia="Guttman Hodes"/>
          <w:rtl/>
        </w:rPr>
      </w:r>
      <w:r w:rsidRPr="00920683">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920683">
        <w:rPr>
          <w:rStyle w:val="af7"/>
          <w:rFonts w:eastAsia="Guttman Hodes"/>
          <w:rtl/>
        </w:rPr>
        <w:fldChar w:fldCharType="end"/>
      </w:r>
      <w:r w:rsidRPr="00D13DDC">
        <w:rPr>
          <w:rStyle w:val="aff6"/>
          <w:rFonts w:hint="cs"/>
          <w:b/>
          <w:bCs/>
          <w:rtl/>
        </w:rPr>
        <w:t xml:space="preserve"> </w:t>
      </w:r>
      <w:r>
        <w:rPr>
          <w:rStyle w:val="af9"/>
          <w:rFonts w:hint="cs"/>
          <w:rtl/>
        </w:rPr>
        <w:t>ו</w:t>
      </w:r>
      <w:r w:rsidRPr="0079745A">
        <w:rPr>
          <w:rStyle w:val="af9"/>
          <w:rFonts w:hint="cs"/>
          <w:rtl/>
        </w:rPr>
        <w:t>רש"י בשבועות</w:t>
      </w:r>
      <w:r>
        <w:rPr>
          <w:rFonts w:hint="cs"/>
          <w:rtl/>
        </w:rPr>
        <w:t xml:space="preserve"> </w:t>
      </w:r>
      <w:r w:rsidRPr="00E27F38">
        <w:rPr>
          <w:rStyle w:val="af7"/>
          <w:rFonts w:eastAsia="Guttman Hodes" w:hint="cs"/>
          <w:rtl/>
        </w:rPr>
        <w:t xml:space="preserve">(עי' אות </w:t>
      </w:r>
      <w:r w:rsidRPr="00E27F38">
        <w:rPr>
          <w:rStyle w:val="af7"/>
          <w:rFonts w:eastAsia="Guttman Hodes"/>
          <w:rtl/>
        </w:rPr>
        <w:fldChar w:fldCharType="begin"/>
      </w:r>
      <w:r w:rsidRPr="00E27F38">
        <w:rPr>
          <w:rStyle w:val="af7"/>
          <w:rFonts w:eastAsia="Guttman Hodes"/>
          <w:rtl/>
        </w:rPr>
        <w:instrText xml:space="preserve"> </w:instrText>
      </w:r>
      <w:r w:rsidRPr="00E27F38">
        <w:rPr>
          <w:rStyle w:val="af7"/>
          <w:rFonts w:eastAsia="Guttman Hodes" w:hint="cs"/>
        </w:rPr>
        <w:instrText>REF</w:instrText>
      </w:r>
      <w:r w:rsidRPr="00E27F38">
        <w:rPr>
          <w:rStyle w:val="af7"/>
          <w:rFonts w:eastAsia="Guttman Hodes" w:hint="cs"/>
          <w:rtl/>
        </w:rPr>
        <w:instrText xml:space="preserve"> _</w:instrText>
      </w:r>
      <w:r w:rsidRPr="00E27F38">
        <w:rPr>
          <w:rStyle w:val="af7"/>
          <w:rFonts w:eastAsia="Guttman Hodes" w:hint="cs"/>
        </w:rPr>
        <w:instrText>Ref65095506 \r \h</w:instrText>
      </w:r>
      <w:r w:rsidRPr="00E27F38">
        <w:rPr>
          <w:rStyle w:val="af7"/>
          <w:rFonts w:eastAsia="Guttman Hodes"/>
          <w:rtl/>
        </w:rPr>
        <w:instrText xml:space="preserve"> </w:instrText>
      </w:r>
      <w:r w:rsidRPr="00E27F38">
        <w:rPr>
          <w:rStyle w:val="af7"/>
          <w:rFonts w:eastAsia="Guttman Hodes"/>
          <w:rtl/>
        </w:rPr>
      </w:r>
      <w:r w:rsidRPr="00E27F38">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E27F38">
        <w:rPr>
          <w:rStyle w:val="af7"/>
          <w:rFonts w:eastAsia="Guttman Hodes"/>
          <w:rtl/>
        </w:rPr>
        <w:fldChar w:fldCharType="end"/>
      </w:r>
      <w:r>
        <w:rPr>
          <w:rFonts w:hint="cs"/>
          <w:rtl/>
        </w:rPr>
        <w:t xml:space="preserve"> דלענין שבועה זו החוטף פסול כגזלן, דאינו יכול להשבע בכל השבועות, דאינו יכול להשבע להכחיש את הע"א, דהרי הוא מודה לעדות הע"א דאומר אין חטפי, הקשה </w:t>
      </w:r>
      <w:r w:rsidRPr="006A42F6">
        <w:rPr>
          <w:rStyle w:val="af9"/>
          <w:rFonts w:hint="cs"/>
          <w:rtl/>
        </w:rPr>
        <w:t>בחי' רבי נחום</w:t>
      </w:r>
      <w:r w:rsidRPr="00395C9F">
        <w:rPr>
          <w:rStyle w:val="af7"/>
          <w:rFonts w:eastAsia="Guttman Hodes" w:hint="cs"/>
          <w:rtl/>
        </w:rPr>
        <w:t xml:space="preserve"> (או' קצ"ג ד"ה רשב"ם) </w:t>
      </w:r>
      <w:r>
        <w:rPr>
          <w:rFonts w:hint="cs"/>
          <w:rtl/>
        </w:rPr>
        <w:t xml:space="preserve">דכיון שהוא מודה לע"א, א"כ ודאי שאינו יכול להשבע להכחישו, ואמאי הוצרכה הגמ' להוסיף שהוא כגזלן, וציין </w:t>
      </w:r>
      <w:r w:rsidRPr="006A42F6">
        <w:rPr>
          <w:rStyle w:val="af9"/>
          <w:rFonts w:hint="cs"/>
          <w:rtl/>
        </w:rPr>
        <w:t>בחי' רבי נחום</w:t>
      </w:r>
      <w:r>
        <w:rPr>
          <w:rFonts w:hint="cs"/>
          <w:rtl/>
        </w:rPr>
        <w:t xml:space="preserve"> דכן הקשה </w:t>
      </w:r>
      <w:r w:rsidRPr="006A42F6">
        <w:rPr>
          <w:rStyle w:val="af9"/>
          <w:rFonts w:hint="cs"/>
          <w:rtl/>
        </w:rPr>
        <w:t xml:space="preserve">המרדכי </w:t>
      </w:r>
      <w:r w:rsidRPr="00203765">
        <w:rPr>
          <w:rStyle w:val="af7"/>
          <w:rFonts w:eastAsia="Guttman Hodes" w:hint="cs"/>
          <w:rtl/>
        </w:rPr>
        <w:t xml:space="preserve">(עי' אות </w:t>
      </w:r>
      <w:r w:rsidRPr="00203765">
        <w:rPr>
          <w:rStyle w:val="af7"/>
          <w:rFonts w:eastAsia="Guttman Hodes"/>
          <w:rtl/>
        </w:rPr>
        <w:fldChar w:fldCharType="begin"/>
      </w:r>
      <w:r w:rsidRPr="00203765">
        <w:rPr>
          <w:rStyle w:val="af7"/>
          <w:rFonts w:eastAsia="Guttman Hodes"/>
          <w:rtl/>
        </w:rPr>
        <w:instrText xml:space="preserve"> </w:instrText>
      </w:r>
      <w:r w:rsidRPr="00203765">
        <w:rPr>
          <w:rStyle w:val="af7"/>
          <w:rFonts w:eastAsia="Guttman Hodes" w:hint="cs"/>
        </w:rPr>
        <w:instrText>REF</w:instrText>
      </w:r>
      <w:r w:rsidRPr="00203765">
        <w:rPr>
          <w:rStyle w:val="af7"/>
          <w:rFonts w:eastAsia="Guttman Hodes" w:hint="cs"/>
          <w:rtl/>
        </w:rPr>
        <w:instrText xml:space="preserve"> _</w:instrText>
      </w:r>
      <w:r w:rsidRPr="00203765">
        <w:rPr>
          <w:rStyle w:val="af7"/>
          <w:rFonts w:eastAsia="Guttman Hodes" w:hint="cs"/>
        </w:rPr>
        <w:instrText>Ref65575628 \r \h</w:instrText>
      </w:r>
      <w:r w:rsidRPr="00203765">
        <w:rPr>
          <w:rStyle w:val="af7"/>
          <w:rFonts w:eastAsia="Guttman Hodes"/>
          <w:rtl/>
        </w:rPr>
        <w:instrText xml:space="preserve"> </w:instrText>
      </w:r>
      <w:r w:rsidRPr="00203765">
        <w:rPr>
          <w:rStyle w:val="af7"/>
          <w:rFonts w:eastAsia="Guttman Hodes"/>
          <w:rtl/>
        </w:rPr>
      </w:r>
      <w:r w:rsidRPr="00203765">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203765">
        <w:rPr>
          <w:rStyle w:val="af7"/>
          <w:rFonts w:eastAsia="Guttman Hodes"/>
          <w:rtl/>
        </w:rPr>
        <w:fldChar w:fldCharType="end"/>
      </w:r>
      <w:r>
        <w:rPr>
          <w:rFonts w:hint="cs"/>
          <w:rtl/>
        </w:rPr>
        <w:t xml:space="preserve"> בשם </w:t>
      </w:r>
      <w:r w:rsidRPr="00395C9F">
        <w:rPr>
          <w:rStyle w:val="af9"/>
          <w:rFonts w:hint="cs"/>
          <w:rtl/>
        </w:rPr>
        <w:t>הראב"ן</w:t>
      </w:r>
      <w:r>
        <w:rPr>
          <w:rFonts w:hint="cs"/>
          <w:rtl/>
        </w:rPr>
        <w:t xml:space="preserve">, וכן ציין לגירסת </w:t>
      </w:r>
      <w:r w:rsidRPr="006A42F6">
        <w:rPr>
          <w:rStyle w:val="af9"/>
          <w:rFonts w:hint="cs"/>
          <w:rtl/>
        </w:rPr>
        <w:t>הרי"ף</w:t>
      </w:r>
      <w:r>
        <w:rPr>
          <w:rFonts w:hint="cs"/>
          <w:rtl/>
        </w:rPr>
        <w:t xml:space="preserve"> </w:t>
      </w:r>
      <w:r w:rsidRPr="00F45D04">
        <w:rPr>
          <w:rStyle w:val="af7"/>
          <w:rFonts w:eastAsia="Guttman Hodes"/>
          <w:rtl/>
        </w:rPr>
        <w:t xml:space="preserve">(עי' אות </w:t>
      </w:r>
      <w:r w:rsidRPr="00F45D04">
        <w:rPr>
          <w:rStyle w:val="af7"/>
          <w:rFonts w:eastAsia="Guttman Hodes"/>
          <w:rtl/>
        </w:rPr>
        <w:fldChar w:fldCharType="begin"/>
      </w:r>
      <w:r w:rsidRPr="00F45D04">
        <w:rPr>
          <w:rStyle w:val="af7"/>
          <w:rFonts w:eastAsia="Guttman Hodes"/>
          <w:rtl/>
        </w:rPr>
        <w:instrText xml:space="preserve"> </w:instrText>
      </w:r>
      <w:r w:rsidRPr="00F45D04">
        <w:rPr>
          <w:rStyle w:val="af7"/>
          <w:rFonts w:eastAsia="Guttman Hodes"/>
        </w:rPr>
        <w:instrText>REF</w:instrText>
      </w:r>
      <w:r w:rsidRPr="00F45D04">
        <w:rPr>
          <w:rStyle w:val="af7"/>
          <w:rFonts w:eastAsia="Guttman Hodes"/>
          <w:rtl/>
        </w:rPr>
        <w:instrText xml:space="preserve"> _</w:instrText>
      </w:r>
      <w:r w:rsidRPr="00F45D04">
        <w:rPr>
          <w:rStyle w:val="af7"/>
          <w:rFonts w:eastAsia="Guttman Hodes"/>
        </w:rPr>
        <w:instrText>Ref65689731 \r \h</w:instrText>
      </w:r>
      <w:r w:rsidRPr="00F45D04">
        <w:rPr>
          <w:rStyle w:val="af7"/>
          <w:rFonts w:eastAsia="Guttman Hodes"/>
          <w:rtl/>
        </w:rPr>
        <w:instrText xml:space="preserve"> </w:instrText>
      </w:r>
      <w:r w:rsidRPr="00F45D04">
        <w:rPr>
          <w:rStyle w:val="af7"/>
          <w:rFonts w:eastAsia="Guttman Hodes"/>
          <w:rtl/>
        </w:rPr>
      </w:r>
      <w:r w:rsidRPr="00F45D04">
        <w:rPr>
          <w:rStyle w:val="af7"/>
          <w:rFonts w:eastAsia="Guttman Hodes"/>
          <w:rtl/>
        </w:rPr>
        <w:fldChar w:fldCharType="separate"/>
      </w:r>
      <w:r w:rsidR="00265073">
        <w:rPr>
          <w:rStyle w:val="af7"/>
          <w:rFonts w:eastAsia="Guttman Hodes"/>
          <w:cs/>
        </w:rPr>
        <w:t>‎</w:t>
      </w:r>
      <w:r w:rsidR="00265073">
        <w:rPr>
          <w:rStyle w:val="af7"/>
          <w:rFonts w:eastAsia="Guttman Hodes"/>
          <w:rtl/>
        </w:rPr>
        <w:t>מה)</w:t>
      </w:r>
      <w:r w:rsidRPr="00F45D04">
        <w:rPr>
          <w:rStyle w:val="af7"/>
          <w:rFonts w:eastAsia="Guttman Hodes"/>
          <w:rtl/>
        </w:rPr>
        <w:fldChar w:fldCharType="end"/>
      </w:r>
      <w:r>
        <w:rPr>
          <w:rStyle w:val="af7"/>
          <w:rFonts w:eastAsia="Guttman Hodes"/>
          <w:rtl/>
        </w:rPr>
        <w:t xml:space="preserve"> </w:t>
      </w:r>
      <w:r>
        <w:rPr>
          <w:rFonts w:hint="cs"/>
          <w:rtl/>
        </w:rPr>
        <w:t>דלא גרס שהוא כגזלן אלא דכיון שהודה אינו יכול להשבע.</w:t>
      </w:r>
      <w:bookmarkEnd w:id="17073"/>
      <w:r>
        <w:rPr>
          <w:rFonts w:hint="cs"/>
          <w:rtl/>
        </w:rPr>
        <w:t xml:space="preserve"> [וכבר הקשה כן </w:t>
      </w:r>
      <w:r w:rsidRPr="002D2E26">
        <w:rPr>
          <w:rStyle w:val="af9"/>
          <w:rFonts w:hint="cs"/>
          <w:rtl/>
        </w:rPr>
        <w:t xml:space="preserve">התורת חיים </w:t>
      </w:r>
      <w:r w:rsidRPr="002D2E26">
        <w:rPr>
          <w:rStyle w:val="af7"/>
          <w:rFonts w:eastAsia="Guttman Hodes" w:hint="cs"/>
          <w:rtl/>
        </w:rPr>
        <w:t xml:space="preserve">(עי' אות </w:t>
      </w:r>
      <w:r w:rsidRPr="002D2E26">
        <w:rPr>
          <w:rStyle w:val="af7"/>
          <w:rFonts w:eastAsia="Guttman Hodes"/>
          <w:rtl/>
        </w:rPr>
        <w:fldChar w:fldCharType="begin"/>
      </w:r>
      <w:r w:rsidRPr="002D2E26">
        <w:rPr>
          <w:rStyle w:val="af7"/>
          <w:rFonts w:eastAsia="Guttman Hodes"/>
          <w:rtl/>
        </w:rPr>
        <w:instrText xml:space="preserve"> </w:instrText>
      </w:r>
      <w:r w:rsidRPr="002D2E26">
        <w:rPr>
          <w:rStyle w:val="af7"/>
          <w:rFonts w:eastAsia="Guttman Hodes" w:hint="cs"/>
        </w:rPr>
        <w:instrText>REF</w:instrText>
      </w:r>
      <w:r w:rsidRPr="002D2E26">
        <w:rPr>
          <w:rStyle w:val="af7"/>
          <w:rFonts w:eastAsia="Guttman Hodes" w:hint="cs"/>
          <w:rtl/>
        </w:rPr>
        <w:instrText xml:space="preserve"> _</w:instrText>
      </w:r>
      <w:r w:rsidRPr="002D2E26">
        <w:rPr>
          <w:rStyle w:val="af7"/>
          <w:rFonts w:eastAsia="Guttman Hodes" w:hint="cs"/>
        </w:rPr>
        <w:instrText>Ref65095550 \r \h</w:instrText>
      </w:r>
      <w:r w:rsidRPr="002D2E26">
        <w:rPr>
          <w:rStyle w:val="af7"/>
          <w:rFonts w:eastAsia="Guttman Hodes"/>
          <w:rtl/>
        </w:rPr>
        <w:instrText xml:space="preserve"> </w:instrText>
      </w:r>
      <w:r w:rsidRPr="002D2E26">
        <w:rPr>
          <w:rStyle w:val="af7"/>
          <w:rFonts w:eastAsia="Guttman Hodes"/>
          <w:rtl/>
        </w:rPr>
      </w:r>
      <w:r w:rsidRPr="002D2E26">
        <w:rPr>
          <w:rStyle w:val="af7"/>
          <w:rFonts w:eastAsia="Guttman Hodes"/>
          <w:rtl/>
        </w:rPr>
        <w:fldChar w:fldCharType="separate"/>
      </w:r>
      <w:r w:rsidR="00265073">
        <w:rPr>
          <w:rStyle w:val="af7"/>
          <w:rFonts w:eastAsia="Guttman Hodes"/>
          <w:cs/>
        </w:rPr>
        <w:t>‎</w:t>
      </w:r>
      <w:r w:rsidR="00265073">
        <w:rPr>
          <w:rStyle w:val="af7"/>
          <w:rFonts w:eastAsia="Guttman Hodes"/>
          <w:rtl/>
        </w:rPr>
        <w:t>יח)</w:t>
      </w:r>
      <w:r w:rsidRPr="002D2E26">
        <w:rPr>
          <w:rStyle w:val="af7"/>
          <w:rFonts w:eastAsia="Guttman Hodes"/>
          <w:rtl/>
        </w:rPr>
        <w:fldChar w:fldCharType="end"/>
      </w:r>
      <w:r>
        <w:rPr>
          <w:rFonts w:hint="cs"/>
          <w:rtl/>
        </w:rPr>
        <w:t>].</w:t>
      </w:r>
    </w:p>
    <w:p w:rsidR="000F5507" w:rsidRPr="00103A68" w:rsidRDefault="000F5507" w:rsidP="000F5507">
      <w:pPr>
        <w:pStyle w:val="a3"/>
        <w:rPr>
          <w:rtl/>
        </w:rPr>
      </w:pPr>
    </w:p>
    <w:p w:rsidR="000F5507" w:rsidRPr="00D13DDC" w:rsidRDefault="000F5507" w:rsidP="000F5507">
      <w:pPr>
        <w:pStyle w:val="a3"/>
        <w:rPr>
          <w:rtl/>
        </w:rPr>
      </w:pPr>
      <w:bookmarkStart w:id="17074" w:name="_Toc65714097"/>
      <w:bookmarkStart w:id="17075" w:name="_Toc65714953"/>
      <w:r>
        <w:rPr>
          <w:rFonts w:hint="cs"/>
          <w:rtl/>
        </w:rPr>
        <w:t>דברי הגרנ"פ דאפשר לדחוק ברשב"ם דהוא דומה לגזלן לשבועת דידי חטפי אך לא משמע כן</w:t>
      </w:r>
      <w:bookmarkEnd w:id="17074"/>
      <w:bookmarkEnd w:id="17075"/>
    </w:p>
    <w:p w:rsidR="000F5507" w:rsidRDefault="000F5507" w:rsidP="007E4E81">
      <w:pPr>
        <w:pStyle w:val="a0"/>
        <w:rPr>
          <w:rtl/>
        </w:rPr>
      </w:pPr>
      <w:r>
        <w:rPr>
          <w:rFonts w:hint="cs"/>
          <w:rtl/>
        </w:rPr>
        <w:t xml:space="preserve">וכתב </w:t>
      </w:r>
      <w:r w:rsidRPr="006A42F6">
        <w:rPr>
          <w:rStyle w:val="af9"/>
          <w:rFonts w:hint="cs"/>
          <w:rtl/>
        </w:rPr>
        <w:t>בחי' רבי נחום</w:t>
      </w:r>
      <w:r>
        <w:rPr>
          <w:rFonts w:hint="cs"/>
          <w:rtl/>
        </w:rPr>
        <w:t xml:space="preserve"> דבדברי </w:t>
      </w:r>
      <w:r w:rsidRPr="006A42F6">
        <w:rPr>
          <w:rStyle w:val="af9"/>
          <w:rFonts w:hint="cs"/>
          <w:rtl/>
        </w:rPr>
        <w:t>הרשב"ם</w:t>
      </w:r>
      <w:r>
        <w:rPr>
          <w:rFonts w:hint="cs"/>
          <w:rtl/>
        </w:rPr>
        <w:t xml:space="preserve"> היה אפשר לדחוק דכוונת הגמ' לומר דהא דאינו יכול להשבע על טענתו דדידי חטפי, הוא כיון שלשבועה זו הוא כגזלן בשאר שבועות, וביאר </w:t>
      </w:r>
      <w:r w:rsidRPr="006A42F6">
        <w:rPr>
          <w:rStyle w:val="af9"/>
          <w:rFonts w:hint="cs"/>
          <w:rtl/>
        </w:rPr>
        <w:t>בחי' רבי נחום</w:t>
      </w:r>
      <w:r>
        <w:rPr>
          <w:rFonts w:hint="cs"/>
          <w:rtl/>
        </w:rPr>
        <w:t xml:space="preserve"> דכל הנאמנות בשבועה כנגד ע"א הוא כשחייבתו תורה להכחיש את העד, והאמינה תורה לשבועתו, אבל אינו מחוייב להשבע על טענת דידי חטפי דאינו מכחיש את העד, וא"כ אין לו בה דין נאמנות, ולפי"ז אין כוונת </w:t>
      </w:r>
      <w:r w:rsidRPr="007D38C5">
        <w:rPr>
          <w:rStyle w:val="af9"/>
          <w:rFonts w:hint="cs"/>
          <w:rtl/>
        </w:rPr>
        <w:t>הרשב"ם</w:t>
      </w:r>
      <w:r>
        <w:rPr>
          <w:rFonts w:hint="cs"/>
          <w:rtl/>
        </w:rPr>
        <w:t xml:space="preserve"> לומר דהוא פסול לשבועה זו כגזלן, אלא כוונתו לדוגמא בעלמא, דכמו שחשוד אין לו נאמנות בשבועה, ולכן אינו יכול להשבע, ה"ה בטענת דידי חטפי דאין נאמנות לשבועתו, אך כתב </w:t>
      </w:r>
      <w:r w:rsidRPr="006A42F6">
        <w:rPr>
          <w:rStyle w:val="af9"/>
          <w:rFonts w:hint="cs"/>
          <w:rtl/>
        </w:rPr>
        <w:t>בחי' רבי נחום</w:t>
      </w:r>
      <w:r>
        <w:rPr>
          <w:rFonts w:hint="cs"/>
          <w:rtl/>
        </w:rPr>
        <w:t xml:space="preserve"> דלא משמע כן בדברי </w:t>
      </w:r>
      <w:r w:rsidRPr="006A42F6">
        <w:rPr>
          <w:rStyle w:val="af9"/>
          <w:rFonts w:hint="cs"/>
          <w:rtl/>
        </w:rPr>
        <w:t>הרשב"ם</w:t>
      </w:r>
      <w:r>
        <w:rPr>
          <w:rFonts w:hint="cs"/>
          <w:rtl/>
        </w:rPr>
        <w:t xml:space="preserve">, </w:t>
      </w:r>
      <w:r>
        <w:rPr>
          <w:rStyle w:val="af9"/>
          <w:rFonts w:hint="cs"/>
          <w:rtl/>
        </w:rPr>
        <w:t>וב</w:t>
      </w:r>
      <w:r w:rsidRPr="0079745A">
        <w:rPr>
          <w:rStyle w:val="af9"/>
          <w:rFonts w:hint="cs"/>
          <w:rtl/>
        </w:rPr>
        <w:t>רש"י בשבועות</w:t>
      </w:r>
      <w:r>
        <w:rPr>
          <w:rFonts w:hint="cs"/>
          <w:rtl/>
        </w:rPr>
        <w:t xml:space="preserve"> </w:t>
      </w:r>
      <w:r w:rsidRPr="00E27F38">
        <w:rPr>
          <w:rStyle w:val="af7"/>
          <w:rFonts w:eastAsia="Guttman Hodes" w:hint="cs"/>
          <w:rtl/>
        </w:rPr>
        <w:t xml:space="preserve">(עי' אות </w:t>
      </w:r>
      <w:r w:rsidRPr="00E27F38">
        <w:rPr>
          <w:rStyle w:val="af7"/>
          <w:rFonts w:eastAsia="Guttman Hodes"/>
          <w:rtl/>
        </w:rPr>
        <w:fldChar w:fldCharType="begin"/>
      </w:r>
      <w:r w:rsidRPr="00E27F38">
        <w:rPr>
          <w:rStyle w:val="af7"/>
          <w:rFonts w:eastAsia="Guttman Hodes"/>
          <w:rtl/>
        </w:rPr>
        <w:instrText xml:space="preserve"> </w:instrText>
      </w:r>
      <w:r w:rsidRPr="00E27F38">
        <w:rPr>
          <w:rStyle w:val="af7"/>
          <w:rFonts w:eastAsia="Guttman Hodes" w:hint="cs"/>
        </w:rPr>
        <w:instrText>REF</w:instrText>
      </w:r>
      <w:r w:rsidRPr="00E27F38">
        <w:rPr>
          <w:rStyle w:val="af7"/>
          <w:rFonts w:eastAsia="Guttman Hodes" w:hint="cs"/>
          <w:rtl/>
        </w:rPr>
        <w:instrText xml:space="preserve"> _</w:instrText>
      </w:r>
      <w:r w:rsidRPr="00E27F38">
        <w:rPr>
          <w:rStyle w:val="af7"/>
          <w:rFonts w:eastAsia="Guttman Hodes" w:hint="cs"/>
        </w:rPr>
        <w:instrText>Ref65095506 \r \h</w:instrText>
      </w:r>
      <w:r w:rsidRPr="00E27F38">
        <w:rPr>
          <w:rStyle w:val="af7"/>
          <w:rFonts w:eastAsia="Guttman Hodes"/>
          <w:rtl/>
        </w:rPr>
        <w:instrText xml:space="preserve"> </w:instrText>
      </w:r>
      <w:r w:rsidRPr="00E27F38">
        <w:rPr>
          <w:rStyle w:val="af7"/>
          <w:rFonts w:eastAsia="Guttman Hodes"/>
          <w:rtl/>
        </w:rPr>
      </w:r>
      <w:r w:rsidRPr="00E27F38">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E27F38">
        <w:rPr>
          <w:rStyle w:val="af7"/>
          <w:rFonts w:eastAsia="Guttman Hodes"/>
          <w:rtl/>
        </w:rPr>
        <w:fldChar w:fldCharType="end"/>
      </w:r>
      <w:r>
        <w:rPr>
          <w:rFonts w:hint="cs"/>
          <w:rtl/>
        </w:rPr>
        <w:t xml:space="preserve"> כתב להדיא דא"א לחייבו את השבועה שהעד מחייבו, דכיון שהוא כגזלן.</w:t>
      </w:r>
    </w:p>
    <w:p w:rsidR="000F5507" w:rsidRPr="00D13DDC" w:rsidRDefault="000F5507" w:rsidP="000F5507">
      <w:pPr>
        <w:pStyle w:val="a3"/>
        <w:rPr>
          <w:rtl/>
        </w:rPr>
      </w:pPr>
      <w:bookmarkStart w:id="17076" w:name="_Toc65714098"/>
      <w:bookmarkStart w:id="17077" w:name="_Toc65714954"/>
      <w:r>
        <w:rPr>
          <w:rFonts w:hint="cs"/>
          <w:rtl/>
        </w:rPr>
        <w:t>ביאור הגרנ"פ ברש"י וברשב"ם דאינו נאמן במיגו כיון ש אחר שהודה</w:t>
      </w:r>
      <w:r w:rsidRPr="007D38C5">
        <w:rPr>
          <w:rFonts w:hint="cs"/>
          <w:rtl/>
        </w:rPr>
        <w:t xml:space="preserve"> </w:t>
      </w:r>
      <w:r>
        <w:rPr>
          <w:rFonts w:hint="cs"/>
          <w:rtl/>
        </w:rPr>
        <w:t>אין לו את כח הטענה</w:t>
      </w:r>
      <w:bookmarkEnd w:id="17076"/>
      <w:bookmarkEnd w:id="17077"/>
    </w:p>
    <w:p w:rsidR="000F5507" w:rsidRDefault="000F5507" w:rsidP="007E4E81">
      <w:pPr>
        <w:pStyle w:val="a0"/>
        <w:rPr>
          <w:rtl/>
        </w:rPr>
      </w:pPr>
      <w:r>
        <w:rPr>
          <w:rFonts w:hint="cs"/>
          <w:rtl/>
        </w:rPr>
        <w:t>אלא כתב</w:t>
      </w:r>
      <w:r w:rsidRPr="00A5731F">
        <w:rPr>
          <w:rStyle w:val="af9"/>
          <w:rFonts w:hint="cs"/>
          <w:rtl/>
        </w:rPr>
        <w:t xml:space="preserve"> </w:t>
      </w:r>
      <w:r w:rsidRPr="006A42F6">
        <w:rPr>
          <w:rStyle w:val="af9"/>
          <w:rFonts w:hint="cs"/>
          <w:rtl/>
        </w:rPr>
        <w:t>בחי' רבי נחום</w:t>
      </w:r>
      <w:r w:rsidRPr="00395C9F">
        <w:rPr>
          <w:rFonts w:hint="cs"/>
          <w:rtl/>
        </w:rPr>
        <w:t xml:space="preserve"> </w:t>
      </w:r>
      <w:r w:rsidRPr="009A0095">
        <w:rPr>
          <w:rStyle w:val="af7"/>
          <w:rFonts w:eastAsia="Guttman Hodes" w:hint="cs"/>
          <w:rtl/>
        </w:rPr>
        <w:t xml:space="preserve">(או' קצ"ג ד"ה והנראה) </w:t>
      </w:r>
      <w:r>
        <w:rPr>
          <w:rFonts w:hint="cs"/>
          <w:rtl/>
        </w:rPr>
        <w:t xml:space="preserve">דכוונת </w:t>
      </w:r>
      <w:r w:rsidRPr="004D0062">
        <w:rPr>
          <w:rStyle w:val="af9"/>
          <w:rFonts w:hint="cs"/>
          <w:rtl/>
        </w:rPr>
        <w:t>רש"י</w:t>
      </w:r>
      <w:r>
        <w:rPr>
          <w:rFonts w:hint="cs"/>
          <w:rtl/>
        </w:rPr>
        <w:t xml:space="preserve"> </w:t>
      </w:r>
      <w:r w:rsidRPr="004D0062">
        <w:rPr>
          <w:rStyle w:val="af9"/>
          <w:rFonts w:hint="cs"/>
          <w:rtl/>
        </w:rPr>
        <w:t>בשבועות והרשב"ם</w:t>
      </w:r>
      <w:r>
        <w:rPr>
          <w:rFonts w:hint="cs"/>
          <w:rtl/>
        </w:rPr>
        <w:t xml:space="preserve"> לתרץ את קושית </w:t>
      </w:r>
      <w:r w:rsidRPr="004D0062">
        <w:rPr>
          <w:rStyle w:val="af9"/>
          <w:rFonts w:hint="cs"/>
          <w:rtl/>
        </w:rPr>
        <w:t>התוס'</w:t>
      </w:r>
      <w:r>
        <w:rPr>
          <w:rFonts w:hint="cs"/>
          <w:rtl/>
        </w:rPr>
        <w:t xml:space="preserve"> </w:t>
      </w:r>
      <w:r w:rsidRPr="004769A2">
        <w:rPr>
          <w:rStyle w:val="af7"/>
          <w:rFonts w:eastAsia="Guttman Hodes" w:hint="cs"/>
          <w:rtl/>
        </w:rPr>
        <w:t>(</w:t>
      </w:r>
      <w:r>
        <w:rPr>
          <w:rStyle w:val="af7"/>
          <w:rFonts w:eastAsia="Guttman Hodes" w:hint="cs"/>
          <w:rtl/>
        </w:rPr>
        <w:t xml:space="preserve">ד"ה </w:t>
      </w:r>
      <w:r w:rsidRPr="004769A2">
        <w:rPr>
          <w:rStyle w:val="af7"/>
          <w:rFonts w:eastAsia="Guttman Hodes" w:hint="cs"/>
          <w:rtl/>
        </w:rPr>
        <w:t>הוי)</w:t>
      </w:r>
      <w:r>
        <w:rPr>
          <w:rFonts w:hint="cs"/>
          <w:rtl/>
        </w:rPr>
        <w:t xml:space="preserve"> </w:t>
      </w:r>
      <w:r w:rsidRPr="004769A2">
        <w:rPr>
          <w:rStyle w:val="afb"/>
          <w:rFonts w:hint="cs"/>
          <w:rtl/>
        </w:rPr>
        <w:t xml:space="preserve">[אי"ה יובאו דבריהם בהמשך] </w:t>
      </w:r>
      <w:r>
        <w:rPr>
          <w:rFonts w:hint="cs"/>
          <w:rtl/>
        </w:rPr>
        <w:t xml:space="preserve">דהקשו אמאי אינו נאמן בטענת דידי חטפי בשבועה, במיגו דהיה יכול לטעון לא חטפי דנאמן בשבועה, וביארו </w:t>
      </w:r>
      <w:r w:rsidRPr="004D0062">
        <w:rPr>
          <w:rStyle w:val="af9"/>
          <w:rFonts w:hint="cs"/>
          <w:rtl/>
        </w:rPr>
        <w:t>רש"י והרשב"ם</w:t>
      </w:r>
      <w:r>
        <w:rPr>
          <w:rFonts w:hint="cs"/>
          <w:rtl/>
        </w:rPr>
        <w:t xml:space="preserve"> דכיון שהודה לדברי העד כשטען אין חטפי, א"כ כבר אין לו את כח הנאמנות בטענת לא חטפי, ולא מהני לו מיגו שהיה יכול לטעון כן, </w:t>
      </w:r>
      <w:r w:rsidRPr="007D38C5">
        <w:rPr>
          <w:rStyle w:val="afb"/>
          <w:rFonts w:hint="cs"/>
          <w:rtl/>
        </w:rPr>
        <w:t>[אי מיגו הוא מדין כח הטענה],</w:t>
      </w:r>
      <w:r>
        <w:rPr>
          <w:rFonts w:hint="cs"/>
          <w:rtl/>
        </w:rPr>
        <w:t xml:space="preserve"> וזו כוונת הגמ' שהוא דומה לגזלן שאינו יכול להשבע את שבועת לא חטפי</w:t>
      </w:r>
      <w:r>
        <w:rPr>
          <w:rStyle w:val="af1"/>
          <w:rtl/>
        </w:rPr>
        <w:footnoteReference w:id="117"/>
      </w:r>
      <w:r>
        <w:rPr>
          <w:rFonts w:hint="cs"/>
          <w:rtl/>
        </w:rPr>
        <w:t>.</w:t>
      </w:r>
    </w:p>
    <w:p w:rsidR="000F5507" w:rsidRPr="009A0095" w:rsidRDefault="000F5507" w:rsidP="000F5507">
      <w:pPr>
        <w:pStyle w:val="a3"/>
        <w:rPr>
          <w:rtl/>
        </w:rPr>
      </w:pPr>
      <w:bookmarkStart w:id="17078" w:name="_Toc65714099"/>
      <w:bookmarkStart w:id="17079" w:name="_Toc65714955"/>
      <w:r>
        <w:rPr>
          <w:rFonts w:hint="cs"/>
          <w:rtl/>
        </w:rPr>
        <w:t>ביאור הגרנ"פ דבלא הע"א אף בהודה יש לו את כח הטענה על עצם הממון דהנסכא שלו</w:t>
      </w:r>
      <w:bookmarkEnd w:id="17078"/>
      <w:bookmarkEnd w:id="17079"/>
    </w:p>
    <w:p w:rsidR="000F5507" w:rsidRDefault="000F5507" w:rsidP="007E4E81">
      <w:pPr>
        <w:pStyle w:val="a0"/>
        <w:rPr>
          <w:rtl/>
        </w:rPr>
      </w:pPr>
      <w:r>
        <w:rPr>
          <w:rFonts w:hint="cs"/>
          <w:rtl/>
        </w:rPr>
        <w:t xml:space="preserve">והוסיף </w:t>
      </w:r>
      <w:r w:rsidRPr="006928AC">
        <w:rPr>
          <w:rStyle w:val="af9"/>
          <w:rFonts w:hint="cs"/>
          <w:rtl/>
        </w:rPr>
        <w:t>בחי' רבי נחום</w:t>
      </w:r>
      <w:r>
        <w:rPr>
          <w:rFonts w:hint="cs"/>
          <w:rtl/>
        </w:rPr>
        <w:t xml:space="preserve"> דאם לא היה ע"א שמעיד על החטיפה, היה לו את כח הטענה של המיגו, אעפ"י שהודה שלא חטף, כיון שעיקר טענתו שלא חטף אינה סיפור דברים שבאמת לא חטף את הנסכא, אלא הוא טענה שהנסכא שלו, </w:t>
      </w:r>
      <w:r w:rsidRPr="00A760B8">
        <w:rPr>
          <w:rStyle w:val="afb"/>
          <w:rFonts w:hint="cs"/>
          <w:rtl/>
        </w:rPr>
        <w:t xml:space="preserve">[וכדביאר </w:t>
      </w:r>
      <w:r w:rsidRPr="009A0095">
        <w:rPr>
          <w:rStyle w:val="affa"/>
          <w:rFonts w:hint="cs"/>
          <w:rtl/>
        </w:rPr>
        <w:t>בחי' רבי נחום לעיל</w:t>
      </w:r>
      <w:r w:rsidRPr="00A760B8">
        <w:rPr>
          <w:rStyle w:val="afb"/>
          <w:rFonts w:hint="cs"/>
          <w:rtl/>
        </w:rPr>
        <w:t xml:space="preserve"> </w:t>
      </w:r>
      <w:r w:rsidRPr="009A0095">
        <w:rPr>
          <w:rStyle w:val="aff6"/>
          <w:rFonts w:hint="cs"/>
          <w:rtl/>
        </w:rPr>
        <w:t>(או'</w:t>
      </w:r>
      <w:r w:rsidRPr="00A760B8">
        <w:rPr>
          <w:rStyle w:val="afb"/>
          <w:rFonts w:hint="cs"/>
          <w:rtl/>
        </w:rPr>
        <w:t xml:space="preserve"> </w:t>
      </w:r>
      <w:r w:rsidRPr="009A0095">
        <w:rPr>
          <w:rStyle w:val="aff6"/>
          <w:rFonts w:hint="cs"/>
          <w:rtl/>
        </w:rPr>
        <w:t>פ"ד, הובא בסימן י"ב אות פ"ח)</w:t>
      </w:r>
      <w:r w:rsidRPr="00A760B8">
        <w:rPr>
          <w:rStyle w:val="afb"/>
          <w:rFonts w:hint="cs"/>
          <w:rtl/>
        </w:rPr>
        <w:t xml:space="preserve"> בשם </w:t>
      </w:r>
      <w:r w:rsidRPr="009A0095">
        <w:rPr>
          <w:rStyle w:val="affa"/>
          <w:rFonts w:hint="cs"/>
          <w:rtl/>
        </w:rPr>
        <w:t>הגר"ח שמואלביץ בשערי</w:t>
      </w:r>
      <w:r w:rsidRPr="00A760B8">
        <w:rPr>
          <w:rStyle w:val="afb"/>
          <w:rFonts w:hint="cs"/>
          <w:rtl/>
        </w:rPr>
        <w:t xml:space="preserve"> </w:t>
      </w:r>
      <w:r w:rsidRPr="009A0095">
        <w:rPr>
          <w:rStyle w:val="affa"/>
          <w:rFonts w:hint="cs"/>
          <w:rtl/>
        </w:rPr>
        <w:t>חיים</w:t>
      </w:r>
      <w:r w:rsidRPr="00A760B8">
        <w:rPr>
          <w:rStyle w:val="afb"/>
          <w:rFonts w:hint="cs"/>
          <w:rtl/>
        </w:rPr>
        <w:t xml:space="preserve"> </w:t>
      </w:r>
      <w:r w:rsidRPr="009A0095">
        <w:rPr>
          <w:rStyle w:val="aff6"/>
          <w:rFonts w:hint="cs"/>
          <w:rtl/>
        </w:rPr>
        <w:t>(כתובות סי' נ"ט</w:t>
      </w:r>
      <w:r w:rsidRPr="00A760B8">
        <w:rPr>
          <w:rStyle w:val="afb"/>
          <w:rFonts w:hint="cs"/>
          <w:rtl/>
        </w:rPr>
        <w:t xml:space="preserve"> </w:t>
      </w:r>
      <w:r w:rsidRPr="004D0062">
        <w:rPr>
          <w:rStyle w:val="aff6"/>
          <w:rFonts w:hint="cs"/>
          <w:rtl/>
        </w:rPr>
        <w:t>או' ד')</w:t>
      </w:r>
      <w:r w:rsidRPr="00A760B8">
        <w:rPr>
          <w:rStyle w:val="afb"/>
          <w:rFonts w:hint="cs"/>
          <w:rtl/>
        </w:rPr>
        <w:t>]</w:t>
      </w:r>
      <w:r>
        <w:rPr>
          <w:rStyle w:val="afb"/>
          <w:rFonts w:hint="cs"/>
          <w:rtl/>
        </w:rPr>
        <w:t xml:space="preserve">, </w:t>
      </w:r>
      <w:r>
        <w:rPr>
          <w:rFonts w:hint="cs"/>
          <w:rtl/>
        </w:rPr>
        <w:t xml:space="preserve">ולכן עדיין יש לו כח נאמנות במיגו דהיה נשבע בטענת לא חטפי, ורק במקום שיש ע"א שמעיד על החטיפה, והוא מודה שחטף, בטלה כח הנאמנות שהיה נשבע להכחיש את העד. </w:t>
      </w:r>
    </w:p>
    <w:p w:rsidR="000F5507" w:rsidRPr="00283C25" w:rsidRDefault="000F5507" w:rsidP="000F5507">
      <w:pPr>
        <w:pStyle w:val="afe"/>
        <w:rPr>
          <w:rtl/>
        </w:rPr>
      </w:pPr>
      <w:bookmarkStart w:id="17080" w:name="_Toc65714100"/>
      <w:bookmarkStart w:id="17081" w:name="_Toc65714956"/>
      <w:r>
        <w:rPr>
          <w:rFonts w:hint="cs"/>
          <w:rtl/>
        </w:rPr>
        <w:t>בד' הסוברים דא"י לישבע דדידיה חטף</w:t>
      </w:r>
      <w:bookmarkEnd w:id="17080"/>
      <w:bookmarkEnd w:id="17081"/>
    </w:p>
    <w:p w:rsidR="000F5507" w:rsidRPr="00D13DDC" w:rsidRDefault="000F5507" w:rsidP="000F5507">
      <w:pPr>
        <w:pStyle w:val="1"/>
        <w:rPr>
          <w:rtl/>
        </w:rPr>
      </w:pPr>
      <w:bookmarkStart w:id="17082" w:name="_Toc65714101"/>
      <w:bookmarkStart w:id="17083" w:name="_Toc65714957"/>
      <w:r>
        <w:rPr>
          <w:rFonts w:hint="cs"/>
          <w:rtl/>
        </w:rPr>
        <w:t>בי' הגרנ"פ בתוס' ובגרמ"ה ובראב"ן דא"י לישבע דדידיה חטף</w:t>
      </w:r>
      <w:bookmarkEnd w:id="17082"/>
      <w:bookmarkEnd w:id="17083"/>
    </w:p>
    <w:p w:rsidR="000F5507" w:rsidRPr="00D13DDC" w:rsidRDefault="000F5507" w:rsidP="000F5507">
      <w:pPr>
        <w:pStyle w:val="a3"/>
        <w:rPr>
          <w:rtl/>
        </w:rPr>
      </w:pPr>
      <w:bookmarkStart w:id="17084" w:name="_Toc65714102"/>
      <w:bookmarkStart w:id="17085" w:name="_Toc65714958"/>
      <w:bookmarkEnd w:id="17052"/>
      <w:r>
        <w:rPr>
          <w:rFonts w:hint="cs"/>
          <w:rtl/>
        </w:rPr>
        <w:t>בי' הגרנ"פ בגרמ"ה ובראב"ן ובתוס' וברשב"א דא"י לישבע כגזלן היינו בשבועה דדידי חטפי</w:t>
      </w:r>
      <w:bookmarkEnd w:id="17084"/>
      <w:bookmarkEnd w:id="17085"/>
    </w:p>
    <w:p w:rsidR="000F5507" w:rsidRDefault="000F5507" w:rsidP="007E4E81">
      <w:pPr>
        <w:pStyle w:val="a0"/>
        <w:rPr>
          <w:rtl/>
        </w:rPr>
      </w:pPr>
      <w:bookmarkStart w:id="17086" w:name="_Ref65702806"/>
      <w:bookmarkStart w:id="17087" w:name="_Ref65712983"/>
      <w:r>
        <w:rPr>
          <w:rFonts w:hint="cs"/>
          <w:rtl/>
        </w:rPr>
        <w:t xml:space="preserve">אך כתב </w:t>
      </w:r>
      <w:r w:rsidRPr="00B24A22">
        <w:rPr>
          <w:rStyle w:val="af9"/>
          <w:rFonts w:hint="cs"/>
          <w:rtl/>
        </w:rPr>
        <w:t>בחי' רבי נחום</w:t>
      </w:r>
      <w:r>
        <w:rPr>
          <w:rFonts w:hint="cs"/>
          <w:rtl/>
        </w:rPr>
        <w:t xml:space="preserve"> </w:t>
      </w:r>
      <w:r w:rsidRPr="00DA68A4">
        <w:rPr>
          <w:rStyle w:val="af7"/>
          <w:rFonts w:eastAsia="Guttman Hodes" w:hint="cs"/>
          <w:rtl/>
        </w:rPr>
        <w:t>(או' קצ"ד ד"ה והנה כל)</w:t>
      </w:r>
      <w:r>
        <w:rPr>
          <w:rFonts w:hint="cs"/>
          <w:rtl/>
        </w:rPr>
        <w:t xml:space="preserve"> דאף </w:t>
      </w:r>
      <w:r w:rsidRPr="00B24A22">
        <w:rPr>
          <w:rStyle w:val="af9"/>
          <w:rFonts w:hint="cs"/>
          <w:rtl/>
        </w:rPr>
        <w:t xml:space="preserve">דברש"י </w:t>
      </w:r>
      <w:r>
        <w:rPr>
          <w:rStyle w:val="af9"/>
          <w:rFonts w:hint="cs"/>
          <w:rtl/>
        </w:rPr>
        <w:t xml:space="preserve">בשבועות </w:t>
      </w:r>
      <w:r w:rsidRPr="00E27F38">
        <w:rPr>
          <w:rStyle w:val="af7"/>
          <w:rFonts w:eastAsia="Guttman Hodes" w:hint="cs"/>
          <w:rtl/>
        </w:rPr>
        <w:t xml:space="preserve">(עי' אות </w:t>
      </w:r>
      <w:r w:rsidRPr="00E27F38">
        <w:rPr>
          <w:rStyle w:val="af7"/>
          <w:rFonts w:eastAsia="Guttman Hodes"/>
          <w:rtl/>
        </w:rPr>
        <w:fldChar w:fldCharType="begin"/>
      </w:r>
      <w:r w:rsidRPr="00E27F38">
        <w:rPr>
          <w:rStyle w:val="af7"/>
          <w:rFonts w:eastAsia="Guttman Hodes"/>
          <w:rtl/>
        </w:rPr>
        <w:instrText xml:space="preserve"> </w:instrText>
      </w:r>
      <w:r w:rsidRPr="00E27F38">
        <w:rPr>
          <w:rStyle w:val="af7"/>
          <w:rFonts w:eastAsia="Guttman Hodes" w:hint="cs"/>
        </w:rPr>
        <w:instrText>REF</w:instrText>
      </w:r>
      <w:r w:rsidRPr="00E27F38">
        <w:rPr>
          <w:rStyle w:val="af7"/>
          <w:rFonts w:eastAsia="Guttman Hodes" w:hint="cs"/>
          <w:rtl/>
        </w:rPr>
        <w:instrText xml:space="preserve"> _</w:instrText>
      </w:r>
      <w:r w:rsidRPr="00E27F38">
        <w:rPr>
          <w:rStyle w:val="af7"/>
          <w:rFonts w:eastAsia="Guttman Hodes" w:hint="cs"/>
        </w:rPr>
        <w:instrText>Ref65095506 \r \h</w:instrText>
      </w:r>
      <w:r w:rsidRPr="00E27F38">
        <w:rPr>
          <w:rStyle w:val="af7"/>
          <w:rFonts w:eastAsia="Guttman Hodes"/>
          <w:rtl/>
        </w:rPr>
        <w:instrText xml:space="preserve"> </w:instrText>
      </w:r>
      <w:r w:rsidRPr="00E27F38">
        <w:rPr>
          <w:rStyle w:val="af7"/>
          <w:rFonts w:eastAsia="Guttman Hodes"/>
          <w:rtl/>
        </w:rPr>
      </w:r>
      <w:r w:rsidRPr="00E27F38">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E27F38">
        <w:rPr>
          <w:rStyle w:val="af7"/>
          <w:rFonts w:eastAsia="Guttman Hodes"/>
          <w:rtl/>
        </w:rPr>
        <w:fldChar w:fldCharType="end"/>
      </w:r>
      <w:r>
        <w:rPr>
          <w:rFonts w:hint="cs"/>
          <w:rtl/>
        </w:rPr>
        <w:t xml:space="preserve"> </w:t>
      </w:r>
      <w:r w:rsidRPr="00B24A22">
        <w:rPr>
          <w:rStyle w:val="af9"/>
          <w:rFonts w:hint="cs"/>
          <w:rtl/>
        </w:rPr>
        <w:t xml:space="preserve">וברשב"ם </w:t>
      </w:r>
      <w:r w:rsidRPr="00E27F38">
        <w:rPr>
          <w:rStyle w:val="af7"/>
          <w:rFonts w:eastAsia="Guttman Hodes" w:hint="cs"/>
          <w:rtl/>
        </w:rPr>
        <w:t xml:space="preserve">(עי' </w:t>
      </w:r>
      <w:r w:rsidRPr="00920683">
        <w:rPr>
          <w:rStyle w:val="af7"/>
          <w:rFonts w:eastAsia="Guttman Hodes" w:hint="cs"/>
          <w:rtl/>
        </w:rPr>
        <w:t xml:space="preserve">אות </w:t>
      </w:r>
      <w:r w:rsidRPr="00920683">
        <w:rPr>
          <w:rStyle w:val="af7"/>
          <w:rFonts w:eastAsia="Guttman Hodes"/>
          <w:rtl/>
        </w:rPr>
        <w:fldChar w:fldCharType="begin"/>
      </w:r>
      <w:r w:rsidRPr="00920683">
        <w:rPr>
          <w:rStyle w:val="af7"/>
          <w:rFonts w:eastAsia="Guttman Hodes"/>
          <w:rtl/>
        </w:rPr>
        <w:instrText xml:space="preserve"> </w:instrText>
      </w:r>
      <w:r w:rsidRPr="00920683">
        <w:rPr>
          <w:rStyle w:val="af7"/>
          <w:rFonts w:eastAsia="Guttman Hodes" w:hint="cs"/>
        </w:rPr>
        <w:instrText>REF</w:instrText>
      </w:r>
      <w:r w:rsidRPr="00920683">
        <w:rPr>
          <w:rStyle w:val="af7"/>
          <w:rFonts w:eastAsia="Guttman Hodes" w:hint="cs"/>
          <w:rtl/>
        </w:rPr>
        <w:instrText xml:space="preserve"> _</w:instrText>
      </w:r>
      <w:r w:rsidRPr="00920683">
        <w:rPr>
          <w:rStyle w:val="af7"/>
          <w:rFonts w:eastAsia="Guttman Hodes" w:hint="cs"/>
        </w:rPr>
        <w:instrText>Ref65575511 \r \h</w:instrText>
      </w:r>
      <w:r w:rsidRPr="00920683">
        <w:rPr>
          <w:rStyle w:val="af7"/>
          <w:rFonts w:eastAsia="Guttman Hodes"/>
          <w:rtl/>
        </w:rPr>
        <w:instrText xml:space="preserve"> </w:instrText>
      </w:r>
      <w:r w:rsidRPr="00920683">
        <w:rPr>
          <w:rStyle w:val="af7"/>
          <w:rFonts w:eastAsia="Guttman Hodes"/>
          <w:rtl/>
        </w:rPr>
      </w:r>
      <w:r w:rsidRPr="00920683">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920683">
        <w:rPr>
          <w:rStyle w:val="af7"/>
          <w:rFonts w:eastAsia="Guttman Hodes"/>
          <w:rtl/>
        </w:rPr>
        <w:fldChar w:fldCharType="end"/>
      </w:r>
      <w:r w:rsidRPr="00DA68A4">
        <w:rPr>
          <w:rStyle w:val="af7"/>
          <w:rFonts w:eastAsia="Guttman Hodes" w:hint="cs"/>
          <w:rtl/>
        </w:rPr>
        <w:t xml:space="preserve"> </w:t>
      </w:r>
      <w:r>
        <w:rPr>
          <w:rFonts w:hint="cs"/>
          <w:rtl/>
        </w:rPr>
        <w:t xml:space="preserve">אפש"ל דכוונת הגמ' דהוא כגזלן לענין שבועת לא חטפי, מ"מ בדברי </w:t>
      </w:r>
      <w:r w:rsidRPr="00F916CD">
        <w:rPr>
          <w:rStyle w:val="af9"/>
          <w:rFonts w:hint="cs"/>
          <w:rtl/>
        </w:rPr>
        <w:t>רבינו גרשום</w:t>
      </w:r>
      <w:r>
        <w:rPr>
          <w:rFonts w:hint="cs"/>
          <w:rtl/>
        </w:rPr>
        <w:t xml:space="preserve"> </w:t>
      </w:r>
      <w:r w:rsidRPr="00DA68A4">
        <w:rPr>
          <w:rStyle w:val="af7"/>
          <w:rFonts w:eastAsia="Guttman Hodes" w:hint="cs"/>
          <w:rtl/>
        </w:rPr>
        <w:t xml:space="preserve">(עי' אות </w:t>
      </w:r>
      <w:r w:rsidRPr="00DA68A4">
        <w:rPr>
          <w:rStyle w:val="af7"/>
          <w:rFonts w:eastAsia="Guttman Hodes"/>
          <w:rtl/>
        </w:rPr>
        <w:fldChar w:fldCharType="begin"/>
      </w:r>
      <w:r w:rsidRPr="00DA68A4">
        <w:rPr>
          <w:rStyle w:val="af7"/>
          <w:rFonts w:eastAsia="Guttman Hodes"/>
          <w:rtl/>
        </w:rPr>
        <w:instrText xml:space="preserve"> </w:instrText>
      </w:r>
      <w:r w:rsidRPr="00DA68A4">
        <w:rPr>
          <w:rStyle w:val="af7"/>
          <w:rFonts w:eastAsia="Guttman Hodes" w:hint="cs"/>
        </w:rPr>
        <w:instrText>REF</w:instrText>
      </w:r>
      <w:r w:rsidRPr="00DA68A4">
        <w:rPr>
          <w:rStyle w:val="af7"/>
          <w:rFonts w:eastAsia="Guttman Hodes" w:hint="cs"/>
          <w:rtl/>
        </w:rPr>
        <w:instrText xml:space="preserve"> _</w:instrText>
      </w:r>
      <w:r w:rsidRPr="00DA68A4">
        <w:rPr>
          <w:rStyle w:val="af7"/>
          <w:rFonts w:eastAsia="Guttman Hodes" w:hint="cs"/>
        </w:rPr>
        <w:instrText>Ref65702759 \r \h</w:instrText>
      </w:r>
      <w:r w:rsidRPr="00DA68A4">
        <w:rPr>
          <w:rStyle w:val="af7"/>
          <w:rFonts w:eastAsia="Guttman Hodes"/>
          <w:rtl/>
        </w:rPr>
        <w:instrText xml:space="preserve"> </w:instrText>
      </w:r>
      <w:r w:rsidRPr="00DA68A4">
        <w:rPr>
          <w:rStyle w:val="af7"/>
          <w:rFonts w:eastAsia="Guttman Hodes"/>
          <w:rtl/>
        </w:rPr>
      </w:r>
      <w:r w:rsidRPr="00DA68A4">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DA68A4">
        <w:rPr>
          <w:rStyle w:val="af7"/>
          <w:rFonts w:eastAsia="Guttman Hodes"/>
          <w:rtl/>
        </w:rPr>
        <w:fldChar w:fldCharType="end"/>
      </w:r>
      <w:r w:rsidRPr="00DA68A4">
        <w:rPr>
          <w:rStyle w:val="af7"/>
          <w:rFonts w:eastAsia="Guttman Hodes" w:hint="cs"/>
          <w:rtl/>
        </w:rPr>
        <w:t xml:space="preserve"> </w:t>
      </w:r>
      <w:r>
        <w:rPr>
          <w:rFonts w:hint="cs"/>
          <w:rtl/>
        </w:rPr>
        <w:t xml:space="preserve">מבואר דהא </w:t>
      </w:r>
      <w:r>
        <w:rPr>
          <w:rFonts w:hint="cs"/>
          <w:rtl/>
        </w:rPr>
        <w:lastRenderedPageBreak/>
        <w:t xml:space="preserve">דאינו יכול להשבע כגזלן, הוא על טענת דידי חטפי, וכן מבואר בדברי </w:t>
      </w:r>
      <w:r w:rsidRPr="006928AC">
        <w:rPr>
          <w:rStyle w:val="af9"/>
          <w:rFonts w:hint="cs"/>
          <w:rtl/>
        </w:rPr>
        <w:t>המרדכי</w:t>
      </w:r>
      <w:r>
        <w:rPr>
          <w:rFonts w:hint="cs"/>
          <w:rtl/>
        </w:rPr>
        <w:t xml:space="preserve"> </w:t>
      </w:r>
      <w:r w:rsidRPr="00DA68A4">
        <w:rPr>
          <w:rStyle w:val="af7"/>
          <w:rFonts w:eastAsia="Guttman Hodes" w:hint="cs"/>
          <w:rtl/>
        </w:rPr>
        <w:t xml:space="preserve">(עי' אות </w:t>
      </w:r>
      <w:r w:rsidRPr="00DA68A4">
        <w:rPr>
          <w:rStyle w:val="af7"/>
          <w:rFonts w:eastAsia="Guttman Hodes"/>
          <w:rtl/>
        </w:rPr>
        <w:fldChar w:fldCharType="begin"/>
      </w:r>
      <w:r w:rsidRPr="00DA68A4">
        <w:rPr>
          <w:rStyle w:val="af7"/>
          <w:rFonts w:eastAsia="Guttman Hodes"/>
          <w:rtl/>
        </w:rPr>
        <w:instrText xml:space="preserve"> </w:instrText>
      </w:r>
      <w:r w:rsidRPr="00DA68A4">
        <w:rPr>
          <w:rStyle w:val="af7"/>
          <w:rFonts w:eastAsia="Guttman Hodes" w:hint="cs"/>
        </w:rPr>
        <w:instrText>REF</w:instrText>
      </w:r>
      <w:r w:rsidRPr="00DA68A4">
        <w:rPr>
          <w:rStyle w:val="af7"/>
          <w:rFonts w:eastAsia="Guttman Hodes" w:hint="cs"/>
          <w:rtl/>
        </w:rPr>
        <w:instrText xml:space="preserve"> _</w:instrText>
      </w:r>
      <w:r w:rsidRPr="00DA68A4">
        <w:rPr>
          <w:rStyle w:val="af7"/>
          <w:rFonts w:eastAsia="Guttman Hodes" w:hint="cs"/>
        </w:rPr>
        <w:instrText>Ref65517321 \r \h</w:instrText>
      </w:r>
      <w:r w:rsidRPr="00DA68A4">
        <w:rPr>
          <w:rStyle w:val="af7"/>
          <w:rFonts w:eastAsia="Guttman Hodes"/>
          <w:rtl/>
        </w:rPr>
        <w:instrText xml:space="preserve"> </w:instrText>
      </w:r>
      <w:r w:rsidRPr="00DA68A4">
        <w:rPr>
          <w:rStyle w:val="af7"/>
          <w:rFonts w:eastAsia="Guttman Hodes"/>
          <w:rtl/>
        </w:rPr>
      </w:r>
      <w:r w:rsidRPr="00DA68A4">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DA68A4">
        <w:rPr>
          <w:rStyle w:val="af7"/>
          <w:rFonts w:eastAsia="Guttman Hodes"/>
          <w:rtl/>
        </w:rPr>
        <w:fldChar w:fldCharType="end"/>
      </w:r>
      <w:r>
        <w:rPr>
          <w:rFonts w:hint="cs"/>
          <w:rtl/>
        </w:rPr>
        <w:t xml:space="preserve"> בשם </w:t>
      </w:r>
      <w:r w:rsidRPr="006928AC">
        <w:rPr>
          <w:rStyle w:val="af9"/>
          <w:rFonts w:hint="cs"/>
          <w:rtl/>
        </w:rPr>
        <w:t>הראב"ן</w:t>
      </w:r>
      <w:r>
        <w:rPr>
          <w:rFonts w:hint="cs"/>
          <w:rtl/>
        </w:rPr>
        <w:t xml:space="preserve"> דהאריך לבאר דהא דהוצרכה הגמ' לומר שהוא כגזלן, היינו דהוא פסול לשבועת דידי חטפי כגזלן</w:t>
      </w:r>
      <w:bookmarkEnd w:id="17086"/>
      <w:r>
        <w:rPr>
          <w:rFonts w:hint="cs"/>
          <w:rtl/>
        </w:rPr>
        <w:t xml:space="preserve">, וכתב </w:t>
      </w:r>
      <w:r w:rsidRPr="00601FF0">
        <w:rPr>
          <w:rStyle w:val="af9"/>
          <w:rFonts w:hint="cs"/>
          <w:rtl/>
        </w:rPr>
        <w:t>בחי' רבי נחום</w:t>
      </w:r>
      <w:r>
        <w:rPr>
          <w:rFonts w:hint="cs"/>
          <w:rtl/>
        </w:rPr>
        <w:t xml:space="preserve"> דכן מבואר בדברי </w:t>
      </w:r>
      <w:r w:rsidRPr="00601FF0">
        <w:rPr>
          <w:rStyle w:val="af9"/>
          <w:rFonts w:hint="cs"/>
          <w:rtl/>
        </w:rPr>
        <w:t>התוס' בשבועות</w:t>
      </w:r>
      <w:r>
        <w:rPr>
          <w:rFonts w:hint="cs"/>
          <w:rtl/>
        </w:rPr>
        <w:t xml:space="preserve"> </w:t>
      </w:r>
      <w:r w:rsidRPr="00DA68A4">
        <w:rPr>
          <w:rStyle w:val="af7"/>
          <w:rFonts w:eastAsia="Guttman Hodes" w:hint="cs"/>
          <w:rtl/>
        </w:rPr>
        <w:t xml:space="preserve">(עי' אות </w:t>
      </w:r>
      <w:r w:rsidRPr="00DA68A4">
        <w:rPr>
          <w:rStyle w:val="af7"/>
          <w:rFonts w:eastAsia="Guttman Hodes"/>
          <w:rtl/>
        </w:rPr>
        <w:fldChar w:fldCharType="begin"/>
      </w:r>
      <w:r w:rsidRPr="00DA68A4">
        <w:rPr>
          <w:rStyle w:val="af7"/>
          <w:rFonts w:eastAsia="Guttman Hodes"/>
          <w:rtl/>
        </w:rPr>
        <w:instrText xml:space="preserve"> </w:instrText>
      </w:r>
      <w:r w:rsidRPr="00DA68A4">
        <w:rPr>
          <w:rStyle w:val="af7"/>
          <w:rFonts w:eastAsia="Guttman Hodes" w:hint="cs"/>
        </w:rPr>
        <w:instrText>REF</w:instrText>
      </w:r>
      <w:r w:rsidRPr="00DA68A4">
        <w:rPr>
          <w:rStyle w:val="af7"/>
          <w:rFonts w:eastAsia="Guttman Hodes" w:hint="cs"/>
          <w:rtl/>
        </w:rPr>
        <w:instrText xml:space="preserve"> _</w:instrText>
      </w:r>
      <w:r w:rsidRPr="00DA68A4">
        <w:rPr>
          <w:rStyle w:val="af7"/>
          <w:rFonts w:eastAsia="Guttman Hodes" w:hint="cs"/>
        </w:rPr>
        <w:instrText>Ref64998749 \r \h</w:instrText>
      </w:r>
      <w:r w:rsidRPr="00DA68A4">
        <w:rPr>
          <w:rStyle w:val="af7"/>
          <w:rFonts w:eastAsia="Guttman Hodes"/>
          <w:rtl/>
        </w:rPr>
        <w:instrText xml:space="preserve"> </w:instrText>
      </w:r>
      <w:r w:rsidRPr="00DA68A4">
        <w:rPr>
          <w:rStyle w:val="af7"/>
          <w:rFonts w:eastAsia="Guttman Hodes"/>
          <w:rtl/>
        </w:rPr>
      </w:r>
      <w:r w:rsidRPr="00DA68A4">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DA68A4">
        <w:rPr>
          <w:rStyle w:val="af7"/>
          <w:rFonts w:eastAsia="Guttman Hodes"/>
          <w:rtl/>
        </w:rPr>
        <w:fldChar w:fldCharType="end"/>
      </w:r>
      <w:r>
        <w:rPr>
          <w:rFonts w:hint="cs"/>
          <w:rtl/>
        </w:rPr>
        <w:t xml:space="preserve"> דכתבו דהוא נחשב כגזלן כיון דמחזיקין כל דבר בחזקת מי שהוא נמצא בידו, ואם היו ב' עדים לא היה נאמן לטעון דידי חטפי, וה"ה כשהודה שחטף דחשיב כגזלן, ומוכח דהא דהוא כגזלן שאינו יכול להשבע היינו בשבועה דדידי חטפי, וכן משמע </w:t>
      </w:r>
      <w:r w:rsidRPr="00871C7D">
        <w:rPr>
          <w:rStyle w:val="af9"/>
          <w:rFonts w:hint="cs"/>
          <w:rtl/>
        </w:rPr>
        <w:t>ברשב"א</w:t>
      </w:r>
      <w:r>
        <w:rPr>
          <w:rFonts w:hint="cs"/>
          <w:rtl/>
        </w:rPr>
        <w:t xml:space="preserve"> </w:t>
      </w:r>
      <w:r w:rsidRPr="00DA68A4">
        <w:rPr>
          <w:rStyle w:val="af7"/>
          <w:rFonts w:eastAsia="Guttman Hodes" w:hint="cs"/>
          <w:rtl/>
        </w:rPr>
        <w:t xml:space="preserve">(עי' אות </w:t>
      </w:r>
      <w:r w:rsidRPr="00DA68A4">
        <w:rPr>
          <w:rStyle w:val="af7"/>
          <w:rFonts w:eastAsia="Guttman Hodes"/>
          <w:rtl/>
        </w:rPr>
        <w:fldChar w:fldCharType="begin"/>
      </w:r>
      <w:r w:rsidRPr="00DA68A4">
        <w:rPr>
          <w:rStyle w:val="af7"/>
          <w:rFonts w:eastAsia="Guttman Hodes"/>
          <w:rtl/>
        </w:rPr>
        <w:instrText xml:space="preserve"> </w:instrText>
      </w:r>
      <w:r w:rsidRPr="00DA68A4">
        <w:rPr>
          <w:rStyle w:val="af7"/>
          <w:rFonts w:eastAsia="Guttman Hodes" w:hint="cs"/>
        </w:rPr>
        <w:instrText>REF</w:instrText>
      </w:r>
      <w:r w:rsidRPr="00DA68A4">
        <w:rPr>
          <w:rStyle w:val="af7"/>
          <w:rFonts w:eastAsia="Guttman Hodes" w:hint="cs"/>
          <w:rtl/>
        </w:rPr>
        <w:instrText xml:space="preserve"> _</w:instrText>
      </w:r>
      <w:r w:rsidRPr="00DA68A4">
        <w:rPr>
          <w:rStyle w:val="af7"/>
          <w:rFonts w:eastAsia="Guttman Hodes" w:hint="cs"/>
        </w:rPr>
        <w:instrText>Ref65702968 \r \h</w:instrText>
      </w:r>
      <w:r w:rsidRPr="00DA68A4">
        <w:rPr>
          <w:rStyle w:val="af7"/>
          <w:rFonts w:eastAsia="Guttman Hodes"/>
          <w:rtl/>
        </w:rPr>
        <w:instrText xml:space="preserve"> </w:instrText>
      </w:r>
      <w:r w:rsidRPr="00DA68A4">
        <w:rPr>
          <w:rStyle w:val="af7"/>
          <w:rFonts w:eastAsia="Guttman Hodes"/>
          <w:rtl/>
        </w:rPr>
      </w:r>
      <w:r w:rsidRPr="00DA68A4">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DA68A4">
        <w:rPr>
          <w:rStyle w:val="af7"/>
          <w:rFonts w:eastAsia="Guttman Hodes"/>
          <w:rtl/>
        </w:rPr>
        <w:fldChar w:fldCharType="end"/>
      </w:r>
      <w:bookmarkEnd w:id="17087"/>
      <w:r>
        <w:rPr>
          <w:rFonts w:hint="cs"/>
          <w:rtl/>
        </w:rPr>
        <w:t>.</w:t>
      </w:r>
    </w:p>
    <w:p w:rsidR="000F5507" w:rsidRPr="00415DD9" w:rsidRDefault="000F5507" w:rsidP="000F5507">
      <w:pPr>
        <w:pStyle w:val="a3"/>
      </w:pPr>
      <w:bookmarkStart w:id="17088" w:name="_Toc65714103"/>
      <w:bookmarkStart w:id="17089" w:name="_Toc65714959"/>
      <w:r>
        <w:rPr>
          <w:rFonts w:hint="cs"/>
          <w:rtl/>
        </w:rPr>
        <w:t>דברי הגרנ"פ דלתוס' א"י לישבע כנגד חזקה דמה שתח"י ולראב"ן דפסול כגזלן לשבועה זו</w:t>
      </w:r>
      <w:bookmarkEnd w:id="17088"/>
      <w:bookmarkEnd w:id="17089"/>
    </w:p>
    <w:p w:rsidR="000F5507" w:rsidRDefault="000F5507" w:rsidP="007E4E81">
      <w:pPr>
        <w:pStyle w:val="a0"/>
        <w:rPr>
          <w:rtl/>
        </w:rPr>
      </w:pPr>
      <w:r>
        <w:rPr>
          <w:rFonts w:hint="cs"/>
          <w:rtl/>
        </w:rPr>
        <w:t xml:space="preserve">אך כתב </w:t>
      </w:r>
      <w:r w:rsidRPr="00601FF0">
        <w:rPr>
          <w:rStyle w:val="af9"/>
          <w:rFonts w:hint="cs"/>
          <w:rtl/>
        </w:rPr>
        <w:t>בחי' רבי נחום</w:t>
      </w:r>
      <w:r>
        <w:rPr>
          <w:rFonts w:hint="cs"/>
          <w:rtl/>
        </w:rPr>
        <w:t xml:space="preserve"> דלדעת </w:t>
      </w:r>
      <w:r w:rsidRPr="00871C7D">
        <w:rPr>
          <w:rStyle w:val="af9"/>
          <w:rFonts w:hint="cs"/>
          <w:rtl/>
        </w:rPr>
        <w:t>התוס' בשבועות</w:t>
      </w:r>
      <w:r>
        <w:rPr>
          <w:rFonts w:hint="cs"/>
          <w:rtl/>
        </w:rPr>
        <w:t xml:space="preserve"> </w:t>
      </w:r>
      <w:r w:rsidRPr="00DA68A4">
        <w:rPr>
          <w:rStyle w:val="af7"/>
          <w:rFonts w:eastAsia="Guttman Hodes" w:hint="cs"/>
          <w:rtl/>
        </w:rPr>
        <w:t xml:space="preserve">(עי' אות </w:t>
      </w:r>
      <w:r w:rsidRPr="00DA68A4">
        <w:rPr>
          <w:rStyle w:val="af7"/>
          <w:rFonts w:eastAsia="Guttman Hodes"/>
          <w:rtl/>
        </w:rPr>
        <w:fldChar w:fldCharType="begin"/>
      </w:r>
      <w:r w:rsidRPr="00DA68A4">
        <w:rPr>
          <w:rStyle w:val="af7"/>
          <w:rFonts w:eastAsia="Guttman Hodes"/>
          <w:rtl/>
        </w:rPr>
        <w:instrText xml:space="preserve"> </w:instrText>
      </w:r>
      <w:r w:rsidRPr="00DA68A4">
        <w:rPr>
          <w:rStyle w:val="af7"/>
          <w:rFonts w:eastAsia="Guttman Hodes" w:hint="cs"/>
        </w:rPr>
        <w:instrText>REF</w:instrText>
      </w:r>
      <w:r w:rsidRPr="00DA68A4">
        <w:rPr>
          <w:rStyle w:val="af7"/>
          <w:rFonts w:eastAsia="Guttman Hodes" w:hint="cs"/>
          <w:rtl/>
        </w:rPr>
        <w:instrText xml:space="preserve"> _</w:instrText>
      </w:r>
      <w:r w:rsidRPr="00DA68A4">
        <w:rPr>
          <w:rStyle w:val="af7"/>
          <w:rFonts w:eastAsia="Guttman Hodes" w:hint="cs"/>
        </w:rPr>
        <w:instrText>Ref64998749 \r \h</w:instrText>
      </w:r>
      <w:r w:rsidRPr="00DA68A4">
        <w:rPr>
          <w:rStyle w:val="af7"/>
          <w:rFonts w:eastAsia="Guttman Hodes"/>
          <w:rtl/>
        </w:rPr>
        <w:instrText xml:space="preserve"> </w:instrText>
      </w:r>
      <w:r w:rsidRPr="00DA68A4">
        <w:rPr>
          <w:rStyle w:val="af7"/>
          <w:rFonts w:eastAsia="Guttman Hodes"/>
          <w:rtl/>
        </w:rPr>
      </w:r>
      <w:r w:rsidRPr="00DA68A4">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DA68A4">
        <w:rPr>
          <w:rStyle w:val="af7"/>
          <w:rFonts w:eastAsia="Guttman Hodes"/>
          <w:rtl/>
        </w:rPr>
        <w:fldChar w:fldCharType="end"/>
      </w:r>
      <w:r>
        <w:rPr>
          <w:rStyle w:val="af7"/>
          <w:rFonts w:eastAsia="Guttman Hodes" w:hint="cs"/>
          <w:rtl/>
        </w:rPr>
        <w:t xml:space="preserve"> </w:t>
      </w:r>
      <w:r>
        <w:rPr>
          <w:rFonts w:hint="cs"/>
          <w:rtl/>
        </w:rPr>
        <w:t xml:space="preserve">אינו יכול להשבע כיון שיש חזקה דמה שתח"י שלו הוא, וא"כ ודאי שהנסכא של הראשון ואינו נאמן בשבועה נגד החזקה, אבל לדעת </w:t>
      </w:r>
      <w:r w:rsidRPr="006928AC">
        <w:rPr>
          <w:rStyle w:val="af9"/>
          <w:rFonts w:hint="cs"/>
          <w:rtl/>
        </w:rPr>
        <w:t>המרדכי</w:t>
      </w:r>
      <w:r>
        <w:rPr>
          <w:rFonts w:hint="cs"/>
          <w:rtl/>
        </w:rPr>
        <w:t xml:space="preserve"> </w:t>
      </w:r>
      <w:r w:rsidRPr="00537BCA">
        <w:rPr>
          <w:rStyle w:val="af7"/>
          <w:rFonts w:eastAsia="Guttman Hodes" w:hint="cs"/>
          <w:rtl/>
        </w:rPr>
        <w:t xml:space="preserve">(עי' אות </w:t>
      </w:r>
      <w:r w:rsidRPr="00537BCA">
        <w:rPr>
          <w:rStyle w:val="af7"/>
          <w:rFonts w:eastAsia="Guttman Hodes"/>
          <w:rtl/>
        </w:rPr>
        <w:fldChar w:fldCharType="begin"/>
      </w:r>
      <w:r w:rsidRPr="00537BCA">
        <w:rPr>
          <w:rStyle w:val="af7"/>
          <w:rFonts w:eastAsia="Guttman Hodes"/>
          <w:rtl/>
        </w:rPr>
        <w:instrText xml:space="preserve"> </w:instrText>
      </w:r>
      <w:r w:rsidRPr="00537BCA">
        <w:rPr>
          <w:rStyle w:val="af7"/>
          <w:rFonts w:eastAsia="Guttman Hodes" w:hint="cs"/>
        </w:rPr>
        <w:instrText>REF</w:instrText>
      </w:r>
      <w:r w:rsidRPr="00537BCA">
        <w:rPr>
          <w:rStyle w:val="af7"/>
          <w:rFonts w:eastAsia="Guttman Hodes" w:hint="cs"/>
          <w:rtl/>
        </w:rPr>
        <w:instrText xml:space="preserve"> _</w:instrText>
      </w:r>
      <w:r w:rsidRPr="00537BCA">
        <w:rPr>
          <w:rStyle w:val="af7"/>
          <w:rFonts w:eastAsia="Guttman Hodes" w:hint="cs"/>
        </w:rPr>
        <w:instrText>Ref65517321 \r \h</w:instrText>
      </w:r>
      <w:r w:rsidRPr="00537BCA">
        <w:rPr>
          <w:rStyle w:val="af7"/>
          <w:rFonts w:eastAsia="Guttman Hodes"/>
          <w:rtl/>
        </w:rPr>
        <w:instrText xml:space="preserve"> </w:instrText>
      </w:r>
      <w:r w:rsidRPr="00537BCA">
        <w:rPr>
          <w:rStyle w:val="af7"/>
          <w:rFonts w:eastAsia="Guttman Hodes"/>
          <w:rtl/>
        </w:rPr>
      </w:r>
      <w:r w:rsidRPr="00537BCA">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sidRPr="00537BCA">
        <w:rPr>
          <w:rStyle w:val="af7"/>
          <w:rFonts w:eastAsia="Guttman Hodes"/>
          <w:rtl/>
        </w:rPr>
        <w:fldChar w:fldCharType="end"/>
      </w:r>
      <w:r>
        <w:rPr>
          <w:rFonts w:hint="cs"/>
          <w:rtl/>
        </w:rPr>
        <w:t xml:space="preserve"> בשם </w:t>
      </w:r>
      <w:r w:rsidRPr="00580A87">
        <w:rPr>
          <w:rStyle w:val="af9"/>
          <w:rFonts w:hint="cs"/>
          <w:rtl/>
        </w:rPr>
        <w:t xml:space="preserve">הראב"ן </w:t>
      </w:r>
      <w:r>
        <w:rPr>
          <w:rFonts w:hint="cs"/>
          <w:rtl/>
        </w:rPr>
        <w:t>אינו נאמן בשבועת דידי חטפי כיון שהוא פסול לעדות כגזלן, לענין שבועה זו.</w:t>
      </w:r>
    </w:p>
    <w:p w:rsidR="000F5507" w:rsidRDefault="000F5507" w:rsidP="000F5507">
      <w:pPr>
        <w:pStyle w:val="a3"/>
        <w:rPr>
          <w:rtl/>
        </w:rPr>
      </w:pPr>
      <w:bookmarkStart w:id="17090" w:name="_Toc65714104"/>
      <w:bookmarkStart w:id="17091" w:name="_Toc65714960"/>
      <w:r>
        <w:rPr>
          <w:rFonts w:hint="cs"/>
          <w:rtl/>
        </w:rPr>
        <w:t>ביאור הגרנ"פ דהוכיחו התוס' מהא דאינו נאמן בשבועה דדידיה חטף לדין חזקה דמה שתח"י</w:t>
      </w:r>
      <w:bookmarkEnd w:id="17090"/>
      <w:bookmarkEnd w:id="17091"/>
    </w:p>
    <w:p w:rsidR="000F5507" w:rsidRDefault="000F5507" w:rsidP="007E4E81">
      <w:pPr>
        <w:pStyle w:val="a0"/>
        <w:rPr>
          <w:rtl/>
        </w:rPr>
      </w:pPr>
      <w:bookmarkStart w:id="17092" w:name="_Ref65713246"/>
      <w:r>
        <w:rPr>
          <w:rFonts w:hint="cs"/>
          <w:rtl/>
        </w:rPr>
        <w:t xml:space="preserve">וכתב </w:t>
      </w:r>
      <w:r w:rsidRPr="00601FF0">
        <w:rPr>
          <w:rStyle w:val="af9"/>
          <w:rFonts w:hint="cs"/>
          <w:rtl/>
        </w:rPr>
        <w:t>בחי' רבי נחום</w:t>
      </w:r>
      <w:r>
        <w:rPr>
          <w:rFonts w:hint="cs"/>
          <w:rtl/>
        </w:rPr>
        <w:t xml:space="preserve"> דכן מבואר בדברי </w:t>
      </w:r>
      <w:r w:rsidRPr="00601FF0">
        <w:rPr>
          <w:rStyle w:val="af9"/>
          <w:rFonts w:hint="cs"/>
          <w:rtl/>
        </w:rPr>
        <w:t xml:space="preserve">התוס' </w:t>
      </w:r>
      <w:r>
        <w:rPr>
          <w:rStyle w:val="af9"/>
          <w:rFonts w:hint="cs"/>
          <w:rtl/>
        </w:rPr>
        <w:t>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Ref65667407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Pr>
          <w:rStyle w:val="af7"/>
          <w:rFonts w:eastAsia="Guttman Hodes"/>
          <w:rtl/>
        </w:rPr>
        <w:fldChar w:fldCharType="end"/>
      </w:r>
      <w:r>
        <w:rPr>
          <w:rStyle w:val="af7"/>
          <w:rFonts w:eastAsia="Guttman Hodes" w:hint="cs"/>
          <w:rtl/>
        </w:rPr>
        <w:t xml:space="preserve"> </w:t>
      </w:r>
      <w:r>
        <w:rPr>
          <w:rFonts w:hint="cs"/>
          <w:rtl/>
        </w:rPr>
        <w:t xml:space="preserve">דהא דאמרינן דאינו יכול להשבע, היינו בשבועה דדידי חטפי, מהא דכתבו </w:t>
      </w:r>
      <w:r w:rsidRPr="00601FF0">
        <w:rPr>
          <w:rStyle w:val="af9"/>
          <w:rFonts w:hint="cs"/>
          <w:rtl/>
        </w:rPr>
        <w:t xml:space="preserve">התוס' </w:t>
      </w:r>
      <w:r>
        <w:rPr>
          <w:rStyle w:val="af9"/>
          <w:rtl/>
        </w:rPr>
        <w:t>לקמן</w:t>
      </w:r>
      <w:r>
        <w:rPr>
          <w:rFonts w:hint="cs"/>
          <w:rtl/>
        </w:rPr>
        <w:t xml:space="preserve"> דמהא דבטוען דידי חטפי חשיב כגזלן, מוכח דצריך להעמיד כל דבר בחזקת מי שהוא בידו, וכדביאר </w:t>
      </w:r>
      <w:r w:rsidRPr="00270D7D">
        <w:rPr>
          <w:rStyle w:val="af9"/>
          <w:rFonts w:hint="cs"/>
          <w:rtl/>
        </w:rPr>
        <w:t>בחי'</w:t>
      </w:r>
      <w:r>
        <w:rPr>
          <w:rFonts w:hint="cs"/>
          <w:rtl/>
        </w:rPr>
        <w:t xml:space="preserve"> </w:t>
      </w:r>
      <w:r w:rsidRPr="00270D7D">
        <w:rPr>
          <w:rStyle w:val="af9"/>
          <w:rFonts w:hint="cs"/>
          <w:rtl/>
        </w:rPr>
        <w:t>רבי</w:t>
      </w:r>
      <w:r>
        <w:rPr>
          <w:rFonts w:hint="cs"/>
          <w:rtl/>
        </w:rPr>
        <w:t xml:space="preserve"> </w:t>
      </w:r>
      <w:r w:rsidRPr="00270D7D">
        <w:rPr>
          <w:rStyle w:val="af9"/>
          <w:rFonts w:hint="cs"/>
          <w:rtl/>
        </w:rPr>
        <w:t>נחום</w:t>
      </w:r>
      <w:r>
        <w:rPr>
          <w:rFonts w:hint="cs"/>
          <w:rtl/>
        </w:rPr>
        <w:t xml:space="preserve"> </w:t>
      </w:r>
      <w:r w:rsidRPr="00CC670C">
        <w:rPr>
          <w:rStyle w:val="af7"/>
          <w:rFonts w:eastAsia="Guttman Hodes" w:hint="cs"/>
          <w:rtl/>
        </w:rPr>
        <w:t xml:space="preserve">(עי' אות </w:t>
      </w:r>
      <w:r w:rsidRPr="00CC670C">
        <w:rPr>
          <w:rStyle w:val="af7"/>
          <w:rFonts w:eastAsia="Guttman Hodes"/>
          <w:rtl/>
        </w:rPr>
        <w:fldChar w:fldCharType="begin"/>
      </w:r>
      <w:r w:rsidRPr="00CC670C">
        <w:rPr>
          <w:rStyle w:val="af7"/>
          <w:rFonts w:eastAsia="Guttman Hodes"/>
          <w:rtl/>
        </w:rPr>
        <w:instrText xml:space="preserve"> </w:instrText>
      </w:r>
      <w:r w:rsidRPr="00CC670C">
        <w:rPr>
          <w:rStyle w:val="af7"/>
          <w:rFonts w:eastAsia="Guttman Hodes" w:hint="cs"/>
        </w:rPr>
        <w:instrText>REF</w:instrText>
      </w:r>
      <w:r w:rsidRPr="00CC670C">
        <w:rPr>
          <w:rStyle w:val="af7"/>
          <w:rFonts w:eastAsia="Guttman Hodes" w:hint="cs"/>
          <w:rtl/>
        </w:rPr>
        <w:instrText xml:space="preserve"> _</w:instrText>
      </w:r>
      <w:r w:rsidRPr="00CC670C">
        <w:rPr>
          <w:rStyle w:val="af7"/>
          <w:rFonts w:eastAsia="Guttman Hodes" w:hint="cs"/>
        </w:rPr>
        <w:instrText>Ref65703112 \r \h</w:instrText>
      </w:r>
      <w:r w:rsidRPr="00CC670C">
        <w:rPr>
          <w:rStyle w:val="af7"/>
          <w:rFonts w:eastAsia="Guttman Hodes"/>
          <w:rtl/>
        </w:rPr>
        <w:instrText xml:space="preserve"> </w:instrText>
      </w:r>
      <w:r w:rsidRPr="00CC670C">
        <w:rPr>
          <w:rStyle w:val="af7"/>
          <w:rFonts w:eastAsia="Guttman Hodes"/>
          <w:rtl/>
        </w:rPr>
      </w:r>
      <w:r w:rsidRPr="00CC670C">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CC670C">
        <w:rPr>
          <w:rStyle w:val="af7"/>
          <w:rFonts w:eastAsia="Guttman Hodes"/>
          <w:rtl/>
        </w:rPr>
        <w:fldChar w:fldCharType="end"/>
      </w:r>
      <w:r>
        <w:rPr>
          <w:rFonts w:hint="cs"/>
          <w:rtl/>
        </w:rPr>
        <w:t xml:space="preserve"> דלא מהני תפיסה מדין חזקה מה שתח"י שלו, ומבואר דס"ל </w:t>
      </w:r>
      <w:r w:rsidRPr="00270D7D">
        <w:rPr>
          <w:rStyle w:val="af9"/>
          <w:rFonts w:hint="cs"/>
          <w:rtl/>
        </w:rPr>
        <w:t>להתוס'</w:t>
      </w:r>
      <w:r>
        <w:rPr>
          <w:rFonts w:hint="cs"/>
          <w:rtl/>
        </w:rPr>
        <w:t xml:space="preserve"> דאינו יכול להשבע דדידי חטפי, ולכן מוכח בגמ' שיש בירור גמור דהנסכא היא של הראשון, ולא מהני שבועה כנגד החזקה, ועיי"ש במה שביאר </w:t>
      </w:r>
      <w:r w:rsidRPr="006928AC">
        <w:rPr>
          <w:rStyle w:val="af9"/>
          <w:rFonts w:hint="cs"/>
          <w:rtl/>
        </w:rPr>
        <w:t>בחי' רבי נחום</w:t>
      </w:r>
      <w:r>
        <w:rPr>
          <w:rFonts w:hint="cs"/>
          <w:rtl/>
        </w:rPr>
        <w:t xml:space="preserve"> דלענין הא דא"א להוציא ממוחזק אין כל הוכחה מהגמ' בסוגיין.</w:t>
      </w:r>
      <w:bookmarkEnd w:id="17092"/>
    </w:p>
    <w:p w:rsidR="000F5507" w:rsidRPr="00270D7D" w:rsidRDefault="000F5507" w:rsidP="000F5507">
      <w:pPr>
        <w:pStyle w:val="a3"/>
        <w:rPr>
          <w:rtl/>
        </w:rPr>
      </w:pPr>
      <w:bookmarkStart w:id="17093" w:name="_Toc65714105"/>
      <w:bookmarkStart w:id="17094" w:name="_Toc65714961"/>
      <w:r>
        <w:rPr>
          <w:rFonts w:hint="cs"/>
          <w:rtl/>
        </w:rPr>
        <w:t>דברי הגרנ"פ דלרשב"ם אינו יכול להשבע להכחיש העד ואין כל ראיה לחזקה דמה שתח"י</w:t>
      </w:r>
      <w:bookmarkEnd w:id="17093"/>
      <w:bookmarkEnd w:id="17094"/>
    </w:p>
    <w:p w:rsidR="000F5507" w:rsidRDefault="000F5507" w:rsidP="007E4E81">
      <w:pPr>
        <w:pStyle w:val="a0"/>
        <w:rPr>
          <w:rtl/>
        </w:rPr>
      </w:pPr>
      <w:bookmarkStart w:id="17095" w:name="_Ref65713373"/>
      <w:r>
        <w:rPr>
          <w:rFonts w:hint="cs"/>
          <w:rtl/>
        </w:rPr>
        <w:t xml:space="preserve">ובדעת </w:t>
      </w:r>
      <w:r w:rsidRPr="00270D7D">
        <w:rPr>
          <w:rStyle w:val="af9"/>
          <w:rFonts w:hint="cs"/>
          <w:rtl/>
        </w:rPr>
        <w:t>הרשב"ם</w:t>
      </w:r>
      <w:r>
        <w:rPr>
          <w:rFonts w:hint="cs"/>
          <w:rtl/>
        </w:rPr>
        <w:t xml:space="preserve"> דביאר </w:t>
      </w:r>
      <w:r w:rsidRPr="00270D7D">
        <w:rPr>
          <w:rStyle w:val="af9"/>
          <w:rFonts w:hint="cs"/>
          <w:rtl/>
        </w:rPr>
        <w:t>בחי'</w:t>
      </w:r>
      <w:r>
        <w:rPr>
          <w:rFonts w:hint="cs"/>
          <w:rtl/>
        </w:rPr>
        <w:t xml:space="preserve"> </w:t>
      </w:r>
      <w:r w:rsidRPr="00270D7D">
        <w:rPr>
          <w:rStyle w:val="af9"/>
          <w:rFonts w:hint="cs"/>
          <w:rtl/>
        </w:rPr>
        <w:t>רבי</w:t>
      </w:r>
      <w:r>
        <w:rPr>
          <w:rFonts w:hint="cs"/>
          <w:rtl/>
        </w:rPr>
        <w:t xml:space="preserve"> </w:t>
      </w:r>
      <w:r w:rsidRPr="00270D7D">
        <w:rPr>
          <w:rStyle w:val="af9"/>
          <w:rFonts w:hint="cs"/>
          <w:rtl/>
        </w:rPr>
        <w:t>נחום</w:t>
      </w:r>
      <w:r>
        <w:rPr>
          <w:rFonts w:hint="cs"/>
          <w:rtl/>
        </w:rPr>
        <w:t xml:space="preserve"> </w:t>
      </w:r>
      <w:r w:rsidRPr="00765801">
        <w:rPr>
          <w:rStyle w:val="af7"/>
          <w:rFonts w:eastAsia="Guttman Hodes" w:hint="cs"/>
          <w:rtl/>
        </w:rPr>
        <w:t xml:space="preserve">(עי' אות </w:t>
      </w:r>
      <w:r w:rsidRPr="00765801">
        <w:rPr>
          <w:rStyle w:val="af7"/>
          <w:rFonts w:eastAsia="Guttman Hodes"/>
          <w:rtl/>
        </w:rPr>
        <w:fldChar w:fldCharType="begin"/>
      </w:r>
      <w:r w:rsidRPr="00765801">
        <w:rPr>
          <w:rStyle w:val="af7"/>
          <w:rFonts w:eastAsia="Guttman Hodes"/>
          <w:rtl/>
        </w:rPr>
        <w:instrText xml:space="preserve"> </w:instrText>
      </w:r>
      <w:r w:rsidRPr="00765801">
        <w:rPr>
          <w:rStyle w:val="af7"/>
          <w:rFonts w:eastAsia="Guttman Hodes" w:hint="cs"/>
        </w:rPr>
        <w:instrText>REF</w:instrText>
      </w:r>
      <w:r w:rsidRPr="00765801">
        <w:rPr>
          <w:rStyle w:val="af7"/>
          <w:rFonts w:eastAsia="Guttman Hodes" w:hint="cs"/>
          <w:rtl/>
        </w:rPr>
        <w:instrText xml:space="preserve"> _</w:instrText>
      </w:r>
      <w:r w:rsidRPr="00765801">
        <w:rPr>
          <w:rStyle w:val="af7"/>
          <w:rFonts w:eastAsia="Guttman Hodes" w:hint="cs"/>
        </w:rPr>
        <w:instrText>Ref65604166 \r \h</w:instrText>
      </w:r>
      <w:r w:rsidRPr="00765801">
        <w:rPr>
          <w:rStyle w:val="af7"/>
          <w:rFonts w:eastAsia="Guttman Hodes"/>
          <w:rtl/>
        </w:rPr>
        <w:instrText xml:space="preserve"> </w:instrText>
      </w:r>
      <w:r w:rsidRPr="00765801">
        <w:rPr>
          <w:rStyle w:val="af7"/>
          <w:rFonts w:eastAsia="Guttman Hodes"/>
          <w:rtl/>
        </w:rPr>
      </w:r>
      <w:r w:rsidRPr="00765801">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765801">
        <w:rPr>
          <w:rStyle w:val="af7"/>
          <w:rFonts w:eastAsia="Guttman Hodes"/>
          <w:rtl/>
        </w:rPr>
        <w:fldChar w:fldCharType="end"/>
      </w:r>
      <w:r>
        <w:rPr>
          <w:rFonts w:hint="cs"/>
          <w:rtl/>
        </w:rPr>
        <w:t xml:space="preserve"> דאינו נאמן על השבועה מדין המוציא מחבירו עליו הראיה, כתב </w:t>
      </w:r>
      <w:r w:rsidRPr="00270D7D">
        <w:rPr>
          <w:rStyle w:val="af9"/>
          <w:rFonts w:hint="cs"/>
          <w:rtl/>
        </w:rPr>
        <w:t>בחי' רבי נחום</w:t>
      </w:r>
      <w:r>
        <w:rPr>
          <w:rFonts w:hint="cs"/>
          <w:rtl/>
        </w:rPr>
        <w:t xml:space="preserve"> </w:t>
      </w:r>
      <w:r w:rsidRPr="009A0095">
        <w:rPr>
          <w:rStyle w:val="af7"/>
          <w:rFonts w:eastAsia="Guttman Hodes" w:hint="cs"/>
          <w:rtl/>
        </w:rPr>
        <w:t>(או' קצ"ד ד"ה ויש להוסיף)</w:t>
      </w:r>
      <w:r>
        <w:rPr>
          <w:rFonts w:hint="cs"/>
          <w:rtl/>
        </w:rPr>
        <w:t xml:space="preserve"> דס"ל </w:t>
      </w:r>
      <w:r w:rsidRPr="00270D7D">
        <w:rPr>
          <w:rStyle w:val="af9"/>
          <w:rFonts w:hint="cs"/>
          <w:rtl/>
        </w:rPr>
        <w:t>להרשב"ם</w:t>
      </w:r>
      <w:r>
        <w:rPr>
          <w:rFonts w:hint="cs"/>
          <w:rtl/>
        </w:rPr>
        <w:t xml:space="preserve"> דאין כל ראיה מסוגיין לדין חזקה מה שתח"י שלו הוא, כיון דלדעת </w:t>
      </w:r>
      <w:r w:rsidRPr="006928AC">
        <w:rPr>
          <w:rStyle w:val="af9"/>
          <w:rFonts w:hint="cs"/>
          <w:rtl/>
        </w:rPr>
        <w:t>הרשב"ם</w:t>
      </w:r>
      <w:r>
        <w:rPr>
          <w:rFonts w:hint="cs"/>
          <w:rtl/>
        </w:rPr>
        <w:t xml:space="preserve"> הא דאמרינן דאינו יכול להשבע, היינו את השבועה להכחיש את העד, ולא את שבועת דידי חטפי, וא"כ אי"ז שייך כלל לחזקה דמה שתח"י שלו הוא.</w:t>
      </w:r>
      <w:bookmarkEnd w:id="17095"/>
    </w:p>
    <w:p w:rsidR="000F5507" w:rsidRPr="00522157" w:rsidRDefault="000F5507" w:rsidP="000F5507">
      <w:pPr>
        <w:pStyle w:val="1"/>
        <w:rPr>
          <w:rtl/>
        </w:rPr>
      </w:pPr>
      <w:bookmarkStart w:id="17096" w:name="_Toc65714106"/>
      <w:bookmarkStart w:id="17097" w:name="_Toc65714962"/>
      <w:r>
        <w:rPr>
          <w:rFonts w:hint="cs"/>
          <w:rtl/>
        </w:rPr>
        <w:t>ביאור הגרנ"פ בפלוג' הראשונים אי מהני שבועה שאינו מכחיש</w:t>
      </w:r>
      <w:bookmarkEnd w:id="17096"/>
      <w:bookmarkEnd w:id="17097"/>
    </w:p>
    <w:p w:rsidR="000F5507" w:rsidRPr="00020C59" w:rsidRDefault="000F5507" w:rsidP="000F5507">
      <w:pPr>
        <w:pStyle w:val="a3"/>
        <w:rPr>
          <w:rtl/>
        </w:rPr>
      </w:pPr>
      <w:bookmarkStart w:id="17098" w:name="_Toc65714107"/>
      <w:bookmarkStart w:id="17099" w:name="_Toc65714963"/>
      <w:r>
        <w:rPr>
          <w:rFonts w:hint="cs"/>
          <w:rtl/>
        </w:rPr>
        <w:t>דברי הגרנ"פ דלתוס' ורבינו גרשום מדינא מהני שבועה דדידי חטפי אך לא נאמן נגד חזקה</w:t>
      </w:r>
      <w:bookmarkEnd w:id="17098"/>
      <w:bookmarkEnd w:id="17099"/>
    </w:p>
    <w:p w:rsidR="000F5507" w:rsidRDefault="000F5507" w:rsidP="007E4E81">
      <w:pPr>
        <w:pStyle w:val="a0"/>
        <w:rPr>
          <w:rtl/>
        </w:rPr>
      </w:pPr>
      <w:r>
        <w:rPr>
          <w:rFonts w:hint="cs"/>
          <w:rtl/>
        </w:rPr>
        <w:t xml:space="preserve">וכתב </w:t>
      </w:r>
      <w:r w:rsidRPr="00627975">
        <w:rPr>
          <w:rStyle w:val="af9"/>
          <w:rFonts w:hint="cs"/>
          <w:rtl/>
        </w:rPr>
        <w:t>בחי' רבי נחום</w:t>
      </w:r>
      <w:r>
        <w:rPr>
          <w:rFonts w:hint="cs"/>
          <w:rtl/>
        </w:rPr>
        <w:t xml:space="preserve"> </w:t>
      </w:r>
      <w:r w:rsidRPr="00627975">
        <w:rPr>
          <w:rStyle w:val="af7"/>
          <w:rFonts w:eastAsia="Guttman Hodes" w:hint="cs"/>
          <w:rtl/>
        </w:rPr>
        <w:t>(או' קצ"ה ד"ה והנה מכל)</w:t>
      </w:r>
      <w:r>
        <w:rPr>
          <w:rFonts w:hint="cs"/>
          <w:rtl/>
        </w:rPr>
        <w:t xml:space="preserve"> דלפי"ז לדעת </w:t>
      </w:r>
      <w:r w:rsidRPr="00627975">
        <w:rPr>
          <w:rStyle w:val="af9"/>
          <w:rFonts w:hint="cs"/>
          <w:rtl/>
        </w:rPr>
        <w:t xml:space="preserve">התוס' </w:t>
      </w:r>
      <w:r>
        <w:rPr>
          <w:rStyle w:val="af9"/>
          <w:rFonts w:hint="cs"/>
          <w:rtl/>
        </w:rPr>
        <w:t>לקמן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Ref65667407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כד)</w:t>
      </w:r>
      <w:r>
        <w:rPr>
          <w:rStyle w:val="af7"/>
          <w:rFonts w:eastAsia="Guttman Hodes"/>
          <w:rtl/>
        </w:rPr>
        <w:fldChar w:fldCharType="end"/>
      </w:r>
      <w:r>
        <w:rPr>
          <w:rStyle w:val="af9"/>
          <w:rFonts w:hint="cs"/>
          <w:rtl/>
        </w:rPr>
        <w:t xml:space="preserve"> ו</w:t>
      </w:r>
      <w:r w:rsidRPr="00601FF0">
        <w:rPr>
          <w:rStyle w:val="af9"/>
          <w:rFonts w:hint="cs"/>
          <w:rtl/>
        </w:rPr>
        <w:t>בשבועות</w:t>
      </w:r>
      <w:r>
        <w:rPr>
          <w:rFonts w:hint="cs"/>
          <w:rtl/>
        </w:rPr>
        <w:t xml:space="preserve"> </w:t>
      </w:r>
      <w:r w:rsidRPr="00DA68A4">
        <w:rPr>
          <w:rStyle w:val="af7"/>
          <w:rFonts w:eastAsia="Guttman Hodes" w:hint="cs"/>
          <w:rtl/>
        </w:rPr>
        <w:t xml:space="preserve">(עי' אות </w:t>
      </w:r>
      <w:r w:rsidRPr="00DA68A4">
        <w:rPr>
          <w:rStyle w:val="af7"/>
          <w:rFonts w:eastAsia="Guttman Hodes"/>
          <w:rtl/>
        </w:rPr>
        <w:fldChar w:fldCharType="begin"/>
      </w:r>
      <w:r w:rsidRPr="00DA68A4">
        <w:rPr>
          <w:rStyle w:val="af7"/>
          <w:rFonts w:eastAsia="Guttman Hodes"/>
          <w:rtl/>
        </w:rPr>
        <w:instrText xml:space="preserve"> </w:instrText>
      </w:r>
      <w:r w:rsidRPr="00DA68A4">
        <w:rPr>
          <w:rStyle w:val="af7"/>
          <w:rFonts w:eastAsia="Guttman Hodes" w:hint="cs"/>
        </w:rPr>
        <w:instrText>REF</w:instrText>
      </w:r>
      <w:r w:rsidRPr="00DA68A4">
        <w:rPr>
          <w:rStyle w:val="af7"/>
          <w:rFonts w:eastAsia="Guttman Hodes" w:hint="cs"/>
          <w:rtl/>
        </w:rPr>
        <w:instrText xml:space="preserve"> _</w:instrText>
      </w:r>
      <w:r w:rsidRPr="00DA68A4">
        <w:rPr>
          <w:rStyle w:val="af7"/>
          <w:rFonts w:eastAsia="Guttman Hodes" w:hint="cs"/>
        </w:rPr>
        <w:instrText>Ref64998749 \r \h</w:instrText>
      </w:r>
      <w:r w:rsidRPr="00DA68A4">
        <w:rPr>
          <w:rStyle w:val="af7"/>
          <w:rFonts w:eastAsia="Guttman Hodes"/>
          <w:rtl/>
        </w:rPr>
        <w:instrText xml:space="preserve"> </w:instrText>
      </w:r>
      <w:r w:rsidRPr="00DA68A4">
        <w:rPr>
          <w:rStyle w:val="af7"/>
          <w:rFonts w:eastAsia="Guttman Hodes"/>
          <w:rtl/>
        </w:rPr>
      </w:r>
      <w:r w:rsidRPr="00DA68A4">
        <w:rPr>
          <w:rStyle w:val="af7"/>
          <w:rFonts w:eastAsia="Guttman Hodes"/>
          <w:rtl/>
        </w:rPr>
        <w:fldChar w:fldCharType="separate"/>
      </w:r>
      <w:r w:rsidR="00265073">
        <w:rPr>
          <w:rStyle w:val="af7"/>
          <w:rFonts w:eastAsia="Guttman Hodes"/>
          <w:cs/>
        </w:rPr>
        <w:t>‎</w:t>
      </w:r>
      <w:r w:rsidR="00265073">
        <w:rPr>
          <w:rStyle w:val="af7"/>
          <w:rFonts w:eastAsia="Guttman Hodes"/>
          <w:rtl/>
        </w:rPr>
        <w:t>כג)</w:t>
      </w:r>
      <w:r w:rsidRPr="00DA68A4">
        <w:rPr>
          <w:rStyle w:val="af7"/>
          <w:rFonts w:eastAsia="Guttman Hodes"/>
          <w:rtl/>
        </w:rPr>
        <w:fldChar w:fldCharType="end"/>
      </w:r>
      <w:r>
        <w:rPr>
          <w:rFonts w:hint="cs"/>
          <w:rtl/>
        </w:rPr>
        <w:t xml:space="preserve"> ו</w:t>
      </w:r>
      <w:r w:rsidRPr="00F916CD">
        <w:rPr>
          <w:rStyle w:val="af9"/>
          <w:rFonts w:hint="cs"/>
          <w:rtl/>
        </w:rPr>
        <w:t>רבינו גרשום</w:t>
      </w:r>
      <w:r>
        <w:rPr>
          <w:rFonts w:hint="cs"/>
          <w:rtl/>
        </w:rPr>
        <w:t xml:space="preserve"> </w:t>
      </w:r>
      <w:r w:rsidRPr="00DA68A4">
        <w:rPr>
          <w:rStyle w:val="af7"/>
          <w:rFonts w:eastAsia="Guttman Hodes" w:hint="cs"/>
          <w:rtl/>
        </w:rPr>
        <w:t xml:space="preserve">(עי' אות </w:t>
      </w:r>
      <w:r w:rsidRPr="00DA68A4">
        <w:rPr>
          <w:rStyle w:val="af7"/>
          <w:rFonts w:eastAsia="Guttman Hodes"/>
          <w:rtl/>
        </w:rPr>
        <w:fldChar w:fldCharType="begin"/>
      </w:r>
      <w:r w:rsidRPr="00DA68A4">
        <w:rPr>
          <w:rStyle w:val="af7"/>
          <w:rFonts w:eastAsia="Guttman Hodes"/>
          <w:rtl/>
        </w:rPr>
        <w:instrText xml:space="preserve"> </w:instrText>
      </w:r>
      <w:r w:rsidRPr="00DA68A4">
        <w:rPr>
          <w:rStyle w:val="af7"/>
          <w:rFonts w:eastAsia="Guttman Hodes" w:hint="cs"/>
        </w:rPr>
        <w:instrText>REF</w:instrText>
      </w:r>
      <w:r w:rsidRPr="00DA68A4">
        <w:rPr>
          <w:rStyle w:val="af7"/>
          <w:rFonts w:eastAsia="Guttman Hodes" w:hint="cs"/>
          <w:rtl/>
        </w:rPr>
        <w:instrText xml:space="preserve"> _</w:instrText>
      </w:r>
      <w:r w:rsidRPr="00DA68A4">
        <w:rPr>
          <w:rStyle w:val="af7"/>
          <w:rFonts w:eastAsia="Guttman Hodes" w:hint="cs"/>
        </w:rPr>
        <w:instrText>Ref65702759 \r \h</w:instrText>
      </w:r>
      <w:r w:rsidRPr="00DA68A4">
        <w:rPr>
          <w:rStyle w:val="af7"/>
          <w:rFonts w:eastAsia="Guttman Hodes"/>
          <w:rtl/>
        </w:rPr>
        <w:instrText xml:space="preserve"> </w:instrText>
      </w:r>
      <w:r w:rsidRPr="00DA68A4">
        <w:rPr>
          <w:rStyle w:val="af7"/>
          <w:rFonts w:eastAsia="Guttman Hodes"/>
          <w:rtl/>
        </w:rPr>
      </w:r>
      <w:r w:rsidRPr="00DA68A4">
        <w:rPr>
          <w:rStyle w:val="af7"/>
          <w:rFonts w:eastAsia="Guttman Hodes"/>
          <w:rtl/>
        </w:rPr>
        <w:fldChar w:fldCharType="separate"/>
      </w:r>
      <w:r w:rsidR="00265073">
        <w:rPr>
          <w:rStyle w:val="af7"/>
          <w:rFonts w:eastAsia="Guttman Hodes"/>
          <w:cs/>
        </w:rPr>
        <w:t>‎</w:t>
      </w:r>
      <w:r w:rsidR="00265073">
        <w:rPr>
          <w:rStyle w:val="af7"/>
          <w:rFonts w:eastAsia="Guttman Hodes"/>
          <w:rtl/>
        </w:rPr>
        <w:t>כא)</w:t>
      </w:r>
      <w:r w:rsidRPr="00DA68A4">
        <w:rPr>
          <w:rStyle w:val="af7"/>
          <w:rFonts w:eastAsia="Guttman Hodes"/>
          <w:rtl/>
        </w:rPr>
        <w:fldChar w:fldCharType="end"/>
      </w:r>
      <w:r>
        <w:rPr>
          <w:rStyle w:val="af7"/>
          <w:rFonts w:eastAsia="Guttman Hodes" w:hint="cs"/>
          <w:rtl/>
        </w:rPr>
        <w:t xml:space="preserve"> </w:t>
      </w:r>
      <w:r>
        <w:rPr>
          <w:rFonts w:hint="cs"/>
          <w:rtl/>
        </w:rPr>
        <w:t xml:space="preserve">מבואר דאעפ"י שהוא מחויב שבועה ע"י הע"א, מ"מ מדינא היה סגי אם בשבועת </w:t>
      </w:r>
      <w:r>
        <w:rPr>
          <w:rFonts w:hint="cs"/>
          <w:rtl/>
        </w:rPr>
        <w:t>דידי חטפי, אעפ"י שאינו מכחיש בשבועה זו את העד, אלא דאינו נאמן בשבועה זו, כיון שהיא כנגד החזקה דמה שתח"י שלו הוא.</w:t>
      </w:r>
    </w:p>
    <w:p w:rsidR="000F5507" w:rsidRDefault="000F5507" w:rsidP="000F5507">
      <w:pPr>
        <w:pStyle w:val="a3"/>
        <w:rPr>
          <w:rtl/>
        </w:rPr>
      </w:pPr>
      <w:bookmarkStart w:id="17100" w:name="_Toc65714108"/>
      <w:bookmarkStart w:id="17101" w:name="_Toc65714964"/>
      <w:r>
        <w:rPr>
          <w:rFonts w:hint="cs"/>
          <w:rtl/>
        </w:rPr>
        <w:t>דברי הגרנ"פ דלרש"י והרשב"ם כל הנאמנות כנגד ע"א היא רק בשבועה שמכחיש את העד</w:t>
      </w:r>
      <w:bookmarkEnd w:id="17100"/>
      <w:bookmarkEnd w:id="17101"/>
    </w:p>
    <w:p w:rsidR="000F5507" w:rsidRDefault="000F5507" w:rsidP="007E4E81">
      <w:pPr>
        <w:pStyle w:val="a0"/>
        <w:rPr>
          <w:rtl/>
        </w:rPr>
      </w:pPr>
      <w:bookmarkStart w:id="17102" w:name="_Ref65713769"/>
      <w:r>
        <w:rPr>
          <w:rFonts w:hint="cs"/>
          <w:rtl/>
        </w:rPr>
        <w:t xml:space="preserve">וכתב </w:t>
      </w:r>
      <w:r w:rsidRPr="00627975">
        <w:rPr>
          <w:rStyle w:val="af9"/>
          <w:rFonts w:hint="cs"/>
          <w:rtl/>
        </w:rPr>
        <w:t>בחי' רבי נחום</w:t>
      </w:r>
      <w:r>
        <w:rPr>
          <w:rFonts w:hint="cs"/>
          <w:rtl/>
        </w:rPr>
        <w:t xml:space="preserve"> דמדברי </w:t>
      </w:r>
      <w:r w:rsidRPr="0079745A">
        <w:rPr>
          <w:rStyle w:val="af9"/>
          <w:rFonts w:hint="cs"/>
          <w:rtl/>
        </w:rPr>
        <w:t xml:space="preserve">רש"י </w:t>
      </w:r>
      <w:r>
        <w:rPr>
          <w:rStyle w:val="af9"/>
          <w:rFonts w:hint="cs"/>
          <w:rtl/>
        </w:rPr>
        <w:t xml:space="preserve">בשבועות </w:t>
      </w:r>
      <w:r w:rsidRPr="00E27F38">
        <w:rPr>
          <w:rStyle w:val="af7"/>
          <w:rFonts w:eastAsia="Guttman Hodes" w:hint="cs"/>
          <w:rtl/>
        </w:rPr>
        <w:t xml:space="preserve">(עי' אות </w:t>
      </w:r>
      <w:r w:rsidRPr="00E27F38">
        <w:rPr>
          <w:rStyle w:val="af7"/>
          <w:rFonts w:eastAsia="Guttman Hodes"/>
          <w:rtl/>
        </w:rPr>
        <w:fldChar w:fldCharType="begin"/>
      </w:r>
      <w:r w:rsidRPr="00E27F38">
        <w:rPr>
          <w:rStyle w:val="af7"/>
          <w:rFonts w:eastAsia="Guttman Hodes"/>
          <w:rtl/>
        </w:rPr>
        <w:instrText xml:space="preserve"> </w:instrText>
      </w:r>
      <w:r w:rsidRPr="00E27F38">
        <w:rPr>
          <w:rStyle w:val="af7"/>
          <w:rFonts w:eastAsia="Guttman Hodes" w:hint="cs"/>
        </w:rPr>
        <w:instrText>REF</w:instrText>
      </w:r>
      <w:r w:rsidRPr="00E27F38">
        <w:rPr>
          <w:rStyle w:val="af7"/>
          <w:rFonts w:eastAsia="Guttman Hodes" w:hint="cs"/>
          <w:rtl/>
        </w:rPr>
        <w:instrText xml:space="preserve"> _</w:instrText>
      </w:r>
      <w:r w:rsidRPr="00E27F38">
        <w:rPr>
          <w:rStyle w:val="af7"/>
          <w:rFonts w:eastAsia="Guttman Hodes" w:hint="cs"/>
        </w:rPr>
        <w:instrText>Ref65095506 \r \h</w:instrText>
      </w:r>
      <w:r w:rsidRPr="00E27F38">
        <w:rPr>
          <w:rStyle w:val="af7"/>
          <w:rFonts w:eastAsia="Guttman Hodes"/>
          <w:rtl/>
        </w:rPr>
        <w:instrText xml:space="preserve"> </w:instrText>
      </w:r>
      <w:r w:rsidRPr="00E27F38">
        <w:rPr>
          <w:rStyle w:val="af7"/>
          <w:rFonts w:eastAsia="Guttman Hodes"/>
          <w:rtl/>
        </w:rPr>
      </w:r>
      <w:r w:rsidRPr="00E27F38">
        <w:rPr>
          <w:rStyle w:val="af7"/>
          <w:rFonts w:eastAsia="Guttman Hodes"/>
          <w:rtl/>
        </w:rPr>
        <w:fldChar w:fldCharType="separate"/>
      </w:r>
      <w:r w:rsidR="00265073">
        <w:rPr>
          <w:rStyle w:val="af7"/>
          <w:rFonts w:eastAsia="Guttman Hodes"/>
          <w:cs/>
        </w:rPr>
        <w:t>‎</w:t>
      </w:r>
      <w:r w:rsidR="00265073">
        <w:rPr>
          <w:rStyle w:val="af7"/>
          <w:rFonts w:eastAsia="Guttman Hodes"/>
          <w:rtl/>
        </w:rPr>
        <w:t>יב)</w:t>
      </w:r>
      <w:r w:rsidRPr="00E27F38">
        <w:rPr>
          <w:rStyle w:val="af7"/>
          <w:rFonts w:eastAsia="Guttman Hodes"/>
          <w:rtl/>
        </w:rPr>
        <w:fldChar w:fldCharType="end"/>
      </w:r>
      <w:r>
        <w:rPr>
          <w:rFonts w:hint="cs"/>
          <w:rtl/>
        </w:rPr>
        <w:t xml:space="preserve"> </w:t>
      </w:r>
      <w:r w:rsidRPr="00772AE6">
        <w:rPr>
          <w:rFonts w:hint="cs"/>
          <w:rtl/>
        </w:rPr>
        <w:t xml:space="preserve">דכתב </w:t>
      </w:r>
      <w:r>
        <w:rPr>
          <w:rFonts w:hint="cs"/>
          <w:rtl/>
        </w:rPr>
        <w:t xml:space="preserve">דחיוב שבועה מכח ע"א, הוא שנשבע על עדות הע"א ומכחישו, והכא אינו יכול להכחישו כיון שמודה לו, וכן מדברי </w:t>
      </w:r>
      <w:r w:rsidRPr="00627975">
        <w:rPr>
          <w:rStyle w:val="af9"/>
          <w:rFonts w:hint="cs"/>
          <w:rtl/>
        </w:rPr>
        <w:t xml:space="preserve">הרשב"ם </w:t>
      </w:r>
      <w:r w:rsidRPr="00772AE6">
        <w:rPr>
          <w:rStyle w:val="af7"/>
          <w:rFonts w:eastAsia="Guttman Hodes" w:hint="cs"/>
          <w:rtl/>
        </w:rPr>
        <w:t xml:space="preserve">(עי' אות </w:t>
      </w:r>
      <w:r w:rsidRPr="00772AE6">
        <w:rPr>
          <w:rStyle w:val="af7"/>
          <w:rFonts w:eastAsia="Guttman Hodes"/>
          <w:rtl/>
        </w:rPr>
        <w:fldChar w:fldCharType="begin"/>
      </w:r>
      <w:r w:rsidRPr="00772AE6">
        <w:rPr>
          <w:rStyle w:val="af7"/>
          <w:rFonts w:eastAsia="Guttman Hodes"/>
          <w:rtl/>
        </w:rPr>
        <w:instrText xml:space="preserve"> </w:instrText>
      </w:r>
      <w:r w:rsidRPr="00772AE6">
        <w:rPr>
          <w:rStyle w:val="af7"/>
          <w:rFonts w:eastAsia="Guttman Hodes" w:hint="cs"/>
        </w:rPr>
        <w:instrText>REF</w:instrText>
      </w:r>
      <w:r w:rsidRPr="00772AE6">
        <w:rPr>
          <w:rStyle w:val="af7"/>
          <w:rFonts w:eastAsia="Guttman Hodes" w:hint="cs"/>
          <w:rtl/>
        </w:rPr>
        <w:instrText xml:space="preserve"> _</w:instrText>
      </w:r>
      <w:r w:rsidRPr="00772AE6">
        <w:rPr>
          <w:rStyle w:val="af7"/>
          <w:rFonts w:eastAsia="Guttman Hodes" w:hint="cs"/>
        </w:rPr>
        <w:instrText>Ref65713717 \r \h</w:instrText>
      </w:r>
      <w:r w:rsidRPr="00772AE6">
        <w:rPr>
          <w:rStyle w:val="af7"/>
          <w:rFonts w:eastAsia="Guttman Hodes"/>
          <w:rtl/>
        </w:rPr>
        <w:instrText xml:space="preserve"> </w:instrText>
      </w:r>
      <w:r w:rsidRPr="00772AE6">
        <w:rPr>
          <w:rStyle w:val="af7"/>
          <w:rFonts w:eastAsia="Guttman Hodes"/>
          <w:rtl/>
        </w:rPr>
      </w:r>
      <w:r w:rsidRPr="00772AE6">
        <w:rPr>
          <w:rStyle w:val="af7"/>
          <w:rFonts w:eastAsia="Guttman Hodes"/>
          <w:rtl/>
        </w:rPr>
        <w:fldChar w:fldCharType="separate"/>
      </w:r>
      <w:r w:rsidR="00265073">
        <w:rPr>
          <w:rStyle w:val="af7"/>
          <w:rFonts w:eastAsia="Guttman Hodes"/>
          <w:cs/>
        </w:rPr>
        <w:t>‎</w:t>
      </w:r>
      <w:r w:rsidR="00265073">
        <w:rPr>
          <w:rStyle w:val="af7"/>
          <w:rFonts w:eastAsia="Guttman Hodes"/>
          <w:rtl/>
        </w:rPr>
        <w:t>יד)</w:t>
      </w:r>
      <w:r w:rsidRPr="00772AE6">
        <w:rPr>
          <w:rStyle w:val="af7"/>
          <w:rFonts w:eastAsia="Guttman Hodes"/>
          <w:rtl/>
        </w:rPr>
        <w:fldChar w:fldCharType="end"/>
      </w:r>
      <w:r>
        <w:rPr>
          <w:rFonts w:hint="cs"/>
          <w:rtl/>
        </w:rPr>
        <w:t xml:space="preserve"> דכתב דהשבועה שהעד מחייבו היא רק להכחיש את הע"א ולטעון שלא חטף, והוסיף </w:t>
      </w:r>
      <w:r w:rsidRPr="00627975">
        <w:rPr>
          <w:rStyle w:val="af9"/>
          <w:rFonts w:hint="cs"/>
          <w:rtl/>
        </w:rPr>
        <w:t>הרשב"ם</w:t>
      </w:r>
      <w:r>
        <w:rPr>
          <w:rFonts w:hint="cs"/>
          <w:rtl/>
        </w:rPr>
        <w:t xml:space="preserve"> </w:t>
      </w:r>
      <w:r w:rsidRPr="00772AE6">
        <w:rPr>
          <w:rStyle w:val="af7"/>
          <w:rFonts w:eastAsia="Guttman Hodes" w:hint="cs"/>
          <w:rtl/>
        </w:rPr>
        <w:t xml:space="preserve">(עי' אות </w:t>
      </w:r>
      <w:r w:rsidRPr="00772AE6">
        <w:rPr>
          <w:rStyle w:val="af7"/>
          <w:rFonts w:eastAsia="Guttman Hodes"/>
          <w:rtl/>
        </w:rPr>
        <w:fldChar w:fldCharType="begin"/>
      </w:r>
      <w:r w:rsidRPr="00772AE6">
        <w:rPr>
          <w:rStyle w:val="af7"/>
          <w:rFonts w:eastAsia="Guttman Hodes"/>
          <w:rtl/>
        </w:rPr>
        <w:instrText xml:space="preserve"> </w:instrText>
      </w:r>
      <w:r w:rsidRPr="00772AE6">
        <w:rPr>
          <w:rStyle w:val="af7"/>
          <w:rFonts w:eastAsia="Guttman Hodes" w:hint="cs"/>
        </w:rPr>
        <w:instrText>REF</w:instrText>
      </w:r>
      <w:r w:rsidRPr="00772AE6">
        <w:rPr>
          <w:rStyle w:val="af7"/>
          <w:rFonts w:eastAsia="Guttman Hodes" w:hint="cs"/>
          <w:rtl/>
        </w:rPr>
        <w:instrText xml:space="preserve"> _</w:instrText>
      </w:r>
      <w:r w:rsidRPr="00772AE6">
        <w:rPr>
          <w:rStyle w:val="af7"/>
          <w:rFonts w:eastAsia="Guttman Hodes" w:hint="cs"/>
        </w:rPr>
        <w:instrText>Ref65713723 \r \h</w:instrText>
      </w:r>
      <w:r w:rsidRPr="00772AE6">
        <w:rPr>
          <w:rStyle w:val="af7"/>
          <w:rFonts w:eastAsia="Guttman Hodes"/>
          <w:rtl/>
        </w:rPr>
        <w:instrText xml:space="preserve"> </w:instrText>
      </w:r>
      <w:r w:rsidRPr="00772AE6">
        <w:rPr>
          <w:rStyle w:val="af7"/>
          <w:rFonts w:eastAsia="Guttman Hodes"/>
          <w:rtl/>
        </w:rPr>
      </w:r>
      <w:r w:rsidRPr="00772AE6">
        <w:rPr>
          <w:rStyle w:val="af7"/>
          <w:rFonts w:eastAsia="Guttman Hodes"/>
          <w:rtl/>
        </w:rPr>
        <w:fldChar w:fldCharType="separate"/>
      </w:r>
      <w:r w:rsidR="00265073">
        <w:rPr>
          <w:rStyle w:val="af7"/>
          <w:rFonts w:eastAsia="Guttman Hodes"/>
          <w:cs/>
        </w:rPr>
        <w:t>‎</w:t>
      </w:r>
      <w:r w:rsidR="00265073">
        <w:rPr>
          <w:rStyle w:val="af7"/>
          <w:rFonts w:eastAsia="Guttman Hodes"/>
          <w:rtl/>
        </w:rPr>
        <w:t>טו)</w:t>
      </w:r>
      <w:r w:rsidRPr="00772AE6">
        <w:rPr>
          <w:rStyle w:val="af7"/>
          <w:rFonts w:eastAsia="Guttman Hodes"/>
          <w:rtl/>
        </w:rPr>
        <w:fldChar w:fldCharType="end"/>
      </w:r>
      <w:r>
        <w:rPr>
          <w:rFonts w:hint="cs"/>
          <w:rtl/>
        </w:rPr>
        <w:t xml:space="preserve"> דלענין השבועה להכחיש את העד, החוטף פסול כגזלן לגבי שאר השבועות, מבואר דס"ל דבמקום ע"א לא מהני שבועה שאינו מכחיש את עדות העד, ולכן ס"ל </w:t>
      </w:r>
      <w:r w:rsidRPr="00627975">
        <w:rPr>
          <w:rStyle w:val="af9"/>
          <w:rFonts w:hint="cs"/>
          <w:rtl/>
        </w:rPr>
        <w:t>לרש"י והרשב"ם</w:t>
      </w:r>
      <w:r>
        <w:rPr>
          <w:rFonts w:hint="cs"/>
          <w:rtl/>
        </w:rPr>
        <w:t xml:space="preserve"> דאינו נאמן בשבועת דידי חטפי.</w:t>
      </w:r>
      <w:bookmarkEnd w:id="17102"/>
    </w:p>
    <w:p w:rsidR="000F5507" w:rsidRDefault="000F5507" w:rsidP="000F5507">
      <w:pPr>
        <w:pStyle w:val="afe"/>
        <w:rPr>
          <w:rtl/>
        </w:rPr>
      </w:pPr>
      <w:bookmarkStart w:id="17103" w:name="_Toc65604069"/>
      <w:bookmarkStart w:id="17104" w:name="_Toc65605959"/>
      <w:bookmarkStart w:id="17105" w:name="_Toc65617216"/>
      <w:bookmarkStart w:id="17106" w:name="_Toc65666199"/>
      <w:bookmarkStart w:id="17107" w:name="_Toc65689860"/>
      <w:bookmarkStart w:id="17108" w:name="_Toc65703424"/>
      <w:bookmarkStart w:id="17109" w:name="_Toc65714109"/>
      <w:bookmarkStart w:id="17110" w:name="_Toc65714965"/>
      <w:r>
        <w:rPr>
          <w:rFonts w:hint="cs"/>
          <w:rtl/>
        </w:rPr>
        <w:t>בדברי הראב"ן</w:t>
      </w:r>
      <w:bookmarkEnd w:id="17103"/>
      <w:bookmarkEnd w:id="17104"/>
      <w:bookmarkEnd w:id="17105"/>
      <w:bookmarkEnd w:id="17106"/>
      <w:bookmarkEnd w:id="17107"/>
      <w:bookmarkEnd w:id="17108"/>
      <w:r>
        <w:rPr>
          <w:rFonts w:hint="cs"/>
          <w:rtl/>
        </w:rPr>
        <w:t xml:space="preserve"> דלשבועה זו פסול כגזלן</w:t>
      </w:r>
      <w:bookmarkEnd w:id="17109"/>
      <w:bookmarkEnd w:id="17110"/>
    </w:p>
    <w:p w:rsidR="000F5507" w:rsidRDefault="000F5507" w:rsidP="000F5507">
      <w:pPr>
        <w:pStyle w:val="1"/>
        <w:rPr>
          <w:rtl/>
        </w:rPr>
      </w:pPr>
      <w:bookmarkStart w:id="17111" w:name="_Toc65529991"/>
      <w:bookmarkStart w:id="17112" w:name="_Toc65604070"/>
      <w:bookmarkStart w:id="17113" w:name="_Toc65605960"/>
      <w:bookmarkStart w:id="17114" w:name="_Toc65617217"/>
      <w:bookmarkStart w:id="17115" w:name="_Toc65666200"/>
      <w:bookmarkStart w:id="17116" w:name="_Toc65689861"/>
      <w:bookmarkStart w:id="17117" w:name="_Toc65703425"/>
      <w:bookmarkStart w:id="17118" w:name="_Toc65714110"/>
      <w:bookmarkStart w:id="17119" w:name="_Toc65714966"/>
      <w:r>
        <w:rPr>
          <w:rFonts w:hint="cs"/>
          <w:rtl/>
        </w:rPr>
        <w:t>ביאור הגרש"ש בראב"ן</w:t>
      </w:r>
      <w:bookmarkEnd w:id="17111"/>
      <w:bookmarkEnd w:id="17112"/>
      <w:bookmarkEnd w:id="17113"/>
      <w:bookmarkEnd w:id="17114"/>
      <w:bookmarkEnd w:id="17115"/>
      <w:bookmarkEnd w:id="17116"/>
      <w:bookmarkEnd w:id="17117"/>
      <w:r>
        <w:rPr>
          <w:rFonts w:hint="cs"/>
          <w:rtl/>
        </w:rPr>
        <w:t xml:space="preserve"> דבמודה לע"א חשוד לממון ושבועה זו</w:t>
      </w:r>
      <w:bookmarkEnd w:id="17118"/>
      <w:bookmarkEnd w:id="17119"/>
    </w:p>
    <w:p w:rsidR="000F5507" w:rsidRPr="00D13DDC" w:rsidRDefault="000F5507" w:rsidP="000F5507">
      <w:pPr>
        <w:pStyle w:val="a3"/>
        <w:rPr>
          <w:rtl/>
        </w:rPr>
      </w:pPr>
      <w:bookmarkStart w:id="17120" w:name="_Toc65714111"/>
      <w:bookmarkStart w:id="17121" w:name="_Toc65714967"/>
      <w:r>
        <w:rPr>
          <w:rFonts w:hint="cs"/>
          <w:rtl/>
        </w:rPr>
        <w:t>ביאור הגרש"ש בראב"ן דבהודה מצטרף לע"ע ועל ממון זה הוא חשוד שאינו שלו אף לשבועה</w:t>
      </w:r>
      <w:bookmarkEnd w:id="17120"/>
      <w:bookmarkEnd w:id="17121"/>
    </w:p>
    <w:p w:rsidR="000F5507" w:rsidRDefault="000F5507" w:rsidP="007E4E81">
      <w:pPr>
        <w:pStyle w:val="a0"/>
        <w:rPr>
          <w:rtl/>
        </w:rPr>
      </w:pPr>
      <w:bookmarkStart w:id="17122" w:name="_Ref65517333"/>
      <w:r w:rsidRPr="00F32D87">
        <w:rPr>
          <w:rFonts w:hint="cs"/>
          <w:rtl/>
        </w:rPr>
        <w:t xml:space="preserve">במ"ש </w:t>
      </w:r>
      <w:r w:rsidRPr="00554D2B">
        <w:rPr>
          <w:rStyle w:val="af9"/>
          <w:rFonts w:hint="cs"/>
          <w:rtl/>
        </w:rPr>
        <w:t>הראב"ן</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Ref65517321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לט)</w:t>
      </w:r>
      <w:r>
        <w:rPr>
          <w:rStyle w:val="af7"/>
          <w:rFonts w:eastAsia="Guttman Hodes"/>
          <w:rtl/>
        </w:rPr>
        <w:fldChar w:fldCharType="end"/>
      </w:r>
      <w:r>
        <w:rPr>
          <w:rStyle w:val="af7"/>
          <w:rFonts w:eastAsia="Guttman Hodes" w:hint="cs"/>
          <w:rtl/>
        </w:rPr>
        <w:t xml:space="preserve"> </w:t>
      </w:r>
      <w:r>
        <w:rPr>
          <w:rFonts w:hint="cs"/>
          <w:rtl/>
        </w:rPr>
        <w:t xml:space="preserve">דאינו יכול להשבע כגזלן, כיון שמודה שבאה לידו בדרך </w:t>
      </w:r>
      <w:r w:rsidRPr="00BD5B1A">
        <w:rPr>
          <w:rFonts w:hint="cs"/>
          <w:rtl/>
        </w:rPr>
        <w:t xml:space="preserve">גזלנות, </w:t>
      </w:r>
      <w:r>
        <w:rPr>
          <w:rFonts w:hint="cs"/>
          <w:rtl/>
        </w:rPr>
        <w:t>אבל לשבועה אחרת אינו נפסל כיון שטוען דידי חטפי, ביאר</w:t>
      </w:r>
      <w:r w:rsidRPr="00F32D87">
        <w:rPr>
          <w:rFonts w:hint="cs"/>
          <w:rtl/>
        </w:rPr>
        <w:t xml:space="preserve"> </w:t>
      </w:r>
      <w:r w:rsidRPr="0088046E">
        <w:rPr>
          <w:rStyle w:val="af9"/>
          <w:rFonts w:hint="cs"/>
          <w:rtl/>
        </w:rPr>
        <w:t>בחי'</w:t>
      </w:r>
      <w:r w:rsidRPr="00F32D87">
        <w:rPr>
          <w:rFonts w:hint="cs"/>
          <w:rtl/>
        </w:rPr>
        <w:t xml:space="preserve"> </w:t>
      </w:r>
      <w:r w:rsidRPr="0088046E">
        <w:rPr>
          <w:rStyle w:val="af9"/>
          <w:rFonts w:hint="cs"/>
          <w:rtl/>
        </w:rPr>
        <w:t>הגרש"ש</w:t>
      </w:r>
      <w:r w:rsidRPr="00F32D87">
        <w:rPr>
          <w:rFonts w:hint="cs"/>
          <w:rtl/>
        </w:rPr>
        <w:t xml:space="preserve"> </w:t>
      </w:r>
      <w:r w:rsidRPr="0088046E">
        <w:rPr>
          <w:rStyle w:val="af7"/>
          <w:rFonts w:eastAsia="Guttman Hodes" w:hint="cs"/>
          <w:rtl/>
        </w:rPr>
        <w:t>(סי' י"ט [מהדו' חד' כ"ב] או' ג' ד"ה והנה שיטתו)</w:t>
      </w:r>
      <w:r>
        <w:rPr>
          <w:rFonts w:hint="cs"/>
          <w:rtl/>
        </w:rPr>
        <w:t xml:space="preserve"> דס"ל </w:t>
      </w:r>
      <w:r w:rsidRPr="0088046E">
        <w:rPr>
          <w:rStyle w:val="af9"/>
          <w:rFonts w:hint="cs"/>
          <w:rtl/>
        </w:rPr>
        <w:t>להראב"ן</w:t>
      </w:r>
      <w:r>
        <w:rPr>
          <w:rFonts w:hint="cs"/>
          <w:rtl/>
        </w:rPr>
        <w:t xml:space="preserve"> דאעפ"י שא"א לפוסלו לכל השבועות מכח עדות הע"א, דהא לטענתו דדידי חטפי אינו גזלן, מ"מ על השבועה הזו גופא חשדינן ליה, שמא הוא גזלן ולא חטף את שלו, דכיון שהודה לע"א על החטיפה, א"כ ע"י עדות הע"א חשיב שיש שנים שמעידים על החטיפה, וכיון שהוא חשוד על ממון זה, הוא נעשה חשוד לשבועה זו, דכ"מ דחשוד על הממון אינו חשוד על השבועה, זהו רק כשאין עדים שהוא גזלן, אבל אם היו עדים נפסל אף לשבועה, וא"כ בממון זה חשיב שיש עדים על הגזילה, ופסול אף להשבע עליו.</w:t>
      </w:r>
      <w:bookmarkEnd w:id="17122"/>
    </w:p>
    <w:p w:rsidR="000F5507" w:rsidRPr="00D13DDC" w:rsidRDefault="000F5507" w:rsidP="000F5507">
      <w:pPr>
        <w:pStyle w:val="a3"/>
        <w:rPr>
          <w:rtl/>
        </w:rPr>
      </w:pPr>
      <w:bookmarkStart w:id="17123" w:name="_Toc65714112"/>
      <w:bookmarkStart w:id="17124" w:name="_Toc65714968"/>
      <w:r>
        <w:rPr>
          <w:rFonts w:hint="cs"/>
          <w:rtl/>
        </w:rPr>
        <w:t>ביאור הגרש"ש בראב"ן דהכא החשד דגזילה הוא ע"י נאמנותו ובכל גזילה הוא ע"י העדים</w:t>
      </w:r>
      <w:bookmarkEnd w:id="17123"/>
      <w:bookmarkEnd w:id="17124"/>
    </w:p>
    <w:p w:rsidR="000F5507" w:rsidRDefault="000F5507" w:rsidP="007E4E81">
      <w:pPr>
        <w:pStyle w:val="a0"/>
        <w:rPr>
          <w:rtl/>
        </w:rPr>
        <w:sectPr w:rsidR="000F5507" w:rsidSect="005049E2">
          <w:footerReference w:type="default" r:id="rId153"/>
          <w:type w:val="continuous"/>
          <w:pgSz w:w="11906" w:h="16838"/>
          <w:pgMar w:top="720" w:right="720" w:bottom="720" w:left="720" w:header="283" w:footer="283" w:gutter="0"/>
          <w:cols w:num="2" w:space="567"/>
          <w:titlePg/>
          <w:bidi/>
          <w:rtlGutter/>
          <w:docGrid w:linePitch="299"/>
        </w:sectPr>
      </w:pPr>
      <w:r>
        <w:rPr>
          <w:rFonts w:hint="cs"/>
          <w:rtl/>
        </w:rPr>
        <w:t xml:space="preserve">והוסיף </w:t>
      </w:r>
      <w:r w:rsidRPr="0088046E">
        <w:rPr>
          <w:rStyle w:val="af9"/>
          <w:rFonts w:hint="cs"/>
          <w:rtl/>
        </w:rPr>
        <w:t>בחי'</w:t>
      </w:r>
      <w:r w:rsidRPr="00F32D87">
        <w:rPr>
          <w:rFonts w:hint="cs"/>
          <w:rtl/>
        </w:rPr>
        <w:t xml:space="preserve"> </w:t>
      </w:r>
      <w:r w:rsidRPr="0088046E">
        <w:rPr>
          <w:rStyle w:val="af9"/>
          <w:rFonts w:hint="cs"/>
          <w:rtl/>
        </w:rPr>
        <w:t>הגרש"ש</w:t>
      </w:r>
      <w:r w:rsidRPr="00F32D87">
        <w:rPr>
          <w:rFonts w:hint="cs"/>
          <w:rtl/>
        </w:rPr>
        <w:t xml:space="preserve"> </w:t>
      </w:r>
      <w:r w:rsidRPr="0088046E">
        <w:rPr>
          <w:rStyle w:val="af7"/>
          <w:rFonts w:eastAsia="Guttman Hodes" w:hint="cs"/>
          <w:rtl/>
        </w:rPr>
        <w:t xml:space="preserve">(סי' </w:t>
      </w:r>
      <w:r>
        <w:rPr>
          <w:rStyle w:val="af7"/>
          <w:rFonts w:eastAsia="Guttman Hodes" w:hint="cs"/>
          <w:rtl/>
        </w:rPr>
        <w:t>ל"ג</w:t>
      </w:r>
      <w:r w:rsidRPr="0088046E">
        <w:rPr>
          <w:rStyle w:val="af7"/>
          <w:rFonts w:eastAsia="Guttman Hodes" w:hint="cs"/>
          <w:rtl/>
        </w:rPr>
        <w:t xml:space="preserve"> [מהדו' חד' כ"</w:t>
      </w:r>
      <w:r>
        <w:rPr>
          <w:rStyle w:val="af7"/>
          <w:rFonts w:eastAsia="Guttman Hodes" w:hint="cs"/>
          <w:rtl/>
        </w:rPr>
        <w:t>ג</w:t>
      </w:r>
      <w:r w:rsidRPr="0088046E">
        <w:rPr>
          <w:rStyle w:val="af7"/>
          <w:rFonts w:eastAsia="Guttman Hodes" w:hint="cs"/>
          <w:rtl/>
        </w:rPr>
        <w:t xml:space="preserve">] ד"ה </w:t>
      </w:r>
      <w:r>
        <w:rPr>
          <w:rStyle w:val="af7"/>
          <w:rFonts w:eastAsia="Guttman Hodes" w:hint="cs"/>
          <w:rtl/>
        </w:rPr>
        <w:t>ובכה"ג</w:t>
      </w:r>
      <w:r w:rsidRPr="0088046E">
        <w:rPr>
          <w:rStyle w:val="af7"/>
          <w:rFonts w:eastAsia="Guttman Hodes" w:hint="cs"/>
          <w:rtl/>
        </w:rPr>
        <w:t>)</w:t>
      </w:r>
      <w:r>
        <w:rPr>
          <w:rFonts w:hint="cs"/>
          <w:rtl/>
        </w:rPr>
        <w:t xml:space="preserve"> לבאר דאם אנו משביעים את החוטף בטענת דידי חטפי, א"כ הוא נאמן בטענתו דאמר אין חטפי, וא"כ הוא גזלן ונפסל לשבועה ע"י הע"א, משא"כ בכל שבועה בעלמא, שמשביעים אותו בטענה של גזילה, דאעפ"י שיש חשד שהוא גזלן, מ"מ החשד הוא מצד עצמו ולא מחמת עדות העדים, משא"כ הכא דהחשד גזלנות הוא רק מכח הע"א, ועיי"ש במה שהקשה </w:t>
      </w:r>
      <w:r w:rsidRPr="00945EA7">
        <w:rPr>
          <w:rStyle w:val="af9"/>
          <w:rFonts w:hint="cs"/>
          <w:rtl/>
        </w:rPr>
        <w:t xml:space="preserve">בחי' הגרש"ש </w:t>
      </w:r>
      <w:r>
        <w:rPr>
          <w:rFonts w:hint="cs"/>
          <w:rtl/>
        </w:rPr>
        <w:t xml:space="preserve">על </w:t>
      </w:r>
      <w:r w:rsidRPr="0088046E">
        <w:rPr>
          <w:rStyle w:val="af9"/>
          <w:rFonts w:hint="cs"/>
          <w:rtl/>
        </w:rPr>
        <w:t>הראב"ן</w:t>
      </w:r>
      <w:r>
        <w:rPr>
          <w:rFonts w:hint="cs"/>
          <w:rtl/>
        </w:rPr>
        <w:t xml:space="preserve"> דא"כ במה נחלקו רב ושמואל על רבי אבא.</w:t>
      </w:r>
    </w:p>
    <w:p w:rsidR="000F5507" w:rsidRPr="005B4573" w:rsidRDefault="000F5507" w:rsidP="007E4E81">
      <w:pPr>
        <w:pStyle w:val="a0"/>
        <w:numPr>
          <w:ilvl w:val="0"/>
          <w:numId w:val="0"/>
        </w:numPr>
        <w:rPr>
          <w:rtl/>
        </w:rPr>
      </w:pPr>
    </w:p>
    <w:p w:rsidR="000F5507" w:rsidRPr="00D13DDC" w:rsidRDefault="000F5507" w:rsidP="000F5507">
      <w:pPr>
        <w:pStyle w:val="a3"/>
        <w:rPr>
          <w:rtl/>
        </w:rPr>
      </w:pPr>
    </w:p>
    <w:p w:rsidR="000F5507" w:rsidRDefault="000F5507" w:rsidP="007E4E81">
      <w:pPr>
        <w:pStyle w:val="a0"/>
        <w:rPr>
          <w:rtl/>
        </w:rPr>
        <w:sectPr w:rsidR="000F5507" w:rsidSect="005049E2">
          <w:type w:val="continuous"/>
          <w:pgSz w:w="11906" w:h="16838"/>
          <w:pgMar w:top="720" w:right="720" w:bottom="720" w:left="720" w:header="283" w:footer="283" w:gutter="0"/>
          <w:cols w:num="2" w:space="567"/>
          <w:titlePg/>
          <w:bidi/>
          <w:rtlGutter/>
          <w:docGrid w:linePitch="299"/>
        </w:sectPr>
      </w:pPr>
    </w:p>
    <w:p w:rsidR="00E824D3" w:rsidRDefault="00E824D3" w:rsidP="00E824D3">
      <w:pPr>
        <w:pStyle w:val="afd"/>
        <w:rPr>
          <w:rtl/>
        </w:rPr>
      </w:pPr>
      <w:bookmarkStart w:id="17125" w:name="_Toc65748224"/>
      <w:bookmarkStart w:id="17126" w:name="_Toc65788162"/>
      <w:bookmarkStart w:id="17127" w:name="_Toc65839193"/>
      <w:bookmarkStart w:id="17128" w:name="_Toc66048823"/>
      <w:bookmarkStart w:id="17129" w:name="_Toc66055763"/>
      <w:bookmarkStart w:id="17130" w:name="_Toc66085869"/>
      <w:bookmarkStart w:id="17131" w:name="_Toc66110431"/>
      <w:bookmarkStart w:id="17132" w:name="_Toc66123291"/>
      <w:bookmarkStart w:id="17133" w:name="_Toc66143739"/>
      <w:bookmarkStart w:id="17134" w:name="_Toc66171902"/>
      <w:bookmarkStart w:id="17135" w:name="_Toc66183142"/>
      <w:bookmarkStart w:id="17136" w:name="_Toc66185922"/>
      <w:bookmarkStart w:id="17137" w:name="_Toc66193382"/>
      <w:bookmarkStart w:id="17138" w:name="_Toc66209231"/>
      <w:bookmarkStart w:id="17139" w:name="_Toc65142868"/>
      <w:bookmarkStart w:id="17140" w:name="_Toc65529997"/>
      <w:r w:rsidRPr="00C03D92">
        <w:rPr>
          <w:rFonts w:hint="cs"/>
          <w:rtl/>
        </w:rPr>
        <w:lastRenderedPageBreak/>
        <w:t xml:space="preserve">סימן </w:t>
      </w:r>
      <w:r>
        <w:rPr>
          <w:rFonts w:hint="cs"/>
          <w:rtl/>
        </w:rPr>
        <w:t>י"ח</w:t>
      </w:r>
      <w:bookmarkEnd w:id="17125"/>
      <w:bookmarkEnd w:id="17126"/>
      <w:bookmarkEnd w:id="17127"/>
      <w:bookmarkEnd w:id="17128"/>
      <w:bookmarkEnd w:id="17129"/>
      <w:bookmarkEnd w:id="17130"/>
      <w:bookmarkEnd w:id="17131"/>
      <w:bookmarkEnd w:id="17132"/>
      <w:bookmarkEnd w:id="17133"/>
      <w:bookmarkEnd w:id="17134"/>
      <w:bookmarkEnd w:id="17135"/>
      <w:bookmarkEnd w:id="17136"/>
      <w:bookmarkEnd w:id="17137"/>
      <w:bookmarkEnd w:id="17138"/>
    </w:p>
    <w:p w:rsidR="00E824D3" w:rsidRDefault="00E824D3" w:rsidP="00E824D3">
      <w:pPr>
        <w:pStyle w:val="afd"/>
        <w:rPr>
          <w:rFonts w:ascii="FrankRuehl" w:hAnsi="FrankRuehl"/>
          <w:b/>
          <w:noProof/>
          <w:rtl/>
        </w:rPr>
      </w:pPr>
      <w:bookmarkStart w:id="17141" w:name="_Toc65748225"/>
      <w:bookmarkStart w:id="17142" w:name="_Toc65788163"/>
      <w:bookmarkStart w:id="17143" w:name="_Toc65839194"/>
      <w:bookmarkStart w:id="17144" w:name="_Toc66048824"/>
      <w:bookmarkStart w:id="17145" w:name="_Toc66055764"/>
      <w:bookmarkStart w:id="17146" w:name="_Toc66085870"/>
      <w:bookmarkStart w:id="17147" w:name="_Toc66110432"/>
      <w:bookmarkStart w:id="17148" w:name="_Toc66123292"/>
      <w:bookmarkStart w:id="17149" w:name="_Toc66143740"/>
      <w:bookmarkStart w:id="17150" w:name="_Toc66171903"/>
      <w:bookmarkStart w:id="17151" w:name="_Toc66183143"/>
      <w:bookmarkStart w:id="17152" w:name="_Toc66185923"/>
      <w:bookmarkStart w:id="17153" w:name="_Toc66193383"/>
      <w:bookmarkStart w:id="17154" w:name="_Toc66209232"/>
      <w:r>
        <w:rPr>
          <w:rFonts w:ascii="FrankRuehl" w:hAnsi="FrankRuehl" w:hint="cs"/>
          <w:b/>
          <w:noProof/>
          <w:rtl/>
        </w:rPr>
        <w:t>בסוגיא דנסכא דרבי אבא (ב')</w:t>
      </w:r>
      <w:bookmarkEnd w:id="17141"/>
      <w:bookmarkEnd w:id="17142"/>
      <w:bookmarkEnd w:id="17143"/>
      <w:bookmarkEnd w:id="17144"/>
      <w:bookmarkEnd w:id="17145"/>
      <w:bookmarkEnd w:id="17146"/>
      <w:bookmarkEnd w:id="17147"/>
      <w:bookmarkEnd w:id="17148"/>
      <w:bookmarkEnd w:id="17149"/>
      <w:bookmarkEnd w:id="17150"/>
      <w:bookmarkEnd w:id="17151"/>
      <w:bookmarkEnd w:id="17152"/>
      <w:bookmarkEnd w:id="17153"/>
      <w:bookmarkEnd w:id="17154"/>
    </w:p>
    <w:p w:rsidR="00E824D3" w:rsidRDefault="00E824D3" w:rsidP="00E824D3">
      <w:pPr>
        <w:pStyle w:val="afe"/>
        <w:rPr>
          <w:rtl/>
        </w:rPr>
      </w:pPr>
      <w:bookmarkStart w:id="17155" w:name="_Toc65748226"/>
      <w:bookmarkStart w:id="17156" w:name="_Toc65788164"/>
      <w:bookmarkStart w:id="17157" w:name="_Toc65839195"/>
      <w:bookmarkStart w:id="17158" w:name="_Toc66048825"/>
      <w:bookmarkStart w:id="17159" w:name="_Toc66055765"/>
      <w:bookmarkStart w:id="17160" w:name="_Toc66085871"/>
      <w:bookmarkStart w:id="17161" w:name="_Toc66110433"/>
      <w:bookmarkStart w:id="17162" w:name="_Toc66123293"/>
      <w:bookmarkStart w:id="17163" w:name="_Toc66143741"/>
      <w:bookmarkStart w:id="17164" w:name="_Toc66171904"/>
      <w:bookmarkStart w:id="17165" w:name="_Toc66183144"/>
      <w:bookmarkStart w:id="17166" w:name="_Toc66185924"/>
      <w:bookmarkStart w:id="17167" w:name="_Toc66193384"/>
      <w:r>
        <w:rPr>
          <w:rFonts w:hint="cs"/>
          <w:rtl/>
        </w:rPr>
        <w:t xml:space="preserve">בהא דלא נאמן בשבועה במיגו </w:t>
      </w:r>
      <w:bookmarkEnd w:id="17155"/>
      <w:bookmarkEnd w:id="17156"/>
      <w:bookmarkEnd w:id="17157"/>
      <w:bookmarkEnd w:id="17158"/>
      <w:bookmarkEnd w:id="17159"/>
      <w:r w:rsidRPr="009A3589">
        <w:rPr>
          <w:rtl/>
        </w:rPr>
        <w:t xml:space="preserve">ובגדר שבועת ע"א </w:t>
      </w:r>
      <w:bookmarkEnd w:id="17160"/>
      <w:bookmarkEnd w:id="17161"/>
      <w:bookmarkEnd w:id="17162"/>
      <w:bookmarkEnd w:id="17163"/>
      <w:bookmarkEnd w:id="17164"/>
      <w:bookmarkEnd w:id="17165"/>
      <w:bookmarkEnd w:id="17166"/>
      <w:bookmarkEnd w:id="17167"/>
      <w:r>
        <w:rPr>
          <w:rFonts w:hint="cs"/>
          <w:rtl/>
        </w:rPr>
        <w:t>ובמיגו נגד חזקה דמה שתח"י</w:t>
      </w:r>
    </w:p>
    <w:p w:rsidR="00E824D3" w:rsidRDefault="00E824D3" w:rsidP="00E824D3">
      <w:pPr>
        <w:pStyle w:val="aff4"/>
        <w:rPr>
          <w:rtl/>
        </w:rPr>
        <w:sectPr w:rsidR="00E824D3" w:rsidSect="00FE4F99">
          <w:headerReference w:type="default" r:id="rId154"/>
          <w:headerReference w:type="first" r:id="rId155"/>
          <w:footerReference w:type="first" r:id="rId156"/>
          <w:pgSz w:w="11906" w:h="16838"/>
          <w:pgMar w:top="720" w:right="720" w:bottom="720" w:left="720" w:header="283" w:footer="283" w:gutter="0"/>
          <w:cols w:space="113"/>
          <w:bidi/>
          <w:rtlGutter/>
          <w:docGrid w:linePitch="299"/>
        </w:sectPr>
      </w:pPr>
      <w:r>
        <w:rPr>
          <w:noProof/>
          <w:rtl/>
        </w:rPr>
        <w:t>~~~~~~~</w:t>
      </w:r>
      <w:r>
        <w:rPr>
          <w:rFonts w:hint="cs"/>
          <w:rtl/>
        </w:rPr>
        <w:t xml:space="preserve"> תוכן הענינים</w:t>
      </w:r>
      <w:bookmarkEnd w:id="17139"/>
      <w:bookmarkEnd w:id="17140"/>
      <w:r>
        <w:rPr>
          <w:rFonts w:hint="cs"/>
          <w:rtl/>
        </w:rPr>
        <w:t xml:space="preserve"> </w:t>
      </w:r>
      <w:r>
        <w:rPr>
          <w:noProof/>
          <w:rtl/>
        </w:rPr>
        <w:t>~~~~~~~</w:t>
      </w:r>
    </w:p>
    <w:p w:rsidR="00E824D3" w:rsidRDefault="00E824D3" w:rsidP="00E824D3">
      <w:pPr>
        <w:pStyle w:val="2"/>
        <w:rPr>
          <w:rFonts w:eastAsiaTheme="minorEastAsia" w:cstheme="minorBidi"/>
          <w:i/>
          <w:iCs/>
          <w:sz w:val="22"/>
          <w:szCs w:val="22"/>
          <w:rtl/>
        </w:rPr>
      </w:pPr>
      <w:r>
        <w:rPr>
          <w:i/>
          <w:iCs/>
          <w:rtl/>
        </w:rPr>
        <w:fldChar w:fldCharType="begin"/>
      </w:r>
      <w:r>
        <w:rPr>
          <w:rtl/>
        </w:rPr>
        <w:instrText xml:space="preserve"> </w:instrText>
      </w:r>
      <w:r>
        <w:instrText>TOC</w:instrText>
      </w:r>
      <w:r>
        <w:rPr>
          <w:rtl/>
        </w:rPr>
        <w:instrText xml:space="preserve"> \</w:instrText>
      </w:r>
      <w:r>
        <w:instrText>o "1-9" \n \p " " \z \t</w:instrText>
      </w:r>
      <w:r>
        <w:rPr>
          <w:rtl/>
        </w:rPr>
        <w:instrText xml:space="preserve"> "כותרת 1,2,כות קט,3,כות מקטע,1" </w:instrText>
      </w:r>
      <w:r>
        <w:rPr>
          <w:i/>
          <w:iCs/>
          <w:rtl/>
        </w:rPr>
        <w:fldChar w:fldCharType="separate"/>
      </w:r>
      <w:r>
        <w:rPr>
          <w:rtl/>
        </w:rPr>
        <w:t>אמאי ל"מ שבועה במיגו דלא חטפי</w:t>
      </w:r>
    </w:p>
    <w:p w:rsidR="00E824D3" w:rsidRDefault="00E824D3" w:rsidP="00E824D3">
      <w:pPr>
        <w:pStyle w:val="aff4"/>
        <w:rPr>
          <w:rFonts w:eastAsiaTheme="minorEastAsia" w:cstheme="minorBidi"/>
          <w:i/>
          <w:iCs/>
          <w:noProof/>
          <w:sz w:val="22"/>
          <w:szCs w:val="22"/>
          <w:rtl/>
        </w:rPr>
      </w:pPr>
      <w:r>
        <w:rPr>
          <w:noProof/>
          <w:rtl/>
        </w:rPr>
        <w:t>קו' תוס' והראשונים אמאי אינו נאמן בשבועה דדידי חטפי במיגו</w:t>
      </w:r>
    </w:p>
    <w:p w:rsidR="00E824D3" w:rsidRPr="007E4E81" w:rsidRDefault="00E824D3" w:rsidP="00BA3263">
      <w:pPr>
        <w:pStyle w:val="a"/>
        <w:numPr>
          <w:ilvl w:val="0"/>
          <w:numId w:val="37"/>
        </w:numPr>
        <w:rPr>
          <w:rFonts w:eastAsiaTheme="minorEastAsia" w:cstheme="minorBidi"/>
          <w:sz w:val="22"/>
          <w:szCs w:val="22"/>
          <w:rtl/>
        </w:rPr>
      </w:pPr>
      <w:r>
        <w:rPr>
          <w:rtl/>
        </w:rPr>
        <w:t>קושית תוס' והראשונים אמאי אינו נאמן בשבועת דידי חטפי במיגו דהיה נשבע דלא חטפי</w:t>
      </w:r>
    </w:p>
    <w:p w:rsidR="00E824D3" w:rsidRDefault="00E824D3" w:rsidP="007E4E81">
      <w:pPr>
        <w:pStyle w:val="a"/>
        <w:rPr>
          <w:rFonts w:eastAsiaTheme="minorEastAsia" w:cstheme="minorBidi"/>
          <w:sz w:val="22"/>
          <w:szCs w:val="22"/>
          <w:rtl/>
        </w:rPr>
      </w:pPr>
      <w:r>
        <w:rPr>
          <w:rtl/>
        </w:rPr>
        <w:t>דברי התוס' והראשונים דמוכח לקמן דבפקדון נאמן בשבועה דהחזרתי במיגו דהיה נשבע דנאנסו</w:t>
      </w:r>
    </w:p>
    <w:p w:rsidR="00E824D3" w:rsidRDefault="00E824D3" w:rsidP="007E4E81">
      <w:pPr>
        <w:pStyle w:val="a"/>
        <w:rPr>
          <w:rFonts w:eastAsiaTheme="minorEastAsia" w:cstheme="minorBidi"/>
          <w:sz w:val="22"/>
          <w:szCs w:val="22"/>
          <w:rtl/>
        </w:rPr>
      </w:pPr>
      <w:r>
        <w:rPr>
          <w:rtl/>
        </w:rPr>
        <w:t>דברי הרמב"ן דהכא יש שבועה שראויה לו ול"ד לחמשין ידענא שא"י לישבע את מה שחייב</w:t>
      </w:r>
    </w:p>
    <w:p w:rsidR="00E824D3" w:rsidRDefault="00E824D3" w:rsidP="00E824D3">
      <w:pPr>
        <w:pStyle w:val="2"/>
        <w:rPr>
          <w:rFonts w:eastAsiaTheme="minorEastAsia" w:cstheme="minorBidi"/>
          <w:i/>
          <w:iCs/>
          <w:sz w:val="22"/>
          <w:szCs w:val="22"/>
          <w:rtl/>
        </w:rPr>
      </w:pPr>
      <w:r>
        <w:rPr>
          <w:rtl/>
        </w:rPr>
        <w:t>ד' ר"ת דבשבועה דאו' ל"מ שבועה דרבנן</w:t>
      </w:r>
    </w:p>
    <w:p w:rsidR="00E824D3" w:rsidRDefault="00E824D3" w:rsidP="00E824D3">
      <w:pPr>
        <w:pStyle w:val="aff4"/>
        <w:rPr>
          <w:rFonts w:eastAsiaTheme="minorEastAsia" w:cstheme="minorBidi"/>
          <w:i/>
          <w:iCs/>
          <w:noProof/>
          <w:sz w:val="22"/>
          <w:szCs w:val="22"/>
          <w:rtl/>
        </w:rPr>
      </w:pPr>
      <w:r>
        <w:rPr>
          <w:noProof/>
          <w:rtl/>
        </w:rPr>
        <w:t>תי' התוס' בד' ר"ת דל"מ מיגו משבועה דרבנן לשבועה דאו'</w:t>
      </w:r>
    </w:p>
    <w:p w:rsidR="00E824D3" w:rsidRDefault="00E824D3" w:rsidP="007E4E81">
      <w:pPr>
        <w:pStyle w:val="a"/>
        <w:rPr>
          <w:rFonts w:eastAsiaTheme="minorEastAsia" w:cstheme="minorBidi"/>
          <w:sz w:val="22"/>
          <w:szCs w:val="22"/>
          <w:rtl/>
        </w:rPr>
      </w:pPr>
      <w:r>
        <w:rPr>
          <w:rtl/>
        </w:rPr>
        <w:t>דברי התוס' דלר"ת אפש"ל דמיגו מהני רק כשבטענת המיגו חייב שבועה דרבנן ולא שבועה דאו'</w:t>
      </w:r>
    </w:p>
    <w:p w:rsidR="00E824D3" w:rsidRPr="000E75DF" w:rsidRDefault="00E824D3" w:rsidP="00E824D3">
      <w:pPr>
        <w:pStyle w:val="2"/>
        <w:rPr>
          <w:rFonts w:eastAsiaTheme="minorEastAsia" w:cstheme="minorBidi"/>
          <w:i/>
          <w:iCs/>
          <w:sz w:val="22"/>
          <w:szCs w:val="22"/>
          <w:rtl/>
        </w:rPr>
      </w:pPr>
      <w:r>
        <w:rPr>
          <w:rtl/>
        </w:rPr>
        <w:t>ד' הסוברים דמ</w:t>
      </w:r>
      <w:r w:rsidRPr="000E75DF">
        <w:rPr>
          <w:rtl/>
        </w:rPr>
        <w:t>יגו דלא חטפי הוא העזה</w:t>
      </w:r>
    </w:p>
    <w:p w:rsidR="00E824D3" w:rsidRPr="000E75DF" w:rsidRDefault="00E824D3" w:rsidP="00E824D3">
      <w:pPr>
        <w:pStyle w:val="aff4"/>
        <w:rPr>
          <w:rFonts w:eastAsiaTheme="minorEastAsia" w:cstheme="minorBidi"/>
          <w:i/>
          <w:iCs/>
          <w:noProof/>
          <w:sz w:val="22"/>
          <w:szCs w:val="22"/>
          <w:rtl/>
        </w:rPr>
      </w:pPr>
      <w:r w:rsidRPr="000E75DF">
        <w:rPr>
          <w:noProof/>
          <w:rtl/>
        </w:rPr>
        <w:t>תירוץ התוס' והרמב"ן דמיגו דהיה מכחיש את העד הוא העזה</w:t>
      </w:r>
    </w:p>
    <w:p w:rsidR="00E824D3" w:rsidRPr="000E75DF" w:rsidRDefault="00E824D3" w:rsidP="007E4E81">
      <w:pPr>
        <w:pStyle w:val="a"/>
        <w:rPr>
          <w:rFonts w:eastAsiaTheme="minorEastAsia" w:cstheme="minorBidi"/>
          <w:sz w:val="22"/>
          <w:szCs w:val="22"/>
          <w:rtl/>
        </w:rPr>
      </w:pPr>
      <w:r w:rsidRPr="000E75DF">
        <w:rPr>
          <w:rtl/>
        </w:rPr>
        <w:t>דברי התוס' בסוגיין והתוס' בשבועות והרמב"ן דבמיגו דהיה מכחיש את העד הוא מיגו דהעזה</w:t>
      </w:r>
    </w:p>
    <w:p w:rsidR="00E824D3" w:rsidRPr="000E75DF" w:rsidRDefault="00E824D3" w:rsidP="007E4E81">
      <w:pPr>
        <w:pStyle w:val="a"/>
        <w:rPr>
          <w:rFonts w:eastAsiaTheme="minorEastAsia" w:cstheme="minorBidi"/>
          <w:sz w:val="22"/>
          <w:szCs w:val="22"/>
          <w:rtl/>
        </w:rPr>
      </w:pPr>
      <w:r w:rsidRPr="000E75DF">
        <w:rPr>
          <w:rtl/>
        </w:rPr>
        <w:t>הוכחת התוס' בשבועות מרבא בר שרשום דאינו נאמן במיגו דהיה מעיז להכחיש קול</w:t>
      </w:r>
    </w:p>
    <w:p w:rsidR="00E824D3" w:rsidRPr="000E75DF" w:rsidRDefault="00E824D3" w:rsidP="00E824D3">
      <w:pPr>
        <w:pStyle w:val="aff4"/>
        <w:rPr>
          <w:rFonts w:eastAsiaTheme="minorEastAsia" w:cstheme="minorBidi"/>
          <w:i/>
          <w:iCs/>
          <w:noProof/>
          <w:sz w:val="22"/>
          <w:szCs w:val="22"/>
          <w:rtl/>
        </w:rPr>
      </w:pPr>
      <w:r w:rsidRPr="000E75DF">
        <w:rPr>
          <w:noProof/>
          <w:rtl/>
        </w:rPr>
        <w:t>תירוץ התוס' דירא להכחיש את העד שמא יפסל לעדות</w:t>
      </w:r>
    </w:p>
    <w:p w:rsidR="00E824D3" w:rsidRPr="000E75DF" w:rsidRDefault="00E824D3" w:rsidP="007E4E81">
      <w:pPr>
        <w:pStyle w:val="a"/>
        <w:rPr>
          <w:rFonts w:eastAsiaTheme="minorEastAsia" w:cstheme="minorBidi"/>
          <w:sz w:val="22"/>
          <w:szCs w:val="22"/>
          <w:rtl/>
        </w:rPr>
      </w:pPr>
      <w:r w:rsidRPr="000E75DF">
        <w:rPr>
          <w:rtl/>
        </w:rPr>
        <w:t>דברי התוס' דאפש"ל דאינו נאמן במיגו דלא חטפי כיון שירא ליפסל לעדות ע"י הבע"ד והע"א</w:t>
      </w:r>
    </w:p>
    <w:p w:rsidR="00E824D3" w:rsidRPr="000E75DF" w:rsidRDefault="00E824D3" w:rsidP="00E824D3">
      <w:pPr>
        <w:pStyle w:val="aff4"/>
        <w:rPr>
          <w:rFonts w:eastAsiaTheme="minorEastAsia" w:cstheme="minorBidi"/>
          <w:i/>
          <w:iCs/>
          <w:noProof/>
          <w:sz w:val="22"/>
          <w:szCs w:val="22"/>
          <w:rtl/>
        </w:rPr>
      </w:pPr>
      <w:r w:rsidRPr="000E75DF">
        <w:rPr>
          <w:noProof/>
          <w:rtl/>
        </w:rPr>
        <w:t>דחיית התוס' דמוכח דמהני מיגו דאי לא חייב שבועה היה פטור</w:t>
      </w:r>
    </w:p>
    <w:p w:rsidR="00E824D3" w:rsidRPr="000E75DF" w:rsidRDefault="00E824D3" w:rsidP="007E4E81">
      <w:pPr>
        <w:pStyle w:val="a"/>
        <w:rPr>
          <w:rFonts w:eastAsiaTheme="minorEastAsia" w:cstheme="minorBidi"/>
          <w:sz w:val="22"/>
          <w:szCs w:val="22"/>
          <w:rtl/>
        </w:rPr>
      </w:pPr>
      <w:r w:rsidRPr="000E75DF">
        <w:rPr>
          <w:rtl/>
        </w:rPr>
        <w:t>דחיית התוס' דא"א לומר דאינו נאמן במיגו דבלא חיוב שבועה מוכח דנאמן במיגו דלא חטפי</w:t>
      </w:r>
    </w:p>
    <w:p w:rsidR="00E824D3" w:rsidRPr="000E75DF" w:rsidRDefault="00E824D3" w:rsidP="007E4E81">
      <w:pPr>
        <w:pStyle w:val="a"/>
        <w:rPr>
          <w:rFonts w:eastAsiaTheme="minorEastAsia" w:cstheme="minorBidi"/>
          <w:sz w:val="22"/>
          <w:szCs w:val="22"/>
          <w:rtl/>
        </w:rPr>
      </w:pPr>
      <w:r w:rsidRPr="000E75DF">
        <w:rPr>
          <w:rtl/>
        </w:rPr>
        <w:t>קושית התוס' הרא"ש בשבועות דאי אין לו מיגו הוא חייב מחמת שהודה אף בלא דין משאיל"מ</w:t>
      </w:r>
    </w:p>
    <w:p w:rsidR="00E824D3" w:rsidRPr="000E75DF" w:rsidRDefault="00E824D3" w:rsidP="00E824D3">
      <w:pPr>
        <w:pStyle w:val="aff4"/>
        <w:rPr>
          <w:rFonts w:eastAsiaTheme="minorEastAsia" w:cstheme="minorBidi"/>
          <w:i/>
          <w:iCs/>
          <w:noProof/>
          <w:sz w:val="22"/>
          <w:szCs w:val="22"/>
          <w:rtl/>
        </w:rPr>
      </w:pPr>
      <w:r w:rsidRPr="000E75DF">
        <w:rPr>
          <w:noProof/>
          <w:rtl/>
        </w:rPr>
        <w:t>ביאור ר"י דכיון שהע"א מחייבו שבועה הוא מיגו דהעזה</w:t>
      </w:r>
    </w:p>
    <w:p w:rsidR="00E824D3" w:rsidRPr="000E75DF" w:rsidRDefault="00E824D3" w:rsidP="007E4E81">
      <w:pPr>
        <w:pStyle w:val="a"/>
        <w:rPr>
          <w:rFonts w:eastAsiaTheme="minorEastAsia" w:cstheme="minorBidi"/>
          <w:sz w:val="22"/>
          <w:szCs w:val="22"/>
          <w:rtl/>
        </w:rPr>
      </w:pPr>
      <w:r w:rsidRPr="000E75DF">
        <w:rPr>
          <w:rtl/>
        </w:rPr>
        <w:t>תירוץ ר"י דרק כיון שהע"א מחייבו שבועה אינו מעיז להכחישו ולכן ל"מ המיגו דלא חטפי</w:t>
      </w:r>
    </w:p>
    <w:p w:rsidR="00E824D3" w:rsidRPr="000E75DF" w:rsidRDefault="00E824D3" w:rsidP="007E4E81">
      <w:pPr>
        <w:pStyle w:val="a"/>
        <w:rPr>
          <w:rFonts w:eastAsiaTheme="minorEastAsia" w:cstheme="minorBidi"/>
          <w:sz w:val="22"/>
          <w:szCs w:val="22"/>
          <w:rtl/>
        </w:rPr>
      </w:pPr>
      <w:r w:rsidRPr="000E75DF">
        <w:rPr>
          <w:rtl/>
        </w:rPr>
        <w:t>תירוץ התוס' בשבועות דרק כיון שהוא מחויב שבועה אינו מעיז להכחיש את הע"א ול"מ מיגו</w:t>
      </w:r>
    </w:p>
    <w:p w:rsidR="00E824D3" w:rsidRPr="000E75DF" w:rsidRDefault="00E824D3" w:rsidP="00E824D3">
      <w:pPr>
        <w:pStyle w:val="aff4"/>
        <w:rPr>
          <w:rFonts w:eastAsiaTheme="minorEastAsia" w:cstheme="minorBidi"/>
          <w:i/>
          <w:iCs/>
          <w:noProof/>
          <w:sz w:val="22"/>
          <w:szCs w:val="22"/>
          <w:rtl/>
        </w:rPr>
      </w:pPr>
      <w:r w:rsidRPr="000E75DF">
        <w:rPr>
          <w:noProof/>
          <w:rtl/>
        </w:rPr>
        <w:t>בי' המהרש"א בתוס' בשבועות דמשמע דלא נאמן דמשאיל"מ</w:t>
      </w:r>
    </w:p>
    <w:p w:rsidR="00E824D3" w:rsidRPr="000E75DF" w:rsidRDefault="00E824D3" w:rsidP="007E4E81">
      <w:pPr>
        <w:pStyle w:val="a"/>
        <w:rPr>
          <w:rFonts w:eastAsiaTheme="minorEastAsia" w:cstheme="minorBidi"/>
          <w:sz w:val="22"/>
          <w:szCs w:val="22"/>
          <w:rtl/>
        </w:rPr>
      </w:pPr>
      <w:r w:rsidRPr="000E75DF">
        <w:rPr>
          <w:rtl/>
        </w:rPr>
        <w:t>קושית המהריב"ל על התוס' בשבועות דכיון שיש ע"א ואין לו מיגו חייב אף בלי דין משאיל"מ</w:t>
      </w:r>
    </w:p>
    <w:p w:rsidR="00E824D3" w:rsidRPr="000E75DF" w:rsidRDefault="00E824D3" w:rsidP="007E4E81">
      <w:pPr>
        <w:pStyle w:val="a"/>
        <w:rPr>
          <w:rFonts w:eastAsiaTheme="minorEastAsia" w:cstheme="minorBidi"/>
          <w:sz w:val="22"/>
          <w:szCs w:val="22"/>
          <w:rtl/>
        </w:rPr>
      </w:pPr>
      <w:r w:rsidRPr="000E75DF">
        <w:rPr>
          <w:rtl/>
        </w:rPr>
        <w:t>תי' המהרש"א דהוקשה לתוס' דמשמע בגמ' דטעם החיוב הוא מדין משאיל"מ ולא כיון שהודה</w:t>
      </w:r>
    </w:p>
    <w:p w:rsidR="00E824D3" w:rsidRDefault="00E824D3" w:rsidP="007E4E81">
      <w:pPr>
        <w:pStyle w:val="a"/>
        <w:rPr>
          <w:rFonts w:eastAsiaTheme="minorEastAsia" w:cstheme="minorBidi"/>
          <w:sz w:val="22"/>
          <w:szCs w:val="22"/>
          <w:rtl/>
        </w:rPr>
      </w:pPr>
      <w:r w:rsidRPr="000E75DF">
        <w:rPr>
          <w:rtl/>
        </w:rPr>
        <w:t>ביאור המהרש"א בתוס' דהחיוב הוא מדין משא</w:t>
      </w:r>
      <w:r>
        <w:rPr>
          <w:rtl/>
        </w:rPr>
        <w:t>יל"מ דבלא"ה היה נאמן במיגו להכחיש העד</w:t>
      </w:r>
    </w:p>
    <w:p w:rsidR="00E824D3" w:rsidRDefault="00E824D3" w:rsidP="00E824D3">
      <w:pPr>
        <w:pStyle w:val="aff4"/>
        <w:rPr>
          <w:rFonts w:eastAsiaTheme="minorEastAsia" w:cstheme="minorBidi"/>
          <w:i/>
          <w:iCs/>
          <w:noProof/>
          <w:sz w:val="22"/>
          <w:szCs w:val="22"/>
          <w:rtl/>
        </w:rPr>
      </w:pPr>
      <w:r>
        <w:rPr>
          <w:noProof/>
          <w:rtl/>
        </w:rPr>
        <w:t>פלוג' הכנה"ג והתומים בדעת התוס' בסוגיין ובשבועות והרמב"ן</w:t>
      </w:r>
    </w:p>
    <w:p w:rsidR="00E824D3" w:rsidRDefault="00E824D3" w:rsidP="007E4E81">
      <w:pPr>
        <w:pStyle w:val="a"/>
        <w:rPr>
          <w:rFonts w:eastAsiaTheme="minorEastAsia" w:cstheme="minorBidi"/>
          <w:sz w:val="22"/>
          <w:szCs w:val="22"/>
          <w:rtl/>
        </w:rPr>
      </w:pPr>
      <w:r>
        <w:rPr>
          <w:rtl/>
        </w:rPr>
        <w:t>ביאור הכנה"ג בר"י ובתוס' בשבועות דההעזה להכחיש את העד הוא רק כיון שחייב שבועה</w:t>
      </w:r>
    </w:p>
    <w:p w:rsidR="00E824D3" w:rsidRDefault="00E824D3" w:rsidP="007E4E81">
      <w:pPr>
        <w:pStyle w:val="a"/>
        <w:rPr>
          <w:rFonts w:eastAsiaTheme="minorEastAsia" w:cstheme="minorBidi"/>
          <w:sz w:val="22"/>
          <w:szCs w:val="22"/>
          <w:rtl/>
        </w:rPr>
      </w:pPr>
      <w:r>
        <w:rPr>
          <w:rtl/>
        </w:rPr>
        <w:t>דברי הכנה"ג דלרמב"ן ההעזה היא כיון דלא חציף כנגד העד אף כשאינו מחייבו שבועה</w:t>
      </w:r>
    </w:p>
    <w:p w:rsidR="00E824D3" w:rsidRDefault="00E824D3" w:rsidP="007E4E81">
      <w:pPr>
        <w:pStyle w:val="a"/>
        <w:rPr>
          <w:rFonts w:eastAsiaTheme="minorEastAsia" w:cstheme="minorBidi"/>
          <w:sz w:val="22"/>
          <w:szCs w:val="22"/>
          <w:rtl/>
        </w:rPr>
      </w:pPr>
      <w:r>
        <w:rPr>
          <w:rtl/>
        </w:rPr>
        <w:t>דברי התומים דאף לרמב"ן ההעזה היא רק כשהעד מחייבו שבועה ובלא"ה אינו מיגו דהעזה</w:t>
      </w:r>
    </w:p>
    <w:p w:rsidR="00E824D3" w:rsidRDefault="00E824D3" w:rsidP="007E4E81">
      <w:pPr>
        <w:pStyle w:val="a"/>
        <w:rPr>
          <w:rFonts w:eastAsiaTheme="minorEastAsia" w:cstheme="minorBidi"/>
          <w:sz w:val="22"/>
          <w:szCs w:val="22"/>
          <w:rtl/>
        </w:rPr>
      </w:pPr>
      <w:r>
        <w:rPr>
          <w:rtl/>
        </w:rPr>
        <w:t>דברי התומים דבתוס' בשבועות ההעזה רק כשחייב שבועה אך לתוס' בסוגיין ההעזה בלי שבועה</w:t>
      </w:r>
    </w:p>
    <w:p w:rsidR="00E824D3" w:rsidRDefault="00E824D3" w:rsidP="00E824D3">
      <w:pPr>
        <w:pStyle w:val="2"/>
        <w:rPr>
          <w:rFonts w:eastAsiaTheme="minorEastAsia" w:cstheme="minorBidi"/>
          <w:i/>
          <w:iCs/>
          <w:sz w:val="22"/>
          <w:szCs w:val="22"/>
          <w:rtl/>
        </w:rPr>
      </w:pPr>
      <w:r>
        <w:rPr>
          <w:rtl/>
        </w:rPr>
        <w:t>בפלוגתת ר"א ורב ושמואל לדעת ר"י</w:t>
      </w:r>
    </w:p>
    <w:p w:rsidR="00E824D3" w:rsidRDefault="00E824D3" w:rsidP="00E824D3">
      <w:pPr>
        <w:pStyle w:val="aff4"/>
        <w:rPr>
          <w:rFonts w:eastAsiaTheme="minorEastAsia" w:cstheme="minorBidi"/>
          <w:i/>
          <w:iCs/>
          <w:noProof/>
          <w:sz w:val="22"/>
          <w:szCs w:val="22"/>
          <w:rtl/>
        </w:rPr>
      </w:pPr>
      <w:r>
        <w:rPr>
          <w:noProof/>
          <w:rtl/>
        </w:rPr>
        <w:t>דחיית התוס' לתי' ר"י דאי ל"מ מיגו אמאי נאמן לרב ושמואל</w:t>
      </w:r>
    </w:p>
    <w:p w:rsidR="00E824D3" w:rsidRDefault="00E824D3" w:rsidP="007E4E81">
      <w:pPr>
        <w:pStyle w:val="a"/>
        <w:rPr>
          <w:rFonts w:eastAsiaTheme="minorEastAsia" w:cstheme="minorBidi"/>
          <w:sz w:val="22"/>
          <w:szCs w:val="22"/>
          <w:rtl/>
        </w:rPr>
      </w:pPr>
      <w:r>
        <w:rPr>
          <w:rtl/>
        </w:rPr>
        <w:t>דחיית התוס' לתירוץ ר"י דאי מיגו דלא חטפי הוא העזה אמאי לרב ושמואל פטור מלשלם</w:t>
      </w:r>
    </w:p>
    <w:p w:rsidR="00E824D3" w:rsidRDefault="00E824D3" w:rsidP="00E824D3">
      <w:pPr>
        <w:pStyle w:val="aff4"/>
        <w:rPr>
          <w:rFonts w:eastAsiaTheme="minorEastAsia" w:cstheme="minorBidi"/>
          <w:i/>
          <w:iCs/>
          <w:noProof/>
          <w:sz w:val="22"/>
          <w:szCs w:val="22"/>
          <w:rtl/>
        </w:rPr>
      </w:pPr>
      <w:r>
        <w:rPr>
          <w:noProof/>
          <w:rtl/>
        </w:rPr>
        <w:t>תי' הש"ך דלרב ושמואל נאמן בלי מיגו דלא חייב מדאו' לשלם</w:t>
      </w:r>
    </w:p>
    <w:p w:rsidR="00E824D3" w:rsidRDefault="00E824D3" w:rsidP="007E4E81">
      <w:pPr>
        <w:pStyle w:val="a"/>
        <w:rPr>
          <w:rFonts w:eastAsiaTheme="minorEastAsia" w:cstheme="minorBidi"/>
          <w:sz w:val="22"/>
          <w:szCs w:val="22"/>
          <w:rtl/>
        </w:rPr>
      </w:pPr>
      <w:r>
        <w:rPr>
          <w:rtl/>
        </w:rPr>
        <w:t>בי' הש"ך בר"י דלרב ושמואל אף דל"מ מיגו כל שאינו מכחיש את הע"א לא חייב מדאו' לשלם</w:t>
      </w:r>
    </w:p>
    <w:p w:rsidR="00E824D3" w:rsidRDefault="00E824D3" w:rsidP="007E4E81">
      <w:pPr>
        <w:pStyle w:val="a"/>
        <w:rPr>
          <w:rFonts w:eastAsiaTheme="minorEastAsia" w:cstheme="minorBidi"/>
          <w:sz w:val="22"/>
          <w:szCs w:val="22"/>
          <w:rtl/>
        </w:rPr>
      </w:pPr>
      <w:r>
        <w:rPr>
          <w:rtl/>
        </w:rPr>
        <w:t>קושיות התומים והאמרי ברוך על הש"ך דאי אינו נאמן במיגו ודאי דלא נאמן בטענת דידי חטפי</w:t>
      </w:r>
    </w:p>
    <w:p w:rsidR="00E824D3" w:rsidRDefault="00E824D3" w:rsidP="007E4E81">
      <w:pPr>
        <w:pStyle w:val="a"/>
        <w:rPr>
          <w:rFonts w:eastAsiaTheme="minorEastAsia" w:cstheme="minorBidi"/>
          <w:sz w:val="22"/>
          <w:szCs w:val="22"/>
          <w:rtl/>
        </w:rPr>
      </w:pPr>
      <w:r>
        <w:rPr>
          <w:rtl/>
        </w:rPr>
        <w:t>תירוץ התומים דהא דצריך מיגו בדידי חטפי הוא מחמת החזקה דתח"י וכשמכחיש עד לא מעיז</w:t>
      </w:r>
    </w:p>
    <w:p w:rsidR="00E824D3" w:rsidRDefault="00E824D3" w:rsidP="00E824D3">
      <w:pPr>
        <w:pStyle w:val="aff4"/>
        <w:rPr>
          <w:rFonts w:eastAsiaTheme="minorEastAsia" w:cstheme="minorBidi"/>
          <w:i/>
          <w:iCs/>
          <w:noProof/>
          <w:sz w:val="22"/>
          <w:szCs w:val="22"/>
          <w:rtl/>
        </w:rPr>
      </w:pPr>
      <w:r>
        <w:rPr>
          <w:noProof/>
          <w:rtl/>
        </w:rPr>
        <w:t>תירוץ התומים דלרב ושמואל נאמן במיגו דשכחתי אם חטפתי</w:t>
      </w:r>
    </w:p>
    <w:p w:rsidR="00E824D3" w:rsidRDefault="00E824D3" w:rsidP="007E4E81">
      <w:pPr>
        <w:pStyle w:val="a"/>
        <w:rPr>
          <w:rFonts w:eastAsiaTheme="minorEastAsia" w:cstheme="minorBidi"/>
          <w:sz w:val="22"/>
          <w:szCs w:val="22"/>
          <w:rtl/>
        </w:rPr>
      </w:pPr>
      <w:r>
        <w:rPr>
          <w:rtl/>
        </w:rPr>
        <w:t>ביאור התומים בר"י דלר"א דאמרינן משאיל"מ אף אם היה טוען שכחתי אם חטפתי חייב לשלם</w:t>
      </w:r>
    </w:p>
    <w:p w:rsidR="00E824D3" w:rsidRDefault="00E824D3" w:rsidP="007E4E81">
      <w:pPr>
        <w:pStyle w:val="a"/>
        <w:rPr>
          <w:rFonts w:eastAsiaTheme="minorEastAsia" w:cstheme="minorBidi"/>
          <w:sz w:val="22"/>
          <w:szCs w:val="22"/>
          <w:rtl/>
        </w:rPr>
      </w:pPr>
      <w:r>
        <w:rPr>
          <w:rtl/>
        </w:rPr>
        <w:t>תירוץ התומים בר"י דלרב ושמואל נאמן במיגו דשכחתי אם חטפתי דל"א משאיל"מ והיה פטור</w:t>
      </w:r>
    </w:p>
    <w:p w:rsidR="00E824D3" w:rsidRDefault="00E824D3" w:rsidP="00E824D3">
      <w:pPr>
        <w:pStyle w:val="aff4"/>
        <w:rPr>
          <w:rFonts w:eastAsiaTheme="minorEastAsia" w:cstheme="minorBidi"/>
          <w:i/>
          <w:iCs/>
          <w:noProof/>
          <w:sz w:val="22"/>
          <w:szCs w:val="22"/>
          <w:rtl/>
        </w:rPr>
      </w:pPr>
      <w:r>
        <w:rPr>
          <w:noProof/>
          <w:rtl/>
        </w:rPr>
        <w:t>ביאור התרוה"כ בש"ך דנח' ר"א ורב ושמואל בגדר שבועת ע"א</w:t>
      </w:r>
    </w:p>
    <w:p w:rsidR="00E824D3" w:rsidRDefault="00E824D3" w:rsidP="007E4E81">
      <w:pPr>
        <w:pStyle w:val="a"/>
        <w:rPr>
          <w:rFonts w:eastAsiaTheme="minorEastAsia" w:cstheme="minorBidi"/>
          <w:sz w:val="22"/>
          <w:szCs w:val="22"/>
          <w:rtl/>
        </w:rPr>
      </w:pPr>
      <w:r>
        <w:rPr>
          <w:rtl/>
        </w:rPr>
        <w:t>בי' התרוה"כ דלר"א ע"א ראוי לחייב כשנים והקילה תורה בשבועה ולכן אמרינן משאיל"מ</w:t>
      </w:r>
    </w:p>
    <w:p w:rsidR="00E824D3" w:rsidRDefault="00E824D3" w:rsidP="007E4E81">
      <w:pPr>
        <w:pStyle w:val="a"/>
        <w:rPr>
          <w:rFonts w:eastAsiaTheme="minorEastAsia" w:cstheme="minorBidi"/>
          <w:sz w:val="22"/>
          <w:szCs w:val="22"/>
          <w:rtl/>
        </w:rPr>
      </w:pPr>
      <w:r>
        <w:rPr>
          <w:rtl/>
        </w:rPr>
        <w:t>ביאור התרוה"כ דלרב ושמואל דע"א לא ראוי לחייב כלל והשבועה הוא חומרא ול"א משאיל"מ</w:t>
      </w:r>
    </w:p>
    <w:p w:rsidR="00E824D3" w:rsidRDefault="00E824D3" w:rsidP="007E4E81">
      <w:pPr>
        <w:pStyle w:val="a"/>
        <w:rPr>
          <w:rFonts w:eastAsiaTheme="minorEastAsia" w:cstheme="minorBidi"/>
          <w:sz w:val="22"/>
          <w:szCs w:val="22"/>
          <w:rtl/>
        </w:rPr>
      </w:pPr>
      <w:r>
        <w:rPr>
          <w:rtl/>
        </w:rPr>
        <w:t>ביאור התרוה"כ דכשאין עדים וטוען דידי חטפי מדינא נאמן בלי מיגו דאין כל ריעתא בחזקתו</w:t>
      </w:r>
    </w:p>
    <w:p w:rsidR="00E824D3" w:rsidRDefault="00E824D3" w:rsidP="007E4E81">
      <w:pPr>
        <w:pStyle w:val="a"/>
        <w:rPr>
          <w:rFonts w:eastAsiaTheme="minorEastAsia" w:cstheme="minorBidi"/>
          <w:sz w:val="22"/>
          <w:szCs w:val="22"/>
          <w:rtl/>
        </w:rPr>
      </w:pPr>
      <w:r>
        <w:rPr>
          <w:rtl/>
        </w:rPr>
        <w:t>בי' התרוה"כ דלרב ושמואל השבועה חומרא ואין ריעותא וההודאה כמאן דליתא וא"צ מיגו</w:t>
      </w:r>
    </w:p>
    <w:p w:rsidR="00E824D3" w:rsidRDefault="00E824D3" w:rsidP="007E4E81">
      <w:pPr>
        <w:pStyle w:val="a"/>
        <w:rPr>
          <w:rFonts w:eastAsiaTheme="minorEastAsia" w:cstheme="minorBidi"/>
          <w:sz w:val="22"/>
          <w:szCs w:val="22"/>
          <w:rtl/>
        </w:rPr>
      </w:pPr>
      <w:r>
        <w:rPr>
          <w:rtl/>
        </w:rPr>
        <w:t>בי' התרוה"כ בר"א דמדינא ראוי לחייבו ובא"י לישבע הודאתו היא ריעותא וצריך מיגו להפטר</w:t>
      </w:r>
    </w:p>
    <w:p w:rsidR="00E824D3" w:rsidRDefault="00E824D3" w:rsidP="00E824D3">
      <w:pPr>
        <w:pStyle w:val="2"/>
        <w:rPr>
          <w:rFonts w:eastAsiaTheme="minorEastAsia" w:cstheme="minorBidi"/>
          <w:i/>
          <w:iCs/>
          <w:sz w:val="22"/>
          <w:szCs w:val="22"/>
          <w:rtl/>
        </w:rPr>
      </w:pPr>
      <w:r>
        <w:rPr>
          <w:rtl/>
        </w:rPr>
        <w:t>תירוצים נוספים דל"מ מיגו דלא חטפי</w:t>
      </w:r>
    </w:p>
    <w:p w:rsidR="00E824D3" w:rsidRDefault="00E824D3" w:rsidP="00E824D3">
      <w:pPr>
        <w:pStyle w:val="aff4"/>
        <w:rPr>
          <w:rFonts w:eastAsiaTheme="minorEastAsia" w:cstheme="minorBidi"/>
          <w:i/>
          <w:iCs/>
          <w:noProof/>
          <w:sz w:val="22"/>
          <w:szCs w:val="22"/>
          <w:rtl/>
        </w:rPr>
      </w:pPr>
      <w:r>
        <w:rPr>
          <w:noProof/>
          <w:rtl/>
        </w:rPr>
        <w:t>תירוץ הרשב"א דמיגו ליפטר מע"א ל"מ כמו מיגו במק"ע</w:t>
      </w:r>
    </w:p>
    <w:p w:rsidR="00E824D3" w:rsidRDefault="00E824D3" w:rsidP="007E4E81">
      <w:pPr>
        <w:pStyle w:val="a"/>
        <w:rPr>
          <w:rFonts w:eastAsiaTheme="minorEastAsia" w:cstheme="minorBidi"/>
          <w:sz w:val="22"/>
          <w:szCs w:val="22"/>
          <w:rtl/>
        </w:rPr>
      </w:pPr>
      <w:r>
        <w:rPr>
          <w:rtl/>
        </w:rPr>
        <w:t>תירוץ הרשב"א דמיגו דלא חטפי ליפטר משבועה הוא כמיגו במק"ע לממון דחשיב הכחשה לעד</w:t>
      </w:r>
    </w:p>
    <w:p w:rsidR="00E824D3" w:rsidRDefault="00E824D3" w:rsidP="00E824D3">
      <w:pPr>
        <w:pStyle w:val="aff4"/>
        <w:rPr>
          <w:rFonts w:eastAsiaTheme="minorEastAsia" w:cstheme="minorBidi"/>
          <w:i/>
          <w:iCs/>
          <w:noProof/>
          <w:sz w:val="22"/>
          <w:szCs w:val="22"/>
          <w:rtl/>
        </w:rPr>
      </w:pPr>
      <w:r>
        <w:rPr>
          <w:noProof/>
          <w:rtl/>
        </w:rPr>
        <w:t>תירוצי הרי"ד דמיגו כמערים ודאיירי בכפר תחילה ואח"כ הודה</w:t>
      </w:r>
    </w:p>
    <w:p w:rsidR="00E824D3" w:rsidRDefault="00E824D3" w:rsidP="007E4E81">
      <w:pPr>
        <w:pStyle w:val="a"/>
        <w:rPr>
          <w:rFonts w:eastAsiaTheme="minorEastAsia" w:cstheme="minorBidi"/>
          <w:sz w:val="22"/>
          <w:szCs w:val="22"/>
          <w:rtl/>
        </w:rPr>
      </w:pPr>
      <w:r>
        <w:rPr>
          <w:rtl/>
        </w:rPr>
        <w:t>תי' הרי"ד דמיגו דלא חטפי נראה כמערים שמודה דחטף בכדי להפטר משבועה להכחיש ע"א</w:t>
      </w:r>
    </w:p>
    <w:p w:rsidR="00E824D3" w:rsidRDefault="00E824D3" w:rsidP="007E4E81">
      <w:pPr>
        <w:pStyle w:val="a"/>
        <w:rPr>
          <w:rFonts w:eastAsiaTheme="minorEastAsia" w:cstheme="minorBidi"/>
          <w:sz w:val="22"/>
          <w:szCs w:val="22"/>
          <w:rtl/>
        </w:rPr>
      </w:pPr>
      <w:r>
        <w:rPr>
          <w:rtl/>
        </w:rPr>
        <w:t>דברי הרי"ד בשבועות דאיירי שכפר בתחילה ואח"כ הודה אבל בהודה בתחילה נאמן במיגו</w:t>
      </w:r>
    </w:p>
    <w:p w:rsidR="00E824D3" w:rsidRDefault="00E824D3" w:rsidP="00E824D3">
      <w:pPr>
        <w:pStyle w:val="aff4"/>
        <w:rPr>
          <w:rFonts w:eastAsiaTheme="minorEastAsia" w:cstheme="minorBidi"/>
          <w:i/>
          <w:iCs/>
          <w:noProof/>
          <w:sz w:val="22"/>
          <w:szCs w:val="22"/>
          <w:rtl/>
        </w:rPr>
      </w:pPr>
      <w:r>
        <w:rPr>
          <w:noProof/>
          <w:rtl/>
        </w:rPr>
        <w:t>תירוץ הקצוה"ח דכלפי הע"א שראה את החטיפה ל"מ המיגו</w:t>
      </w:r>
    </w:p>
    <w:p w:rsidR="00E824D3" w:rsidRDefault="00E824D3" w:rsidP="007E4E81">
      <w:pPr>
        <w:pStyle w:val="a"/>
        <w:rPr>
          <w:rFonts w:eastAsiaTheme="minorEastAsia" w:cstheme="minorBidi"/>
          <w:sz w:val="22"/>
          <w:szCs w:val="22"/>
          <w:rtl/>
        </w:rPr>
      </w:pPr>
      <w:r>
        <w:rPr>
          <w:rtl/>
        </w:rPr>
        <w:t>דברי הקצוה"ח דהמיגו מהני רק למי שלא ראה שחטף והרואה שחטף וקנה מהחוטף חייב להחזיר</w:t>
      </w:r>
    </w:p>
    <w:p w:rsidR="00E824D3" w:rsidRDefault="00E824D3" w:rsidP="007E4E81">
      <w:pPr>
        <w:pStyle w:val="a"/>
        <w:rPr>
          <w:rFonts w:eastAsiaTheme="minorEastAsia" w:cstheme="minorBidi"/>
          <w:sz w:val="22"/>
          <w:szCs w:val="22"/>
          <w:rtl/>
        </w:rPr>
      </w:pPr>
      <w:r>
        <w:rPr>
          <w:rtl/>
        </w:rPr>
        <w:t>תי' הקצוה"ח דלגבי הע"א החוטף כגזלן ולכן כלפי הע"א אין כל מיגו והוא חשיב כשנים</w:t>
      </w:r>
    </w:p>
    <w:p w:rsidR="00E824D3" w:rsidRDefault="00E824D3" w:rsidP="00E824D3">
      <w:pPr>
        <w:pStyle w:val="2"/>
        <w:rPr>
          <w:rFonts w:eastAsiaTheme="minorEastAsia" w:cstheme="minorBidi"/>
          <w:i/>
          <w:iCs/>
          <w:sz w:val="22"/>
          <w:szCs w:val="22"/>
          <w:rtl/>
        </w:rPr>
      </w:pPr>
      <w:r>
        <w:rPr>
          <w:rtl/>
        </w:rPr>
        <w:t>ד' ריב"ם דבשבועה דאו' לא נפטר במיגו</w:t>
      </w:r>
    </w:p>
    <w:p w:rsidR="00E824D3" w:rsidRDefault="00E824D3" w:rsidP="00E824D3">
      <w:pPr>
        <w:pStyle w:val="aff4"/>
        <w:rPr>
          <w:rFonts w:eastAsiaTheme="minorEastAsia" w:cstheme="minorBidi"/>
          <w:i/>
          <w:iCs/>
          <w:noProof/>
          <w:sz w:val="22"/>
          <w:szCs w:val="22"/>
          <w:rtl/>
        </w:rPr>
      </w:pPr>
      <w:r>
        <w:rPr>
          <w:noProof/>
          <w:rtl/>
        </w:rPr>
        <w:t>תי' ריב"ם דלר"א כל שלא נשבע להחכישו ל"מ מיגו במקום ע"א</w:t>
      </w:r>
    </w:p>
    <w:p w:rsidR="00E824D3" w:rsidRDefault="00E824D3" w:rsidP="007E4E81">
      <w:pPr>
        <w:pStyle w:val="a"/>
        <w:rPr>
          <w:rFonts w:eastAsiaTheme="minorEastAsia" w:cstheme="minorBidi"/>
          <w:sz w:val="22"/>
          <w:szCs w:val="22"/>
          <w:rtl/>
        </w:rPr>
      </w:pPr>
      <w:r>
        <w:rPr>
          <w:rtl/>
        </w:rPr>
        <w:t>ביאור הריב"ם דלרב ושמואל נאמן במיגו דלא חחטפי ולכן ל"א מתוך שאינו יכול לישבע משלם</w:t>
      </w:r>
    </w:p>
    <w:p w:rsidR="00E824D3" w:rsidRDefault="00E824D3" w:rsidP="007E4E81">
      <w:pPr>
        <w:pStyle w:val="a"/>
        <w:rPr>
          <w:rFonts w:eastAsiaTheme="minorEastAsia" w:cstheme="minorBidi"/>
          <w:sz w:val="22"/>
          <w:szCs w:val="22"/>
          <w:rtl/>
        </w:rPr>
      </w:pPr>
      <w:r>
        <w:rPr>
          <w:rtl/>
        </w:rPr>
        <w:t>תי' הריב"ם דלר"א כל שע"א מחייבו שבועה חייב להשבע להכחישו או לשלם ול"מ מיגו להפטר</w:t>
      </w:r>
    </w:p>
    <w:p w:rsidR="00E824D3" w:rsidRDefault="00E824D3" w:rsidP="007E4E81">
      <w:pPr>
        <w:pStyle w:val="a"/>
        <w:rPr>
          <w:rFonts w:eastAsiaTheme="minorEastAsia" w:cstheme="minorBidi"/>
          <w:sz w:val="22"/>
          <w:szCs w:val="22"/>
          <w:rtl/>
        </w:rPr>
      </w:pPr>
      <w:r>
        <w:rPr>
          <w:rtl/>
        </w:rPr>
        <w:t>ביאור הרשב"א בריב"ם דשבועה היא תשלומין כבממון בעדים ובע"א נפטר מלשלם ע"י שבועה</w:t>
      </w:r>
    </w:p>
    <w:p w:rsidR="00E824D3" w:rsidRDefault="00E824D3" w:rsidP="00E824D3">
      <w:pPr>
        <w:pStyle w:val="aff4"/>
        <w:rPr>
          <w:rFonts w:eastAsiaTheme="minorEastAsia" w:cstheme="minorBidi"/>
          <w:i/>
          <w:iCs/>
          <w:noProof/>
          <w:sz w:val="22"/>
          <w:szCs w:val="22"/>
          <w:rtl/>
        </w:rPr>
      </w:pPr>
      <w:r>
        <w:rPr>
          <w:noProof/>
          <w:rtl/>
        </w:rPr>
        <w:t>תירוץ הרמב"ן דכל שלא נשבע להכחישו הע"א הוא כשנים</w:t>
      </w:r>
    </w:p>
    <w:p w:rsidR="00E824D3" w:rsidRDefault="00E824D3" w:rsidP="007E4E81">
      <w:pPr>
        <w:pStyle w:val="a"/>
        <w:rPr>
          <w:rFonts w:eastAsiaTheme="minorEastAsia" w:cstheme="minorBidi"/>
          <w:sz w:val="22"/>
          <w:szCs w:val="22"/>
          <w:rtl/>
        </w:rPr>
      </w:pPr>
      <w:r>
        <w:rPr>
          <w:rtl/>
        </w:rPr>
        <w:t>תי' הרמב"ן דכ"ז שלא נשבע להכחישו הע"א נאמן כשנים וחשיב שחטף בפנינו ול"מ מיגו</w:t>
      </w:r>
    </w:p>
    <w:p w:rsidR="00E824D3" w:rsidRDefault="00E824D3" w:rsidP="00E824D3">
      <w:pPr>
        <w:pStyle w:val="aff4"/>
        <w:rPr>
          <w:rFonts w:eastAsiaTheme="minorEastAsia" w:cstheme="minorBidi"/>
          <w:i/>
          <w:iCs/>
          <w:noProof/>
          <w:sz w:val="22"/>
          <w:szCs w:val="22"/>
          <w:rtl/>
        </w:rPr>
      </w:pPr>
      <w:r>
        <w:rPr>
          <w:noProof/>
          <w:rtl/>
        </w:rPr>
        <w:t>תי' רבינו יונה דכ"ז שלא נשבע הע"א חשיב כשנים ול"מ מיגו</w:t>
      </w:r>
    </w:p>
    <w:p w:rsidR="00E824D3" w:rsidRDefault="00E824D3" w:rsidP="007E4E81">
      <w:pPr>
        <w:pStyle w:val="a"/>
        <w:rPr>
          <w:rFonts w:eastAsiaTheme="minorEastAsia" w:cstheme="minorBidi"/>
          <w:sz w:val="22"/>
          <w:szCs w:val="22"/>
          <w:rtl/>
        </w:rPr>
      </w:pPr>
      <w:r>
        <w:rPr>
          <w:rtl/>
        </w:rPr>
        <w:t>דברי רבינו יונה דחייבה התורה שבועה בע"א רק להכחיש את העד ודינו או לישבע או לשלם</w:t>
      </w:r>
    </w:p>
    <w:p w:rsidR="00E824D3" w:rsidRDefault="00E824D3" w:rsidP="007E4E81">
      <w:pPr>
        <w:pStyle w:val="a"/>
        <w:rPr>
          <w:rFonts w:eastAsiaTheme="minorEastAsia" w:cstheme="minorBidi"/>
          <w:sz w:val="22"/>
          <w:szCs w:val="22"/>
          <w:rtl/>
        </w:rPr>
      </w:pPr>
      <w:r>
        <w:rPr>
          <w:rtl/>
        </w:rPr>
        <w:t>תי' רבינו יונה דכשמודה לע"א ואינו מכחישו וא"י לישבע הע"א כשנים ולא מהני המיגו</w:t>
      </w:r>
    </w:p>
    <w:p w:rsidR="00E824D3" w:rsidRDefault="00E824D3" w:rsidP="007E4E81">
      <w:pPr>
        <w:pStyle w:val="a"/>
        <w:rPr>
          <w:rFonts w:eastAsiaTheme="minorEastAsia" w:cstheme="minorBidi"/>
          <w:sz w:val="22"/>
          <w:szCs w:val="22"/>
          <w:rtl/>
        </w:rPr>
      </w:pPr>
      <w:r>
        <w:rPr>
          <w:rtl/>
        </w:rPr>
        <w:t>תי' רבינו יונה והתורא"ש דבהחזרתי במיגו דנאנסו לא חל חיוב שבועה לפני שטען נאנסו</w:t>
      </w:r>
    </w:p>
    <w:p w:rsidR="00E824D3" w:rsidRDefault="00E824D3" w:rsidP="00E824D3">
      <w:pPr>
        <w:pStyle w:val="aff4"/>
        <w:rPr>
          <w:rFonts w:eastAsiaTheme="minorEastAsia" w:cstheme="minorBidi"/>
          <w:i/>
          <w:iCs/>
          <w:noProof/>
          <w:sz w:val="22"/>
          <w:szCs w:val="22"/>
          <w:rtl/>
        </w:rPr>
      </w:pPr>
      <w:r>
        <w:rPr>
          <w:noProof/>
          <w:rtl/>
        </w:rPr>
        <w:t>ביאור רבינו יונה בדעת רב ושמואל דלא אמרינן משאיל"מ</w:t>
      </w:r>
    </w:p>
    <w:p w:rsidR="00E824D3" w:rsidRDefault="00E824D3" w:rsidP="007E4E81">
      <w:pPr>
        <w:pStyle w:val="a"/>
        <w:rPr>
          <w:rFonts w:eastAsiaTheme="minorEastAsia" w:cstheme="minorBidi"/>
          <w:sz w:val="22"/>
          <w:szCs w:val="22"/>
          <w:rtl/>
        </w:rPr>
      </w:pPr>
      <w:r>
        <w:rPr>
          <w:rtl/>
        </w:rPr>
        <w:t>דברי רבינו יונה דלרב ושמואל דל"א משאיל"מ כשאינו יכול להשבע לא חל חיוב שבועה</w:t>
      </w:r>
    </w:p>
    <w:p w:rsidR="00E824D3" w:rsidRDefault="00E824D3" w:rsidP="007E4E81">
      <w:pPr>
        <w:pStyle w:val="a"/>
        <w:rPr>
          <w:rFonts w:eastAsiaTheme="minorEastAsia" w:cstheme="minorBidi"/>
          <w:sz w:val="22"/>
          <w:szCs w:val="22"/>
          <w:rtl/>
        </w:rPr>
      </w:pPr>
      <w:r>
        <w:rPr>
          <w:rtl/>
        </w:rPr>
        <w:t>דברי רבינו יונה דלרב ושמואל דבמודה במקצת והוא חשוד פטור מדאו' ומדרבנן שכנגדו נשבע</w:t>
      </w:r>
    </w:p>
    <w:p w:rsidR="00E824D3" w:rsidRDefault="00E824D3" w:rsidP="007E4E81">
      <w:pPr>
        <w:pStyle w:val="a"/>
        <w:rPr>
          <w:rFonts w:eastAsiaTheme="minorEastAsia" w:cstheme="minorBidi"/>
          <w:sz w:val="22"/>
          <w:szCs w:val="22"/>
          <w:rtl/>
        </w:rPr>
      </w:pPr>
      <w:r>
        <w:rPr>
          <w:rtl/>
        </w:rPr>
        <w:t>דברי רבינו יונה דלרב ושמואל דמודה לע"א צריך להפטר אך א"א לפוטרו דאי יש ב' עדים חייב</w:t>
      </w:r>
    </w:p>
    <w:p w:rsidR="00E824D3" w:rsidRDefault="00E824D3" w:rsidP="007E4E81">
      <w:pPr>
        <w:pStyle w:val="a"/>
        <w:rPr>
          <w:rFonts w:eastAsiaTheme="minorEastAsia" w:cstheme="minorBidi"/>
          <w:sz w:val="22"/>
          <w:szCs w:val="22"/>
          <w:rtl/>
        </w:rPr>
      </w:pPr>
      <w:r>
        <w:rPr>
          <w:rtl/>
        </w:rPr>
        <w:t>ביאור רבינו יונה דלרב ושמואל בטוען דידי חטפי נשבע ונאמן במיגו דהיה נשבע להחכיש העד</w:t>
      </w:r>
    </w:p>
    <w:p w:rsidR="00E824D3" w:rsidRDefault="00E824D3" w:rsidP="007E4E81">
      <w:pPr>
        <w:pStyle w:val="a"/>
        <w:rPr>
          <w:rFonts w:eastAsiaTheme="minorEastAsia" w:cstheme="minorBidi"/>
          <w:sz w:val="22"/>
          <w:szCs w:val="22"/>
          <w:rtl/>
        </w:rPr>
      </w:pPr>
      <w:r>
        <w:rPr>
          <w:rtl/>
        </w:rPr>
        <w:t>דברי רבינו יונה דלר"א כל שלא נשבע שבועה דאו' יש גזיה"כ דהע"א כשנים ואמרינן משאיל"מ</w:t>
      </w:r>
    </w:p>
    <w:p w:rsidR="00E824D3" w:rsidRDefault="00E824D3" w:rsidP="007E4E81">
      <w:pPr>
        <w:pStyle w:val="a"/>
        <w:rPr>
          <w:rFonts w:eastAsiaTheme="minorEastAsia" w:cstheme="minorBidi"/>
          <w:sz w:val="22"/>
          <w:szCs w:val="22"/>
          <w:rtl/>
        </w:rPr>
      </w:pPr>
      <w:r>
        <w:rPr>
          <w:rtl/>
        </w:rPr>
        <w:t>דברי רבינו יונה דדינא דמשאיל"מ הוא בין במודה לע"א ובין בשבועת מודה במקצת והוא חשוד</w:t>
      </w:r>
    </w:p>
    <w:p w:rsidR="00E824D3" w:rsidRDefault="00E824D3" w:rsidP="00E824D3">
      <w:pPr>
        <w:pStyle w:val="aff4"/>
        <w:rPr>
          <w:rFonts w:eastAsiaTheme="minorEastAsia" w:cstheme="minorBidi"/>
          <w:i/>
          <w:iCs/>
          <w:noProof/>
          <w:sz w:val="22"/>
          <w:szCs w:val="22"/>
          <w:rtl/>
        </w:rPr>
      </w:pPr>
      <w:r>
        <w:rPr>
          <w:noProof/>
          <w:rtl/>
        </w:rPr>
        <w:t>פלוג' הסמ"ע והש"ך בריב"ם אי המיגו במק"ע או דל"מ לפוטרו</w:t>
      </w:r>
    </w:p>
    <w:p w:rsidR="00E824D3" w:rsidRDefault="00E824D3" w:rsidP="007E4E81">
      <w:pPr>
        <w:pStyle w:val="a"/>
        <w:rPr>
          <w:rFonts w:eastAsiaTheme="minorEastAsia" w:cstheme="minorBidi"/>
          <w:sz w:val="22"/>
          <w:szCs w:val="22"/>
          <w:rtl/>
        </w:rPr>
      </w:pPr>
      <w:r>
        <w:rPr>
          <w:rtl/>
        </w:rPr>
        <w:t>ביאור הסמ"ע בריב"ם דכל שיש עדות של ע"א שאינו מכחישו חשיב כמיגו במקום עדים</w:t>
      </w:r>
    </w:p>
    <w:p w:rsidR="00E824D3" w:rsidRDefault="00E824D3" w:rsidP="007E4E81">
      <w:pPr>
        <w:pStyle w:val="a"/>
        <w:rPr>
          <w:rFonts w:eastAsiaTheme="minorEastAsia" w:cstheme="minorBidi"/>
          <w:sz w:val="22"/>
          <w:szCs w:val="22"/>
          <w:rtl/>
        </w:rPr>
      </w:pPr>
      <w:r>
        <w:rPr>
          <w:rtl/>
        </w:rPr>
        <w:t>בי' הש"ך בריב"ם דרק במקום שיש חיוב שבועה דאו' ל"מ מיגו כנגד ע"א שלא נשבע להכחישו</w:t>
      </w:r>
    </w:p>
    <w:p w:rsidR="00E824D3" w:rsidRDefault="00E824D3" w:rsidP="00E824D3">
      <w:pPr>
        <w:pStyle w:val="aff4"/>
        <w:rPr>
          <w:rFonts w:eastAsiaTheme="minorEastAsia" w:cstheme="minorBidi"/>
          <w:i/>
          <w:iCs/>
          <w:noProof/>
          <w:sz w:val="22"/>
          <w:szCs w:val="22"/>
          <w:rtl/>
        </w:rPr>
      </w:pPr>
      <w:r>
        <w:rPr>
          <w:noProof/>
          <w:rtl/>
        </w:rPr>
        <w:t>ביאורי הש"ך והאמרי ברוך בדעת הריב"ם והרמב"ן ורבינו יונה</w:t>
      </w:r>
    </w:p>
    <w:p w:rsidR="00E824D3" w:rsidRDefault="00E824D3" w:rsidP="007E4E81">
      <w:pPr>
        <w:pStyle w:val="a"/>
        <w:rPr>
          <w:rFonts w:eastAsiaTheme="minorEastAsia" w:cstheme="minorBidi"/>
          <w:sz w:val="22"/>
          <w:szCs w:val="22"/>
          <w:rtl/>
        </w:rPr>
      </w:pPr>
      <w:r>
        <w:rPr>
          <w:rtl/>
        </w:rPr>
        <w:t>פלוג' הש"ך והאמרי ברוך אי כוונת הריב"ם לתירץ הרמב"ן דהע"א הוא כשנים או דל"מ מיגו</w:t>
      </w:r>
    </w:p>
    <w:p w:rsidR="00E824D3" w:rsidRDefault="00E824D3" w:rsidP="007E4E81">
      <w:pPr>
        <w:pStyle w:val="a"/>
        <w:rPr>
          <w:rFonts w:eastAsiaTheme="minorEastAsia" w:cstheme="minorBidi"/>
          <w:sz w:val="22"/>
          <w:szCs w:val="22"/>
          <w:rtl/>
        </w:rPr>
      </w:pPr>
      <w:r>
        <w:rPr>
          <w:rtl/>
        </w:rPr>
        <w:t>דברי האמרי ברוך דלריב"ם התי' בגמ' לקמן כרבינו יונה ולרמב"ן ל"ק מלקמן דאי"ז שבועת ע"א</w:t>
      </w:r>
    </w:p>
    <w:p w:rsidR="00E824D3" w:rsidRDefault="00E824D3" w:rsidP="007E4E81">
      <w:pPr>
        <w:pStyle w:val="a"/>
        <w:rPr>
          <w:rFonts w:eastAsiaTheme="minorEastAsia" w:cstheme="minorBidi"/>
          <w:sz w:val="22"/>
          <w:szCs w:val="22"/>
          <w:rtl/>
        </w:rPr>
      </w:pPr>
      <w:r>
        <w:rPr>
          <w:rtl/>
        </w:rPr>
        <w:t>דברי האמרי ברוך דרבינו יונה ביאר בריב"ם דבכל שבועה דאו' ל"מ מיגו ולא רק בשבועת ע"א</w:t>
      </w:r>
    </w:p>
    <w:p w:rsidR="00E824D3" w:rsidRDefault="00E824D3" w:rsidP="00E824D3">
      <w:pPr>
        <w:pStyle w:val="aff4"/>
        <w:rPr>
          <w:rFonts w:eastAsiaTheme="minorEastAsia" w:cstheme="minorBidi"/>
          <w:i/>
          <w:iCs/>
          <w:noProof/>
          <w:sz w:val="22"/>
          <w:szCs w:val="22"/>
          <w:rtl/>
        </w:rPr>
      </w:pPr>
      <w:r>
        <w:rPr>
          <w:noProof/>
          <w:rtl/>
        </w:rPr>
        <w:t>בי' חי' הרי"ם בריב"ם דע"י הע"א חשיב המיגו כנגד חזקה ול"מ</w:t>
      </w:r>
    </w:p>
    <w:p w:rsidR="00E824D3" w:rsidRDefault="00E824D3" w:rsidP="007E4E81">
      <w:pPr>
        <w:pStyle w:val="a"/>
        <w:rPr>
          <w:rFonts w:eastAsiaTheme="minorEastAsia" w:cstheme="minorBidi"/>
          <w:sz w:val="22"/>
          <w:szCs w:val="22"/>
          <w:rtl/>
        </w:rPr>
      </w:pPr>
      <w:r>
        <w:rPr>
          <w:rtl/>
        </w:rPr>
        <w:t>ביאור חי' הרי"ם בריב"ם דע"א כשנים וידוע שחטף ויש חזקה לראשון ול"מ מיגו נגד חזקה</w:t>
      </w:r>
    </w:p>
    <w:p w:rsidR="00E824D3" w:rsidRDefault="00E824D3" w:rsidP="00E824D3">
      <w:pPr>
        <w:pStyle w:val="2"/>
        <w:rPr>
          <w:rFonts w:eastAsiaTheme="minorEastAsia" w:cstheme="minorBidi"/>
          <w:i/>
          <w:iCs/>
          <w:sz w:val="22"/>
          <w:szCs w:val="22"/>
          <w:rtl/>
        </w:rPr>
      </w:pPr>
      <w:r>
        <w:rPr>
          <w:rtl/>
        </w:rPr>
        <w:t>קושיות התוס' והרמב"ן על ביאור הריב"ם</w:t>
      </w:r>
    </w:p>
    <w:p w:rsidR="00E824D3" w:rsidRDefault="00E824D3" w:rsidP="00E824D3">
      <w:pPr>
        <w:pStyle w:val="aff4"/>
        <w:rPr>
          <w:rFonts w:eastAsiaTheme="minorEastAsia" w:cstheme="minorBidi"/>
          <w:i/>
          <w:iCs/>
          <w:noProof/>
          <w:sz w:val="22"/>
          <w:szCs w:val="22"/>
          <w:rtl/>
        </w:rPr>
      </w:pPr>
      <w:r>
        <w:rPr>
          <w:noProof/>
          <w:rtl/>
        </w:rPr>
        <w:t>דברי התוס' אי דין משאיל"מ הוא ילפותא או מסברא</w:t>
      </w:r>
    </w:p>
    <w:p w:rsidR="00E824D3" w:rsidRDefault="00E824D3" w:rsidP="007E4E81">
      <w:pPr>
        <w:pStyle w:val="a"/>
        <w:rPr>
          <w:rFonts w:eastAsiaTheme="minorEastAsia" w:cstheme="minorBidi"/>
          <w:sz w:val="22"/>
          <w:szCs w:val="22"/>
          <w:rtl/>
        </w:rPr>
      </w:pPr>
      <w:r>
        <w:rPr>
          <w:rtl/>
        </w:rPr>
        <w:t>קו' התוס' על הריב"ם דכיון דבילפותא למשאיל"מ אין מיגו מנלן דבמקום מיגו אמרינן משאיל"מ</w:t>
      </w:r>
    </w:p>
    <w:p w:rsidR="00E824D3" w:rsidRDefault="00E824D3" w:rsidP="007E4E81">
      <w:pPr>
        <w:pStyle w:val="a"/>
        <w:rPr>
          <w:rFonts w:eastAsiaTheme="minorEastAsia" w:cstheme="minorBidi"/>
          <w:sz w:val="22"/>
          <w:szCs w:val="22"/>
          <w:rtl/>
        </w:rPr>
      </w:pPr>
      <w:r>
        <w:rPr>
          <w:rtl/>
        </w:rPr>
        <w:t>תירוץ ר"י דר"א ס"ל דאמרינן מתוך שאינו יכול לישבע משלם מסברא ולא מילפותא</w:t>
      </w:r>
    </w:p>
    <w:p w:rsidR="00E824D3" w:rsidRDefault="00E824D3" w:rsidP="00E824D3">
      <w:pPr>
        <w:pStyle w:val="aff4"/>
        <w:rPr>
          <w:rFonts w:eastAsiaTheme="minorEastAsia" w:cstheme="minorBidi"/>
          <w:i/>
          <w:iCs/>
          <w:noProof/>
          <w:sz w:val="22"/>
          <w:szCs w:val="22"/>
          <w:rtl/>
        </w:rPr>
      </w:pPr>
      <w:r>
        <w:rPr>
          <w:noProof/>
          <w:rtl/>
        </w:rPr>
        <w:t>ביאור התוס' והרמב"ן דבסיטראי נאמן במיגו כיון שא"צ לישבע</w:t>
      </w:r>
    </w:p>
    <w:p w:rsidR="00E824D3" w:rsidRDefault="00E824D3" w:rsidP="007E4E81">
      <w:pPr>
        <w:pStyle w:val="a"/>
        <w:rPr>
          <w:rFonts w:eastAsiaTheme="minorEastAsia" w:cstheme="minorBidi"/>
          <w:sz w:val="22"/>
          <w:szCs w:val="22"/>
          <w:rtl/>
        </w:rPr>
      </w:pPr>
      <w:r>
        <w:rPr>
          <w:rtl/>
        </w:rPr>
        <w:t>קושית התוס' והרמב"ן דבסיטראי מוכח דמהני מיגו אף כשחייב שבועה ולא אמרינן משאיל"מ</w:t>
      </w:r>
    </w:p>
    <w:p w:rsidR="00E824D3" w:rsidRDefault="00E824D3" w:rsidP="007E4E81">
      <w:pPr>
        <w:pStyle w:val="a"/>
        <w:rPr>
          <w:rFonts w:eastAsiaTheme="minorEastAsia" w:cstheme="minorBidi"/>
          <w:sz w:val="22"/>
          <w:szCs w:val="22"/>
          <w:rtl/>
        </w:rPr>
      </w:pPr>
      <w:r>
        <w:rPr>
          <w:rtl/>
        </w:rPr>
        <w:t>תי' תוס' דבסיטראי השליח נשבע היסת ואינו עד אבל בלא"ה הוא מעיד ונאמן דפרע ומשאיל"מ</w:t>
      </w:r>
    </w:p>
    <w:p w:rsidR="00E824D3" w:rsidRDefault="00E824D3" w:rsidP="00E824D3">
      <w:pPr>
        <w:pStyle w:val="2"/>
        <w:rPr>
          <w:rFonts w:eastAsiaTheme="minorEastAsia" w:cstheme="minorBidi"/>
          <w:i/>
          <w:iCs/>
          <w:sz w:val="22"/>
          <w:szCs w:val="22"/>
          <w:rtl/>
        </w:rPr>
      </w:pPr>
      <w:r>
        <w:rPr>
          <w:rtl/>
        </w:rPr>
        <w:t>בדין מיגו כנגד חזקה דמה שתח"י שלו</w:t>
      </w:r>
    </w:p>
    <w:p w:rsidR="00E824D3" w:rsidRDefault="00E824D3" w:rsidP="00E824D3">
      <w:pPr>
        <w:pStyle w:val="aff4"/>
        <w:rPr>
          <w:rFonts w:eastAsiaTheme="minorEastAsia" w:cstheme="minorBidi"/>
          <w:i/>
          <w:iCs/>
          <w:noProof/>
          <w:sz w:val="22"/>
          <w:szCs w:val="22"/>
          <w:rtl/>
        </w:rPr>
      </w:pPr>
      <w:r>
        <w:rPr>
          <w:noProof/>
          <w:rtl/>
        </w:rPr>
        <w:t>ביאור המ"מ ברמב"ם דל"מ מיגו כנגד חזקה דמה שתח"י שלו</w:t>
      </w:r>
    </w:p>
    <w:p w:rsidR="00E824D3" w:rsidRDefault="00E824D3" w:rsidP="007E4E81">
      <w:pPr>
        <w:pStyle w:val="a"/>
        <w:rPr>
          <w:rFonts w:eastAsiaTheme="minorEastAsia" w:cstheme="minorBidi"/>
          <w:sz w:val="22"/>
          <w:szCs w:val="22"/>
          <w:rtl/>
        </w:rPr>
      </w:pPr>
      <w:r>
        <w:rPr>
          <w:rtl/>
        </w:rPr>
        <w:lastRenderedPageBreak/>
        <w:t>דברי הרמב"ם דאינו נאמן על דבר שתח"י שאינו שלו ודברי המ"מ דלא מפורש כן בגמ'</w:t>
      </w:r>
    </w:p>
    <w:p w:rsidR="00E824D3" w:rsidRDefault="00E824D3" w:rsidP="007E4E81">
      <w:pPr>
        <w:pStyle w:val="a"/>
        <w:rPr>
          <w:rFonts w:eastAsiaTheme="minorEastAsia" w:cstheme="minorBidi"/>
          <w:sz w:val="22"/>
          <w:szCs w:val="22"/>
          <w:rtl/>
        </w:rPr>
      </w:pPr>
      <w:r>
        <w:rPr>
          <w:rtl/>
        </w:rPr>
        <w:t>דברי הגר"א דמקור דברי הרמב"ם מסוגיין דא"א להוציא את הנסכא מיד הראשון בלא ראיה</w:t>
      </w:r>
    </w:p>
    <w:p w:rsidR="00E824D3" w:rsidRDefault="00E824D3" w:rsidP="007E4E81">
      <w:pPr>
        <w:pStyle w:val="a"/>
        <w:rPr>
          <w:rFonts w:eastAsiaTheme="minorEastAsia" w:cstheme="minorBidi"/>
          <w:sz w:val="22"/>
          <w:szCs w:val="22"/>
          <w:rtl/>
        </w:rPr>
      </w:pPr>
      <w:r>
        <w:rPr>
          <w:rtl/>
        </w:rPr>
        <w:t>דברי המ"מ בשם הרמב"ן דל"מ מיגו כנגד חזקה דמה שתח"י שלו דחיישינן לקנוניא</w:t>
      </w:r>
    </w:p>
    <w:p w:rsidR="00E824D3" w:rsidRDefault="00E824D3" w:rsidP="00E824D3">
      <w:pPr>
        <w:pStyle w:val="2"/>
        <w:rPr>
          <w:rFonts w:eastAsiaTheme="minorEastAsia" w:cstheme="minorBidi"/>
          <w:i/>
          <w:iCs/>
          <w:sz w:val="22"/>
          <w:szCs w:val="22"/>
          <w:rtl/>
        </w:rPr>
      </w:pPr>
      <w:r>
        <w:rPr>
          <w:rtl/>
        </w:rPr>
        <w:t>~~~~~~~ ביאורי ראשי הישיבות ~~~~~~~</w:t>
      </w:r>
    </w:p>
    <w:p w:rsidR="00E824D3" w:rsidRDefault="00E824D3" w:rsidP="00E824D3">
      <w:pPr>
        <w:pStyle w:val="2"/>
        <w:rPr>
          <w:rFonts w:eastAsiaTheme="minorEastAsia" w:cstheme="minorBidi"/>
          <w:i/>
          <w:iCs/>
          <w:sz w:val="22"/>
          <w:szCs w:val="22"/>
          <w:rtl/>
        </w:rPr>
      </w:pPr>
      <w:r>
        <w:rPr>
          <w:rtl/>
        </w:rPr>
        <w:t>בדין מיגו כנגד חזקה דמה שתח"י שלו</w:t>
      </w:r>
    </w:p>
    <w:p w:rsidR="00E824D3" w:rsidRDefault="00E824D3" w:rsidP="00E824D3">
      <w:pPr>
        <w:pStyle w:val="aff4"/>
        <w:rPr>
          <w:rFonts w:eastAsiaTheme="minorEastAsia" w:cstheme="minorBidi"/>
          <w:i/>
          <w:iCs/>
          <w:noProof/>
          <w:sz w:val="22"/>
          <w:szCs w:val="22"/>
          <w:rtl/>
        </w:rPr>
      </w:pPr>
      <w:r>
        <w:rPr>
          <w:noProof/>
          <w:rtl/>
        </w:rPr>
        <w:t>בי' הגר"ח דכשאין עדים שחטף ע"י מיגו יש לו חזקה דהיא תח"י</w:t>
      </w:r>
    </w:p>
    <w:p w:rsidR="00E824D3" w:rsidRDefault="00E824D3" w:rsidP="007E4E81">
      <w:pPr>
        <w:pStyle w:val="a"/>
        <w:rPr>
          <w:rFonts w:eastAsiaTheme="minorEastAsia" w:cstheme="minorBidi"/>
          <w:sz w:val="22"/>
          <w:szCs w:val="22"/>
          <w:rtl/>
        </w:rPr>
      </w:pPr>
      <w:r>
        <w:rPr>
          <w:rtl/>
        </w:rPr>
        <w:t>קו' הגר"ח דאמאי כשאין עדים נאמן במיגו כנגד חזקה דמה שתח"י שלו הוא</w:t>
      </w:r>
    </w:p>
    <w:p w:rsidR="00E824D3" w:rsidRDefault="00E824D3" w:rsidP="007E4E81">
      <w:pPr>
        <w:pStyle w:val="a"/>
        <w:rPr>
          <w:rFonts w:eastAsiaTheme="minorEastAsia" w:cstheme="minorBidi"/>
          <w:sz w:val="22"/>
          <w:szCs w:val="22"/>
          <w:rtl/>
        </w:rPr>
      </w:pPr>
      <w:r>
        <w:rPr>
          <w:rtl/>
        </w:rPr>
        <w:t>תי' הגר"ח דכל שלא חטף החזקה היא של השני ורק כשיודעים על חטיפה חשיב הראשון כמוחזק</w:t>
      </w:r>
    </w:p>
    <w:p w:rsidR="00E824D3" w:rsidRDefault="00E824D3" w:rsidP="007E4E81">
      <w:pPr>
        <w:pStyle w:val="a"/>
        <w:rPr>
          <w:rFonts w:eastAsiaTheme="minorEastAsia" w:cstheme="minorBidi"/>
          <w:sz w:val="22"/>
          <w:szCs w:val="22"/>
          <w:rtl/>
        </w:rPr>
      </w:pPr>
      <w:r>
        <w:rPr>
          <w:rtl/>
        </w:rPr>
        <w:t>תי' הגר"ח דכשאין עדים שחטף אף שהודה אי"ז חשיב מעשה חטיפה והחוטף מוחזק במה שתח"י</w:t>
      </w:r>
    </w:p>
    <w:p w:rsidR="00E824D3" w:rsidRDefault="00E824D3" w:rsidP="007E4E81">
      <w:pPr>
        <w:pStyle w:val="a"/>
        <w:rPr>
          <w:rFonts w:eastAsiaTheme="minorEastAsia" w:cstheme="minorBidi"/>
          <w:sz w:val="22"/>
          <w:szCs w:val="22"/>
          <w:rtl/>
        </w:rPr>
      </w:pPr>
      <w:r>
        <w:rPr>
          <w:rtl/>
        </w:rPr>
        <w:t>דברי הגר"ח דבמקום שהחפץ ביד א' אינו נאמן לטעון שהוא של אחר והכא החוטף מוחזק בו</w:t>
      </w:r>
    </w:p>
    <w:p w:rsidR="00E824D3" w:rsidRDefault="00E824D3" w:rsidP="007E4E81">
      <w:pPr>
        <w:pStyle w:val="a"/>
        <w:rPr>
          <w:rFonts w:eastAsiaTheme="minorEastAsia" w:cstheme="minorBidi"/>
          <w:sz w:val="22"/>
          <w:szCs w:val="22"/>
          <w:rtl/>
        </w:rPr>
      </w:pPr>
      <w:r>
        <w:rPr>
          <w:rtl/>
        </w:rPr>
        <w:t>דברי הגר"ח דלולי המיגו פלגינן דיבורא ונאמן בהודאתו שחטף ואינו נאמן בטענת דידי חטפי</w:t>
      </w:r>
    </w:p>
    <w:p w:rsidR="00E824D3" w:rsidRDefault="00E824D3" w:rsidP="00E824D3">
      <w:pPr>
        <w:pStyle w:val="aff4"/>
        <w:rPr>
          <w:rFonts w:eastAsiaTheme="minorEastAsia" w:cstheme="minorBidi"/>
          <w:i/>
          <w:iCs/>
          <w:noProof/>
          <w:sz w:val="22"/>
          <w:szCs w:val="22"/>
          <w:rtl/>
        </w:rPr>
      </w:pPr>
      <w:r>
        <w:rPr>
          <w:noProof/>
          <w:rtl/>
        </w:rPr>
        <w:t>תי' הגר"ח על קו' התוס' דהכא המיגו נגד חזקה ול"ד לגמ' לקמן</w:t>
      </w:r>
    </w:p>
    <w:p w:rsidR="00E824D3" w:rsidRDefault="00E824D3" w:rsidP="007E4E81">
      <w:pPr>
        <w:pStyle w:val="a"/>
        <w:rPr>
          <w:rFonts w:eastAsiaTheme="minorEastAsia" w:cstheme="minorBidi"/>
          <w:sz w:val="22"/>
          <w:szCs w:val="22"/>
          <w:rtl/>
        </w:rPr>
      </w:pPr>
      <w:r>
        <w:rPr>
          <w:rtl/>
        </w:rPr>
        <w:t>ביאור הגר"ח דבהחזרתי במיגו דנאנסו נאמן דבידו להשבע אעפ"י שעדיין אין נאמנות דשבועה</w:t>
      </w:r>
    </w:p>
    <w:p w:rsidR="00E824D3" w:rsidRDefault="00E824D3" w:rsidP="007E4E81">
      <w:pPr>
        <w:pStyle w:val="a"/>
        <w:rPr>
          <w:rFonts w:eastAsiaTheme="minorEastAsia" w:cstheme="minorBidi"/>
          <w:sz w:val="22"/>
          <w:szCs w:val="22"/>
          <w:rtl/>
        </w:rPr>
      </w:pPr>
      <w:r>
        <w:rPr>
          <w:rtl/>
        </w:rPr>
        <w:t>דברי הגר"ח דלפי"ז קשה דאף הכא יהיה נאמן במיגו דבידו להשבע בטענת לא חטפי</w:t>
      </w:r>
    </w:p>
    <w:p w:rsidR="00E824D3" w:rsidRDefault="00E824D3" w:rsidP="007E4E81">
      <w:pPr>
        <w:pStyle w:val="a"/>
        <w:rPr>
          <w:rFonts w:eastAsiaTheme="minorEastAsia" w:cstheme="minorBidi"/>
          <w:sz w:val="22"/>
          <w:szCs w:val="22"/>
          <w:rtl/>
        </w:rPr>
      </w:pPr>
      <w:r>
        <w:rPr>
          <w:rtl/>
        </w:rPr>
        <w:t>תי' הגר"ח על קו' התוס' דטענת דידי חטפי היא טענה גרועה כשיש ע"א ול"מ מיגו דבידו לישבע</w:t>
      </w:r>
    </w:p>
    <w:p w:rsidR="00E824D3" w:rsidRDefault="00E824D3" w:rsidP="007E4E81">
      <w:pPr>
        <w:pStyle w:val="a"/>
        <w:rPr>
          <w:rFonts w:eastAsiaTheme="minorEastAsia" w:cstheme="minorBidi"/>
          <w:sz w:val="22"/>
          <w:szCs w:val="22"/>
          <w:rtl/>
        </w:rPr>
      </w:pPr>
      <w:r>
        <w:rPr>
          <w:rtl/>
        </w:rPr>
        <w:t>ביאור הגר"ח דכשיש ע"א כל שלא נשבע יש לראשון חזקה דמה שתח"י והוי מיגו נגד החזקה</w:t>
      </w:r>
    </w:p>
    <w:p w:rsidR="00E824D3" w:rsidRDefault="00E824D3" w:rsidP="00E824D3">
      <w:pPr>
        <w:pStyle w:val="aff4"/>
        <w:rPr>
          <w:rFonts w:eastAsiaTheme="minorEastAsia" w:cstheme="minorBidi"/>
          <w:i/>
          <w:iCs/>
          <w:noProof/>
          <w:sz w:val="22"/>
          <w:szCs w:val="22"/>
          <w:rtl/>
        </w:rPr>
      </w:pPr>
      <w:r>
        <w:rPr>
          <w:noProof/>
          <w:rtl/>
        </w:rPr>
        <w:t>ביאור האבאה"ז בריב"ם דע"א הוא כב' ול"מ מיגו נגד חזקה</w:t>
      </w:r>
    </w:p>
    <w:p w:rsidR="00E824D3" w:rsidRDefault="00E824D3" w:rsidP="007E4E81">
      <w:pPr>
        <w:pStyle w:val="a"/>
        <w:rPr>
          <w:rFonts w:eastAsiaTheme="minorEastAsia" w:cstheme="minorBidi"/>
          <w:sz w:val="22"/>
          <w:szCs w:val="22"/>
          <w:rtl/>
        </w:rPr>
      </w:pPr>
      <w:r>
        <w:rPr>
          <w:rtl/>
        </w:rPr>
        <w:t>ביאור האבאה"ז בריב"ם דכשיש ע"א אין לו הפה שאסר ומיגו ל"מ כנגד חזקה דמה שתח"י שלו</w:t>
      </w:r>
    </w:p>
    <w:p w:rsidR="00E824D3" w:rsidRDefault="00E824D3" w:rsidP="00E824D3">
      <w:pPr>
        <w:pStyle w:val="aff4"/>
        <w:rPr>
          <w:rFonts w:eastAsiaTheme="minorEastAsia" w:cstheme="minorBidi"/>
          <w:i/>
          <w:iCs/>
          <w:noProof/>
          <w:sz w:val="22"/>
          <w:szCs w:val="22"/>
          <w:rtl/>
        </w:rPr>
      </w:pPr>
      <w:r>
        <w:rPr>
          <w:noProof/>
          <w:rtl/>
        </w:rPr>
        <w:t>דברי האבי עזרי דמהני מיגו כנגד חזקה דמה שתח"י שלו</w:t>
      </w:r>
    </w:p>
    <w:p w:rsidR="00E824D3" w:rsidRDefault="00E824D3" w:rsidP="007E4E81">
      <w:pPr>
        <w:pStyle w:val="a"/>
        <w:rPr>
          <w:rFonts w:eastAsiaTheme="minorEastAsia" w:cstheme="minorBidi"/>
          <w:sz w:val="22"/>
          <w:szCs w:val="22"/>
          <w:rtl/>
        </w:rPr>
      </w:pPr>
      <w:r>
        <w:rPr>
          <w:rtl/>
        </w:rPr>
        <w:t>קושית האבי עזרי והגרנ"פ דברמב"ן מוכח דמהני מיגו אף כנגד חזקה דמה שתח"י שלו הוא</w:t>
      </w:r>
    </w:p>
    <w:p w:rsidR="00E824D3" w:rsidRDefault="00E824D3" w:rsidP="007E4E81">
      <w:pPr>
        <w:pStyle w:val="a"/>
        <w:rPr>
          <w:rFonts w:eastAsiaTheme="minorEastAsia" w:cstheme="minorBidi"/>
          <w:sz w:val="22"/>
          <w:szCs w:val="22"/>
          <w:rtl/>
        </w:rPr>
      </w:pPr>
      <w:r>
        <w:rPr>
          <w:rtl/>
        </w:rPr>
        <w:t>ביאור האבי עזרי ברמב"ן דרק במקום שיש חשש קנוניא ל"מ מיגו כנגד חזקה דמה שתח"י שלו</w:t>
      </w:r>
    </w:p>
    <w:p w:rsidR="00E824D3" w:rsidRDefault="00E824D3" w:rsidP="007E4E81">
      <w:pPr>
        <w:pStyle w:val="a"/>
        <w:rPr>
          <w:rFonts w:eastAsiaTheme="minorEastAsia" w:cstheme="minorBidi"/>
          <w:sz w:val="22"/>
          <w:szCs w:val="22"/>
          <w:rtl/>
        </w:rPr>
      </w:pPr>
      <w:r>
        <w:rPr>
          <w:rtl/>
        </w:rPr>
        <w:t>דברי האבי עזרי דבגר"א בדעת הרמב"ם מוכח דל"מ מיגו כנגד חזקה דמה שתח"י שלו</w:t>
      </w:r>
    </w:p>
    <w:p w:rsidR="00E824D3" w:rsidRDefault="00E824D3" w:rsidP="00E824D3">
      <w:pPr>
        <w:pStyle w:val="aff4"/>
        <w:rPr>
          <w:rFonts w:eastAsiaTheme="minorEastAsia" w:cstheme="minorBidi"/>
          <w:i/>
          <w:iCs/>
          <w:noProof/>
          <w:sz w:val="22"/>
          <w:szCs w:val="22"/>
          <w:rtl/>
        </w:rPr>
      </w:pPr>
      <w:r>
        <w:rPr>
          <w:noProof/>
          <w:rtl/>
        </w:rPr>
        <w:t>דעת הגרנ"ט דמיגו מהני נגד חזקת הנהגה דהמיגו הוא מברר</w:t>
      </w:r>
    </w:p>
    <w:p w:rsidR="00E824D3" w:rsidRDefault="00E824D3" w:rsidP="007E4E81">
      <w:pPr>
        <w:pStyle w:val="a"/>
        <w:rPr>
          <w:rFonts w:eastAsiaTheme="minorEastAsia" w:cstheme="minorBidi"/>
          <w:sz w:val="22"/>
          <w:szCs w:val="22"/>
          <w:rtl/>
        </w:rPr>
      </w:pPr>
      <w:r>
        <w:rPr>
          <w:rtl/>
        </w:rPr>
        <w:t>ביאור הגרנ"ט דכשאין עדים שחטף מהני מיגו נגד חזקת הנהגה ורק נגד חזקת בירור ל"מ מיגו</w:t>
      </w:r>
    </w:p>
    <w:p w:rsidR="00E824D3" w:rsidRDefault="00E824D3" w:rsidP="00E824D3">
      <w:pPr>
        <w:pStyle w:val="aff4"/>
        <w:rPr>
          <w:rFonts w:eastAsiaTheme="minorEastAsia" w:cstheme="minorBidi"/>
          <w:i/>
          <w:iCs/>
          <w:noProof/>
          <w:sz w:val="22"/>
          <w:szCs w:val="22"/>
          <w:rtl/>
        </w:rPr>
      </w:pPr>
      <w:r>
        <w:rPr>
          <w:noProof/>
          <w:rtl/>
        </w:rPr>
        <w:t>תירוץ הגר"ח בדעת הריב"ם דע"י דין משאיל"מ ל"מ המיגו</w:t>
      </w:r>
    </w:p>
    <w:p w:rsidR="00E824D3" w:rsidRDefault="00E824D3" w:rsidP="007E4E81">
      <w:pPr>
        <w:pStyle w:val="a"/>
        <w:rPr>
          <w:rFonts w:eastAsiaTheme="minorEastAsia" w:cstheme="minorBidi"/>
          <w:sz w:val="22"/>
          <w:szCs w:val="22"/>
          <w:rtl/>
        </w:rPr>
      </w:pPr>
      <w:r>
        <w:rPr>
          <w:rtl/>
        </w:rPr>
        <w:t>בי' הגר"ח בריב"ם דאעפ"י דבילפותא דמשאיל"מ אין מיגו מ"מ הכא ל"מ מיגו דהוא נגד חזקה</w:t>
      </w:r>
    </w:p>
    <w:p w:rsidR="00E824D3" w:rsidRDefault="00E824D3" w:rsidP="007E4E81">
      <w:pPr>
        <w:pStyle w:val="a"/>
        <w:rPr>
          <w:rFonts w:eastAsiaTheme="minorEastAsia" w:cstheme="minorBidi"/>
          <w:sz w:val="22"/>
          <w:szCs w:val="22"/>
          <w:rtl/>
        </w:rPr>
      </w:pPr>
      <w:r>
        <w:rPr>
          <w:rtl/>
        </w:rPr>
        <w:t>בי' הגר"ח דרק כיון דילפינן משאל"מ מחמשין ידענא מוכח דהע"א נאמן לממון והמיגו נגד חזקה</w:t>
      </w:r>
    </w:p>
    <w:p w:rsidR="00E824D3" w:rsidRDefault="00E824D3" w:rsidP="00E824D3">
      <w:pPr>
        <w:pStyle w:val="aff4"/>
        <w:rPr>
          <w:rFonts w:eastAsiaTheme="minorEastAsia" w:cstheme="minorBidi"/>
          <w:i/>
          <w:iCs/>
          <w:noProof/>
          <w:sz w:val="22"/>
          <w:szCs w:val="22"/>
          <w:rtl/>
        </w:rPr>
      </w:pPr>
      <w:r>
        <w:rPr>
          <w:noProof/>
          <w:rtl/>
        </w:rPr>
        <w:t>תי' הגרב"ב בריב"ם דהמיגו נותן יותר כח מטענת לא חטפי</w:t>
      </w:r>
    </w:p>
    <w:p w:rsidR="00E824D3" w:rsidRDefault="00E824D3" w:rsidP="007E4E81">
      <w:pPr>
        <w:pStyle w:val="a"/>
        <w:rPr>
          <w:rFonts w:eastAsiaTheme="minorEastAsia" w:cstheme="minorBidi"/>
          <w:sz w:val="22"/>
          <w:szCs w:val="22"/>
          <w:rtl/>
        </w:rPr>
      </w:pPr>
      <w:r>
        <w:rPr>
          <w:rtl/>
        </w:rPr>
        <w:t>ביאור הגרב"ב דבהחזרתי במיגו דנאנסו הנאמנות מדין מיגו והשבועה היא רק כדי שיהיה מיגו</w:t>
      </w:r>
    </w:p>
    <w:p w:rsidR="00E824D3" w:rsidRDefault="00E824D3" w:rsidP="007E4E81">
      <w:pPr>
        <w:pStyle w:val="a"/>
        <w:rPr>
          <w:rFonts w:eastAsiaTheme="minorEastAsia" w:cstheme="minorBidi"/>
          <w:sz w:val="22"/>
          <w:szCs w:val="22"/>
          <w:rtl/>
        </w:rPr>
      </w:pPr>
      <w:r>
        <w:rPr>
          <w:rtl/>
        </w:rPr>
        <w:t>דברי הגרב"ב דבנאנסו מצינו נאמנות של מיגו ולכן שייכא נאמנות מיגו בהחזרתי כמו בנאנסו</w:t>
      </w:r>
    </w:p>
    <w:p w:rsidR="00E824D3" w:rsidRDefault="00E824D3" w:rsidP="007E4E81">
      <w:pPr>
        <w:pStyle w:val="a"/>
        <w:rPr>
          <w:rFonts w:eastAsiaTheme="minorEastAsia" w:cstheme="minorBidi"/>
          <w:sz w:val="22"/>
          <w:szCs w:val="22"/>
          <w:rtl/>
        </w:rPr>
      </w:pPr>
      <w:r>
        <w:rPr>
          <w:rtl/>
        </w:rPr>
        <w:t>בי' הגרב"ב בריב"ם דבלא חטפי ל"מ מיגו ולא שייך שיהיה נאמן במיגו יותר מכח טענת המיגו</w:t>
      </w:r>
    </w:p>
    <w:p w:rsidR="00E824D3" w:rsidRDefault="00E824D3" w:rsidP="00E824D3">
      <w:pPr>
        <w:pStyle w:val="aff4"/>
        <w:rPr>
          <w:rFonts w:eastAsiaTheme="minorEastAsia" w:cstheme="minorBidi"/>
          <w:i/>
          <w:iCs/>
          <w:noProof/>
          <w:sz w:val="22"/>
          <w:szCs w:val="22"/>
          <w:rtl/>
        </w:rPr>
      </w:pPr>
      <w:r>
        <w:rPr>
          <w:noProof/>
          <w:rtl/>
        </w:rPr>
        <w:t>ביאור הגרנ"פ בתרוה"כ דלרב ושמואל אין עדות על גזל כלל</w:t>
      </w:r>
    </w:p>
    <w:p w:rsidR="00E824D3" w:rsidRDefault="00E824D3" w:rsidP="007E4E81">
      <w:pPr>
        <w:pStyle w:val="a"/>
        <w:rPr>
          <w:rFonts w:eastAsiaTheme="minorEastAsia" w:cstheme="minorBidi"/>
          <w:sz w:val="22"/>
          <w:szCs w:val="22"/>
          <w:rtl/>
        </w:rPr>
      </w:pPr>
      <w:r>
        <w:rPr>
          <w:rtl/>
        </w:rPr>
        <w:t>ביאור הגרנ"פ בתרוה"כ דלרב ושמואל נאמן בפה שאסר ואין עדות שחטף את ממונו וא"צ מיגו</w:t>
      </w:r>
    </w:p>
    <w:p w:rsidR="00E824D3" w:rsidRDefault="00E824D3" w:rsidP="00E824D3">
      <w:pPr>
        <w:pStyle w:val="2"/>
        <w:rPr>
          <w:rFonts w:eastAsiaTheme="minorEastAsia" w:cstheme="minorBidi"/>
          <w:i/>
          <w:iCs/>
          <w:sz w:val="22"/>
          <w:szCs w:val="22"/>
          <w:rtl/>
        </w:rPr>
      </w:pPr>
      <w:r>
        <w:rPr>
          <w:rtl/>
        </w:rPr>
        <w:t>בגדר חיוב שבועה בע"א לר"י ולריב"ם</w:t>
      </w:r>
    </w:p>
    <w:p w:rsidR="00E824D3" w:rsidRDefault="00E824D3" w:rsidP="00E824D3">
      <w:pPr>
        <w:pStyle w:val="aff4"/>
        <w:rPr>
          <w:rFonts w:eastAsiaTheme="minorEastAsia" w:cstheme="minorBidi"/>
          <w:i/>
          <w:iCs/>
          <w:noProof/>
          <w:sz w:val="22"/>
          <w:szCs w:val="22"/>
          <w:rtl/>
        </w:rPr>
      </w:pPr>
      <w:r>
        <w:rPr>
          <w:noProof/>
          <w:rtl/>
        </w:rPr>
        <w:t>ביאור הגר"ח מטעלז בדברי הש"ך בפלוג' ר"א ורב ושמואל</w:t>
      </w:r>
    </w:p>
    <w:p w:rsidR="00E824D3" w:rsidRDefault="00E824D3" w:rsidP="007E4E81">
      <w:pPr>
        <w:pStyle w:val="a"/>
        <w:rPr>
          <w:rFonts w:eastAsiaTheme="minorEastAsia" w:cstheme="minorBidi"/>
          <w:sz w:val="22"/>
          <w:szCs w:val="22"/>
          <w:rtl/>
        </w:rPr>
      </w:pPr>
      <w:r>
        <w:rPr>
          <w:rtl/>
        </w:rPr>
        <w:t>בי' הגר"ח מטעלז בש"ך דלר"א ע"א מחייב ממון ושבועה פוטרת ולרב ושמואל מחייב רק שבועה</w:t>
      </w:r>
    </w:p>
    <w:p w:rsidR="00E824D3" w:rsidRDefault="00E824D3" w:rsidP="007E4E81">
      <w:pPr>
        <w:pStyle w:val="a"/>
        <w:rPr>
          <w:rFonts w:eastAsiaTheme="minorEastAsia" w:cstheme="minorBidi"/>
          <w:sz w:val="22"/>
          <w:szCs w:val="22"/>
          <w:rtl/>
        </w:rPr>
      </w:pPr>
      <w:r>
        <w:rPr>
          <w:rtl/>
        </w:rPr>
        <w:t>בי' הגר"ח מטעלז בר"י דלרב ושמואל שאינו מעיד לממון אין לראשון חזקה ונאמן בלי מיגו</w:t>
      </w:r>
    </w:p>
    <w:p w:rsidR="00E824D3" w:rsidRDefault="00E824D3" w:rsidP="00E824D3">
      <w:pPr>
        <w:pStyle w:val="aff4"/>
        <w:rPr>
          <w:rFonts w:eastAsiaTheme="minorEastAsia" w:cstheme="minorBidi"/>
          <w:i/>
          <w:iCs/>
          <w:noProof/>
          <w:sz w:val="22"/>
          <w:szCs w:val="22"/>
          <w:rtl/>
        </w:rPr>
      </w:pPr>
      <w:r>
        <w:rPr>
          <w:noProof/>
          <w:rtl/>
        </w:rPr>
        <w:t>בי' הגר"ח מטעלז בריב"ם דלר"א ע"א קם לממון ואין כח טענה</w:t>
      </w:r>
    </w:p>
    <w:p w:rsidR="00E824D3" w:rsidRDefault="00E824D3" w:rsidP="007E4E81">
      <w:pPr>
        <w:pStyle w:val="a"/>
        <w:rPr>
          <w:rFonts w:eastAsiaTheme="minorEastAsia" w:cstheme="minorBidi"/>
          <w:sz w:val="22"/>
          <w:szCs w:val="22"/>
          <w:rtl/>
        </w:rPr>
      </w:pPr>
      <w:r>
        <w:rPr>
          <w:rtl/>
        </w:rPr>
        <w:t>ביאור הגר"ח מטעלז בריב"ם דהמיגו הוא העזה ומהני רק מדין כח הטענה ולא מדין בירור</w:t>
      </w:r>
    </w:p>
    <w:p w:rsidR="00E824D3" w:rsidRDefault="00E824D3" w:rsidP="007E4E81">
      <w:pPr>
        <w:pStyle w:val="a"/>
        <w:rPr>
          <w:rFonts w:eastAsiaTheme="minorEastAsia" w:cstheme="minorBidi"/>
          <w:sz w:val="22"/>
          <w:szCs w:val="22"/>
          <w:rtl/>
        </w:rPr>
      </w:pPr>
      <w:r>
        <w:rPr>
          <w:rtl/>
        </w:rPr>
        <w:t>ביאור הגר"ח מטעלז דלר"א דמחייבו ממון אין לו כח טענה כ"ז שלא נפטר ע"י פטור השבועה</w:t>
      </w:r>
    </w:p>
    <w:p w:rsidR="00E824D3" w:rsidRDefault="00E824D3" w:rsidP="007E4E81">
      <w:pPr>
        <w:pStyle w:val="a"/>
        <w:rPr>
          <w:rFonts w:eastAsiaTheme="minorEastAsia" w:cstheme="minorBidi"/>
          <w:sz w:val="22"/>
          <w:szCs w:val="22"/>
          <w:rtl/>
        </w:rPr>
      </w:pPr>
      <w:r>
        <w:rPr>
          <w:rtl/>
        </w:rPr>
        <w:t>בי' הגר"ח מטעלז בריב"ם דלרב ושמואל שמחייבו שבועה בא"י לישבע יש מיגו דכח הטענה</w:t>
      </w:r>
    </w:p>
    <w:p w:rsidR="00E824D3" w:rsidRDefault="00E824D3" w:rsidP="007E4E81">
      <w:pPr>
        <w:pStyle w:val="a"/>
        <w:rPr>
          <w:rFonts w:eastAsiaTheme="minorEastAsia" w:cstheme="minorBidi"/>
          <w:sz w:val="22"/>
          <w:szCs w:val="22"/>
          <w:rtl/>
        </w:rPr>
      </w:pPr>
      <w:r>
        <w:rPr>
          <w:rtl/>
        </w:rPr>
        <w:t>בי' הגר"ח מטעלז דלריב"ם בהחזרתי במיגו דנאנסו מהני מיגו דבירור אעפ"י שאין לו כח טענה</w:t>
      </w:r>
    </w:p>
    <w:p w:rsidR="00E824D3" w:rsidRDefault="00E824D3" w:rsidP="00E824D3">
      <w:pPr>
        <w:pStyle w:val="aff4"/>
        <w:rPr>
          <w:rFonts w:eastAsiaTheme="minorEastAsia" w:cstheme="minorBidi"/>
          <w:i/>
          <w:iCs/>
          <w:noProof/>
          <w:sz w:val="22"/>
          <w:szCs w:val="22"/>
          <w:rtl/>
        </w:rPr>
      </w:pPr>
      <w:r>
        <w:rPr>
          <w:noProof/>
          <w:rtl/>
        </w:rPr>
        <w:t>דברי הגרב"ב דבמודה במקצת מהני שבועה דדידי חטפי</w:t>
      </w:r>
    </w:p>
    <w:p w:rsidR="00E824D3" w:rsidRDefault="00E824D3" w:rsidP="007E4E81">
      <w:pPr>
        <w:pStyle w:val="a"/>
        <w:rPr>
          <w:rFonts w:eastAsiaTheme="minorEastAsia" w:cstheme="minorBidi"/>
          <w:sz w:val="22"/>
          <w:szCs w:val="22"/>
          <w:rtl/>
        </w:rPr>
      </w:pPr>
      <w:r>
        <w:rPr>
          <w:rtl/>
        </w:rPr>
        <w:t>דברי הגרב"ב דדוקא בשבועת ע"א דהוא כשנים חשיב כעדים על גזילה ואמרינן משאיל"מ</w:t>
      </w:r>
    </w:p>
    <w:p w:rsidR="00E824D3" w:rsidRDefault="00E824D3" w:rsidP="007E4E81">
      <w:pPr>
        <w:pStyle w:val="a"/>
        <w:rPr>
          <w:rFonts w:eastAsiaTheme="minorEastAsia" w:cstheme="minorBidi"/>
          <w:sz w:val="22"/>
          <w:szCs w:val="22"/>
          <w:rtl/>
        </w:rPr>
      </w:pPr>
      <w:r>
        <w:rPr>
          <w:rtl/>
        </w:rPr>
        <w:t>דברי הגרב"ב דבמודה במקצת וטוען דידי חטפי נאמן מדין הפה שאסר ונשבע דדידיה חטף</w:t>
      </w:r>
    </w:p>
    <w:p w:rsidR="00E824D3" w:rsidRDefault="00E824D3" w:rsidP="00E824D3">
      <w:pPr>
        <w:pStyle w:val="aff4"/>
        <w:rPr>
          <w:rFonts w:eastAsiaTheme="minorEastAsia" w:cstheme="minorBidi"/>
          <w:i/>
          <w:iCs/>
          <w:noProof/>
          <w:sz w:val="22"/>
          <w:szCs w:val="22"/>
          <w:rtl/>
        </w:rPr>
      </w:pPr>
      <w:r>
        <w:rPr>
          <w:noProof/>
          <w:rtl/>
        </w:rPr>
        <w:t>חקירת הגרב"ב אי חיוב שבועה הוא חיוב ממון והשבועה פוטרתו</w:t>
      </w:r>
    </w:p>
    <w:p w:rsidR="00E824D3" w:rsidRDefault="00E824D3" w:rsidP="007E4E81">
      <w:pPr>
        <w:pStyle w:val="a"/>
        <w:rPr>
          <w:rFonts w:eastAsiaTheme="minorEastAsia" w:cstheme="minorBidi"/>
          <w:sz w:val="22"/>
          <w:szCs w:val="22"/>
          <w:rtl/>
        </w:rPr>
      </w:pPr>
      <w:r>
        <w:rPr>
          <w:rtl/>
        </w:rPr>
        <w:t>חקירת הגרב"ב אי ע"א מחייב שבועה ומשלם לסלק שבועה או דמחייב ממון והשבועה פוטרת</w:t>
      </w:r>
    </w:p>
    <w:p w:rsidR="00E824D3" w:rsidRDefault="00E824D3" w:rsidP="00E824D3">
      <w:pPr>
        <w:pStyle w:val="aff4"/>
        <w:rPr>
          <w:rFonts w:eastAsiaTheme="minorEastAsia" w:cstheme="minorBidi"/>
          <w:i/>
          <w:iCs/>
          <w:noProof/>
          <w:sz w:val="22"/>
          <w:szCs w:val="22"/>
          <w:rtl/>
        </w:rPr>
      </w:pPr>
      <w:r>
        <w:rPr>
          <w:noProof/>
          <w:rtl/>
        </w:rPr>
        <w:t>ביאור הברכ"ש דנח' ר"י וריב"ם אי שבועה הוא חיוב תשלומין</w:t>
      </w:r>
    </w:p>
    <w:p w:rsidR="00E824D3" w:rsidRDefault="00E824D3" w:rsidP="007E4E81">
      <w:pPr>
        <w:pStyle w:val="a"/>
        <w:rPr>
          <w:rFonts w:eastAsiaTheme="minorEastAsia" w:cstheme="minorBidi"/>
          <w:sz w:val="22"/>
          <w:szCs w:val="22"/>
          <w:rtl/>
        </w:rPr>
      </w:pPr>
      <w:r>
        <w:rPr>
          <w:rtl/>
        </w:rPr>
        <w:t>ביאור הברכ"ש בריב"ם דשבועה היא תשלומין על חיוב הממון והע"א כשנים והוי מיגו במק"ע</w:t>
      </w:r>
    </w:p>
    <w:p w:rsidR="00E824D3" w:rsidRDefault="00E824D3" w:rsidP="007E4E81">
      <w:pPr>
        <w:pStyle w:val="a"/>
        <w:rPr>
          <w:rFonts w:eastAsiaTheme="minorEastAsia" w:cstheme="minorBidi"/>
          <w:sz w:val="22"/>
          <w:szCs w:val="22"/>
          <w:rtl/>
        </w:rPr>
      </w:pPr>
      <w:r>
        <w:rPr>
          <w:rtl/>
        </w:rPr>
        <w:t>ביאור הברכ"ש בר"י דע"א מחייב רק שבועה ומהני מיגו אף כשלא נשבע והכא הוא מיגו דהעזה</w:t>
      </w:r>
    </w:p>
    <w:p w:rsidR="00E824D3" w:rsidRDefault="00E824D3" w:rsidP="007E4E81">
      <w:pPr>
        <w:pStyle w:val="a"/>
        <w:rPr>
          <w:rFonts w:eastAsiaTheme="minorEastAsia" w:cstheme="minorBidi"/>
          <w:sz w:val="22"/>
          <w:szCs w:val="22"/>
          <w:rtl/>
        </w:rPr>
      </w:pPr>
      <w:r>
        <w:rPr>
          <w:rtl/>
        </w:rPr>
        <w:t>ביאור הגרב"ב דלרמב"ן רק בע"א חל חיוב ממון כשנים ולרבינו יונה בכל שבועה חל חיוב ממון</w:t>
      </w:r>
    </w:p>
    <w:p w:rsidR="00E824D3" w:rsidRDefault="00E824D3" w:rsidP="007E4E81">
      <w:pPr>
        <w:pStyle w:val="a"/>
        <w:rPr>
          <w:rFonts w:eastAsiaTheme="minorEastAsia" w:cstheme="minorBidi"/>
          <w:sz w:val="22"/>
          <w:szCs w:val="22"/>
          <w:rtl/>
        </w:rPr>
      </w:pPr>
      <w:r>
        <w:rPr>
          <w:rtl/>
        </w:rPr>
        <w:t>בי' הברכ"ש ברבינו יונה דכשלא חל חיוב שבועה אין הע"א כשנים ורק בהודה לע"א הוא כשנים</w:t>
      </w:r>
    </w:p>
    <w:p w:rsidR="00E824D3" w:rsidRDefault="00E824D3" w:rsidP="00E824D3">
      <w:pPr>
        <w:pStyle w:val="aff4"/>
        <w:rPr>
          <w:rFonts w:eastAsiaTheme="minorEastAsia" w:cstheme="minorBidi"/>
          <w:i/>
          <w:iCs/>
          <w:noProof/>
          <w:sz w:val="22"/>
          <w:szCs w:val="22"/>
          <w:rtl/>
        </w:rPr>
      </w:pPr>
      <w:r>
        <w:rPr>
          <w:noProof/>
          <w:rtl/>
        </w:rPr>
        <w:t>בי' הברכ"ש דהמיגו לא פוטר מהשבועה אלא הע"א לא כשנים</w:t>
      </w:r>
    </w:p>
    <w:p w:rsidR="00E824D3" w:rsidRDefault="00E824D3" w:rsidP="007E4E81">
      <w:pPr>
        <w:pStyle w:val="a"/>
        <w:rPr>
          <w:rFonts w:eastAsiaTheme="minorEastAsia" w:cstheme="minorBidi"/>
          <w:sz w:val="22"/>
          <w:szCs w:val="22"/>
          <w:rtl/>
        </w:rPr>
      </w:pPr>
      <w:r>
        <w:rPr>
          <w:rtl/>
        </w:rPr>
        <w:t>בי' הברכ"ש דאין כוונת התוס' להקשות דמיגו יפטור משבועה אלא דע"י המיגו אין הע"א כב'</w:t>
      </w:r>
    </w:p>
    <w:p w:rsidR="00E824D3" w:rsidRDefault="00E824D3" w:rsidP="007E4E81">
      <w:pPr>
        <w:pStyle w:val="a"/>
        <w:rPr>
          <w:rFonts w:eastAsiaTheme="minorEastAsia" w:cstheme="minorBidi"/>
          <w:sz w:val="22"/>
          <w:szCs w:val="22"/>
          <w:rtl/>
        </w:rPr>
      </w:pPr>
      <w:r>
        <w:rPr>
          <w:rtl/>
        </w:rPr>
        <w:t>בי' הברכ"ש בר"י דאף שהודה שחטף הע"א אינו כשנים ומהני לחוטף מיגו לטענת דידי חטפי</w:t>
      </w:r>
    </w:p>
    <w:p w:rsidR="00E824D3" w:rsidRDefault="00E824D3" w:rsidP="007E4E81">
      <w:pPr>
        <w:pStyle w:val="a"/>
        <w:rPr>
          <w:rFonts w:eastAsiaTheme="minorEastAsia" w:cstheme="minorBidi"/>
          <w:sz w:val="22"/>
          <w:szCs w:val="22"/>
          <w:rtl/>
        </w:rPr>
      </w:pPr>
      <w:r>
        <w:rPr>
          <w:rtl/>
        </w:rPr>
        <w:t>ביאור הברכ"ש בריב"ם דבחיוב שבועה יש חיוב ממון והע"א כשנים והשבועה רק פטור ול"מ מיגו</w:t>
      </w:r>
    </w:p>
    <w:p w:rsidR="00E824D3" w:rsidRDefault="00E824D3" w:rsidP="00E824D3">
      <w:pPr>
        <w:pStyle w:val="aff4"/>
        <w:rPr>
          <w:rFonts w:eastAsiaTheme="minorEastAsia" w:cstheme="minorBidi"/>
          <w:i/>
          <w:iCs/>
          <w:noProof/>
          <w:sz w:val="22"/>
          <w:szCs w:val="22"/>
          <w:rtl/>
        </w:rPr>
      </w:pPr>
      <w:r>
        <w:rPr>
          <w:noProof/>
          <w:rtl/>
        </w:rPr>
        <w:t>ביאור הגרנ"ט בריב"ם דר"א ורב ושמואל נח' בגדר חיוב שבועה</w:t>
      </w:r>
    </w:p>
    <w:p w:rsidR="00E824D3" w:rsidRDefault="00E824D3" w:rsidP="007E4E81">
      <w:pPr>
        <w:pStyle w:val="a"/>
        <w:rPr>
          <w:rFonts w:eastAsiaTheme="minorEastAsia" w:cstheme="minorBidi"/>
          <w:sz w:val="22"/>
          <w:szCs w:val="22"/>
          <w:rtl/>
        </w:rPr>
      </w:pPr>
      <w:r>
        <w:rPr>
          <w:rtl/>
        </w:rPr>
        <w:t>ביאור הגרנ"ט בריב"ם דלר"א השבועה היא פטור ולרב ושמואל השבועה היא סיבת חיוב</w:t>
      </w:r>
    </w:p>
    <w:p w:rsidR="00E824D3" w:rsidRDefault="00E824D3" w:rsidP="00E824D3">
      <w:pPr>
        <w:pStyle w:val="aff4"/>
        <w:rPr>
          <w:rFonts w:eastAsiaTheme="minorEastAsia" w:cstheme="minorBidi"/>
          <w:i/>
          <w:iCs/>
          <w:noProof/>
          <w:sz w:val="22"/>
          <w:szCs w:val="22"/>
          <w:rtl/>
        </w:rPr>
      </w:pPr>
      <w:r>
        <w:rPr>
          <w:noProof/>
          <w:rtl/>
        </w:rPr>
        <w:t>ביאור הקה"י בר"י דלרב ושמואל נאמן בפה שאסר אף בהעזה</w:t>
      </w:r>
    </w:p>
    <w:p w:rsidR="00E824D3" w:rsidRDefault="00E824D3" w:rsidP="007E4E81">
      <w:pPr>
        <w:pStyle w:val="a"/>
        <w:rPr>
          <w:rFonts w:eastAsiaTheme="minorEastAsia" w:cstheme="minorBidi"/>
          <w:sz w:val="22"/>
          <w:szCs w:val="22"/>
          <w:rtl/>
        </w:rPr>
      </w:pPr>
      <w:r>
        <w:rPr>
          <w:rtl/>
        </w:rPr>
        <w:t>ביאור הקה"י דבמודה לע"א לר"א חיובו ע"י הע"א ולרב ושמואל חיובו מדין הודאת בע"ד</w:t>
      </w:r>
    </w:p>
    <w:p w:rsidR="00E824D3" w:rsidRDefault="00E824D3" w:rsidP="007E4E81">
      <w:pPr>
        <w:pStyle w:val="a"/>
        <w:rPr>
          <w:rFonts w:eastAsiaTheme="minorEastAsia" w:cstheme="minorBidi"/>
          <w:sz w:val="22"/>
          <w:szCs w:val="22"/>
          <w:rtl/>
        </w:rPr>
      </w:pPr>
      <w:r>
        <w:rPr>
          <w:rtl/>
        </w:rPr>
        <w:t>ביאור הקה"י ברמב"ן ובר"י דבמיגו דהעזה לר"א לא נאמן ולרב ושמואל נאמן מדין הפה שאסר</w:t>
      </w:r>
    </w:p>
    <w:p w:rsidR="00E824D3" w:rsidRDefault="00E824D3" w:rsidP="00E824D3">
      <w:pPr>
        <w:pStyle w:val="aff4"/>
        <w:rPr>
          <w:rFonts w:eastAsiaTheme="minorEastAsia" w:cstheme="minorBidi"/>
          <w:i/>
          <w:iCs/>
          <w:noProof/>
          <w:sz w:val="22"/>
          <w:szCs w:val="22"/>
          <w:rtl/>
        </w:rPr>
      </w:pPr>
      <w:r>
        <w:rPr>
          <w:noProof/>
          <w:rtl/>
        </w:rPr>
        <w:t>בי' הקה"י ברמב"ן דלרב ושמואל דל"א משאיל"מ אין ע"א כב'</w:t>
      </w:r>
    </w:p>
    <w:p w:rsidR="00E824D3" w:rsidRDefault="00E824D3" w:rsidP="007E4E81">
      <w:pPr>
        <w:pStyle w:val="a"/>
        <w:rPr>
          <w:rFonts w:eastAsiaTheme="minorEastAsia" w:cstheme="minorBidi"/>
          <w:sz w:val="22"/>
          <w:szCs w:val="22"/>
          <w:rtl/>
        </w:rPr>
      </w:pPr>
      <w:r>
        <w:rPr>
          <w:rtl/>
        </w:rPr>
        <w:t>בי' הקה"י ברמב"ן דכיון דהע"א כב' א"כ המיגו נגד חזקה דמה שתח"י וחשיב כמיגו להוציא</w:t>
      </w:r>
    </w:p>
    <w:p w:rsidR="00E824D3" w:rsidRDefault="00E824D3" w:rsidP="007E4E81">
      <w:pPr>
        <w:pStyle w:val="a"/>
        <w:rPr>
          <w:rFonts w:eastAsiaTheme="minorEastAsia" w:cstheme="minorBidi"/>
          <w:sz w:val="22"/>
          <w:szCs w:val="22"/>
          <w:rtl/>
        </w:rPr>
      </w:pPr>
      <w:r>
        <w:rPr>
          <w:rtl/>
        </w:rPr>
        <w:t>דברי הקה"י דלרב ושמואל דל"א משאיל"מ ע"א אינו כב' ואין לראשון חזקה ומהני מיגו</w:t>
      </w:r>
    </w:p>
    <w:p w:rsidR="00E824D3" w:rsidRDefault="00E824D3" w:rsidP="00E824D3">
      <w:pPr>
        <w:pStyle w:val="aff4"/>
        <w:rPr>
          <w:rFonts w:eastAsiaTheme="minorEastAsia" w:cstheme="minorBidi"/>
          <w:i/>
          <w:iCs/>
          <w:noProof/>
          <w:sz w:val="22"/>
          <w:szCs w:val="22"/>
          <w:rtl/>
        </w:rPr>
      </w:pPr>
      <w:r>
        <w:rPr>
          <w:noProof/>
          <w:rtl/>
        </w:rPr>
        <w:t>ביאור הגרנ"פ ברמב"ן ובקצוה"ח דלגבי הע"א ל"מ המיגו</w:t>
      </w:r>
    </w:p>
    <w:p w:rsidR="00E824D3" w:rsidRDefault="00E824D3" w:rsidP="007E4E81">
      <w:pPr>
        <w:pStyle w:val="a"/>
        <w:rPr>
          <w:rFonts w:eastAsiaTheme="minorEastAsia" w:cstheme="minorBidi"/>
          <w:sz w:val="22"/>
          <w:szCs w:val="22"/>
          <w:rtl/>
        </w:rPr>
      </w:pPr>
      <w:r>
        <w:rPr>
          <w:rtl/>
        </w:rPr>
        <w:t>בי' הגרנ"פ בקצוה"ח דכיון שהע"א ראה את החטיפה יש חסרון בכח הטענת המיגו דלא חטפי</w:t>
      </w:r>
    </w:p>
    <w:p w:rsidR="00E824D3" w:rsidRDefault="00E824D3" w:rsidP="007E4E81">
      <w:pPr>
        <w:pStyle w:val="a"/>
        <w:rPr>
          <w:rFonts w:eastAsiaTheme="minorEastAsia" w:cstheme="minorBidi"/>
          <w:sz w:val="22"/>
          <w:szCs w:val="22"/>
          <w:rtl/>
        </w:rPr>
      </w:pPr>
      <w:r>
        <w:rPr>
          <w:rtl/>
        </w:rPr>
        <w:t>בי' הגרנ"פ בקצוה"ח דבמיגו אין עדותו על מעשה גזילה וכשלגבי הע"א אין מיגו מעיד על גזילה</w:t>
      </w:r>
    </w:p>
    <w:p w:rsidR="00E824D3" w:rsidRDefault="00E824D3" w:rsidP="007E4E81">
      <w:pPr>
        <w:pStyle w:val="a"/>
        <w:rPr>
          <w:rFonts w:eastAsiaTheme="minorEastAsia" w:cstheme="minorBidi"/>
          <w:sz w:val="22"/>
          <w:szCs w:val="22"/>
          <w:rtl/>
        </w:rPr>
      </w:pPr>
      <w:r>
        <w:rPr>
          <w:rtl/>
        </w:rPr>
        <w:t>ביאור הגרנ"פ דכיון שלגבי הע"א אין מיגו והוא עדות גזילה אף לב"ד אין מיגו וזו כוונת הרמב"ן</w:t>
      </w:r>
    </w:p>
    <w:p w:rsidR="00E824D3" w:rsidRDefault="00E824D3" w:rsidP="007E4E81">
      <w:pPr>
        <w:pStyle w:val="a"/>
        <w:rPr>
          <w:rFonts w:eastAsiaTheme="minorEastAsia" w:cstheme="minorBidi"/>
          <w:sz w:val="22"/>
          <w:szCs w:val="22"/>
          <w:rtl/>
        </w:rPr>
      </w:pPr>
      <w:r>
        <w:rPr>
          <w:rtl/>
        </w:rPr>
        <w:t>דברי הגרנ"פ דבתוס' שלא הקשו על עיקר הסוגיא מוכח דמודו לקצוה"ח דלגבי הע"א אין מיגו</w:t>
      </w:r>
    </w:p>
    <w:p w:rsidR="00E824D3" w:rsidRDefault="00E824D3" w:rsidP="007E4E81">
      <w:pPr>
        <w:pStyle w:val="a"/>
        <w:rPr>
          <w:rFonts w:eastAsiaTheme="minorEastAsia" w:cstheme="minorBidi"/>
          <w:sz w:val="22"/>
          <w:szCs w:val="22"/>
          <w:rtl/>
        </w:rPr>
      </w:pPr>
      <w:r>
        <w:rPr>
          <w:rtl/>
        </w:rPr>
        <w:t>ביאור הגרנ"פ בקו' התוס' דאף דהמיגו לא פוטר את השבועה מ"מ יבטל המיגו את דין משאיל"מ</w:t>
      </w:r>
    </w:p>
    <w:p w:rsidR="00E824D3" w:rsidRDefault="00E824D3" w:rsidP="00E824D3">
      <w:pPr>
        <w:pStyle w:val="aff4"/>
        <w:rPr>
          <w:rFonts w:eastAsiaTheme="minorEastAsia" w:cstheme="minorBidi"/>
          <w:i/>
          <w:iCs/>
          <w:noProof/>
          <w:sz w:val="22"/>
          <w:szCs w:val="22"/>
          <w:rtl/>
        </w:rPr>
      </w:pPr>
      <w:r>
        <w:rPr>
          <w:noProof/>
          <w:rtl/>
        </w:rPr>
        <w:t>ביאור הגרנ"פ בריב"ם דל"מ מיגו לפטור מדין משאיל"מ</w:t>
      </w:r>
    </w:p>
    <w:p w:rsidR="00E824D3" w:rsidRDefault="00E824D3" w:rsidP="007E4E81">
      <w:pPr>
        <w:pStyle w:val="a"/>
        <w:rPr>
          <w:rFonts w:eastAsiaTheme="minorEastAsia" w:cstheme="minorBidi"/>
          <w:sz w:val="22"/>
          <w:szCs w:val="22"/>
          <w:rtl/>
        </w:rPr>
      </w:pPr>
      <w:r>
        <w:rPr>
          <w:rtl/>
        </w:rPr>
        <w:t>דברי הגרנ"פ דכוונת הברכ"ש לומר דהכא ל"ש שבמיגו נאמן על עצם הממון יותר מהע"א</w:t>
      </w:r>
    </w:p>
    <w:p w:rsidR="00E824D3" w:rsidRDefault="00E824D3" w:rsidP="007E4E81">
      <w:pPr>
        <w:pStyle w:val="a"/>
        <w:rPr>
          <w:rFonts w:eastAsiaTheme="minorEastAsia" w:cstheme="minorBidi"/>
          <w:sz w:val="22"/>
          <w:szCs w:val="22"/>
          <w:rtl/>
        </w:rPr>
      </w:pPr>
      <w:r>
        <w:rPr>
          <w:rtl/>
        </w:rPr>
        <w:t>ביאור הגרנ"פ בריב"ם דאחר שחל חיוב שבועה לא שייך לפטור את דין משאיל"מ ע"י מיגו</w:t>
      </w:r>
    </w:p>
    <w:p w:rsidR="00E824D3" w:rsidRDefault="00E824D3" w:rsidP="00E824D3">
      <w:pPr>
        <w:pStyle w:val="2"/>
        <w:rPr>
          <w:rFonts w:eastAsiaTheme="minorEastAsia" w:cstheme="minorBidi"/>
          <w:i/>
          <w:iCs/>
          <w:sz w:val="22"/>
          <w:szCs w:val="22"/>
          <w:rtl/>
        </w:rPr>
      </w:pPr>
      <w:r>
        <w:rPr>
          <w:rtl/>
        </w:rPr>
        <w:t>בבי' דעת הריב"ם דאין למיגו כח טענה</w:t>
      </w:r>
    </w:p>
    <w:p w:rsidR="00E824D3" w:rsidRDefault="00E824D3" w:rsidP="00E824D3">
      <w:pPr>
        <w:pStyle w:val="aff4"/>
        <w:rPr>
          <w:rFonts w:eastAsiaTheme="minorEastAsia" w:cstheme="minorBidi"/>
          <w:i/>
          <w:iCs/>
          <w:noProof/>
          <w:sz w:val="22"/>
          <w:szCs w:val="22"/>
          <w:rtl/>
        </w:rPr>
      </w:pPr>
      <w:r>
        <w:rPr>
          <w:noProof/>
          <w:rtl/>
        </w:rPr>
        <w:t>ביאור הגרש"ש בריב"ם דלר"א אין לו את זכות טענת המיגו</w:t>
      </w:r>
    </w:p>
    <w:p w:rsidR="00E824D3" w:rsidRDefault="00E824D3" w:rsidP="007E4E81">
      <w:pPr>
        <w:pStyle w:val="a"/>
        <w:rPr>
          <w:rFonts w:eastAsiaTheme="minorEastAsia" w:cstheme="minorBidi"/>
          <w:sz w:val="22"/>
          <w:szCs w:val="22"/>
          <w:rtl/>
        </w:rPr>
      </w:pPr>
      <w:r>
        <w:rPr>
          <w:rtl/>
        </w:rPr>
        <w:t>בי' הגרש"ש בריב"ם דכשהודה אין לו את זכות טענת המיגו דזכותו היא רק בשבועה שמכחישו</w:t>
      </w:r>
    </w:p>
    <w:p w:rsidR="00E824D3" w:rsidRDefault="00E824D3" w:rsidP="007E4E81">
      <w:pPr>
        <w:pStyle w:val="a"/>
        <w:rPr>
          <w:rFonts w:eastAsiaTheme="minorEastAsia" w:cstheme="minorBidi"/>
          <w:sz w:val="22"/>
          <w:szCs w:val="22"/>
          <w:rtl/>
        </w:rPr>
      </w:pPr>
      <w:r>
        <w:rPr>
          <w:rtl/>
        </w:rPr>
        <w:t>ביאור הגרש"ש דרק כיון דאמרינן משאיל"מ אין לו זכות טענה אחר שהודה דא"י לישבע ומשלם</w:t>
      </w:r>
    </w:p>
    <w:p w:rsidR="00E824D3" w:rsidRDefault="00E824D3" w:rsidP="007E4E81">
      <w:pPr>
        <w:pStyle w:val="a"/>
        <w:rPr>
          <w:rFonts w:eastAsiaTheme="minorEastAsia" w:cstheme="minorBidi"/>
          <w:sz w:val="22"/>
          <w:szCs w:val="22"/>
          <w:rtl/>
        </w:rPr>
      </w:pPr>
      <w:r>
        <w:rPr>
          <w:rtl/>
        </w:rPr>
        <w:t>דברי הגרש"ש דלרב ושמואל דל"א משאיל"מ אף שאיבד את זכות השבועה מהני המיגו ליפטר</w:t>
      </w:r>
    </w:p>
    <w:p w:rsidR="00E824D3" w:rsidRDefault="00E824D3" w:rsidP="00E824D3">
      <w:pPr>
        <w:pStyle w:val="aff4"/>
        <w:rPr>
          <w:rFonts w:eastAsiaTheme="minorEastAsia" w:cstheme="minorBidi"/>
          <w:i/>
          <w:iCs/>
          <w:noProof/>
          <w:sz w:val="22"/>
          <w:szCs w:val="22"/>
          <w:rtl/>
        </w:rPr>
      </w:pPr>
      <w:r>
        <w:rPr>
          <w:noProof/>
          <w:rtl/>
        </w:rPr>
        <w:t>ביאור בגרש"ש ברמב"ן דע"א כב' ואין לו כח טענה ולר"א חייב</w:t>
      </w:r>
    </w:p>
    <w:p w:rsidR="00E824D3" w:rsidRDefault="00E824D3" w:rsidP="007E4E81">
      <w:pPr>
        <w:pStyle w:val="a"/>
        <w:rPr>
          <w:rFonts w:eastAsiaTheme="minorEastAsia" w:cstheme="minorBidi"/>
          <w:sz w:val="22"/>
          <w:szCs w:val="22"/>
          <w:rtl/>
        </w:rPr>
      </w:pPr>
      <w:r>
        <w:rPr>
          <w:rtl/>
        </w:rPr>
        <w:t>בי' הגרש"ש דכיון דהע"א כשנים חשיב שיש עדות חטיפה והכח של הע"א אינו מחמת הודאתו</w:t>
      </w:r>
    </w:p>
    <w:p w:rsidR="00E824D3" w:rsidRDefault="00E824D3" w:rsidP="007E4E81">
      <w:pPr>
        <w:pStyle w:val="a"/>
        <w:rPr>
          <w:rFonts w:eastAsiaTheme="minorEastAsia" w:cstheme="minorBidi"/>
          <w:sz w:val="22"/>
          <w:szCs w:val="22"/>
          <w:rtl/>
        </w:rPr>
      </w:pPr>
      <w:r>
        <w:rPr>
          <w:rtl/>
        </w:rPr>
        <w:t>דברי הגרש"ש דלר"א חייב לשלם דאין לו כח טענה ולרב ושמואל אף שאין כח טענה מ"מ פטור</w:t>
      </w:r>
    </w:p>
    <w:p w:rsidR="00E824D3" w:rsidRDefault="00E824D3" w:rsidP="00E824D3">
      <w:pPr>
        <w:pStyle w:val="aff4"/>
        <w:rPr>
          <w:rFonts w:eastAsiaTheme="minorEastAsia" w:cstheme="minorBidi"/>
          <w:i/>
          <w:iCs/>
          <w:noProof/>
          <w:sz w:val="22"/>
          <w:szCs w:val="22"/>
          <w:rtl/>
        </w:rPr>
      </w:pPr>
      <w:r>
        <w:rPr>
          <w:noProof/>
          <w:rtl/>
        </w:rPr>
        <w:t>בי' הגרש"ש ברשב"א בד' הריב"ם דשבועה הוא חיוב תשלומין</w:t>
      </w:r>
    </w:p>
    <w:p w:rsidR="00E824D3" w:rsidRDefault="00E824D3" w:rsidP="007E4E81">
      <w:pPr>
        <w:pStyle w:val="a"/>
        <w:rPr>
          <w:rFonts w:eastAsiaTheme="minorEastAsia" w:cstheme="minorBidi"/>
          <w:sz w:val="22"/>
          <w:szCs w:val="22"/>
          <w:rtl/>
        </w:rPr>
      </w:pPr>
      <w:r>
        <w:rPr>
          <w:rtl/>
        </w:rPr>
        <w:t>ביאור הגרש"ש ברשב"א דשבועה אינו פטור מהממון אלא הוא חיוב תשלומין להשבע או לשלם</w:t>
      </w:r>
    </w:p>
    <w:p w:rsidR="00E824D3" w:rsidRDefault="00E824D3" w:rsidP="007E4E81">
      <w:pPr>
        <w:pStyle w:val="a"/>
        <w:rPr>
          <w:rFonts w:eastAsiaTheme="minorEastAsia" w:cstheme="minorBidi"/>
          <w:sz w:val="22"/>
          <w:szCs w:val="22"/>
          <w:rtl/>
        </w:rPr>
      </w:pPr>
      <w:r>
        <w:rPr>
          <w:rtl/>
        </w:rPr>
        <w:t>בי' הגרש"ש ברשב"א דכיון דבמיגו אינו נפטר מתשלומין של ממון או שבועה אמרינן משאיל"מ</w:t>
      </w:r>
    </w:p>
    <w:p w:rsidR="00E824D3" w:rsidRDefault="00E824D3" w:rsidP="007E4E81">
      <w:pPr>
        <w:pStyle w:val="a"/>
        <w:rPr>
          <w:rFonts w:eastAsiaTheme="minorEastAsia" w:cstheme="minorBidi"/>
          <w:sz w:val="22"/>
          <w:szCs w:val="22"/>
          <w:rtl/>
        </w:rPr>
      </w:pPr>
      <w:r>
        <w:rPr>
          <w:rtl/>
        </w:rPr>
        <w:t>בי' הגרש"ש דלרב ושמואל יש לו את כח הטענה של המיגו דהא א"י לישבע ופטור מלשלם</w:t>
      </w:r>
    </w:p>
    <w:p w:rsidR="00E824D3" w:rsidRDefault="00E824D3" w:rsidP="00E824D3">
      <w:pPr>
        <w:pStyle w:val="aff4"/>
        <w:rPr>
          <w:rFonts w:eastAsiaTheme="minorEastAsia" w:cstheme="minorBidi"/>
          <w:i/>
          <w:iCs/>
          <w:noProof/>
          <w:sz w:val="22"/>
          <w:szCs w:val="22"/>
          <w:rtl/>
        </w:rPr>
      </w:pPr>
      <w:r>
        <w:rPr>
          <w:noProof/>
          <w:rtl/>
        </w:rPr>
        <w:t>בי' הגרש"ש בתורא"ש דצריך כח טענה כפי השבועה שמחוייב</w:t>
      </w:r>
    </w:p>
    <w:p w:rsidR="00E824D3" w:rsidRDefault="00E824D3" w:rsidP="007E4E81">
      <w:pPr>
        <w:pStyle w:val="a"/>
        <w:rPr>
          <w:rFonts w:eastAsiaTheme="minorEastAsia" w:cstheme="minorBidi"/>
          <w:sz w:val="22"/>
          <w:szCs w:val="22"/>
          <w:rtl/>
        </w:rPr>
      </w:pPr>
      <w:r>
        <w:rPr>
          <w:rtl/>
        </w:rPr>
        <w:t>בי' הגרש"ש בתורא"ש דבלא חל חיוב שבועה סגי בנאמנות שבועה אף שאינה שבועה מחוייבת</w:t>
      </w:r>
    </w:p>
    <w:p w:rsidR="00E824D3" w:rsidRDefault="00E824D3" w:rsidP="007E4E81">
      <w:pPr>
        <w:pStyle w:val="a"/>
        <w:rPr>
          <w:rFonts w:eastAsiaTheme="minorEastAsia" w:cstheme="minorBidi"/>
          <w:sz w:val="22"/>
          <w:szCs w:val="22"/>
          <w:rtl/>
        </w:rPr>
      </w:pPr>
      <w:r>
        <w:rPr>
          <w:rtl/>
        </w:rPr>
        <w:t>ביאור הגרש"ש דבסוגיין שחל חיוב שבועה ל"מ מיגו להפטר ע"י שבועה שאינו מחוייב בה</w:t>
      </w:r>
    </w:p>
    <w:p w:rsidR="00E824D3" w:rsidRDefault="00E824D3" w:rsidP="007E4E81">
      <w:pPr>
        <w:pStyle w:val="a"/>
        <w:rPr>
          <w:rFonts w:eastAsiaTheme="minorEastAsia" w:cstheme="minorBidi"/>
          <w:sz w:val="22"/>
          <w:szCs w:val="22"/>
          <w:rtl/>
        </w:rPr>
      </w:pPr>
      <w:r>
        <w:rPr>
          <w:rtl/>
        </w:rPr>
        <w:t>בי' הגרש"ש דאי שבועה היא בירור ולא תשלום סגי במיגו דמ"ל לשקר אף דלא מחוייב בשבועה</w:t>
      </w:r>
    </w:p>
    <w:p w:rsidR="00E824D3" w:rsidRDefault="00E824D3" w:rsidP="00E824D3">
      <w:pPr>
        <w:pStyle w:val="aff4"/>
        <w:rPr>
          <w:rFonts w:eastAsiaTheme="minorEastAsia" w:cstheme="minorBidi"/>
          <w:i/>
          <w:iCs/>
          <w:noProof/>
          <w:sz w:val="22"/>
          <w:szCs w:val="22"/>
          <w:rtl/>
        </w:rPr>
      </w:pPr>
      <w:r>
        <w:rPr>
          <w:noProof/>
          <w:rtl/>
        </w:rPr>
        <w:t>ביאור הקוב"ש בריב"ם דכל שלא הוכחש הע"א אין כח טענה</w:t>
      </w:r>
    </w:p>
    <w:p w:rsidR="00E824D3" w:rsidRDefault="00E824D3" w:rsidP="007E4E81">
      <w:pPr>
        <w:pStyle w:val="a"/>
        <w:rPr>
          <w:rFonts w:eastAsiaTheme="minorEastAsia" w:cstheme="minorBidi"/>
          <w:sz w:val="22"/>
          <w:szCs w:val="22"/>
          <w:rtl/>
        </w:rPr>
      </w:pPr>
      <w:r>
        <w:rPr>
          <w:rtl/>
        </w:rPr>
        <w:t>ביאור הקוב"ש בריב"ם דכיון שע"א כשנים כל שלא נשבע להכחישו אין את כח טענת לא חטפי</w:t>
      </w:r>
    </w:p>
    <w:p w:rsidR="00E824D3" w:rsidRDefault="00E824D3" w:rsidP="007E4E81">
      <w:pPr>
        <w:pStyle w:val="a"/>
        <w:rPr>
          <w:rFonts w:eastAsiaTheme="minorEastAsia" w:cstheme="minorBidi"/>
          <w:sz w:val="22"/>
          <w:szCs w:val="22"/>
          <w:rtl/>
        </w:rPr>
      </w:pPr>
      <w:r>
        <w:rPr>
          <w:rtl/>
        </w:rPr>
        <w:t>בי' הקוב"ש דכשלא חל חיוב שבועה יש כח טענה אבל בע"א רק כשנשבע מתחדש כח הנאמנות</w:t>
      </w:r>
    </w:p>
    <w:p w:rsidR="00E824D3" w:rsidRDefault="00E824D3" w:rsidP="007E4E81">
      <w:pPr>
        <w:pStyle w:val="a"/>
        <w:rPr>
          <w:rFonts w:eastAsiaTheme="minorEastAsia" w:cstheme="minorBidi"/>
          <w:sz w:val="22"/>
          <w:szCs w:val="22"/>
          <w:rtl/>
        </w:rPr>
      </w:pPr>
      <w:r>
        <w:rPr>
          <w:rtl/>
        </w:rPr>
        <w:t>דחיית הגרנ"פ דמקושית התוס' מהילפותא למשאיל"מ מוכח דלא כדביאר הקוב"ש בריב"ם</w:t>
      </w:r>
    </w:p>
    <w:p w:rsidR="00E824D3" w:rsidRDefault="00E824D3" w:rsidP="00E824D3">
      <w:pPr>
        <w:pStyle w:val="2"/>
        <w:rPr>
          <w:rFonts w:eastAsiaTheme="minorEastAsia" w:cstheme="minorBidi"/>
          <w:i/>
          <w:iCs/>
          <w:sz w:val="22"/>
          <w:szCs w:val="22"/>
          <w:rtl/>
        </w:rPr>
      </w:pPr>
      <w:r>
        <w:rPr>
          <w:rtl/>
        </w:rPr>
        <w:t>בהוכחת תוס' דחזקה מה שתח"י מבררת</w:t>
      </w:r>
    </w:p>
    <w:p w:rsidR="00E824D3" w:rsidRDefault="00E824D3" w:rsidP="00E824D3">
      <w:pPr>
        <w:pStyle w:val="aff4"/>
        <w:rPr>
          <w:rFonts w:eastAsiaTheme="minorEastAsia" w:cstheme="minorBidi"/>
          <w:i/>
          <w:iCs/>
          <w:noProof/>
          <w:sz w:val="22"/>
          <w:szCs w:val="22"/>
          <w:rtl/>
        </w:rPr>
      </w:pPr>
      <w:r>
        <w:rPr>
          <w:noProof/>
          <w:rtl/>
        </w:rPr>
        <w:t>בי' הגרב"ב בתוס' דהוכיחו מנסכא דחזקה מה שתח"י היא בירור</w:t>
      </w:r>
    </w:p>
    <w:p w:rsidR="00E824D3" w:rsidRDefault="00E824D3" w:rsidP="007E4E81">
      <w:pPr>
        <w:pStyle w:val="a"/>
        <w:rPr>
          <w:rFonts w:eastAsiaTheme="minorEastAsia" w:cstheme="minorBidi"/>
          <w:sz w:val="22"/>
          <w:szCs w:val="22"/>
          <w:rtl/>
        </w:rPr>
      </w:pPr>
      <w:r>
        <w:rPr>
          <w:rtl/>
        </w:rPr>
        <w:t>חקירת הגרב"ב אי עדות חטיפה היא עדות על גזל ממון או עדות שיש לראשון חזקה דהיא תח"י</w:t>
      </w:r>
    </w:p>
    <w:p w:rsidR="00E824D3" w:rsidRDefault="00E824D3" w:rsidP="007E4E81">
      <w:pPr>
        <w:pStyle w:val="a"/>
        <w:rPr>
          <w:rFonts w:eastAsiaTheme="minorEastAsia" w:cstheme="minorBidi"/>
          <w:sz w:val="22"/>
          <w:szCs w:val="22"/>
          <w:rtl/>
        </w:rPr>
      </w:pPr>
      <w:r>
        <w:rPr>
          <w:rtl/>
        </w:rPr>
        <w:t>בי' הברכ"ש בתוס' דמדהחוטף מחוייב שבועה דמכחיש את העד מוכח דהיא ודאי של הראשון</w:t>
      </w:r>
    </w:p>
    <w:p w:rsidR="00E824D3" w:rsidRDefault="00E824D3" w:rsidP="007E4E81">
      <w:pPr>
        <w:pStyle w:val="a"/>
        <w:rPr>
          <w:rFonts w:eastAsiaTheme="minorEastAsia" w:cstheme="minorBidi"/>
          <w:sz w:val="22"/>
          <w:szCs w:val="22"/>
          <w:rtl/>
        </w:rPr>
      </w:pPr>
      <w:r>
        <w:rPr>
          <w:rtl/>
        </w:rPr>
        <w:t>בי' הברכ"ש בתוס' דאי הנסכא של הראשון מספק ולא בודאי א"א להוציאה מהחוטף מדין ספק</w:t>
      </w:r>
    </w:p>
    <w:p w:rsidR="00E824D3" w:rsidRDefault="00E824D3" w:rsidP="007E4E81">
      <w:pPr>
        <w:pStyle w:val="a"/>
        <w:rPr>
          <w:rFonts w:eastAsiaTheme="minorEastAsia" w:cstheme="minorBidi"/>
          <w:sz w:val="22"/>
          <w:szCs w:val="22"/>
          <w:rtl/>
        </w:rPr>
      </w:pPr>
      <w:r>
        <w:rPr>
          <w:rtl/>
        </w:rPr>
        <w:t>דברי הברכ"ש דאי הנסכא של הראשון מספק א"כ המיגו אינו מכחיש את הע"א ואין שבועה כלל</w:t>
      </w:r>
    </w:p>
    <w:p w:rsidR="00E824D3" w:rsidRDefault="00E824D3" w:rsidP="007E4E81">
      <w:pPr>
        <w:pStyle w:val="a"/>
        <w:rPr>
          <w:rFonts w:eastAsiaTheme="minorEastAsia" w:cstheme="minorBidi"/>
          <w:sz w:val="22"/>
          <w:szCs w:val="22"/>
          <w:rtl/>
        </w:rPr>
      </w:pPr>
      <w:r>
        <w:rPr>
          <w:rtl/>
        </w:rPr>
        <w:t>ביאור הברכ"ש דאי חזקה דמה שתח"י שלו הוא דין המע"ה א"א לחייב שבועה מדין מוחזקות</w:t>
      </w:r>
    </w:p>
    <w:p w:rsidR="00E824D3" w:rsidRDefault="00E824D3" w:rsidP="007E4E81">
      <w:pPr>
        <w:pStyle w:val="a"/>
        <w:rPr>
          <w:rFonts w:eastAsiaTheme="minorEastAsia" w:cstheme="minorBidi"/>
          <w:sz w:val="22"/>
          <w:szCs w:val="22"/>
          <w:rtl/>
        </w:rPr>
      </w:pPr>
      <w:r>
        <w:rPr>
          <w:rtl/>
        </w:rPr>
        <w:t>ביאור הגרב"ב דאי עדות חטיפה היא עדות על החזקה אין הע"א יכול לחייב שבועה מדין חזקה</w:t>
      </w:r>
    </w:p>
    <w:p w:rsidR="00E824D3" w:rsidRDefault="00E824D3" w:rsidP="007E4E81">
      <w:pPr>
        <w:pStyle w:val="a"/>
        <w:rPr>
          <w:rFonts w:eastAsiaTheme="minorEastAsia" w:cstheme="minorBidi"/>
          <w:sz w:val="22"/>
          <w:szCs w:val="22"/>
          <w:rtl/>
        </w:rPr>
      </w:pPr>
      <w:r>
        <w:rPr>
          <w:rtl/>
        </w:rPr>
        <w:t>ביאור הגרב"ב בתוס' דמוכח בסוגיין דעדות חטיפה היא עדות על גזל ממון ולכן חייב שבועה</w:t>
      </w:r>
    </w:p>
    <w:p w:rsidR="00E824D3" w:rsidRDefault="00E824D3" w:rsidP="00E824D3">
      <w:pPr>
        <w:pStyle w:val="2"/>
        <w:rPr>
          <w:rFonts w:eastAsiaTheme="minorEastAsia" w:cstheme="minorBidi"/>
          <w:i/>
          <w:iCs/>
          <w:sz w:val="22"/>
          <w:szCs w:val="22"/>
          <w:rtl/>
        </w:rPr>
      </w:pPr>
      <w:r>
        <w:rPr>
          <w:rtl/>
        </w:rPr>
        <w:t>קו' הגר"ח דיעשה חשוד ע"י הבע"ד</w:t>
      </w:r>
    </w:p>
    <w:p w:rsidR="00E824D3" w:rsidRDefault="00E824D3" w:rsidP="00E824D3">
      <w:pPr>
        <w:pStyle w:val="aff4"/>
        <w:rPr>
          <w:rFonts w:eastAsiaTheme="minorEastAsia" w:cstheme="minorBidi"/>
          <w:i/>
          <w:iCs/>
          <w:noProof/>
          <w:sz w:val="22"/>
          <w:szCs w:val="22"/>
          <w:rtl/>
        </w:rPr>
      </w:pPr>
      <w:r>
        <w:rPr>
          <w:noProof/>
          <w:rtl/>
        </w:rPr>
        <w:t>דברי הגר"ח דנח' רב ושמואל ור"א אי נעשה חשוד ע"י הבע"ד</w:t>
      </w:r>
    </w:p>
    <w:p w:rsidR="00E824D3" w:rsidRDefault="00E824D3" w:rsidP="007E4E81">
      <w:pPr>
        <w:pStyle w:val="a"/>
        <w:rPr>
          <w:rFonts w:eastAsiaTheme="minorEastAsia" w:cstheme="minorBidi"/>
          <w:sz w:val="22"/>
          <w:szCs w:val="22"/>
          <w:rtl/>
        </w:rPr>
      </w:pPr>
      <w:r>
        <w:rPr>
          <w:rtl/>
        </w:rPr>
        <w:t>קו' הגר"ח דהבע"ד יצטרף לעד לפוסלו משבועה ולא שייך בזה משאיל"מ ומדינא חייב או פטור</w:t>
      </w:r>
    </w:p>
    <w:p w:rsidR="00E824D3" w:rsidRDefault="00E824D3" w:rsidP="007E4E81">
      <w:pPr>
        <w:pStyle w:val="a"/>
        <w:rPr>
          <w:rFonts w:eastAsiaTheme="minorEastAsia" w:cstheme="minorBidi"/>
          <w:sz w:val="22"/>
          <w:szCs w:val="22"/>
          <w:rtl/>
        </w:rPr>
      </w:pPr>
      <w:r>
        <w:rPr>
          <w:rtl/>
        </w:rPr>
        <w:t>דברי הגר"ח דלחיוב תשלומין הבע"ד לא נאמן לחייבו לשלם לעצמו אך לשבועה אפש"ל דנאמן</w:t>
      </w:r>
    </w:p>
    <w:p w:rsidR="00E824D3" w:rsidRDefault="00E824D3" w:rsidP="007E4E81">
      <w:pPr>
        <w:pStyle w:val="a"/>
        <w:rPr>
          <w:rFonts w:eastAsiaTheme="minorEastAsia" w:cstheme="minorBidi"/>
          <w:sz w:val="22"/>
          <w:szCs w:val="22"/>
          <w:rtl/>
        </w:rPr>
      </w:pPr>
      <w:r>
        <w:rPr>
          <w:rtl/>
        </w:rPr>
        <w:t>תירוץ הגר"ח דלר"א דאמרינן משאיל"מ ואינו חשוד לממון לכן אינו חשוד אף לשבועה</w:t>
      </w:r>
    </w:p>
    <w:p w:rsidR="00E824D3" w:rsidRDefault="00E824D3" w:rsidP="007E4E81">
      <w:pPr>
        <w:pStyle w:val="a"/>
        <w:rPr>
          <w:rFonts w:eastAsiaTheme="minorEastAsia" w:cstheme="minorBidi"/>
          <w:sz w:val="22"/>
          <w:szCs w:val="22"/>
          <w:rtl/>
        </w:rPr>
      </w:pPr>
      <w:r>
        <w:rPr>
          <w:rtl/>
        </w:rPr>
        <w:t>תי' הגר"ח בר"י דלרב ושמואל אינו העזה דאי היה מכחיש הוי חשוד ופטור ורק לר"א הוא העזה</w:t>
      </w:r>
    </w:p>
    <w:p w:rsidR="00E824D3" w:rsidRDefault="00E824D3" w:rsidP="00E824D3">
      <w:pPr>
        <w:pStyle w:val="2"/>
        <w:rPr>
          <w:rtl/>
        </w:rPr>
        <w:sectPr w:rsidR="00E824D3" w:rsidSect="00DC277F">
          <w:headerReference w:type="even" r:id="rId157"/>
          <w:footerReference w:type="even" r:id="rId158"/>
          <w:headerReference w:type="first" r:id="rId159"/>
          <w:footerReference w:type="first" r:id="rId160"/>
          <w:type w:val="continuous"/>
          <w:pgSz w:w="11906" w:h="16838"/>
          <w:pgMar w:top="720" w:right="720" w:bottom="720" w:left="720" w:header="283" w:footer="283" w:gutter="0"/>
          <w:cols w:num="2" w:space="113"/>
          <w:titlePg/>
          <w:bidi/>
          <w:rtlGutter/>
          <w:docGrid w:linePitch="299"/>
        </w:sectPr>
      </w:pPr>
      <w:r>
        <w:rPr>
          <w:rtl/>
        </w:rPr>
        <w:fldChar w:fldCharType="end"/>
      </w:r>
    </w:p>
    <w:p w:rsidR="00E824D3" w:rsidRPr="00B21444" w:rsidRDefault="00E824D3" w:rsidP="00E824D3">
      <w:pPr>
        <w:pStyle w:val="afe"/>
        <w:rPr>
          <w:rtl/>
        </w:rPr>
        <w:sectPr w:rsidR="00E824D3" w:rsidRPr="00B21444" w:rsidSect="00962FD5">
          <w:footerReference w:type="default" r:id="rId161"/>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rsidR="00E824D3" w:rsidRDefault="00E824D3" w:rsidP="00E824D3">
      <w:pPr>
        <w:pStyle w:val="afe"/>
      </w:pPr>
      <w:bookmarkStart w:id="17168" w:name="_Toc65142870"/>
      <w:bookmarkStart w:id="17169" w:name="_Toc65529999"/>
      <w:bookmarkStart w:id="17170" w:name="_Toc65748229"/>
      <w:bookmarkStart w:id="17171" w:name="_Toc65788167"/>
      <w:bookmarkStart w:id="17172" w:name="_Toc65839198"/>
      <w:bookmarkStart w:id="17173" w:name="_Toc66048828"/>
      <w:bookmarkStart w:id="17174" w:name="_Toc66055768"/>
      <w:bookmarkStart w:id="17175" w:name="_Toc66085874"/>
      <w:bookmarkStart w:id="17176" w:name="_Toc66110436"/>
      <w:bookmarkStart w:id="17177" w:name="_Toc66123296"/>
      <w:bookmarkStart w:id="17178" w:name="_Toc66143744"/>
      <w:bookmarkStart w:id="17179" w:name="_Toc66171907"/>
      <w:bookmarkStart w:id="17180" w:name="_Toc66183147"/>
      <w:bookmarkStart w:id="17181" w:name="_Toc66185927"/>
      <w:bookmarkStart w:id="17182" w:name="_Toc66193387"/>
      <w:r>
        <w:rPr>
          <w:rFonts w:hint="cs"/>
          <w:rtl/>
        </w:rPr>
        <w:t>אמאי ל"מ שבועה במיגו דלא חטפי</w:t>
      </w:r>
      <w:bookmarkEnd w:id="17168"/>
      <w:bookmarkEnd w:id="17169"/>
      <w:bookmarkEnd w:id="17170"/>
      <w:bookmarkEnd w:id="17171"/>
      <w:bookmarkEnd w:id="17172"/>
      <w:bookmarkEnd w:id="17173"/>
      <w:bookmarkEnd w:id="17174"/>
      <w:bookmarkEnd w:id="17175"/>
      <w:bookmarkEnd w:id="17176"/>
      <w:bookmarkEnd w:id="17177"/>
      <w:bookmarkEnd w:id="17178"/>
      <w:bookmarkEnd w:id="17179"/>
      <w:bookmarkEnd w:id="17180"/>
      <w:bookmarkEnd w:id="17181"/>
      <w:bookmarkEnd w:id="17182"/>
    </w:p>
    <w:p w:rsidR="00E824D3" w:rsidRDefault="00E824D3" w:rsidP="00E824D3">
      <w:pPr>
        <w:pStyle w:val="1"/>
        <w:rPr>
          <w:rtl/>
        </w:rPr>
      </w:pPr>
      <w:bookmarkStart w:id="17183" w:name="_Toc65142871"/>
      <w:bookmarkStart w:id="17184" w:name="_Toc65185655"/>
      <w:bookmarkStart w:id="17185" w:name="_Toc65530000"/>
      <w:bookmarkStart w:id="17186" w:name="_Toc65748230"/>
      <w:bookmarkStart w:id="17187" w:name="_Toc65788168"/>
      <w:bookmarkStart w:id="17188" w:name="_Toc65839199"/>
      <w:bookmarkStart w:id="17189" w:name="_Toc66048829"/>
      <w:bookmarkStart w:id="17190" w:name="_Toc66055769"/>
      <w:bookmarkStart w:id="17191" w:name="_Toc66085875"/>
      <w:bookmarkStart w:id="17192" w:name="_Toc66110437"/>
      <w:bookmarkStart w:id="17193" w:name="_Toc66123297"/>
      <w:bookmarkStart w:id="17194" w:name="_Toc66143745"/>
      <w:bookmarkStart w:id="17195" w:name="_Toc66171908"/>
      <w:bookmarkStart w:id="17196" w:name="_Toc66183148"/>
      <w:bookmarkStart w:id="17197" w:name="_Toc66185928"/>
      <w:bookmarkStart w:id="17198" w:name="_Toc66193388"/>
      <w:r>
        <w:rPr>
          <w:rFonts w:hint="cs"/>
          <w:rtl/>
        </w:rPr>
        <w:t>קו' תוס' והראשונים אמאי אינו נאמן בשבועה דדידי חטפי במיגו</w:t>
      </w:r>
      <w:bookmarkEnd w:id="17183"/>
      <w:bookmarkEnd w:id="17184"/>
      <w:bookmarkEnd w:id="17185"/>
      <w:bookmarkEnd w:id="17186"/>
      <w:bookmarkEnd w:id="17187"/>
      <w:bookmarkEnd w:id="17188"/>
      <w:bookmarkEnd w:id="17189"/>
      <w:bookmarkEnd w:id="17190"/>
      <w:bookmarkEnd w:id="17191"/>
      <w:bookmarkEnd w:id="17192"/>
      <w:bookmarkEnd w:id="17193"/>
      <w:bookmarkEnd w:id="17194"/>
      <w:bookmarkEnd w:id="17195"/>
      <w:bookmarkEnd w:id="17196"/>
      <w:bookmarkEnd w:id="17197"/>
      <w:bookmarkEnd w:id="17198"/>
    </w:p>
    <w:p w:rsidR="00E824D3" w:rsidRDefault="00E824D3" w:rsidP="00E824D3">
      <w:pPr>
        <w:pStyle w:val="a3"/>
        <w:rPr>
          <w:rtl/>
        </w:rPr>
      </w:pPr>
      <w:bookmarkStart w:id="17199" w:name="_Toc65839200"/>
      <w:bookmarkStart w:id="17200" w:name="_Toc66048830"/>
      <w:bookmarkStart w:id="17201" w:name="_Toc66055770"/>
      <w:bookmarkStart w:id="17202" w:name="_Toc66085876"/>
      <w:bookmarkStart w:id="17203" w:name="_Toc66110438"/>
      <w:bookmarkStart w:id="17204" w:name="_Toc66123298"/>
      <w:bookmarkStart w:id="17205" w:name="_Toc66143746"/>
      <w:bookmarkStart w:id="17206" w:name="_Toc66171909"/>
      <w:bookmarkStart w:id="17207" w:name="_Toc66183149"/>
      <w:bookmarkStart w:id="17208" w:name="_Toc66185929"/>
      <w:bookmarkStart w:id="17209" w:name="_Toc66193389"/>
      <w:r>
        <w:rPr>
          <w:rFonts w:hint="cs"/>
          <w:rtl/>
        </w:rPr>
        <w:t>קושית תוס' והראשונים אמאי אינו נאמן בשבועת דידי חטפי במיגו דהיה נשבע דלא חטפי</w:t>
      </w:r>
      <w:bookmarkEnd w:id="17199"/>
      <w:bookmarkEnd w:id="17200"/>
      <w:bookmarkEnd w:id="17201"/>
      <w:bookmarkEnd w:id="17202"/>
      <w:bookmarkEnd w:id="17203"/>
      <w:bookmarkEnd w:id="17204"/>
      <w:bookmarkEnd w:id="17205"/>
      <w:bookmarkEnd w:id="17206"/>
      <w:bookmarkEnd w:id="17207"/>
      <w:bookmarkEnd w:id="17208"/>
      <w:bookmarkEnd w:id="17209"/>
    </w:p>
    <w:p w:rsidR="00E824D3" w:rsidRPr="00944CB3" w:rsidRDefault="00E824D3" w:rsidP="00BA3263">
      <w:pPr>
        <w:pStyle w:val="a0"/>
        <w:numPr>
          <w:ilvl w:val="0"/>
          <w:numId w:val="38"/>
        </w:numPr>
        <w:rPr>
          <w:rStyle w:val="afb"/>
          <w:rtl/>
        </w:rPr>
      </w:pPr>
      <w:bookmarkStart w:id="17210" w:name="_Ref65082310"/>
      <w:bookmarkStart w:id="17211" w:name="_Ref66116856"/>
      <w:r>
        <w:rPr>
          <w:rFonts w:hint="cs"/>
          <w:rtl/>
        </w:rPr>
        <w:t xml:space="preserve">בהא דאמרינן דהוא מחוייב שבועה ואינו יכול להשבע, כתבו </w:t>
      </w:r>
      <w:r>
        <w:rPr>
          <w:rStyle w:val="af9"/>
          <w:rtl/>
        </w:rPr>
        <w:t>התוס' בסוגיין</w:t>
      </w:r>
      <w:r>
        <w:rPr>
          <w:rFonts w:hint="cs"/>
          <w:rtl/>
        </w:rPr>
        <w:t xml:space="preserve"> </w:t>
      </w:r>
      <w:r w:rsidRPr="007E4E81">
        <w:rPr>
          <w:rStyle w:val="af7"/>
          <w:rFonts w:eastAsia="Guttman Hodes" w:hint="cs"/>
          <w:rtl/>
        </w:rPr>
        <w:t>(ד"ה הוי)</w:t>
      </w:r>
      <w:r>
        <w:rPr>
          <w:rFonts w:hint="cs"/>
          <w:rtl/>
        </w:rPr>
        <w:t xml:space="preserve"> דכיון שהודה אינו נשבע, אך הקשו </w:t>
      </w:r>
      <w:r>
        <w:rPr>
          <w:rStyle w:val="af9"/>
          <w:rtl/>
        </w:rPr>
        <w:t>התוס' בסוגיין</w:t>
      </w:r>
      <w:r>
        <w:rPr>
          <w:rFonts w:hint="cs"/>
          <w:rtl/>
        </w:rPr>
        <w:t xml:space="preserve"> </w:t>
      </w:r>
      <w:r>
        <w:rPr>
          <w:rStyle w:val="af9"/>
          <w:rtl/>
        </w:rPr>
        <w:t>ובשבועות</w:t>
      </w:r>
      <w:r>
        <w:rPr>
          <w:rFonts w:hint="cs"/>
          <w:rtl/>
        </w:rPr>
        <w:t xml:space="preserve"> </w:t>
      </w:r>
      <w:r w:rsidRPr="007E4E81">
        <w:rPr>
          <w:rStyle w:val="af7"/>
          <w:rFonts w:eastAsia="Guttman Hodes" w:hint="cs"/>
          <w:rtl/>
        </w:rPr>
        <w:t xml:space="preserve">(לב: ד"ה הוה) </w:t>
      </w:r>
      <w:r>
        <w:rPr>
          <w:rStyle w:val="af9"/>
          <w:rtl/>
        </w:rPr>
        <w:t>והרמב"ן</w:t>
      </w:r>
      <w:r>
        <w:rPr>
          <w:rFonts w:hint="cs"/>
          <w:rtl/>
        </w:rPr>
        <w:t xml:space="preserve"> </w:t>
      </w:r>
      <w:r w:rsidRPr="007E4E81">
        <w:rPr>
          <w:rStyle w:val="af7"/>
          <w:rFonts w:eastAsia="Guttman Hodes" w:hint="cs"/>
          <w:rtl/>
        </w:rPr>
        <w:t xml:space="preserve">(ד"ה והא) </w:t>
      </w:r>
      <w:r>
        <w:rPr>
          <w:rStyle w:val="af9"/>
          <w:rtl/>
        </w:rPr>
        <w:t>ורבינו יונה</w:t>
      </w:r>
      <w:r>
        <w:rPr>
          <w:rFonts w:hint="cs"/>
          <w:rtl/>
        </w:rPr>
        <w:t xml:space="preserve"> </w:t>
      </w:r>
      <w:r w:rsidRPr="007E4E81">
        <w:rPr>
          <w:rStyle w:val="af7"/>
          <w:rFonts w:eastAsia="Guttman Hodes" w:hint="cs"/>
          <w:rtl/>
        </w:rPr>
        <w:t>(ד"ה לשתבע)</w:t>
      </w:r>
      <w:r>
        <w:rPr>
          <w:rFonts w:hint="cs"/>
          <w:rtl/>
        </w:rPr>
        <w:t xml:space="preserve"> דאמאי אינו נאמן בשבועה דדידיה חטף, במיגו דהיה יכול לטעון לא חטפי דהיה נאמן בשבועה, </w:t>
      </w:r>
      <w:r w:rsidRPr="007E4E81">
        <w:rPr>
          <w:rFonts w:hint="cs"/>
          <w:b/>
          <w:bCs/>
          <w:rtl/>
        </w:rPr>
        <w:t>והרשב"א</w:t>
      </w:r>
      <w:r w:rsidRPr="007E4E81">
        <w:rPr>
          <w:rFonts w:ascii="Calibri" w:eastAsia="Calibri" w:hAnsi="Calibri" w:cs="Arial"/>
          <w:noProof w:val="0"/>
          <w:sz w:val="22"/>
          <w:szCs w:val="22"/>
          <w:rtl/>
        </w:rPr>
        <w:t xml:space="preserve"> </w:t>
      </w:r>
      <w:r w:rsidRPr="007E4E81">
        <w:rPr>
          <w:rFonts w:ascii="Calibri" w:hAnsi="Calibri" w:cs="Guttman Rashi" w:hint="cs"/>
          <w:noProof w:val="0"/>
          <w:sz w:val="10"/>
          <w:szCs w:val="12"/>
          <w:rtl/>
        </w:rPr>
        <w:t>(ד"ה וא"ת)</w:t>
      </w:r>
      <w:r>
        <w:rPr>
          <w:rFonts w:hint="cs"/>
          <w:rtl/>
        </w:rPr>
        <w:t xml:space="preserve"> הקשה דיהיה נאמן בשבועה דאו', במיגו דהיה יכול לטעון לא חטפי</w:t>
      </w:r>
      <w:r w:rsidRPr="007E4E81">
        <w:rPr>
          <w:rFonts w:hint="cs"/>
          <w:b/>
          <w:bCs/>
          <w:rtl/>
        </w:rPr>
        <w:t>,</w:t>
      </w:r>
      <w:r>
        <w:rPr>
          <w:rFonts w:hint="cs"/>
          <w:rtl/>
        </w:rPr>
        <w:t xml:space="preserve"> דהיה נשבע שבועה דאו'</w:t>
      </w:r>
      <w:r>
        <w:rPr>
          <w:rStyle w:val="af1"/>
          <w:rtl/>
        </w:rPr>
        <w:footnoteReference w:id="118"/>
      </w:r>
      <w:r>
        <w:rPr>
          <w:rFonts w:hint="cs"/>
          <w:rtl/>
        </w:rPr>
        <w:t xml:space="preserve">, </w:t>
      </w:r>
      <w:bookmarkEnd w:id="17210"/>
      <w:r>
        <w:rPr>
          <w:rFonts w:hint="cs"/>
          <w:rtl/>
        </w:rPr>
        <w:t xml:space="preserve">ועי' במה שהקשה </w:t>
      </w:r>
      <w:r w:rsidRPr="00D70F82">
        <w:rPr>
          <w:rStyle w:val="af9"/>
          <w:rFonts w:hint="cs"/>
          <w:rtl/>
        </w:rPr>
        <w:t>הברכ"ש</w:t>
      </w:r>
      <w:r w:rsidRPr="007E4E81">
        <w:rPr>
          <w:rStyle w:val="af7"/>
          <w:rFonts w:eastAsia="Guttman Hodes" w:hint="cs"/>
          <w:rtl/>
        </w:rPr>
        <w:t xml:space="preserve"> (עי'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Ref66092827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7E4E81">
        <w:rPr>
          <w:rStyle w:val="af7"/>
          <w:rFonts w:eastAsia="Guttman Hodes"/>
          <w:rtl/>
        </w:rPr>
        <w:fldChar w:fldCharType="end"/>
      </w:r>
      <w:r w:rsidRPr="007E4E81">
        <w:rPr>
          <w:rStyle w:val="af7"/>
          <w:rFonts w:eastAsia="Guttman Hodes" w:hint="cs"/>
          <w:rtl/>
        </w:rPr>
        <w:t xml:space="preserve"> </w:t>
      </w:r>
      <w:r>
        <w:rPr>
          <w:rFonts w:hint="cs"/>
          <w:rtl/>
        </w:rPr>
        <w:t xml:space="preserve">דהוא מיגו לאפטורי משבועה, ובמ"ש, ובמ"ש </w:t>
      </w:r>
      <w:r w:rsidRPr="007E4E81">
        <w:rPr>
          <w:rFonts w:hint="cs"/>
          <w:b/>
          <w:bCs/>
          <w:rtl/>
        </w:rPr>
        <w:t xml:space="preserve">הגר"ח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Ref66055422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סח)</w:t>
      </w:r>
      <w:r w:rsidRPr="007E4E81">
        <w:rPr>
          <w:rStyle w:val="af7"/>
          <w:rFonts w:eastAsia="Guttman Hodes"/>
          <w:rtl/>
        </w:rPr>
        <w:fldChar w:fldCharType="end"/>
      </w:r>
      <w:r w:rsidRPr="007E4E81">
        <w:rPr>
          <w:rStyle w:val="af7"/>
          <w:rFonts w:eastAsia="Guttman Hodes" w:hint="cs"/>
          <w:rtl/>
        </w:rPr>
        <w:t xml:space="preserve"> </w:t>
      </w:r>
      <w:r>
        <w:rPr>
          <w:rStyle w:val="af9"/>
          <w:rFonts w:hint="cs"/>
          <w:rtl/>
        </w:rPr>
        <w:t>ו</w:t>
      </w:r>
      <w:r w:rsidRPr="00F1489E">
        <w:rPr>
          <w:rStyle w:val="af9"/>
          <w:rFonts w:hint="cs"/>
          <w:rtl/>
        </w:rPr>
        <w:t>בחי' רבי נחום</w:t>
      </w:r>
      <w:r>
        <w:rPr>
          <w:rFonts w:hint="cs"/>
          <w:rtl/>
        </w:rPr>
        <w:t xml:space="preserve"> </w:t>
      </w:r>
      <w:r w:rsidRPr="007E4E81">
        <w:rPr>
          <w:rStyle w:val="af7"/>
          <w:rFonts w:eastAsia="Guttman Hodes" w:hint="cs"/>
          <w:rtl/>
        </w:rPr>
        <w:t xml:space="preserve">(עי' אות </w:t>
      </w:r>
      <w:r w:rsidRPr="007E4E81">
        <w:rPr>
          <w:rStyle w:val="af7"/>
          <w:rFonts w:eastAsia="Guttman Hodes"/>
          <w:rtl/>
        </w:rPr>
        <w:fldChar w:fldCharType="begin"/>
      </w:r>
      <w:r w:rsidRPr="007E4E81">
        <w:rPr>
          <w:rStyle w:val="af7"/>
          <w:rFonts w:eastAsia="Guttman Hodes"/>
          <w:rtl/>
        </w:rPr>
        <w:instrText xml:space="preserve"> </w:instrText>
      </w:r>
      <w:r w:rsidRPr="007E4E81">
        <w:rPr>
          <w:rStyle w:val="af7"/>
          <w:rFonts w:eastAsia="Guttman Hodes" w:hint="cs"/>
        </w:rPr>
        <w:instrText>REF</w:instrText>
      </w:r>
      <w:r w:rsidRPr="007E4E81">
        <w:rPr>
          <w:rStyle w:val="af7"/>
          <w:rFonts w:eastAsia="Guttman Hodes" w:hint="cs"/>
          <w:rtl/>
        </w:rPr>
        <w:instrText xml:space="preserve"> _</w:instrText>
      </w:r>
      <w:r w:rsidRPr="007E4E81">
        <w:rPr>
          <w:rStyle w:val="af7"/>
          <w:rFonts w:eastAsia="Guttman Hodes" w:hint="cs"/>
        </w:rPr>
        <w:instrText>Ref66133438 \r \h</w:instrText>
      </w:r>
      <w:r w:rsidRPr="007E4E81">
        <w:rPr>
          <w:rStyle w:val="af7"/>
          <w:rFonts w:eastAsia="Guttman Hodes"/>
          <w:rtl/>
        </w:rPr>
        <w:instrText xml:space="preserve"> </w:instrText>
      </w:r>
      <w:r w:rsidRPr="007E4E81">
        <w:rPr>
          <w:rStyle w:val="af7"/>
          <w:rFonts w:eastAsia="Guttman Hodes"/>
          <w:rtl/>
        </w:rPr>
      </w:r>
      <w:r w:rsidRPr="007E4E81">
        <w:rPr>
          <w:rStyle w:val="af7"/>
          <w:rFonts w:eastAsia="Guttman Hodes"/>
          <w:rtl/>
        </w:rPr>
        <w:fldChar w:fldCharType="separate"/>
      </w:r>
      <w:r w:rsidR="00265073">
        <w:rPr>
          <w:rStyle w:val="af7"/>
          <w:rFonts w:eastAsia="Guttman Hodes"/>
          <w:cs/>
        </w:rPr>
        <w:t>‎</w:t>
      </w:r>
      <w:r w:rsidR="00265073">
        <w:rPr>
          <w:rStyle w:val="af7"/>
          <w:rFonts w:eastAsia="Guttman Hodes"/>
          <w:rtl/>
        </w:rPr>
        <w:t>קז)</w:t>
      </w:r>
      <w:r w:rsidRPr="007E4E81">
        <w:rPr>
          <w:rStyle w:val="af7"/>
          <w:rFonts w:eastAsia="Guttman Hodes"/>
          <w:rtl/>
        </w:rPr>
        <w:fldChar w:fldCharType="end"/>
      </w:r>
      <w:r>
        <w:rPr>
          <w:rFonts w:hint="cs"/>
          <w:rtl/>
        </w:rPr>
        <w:t>.</w:t>
      </w:r>
      <w:bookmarkEnd w:id="17211"/>
    </w:p>
    <w:p w:rsidR="00E824D3" w:rsidRDefault="00E824D3" w:rsidP="00E824D3">
      <w:pPr>
        <w:pStyle w:val="a3"/>
        <w:rPr>
          <w:rtl/>
        </w:rPr>
      </w:pPr>
      <w:bookmarkStart w:id="17212" w:name="_Toc65839201"/>
      <w:bookmarkStart w:id="17213" w:name="_Toc66048831"/>
      <w:bookmarkStart w:id="17214" w:name="_Toc66055771"/>
      <w:bookmarkStart w:id="17215" w:name="_Toc66085877"/>
      <w:bookmarkStart w:id="17216" w:name="_Toc66110439"/>
      <w:bookmarkStart w:id="17217" w:name="_Toc66123299"/>
      <w:bookmarkStart w:id="17218" w:name="_Toc66143747"/>
      <w:bookmarkStart w:id="17219" w:name="_Toc66171910"/>
      <w:bookmarkStart w:id="17220" w:name="_Toc66183150"/>
      <w:bookmarkStart w:id="17221" w:name="_Toc66185930"/>
      <w:bookmarkStart w:id="17222" w:name="_Toc66193390"/>
      <w:r>
        <w:rPr>
          <w:rFonts w:hint="cs"/>
          <w:rtl/>
        </w:rPr>
        <w:t>דברי התוס' והראשונים דמוכח לקמן דבפקדון נאמן בשבועה דהחזרתי במיגו דהיה נשבע דנאנסו</w:t>
      </w:r>
      <w:bookmarkEnd w:id="17212"/>
      <w:bookmarkEnd w:id="17213"/>
      <w:bookmarkEnd w:id="17214"/>
      <w:bookmarkEnd w:id="17215"/>
      <w:bookmarkEnd w:id="17216"/>
      <w:bookmarkEnd w:id="17217"/>
      <w:bookmarkEnd w:id="17218"/>
      <w:bookmarkEnd w:id="17219"/>
      <w:bookmarkEnd w:id="17220"/>
      <w:bookmarkEnd w:id="17221"/>
      <w:bookmarkEnd w:id="17222"/>
    </w:p>
    <w:p w:rsidR="00E824D3" w:rsidRPr="000E75DF" w:rsidRDefault="00E824D3" w:rsidP="007E4E81">
      <w:pPr>
        <w:pStyle w:val="a0"/>
        <w:rPr>
          <w:rtl/>
        </w:rPr>
      </w:pPr>
      <w:bookmarkStart w:id="17223" w:name="_Ref64910949"/>
      <w:r>
        <w:rPr>
          <w:rFonts w:hint="cs"/>
          <w:rtl/>
        </w:rPr>
        <w:t xml:space="preserve">וכתבו </w:t>
      </w:r>
      <w:r>
        <w:rPr>
          <w:rStyle w:val="af9"/>
          <w:rtl/>
        </w:rPr>
        <w:t>התוס'</w:t>
      </w:r>
      <w:r>
        <w:rPr>
          <w:rFonts w:hint="cs"/>
          <w:rtl/>
        </w:rPr>
        <w:t xml:space="preserve"> </w:t>
      </w:r>
      <w:r>
        <w:rPr>
          <w:rStyle w:val="af9"/>
          <w:rtl/>
        </w:rPr>
        <w:t>בסוגיין</w:t>
      </w:r>
      <w:r>
        <w:rPr>
          <w:rFonts w:hint="cs"/>
          <w:rtl/>
        </w:rPr>
        <w:t xml:space="preserve"> </w:t>
      </w:r>
      <w:r>
        <w:rPr>
          <w:rStyle w:val="af9"/>
          <w:rtl/>
        </w:rPr>
        <w:t>ובשבועות</w:t>
      </w:r>
      <w:r>
        <w:rPr>
          <w:rFonts w:hint="cs"/>
          <w:rtl/>
        </w:rPr>
        <w:t xml:space="preserve"> </w:t>
      </w:r>
      <w:r>
        <w:rPr>
          <w:rStyle w:val="af9"/>
          <w:rtl/>
        </w:rPr>
        <w:t>והרמב"ן</w:t>
      </w:r>
      <w:r>
        <w:rPr>
          <w:rFonts w:hint="cs"/>
          <w:rtl/>
        </w:rPr>
        <w:t xml:space="preserve"> דא"א לומר דאינו נאמן במיגו בכה"ג, כיון שאם היה טוען לא חטפי היה חייב שבועה דאו'</w:t>
      </w:r>
      <w:r>
        <w:rPr>
          <w:rStyle w:val="af1"/>
          <w:rtl/>
        </w:rPr>
        <w:footnoteReference w:id="119"/>
      </w:r>
      <w:r>
        <w:rPr>
          <w:rFonts w:hint="cs"/>
          <w:rtl/>
        </w:rPr>
        <w:t xml:space="preserve">, דהא איתא בגמ' לקמן </w:t>
      </w:r>
      <w:r>
        <w:rPr>
          <w:rStyle w:val="af7"/>
          <w:rFonts w:eastAsia="Guttman Hodes" w:hint="cs"/>
          <w:rtl/>
        </w:rPr>
        <w:t>(ע.)</w:t>
      </w:r>
      <w:r>
        <w:rPr>
          <w:rFonts w:hint="cs"/>
          <w:rtl/>
        </w:rPr>
        <w:t xml:space="preserve"> דהמפקיד בשטר נאמן </w:t>
      </w:r>
      <w:r w:rsidRPr="000E75DF">
        <w:rPr>
          <w:rFonts w:hint="cs"/>
          <w:rtl/>
        </w:rPr>
        <w:t>בשבועה לומר החזרתי, במיגו דהיה טוען נאנסו שהיה נאמן בשבועה, ואעפ"י דבטענת נאנסו חייב בשבועה דאו', וכ"כ</w:t>
      </w:r>
      <w:r w:rsidRPr="000E75DF">
        <w:rPr>
          <w:rStyle w:val="af9"/>
          <w:rtl/>
        </w:rPr>
        <w:t xml:space="preserve"> רבינו יונה</w:t>
      </w:r>
      <w:r w:rsidRPr="000E75DF">
        <w:rPr>
          <w:rFonts w:hint="cs"/>
          <w:b/>
          <w:bCs/>
          <w:rtl/>
        </w:rPr>
        <w:t xml:space="preserve"> והרשב"א, </w:t>
      </w:r>
      <w:r w:rsidRPr="000E75DF">
        <w:rPr>
          <w:rFonts w:hint="cs"/>
          <w:rtl/>
        </w:rPr>
        <w:t xml:space="preserve">ועי' במ"ש </w:t>
      </w:r>
      <w:r w:rsidRPr="000E75DF">
        <w:rPr>
          <w:rStyle w:val="af9"/>
          <w:rFonts w:hint="cs"/>
          <w:rtl/>
        </w:rPr>
        <w:t>רבינו יונה והתוס' רא"ש</w:t>
      </w:r>
      <w:r w:rsidRPr="000E75DF">
        <w:rPr>
          <w:rFonts w:hint="cs"/>
          <w:rtl/>
        </w:rPr>
        <w:t xml:space="preserve"> </w:t>
      </w:r>
      <w:r w:rsidRPr="000E75DF">
        <w:rPr>
          <w:rStyle w:val="af7"/>
          <w:rFonts w:eastAsia="Guttman Hodes" w:hint="cs"/>
          <w:rtl/>
        </w:rPr>
        <w:t xml:space="preserve">(עי' אות </w:t>
      </w:r>
      <w:r w:rsidRPr="000E75DF">
        <w:rPr>
          <w:rStyle w:val="af7"/>
          <w:rFonts w:eastAsia="Guttman Hodes"/>
          <w:rtl/>
        </w:rPr>
        <w:fldChar w:fldCharType="begin"/>
      </w:r>
      <w:r w:rsidRPr="000E75DF">
        <w:rPr>
          <w:rStyle w:val="af7"/>
          <w:rFonts w:eastAsia="Guttman Hodes"/>
          <w:rtl/>
        </w:rPr>
        <w:instrText xml:space="preserve"> </w:instrText>
      </w:r>
      <w:r w:rsidRPr="000E75DF">
        <w:rPr>
          <w:rStyle w:val="af7"/>
          <w:rFonts w:eastAsia="Guttman Hodes" w:hint="cs"/>
        </w:rPr>
        <w:instrText>REF</w:instrText>
      </w:r>
      <w:r w:rsidRPr="000E75DF">
        <w:rPr>
          <w:rStyle w:val="af7"/>
          <w:rFonts w:eastAsia="Guttman Hodes" w:hint="cs"/>
          <w:rtl/>
        </w:rPr>
        <w:instrText xml:space="preserve"> _</w:instrText>
      </w:r>
      <w:r w:rsidRPr="000E75DF">
        <w:rPr>
          <w:rStyle w:val="af7"/>
          <w:rFonts w:eastAsia="Guttman Hodes" w:hint="cs"/>
        </w:rPr>
        <w:instrText>Ref66125333 \r \h</w:instrText>
      </w:r>
      <w:r w:rsidRPr="000E75D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E75DF">
        <w:rPr>
          <w:rStyle w:val="af7"/>
          <w:rFonts w:eastAsia="Guttman Hodes"/>
          <w:rtl/>
        </w:rPr>
      </w:r>
      <w:r w:rsidRPr="000E75DF">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0E75DF">
        <w:rPr>
          <w:rStyle w:val="af7"/>
          <w:rFonts w:eastAsia="Guttman Hodes"/>
          <w:rtl/>
        </w:rPr>
        <w:fldChar w:fldCharType="end"/>
      </w:r>
      <w:r w:rsidRPr="000E75DF">
        <w:rPr>
          <w:rFonts w:hint="cs"/>
          <w:rtl/>
        </w:rPr>
        <w:t xml:space="preserve"> בדעת </w:t>
      </w:r>
      <w:r w:rsidRPr="000E75DF">
        <w:rPr>
          <w:rStyle w:val="af9"/>
          <w:rFonts w:hint="cs"/>
          <w:rtl/>
        </w:rPr>
        <w:t>הריב"ם</w:t>
      </w:r>
      <w:r w:rsidRPr="000E75DF">
        <w:rPr>
          <w:rFonts w:hint="cs"/>
          <w:rtl/>
        </w:rPr>
        <w:t xml:space="preserve">, וע"ע במ"ש </w:t>
      </w:r>
      <w:r w:rsidRPr="000E75DF">
        <w:rPr>
          <w:rFonts w:hint="cs"/>
          <w:b/>
          <w:bCs/>
          <w:rtl/>
        </w:rPr>
        <w:t xml:space="preserve">הגר"ח </w:t>
      </w:r>
      <w:r w:rsidRPr="000E75DF">
        <w:rPr>
          <w:rStyle w:val="af7"/>
          <w:rFonts w:eastAsia="Guttman Hodes" w:hint="cs"/>
          <w:rtl/>
        </w:rPr>
        <w:t xml:space="preserve">(עי' אות </w:t>
      </w:r>
      <w:r w:rsidRPr="000E75DF">
        <w:rPr>
          <w:rStyle w:val="af7"/>
          <w:rFonts w:eastAsia="Guttman Hodes"/>
          <w:rtl/>
        </w:rPr>
        <w:fldChar w:fldCharType="begin"/>
      </w:r>
      <w:r w:rsidRPr="000E75DF">
        <w:rPr>
          <w:rStyle w:val="af7"/>
          <w:rFonts w:eastAsia="Guttman Hodes"/>
          <w:rtl/>
        </w:rPr>
        <w:instrText xml:space="preserve"> </w:instrText>
      </w:r>
      <w:r w:rsidRPr="000E75DF">
        <w:rPr>
          <w:rStyle w:val="af7"/>
          <w:rFonts w:eastAsia="Guttman Hodes" w:hint="cs"/>
        </w:rPr>
        <w:instrText>REF</w:instrText>
      </w:r>
      <w:r w:rsidRPr="000E75DF">
        <w:rPr>
          <w:rStyle w:val="af7"/>
          <w:rFonts w:eastAsia="Guttman Hodes" w:hint="cs"/>
          <w:rtl/>
        </w:rPr>
        <w:instrText xml:space="preserve"> _</w:instrText>
      </w:r>
      <w:r w:rsidRPr="000E75DF">
        <w:rPr>
          <w:rStyle w:val="af7"/>
          <w:rFonts w:eastAsia="Guttman Hodes" w:hint="cs"/>
        </w:rPr>
        <w:instrText>Ref66178783 \r \h</w:instrText>
      </w:r>
      <w:r w:rsidRPr="000E75D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E75DF">
        <w:rPr>
          <w:rStyle w:val="af7"/>
          <w:rFonts w:eastAsia="Guttman Hodes"/>
          <w:rtl/>
        </w:rPr>
      </w:r>
      <w:r w:rsidRPr="000E75DF">
        <w:rPr>
          <w:rStyle w:val="af7"/>
          <w:rFonts w:eastAsia="Guttman Hodes"/>
          <w:rtl/>
        </w:rPr>
        <w:fldChar w:fldCharType="separate"/>
      </w:r>
      <w:r w:rsidR="00265073">
        <w:rPr>
          <w:rStyle w:val="af7"/>
          <w:rFonts w:eastAsia="Guttman Hodes"/>
          <w:cs/>
        </w:rPr>
        <w:t>‎</w:t>
      </w:r>
      <w:r w:rsidR="00265073">
        <w:rPr>
          <w:rStyle w:val="af7"/>
          <w:rFonts w:eastAsia="Guttman Hodes"/>
          <w:rtl/>
        </w:rPr>
        <w:t>סו)</w:t>
      </w:r>
      <w:r w:rsidRPr="000E75DF">
        <w:rPr>
          <w:rStyle w:val="af7"/>
          <w:rFonts w:eastAsia="Guttman Hodes"/>
          <w:rtl/>
        </w:rPr>
        <w:fldChar w:fldCharType="end"/>
      </w:r>
      <w:r w:rsidRPr="000E75DF">
        <w:rPr>
          <w:rFonts w:hint="cs"/>
          <w:rtl/>
        </w:rPr>
        <w:t xml:space="preserve"> </w:t>
      </w:r>
      <w:r w:rsidRPr="000E75DF">
        <w:rPr>
          <w:rStyle w:val="af9"/>
          <w:rFonts w:hint="cs"/>
          <w:rtl/>
        </w:rPr>
        <w:t>ובחו"ש הגרב"ב</w:t>
      </w:r>
      <w:r w:rsidRPr="000E75DF">
        <w:rPr>
          <w:rFonts w:hint="cs"/>
          <w:rtl/>
        </w:rPr>
        <w:t xml:space="preserve"> </w:t>
      </w:r>
      <w:r w:rsidRPr="000E75DF">
        <w:rPr>
          <w:rStyle w:val="af7"/>
          <w:rFonts w:eastAsia="Guttman Hodes" w:hint="cs"/>
          <w:rtl/>
        </w:rPr>
        <w:t xml:space="preserve">(עי' אות </w:t>
      </w:r>
      <w:r w:rsidRPr="000E75DF">
        <w:rPr>
          <w:rStyle w:val="af7"/>
          <w:rFonts w:eastAsia="Guttman Hodes"/>
          <w:rtl/>
        </w:rPr>
        <w:fldChar w:fldCharType="begin"/>
      </w:r>
      <w:r w:rsidRPr="000E75DF">
        <w:rPr>
          <w:rStyle w:val="af7"/>
          <w:rFonts w:eastAsia="Guttman Hodes"/>
          <w:rtl/>
        </w:rPr>
        <w:instrText xml:space="preserve"> </w:instrText>
      </w:r>
      <w:r w:rsidRPr="000E75DF">
        <w:rPr>
          <w:rStyle w:val="af7"/>
          <w:rFonts w:eastAsia="Guttman Hodes" w:hint="cs"/>
        </w:rPr>
        <w:instrText>REF</w:instrText>
      </w:r>
      <w:r w:rsidRPr="000E75DF">
        <w:rPr>
          <w:rStyle w:val="af7"/>
          <w:rFonts w:eastAsia="Guttman Hodes" w:hint="cs"/>
          <w:rtl/>
        </w:rPr>
        <w:instrText xml:space="preserve"> _</w:instrText>
      </w:r>
      <w:r w:rsidRPr="000E75DF">
        <w:rPr>
          <w:rStyle w:val="af7"/>
          <w:rFonts w:eastAsia="Guttman Hodes" w:hint="cs"/>
        </w:rPr>
        <w:instrText>Ref66180449 \r \h</w:instrText>
      </w:r>
      <w:r w:rsidRPr="000E75DF">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E75DF">
        <w:rPr>
          <w:rStyle w:val="af7"/>
          <w:rFonts w:eastAsia="Guttman Hodes"/>
          <w:rtl/>
        </w:rPr>
      </w:r>
      <w:r w:rsidRPr="000E75DF">
        <w:rPr>
          <w:rStyle w:val="af7"/>
          <w:rFonts w:eastAsia="Guttman Hodes"/>
          <w:rtl/>
        </w:rPr>
        <w:fldChar w:fldCharType="separate"/>
      </w:r>
      <w:r w:rsidR="00265073">
        <w:rPr>
          <w:rStyle w:val="af7"/>
          <w:rFonts w:eastAsia="Guttman Hodes"/>
          <w:cs/>
        </w:rPr>
        <w:t>‎</w:t>
      </w:r>
      <w:r w:rsidR="00265073">
        <w:rPr>
          <w:rStyle w:val="af7"/>
          <w:rFonts w:eastAsia="Guttman Hodes"/>
          <w:rtl/>
        </w:rPr>
        <w:t>עז)</w:t>
      </w:r>
      <w:r w:rsidRPr="000E75DF">
        <w:rPr>
          <w:rStyle w:val="af7"/>
          <w:rFonts w:eastAsia="Guttman Hodes"/>
          <w:rtl/>
        </w:rPr>
        <w:fldChar w:fldCharType="end"/>
      </w:r>
      <w:r>
        <w:rPr>
          <w:rFonts w:hint="cs"/>
          <w:rtl/>
        </w:rPr>
        <w:t xml:space="preserve">, </w:t>
      </w:r>
      <w:r w:rsidRPr="000F5186">
        <w:rPr>
          <w:rFonts w:hint="cs"/>
          <w:rtl/>
        </w:rPr>
        <w:t xml:space="preserve">וע"ע במ"ש </w:t>
      </w:r>
      <w:r w:rsidRPr="000F5186">
        <w:rPr>
          <w:rStyle w:val="af9"/>
          <w:rFonts w:hint="cs"/>
          <w:rtl/>
        </w:rPr>
        <w:t>האבי עזרי</w:t>
      </w:r>
      <w:r w:rsidRPr="000F5186">
        <w:rPr>
          <w:rFonts w:hint="cs"/>
          <w:rtl/>
        </w:rPr>
        <w:t xml:space="preserve"> </w:t>
      </w:r>
      <w:r w:rsidRPr="000F5186">
        <w:rPr>
          <w:rStyle w:val="af7"/>
          <w:rFonts w:eastAsia="Guttman Hodes" w:hint="cs"/>
          <w:rtl/>
        </w:rPr>
        <w:t>(גזילה ואבידה פ"ד הי"ד ד"ה והנראה בזה)</w:t>
      </w:r>
      <w:r w:rsidRPr="000E75DF">
        <w:rPr>
          <w:rFonts w:hint="cs"/>
          <w:rtl/>
        </w:rPr>
        <w:t>.</w:t>
      </w:r>
      <w:bookmarkEnd w:id="17223"/>
    </w:p>
    <w:p w:rsidR="00E824D3" w:rsidRPr="000E75DF" w:rsidRDefault="00E824D3" w:rsidP="00E824D3">
      <w:pPr>
        <w:pStyle w:val="a3"/>
        <w:rPr>
          <w:rtl/>
        </w:rPr>
      </w:pPr>
      <w:bookmarkStart w:id="17224" w:name="_Toc65839202"/>
      <w:bookmarkStart w:id="17225" w:name="_Toc66048832"/>
      <w:bookmarkStart w:id="17226" w:name="_Toc66055772"/>
      <w:bookmarkStart w:id="17227" w:name="_Toc66085878"/>
      <w:bookmarkStart w:id="17228" w:name="_Toc66110440"/>
      <w:bookmarkStart w:id="17229" w:name="_Toc66123300"/>
      <w:bookmarkStart w:id="17230" w:name="_Toc66143748"/>
      <w:bookmarkStart w:id="17231" w:name="_Toc66171911"/>
      <w:bookmarkStart w:id="17232" w:name="_Toc66183151"/>
      <w:bookmarkStart w:id="17233" w:name="_Toc66185931"/>
      <w:bookmarkStart w:id="17234" w:name="_Toc66193391"/>
      <w:r w:rsidRPr="000E75DF">
        <w:rPr>
          <w:rFonts w:hint="cs"/>
          <w:rtl/>
        </w:rPr>
        <w:t>דברי הרמב"ן דהכא יש שבועה שראויה לו ול"ד לחמשין ידענא שא"י לישבע את מה שחייב</w:t>
      </w:r>
      <w:bookmarkEnd w:id="17224"/>
      <w:bookmarkEnd w:id="17225"/>
      <w:bookmarkEnd w:id="17226"/>
      <w:bookmarkEnd w:id="17227"/>
      <w:bookmarkEnd w:id="17228"/>
      <w:bookmarkEnd w:id="17229"/>
      <w:bookmarkEnd w:id="17230"/>
      <w:bookmarkEnd w:id="17231"/>
      <w:bookmarkEnd w:id="17232"/>
      <w:bookmarkEnd w:id="17233"/>
      <w:bookmarkEnd w:id="17234"/>
    </w:p>
    <w:p w:rsidR="00E824D3" w:rsidRPr="000E75DF" w:rsidRDefault="00E824D3" w:rsidP="007E4E81">
      <w:pPr>
        <w:pStyle w:val="a0"/>
        <w:rPr>
          <w:rStyle w:val="afb"/>
          <w:rtl/>
        </w:rPr>
      </w:pPr>
      <w:r w:rsidRPr="000E75DF">
        <w:rPr>
          <w:rFonts w:hint="cs"/>
          <w:rtl/>
        </w:rPr>
        <w:t xml:space="preserve">וכתב </w:t>
      </w:r>
      <w:r w:rsidRPr="000E75DF">
        <w:rPr>
          <w:rStyle w:val="af9"/>
          <w:rtl/>
        </w:rPr>
        <w:t>הרמב"ן</w:t>
      </w:r>
      <w:r w:rsidRPr="000E75DF">
        <w:rPr>
          <w:rFonts w:hint="cs"/>
          <w:rtl/>
        </w:rPr>
        <w:t xml:space="preserve"> </w:t>
      </w:r>
      <w:r w:rsidRPr="000E75DF">
        <w:rPr>
          <w:rStyle w:val="af7"/>
          <w:rFonts w:eastAsia="Guttman Hodes" w:hint="cs"/>
          <w:rtl/>
        </w:rPr>
        <w:t>(ד"ה והא)</w:t>
      </w:r>
      <w:r w:rsidRPr="000E75DF">
        <w:rPr>
          <w:rFonts w:hint="cs"/>
          <w:rtl/>
        </w:rPr>
        <w:t xml:space="preserve"> דא"א לומר דבאמת הוא מחוייב שבועה דאו', ואינו יכול להשבע, </w:t>
      </w:r>
      <w:r w:rsidRPr="000E75DF">
        <w:rPr>
          <w:rStyle w:val="afb"/>
          <w:rtl/>
        </w:rPr>
        <w:t xml:space="preserve">[ולכן משלם ולא נאמן במיגו], </w:t>
      </w:r>
      <w:r w:rsidRPr="000E75DF">
        <w:rPr>
          <w:rFonts w:hint="cs"/>
          <w:rtl/>
        </w:rPr>
        <w:t xml:space="preserve">דדוקא בתובעו מנה ואומר חמשין ידענא וחמשין לא ידענא הוא מחוייב שבועה דאו' ואינו יכול להשבע, דהוא מודה במקצת ואינו כופר בשאר ואינו יכול להשבע, אבל הכא הוא יכול להשבע דדידי חטפי, כיון שע"י המיגו, </w:t>
      </w:r>
      <w:r w:rsidRPr="000E75DF">
        <w:rPr>
          <w:rStyle w:val="afb"/>
          <w:rtl/>
        </w:rPr>
        <w:t xml:space="preserve">[דהיה יכול להכחיש את העד והיה נאמן בשבועה], </w:t>
      </w:r>
      <w:r w:rsidRPr="000E75DF">
        <w:rPr>
          <w:rFonts w:hint="cs"/>
          <w:rtl/>
        </w:rPr>
        <w:t>יש שבועה שראויה לו.</w:t>
      </w:r>
    </w:p>
    <w:p w:rsidR="00E824D3" w:rsidRPr="000E75DF" w:rsidRDefault="00E824D3" w:rsidP="00E824D3">
      <w:pPr>
        <w:pStyle w:val="afe"/>
        <w:rPr>
          <w:rtl/>
        </w:rPr>
      </w:pPr>
      <w:bookmarkStart w:id="17235" w:name="_Toc66048833"/>
      <w:bookmarkStart w:id="17236" w:name="_Toc66055773"/>
      <w:bookmarkStart w:id="17237" w:name="_Toc66085879"/>
      <w:bookmarkStart w:id="17238" w:name="_Toc66110441"/>
      <w:bookmarkStart w:id="17239" w:name="_Toc66123301"/>
      <w:bookmarkStart w:id="17240" w:name="_Toc66143749"/>
      <w:bookmarkStart w:id="17241" w:name="_Toc66171912"/>
      <w:bookmarkStart w:id="17242" w:name="_Toc66183152"/>
      <w:bookmarkStart w:id="17243" w:name="_Toc66185932"/>
      <w:bookmarkStart w:id="17244" w:name="_Toc66193392"/>
      <w:r w:rsidRPr="000E75DF">
        <w:rPr>
          <w:rFonts w:hint="cs"/>
          <w:rtl/>
        </w:rPr>
        <w:t>ד' ר"ת דבשבועה דאו' ל"מ שבועה דרבנן</w:t>
      </w:r>
      <w:bookmarkEnd w:id="17235"/>
      <w:bookmarkEnd w:id="17236"/>
      <w:bookmarkEnd w:id="17237"/>
      <w:bookmarkEnd w:id="17238"/>
      <w:bookmarkEnd w:id="17239"/>
      <w:bookmarkEnd w:id="17240"/>
      <w:bookmarkEnd w:id="17241"/>
      <w:bookmarkEnd w:id="17242"/>
      <w:bookmarkEnd w:id="17243"/>
      <w:bookmarkEnd w:id="17244"/>
    </w:p>
    <w:p w:rsidR="00E824D3" w:rsidRPr="000E75DF" w:rsidRDefault="00E824D3" w:rsidP="00E824D3">
      <w:pPr>
        <w:pStyle w:val="1"/>
        <w:rPr>
          <w:rtl/>
        </w:rPr>
      </w:pPr>
      <w:bookmarkStart w:id="17245" w:name="_Toc65748232"/>
      <w:bookmarkStart w:id="17246" w:name="_Toc65788170"/>
      <w:bookmarkStart w:id="17247" w:name="_Toc65839204"/>
      <w:bookmarkStart w:id="17248" w:name="_Toc66048834"/>
      <w:bookmarkStart w:id="17249" w:name="_Toc66055774"/>
      <w:bookmarkStart w:id="17250" w:name="_Toc66085880"/>
      <w:bookmarkStart w:id="17251" w:name="_Toc66110442"/>
      <w:bookmarkStart w:id="17252" w:name="_Toc66123302"/>
      <w:bookmarkStart w:id="17253" w:name="_Toc66143750"/>
      <w:bookmarkStart w:id="17254" w:name="_Toc66171913"/>
      <w:bookmarkStart w:id="17255" w:name="_Toc66183153"/>
      <w:bookmarkStart w:id="17256" w:name="_Toc66185933"/>
      <w:bookmarkStart w:id="17257" w:name="_Toc66193393"/>
      <w:r w:rsidRPr="000E75DF">
        <w:rPr>
          <w:rFonts w:hint="cs"/>
          <w:rtl/>
        </w:rPr>
        <w:t>תי' התוס' בד' ר"ת דל"מ מיגו משבועה דרבנן לשבועה דאו'</w:t>
      </w:r>
      <w:bookmarkEnd w:id="17245"/>
      <w:bookmarkEnd w:id="17246"/>
      <w:bookmarkEnd w:id="17247"/>
      <w:bookmarkEnd w:id="17248"/>
      <w:bookmarkEnd w:id="17249"/>
      <w:bookmarkEnd w:id="17250"/>
      <w:bookmarkEnd w:id="17251"/>
      <w:bookmarkEnd w:id="17252"/>
      <w:bookmarkEnd w:id="17253"/>
      <w:bookmarkEnd w:id="17254"/>
      <w:bookmarkEnd w:id="17255"/>
      <w:bookmarkEnd w:id="17256"/>
      <w:bookmarkEnd w:id="17257"/>
    </w:p>
    <w:p w:rsidR="00E824D3" w:rsidRPr="000E75DF" w:rsidRDefault="00E824D3" w:rsidP="00E824D3">
      <w:pPr>
        <w:pStyle w:val="a3"/>
        <w:rPr>
          <w:rtl/>
        </w:rPr>
      </w:pPr>
      <w:bookmarkStart w:id="17258" w:name="_Toc65839205"/>
      <w:bookmarkStart w:id="17259" w:name="_Toc66048835"/>
      <w:bookmarkStart w:id="17260" w:name="_Toc66055775"/>
      <w:bookmarkStart w:id="17261" w:name="_Toc66085881"/>
      <w:bookmarkStart w:id="17262" w:name="_Toc66110443"/>
      <w:bookmarkStart w:id="17263" w:name="_Toc66123303"/>
      <w:bookmarkStart w:id="17264" w:name="_Toc66143751"/>
      <w:bookmarkStart w:id="17265" w:name="_Toc66171914"/>
      <w:bookmarkStart w:id="17266" w:name="_Toc66183154"/>
      <w:bookmarkStart w:id="17267" w:name="_Toc66185934"/>
      <w:bookmarkStart w:id="17268" w:name="_Toc66193394"/>
      <w:r w:rsidRPr="000E75DF">
        <w:rPr>
          <w:rFonts w:hint="cs"/>
          <w:rtl/>
        </w:rPr>
        <w:t>דברי התוס' דלר"ת אפש"ל דמיגו מהני רק כשבטענת המיגו חייב שבועה דרבנן ולא שבועה דאו'</w:t>
      </w:r>
      <w:bookmarkEnd w:id="17258"/>
      <w:bookmarkEnd w:id="17259"/>
      <w:bookmarkEnd w:id="17260"/>
      <w:bookmarkEnd w:id="17261"/>
      <w:bookmarkEnd w:id="17262"/>
      <w:bookmarkEnd w:id="17263"/>
      <w:bookmarkEnd w:id="17264"/>
      <w:bookmarkEnd w:id="17265"/>
      <w:bookmarkEnd w:id="17266"/>
      <w:bookmarkEnd w:id="17267"/>
      <w:bookmarkEnd w:id="17268"/>
      <w:r w:rsidRPr="000E75DF">
        <w:rPr>
          <w:rFonts w:hint="cs"/>
          <w:rtl/>
        </w:rPr>
        <w:t xml:space="preserve"> </w:t>
      </w:r>
    </w:p>
    <w:p w:rsidR="00E824D3" w:rsidRPr="000E75DF" w:rsidRDefault="00E824D3" w:rsidP="007E4E81">
      <w:pPr>
        <w:pStyle w:val="a0"/>
      </w:pPr>
      <w:bookmarkStart w:id="17269" w:name="_Ref64884306"/>
      <w:r w:rsidRPr="000E75DF">
        <w:rPr>
          <w:rFonts w:hint="cs"/>
          <w:rtl/>
        </w:rPr>
        <w:t xml:space="preserve">וכתבו </w:t>
      </w:r>
      <w:r w:rsidRPr="000E75DF">
        <w:rPr>
          <w:rStyle w:val="af9"/>
          <w:rtl/>
        </w:rPr>
        <w:t>התוס'</w:t>
      </w:r>
      <w:r w:rsidRPr="000E75DF">
        <w:rPr>
          <w:rFonts w:hint="cs"/>
          <w:rtl/>
        </w:rPr>
        <w:t xml:space="preserve"> </w:t>
      </w:r>
      <w:r w:rsidRPr="000E75DF">
        <w:rPr>
          <w:rStyle w:val="af9"/>
          <w:rtl/>
        </w:rPr>
        <w:t>בסוגיין</w:t>
      </w:r>
      <w:r w:rsidRPr="000E75DF">
        <w:rPr>
          <w:rStyle w:val="af7"/>
          <w:rFonts w:eastAsia="Guttman Hodes" w:hint="cs"/>
          <w:rtl/>
        </w:rPr>
        <w:t xml:space="preserve"> (ד"ה הוי)</w:t>
      </w:r>
      <w:r w:rsidRPr="000E75DF">
        <w:rPr>
          <w:rFonts w:hint="cs"/>
          <w:rtl/>
        </w:rPr>
        <w:t xml:space="preserve"> דלדעת</w:t>
      </w:r>
      <w:r w:rsidRPr="000E75DF">
        <w:rPr>
          <w:rStyle w:val="af9"/>
          <w:rtl/>
        </w:rPr>
        <w:t xml:space="preserve"> ר"ת</w:t>
      </w:r>
      <w:r w:rsidRPr="000E75DF">
        <w:rPr>
          <w:rFonts w:hint="cs"/>
          <w:rtl/>
        </w:rPr>
        <w:t xml:space="preserve"> </w:t>
      </w:r>
      <w:r w:rsidRPr="000E75DF">
        <w:rPr>
          <w:rStyle w:val="af7"/>
          <w:rFonts w:eastAsia="Guttman Hodes" w:hint="cs"/>
          <w:rtl/>
        </w:rPr>
        <w:t xml:space="preserve">(לקמן ע: תוד"ה סוף, ב"ק קז. ד"ה עירוב) </w:t>
      </w:r>
      <w:r w:rsidRPr="000E75DF">
        <w:rPr>
          <w:rFonts w:hint="cs"/>
          <w:rtl/>
        </w:rPr>
        <w:t xml:space="preserve">דביאר דבנאנסו בגמ' לקמן חייב בשבועה דרבנן, כיון שאינו מודה במקצת, א"כ אפש"ל דכל שבטענת המיגו יש חיוב שבועה דאו', אינו נאמן בשבועה דרבנן, וא"כ מבואר דהכא אינו יכול להשבע דדידי </w:t>
      </w:r>
      <w:r w:rsidRPr="000E75DF">
        <w:rPr>
          <w:rFonts w:hint="cs"/>
          <w:rtl/>
        </w:rPr>
        <w:t xml:space="preserve">חטפי, במיגו דלא חטפי שהיה מתחייב בזה שבועה דאו', ועי' במה שביארו </w:t>
      </w:r>
      <w:r w:rsidRPr="000E75DF">
        <w:rPr>
          <w:rStyle w:val="af9"/>
          <w:rFonts w:hint="cs"/>
          <w:rtl/>
        </w:rPr>
        <w:t>בחי' הגרש"ש</w:t>
      </w:r>
      <w:r w:rsidRPr="000E75DF">
        <w:rPr>
          <w:rFonts w:hint="cs"/>
          <w:rtl/>
        </w:rPr>
        <w:t xml:space="preserve"> </w:t>
      </w:r>
      <w:r w:rsidRPr="000E75DF">
        <w:rPr>
          <w:rStyle w:val="af7"/>
          <w:rFonts w:eastAsia="Guttman Hodes" w:hint="cs"/>
          <w:rtl/>
        </w:rPr>
        <w:t xml:space="preserve">(סי' י"ח [מהדו' חד' סי' כ"א] או ב' ד"ה ועפ"י דברינו) </w:t>
      </w:r>
      <w:r w:rsidRPr="000E75DF">
        <w:rPr>
          <w:rStyle w:val="af9"/>
          <w:rtl/>
        </w:rPr>
        <w:t>ובחי' רבי נחום</w:t>
      </w:r>
      <w:r w:rsidRPr="000E75DF">
        <w:rPr>
          <w:rtl/>
        </w:rPr>
        <w:t xml:space="preserve"> </w:t>
      </w:r>
      <w:r w:rsidRPr="000E75DF">
        <w:rPr>
          <w:rStyle w:val="af7"/>
          <w:rFonts w:eastAsia="Guttman Hodes"/>
          <w:rtl/>
        </w:rPr>
        <w:t>(או' קצ"ח</w:t>
      </w:r>
      <w:r w:rsidRPr="000E75DF">
        <w:rPr>
          <w:rStyle w:val="af7"/>
          <w:rFonts w:eastAsia="Guttman Hodes" w:hint="cs"/>
          <w:rtl/>
        </w:rPr>
        <w:t xml:space="preserve"> ד"ה </w:t>
      </w:r>
      <w:r w:rsidRPr="000E75DF">
        <w:rPr>
          <w:rStyle w:val="af7"/>
          <w:rFonts w:eastAsia="Guttman Hodes"/>
          <w:rtl/>
        </w:rPr>
        <w:t>ולפי"ז יש)</w:t>
      </w:r>
      <w:r w:rsidRPr="000E75DF">
        <w:rPr>
          <w:rFonts w:hint="cs"/>
          <w:rtl/>
        </w:rPr>
        <w:t xml:space="preserve"> בדברי </w:t>
      </w:r>
      <w:r w:rsidRPr="000E75DF">
        <w:rPr>
          <w:rStyle w:val="af9"/>
          <w:rFonts w:hint="cs"/>
          <w:rtl/>
        </w:rPr>
        <w:t>ר"ת</w:t>
      </w:r>
      <w:r w:rsidRPr="000E75DF">
        <w:rPr>
          <w:rFonts w:hint="cs"/>
          <w:rtl/>
        </w:rPr>
        <w:t>.</w:t>
      </w:r>
      <w:bookmarkEnd w:id="17269"/>
      <w:r w:rsidRPr="000E75DF">
        <w:rPr>
          <w:rFonts w:hint="cs"/>
          <w:rtl/>
        </w:rPr>
        <w:t xml:space="preserve"> </w:t>
      </w:r>
      <w:bookmarkStart w:id="17270" w:name="_Toc66048836"/>
      <w:bookmarkStart w:id="17271" w:name="_Toc66055776"/>
      <w:bookmarkStart w:id="17272" w:name="_Toc66085882"/>
      <w:bookmarkStart w:id="17273" w:name="_Toc66110444"/>
      <w:bookmarkStart w:id="17274" w:name="_Toc66123304"/>
      <w:bookmarkStart w:id="17275" w:name="_Toc66143752"/>
      <w:bookmarkStart w:id="17276" w:name="_Toc66171915"/>
      <w:bookmarkStart w:id="17277" w:name="_Toc66183155"/>
      <w:bookmarkStart w:id="17278" w:name="_Toc66185935"/>
      <w:bookmarkStart w:id="17279" w:name="_Toc66193395"/>
    </w:p>
    <w:p w:rsidR="00E824D3" w:rsidRPr="000E75DF" w:rsidRDefault="00E824D3" w:rsidP="00E824D3">
      <w:pPr>
        <w:pStyle w:val="afe"/>
        <w:rPr>
          <w:rtl/>
        </w:rPr>
      </w:pPr>
      <w:r w:rsidRPr="000E75DF">
        <w:rPr>
          <w:rFonts w:hint="cs"/>
          <w:rtl/>
        </w:rPr>
        <w:t>ד' הסוברים דמיגו דלא חטפי הוא העזה</w:t>
      </w:r>
      <w:bookmarkEnd w:id="17270"/>
      <w:bookmarkEnd w:id="17271"/>
      <w:bookmarkEnd w:id="17272"/>
      <w:bookmarkEnd w:id="17273"/>
      <w:bookmarkEnd w:id="17274"/>
      <w:bookmarkEnd w:id="17275"/>
      <w:bookmarkEnd w:id="17276"/>
      <w:bookmarkEnd w:id="17277"/>
      <w:bookmarkEnd w:id="17278"/>
      <w:bookmarkEnd w:id="17279"/>
    </w:p>
    <w:p w:rsidR="00E824D3" w:rsidRPr="000E75DF" w:rsidRDefault="00E824D3" w:rsidP="00E824D3">
      <w:pPr>
        <w:pStyle w:val="1"/>
        <w:rPr>
          <w:rtl/>
        </w:rPr>
      </w:pPr>
      <w:bookmarkStart w:id="17280" w:name="_Toc65748233"/>
      <w:bookmarkStart w:id="17281" w:name="_Toc65788171"/>
      <w:bookmarkStart w:id="17282" w:name="_Toc65839206"/>
      <w:bookmarkStart w:id="17283" w:name="_Toc66048837"/>
      <w:bookmarkStart w:id="17284" w:name="_Toc66055777"/>
      <w:bookmarkStart w:id="17285" w:name="_Toc66085883"/>
      <w:bookmarkStart w:id="17286" w:name="_Toc66110445"/>
      <w:bookmarkStart w:id="17287" w:name="_Toc66123305"/>
      <w:bookmarkStart w:id="17288" w:name="_Toc66143753"/>
      <w:bookmarkStart w:id="17289" w:name="_Toc66171916"/>
      <w:bookmarkStart w:id="17290" w:name="_Toc66183156"/>
      <w:bookmarkStart w:id="17291" w:name="_Toc66185936"/>
      <w:bookmarkStart w:id="17292" w:name="_Toc66193396"/>
      <w:r w:rsidRPr="000E75DF">
        <w:rPr>
          <w:rFonts w:hint="cs"/>
          <w:rtl/>
        </w:rPr>
        <w:t>תירוץ התוס' והרמב"ן דמיגו דהיה מכחיש את העד הוא העזה</w:t>
      </w:r>
      <w:bookmarkEnd w:id="17280"/>
      <w:bookmarkEnd w:id="17281"/>
      <w:bookmarkEnd w:id="17282"/>
      <w:bookmarkEnd w:id="17283"/>
      <w:bookmarkEnd w:id="17284"/>
      <w:bookmarkEnd w:id="17285"/>
      <w:bookmarkEnd w:id="17286"/>
      <w:bookmarkEnd w:id="17287"/>
      <w:bookmarkEnd w:id="17288"/>
      <w:bookmarkEnd w:id="17289"/>
      <w:bookmarkEnd w:id="17290"/>
      <w:bookmarkEnd w:id="17291"/>
      <w:bookmarkEnd w:id="17292"/>
    </w:p>
    <w:p w:rsidR="00E824D3" w:rsidRPr="000E75DF" w:rsidRDefault="00E824D3" w:rsidP="00E824D3">
      <w:pPr>
        <w:pStyle w:val="a3"/>
        <w:rPr>
          <w:rtl/>
        </w:rPr>
      </w:pPr>
      <w:bookmarkStart w:id="17293" w:name="_Toc65839207"/>
      <w:bookmarkStart w:id="17294" w:name="_Toc66048838"/>
      <w:bookmarkStart w:id="17295" w:name="_Toc66055778"/>
      <w:bookmarkStart w:id="17296" w:name="_Toc66085884"/>
      <w:bookmarkStart w:id="17297" w:name="_Toc66110446"/>
      <w:bookmarkStart w:id="17298" w:name="_Toc66123306"/>
      <w:bookmarkStart w:id="17299" w:name="_Toc66143754"/>
      <w:bookmarkStart w:id="17300" w:name="_Toc66171917"/>
      <w:bookmarkStart w:id="17301" w:name="_Toc66183157"/>
      <w:bookmarkStart w:id="17302" w:name="_Toc66185937"/>
      <w:bookmarkStart w:id="17303" w:name="_Toc66193397"/>
      <w:r w:rsidRPr="000E75DF">
        <w:rPr>
          <w:rFonts w:hint="cs"/>
          <w:rtl/>
        </w:rPr>
        <w:t>דברי התוס' בסוגיין והתוס' בשבועות והרמב"ן דבמיגו דהיה מכחיש את העד הוא מיגו דהעזה</w:t>
      </w:r>
      <w:bookmarkEnd w:id="17293"/>
      <w:bookmarkEnd w:id="17294"/>
      <w:bookmarkEnd w:id="17295"/>
      <w:bookmarkEnd w:id="17296"/>
      <w:bookmarkEnd w:id="17297"/>
      <w:bookmarkEnd w:id="17298"/>
      <w:bookmarkEnd w:id="17299"/>
      <w:bookmarkEnd w:id="17300"/>
      <w:bookmarkEnd w:id="17301"/>
      <w:bookmarkEnd w:id="17302"/>
      <w:bookmarkEnd w:id="17303"/>
    </w:p>
    <w:p w:rsidR="00E824D3" w:rsidRPr="000E75DF" w:rsidRDefault="00E824D3" w:rsidP="007E4E81">
      <w:pPr>
        <w:pStyle w:val="a0"/>
        <w:rPr>
          <w:rStyle w:val="afb"/>
          <w:rtl/>
        </w:rPr>
      </w:pPr>
      <w:bookmarkStart w:id="17304" w:name="_Ref65855866"/>
      <w:bookmarkStart w:id="17305" w:name="_Ref64884294"/>
      <w:r w:rsidRPr="000E75DF">
        <w:rPr>
          <w:rFonts w:hint="cs"/>
          <w:rtl/>
        </w:rPr>
        <w:t xml:space="preserve">ועוד כתבו </w:t>
      </w:r>
      <w:r w:rsidRPr="000E75DF">
        <w:rPr>
          <w:rStyle w:val="af9"/>
          <w:rtl/>
        </w:rPr>
        <w:t>התוס'</w:t>
      </w:r>
      <w:r w:rsidRPr="000E75DF">
        <w:rPr>
          <w:rFonts w:hint="cs"/>
          <w:rtl/>
        </w:rPr>
        <w:t xml:space="preserve"> </w:t>
      </w:r>
      <w:r w:rsidRPr="000E75DF">
        <w:rPr>
          <w:rStyle w:val="af9"/>
          <w:rtl/>
        </w:rPr>
        <w:t>בסוגיין</w:t>
      </w:r>
      <w:r w:rsidRPr="000E75DF">
        <w:rPr>
          <w:rStyle w:val="af7"/>
          <w:rFonts w:eastAsia="Guttman Hodes" w:hint="cs"/>
          <w:rtl/>
        </w:rPr>
        <w:t xml:space="preserve"> (ד"ה הוי)</w:t>
      </w:r>
      <w:r w:rsidRPr="000E75DF">
        <w:rPr>
          <w:rFonts w:hint="cs"/>
          <w:rtl/>
        </w:rPr>
        <w:t xml:space="preserve"> דהיה אפש"ל דאינו נאמן במיגו דלא חטפי, כיון דלא חציף להכחיש את הע"א, וכן תירצו </w:t>
      </w:r>
      <w:r w:rsidRPr="000E75DF">
        <w:rPr>
          <w:rStyle w:val="af9"/>
          <w:rtl/>
        </w:rPr>
        <w:t>התוס' בשבועות</w:t>
      </w:r>
      <w:r w:rsidRPr="000E75DF">
        <w:rPr>
          <w:rFonts w:hint="cs"/>
          <w:rtl/>
        </w:rPr>
        <w:t xml:space="preserve"> </w:t>
      </w:r>
      <w:r w:rsidRPr="000E75DF">
        <w:rPr>
          <w:rStyle w:val="af7"/>
          <w:rFonts w:eastAsia="Guttman Hodes" w:hint="cs"/>
          <w:rtl/>
        </w:rPr>
        <w:t>(לב: ד"ה הוה)</w:t>
      </w:r>
      <w:r w:rsidRPr="000E75DF">
        <w:rPr>
          <w:rFonts w:hint="cs"/>
          <w:rtl/>
        </w:rPr>
        <w:t xml:space="preserve">, </w:t>
      </w:r>
      <w:r w:rsidRPr="000E75DF">
        <w:rPr>
          <w:rtl/>
        </w:rPr>
        <w:t>ו</w:t>
      </w:r>
      <w:r w:rsidRPr="000E75DF">
        <w:rPr>
          <w:rFonts w:hint="cs"/>
          <w:rtl/>
        </w:rPr>
        <w:t xml:space="preserve">כ"כ </w:t>
      </w:r>
      <w:r w:rsidRPr="000E75DF">
        <w:rPr>
          <w:rStyle w:val="af9"/>
          <w:rtl/>
        </w:rPr>
        <w:t>הרמב"ן</w:t>
      </w:r>
      <w:r w:rsidRPr="000E75DF">
        <w:rPr>
          <w:rFonts w:hint="cs"/>
          <w:rtl/>
        </w:rPr>
        <w:t xml:space="preserve"> </w:t>
      </w:r>
      <w:r w:rsidRPr="000E75DF">
        <w:rPr>
          <w:rStyle w:val="af7"/>
          <w:rFonts w:eastAsiaTheme="minorHAnsi" w:hint="cs"/>
          <w:rtl/>
        </w:rPr>
        <w:t>(ד"ה והא)</w:t>
      </w:r>
      <w:r w:rsidRPr="000E75DF">
        <w:rPr>
          <w:rFonts w:hint="cs"/>
          <w:rtl/>
        </w:rPr>
        <w:t xml:space="preserve"> דהוי מיגו דהעזה דלא חציף איניש להכחיש את העד. </w:t>
      </w:r>
      <w:r w:rsidRPr="000E75DF">
        <w:rPr>
          <w:rStyle w:val="afb"/>
          <w:rFonts w:hint="cs"/>
          <w:rtl/>
        </w:rPr>
        <w:t xml:space="preserve">[וכתב </w:t>
      </w:r>
      <w:r w:rsidRPr="000E75DF">
        <w:rPr>
          <w:rStyle w:val="affa"/>
          <w:rFonts w:hint="cs"/>
          <w:rtl/>
        </w:rPr>
        <w:t xml:space="preserve">הש"ך </w:t>
      </w:r>
      <w:r w:rsidRPr="000E75DF">
        <w:rPr>
          <w:rStyle w:val="aff6"/>
          <w:rFonts w:hint="cs"/>
          <w:rtl/>
        </w:rPr>
        <w:t>(סי' ע"ה סקמ"ג)</w:t>
      </w:r>
      <w:r w:rsidRPr="000E75DF">
        <w:rPr>
          <w:rStyle w:val="afb"/>
          <w:rFonts w:hint="cs"/>
          <w:rtl/>
        </w:rPr>
        <w:t xml:space="preserve"> דאף </w:t>
      </w:r>
      <w:r w:rsidRPr="000E75DF">
        <w:rPr>
          <w:rStyle w:val="affa"/>
          <w:rFonts w:hint="cs"/>
          <w:rtl/>
        </w:rPr>
        <w:t>דהתוס'</w:t>
      </w:r>
      <w:r w:rsidRPr="000E75DF">
        <w:rPr>
          <w:rStyle w:val="afb"/>
          <w:rFonts w:hint="cs"/>
          <w:rtl/>
        </w:rPr>
        <w:t xml:space="preserve"> </w:t>
      </w:r>
      <w:r w:rsidRPr="000E75DF">
        <w:rPr>
          <w:rStyle w:val="aff6"/>
          <w:rFonts w:hint="cs"/>
          <w:rtl/>
        </w:rPr>
        <w:t xml:space="preserve">(עי' אות </w:t>
      </w:r>
      <w:r w:rsidRPr="000E75DF">
        <w:rPr>
          <w:rStyle w:val="aff6"/>
          <w:rtl/>
        </w:rPr>
        <w:fldChar w:fldCharType="begin"/>
      </w:r>
      <w:r w:rsidRPr="000E75DF">
        <w:rPr>
          <w:rStyle w:val="aff6"/>
          <w:rtl/>
        </w:rPr>
        <w:instrText xml:space="preserve"> </w:instrText>
      </w:r>
      <w:r w:rsidRPr="000E75DF">
        <w:rPr>
          <w:rStyle w:val="aff6"/>
          <w:rFonts w:hint="cs"/>
        </w:rPr>
        <w:instrText>REF</w:instrText>
      </w:r>
      <w:r w:rsidRPr="000E75DF">
        <w:rPr>
          <w:rStyle w:val="aff6"/>
          <w:rFonts w:hint="cs"/>
          <w:rtl/>
        </w:rPr>
        <w:instrText xml:space="preserve"> _</w:instrText>
      </w:r>
      <w:r w:rsidRPr="000E75DF">
        <w:rPr>
          <w:rStyle w:val="aff6"/>
          <w:rFonts w:hint="cs"/>
        </w:rPr>
        <w:instrText>Ref65770016 \r \h</w:instrText>
      </w:r>
      <w:r w:rsidRPr="000E75DF">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0E75DF">
        <w:rPr>
          <w:rStyle w:val="aff6"/>
          <w:rtl/>
        </w:rPr>
      </w:r>
      <w:r w:rsidRPr="000E75DF">
        <w:rPr>
          <w:rStyle w:val="aff6"/>
          <w:rtl/>
        </w:rPr>
        <w:fldChar w:fldCharType="separate"/>
      </w:r>
      <w:r w:rsidR="00265073">
        <w:rPr>
          <w:rStyle w:val="aff6"/>
          <w:cs/>
        </w:rPr>
        <w:t>‎</w:t>
      </w:r>
      <w:r w:rsidR="00265073">
        <w:rPr>
          <w:rStyle w:val="aff6"/>
          <w:rtl/>
        </w:rPr>
        <w:t>יט)</w:t>
      </w:r>
      <w:r w:rsidRPr="000E75DF">
        <w:rPr>
          <w:rStyle w:val="aff6"/>
          <w:rtl/>
        </w:rPr>
        <w:fldChar w:fldCharType="end"/>
      </w:r>
      <w:r w:rsidRPr="000E75DF">
        <w:rPr>
          <w:rStyle w:val="afb"/>
          <w:rFonts w:hint="cs"/>
          <w:rtl/>
        </w:rPr>
        <w:t xml:space="preserve"> בסוגיין דחו תירוץ זה, מ"מ </w:t>
      </w:r>
      <w:r w:rsidRPr="000E75DF">
        <w:rPr>
          <w:rStyle w:val="affa"/>
          <w:rFonts w:hint="cs"/>
          <w:rtl/>
        </w:rPr>
        <w:t xml:space="preserve">התוס' בשבועות והרמב"ן </w:t>
      </w:r>
      <w:r w:rsidRPr="000E75DF">
        <w:rPr>
          <w:rStyle w:val="afb"/>
          <w:rFonts w:hint="cs"/>
          <w:rtl/>
        </w:rPr>
        <w:t>נשארו בתירוץ זה, וכן קיי"ל].</w:t>
      </w:r>
      <w:bookmarkEnd w:id="17304"/>
    </w:p>
    <w:p w:rsidR="00E824D3" w:rsidRPr="000E75DF" w:rsidRDefault="00E824D3" w:rsidP="00E824D3">
      <w:pPr>
        <w:pStyle w:val="a3"/>
        <w:rPr>
          <w:rtl/>
        </w:rPr>
      </w:pPr>
      <w:bookmarkStart w:id="17306" w:name="_Toc65839208"/>
      <w:bookmarkStart w:id="17307" w:name="_Toc66048839"/>
      <w:bookmarkStart w:id="17308" w:name="_Toc66055779"/>
      <w:bookmarkStart w:id="17309" w:name="_Toc66085885"/>
      <w:bookmarkStart w:id="17310" w:name="_Toc66110447"/>
      <w:bookmarkStart w:id="17311" w:name="_Toc66123307"/>
      <w:bookmarkStart w:id="17312" w:name="_Toc66143755"/>
      <w:bookmarkStart w:id="17313" w:name="_Toc66171918"/>
      <w:bookmarkStart w:id="17314" w:name="_Toc66183158"/>
      <w:bookmarkStart w:id="17315" w:name="_Toc66185938"/>
      <w:bookmarkStart w:id="17316" w:name="_Toc66193398"/>
      <w:r w:rsidRPr="000E75DF">
        <w:rPr>
          <w:rFonts w:hint="cs"/>
          <w:rtl/>
        </w:rPr>
        <w:t>הוכחת התוס' בשבועות מרבא בר שרשום דאינו נאמן במיגו דהיה מעיז להכחיש קול</w:t>
      </w:r>
      <w:bookmarkEnd w:id="17306"/>
      <w:bookmarkEnd w:id="17307"/>
      <w:bookmarkEnd w:id="17308"/>
      <w:bookmarkEnd w:id="17309"/>
      <w:bookmarkEnd w:id="17310"/>
      <w:bookmarkEnd w:id="17311"/>
      <w:bookmarkEnd w:id="17312"/>
      <w:bookmarkEnd w:id="17313"/>
      <w:bookmarkEnd w:id="17314"/>
      <w:bookmarkEnd w:id="17315"/>
      <w:bookmarkEnd w:id="17316"/>
    </w:p>
    <w:p w:rsidR="00E824D3" w:rsidRPr="000E75DF" w:rsidRDefault="00E824D3" w:rsidP="007E4E81">
      <w:pPr>
        <w:pStyle w:val="a0"/>
        <w:rPr>
          <w:rStyle w:val="afb"/>
          <w:rtl/>
        </w:rPr>
      </w:pPr>
      <w:r w:rsidRPr="000E75DF">
        <w:rPr>
          <w:rFonts w:hint="cs"/>
          <w:rtl/>
        </w:rPr>
        <w:t xml:space="preserve">והוסיפו </w:t>
      </w:r>
      <w:r w:rsidRPr="000E75DF">
        <w:rPr>
          <w:rStyle w:val="af9"/>
          <w:rtl/>
        </w:rPr>
        <w:t>התוס' בשבועות</w:t>
      </w:r>
      <w:r w:rsidRPr="000E75DF">
        <w:rPr>
          <w:rFonts w:hint="cs"/>
          <w:rtl/>
        </w:rPr>
        <w:t xml:space="preserve"> דכן מוכח מהא דאיתא לעיל </w:t>
      </w:r>
      <w:r w:rsidRPr="000E75DF">
        <w:rPr>
          <w:rStyle w:val="af7"/>
          <w:rFonts w:eastAsia="Guttman Hodes" w:hint="cs"/>
          <w:rtl/>
        </w:rPr>
        <w:t>(לג.)</w:t>
      </w:r>
      <w:r w:rsidRPr="000E75DF">
        <w:rPr>
          <w:rFonts w:hint="cs"/>
          <w:rtl/>
        </w:rPr>
        <w:t xml:space="preserve"> דא"ל אביי לרבא בר שרשום דאינו נאמן בטענת לקוחה היא בידי, כיון שיצא קול ואין אדם טוען טענה מרצונו להכחיש את הקול. </w:t>
      </w:r>
      <w:r w:rsidRPr="000E75DF">
        <w:rPr>
          <w:rStyle w:val="afb"/>
          <w:rtl/>
        </w:rPr>
        <w:t xml:space="preserve">[והוסיף </w:t>
      </w:r>
      <w:r w:rsidRPr="000E75DF">
        <w:rPr>
          <w:rStyle w:val="affa"/>
          <w:rtl/>
        </w:rPr>
        <w:t>התוס' הרא"ש בשבועות</w:t>
      </w:r>
      <w:r w:rsidRPr="000E75DF">
        <w:rPr>
          <w:rStyle w:val="afb"/>
          <w:rtl/>
        </w:rPr>
        <w:t xml:space="preserve"> </w:t>
      </w:r>
      <w:r w:rsidRPr="000E75DF">
        <w:rPr>
          <w:rStyle w:val="aff6"/>
          <w:rtl/>
        </w:rPr>
        <w:t>(לב: ד"ה הו"ל)</w:t>
      </w:r>
      <w:r w:rsidRPr="000E75DF">
        <w:rPr>
          <w:rStyle w:val="afb"/>
          <w:rtl/>
        </w:rPr>
        <w:t xml:space="preserve"> דבטענת לקוחה עצמה היה רבא בר שרשום נאמן, ורק כשרצה להיות נאמן על חוב אחר במיגו דלקוחה אינו נאמן דהוא העזה כנגד הקול].</w:t>
      </w:r>
    </w:p>
    <w:p w:rsidR="00E824D3" w:rsidRPr="000E75DF" w:rsidRDefault="00E824D3" w:rsidP="00E824D3">
      <w:pPr>
        <w:pStyle w:val="1"/>
      </w:pPr>
      <w:bookmarkStart w:id="17317" w:name="_Toc65788172"/>
      <w:bookmarkStart w:id="17318" w:name="_Toc65839209"/>
      <w:bookmarkStart w:id="17319" w:name="_Toc66048840"/>
      <w:bookmarkStart w:id="17320" w:name="_Toc66055780"/>
      <w:bookmarkStart w:id="17321" w:name="_Toc66085886"/>
      <w:bookmarkStart w:id="17322" w:name="_Toc66110448"/>
      <w:bookmarkStart w:id="17323" w:name="_Toc66123308"/>
      <w:bookmarkStart w:id="17324" w:name="_Toc66143756"/>
      <w:bookmarkStart w:id="17325" w:name="_Toc66171919"/>
      <w:bookmarkStart w:id="17326" w:name="_Toc66183159"/>
      <w:bookmarkStart w:id="17327" w:name="_Toc66185939"/>
      <w:bookmarkStart w:id="17328" w:name="_Toc66193399"/>
      <w:r w:rsidRPr="000E75DF">
        <w:rPr>
          <w:rFonts w:hint="cs"/>
          <w:rtl/>
        </w:rPr>
        <w:t>תירוץ התוס' דירא להכחיש את העד שמא יפסל לעדות</w:t>
      </w:r>
      <w:bookmarkEnd w:id="17317"/>
      <w:bookmarkEnd w:id="17318"/>
      <w:bookmarkEnd w:id="17319"/>
      <w:bookmarkEnd w:id="17320"/>
      <w:bookmarkEnd w:id="17321"/>
      <w:bookmarkEnd w:id="17322"/>
      <w:bookmarkEnd w:id="17323"/>
      <w:bookmarkEnd w:id="17324"/>
      <w:bookmarkEnd w:id="17325"/>
      <w:bookmarkEnd w:id="17326"/>
      <w:bookmarkEnd w:id="17327"/>
      <w:bookmarkEnd w:id="17328"/>
    </w:p>
    <w:p w:rsidR="00E824D3" w:rsidRPr="000E75DF" w:rsidRDefault="00E824D3" w:rsidP="00E824D3">
      <w:pPr>
        <w:pStyle w:val="a3"/>
        <w:rPr>
          <w:rtl/>
        </w:rPr>
      </w:pPr>
      <w:bookmarkStart w:id="17329" w:name="_Toc65839210"/>
      <w:bookmarkStart w:id="17330" w:name="_Toc66048841"/>
      <w:bookmarkStart w:id="17331" w:name="_Toc66055781"/>
      <w:bookmarkStart w:id="17332" w:name="_Toc66085887"/>
      <w:bookmarkStart w:id="17333" w:name="_Toc66110449"/>
      <w:bookmarkStart w:id="17334" w:name="_Toc66123309"/>
      <w:bookmarkStart w:id="17335" w:name="_Toc66143757"/>
      <w:bookmarkStart w:id="17336" w:name="_Toc66171920"/>
      <w:bookmarkStart w:id="17337" w:name="_Toc66183160"/>
      <w:bookmarkStart w:id="17338" w:name="_Toc66185940"/>
      <w:bookmarkStart w:id="17339" w:name="_Toc66193400"/>
      <w:r w:rsidRPr="000E75DF">
        <w:rPr>
          <w:rFonts w:hint="cs"/>
          <w:rtl/>
        </w:rPr>
        <w:t>דברי התוס' דאפש"ל דאינו נאמן במיגו דלא חטפי כיון שירא ליפסל לעדות ע"י הבע"ד והע"א</w:t>
      </w:r>
      <w:bookmarkEnd w:id="17329"/>
      <w:bookmarkEnd w:id="17330"/>
      <w:bookmarkEnd w:id="17331"/>
      <w:bookmarkEnd w:id="17332"/>
      <w:bookmarkEnd w:id="17333"/>
      <w:bookmarkEnd w:id="17334"/>
      <w:bookmarkEnd w:id="17335"/>
      <w:bookmarkEnd w:id="17336"/>
      <w:bookmarkEnd w:id="17337"/>
      <w:bookmarkEnd w:id="17338"/>
      <w:bookmarkEnd w:id="17339"/>
    </w:p>
    <w:p w:rsidR="00E824D3" w:rsidRPr="004F1129" w:rsidRDefault="00E824D3" w:rsidP="007E4E81">
      <w:pPr>
        <w:pStyle w:val="a0"/>
      </w:pPr>
      <w:r w:rsidRPr="000E75DF">
        <w:rPr>
          <w:rFonts w:hint="cs"/>
          <w:rtl/>
        </w:rPr>
        <w:t xml:space="preserve">והוסיפו </w:t>
      </w:r>
      <w:r w:rsidRPr="000E75DF">
        <w:rPr>
          <w:rStyle w:val="af9"/>
          <w:rtl/>
        </w:rPr>
        <w:t>התוס'</w:t>
      </w:r>
      <w:r w:rsidRPr="000E75DF">
        <w:rPr>
          <w:rFonts w:hint="cs"/>
          <w:rtl/>
        </w:rPr>
        <w:t xml:space="preserve"> </w:t>
      </w:r>
      <w:r w:rsidRPr="000E75DF">
        <w:rPr>
          <w:rStyle w:val="af9"/>
          <w:rtl/>
        </w:rPr>
        <w:t>בסוגיין</w:t>
      </w:r>
      <w:r w:rsidRPr="000E75DF">
        <w:rPr>
          <w:rStyle w:val="af7"/>
          <w:rFonts w:eastAsia="Guttman Hodes" w:hint="cs"/>
          <w:rtl/>
        </w:rPr>
        <w:t xml:space="preserve"> (ד"ה הוי)</w:t>
      </w:r>
      <w:r w:rsidRPr="000E75DF">
        <w:rPr>
          <w:rFonts w:hint="cs"/>
          <w:rtl/>
        </w:rPr>
        <w:t xml:space="preserve"> דכן אפש"ל דאינו נאמן במיגו דלא חטפי, דהוא ירא שיפסלוהו לעדות, ע"י שבעל הנסכא יצטרף לע"א ויעידו שהוא גזלן, כדאיתא בסנהדרין </w:t>
      </w:r>
      <w:r w:rsidRPr="000E75DF">
        <w:rPr>
          <w:rStyle w:val="af7"/>
          <w:rFonts w:eastAsia="Guttman Hodes" w:hint="cs"/>
          <w:rtl/>
        </w:rPr>
        <w:t>(כה.)</w:t>
      </w:r>
      <w:r w:rsidRPr="000E75DF">
        <w:rPr>
          <w:rFonts w:hint="cs"/>
          <w:rtl/>
        </w:rPr>
        <w:t xml:space="preserve"> דהבעל דבר נאמן לומר לדידי הלוה פלוני ברבית, ולפוסלו לעדות, ועי'</w:t>
      </w:r>
      <w:r w:rsidRPr="004F1129">
        <w:rPr>
          <w:rFonts w:hint="cs"/>
          <w:rtl/>
        </w:rPr>
        <w:t xml:space="preserve"> במה שביאר </w:t>
      </w:r>
      <w:r w:rsidRPr="004F1129">
        <w:rPr>
          <w:rStyle w:val="af9"/>
          <w:rFonts w:hint="cs"/>
          <w:rtl/>
        </w:rPr>
        <w:t xml:space="preserve">בחי' </w:t>
      </w:r>
      <w:r w:rsidRPr="004F1129">
        <w:rPr>
          <w:rStyle w:val="af9"/>
          <w:rtl/>
        </w:rPr>
        <w:t>רבי נחום</w:t>
      </w:r>
      <w:r w:rsidRPr="004F1129">
        <w:rPr>
          <w:rtl/>
        </w:rPr>
        <w:t xml:space="preserve"> </w:t>
      </w:r>
      <w:r w:rsidRPr="004F1129">
        <w:rPr>
          <w:rStyle w:val="af7"/>
          <w:rFonts w:eastAsia="Guttman Hodes"/>
          <w:rtl/>
        </w:rPr>
        <w:t>(או' קצ"</w:t>
      </w:r>
      <w:r>
        <w:rPr>
          <w:rStyle w:val="af7"/>
          <w:rFonts w:eastAsia="Guttman Hodes" w:hint="cs"/>
          <w:rtl/>
        </w:rPr>
        <w:t>ט)</w:t>
      </w:r>
      <w:r w:rsidRPr="004F1129">
        <w:rPr>
          <w:rStyle w:val="af7"/>
          <w:rFonts w:eastAsia="Guttman Hodes" w:hint="cs"/>
          <w:rtl/>
        </w:rPr>
        <w:t xml:space="preserve"> </w:t>
      </w:r>
      <w:r w:rsidRPr="004F1129">
        <w:rPr>
          <w:rFonts w:hint="cs"/>
          <w:rtl/>
        </w:rPr>
        <w:t xml:space="preserve">בדברי </w:t>
      </w:r>
      <w:r>
        <w:rPr>
          <w:rStyle w:val="af9"/>
          <w:rFonts w:hint="cs"/>
          <w:rtl/>
        </w:rPr>
        <w:t>התוס'</w:t>
      </w:r>
      <w:r w:rsidRPr="004F1129">
        <w:rPr>
          <w:rFonts w:hint="cs"/>
          <w:rtl/>
        </w:rPr>
        <w:t>.</w:t>
      </w:r>
    </w:p>
    <w:p w:rsidR="00E824D3" w:rsidRDefault="00E824D3" w:rsidP="00E824D3">
      <w:pPr>
        <w:pStyle w:val="1"/>
        <w:rPr>
          <w:rtl/>
        </w:rPr>
      </w:pPr>
      <w:bookmarkStart w:id="17340" w:name="_Toc65530003"/>
      <w:bookmarkStart w:id="17341" w:name="_Toc65748236"/>
      <w:bookmarkStart w:id="17342" w:name="_Toc65788173"/>
      <w:bookmarkStart w:id="17343" w:name="_Toc65839211"/>
      <w:bookmarkStart w:id="17344" w:name="_Toc66048842"/>
      <w:bookmarkStart w:id="17345" w:name="_Toc66055782"/>
      <w:bookmarkStart w:id="17346" w:name="_Toc66085888"/>
      <w:bookmarkStart w:id="17347" w:name="_Toc66110450"/>
      <w:bookmarkStart w:id="17348" w:name="_Toc66123310"/>
      <w:bookmarkStart w:id="17349" w:name="_Toc66143758"/>
      <w:bookmarkStart w:id="17350" w:name="_Toc66171921"/>
      <w:bookmarkStart w:id="17351" w:name="_Toc66183161"/>
      <w:bookmarkStart w:id="17352" w:name="_Toc66185941"/>
      <w:bookmarkStart w:id="17353" w:name="_Toc66193401"/>
      <w:r>
        <w:rPr>
          <w:rFonts w:hint="cs"/>
          <w:rtl/>
        </w:rPr>
        <w:t>דחיית התוס' דמוכח דמהני מיגו</w:t>
      </w:r>
      <w:bookmarkEnd w:id="17340"/>
      <w:bookmarkEnd w:id="17341"/>
      <w:r>
        <w:rPr>
          <w:rFonts w:hint="cs"/>
          <w:rtl/>
        </w:rPr>
        <w:t xml:space="preserve"> דאי לא חייב שבועה היה פטור</w:t>
      </w:r>
      <w:bookmarkEnd w:id="17342"/>
      <w:bookmarkEnd w:id="17343"/>
      <w:bookmarkEnd w:id="17344"/>
      <w:bookmarkEnd w:id="17345"/>
      <w:bookmarkEnd w:id="17346"/>
      <w:bookmarkEnd w:id="17347"/>
      <w:bookmarkEnd w:id="17348"/>
      <w:bookmarkEnd w:id="17349"/>
      <w:bookmarkEnd w:id="17350"/>
      <w:bookmarkEnd w:id="17351"/>
      <w:bookmarkEnd w:id="17352"/>
      <w:bookmarkEnd w:id="17353"/>
    </w:p>
    <w:p w:rsidR="00E824D3" w:rsidRPr="00AB400E" w:rsidRDefault="00E824D3" w:rsidP="00E824D3">
      <w:pPr>
        <w:pStyle w:val="a3"/>
        <w:rPr>
          <w:rtl/>
        </w:rPr>
      </w:pPr>
      <w:bookmarkStart w:id="17354" w:name="_Toc65839212"/>
      <w:bookmarkStart w:id="17355" w:name="_Toc66048843"/>
      <w:bookmarkStart w:id="17356" w:name="_Toc66055783"/>
      <w:bookmarkStart w:id="17357" w:name="_Toc66085889"/>
      <w:bookmarkStart w:id="17358" w:name="_Toc66110451"/>
      <w:bookmarkStart w:id="17359" w:name="_Toc66123311"/>
      <w:bookmarkStart w:id="17360" w:name="_Toc66143759"/>
      <w:bookmarkStart w:id="17361" w:name="_Toc66171922"/>
      <w:bookmarkStart w:id="17362" w:name="_Toc66183162"/>
      <w:bookmarkStart w:id="17363" w:name="_Toc66185942"/>
      <w:bookmarkStart w:id="17364" w:name="_Toc66193402"/>
      <w:r>
        <w:rPr>
          <w:rFonts w:hint="cs"/>
          <w:rtl/>
        </w:rPr>
        <w:t>דחיית התוס' דא"א לומר דאינו נאמן במיגו דבלא חיוב שבועה מוכח דנאמן במיגו דלא חטפי</w:t>
      </w:r>
      <w:bookmarkEnd w:id="17354"/>
      <w:bookmarkEnd w:id="17355"/>
      <w:bookmarkEnd w:id="17356"/>
      <w:bookmarkEnd w:id="17357"/>
      <w:bookmarkEnd w:id="17358"/>
      <w:bookmarkEnd w:id="17359"/>
      <w:bookmarkEnd w:id="17360"/>
      <w:bookmarkEnd w:id="17361"/>
      <w:bookmarkEnd w:id="17362"/>
      <w:bookmarkEnd w:id="17363"/>
      <w:bookmarkEnd w:id="17364"/>
    </w:p>
    <w:p w:rsidR="00E824D3" w:rsidRDefault="00E824D3" w:rsidP="007E4E81">
      <w:pPr>
        <w:pStyle w:val="a0"/>
        <w:rPr>
          <w:rStyle w:val="afb"/>
          <w:rtl/>
        </w:rPr>
      </w:pPr>
      <w:r>
        <w:rPr>
          <w:rFonts w:hint="cs"/>
          <w:rtl/>
        </w:rPr>
        <w:t xml:space="preserve">אך דחו </w:t>
      </w:r>
      <w:r>
        <w:rPr>
          <w:rStyle w:val="af9"/>
          <w:rtl/>
        </w:rPr>
        <w:t>התוס'</w:t>
      </w:r>
      <w:r>
        <w:rPr>
          <w:rFonts w:hint="cs"/>
          <w:rtl/>
        </w:rPr>
        <w:t xml:space="preserve"> </w:t>
      </w:r>
      <w:r>
        <w:rPr>
          <w:rStyle w:val="af7"/>
          <w:rFonts w:eastAsia="Guttman Hodes" w:hint="cs"/>
          <w:rtl/>
        </w:rPr>
        <w:t>(ד"ה הוי)</w:t>
      </w:r>
      <w:r>
        <w:rPr>
          <w:rFonts w:hint="cs"/>
          <w:rtl/>
        </w:rPr>
        <w:t xml:space="preserve"> דא"א לומר דאינו נאמן במיגו,</w:t>
      </w:r>
      <w:r>
        <w:rPr>
          <w:rStyle w:val="afb"/>
          <w:rtl/>
        </w:rPr>
        <w:t xml:space="preserve"> </w:t>
      </w:r>
      <w:r>
        <w:rPr>
          <w:rStyle w:val="afb"/>
          <w:rFonts w:hint="cs"/>
          <w:rtl/>
        </w:rPr>
        <w:t>[</w:t>
      </w:r>
      <w:r>
        <w:rPr>
          <w:rStyle w:val="afb"/>
          <w:rtl/>
        </w:rPr>
        <w:t>כדכתבו</w:t>
      </w:r>
      <w:r>
        <w:rPr>
          <w:rStyle w:val="affa"/>
          <w:rtl/>
        </w:rPr>
        <w:t xml:space="preserve"> התוס' </w:t>
      </w:r>
      <w:r>
        <w:rPr>
          <w:rStyle w:val="aff6"/>
          <w:rtl/>
        </w:rPr>
        <w:t>(עי'</w:t>
      </w:r>
      <w:r>
        <w:rPr>
          <w:rStyle w:val="afb"/>
          <w:rtl/>
        </w:rPr>
        <w:t xml:space="preserve"> </w:t>
      </w:r>
      <w:r>
        <w:rPr>
          <w:rStyle w:val="aff6"/>
          <w:rtl/>
        </w:rPr>
        <w:t xml:space="preserve">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Ref64884294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ה)</w:t>
      </w:r>
      <w:r>
        <w:rPr>
          <w:rStyle w:val="aff6"/>
          <w:rtl/>
        </w:rPr>
        <w:fldChar w:fldCharType="end"/>
      </w:r>
      <w:r>
        <w:rPr>
          <w:rStyle w:val="afb"/>
          <w:rFonts w:hint="cs"/>
          <w:rtl/>
        </w:rPr>
        <w:t xml:space="preserve"> </w:t>
      </w:r>
      <w:r>
        <w:rPr>
          <w:rStyle w:val="afb"/>
          <w:rtl/>
        </w:rPr>
        <w:t xml:space="preserve">דאינו מעיז להכחיש את הע"א, או שירא ליפסל לעדות, או לדעת </w:t>
      </w:r>
      <w:r>
        <w:rPr>
          <w:rStyle w:val="affa"/>
          <w:rtl/>
        </w:rPr>
        <w:t xml:space="preserve">ר"ת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Ref64884306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ד)</w:t>
      </w:r>
      <w:r>
        <w:rPr>
          <w:rStyle w:val="aff6"/>
          <w:rtl/>
        </w:rPr>
        <w:fldChar w:fldCharType="end"/>
      </w:r>
      <w:r>
        <w:rPr>
          <w:rStyle w:val="afb"/>
          <w:rtl/>
        </w:rPr>
        <w:t xml:space="preserve"> כיון שע"י המיגו יהיה מחוייב שבועה דאו'], </w:t>
      </w:r>
      <w:r>
        <w:rPr>
          <w:rFonts w:hint="cs"/>
          <w:rtl/>
        </w:rPr>
        <w:t>דהא משמע בגמ' דאי הע"א לא היה מחייבו שבועה, היה פטור מלשלם, ומוכח דהוא נאמן במיגו, דהא אי אין לו מיגו, ודאי דאינו נאמן לטעון אין חטפי ודידי חטפי, כיון שאם יש ב' עדים שחטף חייב לשלם, ואינו נאמן לטעון דידי חטפי.</w:t>
      </w:r>
      <w:r>
        <w:rPr>
          <w:rStyle w:val="afb"/>
          <w:rtl/>
        </w:rPr>
        <w:t xml:space="preserve"> [וא"כ ה"ה כשהודה בהודאת בע"ד].</w:t>
      </w:r>
    </w:p>
    <w:p w:rsidR="000E55D0" w:rsidRPr="000E55D0" w:rsidRDefault="000E55D0" w:rsidP="000E55D0">
      <w:pPr>
        <w:pStyle w:val="a3"/>
        <w:rPr>
          <w:rtl/>
        </w:rPr>
      </w:pPr>
    </w:p>
    <w:p w:rsidR="00E824D3" w:rsidRDefault="00E824D3" w:rsidP="00E824D3">
      <w:pPr>
        <w:pStyle w:val="a3"/>
        <w:rPr>
          <w:rtl/>
        </w:rPr>
      </w:pPr>
      <w:bookmarkStart w:id="17365" w:name="_Toc65839213"/>
      <w:bookmarkStart w:id="17366" w:name="_Toc66048844"/>
      <w:bookmarkStart w:id="17367" w:name="_Toc66055784"/>
      <w:bookmarkStart w:id="17368" w:name="_Toc66085890"/>
      <w:bookmarkStart w:id="17369" w:name="_Toc66110452"/>
      <w:bookmarkStart w:id="17370" w:name="_Toc66123312"/>
      <w:bookmarkStart w:id="17371" w:name="_Toc66143760"/>
      <w:bookmarkStart w:id="17372" w:name="_Toc66171923"/>
      <w:bookmarkStart w:id="17373" w:name="_Toc66183163"/>
      <w:bookmarkStart w:id="17374" w:name="_Toc66185943"/>
      <w:bookmarkStart w:id="17375" w:name="_Toc66193403"/>
      <w:bookmarkStart w:id="17376" w:name="_Toc65788174"/>
      <w:r>
        <w:rPr>
          <w:rFonts w:hint="cs"/>
          <w:rtl/>
        </w:rPr>
        <w:lastRenderedPageBreak/>
        <w:t>קושית התוס' הרא"ש בשבועות דאי אין לו מיגו הוא חייב מחמת שהודה אף בלא דין משאיל"מ</w:t>
      </w:r>
      <w:bookmarkEnd w:id="17365"/>
      <w:bookmarkEnd w:id="17366"/>
      <w:bookmarkEnd w:id="17367"/>
      <w:bookmarkEnd w:id="17368"/>
      <w:bookmarkEnd w:id="17369"/>
      <w:bookmarkEnd w:id="17370"/>
      <w:bookmarkEnd w:id="17371"/>
      <w:bookmarkEnd w:id="17372"/>
      <w:bookmarkEnd w:id="17373"/>
      <w:bookmarkEnd w:id="17374"/>
      <w:bookmarkEnd w:id="17375"/>
      <w:r>
        <w:rPr>
          <w:rFonts w:hint="cs"/>
          <w:rtl/>
        </w:rPr>
        <w:t xml:space="preserve"> </w:t>
      </w:r>
    </w:p>
    <w:p w:rsidR="00E824D3" w:rsidRDefault="00E824D3" w:rsidP="007E4E81">
      <w:pPr>
        <w:pStyle w:val="a0"/>
        <w:rPr>
          <w:rtl/>
        </w:rPr>
      </w:pPr>
      <w:bookmarkStart w:id="17377" w:name="_Ref65775009"/>
      <w:r>
        <w:rPr>
          <w:rStyle w:val="af9"/>
          <w:rFonts w:hint="cs"/>
          <w:rtl/>
        </w:rPr>
        <w:t>ו</w:t>
      </w:r>
      <w:r>
        <w:rPr>
          <w:rStyle w:val="af9"/>
          <w:rtl/>
        </w:rPr>
        <w:t>התוס' הרא"ש בשבועות</w:t>
      </w:r>
      <w:r>
        <w:rPr>
          <w:rFonts w:hint="cs"/>
          <w:rtl/>
        </w:rPr>
        <w:t xml:space="preserve"> </w:t>
      </w:r>
      <w:r>
        <w:rPr>
          <w:rStyle w:val="af7"/>
          <w:rFonts w:eastAsia="Guttman Hodes" w:hint="cs"/>
          <w:rtl/>
        </w:rPr>
        <w:t>(לב: ד"ה הו"ל)</w:t>
      </w:r>
      <w:r>
        <w:rPr>
          <w:rFonts w:hint="cs"/>
          <w:rtl/>
        </w:rPr>
        <w:t xml:space="preserve"> הקשה דאי אינו נאמן במיגו, דהוא מיגו דהעזה, א"כ אמאי הוצרך רבי אבא לומר דחייב מדין מתוך שאינו יכול לישבע משלם, הא כיון שאין לו מיגו, א"כ אינו נאמן בטענת דידי חטפי, וחייב לשלם.</w:t>
      </w:r>
      <w:bookmarkEnd w:id="17377"/>
    </w:p>
    <w:p w:rsidR="00E824D3" w:rsidRPr="00BB7321" w:rsidRDefault="00E824D3" w:rsidP="00E824D3">
      <w:pPr>
        <w:pStyle w:val="1"/>
        <w:rPr>
          <w:rtl/>
        </w:rPr>
      </w:pPr>
      <w:bookmarkStart w:id="17378" w:name="_Toc65839214"/>
      <w:bookmarkStart w:id="17379" w:name="_Toc66048845"/>
      <w:bookmarkStart w:id="17380" w:name="_Toc66055785"/>
      <w:bookmarkStart w:id="17381" w:name="_Toc66085891"/>
      <w:bookmarkStart w:id="17382" w:name="_Toc66110453"/>
      <w:bookmarkStart w:id="17383" w:name="_Toc66123313"/>
      <w:bookmarkStart w:id="17384" w:name="_Toc66143761"/>
      <w:bookmarkStart w:id="17385" w:name="_Toc66171924"/>
      <w:bookmarkStart w:id="17386" w:name="_Toc66183164"/>
      <w:bookmarkStart w:id="17387" w:name="_Toc66185944"/>
      <w:bookmarkStart w:id="17388" w:name="_Toc66193404"/>
      <w:r>
        <w:rPr>
          <w:rFonts w:hint="cs"/>
          <w:rtl/>
        </w:rPr>
        <w:t>ביאור ר"י דכיון שהע"א מחייבו שבועה הוא מיגו דהעזה</w:t>
      </w:r>
      <w:bookmarkEnd w:id="17376"/>
      <w:bookmarkEnd w:id="17378"/>
      <w:bookmarkEnd w:id="17379"/>
      <w:bookmarkEnd w:id="17380"/>
      <w:bookmarkEnd w:id="17381"/>
      <w:bookmarkEnd w:id="17382"/>
      <w:bookmarkEnd w:id="17383"/>
      <w:bookmarkEnd w:id="17384"/>
      <w:bookmarkEnd w:id="17385"/>
      <w:bookmarkEnd w:id="17386"/>
      <w:bookmarkEnd w:id="17387"/>
      <w:bookmarkEnd w:id="17388"/>
    </w:p>
    <w:p w:rsidR="00E824D3" w:rsidRDefault="00E824D3" w:rsidP="00E824D3">
      <w:pPr>
        <w:pStyle w:val="a3"/>
        <w:rPr>
          <w:rtl/>
        </w:rPr>
      </w:pPr>
      <w:bookmarkStart w:id="17389" w:name="_Toc65839215"/>
      <w:bookmarkStart w:id="17390" w:name="_Toc66048846"/>
      <w:bookmarkStart w:id="17391" w:name="_Toc66055786"/>
      <w:bookmarkStart w:id="17392" w:name="_Toc66085892"/>
      <w:bookmarkStart w:id="17393" w:name="_Toc66110454"/>
      <w:bookmarkStart w:id="17394" w:name="_Toc66123314"/>
      <w:bookmarkStart w:id="17395" w:name="_Toc66143762"/>
      <w:bookmarkStart w:id="17396" w:name="_Toc66171925"/>
      <w:bookmarkStart w:id="17397" w:name="_Toc66183165"/>
      <w:bookmarkStart w:id="17398" w:name="_Toc66185945"/>
      <w:bookmarkStart w:id="17399" w:name="_Toc66193405"/>
      <w:r>
        <w:rPr>
          <w:rFonts w:hint="cs"/>
          <w:rtl/>
        </w:rPr>
        <w:t>תירוץ ר"י דרק כיון שהע"א מחייבו שבועה אינו מעיז להכחישו ולכן ל"מ המיגו דלא חטפי</w:t>
      </w:r>
      <w:bookmarkEnd w:id="17389"/>
      <w:bookmarkEnd w:id="17390"/>
      <w:bookmarkEnd w:id="17391"/>
      <w:bookmarkEnd w:id="17392"/>
      <w:bookmarkEnd w:id="17393"/>
      <w:bookmarkEnd w:id="17394"/>
      <w:bookmarkEnd w:id="17395"/>
      <w:bookmarkEnd w:id="17396"/>
      <w:bookmarkEnd w:id="17397"/>
      <w:bookmarkEnd w:id="17398"/>
      <w:bookmarkEnd w:id="17399"/>
    </w:p>
    <w:p w:rsidR="00E824D3" w:rsidRPr="00DA335F" w:rsidRDefault="00E824D3" w:rsidP="007E4E81">
      <w:pPr>
        <w:pStyle w:val="a0"/>
        <w:rPr>
          <w:rtl/>
        </w:rPr>
      </w:pPr>
      <w:bookmarkStart w:id="17400" w:name="_Ref65785260"/>
      <w:r>
        <w:rPr>
          <w:rFonts w:hint="cs"/>
          <w:rtl/>
        </w:rPr>
        <w:t xml:space="preserve">ותירץ </w:t>
      </w:r>
      <w:r>
        <w:rPr>
          <w:rStyle w:val="af9"/>
          <w:rtl/>
        </w:rPr>
        <w:t>ר"י בתוס'</w:t>
      </w:r>
      <w:r>
        <w:rPr>
          <w:rFonts w:hint="cs"/>
          <w:rtl/>
        </w:rPr>
        <w:t xml:space="preserve"> </w:t>
      </w:r>
      <w:r w:rsidRPr="002C3167">
        <w:rPr>
          <w:rStyle w:val="af7"/>
          <w:rFonts w:eastAsia="Guttman Hodes" w:hint="cs"/>
          <w:rtl/>
        </w:rPr>
        <w:t>(ד"ה הוי)</w:t>
      </w:r>
      <w:r>
        <w:rPr>
          <w:rFonts w:hint="cs"/>
          <w:rtl/>
        </w:rPr>
        <w:t xml:space="preserve"> דאם הע"א לא היה מחייבו שבועה, ודאי דהיה נאמן במיגו דלא חטפי, דהיה יכול להעיז פניו להכחיש את העד כשאינו צריך להשבע, אבל כיון שהע"א מחייבו שבועה, אינו נאמן בשבועה דדידי חטפי, במיגו דהיה </w:t>
      </w:r>
      <w:r w:rsidRPr="00DA335F">
        <w:rPr>
          <w:rFonts w:hint="cs"/>
          <w:rtl/>
        </w:rPr>
        <w:t xml:space="preserve">נשבע כשיש ע"א שמכחיש את שבועתו, וכן פסק </w:t>
      </w:r>
      <w:r w:rsidRPr="00DA335F">
        <w:rPr>
          <w:rStyle w:val="af9"/>
          <w:rFonts w:hint="cs"/>
          <w:rtl/>
        </w:rPr>
        <w:t>הש"ך</w:t>
      </w:r>
      <w:r w:rsidRPr="00DA335F">
        <w:rPr>
          <w:rFonts w:hint="cs"/>
          <w:rtl/>
        </w:rPr>
        <w:t xml:space="preserve"> </w:t>
      </w:r>
      <w:r w:rsidRPr="00DA335F">
        <w:rPr>
          <w:rStyle w:val="af7"/>
          <w:rFonts w:eastAsia="Guttman Hodes" w:hint="cs"/>
          <w:rtl/>
        </w:rPr>
        <w:t>(סי' ע"ה סקמ"ג)</w:t>
      </w:r>
      <w:r w:rsidRPr="00DA335F">
        <w:rPr>
          <w:rFonts w:hint="cs"/>
          <w:rtl/>
        </w:rPr>
        <w:t xml:space="preserve"> וכדכתבו </w:t>
      </w:r>
      <w:r w:rsidRPr="00DA335F">
        <w:rPr>
          <w:rStyle w:val="af9"/>
          <w:rtl/>
        </w:rPr>
        <w:t>התוס' בשבועות</w:t>
      </w:r>
      <w:r w:rsidRPr="00DA335F">
        <w:rPr>
          <w:rFonts w:hint="cs"/>
          <w:rtl/>
        </w:rPr>
        <w:t xml:space="preserve"> </w:t>
      </w:r>
      <w:r w:rsidRPr="00DA335F">
        <w:rPr>
          <w:rStyle w:val="af7"/>
          <w:rFonts w:eastAsia="Guttman Hodes" w:hint="cs"/>
          <w:rtl/>
        </w:rPr>
        <w:t xml:space="preserve">(לב: ד"ה הוה) </w:t>
      </w:r>
      <w:r w:rsidRPr="00DA335F">
        <w:rPr>
          <w:rStyle w:val="af9"/>
          <w:rtl/>
        </w:rPr>
        <w:t>והרמב"ן</w:t>
      </w:r>
      <w:r w:rsidRPr="00DA335F">
        <w:rPr>
          <w:rFonts w:hint="cs"/>
          <w:rtl/>
        </w:rPr>
        <w:t xml:space="preserve"> </w:t>
      </w:r>
      <w:r w:rsidRPr="00DA335F">
        <w:rPr>
          <w:rStyle w:val="af7"/>
          <w:rFonts w:eastAsiaTheme="minorHAnsi" w:hint="cs"/>
          <w:rtl/>
        </w:rPr>
        <w:t>(ד"ה והא)</w:t>
      </w:r>
      <w:r w:rsidRPr="00DA335F">
        <w:rPr>
          <w:rFonts w:hint="cs"/>
          <w:rtl/>
        </w:rPr>
        <w:t xml:space="preserve">, ועי' במה שביאר </w:t>
      </w:r>
      <w:r w:rsidRPr="00DA335F">
        <w:rPr>
          <w:rStyle w:val="af9"/>
          <w:rFonts w:hint="cs"/>
          <w:rtl/>
        </w:rPr>
        <w:t>הברכ"ש</w:t>
      </w:r>
      <w:r w:rsidRPr="00DA335F">
        <w:rPr>
          <w:rFonts w:hint="cs"/>
          <w:rtl/>
        </w:rPr>
        <w:t xml:space="preserve"> </w:t>
      </w:r>
      <w:r w:rsidRPr="00DA335F">
        <w:rPr>
          <w:rStyle w:val="af7"/>
          <w:rFonts w:eastAsia="Guttman Hodes" w:hint="cs"/>
          <w:rtl/>
        </w:rPr>
        <w:t xml:space="preserve">(עי' אות </w:t>
      </w:r>
      <w:r w:rsidRPr="00DA335F">
        <w:rPr>
          <w:rStyle w:val="af7"/>
          <w:rFonts w:eastAsia="Guttman Hodes"/>
          <w:rtl/>
        </w:rPr>
        <w:fldChar w:fldCharType="begin"/>
      </w:r>
      <w:r w:rsidRPr="00DA335F">
        <w:rPr>
          <w:rStyle w:val="af7"/>
          <w:rFonts w:eastAsia="Guttman Hodes"/>
          <w:rtl/>
        </w:rPr>
        <w:instrText xml:space="preserve"> </w:instrText>
      </w:r>
      <w:r w:rsidRPr="00DA335F">
        <w:rPr>
          <w:rStyle w:val="af7"/>
          <w:rFonts w:eastAsia="Guttman Hodes" w:hint="cs"/>
        </w:rPr>
        <w:instrText>REF</w:instrText>
      </w:r>
      <w:r w:rsidRPr="00DA335F">
        <w:rPr>
          <w:rStyle w:val="af7"/>
          <w:rFonts w:eastAsia="Guttman Hodes" w:hint="cs"/>
          <w:rtl/>
        </w:rPr>
        <w:instrText xml:space="preserve"> _</w:instrText>
      </w:r>
      <w:r w:rsidRPr="00DA335F">
        <w:rPr>
          <w:rStyle w:val="af7"/>
          <w:rFonts w:eastAsia="Guttman Hodes" w:hint="cs"/>
        </w:rPr>
        <w:instrText>Ref66130202 \r \h</w:instrText>
      </w:r>
      <w:r w:rsidRPr="00DA335F">
        <w:rPr>
          <w:rStyle w:val="af7"/>
          <w:rFonts w:eastAsia="Guttman Hodes"/>
          <w:rtl/>
        </w:rPr>
        <w:instrText xml:space="preserve"> </w:instrText>
      </w:r>
      <w:r w:rsidRPr="00DA335F">
        <w:rPr>
          <w:rStyle w:val="af7"/>
          <w:rFonts w:eastAsia="Guttman Hodes"/>
          <w:rtl/>
        </w:rPr>
      </w:r>
      <w:r w:rsidRPr="00DA335F">
        <w:rPr>
          <w:rStyle w:val="af7"/>
          <w:rFonts w:eastAsia="Guttman Hodes"/>
          <w:rtl/>
        </w:rPr>
        <w:fldChar w:fldCharType="separate"/>
      </w:r>
      <w:r w:rsidR="00265073">
        <w:rPr>
          <w:rStyle w:val="af7"/>
          <w:rFonts w:eastAsia="Guttman Hodes"/>
          <w:cs/>
        </w:rPr>
        <w:t>‎</w:t>
      </w:r>
      <w:r w:rsidR="00265073">
        <w:rPr>
          <w:rStyle w:val="af7"/>
          <w:rFonts w:eastAsia="Guttman Hodes"/>
          <w:rtl/>
        </w:rPr>
        <w:t>צא)</w:t>
      </w:r>
      <w:r w:rsidRPr="00DA335F">
        <w:rPr>
          <w:rStyle w:val="af7"/>
          <w:rFonts w:eastAsia="Guttman Hodes"/>
          <w:rtl/>
        </w:rPr>
        <w:fldChar w:fldCharType="end"/>
      </w:r>
      <w:r w:rsidRPr="00DA335F">
        <w:rPr>
          <w:rFonts w:hint="cs"/>
          <w:rtl/>
        </w:rPr>
        <w:t xml:space="preserve"> בדברי </w:t>
      </w:r>
      <w:r w:rsidRPr="00DA335F">
        <w:rPr>
          <w:rStyle w:val="af9"/>
          <w:rFonts w:hint="cs"/>
          <w:rtl/>
        </w:rPr>
        <w:t>ר"י</w:t>
      </w:r>
      <w:r w:rsidRPr="00DA335F">
        <w:rPr>
          <w:rFonts w:hint="cs"/>
          <w:rtl/>
        </w:rPr>
        <w:t>.</w:t>
      </w:r>
      <w:bookmarkEnd w:id="17400"/>
    </w:p>
    <w:p w:rsidR="00E824D3" w:rsidRDefault="00E824D3" w:rsidP="00E824D3">
      <w:pPr>
        <w:pStyle w:val="a3"/>
        <w:rPr>
          <w:rtl/>
        </w:rPr>
      </w:pPr>
      <w:bookmarkStart w:id="17401" w:name="_Toc65839216"/>
      <w:bookmarkStart w:id="17402" w:name="_Toc66048847"/>
      <w:bookmarkStart w:id="17403" w:name="_Toc66055787"/>
      <w:bookmarkStart w:id="17404" w:name="_Toc66085893"/>
      <w:bookmarkStart w:id="17405" w:name="_Toc66110455"/>
      <w:bookmarkStart w:id="17406" w:name="_Toc66123315"/>
      <w:bookmarkStart w:id="17407" w:name="_Toc66143763"/>
      <w:bookmarkStart w:id="17408" w:name="_Toc66171926"/>
      <w:bookmarkStart w:id="17409" w:name="_Toc66183166"/>
      <w:bookmarkStart w:id="17410" w:name="_Toc66185946"/>
      <w:bookmarkStart w:id="17411" w:name="_Toc66193406"/>
      <w:r w:rsidRPr="00DA335F">
        <w:rPr>
          <w:rFonts w:hint="cs"/>
          <w:rtl/>
        </w:rPr>
        <w:t>תירוץ התוס' בשבועות דרק כיון שהוא מחויב שבועה אינו מעיז להכחיש</w:t>
      </w:r>
      <w:r>
        <w:rPr>
          <w:rFonts w:hint="cs"/>
          <w:rtl/>
        </w:rPr>
        <w:t xml:space="preserve"> את הע"א ול"מ מיגו</w:t>
      </w:r>
      <w:bookmarkEnd w:id="17401"/>
      <w:bookmarkEnd w:id="17402"/>
      <w:bookmarkEnd w:id="17403"/>
      <w:bookmarkEnd w:id="17404"/>
      <w:bookmarkEnd w:id="17405"/>
      <w:bookmarkEnd w:id="17406"/>
      <w:bookmarkEnd w:id="17407"/>
      <w:bookmarkEnd w:id="17408"/>
      <w:bookmarkEnd w:id="17409"/>
      <w:bookmarkEnd w:id="17410"/>
      <w:bookmarkEnd w:id="17411"/>
      <w:r>
        <w:rPr>
          <w:rFonts w:hint="cs"/>
          <w:rtl/>
        </w:rPr>
        <w:t xml:space="preserve"> </w:t>
      </w:r>
    </w:p>
    <w:p w:rsidR="00E824D3" w:rsidRPr="00F651C8" w:rsidRDefault="00E824D3" w:rsidP="007E4E81">
      <w:pPr>
        <w:pStyle w:val="a0"/>
        <w:rPr>
          <w:rtl/>
        </w:rPr>
      </w:pPr>
      <w:bookmarkStart w:id="17412" w:name="_Ref65855828"/>
      <w:r>
        <w:rPr>
          <w:rFonts w:hint="cs"/>
          <w:rtl/>
        </w:rPr>
        <w:t>וכ"כ</w:t>
      </w:r>
      <w:r>
        <w:rPr>
          <w:rStyle w:val="af9"/>
          <w:rFonts w:hint="cs"/>
          <w:rtl/>
        </w:rPr>
        <w:t xml:space="preserve"> </w:t>
      </w:r>
      <w:r>
        <w:rPr>
          <w:rStyle w:val="af9"/>
          <w:rtl/>
        </w:rPr>
        <w:t>התוס' בשבועות</w:t>
      </w:r>
      <w:r>
        <w:rPr>
          <w:rFonts w:hint="cs"/>
          <w:rtl/>
        </w:rPr>
        <w:t xml:space="preserve"> </w:t>
      </w:r>
      <w:r>
        <w:rPr>
          <w:rStyle w:val="af7"/>
          <w:rFonts w:eastAsia="Guttman Hodes" w:hint="cs"/>
          <w:rtl/>
        </w:rPr>
        <w:t>(לב: ד"ה הוה)</w:t>
      </w:r>
      <w:r>
        <w:rPr>
          <w:rStyle w:val="af9"/>
          <w:rFonts w:hint="cs"/>
          <w:rtl/>
        </w:rPr>
        <w:t xml:space="preserve"> </w:t>
      </w:r>
      <w:r>
        <w:rPr>
          <w:rStyle w:val="af9"/>
          <w:rtl/>
        </w:rPr>
        <w:t>והתוס' הרא"ש בשבועות</w:t>
      </w:r>
      <w:r>
        <w:rPr>
          <w:rStyle w:val="af9"/>
          <w:rFonts w:hint="cs"/>
          <w:rtl/>
        </w:rPr>
        <w:t xml:space="preserve"> </w:t>
      </w:r>
      <w:r>
        <w:rPr>
          <w:rStyle w:val="af7"/>
          <w:rFonts w:eastAsia="Guttman Hodes" w:hint="cs"/>
          <w:rtl/>
        </w:rPr>
        <w:t>(לב: ד"ה הו"ל)</w:t>
      </w:r>
      <w:r>
        <w:rPr>
          <w:rFonts w:hint="cs"/>
          <w:rtl/>
        </w:rPr>
        <w:t xml:space="preserve"> דהוצרך ר"א לחייבו מדין מתוך </w:t>
      </w:r>
      <w:r w:rsidRPr="00F651C8">
        <w:rPr>
          <w:rFonts w:hint="cs"/>
          <w:rtl/>
        </w:rPr>
        <w:t xml:space="preserve">שאינו יכול לישבע משלם, כיון שאם לא היה מחוייב שבועה, היה נאמן במיגו, דלא היה חושש להכחיש את העד כשאינו מחוייב שבועה, ורק כיון שהעד מחייבו שבועה אינו מעיז, כמו שאינו מעיז להכחיש קול בגמ' לעיל </w:t>
      </w:r>
      <w:r w:rsidRPr="00F651C8">
        <w:rPr>
          <w:rStyle w:val="af7"/>
          <w:rFonts w:eastAsia="Guttman Hodes" w:hint="cs"/>
          <w:rtl/>
        </w:rPr>
        <w:t>(לג.)</w:t>
      </w:r>
      <w:r w:rsidRPr="00F651C8">
        <w:rPr>
          <w:rFonts w:hint="cs"/>
          <w:rtl/>
        </w:rPr>
        <w:t>.</w:t>
      </w:r>
      <w:bookmarkEnd w:id="17412"/>
    </w:p>
    <w:p w:rsidR="00E824D3" w:rsidRPr="00F651C8" w:rsidRDefault="00E824D3" w:rsidP="00E824D3">
      <w:pPr>
        <w:pStyle w:val="1"/>
        <w:rPr>
          <w:rtl/>
        </w:rPr>
      </w:pPr>
      <w:bookmarkStart w:id="17413" w:name="_Toc65839217"/>
      <w:bookmarkStart w:id="17414" w:name="_Toc66048848"/>
      <w:bookmarkStart w:id="17415" w:name="_Toc66055788"/>
      <w:bookmarkStart w:id="17416" w:name="_Toc66085894"/>
      <w:bookmarkStart w:id="17417" w:name="_Toc66110456"/>
      <w:bookmarkStart w:id="17418" w:name="_Toc66123316"/>
      <w:bookmarkStart w:id="17419" w:name="_Toc66143764"/>
      <w:bookmarkStart w:id="17420" w:name="_Toc66171927"/>
      <w:bookmarkStart w:id="17421" w:name="_Toc66183167"/>
      <w:bookmarkStart w:id="17422" w:name="_Toc66185947"/>
      <w:bookmarkStart w:id="17423" w:name="_Toc66193407"/>
      <w:r w:rsidRPr="00F651C8">
        <w:rPr>
          <w:rFonts w:hint="cs"/>
          <w:rtl/>
        </w:rPr>
        <w:t>בי' המהרש"א בתוס' בשבועות</w:t>
      </w:r>
      <w:bookmarkEnd w:id="17413"/>
      <w:r w:rsidRPr="00F651C8">
        <w:rPr>
          <w:rFonts w:hint="cs"/>
          <w:rtl/>
        </w:rPr>
        <w:t xml:space="preserve"> דמשמע דלא נאמן דמשאיל"מ</w:t>
      </w:r>
      <w:bookmarkEnd w:id="17414"/>
      <w:bookmarkEnd w:id="17415"/>
      <w:bookmarkEnd w:id="17416"/>
      <w:bookmarkEnd w:id="17417"/>
      <w:bookmarkEnd w:id="17418"/>
      <w:bookmarkEnd w:id="17419"/>
      <w:bookmarkEnd w:id="17420"/>
      <w:bookmarkEnd w:id="17421"/>
      <w:bookmarkEnd w:id="17422"/>
      <w:bookmarkEnd w:id="17423"/>
    </w:p>
    <w:p w:rsidR="00E824D3" w:rsidRPr="00F651C8" w:rsidRDefault="00E824D3" w:rsidP="00E824D3">
      <w:pPr>
        <w:pStyle w:val="a3"/>
        <w:rPr>
          <w:rtl/>
        </w:rPr>
      </w:pPr>
      <w:bookmarkStart w:id="17424" w:name="_Toc65839218"/>
      <w:bookmarkStart w:id="17425" w:name="_Toc66048849"/>
      <w:bookmarkStart w:id="17426" w:name="_Toc66055789"/>
      <w:bookmarkStart w:id="17427" w:name="_Toc66085895"/>
      <w:bookmarkStart w:id="17428" w:name="_Toc66110457"/>
      <w:bookmarkStart w:id="17429" w:name="_Toc66123317"/>
      <w:bookmarkStart w:id="17430" w:name="_Toc66143765"/>
      <w:bookmarkStart w:id="17431" w:name="_Toc66171928"/>
      <w:bookmarkStart w:id="17432" w:name="_Toc66183168"/>
      <w:bookmarkStart w:id="17433" w:name="_Toc66185948"/>
      <w:bookmarkStart w:id="17434" w:name="_Toc66193408"/>
      <w:r w:rsidRPr="00F651C8">
        <w:rPr>
          <w:rFonts w:hint="cs"/>
          <w:rtl/>
        </w:rPr>
        <w:t>קושית המהריב"ל על התוס' בשבועות דכיון שיש ע"א ואין לו מיגו חייב אף בלי דין משאיל"מ</w:t>
      </w:r>
      <w:bookmarkEnd w:id="17424"/>
      <w:bookmarkEnd w:id="17425"/>
      <w:bookmarkEnd w:id="17426"/>
      <w:bookmarkEnd w:id="17427"/>
      <w:bookmarkEnd w:id="17428"/>
      <w:bookmarkEnd w:id="17429"/>
      <w:bookmarkEnd w:id="17430"/>
      <w:bookmarkEnd w:id="17431"/>
      <w:bookmarkEnd w:id="17432"/>
      <w:bookmarkEnd w:id="17433"/>
      <w:bookmarkEnd w:id="17434"/>
    </w:p>
    <w:p w:rsidR="00E824D3" w:rsidRDefault="00E824D3" w:rsidP="007E4E81">
      <w:pPr>
        <w:pStyle w:val="a0"/>
        <w:rPr>
          <w:rtl/>
        </w:rPr>
      </w:pPr>
      <w:bookmarkStart w:id="17435" w:name="_Toc65748234"/>
      <w:r w:rsidRPr="00F651C8">
        <w:rPr>
          <w:rFonts w:hint="cs"/>
          <w:rtl/>
        </w:rPr>
        <w:t xml:space="preserve">והביא </w:t>
      </w:r>
      <w:r w:rsidRPr="00F651C8">
        <w:rPr>
          <w:rStyle w:val="af9"/>
          <w:rFonts w:hint="cs"/>
          <w:rtl/>
        </w:rPr>
        <w:t>המהרש"א בשבועות</w:t>
      </w:r>
      <w:r w:rsidRPr="00F651C8">
        <w:rPr>
          <w:rFonts w:hint="cs"/>
          <w:rtl/>
        </w:rPr>
        <w:t xml:space="preserve"> </w:t>
      </w:r>
      <w:r w:rsidRPr="00F651C8">
        <w:rPr>
          <w:rStyle w:val="af7"/>
          <w:rFonts w:eastAsia="Guttman Hodes" w:hint="cs"/>
          <w:rtl/>
        </w:rPr>
        <w:t>(לב: על תוד"ה הו"ל)</w:t>
      </w:r>
      <w:r w:rsidRPr="00F651C8">
        <w:rPr>
          <w:rFonts w:hint="cs"/>
          <w:rtl/>
        </w:rPr>
        <w:t xml:space="preserve"> בשם </w:t>
      </w:r>
      <w:r w:rsidRPr="00F651C8">
        <w:rPr>
          <w:rStyle w:val="af9"/>
          <w:rFonts w:hint="cs"/>
          <w:rtl/>
        </w:rPr>
        <w:t>המהר"י בן לב</w:t>
      </w:r>
      <w:r w:rsidRPr="00F651C8">
        <w:rPr>
          <w:rFonts w:hint="cs"/>
          <w:rtl/>
        </w:rPr>
        <w:t xml:space="preserve"> שהקשה על </w:t>
      </w:r>
      <w:r w:rsidRPr="00F651C8">
        <w:rPr>
          <w:rStyle w:val="af9"/>
          <w:rFonts w:hint="cs"/>
          <w:rtl/>
        </w:rPr>
        <w:t>התוס'</w:t>
      </w:r>
      <w:r w:rsidRPr="00F651C8">
        <w:rPr>
          <w:rFonts w:hint="cs"/>
          <w:rtl/>
        </w:rPr>
        <w:t xml:space="preserve"> </w:t>
      </w:r>
      <w:r w:rsidRPr="00F651C8">
        <w:rPr>
          <w:rStyle w:val="af9"/>
          <w:rtl/>
        </w:rPr>
        <w:t>בשבועות</w:t>
      </w:r>
      <w:r w:rsidRPr="00F651C8">
        <w:rPr>
          <w:rFonts w:hint="cs"/>
          <w:rtl/>
        </w:rPr>
        <w:t xml:space="preserve"> </w:t>
      </w:r>
      <w:r w:rsidRPr="00F651C8">
        <w:rPr>
          <w:rStyle w:val="af7"/>
          <w:rFonts w:eastAsia="Guttman Hodes" w:hint="cs"/>
          <w:rtl/>
        </w:rPr>
        <w:t xml:space="preserve">(עי' אות </w:t>
      </w:r>
      <w:r w:rsidRPr="00F651C8">
        <w:rPr>
          <w:rStyle w:val="af7"/>
          <w:rFonts w:eastAsia="Guttman Hodes"/>
          <w:rtl/>
        </w:rPr>
        <w:fldChar w:fldCharType="begin"/>
      </w:r>
      <w:r w:rsidRPr="00F651C8">
        <w:rPr>
          <w:rStyle w:val="af7"/>
          <w:rFonts w:eastAsia="Guttman Hodes"/>
          <w:rtl/>
        </w:rPr>
        <w:instrText xml:space="preserve"> </w:instrText>
      </w:r>
      <w:r w:rsidRPr="00F651C8">
        <w:rPr>
          <w:rStyle w:val="af7"/>
          <w:rFonts w:eastAsia="Guttman Hodes" w:hint="cs"/>
        </w:rPr>
        <w:instrText>REF</w:instrText>
      </w:r>
      <w:r w:rsidRPr="00F651C8">
        <w:rPr>
          <w:rStyle w:val="af7"/>
          <w:rFonts w:eastAsia="Guttman Hodes" w:hint="cs"/>
          <w:rtl/>
        </w:rPr>
        <w:instrText xml:space="preserve"> _</w:instrText>
      </w:r>
      <w:r w:rsidRPr="00F651C8">
        <w:rPr>
          <w:rStyle w:val="af7"/>
          <w:rFonts w:eastAsia="Guttman Hodes" w:hint="cs"/>
        </w:rPr>
        <w:instrText>Ref65855828 \r \h</w:instrText>
      </w:r>
      <w:r w:rsidRPr="00F651C8">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651C8">
        <w:rPr>
          <w:rStyle w:val="af7"/>
          <w:rFonts w:eastAsia="Guttman Hodes"/>
          <w:rtl/>
        </w:rPr>
      </w:r>
      <w:r w:rsidRPr="00F651C8">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F651C8">
        <w:rPr>
          <w:rStyle w:val="af7"/>
          <w:rFonts w:eastAsia="Guttman Hodes"/>
          <w:rtl/>
        </w:rPr>
        <w:fldChar w:fldCharType="end"/>
      </w:r>
      <w:r w:rsidRPr="00F651C8">
        <w:rPr>
          <w:rFonts w:hint="cs"/>
          <w:rtl/>
        </w:rPr>
        <w:t xml:space="preserve"> דכיון שאינו נאמן במיגו, דאינו מעיז להכחיש את העד, א"כ עדיין קשה </w:t>
      </w:r>
      <w:r w:rsidRPr="00F651C8">
        <w:rPr>
          <w:rStyle w:val="afb"/>
          <w:rFonts w:hint="cs"/>
          <w:rtl/>
        </w:rPr>
        <w:t>[כדהקשה</w:t>
      </w:r>
      <w:r w:rsidRPr="00B73000">
        <w:rPr>
          <w:rStyle w:val="afb"/>
          <w:rFonts w:hint="cs"/>
          <w:rtl/>
        </w:rPr>
        <w:t xml:space="preserve"> </w:t>
      </w:r>
      <w:r w:rsidRPr="00B73000">
        <w:rPr>
          <w:rStyle w:val="affa"/>
          <w:rFonts w:hint="cs"/>
          <w:rtl/>
        </w:rPr>
        <w:t>התוס' הרא"ש</w:t>
      </w:r>
      <w:r w:rsidRPr="00B73000">
        <w:rPr>
          <w:rStyle w:val="afb"/>
          <w:rFonts w:hint="cs"/>
          <w:rtl/>
        </w:rPr>
        <w:t xml:space="preserve"> </w:t>
      </w:r>
      <w:r w:rsidRPr="00B73000">
        <w:rPr>
          <w:rStyle w:val="aff6"/>
          <w:rFonts w:hint="cs"/>
          <w:rtl/>
        </w:rPr>
        <w:t xml:space="preserve">(עי' אות </w:t>
      </w:r>
      <w:r w:rsidRPr="00B73000">
        <w:rPr>
          <w:rStyle w:val="aff6"/>
          <w:rtl/>
        </w:rPr>
        <w:fldChar w:fldCharType="begin"/>
      </w:r>
      <w:r w:rsidRPr="00B73000">
        <w:rPr>
          <w:rStyle w:val="aff6"/>
          <w:rtl/>
        </w:rPr>
        <w:instrText xml:space="preserve"> </w:instrText>
      </w:r>
      <w:r w:rsidRPr="00B73000">
        <w:rPr>
          <w:rStyle w:val="aff6"/>
          <w:rFonts w:hint="cs"/>
        </w:rPr>
        <w:instrText>REF</w:instrText>
      </w:r>
      <w:r w:rsidRPr="00B73000">
        <w:rPr>
          <w:rStyle w:val="aff6"/>
          <w:rFonts w:hint="cs"/>
          <w:rtl/>
        </w:rPr>
        <w:instrText xml:space="preserve"> _</w:instrText>
      </w:r>
      <w:r w:rsidRPr="00B73000">
        <w:rPr>
          <w:rStyle w:val="aff6"/>
          <w:rFonts w:hint="cs"/>
        </w:rPr>
        <w:instrText>Ref65775009 \r \h</w:instrText>
      </w:r>
      <w:r w:rsidRPr="00B73000">
        <w:rPr>
          <w:rStyle w:val="aff6"/>
          <w:rtl/>
        </w:rPr>
        <w:instrText xml:space="preserve"> </w:instrText>
      </w:r>
      <w:r w:rsidRPr="00B73000">
        <w:rPr>
          <w:rStyle w:val="aff6"/>
          <w:rtl/>
        </w:rPr>
      </w:r>
      <w:r w:rsidRPr="00B73000">
        <w:rPr>
          <w:rStyle w:val="aff6"/>
          <w:rtl/>
        </w:rPr>
        <w:fldChar w:fldCharType="separate"/>
      </w:r>
      <w:r w:rsidR="00265073">
        <w:rPr>
          <w:rStyle w:val="aff6"/>
          <w:cs/>
        </w:rPr>
        <w:t>‎</w:t>
      </w:r>
      <w:r w:rsidR="00265073">
        <w:rPr>
          <w:rStyle w:val="aff6"/>
          <w:rtl/>
        </w:rPr>
        <w:t>ט)</w:t>
      </w:r>
      <w:r w:rsidRPr="00B73000">
        <w:rPr>
          <w:rStyle w:val="aff6"/>
          <w:rtl/>
        </w:rPr>
        <w:fldChar w:fldCharType="end"/>
      </w:r>
      <w:r w:rsidRPr="00B73000">
        <w:rPr>
          <w:rStyle w:val="afb"/>
          <w:rFonts w:hint="cs"/>
          <w:rtl/>
        </w:rPr>
        <w:t>]</w:t>
      </w:r>
      <w:r>
        <w:rPr>
          <w:rFonts w:hint="cs"/>
          <w:rtl/>
        </w:rPr>
        <w:t xml:space="preserve"> דאמאי הוצרך ר"א לחייבו מדין מתוך שאינו יכול לישבע משלם, ואפשר לחייבו לשלם, כיון שיש ע"א שמחייבו שבועה.</w:t>
      </w:r>
    </w:p>
    <w:p w:rsidR="00E824D3" w:rsidRPr="007231C0" w:rsidRDefault="00E824D3" w:rsidP="00E824D3">
      <w:pPr>
        <w:pStyle w:val="a3"/>
        <w:rPr>
          <w:rtl/>
        </w:rPr>
      </w:pPr>
      <w:bookmarkStart w:id="17436" w:name="_Toc65839219"/>
      <w:bookmarkStart w:id="17437" w:name="_Toc66048850"/>
      <w:bookmarkStart w:id="17438" w:name="_Toc66055790"/>
      <w:bookmarkStart w:id="17439" w:name="_Toc66085896"/>
      <w:bookmarkStart w:id="17440" w:name="_Toc66110458"/>
      <w:bookmarkStart w:id="17441" w:name="_Toc66123318"/>
      <w:bookmarkStart w:id="17442" w:name="_Toc66143766"/>
      <w:bookmarkStart w:id="17443" w:name="_Toc66171929"/>
      <w:bookmarkStart w:id="17444" w:name="_Toc66183169"/>
      <w:bookmarkStart w:id="17445" w:name="_Toc66185949"/>
      <w:bookmarkStart w:id="17446" w:name="_Toc66193409"/>
      <w:r>
        <w:rPr>
          <w:rFonts w:hint="cs"/>
          <w:rtl/>
        </w:rPr>
        <w:t>תי' המהרש"א דהוקשה לתוס' דמשמע בגמ' דטעם החיוב הוא מדין משאיל"מ ולא כיון שהודה</w:t>
      </w:r>
      <w:bookmarkEnd w:id="17436"/>
      <w:bookmarkEnd w:id="17437"/>
      <w:bookmarkEnd w:id="17438"/>
      <w:bookmarkEnd w:id="17439"/>
      <w:bookmarkEnd w:id="17440"/>
      <w:bookmarkEnd w:id="17441"/>
      <w:bookmarkEnd w:id="17442"/>
      <w:bookmarkEnd w:id="17443"/>
      <w:bookmarkEnd w:id="17444"/>
      <w:bookmarkEnd w:id="17445"/>
      <w:bookmarkEnd w:id="17446"/>
    </w:p>
    <w:p w:rsidR="00E824D3" w:rsidRDefault="00E824D3" w:rsidP="007E4E81">
      <w:pPr>
        <w:pStyle w:val="a0"/>
        <w:rPr>
          <w:rtl/>
        </w:rPr>
      </w:pPr>
      <w:r>
        <w:rPr>
          <w:rFonts w:hint="cs"/>
          <w:rtl/>
        </w:rPr>
        <w:t xml:space="preserve">ותירץ </w:t>
      </w:r>
      <w:r w:rsidRPr="007231C0">
        <w:rPr>
          <w:rStyle w:val="af9"/>
          <w:rFonts w:hint="cs"/>
          <w:rtl/>
        </w:rPr>
        <w:t>המהרש"א בשבועות</w:t>
      </w:r>
      <w:r>
        <w:rPr>
          <w:rFonts w:hint="cs"/>
          <w:rtl/>
        </w:rPr>
        <w:t xml:space="preserve"> דלא הוקשה </w:t>
      </w:r>
      <w:r w:rsidRPr="007231C0">
        <w:rPr>
          <w:rStyle w:val="af9"/>
          <w:rFonts w:hint="cs"/>
          <w:rtl/>
        </w:rPr>
        <w:t>לתוס'</w:t>
      </w:r>
      <w:r w:rsidRPr="00B73000">
        <w:rPr>
          <w:rStyle w:val="af9"/>
          <w:rFonts w:hint="cs"/>
          <w:rtl/>
        </w:rPr>
        <w:t xml:space="preserve"> </w:t>
      </w:r>
      <w:r w:rsidRPr="007231C0">
        <w:rPr>
          <w:rStyle w:val="af9"/>
          <w:rFonts w:hint="cs"/>
          <w:rtl/>
        </w:rPr>
        <w:t>בשבועות</w:t>
      </w:r>
      <w:r>
        <w:rPr>
          <w:rFonts w:hint="cs"/>
          <w:rtl/>
        </w:rPr>
        <w:t xml:space="preserve"> </w:t>
      </w:r>
      <w:r w:rsidRPr="00491CDB">
        <w:rPr>
          <w:rStyle w:val="af7"/>
          <w:rFonts w:eastAsia="Guttman Hodes" w:hint="cs"/>
          <w:rtl/>
        </w:rPr>
        <w:t xml:space="preserve">(עי' אות </w:t>
      </w:r>
      <w:r w:rsidRPr="00491CDB">
        <w:rPr>
          <w:rStyle w:val="af7"/>
          <w:rFonts w:eastAsia="Guttman Hodes"/>
          <w:rtl/>
        </w:rPr>
        <w:fldChar w:fldCharType="begin"/>
      </w:r>
      <w:r w:rsidRPr="00491CDB">
        <w:rPr>
          <w:rStyle w:val="af7"/>
          <w:rFonts w:eastAsia="Guttman Hodes"/>
          <w:rtl/>
        </w:rPr>
        <w:instrText xml:space="preserve"> </w:instrText>
      </w:r>
      <w:r w:rsidRPr="00491CDB">
        <w:rPr>
          <w:rStyle w:val="af7"/>
          <w:rFonts w:eastAsia="Guttman Hodes" w:hint="cs"/>
        </w:rPr>
        <w:instrText>REF</w:instrText>
      </w:r>
      <w:r w:rsidRPr="00491CDB">
        <w:rPr>
          <w:rStyle w:val="af7"/>
          <w:rFonts w:eastAsia="Guttman Hodes" w:hint="cs"/>
          <w:rtl/>
        </w:rPr>
        <w:instrText xml:space="preserve"> _</w:instrText>
      </w:r>
      <w:r w:rsidRPr="00491CDB">
        <w:rPr>
          <w:rStyle w:val="af7"/>
          <w:rFonts w:eastAsia="Guttman Hodes" w:hint="cs"/>
        </w:rPr>
        <w:instrText>Ref65855828 \r \h</w:instrText>
      </w:r>
      <w:r w:rsidRPr="00491CDB">
        <w:rPr>
          <w:rStyle w:val="af7"/>
          <w:rFonts w:eastAsia="Guttman Hodes"/>
          <w:rtl/>
        </w:rPr>
        <w:instrText xml:space="preserve"> </w:instrText>
      </w:r>
      <w:r w:rsidRPr="00491CDB">
        <w:rPr>
          <w:rStyle w:val="af7"/>
          <w:rFonts w:eastAsia="Guttman Hodes"/>
          <w:rtl/>
        </w:rPr>
      </w:r>
      <w:r w:rsidRPr="00491CDB">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491CDB">
        <w:rPr>
          <w:rStyle w:val="af7"/>
          <w:rFonts w:eastAsia="Guttman Hodes"/>
          <w:rtl/>
        </w:rPr>
        <w:fldChar w:fldCharType="end"/>
      </w:r>
      <w:r>
        <w:rPr>
          <w:rFonts w:hint="cs"/>
          <w:rtl/>
        </w:rPr>
        <w:t xml:space="preserve">שלא היה לרבי אבא לומר דחייב מדין מתוך שאינו יכול לישבע משלם, דפשיטא דכל חיובו הוא רק כיון שהודה שחטף ואינו יכול לישבע שלא חטף, אלא דהוקשה </w:t>
      </w:r>
      <w:r w:rsidRPr="00B73000">
        <w:rPr>
          <w:rStyle w:val="af9"/>
          <w:rFonts w:hint="cs"/>
          <w:rtl/>
        </w:rPr>
        <w:t>לתוס'</w:t>
      </w:r>
      <w:r>
        <w:rPr>
          <w:rFonts w:hint="cs"/>
          <w:rtl/>
        </w:rPr>
        <w:t xml:space="preserve"> דאמאי אמרינן דהו"ל מחוייב שבועה וכו', וכל המחוייב שבועה וכו', דמשמע דהטעם שאינו נאמן בטענת דידי חטפי הוא מדין מתוך שאינו יכול לישבע משלם, והא אף בלא דין מתוך שאינו יכול לישבע משלם, אינו נאמן כיון שאין לו מיגו, דהוא מיגו להכחיש את העד.</w:t>
      </w:r>
    </w:p>
    <w:p w:rsidR="00E824D3" w:rsidRPr="00B83393" w:rsidRDefault="00E824D3" w:rsidP="00E824D3">
      <w:pPr>
        <w:pStyle w:val="a3"/>
      </w:pPr>
      <w:bookmarkStart w:id="17447" w:name="_Toc65839220"/>
      <w:bookmarkStart w:id="17448" w:name="_Toc66048851"/>
      <w:bookmarkStart w:id="17449" w:name="_Toc66055791"/>
      <w:bookmarkStart w:id="17450" w:name="_Toc66085897"/>
      <w:bookmarkStart w:id="17451" w:name="_Toc66110459"/>
      <w:bookmarkStart w:id="17452" w:name="_Toc66123319"/>
      <w:bookmarkStart w:id="17453" w:name="_Toc66143767"/>
      <w:bookmarkStart w:id="17454" w:name="_Toc66171930"/>
      <w:bookmarkStart w:id="17455" w:name="_Toc66183170"/>
      <w:bookmarkStart w:id="17456" w:name="_Toc66185950"/>
      <w:bookmarkStart w:id="17457" w:name="_Toc66193410"/>
      <w:r>
        <w:rPr>
          <w:rFonts w:hint="cs"/>
          <w:rtl/>
        </w:rPr>
        <w:t>ביאור המהרש"א בתוס' דהחיוב הוא מדין משאיל"מ דבלא"ה היה נאמן במיגו להכחיש העד</w:t>
      </w:r>
      <w:bookmarkEnd w:id="17447"/>
      <w:bookmarkEnd w:id="17448"/>
      <w:bookmarkEnd w:id="17449"/>
      <w:bookmarkEnd w:id="17450"/>
      <w:bookmarkEnd w:id="17451"/>
      <w:bookmarkEnd w:id="17452"/>
      <w:bookmarkEnd w:id="17453"/>
      <w:bookmarkEnd w:id="17454"/>
      <w:bookmarkEnd w:id="17455"/>
      <w:bookmarkEnd w:id="17456"/>
      <w:bookmarkEnd w:id="17457"/>
    </w:p>
    <w:p w:rsidR="00E824D3" w:rsidRDefault="00E824D3" w:rsidP="007E4E81">
      <w:pPr>
        <w:pStyle w:val="a0"/>
        <w:rPr>
          <w:rtl/>
        </w:rPr>
      </w:pPr>
      <w:r>
        <w:rPr>
          <w:rFonts w:hint="cs"/>
          <w:rtl/>
        </w:rPr>
        <w:t xml:space="preserve">וכתב </w:t>
      </w:r>
      <w:r w:rsidRPr="007231C0">
        <w:rPr>
          <w:rStyle w:val="af9"/>
          <w:rFonts w:hint="cs"/>
          <w:rtl/>
        </w:rPr>
        <w:t>המהרש"א</w:t>
      </w:r>
      <w:r>
        <w:rPr>
          <w:rFonts w:hint="cs"/>
          <w:rtl/>
        </w:rPr>
        <w:t xml:space="preserve"> </w:t>
      </w:r>
      <w:r w:rsidRPr="007231C0">
        <w:rPr>
          <w:rStyle w:val="af9"/>
          <w:rFonts w:hint="cs"/>
          <w:rtl/>
        </w:rPr>
        <w:t>בשבועות</w:t>
      </w:r>
      <w:r>
        <w:rPr>
          <w:rFonts w:hint="cs"/>
          <w:rtl/>
        </w:rPr>
        <w:t xml:space="preserve"> דע"ז תירצו </w:t>
      </w:r>
      <w:r>
        <w:rPr>
          <w:rStyle w:val="af9"/>
          <w:rtl/>
        </w:rPr>
        <w:t>התוס' בשבועות</w:t>
      </w:r>
      <w:r>
        <w:rPr>
          <w:rFonts w:hint="cs"/>
          <w:rtl/>
        </w:rPr>
        <w:t xml:space="preserve"> דהוצרך ר"א לומר דחייב מדין מתוך שאינו יכול לישבע משלם, כיון שאם לא היה מחוייב שבועה, היה נאמן במיגו, דלא היה צריך להכחיש עד שמחייבו שבועה.</w:t>
      </w:r>
    </w:p>
    <w:p w:rsidR="000E55D0" w:rsidRPr="000E55D0" w:rsidRDefault="000E55D0" w:rsidP="000E55D0">
      <w:pPr>
        <w:pStyle w:val="a3"/>
        <w:rPr>
          <w:rtl/>
        </w:rPr>
      </w:pPr>
    </w:p>
    <w:p w:rsidR="000E55D0" w:rsidRPr="000E55D0" w:rsidRDefault="000E55D0" w:rsidP="000E55D0">
      <w:pPr>
        <w:pStyle w:val="a3"/>
        <w:rPr>
          <w:rtl/>
        </w:rPr>
      </w:pPr>
    </w:p>
    <w:p w:rsidR="00E824D3" w:rsidRDefault="00E824D3" w:rsidP="00E824D3">
      <w:pPr>
        <w:pStyle w:val="1"/>
        <w:rPr>
          <w:rtl/>
        </w:rPr>
      </w:pPr>
      <w:bookmarkStart w:id="17458" w:name="_Toc66048852"/>
      <w:bookmarkStart w:id="17459" w:name="_Toc66055792"/>
      <w:bookmarkStart w:id="17460" w:name="_Toc66085898"/>
      <w:bookmarkStart w:id="17461" w:name="_Toc66110460"/>
      <w:bookmarkStart w:id="17462" w:name="_Toc66123320"/>
      <w:bookmarkStart w:id="17463" w:name="_Toc66143768"/>
      <w:bookmarkStart w:id="17464" w:name="_Toc66171931"/>
      <w:bookmarkStart w:id="17465" w:name="_Toc66183171"/>
      <w:bookmarkStart w:id="17466" w:name="_Toc66185951"/>
      <w:bookmarkStart w:id="17467" w:name="_Toc66193411"/>
      <w:r>
        <w:rPr>
          <w:rFonts w:hint="cs"/>
          <w:rtl/>
        </w:rPr>
        <w:t>פלוג' הכנה"ג והתומים בדעת התוס' בסוגיין ובשבועות והרמב"ן</w:t>
      </w:r>
      <w:bookmarkEnd w:id="17458"/>
      <w:bookmarkEnd w:id="17459"/>
      <w:bookmarkEnd w:id="17460"/>
      <w:bookmarkEnd w:id="17461"/>
      <w:bookmarkEnd w:id="17462"/>
      <w:bookmarkEnd w:id="17463"/>
      <w:bookmarkEnd w:id="17464"/>
      <w:bookmarkEnd w:id="17465"/>
      <w:bookmarkEnd w:id="17466"/>
      <w:bookmarkEnd w:id="17467"/>
    </w:p>
    <w:p w:rsidR="00E824D3" w:rsidRPr="00493EF3" w:rsidRDefault="00E824D3" w:rsidP="00E824D3">
      <w:pPr>
        <w:pStyle w:val="a3"/>
        <w:rPr>
          <w:rtl/>
        </w:rPr>
      </w:pPr>
      <w:bookmarkStart w:id="17468" w:name="_Toc66048853"/>
      <w:bookmarkStart w:id="17469" w:name="_Toc66055793"/>
      <w:bookmarkStart w:id="17470" w:name="_Toc66085899"/>
      <w:bookmarkStart w:id="17471" w:name="_Toc66110461"/>
      <w:bookmarkStart w:id="17472" w:name="_Toc66123321"/>
      <w:bookmarkStart w:id="17473" w:name="_Toc66143769"/>
      <w:bookmarkStart w:id="17474" w:name="_Toc66171932"/>
      <w:bookmarkStart w:id="17475" w:name="_Toc66183172"/>
      <w:bookmarkStart w:id="17476" w:name="_Toc66185952"/>
      <w:bookmarkStart w:id="17477" w:name="_Toc66193412"/>
      <w:bookmarkStart w:id="17478" w:name="_Toc65839221"/>
      <w:r>
        <w:rPr>
          <w:rFonts w:hint="cs"/>
          <w:rtl/>
        </w:rPr>
        <w:t>ביאור הכנה"ג בר"י ובתוס' בשבועות דההעזה להכחיש את העד הוא רק כיון שחייב שבועה</w:t>
      </w:r>
      <w:bookmarkEnd w:id="17468"/>
      <w:bookmarkEnd w:id="17469"/>
      <w:bookmarkEnd w:id="17470"/>
      <w:bookmarkEnd w:id="17471"/>
      <w:bookmarkEnd w:id="17472"/>
      <w:bookmarkEnd w:id="17473"/>
      <w:bookmarkEnd w:id="17474"/>
      <w:bookmarkEnd w:id="17475"/>
      <w:bookmarkEnd w:id="17476"/>
      <w:bookmarkEnd w:id="17477"/>
    </w:p>
    <w:p w:rsidR="00E824D3" w:rsidRPr="00BA5F23" w:rsidRDefault="00E824D3" w:rsidP="007E4E81">
      <w:pPr>
        <w:pStyle w:val="a0"/>
        <w:rPr>
          <w:rtl/>
        </w:rPr>
      </w:pPr>
      <w:r>
        <w:rPr>
          <w:rFonts w:hint="cs"/>
          <w:rtl/>
        </w:rPr>
        <w:t xml:space="preserve">כתב </w:t>
      </w:r>
      <w:r w:rsidRPr="0073652E">
        <w:rPr>
          <w:rStyle w:val="af9"/>
          <w:rFonts w:hint="cs"/>
          <w:rtl/>
        </w:rPr>
        <w:t>הכנה"ג</w:t>
      </w:r>
      <w:r>
        <w:rPr>
          <w:rFonts w:hint="cs"/>
          <w:rtl/>
        </w:rPr>
        <w:t xml:space="preserve"> </w:t>
      </w:r>
      <w:r w:rsidRPr="0073652E">
        <w:rPr>
          <w:rStyle w:val="af7"/>
          <w:rFonts w:eastAsia="Guttman Hodes" w:hint="cs"/>
          <w:rtl/>
        </w:rPr>
        <w:t xml:space="preserve">(סי' פ"ב הג' טור כללי מיגו </w:t>
      </w:r>
      <w:r>
        <w:rPr>
          <w:rStyle w:val="af7"/>
          <w:rFonts w:eastAsia="Guttman Hodes" w:hint="cs"/>
          <w:rtl/>
        </w:rPr>
        <w:t xml:space="preserve">ריש </w:t>
      </w:r>
      <w:r w:rsidRPr="0073652E">
        <w:rPr>
          <w:rStyle w:val="af7"/>
          <w:rFonts w:eastAsia="Guttman Hodes" w:hint="cs"/>
          <w:rtl/>
        </w:rPr>
        <w:t>או' קל"ג ד"ה ונ"ל ראיה)</w:t>
      </w:r>
      <w:r>
        <w:rPr>
          <w:rFonts w:hint="cs"/>
          <w:rtl/>
        </w:rPr>
        <w:t xml:space="preserve"> דמדברי </w:t>
      </w:r>
      <w:r w:rsidRPr="001A5C37">
        <w:rPr>
          <w:rStyle w:val="af9"/>
          <w:rFonts w:hint="cs"/>
          <w:rtl/>
        </w:rPr>
        <w:t xml:space="preserve">ר"י בתוס' </w:t>
      </w:r>
      <w:r w:rsidRPr="004B342D">
        <w:rPr>
          <w:rStyle w:val="af7"/>
          <w:rFonts w:eastAsia="Guttman Hodes" w:hint="cs"/>
          <w:rtl/>
        </w:rPr>
        <w:t xml:space="preserve">(עי' אות </w:t>
      </w:r>
      <w:r w:rsidRPr="004B342D">
        <w:rPr>
          <w:rStyle w:val="af7"/>
          <w:rFonts w:eastAsia="Guttman Hodes"/>
          <w:rtl/>
        </w:rPr>
        <w:fldChar w:fldCharType="begin"/>
      </w:r>
      <w:r w:rsidRPr="004B342D">
        <w:rPr>
          <w:rStyle w:val="af7"/>
          <w:rFonts w:eastAsia="Guttman Hodes"/>
          <w:rtl/>
        </w:rPr>
        <w:instrText xml:space="preserve"> </w:instrText>
      </w:r>
      <w:r w:rsidRPr="004B342D">
        <w:rPr>
          <w:rStyle w:val="af7"/>
          <w:rFonts w:eastAsia="Guttman Hodes" w:hint="cs"/>
        </w:rPr>
        <w:instrText>REF</w:instrText>
      </w:r>
      <w:r w:rsidRPr="004B342D">
        <w:rPr>
          <w:rStyle w:val="af7"/>
          <w:rFonts w:eastAsia="Guttman Hodes" w:hint="cs"/>
          <w:rtl/>
        </w:rPr>
        <w:instrText xml:space="preserve"> _</w:instrText>
      </w:r>
      <w:r w:rsidRPr="004B342D">
        <w:rPr>
          <w:rStyle w:val="af7"/>
          <w:rFonts w:eastAsia="Guttman Hodes" w:hint="cs"/>
        </w:rPr>
        <w:instrText>Ref65785260 \r \h</w:instrText>
      </w:r>
      <w:r w:rsidRPr="004B342D">
        <w:rPr>
          <w:rStyle w:val="af7"/>
          <w:rFonts w:eastAsia="Guttman Hodes"/>
          <w:rtl/>
        </w:rPr>
        <w:instrText xml:space="preserve"> </w:instrText>
      </w:r>
      <w:r w:rsidRPr="004B342D">
        <w:rPr>
          <w:rStyle w:val="af7"/>
          <w:rFonts w:eastAsia="Guttman Hodes"/>
          <w:rtl/>
        </w:rPr>
      </w:r>
      <w:r w:rsidRPr="004B342D">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4B342D">
        <w:rPr>
          <w:rStyle w:val="af7"/>
          <w:rFonts w:eastAsia="Guttman Hodes"/>
          <w:rtl/>
        </w:rPr>
        <w:fldChar w:fldCharType="end"/>
      </w:r>
      <w:r>
        <w:rPr>
          <w:rFonts w:hint="cs"/>
          <w:rtl/>
        </w:rPr>
        <w:t xml:space="preserve"> מבואר דרק כיון שהעד מחייבו שבועה הוא מיגו דהעזה, להכחיש את העד, והוסיף </w:t>
      </w:r>
      <w:r w:rsidRPr="001A5C37">
        <w:rPr>
          <w:rStyle w:val="af9"/>
          <w:rFonts w:hint="cs"/>
          <w:rtl/>
        </w:rPr>
        <w:t xml:space="preserve">הכנה"ג </w:t>
      </w:r>
      <w:r>
        <w:rPr>
          <w:rFonts w:hint="cs"/>
          <w:rtl/>
        </w:rPr>
        <w:t xml:space="preserve">דכן מוכח להדיא מהא דכתבו </w:t>
      </w:r>
      <w:r>
        <w:rPr>
          <w:rStyle w:val="af9"/>
          <w:rtl/>
        </w:rPr>
        <w:t>התוס' בשבועות</w:t>
      </w:r>
      <w:r>
        <w:rPr>
          <w:rFonts w:hint="cs"/>
          <w:rtl/>
        </w:rPr>
        <w:t xml:space="preserve"> </w:t>
      </w:r>
      <w:r w:rsidRPr="004B342D">
        <w:rPr>
          <w:rStyle w:val="af7"/>
          <w:rFonts w:eastAsia="Guttman Hodes" w:hint="cs"/>
          <w:rtl/>
        </w:rPr>
        <w:t xml:space="preserve">(עי' אות </w:t>
      </w:r>
      <w:r w:rsidRPr="004B342D">
        <w:rPr>
          <w:rStyle w:val="af7"/>
          <w:rFonts w:eastAsia="Guttman Hodes"/>
          <w:rtl/>
        </w:rPr>
        <w:fldChar w:fldCharType="begin"/>
      </w:r>
      <w:r w:rsidRPr="004B342D">
        <w:rPr>
          <w:rStyle w:val="af7"/>
          <w:rFonts w:eastAsia="Guttman Hodes"/>
          <w:rtl/>
        </w:rPr>
        <w:instrText xml:space="preserve"> </w:instrText>
      </w:r>
      <w:r w:rsidRPr="004B342D">
        <w:rPr>
          <w:rStyle w:val="af7"/>
          <w:rFonts w:eastAsia="Guttman Hodes" w:hint="cs"/>
        </w:rPr>
        <w:instrText>REF</w:instrText>
      </w:r>
      <w:r w:rsidRPr="004B342D">
        <w:rPr>
          <w:rStyle w:val="af7"/>
          <w:rFonts w:eastAsia="Guttman Hodes" w:hint="cs"/>
          <w:rtl/>
        </w:rPr>
        <w:instrText xml:space="preserve"> _</w:instrText>
      </w:r>
      <w:r w:rsidRPr="004B342D">
        <w:rPr>
          <w:rStyle w:val="af7"/>
          <w:rFonts w:eastAsia="Guttman Hodes" w:hint="cs"/>
        </w:rPr>
        <w:instrText>Ref65855828 \r \h</w:instrText>
      </w:r>
      <w:r w:rsidRPr="004B342D">
        <w:rPr>
          <w:rStyle w:val="af7"/>
          <w:rFonts w:eastAsia="Guttman Hodes"/>
          <w:rtl/>
        </w:rPr>
        <w:instrText xml:space="preserve"> </w:instrText>
      </w:r>
      <w:r w:rsidRPr="004B342D">
        <w:rPr>
          <w:rStyle w:val="af7"/>
          <w:rFonts w:eastAsia="Guttman Hodes"/>
          <w:rtl/>
        </w:rPr>
      </w:r>
      <w:r w:rsidRPr="004B342D">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4B342D">
        <w:rPr>
          <w:rStyle w:val="af7"/>
          <w:rFonts w:eastAsia="Guttman Hodes"/>
          <w:rtl/>
        </w:rPr>
        <w:fldChar w:fldCharType="end"/>
      </w:r>
      <w:r>
        <w:rPr>
          <w:rFonts w:hint="cs"/>
          <w:rtl/>
        </w:rPr>
        <w:t xml:space="preserve"> דהוצרך ר"א לחייבו מדין מתוך שאינו יכול לישבע משלם, כיון שאם לא היה מחוייב שבועה, היה נאמן במיגו, דלא היה חושש להכחיש את העד כשאינו מחוייב </w:t>
      </w:r>
      <w:r w:rsidRPr="00BA5F23">
        <w:rPr>
          <w:rFonts w:hint="cs"/>
          <w:rtl/>
        </w:rPr>
        <w:t xml:space="preserve">שבועה, ורק כיון שהעד מחייבו שבועה אינו מעיז, וכתב </w:t>
      </w:r>
      <w:r w:rsidRPr="00BA5F23">
        <w:rPr>
          <w:rStyle w:val="af9"/>
          <w:rFonts w:hint="cs"/>
          <w:rtl/>
        </w:rPr>
        <w:t>הכנה"ג</w:t>
      </w:r>
      <w:r w:rsidRPr="00BA5F23">
        <w:rPr>
          <w:rFonts w:hint="cs"/>
          <w:rtl/>
        </w:rPr>
        <w:t xml:space="preserve"> דמבואר מדברי </w:t>
      </w:r>
      <w:r w:rsidRPr="00BA5F23">
        <w:rPr>
          <w:rStyle w:val="af9"/>
          <w:rFonts w:hint="cs"/>
          <w:rtl/>
        </w:rPr>
        <w:t xml:space="preserve">התוס' </w:t>
      </w:r>
      <w:r w:rsidRPr="00BA5F23">
        <w:rPr>
          <w:rFonts w:hint="cs"/>
          <w:rtl/>
        </w:rPr>
        <w:t>דכל ההעזה היא רק כיון שמחוייב שבועה.</w:t>
      </w:r>
    </w:p>
    <w:p w:rsidR="00E824D3" w:rsidRPr="00BA5F23" w:rsidRDefault="00E824D3" w:rsidP="00E824D3">
      <w:pPr>
        <w:pStyle w:val="a3"/>
        <w:rPr>
          <w:rtl/>
        </w:rPr>
      </w:pPr>
      <w:bookmarkStart w:id="17479" w:name="_Toc66048854"/>
      <w:bookmarkStart w:id="17480" w:name="_Toc66055794"/>
      <w:bookmarkStart w:id="17481" w:name="_Toc66085900"/>
      <w:bookmarkStart w:id="17482" w:name="_Toc66110462"/>
      <w:bookmarkStart w:id="17483" w:name="_Toc66123322"/>
      <w:bookmarkStart w:id="17484" w:name="_Toc66143770"/>
      <w:bookmarkStart w:id="17485" w:name="_Toc66171933"/>
      <w:bookmarkStart w:id="17486" w:name="_Toc66183173"/>
      <w:bookmarkStart w:id="17487" w:name="_Toc66185953"/>
      <w:bookmarkStart w:id="17488" w:name="_Toc66193413"/>
      <w:r w:rsidRPr="00BA5F23">
        <w:rPr>
          <w:rFonts w:hint="cs"/>
          <w:rtl/>
        </w:rPr>
        <w:t>דברי הכנה"ג דלרמב"ן ההעזה היא כיון דלא חציף כנגד העד אף כשאינו מחייבו שבועה</w:t>
      </w:r>
      <w:bookmarkEnd w:id="17479"/>
      <w:bookmarkEnd w:id="17480"/>
      <w:bookmarkEnd w:id="17481"/>
      <w:bookmarkEnd w:id="17482"/>
      <w:bookmarkEnd w:id="17483"/>
      <w:bookmarkEnd w:id="17484"/>
      <w:bookmarkEnd w:id="17485"/>
      <w:bookmarkEnd w:id="17486"/>
      <w:bookmarkEnd w:id="17487"/>
      <w:bookmarkEnd w:id="17488"/>
    </w:p>
    <w:p w:rsidR="00E824D3" w:rsidRPr="00BA5F23" w:rsidRDefault="00E824D3" w:rsidP="007E4E81">
      <w:pPr>
        <w:pStyle w:val="a0"/>
        <w:rPr>
          <w:rtl/>
        </w:rPr>
      </w:pPr>
      <w:bookmarkStart w:id="17489" w:name="_Ref65784453"/>
      <w:r w:rsidRPr="00BA5F23">
        <w:rPr>
          <w:rFonts w:hint="cs"/>
          <w:rtl/>
        </w:rPr>
        <w:t xml:space="preserve">אך כתב </w:t>
      </w:r>
      <w:r w:rsidRPr="00BA5F23">
        <w:rPr>
          <w:rStyle w:val="af9"/>
          <w:rFonts w:hint="cs"/>
          <w:rtl/>
        </w:rPr>
        <w:t>הכנה"ג</w:t>
      </w:r>
      <w:r w:rsidRPr="00BA5F23">
        <w:rPr>
          <w:rFonts w:hint="cs"/>
          <w:rtl/>
        </w:rPr>
        <w:t xml:space="preserve"> </w:t>
      </w:r>
      <w:r w:rsidRPr="00BA5F23">
        <w:rPr>
          <w:rStyle w:val="af7"/>
          <w:rFonts w:eastAsia="Guttman Hodes" w:hint="cs"/>
          <w:rtl/>
        </w:rPr>
        <w:t xml:space="preserve">(סי' פ"ב הג' טור כללי מיגו או' קל"ג ד"ה ויש לתמוה) </w:t>
      </w:r>
      <w:r w:rsidRPr="00BA5F23">
        <w:rPr>
          <w:rFonts w:hint="cs"/>
          <w:rtl/>
        </w:rPr>
        <w:t xml:space="preserve">דמדברי </w:t>
      </w:r>
      <w:r w:rsidRPr="00BA5F23">
        <w:rPr>
          <w:rStyle w:val="af9"/>
          <w:rFonts w:hint="cs"/>
          <w:rtl/>
        </w:rPr>
        <w:t>הרמב"ן</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Ref65855866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BA5F23">
        <w:rPr>
          <w:rStyle w:val="af7"/>
          <w:rFonts w:eastAsia="Guttman Hodes"/>
          <w:rtl/>
        </w:rPr>
        <w:fldChar w:fldCharType="end"/>
      </w:r>
      <w:r w:rsidRPr="00BA5F23">
        <w:rPr>
          <w:rFonts w:hint="cs"/>
          <w:rtl/>
        </w:rPr>
        <w:t xml:space="preserve"> דכתב דהוי מיגו דהעזה דלא חציף איניש להכחיש את העד, מבואר דס"ל </w:t>
      </w:r>
      <w:r w:rsidRPr="00BA5F23">
        <w:rPr>
          <w:rStyle w:val="af9"/>
          <w:rFonts w:hint="cs"/>
          <w:rtl/>
        </w:rPr>
        <w:t>להרמב"ן</w:t>
      </w:r>
      <w:r w:rsidRPr="00BA5F23">
        <w:rPr>
          <w:rFonts w:hint="cs"/>
          <w:rtl/>
        </w:rPr>
        <w:t xml:space="preserve"> דאף במקום שאין העד מחייבו שבועה, הוי מיגו דהעזה, ודלא </w:t>
      </w:r>
      <w:r w:rsidRPr="00BA5F23">
        <w:rPr>
          <w:rStyle w:val="af9"/>
          <w:rFonts w:hint="cs"/>
          <w:rtl/>
        </w:rPr>
        <w:t>כתוס'</w:t>
      </w:r>
      <w:r w:rsidRPr="00BA5F23">
        <w:rPr>
          <w:rFonts w:hint="cs"/>
          <w:rtl/>
        </w:rPr>
        <w:t xml:space="preserve">, וכ"כ וכתב </w:t>
      </w:r>
      <w:r w:rsidRPr="00BA5F23">
        <w:rPr>
          <w:rStyle w:val="af9"/>
          <w:rFonts w:hint="cs"/>
          <w:rtl/>
        </w:rPr>
        <w:t>הכנה"ג בקיצור כלל מיגו בתומים</w:t>
      </w:r>
      <w:r w:rsidRPr="00BA5F23">
        <w:rPr>
          <w:rFonts w:hint="cs"/>
          <w:rtl/>
        </w:rPr>
        <w:t xml:space="preserve"> </w:t>
      </w:r>
      <w:r w:rsidRPr="00BA5F23">
        <w:rPr>
          <w:rStyle w:val="af7"/>
          <w:rFonts w:eastAsia="Guttman Hodes" w:hint="cs"/>
          <w:rtl/>
        </w:rPr>
        <w:t>(סו"ס פ"ב או' פ"ג)</w:t>
      </w:r>
      <w:r w:rsidRPr="00BA5F23">
        <w:rPr>
          <w:rFonts w:hint="cs"/>
          <w:rtl/>
        </w:rPr>
        <w:t xml:space="preserve"> דלדעת </w:t>
      </w:r>
      <w:r w:rsidRPr="00BA5F23">
        <w:rPr>
          <w:rStyle w:val="af9"/>
          <w:rFonts w:hint="cs"/>
          <w:rtl/>
        </w:rPr>
        <w:t>הרמב"ן</w:t>
      </w:r>
      <w:r w:rsidRPr="00BA5F23">
        <w:rPr>
          <w:rFonts w:hint="cs"/>
          <w:rtl/>
        </w:rPr>
        <w:t xml:space="preserve"> אינו נאמן במיגו שהיה צריך להכחיש ע"א, אבל לדעת </w:t>
      </w:r>
      <w:r w:rsidRPr="00BA5F23">
        <w:rPr>
          <w:rStyle w:val="af9"/>
          <w:rFonts w:hint="cs"/>
          <w:rtl/>
        </w:rPr>
        <w:t>התוס'</w:t>
      </w:r>
      <w:r w:rsidRPr="00BA5F23">
        <w:rPr>
          <w:rFonts w:hint="cs"/>
          <w:rtl/>
        </w:rPr>
        <w:t xml:space="preserve"> רק במקום שהוא מחוייב שבועה ע"י העד הוי העזה, ולכן בב' עדים במקום שאינם נאמנים, ס"ל </w:t>
      </w:r>
      <w:r w:rsidRPr="00BA5F23">
        <w:rPr>
          <w:rStyle w:val="af9"/>
          <w:rFonts w:hint="cs"/>
          <w:rtl/>
        </w:rPr>
        <w:t>להתוס'</w:t>
      </w:r>
      <w:r w:rsidRPr="00BA5F23">
        <w:rPr>
          <w:rFonts w:hint="cs"/>
          <w:rtl/>
        </w:rPr>
        <w:t xml:space="preserve"> דכיון שאינם מחייבים אותו שבועה לא הוי העזה.</w:t>
      </w:r>
      <w:bookmarkEnd w:id="17489"/>
    </w:p>
    <w:p w:rsidR="00E824D3" w:rsidRPr="00BA5F23" w:rsidRDefault="00E824D3" w:rsidP="00E824D3">
      <w:pPr>
        <w:pStyle w:val="a3"/>
        <w:rPr>
          <w:rtl/>
        </w:rPr>
      </w:pPr>
      <w:bookmarkStart w:id="17490" w:name="_Toc66048855"/>
      <w:bookmarkStart w:id="17491" w:name="_Toc66055795"/>
      <w:bookmarkStart w:id="17492" w:name="_Toc66085901"/>
      <w:bookmarkStart w:id="17493" w:name="_Toc66110463"/>
      <w:bookmarkStart w:id="17494" w:name="_Toc66123323"/>
      <w:bookmarkStart w:id="17495" w:name="_Toc66143771"/>
      <w:bookmarkStart w:id="17496" w:name="_Toc66171934"/>
      <w:bookmarkStart w:id="17497" w:name="_Toc66183174"/>
      <w:bookmarkStart w:id="17498" w:name="_Toc66185954"/>
      <w:bookmarkStart w:id="17499" w:name="_Toc66193414"/>
      <w:r w:rsidRPr="00BA5F23">
        <w:rPr>
          <w:rFonts w:hint="cs"/>
          <w:rtl/>
        </w:rPr>
        <w:t>דברי התומים דאף לרמב"ן ההעזה היא רק כשהעד מחייבו שבועה ובלא"ה אינו מיגו דהעזה</w:t>
      </w:r>
      <w:bookmarkEnd w:id="17490"/>
      <w:bookmarkEnd w:id="17491"/>
      <w:bookmarkEnd w:id="17492"/>
      <w:bookmarkEnd w:id="17493"/>
      <w:bookmarkEnd w:id="17494"/>
      <w:bookmarkEnd w:id="17495"/>
      <w:bookmarkEnd w:id="17496"/>
      <w:bookmarkEnd w:id="17497"/>
      <w:bookmarkEnd w:id="17498"/>
      <w:bookmarkEnd w:id="17499"/>
    </w:p>
    <w:p w:rsidR="00E824D3" w:rsidRPr="00BA5F23" w:rsidRDefault="00E824D3" w:rsidP="007E4E81">
      <w:pPr>
        <w:pStyle w:val="a0"/>
        <w:rPr>
          <w:rtl/>
        </w:rPr>
      </w:pPr>
      <w:r w:rsidRPr="00BA5F23">
        <w:rPr>
          <w:rFonts w:hint="cs"/>
          <w:rtl/>
        </w:rPr>
        <w:t xml:space="preserve">אבל </w:t>
      </w:r>
      <w:r w:rsidRPr="00BA5F23">
        <w:rPr>
          <w:rStyle w:val="af9"/>
          <w:rFonts w:hint="cs"/>
          <w:rtl/>
        </w:rPr>
        <w:t>התומים בכללי מיגו</w:t>
      </w:r>
      <w:r w:rsidRPr="00BA5F23">
        <w:rPr>
          <w:rFonts w:hint="cs"/>
          <w:rtl/>
        </w:rPr>
        <w:t xml:space="preserve"> </w:t>
      </w:r>
      <w:r w:rsidRPr="00BA5F23">
        <w:rPr>
          <w:rStyle w:val="af7"/>
          <w:rFonts w:eastAsia="Guttman Hodes" w:hint="cs"/>
          <w:rtl/>
        </w:rPr>
        <w:t>(סו"ס פ"ב או' פ"ב פ"ג)</w:t>
      </w:r>
      <w:r w:rsidRPr="00BA5F23">
        <w:rPr>
          <w:rFonts w:hint="cs"/>
          <w:rtl/>
        </w:rPr>
        <w:t xml:space="preserve"> דחה את ביאור </w:t>
      </w:r>
      <w:r w:rsidRPr="00BA5F23">
        <w:rPr>
          <w:rStyle w:val="af9"/>
          <w:rFonts w:hint="cs"/>
          <w:rtl/>
        </w:rPr>
        <w:t>הכנה"ג</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Ref65784453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טז)</w:t>
      </w:r>
      <w:r w:rsidRPr="00BA5F23">
        <w:rPr>
          <w:rStyle w:val="af7"/>
          <w:rFonts w:eastAsia="Guttman Hodes"/>
          <w:rtl/>
        </w:rPr>
        <w:fldChar w:fldCharType="end"/>
      </w:r>
      <w:r w:rsidRPr="00BA5F23">
        <w:rPr>
          <w:rFonts w:hint="cs"/>
          <w:rtl/>
        </w:rPr>
        <w:t xml:space="preserve"> </w:t>
      </w:r>
      <w:r w:rsidRPr="00BA5F23">
        <w:rPr>
          <w:rStyle w:val="af9"/>
          <w:rFonts w:hint="cs"/>
          <w:rtl/>
        </w:rPr>
        <w:t>ברמב"ן</w:t>
      </w:r>
      <w:r w:rsidRPr="00BA5F23">
        <w:rPr>
          <w:rFonts w:hint="cs"/>
          <w:rtl/>
        </w:rPr>
        <w:t xml:space="preserve">, וכתב </w:t>
      </w:r>
      <w:r w:rsidRPr="00BA5F23">
        <w:rPr>
          <w:rStyle w:val="af9"/>
          <w:rFonts w:hint="cs"/>
          <w:rtl/>
        </w:rPr>
        <w:t>התומים</w:t>
      </w:r>
      <w:r w:rsidRPr="00BA5F23">
        <w:rPr>
          <w:rFonts w:hint="cs"/>
          <w:rtl/>
        </w:rPr>
        <w:t xml:space="preserve"> דכוונת </w:t>
      </w:r>
      <w:r w:rsidRPr="00BA5F23">
        <w:rPr>
          <w:rStyle w:val="af9"/>
          <w:rFonts w:hint="cs"/>
          <w:rtl/>
        </w:rPr>
        <w:t>הרמב"ן</w:t>
      </w:r>
      <w:r w:rsidRPr="00BA5F23">
        <w:rPr>
          <w:rFonts w:hint="cs"/>
          <w:rtl/>
        </w:rPr>
        <w:t xml:space="preserve"> לומר דאינו מעיז להכחיש את העד בשבועה, דהיינו בטענת לא חטפי, אבל במקום שהע"א אינו מחייבו שבועה, לכו"ע לא חשיב מיגו דהעזה, וכתב </w:t>
      </w:r>
      <w:r w:rsidRPr="00BA5F23">
        <w:rPr>
          <w:rStyle w:val="af9"/>
          <w:rFonts w:hint="cs"/>
          <w:rtl/>
        </w:rPr>
        <w:t>התומים</w:t>
      </w:r>
      <w:r w:rsidRPr="00BA5F23">
        <w:rPr>
          <w:rFonts w:hint="cs"/>
          <w:rtl/>
        </w:rPr>
        <w:t xml:space="preserve"> דכן מוכח מהא דהקשה </w:t>
      </w:r>
      <w:r w:rsidRPr="00BA5F23">
        <w:rPr>
          <w:rStyle w:val="af9"/>
          <w:rFonts w:hint="cs"/>
          <w:rtl/>
        </w:rPr>
        <w:t>הרמב"ן</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Ref65796659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נו)</w:t>
      </w:r>
      <w:r w:rsidRPr="00BA5F23">
        <w:rPr>
          <w:rStyle w:val="af7"/>
          <w:rFonts w:eastAsia="Guttman Hodes"/>
          <w:rtl/>
        </w:rPr>
        <w:fldChar w:fldCharType="end"/>
      </w:r>
      <w:r w:rsidRPr="00BA5F23">
        <w:rPr>
          <w:rFonts w:hint="cs"/>
          <w:rtl/>
        </w:rPr>
        <w:t xml:space="preserve"> מדין סיטראי בגמ' בכתובות דמשמע דנאמן במיגו להכחיש את העד בשבועה, ותירץ </w:t>
      </w:r>
      <w:r w:rsidRPr="00BA5F23">
        <w:rPr>
          <w:rStyle w:val="af9"/>
          <w:rFonts w:hint="cs"/>
          <w:rtl/>
        </w:rPr>
        <w:t>הרמב"ן</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Ref65796669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נז)</w:t>
      </w:r>
      <w:r w:rsidRPr="00BA5F23">
        <w:rPr>
          <w:rStyle w:val="af7"/>
          <w:rFonts w:eastAsia="Guttman Hodes"/>
          <w:rtl/>
        </w:rPr>
        <w:fldChar w:fldCharType="end"/>
      </w:r>
      <w:r w:rsidRPr="00BA5F23">
        <w:rPr>
          <w:rFonts w:hint="cs"/>
          <w:rtl/>
        </w:rPr>
        <w:t xml:space="preserve"> דאיירי לפני שתיקנו שבועת היסת, וא"צ לישבע להכחישו, וכתב </w:t>
      </w:r>
      <w:r w:rsidRPr="00BA5F23">
        <w:rPr>
          <w:rStyle w:val="af9"/>
          <w:rFonts w:hint="cs"/>
          <w:rtl/>
        </w:rPr>
        <w:t>התומים</w:t>
      </w:r>
      <w:r w:rsidRPr="00BA5F23">
        <w:rPr>
          <w:rFonts w:hint="cs"/>
          <w:rtl/>
        </w:rPr>
        <w:t xml:space="preserve"> דמבואר </w:t>
      </w:r>
      <w:r w:rsidRPr="00BA5F23">
        <w:rPr>
          <w:rStyle w:val="af9"/>
          <w:rFonts w:hint="cs"/>
          <w:rtl/>
        </w:rPr>
        <w:t>ברמב"ן</w:t>
      </w:r>
      <w:r w:rsidRPr="00BA5F23">
        <w:rPr>
          <w:rFonts w:hint="cs"/>
          <w:rtl/>
        </w:rPr>
        <w:t xml:space="preserve"> דרק בשבועה הוי העזה להכחיש את העד, עיי"ש בדבריו במה שהאריך בזה טובא.</w:t>
      </w:r>
    </w:p>
    <w:p w:rsidR="00E824D3" w:rsidRPr="00BA5F23" w:rsidRDefault="00E824D3" w:rsidP="00E824D3">
      <w:pPr>
        <w:pStyle w:val="a3"/>
        <w:rPr>
          <w:rtl/>
        </w:rPr>
      </w:pPr>
      <w:bookmarkStart w:id="17500" w:name="_Toc66048856"/>
      <w:bookmarkStart w:id="17501" w:name="_Toc66055796"/>
      <w:bookmarkStart w:id="17502" w:name="_Toc66085902"/>
      <w:bookmarkStart w:id="17503" w:name="_Toc66110464"/>
      <w:bookmarkStart w:id="17504" w:name="_Toc66123324"/>
      <w:bookmarkStart w:id="17505" w:name="_Toc66143772"/>
      <w:bookmarkStart w:id="17506" w:name="_Toc66171935"/>
      <w:bookmarkStart w:id="17507" w:name="_Toc66183175"/>
      <w:bookmarkStart w:id="17508" w:name="_Toc66185955"/>
      <w:bookmarkStart w:id="17509" w:name="_Toc66193415"/>
      <w:r w:rsidRPr="00BA5F23">
        <w:rPr>
          <w:rFonts w:hint="cs"/>
          <w:rtl/>
        </w:rPr>
        <w:t>דברי התומים דבתוס' בשבועות ההעזה רק כשחייב שבועה אך לתוס' בסוגיין ההעזה בלי שבועה</w:t>
      </w:r>
      <w:bookmarkEnd w:id="17500"/>
      <w:bookmarkEnd w:id="17501"/>
      <w:bookmarkEnd w:id="17502"/>
      <w:bookmarkEnd w:id="17503"/>
      <w:bookmarkEnd w:id="17504"/>
      <w:bookmarkEnd w:id="17505"/>
      <w:bookmarkEnd w:id="17506"/>
      <w:bookmarkEnd w:id="17507"/>
      <w:bookmarkEnd w:id="17508"/>
      <w:bookmarkEnd w:id="17509"/>
    </w:p>
    <w:p w:rsidR="00E824D3" w:rsidRPr="00BA5F23" w:rsidRDefault="00E824D3" w:rsidP="007E4E81">
      <w:pPr>
        <w:pStyle w:val="a0"/>
        <w:rPr>
          <w:rtl/>
        </w:rPr>
      </w:pPr>
      <w:r w:rsidRPr="00BA5F23">
        <w:rPr>
          <w:rFonts w:hint="cs"/>
          <w:rtl/>
        </w:rPr>
        <w:t>אך כתב ה</w:t>
      </w:r>
      <w:r w:rsidRPr="00BA5F23">
        <w:rPr>
          <w:rStyle w:val="af9"/>
          <w:rFonts w:hint="cs"/>
          <w:rtl/>
        </w:rPr>
        <w:t>תומים בכללי מיגו</w:t>
      </w:r>
      <w:r w:rsidRPr="00BA5F23">
        <w:rPr>
          <w:rFonts w:hint="cs"/>
          <w:rtl/>
        </w:rPr>
        <w:t xml:space="preserve"> </w:t>
      </w:r>
      <w:r w:rsidRPr="00BA5F23">
        <w:rPr>
          <w:rStyle w:val="af7"/>
          <w:rFonts w:eastAsia="Guttman Hodes" w:hint="cs"/>
          <w:rtl/>
        </w:rPr>
        <w:t xml:space="preserve">(סו"ס פ"ב או' פ"ב פ"ג ד"ה ומה שהביא) </w:t>
      </w:r>
      <w:r w:rsidRPr="00BA5F23">
        <w:rPr>
          <w:rFonts w:hint="cs"/>
          <w:rtl/>
        </w:rPr>
        <w:t xml:space="preserve">דמדברי </w:t>
      </w:r>
      <w:r w:rsidRPr="00BA5F23">
        <w:rPr>
          <w:rStyle w:val="af9"/>
          <w:rFonts w:hint="cs"/>
          <w:rtl/>
        </w:rPr>
        <w:t>התוס' בשבועות</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Ref65855828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יא)</w:t>
      </w:r>
      <w:r w:rsidRPr="00BA5F23">
        <w:rPr>
          <w:rStyle w:val="af7"/>
          <w:rFonts w:eastAsia="Guttman Hodes"/>
          <w:rtl/>
        </w:rPr>
        <w:fldChar w:fldCharType="end"/>
      </w:r>
      <w:r w:rsidRPr="00BA5F23">
        <w:rPr>
          <w:rFonts w:hint="cs"/>
          <w:rtl/>
        </w:rPr>
        <w:t xml:space="preserve"> דדימו את ההעזה להכחיש את העד, להעזה להכחיש קול, מבואר דהוי העזה להכחיש את העד, אף כשאינו מחייבו שבועה, אך כתב </w:t>
      </w:r>
      <w:r w:rsidRPr="00BA5F23">
        <w:rPr>
          <w:rStyle w:val="af9"/>
          <w:rFonts w:hint="cs"/>
          <w:rtl/>
        </w:rPr>
        <w:t>התומים דהתוס' בסוגיין</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Ref65785260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BA5F23">
        <w:rPr>
          <w:rStyle w:val="af7"/>
          <w:rFonts w:eastAsia="Guttman Hodes"/>
          <w:rtl/>
        </w:rPr>
        <w:fldChar w:fldCharType="end"/>
      </w:r>
      <w:r w:rsidRPr="00BA5F23">
        <w:rPr>
          <w:rFonts w:hint="cs"/>
          <w:rtl/>
        </w:rPr>
        <w:t xml:space="preserve"> פליגי על </w:t>
      </w:r>
      <w:r w:rsidRPr="00BA5F23">
        <w:rPr>
          <w:rStyle w:val="af9"/>
          <w:rFonts w:hint="cs"/>
          <w:rtl/>
        </w:rPr>
        <w:t>התוס' בשבועות</w:t>
      </w:r>
      <w:r w:rsidRPr="00BA5F23">
        <w:rPr>
          <w:rFonts w:hint="cs"/>
          <w:rtl/>
        </w:rPr>
        <w:t xml:space="preserve">, ודלא </w:t>
      </w:r>
      <w:r w:rsidRPr="00BA5F23">
        <w:rPr>
          <w:rStyle w:val="af9"/>
          <w:rFonts w:hint="cs"/>
          <w:rtl/>
        </w:rPr>
        <w:t>ככנה"ג</w:t>
      </w:r>
      <w:r w:rsidRPr="00BA5F23">
        <w:rPr>
          <w:rFonts w:hint="cs"/>
          <w:rtl/>
        </w:rPr>
        <w:t xml:space="preserve"> דביארם כשיטה אחת.</w:t>
      </w:r>
    </w:p>
    <w:p w:rsidR="00E824D3" w:rsidRPr="00BA5F23" w:rsidRDefault="00E824D3" w:rsidP="00E824D3">
      <w:pPr>
        <w:pStyle w:val="afe"/>
        <w:rPr>
          <w:rtl/>
        </w:rPr>
      </w:pPr>
      <w:bookmarkStart w:id="17510" w:name="_Toc66055797"/>
      <w:bookmarkStart w:id="17511" w:name="_Toc66085903"/>
      <w:bookmarkStart w:id="17512" w:name="_Toc66110465"/>
      <w:bookmarkStart w:id="17513" w:name="_Toc66123325"/>
      <w:bookmarkStart w:id="17514" w:name="_Toc66143773"/>
      <w:bookmarkStart w:id="17515" w:name="_Toc66171936"/>
      <w:bookmarkStart w:id="17516" w:name="_Toc66183176"/>
      <w:bookmarkStart w:id="17517" w:name="_Toc66185956"/>
      <w:bookmarkStart w:id="17518" w:name="_Toc66193416"/>
      <w:r w:rsidRPr="00BA5F23">
        <w:rPr>
          <w:rFonts w:hint="cs"/>
          <w:rtl/>
        </w:rPr>
        <w:t>בפלוגתת ר"א ורב ושמואל לדעת ר"י</w:t>
      </w:r>
      <w:bookmarkEnd w:id="17510"/>
      <w:bookmarkEnd w:id="17511"/>
      <w:bookmarkEnd w:id="17512"/>
      <w:bookmarkEnd w:id="17513"/>
      <w:bookmarkEnd w:id="17514"/>
      <w:bookmarkEnd w:id="17515"/>
      <w:bookmarkEnd w:id="17516"/>
      <w:bookmarkEnd w:id="17517"/>
      <w:bookmarkEnd w:id="17518"/>
    </w:p>
    <w:p w:rsidR="00E824D3" w:rsidRPr="00BA5F23" w:rsidRDefault="00E824D3" w:rsidP="00E824D3">
      <w:pPr>
        <w:pStyle w:val="1"/>
        <w:rPr>
          <w:rtl/>
        </w:rPr>
      </w:pPr>
      <w:bookmarkStart w:id="17519" w:name="_Toc66048858"/>
      <w:bookmarkStart w:id="17520" w:name="_Toc66055798"/>
      <w:bookmarkStart w:id="17521" w:name="_Toc66085904"/>
      <w:bookmarkStart w:id="17522" w:name="_Toc66110466"/>
      <w:bookmarkStart w:id="17523" w:name="_Toc66123326"/>
      <w:bookmarkStart w:id="17524" w:name="_Toc66143774"/>
      <w:bookmarkStart w:id="17525" w:name="_Toc66171937"/>
      <w:bookmarkStart w:id="17526" w:name="_Toc66183177"/>
      <w:bookmarkStart w:id="17527" w:name="_Toc66185957"/>
      <w:bookmarkStart w:id="17528" w:name="_Toc66193417"/>
      <w:r w:rsidRPr="00BA5F23">
        <w:rPr>
          <w:rFonts w:hint="cs"/>
          <w:rtl/>
        </w:rPr>
        <w:t>דחיית התוס'</w:t>
      </w:r>
      <w:bookmarkEnd w:id="17478"/>
      <w:r w:rsidRPr="00BA5F23">
        <w:rPr>
          <w:rFonts w:hint="cs"/>
          <w:rtl/>
        </w:rPr>
        <w:t xml:space="preserve"> לתי' ר"י דאי ל"מ מיגו אמאי נאמן לרב ושמואל</w:t>
      </w:r>
      <w:bookmarkEnd w:id="17519"/>
      <w:bookmarkEnd w:id="17520"/>
      <w:bookmarkEnd w:id="17521"/>
      <w:bookmarkEnd w:id="17522"/>
      <w:bookmarkEnd w:id="17523"/>
      <w:bookmarkEnd w:id="17524"/>
      <w:bookmarkEnd w:id="17525"/>
      <w:bookmarkEnd w:id="17526"/>
      <w:bookmarkEnd w:id="17527"/>
      <w:bookmarkEnd w:id="17528"/>
    </w:p>
    <w:p w:rsidR="00E824D3" w:rsidRPr="00BA5F23" w:rsidRDefault="00E824D3" w:rsidP="00E824D3">
      <w:pPr>
        <w:pStyle w:val="a3"/>
        <w:rPr>
          <w:rtl/>
        </w:rPr>
      </w:pPr>
      <w:bookmarkStart w:id="17529" w:name="_Toc66055799"/>
      <w:bookmarkStart w:id="17530" w:name="_Toc66085905"/>
      <w:bookmarkStart w:id="17531" w:name="_Toc66110467"/>
      <w:bookmarkStart w:id="17532" w:name="_Toc66123327"/>
      <w:bookmarkStart w:id="17533" w:name="_Toc66143775"/>
      <w:bookmarkStart w:id="17534" w:name="_Toc66171938"/>
      <w:bookmarkStart w:id="17535" w:name="_Toc66183178"/>
      <w:bookmarkStart w:id="17536" w:name="_Toc66185958"/>
      <w:bookmarkStart w:id="17537" w:name="_Toc66193418"/>
      <w:bookmarkEnd w:id="17305"/>
      <w:bookmarkEnd w:id="17435"/>
      <w:r w:rsidRPr="00BA5F23">
        <w:rPr>
          <w:rFonts w:hint="cs"/>
          <w:rtl/>
        </w:rPr>
        <w:t>דחיית התוס' לתירוץ ר"י דאי מיגו דלא חטפי הוא העזה אמאי לרב ושמואל פטור מלשלם</w:t>
      </w:r>
      <w:bookmarkEnd w:id="17529"/>
      <w:bookmarkEnd w:id="17530"/>
      <w:bookmarkEnd w:id="17531"/>
      <w:bookmarkEnd w:id="17532"/>
      <w:bookmarkEnd w:id="17533"/>
      <w:bookmarkEnd w:id="17534"/>
      <w:bookmarkEnd w:id="17535"/>
      <w:bookmarkEnd w:id="17536"/>
      <w:bookmarkEnd w:id="17537"/>
    </w:p>
    <w:p w:rsidR="00E824D3" w:rsidRDefault="00E824D3" w:rsidP="007E4E81">
      <w:pPr>
        <w:pStyle w:val="a0"/>
        <w:rPr>
          <w:rtl/>
        </w:rPr>
      </w:pPr>
      <w:bookmarkStart w:id="17538" w:name="_Ref65770016"/>
      <w:r w:rsidRPr="00BA5F23">
        <w:rPr>
          <w:rFonts w:hint="cs"/>
          <w:rtl/>
        </w:rPr>
        <w:t xml:space="preserve">אך הקשו </w:t>
      </w:r>
      <w:r w:rsidRPr="00BA5F23">
        <w:rPr>
          <w:rStyle w:val="af9"/>
          <w:rtl/>
        </w:rPr>
        <w:t>התוס'</w:t>
      </w:r>
      <w:r w:rsidRPr="00BA5F23">
        <w:rPr>
          <w:rStyle w:val="af9"/>
          <w:rFonts w:hint="cs"/>
          <w:rtl/>
        </w:rPr>
        <w:t xml:space="preserve"> </w:t>
      </w:r>
      <w:r w:rsidRPr="00BA5F23">
        <w:rPr>
          <w:rStyle w:val="af9"/>
          <w:rtl/>
        </w:rPr>
        <w:t>בסוגיין</w:t>
      </w:r>
      <w:r w:rsidRPr="00BA5F23">
        <w:rPr>
          <w:rStyle w:val="af7"/>
          <w:rFonts w:eastAsia="Guttman Hodes" w:hint="cs"/>
          <w:rtl/>
        </w:rPr>
        <w:t xml:space="preserve"> (ד"ה הוי)</w:t>
      </w:r>
      <w:r w:rsidRPr="00BA5F23">
        <w:rPr>
          <w:rFonts w:hint="cs"/>
          <w:rtl/>
        </w:rPr>
        <w:t xml:space="preserve"> על תירוץ </w:t>
      </w:r>
      <w:r w:rsidRPr="00BA5F23">
        <w:rPr>
          <w:rStyle w:val="af9"/>
          <w:rFonts w:hint="cs"/>
          <w:rtl/>
        </w:rPr>
        <w:t>ר"י</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Ref65785260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BA5F23">
        <w:rPr>
          <w:rStyle w:val="af7"/>
          <w:rFonts w:eastAsia="Guttman Hodes"/>
          <w:rtl/>
        </w:rPr>
        <w:fldChar w:fldCharType="end"/>
      </w:r>
      <w:r w:rsidRPr="00BA5F23">
        <w:rPr>
          <w:rFonts w:hint="cs"/>
          <w:rtl/>
        </w:rPr>
        <w:t xml:space="preserve"> דאי המיגו דלא חטפי הוא מיגו דהעזה, ולכן אינו נאמן במיגו, א"כ אמאי בגמ' בשבועות </w:t>
      </w:r>
      <w:r w:rsidRPr="00BA5F23">
        <w:rPr>
          <w:rStyle w:val="af7"/>
          <w:rFonts w:eastAsia="Guttman Hodes" w:hint="cs"/>
          <w:rtl/>
        </w:rPr>
        <w:t>(מז.)</w:t>
      </w:r>
      <w:r w:rsidRPr="00BA5F23">
        <w:rPr>
          <w:rFonts w:hint="cs"/>
          <w:rtl/>
        </w:rPr>
        <w:t xml:space="preserve"> פליגי רב ושמואל על רבי אבא וס"ל דבדינא דנסכא הוא פטור מלשלם, דלא ס"ל את דין מתוך שאינו יכול לישבע משלם, והא פשיטא שאינו נאמן לטעון אין חטפי ודידי חטפי בלא מיגו, ועי' במה שתירצו </w:t>
      </w:r>
      <w:r w:rsidRPr="00BA5F23">
        <w:rPr>
          <w:rStyle w:val="af9"/>
          <w:rFonts w:hint="cs"/>
          <w:rtl/>
        </w:rPr>
        <w:t>בחי' הגר"ח על הש"ס</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Ref66054552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קלג)</w:t>
      </w:r>
      <w:r w:rsidRPr="00BA5F23">
        <w:rPr>
          <w:rStyle w:val="af7"/>
          <w:rFonts w:eastAsia="Guttman Hodes"/>
          <w:rtl/>
        </w:rPr>
        <w:fldChar w:fldCharType="end"/>
      </w:r>
      <w:r w:rsidRPr="00BA5F23">
        <w:rPr>
          <w:rFonts w:hint="cs"/>
          <w:rtl/>
        </w:rPr>
        <w:t xml:space="preserve"> </w:t>
      </w:r>
      <w:r w:rsidRPr="00BA5F23">
        <w:rPr>
          <w:rStyle w:val="af9"/>
          <w:rFonts w:hint="cs"/>
          <w:rtl/>
        </w:rPr>
        <w:t>ובקה"י</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Ref66054598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צח)</w:t>
      </w:r>
      <w:r w:rsidRPr="00BA5F23">
        <w:rPr>
          <w:rStyle w:val="af7"/>
          <w:rFonts w:eastAsia="Guttman Hodes"/>
          <w:rtl/>
        </w:rPr>
        <w:fldChar w:fldCharType="end"/>
      </w:r>
      <w:r w:rsidRPr="00BA5F23">
        <w:rPr>
          <w:rFonts w:hint="cs"/>
          <w:rtl/>
        </w:rPr>
        <w:t>.</w:t>
      </w:r>
      <w:bookmarkEnd w:id="17538"/>
    </w:p>
    <w:p w:rsidR="00E824D3" w:rsidRPr="00BA5F23" w:rsidRDefault="00E824D3" w:rsidP="00E824D3">
      <w:pPr>
        <w:pStyle w:val="1"/>
        <w:rPr>
          <w:rtl/>
        </w:rPr>
      </w:pPr>
      <w:bookmarkStart w:id="17539" w:name="_Toc66055800"/>
      <w:bookmarkStart w:id="17540" w:name="_Toc66085906"/>
      <w:bookmarkStart w:id="17541" w:name="_Toc66110468"/>
      <w:bookmarkStart w:id="17542" w:name="_Toc66123328"/>
      <w:bookmarkStart w:id="17543" w:name="_Toc66143776"/>
      <w:bookmarkStart w:id="17544" w:name="_Toc66171939"/>
      <w:bookmarkStart w:id="17545" w:name="_Toc66183179"/>
      <w:bookmarkStart w:id="17546" w:name="_Toc66185959"/>
      <w:bookmarkStart w:id="17547" w:name="_Toc66193419"/>
      <w:r w:rsidRPr="00BA5F23">
        <w:rPr>
          <w:rFonts w:hint="cs"/>
          <w:rtl/>
        </w:rPr>
        <w:lastRenderedPageBreak/>
        <w:t>תי' הש"ך דלרב ושמואל נאמן בלי מיגו דלא חייב מדאו' לשלם</w:t>
      </w:r>
      <w:bookmarkEnd w:id="17539"/>
      <w:bookmarkEnd w:id="17540"/>
      <w:bookmarkEnd w:id="17541"/>
      <w:bookmarkEnd w:id="17542"/>
      <w:bookmarkEnd w:id="17543"/>
      <w:bookmarkEnd w:id="17544"/>
      <w:bookmarkEnd w:id="17545"/>
      <w:bookmarkEnd w:id="17546"/>
      <w:bookmarkEnd w:id="17547"/>
    </w:p>
    <w:p w:rsidR="00E824D3" w:rsidRPr="00BA5F23" w:rsidRDefault="00E824D3" w:rsidP="00E824D3">
      <w:pPr>
        <w:pStyle w:val="a3"/>
        <w:rPr>
          <w:rtl/>
        </w:rPr>
      </w:pPr>
      <w:bookmarkStart w:id="17548" w:name="_Toc66055801"/>
      <w:bookmarkStart w:id="17549" w:name="_Toc66085907"/>
      <w:bookmarkStart w:id="17550" w:name="_Toc66110469"/>
      <w:bookmarkStart w:id="17551" w:name="_Toc66123329"/>
      <w:bookmarkStart w:id="17552" w:name="_Toc66143777"/>
      <w:bookmarkStart w:id="17553" w:name="_Toc66171940"/>
      <w:bookmarkStart w:id="17554" w:name="_Toc66183180"/>
      <w:bookmarkStart w:id="17555" w:name="_Toc66185960"/>
      <w:bookmarkStart w:id="17556" w:name="_Toc66193420"/>
      <w:r w:rsidRPr="00BA5F23">
        <w:rPr>
          <w:rFonts w:hint="cs"/>
          <w:rtl/>
        </w:rPr>
        <w:t>בי' הש"ך בר"י דלרב ושמואל אף דל"מ מיגו כל שאינו מכחיש את הע"א לא חייב מדאו' לשלם</w:t>
      </w:r>
      <w:bookmarkEnd w:id="17548"/>
      <w:bookmarkEnd w:id="17549"/>
      <w:bookmarkEnd w:id="17550"/>
      <w:bookmarkEnd w:id="17551"/>
      <w:bookmarkEnd w:id="17552"/>
      <w:bookmarkEnd w:id="17553"/>
      <w:bookmarkEnd w:id="17554"/>
      <w:bookmarkEnd w:id="17555"/>
      <w:bookmarkEnd w:id="17556"/>
    </w:p>
    <w:p w:rsidR="00E824D3" w:rsidRPr="00BA5F23" w:rsidRDefault="00E824D3" w:rsidP="007E4E81">
      <w:pPr>
        <w:pStyle w:val="a0"/>
      </w:pPr>
      <w:bookmarkStart w:id="17557" w:name="_Ref65771138"/>
      <w:r w:rsidRPr="00BA5F23">
        <w:rPr>
          <w:rFonts w:hint="cs"/>
          <w:rtl/>
        </w:rPr>
        <w:t xml:space="preserve">ותירץ </w:t>
      </w:r>
      <w:r w:rsidRPr="00BA5F23">
        <w:rPr>
          <w:rStyle w:val="af9"/>
          <w:rFonts w:hint="cs"/>
          <w:rtl/>
        </w:rPr>
        <w:t>הש"ך</w:t>
      </w:r>
      <w:r w:rsidRPr="00BA5F23">
        <w:rPr>
          <w:rFonts w:hint="cs"/>
          <w:rtl/>
        </w:rPr>
        <w:t xml:space="preserve"> </w:t>
      </w:r>
      <w:r w:rsidRPr="00BA5F23">
        <w:rPr>
          <w:rStyle w:val="af7"/>
          <w:rFonts w:eastAsia="Guttman Hodes" w:hint="cs"/>
          <w:rtl/>
        </w:rPr>
        <w:t xml:space="preserve">(סי' ע"ה סקמ"ג) </w:t>
      </w:r>
      <w:r w:rsidRPr="00BA5F23">
        <w:rPr>
          <w:rFonts w:hint="cs"/>
          <w:rtl/>
        </w:rPr>
        <w:t xml:space="preserve">את קושית </w:t>
      </w:r>
      <w:r w:rsidRPr="00BA5F23">
        <w:rPr>
          <w:rStyle w:val="af9"/>
          <w:rFonts w:hint="cs"/>
          <w:rtl/>
        </w:rPr>
        <w:t>התוס'</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Ref65770016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BA5F23">
        <w:rPr>
          <w:rStyle w:val="af7"/>
          <w:rFonts w:eastAsia="Guttman Hodes"/>
          <w:rtl/>
        </w:rPr>
        <w:fldChar w:fldCharType="end"/>
      </w:r>
      <w:r w:rsidRPr="00BA5F23">
        <w:rPr>
          <w:rFonts w:hint="cs"/>
          <w:rtl/>
        </w:rPr>
        <w:t xml:space="preserve"> על תירוץ </w:t>
      </w:r>
      <w:r w:rsidRPr="00BA5F23">
        <w:rPr>
          <w:rStyle w:val="af9"/>
          <w:rFonts w:hint="cs"/>
          <w:rtl/>
        </w:rPr>
        <w:t>ר"י</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Ref65785260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BA5F23">
        <w:rPr>
          <w:rStyle w:val="af7"/>
          <w:rFonts w:eastAsia="Guttman Hodes"/>
          <w:rtl/>
        </w:rPr>
        <w:fldChar w:fldCharType="end"/>
      </w:r>
      <w:r w:rsidRPr="00BA5F23">
        <w:rPr>
          <w:rFonts w:hint="cs"/>
          <w:rtl/>
        </w:rPr>
        <w:t xml:space="preserve"> דס"ל לרב ושמואל דאעפ"י שאינו נאמן במיגו, מ"מ כיון שהעד לא מכחישו, אינו חייב מדאו' לשלם, כל שאינו יכול להשבע, ועי' במה שביארו </w:t>
      </w:r>
      <w:r w:rsidRPr="00BA5F23">
        <w:rPr>
          <w:rStyle w:val="af9"/>
          <w:rFonts w:hint="cs"/>
          <w:rtl/>
        </w:rPr>
        <w:t xml:space="preserve">התרומת הכרי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Ref66053144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BA5F23">
        <w:rPr>
          <w:rStyle w:val="af7"/>
          <w:rFonts w:eastAsia="Guttman Hodes"/>
          <w:rtl/>
        </w:rPr>
        <w:fldChar w:fldCharType="end"/>
      </w:r>
      <w:r w:rsidRPr="00BA5F23">
        <w:rPr>
          <w:rFonts w:hint="cs"/>
          <w:rtl/>
        </w:rPr>
        <w:t xml:space="preserve"> </w:t>
      </w:r>
      <w:r w:rsidRPr="00BA5F23">
        <w:rPr>
          <w:rStyle w:val="af9"/>
          <w:rFonts w:hint="cs"/>
          <w:rtl/>
        </w:rPr>
        <w:t>ובחי' הגר"ח מטעלז</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Ref65785385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BA5F23">
        <w:rPr>
          <w:rStyle w:val="af7"/>
          <w:rFonts w:eastAsia="Guttman Hodes"/>
          <w:rtl/>
        </w:rPr>
        <w:fldChar w:fldCharType="end"/>
      </w:r>
      <w:r w:rsidRPr="00BA5F23">
        <w:rPr>
          <w:rFonts w:hint="cs"/>
          <w:rtl/>
        </w:rPr>
        <w:t xml:space="preserve"> את דברי </w:t>
      </w:r>
      <w:r w:rsidRPr="00BA5F23">
        <w:rPr>
          <w:rStyle w:val="af9"/>
          <w:rFonts w:hint="cs"/>
          <w:rtl/>
        </w:rPr>
        <w:t>הש"ך</w:t>
      </w:r>
      <w:r w:rsidRPr="00BA5F23">
        <w:rPr>
          <w:rFonts w:hint="cs"/>
          <w:rtl/>
        </w:rPr>
        <w:t>.</w:t>
      </w:r>
      <w:bookmarkEnd w:id="17557"/>
    </w:p>
    <w:p w:rsidR="00E824D3" w:rsidRPr="00BA5F23" w:rsidRDefault="00E824D3" w:rsidP="00E824D3">
      <w:pPr>
        <w:pStyle w:val="a3"/>
        <w:rPr>
          <w:rtl/>
        </w:rPr>
      </w:pPr>
      <w:bookmarkStart w:id="17558" w:name="_Toc66055802"/>
      <w:bookmarkStart w:id="17559" w:name="_Toc66085908"/>
      <w:bookmarkStart w:id="17560" w:name="_Toc66110470"/>
      <w:bookmarkStart w:id="17561" w:name="_Toc66123330"/>
      <w:bookmarkStart w:id="17562" w:name="_Toc66143778"/>
      <w:bookmarkStart w:id="17563" w:name="_Toc66171941"/>
      <w:bookmarkStart w:id="17564" w:name="_Toc66183181"/>
      <w:bookmarkStart w:id="17565" w:name="_Toc66185961"/>
      <w:bookmarkStart w:id="17566" w:name="_Toc66193421"/>
      <w:r w:rsidRPr="00BA5F23">
        <w:rPr>
          <w:rFonts w:hint="cs"/>
          <w:rtl/>
        </w:rPr>
        <w:t>קושיות התומים והאמרי ברוך על הש"ך דאי אינו נאמן במיגו ודאי דלא נאמן בטענת דידי חטפי</w:t>
      </w:r>
      <w:bookmarkEnd w:id="17558"/>
      <w:bookmarkEnd w:id="17559"/>
      <w:bookmarkEnd w:id="17560"/>
      <w:bookmarkEnd w:id="17561"/>
      <w:bookmarkEnd w:id="17562"/>
      <w:bookmarkEnd w:id="17563"/>
      <w:bookmarkEnd w:id="17564"/>
      <w:bookmarkEnd w:id="17565"/>
      <w:bookmarkEnd w:id="17566"/>
    </w:p>
    <w:p w:rsidR="00E824D3" w:rsidRPr="00BA5F23" w:rsidRDefault="00E824D3" w:rsidP="007E4E81">
      <w:pPr>
        <w:pStyle w:val="a0"/>
        <w:rPr>
          <w:rtl/>
        </w:rPr>
      </w:pPr>
      <w:bookmarkStart w:id="17567" w:name="_Ref65771188"/>
      <w:bookmarkStart w:id="17568" w:name="_Toc64925398"/>
      <w:bookmarkStart w:id="17569" w:name="_Toc65142876"/>
      <w:bookmarkStart w:id="17570" w:name="_Toc65185660"/>
      <w:bookmarkStart w:id="17571" w:name="_Toc65530007"/>
      <w:bookmarkStart w:id="17572" w:name="_Toc65748238"/>
      <w:bookmarkStart w:id="17573" w:name="_Toc64925395"/>
      <w:bookmarkStart w:id="17574" w:name="_Toc65142873"/>
      <w:bookmarkStart w:id="17575" w:name="_Toc65185657"/>
      <w:bookmarkStart w:id="17576" w:name="_Toc65530004"/>
      <w:r w:rsidRPr="00BA5F23">
        <w:rPr>
          <w:rFonts w:hint="cs"/>
          <w:rtl/>
        </w:rPr>
        <w:t xml:space="preserve">והקשה </w:t>
      </w:r>
      <w:r w:rsidRPr="00BA5F23">
        <w:rPr>
          <w:rStyle w:val="af9"/>
          <w:rFonts w:hint="cs"/>
          <w:rtl/>
        </w:rPr>
        <w:t>התומים</w:t>
      </w:r>
      <w:r w:rsidRPr="00BA5F23">
        <w:rPr>
          <w:rFonts w:hint="cs"/>
          <w:rtl/>
        </w:rPr>
        <w:t xml:space="preserve"> </w:t>
      </w:r>
      <w:r w:rsidRPr="00BA5F23">
        <w:rPr>
          <w:rStyle w:val="af7"/>
          <w:rFonts w:eastAsia="Guttman Hodes" w:hint="cs"/>
          <w:rtl/>
        </w:rPr>
        <w:t>(סי' ע"ה סק"י)</w:t>
      </w:r>
      <w:r w:rsidRPr="00BA5F23">
        <w:rPr>
          <w:rFonts w:hint="cs"/>
          <w:rtl/>
        </w:rPr>
        <w:t xml:space="preserve"> על </w:t>
      </w:r>
      <w:r w:rsidRPr="00BA5F23">
        <w:rPr>
          <w:rStyle w:val="af9"/>
          <w:rFonts w:hint="cs"/>
          <w:rtl/>
        </w:rPr>
        <w:t>הש"ך</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Ref65771138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BA5F23">
        <w:rPr>
          <w:rStyle w:val="af7"/>
          <w:rFonts w:eastAsia="Guttman Hodes"/>
          <w:rtl/>
        </w:rPr>
        <w:fldChar w:fldCharType="end"/>
      </w:r>
      <w:r w:rsidRPr="00BA5F23">
        <w:rPr>
          <w:rFonts w:hint="cs"/>
          <w:rtl/>
        </w:rPr>
        <w:t xml:space="preserve"> דכיון שאינו נאמן בטענה עצמה דדידי חטפי, דהיא טענה גרועה, ורק ע"י המיגו הוא נאמן כדביארו </w:t>
      </w:r>
      <w:r w:rsidRPr="00BA5F23">
        <w:rPr>
          <w:rStyle w:val="af9"/>
          <w:rFonts w:hint="cs"/>
          <w:rtl/>
        </w:rPr>
        <w:t xml:space="preserve">התוס'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Ref65082310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BA5F23">
        <w:rPr>
          <w:rStyle w:val="af7"/>
          <w:rFonts w:eastAsia="Guttman Hodes"/>
          <w:rtl/>
        </w:rPr>
        <w:fldChar w:fldCharType="end"/>
      </w:r>
      <w:r w:rsidRPr="00BA5F23">
        <w:rPr>
          <w:rFonts w:hint="cs"/>
          <w:rtl/>
        </w:rPr>
        <w:t xml:space="preserve"> וא"כ אי אינו נאמן במיגו, היאך אפש"ל דהוא נאמן לדעת רבי ושמואל, וזו עיקר הקושיה שהקשו </w:t>
      </w:r>
      <w:r w:rsidRPr="00BA5F23">
        <w:rPr>
          <w:rStyle w:val="af9"/>
          <w:rFonts w:hint="cs"/>
          <w:rtl/>
        </w:rPr>
        <w:t>התוס'</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Ref65770016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BA5F23">
        <w:rPr>
          <w:rStyle w:val="af7"/>
          <w:rFonts w:eastAsia="Guttman Hodes"/>
          <w:rtl/>
        </w:rPr>
        <w:fldChar w:fldCharType="end"/>
      </w:r>
      <w:r w:rsidRPr="00BA5F23">
        <w:rPr>
          <w:rFonts w:hint="cs"/>
          <w:rtl/>
        </w:rPr>
        <w:t xml:space="preserve"> וע"ז לא תירץ </w:t>
      </w:r>
      <w:r w:rsidRPr="00BA5F23">
        <w:rPr>
          <w:rStyle w:val="af9"/>
          <w:rFonts w:hint="cs"/>
          <w:rtl/>
        </w:rPr>
        <w:t>הש"ך</w:t>
      </w:r>
      <w:r w:rsidRPr="00BA5F23">
        <w:rPr>
          <w:rFonts w:hint="cs"/>
          <w:rtl/>
        </w:rPr>
        <w:t xml:space="preserve">, וכן הקשה </w:t>
      </w:r>
      <w:r w:rsidRPr="00BA5F23">
        <w:rPr>
          <w:rStyle w:val="af9"/>
          <w:rFonts w:hint="cs"/>
          <w:rtl/>
        </w:rPr>
        <w:t>האמרי</w:t>
      </w:r>
      <w:r w:rsidRPr="00BA5F23">
        <w:rPr>
          <w:rFonts w:hint="cs"/>
          <w:rtl/>
        </w:rPr>
        <w:t xml:space="preserve"> </w:t>
      </w:r>
      <w:r w:rsidRPr="00BA5F23">
        <w:rPr>
          <w:rStyle w:val="af9"/>
          <w:rFonts w:hint="cs"/>
          <w:rtl/>
        </w:rPr>
        <w:t>ברוך</w:t>
      </w:r>
      <w:r w:rsidRPr="00BA5F23">
        <w:rPr>
          <w:rFonts w:hint="cs"/>
          <w:rtl/>
        </w:rPr>
        <w:t xml:space="preserve"> </w:t>
      </w:r>
      <w:r w:rsidRPr="00BA5F23">
        <w:rPr>
          <w:rStyle w:val="af7"/>
          <w:rFonts w:eastAsia="Guttman Hodes" w:hint="cs"/>
          <w:rtl/>
        </w:rPr>
        <w:t xml:space="preserve">(סי' ע"ה </w:t>
      </w:r>
      <w:r w:rsidRPr="00BA5F23">
        <w:rPr>
          <w:rStyle w:val="af7"/>
          <w:rFonts w:eastAsiaTheme="minorEastAsia" w:hint="cs"/>
          <w:rtl/>
        </w:rPr>
        <w:t xml:space="preserve">על </w:t>
      </w:r>
      <w:r w:rsidRPr="00BA5F23">
        <w:rPr>
          <w:rStyle w:val="af7"/>
          <w:rFonts w:eastAsiaTheme="minorEastAsia"/>
          <w:rtl/>
        </w:rPr>
        <w:t xml:space="preserve">הש"ך </w:t>
      </w:r>
      <w:r w:rsidRPr="00BA5F23">
        <w:rPr>
          <w:rStyle w:val="af7"/>
          <w:rFonts w:eastAsia="Guttman Hodes" w:hint="cs"/>
          <w:rtl/>
        </w:rPr>
        <w:t>סקמ"ג)</w:t>
      </w:r>
      <w:r w:rsidRPr="00BA5F23">
        <w:rPr>
          <w:rFonts w:hint="cs"/>
          <w:rtl/>
        </w:rPr>
        <w:t xml:space="preserve"> על </w:t>
      </w:r>
      <w:r w:rsidRPr="00BA5F23">
        <w:rPr>
          <w:rStyle w:val="af9"/>
          <w:rFonts w:hint="cs"/>
          <w:rtl/>
        </w:rPr>
        <w:t>הש"ך</w:t>
      </w:r>
      <w:r w:rsidRPr="00BA5F23">
        <w:rPr>
          <w:rFonts w:hint="cs"/>
          <w:rtl/>
        </w:rPr>
        <w:t xml:space="preserve"> דאי אינו נאמן במיגו, א"כ ודאי דאינו נאמן בטענת דידי חטפי.</w:t>
      </w:r>
    </w:p>
    <w:p w:rsidR="00E824D3" w:rsidRPr="00BA5F23" w:rsidRDefault="00E824D3" w:rsidP="00E824D3">
      <w:pPr>
        <w:pStyle w:val="a3"/>
        <w:rPr>
          <w:rtl/>
        </w:rPr>
      </w:pPr>
      <w:bookmarkStart w:id="17577" w:name="_Toc66055803"/>
      <w:bookmarkStart w:id="17578" w:name="_Toc66085909"/>
      <w:bookmarkStart w:id="17579" w:name="_Toc66110471"/>
      <w:bookmarkStart w:id="17580" w:name="_Toc66123331"/>
      <w:bookmarkStart w:id="17581" w:name="_Toc66143779"/>
      <w:bookmarkStart w:id="17582" w:name="_Toc66171942"/>
      <w:bookmarkStart w:id="17583" w:name="_Toc66183182"/>
      <w:bookmarkStart w:id="17584" w:name="_Toc66185962"/>
      <w:bookmarkStart w:id="17585" w:name="_Toc66193422"/>
      <w:r w:rsidRPr="00BA5F23">
        <w:rPr>
          <w:rFonts w:hint="cs"/>
          <w:rtl/>
        </w:rPr>
        <w:t>תירוץ התומים דהא דצריך מיגו בדידי חטפי הוא מחמת החזקה דתח"י וכשמכחיש עד לא מעיז</w:t>
      </w:r>
      <w:bookmarkEnd w:id="17577"/>
      <w:bookmarkEnd w:id="17578"/>
      <w:bookmarkEnd w:id="17579"/>
      <w:bookmarkEnd w:id="17580"/>
      <w:bookmarkEnd w:id="17581"/>
      <w:bookmarkEnd w:id="17582"/>
      <w:bookmarkEnd w:id="17583"/>
      <w:bookmarkEnd w:id="17584"/>
      <w:bookmarkEnd w:id="17585"/>
    </w:p>
    <w:p w:rsidR="00E824D3" w:rsidRPr="00BA5F23" w:rsidRDefault="00E824D3" w:rsidP="007E4E81">
      <w:pPr>
        <w:pStyle w:val="a0"/>
        <w:rPr>
          <w:rStyle w:val="afb"/>
          <w:rtl/>
        </w:rPr>
      </w:pPr>
      <w:r w:rsidRPr="00BA5F23">
        <w:rPr>
          <w:rFonts w:hint="cs"/>
          <w:rtl/>
        </w:rPr>
        <w:t>אלא תירץ</w:t>
      </w:r>
      <w:r w:rsidRPr="00BA5F23">
        <w:rPr>
          <w:rStyle w:val="af9"/>
          <w:rFonts w:hint="cs"/>
          <w:rtl/>
        </w:rPr>
        <w:t xml:space="preserve"> התומים</w:t>
      </w:r>
      <w:r w:rsidRPr="00BA5F23">
        <w:rPr>
          <w:rFonts w:hint="cs"/>
          <w:rtl/>
        </w:rPr>
        <w:t xml:space="preserve"> </w:t>
      </w:r>
      <w:r w:rsidRPr="00BA5F23">
        <w:rPr>
          <w:rStyle w:val="af7"/>
          <w:rFonts w:eastAsia="Guttman Hodes" w:hint="cs"/>
          <w:rtl/>
        </w:rPr>
        <w:t>(סי' ע"ה סק"י ד"ה ובחדושי)</w:t>
      </w:r>
      <w:r w:rsidRPr="00BA5F23">
        <w:rPr>
          <w:rFonts w:hint="cs"/>
          <w:rtl/>
        </w:rPr>
        <w:t xml:space="preserve"> את קושית </w:t>
      </w:r>
      <w:r w:rsidRPr="00BA5F23">
        <w:rPr>
          <w:rStyle w:val="af9"/>
          <w:rFonts w:hint="cs"/>
          <w:rtl/>
        </w:rPr>
        <w:t>התוס'</w:t>
      </w:r>
      <w:r w:rsidRPr="00BA5F23">
        <w:rPr>
          <w:rFonts w:hint="cs"/>
          <w:rtl/>
        </w:rPr>
        <w:t xml:space="preserve">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Ref65770016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BA5F23">
        <w:rPr>
          <w:rStyle w:val="af7"/>
          <w:rFonts w:eastAsia="Guttman Hodes"/>
          <w:rtl/>
        </w:rPr>
        <w:fldChar w:fldCharType="end"/>
      </w:r>
      <w:r w:rsidRPr="00BA5F23">
        <w:rPr>
          <w:rFonts w:hint="cs"/>
          <w:rtl/>
        </w:rPr>
        <w:t xml:space="preserve"> על תירוץ </w:t>
      </w:r>
      <w:r w:rsidRPr="00BA5F23">
        <w:rPr>
          <w:rStyle w:val="af9"/>
          <w:rFonts w:hint="cs"/>
          <w:rtl/>
        </w:rPr>
        <w:t>ר"י</w:t>
      </w:r>
      <w:r w:rsidRPr="00BA5F23">
        <w:rPr>
          <w:rFonts w:hint="cs"/>
          <w:rtl/>
        </w:rPr>
        <w:t xml:space="preserve">, דכ"מ דכתבו </w:t>
      </w:r>
      <w:r w:rsidRPr="00BA5F23">
        <w:rPr>
          <w:rStyle w:val="af9"/>
          <w:rFonts w:hint="cs"/>
          <w:rtl/>
        </w:rPr>
        <w:t xml:space="preserve">התוס' </w:t>
      </w:r>
      <w:r w:rsidRPr="00BA5F23">
        <w:rPr>
          <w:rStyle w:val="af7"/>
          <w:rFonts w:eastAsia="Guttman Hodes" w:hint="cs"/>
          <w:rtl/>
        </w:rPr>
        <w:t xml:space="preserve">(עי' אות </w:t>
      </w:r>
      <w:r w:rsidRPr="00BA5F23">
        <w:rPr>
          <w:rStyle w:val="af7"/>
          <w:rFonts w:eastAsia="Guttman Hodes"/>
          <w:rtl/>
        </w:rPr>
        <w:fldChar w:fldCharType="begin"/>
      </w:r>
      <w:r w:rsidRPr="00BA5F23">
        <w:rPr>
          <w:rStyle w:val="af7"/>
          <w:rFonts w:eastAsia="Guttman Hodes"/>
          <w:rtl/>
        </w:rPr>
        <w:instrText xml:space="preserve"> </w:instrText>
      </w:r>
      <w:r w:rsidRPr="00BA5F23">
        <w:rPr>
          <w:rStyle w:val="af7"/>
          <w:rFonts w:eastAsia="Guttman Hodes" w:hint="cs"/>
        </w:rPr>
        <w:instrText>REF</w:instrText>
      </w:r>
      <w:r w:rsidRPr="00BA5F23">
        <w:rPr>
          <w:rStyle w:val="af7"/>
          <w:rFonts w:eastAsia="Guttman Hodes" w:hint="cs"/>
          <w:rtl/>
        </w:rPr>
        <w:instrText xml:space="preserve"> _</w:instrText>
      </w:r>
      <w:r w:rsidRPr="00BA5F23">
        <w:rPr>
          <w:rStyle w:val="af7"/>
          <w:rFonts w:eastAsia="Guttman Hodes" w:hint="cs"/>
        </w:rPr>
        <w:instrText>Ref65082310 \r \h</w:instrText>
      </w:r>
      <w:r w:rsidRPr="00BA5F2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BA5F23">
        <w:rPr>
          <w:rStyle w:val="af7"/>
          <w:rFonts w:eastAsia="Guttman Hodes"/>
          <w:rtl/>
        </w:rPr>
      </w:r>
      <w:r w:rsidRPr="00BA5F23">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BA5F23">
        <w:rPr>
          <w:rStyle w:val="af7"/>
          <w:rFonts w:eastAsia="Guttman Hodes"/>
          <w:rtl/>
        </w:rPr>
        <w:fldChar w:fldCharType="end"/>
      </w:r>
      <w:r w:rsidRPr="00BA5F23">
        <w:rPr>
          <w:rFonts w:hint="cs"/>
          <w:rtl/>
        </w:rPr>
        <w:t xml:space="preserve"> דאינו נאמן בטענת דידי חטפי בלי מיגו, הוא כיון שהיא טענה גרועה, כיון שמודה שחטף מהראשון שיש לו חזקה דמה שתח"י שלו הוא, והוא חטף ממנו בדרך גזילה, ולכן הנאמנות שלו היא רק במיגו, וכיון שהוא מיגו דהעזה, שלא היה מעיז לטעון לא חטפי ולהכחיש את העד, לכן אינו נאמן.</w:t>
      </w:r>
    </w:p>
    <w:p w:rsidR="00E824D3" w:rsidRPr="009540D3" w:rsidRDefault="00E824D3" w:rsidP="00E824D3">
      <w:pPr>
        <w:pStyle w:val="1"/>
        <w:rPr>
          <w:rtl/>
        </w:rPr>
      </w:pPr>
      <w:bookmarkStart w:id="17586" w:name="_Toc66055804"/>
      <w:bookmarkStart w:id="17587" w:name="_Toc66085910"/>
      <w:bookmarkStart w:id="17588" w:name="_Toc66110472"/>
      <w:bookmarkStart w:id="17589" w:name="_Toc66123332"/>
      <w:bookmarkStart w:id="17590" w:name="_Toc66143780"/>
      <w:bookmarkStart w:id="17591" w:name="_Toc66171943"/>
      <w:bookmarkStart w:id="17592" w:name="_Toc66183183"/>
      <w:bookmarkStart w:id="17593" w:name="_Toc66185963"/>
      <w:bookmarkStart w:id="17594" w:name="_Toc66193423"/>
      <w:r w:rsidRPr="00BA5F23">
        <w:rPr>
          <w:rFonts w:hint="cs"/>
          <w:rtl/>
        </w:rPr>
        <w:t>תירוץ התומים דלרב ושמואל</w:t>
      </w:r>
      <w:r>
        <w:rPr>
          <w:rFonts w:hint="cs"/>
          <w:rtl/>
        </w:rPr>
        <w:t xml:space="preserve"> נאמן במיגו דשכחתי אם חטפתי</w:t>
      </w:r>
      <w:bookmarkEnd w:id="17586"/>
      <w:bookmarkEnd w:id="17587"/>
      <w:bookmarkEnd w:id="17588"/>
      <w:bookmarkEnd w:id="17589"/>
      <w:bookmarkEnd w:id="17590"/>
      <w:bookmarkEnd w:id="17591"/>
      <w:bookmarkEnd w:id="17592"/>
      <w:bookmarkEnd w:id="17593"/>
      <w:bookmarkEnd w:id="17594"/>
    </w:p>
    <w:p w:rsidR="00E824D3" w:rsidRPr="00B43E34" w:rsidRDefault="00E824D3" w:rsidP="00E824D3">
      <w:pPr>
        <w:pStyle w:val="a3"/>
        <w:rPr>
          <w:rtl/>
        </w:rPr>
      </w:pPr>
      <w:bookmarkStart w:id="17595" w:name="_Toc66055805"/>
      <w:bookmarkStart w:id="17596" w:name="_Toc66085911"/>
      <w:bookmarkStart w:id="17597" w:name="_Toc66110473"/>
      <w:bookmarkStart w:id="17598" w:name="_Toc66123333"/>
      <w:bookmarkStart w:id="17599" w:name="_Toc66143781"/>
      <w:bookmarkStart w:id="17600" w:name="_Toc66171944"/>
      <w:bookmarkStart w:id="17601" w:name="_Toc66183184"/>
      <w:bookmarkStart w:id="17602" w:name="_Toc66185964"/>
      <w:bookmarkStart w:id="17603" w:name="_Toc66193424"/>
      <w:r>
        <w:rPr>
          <w:rFonts w:hint="cs"/>
          <w:rtl/>
        </w:rPr>
        <w:t>ביאור התומים בר"י דלר"א דאמרינן משאיל"מ אף אם היה טוען שכחתי אם חטפתי חייב לשלם</w:t>
      </w:r>
      <w:bookmarkEnd w:id="17595"/>
      <w:bookmarkEnd w:id="17596"/>
      <w:bookmarkEnd w:id="17597"/>
      <w:bookmarkEnd w:id="17598"/>
      <w:bookmarkEnd w:id="17599"/>
      <w:bookmarkEnd w:id="17600"/>
      <w:bookmarkEnd w:id="17601"/>
      <w:bookmarkEnd w:id="17602"/>
      <w:bookmarkEnd w:id="17603"/>
    </w:p>
    <w:p w:rsidR="00E824D3" w:rsidRDefault="00E824D3" w:rsidP="007E4E81">
      <w:pPr>
        <w:pStyle w:val="a0"/>
        <w:rPr>
          <w:rtl/>
        </w:rPr>
      </w:pPr>
      <w:r>
        <w:rPr>
          <w:rFonts w:hint="cs"/>
          <w:rtl/>
        </w:rPr>
        <w:t xml:space="preserve">ובדעת רבי אבא כתב </w:t>
      </w:r>
      <w:r w:rsidRPr="00AF34D5">
        <w:rPr>
          <w:rStyle w:val="af9"/>
          <w:rFonts w:hint="cs"/>
          <w:rtl/>
        </w:rPr>
        <w:t>התומים</w:t>
      </w:r>
      <w:r>
        <w:rPr>
          <w:rFonts w:hint="cs"/>
          <w:rtl/>
        </w:rPr>
        <w:t xml:space="preserve"> </w:t>
      </w:r>
      <w:r w:rsidRPr="003E5F7E">
        <w:rPr>
          <w:rStyle w:val="af7"/>
          <w:rFonts w:eastAsia="Guttman Hodes" w:hint="cs"/>
          <w:rtl/>
        </w:rPr>
        <w:t>(סי' ע"ה סק"י ד"ה אבל)</w:t>
      </w:r>
      <w:r>
        <w:rPr>
          <w:rFonts w:hint="cs"/>
          <w:rtl/>
        </w:rPr>
        <w:t xml:space="preserve"> דלדעת ר"י כיון דס"ל דאמרינן מתוך שאינו יכול לישבע משלם, א"כ אי היה טוען שכחתי ואיני יודע אם חטפתי, היה חייב לשלם מדין מתוך שאינו יכול לישבע משלם, וא"כ אין לו כל מיגו, ולכן ס"ל לרבי אבא דבטוען דידי חטפי אינו נאמן, ואמרינן מתוך שאינו יכול לישבע משלם.</w:t>
      </w:r>
    </w:p>
    <w:p w:rsidR="00E824D3" w:rsidRPr="00A4661A" w:rsidRDefault="00E824D3" w:rsidP="00E824D3">
      <w:pPr>
        <w:pStyle w:val="a3"/>
      </w:pPr>
      <w:bookmarkStart w:id="17604" w:name="_Toc66055806"/>
      <w:bookmarkStart w:id="17605" w:name="_Toc66085912"/>
      <w:bookmarkStart w:id="17606" w:name="_Toc66110474"/>
      <w:bookmarkStart w:id="17607" w:name="_Toc66123334"/>
      <w:bookmarkStart w:id="17608" w:name="_Toc66143782"/>
      <w:bookmarkStart w:id="17609" w:name="_Toc66171945"/>
      <w:bookmarkStart w:id="17610" w:name="_Toc66183185"/>
      <w:bookmarkStart w:id="17611" w:name="_Toc66185965"/>
      <w:bookmarkStart w:id="17612" w:name="_Toc66193425"/>
      <w:r>
        <w:rPr>
          <w:rFonts w:hint="cs"/>
          <w:rtl/>
        </w:rPr>
        <w:t>תירוץ התומים בר"י דלרב ושמואל נאמן במיגו דשכחתי אם חטפתי דל"א משאיל"מ והיה פטור</w:t>
      </w:r>
      <w:bookmarkEnd w:id="17604"/>
      <w:bookmarkEnd w:id="17605"/>
      <w:bookmarkEnd w:id="17606"/>
      <w:bookmarkEnd w:id="17607"/>
      <w:bookmarkEnd w:id="17608"/>
      <w:bookmarkEnd w:id="17609"/>
      <w:bookmarkEnd w:id="17610"/>
      <w:bookmarkEnd w:id="17611"/>
      <w:bookmarkEnd w:id="17612"/>
    </w:p>
    <w:p w:rsidR="00E824D3" w:rsidRDefault="00E824D3" w:rsidP="007E4E81">
      <w:pPr>
        <w:pStyle w:val="a0"/>
        <w:rPr>
          <w:rtl/>
        </w:rPr>
      </w:pPr>
      <w:r>
        <w:rPr>
          <w:rFonts w:hint="cs"/>
          <w:rtl/>
        </w:rPr>
        <w:t xml:space="preserve">וכתב </w:t>
      </w:r>
      <w:r w:rsidRPr="00AF34D5">
        <w:rPr>
          <w:rStyle w:val="af9"/>
          <w:rFonts w:hint="cs"/>
          <w:rtl/>
        </w:rPr>
        <w:t>התומים</w:t>
      </w:r>
      <w:r>
        <w:rPr>
          <w:rFonts w:hint="cs"/>
          <w:rtl/>
        </w:rPr>
        <w:t xml:space="preserve"> דא"כ כל המיגו שיש לו הכא הוא שהיה יכול לטעון, ששכח אם חטף ממנו או שנתן לו מרצונו, </w:t>
      </w:r>
      <w:r w:rsidRPr="00C2277C">
        <w:rPr>
          <w:rStyle w:val="afb"/>
          <w:rFonts w:hint="cs"/>
          <w:rtl/>
        </w:rPr>
        <w:t xml:space="preserve">[וכדכתב </w:t>
      </w:r>
      <w:r w:rsidRPr="00C2277C">
        <w:rPr>
          <w:rStyle w:val="affa"/>
          <w:rFonts w:hint="cs"/>
          <w:rtl/>
        </w:rPr>
        <w:t>התומים</w:t>
      </w:r>
      <w:r w:rsidRPr="00C2277C">
        <w:rPr>
          <w:rStyle w:val="afb"/>
          <w:rFonts w:hint="cs"/>
          <w:rtl/>
        </w:rPr>
        <w:t xml:space="preserve"> </w:t>
      </w:r>
      <w:r w:rsidRPr="00C2277C">
        <w:rPr>
          <w:rStyle w:val="aff6"/>
          <w:rFonts w:hint="cs"/>
          <w:rtl/>
        </w:rPr>
        <w:t xml:space="preserve">(סי' צ"ב סק"א) </w:t>
      </w:r>
      <w:r w:rsidRPr="00C2277C">
        <w:rPr>
          <w:rStyle w:val="afb"/>
          <w:rFonts w:hint="cs"/>
          <w:rtl/>
        </w:rPr>
        <w:t>דאף שעבר זמן מועט נאמן לטעון שכחתי],</w:t>
      </w:r>
      <w:r>
        <w:rPr>
          <w:rFonts w:hint="cs"/>
          <w:rtl/>
        </w:rPr>
        <w:t xml:space="preserve"> וא"כ בטענת המיגו אינו יכול להשבע, דטוען איני יודע, ואפ"ה היה נפטר מלשלם בטענת המיגו, לדעת רב ושמואל דס"ל דלא אמרינן מתוך שאינו יכול לישבע משלם, וכתב התומים דטענת שכחתי אינה טענה גרועה כמו טענת דידי חטפי, שהיא כנגד החזקה דמה שתח"י שלו, ולכן כל שטוען דידי חטפי, יש לו מיגו דהיה יכול לטעון שכחתי אם חטפתי, וכתב התומים דלכן ס"ל לרב ושמואל דאף שאין לו מיגו דהיה מכחיש את העד, מ"מ יש לו מיגו דשכחתי ולכן הוא פטור מלשלם.</w:t>
      </w:r>
    </w:p>
    <w:p w:rsidR="00E824D3" w:rsidRPr="009540D3" w:rsidRDefault="00E824D3" w:rsidP="00E824D3">
      <w:pPr>
        <w:pStyle w:val="1"/>
        <w:rPr>
          <w:rtl/>
        </w:rPr>
      </w:pPr>
      <w:bookmarkStart w:id="17613" w:name="_Toc66055807"/>
      <w:bookmarkStart w:id="17614" w:name="_Toc66085913"/>
      <w:bookmarkStart w:id="17615" w:name="_Toc66110475"/>
      <w:bookmarkStart w:id="17616" w:name="_Toc66123335"/>
      <w:bookmarkStart w:id="17617" w:name="_Toc66143783"/>
      <w:bookmarkStart w:id="17618" w:name="_Toc66171946"/>
      <w:bookmarkStart w:id="17619" w:name="_Toc66183186"/>
      <w:bookmarkStart w:id="17620" w:name="_Toc66185966"/>
      <w:bookmarkStart w:id="17621" w:name="_Toc66193426"/>
      <w:r>
        <w:rPr>
          <w:rFonts w:hint="cs"/>
          <w:rtl/>
        </w:rPr>
        <w:t>ביאור התרוה"כ בש"ך דנח' ר"א ורב ושמואל בגדר שבועת ע"א</w:t>
      </w:r>
      <w:bookmarkEnd w:id="17613"/>
      <w:bookmarkEnd w:id="17614"/>
      <w:bookmarkEnd w:id="17615"/>
      <w:bookmarkEnd w:id="17616"/>
      <w:bookmarkEnd w:id="17617"/>
      <w:bookmarkEnd w:id="17618"/>
      <w:bookmarkEnd w:id="17619"/>
      <w:bookmarkEnd w:id="17620"/>
      <w:bookmarkEnd w:id="17621"/>
    </w:p>
    <w:p w:rsidR="00E824D3" w:rsidRPr="00DD4A2C" w:rsidRDefault="00E824D3" w:rsidP="00E824D3">
      <w:pPr>
        <w:pStyle w:val="a3"/>
        <w:rPr>
          <w:rtl/>
        </w:rPr>
      </w:pPr>
      <w:bookmarkStart w:id="17622" w:name="_Toc66055808"/>
      <w:bookmarkStart w:id="17623" w:name="_Toc66085914"/>
      <w:bookmarkStart w:id="17624" w:name="_Toc66110476"/>
      <w:bookmarkStart w:id="17625" w:name="_Toc66123336"/>
      <w:bookmarkStart w:id="17626" w:name="_Toc66143784"/>
      <w:bookmarkStart w:id="17627" w:name="_Toc66171947"/>
      <w:bookmarkStart w:id="17628" w:name="_Toc66183187"/>
      <w:bookmarkStart w:id="17629" w:name="_Toc66185967"/>
      <w:bookmarkStart w:id="17630" w:name="_Toc66193427"/>
      <w:r>
        <w:rPr>
          <w:rFonts w:hint="cs"/>
          <w:rtl/>
        </w:rPr>
        <w:t>בי' התרוה"כ דלר"א ע"א ראוי לחייב כשנים והקילה תורה בשבועה ולכן אמרינן משאיל"מ</w:t>
      </w:r>
      <w:bookmarkEnd w:id="17622"/>
      <w:bookmarkEnd w:id="17623"/>
      <w:bookmarkEnd w:id="17624"/>
      <w:bookmarkEnd w:id="17625"/>
      <w:bookmarkEnd w:id="17626"/>
      <w:bookmarkEnd w:id="17627"/>
      <w:bookmarkEnd w:id="17628"/>
      <w:bookmarkEnd w:id="17629"/>
      <w:bookmarkEnd w:id="17630"/>
      <w:r>
        <w:rPr>
          <w:rFonts w:hint="cs"/>
          <w:rtl/>
        </w:rPr>
        <w:t xml:space="preserve"> </w:t>
      </w:r>
    </w:p>
    <w:p w:rsidR="00E824D3" w:rsidRDefault="00E824D3" w:rsidP="007E4E81">
      <w:pPr>
        <w:pStyle w:val="a0"/>
        <w:rPr>
          <w:rtl/>
        </w:rPr>
      </w:pPr>
      <w:bookmarkStart w:id="17631" w:name="_Ref66053144"/>
      <w:bookmarkStart w:id="17632" w:name="_Ref65785356"/>
      <w:r>
        <w:rPr>
          <w:rStyle w:val="af9"/>
          <w:rFonts w:hint="cs"/>
          <w:rtl/>
        </w:rPr>
        <w:t>ו</w:t>
      </w:r>
      <w:r w:rsidRPr="00FE0089">
        <w:rPr>
          <w:rStyle w:val="af9"/>
          <w:rFonts w:hint="cs"/>
          <w:rtl/>
        </w:rPr>
        <w:t>התרומת הכרי</w:t>
      </w:r>
      <w:r w:rsidRPr="005E4833">
        <w:rPr>
          <w:rStyle w:val="af7"/>
          <w:rFonts w:eastAsia="Guttman Hodes" w:hint="cs"/>
          <w:rtl/>
        </w:rPr>
        <w:t xml:space="preserve"> (סי' ע"ה י"ג) </w:t>
      </w:r>
      <w:r>
        <w:rPr>
          <w:rFonts w:hint="cs"/>
          <w:rtl/>
        </w:rPr>
        <w:t xml:space="preserve">כתב דדברי </w:t>
      </w:r>
      <w:r w:rsidRPr="009F7F21">
        <w:rPr>
          <w:rStyle w:val="af9"/>
          <w:rFonts w:hint="cs"/>
          <w:rtl/>
        </w:rPr>
        <w:t>הש"ך</w:t>
      </w:r>
      <w:r w:rsidRPr="005E4833">
        <w:rPr>
          <w:rStyle w:val="af7"/>
          <w:rFonts w:eastAsia="Guttman Hodes" w:hint="cs"/>
          <w:rtl/>
        </w:rPr>
        <w:t xml:space="preserve"> (עי' אות </w:t>
      </w:r>
      <w:r w:rsidRPr="005E4833">
        <w:rPr>
          <w:rStyle w:val="af7"/>
          <w:rFonts w:eastAsia="Guttman Hodes"/>
          <w:rtl/>
        </w:rPr>
        <w:fldChar w:fldCharType="begin"/>
      </w:r>
      <w:r w:rsidRPr="005E4833">
        <w:rPr>
          <w:rStyle w:val="af7"/>
          <w:rFonts w:eastAsia="Guttman Hodes"/>
          <w:rtl/>
        </w:rPr>
        <w:instrText xml:space="preserve"> </w:instrText>
      </w:r>
      <w:r w:rsidRPr="005E4833">
        <w:rPr>
          <w:rStyle w:val="af7"/>
          <w:rFonts w:eastAsia="Guttman Hodes" w:hint="cs"/>
        </w:rPr>
        <w:instrText>REF</w:instrText>
      </w:r>
      <w:r w:rsidRPr="005E4833">
        <w:rPr>
          <w:rStyle w:val="af7"/>
          <w:rFonts w:eastAsia="Guttman Hodes" w:hint="cs"/>
          <w:rtl/>
        </w:rPr>
        <w:instrText xml:space="preserve"> _</w:instrText>
      </w:r>
      <w:r w:rsidRPr="005E4833">
        <w:rPr>
          <w:rStyle w:val="af7"/>
          <w:rFonts w:eastAsia="Guttman Hodes" w:hint="cs"/>
        </w:rPr>
        <w:instrText>Ref65771138 \r \h</w:instrText>
      </w:r>
      <w:r w:rsidRPr="005E4833">
        <w:rPr>
          <w:rStyle w:val="af7"/>
          <w:rFonts w:eastAsia="Guttman Hodes"/>
          <w:rtl/>
        </w:rPr>
        <w:instrText xml:space="preserve"> </w:instrText>
      </w:r>
      <w:r w:rsidRPr="005E4833">
        <w:rPr>
          <w:rStyle w:val="af7"/>
          <w:rFonts w:eastAsia="Guttman Hodes"/>
          <w:rtl/>
        </w:rPr>
      </w:r>
      <w:r w:rsidRPr="005E4833">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5E4833">
        <w:rPr>
          <w:rStyle w:val="af7"/>
          <w:rFonts w:eastAsia="Guttman Hodes"/>
          <w:rtl/>
        </w:rPr>
        <w:fldChar w:fldCharType="end"/>
      </w:r>
      <w:r w:rsidRPr="005E4833">
        <w:rPr>
          <w:rStyle w:val="af7"/>
          <w:rFonts w:eastAsia="Guttman Hodes" w:hint="cs"/>
          <w:rtl/>
        </w:rPr>
        <w:t xml:space="preserve"> </w:t>
      </w:r>
      <w:r>
        <w:rPr>
          <w:rFonts w:hint="cs"/>
          <w:rtl/>
        </w:rPr>
        <w:t xml:space="preserve">סתומים, וביאר </w:t>
      </w:r>
      <w:r w:rsidRPr="00FE0089">
        <w:rPr>
          <w:rStyle w:val="af9"/>
          <w:rFonts w:hint="cs"/>
          <w:rtl/>
        </w:rPr>
        <w:t>התרומת הכרי</w:t>
      </w:r>
      <w:r>
        <w:rPr>
          <w:rFonts w:hint="cs"/>
          <w:rtl/>
        </w:rPr>
        <w:t xml:space="preserve"> את דברי </w:t>
      </w:r>
      <w:r w:rsidRPr="009F7F21">
        <w:rPr>
          <w:rStyle w:val="af9"/>
          <w:rFonts w:hint="cs"/>
          <w:rtl/>
        </w:rPr>
        <w:t>הש"ך</w:t>
      </w:r>
      <w:r>
        <w:rPr>
          <w:rFonts w:hint="cs"/>
          <w:rtl/>
        </w:rPr>
        <w:t xml:space="preserve"> דלדעת רבי אבא דאמרינן </w:t>
      </w:r>
      <w:r>
        <w:rPr>
          <w:rFonts w:hint="cs"/>
          <w:rtl/>
        </w:rPr>
        <w:t>מתוך שאינו יכול לישבע משלם, הא דאמרה תורה דנאמן בשבועה כנגד העד, הוא קולא שהקילה עליו תורה, דאעפ"י שהיה ראוי שהע"א יהיה כמו שנים ויחייבו ממון, הקילה עליו תורה שיכול להפטר בשבועה כשמכחיש את העד, ולכן כל שאינו יכול להשבע, ואין לו את הקולא שהקילה תורה, ממילא חייב לשלם.</w:t>
      </w:r>
      <w:bookmarkEnd w:id="17631"/>
    </w:p>
    <w:p w:rsidR="00E824D3" w:rsidRPr="00894569" w:rsidRDefault="00E824D3" w:rsidP="00E824D3">
      <w:pPr>
        <w:pStyle w:val="a3"/>
      </w:pPr>
      <w:bookmarkStart w:id="17633" w:name="_Toc66055809"/>
      <w:bookmarkStart w:id="17634" w:name="_Toc66085915"/>
      <w:bookmarkStart w:id="17635" w:name="_Toc66110477"/>
      <w:bookmarkStart w:id="17636" w:name="_Toc66123337"/>
      <w:bookmarkStart w:id="17637" w:name="_Toc66143785"/>
      <w:bookmarkStart w:id="17638" w:name="_Toc66171948"/>
      <w:bookmarkStart w:id="17639" w:name="_Toc66183188"/>
      <w:bookmarkStart w:id="17640" w:name="_Toc66185968"/>
      <w:bookmarkStart w:id="17641" w:name="_Toc66193428"/>
      <w:r>
        <w:rPr>
          <w:rFonts w:hint="cs"/>
          <w:rtl/>
        </w:rPr>
        <w:t>ביאור התרוה"כ דלרב ושמואל דע"א לא ראוי לחייב כלל והשבועה הוא חומרא ול"א משאיל"מ</w:t>
      </w:r>
      <w:bookmarkEnd w:id="17633"/>
      <w:bookmarkEnd w:id="17634"/>
      <w:bookmarkEnd w:id="17635"/>
      <w:bookmarkEnd w:id="17636"/>
      <w:bookmarkEnd w:id="17637"/>
      <w:bookmarkEnd w:id="17638"/>
      <w:bookmarkEnd w:id="17639"/>
      <w:bookmarkEnd w:id="17640"/>
      <w:bookmarkEnd w:id="17641"/>
    </w:p>
    <w:p w:rsidR="00E824D3" w:rsidRDefault="00E824D3" w:rsidP="007E4E81">
      <w:pPr>
        <w:pStyle w:val="a0"/>
        <w:rPr>
          <w:rtl/>
        </w:rPr>
      </w:pPr>
      <w:r>
        <w:rPr>
          <w:rFonts w:hint="cs"/>
          <w:rtl/>
        </w:rPr>
        <w:t xml:space="preserve">ובדעת רב ושמואל, ביאר </w:t>
      </w:r>
      <w:r w:rsidRPr="00FE0089">
        <w:rPr>
          <w:rStyle w:val="af9"/>
          <w:rFonts w:hint="cs"/>
          <w:rtl/>
        </w:rPr>
        <w:t>התרומת הכרי</w:t>
      </w:r>
      <w:r>
        <w:rPr>
          <w:rFonts w:hint="cs"/>
          <w:rtl/>
        </w:rPr>
        <w:t xml:space="preserve"> דס"ל דהשבועה הוא חומרא שהחמירה עליו תורה, דהיה ראוי שהעד לא יחייבו כלל, אך החמירה תורה לחייבו שבועה, ולכן כל שאינו יכול להשבע ואין לו את החומרא, אינו מפסיד את עיקר הדין שא"צ לשלם, ועי' במה שביאר </w:t>
      </w:r>
      <w:r w:rsidRPr="005C0255">
        <w:rPr>
          <w:rStyle w:val="af9"/>
          <w:rFonts w:hint="cs"/>
          <w:rtl/>
        </w:rPr>
        <w:t>בחי' הגר"ח מטעלז</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Ref65785385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Pr>
          <w:rStyle w:val="af7"/>
          <w:rFonts w:eastAsia="Guttman Hodes"/>
          <w:rtl/>
        </w:rPr>
        <w:fldChar w:fldCharType="end"/>
      </w:r>
      <w:r>
        <w:rPr>
          <w:rFonts w:hint="cs"/>
          <w:rtl/>
        </w:rPr>
        <w:t>.</w:t>
      </w:r>
      <w:bookmarkEnd w:id="17567"/>
      <w:bookmarkEnd w:id="17632"/>
    </w:p>
    <w:p w:rsidR="00E824D3" w:rsidRDefault="00E824D3" w:rsidP="00E824D3">
      <w:pPr>
        <w:pStyle w:val="a3"/>
        <w:rPr>
          <w:rtl/>
        </w:rPr>
      </w:pPr>
      <w:bookmarkStart w:id="17642" w:name="_Toc66055810"/>
      <w:bookmarkStart w:id="17643" w:name="_Toc66085916"/>
      <w:bookmarkStart w:id="17644" w:name="_Toc66110478"/>
      <w:bookmarkStart w:id="17645" w:name="_Toc66123338"/>
      <w:bookmarkStart w:id="17646" w:name="_Toc66143786"/>
      <w:bookmarkStart w:id="17647" w:name="_Toc66171949"/>
      <w:bookmarkStart w:id="17648" w:name="_Toc66183189"/>
      <w:bookmarkStart w:id="17649" w:name="_Toc66185969"/>
      <w:bookmarkStart w:id="17650" w:name="_Toc66193429"/>
      <w:r>
        <w:rPr>
          <w:rFonts w:hint="cs"/>
          <w:rtl/>
        </w:rPr>
        <w:t>ביאור התרוה"כ דכשאין עדים וטוען דידי חטפי מדינא נאמן בלי מיגו דאין כל ריעתא בחזקתו</w:t>
      </w:r>
      <w:bookmarkEnd w:id="17642"/>
      <w:bookmarkEnd w:id="17643"/>
      <w:bookmarkEnd w:id="17644"/>
      <w:bookmarkEnd w:id="17645"/>
      <w:bookmarkEnd w:id="17646"/>
      <w:bookmarkEnd w:id="17647"/>
      <w:bookmarkEnd w:id="17648"/>
      <w:bookmarkEnd w:id="17649"/>
      <w:bookmarkEnd w:id="17650"/>
    </w:p>
    <w:p w:rsidR="00E824D3" w:rsidRDefault="00E824D3" w:rsidP="007E4E81">
      <w:pPr>
        <w:pStyle w:val="a0"/>
        <w:rPr>
          <w:rtl/>
        </w:rPr>
      </w:pPr>
      <w:r>
        <w:rPr>
          <w:rFonts w:hint="cs"/>
          <w:rtl/>
        </w:rPr>
        <w:t xml:space="preserve">והוסיף </w:t>
      </w:r>
      <w:r w:rsidRPr="00FE0089">
        <w:rPr>
          <w:rStyle w:val="af9"/>
          <w:rFonts w:hint="cs"/>
          <w:rtl/>
        </w:rPr>
        <w:t>התרומת הכרי</w:t>
      </w:r>
      <w:r>
        <w:rPr>
          <w:rFonts w:hint="cs"/>
          <w:rtl/>
        </w:rPr>
        <w:t xml:space="preserve"> דבמקום שאין עדים שחטף, ורק הוא מודה וטוען אין חטפי ודידי חטפי, דמדינא הוא נאמן אף בלי מיגו, כיון שאין כל ריעותא בחזקת החוטף, במה שהודה שחטף, ורק במקום שיש עדים על החטיפה, דיש ריעותא בחוטף, רק במיגו הוא יכול להיות נאמן, בטענתו דדידי חטפי.</w:t>
      </w:r>
    </w:p>
    <w:p w:rsidR="00E824D3" w:rsidRDefault="00E824D3" w:rsidP="00E824D3">
      <w:pPr>
        <w:pStyle w:val="a3"/>
        <w:rPr>
          <w:rtl/>
        </w:rPr>
      </w:pPr>
      <w:bookmarkStart w:id="17651" w:name="_Toc66055811"/>
      <w:bookmarkStart w:id="17652" w:name="_Toc66085917"/>
      <w:bookmarkStart w:id="17653" w:name="_Toc66110479"/>
      <w:bookmarkStart w:id="17654" w:name="_Toc66123339"/>
      <w:bookmarkStart w:id="17655" w:name="_Toc66143787"/>
      <w:bookmarkStart w:id="17656" w:name="_Toc66171950"/>
      <w:bookmarkStart w:id="17657" w:name="_Toc66183190"/>
      <w:bookmarkStart w:id="17658" w:name="_Toc66185970"/>
      <w:bookmarkStart w:id="17659" w:name="_Toc66193430"/>
      <w:r>
        <w:rPr>
          <w:rFonts w:hint="cs"/>
          <w:rtl/>
        </w:rPr>
        <w:t>בי' התרוה"כ דלרב ושמואל השבועה חומרא ואין ריעותא וההודאה כמאן דליתא וא"צ מיגו</w:t>
      </w:r>
      <w:bookmarkEnd w:id="17651"/>
      <w:bookmarkEnd w:id="17652"/>
      <w:bookmarkEnd w:id="17653"/>
      <w:bookmarkEnd w:id="17654"/>
      <w:bookmarkEnd w:id="17655"/>
      <w:bookmarkEnd w:id="17656"/>
      <w:bookmarkEnd w:id="17657"/>
      <w:bookmarkEnd w:id="17658"/>
      <w:bookmarkEnd w:id="17659"/>
    </w:p>
    <w:p w:rsidR="00E824D3" w:rsidRDefault="00E824D3" w:rsidP="007E4E81">
      <w:pPr>
        <w:pStyle w:val="a0"/>
        <w:rPr>
          <w:rtl/>
        </w:rPr>
      </w:pPr>
      <w:bookmarkStart w:id="17660" w:name="_Ref66055643"/>
      <w:r>
        <w:rPr>
          <w:rFonts w:hint="cs"/>
          <w:rtl/>
        </w:rPr>
        <w:t xml:space="preserve">וכתב </w:t>
      </w:r>
      <w:r w:rsidRPr="00FE0089">
        <w:rPr>
          <w:rStyle w:val="af9"/>
          <w:rFonts w:hint="cs"/>
          <w:rtl/>
        </w:rPr>
        <w:t>התרומת הכרי</w:t>
      </w:r>
      <w:r>
        <w:rPr>
          <w:rFonts w:hint="cs"/>
          <w:rtl/>
        </w:rPr>
        <w:t xml:space="preserve"> דלכן ס"ל לרב ושמואל דלא אמרינן מתוך שאינו יכול לישבע משלם, כיון שהשבועה בע"א היא רק חומרא, ומדינא לא היה חייב לשלם, </w:t>
      </w:r>
      <w:r w:rsidRPr="00303E9B">
        <w:rPr>
          <w:rStyle w:val="afb"/>
          <w:rFonts w:hint="cs"/>
          <w:rtl/>
        </w:rPr>
        <w:t xml:space="preserve">[כדביאר </w:t>
      </w:r>
      <w:r w:rsidRPr="00303E9B">
        <w:rPr>
          <w:rStyle w:val="affa"/>
          <w:rFonts w:hint="cs"/>
          <w:rtl/>
        </w:rPr>
        <w:t>התרומת הכרי</w:t>
      </w:r>
      <w:r w:rsidRPr="00303E9B">
        <w:rPr>
          <w:rStyle w:val="afb"/>
          <w:rFonts w:hint="cs"/>
          <w:rtl/>
        </w:rPr>
        <w:t xml:space="preserve"> </w:t>
      </w:r>
      <w:r w:rsidRPr="00303E9B">
        <w:rPr>
          <w:rStyle w:val="aff6"/>
          <w:rFonts w:hint="cs"/>
          <w:rtl/>
        </w:rPr>
        <w:t xml:space="preserve">(עי' אות </w:t>
      </w:r>
      <w:r w:rsidRPr="00303E9B">
        <w:rPr>
          <w:rStyle w:val="aff6"/>
          <w:rtl/>
        </w:rPr>
        <w:fldChar w:fldCharType="begin"/>
      </w:r>
      <w:r w:rsidRPr="00303E9B">
        <w:rPr>
          <w:rStyle w:val="aff6"/>
          <w:rtl/>
        </w:rPr>
        <w:instrText xml:space="preserve"> </w:instrText>
      </w:r>
      <w:r w:rsidRPr="00303E9B">
        <w:rPr>
          <w:rStyle w:val="aff6"/>
          <w:rFonts w:hint="cs"/>
        </w:rPr>
        <w:instrText>REF</w:instrText>
      </w:r>
      <w:r w:rsidRPr="00303E9B">
        <w:rPr>
          <w:rStyle w:val="aff6"/>
          <w:rFonts w:hint="cs"/>
          <w:rtl/>
        </w:rPr>
        <w:instrText xml:space="preserve"> _</w:instrText>
      </w:r>
      <w:r w:rsidRPr="00303E9B">
        <w:rPr>
          <w:rStyle w:val="aff6"/>
          <w:rFonts w:hint="cs"/>
        </w:rPr>
        <w:instrText>Ref65771188 \r \h</w:instrText>
      </w:r>
      <w:r w:rsidRPr="00303E9B">
        <w:rPr>
          <w:rStyle w:val="aff6"/>
          <w:rtl/>
        </w:rPr>
        <w:instrText xml:space="preserve"> </w:instrText>
      </w:r>
      <w:r w:rsidRPr="00303E9B">
        <w:rPr>
          <w:rStyle w:val="aff6"/>
          <w:rtl/>
        </w:rPr>
      </w:r>
      <w:r w:rsidRPr="00303E9B">
        <w:rPr>
          <w:rStyle w:val="aff6"/>
          <w:rtl/>
        </w:rPr>
        <w:fldChar w:fldCharType="separate"/>
      </w:r>
      <w:r w:rsidR="00265073">
        <w:rPr>
          <w:rStyle w:val="aff6"/>
          <w:cs/>
        </w:rPr>
        <w:t>‎</w:t>
      </w:r>
      <w:r w:rsidR="00265073">
        <w:rPr>
          <w:rStyle w:val="aff6"/>
          <w:rtl/>
        </w:rPr>
        <w:t>כא)</w:t>
      </w:r>
      <w:r w:rsidRPr="00303E9B">
        <w:rPr>
          <w:rStyle w:val="aff6"/>
          <w:rtl/>
        </w:rPr>
        <w:fldChar w:fldCharType="end"/>
      </w:r>
      <w:r w:rsidRPr="00303E9B">
        <w:rPr>
          <w:rStyle w:val="afb"/>
          <w:rFonts w:hint="cs"/>
          <w:rtl/>
        </w:rPr>
        <w:t xml:space="preserve"> בדעת</w:t>
      </w:r>
      <w:r>
        <w:rPr>
          <w:rStyle w:val="afb"/>
          <w:rFonts w:hint="cs"/>
          <w:rtl/>
        </w:rPr>
        <w:t xml:space="preserve"> רב ושמואל</w:t>
      </w:r>
      <w:r w:rsidRPr="00303E9B">
        <w:rPr>
          <w:rStyle w:val="afb"/>
          <w:rFonts w:hint="cs"/>
          <w:rtl/>
        </w:rPr>
        <w:t>],</w:t>
      </w:r>
      <w:r>
        <w:rPr>
          <w:rFonts w:hint="cs"/>
          <w:rtl/>
        </w:rPr>
        <w:t xml:space="preserve"> א"כ כשמודה שחטף ואינו יכול להשבע, ממילא אין כל ריעותא בחוטף מחמת שהודה שחטף, והודאתו כמאן דליתא, ונאמן החוטף אף בלי מיגו.</w:t>
      </w:r>
      <w:bookmarkEnd w:id="17660"/>
    </w:p>
    <w:p w:rsidR="00E824D3" w:rsidRPr="0054162A" w:rsidRDefault="00E824D3" w:rsidP="00E824D3">
      <w:pPr>
        <w:pStyle w:val="a3"/>
      </w:pPr>
      <w:bookmarkStart w:id="17661" w:name="_Toc66055812"/>
      <w:bookmarkStart w:id="17662" w:name="_Toc66085918"/>
      <w:bookmarkStart w:id="17663" w:name="_Toc66110480"/>
      <w:bookmarkStart w:id="17664" w:name="_Toc66123340"/>
      <w:bookmarkStart w:id="17665" w:name="_Toc66143788"/>
      <w:bookmarkStart w:id="17666" w:name="_Toc66171951"/>
      <w:bookmarkStart w:id="17667" w:name="_Toc66183191"/>
      <w:bookmarkStart w:id="17668" w:name="_Toc66185971"/>
      <w:bookmarkStart w:id="17669" w:name="_Toc66193431"/>
      <w:r>
        <w:rPr>
          <w:rFonts w:hint="cs"/>
          <w:rtl/>
        </w:rPr>
        <w:t>בי' התרוה"כ בר"א דמדינא ראוי לחייבו ובא"י לישבע הודאתו היא ריעותא וצריך מיגו להפטר</w:t>
      </w:r>
      <w:bookmarkEnd w:id="17661"/>
      <w:bookmarkEnd w:id="17662"/>
      <w:bookmarkEnd w:id="17663"/>
      <w:bookmarkEnd w:id="17664"/>
      <w:bookmarkEnd w:id="17665"/>
      <w:bookmarkEnd w:id="17666"/>
      <w:bookmarkEnd w:id="17667"/>
      <w:bookmarkEnd w:id="17668"/>
      <w:bookmarkEnd w:id="17669"/>
    </w:p>
    <w:p w:rsidR="00E824D3" w:rsidRDefault="00E824D3" w:rsidP="007E4E81">
      <w:pPr>
        <w:pStyle w:val="a0"/>
        <w:rPr>
          <w:rtl/>
        </w:rPr>
      </w:pPr>
      <w:r>
        <w:rPr>
          <w:rFonts w:hint="cs"/>
          <w:rtl/>
        </w:rPr>
        <w:t xml:space="preserve">אבל לדעת רבי אבא ביאר </w:t>
      </w:r>
      <w:r w:rsidRPr="00B43E34">
        <w:rPr>
          <w:rStyle w:val="af9"/>
          <w:rFonts w:hint="cs"/>
          <w:rtl/>
        </w:rPr>
        <w:t>התרומת הכרי</w:t>
      </w:r>
      <w:r>
        <w:rPr>
          <w:rFonts w:hint="cs"/>
          <w:rtl/>
        </w:rPr>
        <w:t xml:space="preserve"> דכיון דע"א ראוי לחייבו כשנים, והשבועה היא קולא שהקילה תורה, </w:t>
      </w:r>
      <w:r w:rsidRPr="00303E9B">
        <w:rPr>
          <w:rStyle w:val="afb"/>
          <w:rFonts w:hint="cs"/>
          <w:rtl/>
        </w:rPr>
        <w:t xml:space="preserve">[כדביאר </w:t>
      </w:r>
      <w:r w:rsidRPr="00303E9B">
        <w:rPr>
          <w:rStyle w:val="affa"/>
          <w:rFonts w:hint="cs"/>
          <w:rtl/>
        </w:rPr>
        <w:t>התרומת הכרי</w:t>
      </w:r>
      <w:r w:rsidRPr="00303E9B">
        <w:rPr>
          <w:rStyle w:val="afb"/>
          <w:rFonts w:hint="cs"/>
          <w:rtl/>
        </w:rPr>
        <w:t xml:space="preserve"> </w:t>
      </w:r>
      <w:r w:rsidRPr="00303E9B">
        <w:rPr>
          <w:rStyle w:val="aff6"/>
          <w:rFonts w:hint="cs"/>
          <w:rtl/>
        </w:rPr>
        <w:t xml:space="preserve">(עי' אות </w:t>
      </w:r>
      <w:r w:rsidRPr="00303E9B">
        <w:rPr>
          <w:rStyle w:val="aff6"/>
          <w:rtl/>
        </w:rPr>
        <w:fldChar w:fldCharType="begin"/>
      </w:r>
      <w:r w:rsidRPr="00303E9B">
        <w:rPr>
          <w:rStyle w:val="aff6"/>
          <w:rtl/>
        </w:rPr>
        <w:instrText xml:space="preserve"> </w:instrText>
      </w:r>
      <w:r w:rsidRPr="00303E9B">
        <w:rPr>
          <w:rStyle w:val="aff6"/>
          <w:rFonts w:hint="cs"/>
        </w:rPr>
        <w:instrText>REF</w:instrText>
      </w:r>
      <w:r w:rsidRPr="00303E9B">
        <w:rPr>
          <w:rStyle w:val="aff6"/>
          <w:rFonts w:hint="cs"/>
          <w:rtl/>
        </w:rPr>
        <w:instrText xml:space="preserve"> _</w:instrText>
      </w:r>
      <w:r w:rsidRPr="00303E9B">
        <w:rPr>
          <w:rStyle w:val="aff6"/>
          <w:rFonts w:hint="cs"/>
        </w:rPr>
        <w:instrText>Ref65771188 \r \h</w:instrText>
      </w:r>
      <w:r w:rsidRPr="00303E9B">
        <w:rPr>
          <w:rStyle w:val="aff6"/>
          <w:rtl/>
        </w:rPr>
        <w:instrText xml:space="preserve"> </w:instrText>
      </w:r>
      <w:r w:rsidRPr="00303E9B">
        <w:rPr>
          <w:rStyle w:val="aff6"/>
          <w:rtl/>
        </w:rPr>
      </w:r>
      <w:r w:rsidRPr="00303E9B">
        <w:rPr>
          <w:rStyle w:val="aff6"/>
          <w:rtl/>
        </w:rPr>
        <w:fldChar w:fldCharType="separate"/>
      </w:r>
      <w:r w:rsidR="00265073">
        <w:rPr>
          <w:rStyle w:val="aff6"/>
          <w:cs/>
        </w:rPr>
        <w:t>‎</w:t>
      </w:r>
      <w:r w:rsidR="00265073">
        <w:rPr>
          <w:rStyle w:val="aff6"/>
          <w:rtl/>
        </w:rPr>
        <w:t>כא)</w:t>
      </w:r>
      <w:r w:rsidRPr="00303E9B">
        <w:rPr>
          <w:rStyle w:val="aff6"/>
          <w:rtl/>
        </w:rPr>
        <w:fldChar w:fldCharType="end"/>
      </w:r>
      <w:r w:rsidRPr="00303E9B">
        <w:rPr>
          <w:rStyle w:val="afb"/>
          <w:rFonts w:hint="cs"/>
          <w:rtl/>
        </w:rPr>
        <w:t xml:space="preserve"> בדעת</w:t>
      </w:r>
      <w:r>
        <w:rPr>
          <w:rStyle w:val="afb"/>
          <w:rFonts w:hint="cs"/>
          <w:rtl/>
        </w:rPr>
        <w:t xml:space="preserve"> רבי אבא</w:t>
      </w:r>
      <w:r w:rsidRPr="00303E9B">
        <w:rPr>
          <w:rStyle w:val="afb"/>
          <w:rFonts w:hint="cs"/>
          <w:rtl/>
        </w:rPr>
        <w:t>],</w:t>
      </w:r>
      <w:r>
        <w:rPr>
          <w:rFonts w:hint="cs"/>
          <w:rtl/>
        </w:rPr>
        <w:t xml:space="preserve"> א"כ כל שהודה ואינו יכול להשבע, הודאתו היא ריעותא בחוטף, ואינו נאמן בלי מיגו, ולכן ס"ל לרבי אבא דלא מהני מיגו להכחיש את העד.</w:t>
      </w:r>
    </w:p>
    <w:p w:rsidR="00E824D3" w:rsidRPr="002F3B77" w:rsidRDefault="00E824D3" w:rsidP="00E824D3">
      <w:pPr>
        <w:pStyle w:val="afe"/>
        <w:rPr>
          <w:rtl/>
        </w:rPr>
      </w:pPr>
      <w:bookmarkStart w:id="17670" w:name="_Toc66048860"/>
      <w:bookmarkStart w:id="17671" w:name="_Toc66055813"/>
      <w:bookmarkStart w:id="17672" w:name="_Toc66085919"/>
      <w:bookmarkStart w:id="17673" w:name="_Toc66110481"/>
      <w:bookmarkStart w:id="17674" w:name="_Toc66123341"/>
      <w:bookmarkStart w:id="17675" w:name="_Toc66143789"/>
      <w:bookmarkStart w:id="17676" w:name="_Toc66171952"/>
      <w:bookmarkStart w:id="17677" w:name="_Toc66183192"/>
      <w:bookmarkStart w:id="17678" w:name="_Toc66185972"/>
      <w:bookmarkStart w:id="17679" w:name="_Toc66193432"/>
      <w:r>
        <w:rPr>
          <w:rFonts w:hint="cs"/>
          <w:rtl/>
        </w:rPr>
        <w:t>תירוצים נוספים דל"מ מיגו דלא חטפי</w:t>
      </w:r>
      <w:bookmarkEnd w:id="17670"/>
      <w:bookmarkEnd w:id="17671"/>
      <w:bookmarkEnd w:id="17672"/>
      <w:bookmarkEnd w:id="17673"/>
      <w:bookmarkEnd w:id="17674"/>
      <w:bookmarkEnd w:id="17675"/>
      <w:bookmarkEnd w:id="17676"/>
      <w:bookmarkEnd w:id="17677"/>
      <w:bookmarkEnd w:id="17678"/>
      <w:bookmarkEnd w:id="17679"/>
    </w:p>
    <w:p w:rsidR="00E824D3" w:rsidRDefault="00E824D3" w:rsidP="00E824D3">
      <w:pPr>
        <w:pStyle w:val="1"/>
        <w:rPr>
          <w:rtl/>
        </w:rPr>
      </w:pPr>
      <w:bookmarkStart w:id="17680" w:name="_Toc65788176"/>
      <w:bookmarkStart w:id="17681" w:name="_Toc65839224"/>
      <w:bookmarkStart w:id="17682" w:name="_Toc66048862"/>
      <w:bookmarkStart w:id="17683" w:name="_Toc66055814"/>
      <w:bookmarkStart w:id="17684" w:name="_Toc66085920"/>
      <w:bookmarkStart w:id="17685" w:name="_Toc66110482"/>
      <w:bookmarkStart w:id="17686" w:name="_Toc66123342"/>
      <w:bookmarkStart w:id="17687" w:name="_Toc66143790"/>
      <w:bookmarkStart w:id="17688" w:name="_Toc66171953"/>
      <w:bookmarkStart w:id="17689" w:name="_Toc66183193"/>
      <w:bookmarkStart w:id="17690" w:name="_Toc66185973"/>
      <w:bookmarkStart w:id="17691" w:name="_Toc66193433"/>
      <w:r>
        <w:rPr>
          <w:rFonts w:hint="cs"/>
          <w:rtl/>
        </w:rPr>
        <w:t>תירוץ הרשב"א</w:t>
      </w:r>
      <w:bookmarkEnd w:id="17568"/>
      <w:bookmarkEnd w:id="17569"/>
      <w:bookmarkEnd w:id="17570"/>
      <w:bookmarkEnd w:id="17571"/>
      <w:bookmarkEnd w:id="17572"/>
      <w:bookmarkEnd w:id="17680"/>
      <w:bookmarkEnd w:id="17681"/>
      <w:bookmarkEnd w:id="17682"/>
      <w:r>
        <w:rPr>
          <w:rFonts w:hint="cs"/>
          <w:rtl/>
        </w:rPr>
        <w:t xml:space="preserve"> דמיגו ליפטר מע"א ל"מ כמו מיגו במק"ע</w:t>
      </w:r>
      <w:bookmarkEnd w:id="17683"/>
      <w:bookmarkEnd w:id="17684"/>
      <w:bookmarkEnd w:id="17685"/>
      <w:bookmarkEnd w:id="17686"/>
      <w:bookmarkEnd w:id="17687"/>
      <w:bookmarkEnd w:id="17688"/>
      <w:bookmarkEnd w:id="17689"/>
      <w:bookmarkEnd w:id="17690"/>
      <w:bookmarkEnd w:id="17691"/>
    </w:p>
    <w:p w:rsidR="00E824D3" w:rsidRDefault="00E824D3" w:rsidP="00E824D3">
      <w:pPr>
        <w:pStyle w:val="a3"/>
        <w:rPr>
          <w:rtl/>
        </w:rPr>
      </w:pPr>
      <w:bookmarkStart w:id="17692" w:name="_Toc66055815"/>
      <w:bookmarkStart w:id="17693" w:name="_Toc66085921"/>
      <w:bookmarkStart w:id="17694" w:name="_Toc66110483"/>
      <w:bookmarkStart w:id="17695" w:name="_Toc66123343"/>
      <w:bookmarkStart w:id="17696" w:name="_Toc66143791"/>
      <w:bookmarkStart w:id="17697" w:name="_Toc66171954"/>
      <w:bookmarkStart w:id="17698" w:name="_Toc66183194"/>
      <w:bookmarkStart w:id="17699" w:name="_Toc66185974"/>
      <w:bookmarkStart w:id="17700" w:name="_Toc66193434"/>
      <w:r>
        <w:rPr>
          <w:rFonts w:hint="cs"/>
          <w:rtl/>
        </w:rPr>
        <w:t>תירוץ הרשב"א דמיגו דלא חטפי ליפטר משבועה הוא כמיגו במק"ע לממון דחשיב הכחשה לעד</w:t>
      </w:r>
      <w:bookmarkEnd w:id="17692"/>
      <w:bookmarkEnd w:id="17693"/>
      <w:bookmarkEnd w:id="17694"/>
      <w:bookmarkEnd w:id="17695"/>
      <w:bookmarkEnd w:id="17696"/>
      <w:bookmarkEnd w:id="17697"/>
      <w:bookmarkEnd w:id="17698"/>
      <w:bookmarkEnd w:id="17699"/>
      <w:bookmarkEnd w:id="17700"/>
    </w:p>
    <w:p w:rsidR="00E824D3" w:rsidRDefault="00E824D3" w:rsidP="007E4E81">
      <w:pPr>
        <w:pStyle w:val="a0"/>
        <w:rPr>
          <w:rtl/>
        </w:rPr>
      </w:pPr>
      <w:r>
        <w:rPr>
          <w:rFonts w:hint="cs"/>
          <w:rtl/>
        </w:rPr>
        <w:t xml:space="preserve">ועוד תירץ </w:t>
      </w:r>
      <w:r>
        <w:rPr>
          <w:rStyle w:val="af9"/>
          <w:rtl/>
        </w:rPr>
        <w:t>הרשב"א</w:t>
      </w:r>
      <w:r>
        <w:rPr>
          <w:rFonts w:hint="cs"/>
          <w:rtl/>
        </w:rPr>
        <w:t xml:space="preserve"> </w:t>
      </w:r>
      <w:r>
        <w:rPr>
          <w:rStyle w:val="af7"/>
          <w:rFonts w:eastAsia="Guttman Hodes" w:hint="cs"/>
          <w:rtl/>
        </w:rPr>
        <w:t>(ד"ה עוד שם)</w:t>
      </w:r>
      <w:r>
        <w:rPr>
          <w:rFonts w:hint="cs"/>
          <w:rtl/>
        </w:rPr>
        <w:t xml:space="preserve"> את קושית </w:t>
      </w:r>
      <w:r w:rsidRPr="00B01448">
        <w:rPr>
          <w:rStyle w:val="af9"/>
          <w:rFonts w:hint="cs"/>
          <w:rtl/>
        </w:rPr>
        <w:t xml:space="preserve">התוס' </w:t>
      </w:r>
      <w:r w:rsidRPr="00B01448">
        <w:rPr>
          <w:rStyle w:val="af7"/>
          <w:rFonts w:eastAsia="Guttman Hodes" w:hint="cs"/>
          <w:rtl/>
        </w:rPr>
        <w:t xml:space="preserve">(עי' אות </w:t>
      </w:r>
      <w:r w:rsidRPr="00B01448">
        <w:rPr>
          <w:rStyle w:val="af7"/>
          <w:rFonts w:eastAsia="Guttman Hodes"/>
          <w:rtl/>
        </w:rPr>
        <w:fldChar w:fldCharType="begin"/>
      </w:r>
      <w:r w:rsidRPr="00B01448">
        <w:rPr>
          <w:rStyle w:val="af7"/>
          <w:rFonts w:eastAsia="Guttman Hodes"/>
          <w:rtl/>
        </w:rPr>
        <w:instrText xml:space="preserve"> </w:instrText>
      </w:r>
      <w:r w:rsidRPr="00B01448">
        <w:rPr>
          <w:rStyle w:val="af7"/>
          <w:rFonts w:eastAsia="Guttman Hodes" w:hint="cs"/>
        </w:rPr>
        <w:instrText>REF</w:instrText>
      </w:r>
      <w:r w:rsidRPr="00B01448">
        <w:rPr>
          <w:rStyle w:val="af7"/>
          <w:rFonts w:eastAsia="Guttman Hodes" w:hint="cs"/>
          <w:rtl/>
        </w:rPr>
        <w:instrText xml:space="preserve"> _</w:instrText>
      </w:r>
      <w:r w:rsidRPr="00B01448">
        <w:rPr>
          <w:rStyle w:val="af7"/>
          <w:rFonts w:eastAsia="Guttman Hodes" w:hint="cs"/>
        </w:rPr>
        <w:instrText>Ref65082310 \r \h</w:instrText>
      </w:r>
      <w:r w:rsidRPr="00B01448">
        <w:rPr>
          <w:rStyle w:val="af7"/>
          <w:rFonts w:eastAsia="Guttman Hodes"/>
          <w:rtl/>
        </w:rPr>
        <w:instrText xml:space="preserve"> </w:instrText>
      </w:r>
      <w:r w:rsidRPr="00B01448">
        <w:rPr>
          <w:rStyle w:val="af7"/>
          <w:rFonts w:eastAsia="Guttman Hodes"/>
          <w:rtl/>
        </w:rPr>
      </w:r>
      <w:r w:rsidRPr="00B01448">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B01448">
        <w:rPr>
          <w:rStyle w:val="af7"/>
          <w:rFonts w:eastAsia="Guttman Hodes"/>
          <w:rtl/>
        </w:rPr>
        <w:fldChar w:fldCharType="end"/>
      </w:r>
      <w:r>
        <w:rPr>
          <w:rFonts w:hint="cs"/>
          <w:rtl/>
        </w:rPr>
        <w:t xml:space="preserve"> דאינו נאמן בטענת דידי חטפי בשבועה דאו', במיגו דהיה אומר לא חטפי, דכמו שלא אמרינן מיגו במקום עדים לענין ממון, ה"ה דלא אמרינן מיגו במקום ע"א שיפטר מן הממון בלא השבועה שחייבתו תורה, כיון דבכה"ג חשיב שהוא מכחיש את העד.</w:t>
      </w:r>
    </w:p>
    <w:p w:rsidR="00E824D3" w:rsidRPr="0050207C" w:rsidRDefault="00E824D3" w:rsidP="00E824D3">
      <w:pPr>
        <w:pStyle w:val="1"/>
        <w:rPr>
          <w:rtl/>
        </w:rPr>
      </w:pPr>
      <w:bookmarkStart w:id="17701" w:name="_Toc65530002"/>
      <w:bookmarkStart w:id="17702" w:name="_Toc65748235"/>
      <w:bookmarkStart w:id="17703" w:name="_Toc65788175"/>
      <w:bookmarkStart w:id="17704" w:name="_Toc65839223"/>
      <w:bookmarkStart w:id="17705" w:name="_Toc66048861"/>
      <w:bookmarkStart w:id="17706" w:name="_Toc66055816"/>
      <w:bookmarkStart w:id="17707" w:name="_Toc66085922"/>
      <w:bookmarkStart w:id="17708" w:name="_Toc66110484"/>
      <w:bookmarkStart w:id="17709" w:name="_Toc66123344"/>
      <w:bookmarkStart w:id="17710" w:name="_Toc66143792"/>
      <w:bookmarkStart w:id="17711" w:name="_Toc66171955"/>
      <w:bookmarkStart w:id="17712" w:name="_Toc66183195"/>
      <w:bookmarkStart w:id="17713" w:name="_Toc66185975"/>
      <w:bookmarkStart w:id="17714" w:name="_Toc66193435"/>
      <w:bookmarkStart w:id="17715" w:name="_Toc65530008"/>
      <w:bookmarkStart w:id="17716" w:name="_Toc65748239"/>
      <w:bookmarkStart w:id="17717" w:name="_Toc65788177"/>
      <w:bookmarkStart w:id="17718" w:name="_Toc65839225"/>
      <w:bookmarkStart w:id="17719" w:name="_Toc66048863"/>
      <w:r>
        <w:rPr>
          <w:rFonts w:hint="cs"/>
          <w:rtl/>
        </w:rPr>
        <w:t>תירוצי הרי"ד</w:t>
      </w:r>
      <w:bookmarkEnd w:id="17701"/>
      <w:bookmarkEnd w:id="17702"/>
      <w:bookmarkEnd w:id="17703"/>
      <w:bookmarkEnd w:id="17704"/>
      <w:bookmarkEnd w:id="17705"/>
      <w:r>
        <w:rPr>
          <w:rFonts w:hint="cs"/>
          <w:rtl/>
        </w:rPr>
        <w:t xml:space="preserve"> דמיגו כמערים ודאיירי בכפר תחילה ואח"כ הודה</w:t>
      </w:r>
      <w:bookmarkEnd w:id="17706"/>
      <w:bookmarkEnd w:id="17707"/>
      <w:bookmarkEnd w:id="17708"/>
      <w:bookmarkEnd w:id="17709"/>
      <w:bookmarkEnd w:id="17710"/>
      <w:bookmarkEnd w:id="17711"/>
      <w:bookmarkEnd w:id="17712"/>
      <w:bookmarkEnd w:id="17713"/>
      <w:bookmarkEnd w:id="17714"/>
    </w:p>
    <w:p w:rsidR="00E824D3" w:rsidRPr="00053287" w:rsidRDefault="00E824D3" w:rsidP="00E824D3">
      <w:pPr>
        <w:pStyle w:val="a3"/>
      </w:pPr>
      <w:bookmarkStart w:id="17720" w:name="_Toc66055817"/>
      <w:bookmarkStart w:id="17721" w:name="_Toc66085923"/>
      <w:bookmarkStart w:id="17722" w:name="_Toc66110485"/>
      <w:bookmarkStart w:id="17723" w:name="_Toc66123345"/>
      <w:bookmarkStart w:id="17724" w:name="_Toc66143793"/>
      <w:bookmarkStart w:id="17725" w:name="_Toc66171956"/>
      <w:bookmarkStart w:id="17726" w:name="_Toc66183196"/>
      <w:bookmarkStart w:id="17727" w:name="_Toc66185976"/>
      <w:bookmarkStart w:id="17728" w:name="_Toc66193436"/>
      <w:r>
        <w:rPr>
          <w:rFonts w:hint="cs"/>
          <w:rtl/>
        </w:rPr>
        <w:t>תי' הרי"ד דמיגו דלא חטפי נראה כמערים שמודה דחטף בכדי להפטר משבועה להכחיש ע"א</w:t>
      </w:r>
      <w:bookmarkEnd w:id="17720"/>
      <w:bookmarkEnd w:id="17721"/>
      <w:bookmarkEnd w:id="17722"/>
      <w:bookmarkEnd w:id="17723"/>
      <w:bookmarkEnd w:id="17724"/>
      <w:bookmarkEnd w:id="17725"/>
      <w:bookmarkEnd w:id="17726"/>
      <w:bookmarkEnd w:id="17727"/>
      <w:bookmarkEnd w:id="17728"/>
    </w:p>
    <w:p w:rsidR="00E824D3" w:rsidRDefault="00E824D3" w:rsidP="007E4E81">
      <w:pPr>
        <w:pStyle w:val="a0"/>
      </w:pPr>
      <w:bookmarkStart w:id="17729" w:name="_Ref65192364"/>
      <w:r w:rsidRPr="00465DC9">
        <w:rPr>
          <w:rStyle w:val="af9"/>
          <w:rFonts w:hint="cs"/>
          <w:rtl/>
        </w:rPr>
        <w:t>ו</w:t>
      </w:r>
      <w:r>
        <w:rPr>
          <w:rStyle w:val="af9"/>
          <w:rFonts w:hint="cs"/>
          <w:rtl/>
        </w:rPr>
        <w:t>ב</w:t>
      </w:r>
      <w:r w:rsidRPr="00465DC9">
        <w:rPr>
          <w:rStyle w:val="af9"/>
          <w:rFonts w:hint="cs"/>
          <w:rtl/>
        </w:rPr>
        <w:t>פסקי הרי"ד</w:t>
      </w:r>
      <w:r w:rsidRPr="00DA2987">
        <w:rPr>
          <w:rStyle w:val="af7"/>
          <w:rFonts w:eastAsia="Guttman Hodes" w:hint="cs"/>
          <w:rtl/>
        </w:rPr>
        <w:t xml:space="preserve"> (ד"ה תשובה, הועתק בקובץ שיטות קמאי ב"ב ח"א עמ' תתל"ב) </w:t>
      </w:r>
      <w:r>
        <w:rPr>
          <w:rFonts w:hint="cs"/>
          <w:rtl/>
        </w:rPr>
        <w:t xml:space="preserve">תירץ דאינו נאמן בשבועה דדידיה חטף, במיגו דהיה יכול לטעון שלא חטף והיה נאמן בשבועה, דאי"ז מיגו טוב, דאמרינן שהוא מערים, וסובר שאם </w:t>
      </w:r>
      <w:r>
        <w:rPr>
          <w:rFonts w:hint="cs"/>
          <w:rtl/>
        </w:rPr>
        <w:lastRenderedPageBreak/>
        <w:t>יאמר לא חטפי, ואח"כ יבא הע"א ויעיד שחטף יצטרך להשבע להכחישו, וחושב שאם יטען אין חטפי ודידי חטפי לא יתחייב שבועה, והוסיף</w:t>
      </w:r>
      <w:r w:rsidRPr="00555585">
        <w:rPr>
          <w:rStyle w:val="af9"/>
          <w:rFonts w:hint="cs"/>
          <w:rtl/>
        </w:rPr>
        <w:t xml:space="preserve"> </w:t>
      </w:r>
      <w:r>
        <w:rPr>
          <w:rStyle w:val="af9"/>
          <w:rFonts w:hint="cs"/>
          <w:rtl/>
        </w:rPr>
        <w:t>ב</w:t>
      </w:r>
      <w:r w:rsidRPr="00465DC9">
        <w:rPr>
          <w:rStyle w:val="af9"/>
          <w:rFonts w:hint="cs"/>
          <w:rtl/>
        </w:rPr>
        <w:t xml:space="preserve">פסקי הרי"ד </w:t>
      </w:r>
      <w:r>
        <w:rPr>
          <w:rFonts w:hint="cs"/>
          <w:rtl/>
        </w:rPr>
        <w:t xml:space="preserve">דאף אם יודע שיתחייב שבועה, ג"כ עדיף לו להשבע כשאינו מכחיש את הע"א, ולא להשבע להכחיש את העד, כיון שהוא מתבייש להכחישו, וכ"כ </w:t>
      </w:r>
      <w:r>
        <w:rPr>
          <w:rStyle w:val="af9"/>
          <w:rFonts w:hint="cs"/>
          <w:rtl/>
        </w:rPr>
        <w:t>ב</w:t>
      </w:r>
      <w:r w:rsidRPr="00465DC9">
        <w:rPr>
          <w:rStyle w:val="af9"/>
          <w:rFonts w:hint="cs"/>
          <w:rtl/>
        </w:rPr>
        <w:t>פסקי הרי"ד בשבועות</w:t>
      </w:r>
      <w:r>
        <w:rPr>
          <w:rStyle w:val="af9"/>
          <w:rFonts w:hint="cs"/>
          <w:rtl/>
        </w:rPr>
        <w:t xml:space="preserve"> בבי' הב' </w:t>
      </w:r>
      <w:r w:rsidRPr="0076108E">
        <w:rPr>
          <w:rStyle w:val="af7"/>
          <w:rFonts w:eastAsia="Guttman Hodes" w:hint="cs"/>
          <w:rtl/>
        </w:rPr>
        <w:t xml:space="preserve">(לב: ד"ה </w:t>
      </w:r>
      <w:r>
        <w:rPr>
          <w:rStyle w:val="af7"/>
          <w:rFonts w:eastAsia="Guttman Hodes" w:hint="cs"/>
          <w:rtl/>
        </w:rPr>
        <w:t>ומאי דקשיא</w:t>
      </w:r>
      <w:r w:rsidRPr="0076108E">
        <w:rPr>
          <w:rStyle w:val="af7"/>
          <w:rFonts w:eastAsia="Guttman Hodes" w:hint="cs"/>
          <w:rtl/>
        </w:rPr>
        <w:t>, הועתק בקובץ</w:t>
      </w:r>
      <w:r w:rsidRPr="007E098A">
        <w:rPr>
          <w:rStyle w:val="af7"/>
          <w:rFonts w:eastAsia="Guttman Hodes" w:hint="cs"/>
          <w:rtl/>
        </w:rPr>
        <w:t xml:space="preserve"> שיטות קמאי </w:t>
      </w:r>
      <w:r>
        <w:rPr>
          <w:rStyle w:val="af7"/>
          <w:rFonts w:eastAsia="Guttman Hodes" w:hint="cs"/>
          <w:rtl/>
        </w:rPr>
        <w:t>שבועות</w:t>
      </w:r>
      <w:r w:rsidRPr="007E098A">
        <w:rPr>
          <w:rStyle w:val="af7"/>
          <w:rFonts w:eastAsia="Guttman Hodes" w:hint="cs"/>
          <w:rtl/>
        </w:rPr>
        <w:t xml:space="preserve"> עמ' </w:t>
      </w:r>
      <w:r>
        <w:rPr>
          <w:rStyle w:val="af7"/>
          <w:rFonts w:eastAsia="Guttman Hodes" w:hint="cs"/>
          <w:rtl/>
        </w:rPr>
        <w:t>ש"ה</w:t>
      </w:r>
      <w:r w:rsidRPr="007E098A">
        <w:rPr>
          <w:rStyle w:val="af7"/>
          <w:rFonts w:eastAsia="Guttman Hodes" w:hint="cs"/>
          <w:rtl/>
        </w:rPr>
        <w:t>)</w:t>
      </w:r>
      <w:r>
        <w:rPr>
          <w:rFonts w:hint="cs"/>
          <w:rtl/>
        </w:rPr>
        <w:t>.</w:t>
      </w:r>
    </w:p>
    <w:p w:rsidR="00E824D3" w:rsidRDefault="00E824D3" w:rsidP="00E824D3">
      <w:pPr>
        <w:pStyle w:val="a3"/>
        <w:rPr>
          <w:rtl/>
        </w:rPr>
      </w:pPr>
      <w:bookmarkStart w:id="17730" w:name="_Toc66055818"/>
      <w:bookmarkStart w:id="17731" w:name="_Toc66085924"/>
      <w:bookmarkStart w:id="17732" w:name="_Toc66110486"/>
      <w:bookmarkStart w:id="17733" w:name="_Toc66123346"/>
      <w:bookmarkStart w:id="17734" w:name="_Toc66143794"/>
      <w:bookmarkStart w:id="17735" w:name="_Toc66171957"/>
      <w:bookmarkStart w:id="17736" w:name="_Toc66183197"/>
      <w:bookmarkStart w:id="17737" w:name="_Toc66185977"/>
      <w:bookmarkStart w:id="17738" w:name="_Toc66193437"/>
      <w:bookmarkEnd w:id="17729"/>
      <w:r>
        <w:rPr>
          <w:rFonts w:hint="cs"/>
          <w:rtl/>
        </w:rPr>
        <w:t>דברי הרי"ד בשבועות דאיירי שכפר בתחילה ואח"כ הודה אבל בהודה בתחילה נאמן במיגו</w:t>
      </w:r>
      <w:bookmarkEnd w:id="17730"/>
      <w:bookmarkEnd w:id="17731"/>
      <w:bookmarkEnd w:id="17732"/>
      <w:bookmarkEnd w:id="17733"/>
      <w:bookmarkEnd w:id="17734"/>
      <w:bookmarkEnd w:id="17735"/>
      <w:bookmarkEnd w:id="17736"/>
      <w:bookmarkEnd w:id="17737"/>
      <w:bookmarkEnd w:id="17738"/>
    </w:p>
    <w:p w:rsidR="00E824D3" w:rsidRDefault="00E824D3" w:rsidP="007E4E81">
      <w:pPr>
        <w:pStyle w:val="a0"/>
        <w:rPr>
          <w:rtl/>
        </w:rPr>
      </w:pPr>
      <w:r w:rsidRPr="00465DC9">
        <w:rPr>
          <w:rStyle w:val="af9"/>
          <w:rFonts w:hint="cs"/>
          <w:rtl/>
        </w:rPr>
        <w:t>ו</w:t>
      </w:r>
      <w:r>
        <w:rPr>
          <w:rStyle w:val="af9"/>
          <w:rFonts w:hint="cs"/>
          <w:rtl/>
        </w:rPr>
        <w:t>ב</w:t>
      </w:r>
      <w:r w:rsidRPr="00465DC9">
        <w:rPr>
          <w:rStyle w:val="af9"/>
          <w:rFonts w:hint="cs"/>
          <w:rtl/>
        </w:rPr>
        <w:t>פסקי הרי"ד בשבועות</w:t>
      </w:r>
      <w:r>
        <w:rPr>
          <w:rStyle w:val="af9"/>
          <w:rFonts w:hint="cs"/>
          <w:rtl/>
        </w:rPr>
        <w:t xml:space="preserve"> בבי' הא' </w:t>
      </w:r>
      <w:r w:rsidRPr="00C71922">
        <w:rPr>
          <w:rStyle w:val="af7"/>
          <w:rFonts w:eastAsia="Guttman Hodes" w:hint="cs"/>
          <w:rtl/>
        </w:rPr>
        <w:t>(לב: ד"ה ונראה לי, הועתק בקובץ שיטות קמאי שבועות עמ' ש"ה)</w:t>
      </w:r>
      <w:r>
        <w:rPr>
          <w:rFonts w:hint="cs"/>
          <w:rtl/>
        </w:rPr>
        <w:t xml:space="preserve"> תירץ דבאופן שבתחילה טען אין חטפי ודידי חטפי, הוא באמת נאמן בשבועה דדידיה חטף במיגו דהיה יכול לטעון שלא חטף והיה נאמן בשבועה, אך בסוגיין איירי שבתחילה טען לא חטפי, ואחר שהעיד העד שחטף, חזר וטען אין חטפי ודידי חטפי, ולכן אינו נאמן בשבועה דדידיה חטף, דהא בתחילה הודה שהנסכא אינה שלו, ולכן כשחוזר וטוען אין חטפי ודידי חטפי אינו נאמן, </w:t>
      </w:r>
      <w:r w:rsidRPr="00F47656">
        <w:rPr>
          <w:rStyle w:val="afb"/>
          <w:rFonts w:hint="cs"/>
          <w:rtl/>
        </w:rPr>
        <w:t xml:space="preserve">[והביא </w:t>
      </w:r>
      <w:r w:rsidRPr="00F47656">
        <w:rPr>
          <w:rStyle w:val="affa"/>
          <w:rFonts w:hint="cs"/>
          <w:rtl/>
        </w:rPr>
        <w:t>הפסקי הרי"ד</w:t>
      </w:r>
      <w:r w:rsidRPr="00F47656">
        <w:rPr>
          <w:rStyle w:val="afb"/>
          <w:rFonts w:hint="cs"/>
          <w:rtl/>
        </w:rPr>
        <w:t xml:space="preserve"> דכן מבואר בדברי </w:t>
      </w:r>
      <w:r w:rsidRPr="00F47656">
        <w:rPr>
          <w:rStyle w:val="affa"/>
          <w:rFonts w:hint="cs"/>
          <w:rtl/>
        </w:rPr>
        <w:t>רבינו חננאל</w:t>
      </w:r>
      <w:r w:rsidRPr="00F47656">
        <w:rPr>
          <w:rStyle w:val="afb"/>
          <w:rFonts w:hint="cs"/>
          <w:rtl/>
        </w:rPr>
        <w:t xml:space="preserve"> </w:t>
      </w:r>
      <w:r w:rsidRPr="00F47656">
        <w:rPr>
          <w:rStyle w:val="aff6"/>
          <w:rFonts w:hint="cs"/>
          <w:rtl/>
        </w:rPr>
        <w:t xml:space="preserve">(ד"ה פירוש ההוא, הועתק בקובץ שיטות קמאי ב"ב ח"א עמ' </w:t>
      </w:r>
      <w:r w:rsidRPr="00F47656">
        <w:rPr>
          <w:rStyle w:val="aff6"/>
          <w:rtl/>
        </w:rPr>
        <w:t>תתכ</w:t>
      </w:r>
      <w:r w:rsidRPr="00F47656">
        <w:rPr>
          <w:rStyle w:val="aff6"/>
          <w:rFonts w:hint="cs"/>
          <w:rtl/>
        </w:rPr>
        <w:t>"</w:t>
      </w:r>
      <w:r w:rsidRPr="00F47656">
        <w:rPr>
          <w:rStyle w:val="aff6"/>
          <w:rtl/>
        </w:rPr>
        <w:t>ז</w:t>
      </w:r>
      <w:r w:rsidRPr="00F47656">
        <w:rPr>
          <w:rStyle w:val="aff6"/>
          <w:rFonts w:hint="cs"/>
          <w:rtl/>
        </w:rPr>
        <w:t>, הובא בסימן י"ז אות ס"ה)</w:t>
      </w:r>
      <w:r w:rsidRPr="00F47656">
        <w:rPr>
          <w:rStyle w:val="afb"/>
          <w:rFonts w:hint="cs"/>
          <w:rtl/>
        </w:rPr>
        <w:t xml:space="preserve">, ועי' במה שביאר </w:t>
      </w:r>
      <w:r w:rsidRPr="00F47656">
        <w:rPr>
          <w:rStyle w:val="affa"/>
          <w:rFonts w:hint="cs"/>
          <w:rtl/>
        </w:rPr>
        <w:t>בפסקי הרי"ד בשבועות בבי' הא'</w:t>
      </w:r>
      <w:r w:rsidRPr="00F47656">
        <w:rPr>
          <w:rStyle w:val="afb"/>
          <w:rFonts w:hint="cs"/>
          <w:rtl/>
        </w:rPr>
        <w:t xml:space="preserve"> </w:t>
      </w:r>
      <w:r w:rsidRPr="00F47656">
        <w:rPr>
          <w:rStyle w:val="aff6"/>
          <w:rFonts w:hint="cs"/>
          <w:rtl/>
        </w:rPr>
        <w:t>(לב: ד"ה ונראה לי, הועתק בקובץ שיטות קמאי שבועות עמ' ש"ה, הובא בסימן י"ז אות ס"ח)</w:t>
      </w:r>
      <w:r w:rsidRPr="00F47656">
        <w:rPr>
          <w:rStyle w:val="afb"/>
          <w:rFonts w:hint="cs"/>
          <w:rtl/>
        </w:rPr>
        <w:t xml:space="preserve"> דכשאמר לא חטפי חשיב שהודה שאינה שלו, כדין האומר לא לויתי כאומר לא פרעתי דמי], </w:t>
      </w:r>
      <w:r>
        <w:rPr>
          <w:rFonts w:hint="cs"/>
          <w:rtl/>
        </w:rPr>
        <w:t xml:space="preserve">ועי' במה שדחה </w:t>
      </w:r>
      <w:r>
        <w:rPr>
          <w:rStyle w:val="af9"/>
          <w:rFonts w:hint="cs"/>
          <w:rtl/>
        </w:rPr>
        <w:t>ב</w:t>
      </w:r>
      <w:r w:rsidRPr="00465DC9">
        <w:rPr>
          <w:rStyle w:val="af9"/>
          <w:rFonts w:hint="cs"/>
          <w:rtl/>
        </w:rPr>
        <w:t>פסקי הרי"ד בשבועות</w:t>
      </w:r>
      <w:r>
        <w:rPr>
          <w:rFonts w:hint="cs"/>
          <w:rtl/>
        </w:rPr>
        <w:t xml:space="preserve"> </w:t>
      </w:r>
      <w:r>
        <w:rPr>
          <w:rStyle w:val="af7"/>
          <w:rFonts w:eastAsia="Guttman Hodes" w:hint="cs"/>
          <w:rtl/>
        </w:rPr>
        <w:t>(</w:t>
      </w:r>
      <w:r w:rsidRPr="00C71922">
        <w:rPr>
          <w:rStyle w:val="af7"/>
          <w:rFonts w:eastAsia="Guttman Hodes" w:hint="cs"/>
          <w:rtl/>
        </w:rPr>
        <w:t>לב: ד"ה אבל אינו, הועתק בקובץ שיטות קמאי שבועות עמ' ש"ה</w:t>
      </w:r>
      <w:r>
        <w:rPr>
          <w:rStyle w:val="af7"/>
          <w:rFonts w:eastAsia="Guttman Hodes" w:hint="cs"/>
          <w:rtl/>
        </w:rPr>
        <w:t>, הובא בסימן י"ז אות ס"ט)</w:t>
      </w:r>
      <w:r w:rsidRPr="00C71922">
        <w:rPr>
          <w:rStyle w:val="af7"/>
          <w:rFonts w:eastAsia="Guttman Hodes" w:hint="cs"/>
          <w:rtl/>
        </w:rPr>
        <w:t xml:space="preserve"> </w:t>
      </w:r>
      <w:r>
        <w:rPr>
          <w:rFonts w:hint="cs"/>
          <w:rtl/>
        </w:rPr>
        <w:t>דלא משמע כן בגמ', עיי"ש בדבריו.</w:t>
      </w:r>
    </w:p>
    <w:p w:rsidR="00E824D3" w:rsidRDefault="00E824D3" w:rsidP="00E824D3">
      <w:pPr>
        <w:pStyle w:val="1"/>
        <w:rPr>
          <w:rtl/>
        </w:rPr>
      </w:pPr>
      <w:bookmarkStart w:id="17739" w:name="_Toc66055819"/>
      <w:bookmarkStart w:id="17740" w:name="_Toc66085925"/>
      <w:bookmarkStart w:id="17741" w:name="_Toc66110487"/>
      <w:bookmarkStart w:id="17742" w:name="_Toc66123347"/>
      <w:bookmarkStart w:id="17743" w:name="_Toc66143795"/>
      <w:bookmarkStart w:id="17744" w:name="_Toc66171958"/>
      <w:bookmarkStart w:id="17745" w:name="_Toc66183198"/>
      <w:bookmarkStart w:id="17746" w:name="_Toc66185978"/>
      <w:bookmarkStart w:id="17747" w:name="_Toc66193438"/>
      <w:r>
        <w:rPr>
          <w:rFonts w:hint="cs"/>
          <w:rtl/>
        </w:rPr>
        <w:t>תירוץ הקצוה"ח</w:t>
      </w:r>
      <w:bookmarkEnd w:id="17715"/>
      <w:bookmarkEnd w:id="17716"/>
      <w:bookmarkEnd w:id="17717"/>
      <w:bookmarkEnd w:id="17718"/>
      <w:bookmarkEnd w:id="17719"/>
      <w:bookmarkEnd w:id="17739"/>
      <w:bookmarkEnd w:id="17740"/>
      <w:r>
        <w:rPr>
          <w:rFonts w:hint="cs"/>
          <w:rtl/>
        </w:rPr>
        <w:t xml:space="preserve"> דכלפי הע"א שראה את החטיפה ל"מ המיגו</w:t>
      </w:r>
      <w:bookmarkEnd w:id="17741"/>
      <w:bookmarkEnd w:id="17742"/>
      <w:bookmarkEnd w:id="17743"/>
      <w:bookmarkEnd w:id="17744"/>
      <w:bookmarkEnd w:id="17745"/>
      <w:bookmarkEnd w:id="17746"/>
      <w:bookmarkEnd w:id="17747"/>
    </w:p>
    <w:p w:rsidR="00E824D3" w:rsidRDefault="00E824D3" w:rsidP="00E824D3">
      <w:pPr>
        <w:pStyle w:val="a3"/>
        <w:rPr>
          <w:rtl/>
        </w:rPr>
      </w:pPr>
      <w:bookmarkStart w:id="17748" w:name="_Toc66085926"/>
      <w:bookmarkStart w:id="17749" w:name="_Toc66110488"/>
      <w:bookmarkStart w:id="17750" w:name="_Toc66123348"/>
      <w:bookmarkStart w:id="17751" w:name="_Toc66143796"/>
      <w:bookmarkStart w:id="17752" w:name="_Toc66171959"/>
      <w:bookmarkStart w:id="17753" w:name="_Toc66183199"/>
      <w:bookmarkStart w:id="17754" w:name="_Toc66185979"/>
      <w:bookmarkStart w:id="17755" w:name="_Toc66193439"/>
      <w:r>
        <w:rPr>
          <w:rFonts w:hint="cs"/>
          <w:rtl/>
        </w:rPr>
        <w:t>דברי הקצוה"ח דהמיגו מהני רק למי שלא ראה שחטף והרואה שחטף וקנה מהחוטף חייב להחזיר</w:t>
      </w:r>
      <w:bookmarkEnd w:id="17748"/>
      <w:bookmarkEnd w:id="17749"/>
      <w:bookmarkEnd w:id="17750"/>
      <w:bookmarkEnd w:id="17751"/>
      <w:bookmarkEnd w:id="17752"/>
      <w:bookmarkEnd w:id="17753"/>
      <w:bookmarkEnd w:id="17754"/>
      <w:bookmarkEnd w:id="17755"/>
    </w:p>
    <w:p w:rsidR="00E824D3" w:rsidRPr="00DD46D5" w:rsidRDefault="00E824D3" w:rsidP="007E4E81">
      <w:pPr>
        <w:pStyle w:val="a0"/>
        <w:rPr>
          <w:rStyle w:val="afb"/>
          <w:rtl/>
        </w:rPr>
      </w:pPr>
      <w:bookmarkStart w:id="17756" w:name="_Ref66135183"/>
      <w:r w:rsidRPr="003758BA">
        <w:rPr>
          <w:rStyle w:val="af9"/>
          <w:rFonts w:hint="cs"/>
          <w:rtl/>
        </w:rPr>
        <w:t>ובקצוה"ח</w:t>
      </w:r>
      <w:r>
        <w:rPr>
          <w:rFonts w:hint="cs"/>
          <w:rtl/>
        </w:rPr>
        <w:t xml:space="preserve"> </w:t>
      </w:r>
      <w:r w:rsidRPr="003758BA">
        <w:rPr>
          <w:rStyle w:val="af7"/>
          <w:rFonts w:eastAsia="Guttman Hodes" w:hint="cs"/>
          <w:rtl/>
        </w:rPr>
        <w:t>(סי' ע"ה סקי"ב)</w:t>
      </w:r>
      <w:r>
        <w:rPr>
          <w:rFonts w:hint="cs"/>
          <w:rtl/>
        </w:rPr>
        <w:t xml:space="preserve"> תירץ דכיון שאם לא היה לו מיגו, דהיה יכול לטעון לא חטפי, לא היה נאמן לחטוף ולומר אין חטפי ודידי חטפי, א"כ אי אמרינן מיגו, כ"מ דמהני המיגו הוא רק למי שלא ראה את החטיפה, דכיון שלא ראה את החטיפה יש לחוטף מיגו דהיה טוען לא חטפי, אבל למי שראה את החטיפה, חשיב החוטף כגזלן ואין לו מיגו, ולכן אף אם קרוב או פסול ראו את החטיפה והם קנו את הנסכא מהחוטף, הם מחוייבים להחזיר לבעלים, ואסור להם לעכבה בידם, כיון שהם עצמם ראו את החטיפה, ולגביהם הוא כגזלן, כיון שיש חזקה לראשון דכ"מ שתח"י שלו הוא, וא"כ באה ליד החוטף בגזילה</w:t>
      </w:r>
      <w:r>
        <w:rPr>
          <w:rStyle w:val="af1"/>
          <w:rtl/>
        </w:rPr>
        <w:footnoteReference w:id="120"/>
      </w:r>
      <w:r>
        <w:rPr>
          <w:rFonts w:hint="cs"/>
          <w:rtl/>
        </w:rPr>
        <w:t>.</w:t>
      </w:r>
      <w:bookmarkEnd w:id="17756"/>
      <w:r>
        <w:rPr>
          <w:rFonts w:hint="cs"/>
          <w:rtl/>
        </w:rPr>
        <w:t xml:space="preserve"> </w:t>
      </w:r>
    </w:p>
    <w:p w:rsidR="00E824D3" w:rsidRPr="00235CC0" w:rsidRDefault="00E824D3" w:rsidP="00E824D3">
      <w:pPr>
        <w:pStyle w:val="a3"/>
        <w:rPr>
          <w:rtl/>
        </w:rPr>
      </w:pPr>
      <w:bookmarkStart w:id="17757" w:name="_Toc66085927"/>
      <w:bookmarkStart w:id="17758" w:name="_Toc66110489"/>
      <w:bookmarkStart w:id="17759" w:name="_Toc66123349"/>
      <w:bookmarkStart w:id="17760" w:name="_Toc66143797"/>
      <w:bookmarkStart w:id="17761" w:name="_Toc66171960"/>
      <w:bookmarkStart w:id="17762" w:name="_Toc66183200"/>
      <w:bookmarkStart w:id="17763" w:name="_Toc66185980"/>
      <w:bookmarkStart w:id="17764" w:name="_Toc66193440"/>
      <w:r>
        <w:rPr>
          <w:rFonts w:hint="cs"/>
          <w:rtl/>
        </w:rPr>
        <w:t>תי' הקצוה"ח דלגבי הע"א החוטף כגזלן ולכן כלפי הע"א אין כל מיגו והוא חשיב כשנים</w:t>
      </w:r>
      <w:bookmarkEnd w:id="17757"/>
      <w:bookmarkEnd w:id="17758"/>
      <w:bookmarkEnd w:id="17759"/>
      <w:bookmarkEnd w:id="17760"/>
      <w:bookmarkEnd w:id="17761"/>
      <w:bookmarkEnd w:id="17762"/>
      <w:bookmarkEnd w:id="17763"/>
      <w:bookmarkEnd w:id="17764"/>
    </w:p>
    <w:p w:rsidR="00E824D3" w:rsidRDefault="00E824D3" w:rsidP="007E4E81">
      <w:pPr>
        <w:pStyle w:val="a0"/>
        <w:rPr>
          <w:rtl/>
        </w:rPr>
      </w:pPr>
      <w:r>
        <w:rPr>
          <w:rFonts w:hint="cs"/>
          <w:rtl/>
        </w:rPr>
        <w:t xml:space="preserve">וכתב </w:t>
      </w:r>
      <w:r w:rsidRPr="003758BA">
        <w:rPr>
          <w:rStyle w:val="af9"/>
          <w:rFonts w:hint="cs"/>
          <w:rtl/>
        </w:rPr>
        <w:t>הקצוה"ח</w:t>
      </w:r>
      <w:r>
        <w:rPr>
          <w:rFonts w:hint="cs"/>
          <w:rtl/>
        </w:rPr>
        <w:t xml:space="preserve"> דכיון שהע"א ראה את החטיפה, ולגביו החוטף הוא כגזלן, א"כ כלפי העד אין כל מיגו, וכיון דכל הנאמנות שלו היא רק להכחיש את העד בשבועה, ואינו יכול להשבע להכחישו, א"כ הע"א נחשב כשנים, והמיגו לא מהני לו כלפי העד, כיון שכלפי העד אין לו כל מיגו, דהוא מעיד שהנסכא באה לידו בגזילה</w:t>
      </w:r>
      <w:r>
        <w:rPr>
          <w:rStyle w:val="af1"/>
          <w:rtl/>
        </w:rPr>
        <w:footnoteReference w:id="121"/>
      </w:r>
      <w:r>
        <w:rPr>
          <w:rFonts w:hint="cs"/>
          <w:rtl/>
        </w:rPr>
        <w:t xml:space="preserve">, ועי' במה שביאר </w:t>
      </w:r>
      <w:r w:rsidRPr="00CC1DF1">
        <w:rPr>
          <w:rStyle w:val="af9"/>
          <w:rFonts w:hint="cs"/>
          <w:rtl/>
        </w:rPr>
        <w:t xml:space="preserve">בחי' רבי נחום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Ref66116851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Pr>
          <w:rStyle w:val="af7"/>
          <w:rFonts w:eastAsia="Guttman Hodes"/>
          <w:rtl/>
        </w:rPr>
        <w:fldChar w:fldCharType="end"/>
      </w:r>
      <w:r>
        <w:rPr>
          <w:rFonts w:hint="cs"/>
          <w:rtl/>
        </w:rPr>
        <w:t xml:space="preserve"> בדברי </w:t>
      </w:r>
      <w:r w:rsidRPr="00706476">
        <w:rPr>
          <w:rStyle w:val="af9"/>
          <w:rFonts w:hint="cs"/>
          <w:rtl/>
        </w:rPr>
        <w:t>הקצוה"ח</w:t>
      </w:r>
      <w:r>
        <w:rPr>
          <w:rFonts w:hint="cs"/>
          <w:rtl/>
        </w:rPr>
        <w:t>.</w:t>
      </w:r>
    </w:p>
    <w:p w:rsidR="000E55D0" w:rsidRPr="000E55D0" w:rsidRDefault="000E55D0" w:rsidP="000E55D0">
      <w:pPr>
        <w:pStyle w:val="a3"/>
        <w:rPr>
          <w:rtl/>
        </w:rPr>
      </w:pPr>
    </w:p>
    <w:p w:rsidR="00C32C27" w:rsidRPr="00C32C27" w:rsidRDefault="00C32C27" w:rsidP="00C32C27">
      <w:pPr>
        <w:pStyle w:val="a3"/>
        <w:rPr>
          <w:rtl/>
        </w:rPr>
      </w:pPr>
    </w:p>
    <w:p w:rsidR="00E824D3" w:rsidRDefault="00E824D3" w:rsidP="00E824D3">
      <w:pPr>
        <w:pStyle w:val="afe"/>
        <w:rPr>
          <w:rtl/>
        </w:rPr>
      </w:pPr>
      <w:bookmarkStart w:id="17765" w:name="_Toc66048864"/>
      <w:bookmarkStart w:id="17766" w:name="_Toc66055820"/>
      <w:bookmarkStart w:id="17767" w:name="_Toc66085928"/>
      <w:bookmarkStart w:id="17768" w:name="_Toc66110490"/>
      <w:bookmarkStart w:id="17769" w:name="_Toc66123350"/>
      <w:bookmarkStart w:id="17770" w:name="_Toc66143798"/>
      <w:bookmarkStart w:id="17771" w:name="_Toc66171961"/>
      <w:bookmarkStart w:id="17772" w:name="_Toc66183201"/>
      <w:bookmarkStart w:id="17773" w:name="_Toc66185981"/>
      <w:bookmarkStart w:id="17774" w:name="_Toc66193441"/>
      <w:bookmarkEnd w:id="17573"/>
      <w:bookmarkEnd w:id="17574"/>
      <w:bookmarkEnd w:id="17575"/>
      <w:bookmarkEnd w:id="17576"/>
      <w:r>
        <w:rPr>
          <w:rFonts w:hint="cs"/>
          <w:rtl/>
        </w:rPr>
        <w:t>ד' ריב"ם דבשבועה דאו' לא נפטר במיגו</w:t>
      </w:r>
      <w:bookmarkEnd w:id="17765"/>
      <w:bookmarkEnd w:id="17766"/>
      <w:bookmarkEnd w:id="17767"/>
      <w:bookmarkEnd w:id="17768"/>
      <w:bookmarkEnd w:id="17769"/>
      <w:bookmarkEnd w:id="17770"/>
      <w:bookmarkEnd w:id="17771"/>
      <w:bookmarkEnd w:id="17772"/>
      <w:bookmarkEnd w:id="17773"/>
      <w:bookmarkEnd w:id="17774"/>
    </w:p>
    <w:p w:rsidR="00E824D3" w:rsidRDefault="00E824D3" w:rsidP="00E824D3">
      <w:pPr>
        <w:pStyle w:val="1"/>
        <w:rPr>
          <w:rtl/>
        </w:rPr>
      </w:pPr>
      <w:bookmarkStart w:id="17775" w:name="_Toc64925396"/>
      <w:bookmarkStart w:id="17776" w:name="_Toc65142874"/>
      <w:bookmarkStart w:id="17777" w:name="_Toc65185658"/>
      <w:bookmarkStart w:id="17778" w:name="_Toc65530005"/>
      <w:bookmarkStart w:id="17779" w:name="_Toc65748241"/>
      <w:bookmarkStart w:id="17780" w:name="_Toc65788179"/>
      <w:bookmarkStart w:id="17781" w:name="_Toc65839227"/>
      <w:bookmarkStart w:id="17782" w:name="_Toc66048865"/>
      <w:bookmarkStart w:id="17783" w:name="_Toc66055821"/>
      <w:bookmarkStart w:id="17784" w:name="_Toc66085929"/>
      <w:bookmarkStart w:id="17785" w:name="_Toc66110491"/>
      <w:bookmarkStart w:id="17786" w:name="_Toc66123351"/>
      <w:bookmarkStart w:id="17787" w:name="_Toc66143799"/>
      <w:bookmarkStart w:id="17788" w:name="_Toc66171962"/>
      <w:bookmarkStart w:id="17789" w:name="_Toc66183202"/>
      <w:bookmarkStart w:id="17790" w:name="_Toc66185982"/>
      <w:bookmarkStart w:id="17791" w:name="_Toc66193442"/>
      <w:r>
        <w:rPr>
          <w:rFonts w:hint="cs"/>
          <w:rtl/>
        </w:rPr>
        <w:t>תי' ריב"ם</w:t>
      </w:r>
      <w:bookmarkEnd w:id="17775"/>
      <w:bookmarkEnd w:id="17776"/>
      <w:bookmarkEnd w:id="17777"/>
      <w:bookmarkEnd w:id="17778"/>
      <w:bookmarkEnd w:id="17779"/>
      <w:bookmarkEnd w:id="17780"/>
      <w:bookmarkEnd w:id="17781"/>
      <w:bookmarkEnd w:id="17782"/>
      <w:bookmarkEnd w:id="17783"/>
      <w:bookmarkEnd w:id="17784"/>
      <w:r>
        <w:rPr>
          <w:rFonts w:hint="cs"/>
          <w:rtl/>
        </w:rPr>
        <w:t xml:space="preserve"> דלר"א כל שלא נשבע להחכישו ל"מ מיגו במקום ע"א</w:t>
      </w:r>
      <w:bookmarkEnd w:id="17785"/>
      <w:bookmarkEnd w:id="17786"/>
      <w:bookmarkEnd w:id="17787"/>
      <w:bookmarkEnd w:id="17788"/>
      <w:bookmarkEnd w:id="17789"/>
      <w:bookmarkEnd w:id="17790"/>
      <w:bookmarkEnd w:id="17791"/>
    </w:p>
    <w:p w:rsidR="00E824D3" w:rsidRDefault="00E824D3" w:rsidP="00E824D3">
      <w:pPr>
        <w:pStyle w:val="a3"/>
        <w:rPr>
          <w:rtl/>
        </w:rPr>
      </w:pPr>
      <w:bookmarkStart w:id="17792" w:name="_Toc66085930"/>
      <w:bookmarkStart w:id="17793" w:name="_Toc66110492"/>
      <w:bookmarkStart w:id="17794" w:name="_Toc66123352"/>
      <w:bookmarkStart w:id="17795" w:name="_Toc66143800"/>
      <w:bookmarkStart w:id="17796" w:name="_Toc66171963"/>
      <w:bookmarkStart w:id="17797" w:name="_Toc66183203"/>
      <w:bookmarkStart w:id="17798" w:name="_Toc66185983"/>
      <w:bookmarkStart w:id="17799" w:name="_Toc66193443"/>
      <w:r>
        <w:rPr>
          <w:rFonts w:hint="cs"/>
          <w:rtl/>
        </w:rPr>
        <w:t>ביאור הריב"ם דלרב ושמואל נאמן במיגו דלא חחטפי ולכן ל"א מתוך שאינו יכול לישבע משלם</w:t>
      </w:r>
      <w:bookmarkEnd w:id="17792"/>
      <w:bookmarkEnd w:id="17793"/>
      <w:bookmarkEnd w:id="17794"/>
      <w:bookmarkEnd w:id="17795"/>
      <w:bookmarkEnd w:id="17796"/>
      <w:bookmarkEnd w:id="17797"/>
      <w:bookmarkEnd w:id="17798"/>
      <w:bookmarkEnd w:id="17799"/>
    </w:p>
    <w:p w:rsidR="00E824D3" w:rsidRDefault="00E824D3" w:rsidP="007E4E81">
      <w:pPr>
        <w:pStyle w:val="a0"/>
        <w:rPr>
          <w:rtl/>
        </w:rPr>
      </w:pPr>
      <w:bookmarkStart w:id="17800" w:name="_Ref65795831"/>
      <w:r w:rsidRPr="00BB7321">
        <w:rPr>
          <w:rStyle w:val="af9"/>
          <w:rFonts w:hint="cs"/>
          <w:rtl/>
        </w:rPr>
        <w:t>וה</w:t>
      </w:r>
      <w:r w:rsidRPr="00BB7321">
        <w:rPr>
          <w:rStyle w:val="af9"/>
          <w:rtl/>
        </w:rPr>
        <w:t>ר</w:t>
      </w:r>
      <w:r>
        <w:rPr>
          <w:rStyle w:val="af9"/>
          <w:rtl/>
        </w:rPr>
        <w:t>יב"ם בתוס'</w:t>
      </w:r>
      <w:r>
        <w:rPr>
          <w:rFonts w:hint="cs"/>
          <w:rtl/>
        </w:rPr>
        <w:t xml:space="preserve"> </w:t>
      </w:r>
      <w:r w:rsidRPr="00662DFA">
        <w:rPr>
          <w:rStyle w:val="af7"/>
          <w:rFonts w:eastAsia="Guttman Hodes" w:hint="cs"/>
          <w:rtl/>
        </w:rPr>
        <w:t>(ד"ה הוי)</w:t>
      </w:r>
      <w:r>
        <w:rPr>
          <w:rFonts w:hint="cs"/>
          <w:rtl/>
        </w:rPr>
        <w:t xml:space="preserve"> כתב דבאמת לרב ושמואל בגמ' בשבועות הוא נאמן בשבועה דדידי חטפי, במיגו דהיה יכול לטעון לא חטפי ולהשבע, ולכן ס"ל לרב ושמואל דא"צ לשלם</w:t>
      </w:r>
      <w:bookmarkEnd w:id="17800"/>
      <w:r>
        <w:rPr>
          <w:rFonts w:hint="cs"/>
          <w:rtl/>
        </w:rPr>
        <w:t>.</w:t>
      </w:r>
    </w:p>
    <w:p w:rsidR="00E824D3" w:rsidRPr="00F651C8" w:rsidRDefault="00E824D3" w:rsidP="00E824D3">
      <w:pPr>
        <w:pStyle w:val="a3"/>
        <w:rPr>
          <w:rtl/>
        </w:rPr>
      </w:pPr>
    </w:p>
    <w:p w:rsidR="00E824D3" w:rsidRPr="00662DFA" w:rsidRDefault="00E824D3" w:rsidP="00E824D3">
      <w:pPr>
        <w:pStyle w:val="a3"/>
        <w:rPr>
          <w:rtl/>
        </w:rPr>
      </w:pPr>
      <w:bookmarkStart w:id="17801" w:name="_Toc66085931"/>
      <w:bookmarkStart w:id="17802" w:name="_Toc66110493"/>
      <w:bookmarkStart w:id="17803" w:name="_Toc66123353"/>
      <w:bookmarkStart w:id="17804" w:name="_Toc66143801"/>
      <w:bookmarkStart w:id="17805" w:name="_Toc66171964"/>
      <w:bookmarkStart w:id="17806" w:name="_Toc66183204"/>
      <w:bookmarkStart w:id="17807" w:name="_Toc66185984"/>
      <w:bookmarkStart w:id="17808" w:name="_Toc66193444"/>
      <w:r>
        <w:rPr>
          <w:rFonts w:hint="cs"/>
          <w:rtl/>
        </w:rPr>
        <w:t>תי' הריב"ם דלר"א כל שע"א מחייבו שבועה חייב להשבע להכחישו או לשלם ול"מ מיגו להפטר</w:t>
      </w:r>
      <w:bookmarkEnd w:id="17801"/>
      <w:bookmarkEnd w:id="17802"/>
      <w:bookmarkEnd w:id="17803"/>
      <w:bookmarkEnd w:id="17804"/>
      <w:bookmarkEnd w:id="17805"/>
      <w:bookmarkEnd w:id="17806"/>
      <w:bookmarkEnd w:id="17807"/>
      <w:bookmarkEnd w:id="17808"/>
    </w:p>
    <w:p w:rsidR="00E824D3" w:rsidRDefault="00E824D3" w:rsidP="007E4E81">
      <w:pPr>
        <w:pStyle w:val="a0"/>
        <w:rPr>
          <w:rtl/>
        </w:rPr>
      </w:pPr>
      <w:bookmarkStart w:id="17809" w:name="_Ref65513309"/>
      <w:r>
        <w:rPr>
          <w:rFonts w:hint="cs"/>
          <w:rtl/>
        </w:rPr>
        <w:t xml:space="preserve">אך כתב </w:t>
      </w:r>
      <w:r>
        <w:rPr>
          <w:rStyle w:val="af9"/>
          <w:rtl/>
        </w:rPr>
        <w:t>ריב"ם בתוס'</w:t>
      </w:r>
      <w:r>
        <w:rPr>
          <w:rFonts w:hint="cs"/>
          <w:rtl/>
        </w:rPr>
        <w:t xml:space="preserve"> דרבי אבא ס"ל דאעפ"י שיש לו מיגו, מ"מ הוא חייב לשלם, דכל שיש ע"א שמחייבו שבועה דאו', ואינו יכול להשבע משלם, דכיון שהוא חייב בשבועה דאו', צריך או להשבע להכחיש את העד, או לשלם, ולא מהני לו מיגו להפטר, ועי' במה שנחלקו </w:t>
      </w:r>
      <w:r w:rsidRPr="000F67ED">
        <w:rPr>
          <w:rStyle w:val="af9"/>
          <w:rFonts w:hint="cs"/>
          <w:rtl/>
        </w:rPr>
        <w:t>הש"ך</w:t>
      </w:r>
      <w:r>
        <w:rPr>
          <w:rFonts w:hint="cs"/>
          <w:rtl/>
        </w:rPr>
        <w:t xml:space="preserve"> </w:t>
      </w:r>
      <w:r w:rsidRPr="000F67ED">
        <w:rPr>
          <w:rStyle w:val="af9"/>
          <w:rFonts w:hint="cs"/>
          <w:rtl/>
        </w:rPr>
        <w:t>והאמרי ברוך</w:t>
      </w:r>
      <w:r>
        <w:rPr>
          <w:rFonts w:hint="cs"/>
          <w:rtl/>
        </w:rPr>
        <w:t xml:space="preserve"> </w:t>
      </w:r>
      <w:r w:rsidRPr="00F53279">
        <w:rPr>
          <w:rStyle w:val="af7"/>
          <w:rFonts w:eastAsia="Guttman Hodes" w:hint="cs"/>
          <w:rtl/>
        </w:rPr>
        <w:t xml:space="preserve">(עי' אות </w:t>
      </w:r>
      <w:r w:rsidRPr="00F53279">
        <w:rPr>
          <w:rStyle w:val="af7"/>
          <w:rFonts w:eastAsia="Guttman Hodes"/>
          <w:rtl/>
        </w:rPr>
        <w:fldChar w:fldCharType="begin"/>
      </w:r>
      <w:r w:rsidRPr="00F53279">
        <w:rPr>
          <w:rStyle w:val="af7"/>
          <w:rFonts w:eastAsia="Guttman Hodes"/>
          <w:rtl/>
        </w:rPr>
        <w:instrText xml:space="preserve"> </w:instrText>
      </w:r>
      <w:r w:rsidRPr="00F53279">
        <w:rPr>
          <w:rStyle w:val="af7"/>
          <w:rFonts w:eastAsia="Guttman Hodes" w:hint="cs"/>
        </w:rPr>
        <w:instrText>REF</w:instrText>
      </w:r>
      <w:r w:rsidRPr="00F53279">
        <w:rPr>
          <w:rStyle w:val="af7"/>
          <w:rFonts w:eastAsia="Guttman Hodes" w:hint="cs"/>
          <w:rtl/>
        </w:rPr>
        <w:instrText xml:space="preserve"> _</w:instrText>
      </w:r>
      <w:r w:rsidRPr="00F53279">
        <w:rPr>
          <w:rStyle w:val="af7"/>
          <w:rFonts w:eastAsia="Guttman Hodes" w:hint="cs"/>
        </w:rPr>
        <w:instrText>Ref66107553 \r \h</w:instrText>
      </w:r>
      <w:r w:rsidRPr="00F53279">
        <w:rPr>
          <w:rStyle w:val="af7"/>
          <w:rFonts w:eastAsia="Guttman Hodes"/>
          <w:rtl/>
        </w:rPr>
        <w:instrText xml:space="preserve"> </w:instrText>
      </w:r>
      <w:r w:rsidRPr="00F53279">
        <w:rPr>
          <w:rStyle w:val="af7"/>
          <w:rFonts w:eastAsia="Guttman Hodes"/>
          <w:rtl/>
        </w:rPr>
      </w:r>
      <w:r w:rsidRPr="00F53279">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F53279">
        <w:rPr>
          <w:rStyle w:val="af7"/>
          <w:rFonts w:eastAsia="Guttman Hodes"/>
          <w:rtl/>
        </w:rPr>
        <w:fldChar w:fldCharType="end"/>
      </w:r>
      <w:r>
        <w:rPr>
          <w:rFonts w:hint="cs"/>
          <w:rtl/>
        </w:rPr>
        <w:t xml:space="preserve"> בדעת </w:t>
      </w:r>
      <w:r>
        <w:rPr>
          <w:rStyle w:val="af9"/>
          <w:rFonts w:hint="cs"/>
          <w:rtl/>
        </w:rPr>
        <w:t>הריב"ם</w:t>
      </w:r>
      <w:r>
        <w:rPr>
          <w:rFonts w:hint="cs"/>
          <w:rtl/>
        </w:rPr>
        <w:t xml:space="preserve">, ועי' במה שביארו </w:t>
      </w:r>
      <w:r>
        <w:rPr>
          <w:rStyle w:val="af9"/>
          <w:rFonts w:hint="cs"/>
          <w:rtl/>
        </w:rPr>
        <w:t xml:space="preserve">בחי' הרי"ם </w:t>
      </w:r>
      <w:r w:rsidRPr="00231919">
        <w:rPr>
          <w:rStyle w:val="af7"/>
          <w:rFonts w:eastAsia="Guttman Hodes" w:hint="cs"/>
          <w:rtl/>
        </w:rPr>
        <w:t xml:space="preserve">(עי' אות </w:t>
      </w:r>
      <w:r w:rsidRPr="00231919">
        <w:rPr>
          <w:rStyle w:val="af7"/>
          <w:rFonts w:eastAsia="Guttman Hodes"/>
          <w:rtl/>
        </w:rPr>
        <w:fldChar w:fldCharType="begin"/>
      </w:r>
      <w:r w:rsidRPr="00231919">
        <w:rPr>
          <w:rStyle w:val="af7"/>
          <w:rFonts w:eastAsia="Guttman Hodes"/>
          <w:rtl/>
        </w:rPr>
        <w:instrText xml:space="preserve"> </w:instrText>
      </w:r>
      <w:r w:rsidRPr="00231919">
        <w:rPr>
          <w:rStyle w:val="af7"/>
          <w:rFonts w:eastAsia="Guttman Hodes" w:hint="cs"/>
        </w:rPr>
        <w:instrText>REF</w:instrText>
      </w:r>
      <w:r w:rsidRPr="00231919">
        <w:rPr>
          <w:rStyle w:val="af7"/>
          <w:rFonts w:eastAsia="Guttman Hodes" w:hint="cs"/>
          <w:rtl/>
        </w:rPr>
        <w:instrText xml:space="preserve"> _</w:instrText>
      </w:r>
      <w:r w:rsidRPr="00231919">
        <w:rPr>
          <w:rStyle w:val="af7"/>
          <w:rFonts w:eastAsia="Guttman Hodes" w:hint="cs"/>
        </w:rPr>
        <w:instrText>Ref66116161 \r \h</w:instrText>
      </w:r>
      <w:r w:rsidRPr="00231919">
        <w:rPr>
          <w:rStyle w:val="af7"/>
          <w:rFonts w:eastAsia="Guttman Hodes"/>
          <w:rtl/>
        </w:rPr>
        <w:instrText xml:space="preserve"> </w:instrText>
      </w:r>
      <w:r w:rsidRPr="00231919">
        <w:rPr>
          <w:rStyle w:val="af7"/>
          <w:rFonts w:eastAsia="Guttman Hodes"/>
          <w:rtl/>
        </w:rPr>
      </w:r>
      <w:r w:rsidRPr="00231919">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231919">
        <w:rPr>
          <w:rStyle w:val="af7"/>
          <w:rFonts w:eastAsia="Guttman Hodes"/>
          <w:rtl/>
        </w:rPr>
        <w:fldChar w:fldCharType="end"/>
      </w:r>
      <w:r>
        <w:rPr>
          <w:rStyle w:val="af9"/>
          <w:rFonts w:hint="cs"/>
          <w:rtl/>
        </w:rPr>
        <w:t xml:space="preserve"> ובברכ"ש </w:t>
      </w:r>
      <w:r w:rsidRPr="00DA335F">
        <w:rPr>
          <w:rStyle w:val="af7"/>
          <w:rFonts w:eastAsia="Guttman Hodes" w:hint="cs"/>
          <w:rtl/>
        </w:rPr>
        <w:t xml:space="preserve">(עי' אות </w:t>
      </w:r>
      <w:r w:rsidRPr="00DA335F">
        <w:rPr>
          <w:rStyle w:val="af7"/>
          <w:rFonts w:eastAsia="Guttman Hodes"/>
          <w:rtl/>
        </w:rPr>
        <w:fldChar w:fldCharType="begin"/>
      </w:r>
      <w:r w:rsidRPr="00DA335F">
        <w:rPr>
          <w:rStyle w:val="af7"/>
          <w:rFonts w:eastAsia="Guttman Hodes"/>
          <w:rtl/>
        </w:rPr>
        <w:instrText xml:space="preserve"> </w:instrText>
      </w:r>
      <w:r w:rsidRPr="00DA335F">
        <w:rPr>
          <w:rStyle w:val="af7"/>
          <w:rFonts w:eastAsia="Guttman Hodes" w:hint="cs"/>
        </w:rPr>
        <w:instrText>REF</w:instrText>
      </w:r>
      <w:r w:rsidRPr="00DA335F">
        <w:rPr>
          <w:rStyle w:val="af7"/>
          <w:rFonts w:eastAsia="Guttman Hodes" w:hint="cs"/>
          <w:rtl/>
        </w:rPr>
        <w:instrText xml:space="preserve"> _</w:instrText>
      </w:r>
      <w:r w:rsidRPr="00DA335F">
        <w:rPr>
          <w:rStyle w:val="af7"/>
          <w:rFonts w:eastAsia="Guttman Hodes" w:hint="cs"/>
        </w:rPr>
        <w:instrText>Ref66130004 \r \h</w:instrText>
      </w:r>
      <w:r w:rsidRPr="00DA335F">
        <w:rPr>
          <w:rStyle w:val="af7"/>
          <w:rFonts w:eastAsia="Guttman Hodes"/>
          <w:rtl/>
        </w:rPr>
        <w:instrText xml:space="preserve"> </w:instrText>
      </w:r>
      <w:r w:rsidRPr="00DA335F">
        <w:rPr>
          <w:rStyle w:val="af7"/>
          <w:rFonts w:eastAsia="Guttman Hodes"/>
          <w:rtl/>
        </w:rPr>
      </w:r>
      <w:r w:rsidRPr="00DA335F">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DA335F">
        <w:rPr>
          <w:rStyle w:val="af7"/>
          <w:rFonts w:eastAsia="Guttman Hodes"/>
          <w:rtl/>
        </w:rPr>
        <w:fldChar w:fldCharType="end"/>
      </w:r>
      <w:r>
        <w:rPr>
          <w:rStyle w:val="af9"/>
          <w:rFonts w:hint="cs"/>
          <w:rtl/>
        </w:rPr>
        <w:t xml:space="preserve"> ו</w:t>
      </w:r>
      <w:r w:rsidRPr="009C7CB5">
        <w:rPr>
          <w:rStyle w:val="af9"/>
          <w:rFonts w:hint="cs"/>
          <w:rtl/>
        </w:rPr>
        <w:t xml:space="preserve">בחי' הגרש"ש </w:t>
      </w:r>
      <w:r w:rsidRPr="009C7CB5">
        <w:rPr>
          <w:rStyle w:val="af7"/>
          <w:rFonts w:eastAsia="Guttman Hodes" w:hint="cs"/>
          <w:rtl/>
        </w:rPr>
        <w:t xml:space="preserve">(עי' אות </w:t>
      </w:r>
      <w:r w:rsidRPr="009C7CB5">
        <w:rPr>
          <w:rStyle w:val="af7"/>
          <w:rFonts w:eastAsia="Guttman Hodes"/>
          <w:rtl/>
        </w:rPr>
        <w:fldChar w:fldCharType="begin"/>
      </w:r>
      <w:r w:rsidRPr="009C7CB5">
        <w:rPr>
          <w:rStyle w:val="af7"/>
          <w:rFonts w:eastAsia="Guttman Hodes"/>
          <w:rtl/>
        </w:rPr>
        <w:instrText xml:space="preserve"> </w:instrText>
      </w:r>
      <w:r w:rsidRPr="009C7CB5">
        <w:rPr>
          <w:rStyle w:val="af7"/>
          <w:rFonts w:eastAsia="Guttman Hodes" w:hint="cs"/>
        </w:rPr>
        <w:instrText>REF</w:instrText>
      </w:r>
      <w:r w:rsidRPr="009C7CB5">
        <w:rPr>
          <w:rStyle w:val="af7"/>
          <w:rFonts w:eastAsia="Guttman Hodes" w:hint="cs"/>
          <w:rtl/>
        </w:rPr>
        <w:instrText xml:space="preserve"> _</w:instrText>
      </w:r>
      <w:r w:rsidRPr="009C7CB5">
        <w:rPr>
          <w:rStyle w:val="af7"/>
          <w:rFonts w:eastAsia="Guttman Hodes" w:hint="cs"/>
        </w:rPr>
        <w:instrText>Ref66034075 \r \h</w:instrText>
      </w:r>
      <w:r w:rsidRPr="009C7CB5">
        <w:rPr>
          <w:rStyle w:val="af7"/>
          <w:rFonts w:eastAsia="Guttman Hodes"/>
          <w:rtl/>
        </w:rPr>
        <w:instrText xml:space="preserve"> </w:instrText>
      </w:r>
      <w:r w:rsidRPr="009C7CB5">
        <w:rPr>
          <w:rStyle w:val="af7"/>
          <w:rFonts w:eastAsia="Guttman Hodes"/>
          <w:rtl/>
        </w:rPr>
      </w:r>
      <w:r w:rsidRPr="009C7CB5">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9C7CB5">
        <w:rPr>
          <w:rStyle w:val="af7"/>
          <w:rFonts w:eastAsia="Guttman Hodes"/>
          <w:rtl/>
        </w:rPr>
        <w:fldChar w:fldCharType="end"/>
      </w:r>
      <w:r>
        <w:rPr>
          <w:rFonts w:hint="cs"/>
          <w:rtl/>
        </w:rPr>
        <w:t xml:space="preserve"> </w:t>
      </w:r>
      <w:r w:rsidRPr="009C7CB5">
        <w:rPr>
          <w:rStyle w:val="af9"/>
          <w:rFonts w:hint="cs"/>
          <w:rtl/>
        </w:rPr>
        <w:t>ובקוב"ש</w:t>
      </w:r>
      <w:r>
        <w:rPr>
          <w:rFonts w:hint="cs"/>
          <w:rtl/>
        </w:rPr>
        <w:t xml:space="preserve"> </w:t>
      </w:r>
      <w:r w:rsidRPr="009C7CB5">
        <w:rPr>
          <w:rStyle w:val="af7"/>
          <w:rFonts w:eastAsia="Guttman Hodes" w:hint="cs"/>
          <w:rtl/>
        </w:rPr>
        <w:t xml:space="preserve">(עי' אות </w:t>
      </w:r>
      <w:r w:rsidRPr="009C7CB5">
        <w:rPr>
          <w:rStyle w:val="af7"/>
          <w:rFonts w:eastAsia="Guttman Hodes"/>
          <w:rtl/>
        </w:rPr>
        <w:fldChar w:fldCharType="begin"/>
      </w:r>
      <w:r w:rsidRPr="009C7CB5">
        <w:rPr>
          <w:rStyle w:val="af7"/>
          <w:rFonts w:eastAsia="Guttman Hodes"/>
          <w:rtl/>
        </w:rPr>
        <w:instrText xml:space="preserve"> </w:instrText>
      </w:r>
      <w:r w:rsidRPr="009C7CB5">
        <w:rPr>
          <w:rStyle w:val="af7"/>
          <w:rFonts w:eastAsia="Guttman Hodes" w:hint="cs"/>
        </w:rPr>
        <w:instrText>REF</w:instrText>
      </w:r>
      <w:r w:rsidRPr="009C7CB5">
        <w:rPr>
          <w:rStyle w:val="af7"/>
          <w:rFonts w:eastAsia="Guttman Hodes" w:hint="cs"/>
          <w:rtl/>
        </w:rPr>
        <w:instrText xml:space="preserve"> _</w:instrText>
      </w:r>
      <w:r w:rsidRPr="009C7CB5">
        <w:rPr>
          <w:rStyle w:val="af7"/>
          <w:rFonts w:eastAsia="Guttman Hodes" w:hint="cs"/>
        </w:rPr>
        <w:instrText>Ref66013473 \r \h</w:instrText>
      </w:r>
      <w:r w:rsidRPr="009C7CB5">
        <w:rPr>
          <w:rStyle w:val="af7"/>
          <w:rFonts w:eastAsia="Guttman Hodes"/>
          <w:rtl/>
        </w:rPr>
        <w:instrText xml:space="preserve"> </w:instrText>
      </w:r>
      <w:r w:rsidRPr="009C7CB5">
        <w:rPr>
          <w:rStyle w:val="af7"/>
          <w:rFonts w:eastAsia="Guttman Hodes"/>
          <w:rtl/>
        </w:rPr>
      </w:r>
      <w:r w:rsidRPr="009C7CB5">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sidRPr="009C7CB5">
        <w:rPr>
          <w:rStyle w:val="af7"/>
          <w:rFonts w:eastAsia="Guttman Hodes"/>
          <w:rtl/>
        </w:rPr>
        <w:fldChar w:fldCharType="end"/>
      </w:r>
      <w:r>
        <w:rPr>
          <w:rFonts w:hint="cs"/>
          <w:rtl/>
        </w:rPr>
        <w:t xml:space="preserve"> </w:t>
      </w:r>
      <w:r>
        <w:rPr>
          <w:rStyle w:val="af9"/>
          <w:rFonts w:hint="cs"/>
          <w:rtl/>
        </w:rPr>
        <w:t>ו</w:t>
      </w:r>
      <w:r w:rsidRPr="00AF0A0B">
        <w:rPr>
          <w:rStyle w:val="af9"/>
          <w:rFonts w:hint="cs"/>
          <w:rtl/>
        </w:rPr>
        <w:t>בחי' רבי נחום</w:t>
      </w:r>
      <w:r>
        <w:rPr>
          <w:rFonts w:hint="cs"/>
          <w:rtl/>
        </w:rPr>
        <w:t xml:space="preserve"> </w:t>
      </w:r>
      <w:r w:rsidRPr="00AF0A0B">
        <w:rPr>
          <w:rStyle w:val="af7"/>
          <w:rFonts w:eastAsia="Guttman Hodes" w:hint="cs"/>
          <w:rtl/>
        </w:rPr>
        <w:t xml:space="preserve">(עי' אות </w:t>
      </w:r>
      <w:r w:rsidRPr="00AF0A0B">
        <w:rPr>
          <w:rStyle w:val="af7"/>
          <w:rFonts w:eastAsia="Guttman Hodes"/>
          <w:rtl/>
        </w:rPr>
        <w:fldChar w:fldCharType="begin"/>
      </w:r>
      <w:r w:rsidRPr="00AF0A0B">
        <w:rPr>
          <w:rStyle w:val="af7"/>
          <w:rFonts w:eastAsia="Guttman Hodes"/>
          <w:rtl/>
        </w:rPr>
        <w:instrText xml:space="preserve"> </w:instrText>
      </w:r>
      <w:r w:rsidRPr="00AF0A0B">
        <w:rPr>
          <w:rStyle w:val="af7"/>
          <w:rFonts w:eastAsia="Guttman Hodes" w:hint="cs"/>
        </w:rPr>
        <w:instrText>REF</w:instrText>
      </w:r>
      <w:r w:rsidRPr="00AF0A0B">
        <w:rPr>
          <w:rStyle w:val="af7"/>
          <w:rFonts w:eastAsia="Guttman Hodes" w:hint="cs"/>
          <w:rtl/>
        </w:rPr>
        <w:instrText xml:space="preserve"> _</w:instrText>
      </w:r>
      <w:r w:rsidRPr="00AF0A0B">
        <w:rPr>
          <w:rStyle w:val="af7"/>
          <w:rFonts w:eastAsia="Guttman Hodes" w:hint="cs"/>
        </w:rPr>
        <w:instrText>Ref66133994 \r \h</w:instrText>
      </w:r>
      <w:r w:rsidRPr="00AF0A0B">
        <w:rPr>
          <w:rStyle w:val="af7"/>
          <w:rFonts w:eastAsia="Guttman Hodes"/>
          <w:rtl/>
        </w:rPr>
        <w:instrText xml:space="preserve"> </w:instrText>
      </w:r>
      <w:r w:rsidRPr="00AF0A0B">
        <w:rPr>
          <w:rStyle w:val="af7"/>
          <w:rFonts w:eastAsia="Guttman Hodes"/>
          <w:rtl/>
        </w:rPr>
      </w:r>
      <w:r w:rsidRPr="00AF0A0B">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AF0A0B">
        <w:rPr>
          <w:rStyle w:val="af7"/>
          <w:rFonts w:eastAsia="Guttman Hodes"/>
          <w:rtl/>
        </w:rPr>
        <w:fldChar w:fldCharType="end"/>
      </w:r>
      <w:r>
        <w:rPr>
          <w:rFonts w:hint="cs"/>
          <w:rtl/>
        </w:rPr>
        <w:t xml:space="preserve"> </w:t>
      </w:r>
      <w:r>
        <w:rPr>
          <w:rStyle w:val="af9"/>
          <w:rFonts w:hint="cs"/>
          <w:rtl/>
        </w:rPr>
        <w:t>וב</w:t>
      </w:r>
      <w:r w:rsidRPr="00F3578D">
        <w:rPr>
          <w:rStyle w:val="af9"/>
          <w:rFonts w:hint="cs"/>
          <w:rtl/>
        </w:rPr>
        <w:t>אבהא"ז</w:t>
      </w:r>
      <w:r w:rsidRPr="009C2396">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Ref66186718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w:t>
      </w:r>
      <w:r>
        <w:rPr>
          <w:rStyle w:val="af7"/>
          <w:rFonts w:eastAsia="Guttman Hodes"/>
          <w:rtl/>
        </w:rPr>
        <w:fldChar w:fldCharType="end"/>
      </w:r>
      <w:r>
        <w:rPr>
          <w:rStyle w:val="af7"/>
          <w:rFonts w:eastAsia="Guttman Hodes" w:hint="cs"/>
          <w:rtl/>
        </w:rPr>
        <w:t xml:space="preserve"> </w:t>
      </w:r>
      <w:r>
        <w:rPr>
          <w:rFonts w:hint="cs"/>
          <w:rtl/>
        </w:rPr>
        <w:t xml:space="preserve">בדברי </w:t>
      </w:r>
      <w:r w:rsidRPr="00F27ABE">
        <w:rPr>
          <w:rStyle w:val="af9"/>
          <w:rFonts w:hint="cs"/>
          <w:rtl/>
        </w:rPr>
        <w:t>הריב"ם</w:t>
      </w:r>
      <w:r>
        <w:rPr>
          <w:rFonts w:hint="cs"/>
          <w:rtl/>
        </w:rPr>
        <w:t>.</w:t>
      </w:r>
      <w:bookmarkEnd w:id="17809"/>
    </w:p>
    <w:p w:rsidR="00E824D3" w:rsidRDefault="00E824D3" w:rsidP="00E824D3">
      <w:pPr>
        <w:pStyle w:val="a3"/>
        <w:rPr>
          <w:rtl/>
        </w:rPr>
      </w:pPr>
      <w:bookmarkStart w:id="17810" w:name="_Toc66110494"/>
      <w:bookmarkStart w:id="17811" w:name="_Toc66123354"/>
      <w:bookmarkStart w:id="17812" w:name="_Toc66143802"/>
      <w:bookmarkStart w:id="17813" w:name="_Toc66171965"/>
      <w:bookmarkStart w:id="17814" w:name="_Toc66183205"/>
      <w:bookmarkStart w:id="17815" w:name="_Toc66185985"/>
      <w:bookmarkStart w:id="17816" w:name="_Toc66193445"/>
      <w:r>
        <w:rPr>
          <w:rFonts w:hint="cs"/>
          <w:rtl/>
        </w:rPr>
        <w:t>ביאור הרשב"א בריב"ם דשבועה היא תשלומין כבממון בעדים ובע"א נפטר מלשלם ע"י שבועה</w:t>
      </w:r>
      <w:bookmarkEnd w:id="17810"/>
      <w:bookmarkEnd w:id="17811"/>
      <w:bookmarkEnd w:id="17812"/>
      <w:bookmarkEnd w:id="17813"/>
      <w:bookmarkEnd w:id="17814"/>
      <w:bookmarkEnd w:id="17815"/>
      <w:bookmarkEnd w:id="17816"/>
    </w:p>
    <w:p w:rsidR="00E824D3" w:rsidRDefault="00E824D3" w:rsidP="007E4E81">
      <w:pPr>
        <w:pStyle w:val="a0"/>
        <w:rPr>
          <w:rtl/>
        </w:rPr>
      </w:pPr>
      <w:bookmarkStart w:id="17817" w:name="_Ref66036200"/>
      <w:r>
        <w:rPr>
          <w:rFonts w:hint="cs"/>
          <w:rtl/>
        </w:rPr>
        <w:t xml:space="preserve">וביאר </w:t>
      </w:r>
      <w:r>
        <w:rPr>
          <w:rStyle w:val="af9"/>
          <w:rtl/>
        </w:rPr>
        <w:t xml:space="preserve">הרשב"א </w:t>
      </w:r>
      <w:r w:rsidRPr="00654918">
        <w:rPr>
          <w:rStyle w:val="af7"/>
          <w:rFonts w:eastAsia="Guttman Hodes" w:hint="cs"/>
          <w:rtl/>
        </w:rPr>
        <w:t>(ד"ה וא"ת)</w:t>
      </w:r>
      <w:r>
        <w:rPr>
          <w:rFonts w:hint="cs"/>
          <w:rtl/>
        </w:rPr>
        <w:t xml:space="preserve"> בשם </w:t>
      </w:r>
      <w:r>
        <w:rPr>
          <w:rStyle w:val="af9"/>
          <w:rtl/>
        </w:rPr>
        <w:t>הריב"ם</w:t>
      </w:r>
      <w:r>
        <w:rPr>
          <w:rFonts w:hint="cs"/>
          <w:rtl/>
        </w:rPr>
        <w:t xml:space="preserve"> דשבועה של ע"א היא תשלומין, דכיון שכשיש ב' עדים אינו נפטר מלשלם אף כשנשבע, א"כ כשיש רק ע"א פטרתו תורה מתשלומי ממון רק כשהוא נשבע, ולכן כל שיש ע"א הוא צריך או להשבע או לשלם, וכל שלא נשבע, אינו נפטר מעדות הע"א, וכתב </w:t>
      </w:r>
      <w:r>
        <w:rPr>
          <w:rStyle w:val="af9"/>
          <w:rtl/>
        </w:rPr>
        <w:t>הרשב"א</w:t>
      </w:r>
      <w:r>
        <w:rPr>
          <w:rFonts w:hint="cs"/>
          <w:rtl/>
        </w:rPr>
        <w:t xml:space="preserve"> דביאור </w:t>
      </w:r>
      <w:r>
        <w:rPr>
          <w:rStyle w:val="af9"/>
          <w:rtl/>
        </w:rPr>
        <w:t>הריב"ם</w:t>
      </w:r>
      <w:r>
        <w:rPr>
          <w:rFonts w:hint="cs"/>
          <w:rtl/>
        </w:rPr>
        <w:t xml:space="preserve"> הוא נכון, ועי' במה שביארו </w:t>
      </w:r>
      <w:r>
        <w:rPr>
          <w:rStyle w:val="af9"/>
          <w:rFonts w:hint="cs"/>
          <w:rtl/>
        </w:rPr>
        <w:t xml:space="preserve">האמרי ברוך </w:t>
      </w:r>
      <w:r w:rsidRPr="00654918">
        <w:rPr>
          <w:rStyle w:val="af7"/>
          <w:rFonts w:eastAsia="Guttman Hodes" w:hint="cs"/>
          <w:rtl/>
        </w:rPr>
        <w:t xml:space="preserve">(עי' אות </w:t>
      </w:r>
      <w:r w:rsidRPr="00654918">
        <w:rPr>
          <w:rStyle w:val="af7"/>
          <w:rFonts w:eastAsia="Guttman Hodes"/>
          <w:rtl/>
        </w:rPr>
        <w:fldChar w:fldCharType="begin"/>
      </w:r>
      <w:r w:rsidRPr="00654918">
        <w:rPr>
          <w:rStyle w:val="af7"/>
          <w:rFonts w:eastAsia="Guttman Hodes"/>
          <w:rtl/>
        </w:rPr>
        <w:instrText xml:space="preserve"> </w:instrText>
      </w:r>
      <w:r w:rsidRPr="00654918">
        <w:rPr>
          <w:rStyle w:val="af7"/>
          <w:rFonts w:eastAsia="Guttman Hodes" w:hint="cs"/>
        </w:rPr>
        <w:instrText>REF</w:instrText>
      </w:r>
      <w:r w:rsidRPr="00654918">
        <w:rPr>
          <w:rStyle w:val="af7"/>
          <w:rFonts w:eastAsia="Guttman Hodes" w:hint="cs"/>
          <w:rtl/>
        </w:rPr>
        <w:instrText xml:space="preserve"> _</w:instrText>
      </w:r>
      <w:r w:rsidRPr="00654918">
        <w:rPr>
          <w:rStyle w:val="af7"/>
          <w:rFonts w:eastAsia="Guttman Hodes" w:hint="cs"/>
        </w:rPr>
        <w:instrText>Ref66109120 \r \h</w:instrText>
      </w:r>
      <w:r w:rsidRPr="00654918">
        <w:rPr>
          <w:rStyle w:val="af7"/>
          <w:rFonts w:eastAsia="Guttman Hodes"/>
          <w:rtl/>
        </w:rPr>
        <w:instrText xml:space="preserve"> </w:instrText>
      </w:r>
      <w:r w:rsidRPr="00654918">
        <w:rPr>
          <w:rStyle w:val="af7"/>
          <w:rFonts w:eastAsia="Guttman Hodes"/>
          <w:rtl/>
        </w:rPr>
      </w:r>
      <w:r w:rsidRPr="00654918">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654918">
        <w:rPr>
          <w:rStyle w:val="af7"/>
          <w:rFonts w:eastAsia="Guttman Hodes"/>
          <w:rtl/>
        </w:rPr>
        <w:fldChar w:fldCharType="end"/>
      </w:r>
      <w:r w:rsidRPr="00654918">
        <w:rPr>
          <w:rStyle w:val="af7"/>
          <w:rFonts w:eastAsia="Guttman Hodes" w:hint="cs"/>
          <w:rtl/>
        </w:rPr>
        <w:t xml:space="preserve"> </w:t>
      </w:r>
      <w:r>
        <w:rPr>
          <w:rStyle w:val="af9"/>
          <w:rFonts w:hint="cs"/>
          <w:rtl/>
        </w:rPr>
        <w:t>ו</w:t>
      </w:r>
      <w:r w:rsidRPr="00C31290">
        <w:rPr>
          <w:rStyle w:val="af9"/>
          <w:rFonts w:hint="cs"/>
          <w:rtl/>
        </w:rPr>
        <w:t>בחי' הגרש"ש</w:t>
      </w:r>
      <w:r>
        <w:rPr>
          <w:rFonts w:hint="cs"/>
          <w:rtl/>
        </w:rPr>
        <w:t xml:space="preserve"> </w:t>
      </w:r>
      <w:r w:rsidRPr="00654918">
        <w:rPr>
          <w:rStyle w:val="af7"/>
          <w:rFonts w:eastAsia="Guttman Hodes" w:hint="cs"/>
          <w:rtl/>
        </w:rPr>
        <w:t xml:space="preserve">(עי' אות </w:t>
      </w:r>
      <w:r w:rsidRPr="00654918">
        <w:rPr>
          <w:rStyle w:val="af7"/>
          <w:rFonts w:eastAsia="Guttman Hodes"/>
          <w:rtl/>
        </w:rPr>
        <w:fldChar w:fldCharType="begin"/>
      </w:r>
      <w:r w:rsidRPr="00654918">
        <w:rPr>
          <w:rStyle w:val="af7"/>
          <w:rFonts w:eastAsia="Guttman Hodes"/>
          <w:rtl/>
        </w:rPr>
        <w:instrText xml:space="preserve"> </w:instrText>
      </w:r>
      <w:r w:rsidRPr="00654918">
        <w:rPr>
          <w:rStyle w:val="af7"/>
          <w:rFonts w:eastAsia="Guttman Hodes" w:hint="cs"/>
        </w:rPr>
        <w:instrText>REF</w:instrText>
      </w:r>
      <w:r w:rsidRPr="00654918">
        <w:rPr>
          <w:rStyle w:val="af7"/>
          <w:rFonts w:eastAsia="Guttman Hodes" w:hint="cs"/>
          <w:rtl/>
        </w:rPr>
        <w:instrText xml:space="preserve"> _</w:instrText>
      </w:r>
      <w:r w:rsidRPr="00654918">
        <w:rPr>
          <w:rStyle w:val="af7"/>
          <w:rFonts w:eastAsia="Guttman Hodes" w:hint="cs"/>
        </w:rPr>
        <w:instrText>Ref66036187 \r \h</w:instrText>
      </w:r>
      <w:r w:rsidRPr="00654918">
        <w:rPr>
          <w:rStyle w:val="af7"/>
          <w:rFonts w:eastAsia="Guttman Hodes"/>
          <w:rtl/>
        </w:rPr>
        <w:instrText xml:space="preserve"> </w:instrText>
      </w:r>
      <w:r w:rsidRPr="00654918">
        <w:rPr>
          <w:rStyle w:val="af7"/>
          <w:rFonts w:eastAsia="Guttman Hodes"/>
          <w:rtl/>
        </w:rPr>
      </w:r>
      <w:r w:rsidRPr="00654918">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sidRPr="00654918">
        <w:rPr>
          <w:rStyle w:val="af7"/>
          <w:rFonts w:eastAsia="Guttman Hodes"/>
          <w:rtl/>
        </w:rPr>
        <w:fldChar w:fldCharType="end"/>
      </w:r>
      <w:r>
        <w:rPr>
          <w:rFonts w:hint="cs"/>
          <w:rtl/>
        </w:rPr>
        <w:t xml:space="preserve"> </w:t>
      </w:r>
      <w:r>
        <w:rPr>
          <w:rStyle w:val="af9"/>
          <w:rFonts w:hint="cs"/>
          <w:rtl/>
        </w:rPr>
        <w:t>ו</w:t>
      </w:r>
      <w:r w:rsidRPr="00AF0A0B">
        <w:rPr>
          <w:rStyle w:val="af9"/>
          <w:rFonts w:hint="cs"/>
          <w:rtl/>
        </w:rPr>
        <w:t>בחי' רבי נחום</w:t>
      </w:r>
      <w:r>
        <w:rPr>
          <w:rFonts w:hint="cs"/>
          <w:rtl/>
        </w:rPr>
        <w:t xml:space="preserve"> </w:t>
      </w:r>
      <w:r w:rsidRPr="00654918">
        <w:rPr>
          <w:rStyle w:val="af7"/>
          <w:rFonts w:eastAsia="Guttman Hodes" w:hint="cs"/>
          <w:rtl/>
        </w:rPr>
        <w:t>(עי' הערה</w:t>
      </w:r>
      <w:r>
        <w:rPr>
          <w:vertAlign w:val="superscript"/>
          <w:rtl/>
        </w:rPr>
        <w:fldChar w:fldCharType="begin"/>
      </w:r>
      <w:r>
        <w:rPr>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Ref66182833 \h</w:instrText>
      </w:r>
      <w:r>
        <w:rPr>
          <w:vertAlign w:val="superscript"/>
          <w:rtl/>
        </w:rPr>
        <w:instrText xml:space="preserve"> </w:instrText>
      </w:r>
      <w:r>
        <w:rPr>
          <w:vertAlign w:val="superscript"/>
          <w:rtl/>
        </w:rPr>
      </w:r>
      <w:r>
        <w:rPr>
          <w:vertAlign w:val="superscript"/>
          <w:rtl/>
        </w:rPr>
        <w:fldChar w:fldCharType="separate"/>
      </w:r>
      <w:r w:rsidR="00265073">
        <w:rPr>
          <w:vertAlign w:val="superscript"/>
          <w:rtl/>
        </w:rPr>
        <w:t>122</w:t>
      </w:r>
      <w:r>
        <w:rPr>
          <w:vertAlign w:val="superscript"/>
          <w:rtl/>
        </w:rPr>
        <w:fldChar w:fldCharType="end"/>
      </w:r>
      <w:r w:rsidRPr="00654918">
        <w:rPr>
          <w:rStyle w:val="af7"/>
          <w:rFonts w:eastAsia="Guttman Hodes" w:hint="cs"/>
          <w:rtl/>
        </w:rPr>
        <w:t>)</w:t>
      </w:r>
      <w:r>
        <w:rPr>
          <w:rFonts w:hint="cs"/>
          <w:rtl/>
        </w:rPr>
        <w:t xml:space="preserve"> בדברי </w:t>
      </w:r>
      <w:r w:rsidRPr="00C31290">
        <w:rPr>
          <w:rStyle w:val="af9"/>
          <w:rFonts w:hint="cs"/>
          <w:rtl/>
        </w:rPr>
        <w:t>הרשב"</w:t>
      </w:r>
      <w:r>
        <w:rPr>
          <w:rStyle w:val="af9"/>
          <w:rFonts w:hint="cs"/>
          <w:rtl/>
        </w:rPr>
        <w:t>א</w:t>
      </w:r>
      <w:r>
        <w:rPr>
          <w:rFonts w:hint="cs"/>
          <w:rtl/>
        </w:rPr>
        <w:t>.</w:t>
      </w:r>
      <w:bookmarkEnd w:id="17817"/>
    </w:p>
    <w:p w:rsidR="00E824D3" w:rsidRDefault="00E824D3" w:rsidP="00E824D3">
      <w:pPr>
        <w:pStyle w:val="1"/>
        <w:rPr>
          <w:rtl/>
        </w:rPr>
      </w:pPr>
      <w:bookmarkStart w:id="17818" w:name="_Toc66110495"/>
      <w:bookmarkStart w:id="17819" w:name="_Toc66123355"/>
      <w:bookmarkStart w:id="17820" w:name="_Toc66143803"/>
      <w:bookmarkStart w:id="17821" w:name="_Toc66171966"/>
      <w:bookmarkStart w:id="17822" w:name="_Toc66183206"/>
      <w:bookmarkStart w:id="17823" w:name="_Toc66185986"/>
      <w:bookmarkStart w:id="17824" w:name="_Toc66193446"/>
      <w:r>
        <w:rPr>
          <w:rFonts w:hint="cs"/>
          <w:rtl/>
        </w:rPr>
        <w:t>תירוץ הרמב"ן דכל שלא נשבע להכחישו הע"א הוא כשנים</w:t>
      </w:r>
      <w:bookmarkEnd w:id="17818"/>
      <w:bookmarkEnd w:id="17819"/>
      <w:bookmarkEnd w:id="17820"/>
      <w:bookmarkEnd w:id="17821"/>
      <w:bookmarkEnd w:id="17822"/>
      <w:bookmarkEnd w:id="17823"/>
      <w:bookmarkEnd w:id="17824"/>
    </w:p>
    <w:p w:rsidR="00E824D3" w:rsidRDefault="00E824D3" w:rsidP="00E824D3">
      <w:pPr>
        <w:pStyle w:val="a3"/>
        <w:rPr>
          <w:rtl/>
        </w:rPr>
      </w:pPr>
      <w:bookmarkStart w:id="17825" w:name="_Toc66110496"/>
      <w:bookmarkStart w:id="17826" w:name="_Toc66123356"/>
      <w:bookmarkStart w:id="17827" w:name="_Toc66143804"/>
      <w:bookmarkStart w:id="17828" w:name="_Toc66171967"/>
      <w:bookmarkStart w:id="17829" w:name="_Toc66183207"/>
      <w:bookmarkStart w:id="17830" w:name="_Toc66185987"/>
      <w:bookmarkStart w:id="17831" w:name="_Toc66193447"/>
      <w:r>
        <w:rPr>
          <w:rFonts w:hint="cs"/>
          <w:rtl/>
        </w:rPr>
        <w:t>תי' הרמב"ן דכ"ז שלא נשבע להכחישו הע"א נאמן כשנים וחשיב שחטף בפנינו ול"מ מיגו</w:t>
      </w:r>
      <w:bookmarkEnd w:id="17825"/>
      <w:bookmarkEnd w:id="17826"/>
      <w:bookmarkEnd w:id="17827"/>
      <w:bookmarkEnd w:id="17828"/>
      <w:bookmarkEnd w:id="17829"/>
      <w:bookmarkEnd w:id="17830"/>
      <w:bookmarkEnd w:id="17831"/>
    </w:p>
    <w:p w:rsidR="00E824D3" w:rsidRDefault="00E824D3" w:rsidP="007E4E81">
      <w:pPr>
        <w:pStyle w:val="a0"/>
        <w:rPr>
          <w:rtl/>
        </w:rPr>
      </w:pPr>
      <w:bookmarkStart w:id="17832" w:name="_Ref66054904"/>
      <w:r>
        <w:rPr>
          <w:rFonts w:hint="cs"/>
          <w:rtl/>
        </w:rPr>
        <w:t xml:space="preserve">וכעין תירוץ </w:t>
      </w:r>
      <w:r w:rsidRPr="00845FE8">
        <w:rPr>
          <w:rStyle w:val="af9"/>
          <w:rFonts w:hint="cs"/>
          <w:rtl/>
        </w:rPr>
        <w:t>הריב"ם</w:t>
      </w:r>
      <w:r>
        <w:rPr>
          <w:rFonts w:hint="cs"/>
          <w:rtl/>
        </w:rPr>
        <w:t xml:space="preserve"> </w:t>
      </w:r>
      <w:r w:rsidRPr="00845FE8">
        <w:rPr>
          <w:rStyle w:val="af7"/>
          <w:rFonts w:eastAsia="Guttman Hodes" w:hint="cs"/>
          <w:rtl/>
        </w:rPr>
        <w:t xml:space="preserve">(עי' אות </w:t>
      </w:r>
      <w:r w:rsidRPr="00845FE8">
        <w:rPr>
          <w:rStyle w:val="af7"/>
          <w:rFonts w:eastAsia="Guttman Hodes"/>
          <w:rtl/>
        </w:rPr>
        <w:fldChar w:fldCharType="begin"/>
      </w:r>
      <w:r w:rsidRPr="00845FE8">
        <w:rPr>
          <w:rStyle w:val="af7"/>
          <w:rFonts w:eastAsia="Guttman Hodes"/>
          <w:rtl/>
        </w:rPr>
        <w:instrText xml:space="preserve"> </w:instrText>
      </w:r>
      <w:r w:rsidRPr="00845FE8">
        <w:rPr>
          <w:rStyle w:val="af7"/>
          <w:rFonts w:eastAsia="Guttman Hodes" w:hint="cs"/>
        </w:rPr>
        <w:instrText>REF</w:instrText>
      </w:r>
      <w:r w:rsidRPr="00845FE8">
        <w:rPr>
          <w:rStyle w:val="af7"/>
          <w:rFonts w:eastAsia="Guttman Hodes" w:hint="cs"/>
          <w:rtl/>
        </w:rPr>
        <w:instrText xml:space="preserve"> _</w:instrText>
      </w:r>
      <w:r w:rsidRPr="00845FE8">
        <w:rPr>
          <w:rStyle w:val="af7"/>
          <w:rFonts w:eastAsia="Guttman Hodes" w:hint="cs"/>
        </w:rPr>
        <w:instrText>Ref65513309 \r \h</w:instrText>
      </w:r>
      <w:r w:rsidRPr="00845FE8">
        <w:rPr>
          <w:rStyle w:val="af7"/>
          <w:rFonts w:eastAsia="Guttman Hodes"/>
          <w:rtl/>
        </w:rPr>
        <w:instrText xml:space="preserve"> </w:instrText>
      </w:r>
      <w:r w:rsidRPr="00845FE8">
        <w:rPr>
          <w:rStyle w:val="af7"/>
          <w:rFonts w:eastAsia="Guttman Hodes"/>
          <w:rtl/>
        </w:rPr>
      </w:r>
      <w:r w:rsidRPr="00845FE8">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845FE8">
        <w:rPr>
          <w:rStyle w:val="af7"/>
          <w:rFonts w:eastAsia="Guttman Hodes"/>
          <w:rtl/>
        </w:rPr>
        <w:fldChar w:fldCharType="end"/>
      </w:r>
      <w:r>
        <w:rPr>
          <w:rFonts w:hint="cs"/>
          <w:rtl/>
        </w:rPr>
        <w:t xml:space="preserve"> כתב </w:t>
      </w:r>
      <w:r>
        <w:rPr>
          <w:rStyle w:val="af9"/>
          <w:rtl/>
        </w:rPr>
        <w:t>הרמב"ן</w:t>
      </w:r>
      <w:r>
        <w:rPr>
          <w:rFonts w:hint="cs"/>
          <w:rtl/>
        </w:rPr>
        <w:t xml:space="preserve"> </w:t>
      </w:r>
      <w:r>
        <w:rPr>
          <w:rStyle w:val="af7"/>
          <w:rFonts w:eastAsia="Guttman Hodes" w:hint="cs"/>
          <w:rtl/>
        </w:rPr>
        <w:t xml:space="preserve">(ד"ה ויש שפירשו) </w:t>
      </w:r>
      <w:r>
        <w:rPr>
          <w:rFonts w:hint="cs"/>
          <w:rtl/>
        </w:rPr>
        <w:t xml:space="preserve">בשם </w:t>
      </w:r>
      <w:r>
        <w:rPr>
          <w:rStyle w:val="af9"/>
          <w:rtl/>
        </w:rPr>
        <w:t>י"מ</w:t>
      </w:r>
      <w:r>
        <w:rPr>
          <w:rFonts w:hint="cs"/>
          <w:rtl/>
        </w:rPr>
        <w:t xml:space="preserve"> דכיון שהתורה האמינה לע"א עד שהשני ישבע להכחישו, א"כ כ"ז שלא נשבע העד נאמן לגמרי, וחשיב שחטף בפנינו, ולכן אף אם נשבע דדידי חטפי אינו נאמן, ולכן כיון שאינו יכול להשבע משלם, ועי' במה שנחלקו </w:t>
      </w:r>
      <w:r w:rsidRPr="000F67ED">
        <w:rPr>
          <w:rStyle w:val="af9"/>
          <w:rFonts w:hint="cs"/>
          <w:rtl/>
        </w:rPr>
        <w:t>הש"ך</w:t>
      </w:r>
      <w:r>
        <w:rPr>
          <w:rFonts w:hint="cs"/>
          <w:rtl/>
        </w:rPr>
        <w:t xml:space="preserve"> </w:t>
      </w:r>
      <w:r w:rsidRPr="000F67ED">
        <w:rPr>
          <w:rStyle w:val="af9"/>
          <w:rFonts w:hint="cs"/>
          <w:rtl/>
        </w:rPr>
        <w:t>והאמרי ברוך</w:t>
      </w:r>
      <w:r>
        <w:rPr>
          <w:rFonts w:hint="cs"/>
          <w:rtl/>
        </w:rPr>
        <w:t xml:space="preserve"> </w:t>
      </w:r>
      <w:r w:rsidRPr="00F53279">
        <w:rPr>
          <w:rStyle w:val="af7"/>
          <w:rFonts w:eastAsia="Guttman Hodes" w:hint="cs"/>
          <w:rtl/>
        </w:rPr>
        <w:t xml:space="preserve">(עי' אות </w:t>
      </w:r>
      <w:r w:rsidRPr="00F53279">
        <w:rPr>
          <w:rStyle w:val="af7"/>
          <w:rFonts w:eastAsia="Guttman Hodes"/>
          <w:rtl/>
        </w:rPr>
        <w:fldChar w:fldCharType="begin"/>
      </w:r>
      <w:r w:rsidRPr="00F53279">
        <w:rPr>
          <w:rStyle w:val="af7"/>
          <w:rFonts w:eastAsia="Guttman Hodes"/>
          <w:rtl/>
        </w:rPr>
        <w:instrText xml:space="preserve"> </w:instrText>
      </w:r>
      <w:r w:rsidRPr="00F53279">
        <w:rPr>
          <w:rStyle w:val="af7"/>
          <w:rFonts w:eastAsia="Guttman Hodes" w:hint="cs"/>
        </w:rPr>
        <w:instrText>REF</w:instrText>
      </w:r>
      <w:r w:rsidRPr="00F53279">
        <w:rPr>
          <w:rStyle w:val="af7"/>
          <w:rFonts w:eastAsia="Guttman Hodes" w:hint="cs"/>
          <w:rtl/>
        </w:rPr>
        <w:instrText xml:space="preserve"> _</w:instrText>
      </w:r>
      <w:r w:rsidRPr="00F53279">
        <w:rPr>
          <w:rStyle w:val="af7"/>
          <w:rFonts w:eastAsia="Guttman Hodes" w:hint="cs"/>
        </w:rPr>
        <w:instrText>Ref66107553 \r \h</w:instrText>
      </w:r>
      <w:r w:rsidRPr="00F53279">
        <w:rPr>
          <w:rStyle w:val="af7"/>
          <w:rFonts w:eastAsia="Guttman Hodes"/>
          <w:rtl/>
        </w:rPr>
        <w:instrText xml:space="preserve"> </w:instrText>
      </w:r>
      <w:r w:rsidRPr="00F53279">
        <w:rPr>
          <w:rStyle w:val="af7"/>
          <w:rFonts w:eastAsia="Guttman Hodes"/>
          <w:rtl/>
        </w:rPr>
      </w:r>
      <w:r w:rsidRPr="00F53279">
        <w:rPr>
          <w:rStyle w:val="af7"/>
          <w:rFonts w:eastAsia="Guttman Hodes"/>
          <w:rtl/>
        </w:rPr>
        <w:fldChar w:fldCharType="separate"/>
      </w:r>
      <w:r w:rsidR="00265073">
        <w:rPr>
          <w:rStyle w:val="af7"/>
          <w:rFonts w:eastAsia="Guttman Hodes"/>
          <w:cs/>
        </w:rPr>
        <w:t>‎</w:t>
      </w:r>
      <w:r w:rsidR="00265073">
        <w:rPr>
          <w:rStyle w:val="af7"/>
          <w:rFonts w:eastAsia="Guttman Hodes"/>
          <w:rtl/>
        </w:rPr>
        <w:t>נ)</w:t>
      </w:r>
      <w:r w:rsidRPr="00F53279">
        <w:rPr>
          <w:rStyle w:val="af7"/>
          <w:rFonts w:eastAsia="Guttman Hodes"/>
          <w:rtl/>
        </w:rPr>
        <w:fldChar w:fldCharType="end"/>
      </w:r>
      <w:r>
        <w:rPr>
          <w:rFonts w:hint="cs"/>
          <w:rtl/>
        </w:rPr>
        <w:t xml:space="preserve"> בדעת </w:t>
      </w:r>
      <w:r>
        <w:rPr>
          <w:rStyle w:val="af9"/>
          <w:rFonts w:hint="cs"/>
          <w:rtl/>
        </w:rPr>
        <w:t>הרמב"ן,</w:t>
      </w:r>
      <w:r w:rsidRPr="00D02358">
        <w:rPr>
          <w:rFonts w:hint="cs"/>
          <w:rtl/>
        </w:rPr>
        <w:t xml:space="preserve"> </w:t>
      </w:r>
      <w:r>
        <w:rPr>
          <w:rFonts w:hint="cs"/>
          <w:rtl/>
        </w:rPr>
        <w:t xml:space="preserve">ובמה שביארו </w:t>
      </w:r>
      <w:r w:rsidRPr="001F59B5">
        <w:rPr>
          <w:rStyle w:val="af9"/>
          <w:rFonts w:hint="cs"/>
          <w:rtl/>
        </w:rPr>
        <w:t>בחו"ש הגרב"ב</w:t>
      </w:r>
      <w:r>
        <w:rPr>
          <w:rFonts w:hint="cs"/>
          <w:rtl/>
        </w:rPr>
        <w:t xml:space="preserve"> </w:t>
      </w:r>
      <w:r w:rsidRPr="000809D3">
        <w:rPr>
          <w:rStyle w:val="af7"/>
          <w:rFonts w:eastAsia="Guttman Hodes" w:hint="cs"/>
          <w:rtl/>
        </w:rPr>
        <w:t xml:space="preserve">(עי' אות </w:t>
      </w:r>
      <w:r w:rsidRPr="000809D3">
        <w:rPr>
          <w:rStyle w:val="af7"/>
          <w:rFonts w:eastAsia="Guttman Hodes"/>
          <w:rtl/>
        </w:rPr>
        <w:fldChar w:fldCharType="begin"/>
      </w:r>
      <w:r w:rsidRPr="000809D3">
        <w:rPr>
          <w:rStyle w:val="af7"/>
          <w:rFonts w:eastAsia="Guttman Hodes"/>
          <w:rtl/>
        </w:rPr>
        <w:instrText xml:space="preserve"> </w:instrText>
      </w:r>
      <w:r w:rsidRPr="000809D3">
        <w:rPr>
          <w:rStyle w:val="af7"/>
          <w:rFonts w:eastAsia="Guttman Hodes" w:hint="cs"/>
        </w:rPr>
        <w:instrText>REF</w:instrText>
      </w:r>
      <w:r w:rsidRPr="000809D3">
        <w:rPr>
          <w:rStyle w:val="af7"/>
          <w:rFonts w:eastAsia="Guttman Hodes" w:hint="cs"/>
          <w:rtl/>
        </w:rPr>
        <w:instrText xml:space="preserve"> _</w:instrText>
      </w:r>
      <w:r w:rsidRPr="000809D3">
        <w:rPr>
          <w:rStyle w:val="af7"/>
          <w:rFonts w:eastAsia="Guttman Hodes" w:hint="cs"/>
        </w:rPr>
        <w:instrText>Ref65837002 \r \h</w:instrText>
      </w:r>
      <w:r w:rsidRPr="000809D3">
        <w:rPr>
          <w:rStyle w:val="af7"/>
          <w:rFonts w:eastAsia="Guttman Hodes"/>
          <w:rtl/>
        </w:rPr>
        <w:instrText xml:space="preserve"> </w:instrText>
      </w:r>
      <w:r w:rsidRPr="000809D3">
        <w:rPr>
          <w:rStyle w:val="af7"/>
          <w:rFonts w:eastAsia="Guttman Hodes"/>
          <w:rtl/>
        </w:rPr>
      </w:r>
      <w:r w:rsidRPr="000809D3">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0809D3">
        <w:rPr>
          <w:rStyle w:val="af7"/>
          <w:rFonts w:eastAsia="Guttman Hodes"/>
          <w:rtl/>
        </w:rPr>
        <w:fldChar w:fldCharType="end"/>
      </w:r>
      <w:r w:rsidRPr="00A83122">
        <w:rPr>
          <w:rStyle w:val="af9"/>
          <w:rFonts w:hint="cs"/>
          <w:rtl/>
        </w:rPr>
        <w:t xml:space="preserve"> </w:t>
      </w:r>
      <w:r>
        <w:rPr>
          <w:rStyle w:val="af9"/>
          <w:rFonts w:hint="cs"/>
          <w:rtl/>
        </w:rPr>
        <w:t xml:space="preserve">ובחי' הגרש"ש </w:t>
      </w:r>
      <w:r w:rsidRPr="008319FD">
        <w:rPr>
          <w:rStyle w:val="af7"/>
          <w:rFonts w:eastAsia="Guttman Hodes" w:hint="cs"/>
          <w:rtl/>
        </w:rPr>
        <w:t xml:space="preserve">(עי' אות </w:t>
      </w:r>
      <w:r w:rsidRPr="008319FD">
        <w:rPr>
          <w:rStyle w:val="af7"/>
          <w:rFonts w:eastAsia="Guttman Hodes"/>
          <w:rtl/>
        </w:rPr>
        <w:fldChar w:fldCharType="begin"/>
      </w:r>
      <w:r w:rsidRPr="008319FD">
        <w:rPr>
          <w:rStyle w:val="af7"/>
          <w:rFonts w:eastAsia="Guttman Hodes"/>
          <w:rtl/>
        </w:rPr>
        <w:instrText xml:space="preserve"> </w:instrText>
      </w:r>
      <w:r w:rsidRPr="008319FD">
        <w:rPr>
          <w:rStyle w:val="af7"/>
          <w:rFonts w:eastAsia="Guttman Hodes" w:hint="cs"/>
        </w:rPr>
        <w:instrText>REF</w:instrText>
      </w:r>
      <w:r w:rsidRPr="008319FD">
        <w:rPr>
          <w:rStyle w:val="af7"/>
          <w:rFonts w:eastAsia="Guttman Hodes" w:hint="cs"/>
          <w:rtl/>
        </w:rPr>
        <w:instrText xml:space="preserve"> _</w:instrText>
      </w:r>
      <w:r w:rsidRPr="008319FD">
        <w:rPr>
          <w:rStyle w:val="af7"/>
          <w:rFonts w:eastAsia="Guttman Hodes" w:hint="cs"/>
        </w:rPr>
        <w:instrText>Ref66142490 \r \h</w:instrText>
      </w:r>
      <w:r w:rsidRPr="008319FD">
        <w:rPr>
          <w:rStyle w:val="af7"/>
          <w:rFonts w:eastAsia="Guttman Hodes"/>
          <w:rtl/>
        </w:rPr>
        <w:instrText xml:space="preserve"> </w:instrText>
      </w:r>
      <w:r w:rsidRPr="008319FD">
        <w:rPr>
          <w:rStyle w:val="af7"/>
          <w:rFonts w:eastAsia="Guttman Hodes"/>
          <w:rtl/>
        </w:rPr>
      </w:r>
      <w:r w:rsidRPr="008319FD">
        <w:rPr>
          <w:rStyle w:val="af7"/>
          <w:rFonts w:eastAsia="Guttman Hodes"/>
          <w:rtl/>
        </w:rPr>
        <w:fldChar w:fldCharType="separate"/>
      </w:r>
      <w:r w:rsidR="00265073">
        <w:rPr>
          <w:rStyle w:val="af7"/>
          <w:rFonts w:eastAsia="Guttman Hodes"/>
          <w:cs/>
        </w:rPr>
        <w:t>‎</w:t>
      </w:r>
      <w:r w:rsidR="00265073">
        <w:rPr>
          <w:rStyle w:val="af7"/>
          <w:rFonts w:eastAsia="Guttman Hodes"/>
          <w:rtl/>
        </w:rPr>
        <w:t>קיב)</w:t>
      </w:r>
      <w:r w:rsidRPr="008319FD">
        <w:rPr>
          <w:rStyle w:val="af7"/>
          <w:rFonts w:eastAsia="Guttman Hodes"/>
          <w:rtl/>
        </w:rPr>
        <w:fldChar w:fldCharType="end"/>
      </w:r>
      <w:r>
        <w:rPr>
          <w:rStyle w:val="af9"/>
          <w:rFonts w:hint="cs"/>
          <w:rtl/>
        </w:rPr>
        <w:t xml:space="preserve"> ו</w:t>
      </w:r>
      <w:r w:rsidRPr="00D02358">
        <w:rPr>
          <w:rStyle w:val="af9"/>
          <w:rFonts w:hint="cs"/>
          <w:rtl/>
        </w:rPr>
        <w:t>בחי' רבי נחום</w:t>
      </w:r>
      <w:r>
        <w:rPr>
          <w:rFonts w:hint="cs"/>
          <w:rtl/>
        </w:rPr>
        <w:t xml:space="preserve"> </w:t>
      </w:r>
      <w:r w:rsidRPr="00D02358">
        <w:rPr>
          <w:rStyle w:val="af7"/>
          <w:rFonts w:eastAsia="Guttman Hodes" w:hint="cs"/>
          <w:rtl/>
        </w:rPr>
        <w:t xml:space="preserve">(עי' אות </w:t>
      </w:r>
      <w:r w:rsidRPr="00D02358">
        <w:rPr>
          <w:rStyle w:val="af7"/>
          <w:rFonts w:eastAsia="Guttman Hodes"/>
          <w:rtl/>
        </w:rPr>
        <w:fldChar w:fldCharType="begin"/>
      </w:r>
      <w:r w:rsidRPr="00D02358">
        <w:rPr>
          <w:rStyle w:val="af7"/>
          <w:rFonts w:eastAsia="Guttman Hodes"/>
          <w:rtl/>
        </w:rPr>
        <w:instrText xml:space="preserve"> </w:instrText>
      </w:r>
      <w:r w:rsidRPr="00D02358">
        <w:rPr>
          <w:rStyle w:val="af7"/>
          <w:rFonts w:eastAsia="Guttman Hodes" w:hint="cs"/>
        </w:rPr>
        <w:instrText>REF</w:instrText>
      </w:r>
      <w:r w:rsidRPr="00D02358">
        <w:rPr>
          <w:rStyle w:val="af7"/>
          <w:rFonts w:eastAsia="Guttman Hodes" w:hint="cs"/>
          <w:rtl/>
        </w:rPr>
        <w:instrText xml:space="preserve"> _</w:instrText>
      </w:r>
      <w:r w:rsidRPr="00D02358">
        <w:rPr>
          <w:rStyle w:val="af7"/>
          <w:rFonts w:eastAsia="Guttman Hodes" w:hint="cs"/>
        </w:rPr>
        <w:instrText>Ref66115729 \r \h</w:instrText>
      </w:r>
      <w:r w:rsidRPr="00D02358">
        <w:rPr>
          <w:rStyle w:val="af7"/>
          <w:rFonts w:eastAsia="Guttman Hodes"/>
          <w:rtl/>
        </w:rPr>
        <w:instrText xml:space="preserve"> </w:instrText>
      </w:r>
      <w:r w:rsidRPr="00D02358">
        <w:rPr>
          <w:rStyle w:val="af7"/>
          <w:rFonts w:eastAsia="Guttman Hodes"/>
          <w:rtl/>
        </w:rPr>
      </w:r>
      <w:r w:rsidRPr="00D02358">
        <w:rPr>
          <w:rStyle w:val="af7"/>
          <w:rFonts w:eastAsia="Guttman Hodes"/>
          <w:rtl/>
        </w:rPr>
        <w:fldChar w:fldCharType="separate"/>
      </w:r>
      <w:r w:rsidR="00265073">
        <w:rPr>
          <w:rStyle w:val="af7"/>
          <w:rFonts w:eastAsia="Guttman Hodes"/>
          <w:cs/>
        </w:rPr>
        <w:t>‎</w:t>
      </w:r>
      <w:r w:rsidR="00265073">
        <w:rPr>
          <w:rStyle w:val="af7"/>
          <w:rFonts w:eastAsia="Guttman Hodes"/>
          <w:rtl/>
        </w:rPr>
        <w:t>קד)</w:t>
      </w:r>
      <w:r w:rsidRPr="00D02358">
        <w:rPr>
          <w:rStyle w:val="af7"/>
          <w:rFonts w:eastAsia="Guttman Hodes"/>
          <w:rtl/>
        </w:rPr>
        <w:fldChar w:fldCharType="end"/>
      </w:r>
      <w:r>
        <w:rPr>
          <w:rFonts w:hint="cs"/>
          <w:rtl/>
        </w:rPr>
        <w:t xml:space="preserve"> </w:t>
      </w:r>
      <w:r>
        <w:rPr>
          <w:rStyle w:val="af9"/>
          <w:rFonts w:hint="cs"/>
          <w:rtl/>
        </w:rPr>
        <w:t>וב</w:t>
      </w:r>
      <w:r w:rsidRPr="00F4173A">
        <w:rPr>
          <w:rStyle w:val="af9"/>
          <w:rFonts w:hint="cs"/>
          <w:rtl/>
        </w:rPr>
        <w:t>קה"י</w:t>
      </w:r>
      <w:r>
        <w:rPr>
          <w:rFonts w:hint="cs"/>
          <w:rtl/>
        </w:rPr>
        <w:t xml:space="preserve"> </w:t>
      </w:r>
      <w:r>
        <w:rPr>
          <w:rStyle w:val="af7"/>
          <w:rFonts w:eastAsia="Guttman Hodes" w:hint="cs"/>
          <w:rtl/>
        </w:rPr>
        <w:t xml:space="preserve">(עי' </w:t>
      </w:r>
      <w:r w:rsidRPr="008C56EE">
        <w:rPr>
          <w:rStyle w:val="af7"/>
          <w:rFonts w:eastAsia="Guttman Hodes" w:hint="cs"/>
          <w:rtl/>
        </w:rPr>
        <w:t xml:space="preserve">אות </w:t>
      </w:r>
      <w:r w:rsidRPr="008C56EE">
        <w:rPr>
          <w:rStyle w:val="af7"/>
          <w:rFonts w:eastAsia="Guttman Hodes"/>
          <w:rtl/>
        </w:rPr>
        <w:fldChar w:fldCharType="begin"/>
      </w:r>
      <w:r w:rsidRPr="008C56EE">
        <w:rPr>
          <w:rStyle w:val="af7"/>
          <w:rFonts w:eastAsia="Guttman Hodes"/>
          <w:rtl/>
        </w:rPr>
        <w:instrText xml:space="preserve"> </w:instrText>
      </w:r>
      <w:r w:rsidRPr="008C56EE">
        <w:rPr>
          <w:rStyle w:val="af7"/>
          <w:rFonts w:eastAsia="Guttman Hodes" w:hint="cs"/>
        </w:rPr>
        <w:instrText>REF</w:instrText>
      </w:r>
      <w:r w:rsidRPr="008C56EE">
        <w:rPr>
          <w:rStyle w:val="af7"/>
          <w:rFonts w:eastAsia="Guttman Hodes" w:hint="cs"/>
          <w:rtl/>
        </w:rPr>
        <w:instrText xml:space="preserve"> _</w:instrText>
      </w:r>
      <w:r w:rsidRPr="008C56EE">
        <w:rPr>
          <w:rStyle w:val="af7"/>
          <w:rFonts w:eastAsia="Guttman Hodes" w:hint="cs"/>
        </w:rPr>
        <w:instrText>Ref66055566 \r \h</w:instrText>
      </w:r>
      <w:r w:rsidRPr="008C56EE">
        <w:rPr>
          <w:rStyle w:val="af7"/>
          <w:rFonts w:eastAsia="Guttman Hodes"/>
          <w:rtl/>
        </w:rPr>
        <w:instrText xml:space="preserve"> </w:instrText>
      </w:r>
      <w:r w:rsidRPr="008C56EE">
        <w:rPr>
          <w:rStyle w:val="af7"/>
          <w:rFonts w:eastAsia="Guttman Hodes"/>
          <w:rtl/>
        </w:rPr>
      </w:r>
      <w:r w:rsidRPr="008C56EE">
        <w:rPr>
          <w:rStyle w:val="af7"/>
          <w:rFonts w:eastAsia="Guttman Hodes"/>
          <w:rtl/>
        </w:rPr>
        <w:fldChar w:fldCharType="separate"/>
      </w:r>
      <w:r w:rsidR="00265073">
        <w:rPr>
          <w:rStyle w:val="af7"/>
          <w:rFonts w:eastAsia="Guttman Hodes"/>
          <w:cs/>
        </w:rPr>
        <w:t>‎</w:t>
      </w:r>
      <w:r w:rsidR="00265073">
        <w:rPr>
          <w:rStyle w:val="af7"/>
          <w:rFonts w:eastAsia="Guttman Hodes"/>
          <w:rtl/>
        </w:rPr>
        <w:t>ק)</w:t>
      </w:r>
      <w:r w:rsidRPr="008C56EE">
        <w:rPr>
          <w:rStyle w:val="af7"/>
          <w:rFonts w:eastAsia="Guttman Hodes"/>
          <w:rtl/>
        </w:rPr>
        <w:fldChar w:fldCharType="end"/>
      </w:r>
      <w:r>
        <w:rPr>
          <w:rFonts w:hint="cs"/>
          <w:rtl/>
        </w:rPr>
        <w:t xml:space="preserve"> בדברי </w:t>
      </w:r>
      <w:r w:rsidRPr="00D02358">
        <w:rPr>
          <w:rStyle w:val="af9"/>
          <w:rFonts w:hint="cs"/>
          <w:rtl/>
        </w:rPr>
        <w:t>הרמב"ן</w:t>
      </w:r>
      <w:r>
        <w:rPr>
          <w:rFonts w:hint="cs"/>
          <w:rtl/>
        </w:rPr>
        <w:t>.</w:t>
      </w:r>
      <w:bookmarkEnd w:id="17832"/>
    </w:p>
    <w:p w:rsidR="00E824D3" w:rsidRDefault="00E824D3" w:rsidP="00E824D3">
      <w:pPr>
        <w:pStyle w:val="1"/>
        <w:rPr>
          <w:rtl/>
        </w:rPr>
      </w:pPr>
      <w:bookmarkStart w:id="17833" w:name="_Toc66085932"/>
      <w:bookmarkStart w:id="17834" w:name="_Toc66110497"/>
      <w:bookmarkStart w:id="17835" w:name="_Toc66123357"/>
      <w:bookmarkStart w:id="17836" w:name="_Toc66143805"/>
      <w:bookmarkStart w:id="17837" w:name="_Toc66171968"/>
      <w:bookmarkStart w:id="17838" w:name="_Toc66183208"/>
      <w:bookmarkStart w:id="17839" w:name="_Toc66185988"/>
      <w:bookmarkStart w:id="17840" w:name="_Toc66193448"/>
      <w:r>
        <w:rPr>
          <w:rFonts w:hint="cs"/>
          <w:rtl/>
        </w:rPr>
        <w:t>ת</w:t>
      </w:r>
      <w:r w:rsidRPr="00ED1ACF">
        <w:rPr>
          <w:rFonts w:hint="cs"/>
          <w:rtl/>
        </w:rPr>
        <w:t>י</w:t>
      </w:r>
      <w:r>
        <w:rPr>
          <w:rFonts w:hint="cs"/>
          <w:rtl/>
        </w:rPr>
        <w:t>'</w:t>
      </w:r>
      <w:r w:rsidRPr="00ED1ACF">
        <w:rPr>
          <w:rFonts w:hint="cs"/>
          <w:rtl/>
        </w:rPr>
        <w:t xml:space="preserve"> רבינו יונה ד</w:t>
      </w:r>
      <w:r>
        <w:rPr>
          <w:rFonts w:hint="cs"/>
          <w:rtl/>
        </w:rPr>
        <w:t xml:space="preserve">כ"ז שלא </w:t>
      </w:r>
      <w:r w:rsidRPr="00ED1ACF">
        <w:rPr>
          <w:rFonts w:hint="cs"/>
          <w:rtl/>
        </w:rPr>
        <w:t xml:space="preserve">נשבע </w:t>
      </w:r>
      <w:r>
        <w:rPr>
          <w:rFonts w:hint="cs"/>
          <w:rtl/>
        </w:rPr>
        <w:t>הע"א חשיב כשנים ול"מ מיגו</w:t>
      </w:r>
      <w:bookmarkEnd w:id="17833"/>
      <w:bookmarkEnd w:id="17834"/>
      <w:bookmarkEnd w:id="17835"/>
      <w:bookmarkEnd w:id="17836"/>
      <w:bookmarkEnd w:id="17837"/>
      <w:bookmarkEnd w:id="17838"/>
      <w:bookmarkEnd w:id="17839"/>
      <w:bookmarkEnd w:id="17840"/>
    </w:p>
    <w:p w:rsidR="00E824D3" w:rsidRPr="00D13DDC" w:rsidRDefault="00E824D3" w:rsidP="00E824D3">
      <w:pPr>
        <w:pStyle w:val="a3"/>
        <w:rPr>
          <w:rtl/>
        </w:rPr>
      </w:pPr>
      <w:bookmarkStart w:id="17841" w:name="_Toc66085933"/>
      <w:bookmarkStart w:id="17842" w:name="_Toc66110498"/>
      <w:bookmarkStart w:id="17843" w:name="_Toc66123358"/>
      <w:bookmarkStart w:id="17844" w:name="_Toc66143806"/>
      <w:bookmarkStart w:id="17845" w:name="_Toc66171969"/>
      <w:bookmarkStart w:id="17846" w:name="_Toc66183209"/>
      <w:bookmarkStart w:id="17847" w:name="_Toc66185989"/>
      <w:bookmarkStart w:id="17848" w:name="_Toc66193449"/>
      <w:r w:rsidRPr="00D13DDC">
        <w:rPr>
          <w:rFonts w:hint="cs"/>
          <w:rtl/>
        </w:rPr>
        <w:t>דברי רבינו יונה דחייבה התורה שבועה בע"א רק להכחיש את העד ודינו או לישבע או לשלם</w:t>
      </w:r>
      <w:bookmarkEnd w:id="17841"/>
      <w:bookmarkEnd w:id="17842"/>
      <w:bookmarkEnd w:id="17843"/>
      <w:bookmarkEnd w:id="17844"/>
      <w:bookmarkEnd w:id="17845"/>
      <w:bookmarkEnd w:id="17846"/>
      <w:bookmarkEnd w:id="17847"/>
      <w:bookmarkEnd w:id="17848"/>
    </w:p>
    <w:p w:rsidR="00E824D3" w:rsidRDefault="00E824D3" w:rsidP="007E4E81">
      <w:pPr>
        <w:pStyle w:val="a0"/>
        <w:rPr>
          <w:u w:val="single"/>
          <w:rtl/>
        </w:rPr>
      </w:pPr>
      <w:r>
        <w:rPr>
          <w:rFonts w:hint="cs"/>
          <w:rtl/>
        </w:rPr>
        <w:t xml:space="preserve">וכעי"ז תירץ </w:t>
      </w:r>
      <w:r>
        <w:rPr>
          <w:rStyle w:val="af9"/>
          <w:rtl/>
        </w:rPr>
        <w:t>רבינו יונה</w:t>
      </w:r>
      <w:r>
        <w:rPr>
          <w:rFonts w:hint="cs"/>
          <w:rtl/>
        </w:rPr>
        <w:t xml:space="preserve"> </w:t>
      </w:r>
      <w:r>
        <w:rPr>
          <w:rStyle w:val="af7"/>
          <w:rFonts w:eastAsia="Guttman Hodes" w:hint="cs"/>
          <w:rtl/>
        </w:rPr>
        <w:t xml:space="preserve">(ד"ה לשתבע) </w:t>
      </w:r>
      <w:r>
        <w:rPr>
          <w:rFonts w:hint="cs"/>
          <w:rtl/>
        </w:rPr>
        <w:t xml:space="preserve">דכשחייבה התורה שבועה עפ"י ע"א, החיוב הוא להשבע להכחיש את העד, דהא ילפינן דלא יקום </w:t>
      </w:r>
      <w:r>
        <w:rPr>
          <w:rFonts w:hint="cs"/>
          <w:rtl/>
        </w:rPr>
        <w:lastRenderedPageBreak/>
        <w:t xml:space="preserve">ע"א באיש, אבל קם הוא לשבועה, דהיינו שאינו יכול לחייב בעדותו אך הוא יכול לחייב שבועה שהמכחיש את עדותו צריך להשבע, וא"כ הנתבע חייב להשבע שעדות הע"א אינה אמת, וכתב </w:t>
      </w:r>
      <w:r w:rsidRPr="00DA32D8">
        <w:rPr>
          <w:rStyle w:val="af9"/>
          <w:rFonts w:hint="cs"/>
          <w:rtl/>
        </w:rPr>
        <w:t>רבינו יונה</w:t>
      </w:r>
      <w:r>
        <w:rPr>
          <w:rFonts w:hint="cs"/>
          <w:rtl/>
        </w:rPr>
        <w:t xml:space="preserve"> דדין שבועת התורה היא שצריך או להשבע את שבועת התורה או לשלם.</w:t>
      </w:r>
    </w:p>
    <w:p w:rsidR="00E824D3" w:rsidRPr="00D13DDC" w:rsidRDefault="00E824D3" w:rsidP="00E824D3">
      <w:pPr>
        <w:pStyle w:val="a3"/>
      </w:pPr>
      <w:bookmarkStart w:id="17849" w:name="_Toc66085934"/>
      <w:bookmarkStart w:id="17850" w:name="_Toc66110499"/>
      <w:bookmarkStart w:id="17851" w:name="_Toc66123359"/>
      <w:bookmarkStart w:id="17852" w:name="_Toc66143807"/>
      <w:bookmarkStart w:id="17853" w:name="_Toc66171970"/>
      <w:bookmarkStart w:id="17854" w:name="_Toc66183210"/>
      <w:bookmarkStart w:id="17855" w:name="_Toc66185990"/>
      <w:bookmarkStart w:id="17856" w:name="_Toc66193450"/>
      <w:bookmarkStart w:id="17857" w:name="_Ref64911793"/>
      <w:r>
        <w:rPr>
          <w:rFonts w:hint="cs"/>
          <w:rtl/>
        </w:rPr>
        <w:t>תי'</w:t>
      </w:r>
      <w:r w:rsidRPr="00D13DDC">
        <w:rPr>
          <w:rFonts w:hint="cs"/>
          <w:rtl/>
        </w:rPr>
        <w:t xml:space="preserve"> רבינו יונה דכשמודה לע"א ואינו מכחישו וא"י לישבע הע"א כשנים </w:t>
      </w:r>
      <w:r>
        <w:rPr>
          <w:rFonts w:hint="cs"/>
          <w:rtl/>
        </w:rPr>
        <w:t>ולא מהני המיגו</w:t>
      </w:r>
      <w:bookmarkEnd w:id="17849"/>
      <w:bookmarkEnd w:id="17850"/>
      <w:bookmarkEnd w:id="17851"/>
      <w:bookmarkEnd w:id="17852"/>
      <w:bookmarkEnd w:id="17853"/>
      <w:bookmarkEnd w:id="17854"/>
      <w:bookmarkEnd w:id="17855"/>
      <w:bookmarkEnd w:id="17856"/>
    </w:p>
    <w:p w:rsidR="00E824D3" w:rsidRDefault="00E824D3" w:rsidP="007E4E81">
      <w:pPr>
        <w:pStyle w:val="a0"/>
        <w:rPr>
          <w:u w:val="single"/>
        </w:rPr>
      </w:pPr>
      <w:r>
        <w:rPr>
          <w:rFonts w:hint="cs"/>
          <w:rtl/>
        </w:rPr>
        <w:t xml:space="preserve">וכתב </w:t>
      </w:r>
      <w:r>
        <w:rPr>
          <w:rStyle w:val="af9"/>
          <w:rtl/>
        </w:rPr>
        <w:t>רבינו יונה</w:t>
      </w:r>
      <w:r>
        <w:rPr>
          <w:rFonts w:hint="cs"/>
          <w:rtl/>
        </w:rPr>
        <w:t xml:space="preserve"> דהכא שטוען אין חטפי ודידי חטפי, דאינו יכול להכחיש את הע"א בשבועה, ולכן אינו יכול להשבע את שבועת התורה, א"כ חשיב שהע"א הוא כשנים, וכמו שאם היו שנים מעידים שחטף היה חייב לשלם, ה"ה כשאינו יכול להשבע להכחיש את הע"א, וזו כוונת רבי אבא דאמר מתוך שאינו יכול לישבע משלם, והוסיף </w:t>
      </w:r>
      <w:r>
        <w:rPr>
          <w:rStyle w:val="af9"/>
          <w:rtl/>
        </w:rPr>
        <w:t>רבינו יונה</w:t>
      </w:r>
      <w:r>
        <w:rPr>
          <w:rFonts w:hint="cs"/>
          <w:rtl/>
        </w:rPr>
        <w:t xml:space="preserve"> </w:t>
      </w:r>
      <w:r>
        <w:rPr>
          <w:rStyle w:val="af7"/>
          <w:rFonts w:eastAsia="Guttman Hodes" w:hint="cs"/>
          <w:rtl/>
        </w:rPr>
        <w:t>(סוד"ה לשתבע)</w:t>
      </w:r>
      <w:r>
        <w:rPr>
          <w:rFonts w:hint="cs"/>
          <w:rtl/>
        </w:rPr>
        <w:t xml:space="preserve"> דכל שאינו נשבע שבועה דאו', יש גזיה"כ שהע"א הוא כשנים, וממילא אינו נאמן במיגו, כמו שאם היו שנים שמעידים שחטף דלא היה נאמן במיגו והיה חייב לשלם.</w:t>
      </w:r>
      <w:bookmarkEnd w:id="17857"/>
    </w:p>
    <w:p w:rsidR="00E824D3" w:rsidRDefault="00E824D3" w:rsidP="00E824D3">
      <w:pPr>
        <w:pStyle w:val="a3"/>
        <w:rPr>
          <w:rtl/>
        </w:rPr>
      </w:pPr>
      <w:bookmarkStart w:id="17858" w:name="_Toc66110500"/>
      <w:bookmarkStart w:id="17859" w:name="_Toc66123360"/>
      <w:bookmarkStart w:id="17860" w:name="_Toc66143808"/>
      <w:bookmarkStart w:id="17861" w:name="_Toc66171971"/>
      <w:bookmarkStart w:id="17862" w:name="_Toc66183211"/>
      <w:bookmarkStart w:id="17863" w:name="_Toc66185991"/>
      <w:bookmarkStart w:id="17864" w:name="_Toc66193451"/>
      <w:r>
        <w:rPr>
          <w:rFonts w:hint="cs"/>
          <w:rtl/>
        </w:rPr>
        <w:t>תי' רבינו יונה והתורא"ש דבהחזרתי במיגו דנאנסו לא חל חיוב שבועה לפני שטען נאנסו</w:t>
      </w:r>
      <w:bookmarkEnd w:id="17858"/>
      <w:bookmarkEnd w:id="17859"/>
      <w:bookmarkEnd w:id="17860"/>
      <w:bookmarkEnd w:id="17861"/>
      <w:bookmarkEnd w:id="17862"/>
      <w:bookmarkEnd w:id="17863"/>
      <w:bookmarkEnd w:id="17864"/>
    </w:p>
    <w:p w:rsidR="00E824D3" w:rsidRPr="000F5186" w:rsidRDefault="00E824D3" w:rsidP="007E4E81">
      <w:pPr>
        <w:pStyle w:val="a0"/>
        <w:rPr>
          <w:rtl/>
        </w:rPr>
      </w:pPr>
      <w:bookmarkStart w:id="17865" w:name="_Ref65832995"/>
      <w:bookmarkStart w:id="17866" w:name="_Ref66125333"/>
      <w:r>
        <w:rPr>
          <w:rFonts w:hint="cs"/>
          <w:rtl/>
        </w:rPr>
        <w:t xml:space="preserve">וכתב </w:t>
      </w:r>
      <w:r>
        <w:rPr>
          <w:rStyle w:val="af9"/>
          <w:rtl/>
        </w:rPr>
        <w:t>רבינו יונה</w:t>
      </w:r>
      <w:r>
        <w:rPr>
          <w:rFonts w:hint="cs"/>
          <w:rtl/>
        </w:rPr>
        <w:t xml:space="preserve"> דהא דאיתא בגמ' לקמן </w:t>
      </w:r>
      <w:r w:rsidRPr="00B16039">
        <w:rPr>
          <w:rStyle w:val="af7"/>
          <w:rFonts w:eastAsia="Guttman Hodes" w:hint="cs"/>
          <w:rtl/>
        </w:rPr>
        <w:t>(ע.)</w:t>
      </w:r>
      <w:r>
        <w:rPr>
          <w:rFonts w:hint="cs"/>
          <w:rtl/>
        </w:rPr>
        <w:t xml:space="preserve"> דהמפקיד בשטר נאמן בשבועה לומר החזרתי, במיגו דהיה טוען נאנסו שהיה נאמן בשבועה, הוא כיון דבכה"ג א"א לומר דמתוך שאינו יכול לישבע שנאנסו ישלם, כיון שחיוב שבועת השומרים היא רק כשטוען הנפקד שהפקדון אבד, דחל עליו חיוב שבועה שנאבד באונס, אבל כשאינו טוען שאבד הפקדון אין עליו כל חיוב שבועה</w:t>
      </w:r>
      <w:r w:rsidRPr="000F5186">
        <w:rPr>
          <w:rFonts w:hint="cs"/>
          <w:rtl/>
        </w:rPr>
        <w:t xml:space="preserve">, </w:t>
      </w:r>
      <w:bookmarkStart w:id="17867" w:name="_Ref66054768"/>
      <w:bookmarkEnd w:id="17865"/>
      <w:r w:rsidRPr="000F5186">
        <w:rPr>
          <w:rFonts w:hint="cs"/>
          <w:rtl/>
        </w:rPr>
        <w:t xml:space="preserve">וכ"כ </w:t>
      </w:r>
      <w:r w:rsidRPr="000F5186">
        <w:rPr>
          <w:rStyle w:val="af9"/>
          <w:rtl/>
        </w:rPr>
        <w:t>התוס' הרא"ש בשיטמ"ק</w:t>
      </w:r>
      <w:r w:rsidRPr="000F5186">
        <w:rPr>
          <w:rFonts w:hint="cs"/>
          <w:rtl/>
        </w:rPr>
        <w:t xml:space="preserve"> </w:t>
      </w:r>
      <w:r w:rsidRPr="000F5186">
        <w:rPr>
          <w:rStyle w:val="af7"/>
          <w:rFonts w:eastAsia="Guttman Hodes" w:hint="cs"/>
          <w:rtl/>
        </w:rPr>
        <w:t>(ד"ה על מה שתירצו)</w:t>
      </w:r>
      <w:r w:rsidRPr="000F5186">
        <w:rPr>
          <w:rFonts w:hint="cs"/>
          <w:rtl/>
        </w:rPr>
        <w:t xml:space="preserve"> בדעת (הריב"ן) [</w:t>
      </w:r>
      <w:r w:rsidRPr="000F5186">
        <w:rPr>
          <w:rStyle w:val="af9"/>
          <w:rtl/>
        </w:rPr>
        <w:t>הריב"ם</w:t>
      </w:r>
      <w:r w:rsidRPr="000F5186">
        <w:rPr>
          <w:rFonts w:hint="cs"/>
          <w:rtl/>
        </w:rPr>
        <w:t xml:space="preserve">], ועי' במה שהוכיח </w:t>
      </w:r>
      <w:r w:rsidRPr="000F5186">
        <w:rPr>
          <w:rStyle w:val="af9"/>
          <w:rFonts w:hint="cs"/>
          <w:rtl/>
        </w:rPr>
        <w:t>האמרי ברוך</w:t>
      </w:r>
      <w:r w:rsidRPr="000F5186">
        <w:rPr>
          <w:rFonts w:hint="cs"/>
          <w:rtl/>
        </w:rPr>
        <w:t xml:space="preserve"> </w:t>
      </w:r>
      <w:r w:rsidRPr="000F5186">
        <w:rPr>
          <w:rStyle w:val="af7"/>
          <w:rFonts w:eastAsia="Guttman Hodes" w:hint="cs"/>
          <w:rtl/>
        </w:rPr>
        <w:t xml:space="preserve">(עי' אות </w:t>
      </w:r>
      <w:r w:rsidRPr="000F5186">
        <w:rPr>
          <w:rStyle w:val="af7"/>
          <w:rFonts w:eastAsia="Guttman Hodes"/>
          <w:rtl/>
        </w:rPr>
        <w:fldChar w:fldCharType="begin"/>
      </w:r>
      <w:r w:rsidRPr="000F5186">
        <w:rPr>
          <w:rStyle w:val="af7"/>
          <w:rFonts w:eastAsia="Guttman Hodes"/>
          <w:rtl/>
        </w:rPr>
        <w:instrText xml:space="preserve"> </w:instrText>
      </w:r>
      <w:r w:rsidRPr="000F5186">
        <w:rPr>
          <w:rStyle w:val="af7"/>
          <w:rFonts w:eastAsia="Guttman Hodes" w:hint="cs"/>
        </w:rPr>
        <w:instrText>REF</w:instrText>
      </w:r>
      <w:r w:rsidRPr="000F5186">
        <w:rPr>
          <w:rStyle w:val="af7"/>
          <w:rFonts w:eastAsia="Guttman Hodes" w:hint="cs"/>
          <w:rtl/>
        </w:rPr>
        <w:instrText xml:space="preserve"> _</w:instrText>
      </w:r>
      <w:r w:rsidRPr="000F5186">
        <w:rPr>
          <w:rStyle w:val="af7"/>
          <w:rFonts w:eastAsia="Guttman Hodes" w:hint="cs"/>
        </w:rPr>
        <w:instrText>Ref66109120 \r \h</w:instrText>
      </w:r>
      <w:r w:rsidRPr="000F518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F5186">
        <w:rPr>
          <w:rStyle w:val="af7"/>
          <w:rFonts w:eastAsia="Guttman Hodes"/>
          <w:rtl/>
        </w:rPr>
      </w:r>
      <w:r w:rsidRPr="000F5186">
        <w:rPr>
          <w:rStyle w:val="af7"/>
          <w:rFonts w:eastAsia="Guttman Hodes"/>
          <w:rtl/>
        </w:rPr>
        <w:fldChar w:fldCharType="separate"/>
      </w:r>
      <w:r w:rsidR="00265073">
        <w:rPr>
          <w:rStyle w:val="af7"/>
          <w:rFonts w:eastAsia="Guttman Hodes"/>
          <w:cs/>
        </w:rPr>
        <w:t>‎</w:t>
      </w:r>
      <w:r w:rsidR="00265073">
        <w:rPr>
          <w:rStyle w:val="af7"/>
          <w:rFonts w:eastAsia="Guttman Hodes"/>
          <w:rtl/>
        </w:rPr>
        <w:t>נא)</w:t>
      </w:r>
      <w:r w:rsidRPr="000F5186">
        <w:rPr>
          <w:rStyle w:val="af7"/>
          <w:rFonts w:eastAsia="Guttman Hodes"/>
          <w:rtl/>
        </w:rPr>
        <w:fldChar w:fldCharType="end"/>
      </w:r>
      <w:r w:rsidRPr="000F5186">
        <w:rPr>
          <w:rFonts w:hint="cs"/>
          <w:rtl/>
        </w:rPr>
        <w:t xml:space="preserve"> </w:t>
      </w:r>
      <w:r w:rsidRPr="000F5186">
        <w:rPr>
          <w:rStyle w:val="af9"/>
          <w:rFonts w:hint="cs"/>
          <w:rtl/>
        </w:rPr>
        <w:t>דרבינו יונה</w:t>
      </w:r>
      <w:r w:rsidRPr="000F5186">
        <w:rPr>
          <w:rFonts w:hint="cs"/>
          <w:rtl/>
        </w:rPr>
        <w:t xml:space="preserve"> לא ס"ל </w:t>
      </w:r>
      <w:r w:rsidRPr="000F5186">
        <w:rPr>
          <w:rStyle w:val="af9"/>
          <w:rFonts w:hint="cs"/>
          <w:rtl/>
        </w:rPr>
        <w:t>כרמב"ן</w:t>
      </w:r>
      <w:r w:rsidRPr="000F5186">
        <w:rPr>
          <w:rFonts w:hint="cs"/>
          <w:rtl/>
        </w:rPr>
        <w:t>, ועי' במה שביארו</w:t>
      </w:r>
      <w:r w:rsidRPr="000F5186">
        <w:rPr>
          <w:rStyle w:val="af9"/>
          <w:rFonts w:hint="cs"/>
          <w:rtl/>
        </w:rPr>
        <w:t xml:space="preserve"> הברכ"ש</w:t>
      </w:r>
      <w:r w:rsidRPr="000F5186">
        <w:rPr>
          <w:rFonts w:hint="cs"/>
          <w:rtl/>
        </w:rPr>
        <w:t xml:space="preserve"> </w:t>
      </w:r>
      <w:r w:rsidRPr="000F5186">
        <w:rPr>
          <w:rStyle w:val="af7"/>
          <w:rFonts w:eastAsia="Guttman Hodes" w:hint="cs"/>
          <w:rtl/>
        </w:rPr>
        <w:t xml:space="preserve">(עי' אות </w:t>
      </w:r>
      <w:r w:rsidRPr="000F5186">
        <w:rPr>
          <w:rStyle w:val="af7"/>
          <w:rFonts w:eastAsia="Guttman Hodes"/>
          <w:rtl/>
        </w:rPr>
        <w:fldChar w:fldCharType="begin"/>
      </w:r>
      <w:r w:rsidRPr="000F5186">
        <w:rPr>
          <w:rStyle w:val="af7"/>
          <w:rFonts w:eastAsia="Guttman Hodes"/>
          <w:rtl/>
        </w:rPr>
        <w:instrText xml:space="preserve"> </w:instrText>
      </w:r>
      <w:r w:rsidRPr="000F5186">
        <w:rPr>
          <w:rStyle w:val="af7"/>
          <w:rFonts w:eastAsia="Guttman Hodes" w:hint="cs"/>
        </w:rPr>
        <w:instrText>REF</w:instrText>
      </w:r>
      <w:r w:rsidRPr="000F5186">
        <w:rPr>
          <w:rStyle w:val="af7"/>
          <w:rFonts w:eastAsia="Guttman Hodes" w:hint="cs"/>
          <w:rtl/>
        </w:rPr>
        <w:instrText xml:space="preserve"> _</w:instrText>
      </w:r>
      <w:r w:rsidRPr="000F5186">
        <w:rPr>
          <w:rStyle w:val="af7"/>
          <w:rFonts w:eastAsia="Guttman Hodes" w:hint="cs"/>
        </w:rPr>
        <w:instrText>Ref66186119 \r \h</w:instrText>
      </w:r>
      <w:r w:rsidRPr="000F518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F5186">
        <w:rPr>
          <w:rStyle w:val="af7"/>
          <w:rFonts w:eastAsia="Guttman Hodes"/>
          <w:rtl/>
        </w:rPr>
      </w:r>
      <w:r w:rsidRPr="000F5186">
        <w:rPr>
          <w:rStyle w:val="af7"/>
          <w:rFonts w:eastAsia="Guttman Hodes"/>
          <w:rtl/>
        </w:rPr>
        <w:fldChar w:fldCharType="separate"/>
      </w:r>
      <w:r w:rsidR="00265073">
        <w:rPr>
          <w:rStyle w:val="af7"/>
          <w:rFonts w:eastAsia="Guttman Hodes"/>
          <w:cs/>
        </w:rPr>
        <w:t>‎</w:t>
      </w:r>
      <w:r w:rsidR="00265073">
        <w:rPr>
          <w:rStyle w:val="af7"/>
          <w:rFonts w:eastAsia="Guttman Hodes"/>
          <w:rtl/>
        </w:rPr>
        <w:t>צג)</w:t>
      </w:r>
      <w:r w:rsidRPr="000F5186">
        <w:rPr>
          <w:rStyle w:val="af7"/>
          <w:rFonts w:eastAsia="Guttman Hodes"/>
          <w:rtl/>
        </w:rPr>
        <w:fldChar w:fldCharType="end"/>
      </w:r>
      <w:r w:rsidRPr="000F5186">
        <w:rPr>
          <w:rStyle w:val="af7"/>
          <w:rFonts w:eastAsia="Guttman Hodes" w:hint="cs"/>
          <w:rtl/>
        </w:rPr>
        <w:t xml:space="preserve"> </w:t>
      </w:r>
      <w:r w:rsidRPr="000F5186">
        <w:rPr>
          <w:rStyle w:val="af9"/>
          <w:rFonts w:hint="cs"/>
          <w:rtl/>
        </w:rPr>
        <w:t>ובחו"ש הגרב"ב</w:t>
      </w:r>
      <w:r w:rsidRPr="000F5186">
        <w:rPr>
          <w:rFonts w:hint="cs"/>
          <w:rtl/>
        </w:rPr>
        <w:t xml:space="preserve"> </w:t>
      </w:r>
      <w:r w:rsidRPr="000F5186">
        <w:rPr>
          <w:rStyle w:val="af7"/>
          <w:rFonts w:eastAsia="Guttman Hodes" w:hint="cs"/>
          <w:rtl/>
        </w:rPr>
        <w:t xml:space="preserve">(עי' אות </w:t>
      </w:r>
      <w:r w:rsidRPr="000F5186">
        <w:rPr>
          <w:rStyle w:val="af7"/>
          <w:rFonts w:eastAsia="Guttman Hodes"/>
          <w:rtl/>
        </w:rPr>
        <w:fldChar w:fldCharType="begin"/>
      </w:r>
      <w:r w:rsidRPr="000F5186">
        <w:rPr>
          <w:rStyle w:val="af7"/>
          <w:rFonts w:eastAsia="Guttman Hodes"/>
          <w:rtl/>
        </w:rPr>
        <w:instrText xml:space="preserve"> </w:instrText>
      </w:r>
      <w:r w:rsidRPr="000F5186">
        <w:rPr>
          <w:rStyle w:val="af7"/>
          <w:rFonts w:eastAsia="Guttman Hodes" w:hint="cs"/>
        </w:rPr>
        <w:instrText>REF</w:instrText>
      </w:r>
      <w:r w:rsidRPr="000F5186">
        <w:rPr>
          <w:rStyle w:val="af7"/>
          <w:rFonts w:eastAsia="Guttman Hodes" w:hint="cs"/>
          <w:rtl/>
        </w:rPr>
        <w:instrText xml:space="preserve"> _</w:instrText>
      </w:r>
      <w:r w:rsidRPr="000F5186">
        <w:rPr>
          <w:rStyle w:val="af7"/>
          <w:rFonts w:eastAsia="Guttman Hodes" w:hint="cs"/>
        </w:rPr>
        <w:instrText>Ref65837002 \r \h</w:instrText>
      </w:r>
      <w:r w:rsidRPr="000F518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F5186">
        <w:rPr>
          <w:rStyle w:val="af7"/>
          <w:rFonts w:eastAsia="Guttman Hodes"/>
          <w:rtl/>
        </w:rPr>
      </w:r>
      <w:r w:rsidRPr="000F5186">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0F5186">
        <w:rPr>
          <w:rStyle w:val="af7"/>
          <w:rFonts w:eastAsia="Guttman Hodes"/>
          <w:rtl/>
        </w:rPr>
        <w:fldChar w:fldCharType="end"/>
      </w:r>
      <w:r w:rsidRPr="000F5186">
        <w:rPr>
          <w:rStyle w:val="af9"/>
          <w:rFonts w:hint="cs"/>
          <w:rtl/>
        </w:rPr>
        <w:t xml:space="preserve"> והקוב"ש</w:t>
      </w:r>
      <w:r w:rsidRPr="000F5186">
        <w:rPr>
          <w:rFonts w:hint="cs"/>
          <w:rtl/>
        </w:rPr>
        <w:t xml:space="preserve"> </w:t>
      </w:r>
      <w:r w:rsidRPr="000F5186">
        <w:rPr>
          <w:rStyle w:val="af7"/>
          <w:rFonts w:eastAsia="Guttman Hodes" w:hint="cs"/>
          <w:rtl/>
        </w:rPr>
        <w:t xml:space="preserve">(עי' אות </w:t>
      </w:r>
      <w:r w:rsidRPr="000F5186">
        <w:rPr>
          <w:rStyle w:val="af7"/>
          <w:rFonts w:eastAsia="Guttman Hodes"/>
          <w:rtl/>
        </w:rPr>
        <w:fldChar w:fldCharType="begin"/>
      </w:r>
      <w:r w:rsidRPr="000F5186">
        <w:rPr>
          <w:rStyle w:val="af7"/>
          <w:rFonts w:eastAsia="Guttman Hodes"/>
          <w:rtl/>
        </w:rPr>
        <w:instrText xml:space="preserve"> </w:instrText>
      </w:r>
      <w:r w:rsidRPr="000F5186">
        <w:rPr>
          <w:rStyle w:val="af7"/>
          <w:rFonts w:eastAsia="Guttman Hodes" w:hint="cs"/>
        </w:rPr>
        <w:instrText>REF</w:instrText>
      </w:r>
      <w:r w:rsidRPr="000F5186">
        <w:rPr>
          <w:rStyle w:val="af7"/>
          <w:rFonts w:eastAsia="Guttman Hodes" w:hint="cs"/>
          <w:rtl/>
        </w:rPr>
        <w:instrText xml:space="preserve"> _</w:instrText>
      </w:r>
      <w:r w:rsidRPr="000F5186">
        <w:rPr>
          <w:rStyle w:val="af7"/>
          <w:rFonts w:eastAsia="Guttman Hodes" w:hint="cs"/>
        </w:rPr>
        <w:instrText>Ref66054863 \r \h</w:instrText>
      </w:r>
      <w:r w:rsidRPr="000F518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F5186">
        <w:rPr>
          <w:rStyle w:val="af7"/>
          <w:rFonts w:eastAsia="Guttman Hodes"/>
          <w:rtl/>
        </w:rPr>
      </w:r>
      <w:r w:rsidRPr="000F5186">
        <w:rPr>
          <w:rStyle w:val="af7"/>
          <w:rFonts w:eastAsia="Guttman Hodes"/>
          <w:rtl/>
        </w:rPr>
        <w:fldChar w:fldCharType="separate"/>
      </w:r>
      <w:r w:rsidR="00265073">
        <w:rPr>
          <w:rStyle w:val="af7"/>
          <w:rFonts w:eastAsia="Guttman Hodes"/>
          <w:cs/>
        </w:rPr>
        <w:t>‎</w:t>
      </w:r>
      <w:r w:rsidR="00265073">
        <w:rPr>
          <w:rStyle w:val="af7"/>
          <w:rFonts w:eastAsia="Guttman Hodes"/>
          <w:rtl/>
        </w:rPr>
        <w:t>קכא)</w:t>
      </w:r>
      <w:r w:rsidRPr="000F5186">
        <w:rPr>
          <w:rStyle w:val="af7"/>
          <w:rFonts w:eastAsia="Guttman Hodes"/>
          <w:rtl/>
        </w:rPr>
        <w:fldChar w:fldCharType="end"/>
      </w:r>
      <w:r w:rsidRPr="000F5186">
        <w:rPr>
          <w:rFonts w:hint="cs"/>
          <w:rtl/>
        </w:rPr>
        <w:t xml:space="preserve"> </w:t>
      </w:r>
      <w:r w:rsidRPr="000F5186">
        <w:rPr>
          <w:rStyle w:val="af9"/>
          <w:rFonts w:hint="cs"/>
          <w:rtl/>
        </w:rPr>
        <w:t>ובחי' הגרש"ש</w:t>
      </w:r>
      <w:r w:rsidRPr="000F5186">
        <w:rPr>
          <w:rFonts w:hint="cs"/>
          <w:rtl/>
        </w:rPr>
        <w:t xml:space="preserve"> </w:t>
      </w:r>
      <w:r w:rsidRPr="000F5186">
        <w:rPr>
          <w:rStyle w:val="af7"/>
          <w:rFonts w:eastAsia="Guttman Hodes" w:hint="cs"/>
          <w:rtl/>
        </w:rPr>
        <w:t xml:space="preserve">(עי' אות </w:t>
      </w:r>
      <w:r w:rsidRPr="000F5186">
        <w:rPr>
          <w:rStyle w:val="af7"/>
          <w:rFonts w:eastAsia="Guttman Hodes"/>
          <w:rtl/>
        </w:rPr>
        <w:fldChar w:fldCharType="begin"/>
      </w:r>
      <w:r w:rsidRPr="000F5186">
        <w:rPr>
          <w:rStyle w:val="af7"/>
          <w:rFonts w:eastAsia="Guttman Hodes"/>
          <w:rtl/>
        </w:rPr>
        <w:instrText xml:space="preserve"> </w:instrText>
      </w:r>
      <w:r w:rsidRPr="000F5186">
        <w:rPr>
          <w:rStyle w:val="af7"/>
          <w:rFonts w:eastAsia="Guttman Hodes" w:hint="cs"/>
        </w:rPr>
        <w:instrText>REF</w:instrText>
      </w:r>
      <w:r w:rsidRPr="000F5186">
        <w:rPr>
          <w:rStyle w:val="af7"/>
          <w:rFonts w:eastAsia="Guttman Hodes" w:hint="cs"/>
          <w:rtl/>
        </w:rPr>
        <w:instrText xml:space="preserve"> _</w:instrText>
      </w:r>
      <w:r w:rsidRPr="000F5186">
        <w:rPr>
          <w:rStyle w:val="af7"/>
          <w:rFonts w:eastAsia="Guttman Hodes" w:hint="cs"/>
        </w:rPr>
        <w:instrText>Ref66054785 \r \h</w:instrText>
      </w:r>
      <w:r w:rsidRPr="000F518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F5186">
        <w:rPr>
          <w:rStyle w:val="af7"/>
          <w:rFonts w:eastAsia="Guttman Hodes"/>
          <w:rtl/>
        </w:rPr>
      </w:r>
      <w:r w:rsidRPr="000F5186">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sidRPr="000F5186">
        <w:rPr>
          <w:rStyle w:val="af7"/>
          <w:rFonts w:eastAsia="Guttman Hodes"/>
          <w:rtl/>
        </w:rPr>
        <w:fldChar w:fldCharType="end"/>
      </w:r>
      <w:r w:rsidRPr="000F5186">
        <w:rPr>
          <w:rFonts w:hint="cs"/>
          <w:rtl/>
        </w:rPr>
        <w:t xml:space="preserve"> </w:t>
      </w:r>
      <w:r w:rsidRPr="000F5186">
        <w:rPr>
          <w:rStyle w:val="af9"/>
          <w:rFonts w:hint="cs"/>
          <w:rtl/>
        </w:rPr>
        <w:t>ובחי' הגר"ח מטעלז</w:t>
      </w:r>
      <w:r w:rsidRPr="000F5186">
        <w:rPr>
          <w:rFonts w:hint="cs"/>
          <w:rtl/>
        </w:rPr>
        <w:t xml:space="preserve"> </w:t>
      </w:r>
      <w:r w:rsidRPr="000F5186">
        <w:rPr>
          <w:rStyle w:val="af7"/>
          <w:rFonts w:eastAsia="Guttman Hodes" w:hint="cs"/>
          <w:rtl/>
        </w:rPr>
        <w:t xml:space="preserve">(עי' אות </w:t>
      </w:r>
      <w:r w:rsidRPr="000F5186">
        <w:rPr>
          <w:rStyle w:val="af7"/>
          <w:rFonts w:eastAsia="Guttman Hodes"/>
          <w:rtl/>
        </w:rPr>
        <w:fldChar w:fldCharType="begin"/>
      </w:r>
      <w:r w:rsidRPr="000F5186">
        <w:rPr>
          <w:rStyle w:val="af7"/>
          <w:rFonts w:eastAsia="Guttman Hodes"/>
          <w:rtl/>
        </w:rPr>
        <w:instrText xml:space="preserve"> </w:instrText>
      </w:r>
      <w:r w:rsidRPr="000F5186">
        <w:rPr>
          <w:rStyle w:val="af7"/>
          <w:rFonts w:eastAsia="Guttman Hodes" w:hint="cs"/>
        </w:rPr>
        <w:instrText>REF</w:instrText>
      </w:r>
      <w:r w:rsidRPr="000F5186">
        <w:rPr>
          <w:rStyle w:val="af7"/>
          <w:rFonts w:eastAsia="Guttman Hodes" w:hint="cs"/>
          <w:rtl/>
        </w:rPr>
        <w:instrText xml:space="preserve"> _</w:instrText>
      </w:r>
      <w:r w:rsidRPr="000F5186">
        <w:rPr>
          <w:rStyle w:val="af7"/>
          <w:rFonts w:eastAsia="Guttman Hodes" w:hint="cs"/>
        </w:rPr>
        <w:instrText>Ref66110750 \r \h</w:instrText>
      </w:r>
      <w:r w:rsidRPr="000F5186">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0F5186">
        <w:rPr>
          <w:rStyle w:val="af7"/>
          <w:rFonts w:eastAsia="Guttman Hodes"/>
          <w:rtl/>
        </w:rPr>
      </w:r>
      <w:r w:rsidRPr="000F5186">
        <w:rPr>
          <w:rStyle w:val="af7"/>
          <w:rFonts w:eastAsia="Guttman Hodes"/>
          <w:rtl/>
        </w:rPr>
        <w:fldChar w:fldCharType="separate"/>
      </w:r>
      <w:r w:rsidR="00265073">
        <w:rPr>
          <w:rStyle w:val="af7"/>
          <w:rFonts w:eastAsia="Guttman Hodes"/>
          <w:cs/>
        </w:rPr>
        <w:t>‎</w:t>
      </w:r>
      <w:r w:rsidR="00265073">
        <w:rPr>
          <w:rStyle w:val="af7"/>
          <w:rFonts w:eastAsia="Guttman Hodes"/>
          <w:rtl/>
        </w:rPr>
        <w:t>פו)</w:t>
      </w:r>
      <w:r w:rsidRPr="000F5186">
        <w:rPr>
          <w:rStyle w:val="af7"/>
          <w:rFonts w:eastAsia="Guttman Hodes"/>
          <w:rtl/>
        </w:rPr>
        <w:fldChar w:fldCharType="end"/>
      </w:r>
      <w:r w:rsidRPr="000F5186">
        <w:rPr>
          <w:rFonts w:hint="cs"/>
          <w:rtl/>
        </w:rPr>
        <w:t xml:space="preserve"> בדברי </w:t>
      </w:r>
      <w:r w:rsidRPr="000F5186">
        <w:rPr>
          <w:rStyle w:val="af9"/>
          <w:rtl/>
        </w:rPr>
        <w:t>רבינו יונה</w:t>
      </w:r>
      <w:r w:rsidRPr="000F5186">
        <w:rPr>
          <w:rFonts w:hint="cs"/>
          <w:rtl/>
        </w:rPr>
        <w:t xml:space="preserve"> </w:t>
      </w:r>
      <w:r w:rsidRPr="000F5186">
        <w:rPr>
          <w:rStyle w:val="af9"/>
          <w:rFonts w:hint="cs"/>
          <w:rtl/>
        </w:rPr>
        <w:t>ו</w:t>
      </w:r>
      <w:r w:rsidRPr="000F5186">
        <w:rPr>
          <w:rStyle w:val="af9"/>
          <w:rtl/>
        </w:rPr>
        <w:t>התוס' הרא"ש</w:t>
      </w:r>
      <w:r w:rsidRPr="000F5186">
        <w:rPr>
          <w:rFonts w:hint="cs"/>
          <w:rtl/>
        </w:rPr>
        <w:t xml:space="preserve">, וע"ע במ"ש </w:t>
      </w:r>
      <w:r w:rsidRPr="000F5186">
        <w:rPr>
          <w:rStyle w:val="af9"/>
          <w:rFonts w:hint="cs"/>
          <w:rtl/>
        </w:rPr>
        <w:t>האבי עזרי</w:t>
      </w:r>
      <w:r w:rsidRPr="000F5186">
        <w:rPr>
          <w:rFonts w:hint="cs"/>
          <w:rtl/>
        </w:rPr>
        <w:t xml:space="preserve"> </w:t>
      </w:r>
      <w:r w:rsidRPr="000F5186">
        <w:rPr>
          <w:rStyle w:val="af7"/>
          <w:rFonts w:eastAsia="Guttman Hodes" w:hint="cs"/>
          <w:rtl/>
        </w:rPr>
        <w:t>(גזילה ואבידה פ"ד הי"ד ד"ה והנראה בזה)</w:t>
      </w:r>
      <w:r w:rsidRPr="000F5186">
        <w:rPr>
          <w:rFonts w:hint="cs"/>
          <w:rtl/>
        </w:rPr>
        <w:t>.</w:t>
      </w:r>
      <w:bookmarkEnd w:id="17866"/>
      <w:bookmarkEnd w:id="17867"/>
    </w:p>
    <w:p w:rsidR="00E824D3" w:rsidRPr="006904A4" w:rsidRDefault="00E824D3" w:rsidP="00E824D3">
      <w:pPr>
        <w:pStyle w:val="1"/>
        <w:rPr>
          <w:rtl/>
        </w:rPr>
      </w:pPr>
      <w:bookmarkStart w:id="17868" w:name="_Toc66085935"/>
      <w:bookmarkStart w:id="17869" w:name="_Toc66110501"/>
      <w:bookmarkStart w:id="17870" w:name="_Toc66123361"/>
      <w:bookmarkStart w:id="17871" w:name="_Toc66143809"/>
      <w:bookmarkStart w:id="17872" w:name="_Toc66171972"/>
      <w:bookmarkStart w:id="17873" w:name="_Toc66183212"/>
      <w:bookmarkStart w:id="17874" w:name="_Toc66185992"/>
      <w:bookmarkStart w:id="17875" w:name="_Toc66193452"/>
      <w:r>
        <w:rPr>
          <w:rFonts w:hint="cs"/>
          <w:rtl/>
        </w:rPr>
        <w:t>ביאור רבינו יונה בדעת רב ושמואל דלא אמרינן משאיל"מ</w:t>
      </w:r>
      <w:bookmarkEnd w:id="17868"/>
      <w:bookmarkEnd w:id="17869"/>
      <w:bookmarkEnd w:id="17870"/>
      <w:bookmarkEnd w:id="17871"/>
      <w:bookmarkEnd w:id="17872"/>
      <w:bookmarkEnd w:id="17873"/>
      <w:bookmarkEnd w:id="17874"/>
      <w:bookmarkEnd w:id="17875"/>
    </w:p>
    <w:p w:rsidR="00E824D3" w:rsidRPr="00D13DDC" w:rsidRDefault="00E824D3" w:rsidP="00E824D3">
      <w:pPr>
        <w:pStyle w:val="a3"/>
        <w:rPr>
          <w:rtl/>
        </w:rPr>
      </w:pPr>
      <w:bookmarkStart w:id="17876" w:name="_Toc66085936"/>
      <w:bookmarkStart w:id="17877" w:name="_Toc66110502"/>
      <w:bookmarkStart w:id="17878" w:name="_Toc66123362"/>
      <w:bookmarkStart w:id="17879" w:name="_Toc66143810"/>
      <w:bookmarkStart w:id="17880" w:name="_Toc66171973"/>
      <w:bookmarkStart w:id="17881" w:name="_Toc66183213"/>
      <w:bookmarkStart w:id="17882" w:name="_Toc66185993"/>
      <w:bookmarkStart w:id="17883" w:name="_Toc66193453"/>
      <w:r w:rsidRPr="00D13DDC">
        <w:rPr>
          <w:rFonts w:hint="cs"/>
          <w:rtl/>
        </w:rPr>
        <w:t>דברי רבינו יונה דלרב ושמואל דל"א משאיל"מ כשאינו יכול להשבע לא חל חיוב שבועה</w:t>
      </w:r>
      <w:bookmarkEnd w:id="17876"/>
      <w:bookmarkEnd w:id="17877"/>
      <w:bookmarkEnd w:id="17878"/>
      <w:bookmarkEnd w:id="17879"/>
      <w:bookmarkEnd w:id="17880"/>
      <w:bookmarkEnd w:id="17881"/>
      <w:bookmarkEnd w:id="17882"/>
      <w:bookmarkEnd w:id="17883"/>
    </w:p>
    <w:p w:rsidR="00E824D3" w:rsidRDefault="00E824D3" w:rsidP="007E4E81">
      <w:pPr>
        <w:pStyle w:val="a0"/>
        <w:rPr>
          <w:rtl/>
        </w:rPr>
      </w:pPr>
      <w:r>
        <w:rPr>
          <w:rFonts w:hint="cs"/>
          <w:rtl/>
        </w:rPr>
        <w:t>ובדעת רב ושמואל דס"ל בגמ' בשבועות</w:t>
      </w:r>
      <w:r w:rsidRPr="006F23DA">
        <w:rPr>
          <w:rStyle w:val="af9"/>
          <w:rFonts w:hint="cs"/>
          <w:rtl/>
        </w:rPr>
        <w:t xml:space="preserve"> </w:t>
      </w:r>
      <w:r w:rsidRPr="00E23A21">
        <w:rPr>
          <w:rStyle w:val="af7"/>
          <w:rFonts w:eastAsia="Guttman Hodes" w:hint="cs"/>
          <w:rtl/>
        </w:rPr>
        <w:t>(מז.)</w:t>
      </w:r>
      <w:r w:rsidRPr="006F23DA">
        <w:rPr>
          <w:rStyle w:val="af9"/>
          <w:rFonts w:hint="cs"/>
          <w:rtl/>
        </w:rPr>
        <w:t xml:space="preserve"> </w:t>
      </w:r>
      <w:r w:rsidRPr="007B46DC">
        <w:rPr>
          <w:rFonts w:hint="cs"/>
          <w:rtl/>
        </w:rPr>
        <w:t>דלא אמרינן</w:t>
      </w:r>
      <w:r>
        <w:rPr>
          <w:rFonts w:hint="cs"/>
          <w:rtl/>
        </w:rPr>
        <w:t xml:space="preserve"> משאיל"מ אלא חזרה שבועה לסיני, ביאר</w:t>
      </w:r>
      <w:r>
        <w:rPr>
          <w:rStyle w:val="af9"/>
          <w:rFonts w:hint="cs"/>
          <w:rtl/>
        </w:rPr>
        <w:t xml:space="preserve">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w:t>
      </w:r>
      <w:r w:rsidRPr="00E23A21">
        <w:rPr>
          <w:rStyle w:val="af7"/>
          <w:rFonts w:eastAsia="Guttman Hodes" w:hint="cs"/>
          <w:rtl/>
        </w:rPr>
        <w:t>(ד"ה לשתבע)</w:t>
      </w:r>
      <w:r>
        <w:rPr>
          <w:rFonts w:hint="cs"/>
          <w:rtl/>
        </w:rPr>
        <w:t xml:space="preserve"> דדין שבועה הוא דבמקום שיכול להשבע בשבועת התורה, או שנשבע או שמשלם, ובמקום שאינו יכול להשבע, כיון שהוא חשוד, או שהוא מודה לע"א ופוטר את עצמו בטענה אחרת, ואינו מכחיש את הע"א, כגון בסוגיין דטוען אין חטפי ודידי חטפי, לא חל עליו חיוב שבועה, וא"כ א"א לומר דהוא מחויב שבועה שאינו יכול להשבע,</w:t>
      </w:r>
      <w:r w:rsidRPr="00E23A21">
        <w:rPr>
          <w:rFonts w:hint="cs"/>
          <w:rtl/>
        </w:rPr>
        <w:t xml:space="preserve"> </w:t>
      </w:r>
      <w:r>
        <w:rPr>
          <w:rFonts w:hint="cs"/>
          <w:rtl/>
        </w:rPr>
        <w:t>ולכן ס"ל לרב ושמואל דלא אמרינן מתוך שאינו יכול לישבע משלם.</w:t>
      </w:r>
    </w:p>
    <w:p w:rsidR="00E824D3" w:rsidRPr="00D13DDC" w:rsidRDefault="00E824D3" w:rsidP="00E824D3">
      <w:pPr>
        <w:pStyle w:val="a3"/>
        <w:rPr>
          <w:rtl/>
        </w:rPr>
      </w:pPr>
      <w:bookmarkStart w:id="17884" w:name="_Toc66085937"/>
      <w:bookmarkStart w:id="17885" w:name="_Toc66110503"/>
      <w:bookmarkStart w:id="17886" w:name="_Toc66123363"/>
      <w:bookmarkStart w:id="17887" w:name="_Toc66143811"/>
      <w:bookmarkStart w:id="17888" w:name="_Toc66171974"/>
      <w:bookmarkStart w:id="17889" w:name="_Toc66183214"/>
      <w:bookmarkStart w:id="17890" w:name="_Toc66185994"/>
      <w:bookmarkStart w:id="17891" w:name="_Toc66193454"/>
      <w:r w:rsidRPr="00D13DDC">
        <w:rPr>
          <w:rFonts w:hint="cs"/>
          <w:rtl/>
        </w:rPr>
        <w:t>דברי רבינו יונה דלרב ושמואל דבמודה במקצת והוא חשוד פטור מדאו' ומדרבנן שכנגדו נשבע</w:t>
      </w:r>
      <w:bookmarkEnd w:id="17884"/>
      <w:bookmarkEnd w:id="17885"/>
      <w:bookmarkEnd w:id="17886"/>
      <w:bookmarkEnd w:id="17887"/>
      <w:bookmarkEnd w:id="17888"/>
      <w:bookmarkEnd w:id="17889"/>
      <w:bookmarkEnd w:id="17890"/>
      <w:bookmarkEnd w:id="17891"/>
    </w:p>
    <w:p w:rsidR="00E824D3" w:rsidRDefault="00E824D3" w:rsidP="007E4E81">
      <w:pPr>
        <w:pStyle w:val="a0"/>
        <w:rPr>
          <w:rtl/>
        </w:rPr>
      </w:pPr>
      <w:r>
        <w:rPr>
          <w:rFonts w:hint="cs"/>
          <w:rtl/>
        </w:rPr>
        <w:t xml:space="preserve">וביאר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דס"ל לרב ושמואל דבשבועת מודה במקצת, והוא חשוד על השבועה, מדאו' הוא פטור משבועה, ורק רבנן תיקנו דכשנגדו נשבע ונוטל, ואם שניהם חשודים פטור.</w:t>
      </w:r>
    </w:p>
    <w:p w:rsidR="00E824D3" w:rsidRPr="00D13DDC" w:rsidRDefault="00E824D3" w:rsidP="00E824D3">
      <w:pPr>
        <w:pStyle w:val="a3"/>
        <w:rPr>
          <w:rtl/>
        </w:rPr>
      </w:pPr>
      <w:bookmarkStart w:id="17892" w:name="_Toc66085938"/>
      <w:bookmarkStart w:id="17893" w:name="_Toc66110504"/>
      <w:bookmarkStart w:id="17894" w:name="_Toc66123364"/>
      <w:bookmarkStart w:id="17895" w:name="_Toc66143812"/>
      <w:bookmarkStart w:id="17896" w:name="_Toc66171975"/>
      <w:bookmarkStart w:id="17897" w:name="_Toc66183215"/>
      <w:bookmarkStart w:id="17898" w:name="_Toc66185995"/>
      <w:bookmarkStart w:id="17899" w:name="_Toc66193455"/>
      <w:r w:rsidRPr="00D13DDC">
        <w:rPr>
          <w:rFonts w:hint="cs"/>
          <w:rtl/>
        </w:rPr>
        <w:t>דברי רבינו יונה דלרב ושמואל דמודה לע"א צריך להפטר אך א"א לפוטרו דאי יש ב' עדים חייב</w:t>
      </w:r>
      <w:bookmarkEnd w:id="17892"/>
      <w:bookmarkEnd w:id="17893"/>
      <w:bookmarkEnd w:id="17894"/>
      <w:bookmarkEnd w:id="17895"/>
      <w:bookmarkEnd w:id="17896"/>
      <w:bookmarkEnd w:id="17897"/>
      <w:bookmarkEnd w:id="17898"/>
      <w:bookmarkEnd w:id="17899"/>
    </w:p>
    <w:p w:rsidR="00E824D3" w:rsidRDefault="00E824D3" w:rsidP="007E4E81">
      <w:pPr>
        <w:pStyle w:val="a0"/>
        <w:rPr>
          <w:rtl/>
        </w:rPr>
      </w:pPr>
      <w:r>
        <w:rPr>
          <w:rFonts w:hint="cs"/>
          <w:rtl/>
        </w:rPr>
        <w:t xml:space="preserve">ובשבועת ע"א ואינו מכחיש את הע"א כנסכא דר"א, ביאר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דס"ל לרב ושמואל דמדינא כיון שאינו יכול להשבע שבועה דאו', היה ראוי לפוטרו מהשבועה, אך כיון שאם היו ב' עדים שחטף, לא היה נאמן לטעון אין חטפי ודידי חטפי, במיגו דלא חטפי, לכן כשיש ע"א א"א לפוטרו בלא שבועה.</w:t>
      </w:r>
    </w:p>
    <w:p w:rsidR="00C32C27" w:rsidRPr="00C32C27" w:rsidRDefault="00C32C27" w:rsidP="00C32C27">
      <w:pPr>
        <w:pStyle w:val="a3"/>
        <w:rPr>
          <w:rtl/>
        </w:rPr>
      </w:pPr>
    </w:p>
    <w:p w:rsidR="00E824D3" w:rsidRPr="00D13DDC" w:rsidRDefault="00E824D3" w:rsidP="00E824D3">
      <w:pPr>
        <w:pStyle w:val="a3"/>
      </w:pPr>
      <w:bookmarkStart w:id="17900" w:name="_Toc66085939"/>
      <w:bookmarkStart w:id="17901" w:name="_Toc66110505"/>
      <w:bookmarkStart w:id="17902" w:name="_Toc66123365"/>
      <w:bookmarkStart w:id="17903" w:name="_Toc66143813"/>
      <w:bookmarkStart w:id="17904" w:name="_Toc66171976"/>
      <w:bookmarkStart w:id="17905" w:name="_Toc66183216"/>
      <w:bookmarkStart w:id="17906" w:name="_Toc66185996"/>
      <w:bookmarkStart w:id="17907" w:name="_Toc66193456"/>
      <w:r w:rsidRPr="00D13DDC">
        <w:rPr>
          <w:rFonts w:hint="cs"/>
          <w:rtl/>
        </w:rPr>
        <w:t>ביאור רבינו יונה דלרב ושמואל בטוען דידי חטפי נשבע ונאמן במיגו דהיה נשבע להחכיש העד</w:t>
      </w:r>
      <w:bookmarkEnd w:id="17900"/>
      <w:bookmarkEnd w:id="17901"/>
      <w:bookmarkEnd w:id="17902"/>
      <w:bookmarkEnd w:id="17903"/>
      <w:bookmarkEnd w:id="17904"/>
      <w:bookmarkEnd w:id="17905"/>
      <w:bookmarkEnd w:id="17906"/>
      <w:bookmarkEnd w:id="17907"/>
    </w:p>
    <w:p w:rsidR="00E824D3" w:rsidRDefault="00E824D3" w:rsidP="007E4E81">
      <w:pPr>
        <w:pStyle w:val="a0"/>
        <w:rPr>
          <w:rtl/>
        </w:rPr>
      </w:pPr>
      <w:r>
        <w:rPr>
          <w:rFonts w:hint="cs"/>
          <w:rtl/>
        </w:rPr>
        <w:t xml:space="preserve">וכתב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דלכן ס"ל לרב ושמואל דכיון שאם היה טוען לא חטפי היה מחוייב שבועה, לכן עכשיו שטוען אין חטפי ודידי חטפי, דכל הנאמנות שלו היא במיגו דהיה טוען לא חטפי, הוא נאמן רק בשבועה, וכדאיתא בגמ' לקמן </w:t>
      </w:r>
      <w:r w:rsidRPr="00A530C5">
        <w:rPr>
          <w:rStyle w:val="af7"/>
          <w:rFonts w:eastAsia="Guttman Hodes" w:hint="cs"/>
          <w:rtl/>
        </w:rPr>
        <w:t>(ע.)</w:t>
      </w:r>
      <w:r>
        <w:rPr>
          <w:rFonts w:hint="cs"/>
          <w:rtl/>
        </w:rPr>
        <w:t xml:space="preserve"> דהמפקיד בשטר נאמן לומר החזרתי, במיגו דהיה טוען נאנסו שהיה נאמן בשבועה, דכיון שבטענת המיגו דנאנסו היה נאמן רק בשבועה, אף כשטוען החזרתי נאמן</w:t>
      </w:r>
      <w:r w:rsidRPr="00BA4FE3">
        <w:rPr>
          <w:rFonts w:hint="cs"/>
          <w:rtl/>
        </w:rPr>
        <w:t xml:space="preserve"> </w:t>
      </w:r>
      <w:r>
        <w:rPr>
          <w:rFonts w:hint="cs"/>
          <w:rtl/>
        </w:rPr>
        <w:t xml:space="preserve">בשבועה. </w:t>
      </w:r>
    </w:p>
    <w:p w:rsidR="00E824D3" w:rsidRPr="00D13DDC" w:rsidRDefault="00E824D3" w:rsidP="00E824D3">
      <w:pPr>
        <w:pStyle w:val="a3"/>
        <w:rPr>
          <w:rtl/>
        </w:rPr>
      </w:pPr>
      <w:bookmarkStart w:id="17908" w:name="_Toc66085940"/>
      <w:bookmarkStart w:id="17909" w:name="_Toc66110506"/>
      <w:bookmarkStart w:id="17910" w:name="_Toc66123366"/>
      <w:bookmarkStart w:id="17911" w:name="_Toc66143814"/>
      <w:bookmarkStart w:id="17912" w:name="_Toc66171977"/>
      <w:bookmarkStart w:id="17913" w:name="_Toc66183217"/>
      <w:bookmarkStart w:id="17914" w:name="_Toc66185997"/>
      <w:bookmarkStart w:id="17915" w:name="_Toc66193457"/>
      <w:r w:rsidRPr="00D13DDC">
        <w:rPr>
          <w:rFonts w:hint="cs"/>
          <w:rtl/>
        </w:rPr>
        <w:t>דברי רבינו יונה דלר"א כל שלא נשבע שבועה דאו' יש גזיה"כ דהע"א כשנים ואמרינן משאיל"מ</w:t>
      </w:r>
      <w:bookmarkEnd w:id="17908"/>
      <w:bookmarkEnd w:id="17909"/>
      <w:bookmarkEnd w:id="17910"/>
      <w:bookmarkEnd w:id="17911"/>
      <w:bookmarkEnd w:id="17912"/>
      <w:bookmarkEnd w:id="17913"/>
      <w:bookmarkEnd w:id="17914"/>
      <w:bookmarkEnd w:id="17915"/>
    </w:p>
    <w:p w:rsidR="00E824D3" w:rsidRPr="00F95EBC" w:rsidRDefault="00E824D3" w:rsidP="007E4E81">
      <w:pPr>
        <w:pStyle w:val="a0"/>
        <w:rPr>
          <w:rStyle w:val="afb"/>
          <w:rtl/>
        </w:rPr>
      </w:pPr>
      <w:r>
        <w:rPr>
          <w:rFonts w:hint="cs"/>
          <w:rtl/>
        </w:rPr>
        <w:t xml:space="preserve">ובדעת רבי אבא דס"ל דאמרינן מתוך שאינו יכול לישבע משלם, ביאר </w:t>
      </w:r>
      <w:r w:rsidRPr="00E079C5">
        <w:rPr>
          <w:rStyle w:val="af9"/>
          <w:rFonts w:hint="cs"/>
          <w:rtl/>
        </w:rPr>
        <w:t>רבינו יונה</w:t>
      </w:r>
      <w:r>
        <w:rPr>
          <w:rFonts w:hint="cs"/>
          <w:rtl/>
        </w:rPr>
        <w:t xml:space="preserve"> דכל שאינו נשבע שבועה דאו', יש גזיה"כ שהע"א הוא כשנים, וממילא אינו נאמן במיגו, כמו שאם היו שנים שמעידים שחטף דלא היה נאמן במיגו והיה חייב לשלם. </w:t>
      </w:r>
    </w:p>
    <w:p w:rsidR="00E824D3" w:rsidRPr="00D13DDC" w:rsidRDefault="00E824D3" w:rsidP="00E824D3">
      <w:pPr>
        <w:pStyle w:val="a3"/>
        <w:rPr>
          <w:rtl/>
        </w:rPr>
      </w:pPr>
      <w:bookmarkStart w:id="17916" w:name="_Toc66085941"/>
      <w:bookmarkStart w:id="17917" w:name="_Toc66110507"/>
      <w:bookmarkStart w:id="17918" w:name="_Toc66123367"/>
      <w:bookmarkStart w:id="17919" w:name="_Toc66143815"/>
      <w:bookmarkStart w:id="17920" w:name="_Toc66171978"/>
      <w:bookmarkStart w:id="17921" w:name="_Toc66183218"/>
      <w:bookmarkStart w:id="17922" w:name="_Toc66185998"/>
      <w:bookmarkStart w:id="17923" w:name="_Toc66193458"/>
      <w:r w:rsidRPr="00D13DDC">
        <w:rPr>
          <w:rFonts w:hint="cs"/>
          <w:rtl/>
        </w:rPr>
        <w:t>דברי רבינו יונה דדינא דמשאיל"מ הוא בין במודה לע"א ובין בשבועת מודה במקצת והוא חשוד</w:t>
      </w:r>
      <w:bookmarkEnd w:id="17916"/>
      <w:bookmarkEnd w:id="17917"/>
      <w:bookmarkEnd w:id="17918"/>
      <w:bookmarkEnd w:id="17919"/>
      <w:bookmarkEnd w:id="17920"/>
      <w:bookmarkEnd w:id="17921"/>
      <w:bookmarkEnd w:id="17922"/>
      <w:bookmarkEnd w:id="17923"/>
    </w:p>
    <w:p w:rsidR="00E824D3" w:rsidRDefault="00E824D3" w:rsidP="007E4E81">
      <w:pPr>
        <w:pStyle w:val="a0"/>
        <w:rPr>
          <w:rtl/>
        </w:rPr>
      </w:pPr>
      <w:r>
        <w:rPr>
          <w:rFonts w:hint="cs"/>
          <w:rtl/>
        </w:rPr>
        <w:t xml:space="preserve">וכתב </w:t>
      </w:r>
      <w:r w:rsidRPr="004E23B9">
        <w:rPr>
          <w:rStyle w:val="af9"/>
          <w:rFonts w:hint="cs"/>
          <w:rtl/>
        </w:rPr>
        <w:t>רבינו</w:t>
      </w:r>
      <w:r>
        <w:rPr>
          <w:rFonts w:hint="cs"/>
          <w:rtl/>
        </w:rPr>
        <w:t xml:space="preserve"> </w:t>
      </w:r>
      <w:r w:rsidRPr="004E23B9">
        <w:rPr>
          <w:rStyle w:val="af9"/>
          <w:rFonts w:hint="cs"/>
          <w:rtl/>
        </w:rPr>
        <w:t>יונה</w:t>
      </w:r>
      <w:r>
        <w:rPr>
          <w:rFonts w:hint="cs"/>
          <w:rtl/>
        </w:rPr>
        <w:t xml:space="preserve"> דלרבי אבא אמרינן את דינא דמתוך שאינו יכול לישבע משלם, בין בשבועת ע"א, ובין בשבועת מודה במקצת, כשהוא חשוד על השבועה ואינו יכול להשבע.</w:t>
      </w:r>
    </w:p>
    <w:p w:rsidR="00E824D3" w:rsidRPr="00672DC7" w:rsidRDefault="00E824D3" w:rsidP="00E824D3">
      <w:pPr>
        <w:pStyle w:val="1"/>
        <w:rPr>
          <w:rtl/>
        </w:rPr>
      </w:pPr>
      <w:bookmarkStart w:id="17924" w:name="_Toc66110508"/>
      <w:bookmarkStart w:id="17925" w:name="_Toc66123368"/>
      <w:bookmarkStart w:id="17926" w:name="_Toc66143816"/>
      <w:bookmarkStart w:id="17927" w:name="_Toc66171979"/>
      <w:bookmarkStart w:id="17928" w:name="_Toc66183219"/>
      <w:bookmarkStart w:id="17929" w:name="_Toc66185999"/>
      <w:bookmarkStart w:id="17930" w:name="_Toc66193459"/>
      <w:r>
        <w:rPr>
          <w:rFonts w:hint="cs"/>
          <w:rtl/>
        </w:rPr>
        <w:t>פלוג' הסמ"ע והש"ך בריב"ם אי המיגו במק"ע או דל"מ לפוטרו</w:t>
      </w:r>
      <w:bookmarkEnd w:id="17924"/>
      <w:bookmarkEnd w:id="17925"/>
      <w:bookmarkEnd w:id="17926"/>
      <w:bookmarkEnd w:id="17927"/>
      <w:bookmarkEnd w:id="17928"/>
      <w:bookmarkEnd w:id="17929"/>
      <w:bookmarkEnd w:id="17930"/>
    </w:p>
    <w:p w:rsidR="00E824D3" w:rsidRPr="00790ACA" w:rsidRDefault="00E824D3" w:rsidP="00E824D3">
      <w:pPr>
        <w:pStyle w:val="a3"/>
        <w:rPr>
          <w:rtl/>
        </w:rPr>
      </w:pPr>
      <w:bookmarkStart w:id="17931" w:name="_Toc66110509"/>
      <w:bookmarkStart w:id="17932" w:name="_Toc66123369"/>
      <w:bookmarkStart w:id="17933" w:name="_Toc66143817"/>
      <w:bookmarkStart w:id="17934" w:name="_Toc66171980"/>
      <w:bookmarkStart w:id="17935" w:name="_Toc66183220"/>
      <w:bookmarkStart w:id="17936" w:name="_Toc66186000"/>
      <w:bookmarkStart w:id="17937" w:name="_Toc66193460"/>
      <w:r>
        <w:rPr>
          <w:rFonts w:hint="cs"/>
          <w:rtl/>
        </w:rPr>
        <w:t>ביאור הסמ"ע בריב"ם דכל שיש עדות של ע"א שאינו מכחישו חשיב כמיגו במקום עדים</w:t>
      </w:r>
      <w:bookmarkEnd w:id="17931"/>
      <w:bookmarkEnd w:id="17932"/>
      <w:bookmarkEnd w:id="17933"/>
      <w:bookmarkEnd w:id="17934"/>
      <w:bookmarkEnd w:id="17935"/>
      <w:bookmarkEnd w:id="17936"/>
      <w:bookmarkEnd w:id="17937"/>
    </w:p>
    <w:p w:rsidR="00E824D3" w:rsidRDefault="00E824D3" w:rsidP="007E4E81">
      <w:pPr>
        <w:pStyle w:val="a0"/>
        <w:rPr>
          <w:rtl/>
        </w:rPr>
      </w:pPr>
      <w:bookmarkStart w:id="17938" w:name="_Ref66130091"/>
      <w:r>
        <w:rPr>
          <w:rFonts w:hint="cs"/>
          <w:rtl/>
        </w:rPr>
        <w:t xml:space="preserve">כתב </w:t>
      </w:r>
      <w:r w:rsidRPr="00200FCF">
        <w:rPr>
          <w:rStyle w:val="af9"/>
          <w:rFonts w:hint="cs"/>
          <w:rtl/>
        </w:rPr>
        <w:t xml:space="preserve">הסמ"ע </w:t>
      </w:r>
      <w:r w:rsidRPr="00200FCF">
        <w:rPr>
          <w:rStyle w:val="af7"/>
          <w:rFonts w:eastAsia="Guttman Hodes" w:hint="cs"/>
          <w:rtl/>
        </w:rPr>
        <w:t xml:space="preserve">(סי' ע"ה סקל"ג) </w:t>
      </w:r>
      <w:r>
        <w:rPr>
          <w:rFonts w:hint="cs"/>
          <w:rtl/>
        </w:rPr>
        <w:t xml:space="preserve">דמבואר מדברי </w:t>
      </w:r>
      <w:r w:rsidRPr="00200FCF">
        <w:rPr>
          <w:rStyle w:val="af9"/>
          <w:rFonts w:hint="cs"/>
          <w:rtl/>
        </w:rPr>
        <w:t xml:space="preserve">הריב"ם בתוס' </w:t>
      </w:r>
      <w:r w:rsidRPr="00200FCF">
        <w:rPr>
          <w:rStyle w:val="af7"/>
          <w:rFonts w:eastAsia="Guttman Hodes" w:hint="cs"/>
          <w:rtl/>
        </w:rPr>
        <w:t xml:space="preserve">(עי' אות </w:t>
      </w:r>
      <w:r w:rsidRPr="00200FCF">
        <w:rPr>
          <w:rStyle w:val="af7"/>
          <w:rFonts w:eastAsia="Guttman Hodes"/>
          <w:rtl/>
        </w:rPr>
        <w:fldChar w:fldCharType="begin"/>
      </w:r>
      <w:r w:rsidRPr="00200FCF">
        <w:rPr>
          <w:rStyle w:val="af7"/>
          <w:rFonts w:eastAsia="Guttman Hodes"/>
          <w:rtl/>
        </w:rPr>
        <w:instrText xml:space="preserve"> </w:instrText>
      </w:r>
      <w:r w:rsidRPr="00200FCF">
        <w:rPr>
          <w:rStyle w:val="af7"/>
          <w:rFonts w:eastAsia="Guttman Hodes" w:hint="cs"/>
        </w:rPr>
        <w:instrText>REF</w:instrText>
      </w:r>
      <w:r w:rsidRPr="00200FCF">
        <w:rPr>
          <w:rStyle w:val="af7"/>
          <w:rFonts w:eastAsia="Guttman Hodes" w:hint="cs"/>
          <w:rtl/>
        </w:rPr>
        <w:instrText xml:space="preserve"> _</w:instrText>
      </w:r>
      <w:r w:rsidRPr="00200FCF">
        <w:rPr>
          <w:rStyle w:val="af7"/>
          <w:rFonts w:eastAsia="Guttman Hodes" w:hint="cs"/>
        </w:rPr>
        <w:instrText>Ref65513309 \r \h</w:instrText>
      </w:r>
      <w:r w:rsidRPr="00200FCF">
        <w:rPr>
          <w:rStyle w:val="af7"/>
          <w:rFonts w:eastAsia="Guttman Hodes"/>
          <w:rtl/>
        </w:rPr>
        <w:instrText xml:space="preserve"> </w:instrText>
      </w:r>
      <w:r w:rsidRPr="00200FCF">
        <w:rPr>
          <w:rStyle w:val="af7"/>
          <w:rFonts w:eastAsia="Guttman Hodes"/>
          <w:rtl/>
        </w:rPr>
      </w:r>
      <w:r w:rsidRPr="00200FCF">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200FCF">
        <w:rPr>
          <w:rStyle w:val="af7"/>
          <w:rFonts w:eastAsia="Guttman Hodes"/>
          <w:rtl/>
        </w:rPr>
        <w:fldChar w:fldCharType="end"/>
      </w:r>
      <w:r w:rsidRPr="00200FCF">
        <w:rPr>
          <w:rStyle w:val="af7"/>
          <w:rFonts w:eastAsia="Guttman Hodes" w:hint="cs"/>
          <w:rtl/>
        </w:rPr>
        <w:t xml:space="preserve"> </w:t>
      </w:r>
      <w:r w:rsidRPr="00F5611F">
        <w:rPr>
          <w:rFonts w:hint="cs"/>
          <w:rtl/>
        </w:rPr>
        <w:t>דמיגו נגד ע"א שאינו מכחישו</w:t>
      </w:r>
      <w:r>
        <w:rPr>
          <w:rFonts w:hint="cs"/>
          <w:rtl/>
        </w:rPr>
        <w:t>,</w:t>
      </w:r>
      <w:r w:rsidRPr="00F5611F">
        <w:rPr>
          <w:rFonts w:hint="cs"/>
          <w:rtl/>
        </w:rPr>
        <w:t xml:space="preserve"> הוא כמיגו במקום עדים, ולכן לדעת</w:t>
      </w:r>
      <w:r w:rsidRPr="00200FCF">
        <w:rPr>
          <w:rStyle w:val="af7"/>
          <w:rFonts w:eastAsia="Guttman Hodes" w:hint="cs"/>
          <w:rtl/>
        </w:rPr>
        <w:t xml:space="preserve"> </w:t>
      </w:r>
      <w:r w:rsidRPr="00F5611F">
        <w:rPr>
          <w:rStyle w:val="af9"/>
          <w:rFonts w:hint="cs"/>
          <w:rtl/>
        </w:rPr>
        <w:t>הריב"ם</w:t>
      </w:r>
      <w:r>
        <w:rPr>
          <w:rFonts w:hint="cs"/>
          <w:rtl/>
        </w:rPr>
        <w:t xml:space="preserve"> כשיש ע"א שלוה אף אם היה נאמן בטענת פרעתי, מ"מ אינו נאמן בטענה אחרת במיגו דפרעתי, כיון דל"מ מיגו כנגד ע"א, ועיי"ש </w:t>
      </w:r>
      <w:r w:rsidRPr="00D53A7B">
        <w:rPr>
          <w:rStyle w:val="af9"/>
          <w:rFonts w:hint="cs"/>
          <w:rtl/>
        </w:rPr>
        <w:t>בסמ"ע</w:t>
      </w:r>
      <w:r>
        <w:rPr>
          <w:rFonts w:hint="cs"/>
          <w:rtl/>
        </w:rPr>
        <w:t xml:space="preserve"> דכתב דלא קיי"ל </w:t>
      </w:r>
      <w:r w:rsidRPr="00D53A7B">
        <w:rPr>
          <w:rStyle w:val="af9"/>
          <w:rFonts w:hint="cs"/>
          <w:rtl/>
        </w:rPr>
        <w:t>כריב"ם</w:t>
      </w:r>
      <w:r>
        <w:rPr>
          <w:rFonts w:hint="cs"/>
          <w:rtl/>
        </w:rPr>
        <w:t xml:space="preserve"> בזה, ועי' במה שביאר </w:t>
      </w:r>
      <w:r>
        <w:rPr>
          <w:rStyle w:val="af9"/>
          <w:rFonts w:hint="cs"/>
          <w:rtl/>
        </w:rPr>
        <w:t xml:space="preserve">הברכ"ש </w:t>
      </w:r>
      <w:r w:rsidRPr="00DA335F">
        <w:rPr>
          <w:rStyle w:val="af7"/>
          <w:rFonts w:eastAsia="Guttman Hodes" w:hint="cs"/>
          <w:rtl/>
        </w:rPr>
        <w:t xml:space="preserve">(עי' אות </w:t>
      </w:r>
      <w:r w:rsidRPr="00DA335F">
        <w:rPr>
          <w:rStyle w:val="af7"/>
          <w:rFonts w:eastAsia="Guttman Hodes"/>
          <w:rtl/>
        </w:rPr>
        <w:fldChar w:fldCharType="begin"/>
      </w:r>
      <w:r w:rsidRPr="00DA335F">
        <w:rPr>
          <w:rStyle w:val="af7"/>
          <w:rFonts w:eastAsia="Guttman Hodes"/>
          <w:rtl/>
        </w:rPr>
        <w:instrText xml:space="preserve"> </w:instrText>
      </w:r>
      <w:r w:rsidRPr="00DA335F">
        <w:rPr>
          <w:rStyle w:val="af7"/>
          <w:rFonts w:eastAsia="Guttman Hodes" w:hint="cs"/>
        </w:rPr>
        <w:instrText>REF</w:instrText>
      </w:r>
      <w:r w:rsidRPr="00DA335F">
        <w:rPr>
          <w:rStyle w:val="af7"/>
          <w:rFonts w:eastAsia="Guttman Hodes" w:hint="cs"/>
          <w:rtl/>
        </w:rPr>
        <w:instrText xml:space="preserve"> _</w:instrText>
      </w:r>
      <w:r w:rsidRPr="00DA335F">
        <w:rPr>
          <w:rStyle w:val="af7"/>
          <w:rFonts w:eastAsia="Guttman Hodes" w:hint="cs"/>
        </w:rPr>
        <w:instrText>Ref66130004 \r \h</w:instrText>
      </w:r>
      <w:r w:rsidRPr="00DA335F">
        <w:rPr>
          <w:rStyle w:val="af7"/>
          <w:rFonts w:eastAsia="Guttman Hodes"/>
          <w:rtl/>
        </w:rPr>
        <w:instrText xml:space="preserve"> </w:instrText>
      </w:r>
      <w:r w:rsidRPr="00DA335F">
        <w:rPr>
          <w:rStyle w:val="af7"/>
          <w:rFonts w:eastAsia="Guttman Hodes"/>
          <w:rtl/>
        </w:rPr>
      </w:r>
      <w:r w:rsidRPr="00DA335F">
        <w:rPr>
          <w:rStyle w:val="af7"/>
          <w:rFonts w:eastAsia="Guttman Hodes"/>
          <w:rtl/>
        </w:rPr>
        <w:fldChar w:fldCharType="separate"/>
      </w:r>
      <w:r w:rsidR="00265073">
        <w:rPr>
          <w:rStyle w:val="af7"/>
          <w:rFonts w:eastAsia="Guttman Hodes"/>
          <w:cs/>
        </w:rPr>
        <w:t>‎</w:t>
      </w:r>
      <w:r w:rsidR="00265073">
        <w:rPr>
          <w:rStyle w:val="af7"/>
          <w:rFonts w:eastAsia="Guttman Hodes"/>
          <w:rtl/>
        </w:rPr>
        <w:t>צ)</w:t>
      </w:r>
      <w:r w:rsidRPr="00DA335F">
        <w:rPr>
          <w:rStyle w:val="af7"/>
          <w:rFonts w:eastAsia="Guttman Hodes"/>
          <w:rtl/>
        </w:rPr>
        <w:fldChar w:fldCharType="end"/>
      </w:r>
      <w:r>
        <w:rPr>
          <w:rStyle w:val="af9"/>
          <w:rFonts w:hint="cs"/>
          <w:rtl/>
        </w:rPr>
        <w:t xml:space="preserve"> </w:t>
      </w:r>
      <w:r>
        <w:rPr>
          <w:rFonts w:hint="cs"/>
          <w:rtl/>
        </w:rPr>
        <w:t xml:space="preserve">בדברי </w:t>
      </w:r>
      <w:r w:rsidRPr="00F27ABE">
        <w:rPr>
          <w:rStyle w:val="af9"/>
          <w:rFonts w:hint="cs"/>
          <w:rtl/>
        </w:rPr>
        <w:t>הריב"ם</w:t>
      </w:r>
      <w:r>
        <w:rPr>
          <w:rFonts w:hint="cs"/>
          <w:rtl/>
        </w:rPr>
        <w:t>.</w:t>
      </w:r>
      <w:bookmarkEnd w:id="17938"/>
    </w:p>
    <w:p w:rsidR="00E824D3" w:rsidRPr="0073776E" w:rsidRDefault="00E824D3" w:rsidP="00E824D3">
      <w:pPr>
        <w:pStyle w:val="a3"/>
        <w:rPr>
          <w:rtl/>
        </w:rPr>
      </w:pPr>
      <w:bookmarkStart w:id="17939" w:name="_Toc66110510"/>
      <w:bookmarkStart w:id="17940" w:name="_Toc66123370"/>
      <w:bookmarkStart w:id="17941" w:name="_Toc66143818"/>
      <w:bookmarkStart w:id="17942" w:name="_Toc66171981"/>
      <w:bookmarkStart w:id="17943" w:name="_Toc66183221"/>
      <w:bookmarkStart w:id="17944" w:name="_Toc66186001"/>
      <w:bookmarkStart w:id="17945" w:name="_Toc66193461"/>
      <w:r>
        <w:rPr>
          <w:rFonts w:hint="cs"/>
          <w:rtl/>
        </w:rPr>
        <w:t>בי' הש"ך בריב"ם דרק במקום שיש חיוב שבועה דאו' ל"מ מיגו כנגד ע"א שלא נשבע להכחישו</w:t>
      </w:r>
      <w:bookmarkEnd w:id="17939"/>
      <w:bookmarkEnd w:id="17940"/>
      <w:bookmarkEnd w:id="17941"/>
      <w:bookmarkEnd w:id="17942"/>
      <w:bookmarkEnd w:id="17943"/>
      <w:bookmarkEnd w:id="17944"/>
      <w:bookmarkEnd w:id="17945"/>
    </w:p>
    <w:p w:rsidR="00E824D3" w:rsidRDefault="00E824D3" w:rsidP="007E4E81">
      <w:pPr>
        <w:pStyle w:val="a0"/>
        <w:rPr>
          <w:rtl/>
        </w:rPr>
      </w:pPr>
      <w:bookmarkStart w:id="17946" w:name="_Toc65748242"/>
      <w:r>
        <w:rPr>
          <w:rFonts w:hint="cs"/>
          <w:rtl/>
        </w:rPr>
        <w:t xml:space="preserve">אבל </w:t>
      </w:r>
      <w:r w:rsidRPr="00F732F3">
        <w:rPr>
          <w:rStyle w:val="af9"/>
          <w:rFonts w:hint="cs"/>
          <w:rtl/>
        </w:rPr>
        <w:t>הש"ך</w:t>
      </w:r>
      <w:r>
        <w:rPr>
          <w:rFonts w:hint="cs"/>
          <w:rtl/>
        </w:rPr>
        <w:t xml:space="preserve"> </w:t>
      </w:r>
      <w:r w:rsidRPr="00200FCF">
        <w:rPr>
          <w:rStyle w:val="af7"/>
          <w:rFonts w:eastAsia="Guttman Hodes" w:hint="cs"/>
          <w:rtl/>
        </w:rPr>
        <w:t>(סי' ע"ה סק"מ)</w:t>
      </w:r>
      <w:r>
        <w:rPr>
          <w:rFonts w:hint="cs"/>
          <w:rtl/>
        </w:rPr>
        <w:t xml:space="preserve"> דחה את דברי </w:t>
      </w:r>
      <w:r w:rsidRPr="00200FCF">
        <w:rPr>
          <w:rStyle w:val="af9"/>
          <w:rFonts w:hint="cs"/>
          <w:rtl/>
        </w:rPr>
        <w:t>הסמ"ע</w:t>
      </w:r>
      <w:r>
        <w:rPr>
          <w:rFonts w:hint="cs"/>
          <w:rtl/>
        </w:rPr>
        <w:t xml:space="preserve">, דכשיש ע"א שלוה כיון שהוא נאמן בטענת פרעתי, לכן הוא נאמן אף בטענה אחרת במיגו דפרעתי, דהא אף במקום שיש ב' עדים שלוה, נאמן בטענת פרעתי, וא"כ כ"ש דנאמן במיגו במקום ע"א, אלא ביאר </w:t>
      </w:r>
      <w:r w:rsidRPr="00200FCF">
        <w:rPr>
          <w:rStyle w:val="af9"/>
          <w:rFonts w:hint="cs"/>
          <w:rtl/>
        </w:rPr>
        <w:t xml:space="preserve">הש"ך </w:t>
      </w:r>
      <w:r>
        <w:rPr>
          <w:rFonts w:hint="cs"/>
          <w:rtl/>
        </w:rPr>
        <w:t xml:space="preserve">דכוונת </w:t>
      </w:r>
      <w:r w:rsidRPr="00200FCF">
        <w:rPr>
          <w:rStyle w:val="af9"/>
          <w:rFonts w:hint="cs"/>
          <w:rtl/>
        </w:rPr>
        <w:t xml:space="preserve">הריב"ם בתוס' </w:t>
      </w:r>
      <w:r w:rsidRPr="00200FCF">
        <w:rPr>
          <w:rStyle w:val="af7"/>
          <w:rFonts w:eastAsia="Guttman Hodes" w:hint="cs"/>
          <w:rtl/>
        </w:rPr>
        <w:t xml:space="preserve">(עי' אות </w:t>
      </w:r>
      <w:r w:rsidRPr="00200FCF">
        <w:rPr>
          <w:rStyle w:val="af7"/>
          <w:rFonts w:eastAsia="Guttman Hodes"/>
          <w:rtl/>
        </w:rPr>
        <w:fldChar w:fldCharType="begin"/>
      </w:r>
      <w:r w:rsidRPr="00200FCF">
        <w:rPr>
          <w:rStyle w:val="af7"/>
          <w:rFonts w:eastAsia="Guttman Hodes"/>
          <w:rtl/>
        </w:rPr>
        <w:instrText xml:space="preserve"> </w:instrText>
      </w:r>
      <w:r w:rsidRPr="00200FCF">
        <w:rPr>
          <w:rStyle w:val="af7"/>
          <w:rFonts w:eastAsia="Guttman Hodes" w:hint="cs"/>
        </w:rPr>
        <w:instrText>REF</w:instrText>
      </w:r>
      <w:r w:rsidRPr="00200FCF">
        <w:rPr>
          <w:rStyle w:val="af7"/>
          <w:rFonts w:eastAsia="Guttman Hodes" w:hint="cs"/>
          <w:rtl/>
        </w:rPr>
        <w:instrText xml:space="preserve"> _</w:instrText>
      </w:r>
      <w:r w:rsidRPr="00200FCF">
        <w:rPr>
          <w:rStyle w:val="af7"/>
          <w:rFonts w:eastAsia="Guttman Hodes" w:hint="cs"/>
        </w:rPr>
        <w:instrText>Ref65513309 \r \h</w:instrText>
      </w:r>
      <w:r w:rsidRPr="00200FCF">
        <w:rPr>
          <w:rStyle w:val="af7"/>
          <w:rFonts w:eastAsia="Guttman Hodes"/>
          <w:rtl/>
        </w:rPr>
        <w:instrText xml:space="preserve"> </w:instrText>
      </w:r>
      <w:r w:rsidRPr="00200FCF">
        <w:rPr>
          <w:rStyle w:val="af7"/>
          <w:rFonts w:eastAsia="Guttman Hodes"/>
          <w:rtl/>
        </w:rPr>
      </w:r>
      <w:r w:rsidRPr="00200FCF">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200FCF">
        <w:rPr>
          <w:rStyle w:val="af7"/>
          <w:rFonts w:eastAsia="Guttman Hodes"/>
          <w:rtl/>
        </w:rPr>
        <w:fldChar w:fldCharType="end"/>
      </w:r>
      <w:r w:rsidRPr="00200FCF">
        <w:rPr>
          <w:rStyle w:val="af7"/>
          <w:rFonts w:eastAsia="Guttman Hodes" w:hint="cs"/>
          <w:rtl/>
        </w:rPr>
        <w:t xml:space="preserve"> </w:t>
      </w:r>
      <w:r>
        <w:rPr>
          <w:rFonts w:hint="cs"/>
          <w:rtl/>
        </w:rPr>
        <w:t xml:space="preserve">לומר דאינו נאמן במיגו שהיה יכול להכחיש את העד, כיון שהתורה האמינה לע"א לענין שבועה כשנים, א"כ הוא צריך או להשבע להכחיש את הע"א, או לשלם, כיון שכל שלא נשבע להכחישו, חשיב הע"א כעומד </w:t>
      </w:r>
      <w:r w:rsidRPr="00827678">
        <w:rPr>
          <w:rFonts w:hint="cs"/>
          <w:rtl/>
        </w:rPr>
        <w:t>במקום שנים</w:t>
      </w:r>
      <w:r>
        <w:rPr>
          <w:rFonts w:hint="cs"/>
          <w:rtl/>
        </w:rPr>
        <w:t>.</w:t>
      </w:r>
    </w:p>
    <w:p w:rsidR="00E824D3" w:rsidRPr="009C414D" w:rsidRDefault="00E824D3" w:rsidP="00E824D3">
      <w:pPr>
        <w:pStyle w:val="1"/>
        <w:rPr>
          <w:rtl/>
        </w:rPr>
      </w:pPr>
      <w:bookmarkStart w:id="17947" w:name="_Toc66110511"/>
      <w:bookmarkStart w:id="17948" w:name="_Toc66123371"/>
      <w:bookmarkStart w:id="17949" w:name="_Toc66143819"/>
      <w:bookmarkStart w:id="17950" w:name="_Toc66171982"/>
      <w:bookmarkStart w:id="17951" w:name="_Toc66183222"/>
      <w:bookmarkStart w:id="17952" w:name="_Toc66186002"/>
      <w:bookmarkStart w:id="17953" w:name="_Toc66193462"/>
      <w:r>
        <w:rPr>
          <w:rFonts w:hint="cs"/>
          <w:rtl/>
        </w:rPr>
        <w:t>ביאורי הש"ך והאמרי ברוך בדעת הריב"ם והרמב"ן ורבינו יונה</w:t>
      </w:r>
      <w:bookmarkEnd w:id="17947"/>
      <w:bookmarkEnd w:id="17948"/>
      <w:bookmarkEnd w:id="17949"/>
      <w:bookmarkEnd w:id="17950"/>
      <w:bookmarkEnd w:id="17951"/>
      <w:bookmarkEnd w:id="17952"/>
      <w:bookmarkEnd w:id="17953"/>
      <w:r>
        <w:rPr>
          <w:rFonts w:hint="cs"/>
          <w:rtl/>
        </w:rPr>
        <w:t xml:space="preserve"> </w:t>
      </w:r>
    </w:p>
    <w:p w:rsidR="00E824D3" w:rsidRDefault="00E824D3" w:rsidP="00E824D3">
      <w:pPr>
        <w:pStyle w:val="a3"/>
      </w:pPr>
      <w:bookmarkStart w:id="17954" w:name="_Toc66110512"/>
      <w:bookmarkStart w:id="17955" w:name="_Toc66123372"/>
      <w:bookmarkStart w:id="17956" w:name="_Toc66143820"/>
      <w:bookmarkStart w:id="17957" w:name="_Toc66171983"/>
      <w:bookmarkStart w:id="17958" w:name="_Toc66183223"/>
      <w:bookmarkStart w:id="17959" w:name="_Toc66186003"/>
      <w:bookmarkStart w:id="17960" w:name="_Toc66193463"/>
      <w:r>
        <w:rPr>
          <w:rFonts w:hint="cs"/>
          <w:rtl/>
        </w:rPr>
        <w:t>פלוג' הש"ך והאמרי ברוך אי כוונת הריב"ם לתירץ הרמב"ן דהע"א הוא כשנים או דל"מ מיגו</w:t>
      </w:r>
      <w:bookmarkEnd w:id="17954"/>
      <w:bookmarkEnd w:id="17955"/>
      <w:bookmarkEnd w:id="17956"/>
      <w:bookmarkEnd w:id="17957"/>
      <w:bookmarkEnd w:id="17958"/>
      <w:bookmarkEnd w:id="17959"/>
      <w:bookmarkEnd w:id="17960"/>
    </w:p>
    <w:p w:rsidR="00E824D3" w:rsidRDefault="00E824D3" w:rsidP="007E4E81">
      <w:pPr>
        <w:pStyle w:val="a0"/>
        <w:rPr>
          <w:rtl/>
        </w:rPr>
      </w:pPr>
      <w:bookmarkStart w:id="17961" w:name="_Ref66107553"/>
      <w:r w:rsidRPr="00827678">
        <w:rPr>
          <w:rStyle w:val="af9"/>
          <w:rFonts w:hint="cs"/>
          <w:rtl/>
        </w:rPr>
        <w:t xml:space="preserve">והביא הש"ך </w:t>
      </w:r>
      <w:r w:rsidRPr="00200FCF">
        <w:rPr>
          <w:rStyle w:val="af7"/>
          <w:rFonts w:eastAsia="Guttman Hodes" w:hint="cs"/>
          <w:rtl/>
        </w:rPr>
        <w:t>(סי' ע"ה סק"מ)</w:t>
      </w:r>
      <w:r>
        <w:rPr>
          <w:rFonts w:hint="cs"/>
          <w:rtl/>
        </w:rPr>
        <w:t xml:space="preserve"> </w:t>
      </w:r>
      <w:r w:rsidRPr="00827678">
        <w:rPr>
          <w:rFonts w:hint="cs"/>
          <w:rtl/>
        </w:rPr>
        <w:t xml:space="preserve">דכ"כ להדיא </w:t>
      </w:r>
      <w:r w:rsidRPr="00827678">
        <w:rPr>
          <w:rStyle w:val="af9"/>
          <w:rFonts w:hint="cs"/>
          <w:rtl/>
        </w:rPr>
        <w:t xml:space="preserve">הרמב"ן </w:t>
      </w:r>
      <w:r w:rsidRPr="00827678">
        <w:rPr>
          <w:rStyle w:val="af7"/>
          <w:rFonts w:eastAsia="Guttman Hodes" w:hint="cs"/>
          <w:rtl/>
        </w:rPr>
        <w:t xml:space="preserve">(עי' אות </w:t>
      </w:r>
      <w:r w:rsidRPr="00827678">
        <w:rPr>
          <w:rStyle w:val="af7"/>
          <w:rFonts w:eastAsia="Guttman Hodes"/>
          <w:rtl/>
        </w:rPr>
        <w:fldChar w:fldCharType="begin"/>
      </w:r>
      <w:r w:rsidRPr="00827678">
        <w:rPr>
          <w:rStyle w:val="af7"/>
          <w:rFonts w:eastAsia="Guttman Hodes"/>
          <w:rtl/>
        </w:rPr>
        <w:instrText xml:space="preserve"> </w:instrText>
      </w:r>
      <w:r w:rsidRPr="00827678">
        <w:rPr>
          <w:rStyle w:val="af7"/>
          <w:rFonts w:eastAsia="Guttman Hodes" w:hint="cs"/>
        </w:rPr>
        <w:instrText>REF</w:instrText>
      </w:r>
      <w:r w:rsidRPr="00827678">
        <w:rPr>
          <w:rStyle w:val="af7"/>
          <w:rFonts w:eastAsia="Guttman Hodes" w:hint="cs"/>
          <w:rtl/>
        </w:rPr>
        <w:instrText xml:space="preserve"> _</w:instrText>
      </w:r>
      <w:r w:rsidRPr="00827678">
        <w:rPr>
          <w:rStyle w:val="af7"/>
          <w:rFonts w:eastAsia="Guttman Hodes" w:hint="cs"/>
        </w:rPr>
        <w:instrText>Ref66054904 \r \h</w:instrText>
      </w:r>
      <w:r w:rsidRPr="00827678">
        <w:rPr>
          <w:rStyle w:val="af7"/>
          <w:rFonts w:eastAsia="Guttman Hodes"/>
          <w:rtl/>
        </w:rPr>
        <w:instrText xml:space="preserve">  \* </w:instrText>
      </w:r>
      <w:r w:rsidRPr="00827678">
        <w:rPr>
          <w:rStyle w:val="af7"/>
          <w:rFonts w:eastAsia="Guttman Hodes"/>
        </w:rPr>
        <w:instrText>MERGEFORMAT</w:instrText>
      </w:r>
      <w:r w:rsidRPr="00827678">
        <w:rPr>
          <w:rStyle w:val="af7"/>
          <w:rFonts w:eastAsia="Guttman Hodes"/>
          <w:rtl/>
        </w:rPr>
        <w:instrText xml:space="preserve"> </w:instrText>
      </w:r>
      <w:r w:rsidRPr="00827678">
        <w:rPr>
          <w:rStyle w:val="af7"/>
          <w:rFonts w:eastAsia="Guttman Hodes"/>
          <w:rtl/>
        </w:rPr>
      </w:r>
      <w:r w:rsidRPr="00827678">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827678">
        <w:rPr>
          <w:rStyle w:val="af7"/>
          <w:rFonts w:eastAsia="Guttman Hodes"/>
          <w:rtl/>
        </w:rPr>
        <w:fldChar w:fldCharType="end"/>
      </w:r>
      <w:r w:rsidRPr="00827678">
        <w:rPr>
          <w:rFonts w:hint="cs"/>
          <w:rtl/>
        </w:rPr>
        <w:t xml:space="preserve"> דתירץ </w:t>
      </w:r>
      <w:r w:rsidRPr="00827678">
        <w:rPr>
          <w:rStyle w:val="af9"/>
          <w:rFonts w:hint="cs"/>
          <w:rtl/>
        </w:rPr>
        <w:t>כריב"ם</w:t>
      </w:r>
      <w:r w:rsidRPr="00827678">
        <w:rPr>
          <w:rFonts w:hint="cs"/>
          <w:rtl/>
        </w:rPr>
        <w:t xml:space="preserve">, והוסיף דכ"ז שלא נשבע נאמן העד לגמרי, וחשיב שחטף בפנינו, וכתב </w:t>
      </w:r>
      <w:r w:rsidRPr="00827678">
        <w:rPr>
          <w:rStyle w:val="af9"/>
          <w:rFonts w:hint="cs"/>
          <w:rtl/>
        </w:rPr>
        <w:t xml:space="preserve">הש"ך </w:t>
      </w:r>
      <w:r w:rsidRPr="00827678">
        <w:rPr>
          <w:rFonts w:hint="cs"/>
          <w:rtl/>
        </w:rPr>
        <w:t>דכוונת</w:t>
      </w:r>
      <w:r w:rsidRPr="00827678">
        <w:rPr>
          <w:rStyle w:val="af9"/>
          <w:rFonts w:hint="cs"/>
          <w:rtl/>
        </w:rPr>
        <w:t xml:space="preserve"> הרמב"ן</w:t>
      </w:r>
      <w:r w:rsidRPr="00827678">
        <w:rPr>
          <w:rFonts w:hint="cs"/>
          <w:rtl/>
        </w:rPr>
        <w:t xml:space="preserve"> לומר דאיירי שמעיד שראה שלא החזיר את הנסכא, דאל"ה היה נאמן בטענת דידי חטפי במיגו דהחזרתי</w:t>
      </w:r>
      <w:r>
        <w:rPr>
          <w:rFonts w:hint="cs"/>
          <w:rtl/>
        </w:rPr>
        <w:t xml:space="preserve">, אבל </w:t>
      </w:r>
      <w:r w:rsidRPr="006B639A">
        <w:rPr>
          <w:rStyle w:val="af9"/>
          <w:rFonts w:hint="cs"/>
          <w:rtl/>
        </w:rPr>
        <w:t>האמרי</w:t>
      </w:r>
      <w:r>
        <w:rPr>
          <w:rFonts w:hint="cs"/>
          <w:rtl/>
        </w:rPr>
        <w:t xml:space="preserve"> </w:t>
      </w:r>
      <w:r w:rsidRPr="006B639A">
        <w:rPr>
          <w:rStyle w:val="af9"/>
          <w:rFonts w:hint="cs"/>
          <w:rtl/>
        </w:rPr>
        <w:t>ברוך</w:t>
      </w:r>
      <w:r>
        <w:rPr>
          <w:rFonts w:hint="cs"/>
          <w:rtl/>
        </w:rPr>
        <w:t xml:space="preserve"> </w:t>
      </w:r>
      <w:r w:rsidRPr="00200FCF">
        <w:rPr>
          <w:rStyle w:val="af7"/>
          <w:rFonts w:eastAsia="Guttman Hodes" w:hint="cs"/>
          <w:rtl/>
        </w:rPr>
        <w:t xml:space="preserve">(סי' ע"ה </w:t>
      </w:r>
      <w:r>
        <w:rPr>
          <w:rStyle w:val="af7"/>
          <w:rFonts w:eastAsiaTheme="minorEastAsia" w:hint="cs"/>
          <w:rtl/>
        </w:rPr>
        <w:t xml:space="preserve">על </w:t>
      </w:r>
      <w:r w:rsidRPr="00A30456">
        <w:rPr>
          <w:rStyle w:val="af7"/>
          <w:rFonts w:eastAsiaTheme="minorEastAsia"/>
          <w:rtl/>
        </w:rPr>
        <w:t xml:space="preserve">הש"ך </w:t>
      </w:r>
      <w:r w:rsidRPr="00200FCF">
        <w:rPr>
          <w:rStyle w:val="af7"/>
          <w:rFonts w:eastAsia="Guttman Hodes" w:hint="cs"/>
          <w:rtl/>
        </w:rPr>
        <w:t>סק"מ)</w:t>
      </w:r>
      <w:r>
        <w:rPr>
          <w:rFonts w:hint="cs"/>
          <w:rtl/>
        </w:rPr>
        <w:t xml:space="preserve"> כתב דאין כוונת </w:t>
      </w:r>
      <w:r w:rsidRPr="006B639A">
        <w:rPr>
          <w:rStyle w:val="af9"/>
          <w:rFonts w:hint="cs"/>
          <w:rtl/>
        </w:rPr>
        <w:t>הרמב</w:t>
      </w:r>
      <w:r w:rsidRPr="005D1B07">
        <w:rPr>
          <w:rStyle w:val="af9"/>
          <w:rFonts w:hint="cs"/>
          <w:rtl/>
        </w:rPr>
        <w:t>"ן</w:t>
      </w:r>
      <w:r w:rsidRPr="005D1B07">
        <w:rPr>
          <w:rStyle w:val="af7"/>
          <w:rFonts w:eastAsia="Guttman Hodes" w:hint="cs"/>
          <w:rtl/>
        </w:rPr>
        <w:t xml:space="preserve"> (עי' אות </w:t>
      </w:r>
      <w:r w:rsidRPr="005D1B07">
        <w:rPr>
          <w:rStyle w:val="af7"/>
          <w:rFonts w:eastAsia="Guttman Hodes"/>
          <w:rtl/>
        </w:rPr>
        <w:fldChar w:fldCharType="begin"/>
      </w:r>
      <w:r w:rsidRPr="005D1B07">
        <w:rPr>
          <w:rStyle w:val="af7"/>
          <w:rFonts w:eastAsia="Guttman Hodes"/>
          <w:rtl/>
        </w:rPr>
        <w:instrText xml:space="preserve"> </w:instrText>
      </w:r>
      <w:r w:rsidRPr="005D1B07">
        <w:rPr>
          <w:rStyle w:val="af7"/>
          <w:rFonts w:eastAsia="Guttman Hodes" w:hint="cs"/>
        </w:rPr>
        <w:instrText>REF</w:instrText>
      </w:r>
      <w:r w:rsidRPr="005D1B07">
        <w:rPr>
          <w:rStyle w:val="af7"/>
          <w:rFonts w:eastAsia="Guttman Hodes" w:hint="cs"/>
          <w:rtl/>
        </w:rPr>
        <w:instrText xml:space="preserve"> _</w:instrText>
      </w:r>
      <w:r w:rsidRPr="005D1B07">
        <w:rPr>
          <w:rStyle w:val="af7"/>
          <w:rFonts w:eastAsia="Guttman Hodes" w:hint="cs"/>
        </w:rPr>
        <w:instrText>Ref66054904 \r \h</w:instrText>
      </w:r>
      <w:r w:rsidRPr="005D1B07">
        <w:rPr>
          <w:rStyle w:val="af7"/>
          <w:rFonts w:eastAsia="Guttman Hodes"/>
          <w:rtl/>
        </w:rPr>
        <w:instrText xml:space="preserve"> </w:instrText>
      </w:r>
      <w:r w:rsidRPr="005D1B07">
        <w:rPr>
          <w:rStyle w:val="af7"/>
          <w:rFonts w:eastAsia="Guttman Hodes"/>
          <w:rtl/>
        </w:rPr>
      </w:r>
      <w:r w:rsidRPr="005D1B07">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5D1B07">
        <w:rPr>
          <w:rStyle w:val="af7"/>
          <w:rFonts w:eastAsia="Guttman Hodes"/>
          <w:rtl/>
        </w:rPr>
        <w:fldChar w:fldCharType="end"/>
      </w:r>
      <w:r>
        <w:rPr>
          <w:rFonts w:hint="cs"/>
          <w:rtl/>
        </w:rPr>
        <w:t xml:space="preserve"> לתרץ </w:t>
      </w:r>
      <w:r w:rsidRPr="006B639A">
        <w:rPr>
          <w:rStyle w:val="af9"/>
          <w:rFonts w:hint="cs"/>
          <w:rtl/>
        </w:rPr>
        <w:t>כריב"ם</w:t>
      </w:r>
      <w:r>
        <w:rPr>
          <w:rFonts w:hint="cs"/>
          <w:rtl/>
        </w:rPr>
        <w:t xml:space="preserve"> </w:t>
      </w:r>
      <w:r w:rsidRPr="00200FCF">
        <w:rPr>
          <w:rStyle w:val="af7"/>
          <w:rFonts w:eastAsia="Guttman Hodes" w:hint="cs"/>
          <w:rtl/>
        </w:rPr>
        <w:t xml:space="preserve">(עי' אות </w:t>
      </w:r>
      <w:r w:rsidRPr="00200FCF">
        <w:rPr>
          <w:rStyle w:val="af7"/>
          <w:rFonts w:eastAsia="Guttman Hodes"/>
          <w:rtl/>
        </w:rPr>
        <w:fldChar w:fldCharType="begin"/>
      </w:r>
      <w:r w:rsidRPr="00200FCF">
        <w:rPr>
          <w:rStyle w:val="af7"/>
          <w:rFonts w:eastAsia="Guttman Hodes"/>
          <w:rtl/>
        </w:rPr>
        <w:instrText xml:space="preserve"> </w:instrText>
      </w:r>
      <w:r w:rsidRPr="00200FCF">
        <w:rPr>
          <w:rStyle w:val="af7"/>
          <w:rFonts w:eastAsia="Guttman Hodes" w:hint="cs"/>
        </w:rPr>
        <w:instrText>REF</w:instrText>
      </w:r>
      <w:r w:rsidRPr="00200FCF">
        <w:rPr>
          <w:rStyle w:val="af7"/>
          <w:rFonts w:eastAsia="Guttman Hodes" w:hint="cs"/>
          <w:rtl/>
        </w:rPr>
        <w:instrText xml:space="preserve"> _</w:instrText>
      </w:r>
      <w:r w:rsidRPr="00200FCF">
        <w:rPr>
          <w:rStyle w:val="af7"/>
          <w:rFonts w:eastAsia="Guttman Hodes" w:hint="cs"/>
        </w:rPr>
        <w:instrText>Ref65513309 \r \h</w:instrText>
      </w:r>
      <w:r w:rsidRPr="00200FCF">
        <w:rPr>
          <w:rStyle w:val="af7"/>
          <w:rFonts w:eastAsia="Guttman Hodes"/>
          <w:rtl/>
        </w:rPr>
        <w:instrText xml:space="preserve"> </w:instrText>
      </w:r>
      <w:r w:rsidRPr="00200FCF">
        <w:rPr>
          <w:rStyle w:val="af7"/>
          <w:rFonts w:eastAsia="Guttman Hodes"/>
          <w:rtl/>
        </w:rPr>
      </w:r>
      <w:r w:rsidRPr="00200FCF">
        <w:rPr>
          <w:rStyle w:val="af7"/>
          <w:rFonts w:eastAsia="Guttman Hodes"/>
          <w:rtl/>
        </w:rPr>
        <w:fldChar w:fldCharType="separate"/>
      </w:r>
      <w:r w:rsidR="00265073">
        <w:rPr>
          <w:rStyle w:val="af7"/>
          <w:rFonts w:eastAsia="Guttman Hodes"/>
          <w:cs/>
        </w:rPr>
        <w:t>‎</w:t>
      </w:r>
      <w:r w:rsidR="00265073">
        <w:rPr>
          <w:rStyle w:val="af7"/>
          <w:rFonts w:eastAsia="Guttman Hodes"/>
          <w:rtl/>
        </w:rPr>
        <w:t>לו)</w:t>
      </w:r>
      <w:r w:rsidRPr="00200FCF">
        <w:rPr>
          <w:rStyle w:val="af7"/>
          <w:rFonts w:eastAsia="Guttman Hodes"/>
          <w:rtl/>
        </w:rPr>
        <w:fldChar w:fldCharType="end"/>
      </w:r>
      <w:r>
        <w:rPr>
          <w:rFonts w:hint="cs"/>
          <w:rtl/>
        </w:rPr>
        <w:t xml:space="preserve">, דהא בדברי </w:t>
      </w:r>
      <w:r w:rsidRPr="006B639A">
        <w:rPr>
          <w:rStyle w:val="af9"/>
          <w:rFonts w:hint="cs"/>
          <w:rtl/>
        </w:rPr>
        <w:t>התוס'</w:t>
      </w:r>
      <w:r>
        <w:rPr>
          <w:rFonts w:hint="cs"/>
          <w:rtl/>
        </w:rPr>
        <w:t xml:space="preserve"> מבואר דעיקר תירוץ </w:t>
      </w:r>
      <w:r w:rsidRPr="006B639A">
        <w:rPr>
          <w:rStyle w:val="af9"/>
          <w:rFonts w:hint="cs"/>
          <w:rtl/>
        </w:rPr>
        <w:t>הריב"ם</w:t>
      </w:r>
      <w:r>
        <w:rPr>
          <w:rFonts w:hint="cs"/>
          <w:rtl/>
        </w:rPr>
        <w:t xml:space="preserve"> הוא דבמקום שיש חיוב שבועה דאו', כל שאינו נשבע הוא חייב לשלם, ולכן לא מהני מיגו לפוטרו.</w:t>
      </w:r>
      <w:bookmarkEnd w:id="17961"/>
    </w:p>
    <w:p w:rsidR="00C32C27" w:rsidRPr="00C32C27" w:rsidRDefault="00C32C27" w:rsidP="00C32C27">
      <w:pPr>
        <w:pStyle w:val="a3"/>
        <w:rPr>
          <w:rtl/>
        </w:rPr>
      </w:pPr>
    </w:p>
    <w:p w:rsidR="00E824D3" w:rsidRPr="006B639A" w:rsidRDefault="00E824D3" w:rsidP="00E824D3">
      <w:pPr>
        <w:pStyle w:val="a3"/>
        <w:rPr>
          <w:rtl/>
        </w:rPr>
      </w:pPr>
      <w:bookmarkStart w:id="17962" w:name="_Toc66110513"/>
      <w:bookmarkStart w:id="17963" w:name="_Toc66123373"/>
      <w:bookmarkStart w:id="17964" w:name="_Toc66143821"/>
      <w:bookmarkStart w:id="17965" w:name="_Toc66171984"/>
      <w:bookmarkStart w:id="17966" w:name="_Toc66183224"/>
      <w:bookmarkStart w:id="17967" w:name="_Toc66186004"/>
      <w:bookmarkStart w:id="17968" w:name="_Toc66193464"/>
      <w:r>
        <w:rPr>
          <w:rFonts w:hint="cs"/>
          <w:rtl/>
        </w:rPr>
        <w:lastRenderedPageBreak/>
        <w:t>דברי האמרי ברוך דלריב"ם התי' בגמ' לקמן כרבינו יונה ולרמב"ן ל"ק מלקמן דאי"ז שבועת ע"א</w:t>
      </w:r>
      <w:bookmarkEnd w:id="17962"/>
      <w:bookmarkEnd w:id="17963"/>
      <w:bookmarkEnd w:id="17964"/>
      <w:bookmarkEnd w:id="17965"/>
      <w:bookmarkEnd w:id="17966"/>
      <w:bookmarkEnd w:id="17967"/>
      <w:bookmarkEnd w:id="17968"/>
    </w:p>
    <w:p w:rsidR="00E824D3" w:rsidRDefault="00E824D3" w:rsidP="007E4E81">
      <w:pPr>
        <w:pStyle w:val="a0"/>
        <w:rPr>
          <w:rtl/>
        </w:rPr>
      </w:pPr>
      <w:bookmarkStart w:id="17969" w:name="_Ref66109120"/>
      <w:r w:rsidRPr="005D1B07">
        <w:rPr>
          <w:rFonts w:hint="cs"/>
          <w:rtl/>
        </w:rPr>
        <w:t xml:space="preserve">וכתב </w:t>
      </w:r>
      <w:r w:rsidRPr="005D1B07">
        <w:rPr>
          <w:rStyle w:val="af9"/>
          <w:rFonts w:hint="cs"/>
          <w:rtl/>
        </w:rPr>
        <w:t>האמרי</w:t>
      </w:r>
      <w:r w:rsidRPr="005D1B07">
        <w:rPr>
          <w:rFonts w:hint="cs"/>
          <w:rtl/>
        </w:rPr>
        <w:t xml:space="preserve"> </w:t>
      </w:r>
      <w:r w:rsidRPr="005D1B07">
        <w:rPr>
          <w:rStyle w:val="af9"/>
          <w:rFonts w:hint="cs"/>
          <w:rtl/>
        </w:rPr>
        <w:t>ברוך</w:t>
      </w:r>
      <w:r w:rsidRPr="005D1B07">
        <w:rPr>
          <w:rFonts w:hint="cs"/>
          <w:rtl/>
        </w:rPr>
        <w:t xml:space="preserve"> דלדעת </w:t>
      </w:r>
      <w:r w:rsidRPr="005D1B07">
        <w:rPr>
          <w:rStyle w:val="af9"/>
          <w:rFonts w:hint="cs"/>
          <w:rtl/>
        </w:rPr>
        <w:t>הריב"ם</w:t>
      </w:r>
      <w:r w:rsidRPr="005D1B07">
        <w:rPr>
          <w:rFonts w:hint="cs"/>
          <w:rtl/>
        </w:rPr>
        <w:t xml:space="preserve"> הא דאיתא בגמ' לקמן </w:t>
      </w:r>
      <w:r w:rsidRPr="00D64B92">
        <w:rPr>
          <w:rStyle w:val="af7"/>
          <w:rFonts w:eastAsia="Guttman Hodes" w:hint="cs"/>
          <w:rtl/>
        </w:rPr>
        <w:t>(ע.)</w:t>
      </w:r>
      <w:r w:rsidRPr="005D1B07">
        <w:rPr>
          <w:rFonts w:hint="cs"/>
          <w:rtl/>
        </w:rPr>
        <w:t xml:space="preserve"> דנאמן בשבועה לומר החזרתי, במיגו דהיה טוען נאנסו שהיה נאמן בשבועה, תירצו </w:t>
      </w:r>
      <w:r w:rsidRPr="005D1B07">
        <w:rPr>
          <w:rStyle w:val="af9"/>
          <w:rtl/>
        </w:rPr>
        <w:t>רבינו יונה</w:t>
      </w:r>
      <w:r w:rsidRPr="005D1B07">
        <w:rPr>
          <w:rFonts w:hint="cs"/>
          <w:rtl/>
        </w:rPr>
        <w:t xml:space="preserve"> </w:t>
      </w:r>
      <w:r w:rsidRPr="005D1B07">
        <w:rPr>
          <w:rStyle w:val="af9"/>
          <w:rFonts w:hint="cs"/>
          <w:rtl/>
        </w:rPr>
        <w:t>והתוס' רא"ש</w:t>
      </w:r>
      <w:r w:rsidRPr="005D1B07">
        <w:rPr>
          <w:rFonts w:hint="cs"/>
          <w:rtl/>
        </w:rPr>
        <w:t xml:space="preserve"> </w:t>
      </w:r>
      <w:r w:rsidRPr="00D64B92">
        <w:rPr>
          <w:rStyle w:val="af7"/>
          <w:rFonts w:eastAsia="Guttman Hodes" w:hint="cs"/>
          <w:rtl/>
        </w:rPr>
        <w:t xml:space="preserve">(עי' אות </w:t>
      </w:r>
      <w:r w:rsidRPr="00D64B92">
        <w:rPr>
          <w:rStyle w:val="af7"/>
          <w:rFonts w:eastAsia="Guttman Hodes"/>
          <w:rtl/>
        </w:rPr>
        <w:fldChar w:fldCharType="begin"/>
      </w:r>
      <w:r w:rsidRPr="00D64B92">
        <w:rPr>
          <w:rStyle w:val="af7"/>
          <w:rFonts w:eastAsia="Guttman Hodes"/>
          <w:rtl/>
        </w:rPr>
        <w:instrText xml:space="preserve"> </w:instrText>
      </w:r>
      <w:r w:rsidRPr="00D64B92">
        <w:rPr>
          <w:rStyle w:val="af7"/>
          <w:rFonts w:eastAsia="Guttman Hodes" w:hint="cs"/>
        </w:rPr>
        <w:instrText>REF</w:instrText>
      </w:r>
      <w:r w:rsidRPr="00D64B92">
        <w:rPr>
          <w:rStyle w:val="af7"/>
          <w:rFonts w:eastAsia="Guttman Hodes" w:hint="cs"/>
          <w:rtl/>
        </w:rPr>
        <w:instrText xml:space="preserve"> _</w:instrText>
      </w:r>
      <w:r w:rsidRPr="00D64B92">
        <w:rPr>
          <w:rStyle w:val="af7"/>
          <w:rFonts w:eastAsia="Guttman Hodes" w:hint="cs"/>
        </w:rPr>
        <w:instrText>Ref66054768 \r \h</w:instrText>
      </w:r>
      <w:r w:rsidRPr="00D64B92">
        <w:rPr>
          <w:rStyle w:val="af7"/>
          <w:rFonts w:eastAsia="Guttman Hodes"/>
          <w:rtl/>
        </w:rPr>
        <w:instrText xml:space="preserve">  \* </w:instrText>
      </w:r>
      <w:r w:rsidRPr="00D64B92">
        <w:rPr>
          <w:rStyle w:val="af7"/>
          <w:rFonts w:eastAsia="Guttman Hodes"/>
        </w:rPr>
        <w:instrText>MERGEFORMAT</w:instrText>
      </w:r>
      <w:r w:rsidRPr="00D64B92">
        <w:rPr>
          <w:rStyle w:val="af7"/>
          <w:rFonts w:eastAsia="Guttman Hodes"/>
          <w:rtl/>
        </w:rPr>
        <w:instrText xml:space="preserve"> </w:instrText>
      </w:r>
      <w:r w:rsidRPr="00D64B92">
        <w:rPr>
          <w:rStyle w:val="af7"/>
          <w:rFonts w:eastAsia="Guttman Hodes"/>
          <w:rtl/>
        </w:rPr>
      </w:r>
      <w:r w:rsidRPr="00D64B92">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D64B92">
        <w:rPr>
          <w:rStyle w:val="af7"/>
          <w:rFonts w:eastAsia="Guttman Hodes"/>
          <w:rtl/>
        </w:rPr>
        <w:fldChar w:fldCharType="end"/>
      </w:r>
      <w:r w:rsidRPr="005D1B07">
        <w:rPr>
          <w:rFonts w:hint="cs"/>
          <w:rtl/>
        </w:rPr>
        <w:t xml:space="preserve"> דהא הוא כיון דלא חל עליו חיוב שבועה דאו', דשבועת השומרים חלה רק כשטוען הנפקד שהפקדון אבד, אבל כשאינו טוען שאבד הפקדון אין עליו כל חיוב שבועה</w:t>
      </w:r>
      <w:r>
        <w:rPr>
          <w:rFonts w:hint="cs"/>
          <w:rtl/>
        </w:rPr>
        <w:t xml:space="preserve">, אך כתב </w:t>
      </w:r>
      <w:r w:rsidRPr="006B639A">
        <w:rPr>
          <w:rStyle w:val="af9"/>
          <w:rFonts w:hint="cs"/>
          <w:rtl/>
        </w:rPr>
        <w:t>האמרי</w:t>
      </w:r>
      <w:r>
        <w:rPr>
          <w:rFonts w:hint="cs"/>
          <w:rtl/>
        </w:rPr>
        <w:t xml:space="preserve"> </w:t>
      </w:r>
      <w:r w:rsidRPr="006B639A">
        <w:rPr>
          <w:rStyle w:val="af9"/>
          <w:rFonts w:hint="cs"/>
          <w:rtl/>
        </w:rPr>
        <w:t>ברוך</w:t>
      </w:r>
      <w:r>
        <w:rPr>
          <w:rFonts w:hint="cs"/>
          <w:rtl/>
        </w:rPr>
        <w:t xml:space="preserve"> דלדעת </w:t>
      </w:r>
      <w:r w:rsidRPr="006B639A">
        <w:rPr>
          <w:rStyle w:val="af9"/>
          <w:rFonts w:hint="cs"/>
          <w:rtl/>
        </w:rPr>
        <w:t>הרמב</w:t>
      </w:r>
      <w:r w:rsidRPr="005D1B07">
        <w:rPr>
          <w:rStyle w:val="af9"/>
          <w:rFonts w:hint="cs"/>
          <w:rtl/>
        </w:rPr>
        <w:t>"ן</w:t>
      </w:r>
      <w:r w:rsidRPr="00D64B92">
        <w:rPr>
          <w:rStyle w:val="af7"/>
          <w:rFonts w:eastAsia="Guttman Hodes" w:hint="cs"/>
          <w:rtl/>
        </w:rPr>
        <w:t xml:space="preserve"> (עי' אות </w:t>
      </w:r>
      <w:r w:rsidRPr="00D64B92">
        <w:rPr>
          <w:rStyle w:val="af7"/>
          <w:rFonts w:eastAsia="Guttman Hodes"/>
          <w:rtl/>
        </w:rPr>
        <w:fldChar w:fldCharType="begin"/>
      </w:r>
      <w:r w:rsidRPr="00D64B92">
        <w:rPr>
          <w:rStyle w:val="af7"/>
          <w:rFonts w:eastAsia="Guttman Hodes"/>
          <w:rtl/>
        </w:rPr>
        <w:instrText xml:space="preserve"> </w:instrText>
      </w:r>
      <w:r w:rsidRPr="00D64B92">
        <w:rPr>
          <w:rStyle w:val="af7"/>
          <w:rFonts w:eastAsia="Guttman Hodes" w:hint="cs"/>
        </w:rPr>
        <w:instrText>REF</w:instrText>
      </w:r>
      <w:r w:rsidRPr="00D64B92">
        <w:rPr>
          <w:rStyle w:val="af7"/>
          <w:rFonts w:eastAsia="Guttman Hodes" w:hint="cs"/>
          <w:rtl/>
        </w:rPr>
        <w:instrText xml:space="preserve"> _</w:instrText>
      </w:r>
      <w:r w:rsidRPr="00D64B92">
        <w:rPr>
          <w:rStyle w:val="af7"/>
          <w:rFonts w:eastAsia="Guttman Hodes" w:hint="cs"/>
        </w:rPr>
        <w:instrText>Ref66054904 \r \h</w:instrText>
      </w:r>
      <w:r w:rsidRPr="00D64B92">
        <w:rPr>
          <w:rStyle w:val="af7"/>
          <w:rFonts w:eastAsia="Guttman Hodes"/>
          <w:rtl/>
        </w:rPr>
        <w:instrText xml:space="preserve"> </w:instrText>
      </w:r>
      <w:r w:rsidRPr="00D64B92">
        <w:rPr>
          <w:rStyle w:val="af7"/>
          <w:rFonts w:eastAsia="Guttman Hodes"/>
          <w:rtl/>
        </w:rPr>
      </w:r>
      <w:r w:rsidRPr="00D64B92">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D64B92">
        <w:rPr>
          <w:rStyle w:val="af7"/>
          <w:rFonts w:eastAsia="Guttman Hodes"/>
          <w:rtl/>
        </w:rPr>
        <w:fldChar w:fldCharType="end"/>
      </w:r>
      <w:r>
        <w:rPr>
          <w:rFonts w:hint="cs"/>
          <w:rtl/>
        </w:rPr>
        <w:t xml:space="preserve"> התירוץ אינו </w:t>
      </w:r>
      <w:r w:rsidRPr="006B639A">
        <w:rPr>
          <w:rStyle w:val="af9"/>
          <w:rFonts w:hint="cs"/>
          <w:rtl/>
        </w:rPr>
        <w:t>כריב"ם</w:t>
      </w:r>
      <w:r>
        <w:rPr>
          <w:rFonts w:hint="cs"/>
          <w:rtl/>
        </w:rPr>
        <w:t xml:space="preserve">, אלא דכל שלא נשבע להכחיש את הע"א, חשיב הע"א כשנים, ולכן רק בשבועת ע"א לא מהני מיגו, וכתב </w:t>
      </w:r>
      <w:r w:rsidRPr="006B639A">
        <w:rPr>
          <w:rStyle w:val="af9"/>
          <w:rFonts w:hint="cs"/>
          <w:rtl/>
        </w:rPr>
        <w:t>האמרי</w:t>
      </w:r>
      <w:r>
        <w:rPr>
          <w:rFonts w:hint="cs"/>
          <w:rtl/>
        </w:rPr>
        <w:t xml:space="preserve"> </w:t>
      </w:r>
      <w:r w:rsidRPr="006B639A">
        <w:rPr>
          <w:rStyle w:val="af9"/>
          <w:rFonts w:hint="cs"/>
          <w:rtl/>
        </w:rPr>
        <w:t>ברוך</w:t>
      </w:r>
      <w:r>
        <w:rPr>
          <w:rFonts w:hint="cs"/>
          <w:rtl/>
        </w:rPr>
        <w:t xml:space="preserve"> דלכן </w:t>
      </w:r>
      <w:r w:rsidRPr="00F73CC1">
        <w:rPr>
          <w:rStyle w:val="af9"/>
          <w:rFonts w:hint="cs"/>
          <w:rtl/>
        </w:rPr>
        <w:t xml:space="preserve">להרמב"ן </w:t>
      </w:r>
      <w:r>
        <w:rPr>
          <w:rFonts w:hint="cs"/>
          <w:rtl/>
        </w:rPr>
        <w:t>מתורצת הקושיה מהגמ' לקמן, דבהחזרתי נאמן במיגו דנאנסו, כיון שחיוב השבועה בנאנסו אינו מחמת עדות ע"א.</w:t>
      </w:r>
      <w:bookmarkEnd w:id="17969"/>
    </w:p>
    <w:p w:rsidR="00E824D3" w:rsidRPr="009347ED" w:rsidRDefault="00E824D3" w:rsidP="00E824D3">
      <w:pPr>
        <w:pStyle w:val="a3"/>
      </w:pPr>
      <w:bookmarkStart w:id="17970" w:name="_Toc66110514"/>
      <w:bookmarkStart w:id="17971" w:name="_Toc66123374"/>
      <w:bookmarkStart w:id="17972" w:name="_Toc66143822"/>
      <w:bookmarkStart w:id="17973" w:name="_Toc66171985"/>
      <w:bookmarkStart w:id="17974" w:name="_Toc66183225"/>
      <w:bookmarkStart w:id="17975" w:name="_Toc66186005"/>
      <w:bookmarkStart w:id="17976" w:name="_Toc66193465"/>
      <w:r>
        <w:rPr>
          <w:rFonts w:hint="cs"/>
          <w:rtl/>
        </w:rPr>
        <w:t>דברי האמרי ברוך דרבינו יונה ביאר בריב"ם דבכל שבועה דאו' ל"מ מיגו ולא רק בשבועת ע"א</w:t>
      </w:r>
      <w:bookmarkEnd w:id="17970"/>
      <w:bookmarkEnd w:id="17971"/>
      <w:bookmarkEnd w:id="17972"/>
      <w:bookmarkEnd w:id="17973"/>
      <w:bookmarkEnd w:id="17974"/>
      <w:bookmarkEnd w:id="17975"/>
      <w:bookmarkEnd w:id="17976"/>
    </w:p>
    <w:p w:rsidR="00E824D3" w:rsidRDefault="00E824D3" w:rsidP="007E4E81">
      <w:pPr>
        <w:pStyle w:val="a0"/>
        <w:rPr>
          <w:rtl/>
        </w:rPr>
      </w:pPr>
      <w:bookmarkStart w:id="17977" w:name="_Ref65836884"/>
      <w:bookmarkStart w:id="17978" w:name="_Ref66182670"/>
      <w:r>
        <w:rPr>
          <w:rFonts w:hint="cs"/>
          <w:rtl/>
        </w:rPr>
        <w:t xml:space="preserve">וכתב </w:t>
      </w:r>
      <w:r w:rsidRPr="006B639A">
        <w:rPr>
          <w:rStyle w:val="af9"/>
          <w:rFonts w:hint="cs"/>
          <w:rtl/>
        </w:rPr>
        <w:t>האמרי</w:t>
      </w:r>
      <w:r>
        <w:rPr>
          <w:rFonts w:hint="cs"/>
          <w:rtl/>
        </w:rPr>
        <w:t xml:space="preserve"> </w:t>
      </w:r>
      <w:r w:rsidRPr="006B639A">
        <w:rPr>
          <w:rStyle w:val="af9"/>
          <w:rFonts w:hint="cs"/>
          <w:rtl/>
        </w:rPr>
        <w:t>ברוך</w:t>
      </w:r>
      <w:r>
        <w:rPr>
          <w:rFonts w:hint="cs"/>
          <w:rtl/>
        </w:rPr>
        <w:t xml:space="preserve"> דמהא דהוצרכו </w:t>
      </w:r>
      <w:r w:rsidRPr="009C0914">
        <w:rPr>
          <w:rStyle w:val="af9"/>
          <w:rFonts w:hint="cs"/>
          <w:rtl/>
        </w:rPr>
        <w:t>רבינו יונה והרא"ש</w:t>
      </w:r>
      <w:r>
        <w:rPr>
          <w:rFonts w:hint="cs"/>
          <w:rtl/>
        </w:rPr>
        <w:t xml:space="preserve"> לתרץ דבגמ' לקמן דאיירי בשבועת השומרים, לא חל חיוב שבועה, מוכח דלא ביארו בדברי </w:t>
      </w:r>
      <w:r w:rsidRPr="009C0914">
        <w:rPr>
          <w:rStyle w:val="af9"/>
          <w:rFonts w:hint="cs"/>
          <w:rtl/>
        </w:rPr>
        <w:t>הריב"ם</w:t>
      </w:r>
      <w:r>
        <w:rPr>
          <w:rFonts w:hint="cs"/>
          <w:rtl/>
        </w:rPr>
        <w:t xml:space="preserve"> כתירוץ </w:t>
      </w:r>
      <w:r>
        <w:rPr>
          <w:rStyle w:val="af9"/>
          <w:rFonts w:hint="cs"/>
          <w:rtl/>
        </w:rPr>
        <w:t>הרמב</w:t>
      </w:r>
      <w:r>
        <w:rPr>
          <w:rStyle w:val="af9"/>
          <w:rtl/>
        </w:rPr>
        <w:t>"</w:t>
      </w:r>
      <w:r>
        <w:rPr>
          <w:rStyle w:val="af9"/>
          <w:rFonts w:hint="cs"/>
          <w:rtl/>
        </w:rPr>
        <w:t>ן</w:t>
      </w:r>
      <w:r>
        <w:rPr>
          <w:rFonts w:hint="cs"/>
          <w:rtl/>
        </w:rPr>
        <w:t xml:space="preserve">, דהא אי כוונת </w:t>
      </w:r>
      <w:r w:rsidRPr="009C0914">
        <w:rPr>
          <w:rStyle w:val="af9"/>
          <w:rFonts w:hint="cs"/>
          <w:rtl/>
        </w:rPr>
        <w:t>הריב"ם</w:t>
      </w:r>
      <w:r>
        <w:rPr>
          <w:rFonts w:hint="cs"/>
          <w:rtl/>
        </w:rPr>
        <w:t xml:space="preserve"> כדביאר </w:t>
      </w:r>
      <w:r>
        <w:rPr>
          <w:rStyle w:val="af9"/>
          <w:rFonts w:hint="cs"/>
          <w:rtl/>
        </w:rPr>
        <w:t>הרמב</w:t>
      </w:r>
      <w:r>
        <w:rPr>
          <w:rStyle w:val="af9"/>
          <w:rtl/>
        </w:rPr>
        <w:t>"</w:t>
      </w:r>
      <w:r>
        <w:rPr>
          <w:rStyle w:val="af9"/>
          <w:rFonts w:hint="cs"/>
          <w:rtl/>
        </w:rPr>
        <w:t>ן</w:t>
      </w:r>
      <w:r>
        <w:rPr>
          <w:rFonts w:hint="cs"/>
          <w:rtl/>
        </w:rPr>
        <w:t xml:space="preserve"> דע"א כשנים, א"כ לק"מ מהגמ' לקמן, דרק בשבועת ע"א לא מהני מיגו, אבל בגמ' לקמן איירי בשבועת השומרים</w:t>
      </w:r>
      <w:bookmarkEnd w:id="17977"/>
      <w:r>
        <w:rPr>
          <w:rFonts w:hint="cs"/>
          <w:rtl/>
        </w:rPr>
        <w:t xml:space="preserve">, אלא כתב </w:t>
      </w:r>
      <w:r w:rsidRPr="009C0914">
        <w:rPr>
          <w:rStyle w:val="af9"/>
          <w:rFonts w:hint="cs"/>
          <w:rtl/>
        </w:rPr>
        <w:t>האמרי ברוך</w:t>
      </w:r>
      <w:r>
        <w:rPr>
          <w:rFonts w:hint="cs"/>
          <w:rtl/>
        </w:rPr>
        <w:t xml:space="preserve"> דמוכח מדברי </w:t>
      </w:r>
      <w:r w:rsidRPr="009C0914">
        <w:rPr>
          <w:rStyle w:val="af9"/>
          <w:rFonts w:hint="cs"/>
          <w:rtl/>
        </w:rPr>
        <w:t>רבינו יונה והרא"ש</w:t>
      </w:r>
      <w:r>
        <w:rPr>
          <w:rFonts w:hint="cs"/>
          <w:rtl/>
        </w:rPr>
        <w:t xml:space="preserve"> דביארו </w:t>
      </w:r>
      <w:r w:rsidRPr="009C0914">
        <w:rPr>
          <w:rStyle w:val="af9"/>
          <w:rFonts w:hint="cs"/>
          <w:rtl/>
        </w:rPr>
        <w:t>בריב"ם</w:t>
      </w:r>
      <w:r>
        <w:rPr>
          <w:rFonts w:hint="cs"/>
          <w:rtl/>
        </w:rPr>
        <w:t xml:space="preserve"> דבכל מקום שחל עליו חיוב שבועה דאו', צריך או לישבע או לשלם, ולא מהני מיגו, בין בחיוב שבועה שחל ע"י ע"א, ובין בכל חיוב שבועה כשבועת השומרים, </w:t>
      </w:r>
      <w:r w:rsidRPr="00357473">
        <w:rPr>
          <w:rFonts w:hint="cs"/>
          <w:rtl/>
        </w:rPr>
        <w:t xml:space="preserve">אך כתב </w:t>
      </w:r>
      <w:r w:rsidRPr="00357473">
        <w:rPr>
          <w:rStyle w:val="af9"/>
          <w:rFonts w:hint="cs"/>
          <w:rtl/>
        </w:rPr>
        <w:t>האמרי</w:t>
      </w:r>
      <w:r w:rsidRPr="00357473">
        <w:rPr>
          <w:rFonts w:hint="cs"/>
          <w:rtl/>
        </w:rPr>
        <w:t xml:space="preserve"> </w:t>
      </w:r>
      <w:r w:rsidRPr="00357473">
        <w:rPr>
          <w:rStyle w:val="af9"/>
          <w:rFonts w:hint="cs"/>
          <w:rtl/>
        </w:rPr>
        <w:t>ברוך</w:t>
      </w:r>
      <w:r w:rsidRPr="00357473">
        <w:rPr>
          <w:rFonts w:hint="cs"/>
          <w:rtl/>
        </w:rPr>
        <w:t xml:space="preserve"> דמדברי </w:t>
      </w:r>
      <w:r w:rsidRPr="00357473">
        <w:rPr>
          <w:rStyle w:val="af9"/>
          <w:rFonts w:hint="cs"/>
          <w:rtl/>
        </w:rPr>
        <w:t>הרשב"א</w:t>
      </w:r>
      <w:r w:rsidRPr="00357473">
        <w:rPr>
          <w:rFonts w:hint="cs"/>
          <w:rtl/>
        </w:rPr>
        <w:t xml:space="preserve"> </w:t>
      </w:r>
      <w:r w:rsidRPr="00357473">
        <w:rPr>
          <w:rStyle w:val="af7"/>
          <w:rFonts w:eastAsia="Guttman Hodes" w:hint="cs"/>
          <w:rtl/>
        </w:rPr>
        <w:t xml:space="preserve">(עי' אות </w:t>
      </w:r>
      <w:r w:rsidRPr="00357473">
        <w:rPr>
          <w:rStyle w:val="af7"/>
          <w:rFonts w:eastAsia="Guttman Hodes"/>
          <w:rtl/>
        </w:rPr>
        <w:fldChar w:fldCharType="begin"/>
      </w:r>
      <w:r w:rsidRPr="00357473">
        <w:rPr>
          <w:rStyle w:val="af7"/>
          <w:rFonts w:eastAsia="Guttman Hodes"/>
          <w:rtl/>
        </w:rPr>
        <w:instrText xml:space="preserve"> </w:instrText>
      </w:r>
      <w:r w:rsidRPr="00357473">
        <w:rPr>
          <w:rStyle w:val="af7"/>
          <w:rFonts w:eastAsia="Guttman Hodes" w:hint="cs"/>
        </w:rPr>
        <w:instrText>REF</w:instrText>
      </w:r>
      <w:r w:rsidRPr="00357473">
        <w:rPr>
          <w:rStyle w:val="af7"/>
          <w:rFonts w:eastAsia="Guttman Hodes" w:hint="cs"/>
          <w:rtl/>
        </w:rPr>
        <w:instrText xml:space="preserve"> _</w:instrText>
      </w:r>
      <w:r w:rsidRPr="00357473">
        <w:rPr>
          <w:rStyle w:val="af7"/>
          <w:rFonts w:eastAsia="Guttman Hodes" w:hint="cs"/>
        </w:rPr>
        <w:instrText>Ref66036200 \r \h</w:instrText>
      </w:r>
      <w:r w:rsidRPr="00357473">
        <w:rPr>
          <w:rStyle w:val="af7"/>
          <w:rFonts w:eastAsia="Guttman Hodes"/>
          <w:rtl/>
        </w:rPr>
        <w:instrText xml:space="preserve"> </w:instrText>
      </w:r>
      <w:r w:rsidRPr="00357473">
        <w:rPr>
          <w:rStyle w:val="af7"/>
          <w:rFonts w:eastAsia="Guttman Hodes"/>
          <w:rtl/>
        </w:rPr>
      </w:r>
      <w:r w:rsidRPr="00357473">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357473">
        <w:rPr>
          <w:rStyle w:val="af7"/>
          <w:rFonts w:eastAsia="Guttman Hodes"/>
          <w:rtl/>
        </w:rPr>
        <w:fldChar w:fldCharType="end"/>
      </w:r>
      <w:r w:rsidRPr="00357473">
        <w:rPr>
          <w:rFonts w:hint="cs"/>
          <w:rtl/>
        </w:rPr>
        <w:t xml:space="preserve"> משמע דאפשר לבאר דכוונת </w:t>
      </w:r>
      <w:r w:rsidRPr="00357473">
        <w:rPr>
          <w:rStyle w:val="af9"/>
          <w:rFonts w:hint="cs"/>
          <w:rtl/>
        </w:rPr>
        <w:t>הרמב</w:t>
      </w:r>
      <w:r w:rsidRPr="00357473">
        <w:rPr>
          <w:rStyle w:val="af9"/>
          <w:rtl/>
        </w:rPr>
        <w:t>"</w:t>
      </w:r>
      <w:r w:rsidRPr="00357473">
        <w:rPr>
          <w:rStyle w:val="af9"/>
          <w:rFonts w:hint="cs"/>
          <w:rtl/>
        </w:rPr>
        <w:t>ן</w:t>
      </w:r>
      <w:r w:rsidRPr="00357473">
        <w:rPr>
          <w:rFonts w:hint="cs"/>
          <w:rtl/>
        </w:rPr>
        <w:t xml:space="preserve"> היא כדברי </w:t>
      </w:r>
      <w:r w:rsidRPr="00357473">
        <w:rPr>
          <w:rStyle w:val="af9"/>
          <w:rFonts w:hint="cs"/>
          <w:rtl/>
        </w:rPr>
        <w:t>הריב"ם</w:t>
      </w:r>
      <w:r w:rsidRPr="00357473">
        <w:rPr>
          <w:rFonts w:hint="cs"/>
          <w:rtl/>
        </w:rPr>
        <w:t>, דכל שלא נשבע להכחיש את הע"א</w:t>
      </w:r>
      <w:r>
        <w:rPr>
          <w:rFonts w:hint="cs"/>
          <w:rtl/>
        </w:rPr>
        <w:t xml:space="preserve">, הוא חשיב כשנים, ועי' במה שביאר בזה </w:t>
      </w:r>
      <w:r w:rsidRPr="001F59B5">
        <w:rPr>
          <w:rStyle w:val="af9"/>
          <w:rFonts w:hint="cs"/>
          <w:rtl/>
        </w:rPr>
        <w:t>בחו"ש הגרב"ב</w:t>
      </w:r>
      <w:r>
        <w:rPr>
          <w:rFonts w:hint="cs"/>
          <w:rtl/>
        </w:rPr>
        <w:t xml:space="preserve"> </w:t>
      </w:r>
      <w:r w:rsidRPr="000809D3">
        <w:rPr>
          <w:rStyle w:val="af7"/>
          <w:rFonts w:eastAsia="Guttman Hodes" w:hint="cs"/>
          <w:rtl/>
        </w:rPr>
        <w:t xml:space="preserve">(עי' אות </w:t>
      </w:r>
      <w:r w:rsidRPr="000809D3">
        <w:rPr>
          <w:rStyle w:val="af7"/>
          <w:rFonts w:eastAsia="Guttman Hodes"/>
          <w:rtl/>
        </w:rPr>
        <w:fldChar w:fldCharType="begin"/>
      </w:r>
      <w:r w:rsidRPr="000809D3">
        <w:rPr>
          <w:rStyle w:val="af7"/>
          <w:rFonts w:eastAsia="Guttman Hodes"/>
          <w:rtl/>
        </w:rPr>
        <w:instrText xml:space="preserve"> </w:instrText>
      </w:r>
      <w:r w:rsidRPr="000809D3">
        <w:rPr>
          <w:rStyle w:val="af7"/>
          <w:rFonts w:eastAsia="Guttman Hodes" w:hint="cs"/>
        </w:rPr>
        <w:instrText>REF</w:instrText>
      </w:r>
      <w:r w:rsidRPr="000809D3">
        <w:rPr>
          <w:rStyle w:val="af7"/>
          <w:rFonts w:eastAsia="Guttman Hodes" w:hint="cs"/>
          <w:rtl/>
        </w:rPr>
        <w:instrText xml:space="preserve"> _</w:instrText>
      </w:r>
      <w:r w:rsidRPr="000809D3">
        <w:rPr>
          <w:rStyle w:val="af7"/>
          <w:rFonts w:eastAsia="Guttman Hodes" w:hint="cs"/>
        </w:rPr>
        <w:instrText>Ref65837002 \r \h</w:instrText>
      </w:r>
      <w:r w:rsidRPr="000809D3">
        <w:rPr>
          <w:rStyle w:val="af7"/>
          <w:rFonts w:eastAsia="Guttman Hodes"/>
          <w:rtl/>
        </w:rPr>
        <w:instrText xml:space="preserve"> </w:instrText>
      </w:r>
      <w:r w:rsidRPr="000809D3">
        <w:rPr>
          <w:rStyle w:val="af7"/>
          <w:rFonts w:eastAsia="Guttman Hodes"/>
          <w:rtl/>
        </w:rPr>
      </w:r>
      <w:r w:rsidRPr="000809D3">
        <w:rPr>
          <w:rStyle w:val="af7"/>
          <w:rFonts w:eastAsia="Guttman Hodes"/>
          <w:rtl/>
        </w:rPr>
        <w:fldChar w:fldCharType="separate"/>
      </w:r>
      <w:r w:rsidR="00265073">
        <w:rPr>
          <w:rStyle w:val="af7"/>
          <w:rFonts w:eastAsia="Guttman Hodes"/>
          <w:cs/>
        </w:rPr>
        <w:t>‎</w:t>
      </w:r>
      <w:r w:rsidR="00265073">
        <w:rPr>
          <w:rStyle w:val="af7"/>
          <w:rFonts w:eastAsia="Guttman Hodes"/>
          <w:rtl/>
        </w:rPr>
        <w:t>צב)</w:t>
      </w:r>
      <w:r w:rsidRPr="000809D3">
        <w:rPr>
          <w:rStyle w:val="af7"/>
          <w:rFonts w:eastAsia="Guttman Hodes"/>
          <w:rtl/>
        </w:rPr>
        <w:fldChar w:fldCharType="end"/>
      </w:r>
      <w:r w:rsidRPr="00052D95">
        <w:rPr>
          <w:rStyle w:val="af9"/>
          <w:rFonts w:hint="cs"/>
          <w:rtl/>
        </w:rPr>
        <w:t xml:space="preserve"> </w:t>
      </w:r>
      <w:r>
        <w:rPr>
          <w:rStyle w:val="af9"/>
          <w:rFonts w:hint="cs"/>
          <w:rtl/>
        </w:rPr>
        <w:t>ו</w:t>
      </w:r>
      <w:r w:rsidRPr="00AF0A0B">
        <w:rPr>
          <w:rStyle w:val="af9"/>
          <w:rFonts w:hint="cs"/>
          <w:rtl/>
        </w:rPr>
        <w:t>בחי' רבי נחום</w:t>
      </w:r>
      <w:r>
        <w:rPr>
          <w:rFonts w:hint="cs"/>
          <w:rtl/>
        </w:rPr>
        <w:t xml:space="preserve"> </w:t>
      </w:r>
      <w:r w:rsidRPr="00AF0A0B">
        <w:rPr>
          <w:rStyle w:val="af7"/>
          <w:rFonts w:eastAsia="Guttman Hodes" w:hint="cs"/>
          <w:rtl/>
        </w:rPr>
        <w:t>(עי'</w:t>
      </w:r>
      <w:r>
        <w:rPr>
          <w:rStyle w:val="af7"/>
          <w:rFonts w:eastAsia="Guttman Hodes" w:hint="cs"/>
          <w:rtl/>
        </w:rPr>
        <w:t xml:space="preserve"> הערה</w:t>
      </w:r>
      <w:bookmarkStart w:id="17979" w:name="_Ref66182833"/>
      <w:r>
        <w:rPr>
          <w:rStyle w:val="af1"/>
          <w:rtl/>
        </w:rPr>
        <w:footnoteReference w:id="122"/>
      </w:r>
      <w:bookmarkEnd w:id="17979"/>
      <w:r w:rsidRPr="00052D95">
        <w:rPr>
          <w:rStyle w:val="af7"/>
          <w:rFonts w:eastAsia="Guttman Hodes" w:hint="cs"/>
          <w:rtl/>
        </w:rPr>
        <w:t>)</w:t>
      </w:r>
      <w:r>
        <w:rPr>
          <w:rFonts w:hint="cs"/>
          <w:rtl/>
        </w:rPr>
        <w:t>.</w:t>
      </w:r>
      <w:bookmarkEnd w:id="17978"/>
    </w:p>
    <w:p w:rsidR="00E824D3" w:rsidRDefault="00E824D3" w:rsidP="00E824D3">
      <w:pPr>
        <w:pStyle w:val="1"/>
        <w:rPr>
          <w:rtl/>
        </w:rPr>
      </w:pPr>
      <w:bookmarkStart w:id="17980" w:name="_Toc65530009"/>
      <w:bookmarkStart w:id="17981" w:name="_Toc65748244"/>
      <w:bookmarkStart w:id="17982" w:name="_Toc65788182"/>
      <w:bookmarkStart w:id="17983" w:name="_Toc65839230"/>
      <w:bookmarkStart w:id="17984" w:name="_Toc66048868"/>
      <w:bookmarkStart w:id="17985" w:name="_Toc66055824"/>
      <w:bookmarkStart w:id="17986" w:name="_Toc66085944"/>
      <w:bookmarkStart w:id="17987" w:name="_Toc66110515"/>
      <w:bookmarkStart w:id="17988" w:name="_Toc66123375"/>
      <w:bookmarkStart w:id="17989" w:name="_Toc66143823"/>
      <w:bookmarkStart w:id="17990" w:name="_Toc66171986"/>
      <w:bookmarkStart w:id="17991" w:name="_Toc66183226"/>
      <w:bookmarkStart w:id="17992" w:name="_Toc66186006"/>
      <w:bookmarkStart w:id="17993" w:name="_Toc66193466"/>
      <w:bookmarkEnd w:id="17946"/>
      <w:r>
        <w:rPr>
          <w:rFonts w:hint="cs"/>
          <w:rtl/>
        </w:rPr>
        <w:t>בי' חי' הרי"ם</w:t>
      </w:r>
      <w:bookmarkEnd w:id="17980"/>
      <w:bookmarkEnd w:id="17981"/>
      <w:bookmarkEnd w:id="17982"/>
      <w:bookmarkEnd w:id="17983"/>
      <w:bookmarkEnd w:id="17984"/>
      <w:bookmarkEnd w:id="17985"/>
      <w:bookmarkEnd w:id="17986"/>
      <w:bookmarkEnd w:id="17987"/>
      <w:r>
        <w:rPr>
          <w:rFonts w:hint="cs"/>
          <w:rtl/>
        </w:rPr>
        <w:t xml:space="preserve"> בריב"ם דע"י הע"א חשיב המיגו כנגד חזקה ול"מ</w:t>
      </w:r>
      <w:bookmarkEnd w:id="17988"/>
      <w:bookmarkEnd w:id="17989"/>
      <w:bookmarkEnd w:id="17990"/>
      <w:bookmarkEnd w:id="17991"/>
      <w:bookmarkEnd w:id="17992"/>
      <w:bookmarkEnd w:id="17993"/>
    </w:p>
    <w:p w:rsidR="00E824D3" w:rsidRDefault="00E824D3" w:rsidP="00E824D3">
      <w:pPr>
        <w:pStyle w:val="a3"/>
        <w:rPr>
          <w:rtl/>
        </w:rPr>
      </w:pPr>
      <w:bookmarkStart w:id="17994" w:name="_Toc66123376"/>
      <w:bookmarkStart w:id="17995" w:name="_Toc66143824"/>
      <w:bookmarkStart w:id="17996" w:name="_Toc66171987"/>
      <w:bookmarkStart w:id="17997" w:name="_Toc66183227"/>
      <w:bookmarkStart w:id="17998" w:name="_Toc66186007"/>
      <w:bookmarkStart w:id="17999" w:name="_Toc66193467"/>
      <w:r>
        <w:rPr>
          <w:rFonts w:hint="cs"/>
          <w:rtl/>
        </w:rPr>
        <w:t>ביאור חי' הרי"ם בריב"ם דע"א כשנים וידוע שחטף ויש חזקה לראשון ול"מ מיגו נגד חזקה</w:t>
      </w:r>
      <w:bookmarkEnd w:id="17994"/>
      <w:bookmarkEnd w:id="17995"/>
      <w:bookmarkEnd w:id="17996"/>
      <w:bookmarkEnd w:id="17997"/>
      <w:bookmarkEnd w:id="17998"/>
      <w:bookmarkEnd w:id="17999"/>
    </w:p>
    <w:p w:rsidR="00E824D3" w:rsidRPr="00B44060" w:rsidRDefault="00E824D3" w:rsidP="007E4E81">
      <w:pPr>
        <w:pStyle w:val="a0"/>
        <w:rPr>
          <w:sz w:val="10"/>
          <w:szCs w:val="14"/>
        </w:rPr>
      </w:pPr>
      <w:bookmarkStart w:id="18000" w:name="_Ref66116161"/>
      <w:r>
        <w:rPr>
          <w:rFonts w:hint="cs"/>
          <w:rtl/>
        </w:rPr>
        <w:t xml:space="preserve">במה שתירץ </w:t>
      </w:r>
      <w:r>
        <w:rPr>
          <w:rStyle w:val="af9"/>
          <w:rtl/>
        </w:rPr>
        <w:t xml:space="preserve">ריב"ם </w:t>
      </w:r>
      <w:r w:rsidRPr="00DD481B">
        <w:rPr>
          <w:rStyle w:val="af7"/>
          <w:rFonts w:eastAsia="Guttman Hodes" w:hint="cs"/>
          <w:rtl/>
        </w:rPr>
        <w:t xml:space="preserve">(עי' אות </w:t>
      </w:r>
      <w:r w:rsidRPr="00DD481B">
        <w:rPr>
          <w:rStyle w:val="af7"/>
          <w:rFonts w:eastAsia="Guttman Hodes"/>
          <w:rtl/>
        </w:rPr>
        <w:fldChar w:fldCharType="begin"/>
      </w:r>
      <w:r w:rsidRPr="00DD481B">
        <w:rPr>
          <w:rStyle w:val="af7"/>
          <w:rFonts w:eastAsia="Guttman Hodes"/>
          <w:rtl/>
        </w:rPr>
        <w:instrText xml:space="preserve"> </w:instrText>
      </w:r>
      <w:r w:rsidRPr="00DD481B">
        <w:rPr>
          <w:rStyle w:val="af7"/>
          <w:rFonts w:eastAsia="Guttman Hodes" w:hint="cs"/>
        </w:rPr>
        <w:instrText>REF</w:instrText>
      </w:r>
      <w:r w:rsidRPr="00DD481B">
        <w:rPr>
          <w:rStyle w:val="af7"/>
          <w:rFonts w:eastAsia="Guttman Hodes" w:hint="cs"/>
          <w:rtl/>
        </w:rPr>
        <w:instrText xml:space="preserve"> _</w:instrText>
      </w:r>
      <w:r w:rsidRPr="00DD481B">
        <w:rPr>
          <w:rStyle w:val="af7"/>
          <w:rFonts w:eastAsia="Guttman Hodes" w:hint="cs"/>
        </w:rPr>
        <w:instrText>Ref65795831 \r \h</w:instrText>
      </w:r>
      <w:r w:rsidRPr="00DD481B">
        <w:rPr>
          <w:rStyle w:val="af7"/>
          <w:rFonts w:eastAsia="Guttman Hodes"/>
          <w:rtl/>
        </w:rPr>
        <w:instrText xml:space="preserve"> </w:instrText>
      </w:r>
      <w:r w:rsidRPr="00DD481B">
        <w:rPr>
          <w:rStyle w:val="af7"/>
          <w:rFonts w:eastAsia="Guttman Hodes"/>
          <w:rtl/>
        </w:rPr>
      </w:r>
      <w:r w:rsidRPr="00DD481B">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DD481B">
        <w:rPr>
          <w:rStyle w:val="af7"/>
          <w:rFonts w:eastAsia="Guttman Hodes"/>
          <w:rtl/>
        </w:rPr>
        <w:fldChar w:fldCharType="end"/>
      </w:r>
      <w:r>
        <w:rPr>
          <w:rFonts w:hint="cs"/>
          <w:rtl/>
        </w:rPr>
        <w:t xml:space="preserve"> כיון דכל שחייב שבועה או נשבע או משלם, ולא מהני לו מיגו להפטר, הקשה </w:t>
      </w:r>
      <w:r w:rsidRPr="001843C8">
        <w:rPr>
          <w:rStyle w:val="af9"/>
          <w:rFonts w:hint="cs"/>
          <w:rtl/>
        </w:rPr>
        <w:t>בחי'</w:t>
      </w:r>
      <w:r>
        <w:rPr>
          <w:rFonts w:hint="cs"/>
          <w:rtl/>
        </w:rPr>
        <w:t xml:space="preserve"> </w:t>
      </w:r>
      <w:r w:rsidRPr="001843C8">
        <w:rPr>
          <w:rStyle w:val="af9"/>
          <w:rFonts w:hint="cs"/>
          <w:rtl/>
        </w:rPr>
        <w:t>הרי"ם</w:t>
      </w:r>
      <w:r>
        <w:rPr>
          <w:rFonts w:hint="cs"/>
          <w:rtl/>
        </w:rPr>
        <w:t xml:space="preserve"> </w:t>
      </w:r>
      <w:r w:rsidRPr="00DD481B">
        <w:rPr>
          <w:rStyle w:val="af7"/>
          <w:rFonts w:eastAsia="Guttman Hodes" w:hint="cs"/>
          <w:rtl/>
        </w:rPr>
        <w:t>(על תוד"ה הוי)</w:t>
      </w:r>
      <w:r>
        <w:rPr>
          <w:rFonts w:hint="cs"/>
          <w:rtl/>
        </w:rPr>
        <w:t xml:space="preserve"> דכ"מ שהע"א חשיב כשנים, היינו לענין מה שמעיד על החטיפה, ובזה אין החוטף מכחישו כלל, וכל מה שהוא נאמן במיגו, הוא לומר שחטף את שלו, ובזה אין העד מכחישו כלל, וביאר </w:t>
      </w:r>
      <w:r w:rsidRPr="001843C8">
        <w:rPr>
          <w:rStyle w:val="af9"/>
          <w:rFonts w:hint="cs"/>
          <w:rtl/>
        </w:rPr>
        <w:t>בחי' הרי"ם</w:t>
      </w:r>
      <w:r>
        <w:rPr>
          <w:rFonts w:hint="cs"/>
          <w:rtl/>
        </w:rPr>
        <w:t xml:space="preserve"> דכוונת </w:t>
      </w:r>
      <w:r w:rsidRPr="001843C8">
        <w:rPr>
          <w:rStyle w:val="af9"/>
          <w:rFonts w:hint="cs"/>
          <w:rtl/>
        </w:rPr>
        <w:t>התוס'</w:t>
      </w:r>
      <w:r>
        <w:rPr>
          <w:rFonts w:hint="cs"/>
          <w:rtl/>
        </w:rPr>
        <w:t xml:space="preserve"> לומר כיון דבמקום שאינו נשבע להכחישו, חשיב הע"א כשנים, א"כ אף בלא הודאת החוטף אנו יודעים שהנסכא הייתה ביד הראשון, וא"כ יש לראשון חזקה דכ"מ שתח"י היא שלו, וממילא לא נאמן החוטף במיגו כנגד החזקה, כמבואר </w:t>
      </w:r>
      <w:r w:rsidRPr="001843C8">
        <w:rPr>
          <w:rStyle w:val="af9"/>
          <w:rFonts w:hint="cs"/>
          <w:rtl/>
        </w:rPr>
        <w:t>בש"ך</w:t>
      </w:r>
      <w:r>
        <w:rPr>
          <w:rFonts w:hint="cs"/>
          <w:rtl/>
        </w:rPr>
        <w:t xml:space="preserve"> </w:t>
      </w:r>
      <w:r w:rsidRPr="00DD481B">
        <w:rPr>
          <w:rStyle w:val="af7"/>
          <w:rFonts w:eastAsia="Guttman Hodes" w:hint="cs"/>
          <w:rtl/>
        </w:rPr>
        <w:t>(סי' מ"ז סק"ו)</w:t>
      </w:r>
      <w:r>
        <w:rPr>
          <w:rFonts w:hint="cs"/>
          <w:rtl/>
        </w:rPr>
        <w:t xml:space="preserve"> דלא מהני מיגו נגד חזקה דמה שתח"י שלו הוא, ועיי"ש במה שהוסיף </w:t>
      </w:r>
      <w:r w:rsidRPr="001843C8">
        <w:rPr>
          <w:rStyle w:val="af9"/>
          <w:rFonts w:hint="cs"/>
          <w:rtl/>
        </w:rPr>
        <w:t>בחי' הרי"ם</w:t>
      </w:r>
      <w:r>
        <w:rPr>
          <w:rFonts w:hint="cs"/>
          <w:rtl/>
        </w:rPr>
        <w:t xml:space="preserve"> לבאר לפי"ז, וכעי"ז ביאר </w:t>
      </w:r>
      <w:r w:rsidRPr="00F87A24">
        <w:rPr>
          <w:rStyle w:val="af9"/>
          <w:rFonts w:hint="cs"/>
          <w:rtl/>
        </w:rPr>
        <w:t>הגר"ח</w:t>
      </w:r>
      <w:r>
        <w:rPr>
          <w:rFonts w:hint="cs"/>
          <w:rtl/>
        </w:rPr>
        <w:t xml:space="preserve"> </w:t>
      </w:r>
      <w:r w:rsidRPr="00356AE8">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Ref66118859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סט)</w:t>
      </w:r>
      <w:r>
        <w:rPr>
          <w:rStyle w:val="af7"/>
          <w:rFonts w:eastAsia="Guttman Hodes"/>
          <w:rtl/>
        </w:rPr>
        <w:fldChar w:fldCharType="end"/>
      </w:r>
      <w:r>
        <w:rPr>
          <w:rFonts w:hint="cs"/>
          <w:rtl/>
        </w:rPr>
        <w:t xml:space="preserve">, ועי' במ"ש </w:t>
      </w:r>
      <w:r w:rsidRPr="00AF0A0B">
        <w:rPr>
          <w:rStyle w:val="af9"/>
          <w:rFonts w:hint="cs"/>
          <w:rtl/>
        </w:rPr>
        <w:t>בחי' רבי נחום</w:t>
      </w:r>
      <w:r>
        <w:rPr>
          <w:rFonts w:hint="cs"/>
          <w:rtl/>
        </w:rPr>
        <w:t xml:space="preserve"> </w:t>
      </w:r>
      <w:r w:rsidRPr="00654918">
        <w:rPr>
          <w:rStyle w:val="af7"/>
          <w:rFonts w:eastAsia="Guttman Hodes" w:hint="cs"/>
          <w:rtl/>
        </w:rPr>
        <w:t>(עי' הערה</w:t>
      </w:r>
      <w:r>
        <w:rPr>
          <w:vertAlign w:val="superscript"/>
          <w:rtl/>
        </w:rPr>
        <w:fldChar w:fldCharType="begin"/>
      </w:r>
      <w:r>
        <w:rPr>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Ref66185667 \h</w:instrText>
      </w:r>
      <w:r>
        <w:rPr>
          <w:vertAlign w:val="superscript"/>
          <w:rtl/>
        </w:rPr>
        <w:instrText xml:space="preserve"> </w:instrText>
      </w:r>
      <w:r>
        <w:rPr>
          <w:vertAlign w:val="superscript"/>
          <w:rtl/>
        </w:rPr>
      </w:r>
      <w:r>
        <w:rPr>
          <w:vertAlign w:val="superscript"/>
          <w:rtl/>
        </w:rPr>
        <w:fldChar w:fldCharType="separate"/>
      </w:r>
      <w:r w:rsidR="00265073">
        <w:rPr>
          <w:vertAlign w:val="superscript"/>
          <w:rtl/>
        </w:rPr>
        <w:t>125</w:t>
      </w:r>
      <w:r>
        <w:rPr>
          <w:vertAlign w:val="superscript"/>
          <w:rtl/>
        </w:rPr>
        <w:fldChar w:fldCharType="end"/>
      </w:r>
      <w:r w:rsidRPr="00654918">
        <w:rPr>
          <w:rStyle w:val="af7"/>
          <w:rFonts w:eastAsia="Guttman Hodes" w:hint="cs"/>
          <w:rtl/>
        </w:rPr>
        <w:t>)</w:t>
      </w:r>
      <w:r>
        <w:rPr>
          <w:rFonts w:hint="cs"/>
          <w:rtl/>
        </w:rPr>
        <w:t>.</w:t>
      </w:r>
      <w:bookmarkEnd w:id="18000"/>
      <w:r w:rsidRPr="00B44060">
        <w:rPr>
          <w:rStyle w:val="afb"/>
          <w:rFonts w:hint="cs"/>
          <w:rtl/>
        </w:rPr>
        <w:t xml:space="preserve"> [ועי' במ"ש </w:t>
      </w:r>
      <w:r w:rsidRPr="00B44060">
        <w:rPr>
          <w:rStyle w:val="affa"/>
          <w:rFonts w:hint="cs"/>
          <w:rtl/>
        </w:rPr>
        <w:t>המ"מ</w:t>
      </w:r>
      <w:r w:rsidRPr="00B44060">
        <w:rPr>
          <w:rStyle w:val="afb"/>
          <w:rFonts w:hint="cs"/>
          <w:rtl/>
        </w:rPr>
        <w:t xml:space="preserve"> </w:t>
      </w:r>
      <w:r w:rsidRPr="00B44060">
        <w:rPr>
          <w:rStyle w:val="aff6"/>
          <w:rFonts w:hint="cs"/>
          <w:rtl/>
        </w:rPr>
        <w:t xml:space="preserve">(עי' אות </w:t>
      </w:r>
      <w:r w:rsidRPr="00B44060">
        <w:rPr>
          <w:rStyle w:val="aff6"/>
          <w:rtl/>
        </w:rPr>
        <w:fldChar w:fldCharType="begin"/>
      </w:r>
      <w:r w:rsidRPr="00B44060">
        <w:rPr>
          <w:rStyle w:val="aff6"/>
          <w:rtl/>
        </w:rPr>
        <w:instrText xml:space="preserve"> </w:instrText>
      </w:r>
      <w:r w:rsidRPr="00B44060">
        <w:rPr>
          <w:rStyle w:val="aff6"/>
          <w:rFonts w:hint="cs"/>
        </w:rPr>
        <w:instrText>REF</w:instrText>
      </w:r>
      <w:r w:rsidRPr="00B44060">
        <w:rPr>
          <w:rStyle w:val="aff6"/>
          <w:rFonts w:hint="cs"/>
          <w:rtl/>
        </w:rPr>
        <w:instrText xml:space="preserve"> _</w:instrText>
      </w:r>
      <w:r w:rsidRPr="00B44060">
        <w:rPr>
          <w:rStyle w:val="aff6"/>
          <w:rFonts w:hint="cs"/>
        </w:rPr>
        <w:instrText>Ref66184949 \r \h</w:instrText>
      </w:r>
      <w:r w:rsidRPr="00B44060">
        <w:rPr>
          <w:rStyle w:val="aff6"/>
          <w:rtl/>
        </w:rPr>
        <w:instrText xml:space="preserve"> </w:instrText>
      </w:r>
      <w:r w:rsidRPr="00B44060">
        <w:rPr>
          <w:rStyle w:val="aff6"/>
          <w:rtl/>
        </w:rPr>
      </w:r>
      <w:r w:rsidRPr="00B44060">
        <w:rPr>
          <w:rStyle w:val="aff6"/>
          <w:rtl/>
        </w:rPr>
        <w:fldChar w:fldCharType="separate"/>
      </w:r>
      <w:r w:rsidR="00265073">
        <w:rPr>
          <w:rStyle w:val="aff6"/>
          <w:cs/>
        </w:rPr>
        <w:t>‎</w:t>
      </w:r>
      <w:r w:rsidR="00265073">
        <w:rPr>
          <w:rStyle w:val="aff6"/>
          <w:rtl/>
        </w:rPr>
        <w:t>ס)</w:t>
      </w:r>
      <w:r w:rsidRPr="00B44060">
        <w:rPr>
          <w:rStyle w:val="aff6"/>
          <w:rtl/>
        </w:rPr>
        <w:fldChar w:fldCharType="end"/>
      </w:r>
      <w:r>
        <w:rPr>
          <w:rFonts w:hint="cs"/>
          <w:rtl/>
        </w:rPr>
        <w:t xml:space="preserve"> </w:t>
      </w:r>
      <w:r w:rsidRPr="00B44060">
        <w:rPr>
          <w:rStyle w:val="afb"/>
          <w:rFonts w:hint="cs"/>
          <w:rtl/>
        </w:rPr>
        <w:t xml:space="preserve">בשם </w:t>
      </w:r>
      <w:r w:rsidRPr="00B44060">
        <w:rPr>
          <w:rStyle w:val="affa"/>
          <w:rFonts w:hint="cs"/>
          <w:rtl/>
        </w:rPr>
        <w:t>הרמב"ן</w:t>
      </w:r>
      <w:r w:rsidRPr="00B44060">
        <w:rPr>
          <w:rStyle w:val="afb"/>
          <w:rFonts w:hint="cs"/>
          <w:rtl/>
        </w:rPr>
        <w:t xml:space="preserve"> </w:t>
      </w:r>
      <w:r>
        <w:rPr>
          <w:rStyle w:val="afb"/>
          <w:rFonts w:hint="cs"/>
          <w:rtl/>
        </w:rPr>
        <w:t>דברוצה להבריח מבע</w:t>
      </w:r>
      <w:r>
        <w:rPr>
          <w:rStyle w:val="afb"/>
          <w:rtl/>
        </w:rPr>
        <w:t>"</w:t>
      </w:r>
      <w:r>
        <w:rPr>
          <w:rStyle w:val="afb"/>
          <w:rFonts w:hint="cs"/>
          <w:rtl/>
        </w:rPr>
        <w:t>ח, ל</w:t>
      </w:r>
      <w:r>
        <w:rPr>
          <w:rStyle w:val="afb"/>
          <w:rtl/>
        </w:rPr>
        <w:t>"</w:t>
      </w:r>
      <w:r>
        <w:rPr>
          <w:rStyle w:val="afb"/>
          <w:rFonts w:hint="cs"/>
          <w:rtl/>
        </w:rPr>
        <w:t>מ מיגו כנגד חזקה דמה שתח</w:t>
      </w:r>
      <w:r>
        <w:rPr>
          <w:rStyle w:val="afb"/>
          <w:rtl/>
        </w:rPr>
        <w:t>"</w:t>
      </w:r>
      <w:r>
        <w:rPr>
          <w:rStyle w:val="afb"/>
          <w:rFonts w:hint="cs"/>
          <w:rtl/>
        </w:rPr>
        <w:t>י שלו, דחיישינן לקנוניא</w:t>
      </w:r>
      <w:r w:rsidRPr="00B44060">
        <w:rPr>
          <w:rStyle w:val="afb"/>
          <w:rFonts w:hint="cs"/>
          <w:rtl/>
        </w:rPr>
        <w:t>].</w:t>
      </w:r>
      <w:r>
        <w:rPr>
          <w:rFonts w:hint="cs"/>
          <w:rtl/>
        </w:rPr>
        <w:t xml:space="preserve"> </w:t>
      </w:r>
    </w:p>
    <w:p w:rsidR="00E824D3" w:rsidRDefault="00E824D3" w:rsidP="00E824D3">
      <w:pPr>
        <w:pStyle w:val="afe"/>
        <w:rPr>
          <w:rtl/>
        </w:rPr>
      </w:pPr>
      <w:bookmarkStart w:id="18001" w:name="_Toc66110516"/>
      <w:bookmarkStart w:id="18002" w:name="_Toc66123377"/>
      <w:bookmarkStart w:id="18003" w:name="_Toc66143825"/>
      <w:bookmarkStart w:id="18004" w:name="_Toc66171988"/>
      <w:bookmarkStart w:id="18005" w:name="_Toc66183228"/>
      <w:bookmarkStart w:id="18006" w:name="_Toc66186008"/>
      <w:bookmarkStart w:id="18007" w:name="_Toc66193468"/>
      <w:bookmarkStart w:id="18008" w:name="_Toc65748252"/>
      <w:bookmarkStart w:id="18009" w:name="_Toc65788190"/>
      <w:bookmarkStart w:id="18010" w:name="_Toc65839238"/>
      <w:bookmarkStart w:id="18011" w:name="_Toc66048872"/>
      <w:bookmarkStart w:id="18012" w:name="_Toc66055825"/>
      <w:bookmarkStart w:id="18013" w:name="_Toc66085945"/>
      <w:r>
        <w:rPr>
          <w:rFonts w:hint="cs"/>
          <w:rtl/>
        </w:rPr>
        <w:t>קושיות התוס' והרמב"ן על ביאור הריב"ם</w:t>
      </w:r>
      <w:bookmarkEnd w:id="18001"/>
      <w:bookmarkEnd w:id="18002"/>
      <w:bookmarkEnd w:id="18003"/>
      <w:bookmarkEnd w:id="18004"/>
      <w:bookmarkEnd w:id="18005"/>
      <w:bookmarkEnd w:id="18006"/>
      <w:bookmarkEnd w:id="18007"/>
    </w:p>
    <w:p w:rsidR="00E824D3" w:rsidRDefault="00E824D3" w:rsidP="00E824D3">
      <w:pPr>
        <w:pStyle w:val="1"/>
        <w:rPr>
          <w:rtl/>
        </w:rPr>
      </w:pPr>
      <w:bookmarkStart w:id="18014" w:name="_Toc66110517"/>
      <w:bookmarkStart w:id="18015" w:name="_Toc66123378"/>
      <w:bookmarkStart w:id="18016" w:name="_Toc66143826"/>
      <w:bookmarkStart w:id="18017" w:name="_Toc66171989"/>
      <w:bookmarkStart w:id="18018" w:name="_Toc66183229"/>
      <w:bookmarkStart w:id="18019" w:name="_Toc66186009"/>
      <w:bookmarkStart w:id="18020" w:name="_Toc66193469"/>
      <w:r>
        <w:rPr>
          <w:rFonts w:hint="cs"/>
          <w:rtl/>
        </w:rPr>
        <w:t>דברי התוס' אי דין משאיל"מ הוא ילפותא או מסברא</w:t>
      </w:r>
      <w:bookmarkEnd w:id="18014"/>
      <w:bookmarkEnd w:id="18015"/>
      <w:bookmarkEnd w:id="18016"/>
      <w:bookmarkEnd w:id="18017"/>
      <w:bookmarkEnd w:id="18018"/>
      <w:bookmarkEnd w:id="18019"/>
      <w:bookmarkEnd w:id="18020"/>
    </w:p>
    <w:p w:rsidR="00E824D3" w:rsidRPr="00C826CB" w:rsidRDefault="00E824D3" w:rsidP="00E824D3">
      <w:pPr>
        <w:pStyle w:val="a3"/>
        <w:rPr>
          <w:rtl/>
        </w:rPr>
      </w:pPr>
      <w:bookmarkStart w:id="18021" w:name="_Toc66110518"/>
      <w:bookmarkStart w:id="18022" w:name="_Toc66123379"/>
      <w:bookmarkStart w:id="18023" w:name="_Toc66143827"/>
      <w:bookmarkStart w:id="18024" w:name="_Toc66171990"/>
      <w:bookmarkStart w:id="18025" w:name="_Toc66183230"/>
      <w:bookmarkStart w:id="18026" w:name="_Toc66186010"/>
      <w:bookmarkStart w:id="18027" w:name="_Toc66193470"/>
      <w:r>
        <w:rPr>
          <w:rFonts w:hint="cs"/>
          <w:rtl/>
        </w:rPr>
        <w:t>קו' התוס' על הריב"ם דכיון דבילפותא למשאיל"מ אין מיגו מנלן דבמקום מיגו אמרינן משאיל"מ</w:t>
      </w:r>
      <w:bookmarkEnd w:id="18021"/>
      <w:bookmarkEnd w:id="18022"/>
      <w:bookmarkEnd w:id="18023"/>
      <w:bookmarkEnd w:id="18024"/>
      <w:bookmarkEnd w:id="18025"/>
      <w:bookmarkEnd w:id="18026"/>
      <w:bookmarkEnd w:id="18027"/>
    </w:p>
    <w:p w:rsidR="00E824D3" w:rsidRDefault="00E824D3" w:rsidP="007E4E81">
      <w:pPr>
        <w:pStyle w:val="a0"/>
        <w:rPr>
          <w:rtl/>
        </w:rPr>
      </w:pPr>
      <w:bookmarkStart w:id="18028" w:name="_Ref65795902"/>
      <w:r>
        <w:rPr>
          <w:rFonts w:hint="cs"/>
          <w:rtl/>
        </w:rPr>
        <w:t xml:space="preserve">אך הקשו </w:t>
      </w:r>
      <w:r>
        <w:rPr>
          <w:rStyle w:val="af9"/>
          <w:rtl/>
        </w:rPr>
        <w:t>התוס'</w:t>
      </w:r>
      <w:r>
        <w:rPr>
          <w:rFonts w:hint="cs"/>
          <w:rtl/>
        </w:rPr>
        <w:t xml:space="preserve"> </w:t>
      </w:r>
      <w:r>
        <w:rPr>
          <w:rStyle w:val="af7"/>
          <w:rFonts w:eastAsia="Guttman Hodes" w:hint="cs"/>
          <w:rtl/>
        </w:rPr>
        <w:t>(ד"ה הוי)</w:t>
      </w:r>
      <w:r>
        <w:rPr>
          <w:rFonts w:hint="cs"/>
          <w:rtl/>
        </w:rPr>
        <w:t xml:space="preserve"> על </w:t>
      </w:r>
      <w:r>
        <w:rPr>
          <w:rStyle w:val="af9"/>
          <w:rtl/>
        </w:rPr>
        <w:t>ריב"ם</w:t>
      </w:r>
      <w:r>
        <w:rPr>
          <w:rFonts w:hint="cs"/>
          <w:rtl/>
        </w:rPr>
        <w:t xml:space="preserve"> </w:t>
      </w:r>
      <w:r w:rsidRPr="00246930">
        <w:rPr>
          <w:rStyle w:val="af7"/>
          <w:rFonts w:eastAsia="Guttman Hodes" w:hint="cs"/>
          <w:rtl/>
        </w:rPr>
        <w:t xml:space="preserve">(עי' אות </w:t>
      </w:r>
      <w:r w:rsidRPr="00246930">
        <w:rPr>
          <w:rStyle w:val="af7"/>
          <w:rFonts w:eastAsia="Guttman Hodes"/>
          <w:rtl/>
        </w:rPr>
        <w:fldChar w:fldCharType="begin"/>
      </w:r>
      <w:r w:rsidRPr="00246930">
        <w:rPr>
          <w:rStyle w:val="af7"/>
          <w:rFonts w:eastAsia="Guttman Hodes"/>
          <w:rtl/>
        </w:rPr>
        <w:instrText xml:space="preserve"> </w:instrText>
      </w:r>
      <w:r w:rsidRPr="00246930">
        <w:rPr>
          <w:rStyle w:val="af7"/>
          <w:rFonts w:eastAsia="Guttman Hodes" w:hint="cs"/>
        </w:rPr>
        <w:instrText>REF</w:instrText>
      </w:r>
      <w:r w:rsidRPr="00246930">
        <w:rPr>
          <w:rStyle w:val="af7"/>
          <w:rFonts w:eastAsia="Guttman Hodes" w:hint="cs"/>
          <w:rtl/>
        </w:rPr>
        <w:instrText xml:space="preserve"> _</w:instrText>
      </w:r>
      <w:r w:rsidRPr="00246930">
        <w:rPr>
          <w:rStyle w:val="af7"/>
          <w:rFonts w:eastAsia="Guttman Hodes" w:hint="cs"/>
        </w:rPr>
        <w:instrText>Ref65795831 \r \h</w:instrText>
      </w:r>
      <w:r w:rsidRPr="00246930">
        <w:rPr>
          <w:rStyle w:val="af7"/>
          <w:rFonts w:eastAsia="Guttman Hodes"/>
          <w:rtl/>
        </w:rPr>
        <w:instrText xml:space="preserve"> </w:instrText>
      </w:r>
      <w:r w:rsidRPr="00246930">
        <w:rPr>
          <w:rStyle w:val="af7"/>
          <w:rFonts w:eastAsia="Guttman Hodes"/>
          <w:rtl/>
        </w:rPr>
      </w:r>
      <w:r w:rsidRPr="00246930">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246930">
        <w:rPr>
          <w:rStyle w:val="af7"/>
          <w:rFonts w:eastAsia="Guttman Hodes"/>
          <w:rtl/>
        </w:rPr>
        <w:fldChar w:fldCharType="end"/>
      </w:r>
      <w:r>
        <w:rPr>
          <w:rFonts w:hint="cs"/>
          <w:rtl/>
        </w:rPr>
        <w:t xml:space="preserve"> דהא בגמ' בשבועות</w:t>
      </w:r>
      <w:r>
        <w:rPr>
          <w:rStyle w:val="af7"/>
          <w:rFonts w:eastAsia="Guttman Hodes" w:hint="cs"/>
          <w:rtl/>
        </w:rPr>
        <w:t xml:space="preserve"> (מז.)</w:t>
      </w:r>
      <w:r>
        <w:rPr>
          <w:rFonts w:hint="cs"/>
          <w:rtl/>
        </w:rPr>
        <w:t xml:space="preserve"> יליף רבי אבא את דין מתוך שאינו יכול לישבע משלם, מהא דכתיב "שבועת ה' תהיה בין שניהם", דבאופן שיש ע"א כנגד יורשים דאינם יכולים להשבע, דהם משלמים, והא כיון דאין ליורשים מיגו, א"כ הילפותא היא רק כשאין לו מיגו, ומהיכן יליף רבי אבא דבמקום שהוא מחויב שבועה דאו' ויש לו מיגו, דאמרינן מתוך שאינו יכול לישבע משלם, ועי' במ"ש </w:t>
      </w:r>
      <w:r>
        <w:rPr>
          <w:rStyle w:val="af9"/>
          <w:rFonts w:hint="cs"/>
          <w:rtl/>
        </w:rPr>
        <w:t xml:space="preserve">הגר"ח </w:t>
      </w:r>
      <w:r w:rsidRPr="004735D5">
        <w:rPr>
          <w:rStyle w:val="af7"/>
          <w:rFonts w:eastAsia="Guttman Hodes" w:hint="cs"/>
          <w:rtl/>
        </w:rPr>
        <w:t xml:space="preserve">(עי' אות </w:t>
      </w:r>
      <w:r w:rsidRPr="004735D5">
        <w:rPr>
          <w:rStyle w:val="af7"/>
          <w:rFonts w:eastAsia="Guttman Hodes"/>
          <w:rtl/>
        </w:rPr>
        <w:fldChar w:fldCharType="begin"/>
      </w:r>
      <w:r w:rsidRPr="004735D5">
        <w:rPr>
          <w:rStyle w:val="af7"/>
          <w:rFonts w:eastAsia="Guttman Hodes"/>
          <w:rtl/>
        </w:rPr>
        <w:instrText xml:space="preserve"> </w:instrText>
      </w:r>
      <w:r w:rsidRPr="004735D5">
        <w:rPr>
          <w:rStyle w:val="af7"/>
          <w:rFonts w:eastAsia="Guttman Hodes" w:hint="cs"/>
        </w:rPr>
        <w:instrText>REF</w:instrText>
      </w:r>
      <w:r w:rsidRPr="004735D5">
        <w:rPr>
          <w:rStyle w:val="af7"/>
          <w:rFonts w:eastAsia="Guttman Hodes" w:hint="cs"/>
          <w:rtl/>
        </w:rPr>
        <w:instrText xml:space="preserve"> _</w:instrText>
      </w:r>
      <w:r w:rsidRPr="004735D5">
        <w:rPr>
          <w:rStyle w:val="af7"/>
          <w:rFonts w:eastAsia="Guttman Hodes" w:hint="cs"/>
        </w:rPr>
        <w:instrText>Ref66178668 \r \h</w:instrText>
      </w:r>
      <w:r w:rsidRPr="004735D5">
        <w:rPr>
          <w:rStyle w:val="af7"/>
          <w:rFonts w:eastAsia="Guttman Hodes"/>
          <w:rtl/>
        </w:rPr>
        <w:instrText xml:space="preserve"> </w:instrText>
      </w:r>
      <w:r w:rsidRPr="004735D5">
        <w:rPr>
          <w:rStyle w:val="af7"/>
          <w:rFonts w:eastAsia="Guttman Hodes"/>
          <w:rtl/>
        </w:rPr>
      </w:r>
      <w:r w:rsidRPr="004735D5">
        <w:rPr>
          <w:rStyle w:val="af7"/>
          <w:rFonts w:eastAsia="Guttman Hodes"/>
          <w:rtl/>
        </w:rPr>
        <w:fldChar w:fldCharType="separate"/>
      </w:r>
      <w:r w:rsidR="00265073">
        <w:rPr>
          <w:rStyle w:val="af7"/>
          <w:rFonts w:eastAsia="Guttman Hodes"/>
          <w:cs/>
        </w:rPr>
        <w:t>‎</w:t>
      </w:r>
      <w:r w:rsidR="00265073">
        <w:rPr>
          <w:rStyle w:val="af7"/>
          <w:rFonts w:eastAsia="Guttman Hodes"/>
          <w:rtl/>
        </w:rPr>
        <w:t>עה)</w:t>
      </w:r>
      <w:r w:rsidRPr="004735D5">
        <w:rPr>
          <w:rStyle w:val="af7"/>
          <w:rFonts w:eastAsia="Guttman Hodes"/>
          <w:rtl/>
        </w:rPr>
        <w:fldChar w:fldCharType="end"/>
      </w:r>
      <w:r>
        <w:rPr>
          <w:rStyle w:val="af9"/>
          <w:rFonts w:hint="cs"/>
          <w:rtl/>
        </w:rPr>
        <w:t xml:space="preserve"> </w:t>
      </w:r>
      <w:r w:rsidRPr="00AF0A0B">
        <w:rPr>
          <w:rStyle w:val="af9"/>
          <w:rFonts w:hint="cs"/>
          <w:rtl/>
        </w:rPr>
        <w:t>בחי' רבי נחום</w:t>
      </w:r>
      <w:r>
        <w:rPr>
          <w:rFonts w:hint="cs"/>
          <w:rtl/>
        </w:rPr>
        <w:t xml:space="preserve"> </w:t>
      </w:r>
      <w:r w:rsidRPr="00AF0A0B">
        <w:rPr>
          <w:rStyle w:val="af7"/>
          <w:rFonts w:eastAsia="Guttman Hodes" w:hint="cs"/>
          <w:rtl/>
        </w:rPr>
        <w:t xml:space="preserve">(עי' אות </w:t>
      </w:r>
      <w:r w:rsidRPr="00AF0A0B">
        <w:rPr>
          <w:rStyle w:val="af7"/>
          <w:rFonts w:eastAsia="Guttman Hodes"/>
          <w:rtl/>
        </w:rPr>
        <w:fldChar w:fldCharType="begin"/>
      </w:r>
      <w:r w:rsidRPr="00AF0A0B">
        <w:rPr>
          <w:rStyle w:val="af7"/>
          <w:rFonts w:eastAsia="Guttman Hodes"/>
          <w:rtl/>
        </w:rPr>
        <w:instrText xml:space="preserve"> </w:instrText>
      </w:r>
      <w:r w:rsidRPr="00AF0A0B">
        <w:rPr>
          <w:rStyle w:val="af7"/>
          <w:rFonts w:eastAsia="Guttman Hodes" w:hint="cs"/>
        </w:rPr>
        <w:instrText>REF</w:instrText>
      </w:r>
      <w:r w:rsidRPr="00AF0A0B">
        <w:rPr>
          <w:rStyle w:val="af7"/>
          <w:rFonts w:eastAsia="Guttman Hodes" w:hint="cs"/>
          <w:rtl/>
        </w:rPr>
        <w:instrText xml:space="preserve"> _</w:instrText>
      </w:r>
      <w:r w:rsidRPr="00AF0A0B">
        <w:rPr>
          <w:rStyle w:val="af7"/>
          <w:rFonts w:eastAsia="Guttman Hodes" w:hint="cs"/>
        </w:rPr>
        <w:instrText>Ref66133994 \r \h</w:instrText>
      </w:r>
      <w:r w:rsidRPr="00AF0A0B">
        <w:rPr>
          <w:rStyle w:val="af7"/>
          <w:rFonts w:eastAsia="Guttman Hodes"/>
          <w:rtl/>
        </w:rPr>
        <w:instrText xml:space="preserve"> </w:instrText>
      </w:r>
      <w:r w:rsidRPr="00AF0A0B">
        <w:rPr>
          <w:rStyle w:val="af7"/>
          <w:rFonts w:eastAsia="Guttman Hodes"/>
          <w:rtl/>
        </w:rPr>
      </w:r>
      <w:r w:rsidRPr="00AF0A0B">
        <w:rPr>
          <w:rStyle w:val="af7"/>
          <w:rFonts w:eastAsia="Guttman Hodes"/>
          <w:rtl/>
        </w:rPr>
        <w:fldChar w:fldCharType="separate"/>
      </w:r>
      <w:r w:rsidR="00265073">
        <w:rPr>
          <w:rStyle w:val="af7"/>
          <w:rFonts w:eastAsia="Guttman Hodes"/>
          <w:cs/>
        </w:rPr>
        <w:t>‎</w:t>
      </w:r>
      <w:r w:rsidR="00265073">
        <w:rPr>
          <w:rStyle w:val="af7"/>
          <w:rFonts w:eastAsia="Guttman Hodes"/>
          <w:rtl/>
        </w:rPr>
        <w:t>קח)</w:t>
      </w:r>
      <w:r w:rsidRPr="00AF0A0B">
        <w:rPr>
          <w:rStyle w:val="af7"/>
          <w:rFonts w:eastAsia="Guttman Hodes"/>
          <w:rtl/>
        </w:rPr>
        <w:fldChar w:fldCharType="end"/>
      </w:r>
      <w:r>
        <w:rPr>
          <w:rFonts w:hint="cs"/>
          <w:rtl/>
        </w:rPr>
        <w:t xml:space="preserve"> </w:t>
      </w:r>
      <w:r w:rsidRPr="00AF0A0B">
        <w:rPr>
          <w:rStyle w:val="af9"/>
          <w:rFonts w:hint="cs"/>
          <w:rtl/>
        </w:rPr>
        <w:t>וב</w:t>
      </w:r>
      <w:r w:rsidRPr="006D1636">
        <w:rPr>
          <w:rStyle w:val="af9"/>
          <w:rFonts w:hint="cs"/>
          <w:rtl/>
        </w:rPr>
        <w:t>חו"ש</w:t>
      </w:r>
      <w:r w:rsidRPr="007B5F6C">
        <w:rPr>
          <w:rStyle w:val="af9"/>
          <w:rFonts w:hint="cs"/>
          <w:rtl/>
        </w:rPr>
        <w:t xml:space="preserve"> הגרב"ב </w:t>
      </w:r>
      <w:r w:rsidRPr="007B5F6C">
        <w:rPr>
          <w:rStyle w:val="af7"/>
          <w:rFonts w:eastAsia="Guttman Hodes" w:hint="cs"/>
          <w:rtl/>
        </w:rPr>
        <w:t>(ח"א סי' י"ד ד"ה הקשו התוס'</w:t>
      </w:r>
      <w:r>
        <w:rPr>
          <w:rStyle w:val="af7"/>
          <w:rFonts w:eastAsia="Guttman Hodes" w:hint="cs"/>
          <w:rtl/>
        </w:rPr>
        <w:t>, ד"ה ובזה נבא</w:t>
      </w:r>
      <w:r w:rsidRPr="007B5F6C">
        <w:rPr>
          <w:rStyle w:val="af7"/>
          <w:rFonts w:eastAsia="Guttman Hodes" w:hint="cs"/>
          <w:rtl/>
        </w:rPr>
        <w:t>)</w:t>
      </w:r>
      <w:r>
        <w:rPr>
          <w:rStyle w:val="af7"/>
          <w:rFonts w:eastAsia="Guttman Hodes" w:hint="cs"/>
          <w:rtl/>
        </w:rPr>
        <w:t xml:space="preserve"> </w:t>
      </w:r>
      <w:r>
        <w:rPr>
          <w:rStyle w:val="af9"/>
          <w:rFonts w:hint="cs"/>
          <w:rtl/>
        </w:rPr>
        <w:t>וב</w:t>
      </w:r>
      <w:r w:rsidRPr="00FD0A0C">
        <w:rPr>
          <w:rStyle w:val="af9"/>
          <w:rFonts w:hint="cs"/>
          <w:rtl/>
        </w:rPr>
        <w:t>גרנ"ט</w:t>
      </w:r>
      <w:r>
        <w:rPr>
          <w:rFonts w:hint="cs"/>
          <w:rtl/>
        </w:rPr>
        <w:t xml:space="preserve"> </w:t>
      </w:r>
      <w:r w:rsidRPr="00FD0A0C">
        <w:rPr>
          <w:rStyle w:val="af7"/>
          <w:rFonts w:eastAsia="Guttman Hodes" w:hint="cs"/>
          <w:rtl/>
        </w:rPr>
        <w:t xml:space="preserve">(סי' קע"ט או' </w:t>
      </w:r>
      <w:r>
        <w:rPr>
          <w:rStyle w:val="af7"/>
          <w:rFonts w:eastAsia="Guttman Hodes" w:hint="cs"/>
          <w:rtl/>
        </w:rPr>
        <w:t>ה</w:t>
      </w:r>
      <w:r w:rsidRPr="00FD0A0C">
        <w:rPr>
          <w:rStyle w:val="af7"/>
          <w:rFonts w:eastAsia="Guttman Hodes" w:hint="cs"/>
          <w:rtl/>
        </w:rPr>
        <w:t>' ד"ה</w:t>
      </w:r>
      <w:r>
        <w:rPr>
          <w:rStyle w:val="af7"/>
          <w:rFonts w:eastAsia="Guttman Hodes" w:hint="cs"/>
          <w:rtl/>
        </w:rPr>
        <w:t xml:space="preserve"> עוד הקשו)</w:t>
      </w:r>
      <w:r>
        <w:rPr>
          <w:rFonts w:hint="cs"/>
          <w:rtl/>
        </w:rPr>
        <w:t xml:space="preserve"> </w:t>
      </w:r>
      <w:r>
        <w:rPr>
          <w:rStyle w:val="af9"/>
          <w:rFonts w:hint="cs"/>
          <w:rtl/>
        </w:rPr>
        <w:t>ו</w:t>
      </w:r>
      <w:r w:rsidRPr="00975680">
        <w:rPr>
          <w:rStyle w:val="af9"/>
          <w:rFonts w:hint="cs"/>
          <w:rtl/>
        </w:rPr>
        <w:t>בחי' הגרש"ש</w:t>
      </w:r>
      <w:r>
        <w:rPr>
          <w:rFonts w:hint="cs"/>
          <w:rtl/>
        </w:rPr>
        <w:t xml:space="preserve"> </w:t>
      </w:r>
      <w:r w:rsidRPr="00975680">
        <w:rPr>
          <w:rStyle w:val="af7"/>
          <w:rFonts w:eastAsia="Guttman Hodes" w:hint="cs"/>
          <w:rtl/>
        </w:rPr>
        <w:t xml:space="preserve">(סי' י"ח [מהדו' חד' סי' כ"א] או </w:t>
      </w:r>
      <w:r>
        <w:rPr>
          <w:rStyle w:val="af7"/>
          <w:rFonts w:eastAsia="Guttman Hodes" w:hint="cs"/>
          <w:rtl/>
        </w:rPr>
        <w:t>ב</w:t>
      </w:r>
      <w:r w:rsidRPr="00975680">
        <w:rPr>
          <w:rStyle w:val="af7"/>
          <w:rFonts w:eastAsia="Guttman Hodes" w:hint="cs"/>
          <w:rtl/>
        </w:rPr>
        <w:t>'</w:t>
      </w:r>
      <w:r>
        <w:rPr>
          <w:rStyle w:val="af7"/>
          <w:rFonts w:eastAsia="Guttman Hodes" w:hint="cs"/>
          <w:rtl/>
        </w:rPr>
        <w:t>,</w:t>
      </w:r>
      <w:r w:rsidRPr="00ED1346">
        <w:rPr>
          <w:rStyle w:val="af7"/>
          <w:rFonts w:eastAsia="Guttman Hodes" w:hint="cs"/>
          <w:rtl/>
        </w:rPr>
        <w:t xml:space="preserve"> </w:t>
      </w:r>
      <w:r>
        <w:rPr>
          <w:rStyle w:val="af7"/>
          <w:rFonts w:eastAsia="Guttman Hodes" w:hint="cs"/>
          <w:rtl/>
        </w:rPr>
        <w:t>וע"ע ב</w:t>
      </w:r>
      <w:r w:rsidRPr="002A2CC5">
        <w:rPr>
          <w:rStyle w:val="af7"/>
          <w:rFonts w:eastAsia="Guttman Hodes" w:hint="cs"/>
          <w:rtl/>
        </w:rPr>
        <w:t>מהדו' חד' סי' כ"</w:t>
      </w:r>
      <w:r>
        <w:rPr>
          <w:rStyle w:val="af7"/>
          <w:rFonts w:eastAsia="Guttman Hodes" w:hint="cs"/>
          <w:rtl/>
        </w:rPr>
        <w:t>ד</w:t>
      </w:r>
      <w:r w:rsidRPr="002A2CC5">
        <w:rPr>
          <w:rStyle w:val="af7"/>
          <w:rFonts w:eastAsia="Guttman Hodes" w:hint="cs"/>
          <w:rtl/>
        </w:rPr>
        <w:t xml:space="preserve"> </w:t>
      </w:r>
      <w:r>
        <w:rPr>
          <w:rStyle w:val="af7"/>
          <w:rFonts w:eastAsia="Guttman Hodes" w:hint="cs"/>
          <w:rtl/>
        </w:rPr>
        <w:t>ד"ה אך לפ"ז)</w:t>
      </w:r>
      <w:r w:rsidRPr="00975680">
        <w:rPr>
          <w:rStyle w:val="af7"/>
          <w:rFonts w:eastAsia="Guttman Hodes" w:hint="cs"/>
          <w:rtl/>
        </w:rPr>
        <w:t xml:space="preserve"> </w:t>
      </w:r>
      <w:r>
        <w:rPr>
          <w:rFonts w:hint="cs"/>
          <w:rtl/>
        </w:rPr>
        <w:t xml:space="preserve">בדברי </w:t>
      </w:r>
      <w:r>
        <w:rPr>
          <w:rStyle w:val="af9"/>
          <w:rFonts w:hint="cs"/>
          <w:rtl/>
        </w:rPr>
        <w:t>ה</w:t>
      </w:r>
      <w:r w:rsidRPr="00DE24BA">
        <w:rPr>
          <w:rStyle w:val="af9"/>
          <w:rFonts w:hint="cs"/>
          <w:rtl/>
        </w:rPr>
        <w:t>תוס'</w:t>
      </w:r>
      <w:r>
        <w:rPr>
          <w:rFonts w:hint="cs"/>
          <w:rtl/>
        </w:rPr>
        <w:t>.</w:t>
      </w:r>
      <w:bookmarkEnd w:id="18028"/>
    </w:p>
    <w:p w:rsidR="00E824D3" w:rsidRDefault="00E824D3" w:rsidP="00E824D3">
      <w:pPr>
        <w:pStyle w:val="a3"/>
        <w:rPr>
          <w:rtl/>
        </w:rPr>
      </w:pPr>
      <w:bookmarkStart w:id="18029" w:name="_Toc64925397"/>
      <w:bookmarkStart w:id="18030" w:name="_Toc65142875"/>
      <w:bookmarkStart w:id="18031" w:name="_Toc65185659"/>
      <w:bookmarkStart w:id="18032" w:name="_Toc65530006"/>
      <w:bookmarkStart w:id="18033" w:name="_Toc65748243"/>
      <w:bookmarkStart w:id="18034" w:name="_Toc65788181"/>
      <w:bookmarkStart w:id="18035" w:name="_Toc65839229"/>
      <w:bookmarkStart w:id="18036" w:name="_Toc66048867"/>
      <w:bookmarkStart w:id="18037" w:name="_Toc66055823"/>
      <w:bookmarkStart w:id="18038" w:name="_Toc66085943"/>
      <w:bookmarkStart w:id="18039" w:name="_Toc66110519"/>
      <w:bookmarkStart w:id="18040" w:name="_Toc66123380"/>
      <w:bookmarkStart w:id="18041" w:name="_Toc66143828"/>
      <w:bookmarkStart w:id="18042" w:name="_Toc66171991"/>
      <w:bookmarkStart w:id="18043" w:name="_Toc66183231"/>
      <w:bookmarkStart w:id="18044" w:name="_Toc66186011"/>
      <w:bookmarkStart w:id="18045" w:name="_Toc66193471"/>
      <w:r>
        <w:rPr>
          <w:rFonts w:hint="cs"/>
          <w:rtl/>
        </w:rPr>
        <w:t>תירוץ ר"י דר"א ס"ל דאמרינן מתוך שאינו יכול לישבע משלם מסברא ולא מילפותא</w:t>
      </w:r>
      <w:bookmarkEnd w:id="18029"/>
      <w:bookmarkEnd w:id="18030"/>
      <w:bookmarkEnd w:id="18031"/>
      <w:bookmarkEnd w:id="18032"/>
      <w:bookmarkEnd w:id="18033"/>
      <w:bookmarkEnd w:id="18034"/>
      <w:bookmarkEnd w:id="18035"/>
      <w:bookmarkEnd w:id="18036"/>
      <w:bookmarkEnd w:id="18037"/>
      <w:bookmarkEnd w:id="18038"/>
      <w:bookmarkEnd w:id="18039"/>
      <w:bookmarkEnd w:id="18040"/>
      <w:bookmarkEnd w:id="18041"/>
      <w:bookmarkEnd w:id="18042"/>
      <w:bookmarkEnd w:id="18043"/>
      <w:bookmarkEnd w:id="18044"/>
      <w:bookmarkEnd w:id="18045"/>
    </w:p>
    <w:p w:rsidR="00E824D3" w:rsidRDefault="00E824D3" w:rsidP="007E4E81">
      <w:pPr>
        <w:pStyle w:val="a0"/>
        <w:rPr>
          <w:rtl/>
        </w:rPr>
      </w:pPr>
      <w:r>
        <w:rPr>
          <w:rFonts w:hint="cs"/>
          <w:rtl/>
        </w:rPr>
        <w:t>ותירץ</w:t>
      </w:r>
      <w:r>
        <w:rPr>
          <w:rStyle w:val="af9"/>
          <w:rtl/>
        </w:rPr>
        <w:t xml:space="preserve"> ר"י בתוס' בסוגיין</w:t>
      </w:r>
      <w:r>
        <w:rPr>
          <w:rStyle w:val="af7"/>
          <w:rFonts w:eastAsia="Guttman Hodes" w:hint="cs"/>
          <w:rtl/>
        </w:rPr>
        <w:t xml:space="preserve"> (ד"ה הוי)</w:t>
      </w:r>
      <w:r>
        <w:rPr>
          <w:rFonts w:hint="cs"/>
          <w:rtl/>
        </w:rPr>
        <w:t xml:space="preserve"> דרבי אבא לא יליף את דין מתוך שאינו יכול לישבע משלם מפסוק, אלא אמר כן </w:t>
      </w:r>
      <w:r w:rsidRPr="00845FE8">
        <w:rPr>
          <w:rFonts w:hint="cs"/>
          <w:rtl/>
        </w:rPr>
        <w:t xml:space="preserve">מסברא בעלמא כדביאר רבי אבא את דבריו, </w:t>
      </w:r>
      <w:r w:rsidRPr="00845FE8">
        <w:rPr>
          <w:rStyle w:val="afb"/>
          <w:rtl/>
        </w:rPr>
        <w:t>[דאינו יכול לא להפטר ולא להשבע, ולכן צריך לשלם],</w:t>
      </w:r>
      <w:r w:rsidRPr="00845FE8">
        <w:rPr>
          <w:rFonts w:hint="cs"/>
          <w:rtl/>
        </w:rPr>
        <w:t xml:space="preserve"> ועיי"ש במה שביארו </w:t>
      </w:r>
      <w:r w:rsidRPr="00845FE8">
        <w:rPr>
          <w:rStyle w:val="af9"/>
          <w:rtl/>
        </w:rPr>
        <w:t>התוס'</w:t>
      </w:r>
      <w:r w:rsidRPr="00845FE8">
        <w:rPr>
          <w:rFonts w:hint="cs"/>
          <w:rtl/>
        </w:rPr>
        <w:t xml:space="preserve"> את הילפותא בגמ' בשבועות.</w:t>
      </w:r>
    </w:p>
    <w:p w:rsidR="00E824D3" w:rsidRPr="009D53D6" w:rsidRDefault="00E824D3" w:rsidP="00E824D3">
      <w:pPr>
        <w:pStyle w:val="1"/>
        <w:rPr>
          <w:rtl/>
        </w:rPr>
      </w:pPr>
      <w:bookmarkStart w:id="18046" w:name="_Toc66110520"/>
      <w:bookmarkStart w:id="18047" w:name="_Toc66123381"/>
      <w:bookmarkStart w:id="18048" w:name="_Toc66143829"/>
      <w:bookmarkStart w:id="18049" w:name="_Toc66171992"/>
      <w:bookmarkStart w:id="18050" w:name="_Toc66183232"/>
      <w:bookmarkStart w:id="18051" w:name="_Toc66186012"/>
      <w:bookmarkStart w:id="18052" w:name="_Toc66193472"/>
      <w:r>
        <w:rPr>
          <w:rFonts w:hint="cs"/>
          <w:rtl/>
        </w:rPr>
        <w:t>ביאור התוס' והרמב"ן דבסיטראי נאמן במיגו כיון שא"צ לישבע</w:t>
      </w:r>
      <w:bookmarkEnd w:id="18008"/>
      <w:bookmarkEnd w:id="18009"/>
      <w:bookmarkEnd w:id="18010"/>
      <w:bookmarkEnd w:id="18011"/>
      <w:bookmarkEnd w:id="18012"/>
      <w:bookmarkEnd w:id="18013"/>
      <w:bookmarkEnd w:id="18046"/>
      <w:bookmarkEnd w:id="18047"/>
      <w:bookmarkEnd w:id="18048"/>
      <w:bookmarkEnd w:id="18049"/>
      <w:bookmarkEnd w:id="18050"/>
      <w:bookmarkEnd w:id="18051"/>
      <w:bookmarkEnd w:id="18052"/>
    </w:p>
    <w:p w:rsidR="00E824D3" w:rsidRDefault="00E824D3" w:rsidP="00E824D3">
      <w:pPr>
        <w:pStyle w:val="a3"/>
        <w:rPr>
          <w:rtl/>
        </w:rPr>
      </w:pPr>
      <w:bookmarkStart w:id="18053" w:name="_Toc66123382"/>
      <w:bookmarkStart w:id="18054" w:name="_Toc66143830"/>
      <w:bookmarkStart w:id="18055" w:name="_Toc66171993"/>
      <w:bookmarkStart w:id="18056" w:name="_Toc66183233"/>
      <w:bookmarkStart w:id="18057" w:name="_Toc66186013"/>
      <w:bookmarkStart w:id="18058" w:name="_Toc66193473"/>
      <w:r>
        <w:rPr>
          <w:rFonts w:hint="cs"/>
          <w:rtl/>
        </w:rPr>
        <w:t>קושית התוס' והרמב"ן דבסיטראי מוכח דמהני מיגו אף כשחייב שבועה ולא אמרינן משאיל"מ</w:t>
      </w:r>
      <w:bookmarkEnd w:id="18053"/>
      <w:bookmarkEnd w:id="18054"/>
      <w:bookmarkEnd w:id="18055"/>
      <w:bookmarkEnd w:id="18056"/>
      <w:bookmarkEnd w:id="18057"/>
      <w:bookmarkEnd w:id="18058"/>
    </w:p>
    <w:p w:rsidR="00E824D3" w:rsidRDefault="00E824D3" w:rsidP="007E4E81">
      <w:pPr>
        <w:pStyle w:val="a0"/>
        <w:rPr>
          <w:rtl/>
        </w:rPr>
      </w:pPr>
      <w:bookmarkStart w:id="18059" w:name="_Ref65796659"/>
      <w:r>
        <w:rPr>
          <w:rFonts w:hint="cs"/>
          <w:rtl/>
        </w:rPr>
        <w:t xml:space="preserve">הקשו </w:t>
      </w:r>
      <w:r w:rsidRPr="004F53DC">
        <w:rPr>
          <w:rStyle w:val="af9"/>
          <w:rFonts w:hint="cs"/>
          <w:rtl/>
        </w:rPr>
        <w:t>התוס'</w:t>
      </w:r>
      <w:r>
        <w:rPr>
          <w:rFonts w:hint="cs"/>
          <w:rtl/>
        </w:rPr>
        <w:t xml:space="preserve"> </w:t>
      </w:r>
      <w:r w:rsidRPr="00F275C3">
        <w:rPr>
          <w:rStyle w:val="af9"/>
          <w:rFonts w:hint="cs"/>
          <w:rtl/>
        </w:rPr>
        <w:t>בסוגיין</w:t>
      </w:r>
      <w:r w:rsidRPr="00A530C5">
        <w:rPr>
          <w:rStyle w:val="af7"/>
          <w:rFonts w:eastAsia="Guttman Hodes" w:hint="cs"/>
          <w:rtl/>
        </w:rPr>
        <w:t xml:space="preserve"> (</w:t>
      </w:r>
      <w:r>
        <w:rPr>
          <w:rStyle w:val="af7"/>
          <w:rFonts w:eastAsia="Guttman Hodes" w:hint="cs"/>
          <w:rtl/>
        </w:rPr>
        <w:t>סו</w:t>
      </w:r>
      <w:r w:rsidRPr="00A530C5">
        <w:rPr>
          <w:rStyle w:val="af7"/>
          <w:rFonts w:eastAsia="Guttman Hodes" w:hint="cs"/>
          <w:rtl/>
        </w:rPr>
        <w:t>ד"ה הוי)</w:t>
      </w:r>
      <w:r>
        <w:rPr>
          <w:rFonts w:hint="cs"/>
          <w:rtl/>
        </w:rPr>
        <w:t xml:space="preserve"> </w:t>
      </w:r>
      <w:r w:rsidRPr="00041F3B">
        <w:rPr>
          <w:rStyle w:val="af9"/>
          <w:rtl/>
        </w:rPr>
        <w:t>והרמב"ן</w:t>
      </w:r>
      <w:r w:rsidRPr="00041F3B">
        <w:rPr>
          <w:rtl/>
        </w:rPr>
        <w:t xml:space="preserve"> </w:t>
      </w:r>
      <w:r w:rsidRPr="00041F3B">
        <w:rPr>
          <w:rStyle w:val="af7"/>
          <w:rFonts w:eastAsia="Guttman Hodes"/>
          <w:rtl/>
        </w:rPr>
        <w:t>(ד"ה</w:t>
      </w:r>
      <w:r>
        <w:rPr>
          <w:rStyle w:val="af7"/>
          <w:rFonts w:eastAsia="Guttman Hodes" w:hint="cs"/>
          <w:rtl/>
        </w:rPr>
        <w:t xml:space="preserve"> ואיכא) </w:t>
      </w:r>
      <w:r>
        <w:rPr>
          <w:rFonts w:hint="cs"/>
          <w:rtl/>
        </w:rPr>
        <w:t xml:space="preserve">דהא איתא בגמ' בכתובות </w:t>
      </w:r>
      <w:r w:rsidRPr="00296131">
        <w:rPr>
          <w:rStyle w:val="af7"/>
          <w:rFonts w:eastAsia="Guttman Hodes" w:hint="cs"/>
          <w:rtl/>
        </w:rPr>
        <w:t>(פה.)</w:t>
      </w:r>
      <w:r>
        <w:rPr>
          <w:rFonts w:hint="cs"/>
          <w:rtl/>
        </w:rPr>
        <w:t xml:space="preserve"> דלוה ששלח שליח לפרוע למלוה מוציא שטר על הלוה, והודה המלוה שפרע לו השליח שלא בפני עדים, אך </w:t>
      </w:r>
      <w:r>
        <w:rPr>
          <w:rtl/>
        </w:rPr>
        <w:t>הנהו סיטראי נינהו</w:t>
      </w:r>
      <w:r>
        <w:rPr>
          <w:rFonts w:hint="cs"/>
          <w:rtl/>
        </w:rPr>
        <w:t xml:space="preserve">, </w:t>
      </w:r>
      <w:r w:rsidRPr="00CC79BE">
        <w:rPr>
          <w:rStyle w:val="afb"/>
          <w:rFonts w:hint="cs"/>
          <w:rtl/>
        </w:rPr>
        <w:t>[ד</w:t>
      </w:r>
      <w:r w:rsidRPr="004F53DC">
        <w:rPr>
          <w:rStyle w:val="afb"/>
          <w:rFonts w:hint="cs"/>
          <w:rtl/>
        </w:rPr>
        <w:t xml:space="preserve">הוא חייב </w:t>
      </w:r>
      <w:r w:rsidRPr="003951BB">
        <w:rPr>
          <w:rStyle w:val="afb"/>
          <w:rFonts w:hint="cs"/>
          <w:rtl/>
        </w:rPr>
        <w:t>לו חוב אחר שלא בשטר],</w:t>
      </w:r>
      <w:r w:rsidRPr="003951BB">
        <w:rPr>
          <w:rFonts w:hint="cs"/>
          <w:rtl/>
        </w:rPr>
        <w:t xml:space="preserve"> דהמלוה נאמן במיגו שלא היה מודה שפרע לו כלל, </w:t>
      </w:r>
      <w:r>
        <w:rPr>
          <w:rFonts w:hint="cs"/>
          <w:rtl/>
        </w:rPr>
        <w:t xml:space="preserve">והא כיון שיש </w:t>
      </w:r>
      <w:r w:rsidRPr="003951BB">
        <w:rPr>
          <w:rFonts w:hint="cs"/>
          <w:rtl/>
        </w:rPr>
        <w:t>שליח שהוא כע"א</w:t>
      </w:r>
      <w:r>
        <w:rPr>
          <w:rFonts w:hint="cs"/>
          <w:rtl/>
        </w:rPr>
        <w:t xml:space="preserve"> שמעיד על הפרעון, א"כ היאך נאמן המלוה במיגו דלהד"ם, הא השליח</w:t>
      </w:r>
      <w:r w:rsidRPr="003951BB">
        <w:rPr>
          <w:rFonts w:hint="cs"/>
          <w:rtl/>
        </w:rPr>
        <w:t xml:space="preserve"> מחייבו</w:t>
      </w:r>
      <w:r>
        <w:rPr>
          <w:rFonts w:hint="cs"/>
          <w:rtl/>
        </w:rPr>
        <w:t xml:space="preserve"> שבועה ואינו יכול להשבע, ומתוך שאינו יכול לישבע משלם.</w:t>
      </w:r>
      <w:bookmarkEnd w:id="18059"/>
    </w:p>
    <w:p w:rsidR="00E824D3" w:rsidRPr="007264B4" w:rsidRDefault="00E824D3" w:rsidP="00E824D3">
      <w:pPr>
        <w:pStyle w:val="a3"/>
        <w:rPr>
          <w:rtl/>
        </w:rPr>
      </w:pPr>
      <w:bookmarkStart w:id="18060" w:name="_Toc66123383"/>
      <w:bookmarkStart w:id="18061" w:name="_Toc66143831"/>
      <w:bookmarkStart w:id="18062" w:name="_Toc66171994"/>
      <w:bookmarkStart w:id="18063" w:name="_Toc66183234"/>
      <w:bookmarkStart w:id="18064" w:name="_Toc66186014"/>
      <w:bookmarkStart w:id="18065" w:name="_Toc66193474"/>
      <w:r>
        <w:rPr>
          <w:rFonts w:hint="cs"/>
          <w:rtl/>
        </w:rPr>
        <w:t>תי' תוס' דבסיטראי השליח נשבע היסת ואינו עד אבל בלא"ה הוא מעיד ונאמן דפרע ומשאיל"מ</w:t>
      </w:r>
      <w:bookmarkEnd w:id="18060"/>
      <w:bookmarkEnd w:id="18061"/>
      <w:bookmarkEnd w:id="18062"/>
      <w:bookmarkEnd w:id="18063"/>
      <w:bookmarkEnd w:id="18064"/>
      <w:bookmarkEnd w:id="18065"/>
    </w:p>
    <w:p w:rsidR="00E824D3" w:rsidRPr="008742AE" w:rsidRDefault="00E824D3" w:rsidP="007E4E81">
      <w:pPr>
        <w:pStyle w:val="a0"/>
        <w:rPr>
          <w:rtl/>
        </w:rPr>
      </w:pPr>
      <w:bookmarkStart w:id="18066" w:name="_Ref65796669"/>
      <w:r>
        <w:rPr>
          <w:rFonts w:hint="cs"/>
          <w:rtl/>
        </w:rPr>
        <w:t xml:space="preserve">וכתבו </w:t>
      </w:r>
      <w:r w:rsidRPr="000074EF">
        <w:rPr>
          <w:rStyle w:val="af9"/>
          <w:rFonts w:hint="cs"/>
          <w:rtl/>
        </w:rPr>
        <w:t>התוס'</w:t>
      </w:r>
      <w:r>
        <w:rPr>
          <w:rFonts w:hint="cs"/>
          <w:rtl/>
        </w:rPr>
        <w:t xml:space="preserve"> </w:t>
      </w:r>
      <w:r w:rsidRPr="00F275C3">
        <w:rPr>
          <w:rStyle w:val="af9"/>
          <w:rFonts w:hint="cs"/>
          <w:rtl/>
        </w:rPr>
        <w:t>בסוגיין</w:t>
      </w:r>
      <w:r w:rsidRPr="00041F3B">
        <w:rPr>
          <w:rStyle w:val="af9"/>
          <w:rtl/>
        </w:rPr>
        <w:t xml:space="preserve"> והרמב"ן</w:t>
      </w:r>
      <w:r w:rsidRPr="00041F3B">
        <w:rPr>
          <w:rtl/>
        </w:rPr>
        <w:t xml:space="preserve"> </w:t>
      </w:r>
      <w:r>
        <w:rPr>
          <w:rFonts w:hint="cs"/>
          <w:rtl/>
        </w:rPr>
        <w:t xml:space="preserve">דצ"ל דבגמ' בכתובות איירי לאחר שתיקנו רבנון שבועת היסת, ולכן השליח אינו יכול להיות עד, כיון שהוא נוגע בעדות דהוא חייב שבועת היסת, אבל אי איירי לפני שתיקנו שבועת היסת, א"כ השליח הוא עד גמור, ונאמן לומר למלוה פרעתי במיגו שהיה אומר שהחזיר ללוה את הכסף ששלח עמו, כמבואר בגמ' בקידושין </w:t>
      </w:r>
      <w:r w:rsidRPr="000074EF">
        <w:rPr>
          <w:rStyle w:val="af7"/>
          <w:rFonts w:eastAsia="Guttman Hodes" w:hint="cs"/>
          <w:rtl/>
        </w:rPr>
        <w:t>(מג:)</w:t>
      </w:r>
      <w:r>
        <w:rPr>
          <w:rFonts w:hint="cs"/>
          <w:rtl/>
        </w:rPr>
        <w:t xml:space="preserve"> דשליח נעשה עד, ונאמן השליח בטענת פרעתי למלוה במיגו דהחזרתי ללוה, וא"כ היה המלוה חייב לשלם מדין מתוך שאינו יכול לישבע משלם</w:t>
      </w:r>
      <w:r>
        <w:rPr>
          <w:rStyle w:val="af1"/>
          <w:rtl/>
        </w:rPr>
        <w:footnoteReference w:id="123"/>
      </w:r>
      <w:r>
        <w:rPr>
          <w:rFonts w:hint="cs"/>
          <w:rtl/>
        </w:rPr>
        <w:t>.</w:t>
      </w:r>
      <w:bookmarkEnd w:id="18066"/>
    </w:p>
    <w:p w:rsidR="00E824D3" w:rsidRDefault="00E824D3" w:rsidP="00E824D3">
      <w:pPr>
        <w:pStyle w:val="afe"/>
        <w:rPr>
          <w:rtl/>
        </w:rPr>
      </w:pPr>
      <w:bookmarkStart w:id="18067" w:name="_Toc64925404"/>
      <w:bookmarkStart w:id="18068" w:name="_Toc65141955"/>
      <w:bookmarkStart w:id="18069" w:name="_Toc65185648"/>
      <w:bookmarkStart w:id="18070" w:name="_Toc65530010"/>
      <w:bookmarkStart w:id="18071" w:name="_Toc65748245"/>
      <w:bookmarkStart w:id="18072" w:name="_Toc65788183"/>
      <w:bookmarkStart w:id="18073" w:name="_Toc65839231"/>
      <w:bookmarkStart w:id="18074" w:name="_Toc66048873"/>
      <w:bookmarkStart w:id="18075" w:name="_Toc66055826"/>
      <w:bookmarkStart w:id="18076" w:name="_Toc66085946"/>
      <w:bookmarkStart w:id="18077" w:name="_Toc66110521"/>
      <w:bookmarkStart w:id="18078" w:name="_Toc66123384"/>
      <w:bookmarkStart w:id="18079" w:name="_Toc66143832"/>
      <w:bookmarkStart w:id="18080" w:name="_Toc66171995"/>
      <w:bookmarkStart w:id="18081" w:name="_Toc66183235"/>
      <w:bookmarkStart w:id="18082" w:name="_Toc66186015"/>
      <w:bookmarkStart w:id="18083" w:name="_Toc66193475"/>
      <w:r>
        <w:rPr>
          <w:rFonts w:hint="cs"/>
          <w:rtl/>
        </w:rPr>
        <w:lastRenderedPageBreak/>
        <w:t>בדין מיגו כנגד חזקה דמה שתח"י</w:t>
      </w:r>
      <w:bookmarkEnd w:id="18067"/>
      <w:bookmarkEnd w:id="18068"/>
      <w:bookmarkEnd w:id="18069"/>
      <w:bookmarkEnd w:id="18070"/>
      <w:bookmarkEnd w:id="18071"/>
      <w:bookmarkEnd w:id="18072"/>
      <w:bookmarkEnd w:id="18073"/>
      <w:bookmarkEnd w:id="18074"/>
      <w:bookmarkEnd w:id="18075"/>
      <w:bookmarkEnd w:id="18076"/>
      <w:bookmarkEnd w:id="18077"/>
      <w:bookmarkEnd w:id="18078"/>
      <w:bookmarkEnd w:id="18079"/>
      <w:bookmarkEnd w:id="18080"/>
      <w:bookmarkEnd w:id="18081"/>
      <w:r>
        <w:rPr>
          <w:rFonts w:hint="cs"/>
          <w:rtl/>
        </w:rPr>
        <w:t xml:space="preserve"> שלו</w:t>
      </w:r>
      <w:bookmarkEnd w:id="18082"/>
      <w:bookmarkEnd w:id="18083"/>
    </w:p>
    <w:p w:rsidR="00E824D3" w:rsidRPr="00E81171" w:rsidRDefault="00E824D3" w:rsidP="00E824D3">
      <w:pPr>
        <w:pStyle w:val="1"/>
        <w:rPr>
          <w:rtl/>
        </w:rPr>
      </w:pPr>
      <w:bookmarkStart w:id="18084" w:name="_Toc66186016"/>
      <w:bookmarkStart w:id="18085" w:name="_Toc66193476"/>
      <w:r>
        <w:rPr>
          <w:rFonts w:hint="cs"/>
          <w:rtl/>
        </w:rPr>
        <w:t>ביאור המ"מ ברמב"ם דל"מ מיגו כנגד חזקה דמה שתח"י שלו</w:t>
      </w:r>
      <w:bookmarkEnd w:id="18084"/>
      <w:bookmarkEnd w:id="18085"/>
    </w:p>
    <w:p w:rsidR="00E824D3" w:rsidRDefault="00E824D3" w:rsidP="00E824D3">
      <w:pPr>
        <w:pStyle w:val="a3"/>
      </w:pPr>
      <w:bookmarkStart w:id="18086" w:name="_Toc66186017"/>
      <w:bookmarkStart w:id="18087" w:name="_Toc66193477"/>
      <w:bookmarkStart w:id="18088" w:name="_Ref64994729"/>
      <w:r>
        <w:rPr>
          <w:rFonts w:hint="cs"/>
          <w:rtl/>
        </w:rPr>
        <w:t>דברי הרמב"ם דאינו נאמן על דבר שתח"י שאינו שלו ודברי המ"מ דלא מפורש כן בגמ'</w:t>
      </w:r>
      <w:bookmarkEnd w:id="18086"/>
      <w:bookmarkEnd w:id="18087"/>
    </w:p>
    <w:p w:rsidR="00E824D3" w:rsidRDefault="00E824D3" w:rsidP="007E4E81">
      <w:pPr>
        <w:pStyle w:val="a0"/>
        <w:rPr>
          <w:rtl/>
        </w:rPr>
      </w:pPr>
      <w:bookmarkStart w:id="18089" w:name="_Ref66186120"/>
      <w:r>
        <w:rPr>
          <w:rFonts w:hint="cs"/>
          <w:rtl/>
        </w:rPr>
        <w:t xml:space="preserve">כתב </w:t>
      </w:r>
      <w:r w:rsidRPr="000074EF">
        <w:rPr>
          <w:rStyle w:val="af9"/>
          <w:rFonts w:hint="cs"/>
          <w:rtl/>
        </w:rPr>
        <w:t>הרמב"ם</w:t>
      </w:r>
      <w:r>
        <w:rPr>
          <w:rFonts w:hint="cs"/>
          <w:rtl/>
        </w:rPr>
        <w:t xml:space="preserve"> </w:t>
      </w:r>
      <w:r w:rsidRPr="00836FB9">
        <w:rPr>
          <w:rStyle w:val="af7"/>
          <w:rFonts w:eastAsia="Guttman Hodes" w:hint="cs"/>
          <w:rtl/>
        </w:rPr>
        <w:t xml:space="preserve">(מלוה ולוה פ"א סוה"ד) </w:t>
      </w:r>
      <w:r>
        <w:rPr>
          <w:rFonts w:hint="cs"/>
          <w:rtl/>
        </w:rPr>
        <w:t xml:space="preserve">דבע"ח שבא להפרע ממטלטלין, וטוען הלוה דהמטלטלין שבידו אינם שלו, אלא הופקדו אצלו או שהם שכורין או שאולין, אינו נאמן, וכל שאינו מביא ראיה לדבריו יכול הבע"ח לגבות מהם, וכ"פ </w:t>
      </w:r>
      <w:r w:rsidRPr="007626BD">
        <w:rPr>
          <w:rStyle w:val="af9"/>
          <w:rFonts w:hint="cs"/>
          <w:rtl/>
        </w:rPr>
        <w:t>השו"ע</w:t>
      </w:r>
      <w:r>
        <w:rPr>
          <w:rFonts w:hint="cs"/>
          <w:rtl/>
        </w:rPr>
        <w:t xml:space="preserve"> </w:t>
      </w:r>
      <w:r w:rsidRPr="00836FB9">
        <w:rPr>
          <w:rStyle w:val="af7"/>
          <w:rFonts w:eastAsia="Guttman Hodes" w:hint="cs"/>
          <w:rtl/>
        </w:rPr>
        <w:t>(סי' צ"ט א')</w:t>
      </w:r>
      <w:bookmarkEnd w:id="18088"/>
      <w:r>
        <w:rPr>
          <w:rFonts w:hint="cs"/>
          <w:rtl/>
        </w:rPr>
        <w:t xml:space="preserve">, </w:t>
      </w:r>
      <w:bookmarkStart w:id="18090" w:name="_Ref64994739"/>
      <w:r>
        <w:rPr>
          <w:rFonts w:hint="cs"/>
          <w:rtl/>
        </w:rPr>
        <w:t>וכתב</w:t>
      </w:r>
      <w:r w:rsidRPr="00AE084F">
        <w:rPr>
          <w:rStyle w:val="af9"/>
          <w:rFonts w:hint="cs"/>
          <w:rtl/>
        </w:rPr>
        <w:t xml:space="preserve"> </w:t>
      </w:r>
      <w:r w:rsidRPr="000074EF">
        <w:rPr>
          <w:rStyle w:val="af9"/>
          <w:rFonts w:hint="cs"/>
          <w:rtl/>
        </w:rPr>
        <w:t>המ"מ</w:t>
      </w:r>
      <w:r>
        <w:rPr>
          <w:rFonts w:hint="cs"/>
          <w:rtl/>
        </w:rPr>
        <w:t xml:space="preserve"> </w:t>
      </w:r>
      <w:r w:rsidRPr="00836FB9">
        <w:rPr>
          <w:rStyle w:val="af7"/>
          <w:rFonts w:eastAsia="Guttman Hodes" w:hint="cs"/>
          <w:rtl/>
        </w:rPr>
        <w:t>(מלוה ולוה פ"א ה"ד)</w:t>
      </w:r>
      <w:r>
        <w:rPr>
          <w:rFonts w:hint="cs"/>
          <w:rtl/>
        </w:rPr>
        <w:t xml:space="preserve"> דדברי </w:t>
      </w:r>
      <w:r>
        <w:rPr>
          <w:rStyle w:val="af9"/>
          <w:rFonts w:hint="cs"/>
          <w:rtl/>
        </w:rPr>
        <w:t>הרמב"ם</w:t>
      </w:r>
      <w:r>
        <w:rPr>
          <w:rFonts w:hint="cs"/>
          <w:rtl/>
        </w:rPr>
        <w:t xml:space="preserve"> דאין הלוה יכול לומר שאין המטלטלין שלו, אינם מפורשים בגמ', וציין </w:t>
      </w:r>
      <w:r w:rsidRPr="003751A5">
        <w:rPr>
          <w:rStyle w:val="af9"/>
          <w:rFonts w:hint="cs"/>
          <w:rtl/>
        </w:rPr>
        <w:t>המ"מ</w:t>
      </w:r>
      <w:r>
        <w:rPr>
          <w:rFonts w:hint="cs"/>
          <w:rtl/>
        </w:rPr>
        <w:t xml:space="preserve"> לדברי </w:t>
      </w:r>
      <w:r w:rsidRPr="003751A5">
        <w:rPr>
          <w:rStyle w:val="af9"/>
          <w:rFonts w:hint="cs"/>
          <w:rtl/>
        </w:rPr>
        <w:t>הרמב"ם</w:t>
      </w:r>
      <w:r>
        <w:rPr>
          <w:rFonts w:hint="cs"/>
          <w:rtl/>
        </w:rPr>
        <w:t xml:space="preserve"> </w:t>
      </w:r>
      <w:r w:rsidRPr="00836FB9">
        <w:rPr>
          <w:rStyle w:val="af7"/>
          <w:rFonts w:eastAsia="Guttman Hodes" w:hint="cs"/>
          <w:rtl/>
        </w:rPr>
        <w:t>(מלוה ולוה פ"ב ה"ו)</w:t>
      </w:r>
      <w:r>
        <w:rPr>
          <w:rFonts w:hint="cs"/>
          <w:rtl/>
        </w:rPr>
        <w:t xml:space="preserve"> שפסק את הגמ' בכתובות </w:t>
      </w:r>
      <w:r w:rsidRPr="00836FB9">
        <w:rPr>
          <w:rStyle w:val="af7"/>
          <w:rFonts w:eastAsia="Guttman Hodes" w:hint="cs"/>
          <w:rtl/>
        </w:rPr>
        <w:t>(יט.)</w:t>
      </w:r>
      <w:r>
        <w:rPr>
          <w:rFonts w:hint="cs"/>
          <w:rtl/>
        </w:rPr>
        <w:t xml:space="preserve">, וכ"כ </w:t>
      </w:r>
      <w:r w:rsidRPr="003751A5">
        <w:rPr>
          <w:rStyle w:val="af9"/>
          <w:rFonts w:hint="cs"/>
          <w:rtl/>
        </w:rPr>
        <w:t>הכס"מ</w:t>
      </w:r>
      <w:r>
        <w:rPr>
          <w:rFonts w:hint="cs"/>
          <w:rtl/>
        </w:rPr>
        <w:t xml:space="preserve"> </w:t>
      </w:r>
      <w:r w:rsidRPr="00836FB9">
        <w:rPr>
          <w:rStyle w:val="af7"/>
          <w:rFonts w:eastAsia="Guttman Hodes" w:hint="cs"/>
          <w:rtl/>
        </w:rPr>
        <w:t>(מלוה ולוה פ"א ה"ד)</w:t>
      </w:r>
      <w:r>
        <w:rPr>
          <w:rFonts w:hint="cs"/>
          <w:rtl/>
        </w:rPr>
        <w:t xml:space="preserve"> דמקור דברי </w:t>
      </w:r>
      <w:r w:rsidRPr="003751A5">
        <w:rPr>
          <w:rStyle w:val="af9"/>
          <w:rFonts w:hint="cs"/>
          <w:rtl/>
        </w:rPr>
        <w:t>הרמב"ם</w:t>
      </w:r>
      <w:r>
        <w:rPr>
          <w:rFonts w:hint="cs"/>
          <w:rtl/>
        </w:rPr>
        <w:t xml:space="preserve"> הוא מהגמ' בכתובות דמלוה שאומר </w:t>
      </w:r>
      <w:r w:rsidRPr="004F32DD">
        <w:rPr>
          <w:rFonts w:hint="cs"/>
          <w:rtl/>
        </w:rPr>
        <w:t>שטר אמנה הוא זה אינו נאמן במקום שחב לאחרים</w:t>
      </w:r>
      <w:r>
        <w:rPr>
          <w:rFonts w:hint="cs"/>
          <w:rtl/>
        </w:rPr>
        <w:t xml:space="preserve">, וכן מבואר </w:t>
      </w:r>
      <w:r>
        <w:rPr>
          <w:rStyle w:val="af9"/>
          <w:rFonts w:hint="cs"/>
          <w:rtl/>
        </w:rPr>
        <w:t>ב</w:t>
      </w:r>
      <w:r w:rsidRPr="00A40089">
        <w:rPr>
          <w:rStyle w:val="af9"/>
          <w:rFonts w:hint="cs"/>
          <w:rtl/>
        </w:rPr>
        <w:t>רמב"ן בכתובות</w:t>
      </w:r>
      <w:r w:rsidRPr="00836FB9">
        <w:rPr>
          <w:rStyle w:val="af7"/>
          <w:rFonts w:eastAsia="Guttman Hodes" w:hint="cs"/>
          <w:rtl/>
        </w:rPr>
        <w:t xml:space="preserve"> (יט. סוד"ה </w:t>
      </w:r>
      <w:r w:rsidRPr="00836FB9">
        <w:rPr>
          <w:rStyle w:val="af7"/>
          <w:rFonts w:eastAsia="Guttman Hodes"/>
          <w:rtl/>
        </w:rPr>
        <w:t>מה שהעלנו</w:t>
      </w:r>
      <w:r w:rsidRPr="00836FB9">
        <w:rPr>
          <w:rStyle w:val="af7"/>
          <w:rFonts w:eastAsia="Guttman Hodes" w:hint="cs"/>
          <w:rtl/>
        </w:rPr>
        <w:t>)</w:t>
      </w:r>
      <w:r w:rsidRPr="004F32DD">
        <w:rPr>
          <w:rFonts w:hint="cs"/>
          <w:rtl/>
        </w:rPr>
        <w:t>.</w:t>
      </w:r>
      <w:bookmarkEnd w:id="18089"/>
      <w:bookmarkEnd w:id="18090"/>
    </w:p>
    <w:p w:rsidR="00C32C27" w:rsidRPr="00C32C27" w:rsidRDefault="00C32C27" w:rsidP="00C32C27">
      <w:pPr>
        <w:pStyle w:val="a3"/>
        <w:rPr>
          <w:rtl/>
        </w:rPr>
      </w:pPr>
    </w:p>
    <w:p w:rsidR="00C32C27" w:rsidRPr="00C32C27" w:rsidRDefault="00C32C27" w:rsidP="00C32C27">
      <w:pPr>
        <w:pStyle w:val="a3"/>
        <w:rPr>
          <w:rtl/>
        </w:rPr>
      </w:pPr>
    </w:p>
    <w:p w:rsidR="00E824D3" w:rsidRPr="004F32DD" w:rsidRDefault="00E824D3" w:rsidP="00E824D3">
      <w:pPr>
        <w:pStyle w:val="a3"/>
        <w:rPr>
          <w:rtl/>
        </w:rPr>
      </w:pPr>
      <w:bookmarkStart w:id="18091" w:name="_Toc66186018"/>
      <w:bookmarkStart w:id="18092" w:name="_Toc66193478"/>
      <w:r>
        <w:rPr>
          <w:rFonts w:hint="cs"/>
          <w:rtl/>
        </w:rPr>
        <w:t>דברי הגר"א דמקור דברי הרמב"ם מסוגיין דא"א להוציא את הנסכא מיד הראשון בלא ראיה</w:t>
      </w:r>
      <w:bookmarkEnd w:id="18091"/>
      <w:bookmarkEnd w:id="18092"/>
    </w:p>
    <w:p w:rsidR="00E824D3" w:rsidRDefault="00E824D3" w:rsidP="007E4E81">
      <w:pPr>
        <w:pStyle w:val="a0"/>
        <w:rPr>
          <w:rtl/>
        </w:rPr>
      </w:pPr>
      <w:r>
        <w:rPr>
          <w:rFonts w:hint="cs"/>
          <w:rtl/>
        </w:rPr>
        <w:t xml:space="preserve">אבל </w:t>
      </w:r>
      <w:r w:rsidRPr="003751A5">
        <w:rPr>
          <w:rStyle w:val="af9"/>
          <w:rFonts w:hint="cs"/>
          <w:rtl/>
        </w:rPr>
        <w:t>הגר"א</w:t>
      </w:r>
      <w:r w:rsidRPr="004F32DD">
        <w:rPr>
          <w:rFonts w:hint="cs"/>
          <w:rtl/>
        </w:rPr>
        <w:t xml:space="preserve"> </w:t>
      </w:r>
      <w:r w:rsidRPr="004F32DD">
        <w:rPr>
          <w:rStyle w:val="af7"/>
          <w:rFonts w:eastAsia="Guttman Hodes" w:hint="cs"/>
          <w:rtl/>
        </w:rPr>
        <w:t>(מלוה ולוה פ"א ה"ד, על הרמב"ם מהדו' פרנקל</w:t>
      </w:r>
      <w:r>
        <w:rPr>
          <w:rStyle w:val="af7"/>
          <w:rFonts w:eastAsia="Guttman Hodes" w:hint="cs"/>
          <w:rtl/>
        </w:rPr>
        <w:t>, ומקורו במהדו' וילנא נד' בסוף הרמב"ם</w:t>
      </w:r>
      <w:r w:rsidRPr="004F32DD">
        <w:rPr>
          <w:rStyle w:val="af7"/>
          <w:rFonts w:eastAsia="Guttman Hodes" w:hint="cs"/>
          <w:rtl/>
        </w:rPr>
        <w:t>)</w:t>
      </w:r>
      <w:r w:rsidRPr="004F32DD">
        <w:rPr>
          <w:rFonts w:hint="cs"/>
          <w:rtl/>
        </w:rPr>
        <w:t xml:space="preserve"> כתב </w:t>
      </w:r>
      <w:r>
        <w:rPr>
          <w:rFonts w:hint="cs"/>
          <w:rtl/>
        </w:rPr>
        <w:t>על דברי</w:t>
      </w:r>
      <w:r w:rsidRPr="004F32DD">
        <w:rPr>
          <w:rFonts w:hint="cs"/>
          <w:rtl/>
        </w:rPr>
        <w:t xml:space="preserve"> </w:t>
      </w:r>
      <w:r w:rsidRPr="003751A5">
        <w:rPr>
          <w:rStyle w:val="af9"/>
          <w:rFonts w:hint="cs"/>
          <w:rtl/>
        </w:rPr>
        <w:t>המ"מ</w:t>
      </w:r>
      <w:r w:rsidRPr="004F32DD">
        <w:rPr>
          <w:rFonts w:hint="cs"/>
          <w:rtl/>
        </w:rPr>
        <w:t xml:space="preserve"> </w:t>
      </w:r>
      <w:r w:rsidRPr="004F32DD">
        <w:rPr>
          <w:rStyle w:val="af7"/>
          <w:rFonts w:eastAsia="Guttman Hodes" w:hint="cs"/>
          <w:rtl/>
        </w:rPr>
        <w:t xml:space="preserve">(עי' אות </w:t>
      </w:r>
      <w:r w:rsidRPr="004F32DD">
        <w:rPr>
          <w:rStyle w:val="af7"/>
          <w:rFonts w:eastAsia="Guttman Hodes"/>
          <w:rtl/>
        </w:rPr>
        <w:fldChar w:fldCharType="begin"/>
      </w:r>
      <w:r w:rsidRPr="004F32DD">
        <w:rPr>
          <w:rStyle w:val="af7"/>
          <w:rFonts w:eastAsia="Guttman Hodes"/>
          <w:rtl/>
        </w:rPr>
        <w:instrText xml:space="preserve"> </w:instrText>
      </w:r>
      <w:r w:rsidRPr="004F32DD">
        <w:rPr>
          <w:rStyle w:val="af7"/>
          <w:rFonts w:eastAsia="Guttman Hodes" w:hint="cs"/>
        </w:rPr>
        <w:instrText>REF</w:instrText>
      </w:r>
      <w:r w:rsidRPr="004F32DD">
        <w:rPr>
          <w:rStyle w:val="af7"/>
          <w:rFonts w:eastAsia="Guttman Hodes" w:hint="cs"/>
          <w:rtl/>
        </w:rPr>
        <w:instrText xml:space="preserve"> _</w:instrText>
      </w:r>
      <w:r w:rsidRPr="004F32DD">
        <w:rPr>
          <w:rStyle w:val="af7"/>
          <w:rFonts w:eastAsia="Guttman Hodes" w:hint="cs"/>
        </w:rPr>
        <w:instrText>Ref64994739 \r \h</w:instrText>
      </w:r>
      <w:r w:rsidRPr="004F32DD">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4F32DD">
        <w:rPr>
          <w:rStyle w:val="af7"/>
          <w:rFonts w:eastAsia="Guttman Hodes"/>
          <w:rtl/>
        </w:rPr>
      </w:r>
      <w:r w:rsidRPr="004F32DD">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4F32DD">
        <w:rPr>
          <w:rStyle w:val="af7"/>
          <w:rFonts w:eastAsia="Guttman Hodes"/>
          <w:rtl/>
        </w:rPr>
        <w:fldChar w:fldCharType="end"/>
      </w:r>
      <w:r w:rsidRPr="004F32DD">
        <w:rPr>
          <w:rFonts w:hint="cs"/>
          <w:rtl/>
        </w:rPr>
        <w:t xml:space="preserve"> </w:t>
      </w:r>
      <w:r>
        <w:rPr>
          <w:rFonts w:hint="cs"/>
          <w:rtl/>
        </w:rPr>
        <w:t>דלא מבואר כן</w:t>
      </w:r>
      <w:r w:rsidRPr="004F32DD">
        <w:rPr>
          <w:rFonts w:hint="cs"/>
          <w:rtl/>
        </w:rPr>
        <w:t xml:space="preserve"> בגמ', דכן מ</w:t>
      </w:r>
      <w:r>
        <w:rPr>
          <w:rFonts w:hint="cs"/>
          <w:rtl/>
        </w:rPr>
        <w:t xml:space="preserve">וכח </w:t>
      </w:r>
      <w:r w:rsidRPr="004F32DD">
        <w:rPr>
          <w:rFonts w:hint="cs"/>
          <w:rtl/>
        </w:rPr>
        <w:t>בסוגיין דכשטען אין חטפי ודידי חטפי אינו נאמן, דכיון שיש עדות שהייתה הנסכא ביד הראשון, אינו נאמן להוציא ממנו בלא ראיה ברורה</w:t>
      </w:r>
      <w:r>
        <w:rPr>
          <w:rFonts w:hint="cs"/>
          <w:rtl/>
        </w:rPr>
        <w:t xml:space="preserve">, וכתב </w:t>
      </w:r>
      <w:r w:rsidRPr="003751A5">
        <w:rPr>
          <w:rStyle w:val="af9"/>
          <w:rFonts w:hint="cs"/>
          <w:rtl/>
        </w:rPr>
        <w:t>הגר"א</w:t>
      </w:r>
      <w:r>
        <w:rPr>
          <w:rFonts w:hint="cs"/>
          <w:rtl/>
        </w:rPr>
        <w:t xml:space="preserve"> דמזה למד </w:t>
      </w:r>
      <w:r w:rsidRPr="003751A5">
        <w:rPr>
          <w:rStyle w:val="af9"/>
          <w:rFonts w:hint="cs"/>
          <w:rtl/>
        </w:rPr>
        <w:t>הרמב"ם</w:t>
      </w:r>
      <w:r>
        <w:rPr>
          <w:rFonts w:hint="cs"/>
          <w:rtl/>
        </w:rPr>
        <w:t xml:space="preserve"> דאף לוה שיש מטלטלין בידו, אינו יכול לתלותם באחר, בלא ראיה ברורה, ועי' במ"ש </w:t>
      </w:r>
      <w:r>
        <w:rPr>
          <w:rStyle w:val="af9"/>
          <w:rFonts w:hint="cs"/>
          <w:rtl/>
        </w:rPr>
        <w:t>ה</w:t>
      </w:r>
      <w:r w:rsidRPr="00F3578D">
        <w:rPr>
          <w:rStyle w:val="af9"/>
          <w:rFonts w:hint="cs"/>
          <w:rtl/>
        </w:rPr>
        <w:t>אבהא"ז</w:t>
      </w:r>
      <w:r w:rsidRPr="009C2396">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Ref66186718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w:t>
      </w:r>
      <w:r>
        <w:rPr>
          <w:rStyle w:val="af7"/>
          <w:rFonts w:eastAsia="Guttman Hodes"/>
          <w:rtl/>
        </w:rPr>
        <w:fldChar w:fldCharType="end"/>
      </w:r>
      <w:r w:rsidRPr="00ED6E64">
        <w:rPr>
          <w:rStyle w:val="af9"/>
          <w:rFonts w:hint="cs"/>
          <w:rtl/>
        </w:rPr>
        <w:t xml:space="preserve"> </w:t>
      </w:r>
      <w:r>
        <w:rPr>
          <w:rStyle w:val="af9"/>
          <w:rFonts w:hint="cs"/>
          <w:rtl/>
        </w:rPr>
        <w:t>ו</w:t>
      </w:r>
      <w:r w:rsidRPr="003F52E5">
        <w:rPr>
          <w:rStyle w:val="af9"/>
          <w:rFonts w:hint="cs"/>
          <w:rtl/>
        </w:rPr>
        <w:t>האבי עזרי</w:t>
      </w:r>
      <w:r w:rsidRPr="00D23ED4">
        <w:rPr>
          <w:rStyle w:val="af7"/>
          <w:rFonts w:eastAsia="Guttman Hode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Ref66205188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עג)</w:t>
      </w:r>
      <w:r>
        <w:rPr>
          <w:rStyle w:val="af7"/>
          <w:rFonts w:eastAsia="Guttman Hodes"/>
          <w:rtl/>
        </w:rPr>
        <w:fldChar w:fldCharType="end"/>
      </w:r>
      <w:r>
        <w:rPr>
          <w:rStyle w:val="af7"/>
          <w:rFonts w:eastAsia="Guttman Hodes" w:hint="cs"/>
          <w:rtl/>
        </w:rPr>
        <w:t xml:space="preserve"> </w:t>
      </w:r>
      <w:r>
        <w:rPr>
          <w:rFonts w:hint="cs"/>
          <w:rtl/>
        </w:rPr>
        <w:t>.</w:t>
      </w:r>
    </w:p>
    <w:p w:rsidR="00E824D3" w:rsidRPr="00B129B6" w:rsidRDefault="00E824D3" w:rsidP="00E824D3">
      <w:pPr>
        <w:pStyle w:val="a3"/>
        <w:rPr>
          <w:rtl/>
        </w:rPr>
      </w:pPr>
      <w:bookmarkStart w:id="18093" w:name="_Toc66186019"/>
      <w:bookmarkStart w:id="18094" w:name="_Toc66193479"/>
      <w:r>
        <w:rPr>
          <w:rFonts w:hint="cs"/>
          <w:rtl/>
        </w:rPr>
        <w:t>דברי המ"מ בשם הרמב"ן דל"מ מיגו כנגד חזקה דמה שתח"י שלו דחיישינן לקנוניא</w:t>
      </w:r>
      <w:bookmarkEnd w:id="18093"/>
      <w:bookmarkEnd w:id="18094"/>
    </w:p>
    <w:p w:rsidR="00E824D3" w:rsidRPr="006960F5" w:rsidRDefault="00E824D3" w:rsidP="007E4E81">
      <w:pPr>
        <w:pStyle w:val="a0"/>
        <w:rPr>
          <w:rtl/>
        </w:rPr>
        <w:sectPr w:rsidR="00E824D3" w:rsidRPr="006960F5" w:rsidSect="005049E2">
          <w:type w:val="continuous"/>
          <w:pgSz w:w="11906" w:h="16838"/>
          <w:pgMar w:top="720" w:right="720" w:bottom="720" w:left="720" w:header="283" w:footer="283" w:gutter="0"/>
          <w:cols w:num="2" w:space="567"/>
          <w:titlePg/>
          <w:bidi/>
          <w:rtlGutter/>
          <w:docGrid w:linePitch="299"/>
        </w:sectPr>
      </w:pPr>
      <w:bookmarkStart w:id="18095" w:name="_Ref66184949"/>
      <w:r>
        <w:rPr>
          <w:rFonts w:hint="cs"/>
          <w:rtl/>
        </w:rPr>
        <w:t xml:space="preserve">ובעיקר דברי </w:t>
      </w:r>
      <w:r w:rsidRPr="003751A5">
        <w:rPr>
          <w:rStyle w:val="af9"/>
          <w:rFonts w:hint="cs"/>
          <w:rtl/>
        </w:rPr>
        <w:t>הרמב"ם</w:t>
      </w:r>
      <w:r>
        <w:rPr>
          <w:rFonts w:hint="cs"/>
          <w:rtl/>
        </w:rPr>
        <w:t xml:space="preserve"> </w:t>
      </w:r>
      <w:r w:rsidRPr="003E0364">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Ref66186120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Pr>
          <w:rStyle w:val="af7"/>
          <w:rFonts w:eastAsia="Guttman Hodes"/>
          <w:rtl/>
        </w:rPr>
        <w:fldChar w:fldCharType="end"/>
      </w:r>
      <w:r w:rsidRPr="003E0364">
        <w:rPr>
          <w:rStyle w:val="af7"/>
          <w:rFonts w:eastAsia="Guttman Hodes" w:hint="cs"/>
          <w:rtl/>
        </w:rPr>
        <w:t xml:space="preserve"> </w:t>
      </w:r>
      <w:r>
        <w:rPr>
          <w:rFonts w:hint="cs"/>
          <w:rtl/>
        </w:rPr>
        <w:t>הקשו</w:t>
      </w:r>
      <w:r w:rsidRPr="00A15F53">
        <w:rPr>
          <w:rStyle w:val="af9"/>
          <w:rFonts w:hint="cs"/>
          <w:rtl/>
        </w:rPr>
        <w:t xml:space="preserve"> </w:t>
      </w:r>
      <w:r w:rsidRPr="00A40089">
        <w:rPr>
          <w:rStyle w:val="af9"/>
          <w:rFonts w:hint="cs"/>
          <w:rtl/>
        </w:rPr>
        <w:t>הרמב"ן בכתובות</w:t>
      </w:r>
      <w:r w:rsidRPr="003E0364">
        <w:rPr>
          <w:rStyle w:val="af7"/>
          <w:rFonts w:eastAsia="Guttman Hodes" w:hint="cs"/>
          <w:rtl/>
        </w:rPr>
        <w:t xml:space="preserve"> (יט. סוד"ה </w:t>
      </w:r>
      <w:r w:rsidRPr="003E0364">
        <w:rPr>
          <w:rStyle w:val="af7"/>
          <w:rFonts w:eastAsia="Guttman Hodes"/>
          <w:rtl/>
        </w:rPr>
        <w:t>מה שהעלנו</w:t>
      </w:r>
      <w:r w:rsidRPr="003E0364">
        <w:rPr>
          <w:rStyle w:val="af7"/>
          <w:rFonts w:eastAsia="Guttman Hodes" w:hint="cs"/>
          <w:rtl/>
        </w:rPr>
        <w:t>)</w:t>
      </w:r>
      <w:r>
        <w:rPr>
          <w:rStyle w:val="af9"/>
          <w:rFonts w:hint="cs"/>
          <w:rtl/>
        </w:rPr>
        <w:t xml:space="preserve"> ו</w:t>
      </w:r>
      <w:r w:rsidRPr="000074EF">
        <w:rPr>
          <w:rStyle w:val="af9"/>
          <w:rFonts w:hint="cs"/>
          <w:rtl/>
        </w:rPr>
        <w:t>המ"מ</w:t>
      </w:r>
      <w:r>
        <w:rPr>
          <w:rFonts w:hint="cs"/>
          <w:rtl/>
        </w:rPr>
        <w:t xml:space="preserve"> </w:t>
      </w:r>
      <w:r w:rsidRPr="003E0364">
        <w:rPr>
          <w:rStyle w:val="af7"/>
          <w:rFonts w:eastAsia="Guttman Hodes" w:hint="cs"/>
          <w:rtl/>
        </w:rPr>
        <w:t>(מלוה ולוה פ"א ה"ד)</w:t>
      </w:r>
      <w:r>
        <w:rPr>
          <w:rFonts w:hint="cs"/>
          <w:rtl/>
        </w:rPr>
        <w:t xml:space="preserve"> דאמאי אין הלוה נאמן לומר שאינם שלו, במיגו דהיה יכול לתת את המטלטלין במתנה או למוכרם ולתת את דמיהם לבע"ח, </w:t>
      </w:r>
      <w:bookmarkStart w:id="18096" w:name="_Toc64925406"/>
      <w:bookmarkStart w:id="18097" w:name="_Toc65141958"/>
      <w:bookmarkStart w:id="18098" w:name="_Toc65185651"/>
      <w:bookmarkStart w:id="18099" w:name="_Toc65530013"/>
      <w:bookmarkStart w:id="18100" w:name="_Toc65748248"/>
      <w:r w:rsidRPr="00A40089">
        <w:rPr>
          <w:rFonts w:hint="cs"/>
          <w:rtl/>
        </w:rPr>
        <w:t xml:space="preserve">והביא </w:t>
      </w:r>
      <w:r w:rsidRPr="00A40089">
        <w:rPr>
          <w:rStyle w:val="af9"/>
          <w:rFonts w:hint="cs"/>
          <w:rtl/>
        </w:rPr>
        <w:t>המ"מ</w:t>
      </w:r>
      <w:r w:rsidRPr="00A40089">
        <w:rPr>
          <w:rFonts w:hint="cs"/>
          <w:rtl/>
        </w:rPr>
        <w:t xml:space="preserve"> את דברי </w:t>
      </w:r>
      <w:r w:rsidRPr="00A40089">
        <w:rPr>
          <w:rStyle w:val="af9"/>
          <w:rFonts w:hint="cs"/>
          <w:rtl/>
        </w:rPr>
        <w:t>הרמב"ן בכתובות</w:t>
      </w:r>
      <w:r w:rsidRPr="003E0364">
        <w:rPr>
          <w:rStyle w:val="af7"/>
          <w:rFonts w:eastAsia="Guttman Hodes" w:hint="cs"/>
          <w:rtl/>
        </w:rPr>
        <w:t xml:space="preserve"> (יט. סוד"ה </w:t>
      </w:r>
      <w:r w:rsidRPr="003E0364">
        <w:rPr>
          <w:rStyle w:val="af7"/>
          <w:rFonts w:eastAsia="Guttman Hodes"/>
          <w:rtl/>
        </w:rPr>
        <w:t>מה שהעלנו</w:t>
      </w:r>
      <w:r w:rsidRPr="003E0364">
        <w:rPr>
          <w:rStyle w:val="af7"/>
          <w:rFonts w:eastAsia="Guttman Hodes" w:hint="cs"/>
          <w:rtl/>
        </w:rPr>
        <w:t>)</w:t>
      </w:r>
      <w:r w:rsidRPr="00A40089">
        <w:rPr>
          <w:rFonts w:hint="cs"/>
          <w:rtl/>
        </w:rPr>
        <w:t xml:space="preserve"> </w:t>
      </w:r>
      <w:r>
        <w:rPr>
          <w:rFonts w:hint="cs"/>
          <w:rtl/>
        </w:rPr>
        <w:t xml:space="preserve">דתירץ דכיון שיש חזקה דכ"מ שתח"י שלו הוא, לכן אינו נאמן לומר על דבר שבידו שהוא של אחרים, אחר שבא הבע"ח לגבות ממנו, ואף שיש לו מיגו אינו נאמן, דמיגו לא מהני במקום חזקה, וחיישינן דהוא עושה קנוניא עם מי שאומר שהחפץ שלו, בכדי שלא יגבה ממנו הבע"ח, ועי' בדברי </w:t>
      </w:r>
      <w:r w:rsidRPr="00836FB9">
        <w:rPr>
          <w:rStyle w:val="af9"/>
          <w:rFonts w:hint="cs"/>
          <w:rtl/>
        </w:rPr>
        <w:t xml:space="preserve">הגר"ח </w:t>
      </w:r>
      <w:r w:rsidRPr="00836FB9">
        <w:rPr>
          <w:rStyle w:val="af7"/>
          <w:rFonts w:eastAsia="Guttman Hodes" w:hint="cs"/>
          <w:rtl/>
        </w:rPr>
        <w:t xml:space="preserve">(עי' אות </w:t>
      </w:r>
      <w:r w:rsidRPr="00836FB9">
        <w:rPr>
          <w:rStyle w:val="af7"/>
          <w:rFonts w:eastAsia="Guttman Hodes"/>
          <w:rtl/>
        </w:rPr>
        <w:fldChar w:fldCharType="begin"/>
      </w:r>
      <w:r w:rsidRPr="00836FB9">
        <w:rPr>
          <w:rStyle w:val="af7"/>
          <w:rFonts w:eastAsia="Guttman Hodes"/>
          <w:rtl/>
        </w:rPr>
        <w:instrText xml:space="preserve"> </w:instrText>
      </w:r>
      <w:r w:rsidRPr="00836FB9">
        <w:rPr>
          <w:rStyle w:val="af7"/>
          <w:rFonts w:eastAsia="Guttman Hodes" w:hint="cs"/>
        </w:rPr>
        <w:instrText>REF</w:instrText>
      </w:r>
      <w:r w:rsidRPr="00836FB9">
        <w:rPr>
          <w:rStyle w:val="af7"/>
          <w:rFonts w:eastAsia="Guttman Hodes" w:hint="cs"/>
          <w:rtl/>
        </w:rPr>
        <w:instrText xml:space="preserve"> _</w:instrText>
      </w:r>
      <w:r w:rsidRPr="00836FB9">
        <w:rPr>
          <w:rStyle w:val="af7"/>
          <w:rFonts w:eastAsia="Guttman Hodes" w:hint="cs"/>
        </w:rPr>
        <w:instrText>Ref66055373 \r \h</w:instrText>
      </w:r>
      <w:r w:rsidRPr="00836FB9">
        <w:rPr>
          <w:rStyle w:val="af7"/>
          <w:rFonts w:eastAsia="Guttman Hodes"/>
          <w:rtl/>
        </w:rPr>
        <w:instrText xml:space="preserve"> </w:instrText>
      </w:r>
      <w:r w:rsidRPr="00836FB9">
        <w:rPr>
          <w:rStyle w:val="af7"/>
          <w:rFonts w:eastAsia="Guttman Hodes"/>
          <w:rtl/>
        </w:rPr>
      </w:r>
      <w:r w:rsidRPr="00836FB9">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836FB9">
        <w:rPr>
          <w:rStyle w:val="af7"/>
          <w:rFonts w:eastAsia="Guttman Hodes"/>
          <w:rtl/>
        </w:rPr>
        <w:fldChar w:fldCharType="end"/>
      </w:r>
      <w:r w:rsidRPr="00B44060">
        <w:rPr>
          <w:rStyle w:val="af9"/>
          <w:rFonts w:hint="cs"/>
          <w:rtl/>
        </w:rPr>
        <w:t xml:space="preserve"> </w:t>
      </w:r>
      <w:r>
        <w:rPr>
          <w:rStyle w:val="af9"/>
          <w:rFonts w:hint="cs"/>
          <w:rtl/>
        </w:rPr>
        <w:t>ו</w:t>
      </w:r>
      <w:r w:rsidRPr="00AF0A0B">
        <w:rPr>
          <w:rStyle w:val="af9"/>
          <w:rFonts w:hint="cs"/>
          <w:rtl/>
        </w:rPr>
        <w:t>בחי' רבי נחום</w:t>
      </w:r>
      <w:r>
        <w:rPr>
          <w:rFonts w:hint="cs"/>
          <w:rtl/>
        </w:rPr>
        <w:t xml:space="preserve"> </w:t>
      </w:r>
      <w:r w:rsidRPr="00654918">
        <w:rPr>
          <w:rStyle w:val="af7"/>
          <w:rFonts w:eastAsia="Guttman Hodes" w:hint="cs"/>
          <w:rtl/>
        </w:rPr>
        <w:t>(עי' הערה</w:t>
      </w:r>
      <w:r>
        <w:rPr>
          <w:vertAlign w:val="superscript"/>
          <w:rtl/>
        </w:rPr>
        <w:fldChar w:fldCharType="begin"/>
      </w:r>
      <w:r>
        <w:rPr>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Ref66185667 \h</w:instrText>
      </w:r>
      <w:r>
        <w:rPr>
          <w:vertAlign w:val="superscript"/>
          <w:rtl/>
        </w:rPr>
        <w:instrText xml:space="preserve"> </w:instrText>
      </w:r>
      <w:r>
        <w:rPr>
          <w:vertAlign w:val="superscript"/>
          <w:rtl/>
        </w:rPr>
      </w:r>
      <w:r>
        <w:rPr>
          <w:vertAlign w:val="superscript"/>
          <w:rtl/>
        </w:rPr>
        <w:fldChar w:fldCharType="separate"/>
      </w:r>
      <w:r w:rsidR="00265073">
        <w:rPr>
          <w:vertAlign w:val="superscript"/>
          <w:rtl/>
        </w:rPr>
        <w:t>125</w:t>
      </w:r>
      <w:r>
        <w:rPr>
          <w:vertAlign w:val="superscript"/>
          <w:rtl/>
        </w:rPr>
        <w:fldChar w:fldCharType="end"/>
      </w:r>
      <w:r w:rsidRPr="00654918">
        <w:rPr>
          <w:rStyle w:val="af7"/>
          <w:rFonts w:eastAsia="Guttman Hodes" w:hint="cs"/>
          <w:rtl/>
        </w:rPr>
        <w:t>)</w:t>
      </w:r>
      <w:r>
        <w:rPr>
          <w:rStyle w:val="af9"/>
          <w:rFonts w:hint="cs"/>
          <w:rtl/>
        </w:rPr>
        <w:t xml:space="preserve"> ו</w:t>
      </w:r>
      <w:r w:rsidRPr="00356AE8">
        <w:rPr>
          <w:rStyle w:val="af9"/>
          <w:rFonts w:hint="cs"/>
          <w:rtl/>
        </w:rPr>
        <w:t>בחי' הרי"ם</w:t>
      </w:r>
      <w:r>
        <w:rPr>
          <w:rFonts w:hint="cs"/>
          <w:rtl/>
        </w:rPr>
        <w:t xml:space="preserve"> </w:t>
      </w:r>
      <w:r w:rsidRPr="00356AE8">
        <w:rPr>
          <w:rStyle w:val="af7"/>
          <w:rFonts w:eastAsia="Guttman Hodes" w:hint="cs"/>
          <w:rtl/>
        </w:rPr>
        <w:t xml:space="preserve">(עי' אות </w:t>
      </w:r>
      <w:r w:rsidRPr="00356AE8">
        <w:rPr>
          <w:rStyle w:val="af7"/>
          <w:rFonts w:eastAsia="Guttman Hodes"/>
          <w:rtl/>
        </w:rPr>
        <w:fldChar w:fldCharType="begin"/>
      </w:r>
      <w:r w:rsidRPr="00356AE8">
        <w:rPr>
          <w:rStyle w:val="af7"/>
          <w:rFonts w:eastAsia="Guttman Hodes"/>
          <w:rtl/>
        </w:rPr>
        <w:instrText xml:space="preserve"> </w:instrText>
      </w:r>
      <w:r w:rsidRPr="00356AE8">
        <w:rPr>
          <w:rStyle w:val="af7"/>
          <w:rFonts w:eastAsia="Guttman Hodes" w:hint="cs"/>
        </w:rPr>
        <w:instrText>REF</w:instrText>
      </w:r>
      <w:r w:rsidRPr="00356AE8">
        <w:rPr>
          <w:rStyle w:val="af7"/>
          <w:rFonts w:eastAsia="Guttman Hodes" w:hint="cs"/>
          <w:rtl/>
        </w:rPr>
        <w:instrText xml:space="preserve"> _</w:instrText>
      </w:r>
      <w:r w:rsidRPr="00356AE8">
        <w:rPr>
          <w:rStyle w:val="af7"/>
          <w:rFonts w:eastAsia="Guttman Hodes" w:hint="cs"/>
        </w:rPr>
        <w:instrText>Ref66116161 \r \h</w:instrText>
      </w:r>
      <w:r w:rsidRPr="00356AE8">
        <w:rPr>
          <w:rStyle w:val="af7"/>
          <w:rFonts w:eastAsia="Guttman Hodes"/>
          <w:rtl/>
        </w:rPr>
        <w:instrText xml:space="preserve"> </w:instrText>
      </w:r>
      <w:r w:rsidRPr="00356AE8">
        <w:rPr>
          <w:rStyle w:val="af7"/>
          <w:rFonts w:eastAsia="Guttman Hodes"/>
          <w:rtl/>
        </w:rPr>
      </w:r>
      <w:r w:rsidRPr="00356AE8">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356AE8">
        <w:rPr>
          <w:rStyle w:val="af7"/>
          <w:rFonts w:eastAsia="Guttman Hodes"/>
          <w:rtl/>
        </w:rPr>
        <w:fldChar w:fldCharType="end"/>
      </w:r>
      <w:r>
        <w:rPr>
          <w:rFonts w:hint="cs"/>
          <w:rtl/>
        </w:rPr>
        <w:t xml:space="preserve"> </w:t>
      </w:r>
      <w:r>
        <w:rPr>
          <w:rStyle w:val="af9"/>
          <w:rFonts w:hint="cs"/>
          <w:rtl/>
        </w:rPr>
        <w:t>וב</w:t>
      </w:r>
      <w:r w:rsidRPr="00F3578D">
        <w:rPr>
          <w:rStyle w:val="af9"/>
          <w:rFonts w:hint="cs"/>
          <w:rtl/>
        </w:rPr>
        <w:t>אבהא"ז</w:t>
      </w:r>
      <w:r w:rsidRPr="009C2396">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Ref66186718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w:t>
      </w:r>
      <w:r>
        <w:rPr>
          <w:rStyle w:val="af7"/>
          <w:rFonts w:eastAsia="Guttman Hodes"/>
          <w:rtl/>
        </w:rPr>
        <w:fldChar w:fldCharType="end"/>
      </w:r>
      <w:r>
        <w:rPr>
          <w:rStyle w:val="af7"/>
          <w:rFonts w:eastAsia="Guttman Hodes" w:hint="cs"/>
          <w:rtl/>
        </w:rPr>
        <w:t xml:space="preserve"> </w:t>
      </w:r>
      <w:r>
        <w:rPr>
          <w:rStyle w:val="af9"/>
          <w:rFonts w:hint="cs"/>
          <w:rtl/>
        </w:rPr>
        <w:t>וב</w:t>
      </w:r>
      <w:r w:rsidRPr="00FD0A0C">
        <w:rPr>
          <w:rStyle w:val="af9"/>
          <w:rFonts w:hint="cs"/>
          <w:rtl/>
        </w:rPr>
        <w:t>גרנ"ט</w:t>
      </w:r>
      <w:r>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Ref66185048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Pr>
          <w:rStyle w:val="af7"/>
          <w:rFonts w:eastAsia="Guttman Hodes"/>
          <w:rtl/>
        </w:rPr>
        <w:fldChar w:fldCharType="end"/>
      </w:r>
      <w:r w:rsidRPr="00BA5FBD">
        <w:rPr>
          <w:rStyle w:val="af9"/>
          <w:rFonts w:hint="cs"/>
          <w:rtl/>
        </w:rPr>
        <w:t xml:space="preserve"> </w:t>
      </w:r>
      <w:r>
        <w:rPr>
          <w:rStyle w:val="af9"/>
          <w:rFonts w:hint="cs"/>
          <w:rtl/>
        </w:rPr>
        <w:t>וב</w:t>
      </w:r>
      <w:r w:rsidRPr="00D23ED4">
        <w:rPr>
          <w:rStyle w:val="af9"/>
          <w:rFonts w:hint="cs"/>
          <w:rtl/>
        </w:rPr>
        <w:t>אבי עזרי</w:t>
      </w:r>
      <w:r>
        <w:rPr>
          <w:rFonts w:hint="cs"/>
          <w:rtl/>
        </w:rPr>
        <w:t xml:space="preserve"> </w:t>
      </w:r>
      <w:r w:rsidRPr="00BA5FBD">
        <w:rPr>
          <w:rStyle w:val="af7"/>
          <w:rFonts w:eastAsia="Guttman Hodes" w:hint="cs"/>
          <w:rtl/>
        </w:rPr>
        <w:t xml:space="preserve">(עי' אות </w:t>
      </w:r>
      <w:r w:rsidRPr="00BA5FBD">
        <w:rPr>
          <w:rStyle w:val="af7"/>
          <w:rFonts w:eastAsia="Guttman Hodes"/>
          <w:rtl/>
        </w:rPr>
        <w:fldChar w:fldCharType="begin"/>
      </w:r>
      <w:r w:rsidRPr="00BA5FBD">
        <w:rPr>
          <w:rStyle w:val="af7"/>
          <w:rFonts w:eastAsia="Guttman Hodes"/>
          <w:rtl/>
        </w:rPr>
        <w:instrText xml:space="preserve"> </w:instrText>
      </w:r>
      <w:r w:rsidRPr="00BA5FBD">
        <w:rPr>
          <w:rStyle w:val="af7"/>
          <w:rFonts w:eastAsia="Guttman Hodes" w:hint="cs"/>
        </w:rPr>
        <w:instrText>REF</w:instrText>
      </w:r>
      <w:r w:rsidRPr="00BA5FBD">
        <w:rPr>
          <w:rStyle w:val="af7"/>
          <w:rFonts w:eastAsia="Guttman Hodes" w:hint="cs"/>
          <w:rtl/>
        </w:rPr>
        <w:instrText xml:space="preserve"> _</w:instrText>
      </w:r>
      <w:r w:rsidRPr="00BA5FBD">
        <w:rPr>
          <w:rStyle w:val="af7"/>
          <w:rFonts w:eastAsia="Guttman Hodes" w:hint="cs"/>
        </w:rPr>
        <w:instrText>Ref66193064 \r \h</w:instrText>
      </w:r>
      <w:r w:rsidRPr="00BA5FBD">
        <w:rPr>
          <w:rStyle w:val="af7"/>
          <w:rFonts w:eastAsia="Guttman Hodes"/>
          <w:rtl/>
        </w:rPr>
        <w:instrText xml:space="preserve"> </w:instrText>
      </w:r>
      <w:r w:rsidRPr="00BA5FBD">
        <w:rPr>
          <w:rStyle w:val="af7"/>
          <w:rFonts w:eastAsia="Guttman Hodes"/>
          <w:rtl/>
        </w:rPr>
      </w:r>
      <w:r w:rsidRPr="00BA5FBD">
        <w:rPr>
          <w:rStyle w:val="af7"/>
          <w:rFonts w:eastAsia="Guttman Hodes"/>
          <w:rtl/>
        </w:rPr>
        <w:fldChar w:fldCharType="separate"/>
      </w:r>
      <w:r w:rsidR="00265073">
        <w:rPr>
          <w:rStyle w:val="af7"/>
          <w:rFonts w:eastAsia="Guttman Hodes"/>
          <w:cs/>
        </w:rPr>
        <w:t>‎</w:t>
      </w:r>
      <w:r w:rsidR="00265073">
        <w:rPr>
          <w:rStyle w:val="af7"/>
          <w:rFonts w:eastAsia="Guttman Hodes"/>
          <w:rtl/>
        </w:rPr>
        <w:t>עב)</w:t>
      </w:r>
      <w:r w:rsidRPr="00BA5FBD">
        <w:rPr>
          <w:rStyle w:val="af7"/>
          <w:rFonts w:eastAsia="Guttman Hodes"/>
          <w:rtl/>
        </w:rPr>
        <w:fldChar w:fldCharType="end"/>
      </w:r>
      <w:r>
        <w:rPr>
          <w:rFonts w:hint="cs"/>
          <w:rtl/>
        </w:rPr>
        <w:t xml:space="preserve"> בדברי</w:t>
      </w:r>
      <w:r w:rsidRPr="00CF1397">
        <w:rPr>
          <w:rStyle w:val="af9"/>
          <w:rFonts w:hint="cs"/>
          <w:rtl/>
        </w:rPr>
        <w:t xml:space="preserve"> </w:t>
      </w:r>
      <w:r w:rsidRPr="00F3578D">
        <w:rPr>
          <w:rStyle w:val="af9"/>
          <w:rFonts w:hint="cs"/>
          <w:rtl/>
        </w:rPr>
        <w:t>המ"מ</w:t>
      </w:r>
      <w:r>
        <w:rPr>
          <w:rStyle w:val="af9"/>
          <w:rFonts w:hint="cs"/>
          <w:rtl/>
        </w:rPr>
        <w:t xml:space="preserve"> והרמב"ן</w:t>
      </w:r>
      <w:r>
        <w:rPr>
          <w:rStyle w:val="af1"/>
          <w:rtl/>
        </w:rPr>
        <w:footnoteReference w:id="124"/>
      </w:r>
      <w:r>
        <w:rPr>
          <w:rFonts w:hint="cs"/>
          <w:rtl/>
        </w:rPr>
        <w:t>.</w:t>
      </w:r>
      <w:bookmarkEnd w:id="18095"/>
      <w:bookmarkEnd w:id="18096"/>
      <w:bookmarkEnd w:id="18097"/>
      <w:bookmarkEnd w:id="18098"/>
      <w:bookmarkEnd w:id="18099"/>
      <w:bookmarkEnd w:id="18100"/>
    </w:p>
    <w:p w:rsidR="00E824D3" w:rsidRDefault="00E824D3" w:rsidP="00E824D3">
      <w:pPr>
        <w:tabs>
          <w:tab w:val="left" w:pos="1163"/>
        </w:tabs>
        <w:spacing w:after="120" w:line="240" w:lineRule="auto"/>
        <w:ind w:left="0"/>
        <w:rPr>
          <w:rFonts w:ascii="Guttman Hodes" w:eastAsia="Guttman Hodes" w:hAnsi="Guttman Hodes" w:cs="Guttman Hodes"/>
          <w:noProof/>
          <w:sz w:val="18"/>
          <w:szCs w:val="18"/>
          <w:rtl/>
        </w:rPr>
      </w:pPr>
    </w:p>
    <w:p w:rsidR="00E824D3" w:rsidRDefault="00E824D3" w:rsidP="00E824D3">
      <w:pPr>
        <w:tabs>
          <w:tab w:val="left" w:pos="1163"/>
        </w:tabs>
        <w:spacing w:after="120" w:line="240" w:lineRule="auto"/>
        <w:ind w:left="0"/>
        <w:rPr>
          <w:rFonts w:ascii="Guttman Hodes" w:eastAsia="Guttman Hodes" w:hAnsi="Guttman Hodes" w:cs="Guttman Hodes"/>
          <w:noProof/>
          <w:sz w:val="18"/>
          <w:szCs w:val="18"/>
        </w:rPr>
        <w:sectPr w:rsidR="00E824D3" w:rsidSect="00AE06CB">
          <w:type w:val="continuous"/>
          <w:pgSz w:w="11906" w:h="16838"/>
          <w:pgMar w:top="720" w:right="720" w:bottom="720" w:left="720" w:header="283" w:footer="283" w:gutter="0"/>
          <w:cols w:space="567"/>
          <w:bidi/>
          <w:rtlGutter/>
          <w:docGrid w:linePitch="299"/>
        </w:sectPr>
      </w:pPr>
    </w:p>
    <w:p w:rsidR="00E824D3" w:rsidRPr="00D47CE7" w:rsidRDefault="00E949D5" w:rsidP="00E824D3">
      <w:pPr>
        <w:tabs>
          <w:tab w:val="left" w:pos="1163"/>
        </w:tabs>
        <w:spacing w:after="120" w:line="240" w:lineRule="auto"/>
        <w:ind w:left="0"/>
        <w:rPr>
          <w:rFonts w:ascii="Guttman Hodes" w:eastAsia="Guttman Hodes" w:hAnsi="Guttman Hodes" w:cs="Guttman Hodes"/>
          <w:noProof/>
          <w:sz w:val="18"/>
          <w:szCs w:val="18"/>
          <w:rtl/>
        </w:rPr>
      </w:pPr>
      <w:bookmarkStart w:id="18101" w:name="_Toc65141962"/>
      <w:bookmarkStart w:id="18102" w:name="_Toc65185662"/>
      <w:bookmarkStart w:id="18103" w:name="_Toc65530019"/>
      <w:bookmarkStart w:id="18104" w:name="_Toc65748254"/>
      <w:bookmarkStart w:id="18105" w:name="_Toc65788192"/>
      <w:bookmarkStart w:id="18106" w:name="_Toc65839240"/>
      <w:bookmarkStart w:id="18107" w:name="_Toc66048878"/>
      <w:bookmarkStart w:id="18108" w:name="_Toc66055831"/>
      <w:bookmarkStart w:id="18109" w:name="_Toc66085951"/>
      <w:bookmarkStart w:id="18110" w:name="_Toc66110524"/>
      <w:bookmarkStart w:id="18111" w:name="_Toc66123387"/>
      <w:bookmarkStart w:id="18112" w:name="_Toc66143835"/>
      <w:bookmarkStart w:id="18113" w:name="_Toc66171998"/>
      <w:bookmarkStart w:id="18114" w:name="_Toc66183238"/>
      <w:bookmarkStart w:id="18115" w:name="_Toc66186021"/>
      <w:bookmarkStart w:id="18116" w:name="_Toc66193481"/>
      <w:bookmarkStart w:id="18117" w:name="_Toc65141963"/>
      <w:bookmarkStart w:id="18118" w:name="_Toc65185663"/>
      <w:r>
        <w:rPr>
          <w:rFonts w:ascii="Guttman Hodes" w:eastAsia="Guttman Hodes" w:hAnsi="Guttman Hodes" w:cs="Guttman Hodes"/>
          <w:noProof/>
          <w:sz w:val="18"/>
          <w:szCs w:val="18"/>
        </w:rPr>
        <w:lastRenderedPageBreak/>
        <w:pict>
          <v:shape id="_x0000_i1042" type="#_x0000_t75" style="width:404.55pt;height:6.8pt" o:hrpct="0" o:hralign="center" o:hr="t">
            <v:imagedata r:id="rId24" o:title="BD14845_"/>
          </v:shape>
        </w:pict>
      </w:r>
      <w:r w:rsidR="00E824D3" w:rsidRPr="00D47CE7">
        <w:rPr>
          <w:rFonts w:ascii="Guttman Hodes" w:eastAsia="Guttman Hodes" w:hAnsi="Guttman Hodes" w:cs="Guttman Hodes" w:hint="cs"/>
          <w:noProof/>
          <w:sz w:val="18"/>
          <w:szCs w:val="18"/>
          <w:rtl/>
        </w:rPr>
        <w:t xml:space="preserve"> </w:t>
      </w:r>
    </w:p>
    <w:p w:rsidR="00FE4F99" w:rsidRDefault="00E824D3" w:rsidP="00FE4F99">
      <w:pPr>
        <w:pStyle w:val="afe"/>
        <w:rPr>
          <w:rtl/>
        </w:rPr>
      </w:pPr>
      <w:r>
        <w:rPr>
          <w:rFonts w:hint="cs"/>
          <w:rtl/>
        </w:rPr>
        <w:t>~</w:t>
      </w:r>
      <w:r>
        <w:rPr>
          <w:noProof/>
          <w:rtl/>
        </w:rPr>
        <w:t>~~~~~~</w:t>
      </w:r>
      <w:r>
        <w:rPr>
          <w:rFonts w:hint="cs"/>
          <w:rtl/>
        </w:rPr>
        <w:t xml:space="preserve"> </w:t>
      </w:r>
      <w:r w:rsidRPr="0081356D">
        <w:rPr>
          <w:rFonts w:hint="cs"/>
          <w:rtl/>
        </w:rPr>
        <w:t>ביאורי ראשי הישיבות</w:t>
      </w:r>
      <w:r>
        <w:rPr>
          <w:rFonts w:hint="cs"/>
          <w:rtl/>
        </w:rPr>
        <w:t xml:space="preserve"> ~</w:t>
      </w:r>
      <w:r>
        <w:rPr>
          <w:noProof/>
          <w:rtl/>
        </w:rPr>
        <w:t>~~~~</w:t>
      </w:r>
      <w:r>
        <w:rPr>
          <w:rFonts w:hint="cs"/>
          <w:rtl/>
        </w:rPr>
        <w:t>~~</w:t>
      </w:r>
    </w:p>
    <w:p w:rsidR="00FE4F99" w:rsidRDefault="00FE4F99" w:rsidP="00FE4F99">
      <w:pPr>
        <w:pStyle w:val="afe"/>
        <w:rPr>
          <w:rtl/>
        </w:rPr>
        <w:sectPr w:rsidR="00FE4F99" w:rsidSect="00FE4F99">
          <w:headerReference w:type="default" r:id="rId162"/>
          <w:headerReference w:type="first" r:id="rId163"/>
          <w:pgSz w:w="11906" w:h="16838"/>
          <w:pgMar w:top="720" w:right="720" w:bottom="720" w:left="720" w:header="283" w:footer="283" w:gutter="0"/>
          <w:cols w:space="567"/>
          <w:bidi/>
          <w:rtlGutter/>
          <w:docGrid w:linePitch="299"/>
        </w:sectPr>
      </w:pPr>
    </w:p>
    <w:p w:rsidR="00E824D3" w:rsidRDefault="00E824D3" w:rsidP="00FE4F99">
      <w:pPr>
        <w:pStyle w:val="afe"/>
        <w:rPr>
          <w:rtl/>
        </w:rPr>
      </w:pPr>
      <w:r>
        <w:rPr>
          <w:rFonts w:hint="cs"/>
          <w:rtl/>
        </w:rPr>
        <w:t>בדין מיגו כנגד חזקה דמה שתח"י</w:t>
      </w:r>
      <w:bookmarkEnd w:id="18101"/>
      <w:bookmarkEnd w:id="18102"/>
      <w:bookmarkEnd w:id="18103"/>
      <w:bookmarkEnd w:id="18104"/>
      <w:bookmarkEnd w:id="18105"/>
      <w:bookmarkEnd w:id="18106"/>
      <w:bookmarkEnd w:id="18107"/>
      <w:bookmarkEnd w:id="18108"/>
      <w:bookmarkEnd w:id="18109"/>
      <w:bookmarkEnd w:id="18110"/>
      <w:r>
        <w:rPr>
          <w:rFonts w:hint="cs"/>
          <w:rtl/>
        </w:rPr>
        <w:t xml:space="preserve"> שלו</w:t>
      </w:r>
      <w:bookmarkEnd w:id="18111"/>
      <w:bookmarkEnd w:id="18112"/>
      <w:bookmarkEnd w:id="18113"/>
      <w:bookmarkEnd w:id="18114"/>
      <w:bookmarkEnd w:id="18115"/>
      <w:bookmarkEnd w:id="18116"/>
    </w:p>
    <w:p w:rsidR="00E824D3" w:rsidRDefault="00E824D3" w:rsidP="00E824D3">
      <w:pPr>
        <w:pStyle w:val="1"/>
        <w:rPr>
          <w:rtl/>
        </w:rPr>
      </w:pPr>
      <w:bookmarkStart w:id="18119" w:name="_Toc65530020"/>
      <w:bookmarkStart w:id="18120" w:name="_Toc65748255"/>
      <w:bookmarkStart w:id="18121" w:name="_Toc65788193"/>
      <w:bookmarkStart w:id="18122" w:name="_Toc65839241"/>
      <w:bookmarkStart w:id="18123" w:name="_Toc66048879"/>
      <w:bookmarkStart w:id="18124" w:name="_Toc66055832"/>
      <w:bookmarkStart w:id="18125" w:name="_Toc66085952"/>
      <w:bookmarkStart w:id="18126" w:name="_Toc66110525"/>
      <w:bookmarkStart w:id="18127" w:name="_Toc66123388"/>
      <w:bookmarkStart w:id="18128" w:name="_Toc66143836"/>
      <w:bookmarkStart w:id="18129" w:name="_Toc66171999"/>
      <w:bookmarkStart w:id="18130" w:name="_Toc66183239"/>
      <w:bookmarkStart w:id="18131" w:name="_Toc66186022"/>
      <w:bookmarkStart w:id="18132" w:name="_Toc66193482"/>
      <w:r>
        <w:rPr>
          <w:rFonts w:hint="cs"/>
          <w:rtl/>
        </w:rPr>
        <w:t>בי' הגר"ח</w:t>
      </w:r>
      <w:bookmarkEnd w:id="18117"/>
      <w:bookmarkEnd w:id="18118"/>
      <w:bookmarkEnd w:id="18119"/>
      <w:bookmarkEnd w:id="18120"/>
      <w:bookmarkEnd w:id="18121"/>
      <w:bookmarkEnd w:id="18122"/>
      <w:bookmarkEnd w:id="18123"/>
      <w:bookmarkEnd w:id="18124"/>
      <w:bookmarkEnd w:id="18125"/>
      <w:bookmarkEnd w:id="18126"/>
      <w:r>
        <w:rPr>
          <w:rFonts w:hint="cs"/>
          <w:rtl/>
        </w:rPr>
        <w:t xml:space="preserve"> דכשאין עדים שחטף ע"י מיגו יש לו חזקה דהיא תח"י</w:t>
      </w:r>
      <w:bookmarkEnd w:id="18127"/>
      <w:bookmarkEnd w:id="18128"/>
      <w:bookmarkEnd w:id="18129"/>
      <w:bookmarkEnd w:id="18130"/>
      <w:bookmarkEnd w:id="18131"/>
      <w:bookmarkEnd w:id="18132"/>
    </w:p>
    <w:p w:rsidR="00E824D3" w:rsidRDefault="00E824D3" w:rsidP="00E824D3">
      <w:pPr>
        <w:pStyle w:val="a3"/>
        <w:rPr>
          <w:rtl/>
        </w:rPr>
      </w:pPr>
      <w:bookmarkStart w:id="18133" w:name="_Toc66123389"/>
      <w:bookmarkStart w:id="18134" w:name="_Toc66143837"/>
      <w:bookmarkStart w:id="18135" w:name="_Toc66172000"/>
      <w:bookmarkStart w:id="18136" w:name="_Toc66183240"/>
      <w:bookmarkStart w:id="18137" w:name="_Toc66186023"/>
      <w:bookmarkStart w:id="18138" w:name="_Toc66193483"/>
      <w:r>
        <w:rPr>
          <w:rFonts w:hint="cs"/>
          <w:rtl/>
        </w:rPr>
        <w:t>קו' הגר"ח דאמאי כשאין עדים נאמן במיגו כנגד חזקה דמה שתח"י שלו הוא</w:t>
      </w:r>
      <w:bookmarkEnd w:id="18133"/>
      <w:bookmarkEnd w:id="18134"/>
      <w:bookmarkEnd w:id="18135"/>
      <w:bookmarkEnd w:id="18136"/>
      <w:bookmarkEnd w:id="18137"/>
      <w:bookmarkEnd w:id="18138"/>
    </w:p>
    <w:p w:rsidR="00E824D3" w:rsidRDefault="00E824D3" w:rsidP="007E4E81">
      <w:pPr>
        <w:pStyle w:val="a0"/>
      </w:pPr>
      <w:bookmarkStart w:id="18139" w:name="_Ref66055373"/>
      <w:r>
        <w:rPr>
          <w:rFonts w:hint="cs"/>
          <w:rtl/>
        </w:rPr>
        <w:t xml:space="preserve">כתב </w:t>
      </w:r>
      <w:r w:rsidRPr="00B37A3F">
        <w:rPr>
          <w:rStyle w:val="af9"/>
          <w:rFonts w:hint="cs"/>
          <w:rtl/>
        </w:rPr>
        <w:t xml:space="preserve">בחי' הגר"ח </w:t>
      </w:r>
      <w:r>
        <w:rPr>
          <w:rStyle w:val="af9"/>
          <w:rFonts w:hint="cs"/>
          <w:rtl/>
        </w:rPr>
        <w:t>על הש</w:t>
      </w:r>
      <w:r>
        <w:rPr>
          <w:rStyle w:val="af9"/>
          <w:rtl/>
        </w:rPr>
        <w:t>"</w:t>
      </w:r>
      <w:r>
        <w:rPr>
          <w:rStyle w:val="af9"/>
          <w:rFonts w:hint="cs"/>
          <w:rtl/>
        </w:rPr>
        <w:t xml:space="preserve">ס </w:t>
      </w:r>
      <w:r w:rsidRPr="00406D89">
        <w:rPr>
          <w:rStyle w:val="af7"/>
          <w:rFonts w:eastAsia="Guttman Hodes" w:hint="cs"/>
          <w:rtl/>
        </w:rPr>
        <w:t>(ד"ה ונראה</w:t>
      </w:r>
      <w:r w:rsidRPr="001575AB">
        <w:rPr>
          <w:rtl/>
        </w:rPr>
        <w:t xml:space="preserve"> </w:t>
      </w:r>
      <w:r w:rsidRPr="00406D89">
        <w:rPr>
          <w:rStyle w:val="af7"/>
          <w:rFonts w:eastAsia="Guttman Hodes"/>
          <w:rtl/>
        </w:rPr>
        <w:t>דהנה לכאורה</w:t>
      </w:r>
      <w:r w:rsidRPr="00406D89">
        <w:rPr>
          <w:rStyle w:val="af7"/>
          <w:rFonts w:eastAsia="Guttman Hodes" w:hint="cs"/>
          <w:rtl/>
        </w:rPr>
        <w:t>, [מהדו' ישנה או' רפ"ה], שיעורי הגר"ח על ב"ב ד"ה עיין בתוס')</w:t>
      </w:r>
      <w:r>
        <w:rPr>
          <w:rFonts w:hint="cs"/>
          <w:rtl/>
        </w:rPr>
        <w:t xml:space="preserve"> דבעיקר מה </w:t>
      </w:r>
      <w:r w:rsidRPr="00DE5FD5">
        <w:rPr>
          <w:rFonts w:hint="cs"/>
          <w:rtl/>
        </w:rPr>
        <w:t xml:space="preserve">שמבואר בסוגיין דכשאין עדים שחטף, נאמן לומר אין חטפי ודידי חטפי, במיגו דלא חטפי, יש להקשות דהא פסקו </w:t>
      </w:r>
      <w:r w:rsidRPr="00DE5FD5">
        <w:rPr>
          <w:rStyle w:val="afb"/>
          <w:rFonts w:hint="cs"/>
          <w:rtl/>
        </w:rPr>
        <w:t>[</w:t>
      </w:r>
      <w:r w:rsidRPr="00DE5FD5">
        <w:rPr>
          <w:rStyle w:val="affa"/>
          <w:rFonts w:hint="cs"/>
          <w:rtl/>
        </w:rPr>
        <w:t>הרמב"ם</w:t>
      </w:r>
      <w:r w:rsidRPr="00DE5FD5">
        <w:rPr>
          <w:rStyle w:val="afb"/>
          <w:rFonts w:hint="cs"/>
          <w:rtl/>
        </w:rPr>
        <w:t xml:space="preserve"> </w:t>
      </w:r>
      <w:r w:rsidRPr="00DE5FD5">
        <w:rPr>
          <w:rStyle w:val="aff6"/>
          <w:rFonts w:hint="cs"/>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Ref66186120 \r \h</w:instrText>
      </w:r>
      <w:r>
        <w:rPr>
          <w:rStyle w:val="aff6"/>
          <w:rtl/>
        </w:rPr>
        <w:instrText xml:space="preserve"> </w:instrText>
      </w:r>
      <w:r>
        <w:rPr>
          <w:rStyle w:val="aff6"/>
          <w:rtl/>
        </w:rPr>
      </w:r>
      <w:r>
        <w:rPr>
          <w:rStyle w:val="aff6"/>
          <w:rtl/>
        </w:rPr>
        <w:fldChar w:fldCharType="separate"/>
      </w:r>
      <w:r w:rsidR="00265073">
        <w:rPr>
          <w:rStyle w:val="aff6"/>
          <w:cs/>
        </w:rPr>
        <w:t>‎</w:t>
      </w:r>
      <w:r w:rsidR="00265073">
        <w:rPr>
          <w:rStyle w:val="aff6"/>
          <w:rtl/>
        </w:rPr>
        <w:t>נח)</w:t>
      </w:r>
      <w:r>
        <w:rPr>
          <w:rStyle w:val="aff6"/>
          <w:rtl/>
        </w:rPr>
        <w:fldChar w:fldCharType="end"/>
      </w:r>
      <w:r w:rsidRPr="00DE5FD5">
        <w:rPr>
          <w:rStyle w:val="afb"/>
          <w:rFonts w:hint="cs"/>
          <w:rtl/>
        </w:rPr>
        <w:t xml:space="preserve">] </w:t>
      </w:r>
      <w:r w:rsidRPr="00DE5FD5">
        <w:rPr>
          <w:rFonts w:hint="cs"/>
          <w:rtl/>
        </w:rPr>
        <w:t>ו</w:t>
      </w:r>
      <w:r w:rsidRPr="00DE5FD5">
        <w:rPr>
          <w:rStyle w:val="af9"/>
          <w:rFonts w:hint="cs"/>
          <w:rtl/>
        </w:rPr>
        <w:t>השו"</w:t>
      </w:r>
      <w:r w:rsidRPr="00B37A3F">
        <w:rPr>
          <w:rStyle w:val="af9"/>
          <w:rFonts w:hint="cs"/>
          <w:rtl/>
        </w:rPr>
        <w:t>ע</w:t>
      </w:r>
      <w:r>
        <w:rPr>
          <w:rFonts w:hint="cs"/>
          <w:rtl/>
        </w:rPr>
        <w:t xml:space="preserve"> </w:t>
      </w:r>
      <w:r w:rsidRPr="00406D89">
        <w:rPr>
          <w:rStyle w:val="af7"/>
          <w:rFonts w:eastAsia="Guttman Hodes" w:hint="cs"/>
          <w:rtl/>
        </w:rPr>
        <w:t>(סי' צ"ט א')</w:t>
      </w:r>
      <w:r>
        <w:rPr>
          <w:rFonts w:hint="cs"/>
          <w:rtl/>
        </w:rPr>
        <w:t xml:space="preserve"> דבע"ח שבא להפרע ממטלטלין, וטוען הלוה דהמטלטלין שבידו אינם שלו, אינו נאמן, ויכול הבע"ח לגבות מהם, וכתב </w:t>
      </w:r>
      <w:r w:rsidRPr="00B37A3F">
        <w:rPr>
          <w:rStyle w:val="af9"/>
          <w:rFonts w:hint="cs"/>
          <w:rtl/>
        </w:rPr>
        <w:t>הרמ"א</w:t>
      </w:r>
      <w:r>
        <w:rPr>
          <w:rFonts w:hint="cs"/>
          <w:rtl/>
        </w:rPr>
        <w:t xml:space="preserve"> דאעפ"י שיש לו מיגו דהיה יכול להחזירם למי שטוען שהם שלו, או כשיש לו מיגו דהיה יכול לטעון להד"ם, מ"מ אינו נאמן לומר דהמטלטלין אינם שלו, כיון דהוא מיגו במקום חזקה, דחזקה מה שתחת יד אדם שלו הוא,</w:t>
      </w:r>
      <w:r w:rsidRPr="00406D89">
        <w:rPr>
          <w:rStyle w:val="afb"/>
          <w:rFonts w:hint="cs"/>
          <w:rtl/>
        </w:rPr>
        <w:t xml:space="preserve"> </w:t>
      </w:r>
      <w:r w:rsidRPr="00B44060">
        <w:rPr>
          <w:rStyle w:val="afb"/>
          <w:rFonts w:hint="cs"/>
          <w:rtl/>
        </w:rPr>
        <w:t>[ו</w:t>
      </w:r>
      <w:r>
        <w:rPr>
          <w:rStyle w:val="afb"/>
          <w:rFonts w:hint="cs"/>
          <w:rtl/>
        </w:rPr>
        <w:t>כדכתב</w:t>
      </w:r>
      <w:r w:rsidRPr="00B44060">
        <w:rPr>
          <w:rStyle w:val="afb"/>
          <w:rFonts w:hint="cs"/>
          <w:rtl/>
        </w:rPr>
        <w:t xml:space="preserve"> </w:t>
      </w:r>
      <w:r w:rsidRPr="00B44060">
        <w:rPr>
          <w:rStyle w:val="affa"/>
          <w:rFonts w:hint="cs"/>
          <w:rtl/>
        </w:rPr>
        <w:t>המ"מ</w:t>
      </w:r>
      <w:r w:rsidRPr="00B44060">
        <w:rPr>
          <w:rStyle w:val="afb"/>
          <w:rFonts w:hint="cs"/>
          <w:rtl/>
        </w:rPr>
        <w:t xml:space="preserve"> </w:t>
      </w:r>
      <w:r w:rsidRPr="00B44060">
        <w:rPr>
          <w:rStyle w:val="aff6"/>
          <w:rFonts w:hint="cs"/>
          <w:rtl/>
        </w:rPr>
        <w:t xml:space="preserve">(עי' אות </w:t>
      </w:r>
      <w:r w:rsidRPr="00B44060">
        <w:rPr>
          <w:rStyle w:val="aff6"/>
          <w:rtl/>
        </w:rPr>
        <w:fldChar w:fldCharType="begin"/>
      </w:r>
      <w:r w:rsidRPr="00B44060">
        <w:rPr>
          <w:rStyle w:val="aff6"/>
          <w:rtl/>
        </w:rPr>
        <w:instrText xml:space="preserve"> </w:instrText>
      </w:r>
      <w:r w:rsidRPr="00B44060">
        <w:rPr>
          <w:rStyle w:val="aff6"/>
          <w:rFonts w:hint="cs"/>
        </w:rPr>
        <w:instrText>REF</w:instrText>
      </w:r>
      <w:r w:rsidRPr="00B44060">
        <w:rPr>
          <w:rStyle w:val="aff6"/>
          <w:rFonts w:hint="cs"/>
          <w:rtl/>
        </w:rPr>
        <w:instrText xml:space="preserve"> _</w:instrText>
      </w:r>
      <w:r w:rsidRPr="00B44060">
        <w:rPr>
          <w:rStyle w:val="aff6"/>
          <w:rFonts w:hint="cs"/>
        </w:rPr>
        <w:instrText>Ref66184949 \r \h</w:instrText>
      </w:r>
      <w:r w:rsidRPr="00B44060">
        <w:rPr>
          <w:rStyle w:val="aff6"/>
          <w:rtl/>
        </w:rPr>
        <w:instrText xml:space="preserve"> </w:instrText>
      </w:r>
      <w:r w:rsidRPr="00B44060">
        <w:rPr>
          <w:rStyle w:val="aff6"/>
          <w:rtl/>
        </w:rPr>
      </w:r>
      <w:r w:rsidRPr="00B44060">
        <w:rPr>
          <w:rStyle w:val="aff6"/>
          <w:rtl/>
        </w:rPr>
        <w:fldChar w:fldCharType="separate"/>
      </w:r>
      <w:r w:rsidR="00265073">
        <w:rPr>
          <w:rStyle w:val="aff6"/>
          <w:cs/>
        </w:rPr>
        <w:t>‎</w:t>
      </w:r>
      <w:r w:rsidR="00265073">
        <w:rPr>
          <w:rStyle w:val="aff6"/>
          <w:rtl/>
        </w:rPr>
        <w:t>ס)</w:t>
      </w:r>
      <w:r w:rsidRPr="00B44060">
        <w:rPr>
          <w:rStyle w:val="aff6"/>
          <w:rtl/>
        </w:rPr>
        <w:fldChar w:fldCharType="end"/>
      </w:r>
      <w:r>
        <w:rPr>
          <w:rFonts w:hint="cs"/>
          <w:rtl/>
        </w:rPr>
        <w:t xml:space="preserve"> </w:t>
      </w:r>
      <w:r w:rsidRPr="00B44060">
        <w:rPr>
          <w:rStyle w:val="afb"/>
          <w:rFonts w:hint="cs"/>
          <w:rtl/>
        </w:rPr>
        <w:t xml:space="preserve">בשם </w:t>
      </w:r>
      <w:r w:rsidRPr="00B44060">
        <w:rPr>
          <w:rStyle w:val="affa"/>
          <w:rFonts w:hint="cs"/>
          <w:rtl/>
        </w:rPr>
        <w:t>הרמב"ן</w:t>
      </w:r>
      <w:r w:rsidRPr="00B44060">
        <w:rPr>
          <w:rStyle w:val="afb"/>
          <w:rFonts w:hint="cs"/>
          <w:rtl/>
        </w:rPr>
        <w:t xml:space="preserve"> </w:t>
      </w:r>
      <w:r>
        <w:rPr>
          <w:rStyle w:val="afb"/>
          <w:rFonts w:hint="cs"/>
          <w:rtl/>
        </w:rPr>
        <w:t>דברוצה להבריח מבע</w:t>
      </w:r>
      <w:r>
        <w:rPr>
          <w:rStyle w:val="afb"/>
          <w:rtl/>
        </w:rPr>
        <w:t>"</w:t>
      </w:r>
      <w:r>
        <w:rPr>
          <w:rStyle w:val="afb"/>
          <w:rFonts w:hint="cs"/>
          <w:rtl/>
        </w:rPr>
        <w:t>ח, ל</w:t>
      </w:r>
      <w:r>
        <w:rPr>
          <w:rStyle w:val="afb"/>
          <w:rtl/>
        </w:rPr>
        <w:t>"</w:t>
      </w:r>
      <w:r>
        <w:rPr>
          <w:rStyle w:val="afb"/>
          <w:rFonts w:hint="cs"/>
          <w:rtl/>
        </w:rPr>
        <w:t>מ מיגו כנגד חזקה דמה שתח</w:t>
      </w:r>
      <w:r>
        <w:rPr>
          <w:rStyle w:val="afb"/>
          <w:rtl/>
        </w:rPr>
        <w:t>"</w:t>
      </w:r>
      <w:r>
        <w:rPr>
          <w:rStyle w:val="afb"/>
          <w:rFonts w:hint="cs"/>
          <w:rtl/>
        </w:rPr>
        <w:t>י שלו, דחיישינן לקנוניא</w:t>
      </w:r>
      <w:r w:rsidRPr="00B44060">
        <w:rPr>
          <w:rStyle w:val="afb"/>
          <w:rFonts w:hint="cs"/>
          <w:rtl/>
        </w:rPr>
        <w:t>]</w:t>
      </w:r>
      <w:r>
        <w:rPr>
          <w:rStyle w:val="afb"/>
          <w:rFonts w:hint="cs"/>
          <w:rtl/>
        </w:rPr>
        <w:t>,</w:t>
      </w:r>
      <w:r>
        <w:rPr>
          <w:rFonts w:hint="cs"/>
          <w:rtl/>
        </w:rPr>
        <w:t xml:space="preserve"> והקשה </w:t>
      </w:r>
      <w:r w:rsidRPr="00B37A3F">
        <w:rPr>
          <w:rStyle w:val="af9"/>
          <w:rFonts w:hint="cs"/>
          <w:rtl/>
        </w:rPr>
        <w:t xml:space="preserve">בחי' הגר"ח </w:t>
      </w:r>
      <w:r>
        <w:rPr>
          <w:rStyle w:val="af9"/>
          <w:rFonts w:hint="cs"/>
          <w:rtl/>
        </w:rPr>
        <w:t>על הש</w:t>
      </w:r>
      <w:r>
        <w:rPr>
          <w:rStyle w:val="af9"/>
          <w:rtl/>
        </w:rPr>
        <w:t>"</w:t>
      </w:r>
      <w:r>
        <w:rPr>
          <w:rStyle w:val="af9"/>
          <w:rFonts w:hint="cs"/>
          <w:rtl/>
        </w:rPr>
        <w:t xml:space="preserve">ס </w:t>
      </w:r>
      <w:r>
        <w:rPr>
          <w:rFonts w:hint="cs"/>
          <w:rtl/>
        </w:rPr>
        <w:t xml:space="preserve">דא"כ אמאי הכא נאמן במיגו כנגד החזקה, ואעפ"י שבמקום שאין עדים שחטף יש לו הפה שאסר, מ"מ קשה דהיאך נאמן נגד חזקה דמה שתח"י שלו הוא, ואדרבה כיון שהודה שחטף א"כ יש לראשון חזקה דהנסכא שלו, דהא חזקה מה שתח"י שלו הוא, וא"כ כשאין עדים על החטיפה אמאי נאמן לומר אין חטפי ודידי חטפי, ועי' במ"ש </w:t>
      </w:r>
      <w:r w:rsidRPr="008A1918">
        <w:rPr>
          <w:rStyle w:val="af9"/>
          <w:rFonts w:hint="cs"/>
          <w:rtl/>
        </w:rPr>
        <w:t>הגרנ"ט</w:t>
      </w:r>
      <w:r>
        <w:rPr>
          <w:rFonts w:hint="cs"/>
          <w:rtl/>
        </w:rPr>
        <w:t xml:space="preserve"> </w:t>
      </w:r>
      <w:r w:rsidRPr="00406D89">
        <w:rPr>
          <w:rStyle w:val="af7"/>
          <w:rFonts w:eastAsia="Guttman Hodes" w:hint="cs"/>
          <w:rtl/>
        </w:rPr>
        <w:t xml:space="preserve">(עי' אות </w:t>
      </w:r>
      <w:r w:rsidRPr="00406D89">
        <w:rPr>
          <w:rStyle w:val="af7"/>
          <w:rFonts w:eastAsia="Guttman Hodes"/>
          <w:rtl/>
        </w:rPr>
        <w:fldChar w:fldCharType="begin"/>
      </w:r>
      <w:r w:rsidRPr="00406D89">
        <w:rPr>
          <w:rStyle w:val="af7"/>
          <w:rFonts w:eastAsia="Guttman Hodes"/>
          <w:rtl/>
        </w:rPr>
        <w:instrText xml:space="preserve"> </w:instrText>
      </w:r>
      <w:r w:rsidRPr="00406D89">
        <w:rPr>
          <w:rStyle w:val="af7"/>
          <w:rFonts w:eastAsia="Guttman Hodes" w:hint="cs"/>
        </w:rPr>
        <w:instrText>REF</w:instrText>
      </w:r>
      <w:r w:rsidRPr="00406D89">
        <w:rPr>
          <w:rStyle w:val="af7"/>
          <w:rFonts w:eastAsia="Guttman Hodes" w:hint="cs"/>
          <w:rtl/>
        </w:rPr>
        <w:instrText xml:space="preserve"> _</w:instrText>
      </w:r>
      <w:r w:rsidRPr="00406D89">
        <w:rPr>
          <w:rStyle w:val="af7"/>
          <w:rFonts w:eastAsia="Guttman Hodes" w:hint="cs"/>
        </w:rPr>
        <w:instrText>Ref66177695 \r \h</w:instrText>
      </w:r>
      <w:r w:rsidRPr="00406D89">
        <w:rPr>
          <w:rStyle w:val="af7"/>
          <w:rFonts w:eastAsia="Guttman Hodes"/>
          <w:rtl/>
        </w:rPr>
        <w:instrText xml:space="preserve"> </w:instrText>
      </w:r>
      <w:r w:rsidRPr="00406D89">
        <w:rPr>
          <w:rStyle w:val="af7"/>
          <w:rFonts w:eastAsia="Guttman Hodes"/>
          <w:rtl/>
        </w:rPr>
      </w:r>
      <w:r w:rsidRPr="00406D89">
        <w:rPr>
          <w:rStyle w:val="af7"/>
          <w:rFonts w:eastAsia="Guttman Hodes"/>
          <w:rtl/>
        </w:rPr>
        <w:fldChar w:fldCharType="separate"/>
      </w:r>
      <w:r w:rsidR="00265073">
        <w:rPr>
          <w:rStyle w:val="af7"/>
          <w:rFonts w:eastAsia="Guttman Hodes"/>
          <w:cs/>
        </w:rPr>
        <w:t>‎</w:t>
      </w:r>
      <w:r w:rsidR="00265073">
        <w:rPr>
          <w:rStyle w:val="af7"/>
          <w:rFonts w:eastAsia="Guttman Hodes"/>
          <w:rtl/>
        </w:rPr>
        <w:t>עד)</w:t>
      </w:r>
      <w:r w:rsidRPr="00406D89">
        <w:rPr>
          <w:rStyle w:val="af7"/>
          <w:rFonts w:eastAsia="Guttman Hodes"/>
          <w:rtl/>
        </w:rPr>
        <w:fldChar w:fldCharType="end"/>
      </w:r>
      <w:r>
        <w:rPr>
          <w:rFonts w:hint="cs"/>
          <w:rtl/>
        </w:rPr>
        <w:t>.</w:t>
      </w:r>
      <w:bookmarkEnd w:id="18139"/>
    </w:p>
    <w:p w:rsidR="00E824D3" w:rsidRDefault="00E824D3" w:rsidP="00E824D3">
      <w:pPr>
        <w:pStyle w:val="a3"/>
        <w:rPr>
          <w:rtl/>
        </w:rPr>
      </w:pPr>
      <w:bookmarkStart w:id="18140" w:name="_Toc66123390"/>
      <w:bookmarkStart w:id="18141" w:name="_Toc66143838"/>
      <w:bookmarkStart w:id="18142" w:name="_Toc66172001"/>
      <w:bookmarkStart w:id="18143" w:name="_Toc66183241"/>
      <w:bookmarkStart w:id="18144" w:name="_Toc66186024"/>
      <w:bookmarkStart w:id="18145" w:name="_Toc66193484"/>
      <w:r>
        <w:rPr>
          <w:rFonts w:hint="cs"/>
          <w:rtl/>
        </w:rPr>
        <w:t>תי' הגר"ח דכל שלא חטף החזקה היא של השני ורק כשיודעים על חטיפה חשיב הראשון כמוחזק</w:t>
      </w:r>
      <w:bookmarkEnd w:id="18140"/>
      <w:bookmarkEnd w:id="18141"/>
      <w:bookmarkEnd w:id="18142"/>
      <w:bookmarkEnd w:id="18143"/>
      <w:bookmarkEnd w:id="18144"/>
      <w:bookmarkEnd w:id="18145"/>
    </w:p>
    <w:p w:rsidR="00E824D3" w:rsidRDefault="00E824D3" w:rsidP="007E4E81">
      <w:pPr>
        <w:pStyle w:val="a0"/>
        <w:rPr>
          <w:rtl/>
        </w:rPr>
      </w:pPr>
      <w:bookmarkStart w:id="18146" w:name="_Ref66171289"/>
      <w:r>
        <w:rPr>
          <w:rFonts w:hint="cs"/>
          <w:rtl/>
        </w:rPr>
        <w:t>וביאר</w:t>
      </w:r>
      <w:r w:rsidRPr="0026333D">
        <w:rPr>
          <w:rStyle w:val="af9"/>
          <w:rFonts w:hint="cs"/>
          <w:rtl/>
        </w:rPr>
        <w:t xml:space="preserve"> </w:t>
      </w:r>
      <w:r w:rsidRPr="00B37A3F">
        <w:rPr>
          <w:rStyle w:val="af9"/>
          <w:rFonts w:hint="cs"/>
          <w:rtl/>
        </w:rPr>
        <w:t xml:space="preserve">בחי' הגר"ח </w:t>
      </w:r>
      <w:r>
        <w:rPr>
          <w:rStyle w:val="af9"/>
          <w:rFonts w:hint="cs"/>
          <w:rtl/>
        </w:rPr>
        <w:t>על הש</w:t>
      </w:r>
      <w:r>
        <w:rPr>
          <w:rStyle w:val="af9"/>
          <w:rtl/>
        </w:rPr>
        <w:t>"</w:t>
      </w:r>
      <w:r>
        <w:rPr>
          <w:rStyle w:val="af9"/>
          <w:rFonts w:hint="cs"/>
          <w:rtl/>
        </w:rPr>
        <w:t xml:space="preserve">ס </w:t>
      </w:r>
      <w:r w:rsidRPr="00B37A3F">
        <w:rPr>
          <w:rStyle w:val="af7"/>
          <w:rFonts w:eastAsia="Guttman Hodes" w:hint="cs"/>
          <w:rtl/>
        </w:rPr>
        <w:t>(ד"ה</w:t>
      </w:r>
      <w:r>
        <w:rPr>
          <w:rStyle w:val="af7"/>
          <w:rFonts w:eastAsia="Guttman Hodes" w:hint="cs"/>
          <w:rtl/>
        </w:rPr>
        <w:t xml:space="preserve"> ונראה דהנה בטענת)</w:t>
      </w:r>
      <w:r>
        <w:rPr>
          <w:rFonts w:hint="cs"/>
          <w:rtl/>
        </w:rPr>
        <w:t xml:space="preserve"> דכל שטוען לקוח הוא בידי נאמן, אף כשהיה לבעלים הראשונים חזקה דכל מה שתח"י שלו הוא, כיון שעכשיו החפץ ביד הלוקח, א"כ החזקה היא שהחפץ של הלוקח, דעכשיו הוא תח"י, ורק במקום שחטף את החפץ מהראשון אין לשני חזקה, דכיון שאנחנו רואים שהחפץ בא לידו בדרך חטיפה וגזילה, וכתב </w:t>
      </w:r>
      <w:r w:rsidRPr="00405F77">
        <w:rPr>
          <w:rStyle w:val="af9"/>
          <w:rFonts w:hint="cs"/>
          <w:rtl/>
        </w:rPr>
        <w:t>הגר"ח</w:t>
      </w:r>
      <w:r>
        <w:rPr>
          <w:rFonts w:hint="cs"/>
          <w:rtl/>
        </w:rPr>
        <w:t xml:space="preserve"> דלו יצוייר דלא היה שייך לחטוף דבר שאינו שלו, א"כ ודאי דעכשיו כשהחפץ בידו היה חזקה לחוטף.</w:t>
      </w:r>
      <w:bookmarkEnd w:id="18146"/>
    </w:p>
    <w:p w:rsidR="00E824D3" w:rsidRPr="00C4566A" w:rsidRDefault="00E824D3" w:rsidP="00E824D3">
      <w:pPr>
        <w:pStyle w:val="a3"/>
        <w:rPr>
          <w:rtl/>
        </w:rPr>
      </w:pPr>
      <w:bookmarkStart w:id="18147" w:name="_Toc66123391"/>
      <w:bookmarkStart w:id="18148" w:name="_Toc66143839"/>
      <w:bookmarkStart w:id="18149" w:name="_Toc66172002"/>
      <w:bookmarkStart w:id="18150" w:name="_Toc66183242"/>
      <w:bookmarkStart w:id="18151" w:name="_Toc66186025"/>
      <w:bookmarkStart w:id="18152" w:name="_Toc66193485"/>
      <w:r>
        <w:rPr>
          <w:rFonts w:hint="cs"/>
          <w:rtl/>
        </w:rPr>
        <w:t>תי' הגר"ח דכשאין עדים שחטף אף שהודה אי"ז חשיב מעשה חטיפה והחוטף מוחזק במה שתח"י</w:t>
      </w:r>
      <w:bookmarkEnd w:id="18147"/>
      <w:bookmarkEnd w:id="18148"/>
      <w:bookmarkEnd w:id="18149"/>
      <w:bookmarkEnd w:id="18150"/>
      <w:bookmarkEnd w:id="18151"/>
      <w:bookmarkEnd w:id="18152"/>
    </w:p>
    <w:p w:rsidR="00E824D3" w:rsidRDefault="00E824D3" w:rsidP="007E4E81">
      <w:pPr>
        <w:pStyle w:val="a0"/>
        <w:rPr>
          <w:rtl/>
        </w:rPr>
      </w:pPr>
      <w:bookmarkStart w:id="18153" w:name="_Ref66132463"/>
      <w:r>
        <w:rPr>
          <w:rFonts w:hint="cs"/>
          <w:rtl/>
        </w:rPr>
        <w:t xml:space="preserve">וכתב </w:t>
      </w:r>
      <w:r w:rsidRPr="00B37A3F">
        <w:rPr>
          <w:rStyle w:val="af9"/>
          <w:rFonts w:hint="cs"/>
          <w:rtl/>
        </w:rPr>
        <w:t xml:space="preserve">בחי' הגר"ח </w:t>
      </w:r>
      <w:r>
        <w:rPr>
          <w:rStyle w:val="af9"/>
          <w:rFonts w:hint="cs"/>
          <w:rtl/>
        </w:rPr>
        <w:t>על הש</w:t>
      </w:r>
      <w:r>
        <w:rPr>
          <w:rStyle w:val="af9"/>
          <w:rtl/>
        </w:rPr>
        <w:t>"</w:t>
      </w:r>
      <w:r>
        <w:rPr>
          <w:rStyle w:val="af9"/>
          <w:rFonts w:hint="cs"/>
          <w:rtl/>
        </w:rPr>
        <w:t xml:space="preserve">ס </w:t>
      </w:r>
      <w:r>
        <w:rPr>
          <w:rFonts w:hint="cs"/>
          <w:rtl/>
        </w:rPr>
        <w:t xml:space="preserve">דלפי"ז מתורץ אמאי כשאין עדים על החטיפה, הוא נאמן בטוען אין חטפי ודידי חטפי, דהא לא היה ידוע לנו כלל על החטיפה, ורק הוא הודה שחטף, ולטענתו דחטף את שלו, א"כ אי"ז מעשה חטיפה כלל, וכתב </w:t>
      </w:r>
      <w:r w:rsidRPr="00B90CD2">
        <w:rPr>
          <w:rStyle w:val="af9"/>
          <w:rFonts w:hint="cs"/>
          <w:rtl/>
        </w:rPr>
        <w:t>הגר"ח</w:t>
      </w:r>
      <w:r>
        <w:rPr>
          <w:rFonts w:hint="cs"/>
          <w:rtl/>
        </w:rPr>
        <w:t xml:space="preserve"> דלכן הוא נאמן במיגו דלא חטפי, דלא חשיב הודאה על חטיפה, אלא אנחנו רואים את החפץ בידו ויש לו את החזקה דמה שתח"י שלו הוא.</w:t>
      </w:r>
      <w:bookmarkEnd w:id="18153"/>
    </w:p>
    <w:p w:rsidR="00E824D3" w:rsidRPr="00F651C8" w:rsidRDefault="00E824D3" w:rsidP="00E824D3">
      <w:pPr>
        <w:pStyle w:val="a3"/>
        <w:rPr>
          <w:rtl/>
        </w:rPr>
      </w:pPr>
    </w:p>
    <w:p w:rsidR="00E824D3" w:rsidRDefault="00E824D3" w:rsidP="00E824D3">
      <w:pPr>
        <w:pStyle w:val="a3"/>
        <w:rPr>
          <w:rtl/>
        </w:rPr>
      </w:pPr>
      <w:bookmarkStart w:id="18154" w:name="_Toc66123392"/>
      <w:bookmarkStart w:id="18155" w:name="_Toc66143840"/>
      <w:bookmarkStart w:id="18156" w:name="_Toc66172003"/>
      <w:bookmarkStart w:id="18157" w:name="_Toc66183243"/>
      <w:bookmarkStart w:id="18158" w:name="_Toc66186026"/>
      <w:bookmarkStart w:id="18159" w:name="_Toc66193486"/>
      <w:r>
        <w:rPr>
          <w:rFonts w:hint="cs"/>
          <w:rtl/>
        </w:rPr>
        <w:t>דברי הגר"ח דבמקום שהחפץ ביד א' אינו נאמן לטעון שהוא של אחר והכא החוטף מוחזק בו</w:t>
      </w:r>
      <w:bookmarkEnd w:id="18154"/>
      <w:bookmarkEnd w:id="18155"/>
      <w:bookmarkEnd w:id="18156"/>
      <w:bookmarkEnd w:id="18157"/>
      <w:bookmarkEnd w:id="18158"/>
      <w:bookmarkEnd w:id="18159"/>
    </w:p>
    <w:p w:rsidR="00E824D3" w:rsidRPr="00B44060" w:rsidRDefault="00E824D3" w:rsidP="007E4E81">
      <w:pPr>
        <w:pStyle w:val="a0"/>
        <w:rPr>
          <w:rStyle w:val="afb"/>
          <w:rtl/>
        </w:rPr>
      </w:pPr>
      <w:bookmarkStart w:id="18160" w:name="_Ref66116134"/>
      <w:r>
        <w:rPr>
          <w:rFonts w:hint="cs"/>
          <w:rtl/>
        </w:rPr>
        <w:t xml:space="preserve">וכתב </w:t>
      </w:r>
      <w:r w:rsidRPr="00B37A3F">
        <w:rPr>
          <w:rStyle w:val="af9"/>
          <w:rFonts w:hint="cs"/>
          <w:rtl/>
        </w:rPr>
        <w:t xml:space="preserve">בחי' הגר"ח </w:t>
      </w:r>
      <w:r>
        <w:rPr>
          <w:rStyle w:val="af9"/>
          <w:rFonts w:hint="cs"/>
          <w:rtl/>
        </w:rPr>
        <w:t>על הש</w:t>
      </w:r>
      <w:r>
        <w:rPr>
          <w:rStyle w:val="af9"/>
          <w:rtl/>
        </w:rPr>
        <w:t>"</w:t>
      </w:r>
      <w:r>
        <w:rPr>
          <w:rStyle w:val="af9"/>
          <w:rFonts w:hint="cs"/>
          <w:rtl/>
        </w:rPr>
        <w:t xml:space="preserve">ס </w:t>
      </w:r>
      <w:r>
        <w:rPr>
          <w:rFonts w:hint="cs"/>
          <w:rtl/>
        </w:rPr>
        <w:t xml:space="preserve">דלא דמי להא דפסק </w:t>
      </w:r>
      <w:r w:rsidRPr="00405F77">
        <w:rPr>
          <w:rStyle w:val="af9"/>
          <w:rFonts w:hint="cs"/>
          <w:rtl/>
        </w:rPr>
        <w:t>השו"ע</w:t>
      </w:r>
      <w:r w:rsidRPr="00EF5D48">
        <w:rPr>
          <w:rStyle w:val="af7"/>
          <w:rFonts w:eastAsia="Guttman Hodes" w:hint="cs"/>
          <w:rtl/>
        </w:rPr>
        <w:t xml:space="preserve"> (עי' אות </w:t>
      </w:r>
      <w:r w:rsidRPr="00EF5D48">
        <w:rPr>
          <w:rStyle w:val="af7"/>
          <w:rFonts w:eastAsia="Guttman Hodes"/>
          <w:rtl/>
        </w:rPr>
        <w:fldChar w:fldCharType="begin"/>
      </w:r>
      <w:r w:rsidRPr="00EF5D48">
        <w:rPr>
          <w:rStyle w:val="af7"/>
          <w:rFonts w:eastAsia="Guttman Hodes"/>
          <w:rtl/>
        </w:rPr>
        <w:instrText xml:space="preserve"> </w:instrText>
      </w:r>
      <w:r w:rsidRPr="00EF5D48">
        <w:rPr>
          <w:rStyle w:val="af7"/>
          <w:rFonts w:eastAsia="Guttman Hodes" w:hint="cs"/>
        </w:rPr>
        <w:instrText>REF</w:instrText>
      </w:r>
      <w:r w:rsidRPr="00EF5D48">
        <w:rPr>
          <w:rStyle w:val="af7"/>
          <w:rFonts w:eastAsia="Guttman Hodes" w:hint="cs"/>
          <w:rtl/>
        </w:rPr>
        <w:instrText xml:space="preserve"> _</w:instrText>
      </w:r>
      <w:r w:rsidRPr="00EF5D48">
        <w:rPr>
          <w:rStyle w:val="af7"/>
          <w:rFonts w:eastAsia="Guttman Hodes" w:hint="cs"/>
        </w:rPr>
        <w:instrText>Ref66055373 \r \h</w:instrText>
      </w:r>
      <w:r w:rsidRPr="00EF5D48">
        <w:rPr>
          <w:rStyle w:val="af7"/>
          <w:rFonts w:eastAsia="Guttman Hodes"/>
          <w:rtl/>
        </w:rPr>
        <w:instrText xml:space="preserve"> </w:instrText>
      </w:r>
      <w:r w:rsidRPr="00EF5D48">
        <w:rPr>
          <w:rStyle w:val="af7"/>
          <w:rFonts w:eastAsia="Guttman Hodes"/>
          <w:rtl/>
        </w:rPr>
      </w:r>
      <w:r w:rsidRPr="00EF5D48">
        <w:rPr>
          <w:rStyle w:val="af7"/>
          <w:rFonts w:eastAsia="Guttman Hodes"/>
          <w:rtl/>
        </w:rPr>
        <w:fldChar w:fldCharType="separate"/>
      </w:r>
      <w:r w:rsidR="00265073">
        <w:rPr>
          <w:rStyle w:val="af7"/>
          <w:rFonts w:eastAsia="Guttman Hodes"/>
          <w:cs/>
        </w:rPr>
        <w:t>‎</w:t>
      </w:r>
      <w:r w:rsidR="00265073">
        <w:rPr>
          <w:rStyle w:val="af7"/>
          <w:rFonts w:eastAsia="Guttman Hodes"/>
          <w:rtl/>
        </w:rPr>
        <w:t>סא)</w:t>
      </w:r>
      <w:r w:rsidRPr="00EF5D48">
        <w:rPr>
          <w:rStyle w:val="af7"/>
          <w:rFonts w:eastAsia="Guttman Hodes"/>
          <w:rtl/>
        </w:rPr>
        <w:fldChar w:fldCharType="end"/>
      </w:r>
      <w:r>
        <w:rPr>
          <w:rFonts w:hint="cs"/>
          <w:rtl/>
        </w:rPr>
        <w:t xml:space="preserve"> דאין הלוה נאמן לטעון על חפץ שבידו שאינו שלו, אף כשיש לו מיגו, כיון דאף עכשיו החפץ נמצא ביד הלוה, וא"כ החזקה היא שהחפץ של הלוה, והוי מיגו כנגד חזקה ולכן אינו נאמן, אבל בנסכא דר"א שהחפץ עכשיו ביד החוטף, א"כ החזקה היא שהחפץ של החוטף, ואין המיגו נגד החזקה, ולכן הוא נאמן, </w:t>
      </w:r>
      <w:r w:rsidRPr="007438BA">
        <w:rPr>
          <w:rStyle w:val="afb"/>
          <w:rFonts w:hint="cs"/>
          <w:rtl/>
        </w:rPr>
        <w:t xml:space="preserve">[וכעי"ז כתב </w:t>
      </w:r>
      <w:r w:rsidRPr="007438BA">
        <w:rPr>
          <w:rStyle w:val="affa"/>
          <w:rFonts w:hint="cs"/>
          <w:rtl/>
        </w:rPr>
        <w:t>בחי' הרי"ם</w:t>
      </w:r>
      <w:r w:rsidRPr="007438BA">
        <w:rPr>
          <w:rStyle w:val="afb"/>
          <w:rFonts w:hint="cs"/>
          <w:rtl/>
        </w:rPr>
        <w:t xml:space="preserve"> </w:t>
      </w:r>
      <w:r w:rsidRPr="007438BA">
        <w:rPr>
          <w:rStyle w:val="aff6"/>
          <w:rFonts w:hint="cs"/>
          <w:rtl/>
        </w:rPr>
        <w:t xml:space="preserve">(עי' אות </w:t>
      </w:r>
      <w:r w:rsidRPr="007438BA">
        <w:rPr>
          <w:rStyle w:val="aff6"/>
          <w:rtl/>
        </w:rPr>
        <w:fldChar w:fldCharType="begin"/>
      </w:r>
      <w:r w:rsidRPr="007438BA">
        <w:rPr>
          <w:rStyle w:val="aff6"/>
          <w:rtl/>
        </w:rPr>
        <w:instrText xml:space="preserve"> </w:instrText>
      </w:r>
      <w:r w:rsidRPr="007438BA">
        <w:rPr>
          <w:rStyle w:val="aff6"/>
          <w:rFonts w:hint="cs"/>
        </w:rPr>
        <w:instrText>REF</w:instrText>
      </w:r>
      <w:r w:rsidRPr="007438BA">
        <w:rPr>
          <w:rStyle w:val="aff6"/>
          <w:rFonts w:hint="cs"/>
          <w:rtl/>
        </w:rPr>
        <w:instrText xml:space="preserve"> _</w:instrText>
      </w:r>
      <w:r w:rsidRPr="007438BA">
        <w:rPr>
          <w:rStyle w:val="aff6"/>
          <w:rFonts w:hint="cs"/>
        </w:rPr>
        <w:instrText>Ref66116161 \r \h</w:instrText>
      </w:r>
      <w:r w:rsidRPr="007438BA">
        <w:rPr>
          <w:rStyle w:val="aff6"/>
          <w:rtl/>
        </w:rPr>
        <w:instrText xml:space="preserve"> </w:instrText>
      </w:r>
      <w:r w:rsidRPr="007438BA">
        <w:rPr>
          <w:rStyle w:val="aff6"/>
          <w:rtl/>
        </w:rPr>
      </w:r>
      <w:r w:rsidRPr="007438BA">
        <w:rPr>
          <w:rStyle w:val="aff6"/>
          <w:rtl/>
        </w:rPr>
        <w:fldChar w:fldCharType="separate"/>
      </w:r>
      <w:r w:rsidR="00265073">
        <w:rPr>
          <w:rStyle w:val="aff6"/>
          <w:cs/>
        </w:rPr>
        <w:t>‎</w:t>
      </w:r>
      <w:r w:rsidR="00265073">
        <w:rPr>
          <w:rStyle w:val="aff6"/>
          <w:rtl/>
        </w:rPr>
        <w:t>נג)</w:t>
      </w:r>
      <w:r w:rsidRPr="007438BA">
        <w:rPr>
          <w:rStyle w:val="aff6"/>
          <w:rtl/>
        </w:rPr>
        <w:fldChar w:fldCharType="end"/>
      </w:r>
      <w:r w:rsidRPr="007438BA">
        <w:rPr>
          <w:rStyle w:val="afb"/>
          <w:rFonts w:hint="cs"/>
          <w:rtl/>
        </w:rPr>
        <w:t xml:space="preserve"> דהוא מיגו נגד חזקה],</w:t>
      </w:r>
      <w:r>
        <w:rPr>
          <w:rFonts w:hint="cs"/>
          <w:rtl/>
        </w:rPr>
        <w:t xml:space="preserve"> ועי' בדברי </w:t>
      </w:r>
      <w:r>
        <w:rPr>
          <w:rStyle w:val="af9"/>
          <w:rFonts w:hint="cs"/>
          <w:rtl/>
        </w:rPr>
        <w:t>ה</w:t>
      </w:r>
      <w:r w:rsidRPr="00F3578D">
        <w:rPr>
          <w:rStyle w:val="af9"/>
          <w:rFonts w:hint="cs"/>
          <w:rtl/>
        </w:rPr>
        <w:t>אבהא"ז</w:t>
      </w:r>
      <w:r w:rsidRPr="009C2396">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Ref66186718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ע)</w:t>
      </w:r>
      <w:r>
        <w:rPr>
          <w:rStyle w:val="af7"/>
          <w:rFonts w:eastAsia="Guttman Hodes"/>
          <w:rtl/>
        </w:rPr>
        <w:fldChar w:fldCharType="end"/>
      </w:r>
      <w:r>
        <w:rPr>
          <w:rStyle w:val="af7"/>
          <w:rFonts w:eastAsia="Guttman Hodes" w:hint="cs"/>
          <w:rtl/>
        </w:rPr>
        <w:t xml:space="preserve"> </w:t>
      </w:r>
      <w:r>
        <w:rPr>
          <w:rFonts w:hint="cs"/>
          <w:rtl/>
        </w:rPr>
        <w:t>ובמה שביאר</w:t>
      </w:r>
      <w:r>
        <w:rPr>
          <w:rStyle w:val="af9"/>
          <w:rFonts w:hint="cs"/>
          <w:rtl/>
        </w:rPr>
        <w:t xml:space="preserve"> </w:t>
      </w:r>
      <w:r w:rsidRPr="00AF0A0B">
        <w:rPr>
          <w:rStyle w:val="af9"/>
          <w:rFonts w:hint="cs"/>
          <w:rtl/>
        </w:rPr>
        <w:t>בחי' רבי נחום</w:t>
      </w:r>
      <w:r>
        <w:rPr>
          <w:rFonts w:hint="cs"/>
          <w:rtl/>
        </w:rPr>
        <w:t xml:space="preserve"> </w:t>
      </w:r>
      <w:r w:rsidRPr="00654918">
        <w:rPr>
          <w:rStyle w:val="af7"/>
          <w:rFonts w:eastAsia="Guttman Hodes" w:hint="cs"/>
          <w:rtl/>
        </w:rPr>
        <w:t>(עי' הערה</w:t>
      </w:r>
      <w:bookmarkStart w:id="18161" w:name="_Ref66185667"/>
      <w:r>
        <w:rPr>
          <w:rStyle w:val="af1"/>
          <w:rtl/>
        </w:rPr>
        <w:footnoteReference w:id="125"/>
      </w:r>
      <w:bookmarkEnd w:id="18161"/>
      <w:r w:rsidRPr="00654918">
        <w:rPr>
          <w:rStyle w:val="af7"/>
          <w:rFonts w:eastAsia="Guttman Hodes" w:hint="cs"/>
          <w:rtl/>
        </w:rPr>
        <w:t>)</w:t>
      </w:r>
      <w:r>
        <w:rPr>
          <w:rFonts w:hint="cs"/>
          <w:rtl/>
        </w:rPr>
        <w:t xml:space="preserve"> את דברי </w:t>
      </w:r>
      <w:r w:rsidRPr="00FB0465">
        <w:rPr>
          <w:rStyle w:val="af9"/>
          <w:rFonts w:hint="cs"/>
          <w:rtl/>
        </w:rPr>
        <w:t>הגר"ח</w:t>
      </w:r>
      <w:r>
        <w:rPr>
          <w:rFonts w:hint="cs"/>
          <w:rtl/>
        </w:rPr>
        <w:t xml:space="preserve">. </w:t>
      </w:r>
      <w:r w:rsidRPr="00B44060">
        <w:rPr>
          <w:rStyle w:val="afb"/>
          <w:rFonts w:hint="cs"/>
          <w:rtl/>
        </w:rPr>
        <w:t xml:space="preserve">[ועי' במ"ש </w:t>
      </w:r>
      <w:r w:rsidRPr="00B44060">
        <w:rPr>
          <w:rStyle w:val="affa"/>
          <w:rFonts w:hint="cs"/>
          <w:rtl/>
        </w:rPr>
        <w:t>המ"מ</w:t>
      </w:r>
      <w:r w:rsidRPr="00B44060">
        <w:rPr>
          <w:rStyle w:val="afb"/>
          <w:rFonts w:hint="cs"/>
          <w:rtl/>
        </w:rPr>
        <w:t xml:space="preserve"> </w:t>
      </w:r>
      <w:r w:rsidRPr="00B44060">
        <w:rPr>
          <w:rStyle w:val="aff6"/>
          <w:rFonts w:hint="cs"/>
          <w:rtl/>
        </w:rPr>
        <w:t xml:space="preserve">(עי' אות </w:t>
      </w:r>
      <w:r w:rsidRPr="00B44060">
        <w:rPr>
          <w:rStyle w:val="aff6"/>
          <w:rtl/>
        </w:rPr>
        <w:fldChar w:fldCharType="begin"/>
      </w:r>
      <w:r w:rsidRPr="00B44060">
        <w:rPr>
          <w:rStyle w:val="aff6"/>
          <w:rtl/>
        </w:rPr>
        <w:instrText xml:space="preserve"> </w:instrText>
      </w:r>
      <w:r w:rsidRPr="00B44060">
        <w:rPr>
          <w:rStyle w:val="aff6"/>
          <w:rFonts w:hint="cs"/>
        </w:rPr>
        <w:instrText>REF</w:instrText>
      </w:r>
      <w:r w:rsidRPr="00B44060">
        <w:rPr>
          <w:rStyle w:val="aff6"/>
          <w:rFonts w:hint="cs"/>
          <w:rtl/>
        </w:rPr>
        <w:instrText xml:space="preserve"> _</w:instrText>
      </w:r>
      <w:r w:rsidRPr="00B44060">
        <w:rPr>
          <w:rStyle w:val="aff6"/>
          <w:rFonts w:hint="cs"/>
        </w:rPr>
        <w:instrText>Ref66184949 \r \h</w:instrText>
      </w:r>
      <w:r w:rsidRPr="00B44060">
        <w:rPr>
          <w:rStyle w:val="aff6"/>
          <w:rtl/>
        </w:rPr>
        <w:instrText xml:space="preserve"> </w:instrText>
      </w:r>
      <w:r w:rsidRPr="00B44060">
        <w:rPr>
          <w:rStyle w:val="aff6"/>
          <w:rtl/>
        </w:rPr>
      </w:r>
      <w:r w:rsidRPr="00B44060">
        <w:rPr>
          <w:rStyle w:val="aff6"/>
          <w:rtl/>
        </w:rPr>
        <w:fldChar w:fldCharType="separate"/>
      </w:r>
      <w:r w:rsidR="00265073">
        <w:rPr>
          <w:rStyle w:val="aff6"/>
          <w:cs/>
        </w:rPr>
        <w:t>‎</w:t>
      </w:r>
      <w:r w:rsidR="00265073">
        <w:rPr>
          <w:rStyle w:val="aff6"/>
          <w:rtl/>
        </w:rPr>
        <w:t>ס)</w:t>
      </w:r>
      <w:r w:rsidRPr="00B44060">
        <w:rPr>
          <w:rStyle w:val="aff6"/>
          <w:rtl/>
        </w:rPr>
        <w:fldChar w:fldCharType="end"/>
      </w:r>
      <w:r>
        <w:rPr>
          <w:rFonts w:hint="cs"/>
          <w:rtl/>
        </w:rPr>
        <w:t xml:space="preserve"> </w:t>
      </w:r>
      <w:r w:rsidRPr="00B44060">
        <w:rPr>
          <w:rStyle w:val="afb"/>
          <w:rFonts w:hint="cs"/>
          <w:rtl/>
        </w:rPr>
        <w:t xml:space="preserve">בשם </w:t>
      </w:r>
      <w:r w:rsidRPr="00B44060">
        <w:rPr>
          <w:rStyle w:val="affa"/>
          <w:rFonts w:hint="cs"/>
          <w:rtl/>
        </w:rPr>
        <w:t>הרמב"ן</w:t>
      </w:r>
      <w:r w:rsidRPr="00B44060">
        <w:rPr>
          <w:rStyle w:val="afb"/>
          <w:rFonts w:hint="cs"/>
          <w:rtl/>
        </w:rPr>
        <w:t xml:space="preserve"> </w:t>
      </w:r>
      <w:r>
        <w:rPr>
          <w:rStyle w:val="afb"/>
          <w:rFonts w:hint="cs"/>
          <w:rtl/>
        </w:rPr>
        <w:t>דברוצה להבריח מבע</w:t>
      </w:r>
      <w:r>
        <w:rPr>
          <w:rStyle w:val="afb"/>
          <w:rtl/>
        </w:rPr>
        <w:t>"</w:t>
      </w:r>
      <w:r>
        <w:rPr>
          <w:rStyle w:val="afb"/>
          <w:rFonts w:hint="cs"/>
          <w:rtl/>
        </w:rPr>
        <w:t>ח, ל</w:t>
      </w:r>
      <w:r>
        <w:rPr>
          <w:rStyle w:val="afb"/>
          <w:rtl/>
        </w:rPr>
        <w:t>"</w:t>
      </w:r>
      <w:r>
        <w:rPr>
          <w:rStyle w:val="afb"/>
          <w:rFonts w:hint="cs"/>
          <w:rtl/>
        </w:rPr>
        <w:t>מ מיגו כנגד חזקה דמה שתח</w:t>
      </w:r>
      <w:r>
        <w:rPr>
          <w:rStyle w:val="afb"/>
          <w:rtl/>
        </w:rPr>
        <w:t>"</w:t>
      </w:r>
      <w:r>
        <w:rPr>
          <w:rStyle w:val="afb"/>
          <w:rFonts w:hint="cs"/>
          <w:rtl/>
        </w:rPr>
        <w:t>י שלו, דחיישינן לקנוניא</w:t>
      </w:r>
      <w:r w:rsidRPr="00B44060">
        <w:rPr>
          <w:rStyle w:val="afb"/>
          <w:rFonts w:hint="cs"/>
          <w:rtl/>
        </w:rPr>
        <w:t>].</w:t>
      </w:r>
      <w:bookmarkEnd w:id="18160"/>
    </w:p>
    <w:p w:rsidR="00E824D3" w:rsidRPr="002A6192" w:rsidRDefault="00E824D3" w:rsidP="00E824D3">
      <w:pPr>
        <w:pStyle w:val="a3"/>
        <w:rPr>
          <w:rtl/>
        </w:rPr>
      </w:pPr>
      <w:bookmarkStart w:id="18162" w:name="_Toc66123393"/>
      <w:bookmarkStart w:id="18163" w:name="_Toc66143841"/>
      <w:bookmarkStart w:id="18164" w:name="_Toc66172004"/>
      <w:bookmarkStart w:id="18165" w:name="_Toc66183244"/>
      <w:bookmarkStart w:id="18166" w:name="_Toc66186027"/>
      <w:bookmarkStart w:id="18167" w:name="_Toc66193487"/>
      <w:r>
        <w:rPr>
          <w:rFonts w:hint="cs"/>
          <w:rtl/>
        </w:rPr>
        <w:t>דברי הגר"ח דלולי המיגו פלגינן דיבורא ונאמן בהודאתו שחטף ואינו נאמן בטענת דידי חטפי</w:t>
      </w:r>
      <w:bookmarkEnd w:id="18162"/>
      <w:bookmarkEnd w:id="18163"/>
      <w:bookmarkEnd w:id="18164"/>
      <w:bookmarkEnd w:id="18165"/>
      <w:bookmarkEnd w:id="18166"/>
      <w:bookmarkEnd w:id="18167"/>
    </w:p>
    <w:p w:rsidR="00E824D3" w:rsidRDefault="00E824D3" w:rsidP="007E4E81">
      <w:pPr>
        <w:pStyle w:val="a0"/>
        <w:rPr>
          <w:rtl/>
        </w:rPr>
      </w:pPr>
      <w:r>
        <w:rPr>
          <w:rFonts w:hint="cs"/>
          <w:rtl/>
        </w:rPr>
        <w:t xml:space="preserve">אך כתב </w:t>
      </w:r>
      <w:r w:rsidRPr="00B37A3F">
        <w:rPr>
          <w:rStyle w:val="af9"/>
          <w:rFonts w:hint="cs"/>
          <w:rtl/>
        </w:rPr>
        <w:t xml:space="preserve">בחי' הגר"ח </w:t>
      </w:r>
      <w:r>
        <w:rPr>
          <w:rStyle w:val="af9"/>
          <w:rFonts w:hint="cs"/>
          <w:rtl/>
        </w:rPr>
        <w:t>על הש</w:t>
      </w:r>
      <w:r>
        <w:rPr>
          <w:rStyle w:val="af9"/>
          <w:rtl/>
        </w:rPr>
        <w:t>"</w:t>
      </w:r>
      <w:r>
        <w:rPr>
          <w:rStyle w:val="af9"/>
          <w:rFonts w:hint="cs"/>
          <w:rtl/>
        </w:rPr>
        <w:t xml:space="preserve">ס </w:t>
      </w:r>
      <w:r>
        <w:rPr>
          <w:rFonts w:hint="cs"/>
          <w:rtl/>
        </w:rPr>
        <w:t xml:space="preserve">דאעפ"י שאין עדים שחטף, ולהודאתו אי"ז מעשה חטיפה כלל, מ"מ לולי המיגו דלא חטפי לא היה נאמן, דאמרינן פלגינן דיבורא והיה נאמן במה שהודה שחטף, ולא היה נאמן בטענת דידי חטפי, </w:t>
      </w:r>
      <w:r w:rsidRPr="00CF2042">
        <w:rPr>
          <w:rStyle w:val="afb"/>
          <w:rFonts w:hint="cs"/>
          <w:rtl/>
        </w:rPr>
        <w:t>[וכל שנאמן על החטיפה לבדה, אין לו חזקה],</w:t>
      </w:r>
      <w:r>
        <w:rPr>
          <w:rFonts w:hint="cs"/>
          <w:rtl/>
        </w:rPr>
        <w:t xml:space="preserve"> אבל כיון שיש לו מיגו נאמן על כל דיבורו, וא"כ חשיב שלא הודה על החטיפה כלל, ונאמן לומר דידי חטפי.</w:t>
      </w:r>
    </w:p>
    <w:p w:rsidR="00E824D3" w:rsidRPr="00D173C0" w:rsidRDefault="00E824D3" w:rsidP="00E824D3">
      <w:pPr>
        <w:pStyle w:val="1"/>
        <w:rPr>
          <w:rtl/>
        </w:rPr>
      </w:pPr>
      <w:bookmarkStart w:id="18168" w:name="_Toc66123394"/>
      <w:bookmarkStart w:id="18169" w:name="_Toc66143842"/>
      <w:bookmarkStart w:id="18170" w:name="_Toc66172005"/>
      <w:bookmarkStart w:id="18171" w:name="_Toc66183245"/>
      <w:bookmarkStart w:id="18172" w:name="_Toc66186028"/>
      <w:bookmarkStart w:id="18173" w:name="_Toc66193488"/>
      <w:r>
        <w:rPr>
          <w:rFonts w:hint="cs"/>
          <w:rtl/>
        </w:rPr>
        <w:t>תי' הגר"ח על קו' התוס' דהכא המיגו נגד חזקה ול"ד לגמ' לקמן</w:t>
      </w:r>
      <w:bookmarkEnd w:id="18168"/>
      <w:bookmarkEnd w:id="18169"/>
      <w:bookmarkEnd w:id="18170"/>
      <w:bookmarkEnd w:id="18171"/>
      <w:bookmarkEnd w:id="18172"/>
      <w:bookmarkEnd w:id="18173"/>
    </w:p>
    <w:p w:rsidR="00E824D3" w:rsidRDefault="00E824D3" w:rsidP="00E824D3">
      <w:pPr>
        <w:pStyle w:val="a3"/>
        <w:rPr>
          <w:rtl/>
        </w:rPr>
      </w:pPr>
      <w:bookmarkStart w:id="18174" w:name="_Toc66123395"/>
      <w:bookmarkStart w:id="18175" w:name="_Toc66143843"/>
      <w:bookmarkStart w:id="18176" w:name="_Toc66172006"/>
      <w:bookmarkStart w:id="18177" w:name="_Toc66183246"/>
      <w:bookmarkStart w:id="18178" w:name="_Toc66186029"/>
      <w:bookmarkStart w:id="18179" w:name="_Toc66193489"/>
      <w:r>
        <w:rPr>
          <w:rFonts w:hint="cs"/>
          <w:rtl/>
        </w:rPr>
        <w:t>ביאור הגר"ח דבהחזרתי במיגו דנאנסו נאמן דבידו להשבע אעפ"י שעדיין אין נאמנות דשבועה</w:t>
      </w:r>
      <w:bookmarkEnd w:id="18174"/>
      <w:bookmarkEnd w:id="18175"/>
      <w:bookmarkEnd w:id="18176"/>
      <w:bookmarkEnd w:id="18177"/>
      <w:bookmarkEnd w:id="18178"/>
      <w:bookmarkEnd w:id="18179"/>
    </w:p>
    <w:p w:rsidR="00E824D3" w:rsidRDefault="00E824D3" w:rsidP="007E4E81">
      <w:pPr>
        <w:pStyle w:val="a0"/>
        <w:rPr>
          <w:rtl/>
        </w:rPr>
      </w:pPr>
      <w:bookmarkStart w:id="18180" w:name="_Ref66178783"/>
      <w:r>
        <w:rPr>
          <w:rFonts w:hint="cs"/>
          <w:rtl/>
        </w:rPr>
        <w:t xml:space="preserve">ובמ"ש </w:t>
      </w:r>
      <w:r w:rsidRPr="007F041A">
        <w:rPr>
          <w:rStyle w:val="af9"/>
          <w:rFonts w:hint="cs"/>
          <w:rtl/>
        </w:rPr>
        <w:t xml:space="preserve">התוס' </w:t>
      </w:r>
      <w:r w:rsidRPr="008C0833">
        <w:rPr>
          <w:rStyle w:val="af7"/>
          <w:rFonts w:eastAsia="Guttman Hodes" w:hint="cs"/>
          <w:rtl/>
        </w:rPr>
        <w:t xml:space="preserve">(עי' אות </w:t>
      </w:r>
      <w:r w:rsidRPr="008C0833">
        <w:rPr>
          <w:rStyle w:val="af7"/>
          <w:rFonts w:eastAsia="Guttman Hodes"/>
          <w:rtl/>
        </w:rPr>
        <w:fldChar w:fldCharType="begin"/>
      </w:r>
      <w:r w:rsidRPr="008C0833">
        <w:rPr>
          <w:rStyle w:val="af7"/>
          <w:rFonts w:eastAsia="Guttman Hodes"/>
          <w:rtl/>
        </w:rPr>
        <w:instrText xml:space="preserve"> </w:instrText>
      </w:r>
      <w:r w:rsidRPr="008C0833">
        <w:rPr>
          <w:rStyle w:val="af7"/>
          <w:rFonts w:eastAsia="Guttman Hodes" w:hint="cs"/>
        </w:rPr>
        <w:instrText>REF</w:instrText>
      </w:r>
      <w:r w:rsidRPr="008C0833">
        <w:rPr>
          <w:rStyle w:val="af7"/>
          <w:rFonts w:eastAsia="Guttman Hodes" w:hint="cs"/>
          <w:rtl/>
        </w:rPr>
        <w:instrText xml:space="preserve"> _</w:instrText>
      </w:r>
      <w:r w:rsidRPr="008C0833">
        <w:rPr>
          <w:rStyle w:val="af7"/>
          <w:rFonts w:eastAsia="Guttman Hodes" w:hint="cs"/>
        </w:rPr>
        <w:instrText>Ref64910949 \r \h</w:instrText>
      </w:r>
      <w:r w:rsidRPr="008C0833">
        <w:rPr>
          <w:rStyle w:val="af7"/>
          <w:rFonts w:eastAsia="Guttman Hodes"/>
          <w:rtl/>
        </w:rPr>
        <w:instrText xml:space="preserve"> </w:instrText>
      </w:r>
      <w:r w:rsidRPr="008C0833">
        <w:rPr>
          <w:rStyle w:val="af7"/>
          <w:rFonts w:eastAsia="Guttman Hodes"/>
          <w:rtl/>
        </w:rPr>
      </w:r>
      <w:r w:rsidRPr="008C0833">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8C0833">
        <w:rPr>
          <w:rStyle w:val="af7"/>
          <w:rFonts w:eastAsia="Guttman Hodes"/>
          <w:rtl/>
        </w:rPr>
        <w:fldChar w:fldCharType="end"/>
      </w:r>
      <w:r>
        <w:rPr>
          <w:rFonts w:hint="cs"/>
          <w:rtl/>
        </w:rPr>
        <w:t xml:space="preserve"> דמוכח מהגמ' לקמן דאף שהוא מחוייב שבועה מהני מיגו, מהא דנאמן בשבועה בטענת החזרתי במיגו דהיה נשבע בטענת נאנסו, הקשה</w:t>
      </w:r>
      <w:r w:rsidRPr="00B1416C">
        <w:rPr>
          <w:rStyle w:val="af9"/>
          <w:rFonts w:hint="cs"/>
          <w:rtl/>
        </w:rPr>
        <w:t xml:space="preserve"> </w:t>
      </w:r>
      <w:r w:rsidRPr="00B37A3F">
        <w:rPr>
          <w:rStyle w:val="af9"/>
          <w:rFonts w:hint="cs"/>
          <w:rtl/>
        </w:rPr>
        <w:t xml:space="preserve">בחי' הגר"ח </w:t>
      </w:r>
      <w:r>
        <w:rPr>
          <w:rStyle w:val="af9"/>
          <w:rFonts w:hint="cs"/>
          <w:rtl/>
        </w:rPr>
        <w:t>על הש</w:t>
      </w:r>
      <w:r>
        <w:rPr>
          <w:rStyle w:val="af9"/>
          <w:rtl/>
        </w:rPr>
        <w:t>"</w:t>
      </w:r>
      <w:r>
        <w:rPr>
          <w:rStyle w:val="af9"/>
          <w:rFonts w:hint="cs"/>
          <w:rtl/>
        </w:rPr>
        <w:t xml:space="preserve">ס </w:t>
      </w:r>
      <w:r w:rsidRPr="00B37A3F">
        <w:rPr>
          <w:rStyle w:val="af7"/>
          <w:rFonts w:eastAsia="Guttman Hodes" w:hint="cs"/>
          <w:rtl/>
        </w:rPr>
        <w:t>(ד"ה</w:t>
      </w:r>
      <w:r>
        <w:rPr>
          <w:rStyle w:val="af7"/>
          <w:rFonts w:eastAsia="Guttman Hodes" w:hint="cs"/>
          <w:rtl/>
        </w:rPr>
        <w:t xml:space="preserve"> והנה בהא)</w:t>
      </w:r>
      <w:r>
        <w:rPr>
          <w:rFonts w:hint="cs"/>
          <w:rtl/>
        </w:rPr>
        <w:t xml:space="preserve"> דהא כיון דקיי"ל בגמ' בשבועות </w:t>
      </w:r>
      <w:r w:rsidRPr="007F041A">
        <w:rPr>
          <w:rStyle w:val="af7"/>
          <w:rFonts w:eastAsia="Guttman Hodes" w:hint="cs"/>
          <w:rtl/>
        </w:rPr>
        <w:t xml:space="preserve">(מז.) </w:t>
      </w:r>
      <w:r>
        <w:rPr>
          <w:rFonts w:hint="cs"/>
          <w:rtl/>
        </w:rPr>
        <w:t xml:space="preserve">דבחמשין ידענא וחמשין לא ידענא, אמרינן מתוך שאינו יכול לישבע משלם, א"כ כל שלא נשבע על טענת נאנסה, החפץ הוא בחזקת שלא נאנס, וא"כ קשה האיך הוא נאמן בטענת החזרתי במיגו דנאנסו, והא כיון שלא נשבע על טענת נאנסו, אינו נאמן בטענה זו, וכתב </w:t>
      </w:r>
      <w:r w:rsidRPr="001D73C2">
        <w:rPr>
          <w:rStyle w:val="af9"/>
          <w:rFonts w:hint="cs"/>
          <w:rtl/>
        </w:rPr>
        <w:t>הגר"ח</w:t>
      </w:r>
      <w:r>
        <w:rPr>
          <w:rFonts w:hint="cs"/>
          <w:rtl/>
        </w:rPr>
        <w:t xml:space="preserve"> דמוכח בגמ' לקמן דאעפ"י שעכשיו אינו נאמן על טענת נאנסו, מ"מ כיון שבידו להיות נאמן בנאנסו ע"י שיטען נאנסו וישבע, וכיון שבידו להיות נאמן בזה, א"כ אף עכשיו יש לו מיגו.</w:t>
      </w:r>
      <w:bookmarkEnd w:id="18180"/>
    </w:p>
    <w:p w:rsidR="00E824D3" w:rsidRPr="00346E6C" w:rsidRDefault="00E824D3" w:rsidP="00E824D3">
      <w:pPr>
        <w:pStyle w:val="a3"/>
        <w:rPr>
          <w:rtl/>
        </w:rPr>
      </w:pPr>
      <w:bookmarkStart w:id="18181" w:name="_Toc66123396"/>
      <w:bookmarkStart w:id="18182" w:name="_Toc66143844"/>
      <w:bookmarkStart w:id="18183" w:name="_Toc66172007"/>
      <w:bookmarkStart w:id="18184" w:name="_Toc66183247"/>
      <w:bookmarkStart w:id="18185" w:name="_Toc66186030"/>
      <w:bookmarkStart w:id="18186" w:name="_Toc66193490"/>
      <w:r>
        <w:rPr>
          <w:rFonts w:hint="cs"/>
          <w:rtl/>
        </w:rPr>
        <w:t>דברי הגר"ח דלפי"ז קשה דאף הכא יהיה נאמן במיגו דבידו להשבע בטענת לא חטפי</w:t>
      </w:r>
      <w:bookmarkEnd w:id="18181"/>
      <w:bookmarkEnd w:id="18182"/>
      <w:bookmarkEnd w:id="18183"/>
      <w:bookmarkEnd w:id="18184"/>
      <w:bookmarkEnd w:id="18185"/>
      <w:bookmarkEnd w:id="18186"/>
    </w:p>
    <w:p w:rsidR="00E824D3" w:rsidRDefault="00E824D3" w:rsidP="007E4E81">
      <w:pPr>
        <w:pStyle w:val="a0"/>
        <w:rPr>
          <w:rtl/>
        </w:rPr>
      </w:pPr>
      <w:r>
        <w:rPr>
          <w:rFonts w:hint="cs"/>
          <w:rtl/>
        </w:rPr>
        <w:t xml:space="preserve">וכתב </w:t>
      </w:r>
      <w:r w:rsidRPr="00B37A3F">
        <w:rPr>
          <w:rStyle w:val="af9"/>
          <w:rFonts w:hint="cs"/>
          <w:rtl/>
        </w:rPr>
        <w:t xml:space="preserve">בחי' הגר"ח </w:t>
      </w:r>
      <w:r>
        <w:rPr>
          <w:rStyle w:val="af9"/>
          <w:rFonts w:hint="cs"/>
          <w:rtl/>
        </w:rPr>
        <w:t>על הש</w:t>
      </w:r>
      <w:r>
        <w:rPr>
          <w:rStyle w:val="af9"/>
          <w:rtl/>
        </w:rPr>
        <w:t>"</w:t>
      </w:r>
      <w:r>
        <w:rPr>
          <w:rStyle w:val="af9"/>
          <w:rFonts w:hint="cs"/>
          <w:rtl/>
        </w:rPr>
        <w:t xml:space="preserve">ס </w:t>
      </w:r>
      <w:r>
        <w:rPr>
          <w:rFonts w:hint="cs"/>
          <w:rtl/>
        </w:rPr>
        <w:t xml:space="preserve">דלפי"ז מה שאפשר להוכיח מהגמ' לקמן דמהני מיגו בטענה שנאמן בה בשבועה, היינו דאעפ"י שעדיין לא נשבע על טענת המיגו, מ"מ מוכח בגמ' לקמן דכל שבידו להיות נאמן יש לו מיגו, וא"כ ה"ה בסוגיין בטוען דידי חטפי, דיש לו מיגו שהיה טוען לא חטפי, והיה נשבע להכחיש את העד, והיה נאמן בזה, </w:t>
      </w:r>
      <w:r>
        <w:rPr>
          <w:rFonts w:hint="cs"/>
          <w:rtl/>
        </w:rPr>
        <w:lastRenderedPageBreak/>
        <w:t>דאעפ"י שעכשיו אינו נאמן בטענת לא חטפי כיון שעדיין לא נשבע, מ"מ כיון שבידו להיות נאמן בזה, מהני לו מיגו כבר עכשיו.</w:t>
      </w:r>
    </w:p>
    <w:p w:rsidR="00E824D3" w:rsidRPr="000274BA" w:rsidRDefault="00E824D3" w:rsidP="00E824D3">
      <w:pPr>
        <w:pStyle w:val="a3"/>
        <w:rPr>
          <w:rtl/>
        </w:rPr>
      </w:pPr>
      <w:bookmarkStart w:id="18187" w:name="_Toc66123397"/>
      <w:bookmarkStart w:id="18188" w:name="_Toc66143845"/>
      <w:bookmarkStart w:id="18189" w:name="_Toc66172008"/>
      <w:bookmarkStart w:id="18190" w:name="_Toc66183248"/>
      <w:bookmarkStart w:id="18191" w:name="_Toc66186031"/>
      <w:bookmarkStart w:id="18192" w:name="_Toc66193491"/>
      <w:r>
        <w:rPr>
          <w:rFonts w:hint="cs"/>
          <w:rtl/>
        </w:rPr>
        <w:t>תי' הגר"ח על קו' התוס' דטענת דידי חטפי היא טענה גרועה כשיש ע"א ול"מ מיגו דבידו לישבע</w:t>
      </w:r>
      <w:bookmarkEnd w:id="18187"/>
      <w:bookmarkEnd w:id="18188"/>
      <w:bookmarkEnd w:id="18189"/>
      <w:bookmarkEnd w:id="18190"/>
      <w:bookmarkEnd w:id="18191"/>
      <w:bookmarkEnd w:id="18192"/>
    </w:p>
    <w:p w:rsidR="00E824D3" w:rsidRDefault="00E824D3" w:rsidP="007E4E81">
      <w:pPr>
        <w:pStyle w:val="a0"/>
        <w:rPr>
          <w:rtl/>
        </w:rPr>
      </w:pPr>
      <w:bookmarkStart w:id="18193" w:name="_Ref66055422"/>
      <w:r>
        <w:rPr>
          <w:rFonts w:hint="cs"/>
          <w:rtl/>
        </w:rPr>
        <w:t xml:space="preserve">אך כתב </w:t>
      </w:r>
      <w:r w:rsidRPr="00B37A3F">
        <w:rPr>
          <w:rStyle w:val="af9"/>
          <w:rFonts w:hint="cs"/>
          <w:rtl/>
        </w:rPr>
        <w:t xml:space="preserve">בחי' הגר"ח </w:t>
      </w:r>
      <w:r>
        <w:rPr>
          <w:rStyle w:val="af9"/>
          <w:rFonts w:hint="cs"/>
          <w:rtl/>
        </w:rPr>
        <w:t>על הש</w:t>
      </w:r>
      <w:r>
        <w:rPr>
          <w:rStyle w:val="af9"/>
          <w:rtl/>
        </w:rPr>
        <w:t>"</w:t>
      </w:r>
      <w:r>
        <w:rPr>
          <w:rStyle w:val="af9"/>
          <w:rFonts w:hint="cs"/>
          <w:rtl/>
        </w:rPr>
        <w:t xml:space="preserve">ס </w:t>
      </w:r>
      <w:r>
        <w:rPr>
          <w:rFonts w:hint="cs"/>
          <w:rtl/>
        </w:rPr>
        <w:t xml:space="preserve">דלפי ביאור זה אפשר לתרץ את קושית </w:t>
      </w:r>
      <w:r w:rsidRPr="000074EF">
        <w:rPr>
          <w:rStyle w:val="af9"/>
          <w:rFonts w:hint="cs"/>
          <w:rtl/>
        </w:rPr>
        <w:t>התוס'</w:t>
      </w:r>
      <w:r w:rsidRPr="00B51B08">
        <w:rPr>
          <w:rStyle w:val="af7"/>
          <w:rFonts w:eastAsia="Guttman Hodes" w:hint="cs"/>
          <w:rtl/>
        </w:rPr>
        <w:t xml:space="preserve"> (עי'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Ref64910949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ב)</w:t>
      </w:r>
      <w:r>
        <w:rPr>
          <w:rStyle w:val="af7"/>
          <w:rFonts w:eastAsia="Guttman Hodes"/>
          <w:rtl/>
        </w:rPr>
        <w:fldChar w:fldCharType="end"/>
      </w:r>
      <w:r w:rsidRPr="00B51B08">
        <w:rPr>
          <w:rStyle w:val="af7"/>
          <w:rFonts w:eastAsia="Guttman Hodes" w:hint="cs"/>
          <w:rtl/>
        </w:rPr>
        <w:t xml:space="preserve"> </w:t>
      </w:r>
      <w:r>
        <w:rPr>
          <w:rFonts w:hint="cs"/>
          <w:rtl/>
        </w:rPr>
        <w:t xml:space="preserve">דאמאי אינו נאמן במיגו דהיה נשבע בטענת לא חטפי, כמבואר בגמ' לקמן דנאמן בהחזרתי במיגו דנאנסו אעפ"י שחייב שבועה, וכתב </w:t>
      </w:r>
      <w:r w:rsidRPr="00BC5402">
        <w:rPr>
          <w:rStyle w:val="af9"/>
          <w:rFonts w:hint="cs"/>
          <w:rtl/>
        </w:rPr>
        <w:t>הגר"ח</w:t>
      </w:r>
      <w:r>
        <w:rPr>
          <w:rFonts w:hint="cs"/>
          <w:rtl/>
        </w:rPr>
        <w:t xml:space="preserve"> דדוקא בגמ' לקמן דהטענה שטוען עכשיו החזרתי, היא טענה טובה, לכן הוא נאמן בטענת החזרתי במיגו דהיה נאמן בשבועה בטענת נאנסו, אבל בסוגיין אעפ"י שיש לו מיגו, מ"מ טענת דידי חטפי אינה טענה טובה כלל, כיון שיש ע"א שחטף ואנו יודעים שחטף, א"כ יש חזקה שהנסכא של הראשון, דהא חזקה דכ"מ שתח"י שלו הוא, וא"כ המיגו שבידו להיות נאמן בשבועה, הוא נגד החזקה ולכן ל"מ המיגו.</w:t>
      </w:r>
      <w:bookmarkEnd w:id="18193"/>
    </w:p>
    <w:p w:rsidR="00E824D3" w:rsidRDefault="00E824D3" w:rsidP="00E824D3">
      <w:pPr>
        <w:pStyle w:val="a3"/>
        <w:rPr>
          <w:rtl/>
        </w:rPr>
      </w:pPr>
      <w:bookmarkStart w:id="18194" w:name="_Toc66123398"/>
      <w:bookmarkStart w:id="18195" w:name="_Toc66143846"/>
      <w:bookmarkStart w:id="18196" w:name="_Toc66172009"/>
      <w:bookmarkStart w:id="18197" w:name="_Toc66183249"/>
      <w:bookmarkStart w:id="18198" w:name="_Toc66186032"/>
      <w:bookmarkStart w:id="18199" w:name="_Toc66193492"/>
      <w:r>
        <w:rPr>
          <w:rFonts w:hint="cs"/>
          <w:rtl/>
        </w:rPr>
        <w:t>ביאור הגר"ח דכשיש ע"א כל שלא נשבע יש לראשון חזקה דמה שתח"י והוי מיגו נגד החזקה</w:t>
      </w:r>
      <w:bookmarkEnd w:id="18194"/>
      <w:bookmarkEnd w:id="18195"/>
      <w:bookmarkEnd w:id="18196"/>
      <w:bookmarkEnd w:id="18197"/>
      <w:bookmarkEnd w:id="18198"/>
      <w:bookmarkEnd w:id="18199"/>
    </w:p>
    <w:p w:rsidR="00E824D3" w:rsidRDefault="00E824D3" w:rsidP="007E4E81">
      <w:pPr>
        <w:pStyle w:val="a0"/>
        <w:rPr>
          <w:rtl/>
        </w:rPr>
      </w:pPr>
      <w:bookmarkStart w:id="18200" w:name="_Ref66118859"/>
      <w:r>
        <w:rPr>
          <w:rFonts w:hint="cs"/>
          <w:rtl/>
        </w:rPr>
        <w:t>וכתב</w:t>
      </w:r>
      <w:r w:rsidRPr="00622B14">
        <w:rPr>
          <w:rStyle w:val="af9"/>
          <w:rFonts w:hint="cs"/>
          <w:rtl/>
        </w:rPr>
        <w:t xml:space="preserve"> </w:t>
      </w:r>
      <w:r w:rsidRPr="00B37A3F">
        <w:rPr>
          <w:rStyle w:val="af9"/>
          <w:rFonts w:hint="cs"/>
          <w:rtl/>
        </w:rPr>
        <w:t xml:space="preserve">בחי' הגר"ח </w:t>
      </w:r>
      <w:r>
        <w:rPr>
          <w:rStyle w:val="af9"/>
          <w:rFonts w:hint="cs"/>
          <w:rtl/>
        </w:rPr>
        <w:t>על הש</w:t>
      </w:r>
      <w:r>
        <w:rPr>
          <w:rStyle w:val="af9"/>
          <w:rtl/>
        </w:rPr>
        <w:t>"</w:t>
      </w:r>
      <w:r>
        <w:rPr>
          <w:rStyle w:val="af9"/>
          <w:rFonts w:hint="cs"/>
          <w:rtl/>
        </w:rPr>
        <w:t>ס</w:t>
      </w:r>
      <w:r>
        <w:rPr>
          <w:rFonts w:hint="cs"/>
          <w:rtl/>
        </w:rPr>
        <w:t xml:space="preserve"> דהא דבמקום שאין ע"א על החטיפה, הוא נאמן במיגו דלא חטפי, אעפ"י שהוא מודה דחטף, מ"מ כיון דלולי הודאתו החוטף היה מוחזק בנסכא, דהא עכשיו היא תח"י, וכיון שהוא טוען אין חטפי ודידי חטפי, א"כ חשיב שאין כאן מעשה חטיפה כלל, אבל כשיש ע"א שחטף, ורק הע"א אינו יודע של מי הנסכא, דבכה"ג כל שאינו נשבע להכחיש את העד, עדיין יש לראשון חזקה דמה שתח"י שלו הוא והנסכא בחזקת הראשון, ולכן אין החוטף נאמן במיגו דלא חטפי, כיון שהוא מיגו כנגד החזקה, וכעי"ז כתב </w:t>
      </w:r>
      <w:r w:rsidRPr="00356AE8">
        <w:rPr>
          <w:rStyle w:val="af9"/>
          <w:rFonts w:hint="cs"/>
          <w:rtl/>
        </w:rPr>
        <w:t>בחי' הרי"ם</w:t>
      </w:r>
      <w:r>
        <w:rPr>
          <w:rFonts w:hint="cs"/>
          <w:rtl/>
        </w:rPr>
        <w:t xml:space="preserve"> </w:t>
      </w:r>
      <w:r w:rsidRPr="00356AE8">
        <w:rPr>
          <w:rStyle w:val="af7"/>
          <w:rFonts w:eastAsia="Guttman Hodes" w:hint="cs"/>
          <w:rtl/>
        </w:rPr>
        <w:t xml:space="preserve">(עי' אות </w:t>
      </w:r>
      <w:r w:rsidRPr="00356AE8">
        <w:rPr>
          <w:rStyle w:val="af7"/>
          <w:rFonts w:eastAsia="Guttman Hodes"/>
          <w:rtl/>
        </w:rPr>
        <w:fldChar w:fldCharType="begin"/>
      </w:r>
      <w:r w:rsidRPr="00356AE8">
        <w:rPr>
          <w:rStyle w:val="af7"/>
          <w:rFonts w:eastAsia="Guttman Hodes"/>
          <w:rtl/>
        </w:rPr>
        <w:instrText xml:space="preserve"> </w:instrText>
      </w:r>
      <w:r w:rsidRPr="00356AE8">
        <w:rPr>
          <w:rStyle w:val="af7"/>
          <w:rFonts w:eastAsia="Guttman Hodes" w:hint="cs"/>
        </w:rPr>
        <w:instrText>REF</w:instrText>
      </w:r>
      <w:r w:rsidRPr="00356AE8">
        <w:rPr>
          <w:rStyle w:val="af7"/>
          <w:rFonts w:eastAsia="Guttman Hodes" w:hint="cs"/>
          <w:rtl/>
        </w:rPr>
        <w:instrText xml:space="preserve"> _</w:instrText>
      </w:r>
      <w:r w:rsidRPr="00356AE8">
        <w:rPr>
          <w:rStyle w:val="af7"/>
          <w:rFonts w:eastAsia="Guttman Hodes" w:hint="cs"/>
        </w:rPr>
        <w:instrText>Ref66116161 \r \h</w:instrText>
      </w:r>
      <w:r w:rsidRPr="00356AE8">
        <w:rPr>
          <w:rStyle w:val="af7"/>
          <w:rFonts w:eastAsia="Guttman Hodes"/>
          <w:rtl/>
        </w:rPr>
        <w:instrText xml:space="preserve"> </w:instrText>
      </w:r>
      <w:r w:rsidRPr="00356AE8">
        <w:rPr>
          <w:rStyle w:val="af7"/>
          <w:rFonts w:eastAsia="Guttman Hodes"/>
          <w:rtl/>
        </w:rPr>
      </w:r>
      <w:r w:rsidRPr="00356AE8">
        <w:rPr>
          <w:rStyle w:val="af7"/>
          <w:rFonts w:eastAsia="Guttman Hodes"/>
          <w:rtl/>
        </w:rPr>
        <w:fldChar w:fldCharType="separate"/>
      </w:r>
      <w:r w:rsidR="00265073">
        <w:rPr>
          <w:rStyle w:val="af7"/>
          <w:rFonts w:eastAsia="Guttman Hodes"/>
          <w:cs/>
        </w:rPr>
        <w:t>‎</w:t>
      </w:r>
      <w:r w:rsidR="00265073">
        <w:rPr>
          <w:rStyle w:val="af7"/>
          <w:rFonts w:eastAsia="Guttman Hodes"/>
          <w:rtl/>
        </w:rPr>
        <w:t>נג)</w:t>
      </w:r>
      <w:r w:rsidRPr="00356AE8">
        <w:rPr>
          <w:rStyle w:val="af7"/>
          <w:rFonts w:eastAsia="Guttman Hodes"/>
          <w:rtl/>
        </w:rPr>
        <w:fldChar w:fldCharType="end"/>
      </w:r>
      <w:r>
        <w:rPr>
          <w:rFonts w:hint="cs"/>
          <w:rtl/>
        </w:rPr>
        <w:t xml:space="preserve"> דהוא מיגו נגד חזקה, ועי' במה שהקשה ע"ז </w:t>
      </w:r>
      <w:r w:rsidRPr="00A11CCE">
        <w:rPr>
          <w:rStyle w:val="af9"/>
          <w:rFonts w:hint="cs"/>
          <w:rtl/>
        </w:rPr>
        <w:t>בחי' רבי נחום</w:t>
      </w:r>
      <w:r>
        <w:rPr>
          <w:rFonts w:hint="cs"/>
          <w:rtl/>
        </w:rPr>
        <w:t xml:space="preserve"> </w:t>
      </w:r>
      <w:r w:rsidRPr="00A11CCE">
        <w:rPr>
          <w:rStyle w:val="af7"/>
          <w:rFonts w:eastAsia="Guttman Hodes" w:hint="cs"/>
          <w:rtl/>
        </w:rPr>
        <w:t>(או' ר"ח ד"ה והנה</w:t>
      </w:r>
      <w:r>
        <w:rPr>
          <w:rStyle w:val="af7"/>
          <w:rFonts w:eastAsia="Guttman Hodes" w:hint="cs"/>
          <w:rtl/>
        </w:rPr>
        <w:t>)</w:t>
      </w:r>
      <w:r>
        <w:rPr>
          <w:rFonts w:hint="cs"/>
          <w:rtl/>
        </w:rPr>
        <w:t>.</w:t>
      </w:r>
      <w:bookmarkEnd w:id="18200"/>
    </w:p>
    <w:p w:rsidR="00E824D3" w:rsidRDefault="00E824D3" w:rsidP="00E824D3">
      <w:pPr>
        <w:pStyle w:val="1"/>
        <w:rPr>
          <w:rtl/>
        </w:rPr>
      </w:pPr>
      <w:bookmarkStart w:id="18201" w:name="_Toc66193493"/>
      <w:r>
        <w:rPr>
          <w:rFonts w:hint="cs"/>
          <w:rtl/>
        </w:rPr>
        <w:t>ביאור האבאה"ז בריב"ם דע"א הוא כב' ול"מ מיגו נגד חזקה</w:t>
      </w:r>
      <w:bookmarkEnd w:id="18201"/>
    </w:p>
    <w:p w:rsidR="00E824D3" w:rsidRDefault="00E824D3" w:rsidP="00E824D3">
      <w:pPr>
        <w:pStyle w:val="a3"/>
        <w:rPr>
          <w:rtl/>
        </w:rPr>
      </w:pPr>
      <w:bookmarkStart w:id="18202" w:name="_Toc66193494"/>
      <w:r>
        <w:rPr>
          <w:rFonts w:hint="cs"/>
          <w:rtl/>
        </w:rPr>
        <w:t>ביאור האבאה"ז בריב"ם דכשיש ע"א אין לו הפה שאסר ומיגו ל"מ כנגד חזקה דמה שתח"י שלו</w:t>
      </w:r>
      <w:bookmarkEnd w:id="18202"/>
    </w:p>
    <w:p w:rsidR="00E824D3" w:rsidRDefault="00E824D3" w:rsidP="007E4E81">
      <w:pPr>
        <w:pStyle w:val="a0"/>
        <w:rPr>
          <w:rtl/>
        </w:rPr>
      </w:pPr>
      <w:bookmarkStart w:id="18203" w:name="_Ref66186718"/>
      <w:r>
        <w:rPr>
          <w:rFonts w:hint="cs"/>
          <w:rtl/>
        </w:rPr>
        <w:t xml:space="preserve">במ"ש </w:t>
      </w:r>
      <w:r>
        <w:rPr>
          <w:rStyle w:val="af9"/>
          <w:rtl/>
        </w:rPr>
        <w:t>הריב"ם</w:t>
      </w:r>
      <w:r>
        <w:rPr>
          <w:rFonts w:hint="cs"/>
          <w:rtl/>
        </w:rPr>
        <w:t xml:space="preserve"> </w:t>
      </w:r>
      <w:r w:rsidRPr="008B59A9">
        <w:rPr>
          <w:rStyle w:val="af7"/>
          <w:rFonts w:eastAsia="Guttman Hodes" w:hint="cs"/>
          <w:rtl/>
        </w:rPr>
        <w:t xml:space="preserve">(עי' אות </w:t>
      </w:r>
      <w:r w:rsidRPr="008B59A9">
        <w:rPr>
          <w:rStyle w:val="af7"/>
          <w:rFonts w:eastAsia="Guttman Hodes" w:hint="cs"/>
          <w:rtl/>
        </w:rPr>
        <w:fldChar w:fldCharType="begin"/>
      </w:r>
      <w:r w:rsidRPr="008B59A9">
        <w:rPr>
          <w:rStyle w:val="af7"/>
          <w:rFonts w:eastAsia="Guttman Hodes" w:hint="cs"/>
          <w:rtl/>
        </w:rPr>
        <w:instrText xml:space="preserve"> </w:instrText>
      </w:r>
      <w:r w:rsidRPr="008B59A9">
        <w:rPr>
          <w:rStyle w:val="af7"/>
          <w:rFonts w:eastAsia="Guttman Hodes"/>
        </w:rPr>
        <w:instrText>REF</w:instrText>
      </w:r>
      <w:r w:rsidRPr="008B59A9">
        <w:rPr>
          <w:rStyle w:val="af7"/>
          <w:rFonts w:eastAsia="Guttman Hodes" w:hint="cs"/>
          <w:rtl/>
        </w:rPr>
        <w:instrText xml:space="preserve"> _</w:instrText>
      </w:r>
      <w:r w:rsidRPr="008B59A9">
        <w:rPr>
          <w:rStyle w:val="af7"/>
          <w:rFonts w:eastAsia="Guttman Hodes"/>
        </w:rPr>
        <w:instrText>Ref65795831 \r \h</w:instrText>
      </w:r>
      <w:r w:rsidRPr="008B59A9">
        <w:rPr>
          <w:rStyle w:val="af7"/>
          <w:rFonts w:eastAsia="Guttman Hodes" w:hint="cs"/>
          <w:rtl/>
        </w:rPr>
        <w:instrText xml:space="preserve"> </w:instrText>
      </w:r>
      <w:r w:rsidRPr="008B59A9">
        <w:rPr>
          <w:rStyle w:val="af7"/>
          <w:rFonts w:eastAsia="Guttman Hodes" w:hint="cs"/>
          <w:rtl/>
        </w:rPr>
      </w:r>
      <w:r w:rsidRPr="008B59A9">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לה</w:t>
      </w:r>
      <w:r w:rsidR="00265073">
        <w:rPr>
          <w:rStyle w:val="af7"/>
          <w:rFonts w:eastAsia="Guttman Hodes"/>
          <w:rtl/>
        </w:rPr>
        <w:t>)</w:t>
      </w:r>
      <w:r w:rsidRPr="008B59A9">
        <w:rPr>
          <w:rStyle w:val="af7"/>
          <w:rFonts w:eastAsia="Guttman Hodes" w:hint="cs"/>
          <w:rtl/>
        </w:rPr>
        <w:fldChar w:fldCharType="end"/>
      </w:r>
      <w:r>
        <w:rPr>
          <w:rFonts w:hint="cs"/>
          <w:rtl/>
        </w:rPr>
        <w:t xml:space="preserve"> דכל שיש עליו חיוב שבועה דאו', הע"א הוא </w:t>
      </w:r>
      <w:r w:rsidRPr="009C2396">
        <w:rPr>
          <w:rFonts w:hint="cs"/>
          <w:rtl/>
        </w:rPr>
        <w:t xml:space="preserve">כשנים והוא חייב או להשבע או לשלם, ולכן אינו נאמן במיגו, ביאר </w:t>
      </w:r>
      <w:r w:rsidRPr="00F3578D">
        <w:rPr>
          <w:rStyle w:val="af9"/>
          <w:rFonts w:hint="cs"/>
          <w:rtl/>
        </w:rPr>
        <w:t>האבהא"ז</w:t>
      </w:r>
      <w:r w:rsidRPr="009C2396">
        <w:rPr>
          <w:rFonts w:hint="cs"/>
          <w:rtl/>
        </w:rPr>
        <w:t xml:space="preserve"> </w:t>
      </w:r>
      <w:r w:rsidRPr="008B59A9">
        <w:rPr>
          <w:rStyle w:val="af7"/>
          <w:rFonts w:eastAsia="Guttman Hodes" w:hint="cs"/>
          <w:rtl/>
        </w:rPr>
        <w:t>(שכירות פי"א ה"ו ד"ה ונראה)</w:t>
      </w:r>
      <w:r w:rsidRPr="009C2396">
        <w:rPr>
          <w:rFonts w:hint="cs"/>
          <w:rtl/>
        </w:rPr>
        <w:t xml:space="preserve"> דכוונת </w:t>
      </w:r>
      <w:r w:rsidRPr="00F3578D">
        <w:rPr>
          <w:rStyle w:val="af9"/>
          <w:rFonts w:hint="cs"/>
          <w:rtl/>
        </w:rPr>
        <w:t>הריב"ם</w:t>
      </w:r>
      <w:r w:rsidRPr="009C2396">
        <w:rPr>
          <w:rFonts w:hint="cs"/>
          <w:rtl/>
        </w:rPr>
        <w:t xml:space="preserve"> לומר כמ"ש </w:t>
      </w:r>
      <w:r w:rsidRPr="00F3578D">
        <w:rPr>
          <w:rStyle w:val="af9"/>
          <w:rFonts w:hint="cs"/>
          <w:rtl/>
        </w:rPr>
        <w:t>המ"מ</w:t>
      </w:r>
      <w:r w:rsidRPr="009C2396">
        <w:rPr>
          <w:rFonts w:hint="cs"/>
          <w:rtl/>
        </w:rPr>
        <w:t xml:space="preserve"> </w:t>
      </w:r>
      <w:r w:rsidRPr="008B59A9">
        <w:rPr>
          <w:rStyle w:val="af7"/>
          <w:rFonts w:eastAsia="Guttman Hodes" w:hint="cs"/>
          <w:rtl/>
        </w:rPr>
        <w:t xml:space="preserve">(עי' אות </w:t>
      </w:r>
      <w:r w:rsidRPr="008B59A9">
        <w:rPr>
          <w:rStyle w:val="af7"/>
          <w:rFonts w:eastAsia="Guttman Hodes"/>
          <w:rtl/>
        </w:rPr>
        <w:fldChar w:fldCharType="begin"/>
      </w:r>
      <w:r w:rsidRPr="008B59A9">
        <w:rPr>
          <w:rStyle w:val="af7"/>
          <w:rFonts w:eastAsia="Guttman Hodes"/>
          <w:rtl/>
        </w:rPr>
        <w:instrText xml:space="preserve"> </w:instrText>
      </w:r>
      <w:r w:rsidRPr="008B59A9">
        <w:rPr>
          <w:rStyle w:val="af7"/>
          <w:rFonts w:eastAsia="Guttman Hodes" w:hint="cs"/>
        </w:rPr>
        <w:instrText>REF</w:instrText>
      </w:r>
      <w:r w:rsidRPr="008B59A9">
        <w:rPr>
          <w:rStyle w:val="af7"/>
          <w:rFonts w:eastAsia="Guttman Hodes" w:hint="cs"/>
          <w:rtl/>
        </w:rPr>
        <w:instrText xml:space="preserve"> _</w:instrText>
      </w:r>
      <w:r w:rsidRPr="008B59A9">
        <w:rPr>
          <w:rStyle w:val="af7"/>
          <w:rFonts w:eastAsia="Guttman Hodes" w:hint="cs"/>
        </w:rPr>
        <w:instrText>Ref66184949 \r \h</w:instrText>
      </w:r>
      <w:r w:rsidRPr="008B59A9">
        <w:rPr>
          <w:rStyle w:val="af7"/>
          <w:rFonts w:eastAsia="Guttman Hodes"/>
          <w:rtl/>
        </w:rPr>
        <w:instrText xml:space="preserve"> </w:instrText>
      </w:r>
      <w:r w:rsidRPr="008B59A9">
        <w:rPr>
          <w:rStyle w:val="af7"/>
          <w:rFonts w:eastAsia="Guttman Hodes"/>
          <w:rtl/>
        </w:rPr>
      </w:r>
      <w:r w:rsidRPr="008B59A9">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8B59A9">
        <w:rPr>
          <w:rStyle w:val="af7"/>
          <w:rFonts w:eastAsia="Guttman Hodes"/>
          <w:rtl/>
        </w:rPr>
        <w:fldChar w:fldCharType="end"/>
      </w:r>
      <w:r w:rsidRPr="009C2396">
        <w:rPr>
          <w:rFonts w:hint="cs"/>
          <w:rtl/>
        </w:rPr>
        <w:t xml:space="preserve"> בשם </w:t>
      </w:r>
      <w:r w:rsidRPr="00F3578D">
        <w:rPr>
          <w:rStyle w:val="af9"/>
          <w:rFonts w:hint="cs"/>
          <w:rtl/>
        </w:rPr>
        <w:t>הרמב"ן</w:t>
      </w:r>
      <w:r w:rsidRPr="009C2396">
        <w:rPr>
          <w:rFonts w:hint="cs"/>
          <w:rtl/>
        </w:rPr>
        <w:t xml:space="preserve"> דל"מ מהני מיגו כנגד חזקה דמה שתח"י שלו, </w:t>
      </w:r>
      <w:r>
        <w:rPr>
          <w:rFonts w:hint="cs"/>
          <w:rtl/>
        </w:rPr>
        <w:t xml:space="preserve">וא"כ קשה </w:t>
      </w:r>
      <w:r w:rsidRPr="008B6BC9">
        <w:rPr>
          <w:rtl/>
        </w:rPr>
        <w:t>דהא בסוגיין מבואר דכל שאין עדים, נאמן לומר אין חטפי ודידי חטפי, אעפ"י שמודה שהייתה ביד הראשון ויש לו חזקה דמה שתח"י שלו,</w:t>
      </w:r>
      <w:r>
        <w:rPr>
          <w:rFonts w:hint="cs"/>
          <w:rtl/>
        </w:rPr>
        <w:t xml:space="preserve"> וכתב </w:t>
      </w:r>
      <w:r w:rsidRPr="00F3578D">
        <w:rPr>
          <w:rStyle w:val="af9"/>
          <w:rFonts w:hint="cs"/>
          <w:rtl/>
        </w:rPr>
        <w:t>האבאה"ז</w:t>
      </w:r>
      <w:r>
        <w:rPr>
          <w:rFonts w:hint="cs"/>
          <w:rtl/>
        </w:rPr>
        <w:t xml:space="preserve"> דצ"ל דכשאין עדים נאמן מדין הפה שאסר, </w:t>
      </w:r>
      <w:r w:rsidRPr="00A60537">
        <w:rPr>
          <w:rStyle w:val="afb"/>
          <w:rFonts w:hint="cs"/>
          <w:rtl/>
        </w:rPr>
        <w:t xml:space="preserve">[וכ"כ </w:t>
      </w:r>
      <w:r w:rsidRPr="00FB0465">
        <w:rPr>
          <w:rStyle w:val="affa"/>
          <w:rtl/>
        </w:rPr>
        <w:t>הגר"ח</w:t>
      </w:r>
      <w:r w:rsidRPr="008B6BC9">
        <w:rPr>
          <w:rtl/>
        </w:rPr>
        <w:t xml:space="preserve"> </w:t>
      </w:r>
      <w:r w:rsidRPr="00FB0465">
        <w:rPr>
          <w:rStyle w:val="aff6"/>
          <w:rtl/>
        </w:rPr>
        <w:t xml:space="preserve">(עי' אות </w:t>
      </w:r>
      <w:r w:rsidRPr="00FB0465">
        <w:rPr>
          <w:rStyle w:val="aff6"/>
          <w:rtl/>
        </w:rPr>
        <w:fldChar w:fldCharType="begin"/>
      </w:r>
      <w:r w:rsidRPr="00FB0465">
        <w:rPr>
          <w:rStyle w:val="aff6"/>
          <w:rtl/>
        </w:rPr>
        <w:instrText xml:space="preserve"> </w:instrText>
      </w:r>
      <w:r w:rsidRPr="00FB0465">
        <w:rPr>
          <w:rStyle w:val="aff6"/>
        </w:rPr>
        <w:instrText>REF</w:instrText>
      </w:r>
      <w:r w:rsidRPr="00FB0465">
        <w:rPr>
          <w:rStyle w:val="aff6"/>
          <w:rtl/>
        </w:rPr>
        <w:instrText xml:space="preserve"> _</w:instrText>
      </w:r>
      <w:r w:rsidRPr="00FB0465">
        <w:rPr>
          <w:rStyle w:val="aff6"/>
        </w:rPr>
        <w:instrText>Ref66116134 \r \h</w:instrText>
      </w:r>
      <w:r w:rsidRPr="00FB0465">
        <w:rPr>
          <w:rStyle w:val="aff6"/>
          <w:rtl/>
        </w:rPr>
        <w:instrText xml:space="preserve"> </w:instrText>
      </w:r>
      <w:r w:rsidRPr="00FB0465">
        <w:rPr>
          <w:rStyle w:val="aff6"/>
          <w:rtl/>
        </w:rPr>
      </w:r>
      <w:r w:rsidRPr="00FB0465">
        <w:rPr>
          <w:rStyle w:val="aff6"/>
          <w:rtl/>
        </w:rPr>
        <w:fldChar w:fldCharType="separate"/>
      </w:r>
      <w:r w:rsidR="00265073">
        <w:rPr>
          <w:rStyle w:val="aff6"/>
          <w:cs/>
        </w:rPr>
        <w:t>‎</w:t>
      </w:r>
      <w:r w:rsidR="00265073">
        <w:rPr>
          <w:rStyle w:val="aff6"/>
          <w:rtl/>
        </w:rPr>
        <w:t>סד)</w:t>
      </w:r>
      <w:r w:rsidRPr="00FB0465">
        <w:rPr>
          <w:rStyle w:val="aff6"/>
          <w:rtl/>
        </w:rPr>
        <w:fldChar w:fldCharType="end"/>
      </w:r>
      <w:r w:rsidRPr="00A60537">
        <w:rPr>
          <w:rStyle w:val="afb"/>
          <w:rFonts w:hint="cs"/>
          <w:rtl/>
        </w:rPr>
        <w:t>],</w:t>
      </w:r>
      <w:r>
        <w:rPr>
          <w:rFonts w:hint="cs"/>
          <w:rtl/>
        </w:rPr>
        <w:t xml:space="preserve"> ולכן במקום שיש ע"א דהוא חשיב כשנים, א"כ אנו יודעים שחטף אף בלא הודאתו דאין חטפי ודידי חטפי, ולא הוי הפה שאסר, וא"כ כל מה שהוא יכול להיות נאמן הוא במיגו, ולא מהני מיגו כנגד חזקה דמה שתח"י שלו הוא, והוסיף </w:t>
      </w:r>
      <w:r w:rsidRPr="00F3578D">
        <w:rPr>
          <w:rStyle w:val="af9"/>
          <w:rFonts w:hint="cs"/>
          <w:rtl/>
        </w:rPr>
        <w:t>האבהא"ז</w:t>
      </w:r>
      <w:r w:rsidRPr="009C2396">
        <w:rPr>
          <w:rFonts w:hint="cs"/>
          <w:rtl/>
        </w:rPr>
        <w:t xml:space="preserve"> </w:t>
      </w:r>
      <w:r w:rsidRPr="008B59A9">
        <w:rPr>
          <w:rStyle w:val="af7"/>
          <w:rFonts w:eastAsia="Guttman Hodes" w:hint="cs"/>
          <w:rtl/>
        </w:rPr>
        <w:t>(</w:t>
      </w:r>
      <w:r>
        <w:rPr>
          <w:rStyle w:val="af7"/>
          <w:rFonts w:eastAsia="Guttman Hodes" w:hint="cs"/>
          <w:rtl/>
        </w:rPr>
        <w:t xml:space="preserve">השמטות סוף משפטים עמ' פ"ו </w:t>
      </w:r>
      <w:r w:rsidRPr="008B59A9">
        <w:rPr>
          <w:rStyle w:val="af7"/>
          <w:rFonts w:eastAsia="Guttman Hodes" w:hint="cs"/>
          <w:rtl/>
        </w:rPr>
        <w:t>שכירות פי"א ה"ו ד"ה</w:t>
      </w:r>
      <w:r>
        <w:rPr>
          <w:rStyle w:val="af7"/>
          <w:rFonts w:eastAsia="Guttman Hodes" w:hint="cs"/>
          <w:rtl/>
        </w:rPr>
        <w:t xml:space="preserve"> במה)</w:t>
      </w:r>
      <w:r w:rsidRPr="008B59A9">
        <w:rPr>
          <w:rStyle w:val="af7"/>
          <w:rFonts w:eastAsia="Guttman Hodes" w:hint="cs"/>
          <w:rtl/>
        </w:rPr>
        <w:t xml:space="preserve"> </w:t>
      </w:r>
      <w:r>
        <w:rPr>
          <w:rFonts w:hint="cs"/>
          <w:rtl/>
        </w:rPr>
        <w:t xml:space="preserve">דכן מוכח להדיא מדברי </w:t>
      </w:r>
      <w:r w:rsidRPr="00F22864">
        <w:rPr>
          <w:rStyle w:val="af9"/>
          <w:rFonts w:hint="cs"/>
          <w:rtl/>
        </w:rPr>
        <w:t>הגר"א</w:t>
      </w:r>
      <w:r>
        <w:rPr>
          <w:rFonts w:hint="cs"/>
          <w:rtl/>
        </w:rPr>
        <w:t xml:space="preserve"> </w:t>
      </w:r>
      <w:r w:rsidRPr="00F22864">
        <w:rPr>
          <w:rStyle w:val="af7"/>
          <w:rFonts w:eastAsia="Guttman Hodes" w:hint="cs"/>
          <w:rtl/>
        </w:rPr>
        <w:t xml:space="preserve">(עי' אות </w:t>
      </w:r>
      <w:r w:rsidRPr="00F22864">
        <w:rPr>
          <w:rStyle w:val="af7"/>
          <w:rFonts w:eastAsia="Guttman Hodes"/>
          <w:rtl/>
        </w:rPr>
        <w:fldChar w:fldCharType="begin"/>
      </w:r>
      <w:r w:rsidRPr="00F22864">
        <w:rPr>
          <w:rStyle w:val="af7"/>
          <w:rFonts w:eastAsia="Guttman Hodes"/>
          <w:rtl/>
        </w:rPr>
        <w:instrText xml:space="preserve"> </w:instrText>
      </w:r>
      <w:r w:rsidRPr="00F22864">
        <w:rPr>
          <w:rStyle w:val="af7"/>
          <w:rFonts w:eastAsia="Guttman Hodes" w:hint="cs"/>
        </w:rPr>
        <w:instrText>REF</w:instrText>
      </w:r>
      <w:r w:rsidRPr="00F22864">
        <w:rPr>
          <w:rStyle w:val="af7"/>
          <w:rFonts w:eastAsia="Guttman Hodes" w:hint="cs"/>
          <w:rtl/>
        </w:rPr>
        <w:instrText xml:space="preserve"> _</w:instrText>
      </w:r>
      <w:r w:rsidRPr="00F22864">
        <w:rPr>
          <w:rStyle w:val="af7"/>
          <w:rFonts w:eastAsia="Guttman Hodes" w:hint="cs"/>
        </w:rPr>
        <w:instrText>Ref66186120 \r \h</w:instrText>
      </w:r>
      <w:r w:rsidRPr="00F22864">
        <w:rPr>
          <w:rStyle w:val="af7"/>
          <w:rFonts w:eastAsia="Guttman Hodes"/>
          <w:rtl/>
        </w:rPr>
        <w:instrText xml:space="preserve"> </w:instrText>
      </w:r>
      <w:r w:rsidRPr="00F22864">
        <w:rPr>
          <w:rStyle w:val="af7"/>
          <w:rFonts w:eastAsia="Guttman Hodes"/>
          <w:rtl/>
        </w:rPr>
      </w:r>
      <w:r w:rsidRPr="00F22864">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F22864">
        <w:rPr>
          <w:rStyle w:val="af7"/>
          <w:rFonts w:eastAsia="Guttman Hodes"/>
          <w:rtl/>
        </w:rPr>
        <w:fldChar w:fldCharType="end"/>
      </w:r>
      <w:r>
        <w:rPr>
          <w:rFonts w:hint="cs"/>
          <w:rtl/>
        </w:rPr>
        <w:t xml:space="preserve"> דכתב דמקור דברי </w:t>
      </w:r>
      <w:r w:rsidRPr="00F22864">
        <w:rPr>
          <w:rStyle w:val="af9"/>
          <w:rFonts w:hint="cs"/>
          <w:rtl/>
        </w:rPr>
        <w:t>הרמב"ם</w:t>
      </w:r>
      <w:r>
        <w:rPr>
          <w:rFonts w:hint="cs"/>
          <w:rtl/>
        </w:rPr>
        <w:t xml:space="preserve"> </w:t>
      </w:r>
      <w:r w:rsidRPr="00F22864">
        <w:rPr>
          <w:rStyle w:val="af7"/>
          <w:rFonts w:eastAsia="Guttman Hodes" w:hint="cs"/>
          <w:rtl/>
        </w:rPr>
        <w:t xml:space="preserve">(עי' אות </w:t>
      </w:r>
      <w:r w:rsidRPr="00F22864">
        <w:rPr>
          <w:rStyle w:val="af7"/>
          <w:rFonts w:eastAsia="Guttman Hodes"/>
          <w:rtl/>
        </w:rPr>
        <w:fldChar w:fldCharType="begin"/>
      </w:r>
      <w:r w:rsidRPr="00F22864">
        <w:rPr>
          <w:rStyle w:val="af7"/>
          <w:rFonts w:eastAsia="Guttman Hodes"/>
          <w:rtl/>
        </w:rPr>
        <w:instrText xml:space="preserve"> </w:instrText>
      </w:r>
      <w:r w:rsidRPr="00F22864">
        <w:rPr>
          <w:rStyle w:val="af7"/>
          <w:rFonts w:eastAsia="Guttman Hodes" w:hint="cs"/>
        </w:rPr>
        <w:instrText>REF</w:instrText>
      </w:r>
      <w:r w:rsidRPr="00F22864">
        <w:rPr>
          <w:rStyle w:val="af7"/>
          <w:rFonts w:eastAsia="Guttman Hodes" w:hint="cs"/>
          <w:rtl/>
        </w:rPr>
        <w:instrText xml:space="preserve"> _</w:instrText>
      </w:r>
      <w:r w:rsidRPr="00F22864">
        <w:rPr>
          <w:rStyle w:val="af7"/>
          <w:rFonts w:eastAsia="Guttman Hodes" w:hint="cs"/>
        </w:rPr>
        <w:instrText>Ref66186120 \r \h</w:instrText>
      </w:r>
      <w:r w:rsidRPr="00F22864">
        <w:rPr>
          <w:rStyle w:val="af7"/>
          <w:rFonts w:eastAsia="Guttman Hodes"/>
          <w:rtl/>
        </w:rPr>
        <w:instrText xml:space="preserve"> </w:instrText>
      </w:r>
      <w:r w:rsidRPr="00F22864">
        <w:rPr>
          <w:rStyle w:val="af7"/>
          <w:rFonts w:eastAsia="Guttman Hodes"/>
          <w:rtl/>
        </w:rPr>
      </w:r>
      <w:r w:rsidRPr="00F22864">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F22864">
        <w:rPr>
          <w:rStyle w:val="af7"/>
          <w:rFonts w:eastAsia="Guttman Hodes"/>
          <w:rtl/>
        </w:rPr>
        <w:fldChar w:fldCharType="end"/>
      </w:r>
      <w:r>
        <w:rPr>
          <w:rFonts w:hint="cs"/>
          <w:rtl/>
        </w:rPr>
        <w:t xml:space="preserve"> דאינו נאמן במיגו כנגד חזקה דמה שתח"י שלו הוא מסוגיין, ועי' במ"ש </w:t>
      </w:r>
      <w:r w:rsidRPr="00AF0A0B">
        <w:rPr>
          <w:rStyle w:val="af9"/>
          <w:rFonts w:hint="cs"/>
          <w:rtl/>
        </w:rPr>
        <w:t>בחי' רבי נחום</w:t>
      </w:r>
      <w:r>
        <w:rPr>
          <w:rFonts w:hint="cs"/>
          <w:rtl/>
        </w:rPr>
        <w:t xml:space="preserve"> </w:t>
      </w:r>
      <w:bookmarkEnd w:id="18203"/>
      <w:r w:rsidRPr="00654918">
        <w:rPr>
          <w:rStyle w:val="af7"/>
          <w:rFonts w:eastAsia="Guttman Hodes" w:hint="cs"/>
          <w:rtl/>
        </w:rPr>
        <w:t>(עי' הערה</w:t>
      </w:r>
      <w:r>
        <w:rPr>
          <w:vertAlign w:val="superscript"/>
          <w:rtl/>
        </w:rPr>
        <w:fldChar w:fldCharType="begin"/>
      </w:r>
      <w:r>
        <w:rPr>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Ref66185667 \h</w:instrText>
      </w:r>
      <w:r>
        <w:rPr>
          <w:vertAlign w:val="superscript"/>
          <w:rtl/>
        </w:rPr>
        <w:instrText xml:space="preserve"> </w:instrText>
      </w:r>
      <w:r>
        <w:rPr>
          <w:vertAlign w:val="superscript"/>
          <w:rtl/>
        </w:rPr>
      </w:r>
      <w:r>
        <w:rPr>
          <w:vertAlign w:val="superscript"/>
          <w:rtl/>
        </w:rPr>
        <w:fldChar w:fldCharType="separate"/>
      </w:r>
      <w:r w:rsidR="00265073">
        <w:rPr>
          <w:vertAlign w:val="superscript"/>
          <w:rtl/>
        </w:rPr>
        <w:t>125</w:t>
      </w:r>
      <w:r>
        <w:rPr>
          <w:vertAlign w:val="superscript"/>
          <w:rtl/>
        </w:rPr>
        <w:fldChar w:fldCharType="end"/>
      </w:r>
      <w:r w:rsidRPr="00654918">
        <w:rPr>
          <w:rStyle w:val="af7"/>
          <w:rFonts w:eastAsia="Guttman Hodes" w:hint="cs"/>
          <w:rtl/>
        </w:rPr>
        <w:t>)</w:t>
      </w:r>
      <w:r>
        <w:rPr>
          <w:rFonts w:hint="cs"/>
          <w:rtl/>
        </w:rPr>
        <w:t>.</w:t>
      </w:r>
    </w:p>
    <w:p w:rsidR="00E824D3" w:rsidRPr="00BA5FBD" w:rsidRDefault="00E824D3" w:rsidP="00E824D3">
      <w:pPr>
        <w:pStyle w:val="1"/>
        <w:rPr>
          <w:rtl/>
        </w:rPr>
      </w:pPr>
      <w:bookmarkStart w:id="18204" w:name="_Toc66193495"/>
      <w:r>
        <w:rPr>
          <w:rFonts w:hint="cs"/>
          <w:rtl/>
        </w:rPr>
        <w:t>דברי האבי עזרי דמהני מיגו כנגד חזקה דמה שתח"י שלו</w:t>
      </w:r>
      <w:bookmarkEnd w:id="18204"/>
    </w:p>
    <w:p w:rsidR="00E824D3" w:rsidRDefault="00E824D3" w:rsidP="00E824D3">
      <w:pPr>
        <w:pStyle w:val="a3"/>
        <w:rPr>
          <w:rtl/>
        </w:rPr>
      </w:pPr>
      <w:bookmarkStart w:id="18205" w:name="_Toc66193496"/>
      <w:r>
        <w:rPr>
          <w:rFonts w:hint="cs"/>
          <w:rtl/>
        </w:rPr>
        <w:t>קושית האבי עזרי והגרנ"פ דברמב"ן מוכח דמהני מיגו אף כנגד חזקה דמה שתח"י שלו הוא</w:t>
      </w:r>
      <w:bookmarkEnd w:id="18205"/>
    </w:p>
    <w:p w:rsidR="00E824D3" w:rsidRDefault="00E824D3" w:rsidP="007E4E81">
      <w:pPr>
        <w:pStyle w:val="a0"/>
        <w:rPr>
          <w:rtl/>
        </w:rPr>
      </w:pPr>
      <w:r>
        <w:rPr>
          <w:rFonts w:hint="cs"/>
          <w:rtl/>
        </w:rPr>
        <w:t xml:space="preserve">אך הקשו </w:t>
      </w:r>
      <w:r w:rsidRPr="003F52E5">
        <w:rPr>
          <w:rStyle w:val="af9"/>
          <w:rFonts w:hint="cs"/>
          <w:rtl/>
        </w:rPr>
        <w:t>האבי עזרי</w:t>
      </w:r>
      <w:r w:rsidRPr="00D23ED4">
        <w:rPr>
          <w:rStyle w:val="af7"/>
          <w:rFonts w:eastAsia="Guttman Hodes" w:hint="cs"/>
          <w:rtl/>
        </w:rPr>
        <w:t xml:space="preserve"> (גזילה ואבידה פ"ד הי"ד ד"ה אולם)</w:t>
      </w:r>
      <w:r>
        <w:rPr>
          <w:rFonts w:hint="cs"/>
          <w:rtl/>
        </w:rPr>
        <w:t xml:space="preserve"> </w:t>
      </w:r>
      <w:r w:rsidRPr="00195D8E">
        <w:rPr>
          <w:rStyle w:val="af9"/>
          <w:rFonts w:hint="cs"/>
          <w:rtl/>
        </w:rPr>
        <w:t>ו</w:t>
      </w:r>
      <w:r w:rsidRPr="00195D8E">
        <w:rPr>
          <w:rStyle w:val="af9"/>
          <w:rtl/>
        </w:rPr>
        <w:t>בחי' רבי נחום</w:t>
      </w:r>
      <w:r w:rsidRPr="008B6BC9">
        <w:rPr>
          <w:rtl/>
        </w:rPr>
        <w:t xml:space="preserve"> </w:t>
      </w:r>
      <w:r w:rsidRPr="00195D8E">
        <w:rPr>
          <w:rStyle w:val="af7"/>
          <w:rFonts w:eastAsia="Guttman Rashi"/>
          <w:rtl/>
        </w:rPr>
        <w:t>(או' ר"ח ד"ה בענין)</w:t>
      </w:r>
      <w:r w:rsidRPr="00195D8E">
        <w:rPr>
          <w:rStyle w:val="af7"/>
          <w:rFonts w:eastAsia="Guttman Hodes"/>
          <w:rtl/>
        </w:rPr>
        <w:t xml:space="preserve"> </w:t>
      </w:r>
      <w:r>
        <w:rPr>
          <w:rFonts w:hint="cs"/>
          <w:rtl/>
        </w:rPr>
        <w:t xml:space="preserve">על דברי </w:t>
      </w:r>
      <w:r>
        <w:rPr>
          <w:rStyle w:val="af9"/>
          <w:rFonts w:hint="cs"/>
          <w:rtl/>
        </w:rPr>
        <w:t>ה</w:t>
      </w:r>
      <w:r w:rsidRPr="00F3578D">
        <w:rPr>
          <w:rStyle w:val="af9"/>
          <w:rFonts w:hint="cs"/>
          <w:rtl/>
        </w:rPr>
        <w:t>אבהא"ז</w:t>
      </w:r>
      <w:r w:rsidRPr="009C2396">
        <w:rPr>
          <w:rFonts w:hint="cs"/>
          <w:rtl/>
        </w:rPr>
        <w:t xml:space="preserve"> </w:t>
      </w:r>
      <w:r w:rsidRPr="00D23ED4">
        <w:rPr>
          <w:rStyle w:val="af7"/>
          <w:rFonts w:eastAsia="Guttman Hodes" w:hint="cs"/>
          <w:rtl/>
        </w:rPr>
        <w:t xml:space="preserve">(עי' אות </w:t>
      </w:r>
      <w:r w:rsidRPr="00D23ED4">
        <w:rPr>
          <w:rStyle w:val="af7"/>
          <w:rFonts w:eastAsia="Guttman Hodes"/>
          <w:rtl/>
        </w:rPr>
        <w:fldChar w:fldCharType="begin"/>
      </w:r>
      <w:r w:rsidRPr="00D23ED4">
        <w:rPr>
          <w:rStyle w:val="af7"/>
          <w:rFonts w:eastAsia="Guttman Hodes"/>
          <w:rtl/>
        </w:rPr>
        <w:instrText xml:space="preserve"> </w:instrText>
      </w:r>
      <w:r w:rsidRPr="00D23ED4">
        <w:rPr>
          <w:rStyle w:val="af7"/>
          <w:rFonts w:eastAsia="Guttman Hodes" w:hint="cs"/>
        </w:rPr>
        <w:instrText>REF</w:instrText>
      </w:r>
      <w:r w:rsidRPr="00D23ED4">
        <w:rPr>
          <w:rStyle w:val="af7"/>
          <w:rFonts w:eastAsia="Guttman Hodes" w:hint="cs"/>
          <w:rtl/>
        </w:rPr>
        <w:instrText xml:space="preserve"> _</w:instrText>
      </w:r>
      <w:r w:rsidRPr="00D23ED4">
        <w:rPr>
          <w:rStyle w:val="af7"/>
          <w:rFonts w:eastAsia="Guttman Hodes" w:hint="cs"/>
        </w:rPr>
        <w:instrText>Ref66186718 \r \h</w:instrText>
      </w:r>
      <w:r w:rsidRPr="00D23ED4">
        <w:rPr>
          <w:rStyle w:val="af7"/>
          <w:rFonts w:eastAsia="Guttman Hodes"/>
          <w:rtl/>
        </w:rPr>
        <w:instrText xml:space="preserve"> </w:instrText>
      </w:r>
      <w:r w:rsidRPr="00D23ED4">
        <w:rPr>
          <w:rStyle w:val="af7"/>
          <w:rFonts w:eastAsia="Guttman Hodes"/>
          <w:rtl/>
        </w:rPr>
      </w:r>
      <w:r w:rsidRPr="00D23ED4">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D23ED4">
        <w:rPr>
          <w:rStyle w:val="af7"/>
          <w:rFonts w:eastAsia="Guttman Hodes"/>
          <w:rtl/>
        </w:rPr>
        <w:fldChar w:fldCharType="end"/>
      </w:r>
      <w:r w:rsidRPr="00D23ED4">
        <w:rPr>
          <w:rStyle w:val="af7"/>
          <w:rFonts w:eastAsia="Guttman Hodes" w:hint="cs"/>
          <w:rtl/>
        </w:rPr>
        <w:t xml:space="preserve"> </w:t>
      </w:r>
      <w:r>
        <w:rPr>
          <w:rFonts w:hint="cs"/>
          <w:rtl/>
        </w:rPr>
        <w:t xml:space="preserve">דא"א לומר </w:t>
      </w:r>
      <w:r w:rsidRPr="00195D8E">
        <w:rPr>
          <w:rStyle w:val="af9"/>
          <w:rFonts w:hint="cs"/>
          <w:rtl/>
        </w:rPr>
        <w:t>דהרמב"ן</w:t>
      </w:r>
      <w:r>
        <w:rPr>
          <w:rFonts w:hint="cs"/>
          <w:rtl/>
        </w:rPr>
        <w:t xml:space="preserve"> ס"ל דלא מהני מיגו כנגד חזקה דמה שתח"י שלו הוא, דהא </w:t>
      </w:r>
      <w:r w:rsidRPr="004B1520">
        <w:rPr>
          <w:rStyle w:val="af9"/>
          <w:rtl/>
        </w:rPr>
        <w:t>הרמב"ן</w:t>
      </w:r>
      <w:r w:rsidRPr="008B6BC9">
        <w:rPr>
          <w:rtl/>
        </w:rPr>
        <w:t xml:space="preserve"> </w:t>
      </w:r>
      <w:r w:rsidRPr="00D23ED4">
        <w:rPr>
          <w:rStyle w:val="af7"/>
          <w:rFonts w:eastAsia="Guttman Rashi"/>
          <w:rtl/>
        </w:rPr>
        <w:t xml:space="preserve">(עי' אות </w:t>
      </w:r>
      <w:r w:rsidRPr="00D23ED4">
        <w:rPr>
          <w:rStyle w:val="af7"/>
          <w:rFonts w:eastAsia="Guttman Rashi"/>
          <w:rtl/>
        </w:rPr>
        <w:fldChar w:fldCharType="begin"/>
      </w:r>
      <w:r w:rsidRPr="00D23ED4">
        <w:rPr>
          <w:rStyle w:val="af7"/>
          <w:rFonts w:eastAsia="Guttman Rashi"/>
          <w:rtl/>
        </w:rPr>
        <w:instrText xml:space="preserve"> </w:instrText>
      </w:r>
      <w:r w:rsidRPr="00D23ED4">
        <w:rPr>
          <w:rStyle w:val="af7"/>
          <w:rFonts w:eastAsia="Guttman Rashi"/>
        </w:rPr>
        <w:instrText>REF</w:instrText>
      </w:r>
      <w:r w:rsidRPr="00D23ED4">
        <w:rPr>
          <w:rStyle w:val="af7"/>
          <w:rFonts w:eastAsia="Guttman Rashi"/>
          <w:rtl/>
        </w:rPr>
        <w:instrText xml:space="preserve"> _</w:instrText>
      </w:r>
      <w:r w:rsidRPr="00D23ED4">
        <w:rPr>
          <w:rStyle w:val="af7"/>
          <w:rFonts w:eastAsia="Guttman Rashi"/>
        </w:rPr>
        <w:instrText>Ref66116856 \r \h</w:instrText>
      </w:r>
      <w:r w:rsidRPr="00D23ED4">
        <w:rPr>
          <w:rStyle w:val="af7"/>
          <w:rFonts w:eastAsia="Guttman Rashi"/>
          <w:rtl/>
        </w:rPr>
        <w:instrText xml:space="preserve"> </w:instrText>
      </w:r>
      <w:r w:rsidRPr="00D23ED4">
        <w:rPr>
          <w:rStyle w:val="af7"/>
          <w:rFonts w:eastAsia="Guttman Rashi"/>
          <w:rtl/>
        </w:rPr>
      </w:r>
      <w:r w:rsidRPr="00D23ED4">
        <w:rPr>
          <w:rStyle w:val="af7"/>
          <w:rFonts w:eastAsia="Guttman Rashi"/>
          <w:rtl/>
        </w:rPr>
        <w:fldChar w:fldCharType="separate"/>
      </w:r>
      <w:r w:rsidR="00265073">
        <w:rPr>
          <w:rStyle w:val="af7"/>
          <w:rFonts w:eastAsia="Guttman Rashi"/>
          <w:cs/>
        </w:rPr>
        <w:t>‎</w:t>
      </w:r>
      <w:r w:rsidR="00265073">
        <w:rPr>
          <w:rStyle w:val="af7"/>
          <w:rFonts w:eastAsia="Guttman Rashi"/>
          <w:rtl/>
        </w:rPr>
        <w:t>א)</w:t>
      </w:r>
      <w:r w:rsidRPr="00D23ED4">
        <w:rPr>
          <w:rStyle w:val="af7"/>
          <w:rFonts w:eastAsia="Guttman Rashi"/>
          <w:rtl/>
        </w:rPr>
        <w:fldChar w:fldCharType="end"/>
      </w:r>
      <w:r w:rsidRPr="00D23ED4">
        <w:rPr>
          <w:rStyle w:val="af7"/>
          <w:rFonts w:eastAsia="Guttman Hodes"/>
          <w:rtl/>
        </w:rPr>
        <w:t xml:space="preserve"> </w:t>
      </w:r>
      <w:r w:rsidRPr="008B6BC9">
        <w:rPr>
          <w:rtl/>
        </w:rPr>
        <w:t>הקשה בסוגיין דיהיה נאמן במיגו, ומוכח דמהני מיגו נגד החזקה</w:t>
      </w:r>
      <w:r>
        <w:rPr>
          <w:rFonts w:hint="cs"/>
          <w:rtl/>
        </w:rPr>
        <w:t xml:space="preserve">, ועוד הקשה </w:t>
      </w:r>
      <w:r w:rsidRPr="00195D8E">
        <w:rPr>
          <w:rStyle w:val="af9"/>
          <w:rFonts w:hint="cs"/>
          <w:rtl/>
        </w:rPr>
        <w:t>האבי עזרי</w:t>
      </w:r>
      <w:r>
        <w:rPr>
          <w:rFonts w:hint="cs"/>
          <w:rtl/>
        </w:rPr>
        <w:t xml:space="preserve"> דהא כתב </w:t>
      </w:r>
      <w:r w:rsidRPr="00195D8E">
        <w:rPr>
          <w:rStyle w:val="af9"/>
          <w:rtl/>
        </w:rPr>
        <w:t>הרמב"ן</w:t>
      </w:r>
      <w:r w:rsidRPr="00571006">
        <w:rPr>
          <w:rStyle w:val="affa"/>
          <w:rtl/>
        </w:rPr>
        <w:t xml:space="preserve"> </w:t>
      </w:r>
      <w:r w:rsidRPr="00D23ED4">
        <w:rPr>
          <w:rStyle w:val="af7"/>
          <w:rFonts w:eastAsia="Guttman Hodes"/>
          <w:rtl/>
        </w:rPr>
        <w:t>(ד"ה</w:t>
      </w:r>
      <w:r w:rsidRPr="00D23ED4">
        <w:rPr>
          <w:rStyle w:val="af7"/>
          <w:rFonts w:eastAsia="Guttman Hodes" w:hint="cs"/>
          <w:rtl/>
        </w:rPr>
        <w:t xml:space="preserve"> והוי, הובא בסימן י"ז אות נ"ה) </w:t>
      </w:r>
      <w:r>
        <w:rPr>
          <w:rFonts w:hint="cs"/>
          <w:rtl/>
        </w:rPr>
        <w:t xml:space="preserve">דבסוגיין אף כשיש ב' עדים הוא נאמן במיגו דהחזרתי, </w:t>
      </w:r>
      <w:r w:rsidRPr="0062095A">
        <w:rPr>
          <w:rFonts w:hint="cs"/>
          <w:rtl/>
        </w:rPr>
        <w:t xml:space="preserve">וביאר </w:t>
      </w:r>
      <w:r w:rsidRPr="00195D8E">
        <w:rPr>
          <w:rStyle w:val="af9"/>
          <w:rFonts w:hint="cs"/>
          <w:rtl/>
        </w:rPr>
        <w:t>הרמב"ן</w:t>
      </w:r>
      <w:r w:rsidRPr="0062095A">
        <w:rPr>
          <w:rFonts w:hint="cs"/>
          <w:rtl/>
        </w:rPr>
        <w:t xml:space="preserve"> דאיירי דראו עדים את הנסכא ברשות הגזלן, ולכן אין לו מיגו דהחזרתי,</w:t>
      </w:r>
      <w:r>
        <w:rPr>
          <w:rFonts w:hint="cs"/>
          <w:rtl/>
        </w:rPr>
        <w:t xml:space="preserve"> ומוכח דמהני מיגו אף כנגד חזקה דמה שתח"י שלו הוא.</w:t>
      </w:r>
    </w:p>
    <w:p w:rsidR="00E824D3" w:rsidRPr="00AB0BC8" w:rsidRDefault="00E824D3" w:rsidP="00E824D3">
      <w:pPr>
        <w:pStyle w:val="a3"/>
      </w:pPr>
      <w:bookmarkStart w:id="18206" w:name="_Toc66193497"/>
      <w:r>
        <w:rPr>
          <w:rFonts w:hint="cs"/>
          <w:rtl/>
        </w:rPr>
        <w:t>ביאור האבי עזרי ברמב"ן דרק במקום שיש חשש קנוניא ל"מ מיגו כנגד חזקה דמה שתח"י שלו</w:t>
      </w:r>
      <w:bookmarkEnd w:id="18206"/>
    </w:p>
    <w:p w:rsidR="00E824D3" w:rsidRDefault="00E824D3" w:rsidP="007E4E81">
      <w:pPr>
        <w:pStyle w:val="a0"/>
        <w:rPr>
          <w:rtl/>
        </w:rPr>
      </w:pPr>
      <w:bookmarkStart w:id="18207" w:name="_Ref66193064"/>
      <w:r>
        <w:rPr>
          <w:rFonts w:hint="cs"/>
          <w:rtl/>
        </w:rPr>
        <w:t xml:space="preserve">אלא ביאר </w:t>
      </w:r>
      <w:r w:rsidRPr="00D23ED4">
        <w:rPr>
          <w:rStyle w:val="af9"/>
          <w:rFonts w:hint="cs"/>
          <w:rtl/>
        </w:rPr>
        <w:t>האבי עזרי</w:t>
      </w:r>
      <w:r>
        <w:rPr>
          <w:rFonts w:hint="cs"/>
          <w:rtl/>
        </w:rPr>
        <w:t xml:space="preserve"> דמ"ש</w:t>
      </w:r>
      <w:r w:rsidRPr="00CF1397">
        <w:rPr>
          <w:rStyle w:val="af9"/>
          <w:rFonts w:hint="cs"/>
          <w:rtl/>
        </w:rPr>
        <w:t xml:space="preserve"> </w:t>
      </w:r>
      <w:r w:rsidRPr="00F3578D">
        <w:rPr>
          <w:rStyle w:val="af9"/>
          <w:rFonts w:hint="cs"/>
          <w:rtl/>
        </w:rPr>
        <w:t>המ"מ</w:t>
      </w:r>
      <w:r w:rsidRPr="009C2396">
        <w:rPr>
          <w:rFonts w:hint="cs"/>
          <w:rtl/>
        </w:rPr>
        <w:t xml:space="preserve"> </w:t>
      </w:r>
      <w:r w:rsidRPr="008B59A9">
        <w:rPr>
          <w:rStyle w:val="af7"/>
          <w:rFonts w:eastAsia="Guttman Hodes" w:hint="cs"/>
          <w:rtl/>
        </w:rPr>
        <w:t xml:space="preserve">(עי' אות </w:t>
      </w:r>
      <w:r w:rsidRPr="008B59A9">
        <w:rPr>
          <w:rStyle w:val="af7"/>
          <w:rFonts w:eastAsia="Guttman Hodes"/>
          <w:rtl/>
        </w:rPr>
        <w:fldChar w:fldCharType="begin"/>
      </w:r>
      <w:r w:rsidRPr="008B59A9">
        <w:rPr>
          <w:rStyle w:val="af7"/>
          <w:rFonts w:eastAsia="Guttman Hodes"/>
          <w:rtl/>
        </w:rPr>
        <w:instrText xml:space="preserve"> </w:instrText>
      </w:r>
      <w:r w:rsidRPr="008B59A9">
        <w:rPr>
          <w:rStyle w:val="af7"/>
          <w:rFonts w:eastAsia="Guttman Hodes" w:hint="cs"/>
        </w:rPr>
        <w:instrText>REF</w:instrText>
      </w:r>
      <w:r w:rsidRPr="008B59A9">
        <w:rPr>
          <w:rStyle w:val="af7"/>
          <w:rFonts w:eastAsia="Guttman Hodes" w:hint="cs"/>
          <w:rtl/>
        </w:rPr>
        <w:instrText xml:space="preserve"> _</w:instrText>
      </w:r>
      <w:r w:rsidRPr="008B59A9">
        <w:rPr>
          <w:rStyle w:val="af7"/>
          <w:rFonts w:eastAsia="Guttman Hodes" w:hint="cs"/>
        </w:rPr>
        <w:instrText>Ref66184949 \r \h</w:instrText>
      </w:r>
      <w:r w:rsidRPr="008B59A9">
        <w:rPr>
          <w:rStyle w:val="af7"/>
          <w:rFonts w:eastAsia="Guttman Hodes"/>
          <w:rtl/>
        </w:rPr>
        <w:instrText xml:space="preserve"> </w:instrText>
      </w:r>
      <w:r w:rsidRPr="008B59A9">
        <w:rPr>
          <w:rStyle w:val="af7"/>
          <w:rFonts w:eastAsia="Guttman Hodes"/>
          <w:rtl/>
        </w:rPr>
      </w:r>
      <w:r w:rsidRPr="008B59A9">
        <w:rPr>
          <w:rStyle w:val="af7"/>
          <w:rFonts w:eastAsia="Guttman Hodes"/>
          <w:rtl/>
        </w:rPr>
        <w:fldChar w:fldCharType="separate"/>
      </w:r>
      <w:r w:rsidR="00265073">
        <w:rPr>
          <w:rStyle w:val="af7"/>
          <w:rFonts w:eastAsia="Guttman Hodes"/>
          <w:cs/>
        </w:rPr>
        <w:t>‎</w:t>
      </w:r>
      <w:r w:rsidR="00265073">
        <w:rPr>
          <w:rStyle w:val="af7"/>
          <w:rFonts w:eastAsia="Guttman Hodes"/>
          <w:rtl/>
        </w:rPr>
        <w:t>ס)</w:t>
      </w:r>
      <w:r w:rsidRPr="008B59A9">
        <w:rPr>
          <w:rStyle w:val="af7"/>
          <w:rFonts w:eastAsia="Guttman Hodes"/>
          <w:rtl/>
        </w:rPr>
        <w:fldChar w:fldCharType="end"/>
      </w:r>
      <w:r w:rsidRPr="009C2396">
        <w:rPr>
          <w:rFonts w:hint="cs"/>
          <w:rtl/>
        </w:rPr>
        <w:t xml:space="preserve"> בשם </w:t>
      </w:r>
      <w:r w:rsidRPr="00F3578D">
        <w:rPr>
          <w:rStyle w:val="af9"/>
          <w:rFonts w:hint="cs"/>
          <w:rtl/>
        </w:rPr>
        <w:t>הרמב"ן</w:t>
      </w:r>
      <w:r w:rsidRPr="009C2396">
        <w:rPr>
          <w:rFonts w:hint="cs"/>
          <w:rtl/>
        </w:rPr>
        <w:t xml:space="preserve"> דל"מ מהני מיגו כנגד חזקה דמה שתח"י שלו, </w:t>
      </w:r>
      <w:r>
        <w:rPr>
          <w:rFonts w:hint="cs"/>
          <w:rtl/>
        </w:rPr>
        <w:t xml:space="preserve">היינו כדביאר </w:t>
      </w:r>
      <w:r w:rsidRPr="00D23ED4">
        <w:rPr>
          <w:rStyle w:val="af9"/>
          <w:rFonts w:hint="cs"/>
          <w:rtl/>
        </w:rPr>
        <w:t>הרמב"ן</w:t>
      </w:r>
      <w:r>
        <w:rPr>
          <w:rFonts w:hint="cs"/>
          <w:rtl/>
        </w:rPr>
        <w:t xml:space="preserve"> דברוצה להבריח מבע"ח חיישינן לקנוניא, אבל בכל מקום ס"ל דמהני מיגו כנגד החזקה דמה שתח"י שלו הוא.</w:t>
      </w:r>
      <w:bookmarkEnd w:id="18207"/>
    </w:p>
    <w:p w:rsidR="00E824D3" w:rsidRDefault="00E824D3" w:rsidP="00E824D3">
      <w:pPr>
        <w:pStyle w:val="a3"/>
        <w:rPr>
          <w:rtl/>
        </w:rPr>
      </w:pPr>
      <w:bookmarkStart w:id="18208" w:name="_Toc66193498"/>
      <w:r>
        <w:rPr>
          <w:rFonts w:hint="cs"/>
          <w:rtl/>
        </w:rPr>
        <w:t>דברי האבי עזרי דבגר"א בדעת הרמב"ם מוכח דל"מ מיגו כנגד חזקה דמה שתח"י שלו</w:t>
      </w:r>
      <w:bookmarkEnd w:id="18208"/>
    </w:p>
    <w:p w:rsidR="00E824D3" w:rsidRPr="00AB0BC8" w:rsidRDefault="00E824D3" w:rsidP="007E4E81">
      <w:pPr>
        <w:pStyle w:val="a0"/>
        <w:rPr>
          <w:rtl/>
        </w:rPr>
      </w:pPr>
      <w:bookmarkStart w:id="18209" w:name="_Ref66205188"/>
      <w:r>
        <w:rPr>
          <w:rFonts w:hint="cs"/>
          <w:rtl/>
        </w:rPr>
        <w:t xml:space="preserve">אך כתב </w:t>
      </w:r>
      <w:r w:rsidRPr="003F52E5">
        <w:rPr>
          <w:rStyle w:val="af9"/>
          <w:rFonts w:hint="cs"/>
          <w:rtl/>
        </w:rPr>
        <w:t>האבי עזרי</w:t>
      </w:r>
      <w:r w:rsidRPr="00D23ED4">
        <w:rPr>
          <w:rStyle w:val="af7"/>
          <w:rFonts w:eastAsia="Guttman Hodes" w:hint="cs"/>
          <w:rtl/>
        </w:rPr>
        <w:t xml:space="preserve"> (גזילה ואבידה פ"ד הי"ד ד"ה</w:t>
      </w:r>
      <w:r>
        <w:rPr>
          <w:rStyle w:val="af7"/>
          <w:rFonts w:eastAsia="Guttman Hodes" w:hint="cs"/>
          <w:rtl/>
        </w:rPr>
        <w:t xml:space="preserve"> והנה הגר"א)</w:t>
      </w:r>
      <w:r>
        <w:rPr>
          <w:rFonts w:hint="cs"/>
          <w:rtl/>
        </w:rPr>
        <w:t xml:space="preserve"> דמדברי </w:t>
      </w:r>
      <w:r w:rsidRPr="005E58AB">
        <w:rPr>
          <w:rStyle w:val="af9"/>
          <w:rFonts w:hint="cs"/>
          <w:rtl/>
        </w:rPr>
        <w:t>הגר"א</w:t>
      </w:r>
      <w:r>
        <w:rPr>
          <w:rFonts w:hint="cs"/>
          <w:rtl/>
        </w:rPr>
        <w:t xml:space="preserve"> </w:t>
      </w:r>
      <w:r w:rsidRPr="001E0D78">
        <w:rPr>
          <w:rStyle w:val="af7"/>
          <w:rFonts w:eastAsia="Guttman Hodes" w:hint="cs"/>
          <w:rtl/>
        </w:rPr>
        <w:t>(סי' שס"ד סק"ז)</w:t>
      </w:r>
      <w:r>
        <w:rPr>
          <w:rFonts w:hint="cs"/>
          <w:rtl/>
        </w:rPr>
        <w:t xml:space="preserve"> מוכח כדברי </w:t>
      </w:r>
      <w:r>
        <w:rPr>
          <w:rStyle w:val="af9"/>
          <w:rFonts w:hint="cs"/>
          <w:rtl/>
        </w:rPr>
        <w:t>ה</w:t>
      </w:r>
      <w:r w:rsidRPr="00F3578D">
        <w:rPr>
          <w:rStyle w:val="af9"/>
          <w:rFonts w:hint="cs"/>
          <w:rtl/>
        </w:rPr>
        <w:t>אבהא"ז</w:t>
      </w:r>
      <w:r>
        <w:rPr>
          <w:rFonts w:hint="cs"/>
          <w:rtl/>
        </w:rPr>
        <w:t xml:space="preserve">, דכתב </w:t>
      </w:r>
      <w:r w:rsidRPr="005E58AB">
        <w:rPr>
          <w:rStyle w:val="af9"/>
          <w:rFonts w:hint="cs"/>
          <w:rtl/>
        </w:rPr>
        <w:t>הגר"א</w:t>
      </w:r>
      <w:r>
        <w:rPr>
          <w:rFonts w:hint="cs"/>
          <w:rtl/>
        </w:rPr>
        <w:t xml:space="preserve"> דלדעת </w:t>
      </w:r>
      <w:r w:rsidRPr="00CF1B10">
        <w:rPr>
          <w:rStyle w:val="af9"/>
          <w:rFonts w:hint="cs"/>
          <w:rtl/>
        </w:rPr>
        <w:t>הרמב"ם</w:t>
      </w:r>
      <w:r>
        <w:rPr>
          <w:rFonts w:hint="cs"/>
          <w:rtl/>
        </w:rPr>
        <w:t xml:space="preserve"> כשיש ב' עדים שחטף, לא מהני מיגו דהחזרתי, כיון שהוא מיגו במקום חזקה דמה שתח"י שלו הוא, וכדהביא </w:t>
      </w:r>
      <w:r>
        <w:rPr>
          <w:rStyle w:val="af9"/>
          <w:rFonts w:hint="cs"/>
          <w:rtl/>
        </w:rPr>
        <w:t>ה</w:t>
      </w:r>
      <w:r w:rsidRPr="00F3578D">
        <w:rPr>
          <w:rStyle w:val="af9"/>
          <w:rFonts w:hint="cs"/>
          <w:rtl/>
        </w:rPr>
        <w:t>אבהא"ז</w:t>
      </w:r>
      <w:r w:rsidRPr="009C2396">
        <w:rPr>
          <w:rFonts w:hint="cs"/>
          <w:rtl/>
        </w:rPr>
        <w:t xml:space="preserve"> </w:t>
      </w:r>
      <w:r w:rsidRPr="00D23ED4">
        <w:rPr>
          <w:rStyle w:val="af7"/>
          <w:rFonts w:eastAsia="Guttman Hodes" w:hint="cs"/>
          <w:rtl/>
        </w:rPr>
        <w:t xml:space="preserve">(עי' אות </w:t>
      </w:r>
      <w:r w:rsidRPr="00D23ED4">
        <w:rPr>
          <w:rStyle w:val="af7"/>
          <w:rFonts w:eastAsia="Guttman Hodes"/>
          <w:rtl/>
        </w:rPr>
        <w:fldChar w:fldCharType="begin"/>
      </w:r>
      <w:r w:rsidRPr="00D23ED4">
        <w:rPr>
          <w:rStyle w:val="af7"/>
          <w:rFonts w:eastAsia="Guttman Hodes"/>
          <w:rtl/>
        </w:rPr>
        <w:instrText xml:space="preserve"> </w:instrText>
      </w:r>
      <w:r w:rsidRPr="00D23ED4">
        <w:rPr>
          <w:rStyle w:val="af7"/>
          <w:rFonts w:eastAsia="Guttman Hodes" w:hint="cs"/>
        </w:rPr>
        <w:instrText>REF</w:instrText>
      </w:r>
      <w:r w:rsidRPr="00D23ED4">
        <w:rPr>
          <w:rStyle w:val="af7"/>
          <w:rFonts w:eastAsia="Guttman Hodes" w:hint="cs"/>
          <w:rtl/>
        </w:rPr>
        <w:instrText xml:space="preserve"> _</w:instrText>
      </w:r>
      <w:r w:rsidRPr="00D23ED4">
        <w:rPr>
          <w:rStyle w:val="af7"/>
          <w:rFonts w:eastAsia="Guttman Hodes" w:hint="cs"/>
        </w:rPr>
        <w:instrText>Ref66186718 \r \h</w:instrText>
      </w:r>
      <w:r w:rsidRPr="00D23ED4">
        <w:rPr>
          <w:rStyle w:val="af7"/>
          <w:rFonts w:eastAsia="Guttman Hodes"/>
          <w:rtl/>
        </w:rPr>
        <w:instrText xml:space="preserve"> </w:instrText>
      </w:r>
      <w:r w:rsidRPr="00D23ED4">
        <w:rPr>
          <w:rStyle w:val="af7"/>
          <w:rFonts w:eastAsia="Guttman Hodes"/>
          <w:rtl/>
        </w:rPr>
      </w:r>
      <w:r w:rsidRPr="00D23ED4">
        <w:rPr>
          <w:rStyle w:val="af7"/>
          <w:rFonts w:eastAsia="Guttman Hodes"/>
          <w:rtl/>
        </w:rPr>
        <w:fldChar w:fldCharType="separate"/>
      </w:r>
      <w:r w:rsidR="00265073">
        <w:rPr>
          <w:rStyle w:val="af7"/>
          <w:rFonts w:eastAsia="Guttman Hodes"/>
          <w:cs/>
        </w:rPr>
        <w:t>‎</w:t>
      </w:r>
      <w:r w:rsidR="00265073">
        <w:rPr>
          <w:rStyle w:val="af7"/>
          <w:rFonts w:eastAsia="Guttman Hodes"/>
          <w:rtl/>
        </w:rPr>
        <w:t>ע)</w:t>
      </w:r>
      <w:r w:rsidRPr="00D23ED4">
        <w:rPr>
          <w:rStyle w:val="af7"/>
          <w:rFonts w:eastAsia="Guttman Hodes"/>
          <w:rtl/>
        </w:rPr>
        <w:fldChar w:fldCharType="end"/>
      </w:r>
      <w:r w:rsidRPr="00CF1B10">
        <w:rPr>
          <w:rFonts w:hint="cs"/>
          <w:rtl/>
        </w:rPr>
        <w:t xml:space="preserve"> </w:t>
      </w:r>
      <w:r>
        <w:rPr>
          <w:rFonts w:hint="cs"/>
          <w:rtl/>
        </w:rPr>
        <w:t xml:space="preserve">מדברי </w:t>
      </w:r>
      <w:r w:rsidRPr="00F22864">
        <w:rPr>
          <w:rStyle w:val="af9"/>
          <w:rFonts w:hint="cs"/>
          <w:rtl/>
        </w:rPr>
        <w:t>הגר"א</w:t>
      </w:r>
      <w:r>
        <w:rPr>
          <w:rFonts w:hint="cs"/>
          <w:rtl/>
        </w:rPr>
        <w:t xml:space="preserve"> </w:t>
      </w:r>
      <w:r w:rsidRPr="00F22864">
        <w:rPr>
          <w:rStyle w:val="af7"/>
          <w:rFonts w:eastAsia="Guttman Hodes" w:hint="cs"/>
          <w:rtl/>
        </w:rPr>
        <w:t xml:space="preserve">(עי' אות </w:t>
      </w:r>
      <w:r w:rsidRPr="00F22864">
        <w:rPr>
          <w:rStyle w:val="af7"/>
          <w:rFonts w:eastAsia="Guttman Hodes"/>
          <w:rtl/>
        </w:rPr>
        <w:fldChar w:fldCharType="begin"/>
      </w:r>
      <w:r w:rsidRPr="00F22864">
        <w:rPr>
          <w:rStyle w:val="af7"/>
          <w:rFonts w:eastAsia="Guttman Hodes"/>
          <w:rtl/>
        </w:rPr>
        <w:instrText xml:space="preserve"> </w:instrText>
      </w:r>
      <w:r w:rsidRPr="00F22864">
        <w:rPr>
          <w:rStyle w:val="af7"/>
          <w:rFonts w:eastAsia="Guttman Hodes" w:hint="cs"/>
        </w:rPr>
        <w:instrText>REF</w:instrText>
      </w:r>
      <w:r w:rsidRPr="00F22864">
        <w:rPr>
          <w:rStyle w:val="af7"/>
          <w:rFonts w:eastAsia="Guttman Hodes" w:hint="cs"/>
          <w:rtl/>
        </w:rPr>
        <w:instrText xml:space="preserve"> _</w:instrText>
      </w:r>
      <w:r w:rsidRPr="00F22864">
        <w:rPr>
          <w:rStyle w:val="af7"/>
          <w:rFonts w:eastAsia="Guttman Hodes" w:hint="cs"/>
        </w:rPr>
        <w:instrText>Ref66186120 \r \h</w:instrText>
      </w:r>
      <w:r w:rsidRPr="00F22864">
        <w:rPr>
          <w:rStyle w:val="af7"/>
          <w:rFonts w:eastAsia="Guttman Hodes"/>
          <w:rtl/>
        </w:rPr>
        <w:instrText xml:space="preserve"> </w:instrText>
      </w:r>
      <w:r w:rsidRPr="00F22864">
        <w:rPr>
          <w:rStyle w:val="af7"/>
          <w:rFonts w:eastAsia="Guttman Hodes"/>
          <w:rtl/>
        </w:rPr>
      </w:r>
      <w:r w:rsidRPr="00F22864">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F22864">
        <w:rPr>
          <w:rStyle w:val="af7"/>
          <w:rFonts w:eastAsia="Guttman Hodes"/>
          <w:rtl/>
        </w:rPr>
        <w:fldChar w:fldCharType="end"/>
      </w:r>
      <w:r>
        <w:rPr>
          <w:rFonts w:hint="cs"/>
          <w:rtl/>
        </w:rPr>
        <w:t xml:space="preserve"> דכתב דמקור דברי </w:t>
      </w:r>
      <w:r w:rsidRPr="00F22864">
        <w:rPr>
          <w:rStyle w:val="af9"/>
          <w:rFonts w:hint="cs"/>
          <w:rtl/>
        </w:rPr>
        <w:t>הרמב"ם</w:t>
      </w:r>
      <w:r>
        <w:rPr>
          <w:rFonts w:hint="cs"/>
          <w:rtl/>
        </w:rPr>
        <w:t xml:space="preserve"> </w:t>
      </w:r>
      <w:r w:rsidRPr="00F22864">
        <w:rPr>
          <w:rStyle w:val="af7"/>
          <w:rFonts w:eastAsia="Guttman Hodes" w:hint="cs"/>
          <w:rtl/>
        </w:rPr>
        <w:t xml:space="preserve">(עי' אות </w:t>
      </w:r>
      <w:r w:rsidRPr="00F22864">
        <w:rPr>
          <w:rStyle w:val="af7"/>
          <w:rFonts w:eastAsia="Guttman Hodes"/>
          <w:rtl/>
        </w:rPr>
        <w:fldChar w:fldCharType="begin"/>
      </w:r>
      <w:r w:rsidRPr="00F22864">
        <w:rPr>
          <w:rStyle w:val="af7"/>
          <w:rFonts w:eastAsia="Guttman Hodes"/>
          <w:rtl/>
        </w:rPr>
        <w:instrText xml:space="preserve"> </w:instrText>
      </w:r>
      <w:r w:rsidRPr="00F22864">
        <w:rPr>
          <w:rStyle w:val="af7"/>
          <w:rFonts w:eastAsia="Guttman Hodes" w:hint="cs"/>
        </w:rPr>
        <w:instrText>REF</w:instrText>
      </w:r>
      <w:r w:rsidRPr="00F22864">
        <w:rPr>
          <w:rStyle w:val="af7"/>
          <w:rFonts w:eastAsia="Guttman Hodes" w:hint="cs"/>
          <w:rtl/>
        </w:rPr>
        <w:instrText xml:space="preserve"> _</w:instrText>
      </w:r>
      <w:r w:rsidRPr="00F22864">
        <w:rPr>
          <w:rStyle w:val="af7"/>
          <w:rFonts w:eastAsia="Guttman Hodes" w:hint="cs"/>
        </w:rPr>
        <w:instrText>Ref66186120 \r \h</w:instrText>
      </w:r>
      <w:r w:rsidRPr="00F22864">
        <w:rPr>
          <w:rStyle w:val="af7"/>
          <w:rFonts w:eastAsia="Guttman Hodes"/>
          <w:rtl/>
        </w:rPr>
        <w:instrText xml:space="preserve"> </w:instrText>
      </w:r>
      <w:r w:rsidRPr="00F22864">
        <w:rPr>
          <w:rStyle w:val="af7"/>
          <w:rFonts w:eastAsia="Guttman Hodes"/>
          <w:rtl/>
        </w:rPr>
      </w:r>
      <w:r w:rsidRPr="00F22864">
        <w:rPr>
          <w:rStyle w:val="af7"/>
          <w:rFonts w:eastAsia="Guttman Hodes"/>
          <w:rtl/>
        </w:rPr>
        <w:fldChar w:fldCharType="separate"/>
      </w:r>
      <w:r w:rsidR="00265073">
        <w:rPr>
          <w:rStyle w:val="af7"/>
          <w:rFonts w:eastAsia="Guttman Hodes"/>
          <w:cs/>
        </w:rPr>
        <w:t>‎</w:t>
      </w:r>
      <w:r w:rsidR="00265073">
        <w:rPr>
          <w:rStyle w:val="af7"/>
          <w:rFonts w:eastAsia="Guttman Hodes"/>
          <w:rtl/>
        </w:rPr>
        <w:t>נח)</w:t>
      </w:r>
      <w:r w:rsidRPr="00F22864">
        <w:rPr>
          <w:rStyle w:val="af7"/>
          <w:rFonts w:eastAsia="Guttman Hodes"/>
          <w:rtl/>
        </w:rPr>
        <w:fldChar w:fldCharType="end"/>
      </w:r>
      <w:r>
        <w:rPr>
          <w:rFonts w:hint="cs"/>
          <w:rtl/>
        </w:rPr>
        <w:t xml:space="preserve"> דאינו נאמן במיגו כנגד חזקה דמה שתח"י שלו הוא מסוגיין</w:t>
      </w:r>
      <w:r w:rsidRPr="000F5186">
        <w:rPr>
          <w:rFonts w:hint="cs"/>
          <w:rtl/>
        </w:rPr>
        <w:t xml:space="preserve"> </w:t>
      </w:r>
      <w:r>
        <w:rPr>
          <w:rFonts w:hint="cs"/>
          <w:rtl/>
        </w:rPr>
        <w:t xml:space="preserve">ועי' ב"ש </w:t>
      </w:r>
      <w:r w:rsidRPr="00AF0A0B">
        <w:rPr>
          <w:rStyle w:val="af9"/>
          <w:rFonts w:hint="cs"/>
          <w:rtl/>
        </w:rPr>
        <w:t>בחי' רבי נחום</w:t>
      </w:r>
      <w:r>
        <w:rPr>
          <w:rFonts w:hint="cs"/>
          <w:rtl/>
        </w:rPr>
        <w:t xml:space="preserve"> </w:t>
      </w:r>
      <w:r w:rsidRPr="00654918">
        <w:rPr>
          <w:rStyle w:val="af7"/>
          <w:rFonts w:eastAsia="Guttman Hodes" w:hint="cs"/>
          <w:rtl/>
        </w:rPr>
        <w:t>(עי' הערה</w:t>
      </w:r>
      <w:r>
        <w:rPr>
          <w:vertAlign w:val="superscript"/>
          <w:rtl/>
        </w:rPr>
        <w:fldChar w:fldCharType="begin"/>
      </w:r>
      <w:r>
        <w:rPr>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Ref66185667 \h</w:instrText>
      </w:r>
      <w:r>
        <w:rPr>
          <w:vertAlign w:val="superscript"/>
          <w:rtl/>
        </w:rPr>
        <w:instrText xml:space="preserve"> </w:instrText>
      </w:r>
      <w:r>
        <w:rPr>
          <w:vertAlign w:val="superscript"/>
          <w:rtl/>
        </w:rPr>
      </w:r>
      <w:r>
        <w:rPr>
          <w:vertAlign w:val="superscript"/>
          <w:rtl/>
        </w:rPr>
        <w:fldChar w:fldCharType="separate"/>
      </w:r>
      <w:r w:rsidR="00265073">
        <w:rPr>
          <w:vertAlign w:val="superscript"/>
          <w:rtl/>
        </w:rPr>
        <w:t>125</w:t>
      </w:r>
      <w:r>
        <w:rPr>
          <w:vertAlign w:val="superscript"/>
          <w:rtl/>
        </w:rPr>
        <w:fldChar w:fldCharType="end"/>
      </w:r>
      <w:r w:rsidRPr="00654918">
        <w:rPr>
          <w:rStyle w:val="af7"/>
          <w:rFonts w:eastAsia="Guttman Hodes" w:hint="cs"/>
          <w:rtl/>
        </w:rPr>
        <w:t>)</w:t>
      </w:r>
      <w:r>
        <w:rPr>
          <w:rFonts w:hint="cs"/>
          <w:rtl/>
        </w:rPr>
        <w:t>.</w:t>
      </w:r>
      <w:bookmarkEnd w:id="18209"/>
    </w:p>
    <w:p w:rsidR="00E824D3" w:rsidRDefault="00E824D3" w:rsidP="00E824D3">
      <w:pPr>
        <w:pStyle w:val="1"/>
        <w:rPr>
          <w:rtl/>
        </w:rPr>
      </w:pPr>
      <w:bookmarkStart w:id="18210" w:name="_Toc66123402"/>
      <w:bookmarkStart w:id="18211" w:name="_Toc66143850"/>
      <w:bookmarkStart w:id="18212" w:name="_Toc66172013"/>
      <w:bookmarkStart w:id="18213" w:name="_Toc66183250"/>
      <w:bookmarkStart w:id="18214" w:name="_Toc66186033"/>
      <w:bookmarkStart w:id="18215" w:name="_Toc66193499"/>
      <w:bookmarkStart w:id="18216" w:name="_Toc66048882"/>
      <w:bookmarkStart w:id="18217" w:name="_Toc66055835"/>
      <w:bookmarkStart w:id="18218" w:name="_Toc66085955"/>
      <w:bookmarkStart w:id="18219" w:name="_Toc66110528"/>
      <w:bookmarkStart w:id="18220" w:name="_Toc66048881"/>
      <w:bookmarkStart w:id="18221" w:name="_Toc66055834"/>
      <w:bookmarkStart w:id="18222" w:name="_Toc66085954"/>
      <w:bookmarkStart w:id="18223" w:name="_Toc66110527"/>
      <w:bookmarkStart w:id="18224" w:name="_Toc66123399"/>
      <w:bookmarkStart w:id="18225" w:name="_Toc66143847"/>
      <w:bookmarkStart w:id="18226" w:name="_Toc66172010"/>
      <w:r>
        <w:rPr>
          <w:rFonts w:hint="cs"/>
          <w:rtl/>
        </w:rPr>
        <w:t>דעת הגרנ"ט דמיגו מהני נגד חזקת הנהגה דהמיגו הוא מברר</w:t>
      </w:r>
      <w:bookmarkEnd w:id="18210"/>
      <w:bookmarkEnd w:id="18211"/>
      <w:bookmarkEnd w:id="18212"/>
      <w:bookmarkEnd w:id="18213"/>
      <w:bookmarkEnd w:id="18214"/>
      <w:bookmarkEnd w:id="18215"/>
    </w:p>
    <w:p w:rsidR="00E824D3" w:rsidRPr="00A242D1" w:rsidRDefault="00E824D3" w:rsidP="00E824D3">
      <w:pPr>
        <w:pStyle w:val="a3"/>
        <w:rPr>
          <w:rtl/>
        </w:rPr>
      </w:pPr>
      <w:bookmarkStart w:id="18227" w:name="_Toc66123403"/>
      <w:bookmarkStart w:id="18228" w:name="_Toc66143851"/>
      <w:bookmarkStart w:id="18229" w:name="_Toc66172014"/>
      <w:bookmarkStart w:id="18230" w:name="_Toc66183251"/>
      <w:bookmarkStart w:id="18231" w:name="_Toc66186034"/>
      <w:bookmarkStart w:id="18232" w:name="_Toc66193500"/>
      <w:r>
        <w:rPr>
          <w:rFonts w:hint="cs"/>
          <w:rtl/>
        </w:rPr>
        <w:t>ביאור הגרנ"ט דכשאין עדים שחטף מהני מיגו נגד חזקת הנהגה ורק נגד חזקת בירור ל"מ מיגו</w:t>
      </w:r>
      <w:bookmarkEnd w:id="18227"/>
      <w:bookmarkEnd w:id="18228"/>
      <w:bookmarkEnd w:id="18229"/>
      <w:bookmarkEnd w:id="18230"/>
      <w:bookmarkEnd w:id="18231"/>
      <w:bookmarkEnd w:id="18232"/>
    </w:p>
    <w:p w:rsidR="00E824D3" w:rsidRDefault="00E824D3" w:rsidP="007E4E81">
      <w:pPr>
        <w:pStyle w:val="a0"/>
        <w:rPr>
          <w:rtl/>
        </w:rPr>
      </w:pPr>
      <w:bookmarkStart w:id="18233" w:name="_Ref66177695"/>
      <w:bookmarkStart w:id="18234" w:name="_Ref66185048"/>
      <w:r>
        <w:rPr>
          <w:rFonts w:hint="cs"/>
          <w:rtl/>
        </w:rPr>
        <w:t xml:space="preserve">בהא דאמרינן דכשאין עדים שחטף, נאמן במיגו דהיה טוען לא חטפי, הקשה </w:t>
      </w:r>
      <w:r w:rsidRPr="00FD0A0C">
        <w:rPr>
          <w:rStyle w:val="af9"/>
          <w:rFonts w:hint="cs"/>
          <w:rtl/>
        </w:rPr>
        <w:t>הגרנ"ט</w:t>
      </w:r>
      <w:r>
        <w:rPr>
          <w:rFonts w:hint="cs"/>
          <w:rtl/>
        </w:rPr>
        <w:t xml:space="preserve"> </w:t>
      </w:r>
      <w:r w:rsidRPr="006138B1">
        <w:rPr>
          <w:rStyle w:val="af7"/>
          <w:rFonts w:eastAsia="Guttman Hodes" w:hint="cs"/>
          <w:rtl/>
        </w:rPr>
        <w:t>(סי' קע"ט או' א' ד"ה והנה יל"ע)</w:t>
      </w:r>
      <w:r>
        <w:rPr>
          <w:rFonts w:hint="cs"/>
          <w:rtl/>
        </w:rPr>
        <w:t xml:space="preserve"> דאחר שהודה שחטף, א"כ יש לראשון חזקה דכ"מ שתח"י שלו הוא, ולא מהני מיגו כנגד חזקה, כמבואר בגמ' לעיל </w:t>
      </w:r>
      <w:r w:rsidRPr="006138B1">
        <w:rPr>
          <w:rStyle w:val="af7"/>
          <w:rFonts w:eastAsia="Guttman Hodes" w:hint="cs"/>
          <w:rtl/>
        </w:rPr>
        <w:t>(ה:)</w:t>
      </w:r>
      <w:r>
        <w:rPr>
          <w:rFonts w:hint="cs"/>
          <w:rtl/>
        </w:rPr>
        <w:t xml:space="preserve"> דל"מ מיגו כנגד חזקה דאין אדם פורע תוך זמנו, </w:t>
      </w:r>
      <w:r w:rsidRPr="00FD0A0C">
        <w:rPr>
          <w:rStyle w:val="afb"/>
          <w:rFonts w:hint="cs"/>
          <w:rtl/>
        </w:rPr>
        <w:t xml:space="preserve">[עיי"ש במה שביאר </w:t>
      </w:r>
      <w:r w:rsidRPr="00FD0A0C">
        <w:rPr>
          <w:rStyle w:val="affa"/>
          <w:rFonts w:hint="cs"/>
          <w:rtl/>
        </w:rPr>
        <w:t xml:space="preserve">הגרנ"ט </w:t>
      </w:r>
      <w:r w:rsidRPr="00FD0A0C">
        <w:rPr>
          <w:rStyle w:val="afb"/>
          <w:rFonts w:hint="cs"/>
          <w:rtl/>
        </w:rPr>
        <w:t>בדין מיגו כנגד חזקה]</w:t>
      </w:r>
      <w:r>
        <w:rPr>
          <w:rStyle w:val="afb"/>
          <w:rFonts w:hint="cs"/>
          <w:rtl/>
        </w:rPr>
        <w:t xml:space="preserve">, </w:t>
      </w:r>
      <w:r>
        <w:rPr>
          <w:rFonts w:hint="cs"/>
          <w:rtl/>
        </w:rPr>
        <w:t>ותירץ</w:t>
      </w:r>
      <w:r w:rsidRPr="00FD0A0C">
        <w:rPr>
          <w:rStyle w:val="af9"/>
          <w:rFonts w:hint="cs"/>
          <w:rtl/>
        </w:rPr>
        <w:t xml:space="preserve"> הגרנ"ט</w:t>
      </w:r>
      <w:r>
        <w:rPr>
          <w:rFonts w:hint="cs"/>
          <w:rtl/>
        </w:rPr>
        <w:t xml:space="preserve"> </w:t>
      </w:r>
      <w:r w:rsidRPr="006138B1">
        <w:rPr>
          <w:rStyle w:val="af7"/>
          <w:rFonts w:eastAsia="Guttman Hodes" w:hint="cs"/>
          <w:rtl/>
        </w:rPr>
        <w:t>(סי' קע"ט או' א' ד"ה והנראה בזה)</w:t>
      </w:r>
      <w:r>
        <w:rPr>
          <w:rFonts w:hint="cs"/>
          <w:rtl/>
        </w:rPr>
        <w:t xml:space="preserve"> דהא דלא מהני מיגו כנגד חזקה, היינו בחזקה של בירור, כחזקה דאין אדם פורע תוך זמנו, דיש לנו ספק מה מברר יותר, החזקה או המיגו, ולכן אינו נאמן במיגו כנגד החזקה, אבל בחזקה שאינה בירור אלא הנהגה, כחזקה דמה שתח"י שלו הוא, בכה"ג ודאי דמיגו עדיף מהחזקה, ועי במ"ש </w:t>
      </w:r>
      <w:r w:rsidRPr="008A1918">
        <w:rPr>
          <w:rStyle w:val="af9"/>
          <w:rFonts w:hint="cs"/>
          <w:rtl/>
        </w:rPr>
        <w:t>הגר"ח</w:t>
      </w:r>
      <w:r>
        <w:rPr>
          <w:rFonts w:hint="cs"/>
          <w:rtl/>
        </w:rPr>
        <w:t xml:space="preserve"> </w:t>
      </w:r>
      <w:r w:rsidRPr="008A1918">
        <w:rPr>
          <w:rStyle w:val="af7"/>
          <w:rFonts w:eastAsia="Guttman Hodes" w:hint="cs"/>
          <w:rtl/>
        </w:rPr>
        <w:t xml:space="preserve">(עי' אות </w:t>
      </w:r>
      <w:r w:rsidRPr="008A1918">
        <w:rPr>
          <w:rStyle w:val="af7"/>
          <w:rFonts w:eastAsia="Guttman Hodes"/>
          <w:rtl/>
        </w:rPr>
        <w:fldChar w:fldCharType="begin"/>
      </w:r>
      <w:r w:rsidRPr="008A1918">
        <w:rPr>
          <w:rStyle w:val="af7"/>
          <w:rFonts w:eastAsia="Guttman Hodes"/>
          <w:rtl/>
        </w:rPr>
        <w:instrText xml:space="preserve"> </w:instrText>
      </w:r>
      <w:r w:rsidRPr="008A1918">
        <w:rPr>
          <w:rStyle w:val="af7"/>
          <w:rFonts w:eastAsia="Guttman Hodes" w:hint="cs"/>
        </w:rPr>
        <w:instrText>REF</w:instrText>
      </w:r>
      <w:r w:rsidRPr="008A1918">
        <w:rPr>
          <w:rStyle w:val="af7"/>
          <w:rFonts w:eastAsia="Guttman Hodes" w:hint="cs"/>
          <w:rtl/>
        </w:rPr>
        <w:instrText xml:space="preserve"> _</w:instrText>
      </w:r>
      <w:r w:rsidRPr="008A1918">
        <w:rPr>
          <w:rStyle w:val="af7"/>
          <w:rFonts w:eastAsia="Guttman Hodes" w:hint="cs"/>
        </w:rPr>
        <w:instrText>Ref66171289 \r \h</w:instrText>
      </w:r>
      <w:r w:rsidRPr="008A1918">
        <w:rPr>
          <w:rStyle w:val="af7"/>
          <w:rFonts w:eastAsia="Guttman Hodes"/>
          <w:rtl/>
        </w:rPr>
        <w:instrText xml:space="preserve"> </w:instrText>
      </w:r>
      <w:r w:rsidRPr="008A1918">
        <w:rPr>
          <w:rStyle w:val="af7"/>
          <w:rFonts w:eastAsia="Guttman Hodes"/>
          <w:rtl/>
        </w:rPr>
      </w:r>
      <w:r w:rsidRPr="008A1918">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sidRPr="008A1918">
        <w:rPr>
          <w:rStyle w:val="af7"/>
          <w:rFonts w:eastAsia="Guttman Hodes"/>
          <w:rtl/>
        </w:rPr>
        <w:fldChar w:fldCharType="end"/>
      </w:r>
      <w:r>
        <w:rPr>
          <w:rFonts w:hint="cs"/>
          <w:rtl/>
        </w:rPr>
        <w:t xml:space="preserve">, ובמ"ש </w:t>
      </w:r>
      <w:r w:rsidRPr="00AF0A0B">
        <w:rPr>
          <w:rStyle w:val="af9"/>
          <w:rFonts w:hint="cs"/>
          <w:rtl/>
        </w:rPr>
        <w:t>בחי' רבי נחום</w:t>
      </w:r>
      <w:r>
        <w:rPr>
          <w:rFonts w:hint="cs"/>
          <w:rtl/>
        </w:rPr>
        <w:t xml:space="preserve"> </w:t>
      </w:r>
      <w:r w:rsidRPr="00654918">
        <w:rPr>
          <w:rStyle w:val="af7"/>
          <w:rFonts w:eastAsia="Guttman Hodes" w:hint="cs"/>
          <w:rtl/>
        </w:rPr>
        <w:t>(עי' הערה</w:t>
      </w:r>
      <w:r>
        <w:rPr>
          <w:vertAlign w:val="superscript"/>
          <w:rtl/>
        </w:rPr>
        <w:fldChar w:fldCharType="begin"/>
      </w:r>
      <w:r>
        <w:rPr>
          <w:vertAlign w:val="superscript"/>
          <w:rtl/>
        </w:rPr>
        <w:instrText xml:space="preserve"> </w:instrText>
      </w:r>
      <w:r>
        <w:rPr>
          <w:rFonts w:hint="cs"/>
          <w:vertAlign w:val="superscript"/>
        </w:rPr>
        <w:instrText>NOTEREF</w:instrText>
      </w:r>
      <w:r>
        <w:rPr>
          <w:rFonts w:hint="cs"/>
          <w:vertAlign w:val="superscript"/>
          <w:rtl/>
        </w:rPr>
        <w:instrText xml:space="preserve"> _</w:instrText>
      </w:r>
      <w:r>
        <w:rPr>
          <w:rFonts w:hint="cs"/>
          <w:vertAlign w:val="superscript"/>
        </w:rPr>
        <w:instrText>Ref66185667 \h</w:instrText>
      </w:r>
      <w:r>
        <w:rPr>
          <w:vertAlign w:val="superscript"/>
          <w:rtl/>
        </w:rPr>
        <w:instrText xml:space="preserve"> </w:instrText>
      </w:r>
      <w:r>
        <w:rPr>
          <w:vertAlign w:val="superscript"/>
          <w:rtl/>
        </w:rPr>
      </w:r>
      <w:r>
        <w:rPr>
          <w:vertAlign w:val="superscript"/>
          <w:rtl/>
        </w:rPr>
        <w:fldChar w:fldCharType="separate"/>
      </w:r>
      <w:r w:rsidR="00265073">
        <w:rPr>
          <w:vertAlign w:val="superscript"/>
          <w:rtl/>
        </w:rPr>
        <w:t>125</w:t>
      </w:r>
      <w:r>
        <w:rPr>
          <w:vertAlign w:val="superscript"/>
          <w:rtl/>
        </w:rPr>
        <w:fldChar w:fldCharType="end"/>
      </w:r>
      <w:r w:rsidRPr="00654918">
        <w:rPr>
          <w:rStyle w:val="af7"/>
          <w:rFonts w:eastAsia="Guttman Hodes" w:hint="cs"/>
          <w:rtl/>
        </w:rPr>
        <w:t>)</w:t>
      </w:r>
      <w:r>
        <w:rPr>
          <w:rFonts w:hint="cs"/>
          <w:rtl/>
        </w:rPr>
        <w:t>.</w:t>
      </w:r>
      <w:bookmarkEnd w:id="18233"/>
      <w:r w:rsidRPr="00B44060">
        <w:rPr>
          <w:rStyle w:val="afb"/>
          <w:rFonts w:hint="cs"/>
          <w:rtl/>
        </w:rPr>
        <w:t xml:space="preserve"> [ועי' במ"ש </w:t>
      </w:r>
      <w:r w:rsidRPr="00B44060">
        <w:rPr>
          <w:rStyle w:val="affa"/>
          <w:rFonts w:hint="cs"/>
          <w:rtl/>
        </w:rPr>
        <w:t>המ"מ</w:t>
      </w:r>
      <w:r w:rsidRPr="00B44060">
        <w:rPr>
          <w:rStyle w:val="afb"/>
          <w:rFonts w:hint="cs"/>
          <w:rtl/>
        </w:rPr>
        <w:t xml:space="preserve"> </w:t>
      </w:r>
      <w:r w:rsidRPr="00B44060">
        <w:rPr>
          <w:rStyle w:val="aff6"/>
          <w:rFonts w:hint="cs"/>
          <w:rtl/>
        </w:rPr>
        <w:t xml:space="preserve">(עי' אות </w:t>
      </w:r>
      <w:r w:rsidRPr="00B44060">
        <w:rPr>
          <w:rStyle w:val="aff6"/>
          <w:rtl/>
        </w:rPr>
        <w:fldChar w:fldCharType="begin"/>
      </w:r>
      <w:r w:rsidRPr="00B44060">
        <w:rPr>
          <w:rStyle w:val="aff6"/>
          <w:rtl/>
        </w:rPr>
        <w:instrText xml:space="preserve"> </w:instrText>
      </w:r>
      <w:r w:rsidRPr="00B44060">
        <w:rPr>
          <w:rStyle w:val="aff6"/>
          <w:rFonts w:hint="cs"/>
        </w:rPr>
        <w:instrText>REF</w:instrText>
      </w:r>
      <w:r w:rsidRPr="00B44060">
        <w:rPr>
          <w:rStyle w:val="aff6"/>
          <w:rFonts w:hint="cs"/>
          <w:rtl/>
        </w:rPr>
        <w:instrText xml:space="preserve"> _</w:instrText>
      </w:r>
      <w:r w:rsidRPr="00B44060">
        <w:rPr>
          <w:rStyle w:val="aff6"/>
          <w:rFonts w:hint="cs"/>
        </w:rPr>
        <w:instrText>Ref66184949 \r \h</w:instrText>
      </w:r>
      <w:r w:rsidRPr="00B44060">
        <w:rPr>
          <w:rStyle w:val="aff6"/>
          <w:rtl/>
        </w:rPr>
        <w:instrText xml:space="preserve"> </w:instrText>
      </w:r>
      <w:r w:rsidRPr="00B44060">
        <w:rPr>
          <w:rStyle w:val="aff6"/>
          <w:rtl/>
        </w:rPr>
      </w:r>
      <w:r w:rsidRPr="00B44060">
        <w:rPr>
          <w:rStyle w:val="aff6"/>
          <w:rtl/>
        </w:rPr>
        <w:fldChar w:fldCharType="separate"/>
      </w:r>
      <w:r w:rsidR="00265073">
        <w:rPr>
          <w:rStyle w:val="aff6"/>
          <w:cs/>
        </w:rPr>
        <w:t>‎</w:t>
      </w:r>
      <w:r w:rsidR="00265073">
        <w:rPr>
          <w:rStyle w:val="aff6"/>
          <w:rtl/>
        </w:rPr>
        <w:t>ס)</w:t>
      </w:r>
      <w:r w:rsidRPr="00B44060">
        <w:rPr>
          <w:rStyle w:val="aff6"/>
          <w:rtl/>
        </w:rPr>
        <w:fldChar w:fldCharType="end"/>
      </w:r>
      <w:r>
        <w:rPr>
          <w:rFonts w:hint="cs"/>
          <w:rtl/>
        </w:rPr>
        <w:t xml:space="preserve"> </w:t>
      </w:r>
      <w:r w:rsidRPr="00B44060">
        <w:rPr>
          <w:rStyle w:val="afb"/>
          <w:rFonts w:hint="cs"/>
          <w:rtl/>
        </w:rPr>
        <w:t xml:space="preserve">בשם </w:t>
      </w:r>
      <w:r w:rsidRPr="00B44060">
        <w:rPr>
          <w:rStyle w:val="affa"/>
          <w:rFonts w:hint="cs"/>
          <w:rtl/>
        </w:rPr>
        <w:t>הרמב"ן</w:t>
      </w:r>
      <w:r w:rsidRPr="00B44060">
        <w:rPr>
          <w:rStyle w:val="afb"/>
          <w:rFonts w:hint="cs"/>
          <w:rtl/>
        </w:rPr>
        <w:t xml:space="preserve"> </w:t>
      </w:r>
      <w:r>
        <w:rPr>
          <w:rStyle w:val="afb"/>
          <w:rFonts w:hint="cs"/>
          <w:rtl/>
        </w:rPr>
        <w:t>דברוצה להבריח מבע</w:t>
      </w:r>
      <w:r>
        <w:rPr>
          <w:rStyle w:val="afb"/>
          <w:rtl/>
        </w:rPr>
        <w:t>"</w:t>
      </w:r>
      <w:r>
        <w:rPr>
          <w:rStyle w:val="afb"/>
          <w:rFonts w:hint="cs"/>
          <w:rtl/>
        </w:rPr>
        <w:t>ח, ל</w:t>
      </w:r>
      <w:r>
        <w:rPr>
          <w:rStyle w:val="afb"/>
          <w:rtl/>
        </w:rPr>
        <w:t>"</w:t>
      </w:r>
      <w:r>
        <w:rPr>
          <w:rStyle w:val="afb"/>
          <w:rFonts w:hint="cs"/>
          <w:rtl/>
        </w:rPr>
        <w:t>מ מיגו כנגד חזקה דמה שתח</w:t>
      </w:r>
      <w:r>
        <w:rPr>
          <w:rStyle w:val="afb"/>
          <w:rtl/>
        </w:rPr>
        <w:t>"</w:t>
      </w:r>
      <w:r>
        <w:rPr>
          <w:rStyle w:val="afb"/>
          <w:rFonts w:hint="cs"/>
          <w:rtl/>
        </w:rPr>
        <w:t>י שלו, דחיישינן לקנוניא</w:t>
      </w:r>
      <w:r w:rsidRPr="00B44060">
        <w:rPr>
          <w:rStyle w:val="afb"/>
          <w:rFonts w:hint="cs"/>
          <w:rtl/>
        </w:rPr>
        <w:t>].</w:t>
      </w:r>
      <w:bookmarkEnd w:id="18234"/>
      <w:r>
        <w:rPr>
          <w:rFonts w:hint="cs"/>
          <w:rtl/>
        </w:rPr>
        <w:t xml:space="preserve"> </w:t>
      </w:r>
    </w:p>
    <w:p w:rsidR="00E824D3" w:rsidRDefault="00E824D3" w:rsidP="00E824D3">
      <w:pPr>
        <w:pStyle w:val="1"/>
        <w:rPr>
          <w:rtl/>
        </w:rPr>
      </w:pPr>
      <w:bookmarkStart w:id="18235" w:name="_Toc66183252"/>
      <w:bookmarkStart w:id="18236" w:name="_Toc66186035"/>
      <w:bookmarkStart w:id="18237" w:name="_Toc66193501"/>
      <w:bookmarkEnd w:id="18216"/>
      <w:bookmarkEnd w:id="18217"/>
      <w:bookmarkEnd w:id="18218"/>
      <w:bookmarkEnd w:id="18219"/>
      <w:r>
        <w:rPr>
          <w:rFonts w:hint="cs"/>
          <w:rtl/>
        </w:rPr>
        <w:t xml:space="preserve">תירוץ הגר"ח </w:t>
      </w:r>
      <w:bookmarkEnd w:id="18220"/>
      <w:bookmarkEnd w:id="18221"/>
      <w:bookmarkEnd w:id="18222"/>
      <w:bookmarkEnd w:id="18223"/>
      <w:r>
        <w:rPr>
          <w:rFonts w:hint="cs"/>
          <w:rtl/>
        </w:rPr>
        <w:t>בדעת הריב"ם דע"י דין משאיל"מ ל"מ המיגו</w:t>
      </w:r>
      <w:bookmarkEnd w:id="18224"/>
      <w:bookmarkEnd w:id="18225"/>
      <w:bookmarkEnd w:id="18226"/>
      <w:bookmarkEnd w:id="18235"/>
      <w:bookmarkEnd w:id="18236"/>
      <w:bookmarkEnd w:id="18237"/>
    </w:p>
    <w:p w:rsidR="00E824D3" w:rsidRPr="007B6243" w:rsidRDefault="00E824D3" w:rsidP="00E824D3">
      <w:pPr>
        <w:pStyle w:val="a3"/>
        <w:rPr>
          <w:rtl/>
        </w:rPr>
      </w:pPr>
      <w:bookmarkStart w:id="18238" w:name="_Toc66123400"/>
      <w:bookmarkStart w:id="18239" w:name="_Toc66143848"/>
      <w:bookmarkStart w:id="18240" w:name="_Toc66172011"/>
      <w:bookmarkStart w:id="18241" w:name="_Toc66183253"/>
      <w:bookmarkStart w:id="18242" w:name="_Toc66186036"/>
      <w:bookmarkStart w:id="18243" w:name="_Toc66193502"/>
      <w:r>
        <w:rPr>
          <w:rFonts w:hint="cs"/>
          <w:rtl/>
        </w:rPr>
        <w:t>בי' הגר"ח בריב"ם דאעפ"י דבילפותא דמשאיל"מ אין מיגו מ"מ הכא ל"מ מיגו דהוא נגד חזקה</w:t>
      </w:r>
      <w:bookmarkEnd w:id="18238"/>
      <w:bookmarkEnd w:id="18239"/>
      <w:bookmarkEnd w:id="18240"/>
      <w:bookmarkEnd w:id="18241"/>
      <w:bookmarkEnd w:id="18242"/>
      <w:bookmarkEnd w:id="18243"/>
    </w:p>
    <w:p w:rsidR="00E824D3" w:rsidRDefault="00E824D3" w:rsidP="007E4E81">
      <w:pPr>
        <w:pStyle w:val="a0"/>
        <w:rPr>
          <w:rtl/>
        </w:rPr>
      </w:pPr>
      <w:bookmarkStart w:id="18244" w:name="_Ref66178668"/>
      <w:r>
        <w:rPr>
          <w:rFonts w:hint="cs"/>
          <w:rtl/>
        </w:rPr>
        <w:t xml:space="preserve">במה שהקשו </w:t>
      </w:r>
      <w:r>
        <w:rPr>
          <w:rStyle w:val="af9"/>
          <w:rtl/>
        </w:rPr>
        <w:t>התוס'</w:t>
      </w:r>
      <w:r>
        <w:rPr>
          <w:rFonts w:hint="cs"/>
          <w:rtl/>
        </w:rPr>
        <w:t xml:space="preserve"> </w:t>
      </w:r>
      <w:r w:rsidRPr="007B5F6C">
        <w:rPr>
          <w:rStyle w:val="af7"/>
          <w:rFonts w:eastAsia="Guttman Hodes" w:hint="cs"/>
          <w:rtl/>
        </w:rPr>
        <w:t xml:space="preserve">(עי' אות </w:t>
      </w:r>
      <w:r w:rsidRPr="007B5F6C">
        <w:rPr>
          <w:rStyle w:val="af7"/>
          <w:rFonts w:eastAsia="Guttman Hodes"/>
          <w:rtl/>
        </w:rPr>
        <w:fldChar w:fldCharType="begin"/>
      </w:r>
      <w:r w:rsidRPr="007B5F6C">
        <w:rPr>
          <w:rStyle w:val="af7"/>
          <w:rFonts w:eastAsia="Guttman Hodes"/>
          <w:rtl/>
        </w:rPr>
        <w:instrText xml:space="preserve"> </w:instrText>
      </w:r>
      <w:r w:rsidRPr="007B5F6C">
        <w:rPr>
          <w:rStyle w:val="af7"/>
          <w:rFonts w:eastAsia="Guttman Hodes" w:hint="cs"/>
        </w:rPr>
        <w:instrText>REF</w:instrText>
      </w:r>
      <w:r w:rsidRPr="007B5F6C">
        <w:rPr>
          <w:rStyle w:val="af7"/>
          <w:rFonts w:eastAsia="Guttman Hodes" w:hint="cs"/>
          <w:rtl/>
        </w:rPr>
        <w:instrText xml:space="preserve"> _</w:instrText>
      </w:r>
      <w:r w:rsidRPr="007B5F6C">
        <w:rPr>
          <w:rStyle w:val="af7"/>
          <w:rFonts w:eastAsia="Guttman Hodes" w:hint="cs"/>
        </w:rPr>
        <w:instrText>Ref65795902 \r \h</w:instrText>
      </w:r>
      <w:r w:rsidRPr="007B5F6C">
        <w:rPr>
          <w:rStyle w:val="af7"/>
          <w:rFonts w:eastAsia="Guttman Hodes"/>
          <w:rtl/>
        </w:rPr>
        <w:instrText xml:space="preserve">  \* </w:instrText>
      </w:r>
      <w:r w:rsidRPr="007B5F6C">
        <w:rPr>
          <w:rStyle w:val="af7"/>
          <w:rFonts w:eastAsia="Guttman Hodes"/>
        </w:rPr>
        <w:instrText>MERGEFORMAT</w:instrText>
      </w:r>
      <w:r w:rsidRPr="007B5F6C">
        <w:rPr>
          <w:rStyle w:val="af7"/>
          <w:rFonts w:eastAsia="Guttman Hodes"/>
          <w:rtl/>
        </w:rPr>
        <w:instrText xml:space="preserve"> </w:instrText>
      </w:r>
      <w:r w:rsidRPr="007B5F6C">
        <w:rPr>
          <w:rStyle w:val="af7"/>
          <w:rFonts w:eastAsia="Guttman Hodes"/>
          <w:rtl/>
        </w:rPr>
      </w:r>
      <w:r w:rsidRPr="007B5F6C">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7B5F6C">
        <w:rPr>
          <w:rStyle w:val="af7"/>
          <w:rFonts w:eastAsia="Guttman Hodes"/>
          <w:rtl/>
        </w:rPr>
        <w:fldChar w:fldCharType="end"/>
      </w:r>
      <w:r>
        <w:rPr>
          <w:rFonts w:hint="cs"/>
          <w:rtl/>
        </w:rPr>
        <w:t xml:space="preserve"> על </w:t>
      </w:r>
      <w:r>
        <w:rPr>
          <w:rStyle w:val="af9"/>
          <w:rtl/>
        </w:rPr>
        <w:t>ריב"ם</w:t>
      </w:r>
      <w:r>
        <w:rPr>
          <w:rFonts w:hint="cs"/>
          <w:rtl/>
        </w:rPr>
        <w:t xml:space="preserve"> </w:t>
      </w:r>
      <w:r w:rsidRPr="00246930">
        <w:rPr>
          <w:rStyle w:val="af7"/>
          <w:rFonts w:eastAsia="Guttman Hodes" w:hint="cs"/>
          <w:rtl/>
        </w:rPr>
        <w:t xml:space="preserve">(עי' אות </w:t>
      </w:r>
      <w:r w:rsidRPr="00246930">
        <w:rPr>
          <w:rStyle w:val="af7"/>
          <w:rFonts w:eastAsia="Guttman Hodes"/>
          <w:rtl/>
        </w:rPr>
        <w:fldChar w:fldCharType="begin"/>
      </w:r>
      <w:r w:rsidRPr="00246930">
        <w:rPr>
          <w:rStyle w:val="af7"/>
          <w:rFonts w:eastAsia="Guttman Hodes"/>
          <w:rtl/>
        </w:rPr>
        <w:instrText xml:space="preserve"> </w:instrText>
      </w:r>
      <w:r w:rsidRPr="00246930">
        <w:rPr>
          <w:rStyle w:val="af7"/>
          <w:rFonts w:eastAsia="Guttman Hodes" w:hint="cs"/>
        </w:rPr>
        <w:instrText>REF</w:instrText>
      </w:r>
      <w:r w:rsidRPr="00246930">
        <w:rPr>
          <w:rStyle w:val="af7"/>
          <w:rFonts w:eastAsia="Guttman Hodes" w:hint="cs"/>
          <w:rtl/>
        </w:rPr>
        <w:instrText xml:space="preserve"> _</w:instrText>
      </w:r>
      <w:r w:rsidRPr="00246930">
        <w:rPr>
          <w:rStyle w:val="af7"/>
          <w:rFonts w:eastAsia="Guttman Hodes" w:hint="cs"/>
        </w:rPr>
        <w:instrText>Ref65795831 \r \h</w:instrText>
      </w:r>
      <w:r w:rsidRPr="00246930">
        <w:rPr>
          <w:rStyle w:val="af7"/>
          <w:rFonts w:eastAsia="Guttman Hodes"/>
          <w:rtl/>
        </w:rPr>
        <w:instrText xml:space="preserve"> </w:instrText>
      </w:r>
      <w:r w:rsidRPr="00246930">
        <w:rPr>
          <w:rStyle w:val="af7"/>
          <w:rFonts w:eastAsia="Guttman Hodes"/>
          <w:rtl/>
        </w:rPr>
      </w:r>
      <w:r w:rsidRPr="00246930">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246930">
        <w:rPr>
          <w:rStyle w:val="af7"/>
          <w:rFonts w:eastAsia="Guttman Hodes"/>
          <w:rtl/>
        </w:rPr>
        <w:fldChar w:fldCharType="end"/>
      </w:r>
      <w:r>
        <w:rPr>
          <w:rFonts w:hint="cs"/>
          <w:rtl/>
        </w:rPr>
        <w:t xml:space="preserve"> דהא רבי אבא יליף את דין מתוך שאינו יכול לישבע משלם, מדין חמשין ידענא, וא"כ הילפותא היא רק כשאין לו מיגו, ומנלן דאמרינן מתוך שאינו יכול לישבע משלם, בסוגיין שיש לו מיגו, תירץ </w:t>
      </w:r>
      <w:r w:rsidRPr="00A10B86">
        <w:rPr>
          <w:rStyle w:val="af9"/>
          <w:rFonts w:hint="cs"/>
          <w:rtl/>
        </w:rPr>
        <w:t>בחי' הגר"ח על הש"ס</w:t>
      </w:r>
      <w:r>
        <w:rPr>
          <w:rFonts w:hint="cs"/>
          <w:rtl/>
        </w:rPr>
        <w:t xml:space="preserve"> </w:t>
      </w:r>
      <w:r w:rsidRPr="00A10B86">
        <w:rPr>
          <w:rStyle w:val="af7"/>
          <w:rFonts w:eastAsia="Guttman Hodes" w:hint="cs"/>
          <w:rtl/>
        </w:rPr>
        <w:t>(הגה"ה ד"ה ובהנ"ל, [מהדו' ישנה או' רפ"ה], שיעורי הגר"ח על ב"ב ד"ה והנה באמת קשה)</w:t>
      </w:r>
      <w:r>
        <w:rPr>
          <w:rFonts w:hint="cs"/>
          <w:rtl/>
        </w:rPr>
        <w:t xml:space="preserve"> דאעפ"י שהכא יש לו מיגו, מ"מ כ"מ דאמר ר"א דהוא חייב לשלם ואינו נאמן במיגו, הוא כיון שיש ע"א שחטף וכל שאינו נשבע להכחישו הנסכא בחזקת הראשון דחזקה כ"מ שתח"י שלו הוא, ולכן ל"מ המיגו דהוא נגד החזקה.</w:t>
      </w:r>
      <w:r w:rsidRPr="00A10B86">
        <w:rPr>
          <w:rStyle w:val="afb"/>
          <w:rFonts w:hint="cs"/>
          <w:rtl/>
        </w:rPr>
        <w:t xml:space="preserve"> [כדביאר </w:t>
      </w:r>
      <w:r w:rsidRPr="00A10B86">
        <w:rPr>
          <w:rStyle w:val="affa"/>
          <w:rFonts w:hint="cs"/>
          <w:rtl/>
        </w:rPr>
        <w:t>הגר"ח</w:t>
      </w:r>
      <w:r w:rsidRPr="00A10B86">
        <w:rPr>
          <w:rStyle w:val="afb"/>
          <w:rFonts w:hint="cs"/>
          <w:rtl/>
        </w:rPr>
        <w:t xml:space="preserve"> </w:t>
      </w:r>
      <w:r w:rsidRPr="00EF5D48">
        <w:rPr>
          <w:rStyle w:val="aff6"/>
          <w:rFonts w:hint="cs"/>
          <w:rtl/>
        </w:rPr>
        <w:t xml:space="preserve">(עי' אות </w:t>
      </w:r>
      <w:r w:rsidRPr="00EF5D48">
        <w:rPr>
          <w:rStyle w:val="aff6"/>
          <w:rtl/>
        </w:rPr>
        <w:fldChar w:fldCharType="begin"/>
      </w:r>
      <w:r w:rsidRPr="00EF5D48">
        <w:rPr>
          <w:rStyle w:val="aff6"/>
          <w:rtl/>
        </w:rPr>
        <w:instrText xml:space="preserve"> </w:instrText>
      </w:r>
      <w:r w:rsidRPr="00EF5D48">
        <w:rPr>
          <w:rStyle w:val="aff6"/>
          <w:rFonts w:hint="cs"/>
        </w:rPr>
        <w:instrText>REF</w:instrText>
      </w:r>
      <w:r w:rsidRPr="00EF5D48">
        <w:rPr>
          <w:rStyle w:val="aff6"/>
          <w:rFonts w:hint="cs"/>
          <w:rtl/>
        </w:rPr>
        <w:instrText xml:space="preserve"> _</w:instrText>
      </w:r>
      <w:r w:rsidRPr="00EF5D48">
        <w:rPr>
          <w:rStyle w:val="aff6"/>
          <w:rFonts w:hint="cs"/>
        </w:rPr>
        <w:instrText>Ref66055422 \r \h</w:instrText>
      </w:r>
      <w:r w:rsidRPr="00EF5D48">
        <w:rPr>
          <w:rStyle w:val="aff6"/>
          <w:rtl/>
        </w:rPr>
        <w:instrText xml:space="preserve"> </w:instrText>
      </w:r>
      <w:r w:rsidRPr="00EF5D48">
        <w:rPr>
          <w:rStyle w:val="aff6"/>
          <w:rtl/>
        </w:rPr>
      </w:r>
      <w:r w:rsidRPr="00EF5D48">
        <w:rPr>
          <w:rStyle w:val="aff6"/>
          <w:rtl/>
        </w:rPr>
        <w:fldChar w:fldCharType="separate"/>
      </w:r>
      <w:r w:rsidR="00265073">
        <w:rPr>
          <w:rStyle w:val="aff6"/>
          <w:cs/>
        </w:rPr>
        <w:t>‎</w:t>
      </w:r>
      <w:r w:rsidR="00265073">
        <w:rPr>
          <w:rStyle w:val="aff6"/>
          <w:rtl/>
        </w:rPr>
        <w:t>סח)</w:t>
      </w:r>
      <w:r w:rsidRPr="00EF5D48">
        <w:rPr>
          <w:rStyle w:val="aff6"/>
          <w:rtl/>
        </w:rPr>
        <w:fldChar w:fldCharType="end"/>
      </w:r>
      <w:r w:rsidRPr="00A10B86">
        <w:rPr>
          <w:rStyle w:val="afb"/>
          <w:rFonts w:hint="cs"/>
          <w:rtl/>
        </w:rPr>
        <w:t>]</w:t>
      </w:r>
      <w:r>
        <w:rPr>
          <w:rStyle w:val="afb"/>
          <w:rFonts w:hint="cs"/>
          <w:rtl/>
        </w:rPr>
        <w:t>.</w:t>
      </w:r>
      <w:bookmarkEnd w:id="18244"/>
    </w:p>
    <w:p w:rsidR="00E824D3" w:rsidRPr="00ED6E64" w:rsidRDefault="00E824D3" w:rsidP="00E824D3">
      <w:pPr>
        <w:pStyle w:val="a3"/>
        <w:rPr>
          <w:rtl/>
        </w:rPr>
      </w:pPr>
    </w:p>
    <w:p w:rsidR="00E824D3" w:rsidRPr="00ED6E64" w:rsidRDefault="00E824D3" w:rsidP="00E824D3">
      <w:pPr>
        <w:pStyle w:val="a3"/>
        <w:rPr>
          <w:rtl/>
        </w:rPr>
      </w:pPr>
    </w:p>
    <w:p w:rsidR="00E824D3" w:rsidRPr="007219A2" w:rsidRDefault="00E824D3" w:rsidP="00E824D3">
      <w:pPr>
        <w:pStyle w:val="a3"/>
      </w:pPr>
      <w:bookmarkStart w:id="18245" w:name="_Toc66123401"/>
      <w:bookmarkStart w:id="18246" w:name="_Toc66143849"/>
      <w:bookmarkStart w:id="18247" w:name="_Toc66172012"/>
      <w:bookmarkStart w:id="18248" w:name="_Toc66183254"/>
      <w:bookmarkStart w:id="18249" w:name="_Toc66186037"/>
      <w:bookmarkStart w:id="18250" w:name="_Toc66193503"/>
      <w:r>
        <w:rPr>
          <w:rFonts w:hint="cs"/>
          <w:rtl/>
        </w:rPr>
        <w:lastRenderedPageBreak/>
        <w:t>בי' הגר"ח דרק כיון דילפינן משאל"מ מחמשין ידענא מוכח דהע"א נאמן לממון והמיגו נגד חזקה</w:t>
      </w:r>
      <w:bookmarkEnd w:id="18245"/>
      <w:bookmarkEnd w:id="18246"/>
      <w:bookmarkEnd w:id="18247"/>
      <w:bookmarkEnd w:id="18248"/>
      <w:bookmarkEnd w:id="18249"/>
      <w:bookmarkEnd w:id="18250"/>
    </w:p>
    <w:p w:rsidR="00E824D3" w:rsidRDefault="00E824D3" w:rsidP="007E4E81">
      <w:pPr>
        <w:pStyle w:val="a0"/>
        <w:rPr>
          <w:rtl/>
        </w:rPr>
      </w:pPr>
      <w:bookmarkStart w:id="18251" w:name="_Ref66132568"/>
      <w:r>
        <w:rPr>
          <w:rFonts w:hint="cs"/>
          <w:rtl/>
        </w:rPr>
        <w:t xml:space="preserve">וכתב </w:t>
      </w:r>
      <w:r w:rsidRPr="00A10B86">
        <w:rPr>
          <w:rStyle w:val="af9"/>
          <w:rFonts w:hint="cs"/>
          <w:rtl/>
        </w:rPr>
        <w:t>בחי' הגר"ח על הש"ס</w:t>
      </w:r>
      <w:r>
        <w:rPr>
          <w:rFonts w:hint="cs"/>
          <w:rtl/>
        </w:rPr>
        <w:t xml:space="preserve"> דכ"ז דוקא לדעת ר"א דבחמשין ידענא חייב לשלם כשאינו יכול להשבע, אבל אי בחמשין ידענא אינו חייב לשלם אף שאינו נשבע, א"כ מוכח דנאמנות הע"א היא רק על השבועה, אבל לממון אינו נאמן לטעון שהיה מעשה חטיפה, וכתב </w:t>
      </w:r>
      <w:r w:rsidRPr="007219A2">
        <w:rPr>
          <w:rStyle w:val="af9"/>
          <w:rFonts w:hint="cs"/>
          <w:rtl/>
        </w:rPr>
        <w:t>בחי' הגר"ח על הש"ס</w:t>
      </w:r>
      <w:r>
        <w:rPr>
          <w:rFonts w:hint="cs"/>
          <w:rtl/>
        </w:rPr>
        <w:t xml:space="preserve"> דזו כוונת ר"א דהמקור לדין מתוך שאינו יכול לישבע משלם, הוא מהא דבדין חמשין ידענא חייב לשלם, דמוכח מזה דעדות הע"א מהני גם לענין הממון, ולכן בסוגיין כשיש ע"א אנו רואים מעשה חטיפה שהנסכא הייתה ברשות הראשון, דע"י עדות הע"א יש לו חזקה דמה שתח"י שלו הוא, ולכן אעפ"י דבסוגיין יש לו מיגו, מ"מ מוכח מדין חמשין ידענא דיש לראשון חזקה, וא"כ אין כל חילוק בין חמשין ידענא שאין לו מיגו, לנסכא שיש לו מיגו, כיון דהמיגו הוא כנגד החזקה.</w:t>
      </w:r>
      <w:bookmarkEnd w:id="18251"/>
    </w:p>
    <w:p w:rsidR="00E824D3" w:rsidRDefault="00E824D3" w:rsidP="00E824D3">
      <w:pPr>
        <w:pStyle w:val="1"/>
        <w:rPr>
          <w:rtl/>
        </w:rPr>
      </w:pPr>
      <w:bookmarkStart w:id="18252" w:name="_Toc66183255"/>
      <w:bookmarkStart w:id="18253" w:name="_Toc66186038"/>
      <w:bookmarkStart w:id="18254" w:name="_Toc66193504"/>
      <w:r>
        <w:rPr>
          <w:rFonts w:hint="cs"/>
          <w:rtl/>
        </w:rPr>
        <w:t>תי' הגרב"ב בריב"ם דהמיגו נותן יותר כח מטענת לא חטפי</w:t>
      </w:r>
      <w:bookmarkEnd w:id="18252"/>
      <w:bookmarkEnd w:id="18253"/>
      <w:bookmarkEnd w:id="18254"/>
    </w:p>
    <w:p w:rsidR="00E824D3" w:rsidRPr="00517605" w:rsidRDefault="00E824D3" w:rsidP="00E824D3">
      <w:pPr>
        <w:pStyle w:val="a3"/>
        <w:rPr>
          <w:rtl/>
        </w:rPr>
      </w:pPr>
      <w:bookmarkStart w:id="18255" w:name="_Toc66183256"/>
      <w:bookmarkStart w:id="18256" w:name="_Toc66186039"/>
      <w:bookmarkStart w:id="18257" w:name="_Toc66193505"/>
      <w:r>
        <w:rPr>
          <w:rFonts w:hint="cs"/>
          <w:rtl/>
        </w:rPr>
        <w:t>ביאור הגרב"ב דבהחזרתי במיגו דנאנסו הנאמנות מדין מיגו והשבועה היא רק כדי שיהיה מיגו</w:t>
      </w:r>
      <w:bookmarkEnd w:id="18255"/>
      <w:bookmarkEnd w:id="18256"/>
      <w:bookmarkEnd w:id="18257"/>
    </w:p>
    <w:p w:rsidR="00E824D3" w:rsidRDefault="00E824D3" w:rsidP="007E4E81">
      <w:pPr>
        <w:pStyle w:val="a0"/>
        <w:rPr>
          <w:rtl/>
        </w:rPr>
      </w:pPr>
      <w:bookmarkStart w:id="18258" w:name="_Ref66180449"/>
      <w:bookmarkStart w:id="18259" w:name="_Toc66123410"/>
      <w:bookmarkStart w:id="18260" w:name="_Toc66143852"/>
      <w:bookmarkStart w:id="18261" w:name="_Toc66172015"/>
      <w:r w:rsidRPr="007B5F6C">
        <w:rPr>
          <w:rFonts w:hint="cs"/>
          <w:rtl/>
        </w:rPr>
        <w:t xml:space="preserve">במה שהקשו </w:t>
      </w:r>
      <w:r w:rsidRPr="000074EF">
        <w:rPr>
          <w:rStyle w:val="af9"/>
          <w:rFonts w:hint="cs"/>
          <w:rtl/>
        </w:rPr>
        <w:t>התוס'</w:t>
      </w:r>
      <w:r w:rsidRPr="00B51B08">
        <w:rPr>
          <w:rStyle w:val="af7"/>
          <w:rFonts w:eastAsia="Guttman Hodes" w:hint="cs"/>
          <w:rtl/>
        </w:rPr>
        <w:t xml:space="preserve"> (עי' </w:t>
      </w:r>
      <w:r>
        <w:rPr>
          <w:rStyle w:val="af7"/>
          <w:rFonts w:eastAsia="Guttman Hodes" w:hint="cs"/>
          <w:rtl/>
        </w:rPr>
        <w:t xml:space="preserve">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Ref64910949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ב)</w:t>
      </w:r>
      <w:r>
        <w:rPr>
          <w:rStyle w:val="af7"/>
          <w:rFonts w:eastAsia="Guttman Hodes"/>
          <w:rtl/>
        </w:rPr>
        <w:fldChar w:fldCharType="end"/>
      </w:r>
      <w:r>
        <w:rPr>
          <w:rFonts w:hint="cs"/>
          <w:rtl/>
        </w:rPr>
        <w:t xml:space="preserve"> דאמאי אינו נאמן במיגו דהיה נשבע בטענת לא חטפי, כמבואר בגמ' לקמן דנאמן בהחזרתי במיגו דנאנסו אעפ"י שחייב שבועה, כתב</w:t>
      </w:r>
      <w:r w:rsidRPr="007B5F6C">
        <w:rPr>
          <w:rFonts w:hint="cs"/>
          <w:rtl/>
        </w:rPr>
        <w:t xml:space="preserve"> </w:t>
      </w:r>
      <w:r w:rsidRPr="007B5F6C">
        <w:rPr>
          <w:rStyle w:val="af9"/>
          <w:rFonts w:hint="cs"/>
          <w:rtl/>
        </w:rPr>
        <w:t xml:space="preserve">בחו"ש הגרב"ב </w:t>
      </w:r>
      <w:r w:rsidRPr="007B5F6C">
        <w:rPr>
          <w:rStyle w:val="af7"/>
          <w:rFonts w:eastAsia="Guttman Hodes" w:hint="cs"/>
          <w:rtl/>
        </w:rPr>
        <w:t>(ח"א סי' י"ד ד"ה</w:t>
      </w:r>
      <w:r>
        <w:rPr>
          <w:rStyle w:val="af7"/>
          <w:rFonts w:eastAsia="Guttman Hodes" w:hint="cs"/>
          <w:rtl/>
        </w:rPr>
        <w:t xml:space="preserve"> ותי' הגר"ח)</w:t>
      </w:r>
      <w:r>
        <w:rPr>
          <w:rFonts w:hint="cs"/>
          <w:rtl/>
        </w:rPr>
        <w:t xml:space="preserve"> דבהחזרתי במיגו דנאנסו א"א לומר דהנאמנות היא מחמת דע"י השבועה הוא נאמן בטענתו, דהא לא נתנה תורה נאמנות של שבועה לטענת החזרתי, ועוד דבלי המיגו לא היה נאמן בשבועה, וא"כ מוכח דהנאמנות היא ע"י המיגו, אך א"כ קשה דאי נאמן ע"י המיגו, אמאי צריך נאמנות של שבועה, וכתב</w:t>
      </w:r>
      <w:r w:rsidRPr="00942D0F">
        <w:rPr>
          <w:rStyle w:val="af9"/>
          <w:rFonts w:hint="cs"/>
          <w:rtl/>
        </w:rPr>
        <w:t xml:space="preserve"> </w:t>
      </w:r>
      <w:r w:rsidRPr="007B5F6C">
        <w:rPr>
          <w:rStyle w:val="af9"/>
          <w:rFonts w:hint="cs"/>
          <w:rtl/>
        </w:rPr>
        <w:t>בחו"ש הגרב"ב</w:t>
      </w:r>
      <w:r>
        <w:rPr>
          <w:rFonts w:hint="cs"/>
          <w:rtl/>
        </w:rPr>
        <w:t xml:space="preserve"> דמבואר דהנאמנות היא ע"י המיגו, רק בכדי שיהיה לו מיגו צריך שישבע, דהא לא היה נאמן בטענת המיגו דנאנסו בלי שבועה, ובכדי שיהיה נאמן בטענת החזרתי במיגו דנאנסו צריך שישבע.</w:t>
      </w:r>
      <w:bookmarkEnd w:id="18258"/>
    </w:p>
    <w:p w:rsidR="00E824D3" w:rsidRPr="00605F60" w:rsidRDefault="00E824D3" w:rsidP="00E824D3">
      <w:pPr>
        <w:pStyle w:val="a3"/>
        <w:rPr>
          <w:rtl/>
        </w:rPr>
      </w:pPr>
      <w:bookmarkStart w:id="18262" w:name="_Toc66183257"/>
      <w:bookmarkStart w:id="18263" w:name="_Toc66186040"/>
      <w:bookmarkStart w:id="18264" w:name="_Toc66193506"/>
      <w:r>
        <w:rPr>
          <w:rFonts w:hint="cs"/>
          <w:rtl/>
        </w:rPr>
        <w:t>דברי הגרב"ב דבנאנסו מצינו נאמנות של מיגו ולכן שייכא נאמנות מיגו בהחזרתי כמו בנאנסו</w:t>
      </w:r>
      <w:bookmarkEnd w:id="18262"/>
      <w:bookmarkEnd w:id="18263"/>
      <w:bookmarkEnd w:id="18264"/>
    </w:p>
    <w:p w:rsidR="00E824D3" w:rsidRDefault="00E824D3" w:rsidP="007E4E81">
      <w:pPr>
        <w:pStyle w:val="a0"/>
        <w:rPr>
          <w:rtl/>
        </w:rPr>
      </w:pPr>
      <w:r>
        <w:rPr>
          <w:rFonts w:hint="cs"/>
          <w:rtl/>
        </w:rPr>
        <w:t>אך הקשה</w:t>
      </w:r>
      <w:r w:rsidRPr="00F119BD">
        <w:rPr>
          <w:rStyle w:val="af9"/>
          <w:rFonts w:hint="cs"/>
          <w:rtl/>
        </w:rPr>
        <w:t xml:space="preserve"> </w:t>
      </w:r>
      <w:r w:rsidRPr="007B5F6C">
        <w:rPr>
          <w:rStyle w:val="af9"/>
          <w:rFonts w:hint="cs"/>
          <w:rtl/>
        </w:rPr>
        <w:t>בחו"ש הגרב"ב</w:t>
      </w:r>
      <w:r>
        <w:rPr>
          <w:rFonts w:hint="cs"/>
          <w:rtl/>
        </w:rPr>
        <w:t xml:space="preserve"> דא"כ הנאמנות שיש לו בטענת החזרתי, היא יותר מהנאמנות שהיה לו בטענת נאנסו, דהא בנאנסו לא היה נאמן במיגו, כיון שיש לו חיוב שבועה דאו', ואילו בהחזרתי נאמן במיגו לבד, דאעפ"י שהוא נשבע, מ"מ הנאמנות אינה מחמת השבועה, דהשבועה רק גורמת שיהיה לו מיגו, ונאמן רק מדין מיגו, וא"כ יש לו נאמנות בטענה שטוען עכשיו יותר מטענת המיגו, ועיי"ש במה שתירץ </w:t>
      </w:r>
      <w:r w:rsidRPr="007B5F6C">
        <w:rPr>
          <w:rStyle w:val="af9"/>
          <w:rFonts w:hint="cs"/>
          <w:rtl/>
        </w:rPr>
        <w:t>בחו"ש הגרב"ב</w:t>
      </w:r>
      <w:r>
        <w:rPr>
          <w:rFonts w:hint="cs"/>
          <w:rtl/>
        </w:rPr>
        <w:t xml:space="preserve"> דמצינו בגמ' בשבועות </w:t>
      </w:r>
      <w:r w:rsidRPr="0093446A">
        <w:rPr>
          <w:rStyle w:val="af7"/>
          <w:rFonts w:eastAsia="Guttman Hodes" w:hint="cs"/>
          <w:rtl/>
        </w:rPr>
        <w:t>(מה:)</w:t>
      </w:r>
      <w:r>
        <w:rPr>
          <w:rFonts w:hint="cs"/>
          <w:rtl/>
        </w:rPr>
        <w:t xml:space="preserve"> דאף בטענת נאנסו שייך שיהיה נאמן במיגו.</w:t>
      </w:r>
    </w:p>
    <w:p w:rsidR="00E824D3" w:rsidRDefault="00E824D3" w:rsidP="00E824D3">
      <w:pPr>
        <w:pStyle w:val="a3"/>
        <w:rPr>
          <w:rtl/>
        </w:rPr>
      </w:pPr>
      <w:bookmarkStart w:id="18265" w:name="_Toc66183258"/>
      <w:bookmarkStart w:id="18266" w:name="_Toc66186041"/>
      <w:bookmarkStart w:id="18267" w:name="_Toc66193507"/>
      <w:r>
        <w:rPr>
          <w:rFonts w:hint="cs"/>
          <w:rtl/>
        </w:rPr>
        <w:t>בי' הגרב"ב בריב"ם דבלא חטפי ל"מ מיגו ולא שייך שיהיה נאמן במיגו יותר מכח טענת המיגו</w:t>
      </w:r>
      <w:bookmarkEnd w:id="18265"/>
      <w:bookmarkEnd w:id="18266"/>
      <w:bookmarkEnd w:id="18267"/>
    </w:p>
    <w:p w:rsidR="00E824D3" w:rsidRDefault="00E824D3" w:rsidP="007E4E81">
      <w:pPr>
        <w:pStyle w:val="a0"/>
        <w:rPr>
          <w:rtl/>
        </w:rPr>
      </w:pPr>
      <w:r>
        <w:rPr>
          <w:rFonts w:hint="cs"/>
          <w:rtl/>
        </w:rPr>
        <w:t xml:space="preserve">ולפי"ז ביאר </w:t>
      </w:r>
      <w:r w:rsidRPr="007B5F6C">
        <w:rPr>
          <w:rStyle w:val="af9"/>
          <w:rFonts w:hint="cs"/>
          <w:rtl/>
        </w:rPr>
        <w:t>בחו"ש הגרב"ב</w:t>
      </w:r>
      <w:r>
        <w:rPr>
          <w:rFonts w:hint="cs"/>
          <w:rtl/>
        </w:rPr>
        <w:t xml:space="preserve"> </w:t>
      </w:r>
      <w:r w:rsidRPr="007B5F6C">
        <w:rPr>
          <w:rStyle w:val="af7"/>
          <w:rFonts w:eastAsia="Guttman Hodes" w:hint="cs"/>
          <w:rtl/>
        </w:rPr>
        <w:t>(ח"א סי' י"ד ד"ה</w:t>
      </w:r>
      <w:r>
        <w:rPr>
          <w:rStyle w:val="af7"/>
          <w:rFonts w:eastAsia="Guttman Hodes" w:hint="cs"/>
          <w:rtl/>
        </w:rPr>
        <w:t xml:space="preserve"> ובזה נבא) </w:t>
      </w:r>
      <w:r>
        <w:rPr>
          <w:rFonts w:hint="cs"/>
          <w:rtl/>
        </w:rPr>
        <w:t xml:space="preserve">דלדעת </w:t>
      </w:r>
      <w:r w:rsidRPr="00573C0B">
        <w:rPr>
          <w:rStyle w:val="af9"/>
          <w:rFonts w:hint="cs"/>
          <w:rtl/>
        </w:rPr>
        <w:t>ה</w:t>
      </w:r>
      <w:r>
        <w:rPr>
          <w:rStyle w:val="af9"/>
          <w:rtl/>
        </w:rPr>
        <w:t>ריב"ם</w:t>
      </w:r>
      <w:r>
        <w:rPr>
          <w:rFonts w:hint="cs"/>
          <w:rtl/>
        </w:rPr>
        <w:t xml:space="preserve"> </w:t>
      </w:r>
      <w:r w:rsidRPr="00F65A6F">
        <w:rPr>
          <w:rStyle w:val="af7"/>
          <w:rFonts w:eastAsia="Guttman Hodes" w:hint="cs"/>
          <w:rtl/>
        </w:rPr>
        <w:t xml:space="preserve">(עי' אות </w:t>
      </w:r>
      <w:r w:rsidRPr="00F65A6F">
        <w:rPr>
          <w:rStyle w:val="af7"/>
          <w:rFonts w:eastAsia="Guttman Hodes"/>
          <w:rtl/>
        </w:rPr>
        <w:fldChar w:fldCharType="begin"/>
      </w:r>
      <w:r w:rsidRPr="00F65A6F">
        <w:rPr>
          <w:rStyle w:val="af7"/>
          <w:rFonts w:eastAsia="Guttman Hodes"/>
          <w:rtl/>
        </w:rPr>
        <w:instrText xml:space="preserve"> </w:instrText>
      </w:r>
      <w:r w:rsidRPr="00F65A6F">
        <w:rPr>
          <w:rStyle w:val="af7"/>
          <w:rFonts w:eastAsia="Guttman Hodes" w:hint="cs"/>
        </w:rPr>
        <w:instrText>REF</w:instrText>
      </w:r>
      <w:r w:rsidRPr="00F65A6F">
        <w:rPr>
          <w:rStyle w:val="af7"/>
          <w:rFonts w:eastAsia="Guttman Hodes" w:hint="cs"/>
          <w:rtl/>
        </w:rPr>
        <w:instrText xml:space="preserve"> _</w:instrText>
      </w:r>
      <w:r w:rsidRPr="00F65A6F">
        <w:rPr>
          <w:rStyle w:val="af7"/>
          <w:rFonts w:eastAsia="Guttman Hodes" w:hint="cs"/>
        </w:rPr>
        <w:instrText>Ref65795831 \r \h</w:instrText>
      </w:r>
      <w:r w:rsidRPr="00F65A6F">
        <w:rPr>
          <w:rStyle w:val="af7"/>
          <w:rFonts w:eastAsia="Guttman Hodes"/>
          <w:rtl/>
        </w:rPr>
        <w:instrText xml:space="preserve"> </w:instrText>
      </w:r>
      <w:r w:rsidRPr="00F65A6F">
        <w:rPr>
          <w:rStyle w:val="af7"/>
          <w:rFonts w:eastAsia="Guttman Hodes"/>
          <w:rtl/>
        </w:rPr>
      </w:r>
      <w:r w:rsidRPr="00F65A6F">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F65A6F">
        <w:rPr>
          <w:rStyle w:val="af7"/>
          <w:rFonts w:eastAsia="Guttman Hodes"/>
          <w:rtl/>
        </w:rPr>
        <w:fldChar w:fldCharType="end"/>
      </w:r>
      <w:r>
        <w:rPr>
          <w:rFonts w:hint="cs"/>
          <w:rtl/>
        </w:rPr>
        <w:t xml:space="preserve"> דס"ל דכיון שחייב בשבועה דאו', צריך או להשבע להכחיש את העד, או לשלם, ולא מהני לו מיגו להפטר, לא קשה קושית</w:t>
      </w:r>
      <w:r w:rsidRPr="003A0764">
        <w:rPr>
          <w:rStyle w:val="af9"/>
          <w:rFonts w:hint="cs"/>
          <w:rtl/>
        </w:rPr>
        <w:t xml:space="preserve"> </w:t>
      </w:r>
      <w:r w:rsidRPr="000074EF">
        <w:rPr>
          <w:rStyle w:val="af9"/>
          <w:rFonts w:hint="cs"/>
          <w:rtl/>
        </w:rPr>
        <w:t>התוס'</w:t>
      </w:r>
      <w:r w:rsidRPr="00B51B08">
        <w:rPr>
          <w:rFonts w:hint="cs"/>
          <w:rtl/>
        </w:rPr>
        <w:t xml:space="preserve"> </w:t>
      </w:r>
      <w:r w:rsidRPr="00F65A6F">
        <w:rPr>
          <w:rStyle w:val="af7"/>
          <w:rFonts w:eastAsia="Guttman Hodes" w:hint="cs"/>
          <w:rtl/>
        </w:rPr>
        <w:t xml:space="preserve">(עי' אות </w:t>
      </w:r>
      <w:r w:rsidRPr="00F65A6F">
        <w:rPr>
          <w:rStyle w:val="af7"/>
          <w:rFonts w:eastAsia="Guttman Hodes"/>
          <w:rtl/>
        </w:rPr>
        <w:fldChar w:fldCharType="begin"/>
      </w:r>
      <w:r w:rsidRPr="00F65A6F">
        <w:rPr>
          <w:rStyle w:val="af7"/>
          <w:rFonts w:eastAsia="Guttman Hodes"/>
          <w:rtl/>
        </w:rPr>
        <w:instrText xml:space="preserve"> </w:instrText>
      </w:r>
      <w:r w:rsidRPr="00F65A6F">
        <w:rPr>
          <w:rStyle w:val="af7"/>
          <w:rFonts w:eastAsia="Guttman Hodes" w:hint="cs"/>
        </w:rPr>
        <w:instrText>REF</w:instrText>
      </w:r>
      <w:r w:rsidRPr="00F65A6F">
        <w:rPr>
          <w:rStyle w:val="af7"/>
          <w:rFonts w:eastAsia="Guttman Hodes" w:hint="cs"/>
          <w:rtl/>
        </w:rPr>
        <w:instrText xml:space="preserve"> _</w:instrText>
      </w:r>
      <w:r w:rsidRPr="00F65A6F">
        <w:rPr>
          <w:rStyle w:val="af7"/>
          <w:rFonts w:eastAsia="Guttman Hodes" w:hint="cs"/>
        </w:rPr>
        <w:instrText>Ref64910949 \r \h</w:instrText>
      </w:r>
      <w:r w:rsidRPr="00F65A6F">
        <w:rPr>
          <w:rStyle w:val="af7"/>
          <w:rFonts w:eastAsia="Guttman Hodes"/>
          <w:rtl/>
        </w:rPr>
        <w:instrText xml:space="preserve"> </w:instrText>
      </w:r>
      <w:r w:rsidRPr="00F65A6F">
        <w:rPr>
          <w:rStyle w:val="af7"/>
          <w:rFonts w:eastAsia="Guttman Hodes"/>
          <w:rtl/>
        </w:rPr>
      </w:r>
      <w:r w:rsidRPr="00F65A6F">
        <w:rPr>
          <w:rStyle w:val="af7"/>
          <w:rFonts w:eastAsia="Guttman Hodes"/>
          <w:rtl/>
        </w:rPr>
        <w:fldChar w:fldCharType="separate"/>
      </w:r>
      <w:r w:rsidR="00265073">
        <w:rPr>
          <w:rStyle w:val="af7"/>
          <w:rFonts w:eastAsia="Guttman Hodes"/>
          <w:cs/>
        </w:rPr>
        <w:t>‎</w:t>
      </w:r>
      <w:r w:rsidR="00265073">
        <w:rPr>
          <w:rStyle w:val="af7"/>
          <w:rFonts w:eastAsia="Guttman Hodes"/>
          <w:rtl/>
        </w:rPr>
        <w:t>ב)</w:t>
      </w:r>
      <w:r w:rsidRPr="00F65A6F">
        <w:rPr>
          <w:rStyle w:val="af7"/>
          <w:rFonts w:eastAsia="Guttman Hodes"/>
          <w:rtl/>
        </w:rPr>
        <w:fldChar w:fldCharType="end"/>
      </w:r>
      <w:r>
        <w:rPr>
          <w:rFonts w:hint="cs"/>
          <w:rtl/>
        </w:rPr>
        <w:t xml:space="preserve"> מהחזרתי במיגו דנאנסו, כיון דבנאנסו ג"כ יש נאמנות של מיגו, כדמוכח בגמ' בשבועות </w:t>
      </w:r>
      <w:r w:rsidRPr="00F65A6F">
        <w:rPr>
          <w:rStyle w:val="af7"/>
          <w:rFonts w:eastAsia="Guttman Hodes" w:hint="cs"/>
          <w:rtl/>
        </w:rPr>
        <w:t>(מה:)</w:t>
      </w:r>
      <w:r>
        <w:rPr>
          <w:rFonts w:hint="cs"/>
          <w:rtl/>
        </w:rPr>
        <w:t xml:space="preserve">, אבל בטענת לא חטפי דכ"ז שלא נשבע להכחיש את הע"א, הוא חשיב כשנים, א"כ לא שייך כל נאמנות של מיגו, ואי יהיה נאמן בטענת דידי חטפי במיגו דלא חטפי, ממילא יהיה לו נאמנות בטענה שטוען עכשיו יותר מטענת המיגו, ולא מצינו דמהני מיגו לתת לו יותר כח מטענת המיגו, ועיי"ש במה שתירץ לפי"ז </w:t>
      </w:r>
      <w:r w:rsidRPr="007B5F6C">
        <w:rPr>
          <w:rStyle w:val="af9"/>
          <w:rFonts w:hint="cs"/>
          <w:rtl/>
        </w:rPr>
        <w:t>בחו"ש הגרב"ב</w:t>
      </w:r>
      <w:r>
        <w:rPr>
          <w:rFonts w:hint="cs"/>
          <w:rtl/>
        </w:rPr>
        <w:t xml:space="preserve"> את קושית </w:t>
      </w:r>
      <w:r>
        <w:rPr>
          <w:rStyle w:val="af9"/>
          <w:rtl/>
        </w:rPr>
        <w:t>התוס'</w:t>
      </w:r>
      <w:r>
        <w:rPr>
          <w:rFonts w:hint="cs"/>
          <w:rtl/>
        </w:rPr>
        <w:t xml:space="preserve"> </w:t>
      </w:r>
      <w:r w:rsidRPr="007B5F6C">
        <w:rPr>
          <w:rStyle w:val="af7"/>
          <w:rFonts w:eastAsia="Guttman Hodes" w:hint="cs"/>
          <w:rtl/>
        </w:rPr>
        <w:t xml:space="preserve">(עי' אות </w:t>
      </w:r>
      <w:r w:rsidRPr="007B5F6C">
        <w:rPr>
          <w:rStyle w:val="af7"/>
          <w:rFonts w:eastAsia="Guttman Hodes"/>
          <w:rtl/>
        </w:rPr>
        <w:fldChar w:fldCharType="begin"/>
      </w:r>
      <w:r w:rsidRPr="007B5F6C">
        <w:rPr>
          <w:rStyle w:val="af7"/>
          <w:rFonts w:eastAsia="Guttman Hodes"/>
          <w:rtl/>
        </w:rPr>
        <w:instrText xml:space="preserve"> </w:instrText>
      </w:r>
      <w:r w:rsidRPr="007B5F6C">
        <w:rPr>
          <w:rStyle w:val="af7"/>
          <w:rFonts w:eastAsia="Guttman Hodes" w:hint="cs"/>
        </w:rPr>
        <w:instrText>REF</w:instrText>
      </w:r>
      <w:r w:rsidRPr="007B5F6C">
        <w:rPr>
          <w:rStyle w:val="af7"/>
          <w:rFonts w:eastAsia="Guttman Hodes" w:hint="cs"/>
          <w:rtl/>
        </w:rPr>
        <w:instrText xml:space="preserve"> _</w:instrText>
      </w:r>
      <w:r w:rsidRPr="007B5F6C">
        <w:rPr>
          <w:rStyle w:val="af7"/>
          <w:rFonts w:eastAsia="Guttman Hodes" w:hint="cs"/>
        </w:rPr>
        <w:instrText>Ref65795902 \r \h</w:instrText>
      </w:r>
      <w:r w:rsidRPr="007B5F6C">
        <w:rPr>
          <w:rStyle w:val="af7"/>
          <w:rFonts w:eastAsia="Guttman Hodes"/>
          <w:rtl/>
        </w:rPr>
        <w:instrText xml:space="preserve">  \* </w:instrText>
      </w:r>
      <w:r w:rsidRPr="007B5F6C">
        <w:rPr>
          <w:rStyle w:val="af7"/>
          <w:rFonts w:eastAsia="Guttman Hodes"/>
        </w:rPr>
        <w:instrText>MERGEFORMAT</w:instrText>
      </w:r>
      <w:r w:rsidRPr="007B5F6C">
        <w:rPr>
          <w:rStyle w:val="af7"/>
          <w:rFonts w:eastAsia="Guttman Hodes"/>
          <w:rtl/>
        </w:rPr>
        <w:instrText xml:space="preserve"> </w:instrText>
      </w:r>
      <w:r w:rsidRPr="007B5F6C">
        <w:rPr>
          <w:rStyle w:val="af7"/>
          <w:rFonts w:eastAsia="Guttman Hodes"/>
          <w:rtl/>
        </w:rPr>
      </w:r>
      <w:r w:rsidRPr="007B5F6C">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7B5F6C">
        <w:rPr>
          <w:rStyle w:val="af7"/>
          <w:rFonts w:eastAsia="Guttman Hodes"/>
          <w:rtl/>
        </w:rPr>
        <w:fldChar w:fldCharType="end"/>
      </w:r>
      <w:r>
        <w:rPr>
          <w:rFonts w:hint="cs"/>
          <w:rtl/>
        </w:rPr>
        <w:t xml:space="preserve"> על </w:t>
      </w:r>
      <w:r>
        <w:rPr>
          <w:rStyle w:val="af9"/>
          <w:rtl/>
        </w:rPr>
        <w:t>ריב"ם</w:t>
      </w:r>
      <w:r>
        <w:rPr>
          <w:rFonts w:hint="cs"/>
          <w:rtl/>
        </w:rPr>
        <w:t xml:space="preserve"> מדין חמשין ידענא.</w:t>
      </w:r>
    </w:p>
    <w:p w:rsidR="00E824D3" w:rsidRPr="00F651C8" w:rsidRDefault="00E824D3" w:rsidP="00E824D3">
      <w:pPr>
        <w:pStyle w:val="a3"/>
        <w:rPr>
          <w:rtl/>
        </w:rPr>
      </w:pPr>
    </w:p>
    <w:p w:rsidR="00E824D3" w:rsidRDefault="00E824D3" w:rsidP="00E824D3">
      <w:pPr>
        <w:pStyle w:val="1"/>
        <w:rPr>
          <w:rtl/>
        </w:rPr>
      </w:pPr>
      <w:bookmarkStart w:id="18268" w:name="_Toc66143903"/>
      <w:bookmarkStart w:id="18269" w:name="_Toc66172077"/>
      <w:bookmarkStart w:id="18270" w:name="_Toc66183315"/>
      <w:bookmarkStart w:id="18271" w:name="_Toc66186042"/>
      <w:bookmarkStart w:id="18272" w:name="_Toc66193508"/>
      <w:bookmarkStart w:id="18273" w:name="_Toc66183259"/>
      <w:r>
        <w:rPr>
          <w:rFonts w:hint="cs"/>
          <w:rtl/>
        </w:rPr>
        <w:t>ביאור הגרנ"פ בתרוה"כ</w:t>
      </w:r>
      <w:bookmarkEnd w:id="18268"/>
      <w:bookmarkEnd w:id="18269"/>
      <w:bookmarkEnd w:id="18270"/>
      <w:r>
        <w:rPr>
          <w:rFonts w:hint="cs"/>
          <w:rtl/>
        </w:rPr>
        <w:t xml:space="preserve"> דלרב ושמואל אין עדות על גזל כלל</w:t>
      </w:r>
      <w:bookmarkEnd w:id="18271"/>
      <w:bookmarkEnd w:id="18272"/>
    </w:p>
    <w:p w:rsidR="00E824D3" w:rsidRPr="00B068C9" w:rsidRDefault="00E824D3" w:rsidP="00E824D3">
      <w:pPr>
        <w:pStyle w:val="a3"/>
      </w:pPr>
      <w:bookmarkStart w:id="18274" w:name="_Toc66186043"/>
      <w:bookmarkStart w:id="18275" w:name="_Toc66193509"/>
      <w:r>
        <w:rPr>
          <w:rFonts w:hint="cs"/>
          <w:rtl/>
        </w:rPr>
        <w:t>ביאור הגרנ"פ בתרוה"כ דלרב ושמואל נאמן בפה שאסר ואין עדות שחטף את ממונו וא"צ מיגו</w:t>
      </w:r>
      <w:bookmarkEnd w:id="18274"/>
      <w:bookmarkEnd w:id="18275"/>
    </w:p>
    <w:p w:rsidR="00E824D3" w:rsidRDefault="00E824D3" w:rsidP="007E4E81">
      <w:pPr>
        <w:pStyle w:val="a0"/>
        <w:rPr>
          <w:rtl/>
        </w:rPr>
      </w:pPr>
      <w:r>
        <w:rPr>
          <w:rFonts w:hint="cs"/>
          <w:rtl/>
        </w:rPr>
        <w:t xml:space="preserve">במ"ש </w:t>
      </w:r>
      <w:r w:rsidRPr="00FE0089">
        <w:rPr>
          <w:rStyle w:val="af9"/>
          <w:rFonts w:hint="cs"/>
          <w:rtl/>
        </w:rPr>
        <w:t>התרומת הכרי</w:t>
      </w:r>
      <w:r>
        <w:rPr>
          <w:rFonts w:hint="cs"/>
          <w:rtl/>
        </w:rPr>
        <w:t xml:space="preserve"> </w:t>
      </w:r>
      <w:r w:rsidRPr="00036671">
        <w:rPr>
          <w:rStyle w:val="af7"/>
          <w:rFonts w:eastAsia="Guttman Hodes" w:hint="cs"/>
          <w:rtl/>
        </w:rPr>
        <w:t xml:space="preserve">(עי' אות </w:t>
      </w:r>
      <w:r w:rsidRPr="00036671">
        <w:rPr>
          <w:rStyle w:val="af7"/>
          <w:rFonts w:eastAsia="Guttman Hodes"/>
          <w:rtl/>
        </w:rPr>
        <w:fldChar w:fldCharType="begin"/>
      </w:r>
      <w:r w:rsidRPr="00036671">
        <w:rPr>
          <w:rStyle w:val="af7"/>
          <w:rFonts w:eastAsia="Guttman Hodes"/>
          <w:rtl/>
        </w:rPr>
        <w:instrText xml:space="preserve"> </w:instrText>
      </w:r>
      <w:r w:rsidRPr="00036671">
        <w:rPr>
          <w:rStyle w:val="af7"/>
          <w:rFonts w:eastAsia="Guttman Hodes" w:hint="cs"/>
        </w:rPr>
        <w:instrText>REF</w:instrText>
      </w:r>
      <w:r w:rsidRPr="00036671">
        <w:rPr>
          <w:rStyle w:val="af7"/>
          <w:rFonts w:eastAsia="Guttman Hodes" w:hint="cs"/>
          <w:rtl/>
        </w:rPr>
        <w:instrText xml:space="preserve"> _</w:instrText>
      </w:r>
      <w:r w:rsidRPr="00036671">
        <w:rPr>
          <w:rStyle w:val="af7"/>
          <w:rFonts w:eastAsia="Guttman Hodes" w:hint="cs"/>
        </w:rPr>
        <w:instrText>Ref66055643 \r \h</w:instrText>
      </w:r>
      <w:r w:rsidRPr="00036671">
        <w:rPr>
          <w:rStyle w:val="af7"/>
          <w:rFonts w:eastAsia="Guttman Hodes"/>
          <w:rtl/>
        </w:rPr>
        <w:instrText xml:space="preserve"> </w:instrText>
      </w:r>
      <w:r w:rsidRPr="00036671">
        <w:rPr>
          <w:rStyle w:val="af7"/>
          <w:rFonts w:eastAsia="Guttman Hodes"/>
          <w:rtl/>
        </w:rPr>
      </w:r>
      <w:r w:rsidRPr="00036671">
        <w:rPr>
          <w:rStyle w:val="af7"/>
          <w:rFonts w:eastAsia="Guttman Hodes"/>
          <w:rtl/>
        </w:rPr>
        <w:fldChar w:fldCharType="separate"/>
      </w:r>
      <w:r w:rsidR="00265073">
        <w:rPr>
          <w:rStyle w:val="af7"/>
          <w:rFonts w:eastAsia="Guttman Hodes"/>
          <w:cs/>
        </w:rPr>
        <w:t>‎</w:t>
      </w:r>
      <w:r w:rsidR="00265073">
        <w:rPr>
          <w:rStyle w:val="af7"/>
          <w:rFonts w:eastAsia="Guttman Hodes"/>
          <w:rtl/>
        </w:rPr>
        <w:t>כח)</w:t>
      </w:r>
      <w:r w:rsidRPr="00036671">
        <w:rPr>
          <w:rStyle w:val="af7"/>
          <w:rFonts w:eastAsia="Guttman Hodes"/>
          <w:rtl/>
        </w:rPr>
        <w:fldChar w:fldCharType="end"/>
      </w:r>
      <w:r>
        <w:rPr>
          <w:rFonts w:hint="cs"/>
          <w:rtl/>
        </w:rPr>
        <w:t xml:space="preserve"> דלרב ושמואל דהשבועה בע"א היא רק חומרא, ואין כל ריעותא בחוטף מחמת שהודה שחטף, והודאתו כמאן דליתא, ונאמן החוטף אף בלי מיגו, הקשה </w:t>
      </w:r>
      <w:r w:rsidRPr="008C56EE">
        <w:rPr>
          <w:rStyle w:val="af9"/>
          <w:rFonts w:hint="cs"/>
          <w:rtl/>
        </w:rPr>
        <w:t>בחי' רבי נחום</w:t>
      </w:r>
      <w:r>
        <w:rPr>
          <w:rFonts w:hint="cs"/>
          <w:rtl/>
        </w:rPr>
        <w:t xml:space="preserve"> </w:t>
      </w:r>
      <w:r w:rsidRPr="00036671">
        <w:rPr>
          <w:rStyle w:val="af7"/>
          <w:rFonts w:eastAsia="Guttman Hodes" w:hint="cs"/>
          <w:rtl/>
        </w:rPr>
        <w:t>(או' ר"א)</w:t>
      </w:r>
      <w:r>
        <w:rPr>
          <w:rFonts w:hint="cs"/>
          <w:rtl/>
        </w:rPr>
        <w:t xml:space="preserve"> דהיאך שייך להאמינו בלא מיגו, הא אעפ"י שאין עדים שחטף, מ"מ אחר שהוא עצמו הודה שחטף, א"כ לפי דבריו אנו יודעים שהממון היה בודאי של הראשון, וכתב </w:t>
      </w:r>
      <w:r w:rsidRPr="008C56EE">
        <w:rPr>
          <w:rStyle w:val="af9"/>
          <w:rFonts w:hint="cs"/>
          <w:rtl/>
        </w:rPr>
        <w:t>בחי' רבי נחום</w:t>
      </w:r>
      <w:r>
        <w:rPr>
          <w:rFonts w:hint="cs"/>
          <w:rtl/>
        </w:rPr>
        <w:t xml:space="preserve"> </w:t>
      </w:r>
      <w:r w:rsidRPr="00036671">
        <w:rPr>
          <w:rStyle w:val="af7"/>
          <w:rFonts w:eastAsia="Guttman Hodes" w:hint="cs"/>
          <w:rtl/>
        </w:rPr>
        <w:t>(או' ר"א ד"ה וצ"ל)</w:t>
      </w:r>
      <w:r>
        <w:rPr>
          <w:rFonts w:hint="cs"/>
          <w:rtl/>
        </w:rPr>
        <w:t xml:space="preserve"> דצ"ל דכוונת </w:t>
      </w:r>
      <w:r w:rsidRPr="00C44047">
        <w:rPr>
          <w:rStyle w:val="af9"/>
          <w:rFonts w:hint="cs"/>
          <w:rtl/>
        </w:rPr>
        <w:t>התרומת הכרי</w:t>
      </w:r>
      <w:r>
        <w:rPr>
          <w:rFonts w:hint="cs"/>
          <w:rtl/>
        </w:rPr>
        <w:t xml:space="preserve"> לומר כדברי </w:t>
      </w:r>
      <w:r w:rsidRPr="008C56EE">
        <w:rPr>
          <w:rStyle w:val="af9"/>
          <w:rFonts w:hint="cs"/>
          <w:rtl/>
        </w:rPr>
        <w:t>הגר"ח</w:t>
      </w:r>
      <w:r>
        <w:rPr>
          <w:rFonts w:hint="cs"/>
          <w:rtl/>
        </w:rPr>
        <w:t xml:space="preserve"> </w:t>
      </w:r>
      <w:r w:rsidRPr="00036671">
        <w:rPr>
          <w:rStyle w:val="af7"/>
          <w:rFonts w:eastAsia="Guttman Hodes" w:hint="cs"/>
          <w:rtl/>
        </w:rPr>
        <w:t xml:space="preserve">(עי' אות </w:t>
      </w:r>
      <w:r w:rsidRPr="00036671">
        <w:rPr>
          <w:rStyle w:val="af7"/>
          <w:rFonts w:eastAsia="Guttman Hodes"/>
          <w:rtl/>
        </w:rPr>
        <w:fldChar w:fldCharType="begin"/>
      </w:r>
      <w:r w:rsidRPr="00036671">
        <w:rPr>
          <w:rStyle w:val="af7"/>
          <w:rFonts w:eastAsia="Guttman Hodes"/>
          <w:rtl/>
        </w:rPr>
        <w:instrText xml:space="preserve"> </w:instrText>
      </w:r>
      <w:r w:rsidRPr="00036671">
        <w:rPr>
          <w:rStyle w:val="af7"/>
          <w:rFonts w:eastAsia="Guttman Hodes" w:hint="cs"/>
        </w:rPr>
        <w:instrText>REF</w:instrText>
      </w:r>
      <w:r w:rsidRPr="00036671">
        <w:rPr>
          <w:rStyle w:val="af7"/>
          <w:rFonts w:eastAsia="Guttman Hodes" w:hint="cs"/>
          <w:rtl/>
        </w:rPr>
        <w:instrText xml:space="preserve"> _</w:instrText>
      </w:r>
      <w:r w:rsidRPr="00036671">
        <w:rPr>
          <w:rStyle w:val="af7"/>
          <w:rFonts w:eastAsia="Guttman Hodes" w:hint="cs"/>
        </w:rPr>
        <w:instrText>Ref66132463 \r \h</w:instrText>
      </w:r>
      <w:r w:rsidRPr="00036671">
        <w:rPr>
          <w:rStyle w:val="af7"/>
          <w:rFonts w:eastAsia="Guttman Hodes"/>
          <w:rtl/>
        </w:rPr>
        <w:instrText xml:space="preserve"> </w:instrText>
      </w:r>
      <w:r w:rsidRPr="00036671">
        <w:rPr>
          <w:rStyle w:val="af7"/>
          <w:rFonts w:eastAsia="Guttman Hodes"/>
          <w:rtl/>
        </w:rPr>
      </w:r>
      <w:r w:rsidRPr="00036671">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036671">
        <w:rPr>
          <w:rStyle w:val="af7"/>
          <w:rFonts w:eastAsia="Guttman Hodes"/>
          <w:rtl/>
        </w:rPr>
        <w:fldChar w:fldCharType="end"/>
      </w:r>
      <w:r>
        <w:rPr>
          <w:rFonts w:hint="cs"/>
          <w:rtl/>
        </w:rPr>
        <w:t xml:space="preserve"> דהא דא"א לחייבו מכח מה שהודה שחטף, הוא כיון שיש לו נאמנות מדין הפה שאסר, ומה שהגמ' ביארה דהוא מדין מתוך שאינו יכול לישבע משלם, היינו כדביאר </w:t>
      </w:r>
      <w:r w:rsidRPr="008C56EE">
        <w:rPr>
          <w:rStyle w:val="af9"/>
          <w:rFonts w:hint="cs"/>
          <w:rtl/>
        </w:rPr>
        <w:t>הגר"ח</w:t>
      </w:r>
      <w:r>
        <w:rPr>
          <w:rFonts w:hint="cs"/>
          <w:rtl/>
        </w:rPr>
        <w:t xml:space="preserve"> </w:t>
      </w:r>
      <w:r w:rsidRPr="00036671">
        <w:rPr>
          <w:rStyle w:val="af7"/>
          <w:rFonts w:eastAsia="Guttman Hodes" w:hint="cs"/>
          <w:rtl/>
        </w:rPr>
        <w:t xml:space="preserve">(עי' אות </w:t>
      </w:r>
      <w:r w:rsidRPr="00036671">
        <w:rPr>
          <w:rStyle w:val="af7"/>
          <w:rFonts w:eastAsia="Guttman Rashi"/>
          <w:rtl/>
        </w:rPr>
        <w:fldChar w:fldCharType="begin"/>
      </w:r>
      <w:r w:rsidRPr="00036671">
        <w:rPr>
          <w:rStyle w:val="af7"/>
          <w:rFonts w:eastAsia="Guttman Hodes"/>
          <w:rtl/>
        </w:rPr>
        <w:instrText xml:space="preserve"> </w:instrText>
      </w:r>
      <w:r w:rsidRPr="00036671">
        <w:rPr>
          <w:rStyle w:val="af7"/>
          <w:rFonts w:eastAsia="Guttman Hodes" w:hint="cs"/>
        </w:rPr>
        <w:instrText>REF</w:instrText>
      </w:r>
      <w:r w:rsidRPr="00036671">
        <w:rPr>
          <w:rStyle w:val="af7"/>
          <w:rFonts w:eastAsia="Guttman Hodes" w:hint="cs"/>
          <w:rtl/>
        </w:rPr>
        <w:instrText xml:space="preserve"> _</w:instrText>
      </w:r>
      <w:r w:rsidRPr="00036671">
        <w:rPr>
          <w:rStyle w:val="af7"/>
          <w:rFonts w:eastAsia="Guttman Hodes" w:hint="cs"/>
        </w:rPr>
        <w:instrText>Ref66132568 \r \h</w:instrText>
      </w:r>
      <w:r w:rsidRPr="00036671">
        <w:rPr>
          <w:rStyle w:val="af7"/>
          <w:rFonts w:eastAsia="Guttman Hodes"/>
          <w:rtl/>
        </w:rPr>
        <w:instrText xml:space="preserve"> </w:instrText>
      </w:r>
      <w:r w:rsidRPr="00036671">
        <w:rPr>
          <w:rStyle w:val="af7"/>
          <w:rFonts w:eastAsia="Guttman Rashi"/>
          <w:rtl/>
        </w:rPr>
      </w:r>
      <w:r w:rsidRPr="00036671">
        <w:rPr>
          <w:rStyle w:val="af7"/>
          <w:rFonts w:eastAsia="Guttman Rashi"/>
          <w:rtl/>
        </w:rPr>
        <w:fldChar w:fldCharType="separate"/>
      </w:r>
      <w:r w:rsidR="00265073">
        <w:rPr>
          <w:rStyle w:val="af7"/>
          <w:rFonts w:eastAsia="Guttman Hodes"/>
          <w:cs/>
        </w:rPr>
        <w:t>‎</w:t>
      </w:r>
      <w:r w:rsidR="00265073">
        <w:rPr>
          <w:rStyle w:val="af7"/>
          <w:rFonts w:eastAsia="Guttman Hodes"/>
          <w:rtl/>
        </w:rPr>
        <w:t>עו)</w:t>
      </w:r>
      <w:r w:rsidRPr="00036671">
        <w:rPr>
          <w:rStyle w:val="af7"/>
          <w:rFonts w:eastAsia="Guttman Rashi"/>
          <w:rtl/>
        </w:rPr>
        <w:fldChar w:fldCharType="end"/>
      </w:r>
      <w:r>
        <w:rPr>
          <w:rFonts w:hint="cs"/>
          <w:rtl/>
        </w:rPr>
        <w:t xml:space="preserve"> דלר"א דס"ל דאמרינן מתוך שאינו יכול לישבע משלם חשיב שיש עדות שחטף את ממונו, ולרב ושמואל חשיב שאין עדות, ולכן נאמן מדין הפה שאסר, ועיי"ש במה שהוסיף </w:t>
      </w:r>
      <w:r w:rsidRPr="008C56EE">
        <w:rPr>
          <w:rStyle w:val="af9"/>
          <w:rFonts w:hint="cs"/>
          <w:rtl/>
        </w:rPr>
        <w:t>בחי' רבי נחום</w:t>
      </w:r>
      <w:r>
        <w:rPr>
          <w:rFonts w:hint="cs"/>
          <w:rtl/>
        </w:rPr>
        <w:t xml:space="preserve"> </w:t>
      </w:r>
      <w:r w:rsidRPr="00036671">
        <w:rPr>
          <w:rStyle w:val="af7"/>
          <w:rFonts w:eastAsia="Guttman Hodes" w:hint="cs"/>
          <w:rtl/>
        </w:rPr>
        <w:t>(או' ר"א ד"ה אמנם)</w:t>
      </w:r>
      <w:r>
        <w:rPr>
          <w:rFonts w:hint="cs"/>
          <w:rtl/>
        </w:rPr>
        <w:t xml:space="preserve"> לבאר בזה.</w:t>
      </w:r>
    </w:p>
    <w:p w:rsidR="00E824D3" w:rsidRPr="00B40965" w:rsidRDefault="00E824D3" w:rsidP="00E824D3">
      <w:pPr>
        <w:pStyle w:val="afe"/>
        <w:rPr>
          <w:rtl/>
        </w:rPr>
      </w:pPr>
      <w:bookmarkStart w:id="18276" w:name="_Toc66186044"/>
      <w:bookmarkStart w:id="18277" w:name="_Toc66193510"/>
      <w:r>
        <w:rPr>
          <w:rFonts w:hint="cs"/>
          <w:rtl/>
        </w:rPr>
        <w:t>בגדר חיוב שבועה בע"א לר"י ולריב"ם</w:t>
      </w:r>
      <w:bookmarkEnd w:id="18259"/>
      <w:bookmarkEnd w:id="18260"/>
      <w:bookmarkEnd w:id="18261"/>
      <w:bookmarkEnd w:id="18273"/>
      <w:bookmarkEnd w:id="18276"/>
      <w:bookmarkEnd w:id="18277"/>
    </w:p>
    <w:p w:rsidR="00E824D3" w:rsidRDefault="00E824D3" w:rsidP="00E824D3">
      <w:pPr>
        <w:pStyle w:val="1"/>
        <w:rPr>
          <w:rtl/>
        </w:rPr>
      </w:pPr>
      <w:bookmarkStart w:id="18278" w:name="_Toc65788194"/>
      <w:bookmarkStart w:id="18279" w:name="_Toc65839242"/>
      <w:bookmarkStart w:id="18280" w:name="_Toc66048883"/>
      <w:bookmarkStart w:id="18281" w:name="_Toc66055836"/>
      <w:bookmarkStart w:id="18282" w:name="_Toc66085956"/>
      <w:bookmarkStart w:id="18283" w:name="_Toc66110529"/>
      <w:bookmarkStart w:id="18284" w:name="_Toc66123411"/>
      <w:bookmarkStart w:id="18285" w:name="_Toc66143853"/>
      <w:bookmarkStart w:id="18286" w:name="_Toc66172016"/>
      <w:bookmarkStart w:id="18287" w:name="_Toc66183260"/>
      <w:bookmarkStart w:id="18288" w:name="_Toc66186045"/>
      <w:bookmarkStart w:id="18289" w:name="_Toc66193511"/>
      <w:r>
        <w:rPr>
          <w:rFonts w:hint="cs"/>
          <w:rtl/>
        </w:rPr>
        <w:t>ביאור הגר"ח מטעלז בדברי הש"ך בפלוג' ר"א ורב ושמואל</w:t>
      </w:r>
      <w:bookmarkEnd w:id="18278"/>
      <w:bookmarkEnd w:id="18279"/>
      <w:bookmarkEnd w:id="18280"/>
      <w:bookmarkEnd w:id="18281"/>
      <w:bookmarkEnd w:id="18282"/>
      <w:bookmarkEnd w:id="18283"/>
      <w:bookmarkEnd w:id="18284"/>
      <w:bookmarkEnd w:id="18285"/>
      <w:bookmarkEnd w:id="18286"/>
      <w:bookmarkEnd w:id="18287"/>
      <w:bookmarkEnd w:id="18288"/>
      <w:bookmarkEnd w:id="18289"/>
    </w:p>
    <w:p w:rsidR="00E824D3" w:rsidRDefault="00E824D3" w:rsidP="00E824D3">
      <w:pPr>
        <w:pStyle w:val="a3"/>
      </w:pPr>
      <w:bookmarkStart w:id="18290" w:name="_Toc66123412"/>
      <w:bookmarkStart w:id="18291" w:name="_Toc66143854"/>
      <w:bookmarkStart w:id="18292" w:name="_Toc66172017"/>
      <w:bookmarkStart w:id="18293" w:name="_Toc66183261"/>
      <w:bookmarkStart w:id="18294" w:name="_Toc66186046"/>
      <w:bookmarkStart w:id="18295" w:name="_Toc66193512"/>
      <w:r>
        <w:rPr>
          <w:rFonts w:hint="cs"/>
          <w:rtl/>
        </w:rPr>
        <w:t>בי' הגר"ח מטעלז בש"ך דלר"א ע"א מחייב ממון ושבועה פוטרת ולרב ושמואל מחייב רק שבועה</w:t>
      </w:r>
      <w:bookmarkEnd w:id="18290"/>
      <w:bookmarkEnd w:id="18291"/>
      <w:bookmarkEnd w:id="18292"/>
      <w:bookmarkEnd w:id="18293"/>
      <w:bookmarkEnd w:id="18294"/>
      <w:bookmarkEnd w:id="18295"/>
    </w:p>
    <w:p w:rsidR="00E824D3" w:rsidRDefault="00E824D3" w:rsidP="007E4E81">
      <w:pPr>
        <w:pStyle w:val="a0"/>
        <w:rPr>
          <w:rtl/>
        </w:rPr>
      </w:pPr>
      <w:bookmarkStart w:id="18296" w:name="_Ref65785385"/>
      <w:bookmarkStart w:id="18297" w:name="_Ref66124837"/>
      <w:r>
        <w:rPr>
          <w:rFonts w:hint="cs"/>
          <w:rtl/>
        </w:rPr>
        <w:t xml:space="preserve">במ"ש </w:t>
      </w:r>
      <w:r w:rsidRPr="009F7F21">
        <w:rPr>
          <w:rStyle w:val="af9"/>
          <w:rFonts w:hint="cs"/>
          <w:rtl/>
        </w:rPr>
        <w:t>הש"ך</w:t>
      </w:r>
      <w:r>
        <w:rPr>
          <w:rFonts w:hint="cs"/>
          <w:rtl/>
        </w:rPr>
        <w:t xml:space="preserve"> </w:t>
      </w:r>
      <w:r w:rsidRPr="001E733D">
        <w:rPr>
          <w:rStyle w:val="af7"/>
          <w:rFonts w:eastAsia="Guttman Hodes" w:hint="cs"/>
          <w:rtl/>
        </w:rPr>
        <w:t xml:space="preserve">(עי' אות </w:t>
      </w:r>
      <w:r w:rsidRPr="001E733D">
        <w:rPr>
          <w:rStyle w:val="af7"/>
          <w:rFonts w:eastAsia="Guttman Hodes"/>
          <w:rtl/>
        </w:rPr>
        <w:fldChar w:fldCharType="begin"/>
      </w:r>
      <w:r w:rsidRPr="001E733D">
        <w:rPr>
          <w:rStyle w:val="af7"/>
          <w:rFonts w:eastAsia="Guttman Hodes"/>
          <w:rtl/>
        </w:rPr>
        <w:instrText xml:space="preserve"> </w:instrText>
      </w:r>
      <w:r w:rsidRPr="001E733D">
        <w:rPr>
          <w:rStyle w:val="af7"/>
          <w:rFonts w:eastAsia="Guttman Hodes" w:hint="cs"/>
        </w:rPr>
        <w:instrText>REF</w:instrText>
      </w:r>
      <w:r w:rsidRPr="001E733D">
        <w:rPr>
          <w:rStyle w:val="af7"/>
          <w:rFonts w:eastAsia="Guttman Hodes" w:hint="cs"/>
          <w:rtl/>
        </w:rPr>
        <w:instrText xml:space="preserve"> _</w:instrText>
      </w:r>
      <w:r w:rsidRPr="001E733D">
        <w:rPr>
          <w:rStyle w:val="af7"/>
          <w:rFonts w:eastAsia="Guttman Hodes" w:hint="cs"/>
        </w:rPr>
        <w:instrText>Ref65771138 \r \h</w:instrText>
      </w:r>
      <w:r w:rsidRPr="001E733D">
        <w:rPr>
          <w:rStyle w:val="af7"/>
          <w:rFonts w:eastAsia="Guttman Hodes"/>
          <w:rtl/>
        </w:rPr>
        <w:instrText xml:space="preserve"> </w:instrText>
      </w:r>
      <w:r w:rsidRPr="001E733D">
        <w:rPr>
          <w:rStyle w:val="af7"/>
          <w:rFonts w:eastAsia="Guttman Hodes"/>
          <w:rtl/>
        </w:rPr>
      </w:r>
      <w:r w:rsidRPr="001E733D">
        <w:rPr>
          <w:rStyle w:val="af7"/>
          <w:rFonts w:eastAsia="Guttman Hodes"/>
          <w:rtl/>
        </w:rPr>
        <w:fldChar w:fldCharType="separate"/>
      </w:r>
      <w:r w:rsidR="00265073">
        <w:rPr>
          <w:rStyle w:val="af7"/>
          <w:rFonts w:eastAsia="Guttman Hodes"/>
          <w:cs/>
        </w:rPr>
        <w:t>‎</w:t>
      </w:r>
      <w:r w:rsidR="00265073">
        <w:rPr>
          <w:rStyle w:val="af7"/>
          <w:rFonts w:eastAsia="Guttman Hodes"/>
          <w:rtl/>
        </w:rPr>
        <w:t>כ)</w:t>
      </w:r>
      <w:r w:rsidRPr="001E733D">
        <w:rPr>
          <w:rStyle w:val="af7"/>
          <w:rFonts w:eastAsia="Guttman Hodes"/>
          <w:rtl/>
        </w:rPr>
        <w:fldChar w:fldCharType="end"/>
      </w:r>
      <w:r>
        <w:rPr>
          <w:rFonts w:hint="cs"/>
          <w:rtl/>
        </w:rPr>
        <w:t xml:space="preserve"> דס"ל לרב ושמואל דאעפ"י שאינו נאמן במיגו, מ"מ כיון שהעד לא מכחישו, אינו חייב מדאו' לשלם, כל שאינו יכול להשבע, כתב בחי' </w:t>
      </w:r>
      <w:r w:rsidRPr="005C0255">
        <w:rPr>
          <w:rStyle w:val="af9"/>
          <w:rFonts w:hint="cs"/>
          <w:rtl/>
        </w:rPr>
        <w:t>הגר"ח מטעלז</w:t>
      </w:r>
      <w:r>
        <w:rPr>
          <w:rFonts w:hint="cs"/>
          <w:rtl/>
        </w:rPr>
        <w:t xml:space="preserve"> </w:t>
      </w:r>
      <w:r w:rsidRPr="001E733D">
        <w:rPr>
          <w:rStyle w:val="af7"/>
          <w:rFonts w:eastAsia="Guttman Hodes" w:hint="cs"/>
          <w:rtl/>
        </w:rPr>
        <w:t>(סי' ט"ז ד"ה אמנם ברמב"ן)</w:t>
      </w:r>
      <w:r>
        <w:rPr>
          <w:rFonts w:hint="cs"/>
          <w:rtl/>
        </w:rPr>
        <w:t xml:space="preserve"> דעדיין קשה היאך זוכה החוטף בנסכא, הרי אין לו מיגו, ואינו יכול להשבע</w:t>
      </w:r>
      <w:bookmarkEnd w:id="18296"/>
      <w:r>
        <w:rPr>
          <w:rFonts w:hint="cs"/>
          <w:rtl/>
        </w:rPr>
        <w:t xml:space="preserve">, </w:t>
      </w:r>
      <w:bookmarkStart w:id="18298" w:name="_Ref65789796"/>
      <w:r>
        <w:rPr>
          <w:rFonts w:hint="cs"/>
          <w:rtl/>
        </w:rPr>
        <w:t xml:space="preserve">וביאר </w:t>
      </w:r>
      <w:r w:rsidRPr="005C0255">
        <w:rPr>
          <w:rStyle w:val="af9"/>
          <w:rFonts w:hint="cs"/>
          <w:rtl/>
        </w:rPr>
        <w:t>בחי' הגר"ח מטעלז</w:t>
      </w:r>
      <w:r>
        <w:rPr>
          <w:rFonts w:hint="cs"/>
          <w:rtl/>
        </w:rPr>
        <w:t xml:space="preserve"> </w:t>
      </w:r>
      <w:r w:rsidRPr="001E733D">
        <w:rPr>
          <w:rStyle w:val="af7"/>
          <w:rFonts w:eastAsia="Guttman Hodes" w:hint="cs"/>
          <w:rtl/>
        </w:rPr>
        <w:t>(סי' ט"ז ד"ה ונראה דזוהי)</w:t>
      </w:r>
      <w:r>
        <w:rPr>
          <w:rFonts w:hint="cs"/>
          <w:rtl/>
        </w:rPr>
        <w:t xml:space="preserve"> את דברי </w:t>
      </w:r>
      <w:r w:rsidRPr="009F7F21">
        <w:rPr>
          <w:rStyle w:val="af9"/>
          <w:rFonts w:hint="cs"/>
          <w:rtl/>
        </w:rPr>
        <w:t>הש"ך</w:t>
      </w:r>
      <w:r>
        <w:rPr>
          <w:rFonts w:hint="cs"/>
          <w:rtl/>
        </w:rPr>
        <w:t xml:space="preserve"> דלרב אבא ע"א מחייב ממון, אלא דאפשר להפטר מהממון ע"י שבועה, וכל שהוא אנוס ואינו יכול להשבע נשאר חיוב הממון, ולרב ושמואל ע"א מחייב רק שבועה ולא ממון, ולכן כשאינו יכול להשבע, א"א להטיל עליו חיוב ממון, וכעי"ז כתב </w:t>
      </w:r>
      <w:r w:rsidRPr="00B1647D">
        <w:rPr>
          <w:rStyle w:val="af9"/>
          <w:rFonts w:hint="cs"/>
          <w:rtl/>
        </w:rPr>
        <w:t>התרומת הכרי</w:t>
      </w:r>
      <w:r>
        <w:rPr>
          <w:rFonts w:hint="cs"/>
          <w:rtl/>
        </w:rPr>
        <w:t xml:space="preserve"> </w:t>
      </w:r>
      <w:r w:rsidRPr="001E733D">
        <w:rPr>
          <w:rStyle w:val="af7"/>
          <w:rFonts w:eastAsia="Guttman Hodes" w:hint="cs"/>
          <w:rtl/>
        </w:rPr>
        <w:t xml:space="preserve">(עי' אות </w:t>
      </w:r>
      <w:r w:rsidRPr="001E733D">
        <w:rPr>
          <w:rStyle w:val="af7"/>
          <w:rFonts w:eastAsia="Guttman Hodes"/>
          <w:rtl/>
        </w:rPr>
        <w:fldChar w:fldCharType="begin"/>
      </w:r>
      <w:r w:rsidRPr="001E733D">
        <w:rPr>
          <w:rStyle w:val="af7"/>
          <w:rFonts w:eastAsia="Guttman Hodes"/>
          <w:rtl/>
        </w:rPr>
        <w:instrText xml:space="preserve"> </w:instrText>
      </w:r>
      <w:r w:rsidRPr="001E733D">
        <w:rPr>
          <w:rStyle w:val="af7"/>
          <w:rFonts w:eastAsia="Guttman Hodes" w:hint="cs"/>
        </w:rPr>
        <w:instrText>REF</w:instrText>
      </w:r>
      <w:r w:rsidRPr="001E733D">
        <w:rPr>
          <w:rStyle w:val="af7"/>
          <w:rFonts w:eastAsia="Guttman Hodes" w:hint="cs"/>
          <w:rtl/>
        </w:rPr>
        <w:instrText xml:space="preserve"> _</w:instrText>
      </w:r>
      <w:r w:rsidRPr="001E733D">
        <w:rPr>
          <w:rStyle w:val="af7"/>
          <w:rFonts w:eastAsia="Guttman Hodes" w:hint="cs"/>
        </w:rPr>
        <w:instrText>Ref65785356 \r \h</w:instrText>
      </w:r>
      <w:r w:rsidRPr="001E733D">
        <w:rPr>
          <w:rStyle w:val="af7"/>
          <w:rFonts w:eastAsia="Guttman Hodes"/>
          <w:rtl/>
        </w:rPr>
        <w:instrText xml:space="preserve"> </w:instrText>
      </w:r>
      <w:r w:rsidRPr="001E733D">
        <w:rPr>
          <w:rStyle w:val="af7"/>
          <w:rFonts w:eastAsia="Guttman Hodes"/>
          <w:rtl/>
        </w:rPr>
      </w:r>
      <w:r w:rsidRPr="001E733D">
        <w:rPr>
          <w:rStyle w:val="af7"/>
          <w:rFonts w:eastAsia="Guttman Hodes"/>
          <w:rtl/>
        </w:rPr>
        <w:fldChar w:fldCharType="separate"/>
      </w:r>
      <w:r w:rsidR="00265073">
        <w:rPr>
          <w:rStyle w:val="af7"/>
          <w:rFonts w:eastAsia="Guttman Hodes"/>
          <w:cs/>
        </w:rPr>
        <w:t>‎</w:t>
      </w:r>
      <w:r w:rsidR="00265073">
        <w:rPr>
          <w:rStyle w:val="af7"/>
          <w:rFonts w:eastAsia="Guttman Hodes"/>
          <w:rtl/>
        </w:rPr>
        <w:t>כה)</w:t>
      </w:r>
      <w:r w:rsidRPr="001E733D">
        <w:rPr>
          <w:rStyle w:val="af7"/>
          <w:rFonts w:eastAsia="Guttman Hodes"/>
          <w:rtl/>
        </w:rPr>
        <w:fldChar w:fldCharType="end"/>
      </w:r>
      <w:r>
        <w:rPr>
          <w:rFonts w:hint="cs"/>
          <w:rtl/>
        </w:rPr>
        <w:t>, ועי' במ"ש</w:t>
      </w:r>
      <w:r w:rsidRPr="00CE4605">
        <w:rPr>
          <w:rFonts w:hint="cs"/>
          <w:rtl/>
        </w:rPr>
        <w:t xml:space="preserve"> </w:t>
      </w:r>
      <w:r w:rsidRPr="00CE4605">
        <w:rPr>
          <w:rStyle w:val="af9"/>
          <w:rFonts w:hint="cs"/>
          <w:rtl/>
        </w:rPr>
        <w:t>הגרנ"ט</w:t>
      </w:r>
      <w:r w:rsidRPr="00CE4605">
        <w:rPr>
          <w:rFonts w:hint="cs"/>
          <w:rtl/>
        </w:rPr>
        <w:t xml:space="preserve"> </w:t>
      </w:r>
      <w:r>
        <w:rPr>
          <w:rStyle w:val="af7"/>
          <w:rFonts w:eastAsia="Guttman Hodes" w:hint="cs"/>
          <w:rtl/>
        </w:rPr>
        <w:t xml:space="preserve">(עי' </w:t>
      </w:r>
      <w:r w:rsidRPr="002F380B">
        <w:rPr>
          <w:rStyle w:val="af7"/>
          <w:rFonts w:eastAsia="Guttman Hodes" w:hint="cs"/>
          <w:rtl/>
        </w:rPr>
        <w:t xml:space="preserve">אות </w:t>
      </w:r>
      <w:r w:rsidRPr="002F380B">
        <w:rPr>
          <w:rStyle w:val="af7"/>
          <w:rFonts w:eastAsia="Guttman Hodes"/>
          <w:rtl/>
        </w:rPr>
        <w:fldChar w:fldCharType="begin"/>
      </w:r>
      <w:r w:rsidRPr="002F380B">
        <w:rPr>
          <w:rStyle w:val="af7"/>
          <w:rFonts w:eastAsia="Guttman Hodes"/>
          <w:rtl/>
        </w:rPr>
        <w:instrText xml:space="preserve"> </w:instrText>
      </w:r>
      <w:r w:rsidRPr="002F380B">
        <w:rPr>
          <w:rStyle w:val="af7"/>
          <w:rFonts w:eastAsia="Guttman Hodes" w:hint="cs"/>
        </w:rPr>
        <w:instrText>REF</w:instrText>
      </w:r>
      <w:r w:rsidRPr="002F380B">
        <w:rPr>
          <w:rStyle w:val="af7"/>
          <w:rFonts w:eastAsia="Guttman Hodes" w:hint="cs"/>
          <w:rtl/>
        </w:rPr>
        <w:instrText xml:space="preserve"> _</w:instrText>
      </w:r>
      <w:r w:rsidRPr="002F380B">
        <w:rPr>
          <w:rStyle w:val="af7"/>
          <w:rFonts w:eastAsia="Guttman Hodes" w:hint="cs"/>
        </w:rPr>
        <w:instrText>Ref66182082 \r \h</w:instrText>
      </w:r>
      <w:r w:rsidRPr="002F380B">
        <w:rPr>
          <w:rStyle w:val="af7"/>
          <w:rFonts w:eastAsia="Guttman Hodes"/>
          <w:rtl/>
        </w:rPr>
        <w:instrText xml:space="preserve"> </w:instrText>
      </w:r>
      <w:r w:rsidRPr="002F380B">
        <w:rPr>
          <w:rStyle w:val="af7"/>
          <w:rFonts w:eastAsia="Guttman Hodes"/>
          <w:rtl/>
        </w:rPr>
      </w:r>
      <w:r w:rsidRPr="002F380B">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2F380B">
        <w:rPr>
          <w:rStyle w:val="af7"/>
          <w:rFonts w:eastAsia="Guttman Hodes"/>
          <w:rtl/>
        </w:rPr>
        <w:fldChar w:fldCharType="end"/>
      </w:r>
      <w:r w:rsidRPr="002F380B">
        <w:rPr>
          <w:rStyle w:val="af9"/>
          <w:rFonts w:hint="cs"/>
          <w:rtl/>
        </w:rPr>
        <w:t xml:space="preserve"> </w:t>
      </w:r>
      <w:r>
        <w:rPr>
          <w:rStyle w:val="af9"/>
          <w:rFonts w:hint="cs"/>
          <w:rtl/>
        </w:rPr>
        <w:t>ו</w:t>
      </w:r>
      <w:r w:rsidRPr="003C2D91">
        <w:rPr>
          <w:rStyle w:val="af9"/>
          <w:rFonts w:hint="cs"/>
          <w:rtl/>
        </w:rPr>
        <w:t>בחו"ש הגרב"ב</w:t>
      </w:r>
      <w:r>
        <w:rPr>
          <w:rFonts w:hint="cs"/>
          <w:rtl/>
        </w:rPr>
        <w:t xml:space="preserve"> </w:t>
      </w:r>
      <w:r w:rsidRPr="002F380B">
        <w:rPr>
          <w:rStyle w:val="af7"/>
          <w:rFonts w:eastAsia="Guttman Hodes" w:hint="cs"/>
          <w:rtl/>
        </w:rPr>
        <w:t xml:space="preserve">(עי' אות </w:t>
      </w:r>
      <w:r w:rsidRPr="002F380B">
        <w:rPr>
          <w:rStyle w:val="af7"/>
          <w:rFonts w:eastAsia="Guttman Hodes"/>
          <w:rtl/>
        </w:rPr>
        <w:fldChar w:fldCharType="begin"/>
      </w:r>
      <w:r w:rsidRPr="002F380B">
        <w:rPr>
          <w:rStyle w:val="af7"/>
          <w:rFonts w:eastAsia="Guttman Hodes"/>
          <w:rtl/>
        </w:rPr>
        <w:instrText xml:space="preserve"> </w:instrText>
      </w:r>
      <w:r w:rsidRPr="002F380B">
        <w:rPr>
          <w:rStyle w:val="af7"/>
          <w:rFonts w:eastAsia="Guttman Hodes" w:hint="cs"/>
        </w:rPr>
        <w:instrText>REF</w:instrText>
      </w:r>
      <w:r w:rsidRPr="002F380B">
        <w:rPr>
          <w:rStyle w:val="af7"/>
          <w:rFonts w:eastAsia="Guttman Hodes" w:hint="cs"/>
          <w:rtl/>
        </w:rPr>
        <w:instrText xml:space="preserve"> _</w:instrText>
      </w:r>
      <w:r w:rsidRPr="002F380B">
        <w:rPr>
          <w:rStyle w:val="af7"/>
          <w:rFonts w:eastAsia="Guttman Hodes" w:hint="cs"/>
        </w:rPr>
        <w:instrText>Ref66124877 \r \h</w:instrText>
      </w:r>
      <w:r w:rsidRPr="002F380B">
        <w:rPr>
          <w:rStyle w:val="af7"/>
          <w:rFonts w:eastAsia="Guttman Hodes"/>
          <w:rtl/>
        </w:rPr>
        <w:instrText xml:space="preserve"> </w:instrText>
      </w:r>
      <w:r w:rsidRPr="002F380B">
        <w:rPr>
          <w:rStyle w:val="af7"/>
          <w:rFonts w:eastAsia="Guttman Hodes"/>
          <w:rtl/>
        </w:rPr>
      </w:r>
      <w:r w:rsidRPr="002F380B">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sidRPr="002F380B">
        <w:rPr>
          <w:rStyle w:val="af7"/>
          <w:rFonts w:eastAsia="Guttman Hodes"/>
          <w:rtl/>
        </w:rPr>
        <w:fldChar w:fldCharType="end"/>
      </w:r>
      <w:r>
        <w:rPr>
          <w:rFonts w:hint="cs"/>
          <w:rtl/>
        </w:rPr>
        <w:t>.</w:t>
      </w:r>
      <w:bookmarkEnd w:id="18297"/>
      <w:bookmarkEnd w:id="18298"/>
    </w:p>
    <w:p w:rsidR="00E824D3" w:rsidRDefault="00E824D3" w:rsidP="00E824D3">
      <w:pPr>
        <w:pStyle w:val="a3"/>
        <w:rPr>
          <w:rtl/>
        </w:rPr>
      </w:pPr>
      <w:bookmarkStart w:id="18299" w:name="_Toc66123413"/>
      <w:bookmarkStart w:id="18300" w:name="_Toc66143855"/>
      <w:bookmarkStart w:id="18301" w:name="_Toc66172018"/>
      <w:bookmarkStart w:id="18302" w:name="_Toc66183262"/>
      <w:bookmarkStart w:id="18303" w:name="_Toc66186047"/>
      <w:bookmarkStart w:id="18304" w:name="_Toc66193513"/>
      <w:r>
        <w:rPr>
          <w:rFonts w:hint="cs"/>
          <w:rtl/>
        </w:rPr>
        <w:t>בי' הגר"ח מטעלז בר"י דלרב ושמואל שאינו מעיד לממון אין לראשון חזקה ונאמן בלי מיגו</w:t>
      </w:r>
      <w:bookmarkEnd w:id="18299"/>
      <w:bookmarkEnd w:id="18300"/>
      <w:bookmarkEnd w:id="18301"/>
      <w:bookmarkEnd w:id="18302"/>
      <w:bookmarkEnd w:id="18303"/>
      <w:bookmarkEnd w:id="18304"/>
    </w:p>
    <w:p w:rsidR="00E824D3" w:rsidRPr="003E044D" w:rsidRDefault="00E824D3" w:rsidP="007E4E81">
      <w:pPr>
        <w:pStyle w:val="a0"/>
        <w:rPr>
          <w:rtl/>
        </w:rPr>
      </w:pPr>
      <w:r>
        <w:rPr>
          <w:rFonts w:hint="cs"/>
          <w:rtl/>
        </w:rPr>
        <w:t xml:space="preserve">וכתב </w:t>
      </w:r>
      <w:r w:rsidRPr="005C0255">
        <w:rPr>
          <w:rStyle w:val="af9"/>
          <w:rFonts w:hint="cs"/>
          <w:rtl/>
        </w:rPr>
        <w:t>בחי' הגר"ח מטעלז</w:t>
      </w:r>
      <w:r>
        <w:rPr>
          <w:rFonts w:hint="cs"/>
          <w:rtl/>
        </w:rPr>
        <w:t xml:space="preserve"> </w:t>
      </w:r>
      <w:r w:rsidRPr="00433B62">
        <w:rPr>
          <w:rStyle w:val="af7"/>
          <w:rFonts w:eastAsia="Guttman Hodes" w:hint="cs"/>
          <w:rtl/>
        </w:rPr>
        <w:t>(סי' ט"ז ד"ה ותתישב)</w:t>
      </w:r>
      <w:r>
        <w:rPr>
          <w:rFonts w:hint="cs"/>
          <w:rtl/>
        </w:rPr>
        <w:t xml:space="preserve"> דלפי"ז מתורצת קושית </w:t>
      </w:r>
      <w:r w:rsidRPr="00BE2953">
        <w:rPr>
          <w:rStyle w:val="af9"/>
          <w:rFonts w:hint="cs"/>
          <w:rtl/>
        </w:rPr>
        <w:t>התוס'</w:t>
      </w:r>
      <w:r>
        <w:rPr>
          <w:rFonts w:hint="cs"/>
          <w:rtl/>
        </w:rPr>
        <w:t xml:space="preserve"> </w:t>
      </w:r>
      <w:r w:rsidRPr="00433B62">
        <w:rPr>
          <w:rStyle w:val="af7"/>
          <w:rFonts w:eastAsia="Guttman Hodes" w:hint="cs"/>
          <w:rtl/>
        </w:rPr>
        <w:t xml:space="preserve">(עי' אות </w:t>
      </w:r>
      <w:r w:rsidRPr="00433B62">
        <w:rPr>
          <w:rStyle w:val="af7"/>
          <w:rFonts w:eastAsia="Guttman Hodes"/>
          <w:rtl/>
        </w:rPr>
        <w:fldChar w:fldCharType="begin"/>
      </w:r>
      <w:r w:rsidRPr="00433B62">
        <w:rPr>
          <w:rStyle w:val="af7"/>
          <w:rFonts w:eastAsia="Guttman Hodes"/>
          <w:rtl/>
        </w:rPr>
        <w:instrText xml:space="preserve"> </w:instrText>
      </w:r>
      <w:r w:rsidRPr="00433B62">
        <w:rPr>
          <w:rStyle w:val="af7"/>
          <w:rFonts w:eastAsia="Guttman Hodes" w:hint="cs"/>
        </w:rPr>
        <w:instrText>REF</w:instrText>
      </w:r>
      <w:r w:rsidRPr="00433B62">
        <w:rPr>
          <w:rStyle w:val="af7"/>
          <w:rFonts w:eastAsia="Guttman Hodes" w:hint="cs"/>
          <w:rtl/>
        </w:rPr>
        <w:instrText xml:space="preserve"> _</w:instrText>
      </w:r>
      <w:r w:rsidRPr="00433B62">
        <w:rPr>
          <w:rStyle w:val="af7"/>
          <w:rFonts w:eastAsia="Guttman Hodes" w:hint="cs"/>
        </w:rPr>
        <w:instrText>Ref65770016 \r \h</w:instrText>
      </w:r>
      <w:r w:rsidRPr="00433B62">
        <w:rPr>
          <w:rStyle w:val="af7"/>
          <w:rFonts w:eastAsia="Guttman Hodes"/>
          <w:rtl/>
        </w:rPr>
        <w:instrText xml:space="preserve"> </w:instrText>
      </w:r>
      <w:r w:rsidRPr="00433B62">
        <w:rPr>
          <w:rStyle w:val="af7"/>
          <w:rFonts w:eastAsia="Guttman Hodes"/>
          <w:rtl/>
        </w:rPr>
      </w:r>
      <w:r w:rsidRPr="00433B62">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433B62">
        <w:rPr>
          <w:rStyle w:val="af7"/>
          <w:rFonts w:eastAsia="Guttman Hodes"/>
          <w:rtl/>
        </w:rPr>
        <w:fldChar w:fldCharType="end"/>
      </w:r>
      <w:r>
        <w:rPr>
          <w:rFonts w:hint="cs"/>
          <w:rtl/>
        </w:rPr>
        <w:t xml:space="preserve"> על תירוץ </w:t>
      </w:r>
      <w:r w:rsidRPr="00BE2953">
        <w:rPr>
          <w:rStyle w:val="af9"/>
          <w:rFonts w:hint="cs"/>
          <w:rtl/>
        </w:rPr>
        <w:t>ר"י</w:t>
      </w:r>
      <w:r>
        <w:rPr>
          <w:rFonts w:hint="cs"/>
          <w:rtl/>
        </w:rPr>
        <w:t xml:space="preserve"> </w:t>
      </w:r>
      <w:r w:rsidRPr="00433B62">
        <w:rPr>
          <w:rStyle w:val="af7"/>
          <w:rFonts w:eastAsia="Guttman Hodes" w:hint="cs"/>
          <w:rtl/>
        </w:rPr>
        <w:t xml:space="preserve">(עי' אות </w:t>
      </w:r>
      <w:r w:rsidRPr="00433B62">
        <w:rPr>
          <w:rStyle w:val="af7"/>
          <w:rFonts w:eastAsia="Guttman Hodes"/>
          <w:rtl/>
        </w:rPr>
        <w:fldChar w:fldCharType="begin"/>
      </w:r>
      <w:r w:rsidRPr="00433B62">
        <w:rPr>
          <w:rStyle w:val="af7"/>
          <w:rFonts w:eastAsia="Guttman Hodes"/>
          <w:rtl/>
        </w:rPr>
        <w:instrText xml:space="preserve"> </w:instrText>
      </w:r>
      <w:r w:rsidRPr="00433B62">
        <w:rPr>
          <w:rStyle w:val="af7"/>
          <w:rFonts w:eastAsia="Guttman Hodes" w:hint="cs"/>
        </w:rPr>
        <w:instrText>REF</w:instrText>
      </w:r>
      <w:r w:rsidRPr="00433B62">
        <w:rPr>
          <w:rStyle w:val="af7"/>
          <w:rFonts w:eastAsia="Guttman Hodes" w:hint="cs"/>
          <w:rtl/>
        </w:rPr>
        <w:instrText xml:space="preserve"> _</w:instrText>
      </w:r>
      <w:r w:rsidRPr="00433B62">
        <w:rPr>
          <w:rStyle w:val="af7"/>
          <w:rFonts w:eastAsia="Guttman Hodes" w:hint="cs"/>
        </w:rPr>
        <w:instrText>Ref65785260 \r \h</w:instrText>
      </w:r>
      <w:r w:rsidRPr="00433B62">
        <w:rPr>
          <w:rStyle w:val="af7"/>
          <w:rFonts w:eastAsia="Guttman Hodes"/>
          <w:rtl/>
        </w:rPr>
        <w:instrText xml:space="preserve"> </w:instrText>
      </w:r>
      <w:r w:rsidRPr="00433B62">
        <w:rPr>
          <w:rStyle w:val="af7"/>
          <w:rFonts w:eastAsia="Guttman Hodes"/>
          <w:rtl/>
        </w:rPr>
      </w:r>
      <w:r w:rsidRPr="00433B62">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433B62">
        <w:rPr>
          <w:rStyle w:val="af7"/>
          <w:rFonts w:eastAsia="Guttman Hodes"/>
          <w:rtl/>
        </w:rPr>
        <w:fldChar w:fldCharType="end"/>
      </w:r>
      <w:r>
        <w:rPr>
          <w:rFonts w:hint="cs"/>
          <w:rtl/>
        </w:rPr>
        <w:t xml:space="preserve"> דס"ל לרב ושמואל דכיון דהע"א אינו מחייב ממון, א"כ אין בעדותו כל בירור של מי החפץ, דעדותו אינה עדות לענין ממון כלל, וממילא אין לראשון שום ראיה שהחפץ היה בידו, ואין לו חזקה דמה שתח"י שלו הוא, ואעפ"י שהוא מודה שחטף ממנו, מ"מ הוא טוען שבתחילה היה החפץ בידו, </w:t>
      </w:r>
      <w:r w:rsidRPr="00342D73">
        <w:rPr>
          <w:rStyle w:val="afb"/>
          <w:rFonts w:hint="cs"/>
          <w:rtl/>
        </w:rPr>
        <w:t>[</w:t>
      </w:r>
      <w:r>
        <w:rPr>
          <w:rStyle w:val="afb"/>
          <w:rFonts w:hint="cs"/>
          <w:rtl/>
        </w:rPr>
        <w:t>וכ"כ</w:t>
      </w:r>
      <w:r w:rsidRPr="00342D73">
        <w:rPr>
          <w:rStyle w:val="afb"/>
          <w:rFonts w:hint="cs"/>
          <w:rtl/>
        </w:rPr>
        <w:t xml:space="preserve"> </w:t>
      </w:r>
      <w:r w:rsidRPr="00342D73">
        <w:rPr>
          <w:rStyle w:val="affa"/>
          <w:rFonts w:hint="cs"/>
          <w:rtl/>
        </w:rPr>
        <w:t xml:space="preserve">רש"י בשבועות </w:t>
      </w:r>
      <w:r w:rsidRPr="00342D73">
        <w:rPr>
          <w:rStyle w:val="aff6"/>
          <w:rFonts w:hint="cs"/>
          <w:rtl/>
        </w:rPr>
        <w:t>(לב: ד"ה חטפי)</w:t>
      </w:r>
      <w:r w:rsidRPr="00342D73">
        <w:rPr>
          <w:rStyle w:val="afb"/>
          <w:rFonts w:hint="cs"/>
          <w:rtl/>
        </w:rPr>
        <w:t xml:space="preserve"> דטוען שהראשון גזלה ממנו],</w:t>
      </w:r>
      <w:r>
        <w:rPr>
          <w:rStyle w:val="afb"/>
          <w:rFonts w:hint="cs"/>
          <w:rtl/>
        </w:rPr>
        <w:t xml:space="preserve"> </w:t>
      </w:r>
      <w:r>
        <w:rPr>
          <w:rFonts w:hint="cs"/>
          <w:rtl/>
        </w:rPr>
        <w:t>ולכן זוכה החוטף בנסכא, כיון שאין לראשון שום ראיה וחזקה שהנסכא היא שלו,</w:t>
      </w:r>
      <w:r w:rsidRPr="00D27B2F">
        <w:rPr>
          <w:rFonts w:hint="cs"/>
          <w:rtl/>
        </w:rPr>
        <w:t xml:space="preserve"> </w:t>
      </w:r>
      <w:r w:rsidRPr="00D27B2F">
        <w:rPr>
          <w:rStyle w:val="afb"/>
          <w:rFonts w:hint="cs"/>
          <w:rtl/>
        </w:rPr>
        <w:t>[ו</w:t>
      </w:r>
      <w:r>
        <w:rPr>
          <w:rStyle w:val="afb"/>
          <w:rFonts w:hint="cs"/>
          <w:rtl/>
        </w:rPr>
        <w:t>ע"ע במ"ש</w:t>
      </w:r>
      <w:r w:rsidRPr="00D27B2F">
        <w:rPr>
          <w:rStyle w:val="afb"/>
          <w:rFonts w:hint="cs"/>
          <w:rtl/>
        </w:rPr>
        <w:t xml:space="preserve"> </w:t>
      </w:r>
      <w:r w:rsidRPr="00CD2FBF">
        <w:rPr>
          <w:rStyle w:val="affa"/>
          <w:rtl/>
        </w:rPr>
        <w:t xml:space="preserve">בחי' הגר"ח מטעלז </w:t>
      </w:r>
      <w:r w:rsidRPr="00CD2FBF">
        <w:rPr>
          <w:rStyle w:val="aff6"/>
          <w:rFonts w:hint="cs"/>
          <w:rtl/>
        </w:rPr>
        <w:t>(סו"ס ט"ז ד"ה וכדברינו לעיל)</w:t>
      </w:r>
      <w:r w:rsidRPr="00D27B2F">
        <w:rPr>
          <w:rStyle w:val="afb"/>
          <w:rFonts w:hint="cs"/>
          <w:rtl/>
        </w:rPr>
        <w:t xml:space="preserve"> דמ</w:t>
      </w:r>
      <w:r>
        <w:rPr>
          <w:rStyle w:val="afb"/>
          <w:rFonts w:hint="cs"/>
          <w:rtl/>
        </w:rPr>
        <w:t>קושית</w:t>
      </w:r>
      <w:r w:rsidRPr="00D27B2F">
        <w:rPr>
          <w:rStyle w:val="afb"/>
          <w:rFonts w:hint="cs"/>
          <w:rtl/>
        </w:rPr>
        <w:t xml:space="preserve"> </w:t>
      </w:r>
      <w:r w:rsidRPr="00CD2FBF">
        <w:rPr>
          <w:rStyle w:val="affa"/>
          <w:rFonts w:hint="cs"/>
          <w:rtl/>
        </w:rPr>
        <w:t xml:space="preserve">התוס' </w:t>
      </w:r>
      <w:r w:rsidRPr="00CD2FBF">
        <w:rPr>
          <w:rStyle w:val="aff6"/>
          <w:rFonts w:hint="cs"/>
          <w:rtl/>
        </w:rPr>
        <w:t xml:space="preserve">(עי' אות </w:t>
      </w:r>
      <w:r w:rsidRPr="00CD2FBF">
        <w:rPr>
          <w:rStyle w:val="aff6"/>
          <w:rtl/>
        </w:rPr>
        <w:fldChar w:fldCharType="begin"/>
      </w:r>
      <w:r w:rsidRPr="00CD2FBF">
        <w:rPr>
          <w:rStyle w:val="aff6"/>
          <w:rtl/>
        </w:rPr>
        <w:instrText xml:space="preserve"> </w:instrText>
      </w:r>
      <w:r w:rsidRPr="00CD2FBF">
        <w:rPr>
          <w:rStyle w:val="aff6"/>
          <w:rFonts w:hint="cs"/>
        </w:rPr>
        <w:instrText>REF</w:instrText>
      </w:r>
      <w:r w:rsidRPr="00CD2FBF">
        <w:rPr>
          <w:rStyle w:val="aff6"/>
          <w:rFonts w:hint="cs"/>
          <w:rtl/>
        </w:rPr>
        <w:instrText xml:space="preserve"> _</w:instrText>
      </w:r>
      <w:r w:rsidRPr="00CD2FBF">
        <w:rPr>
          <w:rStyle w:val="aff6"/>
          <w:rFonts w:hint="cs"/>
        </w:rPr>
        <w:instrText>Ref65082310 \r \h</w:instrText>
      </w:r>
      <w:r w:rsidRPr="00CD2FBF">
        <w:rPr>
          <w:rStyle w:val="aff6"/>
          <w:rtl/>
        </w:rPr>
        <w:instrText xml:space="preserve"> </w:instrText>
      </w:r>
      <w:r w:rsidRPr="00CD2FBF">
        <w:rPr>
          <w:rStyle w:val="aff6"/>
          <w:rtl/>
        </w:rPr>
      </w:r>
      <w:r w:rsidRPr="00CD2FBF">
        <w:rPr>
          <w:rStyle w:val="aff6"/>
          <w:rtl/>
        </w:rPr>
        <w:fldChar w:fldCharType="separate"/>
      </w:r>
      <w:r w:rsidR="00265073">
        <w:rPr>
          <w:rStyle w:val="aff6"/>
          <w:cs/>
        </w:rPr>
        <w:t>‎</w:t>
      </w:r>
      <w:r w:rsidR="00265073">
        <w:rPr>
          <w:rStyle w:val="aff6"/>
          <w:rtl/>
        </w:rPr>
        <w:t>א)</w:t>
      </w:r>
      <w:r w:rsidRPr="00CD2FBF">
        <w:rPr>
          <w:rStyle w:val="aff6"/>
          <w:rtl/>
        </w:rPr>
        <w:fldChar w:fldCharType="end"/>
      </w:r>
      <w:r>
        <w:rPr>
          <w:rStyle w:val="afb"/>
          <w:rFonts w:hint="cs"/>
          <w:rtl/>
        </w:rPr>
        <w:t xml:space="preserve"> ומדברי </w:t>
      </w:r>
      <w:r w:rsidRPr="00CD2FBF">
        <w:rPr>
          <w:rStyle w:val="affa"/>
          <w:rFonts w:hint="cs"/>
          <w:rtl/>
        </w:rPr>
        <w:t xml:space="preserve">התוס' </w:t>
      </w:r>
      <w:r w:rsidRPr="00CD2FBF">
        <w:rPr>
          <w:rStyle w:val="aff6"/>
          <w:rFonts w:hint="cs"/>
          <w:rtl/>
        </w:rPr>
        <w:t xml:space="preserve">(עי' אות </w:t>
      </w:r>
      <w:r w:rsidRPr="00CD2FBF">
        <w:rPr>
          <w:rStyle w:val="aff6"/>
          <w:rtl/>
        </w:rPr>
        <w:fldChar w:fldCharType="begin"/>
      </w:r>
      <w:r w:rsidRPr="00CD2FBF">
        <w:rPr>
          <w:rStyle w:val="aff6"/>
          <w:rtl/>
        </w:rPr>
        <w:instrText xml:space="preserve"> </w:instrText>
      </w:r>
      <w:r w:rsidRPr="00CD2FBF">
        <w:rPr>
          <w:rStyle w:val="aff6"/>
          <w:rFonts w:hint="cs"/>
        </w:rPr>
        <w:instrText>REF</w:instrText>
      </w:r>
      <w:r w:rsidRPr="00CD2FBF">
        <w:rPr>
          <w:rStyle w:val="aff6"/>
          <w:rFonts w:hint="cs"/>
          <w:rtl/>
        </w:rPr>
        <w:instrText xml:space="preserve"> _</w:instrText>
      </w:r>
      <w:r w:rsidRPr="00CD2FBF">
        <w:rPr>
          <w:rStyle w:val="aff6"/>
          <w:rFonts w:hint="cs"/>
        </w:rPr>
        <w:instrText>Ref65796659 \r \h</w:instrText>
      </w:r>
      <w:r w:rsidRPr="00CD2FBF">
        <w:rPr>
          <w:rStyle w:val="aff6"/>
          <w:rtl/>
        </w:rPr>
        <w:instrText xml:space="preserve"> </w:instrText>
      </w:r>
      <w:r w:rsidRPr="00CD2FBF">
        <w:rPr>
          <w:rStyle w:val="aff6"/>
          <w:rtl/>
        </w:rPr>
      </w:r>
      <w:r w:rsidRPr="00CD2FBF">
        <w:rPr>
          <w:rStyle w:val="aff6"/>
          <w:rtl/>
        </w:rPr>
        <w:fldChar w:fldCharType="separate"/>
      </w:r>
      <w:r w:rsidR="00265073">
        <w:rPr>
          <w:rStyle w:val="aff6"/>
          <w:cs/>
        </w:rPr>
        <w:t>‎</w:t>
      </w:r>
      <w:r w:rsidR="00265073">
        <w:rPr>
          <w:rStyle w:val="aff6"/>
          <w:rtl/>
        </w:rPr>
        <w:t>נו)</w:t>
      </w:r>
      <w:r w:rsidRPr="00CD2FBF">
        <w:rPr>
          <w:rStyle w:val="aff6"/>
          <w:rtl/>
        </w:rPr>
        <w:fldChar w:fldCharType="end"/>
      </w:r>
      <w:r>
        <w:rPr>
          <w:rStyle w:val="afb"/>
          <w:rFonts w:hint="cs"/>
          <w:rtl/>
        </w:rPr>
        <w:t xml:space="preserve"> </w:t>
      </w:r>
      <w:r w:rsidRPr="00CD2FBF">
        <w:rPr>
          <w:rStyle w:val="affa"/>
          <w:rFonts w:hint="cs"/>
          <w:rtl/>
        </w:rPr>
        <w:t xml:space="preserve">והרמב"ן </w:t>
      </w:r>
      <w:r w:rsidRPr="00CD2FBF">
        <w:rPr>
          <w:rStyle w:val="aff6"/>
          <w:rFonts w:hint="cs"/>
          <w:rtl/>
        </w:rPr>
        <w:t xml:space="preserve">(עי' אות </w:t>
      </w:r>
      <w:r w:rsidRPr="00CD2FBF">
        <w:rPr>
          <w:rStyle w:val="aff6"/>
          <w:rtl/>
        </w:rPr>
        <w:fldChar w:fldCharType="begin"/>
      </w:r>
      <w:r w:rsidRPr="00CD2FBF">
        <w:rPr>
          <w:rStyle w:val="aff6"/>
          <w:rtl/>
        </w:rPr>
        <w:instrText xml:space="preserve"> </w:instrText>
      </w:r>
      <w:r w:rsidRPr="00CD2FBF">
        <w:rPr>
          <w:rStyle w:val="aff6"/>
          <w:rFonts w:hint="cs"/>
        </w:rPr>
        <w:instrText>REF</w:instrText>
      </w:r>
      <w:r w:rsidRPr="00CD2FBF">
        <w:rPr>
          <w:rStyle w:val="aff6"/>
          <w:rFonts w:hint="cs"/>
          <w:rtl/>
        </w:rPr>
        <w:instrText xml:space="preserve"> _</w:instrText>
      </w:r>
      <w:r w:rsidRPr="00CD2FBF">
        <w:rPr>
          <w:rStyle w:val="aff6"/>
          <w:rFonts w:hint="cs"/>
        </w:rPr>
        <w:instrText>Ref65796669 \r \h</w:instrText>
      </w:r>
      <w:r w:rsidRPr="00CD2FBF">
        <w:rPr>
          <w:rStyle w:val="aff6"/>
          <w:rtl/>
        </w:rPr>
        <w:instrText xml:space="preserve"> </w:instrText>
      </w:r>
      <w:r w:rsidRPr="00CD2FBF">
        <w:rPr>
          <w:rStyle w:val="aff6"/>
          <w:rtl/>
        </w:rPr>
      </w:r>
      <w:r w:rsidRPr="00CD2FBF">
        <w:rPr>
          <w:rStyle w:val="aff6"/>
          <w:rtl/>
        </w:rPr>
        <w:fldChar w:fldCharType="separate"/>
      </w:r>
      <w:r w:rsidR="00265073">
        <w:rPr>
          <w:rStyle w:val="aff6"/>
          <w:cs/>
        </w:rPr>
        <w:t>‎</w:t>
      </w:r>
      <w:r w:rsidR="00265073">
        <w:rPr>
          <w:rStyle w:val="aff6"/>
          <w:rtl/>
        </w:rPr>
        <w:t>נז)</w:t>
      </w:r>
      <w:r w:rsidRPr="00CD2FBF">
        <w:rPr>
          <w:rStyle w:val="aff6"/>
          <w:rtl/>
        </w:rPr>
        <w:fldChar w:fldCharType="end"/>
      </w:r>
      <w:r w:rsidRPr="00D27B2F">
        <w:rPr>
          <w:rStyle w:val="afb"/>
          <w:rFonts w:hint="cs"/>
          <w:rtl/>
        </w:rPr>
        <w:t xml:space="preserve"> </w:t>
      </w:r>
      <w:r>
        <w:rPr>
          <w:rStyle w:val="afb"/>
          <w:rFonts w:hint="cs"/>
          <w:rtl/>
        </w:rPr>
        <w:t xml:space="preserve">בדין סיטראי, </w:t>
      </w:r>
      <w:r w:rsidRPr="00D27B2F">
        <w:rPr>
          <w:rStyle w:val="afb"/>
          <w:rFonts w:hint="cs"/>
          <w:rtl/>
        </w:rPr>
        <w:t>מוכח דלרב ושמואל החוטף נאמן בלי מיגו, כיון שח</w:t>
      </w:r>
      <w:r>
        <w:rPr>
          <w:rStyle w:val="afb"/>
          <w:rFonts w:hint="cs"/>
          <w:rtl/>
        </w:rPr>
        <w:t xml:space="preserve">יוב הע"א הוא לשבועה ולא לממון], </w:t>
      </w:r>
      <w:r>
        <w:rPr>
          <w:rFonts w:hint="cs"/>
          <w:rtl/>
        </w:rPr>
        <w:t xml:space="preserve">ובדעת רבי אבא ביאר </w:t>
      </w:r>
      <w:r w:rsidRPr="005C0255">
        <w:rPr>
          <w:rStyle w:val="af9"/>
          <w:rFonts w:hint="cs"/>
          <w:rtl/>
        </w:rPr>
        <w:t>בחי' הגר"ח מטעלז</w:t>
      </w:r>
      <w:r>
        <w:rPr>
          <w:rFonts w:hint="cs"/>
          <w:rtl/>
        </w:rPr>
        <w:t xml:space="preserve"> דכיון שע"א מחייב ממון, ורק אפשר להפטר בשבועה, א"כ חשיב שעדות ע"א היא כשנים, ויש בירור על הממון שהוא בחזקת הראשון, וכיון שיש לראשון חזקה דמה שתח"י שלו הוא, והחוטף אינו יכול להשבע, ואין לו מיגו כדביאר </w:t>
      </w:r>
      <w:r w:rsidRPr="00BE2953">
        <w:rPr>
          <w:rStyle w:val="af9"/>
          <w:rFonts w:hint="cs"/>
          <w:rtl/>
        </w:rPr>
        <w:t>ר"י</w:t>
      </w:r>
      <w:r w:rsidRPr="00B1647D">
        <w:rPr>
          <w:rStyle w:val="af9"/>
          <w:rFonts w:hint="cs"/>
          <w:rtl/>
        </w:rPr>
        <w:t xml:space="preserve"> בתוס'</w:t>
      </w:r>
      <w:r>
        <w:rPr>
          <w:rFonts w:hint="cs"/>
          <w:rtl/>
        </w:rPr>
        <w:t xml:space="preserve"> </w:t>
      </w:r>
      <w:r w:rsidRPr="00433B62">
        <w:rPr>
          <w:rStyle w:val="af7"/>
          <w:rFonts w:eastAsia="Guttman Hodes" w:hint="cs"/>
          <w:rtl/>
        </w:rPr>
        <w:t xml:space="preserve">(עי' אות </w:t>
      </w:r>
      <w:r w:rsidRPr="00433B62">
        <w:rPr>
          <w:rStyle w:val="af7"/>
          <w:rFonts w:eastAsia="Guttman Hodes"/>
          <w:rtl/>
        </w:rPr>
        <w:fldChar w:fldCharType="begin"/>
      </w:r>
      <w:r w:rsidRPr="00433B62">
        <w:rPr>
          <w:rStyle w:val="af7"/>
          <w:rFonts w:eastAsia="Guttman Hodes"/>
          <w:rtl/>
        </w:rPr>
        <w:instrText xml:space="preserve"> </w:instrText>
      </w:r>
      <w:r w:rsidRPr="00433B62">
        <w:rPr>
          <w:rStyle w:val="af7"/>
          <w:rFonts w:eastAsia="Guttman Hodes" w:hint="cs"/>
        </w:rPr>
        <w:instrText>REF</w:instrText>
      </w:r>
      <w:r w:rsidRPr="00433B62">
        <w:rPr>
          <w:rStyle w:val="af7"/>
          <w:rFonts w:eastAsia="Guttman Hodes" w:hint="cs"/>
          <w:rtl/>
        </w:rPr>
        <w:instrText xml:space="preserve"> _</w:instrText>
      </w:r>
      <w:r w:rsidRPr="00433B62">
        <w:rPr>
          <w:rStyle w:val="af7"/>
          <w:rFonts w:eastAsia="Guttman Hodes" w:hint="cs"/>
        </w:rPr>
        <w:instrText>Ref65785260 \r \h</w:instrText>
      </w:r>
      <w:r w:rsidRPr="00433B62">
        <w:rPr>
          <w:rStyle w:val="af7"/>
          <w:rFonts w:eastAsia="Guttman Hodes"/>
          <w:rtl/>
        </w:rPr>
        <w:instrText xml:space="preserve"> </w:instrText>
      </w:r>
      <w:r w:rsidRPr="00433B62">
        <w:rPr>
          <w:rStyle w:val="af7"/>
          <w:rFonts w:eastAsia="Guttman Hodes"/>
          <w:rtl/>
        </w:rPr>
      </w:r>
      <w:r w:rsidRPr="00433B62">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433B62">
        <w:rPr>
          <w:rStyle w:val="af7"/>
          <w:rFonts w:eastAsia="Guttman Hodes"/>
          <w:rtl/>
        </w:rPr>
        <w:fldChar w:fldCharType="end"/>
      </w:r>
      <w:r>
        <w:rPr>
          <w:rFonts w:hint="cs"/>
          <w:rtl/>
        </w:rPr>
        <w:t xml:space="preserve"> דהוא מיגו דהעזה, לכן ס"ל לרבי אבא דחייב לשלם, ועי' במה שחקר בזה </w:t>
      </w:r>
      <w:r w:rsidRPr="009E5E72">
        <w:rPr>
          <w:rStyle w:val="af9"/>
          <w:rFonts w:hint="cs"/>
          <w:rtl/>
        </w:rPr>
        <w:t>בחו"ש הגרב"ב</w:t>
      </w:r>
      <w:r>
        <w:rPr>
          <w:rFonts w:hint="cs"/>
          <w:rtl/>
        </w:rPr>
        <w:t xml:space="preserve"> </w:t>
      </w:r>
      <w:r w:rsidRPr="009E5E72">
        <w:rPr>
          <w:rStyle w:val="af7"/>
          <w:rFonts w:eastAsia="Guttman Hodes" w:hint="cs"/>
          <w:rtl/>
        </w:rPr>
        <w:t xml:space="preserve">(עי' אות </w:t>
      </w:r>
      <w:r w:rsidRPr="009E5E72">
        <w:rPr>
          <w:rStyle w:val="af7"/>
          <w:rFonts w:eastAsia="Guttman Hodes"/>
          <w:rtl/>
        </w:rPr>
        <w:fldChar w:fldCharType="begin"/>
      </w:r>
      <w:r w:rsidRPr="009E5E72">
        <w:rPr>
          <w:rStyle w:val="af7"/>
          <w:rFonts w:eastAsia="Guttman Hodes"/>
          <w:rtl/>
        </w:rPr>
        <w:instrText xml:space="preserve"> </w:instrText>
      </w:r>
      <w:r w:rsidRPr="009E5E72">
        <w:rPr>
          <w:rStyle w:val="af7"/>
          <w:rFonts w:eastAsia="Guttman Hodes" w:hint="cs"/>
        </w:rPr>
        <w:instrText>REF</w:instrText>
      </w:r>
      <w:r w:rsidRPr="009E5E72">
        <w:rPr>
          <w:rStyle w:val="af7"/>
          <w:rFonts w:eastAsia="Guttman Hodes" w:hint="cs"/>
          <w:rtl/>
        </w:rPr>
        <w:instrText xml:space="preserve"> _</w:instrText>
      </w:r>
      <w:r w:rsidRPr="009E5E72">
        <w:rPr>
          <w:rStyle w:val="af7"/>
          <w:rFonts w:eastAsia="Guttman Hodes" w:hint="cs"/>
        </w:rPr>
        <w:instrText>Ref66124877 \r \h</w:instrText>
      </w:r>
      <w:r w:rsidRPr="009E5E72">
        <w:rPr>
          <w:rStyle w:val="af7"/>
          <w:rFonts w:eastAsia="Guttman Hodes"/>
          <w:rtl/>
        </w:rPr>
        <w:instrText xml:space="preserve"> </w:instrText>
      </w:r>
      <w:r w:rsidRPr="009E5E72">
        <w:rPr>
          <w:rStyle w:val="af7"/>
          <w:rFonts w:eastAsia="Guttman Hodes"/>
          <w:rtl/>
        </w:rPr>
      </w:r>
      <w:r w:rsidRPr="009E5E72">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sidRPr="009E5E72">
        <w:rPr>
          <w:rStyle w:val="af7"/>
          <w:rFonts w:eastAsia="Guttman Hodes"/>
          <w:rtl/>
        </w:rPr>
        <w:fldChar w:fldCharType="end"/>
      </w:r>
      <w:r>
        <w:rPr>
          <w:rFonts w:hint="cs"/>
          <w:rtl/>
        </w:rPr>
        <w:t>.</w:t>
      </w:r>
    </w:p>
    <w:p w:rsidR="00E824D3" w:rsidRDefault="00E824D3" w:rsidP="00E824D3">
      <w:pPr>
        <w:pStyle w:val="1"/>
        <w:rPr>
          <w:rtl/>
        </w:rPr>
      </w:pPr>
      <w:bookmarkStart w:id="18305" w:name="_Toc66183263"/>
      <w:bookmarkStart w:id="18306" w:name="_Toc66186048"/>
      <w:bookmarkStart w:id="18307" w:name="_Toc66193514"/>
      <w:bookmarkStart w:id="18308" w:name="_Toc66123414"/>
      <w:bookmarkStart w:id="18309" w:name="_Toc66143856"/>
      <w:bookmarkStart w:id="18310" w:name="_Toc66172019"/>
      <w:r>
        <w:rPr>
          <w:rFonts w:hint="cs"/>
          <w:rtl/>
        </w:rPr>
        <w:lastRenderedPageBreak/>
        <w:t>בי' הגר"ח מטעלז בריב"ם דלר"א ע"א קם לממון ואין כח טענה</w:t>
      </w:r>
      <w:bookmarkEnd w:id="18305"/>
      <w:bookmarkEnd w:id="18306"/>
      <w:bookmarkEnd w:id="18307"/>
    </w:p>
    <w:p w:rsidR="00E824D3" w:rsidRDefault="00E824D3" w:rsidP="00E824D3">
      <w:pPr>
        <w:pStyle w:val="a3"/>
        <w:rPr>
          <w:rtl/>
        </w:rPr>
      </w:pPr>
      <w:bookmarkStart w:id="18311" w:name="_Toc66183264"/>
      <w:bookmarkStart w:id="18312" w:name="_Toc66186049"/>
      <w:bookmarkStart w:id="18313" w:name="_Toc66193515"/>
      <w:r>
        <w:rPr>
          <w:rFonts w:hint="cs"/>
          <w:rtl/>
        </w:rPr>
        <w:t>ביאור הגר"ח מטעלז בריב"ם דהמיגו הוא העזה ומהני רק מדין כח הטענה ולא מדין בירור</w:t>
      </w:r>
      <w:bookmarkEnd w:id="18308"/>
      <w:bookmarkEnd w:id="18309"/>
      <w:bookmarkEnd w:id="18310"/>
      <w:bookmarkEnd w:id="18311"/>
      <w:bookmarkEnd w:id="18312"/>
      <w:bookmarkEnd w:id="18313"/>
    </w:p>
    <w:p w:rsidR="00E824D3" w:rsidRDefault="00E824D3" w:rsidP="007E4E81">
      <w:pPr>
        <w:pStyle w:val="a0"/>
        <w:rPr>
          <w:rtl/>
        </w:rPr>
      </w:pPr>
      <w:r>
        <w:rPr>
          <w:rFonts w:hint="cs"/>
          <w:rtl/>
        </w:rPr>
        <w:t xml:space="preserve">והוסיף </w:t>
      </w:r>
      <w:r w:rsidRPr="005C0255">
        <w:rPr>
          <w:rStyle w:val="af9"/>
          <w:rFonts w:hint="cs"/>
          <w:rtl/>
        </w:rPr>
        <w:t>בחי' הגר"ח מטעלז</w:t>
      </w:r>
      <w:r>
        <w:rPr>
          <w:rFonts w:hint="cs"/>
          <w:rtl/>
        </w:rPr>
        <w:t xml:space="preserve"> </w:t>
      </w:r>
      <w:r w:rsidRPr="004637E3">
        <w:rPr>
          <w:rStyle w:val="af7"/>
          <w:rFonts w:eastAsia="Guttman Hodes" w:hint="cs"/>
          <w:rtl/>
        </w:rPr>
        <w:t xml:space="preserve">(סי' ט"ז ד"ה ובתוס' הביאו) </w:t>
      </w:r>
      <w:r>
        <w:rPr>
          <w:rFonts w:hint="cs"/>
          <w:rtl/>
        </w:rPr>
        <w:t xml:space="preserve">דאף לדעת </w:t>
      </w:r>
      <w:r w:rsidRPr="00573C0B">
        <w:rPr>
          <w:rStyle w:val="af9"/>
          <w:rFonts w:hint="cs"/>
          <w:rtl/>
        </w:rPr>
        <w:t>הריב"ם</w:t>
      </w:r>
      <w:r>
        <w:rPr>
          <w:rFonts w:hint="cs"/>
          <w:rtl/>
        </w:rPr>
        <w:t xml:space="preserve"> </w:t>
      </w:r>
      <w:r w:rsidRPr="004637E3">
        <w:rPr>
          <w:rStyle w:val="af7"/>
          <w:rFonts w:eastAsia="Guttman Hodes" w:hint="cs"/>
          <w:rtl/>
        </w:rPr>
        <w:t xml:space="preserve">(עי' אות </w:t>
      </w:r>
      <w:r w:rsidRPr="004637E3">
        <w:rPr>
          <w:rStyle w:val="af7"/>
          <w:rFonts w:eastAsia="Guttman Hodes"/>
          <w:rtl/>
        </w:rPr>
        <w:fldChar w:fldCharType="begin"/>
      </w:r>
      <w:r w:rsidRPr="004637E3">
        <w:rPr>
          <w:rStyle w:val="af7"/>
          <w:rFonts w:eastAsia="Guttman Hodes"/>
          <w:rtl/>
        </w:rPr>
        <w:instrText xml:space="preserve"> </w:instrText>
      </w:r>
      <w:r w:rsidRPr="004637E3">
        <w:rPr>
          <w:rStyle w:val="af7"/>
          <w:rFonts w:eastAsia="Guttman Hodes" w:hint="cs"/>
        </w:rPr>
        <w:instrText>REF</w:instrText>
      </w:r>
      <w:r w:rsidRPr="004637E3">
        <w:rPr>
          <w:rStyle w:val="af7"/>
          <w:rFonts w:eastAsia="Guttman Hodes" w:hint="cs"/>
          <w:rtl/>
        </w:rPr>
        <w:instrText xml:space="preserve"> _</w:instrText>
      </w:r>
      <w:r w:rsidRPr="004637E3">
        <w:rPr>
          <w:rStyle w:val="af7"/>
          <w:rFonts w:eastAsia="Guttman Hodes" w:hint="cs"/>
        </w:rPr>
        <w:instrText>Ref65795831 \r \h</w:instrText>
      </w:r>
      <w:r w:rsidRPr="004637E3">
        <w:rPr>
          <w:rStyle w:val="af7"/>
          <w:rFonts w:eastAsia="Guttman Hodes"/>
          <w:rtl/>
        </w:rPr>
        <w:instrText xml:space="preserve"> </w:instrText>
      </w:r>
      <w:r w:rsidRPr="004637E3">
        <w:rPr>
          <w:rStyle w:val="af7"/>
          <w:rFonts w:eastAsia="Guttman Hodes"/>
          <w:rtl/>
        </w:rPr>
      </w:r>
      <w:r w:rsidRPr="004637E3">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4637E3">
        <w:rPr>
          <w:rStyle w:val="af7"/>
          <w:rFonts w:eastAsia="Guttman Hodes"/>
          <w:rtl/>
        </w:rPr>
        <w:fldChar w:fldCharType="end"/>
      </w:r>
      <w:r>
        <w:rPr>
          <w:rFonts w:hint="cs"/>
          <w:rtl/>
        </w:rPr>
        <w:t xml:space="preserve"> הביאור הוא דרבי אבא ורב ושמואל נחלקו בגדר החיוב בעדות ע"א, דס"ל לרב ושמואל ס"ל דאף שיש לראשון חזקה דמה שתח"י שלו הוא, מ"מ החוטף נאמן במיגו, ולרבי אבא אינו נאמן במיגו, כדביאר </w:t>
      </w:r>
      <w:r w:rsidRPr="00F62882">
        <w:rPr>
          <w:rStyle w:val="af9"/>
          <w:rFonts w:hint="cs"/>
          <w:rtl/>
        </w:rPr>
        <w:t>הריב"ם</w:t>
      </w:r>
      <w:r>
        <w:rPr>
          <w:rFonts w:hint="cs"/>
          <w:rtl/>
        </w:rPr>
        <w:t xml:space="preserve"> דכשיש חיוב שבועה דאו' ל"מ מיגו, וביאר</w:t>
      </w:r>
      <w:r w:rsidRPr="00ED529D">
        <w:rPr>
          <w:rFonts w:hint="cs"/>
          <w:rtl/>
        </w:rPr>
        <w:t xml:space="preserve"> </w:t>
      </w:r>
      <w:r w:rsidRPr="005C0255">
        <w:rPr>
          <w:rStyle w:val="af9"/>
          <w:rFonts w:hint="cs"/>
          <w:rtl/>
        </w:rPr>
        <w:t>בחי' הגר"ח מטעלז</w:t>
      </w:r>
      <w:r>
        <w:rPr>
          <w:rFonts w:hint="cs"/>
          <w:rtl/>
        </w:rPr>
        <w:t xml:space="preserve"> </w:t>
      </w:r>
      <w:r w:rsidRPr="004637E3">
        <w:rPr>
          <w:rStyle w:val="af7"/>
          <w:rFonts w:eastAsia="Guttman Hodes" w:hint="cs"/>
          <w:rtl/>
        </w:rPr>
        <w:t>(סי' ט"ז ד"ה ובעצם)</w:t>
      </w:r>
      <w:r>
        <w:rPr>
          <w:rFonts w:hint="cs"/>
          <w:rtl/>
        </w:rPr>
        <w:t xml:space="preserve"> בדעת </w:t>
      </w:r>
      <w:r w:rsidRPr="00573C0B">
        <w:rPr>
          <w:rStyle w:val="af9"/>
          <w:rFonts w:hint="cs"/>
          <w:rtl/>
        </w:rPr>
        <w:t>ה</w:t>
      </w:r>
      <w:r>
        <w:rPr>
          <w:rStyle w:val="af9"/>
          <w:rtl/>
        </w:rPr>
        <w:t>ריב"ם</w:t>
      </w:r>
      <w:r>
        <w:rPr>
          <w:rFonts w:hint="cs"/>
          <w:rtl/>
        </w:rPr>
        <w:t xml:space="preserve"> </w:t>
      </w:r>
      <w:r w:rsidRPr="004637E3">
        <w:rPr>
          <w:rStyle w:val="af7"/>
          <w:rFonts w:eastAsia="Guttman Hodes" w:hint="cs"/>
          <w:rtl/>
        </w:rPr>
        <w:t xml:space="preserve">(עי' אות </w:t>
      </w:r>
      <w:r w:rsidRPr="004637E3">
        <w:rPr>
          <w:rStyle w:val="af7"/>
          <w:rFonts w:eastAsia="Guttman Hodes"/>
          <w:rtl/>
        </w:rPr>
        <w:fldChar w:fldCharType="begin"/>
      </w:r>
      <w:r w:rsidRPr="004637E3">
        <w:rPr>
          <w:rStyle w:val="af7"/>
          <w:rFonts w:eastAsia="Guttman Hodes"/>
          <w:rtl/>
        </w:rPr>
        <w:instrText xml:space="preserve"> </w:instrText>
      </w:r>
      <w:r w:rsidRPr="004637E3">
        <w:rPr>
          <w:rStyle w:val="af7"/>
          <w:rFonts w:eastAsia="Guttman Hodes" w:hint="cs"/>
        </w:rPr>
        <w:instrText>REF</w:instrText>
      </w:r>
      <w:r w:rsidRPr="004637E3">
        <w:rPr>
          <w:rStyle w:val="af7"/>
          <w:rFonts w:eastAsia="Guttman Hodes" w:hint="cs"/>
          <w:rtl/>
        </w:rPr>
        <w:instrText xml:space="preserve"> _</w:instrText>
      </w:r>
      <w:r w:rsidRPr="004637E3">
        <w:rPr>
          <w:rStyle w:val="af7"/>
          <w:rFonts w:eastAsia="Guttman Hodes" w:hint="cs"/>
        </w:rPr>
        <w:instrText>Ref65795831 \r \h</w:instrText>
      </w:r>
      <w:r w:rsidRPr="004637E3">
        <w:rPr>
          <w:rStyle w:val="af7"/>
          <w:rFonts w:eastAsia="Guttman Hodes"/>
          <w:rtl/>
        </w:rPr>
        <w:instrText xml:space="preserve"> </w:instrText>
      </w:r>
      <w:r w:rsidRPr="004637E3">
        <w:rPr>
          <w:rStyle w:val="af7"/>
          <w:rFonts w:eastAsia="Guttman Hodes"/>
          <w:rtl/>
        </w:rPr>
      </w:r>
      <w:r w:rsidRPr="004637E3">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4637E3">
        <w:rPr>
          <w:rStyle w:val="af7"/>
          <w:rFonts w:eastAsia="Guttman Hodes"/>
          <w:rtl/>
        </w:rPr>
        <w:fldChar w:fldCharType="end"/>
      </w:r>
      <w:r>
        <w:rPr>
          <w:rFonts w:hint="cs"/>
          <w:rtl/>
        </w:rPr>
        <w:t xml:space="preserve"> דכיון דהמיגו דהיה מכחיש את העד הוא מיגו דהעזה, א"כ לא מהני לו המיגו מדין בירור דמה לי לשקר, וכ"מ שהמיגו יכול להועיל הוא מדין כח הטענה.</w:t>
      </w:r>
    </w:p>
    <w:p w:rsidR="00E824D3" w:rsidRPr="00433B62" w:rsidRDefault="00E824D3" w:rsidP="00E824D3">
      <w:pPr>
        <w:pStyle w:val="a3"/>
      </w:pPr>
      <w:bookmarkStart w:id="18314" w:name="_Toc66123415"/>
      <w:bookmarkStart w:id="18315" w:name="_Toc66143857"/>
      <w:bookmarkStart w:id="18316" w:name="_Toc66172020"/>
      <w:bookmarkStart w:id="18317" w:name="_Toc66183265"/>
      <w:bookmarkStart w:id="18318" w:name="_Toc66186050"/>
      <w:bookmarkStart w:id="18319" w:name="_Toc66193516"/>
      <w:r>
        <w:rPr>
          <w:rFonts w:hint="cs"/>
          <w:rtl/>
        </w:rPr>
        <w:t>ביאור הגר"ח מטעלז דלר"א דמחייבו ממון אין לו כח טענה כ"ז שלא נפטר ע"י פטור השבועה</w:t>
      </w:r>
      <w:bookmarkEnd w:id="18314"/>
      <w:bookmarkEnd w:id="18315"/>
      <w:bookmarkEnd w:id="18316"/>
      <w:bookmarkEnd w:id="18317"/>
      <w:bookmarkEnd w:id="18318"/>
      <w:bookmarkEnd w:id="18319"/>
    </w:p>
    <w:p w:rsidR="00E824D3" w:rsidRDefault="00E824D3" w:rsidP="007E4E81">
      <w:pPr>
        <w:pStyle w:val="a0"/>
        <w:rPr>
          <w:rtl/>
        </w:rPr>
      </w:pPr>
      <w:bookmarkStart w:id="18320" w:name="_Ref66178076"/>
      <w:r>
        <w:rPr>
          <w:rFonts w:hint="cs"/>
          <w:rtl/>
        </w:rPr>
        <w:t xml:space="preserve">וכתב </w:t>
      </w:r>
      <w:r w:rsidRPr="005C0255">
        <w:rPr>
          <w:rStyle w:val="af9"/>
          <w:rFonts w:hint="cs"/>
          <w:rtl/>
        </w:rPr>
        <w:t>בחי' הגר"ח מטעלז</w:t>
      </w:r>
      <w:r>
        <w:rPr>
          <w:rFonts w:hint="cs"/>
          <w:rtl/>
        </w:rPr>
        <w:t xml:space="preserve"> דלדעת רבי אבא דהע"א מחייבו ממון, </w:t>
      </w:r>
      <w:r w:rsidRPr="00ED529D">
        <w:rPr>
          <w:rStyle w:val="afb"/>
          <w:rFonts w:hint="cs"/>
          <w:rtl/>
        </w:rPr>
        <w:t xml:space="preserve">[כדביאר </w:t>
      </w:r>
      <w:r w:rsidRPr="001E52F7">
        <w:rPr>
          <w:rStyle w:val="affa"/>
          <w:rFonts w:hint="cs"/>
          <w:rtl/>
        </w:rPr>
        <w:t>בחי' הגר"ח מטעלז</w:t>
      </w:r>
      <w:r w:rsidRPr="00ED529D">
        <w:rPr>
          <w:rStyle w:val="afb"/>
          <w:rFonts w:hint="cs"/>
          <w:rtl/>
        </w:rPr>
        <w:t xml:space="preserve"> </w:t>
      </w:r>
      <w:r w:rsidRPr="001E52F7">
        <w:rPr>
          <w:rStyle w:val="aff6"/>
          <w:rFonts w:hint="cs"/>
          <w:rtl/>
        </w:rPr>
        <w:t xml:space="preserve">(עי' </w:t>
      </w:r>
      <w:r w:rsidRPr="00883401">
        <w:rPr>
          <w:rStyle w:val="aff6"/>
          <w:rFonts w:hint="cs"/>
          <w:rtl/>
        </w:rPr>
        <w:t xml:space="preserve">אות </w:t>
      </w:r>
      <w:r w:rsidRPr="00883401">
        <w:rPr>
          <w:rStyle w:val="aff6"/>
          <w:rtl/>
        </w:rPr>
        <w:fldChar w:fldCharType="begin"/>
      </w:r>
      <w:r w:rsidRPr="00883401">
        <w:rPr>
          <w:rStyle w:val="aff6"/>
          <w:rtl/>
        </w:rPr>
        <w:instrText xml:space="preserve"> </w:instrText>
      </w:r>
      <w:r w:rsidRPr="00883401">
        <w:rPr>
          <w:rStyle w:val="aff6"/>
          <w:rFonts w:hint="cs"/>
        </w:rPr>
        <w:instrText>REF</w:instrText>
      </w:r>
      <w:r w:rsidRPr="00883401">
        <w:rPr>
          <w:rStyle w:val="aff6"/>
          <w:rFonts w:hint="cs"/>
          <w:rtl/>
        </w:rPr>
        <w:instrText xml:space="preserve"> _</w:instrText>
      </w:r>
      <w:r w:rsidRPr="00883401">
        <w:rPr>
          <w:rStyle w:val="aff6"/>
          <w:rFonts w:hint="cs"/>
        </w:rPr>
        <w:instrText>Ref66124837 \r \h</w:instrText>
      </w:r>
      <w:r w:rsidRPr="00883401">
        <w:rPr>
          <w:rStyle w:val="aff6"/>
          <w:rtl/>
        </w:rPr>
        <w:instrText xml:space="preserve"> </w:instrText>
      </w:r>
      <w:r w:rsidRPr="00883401">
        <w:rPr>
          <w:rStyle w:val="aff6"/>
          <w:rtl/>
        </w:rPr>
      </w:r>
      <w:r w:rsidRPr="00883401">
        <w:rPr>
          <w:rStyle w:val="aff6"/>
          <w:rtl/>
        </w:rPr>
        <w:fldChar w:fldCharType="separate"/>
      </w:r>
      <w:r w:rsidR="00265073">
        <w:rPr>
          <w:rStyle w:val="aff6"/>
          <w:cs/>
        </w:rPr>
        <w:t>‎</w:t>
      </w:r>
      <w:r w:rsidR="00265073">
        <w:rPr>
          <w:rStyle w:val="aff6"/>
          <w:rtl/>
        </w:rPr>
        <w:t>פא)</w:t>
      </w:r>
      <w:r w:rsidRPr="00883401">
        <w:rPr>
          <w:rStyle w:val="aff6"/>
          <w:rtl/>
        </w:rPr>
        <w:fldChar w:fldCharType="end"/>
      </w:r>
      <w:r>
        <w:rPr>
          <w:rStyle w:val="afb"/>
          <w:rFonts w:hint="cs"/>
          <w:rtl/>
        </w:rPr>
        <w:t xml:space="preserve">], </w:t>
      </w:r>
      <w:r w:rsidRPr="00ED529D">
        <w:rPr>
          <w:rFonts w:hint="cs"/>
          <w:rtl/>
        </w:rPr>
        <w:t>א"</w:t>
      </w:r>
      <w:r>
        <w:rPr>
          <w:rFonts w:hint="cs"/>
          <w:rtl/>
        </w:rPr>
        <w:t xml:space="preserve">כ אין לו את כח הטענה דהיה טעון לא חטפי, דאם היה טוען כן היה העד מחייבו ממון, ואף שהיה נאמן להכחישו בשבועה, מ"מ כיון דס"ל לרבי אבא דעיקר החיוב ע"י עדות הע"א, הוא חיוב ממון ואפשר להפטר מחיוב זה ע"י שבועה, א"כ טענת לא חטפי מצד עצמה היא טענה שמחייבת ממון, כיון שהוא מכחיש את העד, ואף שיכול להפטר באופן צדדי ע"י שבועה, מ"מ אין הפטור חלק מהטענה עצמה, ולכן לדעת רבי אבא, אין לו את כח הטענה של המיגו, ואינו נאמן וחייב לשלם, ועי' במ"ש </w:t>
      </w:r>
      <w:r>
        <w:rPr>
          <w:rStyle w:val="af9"/>
          <w:rFonts w:hint="cs"/>
          <w:rtl/>
        </w:rPr>
        <w:t xml:space="preserve">בחי' </w:t>
      </w:r>
      <w:r w:rsidRPr="00034960">
        <w:rPr>
          <w:rStyle w:val="af9"/>
          <w:rFonts w:hint="cs"/>
          <w:rtl/>
        </w:rPr>
        <w:t>הגרש"ש</w:t>
      </w:r>
      <w:r>
        <w:rPr>
          <w:rFonts w:hint="cs"/>
          <w:rtl/>
        </w:rPr>
        <w:t xml:space="preserve"> </w:t>
      </w:r>
      <w:r w:rsidRPr="00034960">
        <w:rPr>
          <w:rStyle w:val="af7"/>
          <w:rFonts w:eastAsia="Guttman Hodes" w:hint="cs"/>
          <w:rtl/>
        </w:rPr>
        <w:t xml:space="preserve">(עי' אות </w:t>
      </w:r>
      <w:r w:rsidRPr="00034960">
        <w:rPr>
          <w:rStyle w:val="af7"/>
          <w:rFonts w:eastAsia="Guttman Hodes"/>
          <w:rtl/>
        </w:rPr>
        <w:fldChar w:fldCharType="begin"/>
      </w:r>
      <w:r w:rsidRPr="00034960">
        <w:rPr>
          <w:rStyle w:val="af7"/>
          <w:rFonts w:eastAsia="Guttman Hodes"/>
          <w:rtl/>
        </w:rPr>
        <w:instrText xml:space="preserve"> </w:instrText>
      </w:r>
      <w:r w:rsidRPr="00034960">
        <w:rPr>
          <w:rStyle w:val="af7"/>
          <w:rFonts w:eastAsia="Guttman Hodes" w:hint="cs"/>
        </w:rPr>
        <w:instrText>REF</w:instrText>
      </w:r>
      <w:r w:rsidRPr="00034960">
        <w:rPr>
          <w:rStyle w:val="af7"/>
          <w:rFonts w:eastAsia="Guttman Hodes" w:hint="cs"/>
          <w:rtl/>
        </w:rPr>
        <w:instrText xml:space="preserve"> _</w:instrText>
      </w:r>
      <w:r w:rsidRPr="00034960">
        <w:rPr>
          <w:rStyle w:val="af7"/>
          <w:rFonts w:eastAsia="Guttman Hodes" w:hint="cs"/>
        </w:rPr>
        <w:instrText>Ref66177994 \r \h</w:instrText>
      </w:r>
      <w:r w:rsidRPr="00034960">
        <w:rPr>
          <w:rStyle w:val="af7"/>
          <w:rFonts w:eastAsia="Guttman Hodes"/>
          <w:rtl/>
        </w:rPr>
        <w:instrText xml:space="preserve"> </w:instrText>
      </w:r>
      <w:r w:rsidRPr="00034960">
        <w:rPr>
          <w:rStyle w:val="af7"/>
          <w:rFonts w:eastAsia="Guttman Hodes"/>
          <w:rtl/>
        </w:rPr>
      </w:r>
      <w:r w:rsidRPr="00034960">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034960">
        <w:rPr>
          <w:rStyle w:val="af7"/>
          <w:rFonts w:eastAsia="Guttman Hodes"/>
          <w:rtl/>
        </w:rPr>
        <w:fldChar w:fldCharType="end"/>
      </w:r>
      <w:r>
        <w:rPr>
          <w:rFonts w:hint="cs"/>
          <w:rtl/>
        </w:rPr>
        <w:t xml:space="preserve"> </w:t>
      </w:r>
      <w:r w:rsidRPr="00034960">
        <w:rPr>
          <w:rStyle w:val="af9"/>
          <w:rFonts w:hint="cs"/>
          <w:rtl/>
        </w:rPr>
        <w:t>והקוב"ש</w:t>
      </w:r>
      <w:r>
        <w:rPr>
          <w:rFonts w:hint="cs"/>
          <w:rtl/>
        </w:rPr>
        <w:t xml:space="preserve"> </w:t>
      </w:r>
      <w:r w:rsidRPr="00034960">
        <w:rPr>
          <w:rStyle w:val="af7"/>
          <w:rFonts w:eastAsia="Guttman Hodes" w:hint="cs"/>
          <w:rtl/>
        </w:rPr>
        <w:t xml:space="preserve">(עי' אות </w:t>
      </w:r>
      <w:r w:rsidRPr="00034960">
        <w:rPr>
          <w:rStyle w:val="af7"/>
          <w:rFonts w:eastAsia="Guttman Hodes"/>
          <w:rtl/>
        </w:rPr>
        <w:fldChar w:fldCharType="begin"/>
      </w:r>
      <w:r w:rsidRPr="00034960">
        <w:rPr>
          <w:rStyle w:val="af7"/>
          <w:rFonts w:eastAsia="Guttman Hodes"/>
          <w:rtl/>
        </w:rPr>
        <w:instrText xml:space="preserve"> </w:instrText>
      </w:r>
      <w:r w:rsidRPr="00034960">
        <w:rPr>
          <w:rStyle w:val="af7"/>
          <w:rFonts w:eastAsia="Guttman Hodes" w:hint="cs"/>
        </w:rPr>
        <w:instrText>REF</w:instrText>
      </w:r>
      <w:r w:rsidRPr="00034960">
        <w:rPr>
          <w:rStyle w:val="af7"/>
          <w:rFonts w:eastAsia="Guttman Hodes" w:hint="cs"/>
          <w:rtl/>
        </w:rPr>
        <w:instrText xml:space="preserve"> _</w:instrText>
      </w:r>
      <w:r w:rsidRPr="00034960">
        <w:rPr>
          <w:rStyle w:val="af7"/>
          <w:rFonts w:eastAsia="Guttman Hodes" w:hint="cs"/>
        </w:rPr>
        <w:instrText>Ref66013473 \r \h</w:instrText>
      </w:r>
      <w:r w:rsidRPr="00034960">
        <w:rPr>
          <w:rStyle w:val="af7"/>
          <w:rFonts w:eastAsia="Guttman Hodes"/>
          <w:rtl/>
        </w:rPr>
        <w:instrText xml:space="preserve"> </w:instrText>
      </w:r>
      <w:r w:rsidRPr="00034960">
        <w:rPr>
          <w:rStyle w:val="af7"/>
          <w:rFonts w:eastAsia="Guttman Hodes"/>
          <w:rtl/>
        </w:rPr>
      </w:r>
      <w:r w:rsidRPr="00034960">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sidRPr="00034960">
        <w:rPr>
          <w:rStyle w:val="af7"/>
          <w:rFonts w:eastAsia="Guttman Hodes"/>
          <w:rtl/>
        </w:rPr>
        <w:fldChar w:fldCharType="end"/>
      </w:r>
      <w:r>
        <w:rPr>
          <w:rFonts w:hint="cs"/>
          <w:rtl/>
        </w:rPr>
        <w:t>.</w:t>
      </w:r>
      <w:bookmarkEnd w:id="18320"/>
    </w:p>
    <w:p w:rsidR="00E824D3" w:rsidRDefault="00E824D3" w:rsidP="00E824D3">
      <w:pPr>
        <w:pStyle w:val="a3"/>
      </w:pPr>
      <w:bookmarkStart w:id="18321" w:name="_Toc66123416"/>
      <w:bookmarkStart w:id="18322" w:name="_Toc66143858"/>
      <w:bookmarkStart w:id="18323" w:name="_Toc66172021"/>
      <w:bookmarkStart w:id="18324" w:name="_Toc66183266"/>
      <w:bookmarkStart w:id="18325" w:name="_Toc66186051"/>
      <w:bookmarkStart w:id="18326" w:name="_Toc66193517"/>
      <w:r>
        <w:rPr>
          <w:rFonts w:hint="cs"/>
          <w:rtl/>
        </w:rPr>
        <w:t>בי' הגר"ח מטעלז בריב"ם דלרב ושמואל שמחייבו שבועה בא"י לישבע יש מיגו דכח הטענה</w:t>
      </w:r>
      <w:bookmarkEnd w:id="18321"/>
      <w:bookmarkEnd w:id="18322"/>
      <w:bookmarkEnd w:id="18323"/>
      <w:bookmarkEnd w:id="18324"/>
      <w:bookmarkEnd w:id="18325"/>
      <w:bookmarkEnd w:id="18326"/>
    </w:p>
    <w:p w:rsidR="00E824D3" w:rsidRDefault="00E824D3" w:rsidP="007E4E81">
      <w:pPr>
        <w:pStyle w:val="a0"/>
        <w:rPr>
          <w:rtl/>
        </w:rPr>
      </w:pPr>
      <w:r>
        <w:rPr>
          <w:rFonts w:hint="cs"/>
          <w:rtl/>
        </w:rPr>
        <w:t>ובדעת רב ושמואל ביאר</w:t>
      </w:r>
      <w:r>
        <w:rPr>
          <w:rtl/>
        </w:rPr>
        <w:t xml:space="preserve"> </w:t>
      </w:r>
      <w:r>
        <w:rPr>
          <w:rStyle w:val="af9"/>
          <w:rtl/>
        </w:rPr>
        <w:t>בחי' הגר"ח מטעלז</w:t>
      </w:r>
      <w:r>
        <w:rPr>
          <w:rtl/>
        </w:rPr>
        <w:t xml:space="preserve"> </w:t>
      </w:r>
      <w:r>
        <w:rPr>
          <w:rStyle w:val="af7"/>
          <w:rFonts w:eastAsia="Guttman Hodes" w:hint="cs"/>
          <w:rtl/>
        </w:rPr>
        <w:t xml:space="preserve">(סי' ט"ז ד"ה אבל רב) </w:t>
      </w:r>
      <w:r>
        <w:rPr>
          <w:rFonts w:hint="cs"/>
          <w:rtl/>
        </w:rPr>
        <w:t xml:space="preserve">דכיון דס"ל דהע"א אינו מחייבו ממון כלל, אלא רק מחייב שבועה, </w:t>
      </w:r>
      <w:r w:rsidRPr="00ED529D">
        <w:rPr>
          <w:rStyle w:val="afb"/>
          <w:rFonts w:hint="cs"/>
          <w:rtl/>
        </w:rPr>
        <w:t xml:space="preserve">[כדביאר </w:t>
      </w:r>
      <w:r w:rsidRPr="001E52F7">
        <w:rPr>
          <w:rStyle w:val="affa"/>
          <w:rFonts w:hint="cs"/>
          <w:rtl/>
        </w:rPr>
        <w:t>בחי' הגר"ח מטעלז</w:t>
      </w:r>
      <w:r w:rsidRPr="00ED529D">
        <w:rPr>
          <w:rStyle w:val="afb"/>
          <w:rFonts w:hint="cs"/>
          <w:rtl/>
        </w:rPr>
        <w:t xml:space="preserve"> </w:t>
      </w:r>
      <w:r w:rsidRPr="001E52F7">
        <w:rPr>
          <w:rStyle w:val="aff6"/>
          <w:rFonts w:hint="cs"/>
          <w:rtl/>
        </w:rPr>
        <w:t xml:space="preserve">(עי' אות </w:t>
      </w:r>
      <w:r w:rsidRPr="001E52F7">
        <w:rPr>
          <w:rStyle w:val="aff6"/>
          <w:rtl/>
        </w:rPr>
        <w:fldChar w:fldCharType="begin"/>
      </w:r>
      <w:r w:rsidRPr="001E52F7">
        <w:rPr>
          <w:rStyle w:val="aff6"/>
          <w:rtl/>
        </w:rPr>
        <w:instrText xml:space="preserve"> </w:instrText>
      </w:r>
      <w:r w:rsidRPr="001E52F7">
        <w:rPr>
          <w:rStyle w:val="aff6"/>
          <w:rFonts w:hint="cs"/>
        </w:rPr>
        <w:instrText>REF</w:instrText>
      </w:r>
      <w:r w:rsidRPr="001E52F7">
        <w:rPr>
          <w:rStyle w:val="aff6"/>
          <w:rFonts w:hint="cs"/>
          <w:rtl/>
        </w:rPr>
        <w:instrText xml:space="preserve"> _</w:instrText>
      </w:r>
      <w:r w:rsidRPr="001E52F7">
        <w:rPr>
          <w:rStyle w:val="aff6"/>
          <w:rFonts w:hint="cs"/>
        </w:rPr>
        <w:instrText>Ref65789796 \r \h</w:instrText>
      </w:r>
      <w:r w:rsidRPr="001E52F7">
        <w:rPr>
          <w:rStyle w:val="aff6"/>
          <w:rtl/>
        </w:rPr>
        <w:instrText xml:space="preserve"> </w:instrText>
      </w:r>
      <w:r w:rsidRPr="001E52F7">
        <w:rPr>
          <w:rStyle w:val="aff6"/>
          <w:rtl/>
        </w:rPr>
      </w:r>
      <w:r w:rsidRPr="001E52F7">
        <w:rPr>
          <w:rStyle w:val="aff6"/>
          <w:rtl/>
        </w:rPr>
        <w:fldChar w:fldCharType="separate"/>
      </w:r>
      <w:r w:rsidR="00265073">
        <w:rPr>
          <w:rStyle w:val="aff6"/>
          <w:cs/>
        </w:rPr>
        <w:t>‎</w:t>
      </w:r>
      <w:r w:rsidR="00265073">
        <w:rPr>
          <w:rStyle w:val="aff6"/>
          <w:rtl/>
        </w:rPr>
        <w:t>פא)</w:t>
      </w:r>
      <w:r w:rsidRPr="001E52F7">
        <w:rPr>
          <w:rStyle w:val="aff6"/>
          <w:rtl/>
        </w:rPr>
        <w:fldChar w:fldCharType="end"/>
      </w:r>
      <w:r w:rsidRPr="00ED529D">
        <w:rPr>
          <w:rStyle w:val="afb"/>
          <w:rFonts w:hint="cs"/>
          <w:rtl/>
        </w:rPr>
        <w:t>]</w:t>
      </w:r>
      <w:r>
        <w:rPr>
          <w:rStyle w:val="afb"/>
          <w:rFonts w:hint="cs"/>
          <w:rtl/>
        </w:rPr>
        <w:t>,</w:t>
      </w:r>
      <w:r>
        <w:rPr>
          <w:rFonts w:hint="cs"/>
          <w:rtl/>
        </w:rPr>
        <w:t xml:space="preserve"> א"כ מהני לו המיגו, כיון דחשיב שיש לו את כח הטענה בטענת לא חטפי, דהטענה עצמה אינה מחייבת ממון כלל, כיון שהוא יכול להפטר בשבועה, והשבועה היא חלק מהטענה, ואינה פטור צדדי שיכול להפטר בו מעדות העד, ולכן ס"ל לרב ושמואל דאעפ"י שהמיגו הוא מיגו דהעזה ולא מהני מדין בירור דמה לי לשקר, מ"מ מהני המיגו מדין כח הטענה וא"צ לשלם, ועיי"ש במה שביאר לפי"ז </w:t>
      </w:r>
      <w:r>
        <w:rPr>
          <w:rStyle w:val="af9"/>
          <w:rtl/>
        </w:rPr>
        <w:t>בחי' הגר"ח מטעלז</w:t>
      </w:r>
      <w:r>
        <w:rPr>
          <w:rtl/>
        </w:rPr>
        <w:t xml:space="preserve"> </w:t>
      </w:r>
      <w:r>
        <w:rPr>
          <w:rFonts w:hint="cs"/>
          <w:rtl/>
        </w:rPr>
        <w:t xml:space="preserve">את קושית </w:t>
      </w:r>
      <w:r w:rsidRPr="00246930">
        <w:rPr>
          <w:rStyle w:val="af9"/>
          <w:rFonts w:hint="cs"/>
          <w:rtl/>
        </w:rPr>
        <w:t>התוס'</w:t>
      </w:r>
      <w:r>
        <w:rPr>
          <w:rFonts w:hint="cs"/>
          <w:rtl/>
        </w:rPr>
        <w:t xml:space="preserve"> </w:t>
      </w:r>
      <w:r w:rsidRPr="00246930">
        <w:rPr>
          <w:rStyle w:val="af7"/>
          <w:rFonts w:eastAsia="Guttman Hodes" w:hint="cs"/>
          <w:rtl/>
        </w:rPr>
        <w:t xml:space="preserve">(עי' אות </w:t>
      </w:r>
      <w:r w:rsidRPr="00246930">
        <w:rPr>
          <w:rStyle w:val="af7"/>
          <w:rFonts w:eastAsia="Guttman Hodes"/>
          <w:rtl/>
        </w:rPr>
        <w:fldChar w:fldCharType="begin"/>
      </w:r>
      <w:r w:rsidRPr="00246930">
        <w:rPr>
          <w:rStyle w:val="af7"/>
          <w:rFonts w:eastAsia="Guttman Hodes"/>
          <w:rtl/>
        </w:rPr>
        <w:instrText xml:space="preserve"> </w:instrText>
      </w:r>
      <w:r w:rsidRPr="00246930">
        <w:rPr>
          <w:rStyle w:val="af7"/>
          <w:rFonts w:eastAsia="Guttman Hodes" w:hint="cs"/>
        </w:rPr>
        <w:instrText>REF</w:instrText>
      </w:r>
      <w:r w:rsidRPr="00246930">
        <w:rPr>
          <w:rStyle w:val="af7"/>
          <w:rFonts w:eastAsia="Guttman Hodes" w:hint="cs"/>
          <w:rtl/>
        </w:rPr>
        <w:instrText xml:space="preserve"> _</w:instrText>
      </w:r>
      <w:r w:rsidRPr="00246930">
        <w:rPr>
          <w:rStyle w:val="af7"/>
          <w:rFonts w:eastAsia="Guttman Hodes" w:hint="cs"/>
        </w:rPr>
        <w:instrText>Ref65795902 \r \h</w:instrText>
      </w:r>
      <w:r w:rsidRPr="00246930">
        <w:rPr>
          <w:rStyle w:val="af7"/>
          <w:rFonts w:eastAsia="Guttman Hodes"/>
          <w:rtl/>
        </w:rPr>
        <w:instrText xml:space="preserve"> </w:instrText>
      </w:r>
      <w:r w:rsidRPr="00246930">
        <w:rPr>
          <w:rStyle w:val="af7"/>
          <w:rFonts w:eastAsia="Guttman Hodes"/>
          <w:rtl/>
        </w:rPr>
      </w:r>
      <w:r w:rsidRPr="00246930">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246930">
        <w:rPr>
          <w:rStyle w:val="af7"/>
          <w:rFonts w:eastAsia="Guttman Hodes"/>
          <w:rtl/>
        </w:rPr>
        <w:fldChar w:fldCharType="end"/>
      </w:r>
      <w:r w:rsidRPr="00246930">
        <w:rPr>
          <w:rStyle w:val="af7"/>
          <w:rFonts w:eastAsia="Guttman Hodes" w:hint="cs"/>
          <w:rtl/>
        </w:rPr>
        <w:t xml:space="preserve"> </w:t>
      </w:r>
      <w:r>
        <w:rPr>
          <w:rFonts w:hint="cs"/>
          <w:rtl/>
        </w:rPr>
        <w:t xml:space="preserve">על </w:t>
      </w:r>
      <w:r w:rsidRPr="00246930">
        <w:rPr>
          <w:rStyle w:val="af9"/>
          <w:rFonts w:hint="cs"/>
          <w:rtl/>
        </w:rPr>
        <w:t>ריב"ם</w:t>
      </w:r>
      <w:r>
        <w:rPr>
          <w:rFonts w:hint="cs"/>
          <w:rtl/>
        </w:rPr>
        <w:t xml:space="preserve">, ובמ"ש </w:t>
      </w:r>
      <w:r>
        <w:rPr>
          <w:rStyle w:val="af9"/>
          <w:rtl/>
        </w:rPr>
        <w:t>בחי' הגר"ח מטעלז</w:t>
      </w:r>
      <w:r>
        <w:rPr>
          <w:rtl/>
        </w:rPr>
        <w:t xml:space="preserve"> </w:t>
      </w:r>
      <w:r>
        <w:rPr>
          <w:rStyle w:val="af7"/>
          <w:rFonts w:eastAsia="Guttman Hodes" w:hint="cs"/>
          <w:rtl/>
        </w:rPr>
        <w:t>(סי' ט"ז ד"ה ולפי דברינו)</w:t>
      </w:r>
      <w:r>
        <w:rPr>
          <w:rFonts w:hint="cs"/>
          <w:rtl/>
        </w:rPr>
        <w:t xml:space="preserve"> ביאור נוסף בדעת רב ושמואל עיי"ש בדבריו.</w:t>
      </w:r>
    </w:p>
    <w:p w:rsidR="00E824D3" w:rsidRPr="00E05C7E" w:rsidRDefault="00E824D3" w:rsidP="00E824D3">
      <w:pPr>
        <w:pStyle w:val="a3"/>
        <w:rPr>
          <w:rtl/>
        </w:rPr>
      </w:pPr>
      <w:bookmarkStart w:id="18327" w:name="_Toc66123417"/>
      <w:bookmarkStart w:id="18328" w:name="_Toc66143859"/>
      <w:bookmarkStart w:id="18329" w:name="_Toc66172022"/>
      <w:bookmarkStart w:id="18330" w:name="_Toc66183267"/>
      <w:bookmarkStart w:id="18331" w:name="_Toc66186052"/>
      <w:bookmarkStart w:id="18332" w:name="_Toc66193518"/>
      <w:r>
        <w:rPr>
          <w:rFonts w:hint="cs"/>
          <w:rtl/>
        </w:rPr>
        <w:t>בי' הגר"ח מטעלז דלריב"ם בהחזרתי במיגו דנאנסו מהני מיגו דבירור אעפ"י שאין לו כח טענה</w:t>
      </w:r>
      <w:bookmarkEnd w:id="18327"/>
      <w:bookmarkEnd w:id="18328"/>
      <w:bookmarkEnd w:id="18329"/>
      <w:bookmarkEnd w:id="18330"/>
      <w:bookmarkEnd w:id="18331"/>
      <w:bookmarkEnd w:id="18332"/>
    </w:p>
    <w:p w:rsidR="00E824D3" w:rsidRDefault="00E824D3" w:rsidP="007E4E81">
      <w:pPr>
        <w:pStyle w:val="a0"/>
        <w:rPr>
          <w:rtl/>
        </w:rPr>
      </w:pPr>
      <w:bookmarkStart w:id="18333" w:name="_Ref66110750"/>
      <w:r>
        <w:rPr>
          <w:rFonts w:hint="cs"/>
          <w:rtl/>
        </w:rPr>
        <w:t>וכתב</w:t>
      </w:r>
      <w:r w:rsidRPr="008E4375">
        <w:rPr>
          <w:rStyle w:val="af9"/>
          <w:rtl/>
        </w:rPr>
        <w:t xml:space="preserve"> </w:t>
      </w:r>
      <w:r>
        <w:rPr>
          <w:rStyle w:val="af9"/>
          <w:rtl/>
        </w:rPr>
        <w:t>בחי' הגר"ח מטעלז</w:t>
      </w:r>
      <w:r>
        <w:rPr>
          <w:rtl/>
        </w:rPr>
        <w:t xml:space="preserve"> </w:t>
      </w:r>
      <w:r>
        <w:rPr>
          <w:rStyle w:val="af7"/>
          <w:rFonts w:eastAsia="Guttman Hodes" w:hint="cs"/>
          <w:rtl/>
        </w:rPr>
        <w:t xml:space="preserve">(סי' ט"ז ד"ה ועיין בשיטמ"ק) </w:t>
      </w:r>
      <w:r>
        <w:rPr>
          <w:rFonts w:hint="cs"/>
          <w:rtl/>
        </w:rPr>
        <w:t xml:space="preserve">דלפי"ז לא קשה על </w:t>
      </w:r>
      <w:r w:rsidRPr="008F1DEF">
        <w:rPr>
          <w:rStyle w:val="af9"/>
          <w:rFonts w:hint="cs"/>
          <w:rtl/>
        </w:rPr>
        <w:t>ריב"ם</w:t>
      </w:r>
      <w:r>
        <w:rPr>
          <w:rFonts w:hint="cs"/>
          <w:rtl/>
        </w:rPr>
        <w:t xml:space="preserve"> דמהני מיגו במקום שמחויב שבועה, כדמוכח בגמ' לקמן </w:t>
      </w:r>
      <w:r w:rsidRPr="008F1DEF">
        <w:rPr>
          <w:rStyle w:val="af7"/>
          <w:rFonts w:eastAsia="Guttman Hodes" w:hint="cs"/>
          <w:rtl/>
        </w:rPr>
        <w:t>(ע.)</w:t>
      </w:r>
      <w:r>
        <w:rPr>
          <w:rFonts w:hint="cs"/>
          <w:rtl/>
        </w:rPr>
        <w:t xml:space="preserve"> דבמפקיד בשטר נאמן בשבועה בטענת החזרתי במיגו דהיה טוען נאנסו דהיה נאמן בשבועה, כיון דהתם הנאמנות של המיגו היא מדין בירור דמה לי לשקר ולא רק מדין כח הטענה,</w:t>
      </w:r>
      <w:r w:rsidRPr="008F1DEF">
        <w:rPr>
          <w:rStyle w:val="afb"/>
          <w:rFonts w:hint="cs"/>
          <w:rtl/>
        </w:rPr>
        <w:t xml:space="preserve"> [כיון דאינו מיגו דהעזה], </w:t>
      </w:r>
      <w:r>
        <w:rPr>
          <w:rFonts w:hint="cs"/>
          <w:rtl/>
        </w:rPr>
        <w:t xml:space="preserve">ולכן אף שכל שהוא צריך להשבע, חשיב שאין לו את כח הטענה של המיגו, מ"מ הוא נאמן מדין מיגו דמה לי לשקר, וכתב </w:t>
      </w:r>
      <w:r w:rsidRPr="008F1DEF">
        <w:rPr>
          <w:rStyle w:val="af9"/>
          <w:rFonts w:hint="cs"/>
          <w:rtl/>
        </w:rPr>
        <w:t>בחי' הגר"ח מטעלז</w:t>
      </w:r>
      <w:r>
        <w:rPr>
          <w:rFonts w:hint="cs"/>
          <w:rtl/>
        </w:rPr>
        <w:t xml:space="preserve"> דא"כ א"צ לתרץ לדעת </w:t>
      </w:r>
      <w:r w:rsidRPr="008F1DEF">
        <w:rPr>
          <w:rStyle w:val="af9"/>
          <w:rFonts w:hint="cs"/>
          <w:rtl/>
        </w:rPr>
        <w:t>הריב"ם</w:t>
      </w:r>
      <w:r>
        <w:rPr>
          <w:rFonts w:hint="cs"/>
          <w:rtl/>
        </w:rPr>
        <w:t xml:space="preserve"> כדתירץ </w:t>
      </w:r>
      <w:r w:rsidRPr="008F1DEF">
        <w:rPr>
          <w:rStyle w:val="af9"/>
          <w:rFonts w:hint="cs"/>
          <w:rtl/>
        </w:rPr>
        <w:t>רבינו יונה</w:t>
      </w:r>
      <w:r>
        <w:rPr>
          <w:rFonts w:hint="cs"/>
          <w:rtl/>
        </w:rPr>
        <w:t xml:space="preserve"> </w:t>
      </w:r>
      <w:r w:rsidRPr="00EF5D48">
        <w:rPr>
          <w:rStyle w:val="af7"/>
          <w:rFonts w:eastAsia="Guttman Hodes" w:hint="cs"/>
          <w:rtl/>
        </w:rPr>
        <w:t xml:space="preserve">(עי' אות </w:t>
      </w:r>
      <w:r w:rsidRPr="00EF5D48">
        <w:rPr>
          <w:rStyle w:val="af7"/>
          <w:rFonts w:eastAsia="Guttman Hodes"/>
          <w:rtl/>
        </w:rPr>
        <w:fldChar w:fldCharType="begin"/>
      </w:r>
      <w:r w:rsidRPr="00EF5D48">
        <w:rPr>
          <w:rStyle w:val="af7"/>
          <w:rFonts w:eastAsia="Guttman Hodes"/>
          <w:rtl/>
        </w:rPr>
        <w:instrText xml:space="preserve"> </w:instrText>
      </w:r>
      <w:r w:rsidRPr="00EF5D48">
        <w:rPr>
          <w:rStyle w:val="af7"/>
          <w:rFonts w:eastAsia="Guttman Hodes" w:hint="cs"/>
        </w:rPr>
        <w:instrText>REF</w:instrText>
      </w:r>
      <w:r w:rsidRPr="00EF5D48">
        <w:rPr>
          <w:rStyle w:val="af7"/>
          <w:rFonts w:eastAsia="Guttman Hodes" w:hint="cs"/>
          <w:rtl/>
        </w:rPr>
        <w:instrText xml:space="preserve"> _</w:instrText>
      </w:r>
      <w:r w:rsidRPr="00EF5D48">
        <w:rPr>
          <w:rStyle w:val="af7"/>
          <w:rFonts w:eastAsia="Guttman Hodes" w:hint="cs"/>
        </w:rPr>
        <w:instrText>Ref65832995 \r \h</w:instrText>
      </w:r>
      <w:r w:rsidRPr="00EF5D48">
        <w:rPr>
          <w:rStyle w:val="af7"/>
          <w:rFonts w:eastAsia="Guttman Hodes"/>
          <w:rtl/>
        </w:rPr>
        <w:instrText xml:space="preserve"> </w:instrText>
      </w:r>
      <w:r w:rsidRPr="00EF5D48">
        <w:rPr>
          <w:rStyle w:val="af7"/>
          <w:rFonts w:eastAsia="Guttman Hodes"/>
          <w:rtl/>
        </w:rPr>
      </w:r>
      <w:r w:rsidRPr="00EF5D48">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EF5D48">
        <w:rPr>
          <w:rStyle w:val="af7"/>
          <w:rFonts w:eastAsia="Guttman Hodes"/>
          <w:rtl/>
        </w:rPr>
        <w:fldChar w:fldCharType="end"/>
      </w:r>
      <w:r>
        <w:rPr>
          <w:rFonts w:hint="cs"/>
          <w:rtl/>
        </w:rPr>
        <w:t xml:space="preserve"> דבגמ' לקמן לא חל עליו חיוב שבועה.</w:t>
      </w:r>
      <w:bookmarkEnd w:id="18333"/>
    </w:p>
    <w:p w:rsidR="00E824D3" w:rsidRDefault="00E824D3" w:rsidP="00E824D3">
      <w:pPr>
        <w:pStyle w:val="1"/>
        <w:rPr>
          <w:rtl/>
        </w:rPr>
      </w:pPr>
      <w:bookmarkStart w:id="18334" w:name="_Toc66110532"/>
      <w:bookmarkStart w:id="18335" w:name="_Toc66123420"/>
      <w:bookmarkStart w:id="18336" w:name="_Toc66143860"/>
      <w:bookmarkStart w:id="18337" w:name="_Toc66172023"/>
      <w:bookmarkStart w:id="18338" w:name="_Toc66183268"/>
      <w:bookmarkStart w:id="18339" w:name="_Toc66186053"/>
      <w:bookmarkStart w:id="18340" w:name="_Toc66193519"/>
      <w:bookmarkStart w:id="18341" w:name="_Toc65839243"/>
      <w:bookmarkStart w:id="18342" w:name="_Toc66048884"/>
      <w:bookmarkStart w:id="18343" w:name="_Toc66055837"/>
      <w:bookmarkStart w:id="18344" w:name="_Toc66085957"/>
      <w:bookmarkStart w:id="18345" w:name="_Toc66110530"/>
      <w:bookmarkStart w:id="18346" w:name="_Toc66123418"/>
      <w:r>
        <w:rPr>
          <w:rFonts w:hint="cs"/>
          <w:rtl/>
        </w:rPr>
        <w:t>דברי הגרב"ב</w:t>
      </w:r>
      <w:bookmarkEnd w:id="18334"/>
      <w:bookmarkEnd w:id="18335"/>
      <w:r>
        <w:rPr>
          <w:rFonts w:hint="cs"/>
          <w:rtl/>
        </w:rPr>
        <w:t xml:space="preserve"> דבמודה במקצת מהני</w:t>
      </w:r>
      <w:r w:rsidRPr="00A8749A">
        <w:rPr>
          <w:rFonts w:hint="cs"/>
          <w:rtl/>
        </w:rPr>
        <w:t xml:space="preserve"> </w:t>
      </w:r>
      <w:r>
        <w:rPr>
          <w:rFonts w:hint="cs"/>
          <w:rtl/>
        </w:rPr>
        <w:t>שבועה דדידי חטפי</w:t>
      </w:r>
      <w:bookmarkEnd w:id="18336"/>
      <w:bookmarkEnd w:id="18337"/>
      <w:bookmarkEnd w:id="18338"/>
      <w:bookmarkEnd w:id="18339"/>
      <w:bookmarkEnd w:id="18340"/>
    </w:p>
    <w:p w:rsidR="00E824D3" w:rsidRDefault="00E824D3" w:rsidP="00E824D3">
      <w:pPr>
        <w:pStyle w:val="a3"/>
        <w:rPr>
          <w:rtl/>
        </w:rPr>
      </w:pPr>
      <w:bookmarkStart w:id="18347" w:name="_Toc66143861"/>
      <w:bookmarkStart w:id="18348" w:name="_Toc66172024"/>
      <w:bookmarkStart w:id="18349" w:name="_Toc66183269"/>
      <w:bookmarkStart w:id="18350" w:name="_Toc66186054"/>
      <w:bookmarkStart w:id="18351" w:name="_Toc66193520"/>
      <w:r>
        <w:rPr>
          <w:rFonts w:hint="cs"/>
          <w:rtl/>
        </w:rPr>
        <w:t>דברי הגרב"ב דדוקא בשבועת ע"א דהוא כשנים חשיב כעדים על גזילה ואמרינן משאיל"מ</w:t>
      </w:r>
      <w:bookmarkEnd w:id="18347"/>
      <w:bookmarkEnd w:id="18348"/>
      <w:bookmarkEnd w:id="18349"/>
      <w:bookmarkEnd w:id="18350"/>
      <w:bookmarkEnd w:id="18351"/>
    </w:p>
    <w:p w:rsidR="00E824D3" w:rsidRPr="00936160" w:rsidRDefault="00E824D3" w:rsidP="007E4E81">
      <w:pPr>
        <w:pStyle w:val="a0"/>
        <w:rPr>
          <w:rStyle w:val="afb"/>
          <w:rtl/>
        </w:rPr>
      </w:pPr>
      <w:bookmarkStart w:id="18352" w:name="_Ref66135335"/>
      <w:r>
        <w:rPr>
          <w:rFonts w:hint="cs"/>
          <w:rtl/>
        </w:rPr>
        <w:t xml:space="preserve">כתב </w:t>
      </w:r>
      <w:r w:rsidRPr="00AE7116">
        <w:rPr>
          <w:rStyle w:val="af9"/>
          <w:rFonts w:hint="cs"/>
          <w:rtl/>
        </w:rPr>
        <w:t>בחו"ש הגרב"ב</w:t>
      </w:r>
      <w:r>
        <w:rPr>
          <w:rFonts w:hint="cs"/>
          <w:rtl/>
        </w:rPr>
        <w:t xml:space="preserve"> </w:t>
      </w:r>
      <w:r w:rsidRPr="006E69F9">
        <w:rPr>
          <w:rStyle w:val="af7"/>
          <w:rFonts w:eastAsia="Guttman Hodes" w:hint="cs"/>
          <w:rtl/>
        </w:rPr>
        <w:t>(ח"א סי' י"ג ד"ה ההוא)</w:t>
      </w:r>
      <w:r>
        <w:rPr>
          <w:rFonts w:hint="cs"/>
          <w:rtl/>
        </w:rPr>
        <w:t xml:space="preserve"> דיש לחקור בדין נסכא דר"א אם הראשון טוען שחטף ממנו </w:t>
      </w:r>
      <w:r w:rsidRPr="00843828">
        <w:rPr>
          <w:rtl/>
        </w:rPr>
        <w:t>שתי נסכות</w:t>
      </w:r>
      <w:r>
        <w:rPr>
          <w:rFonts w:hint="cs"/>
          <w:rtl/>
        </w:rPr>
        <w:t xml:space="preserve">, ואין עדים כלל, והחוטף </w:t>
      </w:r>
      <w:r>
        <w:rPr>
          <w:rFonts w:hint="cs"/>
          <w:rtl/>
        </w:rPr>
        <w:t xml:space="preserve">מודה שחטף אחת, וטוען אין חטפי ודידי חטפי, דכיון שיש עליו חיוב שבועה דאו' מדין מודה במקצת, </w:t>
      </w:r>
      <w:r w:rsidRPr="006E69F9">
        <w:rPr>
          <w:rStyle w:val="afb"/>
          <w:rFonts w:hint="cs"/>
          <w:rtl/>
        </w:rPr>
        <w:t>[ואינו יכול להשבע להכחיש את טענתו דאינו כופר בחטיפה],</w:t>
      </w:r>
      <w:r>
        <w:rPr>
          <w:rFonts w:hint="cs"/>
          <w:rtl/>
        </w:rPr>
        <w:t xml:space="preserve"> וכתב </w:t>
      </w:r>
      <w:r w:rsidRPr="00AE7116">
        <w:rPr>
          <w:rStyle w:val="af9"/>
          <w:rFonts w:hint="cs"/>
          <w:rtl/>
        </w:rPr>
        <w:t>בחו"ש הגרב"ב</w:t>
      </w:r>
      <w:r>
        <w:rPr>
          <w:rFonts w:hint="cs"/>
          <w:rtl/>
        </w:rPr>
        <w:t xml:space="preserve"> דנראה לומר דהוא יכול להשבע על טענתו דדידיה חטף, ולא דמי למקום שיש ע"א דאינו יכול להשבע, כיון דכ"ז שלא </w:t>
      </w:r>
      <w:r w:rsidRPr="00126C9E">
        <w:rPr>
          <w:rFonts w:hint="cs"/>
          <w:rtl/>
        </w:rPr>
        <w:t xml:space="preserve">נשבע להכחיש את הע"א, הוא חשיב כשנים, וכתב </w:t>
      </w:r>
      <w:r w:rsidRPr="00126C9E">
        <w:rPr>
          <w:rStyle w:val="af9"/>
          <w:rFonts w:hint="cs"/>
          <w:rtl/>
        </w:rPr>
        <w:t>בחו"ש הגרב"ב</w:t>
      </w:r>
      <w:r w:rsidRPr="00126C9E">
        <w:rPr>
          <w:rFonts w:hint="cs"/>
          <w:rtl/>
        </w:rPr>
        <w:t xml:space="preserve"> בשם </w:t>
      </w:r>
      <w:r w:rsidRPr="00126C9E">
        <w:rPr>
          <w:rStyle w:val="af9"/>
          <w:rFonts w:hint="cs"/>
          <w:rtl/>
        </w:rPr>
        <w:t>הגר"ח</w:t>
      </w:r>
      <w:r w:rsidRPr="00126C9E">
        <w:rPr>
          <w:rFonts w:hint="cs"/>
          <w:rtl/>
        </w:rPr>
        <w:t xml:space="preserve"> </w:t>
      </w:r>
      <w:r w:rsidRPr="00885D05">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Ref66171289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Pr>
          <w:rStyle w:val="af7"/>
          <w:rFonts w:eastAsia="Guttman Hodes"/>
          <w:rtl/>
        </w:rPr>
        <w:fldChar w:fldCharType="end"/>
      </w:r>
      <w:r w:rsidRPr="00885D05">
        <w:rPr>
          <w:rStyle w:val="af7"/>
          <w:rFonts w:eastAsia="Guttman Hodes" w:hint="cs"/>
          <w:rtl/>
        </w:rPr>
        <w:t xml:space="preserve"> </w:t>
      </w:r>
      <w:r w:rsidRPr="00126C9E">
        <w:rPr>
          <w:rFonts w:hint="cs"/>
          <w:rtl/>
        </w:rPr>
        <w:t>דאם היו שנים שמעידים על החטיפה, היה חשיב שיש עדים שגזל את ממונו ממש, כיון שלראשון יש חזקה דמה שתח"י</w:t>
      </w:r>
      <w:r>
        <w:rPr>
          <w:rFonts w:hint="cs"/>
          <w:rtl/>
        </w:rPr>
        <w:t xml:space="preserve"> שלו הוא, וכתב </w:t>
      </w:r>
      <w:r w:rsidRPr="00AE7116">
        <w:rPr>
          <w:rStyle w:val="af9"/>
          <w:rFonts w:hint="cs"/>
          <w:rtl/>
        </w:rPr>
        <w:t>בחו"ש הגרב"ב</w:t>
      </w:r>
      <w:r>
        <w:rPr>
          <w:rFonts w:hint="cs"/>
          <w:rtl/>
        </w:rPr>
        <w:t xml:space="preserve"> דלכן כשיש ע"א ואינו יכול להשבע להכחישו, חשיב שיש עדים על גזילה ממש, וודאי דאינו נאמן בשבועה דחטף את שלו, ולכן אמרינן מתוך שאינו יכול לישבע משלם. </w:t>
      </w:r>
      <w:r w:rsidRPr="00936160">
        <w:rPr>
          <w:rStyle w:val="afb"/>
          <w:rFonts w:hint="cs"/>
          <w:rtl/>
        </w:rPr>
        <w:t>[ועי' במה שביאר</w:t>
      </w:r>
      <w:r>
        <w:rPr>
          <w:rStyle w:val="afb"/>
          <w:rFonts w:hint="cs"/>
          <w:rtl/>
        </w:rPr>
        <w:t xml:space="preserve"> כן</w:t>
      </w:r>
      <w:r w:rsidRPr="00936160">
        <w:rPr>
          <w:rStyle w:val="afb"/>
          <w:rFonts w:hint="cs"/>
          <w:rtl/>
        </w:rPr>
        <w:t xml:space="preserve"> </w:t>
      </w:r>
      <w:r w:rsidRPr="00936160">
        <w:rPr>
          <w:rStyle w:val="affa"/>
          <w:rFonts w:hint="cs"/>
          <w:rtl/>
        </w:rPr>
        <w:t>בחי' רבי נחום</w:t>
      </w:r>
      <w:r w:rsidRPr="00936160">
        <w:rPr>
          <w:rStyle w:val="afb"/>
          <w:rFonts w:hint="cs"/>
          <w:rtl/>
        </w:rPr>
        <w:t xml:space="preserve"> </w:t>
      </w:r>
      <w:r w:rsidRPr="00936160">
        <w:rPr>
          <w:rStyle w:val="aff6"/>
          <w:rFonts w:hint="cs"/>
          <w:rtl/>
        </w:rPr>
        <w:t xml:space="preserve">(עי' אות </w:t>
      </w:r>
      <w:r w:rsidRPr="00936160">
        <w:rPr>
          <w:rStyle w:val="aff6"/>
          <w:rtl/>
        </w:rPr>
        <w:fldChar w:fldCharType="begin"/>
      </w:r>
      <w:r w:rsidRPr="00936160">
        <w:rPr>
          <w:rStyle w:val="aff6"/>
          <w:rtl/>
        </w:rPr>
        <w:instrText xml:space="preserve"> </w:instrText>
      </w:r>
      <w:r w:rsidRPr="00936160">
        <w:rPr>
          <w:rStyle w:val="aff6"/>
          <w:rFonts w:hint="cs"/>
        </w:rPr>
        <w:instrText>REF</w:instrText>
      </w:r>
      <w:r w:rsidRPr="00936160">
        <w:rPr>
          <w:rStyle w:val="aff6"/>
          <w:rFonts w:hint="cs"/>
          <w:rtl/>
        </w:rPr>
        <w:instrText xml:space="preserve"> _</w:instrText>
      </w:r>
      <w:r w:rsidRPr="00936160">
        <w:rPr>
          <w:rStyle w:val="aff6"/>
          <w:rFonts w:hint="cs"/>
        </w:rPr>
        <w:instrText>Ref66116829 \r \h</w:instrText>
      </w:r>
      <w:r w:rsidRPr="00936160">
        <w:rPr>
          <w:rStyle w:val="aff6"/>
          <w:rtl/>
        </w:rPr>
        <w:instrText xml:space="preserve"> </w:instrText>
      </w:r>
      <w:r w:rsidRPr="00936160">
        <w:rPr>
          <w:rStyle w:val="aff6"/>
          <w:rtl/>
        </w:rPr>
      </w:r>
      <w:r w:rsidRPr="00936160">
        <w:rPr>
          <w:rStyle w:val="aff6"/>
          <w:rtl/>
        </w:rPr>
        <w:fldChar w:fldCharType="separate"/>
      </w:r>
      <w:r w:rsidR="00265073">
        <w:rPr>
          <w:rStyle w:val="aff6"/>
          <w:cs/>
        </w:rPr>
        <w:t>‎</w:t>
      </w:r>
      <w:r w:rsidR="00265073">
        <w:rPr>
          <w:rStyle w:val="aff6"/>
          <w:rtl/>
        </w:rPr>
        <w:t>קג)</w:t>
      </w:r>
      <w:r w:rsidRPr="00936160">
        <w:rPr>
          <w:rStyle w:val="aff6"/>
          <w:rtl/>
        </w:rPr>
        <w:fldChar w:fldCharType="end"/>
      </w:r>
      <w:r w:rsidRPr="00936160">
        <w:rPr>
          <w:rStyle w:val="aff6"/>
          <w:rFonts w:hint="cs"/>
          <w:rtl/>
        </w:rPr>
        <w:t xml:space="preserve"> </w:t>
      </w:r>
      <w:r w:rsidRPr="00936160">
        <w:rPr>
          <w:rStyle w:val="afb"/>
          <w:rFonts w:hint="cs"/>
          <w:rtl/>
        </w:rPr>
        <w:t xml:space="preserve">בדברי </w:t>
      </w:r>
      <w:r w:rsidRPr="00936160">
        <w:rPr>
          <w:rStyle w:val="affa"/>
          <w:rFonts w:hint="cs"/>
          <w:rtl/>
        </w:rPr>
        <w:t>הקצוה"ח</w:t>
      </w:r>
      <w:r w:rsidRPr="00936160">
        <w:rPr>
          <w:rStyle w:val="afb"/>
          <w:rFonts w:hint="cs"/>
          <w:rtl/>
        </w:rPr>
        <w:t>].</w:t>
      </w:r>
      <w:bookmarkEnd w:id="18352"/>
    </w:p>
    <w:p w:rsidR="00E824D3" w:rsidRPr="00937B6E" w:rsidRDefault="00E824D3" w:rsidP="00E824D3">
      <w:pPr>
        <w:pStyle w:val="a3"/>
        <w:rPr>
          <w:rtl/>
        </w:rPr>
      </w:pPr>
      <w:bookmarkStart w:id="18353" w:name="_Toc66143862"/>
      <w:bookmarkStart w:id="18354" w:name="_Toc66172025"/>
      <w:bookmarkStart w:id="18355" w:name="_Toc66183270"/>
      <w:bookmarkStart w:id="18356" w:name="_Toc66186055"/>
      <w:bookmarkStart w:id="18357" w:name="_Toc66193521"/>
      <w:r>
        <w:rPr>
          <w:rFonts w:hint="cs"/>
          <w:rtl/>
        </w:rPr>
        <w:t>דברי הגרב"ב דבמודה במקצת וטוען דידי חטפי נאמן מדין הפה שאסר ונשבע דדידיה חטף</w:t>
      </w:r>
      <w:bookmarkEnd w:id="18353"/>
      <w:bookmarkEnd w:id="18354"/>
      <w:bookmarkEnd w:id="18355"/>
      <w:bookmarkEnd w:id="18356"/>
      <w:bookmarkEnd w:id="18357"/>
    </w:p>
    <w:p w:rsidR="00E824D3" w:rsidRDefault="00E824D3" w:rsidP="007E4E81">
      <w:pPr>
        <w:pStyle w:val="a0"/>
        <w:rPr>
          <w:rtl/>
        </w:rPr>
      </w:pPr>
      <w:r>
        <w:rPr>
          <w:rFonts w:hint="cs"/>
          <w:rtl/>
        </w:rPr>
        <w:t xml:space="preserve">אבל במודה במקצת שהחוטף מודה שחטף אחת, וטוען אין חטפי ודידי חטפי, כתב </w:t>
      </w:r>
      <w:r w:rsidRPr="00AE7116">
        <w:rPr>
          <w:rStyle w:val="af9"/>
          <w:rFonts w:hint="cs"/>
          <w:rtl/>
        </w:rPr>
        <w:t>בחו"ש הגרב"ב</w:t>
      </w:r>
      <w:r>
        <w:rPr>
          <w:rFonts w:hint="cs"/>
          <w:rtl/>
        </w:rPr>
        <w:t xml:space="preserve"> דאעפ"י שיש עליו חיוב שבועה דאו', מ"מ כיון שאין ע"א אין החיוב שבועה להכחיש את טענת התובע ולהשבע שלא חטף, דהא הוא נאמן מדין הפה שאסר שהיה יכול לטעון לא חטפי, ולכן הוא יכול להשבע את השבועה דאו' בטענת דידי חטפי.</w:t>
      </w:r>
    </w:p>
    <w:p w:rsidR="00E824D3" w:rsidRPr="00570475" w:rsidRDefault="00E824D3" w:rsidP="00E824D3">
      <w:pPr>
        <w:pStyle w:val="1"/>
        <w:rPr>
          <w:rtl/>
        </w:rPr>
      </w:pPr>
      <w:bookmarkStart w:id="18358" w:name="_Toc65839245"/>
      <w:bookmarkStart w:id="18359" w:name="_Toc66048886"/>
      <w:bookmarkStart w:id="18360" w:name="_Toc66055839"/>
      <w:bookmarkStart w:id="18361" w:name="_Toc66085959"/>
      <w:bookmarkStart w:id="18362" w:name="_Toc66110533"/>
      <w:bookmarkStart w:id="18363" w:name="_Toc66123421"/>
      <w:bookmarkStart w:id="18364" w:name="_Toc66143863"/>
      <w:bookmarkStart w:id="18365" w:name="_Toc66172026"/>
      <w:bookmarkStart w:id="18366" w:name="_Toc66183271"/>
      <w:bookmarkStart w:id="18367" w:name="_Toc66186056"/>
      <w:bookmarkStart w:id="18368" w:name="_Toc66193522"/>
      <w:r>
        <w:rPr>
          <w:rFonts w:hint="cs"/>
          <w:rtl/>
        </w:rPr>
        <w:t>חקירת הגרב"ב אי חיוב שבועה הוא חיוב ממון והשבועה פוטרתו</w:t>
      </w:r>
      <w:bookmarkEnd w:id="18358"/>
      <w:bookmarkEnd w:id="18359"/>
      <w:bookmarkEnd w:id="18360"/>
      <w:bookmarkEnd w:id="18361"/>
      <w:bookmarkEnd w:id="18362"/>
      <w:bookmarkEnd w:id="18363"/>
      <w:bookmarkEnd w:id="18364"/>
      <w:bookmarkEnd w:id="18365"/>
      <w:bookmarkEnd w:id="18366"/>
      <w:bookmarkEnd w:id="18367"/>
      <w:bookmarkEnd w:id="18368"/>
    </w:p>
    <w:p w:rsidR="00E824D3" w:rsidRDefault="00E824D3" w:rsidP="00E824D3">
      <w:pPr>
        <w:pStyle w:val="a3"/>
        <w:rPr>
          <w:rtl/>
        </w:rPr>
      </w:pPr>
      <w:bookmarkStart w:id="18369" w:name="_Toc66143864"/>
      <w:bookmarkStart w:id="18370" w:name="_Toc66172027"/>
      <w:bookmarkStart w:id="18371" w:name="_Toc66183272"/>
      <w:bookmarkStart w:id="18372" w:name="_Toc66186057"/>
      <w:bookmarkStart w:id="18373" w:name="_Toc66193523"/>
      <w:r>
        <w:rPr>
          <w:rFonts w:hint="cs"/>
          <w:rtl/>
        </w:rPr>
        <w:t>חקירת הגרב"ב אי ע"א מחייב שבועה ומשלם לסלק שבועה או דמחייב ממון והשבועה פוטרת</w:t>
      </w:r>
      <w:bookmarkEnd w:id="18369"/>
      <w:bookmarkEnd w:id="18370"/>
      <w:bookmarkEnd w:id="18371"/>
      <w:bookmarkEnd w:id="18372"/>
      <w:bookmarkEnd w:id="18373"/>
    </w:p>
    <w:p w:rsidR="00E824D3" w:rsidRDefault="00E824D3" w:rsidP="007E4E81">
      <w:pPr>
        <w:pStyle w:val="a0"/>
        <w:rPr>
          <w:rtl/>
        </w:rPr>
      </w:pPr>
      <w:bookmarkStart w:id="18374" w:name="_Ref66124877"/>
      <w:r>
        <w:rPr>
          <w:rFonts w:hint="cs"/>
          <w:rtl/>
        </w:rPr>
        <w:t xml:space="preserve">כתב </w:t>
      </w:r>
      <w:r w:rsidRPr="00214983">
        <w:rPr>
          <w:rStyle w:val="af9"/>
          <w:rFonts w:hint="cs"/>
          <w:rtl/>
        </w:rPr>
        <w:t xml:space="preserve">בחו"ש הגרב"ב </w:t>
      </w:r>
      <w:r w:rsidRPr="00570475">
        <w:rPr>
          <w:rStyle w:val="af7"/>
          <w:rFonts w:eastAsia="Guttman Hodes" w:hint="cs"/>
          <w:rtl/>
        </w:rPr>
        <w:t>(ח"א סי' י"ג ד"ה והבי')</w:t>
      </w:r>
      <w:r>
        <w:rPr>
          <w:rFonts w:hint="cs"/>
          <w:rtl/>
        </w:rPr>
        <w:t xml:space="preserve"> דיש לחקור בדין מתוך שאינו יכול לישבע משלם, בשבועת ע"א, והצד הא' כתב </w:t>
      </w:r>
      <w:r w:rsidRPr="00570475">
        <w:rPr>
          <w:rStyle w:val="af9"/>
          <w:rFonts w:hint="cs"/>
          <w:rtl/>
        </w:rPr>
        <w:t>בחו"ש הגרב"ב</w:t>
      </w:r>
      <w:r>
        <w:rPr>
          <w:rFonts w:hint="cs"/>
          <w:rtl/>
        </w:rPr>
        <w:t xml:space="preserve"> דהעד קם רק לשבועה, והא דבאינו יכול להשבע משלם, הוא מחמת חיוב השבועה, דכל שיש עליו חיוב שבועה ואינו יכול להשבע, הוא צריך לסלק את החיוב ממנו ע"י תשלומין, והצד הב' כתב </w:t>
      </w:r>
      <w:r w:rsidRPr="00F62882">
        <w:rPr>
          <w:rStyle w:val="af9"/>
          <w:rFonts w:hint="cs"/>
          <w:rtl/>
        </w:rPr>
        <w:t>בחו"ש הגרב"ב</w:t>
      </w:r>
      <w:r>
        <w:rPr>
          <w:rFonts w:hint="cs"/>
          <w:rtl/>
        </w:rPr>
        <w:t xml:space="preserve"> דהע"א קם גם לענין חיוב ממון, והשבועה הוא פטור מתשלומין, דין התורה הוא שחיוב ממון שמתחייב בו ע"י ע"א, אפשר לשלמו ע"י שבועה, וא"כ כל שאינו יכול להשבע, חייב לשלם מעיקר הדין שהע"א מחייבו ממון, </w:t>
      </w:r>
      <w:r w:rsidRPr="00CE4605">
        <w:rPr>
          <w:rFonts w:hint="cs"/>
          <w:rtl/>
        </w:rPr>
        <w:t xml:space="preserve">וכעי"ז חקר </w:t>
      </w:r>
      <w:r w:rsidRPr="00CE4605">
        <w:rPr>
          <w:rStyle w:val="af9"/>
          <w:rFonts w:hint="cs"/>
          <w:rtl/>
        </w:rPr>
        <w:t>הגרנ"ט</w:t>
      </w:r>
      <w:r w:rsidRPr="00CE4605">
        <w:rPr>
          <w:rFonts w:hint="cs"/>
          <w:rtl/>
        </w:rPr>
        <w:t xml:space="preserve"> </w:t>
      </w:r>
      <w:r>
        <w:rPr>
          <w:rStyle w:val="af7"/>
          <w:rFonts w:eastAsia="Guttman Hodes" w:hint="cs"/>
          <w:rtl/>
        </w:rPr>
        <w:t xml:space="preserve">(עי' </w:t>
      </w:r>
      <w:r w:rsidRPr="002F380B">
        <w:rPr>
          <w:rStyle w:val="af7"/>
          <w:rFonts w:eastAsia="Guttman Hodes" w:hint="cs"/>
          <w:rtl/>
        </w:rPr>
        <w:t xml:space="preserve">אות </w:t>
      </w:r>
      <w:r w:rsidRPr="002F380B">
        <w:rPr>
          <w:rStyle w:val="af7"/>
          <w:rFonts w:eastAsia="Guttman Hodes"/>
          <w:rtl/>
        </w:rPr>
        <w:fldChar w:fldCharType="begin"/>
      </w:r>
      <w:r w:rsidRPr="002F380B">
        <w:rPr>
          <w:rStyle w:val="af7"/>
          <w:rFonts w:eastAsia="Guttman Hodes"/>
          <w:rtl/>
        </w:rPr>
        <w:instrText xml:space="preserve"> </w:instrText>
      </w:r>
      <w:r w:rsidRPr="002F380B">
        <w:rPr>
          <w:rStyle w:val="af7"/>
          <w:rFonts w:eastAsia="Guttman Hodes" w:hint="cs"/>
        </w:rPr>
        <w:instrText>REF</w:instrText>
      </w:r>
      <w:r w:rsidRPr="002F380B">
        <w:rPr>
          <w:rStyle w:val="af7"/>
          <w:rFonts w:eastAsia="Guttman Hodes" w:hint="cs"/>
          <w:rtl/>
        </w:rPr>
        <w:instrText xml:space="preserve"> _</w:instrText>
      </w:r>
      <w:r w:rsidRPr="002F380B">
        <w:rPr>
          <w:rStyle w:val="af7"/>
          <w:rFonts w:eastAsia="Guttman Hodes" w:hint="cs"/>
        </w:rPr>
        <w:instrText>Ref66182082 \r \h</w:instrText>
      </w:r>
      <w:r w:rsidRPr="002F380B">
        <w:rPr>
          <w:rStyle w:val="af7"/>
          <w:rFonts w:eastAsia="Guttman Hodes"/>
          <w:rtl/>
        </w:rPr>
        <w:instrText xml:space="preserve"> </w:instrText>
      </w:r>
      <w:r w:rsidRPr="002F380B">
        <w:rPr>
          <w:rStyle w:val="af7"/>
          <w:rFonts w:eastAsia="Guttman Hodes"/>
          <w:rtl/>
        </w:rPr>
      </w:r>
      <w:r w:rsidRPr="002F380B">
        <w:rPr>
          <w:rStyle w:val="af7"/>
          <w:rFonts w:eastAsia="Guttman Hodes"/>
          <w:rtl/>
        </w:rPr>
        <w:fldChar w:fldCharType="separate"/>
      </w:r>
      <w:r w:rsidR="00265073">
        <w:rPr>
          <w:rStyle w:val="af7"/>
          <w:rFonts w:eastAsia="Guttman Hodes"/>
          <w:cs/>
        </w:rPr>
        <w:t>‎</w:t>
      </w:r>
      <w:r w:rsidR="00265073">
        <w:rPr>
          <w:rStyle w:val="af7"/>
          <w:rFonts w:eastAsia="Guttman Hodes"/>
          <w:rtl/>
        </w:rPr>
        <w:t>צז)</w:t>
      </w:r>
      <w:r w:rsidRPr="002F380B">
        <w:rPr>
          <w:rStyle w:val="af7"/>
          <w:rFonts w:eastAsia="Guttman Hodes"/>
          <w:rtl/>
        </w:rPr>
        <w:fldChar w:fldCharType="end"/>
      </w:r>
      <w:r>
        <w:rPr>
          <w:rFonts w:hint="cs"/>
          <w:rtl/>
        </w:rPr>
        <w:t xml:space="preserve">, ועי' במ"ש </w:t>
      </w:r>
      <w:r w:rsidRPr="009E5E72">
        <w:rPr>
          <w:rStyle w:val="af9"/>
          <w:rFonts w:hint="cs"/>
          <w:rtl/>
        </w:rPr>
        <w:t>בחי' הגר"ח מטעלז</w:t>
      </w:r>
      <w:r>
        <w:rPr>
          <w:rFonts w:hint="cs"/>
          <w:rtl/>
        </w:rPr>
        <w:t xml:space="preserve"> </w:t>
      </w:r>
      <w:r w:rsidRPr="009E5E72">
        <w:rPr>
          <w:rStyle w:val="af7"/>
          <w:rFonts w:eastAsia="Guttman Hodes" w:hint="cs"/>
          <w:rtl/>
        </w:rPr>
        <w:t xml:space="preserve">(עי' אות </w:t>
      </w:r>
      <w:r w:rsidRPr="009E5E72">
        <w:rPr>
          <w:rStyle w:val="af7"/>
          <w:rFonts w:eastAsia="Guttman Hodes"/>
          <w:rtl/>
        </w:rPr>
        <w:fldChar w:fldCharType="begin"/>
      </w:r>
      <w:r w:rsidRPr="009E5E72">
        <w:rPr>
          <w:rStyle w:val="af7"/>
          <w:rFonts w:eastAsia="Guttman Hodes"/>
          <w:rtl/>
        </w:rPr>
        <w:instrText xml:space="preserve"> </w:instrText>
      </w:r>
      <w:r w:rsidRPr="009E5E72">
        <w:rPr>
          <w:rStyle w:val="af7"/>
          <w:rFonts w:eastAsia="Guttman Hodes" w:hint="cs"/>
        </w:rPr>
        <w:instrText>REF</w:instrText>
      </w:r>
      <w:r w:rsidRPr="009E5E72">
        <w:rPr>
          <w:rStyle w:val="af7"/>
          <w:rFonts w:eastAsia="Guttman Hodes" w:hint="cs"/>
          <w:rtl/>
        </w:rPr>
        <w:instrText xml:space="preserve"> _</w:instrText>
      </w:r>
      <w:r w:rsidRPr="009E5E72">
        <w:rPr>
          <w:rStyle w:val="af7"/>
          <w:rFonts w:eastAsia="Guttman Hodes" w:hint="cs"/>
        </w:rPr>
        <w:instrText>Ref66124837 \r \h</w:instrText>
      </w:r>
      <w:r w:rsidRPr="009E5E72">
        <w:rPr>
          <w:rStyle w:val="af7"/>
          <w:rFonts w:eastAsia="Guttman Hodes"/>
          <w:rtl/>
        </w:rPr>
        <w:instrText xml:space="preserve"> </w:instrText>
      </w:r>
      <w:r w:rsidRPr="009E5E72">
        <w:rPr>
          <w:rStyle w:val="af7"/>
          <w:rFonts w:eastAsia="Guttman Hodes"/>
          <w:rtl/>
        </w:rPr>
      </w:r>
      <w:r w:rsidRPr="009E5E72">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9E5E72">
        <w:rPr>
          <w:rStyle w:val="af7"/>
          <w:rFonts w:eastAsia="Guttman Hodes"/>
          <w:rtl/>
        </w:rPr>
        <w:fldChar w:fldCharType="end"/>
      </w:r>
      <w:r>
        <w:rPr>
          <w:rFonts w:hint="cs"/>
          <w:rtl/>
        </w:rPr>
        <w:t>.</w:t>
      </w:r>
      <w:bookmarkEnd w:id="18374"/>
    </w:p>
    <w:p w:rsidR="00E824D3" w:rsidRDefault="00E824D3" w:rsidP="00E824D3">
      <w:pPr>
        <w:pStyle w:val="1"/>
        <w:rPr>
          <w:rtl/>
        </w:rPr>
      </w:pPr>
      <w:bookmarkStart w:id="18375" w:name="_Toc66143865"/>
      <w:bookmarkStart w:id="18376" w:name="_Toc66172028"/>
      <w:bookmarkStart w:id="18377" w:name="_Toc66183273"/>
      <w:bookmarkStart w:id="18378" w:name="_Toc66186058"/>
      <w:bookmarkStart w:id="18379" w:name="_Toc66193524"/>
      <w:r>
        <w:rPr>
          <w:rFonts w:hint="cs"/>
          <w:rtl/>
        </w:rPr>
        <w:t>ביאור הברכ"ש דנח' ר"י וריב"ם</w:t>
      </w:r>
      <w:bookmarkEnd w:id="18375"/>
      <w:r>
        <w:rPr>
          <w:rFonts w:hint="cs"/>
          <w:rtl/>
        </w:rPr>
        <w:t xml:space="preserve"> אי שבועה הוא חיוב תשלומין</w:t>
      </w:r>
      <w:bookmarkEnd w:id="18376"/>
      <w:bookmarkEnd w:id="18377"/>
      <w:bookmarkEnd w:id="18378"/>
      <w:bookmarkEnd w:id="18379"/>
    </w:p>
    <w:p w:rsidR="00E824D3" w:rsidRDefault="00E824D3" w:rsidP="00E824D3">
      <w:pPr>
        <w:pStyle w:val="a3"/>
        <w:rPr>
          <w:rtl/>
        </w:rPr>
      </w:pPr>
      <w:bookmarkStart w:id="18380" w:name="_Toc66143866"/>
      <w:bookmarkStart w:id="18381" w:name="_Toc66172029"/>
      <w:bookmarkStart w:id="18382" w:name="_Toc66183274"/>
      <w:bookmarkStart w:id="18383" w:name="_Toc66186059"/>
      <w:bookmarkStart w:id="18384" w:name="_Toc66193525"/>
      <w:r>
        <w:rPr>
          <w:rFonts w:hint="cs"/>
          <w:rtl/>
        </w:rPr>
        <w:t>ביאור הברכ"ש בריב"ם דשבועה היא תשלומין על חיוב הממון והע"א כשנים והוי מיגו במק"ע</w:t>
      </w:r>
      <w:bookmarkEnd w:id="18380"/>
      <w:bookmarkEnd w:id="18381"/>
      <w:bookmarkEnd w:id="18382"/>
      <w:bookmarkEnd w:id="18383"/>
      <w:bookmarkEnd w:id="18384"/>
    </w:p>
    <w:p w:rsidR="00E824D3" w:rsidRDefault="00E824D3" w:rsidP="007E4E81">
      <w:pPr>
        <w:pStyle w:val="a0"/>
        <w:rPr>
          <w:rtl/>
        </w:rPr>
      </w:pPr>
      <w:bookmarkStart w:id="18385" w:name="_Ref66130004"/>
      <w:r>
        <w:rPr>
          <w:rFonts w:hint="cs"/>
          <w:rtl/>
        </w:rPr>
        <w:t xml:space="preserve">וכתב </w:t>
      </w:r>
      <w:r w:rsidRPr="00F4295A">
        <w:rPr>
          <w:rStyle w:val="af9"/>
          <w:rFonts w:hint="cs"/>
          <w:rtl/>
        </w:rPr>
        <w:t>הברכ"ש</w:t>
      </w:r>
      <w:r>
        <w:rPr>
          <w:rFonts w:hint="cs"/>
          <w:rtl/>
        </w:rPr>
        <w:t xml:space="preserve"> </w:t>
      </w:r>
      <w:r w:rsidRPr="00F4295A">
        <w:rPr>
          <w:rStyle w:val="af7"/>
          <w:rFonts w:eastAsia="Guttman Hodes" w:hint="cs"/>
          <w:rtl/>
        </w:rPr>
        <w:t>(סי' ל"</w:t>
      </w:r>
      <w:r>
        <w:rPr>
          <w:rStyle w:val="af7"/>
          <w:rFonts w:eastAsia="Guttman Hodes" w:hint="cs"/>
          <w:rtl/>
        </w:rPr>
        <w:t>ג</w:t>
      </w:r>
      <w:r w:rsidRPr="00F4295A">
        <w:rPr>
          <w:rStyle w:val="af7"/>
          <w:rFonts w:eastAsia="Guttman Hodes" w:hint="cs"/>
          <w:rtl/>
        </w:rPr>
        <w:t xml:space="preserve"> או' א' ד"ה והנה סברת) </w:t>
      </w:r>
      <w:r>
        <w:rPr>
          <w:rStyle w:val="af9"/>
          <w:rFonts w:hint="cs"/>
          <w:rtl/>
        </w:rPr>
        <w:t>ו</w:t>
      </w:r>
      <w:r w:rsidRPr="00570475">
        <w:rPr>
          <w:rStyle w:val="af9"/>
          <w:rFonts w:hint="cs"/>
          <w:rtl/>
        </w:rPr>
        <w:t>בחו"ש הגרב"ב</w:t>
      </w:r>
      <w:r>
        <w:rPr>
          <w:rFonts w:hint="cs"/>
          <w:rtl/>
        </w:rPr>
        <w:t xml:space="preserve"> </w:t>
      </w:r>
      <w:r w:rsidRPr="00570475">
        <w:rPr>
          <w:rStyle w:val="af7"/>
          <w:rFonts w:eastAsia="Guttman Hodes" w:hint="cs"/>
          <w:rtl/>
        </w:rPr>
        <w:t>(ח"א סי' י"ג ד"ה והבי'</w:t>
      </w:r>
      <w:r>
        <w:rPr>
          <w:rStyle w:val="af7"/>
          <w:rFonts w:eastAsia="Guttman Hodes" w:hint="cs"/>
          <w:rtl/>
        </w:rPr>
        <w:t xml:space="preserve">, </w:t>
      </w:r>
      <w:r w:rsidRPr="0036118E">
        <w:rPr>
          <w:rStyle w:val="af7"/>
          <w:rFonts w:eastAsia="Guttman Hodes" w:hint="cs"/>
          <w:rtl/>
        </w:rPr>
        <w:t>ד"ה ע"כ</w:t>
      </w:r>
      <w:r w:rsidRPr="00570475">
        <w:rPr>
          <w:rStyle w:val="af7"/>
          <w:rFonts w:eastAsia="Guttman Hodes" w:hint="cs"/>
          <w:rtl/>
        </w:rPr>
        <w:t>)</w:t>
      </w:r>
      <w:r>
        <w:rPr>
          <w:rFonts w:hint="cs"/>
          <w:rtl/>
        </w:rPr>
        <w:t xml:space="preserve"> דלדעת </w:t>
      </w:r>
      <w:r w:rsidRPr="00573C0B">
        <w:rPr>
          <w:rStyle w:val="af9"/>
          <w:rFonts w:hint="cs"/>
          <w:rtl/>
        </w:rPr>
        <w:t>ה</w:t>
      </w:r>
      <w:r>
        <w:rPr>
          <w:rStyle w:val="af9"/>
          <w:rtl/>
        </w:rPr>
        <w:t>ריב"ם</w:t>
      </w:r>
      <w:r>
        <w:rPr>
          <w:rFonts w:hint="cs"/>
          <w:rtl/>
        </w:rPr>
        <w:t xml:space="preserve"> </w:t>
      </w:r>
      <w:r w:rsidRPr="00246930">
        <w:rPr>
          <w:rStyle w:val="af7"/>
          <w:rFonts w:eastAsia="Guttman Hodes" w:hint="cs"/>
          <w:rtl/>
        </w:rPr>
        <w:t xml:space="preserve">(עי' אות </w:t>
      </w:r>
      <w:r w:rsidRPr="00246930">
        <w:rPr>
          <w:rStyle w:val="af7"/>
          <w:rFonts w:eastAsia="Guttman Hodes"/>
          <w:rtl/>
        </w:rPr>
        <w:fldChar w:fldCharType="begin"/>
      </w:r>
      <w:r w:rsidRPr="00246930">
        <w:rPr>
          <w:rStyle w:val="af7"/>
          <w:rFonts w:eastAsia="Guttman Hodes"/>
          <w:rtl/>
        </w:rPr>
        <w:instrText xml:space="preserve"> </w:instrText>
      </w:r>
      <w:r w:rsidRPr="00246930">
        <w:rPr>
          <w:rStyle w:val="af7"/>
          <w:rFonts w:eastAsia="Guttman Hodes" w:hint="cs"/>
        </w:rPr>
        <w:instrText>REF</w:instrText>
      </w:r>
      <w:r w:rsidRPr="00246930">
        <w:rPr>
          <w:rStyle w:val="af7"/>
          <w:rFonts w:eastAsia="Guttman Hodes" w:hint="cs"/>
          <w:rtl/>
        </w:rPr>
        <w:instrText xml:space="preserve"> _</w:instrText>
      </w:r>
      <w:r w:rsidRPr="00246930">
        <w:rPr>
          <w:rStyle w:val="af7"/>
          <w:rFonts w:eastAsia="Guttman Hodes" w:hint="cs"/>
        </w:rPr>
        <w:instrText>Ref65795831 \r \h</w:instrText>
      </w:r>
      <w:r w:rsidRPr="00246930">
        <w:rPr>
          <w:rStyle w:val="af7"/>
          <w:rFonts w:eastAsia="Guttman Hodes"/>
          <w:rtl/>
        </w:rPr>
        <w:instrText xml:space="preserve"> </w:instrText>
      </w:r>
      <w:r w:rsidRPr="00246930">
        <w:rPr>
          <w:rStyle w:val="af7"/>
          <w:rFonts w:eastAsia="Guttman Hodes"/>
          <w:rtl/>
        </w:rPr>
      </w:r>
      <w:r w:rsidRPr="00246930">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246930">
        <w:rPr>
          <w:rStyle w:val="af7"/>
          <w:rFonts w:eastAsia="Guttman Hodes"/>
          <w:rtl/>
        </w:rPr>
        <w:fldChar w:fldCharType="end"/>
      </w:r>
      <w:r>
        <w:rPr>
          <w:rFonts w:hint="cs"/>
          <w:rtl/>
        </w:rPr>
        <w:t xml:space="preserve"> דס"ל דכיון שחייב בשבועה דאו', צריך או להשבע להכחיש את העד, או לשלם, ולא מהני לו מיגו להפטר, א"כ מבואר דס"ל כהצד הב' דהשבועה היא תשלומין, על חיוב הממון שחייבו הע"א, וכיון שיש גזיה"כ דבטענת לא חטפי הוא מחוייב שבועה, לכן כל </w:t>
      </w:r>
      <w:r w:rsidRPr="00580975">
        <w:rPr>
          <w:rFonts w:hint="cs"/>
          <w:rtl/>
        </w:rPr>
        <w:t xml:space="preserve">שלא נשבע להכחיש את הע"א, ממילא חשיב הע"א כשנים לענין ממון, וכדביאר </w:t>
      </w:r>
      <w:r w:rsidRPr="00580975">
        <w:rPr>
          <w:rStyle w:val="af9"/>
          <w:rFonts w:hint="cs"/>
          <w:rtl/>
        </w:rPr>
        <w:t>הגר"ח</w:t>
      </w:r>
      <w:r w:rsidRPr="00580975">
        <w:rPr>
          <w:rFonts w:hint="cs"/>
          <w:rtl/>
        </w:rPr>
        <w:t xml:space="preserve"> </w:t>
      </w:r>
      <w:r w:rsidRPr="00B37CCA">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Ref66171289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סב)</w:t>
      </w:r>
      <w:r>
        <w:rPr>
          <w:rStyle w:val="af7"/>
          <w:rFonts w:eastAsia="Guttman Hodes"/>
          <w:rtl/>
        </w:rPr>
        <w:fldChar w:fldCharType="end"/>
      </w:r>
      <w:r w:rsidRPr="00B37CCA">
        <w:rPr>
          <w:rStyle w:val="af7"/>
          <w:rFonts w:eastAsia="Guttman Hodes" w:hint="cs"/>
          <w:rtl/>
        </w:rPr>
        <w:t xml:space="preserve"> </w:t>
      </w:r>
      <w:r w:rsidRPr="00580975">
        <w:rPr>
          <w:rFonts w:hint="cs"/>
          <w:rtl/>
        </w:rPr>
        <w:t>דאם היו שנים שמעידים על החטיפה, היה חשיב שיש עדים שגזל את ממונו ממש, כיון שלראשון יש חזקה</w:t>
      </w:r>
      <w:r>
        <w:rPr>
          <w:rFonts w:hint="cs"/>
          <w:rtl/>
        </w:rPr>
        <w:t xml:space="preserve"> דמה שתח"י שלו הוא, וה"ה בע"א כשלא נשבע להכחישו</w:t>
      </w:r>
      <w:r>
        <w:rPr>
          <w:rtl/>
        </w:rPr>
        <w:t>,</w:t>
      </w:r>
      <w:r>
        <w:rPr>
          <w:rFonts w:hint="cs"/>
          <w:rtl/>
        </w:rPr>
        <w:t xml:space="preserve"> וכתב </w:t>
      </w:r>
      <w:r>
        <w:rPr>
          <w:rStyle w:val="af9"/>
          <w:rFonts w:hint="cs"/>
          <w:rtl/>
        </w:rPr>
        <w:t>ב</w:t>
      </w:r>
      <w:r w:rsidRPr="00F4295A">
        <w:rPr>
          <w:rStyle w:val="af9"/>
          <w:rFonts w:hint="cs"/>
          <w:rtl/>
        </w:rPr>
        <w:t>ברכ"ש</w:t>
      </w:r>
      <w:r>
        <w:rPr>
          <w:rFonts w:hint="cs"/>
          <w:rtl/>
        </w:rPr>
        <w:t xml:space="preserve"> </w:t>
      </w:r>
      <w:r>
        <w:rPr>
          <w:rStyle w:val="af9"/>
          <w:rFonts w:hint="cs"/>
          <w:rtl/>
        </w:rPr>
        <w:t>ו</w:t>
      </w:r>
      <w:r w:rsidRPr="00570475">
        <w:rPr>
          <w:rStyle w:val="af9"/>
          <w:rFonts w:hint="cs"/>
          <w:rtl/>
        </w:rPr>
        <w:t>בחו"ש הגרב"ב</w:t>
      </w:r>
      <w:r>
        <w:rPr>
          <w:rFonts w:hint="cs"/>
          <w:rtl/>
        </w:rPr>
        <w:t xml:space="preserve"> דלכן ס"ל</w:t>
      </w:r>
      <w:r w:rsidRPr="00570475">
        <w:rPr>
          <w:rStyle w:val="af9"/>
          <w:rFonts w:hint="cs"/>
          <w:rtl/>
        </w:rPr>
        <w:t xml:space="preserve"> להריב"ם </w:t>
      </w:r>
      <w:r>
        <w:rPr>
          <w:rFonts w:hint="cs"/>
          <w:rtl/>
        </w:rPr>
        <w:t xml:space="preserve">דממילא לא מהני המיגו, דחשיב דגם לענין טענת דידי חטפי יש ב' עדים, והוא כמיגו במקום עדים, וע"ע במה שהוסיף </w:t>
      </w:r>
      <w:r w:rsidRPr="00F4295A">
        <w:rPr>
          <w:rStyle w:val="af9"/>
          <w:rFonts w:hint="cs"/>
          <w:rtl/>
        </w:rPr>
        <w:t>הברכ"ש</w:t>
      </w:r>
      <w:r>
        <w:rPr>
          <w:rFonts w:hint="cs"/>
          <w:rtl/>
        </w:rPr>
        <w:t xml:space="preserve"> </w:t>
      </w:r>
      <w:r w:rsidRPr="008338F5">
        <w:rPr>
          <w:rStyle w:val="af7"/>
          <w:rFonts w:eastAsia="Guttman Hodes" w:hint="cs"/>
          <w:rtl/>
        </w:rPr>
        <w:t>(עי'</w:t>
      </w:r>
      <w:r>
        <w:rPr>
          <w:rStyle w:val="af7"/>
          <w:rFonts w:eastAsia="Guttman Hodes" w:hint="cs"/>
          <w:rtl/>
        </w:rPr>
        <w:t xml:space="preserve">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Ref66132155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צו)</w:t>
      </w:r>
      <w:r>
        <w:rPr>
          <w:rStyle w:val="af7"/>
          <w:rFonts w:eastAsia="Guttman Hodes"/>
          <w:rtl/>
        </w:rPr>
        <w:fldChar w:fldCharType="end"/>
      </w:r>
      <w:r w:rsidRPr="008338F5">
        <w:rPr>
          <w:rStyle w:val="af7"/>
          <w:rFonts w:eastAsia="Guttman Hodes" w:hint="cs"/>
          <w:rtl/>
        </w:rPr>
        <w:t xml:space="preserve"> </w:t>
      </w:r>
      <w:r>
        <w:rPr>
          <w:rFonts w:hint="cs"/>
          <w:rtl/>
        </w:rPr>
        <w:t xml:space="preserve">באר בדעת </w:t>
      </w:r>
      <w:r w:rsidRPr="00573C0B">
        <w:rPr>
          <w:rStyle w:val="af9"/>
          <w:rFonts w:hint="cs"/>
          <w:rtl/>
        </w:rPr>
        <w:t>ה</w:t>
      </w:r>
      <w:r>
        <w:rPr>
          <w:rStyle w:val="af9"/>
          <w:rtl/>
        </w:rPr>
        <w:t>ריב"ם</w:t>
      </w:r>
      <w:r>
        <w:rPr>
          <w:rFonts w:hint="cs"/>
          <w:rtl/>
        </w:rPr>
        <w:t xml:space="preserve">. [ועי' במה שביאר </w:t>
      </w:r>
      <w:r w:rsidRPr="00DA335F">
        <w:rPr>
          <w:rStyle w:val="af9"/>
          <w:rFonts w:hint="cs"/>
          <w:rtl/>
        </w:rPr>
        <w:t>הסמ"ע</w:t>
      </w:r>
      <w:r>
        <w:rPr>
          <w:rFonts w:hint="cs"/>
          <w:rtl/>
        </w:rPr>
        <w:t xml:space="preserve"> </w:t>
      </w:r>
      <w:r w:rsidRPr="00DA335F">
        <w:rPr>
          <w:rStyle w:val="af7"/>
          <w:rFonts w:eastAsia="Guttman Hodes" w:hint="cs"/>
          <w:rtl/>
        </w:rPr>
        <w:t xml:space="preserve">(עי' אות </w:t>
      </w:r>
      <w:r w:rsidRPr="00DA335F">
        <w:rPr>
          <w:rStyle w:val="af7"/>
          <w:rFonts w:eastAsia="Guttman Hodes"/>
          <w:rtl/>
        </w:rPr>
        <w:fldChar w:fldCharType="begin"/>
      </w:r>
      <w:r w:rsidRPr="00DA335F">
        <w:rPr>
          <w:rStyle w:val="af7"/>
          <w:rFonts w:eastAsia="Guttman Hodes"/>
          <w:rtl/>
        </w:rPr>
        <w:instrText xml:space="preserve"> </w:instrText>
      </w:r>
      <w:r w:rsidRPr="00DA335F">
        <w:rPr>
          <w:rStyle w:val="af7"/>
          <w:rFonts w:eastAsia="Guttman Hodes" w:hint="cs"/>
        </w:rPr>
        <w:instrText>REF</w:instrText>
      </w:r>
      <w:r w:rsidRPr="00DA335F">
        <w:rPr>
          <w:rStyle w:val="af7"/>
          <w:rFonts w:eastAsia="Guttman Hodes" w:hint="cs"/>
          <w:rtl/>
        </w:rPr>
        <w:instrText xml:space="preserve"> _</w:instrText>
      </w:r>
      <w:r w:rsidRPr="00DA335F">
        <w:rPr>
          <w:rStyle w:val="af7"/>
          <w:rFonts w:eastAsia="Guttman Hodes" w:hint="cs"/>
        </w:rPr>
        <w:instrText>Ref66130091 \r \h</w:instrText>
      </w:r>
      <w:r w:rsidRPr="00DA335F">
        <w:rPr>
          <w:rStyle w:val="af7"/>
          <w:rFonts w:eastAsia="Guttman Hodes"/>
          <w:rtl/>
        </w:rPr>
        <w:instrText xml:space="preserve"> </w:instrText>
      </w:r>
      <w:r w:rsidRPr="00DA335F">
        <w:rPr>
          <w:rStyle w:val="af7"/>
          <w:rFonts w:eastAsia="Guttman Hodes"/>
          <w:rtl/>
        </w:rPr>
      </w:r>
      <w:r w:rsidRPr="00DA335F">
        <w:rPr>
          <w:rStyle w:val="af7"/>
          <w:rFonts w:eastAsia="Guttman Hodes"/>
          <w:rtl/>
        </w:rPr>
        <w:fldChar w:fldCharType="separate"/>
      </w:r>
      <w:r w:rsidR="00265073">
        <w:rPr>
          <w:rStyle w:val="af7"/>
          <w:rFonts w:eastAsia="Guttman Hodes"/>
          <w:cs/>
        </w:rPr>
        <w:t>‎</w:t>
      </w:r>
      <w:r w:rsidR="00265073">
        <w:rPr>
          <w:rStyle w:val="af7"/>
          <w:rFonts w:eastAsia="Guttman Hodes"/>
          <w:rtl/>
        </w:rPr>
        <w:t>מח)</w:t>
      </w:r>
      <w:r w:rsidRPr="00DA335F">
        <w:rPr>
          <w:rStyle w:val="af7"/>
          <w:rFonts w:eastAsia="Guttman Hodes"/>
          <w:rtl/>
        </w:rPr>
        <w:fldChar w:fldCharType="end"/>
      </w:r>
      <w:r>
        <w:rPr>
          <w:rFonts w:hint="cs"/>
          <w:rtl/>
        </w:rPr>
        <w:t xml:space="preserve"> בדברי </w:t>
      </w:r>
      <w:r w:rsidRPr="00DA335F">
        <w:rPr>
          <w:rStyle w:val="af9"/>
          <w:rFonts w:hint="cs"/>
          <w:rtl/>
        </w:rPr>
        <w:t>הריב"ם</w:t>
      </w:r>
      <w:r>
        <w:rPr>
          <w:rFonts w:hint="cs"/>
          <w:rtl/>
        </w:rPr>
        <w:t>].</w:t>
      </w:r>
      <w:bookmarkEnd w:id="18385"/>
    </w:p>
    <w:p w:rsidR="00E824D3" w:rsidRPr="000868AD" w:rsidRDefault="00E824D3" w:rsidP="00E824D3">
      <w:pPr>
        <w:pStyle w:val="a3"/>
        <w:rPr>
          <w:rtl/>
        </w:rPr>
      </w:pPr>
      <w:bookmarkStart w:id="18386" w:name="_Toc66143867"/>
      <w:bookmarkStart w:id="18387" w:name="_Toc66172030"/>
      <w:bookmarkStart w:id="18388" w:name="_Toc66183275"/>
      <w:bookmarkStart w:id="18389" w:name="_Toc66186060"/>
      <w:bookmarkStart w:id="18390" w:name="_Toc66193526"/>
      <w:r>
        <w:rPr>
          <w:rFonts w:hint="cs"/>
          <w:rtl/>
        </w:rPr>
        <w:lastRenderedPageBreak/>
        <w:t>ביאור הברכ"ש בר"י דע"א מחייב רק שבועה ומהני מיגו אף כשלא נשבע והכא הוא מיגו דהעזה</w:t>
      </w:r>
      <w:bookmarkEnd w:id="18386"/>
      <w:bookmarkEnd w:id="18387"/>
      <w:bookmarkEnd w:id="18388"/>
      <w:bookmarkEnd w:id="18389"/>
      <w:bookmarkEnd w:id="18390"/>
    </w:p>
    <w:p w:rsidR="00E824D3" w:rsidRDefault="00E824D3" w:rsidP="007E4E81">
      <w:pPr>
        <w:pStyle w:val="a0"/>
        <w:rPr>
          <w:rtl/>
        </w:rPr>
      </w:pPr>
      <w:bookmarkStart w:id="18391" w:name="_Ref66130202"/>
      <w:r>
        <w:rPr>
          <w:rFonts w:hint="cs"/>
          <w:rtl/>
        </w:rPr>
        <w:t xml:space="preserve">וכתב </w:t>
      </w:r>
      <w:r>
        <w:rPr>
          <w:rStyle w:val="af9"/>
          <w:rFonts w:hint="cs"/>
          <w:rtl/>
        </w:rPr>
        <w:t>ה</w:t>
      </w:r>
      <w:r w:rsidRPr="00F4295A">
        <w:rPr>
          <w:rStyle w:val="af9"/>
          <w:rFonts w:hint="cs"/>
          <w:rtl/>
        </w:rPr>
        <w:t>ברכ"ש</w:t>
      </w:r>
      <w:r>
        <w:rPr>
          <w:rFonts w:hint="cs"/>
          <w:rtl/>
        </w:rPr>
        <w:t xml:space="preserve"> </w:t>
      </w:r>
      <w:r>
        <w:rPr>
          <w:rStyle w:val="af9"/>
          <w:rFonts w:hint="cs"/>
          <w:rtl/>
        </w:rPr>
        <w:t>ו</w:t>
      </w:r>
      <w:r w:rsidRPr="00570475">
        <w:rPr>
          <w:rStyle w:val="af9"/>
          <w:rFonts w:hint="cs"/>
          <w:rtl/>
        </w:rPr>
        <w:t>בחו"ש הגרב"ב</w:t>
      </w:r>
      <w:r>
        <w:rPr>
          <w:rFonts w:hint="cs"/>
          <w:rtl/>
        </w:rPr>
        <w:t xml:space="preserve"> דלדעת </w:t>
      </w:r>
      <w:r w:rsidRPr="00BE2953">
        <w:rPr>
          <w:rStyle w:val="af9"/>
          <w:rFonts w:hint="cs"/>
          <w:rtl/>
        </w:rPr>
        <w:t>ר"י</w:t>
      </w:r>
      <w:r>
        <w:rPr>
          <w:rFonts w:hint="cs"/>
          <w:rtl/>
        </w:rPr>
        <w:t xml:space="preserve"> </w:t>
      </w:r>
      <w:r w:rsidRPr="00C243C7">
        <w:rPr>
          <w:rStyle w:val="af7"/>
          <w:rFonts w:eastAsia="Guttman Hodes" w:hint="cs"/>
          <w:rtl/>
        </w:rPr>
        <w:t xml:space="preserve">(עי' אות </w:t>
      </w:r>
      <w:r w:rsidRPr="00C243C7">
        <w:rPr>
          <w:rStyle w:val="af7"/>
          <w:rFonts w:eastAsia="Guttman Hodes"/>
          <w:rtl/>
        </w:rPr>
        <w:fldChar w:fldCharType="begin"/>
      </w:r>
      <w:r w:rsidRPr="00C243C7">
        <w:rPr>
          <w:rStyle w:val="af7"/>
          <w:rFonts w:eastAsia="Guttman Hodes"/>
          <w:rtl/>
        </w:rPr>
        <w:instrText xml:space="preserve"> </w:instrText>
      </w:r>
      <w:r w:rsidRPr="00C243C7">
        <w:rPr>
          <w:rStyle w:val="af7"/>
          <w:rFonts w:eastAsia="Guttman Hodes" w:hint="cs"/>
        </w:rPr>
        <w:instrText>REF</w:instrText>
      </w:r>
      <w:r w:rsidRPr="00C243C7">
        <w:rPr>
          <w:rStyle w:val="af7"/>
          <w:rFonts w:eastAsia="Guttman Hodes" w:hint="cs"/>
          <w:rtl/>
        </w:rPr>
        <w:instrText xml:space="preserve"> _</w:instrText>
      </w:r>
      <w:r w:rsidRPr="00C243C7">
        <w:rPr>
          <w:rStyle w:val="af7"/>
          <w:rFonts w:eastAsia="Guttman Hodes" w:hint="cs"/>
        </w:rPr>
        <w:instrText>Ref65785260 \r \h</w:instrText>
      </w:r>
      <w:r w:rsidRPr="00C243C7">
        <w:rPr>
          <w:rStyle w:val="af7"/>
          <w:rFonts w:eastAsia="Guttman Hodes"/>
          <w:rtl/>
        </w:rPr>
        <w:instrText xml:space="preserve"> </w:instrText>
      </w:r>
      <w:r w:rsidRPr="00C243C7">
        <w:rPr>
          <w:rStyle w:val="af7"/>
          <w:rFonts w:eastAsia="Guttman Hodes"/>
          <w:rtl/>
        </w:rPr>
      </w:r>
      <w:r w:rsidRPr="00C243C7">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C243C7">
        <w:rPr>
          <w:rStyle w:val="af7"/>
          <w:rFonts w:eastAsia="Guttman Hodes"/>
          <w:rtl/>
        </w:rPr>
        <w:fldChar w:fldCharType="end"/>
      </w:r>
      <w:r>
        <w:rPr>
          <w:rFonts w:hint="cs"/>
          <w:rtl/>
        </w:rPr>
        <w:t xml:space="preserve"> דהא דאינו נאמן במיגו דלא חטפי, הוא כיון דהוא מיגו דהעזה להכחיש את העד, א"כ מבואר דס"ל</w:t>
      </w:r>
      <w:r w:rsidRPr="00DC3E54">
        <w:rPr>
          <w:rFonts w:hint="cs"/>
          <w:rtl/>
        </w:rPr>
        <w:t xml:space="preserve"> </w:t>
      </w:r>
      <w:r>
        <w:rPr>
          <w:rFonts w:hint="cs"/>
          <w:rtl/>
        </w:rPr>
        <w:t xml:space="preserve">כהצד הא' דהעד קם רק לשבועה, אלא דבאינו יכול להשבע, צריך לסלק את החיוב ממנו ע"י תשלומין, ולכן ס"ל </w:t>
      </w:r>
      <w:r w:rsidRPr="004E3D2F">
        <w:rPr>
          <w:rStyle w:val="af9"/>
          <w:rFonts w:hint="cs"/>
          <w:rtl/>
        </w:rPr>
        <w:t>לר"י</w:t>
      </w:r>
      <w:r>
        <w:rPr>
          <w:rFonts w:hint="cs"/>
          <w:rtl/>
        </w:rPr>
        <w:t xml:space="preserve"> דלא חשיב מיגו במקום עדים, </w:t>
      </w:r>
      <w:r w:rsidRPr="00AE0D0E">
        <w:rPr>
          <w:rStyle w:val="afb"/>
          <w:rFonts w:hint="cs"/>
          <w:rtl/>
        </w:rPr>
        <w:t xml:space="preserve">[ודלא כדעת </w:t>
      </w:r>
      <w:r w:rsidRPr="00AE0D0E">
        <w:rPr>
          <w:rStyle w:val="affa"/>
          <w:rFonts w:hint="cs"/>
          <w:rtl/>
        </w:rPr>
        <w:t>ה</w:t>
      </w:r>
      <w:r w:rsidRPr="00AE0D0E">
        <w:rPr>
          <w:rStyle w:val="affa"/>
          <w:rtl/>
        </w:rPr>
        <w:t>ריב"ם</w:t>
      </w:r>
      <w:r w:rsidRPr="00AE0D0E">
        <w:rPr>
          <w:rStyle w:val="afb"/>
          <w:rFonts w:hint="cs"/>
          <w:rtl/>
        </w:rPr>
        <w:t xml:space="preserve"> </w:t>
      </w:r>
      <w:r w:rsidRPr="00AE0D0E">
        <w:rPr>
          <w:rStyle w:val="aff6"/>
          <w:rFonts w:hint="cs"/>
          <w:rtl/>
        </w:rPr>
        <w:t xml:space="preserve">(עי' אות </w:t>
      </w:r>
      <w:r w:rsidRPr="00AE0D0E">
        <w:rPr>
          <w:rStyle w:val="aff6"/>
          <w:rtl/>
        </w:rPr>
        <w:fldChar w:fldCharType="begin"/>
      </w:r>
      <w:r w:rsidRPr="00AE0D0E">
        <w:rPr>
          <w:rStyle w:val="aff6"/>
          <w:rtl/>
        </w:rPr>
        <w:instrText xml:space="preserve"> </w:instrText>
      </w:r>
      <w:r w:rsidRPr="00AE0D0E">
        <w:rPr>
          <w:rStyle w:val="aff6"/>
          <w:rFonts w:hint="cs"/>
        </w:rPr>
        <w:instrText>REF</w:instrText>
      </w:r>
      <w:r w:rsidRPr="00AE0D0E">
        <w:rPr>
          <w:rStyle w:val="aff6"/>
          <w:rFonts w:hint="cs"/>
          <w:rtl/>
        </w:rPr>
        <w:instrText xml:space="preserve"> _</w:instrText>
      </w:r>
      <w:r w:rsidRPr="00AE0D0E">
        <w:rPr>
          <w:rStyle w:val="aff6"/>
          <w:rFonts w:hint="cs"/>
        </w:rPr>
        <w:instrText>Ref65795831 \r \h</w:instrText>
      </w:r>
      <w:r w:rsidRPr="00AE0D0E">
        <w:rPr>
          <w:rStyle w:val="aff6"/>
          <w:rtl/>
        </w:rPr>
        <w:instrText xml:space="preserve"> </w:instrText>
      </w:r>
      <w:r w:rsidRPr="00AE0D0E">
        <w:rPr>
          <w:rStyle w:val="aff6"/>
          <w:rtl/>
        </w:rPr>
      </w:r>
      <w:r w:rsidRPr="00AE0D0E">
        <w:rPr>
          <w:rStyle w:val="aff6"/>
          <w:rtl/>
        </w:rPr>
        <w:fldChar w:fldCharType="separate"/>
      </w:r>
      <w:r w:rsidR="00265073">
        <w:rPr>
          <w:rStyle w:val="aff6"/>
          <w:cs/>
        </w:rPr>
        <w:t>‎</w:t>
      </w:r>
      <w:r w:rsidR="00265073">
        <w:rPr>
          <w:rStyle w:val="aff6"/>
          <w:rtl/>
        </w:rPr>
        <w:t>לה)</w:t>
      </w:r>
      <w:r w:rsidRPr="00AE0D0E">
        <w:rPr>
          <w:rStyle w:val="aff6"/>
          <w:rtl/>
        </w:rPr>
        <w:fldChar w:fldCharType="end"/>
      </w:r>
      <w:r w:rsidRPr="00AE0D0E">
        <w:rPr>
          <w:rStyle w:val="afb"/>
          <w:rFonts w:hint="cs"/>
          <w:rtl/>
        </w:rPr>
        <w:t xml:space="preserve"> דהע"א חשיב כשנים, כל שלא נשבע להכחישו],</w:t>
      </w:r>
      <w:r>
        <w:rPr>
          <w:rFonts w:hint="cs"/>
          <w:rtl/>
        </w:rPr>
        <w:t xml:space="preserve"> וא"כ כל שהוא יכול להשבע בטענת דידי חטפי, ולהיות נאמן במיגו דהיה נשבע בטענת לא חטפי, הוא צריך להיות נאמן, ורק כיון שהוא מיגו דהעזה דהע"א מחייבו שבועה, אינו נאמן, וע"ע במה שהוסיף </w:t>
      </w:r>
      <w:r w:rsidRPr="00F4295A">
        <w:rPr>
          <w:rStyle w:val="af9"/>
          <w:rFonts w:hint="cs"/>
          <w:rtl/>
        </w:rPr>
        <w:t>הברכ"ש</w:t>
      </w:r>
      <w:r>
        <w:rPr>
          <w:rFonts w:hint="cs"/>
          <w:rtl/>
        </w:rPr>
        <w:t xml:space="preserve"> </w:t>
      </w:r>
      <w:r w:rsidRPr="008338F5">
        <w:rPr>
          <w:rStyle w:val="af7"/>
          <w:rFonts w:eastAsia="Guttman Hodes" w:hint="cs"/>
          <w:rtl/>
        </w:rPr>
        <w:t xml:space="preserve">(עי' אות </w:t>
      </w:r>
      <w:r w:rsidRPr="008338F5">
        <w:rPr>
          <w:rStyle w:val="af7"/>
          <w:rFonts w:eastAsia="Guttman Hodes"/>
          <w:rtl/>
        </w:rPr>
        <w:fldChar w:fldCharType="begin"/>
      </w:r>
      <w:r w:rsidRPr="008338F5">
        <w:rPr>
          <w:rStyle w:val="af7"/>
          <w:rFonts w:eastAsia="Guttman Hodes"/>
          <w:rtl/>
        </w:rPr>
        <w:instrText xml:space="preserve"> </w:instrText>
      </w:r>
      <w:r w:rsidRPr="008338F5">
        <w:rPr>
          <w:rStyle w:val="af7"/>
          <w:rFonts w:eastAsia="Guttman Hodes" w:hint="cs"/>
        </w:rPr>
        <w:instrText>REF</w:instrText>
      </w:r>
      <w:r w:rsidRPr="008338F5">
        <w:rPr>
          <w:rStyle w:val="af7"/>
          <w:rFonts w:eastAsia="Guttman Hodes" w:hint="cs"/>
          <w:rtl/>
        </w:rPr>
        <w:instrText xml:space="preserve"> _</w:instrText>
      </w:r>
      <w:r w:rsidRPr="008338F5">
        <w:rPr>
          <w:rStyle w:val="af7"/>
          <w:rFonts w:eastAsia="Guttman Hodes" w:hint="cs"/>
        </w:rPr>
        <w:instrText>Ref66132118 \r \h</w:instrText>
      </w:r>
      <w:r w:rsidRPr="008338F5">
        <w:rPr>
          <w:rStyle w:val="af7"/>
          <w:rFonts w:eastAsia="Guttman Hodes"/>
          <w:rtl/>
        </w:rPr>
        <w:instrText xml:space="preserve"> </w:instrText>
      </w:r>
      <w:r w:rsidRPr="008338F5">
        <w:rPr>
          <w:rStyle w:val="af7"/>
          <w:rFonts w:eastAsia="Guttman Hodes"/>
          <w:rtl/>
        </w:rPr>
      </w:r>
      <w:r w:rsidRPr="008338F5">
        <w:rPr>
          <w:rStyle w:val="af7"/>
          <w:rFonts w:eastAsia="Guttman Hodes"/>
          <w:rtl/>
        </w:rPr>
        <w:fldChar w:fldCharType="separate"/>
      </w:r>
      <w:r w:rsidR="00265073">
        <w:rPr>
          <w:rStyle w:val="af7"/>
          <w:rFonts w:eastAsia="Guttman Hodes"/>
          <w:cs/>
        </w:rPr>
        <w:t>‎</w:t>
      </w:r>
      <w:r w:rsidR="00265073">
        <w:rPr>
          <w:rStyle w:val="af7"/>
          <w:rFonts w:eastAsia="Guttman Hodes"/>
          <w:rtl/>
        </w:rPr>
        <w:t>צה)</w:t>
      </w:r>
      <w:r w:rsidRPr="008338F5">
        <w:rPr>
          <w:rStyle w:val="af7"/>
          <w:rFonts w:eastAsia="Guttman Hodes"/>
          <w:rtl/>
        </w:rPr>
        <w:fldChar w:fldCharType="end"/>
      </w:r>
      <w:r>
        <w:rPr>
          <w:rFonts w:hint="cs"/>
          <w:rtl/>
        </w:rPr>
        <w:t xml:space="preserve"> לבאר בדעת </w:t>
      </w:r>
      <w:r>
        <w:rPr>
          <w:rStyle w:val="af9"/>
          <w:rFonts w:hint="cs"/>
          <w:rtl/>
        </w:rPr>
        <w:t>ר</w:t>
      </w:r>
      <w:r>
        <w:rPr>
          <w:rStyle w:val="af9"/>
          <w:rtl/>
        </w:rPr>
        <w:t>"</w:t>
      </w:r>
      <w:r>
        <w:rPr>
          <w:rFonts w:hint="cs"/>
          <w:rtl/>
        </w:rPr>
        <w:t>י.</w:t>
      </w:r>
      <w:bookmarkEnd w:id="18391"/>
    </w:p>
    <w:p w:rsidR="00E824D3" w:rsidRPr="00C72548" w:rsidRDefault="00E824D3" w:rsidP="00E824D3">
      <w:pPr>
        <w:pStyle w:val="a3"/>
        <w:rPr>
          <w:rtl/>
        </w:rPr>
      </w:pPr>
      <w:bookmarkStart w:id="18392" w:name="_Toc66143868"/>
      <w:bookmarkStart w:id="18393" w:name="_Toc66172031"/>
      <w:bookmarkStart w:id="18394" w:name="_Toc66183276"/>
      <w:bookmarkStart w:id="18395" w:name="_Toc66186061"/>
      <w:bookmarkStart w:id="18396" w:name="_Toc66193527"/>
      <w:bookmarkEnd w:id="18341"/>
      <w:bookmarkEnd w:id="18342"/>
      <w:bookmarkEnd w:id="18343"/>
      <w:bookmarkEnd w:id="18344"/>
      <w:bookmarkEnd w:id="18345"/>
      <w:bookmarkEnd w:id="18346"/>
      <w:r>
        <w:rPr>
          <w:rFonts w:hint="cs"/>
          <w:rtl/>
        </w:rPr>
        <w:t>ביאור הגרב"ב דלרמב"ן רק בע"א חל חיוב ממון כשנים ולרבינו יונה בכל שבועה חל חיוב ממון</w:t>
      </w:r>
      <w:bookmarkEnd w:id="18392"/>
      <w:bookmarkEnd w:id="18393"/>
      <w:bookmarkEnd w:id="18394"/>
      <w:bookmarkEnd w:id="18395"/>
      <w:bookmarkEnd w:id="18396"/>
    </w:p>
    <w:p w:rsidR="00E824D3" w:rsidRDefault="00E824D3" w:rsidP="007E4E81">
      <w:pPr>
        <w:pStyle w:val="a0"/>
        <w:rPr>
          <w:rtl/>
        </w:rPr>
      </w:pPr>
      <w:bookmarkStart w:id="18397" w:name="_Ref65837002"/>
      <w:r>
        <w:rPr>
          <w:rFonts w:hint="cs"/>
          <w:rtl/>
        </w:rPr>
        <w:t xml:space="preserve">והביא </w:t>
      </w:r>
      <w:r w:rsidRPr="0010377A">
        <w:rPr>
          <w:rStyle w:val="af9"/>
          <w:rFonts w:hint="cs"/>
          <w:rtl/>
        </w:rPr>
        <w:t xml:space="preserve">בחו"ש הגרב"ב </w:t>
      </w:r>
      <w:r w:rsidRPr="00570475">
        <w:rPr>
          <w:rStyle w:val="af7"/>
          <w:rFonts w:eastAsia="Guttman Hodes" w:hint="cs"/>
          <w:rtl/>
        </w:rPr>
        <w:t>(ח"א סי' י"ג ד"ה והבי')</w:t>
      </w:r>
      <w:r>
        <w:rPr>
          <w:rFonts w:hint="cs"/>
          <w:rtl/>
        </w:rPr>
        <w:t xml:space="preserve"> את דברי </w:t>
      </w:r>
      <w:r w:rsidRPr="006B639A">
        <w:rPr>
          <w:rStyle w:val="af9"/>
          <w:rFonts w:hint="cs"/>
          <w:rtl/>
        </w:rPr>
        <w:t>האמרי</w:t>
      </w:r>
      <w:r>
        <w:rPr>
          <w:rFonts w:hint="cs"/>
          <w:rtl/>
        </w:rPr>
        <w:t xml:space="preserve"> </w:t>
      </w:r>
      <w:r w:rsidRPr="006B639A">
        <w:rPr>
          <w:rStyle w:val="af9"/>
          <w:rFonts w:hint="cs"/>
          <w:rtl/>
        </w:rPr>
        <w:t>ברוך</w:t>
      </w:r>
      <w:r>
        <w:rPr>
          <w:rFonts w:hint="cs"/>
          <w:rtl/>
        </w:rPr>
        <w:t xml:space="preserve"> </w:t>
      </w:r>
      <w:r w:rsidRPr="0010377A">
        <w:rPr>
          <w:rStyle w:val="af7"/>
          <w:rFonts w:eastAsia="Guttman Hodes" w:hint="cs"/>
          <w:rtl/>
        </w:rPr>
        <w:t xml:space="preserve">(עי' אות </w:t>
      </w:r>
      <w:r w:rsidRPr="0010377A">
        <w:rPr>
          <w:rStyle w:val="af7"/>
          <w:rFonts w:eastAsia="Guttman Hodes"/>
          <w:rtl/>
        </w:rPr>
        <w:fldChar w:fldCharType="begin"/>
      </w:r>
      <w:r w:rsidRPr="0010377A">
        <w:rPr>
          <w:rStyle w:val="af7"/>
          <w:rFonts w:eastAsia="Guttman Hodes"/>
          <w:rtl/>
        </w:rPr>
        <w:instrText xml:space="preserve"> </w:instrText>
      </w:r>
      <w:r w:rsidRPr="0010377A">
        <w:rPr>
          <w:rStyle w:val="af7"/>
          <w:rFonts w:eastAsia="Guttman Hodes" w:hint="cs"/>
        </w:rPr>
        <w:instrText>REF</w:instrText>
      </w:r>
      <w:r w:rsidRPr="0010377A">
        <w:rPr>
          <w:rStyle w:val="af7"/>
          <w:rFonts w:eastAsia="Guttman Hodes" w:hint="cs"/>
          <w:rtl/>
        </w:rPr>
        <w:instrText xml:space="preserve"> _</w:instrText>
      </w:r>
      <w:r w:rsidRPr="0010377A">
        <w:rPr>
          <w:rStyle w:val="af7"/>
          <w:rFonts w:eastAsia="Guttman Hodes" w:hint="cs"/>
        </w:rPr>
        <w:instrText>Ref65836884 \r \h</w:instrText>
      </w:r>
      <w:r w:rsidRPr="0010377A">
        <w:rPr>
          <w:rStyle w:val="af7"/>
          <w:rFonts w:eastAsia="Guttman Hodes"/>
          <w:rtl/>
        </w:rPr>
        <w:instrText xml:space="preserve"> </w:instrText>
      </w:r>
      <w:r w:rsidRPr="0010377A">
        <w:rPr>
          <w:rStyle w:val="af7"/>
          <w:rFonts w:eastAsia="Guttman Hodes"/>
          <w:rtl/>
        </w:rPr>
      </w:r>
      <w:r w:rsidRPr="0010377A">
        <w:rPr>
          <w:rStyle w:val="af7"/>
          <w:rFonts w:eastAsia="Guttman Hodes"/>
          <w:rtl/>
        </w:rPr>
        <w:fldChar w:fldCharType="separate"/>
      </w:r>
      <w:r w:rsidR="00265073">
        <w:rPr>
          <w:rStyle w:val="af7"/>
          <w:rFonts w:eastAsia="Guttman Hodes"/>
          <w:cs/>
        </w:rPr>
        <w:t>‎</w:t>
      </w:r>
      <w:r w:rsidR="00265073">
        <w:rPr>
          <w:rStyle w:val="af7"/>
          <w:rFonts w:eastAsia="Guttman Hodes"/>
          <w:rtl/>
        </w:rPr>
        <w:t>נב)</w:t>
      </w:r>
      <w:r w:rsidRPr="0010377A">
        <w:rPr>
          <w:rStyle w:val="af7"/>
          <w:rFonts w:eastAsia="Guttman Hodes"/>
          <w:rtl/>
        </w:rPr>
        <w:fldChar w:fldCharType="end"/>
      </w:r>
      <w:r>
        <w:rPr>
          <w:rFonts w:hint="cs"/>
          <w:rtl/>
        </w:rPr>
        <w:t xml:space="preserve"> דכתב דלביאור </w:t>
      </w:r>
      <w:r>
        <w:rPr>
          <w:rStyle w:val="af9"/>
          <w:rFonts w:hint="cs"/>
          <w:rtl/>
        </w:rPr>
        <w:t>הרמב</w:t>
      </w:r>
      <w:r>
        <w:rPr>
          <w:rStyle w:val="af9"/>
          <w:rtl/>
        </w:rPr>
        <w:t>"</w:t>
      </w:r>
      <w:r>
        <w:rPr>
          <w:rStyle w:val="af9"/>
          <w:rFonts w:hint="cs"/>
          <w:rtl/>
        </w:rPr>
        <w:t>ן</w:t>
      </w:r>
      <w:r>
        <w:rPr>
          <w:rFonts w:hint="cs"/>
          <w:rtl/>
        </w:rPr>
        <w:t xml:space="preserve"> </w:t>
      </w:r>
      <w:r w:rsidRPr="00514113">
        <w:rPr>
          <w:rStyle w:val="af7"/>
          <w:rFonts w:eastAsia="Guttman Hodes" w:hint="cs"/>
          <w:rtl/>
        </w:rPr>
        <w:t xml:space="preserve">(עי' אות </w:t>
      </w:r>
      <w:r w:rsidRPr="00514113">
        <w:rPr>
          <w:rStyle w:val="af7"/>
          <w:rFonts w:eastAsia="Guttman Hodes"/>
          <w:rtl/>
        </w:rPr>
        <w:fldChar w:fldCharType="begin"/>
      </w:r>
      <w:r w:rsidRPr="00514113">
        <w:rPr>
          <w:rStyle w:val="af7"/>
          <w:rFonts w:eastAsia="Guttman Hodes"/>
          <w:rtl/>
        </w:rPr>
        <w:instrText xml:space="preserve"> </w:instrText>
      </w:r>
      <w:r w:rsidRPr="00514113">
        <w:rPr>
          <w:rStyle w:val="af7"/>
          <w:rFonts w:eastAsia="Guttman Hodes" w:hint="cs"/>
        </w:rPr>
        <w:instrText>REF</w:instrText>
      </w:r>
      <w:r w:rsidRPr="00514113">
        <w:rPr>
          <w:rStyle w:val="af7"/>
          <w:rFonts w:eastAsia="Guttman Hodes" w:hint="cs"/>
          <w:rtl/>
        </w:rPr>
        <w:instrText xml:space="preserve"> _</w:instrText>
      </w:r>
      <w:r w:rsidRPr="00514113">
        <w:rPr>
          <w:rStyle w:val="af7"/>
          <w:rFonts w:eastAsia="Guttman Hodes" w:hint="cs"/>
        </w:rPr>
        <w:instrText>Ref66054904 \r \h</w:instrText>
      </w:r>
      <w:r w:rsidRPr="00514113">
        <w:rPr>
          <w:rStyle w:val="af7"/>
          <w:rFonts w:eastAsia="Guttman Hodes"/>
          <w:rtl/>
        </w:rPr>
        <w:instrText xml:space="preserve"> </w:instrText>
      </w:r>
      <w:r w:rsidRPr="00514113">
        <w:rPr>
          <w:rStyle w:val="af7"/>
          <w:rFonts w:eastAsia="Guttman Hodes"/>
          <w:rtl/>
        </w:rPr>
      </w:r>
      <w:r w:rsidRPr="00514113">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514113">
        <w:rPr>
          <w:rStyle w:val="af7"/>
          <w:rFonts w:eastAsia="Guttman Hodes"/>
          <w:rtl/>
        </w:rPr>
        <w:fldChar w:fldCharType="end"/>
      </w:r>
      <w:r>
        <w:rPr>
          <w:rFonts w:hint="cs"/>
          <w:rtl/>
        </w:rPr>
        <w:t xml:space="preserve"> בדעת </w:t>
      </w:r>
      <w:r w:rsidRPr="009C0914">
        <w:rPr>
          <w:rStyle w:val="af9"/>
          <w:rFonts w:hint="cs"/>
          <w:rtl/>
        </w:rPr>
        <w:t>הריב"ם</w:t>
      </w:r>
      <w:r>
        <w:rPr>
          <w:rFonts w:hint="cs"/>
          <w:rtl/>
        </w:rPr>
        <w:t xml:space="preserve"> </w:t>
      </w:r>
      <w:r w:rsidRPr="00246930">
        <w:rPr>
          <w:rStyle w:val="af7"/>
          <w:rFonts w:eastAsia="Guttman Hodes" w:hint="cs"/>
          <w:rtl/>
        </w:rPr>
        <w:t xml:space="preserve">(עי' אות </w:t>
      </w:r>
      <w:r w:rsidRPr="00246930">
        <w:rPr>
          <w:rStyle w:val="af7"/>
          <w:rFonts w:eastAsia="Guttman Hodes"/>
          <w:rtl/>
        </w:rPr>
        <w:fldChar w:fldCharType="begin"/>
      </w:r>
      <w:r w:rsidRPr="00246930">
        <w:rPr>
          <w:rStyle w:val="af7"/>
          <w:rFonts w:eastAsia="Guttman Hodes"/>
          <w:rtl/>
        </w:rPr>
        <w:instrText xml:space="preserve"> </w:instrText>
      </w:r>
      <w:r w:rsidRPr="00246930">
        <w:rPr>
          <w:rStyle w:val="af7"/>
          <w:rFonts w:eastAsia="Guttman Hodes" w:hint="cs"/>
        </w:rPr>
        <w:instrText>REF</w:instrText>
      </w:r>
      <w:r w:rsidRPr="00246930">
        <w:rPr>
          <w:rStyle w:val="af7"/>
          <w:rFonts w:eastAsia="Guttman Hodes" w:hint="cs"/>
          <w:rtl/>
        </w:rPr>
        <w:instrText xml:space="preserve"> _</w:instrText>
      </w:r>
      <w:r w:rsidRPr="00246930">
        <w:rPr>
          <w:rStyle w:val="af7"/>
          <w:rFonts w:eastAsia="Guttman Hodes" w:hint="cs"/>
        </w:rPr>
        <w:instrText>Ref65795831 \r \h</w:instrText>
      </w:r>
      <w:r w:rsidRPr="00246930">
        <w:rPr>
          <w:rStyle w:val="af7"/>
          <w:rFonts w:eastAsia="Guttman Hodes"/>
          <w:rtl/>
        </w:rPr>
        <w:instrText xml:space="preserve"> </w:instrText>
      </w:r>
      <w:r w:rsidRPr="00246930">
        <w:rPr>
          <w:rStyle w:val="af7"/>
          <w:rFonts w:eastAsia="Guttman Hodes"/>
          <w:rtl/>
        </w:rPr>
      </w:r>
      <w:r w:rsidRPr="00246930">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246930">
        <w:rPr>
          <w:rStyle w:val="af7"/>
          <w:rFonts w:eastAsia="Guttman Hodes"/>
          <w:rtl/>
        </w:rPr>
        <w:fldChar w:fldCharType="end"/>
      </w:r>
      <w:r>
        <w:rPr>
          <w:rFonts w:hint="cs"/>
          <w:rtl/>
        </w:rPr>
        <w:t xml:space="preserve"> הא דאינו נאמן במיגו כשיש עליו חיוב שבועה הוא רק בשבועת ע"א דע"א כשנים, ולביאור </w:t>
      </w:r>
      <w:r w:rsidRPr="009C0914">
        <w:rPr>
          <w:rStyle w:val="af9"/>
          <w:rFonts w:hint="cs"/>
          <w:rtl/>
        </w:rPr>
        <w:t>רבינו יונה והרא"ש</w:t>
      </w:r>
      <w:r>
        <w:rPr>
          <w:rFonts w:hint="cs"/>
          <w:rtl/>
        </w:rPr>
        <w:t xml:space="preserve"> </w:t>
      </w:r>
      <w:r w:rsidRPr="00514113">
        <w:rPr>
          <w:rStyle w:val="af7"/>
          <w:rFonts w:eastAsia="Guttman Hodes" w:hint="cs"/>
          <w:rtl/>
        </w:rPr>
        <w:t xml:space="preserve">(עי' אות </w:t>
      </w:r>
      <w:r w:rsidRPr="00514113">
        <w:rPr>
          <w:rStyle w:val="af7"/>
          <w:rFonts w:eastAsia="Guttman Hodes"/>
          <w:rtl/>
        </w:rPr>
        <w:fldChar w:fldCharType="begin"/>
      </w:r>
      <w:r w:rsidRPr="00514113">
        <w:rPr>
          <w:rStyle w:val="af7"/>
          <w:rFonts w:eastAsia="Guttman Hodes"/>
          <w:rtl/>
        </w:rPr>
        <w:instrText xml:space="preserve"> </w:instrText>
      </w:r>
      <w:r w:rsidRPr="00514113">
        <w:rPr>
          <w:rStyle w:val="af7"/>
          <w:rFonts w:eastAsia="Guttman Hodes" w:hint="cs"/>
        </w:rPr>
        <w:instrText>REF</w:instrText>
      </w:r>
      <w:r w:rsidRPr="00514113">
        <w:rPr>
          <w:rStyle w:val="af7"/>
          <w:rFonts w:eastAsia="Guttman Hodes" w:hint="cs"/>
          <w:rtl/>
        </w:rPr>
        <w:instrText xml:space="preserve"> _</w:instrText>
      </w:r>
      <w:r w:rsidRPr="00514113">
        <w:rPr>
          <w:rStyle w:val="af7"/>
          <w:rFonts w:eastAsia="Guttman Hodes" w:hint="cs"/>
        </w:rPr>
        <w:instrText>Ref66125333 \r \h</w:instrText>
      </w:r>
      <w:r w:rsidRPr="00514113">
        <w:rPr>
          <w:rStyle w:val="af7"/>
          <w:rFonts w:eastAsia="Guttman Hodes"/>
          <w:rtl/>
        </w:rPr>
        <w:instrText xml:space="preserve"> </w:instrText>
      </w:r>
      <w:r w:rsidRPr="00514113">
        <w:rPr>
          <w:rStyle w:val="af7"/>
          <w:rFonts w:eastAsia="Guttman Hodes"/>
          <w:rtl/>
        </w:rPr>
      </w:r>
      <w:r w:rsidRPr="00514113">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514113">
        <w:rPr>
          <w:rStyle w:val="af7"/>
          <w:rFonts w:eastAsia="Guttman Hodes"/>
          <w:rtl/>
        </w:rPr>
        <w:fldChar w:fldCharType="end"/>
      </w:r>
      <w:r>
        <w:rPr>
          <w:rFonts w:hint="cs"/>
          <w:rtl/>
        </w:rPr>
        <w:t xml:space="preserve"> בדעת </w:t>
      </w:r>
      <w:r w:rsidRPr="009C0914">
        <w:rPr>
          <w:rStyle w:val="af9"/>
          <w:rFonts w:hint="cs"/>
          <w:rtl/>
        </w:rPr>
        <w:t>הריב"ם</w:t>
      </w:r>
      <w:r>
        <w:rPr>
          <w:rFonts w:hint="cs"/>
          <w:rtl/>
        </w:rPr>
        <w:t xml:space="preserve"> כשיש עליו חיוב שבועה אינו נאמן במיגו,</w:t>
      </w:r>
      <w:r w:rsidRPr="00AD7EC7">
        <w:rPr>
          <w:rFonts w:hint="cs"/>
          <w:rtl/>
        </w:rPr>
        <w:t xml:space="preserve"> </w:t>
      </w:r>
      <w:r>
        <w:rPr>
          <w:rFonts w:hint="cs"/>
          <w:rtl/>
        </w:rPr>
        <w:t xml:space="preserve">בכל חיוב שבועה ולא רק בשבועת ע"א, וכתב </w:t>
      </w:r>
      <w:r w:rsidRPr="0010377A">
        <w:rPr>
          <w:rStyle w:val="af9"/>
          <w:rFonts w:hint="cs"/>
          <w:rtl/>
        </w:rPr>
        <w:t xml:space="preserve">בחו"ש הגרב"ב </w:t>
      </w:r>
      <w:r>
        <w:rPr>
          <w:rFonts w:hint="cs"/>
          <w:rtl/>
        </w:rPr>
        <w:t xml:space="preserve">דלביאור </w:t>
      </w:r>
      <w:r>
        <w:rPr>
          <w:rStyle w:val="af9"/>
          <w:rFonts w:hint="cs"/>
          <w:rtl/>
        </w:rPr>
        <w:t>הרמב</w:t>
      </w:r>
      <w:r>
        <w:rPr>
          <w:rStyle w:val="af9"/>
          <w:rtl/>
        </w:rPr>
        <w:t>"</w:t>
      </w:r>
      <w:r>
        <w:rPr>
          <w:rStyle w:val="af9"/>
          <w:rFonts w:hint="cs"/>
          <w:rtl/>
        </w:rPr>
        <w:t>ן</w:t>
      </w:r>
      <w:r>
        <w:rPr>
          <w:rFonts w:hint="cs"/>
          <w:rtl/>
        </w:rPr>
        <w:t xml:space="preserve"> בדעת </w:t>
      </w:r>
      <w:r w:rsidRPr="009C0914">
        <w:rPr>
          <w:rStyle w:val="af9"/>
          <w:rFonts w:hint="cs"/>
          <w:rtl/>
        </w:rPr>
        <w:t>הריב"ם</w:t>
      </w:r>
      <w:r>
        <w:rPr>
          <w:rFonts w:hint="cs"/>
          <w:rtl/>
        </w:rPr>
        <w:t xml:space="preserve"> צ"ל דרק בשבועת ע"א יש עליו חיוב ממון כשנים</w:t>
      </w:r>
      <w:r>
        <w:rPr>
          <w:rStyle w:val="af1"/>
          <w:rtl/>
        </w:rPr>
        <w:footnoteReference w:id="126"/>
      </w:r>
      <w:r>
        <w:rPr>
          <w:rFonts w:hint="cs"/>
          <w:rtl/>
        </w:rPr>
        <w:t xml:space="preserve">, אבל לביאור </w:t>
      </w:r>
      <w:r w:rsidRPr="009C0914">
        <w:rPr>
          <w:rStyle w:val="af9"/>
          <w:rFonts w:hint="cs"/>
          <w:rtl/>
        </w:rPr>
        <w:t>רבינו יונה והרא"ש</w:t>
      </w:r>
      <w:r>
        <w:rPr>
          <w:rFonts w:hint="cs"/>
          <w:rtl/>
        </w:rPr>
        <w:t xml:space="preserve"> בדעת </w:t>
      </w:r>
      <w:r w:rsidRPr="009C0914">
        <w:rPr>
          <w:rStyle w:val="af9"/>
          <w:rFonts w:hint="cs"/>
          <w:rtl/>
        </w:rPr>
        <w:t>הריב"ם</w:t>
      </w:r>
      <w:r>
        <w:rPr>
          <w:rFonts w:hint="cs"/>
          <w:rtl/>
        </w:rPr>
        <w:t xml:space="preserve"> בכל חיוב שבועה, חל חיוב ממון, ודין התורה שיכול להפטר מהממון ע"י שבועה</w:t>
      </w:r>
      <w:bookmarkStart w:id="18398" w:name="_Ref65833063"/>
      <w:bookmarkEnd w:id="18397"/>
      <w:r>
        <w:rPr>
          <w:rFonts w:hint="cs"/>
          <w:rtl/>
        </w:rPr>
        <w:t>.</w:t>
      </w:r>
    </w:p>
    <w:p w:rsidR="00E824D3" w:rsidRDefault="00E824D3" w:rsidP="00E824D3">
      <w:pPr>
        <w:pStyle w:val="a3"/>
      </w:pPr>
      <w:bookmarkStart w:id="18399" w:name="_Toc66143869"/>
      <w:bookmarkStart w:id="18400" w:name="_Toc66172032"/>
      <w:bookmarkStart w:id="18401" w:name="_Toc66183277"/>
      <w:bookmarkStart w:id="18402" w:name="_Toc66186062"/>
      <w:bookmarkStart w:id="18403" w:name="_Toc66193528"/>
      <w:bookmarkStart w:id="18404" w:name="_Ref66130626"/>
      <w:r>
        <w:rPr>
          <w:rFonts w:hint="cs"/>
          <w:rtl/>
        </w:rPr>
        <w:t>בי' הברכ"ש ברבינו יונה דכשלא חל חיוב שבועה אין הע"א כשנים ורק בהודה לע"א הוא כשנים</w:t>
      </w:r>
      <w:bookmarkEnd w:id="18399"/>
      <w:bookmarkEnd w:id="18400"/>
      <w:bookmarkEnd w:id="18401"/>
      <w:bookmarkEnd w:id="18402"/>
      <w:bookmarkEnd w:id="18403"/>
    </w:p>
    <w:p w:rsidR="00E824D3" w:rsidRDefault="00E824D3" w:rsidP="007E4E81">
      <w:pPr>
        <w:pStyle w:val="a0"/>
        <w:rPr>
          <w:rtl/>
        </w:rPr>
      </w:pPr>
      <w:bookmarkStart w:id="18405" w:name="_Ref66186119"/>
      <w:r>
        <w:rPr>
          <w:rFonts w:hint="cs"/>
          <w:rtl/>
        </w:rPr>
        <w:t>וביאר</w:t>
      </w:r>
      <w:r w:rsidRPr="004653CC">
        <w:rPr>
          <w:rStyle w:val="af9"/>
          <w:rFonts w:hint="cs"/>
          <w:rtl/>
        </w:rPr>
        <w:t xml:space="preserve"> </w:t>
      </w:r>
      <w:r w:rsidRPr="00F4295A">
        <w:rPr>
          <w:rStyle w:val="af9"/>
          <w:rFonts w:hint="cs"/>
          <w:rtl/>
        </w:rPr>
        <w:t>הברכ"ש</w:t>
      </w:r>
      <w:r>
        <w:rPr>
          <w:rFonts w:hint="cs"/>
          <w:rtl/>
        </w:rPr>
        <w:t xml:space="preserve"> </w:t>
      </w:r>
      <w:r w:rsidRPr="00514113">
        <w:rPr>
          <w:rStyle w:val="af7"/>
          <w:rFonts w:eastAsia="Guttman Hodes" w:hint="cs"/>
          <w:rtl/>
        </w:rPr>
        <w:t>(סי' ל"ג או' א' ד"ה והנה סברת)</w:t>
      </w:r>
      <w:r>
        <w:rPr>
          <w:rFonts w:hint="cs"/>
          <w:rtl/>
        </w:rPr>
        <w:t xml:space="preserve"> את דברי </w:t>
      </w:r>
      <w:r>
        <w:rPr>
          <w:rStyle w:val="af9"/>
          <w:rtl/>
        </w:rPr>
        <w:t>רבינו יונה</w:t>
      </w:r>
      <w:r>
        <w:rPr>
          <w:rFonts w:hint="cs"/>
          <w:rtl/>
        </w:rPr>
        <w:t xml:space="preserve"> </w:t>
      </w:r>
      <w:r w:rsidRPr="00514113">
        <w:rPr>
          <w:rStyle w:val="af7"/>
          <w:rFonts w:eastAsia="Guttman Hodes" w:hint="cs"/>
          <w:rtl/>
        </w:rPr>
        <w:t xml:space="preserve">(עי' אות </w:t>
      </w:r>
      <w:r w:rsidRPr="00514113">
        <w:rPr>
          <w:rStyle w:val="af7"/>
          <w:rFonts w:eastAsia="Guttman Hodes"/>
          <w:rtl/>
        </w:rPr>
        <w:fldChar w:fldCharType="begin"/>
      </w:r>
      <w:r w:rsidRPr="00514113">
        <w:rPr>
          <w:rStyle w:val="af7"/>
          <w:rFonts w:eastAsia="Guttman Hodes"/>
          <w:rtl/>
        </w:rPr>
        <w:instrText xml:space="preserve"> </w:instrText>
      </w:r>
      <w:r w:rsidRPr="00514113">
        <w:rPr>
          <w:rStyle w:val="af7"/>
          <w:rFonts w:eastAsia="Guttman Hodes" w:hint="cs"/>
        </w:rPr>
        <w:instrText>REF</w:instrText>
      </w:r>
      <w:r w:rsidRPr="00514113">
        <w:rPr>
          <w:rStyle w:val="af7"/>
          <w:rFonts w:eastAsia="Guttman Hodes" w:hint="cs"/>
          <w:rtl/>
        </w:rPr>
        <w:instrText xml:space="preserve"> _</w:instrText>
      </w:r>
      <w:r w:rsidRPr="00514113">
        <w:rPr>
          <w:rStyle w:val="af7"/>
          <w:rFonts w:eastAsia="Guttman Hodes" w:hint="cs"/>
        </w:rPr>
        <w:instrText>Ref66125333 \r \h</w:instrText>
      </w:r>
      <w:r w:rsidRPr="00514113">
        <w:rPr>
          <w:rStyle w:val="af7"/>
          <w:rFonts w:eastAsia="Guttman Hodes"/>
          <w:rtl/>
        </w:rPr>
        <w:instrText xml:space="preserve"> </w:instrText>
      </w:r>
      <w:r w:rsidRPr="00514113">
        <w:rPr>
          <w:rStyle w:val="af7"/>
          <w:rFonts w:eastAsia="Guttman Hodes"/>
          <w:rtl/>
        </w:rPr>
      </w:r>
      <w:r w:rsidRPr="00514113">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514113">
        <w:rPr>
          <w:rStyle w:val="af7"/>
          <w:rFonts w:eastAsia="Guttman Hodes"/>
          <w:rtl/>
        </w:rPr>
        <w:fldChar w:fldCharType="end"/>
      </w:r>
      <w:r>
        <w:rPr>
          <w:rFonts w:hint="cs"/>
          <w:rtl/>
        </w:rPr>
        <w:t xml:space="preserve"> דכיון שעדיין לא חל עליו חיוב שבועה על טענת נאנסו, א"כ לגבי זה לא חשיב הע"א כב' עדים, ורק כשהודה לעדות העד ואינו יכול להשבע, ס"ל </w:t>
      </w:r>
      <w:r w:rsidRPr="00F275B6">
        <w:rPr>
          <w:rStyle w:val="af9"/>
          <w:rFonts w:hint="cs"/>
          <w:rtl/>
        </w:rPr>
        <w:t>להריב"ם</w:t>
      </w:r>
      <w:r>
        <w:rPr>
          <w:rFonts w:hint="cs"/>
          <w:rtl/>
        </w:rPr>
        <w:t xml:space="preserve"> דהוא כב' עדים, אבל בהחזרתי במיגו דנאנסו שלא הודה דאינו יכול להשבע, אלא פטר את את עצמו מהשבועה, אין הע"א נחשב כב' עדים.</w:t>
      </w:r>
      <w:bookmarkEnd w:id="18398"/>
      <w:bookmarkEnd w:id="18404"/>
      <w:bookmarkEnd w:id="18405"/>
    </w:p>
    <w:p w:rsidR="00E824D3" w:rsidRDefault="00E824D3" w:rsidP="00E824D3">
      <w:pPr>
        <w:pStyle w:val="1"/>
        <w:rPr>
          <w:rtl/>
        </w:rPr>
      </w:pPr>
      <w:bookmarkStart w:id="18406" w:name="_Toc66110531"/>
      <w:bookmarkStart w:id="18407" w:name="_Toc66123419"/>
      <w:bookmarkStart w:id="18408" w:name="_Toc66143870"/>
      <w:bookmarkStart w:id="18409" w:name="_Toc66172033"/>
      <w:bookmarkStart w:id="18410" w:name="_Toc66183278"/>
      <w:bookmarkStart w:id="18411" w:name="_Toc66186063"/>
      <w:bookmarkStart w:id="18412" w:name="_Toc66193529"/>
      <w:bookmarkStart w:id="18413" w:name="_Toc65839244"/>
      <w:bookmarkStart w:id="18414" w:name="_Toc66048885"/>
      <w:bookmarkStart w:id="18415" w:name="_Toc66055838"/>
      <w:bookmarkStart w:id="18416" w:name="_Toc66085958"/>
      <w:r>
        <w:rPr>
          <w:rFonts w:hint="cs"/>
          <w:rtl/>
        </w:rPr>
        <w:t>בי' הברכ"ש</w:t>
      </w:r>
      <w:bookmarkEnd w:id="18406"/>
      <w:bookmarkEnd w:id="18407"/>
      <w:r>
        <w:rPr>
          <w:rFonts w:hint="cs"/>
          <w:rtl/>
        </w:rPr>
        <w:t xml:space="preserve"> דהמיגו לא פוטר מהשבועה אלא הע"א לא כשנים</w:t>
      </w:r>
      <w:bookmarkEnd w:id="18408"/>
      <w:bookmarkEnd w:id="18409"/>
      <w:bookmarkEnd w:id="18410"/>
      <w:bookmarkEnd w:id="18411"/>
      <w:bookmarkEnd w:id="18412"/>
    </w:p>
    <w:p w:rsidR="00E824D3" w:rsidRPr="009C268F" w:rsidRDefault="00E824D3" w:rsidP="00E824D3">
      <w:pPr>
        <w:pStyle w:val="a3"/>
      </w:pPr>
      <w:bookmarkStart w:id="18417" w:name="_Toc66143871"/>
      <w:bookmarkStart w:id="18418" w:name="_Toc66172034"/>
      <w:bookmarkStart w:id="18419" w:name="_Toc66183279"/>
      <w:bookmarkStart w:id="18420" w:name="_Toc66186064"/>
      <w:bookmarkStart w:id="18421" w:name="_Toc66193530"/>
      <w:r>
        <w:rPr>
          <w:rFonts w:hint="cs"/>
          <w:rtl/>
        </w:rPr>
        <w:t>בי' הברכ"ש דאין כוונת התוס' להקשות דמיגו יפטור משבועה אלא דע"י המיגו אין הע"א כב'</w:t>
      </w:r>
      <w:bookmarkEnd w:id="18417"/>
      <w:bookmarkEnd w:id="18418"/>
      <w:bookmarkEnd w:id="18419"/>
      <w:bookmarkEnd w:id="18420"/>
      <w:bookmarkEnd w:id="18421"/>
    </w:p>
    <w:p w:rsidR="00E824D3" w:rsidRDefault="00E824D3" w:rsidP="007E4E81">
      <w:pPr>
        <w:pStyle w:val="a0"/>
        <w:rPr>
          <w:rtl/>
        </w:rPr>
      </w:pPr>
      <w:bookmarkStart w:id="18422" w:name="_Ref66092827"/>
      <w:r>
        <w:rPr>
          <w:rFonts w:hint="cs"/>
          <w:rtl/>
        </w:rPr>
        <w:t xml:space="preserve">בעיקר קושית </w:t>
      </w:r>
      <w:r w:rsidRPr="00105C54">
        <w:rPr>
          <w:rStyle w:val="af9"/>
          <w:rFonts w:hint="cs"/>
          <w:rtl/>
        </w:rPr>
        <w:t xml:space="preserve">התוס' </w:t>
      </w:r>
      <w:r w:rsidRPr="009C268F">
        <w:rPr>
          <w:rStyle w:val="af7"/>
          <w:rFonts w:eastAsia="Guttman Hodes" w:hint="cs"/>
          <w:rtl/>
        </w:rPr>
        <w:t xml:space="preserve">(עי' אות </w:t>
      </w:r>
      <w:r w:rsidRPr="009C268F">
        <w:rPr>
          <w:rStyle w:val="af7"/>
          <w:rFonts w:eastAsia="Guttman Hodes"/>
          <w:rtl/>
        </w:rPr>
        <w:fldChar w:fldCharType="begin"/>
      </w:r>
      <w:r w:rsidRPr="009C268F">
        <w:rPr>
          <w:rStyle w:val="af7"/>
          <w:rFonts w:eastAsia="Guttman Hodes"/>
          <w:rtl/>
        </w:rPr>
        <w:instrText xml:space="preserve"> </w:instrText>
      </w:r>
      <w:r w:rsidRPr="009C268F">
        <w:rPr>
          <w:rStyle w:val="af7"/>
          <w:rFonts w:eastAsia="Guttman Hodes" w:hint="cs"/>
        </w:rPr>
        <w:instrText>REF</w:instrText>
      </w:r>
      <w:r w:rsidRPr="009C268F">
        <w:rPr>
          <w:rStyle w:val="af7"/>
          <w:rFonts w:eastAsia="Guttman Hodes" w:hint="cs"/>
          <w:rtl/>
        </w:rPr>
        <w:instrText xml:space="preserve"> _</w:instrText>
      </w:r>
      <w:r w:rsidRPr="009C268F">
        <w:rPr>
          <w:rStyle w:val="af7"/>
          <w:rFonts w:eastAsia="Guttman Hodes" w:hint="cs"/>
        </w:rPr>
        <w:instrText>Ref65082310 \r \h</w:instrText>
      </w:r>
      <w:r w:rsidRPr="009C268F">
        <w:rPr>
          <w:rStyle w:val="af7"/>
          <w:rFonts w:eastAsia="Guttman Hodes"/>
          <w:rtl/>
        </w:rPr>
        <w:instrText xml:space="preserve"> </w:instrText>
      </w:r>
      <w:r w:rsidRPr="009C268F">
        <w:rPr>
          <w:rStyle w:val="af7"/>
          <w:rFonts w:eastAsia="Guttman Hodes"/>
          <w:rtl/>
        </w:rPr>
      </w:r>
      <w:r w:rsidRPr="009C268F">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9C268F">
        <w:rPr>
          <w:rStyle w:val="af7"/>
          <w:rFonts w:eastAsia="Guttman Hodes"/>
          <w:rtl/>
        </w:rPr>
        <w:fldChar w:fldCharType="end"/>
      </w:r>
      <w:r>
        <w:rPr>
          <w:rFonts w:hint="cs"/>
          <w:rtl/>
        </w:rPr>
        <w:t xml:space="preserve"> דאמאי אינו נאמן בטענת דידי חטפי במיגו דלא חטפי, הקשה </w:t>
      </w:r>
      <w:r w:rsidRPr="00D70F82">
        <w:rPr>
          <w:rStyle w:val="af9"/>
          <w:rFonts w:hint="cs"/>
          <w:rtl/>
        </w:rPr>
        <w:t>הברכ"ש</w:t>
      </w:r>
      <w:r>
        <w:rPr>
          <w:rFonts w:hint="cs"/>
          <w:rtl/>
        </w:rPr>
        <w:t xml:space="preserve"> </w:t>
      </w:r>
      <w:r w:rsidRPr="00105C54">
        <w:rPr>
          <w:rStyle w:val="af7"/>
          <w:rFonts w:eastAsia="Guttman Hodes" w:hint="cs"/>
          <w:rtl/>
        </w:rPr>
        <w:t>(סי' ל"ד או' א' ד"ה בתוס')</w:t>
      </w:r>
      <w:r>
        <w:rPr>
          <w:rFonts w:hint="cs"/>
          <w:rtl/>
        </w:rPr>
        <w:t xml:space="preserve"> דהא לא אמרינן מיגו לאפטורי משבועה, וביאר </w:t>
      </w:r>
      <w:r w:rsidRPr="00105C54">
        <w:rPr>
          <w:rStyle w:val="af9"/>
          <w:rFonts w:hint="cs"/>
          <w:rtl/>
        </w:rPr>
        <w:t>הברכ"ש</w:t>
      </w:r>
      <w:r>
        <w:rPr>
          <w:rFonts w:hint="cs"/>
          <w:rtl/>
        </w:rPr>
        <w:t xml:space="preserve"> דכוונת </w:t>
      </w:r>
      <w:r w:rsidRPr="00105C54">
        <w:rPr>
          <w:rStyle w:val="af9"/>
          <w:rFonts w:hint="cs"/>
          <w:rtl/>
        </w:rPr>
        <w:t>התוס'</w:t>
      </w:r>
      <w:r>
        <w:rPr>
          <w:rFonts w:hint="cs"/>
          <w:rtl/>
        </w:rPr>
        <w:t xml:space="preserve"> להקשות דכל שהוא נאמן בטענת דידי חטפי, א"כ אין עדות הע"א חשיבא כשנים, והמיגו פוטרו מתשלומין כמו ששבועה פוטרתו, ודמי לחשוד על השבועה, דאינו משלם כיון שאינו יכול להשבע, ועי' במה שביאר ביאר </w:t>
      </w:r>
      <w:r w:rsidRPr="001C4E33">
        <w:rPr>
          <w:rStyle w:val="af9"/>
          <w:rFonts w:hint="cs"/>
          <w:rtl/>
        </w:rPr>
        <w:t xml:space="preserve">בחי' רבי נחום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Ref66133438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קז)</w:t>
      </w:r>
      <w:r>
        <w:rPr>
          <w:rStyle w:val="af7"/>
          <w:rFonts w:eastAsia="Guttman Hodes"/>
          <w:rtl/>
        </w:rPr>
        <w:fldChar w:fldCharType="end"/>
      </w:r>
      <w:r>
        <w:rPr>
          <w:rFonts w:hint="cs"/>
          <w:rtl/>
        </w:rPr>
        <w:t xml:space="preserve"> את דברי </w:t>
      </w:r>
      <w:r w:rsidRPr="00FC5B20">
        <w:rPr>
          <w:rStyle w:val="af9"/>
          <w:rFonts w:hint="cs"/>
          <w:rtl/>
        </w:rPr>
        <w:t>הברכ"ש</w:t>
      </w:r>
      <w:r>
        <w:rPr>
          <w:rFonts w:hint="cs"/>
          <w:rtl/>
        </w:rPr>
        <w:t>.</w:t>
      </w:r>
      <w:bookmarkEnd w:id="18422"/>
    </w:p>
    <w:p w:rsidR="00E824D3" w:rsidRPr="00D04A02" w:rsidRDefault="00E824D3" w:rsidP="00E824D3">
      <w:pPr>
        <w:pStyle w:val="a3"/>
        <w:rPr>
          <w:rtl/>
        </w:rPr>
      </w:pPr>
      <w:bookmarkStart w:id="18423" w:name="_Toc66143872"/>
      <w:bookmarkStart w:id="18424" w:name="_Toc66172035"/>
      <w:bookmarkStart w:id="18425" w:name="_Toc66183280"/>
      <w:bookmarkStart w:id="18426" w:name="_Toc66186065"/>
      <w:bookmarkStart w:id="18427" w:name="_Toc66193531"/>
      <w:r>
        <w:rPr>
          <w:rFonts w:hint="cs"/>
          <w:rtl/>
        </w:rPr>
        <w:t>בי' הברכ"ש בר"י דאף שהודה שחטף הע"א אינו כשנים ומהני לחוטף מיגו לטענת דידי חטפי</w:t>
      </w:r>
      <w:bookmarkEnd w:id="18423"/>
      <w:bookmarkEnd w:id="18424"/>
      <w:bookmarkEnd w:id="18425"/>
      <w:bookmarkEnd w:id="18426"/>
      <w:bookmarkEnd w:id="18427"/>
    </w:p>
    <w:p w:rsidR="00E824D3" w:rsidRDefault="00E824D3" w:rsidP="007E4E81">
      <w:pPr>
        <w:pStyle w:val="a0"/>
      </w:pPr>
      <w:bookmarkStart w:id="18428" w:name="_Ref66132118"/>
      <w:r>
        <w:rPr>
          <w:rFonts w:hint="cs"/>
          <w:rtl/>
        </w:rPr>
        <w:t xml:space="preserve">ובמה שתירץ </w:t>
      </w:r>
      <w:r w:rsidRPr="00BE2953">
        <w:rPr>
          <w:rStyle w:val="af9"/>
          <w:rFonts w:hint="cs"/>
          <w:rtl/>
        </w:rPr>
        <w:t>ר"י</w:t>
      </w:r>
      <w:r w:rsidRPr="00B1647D">
        <w:rPr>
          <w:rStyle w:val="af9"/>
          <w:rFonts w:hint="cs"/>
          <w:rtl/>
        </w:rPr>
        <w:t xml:space="preserve"> </w:t>
      </w:r>
      <w:r w:rsidRPr="00866122">
        <w:rPr>
          <w:rStyle w:val="af7"/>
          <w:rFonts w:eastAsia="Guttman Hodes" w:hint="cs"/>
          <w:rtl/>
        </w:rPr>
        <w:t xml:space="preserve">(עי' אות </w:t>
      </w:r>
      <w:r w:rsidRPr="00866122">
        <w:rPr>
          <w:rStyle w:val="af7"/>
          <w:rFonts w:eastAsia="Guttman Hodes"/>
          <w:rtl/>
        </w:rPr>
        <w:fldChar w:fldCharType="begin"/>
      </w:r>
      <w:r w:rsidRPr="00866122">
        <w:rPr>
          <w:rStyle w:val="af7"/>
          <w:rFonts w:eastAsia="Guttman Hodes"/>
          <w:rtl/>
        </w:rPr>
        <w:instrText xml:space="preserve"> </w:instrText>
      </w:r>
      <w:r w:rsidRPr="00866122">
        <w:rPr>
          <w:rStyle w:val="af7"/>
          <w:rFonts w:eastAsia="Guttman Hodes" w:hint="cs"/>
        </w:rPr>
        <w:instrText>REF</w:instrText>
      </w:r>
      <w:r w:rsidRPr="00866122">
        <w:rPr>
          <w:rStyle w:val="af7"/>
          <w:rFonts w:eastAsia="Guttman Hodes" w:hint="cs"/>
          <w:rtl/>
        </w:rPr>
        <w:instrText xml:space="preserve"> _</w:instrText>
      </w:r>
      <w:r w:rsidRPr="00866122">
        <w:rPr>
          <w:rStyle w:val="af7"/>
          <w:rFonts w:eastAsia="Guttman Hodes" w:hint="cs"/>
        </w:rPr>
        <w:instrText>Ref65785260 \r \h</w:instrText>
      </w:r>
      <w:r w:rsidRPr="00866122">
        <w:rPr>
          <w:rStyle w:val="af7"/>
          <w:rFonts w:eastAsia="Guttman Hodes"/>
          <w:rtl/>
        </w:rPr>
        <w:instrText xml:space="preserve"> </w:instrText>
      </w:r>
      <w:r w:rsidRPr="00866122">
        <w:rPr>
          <w:rStyle w:val="af7"/>
          <w:rFonts w:eastAsia="Guttman Hodes"/>
          <w:rtl/>
        </w:rPr>
      </w:r>
      <w:r w:rsidRPr="00866122">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866122">
        <w:rPr>
          <w:rStyle w:val="af7"/>
          <w:rFonts w:eastAsia="Guttman Hodes"/>
          <w:rtl/>
        </w:rPr>
        <w:fldChar w:fldCharType="end"/>
      </w:r>
      <w:r w:rsidRPr="00866122">
        <w:rPr>
          <w:rStyle w:val="af7"/>
          <w:rFonts w:eastAsia="Guttman Hodes" w:hint="cs"/>
          <w:rtl/>
        </w:rPr>
        <w:t xml:space="preserve"> </w:t>
      </w:r>
      <w:r>
        <w:rPr>
          <w:rFonts w:hint="cs"/>
          <w:rtl/>
        </w:rPr>
        <w:t xml:space="preserve">דהא דאינו נאמן במיגו דלא חטפי, הוא כיון דהוא מיגו דהעזה להכחיש את העד, ביאר </w:t>
      </w:r>
      <w:r w:rsidRPr="00F4295A">
        <w:rPr>
          <w:rStyle w:val="af9"/>
          <w:rFonts w:hint="cs"/>
          <w:rtl/>
        </w:rPr>
        <w:t>הברכ"ש</w:t>
      </w:r>
      <w:r>
        <w:rPr>
          <w:rFonts w:hint="cs"/>
          <w:rtl/>
        </w:rPr>
        <w:t xml:space="preserve"> </w:t>
      </w:r>
      <w:r w:rsidRPr="00105C54">
        <w:rPr>
          <w:rStyle w:val="af7"/>
          <w:rFonts w:eastAsia="Guttman Hodes" w:hint="cs"/>
          <w:rtl/>
        </w:rPr>
        <w:t xml:space="preserve">(סי' ל"ד או' א' </w:t>
      </w:r>
      <w:r w:rsidRPr="00105C54">
        <w:rPr>
          <w:rStyle w:val="af7"/>
          <w:rFonts w:eastAsia="Guttman Hodes" w:hint="cs"/>
          <w:rtl/>
        </w:rPr>
        <w:t>ד"ה בתוס')</w:t>
      </w:r>
      <w:r>
        <w:rPr>
          <w:rFonts w:hint="cs"/>
          <w:rtl/>
        </w:rPr>
        <w:t xml:space="preserve"> דאף שהודה שחטף מ"מ לא חשיב שהע"א כשנים, ואינו מבטל לגמרי את הנאמנות של החוטף בטענת דידי חטפי, ולכן מהני מיגו לפוטרו, ורק מחמת דהוא מיגו דהעזה אין לו מיגו.</w:t>
      </w:r>
      <w:bookmarkEnd w:id="18428"/>
    </w:p>
    <w:p w:rsidR="00E824D3" w:rsidRPr="00BC2A8C" w:rsidRDefault="00E824D3" w:rsidP="00E824D3">
      <w:pPr>
        <w:pStyle w:val="a3"/>
      </w:pPr>
      <w:bookmarkStart w:id="18429" w:name="_Toc66143873"/>
      <w:bookmarkStart w:id="18430" w:name="_Toc66172036"/>
      <w:bookmarkStart w:id="18431" w:name="_Toc66183281"/>
      <w:bookmarkStart w:id="18432" w:name="_Toc66186066"/>
      <w:bookmarkStart w:id="18433" w:name="_Toc66193532"/>
      <w:r>
        <w:rPr>
          <w:rFonts w:hint="cs"/>
          <w:rtl/>
        </w:rPr>
        <w:t>ביאור הברכ"ש בריב"ם דבחיוב שבועה יש חיוב ממון והע"א כשנים והשבועה רק פטור ול"מ מיגו</w:t>
      </w:r>
      <w:bookmarkEnd w:id="18429"/>
      <w:bookmarkEnd w:id="18430"/>
      <w:bookmarkEnd w:id="18431"/>
      <w:bookmarkEnd w:id="18432"/>
      <w:bookmarkEnd w:id="18433"/>
    </w:p>
    <w:p w:rsidR="00E824D3" w:rsidRDefault="00E824D3" w:rsidP="007E4E81">
      <w:pPr>
        <w:pStyle w:val="a0"/>
        <w:rPr>
          <w:rtl/>
        </w:rPr>
      </w:pPr>
      <w:bookmarkStart w:id="18434" w:name="_Ref66132155"/>
      <w:r>
        <w:rPr>
          <w:rFonts w:hint="cs"/>
          <w:rtl/>
        </w:rPr>
        <w:t>ובדעת</w:t>
      </w:r>
      <w:r w:rsidRPr="00F4295A">
        <w:rPr>
          <w:rStyle w:val="af9"/>
          <w:rFonts w:hint="cs"/>
          <w:rtl/>
        </w:rPr>
        <w:t xml:space="preserve"> </w:t>
      </w:r>
      <w:r w:rsidRPr="00573C0B">
        <w:rPr>
          <w:rStyle w:val="af9"/>
          <w:rFonts w:hint="cs"/>
          <w:rtl/>
        </w:rPr>
        <w:t>ה</w:t>
      </w:r>
      <w:r>
        <w:rPr>
          <w:rStyle w:val="af9"/>
          <w:rtl/>
        </w:rPr>
        <w:t>ריב"ם</w:t>
      </w:r>
      <w:r>
        <w:rPr>
          <w:rFonts w:hint="cs"/>
          <w:rtl/>
        </w:rPr>
        <w:t xml:space="preserve"> </w:t>
      </w:r>
      <w:r w:rsidRPr="00246930">
        <w:rPr>
          <w:rStyle w:val="af7"/>
          <w:rFonts w:eastAsia="Guttman Hodes" w:hint="cs"/>
          <w:rtl/>
        </w:rPr>
        <w:t xml:space="preserve">(עי' אות </w:t>
      </w:r>
      <w:r w:rsidRPr="00246930">
        <w:rPr>
          <w:rStyle w:val="af7"/>
          <w:rFonts w:eastAsia="Guttman Hodes"/>
          <w:rtl/>
        </w:rPr>
        <w:fldChar w:fldCharType="begin"/>
      </w:r>
      <w:r w:rsidRPr="00246930">
        <w:rPr>
          <w:rStyle w:val="af7"/>
          <w:rFonts w:eastAsia="Guttman Hodes"/>
          <w:rtl/>
        </w:rPr>
        <w:instrText xml:space="preserve"> </w:instrText>
      </w:r>
      <w:r w:rsidRPr="00246930">
        <w:rPr>
          <w:rStyle w:val="af7"/>
          <w:rFonts w:eastAsia="Guttman Hodes" w:hint="cs"/>
        </w:rPr>
        <w:instrText>REF</w:instrText>
      </w:r>
      <w:r w:rsidRPr="00246930">
        <w:rPr>
          <w:rStyle w:val="af7"/>
          <w:rFonts w:eastAsia="Guttman Hodes" w:hint="cs"/>
          <w:rtl/>
        </w:rPr>
        <w:instrText xml:space="preserve"> _</w:instrText>
      </w:r>
      <w:r w:rsidRPr="00246930">
        <w:rPr>
          <w:rStyle w:val="af7"/>
          <w:rFonts w:eastAsia="Guttman Hodes" w:hint="cs"/>
        </w:rPr>
        <w:instrText>Ref65795831 \r \h</w:instrText>
      </w:r>
      <w:r w:rsidRPr="00246930">
        <w:rPr>
          <w:rStyle w:val="af7"/>
          <w:rFonts w:eastAsia="Guttman Hodes"/>
          <w:rtl/>
        </w:rPr>
        <w:instrText xml:space="preserve"> </w:instrText>
      </w:r>
      <w:r w:rsidRPr="00246930">
        <w:rPr>
          <w:rStyle w:val="af7"/>
          <w:rFonts w:eastAsia="Guttman Hodes"/>
          <w:rtl/>
        </w:rPr>
      </w:r>
      <w:r w:rsidRPr="00246930">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246930">
        <w:rPr>
          <w:rStyle w:val="af7"/>
          <w:rFonts w:eastAsia="Guttman Hodes"/>
          <w:rtl/>
        </w:rPr>
        <w:fldChar w:fldCharType="end"/>
      </w:r>
      <w:r>
        <w:rPr>
          <w:rFonts w:hint="cs"/>
          <w:rtl/>
        </w:rPr>
        <w:t xml:space="preserve"> ביאר </w:t>
      </w:r>
      <w:r w:rsidRPr="00F4295A">
        <w:rPr>
          <w:rStyle w:val="af9"/>
          <w:rFonts w:hint="cs"/>
          <w:rtl/>
        </w:rPr>
        <w:t>הברכ"ש</w:t>
      </w:r>
      <w:r>
        <w:rPr>
          <w:rFonts w:hint="cs"/>
          <w:rtl/>
        </w:rPr>
        <w:t xml:space="preserve"> דס"ל דכל שיש חיוב שבועה דאו' יש כבר חיוב ממון, וא"כ הע"א חשיב כשנים, ואין לחוטף כל נאמנות בלא שבועה, ורק אחר שישבע להכחיש את העד יש לו נאמנות, והוסיף </w:t>
      </w:r>
      <w:r w:rsidRPr="00D66C64">
        <w:rPr>
          <w:rStyle w:val="af9"/>
          <w:rFonts w:hint="cs"/>
          <w:rtl/>
        </w:rPr>
        <w:t>הברכ"ש</w:t>
      </w:r>
      <w:r>
        <w:rPr>
          <w:rFonts w:hint="cs"/>
          <w:rtl/>
        </w:rPr>
        <w:t xml:space="preserve"> לבאר דכיון דבחיוב שבועה כלול חיוב ממון, א"כ השבועה היא רק פטור מחיוב הממון, וכל שלא נשבע, נשאר עליו חיוב הממון, ולכן חשיב הע"א כאילו יש ב' עדים שמעידים שחטף, ולכן ס"ל </w:t>
      </w:r>
      <w:r w:rsidRPr="00A73EE9">
        <w:rPr>
          <w:rStyle w:val="af9"/>
          <w:rFonts w:hint="cs"/>
          <w:rtl/>
        </w:rPr>
        <w:t>להריב"ם</w:t>
      </w:r>
      <w:r>
        <w:rPr>
          <w:rFonts w:hint="cs"/>
          <w:rtl/>
        </w:rPr>
        <w:t xml:space="preserve"> דלא מהני מיגו לפוטרו מלשלם.</w:t>
      </w:r>
      <w:bookmarkEnd w:id="18434"/>
    </w:p>
    <w:p w:rsidR="00E824D3" w:rsidRDefault="00E824D3" w:rsidP="00E824D3">
      <w:pPr>
        <w:pStyle w:val="1"/>
        <w:rPr>
          <w:rtl/>
        </w:rPr>
      </w:pPr>
      <w:bookmarkStart w:id="18435" w:name="_Toc66183282"/>
      <w:bookmarkStart w:id="18436" w:name="_Toc66186067"/>
      <w:bookmarkStart w:id="18437" w:name="_Toc66193533"/>
      <w:r>
        <w:rPr>
          <w:rFonts w:hint="cs"/>
          <w:rtl/>
        </w:rPr>
        <w:t>ביאור הגרנ"ט בריב"ם דר"א ורב ושמואל נח' בגדר חיוב שבועה</w:t>
      </w:r>
      <w:bookmarkEnd w:id="18435"/>
      <w:bookmarkEnd w:id="18436"/>
      <w:bookmarkEnd w:id="18437"/>
    </w:p>
    <w:p w:rsidR="00E824D3" w:rsidRDefault="00E824D3" w:rsidP="00E824D3">
      <w:pPr>
        <w:pStyle w:val="a3"/>
        <w:rPr>
          <w:rtl/>
        </w:rPr>
      </w:pPr>
      <w:bookmarkStart w:id="18438" w:name="_Toc66183283"/>
      <w:bookmarkStart w:id="18439" w:name="_Toc66186068"/>
      <w:bookmarkStart w:id="18440" w:name="_Toc66193534"/>
      <w:r>
        <w:rPr>
          <w:rFonts w:hint="cs"/>
          <w:rtl/>
        </w:rPr>
        <w:t>ביאור הגרנ"ט בריב"ם דלר"א השבועה היא פטור ולרב ושמואל השבועה היא סיבת חיוב</w:t>
      </w:r>
      <w:bookmarkEnd w:id="18438"/>
      <w:bookmarkEnd w:id="18439"/>
      <w:bookmarkEnd w:id="18440"/>
    </w:p>
    <w:p w:rsidR="00E824D3" w:rsidRPr="003C2D91" w:rsidRDefault="00E824D3" w:rsidP="007E4E81">
      <w:pPr>
        <w:pStyle w:val="a0"/>
        <w:rPr>
          <w:rtl/>
        </w:rPr>
      </w:pPr>
      <w:bookmarkStart w:id="18441" w:name="_Ref66182082"/>
      <w:r>
        <w:rPr>
          <w:rFonts w:hint="cs"/>
          <w:rtl/>
        </w:rPr>
        <w:t>כתב</w:t>
      </w:r>
      <w:r w:rsidRPr="00EE6142">
        <w:rPr>
          <w:rFonts w:hint="cs"/>
          <w:rtl/>
        </w:rPr>
        <w:t xml:space="preserve"> </w:t>
      </w:r>
      <w:r w:rsidRPr="00EE6142">
        <w:rPr>
          <w:rStyle w:val="af9"/>
          <w:rFonts w:hint="cs"/>
          <w:rtl/>
        </w:rPr>
        <w:t>הגרנ"ט</w:t>
      </w:r>
      <w:r w:rsidRPr="00EE6142">
        <w:rPr>
          <w:rFonts w:hint="cs"/>
          <w:rtl/>
        </w:rPr>
        <w:t xml:space="preserve"> </w:t>
      </w:r>
      <w:r w:rsidRPr="00BC0791">
        <w:rPr>
          <w:rStyle w:val="af7"/>
          <w:rFonts w:eastAsia="Guttman Hodes" w:hint="cs"/>
          <w:rtl/>
        </w:rPr>
        <w:t xml:space="preserve">(סי' קע"ט או' ד' ד"ה ובביאור) </w:t>
      </w:r>
      <w:r>
        <w:rPr>
          <w:rFonts w:hint="cs"/>
          <w:rtl/>
        </w:rPr>
        <w:t xml:space="preserve">דבגדר חיוב שבועה יש לחקור, אי השבועה היא פטור על חיוב הממון, ולכן כל שאינו יכול להשבע משלם, או דשבועה היא סיבת החיוב, ובלי השבועה אין כל חיוב תשלומין, וכשאינו יכול להשבע צריך לשלם, וכתב </w:t>
      </w:r>
      <w:r w:rsidRPr="00BC0791">
        <w:rPr>
          <w:rStyle w:val="af9"/>
          <w:rFonts w:hint="cs"/>
          <w:rtl/>
        </w:rPr>
        <w:t>הגרנ"ט</w:t>
      </w:r>
      <w:r>
        <w:rPr>
          <w:rFonts w:hint="cs"/>
          <w:rtl/>
        </w:rPr>
        <w:t xml:space="preserve"> דלדעת </w:t>
      </w:r>
      <w:r w:rsidRPr="00573C0B">
        <w:rPr>
          <w:rStyle w:val="af9"/>
          <w:rFonts w:hint="cs"/>
          <w:rtl/>
        </w:rPr>
        <w:t>ה</w:t>
      </w:r>
      <w:r>
        <w:rPr>
          <w:rStyle w:val="af9"/>
          <w:rtl/>
        </w:rPr>
        <w:t>ריב"ם</w:t>
      </w:r>
      <w:r>
        <w:rPr>
          <w:rFonts w:hint="cs"/>
          <w:rtl/>
        </w:rPr>
        <w:t xml:space="preserve"> </w:t>
      </w:r>
      <w:r w:rsidRPr="00246930">
        <w:rPr>
          <w:rStyle w:val="af7"/>
          <w:rFonts w:eastAsia="Guttman Hodes" w:hint="cs"/>
          <w:rtl/>
        </w:rPr>
        <w:t xml:space="preserve">(עי' אות </w:t>
      </w:r>
      <w:r w:rsidRPr="00246930">
        <w:rPr>
          <w:rStyle w:val="af7"/>
          <w:rFonts w:eastAsia="Guttman Hodes"/>
          <w:rtl/>
        </w:rPr>
        <w:fldChar w:fldCharType="begin"/>
      </w:r>
      <w:r w:rsidRPr="00246930">
        <w:rPr>
          <w:rStyle w:val="af7"/>
          <w:rFonts w:eastAsia="Guttman Hodes"/>
          <w:rtl/>
        </w:rPr>
        <w:instrText xml:space="preserve"> </w:instrText>
      </w:r>
      <w:r w:rsidRPr="00246930">
        <w:rPr>
          <w:rStyle w:val="af7"/>
          <w:rFonts w:eastAsia="Guttman Hodes" w:hint="cs"/>
        </w:rPr>
        <w:instrText>REF</w:instrText>
      </w:r>
      <w:r w:rsidRPr="00246930">
        <w:rPr>
          <w:rStyle w:val="af7"/>
          <w:rFonts w:eastAsia="Guttman Hodes" w:hint="cs"/>
          <w:rtl/>
        </w:rPr>
        <w:instrText xml:space="preserve"> _</w:instrText>
      </w:r>
      <w:r w:rsidRPr="00246930">
        <w:rPr>
          <w:rStyle w:val="af7"/>
          <w:rFonts w:eastAsia="Guttman Hodes" w:hint="cs"/>
        </w:rPr>
        <w:instrText>Ref65795831 \r \h</w:instrText>
      </w:r>
      <w:r w:rsidRPr="00246930">
        <w:rPr>
          <w:rStyle w:val="af7"/>
          <w:rFonts w:eastAsia="Guttman Hodes"/>
          <w:rtl/>
        </w:rPr>
        <w:instrText xml:space="preserve"> </w:instrText>
      </w:r>
      <w:r w:rsidRPr="00246930">
        <w:rPr>
          <w:rStyle w:val="af7"/>
          <w:rFonts w:eastAsia="Guttman Hodes"/>
          <w:rtl/>
        </w:rPr>
      </w:r>
      <w:r w:rsidRPr="00246930">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246930">
        <w:rPr>
          <w:rStyle w:val="af7"/>
          <w:rFonts w:eastAsia="Guttman Hodes"/>
          <w:rtl/>
        </w:rPr>
        <w:fldChar w:fldCharType="end"/>
      </w:r>
      <w:r>
        <w:rPr>
          <w:rFonts w:hint="cs"/>
          <w:rtl/>
        </w:rPr>
        <w:t xml:space="preserve"> בזה נחלקו ר"א ורב ושמואל, דלר"א השבועה פוטרתו מהממון, ולכן כשהוא אנוס ואינו יכול להשבע, נשאר עליו חיוב הממון, ולרב ושמואל רק השבועה מחייבתו, וכשאינו יכול להשבע אין לו מה שחייבו לשלם, וכעי"ז חקר </w:t>
      </w:r>
      <w:r w:rsidRPr="003C2D91">
        <w:rPr>
          <w:rStyle w:val="af9"/>
          <w:rFonts w:hint="cs"/>
          <w:rtl/>
        </w:rPr>
        <w:t>בחו"ש הגרב"ב</w:t>
      </w:r>
      <w:r>
        <w:rPr>
          <w:rFonts w:hint="cs"/>
          <w:rtl/>
        </w:rPr>
        <w:t xml:space="preserve"> </w:t>
      </w:r>
      <w:r w:rsidRPr="002F380B">
        <w:rPr>
          <w:rStyle w:val="af7"/>
          <w:rFonts w:eastAsia="Guttman Hodes" w:hint="cs"/>
          <w:rtl/>
        </w:rPr>
        <w:t xml:space="preserve">(עי' אות </w:t>
      </w:r>
      <w:r w:rsidRPr="002F380B">
        <w:rPr>
          <w:rStyle w:val="af7"/>
          <w:rFonts w:eastAsia="Guttman Hodes"/>
          <w:rtl/>
        </w:rPr>
        <w:fldChar w:fldCharType="begin"/>
      </w:r>
      <w:r w:rsidRPr="002F380B">
        <w:rPr>
          <w:rStyle w:val="af7"/>
          <w:rFonts w:eastAsia="Guttman Hodes"/>
          <w:rtl/>
        </w:rPr>
        <w:instrText xml:space="preserve"> </w:instrText>
      </w:r>
      <w:r w:rsidRPr="002F380B">
        <w:rPr>
          <w:rStyle w:val="af7"/>
          <w:rFonts w:eastAsia="Guttman Hodes" w:hint="cs"/>
        </w:rPr>
        <w:instrText>REF</w:instrText>
      </w:r>
      <w:r w:rsidRPr="002F380B">
        <w:rPr>
          <w:rStyle w:val="af7"/>
          <w:rFonts w:eastAsia="Guttman Hodes" w:hint="cs"/>
          <w:rtl/>
        </w:rPr>
        <w:instrText xml:space="preserve"> _</w:instrText>
      </w:r>
      <w:r w:rsidRPr="002F380B">
        <w:rPr>
          <w:rStyle w:val="af7"/>
          <w:rFonts w:eastAsia="Guttman Hodes" w:hint="cs"/>
        </w:rPr>
        <w:instrText>Ref66124877 \r \h</w:instrText>
      </w:r>
      <w:r w:rsidRPr="002F380B">
        <w:rPr>
          <w:rStyle w:val="af7"/>
          <w:rFonts w:eastAsia="Guttman Hodes"/>
          <w:rtl/>
        </w:rPr>
        <w:instrText xml:space="preserve"> </w:instrText>
      </w:r>
      <w:r w:rsidRPr="002F380B">
        <w:rPr>
          <w:rStyle w:val="af7"/>
          <w:rFonts w:eastAsia="Guttman Hodes"/>
          <w:rtl/>
        </w:rPr>
      </w:r>
      <w:r w:rsidRPr="002F380B">
        <w:rPr>
          <w:rStyle w:val="af7"/>
          <w:rFonts w:eastAsia="Guttman Hodes"/>
          <w:rtl/>
        </w:rPr>
        <w:fldChar w:fldCharType="separate"/>
      </w:r>
      <w:r w:rsidR="00265073">
        <w:rPr>
          <w:rStyle w:val="af7"/>
          <w:rFonts w:eastAsia="Guttman Hodes"/>
          <w:cs/>
        </w:rPr>
        <w:t>‎</w:t>
      </w:r>
      <w:r w:rsidR="00265073">
        <w:rPr>
          <w:rStyle w:val="af7"/>
          <w:rFonts w:eastAsia="Guttman Hodes"/>
          <w:rtl/>
        </w:rPr>
        <w:t>פט)</w:t>
      </w:r>
      <w:r w:rsidRPr="002F380B">
        <w:rPr>
          <w:rStyle w:val="af7"/>
          <w:rFonts w:eastAsia="Guttman Hodes"/>
          <w:rtl/>
        </w:rPr>
        <w:fldChar w:fldCharType="end"/>
      </w:r>
      <w:r>
        <w:rPr>
          <w:rFonts w:hint="cs"/>
          <w:rtl/>
        </w:rPr>
        <w:t>,</w:t>
      </w:r>
      <w:r w:rsidRPr="002F380B">
        <w:rPr>
          <w:rFonts w:hint="cs"/>
          <w:rtl/>
        </w:rPr>
        <w:t xml:space="preserve"> </w:t>
      </w:r>
      <w:r>
        <w:rPr>
          <w:rFonts w:hint="cs"/>
          <w:rtl/>
        </w:rPr>
        <w:t xml:space="preserve">ועי' במ"ש </w:t>
      </w:r>
      <w:r w:rsidRPr="009E5E72">
        <w:rPr>
          <w:rStyle w:val="af9"/>
          <w:rFonts w:hint="cs"/>
          <w:rtl/>
        </w:rPr>
        <w:t>בחי' הגר"ח מטעלז</w:t>
      </w:r>
      <w:r>
        <w:rPr>
          <w:rFonts w:hint="cs"/>
          <w:rtl/>
        </w:rPr>
        <w:t xml:space="preserve"> </w:t>
      </w:r>
      <w:r w:rsidRPr="009E5E72">
        <w:rPr>
          <w:rStyle w:val="af7"/>
          <w:rFonts w:eastAsia="Guttman Hodes" w:hint="cs"/>
          <w:rtl/>
        </w:rPr>
        <w:t xml:space="preserve">(עי' אות </w:t>
      </w:r>
      <w:r w:rsidRPr="009E5E72">
        <w:rPr>
          <w:rStyle w:val="af7"/>
          <w:rFonts w:eastAsia="Guttman Hodes"/>
          <w:rtl/>
        </w:rPr>
        <w:fldChar w:fldCharType="begin"/>
      </w:r>
      <w:r w:rsidRPr="009E5E72">
        <w:rPr>
          <w:rStyle w:val="af7"/>
          <w:rFonts w:eastAsia="Guttman Hodes"/>
          <w:rtl/>
        </w:rPr>
        <w:instrText xml:space="preserve"> </w:instrText>
      </w:r>
      <w:r w:rsidRPr="009E5E72">
        <w:rPr>
          <w:rStyle w:val="af7"/>
          <w:rFonts w:eastAsia="Guttman Hodes" w:hint="cs"/>
        </w:rPr>
        <w:instrText>REF</w:instrText>
      </w:r>
      <w:r w:rsidRPr="009E5E72">
        <w:rPr>
          <w:rStyle w:val="af7"/>
          <w:rFonts w:eastAsia="Guttman Hodes" w:hint="cs"/>
          <w:rtl/>
        </w:rPr>
        <w:instrText xml:space="preserve"> _</w:instrText>
      </w:r>
      <w:r w:rsidRPr="009E5E72">
        <w:rPr>
          <w:rStyle w:val="af7"/>
          <w:rFonts w:eastAsia="Guttman Hodes" w:hint="cs"/>
        </w:rPr>
        <w:instrText>Ref66124837 \r \h</w:instrText>
      </w:r>
      <w:r w:rsidRPr="009E5E72">
        <w:rPr>
          <w:rStyle w:val="af7"/>
          <w:rFonts w:eastAsia="Guttman Hodes"/>
          <w:rtl/>
        </w:rPr>
        <w:instrText xml:space="preserve"> </w:instrText>
      </w:r>
      <w:r w:rsidRPr="009E5E72">
        <w:rPr>
          <w:rStyle w:val="af7"/>
          <w:rFonts w:eastAsia="Guttman Hodes"/>
          <w:rtl/>
        </w:rPr>
      </w:r>
      <w:r w:rsidRPr="009E5E72">
        <w:rPr>
          <w:rStyle w:val="af7"/>
          <w:rFonts w:eastAsia="Guttman Hodes"/>
          <w:rtl/>
        </w:rPr>
        <w:fldChar w:fldCharType="separate"/>
      </w:r>
      <w:r w:rsidR="00265073">
        <w:rPr>
          <w:rStyle w:val="af7"/>
          <w:rFonts w:eastAsia="Guttman Hodes"/>
          <w:cs/>
        </w:rPr>
        <w:t>‎</w:t>
      </w:r>
      <w:r w:rsidR="00265073">
        <w:rPr>
          <w:rStyle w:val="af7"/>
          <w:rFonts w:eastAsia="Guttman Hodes"/>
          <w:rtl/>
        </w:rPr>
        <w:t>פא)</w:t>
      </w:r>
      <w:r w:rsidRPr="009E5E72">
        <w:rPr>
          <w:rStyle w:val="af7"/>
          <w:rFonts w:eastAsia="Guttman Hodes"/>
          <w:rtl/>
        </w:rPr>
        <w:fldChar w:fldCharType="end"/>
      </w:r>
      <w:r>
        <w:rPr>
          <w:rFonts w:hint="cs"/>
          <w:rtl/>
        </w:rPr>
        <w:t>.</w:t>
      </w:r>
      <w:bookmarkEnd w:id="18441"/>
    </w:p>
    <w:p w:rsidR="00E824D3" w:rsidRDefault="00E824D3" w:rsidP="00E824D3">
      <w:pPr>
        <w:pStyle w:val="1"/>
        <w:rPr>
          <w:rtl/>
        </w:rPr>
      </w:pPr>
      <w:bookmarkStart w:id="18442" w:name="_Toc66048895"/>
      <w:bookmarkStart w:id="18443" w:name="_Toc66055848"/>
      <w:bookmarkStart w:id="18444" w:name="_Toc66085968"/>
      <w:bookmarkStart w:id="18445" w:name="_Toc66110542"/>
      <w:bookmarkStart w:id="18446" w:name="_Toc66123431"/>
      <w:bookmarkStart w:id="18447" w:name="_Toc66143901"/>
      <w:bookmarkStart w:id="18448" w:name="_Toc66172075"/>
      <w:bookmarkStart w:id="18449" w:name="_Toc66183313"/>
      <w:bookmarkStart w:id="18450" w:name="_Toc66186069"/>
      <w:bookmarkStart w:id="18451" w:name="_Toc66193535"/>
      <w:bookmarkStart w:id="18452" w:name="_Toc66123430"/>
      <w:bookmarkStart w:id="18453" w:name="_Toc66143900"/>
      <w:bookmarkStart w:id="18454" w:name="_Toc66172069"/>
      <w:bookmarkStart w:id="18455" w:name="_Toc66183284"/>
      <w:bookmarkStart w:id="18456" w:name="_Toc66143874"/>
      <w:bookmarkStart w:id="18457" w:name="_Toc66172037"/>
      <w:r>
        <w:rPr>
          <w:rFonts w:hint="cs"/>
          <w:rtl/>
        </w:rPr>
        <w:t xml:space="preserve">ביאור הקה"י </w:t>
      </w:r>
      <w:bookmarkEnd w:id="18442"/>
      <w:bookmarkEnd w:id="18443"/>
      <w:bookmarkEnd w:id="18444"/>
      <w:bookmarkEnd w:id="18445"/>
      <w:bookmarkEnd w:id="18446"/>
      <w:bookmarkEnd w:id="18447"/>
      <w:bookmarkEnd w:id="18448"/>
      <w:bookmarkEnd w:id="18449"/>
      <w:r>
        <w:rPr>
          <w:rFonts w:hint="cs"/>
          <w:rtl/>
        </w:rPr>
        <w:t>בר"י דלרב ושמואל נאמן בפה שאסר אף בהעזה</w:t>
      </w:r>
      <w:bookmarkEnd w:id="18450"/>
      <w:bookmarkEnd w:id="18451"/>
      <w:r>
        <w:rPr>
          <w:rFonts w:hint="cs"/>
          <w:rtl/>
        </w:rPr>
        <w:t xml:space="preserve"> </w:t>
      </w:r>
    </w:p>
    <w:p w:rsidR="00E824D3" w:rsidRPr="002D279B" w:rsidRDefault="00E824D3" w:rsidP="00E824D3">
      <w:pPr>
        <w:pStyle w:val="a3"/>
        <w:rPr>
          <w:rtl/>
        </w:rPr>
      </w:pPr>
      <w:bookmarkStart w:id="18458" w:name="_Toc66186070"/>
      <w:bookmarkStart w:id="18459" w:name="_Toc66193536"/>
      <w:r>
        <w:rPr>
          <w:rFonts w:hint="cs"/>
          <w:rtl/>
        </w:rPr>
        <w:t>ביאור הקה"י דבמודה לע"א לר"א חיובו ע"י הע"א ולרב ושמואל חיובו מדין הודאת בע"ד</w:t>
      </w:r>
      <w:bookmarkEnd w:id="18458"/>
      <w:bookmarkEnd w:id="18459"/>
    </w:p>
    <w:p w:rsidR="00E824D3" w:rsidRDefault="00E824D3" w:rsidP="007E4E81">
      <w:pPr>
        <w:pStyle w:val="a0"/>
        <w:rPr>
          <w:rtl/>
        </w:rPr>
      </w:pPr>
      <w:bookmarkStart w:id="18460" w:name="_Ref66054598"/>
      <w:r w:rsidRPr="00936FBF">
        <w:rPr>
          <w:rFonts w:hint="cs"/>
          <w:rtl/>
        </w:rPr>
        <w:t xml:space="preserve">במה שהקשו </w:t>
      </w:r>
      <w:r w:rsidRPr="00936FBF">
        <w:rPr>
          <w:rStyle w:val="af9"/>
          <w:rtl/>
        </w:rPr>
        <w:t>התוס'</w:t>
      </w:r>
      <w:r w:rsidRPr="00936FBF">
        <w:rPr>
          <w:rStyle w:val="af9"/>
          <w:rFonts w:hint="cs"/>
          <w:rtl/>
        </w:rPr>
        <w:t xml:space="preserve"> </w:t>
      </w:r>
      <w:r w:rsidRPr="009614C1">
        <w:rPr>
          <w:rStyle w:val="af7"/>
          <w:rFonts w:eastAsia="Guttman Hodes" w:hint="cs"/>
          <w:rtl/>
        </w:rPr>
        <w:t xml:space="preserve">(עי' אות </w:t>
      </w:r>
      <w:r w:rsidRPr="009614C1">
        <w:rPr>
          <w:rStyle w:val="af7"/>
          <w:rFonts w:eastAsia="Guttman Hodes"/>
          <w:rtl/>
        </w:rPr>
        <w:fldChar w:fldCharType="begin"/>
      </w:r>
      <w:r w:rsidRPr="009614C1">
        <w:rPr>
          <w:rStyle w:val="af7"/>
          <w:rFonts w:eastAsia="Guttman Hodes"/>
          <w:rtl/>
        </w:rPr>
        <w:instrText xml:space="preserve"> </w:instrText>
      </w:r>
      <w:r w:rsidRPr="009614C1">
        <w:rPr>
          <w:rStyle w:val="af7"/>
          <w:rFonts w:eastAsia="Guttman Hodes" w:hint="cs"/>
        </w:rPr>
        <w:instrText>REF</w:instrText>
      </w:r>
      <w:r w:rsidRPr="009614C1">
        <w:rPr>
          <w:rStyle w:val="af7"/>
          <w:rFonts w:eastAsia="Guttman Hodes" w:hint="cs"/>
          <w:rtl/>
        </w:rPr>
        <w:instrText xml:space="preserve"> _</w:instrText>
      </w:r>
      <w:r w:rsidRPr="009614C1">
        <w:rPr>
          <w:rStyle w:val="af7"/>
          <w:rFonts w:eastAsia="Guttman Hodes" w:hint="cs"/>
        </w:rPr>
        <w:instrText>Ref65770016 \r \h</w:instrText>
      </w:r>
      <w:r w:rsidRPr="009614C1">
        <w:rPr>
          <w:rStyle w:val="af7"/>
          <w:rFonts w:eastAsia="Guttman Hodes"/>
          <w:rtl/>
        </w:rPr>
        <w:instrText xml:space="preserve">  \* </w:instrText>
      </w:r>
      <w:r w:rsidRPr="009614C1">
        <w:rPr>
          <w:rStyle w:val="af7"/>
          <w:rFonts w:eastAsia="Guttman Hodes"/>
        </w:rPr>
        <w:instrText>MERGEFORMAT</w:instrText>
      </w:r>
      <w:r w:rsidRPr="009614C1">
        <w:rPr>
          <w:rStyle w:val="af7"/>
          <w:rFonts w:eastAsia="Guttman Hodes"/>
          <w:rtl/>
        </w:rPr>
        <w:instrText xml:space="preserve"> </w:instrText>
      </w:r>
      <w:r w:rsidRPr="009614C1">
        <w:rPr>
          <w:rStyle w:val="af7"/>
          <w:rFonts w:eastAsia="Guttman Hodes"/>
          <w:rtl/>
        </w:rPr>
      </w:r>
      <w:r w:rsidRPr="009614C1">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9614C1">
        <w:rPr>
          <w:rStyle w:val="af7"/>
          <w:rFonts w:eastAsia="Guttman Hodes"/>
          <w:rtl/>
        </w:rPr>
        <w:fldChar w:fldCharType="end"/>
      </w:r>
      <w:r w:rsidRPr="00936FBF">
        <w:rPr>
          <w:rFonts w:hint="cs"/>
          <w:rtl/>
        </w:rPr>
        <w:t xml:space="preserve"> על תירוץ </w:t>
      </w:r>
      <w:r w:rsidRPr="00936FBF">
        <w:rPr>
          <w:rStyle w:val="af9"/>
          <w:rFonts w:hint="cs"/>
          <w:rtl/>
        </w:rPr>
        <w:t>ר"י</w:t>
      </w:r>
      <w:r w:rsidRPr="00936FBF">
        <w:rPr>
          <w:rFonts w:hint="cs"/>
          <w:rtl/>
        </w:rPr>
        <w:t xml:space="preserve"> </w:t>
      </w:r>
      <w:r w:rsidRPr="009614C1">
        <w:rPr>
          <w:rStyle w:val="af7"/>
          <w:rFonts w:eastAsia="Guttman Hodes" w:hint="cs"/>
          <w:rtl/>
        </w:rPr>
        <w:t xml:space="preserve">(עי' אות </w:t>
      </w:r>
      <w:r w:rsidRPr="009614C1">
        <w:rPr>
          <w:rStyle w:val="af7"/>
          <w:rFonts w:eastAsia="Guttman Hodes"/>
          <w:rtl/>
        </w:rPr>
        <w:fldChar w:fldCharType="begin"/>
      </w:r>
      <w:r w:rsidRPr="009614C1">
        <w:rPr>
          <w:rStyle w:val="af7"/>
          <w:rFonts w:eastAsia="Guttman Hodes"/>
          <w:rtl/>
        </w:rPr>
        <w:instrText xml:space="preserve"> </w:instrText>
      </w:r>
      <w:r w:rsidRPr="009614C1">
        <w:rPr>
          <w:rStyle w:val="af7"/>
          <w:rFonts w:eastAsia="Guttman Hodes" w:hint="cs"/>
        </w:rPr>
        <w:instrText>REF</w:instrText>
      </w:r>
      <w:r w:rsidRPr="009614C1">
        <w:rPr>
          <w:rStyle w:val="af7"/>
          <w:rFonts w:eastAsia="Guttman Hodes" w:hint="cs"/>
          <w:rtl/>
        </w:rPr>
        <w:instrText xml:space="preserve"> _</w:instrText>
      </w:r>
      <w:r w:rsidRPr="009614C1">
        <w:rPr>
          <w:rStyle w:val="af7"/>
          <w:rFonts w:eastAsia="Guttman Hodes" w:hint="cs"/>
        </w:rPr>
        <w:instrText>Ref65785260 \r \h</w:instrText>
      </w:r>
      <w:r w:rsidRPr="009614C1">
        <w:rPr>
          <w:rStyle w:val="af7"/>
          <w:rFonts w:eastAsia="Guttman Hodes"/>
          <w:rtl/>
        </w:rPr>
        <w:instrText xml:space="preserve">  \* </w:instrText>
      </w:r>
      <w:r w:rsidRPr="009614C1">
        <w:rPr>
          <w:rStyle w:val="af7"/>
          <w:rFonts w:eastAsia="Guttman Hodes"/>
        </w:rPr>
        <w:instrText>MERGEFORMAT</w:instrText>
      </w:r>
      <w:r w:rsidRPr="009614C1">
        <w:rPr>
          <w:rStyle w:val="af7"/>
          <w:rFonts w:eastAsia="Guttman Hodes"/>
          <w:rtl/>
        </w:rPr>
        <w:instrText xml:space="preserve"> </w:instrText>
      </w:r>
      <w:r w:rsidRPr="009614C1">
        <w:rPr>
          <w:rStyle w:val="af7"/>
          <w:rFonts w:eastAsia="Guttman Hodes"/>
          <w:rtl/>
        </w:rPr>
      </w:r>
      <w:r w:rsidRPr="009614C1">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9614C1">
        <w:rPr>
          <w:rStyle w:val="af7"/>
          <w:rFonts w:eastAsia="Guttman Hodes"/>
          <w:rtl/>
        </w:rPr>
        <w:fldChar w:fldCharType="end"/>
      </w:r>
      <w:r w:rsidRPr="00936FBF">
        <w:rPr>
          <w:rFonts w:hint="cs"/>
          <w:rtl/>
        </w:rPr>
        <w:t xml:space="preserve"> דאי המיגו דלא חטפי הוא העזה, א"כ </w:t>
      </w:r>
      <w:r>
        <w:rPr>
          <w:rFonts w:hint="cs"/>
          <w:rtl/>
        </w:rPr>
        <w:t>אמאי</w:t>
      </w:r>
      <w:r w:rsidRPr="00936FBF">
        <w:rPr>
          <w:rFonts w:hint="cs"/>
          <w:rtl/>
        </w:rPr>
        <w:t xml:space="preserve"> </w:t>
      </w:r>
      <w:r>
        <w:rPr>
          <w:rFonts w:hint="cs"/>
          <w:rtl/>
        </w:rPr>
        <w:t>פטור</w:t>
      </w:r>
      <w:r w:rsidRPr="00936FBF">
        <w:rPr>
          <w:rFonts w:hint="cs"/>
          <w:rtl/>
        </w:rPr>
        <w:t xml:space="preserve"> לרב ושמואל</w:t>
      </w:r>
      <w:r>
        <w:rPr>
          <w:rFonts w:hint="cs"/>
          <w:rtl/>
        </w:rPr>
        <w:t>, ו</w:t>
      </w:r>
      <w:r w:rsidRPr="00936FBF">
        <w:rPr>
          <w:rFonts w:hint="cs"/>
          <w:rtl/>
        </w:rPr>
        <w:t xml:space="preserve">הא פשיטא שאינו נאמן לטעון אין חטפי ודידי חטפי בלא מיגו, כתב </w:t>
      </w:r>
      <w:r w:rsidRPr="00F4173A">
        <w:rPr>
          <w:rStyle w:val="af9"/>
          <w:rFonts w:hint="cs"/>
          <w:rtl/>
        </w:rPr>
        <w:t>הקה"י</w:t>
      </w:r>
      <w:r w:rsidRPr="00757E8A">
        <w:rPr>
          <w:rFonts w:hint="cs"/>
          <w:rtl/>
        </w:rPr>
        <w:t xml:space="preserve"> </w:t>
      </w:r>
      <w:r w:rsidRPr="009614C1">
        <w:rPr>
          <w:rStyle w:val="af7"/>
          <w:rFonts w:eastAsia="Guttman Hodes" w:hint="cs"/>
          <w:rtl/>
        </w:rPr>
        <w:t>(סי' כ"ה או' א' ונלענ"ד)</w:t>
      </w:r>
      <w:r>
        <w:rPr>
          <w:rFonts w:hint="cs"/>
          <w:rtl/>
        </w:rPr>
        <w:t xml:space="preserve"> דנראה לומר דאף במקום שהחוטף מודה לעדות הע"א, נחלקו ר"א ורב ושמואל מדין מה הוא חייב, דלדעת ר"א דאמרינן מתוך שאינו יכול לישבע משלם, א"כ חיובו הוא ע"י עדות העד, דכל שלא הכחיש את העד הוא מחייבו ממון, אבל לדעת רב ושמואל דלא אמרינן מתוך שאינו יכול לישבע משלם, א"כ כל שהודה לדברי העד, אין חיובו מכח העד, אלא מדין הודאת בע"ד</w:t>
      </w:r>
      <w:bookmarkStart w:id="18461" w:name="_Ref66055550"/>
      <w:bookmarkEnd w:id="18460"/>
      <w:r>
        <w:rPr>
          <w:rFonts w:hint="cs"/>
          <w:rtl/>
        </w:rPr>
        <w:t>.</w:t>
      </w:r>
    </w:p>
    <w:p w:rsidR="00E824D3" w:rsidRPr="00C22B2C" w:rsidRDefault="00E824D3" w:rsidP="00E824D3">
      <w:pPr>
        <w:pStyle w:val="a3"/>
      </w:pPr>
      <w:bookmarkStart w:id="18462" w:name="_Toc66186071"/>
      <w:bookmarkStart w:id="18463" w:name="_Toc66193537"/>
      <w:r>
        <w:rPr>
          <w:rFonts w:hint="cs"/>
          <w:rtl/>
        </w:rPr>
        <w:t>ביאור הקה"י ברמב"ן ובר"י דבמיגו דהעזה לר"א לא נאמן ולרב ושמואל נאמן מדין הפה שאסר</w:t>
      </w:r>
      <w:bookmarkEnd w:id="18462"/>
      <w:bookmarkEnd w:id="18463"/>
    </w:p>
    <w:p w:rsidR="00E824D3" w:rsidRPr="000A5246" w:rsidRDefault="00E824D3" w:rsidP="007E4E81">
      <w:pPr>
        <w:pStyle w:val="a0"/>
        <w:rPr>
          <w:rFonts w:asciiTheme="minorHAnsi" w:hAnsiTheme="minorHAnsi"/>
        </w:rPr>
      </w:pPr>
      <w:r>
        <w:rPr>
          <w:rFonts w:hint="cs"/>
          <w:rtl/>
        </w:rPr>
        <w:t xml:space="preserve">וכתב </w:t>
      </w:r>
      <w:r w:rsidRPr="00F4173A">
        <w:rPr>
          <w:rStyle w:val="af9"/>
          <w:rFonts w:hint="cs"/>
          <w:rtl/>
        </w:rPr>
        <w:t>הקה"י</w:t>
      </w:r>
      <w:r>
        <w:rPr>
          <w:rFonts w:hint="cs"/>
          <w:rtl/>
        </w:rPr>
        <w:t xml:space="preserve"> דלפי"ז בטוען אין חטפי ודידי חטפי, הא דא"א לפוטרו שמא לא חטף, ג"כ תלוי בפלוגתת ר"א ורב ושמואל, דלר"א יש עדות ע"א שחטף, ולרב ושמואל יש הודאת בע"ד שחטף</w:t>
      </w:r>
      <w:bookmarkEnd w:id="18461"/>
      <w:r>
        <w:rPr>
          <w:rFonts w:hint="cs"/>
          <w:rtl/>
        </w:rPr>
        <w:t xml:space="preserve">, וכתב </w:t>
      </w:r>
      <w:r w:rsidRPr="00706B92">
        <w:rPr>
          <w:rStyle w:val="af9"/>
          <w:rFonts w:hint="cs"/>
          <w:rtl/>
        </w:rPr>
        <w:lastRenderedPageBreak/>
        <w:t>הקה"י</w:t>
      </w:r>
      <w:r>
        <w:rPr>
          <w:rFonts w:hint="cs"/>
          <w:rtl/>
        </w:rPr>
        <w:t xml:space="preserve"> </w:t>
      </w:r>
      <w:r w:rsidRPr="000A5246">
        <w:rPr>
          <w:rStyle w:val="af7"/>
          <w:rFonts w:eastAsia="Guttman Hodes" w:hint="cs"/>
          <w:rtl/>
        </w:rPr>
        <w:t>(סי' כ"ה או' א' ד"ה ומעתה)</w:t>
      </w:r>
      <w:r>
        <w:rPr>
          <w:rFonts w:hint="cs"/>
          <w:rtl/>
        </w:rPr>
        <w:t xml:space="preserve"> דלפי"ז כשיש לו מיגו דהיה יכול להשבע בטענת לא חטפי, לדעת ר"א דאינו יודעים שחטף מכח עדות הע"א, א"כ שייך להאמין לו רק מדין מיגו, ולא מדין הפה שאסר, ולכן ס"ל </w:t>
      </w:r>
      <w:r w:rsidRPr="00706B92">
        <w:rPr>
          <w:rStyle w:val="af9"/>
          <w:rFonts w:hint="cs"/>
          <w:rtl/>
        </w:rPr>
        <w:t xml:space="preserve">לר"י </w:t>
      </w:r>
      <w:r w:rsidRPr="000A5246">
        <w:rPr>
          <w:rStyle w:val="af7"/>
          <w:rFonts w:eastAsia="Guttman Hodes" w:hint="cs"/>
          <w:rtl/>
        </w:rPr>
        <w:t xml:space="preserve">(עי' אות </w:t>
      </w:r>
      <w:r w:rsidRPr="000A5246">
        <w:rPr>
          <w:rStyle w:val="af7"/>
          <w:rFonts w:eastAsia="Guttman Hodes"/>
          <w:rtl/>
        </w:rPr>
        <w:fldChar w:fldCharType="begin"/>
      </w:r>
      <w:r w:rsidRPr="000A5246">
        <w:rPr>
          <w:rStyle w:val="af7"/>
          <w:rFonts w:eastAsia="Guttman Hodes"/>
          <w:rtl/>
        </w:rPr>
        <w:instrText xml:space="preserve"> </w:instrText>
      </w:r>
      <w:r w:rsidRPr="000A5246">
        <w:rPr>
          <w:rStyle w:val="af7"/>
          <w:rFonts w:eastAsia="Guttman Hodes" w:hint="cs"/>
        </w:rPr>
        <w:instrText>REF</w:instrText>
      </w:r>
      <w:r w:rsidRPr="000A5246">
        <w:rPr>
          <w:rStyle w:val="af7"/>
          <w:rFonts w:eastAsia="Guttman Hodes" w:hint="cs"/>
          <w:rtl/>
        </w:rPr>
        <w:instrText xml:space="preserve"> _</w:instrText>
      </w:r>
      <w:r w:rsidRPr="000A5246">
        <w:rPr>
          <w:rStyle w:val="af7"/>
          <w:rFonts w:eastAsia="Guttman Hodes" w:hint="cs"/>
        </w:rPr>
        <w:instrText>Ref65785260 \r \h</w:instrText>
      </w:r>
      <w:r w:rsidRPr="000A5246">
        <w:rPr>
          <w:rStyle w:val="af7"/>
          <w:rFonts w:eastAsia="Guttman Hodes"/>
          <w:rtl/>
        </w:rPr>
        <w:instrText xml:space="preserve"> </w:instrText>
      </w:r>
      <w:r w:rsidRPr="000A5246">
        <w:rPr>
          <w:rStyle w:val="af7"/>
          <w:rFonts w:eastAsia="Guttman Hodes"/>
          <w:rtl/>
        </w:rPr>
      </w:r>
      <w:r w:rsidRPr="000A5246">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0A5246">
        <w:rPr>
          <w:rStyle w:val="af7"/>
          <w:rFonts w:eastAsia="Guttman Hodes"/>
          <w:rtl/>
        </w:rPr>
        <w:fldChar w:fldCharType="end"/>
      </w:r>
      <w:r w:rsidRPr="00706B92">
        <w:rPr>
          <w:rStyle w:val="af9"/>
          <w:rFonts w:hint="cs"/>
          <w:rtl/>
        </w:rPr>
        <w:t xml:space="preserve"> ולרמב"ן </w:t>
      </w:r>
      <w:r w:rsidRPr="000A5246">
        <w:rPr>
          <w:rStyle w:val="af7"/>
          <w:rFonts w:eastAsia="Guttman Hodes" w:hint="cs"/>
          <w:rtl/>
        </w:rPr>
        <w:t xml:space="preserve">(עי' אות </w:t>
      </w:r>
      <w:r w:rsidRPr="000A5246">
        <w:rPr>
          <w:rStyle w:val="af7"/>
          <w:rFonts w:eastAsia="Guttman Hodes"/>
          <w:rtl/>
        </w:rPr>
        <w:fldChar w:fldCharType="begin"/>
      </w:r>
      <w:r w:rsidRPr="000A5246">
        <w:rPr>
          <w:rStyle w:val="af7"/>
          <w:rFonts w:eastAsia="Guttman Hodes"/>
          <w:rtl/>
        </w:rPr>
        <w:instrText xml:space="preserve"> </w:instrText>
      </w:r>
      <w:r w:rsidRPr="000A5246">
        <w:rPr>
          <w:rStyle w:val="af7"/>
          <w:rFonts w:eastAsia="Guttman Hodes" w:hint="cs"/>
        </w:rPr>
        <w:instrText>REF</w:instrText>
      </w:r>
      <w:r w:rsidRPr="000A5246">
        <w:rPr>
          <w:rStyle w:val="af7"/>
          <w:rFonts w:eastAsia="Guttman Hodes" w:hint="cs"/>
          <w:rtl/>
        </w:rPr>
        <w:instrText xml:space="preserve"> _</w:instrText>
      </w:r>
      <w:r w:rsidRPr="000A5246">
        <w:rPr>
          <w:rStyle w:val="af7"/>
          <w:rFonts w:eastAsia="Guttman Hodes" w:hint="cs"/>
        </w:rPr>
        <w:instrText>Ref65855866 \r \h</w:instrText>
      </w:r>
      <w:r w:rsidRPr="000A5246">
        <w:rPr>
          <w:rStyle w:val="af7"/>
          <w:rFonts w:eastAsia="Guttman Hodes"/>
          <w:rtl/>
        </w:rPr>
        <w:instrText xml:space="preserve"> </w:instrText>
      </w:r>
      <w:r w:rsidRPr="000A5246">
        <w:rPr>
          <w:rStyle w:val="af7"/>
          <w:rFonts w:eastAsia="Guttman Hodes"/>
          <w:rtl/>
        </w:rPr>
      </w:r>
      <w:r w:rsidRPr="000A5246">
        <w:rPr>
          <w:rStyle w:val="af7"/>
          <w:rFonts w:eastAsia="Guttman Hodes"/>
          <w:rtl/>
        </w:rPr>
        <w:fldChar w:fldCharType="separate"/>
      </w:r>
      <w:r w:rsidR="00265073">
        <w:rPr>
          <w:rStyle w:val="af7"/>
          <w:rFonts w:eastAsia="Guttman Hodes"/>
          <w:cs/>
        </w:rPr>
        <w:t>‎</w:t>
      </w:r>
      <w:r w:rsidR="00265073">
        <w:rPr>
          <w:rStyle w:val="af7"/>
          <w:rFonts w:eastAsia="Guttman Hodes"/>
          <w:rtl/>
        </w:rPr>
        <w:t>ה)</w:t>
      </w:r>
      <w:r w:rsidRPr="000A5246">
        <w:rPr>
          <w:rStyle w:val="af7"/>
          <w:rFonts w:eastAsia="Guttman Hodes"/>
          <w:rtl/>
        </w:rPr>
        <w:fldChar w:fldCharType="end"/>
      </w:r>
      <w:r w:rsidRPr="00706B92">
        <w:rPr>
          <w:rStyle w:val="af9"/>
          <w:rFonts w:hint="cs"/>
          <w:rtl/>
        </w:rPr>
        <w:t xml:space="preserve"> </w:t>
      </w:r>
      <w:r>
        <w:rPr>
          <w:rFonts w:hint="cs"/>
          <w:rtl/>
        </w:rPr>
        <w:t xml:space="preserve">דכיון שהוא מיגו דהעזה אינו נאמן, אבל לדעת רב ושמואל דא"א לפוטרו שלא חטף מדין הודאת בע"ד, א"כ כשיש לו מיגו דהיה יכול להשבע בטענת לא חטפי, כתב </w:t>
      </w:r>
      <w:r w:rsidRPr="00706B92">
        <w:rPr>
          <w:rStyle w:val="af9"/>
          <w:rFonts w:hint="cs"/>
          <w:rtl/>
        </w:rPr>
        <w:t>הקה"י</w:t>
      </w:r>
      <w:r>
        <w:rPr>
          <w:rFonts w:hint="cs"/>
          <w:rtl/>
        </w:rPr>
        <w:t xml:space="preserve"> דהוא נאמן מדין הפה שאסר ולא רק מדין מיגו, ובדין הפה שאסר הנאמנות היא אף במקום שהוא העזה להכחיש את העד, כיון שכל החיוב שלו הוא מחכח הודאתו, ולכן ס"ל לרב ושמואל דאעפ"י שהמיגו הוא העזה, מ"מ נאמן מדין הפה שאסר. </w:t>
      </w:r>
      <w:r w:rsidRPr="00706B92">
        <w:rPr>
          <w:rStyle w:val="afb"/>
          <w:rFonts w:hint="cs"/>
          <w:rtl/>
        </w:rPr>
        <w:t xml:space="preserve">[ועיי"ש במה שהאריך </w:t>
      </w:r>
      <w:r w:rsidRPr="00706B92">
        <w:rPr>
          <w:rStyle w:val="affa"/>
          <w:rFonts w:hint="cs"/>
          <w:rtl/>
        </w:rPr>
        <w:t>הקה"י</w:t>
      </w:r>
      <w:r w:rsidRPr="00706B92">
        <w:rPr>
          <w:rStyle w:val="afb"/>
          <w:rFonts w:hint="cs"/>
          <w:rtl/>
        </w:rPr>
        <w:t xml:space="preserve"> </w:t>
      </w:r>
      <w:r w:rsidRPr="00706B92">
        <w:rPr>
          <w:rStyle w:val="aff6"/>
          <w:rFonts w:hint="cs"/>
          <w:rtl/>
        </w:rPr>
        <w:t>(סי' כ"ה או' א' ד"ה והנה ידוע, וד"ה ובעיקר)</w:t>
      </w:r>
      <w:r w:rsidRPr="00706B92">
        <w:rPr>
          <w:rStyle w:val="afb"/>
          <w:rFonts w:hint="cs"/>
          <w:rtl/>
        </w:rPr>
        <w:t xml:space="preserve"> לבאר את החילוק בין דין מיגו לדין הפה שאסר].</w:t>
      </w:r>
    </w:p>
    <w:p w:rsidR="00E824D3" w:rsidRDefault="00E824D3" w:rsidP="00E824D3">
      <w:pPr>
        <w:pStyle w:val="1"/>
        <w:rPr>
          <w:rtl/>
        </w:rPr>
      </w:pPr>
      <w:bookmarkStart w:id="18464" w:name="_Toc66186072"/>
      <w:bookmarkStart w:id="18465" w:name="_Toc66193538"/>
      <w:r>
        <w:rPr>
          <w:rFonts w:hint="cs"/>
          <w:rtl/>
        </w:rPr>
        <w:t>בי' הקה"י ברמב"ן דלרב ושמואל דל"א משאיל"מ אין ע"א כב'</w:t>
      </w:r>
      <w:bookmarkEnd w:id="18464"/>
      <w:bookmarkEnd w:id="18465"/>
    </w:p>
    <w:p w:rsidR="00E824D3" w:rsidRPr="00F53E51" w:rsidRDefault="00E824D3" w:rsidP="00E824D3">
      <w:pPr>
        <w:pStyle w:val="a3"/>
        <w:rPr>
          <w:rtl/>
        </w:rPr>
      </w:pPr>
      <w:bookmarkStart w:id="18466" w:name="_Toc66186073"/>
      <w:bookmarkStart w:id="18467" w:name="_Toc66193539"/>
      <w:r>
        <w:rPr>
          <w:rFonts w:hint="cs"/>
          <w:rtl/>
        </w:rPr>
        <w:t>בי' הקה"י ברמב"ן דכיון דהע"א כב' א"כ המיגו נגד חזקה דמה שתח"י וחשיב כמיגו להוציא</w:t>
      </w:r>
      <w:bookmarkEnd w:id="18466"/>
      <w:bookmarkEnd w:id="18467"/>
    </w:p>
    <w:p w:rsidR="00E824D3" w:rsidRDefault="00E824D3" w:rsidP="007E4E81">
      <w:pPr>
        <w:pStyle w:val="a0"/>
        <w:rPr>
          <w:rtl/>
        </w:rPr>
      </w:pPr>
      <w:bookmarkStart w:id="18468" w:name="_Ref66055566"/>
      <w:r>
        <w:rPr>
          <w:rFonts w:hint="cs"/>
          <w:rtl/>
        </w:rPr>
        <w:t xml:space="preserve">במ"ש </w:t>
      </w:r>
      <w:r>
        <w:rPr>
          <w:rStyle w:val="af9"/>
          <w:rtl/>
        </w:rPr>
        <w:t>הרמב"ן</w:t>
      </w:r>
      <w:r>
        <w:rPr>
          <w:rFonts w:hint="cs"/>
          <w:rtl/>
        </w:rPr>
        <w:t xml:space="preserve"> </w:t>
      </w:r>
      <w:r w:rsidRPr="00F53E51">
        <w:rPr>
          <w:rStyle w:val="af7"/>
          <w:rFonts w:eastAsia="Guttman Hodes" w:hint="cs"/>
          <w:rtl/>
        </w:rPr>
        <w:t xml:space="preserve">(עי' אות </w:t>
      </w:r>
      <w:r w:rsidRPr="00F53E51">
        <w:rPr>
          <w:rStyle w:val="af7"/>
          <w:rFonts w:eastAsia="Guttman Hodes"/>
          <w:rtl/>
        </w:rPr>
        <w:fldChar w:fldCharType="begin"/>
      </w:r>
      <w:r w:rsidRPr="00F53E51">
        <w:rPr>
          <w:rStyle w:val="af7"/>
          <w:rFonts w:eastAsia="Guttman Hodes"/>
          <w:rtl/>
        </w:rPr>
        <w:instrText xml:space="preserve"> </w:instrText>
      </w:r>
      <w:r w:rsidRPr="00F53E51">
        <w:rPr>
          <w:rStyle w:val="af7"/>
          <w:rFonts w:eastAsia="Guttman Hodes" w:hint="cs"/>
        </w:rPr>
        <w:instrText>REF</w:instrText>
      </w:r>
      <w:r w:rsidRPr="00F53E51">
        <w:rPr>
          <w:rStyle w:val="af7"/>
          <w:rFonts w:eastAsia="Guttman Hodes" w:hint="cs"/>
          <w:rtl/>
        </w:rPr>
        <w:instrText xml:space="preserve"> _</w:instrText>
      </w:r>
      <w:r w:rsidRPr="00F53E51">
        <w:rPr>
          <w:rStyle w:val="af7"/>
          <w:rFonts w:eastAsia="Guttman Hodes" w:hint="cs"/>
        </w:rPr>
        <w:instrText>Ref66054904 \r \h</w:instrText>
      </w:r>
      <w:r w:rsidRPr="00F53E51">
        <w:rPr>
          <w:rStyle w:val="af7"/>
          <w:rFonts w:eastAsia="Guttman Hodes"/>
          <w:rtl/>
        </w:rPr>
        <w:instrText xml:space="preserve"> </w:instrText>
      </w:r>
      <w:r w:rsidRPr="00F53E51">
        <w:rPr>
          <w:rStyle w:val="af7"/>
          <w:rFonts w:eastAsia="Guttman Hodes"/>
          <w:rtl/>
        </w:rPr>
      </w:r>
      <w:r w:rsidRPr="00F53E51">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F53E51">
        <w:rPr>
          <w:rStyle w:val="af7"/>
          <w:rFonts w:eastAsia="Guttman Hodes"/>
          <w:rtl/>
        </w:rPr>
        <w:fldChar w:fldCharType="end"/>
      </w:r>
      <w:r w:rsidRPr="00F53E51">
        <w:rPr>
          <w:rStyle w:val="af7"/>
          <w:rFonts w:eastAsia="Guttman Hodes" w:hint="cs"/>
          <w:rtl/>
        </w:rPr>
        <w:t xml:space="preserve"> </w:t>
      </w:r>
      <w:r>
        <w:rPr>
          <w:rFonts w:hint="cs"/>
          <w:rtl/>
        </w:rPr>
        <w:t xml:space="preserve">בשם </w:t>
      </w:r>
      <w:r>
        <w:rPr>
          <w:rStyle w:val="af9"/>
          <w:rtl/>
        </w:rPr>
        <w:t>י"מ</w:t>
      </w:r>
      <w:r>
        <w:rPr>
          <w:rFonts w:hint="cs"/>
          <w:rtl/>
        </w:rPr>
        <w:t xml:space="preserve"> דכיון שהתורה האמינה לע"א, כ"ז שלא נשבע העד נאמן כשנים, וחשיב שחטף בפנינו, ולכן אף אם נשבע דדידי חטפי אינו נאמן, הקשה </w:t>
      </w:r>
      <w:r w:rsidRPr="00F4173A">
        <w:rPr>
          <w:rStyle w:val="af9"/>
          <w:rFonts w:hint="cs"/>
          <w:rtl/>
        </w:rPr>
        <w:t>הקה"י</w:t>
      </w:r>
      <w:r>
        <w:rPr>
          <w:rFonts w:hint="cs"/>
          <w:rtl/>
        </w:rPr>
        <w:t xml:space="preserve"> </w:t>
      </w:r>
      <w:r w:rsidRPr="00F53E51">
        <w:rPr>
          <w:rStyle w:val="af7"/>
          <w:rFonts w:eastAsia="Guttman Hodes" w:hint="cs"/>
          <w:rtl/>
        </w:rPr>
        <w:t xml:space="preserve">(סי' כ"ה או' ב' ד"ה עוד תירץ) </w:t>
      </w:r>
      <w:r>
        <w:rPr>
          <w:rFonts w:hint="cs"/>
          <w:rtl/>
        </w:rPr>
        <w:t xml:space="preserve">דאף אם היו שנים שחטף ג"כ היה נאמן בטענת דידי חטפי אם היה לו מיגו, וא"כ הכא שיש לו מיגו דלא חטפי, אף שהע"א כשנים הוא צריך להיות נאמן, וכן הקשה </w:t>
      </w:r>
      <w:r w:rsidRPr="00F4173A">
        <w:rPr>
          <w:rStyle w:val="af9"/>
          <w:rFonts w:hint="cs"/>
          <w:rtl/>
        </w:rPr>
        <w:t>הקוב"ש</w:t>
      </w:r>
      <w:r>
        <w:rPr>
          <w:rFonts w:hint="cs"/>
          <w:rtl/>
        </w:rPr>
        <w:t xml:space="preserve"> </w:t>
      </w:r>
      <w:r w:rsidRPr="00F53E51">
        <w:rPr>
          <w:rStyle w:val="af7"/>
          <w:rFonts w:eastAsia="Guttman Hodes" w:hint="cs"/>
          <w:rtl/>
        </w:rPr>
        <w:t xml:space="preserve">(עי' אות </w:t>
      </w:r>
      <w:r w:rsidRPr="00F53E51">
        <w:rPr>
          <w:rStyle w:val="af7"/>
          <w:rFonts w:eastAsia="Guttman Hodes"/>
          <w:rtl/>
        </w:rPr>
        <w:fldChar w:fldCharType="begin"/>
      </w:r>
      <w:r w:rsidRPr="00F53E51">
        <w:rPr>
          <w:rStyle w:val="af7"/>
          <w:rFonts w:eastAsia="Guttman Hodes"/>
          <w:rtl/>
        </w:rPr>
        <w:instrText xml:space="preserve"> </w:instrText>
      </w:r>
      <w:r w:rsidRPr="00F53E51">
        <w:rPr>
          <w:rStyle w:val="af7"/>
          <w:rFonts w:eastAsia="Guttman Hodes" w:hint="cs"/>
        </w:rPr>
        <w:instrText>REF</w:instrText>
      </w:r>
      <w:r w:rsidRPr="00F53E51">
        <w:rPr>
          <w:rStyle w:val="af7"/>
          <w:rFonts w:eastAsia="Guttman Hodes" w:hint="cs"/>
          <w:rtl/>
        </w:rPr>
        <w:instrText xml:space="preserve"> _</w:instrText>
      </w:r>
      <w:r w:rsidRPr="00F53E51">
        <w:rPr>
          <w:rStyle w:val="af7"/>
          <w:rFonts w:eastAsia="Guttman Hodes" w:hint="cs"/>
        </w:rPr>
        <w:instrText>Ref66013473 \r \h</w:instrText>
      </w:r>
      <w:r w:rsidRPr="00F53E51">
        <w:rPr>
          <w:rStyle w:val="af7"/>
          <w:rFonts w:eastAsia="Guttman Hodes"/>
          <w:rtl/>
        </w:rPr>
        <w:instrText xml:space="preserve">  \* </w:instrText>
      </w:r>
      <w:r w:rsidRPr="00F53E51">
        <w:rPr>
          <w:rStyle w:val="af7"/>
          <w:rFonts w:eastAsia="Guttman Hodes"/>
        </w:rPr>
        <w:instrText>MERGEFORMAT</w:instrText>
      </w:r>
      <w:r w:rsidRPr="00F53E51">
        <w:rPr>
          <w:rStyle w:val="af7"/>
          <w:rFonts w:eastAsia="Guttman Hodes"/>
          <w:rtl/>
        </w:rPr>
        <w:instrText xml:space="preserve"> </w:instrText>
      </w:r>
      <w:r w:rsidRPr="00F53E51">
        <w:rPr>
          <w:rStyle w:val="af7"/>
          <w:rFonts w:eastAsia="Guttman Hodes"/>
          <w:rtl/>
        </w:rPr>
      </w:r>
      <w:r w:rsidRPr="00F53E51">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sidRPr="00F53E51">
        <w:rPr>
          <w:rStyle w:val="af7"/>
          <w:rFonts w:eastAsia="Guttman Hodes"/>
          <w:rtl/>
        </w:rPr>
        <w:fldChar w:fldCharType="end"/>
      </w:r>
      <w:bookmarkEnd w:id="18468"/>
      <w:r>
        <w:rPr>
          <w:rFonts w:hint="cs"/>
          <w:rtl/>
        </w:rPr>
        <w:t xml:space="preserve">, וביאר </w:t>
      </w:r>
      <w:r w:rsidRPr="00F4173A">
        <w:rPr>
          <w:rStyle w:val="af9"/>
          <w:rFonts w:hint="cs"/>
          <w:rtl/>
        </w:rPr>
        <w:t>הקה"י</w:t>
      </w:r>
      <w:r>
        <w:rPr>
          <w:rFonts w:hint="cs"/>
          <w:rtl/>
        </w:rPr>
        <w:t xml:space="preserve"> </w:t>
      </w:r>
      <w:r w:rsidRPr="00F53E51">
        <w:rPr>
          <w:rStyle w:val="af7"/>
          <w:rFonts w:eastAsia="Guttman Hodes" w:hint="cs"/>
          <w:rtl/>
        </w:rPr>
        <w:t>(סי' כ"ה או' ב' ד"ה עוד תירץ)</w:t>
      </w:r>
      <w:r>
        <w:rPr>
          <w:rFonts w:hint="cs"/>
          <w:rtl/>
        </w:rPr>
        <w:t xml:space="preserve"> דס"ל </w:t>
      </w:r>
      <w:r w:rsidRPr="00D02358">
        <w:rPr>
          <w:rStyle w:val="af9"/>
          <w:rFonts w:hint="cs"/>
          <w:rtl/>
        </w:rPr>
        <w:t>להרמב"ן</w:t>
      </w:r>
      <w:r>
        <w:rPr>
          <w:rFonts w:hint="cs"/>
          <w:rtl/>
        </w:rPr>
        <w:t xml:space="preserve"> דמיגו ל"מ כנגד חזקה דמה שתח"י שלו הוא, דחשיב כמיגו להוציא, וכל שאנו רואים שהנסכא באה לידו ע"י חטיפה, נשאר הראשון מוחזק בנסכא, ולכן כל שהע"א נחשב כשנים, ואנו יודעים שחטף ממנו, ממילא המיגו הוא כנגד החזקה ולא מהני, </w:t>
      </w:r>
      <w:r w:rsidRPr="00302A2F">
        <w:rPr>
          <w:rStyle w:val="afb"/>
          <w:rFonts w:hint="cs"/>
          <w:rtl/>
        </w:rPr>
        <w:t xml:space="preserve">[וכתב </w:t>
      </w:r>
      <w:r w:rsidRPr="00302A2F">
        <w:rPr>
          <w:rStyle w:val="affa"/>
          <w:rFonts w:hint="cs"/>
          <w:rtl/>
        </w:rPr>
        <w:t>הקה"י</w:t>
      </w:r>
      <w:r w:rsidRPr="00302A2F">
        <w:rPr>
          <w:rStyle w:val="afb"/>
          <w:rFonts w:hint="cs"/>
          <w:rtl/>
        </w:rPr>
        <w:t xml:space="preserve"> דהא דבמקום שאין עדים שחטף הוא נאמן בטענת אין חטפי ודידי חטפי, במיגו דלא חטפי, הוא כיון דרק מכח הודאת החוטף אנו יודעים שהייתה חטיפה, א"כ הראשון אינו מוחזק בנסכא לפנינו, ואדרבא החוטף הוא המוחזק בה, ולכן מהני המיגו דאינו כנגד החזקה],</w:t>
      </w:r>
      <w:r>
        <w:rPr>
          <w:rFonts w:hint="cs"/>
          <w:rtl/>
        </w:rPr>
        <w:t xml:space="preserve"> ועי' במ"ש </w:t>
      </w:r>
      <w:r w:rsidRPr="00302A2F">
        <w:rPr>
          <w:rStyle w:val="af9"/>
          <w:rFonts w:hint="cs"/>
          <w:rtl/>
        </w:rPr>
        <w:t>הגר"ח</w:t>
      </w:r>
      <w:r>
        <w:rPr>
          <w:rFonts w:hint="cs"/>
          <w:rtl/>
        </w:rPr>
        <w:t xml:space="preserve"> </w:t>
      </w:r>
      <w:r w:rsidRPr="00302A2F">
        <w:rPr>
          <w:rStyle w:val="af7"/>
          <w:rFonts w:eastAsia="Guttman Hodes" w:hint="cs"/>
          <w:rtl/>
        </w:rPr>
        <w:t xml:space="preserve">(עי' אות </w:t>
      </w:r>
      <w:r w:rsidRPr="00302A2F">
        <w:rPr>
          <w:rStyle w:val="af7"/>
          <w:rFonts w:eastAsia="Guttman Hodes"/>
          <w:rtl/>
        </w:rPr>
        <w:fldChar w:fldCharType="begin"/>
      </w:r>
      <w:r w:rsidRPr="00302A2F">
        <w:rPr>
          <w:rStyle w:val="af7"/>
          <w:rFonts w:eastAsia="Guttman Hodes"/>
          <w:rtl/>
        </w:rPr>
        <w:instrText xml:space="preserve"> </w:instrText>
      </w:r>
      <w:r w:rsidRPr="00302A2F">
        <w:rPr>
          <w:rStyle w:val="af7"/>
          <w:rFonts w:eastAsia="Guttman Hodes" w:hint="cs"/>
        </w:rPr>
        <w:instrText>REF</w:instrText>
      </w:r>
      <w:r w:rsidRPr="00302A2F">
        <w:rPr>
          <w:rStyle w:val="af7"/>
          <w:rFonts w:eastAsia="Guttman Hodes" w:hint="cs"/>
          <w:rtl/>
        </w:rPr>
        <w:instrText xml:space="preserve"> _</w:instrText>
      </w:r>
      <w:r w:rsidRPr="00302A2F">
        <w:rPr>
          <w:rStyle w:val="af7"/>
          <w:rFonts w:eastAsia="Guttman Hodes" w:hint="cs"/>
        </w:rPr>
        <w:instrText>Ref66132463 \r \h</w:instrText>
      </w:r>
      <w:r w:rsidRPr="00302A2F">
        <w:rPr>
          <w:rStyle w:val="af7"/>
          <w:rFonts w:eastAsia="Guttman Hodes"/>
          <w:rtl/>
        </w:rPr>
        <w:instrText xml:space="preserve"> </w:instrText>
      </w:r>
      <w:r w:rsidRPr="00302A2F">
        <w:rPr>
          <w:rStyle w:val="af7"/>
          <w:rFonts w:eastAsia="Guttman Hodes"/>
          <w:rtl/>
        </w:rPr>
      </w:r>
      <w:r w:rsidRPr="00302A2F">
        <w:rPr>
          <w:rStyle w:val="af7"/>
          <w:rFonts w:eastAsia="Guttman Hodes"/>
          <w:rtl/>
        </w:rPr>
        <w:fldChar w:fldCharType="separate"/>
      </w:r>
      <w:r w:rsidR="00265073">
        <w:rPr>
          <w:rStyle w:val="af7"/>
          <w:rFonts w:eastAsia="Guttman Hodes"/>
          <w:cs/>
        </w:rPr>
        <w:t>‎</w:t>
      </w:r>
      <w:r w:rsidR="00265073">
        <w:rPr>
          <w:rStyle w:val="af7"/>
          <w:rFonts w:eastAsia="Guttman Hodes"/>
          <w:rtl/>
        </w:rPr>
        <w:t>סג)</w:t>
      </w:r>
      <w:r w:rsidRPr="00302A2F">
        <w:rPr>
          <w:rStyle w:val="af7"/>
          <w:rFonts w:eastAsia="Guttman Hodes"/>
          <w:rtl/>
        </w:rPr>
        <w:fldChar w:fldCharType="end"/>
      </w:r>
      <w:r>
        <w:rPr>
          <w:rFonts w:hint="cs"/>
          <w:rtl/>
        </w:rPr>
        <w:t>.</w:t>
      </w:r>
    </w:p>
    <w:p w:rsidR="00E824D3" w:rsidRPr="00A82325" w:rsidRDefault="00E824D3" w:rsidP="00E824D3">
      <w:pPr>
        <w:pStyle w:val="a3"/>
      </w:pPr>
      <w:bookmarkStart w:id="18469" w:name="_Toc66186074"/>
      <w:bookmarkStart w:id="18470" w:name="_Toc66193540"/>
      <w:r>
        <w:rPr>
          <w:rFonts w:hint="cs"/>
          <w:rtl/>
        </w:rPr>
        <w:t>דברי הקה"י דלרב ושמואל דל"א משאיל"מ ע"א אינו כב' ואין לראשון חזקה ומהני מיגו</w:t>
      </w:r>
      <w:bookmarkEnd w:id="18469"/>
      <w:bookmarkEnd w:id="18470"/>
    </w:p>
    <w:p w:rsidR="00E824D3" w:rsidRDefault="00E824D3" w:rsidP="007E4E81">
      <w:pPr>
        <w:pStyle w:val="a0"/>
      </w:pPr>
      <w:r>
        <w:rPr>
          <w:rFonts w:hint="cs"/>
          <w:rtl/>
        </w:rPr>
        <w:t xml:space="preserve">ובדעת רב ושמואל דס"ל דלא אמרינן מתוך שאינו יכול לישבע משלם, ואף כשיש ע"א הוא נאמן בטענת דידי חטפי במיגו דלא חטפי, ביאר </w:t>
      </w:r>
      <w:r w:rsidRPr="00F4173A">
        <w:rPr>
          <w:rStyle w:val="af9"/>
          <w:rFonts w:hint="cs"/>
          <w:rtl/>
        </w:rPr>
        <w:t>הקה"י</w:t>
      </w:r>
      <w:r>
        <w:rPr>
          <w:rFonts w:hint="cs"/>
          <w:rtl/>
        </w:rPr>
        <w:t xml:space="preserve"> דכיון דהם פליגי על דין מתוך שאינו יכול לישבע משלם, א"כ ס"ל דהכח של ע"א אינו כמו שנים, ואף לפני שנשבע להכחיש את העד אינו יכול לחייב כשנים, והוא מחייב רק שבועה, וא"כ הראשון אינו מוחזק בנסכא מכח עדות הע"א גם לפני שנשבע להכחיש את הע"א, ולכן אי"ז מיגו כנגד חזקה, ומהני המיגו. </w:t>
      </w:r>
    </w:p>
    <w:p w:rsidR="00E824D3" w:rsidRDefault="00E824D3" w:rsidP="00E824D3">
      <w:pPr>
        <w:pStyle w:val="1"/>
        <w:rPr>
          <w:rtl/>
        </w:rPr>
      </w:pPr>
      <w:bookmarkStart w:id="18471" w:name="_Toc66186075"/>
      <w:bookmarkStart w:id="18472" w:name="_Toc66193541"/>
      <w:r>
        <w:rPr>
          <w:rFonts w:hint="cs"/>
          <w:rtl/>
        </w:rPr>
        <w:t>ביאור הגרנ"פ ברמב"ן ובקצוה"ח</w:t>
      </w:r>
      <w:bookmarkEnd w:id="18452"/>
      <w:bookmarkEnd w:id="18453"/>
      <w:r>
        <w:rPr>
          <w:rFonts w:hint="cs"/>
          <w:rtl/>
        </w:rPr>
        <w:t xml:space="preserve"> דלגבי הע"א ל"מ המיגו</w:t>
      </w:r>
      <w:bookmarkEnd w:id="18454"/>
      <w:bookmarkEnd w:id="18455"/>
      <w:bookmarkEnd w:id="18471"/>
      <w:bookmarkEnd w:id="18472"/>
    </w:p>
    <w:p w:rsidR="00E824D3" w:rsidRPr="00EC4FE6" w:rsidRDefault="00E824D3" w:rsidP="00E824D3">
      <w:pPr>
        <w:pStyle w:val="a3"/>
        <w:rPr>
          <w:rtl/>
        </w:rPr>
      </w:pPr>
      <w:bookmarkStart w:id="18473" w:name="_Toc66172070"/>
      <w:bookmarkStart w:id="18474" w:name="_Toc66183285"/>
      <w:bookmarkStart w:id="18475" w:name="_Toc66186076"/>
      <w:bookmarkStart w:id="18476" w:name="_Toc66193542"/>
      <w:r>
        <w:rPr>
          <w:rFonts w:hint="cs"/>
          <w:rtl/>
        </w:rPr>
        <w:t>בי' הגרנ"פ בקצוה"ח דכיון שהע"א ראה את החטיפה יש חסרון בכח הטענת המיגו דלא חטפי</w:t>
      </w:r>
      <w:bookmarkEnd w:id="18473"/>
      <w:bookmarkEnd w:id="18474"/>
      <w:bookmarkEnd w:id="18475"/>
      <w:bookmarkEnd w:id="18476"/>
    </w:p>
    <w:p w:rsidR="00E824D3" w:rsidRDefault="00E824D3" w:rsidP="007E4E81">
      <w:pPr>
        <w:pStyle w:val="a0"/>
        <w:rPr>
          <w:rtl/>
        </w:rPr>
      </w:pPr>
      <w:bookmarkStart w:id="18477" w:name="_Ref66116851"/>
      <w:r>
        <w:rPr>
          <w:rFonts w:hint="cs"/>
          <w:rtl/>
        </w:rPr>
        <w:t xml:space="preserve">במה שתירץ </w:t>
      </w:r>
      <w:r w:rsidRPr="003758BA">
        <w:rPr>
          <w:rStyle w:val="af9"/>
          <w:rFonts w:hint="cs"/>
          <w:rtl/>
        </w:rPr>
        <w:t>הקצוה"ח</w:t>
      </w:r>
      <w:r>
        <w:rPr>
          <w:rFonts w:hint="cs"/>
          <w:rtl/>
        </w:rPr>
        <w:t xml:space="preserve"> </w:t>
      </w:r>
      <w:r w:rsidRPr="00706476">
        <w:rPr>
          <w:rStyle w:val="af7"/>
          <w:rFonts w:eastAsia="Guttman Hodes" w:hint="cs"/>
          <w:rtl/>
        </w:rPr>
        <w:t xml:space="preserve">(עי' אות </w:t>
      </w:r>
      <w:r w:rsidRPr="00706476">
        <w:rPr>
          <w:rStyle w:val="af7"/>
          <w:rFonts w:eastAsia="Guttman Hodes"/>
          <w:rtl/>
        </w:rPr>
        <w:fldChar w:fldCharType="begin"/>
      </w:r>
      <w:r w:rsidRPr="00706476">
        <w:rPr>
          <w:rStyle w:val="af7"/>
          <w:rFonts w:eastAsia="Guttman Hodes"/>
          <w:rtl/>
        </w:rPr>
        <w:instrText xml:space="preserve"> </w:instrText>
      </w:r>
      <w:r w:rsidRPr="00706476">
        <w:rPr>
          <w:rStyle w:val="af7"/>
          <w:rFonts w:eastAsia="Guttman Hodes" w:hint="cs"/>
        </w:rPr>
        <w:instrText>REF</w:instrText>
      </w:r>
      <w:r w:rsidRPr="00706476">
        <w:rPr>
          <w:rStyle w:val="af7"/>
          <w:rFonts w:eastAsia="Guttman Hodes" w:hint="cs"/>
          <w:rtl/>
        </w:rPr>
        <w:instrText xml:space="preserve"> _</w:instrText>
      </w:r>
      <w:r w:rsidRPr="00706476">
        <w:rPr>
          <w:rStyle w:val="af7"/>
          <w:rFonts w:eastAsia="Guttman Hodes" w:hint="cs"/>
        </w:rPr>
        <w:instrText>Ref66135183 \r \h</w:instrText>
      </w:r>
      <w:r w:rsidRPr="00706476">
        <w:rPr>
          <w:rStyle w:val="af7"/>
          <w:rFonts w:eastAsia="Guttman Hodes"/>
          <w:rtl/>
        </w:rPr>
        <w:instrText xml:space="preserve"> </w:instrText>
      </w:r>
      <w:r w:rsidRPr="00706476">
        <w:rPr>
          <w:rStyle w:val="af7"/>
          <w:rFonts w:eastAsia="Guttman Hodes"/>
          <w:rtl/>
        </w:rPr>
      </w:r>
      <w:r w:rsidRPr="00706476">
        <w:rPr>
          <w:rStyle w:val="af7"/>
          <w:rFonts w:eastAsia="Guttman Hodes"/>
          <w:rtl/>
        </w:rPr>
        <w:fldChar w:fldCharType="separate"/>
      </w:r>
      <w:r w:rsidR="00265073">
        <w:rPr>
          <w:rStyle w:val="af7"/>
          <w:rFonts w:eastAsia="Guttman Hodes"/>
          <w:cs/>
        </w:rPr>
        <w:t>‎</w:t>
      </w:r>
      <w:r w:rsidR="00265073">
        <w:rPr>
          <w:rStyle w:val="af7"/>
          <w:rFonts w:eastAsia="Guttman Hodes"/>
          <w:rtl/>
        </w:rPr>
        <w:t>לג)</w:t>
      </w:r>
      <w:r w:rsidRPr="00706476">
        <w:rPr>
          <w:rStyle w:val="af7"/>
          <w:rFonts w:eastAsia="Guttman Hodes"/>
          <w:rtl/>
        </w:rPr>
        <w:fldChar w:fldCharType="end"/>
      </w:r>
      <w:r>
        <w:rPr>
          <w:rFonts w:hint="cs"/>
          <w:rtl/>
        </w:rPr>
        <w:t xml:space="preserve"> דל"מ מיגו דלא חטפי, דכלפי הע"א שראה את החטיפה החוטף כגזלן, ואין כל מיגו דמעיד שהנסכא באה לידו בגזילה, ולכן אמרינן מתוך שאינו יכול לישבע משלם, ביאר </w:t>
      </w:r>
      <w:r w:rsidRPr="00CC1DF1">
        <w:rPr>
          <w:rStyle w:val="af9"/>
          <w:rFonts w:hint="cs"/>
          <w:rtl/>
        </w:rPr>
        <w:t xml:space="preserve">בחי' רבי נחום </w:t>
      </w:r>
      <w:r w:rsidRPr="00CC1DF1">
        <w:rPr>
          <w:rStyle w:val="af7"/>
          <w:rFonts w:eastAsia="Guttman Hodes" w:hint="cs"/>
          <w:rtl/>
        </w:rPr>
        <w:t>(או' ר"ב ד"ה</w:t>
      </w:r>
      <w:r>
        <w:rPr>
          <w:rStyle w:val="af7"/>
          <w:rFonts w:eastAsia="Guttman Hodes" w:hint="cs"/>
          <w:rtl/>
        </w:rPr>
        <w:t xml:space="preserve"> ולפני)</w:t>
      </w:r>
      <w:r>
        <w:rPr>
          <w:rFonts w:hint="cs"/>
          <w:rtl/>
        </w:rPr>
        <w:t xml:space="preserve"> דכוונת </w:t>
      </w:r>
      <w:r w:rsidRPr="00706476">
        <w:rPr>
          <w:rStyle w:val="af9"/>
          <w:rFonts w:hint="cs"/>
          <w:rtl/>
        </w:rPr>
        <w:t>הקצוה"ח</w:t>
      </w:r>
      <w:r>
        <w:rPr>
          <w:rFonts w:hint="cs"/>
          <w:rtl/>
        </w:rPr>
        <w:t xml:space="preserve"> לומר שיש חסרון בדין מיגו דכח הטענה של המיגו, דלגבי העד שראה את מעשה החטיפה, אין לחוטף זכות טענה לטעון לא חטפי, אבל בדין מיגו דמה לי לשקר, אין כל חסרון במה שהע"א ראה שחטף, דהא אף כלפי העד הוא טוען דידי חטפי, ואין העד רואה שהוא משקר בטענתו כשאינו נשבע להכחישו.</w:t>
      </w:r>
      <w:bookmarkEnd w:id="18477"/>
    </w:p>
    <w:p w:rsidR="00B532CF" w:rsidRPr="00B532CF" w:rsidRDefault="00B532CF" w:rsidP="00B532CF">
      <w:pPr>
        <w:pStyle w:val="a3"/>
        <w:rPr>
          <w:rtl/>
        </w:rPr>
      </w:pPr>
    </w:p>
    <w:p w:rsidR="00E824D3" w:rsidRPr="007C3154" w:rsidRDefault="00E824D3" w:rsidP="00E824D3">
      <w:pPr>
        <w:pStyle w:val="a3"/>
        <w:rPr>
          <w:rtl/>
        </w:rPr>
      </w:pPr>
      <w:bookmarkStart w:id="18478" w:name="_Toc66172071"/>
      <w:bookmarkStart w:id="18479" w:name="_Toc66183286"/>
      <w:bookmarkStart w:id="18480" w:name="_Toc66186077"/>
      <w:bookmarkStart w:id="18481" w:name="_Toc66193543"/>
      <w:r>
        <w:rPr>
          <w:rFonts w:hint="cs"/>
          <w:rtl/>
        </w:rPr>
        <w:t>בי' הגרנ"פ בקצוה"ח דבמיגו אין עדותו על מעשה גזילה וכשלגבי הע"א אין מיגו מעיד על גזילה</w:t>
      </w:r>
      <w:bookmarkEnd w:id="18478"/>
      <w:bookmarkEnd w:id="18479"/>
      <w:bookmarkEnd w:id="18480"/>
      <w:bookmarkEnd w:id="18481"/>
    </w:p>
    <w:p w:rsidR="00E824D3" w:rsidRDefault="00E824D3" w:rsidP="007E4E81">
      <w:pPr>
        <w:pStyle w:val="a0"/>
        <w:rPr>
          <w:rtl/>
        </w:rPr>
      </w:pPr>
      <w:bookmarkStart w:id="18482" w:name="_Ref66116829"/>
      <w:r>
        <w:rPr>
          <w:rFonts w:hint="cs"/>
          <w:rtl/>
        </w:rPr>
        <w:t xml:space="preserve">וביאר </w:t>
      </w:r>
      <w:r w:rsidRPr="0089403E">
        <w:rPr>
          <w:rStyle w:val="af9"/>
          <w:rFonts w:hint="cs"/>
          <w:rtl/>
        </w:rPr>
        <w:t xml:space="preserve">בחי' רבי נחום </w:t>
      </w:r>
      <w:r>
        <w:rPr>
          <w:rFonts w:hint="cs"/>
          <w:rtl/>
        </w:rPr>
        <w:t xml:space="preserve">את דברי </w:t>
      </w:r>
      <w:r w:rsidRPr="0089403E">
        <w:rPr>
          <w:rStyle w:val="af9"/>
          <w:rFonts w:hint="cs"/>
          <w:rtl/>
        </w:rPr>
        <w:t xml:space="preserve">הקצוה"ח </w:t>
      </w:r>
      <w:r>
        <w:rPr>
          <w:rFonts w:hint="cs"/>
          <w:rtl/>
        </w:rPr>
        <w:t xml:space="preserve">דאף שהע"א אינו מעיד שהנסכא הייתה של הראשון, מ"מ עדות הע"א על החטיפה מחייבת שבועה, כיון שיש חזקה דכ"מ שתח"י שלו הוא, ולכן הוא יכול לחייב שבועה, ומבואר דמה שהוא רואה מעשה חטיפה, חשיב שרואה שגוזל את ממון הראשון, דהחזקה היא כמו עדות ברורה שהנסכא של הראשון, </w:t>
      </w:r>
      <w:r w:rsidRPr="00DE0DAD">
        <w:rPr>
          <w:rStyle w:val="afb"/>
          <w:rFonts w:hint="cs"/>
          <w:rtl/>
        </w:rPr>
        <w:t xml:space="preserve">[וכ"כ </w:t>
      </w:r>
      <w:r w:rsidRPr="00706476">
        <w:rPr>
          <w:rStyle w:val="affa"/>
          <w:rFonts w:hint="cs"/>
          <w:rtl/>
        </w:rPr>
        <w:t>בחו"ש הגרב"ב</w:t>
      </w:r>
      <w:r w:rsidRPr="00DE0DAD">
        <w:rPr>
          <w:rStyle w:val="afb"/>
          <w:rFonts w:hint="cs"/>
          <w:rtl/>
        </w:rPr>
        <w:t xml:space="preserve"> </w:t>
      </w:r>
      <w:r w:rsidRPr="00706476">
        <w:rPr>
          <w:rStyle w:val="aff6"/>
          <w:rFonts w:hint="cs"/>
          <w:rtl/>
        </w:rPr>
        <w:t xml:space="preserve">(עי' אות </w:t>
      </w:r>
      <w:r w:rsidRPr="00706476">
        <w:rPr>
          <w:rStyle w:val="aff6"/>
          <w:rtl/>
        </w:rPr>
        <w:fldChar w:fldCharType="begin"/>
      </w:r>
      <w:r w:rsidRPr="00706476">
        <w:rPr>
          <w:rStyle w:val="aff6"/>
          <w:rtl/>
        </w:rPr>
        <w:instrText xml:space="preserve"> </w:instrText>
      </w:r>
      <w:r w:rsidRPr="00706476">
        <w:rPr>
          <w:rStyle w:val="aff6"/>
          <w:rFonts w:hint="cs"/>
        </w:rPr>
        <w:instrText>REF</w:instrText>
      </w:r>
      <w:r w:rsidRPr="00706476">
        <w:rPr>
          <w:rStyle w:val="aff6"/>
          <w:rFonts w:hint="cs"/>
          <w:rtl/>
        </w:rPr>
        <w:instrText xml:space="preserve"> _</w:instrText>
      </w:r>
      <w:r w:rsidRPr="00706476">
        <w:rPr>
          <w:rStyle w:val="aff6"/>
          <w:rFonts w:hint="cs"/>
        </w:rPr>
        <w:instrText>Ref66135335 \r \h</w:instrText>
      </w:r>
      <w:r w:rsidRPr="00706476">
        <w:rPr>
          <w:rStyle w:val="aff6"/>
          <w:rtl/>
        </w:rPr>
        <w:instrText xml:space="preserve"> </w:instrText>
      </w:r>
      <w:r w:rsidRPr="00706476">
        <w:rPr>
          <w:rStyle w:val="aff6"/>
          <w:rtl/>
        </w:rPr>
      </w:r>
      <w:r w:rsidRPr="00706476">
        <w:rPr>
          <w:rStyle w:val="aff6"/>
          <w:rtl/>
        </w:rPr>
        <w:fldChar w:fldCharType="separate"/>
      </w:r>
      <w:r w:rsidR="00265073">
        <w:rPr>
          <w:rStyle w:val="aff6"/>
          <w:cs/>
        </w:rPr>
        <w:t>‎</w:t>
      </w:r>
      <w:r w:rsidR="00265073">
        <w:rPr>
          <w:rStyle w:val="aff6"/>
          <w:rtl/>
        </w:rPr>
        <w:t>פז)</w:t>
      </w:r>
      <w:r w:rsidRPr="00706476">
        <w:rPr>
          <w:rStyle w:val="aff6"/>
          <w:rtl/>
        </w:rPr>
        <w:fldChar w:fldCharType="end"/>
      </w:r>
      <w:r w:rsidRPr="00DE0DAD">
        <w:rPr>
          <w:rStyle w:val="afb"/>
          <w:rFonts w:hint="cs"/>
          <w:rtl/>
        </w:rPr>
        <w:t xml:space="preserve"> בשם </w:t>
      </w:r>
      <w:r w:rsidRPr="00706476">
        <w:rPr>
          <w:rStyle w:val="affa"/>
          <w:rFonts w:hint="cs"/>
          <w:rtl/>
        </w:rPr>
        <w:t>הגר"ח</w:t>
      </w:r>
      <w:r w:rsidRPr="00DE0DAD">
        <w:rPr>
          <w:rStyle w:val="afb"/>
          <w:rFonts w:hint="cs"/>
          <w:rtl/>
        </w:rPr>
        <w:t xml:space="preserve"> </w:t>
      </w:r>
      <w:r w:rsidRPr="00885D05">
        <w:rPr>
          <w:rStyle w:val="aff6"/>
          <w:rFonts w:hint="cs"/>
          <w:rtl/>
        </w:rPr>
        <w:t>(</w:t>
      </w:r>
      <w:r w:rsidRPr="008C267B">
        <w:rPr>
          <w:rStyle w:val="aff6"/>
          <w:rFonts w:hint="cs"/>
          <w:rtl/>
        </w:rPr>
        <w:t xml:space="preserve">עי' אות </w:t>
      </w:r>
      <w:r w:rsidRPr="008C267B">
        <w:rPr>
          <w:rStyle w:val="aff6"/>
          <w:rtl/>
        </w:rPr>
        <w:fldChar w:fldCharType="begin"/>
      </w:r>
      <w:r w:rsidRPr="008C267B">
        <w:rPr>
          <w:rStyle w:val="aff6"/>
          <w:rtl/>
        </w:rPr>
        <w:instrText xml:space="preserve"> </w:instrText>
      </w:r>
      <w:r w:rsidRPr="008C267B">
        <w:rPr>
          <w:rStyle w:val="aff6"/>
          <w:rFonts w:hint="cs"/>
        </w:rPr>
        <w:instrText>REF</w:instrText>
      </w:r>
      <w:r w:rsidRPr="008C267B">
        <w:rPr>
          <w:rStyle w:val="aff6"/>
          <w:rFonts w:hint="cs"/>
          <w:rtl/>
        </w:rPr>
        <w:instrText xml:space="preserve"> _</w:instrText>
      </w:r>
      <w:r w:rsidRPr="008C267B">
        <w:rPr>
          <w:rStyle w:val="aff6"/>
          <w:rFonts w:hint="cs"/>
        </w:rPr>
        <w:instrText>Ref66171289 \r \h</w:instrText>
      </w:r>
      <w:r w:rsidRPr="008C267B">
        <w:rPr>
          <w:rStyle w:val="aff6"/>
          <w:rtl/>
        </w:rPr>
        <w:instrText xml:space="preserve"> </w:instrText>
      </w:r>
      <w:r w:rsidRPr="008C267B">
        <w:rPr>
          <w:rStyle w:val="aff6"/>
          <w:rtl/>
        </w:rPr>
      </w:r>
      <w:r w:rsidRPr="008C267B">
        <w:rPr>
          <w:rStyle w:val="aff6"/>
          <w:rtl/>
        </w:rPr>
        <w:fldChar w:fldCharType="separate"/>
      </w:r>
      <w:r w:rsidR="00265073">
        <w:rPr>
          <w:rStyle w:val="aff6"/>
          <w:cs/>
        </w:rPr>
        <w:t>‎</w:t>
      </w:r>
      <w:r w:rsidR="00265073">
        <w:rPr>
          <w:rStyle w:val="aff6"/>
          <w:rtl/>
        </w:rPr>
        <w:t>סב)</w:t>
      </w:r>
      <w:r w:rsidRPr="008C267B">
        <w:rPr>
          <w:rStyle w:val="aff6"/>
          <w:rtl/>
        </w:rPr>
        <w:fldChar w:fldCharType="end"/>
      </w:r>
      <w:r w:rsidRPr="00DE0DAD">
        <w:rPr>
          <w:rStyle w:val="afb"/>
          <w:rFonts w:hint="cs"/>
          <w:rtl/>
        </w:rPr>
        <w:t>],</w:t>
      </w:r>
      <w:r>
        <w:rPr>
          <w:rFonts w:hint="cs"/>
          <w:rtl/>
        </w:rPr>
        <w:t xml:space="preserve"> וכתב </w:t>
      </w:r>
      <w:r w:rsidRPr="0089403E">
        <w:rPr>
          <w:rStyle w:val="af9"/>
          <w:rFonts w:hint="cs"/>
          <w:rtl/>
        </w:rPr>
        <w:t xml:space="preserve">בחי' רבי נחום </w:t>
      </w:r>
      <w:r>
        <w:rPr>
          <w:rFonts w:hint="cs"/>
          <w:rtl/>
        </w:rPr>
        <w:t xml:space="preserve">דכוונת </w:t>
      </w:r>
      <w:r w:rsidRPr="0089403E">
        <w:rPr>
          <w:rStyle w:val="af9"/>
          <w:rFonts w:hint="cs"/>
          <w:rtl/>
        </w:rPr>
        <w:t xml:space="preserve">הקצוה"ח </w:t>
      </w:r>
      <w:r>
        <w:rPr>
          <w:rFonts w:hint="cs"/>
          <w:rtl/>
        </w:rPr>
        <w:t xml:space="preserve">לומר דבמקום שיש לחוטף מיגו, לא חשיב שהע"א רואה מעשה גזילה כלל, דאף העד אינו יודע שהממון הוא של הראשו, ולכן כתב </w:t>
      </w:r>
      <w:r w:rsidRPr="00610231">
        <w:rPr>
          <w:rStyle w:val="af9"/>
          <w:rFonts w:hint="cs"/>
          <w:rtl/>
        </w:rPr>
        <w:t>הקצוה"ח</w:t>
      </w:r>
      <w:r>
        <w:rPr>
          <w:rFonts w:hint="cs"/>
          <w:rtl/>
        </w:rPr>
        <w:t xml:space="preserve"> דבמקום שכלפי העד אין מיגו, א"כ עדות העד היא על מעשה גזילה, דהוא רואה בבירור שהממון הוא של הראשון.</w:t>
      </w:r>
      <w:bookmarkEnd w:id="18482"/>
    </w:p>
    <w:p w:rsidR="00E824D3" w:rsidRPr="00EC4FE6" w:rsidRDefault="00E824D3" w:rsidP="00E824D3">
      <w:pPr>
        <w:pStyle w:val="a3"/>
      </w:pPr>
      <w:bookmarkStart w:id="18483" w:name="_Toc66172072"/>
      <w:bookmarkStart w:id="18484" w:name="_Toc66183287"/>
      <w:bookmarkStart w:id="18485" w:name="_Toc66186078"/>
      <w:bookmarkStart w:id="18486" w:name="_Toc66193544"/>
      <w:r>
        <w:rPr>
          <w:rFonts w:hint="cs"/>
          <w:rtl/>
        </w:rPr>
        <w:t>ביאור הגרנ"פ דכיון שלגבי הע"א אין מיגו והוא עדות גזילה אף לב"ד אין מיגו וזו כוונת הרמב"ן</w:t>
      </w:r>
      <w:bookmarkEnd w:id="18483"/>
      <w:bookmarkEnd w:id="18484"/>
      <w:bookmarkEnd w:id="18485"/>
      <w:bookmarkEnd w:id="18486"/>
    </w:p>
    <w:p w:rsidR="00E824D3" w:rsidRDefault="00E824D3" w:rsidP="007E4E81">
      <w:pPr>
        <w:pStyle w:val="a0"/>
        <w:rPr>
          <w:rtl/>
        </w:rPr>
      </w:pPr>
      <w:bookmarkStart w:id="18487" w:name="_Ref66115729"/>
      <w:r>
        <w:rPr>
          <w:rFonts w:hint="cs"/>
          <w:rtl/>
        </w:rPr>
        <w:t xml:space="preserve">אך הקשה </w:t>
      </w:r>
      <w:r w:rsidRPr="00706476">
        <w:rPr>
          <w:rStyle w:val="af9"/>
          <w:rFonts w:hint="cs"/>
          <w:rtl/>
        </w:rPr>
        <w:t>בחי' רבי נחום</w:t>
      </w:r>
      <w:r>
        <w:rPr>
          <w:rFonts w:hint="cs"/>
          <w:rtl/>
        </w:rPr>
        <w:t xml:space="preserve"> על </w:t>
      </w:r>
      <w:r w:rsidRPr="00706476">
        <w:rPr>
          <w:rStyle w:val="af9"/>
          <w:rFonts w:hint="cs"/>
          <w:rtl/>
        </w:rPr>
        <w:t>הקצוה"ח</w:t>
      </w:r>
      <w:r>
        <w:rPr>
          <w:rFonts w:hint="cs"/>
          <w:rtl/>
        </w:rPr>
        <w:t xml:space="preserve"> דאף שכלפי הע"א אין מיגו, מ"מ לב"ד שלא ראו את החטיפה יש לחוטף מיגו, וכיון שהוא היה נאמן להשבע בטענת לא חטפי, אמאי אינו נאמן בטענת דידי חטפי במיגו דלא חטפי, ותירץ </w:t>
      </w:r>
      <w:r w:rsidRPr="0089403E">
        <w:rPr>
          <w:rStyle w:val="af9"/>
          <w:rFonts w:hint="cs"/>
          <w:rtl/>
        </w:rPr>
        <w:t xml:space="preserve">בחי' רבי נחום </w:t>
      </w:r>
      <w:r>
        <w:rPr>
          <w:rFonts w:hint="cs"/>
          <w:rtl/>
        </w:rPr>
        <w:t>דכיון שלגבי העד חשיב שהוא מעיד על מעשה גזילה, ולשבועה נתנה לו התורה נאמנות כשנים, א"כ כלפי השבועה העד נאמן, וחשיב ש</w:t>
      </w:r>
      <w:r w:rsidRPr="00610231">
        <w:rPr>
          <w:rFonts w:hint="cs"/>
          <w:rtl/>
        </w:rPr>
        <w:t>אף לב"ד יש עדות של ע"א שחטף את ממון הראשון, ולא מהני המיגו</w:t>
      </w:r>
      <w:r>
        <w:rPr>
          <w:rFonts w:hint="cs"/>
          <w:rtl/>
        </w:rPr>
        <w:t xml:space="preserve">, וכתב </w:t>
      </w:r>
      <w:r w:rsidRPr="00DE0DAD">
        <w:rPr>
          <w:rStyle w:val="af9"/>
          <w:rFonts w:hint="cs"/>
          <w:rtl/>
        </w:rPr>
        <w:t>בחי' רבי נחום</w:t>
      </w:r>
      <w:r>
        <w:rPr>
          <w:rFonts w:hint="cs"/>
          <w:rtl/>
        </w:rPr>
        <w:t xml:space="preserve"> דאפש"ל דזו כוונת </w:t>
      </w:r>
      <w:r w:rsidRPr="00827678">
        <w:rPr>
          <w:rStyle w:val="af9"/>
          <w:rFonts w:hint="cs"/>
          <w:rtl/>
        </w:rPr>
        <w:t xml:space="preserve">הרמב"ן </w:t>
      </w:r>
      <w:r w:rsidRPr="00827678">
        <w:rPr>
          <w:rStyle w:val="af7"/>
          <w:rFonts w:eastAsia="Guttman Hodes" w:hint="cs"/>
          <w:rtl/>
        </w:rPr>
        <w:t xml:space="preserve">(עי' אות </w:t>
      </w:r>
      <w:r w:rsidRPr="00827678">
        <w:rPr>
          <w:rStyle w:val="af7"/>
          <w:rFonts w:eastAsia="Guttman Hodes"/>
          <w:rtl/>
        </w:rPr>
        <w:fldChar w:fldCharType="begin"/>
      </w:r>
      <w:r w:rsidRPr="00827678">
        <w:rPr>
          <w:rStyle w:val="af7"/>
          <w:rFonts w:eastAsia="Guttman Hodes"/>
          <w:rtl/>
        </w:rPr>
        <w:instrText xml:space="preserve"> </w:instrText>
      </w:r>
      <w:r w:rsidRPr="00827678">
        <w:rPr>
          <w:rStyle w:val="af7"/>
          <w:rFonts w:eastAsia="Guttman Hodes" w:hint="cs"/>
        </w:rPr>
        <w:instrText>REF</w:instrText>
      </w:r>
      <w:r w:rsidRPr="00827678">
        <w:rPr>
          <w:rStyle w:val="af7"/>
          <w:rFonts w:eastAsia="Guttman Hodes" w:hint="cs"/>
          <w:rtl/>
        </w:rPr>
        <w:instrText xml:space="preserve"> _</w:instrText>
      </w:r>
      <w:r w:rsidRPr="00827678">
        <w:rPr>
          <w:rStyle w:val="af7"/>
          <w:rFonts w:eastAsia="Guttman Hodes" w:hint="cs"/>
        </w:rPr>
        <w:instrText>Ref66054904 \r \h</w:instrText>
      </w:r>
      <w:r w:rsidRPr="00827678">
        <w:rPr>
          <w:rStyle w:val="af7"/>
          <w:rFonts w:eastAsia="Guttman Hodes"/>
          <w:rtl/>
        </w:rPr>
        <w:instrText xml:space="preserve">  \* </w:instrText>
      </w:r>
      <w:r w:rsidRPr="00827678">
        <w:rPr>
          <w:rStyle w:val="af7"/>
          <w:rFonts w:eastAsia="Guttman Hodes"/>
        </w:rPr>
        <w:instrText>MERGEFORMAT</w:instrText>
      </w:r>
      <w:r w:rsidRPr="00827678">
        <w:rPr>
          <w:rStyle w:val="af7"/>
          <w:rFonts w:eastAsia="Guttman Hodes"/>
          <w:rtl/>
        </w:rPr>
        <w:instrText xml:space="preserve"> </w:instrText>
      </w:r>
      <w:r w:rsidRPr="00827678">
        <w:rPr>
          <w:rStyle w:val="af7"/>
          <w:rFonts w:eastAsia="Guttman Hodes"/>
          <w:rtl/>
        </w:rPr>
      </w:r>
      <w:r w:rsidRPr="00827678">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827678">
        <w:rPr>
          <w:rStyle w:val="af7"/>
          <w:rFonts w:eastAsia="Guttman Hodes"/>
          <w:rtl/>
        </w:rPr>
        <w:fldChar w:fldCharType="end"/>
      </w:r>
      <w:r>
        <w:rPr>
          <w:rFonts w:hint="cs"/>
          <w:rtl/>
        </w:rPr>
        <w:t xml:space="preserve"> דכתב דכיון שהתורה האמינה לע"א כ"ז שלא נשבע העד נאמן לגמרי, וחשיב שחטף בפנינו</w:t>
      </w:r>
      <w:bookmarkEnd w:id="18487"/>
      <w:r>
        <w:rPr>
          <w:rFonts w:hint="cs"/>
          <w:rtl/>
        </w:rPr>
        <w:t>.</w:t>
      </w:r>
    </w:p>
    <w:p w:rsidR="00E824D3" w:rsidRDefault="00E824D3" w:rsidP="00E824D3">
      <w:pPr>
        <w:pStyle w:val="a3"/>
        <w:rPr>
          <w:rtl/>
        </w:rPr>
      </w:pPr>
      <w:bookmarkStart w:id="18488" w:name="_Toc66172073"/>
      <w:bookmarkStart w:id="18489" w:name="_Toc66183288"/>
      <w:bookmarkStart w:id="18490" w:name="_Toc66186079"/>
      <w:bookmarkStart w:id="18491" w:name="_Toc66193545"/>
      <w:r>
        <w:rPr>
          <w:rFonts w:hint="cs"/>
          <w:rtl/>
        </w:rPr>
        <w:t>דברי הגרנ"פ דבתוס' שלא הקשו על עיקר הסוגיא מוכח דמודו לקצוה"ח דלגבי הע"א אין מיגו</w:t>
      </w:r>
      <w:bookmarkEnd w:id="18488"/>
      <w:bookmarkEnd w:id="18489"/>
      <w:bookmarkEnd w:id="18490"/>
      <w:bookmarkEnd w:id="18491"/>
    </w:p>
    <w:p w:rsidR="00E824D3" w:rsidRDefault="00E824D3" w:rsidP="007E4E81">
      <w:pPr>
        <w:pStyle w:val="a0"/>
        <w:rPr>
          <w:rtl/>
        </w:rPr>
      </w:pPr>
      <w:r>
        <w:rPr>
          <w:rFonts w:hint="cs"/>
          <w:rtl/>
        </w:rPr>
        <w:t xml:space="preserve">והוסיף </w:t>
      </w:r>
      <w:r w:rsidRPr="00C421C9">
        <w:rPr>
          <w:rStyle w:val="af9"/>
          <w:rFonts w:hint="cs"/>
          <w:rtl/>
        </w:rPr>
        <w:t>בחי' רבי נחום</w:t>
      </w:r>
      <w:r>
        <w:rPr>
          <w:rFonts w:hint="cs"/>
          <w:rtl/>
        </w:rPr>
        <w:t xml:space="preserve"> </w:t>
      </w:r>
      <w:r w:rsidRPr="00C421C9">
        <w:rPr>
          <w:rStyle w:val="af7"/>
          <w:rFonts w:eastAsia="Guttman Hodes" w:hint="cs"/>
          <w:rtl/>
        </w:rPr>
        <w:t>(או' ר"ג ד"ה ולהנ"ל)</w:t>
      </w:r>
      <w:r>
        <w:rPr>
          <w:rFonts w:hint="cs"/>
          <w:rtl/>
        </w:rPr>
        <w:t xml:space="preserve"> דאף </w:t>
      </w:r>
      <w:r w:rsidRPr="00C421C9">
        <w:rPr>
          <w:rStyle w:val="af9"/>
          <w:rFonts w:hint="cs"/>
          <w:rtl/>
        </w:rPr>
        <w:t>התוס'</w:t>
      </w:r>
      <w:r>
        <w:rPr>
          <w:rFonts w:hint="cs"/>
          <w:rtl/>
        </w:rPr>
        <w:t xml:space="preserve"> </w:t>
      </w:r>
      <w:r w:rsidRPr="00C421C9">
        <w:rPr>
          <w:rStyle w:val="af7"/>
          <w:rFonts w:eastAsia="Guttman Hodes" w:hint="cs"/>
          <w:rtl/>
        </w:rPr>
        <w:t xml:space="preserve">(עי' אות </w:t>
      </w:r>
      <w:r w:rsidRPr="00C421C9">
        <w:rPr>
          <w:rStyle w:val="af7"/>
          <w:rFonts w:eastAsia="Guttman Hodes"/>
          <w:rtl/>
        </w:rPr>
        <w:fldChar w:fldCharType="begin"/>
      </w:r>
      <w:r w:rsidRPr="00C421C9">
        <w:rPr>
          <w:rStyle w:val="af7"/>
          <w:rFonts w:eastAsia="Guttman Hodes"/>
          <w:rtl/>
        </w:rPr>
        <w:instrText xml:space="preserve"> </w:instrText>
      </w:r>
      <w:r w:rsidRPr="00C421C9">
        <w:rPr>
          <w:rStyle w:val="af7"/>
          <w:rFonts w:eastAsia="Guttman Hodes" w:hint="cs"/>
        </w:rPr>
        <w:instrText>REF</w:instrText>
      </w:r>
      <w:r w:rsidRPr="00C421C9">
        <w:rPr>
          <w:rStyle w:val="af7"/>
          <w:rFonts w:eastAsia="Guttman Hodes" w:hint="cs"/>
          <w:rtl/>
        </w:rPr>
        <w:instrText xml:space="preserve"> _</w:instrText>
      </w:r>
      <w:r w:rsidRPr="00C421C9">
        <w:rPr>
          <w:rStyle w:val="af7"/>
          <w:rFonts w:eastAsia="Guttman Hodes" w:hint="cs"/>
        </w:rPr>
        <w:instrText>Ref66116856 \r \h</w:instrText>
      </w:r>
      <w:r w:rsidRPr="00C421C9">
        <w:rPr>
          <w:rStyle w:val="af7"/>
          <w:rFonts w:eastAsia="Guttman Hodes"/>
          <w:rtl/>
        </w:rPr>
        <w:instrText xml:space="preserve"> </w:instrText>
      </w:r>
      <w:r w:rsidRPr="00C421C9">
        <w:rPr>
          <w:rStyle w:val="af7"/>
          <w:rFonts w:eastAsia="Guttman Hodes"/>
          <w:rtl/>
        </w:rPr>
      </w:r>
      <w:r w:rsidRPr="00C421C9">
        <w:rPr>
          <w:rStyle w:val="af7"/>
          <w:rFonts w:eastAsia="Guttman Hodes"/>
          <w:rtl/>
        </w:rPr>
        <w:fldChar w:fldCharType="separate"/>
      </w:r>
      <w:r w:rsidR="00265073">
        <w:rPr>
          <w:rStyle w:val="af7"/>
          <w:rFonts w:eastAsia="Guttman Hodes"/>
          <w:cs/>
        </w:rPr>
        <w:t>‎</w:t>
      </w:r>
      <w:r w:rsidR="00265073">
        <w:rPr>
          <w:rStyle w:val="af7"/>
          <w:rFonts w:eastAsia="Guttman Hodes"/>
          <w:rtl/>
        </w:rPr>
        <w:t>א)</w:t>
      </w:r>
      <w:r w:rsidRPr="00C421C9">
        <w:rPr>
          <w:rStyle w:val="af7"/>
          <w:rFonts w:eastAsia="Guttman Hodes"/>
          <w:rtl/>
        </w:rPr>
        <w:fldChar w:fldCharType="end"/>
      </w:r>
      <w:r>
        <w:rPr>
          <w:rFonts w:hint="cs"/>
          <w:rtl/>
        </w:rPr>
        <w:t xml:space="preserve"> דהקשו דיהיה נאמן במיגו מודו, לסברת </w:t>
      </w:r>
      <w:r w:rsidRPr="00C421C9">
        <w:rPr>
          <w:rStyle w:val="af9"/>
          <w:rFonts w:hint="cs"/>
          <w:rtl/>
        </w:rPr>
        <w:t>הקצוה"ח</w:t>
      </w:r>
      <w:r>
        <w:rPr>
          <w:rFonts w:hint="cs"/>
          <w:rtl/>
        </w:rPr>
        <w:t xml:space="preserve"> </w:t>
      </w:r>
      <w:r w:rsidRPr="00C421C9">
        <w:rPr>
          <w:rStyle w:val="af7"/>
          <w:rFonts w:eastAsia="Guttman Hodes" w:hint="cs"/>
          <w:rtl/>
        </w:rPr>
        <w:t xml:space="preserve">(עי' אות </w:t>
      </w:r>
      <w:r w:rsidRPr="00C421C9">
        <w:rPr>
          <w:rStyle w:val="af7"/>
          <w:rFonts w:eastAsia="Guttman Hodes"/>
          <w:rtl/>
        </w:rPr>
        <w:fldChar w:fldCharType="begin"/>
      </w:r>
      <w:r w:rsidRPr="00C421C9">
        <w:rPr>
          <w:rStyle w:val="af7"/>
          <w:rFonts w:eastAsia="Guttman Hodes"/>
          <w:rtl/>
        </w:rPr>
        <w:instrText xml:space="preserve"> </w:instrText>
      </w:r>
      <w:r w:rsidRPr="00C421C9">
        <w:rPr>
          <w:rStyle w:val="af7"/>
          <w:rFonts w:eastAsia="Guttman Hodes" w:hint="cs"/>
        </w:rPr>
        <w:instrText>REF</w:instrText>
      </w:r>
      <w:r w:rsidRPr="00C421C9">
        <w:rPr>
          <w:rStyle w:val="af7"/>
          <w:rFonts w:eastAsia="Guttman Hodes" w:hint="cs"/>
          <w:rtl/>
        </w:rPr>
        <w:instrText xml:space="preserve"> _</w:instrText>
      </w:r>
      <w:r w:rsidRPr="00C421C9">
        <w:rPr>
          <w:rStyle w:val="af7"/>
          <w:rFonts w:eastAsia="Guttman Hodes" w:hint="cs"/>
        </w:rPr>
        <w:instrText>Ref66116851 \r \h</w:instrText>
      </w:r>
      <w:r w:rsidRPr="00C421C9">
        <w:rPr>
          <w:rStyle w:val="af7"/>
          <w:rFonts w:eastAsia="Guttman Hodes"/>
          <w:rtl/>
        </w:rPr>
        <w:instrText xml:space="preserve"> </w:instrText>
      </w:r>
      <w:r w:rsidRPr="00C421C9">
        <w:rPr>
          <w:rStyle w:val="af7"/>
          <w:rFonts w:eastAsia="Guttman Hodes"/>
          <w:rtl/>
        </w:rPr>
      </w:r>
      <w:r w:rsidRPr="00C421C9">
        <w:rPr>
          <w:rStyle w:val="af7"/>
          <w:rFonts w:eastAsia="Guttman Hodes"/>
          <w:rtl/>
        </w:rPr>
        <w:fldChar w:fldCharType="separate"/>
      </w:r>
      <w:r w:rsidR="00265073">
        <w:rPr>
          <w:rStyle w:val="af7"/>
          <w:rFonts w:eastAsia="Guttman Hodes"/>
          <w:cs/>
        </w:rPr>
        <w:t>‎</w:t>
      </w:r>
      <w:r w:rsidR="00265073">
        <w:rPr>
          <w:rStyle w:val="af7"/>
          <w:rFonts w:eastAsia="Guttman Hodes"/>
          <w:rtl/>
        </w:rPr>
        <w:t>קב)</w:t>
      </w:r>
      <w:r w:rsidRPr="00C421C9">
        <w:rPr>
          <w:rStyle w:val="af7"/>
          <w:rFonts w:eastAsia="Guttman Hodes"/>
          <w:rtl/>
        </w:rPr>
        <w:fldChar w:fldCharType="end"/>
      </w:r>
      <w:r>
        <w:rPr>
          <w:rFonts w:hint="cs"/>
          <w:rtl/>
        </w:rPr>
        <w:t xml:space="preserve"> דכיון שכלפי הע"א אין מיגו, א"כ לא מהני המיגו לפוטרו משבועה, ולכן לא הקשו </w:t>
      </w:r>
      <w:r w:rsidRPr="00C421C9">
        <w:rPr>
          <w:rStyle w:val="af9"/>
          <w:rFonts w:hint="cs"/>
          <w:rtl/>
        </w:rPr>
        <w:t>התוס'</w:t>
      </w:r>
      <w:r>
        <w:rPr>
          <w:rFonts w:hint="cs"/>
          <w:rtl/>
        </w:rPr>
        <w:t xml:space="preserve"> על עיקר דברי ר"א דהיאך שייך לומר מתוך שאינו יכול לישבע משלם, כשיש לו מיגו, דזה פשיטא </w:t>
      </w:r>
      <w:r w:rsidRPr="00C421C9">
        <w:rPr>
          <w:rStyle w:val="af9"/>
          <w:rFonts w:hint="cs"/>
          <w:rtl/>
        </w:rPr>
        <w:t>לתוס'</w:t>
      </w:r>
      <w:r>
        <w:rPr>
          <w:rFonts w:hint="cs"/>
          <w:rtl/>
        </w:rPr>
        <w:t xml:space="preserve"> דכנגד חיוב השבועה עצמה לא מהני המיגו.</w:t>
      </w:r>
    </w:p>
    <w:p w:rsidR="00E824D3" w:rsidRPr="003C7741" w:rsidRDefault="00E824D3" w:rsidP="00E824D3">
      <w:pPr>
        <w:pStyle w:val="a3"/>
      </w:pPr>
      <w:bookmarkStart w:id="18492" w:name="_Toc66172074"/>
      <w:bookmarkStart w:id="18493" w:name="_Toc66183289"/>
      <w:bookmarkStart w:id="18494" w:name="_Toc66186080"/>
      <w:bookmarkStart w:id="18495" w:name="_Toc66193546"/>
      <w:r>
        <w:rPr>
          <w:rFonts w:hint="cs"/>
          <w:rtl/>
        </w:rPr>
        <w:t>ביאור הגרנ"פ בקו' התוס' דאף דהמיגו לא פוטר את השבועה מ"מ יבטל המיגו את דין משאיל"מ</w:t>
      </w:r>
      <w:bookmarkEnd w:id="18492"/>
      <w:bookmarkEnd w:id="18493"/>
      <w:bookmarkEnd w:id="18494"/>
      <w:bookmarkEnd w:id="18495"/>
    </w:p>
    <w:p w:rsidR="00E824D3" w:rsidRPr="0095478F" w:rsidRDefault="00E824D3" w:rsidP="007E4E81">
      <w:pPr>
        <w:pStyle w:val="a0"/>
        <w:rPr>
          <w:rtl/>
        </w:rPr>
      </w:pPr>
      <w:r>
        <w:rPr>
          <w:rFonts w:hint="cs"/>
          <w:rtl/>
        </w:rPr>
        <w:t xml:space="preserve">אלא ביאר </w:t>
      </w:r>
      <w:r w:rsidRPr="00C421C9">
        <w:rPr>
          <w:rStyle w:val="af9"/>
          <w:rFonts w:hint="cs"/>
          <w:rtl/>
        </w:rPr>
        <w:t>בחי' רבי נחום</w:t>
      </w:r>
      <w:r>
        <w:rPr>
          <w:rFonts w:hint="cs"/>
          <w:rtl/>
        </w:rPr>
        <w:t xml:space="preserve"> דכוונת </w:t>
      </w:r>
      <w:r w:rsidRPr="00C421C9">
        <w:rPr>
          <w:rStyle w:val="af9"/>
          <w:rFonts w:hint="cs"/>
          <w:rtl/>
        </w:rPr>
        <w:t>התוס'</w:t>
      </w:r>
      <w:r>
        <w:rPr>
          <w:rFonts w:hint="cs"/>
          <w:rtl/>
        </w:rPr>
        <w:t xml:space="preserve"> להקשות דאעפ"י דאינו נאמן להפטר מהשבועה ואמרינן מתוך שאינו יכול לישבע משלם, מ"מ ע"י המיגו יתבטל דין מתוך שאינו יכול לישבע משלם, דכ"מ שמצינו דאמרינן מתוך שאינו יכול לישבע משלם, הוא רק במקום שאין ראיה לטענתו, אבל כשיש לו מיגו שמסייע לו אפש"ל שלא יצטרך לשלם, וביאר </w:t>
      </w:r>
      <w:r w:rsidRPr="00C421C9">
        <w:rPr>
          <w:rStyle w:val="af9"/>
          <w:rFonts w:hint="cs"/>
          <w:rtl/>
        </w:rPr>
        <w:t>בחי' רבי נחום</w:t>
      </w:r>
      <w:r>
        <w:rPr>
          <w:rFonts w:hint="cs"/>
          <w:rtl/>
        </w:rPr>
        <w:t xml:space="preserve"> דאעפ"י שלגבי הנאמנות של הע"א אין כל מיגו, </w:t>
      </w:r>
      <w:r w:rsidRPr="00C421C9">
        <w:rPr>
          <w:rStyle w:val="afb"/>
          <w:rFonts w:hint="cs"/>
          <w:rtl/>
        </w:rPr>
        <w:t xml:space="preserve">[כדביאר </w:t>
      </w:r>
      <w:r w:rsidRPr="00C421C9">
        <w:rPr>
          <w:rStyle w:val="affa"/>
          <w:rFonts w:hint="cs"/>
          <w:rtl/>
        </w:rPr>
        <w:t>בחי' רבי נחום</w:t>
      </w:r>
      <w:r w:rsidRPr="00C421C9">
        <w:rPr>
          <w:rStyle w:val="afb"/>
          <w:rFonts w:hint="cs"/>
          <w:rtl/>
        </w:rPr>
        <w:t xml:space="preserve"> </w:t>
      </w:r>
      <w:r w:rsidRPr="00C421C9">
        <w:rPr>
          <w:rStyle w:val="aff6"/>
          <w:rFonts w:hint="cs"/>
          <w:rtl/>
        </w:rPr>
        <w:t xml:space="preserve">(עי' אות </w:t>
      </w:r>
      <w:r w:rsidRPr="00C421C9">
        <w:rPr>
          <w:rStyle w:val="aff6"/>
          <w:rtl/>
        </w:rPr>
        <w:fldChar w:fldCharType="begin"/>
      </w:r>
      <w:r w:rsidRPr="00C421C9">
        <w:rPr>
          <w:rStyle w:val="aff6"/>
          <w:rtl/>
        </w:rPr>
        <w:instrText xml:space="preserve"> </w:instrText>
      </w:r>
      <w:r w:rsidRPr="00C421C9">
        <w:rPr>
          <w:rStyle w:val="aff6"/>
          <w:rFonts w:hint="cs"/>
        </w:rPr>
        <w:instrText>REF</w:instrText>
      </w:r>
      <w:r w:rsidRPr="00C421C9">
        <w:rPr>
          <w:rStyle w:val="aff6"/>
          <w:rFonts w:hint="cs"/>
          <w:rtl/>
        </w:rPr>
        <w:instrText xml:space="preserve"> _</w:instrText>
      </w:r>
      <w:r w:rsidRPr="00C421C9">
        <w:rPr>
          <w:rStyle w:val="aff6"/>
          <w:rFonts w:hint="cs"/>
        </w:rPr>
        <w:instrText>Ref66116829 \r \h</w:instrText>
      </w:r>
      <w:r w:rsidRPr="00C421C9">
        <w:rPr>
          <w:rStyle w:val="aff6"/>
          <w:rtl/>
        </w:rPr>
        <w:instrText xml:space="preserve"> </w:instrText>
      </w:r>
      <w:r w:rsidRPr="00C421C9">
        <w:rPr>
          <w:rStyle w:val="aff6"/>
          <w:rtl/>
        </w:rPr>
      </w:r>
      <w:r w:rsidRPr="00C421C9">
        <w:rPr>
          <w:rStyle w:val="aff6"/>
          <w:rtl/>
        </w:rPr>
        <w:fldChar w:fldCharType="separate"/>
      </w:r>
      <w:r w:rsidR="00265073">
        <w:rPr>
          <w:rStyle w:val="aff6"/>
          <w:cs/>
        </w:rPr>
        <w:t>‎</w:t>
      </w:r>
      <w:r w:rsidR="00265073">
        <w:rPr>
          <w:rStyle w:val="aff6"/>
          <w:rtl/>
        </w:rPr>
        <w:t>קג)</w:t>
      </w:r>
      <w:r w:rsidRPr="00C421C9">
        <w:rPr>
          <w:rStyle w:val="aff6"/>
          <w:rtl/>
        </w:rPr>
        <w:fldChar w:fldCharType="end"/>
      </w:r>
      <w:r w:rsidRPr="00C421C9">
        <w:rPr>
          <w:rStyle w:val="afb"/>
          <w:rFonts w:hint="cs"/>
          <w:rtl/>
        </w:rPr>
        <w:t>],</w:t>
      </w:r>
      <w:r>
        <w:rPr>
          <w:rFonts w:hint="cs"/>
          <w:rtl/>
        </w:rPr>
        <w:t xml:space="preserve"> מ"מ אי נימא דלענין דין מתוך שאינו יכול לישבע משלם, מהני המיגו לפוטרו, א"כ מוכח דלענין מתוך שאינו יכול לישבע משלם הע"א לא נאמן.</w:t>
      </w:r>
    </w:p>
    <w:p w:rsidR="00E824D3" w:rsidRPr="002B0D8A" w:rsidRDefault="00E824D3" w:rsidP="00E824D3">
      <w:pPr>
        <w:pStyle w:val="1"/>
      </w:pPr>
      <w:bookmarkStart w:id="18496" w:name="_Toc66183290"/>
      <w:bookmarkStart w:id="18497" w:name="_Toc66186081"/>
      <w:bookmarkStart w:id="18498" w:name="_Toc66193547"/>
      <w:r>
        <w:rPr>
          <w:rFonts w:hint="cs"/>
          <w:rtl/>
        </w:rPr>
        <w:t>ביאור הגרנ"פ בריב"ם דל"מ מיגו לפטור מדין משאיל"מ</w:t>
      </w:r>
      <w:bookmarkEnd w:id="18456"/>
      <w:bookmarkEnd w:id="18457"/>
      <w:bookmarkEnd w:id="18496"/>
      <w:bookmarkEnd w:id="18497"/>
      <w:bookmarkEnd w:id="18498"/>
    </w:p>
    <w:p w:rsidR="00E824D3" w:rsidRPr="001C4E33" w:rsidRDefault="00E824D3" w:rsidP="00E824D3">
      <w:pPr>
        <w:pStyle w:val="a3"/>
        <w:rPr>
          <w:rtl/>
        </w:rPr>
      </w:pPr>
      <w:bookmarkStart w:id="18499" w:name="_Toc66143875"/>
      <w:bookmarkStart w:id="18500" w:name="_Toc66172038"/>
      <w:bookmarkStart w:id="18501" w:name="_Toc66183291"/>
      <w:bookmarkStart w:id="18502" w:name="_Toc66186082"/>
      <w:bookmarkStart w:id="18503" w:name="_Toc66193548"/>
      <w:bookmarkStart w:id="18504" w:name="_Toc66048888"/>
      <w:bookmarkStart w:id="18505" w:name="_Toc66055841"/>
      <w:bookmarkStart w:id="18506" w:name="_Toc66085961"/>
      <w:bookmarkStart w:id="18507" w:name="_Toc66110535"/>
      <w:bookmarkStart w:id="18508" w:name="_Toc66123423"/>
      <w:bookmarkEnd w:id="18413"/>
      <w:bookmarkEnd w:id="18414"/>
      <w:bookmarkEnd w:id="18415"/>
      <w:bookmarkEnd w:id="18416"/>
      <w:r>
        <w:rPr>
          <w:rFonts w:hint="cs"/>
          <w:rtl/>
        </w:rPr>
        <w:t>דברי הגרנ"פ דכוונת הברכ"ש לומר דהכא ל"ש שבמיגו נאמן על עצם הממון יותר מהע"א</w:t>
      </w:r>
      <w:bookmarkEnd w:id="18499"/>
      <w:bookmarkEnd w:id="18500"/>
      <w:bookmarkEnd w:id="18501"/>
      <w:bookmarkEnd w:id="18502"/>
      <w:bookmarkEnd w:id="18503"/>
    </w:p>
    <w:p w:rsidR="00E824D3" w:rsidRDefault="00E824D3" w:rsidP="007E4E81">
      <w:pPr>
        <w:pStyle w:val="a0"/>
        <w:rPr>
          <w:rtl/>
        </w:rPr>
      </w:pPr>
      <w:bookmarkStart w:id="18509" w:name="_Ref66133438"/>
      <w:r>
        <w:rPr>
          <w:rFonts w:hint="cs"/>
          <w:rtl/>
        </w:rPr>
        <w:t xml:space="preserve">במה שביאר </w:t>
      </w:r>
      <w:r w:rsidRPr="001C4E33">
        <w:rPr>
          <w:rStyle w:val="af9"/>
          <w:rFonts w:hint="cs"/>
          <w:rtl/>
        </w:rPr>
        <w:t xml:space="preserve">הברכ"ש </w:t>
      </w:r>
      <w:r w:rsidRPr="001C4E33">
        <w:rPr>
          <w:rStyle w:val="af7"/>
          <w:rFonts w:eastAsia="Guttman Hodes" w:hint="cs"/>
          <w:rtl/>
        </w:rPr>
        <w:t xml:space="preserve">(עי' אות </w:t>
      </w:r>
      <w:r w:rsidRPr="001C4E33">
        <w:rPr>
          <w:rStyle w:val="af7"/>
          <w:rFonts w:eastAsia="Guttman Hodes"/>
          <w:rtl/>
        </w:rPr>
        <w:fldChar w:fldCharType="begin"/>
      </w:r>
      <w:r w:rsidRPr="001C4E33">
        <w:rPr>
          <w:rStyle w:val="af7"/>
          <w:rFonts w:eastAsia="Guttman Hodes"/>
          <w:rtl/>
        </w:rPr>
        <w:instrText xml:space="preserve"> </w:instrText>
      </w:r>
      <w:r w:rsidRPr="001C4E33">
        <w:rPr>
          <w:rStyle w:val="af7"/>
          <w:rFonts w:eastAsia="Guttman Hodes" w:hint="cs"/>
        </w:rPr>
        <w:instrText>REF</w:instrText>
      </w:r>
      <w:r w:rsidRPr="001C4E33">
        <w:rPr>
          <w:rStyle w:val="af7"/>
          <w:rFonts w:eastAsia="Guttman Hodes" w:hint="cs"/>
          <w:rtl/>
        </w:rPr>
        <w:instrText xml:space="preserve"> _</w:instrText>
      </w:r>
      <w:r w:rsidRPr="001C4E33">
        <w:rPr>
          <w:rStyle w:val="af7"/>
          <w:rFonts w:eastAsia="Guttman Hodes" w:hint="cs"/>
        </w:rPr>
        <w:instrText>Ref66092827 \r \h</w:instrText>
      </w:r>
      <w:r w:rsidRPr="001C4E33">
        <w:rPr>
          <w:rStyle w:val="af7"/>
          <w:rFonts w:eastAsia="Guttman Hodes"/>
          <w:rtl/>
        </w:rPr>
        <w:instrText xml:space="preserve"> </w:instrText>
      </w:r>
      <w:r w:rsidRPr="001C4E33">
        <w:rPr>
          <w:rStyle w:val="af7"/>
          <w:rFonts w:eastAsia="Guttman Hodes"/>
          <w:rtl/>
        </w:rPr>
      </w:r>
      <w:r w:rsidRPr="001C4E33">
        <w:rPr>
          <w:rStyle w:val="af7"/>
          <w:rFonts w:eastAsia="Guttman Hodes"/>
          <w:rtl/>
        </w:rPr>
        <w:fldChar w:fldCharType="separate"/>
      </w:r>
      <w:r w:rsidR="00265073">
        <w:rPr>
          <w:rStyle w:val="af7"/>
          <w:rFonts w:eastAsia="Guttman Hodes"/>
          <w:cs/>
        </w:rPr>
        <w:t>‎</w:t>
      </w:r>
      <w:r w:rsidR="00265073">
        <w:rPr>
          <w:rStyle w:val="af7"/>
          <w:rFonts w:eastAsia="Guttman Hodes"/>
          <w:rtl/>
        </w:rPr>
        <w:t>צד)</w:t>
      </w:r>
      <w:r w:rsidRPr="001C4E33">
        <w:rPr>
          <w:rStyle w:val="af7"/>
          <w:rFonts w:eastAsia="Guttman Hodes"/>
          <w:rtl/>
        </w:rPr>
        <w:fldChar w:fldCharType="end"/>
      </w:r>
      <w:r>
        <w:rPr>
          <w:rFonts w:hint="cs"/>
          <w:rtl/>
        </w:rPr>
        <w:t xml:space="preserve"> דכוונת </w:t>
      </w:r>
      <w:r w:rsidRPr="00105C54">
        <w:rPr>
          <w:rStyle w:val="af9"/>
          <w:rFonts w:hint="cs"/>
          <w:rtl/>
        </w:rPr>
        <w:t>התוס'</w:t>
      </w:r>
      <w:r>
        <w:rPr>
          <w:rFonts w:hint="cs"/>
          <w:rtl/>
        </w:rPr>
        <w:t xml:space="preserve"> להקשות דע"י המיגו אין עדות הע"א חשיבא כשנים, ולא אמרינן מתוך שאינו יכול לישבע משלם, ביאר </w:t>
      </w:r>
      <w:r w:rsidRPr="001C4E33">
        <w:rPr>
          <w:rStyle w:val="af9"/>
          <w:rFonts w:hint="cs"/>
          <w:rtl/>
        </w:rPr>
        <w:t xml:space="preserve">בחי' רבי נחום </w:t>
      </w:r>
      <w:r w:rsidRPr="001C4E33">
        <w:rPr>
          <w:rStyle w:val="af7"/>
          <w:rFonts w:eastAsia="Guttman Hodes" w:hint="cs"/>
          <w:rtl/>
        </w:rPr>
        <w:t>(או' ר"ג ד"ה והנה כב')</w:t>
      </w:r>
      <w:r>
        <w:rPr>
          <w:rFonts w:hint="cs"/>
          <w:rtl/>
        </w:rPr>
        <w:t xml:space="preserve"> דכוונת </w:t>
      </w:r>
      <w:r w:rsidRPr="00FC5B20">
        <w:rPr>
          <w:rStyle w:val="af9"/>
          <w:rFonts w:hint="cs"/>
          <w:rtl/>
        </w:rPr>
        <w:t>הברכ"ש</w:t>
      </w:r>
      <w:r>
        <w:rPr>
          <w:rFonts w:hint="cs"/>
          <w:rtl/>
        </w:rPr>
        <w:t xml:space="preserve"> לומר דהכא לא דמי לכל מיגו לאפטורי משבועה, דבמיגו לאפטורי משבועה המיגו מבטל את עיקר חיוב השבועה, דע"י המיגו הוא נאמן על הממון, ואין כל טעם לחייבו שבועה, אבל הכא א"א לומר שהמיגו פוטרו מהשבועה, כיון שלגבי השבועה צריך להאמין לע"א </w:t>
      </w:r>
      <w:r>
        <w:rPr>
          <w:rFonts w:hint="cs"/>
          <w:rtl/>
        </w:rPr>
        <w:lastRenderedPageBreak/>
        <w:t xml:space="preserve">ולא למיגו, ומכח עדות הע"א חשיב שחטפה בפנינו והוא מעשה גזילה, ולא מהני מיגו, ולכן ביאר </w:t>
      </w:r>
      <w:r w:rsidRPr="001C4E33">
        <w:rPr>
          <w:rStyle w:val="af9"/>
          <w:rFonts w:hint="cs"/>
          <w:rtl/>
        </w:rPr>
        <w:t xml:space="preserve">הברכ"ש </w:t>
      </w:r>
      <w:r>
        <w:rPr>
          <w:rFonts w:hint="cs"/>
          <w:rtl/>
        </w:rPr>
        <w:t xml:space="preserve">דכוונת </w:t>
      </w:r>
      <w:r w:rsidRPr="001C4E33">
        <w:rPr>
          <w:rStyle w:val="af9"/>
          <w:rFonts w:hint="cs"/>
          <w:rtl/>
        </w:rPr>
        <w:t>התוס'</w:t>
      </w:r>
      <w:r>
        <w:rPr>
          <w:rFonts w:hint="cs"/>
          <w:rtl/>
        </w:rPr>
        <w:t xml:space="preserve"> להקשות דהמיגו יועיל לבטל את דין מתוך שאינו יכול לישבע משלם.</w:t>
      </w:r>
      <w:bookmarkEnd w:id="18509"/>
    </w:p>
    <w:p w:rsidR="00E824D3" w:rsidRDefault="00E824D3" w:rsidP="00E824D3">
      <w:pPr>
        <w:pStyle w:val="a3"/>
        <w:rPr>
          <w:rtl/>
        </w:rPr>
      </w:pPr>
      <w:bookmarkStart w:id="18510" w:name="_Toc66143876"/>
      <w:bookmarkStart w:id="18511" w:name="_Toc66172039"/>
      <w:bookmarkStart w:id="18512" w:name="_Toc66183292"/>
      <w:bookmarkStart w:id="18513" w:name="_Toc66186083"/>
      <w:bookmarkStart w:id="18514" w:name="_Toc66193549"/>
      <w:r>
        <w:rPr>
          <w:rFonts w:hint="cs"/>
          <w:rtl/>
        </w:rPr>
        <w:t>ביאור הגרנ"פ בריב"ם דאחר שחל חיוב שבועה לא שייך לפטור את דין משאיל"מ ע"י מיגו</w:t>
      </w:r>
      <w:bookmarkEnd w:id="18510"/>
      <w:bookmarkEnd w:id="18511"/>
      <w:bookmarkEnd w:id="18512"/>
      <w:bookmarkEnd w:id="18513"/>
      <w:bookmarkEnd w:id="18514"/>
    </w:p>
    <w:p w:rsidR="00E824D3" w:rsidRDefault="00E824D3" w:rsidP="007E4E81">
      <w:pPr>
        <w:pStyle w:val="a0"/>
        <w:rPr>
          <w:sz w:val="10"/>
          <w:szCs w:val="14"/>
          <w:rtl/>
        </w:rPr>
      </w:pPr>
      <w:bookmarkStart w:id="18515" w:name="_Ref66133994"/>
      <w:r>
        <w:rPr>
          <w:rFonts w:hint="cs"/>
          <w:rtl/>
        </w:rPr>
        <w:t xml:space="preserve">וכתב </w:t>
      </w:r>
      <w:r w:rsidRPr="001C4E33">
        <w:rPr>
          <w:rStyle w:val="af9"/>
          <w:rFonts w:hint="cs"/>
          <w:rtl/>
        </w:rPr>
        <w:t xml:space="preserve">בחי' רבי נחום </w:t>
      </w:r>
      <w:r w:rsidRPr="001F2C56">
        <w:rPr>
          <w:rStyle w:val="af7"/>
          <w:rFonts w:eastAsia="Guttman Hodes" w:hint="cs"/>
          <w:rtl/>
        </w:rPr>
        <w:t xml:space="preserve">(או' ר"ג ד"ה ולפי"ז) </w:t>
      </w:r>
      <w:r>
        <w:rPr>
          <w:rFonts w:hint="cs"/>
          <w:rtl/>
        </w:rPr>
        <w:t xml:space="preserve">דלפי ביאור </w:t>
      </w:r>
      <w:r w:rsidRPr="0095478F">
        <w:rPr>
          <w:rStyle w:val="af9"/>
          <w:rFonts w:hint="cs"/>
          <w:rtl/>
        </w:rPr>
        <w:t xml:space="preserve">הברכ"ש </w:t>
      </w:r>
      <w:r>
        <w:rPr>
          <w:rFonts w:hint="cs"/>
          <w:rtl/>
        </w:rPr>
        <w:t xml:space="preserve">בקושית </w:t>
      </w:r>
      <w:r w:rsidRPr="0095478F">
        <w:rPr>
          <w:rStyle w:val="af9"/>
          <w:rFonts w:hint="cs"/>
          <w:rtl/>
        </w:rPr>
        <w:t xml:space="preserve">התוס' </w:t>
      </w:r>
      <w:r w:rsidRPr="007B5F6C">
        <w:rPr>
          <w:rStyle w:val="af7"/>
          <w:rFonts w:eastAsia="Guttman Hodes" w:hint="cs"/>
          <w:rtl/>
        </w:rPr>
        <w:t xml:space="preserve">(עי' אות </w:t>
      </w:r>
      <w:r w:rsidRPr="007B5F6C">
        <w:rPr>
          <w:rStyle w:val="af7"/>
          <w:rFonts w:eastAsia="Guttman Hodes"/>
          <w:rtl/>
        </w:rPr>
        <w:fldChar w:fldCharType="begin"/>
      </w:r>
      <w:r w:rsidRPr="007B5F6C">
        <w:rPr>
          <w:rStyle w:val="af7"/>
          <w:rFonts w:eastAsia="Guttman Hodes"/>
          <w:rtl/>
        </w:rPr>
        <w:instrText xml:space="preserve"> </w:instrText>
      </w:r>
      <w:r w:rsidRPr="007B5F6C">
        <w:rPr>
          <w:rStyle w:val="af7"/>
          <w:rFonts w:eastAsia="Guttman Hodes" w:hint="cs"/>
        </w:rPr>
        <w:instrText>REF</w:instrText>
      </w:r>
      <w:r w:rsidRPr="007B5F6C">
        <w:rPr>
          <w:rStyle w:val="af7"/>
          <w:rFonts w:eastAsia="Guttman Hodes" w:hint="cs"/>
          <w:rtl/>
        </w:rPr>
        <w:instrText xml:space="preserve"> _</w:instrText>
      </w:r>
      <w:r w:rsidRPr="007B5F6C">
        <w:rPr>
          <w:rStyle w:val="af7"/>
          <w:rFonts w:eastAsia="Guttman Hodes" w:hint="cs"/>
        </w:rPr>
        <w:instrText>Ref65795902 \r \h</w:instrText>
      </w:r>
      <w:r w:rsidRPr="007B5F6C">
        <w:rPr>
          <w:rStyle w:val="af7"/>
          <w:rFonts w:eastAsia="Guttman Hodes"/>
          <w:rtl/>
        </w:rPr>
        <w:instrText xml:space="preserve">  \* </w:instrText>
      </w:r>
      <w:r w:rsidRPr="007B5F6C">
        <w:rPr>
          <w:rStyle w:val="af7"/>
          <w:rFonts w:eastAsia="Guttman Hodes"/>
        </w:rPr>
        <w:instrText>MERGEFORMAT</w:instrText>
      </w:r>
      <w:r w:rsidRPr="007B5F6C">
        <w:rPr>
          <w:rStyle w:val="af7"/>
          <w:rFonts w:eastAsia="Guttman Hodes"/>
          <w:rtl/>
        </w:rPr>
        <w:instrText xml:space="preserve"> </w:instrText>
      </w:r>
      <w:r w:rsidRPr="007B5F6C">
        <w:rPr>
          <w:rStyle w:val="af7"/>
          <w:rFonts w:eastAsia="Guttman Hodes"/>
          <w:rtl/>
        </w:rPr>
      </w:r>
      <w:r w:rsidRPr="007B5F6C">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7B5F6C">
        <w:rPr>
          <w:rStyle w:val="af7"/>
          <w:rFonts w:eastAsia="Guttman Hodes"/>
          <w:rtl/>
        </w:rPr>
        <w:fldChar w:fldCharType="end"/>
      </w:r>
      <w:r>
        <w:rPr>
          <w:rFonts w:hint="cs"/>
          <w:rtl/>
        </w:rPr>
        <w:t xml:space="preserve"> דהמיגו יועיל לבטל את דין מתוך שאינו יכול לישבע משלם, מבוארים דברי </w:t>
      </w:r>
      <w:r w:rsidRPr="00573C0B">
        <w:rPr>
          <w:rStyle w:val="af9"/>
          <w:rFonts w:hint="cs"/>
          <w:rtl/>
        </w:rPr>
        <w:t>ה</w:t>
      </w:r>
      <w:r>
        <w:rPr>
          <w:rStyle w:val="af9"/>
          <w:rtl/>
        </w:rPr>
        <w:t>ריב"ם</w:t>
      </w:r>
      <w:r>
        <w:rPr>
          <w:rFonts w:hint="cs"/>
          <w:rtl/>
        </w:rPr>
        <w:t xml:space="preserve"> </w:t>
      </w:r>
      <w:r w:rsidRPr="00246930">
        <w:rPr>
          <w:rStyle w:val="af7"/>
          <w:rFonts w:eastAsia="Guttman Hodes" w:hint="cs"/>
          <w:rtl/>
        </w:rPr>
        <w:t xml:space="preserve">(עי' אות </w:t>
      </w:r>
      <w:r w:rsidRPr="00246930">
        <w:rPr>
          <w:rStyle w:val="af7"/>
          <w:rFonts w:eastAsia="Guttman Hodes"/>
          <w:rtl/>
        </w:rPr>
        <w:fldChar w:fldCharType="begin"/>
      </w:r>
      <w:r w:rsidRPr="00246930">
        <w:rPr>
          <w:rStyle w:val="af7"/>
          <w:rFonts w:eastAsia="Guttman Hodes"/>
          <w:rtl/>
        </w:rPr>
        <w:instrText xml:space="preserve"> </w:instrText>
      </w:r>
      <w:r w:rsidRPr="00246930">
        <w:rPr>
          <w:rStyle w:val="af7"/>
          <w:rFonts w:eastAsia="Guttman Hodes" w:hint="cs"/>
        </w:rPr>
        <w:instrText>REF</w:instrText>
      </w:r>
      <w:r w:rsidRPr="00246930">
        <w:rPr>
          <w:rStyle w:val="af7"/>
          <w:rFonts w:eastAsia="Guttman Hodes" w:hint="cs"/>
          <w:rtl/>
        </w:rPr>
        <w:instrText xml:space="preserve"> _</w:instrText>
      </w:r>
      <w:r w:rsidRPr="00246930">
        <w:rPr>
          <w:rStyle w:val="af7"/>
          <w:rFonts w:eastAsia="Guttman Hodes" w:hint="cs"/>
        </w:rPr>
        <w:instrText>Ref65795831 \r \h</w:instrText>
      </w:r>
      <w:r w:rsidRPr="00246930">
        <w:rPr>
          <w:rStyle w:val="af7"/>
          <w:rFonts w:eastAsia="Guttman Hodes"/>
          <w:rtl/>
        </w:rPr>
        <w:instrText xml:space="preserve"> </w:instrText>
      </w:r>
      <w:r w:rsidRPr="00246930">
        <w:rPr>
          <w:rStyle w:val="af7"/>
          <w:rFonts w:eastAsia="Guttman Hodes"/>
          <w:rtl/>
        </w:rPr>
      </w:r>
      <w:r w:rsidRPr="00246930">
        <w:rPr>
          <w:rStyle w:val="af7"/>
          <w:rFonts w:eastAsia="Guttman Hodes"/>
          <w:rtl/>
        </w:rPr>
        <w:fldChar w:fldCharType="separate"/>
      </w:r>
      <w:r w:rsidR="00265073">
        <w:rPr>
          <w:rStyle w:val="af7"/>
          <w:rFonts w:eastAsia="Guttman Hodes"/>
          <w:cs/>
        </w:rPr>
        <w:t>‎</w:t>
      </w:r>
      <w:r w:rsidR="00265073">
        <w:rPr>
          <w:rStyle w:val="af7"/>
          <w:rFonts w:eastAsia="Guttman Hodes"/>
          <w:rtl/>
        </w:rPr>
        <w:t>לה)</w:t>
      </w:r>
      <w:r w:rsidRPr="00246930">
        <w:rPr>
          <w:rStyle w:val="af7"/>
          <w:rFonts w:eastAsia="Guttman Hodes"/>
          <w:rtl/>
        </w:rPr>
        <w:fldChar w:fldCharType="end"/>
      </w:r>
      <w:r>
        <w:rPr>
          <w:rFonts w:hint="cs"/>
          <w:rtl/>
        </w:rPr>
        <w:t xml:space="preserve"> דכוונתו לחלוק על עיקר קושית </w:t>
      </w:r>
      <w:r w:rsidRPr="000E55D0">
        <w:rPr>
          <w:rStyle w:val="af9"/>
          <w:rFonts w:hint="cs"/>
          <w:rtl/>
        </w:rPr>
        <w:t xml:space="preserve">התוס' </w:t>
      </w:r>
      <w:r>
        <w:rPr>
          <w:rFonts w:hint="cs"/>
          <w:rtl/>
        </w:rPr>
        <w:t xml:space="preserve">ולומר דאחר שהתחייב בשבועה דאו', מדינא הוא צריך או להשבע או לשלם, ולא שייך שיהיה דין צדדי שיפטור אותו מהתשלומין, ולכן לא שייך לומר דיש לו מיגו והוא נפטר מעיקר חיוב השבועה, דאחר שחל חיוב שבועה, לא שייך להפטר מהתשלומין, וכתב </w:t>
      </w:r>
      <w:r w:rsidRPr="000E55D0">
        <w:rPr>
          <w:rStyle w:val="af9"/>
          <w:rFonts w:hint="cs"/>
          <w:rtl/>
        </w:rPr>
        <w:t xml:space="preserve">בחי' רבי נחום </w:t>
      </w:r>
      <w:r>
        <w:rPr>
          <w:rFonts w:hint="cs"/>
          <w:rtl/>
        </w:rPr>
        <w:t>דבזה נחלק</w:t>
      </w:r>
      <w:r w:rsidRPr="0015725F">
        <w:rPr>
          <w:rFonts w:hint="cs"/>
          <w:rtl/>
        </w:rPr>
        <w:t xml:space="preserve"> </w:t>
      </w:r>
      <w:r w:rsidRPr="0015725F">
        <w:rPr>
          <w:rFonts w:hint="cs"/>
          <w:b/>
          <w:bCs/>
          <w:rtl/>
        </w:rPr>
        <w:t xml:space="preserve">ר"י </w:t>
      </w:r>
      <w:r w:rsidRPr="0015725F">
        <w:rPr>
          <w:rStyle w:val="af7"/>
          <w:rFonts w:eastAsia="Guttman Hodes" w:hint="cs"/>
          <w:rtl/>
        </w:rPr>
        <w:t xml:space="preserve">(עי' אות </w:t>
      </w:r>
      <w:r w:rsidRPr="0015725F">
        <w:rPr>
          <w:rStyle w:val="af7"/>
          <w:rFonts w:eastAsia="Guttman Hodes"/>
          <w:rtl/>
        </w:rPr>
        <w:fldChar w:fldCharType="begin"/>
      </w:r>
      <w:r w:rsidRPr="0015725F">
        <w:rPr>
          <w:rStyle w:val="af7"/>
          <w:rFonts w:eastAsia="Guttman Hodes"/>
          <w:rtl/>
        </w:rPr>
        <w:instrText xml:space="preserve"> </w:instrText>
      </w:r>
      <w:r w:rsidRPr="0015725F">
        <w:rPr>
          <w:rStyle w:val="af7"/>
          <w:rFonts w:eastAsia="Guttman Hodes" w:hint="cs"/>
        </w:rPr>
        <w:instrText>REF</w:instrText>
      </w:r>
      <w:r w:rsidRPr="0015725F">
        <w:rPr>
          <w:rStyle w:val="af7"/>
          <w:rFonts w:eastAsia="Guttman Hodes" w:hint="cs"/>
          <w:rtl/>
        </w:rPr>
        <w:instrText xml:space="preserve"> _</w:instrText>
      </w:r>
      <w:r w:rsidRPr="0015725F">
        <w:rPr>
          <w:rStyle w:val="af7"/>
          <w:rFonts w:eastAsia="Guttman Hodes" w:hint="cs"/>
        </w:rPr>
        <w:instrText>Ref65785260 \r \h</w:instrText>
      </w:r>
      <w:r w:rsidRPr="0015725F">
        <w:rPr>
          <w:rStyle w:val="af7"/>
          <w:rFonts w:eastAsia="Guttman Hodes"/>
          <w:rtl/>
        </w:rPr>
        <w:instrText xml:space="preserve"> </w:instrText>
      </w:r>
      <w:r w:rsidRPr="0015725F">
        <w:rPr>
          <w:rStyle w:val="af7"/>
          <w:rFonts w:eastAsia="Guttman Hodes"/>
          <w:rtl/>
        </w:rPr>
      </w:r>
      <w:r w:rsidRPr="0015725F">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15725F">
        <w:rPr>
          <w:rStyle w:val="af7"/>
          <w:rFonts w:eastAsia="Guttman Hodes"/>
          <w:rtl/>
        </w:rPr>
        <w:fldChar w:fldCharType="end"/>
      </w:r>
      <w:r>
        <w:rPr>
          <w:rFonts w:hint="cs"/>
          <w:rtl/>
        </w:rPr>
        <w:t xml:space="preserve"> על </w:t>
      </w:r>
      <w:r w:rsidRPr="00AF0A0B">
        <w:rPr>
          <w:rStyle w:val="af9"/>
          <w:rFonts w:hint="cs"/>
          <w:rtl/>
        </w:rPr>
        <w:t>הריב"ם</w:t>
      </w:r>
      <w:r>
        <w:rPr>
          <w:rFonts w:hint="cs"/>
          <w:rtl/>
        </w:rPr>
        <w:t xml:space="preserve">, וס"ל </w:t>
      </w:r>
      <w:r w:rsidRPr="00AF0A0B">
        <w:rPr>
          <w:rStyle w:val="af9"/>
          <w:rFonts w:hint="cs"/>
          <w:rtl/>
        </w:rPr>
        <w:t>לר"י</w:t>
      </w:r>
      <w:r>
        <w:rPr>
          <w:rFonts w:hint="cs"/>
          <w:rtl/>
        </w:rPr>
        <w:t xml:space="preserve"> דמהני מיגו להפטר מדין מתוך שאינו יכול לישבע משלם, ורק כיון שהוא מיגו דהעזה לא מהני המיגו. </w:t>
      </w:r>
      <w:r w:rsidRPr="000678C0">
        <w:rPr>
          <w:rStyle w:val="afb"/>
          <w:rFonts w:hint="cs"/>
          <w:rtl/>
        </w:rPr>
        <w:t xml:space="preserve">[ועיי"ש במ"ש </w:t>
      </w:r>
      <w:r w:rsidRPr="00AF0A0B">
        <w:rPr>
          <w:rStyle w:val="affa"/>
          <w:rFonts w:hint="cs"/>
          <w:rtl/>
        </w:rPr>
        <w:t>בחי' רבי נחום</w:t>
      </w:r>
      <w:r w:rsidRPr="000678C0">
        <w:rPr>
          <w:rStyle w:val="afb"/>
          <w:rFonts w:hint="cs"/>
          <w:rtl/>
        </w:rPr>
        <w:t xml:space="preserve"> </w:t>
      </w:r>
      <w:r w:rsidRPr="00AF0A0B">
        <w:rPr>
          <w:rStyle w:val="aff6"/>
          <w:rFonts w:hint="cs"/>
          <w:rtl/>
        </w:rPr>
        <w:t xml:space="preserve">(או' ר"ג ד"ה והדברים מדויקים) </w:t>
      </w:r>
      <w:r w:rsidRPr="000678C0">
        <w:rPr>
          <w:rStyle w:val="afb"/>
          <w:rFonts w:hint="cs"/>
          <w:rtl/>
        </w:rPr>
        <w:t xml:space="preserve">דכן מוכח בלשון </w:t>
      </w:r>
      <w:r w:rsidRPr="00AF0A0B">
        <w:rPr>
          <w:rStyle w:val="affa"/>
          <w:rFonts w:hint="cs"/>
          <w:rtl/>
        </w:rPr>
        <w:t>הריב"ם</w:t>
      </w:r>
      <w:r w:rsidRPr="000678C0">
        <w:rPr>
          <w:rStyle w:val="afb"/>
          <w:rFonts w:hint="cs"/>
          <w:rtl/>
        </w:rPr>
        <w:t xml:space="preserve">, וממה שהקשו </w:t>
      </w:r>
      <w:r w:rsidRPr="00AF0A0B">
        <w:rPr>
          <w:rStyle w:val="affa"/>
          <w:rtl/>
        </w:rPr>
        <w:t>התוס'</w:t>
      </w:r>
      <w:r w:rsidRPr="000678C0">
        <w:rPr>
          <w:rStyle w:val="afb"/>
          <w:rFonts w:hint="cs"/>
          <w:rtl/>
        </w:rPr>
        <w:t xml:space="preserve"> </w:t>
      </w:r>
      <w:r w:rsidRPr="00AF0A0B">
        <w:rPr>
          <w:rStyle w:val="aff6"/>
          <w:rFonts w:hint="cs"/>
          <w:rtl/>
        </w:rPr>
        <w:t xml:space="preserve">(עי' אות </w:t>
      </w:r>
      <w:r w:rsidRPr="00AF0A0B">
        <w:rPr>
          <w:rStyle w:val="aff6"/>
          <w:rtl/>
        </w:rPr>
        <w:fldChar w:fldCharType="begin"/>
      </w:r>
      <w:r w:rsidRPr="00AF0A0B">
        <w:rPr>
          <w:rStyle w:val="aff6"/>
          <w:rtl/>
        </w:rPr>
        <w:instrText xml:space="preserve"> </w:instrText>
      </w:r>
      <w:r w:rsidRPr="00AF0A0B">
        <w:rPr>
          <w:rStyle w:val="aff6"/>
          <w:rFonts w:hint="cs"/>
        </w:rPr>
        <w:instrText>REF</w:instrText>
      </w:r>
      <w:r w:rsidRPr="00AF0A0B">
        <w:rPr>
          <w:rStyle w:val="aff6"/>
          <w:rFonts w:hint="cs"/>
          <w:rtl/>
        </w:rPr>
        <w:instrText xml:space="preserve"> _</w:instrText>
      </w:r>
      <w:r w:rsidRPr="00AF0A0B">
        <w:rPr>
          <w:rStyle w:val="aff6"/>
          <w:rFonts w:hint="cs"/>
        </w:rPr>
        <w:instrText>Ref65795902 \r \h</w:instrText>
      </w:r>
      <w:r w:rsidRPr="00AF0A0B">
        <w:rPr>
          <w:rStyle w:val="aff6"/>
          <w:rtl/>
        </w:rPr>
        <w:instrText xml:space="preserve"> </w:instrText>
      </w:r>
      <w:r w:rsidRPr="00AF0A0B">
        <w:rPr>
          <w:rStyle w:val="aff6"/>
          <w:rtl/>
        </w:rPr>
      </w:r>
      <w:r w:rsidRPr="00AF0A0B">
        <w:rPr>
          <w:rStyle w:val="aff6"/>
          <w:rtl/>
        </w:rPr>
        <w:fldChar w:fldCharType="separate"/>
      </w:r>
      <w:r w:rsidR="00265073">
        <w:rPr>
          <w:rStyle w:val="aff6"/>
          <w:cs/>
        </w:rPr>
        <w:t>‎</w:t>
      </w:r>
      <w:r w:rsidR="00265073">
        <w:rPr>
          <w:rStyle w:val="aff6"/>
          <w:rtl/>
        </w:rPr>
        <w:t>נד)</w:t>
      </w:r>
      <w:r w:rsidRPr="00AF0A0B">
        <w:rPr>
          <w:rStyle w:val="aff6"/>
          <w:rtl/>
        </w:rPr>
        <w:fldChar w:fldCharType="end"/>
      </w:r>
      <w:r w:rsidRPr="000678C0">
        <w:rPr>
          <w:rStyle w:val="afb"/>
          <w:rFonts w:hint="cs"/>
          <w:rtl/>
        </w:rPr>
        <w:t xml:space="preserve"> על </w:t>
      </w:r>
      <w:r w:rsidRPr="00AF0A0B">
        <w:rPr>
          <w:rStyle w:val="affa"/>
          <w:rFonts w:hint="cs"/>
          <w:rtl/>
        </w:rPr>
        <w:t>ה</w:t>
      </w:r>
      <w:r w:rsidRPr="00AF0A0B">
        <w:rPr>
          <w:rStyle w:val="affa"/>
          <w:rtl/>
        </w:rPr>
        <w:t>ריב"ם</w:t>
      </w:r>
      <w:r w:rsidRPr="000678C0">
        <w:rPr>
          <w:rStyle w:val="afb"/>
          <w:rFonts w:hint="cs"/>
          <w:rtl/>
        </w:rPr>
        <w:t xml:space="preserve"> </w:t>
      </w:r>
      <w:r w:rsidRPr="00AF0A0B">
        <w:rPr>
          <w:rStyle w:val="aff6"/>
          <w:rFonts w:hint="cs"/>
          <w:rtl/>
        </w:rPr>
        <w:t xml:space="preserve">(עי' אות </w:t>
      </w:r>
      <w:r w:rsidRPr="00AF0A0B">
        <w:rPr>
          <w:rStyle w:val="aff6"/>
          <w:rtl/>
        </w:rPr>
        <w:fldChar w:fldCharType="begin"/>
      </w:r>
      <w:r w:rsidRPr="00AF0A0B">
        <w:rPr>
          <w:rStyle w:val="aff6"/>
          <w:rtl/>
        </w:rPr>
        <w:instrText xml:space="preserve"> </w:instrText>
      </w:r>
      <w:r w:rsidRPr="00AF0A0B">
        <w:rPr>
          <w:rStyle w:val="aff6"/>
          <w:rFonts w:hint="cs"/>
        </w:rPr>
        <w:instrText>REF</w:instrText>
      </w:r>
      <w:r w:rsidRPr="00AF0A0B">
        <w:rPr>
          <w:rStyle w:val="aff6"/>
          <w:rFonts w:hint="cs"/>
          <w:rtl/>
        </w:rPr>
        <w:instrText xml:space="preserve"> _</w:instrText>
      </w:r>
      <w:r w:rsidRPr="00AF0A0B">
        <w:rPr>
          <w:rStyle w:val="aff6"/>
          <w:rFonts w:hint="cs"/>
        </w:rPr>
        <w:instrText>Ref65795831 \r \h</w:instrText>
      </w:r>
      <w:r w:rsidRPr="00AF0A0B">
        <w:rPr>
          <w:rStyle w:val="aff6"/>
          <w:rtl/>
        </w:rPr>
        <w:instrText xml:space="preserve"> </w:instrText>
      </w:r>
      <w:r w:rsidRPr="00AF0A0B">
        <w:rPr>
          <w:rStyle w:val="aff6"/>
          <w:rtl/>
        </w:rPr>
      </w:r>
      <w:r w:rsidRPr="00AF0A0B">
        <w:rPr>
          <w:rStyle w:val="aff6"/>
          <w:rtl/>
        </w:rPr>
        <w:fldChar w:fldCharType="separate"/>
      </w:r>
      <w:r w:rsidR="00265073">
        <w:rPr>
          <w:rStyle w:val="aff6"/>
          <w:cs/>
        </w:rPr>
        <w:t>‎</w:t>
      </w:r>
      <w:r w:rsidR="00265073">
        <w:rPr>
          <w:rStyle w:val="aff6"/>
          <w:rtl/>
        </w:rPr>
        <w:t>לה)</w:t>
      </w:r>
      <w:r w:rsidRPr="00AF0A0B">
        <w:rPr>
          <w:rStyle w:val="aff6"/>
          <w:rtl/>
        </w:rPr>
        <w:fldChar w:fldCharType="end"/>
      </w:r>
      <w:r w:rsidRPr="000678C0">
        <w:rPr>
          <w:rStyle w:val="afb"/>
          <w:rFonts w:hint="cs"/>
          <w:rtl/>
        </w:rPr>
        <w:t xml:space="preserve"> מהילפתא דשבועת ה' תהיה בין שניהם,</w:t>
      </w:r>
      <w:r>
        <w:rPr>
          <w:rStyle w:val="afb"/>
          <w:rFonts w:hint="cs"/>
          <w:rtl/>
        </w:rPr>
        <w:t xml:space="preserve"> </w:t>
      </w:r>
      <w:r w:rsidRPr="000678C0">
        <w:rPr>
          <w:rStyle w:val="afb"/>
          <w:rFonts w:hint="cs"/>
          <w:rtl/>
        </w:rPr>
        <w:t xml:space="preserve">דמוכח דכל החידוש של </w:t>
      </w:r>
      <w:r w:rsidRPr="00AF0A0B">
        <w:rPr>
          <w:rStyle w:val="affa"/>
          <w:rFonts w:hint="cs"/>
          <w:rtl/>
        </w:rPr>
        <w:t>הריב"ם</w:t>
      </w:r>
      <w:r w:rsidRPr="000678C0">
        <w:rPr>
          <w:rStyle w:val="afb"/>
          <w:rFonts w:hint="cs"/>
          <w:rtl/>
        </w:rPr>
        <w:t xml:space="preserve"> הוא בדין מתוך שאינו יכול לישבע משלם]</w:t>
      </w:r>
      <w:r>
        <w:rPr>
          <w:rStyle w:val="afb"/>
          <w:rFonts w:hint="cs"/>
          <w:rtl/>
        </w:rPr>
        <w:t>.</w:t>
      </w:r>
      <w:bookmarkEnd w:id="18515"/>
    </w:p>
    <w:p w:rsidR="00E824D3" w:rsidRDefault="00E824D3" w:rsidP="00E824D3">
      <w:pPr>
        <w:pStyle w:val="afe"/>
        <w:rPr>
          <w:rtl/>
        </w:rPr>
      </w:pPr>
      <w:bookmarkStart w:id="18516" w:name="_Toc66183293"/>
      <w:bookmarkStart w:id="18517" w:name="_Toc66186084"/>
      <w:bookmarkStart w:id="18518" w:name="_Toc66193550"/>
      <w:bookmarkStart w:id="18519" w:name="_Toc66048890"/>
      <w:bookmarkStart w:id="18520" w:name="_Toc66055843"/>
      <w:bookmarkStart w:id="18521" w:name="_Toc66085963"/>
      <w:bookmarkStart w:id="18522" w:name="_Toc66110537"/>
      <w:bookmarkStart w:id="18523" w:name="_Toc66123425"/>
      <w:bookmarkStart w:id="18524" w:name="_Toc66143887"/>
      <w:bookmarkStart w:id="18525" w:name="_Toc66172050"/>
      <w:bookmarkEnd w:id="18504"/>
      <w:bookmarkEnd w:id="18505"/>
      <w:bookmarkEnd w:id="18506"/>
      <w:bookmarkEnd w:id="18507"/>
      <w:bookmarkEnd w:id="18508"/>
      <w:r>
        <w:rPr>
          <w:rFonts w:hint="cs"/>
          <w:rtl/>
        </w:rPr>
        <w:t>בבי' דעת הריב"ם דאין למיגו כח טענה</w:t>
      </w:r>
      <w:bookmarkEnd w:id="18516"/>
      <w:bookmarkEnd w:id="18517"/>
      <w:bookmarkEnd w:id="18518"/>
      <w:r>
        <w:rPr>
          <w:rFonts w:hint="cs"/>
          <w:rtl/>
        </w:rPr>
        <w:t xml:space="preserve"> </w:t>
      </w:r>
    </w:p>
    <w:p w:rsidR="00E824D3" w:rsidRDefault="00E824D3" w:rsidP="00E824D3">
      <w:pPr>
        <w:pStyle w:val="1"/>
        <w:rPr>
          <w:rtl/>
        </w:rPr>
      </w:pPr>
      <w:bookmarkStart w:id="18526" w:name="_Toc66183294"/>
      <w:bookmarkStart w:id="18527" w:name="_Toc66186085"/>
      <w:bookmarkStart w:id="18528" w:name="_Toc66193551"/>
      <w:r>
        <w:rPr>
          <w:rFonts w:hint="cs"/>
          <w:rtl/>
        </w:rPr>
        <w:t>ביאור הגרש"ש בריב"ם</w:t>
      </w:r>
      <w:bookmarkEnd w:id="18519"/>
      <w:bookmarkEnd w:id="18520"/>
      <w:bookmarkEnd w:id="18521"/>
      <w:bookmarkEnd w:id="18522"/>
      <w:bookmarkEnd w:id="18523"/>
      <w:r>
        <w:rPr>
          <w:rFonts w:hint="cs"/>
          <w:rtl/>
        </w:rPr>
        <w:t xml:space="preserve"> דלר"א אין לו את זכות טענת המיגו</w:t>
      </w:r>
      <w:bookmarkEnd w:id="18524"/>
      <w:bookmarkEnd w:id="18525"/>
      <w:bookmarkEnd w:id="18526"/>
      <w:bookmarkEnd w:id="18527"/>
      <w:bookmarkEnd w:id="18528"/>
    </w:p>
    <w:p w:rsidR="00E824D3" w:rsidRDefault="00E824D3" w:rsidP="00E824D3">
      <w:pPr>
        <w:pStyle w:val="a3"/>
        <w:rPr>
          <w:rtl/>
        </w:rPr>
      </w:pPr>
      <w:bookmarkStart w:id="18529" w:name="_Toc66143888"/>
      <w:bookmarkStart w:id="18530" w:name="_Toc66172051"/>
      <w:bookmarkStart w:id="18531" w:name="_Toc66183295"/>
      <w:bookmarkStart w:id="18532" w:name="_Toc66186086"/>
      <w:bookmarkStart w:id="18533" w:name="_Toc66193552"/>
      <w:r>
        <w:rPr>
          <w:rFonts w:hint="cs"/>
          <w:rtl/>
        </w:rPr>
        <w:t>בי' הגרש"ש בריב"ם דכשהודה אין לו את זכות טענת המיגו דזכותו היא רק בשבועה שמכחישו</w:t>
      </w:r>
      <w:bookmarkEnd w:id="18529"/>
      <w:bookmarkEnd w:id="18530"/>
      <w:bookmarkEnd w:id="18531"/>
      <w:bookmarkEnd w:id="18532"/>
      <w:bookmarkEnd w:id="18533"/>
    </w:p>
    <w:p w:rsidR="00E824D3" w:rsidRDefault="00E824D3" w:rsidP="007E4E81">
      <w:pPr>
        <w:pStyle w:val="a0"/>
        <w:rPr>
          <w:rtl/>
        </w:rPr>
      </w:pPr>
      <w:bookmarkStart w:id="18534" w:name="_Ref66034075"/>
      <w:bookmarkStart w:id="18535" w:name="_Ref66177994"/>
      <w:r>
        <w:rPr>
          <w:rFonts w:hint="cs"/>
          <w:rtl/>
        </w:rPr>
        <w:t xml:space="preserve">במ"ש </w:t>
      </w:r>
      <w:r>
        <w:rPr>
          <w:rStyle w:val="af9"/>
          <w:rtl/>
        </w:rPr>
        <w:t>הריב"ם</w:t>
      </w:r>
      <w:r>
        <w:rPr>
          <w:rFonts w:hint="cs"/>
          <w:rtl/>
        </w:rPr>
        <w:t xml:space="preserve"> </w:t>
      </w:r>
      <w:r w:rsidRPr="00CB026C">
        <w:rPr>
          <w:rStyle w:val="af7"/>
          <w:rFonts w:eastAsia="Guttman Hodes" w:hint="cs"/>
          <w:rtl/>
        </w:rPr>
        <w:t xml:space="preserve">(עי' אות </w:t>
      </w:r>
      <w:r w:rsidRPr="00CB026C">
        <w:rPr>
          <w:rStyle w:val="af7"/>
          <w:rFonts w:eastAsia="Guttman Hodes" w:hint="cs"/>
          <w:rtl/>
        </w:rPr>
        <w:fldChar w:fldCharType="begin"/>
      </w:r>
      <w:r w:rsidRPr="00CB026C">
        <w:rPr>
          <w:rStyle w:val="af7"/>
          <w:rFonts w:eastAsia="Guttman Hodes" w:hint="cs"/>
          <w:rtl/>
        </w:rPr>
        <w:instrText xml:space="preserve"> </w:instrText>
      </w:r>
      <w:r w:rsidRPr="00CB026C">
        <w:rPr>
          <w:rStyle w:val="af7"/>
          <w:rFonts w:eastAsia="Guttman Hodes"/>
        </w:rPr>
        <w:instrText>REF</w:instrText>
      </w:r>
      <w:r w:rsidRPr="00CB026C">
        <w:rPr>
          <w:rStyle w:val="af7"/>
          <w:rFonts w:eastAsia="Guttman Hodes" w:hint="cs"/>
          <w:rtl/>
        </w:rPr>
        <w:instrText xml:space="preserve"> _</w:instrText>
      </w:r>
      <w:r w:rsidRPr="00CB026C">
        <w:rPr>
          <w:rStyle w:val="af7"/>
          <w:rFonts w:eastAsia="Guttman Hodes"/>
        </w:rPr>
        <w:instrText>Ref65795831 \r \h</w:instrText>
      </w:r>
      <w:r w:rsidRPr="00CB026C">
        <w:rPr>
          <w:rStyle w:val="af7"/>
          <w:rFonts w:eastAsia="Guttman Hodes" w:hint="cs"/>
          <w:rtl/>
        </w:rPr>
        <w:instrText xml:space="preserve"> </w:instrText>
      </w:r>
      <w:r w:rsidRPr="00CB026C">
        <w:rPr>
          <w:rStyle w:val="af7"/>
          <w:rFonts w:eastAsia="Guttman Hodes" w:hint="cs"/>
          <w:rtl/>
        </w:rPr>
      </w:r>
      <w:r w:rsidRPr="00CB026C">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לה</w:t>
      </w:r>
      <w:r w:rsidR="00265073">
        <w:rPr>
          <w:rStyle w:val="af7"/>
          <w:rFonts w:eastAsia="Guttman Hodes"/>
          <w:rtl/>
        </w:rPr>
        <w:t>)</w:t>
      </w:r>
      <w:r w:rsidRPr="00CB026C">
        <w:rPr>
          <w:rStyle w:val="af7"/>
          <w:rFonts w:eastAsia="Guttman Hodes" w:hint="cs"/>
          <w:rtl/>
        </w:rPr>
        <w:fldChar w:fldCharType="end"/>
      </w:r>
      <w:r>
        <w:rPr>
          <w:rFonts w:hint="cs"/>
          <w:rtl/>
        </w:rPr>
        <w:t xml:space="preserve"> דכל שיש עליו חיוב שבועה דאו', הע"א הוא כשנים והוא חייב או להשבע או לשלם, ולכן אינו נאמן במיגו, הקשה </w:t>
      </w:r>
      <w:r w:rsidRPr="00975680">
        <w:rPr>
          <w:rStyle w:val="af9"/>
          <w:rFonts w:hint="cs"/>
          <w:rtl/>
        </w:rPr>
        <w:t>בחי' הגרש"ש</w:t>
      </w:r>
      <w:r>
        <w:rPr>
          <w:rFonts w:hint="cs"/>
          <w:rtl/>
        </w:rPr>
        <w:t xml:space="preserve"> </w:t>
      </w:r>
      <w:r w:rsidRPr="00CB026C">
        <w:rPr>
          <w:rStyle w:val="af7"/>
          <w:rFonts w:eastAsia="Guttman Hodes" w:hint="cs"/>
          <w:rtl/>
        </w:rPr>
        <w:t>(סי' י"ח [מהדו' חד' סי' כ"א] או א' ד"ה והנה בעניותינו)</w:t>
      </w:r>
      <w:r>
        <w:rPr>
          <w:rFonts w:hint="cs"/>
          <w:rtl/>
        </w:rPr>
        <w:t xml:space="preserve"> דאף שהע"א כשנים כל שלא נשבע להכחיש את העד, מ"מ עדותו היא רק על מעשה החטיפה, ואילו על טענתו דדידי חטפי אין העד מעין כלום, וא"כ אמאי אינו נאמן במיגו על טענה זו</w:t>
      </w:r>
      <w:bookmarkEnd w:id="18534"/>
      <w:r>
        <w:rPr>
          <w:rFonts w:hint="cs"/>
          <w:rtl/>
        </w:rPr>
        <w:t xml:space="preserve">, וביאר </w:t>
      </w:r>
      <w:r w:rsidRPr="00975680">
        <w:rPr>
          <w:rStyle w:val="af9"/>
          <w:rFonts w:hint="cs"/>
          <w:rtl/>
        </w:rPr>
        <w:t>בחי' הגרש"ש</w:t>
      </w:r>
      <w:r>
        <w:rPr>
          <w:rFonts w:hint="cs"/>
          <w:rtl/>
        </w:rPr>
        <w:t xml:space="preserve"> </w:t>
      </w:r>
      <w:r w:rsidRPr="00CB026C">
        <w:rPr>
          <w:rStyle w:val="af7"/>
          <w:rFonts w:eastAsia="Guttman Hodes" w:hint="cs"/>
          <w:rtl/>
        </w:rPr>
        <w:t>(סי' י"ח [מהדו' חד' סי' כ"א] או א' ד"ה ולפ"ז הכא)</w:t>
      </w:r>
      <w:r>
        <w:rPr>
          <w:rFonts w:hint="cs"/>
          <w:rtl/>
        </w:rPr>
        <w:t xml:space="preserve"> את דברי </w:t>
      </w:r>
      <w:r w:rsidRPr="000D725C">
        <w:rPr>
          <w:rStyle w:val="af9"/>
          <w:rFonts w:hint="cs"/>
          <w:rtl/>
        </w:rPr>
        <w:t>הריב"ם</w:t>
      </w:r>
      <w:r>
        <w:rPr>
          <w:rFonts w:hint="cs"/>
          <w:rtl/>
        </w:rPr>
        <w:t xml:space="preserve"> דכיון דהנאמנות במיגו אינו רק מדין בירור, אלא צריך שיהיה לטוען את זכות הטענה של המיגו, </w:t>
      </w:r>
      <w:r w:rsidRPr="00CB026C">
        <w:rPr>
          <w:rStyle w:val="afb"/>
          <w:rFonts w:hint="cs"/>
          <w:rtl/>
        </w:rPr>
        <w:t xml:space="preserve">[עיי"ש במ"ש </w:t>
      </w:r>
      <w:r w:rsidRPr="00CB026C">
        <w:rPr>
          <w:rStyle w:val="affa"/>
          <w:rFonts w:hint="cs"/>
          <w:rtl/>
        </w:rPr>
        <w:t>הגרש"ש</w:t>
      </w:r>
      <w:r w:rsidRPr="00CB026C">
        <w:rPr>
          <w:rStyle w:val="afb"/>
          <w:rFonts w:hint="cs"/>
          <w:rtl/>
        </w:rPr>
        <w:t xml:space="preserve"> בזה],</w:t>
      </w:r>
      <w:r>
        <w:rPr>
          <w:rFonts w:hint="cs"/>
          <w:rtl/>
        </w:rPr>
        <w:t xml:space="preserve"> ובדין שבועה כל הנאמנות שיש לו כנגד ע"א, היא רק כשנשבע להכחיש את העד, וא"כ הכא שהודה לדברי העד, כבר אין לו את כח הטענה שהיה יכול להשבע ולהכחיש את העד, דזכות הנאמנות בשבועה היא רק להכחישו, ועי' במ"ש </w:t>
      </w:r>
      <w:r w:rsidRPr="005C0255">
        <w:rPr>
          <w:rStyle w:val="af9"/>
          <w:rFonts w:hint="cs"/>
          <w:rtl/>
        </w:rPr>
        <w:t>בחי' הגר"ח מטעלז</w:t>
      </w:r>
      <w:r>
        <w:rPr>
          <w:rFonts w:hint="cs"/>
          <w:rtl/>
        </w:rPr>
        <w:t xml:space="preserve"> </w:t>
      </w:r>
      <w:r w:rsidRPr="0003496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Ref66178076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Pr>
          <w:rStyle w:val="af7"/>
          <w:rFonts w:eastAsia="Guttman Hodes"/>
          <w:rtl/>
        </w:rPr>
        <w:fldChar w:fldCharType="end"/>
      </w:r>
      <w:r>
        <w:rPr>
          <w:rStyle w:val="af7"/>
          <w:rFonts w:eastAsia="Guttman Hodes" w:hint="cs"/>
          <w:rtl/>
        </w:rPr>
        <w:t xml:space="preserve"> </w:t>
      </w:r>
      <w:r w:rsidRPr="00034960">
        <w:rPr>
          <w:rStyle w:val="af9"/>
          <w:rFonts w:hint="cs"/>
          <w:rtl/>
        </w:rPr>
        <w:t>ו</w:t>
      </w:r>
      <w:r>
        <w:rPr>
          <w:rStyle w:val="af9"/>
          <w:rFonts w:hint="cs"/>
          <w:rtl/>
        </w:rPr>
        <w:t>ב</w:t>
      </w:r>
      <w:r w:rsidRPr="00034960">
        <w:rPr>
          <w:rStyle w:val="af9"/>
          <w:rFonts w:hint="cs"/>
          <w:rtl/>
        </w:rPr>
        <w:t>קוב"ש</w:t>
      </w:r>
      <w:r>
        <w:rPr>
          <w:rFonts w:hint="cs"/>
          <w:rtl/>
        </w:rPr>
        <w:t xml:space="preserve"> </w:t>
      </w:r>
      <w:r w:rsidRPr="00034960">
        <w:rPr>
          <w:rStyle w:val="af7"/>
          <w:rFonts w:eastAsia="Guttman Hodes" w:hint="cs"/>
          <w:rtl/>
        </w:rPr>
        <w:t xml:space="preserve">(עי' אות </w:t>
      </w:r>
      <w:r w:rsidRPr="00034960">
        <w:rPr>
          <w:rStyle w:val="af7"/>
          <w:rFonts w:eastAsia="Guttman Hodes"/>
          <w:rtl/>
        </w:rPr>
        <w:fldChar w:fldCharType="begin"/>
      </w:r>
      <w:r w:rsidRPr="00034960">
        <w:rPr>
          <w:rStyle w:val="af7"/>
          <w:rFonts w:eastAsia="Guttman Hodes"/>
          <w:rtl/>
        </w:rPr>
        <w:instrText xml:space="preserve"> </w:instrText>
      </w:r>
      <w:r w:rsidRPr="00034960">
        <w:rPr>
          <w:rStyle w:val="af7"/>
          <w:rFonts w:eastAsia="Guttman Hodes" w:hint="cs"/>
        </w:rPr>
        <w:instrText>REF</w:instrText>
      </w:r>
      <w:r w:rsidRPr="00034960">
        <w:rPr>
          <w:rStyle w:val="af7"/>
          <w:rFonts w:eastAsia="Guttman Hodes" w:hint="cs"/>
          <w:rtl/>
        </w:rPr>
        <w:instrText xml:space="preserve"> _</w:instrText>
      </w:r>
      <w:r w:rsidRPr="00034960">
        <w:rPr>
          <w:rStyle w:val="af7"/>
          <w:rFonts w:eastAsia="Guttman Hodes" w:hint="cs"/>
        </w:rPr>
        <w:instrText>Ref66013473 \r \h</w:instrText>
      </w:r>
      <w:r w:rsidRPr="00034960">
        <w:rPr>
          <w:rStyle w:val="af7"/>
          <w:rFonts w:eastAsia="Guttman Hodes"/>
          <w:rtl/>
        </w:rPr>
        <w:instrText xml:space="preserve"> </w:instrText>
      </w:r>
      <w:r w:rsidRPr="00034960">
        <w:rPr>
          <w:rStyle w:val="af7"/>
          <w:rFonts w:eastAsia="Guttman Hodes"/>
          <w:rtl/>
        </w:rPr>
      </w:r>
      <w:r w:rsidRPr="00034960">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sidRPr="00034960">
        <w:rPr>
          <w:rStyle w:val="af7"/>
          <w:rFonts w:eastAsia="Guttman Hodes"/>
          <w:rtl/>
        </w:rPr>
        <w:fldChar w:fldCharType="end"/>
      </w:r>
      <w:r>
        <w:rPr>
          <w:rFonts w:hint="cs"/>
          <w:rtl/>
        </w:rPr>
        <w:t>.</w:t>
      </w:r>
      <w:bookmarkEnd w:id="18535"/>
    </w:p>
    <w:p w:rsidR="00E824D3" w:rsidRPr="000D725C" w:rsidRDefault="00E824D3" w:rsidP="00E824D3">
      <w:pPr>
        <w:pStyle w:val="a3"/>
      </w:pPr>
      <w:bookmarkStart w:id="18536" w:name="_Toc66143889"/>
      <w:bookmarkStart w:id="18537" w:name="_Toc66172052"/>
      <w:bookmarkStart w:id="18538" w:name="_Toc66183296"/>
      <w:bookmarkStart w:id="18539" w:name="_Toc66186087"/>
      <w:bookmarkStart w:id="18540" w:name="_Toc66193553"/>
      <w:r>
        <w:rPr>
          <w:rFonts w:hint="cs"/>
          <w:rtl/>
        </w:rPr>
        <w:t>ביאור הגרש"ש דרק כיון דאמרינן משאיל"מ אין לו זכות טענה אחר שהודה דא"י לישבע ומשלם</w:t>
      </w:r>
      <w:bookmarkEnd w:id="18536"/>
      <w:bookmarkEnd w:id="18537"/>
      <w:bookmarkEnd w:id="18538"/>
      <w:bookmarkEnd w:id="18539"/>
      <w:bookmarkEnd w:id="18540"/>
    </w:p>
    <w:p w:rsidR="00E824D3" w:rsidRDefault="00E824D3" w:rsidP="007E4E81">
      <w:pPr>
        <w:pStyle w:val="a0"/>
        <w:rPr>
          <w:rtl/>
        </w:rPr>
      </w:pPr>
      <w:bookmarkStart w:id="18541" w:name="_Ref66177941"/>
      <w:r>
        <w:rPr>
          <w:rFonts w:hint="cs"/>
          <w:rtl/>
        </w:rPr>
        <w:t xml:space="preserve">והא דאמרינן בגמ' דכיון דאמר דידי חטפי, חייב לשלם מדין מתוך שאינו יכול לישבע משלם, ביאר </w:t>
      </w:r>
      <w:r w:rsidRPr="00CB026C">
        <w:rPr>
          <w:rStyle w:val="af9"/>
          <w:rFonts w:hint="cs"/>
          <w:rtl/>
        </w:rPr>
        <w:t>בחי' הגרש"ש</w:t>
      </w:r>
      <w:r>
        <w:rPr>
          <w:rFonts w:hint="cs"/>
          <w:rtl/>
        </w:rPr>
        <w:t xml:space="preserve"> דכל שהודה שחטף כל שאין לו מיגו דינו כגזלן, ואם הוא נאמן במיגו ממילא צריך לומר דמתוך שאינו יכול לישבע משלם, דהא כיון שכל הכח של טענת המיגו שהיה נשבע להכחיש את העד, והוא אינו יכול להשבע, דאחר שהודה איבד את זכות הנאמנות בשבועה להכחיש את העד, וא"כ אף אם בטענת המיגו דינו הוא מתוך שאינו יכול לישבע משלם, ולכן אף בטענה שטוען עכשיו דדידי חטפי, אין לו כח יותר מטענת המיגו.</w:t>
      </w:r>
      <w:bookmarkEnd w:id="18541"/>
    </w:p>
    <w:p w:rsidR="00E824D3" w:rsidRDefault="00E824D3" w:rsidP="00E824D3">
      <w:pPr>
        <w:pStyle w:val="a3"/>
        <w:rPr>
          <w:rtl/>
        </w:rPr>
      </w:pPr>
      <w:bookmarkStart w:id="18542" w:name="_Toc66143890"/>
      <w:bookmarkStart w:id="18543" w:name="_Toc66172053"/>
      <w:bookmarkStart w:id="18544" w:name="_Toc66183297"/>
      <w:bookmarkStart w:id="18545" w:name="_Toc66186088"/>
      <w:bookmarkStart w:id="18546" w:name="_Toc66193554"/>
      <w:r>
        <w:rPr>
          <w:rFonts w:hint="cs"/>
          <w:rtl/>
        </w:rPr>
        <w:t>דברי הגרש"ש דלרב ושמואל דל"א משאיל"מ אף שאיבד את זכות השבועה מהני המיגו ליפטר</w:t>
      </w:r>
      <w:bookmarkEnd w:id="18542"/>
      <w:bookmarkEnd w:id="18543"/>
      <w:bookmarkEnd w:id="18544"/>
      <w:bookmarkEnd w:id="18545"/>
      <w:bookmarkEnd w:id="18546"/>
    </w:p>
    <w:p w:rsidR="00E824D3" w:rsidRPr="00AE7E19" w:rsidRDefault="00E824D3" w:rsidP="007E4E81">
      <w:pPr>
        <w:pStyle w:val="a0"/>
        <w:rPr>
          <w:rtl/>
        </w:rPr>
      </w:pPr>
      <w:r>
        <w:rPr>
          <w:rFonts w:hint="cs"/>
          <w:rtl/>
        </w:rPr>
        <w:t xml:space="preserve">וכתב </w:t>
      </w:r>
      <w:r w:rsidRPr="00EF6772">
        <w:rPr>
          <w:rStyle w:val="af9"/>
          <w:rFonts w:hint="cs"/>
          <w:rtl/>
        </w:rPr>
        <w:t>בחי' הגרש"ש</w:t>
      </w:r>
      <w:r>
        <w:rPr>
          <w:rFonts w:hint="cs"/>
          <w:rtl/>
        </w:rPr>
        <w:t xml:space="preserve"> דכ"ז דוקא לר"א דס"ל מתוך שאינו יכול לישבע משלם, אבל לרב ושמואל דכשאינו יכול להשבע הוא פטור מלשלם, א"כ אף שהודה ואיבד את זכותו להשבע להכחיש את </w:t>
      </w:r>
      <w:r>
        <w:rPr>
          <w:rFonts w:hint="cs"/>
          <w:rtl/>
        </w:rPr>
        <w:t>העד, מ"מ מהני לו המיגו, דנשאר לו הכח של הטענה דלא חטפי, דהיה בה פטור מלשלם.</w:t>
      </w:r>
    </w:p>
    <w:p w:rsidR="00E824D3" w:rsidRDefault="00E824D3" w:rsidP="00E824D3">
      <w:pPr>
        <w:pStyle w:val="1"/>
        <w:rPr>
          <w:rtl/>
        </w:rPr>
      </w:pPr>
      <w:bookmarkStart w:id="18547" w:name="_Toc66048891"/>
      <w:bookmarkStart w:id="18548" w:name="_Toc66055844"/>
      <w:bookmarkStart w:id="18549" w:name="_Toc66085964"/>
      <w:bookmarkStart w:id="18550" w:name="_Toc66110538"/>
      <w:bookmarkStart w:id="18551" w:name="_Toc66123426"/>
      <w:bookmarkStart w:id="18552" w:name="_Toc66143891"/>
      <w:bookmarkStart w:id="18553" w:name="_Toc66172054"/>
      <w:bookmarkStart w:id="18554" w:name="_Toc66183298"/>
      <w:bookmarkStart w:id="18555" w:name="_Toc66186089"/>
      <w:bookmarkStart w:id="18556" w:name="_Toc66193555"/>
      <w:r>
        <w:rPr>
          <w:rFonts w:hint="cs"/>
          <w:rtl/>
        </w:rPr>
        <w:t xml:space="preserve">ביאור בגרש"ש </w:t>
      </w:r>
      <w:bookmarkEnd w:id="18547"/>
      <w:bookmarkEnd w:id="18548"/>
      <w:bookmarkEnd w:id="18549"/>
      <w:bookmarkEnd w:id="18550"/>
      <w:bookmarkEnd w:id="18551"/>
      <w:r>
        <w:rPr>
          <w:rFonts w:hint="cs"/>
          <w:rtl/>
        </w:rPr>
        <w:t>ברמב"ן דע"א כב' ואין לו כח טענה ולר"א חייב</w:t>
      </w:r>
      <w:bookmarkEnd w:id="18552"/>
      <w:bookmarkEnd w:id="18553"/>
      <w:bookmarkEnd w:id="18554"/>
      <w:bookmarkEnd w:id="18555"/>
      <w:bookmarkEnd w:id="18556"/>
    </w:p>
    <w:p w:rsidR="00E824D3" w:rsidRDefault="00E824D3" w:rsidP="00E824D3">
      <w:pPr>
        <w:pStyle w:val="a3"/>
        <w:rPr>
          <w:rtl/>
        </w:rPr>
      </w:pPr>
      <w:bookmarkStart w:id="18557" w:name="_Toc66143892"/>
      <w:bookmarkStart w:id="18558" w:name="_Toc66172055"/>
      <w:bookmarkStart w:id="18559" w:name="_Toc66183299"/>
      <w:bookmarkStart w:id="18560" w:name="_Toc66186090"/>
      <w:bookmarkStart w:id="18561" w:name="_Toc66193556"/>
      <w:r>
        <w:rPr>
          <w:rFonts w:hint="cs"/>
          <w:rtl/>
        </w:rPr>
        <w:t>בי' הגרש"ש דכיון דהע"א כשנים חשיב שיש עדות חטיפה והכח של הע"א אינו מחמת הודאתו</w:t>
      </w:r>
      <w:bookmarkEnd w:id="18557"/>
      <w:bookmarkEnd w:id="18558"/>
      <w:bookmarkEnd w:id="18559"/>
      <w:bookmarkEnd w:id="18560"/>
      <w:bookmarkEnd w:id="18561"/>
    </w:p>
    <w:p w:rsidR="00E824D3" w:rsidRDefault="00E824D3" w:rsidP="007E4E81">
      <w:pPr>
        <w:pStyle w:val="a0"/>
        <w:rPr>
          <w:rtl/>
        </w:rPr>
      </w:pPr>
      <w:bookmarkStart w:id="18562" w:name="_Ref66142490"/>
      <w:r>
        <w:rPr>
          <w:rFonts w:hint="cs"/>
          <w:rtl/>
        </w:rPr>
        <w:t xml:space="preserve">ועוד ביאר </w:t>
      </w:r>
      <w:r w:rsidRPr="00894828">
        <w:rPr>
          <w:rStyle w:val="af9"/>
          <w:rFonts w:hint="cs"/>
          <w:rtl/>
        </w:rPr>
        <w:t>בחי' הגרש"ש</w:t>
      </w:r>
      <w:r>
        <w:rPr>
          <w:rFonts w:hint="cs"/>
          <w:rtl/>
        </w:rPr>
        <w:t xml:space="preserve"> </w:t>
      </w:r>
      <w:r w:rsidRPr="00E70BEB">
        <w:rPr>
          <w:rStyle w:val="af7"/>
          <w:rFonts w:eastAsia="Guttman Hodes" w:hint="cs"/>
          <w:rtl/>
        </w:rPr>
        <w:t>(סי' י"ט [מהדו' חד' סי' כ"ב] או' א' ד"ה ונלענ"ד)</w:t>
      </w:r>
      <w:r>
        <w:rPr>
          <w:rFonts w:hint="cs"/>
          <w:rtl/>
        </w:rPr>
        <w:t xml:space="preserve"> את דעת</w:t>
      </w:r>
      <w:r w:rsidRPr="00894828">
        <w:rPr>
          <w:rStyle w:val="af9"/>
          <w:rtl/>
        </w:rPr>
        <w:t xml:space="preserve"> </w:t>
      </w:r>
      <w:r>
        <w:rPr>
          <w:rStyle w:val="af9"/>
          <w:rtl/>
        </w:rPr>
        <w:t>הריב"ם</w:t>
      </w:r>
      <w:r>
        <w:rPr>
          <w:rFonts w:hint="cs"/>
          <w:rtl/>
        </w:rPr>
        <w:t xml:space="preserve"> </w:t>
      </w:r>
      <w:r w:rsidRPr="00E70BEB">
        <w:rPr>
          <w:rStyle w:val="af7"/>
          <w:rFonts w:eastAsia="Guttman Hodes" w:hint="cs"/>
          <w:rtl/>
        </w:rPr>
        <w:t xml:space="preserve">(עי' אות </w:t>
      </w:r>
      <w:r w:rsidRPr="00E70BEB">
        <w:rPr>
          <w:rStyle w:val="af7"/>
          <w:rFonts w:eastAsia="Guttman Hodes" w:hint="cs"/>
          <w:rtl/>
        </w:rPr>
        <w:fldChar w:fldCharType="begin"/>
      </w:r>
      <w:r w:rsidRPr="00E70BEB">
        <w:rPr>
          <w:rStyle w:val="af7"/>
          <w:rFonts w:eastAsia="Guttman Hodes" w:hint="cs"/>
          <w:rtl/>
        </w:rPr>
        <w:instrText xml:space="preserve"> </w:instrText>
      </w:r>
      <w:r w:rsidRPr="00E70BEB">
        <w:rPr>
          <w:rStyle w:val="af7"/>
          <w:rFonts w:eastAsia="Guttman Hodes"/>
        </w:rPr>
        <w:instrText>REF</w:instrText>
      </w:r>
      <w:r w:rsidRPr="00E70BEB">
        <w:rPr>
          <w:rStyle w:val="af7"/>
          <w:rFonts w:eastAsia="Guttman Hodes" w:hint="cs"/>
          <w:rtl/>
        </w:rPr>
        <w:instrText xml:space="preserve"> _</w:instrText>
      </w:r>
      <w:r w:rsidRPr="00E70BEB">
        <w:rPr>
          <w:rStyle w:val="af7"/>
          <w:rFonts w:eastAsia="Guttman Hodes"/>
        </w:rPr>
        <w:instrText>Ref65795831 \r \h</w:instrText>
      </w:r>
      <w:r w:rsidRPr="00E70BEB">
        <w:rPr>
          <w:rStyle w:val="af7"/>
          <w:rFonts w:eastAsia="Guttman Hodes" w:hint="cs"/>
          <w:rtl/>
        </w:rPr>
        <w:instrText xml:space="preserve"> </w:instrText>
      </w:r>
      <w:r w:rsidRPr="00E70BEB">
        <w:rPr>
          <w:rStyle w:val="af7"/>
          <w:rFonts w:eastAsia="Guttman Hodes" w:hint="cs"/>
          <w:rtl/>
        </w:rPr>
      </w:r>
      <w:r w:rsidRPr="00E70BEB">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לה</w:t>
      </w:r>
      <w:r w:rsidR="00265073">
        <w:rPr>
          <w:rStyle w:val="af7"/>
          <w:rFonts w:eastAsia="Guttman Hodes"/>
          <w:rtl/>
        </w:rPr>
        <w:t>)</w:t>
      </w:r>
      <w:r w:rsidRPr="00E70BEB">
        <w:rPr>
          <w:rStyle w:val="af7"/>
          <w:rFonts w:eastAsia="Guttman Hodes" w:hint="cs"/>
          <w:rtl/>
        </w:rPr>
        <w:fldChar w:fldCharType="end"/>
      </w:r>
      <w:r>
        <w:rPr>
          <w:rFonts w:hint="cs"/>
          <w:rtl/>
        </w:rPr>
        <w:t xml:space="preserve"> עפ"י מ"ש </w:t>
      </w:r>
      <w:r>
        <w:rPr>
          <w:rStyle w:val="af9"/>
          <w:rtl/>
        </w:rPr>
        <w:t>הרמב"ן</w:t>
      </w:r>
      <w:r>
        <w:rPr>
          <w:rFonts w:hint="cs"/>
          <w:rtl/>
        </w:rPr>
        <w:t xml:space="preserve"> </w:t>
      </w:r>
      <w:r w:rsidRPr="00E70BEB">
        <w:rPr>
          <w:rStyle w:val="af7"/>
          <w:rFonts w:eastAsia="Guttman Hodes" w:hint="cs"/>
          <w:rtl/>
        </w:rPr>
        <w:t xml:space="preserve">(עי' אות </w:t>
      </w:r>
      <w:r w:rsidRPr="00E70BEB">
        <w:rPr>
          <w:rStyle w:val="af7"/>
          <w:rFonts w:eastAsia="Guttman Hodes"/>
          <w:rtl/>
        </w:rPr>
        <w:fldChar w:fldCharType="begin"/>
      </w:r>
      <w:r w:rsidRPr="00E70BEB">
        <w:rPr>
          <w:rStyle w:val="af7"/>
          <w:rFonts w:eastAsia="Guttman Hodes"/>
          <w:rtl/>
        </w:rPr>
        <w:instrText xml:space="preserve"> </w:instrText>
      </w:r>
      <w:r w:rsidRPr="00E70BEB">
        <w:rPr>
          <w:rStyle w:val="af7"/>
          <w:rFonts w:eastAsia="Guttman Hodes" w:hint="cs"/>
        </w:rPr>
        <w:instrText>REF</w:instrText>
      </w:r>
      <w:r w:rsidRPr="00E70BEB">
        <w:rPr>
          <w:rStyle w:val="af7"/>
          <w:rFonts w:eastAsia="Guttman Hodes" w:hint="cs"/>
          <w:rtl/>
        </w:rPr>
        <w:instrText xml:space="preserve"> _</w:instrText>
      </w:r>
      <w:r w:rsidRPr="00E70BEB">
        <w:rPr>
          <w:rStyle w:val="af7"/>
          <w:rFonts w:eastAsia="Guttman Hodes" w:hint="cs"/>
        </w:rPr>
        <w:instrText>Ref66054904 \r \h</w:instrText>
      </w:r>
      <w:r w:rsidRPr="00E70BEB">
        <w:rPr>
          <w:rStyle w:val="af7"/>
          <w:rFonts w:eastAsia="Guttman Hodes"/>
          <w:rtl/>
        </w:rPr>
        <w:instrText xml:space="preserve">  \* </w:instrText>
      </w:r>
      <w:r w:rsidRPr="00E70BEB">
        <w:rPr>
          <w:rStyle w:val="af7"/>
          <w:rFonts w:eastAsia="Guttman Hodes"/>
        </w:rPr>
        <w:instrText>MERGEFORMAT</w:instrText>
      </w:r>
      <w:r w:rsidRPr="00E70BEB">
        <w:rPr>
          <w:rStyle w:val="af7"/>
          <w:rFonts w:eastAsia="Guttman Hodes"/>
          <w:rtl/>
        </w:rPr>
        <w:instrText xml:space="preserve"> </w:instrText>
      </w:r>
      <w:r w:rsidRPr="00E70BEB">
        <w:rPr>
          <w:rStyle w:val="af7"/>
          <w:rFonts w:eastAsia="Guttman Hodes"/>
          <w:rtl/>
        </w:rPr>
      </w:r>
      <w:r w:rsidRPr="00E70BEB">
        <w:rPr>
          <w:rStyle w:val="af7"/>
          <w:rFonts w:eastAsia="Guttman Hodes"/>
          <w:rtl/>
        </w:rPr>
        <w:fldChar w:fldCharType="separate"/>
      </w:r>
      <w:r w:rsidR="00265073">
        <w:rPr>
          <w:rStyle w:val="af7"/>
          <w:rFonts w:eastAsia="Guttman Hodes"/>
          <w:cs/>
        </w:rPr>
        <w:t>‎</w:t>
      </w:r>
      <w:r w:rsidR="00265073">
        <w:rPr>
          <w:rStyle w:val="af7"/>
          <w:rFonts w:eastAsia="Guttman Hodes"/>
          <w:rtl/>
        </w:rPr>
        <w:t>לח)</w:t>
      </w:r>
      <w:r w:rsidRPr="00E70BEB">
        <w:rPr>
          <w:rStyle w:val="af7"/>
          <w:rFonts w:eastAsia="Guttman Hodes"/>
          <w:rtl/>
        </w:rPr>
        <w:fldChar w:fldCharType="end"/>
      </w:r>
      <w:r>
        <w:rPr>
          <w:rFonts w:hint="cs"/>
          <w:rtl/>
        </w:rPr>
        <w:t xml:space="preserve"> דכ"ז שלא נשבע להכחישו נאמן העד כשנים, וכתב </w:t>
      </w:r>
      <w:r w:rsidRPr="00736496">
        <w:rPr>
          <w:rStyle w:val="af9"/>
          <w:rFonts w:hint="cs"/>
          <w:rtl/>
        </w:rPr>
        <w:t>הגרש"ש</w:t>
      </w:r>
      <w:r>
        <w:rPr>
          <w:rFonts w:hint="cs"/>
          <w:rtl/>
        </w:rPr>
        <w:t xml:space="preserve"> דכ"מ דנאמן במיגו הוא אינו כיון שאינו חשוד לשקר, אלא מדין כח הטענה שיש לו בטענת המיגו,</w:t>
      </w:r>
      <w:r w:rsidRPr="004425E7">
        <w:rPr>
          <w:rStyle w:val="afb"/>
          <w:rFonts w:hint="cs"/>
          <w:rtl/>
        </w:rPr>
        <w:t xml:space="preserve"> [דהא אף קרוב אינו חשוד לשקר, ומ"מ אינו נאמן, עיי"ש במה שביאר</w:t>
      </w:r>
      <w:r w:rsidRPr="00736496">
        <w:rPr>
          <w:rStyle w:val="afb"/>
          <w:rFonts w:hint="cs"/>
          <w:rtl/>
        </w:rPr>
        <w:t xml:space="preserve"> </w:t>
      </w:r>
      <w:r w:rsidRPr="00736496">
        <w:rPr>
          <w:rStyle w:val="affa"/>
          <w:rFonts w:hint="cs"/>
          <w:rtl/>
        </w:rPr>
        <w:t>הגרש"ש</w:t>
      </w:r>
      <w:r w:rsidRPr="00736496">
        <w:rPr>
          <w:rStyle w:val="afb"/>
          <w:rFonts w:hint="cs"/>
          <w:rtl/>
        </w:rPr>
        <w:t xml:space="preserve"> בזה],</w:t>
      </w:r>
      <w:r>
        <w:rPr>
          <w:rFonts w:hint="cs"/>
          <w:rtl/>
        </w:rPr>
        <w:t xml:space="preserve"> וא"כ בנסכא אף לרב ושמואל דנאמן במיגו דלא חטפי, מ"מ אם יבא אח"כ עוד עד שהוא חטף, או שיאמר דהע"א נאמן עליו כשנים, דודאי שיתחייב לשלם, וביאר </w:t>
      </w:r>
      <w:r w:rsidRPr="007E140F">
        <w:rPr>
          <w:rStyle w:val="af9"/>
          <w:rFonts w:hint="cs"/>
          <w:rtl/>
        </w:rPr>
        <w:t>בחי' הגרש"ש</w:t>
      </w:r>
      <w:r>
        <w:rPr>
          <w:rFonts w:hint="cs"/>
          <w:rtl/>
        </w:rPr>
        <w:t xml:space="preserve"> דזו כוונת</w:t>
      </w:r>
      <w:r w:rsidRPr="007E140F">
        <w:rPr>
          <w:rStyle w:val="af9"/>
          <w:rFonts w:hint="cs"/>
          <w:rtl/>
        </w:rPr>
        <w:t xml:space="preserve"> הריב"ם</w:t>
      </w:r>
      <w:r>
        <w:rPr>
          <w:rFonts w:hint="cs"/>
          <w:rtl/>
        </w:rPr>
        <w:t xml:space="preserve"> לומר דכיון שהאמינה תורה לע"א כשנים כ"ז שלא נשבע להכחישו, א"כ אף שיש לו נאמנות במיגו דהיה יכול להכחישו ולטעון לא חטפי, מ"מ כל מה שהיה נאמן בשבועה בטענת לא חטפי, הוא רק אם לא היה בא עוד עד שמעיד על החטיפה, אבל עכשיו שאינו יכול להשבע להכחישו א"כ חשיב שיש ב' עדים על החטיפה, ואין לו את כח טענת המיגו דהיה נשבע להכחישו, דאחר שהודה שחטף אינו יכול להשבע, ואין לו את כח הטענה שהיה נשבע בטענת לא חטפי, ואף שכ"מ שהעד נאמן הוא רק מחמת שהודה, מ"מ הכח של הע"א אינו מכח הודאתו, אלא לע"א יש כח מצד עצמו, ולכן אין לו את כח הטענה של המיגו, וע"ע במה שהוסיף </w:t>
      </w:r>
      <w:r w:rsidRPr="00894828">
        <w:rPr>
          <w:rStyle w:val="af9"/>
          <w:rFonts w:hint="cs"/>
          <w:rtl/>
        </w:rPr>
        <w:t>בחי' הגרש"ש</w:t>
      </w:r>
      <w:r>
        <w:rPr>
          <w:rFonts w:hint="cs"/>
          <w:rtl/>
        </w:rPr>
        <w:t xml:space="preserve"> </w:t>
      </w:r>
      <w:r w:rsidRPr="00E70BEB">
        <w:rPr>
          <w:rStyle w:val="af7"/>
          <w:rFonts w:eastAsia="Guttman Hodes" w:hint="cs"/>
          <w:rtl/>
        </w:rPr>
        <w:t>(מהדו' חד' סי' כ"ד ד"ה והנה קשה, ד"ה ולפי"ז ניחא)</w:t>
      </w:r>
      <w:r>
        <w:rPr>
          <w:rFonts w:hint="cs"/>
          <w:rtl/>
        </w:rPr>
        <w:t xml:space="preserve"> לבאר בזה.</w:t>
      </w:r>
      <w:bookmarkEnd w:id="18562"/>
    </w:p>
    <w:p w:rsidR="00E824D3" w:rsidRPr="00A3097F" w:rsidRDefault="00E824D3" w:rsidP="00E824D3">
      <w:pPr>
        <w:pStyle w:val="a3"/>
      </w:pPr>
      <w:bookmarkStart w:id="18563" w:name="_Toc66143893"/>
      <w:bookmarkStart w:id="18564" w:name="_Toc66172056"/>
      <w:bookmarkStart w:id="18565" w:name="_Toc66183300"/>
      <w:bookmarkStart w:id="18566" w:name="_Toc66186091"/>
      <w:bookmarkStart w:id="18567" w:name="_Toc66193557"/>
      <w:r>
        <w:rPr>
          <w:rFonts w:hint="cs"/>
          <w:rtl/>
        </w:rPr>
        <w:t>דברי הגרש"ש דלר"א חייב לשלם דאין לו כח טענה ולרב ושמואל אף שאין כח טענה מ"מ פטור</w:t>
      </w:r>
      <w:bookmarkEnd w:id="18563"/>
      <w:bookmarkEnd w:id="18564"/>
      <w:bookmarkEnd w:id="18565"/>
      <w:bookmarkEnd w:id="18566"/>
      <w:bookmarkEnd w:id="18567"/>
    </w:p>
    <w:p w:rsidR="00E824D3" w:rsidRDefault="00E824D3" w:rsidP="007E4E81">
      <w:pPr>
        <w:pStyle w:val="a0"/>
        <w:rPr>
          <w:rtl/>
        </w:rPr>
      </w:pPr>
      <w:r>
        <w:rPr>
          <w:rFonts w:hint="cs"/>
          <w:rtl/>
        </w:rPr>
        <w:t xml:space="preserve">וכתב </w:t>
      </w:r>
      <w:r w:rsidRPr="007E140F">
        <w:rPr>
          <w:rStyle w:val="af9"/>
          <w:rFonts w:hint="cs"/>
          <w:rtl/>
        </w:rPr>
        <w:t xml:space="preserve">בחי' הגרש"ש </w:t>
      </w:r>
      <w:r w:rsidRPr="002A2CC5">
        <w:rPr>
          <w:rStyle w:val="af7"/>
          <w:rFonts w:eastAsia="Guttman Hodes" w:hint="cs"/>
          <w:rtl/>
        </w:rPr>
        <w:t xml:space="preserve">(סי' י"ט [מהדו' חד' סי' כ"ב] </w:t>
      </w:r>
      <w:r>
        <w:rPr>
          <w:rStyle w:val="af7"/>
          <w:rFonts w:eastAsia="Guttman Hodes" w:hint="cs"/>
          <w:rtl/>
        </w:rPr>
        <w:t>או' א' סו</w:t>
      </w:r>
      <w:r w:rsidRPr="002A2CC5">
        <w:rPr>
          <w:rStyle w:val="af7"/>
          <w:rFonts w:eastAsia="Guttman Hodes" w:hint="cs"/>
          <w:rtl/>
        </w:rPr>
        <w:t>ד"ה ונלענ"ד)</w:t>
      </w:r>
      <w:r>
        <w:rPr>
          <w:rFonts w:hint="cs"/>
          <w:rtl/>
        </w:rPr>
        <w:t xml:space="preserve"> דלדעת ר"א כיון שאין לו את כח הטענה של המיגו הוא חייב לשלם, ולרב ושמואל אף שאין לו את כח הטענה של המיגו, מ"מ רק הוא נשאר מחוייב שבועה, וס"ל לרב ושמואל דפטור דלא אמרינן מתוך שאינו יכול לישבע משלם.</w:t>
      </w:r>
    </w:p>
    <w:p w:rsidR="00E824D3" w:rsidRDefault="00E824D3" w:rsidP="00E824D3">
      <w:pPr>
        <w:pStyle w:val="1"/>
        <w:rPr>
          <w:rtl/>
        </w:rPr>
      </w:pPr>
      <w:bookmarkStart w:id="18568" w:name="_Toc66048892"/>
      <w:bookmarkStart w:id="18569" w:name="_Toc66055845"/>
      <w:bookmarkStart w:id="18570" w:name="_Toc66085965"/>
      <w:bookmarkStart w:id="18571" w:name="_Toc66110539"/>
      <w:bookmarkStart w:id="18572" w:name="_Toc66123427"/>
      <w:bookmarkStart w:id="18573" w:name="_Toc66143894"/>
      <w:bookmarkStart w:id="18574" w:name="_Toc66172057"/>
      <w:bookmarkStart w:id="18575" w:name="_Toc66183301"/>
      <w:bookmarkStart w:id="18576" w:name="_Toc66186092"/>
      <w:bookmarkStart w:id="18577" w:name="_Toc66193558"/>
      <w:r>
        <w:rPr>
          <w:rFonts w:hint="cs"/>
          <w:rtl/>
        </w:rPr>
        <w:t>בי' הגרש"ש ברשב"א בד' הריב"ם</w:t>
      </w:r>
      <w:bookmarkEnd w:id="18568"/>
      <w:bookmarkEnd w:id="18569"/>
      <w:bookmarkEnd w:id="18570"/>
      <w:bookmarkEnd w:id="18571"/>
      <w:bookmarkEnd w:id="18572"/>
      <w:r>
        <w:rPr>
          <w:rFonts w:hint="cs"/>
          <w:rtl/>
        </w:rPr>
        <w:t xml:space="preserve"> דשבועה הוא חיוב תשלומין</w:t>
      </w:r>
      <w:bookmarkEnd w:id="18573"/>
      <w:bookmarkEnd w:id="18574"/>
      <w:bookmarkEnd w:id="18575"/>
      <w:bookmarkEnd w:id="18576"/>
      <w:bookmarkEnd w:id="18577"/>
    </w:p>
    <w:p w:rsidR="00E824D3" w:rsidRDefault="00E824D3" w:rsidP="00E824D3">
      <w:pPr>
        <w:pStyle w:val="a3"/>
        <w:rPr>
          <w:rtl/>
        </w:rPr>
      </w:pPr>
      <w:bookmarkStart w:id="18578" w:name="_Toc66143895"/>
      <w:bookmarkStart w:id="18579" w:name="_Toc66172058"/>
      <w:bookmarkStart w:id="18580" w:name="_Toc66183302"/>
      <w:bookmarkStart w:id="18581" w:name="_Toc66186093"/>
      <w:bookmarkStart w:id="18582" w:name="_Toc66193559"/>
      <w:r>
        <w:rPr>
          <w:rFonts w:hint="cs"/>
          <w:rtl/>
        </w:rPr>
        <w:t>ביאור הגרש"ש ברשב"א דשבועה אינו פטור מהממון אלא הוא חיוב תשלומין להשבע או לשלם</w:t>
      </w:r>
      <w:bookmarkEnd w:id="18578"/>
      <w:bookmarkEnd w:id="18579"/>
      <w:bookmarkEnd w:id="18580"/>
      <w:bookmarkEnd w:id="18581"/>
      <w:bookmarkEnd w:id="18582"/>
    </w:p>
    <w:p w:rsidR="00E824D3" w:rsidRDefault="00E824D3" w:rsidP="007E4E81">
      <w:pPr>
        <w:pStyle w:val="a0"/>
        <w:rPr>
          <w:rtl/>
        </w:rPr>
      </w:pPr>
      <w:bookmarkStart w:id="18583" w:name="_Ref66036187"/>
      <w:r>
        <w:rPr>
          <w:rFonts w:hint="cs"/>
          <w:rtl/>
        </w:rPr>
        <w:t xml:space="preserve">במה שביאר </w:t>
      </w:r>
      <w:r>
        <w:rPr>
          <w:rStyle w:val="af9"/>
          <w:rtl/>
        </w:rPr>
        <w:t xml:space="preserve">הרשב"א </w:t>
      </w:r>
      <w:r w:rsidRPr="00C31290">
        <w:rPr>
          <w:rStyle w:val="af7"/>
          <w:rFonts w:eastAsia="Guttman Hodes" w:hint="cs"/>
          <w:rtl/>
        </w:rPr>
        <w:t xml:space="preserve">(עי' אות </w:t>
      </w:r>
      <w:r w:rsidRPr="00C31290">
        <w:rPr>
          <w:rStyle w:val="af7"/>
          <w:rFonts w:eastAsia="Guttman Hodes"/>
          <w:rtl/>
        </w:rPr>
        <w:fldChar w:fldCharType="begin"/>
      </w:r>
      <w:r w:rsidRPr="00C31290">
        <w:rPr>
          <w:rStyle w:val="af7"/>
          <w:rFonts w:eastAsia="Guttman Hodes"/>
          <w:rtl/>
        </w:rPr>
        <w:instrText xml:space="preserve"> </w:instrText>
      </w:r>
      <w:r w:rsidRPr="00C31290">
        <w:rPr>
          <w:rStyle w:val="af7"/>
          <w:rFonts w:eastAsia="Guttman Hodes" w:hint="cs"/>
        </w:rPr>
        <w:instrText>REF</w:instrText>
      </w:r>
      <w:r w:rsidRPr="00C31290">
        <w:rPr>
          <w:rStyle w:val="af7"/>
          <w:rFonts w:eastAsia="Guttman Hodes" w:hint="cs"/>
          <w:rtl/>
        </w:rPr>
        <w:instrText xml:space="preserve"> _</w:instrText>
      </w:r>
      <w:r w:rsidRPr="00C31290">
        <w:rPr>
          <w:rStyle w:val="af7"/>
          <w:rFonts w:eastAsia="Guttman Hodes" w:hint="cs"/>
        </w:rPr>
        <w:instrText>Ref66036200 \r \h</w:instrText>
      </w:r>
      <w:r w:rsidRPr="00C31290">
        <w:rPr>
          <w:rStyle w:val="af7"/>
          <w:rFonts w:eastAsia="Guttman Hodes"/>
          <w:rtl/>
        </w:rPr>
        <w:instrText xml:space="preserve"> </w:instrText>
      </w:r>
      <w:r w:rsidRPr="00C31290">
        <w:rPr>
          <w:rStyle w:val="af7"/>
          <w:rFonts w:eastAsia="Guttman Hodes"/>
          <w:rtl/>
        </w:rPr>
      </w:r>
      <w:r w:rsidRPr="00C31290">
        <w:rPr>
          <w:rStyle w:val="af7"/>
          <w:rFonts w:eastAsia="Guttman Hodes"/>
          <w:rtl/>
        </w:rPr>
        <w:fldChar w:fldCharType="separate"/>
      </w:r>
      <w:r w:rsidR="00265073">
        <w:rPr>
          <w:rStyle w:val="af7"/>
          <w:rFonts w:eastAsia="Guttman Hodes"/>
          <w:cs/>
        </w:rPr>
        <w:t>‎</w:t>
      </w:r>
      <w:r w:rsidR="00265073">
        <w:rPr>
          <w:rStyle w:val="af7"/>
          <w:rFonts w:eastAsia="Guttman Hodes"/>
          <w:rtl/>
        </w:rPr>
        <w:t>לז)</w:t>
      </w:r>
      <w:r w:rsidRPr="00C31290">
        <w:rPr>
          <w:rStyle w:val="af7"/>
          <w:rFonts w:eastAsia="Guttman Hodes"/>
          <w:rtl/>
        </w:rPr>
        <w:fldChar w:fldCharType="end"/>
      </w:r>
      <w:r>
        <w:rPr>
          <w:rFonts w:hint="cs"/>
          <w:rtl/>
        </w:rPr>
        <w:t xml:space="preserve"> בשם </w:t>
      </w:r>
      <w:r>
        <w:rPr>
          <w:rStyle w:val="af9"/>
          <w:rtl/>
        </w:rPr>
        <w:t>הריב"ם</w:t>
      </w:r>
      <w:r>
        <w:rPr>
          <w:rFonts w:hint="cs"/>
          <w:rtl/>
        </w:rPr>
        <w:t xml:space="preserve"> דשבועה של ע"א היא תשלומין, דכיון שכשיש ב' עדים אינו נפטר מלשלם אף כשנשבע, א"כ כשיש רק ע"א פטרתו תורה מתשלומי ממון רק כשהוא נשבע, ולכן כל שיש ע"א הוא צריך או להשבע או לשלם, וכל שלא נשבע, אינו נפטר מעדות הע"א, ביאר </w:t>
      </w:r>
      <w:r w:rsidRPr="00894828">
        <w:rPr>
          <w:rStyle w:val="af9"/>
          <w:rFonts w:hint="cs"/>
          <w:rtl/>
        </w:rPr>
        <w:t>בחי' הגרש"ש</w:t>
      </w:r>
      <w:r>
        <w:rPr>
          <w:rFonts w:hint="cs"/>
          <w:rtl/>
        </w:rPr>
        <w:t xml:space="preserve"> </w:t>
      </w:r>
      <w:r w:rsidRPr="002A2CC5">
        <w:rPr>
          <w:rStyle w:val="af7"/>
          <w:rFonts w:eastAsia="Guttman Hodes" w:hint="cs"/>
          <w:rtl/>
        </w:rPr>
        <w:t xml:space="preserve">(סי' י"ט [מהדו' חד' סי' כ"ב] </w:t>
      </w:r>
      <w:r>
        <w:rPr>
          <w:rStyle w:val="af7"/>
          <w:rFonts w:eastAsia="Guttman Hodes" w:hint="cs"/>
          <w:rtl/>
        </w:rPr>
        <w:t>או' ב' ד"ה ובשטמ"ק)</w:t>
      </w:r>
      <w:r>
        <w:rPr>
          <w:rFonts w:hint="cs"/>
          <w:rtl/>
        </w:rPr>
        <w:t xml:space="preserve"> דכוונת </w:t>
      </w:r>
      <w:r w:rsidRPr="003C61AA">
        <w:rPr>
          <w:rStyle w:val="af9"/>
          <w:rFonts w:hint="cs"/>
          <w:rtl/>
        </w:rPr>
        <w:t>הרשב"א</w:t>
      </w:r>
      <w:r>
        <w:rPr>
          <w:rFonts w:hint="cs"/>
          <w:rtl/>
        </w:rPr>
        <w:t xml:space="preserve"> לומר דאעפ"י שהפשטות היא דשבועה הוא פטור מהממון, אך אין חיוב שמוטל עליו להשבע, ודמי לכל דין המוציא מחבירו עליו הראיה, דאין לו כל חיוב להביא עדים, רק שכל שאינו מביא עדים אינו יכול להוציא את הממון, וכן הפשטות בדין שבועה שאם ירצה להפטר ישבע, וכתב </w:t>
      </w:r>
      <w:r w:rsidRPr="00894828">
        <w:rPr>
          <w:rStyle w:val="af9"/>
          <w:rFonts w:hint="cs"/>
          <w:rtl/>
        </w:rPr>
        <w:t>הגרש"ש</w:t>
      </w:r>
      <w:r>
        <w:rPr>
          <w:rFonts w:hint="cs"/>
          <w:rtl/>
        </w:rPr>
        <w:t xml:space="preserve"> זה בא </w:t>
      </w:r>
      <w:r w:rsidRPr="003C61AA">
        <w:rPr>
          <w:rStyle w:val="af9"/>
          <w:rFonts w:hint="cs"/>
          <w:rtl/>
        </w:rPr>
        <w:t>הרשב"א</w:t>
      </w:r>
      <w:r>
        <w:rPr>
          <w:rFonts w:hint="cs"/>
          <w:rtl/>
        </w:rPr>
        <w:t xml:space="preserve"> לבאר דדין השבועה אינו רק עיקר פטור מחיוב הממון, אלא חיוב השבועה הוא גם לענין התשלומין, דהוא חייב או להשבע או לשלם.</w:t>
      </w:r>
      <w:bookmarkEnd w:id="18583"/>
    </w:p>
    <w:p w:rsidR="00B532CF" w:rsidRPr="00B532CF" w:rsidRDefault="00B532CF" w:rsidP="00B532CF">
      <w:pPr>
        <w:pStyle w:val="a3"/>
        <w:rPr>
          <w:rtl/>
        </w:rPr>
      </w:pPr>
    </w:p>
    <w:p w:rsidR="00B532CF" w:rsidRPr="00B532CF" w:rsidRDefault="00B532CF" w:rsidP="00B532CF">
      <w:pPr>
        <w:pStyle w:val="a3"/>
        <w:rPr>
          <w:rtl/>
        </w:rPr>
      </w:pPr>
    </w:p>
    <w:p w:rsidR="00E824D3" w:rsidRPr="00C31290" w:rsidRDefault="00E824D3" w:rsidP="00E824D3">
      <w:pPr>
        <w:pStyle w:val="a3"/>
        <w:rPr>
          <w:rtl/>
        </w:rPr>
      </w:pPr>
      <w:bookmarkStart w:id="18584" w:name="_Toc66143896"/>
      <w:bookmarkStart w:id="18585" w:name="_Toc66172059"/>
      <w:bookmarkStart w:id="18586" w:name="_Toc66183303"/>
      <w:bookmarkStart w:id="18587" w:name="_Toc66186094"/>
      <w:bookmarkStart w:id="18588" w:name="_Toc66193560"/>
      <w:r>
        <w:rPr>
          <w:rFonts w:hint="cs"/>
          <w:rtl/>
        </w:rPr>
        <w:lastRenderedPageBreak/>
        <w:t>בי' הגרש"ש ברשב"א דכיון דבמיגו אינו נפטר מתשלומין של ממון או שבועה אמרינן משאיל"מ</w:t>
      </w:r>
      <w:bookmarkEnd w:id="18584"/>
      <w:bookmarkEnd w:id="18585"/>
      <w:bookmarkEnd w:id="18586"/>
      <w:bookmarkEnd w:id="18587"/>
      <w:bookmarkEnd w:id="18588"/>
    </w:p>
    <w:p w:rsidR="00E824D3" w:rsidRDefault="00E824D3" w:rsidP="007E4E81">
      <w:pPr>
        <w:pStyle w:val="a0"/>
        <w:rPr>
          <w:rtl/>
        </w:rPr>
      </w:pPr>
      <w:r>
        <w:rPr>
          <w:rFonts w:hint="cs"/>
          <w:rtl/>
        </w:rPr>
        <w:t xml:space="preserve">וכתב </w:t>
      </w:r>
      <w:r w:rsidRPr="00894828">
        <w:rPr>
          <w:rStyle w:val="af9"/>
          <w:rFonts w:hint="cs"/>
          <w:rtl/>
        </w:rPr>
        <w:t>בחי' הגרש"ש</w:t>
      </w:r>
      <w:r>
        <w:rPr>
          <w:rFonts w:hint="cs"/>
          <w:rtl/>
        </w:rPr>
        <w:t xml:space="preserve"> </w:t>
      </w:r>
      <w:r w:rsidRPr="002A2CC5">
        <w:rPr>
          <w:rStyle w:val="af7"/>
          <w:rFonts w:eastAsia="Guttman Hodes" w:hint="cs"/>
          <w:rtl/>
        </w:rPr>
        <w:t xml:space="preserve">(סי' י"ט [מהדו' חד' סי' כ"ב] </w:t>
      </w:r>
      <w:r>
        <w:rPr>
          <w:rStyle w:val="af7"/>
          <w:rFonts w:eastAsia="Guttman Hodes" w:hint="cs"/>
          <w:rtl/>
        </w:rPr>
        <w:t>או' ב' ד"ה ומעתה)</w:t>
      </w:r>
      <w:r>
        <w:rPr>
          <w:rFonts w:hint="cs"/>
          <w:rtl/>
        </w:rPr>
        <w:t xml:space="preserve"> דזו כוונת </w:t>
      </w:r>
      <w:r w:rsidRPr="006C4402">
        <w:rPr>
          <w:rStyle w:val="af9"/>
          <w:rFonts w:hint="cs"/>
          <w:rtl/>
        </w:rPr>
        <w:t>הרשב"א</w:t>
      </w:r>
      <w:r>
        <w:rPr>
          <w:rFonts w:hint="cs"/>
          <w:rtl/>
        </w:rPr>
        <w:t xml:space="preserve"> לתרץ דאינו נאמן במיגו, כיון דבנסכא הע"א יכול לחייב תשלומין גמורים, אלא דהחוטף יכול לשלם את התשלומין כפי רצונו או בדמים או בשבועה, א"כ כשיש לו מיגו דינו הוא שיכול לזכות בכל מה שהיה זוכה בטענת המיגו, וא"כ כיון שבטענת המיגו דלא חטפי לא היה יכול להפטר מחיוב תשלומין, אלא היה צריך לשלם או בדמים או בשבועה, ה"ה בטענה שטוען עכשיו דדידי חטפי אינו יכול להפטר מהתשלומין, והוא עדיין מחוייב שבועה, ולכן לר"א אמרינן מתוך שאינו יכול לישבע משלם, ועי' במה שהוסיף לבאר </w:t>
      </w:r>
      <w:r w:rsidRPr="007B5F6C">
        <w:rPr>
          <w:rStyle w:val="af9"/>
          <w:rFonts w:hint="cs"/>
          <w:rtl/>
        </w:rPr>
        <w:t>בחי' הגרש"ש</w:t>
      </w:r>
      <w:r>
        <w:rPr>
          <w:rFonts w:hint="cs"/>
          <w:rtl/>
        </w:rPr>
        <w:t xml:space="preserve"> </w:t>
      </w:r>
      <w:r w:rsidRPr="007B5F6C">
        <w:rPr>
          <w:rStyle w:val="af7"/>
          <w:rFonts w:eastAsia="Guttman Hodes" w:hint="cs"/>
          <w:rtl/>
        </w:rPr>
        <w:t xml:space="preserve">(עי' אות </w:t>
      </w:r>
      <w:r w:rsidRPr="007B5F6C">
        <w:rPr>
          <w:rStyle w:val="af7"/>
          <w:rFonts w:eastAsia="Guttman Hodes"/>
          <w:rtl/>
        </w:rPr>
        <w:fldChar w:fldCharType="begin"/>
      </w:r>
      <w:r w:rsidRPr="007B5F6C">
        <w:rPr>
          <w:rStyle w:val="af7"/>
          <w:rFonts w:eastAsia="Guttman Hodes"/>
          <w:rtl/>
        </w:rPr>
        <w:instrText xml:space="preserve"> </w:instrText>
      </w:r>
      <w:r w:rsidRPr="007B5F6C">
        <w:rPr>
          <w:rStyle w:val="af7"/>
          <w:rFonts w:eastAsia="Guttman Hodes" w:hint="cs"/>
        </w:rPr>
        <w:instrText>REF</w:instrText>
      </w:r>
      <w:r w:rsidRPr="007B5F6C">
        <w:rPr>
          <w:rStyle w:val="af7"/>
          <w:rFonts w:eastAsia="Guttman Hodes" w:hint="cs"/>
          <w:rtl/>
        </w:rPr>
        <w:instrText xml:space="preserve"> _</w:instrText>
      </w:r>
      <w:r w:rsidRPr="007B5F6C">
        <w:rPr>
          <w:rStyle w:val="af7"/>
          <w:rFonts w:eastAsia="Guttman Hodes" w:hint="cs"/>
        </w:rPr>
        <w:instrText>Ref66178237 \r \h</w:instrText>
      </w:r>
      <w:r w:rsidRPr="007B5F6C">
        <w:rPr>
          <w:rStyle w:val="af7"/>
          <w:rFonts w:eastAsia="Guttman Hodes"/>
          <w:rtl/>
        </w:rPr>
        <w:instrText xml:space="preserve"> </w:instrText>
      </w:r>
      <w:r w:rsidRPr="007B5F6C">
        <w:rPr>
          <w:rStyle w:val="af7"/>
          <w:rFonts w:eastAsia="Guttman Hodes"/>
          <w:rtl/>
        </w:rPr>
      </w:r>
      <w:r w:rsidRPr="007B5F6C">
        <w:rPr>
          <w:rStyle w:val="af7"/>
          <w:rFonts w:eastAsia="Guttman Hodes"/>
          <w:rtl/>
        </w:rPr>
        <w:fldChar w:fldCharType="separate"/>
      </w:r>
      <w:r w:rsidR="00265073">
        <w:rPr>
          <w:rStyle w:val="af7"/>
          <w:rFonts w:eastAsia="Guttman Hodes"/>
          <w:cs/>
        </w:rPr>
        <w:t>‎</w:t>
      </w:r>
      <w:r w:rsidR="00265073">
        <w:rPr>
          <w:rStyle w:val="af7"/>
          <w:rFonts w:eastAsia="Guttman Hodes"/>
          <w:rtl/>
        </w:rPr>
        <w:t>קיט)</w:t>
      </w:r>
      <w:r w:rsidRPr="007B5F6C">
        <w:rPr>
          <w:rStyle w:val="af7"/>
          <w:rFonts w:eastAsia="Guttman Hodes"/>
          <w:rtl/>
        </w:rPr>
        <w:fldChar w:fldCharType="end"/>
      </w:r>
      <w:r>
        <w:rPr>
          <w:rFonts w:hint="cs"/>
          <w:rtl/>
        </w:rPr>
        <w:t xml:space="preserve"> בדברי </w:t>
      </w:r>
      <w:r w:rsidRPr="007B5F6C">
        <w:rPr>
          <w:rStyle w:val="af9"/>
          <w:rFonts w:hint="cs"/>
          <w:rtl/>
        </w:rPr>
        <w:t>הרשב"א</w:t>
      </w:r>
      <w:r>
        <w:rPr>
          <w:rFonts w:hint="cs"/>
          <w:rtl/>
        </w:rPr>
        <w:t>.</w:t>
      </w:r>
    </w:p>
    <w:p w:rsidR="00E824D3" w:rsidRPr="0031020A" w:rsidRDefault="00E824D3" w:rsidP="00E824D3">
      <w:pPr>
        <w:pStyle w:val="a3"/>
        <w:rPr>
          <w:rtl/>
        </w:rPr>
      </w:pPr>
      <w:bookmarkStart w:id="18589" w:name="_Toc66143897"/>
      <w:bookmarkStart w:id="18590" w:name="_Toc66172060"/>
      <w:bookmarkStart w:id="18591" w:name="_Toc66183304"/>
      <w:bookmarkStart w:id="18592" w:name="_Toc66186095"/>
      <w:bookmarkStart w:id="18593" w:name="_Toc66193561"/>
      <w:r>
        <w:rPr>
          <w:rFonts w:hint="cs"/>
          <w:rtl/>
        </w:rPr>
        <w:t>בי' הגרש"ש דלרב ושמואל יש לו את כח הטענה של המיגו דהא א"י לישבע ופטור מלשלם</w:t>
      </w:r>
      <w:bookmarkEnd w:id="18589"/>
      <w:bookmarkEnd w:id="18590"/>
      <w:bookmarkEnd w:id="18591"/>
      <w:bookmarkEnd w:id="18592"/>
      <w:bookmarkEnd w:id="18593"/>
    </w:p>
    <w:p w:rsidR="00E824D3" w:rsidRDefault="00E824D3" w:rsidP="007E4E81">
      <w:pPr>
        <w:pStyle w:val="a0"/>
        <w:rPr>
          <w:rtl/>
        </w:rPr>
      </w:pPr>
      <w:r>
        <w:rPr>
          <w:rFonts w:hint="cs"/>
          <w:rtl/>
        </w:rPr>
        <w:t xml:space="preserve">ובדעת רב ושמואל ביאר </w:t>
      </w:r>
      <w:r w:rsidRPr="006C4402">
        <w:rPr>
          <w:rStyle w:val="af9"/>
          <w:rFonts w:hint="cs"/>
          <w:rtl/>
        </w:rPr>
        <w:t>בחי' הגרש"ש</w:t>
      </w:r>
      <w:r>
        <w:rPr>
          <w:rFonts w:hint="cs"/>
          <w:rtl/>
        </w:rPr>
        <w:t xml:space="preserve"> דמהני המיגו, דכיון שכל הכח שיש לו במיגו, הוא כפי הכח שהיה לו בטענת המיגו, וכיון דבטענת המיגו דלא חטפי היה מחוייב שבועה, אף עכשיו הוא מחוייב שבועה, אלא דכיון דהודה ואינו יכול להשבע, לכן הוא פטור לרב ושמואל דס"ל דלא אמרינן מתוך שאינו יכול לישבע משלם.</w:t>
      </w:r>
    </w:p>
    <w:p w:rsidR="00E824D3" w:rsidRDefault="00E824D3" w:rsidP="00E824D3">
      <w:pPr>
        <w:pStyle w:val="1"/>
        <w:rPr>
          <w:rtl/>
        </w:rPr>
      </w:pPr>
      <w:bookmarkStart w:id="18594" w:name="_Toc66048893"/>
      <w:bookmarkStart w:id="18595" w:name="_Toc66055846"/>
      <w:bookmarkStart w:id="18596" w:name="_Toc66085966"/>
      <w:bookmarkStart w:id="18597" w:name="_Toc66110540"/>
      <w:bookmarkStart w:id="18598" w:name="_Toc66123428"/>
      <w:bookmarkStart w:id="18599" w:name="_Toc66143898"/>
      <w:bookmarkStart w:id="18600" w:name="_Toc66172061"/>
      <w:bookmarkStart w:id="18601" w:name="_Toc66183305"/>
      <w:bookmarkStart w:id="18602" w:name="_Toc66186096"/>
      <w:bookmarkStart w:id="18603" w:name="_Toc66193562"/>
      <w:r>
        <w:rPr>
          <w:rFonts w:hint="cs"/>
          <w:rtl/>
        </w:rPr>
        <w:t>בי' הגרש"ש בתורא"ש</w:t>
      </w:r>
      <w:bookmarkEnd w:id="18594"/>
      <w:bookmarkEnd w:id="18595"/>
      <w:bookmarkEnd w:id="18596"/>
      <w:bookmarkEnd w:id="18597"/>
      <w:bookmarkEnd w:id="18598"/>
      <w:bookmarkEnd w:id="18599"/>
      <w:r>
        <w:rPr>
          <w:rFonts w:hint="cs"/>
          <w:rtl/>
        </w:rPr>
        <w:t xml:space="preserve"> דצריך כח טענה</w:t>
      </w:r>
      <w:r w:rsidRPr="007262CB">
        <w:rPr>
          <w:rFonts w:hint="cs"/>
          <w:rtl/>
        </w:rPr>
        <w:t xml:space="preserve"> </w:t>
      </w:r>
      <w:r>
        <w:rPr>
          <w:rFonts w:hint="cs"/>
          <w:rtl/>
        </w:rPr>
        <w:t>כפי השבועה</w:t>
      </w:r>
      <w:r w:rsidRPr="007262CB">
        <w:rPr>
          <w:rFonts w:hint="cs"/>
          <w:rtl/>
        </w:rPr>
        <w:t xml:space="preserve"> </w:t>
      </w:r>
      <w:r>
        <w:rPr>
          <w:rFonts w:hint="cs"/>
          <w:rtl/>
        </w:rPr>
        <w:t>שמחוייב</w:t>
      </w:r>
      <w:bookmarkEnd w:id="18600"/>
      <w:bookmarkEnd w:id="18601"/>
      <w:bookmarkEnd w:id="18602"/>
      <w:bookmarkEnd w:id="18603"/>
    </w:p>
    <w:p w:rsidR="00E824D3" w:rsidRPr="005E129B" w:rsidRDefault="00E824D3" w:rsidP="00E824D3">
      <w:pPr>
        <w:pStyle w:val="a3"/>
        <w:rPr>
          <w:rtl/>
        </w:rPr>
      </w:pPr>
      <w:bookmarkStart w:id="18604" w:name="_Toc66172062"/>
      <w:bookmarkStart w:id="18605" w:name="_Toc66183306"/>
      <w:bookmarkStart w:id="18606" w:name="_Toc66186097"/>
      <w:bookmarkStart w:id="18607" w:name="_Toc66193563"/>
      <w:r>
        <w:rPr>
          <w:rFonts w:hint="cs"/>
          <w:rtl/>
        </w:rPr>
        <w:t>בי' הגרש"ש בתורא"ש דבלא חל חיוב שבועה סגי בנאמנות שבועה אף שאינה שבועה מחוייבת</w:t>
      </w:r>
      <w:bookmarkEnd w:id="18604"/>
      <w:bookmarkEnd w:id="18605"/>
      <w:bookmarkEnd w:id="18606"/>
      <w:bookmarkEnd w:id="18607"/>
      <w:r>
        <w:rPr>
          <w:rFonts w:hint="cs"/>
          <w:rtl/>
        </w:rPr>
        <w:t xml:space="preserve"> </w:t>
      </w:r>
    </w:p>
    <w:p w:rsidR="00E824D3" w:rsidRDefault="00E824D3" w:rsidP="007E4E81">
      <w:pPr>
        <w:pStyle w:val="a0"/>
        <w:rPr>
          <w:rStyle w:val="afb"/>
          <w:rtl/>
        </w:rPr>
      </w:pPr>
      <w:bookmarkStart w:id="18608" w:name="_Ref66054785"/>
      <w:r w:rsidRPr="005819BC">
        <w:rPr>
          <w:rFonts w:hint="cs"/>
          <w:rtl/>
        </w:rPr>
        <w:t xml:space="preserve">במ"ש </w:t>
      </w:r>
      <w:r w:rsidRPr="005819BC">
        <w:rPr>
          <w:rStyle w:val="af9"/>
          <w:rtl/>
        </w:rPr>
        <w:t>התוס' הרא"ש בשיטמ"ק</w:t>
      </w:r>
      <w:r w:rsidRPr="005819BC">
        <w:rPr>
          <w:rFonts w:hint="cs"/>
          <w:rtl/>
        </w:rPr>
        <w:t xml:space="preserve"> </w:t>
      </w:r>
      <w:r w:rsidRPr="00FC0263">
        <w:rPr>
          <w:rStyle w:val="af7"/>
          <w:rFonts w:eastAsia="Guttman Hodes" w:hint="cs"/>
          <w:rtl/>
        </w:rPr>
        <w:t xml:space="preserve">(עי' אות </w:t>
      </w:r>
      <w:r w:rsidRPr="00FC0263">
        <w:rPr>
          <w:rStyle w:val="af7"/>
          <w:rFonts w:eastAsia="Guttman Hodes"/>
          <w:rtl/>
        </w:rPr>
        <w:fldChar w:fldCharType="begin"/>
      </w:r>
      <w:r w:rsidRPr="00FC0263">
        <w:rPr>
          <w:rStyle w:val="af7"/>
          <w:rFonts w:eastAsia="Guttman Hodes"/>
          <w:rtl/>
        </w:rPr>
        <w:instrText xml:space="preserve"> </w:instrText>
      </w:r>
      <w:r w:rsidRPr="00FC0263">
        <w:rPr>
          <w:rStyle w:val="af7"/>
          <w:rFonts w:eastAsia="Guttman Hodes" w:hint="cs"/>
        </w:rPr>
        <w:instrText>REF</w:instrText>
      </w:r>
      <w:r w:rsidRPr="00FC0263">
        <w:rPr>
          <w:rStyle w:val="af7"/>
          <w:rFonts w:eastAsia="Guttman Hodes" w:hint="cs"/>
          <w:rtl/>
        </w:rPr>
        <w:instrText xml:space="preserve"> _</w:instrText>
      </w:r>
      <w:r w:rsidRPr="00FC0263">
        <w:rPr>
          <w:rStyle w:val="af7"/>
          <w:rFonts w:eastAsia="Guttman Hodes" w:hint="cs"/>
        </w:rPr>
        <w:instrText>Ref65832995 \r \h</w:instrText>
      </w:r>
      <w:r w:rsidRPr="00FC026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C0263">
        <w:rPr>
          <w:rStyle w:val="af7"/>
          <w:rFonts w:eastAsia="Guttman Hodes"/>
          <w:rtl/>
        </w:rPr>
      </w:r>
      <w:r w:rsidRPr="00FC0263">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FC0263">
        <w:rPr>
          <w:rStyle w:val="af7"/>
          <w:rFonts w:eastAsia="Guttman Hodes"/>
          <w:rtl/>
        </w:rPr>
        <w:fldChar w:fldCharType="end"/>
      </w:r>
      <w:r>
        <w:rPr>
          <w:rFonts w:hint="cs"/>
          <w:rtl/>
        </w:rPr>
        <w:t xml:space="preserve"> </w:t>
      </w:r>
      <w:r w:rsidRPr="005819BC">
        <w:rPr>
          <w:rFonts w:hint="cs"/>
          <w:rtl/>
        </w:rPr>
        <w:t xml:space="preserve">דלביאור </w:t>
      </w:r>
      <w:r>
        <w:rPr>
          <w:rStyle w:val="af9"/>
          <w:rtl/>
        </w:rPr>
        <w:t>הריב"ם</w:t>
      </w:r>
      <w:r>
        <w:rPr>
          <w:rFonts w:hint="cs"/>
          <w:rtl/>
        </w:rPr>
        <w:t xml:space="preserve"> </w:t>
      </w:r>
      <w:r w:rsidRPr="00E70BEB">
        <w:rPr>
          <w:rStyle w:val="af7"/>
          <w:rFonts w:eastAsia="Guttman Hodes" w:hint="cs"/>
          <w:rtl/>
        </w:rPr>
        <w:t xml:space="preserve">(עי' אות </w:t>
      </w:r>
      <w:r w:rsidRPr="00E70BEB">
        <w:rPr>
          <w:rStyle w:val="af7"/>
          <w:rFonts w:eastAsia="Guttman Hodes" w:hint="cs"/>
          <w:rtl/>
        </w:rPr>
        <w:fldChar w:fldCharType="begin"/>
      </w:r>
      <w:r w:rsidRPr="00E70BEB">
        <w:rPr>
          <w:rStyle w:val="af7"/>
          <w:rFonts w:eastAsia="Guttman Hodes" w:hint="cs"/>
          <w:rtl/>
        </w:rPr>
        <w:instrText xml:space="preserve"> </w:instrText>
      </w:r>
      <w:r w:rsidRPr="00E70BEB">
        <w:rPr>
          <w:rStyle w:val="af7"/>
          <w:rFonts w:eastAsia="Guttman Hodes"/>
        </w:rPr>
        <w:instrText>REF</w:instrText>
      </w:r>
      <w:r w:rsidRPr="00E70BEB">
        <w:rPr>
          <w:rStyle w:val="af7"/>
          <w:rFonts w:eastAsia="Guttman Hodes" w:hint="cs"/>
          <w:rtl/>
        </w:rPr>
        <w:instrText xml:space="preserve"> _</w:instrText>
      </w:r>
      <w:r w:rsidRPr="00E70BEB">
        <w:rPr>
          <w:rStyle w:val="af7"/>
          <w:rFonts w:eastAsia="Guttman Hodes"/>
        </w:rPr>
        <w:instrText>Ref65795831 \r \h</w:instrText>
      </w:r>
      <w:r w:rsidRPr="00E70BEB">
        <w:rPr>
          <w:rStyle w:val="af7"/>
          <w:rFonts w:eastAsia="Guttman Hodes" w:hint="cs"/>
          <w:rtl/>
        </w:rPr>
        <w:instrText xml:space="preserve"> </w:instrText>
      </w:r>
      <w:r w:rsidRPr="00E70BEB">
        <w:rPr>
          <w:rStyle w:val="af7"/>
          <w:rFonts w:eastAsia="Guttman Hodes" w:hint="cs"/>
          <w:rtl/>
        </w:rPr>
      </w:r>
      <w:r w:rsidRPr="00E70BEB">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לה</w:t>
      </w:r>
      <w:r w:rsidR="00265073">
        <w:rPr>
          <w:rStyle w:val="af7"/>
          <w:rFonts w:eastAsia="Guttman Hodes"/>
          <w:rtl/>
        </w:rPr>
        <w:t>)</w:t>
      </w:r>
      <w:r w:rsidRPr="00E70BEB">
        <w:rPr>
          <w:rStyle w:val="af7"/>
          <w:rFonts w:eastAsia="Guttman Hodes" w:hint="cs"/>
          <w:rtl/>
        </w:rPr>
        <w:fldChar w:fldCharType="end"/>
      </w:r>
      <w:r>
        <w:rPr>
          <w:rFonts w:hint="cs"/>
          <w:rtl/>
        </w:rPr>
        <w:t xml:space="preserve"> הא דנאמן בטענת החזרתי, במיגו דהיה נשבע בטענת נאנסו, כיון דכ"ז </w:t>
      </w:r>
      <w:r w:rsidRPr="00C24C65">
        <w:rPr>
          <w:rFonts w:hint="cs"/>
          <w:rtl/>
        </w:rPr>
        <w:t xml:space="preserve">שעדיין לא טען נאנסו, אינו מחוייב שבועה, ולכן </w:t>
      </w:r>
      <w:r>
        <w:rPr>
          <w:rFonts w:hint="cs"/>
          <w:rtl/>
        </w:rPr>
        <w:t>מהני ה</w:t>
      </w:r>
      <w:r w:rsidRPr="00C24C65">
        <w:rPr>
          <w:rFonts w:hint="cs"/>
          <w:rtl/>
        </w:rPr>
        <w:t>מיגו</w:t>
      </w:r>
      <w:r>
        <w:rPr>
          <w:rFonts w:hint="cs"/>
          <w:rtl/>
        </w:rPr>
        <w:t>,</w:t>
      </w:r>
      <w:r w:rsidRPr="005819BC">
        <w:rPr>
          <w:rFonts w:hint="cs"/>
          <w:rtl/>
        </w:rPr>
        <w:t xml:space="preserve"> ביאר</w:t>
      </w:r>
      <w:r w:rsidRPr="005819BC">
        <w:rPr>
          <w:rStyle w:val="af9"/>
          <w:rFonts w:hint="cs"/>
          <w:rtl/>
        </w:rPr>
        <w:t xml:space="preserve"> בחי' הגרש"ש</w:t>
      </w:r>
      <w:r w:rsidRPr="005819BC">
        <w:rPr>
          <w:rFonts w:hint="cs"/>
          <w:rtl/>
        </w:rPr>
        <w:t xml:space="preserve"> </w:t>
      </w:r>
      <w:r w:rsidRPr="005819BC">
        <w:rPr>
          <w:rStyle w:val="af7"/>
          <w:rFonts w:eastAsia="Guttman Hodes" w:hint="cs"/>
          <w:rtl/>
        </w:rPr>
        <w:t>(סי' י"ט [מהדו' חד' סי' כ"ב] או' ב' ד"ה</w:t>
      </w:r>
      <w:r w:rsidRPr="005819BC">
        <w:rPr>
          <w:rStyle w:val="afb"/>
          <w:rFonts w:hint="cs"/>
          <w:rtl/>
        </w:rPr>
        <w:t xml:space="preserve"> </w:t>
      </w:r>
      <w:r w:rsidRPr="005819BC">
        <w:rPr>
          <w:rStyle w:val="af7"/>
          <w:rFonts w:eastAsia="Guttman Hodes" w:hint="cs"/>
          <w:rtl/>
        </w:rPr>
        <w:t>ומעתה)</w:t>
      </w:r>
      <w:r w:rsidRPr="005819BC">
        <w:rPr>
          <w:rFonts w:hint="cs"/>
          <w:rtl/>
        </w:rPr>
        <w:t xml:space="preserve"> דכיון שעדיין הוא אינו מחוייב שבועה, </w:t>
      </w:r>
      <w:r>
        <w:rPr>
          <w:rFonts w:hint="cs"/>
          <w:rtl/>
        </w:rPr>
        <w:t>א"כ הוא צריך רק נאמנות של מיגו, כמו שהיה נאמן בטענת נאנסו, וכיון שבטענת נאנסו היה נאמן בשבועה, אף בטענת החזרתי נאמן, כיון ד</w:t>
      </w:r>
      <w:r w:rsidRPr="005819BC">
        <w:rPr>
          <w:rFonts w:hint="cs"/>
          <w:rtl/>
        </w:rPr>
        <w:t>לענין הבירור של המיגו</w:t>
      </w:r>
      <w:r>
        <w:rPr>
          <w:rFonts w:hint="cs"/>
          <w:rtl/>
        </w:rPr>
        <w:t>,</w:t>
      </w:r>
      <w:r w:rsidRPr="005819BC">
        <w:rPr>
          <w:rFonts w:hint="cs"/>
          <w:rtl/>
        </w:rPr>
        <w:t xml:space="preserve"> אין כל חילוק בין שבועה דאו' לשבוע</w:t>
      </w:r>
      <w:r>
        <w:rPr>
          <w:rFonts w:hint="cs"/>
          <w:rtl/>
        </w:rPr>
        <w:t>ה</w:t>
      </w:r>
      <w:r w:rsidRPr="005819BC">
        <w:rPr>
          <w:rFonts w:hint="cs"/>
          <w:rtl/>
        </w:rPr>
        <w:t xml:space="preserve"> שאינו חייב להשבע, ולכן כל שיכול להשבע בטענת החזרתי, נאמן במיגו שהיה נשבע את שבועת השומרים אם היה טוען נאנסו</w:t>
      </w:r>
      <w:r>
        <w:rPr>
          <w:rFonts w:hint="cs"/>
          <w:rtl/>
        </w:rPr>
        <w:t>.</w:t>
      </w:r>
      <w:r w:rsidRPr="005819BC">
        <w:rPr>
          <w:rFonts w:hint="cs"/>
          <w:rtl/>
        </w:rPr>
        <w:t xml:space="preserve"> </w:t>
      </w:r>
      <w:r w:rsidRPr="005E129B">
        <w:rPr>
          <w:rStyle w:val="afb"/>
          <w:rFonts w:hint="cs"/>
          <w:rtl/>
        </w:rPr>
        <w:t>[והוא צריך רק נאמנות של מיגו עם שבועה, אך אינו צריך את כח הטענה של מיגו לענין פטור משבועה, דאינו מחוייב בה].</w:t>
      </w:r>
      <w:bookmarkEnd w:id="18608"/>
    </w:p>
    <w:p w:rsidR="00E824D3" w:rsidRPr="00411AAF" w:rsidRDefault="00E824D3" w:rsidP="00E824D3">
      <w:pPr>
        <w:pStyle w:val="a3"/>
      </w:pPr>
      <w:bookmarkStart w:id="18609" w:name="_Toc66172063"/>
      <w:bookmarkStart w:id="18610" w:name="_Toc66183307"/>
      <w:bookmarkStart w:id="18611" w:name="_Toc66186098"/>
      <w:bookmarkStart w:id="18612" w:name="_Toc66193564"/>
      <w:r>
        <w:rPr>
          <w:rFonts w:hint="cs"/>
          <w:rtl/>
        </w:rPr>
        <w:t>ביאור הגרש"ש דבסוגיין שחל חיוב שבועה ל"מ מיגו להפטר ע"י שבועה שאינו מחוייב בה</w:t>
      </w:r>
      <w:bookmarkEnd w:id="18609"/>
      <w:bookmarkEnd w:id="18610"/>
      <w:bookmarkEnd w:id="18611"/>
      <w:bookmarkEnd w:id="18612"/>
    </w:p>
    <w:p w:rsidR="00E824D3" w:rsidRDefault="00E824D3" w:rsidP="007E4E81">
      <w:pPr>
        <w:pStyle w:val="a0"/>
        <w:rPr>
          <w:rStyle w:val="afb"/>
          <w:rtl/>
        </w:rPr>
      </w:pPr>
      <w:r w:rsidRPr="005819BC">
        <w:rPr>
          <w:rFonts w:hint="cs"/>
          <w:rtl/>
        </w:rPr>
        <w:t xml:space="preserve">אבל בנסכא </w:t>
      </w:r>
      <w:r>
        <w:rPr>
          <w:rFonts w:hint="cs"/>
          <w:rtl/>
        </w:rPr>
        <w:t>ד</w:t>
      </w:r>
      <w:r w:rsidRPr="005819BC">
        <w:rPr>
          <w:rFonts w:hint="cs"/>
          <w:rtl/>
        </w:rPr>
        <w:t>ר"</w:t>
      </w:r>
      <w:r>
        <w:rPr>
          <w:rFonts w:hint="cs"/>
          <w:rtl/>
        </w:rPr>
        <w:t xml:space="preserve">א, ביאר </w:t>
      </w:r>
      <w:r w:rsidRPr="007E140F">
        <w:rPr>
          <w:rStyle w:val="af9"/>
          <w:rFonts w:hint="cs"/>
          <w:rtl/>
        </w:rPr>
        <w:t xml:space="preserve">בחי' הגרש"ש </w:t>
      </w:r>
      <w:r w:rsidRPr="005E129B">
        <w:rPr>
          <w:rFonts w:hint="cs"/>
          <w:rtl/>
        </w:rPr>
        <w:t xml:space="preserve">דכיון שעכשיו </w:t>
      </w:r>
      <w:r>
        <w:rPr>
          <w:rFonts w:hint="cs"/>
          <w:rtl/>
        </w:rPr>
        <w:t xml:space="preserve">הע"א מחייבו שבועה, א"כ צריך שהמיגו יפטור אותו מחיוב השבועה, וכיון שאינו יכול להפטר בשבועה בטענת המיגו, </w:t>
      </w:r>
      <w:r w:rsidRPr="005E129B">
        <w:rPr>
          <w:rStyle w:val="afb"/>
          <w:rFonts w:hint="cs"/>
          <w:rtl/>
        </w:rPr>
        <w:t>[דאחר שהודה שחטף אינו יכול להשבע שלא חטף],</w:t>
      </w:r>
      <w:r>
        <w:rPr>
          <w:rFonts w:hint="cs"/>
          <w:rtl/>
        </w:rPr>
        <w:t xml:space="preserve"> לכן אין המיגו מועיל לפוטרו משבועה שכבר חייב בה, בטענת אין חטפי ודידי חטפי, </w:t>
      </w:r>
      <w:r w:rsidRPr="005E129B">
        <w:rPr>
          <w:rStyle w:val="afb"/>
          <w:rFonts w:hint="cs"/>
          <w:rtl/>
        </w:rPr>
        <w:t>[דכיון שהוא כבר מחוייב שבועה הוא צריך את כח הטענה של טענה שפוטרתו משבועה, ולא סגי בנאמנות של המיגו]</w:t>
      </w:r>
      <w:r>
        <w:rPr>
          <w:rStyle w:val="afb"/>
          <w:rFonts w:hint="cs"/>
          <w:rtl/>
        </w:rPr>
        <w:t xml:space="preserve">, </w:t>
      </w:r>
      <w:r>
        <w:rPr>
          <w:rFonts w:hint="cs"/>
          <w:rtl/>
        </w:rPr>
        <w:t xml:space="preserve">וכעי"ז ביאר </w:t>
      </w:r>
      <w:r w:rsidRPr="00CC1DF1">
        <w:rPr>
          <w:rStyle w:val="af9"/>
          <w:rFonts w:hint="cs"/>
          <w:rtl/>
        </w:rPr>
        <w:t>הקוב"ש</w:t>
      </w:r>
      <w:r>
        <w:rPr>
          <w:rFonts w:hint="cs"/>
          <w:rtl/>
        </w:rPr>
        <w:t xml:space="preserve"> </w:t>
      </w:r>
      <w:r w:rsidRPr="00CC1DF1">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Ref66054863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קכא)</w:t>
      </w:r>
      <w:r>
        <w:rPr>
          <w:rStyle w:val="af7"/>
          <w:rFonts w:eastAsia="Guttman Hodes"/>
          <w:rtl/>
        </w:rPr>
        <w:fldChar w:fldCharType="end"/>
      </w:r>
      <w:r>
        <w:rPr>
          <w:rFonts w:hint="cs"/>
          <w:rtl/>
        </w:rPr>
        <w:t>.</w:t>
      </w:r>
    </w:p>
    <w:p w:rsidR="00E824D3" w:rsidRPr="007C63B0" w:rsidRDefault="00E824D3" w:rsidP="00E824D3">
      <w:pPr>
        <w:pStyle w:val="a3"/>
        <w:rPr>
          <w:rtl/>
        </w:rPr>
      </w:pPr>
      <w:bookmarkStart w:id="18613" w:name="_Toc66172064"/>
      <w:bookmarkStart w:id="18614" w:name="_Toc66183308"/>
      <w:bookmarkStart w:id="18615" w:name="_Toc66186099"/>
      <w:bookmarkStart w:id="18616" w:name="_Toc66193565"/>
      <w:r>
        <w:rPr>
          <w:rFonts w:hint="cs"/>
          <w:rtl/>
        </w:rPr>
        <w:t>בי' הגרש"ש דאי שבועה היא בירור ולא תשלום סגי במיגו דמ"ל לשקר אף דלא מחוייב בשבועה</w:t>
      </w:r>
      <w:bookmarkEnd w:id="18613"/>
      <w:bookmarkEnd w:id="18614"/>
      <w:bookmarkEnd w:id="18615"/>
      <w:bookmarkEnd w:id="18616"/>
    </w:p>
    <w:p w:rsidR="00E824D3" w:rsidRDefault="00E824D3" w:rsidP="007E4E81">
      <w:pPr>
        <w:pStyle w:val="a0"/>
        <w:rPr>
          <w:rtl/>
        </w:rPr>
      </w:pPr>
      <w:bookmarkStart w:id="18617" w:name="_Ref66178237"/>
      <w:r>
        <w:rPr>
          <w:rFonts w:hint="cs"/>
          <w:rtl/>
        </w:rPr>
        <w:t xml:space="preserve">אך כתב </w:t>
      </w:r>
      <w:r w:rsidRPr="00894828">
        <w:rPr>
          <w:rStyle w:val="af9"/>
          <w:rFonts w:hint="cs"/>
          <w:rtl/>
        </w:rPr>
        <w:t>בחי' הגרש"ש</w:t>
      </w:r>
      <w:r>
        <w:rPr>
          <w:rFonts w:hint="cs"/>
          <w:rtl/>
        </w:rPr>
        <w:t xml:space="preserve"> </w:t>
      </w:r>
      <w:r w:rsidRPr="002A2CC5">
        <w:rPr>
          <w:rStyle w:val="af7"/>
          <w:rFonts w:eastAsia="Guttman Hodes" w:hint="cs"/>
          <w:rtl/>
        </w:rPr>
        <w:t xml:space="preserve">(סי' י"ט [מהדו' חד' סי' כ"ב] </w:t>
      </w:r>
      <w:r>
        <w:rPr>
          <w:rStyle w:val="af7"/>
          <w:rFonts w:eastAsia="Guttman Hodes" w:hint="cs"/>
          <w:rtl/>
        </w:rPr>
        <w:t xml:space="preserve">או' ב' ד"ה וכ"ז) </w:t>
      </w:r>
      <w:r>
        <w:rPr>
          <w:rFonts w:hint="cs"/>
          <w:rtl/>
        </w:rPr>
        <w:t xml:space="preserve">דכ"ז הוא רק לפי מה שמבואר מדברי </w:t>
      </w:r>
      <w:r w:rsidRPr="00F93F5D">
        <w:rPr>
          <w:rStyle w:val="af9"/>
          <w:rFonts w:hint="cs"/>
          <w:rtl/>
        </w:rPr>
        <w:t>הרשב"א</w:t>
      </w:r>
      <w:r>
        <w:rPr>
          <w:rFonts w:hint="cs"/>
          <w:rtl/>
        </w:rPr>
        <w:t xml:space="preserve"> </w:t>
      </w:r>
      <w:r w:rsidRPr="00F93F5D">
        <w:rPr>
          <w:rStyle w:val="af7"/>
          <w:rFonts w:eastAsia="Guttman Hodes" w:hint="cs"/>
          <w:rtl/>
        </w:rPr>
        <w:t xml:space="preserve">(עי' אות </w:t>
      </w:r>
      <w:r w:rsidRPr="00F93F5D">
        <w:rPr>
          <w:rStyle w:val="af7"/>
          <w:rFonts w:eastAsia="Guttman Hodes"/>
          <w:rtl/>
        </w:rPr>
        <w:fldChar w:fldCharType="begin"/>
      </w:r>
      <w:r w:rsidRPr="00F93F5D">
        <w:rPr>
          <w:rStyle w:val="af7"/>
          <w:rFonts w:eastAsia="Guttman Hodes"/>
          <w:rtl/>
        </w:rPr>
        <w:instrText xml:space="preserve"> </w:instrText>
      </w:r>
      <w:r w:rsidRPr="00F93F5D">
        <w:rPr>
          <w:rStyle w:val="af7"/>
          <w:rFonts w:eastAsia="Guttman Hodes" w:hint="cs"/>
        </w:rPr>
        <w:instrText>REF</w:instrText>
      </w:r>
      <w:r w:rsidRPr="00F93F5D">
        <w:rPr>
          <w:rStyle w:val="af7"/>
          <w:rFonts w:eastAsia="Guttman Hodes" w:hint="cs"/>
          <w:rtl/>
        </w:rPr>
        <w:instrText xml:space="preserve"> _</w:instrText>
      </w:r>
      <w:r w:rsidRPr="00F93F5D">
        <w:rPr>
          <w:rStyle w:val="af7"/>
          <w:rFonts w:eastAsia="Guttman Hodes" w:hint="cs"/>
        </w:rPr>
        <w:instrText>Ref66036187 \r \h</w:instrText>
      </w:r>
      <w:r w:rsidRPr="00F93F5D">
        <w:rPr>
          <w:rStyle w:val="af7"/>
          <w:rFonts w:eastAsia="Guttman Hodes"/>
          <w:rtl/>
        </w:rPr>
        <w:instrText xml:space="preserve"> </w:instrText>
      </w:r>
      <w:r w:rsidRPr="00F93F5D">
        <w:rPr>
          <w:rStyle w:val="af7"/>
          <w:rFonts w:eastAsia="Guttman Hodes"/>
          <w:rtl/>
        </w:rPr>
      </w:r>
      <w:r w:rsidRPr="00F93F5D">
        <w:rPr>
          <w:rStyle w:val="af7"/>
          <w:rFonts w:eastAsia="Guttman Hodes"/>
          <w:rtl/>
        </w:rPr>
        <w:fldChar w:fldCharType="separate"/>
      </w:r>
      <w:r w:rsidR="00265073">
        <w:rPr>
          <w:rStyle w:val="af7"/>
          <w:rFonts w:eastAsia="Guttman Hodes"/>
          <w:cs/>
        </w:rPr>
        <w:t>‎</w:t>
      </w:r>
      <w:r w:rsidR="00265073">
        <w:rPr>
          <w:rStyle w:val="af7"/>
          <w:rFonts w:eastAsia="Guttman Hodes"/>
          <w:rtl/>
        </w:rPr>
        <w:t>קיד)</w:t>
      </w:r>
      <w:r w:rsidRPr="00F93F5D">
        <w:rPr>
          <w:rStyle w:val="af7"/>
          <w:rFonts w:eastAsia="Guttman Hodes"/>
          <w:rtl/>
        </w:rPr>
        <w:fldChar w:fldCharType="end"/>
      </w:r>
      <w:r>
        <w:rPr>
          <w:rFonts w:hint="cs"/>
          <w:rtl/>
        </w:rPr>
        <w:t xml:space="preserve"> דחיוב השבועה היא חיוב תשלומין, אבל לפי הפשטות דשבועה היא בירור, שמרצונו יכול להשבע ולהפטר מהממון, א"כ היה צריך להיות נאמן במיגו דהיה נשבע להכחיש את העד בטענת לא חטפי, דיש לו את הבירור של המיגו, וע"י שבועה יכול להפטר מחיוב הממון, אף בטענת אין חטפי ודידי חטפי, כיון דלענין דין מיגו דמה לי לשקר, אין כל חילוק בין שוועה דאו' שמחוייב להשבע להכחיש את הע"א, לבין שבועה שאינו מחוייב בה, כדמוכח בגמ' לקמן </w:t>
      </w:r>
      <w:r w:rsidRPr="00F93F5D">
        <w:rPr>
          <w:rStyle w:val="af7"/>
          <w:rFonts w:eastAsia="Guttman Hodes" w:hint="cs"/>
          <w:rtl/>
        </w:rPr>
        <w:t>(ע.)</w:t>
      </w:r>
      <w:r>
        <w:rPr>
          <w:rFonts w:hint="cs"/>
          <w:rtl/>
        </w:rPr>
        <w:t xml:space="preserve"> דנאמן בטענת החזרתי במיגו דהיה נשבע שבועה דאו' דנאנסו.</w:t>
      </w:r>
      <w:bookmarkEnd w:id="18617"/>
    </w:p>
    <w:p w:rsidR="00E824D3" w:rsidRDefault="00E824D3" w:rsidP="00E824D3">
      <w:pPr>
        <w:pStyle w:val="1"/>
        <w:rPr>
          <w:rtl/>
        </w:rPr>
      </w:pPr>
      <w:bookmarkStart w:id="18618" w:name="_Toc66048894"/>
      <w:bookmarkStart w:id="18619" w:name="_Toc66055847"/>
      <w:bookmarkStart w:id="18620" w:name="_Toc66085967"/>
      <w:bookmarkStart w:id="18621" w:name="_Toc66110541"/>
      <w:bookmarkStart w:id="18622" w:name="_Toc66123429"/>
      <w:bookmarkStart w:id="18623" w:name="_Toc66143899"/>
      <w:bookmarkStart w:id="18624" w:name="_Toc66172065"/>
      <w:bookmarkStart w:id="18625" w:name="_Toc66183309"/>
      <w:bookmarkStart w:id="18626" w:name="_Toc66186100"/>
      <w:bookmarkStart w:id="18627" w:name="_Toc66193566"/>
      <w:r>
        <w:rPr>
          <w:rFonts w:hint="cs"/>
          <w:rtl/>
        </w:rPr>
        <w:t>ביאור הקוב"ש בריב"ם</w:t>
      </w:r>
      <w:bookmarkEnd w:id="18618"/>
      <w:bookmarkEnd w:id="18619"/>
      <w:bookmarkEnd w:id="18620"/>
      <w:bookmarkEnd w:id="18621"/>
      <w:bookmarkEnd w:id="18622"/>
      <w:bookmarkEnd w:id="18623"/>
      <w:r>
        <w:rPr>
          <w:rFonts w:hint="cs"/>
          <w:rtl/>
        </w:rPr>
        <w:t xml:space="preserve"> דכל שלא הוכחש הע"א אין כח טענה</w:t>
      </w:r>
      <w:bookmarkEnd w:id="18624"/>
      <w:bookmarkEnd w:id="18625"/>
      <w:bookmarkEnd w:id="18626"/>
      <w:bookmarkEnd w:id="18627"/>
    </w:p>
    <w:p w:rsidR="00E824D3" w:rsidRDefault="00E824D3" w:rsidP="00E824D3">
      <w:pPr>
        <w:pStyle w:val="a3"/>
        <w:rPr>
          <w:rtl/>
        </w:rPr>
      </w:pPr>
      <w:bookmarkStart w:id="18628" w:name="_Toc66172066"/>
      <w:bookmarkStart w:id="18629" w:name="_Toc66183310"/>
      <w:bookmarkStart w:id="18630" w:name="_Toc66186101"/>
      <w:bookmarkStart w:id="18631" w:name="_Toc66193567"/>
      <w:r>
        <w:rPr>
          <w:rFonts w:hint="cs"/>
          <w:rtl/>
        </w:rPr>
        <w:t>ביאור הקוב"ש בריב"ם דכיון שע"א כשנים כל שלא נשבע להכחישו אין את כח טענת לא חטפי</w:t>
      </w:r>
      <w:bookmarkEnd w:id="18628"/>
      <w:bookmarkEnd w:id="18629"/>
      <w:bookmarkEnd w:id="18630"/>
      <w:bookmarkEnd w:id="18631"/>
    </w:p>
    <w:p w:rsidR="00E824D3" w:rsidRDefault="00E824D3" w:rsidP="007E4E81">
      <w:pPr>
        <w:pStyle w:val="a0"/>
      </w:pPr>
      <w:bookmarkStart w:id="18632" w:name="_Ref66013473"/>
      <w:r>
        <w:rPr>
          <w:rFonts w:hint="cs"/>
          <w:rtl/>
        </w:rPr>
        <w:t xml:space="preserve">במ"ש </w:t>
      </w:r>
      <w:r>
        <w:rPr>
          <w:rStyle w:val="af9"/>
          <w:rtl/>
        </w:rPr>
        <w:t>הריב"ם</w:t>
      </w:r>
      <w:r>
        <w:rPr>
          <w:rFonts w:hint="cs"/>
          <w:rtl/>
        </w:rPr>
        <w:t xml:space="preserve"> </w:t>
      </w:r>
      <w:r>
        <w:rPr>
          <w:rStyle w:val="af7"/>
          <w:rFonts w:eastAsia="Guttman Hodes" w:hint="cs"/>
          <w:rtl/>
        </w:rPr>
        <w:t xml:space="preserve">(עי' אות </w:t>
      </w:r>
      <w:r>
        <w:rPr>
          <w:rStyle w:val="af7"/>
          <w:rFonts w:eastAsia="Guttman Hodes" w:hint="cs"/>
          <w:rtl/>
        </w:rPr>
        <w:fldChar w:fldCharType="begin"/>
      </w:r>
      <w:r>
        <w:rPr>
          <w:rStyle w:val="af7"/>
          <w:rFonts w:eastAsia="Guttman Hodes" w:hint="cs"/>
          <w:rtl/>
        </w:rPr>
        <w:instrText xml:space="preserve"> </w:instrText>
      </w:r>
      <w:r>
        <w:rPr>
          <w:rStyle w:val="af7"/>
          <w:rFonts w:eastAsia="Guttman Hodes"/>
        </w:rPr>
        <w:instrText>REF</w:instrText>
      </w:r>
      <w:r>
        <w:rPr>
          <w:rStyle w:val="af7"/>
          <w:rFonts w:eastAsia="Guttman Hodes" w:hint="cs"/>
          <w:rtl/>
        </w:rPr>
        <w:instrText xml:space="preserve"> _</w:instrText>
      </w:r>
      <w:r>
        <w:rPr>
          <w:rStyle w:val="af7"/>
          <w:rFonts w:eastAsia="Guttman Hodes"/>
        </w:rPr>
        <w:instrText>Ref65795831 \r \h</w:instrText>
      </w:r>
      <w:r>
        <w:rPr>
          <w:rStyle w:val="af7"/>
          <w:rFonts w:eastAsia="Guttman Hodes" w:hint="cs"/>
          <w:rtl/>
        </w:rPr>
        <w:instrText xml:space="preserve"> </w:instrText>
      </w:r>
      <w:r>
        <w:rPr>
          <w:rStyle w:val="af7"/>
          <w:rFonts w:eastAsia="Guttman Hodes" w:hint="cs"/>
          <w:rtl/>
        </w:rPr>
      </w:r>
      <w:r>
        <w:rPr>
          <w:rStyle w:val="af7"/>
          <w:rFonts w:eastAsia="Guttman Hodes" w:hint="cs"/>
          <w:rtl/>
        </w:rPr>
        <w:fldChar w:fldCharType="separate"/>
      </w:r>
      <w:r w:rsidR="00265073">
        <w:rPr>
          <w:rStyle w:val="af7"/>
          <w:rFonts w:eastAsia="Guttman Hodes" w:hint="eastAsia"/>
          <w:cs/>
        </w:rPr>
        <w:t>‎</w:t>
      </w:r>
      <w:r w:rsidR="00265073">
        <w:rPr>
          <w:rStyle w:val="af7"/>
          <w:rFonts w:eastAsia="Guttman Hodes" w:hint="eastAsia"/>
          <w:rtl/>
        </w:rPr>
        <w:t>לה</w:t>
      </w:r>
      <w:r w:rsidR="00265073">
        <w:rPr>
          <w:rStyle w:val="af7"/>
          <w:rFonts w:eastAsia="Guttman Hodes"/>
          <w:rtl/>
        </w:rPr>
        <w:t>)</w:t>
      </w:r>
      <w:r>
        <w:rPr>
          <w:rStyle w:val="af7"/>
          <w:rFonts w:eastAsia="Guttman Hodes" w:hint="cs"/>
          <w:rtl/>
        </w:rPr>
        <w:fldChar w:fldCharType="end"/>
      </w:r>
      <w:r>
        <w:rPr>
          <w:rFonts w:hint="cs"/>
          <w:rtl/>
        </w:rPr>
        <w:t xml:space="preserve"> דאינו נאמן במיגו, כיון דכ"ז שלא נשבע להכחיש את הע"א, הוא חשיב כשנים, הקשה </w:t>
      </w:r>
      <w:r w:rsidRPr="00FC0263">
        <w:rPr>
          <w:rStyle w:val="af9"/>
          <w:rFonts w:hint="cs"/>
          <w:rtl/>
        </w:rPr>
        <w:t>הקוב"ש</w:t>
      </w:r>
      <w:r>
        <w:rPr>
          <w:rFonts w:hint="cs"/>
          <w:rtl/>
        </w:rPr>
        <w:t xml:space="preserve"> </w:t>
      </w:r>
      <w:r>
        <w:rPr>
          <w:rStyle w:val="af7"/>
          <w:rFonts w:eastAsia="Guttman Hodes" w:hint="cs"/>
          <w:rtl/>
        </w:rPr>
        <w:t>(או' קמ"ה)</w:t>
      </w:r>
      <w:r>
        <w:rPr>
          <w:rFonts w:hint="cs"/>
          <w:rtl/>
        </w:rPr>
        <w:t xml:space="preserve"> דאעפ"י שהוא כשנים מ"מ אף כשיש ב' עדים שחטף הוא נאמן בטענת דידי חטפי כשיש לו מיגו, וביאר </w:t>
      </w:r>
      <w:r w:rsidRPr="00FC0263">
        <w:rPr>
          <w:rStyle w:val="af9"/>
          <w:rFonts w:hint="cs"/>
          <w:rtl/>
        </w:rPr>
        <w:t>הקוב"ש</w:t>
      </w:r>
      <w:r>
        <w:rPr>
          <w:rFonts w:hint="cs"/>
          <w:rtl/>
        </w:rPr>
        <w:t xml:space="preserve"> דאי מיגו מהני מדין כח הטענה, א"כ אפש"ל דכוונת </w:t>
      </w:r>
      <w:r w:rsidRPr="00FC0263">
        <w:rPr>
          <w:rStyle w:val="af9"/>
          <w:rFonts w:hint="cs"/>
          <w:rtl/>
        </w:rPr>
        <w:t>הריב"ם</w:t>
      </w:r>
      <w:r>
        <w:rPr>
          <w:rFonts w:hint="cs"/>
          <w:rtl/>
        </w:rPr>
        <w:t xml:space="preserve"> לומר דכיון שע"א כשנים, א"כ כל שלא נשבע להכחישו, אין לו את כח הטענה של טענת לא חטפי, ולכן אינו נאמן בטענת דידי חטפי במיגו דהיה נשבע שלא חטף, ועי' במ"ש </w:t>
      </w:r>
      <w:r w:rsidRPr="005C0255">
        <w:rPr>
          <w:rStyle w:val="af9"/>
          <w:rFonts w:hint="cs"/>
          <w:rtl/>
        </w:rPr>
        <w:t>בחי' הגר"ח מטעלז</w:t>
      </w:r>
      <w:r>
        <w:rPr>
          <w:rFonts w:hint="cs"/>
          <w:rtl/>
        </w:rPr>
        <w:t xml:space="preserve"> </w:t>
      </w:r>
      <w:r w:rsidRPr="00034960">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Ref66178076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פד)</w:t>
      </w:r>
      <w:r>
        <w:rPr>
          <w:rStyle w:val="af7"/>
          <w:rFonts w:eastAsia="Guttman Hodes"/>
          <w:rtl/>
        </w:rPr>
        <w:fldChar w:fldCharType="end"/>
      </w:r>
      <w:r>
        <w:rPr>
          <w:rStyle w:val="af7"/>
          <w:rFonts w:eastAsia="Guttman Hodes" w:hint="cs"/>
          <w:rtl/>
        </w:rPr>
        <w:t xml:space="preserve"> </w:t>
      </w:r>
      <w:r>
        <w:rPr>
          <w:rStyle w:val="af9"/>
          <w:rFonts w:hint="cs"/>
          <w:rtl/>
        </w:rPr>
        <w:t>ו</w:t>
      </w:r>
      <w:r w:rsidRPr="005C0255">
        <w:rPr>
          <w:rStyle w:val="af9"/>
          <w:rFonts w:hint="cs"/>
          <w:rtl/>
        </w:rPr>
        <w:t xml:space="preserve">בחי' </w:t>
      </w:r>
      <w:r w:rsidRPr="00034960">
        <w:rPr>
          <w:rStyle w:val="af9"/>
          <w:rFonts w:hint="cs"/>
          <w:rtl/>
        </w:rPr>
        <w:t>הגרש"ש</w:t>
      </w:r>
      <w:r>
        <w:rPr>
          <w:rFonts w:hint="cs"/>
          <w:rtl/>
        </w:rPr>
        <w:t xml:space="preserve"> </w:t>
      </w:r>
      <w:r w:rsidRPr="00034960">
        <w:rPr>
          <w:rStyle w:val="af7"/>
          <w:rFonts w:eastAsia="Guttman Hodes" w:hint="cs"/>
          <w:rtl/>
        </w:rPr>
        <w:t xml:space="preserve">(עי' אות </w:t>
      </w:r>
      <w:r w:rsidRPr="00034960">
        <w:rPr>
          <w:rStyle w:val="af7"/>
          <w:rFonts w:eastAsia="Guttman Hodes"/>
          <w:rtl/>
        </w:rPr>
        <w:fldChar w:fldCharType="begin"/>
      </w:r>
      <w:r w:rsidRPr="00034960">
        <w:rPr>
          <w:rStyle w:val="af7"/>
          <w:rFonts w:eastAsia="Guttman Hodes"/>
          <w:rtl/>
        </w:rPr>
        <w:instrText xml:space="preserve"> </w:instrText>
      </w:r>
      <w:r w:rsidRPr="00034960">
        <w:rPr>
          <w:rStyle w:val="af7"/>
          <w:rFonts w:eastAsia="Guttman Hodes" w:hint="cs"/>
        </w:rPr>
        <w:instrText>REF</w:instrText>
      </w:r>
      <w:r w:rsidRPr="00034960">
        <w:rPr>
          <w:rStyle w:val="af7"/>
          <w:rFonts w:eastAsia="Guttman Hodes" w:hint="cs"/>
          <w:rtl/>
        </w:rPr>
        <w:instrText xml:space="preserve"> _</w:instrText>
      </w:r>
      <w:r w:rsidRPr="00034960">
        <w:rPr>
          <w:rStyle w:val="af7"/>
          <w:rFonts w:eastAsia="Guttman Hodes" w:hint="cs"/>
        </w:rPr>
        <w:instrText>Ref66177994 \r \h</w:instrText>
      </w:r>
      <w:r w:rsidRPr="00034960">
        <w:rPr>
          <w:rStyle w:val="af7"/>
          <w:rFonts w:eastAsia="Guttman Hodes"/>
          <w:rtl/>
        </w:rPr>
        <w:instrText xml:space="preserve"> </w:instrText>
      </w:r>
      <w:r w:rsidRPr="00034960">
        <w:rPr>
          <w:rStyle w:val="af7"/>
          <w:rFonts w:eastAsia="Guttman Hodes"/>
          <w:rtl/>
        </w:rPr>
      </w:r>
      <w:r w:rsidRPr="00034960">
        <w:rPr>
          <w:rStyle w:val="af7"/>
          <w:rFonts w:eastAsia="Guttman Hodes"/>
          <w:rtl/>
        </w:rPr>
        <w:fldChar w:fldCharType="separate"/>
      </w:r>
      <w:r w:rsidR="00265073">
        <w:rPr>
          <w:rStyle w:val="af7"/>
          <w:rFonts w:eastAsia="Guttman Hodes"/>
          <w:cs/>
        </w:rPr>
        <w:t>‎</w:t>
      </w:r>
      <w:r w:rsidR="00265073">
        <w:rPr>
          <w:rStyle w:val="af7"/>
          <w:rFonts w:eastAsia="Guttman Hodes"/>
          <w:rtl/>
        </w:rPr>
        <w:t>קט)</w:t>
      </w:r>
      <w:r w:rsidRPr="00034960">
        <w:rPr>
          <w:rStyle w:val="af7"/>
          <w:rFonts w:eastAsia="Guttman Hodes"/>
          <w:rtl/>
        </w:rPr>
        <w:fldChar w:fldCharType="end"/>
      </w:r>
      <w:r>
        <w:rPr>
          <w:rFonts w:hint="cs"/>
          <w:rtl/>
        </w:rPr>
        <w:t>.</w:t>
      </w:r>
      <w:bookmarkEnd w:id="18632"/>
    </w:p>
    <w:p w:rsidR="00E824D3" w:rsidRDefault="00E824D3" w:rsidP="00E824D3">
      <w:pPr>
        <w:pStyle w:val="a3"/>
        <w:rPr>
          <w:rtl/>
        </w:rPr>
      </w:pPr>
      <w:bookmarkStart w:id="18633" w:name="_Toc66172067"/>
      <w:bookmarkStart w:id="18634" w:name="_Toc66183311"/>
      <w:bookmarkStart w:id="18635" w:name="_Toc66186102"/>
      <w:bookmarkStart w:id="18636" w:name="_Toc66193568"/>
      <w:r>
        <w:rPr>
          <w:rFonts w:hint="cs"/>
          <w:rtl/>
        </w:rPr>
        <w:t>בי' הקוב"ש דכשלא חל חיוב שבועה יש כח טענה אבל בע"א רק כשנשבע מתחדש כח הנאמנות</w:t>
      </w:r>
      <w:bookmarkEnd w:id="18633"/>
      <w:bookmarkEnd w:id="18634"/>
      <w:bookmarkEnd w:id="18635"/>
      <w:bookmarkEnd w:id="18636"/>
    </w:p>
    <w:p w:rsidR="00E824D3" w:rsidRDefault="00E824D3" w:rsidP="007E4E81">
      <w:pPr>
        <w:pStyle w:val="a0"/>
        <w:rPr>
          <w:rtl/>
        </w:rPr>
      </w:pPr>
      <w:bookmarkStart w:id="18637" w:name="_Ref66054863"/>
      <w:r>
        <w:rPr>
          <w:rFonts w:hint="cs"/>
          <w:rtl/>
        </w:rPr>
        <w:t xml:space="preserve">אבל בגמ' לקמן </w:t>
      </w:r>
      <w:r>
        <w:rPr>
          <w:rStyle w:val="af7"/>
          <w:rFonts w:eastAsia="Guttman Hodes" w:hint="cs"/>
          <w:rtl/>
        </w:rPr>
        <w:t>(ע.)</w:t>
      </w:r>
      <w:r>
        <w:rPr>
          <w:rFonts w:hint="cs"/>
          <w:rtl/>
        </w:rPr>
        <w:t xml:space="preserve"> דנאמן בטענת החזרתי במיגו דהיה נשבע בטענת נאנסו, הביא </w:t>
      </w:r>
      <w:r w:rsidRPr="00FC0263">
        <w:rPr>
          <w:rStyle w:val="af9"/>
          <w:rFonts w:hint="cs"/>
          <w:rtl/>
        </w:rPr>
        <w:t>הקוב"ש</w:t>
      </w:r>
      <w:r>
        <w:rPr>
          <w:rFonts w:hint="cs"/>
          <w:rtl/>
        </w:rPr>
        <w:t xml:space="preserve"> את דברי </w:t>
      </w:r>
      <w:r w:rsidRPr="00FC0263">
        <w:rPr>
          <w:rStyle w:val="af9"/>
          <w:rFonts w:hint="cs"/>
          <w:rtl/>
        </w:rPr>
        <w:t>רבינו יונה</w:t>
      </w:r>
      <w:r>
        <w:rPr>
          <w:rFonts w:hint="cs"/>
          <w:rtl/>
        </w:rPr>
        <w:t xml:space="preserve"> </w:t>
      </w:r>
      <w:r w:rsidRPr="00FC0263">
        <w:rPr>
          <w:rStyle w:val="af7"/>
          <w:rFonts w:eastAsia="Guttman Hodes" w:hint="cs"/>
          <w:rtl/>
        </w:rPr>
        <w:t xml:space="preserve">(עי' אות </w:t>
      </w:r>
      <w:r w:rsidRPr="00FC0263">
        <w:rPr>
          <w:rStyle w:val="af7"/>
          <w:rFonts w:eastAsia="Guttman Hodes"/>
          <w:rtl/>
        </w:rPr>
        <w:fldChar w:fldCharType="begin"/>
      </w:r>
      <w:r w:rsidRPr="00FC0263">
        <w:rPr>
          <w:rStyle w:val="af7"/>
          <w:rFonts w:eastAsia="Guttman Hodes"/>
          <w:rtl/>
        </w:rPr>
        <w:instrText xml:space="preserve"> </w:instrText>
      </w:r>
      <w:r w:rsidRPr="00FC0263">
        <w:rPr>
          <w:rStyle w:val="af7"/>
          <w:rFonts w:eastAsia="Guttman Hodes" w:hint="cs"/>
        </w:rPr>
        <w:instrText>REF</w:instrText>
      </w:r>
      <w:r w:rsidRPr="00FC0263">
        <w:rPr>
          <w:rStyle w:val="af7"/>
          <w:rFonts w:eastAsia="Guttman Hodes" w:hint="cs"/>
          <w:rtl/>
        </w:rPr>
        <w:instrText xml:space="preserve"> _</w:instrText>
      </w:r>
      <w:r w:rsidRPr="00FC0263">
        <w:rPr>
          <w:rStyle w:val="af7"/>
          <w:rFonts w:eastAsia="Guttman Hodes" w:hint="cs"/>
        </w:rPr>
        <w:instrText>Ref65832995 \r \h</w:instrText>
      </w:r>
      <w:r w:rsidRPr="00FC0263">
        <w:rPr>
          <w:rStyle w:val="af7"/>
          <w:rFonts w:eastAsia="Guttman Hodes"/>
          <w:rtl/>
        </w:rPr>
        <w:instrText xml:space="preserve"> </w:instrText>
      </w:r>
      <w:r>
        <w:rPr>
          <w:rStyle w:val="af7"/>
          <w:rFonts w:eastAsia="Guttman Hodes"/>
          <w:rtl/>
        </w:rPr>
        <w:instrText xml:space="preserve"> \* </w:instrText>
      </w:r>
      <w:r>
        <w:rPr>
          <w:rStyle w:val="af7"/>
          <w:rFonts w:eastAsia="Guttman Hodes"/>
        </w:rPr>
        <w:instrText>MERGEFORMAT</w:instrText>
      </w:r>
      <w:r>
        <w:rPr>
          <w:rStyle w:val="af7"/>
          <w:rFonts w:eastAsia="Guttman Hodes"/>
          <w:rtl/>
        </w:rPr>
        <w:instrText xml:space="preserve"> </w:instrText>
      </w:r>
      <w:r w:rsidRPr="00FC0263">
        <w:rPr>
          <w:rStyle w:val="af7"/>
          <w:rFonts w:eastAsia="Guttman Hodes"/>
          <w:rtl/>
        </w:rPr>
      </w:r>
      <w:r w:rsidRPr="00FC0263">
        <w:rPr>
          <w:rStyle w:val="af7"/>
          <w:rFonts w:eastAsia="Guttman Hodes"/>
          <w:rtl/>
        </w:rPr>
        <w:fldChar w:fldCharType="separate"/>
      </w:r>
      <w:r w:rsidR="00265073">
        <w:rPr>
          <w:rStyle w:val="af7"/>
          <w:rFonts w:eastAsia="Guttman Hodes"/>
          <w:cs/>
        </w:rPr>
        <w:t>‎</w:t>
      </w:r>
      <w:r w:rsidR="00265073">
        <w:rPr>
          <w:rStyle w:val="af7"/>
          <w:rFonts w:eastAsia="Guttman Hodes"/>
          <w:rtl/>
        </w:rPr>
        <w:t>מא)</w:t>
      </w:r>
      <w:r w:rsidRPr="00FC0263">
        <w:rPr>
          <w:rStyle w:val="af7"/>
          <w:rFonts w:eastAsia="Guttman Hodes"/>
          <w:rtl/>
        </w:rPr>
        <w:fldChar w:fldCharType="end"/>
      </w:r>
      <w:r>
        <w:rPr>
          <w:rFonts w:hint="cs"/>
          <w:rtl/>
        </w:rPr>
        <w:t xml:space="preserve"> דביאר דכ"ז שלא טען נאנסו, לא חל עליו חיוב שבועת השומרים כלל, וביאר </w:t>
      </w:r>
      <w:r w:rsidRPr="00FC0263">
        <w:rPr>
          <w:rStyle w:val="af9"/>
          <w:rFonts w:hint="cs"/>
          <w:rtl/>
        </w:rPr>
        <w:t>הקוב"ש</w:t>
      </w:r>
      <w:r>
        <w:rPr>
          <w:rFonts w:hint="cs"/>
          <w:rtl/>
        </w:rPr>
        <w:t xml:space="preserve"> כל שעדיין לו חל עליו חיוב השבועה, יש לו את כח הטענה של טענת נאנסו, אעפ"י שאם יטען יחול עליו החיוב ולא יהיה נאמן, אבל בעדות ע"א שמשעת עדות העד חל עליו חיוב השבועה, א"כ אין לו את כח הנאמנות של טענת לא חטפי כלל, ורק אם ישבע ויסלק את עדות העד, יתחדש לו כח נאמנות, ולכן כל שלא נשבע לא מהני לו המיגו כלל, וכעי"ז ביאר </w:t>
      </w:r>
      <w:r w:rsidRPr="005D49E0">
        <w:rPr>
          <w:rStyle w:val="af9"/>
          <w:rFonts w:hint="cs"/>
          <w:rtl/>
        </w:rPr>
        <w:t>בחי' הגרש"ש</w:t>
      </w:r>
      <w:r>
        <w:rPr>
          <w:rFonts w:hint="cs"/>
          <w:rtl/>
        </w:rPr>
        <w:t xml:space="preserve"> </w:t>
      </w:r>
      <w:r w:rsidRPr="005D49E0">
        <w:rPr>
          <w:rStyle w:val="af7"/>
          <w:rFonts w:eastAsia="Guttman Hodes" w:hint="cs"/>
          <w:rtl/>
        </w:rPr>
        <w:t xml:space="preserve">(עי' אות </w:t>
      </w:r>
      <w:r w:rsidRPr="005D49E0">
        <w:rPr>
          <w:rStyle w:val="af7"/>
          <w:rFonts w:eastAsia="Guttman Hodes"/>
          <w:rtl/>
        </w:rPr>
        <w:fldChar w:fldCharType="begin"/>
      </w:r>
      <w:r w:rsidRPr="005D49E0">
        <w:rPr>
          <w:rStyle w:val="af7"/>
          <w:rFonts w:eastAsia="Guttman Hodes"/>
          <w:rtl/>
        </w:rPr>
        <w:instrText xml:space="preserve"> </w:instrText>
      </w:r>
      <w:r w:rsidRPr="005D49E0">
        <w:rPr>
          <w:rStyle w:val="af7"/>
          <w:rFonts w:eastAsia="Guttman Hodes" w:hint="cs"/>
        </w:rPr>
        <w:instrText>REF</w:instrText>
      </w:r>
      <w:r w:rsidRPr="005D49E0">
        <w:rPr>
          <w:rStyle w:val="af7"/>
          <w:rFonts w:eastAsia="Guttman Hodes" w:hint="cs"/>
          <w:rtl/>
        </w:rPr>
        <w:instrText xml:space="preserve"> _</w:instrText>
      </w:r>
      <w:r w:rsidRPr="005D49E0">
        <w:rPr>
          <w:rStyle w:val="af7"/>
          <w:rFonts w:eastAsia="Guttman Hodes" w:hint="cs"/>
        </w:rPr>
        <w:instrText>Ref66054785 \r \h</w:instrText>
      </w:r>
      <w:r w:rsidRPr="005D49E0">
        <w:rPr>
          <w:rStyle w:val="af7"/>
          <w:rFonts w:eastAsia="Guttman Hodes"/>
          <w:rtl/>
        </w:rPr>
        <w:instrText xml:space="preserve"> </w:instrText>
      </w:r>
      <w:r w:rsidRPr="005D49E0">
        <w:rPr>
          <w:rStyle w:val="af7"/>
          <w:rFonts w:eastAsia="Guttman Hodes"/>
          <w:rtl/>
        </w:rPr>
      </w:r>
      <w:r w:rsidRPr="005D49E0">
        <w:rPr>
          <w:rStyle w:val="af7"/>
          <w:rFonts w:eastAsia="Guttman Hodes"/>
          <w:rtl/>
        </w:rPr>
        <w:fldChar w:fldCharType="separate"/>
      </w:r>
      <w:r w:rsidR="00265073">
        <w:rPr>
          <w:rStyle w:val="af7"/>
          <w:rFonts w:eastAsia="Guttman Hodes"/>
          <w:cs/>
        </w:rPr>
        <w:t>‎</w:t>
      </w:r>
      <w:r w:rsidR="00265073">
        <w:rPr>
          <w:rStyle w:val="af7"/>
          <w:rFonts w:eastAsia="Guttman Hodes"/>
          <w:rtl/>
        </w:rPr>
        <w:t>קיז)</w:t>
      </w:r>
      <w:r w:rsidRPr="005D49E0">
        <w:rPr>
          <w:rStyle w:val="af7"/>
          <w:rFonts w:eastAsia="Guttman Hodes"/>
          <w:rtl/>
        </w:rPr>
        <w:fldChar w:fldCharType="end"/>
      </w:r>
      <w:r>
        <w:rPr>
          <w:rFonts w:hint="cs"/>
          <w:rtl/>
        </w:rPr>
        <w:t>.</w:t>
      </w:r>
      <w:bookmarkEnd w:id="18637"/>
    </w:p>
    <w:p w:rsidR="00E824D3" w:rsidRDefault="00E824D3" w:rsidP="00E824D3">
      <w:pPr>
        <w:pStyle w:val="a3"/>
        <w:rPr>
          <w:rtl/>
        </w:rPr>
      </w:pPr>
      <w:bookmarkStart w:id="18638" w:name="_Toc66172068"/>
      <w:bookmarkStart w:id="18639" w:name="_Toc66183312"/>
      <w:bookmarkStart w:id="18640" w:name="_Toc66186103"/>
      <w:bookmarkStart w:id="18641" w:name="_Toc66193569"/>
      <w:r>
        <w:rPr>
          <w:rFonts w:hint="cs"/>
          <w:rtl/>
        </w:rPr>
        <w:t>דחיית הגרנ"פ דמקושית התוס' מהילפותא למשאיל"מ מוכח דלא כדביאר הקוב"ש בריב"ם</w:t>
      </w:r>
      <w:bookmarkEnd w:id="18638"/>
      <w:bookmarkEnd w:id="18639"/>
      <w:bookmarkEnd w:id="18640"/>
      <w:bookmarkEnd w:id="18641"/>
    </w:p>
    <w:p w:rsidR="00E824D3" w:rsidRDefault="00E824D3" w:rsidP="007E4E81">
      <w:pPr>
        <w:pStyle w:val="a0"/>
        <w:rPr>
          <w:rtl/>
        </w:rPr>
      </w:pPr>
      <w:r>
        <w:rPr>
          <w:rFonts w:hint="cs"/>
          <w:rtl/>
        </w:rPr>
        <w:t xml:space="preserve">אך </w:t>
      </w:r>
      <w:r w:rsidRPr="00CC1DF1">
        <w:rPr>
          <w:rStyle w:val="af9"/>
          <w:rFonts w:hint="cs"/>
          <w:rtl/>
        </w:rPr>
        <w:t xml:space="preserve">בחי' רבי נחום </w:t>
      </w:r>
      <w:r w:rsidRPr="00CC1DF1">
        <w:rPr>
          <w:rStyle w:val="af7"/>
          <w:rFonts w:eastAsia="Guttman Hodes" w:hint="cs"/>
          <w:rtl/>
        </w:rPr>
        <w:t>(או' ר"ב ד"ה אמנם)</w:t>
      </w:r>
      <w:r>
        <w:rPr>
          <w:rFonts w:hint="cs"/>
          <w:rtl/>
        </w:rPr>
        <w:t xml:space="preserve"> הקשה על ביאור </w:t>
      </w:r>
      <w:r w:rsidRPr="00CC1DF1">
        <w:rPr>
          <w:rStyle w:val="af9"/>
          <w:rFonts w:hint="cs"/>
          <w:rtl/>
        </w:rPr>
        <w:t>הקוב"ש</w:t>
      </w:r>
      <w:r>
        <w:rPr>
          <w:rFonts w:hint="cs"/>
          <w:rtl/>
        </w:rPr>
        <w:t xml:space="preserve"> </w:t>
      </w:r>
      <w:r w:rsidRPr="00CC1DF1">
        <w:rPr>
          <w:rStyle w:val="af7"/>
          <w:rFonts w:eastAsia="Guttman Hodes" w:hint="cs"/>
          <w:rtl/>
        </w:rPr>
        <w:t xml:space="preserve">(עי' אות </w:t>
      </w:r>
      <w:r w:rsidRPr="00CC1DF1">
        <w:rPr>
          <w:rStyle w:val="af7"/>
          <w:rFonts w:eastAsia="Guttman Hodes"/>
          <w:rtl/>
        </w:rPr>
        <w:fldChar w:fldCharType="begin"/>
      </w:r>
      <w:r w:rsidRPr="00CC1DF1">
        <w:rPr>
          <w:rStyle w:val="af7"/>
          <w:rFonts w:eastAsia="Guttman Hodes"/>
          <w:rtl/>
        </w:rPr>
        <w:instrText xml:space="preserve"> </w:instrText>
      </w:r>
      <w:r w:rsidRPr="00CC1DF1">
        <w:rPr>
          <w:rStyle w:val="af7"/>
          <w:rFonts w:eastAsia="Guttman Hodes" w:hint="cs"/>
        </w:rPr>
        <w:instrText>REF</w:instrText>
      </w:r>
      <w:r w:rsidRPr="00CC1DF1">
        <w:rPr>
          <w:rStyle w:val="af7"/>
          <w:rFonts w:eastAsia="Guttman Hodes" w:hint="cs"/>
          <w:rtl/>
        </w:rPr>
        <w:instrText xml:space="preserve"> _</w:instrText>
      </w:r>
      <w:r w:rsidRPr="00CC1DF1">
        <w:rPr>
          <w:rStyle w:val="af7"/>
          <w:rFonts w:eastAsia="Guttman Hodes" w:hint="cs"/>
        </w:rPr>
        <w:instrText>Ref66013473 \r \h</w:instrText>
      </w:r>
      <w:r w:rsidRPr="00CC1DF1">
        <w:rPr>
          <w:rStyle w:val="af7"/>
          <w:rFonts w:eastAsia="Guttman Hodes"/>
          <w:rtl/>
        </w:rPr>
        <w:instrText xml:space="preserve"> </w:instrText>
      </w:r>
      <w:r w:rsidRPr="00CC1DF1">
        <w:rPr>
          <w:rStyle w:val="af7"/>
          <w:rFonts w:eastAsia="Guttman Hodes"/>
          <w:rtl/>
        </w:rPr>
      </w:r>
      <w:r w:rsidRPr="00CC1DF1">
        <w:rPr>
          <w:rStyle w:val="af7"/>
          <w:rFonts w:eastAsia="Guttman Hodes"/>
          <w:rtl/>
        </w:rPr>
        <w:fldChar w:fldCharType="separate"/>
      </w:r>
      <w:r w:rsidR="00265073">
        <w:rPr>
          <w:rStyle w:val="af7"/>
          <w:rFonts w:eastAsia="Guttman Hodes"/>
          <w:cs/>
        </w:rPr>
        <w:t>‎</w:t>
      </w:r>
      <w:r w:rsidR="00265073">
        <w:rPr>
          <w:rStyle w:val="af7"/>
          <w:rFonts w:eastAsia="Guttman Hodes"/>
          <w:rtl/>
        </w:rPr>
        <w:t>קכ)</w:t>
      </w:r>
      <w:r w:rsidRPr="00CC1DF1">
        <w:rPr>
          <w:rStyle w:val="af7"/>
          <w:rFonts w:eastAsia="Guttman Hodes"/>
          <w:rtl/>
        </w:rPr>
        <w:fldChar w:fldCharType="end"/>
      </w:r>
      <w:r>
        <w:rPr>
          <w:rFonts w:hint="cs"/>
          <w:rtl/>
        </w:rPr>
        <w:t xml:space="preserve"> בדעת </w:t>
      </w:r>
      <w:r w:rsidRPr="00CC1DF1">
        <w:rPr>
          <w:rStyle w:val="af9"/>
          <w:rFonts w:hint="cs"/>
          <w:rtl/>
        </w:rPr>
        <w:t>הריב"ם</w:t>
      </w:r>
      <w:r>
        <w:rPr>
          <w:rFonts w:hint="cs"/>
          <w:rtl/>
        </w:rPr>
        <w:t xml:space="preserve">, דאי בסוגיין לא שייך דין מיגו, כיון שאין לו את כח הטענה של המיגו, א"כ מה הקשו </w:t>
      </w:r>
      <w:r w:rsidRPr="00CC1DF1">
        <w:rPr>
          <w:rStyle w:val="af9"/>
          <w:rFonts w:hint="cs"/>
          <w:rtl/>
        </w:rPr>
        <w:t>התוס'</w:t>
      </w:r>
      <w:r>
        <w:rPr>
          <w:rFonts w:hint="cs"/>
          <w:rtl/>
        </w:rPr>
        <w:t xml:space="preserve"> </w:t>
      </w:r>
      <w:r w:rsidRPr="00CC1DF1">
        <w:rPr>
          <w:rStyle w:val="af7"/>
          <w:rFonts w:eastAsia="Guttman Hodes" w:hint="cs"/>
          <w:rtl/>
        </w:rPr>
        <w:t xml:space="preserve">(עי' אות </w:t>
      </w:r>
      <w:r w:rsidRPr="00CC1DF1">
        <w:rPr>
          <w:rStyle w:val="af7"/>
          <w:rFonts w:eastAsia="Guttman Hodes"/>
          <w:rtl/>
        </w:rPr>
        <w:fldChar w:fldCharType="begin"/>
      </w:r>
      <w:r w:rsidRPr="00CC1DF1">
        <w:rPr>
          <w:rStyle w:val="af7"/>
          <w:rFonts w:eastAsia="Guttman Hodes"/>
          <w:rtl/>
        </w:rPr>
        <w:instrText xml:space="preserve"> </w:instrText>
      </w:r>
      <w:r w:rsidRPr="00CC1DF1">
        <w:rPr>
          <w:rStyle w:val="af7"/>
          <w:rFonts w:eastAsia="Guttman Hodes" w:hint="cs"/>
        </w:rPr>
        <w:instrText>REF</w:instrText>
      </w:r>
      <w:r w:rsidRPr="00CC1DF1">
        <w:rPr>
          <w:rStyle w:val="af7"/>
          <w:rFonts w:eastAsia="Guttman Hodes" w:hint="cs"/>
          <w:rtl/>
        </w:rPr>
        <w:instrText xml:space="preserve"> _</w:instrText>
      </w:r>
      <w:r w:rsidRPr="00CC1DF1">
        <w:rPr>
          <w:rStyle w:val="af7"/>
          <w:rFonts w:eastAsia="Guttman Hodes" w:hint="cs"/>
        </w:rPr>
        <w:instrText>Ref65795902 \r \h</w:instrText>
      </w:r>
      <w:r w:rsidRPr="00CC1DF1">
        <w:rPr>
          <w:rStyle w:val="af7"/>
          <w:rFonts w:eastAsia="Guttman Hodes"/>
          <w:rtl/>
        </w:rPr>
        <w:instrText xml:space="preserve"> </w:instrText>
      </w:r>
      <w:r w:rsidRPr="00CC1DF1">
        <w:rPr>
          <w:rStyle w:val="af7"/>
          <w:rFonts w:eastAsia="Guttman Hodes"/>
          <w:rtl/>
        </w:rPr>
      </w:r>
      <w:r w:rsidRPr="00CC1DF1">
        <w:rPr>
          <w:rStyle w:val="af7"/>
          <w:rFonts w:eastAsia="Guttman Hodes"/>
          <w:rtl/>
        </w:rPr>
        <w:fldChar w:fldCharType="separate"/>
      </w:r>
      <w:r w:rsidR="00265073">
        <w:rPr>
          <w:rStyle w:val="af7"/>
          <w:rFonts w:eastAsia="Guttman Hodes"/>
          <w:cs/>
        </w:rPr>
        <w:t>‎</w:t>
      </w:r>
      <w:r w:rsidR="00265073">
        <w:rPr>
          <w:rStyle w:val="af7"/>
          <w:rFonts w:eastAsia="Guttman Hodes"/>
          <w:rtl/>
        </w:rPr>
        <w:t>נד)</w:t>
      </w:r>
      <w:r w:rsidRPr="00CC1DF1">
        <w:rPr>
          <w:rStyle w:val="af7"/>
          <w:rFonts w:eastAsia="Guttman Hodes"/>
          <w:rtl/>
        </w:rPr>
        <w:fldChar w:fldCharType="end"/>
      </w:r>
      <w:r>
        <w:rPr>
          <w:rFonts w:hint="cs"/>
          <w:rtl/>
        </w:rPr>
        <w:t xml:space="preserve"> דהילפותא לדין מתוך שאינו יכול לישבע משלם היא במקום שאין מיגו, הא בסוגיין אין דין מיגו כלל.</w:t>
      </w:r>
      <w:r w:rsidRPr="00AF0A0B">
        <w:rPr>
          <w:rStyle w:val="afb"/>
          <w:rFonts w:hint="cs"/>
          <w:rtl/>
        </w:rPr>
        <w:t xml:space="preserve"> </w:t>
      </w:r>
      <w:r>
        <w:rPr>
          <w:rStyle w:val="afb"/>
          <w:rFonts w:hint="cs"/>
          <w:rtl/>
        </w:rPr>
        <w:t>[וע"ע</w:t>
      </w:r>
      <w:r w:rsidRPr="000678C0">
        <w:rPr>
          <w:rStyle w:val="afb"/>
          <w:rFonts w:hint="cs"/>
          <w:rtl/>
        </w:rPr>
        <w:t xml:space="preserve"> במ</w:t>
      </w:r>
      <w:r>
        <w:rPr>
          <w:rStyle w:val="afb"/>
          <w:rFonts w:hint="cs"/>
          <w:rtl/>
        </w:rPr>
        <w:t>ה שהוסיף להקשות</w:t>
      </w:r>
      <w:r w:rsidRPr="000678C0">
        <w:rPr>
          <w:rStyle w:val="afb"/>
          <w:rFonts w:hint="cs"/>
          <w:rtl/>
        </w:rPr>
        <w:t xml:space="preserve"> </w:t>
      </w:r>
      <w:r w:rsidRPr="00AF0A0B">
        <w:rPr>
          <w:rStyle w:val="affa"/>
          <w:rFonts w:hint="cs"/>
          <w:rtl/>
        </w:rPr>
        <w:t>בחי' רבי נחום</w:t>
      </w:r>
      <w:r w:rsidRPr="000678C0">
        <w:rPr>
          <w:rStyle w:val="afb"/>
          <w:rFonts w:hint="cs"/>
          <w:rtl/>
        </w:rPr>
        <w:t xml:space="preserve"> </w:t>
      </w:r>
      <w:r w:rsidRPr="00AF0A0B">
        <w:rPr>
          <w:rStyle w:val="aff6"/>
          <w:rFonts w:hint="cs"/>
          <w:rtl/>
        </w:rPr>
        <w:t xml:space="preserve">(או' ר"ג ד"ה והדברים מדויקים) </w:t>
      </w:r>
      <w:r>
        <w:rPr>
          <w:rStyle w:val="afb"/>
          <w:rFonts w:hint="cs"/>
          <w:rtl/>
        </w:rPr>
        <w:t xml:space="preserve">על </w:t>
      </w:r>
      <w:r w:rsidRPr="00AF0A0B">
        <w:rPr>
          <w:rStyle w:val="affa"/>
          <w:rFonts w:hint="cs"/>
          <w:rtl/>
        </w:rPr>
        <w:t>הקוב"ש</w:t>
      </w:r>
      <w:r w:rsidRPr="000678C0">
        <w:rPr>
          <w:rStyle w:val="afb"/>
          <w:rFonts w:hint="cs"/>
          <w:rtl/>
        </w:rPr>
        <w:t xml:space="preserve"> </w:t>
      </w:r>
      <w:r>
        <w:rPr>
          <w:rStyle w:val="afb"/>
          <w:rFonts w:hint="cs"/>
          <w:rtl/>
        </w:rPr>
        <w:t>ד</w:t>
      </w:r>
      <w:r w:rsidRPr="000678C0">
        <w:rPr>
          <w:rStyle w:val="afb"/>
          <w:rFonts w:hint="cs"/>
          <w:rtl/>
        </w:rPr>
        <w:t xml:space="preserve">בלשון </w:t>
      </w:r>
      <w:r w:rsidRPr="00AF0A0B">
        <w:rPr>
          <w:rStyle w:val="affa"/>
          <w:rFonts w:hint="cs"/>
          <w:rtl/>
        </w:rPr>
        <w:t>הריב"ם</w:t>
      </w:r>
      <w:r>
        <w:rPr>
          <w:rStyle w:val="afb"/>
          <w:rFonts w:hint="cs"/>
          <w:rtl/>
        </w:rPr>
        <w:t xml:space="preserve"> לא משמע כדבריו]. </w:t>
      </w:r>
    </w:p>
    <w:p w:rsidR="00E824D3" w:rsidRDefault="00E824D3" w:rsidP="00E824D3">
      <w:pPr>
        <w:pStyle w:val="afe"/>
        <w:rPr>
          <w:rtl/>
        </w:rPr>
      </w:pPr>
      <w:bookmarkStart w:id="18642" w:name="_Toc66183316"/>
      <w:bookmarkStart w:id="18643" w:name="_Toc66186104"/>
      <w:bookmarkStart w:id="18644" w:name="_Toc66193570"/>
      <w:bookmarkStart w:id="18645" w:name="_Toc66143877"/>
      <w:bookmarkStart w:id="18646" w:name="_Toc66172040"/>
      <w:bookmarkStart w:id="18647" w:name="_Ref66141556"/>
      <w:bookmarkStart w:id="18648" w:name="_Toc66123404"/>
      <w:bookmarkStart w:id="18649" w:name="_Toc66143904"/>
      <w:bookmarkStart w:id="18650" w:name="_Toc66172078"/>
      <w:r w:rsidRPr="006C4C69">
        <w:rPr>
          <w:rtl/>
        </w:rPr>
        <w:t xml:space="preserve">בהוכחת תוס' דחזקה מה שתח"י </w:t>
      </w:r>
      <w:r>
        <w:rPr>
          <w:rFonts w:hint="cs"/>
          <w:rtl/>
        </w:rPr>
        <w:t>מבררת</w:t>
      </w:r>
      <w:bookmarkEnd w:id="18642"/>
      <w:bookmarkEnd w:id="18643"/>
      <w:bookmarkEnd w:id="18644"/>
      <w:r w:rsidRPr="006C4C69">
        <w:rPr>
          <w:rFonts w:hint="cs"/>
          <w:rtl/>
        </w:rPr>
        <w:t xml:space="preserve"> </w:t>
      </w:r>
    </w:p>
    <w:p w:rsidR="00E824D3" w:rsidRDefault="00E824D3" w:rsidP="00E824D3">
      <w:pPr>
        <w:pStyle w:val="1"/>
        <w:rPr>
          <w:rtl/>
        </w:rPr>
      </w:pPr>
      <w:bookmarkStart w:id="18651" w:name="_Toc66183317"/>
      <w:bookmarkStart w:id="18652" w:name="_Toc66186105"/>
      <w:bookmarkStart w:id="18653" w:name="_Toc66193571"/>
      <w:r>
        <w:rPr>
          <w:rFonts w:hint="cs"/>
          <w:rtl/>
        </w:rPr>
        <w:t>בי' הגרב"ב בתוס' דהוכיחו מנסכא דחזקה מה שתח"י היא בירור</w:t>
      </w:r>
      <w:bookmarkEnd w:id="18645"/>
      <w:bookmarkEnd w:id="18646"/>
      <w:bookmarkEnd w:id="18651"/>
      <w:bookmarkEnd w:id="18652"/>
      <w:bookmarkEnd w:id="18653"/>
    </w:p>
    <w:p w:rsidR="00E824D3" w:rsidRDefault="00E824D3" w:rsidP="00E824D3">
      <w:pPr>
        <w:pStyle w:val="a3"/>
      </w:pPr>
      <w:bookmarkStart w:id="18654" w:name="_Toc66143878"/>
      <w:bookmarkStart w:id="18655" w:name="_Toc66172041"/>
      <w:bookmarkStart w:id="18656" w:name="_Toc66183318"/>
      <w:bookmarkStart w:id="18657" w:name="_Toc66186106"/>
      <w:bookmarkStart w:id="18658" w:name="_Toc66193572"/>
      <w:r>
        <w:rPr>
          <w:rFonts w:hint="cs"/>
          <w:rtl/>
        </w:rPr>
        <w:t>חקירת הגרב"ב אי עדות חטיפה היא עדות על גזל ממון או עדות שיש לראשון חזקה דהיא תח"י</w:t>
      </w:r>
      <w:bookmarkEnd w:id="18654"/>
      <w:bookmarkEnd w:id="18655"/>
      <w:bookmarkEnd w:id="18656"/>
      <w:bookmarkEnd w:id="18657"/>
      <w:bookmarkEnd w:id="18658"/>
    </w:p>
    <w:p w:rsidR="00E824D3" w:rsidRDefault="00E824D3" w:rsidP="007E4E81">
      <w:pPr>
        <w:pStyle w:val="a0"/>
        <w:rPr>
          <w:rtl/>
        </w:rPr>
      </w:pPr>
      <w:bookmarkStart w:id="18659" w:name="_Ref66141973"/>
      <w:r>
        <w:rPr>
          <w:rFonts w:hint="cs"/>
          <w:rtl/>
        </w:rPr>
        <w:t>במ"ש</w:t>
      </w:r>
      <w:r w:rsidRPr="000C4239">
        <w:rPr>
          <w:rFonts w:hint="cs"/>
          <w:rtl/>
        </w:rPr>
        <w:t xml:space="preserve"> </w:t>
      </w:r>
      <w:r w:rsidRPr="000C4239">
        <w:rPr>
          <w:rStyle w:val="af9"/>
          <w:rtl/>
        </w:rPr>
        <w:t>התוס' לקמן</w:t>
      </w:r>
      <w:r w:rsidRPr="000C4239">
        <w:rPr>
          <w:rFonts w:hint="cs"/>
          <w:rtl/>
        </w:rPr>
        <w:t xml:space="preserve"> </w:t>
      </w:r>
      <w:r w:rsidRPr="00DA5FD0">
        <w:rPr>
          <w:rStyle w:val="af7"/>
          <w:rFonts w:eastAsia="Guttman Hodes" w:hint="cs"/>
          <w:rtl/>
        </w:rPr>
        <w:t>(לד: ריש ד"ה ההוא ארבא)</w:t>
      </w:r>
      <w:r w:rsidRPr="000C4239">
        <w:rPr>
          <w:rFonts w:hint="cs"/>
          <w:rtl/>
        </w:rPr>
        <w:t xml:space="preserve"> דמהא דבטוען דידי חטפי חשיב כגזלן, מוכח דצריך להעמיד כל דבר בחזקת מי שהוא בידו, ולכן הוא חייב לשלם, כאילו ברור לנו שהנסכא היא של מי שהיה מוחזק בה</w:t>
      </w:r>
      <w:r>
        <w:rPr>
          <w:rFonts w:hint="cs"/>
          <w:rtl/>
        </w:rPr>
        <w:t>,</w:t>
      </w:r>
      <w:r w:rsidRPr="006870DA">
        <w:rPr>
          <w:rtl/>
        </w:rPr>
        <w:t xml:space="preserve"> </w:t>
      </w:r>
      <w:r w:rsidRPr="000C4239">
        <w:rPr>
          <w:rFonts w:hint="cs"/>
          <w:rtl/>
        </w:rPr>
        <w:t>הקשה</w:t>
      </w:r>
      <w:r>
        <w:rPr>
          <w:rFonts w:hint="cs"/>
          <w:rtl/>
        </w:rPr>
        <w:t xml:space="preserve"> </w:t>
      </w:r>
      <w:r w:rsidRPr="00214983">
        <w:rPr>
          <w:rStyle w:val="af9"/>
          <w:rFonts w:hint="cs"/>
          <w:rtl/>
        </w:rPr>
        <w:t>בחו"ש הגרב"ב</w:t>
      </w:r>
      <w:r>
        <w:rPr>
          <w:rFonts w:hint="cs"/>
          <w:rtl/>
        </w:rPr>
        <w:t xml:space="preserve"> </w:t>
      </w:r>
      <w:r w:rsidRPr="00DA5FD0">
        <w:rPr>
          <w:rStyle w:val="af7"/>
          <w:rFonts w:eastAsia="Guttman Hodes" w:hint="cs"/>
          <w:rtl/>
        </w:rPr>
        <w:t xml:space="preserve">(ח"א סי' י"ג ד"ה ועי' בשיעורי) </w:t>
      </w:r>
      <w:r>
        <w:rPr>
          <w:rFonts w:hint="cs"/>
          <w:rtl/>
        </w:rPr>
        <w:t xml:space="preserve">היאך הוכיחו </w:t>
      </w:r>
      <w:r w:rsidRPr="008D0366">
        <w:rPr>
          <w:rStyle w:val="af9"/>
          <w:rFonts w:hint="cs"/>
          <w:rtl/>
        </w:rPr>
        <w:t>התוס'</w:t>
      </w:r>
      <w:r>
        <w:rPr>
          <w:rFonts w:hint="cs"/>
          <w:rtl/>
        </w:rPr>
        <w:t xml:space="preserve"> כן מסוגיין, וכתב </w:t>
      </w:r>
      <w:r w:rsidRPr="00214983">
        <w:rPr>
          <w:rStyle w:val="af9"/>
          <w:rFonts w:hint="cs"/>
          <w:rtl/>
        </w:rPr>
        <w:t xml:space="preserve">בחו"ש הגרב"ב </w:t>
      </w:r>
      <w:r>
        <w:rPr>
          <w:rFonts w:hint="cs"/>
          <w:rtl/>
        </w:rPr>
        <w:t xml:space="preserve">דיש לחקור במקום שיש עדים שחטף, והצד הא' כתב </w:t>
      </w:r>
      <w:r w:rsidRPr="00214983">
        <w:rPr>
          <w:rStyle w:val="af9"/>
          <w:rFonts w:hint="cs"/>
          <w:rtl/>
        </w:rPr>
        <w:t xml:space="preserve">בחו"ש הגרב"ב </w:t>
      </w:r>
      <w:r>
        <w:rPr>
          <w:rFonts w:hint="cs"/>
          <w:rtl/>
        </w:rPr>
        <w:t xml:space="preserve">עדות העדים היא רק על מעשה החטיפה, ואינם יכולים להעיד שחטף את ממונו, אלא דכיון שיש לראשון חזקה דכ"מ שתח"י שלו הוא, ממילא מכח החזקה אנו יודעים שהוא חטף את ממון חבירו, אך אן עדות גמורה של העדים שהוא גזל ממון חבירו, כיון שהם מעידים רק על מעשה החטיפה, ורק מכח חזקה אנו רואים שגזל את ממונו, והצד הב' כתב </w:t>
      </w:r>
      <w:r w:rsidRPr="00214983">
        <w:rPr>
          <w:rStyle w:val="af9"/>
          <w:rFonts w:hint="cs"/>
          <w:rtl/>
        </w:rPr>
        <w:t>בחו"ש הגרב"ב</w:t>
      </w:r>
      <w:r>
        <w:rPr>
          <w:rFonts w:hint="cs"/>
          <w:rtl/>
        </w:rPr>
        <w:t xml:space="preserve"> דכל עדות של חטיפה, היא עדות שגוזל את ממון חבירו, וא"כ יש עדות גמורה שגזל את ממון חבירו, ואינה רק ראיה מכח החזקה.</w:t>
      </w:r>
      <w:bookmarkEnd w:id="18647"/>
      <w:bookmarkEnd w:id="18659"/>
    </w:p>
    <w:p w:rsidR="00E824D3" w:rsidRPr="00F651C8" w:rsidRDefault="00E824D3" w:rsidP="00E824D3">
      <w:pPr>
        <w:pStyle w:val="a3"/>
        <w:rPr>
          <w:rtl/>
        </w:rPr>
      </w:pPr>
    </w:p>
    <w:p w:rsidR="00E824D3" w:rsidRPr="000F6B46" w:rsidRDefault="00E824D3" w:rsidP="00E824D3">
      <w:pPr>
        <w:pStyle w:val="a3"/>
      </w:pPr>
      <w:bookmarkStart w:id="18660" w:name="_Toc66143879"/>
      <w:bookmarkStart w:id="18661" w:name="_Toc66172042"/>
      <w:bookmarkStart w:id="18662" w:name="_Toc66183319"/>
      <w:bookmarkStart w:id="18663" w:name="_Toc66186107"/>
      <w:bookmarkStart w:id="18664" w:name="_Toc66193573"/>
      <w:r>
        <w:rPr>
          <w:rFonts w:hint="cs"/>
          <w:rtl/>
        </w:rPr>
        <w:lastRenderedPageBreak/>
        <w:t xml:space="preserve">בי' הברכ"ש בתוס' דמדהחוטף </w:t>
      </w:r>
      <w:r w:rsidRPr="000F6B46">
        <w:rPr>
          <w:rFonts w:hint="cs"/>
          <w:rtl/>
        </w:rPr>
        <w:t>מחוייב שבועה דמכחיש את העד מוכח דהיא ודאי של הראשון</w:t>
      </w:r>
      <w:bookmarkEnd w:id="18660"/>
      <w:bookmarkEnd w:id="18661"/>
      <w:bookmarkEnd w:id="18662"/>
      <w:bookmarkEnd w:id="18663"/>
      <w:bookmarkEnd w:id="18664"/>
      <w:r w:rsidRPr="000F6B46">
        <w:rPr>
          <w:rFonts w:hint="cs"/>
          <w:rtl/>
        </w:rPr>
        <w:t xml:space="preserve"> </w:t>
      </w:r>
    </w:p>
    <w:p w:rsidR="00E824D3" w:rsidRDefault="00E824D3" w:rsidP="007E4E81">
      <w:pPr>
        <w:pStyle w:val="a0"/>
        <w:rPr>
          <w:rtl/>
        </w:rPr>
      </w:pPr>
      <w:r w:rsidRPr="000F6B46">
        <w:rPr>
          <w:rFonts w:hint="cs"/>
          <w:rtl/>
        </w:rPr>
        <w:t xml:space="preserve">וביאר </w:t>
      </w:r>
      <w:r w:rsidRPr="000F6B46">
        <w:rPr>
          <w:rStyle w:val="af9"/>
          <w:rFonts w:hint="cs"/>
          <w:rtl/>
        </w:rPr>
        <w:t>הברכ"ש</w:t>
      </w:r>
      <w:r w:rsidRPr="000F6B46">
        <w:rPr>
          <w:rFonts w:hint="cs"/>
          <w:rtl/>
        </w:rPr>
        <w:t xml:space="preserve"> </w:t>
      </w:r>
      <w:r w:rsidRPr="000F6B46">
        <w:rPr>
          <w:rStyle w:val="af7"/>
          <w:rFonts w:eastAsia="Guttman Hodes" w:hint="cs"/>
          <w:rtl/>
        </w:rPr>
        <w:t>(סי' ל"ג או' א' ד"ה והנה ראית)</w:t>
      </w:r>
      <w:r w:rsidRPr="000F6B46">
        <w:rPr>
          <w:rFonts w:hint="cs"/>
          <w:rtl/>
        </w:rPr>
        <w:t xml:space="preserve"> דכוונת </w:t>
      </w:r>
      <w:r w:rsidRPr="000F6B46">
        <w:rPr>
          <w:rStyle w:val="af9"/>
          <w:rFonts w:hint="cs"/>
          <w:rtl/>
        </w:rPr>
        <w:t xml:space="preserve">התוס' </w:t>
      </w:r>
      <w:r w:rsidRPr="000F6B46">
        <w:rPr>
          <w:rStyle w:val="af9"/>
          <w:rtl/>
        </w:rPr>
        <w:t>לקמן</w:t>
      </w:r>
      <w:r w:rsidRPr="000F6B46">
        <w:rPr>
          <w:rFonts w:hint="cs"/>
          <w:rtl/>
        </w:rPr>
        <w:t xml:space="preserve">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Ref66141973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קכג)</w:t>
      </w:r>
      <w:r>
        <w:rPr>
          <w:rStyle w:val="af7"/>
          <w:rFonts w:eastAsia="Guttman Hodes"/>
          <w:rtl/>
        </w:rPr>
        <w:fldChar w:fldCharType="end"/>
      </w:r>
      <w:r>
        <w:rPr>
          <w:rStyle w:val="af7"/>
          <w:rFonts w:eastAsia="Guttman Hodes" w:hint="cs"/>
          <w:rtl/>
        </w:rPr>
        <w:t xml:space="preserve"> </w:t>
      </w:r>
      <w:r w:rsidRPr="000F6B46">
        <w:rPr>
          <w:rFonts w:hint="cs"/>
          <w:rtl/>
        </w:rPr>
        <w:t xml:space="preserve">לומר דאי אמרינן שאי"ז ודאי שהנסכא היא של הראשון, ורק החוטף לא נאמן בטענתו, א"כ טענת החוטף אינה כנגד העד כלל, וא"כ הוא צריך להיות נאמן במיגו, דכיון שאינו מכחיש את העד לא חל עליו חיוב שבועה כלל, ואמאי אמרינן שהוא כגזלן, וכתב </w:t>
      </w:r>
      <w:r w:rsidRPr="000F6B46">
        <w:rPr>
          <w:rStyle w:val="af9"/>
          <w:rFonts w:hint="cs"/>
          <w:rtl/>
        </w:rPr>
        <w:t xml:space="preserve">הברכ"ש </w:t>
      </w:r>
      <w:r w:rsidRPr="000F6B46">
        <w:rPr>
          <w:rFonts w:hint="cs"/>
          <w:rtl/>
        </w:rPr>
        <w:t xml:space="preserve">דמזה הוכיחו </w:t>
      </w:r>
      <w:r w:rsidRPr="000F6B46">
        <w:rPr>
          <w:rStyle w:val="af9"/>
          <w:rFonts w:hint="cs"/>
          <w:rtl/>
        </w:rPr>
        <w:t xml:space="preserve">התוס' </w:t>
      </w:r>
      <w:r w:rsidRPr="000F6B46">
        <w:rPr>
          <w:rFonts w:hint="cs"/>
          <w:rtl/>
        </w:rPr>
        <w:t>דעדות על החטיפה היא עדות שהנסכא של הראשון, ולכן טענת דידי</w:t>
      </w:r>
      <w:r>
        <w:rPr>
          <w:rFonts w:hint="cs"/>
          <w:rtl/>
        </w:rPr>
        <w:t xml:space="preserve"> חטפי היא כנגד העד, וכל שמכחיש את הע"א אינו נאמן בלא שבועה, דהע"א כשנים ול"מ מיגו.</w:t>
      </w:r>
    </w:p>
    <w:p w:rsidR="00E824D3" w:rsidRPr="002B0D8A" w:rsidRDefault="00E824D3" w:rsidP="00E824D3">
      <w:pPr>
        <w:pStyle w:val="a3"/>
      </w:pPr>
      <w:bookmarkStart w:id="18665" w:name="_Toc66143880"/>
      <w:bookmarkStart w:id="18666" w:name="_Toc66172043"/>
      <w:bookmarkStart w:id="18667" w:name="_Toc66183320"/>
      <w:bookmarkStart w:id="18668" w:name="_Toc66186108"/>
      <w:bookmarkStart w:id="18669" w:name="_Toc66193574"/>
      <w:r>
        <w:rPr>
          <w:rFonts w:hint="cs"/>
          <w:rtl/>
        </w:rPr>
        <w:t>בי' הברכ"ש בתוס' דאי הנסכא של הראשון מספק ולא בודאי א"א להוציאה מהחוטף מדין ספק</w:t>
      </w:r>
      <w:bookmarkEnd w:id="18665"/>
      <w:bookmarkEnd w:id="18666"/>
      <w:bookmarkEnd w:id="18667"/>
      <w:bookmarkEnd w:id="18668"/>
      <w:bookmarkEnd w:id="18669"/>
    </w:p>
    <w:p w:rsidR="00E824D3" w:rsidRDefault="00E824D3" w:rsidP="007E4E81">
      <w:pPr>
        <w:pStyle w:val="a0"/>
        <w:rPr>
          <w:rtl/>
        </w:rPr>
      </w:pPr>
      <w:r>
        <w:rPr>
          <w:rFonts w:hint="cs"/>
          <w:rtl/>
        </w:rPr>
        <w:t xml:space="preserve">ועוד ביאר </w:t>
      </w:r>
      <w:r w:rsidRPr="00F4295A">
        <w:rPr>
          <w:rStyle w:val="af9"/>
          <w:rFonts w:hint="cs"/>
          <w:rtl/>
        </w:rPr>
        <w:t>הברכ"ש</w:t>
      </w:r>
      <w:r>
        <w:rPr>
          <w:rFonts w:hint="cs"/>
          <w:rtl/>
        </w:rPr>
        <w:t xml:space="preserve"> </w:t>
      </w:r>
      <w:r w:rsidRPr="00F4295A">
        <w:rPr>
          <w:rStyle w:val="af7"/>
          <w:rFonts w:eastAsia="Guttman Hodes" w:hint="cs"/>
          <w:rtl/>
        </w:rPr>
        <w:t>(סי' ל"</w:t>
      </w:r>
      <w:r>
        <w:rPr>
          <w:rStyle w:val="af7"/>
          <w:rFonts w:eastAsia="Guttman Hodes" w:hint="cs"/>
          <w:rtl/>
        </w:rPr>
        <w:t>ד</w:t>
      </w:r>
      <w:r w:rsidRPr="00F4295A">
        <w:rPr>
          <w:rStyle w:val="af7"/>
          <w:rFonts w:eastAsia="Guttman Hodes" w:hint="cs"/>
          <w:rtl/>
        </w:rPr>
        <w:t xml:space="preserve"> או' א' ד"ה</w:t>
      </w:r>
      <w:r>
        <w:rPr>
          <w:rStyle w:val="af7"/>
          <w:rFonts w:eastAsia="Guttman Hodes" w:hint="cs"/>
          <w:rtl/>
        </w:rPr>
        <w:t xml:space="preserve"> והנה הר"ת)</w:t>
      </w:r>
      <w:r>
        <w:rPr>
          <w:rFonts w:hint="cs"/>
          <w:rtl/>
        </w:rPr>
        <w:t xml:space="preserve"> את דברי </w:t>
      </w:r>
      <w:r w:rsidRPr="00B64C07">
        <w:rPr>
          <w:rStyle w:val="af9"/>
          <w:rFonts w:hint="cs"/>
          <w:rtl/>
        </w:rPr>
        <w:t>התוס' לקמן</w:t>
      </w:r>
      <w:r>
        <w:rPr>
          <w:rFonts w:hint="cs"/>
          <w:rtl/>
        </w:rPr>
        <w:t xml:space="preserve"> דאנו מעמידים את הנסכא ביד הראשון מדין ודאי ולא מדין ספק, דאם היה ספק, הראשון היה צריך להביא ראיה להוציא מהחוטף, דמספק א"א להוציא ממנו, אלא מוכח דחשיב ודאי דהנסכא של הראשון, וכן מוכח מלשון הגמ' דאמרינן דאינו יכול להשבע כיון שהוא כגזלן.</w:t>
      </w:r>
    </w:p>
    <w:p w:rsidR="00E824D3" w:rsidRPr="00C136B5" w:rsidRDefault="00E824D3" w:rsidP="00E824D3">
      <w:pPr>
        <w:pStyle w:val="a3"/>
      </w:pPr>
      <w:bookmarkStart w:id="18670" w:name="_Toc66143881"/>
      <w:bookmarkStart w:id="18671" w:name="_Toc66172044"/>
      <w:bookmarkStart w:id="18672" w:name="_Toc66183321"/>
      <w:bookmarkStart w:id="18673" w:name="_Toc66186109"/>
      <w:bookmarkStart w:id="18674" w:name="_Toc66193575"/>
      <w:r>
        <w:rPr>
          <w:rFonts w:hint="cs"/>
          <w:rtl/>
        </w:rPr>
        <w:t>דברי הברכ"ש דאי הנסכא של הראשון מספק א"כ המיגו אינו מכחיש את הע"א ואין שבועה כלל</w:t>
      </w:r>
      <w:bookmarkEnd w:id="18670"/>
      <w:bookmarkEnd w:id="18671"/>
      <w:bookmarkEnd w:id="18672"/>
      <w:bookmarkEnd w:id="18673"/>
      <w:bookmarkEnd w:id="18674"/>
    </w:p>
    <w:p w:rsidR="00E824D3" w:rsidRDefault="00E824D3" w:rsidP="007E4E81">
      <w:pPr>
        <w:pStyle w:val="a0"/>
        <w:rPr>
          <w:rtl/>
        </w:rPr>
      </w:pPr>
      <w:r>
        <w:rPr>
          <w:rFonts w:hint="cs"/>
          <w:rtl/>
        </w:rPr>
        <w:t xml:space="preserve">וכתב </w:t>
      </w:r>
      <w:r w:rsidRPr="009428E1">
        <w:rPr>
          <w:rStyle w:val="af9"/>
          <w:rFonts w:hint="cs"/>
          <w:rtl/>
        </w:rPr>
        <w:t>הברכ"ש</w:t>
      </w:r>
      <w:r>
        <w:rPr>
          <w:rFonts w:hint="cs"/>
          <w:rtl/>
        </w:rPr>
        <w:t xml:space="preserve"> דאי מספק מעמידים ביד הראשון, א"כ החוטף היה צריך להיות נאמן במיגו בטענת דידי חטפי, וממילא אינו מכחיש את הע"א כלל, ואינו מחייבו שבועה, ואעפ"י דבכ"מ ששנים מחייבים ממון, ע"א מחייב שבועה, מ"מ אי אמרינן דחייב לשלם את הנסכא רק מדין ספק, א"כ כל שיש לו נאמנות במיגו, אמרינן דודאי שהנסכא היא שלו, וממילא אין לו כל חיוב שבועה, וכתב </w:t>
      </w:r>
      <w:r w:rsidRPr="00B64C07">
        <w:rPr>
          <w:rStyle w:val="af9"/>
          <w:rFonts w:hint="cs"/>
          <w:rtl/>
        </w:rPr>
        <w:t>הברכ"ש</w:t>
      </w:r>
      <w:r>
        <w:rPr>
          <w:rFonts w:hint="cs"/>
          <w:rtl/>
        </w:rPr>
        <w:t xml:space="preserve"> דמזה הוכיחו </w:t>
      </w:r>
      <w:r w:rsidRPr="00B64C07">
        <w:rPr>
          <w:rStyle w:val="af9"/>
          <w:rFonts w:hint="cs"/>
          <w:rtl/>
        </w:rPr>
        <w:t>התוס' לקמן</w:t>
      </w:r>
      <w:r>
        <w:rPr>
          <w:rFonts w:hint="cs"/>
          <w:rtl/>
        </w:rPr>
        <w:t xml:space="preserve"> דכיון שהראשון תפוס בנסכא אמרינן דהיא ודאי שלו, ולכן הע"א חשיב כשנים לענין חיוב שבועה, וממילא אין החוטף נאמן בטענת דידי חטפי, </w:t>
      </w:r>
      <w:r w:rsidRPr="00020F76">
        <w:rPr>
          <w:rStyle w:val="afb"/>
          <w:rFonts w:hint="cs"/>
          <w:rtl/>
        </w:rPr>
        <w:t>[אף שיש לו מיגו],</w:t>
      </w:r>
      <w:r>
        <w:rPr>
          <w:rFonts w:hint="cs"/>
          <w:rtl/>
        </w:rPr>
        <w:t xml:space="preserve"> כיון דבכל מקום ששנים מחייבים ממון ע"א מחייב שבועה, </w:t>
      </w:r>
      <w:r w:rsidRPr="00020F76">
        <w:rPr>
          <w:rStyle w:val="afb"/>
          <w:rFonts w:hint="cs"/>
          <w:rtl/>
        </w:rPr>
        <w:t xml:space="preserve">[ועיי"ש במה שביאר </w:t>
      </w:r>
      <w:r w:rsidRPr="00020F76">
        <w:rPr>
          <w:rStyle w:val="affa"/>
          <w:rFonts w:hint="cs"/>
          <w:rtl/>
        </w:rPr>
        <w:t>הברכ"ש</w:t>
      </w:r>
      <w:r w:rsidRPr="00020F76">
        <w:rPr>
          <w:rStyle w:val="afb"/>
          <w:rFonts w:hint="cs"/>
          <w:rtl/>
        </w:rPr>
        <w:t xml:space="preserve"> לפי"</w:t>
      </w:r>
      <w:r>
        <w:rPr>
          <w:rStyle w:val="afb"/>
          <w:rFonts w:hint="cs"/>
          <w:rtl/>
        </w:rPr>
        <w:t xml:space="preserve">ז בדין עד המסייע], </w:t>
      </w:r>
      <w:r>
        <w:rPr>
          <w:rFonts w:hint="cs"/>
          <w:rtl/>
        </w:rPr>
        <w:t xml:space="preserve">והוסיף </w:t>
      </w:r>
      <w:r w:rsidRPr="009428E1">
        <w:rPr>
          <w:rStyle w:val="af9"/>
          <w:rFonts w:hint="cs"/>
          <w:rtl/>
        </w:rPr>
        <w:t>הברכ"ש</w:t>
      </w:r>
      <w:r>
        <w:rPr>
          <w:rFonts w:hint="cs"/>
          <w:rtl/>
        </w:rPr>
        <w:t xml:space="preserve"> </w:t>
      </w:r>
      <w:r w:rsidRPr="00174E59">
        <w:rPr>
          <w:rStyle w:val="af7"/>
          <w:rFonts w:eastAsia="Guttman Hodes" w:hint="cs"/>
          <w:rtl/>
        </w:rPr>
        <w:t xml:space="preserve">(סי' ל"ד או' א' ד"ה וביתר) </w:t>
      </w:r>
      <w:r>
        <w:rPr>
          <w:rFonts w:hint="cs"/>
          <w:rtl/>
        </w:rPr>
        <w:t>לבאר דאי אמרינן דמעמידים את הנסכא ביד הראשון, דע"י החזקה דמה שתח"י שלו, חשיב שכיון שהייתה בידו היא ודאי שלו, ולכן עדות הע"א היא עדות שמחייבת שבועה, דחשיב שהע"א מעיד שהנסכא הייתה של הראשון, אבל אם מעמידים את הנסכא ביד הראשון רק מדין ספק, א"כ אין כל עדות שהנסכא שלו, והעדות היא רק שהיה מעשה חטיפה, ובכה"ג א"א לחייבו שבועה.</w:t>
      </w:r>
    </w:p>
    <w:p w:rsidR="00E824D3" w:rsidRPr="00025D3C" w:rsidRDefault="00E824D3" w:rsidP="00E824D3">
      <w:pPr>
        <w:pStyle w:val="a3"/>
      </w:pPr>
      <w:bookmarkStart w:id="18675" w:name="_Toc66143882"/>
      <w:bookmarkStart w:id="18676" w:name="_Toc66172045"/>
      <w:bookmarkStart w:id="18677" w:name="_Toc66183322"/>
      <w:bookmarkStart w:id="18678" w:name="_Toc66186110"/>
      <w:bookmarkStart w:id="18679" w:name="_Toc66193576"/>
      <w:r>
        <w:rPr>
          <w:rFonts w:hint="cs"/>
          <w:rtl/>
        </w:rPr>
        <w:t>ביאור הברכ"ש דאי חזקה דמה שתח"י שלו הוא דין המע"ה א"א לחייב שבועה מדין מוחזקות</w:t>
      </w:r>
      <w:bookmarkEnd w:id="18675"/>
      <w:bookmarkEnd w:id="18676"/>
      <w:bookmarkEnd w:id="18677"/>
      <w:bookmarkEnd w:id="18678"/>
      <w:bookmarkEnd w:id="18679"/>
    </w:p>
    <w:p w:rsidR="00E824D3" w:rsidRDefault="00E824D3" w:rsidP="007E4E81">
      <w:pPr>
        <w:pStyle w:val="a0"/>
      </w:pPr>
      <w:r>
        <w:rPr>
          <w:rFonts w:hint="cs"/>
          <w:rtl/>
        </w:rPr>
        <w:t xml:space="preserve">וביאר </w:t>
      </w:r>
      <w:r w:rsidRPr="009428E1">
        <w:rPr>
          <w:rStyle w:val="af9"/>
          <w:rFonts w:hint="cs"/>
          <w:rtl/>
        </w:rPr>
        <w:t>הברכ"ש</w:t>
      </w:r>
      <w:r>
        <w:rPr>
          <w:rFonts w:hint="cs"/>
          <w:rtl/>
        </w:rPr>
        <w:t xml:space="preserve"> </w:t>
      </w:r>
      <w:r w:rsidRPr="00F4295A">
        <w:rPr>
          <w:rStyle w:val="af7"/>
          <w:rFonts w:eastAsia="Guttman Hodes" w:hint="cs"/>
          <w:rtl/>
        </w:rPr>
        <w:t>(סי' ל"</w:t>
      </w:r>
      <w:r w:rsidRPr="00A031F7">
        <w:rPr>
          <w:rStyle w:val="af7"/>
          <w:rFonts w:eastAsia="Guttman Hodes" w:hint="cs"/>
          <w:rtl/>
        </w:rPr>
        <w:t>ה או' ב' ד"ה ונסביר)</w:t>
      </w:r>
      <w:r>
        <w:rPr>
          <w:rFonts w:hint="cs"/>
          <w:rtl/>
        </w:rPr>
        <w:t xml:space="preserve"> דמדין נסכא דר"א מוכח דחזקה דמה שתח"י שלו הוא אינו רק מדין המוציא מחבירו עליו הראיה, דאי מעמידים את הנסכא ביד הראשון רק מדין מוחזקות ולא מדין ודאי, א"כ מה שהע"א מעיד על החטיפה, אינו מחייבו שבועה כלל, דכ"מ שהעד יודע שהנסכא היא של הראשון הוא רק מחמת שהייתה בידו ומדין המוציא מחבירו עליו הראיה, ואינו עד ודאי לענין הממון, ואינו יכול לחייבו שבועה, </w:t>
      </w:r>
      <w:r w:rsidRPr="007E23EC">
        <w:rPr>
          <w:rStyle w:val="afb"/>
          <w:rFonts w:hint="cs"/>
          <w:rtl/>
        </w:rPr>
        <w:t xml:space="preserve">[והביא </w:t>
      </w:r>
      <w:r w:rsidRPr="007E23EC">
        <w:rPr>
          <w:rStyle w:val="affa"/>
          <w:rFonts w:hint="cs"/>
          <w:rtl/>
        </w:rPr>
        <w:t>הברכ"ש</w:t>
      </w:r>
      <w:r w:rsidRPr="007E23EC">
        <w:rPr>
          <w:rStyle w:val="afb"/>
          <w:rFonts w:hint="cs"/>
          <w:rtl/>
        </w:rPr>
        <w:t xml:space="preserve"> דכ"כ </w:t>
      </w:r>
      <w:r w:rsidRPr="007E23EC">
        <w:rPr>
          <w:rStyle w:val="affa"/>
          <w:rFonts w:hint="cs"/>
          <w:rtl/>
        </w:rPr>
        <w:t>הנתיה"מ</w:t>
      </w:r>
      <w:r w:rsidRPr="007E23EC">
        <w:rPr>
          <w:rStyle w:val="afb"/>
          <w:rFonts w:hint="cs"/>
          <w:rtl/>
        </w:rPr>
        <w:t xml:space="preserve"> </w:t>
      </w:r>
      <w:r w:rsidRPr="007E23EC">
        <w:rPr>
          <w:rStyle w:val="aff6"/>
          <w:rFonts w:hint="cs"/>
          <w:rtl/>
        </w:rPr>
        <w:t xml:space="preserve">(סי' מ"ו סק"ה ד"ה ועוד) </w:t>
      </w:r>
      <w:r w:rsidRPr="007E23EC">
        <w:rPr>
          <w:rStyle w:val="afb"/>
          <w:rFonts w:hint="cs"/>
          <w:rtl/>
        </w:rPr>
        <w:t>דבכה"ג לא אמרינן דהוא בכלל כ"מ ששנים מחייבים ממון, ע"א מחייב שבועה, דהא חיוב הממון בכה"ג אינו מכח עדות העדים, אלא מכח החזקה],</w:t>
      </w:r>
      <w:r>
        <w:rPr>
          <w:rFonts w:hint="cs"/>
          <w:rtl/>
        </w:rPr>
        <w:t xml:space="preserve"> וכתב </w:t>
      </w:r>
      <w:r w:rsidRPr="007071A9">
        <w:rPr>
          <w:rStyle w:val="af9"/>
          <w:rFonts w:hint="cs"/>
          <w:rtl/>
        </w:rPr>
        <w:t>הברכ"ש</w:t>
      </w:r>
      <w:r>
        <w:rPr>
          <w:rFonts w:hint="cs"/>
          <w:rtl/>
        </w:rPr>
        <w:t xml:space="preserve"> דכיון שהע"א מחייבו שבועה, מזה הוכיחו </w:t>
      </w:r>
      <w:r w:rsidRPr="007071A9">
        <w:rPr>
          <w:rStyle w:val="af9"/>
          <w:rFonts w:hint="cs"/>
          <w:rtl/>
        </w:rPr>
        <w:t>התוס' לקמן</w:t>
      </w:r>
      <w:r>
        <w:rPr>
          <w:rFonts w:hint="cs"/>
          <w:rtl/>
        </w:rPr>
        <w:t xml:space="preserve"> דהנסכא היא של הראשון מדין ודאי, ואף שטוען דידי חטפי אינו נאמן להחשיב את עדות הע"א שהנסכא של הראשון לספק.</w:t>
      </w:r>
    </w:p>
    <w:p w:rsidR="00E824D3" w:rsidRDefault="00E824D3" w:rsidP="00E824D3">
      <w:pPr>
        <w:pStyle w:val="a3"/>
        <w:rPr>
          <w:rtl/>
        </w:rPr>
      </w:pPr>
      <w:bookmarkStart w:id="18680" w:name="_Toc66143883"/>
      <w:bookmarkStart w:id="18681" w:name="_Toc66172046"/>
      <w:bookmarkStart w:id="18682" w:name="_Toc66183323"/>
      <w:bookmarkStart w:id="18683" w:name="_Toc66186111"/>
      <w:bookmarkStart w:id="18684" w:name="_Toc66193577"/>
      <w:r>
        <w:rPr>
          <w:rFonts w:hint="cs"/>
          <w:rtl/>
        </w:rPr>
        <w:t>ביאור הגרב"ב דאי עדות חטיפה היא עדות על החזקה אין הע"א יכול לחייב שבועה מדין חזקה</w:t>
      </w:r>
      <w:bookmarkEnd w:id="18680"/>
      <w:bookmarkEnd w:id="18681"/>
      <w:bookmarkEnd w:id="18682"/>
      <w:bookmarkEnd w:id="18683"/>
      <w:bookmarkEnd w:id="18684"/>
    </w:p>
    <w:p w:rsidR="00E824D3" w:rsidRPr="003D4D3B" w:rsidRDefault="00E824D3" w:rsidP="007E4E81">
      <w:pPr>
        <w:pStyle w:val="a0"/>
        <w:rPr>
          <w:rStyle w:val="afb"/>
          <w:rtl/>
        </w:rPr>
      </w:pPr>
      <w:r>
        <w:rPr>
          <w:rStyle w:val="af9"/>
          <w:rFonts w:hint="cs"/>
          <w:rtl/>
        </w:rPr>
        <w:t>ו</w:t>
      </w:r>
      <w:r w:rsidRPr="00214983">
        <w:rPr>
          <w:rStyle w:val="af9"/>
          <w:rFonts w:hint="cs"/>
          <w:rtl/>
        </w:rPr>
        <w:t>בחו"ש הגרב"ב</w:t>
      </w:r>
      <w:r>
        <w:rPr>
          <w:rFonts w:hint="cs"/>
          <w:rtl/>
        </w:rPr>
        <w:t xml:space="preserve"> </w:t>
      </w:r>
      <w:r w:rsidRPr="00DA5FD0">
        <w:rPr>
          <w:rStyle w:val="af7"/>
          <w:rFonts w:eastAsia="Guttman Hodes" w:hint="cs"/>
          <w:rtl/>
        </w:rPr>
        <w:t xml:space="preserve">(ח"א סי' י"ג ד"ה ועי' בשיעורי) </w:t>
      </w:r>
      <w:r>
        <w:rPr>
          <w:rFonts w:hint="cs"/>
          <w:rtl/>
        </w:rPr>
        <w:t xml:space="preserve">הוסיף לבאר דכוונת </w:t>
      </w:r>
      <w:r w:rsidRPr="003D4D3B">
        <w:rPr>
          <w:rStyle w:val="af9"/>
          <w:rFonts w:hint="cs"/>
          <w:rtl/>
        </w:rPr>
        <w:t xml:space="preserve">התוס' </w:t>
      </w:r>
      <w:r w:rsidRPr="000C4239">
        <w:rPr>
          <w:rStyle w:val="af9"/>
          <w:rtl/>
        </w:rPr>
        <w:t>לקמן</w:t>
      </w:r>
      <w:r>
        <w:rPr>
          <w:rFonts w:hint="cs"/>
          <w:rtl/>
        </w:rPr>
        <w:t xml:space="preserve"> לומר דאי נימא </w:t>
      </w:r>
      <w:r w:rsidRPr="00D82F6C">
        <w:rPr>
          <w:rStyle w:val="af9"/>
          <w:rFonts w:hint="cs"/>
          <w:rtl/>
        </w:rPr>
        <w:t>כהצד הא' בגרב"ב</w:t>
      </w:r>
      <w:r>
        <w:rPr>
          <w:rFonts w:hint="cs"/>
          <w:rtl/>
        </w:rPr>
        <w:t xml:space="preserve"> </w:t>
      </w:r>
      <w:r w:rsidRPr="00D82F6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Ref66141973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קכג)</w:t>
      </w:r>
      <w:r>
        <w:rPr>
          <w:rStyle w:val="af7"/>
          <w:rFonts w:eastAsia="Guttman Hodes"/>
          <w:rtl/>
        </w:rPr>
        <w:fldChar w:fldCharType="end"/>
      </w:r>
      <w:r w:rsidRPr="00D82F6C">
        <w:rPr>
          <w:rStyle w:val="af7"/>
          <w:rFonts w:eastAsia="Guttman Hodes" w:hint="cs"/>
          <w:rtl/>
        </w:rPr>
        <w:t xml:space="preserve"> </w:t>
      </w:r>
      <w:r>
        <w:rPr>
          <w:rFonts w:hint="cs"/>
          <w:rtl/>
        </w:rPr>
        <w:t xml:space="preserve">דעדות על חטיפה, </w:t>
      </w:r>
      <w:r>
        <w:rPr>
          <w:rFonts w:hint="cs"/>
          <w:rtl/>
        </w:rPr>
        <w:t xml:space="preserve">אינה עדות על גזילת ממון, ורק מכח החזקה דמה שתח"י שלו, אנו יודעים שהוא גזל את ממון חבירו, א"כ א"א לומר שהוא מחוייב שבועה, דהא ע"א מחייב שבועה רק בעדות שב' עדים מחייבים ממון, ואי בב' עדים על חטיפה, יש חיוב ממון רק מכח החזקה דמה שתח"י שלו הוא, א"כ א"א לומר דע"א על חטיפה מחייב שבועה, דהא החזקה מחייבת את השבועה ולא העד, ואף אם היה החוטף מכחיש את העד וטוען לא חטפי, לא חשיב שהעד מחייבו שבועה. </w:t>
      </w:r>
      <w:r w:rsidRPr="003D4D3B">
        <w:rPr>
          <w:rStyle w:val="afb"/>
          <w:rFonts w:hint="cs"/>
          <w:rtl/>
        </w:rPr>
        <w:t xml:space="preserve">[וכתב </w:t>
      </w:r>
      <w:r w:rsidRPr="003D4D3B">
        <w:rPr>
          <w:rStyle w:val="affa"/>
          <w:rFonts w:hint="cs"/>
          <w:rtl/>
        </w:rPr>
        <w:t>בחו"ש הגרב"ב</w:t>
      </w:r>
      <w:r w:rsidRPr="003D4D3B">
        <w:rPr>
          <w:rStyle w:val="afb"/>
          <w:rFonts w:hint="cs"/>
          <w:rtl/>
        </w:rPr>
        <w:t xml:space="preserve"> דכן מבואר מדברי </w:t>
      </w:r>
      <w:r w:rsidRPr="003D4D3B">
        <w:rPr>
          <w:rStyle w:val="affa"/>
          <w:rFonts w:hint="cs"/>
          <w:rtl/>
        </w:rPr>
        <w:t>הנתיה"מ</w:t>
      </w:r>
      <w:r w:rsidRPr="003D4D3B">
        <w:rPr>
          <w:rStyle w:val="afb"/>
          <w:rFonts w:hint="cs"/>
          <w:rtl/>
        </w:rPr>
        <w:t xml:space="preserve"> </w:t>
      </w:r>
      <w:r w:rsidRPr="003D4D3B">
        <w:rPr>
          <w:rStyle w:val="aff6"/>
          <w:rFonts w:hint="cs"/>
          <w:rtl/>
        </w:rPr>
        <w:t>(סי' מ</w:t>
      </w:r>
      <w:r>
        <w:rPr>
          <w:rStyle w:val="aff6"/>
          <w:rFonts w:hint="cs"/>
          <w:rtl/>
        </w:rPr>
        <w:t>"</w:t>
      </w:r>
      <w:r w:rsidRPr="003D4D3B">
        <w:rPr>
          <w:rStyle w:val="aff6"/>
          <w:rFonts w:hint="cs"/>
          <w:rtl/>
        </w:rPr>
        <w:t>ו סק"ה)</w:t>
      </w:r>
      <w:r w:rsidRPr="003D4D3B">
        <w:rPr>
          <w:rStyle w:val="afb"/>
          <w:rFonts w:hint="cs"/>
          <w:rtl/>
        </w:rPr>
        <w:t xml:space="preserve"> דהא דע"א מחייב שבועה הוא רק במקום שבא לחייב ממון, עיי"ש בדבריו].</w:t>
      </w:r>
    </w:p>
    <w:p w:rsidR="00E824D3" w:rsidRPr="001524AD" w:rsidRDefault="00E824D3" w:rsidP="00E824D3">
      <w:pPr>
        <w:pStyle w:val="a3"/>
        <w:rPr>
          <w:rtl/>
        </w:rPr>
      </w:pPr>
      <w:bookmarkStart w:id="18685" w:name="_Toc66143884"/>
      <w:bookmarkStart w:id="18686" w:name="_Toc66172047"/>
      <w:bookmarkStart w:id="18687" w:name="_Toc66183324"/>
      <w:bookmarkStart w:id="18688" w:name="_Toc66186112"/>
      <w:bookmarkStart w:id="18689" w:name="_Toc66193578"/>
      <w:r>
        <w:rPr>
          <w:rFonts w:hint="cs"/>
          <w:rtl/>
        </w:rPr>
        <w:t>ביאור הגרב"ב בתוס' דמוכח בסוגיין דעדות חטיפה היא עדות על גזל ממון ולכן חייב שבועה</w:t>
      </w:r>
      <w:bookmarkEnd w:id="18685"/>
      <w:bookmarkEnd w:id="18686"/>
      <w:bookmarkEnd w:id="18687"/>
      <w:bookmarkEnd w:id="18688"/>
      <w:bookmarkEnd w:id="18689"/>
    </w:p>
    <w:p w:rsidR="00E824D3" w:rsidRDefault="00E824D3" w:rsidP="007E4E81">
      <w:pPr>
        <w:pStyle w:val="a0"/>
        <w:rPr>
          <w:rtl/>
        </w:rPr>
      </w:pPr>
      <w:r>
        <w:rPr>
          <w:rFonts w:hint="cs"/>
          <w:rtl/>
        </w:rPr>
        <w:t xml:space="preserve">וכתב </w:t>
      </w:r>
      <w:r w:rsidRPr="00214983">
        <w:rPr>
          <w:rStyle w:val="af9"/>
          <w:rFonts w:hint="cs"/>
          <w:rtl/>
        </w:rPr>
        <w:t xml:space="preserve">בחו"ש הגרב"ב </w:t>
      </w:r>
      <w:r>
        <w:rPr>
          <w:rFonts w:hint="cs"/>
          <w:rtl/>
        </w:rPr>
        <w:t xml:space="preserve">דזו כוונת </w:t>
      </w:r>
      <w:r w:rsidRPr="003D4D3B">
        <w:rPr>
          <w:rStyle w:val="af9"/>
          <w:rFonts w:hint="cs"/>
          <w:rtl/>
        </w:rPr>
        <w:t xml:space="preserve">התוס' </w:t>
      </w:r>
      <w:r>
        <w:rPr>
          <w:rFonts w:hint="cs"/>
          <w:rtl/>
        </w:rPr>
        <w:t xml:space="preserve">להוכיח דמהא דאמרינן בסוגיין, שהוא מחוייב שבועה שאינו יכול להשבע, א"כ מבואר </w:t>
      </w:r>
      <w:r w:rsidRPr="00D82F6C">
        <w:rPr>
          <w:rStyle w:val="af9"/>
          <w:rFonts w:hint="cs"/>
          <w:rtl/>
        </w:rPr>
        <w:t>כהצד ה</w:t>
      </w:r>
      <w:r>
        <w:rPr>
          <w:rStyle w:val="af9"/>
          <w:rFonts w:hint="cs"/>
          <w:rtl/>
        </w:rPr>
        <w:t>ב</w:t>
      </w:r>
      <w:r w:rsidRPr="00D82F6C">
        <w:rPr>
          <w:rStyle w:val="af9"/>
          <w:rFonts w:hint="cs"/>
          <w:rtl/>
        </w:rPr>
        <w:t>' בגרב"ב</w:t>
      </w:r>
      <w:r>
        <w:rPr>
          <w:rFonts w:hint="cs"/>
          <w:rtl/>
        </w:rPr>
        <w:t xml:space="preserve"> </w:t>
      </w:r>
      <w:r w:rsidRPr="00D82F6C">
        <w:rPr>
          <w:rStyle w:val="af7"/>
          <w:rFonts w:eastAsia="Guttman Hodes" w:hint="cs"/>
          <w:rtl/>
        </w:rPr>
        <w:t>(עי' אות</w:t>
      </w:r>
      <w:r>
        <w:rPr>
          <w:rStyle w:val="af7"/>
          <w:rFonts w:eastAsia="Guttman Hodes" w:hint="cs"/>
          <w:rtl/>
        </w:rPr>
        <w:t xml:space="preserve">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Ref66141973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sidR="00265073">
        <w:rPr>
          <w:rStyle w:val="af7"/>
          <w:rFonts w:eastAsia="Guttman Hodes"/>
          <w:cs/>
        </w:rPr>
        <w:t>‎</w:t>
      </w:r>
      <w:r w:rsidR="00265073">
        <w:rPr>
          <w:rStyle w:val="af7"/>
          <w:rFonts w:eastAsia="Guttman Hodes"/>
          <w:rtl/>
        </w:rPr>
        <w:t>קכג)</w:t>
      </w:r>
      <w:r>
        <w:rPr>
          <w:rStyle w:val="af7"/>
          <w:rFonts w:eastAsia="Guttman Hodes"/>
          <w:rtl/>
        </w:rPr>
        <w:fldChar w:fldCharType="end"/>
      </w:r>
      <w:r w:rsidRPr="00D82F6C">
        <w:rPr>
          <w:rStyle w:val="af7"/>
          <w:rFonts w:eastAsia="Guttman Hodes" w:hint="cs"/>
          <w:rtl/>
        </w:rPr>
        <w:t xml:space="preserve"> </w:t>
      </w:r>
      <w:r>
        <w:rPr>
          <w:rFonts w:hint="cs"/>
          <w:rtl/>
        </w:rPr>
        <w:t xml:space="preserve">דעדות חטיפה היא עדות גזל, וזהו הביאור במ"ש </w:t>
      </w:r>
      <w:r w:rsidRPr="003D4D3B">
        <w:rPr>
          <w:rStyle w:val="af9"/>
          <w:rFonts w:hint="cs"/>
          <w:rtl/>
        </w:rPr>
        <w:t xml:space="preserve">התוס' </w:t>
      </w:r>
      <w:r w:rsidRPr="000C4239">
        <w:rPr>
          <w:rFonts w:hint="cs"/>
          <w:rtl/>
        </w:rPr>
        <w:t xml:space="preserve">דמהא דבטוען דידי חטפי חשיב כגזלן, </w:t>
      </w:r>
      <w:r>
        <w:rPr>
          <w:rFonts w:hint="cs"/>
          <w:rtl/>
        </w:rPr>
        <w:t xml:space="preserve">מבואר </w:t>
      </w:r>
      <w:r w:rsidRPr="000C4239">
        <w:rPr>
          <w:rFonts w:hint="cs"/>
          <w:rtl/>
        </w:rPr>
        <w:t>דצריך להעמיד כל דבר בחזקת מי שהוא בידו,</w:t>
      </w:r>
      <w:r>
        <w:rPr>
          <w:rFonts w:hint="cs"/>
          <w:rtl/>
        </w:rPr>
        <w:t xml:space="preserve"> </w:t>
      </w:r>
      <w:r w:rsidRPr="000C4239">
        <w:rPr>
          <w:rFonts w:hint="cs"/>
          <w:rtl/>
        </w:rPr>
        <w:t>ולכן הוא חייב לשלם, כאילו ברור לנו שהנסכא היא של מי שהיה מוחזק בה</w:t>
      </w:r>
      <w:r>
        <w:rPr>
          <w:rFonts w:hint="cs"/>
          <w:rtl/>
        </w:rPr>
        <w:t xml:space="preserve">. </w:t>
      </w:r>
    </w:p>
    <w:p w:rsidR="00E824D3" w:rsidRPr="00B40965" w:rsidRDefault="00E824D3" w:rsidP="00E824D3">
      <w:pPr>
        <w:pStyle w:val="afe"/>
        <w:rPr>
          <w:rtl/>
        </w:rPr>
      </w:pPr>
      <w:bookmarkStart w:id="18690" w:name="_Toc66183325"/>
      <w:bookmarkStart w:id="18691" w:name="_Toc66186113"/>
      <w:bookmarkStart w:id="18692" w:name="_Toc66193579"/>
      <w:r>
        <w:rPr>
          <w:rFonts w:hint="cs"/>
          <w:rtl/>
        </w:rPr>
        <w:t>קו' הגר"ח דיעשה חשוד ע"י הבע"ד</w:t>
      </w:r>
      <w:bookmarkEnd w:id="18648"/>
      <w:bookmarkEnd w:id="18649"/>
      <w:bookmarkEnd w:id="18650"/>
      <w:bookmarkEnd w:id="18690"/>
      <w:bookmarkEnd w:id="18691"/>
      <w:bookmarkEnd w:id="18692"/>
    </w:p>
    <w:p w:rsidR="00E824D3" w:rsidRDefault="00E824D3" w:rsidP="00E824D3">
      <w:pPr>
        <w:pStyle w:val="1"/>
        <w:rPr>
          <w:rtl/>
        </w:rPr>
      </w:pPr>
      <w:bookmarkStart w:id="18693" w:name="_Toc66123405"/>
      <w:bookmarkStart w:id="18694" w:name="_Toc66143905"/>
      <w:bookmarkStart w:id="18695" w:name="_Toc66172079"/>
      <w:bookmarkStart w:id="18696" w:name="_Toc66183326"/>
      <w:bookmarkStart w:id="18697" w:name="_Toc66186114"/>
      <w:bookmarkStart w:id="18698" w:name="_Toc66193580"/>
      <w:r>
        <w:rPr>
          <w:rFonts w:hint="cs"/>
          <w:rtl/>
        </w:rPr>
        <w:t>דברי הגר"ח דנח' רב ושמואל ור"א אי נעשה חשוד ע"י הבע"ד</w:t>
      </w:r>
      <w:bookmarkEnd w:id="18693"/>
      <w:bookmarkEnd w:id="18694"/>
      <w:bookmarkEnd w:id="18695"/>
      <w:bookmarkEnd w:id="18696"/>
      <w:bookmarkEnd w:id="18697"/>
      <w:bookmarkEnd w:id="18698"/>
    </w:p>
    <w:p w:rsidR="00E824D3" w:rsidRPr="00FC49EC" w:rsidRDefault="00E824D3" w:rsidP="00E824D3">
      <w:pPr>
        <w:pStyle w:val="a3"/>
        <w:rPr>
          <w:rtl/>
        </w:rPr>
      </w:pPr>
      <w:bookmarkStart w:id="18699" w:name="_Toc66123406"/>
      <w:bookmarkStart w:id="18700" w:name="_Toc66143906"/>
      <w:bookmarkStart w:id="18701" w:name="_Toc66172080"/>
      <w:bookmarkStart w:id="18702" w:name="_Toc66183327"/>
      <w:bookmarkStart w:id="18703" w:name="_Toc66186115"/>
      <w:bookmarkStart w:id="18704" w:name="_Toc66193581"/>
      <w:r>
        <w:rPr>
          <w:rFonts w:hint="cs"/>
          <w:rtl/>
        </w:rPr>
        <w:t>קו' הגר"ח דהבע"ד יצטרף לעד לפוסלו משבועה ולא שייך בזה משאיל"מ ומדינא חייב או פטור</w:t>
      </w:r>
      <w:bookmarkEnd w:id="18699"/>
      <w:bookmarkEnd w:id="18700"/>
      <w:bookmarkEnd w:id="18701"/>
      <w:bookmarkEnd w:id="18702"/>
      <w:bookmarkEnd w:id="18703"/>
      <w:bookmarkEnd w:id="18704"/>
      <w:r>
        <w:rPr>
          <w:rFonts w:hint="cs"/>
          <w:rtl/>
        </w:rPr>
        <w:t xml:space="preserve"> </w:t>
      </w:r>
    </w:p>
    <w:p w:rsidR="00E824D3" w:rsidRDefault="00E824D3" w:rsidP="007E4E81">
      <w:pPr>
        <w:pStyle w:val="a0"/>
        <w:rPr>
          <w:rtl/>
        </w:rPr>
      </w:pPr>
      <w:r>
        <w:rPr>
          <w:rFonts w:hint="cs"/>
          <w:rtl/>
        </w:rPr>
        <w:t xml:space="preserve">הקשה </w:t>
      </w:r>
      <w:r w:rsidRPr="002D72FE">
        <w:rPr>
          <w:rStyle w:val="af9"/>
          <w:rFonts w:hint="cs"/>
          <w:rtl/>
        </w:rPr>
        <w:t>בחי' הגר"ח על הש</w:t>
      </w:r>
      <w:r w:rsidRPr="002D72FE">
        <w:rPr>
          <w:rStyle w:val="af9"/>
          <w:rtl/>
        </w:rPr>
        <w:t>"</w:t>
      </w:r>
      <w:r w:rsidRPr="002D72FE">
        <w:rPr>
          <w:rStyle w:val="af9"/>
          <w:rFonts w:hint="cs"/>
          <w:rtl/>
        </w:rPr>
        <w:t xml:space="preserve">ס </w:t>
      </w:r>
      <w:r w:rsidRPr="002D72FE">
        <w:rPr>
          <w:rStyle w:val="af7"/>
          <w:rFonts w:eastAsia="Guttman Hodes" w:hint="cs"/>
          <w:rtl/>
        </w:rPr>
        <w:t>(ד"ה ונראה</w:t>
      </w:r>
      <w:r w:rsidRPr="002D72FE">
        <w:rPr>
          <w:rStyle w:val="af7"/>
          <w:rFonts w:eastAsia="Guttman Hodes"/>
          <w:rtl/>
        </w:rPr>
        <w:t xml:space="preserve"> </w:t>
      </w:r>
      <w:r w:rsidRPr="002D72FE">
        <w:rPr>
          <w:rStyle w:val="af7"/>
          <w:rFonts w:eastAsia="Guttman Hodes" w:hint="cs"/>
          <w:rtl/>
        </w:rPr>
        <w:t>ליישב את, [מהדו' ישנה או' רפ"ו], שיעורי הגר"ח על ב"ב ד"ה ונראה</w:t>
      </w:r>
      <w:r w:rsidRPr="002D72FE">
        <w:rPr>
          <w:rStyle w:val="af7"/>
          <w:rFonts w:eastAsia="Guttman Hodes"/>
          <w:rtl/>
        </w:rPr>
        <w:t xml:space="preserve"> </w:t>
      </w:r>
      <w:r w:rsidRPr="002D72FE">
        <w:rPr>
          <w:rStyle w:val="af7"/>
          <w:rFonts w:eastAsia="Guttman Hodes" w:hint="cs"/>
          <w:rtl/>
        </w:rPr>
        <w:t>ליישב דעת)</w:t>
      </w:r>
      <w:r w:rsidRPr="002D72FE">
        <w:rPr>
          <w:rStyle w:val="af9"/>
          <w:rFonts w:hint="cs"/>
          <w:rtl/>
        </w:rPr>
        <w:t xml:space="preserve"> </w:t>
      </w:r>
      <w:r>
        <w:rPr>
          <w:rFonts w:hint="cs"/>
          <w:rtl/>
        </w:rPr>
        <w:t>דהא דחשוד לממון אינו חשוד לשבועה, [</w:t>
      </w:r>
      <w:r w:rsidRPr="00394C08">
        <w:rPr>
          <w:rStyle w:val="afb"/>
          <w:rFonts w:hint="cs"/>
          <w:rtl/>
        </w:rPr>
        <w:t>בכל אופן שמכחיש ע"א],</w:t>
      </w:r>
      <w:r>
        <w:rPr>
          <w:rFonts w:hint="cs"/>
          <w:rtl/>
        </w:rPr>
        <w:t xml:space="preserve"> היינו רק כשהוא חשוד, אבל בגזלן גמור כתבו </w:t>
      </w:r>
      <w:r w:rsidRPr="00394C08">
        <w:rPr>
          <w:rStyle w:val="af9"/>
          <w:rFonts w:hint="cs"/>
          <w:rtl/>
        </w:rPr>
        <w:t>התוס' בב"מ</w:t>
      </w:r>
      <w:r>
        <w:rPr>
          <w:rFonts w:hint="cs"/>
          <w:rtl/>
        </w:rPr>
        <w:t xml:space="preserve"> </w:t>
      </w:r>
      <w:r w:rsidRPr="00394C08">
        <w:rPr>
          <w:rStyle w:val="af7"/>
          <w:rFonts w:eastAsia="Guttman Hodes" w:hint="cs"/>
          <w:rtl/>
        </w:rPr>
        <w:t>(ג: ד"ה דחשיד)</w:t>
      </w:r>
      <w:r>
        <w:rPr>
          <w:rFonts w:hint="cs"/>
          <w:rtl/>
        </w:rPr>
        <w:t xml:space="preserve"> דודאי שהוא פסול, וא"כ הכא אמאי אינו פסול לשבועה, ע"י שבעל הנסכא יצטרף לע"א ויעידו שהוא גזלן, </w:t>
      </w:r>
      <w:r w:rsidRPr="007C5A7D">
        <w:rPr>
          <w:rStyle w:val="afb"/>
          <w:rFonts w:hint="cs"/>
          <w:rtl/>
        </w:rPr>
        <w:t xml:space="preserve">[כדאיתא בסנהדרין </w:t>
      </w:r>
      <w:r w:rsidRPr="007C5A7D">
        <w:rPr>
          <w:rStyle w:val="aff6"/>
          <w:rFonts w:hint="cs"/>
          <w:rtl/>
        </w:rPr>
        <w:t>(כה.)</w:t>
      </w:r>
      <w:r w:rsidRPr="007C5A7D">
        <w:rPr>
          <w:rStyle w:val="afb"/>
          <w:rFonts w:hint="cs"/>
          <w:rtl/>
        </w:rPr>
        <w:t xml:space="preserve"> דהבעל דבר נאמן לומר לדידי הלוה פלוני ברבית, ולפוסלו לעדות],</w:t>
      </w:r>
      <w:r>
        <w:rPr>
          <w:rFonts w:hint="cs"/>
          <w:rtl/>
        </w:rPr>
        <w:t xml:space="preserve"> והיאך שייך לומר דמתחייב שבועה עפ"י הע"א, דהא כיון שיש ע"א שחטף א"כ ודאי שהוא גזלן, </w:t>
      </w:r>
      <w:r w:rsidRPr="006D2F41">
        <w:rPr>
          <w:rStyle w:val="afb"/>
          <w:rFonts w:hint="cs"/>
          <w:rtl/>
        </w:rPr>
        <w:t>[וא"א לומר שהוא משתמט מלשלם, כמו בכל כופר ממון בע"א],</w:t>
      </w:r>
      <w:r>
        <w:rPr>
          <w:rFonts w:hint="cs"/>
          <w:rtl/>
        </w:rPr>
        <w:t xml:space="preserve"> והיאך הוא מתחייב שבועה כשהוא חשוד, וביאר </w:t>
      </w:r>
      <w:r w:rsidRPr="00CD741A">
        <w:rPr>
          <w:rStyle w:val="af9"/>
          <w:rFonts w:hint="cs"/>
          <w:rtl/>
        </w:rPr>
        <w:t>הגר"ח</w:t>
      </w:r>
      <w:r>
        <w:rPr>
          <w:rFonts w:hint="cs"/>
          <w:rtl/>
        </w:rPr>
        <w:t xml:space="preserve"> דלדעת ר"א דאמרינן מתוך שאינו יכול לישבע משלם, קשה שיתחייב לשלם, ולרב ושמואל קשה שיפטר מהשבועה, ועי' במ"ש </w:t>
      </w:r>
      <w:r w:rsidRPr="00CD741A">
        <w:rPr>
          <w:rStyle w:val="af9"/>
          <w:rFonts w:hint="cs"/>
          <w:rtl/>
        </w:rPr>
        <w:t xml:space="preserve">הקוב"ש </w:t>
      </w:r>
      <w:r w:rsidRPr="00CD741A">
        <w:rPr>
          <w:rStyle w:val="af7"/>
          <w:rFonts w:eastAsia="Guttman Hodes" w:hint="cs"/>
          <w:rtl/>
        </w:rPr>
        <w:t>(או' קמ"ט)</w:t>
      </w:r>
      <w:r>
        <w:rPr>
          <w:rFonts w:hint="cs"/>
          <w:rtl/>
        </w:rPr>
        <w:t xml:space="preserve"> בזה.</w:t>
      </w:r>
    </w:p>
    <w:p w:rsidR="00E824D3" w:rsidRPr="00274DC6" w:rsidRDefault="00E824D3" w:rsidP="00E824D3">
      <w:pPr>
        <w:pStyle w:val="a3"/>
        <w:rPr>
          <w:rtl/>
        </w:rPr>
      </w:pPr>
      <w:bookmarkStart w:id="18705" w:name="_Toc66123407"/>
      <w:bookmarkStart w:id="18706" w:name="_Toc66143907"/>
      <w:bookmarkStart w:id="18707" w:name="_Toc66172081"/>
      <w:bookmarkStart w:id="18708" w:name="_Toc66183328"/>
      <w:bookmarkStart w:id="18709" w:name="_Toc66186116"/>
      <w:bookmarkStart w:id="18710" w:name="_Toc66193582"/>
      <w:r>
        <w:rPr>
          <w:rFonts w:hint="cs"/>
          <w:rtl/>
        </w:rPr>
        <w:t>דברי הגר"ח דלחיוב תשלומין הבע"ד לא נאמן לחייבו לשלם לעצמו אך לשבועה אפש"ל דנאמן</w:t>
      </w:r>
      <w:bookmarkEnd w:id="18705"/>
      <w:bookmarkEnd w:id="18706"/>
      <w:bookmarkEnd w:id="18707"/>
      <w:bookmarkEnd w:id="18708"/>
      <w:bookmarkEnd w:id="18709"/>
      <w:bookmarkEnd w:id="18710"/>
    </w:p>
    <w:p w:rsidR="00E824D3" w:rsidRDefault="00E824D3" w:rsidP="007E4E81">
      <w:pPr>
        <w:pStyle w:val="a0"/>
        <w:rPr>
          <w:rtl/>
        </w:rPr>
      </w:pPr>
      <w:r>
        <w:rPr>
          <w:rFonts w:hint="cs"/>
          <w:rtl/>
        </w:rPr>
        <w:t xml:space="preserve">וכתב </w:t>
      </w:r>
      <w:r w:rsidRPr="002D72FE">
        <w:rPr>
          <w:rStyle w:val="af9"/>
          <w:rFonts w:hint="cs"/>
          <w:rtl/>
        </w:rPr>
        <w:t>בחי' הגר"ח על הש</w:t>
      </w:r>
      <w:r w:rsidRPr="002D72FE">
        <w:rPr>
          <w:rStyle w:val="af9"/>
          <w:rtl/>
        </w:rPr>
        <w:t>"</w:t>
      </w:r>
      <w:r w:rsidRPr="002D72FE">
        <w:rPr>
          <w:rStyle w:val="af9"/>
          <w:rFonts w:hint="cs"/>
          <w:rtl/>
        </w:rPr>
        <w:t xml:space="preserve">ס </w:t>
      </w:r>
      <w:r>
        <w:rPr>
          <w:rFonts w:hint="cs"/>
          <w:rtl/>
        </w:rPr>
        <w:t xml:space="preserve">דכ"מ דהבע"ד יכול להצטרף לע"א לפוסלו, הוא מדין פלגינן דאנו מקבלים את עדות הבע"ד שחטף, ואין מקבלים את מה שאמר שחטף ממנו, וכתב </w:t>
      </w:r>
      <w:r w:rsidRPr="00E95AD7">
        <w:rPr>
          <w:rStyle w:val="af9"/>
          <w:rFonts w:hint="cs"/>
          <w:rtl/>
        </w:rPr>
        <w:t>הגר"ח</w:t>
      </w:r>
      <w:r>
        <w:rPr>
          <w:rFonts w:hint="cs"/>
          <w:rtl/>
        </w:rPr>
        <w:t xml:space="preserve"> דא"כ לענין חיוב התשלומין, ודאי שא"א לחייבו לשלם לבע"ד ממון, דהבע"ד נאמן לומר שגזל מאחר ולא ממנו, ואי הוא מתחייב לשלם לבע"ד עצמו א"א לקבל את עדות הבע"ד, אך כתב </w:t>
      </w:r>
      <w:r w:rsidRPr="00E95AD7">
        <w:rPr>
          <w:rStyle w:val="af9"/>
          <w:rFonts w:hint="cs"/>
          <w:rtl/>
        </w:rPr>
        <w:t>הגר"ח</w:t>
      </w:r>
      <w:r>
        <w:rPr>
          <w:rFonts w:hint="cs"/>
          <w:rtl/>
        </w:rPr>
        <w:t xml:space="preserve"> דלענין חיוב השבועה, עדיין הוא נחשב כגזלן, דבין אם גזל מהבע"ד ובין אם גזל מאחר, הוא חשוד לשבועה, </w:t>
      </w:r>
      <w:r w:rsidRPr="000C687E">
        <w:rPr>
          <w:rStyle w:val="afb"/>
          <w:rFonts w:hint="cs"/>
          <w:rtl/>
        </w:rPr>
        <w:t>[ולכן הבע"ד יכול להצטרף עם הע"א לפוסלו],</w:t>
      </w:r>
      <w:r>
        <w:rPr>
          <w:rFonts w:hint="cs"/>
          <w:rtl/>
        </w:rPr>
        <w:t xml:space="preserve"> והיאך יכול להשבע להכחיש את העד.</w:t>
      </w:r>
    </w:p>
    <w:p w:rsidR="00E824D3" w:rsidRDefault="00E824D3" w:rsidP="00E824D3">
      <w:pPr>
        <w:pStyle w:val="a3"/>
        <w:rPr>
          <w:rtl/>
        </w:rPr>
      </w:pPr>
      <w:bookmarkStart w:id="18711" w:name="_Toc66123408"/>
      <w:bookmarkStart w:id="18712" w:name="_Toc66143908"/>
      <w:bookmarkStart w:id="18713" w:name="_Toc66172082"/>
      <w:bookmarkStart w:id="18714" w:name="_Toc66183329"/>
      <w:bookmarkStart w:id="18715" w:name="_Toc66186117"/>
      <w:bookmarkStart w:id="18716" w:name="_Toc66193583"/>
      <w:r>
        <w:rPr>
          <w:rFonts w:hint="cs"/>
          <w:rtl/>
        </w:rPr>
        <w:t>תירוץ הגר"ח דלר"א דאמרינן משאיל"מ ואינו חשוד לממון לכן אינו חשוד אף לשבועה</w:t>
      </w:r>
      <w:bookmarkEnd w:id="18711"/>
      <w:bookmarkEnd w:id="18712"/>
      <w:bookmarkEnd w:id="18713"/>
      <w:bookmarkEnd w:id="18714"/>
      <w:bookmarkEnd w:id="18715"/>
      <w:bookmarkEnd w:id="18716"/>
    </w:p>
    <w:p w:rsidR="00E824D3" w:rsidRDefault="00E824D3" w:rsidP="007E4E81">
      <w:pPr>
        <w:pStyle w:val="a0"/>
        <w:rPr>
          <w:rtl/>
        </w:rPr>
      </w:pPr>
      <w:r>
        <w:rPr>
          <w:rFonts w:hint="cs"/>
          <w:rtl/>
        </w:rPr>
        <w:t xml:space="preserve">וכתב </w:t>
      </w:r>
      <w:r w:rsidRPr="002D72FE">
        <w:rPr>
          <w:rStyle w:val="af9"/>
          <w:rFonts w:hint="cs"/>
          <w:rtl/>
        </w:rPr>
        <w:t>בחי' הגר"ח על הש</w:t>
      </w:r>
      <w:r w:rsidRPr="002D72FE">
        <w:rPr>
          <w:rStyle w:val="af9"/>
          <w:rtl/>
        </w:rPr>
        <w:t>"</w:t>
      </w:r>
      <w:r w:rsidRPr="002D72FE">
        <w:rPr>
          <w:rStyle w:val="af9"/>
          <w:rFonts w:hint="cs"/>
          <w:rtl/>
        </w:rPr>
        <w:t xml:space="preserve">ס </w:t>
      </w:r>
      <w:r>
        <w:rPr>
          <w:rFonts w:hint="cs"/>
          <w:rtl/>
        </w:rPr>
        <w:t xml:space="preserve">דלפי"ז לרב ושמואל דס"ל דלא אמרינן מתוך שאינו יכול לישבע משלם, א"כ ממילא כיון שהוא חשוד הוא פטור לגמרי, אבל לדעת ר"א אעפ"י שהוא חשוד ואינו יכול להשבע, מ"מ אינו פטור דאמרינן מתוך שאינו יכול לישבע משלם, וכתב </w:t>
      </w:r>
      <w:r w:rsidRPr="00274DC6">
        <w:rPr>
          <w:rStyle w:val="af9"/>
          <w:rFonts w:hint="cs"/>
          <w:rtl/>
        </w:rPr>
        <w:t>הגר"ח</w:t>
      </w:r>
      <w:r>
        <w:rPr>
          <w:rFonts w:hint="cs"/>
          <w:rtl/>
        </w:rPr>
        <w:t xml:space="preserve"> דא"כ כיון שלענין הממון אינו חשוד, א"כ אף </w:t>
      </w:r>
      <w:r>
        <w:rPr>
          <w:rFonts w:hint="cs"/>
          <w:rtl/>
        </w:rPr>
        <w:lastRenderedPageBreak/>
        <w:t xml:space="preserve">לשבועה אינו חשוד דהשבועה מהני לפוטרו, ולכן כל שאינו יכול להשבע חייב לשלם. </w:t>
      </w:r>
    </w:p>
    <w:p w:rsidR="00E824D3" w:rsidRDefault="00E824D3" w:rsidP="00E824D3">
      <w:pPr>
        <w:pStyle w:val="a3"/>
        <w:rPr>
          <w:rtl/>
        </w:rPr>
      </w:pPr>
      <w:bookmarkStart w:id="18717" w:name="_Toc66123409"/>
      <w:bookmarkStart w:id="18718" w:name="_Toc66143909"/>
      <w:bookmarkStart w:id="18719" w:name="_Toc66172083"/>
      <w:bookmarkStart w:id="18720" w:name="_Toc66183330"/>
      <w:bookmarkStart w:id="18721" w:name="_Toc66186118"/>
      <w:bookmarkStart w:id="18722" w:name="_Toc66193584"/>
      <w:r>
        <w:rPr>
          <w:rFonts w:hint="cs"/>
          <w:rtl/>
        </w:rPr>
        <w:t>תי' הגר"ח בר"י דלרב ושמואל אינו העזה דאי היה מכחיש הוי חשוד ופטור ורק לר"א הוא העזה</w:t>
      </w:r>
      <w:bookmarkEnd w:id="18717"/>
      <w:bookmarkEnd w:id="18718"/>
      <w:bookmarkEnd w:id="18719"/>
      <w:bookmarkEnd w:id="18720"/>
      <w:bookmarkEnd w:id="18721"/>
      <w:bookmarkEnd w:id="18722"/>
      <w:r>
        <w:rPr>
          <w:rFonts w:hint="cs"/>
          <w:rtl/>
        </w:rPr>
        <w:t xml:space="preserve"> </w:t>
      </w:r>
    </w:p>
    <w:p w:rsidR="00E824D3" w:rsidRDefault="00E824D3" w:rsidP="007E4E81">
      <w:pPr>
        <w:pStyle w:val="a0"/>
        <w:rPr>
          <w:rtl/>
        </w:rPr>
        <w:sectPr w:rsidR="00E824D3" w:rsidSect="00FE4F99">
          <w:type w:val="continuous"/>
          <w:pgSz w:w="11906" w:h="16838"/>
          <w:pgMar w:top="720" w:right="720" w:bottom="720" w:left="720" w:header="283" w:footer="283" w:gutter="0"/>
          <w:cols w:num="2" w:space="567"/>
          <w:bidi/>
          <w:rtlGutter/>
          <w:docGrid w:linePitch="299"/>
        </w:sectPr>
      </w:pPr>
      <w:bookmarkStart w:id="18723" w:name="_Ref66054552"/>
      <w:r>
        <w:rPr>
          <w:rFonts w:hint="cs"/>
          <w:rtl/>
        </w:rPr>
        <w:t xml:space="preserve">וכתב </w:t>
      </w:r>
      <w:r w:rsidRPr="002D72FE">
        <w:rPr>
          <w:rStyle w:val="af9"/>
          <w:rFonts w:hint="cs"/>
          <w:rtl/>
        </w:rPr>
        <w:t>בחי' הגר"ח על הש</w:t>
      </w:r>
      <w:r w:rsidRPr="002D72FE">
        <w:rPr>
          <w:rStyle w:val="af9"/>
          <w:rtl/>
        </w:rPr>
        <w:t>"</w:t>
      </w:r>
      <w:r w:rsidRPr="002D72FE">
        <w:rPr>
          <w:rStyle w:val="af9"/>
          <w:rFonts w:hint="cs"/>
          <w:rtl/>
        </w:rPr>
        <w:t>ס</w:t>
      </w:r>
      <w:r>
        <w:rPr>
          <w:rFonts w:hint="cs"/>
          <w:rtl/>
        </w:rPr>
        <w:t xml:space="preserve"> דלפי"ז אפשר לתרץ את מה </w:t>
      </w:r>
      <w:r w:rsidRPr="002D72FE">
        <w:rPr>
          <w:rFonts w:hint="cs"/>
          <w:rtl/>
        </w:rPr>
        <w:t xml:space="preserve">שהקשו </w:t>
      </w:r>
      <w:r w:rsidRPr="002D72FE">
        <w:rPr>
          <w:rStyle w:val="af9"/>
          <w:rtl/>
        </w:rPr>
        <w:t>התוס'</w:t>
      </w:r>
      <w:r w:rsidRPr="002D72FE">
        <w:rPr>
          <w:rStyle w:val="af9"/>
          <w:rFonts w:hint="cs"/>
          <w:rtl/>
        </w:rPr>
        <w:t xml:space="preserve"> </w:t>
      </w:r>
      <w:r w:rsidRPr="00A217B8">
        <w:rPr>
          <w:rStyle w:val="af7"/>
          <w:rFonts w:eastAsia="Guttman Hodes" w:hint="cs"/>
          <w:rtl/>
        </w:rPr>
        <w:t xml:space="preserve">(עי' אות </w:t>
      </w:r>
      <w:r w:rsidRPr="00A217B8">
        <w:rPr>
          <w:rStyle w:val="af7"/>
          <w:rFonts w:eastAsia="Guttman Hodes"/>
          <w:rtl/>
        </w:rPr>
        <w:fldChar w:fldCharType="begin"/>
      </w:r>
      <w:r w:rsidRPr="00A217B8">
        <w:rPr>
          <w:rStyle w:val="af7"/>
          <w:rFonts w:eastAsia="Guttman Hodes"/>
          <w:rtl/>
        </w:rPr>
        <w:instrText xml:space="preserve"> </w:instrText>
      </w:r>
      <w:r w:rsidRPr="00A217B8">
        <w:rPr>
          <w:rStyle w:val="af7"/>
          <w:rFonts w:eastAsia="Guttman Hodes" w:hint="cs"/>
        </w:rPr>
        <w:instrText>REF</w:instrText>
      </w:r>
      <w:r w:rsidRPr="00A217B8">
        <w:rPr>
          <w:rStyle w:val="af7"/>
          <w:rFonts w:eastAsia="Guttman Hodes" w:hint="cs"/>
          <w:rtl/>
        </w:rPr>
        <w:instrText xml:space="preserve"> _</w:instrText>
      </w:r>
      <w:r w:rsidRPr="00A217B8">
        <w:rPr>
          <w:rStyle w:val="af7"/>
          <w:rFonts w:eastAsia="Guttman Hodes" w:hint="cs"/>
        </w:rPr>
        <w:instrText>Ref65770016 \r \h</w:instrText>
      </w:r>
      <w:r w:rsidRPr="00A217B8">
        <w:rPr>
          <w:rStyle w:val="af7"/>
          <w:rFonts w:eastAsia="Guttman Hodes"/>
          <w:rtl/>
        </w:rPr>
        <w:instrText xml:space="preserve">  \* </w:instrText>
      </w:r>
      <w:r w:rsidRPr="00A217B8">
        <w:rPr>
          <w:rStyle w:val="af7"/>
          <w:rFonts w:eastAsia="Guttman Hodes"/>
        </w:rPr>
        <w:instrText>MERGEFORMAT</w:instrText>
      </w:r>
      <w:r w:rsidRPr="00A217B8">
        <w:rPr>
          <w:rStyle w:val="af7"/>
          <w:rFonts w:eastAsia="Guttman Hodes"/>
          <w:rtl/>
        </w:rPr>
        <w:instrText xml:space="preserve"> </w:instrText>
      </w:r>
      <w:r w:rsidRPr="00A217B8">
        <w:rPr>
          <w:rStyle w:val="af7"/>
          <w:rFonts w:eastAsia="Guttman Hodes"/>
          <w:rtl/>
        </w:rPr>
      </w:r>
      <w:r w:rsidRPr="00A217B8">
        <w:rPr>
          <w:rStyle w:val="af7"/>
          <w:rFonts w:eastAsia="Guttman Hodes"/>
          <w:rtl/>
        </w:rPr>
        <w:fldChar w:fldCharType="separate"/>
      </w:r>
      <w:r w:rsidR="00265073">
        <w:rPr>
          <w:rStyle w:val="af7"/>
          <w:rFonts w:eastAsia="Guttman Hodes"/>
          <w:cs/>
        </w:rPr>
        <w:t>‎</w:t>
      </w:r>
      <w:r w:rsidR="00265073">
        <w:rPr>
          <w:rStyle w:val="af7"/>
          <w:rFonts w:eastAsia="Guttman Hodes"/>
          <w:rtl/>
        </w:rPr>
        <w:t>יט)</w:t>
      </w:r>
      <w:r w:rsidRPr="00A217B8">
        <w:rPr>
          <w:rStyle w:val="af7"/>
          <w:rFonts w:eastAsia="Guttman Hodes"/>
          <w:rtl/>
        </w:rPr>
        <w:fldChar w:fldCharType="end"/>
      </w:r>
      <w:r w:rsidRPr="002D72FE">
        <w:rPr>
          <w:rFonts w:hint="cs"/>
          <w:rtl/>
        </w:rPr>
        <w:t xml:space="preserve"> על תירוץ </w:t>
      </w:r>
      <w:r w:rsidRPr="002D72FE">
        <w:rPr>
          <w:rStyle w:val="af9"/>
          <w:rFonts w:hint="cs"/>
          <w:rtl/>
        </w:rPr>
        <w:t>ר"י</w:t>
      </w:r>
      <w:r w:rsidRPr="002D72FE">
        <w:rPr>
          <w:rFonts w:hint="cs"/>
          <w:rtl/>
        </w:rPr>
        <w:t xml:space="preserve"> </w:t>
      </w:r>
      <w:r w:rsidRPr="00A217B8">
        <w:rPr>
          <w:rStyle w:val="af7"/>
          <w:rFonts w:eastAsia="Guttman Hodes" w:hint="cs"/>
          <w:rtl/>
        </w:rPr>
        <w:t xml:space="preserve">(עי' אות </w:t>
      </w:r>
      <w:r w:rsidRPr="00A217B8">
        <w:rPr>
          <w:rStyle w:val="af7"/>
          <w:rFonts w:eastAsia="Guttman Hodes"/>
          <w:rtl/>
        </w:rPr>
        <w:fldChar w:fldCharType="begin"/>
      </w:r>
      <w:r w:rsidRPr="00A217B8">
        <w:rPr>
          <w:rStyle w:val="af7"/>
          <w:rFonts w:eastAsia="Guttman Hodes"/>
          <w:rtl/>
        </w:rPr>
        <w:instrText xml:space="preserve"> </w:instrText>
      </w:r>
      <w:r w:rsidRPr="00A217B8">
        <w:rPr>
          <w:rStyle w:val="af7"/>
          <w:rFonts w:eastAsia="Guttman Hodes" w:hint="cs"/>
        </w:rPr>
        <w:instrText>REF</w:instrText>
      </w:r>
      <w:r w:rsidRPr="00A217B8">
        <w:rPr>
          <w:rStyle w:val="af7"/>
          <w:rFonts w:eastAsia="Guttman Hodes" w:hint="cs"/>
          <w:rtl/>
        </w:rPr>
        <w:instrText xml:space="preserve"> _</w:instrText>
      </w:r>
      <w:r w:rsidRPr="00A217B8">
        <w:rPr>
          <w:rStyle w:val="af7"/>
          <w:rFonts w:eastAsia="Guttman Hodes" w:hint="cs"/>
        </w:rPr>
        <w:instrText>Ref65785260 \r \h</w:instrText>
      </w:r>
      <w:r w:rsidRPr="00A217B8">
        <w:rPr>
          <w:rStyle w:val="af7"/>
          <w:rFonts w:eastAsia="Guttman Hodes"/>
          <w:rtl/>
        </w:rPr>
        <w:instrText xml:space="preserve">  \* </w:instrText>
      </w:r>
      <w:r w:rsidRPr="00A217B8">
        <w:rPr>
          <w:rStyle w:val="af7"/>
          <w:rFonts w:eastAsia="Guttman Hodes"/>
        </w:rPr>
        <w:instrText>MERGEFORMAT</w:instrText>
      </w:r>
      <w:r w:rsidRPr="00A217B8">
        <w:rPr>
          <w:rStyle w:val="af7"/>
          <w:rFonts w:eastAsia="Guttman Hodes"/>
          <w:rtl/>
        </w:rPr>
        <w:instrText xml:space="preserve"> </w:instrText>
      </w:r>
      <w:r w:rsidRPr="00A217B8">
        <w:rPr>
          <w:rStyle w:val="af7"/>
          <w:rFonts w:eastAsia="Guttman Hodes"/>
          <w:rtl/>
        </w:rPr>
      </w:r>
      <w:r w:rsidRPr="00A217B8">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A217B8">
        <w:rPr>
          <w:rStyle w:val="af7"/>
          <w:rFonts w:eastAsia="Guttman Hodes"/>
          <w:rtl/>
        </w:rPr>
        <w:fldChar w:fldCharType="end"/>
      </w:r>
      <w:r w:rsidRPr="002D72FE">
        <w:rPr>
          <w:rFonts w:hint="cs"/>
          <w:rtl/>
        </w:rPr>
        <w:t xml:space="preserve"> דאי המיגו דלא חטפי הוא מיגו דהעזה, ולכן אינו נאמן במיגו, א"כ היאך ס"ל לרב ושמואל דלא אמרינן מתוך שאינו יכול לישבע משלם, והא פשיטא שאינו נאמן לטעון אין חטפי ודידי חטפי בלא מיגו,</w:t>
      </w:r>
      <w:r>
        <w:rPr>
          <w:rFonts w:hint="cs"/>
          <w:rtl/>
        </w:rPr>
        <w:t xml:space="preserve"> וכתב </w:t>
      </w:r>
      <w:r w:rsidRPr="00E12B2D">
        <w:rPr>
          <w:rStyle w:val="af9"/>
          <w:rFonts w:hint="cs"/>
          <w:rtl/>
        </w:rPr>
        <w:t>הגר"ח</w:t>
      </w:r>
      <w:r>
        <w:rPr>
          <w:rFonts w:hint="cs"/>
          <w:rtl/>
        </w:rPr>
        <w:t xml:space="preserve"> דכיון דבדין חמשין ידענא אמרינן מתוך שאינו יכול לישבע משלם, א"כ הכא </w:t>
      </w:r>
      <w:r>
        <w:rPr>
          <w:rFonts w:hint="cs"/>
          <w:rtl/>
        </w:rPr>
        <w:t>בנסכא דר"א אם היה מכחיש את הע"א מתחייב שבועה</w:t>
      </w:r>
      <w:bookmarkEnd w:id="18723"/>
      <w:r>
        <w:rPr>
          <w:rFonts w:hint="cs"/>
          <w:rtl/>
        </w:rPr>
        <w:t xml:space="preserve">, אבל לרב ושמואל דס"ל דלא אמרינן מתוך שאינו יכול לישבע משלם, ביאר </w:t>
      </w:r>
      <w:r w:rsidRPr="002D72FE">
        <w:rPr>
          <w:rStyle w:val="af9"/>
          <w:rFonts w:hint="cs"/>
          <w:rtl/>
        </w:rPr>
        <w:t xml:space="preserve">בחי' הגר"ח על </w:t>
      </w:r>
      <w:r w:rsidRPr="00CB3583">
        <w:rPr>
          <w:rStyle w:val="af9"/>
          <w:rFonts w:hint="cs"/>
          <w:rtl/>
        </w:rPr>
        <w:t>הש</w:t>
      </w:r>
      <w:r w:rsidRPr="00CB3583">
        <w:rPr>
          <w:rStyle w:val="af9"/>
          <w:rtl/>
        </w:rPr>
        <w:t>"</w:t>
      </w:r>
      <w:r w:rsidRPr="00CB3583">
        <w:rPr>
          <w:rStyle w:val="af9"/>
          <w:rFonts w:hint="cs"/>
          <w:rtl/>
        </w:rPr>
        <w:t>ס</w:t>
      </w:r>
      <w:r w:rsidRPr="00CB3583">
        <w:rPr>
          <w:rFonts w:hint="cs"/>
          <w:rtl/>
        </w:rPr>
        <w:t xml:space="preserve"> דאם היה טוען לא חטפי והיה מכחיש את הע"א היה פטור בלי שבועה, </w:t>
      </w:r>
      <w:r w:rsidRPr="00CB3583">
        <w:rPr>
          <w:rStyle w:val="afb"/>
          <w:rFonts w:hint="cs"/>
          <w:rtl/>
        </w:rPr>
        <w:t>[כיון שנעשה חשוד על לשבועה],</w:t>
      </w:r>
      <w:r w:rsidRPr="00CB3583">
        <w:rPr>
          <w:rFonts w:hint="cs"/>
          <w:rtl/>
        </w:rPr>
        <w:t xml:space="preserve"> ולכן לרב ושמואל יש לו מיגו דהיה טוען לא חטפי, דהא כתבו </w:t>
      </w:r>
      <w:r w:rsidRPr="00CB3583">
        <w:rPr>
          <w:rStyle w:val="af9"/>
          <w:rFonts w:hint="cs"/>
          <w:rtl/>
        </w:rPr>
        <w:t>התוס'</w:t>
      </w:r>
      <w:r>
        <w:rPr>
          <w:rFonts w:hint="cs"/>
          <w:rtl/>
        </w:rPr>
        <w:t xml:space="preserve"> </w:t>
      </w:r>
      <w:r w:rsidRPr="00A217B8">
        <w:rPr>
          <w:rStyle w:val="af7"/>
          <w:rFonts w:eastAsia="Guttman Hodes" w:hint="cs"/>
          <w:rtl/>
        </w:rPr>
        <w:t xml:space="preserve">(עי' אות </w:t>
      </w:r>
      <w:r w:rsidRPr="00A217B8">
        <w:rPr>
          <w:rStyle w:val="af7"/>
          <w:rFonts w:eastAsia="Guttman Hodes"/>
          <w:rtl/>
        </w:rPr>
        <w:fldChar w:fldCharType="begin"/>
      </w:r>
      <w:r w:rsidRPr="00A217B8">
        <w:rPr>
          <w:rStyle w:val="af7"/>
          <w:rFonts w:eastAsia="Guttman Hodes"/>
          <w:rtl/>
        </w:rPr>
        <w:instrText xml:space="preserve"> </w:instrText>
      </w:r>
      <w:r w:rsidRPr="00A217B8">
        <w:rPr>
          <w:rStyle w:val="af7"/>
          <w:rFonts w:eastAsia="Guttman Hodes" w:hint="cs"/>
        </w:rPr>
        <w:instrText>REF</w:instrText>
      </w:r>
      <w:r w:rsidRPr="00A217B8">
        <w:rPr>
          <w:rStyle w:val="af7"/>
          <w:rFonts w:eastAsia="Guttman Hodes" w:hint="cs"/>
          <w:rtl/>
        </w:rPr>
        <w:instrText xml:space="preserve"> _</w:instrText>
      </w:r>
      <w:r w:rsidRPr="00A217B8">
        <w:rPr>
          <w:rStyle w:val="af7"/>
          <w:rFonts w:eastAsia="Guttman Hodes" w:hint="cs"/>
        </w:rPr>
        <w:instrText>Ref65785260 \r \h</w:instrText>
      </w:r>
      <w:r w:rsidRPr="00A217B8">
        <w:rPr>
          <w:rStyle w:val="af7"/>
          <w:rFonts w:eastAsia="Guttman Hodes"/>
          <w:rtl/>
        </w:rPr>
        <w:instrText xml:space="preserve"> </w:instrText>
      </w:r>
      <w:r w:rsidRPr="00A217B8">
        <w:rPr>
          <w:rStyle w:val="af7"/>
          <w:rFonts w:eastAsia="Guttman Hodes"/>
          <w:rtl/>
        </w:rPr>
      </w:r>
      <w:r w:rsidRPr="00A217B8">
        <w:rPr>
          <w:rStyle w:val="af7"/>
          <w:rFonts w:eastAsia="Guttman Hodes"/>
          <w:rtl/>
        </w:rPr>
        <w:fldChar w:fldCharType="separate"/>
      </w:r>
      <w:r w:rsidR="00265073">
        <w:rPr>
          <w:rStyle w:val="af7"/>
          <w:rFonts w:eastAsia="Guttman Hodes"/>
          <w:cs/>
        </w:rPr>
        <w:t>‎</w:t>
      </w:r>
      <w:r w:rsidR="00265073">
        <w:rPr>
          <w:rStyle w:val="af7"/>
          <w:rFonts w:eastAsia="Guttman Hodes"/>
          <w:rtl/>
        </w:rPr>
        <w:t>י)</w:t>
      </w:r>
      <w:r w:rsidRPr="00A217B8">
        <w:rPr>
          <w:rStyle w:val="af7"/>
          <w:rFonts w:eastAsia="Guttman Hodes"/>
          <w:rtl/>
        </w:rPr>
        <w:fldChar w:fldCharType="end"/>
      </w:r>
      <w:r>
        <w:rPr>
          <w:rFonts w:hint="cs"/>
          <w:rtl/>
        </w:rPr>
        <w:t xml:space="preserve"> דהוא מעיז להכחיש את הע"א במקום שאינו מתחייב שבועה, ולכן רק לרב ושמואל יש מיגו, אבל לר"א דכיון דס"ל דאמרינן מתוך שאינו יכול לישבע משלם, א"כ אם היה טוען לא חטפי היה חייב להשבע, וא"כ אין לו כל מיגו, דאינו מעיז לטעון לא חטפי, כיון שעדיין הוא חייב להשבע להכחיש את העד.</w:t>
      </w:r>
    </w:p>
    <w:p w:rsidR="00E824D3" w:rsidRDefault="00E824D3" w:rsidP="007E4E81">
      <w:pPr>
        <w:pStyle w:val="a0"/>
        <w:numPr>
          <w:ilvl w:val="0"/>
          <w:numId w:val="0"/>
        </w:numPr>
        <w:rPr>
          <w:rtl/>
        </w:rPr>
      </w:pPr>
    </w:p>
    <w:p w:rsidR="003B7617" w:rsidRDefault="003B7617" w:rsidP="007E4E81">
      <w:pPr>
        <w:pStyle w:val="a0"/>
        <w:numPr>
          <w:ilvl w:val="0"/>
          <w:numId w:val="0"/>
        </w:numPr>
      </w:pPr>
    </w:p>
    <w:p w:rsidR="003B7617" w:rsidRPr="008B1981" w:rsidRDefault="003B7617" w:rsidP="003B7617"/>
    <w:p w:rsidR="00EC445E" w:rsidRPr="007B0484" w:rsidRDefault="00EC445E" w:rsidP="007E4E81">
      <w:pPr>
        <w:pStyle w:val="a0"/>
        <w:numPr>
          <w:ilvl w:val="0"/>
          <w:numId w:val="0"/>
        </w:numPr>
        <w:rPr>
          <w:rtl/>
        </w:rPr>
      </w:pPr>
    </w:p>
    <w:p w:rsidR="00EC445E" w:rsidRDefault="00EC445E" w:rsidP="007E4E81">
      <w:pPr>
        <w:pStyle w:val="a0"/>
        <w:numPr>
          <w:ilvl w:val="0"/>
          <w:numId w:val="0"/>
        </w:numPr>
        <w:rPr>
          <w:rtl/>
        </w:rPr>
      </w:pPr>
    </w:p>
    <w:p w:rsidR="00EC445E" w:rsidRPr="00EB1FA7" w:rsidRDefault="00EC445E" w:rsidP="00EC445E">
      <w:pPr>
        <w:pStyle w:val="a3"/>
      </w:pPr>
    </w:p>
    <w:p w:rsidR="00EC445E" w:rsidRPr="008B1981" w:rsidRDefault="00EC445E" w:rsidP="00EC445E"/>
    <w:p w:rsidR="00EC445E" w:rsidRPr="008B1981" w:rsidRDefault="00EC445E" w:rsidP="00EC445E"/>
    <w:p w:rsidR="00C34249" w:rsidRPr="00EC445E" w:rsidRDefault="00C34249" w:rsidP="007E4E81">
      <w:pPr>
        <w:pStyle w:val="a0"/>
        <w:numPr>
          <w:ilvl w:val="0"/>
          <w:numId w:val="0"/>
        </w:numPr>
        <w:rPr>
          <w:rtl/>
        </w:rPr>
      </w:pPr>
    </w:p>
    <w:p w:rsidR="005306EB" w:rsidRDefault="005306EB" w:rsidP="007E4E81">
      <w:pPr>
        <w:pStyle w:val="a0"/>
        <w:numPr>
          <w:ilvl w:val="0"/>
          <w:numId w:val="0"/>
        </w:numPr>
        <w:rPr>
          <w:rtl/>
        </w:rPr>
      </w:pPr>
    </w:p>
    <w:p w:rsidR="006A4297" w:rsidRDefault="006A4297" w:rsidP="007E4E81">
      <w:pPr>
        <w:pStyle w:val="a0"/>
        <w:numPr>
          <w:ilvl w:val="0"/>
          <w:numId w:val="0"/>
        </w:numPr>
        <w:rPr>
          <w:highlight w:val="yellow"/>
          <w:rtl/>
        </w:rPr>
      </w:pPr>
    </w:p>
    <w:p w:rsidR="006A4297" w:rsidRPr="00E47974" w:rsidRDefault="006A4297" w:rsidP="007E4E81">
      <w:pPr>
        <w:pStyle w:val="a0"/>
        <w:numPr>
          <w:ilvl w:val="0"/>
          <w:numId w:val="0"/>
        </w:numPr>
        <w:rPr>
          <w:highlight w:val="yellow"/>
          <w:rtl/>
        </w:rPr>
      </w:pPr>
    </w:p>
    <w:p w:rsidR="006A4297" w:rsidRPr="00EB1FA7" w:rsidRDefault="006A4297" w:rsidP="006A4297">
      <w:pPr>
        <w:pStyle w:val="a3"/>
      </w:pPr>
    </w:p>
    <w:p w:rsidR="006A4297" w:rsidRPr="008B1981" w:rsidRDefault="006A4297" w:rsidP="006A4297"/>
    <w:p w:rsidR="0007171D" w:rsidRPr="006A4297" w:rsidRDefault="0007171D" w:rsidP="007E4E81">
      <w:pPr>
        <w:pStyle w:val="a0"/>
        <w:numPr>
          <w:ilvl w:val="0"/>
          <w:numId w:val="0"/>
        </w:numPr>
      </w:pPr>
    </w:p>
    <w:p w:rsidR="0007171D" w:rsidRPr="008B1981" w:rsidRDefault="0007171D" w:rsidP="0007171D"/>
    <w:p w:rsidR="0019070E" w:rsidRPr="0007171D" w:rsidRDefault="0019070E" w:rsidP="007E4E81">
      <w:pPr>
        <w:pStyle w:val="a0"/>
        <w:numPr>
          <w:ilvl w:val="0"/>
          <w:numId w:val="0"/>
        </w:numPr>
        <w:rPr>
          <w:highlight w:val="yellow"/>
          <w:rtl/>
        </w:rPr>
      </w:pPr>
    </w:p>
    <w:p w:rsidR="0019070E" w:rsidRPr="008B1981" w:rsidRDefault="0019070E" w:rsidP="0019070E"/>
    <w:p w:rsidR="0045615F" w:rsidRPr="0019070E" w:rsidRDefault="0045615F" w:rsidP="0019070E">
      <w:pPr>
        <w:pStyle w:val="a3"/>
        <w:rPr>
          <w:rtl/>
        </w:rPr>
      </w:pPr>
    </w:p>
    <w:sectPr w:rsidR="0045615F" w:rsidRPr="0019070E" w:rsidSect="00E824D3">
      <w:type w:val="continuous"/>
      <w:pgSz w:w="11906" w:h="16838"/>
      <w:pgMar w:top="720" w:right="720" w:bottom="720" w:left="720" w:header="283" w:footer="283" w:gutter="0"/>
      <w:cols w:num="2" w:space="567"/>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4AF" w:rsidRDefault="001944AF" w:rsidP="00F35477">
      <w:pPr>
        <w:spacing w:line="240" w:lineRule="auto"/>
      </w:pPr>
      <w:r>
        <w:separator/>
      </w:r>
    </w:p>
    <w:p w:rsidR="001944AF" w:rsidRDefault="001944AF"/>
  </w:endnote>
  <w:endnote w:type="continuationSeparator" w:id="0">
    <w:p w:rsidR="001944AF" w:rsidRDefault="001944AF" w:rsidP="00F35477">
      <w:pPr>
        <w:spacing w:line="240" w:lineRule="auto"/>
      </w:pPr>
      <w:r>
        <w:continuationSeparator/>
      </w:r>
    </w:p>
    <w:p w:rsidR="001944AF" w:rsidRDefault="001944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uttman Rashi">
    <w:panose1 w:val="02010401010101010101"/>
    <w:charset w:val="B1"/>
    <w:family w:val="auto"/>
    <w:pitch w:val="variable"/>
    <w:sig w:usb0="00000801" w:usb1="40000000" w:usb2="00000000" w:usb3="00000000" w:csb0="00000020"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2724BA" w:rsidRDefault="00265073" w:rsidP="000F071D">
    <w:pPr>
      <w:pStyle w:val="ab"/>
      <w:ind w:left="0"/>
      <w:jc w:val="center"/>
      <w:rPr>
        <w:rFonts w:cs="Guttman Hodes"/>
        <w:rtl/>
        <w:cs/>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64384" behindDoc="0" locked="0" layoutInCell="1" allowOverlap="1" wp14:anchorId="50EBBB6C" wp14:editId="7E81F6A5">
              <wp:simplePos x="0" y="0"/>
              <wp:positionH relativeFrom="margin">
                <wp:posOffset>3235796</wp:posOffset>
              </wp:positionH>
              <wp:positionV relativeFrom="paragraph">
                <wp:posOffset>63951</wp:posOffset>
              </wp:positionV>
              <wp:extent cx="3356119" cy="330364"/>
              <wp:effectExtent l="0" t="0" r="0" b="0"/>
              <wp:wrapNone/>
              <wp:docPr id="3"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EBBB6C" id="_x0000_t202" coordsize="21600,21600" o:spt="202" path="m,l,21600r21600,l21600,xe">
              <v:stroke joinstyle="miter"/>
              <v:path gradientshapeok="t" o:connecttype="rect"/>
            </v:shapetype>
            <v:shape id="תיבת טקסט 3" o:spid="_x0000_s1033" type="#_x0000_t202" style="position:absolute;left:0;text-align:left;margin-left:254.8pt;margin-top:5.05pt;width:264.25pt;height:2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AE02508" wp14:editId="63F97EF1">
              <wp:simplePos x="0" y="0"/>
              <wp:positionH relativeFrom="margin">
                <wp:posOffset>46355</wp:posOffset>
              </wp:positionH>
              <wp:positionV relativeFrom="paragraph">
                <wp:posOffset>34290</wp:posOffset>
              </wp:positionV>
              <wp:extent cx="1002665" cy="264160"/>
              <wp:effectExtent l="0" t="0" r="26035" b="2159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E02508" id="תיבת טקסט 4" o:spid="_x0000_s1034" type="#_x0000_t202" style="position:absolute;left:0;text-align:left;margin-left:3.65pt;margin-top:2.7pt;width:78.95pt;height:2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jHRAIAAGE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PJ82MdEAgAAYQQA&#10;AA4AAAAAAAAAAAAAAAAALgIAAGRycy9lMm9Eb2MueG1sUEsBAi0AFAAGAAgAAAAhANVS8D3cAAAA&#10;BgEAAA8AAAAAAAAAAAAAAAAAngQAAGRycy9kb3ducmV2LnhtbFBLBQYAAAAABAAEAPMAAACnBQAA&#10;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67395388"/>
      <w:docPartObj>
        <w:docPartGallery w:val="Page Numbers (Bottom of Page)"/>
        <w:docPartUnique/>
      </w:docPartObj>
    </w:sdtPr>
    <w:sdtContent>
      <w:p w:rsidR="00265073" w:rsidRDefault="00265073">
        <w:pPr>
          <w:pStyle w:val="ab"/>
          <w:jc w:val="right"/>
          <w:rPr>
            <w:rtl/>
          </w:rPr>
        </w:pPr>
        <w:r>
          <w:fldChar w:fldCharType="begin"/>
        </w:r>
        <w:r>
          <w:rPr>
            <w:rtl/>
            <w:cs/>
          </w:rPr>
          <w:instrText>PAGE   \* MERGEFORMAT</w:instrText>
        </w:r>
        <w:r>
          <w:fldChar w:fldCharType="separate"/>
        </w:r>
        <w:r w:rsidRPr="00900B10">
          <w:rPr>
            <w:noProof/>
            <w:rtl/>
            <w:lang w:val="he-IL"/>
          </w:rPr>
          <w:t>25</w:t>
        </w:r>
        <w: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08151536"/>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25</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64354899"/>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900B10">
          <w:rPr>
            <w:noProof/>
            <w:rtl/>
            <w:lang w:val="he-IL"/>
          </w:rPr>
          <w:t>26</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21676702"/>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27</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67456" behindDoc="0" locked="0" layoutInCell="1" allowOverlap="1" wp14:anchorId="70749E0E" wp14:editId="44E06237">
              <wp:simplePos x="0" y="0"/>
              <wp:positionH relativeFrom="margin">
                <wp:posOffset>3235796</wp:posOffset>
              </wp:positionH>
              <wp:positionV relativeFrom="paragraph">
                <wp:posOffset>63951</wp:posOffset>
              </wp:positionV>
              <wp:extent cx="3356119" cy="330364"/>
              <wp:effectExtent l="0" t="0" r="0" b="0"/>
              <wp:wrapNone/>
              <wp:docPr id="5"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749E0E" id="_x0000_t202" coordsize="21600,21600" o:spt="202" path="m,l,21600r21600,l21600,xe">
              <v:stroke joinstyle="miter"/>
              <v:path gradientshapeok="t" o:connecttype="rect"/>
            </v:shapetype>
            <v:shape id="תיבת טקסט 5" o:spid="_x0000_s1035" type="#_x0000_t202" style="position:absolute;left:0;text-align:left;margin-left:254.8pt;margin-top:5.05pt;width:264.25pt;height:2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6F24BDCE" wp14:editId="6F928244">
              <wp:simplePos x="0" y="0"/>
              <wp:positionH relativeFrom="margin">
                <wp:posOffset>46355</wp:posOffset>
              </wp:positionH>
              <wp:positionV relativeFrom="paragraph">
                <wp:posOffset>34290</wp:posOffset>
              </wp:positionV>
              <wp:extent cx="1002665" cy="264160"/>
              <wp:effectExtent l="0" t="0" r="26035" b="21590"/>
              <wp:wrapNone/>
              <wp:docPr id="6"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24BDCE" id="תיבת טקסט 6" o:spid="_x0000_s1036" type="#_x0000_t202" style="position:absolute;left:0;text-align:left;margin-left:3.65pt;margin-top:2.7pt;width:78.95pt;height:20.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Z5nJ0UMCAABhBAAA&#10;DgAAAAAAAAAAAAAAAAAuAgAAZHJzL2Uyb0RvYy54bWxQSwECLQAUAAYACAAAACEA1VLwPdwAAAAG&#10;AQAADwAAAAAAAAAAAAAAAACdBAAAZHJzL2Rvd25yZXYueG1sUEsFBgAAAAAEAAQA8wAAAKYFAAAA&#10;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57111849"/>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34</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42058765"/>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40</w:t>
        </w:r>
        <w: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2568884"/>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42</w:t>
        </w:r>
        <w:r>
          <w:fldChar w:fldCharType="end"/>
        </w:r>
      </w:p>
    </w:sdtContent>
  </w:sdt>
  <w:p w:rsidR="00265073" w:rsidRDefault="00265073">
    <w:pPr>
      <w:pStyle w:val="ab"/>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70528" behindDoc="0" locked="0" layoutInCell="1" allowOverlap="1" wp14:anchorId="146D726E" wp14:editId="45CBA3ED">
              <wp:simplePos x="0" y="0"/>
              <wp:positionH relativeFrom="margin">
                <wp:posOffset>3235796</wp:posOffset>
              </wp:positionH>
              <wp:positionV relativeFrom="paragraph">
                <wp:posOffset>63951</wp:posOffset>
              </wp:positionV>
              <wp:extent cx="3356119" cy="330364"/>
              <wp:effectExtent l="0" t="0" r="0" b="0"/>
              <wp:wrapNone/>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6D726E" id="_x0000_t202" coordsize="21600,21600" o:spt="202" path="m,l,21600r21600,l21600,xe">
              <v:stroke joinstyle="miter"/>
              <v:path gradientshapeok="t" o:connecttype="rect"/>
            </v:shapetype>
            <v:shape id="תיבת טקסט 7" o:spid="_x0000_s1037" type="#_x0000_t202" style="position:absolute;left:0;text-align:left;margin-left:254.8pt;margin-top:5.05pt;width:264.25pt;height: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05C9D41" wp14:editId="6C099E80">
              <wp:simplePos x="0" y="0"/>
              <wp:positionH relativeFrom="margin">
                <wp:posOffset>46355</wp:posOffset>
              </wp:positionH>
              <wp:positionV relativeFrom="paragraph">
                <wp:posOffset>34290</wp:posOffset>
              </wp:positionV>
              <wp:extent cx="1002665" cy="264160"/>
              <wp:effectExtent l="0" t="0" r="26035" b="21590"/>
              <wp:wrapNone/>
              <wp:docPr id="1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5C9D41" id="תיבת טקסט 10" o:spid="_x0000_s1038" type="#_x0000_t202" style="position:absolute;left:0;text-align:left;margin-left:3.65pt;margin-top:2.7pt;width:78.95pt;height:20.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WtLGE0MCAABjBAAA&#10;DgAAAAAAAAAAAAAAAAAuAgAAZHJzL2Uyb0RvYy54bWxQSwECLQAUAAYACAAAACEA1VLwPdwAAAAG&#10;AQAADwAAAAAAAAAAAAAAAACdBAAAZHJzL2Rvd25yZXYueG1sUEsFBgAAAAAEAAQA8wAAAKYFAAAA&#10;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Guttman Hodes"/>
        <w:rtl/>
      </w:rPr>
      <w:id w:val="-441079442"/>
      <w:docPartObj>
        <w:docPartGallery w:val="Page Numbers (Bottom of Page)"/>
        <w:docPartUnique/>
      </w:docPartObj>
    </w:sdtPr>
    <w:sdtEndPr>
      <w:rPr>
        <w:cs/>
      </w:rPr>
    </w:sdtEndPr>
    <w:sdtContent>
      <w:p w:rsidR="00265073" w:rsidRPr="00A409A4" w:rsidRDefault="00265073" w:rsidP="000F071D">
        <w:pPr>
          <w:pStyle w:val="ab"/>
          <w:ind w:left="0"/>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rsidR="00265073" w:rsidRDefault="00265073" w:rsidP="000F071D">
    <w:pPr>
      <w:pStyle w:val="ab"/>
      <w:tabs>
        <w:tab w:val="clear" w:pos="4153"/>
        <w:tab w:val="clear" w:pos="8306"/>
        <w:tab w:val="right" w:pos="10466"/>
      </w:tabs>
      <w:ind w:left="0"/>
      <w:rPr>
        <w:rtl/>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6467011"/>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51</w:t>
        </w:r>
        <w:r>
          <w:fldChar w:fldCharType="end"/>
        </w:r>
      </w:p>
    </w:sdtContent>
  </w:sdt>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56560775"/>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57</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73600" behindDoc="0" locked="0" layoutInCell="1" allowOverlap="1" wp14:anchorId="721F9F9C" wp14:editId="423B0FDE">
              <wp:simplePos x="0" y="0"/>
              <wp:positionH relativeFrom="margin">
                <wp:posOffset>3235796</wp:posOffset>
              </wp:positionH>
              <wp:positionV relativeFrom="paragraph">
                <wp:posOffset>63951</wp:posOffset>
              </wp:positionV>
              <wp:extent cx="3356119" cy="330364"/>
              <wp:effectExtent l="0" t="0" r="0" b="0"/>
              <wp:wrapNone/>
              <wp:docPr id="1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1F9F9C" id="_x0000_t202" coordsize="21600,21600" o:spt="202" path="m,l,21600r21600,l21600,xe">
              <v:stroke joinstyle="miter"/>
              <v:path gradientshapeok="t" o:connecttype="rect"/>
            </v:shapetype>
            <v:shape id="תיבת טקסט 11" o:spid="_x0000_s1039" type="#_x0000_t202" style="position:absolute;left:0;text-align:left;margin-left:254.8pt;margin-top:5.05pt;width:264.25pt;height:2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6EDC9C93" wp14:editId="206FA6F2">
              <wp:simplePos x="0" y="0"/>
              <wp:positionH relativeFrom="margin">
                <wp:posOffset>46355</wp:posOffset>
              </wp:positionH>
              <wp:positionV relativeFrom="paragraph">
                <wp:posOffset>34290</wp:posOffset>
              </wp:positionV>
              <wp:extent cx="1002665" cy="264160"/>
              <wp:effectExtent l="0" t="0" r="26035" b="21590"/>
              <wp:wrapNone/>
              <wp:docPr id="1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DC9C93" id="תיבת טקסט 12" o:spid="_x0000_s1040" type="#_x0000_t202" style="position:absolute;left:0;text-align:left;margin-left:3.65pt;margin-top:2.7pt;width:78.95pt;height:20.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DmYZKdEAgAAYwQA&#10;AA4AAAAAAAAAAAAAAAAALgIAAGRycy9lMm9Eb2MueG1sUEsBAi0AFAAGAAgAAAAhANVS8D3cAAAA&#10;BgEAAA8AAAAAAAAAAAAAAAAAngQAAGRycy9kb3ducmV2LnhtbFBLBQYAAAAABAAEAPMAAACnBQAA&#10;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7167041"/>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58</w:t>
        </w:r>
        <w: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65078431"/>
      <w:docPartObj>
        <w:docPartGallery w:val="Page Numbers (Bottom of Page)"/>
        <w:docPartUnique/>
      </w:docPartObj>
    </w:sdtPr>
    <w:sdtContent>
      <w:p w:rsidR="00265073" w:rsidRDefault="00265073">
        <w:pPr>
          <w:pStyle w:val="ab"/>
          <w:jc w:val="right"/>
          <w:rPr>
            <w:rtl/>
          </w:rPr>
        </w:pPr>
        <w:r>
          <w:fldChar w:fldCharType="begin"/>
        </w:r>
        <w:r>
          <w:rPr>
            <w:rtl/>
            <w:cs/>
          </w:rPr>
          <w:instrText>PAGE   \* MERGEFORMAT</w:instrText>
        </w:r>
        <w:r>
          <w:fldChar w:fldCharType="separate"/>
        </w:r>
        <w:r w:rsidRPr="00265073">
          <w:rPr>
            <w:noProof/>
            <w:rtl/>
            <w:lang w:val="he-IL"/>
          </w:rPr>
          <w:t>65</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46922473"/>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72</w:t>
        </w:r>
        <w:r>
          <w:fldChar w:fldCharType="end"/>
        </w:r>
      </w:p>
    </w:sdtContent>
  </w:sdt>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76672" behindDoc="0" locked="0" layoutInCell="1" allowOverlap="1" wp14:anchorId="05C83EC6" wp14:editId="6E1CDAD7">
              <wp:simplePos x="0" y="0"/>
              <wp:positionH relativeFrom="margin">
                <wp:posOffset>3235796</wp:posOffset>
              </wp:positionH>
              <wp:positionV relativeFrom="paragraph">
                <wp:posOffset>63951</wp:posOffset>
              </wp:positionV>
              <wp:extent cx="3356119" cy="330364"/>
              <wp:effectExtent l="0" t="0" r="0" b="0"/>
              <wp:wrapNone/>
              <wp:docPr id="13" name="תיבת טקסט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5C83EC6" id="_x0000_t202" coordsize="21600,21600" o:spt="202" path="m,l,21600r21600,l21600,xe">
              <v:stroke joinstyle="miter"/>
              <v:path gradientshapeok="t" o:connecttype="rect"/>
            </v:shapetype>
            <v:shape id="תיבת טקסט 13" o:spid="_x0000_s1041" type="#_x0000_t202" style="position:absolute;left:0;text-align:left;margin-left:254.8pt;margin-top:5.05pt;width:264.25pt;height:2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p8RQIAAEY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4044AB0" wp14:editId="13B22106">
              <wp:simplePos x="0" y="0"/>
              <wp:positionH relativeFrom="margin">
                <wp:posOffset>46355</wp:posOffset>
              </wp:positionH>
              <wp:positionV relativeFrom="paragraph">
                <wp:posOffset>34290</wp:posOffset>
              </wp:positionV>
              <wp:extent cx="1002665" cy="264160"/>
              <wp:effectExtent l="0" t="0" r="26035" b="21590"/>
              <wp:wrapNone/>
              <wp:docPr id="14" name="תיבת טקסט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044AB0" id="תיבת טקסט 14" o:spid="_x0000_s1042" type="#_x0000_t202" style="position:absolute;left:0;text-align:left;margin-left:3.65pt;margin-top:2.7pt;width:78.95pt;height:2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afE5lEMCAABkBAAA&#10;DgAAAAAAAAAAAAAAAAAuAgAAZHJzL2Uyb0RvYy54bWxQSwECLQAUAAYACAAAACEA1VLwPdwAAAAG&#10;AQAADwAAAAAAAAAAAAAAAACdBAAAZHJzL2Rvd25yZXYueG1sUEsFBgAAAAAEAAQA8wAAAKYFAAAA&#10;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23054073"/>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84</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452D97" w:rsidRDefault="00265073" w:rsidP="000F071D">
    <w:pPr>
      <w:pStyle w:val="ab"/>
      <w:rPr>
        <w:rtl/>
        <w:cs/>
      </w:rPr>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337389112"/>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90</w:t>
        </w:r>
        <w:r>
          <w:fldChar w:fldCharType="end"/>
        </w:r>
      </w:p>
    </w:sdtContent>
  </w:sdt>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79744" behindDoc="0" locked="0" layoutInCell="1" allowOverlap="1" wp14:anchorId="78B180D5" wp14:editId="4CA86B0E">
              <wp:simplePos x="0" y="0"/>
              <wp:positionH relativeFrom="margin">
                <wp:posOffset>3235796</wp:posOffset>
              </wp:positionH>
              <wp:positionV relativeFrom="paragraph">
                <wp:posOffset>63951</wp:posOffset>
              </wp:positionV>
              <wp:extent cx="3356119" cy="330364"/>
              <wp:effectExtent l="0" t="0" r="0" b="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B180D5" id="_x0000_t202" coordsize="21600,21600" o:spt="202" path="m,l,21600r21600,l21600,xe">
              <v:stroke joinstyle="miter"/>
              <v:path gradientshapeok="t" o:connecttype="rect"/>
            </v:shapetype>
            <v:shape id="תיבת טקסט 17" o:spid="_x0000_s1043" type="#_x0000_t202" style="position:absolute;left:0;text-align:left;margin-left:254.8pt;margin-top:5.05pt;width:264.25pt;height:2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1EmRgIAAEY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741FE5B4" wp14:editId="06BC20A2">
              <wp:simplePos x="0" y="0"/>
              <wp:positionH relativeFrom="margin">
                <wp:posOffset>46355</wp:posOffset>
              </wp:positionH>
              <wp:positionV relativeFrom="paragraph">
                <wp:posOffset>34290</wp:posOffset>
              </wp:positionV>
              <wp:extent cx="1002665" cy="264160"/>
              <wp:effectExtent l="0" t="0" r="26035" b="21590"/>
              <wp:wrapNone/>
              <wp:docPr id="18" name="תיבת טקסט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1FE5B4" id="תיבת טקסט 18" o:spid="_x0000_s1044" type="#_x0000_t202" style="position:absolute;left:0;text-align:left;margin-left:3.65pt;margin-top:2.7pt;width:78.95pt;height:20.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IXwRAIAAGQ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JXwhfBEAgAAZAQA&#10;AA4AAAAAAAAAAAAAAAAALgIAAGRycy9lMm9Eb2MueG1sUEsBAi0AFAAGAAgAAAAhANVS8D3cAAAA&#10;BgEAAA8AAAAAAAAAAAAAAAAAngQAAGRycy9kb3ducmV2LnhtbFBLBQYAAAAABAAEAPMAAACnBQAA&#10;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72397296"/>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101</w:t>
        </w:r>
        <w:r>
          <w:fldChar w:fldCharType="end"/>
        </w:r>
      </w:p>
    </w:sdtContent>
  </w:sdt>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3959875"/>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108</w:t>
        </w:r>
        <w:r>
          <w:fldChar w:fldCharType="end"/>
        </w:r>
      </w:p>
    </w:sdtContent>
  </w:sdt>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82816" behindDoc="0" locked="0" layoutInCell="1" allowOverlap="1" wp14:anchorId="620B176C" wp14:editId="5E8E820B">
              <wp:simplePos x="0" y="0"/>
              <wp:positionH relativeFrom="margin">
                <wp:posOffset>3235796</wp:posOffset>
              </wp:positionH>
              <wp:positionV relativeFrom="paragraph">
                <wp:posOffset>63951</wp:posOffset>
              </wp:positionV>
              <wp:extent cx="3356119" cy="330364"/>
              <wp:effectExtent l="0" t="0" r="0" b="0"/>
              <wp:wrapNone/>
              <wp:docPr id="19" name="תיבת טקסט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0B176C" id="_x0000_t202" coordsize="21600,21600" o:spt="202" path="m,l,21600r21600,l21600,xe">
              <v:stroke joinstyle="miter"/>
              <v:path gradientshapeok="t" o:connecttype="rect"/>
            </v:shapetype>
            <v:shape id="תיבת טקסט 19" o:spid="_x0000_s1045" type="#_x0000_t202" style="position:absolute;left:0;text-align:left;margin-left:254.8pt;margin-top:5.05pt;width:264.25pt;height:2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Nx3sCEMCAABGBAAA&#10;DgAAAAAAAAAAAAAAAAAuAgAAZHJzL2Uyb0RvYy54bWxQSwECLQAUAAYACAAAACEAAtvovdwAAAAK&#10;AQAADwAAAAAAAAAAAAAAAACdBAAAZHJzL2Rvd25yZXYueG1sUEsFBgAAAAAEAAQA8wAAAKYFAAAA&#10;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C1FCAD9" wp14:editId="0AB59B10">
              <wp:simplePos x="0" y="0"/>
              <wp:positionH relativeFrom="margin">
                <wp:posOffset>46355</wp:posOffset>
              </wp:positionH>
              <wp:positionV relativeFrom="paragraph">
                <wp:posOffset>34290</wp:posOffset>
              </wp:positionV>
              <wp:extent cx="1002665" cy="264160"/>
              <wp:effectExtent l="0" t="0" r="26035" b="21590"/>
              <wp:wrapNone/>
              <wp:docPr id="20"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1FCAD9" id="תיבת טקסט 20" o:spid="_x0000_s1046" type="#_x0000_t202" style="position:absolute;left:0;text-align:left;margin-left:3.65pt;margin-top:2.7pt;width:78.95pt;height:20.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BJH2uRQIAAGQE&#10;AAAOAAAAAAAAAAAAAAAAAC4CAABkcnMvZTJvRG9jLnhtbFBLAQItABQABgAIAAAAIQDVUvA93AAA&#10;AAYBAAAPAAAAAAAAAAAAAAAAAJ8EAABkcnMvZG93bnJldi54bWxQSwUGAAAAAAQABADzAAAAqAUA&#10;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91311418"/>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123</w:t>
        </w:r>
        <w:r>
          <w:fldChar w:fldCharType="end"/>
        </w:r>
      </w:p>
    </w:sdtContent>
  </w:sdt>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06612967"/>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125</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87936" behindDoc="0" locked="0" layoutInCell="1" allowOverlap="1" wp14:anchorId="3C1E8B26" wp14:editId="7ACD0BB0">
              <wp:simplePos x="0" y="0"/>
              <wp:positionH relativeFrom="margin">
                <wp:posOffset>3235796</wp:posOffset>
              </wp:positionH>
              <wp:positionV relativeFrom="paragraph">
                <wp:posOffset>63951</wp:posOffset>
              </wp:positionV>
              <wp:extent cx="3356119" cy="330364"/>
              <wp:effectExtent l="0" t="0" r="0" b="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C1E8B26" id="_x0000_t202" coordsize="21600,21600" o:spt="202" path="m,l,21600r21600,l21600,xe">
              <v:stroke joinstyle="miter"/>
              <v:path gradientshapeok="t" o:connecttype="rect"/>
            </v:shapetype>
            <v:shape id="תיבת טקסט 1" o:spid="_x0000_s1047" type="#_x0000_t202" style="position:absolute;left:0;text-align:left;margin-left:254.8pt;margin-top:5.05pt;width:264.25pt;height:2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27466BCE" wp14:editId="53A283E5">
              <wp:simplePos x="0" y="0"/>
              <wp:positionH relativeFrom="margin">
                <wp:posOffset>46355</wp:posOffset>
              </wp:positionH>
              <wp:positionV relativeFrom="paragraph">
                <wp:posOffset>34290</wp:posOffset>
              </wp:positionV>
              <wp:extent cx="1002665" cy="264160"/>
              <wp:effectExtent l="0" t="0" r="26035" b="2159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466BCE" id="_x0000_s1048" type="#_x0000_t202" style="position:absolute;left:0;text-align:left;margin-left:3.65pt;margin-top:2.7pt;width:78.95pt;height:20.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2ykMGkMCAABiBAAA&#10;DgAAAAAAAAAAAAAAAAAuAgAAZHJzL2Uyb0RvYy54bWxQSwECLQAUAAYACAAAACEA1VLwPdwAAAAG&#10;AQAADwAAAAAAAAAAAAAAAACdBAAAZHJzL2Rvd25yZXYueG1sUEsFBgAAAAAEAAQA8wAAAKYFAAAA&#10;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85888" behindDoc="0" locked="0" layoutInCell="1" allowOverlap="1" wp14:anchorId="1CAABBAA" wp14:editId="5CEE2992">
              <wp:simplePos x="0" y="0"/>
              <wp:positionH relativeFrom="margin">
                <wp:posOffset>3235796</wp:posOffset>
              </wp:positionH>
              <wp:positionV relativeFrom="paragraph">
                <wp:posOffset>63951</wp:posOffset>
              </wp:positionV>
              <wp:extent cx="3356119" cy="330364"/>
              <wp:effectExtent l="0" t="0" r="0" b="0"/>
              <wp:wrapNone/>
              <wp:docPr id="21" name="תיבת טקסט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AABBAA" id="_x0000_t202" coordsize="21600,21600" o:spt="202" path="m,l,21600r21600,l21600,xe">
              <v:stroke joinstyle="miter"/>
              <v:path gradientshapeok="t" o:connecttype="rect"/>
            </v:shapetype>
            <v:shape id="תיבת טקסט 21" o:spid="_x0000_s1049" type="#_x0000_t202" style="position:absolute;left:0;text-align:left;margin-left:254.8pt;margin-top:5.05pt;width:264.25pt;height:2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KTRFWV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37BDA473" wp14:editId="015AA487">
              <wp:simplePos x="0" y="0"/>
              <wp:positionH relativeFrom="margin">
                <wp:posOffset>46355</wp:posOffset>
              </wp:positionH>
              <wp:positionV relativeFrom="paragraph">
                <wp:posOffset>34290</wp:posOffset>
              </wp:positionV>
              <wp:extent cx="1002665" cy="264160"/>
              <wp:effectExtent l="0" t="0" r="26035" b="21590"/>
              <wp:wrapNone/>
              <wp:docPr id="22" name="תיבת טקסט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BDA473" id="תיבת טקסט 22" o:spid="_x0000_s1050" type="#_x0000_t202" style="position:absolute;left:0;text-align:left;margin-left:3.65pt;margin-top:2.7pt;width:78.95pt;height:20.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zbtC60YCAABk&#10;BAAADgAAAAAAAAAAAAAAAAAuAgAAZHJzL2Uyb0RvYy54bWxQSwECLQAUAAYACAAAACEA1VLwPdwA&#10;AAAGAQAADwAAAAAAAAAAAAAAAACgBAAAZHJzL2Rvd25yZXYueG1sUEsFBgAAAAAEAAQA8wAAAKkF&#10;A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F7388D" w:rsidRDefault="00265073" w:rsidP="00F7388D">
    <w:pPr>
      <w:pStyle w:val="ab"/>
      <w:rPr>
        <w:rtl/>
        <w:cs/>
      </w:rPr>
    </w:pPr>
  </w:p>
</w:ftr>
</file>

<file path=word/footer4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77586018"/>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138</w:t>
        </w:r>
        <w:r>
          <w:fldChar w:fldCharType="end"/>
        </w:r>
      </w:p>
    </w:sdtContent>
  </w:sdt>
</w:ftr>
</file>

<file path=word/footer4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58022744"/>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142</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93056" behindDoc="0" locked="0" layoutInCell="1" allowOverlap="1" wp14:anchorId="2DA0E76B" wp14:editId="10DABAAE">
              <wp:simplePos x="0" y="0"/>
              <wp:positionH relativeFrom="margin">
                <wp:posOffset>3235796</wp:posOffset>
              </wp:positionH>
              <wp:positionV relativeFrom="paragraph">
                <wp:posOffset>63951</wp:posOffset>
              </wp:positionV>
              <wp:extent cx="3356119" cy="330364"/>
              <wp:effectExtent l="0" t="0" r="0" b="0"/>
              <wp:wrapNone/>
              <wp:docPr id="24" name="תיבת טקסט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A0E76B" id="_x0000_t202" coordsize="21600,21600" o:spt="202" path="m,l,21600r21600,l21600,xe">
              <v:stroke joinstyle="miter"/>
              <v:path gradientshapeok="t" o:connecttype="rect"/>
            </v:shapetype>
            <v:shape id="תיבת טקסט 24" o:spid="_x0000_s1051" type="#_x0000_t202" style="position:absolute;left:0;text-align:left;margin-left:254.8pt;margin-top:5.05pt;width:264.25pt;height:2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323871A4" wp14:editId="3A6C5E8B">
              <wp:simplePos x="0" y="0"/>
              <wp:positionH relativeFrom="margin">
                <wp:posOffset>46355</wp:posOffset>
              </wp:positionH>
              <wp:positionV relativeFrom="paragraph">
                <wp:posOffset>34290</wp:posOffset>
              </wp:positionV>
              <wp:extent cx="1002665" cy="264160"/>
              <wp:effectExtent l="0" t="0" r="26035" b="21590"/>
              <wp:wrapNone/>
              <wp:docPr id="25" name="תיבת טקסט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3871A4" id="תיבת טקסט 25" o:spid="_x0000_s1052" type="#_x0000_t202" style="position:absolute;left:0;text-align:left;margin-left:3.65pt;margin-top:2.7pt;width:78.95pt;height: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NkGi7tEAgAAZAQA&#10;AA4AAAAAAAAAAAAAAAAALgIAAGRycy9lMm9Eb2MueG1sUEsBAi0AFAAGAAgAAAAhANVS8D3cAAAA&#10;BgEAAA8AAAAAAAAAAAAAAAAAngQAAGRycy9kb3ducmV2LnhtbFBLBQYAAAAABAAEAPMAAACnBQAA&#10;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4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4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91008" behindDoc="0" locked="0" layoutInCell="1" allowOverlap="1" wp14:anchorId="6A73DCA6" wp14:editId="79E4CA8E">
              <wp:simplePos x="0" y="0"/>
              <wp:positionH relativeFrom="margin">
                <wp:posOffset>3235796</wp:posOffset>
              </wp:positionH>
              <wp:positionV relativeFrom="paragraph">
                <wp:posOffset>63951</wp:posOffset>
              </wp:positionV>
              <wp:extent cx="3356119" cy="330364"/>
              <wp:effectExtent l="0" t="0" r="0" b="0"/>
              <wp:wrapNone/>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73DCA6" id="_x0000_t202" coordsize="21600,21600" o:spt="202" path="m,l,21600r21600,l21600,xe">
              <v:stroke joinstyle="miter"/>
              <v:path gradientshapeok="t" o:connecttype="rect"/>
            </v:shapetype>
            <v:shape id="תיבת טקסט 26" o:spid="_x0000_s1053" type="#_x0000_t202" style="position:absolute;left:0;text-align:left;margin-left:254.8pt;margin-top:5.05pt;width:264.25pt;height:2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fYRwIAAEY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JsoV9h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593BAC42" wp14:editId="614C57C9">
              <wp:simplePos x="0" y="0"/>
              <wp:positionH relativeFrom="margin">
                <wp:posOffset>46355</wp:posOffset>
              </wp:positionH>
              <wp:positionV relativeFrom="paragraph">
                <wp:posOffset>34290</wp:posOffset>
              </wp:positionV>
              <wp:extent cx="1002665" cy="264160"/>
              <wp:effectExtent l="0" t="0" r="26035" b="21590"/>
              <wp:wrapNone/>
              <wp:docPr id="27" name="תיבת טקסט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3BAC42" id="תיבת טקסט 27" o:spid="_x0000_s1054" type="#_x0000_t202" style="position:absolute;left:0;text-align:left;margin-left:3.65pt;margin-top:2.7pt;width:78.95pt;height:20.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bzRQ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SWHbzRQIAAGQE&#10;AAAOAAAAAAAAAAAAAAAAAC4CAABkcnMvZTJvRG9jLnhtbFBLAQItABQABgAIAAAAIQDVUvA93AAA&#10;AAYBAAAPAAAAAAAAAAAAAAAAAJ8EAABkcnMvZG93bnJldi54bWxQSwUGAAAAAAQABADzAAAAqAUA&#10;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4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52502135"/>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152</w:t>
        </w:r>
        <w:r>
          <w:fldChar w:fldCharType="end"/>
        </w:r>
      </w:p>
    </w:sdtContent>
  </w:sdt>
</w:ftr>
</file>

<file path=word/footer4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77335219"/>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158</w:t>
        </w:r>
        <w:r>
          <w:fldChar w:fldCharType="end"/>
        </w:r>
      </w:p>
    </w:sdtContent>
  </w:sdt>
</w:ftr>
</file>

<file path=word/footer4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98176" behindDoc="0" locked="0" layoutInCell="1" allowOverlap="1" wp14:anchorId="6248EEBF" wp14:editId="22FBFE83">
              <wp:simplePos x="0" y="0"/>
              <wp:positionH relativeFrom="margin">
                <wp:posOffset>3235796</wp:posOffset>
              </wp:positionH>
              <wp:positionV relativeFrom="paragraph">
                <wp:posOffset>63951</wp:posOffset>
              </wp:positionV>
              <wp:extent cx="3356119" cy="330364"/>
              <wp:effectExtent l="0" t="0" r="0" b="0"/>
              <wp:wrapNone/>
              <wp:docPr id="28"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48EEBF" id="_x0000_t202" coordsize="21600,21600" o:spt="202" path="m,l,21600r21600,l21600,xe">
              <v:stroke joinstyle="miter"/>
              <v:path gradientshapeok="t" o:connecttype="rect"/>
            </v:shapetype>
            <v:shape id="תיבת טקסט 28" o:spid="_x0000_s1055" type="#_x0000_t202" style="position:absolute;left:0;text-align:left;margin-left:254.8pt;margin-top:5.05pt;width:264.25pt;height:2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385FBB5C" wp14:editId="4BA3951C">
              <wp:simplePos x="0" y="0"/>
              <wp:positionH relativeFrom="margin">
                <wp:posOffset>46355</wp:posOffset>
              </wp:positionH>
              <wp:positionV relativeFrom="paragraph">
                <wp:posOffset>34290</wp:posOffset>
              </wp:positionV>
              <wp:extent cx="1002665" cy="264160"/>
              <wp:effectExtent l="0" t="0" r="26035" b="21590"/>
              <wp:wrapNone/>
              <wp:docPr id="29"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5FBB5C" id="תיבת טקסט 29" o:spid="_x0000_s1056" type="#_x0000_t202" style="position:absolute;left:0;text-align:left;margin-left:3.65pt;margin-top:2.7pt;width:78.95pt;height:20.8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mqpvYRQIAAGQE&#10;AAAOAAAAAAAAAAAAAAAAAC4CAABkcnMvZTJvRG9jLnhtbFBLAQItABQABgAIAAAAIQDVUvA93AAA&#10;AAYBAAAPAAAAAAAAAAAAAAAAAJ8EAABkcnMvZG93bnJldi54bWxQSwUGAAAAAAQABADzAAAAqAUA&#10;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4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4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696128" behindDoc="0" locked="0" layoutInCell="1" allowOverlap="1" wp14:anchorId="5D9C2119" wp14:editId="49AE9253">
              <wp:simplePos x="0" y="0"/>
              <wp:positionH relativeFrom="margin">
                <wp:posOffset>3235796</wp:posOffset>
              </wp:positionH>
              <wp:positionV relativeFrom="paragraph">
                <wp:posOffset>63951</wp:posOffset>
              </wp:positionV>
              <wp:extent cx="3356119" cy="330364"/>
              <wp:effectExtent l="0" t="0" r="0" b="0"/>
              <wp:wrapNone/>
              <wp:docPr id="31" name="תיבת טקסט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D9C2119" id="_x0000_t202" coordsize="21600,21600" o:spt="202" path="m,l,21600r21600,l21600,xe">
              <v:stroke joinstyle="miter"/>
              <v:path gradientshapeok="t" o:connecttype="rect"/>
            </v:shapetype>
            <v:shape id="תיבת טקסט 31" o:spid="_x0000_s1057" type="#_x0000_t202" style="position:absolute;left:0;text-align:left;margin-left:254.8pt;margin-top:5.05pt;width:264.25pt;height:2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J47BzF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4930569D" wp14:editId="5E77A46B">
              <wp:simplePos x="0" y="0"/>
              <wp:positionH relativeFrom="margin">
                <wp:posOffset>46355</wp:posOffset>
              </wp:positionH>
              <wp:positionV relativeFrom="paragraph">
                <wp:posOffset>34290</wp:posOffset>
              </wp:positionV>
              <wp:extent cx="1002665" cy="264160"/>
              <wp:effectExtent l="0" t="0" r="26035" b="21590"/>
              <wp:wrapNone/>
              <wp:docPr id="32" name="תיבת טקסט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30569D" id="תיבת טקסט 32" o:spid="_x0000_s1058" type="#_x0000_t202" style="position:absolute;left:0;text-align:left;margin-left:3.65pt;margin-top:2.7pt;width:78.95pt;height:20.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9KL6l0YCAABk&#10;BAAADgAAAAAAAAAAAAAAAAAuAgAAZHJzL2Uyb0RvYy54bWxQSwECLQAUAAYACAAAACEA1VLwPdwA&#10;AAAGAQAADwAAAAAAAAAAAAAAAACgBAAAZHJzL2Rvd25yZXYueG1sUEsFBgAAAAAEAAQA8wAAAKkF&#10;A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510AC6">
    <w:pPr>
      <w:pStyle w:val="ab"/>
      <w:tabs>
        <w:tab w:val="clear" w:pos="4153"/>
        <w:tab w:val="clear" w:pos="8306"/>
        <w:tab w:val="center" w:pos="5658"/>
      </w:tabs>
      <w:rPr>
        <w:rtl/>
      </w:rPr>
    </w:pPr>
    <w:r>
      <w:rPr>
        <w:noProof/>
      </w:rPr>
      <mc:AlternateContent>
        <mc:Choice Requires="wps">
          <w:drawing>
            <wp:anchor distT="0" distB="0" distL="114300" distR="114300" simplePos="0" relativeHeight="251661312" behindDoc="0" locked="0" layoutInCell="1" allowOverlap="1" wp14:anchorId="3B0400DB" wp14:editId="23A1A960">
              <wp:simplePos x="0" y="0"/>
              <wp:positionH relativeFrom="margin">
                <wp:posOffset>3235796</wp:posOffset>
              </wp:positionH>
              <wp:positionV relativeFrom="paragraph">
                <wp:posOffset>63951</wp:posOffset>
              </wp:positionV>
              <wp:extent cx="3356119" cy="330364"/>
              <wp:effectExtent l="0" t="0" r="0" b="0"/>
              <wp:wrapNone/>
              <wp:docPr id="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0400DB" id="_x0000_t202" coordsize="21600,21600" o:spt="202" path="m,l,21600r21600,l21600,xe">
              <v:stroke joinstyle="miter"/>
              <v:path gradientshapeok="t" o:connecttype="rect"/>
            </v:shapetype>
            <v:shape id="תיבת טקסט 9" o:spid="_x0000_s1031" type="#_x0000_t202" style="position:absolute;left:0;text-align:left;margin-left:254.8pt;margin-top:5.05pt;width:264.25pt;height:2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sE1lEQgIAADwEAAAO&#10;AAAAAAAAAAAAAAAAAC4CAABkcnMvZTJvRG9jLnhtbFBLAQItABQABgAIAAAAIQAC2+i93AAAAAoB&#10;AAAPAAAAAAAAAAAAAAAAAJwEAABkcnMvZG93bnJldi54bWxQSwUGAAAAAAQABADzAAAApQU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2EC361C" wp14:editId="5AE483CC">
              <wp:simplePos x="0" y="0"/>
              <wp:positionH relativeFrom="margin">
                <wp:posOffset>46355</wp:posOffset>
              </wp:positionH>
              <wp:positionV relativeFrom="paragraph">
                <wp:posOffset>34290</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EC361C" id="תיבת טקסט 8" o:spid="_x0000_s1032"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HVMygQgIAAGEEAAAO&#10;AAAAAAAAAAAAAAAAAC4CAABkcnMvZTJvRG9jLnhtbFBLAQItABQABgAIAAAAIQDVUvA93AAAAAYB&#10;AAAPAAAAAAAAAAAAAAAAAJwEAABkcnMvZG93bnJldi54bWxQSwUGAAAAAAQABADzAAAApQU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r>
      <w:tab/>
    </w:r>
  </w:p>
  <w:p w:rsidR="00265073" w:rsidRDefault="00265073" w:rsidP="00CC75FB">
    <w:pPr>
      <w:pStyle w:val="ab"/>
    </w:pPr>
  </w:p>
  <w:p w:rsidR="00265073" w:rsidRDefault="00265073"/>
</w:ftr>
</file>

<file path=word/footer5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8510005"/>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169</w:t>
        </w:r>
        <w:r>
          <w:fldChar w:fldCharType="end"/>
        </w:r>
      </w:p>
    </w:sdtContent>
  </w:sdt>
</w:ftr>
</file>

<file path=word/footer5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23870906"/>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173</w:t>
        </w:r>
        <w:r>
          <w:fldChar w:fldCharType="end"/>
        </w:r>
      </w:p>
    </w:sdtContent>
  </w:sdt>
  <w:p w:rsidR="00265073" w:rsidRDefault="00265073"/>
</w:ftr>
</file>

<file path=word/footer5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03296" behindDoc="0" locked="0" layoutInCell="1" allowOverlap="1" wp14:anchorId="1ED53A0D" wp14:editId="7520CB01">
              <wp:simplePos x="0" y="0"/>
              <wp:positionH relativeFrom="margin">
                <wp:posOffset>3235796</wp:posOffset>
              </wp:positionH>
              <wp:positionV relativeFrom="paragraph">
                <wp:posOffset>63951</wp:posOffset>
              </wp:positionV>
              <wp:extent cx="3356119" cy="330364"/>
              <wp:effectExtent l="0" t="0" r="0" b="0"/>
              <wp:wrapNone/>
              <wp:docPr id="35" name="תיבת טקסט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A77F33">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D53A0D" id="_x0000_t202" coordsize="21600,21600" o:spt="202" path="m,l,21600r21600,l21600,xe">
              <v:stroke joinstyle="miter"/>
              <v:path gradientshapeok="t" o:connecttype="rect"/>
            </v:shapetype>
            <v:shape id="תיבת טקסט 35" o:spid="_x0000_s1059" type="#_x0000_t202" style="position:absolute;left:0;text-align:left;margin-left:254.8pt;margin-top:5.05pt;width:264.25pt;height:2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C4PtWR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A77F33">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0618CDBE" wp14:editId="0099A68D">
              <wp:simplePos x="0" y="0"/>
              <wp:positionH relativeFrom="margin">
                <wp:posOffset>46355</wp:posOffset>
              </wp:positionH>
              <wp:positionV relativeFrom="paragraph">
                <wp:posOffset>34290</wp:posOffset>
              </wp:positionV>
              <wp:extent cx="1002665" cy="264160"/>
              <wp:effectExtent l="0" t="0" r="26035" b="21590"/>
              <wp:wrapNone/>
              <wp:docPr id="36" name="תיבת טקסט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18CDBE" id="תיבת טקסט 36" o:spid="_x0000_s1060" type="#_x0000_t202" style="position:absolute;left:0;text-align:left;margin-left:3.65pt;margin-top:2.7pt;width:78.95pt;height:20.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PUO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Z+j1DkYCAABk&#10;BAAADgAAAAAAAAAAAAAAAAAuAgAAZHJzL2Uyb0RvYy54bWxQSwECLQAUAAYACAAAACEA1VLwPdwA&#10;AAAGAQAADwAAAAAAAAAAAAAAAACgBAAAZHJzL2Rvd25yZXYueG1sUEsFBgAAAAAEAAQA8wAAAKkF&#10;A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5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5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5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01248" behindDoc="0" locked="0" layoutInCell="1" allowOverlap="1" wp14:anchorId="21972F5D" wp14:editId="4000C8D8">
              <wp:simplePos x="0" y="0"/>
              <wp:positionH relativeFrom="margin">
                <wp:posOffset>3235796</wp:posOffset>
              </wp:positionH>
              <wp:positionV relativeFrom="paragraph">
                <wp:posOffset>63951</wp:posOffset>
              </wp:positionV>
              <wp:extent cx="3356119" cy="330364"/>
              <wp:effectExtent l="0" t="0" r="0" b="0"/>
              <wp:wrapNone/>
              <wp:docPr id="37" name="תיבת טקסט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1972F5D" id="_x0000_t202" coordsize="21600,21600" o:spt="202" path="m,l,21600r21600,l21600,xe">
              <v:stroke joinstyle="miter"/>
              <v:path gradientshapeok="t" o:connecttype="rect"/>
            </v:shapetype>
            <v:shape id="תיבת טקסט 37" o:spid="_x0000_s1061" type="#_x0000_t202" style="position:absolute;left:0;text-align:left;margin-left:254.8pt;margin-top:5.05pt;width:264.25pt;height:2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GF5RgIAAEY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925E570" wp14:editId="3DDFEF7A">
              <wp:simplePos x="0" y="0"/>
              <wp:positionH relativeFrom="margin">
                <wp:posOffset>46355</wp:posOffset>
              </wp:positionH>
              <wp:positionV relativeFrom="paragraph">
                <wp:posOffset>34290</wp:posOffset>
              </wp:positionV>
              <wp:extent cx="1002665" cy="264160"/>
              <wp:effectExtent l="0" t="0" r="26035" b="21590"/>
              <wp:wrapNone/>
              <wp:docPr id="38" name="תיבת טקסט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25E570" id="תיבת טקסט 38" o:spid="_x0000_s1062" type="#_x0000_t202" style="position:absolute;left:0;text-align:left;margin-left:3.65pt;margin-top:2.7pt;width:78.95pt;height:20.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PKN4P5EAgAAZAQA&#10;AA4AAAAAAAAAAAAAAAAALgIAAGRycy9lMm9Eb2MueG1sUEsBAi0AFAAGAAgAAAAhANVS8D3cAAAA&#10;BgEAAA8AAAAAAAAAAAAAAAAAngQAAGRycy9kb3ducmV2LnhtbFBLBQYAAAAABAAEAPMAAACnBQAA&#10;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5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3237434"/>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183</w:t>
        </w:r>
        <w:r>
          <w:fldChar w:fldCharType="end"/>
        </w:r>
      </w:p>
    </w:sdtContent>
  </w:sdt>
</w:ftr>
</file>

<file path=word/footer5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63321802"/>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186</w:t>
        </w:r>
        <w:r>
          <w:fldChar w:fldCharType="end"/>
        </w:r>
      </w:p>
    </w:sdtContent>
  </w:sdt>
</w:ftr>
</file>

<file path=word/footer5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08416" behindDoc="0" locked="0" layoutInCell="1" allowOverlap="1" wp14:anchorId="64314EF1" wp14:editId="52AE63B8">
              <wp:simplePos x="0" y="0"/>
              <wp:positionH relativeFrom="margin">
                <wp:posOffset>3235796</wp:posOffset>
              </wp:positionH>
              <wp:positionV relativeFrom="paragraph">
                <wp:posOffset>63951</wp:posOffset>
              </wp:positionV>
              <wp:extent cx="3356119" cy="330364"/>
              <wp:effectExtent l="0" t="0" r="0" b="0"/>
              <wp:wrapNone/>
              <wp:docPr id="39" name="תיבת טקסט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EC445E">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rFonts w:hint="cs"/>
                              <w:b/>
                              <w:bCs/>
                              <w:sz w:val="16"/>
                              <w:szCs w:val="16"/>
                              <w:rtl/>
                            </w:rPr>
                            <w:t xml:space="preserve"> 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314EF1" id="_x0000_t202" coordsize="21600,21600" o:spt="202" path="m,l,21600r21600,l21600,xe">
              <v:stroke joinstyle="miter"/>
              <v:path gradientshapeok="t" o:connecttype="rect"/>
            </v:shapetype>
            <v:shape id="תיבת טקסט 39" o:spid="_x0000_s1063" type="#_x0000_t202" style="position:absolute;left:0;text-align:left;margin-left:254.8pt;margin-top:5.05pt;width:264.25pt;height:2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tSRgIAAEY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" stroked="f" strokeweight="1.5pt">
              <v:textbox>
                <w:txbxContent>
                  <w:p w:rsidR="00265073" w:rsidRPr="00D348B7" w:rsidRDefault="00265073" w:rsidP="00EC445E">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rFonts w:hint="cs"/>
                        <w:b/>
                        <w:bCs/>
                        <w:sz w:val="16"/>
                        <w:szCs w:val="16"/>
                        <w:rtl/>
                      </w:rPr>
                      <w:t xml:space="preserve"> 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07346077" wp14:editId="7F6567CE">
              <wp:simplePos x="0" y="0"/>
              <wp:positionH relativeFrom="margin">
                <wp:posOffset>46355</wp:posOffset>
              </wp:positionH>
              <wp:positionV relativeFrom="paragraph">
                <wp:posOffset>34290</wp:posOffset>
              </wp:positionV>
              <wp:extent cx="1002665" cy="264160"/>
              <wp:effectExtent l="0" t="0" r="26035" b="21590"/>
              <wp:wrapNone/>
              <wp:docPr id="41" name="תיבת טקסט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346077" id="תיבת טקסט 41" o:spid="_x0000_s1064" type="#_x0000_t202" style="position:absolute;left:0;text-align:left;margin-left:3.65pt;margin-top:2.7pt;width:78.95pt;height:20.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BXl+p3SAIA&#10;AGQEAAAOAAAAAAAAAAAAAAAAAC4CAABkcnMvZTJvRG9jLnhtbFBLAQItABQABgAIAAAAIQDVUvA9&#10;3AAAAAYBAAAPAAAAAAAAAAAAAAAAAKIEAABkcnMvZG93bnJldi54bWxQSwUGAAAAAAQABADzAAAA&#10;qwU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5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93816231"/>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002E4320" w:rsidRPr="002E4320">
          <w:rPr>
            <w:noProof/>
            <w:rtl/>
            <w:lang w:val="he-IL"/>
          </w:rPr>
          <w:t>3</w:t>
        </w:r>
        <w:r>
          <w:fldChar w:fldCharType="end"/>
        </w:r>
      </w:p>
    </w:sdtContent>
  </w:sdt>
</w:ftr>
</file>

<file path=word/footer6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6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06368" behindDoc="0" locked="0" layoutInCell="1" allowOverlap="1" wp14:anchorId="704C3AFA" wp14:editId="377F6D73">
              <wp:simplePos x="0" y="0"/>
              <wp:positionH relativeFrom="margin">
                <wp:posOffset>3235796</wp:posOffset>
              </wp:positionH>
              <wp:positionV relativeFrom="paragraph">
                <wp:posOffset>63951</wp:posOffset>
              </wp:positionV>
              <wp:extent cx="3356119" cy="330364"/>
              <wp:effectExtent l="0" t="0" r="0" b="0"/>
              <wp:wrapNone/>
              <wp:docPr id="42" name="תיבת טקסט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4C3AFA" id="_x0000_t202" coordsize="21600,21600" o:spt="202" path="m,l,21600r21600,l21600,xe">
              <v:stroke joinstyle="miter"/>
              <v:path gradientshapeok="t" o:connecttype="rect"/>
            </v:shapetype>
            <v:shape id="תיבת טקסט 42" o:spid="_x0000_s1065" type="#_x0000_t202" style="position:absolute;left:0;text-align:left;margin-left:254.8pt;margin-top:5.05pt;width:264.25pt;height:2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IuRwIAAEY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D7bQi5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2E96AC85" wp14:editId="656538B0">
              <wp:simplePos x="0" y="0"/>
              <wp:positionH relativeFrom="margin">
                <wp:posOffset>46355</wp:posOffset>
              </wp:positionH>
              <wp:positionV relativeFrom="paragraph">
                <wp:posOffset>34290</wp:posOffset>
              </wp:positionV>
              <wp:extent cx="1002665" cy="264160"/>
              <wp:effectExtent l="0" t="0" r="26035" b="21590"/>
              <wp:wrapNone/>
              <wp:docPr id="43" name="תיבת טקסט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96AC85" id="תיבת טקסט 43" o:spid="_x0000_s1066" type="#_x0000_t202" style="position:absolute;left:0;text-align:left;margin-left:3.65pt;margin-top:2.7pt;width:78.95pt;height:20.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A6RgIAAGQEAAAOAAAAZHJzL2Uyb0RvYy54bWysVM2O0zAQviPxDpbvNGm37Za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nv8gOkYCAABk&#10;BAAADgAAAAAAAAAAAAAAAAAuAgAAZHJzL2Uyb0RvYy54bWxQSwECLQAUAAYACAAAACEA1VLwPdwA&#10;AAAGAQAADwAAAAAAAAAAAAAAAACgBAAAZHJzL2Rvd25yZXYueG1sUEsFBgAAAAAEAAQA8wAAAKkF&#10;A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6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2357517"/>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200</w:t>
        </w:r>
        <w:r>
          <w:fldChar w:fldCharType="end"/>
        </w:r>
      </w:p>
    </w:sdtContent>
  </w:sdt>
</w:ftr>
</file>

<file path=word/footer6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00463064"/>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205</w:t>
        </w:r>
        <w:r>
          <w:fldChar w:fldCharType="end"/>
        </w:r>
      </w:p>
    </w:sdtContent>
  </w:sdt>
</w:ftr>
</file>

<file path=word/footer6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13536" behindDoc="0" locked="0" layoutInCell="1" allowOverlap="1" wp14:anchorId="39E27002" wp14:editId="3EEFD79D">
              <wp:simplePos x="0" y="0"/>
              <wp:positionH relativeFrom="margin">
                <wp:posOffset>3235796</wp:posOffset>
              </wp:positionH>
              <wp:positionV relativeFrom="paragraph">
                <wp:posOffset>63951</wp:posOffset>
              </wp:positionV>
              <wp:extent cx="3356119" cy="330364"/>
              <wp:effectExtent l="0" t="0" r="0" b="0"/>
              <wp:wrapNone/>
              <wp:docPr id="44" name="תיבת טקסט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5E1ABF">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E27002" id="_x0000_t202" coordsize="21600,21600" o:spt="202" path="m,l,21600r21600,l21600,xe">
              <v:stroke joinstyle="miter"/>
              <v:path gradientshapeok="t" o:connecttype="rect"/>
            </v:shapetype>
            <v:shape id="תיבת טקסט 44" o:spid="_x0000_s1067" type="#_x0000_t202" style="position:absolute;left:0;text-align:left;margin-left:254.8pt;margin-top:5.05pt;width:264.25pt;height:2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HNMKbV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5E1ABF">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122F888A" wp14:editId="4495DC31">
              <wp:simplePos x="0" y="0"/>
              <wp:positionH relativeFrom="margin">
                <wp:posOffset>46355</wp:posOffset>
              </wp:positionH>
              <wp:positionV relativeFrom="paragraph">
                <wp:posOffset>34290</wp:posOffset>
              </wp:positionV>
              <wp:extent cx="1002665" cy="264160"/>
              <wp:effectExtent l="0" t="0" r="26035" b="21590"/>
              <wp:wrapNone/>
              <wp:docPr id="45" name="תיבת טקסט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2F888A" id="תיבת טקסט 45" o:spid="_x0000_s1068" type="#_x0000_t202" style="position:absolute;left:0;text-align:left;margin-left:3.65pt;margin-top:2.7pt;width:78.95pt;height:20.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Dm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wSoQ5kYCAABk&#10;BAAADgAAAAAAAAAAAAAAAAAuAgAAZHJzL2Uyb0RvYy54bWxQSwECLQAUAAYACAAAACEA1VLwPdwA&#10;AAAGAQAADwAAAAAAAAAAAAAAAACgBAAAZHJzL2Rvd25yZXYueG1sUEsFBgAAAAAEAAQA8wAAAKkF&#10;A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6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6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6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11488" behindDoc="0" locked="0" layoutInCell="1" allowOverlap="1" wp14:anchorId="442D1745" wp14:editId="10E2993F">
              <wp:simplePos x="0" y="0"/>
              <wp:positionH relativeFrom="margin">
                <wp:posOffset>3235796</wp:posOffset>
              </wp:positionH>
              <wp:positionV relativeFrom="paragraph">
                <wp:posOffset>63951</wp:posOffset>
              </wp:positionV>
              <wp:extent cx="3356119" cy="330364"/>
              <wp:effectExtent l="0" t="0" r="0" b="0"/>
              <wp:wrapNone/>
              <wp:docPr id="46" name="תיבת טקסט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2D1745" id="_x0000_t202" coordsize="21600,21600" o:spt="202" path="m,l,21600r21600,l21600,xe">
              <v:stroke joinstyle="miter"/>
              <v:path gradientshapeok="t" o:connecttype="rect"/>
            </v:shapetype>
            <v:shape id="תיבת טקסט 46" o:spid="_x0000_s1069" type="#_x0000_t202" style="position:absolute;left:0;text-align:left;margin-left:254.8pt;margin-top:5.05pt;width:264.25pt;height:2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I90a3l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601DBDEE" wp14:editId="700C4E91">
              <wp:simplePos x="0" y="0"/>
              <wp:positionH relativeFrom="margin">
                <wp:posOffset>46355</wp:posOffset>
              </wp:positionH>
              <wp:positionV relativeFrom="paragraph">
                <wp:posOffset>34290</wp:posOffset>
              </wp:positionV>
              <wp:extent cx="1002665" cy="264160"/>
              <wp:effectExtent l="0" t="0" r="26035" b="21590"/>
              <wp:wrapNone/>
              <wp:docPr id="47" name="תיבת טקסט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1DBDEE" id="תיבת טקסט 47" o:spid="_x0000_s1070" type="#_x0000_t202" style="position:absolute;left:0;text-align:left;margin-left:3.65pt;margin-top:2.7pt;width:78.95pt;height:20.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Sh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DC60oUYCAABk&#10;BAAADgAAAAAAAAAAAAAAAAAuAgAAZHJzL2Uyb0RvYy54bWxQSwECLQAUAAYACAAAACEA1VLwPdwA&#10;AAAGAQAADwAAAAAAAAAAAAAAAACgBAAAZHJzL2Rvd25yZXYueG1sUEsFBgAAAAAEAAQA8wAAAKkF&#10;A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6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16501778"/>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220</w:t>
        </w:r>
        <w:r>
          <w:fldChar w:fldCharType="end"/>
        </w:r>
      </w:p>
    </w:sdtContent>
  </w:sdt>
</w:ftr>
</file>

<file path=word/footer6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69167056"/>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225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32184279"/>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14</w:t>
        </w:r>
        <w:r>
          <w:fldChar w:fldCharType="end"/>
        </w:r>
      </w:p>
    </w:sdtContent>
  </w:sdt>
</w:ftr>
</file>

<file path=word/footer7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19680" behindDoc="0" locked="0" layoutInCell="1" allowOverlap="1" wp14:anchorId="3E02C2CF" wp14:editId="0AF865DB">
              <wp:simplePos x="0" y="0"/>
              <wp:positionH relativeFrom="margin">
                <wp:posOffset>3235796</wp:posOffset>
              </wp:positionH>
              <wp:positionV relativeFrom="paragraph">
                <wp:posOffset>63951</wp:posOffset>
              </wp:positionV>
              <wp:extent cx="3356119" cy="330364"/>
              <wp:effectExtent l="0" t="0" r="0" b="0"/>
              <wp:wrapNone/>
              <wp:docPr id="52" name="תיבת טקסט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F4065E">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02C2CF" id="_x0000_t202" coordsize="21600,21600" o:spt="202" path="m,l,21600r21600,l21600,xe">
              <v:stroke joinstyle="miter"/>
              <v:path gradientshapeok="t" o:connecttype="rect"/>
            </v:shapetype>
            <v:shape id="תיבת טקסט 52" o:spid="_x0000_s1071" type="#_x0000_t202" style="position:absolute;left:0;text-align:left;margin-left:254.8pt;margin-top:5.05pt;width:264.25pt;height:2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6cRgIAAEY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" stroked="f" strokeweight="1.5pt">
              <v:textbox>
                <w:txbxContent>
                  <w:p w:rsidR="00265073" w:rsidRPr="00D348B7" w:rsidRDefault="00265073" w:rsidP="00F4065E">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76683030" wp14:editId="160D9308">
              <wp:simplePos x="0" y="0"/>
              <wp:positionH relativeFrom="margin">
                <wp:posOffset>46355</wp:posOffset>
              </wp:positionH>
              <wp:positionV relativeFrom="paragraph">
                <wp:posOffset>34290</wp:posOffset>
              </wp:positionV>
              <wp:extent cx="1002665" cy="264160"/>
              <wp:effectExtent l="0" t="0" r="26035" b="21590"/>
              <wp:wrapNone/>
              <wp:docPr id="53" name="תיבת טקסט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683030" id="תיבת טקסט 53" o:spid="_x0000_s1072" type="#_x0000_t202" style="position:absolute;left:0;text-align:left;margin-left:3.65pt;margin-top:2.7pt;width:78.95pt;height:20.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4R2agRQIAAGQE&#10;AAAOAAAAAAAAAAAAAAAAAC4CAABkcnMvZTJvRG9jLnhtbFBLAQItABQABgAIAAAAIQDVUvA93AAA&#10;AAYBAAAPAAAAAAAAAAAAAAAAAJ8EAABkcnMvZG93bnJldi54bWxQSwUGAAAAAAQABADzAAAAqAUA&#10;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7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7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16608" behindDoc="0" locked="0" layoutInCell="1" allowOverlap="1" wp14:anchorId="777673B6" wp14:editId="164203F5">
              <wp:simplePos x="0" y="0"/>
              <wp:positionH relativeFrom="margin">
                <wp:posOffset>3235796</wp:posOffset>
              </wp:positionH>
              <wp:positionV relativeFrom="paragraph">
                <wp:posOffset>63951</wp:posOffset>
              </wp:positionV>
              <wp:extent cx="3356119" cy="330364"/>
              <wp:effectExtent l="0" t="0" r="0" b="0"/>
              <wp:wrapNone/>
              <wp:docPr id="50" name="תיבת טקסט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7673B6" id="_x0000_t202" coordsize="21600,21600" o:spt="202" path="m,l,21600r21600,l21600,xe">
              <v:stroke joinstyle="miter"/>
              <v:path gradientshapeok="t" o:connecttype="rect"/>
            </v:shapetype>
            <v:shape id="תיבת טקסט 50" o:spid="_x0000_s1073" type="#_x0000_t202" style="position:absolute;left:0;text-align:left;margin-left:254.8pt;margin-top:5.05pt;width:264.25pt;height:2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VfRwIAAEY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OHytV9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5584" behindDoc="0" locked="0" layoutInCell="1" allowOverlap="1" wp14:anchorId="7D9E84C6" wp14:editId="455897AA">
              <wp:simplePos x="0" y="0"/>
              <wp:positionH relativeFrom="margin">
                <wp:posOffset>46355</wp:posOffset>
              </wp:positionH>
              <wp:positionV relativeFrom="paragraph">
                <wp:posOffset>34290</wp:posOffset>
              </wp:positionV>
              <wp:extent cx="1002665" cy="264160"/>
              <wp:effectExtent l="0" t="0" r="26035" b="21590"/>
              <wp:wrapNone/>
              <wp:docPr id="51" name="תיבת טקסט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9E84C6" id="תיבת טקסט 51" o:spid="_x0000_s1074" type="#_x0000_t202" style="position:absolute;left:0;text-align:left;margin-left:3.65pt;margin-top:2.7pt;width:78.95pt;height:20.8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BzGZvoSAIA&#10;AGQEAAAOAAAAAAAAAAAAAAAAAC4CAABkcnMvZTJvRG9jLnhtbFBLAQItABQABgAIAAAAIQDVUvA9&#10;3AAAAAYBAAAPAAAAAAAAAAAAAAAAAKIEAABkcnMvZG93bnJldi54bWxQSwUGAAAAAAQABADzAAAA&#10;qwU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7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27569258"/>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226</w:t>
        </w:r>
        <w:r>
          <w:fldChar w:fldCharType="end"/>
        </w:r>
      </w:p>
    </w:sdtContent>
  </w:sdt>
</w:ftr>
</file>

<file path=word/footer7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01704780"/>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239</w:t>
        </w:r>
        <w:r>
          <w:fldChar w:fldCharType="end"/>
        </w:r>
      </w:p>
    </w:sdtContent>
  </w:sdt>
</w:ftr>
</file>

<file path=word/footer7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21599173"/>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243</w:t>
        </w:r>
        <w:r>
          <w:fldChar w:fldCharType="end"/>
        </w:r>
      </w:p>
    </w:sdtContent>
  </w:sdt>
</w:ftr>
</file>

<file path=word/footer7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7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22752" behindDoc="0" locked="0" layoutInCell="1" allowOverlap="1" wp14:anchorId="2B7EE433" wp14:editId="3E0531FF">
              <wp:simplePos x="0" y="0"/>
              <wp:positionH relativeFrom="margin">
                <wp:posOffset>3235796</wp:posOffset>
              </wp:positionH>
              <wp:positionV relativeFrom="paragraph">
                <wp:posOffset>63951</wp:posOffset>
              </wp:positionV>
              <wp:extent cx="3356119" cy="330364"/>
              <wp:effectExtent l="0" t="0" r="0" b="0"/>
              <wp:wrapNone/>
              <wp:docPr id="54" name="תיבת טקסט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7EE433" id="_x0000_t202" coordsize="21600,21600" o:spt="202" path="m,l,21600r21600,l21600,xe">
              <v:stroke joinstyle="miter"/>
              <v:path gradientshapeok="t" o:connecttype="rect"/>
            </v:shapetype>
            <v:shape id="תיבת טקסט 54" o:spid="_x0000_s1075" type="#_x0000_t202" style="position:absolute;left:0;text-align:left;margin-left:254.8pt;margin-top:5.05pt;width:264.25pt;height:26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FWqaQB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685BE9B0" wp14:editId="2920EDEA">
              <wp:simplePos x="0" y="0"/>
              <wp:positionH relativeFrom="margin">
                <wp:posOffset>46355</wp:posOffset>
              </wp:positionH>
              <wp:positionV relativeFrom="paragraph">
                <wp:posOffset>34290</wp:posOffset>
              </wp:positionV>
              <wp:extent cx="1002665" cy="264160"/>
              <wp:effectExtent l="0" t="0" r="26035" b="21590"/>
              <wp:wrapNone/>
              <wp:docPr id="55" name="תיבת טקסט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5BE9B0" id="תיבת טקסט 55" o:spid="_x0000_s1076" type="#_x0000_t202" style="position:absolute;left:0;text-align:left;margin-left:3.65pt;margin-top:2.7pt;width:78.95pt;height:20.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OQ/+ntEAgAAZAQA&#10;AA4AAAAAAAAAAAAAAAAALgIAAGRycy9lMm9Eb2MueG1sUEsBAi0AFAAGAAgAAAAhANVS8D3cAAAA&#10;BgEAAA8AAAAAAAAAAAAAAAAAngQAAGRycy9kb3ducmV2LnhtbFBLBQYAAAAABAAEAPMAAACnBQAA&#10;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7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62427430"/>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254</w:t>
        </w:r>
        <w:r>
          <w:fldChar w:fldCharType="end"/>
        </w:r>
      </w:p>
    </w:sdtContent>
  </w:sdt>
</w:ftr>
</file>

<file path=word/footer7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71301117"/>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260</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8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8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25824" behindDoc="0" locked="0" layoutInCell="1" allowOverlap="1" wp14:anchorId="1F4B594A" wp14:editId="28AD3A7C">
              <wp:simplePos x="0" y="0"/>
              <wp:positionH relativeFrom="margin">
                <wp:posOffset>3235796</wp:posOffset>
              </wp:positionH>
              <wp:positionV relativeFrom="paragraph">
                <wp:posOffset>63951</wp:posOffset>
              </wp:positionV>
              <wp:extent cx="3356119" cy="330364"/>
              <wp:effectExtent l="0" t="0" r="0" b="0"/>
              <wp:wrapNone/>
              <wp:docPr id="56" name="תיבת טקסט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4B594A" id="_x0000_t202" coordsize="21600,21600" o:spt="202" path="m,l,21600r21600,l21600,xe">
              <v:stroke joinstyle="miter"/>
              <v:path gradientshapeok="t" o:connecttype="rect"/>
            </v:shapetype>
            <v:shape id="תיבת טקסט 56" o:spid="_x0000_s1077" type="#_x0000_t202" style="position:absolute;left:0;text-align:left;margin-left:254.8pt;margin-top:5.05pt;width:264.25pt;height:2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K/IcsN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18A96F48" wp14:editId="371ED487">
              <wp:simplePos x="0" y="0"/>
              <wp:positionH relativeFrom="margin">
                <wp:posOffset>46355</wp:posOffset>
              </wp:positionH>
              <wp:positionV relativeFrom="paragraph">
                <wp:posOffset>34290</wp:posOffset>
              </wp:positionV>
              <wp:extent cx="1002665" cy="264160"/>
              <wp:effectExtent l="0" t="0" r="26035" b="21590"/>
              <wp:wrapNone/>
              <wp:docPr id="57" name="תיבת טקסט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A96F48" id="תיבת טקסט 57" o:spid="_x0000_s1078" type="#_x0000_t202" style="position:absolute;left:0;text-align:left;margin-left:3.65pt;margin-top:2.7pt;width:78.95pt;height:20.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C9hBzNEAgAAZAQA&#10;AA4AAAAAAAAAAAAAAAAALgIAAGRycy9lMm9Eb2MueG1sUEsBAi0AFAAGAAgAAAAhANVS8D3cAAAA&#10;BgEAAA8AAAAAAAAAAAAAAAAAngQAAGRycy9kb3ducmV2LnhtbFBLBQYAAAAABAAEAPMAAACnBQAA&#10;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8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856167658"/>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269</w:t>
        </w:r>
        <w:r>
          <w:fldChar w:fldCharType="end"/>
        </w:r>
      </w:p>
    </w:sdtContent>
  </w:sdt>
</w:ftr>
</file>

<file path=word/footer8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83755003"/>
      <w:docPartObj>
        <w:docPartGallery w:val="Page Numbers (Bottom of Page)"/>
        <w:docPartUnique/>
      </w:docPartObj>
    </w:sdt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272</w:t>
        </w:r>
        <w:r>
          <w:fldChar w:fldCharType="end"/>
        </w:r>
      </w:p>
    </w:sdtContent>
  </w:sdt>
</w:ftr>
</file>

<file path=word/footer8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30944" behindDoc="0" locked="0" layoutInCell="1" allowOverlap="1" wp14:anchorId="32C87FC1" wp14:editId="50D9EDF9">
              <wp:simplePos x="0" y="0"/>
              <wp:positionH relativeFrom="margin">
                <wp:posOffset>3235796</wp:posOffset>
              </wp:positionH>
              <wp:positionV relativeFrom="paragraph">
                <wp:posOffset>63951</wp:posOffset>
              </wp:positionV>
              <wp:extent cx="3356119" cy="330364"/>
              <wp:effectExtent l="0" t="0" r="0" b="0"/>
              <wp:wrapNone/>
              <wp:docPr id="58" name="תיבת טקסט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E824D3">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C87FC1" id="_x0000_t202" coordsize="21600,21600" o:spt="202" path="m,l,21600r21600,l21600,xe">
              <v:stroke joinstyle="miter"/>
              <v:path gradientshapeok="t" o:connecttype="rect"/>
            </v:shapetype>
            <v:shape id="תיבת טקסט 58" o:spid="_x0000_s1079" type="#_x0000_t202" style="position:absolute;left:0;text-align:left;margin-left:254.8pt;margin-top:5.05pt;width:264.25pt;height:2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Iruoed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E824D3">
                    <w:pPr>
                      <w:spacing w:line="240" w:lineRule="auto"/>
                      <w:ind w:left="0"/>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538B41A6" wp14:editId="20624F21">
              <wp:simplePos x="0" y="0"/>
              <wp:positionH relativeFrom="margin">
                <wp:posOffset>46355</wp:posOffset>
              </wp:positionH>
              <wp:positionV relativeFrom="paragraph">
                <wp:posOffset>34290</wp:posOffset>
              </wp:positionV>
              <wp:extent cx="1002665" cy="264160"/>
              <wp:effectExtent l="0" t="0" r="26035" b="21590"/>
              <wp:wrapNone/>
              <wp:docPr id="59" name="תיבת טקסט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8B41A6" id="תיבת טקסט 59" o:spid="_x0000_s1080" type="#_x0000_t202" style="position:absolute;left:0;text-align:left;margin-left:3.65pt;margin-top:2.7pt;width:78.95pt;height:20.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f/4QSRQIAAGQE&#10;AAAOAAAAAAAAAAAAAAAAAC4CAABkcnMvZTJvRG9jLnhtbFBLAQItABQABgAIAAAAIQDVUvA93AAA&#10;AAYBAAAPAAAAAAAAAAAAAAAAAJ8EAABkcnMvZG93bnJldi54bWxQSwUGAAAAAAQABADzAAAAqAUA&#10;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8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b"/>
    </w:pPr>
  </w:p>
</w:ftr>
</file>

<file path=word/footer8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4B2D04">
    <w:pPr>
      <w:pStyle w:val="ab"/>
    </w:pPr>
    <w:r>
      <w:rPr>
        <w:noProof/>
      </w:rPr>
      <mc:AlternateContent>
        <mc:Choice Requires="wps">
          <w:drawing>
            <wp:anchor distT="0" distB="0" distL="114300" distR="114300" simplePos="0" relativeHeight="251728896" behindDoc="0" locked="0" layoutInCell="1" allowOverlap="1" wp14:anchorId="768265F3" wp14:editId="038E07A1">
              <wp:simplePos x="0" y="0"/>
              <wp:positionH relativeFrom="margin">
                <wp:posOffset>3235796</wp:posOffset>
              </wp:positionH>
              <wp:positionV relativeFrom="paragraph">
                <wp:posOffset>63951</wp:posOffset>
              </wp:positionV>
              <wp:extent cx="3356119" cy="330364"/>
              <wp:effectExtent l="0" t="0" r="0" b="0"/>
              <wp:wrapNone/>
              <wp:docPr id="60" name="תיבת טקסט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a:extLst/>
                    </wps:spPr>
                    <wps:txb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1"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8265F3" id="_x0000_t202" coordsize="21600,21600" o:spt="202" path="m,l,21600r21600,l21600,xe">
              <v:stroke joinstyle="miter"/>
              <v:path gradientshapeok="t" o:connecttype="rect"/>
            </v:shapetype>
            <v:shape id="תיבת טקסט 60" o:spid="_x0000_s1081" type="#_x0000_t202" style="position:absolute;left:0;text-align:left;margin-left:254.8pt;margin-top:5.05pt;width:264.25pt;height:2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lVZRwIAAEY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" stroked="f" strokeweight="1.5pt">
              <v:textbox>
                <w:txbxContent>
                  <w:p w:rsidR="00265073" w:rsidRPr="00D348B7" w:rsidRDefault="00265073" w:rsidP="004B2D04">
                    <w:pPr>
                      <w:spacing w:line="240" w:lineRule="auto"/>
                      <w:ind w:left="0"/>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rsidR="00265073" w:rsidRPr="008D08BD" w:rsidRDefault="00265073" w:rsidP="004B2D04">
                    <w:pPr>
                      <w:bidi w:val="0"/>
                      <w:ind w:left="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AC751C6" wp14:editId="4B99122A">
              <wp:simplePos x="0" y="0"/>
              <wp:positionH relativeFrom="margin">
                <wp:posOffset>46355</wp:posOffset>
              </wp:positionH>
              <wp:positionV relativeFrom="paragraph">
                <wp:posOffset>34290</wp:posOffset>
              </wp:positionV>
              <wp:extent cx="1002665" cy="264160"/>
              <wp:effectExtent l="0" t="0" r="26035" b="21590"/>
              <wp:wrapNone/>
              <wp:docPr id="61" name="תיבת טקסט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rsidR="00265073" w:rsidRDefault="00265073" w:rsidP="00CC75FB">
                          <w:pPr>
                            <w:ind w:left="0"/>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C751C6" id="תיבת טקסט 61" o:spid="_x0000_s1082" type="#_x0000_t202" style="position:absolute;left:0;text-align:left;margin-left:3.65pt;margin-top:2.7pt;width:78.95pt;height:20.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KryEl0YCAABk&#10;BAAADgAAAAAAAAAAAAAAAAAuAgAAZHJzL2Uyb0RvYy54bWxQSwECLQAUAAYACAAAACEA1VLwPdwA&#10;AAAGAQAADwAAAAAAAAAAAAAAAACgBAAAZHJzL2Rvd25yZXYueG1sUEsFBgAAAAAEAAQA8wAAAKkF&#10;AAAAAA==&#10;" strokeweight="1.25pt">
              <v:textbox>
                <w:txbxContent>
                  <w:p w:rsidR="00265073" w:rsidRDefault="00265073" w:rsidP="00CC75FB">
                    <w:pPr>
                      <w:ind w:left="0"/>
                      <w:rPr>
                        <w:b/>
                        <w:bCs/>
                        <w:sz w:val="18"/>
                        <w:szCs w:val="18"/>
                      </w:rPr>
                    </w:pPr>
                    <w:r>
                      <w:rPr>
                        <w:b/>
                        <w:bCs/>
                        <w:sz w:val="18"/>
                        <w:szCs w:val="18"/>
                        <w:rtl/>
                      </w:rPr>
                      <w:t>המשך בעמ' הבא</w:t>
                    </w:r>
                  </w:p>
                </w:txbxContent>
              </v:textbox>
              <w10:wrap anchorx="margin"/>
            </v:shape>
          </w:pict>
        </mc:Fallback>
      </mc:AlternateContent>
    </w:r>
  </w:p>
  <w:p w:rsidR="00265073" w:rsidRDefault="00265073" w:rsidP="00CC75FB">
    <w:pPr>
      <w:pStyle w:val="ab"/>
    </w:pPr>
  </w:p>
</w:ftr>
</file>

<file path=word/footer8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88253590"/>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289</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22822329"/>
      <w:docPartObj>
        <w:docPartGallery w:val="Page Numbers (Bottom of Page)"/>
        <w:docPartUnique/>
      </w:docPartObj>
    </w:sdtPr>
    <w:sdtEndPr>
      <w:rPr>
        <w:cs/>
      </w:rPr>
    </w:sdtEndPr>
    <w:sdtContent>
      <w:p w:rsidR="00265073" w:rsidRDefault="00265073">
        <w:pPr>
          <w:pStyle w:val="ab"/>
          <w:jc w:val="right"/>
          <w:rPr>
            <w:rtl/>
            <w:cs/>
          </w:rPr>
        </w:pPr>
        <w:r>
          <w:fldChar w:fldCharType="begin"/>
        </w:r>
        <w:r>
          <w:rPr>
            <w:rtl/>
            <w:cs/>
          </w:rPr>
          <w:instrText>PAGE   \* MERGEFORMAT</w:instrText>
        </w:r>
        <w:r>
          <w:fldChar w:fldCharType="separate"/>
        </w:r>
        <w:r w:rsidRPr="00265073">
          <w:rPr>
            <w:noProof/>
            <w:rtl/>
            <w:lang w:val="he-IL"/>
          </w:rPr>
          <w:t>24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4AF" w:rsidRDefault="001944AF" w:rsidP="00F35477">
      <w:pPr>
        <w:spacing w:line="240" w:lineRule="auto"/>
      </w:pPr>
      <w:r>
        <w:separator/>
      </w:r>
    </w:p>
    <w:p w:rsidR="001944AF" w:rsidRDefault="001944AF"/>
  </w:footnote>
  <w:footnote w:type="continuationSeparator" w:id="0">
    <w:p w:rsidR="001944AF" w:rsidRDefault="001944AF" w:rsidP="00F35477">
      <w:pPr>
        <w:spacing w:line="240" w:lineRule="auto"/>
      </w:pPr>
      <w:r>
        <w:continuationSeparator/>
      </w:r>
    </w:p>
    <w:p w:rsidR="001944AF" w:rsidRDefault="001944AF"/>
  </w:footnote>
  <w:footnote w:id="1">
    <w:p w:rsidR="00265073" w:rsidRDefault="00265073" w:rsidP="00DE052E">
      <w:pPr>
        <w:pStyle w:val="af"/>
        <w:rPr>
          <w:rtl/>
        </w:rPr>
      </w:pPr>
      <w:r>
        <w:rPr>
          <w:rStyle w:val="af1"/>
        </w:rPr>
        <w:footnoteRef/>
      </w:r>
      <w:r>
        <w:rPr>
          <w:rtl/>
        </w:rPr>
        <w:t xml:space="preserve"> </w:t>
      </w:r>
      <w:r w:rsidRPr="005621C3">
        <w:rPr>
          <w:rStyle w:val="afb"/>
          <w:rFonts w:hint="cs"/>
          <w:rtl/>
        </w:rPr>
        <w:t xml:space="preserve">והיינו דכיון דס"ל </w:t>
      </w:r>
      <w:r w:rsidRPr="005621C3">
        <w:rPr>
          <w:rStyle w:val="affa"/>
          <w:rFonts w:hint="cs"/>
          <w:rtl/>
        </w:rPr>
        <w:t>להריטב"א כרמב"ן</w:t>
      </w:r>
      <w:r w:rsidRPr="005621C3">
        <w:rPr>
          <w:rStyle w:val="afb"/>
          <w:rFonts w:hint="cs"/>
          <w:rtl/>
        </w:rPr>
        <w:t xml:space="preserve"> </w:t>
      </w:r>
      <w:r w:rsidRPr="005621C3">
        <w:rPr>
          <w:rStyle w:val="aff6"/>
          <w:rFonts w:hint="cs"/>
          <w:rtl/>
        </w:rPr>
        <w:t xml:space="preserve">(עי' אות </w:t>
      </w:r>
      <w:r w:rsidRPr="005621C3">
        <w:rPr>
          <w:rStyle w:val="aff6"/>
          <w:rtl/>
        </w:rPr>
        <w:fldChar w:fldCharType="begin"/>
      </w:r>
      <w:r w:rsidRPr="005621C3">
        <w:rPr>
          <w:rStyle w:val="aff6"/>
          <w:rtl/>
        </w:rPr>
        <w:instrText xml:space="preserve"> </w:instrText>
      </w:r>
      <w:r w:rsidRPr="005621C3">
        <w:rPr>
          <w:rStyle w:val="aff6"/>
          <w:rFonts w:hint="cs"/>
        </w:rPr>
        <w:instrText>REF</w:instrText>
      </w:r>
      <w:r w:rsidRPr="005621C3">
        <w:rPr>
          <w:rStyle w:val="aff6"/>
          <w:rFonts w:hint="cs"/>
          <w:rtl/>
        </w:rPr>
        <w:instrText xml:space="preserve"> _</w:instrText>
      </w:r>
      <w:r w:rsidRPr="005621C3">
        <w:rPr>
          <w:rStyle w:val="aff6"/>
          <w:rFonts w:hint="cs"/>
        </w:rPr>
        <w:instrText>Ref54021550 \r \h</w:instrText>
      </w:r>
      <w:r w:rsidRPr="005621C3">
        <w:rPr>
          <w:rStyle w:val="aff6"/>
          <w:rtl/>
        </w:rPr>
        <w:instrText xml:space="preserve"> </w:instrText>
      </w:r>
      <w:r w:rsidRPr="005621C3">
        <w:rPr>
          <w:rStyle w:val="aff6"/>
          <w:rtl/>
        </w:rPr>
      </w:r>
      <w:r w:rsidRPr="005621C3">
        <w:rPr>
          <w:rStyle w:val="aff6"/>
          <w:rtl/>
        </w:rPr>
        <w:fldChar w:fldCharType="separate"/>
      </w:r>
      <w:r>
        <w:rPr>
          <w:rStyle w:val="aff6"/>
          <w:cs/>
        </w:rPr>
        <w:t>‎</w:t>
      </w:r>
      <w:r>
        <w:rPr>
          <w:rStyle w:val="aff6"/>
          <w:rtl/>
        </w:rPr>
        <w:t>כ)</w:t>
      </w:r>
      <w:r w:rsidRPr="005621C3">
        <w:rPr>
          <w:rStyle w:val="aff6"/>
          <w:rtl/>
        </w:rPr>
        <w:fldChar w:fldCharType="end"/>
      </w:r>
      <w:r w:rsidRPr="005621C3">
        <w:rPr>
          <w:rStyle w:val="aff6"/>
          <w:rFonts w:hint="cs"/>
          <w:rtl/>
        </w:rPr>
        <w:t xml:space="preserve"> </w:t>
      </w:r>
      <w:r w:rsidRPr="005621C3">
        <w:rPr>
          <w:rStyle w:val="afb"/>
          <w:rFonts w:hint="cs"/>
          <w:rtl/>
        </w:rPr>
        <w:t xml:space="preserve">דטעמא דחזקה, הוא דכל ששתק המערער יש ראיה למחזיק, לכן אין חילוק בין הראיה בקרקע לראיה במטלטלין, אבל לדעת </w:t>
      </w:r>
      <w:r w:rsidRPr="005621C3">
        <w:rPr>
          <w:rStyle w:val="affa"/>
          <w:rFonts w:hint="cs"/>
          <w:rtl/>
        </w:rPr>
        <w:t>שאר הראשונים</w:t>
      </w:r>
      <w:r w:rsidRPr="005621C3">
        <w:rPr>
          <w:rStyle w:val="afb"/>
          <w:rFonts w:hint="cs"/>
          <w:rtl/>
        </w:rPr>
        <w:t xml:space="preserve"> דאי"ז טעמא דחזקה, א"כ א"א לומר כדברי </w:t>
      </w:r>
      <w:r w:rsidRPr="005621C3">
        <w:rPr>
          <w:rStyle w:val="affa"/>
          <w:rFonts w:hint="cs"/>
          <w:rtl/>
        </w:rPr>
        <w:t>הריטב"א</w:t>
      </w:r>
      <w:r>
        <w:rPr>
          <w:rStyle w:val="afb"/>
          <w:rFonts w:hint="cs"/>
          <w:rtl/>
        </w:rPr>
        <w:t>,</w:t>
      </w:r>
      <w:r w:rsidRPr="005621C3">
        <w:rPr>
          <w:rStyle w:val="afb"/>
          <w:rFonts w:hint="cs"/>
          <w:rtl/>
        </w:rPr>
        <w:t xml:space="preserve"> </w:t>
      </w:r>
      <w:r w:rsidRPr="00074F23">
        <w:rPr>
          <w:rStyle w:val="afb"/>
          <w:rFonts w:hint="cs"/>
          <w:rtl/>
        </w:rPr>
        <w:t>[</w:t>
      </w:r>
      <w:r>
        <w:rPr>
          <w:rStyle w:val="afb"/>
          <w:rFonts w:hint="cs"/>
          <w:rtl/>
        </w:rPr>
        <w:t xml:space="preserve">וע"ע במ"ש בביאור דברי  </w:t>
      </w:r>
      <w:r w:rsidRPr="00074F23">
        <w:rPr>
          <w:rStyle w:val="affa"/>
          <w:rFonts w:hint="cs"/>
          <w:rtl/>
        </w:rPr>
        <w:t xml:space="preserve">הרמב"ן </w:t>
      </w:r>
      <w:r w:rsidRPr="00BC7265">
        <w:rPr>
          <w:rStyle w:val="affa"/>
          <w:rtl/>
        </w:rPr>
        <w:t xml:space="preserve">לקמן </w:t>
      </w:r>
      <w:r w:rsidRPr="00BC7265">
        <w:rPr>
          <w:rStyle w:val="aff6"/>
          <w:rtl/>
        </w:rPr>
        <w:t>(מב. ד"ה הא, הובא בסימן ה' אות ז')</w:t>
      </w:r>
      <w:r w:rsidRPr="00BC7265">
        <w:rPr>
          <w:rStyle w:val="affa"/>
          <w:rtl/>
        </w:rPr>
        <w:t xml:space="preserve"> </w:t>
      </w:r>
      <w:r w:rsidRPr="00074F23">
        <w:rPr>
          <w:rStyle w:val="affa"/>
          <w:rFonts w:hint="cs"/>
          <w:rtl/>
        </w:rPr>
        <w:t>ושאר הראשונים</w:t>
      </w:r>
      <w:r w:rsidRPr="00074F23">
        <w:rPr>
          <w:rStyle w:val="afb"/>
          <w:rFonts w:hint="cs"/>
          <w:rtl/>
        </w:rPr>
        <w:t xml:space="preserve"> בגדר חזקת ג"ש</w:t>
      </w:r>
      <w:r>
        <w:rPr>
          <w:rStyle w:val="afb"/>
          <w:rFonts w:hint="cs"/>
          <w:rtl/>
        </w:rPr>
        <w:t>]</w:t>
      </w:r>
      <w:r w:rsidRPr="005621C3">
        <w:rPr>
          <w:rStyle w:val="afb"/>
          <w:rFonts w:hint="cs"/>
          <w:rtl/>
        </w:rPr>
        <w:t>.</w:t>
      </w:r>
    </w:p>
  </w:footnote>
  <w:footnote w:id="2">
    <w:p w:rsidR="00265073" w:rsidRDefault="00265073" w:rsidP="00E26F6E">
      <w:pPr>
        <w:pStyle w:val="af"/>
        <w:rPr>
          <w:rtl/>
        </w:rPr>
      </w:pPr>
      <w:r>
        <w:rPr>
          <w:rStyle w:val="af1"/>
        </w:rPr>
        <w:footnoteRef/>
      </w:r>
      <w:r>
        <w:rPr>
          <w:rtl/>
        </w:rPr>
        <w:t xml:space="preserve"> </w:t>
      </w:r>
      <w:r w:rsidRPr="00A87072">
        <w:rPr>
          <w:rStyle w:val="afb"/>
          <w:rFonts w:hint="cs"/>
          <w:rtl/>
        </w:rPr>
        <w:t xml:space="preserve">וכתב </w:t>
      </w:r>
      <w:r w:rsidRPr="009034FE">
        <w:rPr>
          <w:rStyle w:val="affa"/>
          <w:rFonts w:hint="cs"/>
          <w:rtl/>
        </w:rPr>
        <w:t xml:space="preserve">בחי' רבי נחום </w:t>
      </w:r>
      <w:r w:rsidRPr="009034FE">
        <w:rPr>
          <w:rStyle w:val="aff6"/>
          <w:rFonts w:hint="cs"/>
          <w:rtl/>
        </w:rPr>
        <w:t>(או' א' ד"ה והדברים)</w:t>
      </w:r>
      <w:r w:rsidRPr="00A87072">
        <w:rPr>
          <w:rStyle w:val="afb"/>
          <w:rFonts w:hint="cs"/>
          <w:rtl/>
        </w:rPr>
        <w:t xml:space="preserve"> דאין כוונת </w:t>
      </w:r>
      <w:r w:rsidRPr="009034FE">
        <w:rPr>
          <w:rStyle w:val="affa"/>
          <w:rFonts w:hint="cs"/>
          <w:rtl/>
        </w:rPr>
        <w:t>הרשב"א</w:t>
      </w:r>
      <w:r w:rsidRPr="00A87072">
        <w:rPr>
          <w:rStyle w:val="afb"/>
          <w:rFonts w:hint="cs"/>
          <w:rtl/>
        </w:rPr>
        <w:t xml:space="preserve"> דדוקא לר"י דיליף משור המועד אמרינן כן, אלא דבגדר החזקה לא נחלקו רבנן על ר"י, וס"ל דע"י החזקה נעשה כמוחזק</w:t>
      </w:r>
      <w:r>
        <w:rPr>
          <w:rStyle w:val="afb"/>
          <w:rFonts w:hint="cs"/>
          <w:rtl/>
        </w:rPr>
        <w:t>.</w:t>
      </w:r>
    </w:p>
  </w:footnote>
  <w:footnote w:id="3">
    <w:p w:rsidR="00265073" w:rsidRDefault="00265073" w:rsidP="005A5ED7">
      <w:pPr>
        <w:pStyle w:val="af"/>
        <w:rPr>
          <w:rtl/>
        </w:rPr>
      </w:pPr>
      <w:r>
        <w:rPr>
          <w:rStyle w:val="af1"/>
        </w:rPr>
        <w:footnoteRef/>
      </w:r>
      <w:r>
        <w:rPr>
          <w:rtl/>
        </w:rPr>
        <w:t xml:space="preserve"> </w:t>
      </w:r>
      <w:r w:rsidRPr="00621F50">
        <w:rPr>
          <w:rStyle w:val="afb"/>
          <w:rFonts w:hint="cs"/>
          <w:rtl/>
        </w:rPr>
        <w:t xml:space="preserve">והוסיף </w:t>
      </w:r>
      <w:r w:rsidRPr="00621F50">
        <w:rPr>
          <w:rStyle w:val="affa"/>
          <w:rFonts w:hint="cs"/>
          <w:rtl/>
        </w:rPr>
        <w:t>העיטור</w:t>
      </w:r>
      <w:r w:rsidRPr="00621F50">
        <w:rPr>
          <w:rStyle w:val="afb"/>
          <w:rFonts w:hint="cs"/>
          <w:rtl/>
        </w:rPr>
        <w:t xml:space="preserve"> דבעבד קטן יש חזקה לאלתר, ולא הוקשה לו קושית </w:t>
      </w:r>
      <w:r w:rsidRPr="006F376C">
        <w:rPr>
          <w:rStyle w:val="affa"/>
          <w:rFonts w:hint="cs"/>
          <w:rtl/>
        </w:rPr>
        <w:t>הקצוה"ח</w:t>
      </w:r>
      <w:r w:rsidRPr="00621F50">
        <w:rPr>
          <w:rStyle w:val="afb"/>
          <w:rFonts w:hint="cs"/>
          <w:rtl/>
        </w:rPr>
        <w:t xml:space="preserve"> </w:t>
      </w:r>
      <w:r w:rsidRPr="006F376C">
        <w:rPr>
          <w:rStyle w:val="aff6"/>
          <w:rFonts w:hint="cs"/>
          <w:rtl/>
        </w:rPr>
        <w:t xml:space="preserve">(עי' אות </w:t>
      </w:r>
      <w:r w:rsidRPr="006F376C">
        <w:rPr>
          <w:rStyle w:val="aff6"/>
          <w:rtl/>
        </w:rPr>
        <w:fldChar w:fldCharType="begin"/>
      </w:r>
      <w:r w:rsidRPr="006F376C">
        <w:rPr>
          <w:rStyle w:val="aff6"/>
          <w:rtl/>
        </w:rPr>
        <w:instrText xml:space="preserve"> </w:instrText>
      </w:r>
      <w:r w:rsidRPr="006F376C">
        <w:rPr>
          <w:rStyle w:val="aff6"/>
          <w:rFonts w:hint="cs"/>
        </w:rPr>
        <w:instrText>REF</w:instrText>
      </w:r>
      <w:r w:rsidRPr="006F376C">
        <w:rPr>
          <w:rStyle w:val="aff6"/>
          <w:rFonts w:hint="cs"/>
          <w:rtl/>
        </w:rPr>
        <w:instrText xml:space="preserve"> _</w:instrText>
      </w:r>
      <w:r w:rsidRPr="006F376C">
        <w:rPr>
          <w:rStyle w:val="aff6"/>
          <w:rFonts w:hint="cs"/>
        </w:rPr>
        <w:instrText>Ref53467648 \r \h</w:instrText>
      </w:r>
      <w:r w:rsidRPr="006F376C">
        <w:rPr>
          <w:rStyle w:val="aff6"/>
          <w:rtl/>
        </w:rPr>
        <w:instrText xml:space="preserve"> </w:instrText>
      </w:r>
      <w:r w:rsidRPr="006F376C">
        <w:rPr>
          <w:rStyle w:val="aff6"/>
          <w:rtl/>
        </w:rPr>
      </w:r>
      <w:r w:rsidRPr="006F376C">
        <w:rPr>
          <w:rStyle w:val="aff6"/>
          <w:rtl/>
        </w:rPr>
        <w:fldChar w:fldCharType="separate"/>
      </w:r>
      <w:r>
        <w:rPr>
          <w:rStyle w:val="aff6"/>
          <w:cs/>
        </w:rPr>
        <w:t>‎</w:t>
      </w:r>
      <w:r>
        <w:rPr>
          <w:rStyle w:val="aff6"/>
          <w:rtl/>
        </w:rPr>
        <w:t>ע)</w:t>
      </w:r>
      <w:r w:rsidRPr="006F376C">
        <w:rPr>
          <w:rStyle w:val="aff6"/>
          <w:rtl/>
        </w:rPr>
        <w:fldChar w:fldCharType="end"/>
      </w:r>
      <w:r w:rsidRPr="00621F50">
        <w:rPr>
          <w:rStyle w:val="afb"/>
          <w:rFonts w:hint="cs"/>
          <w:rtl/>
        </w:rPr>
        <w:t xml:space="preserve"> דנימא ליה אחוי שטרך</w:t>
      </w:r>
      <w:r>
        <w:rPr>
          <w:rStyle w:val="afb"/>
          <w:rFonts w:hint="cs"/>
          <w:rtl/>
        </w:rPr>
        <w:t xml:space="preserve">, אעפ"י דכתב </w:t>
      </w:r>
      <w:r>
        <w:rPr>
          <w:rFonts w:hint="cs"/>
          <w:rtl/>
        </w:rPr>
        <w:t>ד</w:t>
      </w:r>
      <w:r w:rsidRPr="00621F50">
        <w:rPr>
          <w:rFonts w:hint="cs"/>
          <w:rtl/>
        </w:rPr>
        <w:t>בשאר מטלטלין שאינם בני שטרא, לא שייך חזקת ג"ש</w:t>
      </w:r>
      <w:r>
        <w:rPr>
          <w:rStyle w:val="afb"/>
          <w:rFonts w:hint="cs"/>
          <w:rtl/>
        </w:rPr>
        <w:t xml:space="preserve">. </w:t>
      </w:r>
    </w:p>
  </w:footnote>
  <w:footnote w:id="4">
    <w:p w:rsidR="00265073" w:rsidRDefault="00265073" w:rsidP="00900B10">
      <w:pPr>
        <w:pStyle w:val="af"/>
      </w:pPr>
      <w:r>
        <w:rPr>
          <w:rStyle w:val="af1"/>
        </w:rPr>
        <w:footnoteRef/>
      </w:r>
      <w:r>
        <w:rPr>
          <w:rtl/>
        </w:rPr>
        <w:t xml:space="preserve"> </w:t>
      </w:r>
      <w:r w:rsidRPr="008C408F">
        <w:rPr>
          <w:rStyle w:val="afb"/>
          <w:rFonts w:hint="cs"/>
          <w:rtl/>
        </w:rPr>
        <w:t xml:space="preserve">ועי' במה שביאר </w:t>
      </w:r>
      <w:r w:rsidRPr="008C408F">
        <w:rPr>
          <w:rStyle w:val="affa"/>
          <w:rFonts w:hint="cs"/>
          <w:rtl/>
        </w:rPr>
        <w:t>בחי' רבי נחום</w:t>
      </w:r>
      <w:r w:rsidRPr="008C408F">
        <w:rPr>
          <w:rStyle w:val="afb"/>
          <w:rFonts w:hint="cs"/>
          <w:rtl/>
        </w:rPr>
        <w:t xml:space="preserve"> </w:t>
      </w:r>
      <w:r w:rsidRPr="008C408F">
        <w:rPr>
          <w:rStyle w:val="aff6"/>
          <w:rFonts w:hint="cs"/>
          <w:rtl/>
        </w:rPr>
        <w:t xml:space="preserve">(עי' אות </w:t>
      </w:r>
      <w:r w:rsidRPr="008C408F">
        <w:rPr>
          <w:rStyle w:val="aff6"/>
          <w:rtl/>
        </w:rPr>
        <w:fldChar w:fldCharType="begin"/>
      </w:r>
      <w:r w:rsidRPr="008C408F">
        <w:rPr>
          <w:rStyle w:val="aff6"/>
          <w:rtl/>
        </w:rPr>
        <w:instrText xml:space="preserve"> </w:instrText>
      </w:r>
      <w:r w:rsidRPr="008C408F">
        <w:rPr>
          <w:rStyle w:val="aff6"/>
          <w:rFonts w:hint="cs"/>
        </w:rPr>
        <w:instrText>REF</w:instrText>
      </w:r>
      <w:r w:rsidRPr="008C408F">
        <w:rPr>
          <w:rStyle w:val="aff6"/>
          <w:rFonts w:hint="cs"/>
          <w:rtl/>
        </w:rPr>
        <w:instrText xml:space="preserve"> _</w:instrText>
      </w:r>
      <w:r w:rsidRPr="008C408F">
        <w:rPr>
          <w:rStyle w:val="aff6"/>
          <w:rFonts w:hint="cs"/>
        </w:rPr>
        <w:instrText>Ref54860769 \r \h</w:instrText>
      </w:r>
      <w:r w:rsidRPr="008C408F">
        <w:rPr>
          <w:rStyle w:val="aff6"/>
          <w:rtl/>
        </w:rPr>
        <w:instrText xml:space="preserve"> </w:instrText>
      </w:r>
      <w:r w:rsidRPr="008C408F">
        <w:rPr>
          <w:rStyle w:val="aff6"/>
          <w:rtl/>
        </w:rPr>
      </w:r>
      <w:r w:rsidRPr="008C408F">
        <w:rPr>
          <w:rStyle w:val="aff6"/>
          <w:rtl/>
        </w:rPr>
        <w:fldChar w:fldCharType="separate"/>
      </w:r>
      <w:r>
        <w:rPr>
          <w:rStyle w:val="aff6"/>
          <w:cs/>
        </w:rPr>
        <w:t>‎</w:t>
      </w:r>
      <w:r>
        <w:rPr>
          <w:rStyle w:val="aff6"/>
          <w:rtl/>
        </w:rPr>
        <w:t>פז)</w:t>
      </w:r>
      <w:r w:rsidRPr="008C408F">
        <w:rPr>
          <w:rStyle w:val="aff6"/>
          <w:rtl/>
        </w:rPr>
        <w:fldChar w:fldCharType="end"/>
      </w:r>
      <w:r w:rsidRPr="008C408F">
        <w:rPr>
          <w:rStyle w:val="aff6"/>
          <w:rFonts w:hint="cs"/>
          <w:rtl/>
        </w:rPr>
        <w:t xml:space="preserve"> </w:t>
      </w:r>
      <w:r w:rsidRPr="008C408F">
        <w:rPr>
          <w:rStyle w:val="afb"/>
          <w:rFonts w:hint="cs"/>
          <w:rtl/>
        </w:rPr>
        <w:t xml:space="preserve">דמ"ש </w:t>
      </w:r>
      <w:r w:rsidRPr="008C408F">
        <w:rPr>
          <w:rStyle w:val="affa"/>
          <w:rFonts w:hint="cs"/>
          <w:rtl/>
        </w:rPr>
        <w:t>רש"י</w:t>
      </w:r>
      <w:r w:rsidRPr="008C408F">
        <w:rPr>
          <w:rStyle w:val="afb"/>
          <w:rFonts w:hint="cs"/>
          <w:rtl/>
        </w:rPr>
        <w:t xml:space="preserve"> דהחזקה מוציאה מהמוכר</w:t>
      </w:r>
      <w:r>
        <w:rPr>
          <w:rStyle w:val="afb"/>
          <w:rFonts w:hint="cs"/>
          <w:rtl/>
        </w:rPr>
        <w:t>, ולא כתב דהקרקע בחזקת המחזיק</w:t>
      </w:r>
      <w:r w:rsidRPr="008C408F">
        <w:rPr>
          <w:rStyle w:val="afb"/>
          <w:rFonts w:hint="cs"/>
          <w:rtl/>
        </w:rPr>
        <w:t xml:space="preserve">, </w:t>
      </w:r>
      <w:r>
        <w:rPr>
          <w:rStyle w:val="afb"/>
          <w:rFonts w:hint="cs"/>
          <w:rtl/>
        </w:rPr>
        <w:t xml:space="preserve">כ"כ </w:t>
      </w:r>
      <w:r w:rsidRPr="008C408F">
        <w:rPr>
          <w:rStyle w:val="afb"/>
          <w:rFonts w:hint="cs"/>
          <w:rtl/>
        </w:rPr>
        <w:t>בכדי לבאר את קושית הגמ' דתועיל חזקה בלי טענה.</w:t>
      </w:r>
    </w:p>
  </w:footnote>
  <w:footnote w:id="5">
    <w:p w:rsidR="00265073" w:rsidRDefault="00265073" w:rsidP="00900B10">
      <w:pPr>
        <w:pStyle w:val="af"/>
        <w:rPr>
          <w:rtl/>
        </w:rPr>
      </w:pPr>
      <w:r>
        <w:rPr>
          <w:rStyle w:val="af1"/>
        </w:rPr>
        <w:footnoteRef/>
      </w:r>
      <w:r>
        <w:rPr>
          <w:rtl/>
        </w:rPr>
        <w:t xml:space="preserve"> </w:t>
      </w:r>
      <w:r w:rsidRPr="00B62A56">
        <w:rPr>
          <w:rStyle w:val="afb"/>
          <w:rFonts w:hint="cs"/>
          <w:rtl/>
        </w:rPr>
        <w:t xml:space="preserve">וביאר </w:t>
      </w:r>
      <w:r w:rsidRPr="00B62A56">
        <w:rPr>
          <w:rStyle w:val="affa"/>
          <w:rFonts w:hint="cs"/>
          <w:rtl/>
        </w:rPr>
        <w:t>בחי' רבי נחום</w:t>
      </w:r>
      <w:r w:rsidRPr="00B62A56">
        <w:rPr>
          <w:rStyle w:val="afb"/>
          <w:rFonts w:hint="cs"/>
          <w:rtl/>
        </w:rPr>
        <w:t xml:space="preserve"> </w:t>
      </w:r>
      <w:r w:rsidRPr="00B62A56">
        <w:rPr>
          <w:rStyle w:val="aff6"/>
          <w:rFonts w:hint="cs"/>
          <w:rtl/>
        </w:rPr>
        <w:t>(או' ז' ד"ה והנה)</w:t>
      </w:r>
      <w:r w:rsidRPr="00B62A56">
        <w:rPr>
          <w:rStyle w:val="afb"/>
          <w:rFonts w:hint="cs"/>
          <w:rtl/>
        </w:rPr>
        <w:t xml:space="preserve"> ד</w:t>
      </w:r>
      <w:r>
        <w:rPr>
          <w:rStyle w:val="afb"/>
          <w:rFonts w:hint="cs"/>
          <w:rtl/>
        </w:rPr>
        <w:t xml:space="preserve">מ"ש </w:t>
      </w:r>
      <w:r w:rsidRPr="00B62A56">
        <w:rPr>
          <w:rStyle w:val="affa"/>
          <w:rFonts w:hint="cs"/>
          <w:rtl/>
        </w:rPr>
        <w:t>הרמב"ן</w:t>
      </w:r>
      <w:r w:rsidRPr="00B62A56">
        <w:rPr>
          <w:rStyle w:val="afb"/>
          <w:rFonts w:hint="cs"/>
          <w:rtl/>
        </w:rPr>
        <w:t xml:space="preserve"> </w:t>
      </w:r>
      <w:r w:rsidRPr="00F92BAA">
        <w:rPr>
          <w:rStyle w:val="afb"/>
          <w:rtl/>
        </w:rPr>
        <w:t xml:space="preserve">דקשה </w:t>
      </w:r>
      <w:r>
        <w:rPr>
          <w:rStyle w:val="afb"/>
          <w:rFonts w:hint="cs"/>
          <w:rtl/>
        </w:rPr>
        <w:t>ד</w:t>
      </w:r>
      <w:r w:rsidRPr="00F92BAA">
        <w:rPr>
          <w:rStyle w:val="afb"/>
          <w:rtl/>
        </w:rPr>
        <w:t>אמאי המחזיק נאמן לגמרי</w:t>
      </w:r>
      <w:r>
        <w:rPr>
          <w:rStyle w:val="afb"/>
          <w:rFonts w:hint="cs"/>
          <w:rtl/>
        </w:rPr>
        <w:t>, כבר בשנה השלישית</w:t>
      </w:r>
      <w:r w:rsidRPr="00F92BAA">
        <w:rPr>
          <w:rStyle w:val="afb"/>
          <w:rtl/>
        </w:rPr>
        <w:t>,</w:t>
      </w:r>
      <w:r w:rsidRPr="00B62A56">
        <w:rPr>
          <w:rStyle w:val="afb"/>
          <w:rFonts w:hint="cs"/>
          <w:rtl/>
        </w:rPr>
        <w:t xml:space="preserve"> כוונת</w:t>
      </w:r>
      <w:r>
        <w:rPr>
          <w:rStyle w:val="afb"/>
          <w:rFonts w:hint="cs"/>
          <w:rtl/>
        </w:rPr>
        <w:t>ו</w:t>
      </w:r>
      <w:r w:rsidRPr="00B62A56">
        <w:rPr>
          <w:rStyle w:val="afb"/>
          <w:rFonts w:hint="cs"/>
          <w:rtl/>
        </w:rPr>
        <w:t xml:space="preserve"> כד</w:t>
      </w:r>
      <w:r>
        <w:rPr>
          <w:rStyle w:val="afb"/>
          <w:rFonts w:hint="cs"/>
          <w:rtl/>
        </w:rPr>
        <w:t>ברי</w:t>
      </w:r>
      <w:r w:rsidRPr="00B62A56">
        <w:rPr>
          <w:rStyle w:val="afb"/>
          <w:rFonts w:hint="cs"/>
          <w:rtl/>
        </w:rPr>
        <w:t xml:space="preserve"> </w:t>
      </w:r>
      <w:r w:rsidRPr="00B62A56">
        <w:rPr>
          <w:rStyle w:val="affa"/>
          <w:rFonts w:hint="cs"/>
          <w:rtl/>
        </w:rPr>
        <w:t>הריטב"א</w:t>
      </w:r>
      <w:r w:rsidRPr="00B62A56">
        <w:rPr>
          <w:rStyle w:val="afb"/>
          <w:rFonts w:hint="cs"/>
          <w:rtl/>
        </w:rPr>
        <w:t xml:space="preserve"> </w:t>
      </w:r>
      <w:r>
        <w:rPr>
          <w:rStyle w:val="afb"/>
          <w:rFonts w:hint="cs"/>
          <w:rtl/>
        </w:rPr>
        <w:t xml:space="preserve">דבשנה השלישית </w:t>
      </w:r>
      <w:r w:rsidRPr="00B62A56">
        <w:rPr>
          <w:rStyle w:val="afb"/>
          <w:rFonts w:hint="cs"/>
          <w:rtl/>
        </w:rPr>
        <w:t>נאמר כל דאלים גבר</w:t>
      </w:r>
      <w:r>
        <w:rPr>
          <w:rFonts w:hint="cs"/>
          <w:rtl/>
        </w:rPr>
        <w:t>.</w:t>
      </w:r>
    </w:p>
    <w:p w:rsidR="00265073" w:rsidRDefault="00265073" w:rsidP="00900B10">
      <w:pPr>
        <w:pStyle w:val="af"/>
      </w:pPr>
      <w:r>
        <w:rPr>
          <w:rFonts w:hint="cs"/>
          <w:rtl/>
        </w:rPr>
        <w:t xml:space="preserve">אך כתב </w:t>
      </w:r>
      <w:r w:rsidRPr="005540AF">
        <w:rPr>
          <w:rStyle w:val="affa"/>
          <w:rFonts w:hint="cs"/>
          <w:rtl/>
        </w:rPr>
        <w:t>בחי' רבי נחום</w:t>
      </w:r>
      <w:r>
        <w:rPr>
          <w:rFonts w:hint="cs"/>
          <w:rtl/>
        </w:rPr>
        <w:t xml:space="preserve"> דלולי דברי </w:t>
      </w:r>
      <w:r w:rsidRPr="005540AF">
        <w:rPr>
          <w:rStyle w:val="affa"/>
          <w:rFonts w:hint="cs"/>
          <w:rtl/>
        </w:rPr>
        <w:t>הריטב"א</w:t>
      </w:r>
      <w:r>
        <w:rPr>
          <w:rFonts w:hint="cs"/>
          <w:rtl/>
        </w:rPr>
        <w:t xml:space="preserve"> היה אפשר לבאר דכוונת הגמ' להקשות דג"פ לא מהני כלל, ולא יצאה השדה מחזקת המרא קמא, והשור נעשה מועד רק בנגיחה הרביעית ולכן הוא משלם בה נזק שלם, אבל </w:t>
      </w:r>
      <w:r w:rsidRPr="005540AF">
        <w:rPr>
          <w:rStyle w:val="affa"/>
          <w:rFonts w:hint="cs"/>
          <w:rtl/>
        </w:rPr>
        <w:t>בריטב"א</w:t>
      </w:r>
      <w:r>
        <w:rPr>
          <w:rFonts w:hint="cs"/>
          <w:rtl/>
        </w:rPr>
        <w:t xml:space="preserve"> מבואר דאף להו"א יצאה השור מחזקת תם בג"פ.</w:t>
      </w:r>
    </w:p>
  </w:footnote>
  <w:footnote w:id="6">
    <w:p w:rsidR="00265073" w:rsidRDefault="00265073" w:rsidP="00900B10">
      <w:pPr>
        <w:pStyle w:val="af"/>
      </w:pPr>
      <w:r>
        <w:rPr>
          <w:rStyle w:val="af1"/>
        </w:rPr>
        <w:footnoteRef/>
      </w:r>
      <w:r>
        <w:rPr>
          <w:rtl/>
        </w:rPr>
        <w:t xml:space="preserve"> </w:t>
      </w:r>
      <w:r w:rsidRPr="00335445">
        <w:rPr>
          <w:rStyle w:val="afb"/>
          <w:rFonts w:hint="cs"/>
          <w:rtl/>
        </w:rPr>
        <w:t xml:space="preserve">וביאר </w:t>
      </w:r>
      <w:r w:rsidRPr="005A2417">
        <w:rPr>
          <w:rStyle w:val="affa"/>
          <w:rFonts w:hint="cs"/>
          <w:rtl/>
        </w:rPr>
        <w:t>רבינו יונה</w:t>
      </w:r>
      <w:r w:rsidRPr="00335445">
        <w:rPr>
          <w:rStyle w:val="afb"/>
          <w:rFonts w:hint="cs"/>
          <w:rtl/>
        </w:rPr>
        <w:t xml:space="preserve"> דהא דתנן בסיפא דרישא </w:t>
      </w:r>
      <w:r>
        <w:rPr>
          <w:rStyle w:val="afb"/>
          <w:rFonts w:hint="cs"/>
          <w:rtl/>
        </w:rPr>
        <w:t>ד</w:t>
      </w:r>
      <w:r w:rsidRPr="00335445">
        <w:rPr>
          <w:rStyle w:val="afb"/>
          <w:rFonts w:hint="cs"/>
          <w:rtl/>
        </w:rPr>
        <w:t xml:space="preserve">מתני' לקמן דלא אמר לי אדם דבר מעולם, אין כוונת המשנה לבאר דזו כוונת הרישא בחזקה שאין עמה טענה, כדמוכח מהא </w:t>
      </w:r>
      <w:r>
        <w:rPr>
          <w:rStyle w:val="afb"/>
          <w:rFonts w:hint="cs"/>
          <w:rtl/>
        </w:rPr>
        <w:t xml:space="preserve">דלא </w:t>
      </w:r>
      <w:r w:rsidRPr="00335445">
        <w:rPr>
          <w:rStyle w:val="afb"/>
          <w:rFonts w:hint="cs"/>
          <w:rtl/>
        </w:rPr>
        <w:t>תנן "כיצד", אלא כוונת המשנה לומר דאף ש</w:t>
      </w:r>
      <w:r>
        <w:rPr>
          <w:rStyle w:val="afb"/>
          <w:rFonts w:hint="cs"/>
          <w:rtl/>
        </w:rPr>
        <w:t>לא שתיק</w:t>
      </w:r>
      <w:r w:rsidRPr="00335445">
        <w:rPr>
          <w:rStyle w:val="afb"/>
          <w:rFonts w:hint="cs"/>
          <w:rtl/>
        </w:rPr>
        <w:t xml:space="preserve"> אנן לא טענינן ליה, שמא היה לו שטר ואבד, וכתב </w:t>
      </w:r>
      <w:r w:rsidRPr="005A2417">
        <w:rPr>
          <w:rStyle w:val="affa"/>
          <w:rFonts w:hint="cs"/>
          <w:rtl/>
        </w:rPr>
        <w:t>רבינו יונה</w:t>
      </w:r>
      <w:r w:rsidRPr="00335445">
        <w:rPr>
          <w:rStyle w:val="afb"/>
          <w:rFonts w:hint="cs"/>
          <w:rtl/>
        </w:rPr>
        <w:t xml:space="preserve"> דכן מבואר להדיא בגמ' לקמן, דמקשה הגמ' דבלא אמר לו אדם דבר פשיטא דלא הוי חזקה, </w:t>
      </w:r>
      <w:r>
        <w:rPr>
          <w:rStyle w:val="afb"/>
          <w:rFonts w:hint="cs"/>
          <w:rtl/>
        </w:rPr>
        <w:t xml:space="preserve">ותירצה הגמ' דקמ"ל מתני' דלא טענינן ליה, </w:t>
      </w:r>
      <w:r w:rsidRPr="00335445">
        <w:rPr>
          <w:rStyle w:val="afb"/>
          <w:rFonts w:hint="cs"/>
          <w:rtl/>
        </w:rPr>
        <w:t xml:space="preserve">והוסיף </w:t>
      </w:r>
      <w:r w:rsidRPr="005A2417">
        <w:rPr>
          <w:rStyle w:val="affa"/>
          <w:rFonts w:hint="cs"/>
          <w:rtl/>
        </w:rPr>
        <w:t>רבינו יונה</w:t>
      </w:r>
      <w:r w:rsidRPr="00335445">
        <w:rPr>
          <w:rStyle w:val="afb"/>
          <w:rFonts w:hint="cs"/>
          <w:rtl/>
        </w:rPr>
        <w:t xml:space="preserve"> דמהרישא דמתני' לקמן </w:t>
      </w:r>
      <w:r>
        <w:rPr>
          <w:rStyle w:val="afb"/>
          <w:rFonts w:hint="cs"/>
          <w:rtl/>
        </w:rPr>
        <w:t xml:space="preserve">ששותק </w:t>
      </w:r>
      <w:r w:rsidRPr="00335445">
        <w:rPr>
          <w:rStyle w:val="afb"/>
          <w:rFonts w:hint="cs"/>
          <w:rtl/>
        </w:rPr>
        <w:t>א"א ללמוד ד</w:t>
      </w:r>
      <w:r>
        <w:rPr>
          <w:rStyle w:val="afb"/>
          <w:rFonts w:hint="cs"/>
          <w:rtl/>
        </w:rPr>
        <w:t xml:space="preserve">לא טענינן ליה, דכיון שהוא </w:t>
      </w:r>
      <w:r w:rsidRPr="00335445">
        <w:rPr>
          <w:rStyle w:val="afb"/>
          <w:rFonts w:hint="cs"/>
          <w:rtl/>
        </w:rPr>
        <w:t xml:space="preserve">אינו רוצה להשיבו </w:t>
      </w:r>
      <w:r>
        <w:rPr>
          <w:rStyle w:val="afb"/>
          <w:rFonts w:hint="cs"/>
          <w:rtl/>
        </w:rPr>
        <w:t>לא שייך לומר ד</w:t>
      </w:r>
      <w:r w:rsidRPr="00335445">
        <w:rPr>
          <w:rStyle w:val="afb"/>
          <w:rFonts w:hint="cs"/>
          <w:rtl/>
        </w:rPr>
        <w:t>לא טענינן ליה</w:t>
      </w:r>
      <w:r>
        <w:rPr>
          <w:rStyle w:val="afb"/>
          <w:rFonts w:hint="cs"/>
          <w:rtl/>
        </w:rPr>
        <w:t>.</w:t>
      </w:r>
    </w:p>
  </w:footnote>
  <w:footnote w:id="7">
    <w:p w:rsidR="00265073" w:rsidRDefault="00265073" w:rsidP="00900B10">
      <w:pPr>
        <w:pStyle w:val="af"/>
        <w:rPr>
          <w:rtl/>
        </w:rPr>
      </w:pPr>
      <w:r>
        <w:rPr>
          <w:rStyle w:val="af1"/>
        </w:rPr>
        <w:footnoteRef/>
      </w:r>
      <w:r>
        <w:rPr>
          <w:rtl/>
        </w:rPr>
        <w:t xml:space="preserve"> </w:t>
      </w:r>
      <w:r w:rsidRPr="004E33E4">
        <w:rPr>
          <w:rtl/>
        </w:rPr>
        <w:t xml:space="preserve">וע"ע במ"ש </w:t>
      </w:r>
      <w:r w:rsidRPr="00E33A13">
        <w:rPr>
          <w:rStyle w:val="affa"/>
          <w:rtl/>
        </w:rPr>
        <w:t>הגר"ח</w:t>
      </w:r>
      <w:r w:rsidRPr="00E33A13">
        <w:rPr>
          <w:rStyle w:val="aff6"/>
          <w:rtl/>
        </w:rPr>
        <w:t xml:space="preserve"> (איסו"ב פ"ד הי"ב ד"ה אכן נראה) </w:t>
      </w:r>
      <w:r w:rsidRPr="004E33E4">
        <w:rPr>
          <w:rtl/>
        </w:rPr>
        <w:t>דאחר שהועד השור אין כל דין שצריך לחשוש שמא ינגח, אלא שאם נגח השור</w:t>
      </w:r>
      <w:r>
        <w:rPr>
          <w:rFonts w:hint="cs"/>
          <w:rtl/>
        </w:rPr>
        <w:t xml:space="preserve"> אחר שהועד,</w:t>
      </w:r>
      <w:r>
        <w:rPr>
          <w:rtl/>
        </w:rPr>
        <w:t xml:space="preserve"> </w:t>
      </w:r>
      <w:r>
        <w:rPr>
          <w:rFonts w:hint="cs"/>
          <w:rtl/>
        </w:rPr>
        <w:t>נגיחתו</w:t>
      </w:r>
      <w:r w:rsidRPr="004E33E4">
        <w:rPr>
          <w:rtl/>
        </w:rPr>
        <w:t xml:space="preserve"> היא נגיחה של שור המועד</w:t>
      </w:r>
      <w:r>
        <w:rPr>
          <w:rFonts w:hint="cs"/>
          <w:rtl/>
        </w:rPr>
        <w:t>.</w:t>
      </w:r>
    </w:p>
    <w:p w:rsidR="00265073" w:rsidRDefault="00265073" w:rsidP="00900B10">
      <w:pPr>
        <w:pStyle w:val="af"/>
        <w:rPr>
          <w:rtl/>
        </w:rPr>
      </w:pPr>
      <w:r w:rsidRPr="004E33E4">
        <w:rPr>
          <w:rtl/>
        </w:rPr>
        <w:t xml:space="preserve">והקשה </w:t>
      </w:r>
      <w:r w:rsidRPr="00E33A13">
        <w:rPr>
          <w:rStyle w:val="affa"/>
          <w:rtl/>
        </w:rPr>
        <w:t>החזו"א</w:t>
      </w:r>
      <w:r w:rsidRPr="004E33E4">
        <w:rPr>
          <w:rtl/>
        </w:rPr>
        <w:t xml:space="preserve"> </w:t>
      </w:r>
      <w:r w:rsidRPr="00E33A13">
        <w:rPr>
          <w:rStyle w:val="aff6"/>
          <w:rtl/>
        </w:rPr>
        <w:t xml:space="preserve">(בגליונות על הגר"ח איסו"ב פ"ד הי"ב) </w:t>
      </w:r>
      <w:r w:rsidRPr="004E33E4">
        <w:rPr>
          <w:rtl/>
        </w:rPr>
        <w:t xml:space="preserve">על </w:t>
      </w:r>
      <w:r w:rsidRPr="00E33A13">
        <w:rPr>
          <w:rStyle w:val="affa"/>
          <w:rtl/>
        </w:rPr>
        <w:t>הגר"ח</w:t>
      </w:r>
      <w:r w:rsidRPr="004E33E4">
        <w:rPr>
          <w:rtl/>
        </w:rPr>
        <w:t xml:space="preserve"> דאי בשור המועד אין כל דין לחוש שינגח, א"כ אמאי בראה בהמות ג"פ ולא נגח, אמרינן דהוא חזר ממועדותו.</w:t>
      </w:r>
    </w:p>
  </w:footnote>
  <w:footnote w:id="8">
    <w:p w:rsidR="00265073" w:rsidRDefault="00265073" w:rsidP="007A505A">
      <w:pPr>
        <w:pStyle w:val="af"/>
      </w:pPr>
      <w:r>
        <w:rPr>
          <w:rStyle w:val="af1"/>
        </w:rPr>
        <w:footnoteRef/>
      </w:r>
      <w:r>
        <w:rPr>
          <w:rtl/>
        </w:rPr>
        <w:t xml:space="preserve"> במ"ש </w:t>
      </w:r>
      <w:r w:rsidRPr="00BA5250">
        <w:rPr>
          <w:rStyle w:val="affa"/>
          <w:rtl/>
        </w:rPr>
        <w:t xml:space="preserve">רש"י </w:t>
      </w:r>
      <w:r>
        <w:rPr>
          <w:rtl/>
        </w:rPr>
        <w:t xml:space="preserve">דההעדאה היא בפני הבעלים, בכדי </w:t>
      </w:r>
      <w:r>
        <w:rPr>
          <w:rFonts w:hint="cs"/>
          <w:rtl/>
        </w:rPr>
        <w:t xml:space="preserve">שיוכל </w:t>
      </w:r>
      <w:r>
        <w:rPr>
          <w:rtl/>
        </w:rPr>
        <w:t xml:space="preserve">להכחיש את העדים או להזימן, </w:t>
      </w:r>
      <w:r>
        <w:rPr>
          <w:rFonts w:hint="cs"/>
          <w:rtl/>
        </w:rPr>
        <w:t>עי'</w:t>
      </w:r>
      <w:r>
        <w:rPr>
          <w:rtl/>
        </w:rPr>
        <w:t xml:space="preserve"> בדברי </w:t>
      </w:r>
      <w:r w:rsidRPr="00BA5250">
        <w:rPr>
          <w:rStyle w:val="affa"/>
          <w:rtl/>
        </w:rPr>
        <w:t xml:space="preserve">רש"י עה"ת </w:t>
      </w:r>
      <w:r w:rsidRPr="00BA5250">
        <w:rPr>
          <w:rStyle w:val="aff6"/>
          <w:rtl/>
        </w:rPr>
        <w:t>(שמות פכ"א כ"ט)</w:t>
      </w:r>
      <w:r>
        <w:rPr>
          <w:rtl/>
        </w:rPr>
        <w:t xml:space="preserve"> דכתב דוהועד בבעליו הוא לשון של התראה בעדים.</w:t>
      </w:r>
    </w:p>
    <w:p w:rsidR="00265073" w:rsidRDefault="00265073" w:rsidP="007A505A">
      <w:pPr>
        <w:pStyle w:val="af"/>
        <w:rPr>
          <w:rtl/>
        </w:rPr>
      </w:pPr>
      <w:r>
        <w:rPr>
          <w:rFonts w:hint="cs"/>
          <w:rtl/>
        </w:rPr>
        <w:t>וע"ע במה ש</w:t>
      </w:r>
      <w:r>
        <w:rPr>
          <w:rtl/>
        </w:rPr>
        <w:t xml:space="preserve">הקשה </w:t>
      </w:r>
      <w:r w:rsidRPr="00BA5250">
        <w:rPr>
          <w:rStyle w:val="affa"/>
          <w:rtl/>
        </w:rPr>
        <w:t xml:space="preserve">החי' הרי"ם </w:t>
      </w:r>
      <w:r w:rsidRPr="00BA5250">
        <w:rPr>
          <w:rStyle w:val="aff6"/>
          <w:rFonts w:hint="cs"/>
          <w:rtl/>
        </w:rPr>
        <w:t xml:space="preserve">(ד"ה אלא) </w:t>
      </w:r>
      <w:r>
        <w:rPr>
          <w:rFonts w:hint="cs"/>
          <w:rtl/>
        </w:rPr>
        <w:t xml:space="preserve">על </w:t>
      </w:r>
      <w:r w:rsidRPr="00830D7B">
        <w:rPr>
          <w:rStyle w:val="affa"/>
          <w:rFonts w:hint="cs"/>
          <w:rtl/>
        </w:rPr>
        <w:t xml:space="preserve">רש"י </w:t>
      </w:r>
      <w:r>
        <w:rPr>
          <w:rtl/>
        </w:rPr>
        <w:t xml:space="preserve">דהפשטות בדין העדאה בפניו, דהוא גזיה"כ שאין מקבלים עדים שלא בפני בע"ד, ואף אם שמע הבעלים שהעידו בשור שלא בפניו, אינו צריך לשמור את שורו, כיון שאינה עדות כשרה, אבל במחאה דצריך למחות בפניו, כדי שידע להזהר בשטרו, וא"כ אמאי ביאר </w:t>
      </w:r>
      <w:r w:rsidRPr="00BA5250">
        <w:rPr>
          <w:rStyle w:val="affa"/>
          <w:rtl/>
        </w:rPr>
        <w:t xml:space="preserve">רש"י </w:t>
      </w:r>
      <w:r>
        <w:rPr>
          <w:rtl/>
        </w:rPr>
        <w:t>את טעמא דקרא,</w:t>
      </w:r>
      <w:r>
        <w:rPr>
          <w:rFonts w:hint="cs"/>
          <w:rtl/>
        </w:rPr>
        <w:t xml:space="preserve"> דהעדאה בפניו כדי שיוכל להכחיש את העדים,</w:t>
      </w:r>
      <w:r>
        <w:rPr>
          <w:rtl/>
        </w:rPr>
        <w:t xml:space="preserve"> ועיי"ש במה שתירץ </w:t>
      </w:r>
      <w:r w:rsidRPr="008E7874">
        <w:rPr>
          <w:rStyle w:val="affa"/>
          <w:rtl/>
        </w:rPr>
        <w:t>החי' הרי"ם</w:t>
      </w:r>
      <w:r>
        <w:rPr>
          <w:rtl/>
        </w:rPr>
        <w:t xml:space="preserve"> בדיני עדות בפני בע"ד.</w:t>
      </w:r>
    </w:p>
    <w:p w:rsidR="00265073" w:rsidRDefault="00265073" w:rsidP="007A505A">
      <w:pPr>
        <w:pStyle w:val="af"/>
      </w:pPr>
      <w:r w:rsidRPr="001D1883">
        <w:rPr>
          <w:rStyle w:val="afb"/>
          <w:rFonts w:hint="cs"/>
          <w:rtl/>
        </w:rPr>
        <w:t>ועי' במה שביאר</w:t>
      </w:r>
      <w:r>
        <w:rPr>
          <w:rStyle w:val="afb"/>
          <w:rFonts w:hint="cs"/>
          <w:rtl/>
        </w:rPr>
        <w:t xml:space="preserve">ו </w:t>
      </w:r>
      <w:r w:rsidRPr="0062704C">
        <w:rPr>
          <w:rStyle w:val="affa"/>
          <w:rFonts w:hint="cs"/>
          <w:rtl/>
        </w:rPr>
        <w:t>התוס'</w:t>
      </w:r>
      <w:r>
        <w:rPr>
          <w:rStyle w:val="afb"/>
          <w:rFonts w:hint="cs"/>
          <w:rtl/>
        </w:rPr>
        <w:t xml:space="preserve"> </w:t>
      </w:r>
      <w:r w:rsidRPr="000F1215">
        <w:rPr>
          <w:rStyle w:val="aff6"/>
          <w:rFonts w:hint="cs"/>
          <w:rtl/>
        </w:rPr>
        <w:t xml:space="preserve">(עי' אות </w:t>
      </w:r>
      <w:r w:rsidRPr="000F1215">
        <w:rPr>
          <w:rStyle w:val="aff6"/>
          <w:rtl/>
        </w:rPr>
        <w:fldChar w:fldCharType="begin"/>
      </w:r>
      <w:r w:rsidRPr="000F1215">
        <w:rPr>
          <w:rStyle w:val="aff6"/>
          <w:rtl/>
        </w:rPr>
        <w:instrText xml:space="preserve"> </w:instrText>
      </w:r>
      <w:r w:rsidRPr="000F1215">
        <w:rPr>
          <w:rStyle w:val="aff6"/>
          <w:rFonts w:hint="cs"/>
        </w:rPr>
        <w:instrText>REF</w:instrText>
      </w:r>
      <w:r w:rsidRPr="000F1215">
        <w:rPr>
          <w:rStyle w:val="aff6"/>
          <w:rFonts w:hint="cs"/>
          <w:rtl/>
        </w:rPr>
        <w:instrText xml:space="preserve"> _</w:instrText>
      </w:r>
      <w:r w:rsidRPr="000F1215">
        <w:rPr>
          <w:rStyle w:val="aff6"/>
          <w:rFonts w:hint="cs"/>
        </w:rPr>
        <w:instrText>Ref54609177 \r \h</w:instrText>
      </w:r>
      <w:r w:rsidRPr="000F1215">
        <w:rPr>
          <w:rStyle w:val="aff6"/>
          <w:rtl/>
        </w:rPr>
        <w:instrText xml:space="preserve"> </w:instrText>
      </w:r>
      <w:r w:rsidRPr="000F1215">
        <w:rPr>
          <w:rStyle w:val="aff6"/>
          <w:rtl/>
        </w:rPr>
      </w:r>
      <w:r w:rsidRPr="000F1215">
        <w:rPr>
          <w:rStyle w:val="aff6"/>
          <w:rtl/>
        </w:rPr>
        <w:fldChar w:fldCharType="separate"/>
      </w:r>
      <w:r>
        <w:rPr>
          <w:rStyle w:val="aff6"/>
          <w:cs/>
        </w:rPr>
        <w:t>‎</w:t>
      </w:r>
      <w:r>
        <w:rPr>
          <w:rStyle w:val="aff6"/>
          <w:rtl/>
        </w:rPr>
        <w:t>טו)</w:t>
      </w:r>
      <w:r w:rsidRPr="000F1215">
        <w:rPr>
          <w:rStyle w:val="aff6"/>
          <w:rtl/>
        </w:rPr>
        <w:fldChar w:fldCharType="end"/>
      </w:r>
      <w:r>
        <w:rPr>
          <w:rStyle w:val="afb"/>
          <w:rFonts w:cs="Cambria" w:hint="cs"/>
          <w:rtl/>
        </w:rPr>
        <w:t xml:space="preserve"> </w:t>
      </w:r>
      <w:r w:rsidRPr="0062704C">
        <w:rPr>
          <w:rStyle w:val="affa"/>
          <w:rFonts w:hint="cs"/>
          <w:rtl/>
        </w:rPr>
        <w:t>והריטב"א</w:t>
      </w:r>
      <w:r w:rsidRPr="001D1883">
        <w:rPr>
          <w:rStyle w:val="afb"/>
          <w:rFonts w:hint="cs"/>
          <w:rtl/>
        </w:rPr>
        <w:t xml:space="preserve"> </w:t>
      </w:r>
      <w:r w:rsidRPr="001D1883">
        <w:rPr>
          <w:rStyle w:val="aff6"/>
          <w:rFonts w:hint="cs"/>
          <w:rtl/>
        </w:rPr>
        <w:t xml:space="preserve">(עי' אות </w:t>
      </w:r>
      <w:r w:rsidRPr="001D1883">
        <w:rPr>
          <w:rStyle w:val="aff6"/>
          <w:rtl/>
        </w:rPr>
        <w:fldChar w:fldCharType="begin"/>
      </w:r>
      <w:r w:rsidRPr="001D1883">
        <w:rPr>
          <w:rStyle w:val="aff6"/>
          <w:rtl/>
        </w:rPr>
        <w:instrText xml:space="preserve"> </w:instrText>
      </w:r>
      <w:r w:rsidRPr="001D1883">
        <w:rPr>
          <w:rStyle w:val="aff6"/>
          <w:rFonts w:hint="cs"/>
        </w:rPr>
        <w:instrText>REF</w:instrText>
      </w:r>
      <w:r w:rsidRPr="001D1883">
        <w:rPr>
          <w:rStyle w:val="aff6"/>
          <w:rFonts w:hint="cs"/>
          <w:rtl/>
        </w:rPr>
        <w:instrText xml:space="preserve"> _</w:instrText>
      </w:r>
      <w:r w:rsidRPr="001D1883">
        <w:rPr>
          <w:rStyle w:val="aff6"/>
          <w:rFonts w:hint="cs"/>
        </w:rPr>
        <w:instrText>Ref55120347 \r \h</w:instrText>
      </w:r>
      <w:r w:rsidRPr="001D1883">
        <w:rPr>
          <w:rStyle w:val="aff6"/>
          <w:rtl/>
        </w:rPr>
        <w:instrText xml:space="preserve">  \* </w:instrText>
      </w:r>
      <w:r w:rsidRPr="001D1883">
        <w:rPr>
          <w:rStyle w:val="aff6"/>
        </w:rPr>
        <w:instrText>MERGEFORMAT</w:instrText>
      </w:r>
      <w:r w:rsidRPr="001D1883">
        <w:rPr>
          <w:rStyle w:val="aff6"/>
          <w:rtl/>
        </w:rPr>
        <w:instrText xml:space="preserve"> </w:instrText>
      </w:r>
      <w:r w:rsidRPr="001D1883">
        <w:rPr>
          <w:rStyle w:val="aff6"/>
          <w:rtl/>
        </w:rPr>
      </w:r>
      <w:r w:rsidRPr="001D1883">
        <w:rPr>
          <w:rStyle w:val="aff6"/>
          <w:rtl/>
        </w:rPr>
        <w:fldChar w:fldCharType="separate"/>
      </w:r>
      <w:r>
        <w:rPr>
          <w:rStyle w:val="aff6"/>
          <w:cs/>
        </w:rPr>
        <w:t>‎</w:t>
      </w:r>
      <w:r>
        <w:rPr>
          <w:rStyle w:val="aff6"/>
          <w:rtl/>
        </w:rPr>
        <w:t>טז)</w:t>
      </w:r>
      <w:r w:rsidRPr="001D1883">
        <w:rPr>
          <w:rStyle w:val="aff6"/>
          <w:rtl/>
        </w:rPr>
        <w:fldChar w:fldCharType="end"/>
      </w:r>
      <w:r w:rsidRPr="001D1883">
        <w:rPr>
          <w:rStyle w:val="afb"/>
          <w:rFonts w:hint="cs"/>
          <w:rtl/>
        </w:rPr>
        <w:t xml:space="preserve"> ד</w:t>
      </w:r>
      <w:r>
        <w:rPr>
          <w:rStyle w:val="afb"/>
          <w:rFonts w:hint="cs"/>
          <w:rtl/>
        </w:rPr>
        <w:t xml:space="preserve">לתי' הגמ' </w:t>
      </w:r>
      <w:r w:rsidRPr="001D1883">
        <w:rPr>
          <w:rStyle w:val="afb"/>
          <w:rFonts w:hint="cs"/>
          <w:rtl/>
        </w:rPr>
        <w:t>יש גזיה"כ שצריך העדאה בפניו כדכתיב "והועד בבעליו"</w:t>
      </w:r>
      <w:r>
        <w:rPr>
          <w:rFonts w:hint="cs"/>
          <w:rtl/>
        </w:rPr>
        <w:t>.</w:t>
      </w:r>
    </w:p>
  </w:footnote>
  <w:footnote w:id="9">
    <w:p w:rsidR="00265073" w:rsidRDefault="00265073" w:rsidP="00CA3FDF">
      <w:pPr>
        <w:pStyle w:val="af"/>
        <w:rPr>
          <w:rtl/>
        </w:rPr>
      </w:pPr>
      <w:r>
        <w:rPr>
          <w:rStyle w:val="af1"/>
        </w:rPr>
        <w:footnoteRef/>
      </w:r>
      <w:r>
        <w:rPr>
          <w:rtl/>
        </w:rPr>
        <w:t xml:space="preserve"> </w:t>
      </w:r>
      <w:r>
        <w:rPr>
          <w:rFonts w:hint="cs"/>
          <w:rtl/>
        </w:rPr>
        <w:t>חי' הר"ן מהדו' פרדס נפוצים מאוד, הודפסו בכרכים גבוהים ודקים בכריכה כחולה.</w:t>
      </w:r>
    </w:p>
  </w:footnote>
  <w:footnote w:id="10">
    <w:p w:rsidR="00265073" w:rsidRDefault="00265073" w:rsidP="00F163D7">
      <w:pPr>
        <w:pStyle w:val="af"/>
        <w:rPr>
          <w:rtl/>
        </w:rPr>
      </w:pPr>
      <w:r>
        <w:rPr>
          <w:rStyle w:val="af1"/>
        </w:rPr>
        <w:footnoteRef/>
      </w:r>
      <w:r>
        <w:rPr>
          <w:rtl/>
        </w:rPr>
        <w:t xml:space="preserve"> </w:t>
      </w:r>
      <w:r w:rsidRPr="008820B9">
        <w:rPr>
          <w:rStyle w:val="afb"/>
          <w:rFonts w:hint="cs"/>
          <w:rtl/>
        </w:rPr>
        <w:t xml:space="preserve">ומשמע מדברי </w:t>
      </w:r>
      <w:r w:rsidRPr="008820B9">
        <w:rPr>
          <w:rStyle w:val="affa"/>
          <w:rFonts w:hint="cs"/>
          <w:rtl/>
        </w:rPr>
        <w:t>הריטב"א</w:t>
      </w:r>
      <w:r w:rsidRPr="008820B9">
        <w:rPr>
          <w:rStyle w:val="afb"/>
          <w:rFonts w:hint="cs"/>
          <w:rtl/>
        </w:rPr>
        <w:t xml:space="preserve"> דאי לא אמרינן "אלא" אמר רבא, היה אפש"ל דאף למסקנא הטעם שהמחזיק זוכה בקרקע, הוא כיון שעברו ג"ש ולא הקפיד המערער, </w:t>
      </w:r>
      <w:r>
        <w:rPr>
          <w:rStyle w:val="afb"/>
          <w:rFonts w:hint="cs"/>
          <w:rtl/>
        </w:rPr>
        <w:t>ו</w:t>
      </w:r>
      <w:r w:rsidRPr="00640004">
        <w:rPr>
          <w:rStyle w:val="afb"/>
          <w:rFonts w:hint="cs"/>
          <w:rtl/>
        </w:rPr>
        <w:t xml:space="preserve">כדביאר </w:t>
      </w:r>
      <w:r w:rsidRPr="00640004">
        <w:rPr>
          <w:rStyle w:val="affa"/>
          <w:rFonts w:hint="cs"/>
          <w:rtl/>
        </w:rPr>
        <w:t>הרשב"א</w:t>
      </w:r>
      <w:r>
        <w:rPr>
          <w:rStyle w:val="affa"/>
          <w:rFonts w:hint="cs"/>
          <w:rtl/>
        </w:rPr>
        <w:t xml:space="preserve"> בסוגיין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Ref56007864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מה)</w:t>
      </w:r>
      <w:r>
        <w:rPr>
          <w:rStyle w:val="aff6"/>
          <w:rtl/>
        </w:rPr>
        <w:fldChar w:fldCharType="end"/>
      </w:r>
      <w:r>
        <w:rPr>
          <w:rStyle w:val="aff6"/>
          <w:rFonts w:hint="cs"/>
          <w:rtl/>
        </w:rPr>
        <w:t xml:space="preserve"> </w:t>
      </w:r>
      <w:r w:rsidRPr="00161585">
        <w:rPr>
          <w:rStyle w:val="afb"/>
          <w:rFonts w:hint="cs"/>
          <w:rtl/>
        </w:rPr>
        <w:t>[</w:t>
      </w:r>
      <w:r>
        <w:rPr>
          <w:rStyle w:val="affa"/>
          <w:rFonts w:hint="cs"/>
          <w:rtl/>
        </w:rPr>
        <w:t>ולקמן</w:t>
      </w:r>
      <w:r w:rsidRPr="00640004">
        <w:rPr>
          <w:rStyle w:val="afb"/>
          <w:rFonts w:hint="cs"/>
          <w:rtl/>
        </w:rPr>
        <w:t xml:space="preserve"> </w:t>
      </w:r>
      <w:r w:rsidRPr="00161585">
        <w:rPr>
          <w:rStyle w:val="aff6"/>
          <w:rFonts w:hint="cs"/>
          <w:rtl/>
        </w:rPr>
        <w:t xml:space="preserve">(עי' אות </w:t>
      </w:r>
      <w:r w:rsidRPr="00161585">
        <w:rPr>
          <w:rStyle w:val="aff6"/>
          <w:rtl/>
        </w:rPr>
        <w:fldChar w:fldCharType="begin"/>
      </w:r>
      <w:r w:rsidRPr="00161585">
        <w:rPr>
          <w:rStyle w:val="aff6"/>
          <w:rtl/>
        </w:rPr>
        <w:instrText xml:space="preserve"> </w:instrText>
      </w:r>
      <w:r w:rsidRPr="00161585">
        <w:rPr>
          <w:rStyle w:val="aff6"/>
          <w:rFonts w:hint="cs"/>
        </w:rPr>
        <w:instrText>REF</w:instrText>
      </w:r>
      <w:r w:rsidRPr="00161585">
        <w:rPr>
          <w:rStyle w:val="aff6"/>
          <w:rFonts w:hint="cs"/>
          <w:rtl/>
        </w:rPr>
        <w:instrText xml:space="preserve"> _</w:instrText>
      </w:r>
      <w:r w:rsidRPr="00161585">
        <w:rPr>
          <w:rStyle w:val="aff6"/>
          <w:rFonts w:hint="cs"/>
        </w:rPr>
        <w:instrText>Ref53498629 \r \h</w:instrText>
      </w:r>
      <w:r w:rsidRPr="00161585">
        <w:rPr>
          <w:rStyle w:val="aff6"/>
          <w:rtl/>
        </w:rPr>
        <w:instrText xml:space="preserve"> </w:instrText>
      </w:r>
      <w:r w:rsidRPr="00161585">
        <w:rPr>
          <w:rStyle w:val="aff6"/>
          <w:rtl/>
        </w:rPr>
      </w:r>
      <w:r w:rsidRPr="00161585">
        <w:rPr>
          <w:rStyle w:val="aff6"/>
          <w:rtl/>
        </w:rPr>
        <w:fldChar w:fldCharType="separate"/>
      </w:r>
      <w:r>
        <w:rPr>
          <w:rStyle w:val="aff6"/>
          <w:cs/>
        </w:rPr>
        <w:t>‎</w:t>
      </w:r>
      <w:r>
        <w:rPr>
          <w:rStyle w:val="aff6"/>
          <w:rtl/>
        </w:rPr>
        <w:t>כג)</w:t>
      </w:r>
      <w:r w:rsidRPr="00161585">
        <w:rPr>
          <w:rStyle w:val="aff6"/>
          <w:rtl/>
        </w:rPr>
        <w:fldChar w:fldCharType="end"/>
      </w:r>
      <w:r>
        <w:rPr>
          <w:rStyle w:val="afb"/>
          <w:rFonts w:hint="cs"/>
          <w:rtl/>
        </w:rPr>
        <w:t>]</w:t>
      </w:r>
      <w:r w:rsidRPr="00640004">
        <w:rPr>
          <w:rStyle w:val="afb"/>
          <w:rFonts w:hint="cs"/>
          <w:rtl/>
        </w:rPr>
        <w:t>,</w:t>
      </w:r>
      <w:r>
        <w:rPr>
          <w:rFonts w:hint="cs"/>
          <w:rtl/>
        </w:rPr>
        <w:t xml:space="preserve"> </w:t>
      </w:r>
      <w:r w:rsidRPr="008820B9">
        <w:rPr>
          <w:rStyle w:val="afb"/>
          <w:rFonts w:hint="cs"/>
          <w:rtl/>
        </w:rPr>
        <w:t>ורבא רק תירץ על קושית אביי דנתת דבריך לשיעורין, דשיעור ג"ש הוא כיון דעד ג"ש נזהר בשטרו</w:t>
      </w:r>
      <w:r>
        <w:rPr>
          <w:rStyle w:val="afb"/>
          <w:rFonts w:hint="cs"/>
          <w:rtl/>
        </w:rPr>
        <w:t xml:space="preserve">, וא"כ לפי דברי </w:t>
      </w:r>
      <w:r w:rsidRPr="007E44DC">
        <w:rPr>
          <w:rStyle w:val="affa"/>
          <w:rFonts w:hint="cs"/>
          <w:rtl/>
        </w:rPr>
        <w:t>הרשב"א</w:t>
      </w:r>
      <w:r>
        <w:rPr>
          <w:rStyle w:val="afb"/>
          <w:rFonts w:hint="cs"/>
          <w:rtl/>
        </w:rPr>
        <w:t xml:space="preserve"> לק"מ קושית </w:t>
      </w:r>
      <w:r w:rsidRPr="007E44DC">
        <w:rPr>
          <w:rStyle w:val="affa"/>
          <w:rFonts w:hint="cs"/>
          <w:rtl/>
        </w:rPr>
        <w:t>הריטב"א</w:t>
      </w:r>
      <w:r>
        <w:rPr>
          <w:rFonts w:hint="cs"/>
          <w:rtl/>
        </w:rPr>
        <w:t xml:space="preserve">, ועי' במ"ש בזה </w:t>
      </w:r>
      <w:r w:rsidRPr="007C6739">
        <w:rPr>
          <w:rStyle w:val="affa"/>
          <w:rFonts w:hint="cs"/>
          <w:rtl/>
        </w:rPr>
        <w:t>הדברי מרדכי</w:t>
      </w:r>
      <w:r>
        <w:rPr>
          <w:rFonts w:hint="cs"/>
          <w:rtl/>
        </w:rPr>
        <w:t xml:space="preserve"> </w:t>
      </w:r>
      <w:r w:rsidRPr="0096039A">
        <w:rPr>
          <w:rStyle w:val="aff6"/>
          <w:rFonts w:hint="cs"/>
          <w:rtl/>
        </w:rPr>
        <w:t xml:space="preserve">(עי' אות </w:t>
      </w:r>
      <w:r w:rsidRPr="009B66DC">
        <w:rPr>
          <w:rStyle w:val="aff6"/>
          <w:rtl/>
        </w:rPr>
        <w:fldChar w:fldCharType="begin"/>
      </w:r>
      <w:r w:rsidRPr="009B66DC">
        <w:rPr>
          <w:rStyle w:val="aff6"/>
          <w:rtl/>
        </w:rPr>
        <w:instrText xml:space="preserve"> </w:instrText>
      </w:r>
      <w:r w:rsidRPr="009B66DC">
        <w:rPr>
          <w:rStyle w:val="aff6"/>
          <w:rFonts w:hint="cs"/>
        </w:rPr>
        <w:instrText>REF</w:instrText>
      </w:r>
      <w:r w:rsidRPr="009B66DC">
        <w:rPr>
          <w:rStyle w:val="aff6"/>
          <w:rFonts w:hint="cs"/>
          <w:rtl/>
        </w:rPr>
        <w:instrText xml:space="preserve"> _</w:instrText>
      </w:r>
      <w:r w:rsidRPr="009B66DC">
        <w:rPr>
          <w:rStyle w:val="aff6"/>
          <w:rFonts w:hint="cs"/>
        </w:rPr>
        <w:instrText>Ref55935376 \r \h</w:instrText>
      </w:r>
      <w:r w:rsidRPr="009B66DC">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9B66DC">
        <w:rPr>
          <w:rStyle w:val="aff6"/>
          <w:rtl/>
        </w:rPr>
      </w:r>
      <w:r w:rsidRPr="009B66DC">
        <w:rPr>
          <w:rStyle w:val="aff6"/>
          <w:rtl/>
        </w:rPr>
        <w:fldChar w:fldCharType="separate"/>
      </w:r>
      <w:r>
        <w:rPr>
          <w:rStyle w:val="aff6"/>
          <w:cs/>
        </w:rPr>
        <w:t>‎</w:t>
      </w:r>
      <w:r>
        <w:rPr>
          <w:rStyle w:val="aff6"/>
          <w:rtl/>
        </w:rPr>
        <w:t>קכא)</w:t>
      </w:r>
      <w:r w:rsidRPr="009B66DC">
        <w:rPr>
          <w:rStyle w:val="aff6"/>
          <w:rtl/>
        </w:rPr>
        <w:fldChar w:fldCharType="end"/>
      </w:r>
      <w:r w:rsidRPr="009B66DC">
        <w:rPr>
          <w:rFonts w:hint="cs"/>
          <w:rtl/>
        </w:rPr>
        <w:t xml:space="preserve"> וע"ע </w:t>
      </w:r>
      <w:r w:rsidRPr="009B66DC">
        <w:rPr>
          <w:rStyle w:val="affa"/>
          <w:rFonts w:hint="cs"/>
          <w:rtl/>
        </w:rPr>
        <w:t>בחזון יחזקאל</w:t>
      </w:r>
      <w:r w:rsidRPr="009B66DC">
        <w:rPr>
          <w:rFonts w:hint="cs"/>
          <w:rtl/>
        </w:rPr>
        <w:t xml:space="preserve"> </w:t>
      </w:r>
      <w:r w:rsidRPr="009B66DC">
        <w:rPr>
          <w:rStyle w:val="aff6"/>
          <w:rFonts w:hint="cs"/>
          <w:rtl/>
        </w:rPr>
        <w:t>(השמטות בסוף המסכת פ"ב ה"א</w:t>
      </w:r>
      <w:r>
        <w:rPr>
          <w:rStyle w:val="aff6"/>
          <w:rFonts w:hint="cs"/>
          <w:rtl/>
        </w:rPr>
        <w:t xml:space="preserve"> </w:t>
      </w:r>
      <w:r w:rsidRPr="009B66DC">
        <w:rPr>
          <w:rStyle w:val="aff6"/>
          <w:rFonts w:hint="cs"/>
          <w:rtl/>
        </w:rPr>
        <w:t>או' ב' ד"ה אך</w:t>
      </w:r>
      <w:r>
        <w:rPr>
          <w:rStyle w:val="aff6"/>
          <w:rFonts w:hint="cs"/>
          <w:rtl/>
        </w:rPr>
        <w:t>)</w:t>
      </w:r>
      <w:r w:rsidRPr="009B66DC">
        <w:rPr>
          <w:rFonts w:hint="cs"/>
          <w:rtl/>
        </w:rPr>
        <w:t>.</w:t>
      </w:r>
    </w:p>
  </w:footnote>
  <w:footnote w:id="11">
    <w:p w:rsidR="00265073" w:rsidRDefault="00265073" w:rsidP="00F163D7">
      <w:pPr>
        <w:pStyle w:val="af"/>
      </w:pPr>
      <w:r>
        <w:rPr>
          <w:rStyle w:val="af1"/>
        </w:rPr>
        <w:footnoteRef/>
      </w:r>
      <w:r>
        <w:rPr>
          <w:rtl/>
        </w:rPr>
        <w:t xml:space="preserve"> </w:t>
      </w:r>
      <w:r>
        <w:rPr>
          <w:rFonts w:hint="cs"/>
          <w:rtl/>
        </w:rPr>
        <w:t>במה שהוסיף</w:t>
      </w:r>
      <w:r w:rsidRPr="00C96D06">
        <w:rPr>
          <w:rtl/>
        </w:rPr>
        <w:t xml:space="preserve"> </w:t>
      </w:r>
      <w:r w:rsidRPr="00C96D06">
        <w:rPr>
          <w:rStyle w:val="affa"/>
          <w:rtl/>
        </w:rPr>
        <w:t>הרמב"ן</w:t>
      </w:r>
      <w:r w:rsidRPr="00C96D06">
        <w:rPr>
          <w:rtl/>
        </w:rPr>
        <w:t xml:space="preserve"> דכן מוכח בגמ' בסוגיין</w:t>
      </w:r>
      <w:r>
        <w:rPr>
          <w:rFonts w:hint="cs"/>
          <w:rtl/>
        </w:rPr>
        <w:t>,</w:t>
      </w:r>
      <w:r w:rsidRPr="00C96D06">
        <w:rPr>
          <w:rFonts w:hint="cs"/>
          <w:rtl/>
        </w:rPr>
        <w:t xml:space="preserve"> </w:t>
      </w:r>
      <w:r>
        <w:rPr>
          <w:rFonts w:hint="cs"/>
          <w:rtl/>
        </w:rPr>
        <w:t xml:space="preserve">הקשה </w:t>
      </w:r>
      <w:r w:rsidRPr="005D3D3B">
        <w:rPr>
          <w:rStyle w:val="affa"/>
          <w:rFonts w:hint="cs"/>
          <w:rtl/>
        </w:rPr>
        <w:t>בחי' רבי נחום</w:t>
      </w:r>
      <w:r>
        <w:rPr>
          <w:rFonts w:hint="cs"/>
          <w:rtl/>
        </w:rPr>
        <w:t xml:space="preserve"> </w:t>
      </w:r>
      <w:r w:rsidRPr="005D3D3B">
        <w:rPr>
          <w:rStyle w:val="aff6"/>
          <w:rFonts w:hint="cs"/>
          <w:rtl/>
        </w:rPr>
        <w:t xml:space="preserve">(או' כ"ה ד"ה וביאור) </w:t>
      </w:r>
      <w:r>
        <w:rPr>
          <w:rFonts w:hint="cs"/>
          <w:rtl/>
        </w:rPr>
        <w:t xml:space="preserve">דבסוגיין לא משמע דטעם החזקה הוא שיש ראיה היא מדלא מחה המערער, אלא משמע דהטעם הוא דעד ג"ש נזהר בשטרו, וכתב </w:t>
      </w:r>
      <w:r w:rsidRPr="005D3D3B">
        <w:rPr>
          <w:rStyle w:val="affa"/>
          <w:rFonts w:hint="cs"/>
          <w:rtl/>
        </w:rPr>
        <w:t>בחי' רבי נחום</w:t>
      </w:r>
      <w:r>
        <w:rPr>
          <w:rFonts w:hint="cs"/>
          <w:rtl/>
        </w:rPr>
        <w:t xml:space="preserve"> דאולי כוונת </w:t>
      </w:r>
      <w:r w:rsidRPr="005D3D3B">
        <w:rPr>
          <w:rStyle w:val="affa"/>
          <w:rFonts w:hint="cs"/>
          <w:rtl/>
        </w:rPr>
        <w:t>הרמב"ן</w:t>
      </w:r>
      <w:r>
        <w:rPr>
          <w:rFonts w:hint="cs"/>
          <w:rtl/>
        </w:rPr>
        <w:t xml:space="preserve"> לתירוץ הראשון של רבא דרק בג"ש אדם מקפיד ולא מוחל, וביאר </w:t>
      </w:r>
      <w:r w:rsidRPr="005D3D3B">
        <w:rPr>
          <w:rStyle w:val="affa"/>
          <w:rFonts w:hint="cs"/>
          <w:rtl/>
        </w:rPr>
        <w:t>הרמב"ן</w:t>
      </w:r>
      <w:r>
        <w:rPr>
          <w:rFonts w:hint="cs"/>
          <w:rtl/>
        </w:rPr>
        <w:t xml:space="preserve"> דכיון דמשתיקתו מוכח דמחל, א"כ ה"ה למסקנא.</w:t>
      </w:r>
    </w:p>
  </w:footnote>
  <w:footnote w:id="12">
    <w:p w:rsidR="00265073" w:rsidRDefault="00265073" w:rsidP="00CA3FDF">
      <w:pPr>
        <w:pStyle w:val="af"/>
        <w:rPr>
          <w:rtl/>
        </w:rPr>
      </w:pPr>
      <w:r>
        <w:rPr>
          <w:rStyle w:val="af1"/>
        </w:rPr>
        <w:footnoteRef/>
      </w:r>
      <w:r>
        <w:rPr>
          <w:rtl/>
        </w:rPr>
        <w:t xml:space="preserve"> </w:t>
      </w:r>
      <w:r>
        <w:rPr>
          <w:rFonts w:hint="cs"/>
          <w:rtl/>
        </w:rPr>
        <w:t>חי' הר"ן מהדו' פרדס נפוצים מאוד, הודפסו בכרכים גבוהים ודקים בכריכה כחולה.</w:t>
      </w:r>
    </w:p>
  </w:footnote>
  <w:footnote w:id="13">
    <w:p w:rsidR="00265073" w:rsidRDefault="00265073" w:rsidP="00CA3FDF">
      <w:pPr>
        <w:pStyle w:val="af"/>
        <w:rPr>
          <w:rtl/>
        </w:rPr>
      </w:pPr>
      <w:r>
        <w:rPr>
          <w:rStyle w:val="af1"/>
        </w:rPr>
        <w:footnoteRef/>
      </w:r>
      <w:r>
        <w:rPr>
          <w:rtl/>
        </w:rPr>
        <w:t xml:space="preserve"> </w:t>
      </w:r>
      <w:r>
        <w:rPr>
          <w:rFonts w:hint="cs"/>
          <w:rtl/>
        </w:rPr>
        <w:t>חי' הר"ן מהדו' פרדס נפוצים מאוד, הודפסו בכרכים גבוהים ודקים בכריכה כחולה.</w:t>
      </w:r>
    </w:p>
  </w:footnote>
  <w:footnote w:id="14">
    <w:p w:rsidR="00265073" w:rsidRDefault="00265073" w:rsidP="00CA3FDF">
      <w:pPr>
        <w:pStyle w:val="af"/>
        <w:rPr>
          <w:rtl/>
        </w:rPr>
      </w:pPr>
      <w:r>
        <w:rPr>
          <w:rStyle w:val="af1"/>
        </w:rPr>
        <w:footnoteRef/>
      </w:r>
      <w:r>
        <w:rPr>
          <w:rtl/>
        </w:rPr>
        <w:t xml:space="preserve"> </w:t>
      </w:r>
      <w:r>
        <w:rPr>
          <w:rFonts w:hint="cs"/>
          <w:rtl/>
        </w:rPr>
        <w:t>חי' הר"ן מהדו' פרדס נפוצים מאוד, הודפסו בכרכים גבוהים ודקים בכריכה כחולה.</w:t>
      </w:r>
    </w:p>
  </w:footnote>
  <w:footnote w:id="15">
    <w:p w:rsidR="00265073" w:rsidRDefault="00265073" w:rsidP="00F163D7">
      <w:pPr>
        <w:pStyle w:val="af"/>
        <w:rPr>
          <w:rtl/>
        </w:rPr>
      </w:pPr>
      <w:r w:rsidRPr="00AD7E2F">
        <w:rPr>
          <w:rStyle w:val="af1"/>
        </w:rPr>
        <w:footnoteRef/>
      </w:r>
      <w:r w:rsidRPr="00AD7E2F">
        <w:rPr>
          <w:rtl/>
        </w:rPr>
        <w:t xml:space="preserve"> </w:t>
      </w:r>
      <w:r w:rsidRPr="00AD7E2F">
        <w:rPr>
          <w:rFonts w:hint="cs"/>
          <w:rtl/>
        </w:rPr>
        <w:t xml:space="preserve">וכתב </w:t>
      </w:r>
      <w:r w:rsidRPr="00AD7E2F">
        <w:rPr>
          <w:rStyle w:val="affa"/>
          <w:rFonts w:hint="cs"/>
          <w:rtl/>
        </w:rPr>
        <w:t>בחי' רבי ראובן</w:t>
      </w:r>
      <w:r w:rsidRPr="00AD7E2F">
        <w:rPr>
          <w:rStyle w:val="af9"/>
          <w:rFonts w:hint="cs"/>
          <w:rtl/>
        </w:rPr>
        <w:t xml:space="preserve"> </w:t>
      </w:r>
      <w:r w:rsidRPr="00AD7E2F">
        <w:rPr>
          <w:rStyle w:val="aff6"/>
          <w:rFonts w:hint="cs"/>
          <w:rtl/>
        </w:rPr>
        <w:t xml:space="preserve">(סי' י"א ד"ה ושי' הרשב"א) </w:t>
      </w:r>
      <w:r w:rsidRPr="00AD7E2F">
        <w:rPr>
          <w:rFonts w:hint="cs"/>
          <w:rtl/>
        </w:rPr>
        <w:t xml:space="preserve">דלפי דברי </w:t>
      </w:r>
      <w:r w:rsidRPr="00AD7E2F">
        <w:rPr>
          <w:rStyle w:val="affa"/>
          <w:rFonts w:hint="cs"/>
          <w:rtl/>
        </w:rPr>
        <w:t>הרשב"א</w:t>
      </w:r>
      <w:r w:rsidRPr="00AD7E2F">
        <w:rPr>
          <w:rFonts w:hint="cs"/>
          <w:rtl/>
        </w:rPr>
        <w:t xml:space="preserve"> </w:t>
      </w:r>
      <w:r w:rsidRPr="00AD7E2F">
        <w:rPr>
          <w:rStyle w:val="aff6"/>
          <w:rFonts w:hint="cs"/>
          <w:rtl/>
        </w:rPr>
        <w:t xml:space="preserve">(עי' אות </w:t>
      </w:r>
      <w:r w:rsidRPr="00AD7E2F">
        <w:rPr>
          <w:rStyle w:val="aff6"/>
          <w:rtl/>
        </w:rPr>
        <w:fldChar w:fldCharType="begin"/>
      </w:r>
      <w:r w:rsidRPr="00AD7E2F">
        <w:rPr>
          <w:rStyle w:val="aff6"/>
          <w:rtl/>
        </w:rPr>
        <w:instrText xml:space="preserve"> </w:instrText>
      </w:r>
      <w:r w:rsidRPr="00AD7E2F">
        <w:rPr>
          <w:rStyle w:val="aff6"/>
          <w:rFonts w:hint="cs"/>
        </w:rPr>
        <w:instrText>REF</w:instrText>
      </w:r>
      <w:r w:rsidRPr="00AD7E2F">
        <w:rPr>
          <w:rStyle w:val="aff6"/>
          <w:rFonts w:hint="cs"/>
          <w:rtl/>
        </w:rPr>
        <w:instrText xml:space="preserve"> _</w:instrText>
      </w:r>
      <w:r w:rsidRPr="00AD7E2F">
        <w:rPr>
          <w:rStyle w:val="aff6"/>
          <w:rFonts w:hint="cs"/>
        </w:rPr>
        <w:instrText>Ref55763284 \r \h</w:instrText>
      </w:r>
      <w:r w:rsidRPr="00AD7E2F">
        <w:rPr>
          <w:rStyle w:val="aff6"/>
          <w:rtl/>
        </w:rPr>
        <w:instrText xml:space="preserve">  \* </w:instrText>
      </w:r>
      <w:r w:rsidRPr="00AD7E2F">
        <w:rPr>
          <w:rStyle w:val="aff6"/>
        </w:rPr>
        <w:instrText>MERGEFORMAT</w:instrText>
      </w:r>
      <w:r w:rsidRPr="00AD7E2F">
        <w:rPr>
          <w:rStyle w:val="aff6"/>
          <w:rtl/>
        </w:rPr>
        <w:instrText xml:space="preserve"> </w:instrText>
      </w:r>
      <w:r w:rsidRPr="00AD7E2F">
        <w:rPr>
          <w:rStyle w:val="aff6"/>
          <w:rtl/>
        </w:rPr>
      </w:r>
      <w:r w:rsidRPr="00AD7E2F">
        <w:rPr>
          <w:rStyle w:val="aff6"/>
          <w:rtl/>
        </w:rPr>
        <w:fldChar w:fldCharType="separate"/>
      </w:r>
      <w:r>
        <w:rPr>
          <w:rStyle w:val="aff6"/>
          <w:cs/>
        </w:rPr>
        <w:t>‎</w:t>
      </w:r>
      <w:r>
        <w:rPr>
          <w:rStyle w:val="aff6"/>
          <w:rtl/>
        </w:rPr>
        <w:t>מח)</w:t>
      </w:r>
      <w:r w:rsidRPr="00AD7E2F">
        <w:rPr>
          <w:rStyle w:val="aff6"/>
          <w:rtl/>
        </w:rPr>
        <w:fldChar w:fldCharType="end"/>
      </w:r>
      <w:r w:rsidRPr="00AD7E2F">
        <w:rPr>
          <w:rFonts w:hint="cs"/>
          <w:rtl/>
        </w:rPr>
        <w:t xml:space="preserve"> דבחופר בורות בקרקע חבירו, הוי חזקה לאלתר, דאין שאדם שמקלקלים את שדהו כל כך בפניו והוא שותק, מתורצת קושית </w:t>
      </w:r>
      <w:r w:rsidRPr="00AD7E2F">
        <w:rPr>
          <w:rStyle w:val="affa"/>
          <w:rFonts w:hint="cs"/>
          <w:rtl/>
        </w:rPr>
        <w:t>הקצוה"ח</w:t>
      </w:r>
      <w:r w:rsidRPr="00AD7E2F">
        <w:rPr>
          <w:rFonts w:hint="cs"/>
          <w:rtl/>
        </w:rPr>
        <w:t xml:space="preserve"> דכ"ש בדלי ליה צנא דפירי דעביד מעשה.</w:t>
      </w:r>
    </w:p>
  </w:footnote>
  <w:footnote w:id="16">
    <w:p w:rsidR="00265073" w:rsidRDefault="00265073" w:rsidP="00F163D7">
      <w:pPr>
        <w:pStyle w:val="af"/>
        <w:rPr>
          <w:rtl/>
        </w:rPr>
      </w:pPr>
      <w:r>
        <w:rPr>
          <w:rStyle w:val="af1"/>
        </w:rPr>
        <w:footnoteRef/>
      </w:r>
      <w:r>
        <w:rPr>
          <w:rtl/>
        </w:rPr>
        <w:t xml:space="preserve"> </w:t>
      </w:r>
      <w:r w:rsidRPr="000B1105">
        <w:rPr>
          <w:rStyle w:val="afb"/>
          <w:rFonts w:hint="cs"/>
          <w:rtl/>
        </w:rPr>
        <w:t xml:space="preserve">ועי' במה שתירץ </w:t>
      </w:r>
      <w:r w:rsidRPr="005C5C08">
        <w:rPr>
          <w:rStyle w:val="affa"/>
          <w:rFonts w:hint="cs"/>
          <w:rtl/>
        </w:rPr>
        <w:t>בחי' הגרש"ש</w:t>
      </w:r>
      <w:r w:rsidRPr="000B1105">
        <w:rPr>
          <w:rStyle w:val="afb"/>
          <w:rFonts w:hint="cs"/>
          <w:rtl/>
        </w:rPr>
        <w:t xml:space="preserve"> </w:t>
      </w:r>
      <w:r w:rsidRPr="005C5C08">
        <w:rPr>
          <w:rStyle w:val="aff6"/>
          <w:rFonts w:hint="cs"/>
          <w:rtl/>
        </w:rPr>
        <w:t>(סי' י"ב [מהדו' חד' ט"ו] או' א')</w:t>
      </w:r>
      <w:r w:rsidRPr="000B1105">
        <w:rPr>
          <w:rStyle w:val="afb"/>
          <w:rFonts w:hint="cs"/>
          <w:rtl/>
        </w:rPr>
        <w:t xml:space="preserve"> את </w:t>
      </w:r>
      <w:r w:rsidRPr="005C5C08">
        <w:rPr>
          <w:rStyle w:val="affa"/>
          <w:rFonts w:hint="cs"/>
          <w:rtl/>
        </w:rPr>
        <w:t>קושית השער משפט</w:t>
      </w:r>
      <w:r w:rsidRPr="000B1105">
        <w:rPr>
          <w:rStyle w:val="afb"/>
          <w:rFonts w:hint="cs"/>
          <w:rtl/>
        </w:rPr>
        <w:t xml:space="preserve"> דהא דטענינן ליורש הוא כיון שכל זכות שהאב יכול לזכות בקרקע יש גם ליורש, וכיון שלאב היה זכות של חזקת ג"ש, אף ליורש יש את אותה הזכות, עיי"ש במה שהאריך </w:t>
      </w:r>
      <w:r w:rsidRPr="005C5C08">
        <w:rPr>
          <w:rStyle w:val="affa"/>
          <w:rFonts w:hint="cs"/>
          <w:rtl/>
        </w:rPr>
        <w:t>הגרש"ש</w:t>
      </w:r>
      <w:r w:rsidRPr="000B1105">
        <w:rPr>
          <w:rStyle w:val="afb"/>
          <w:rFonts w:hint="cs"/>
          <w:rtl/>
        </w:rPr>
        <w:t xml:space="preserve"> בזה, ובמה שביאר </w:t>
      </w:r>
      <w:r w:rsidRPr="005C5C08">
        <w:rPr>
          <w:rStyle w:val="affa"/>
          <w:rtl/>
        </w:rPr>
        <w:t>בשיעורי רבי שמואל</w:t>
      </w:r>
      <w:r w:rsidRPr="000B1105">
        <w:rPr>
          <w:rStyle w:val="afb"/>
          <w:rtl/>
        </w:rPr>
        <w:t xml:space="preserve"> </w:t>
      </w:r>
      <w:r w:rsidRPr="005C5C08">
        <w:rPr>
          <w:rStyle w:val="aff6"/>
          <w:rFonts w:hint="cs"/>
          <w:rtl/>
        </w:rPr>
        <w:t>(כח. או' ד')</w:t>
      </w:r>
      <w:r w:rsidRPr="000B1105">
        <w:rPr>
          <w:rStyle w:val="afb"/>
          <w:rFonts w:hint="cs"/>
          <w:rtl/>
        </w:rPr>
        <w:t xml:space="preserve"> את דברי </w:t>
      </w:r>
      <w:r w:rsidRPr="005C5C08">
        <w:rPr>
          <w:rStyle w:val="affa"/>
          <w:rFonts w:hint="cs"/>
          <w:rtl/>
        </w:rPr>
        <w:t>הגרש"ש</w:t>
      </w:r>
      <w:r w:rsidRPr="000B1105">
        <w:rPr>
          <w:rStyle w:val="afb"/>
          <w:rFonts w:hint="cs"/>
          <w:rtl/>
        </w:rPr>
        <w:t>.</w:t>
      </w:r>
    </w:p>
  </w:footnote>
  <w:footnote w:id="17">
    <w:p w:rsidR="00265073" w:rsidRDefault="00265073" w:rsidP="00F163D7">
      <w:pPr>
        <w:pStyle w:val="af"/>
        <w:rPr>
          <w:rtl/>
        </w:rPr>
      </w:pPr>
      <w:r>
        <w:rPr>
          <w:rStyle w:val="af1"/>
        </w:rPr>
        <w:footnoteRef/>
      </w:r>
      <w:r>
        <w:rPr>
          <w:rtl/>
        </w:rPr>
        <w:t xml:space="preserve"> </w:t>
      </w:r>
      <w:r>
        <w:rPr>
          <w:rStyle w:val="afb"/>
          <w:rFonts w:hint="cs"/>
          <w:rtl/>
        </w:rPr>
        <w:t xml:space="preserve">ועי' בדברי </w:t>
      </w:r>
      <w:r w:rsidRPr="007E5B4F">
        <w:rPr>
          <w:rStyle w:val="affa"/>
          <w:rFonts w:hint="cs"/>
          <w:rtl/>
        </w:rPr>
        <w:t>הריטב"א</w:t>
      </w:r>
      <w:r>
        <w:rPr>
          <w:rStyle w:val="afb"/>
          <w:rFonts w:hint="cs"/>
          <w:rtl/>
        </w:rPr>
        <w:t xml:space="preserve"> </w:t>
      </w:r>
      <w:r w:rsidRPr="007E5B4F">
        <w:rPr>
          <w:rStyle w:val="aff6"/>
          <w:rFonts w:hint="cs"/>
          <w:rtl/>
        </w:rPr>
        <w:t xml:space="preserve">(עי' אות </w:t>
      </w:r>
      <w:r w:rsidRPr="007E5B4F">
        <w:rPr>
          <w:rStyle w:val="aff6"/>
          <w:rtl/>
        </w:rPr>
        <w:fldChar w:fldCharType="begin"/>
      </w:r>
      <w:r w:rsidRPr="007E5B4F">
        <w:rPr>
          <w:rStyle w:val="aff6"/>
          <w:rtl/>
        </w:rPr>
        <w:instrText xml:space="preserve"> </w:instrText>
      </w:r>
      <w:r w:rsidRPr="007E5B4F">
        <w:rPr>
          <w:rStyle w:val="aff6"/>
          <w:rFonts w:hint="cs"/>
        </w:rPr>
        <w:instrText>REF</w:instrText>
      </w:r>
      <w:r w:rsidRPr="007E5B4F">
        <w:rPr>
          <w:rStyle w:val="aff6"/>
          <w:rFonts w:hint="cs"/>
          <w:rtl/>
        </w:rPr>
        <w:instrText xml:space="preserve"> _</w:instrText>
      </w:r>
      <w:r w:rsidRPr="007E5B4F">
        <w:rPr>
          <w:rStyle w:val="aff6"/>
          <w:rFonts w:hint="cs"/>
        </w:rPr>
        <w:instrText>Ref55464832 \r \h</w:instrText>
      </w:r>
      <w:r w:rsidRPr="007E5B4F">
        <w:rPr>
          <w:rStyle w:val="aff6"/>
          <w:rtl/>
        </w:rPr>
        <w:instrText xml:space="preserve"> </w:instrText>
      </w:r>
      <w:r w:rsidRPr="007E5B4F">
        <w:rPr>
          <w:rStyle w:val="aff6"/>
          <w:rtl/>
        </w:rPr>
      </w:r>
      <w:r w:rsidRPr="007E5B4F">
        <w:rPr>
          <w:rStyle w:val="aff6"/>
          <w:rtl/>
        </w:rPr>
        <w:fldChar w:fldCharType="separate"/>
      </w:r>
      <w:r>
        <w:rPr>
          <w:rStyle w:val="aff6"/>
          <w:cs/>
        </w:rPr>
        <w:t>‎</w:t>
      </w:r>
      <w:r>
        <w:rPr>
          <w:rStyle w:val="aff6"/>
          <w:rtl/>
        </w:rPr>
        <w:t>א)</w:t>
      </w:r>
      <w:r w:rsidRPr="007E5B4F">
        <w:rPr>
          <w:rStyle w:val="aff6"/>
          <w:rtl/>
        </w:rPr>
        <w:fldChar w:fldCharType="end"/>
      </w:r>
      <w:r>
        <w:rPr>
          <w:rStyle w:val="afb"/>
          <w:rFonts w:hint="cs"/>
          <w:rtl/>
        </w:rPr>
        <w:t xml:space="preserve"> דכתב דמהא דאמרינן "אלא</w:t>
      </w:r>
      <w:r w:rsidRPr="007E5B4F">
        <w:rPr>
          <w:rStyle w:val="afb"/>
          <w:rFonts w:hint="cs"/>
          <w:rtl/>
        </w:rPr>
        <w:t xml:space="preserve">" </w:t>
      </w:r>
      <w:r>
        <w:rPr>
          <w:rStyle w:val="afb"/>
          <w:rFonts w:hint="cs"/>
          <w:rtl/>
        </w:rPr>
        <w:t xml:space="preserve">אמר רבא, מוכח </w:t>
      </w:r>
      <w:r w:rsidRPr="007E5B4F">
        <w:rPr>
          <w:rStyle w:val="afb"/>
          <w:rFonts w:hint="cs"/>
          <w:rtl/>
        </w:rPr>
        <w:t>דלמסקנא טעמא דחזקה הוא רק כיון דאין אדם נזהר בשטרו לאחר ג"ש, ולא מחמת הסברות שאמר רבא דעד ג"ש לא קפיד או מוחל</w:t>
      </w:r>
      <w:r>
        <w:rPr>
          <w:rFonts w:hint="cs"/>
          <w:rtl/>
        </w:rPr>
        <w:t>.</w:t>
      </w:r>
    </w:p>
  </w:footnote>
  <w:footnote w:id="18">
    <w:p w:rsidR="00265073" w:rsidRDefault="00265073" w:rsidP="00F163D7">
      <w:pPr>
        <w:pStyle w:val="af"/>
      </w:pPr>
      <w:r>
        <w:rPr>
          <w:rStyle w:val="af1"/>
        </w:rPr>
        <w:footnoteRef/>
      </w:r>
      <w:r>
        <w:rPr>
          <w:rtl/>
        </w:rPr>
        <w:t xml:space="preserve"> </w:t>
      </w:r>
      <w:r>
        <w:rPr>
          <w:rFonts w:hint="cs"/>
          <w:rtl/>
        </w:rPr>
        <w:t xml:space="preserve">בעיקר דברי </w:t>
      </w:r>
      <w:r w:rsidRPr="001278D9">
        <w:rPr>
          <w:rStyle w:val="affa"/>
          <w:rFonts w:hint="cs"/>
          <w:rtl/>
        </w:rPr>
        <w:t xml:space="preserve">הרשב"א </w:t>
      </w:r>
      <w:r>
        <w:rPr>
          <w:rFonts w:hint="cs"/>
          <w:rtl/>
        </w:rPr>
        <w:t xml:space="preserve">דטעמא דחזקת ג"ש, הוא כיון שלאחר ג"ש שעבר הזמן שרגילים להקפיד לא נזהר המחזיק בשטרו, הקשה </w:t>
      </w:r>
      <w:r w:rsidRPr="001278D9">
        <w:rPr>
          <w:rStyle w:val="affa"/>
          <w:rFonts w:hint="cs"/>
          <w:rtl/>
        </w:rPr>
        <w:t xml:space="preserve">בחי' רבי נחום </w:t>
      </w:r>
      <w:r w:rsidRPr="001278D9">
        <w:rPr>
          <w:rStyle w:val="aff6"/>
          <w:rFonts w:hint="cs"/>
          <w:rtl/>
        </w:rPr>
        <w:t>(או' כ"ח ד"ה אמנם בעיקר)</w:t>
      </w:r>
      <w:r>
        <w:rPr>
          <w:rFonts w:hint="cs"/>
          <w:rtl/>
        </w:rPr>
        <w:t xml:space="preserve"> דכ"מ ששייך לומר דאדם מקפיד אחר ג"ש, הוא כשהמחזיק יושב בקרקע בגזילה, אבל במקום שקנה מהמרא קמא כדין, א"כ לא שייך קפידא כלל, ולא שייך לומר דמשו"ה הוא נזהר בשטרו, וביאר </w:t>
      </w:r>
      <w:r w:rsidRPr="001278D9">
        <w:rPr>
          <w:rStyle w:val="affa"/>
          <w:rFonts w:hint="cs"/>
          <w:rtl/>
        </w:rPr>
        <w:t xml:space="preserve">בחי' רבי נחום </w:t>
      </w:r>
      <w:r>
        <w:rPr>
          <w:rFonts w:hint="cs"/>
          <w:rtl/>
        </w:rPr>
        <w:t xml:space="preserve">דכוונת </w:t>
      </w:r>
      <w:r w:rsidRPr="001278D9">
        <w:rPr>
          <w:rStyle w:val="affa"/>
          <w:rFonts w:hint="cs"/>
          <w:rtl/>
        </w:rPr>
        <w:t>הרשב"א</w:t>
      </w:r>
      <w:r>
        <w:rPr>
          <w:rFonts w:hint="cs"/>
          <w:rtl/>
        </w:rPr>
        <w:t xml:space="preserve"> לומר דכיון דבתוך ג"ש אין אדם מקפיד, לכן הלוקח חושש שימחה בו המרא קמא בשקר, והוא נזהר בשטרו, אבל לאחר ג"ש שיש ריעותא בטענת המערער דהיה לו למחות בתוך ג"ש, אין הלוקח חושש יותר ואינו נזהר בשטרו.</w:t>
      </w:r>
    </w:p>
  </w:footnote>
  <w:footnote w:id="19">
    <w:p w:rsidR="00265073" w:rsidRDefault="00265073" w:rsidP="00F163D7">
      <w:pPr>
        <w:pStyle w:val="af"/>
      </w:pPr>
      <w:r>
        <w:rPr>
          <w:rStyle w:val="af1"/>
        </w:rPr>
        <w:footnoteRef/>
      </w:r>
      <w:r>
        <w:rPr>
          <w:rtl/>
        </w:rPr>
        <w:t xml:space="preserve"> </w:t>
      </w:r>
      <w:r>
        <w:rPr>
          <w:rFonts w:hint="cs"/>
          <w:rtl/>
        </w:rPr>
        <w:t xml:space="preserve">וע"ע במ"ש </w:t>
      </w:r>
      <w:r w:rsidRPr="00B56CA2">
        <w:rPr>
          <w:rStyle w:val="affa"/>
          <w:rFonts w:hint="cs"/>
          <w:rtl/>
        </w:rPr>
        <w:t>הברכ"ש</w:t>
      </w:r>
      <w:r>
        <w:rPr>
          <w:rFonts w:hint="cs"/>
          <w:rtl/>
        </w:rPr>
        <w:t xml:space="preserve"> </w:t>
      </w:r>
      <w:r w:rsidRPr="00B56CA2">
        <w:rPr>
          <w:rStyle w:val="aff6"/>
          <w:rFonts w:hint="cs"/>
          <w:rtl/>
        </w:rPr>
        <w:t>(סי' כ"ד או' א'</w:t>
      </w:r>
      <w:r w:rsidRPr="00EC3754">
        <w:rPr>
          <w:rStyle w:val="af7"/>
          <w:rFonts w:eastAsia="Guttman Hodes" w:hint="cs"/>
          <w:rtl/>
        </w:rPr>
        <w:t>)</w:t>
      </w:r>
      <w:r>
        <w:rPr>
          <w:rFonts w:hint="cs"/>
          <w:rtl/>
        </w:rPr>
        <w:t xml:space="preserve"> דכל קושית הגמ' לעיל </w:t>
      </w:r>
      <w:r w:rsidRPr="00B56CA2">
        <w:rPr>
          <w:rStyle w:val="aff6"/>
          <w:rFonts w:hint="cs"/>
          <w:rtl/>
        </w:rPr>
        <w:t xml:space="preserve">(כח:) </w:t>
      </w:r>
      <w:r>
        <w:rPr>
          <w:rFonts w:hint="cs"/>
          <w:rtl/>
        </w:rPr>
        <w:t xml:space="preserve">דתועיל חזקה אף בלא טענה היא רק להולכי אושא דילפינן משור המועד, אבל לדעת רבנן דטעמא דחזקה הוא דעד ג"ש אדם נזהר בשטרו, לא הוקשה לגמ' דתועיל חזקה בלא טענה, כיון דלרבנן עיקר החזקה הוא שהיא נותנת נאמנות לטענתו, אבל הזכיה בקרקע אינה מחמת החזקה, אלא ע"י הטענה, וכל שלא טען טענה אין לו כל זכות ואינו בעל דבר בקרקע זו כלל, ועיי"ש במ"ש </w:t>
      </w:r>
      <w:r w:rsidRPr="00B56CA2">
        <w:rPr>
          <w:rStyle w:val="affa"/>
          <w:rFonts w:hint="cs"/>
          <w:rtl/>
        </w:rPr>
        <w:t>הברכ"ש</w:t>
      </w:r>
      <w:r w:rsidRPr="00F90C32">
        <w:rPr>
          <w:rStyle w:val="af9"/>
          <w:rFonts w:hint="cs"/>
          <w:rtl/>
        </w:rPr>
        <w:t xml:space="preserve"> </w:t>
      </w:r>
      <w:r w:rsidRPr="00B56CA2">
        <w:rPr>
          <w:rStyle w:val="aff6"/>
          <w:rFonts w:hint="cs"/>
          <w:rtl/>
        </w:rPr>
        <w:t xml:space="preserve">(הובא בסימן ג' אות ע"ה) </w:t>
      </w:r>
      <w:r>
        <w:rPr>
          <w:rFonts w:hint="cs"/>
          <w:rtl/>
        </w:rPr>
        <w:t xml:space="preserve">דלהולכי אושא החזקה עצמה היא גוף הטענה, וכ"כ </w:t>
      </w:r>
      <w:r w:rsidRPr="00B56CA2">
        <w:rPr>
          <w:rStyle w:val="affa"/>
          <w:rFonts w:hint="cs"/>
          <w:rtl/>
        </w:rPr>
        <w:t>בחי' רבי נחום</w:t>
      </w:r>
      <w:r w:rsidRPr="00E90638">
        <w:rPr>
          <w:rStyle w:val="af9"/>
          <w:rFonts w:hint="cs"/>
          <w:rtl/>
        </w:rPr>
        <w:t xml:space="preserve"> </w:t>
      </w:r>
      <w:r w:rsidRPr="00B56CA2">
        <w:rPr>
          <w:rStyle w:val="aff6"/>
          <w:rFonts w:hint="cs"/>
          <w:rtl/>
        </w:rPr>
        <w:t>(או' ט"ו, הובא בסימן ג' אות צ"ה)</w:t>
      </w:r>
      <w:r>
        <w:rPr>
          <w:rFonts w:hint="cs"/>
          <w:rtl/>
        </w:rPr>
        <w:t>.</w:t>
      </w:r>
    </w:p>
  </w:footnote>
  <w:footnote w:id="20">
    <w:p w:rsidR="00265073" w:rsidRDefault="00265073" w:rsidP="00B6247C">
      <w:pPr>
        <w:pStyle w:val="af"/>
      </w:pPr>
      <w:r>
        <w:rPr>
          <w:rStyle w:val="af1"/>
        </w:rPr>
        <w:footnoteRef/>
      </w:r>
      <w:r>
        <w:rPr>
          <w:rtl/>
        </w:rPr>
        <w:t xml:space="preserve"> </w:t>
      </w:r>
      <w:r w:rsidRPr="00593208">
        <w:rPr>
          <w:rStyle w:val="afb"/>
          <w:rtl/>
        </w:rPr>
        <w:t xml:space="preserve">ועי' במ"ש </w:t>
      </w:r>
      <w:r w:rsidRPr="00470002">
        <w:rPr>
          <w:rStyle w:val="affa"/>
          <w:rFonts w:hint="cs"/>
          <w:rtl/>
        </w:rPr>
        <w:t xml:space="preserve">בשיעורי רבי שמואל </w:t>
      </w:r>
      <w:r w:rsidRPr="00FA60A7">
        <w:rPr>
          <w:rStyle w:val="aff6"/>
          <w:rFonts w:hint="cs"/>
          <w:rtl/>
        </w:rPr>
        <w:t>(כח. או' ב' ד"ה עוד קשה, הובא בסימן ג' אות ק"ו)</w:t>
      </w:r>
      <w:r w:rsidRPr="00470002">
        <w:rPr>
          <w:rStyle w:val="afb"/>
          <w:rFonts w:hint="cs"/>
          <w:rtl/>
        </w:rPr>
        <w:t xml:space="preserve"> </w:t>
      </w:r>
      <w:r>
        <w:rPr>
          <w:rStyle w:val="affa"/>
          <w:rFonts w:hint="cs"/>
          <w:rtl/>
        </w:rPr>
        <w:t>ו</w:t>
      </w:r>
      <w:r w:rsidRPr="00470002">
        <w:rPr>
          <w:rStyle w:val="affa"/>
          <w:rFonts w:hint="cs"/>
          <w:rtl/>
        </w:rPr>
        <w:t xml:space="preserve">בחי' רבי נחום </w:t>
      </w:r>
      <w:r w:rsidRPr="00FA60A7">
        <w:rPr>
          <w:rStyle w:val="aff6"/>
          <w:rFonts w:hint="cs"/>
          <w:rtl/>
        </w:rPr>
        <w:t>(או' י"ז ד"ה ולפרש"י, הובא בסימן ע' אות ק"ח)</w:t>
      </w:r>
      <w:r w:rsidRPr="00470002">
        <w:rPr>
          <w:rStyle w:val="afb"/>
          <w:rtl/>
        </w:rPr>
        <w:t xml:space="preserve">, </w:t>
      </w:r>
      <w:r w:rsidRPr="00454E40">
        <w:rPr>
          <w:rStyle w:val="afb"/>
          <w:rFonts w:hint="cs"/>
          <w:rtl/>
        </w:rPr>
        <w:t>דלדעת</w:t>
      </w:r>
      <w:r>
        <w:rPr>
          <w:rStyle w:val="affa"/>
          <w:rFonts w:hint="cs"/>
          <w:rtl/>
        </w:rPr>
        <w:t xml:space="preserve"> ה</w:t>
      </w:r>
      <w:r w:rsidRPr="00454E40">
        <w:rPr>
          <w:rStyle w:val="affa"/>
          <w:rtl/>
        </w:rPr>
        <w:t>רמב"ן</w:t>
      </w:r>
      <w:r w:rsidRPr="00593208">
        <w:rPr>
          <w:rStyle w:val="afb"/>
          <w:rtl/>
        </w:rPr>
        <w:t xml:space="preserve"> כל שלא שמע המחזיק מהמחאה, הוי חזקה</w:t>
      </w:r>
      <w:r w:rsidRPr="00470002">
        <w:rPr>
          <w:rStyle w:val="afb"/>
          <w:rtl/>
        </w:rPr>
        <w:t xml:space="preserve"> ועי' במ</w:t>
      </w:r>
      <w:r>
        <w:rPr>
          <w:rStyle w:val="afb"/>
          <w:rFonts w:hint="cs"/>
          <w:rtl/>
        </w:rPr>
        <w:t>ה שביאר בזה</w:t>
      </w:r>
      <w:r w:rsidRPr="00470002">
        <w:rPr>
          <w:rStyle w:val="afb"/>
          <w:rtl/>
        </w:rPr>
        <w:t xml:space="preserve"> </w:t>
      </w:r>
      <w:r w:rsidRPr="00B6247C">
        <w:rPr>
          <w:rStyle w:val="affa"/>
          <w:rtl/>
        </w:rPr>
        <w:t xml:space="preserve">הגר"מ מן בדברי מרדכי </w:t>
      </w:r>
      <w:r w:rsidRPr="00FA60A7">
        <w:rPr>
          <w:rStyle w:val="aff6"/>
          <w:rFonts w:hint="cs"/>
          <w:rtl/>
        </w:rPr>
        <w:t>(סי' י"ז סק"ב</w:t>
      </w:r>
      <w:r w:rsidRPr="00470002">
        <w:rPr>
          <w:rStyle w:val="aff6"/>
          <w:rFonts w:hint="cs"/>
          <w:rtl/>
        </w:rPr>
        <w:t>, הובא בסימן ע' אות ק"י</w:t>
      </w:r>
      <w:r>
        <w:rPr>
          <w:rStyle w:val="aff6"/>
          <w:rFonts w:hint="cs"/>
          <w:rtl/>
        </w:rPr>
        <w:t>)</w:t>
      </w:r>
      <w:r>
        <w:rPr>
          <w:rStyle w:val="afb"/>
          <w:rFonts w:hint="cs"/>
          <w:rtl/>
        </w:rPr>
        <w:t xml:space="preserve">, וע"ע </w:t>
      </w:r>
      <w:r w:rsidRPr="00E2793B">
        <w:rPr>
          <w:rStyle w:val="affa"/>
          <w:rFonts w:hint="cs"/>
          <w:rtl/>
        </w:rPr>
        <w:t>בר"ן בתשו'</w:t>
      </w:r>
      <w:r w:rsidRPr="00E2793B">
        <w:rPr>
          <w:rStyle w:val="aff6"/>
          <w:rFonts w:hint="cs"/>
          <w:rtl/>
        </w:rPr>
        <w:t xml:space="preserve"> (עי' אות </w:t>
      </w:r>
      <w:r w:rsidRPr="00E2793B">
        <w:rPr>
          <w:rStyle w:val="aff6"/>
          <w:rtl/>
        </w:rPr>
        <w:fldChar w:fldCharType="begin"/>
      </w:r>
      <w:r w:rsidRPr="00E2793B">
        <w:rPr>
          <w:rStyle w:val="aff6"/>
          <w:rtl/>
        </w:rPr>
        <w:instrText xml:space="preserve"> </w:instrText>
      </w:r>
      <w:r w:rsidRPr="00E2793B">
        <w:rPr>
          <w:rStyle w:val="aff6"/>
          <w:rFonts w:hint="cs"/>
        </w:rPr>
        <w:instrText>REF</w:instrText>
      </w:r>
      <w:r w:rsidRPr="00E2793B">
        <w:rPr>
          <w:rStyle w:val="aff6"/>
          <w:rFonts w:hint="cs"/>
          <w:rtl/>
        </w:rPr>
        <w:instrText xml:space="preserve"> _</w:instrText>
      </w:r>
      <w:r w:rsidRPr="00E2793B">
        <w:rPr>
          <w:rStyle w:val="aff6"/>
          <w:rFonts w:hint="cs"/>
        </w:rPr>
        <w:instrText>Ref55726886 \r \h</w:instrText>
      </w:r>
      <w:r w:rsidRPr="00E2793B">
        <w:rPr>
          <w:rStyle w:val="aff6"/>
          <w:rtl/>
        </w:rPr>
        <w:instrText xml:space="preserve"> </w:instrText>
      </w:r>
      <w:r w:rsidRPr="00E2793B">
        <w:rPr>
          <w:rStyle w:val="aff6"/>
          <w:rtl/>
        </w:rPr>
      </w:r>
      <w:r w:rsidRPr="00E2793B">
        <w:rPr>
          <w:rStyle w:val="aff6"/>
          <w:rtl/>
        </w:rPr>
        <w:fldChar w:fldCharType="separate"/>
      </w:r>
      <w:r>
        <w:rPr>
          <w:rStyle w:val="aff6"/>
          <w:cs/>
        </w:rPr>
        <w:t>‎</w:t>
      </w:r>
      <w:r>
        <w:rPr>
          <w:rStyle w:val="aff6"/>
          <w:rtl/>
        </w:rPr>
        <w:t>טז)</w:t>
      </w:r>
      <w:r w:rsidRPr="00E2793B">
        <w:rPr>
          <w:rStyle w:val="aff6"/>
          <w:rtl/>
        </w:rPr>
        <w:fldChar w:fldCharType="end"/>
      </w:r>
      <w:r w:rsidRPr="00E2793B">
        <w:rPr>
          <w:rStyle w:val="aff6"/>
          <w:rFonts w:hint="cs"/>
          <w:rtl/>
        </w:rPr>
        <w:t xml:space="preserve"> </w:t>
      </w:r>
      <w:r>
        <w:rPr>
          <w:rStyle w:val="afb"/>
          <w:rFonts w:hint="cs"/>
          <w:rtl/>
        </w:rPr>
        <w:t xml:space="preserve">דס"ל בטעם החזקה </w:t>
      </w:r>
      <w:r w:rsidRPr="00E2793B">
        <w:rPr>
          <w:rStyle w:val="affa"/>
          <w:rFonts w:hint="cs"/>
          <w:rtl/>
        </w:rPr>
        <w:t>כהרמב"ן</w:t>
      </w:r>
      <w:r>
        <w:rPr>
          <w:rStyle w:val="afb"/>
          <w:rFonts w:hint="cs"/>
          <w:rtl/>
        </w:rPr>
        <w:t xml:space="preserve">, ואפ"ה כתב דמהני המחאה אף שלא שמע המחזיק, ועי' במה שביאר </w:t>
      </w:r>
      <w:r w:rsidRPr="00E806D5">
        <w:rPr>
          <w:rStyle w:val="affa"/>
          <w:rFonts w:hint="cs"/>
          <w:rtl/>
        </w:rPr>
        <w:t>בחי'</w:t>
      </w:r>
      <w:r>
        <w:rPr>
          <w:rStyle w:val="afb"/>
          <w:rFonts w:hint="cs"/>
          <w:rtl/>
        </w:rPr>
        <w:t xml:space="preserve"> </w:t>
      </w:r>
      <w:r w:rsidRPr="00E806D5">
        <w:rPr>
          <w:rStyle w:val="affa"/>
          <w:rFonts w:hint="cs"/>
          <w:rtl/>
        </w:rPr>
        <w:t>רבי ראובן</w:t>
      </w:r>
      <w:r>
        <w:rPr>
          <w:rStyle w:val="afb"/>
          <w:rFonts w:hint="cs"/>
          <w:rtl/>
        </w:rPr>
        <w:t xml:space="preserve"> </w:t>
      </w:r>
      <w:r w:rsidRPr="00E806D5">
        <w:rPr>
          <w:rStyle w:val="aff6"/>
          <w:rFonts w:hint="cs"/>
          <w:rtl/>
        </w:rPr>
        <w:t xml:space="preserve">(עי' אות </w:t>
      </w:r>
      <w:r w:rsidRPr="00E806D5">
        <w:rPr>
          <w:rStyle w:val="aff6"/>
          <w:rtl/>
        </w:rPr>
        <w:fldChar w:fldCharType="begin"/>
      </w:r>
      <w:r w:rsidRPr="00E806D5">
        <w:rPr>
          <w:rStyle w:val="aff6"/>
          <w:rtl/>
        </w:rPr>
        <w:instrText xml:space="preserve"> </w:instrText>
      </w:r>
      <w:r w:rsidRPr="00E806D5">
        <w:rPr>
          <w:rStyle w:val="aff6"/>
          <w:rFonts w:hint="cs"/>
        </w:rPr>
        <w:instrText>REF</w:instrText>
      </w:r>
      <w:r w:rsidRPr="00E806D5">
        <w:rPr>
          <w:rStyle w:val="aff6"/>
          <w:rFonts w:hint="cs"/>
          <w:rtl/>
        </w:rPr>
        <w:instrText xml:space="preserve"> _</w:instrText>
      </w:r>
      <w:r w:rsidRPr="00E806D5">
        <w:rPr>
          <w:rStyle w:val="aff6"/>
          <w:rFonts w:hint="cs"/>
        </w:rPr>
        <w:instrText>Ref56008889 \r \h</w:instrText>
      </w:r>
      <w:r w:rsidRPr="00E806D5">
        <w:rPr>
          <w:rStyle w:val="aff6"/>
          <w:rtl/>
        </w:rPr>
        <w:instrText xml:space="preserve"> </w:instrText>
      </w:r>
      <w:r w:rsidRPr="00E806D5">
        <w:rPr>
          <w:rStyle w:val="aff6"/>
          <w:rtl/>
        </w:rPr>
      </w:r>
      <w:r w:rsidRPr="00E806D5">
        <w:rPr>
          <w:rStyle w:val="aff6"/>
          <w:rtl/>
        </w:rPr>
        <w:fldChar w:fldCharType="separate"/>
      </w:r>
      <w:r>
        <w:rPr>
          <w:rStyle w:val="aff6"/>
          <w:cs/>
        </w:rPr>
        <w:t>‎</w:t>
      </w:r>
      <w:r>
        <w:rPr>
          <w:rStyle w:val="aff6"/>
          <w:rtl/>
        </w:rPr>
        <w:t>פג)</w:t>
      </w:r>
      <w:r w:rsidRPr="00E806D5">
        <w:rPr>
          <w:rStyle w:val="aff6"/>
          <w:rtl/>
        </w:rPr>
        <w:fldChar w:fldCharType="end"/>
      </w:r>
      <w:r>
        <w:rPr>
          <w:rStyle w:val="afb"/>
          <w:rFonts w:hint="cs"/>
          <w:rtl/>
        </w:rPr>
        <w:t xml:space="preserve"> בדעת </w:t>
      </w:r>
      <w:r w:rsidRPr="00E806D5">
        <w:rPr>
          <w:rStyle w:val="affa"/>
          <w:rFonts w:hint="cs"/>
          <w:rtl/>
        </w:rPr>
        <w:t>הרשב"א</w:t>
      </w:r>
      <w:r>
        <w:rPr>
          <w:rStyle w:val="afb"/>
          <w:rFonts w:hint="cs"/>
          <w:rtl/>
        </w:rPr>
        <w:t xml:space="preserve"> בזה</w:t>
      </w:r>
      <w:r w:rsidRPr="00454E40">
        <w:rPr>
          <w:rStyle w:val="afb"/>
          <w:rFonts w:hint="cs"/>
          <w:rtl/>
        </w:rPr>
        <w:t>.</w:t>
      </w:r>
    </w:p>
  </w:footnote>
  <w:footnote w:id="21">
    <w:p w:rsidR="00265073" w:rsidRDefault="00265073" w:rsidP="00F163D7">
      <w:pPr>
        <w:pStyle w:val="af"/>
      </w:pPr>
      <w:r>
        <w:rPr>
          <w:rStyle w:val="af1"/>
        </w:rPr>
        <w:footnoteRef/>
      </w:r>
      <w:r>
        <w:rPr>
          <w:rtl/>
        </w:rPr>
        <w:t xml:space="preserve"> </w:t>
      </w:r>
      <w:r>
        <w:rPr>
          <w:rFonts w:hint="cs"/>
          <w:rtl/>
        </w:rPr>
        <w:t xml:space="preserve">וכתב </w:t>
      </w:r>
      <w:r w:rsidRPr="009E420A">
        <w:rPr>
          <w:rStyle w:val="affa"/>
          <w:rFonts w:hint="cs"/>
          <w:rtl/>
        </w:rPr>
        <w:t>בחי' רבי ראובן</w:t>
      </w:r>
      <w:r>
        <w:rPr>
          <w:rFonts w:hint="cs"/>
          <w:rtl/>
        </w:rPr>
        <w:t xml:space="preserve"> דכן משמע מדברי </w:t>
      </w:r>
      <w:r w:rsidRPr="009E420A">
        <w:rPr>
          <w:rStyle w:val="affa"/>
          <w:rFonts w:hint="cs"/>
          <w:rtl/>
        </w:rPr>
        <w:t>הרמב"ן</w:t>
      </w:r>
      <w:r>
        <w:rPr>
          <w:rFonts w:hint="cs"/>
          <w:rtl/>
        </w:rPr>
        <w:t xml:space="preserve"> דכתב דלאחר ג"ש שאינו נזהר בשטר, יש ריעותא בטענת אחוי שטרך, ואמרינן דלא לחנם הוא שתק, ומשמע קצת דכוונתו לומר דהטענה של אחוי שטרך, היא הסיבה ששתק בתוך הג"ש.</w:t>
      </w:r>
    </w:p>
  </w:footnote>
  <w:footnote w:id="22">
    <w:p w:rsidR="00265073" w:rsidRDefault="00265073" w:rsidP="00F163D7">
      <w:pPr>
        <w:pStyle w:val="af"/>
      </w:pPr>
      <w:r>
        <w:rPr>
          <w:rStyle w:val="af1"/>
        </w:rPr>
        <w:footnoteRef/>
      </w:r>
      <w:r>
        <w:rPr>
          <w:rtl/>
        </w:rPr>
        <w:t xml:space="preserve"> </w:t>
      </w:r>
      <w:r w:rsidRPr="00142E47">
        <w:rPr>
          <w:rStyle w:val="afb"/>
          <w:rFonts w:hint="cs"/>
          <w:rtl/>
        </w:rPr>
        <w:t xml:space="preserve">וכתב </w:t>
      </w:r>
      <w:r w:rsidRPr="00342CAE">
        <w:rPr>
          <w:rStyle w:val="affa"/>
          <w:rFonts w:hint="cs"/>
          <w:rtl/>
        </w:rPr>
        <w:t>בחי' רבי נחום</w:t>
      </w:r>
      <w:r w:rsidRPr="00142E47">
        <w:rPr>
          <w:rStyle w:val="afb"/>
          <w:rFonts w:hint="cs"/>
          <w:rtl/>
        </w:rPr>
        <w:t xml:space="preserve"> דכן משמע מדברי </w:t>
      </w:r>
      <w:r w:rsidRPr="00342CAE">
        <w:rPr>
          <w:rStyle w:val="affa"/>
          <w:rFonts w:hint="cs"/>
          <w:rtl/>
        </w:rPr>
        <w:t>הריטב"א לעיל</w:t>
      </w:r>
      <w:r w:rsidRPr="00142E47">
        <w:rPr>
          <w:rStyle w:val="afb"/>
          <w:rFonts w:hint="cs"/>
          <w:rtl/>
        </w:rPr>
        <w:t xml:space="preserve"> </w:t>
      </w:r>
      <w:r w:rsidRPr="00342CAE">
        <w:rPr>
          <w:rStyle w:val="aff6"/>
          <w:rFonts w:hint="cs"/>
          <w:rtl/>
        </w:rPr>
        <w:t>(</w:t>
      </w:r>
      <w:r>
        <w:rPr>
          <w:rStyle w:val="aff6"/>
          <w:rFonts w:hint="cs"/>
          <w:rtl/>
        </w:rPr>
        <w:t>כח. ד"ה מנין</w:t>
      </w:r>
      <w:r w:rsidRPr="00342CAE">
        <w:rPr>
          <w:rStyle w:val="aff6"/>
          <w:rFonts w:hint="cs"/>
          <w:rtl/>
        </w:rPr>
        <w:t xml:space="preserve">, הובא בסימן </w:t>
      </w:r>
      <w:r>
        <w:rPr>
          <w:rStyle w:val="aff6"/>
          <w:rFonts w:hint="cs"/>
          <w:rtl/>
        </w:rPr>
        <w:t>ג</w:t>
      </w:r>
      <w:r w:rsidRPr="00342CAE">
        <w:rPr>
          <w:rStyle w:val="aff6"/>
          <w:rFonts w:hint="cs"/>
          <w:rtl/>
        </w:rPr>
        <w:t xml:space="preserve">' אות </w:t>
      </w:r>
      <w:r>
        <w:rPr>
          <w:rStyle w:val="aff6"/>
          <w:rFonts w:hint="cs"/>
          <w:rtl/>
        </w:rPr>
        <w:t>ב'</w:t>
      </w:r>
      <w:r w:rsidRPr="00342CAE">
        <w:rPr>
          <w:rStyle w:val="aff6"/>
          <w:rFonts w:hint="cs"/>
          <w:rtl/>
        </w:rPr>
        <w:t>)</w:t>
      </w:r>
      <w:r w:rsidRPr="00142E47">
        <w:rPr>
          <w:rStyle w:val="afb"/>
          <w:rFonts w:hint="cs"/>
          <w:rtl/>
        </w:rPr>
        <w:t xml:space="preserve"> דדימה את חזקת קרקע לחזקת מטלטלין, אעפ"י דחזקת מטלטלין אינה ראיה, אלא הוא רק נעשה מוחזק בממון, ומשמע ד</w:t>
      </w:r>
      <w:r>
        <w:rPr>
          <w:rStyle w:val="afb"/>
          <w:rFonts w:hint="cs"/>
          <w:rtl/>
        </w:rPr>
        <w:t>אף בחזקת קרקעות הוא נעשה למוחזק</w:t>
      </w:r>
      <w:r w:rsidRPr="00142E47">
        <w:rPr>
          <w:rStyle w:val="afb"/>
          <w:rFonts w:hint="cs"/>
          <w:rtl/>
        </w:rPr>
        <w:t>.</w:t>
      </w:r>
    </w:p>
  </w:footnote>
  <w:footnote w:id="23">
    <w:p w:rsidR="00265073" w:rsidRDefault="00265073" w:rsidP="00F163D7">
      <w:pPr>
        <w:pStyle w:val="af"/>
        <w:rPr>
          <w:rStyle w:val="afb"/>
          <w:rtl/>
        </w:rPr>
      </w:pPr>
      <w:r>
        <w:rPr>
          <w:rStyle w:val="af1"/>
        </w:rPr>
        <w:footnoteRef/>
      </w:r>
      <w:r>
        <w:rPr>
          <w:rtl/>
        </w:rPr>
        <w:t xml:space="preserve"> </w:t>
      </w:r>
      <w:r w:rsidRPr="006A0A42">
        <w:rPr>
          <w:rStyle w:val="afb"/>
          <w:rFonts w:hint="cs"/>
          <w:rtl/>
        </w:rPr>
        <w:t xml:space="preserve">ועיי"ש במה שביאר </w:t>
      </w:r>
      <w:r w:rsidRPr="006E03BB">
        <w:rPr>
          <w:rStyle w:val="affa"/>
          <w:rtl/>
        </w:rPr>
        <w:t>בחי' רבי נחום</w:t>
      </w:r>
      <w:r w:rsidRPr="006A0A42">
        <w:rPr>
          <w:rStyle w:val="afb"/>
          <w:rtl/>
        </w:rPr>
        <w:t xml:space="preserve"> </w:t>
      </w:r>
      <w:r w:rsidRPr="006E03BB">
        <w:rPr>
          <w:rStyle w:val="aff6"/>
          <w:rtl/>
        </w:rPr>
        <w:t>(או' כ"ד ד"ה וצריך להוסיף)</w:t>
      </w:r>
      <w:r w:rsidRPr="006A0A42">
        <w:rPr>
          <w:rStyle w:val="afb"/>
          <w:rtl/>
        </w:rPr>
        <w:t xml:space="preserve"> דאין כוונת </w:t>
      </w:r>
      <w:r w:rsidRPr="006E03BB">
        <w:rPr>
          <w:rStyle w:val="affa"/>
          <w:rtl/>
        </w:rPr>
        <w:t>הריטב"א</w:t>
      </w:r>
      <w:r w:rsidRPr="006A0A42">
        <w:rPr>
          <w:rStyle w:val="afb"/>
          <w:rtl/>
        </w:rPr>
        <w:t xml:space="preserve"> לדמות את חזקת קרקעות לתפיסת מטלטלין, </w:t>
      </w:r>
      <w:r w:rsidRPr="00322304">
        <w:rPr>
          <w:rStyle w:val="afb"/>
          <w:rtl/>
        </w:rPr>
        <w:t>דהא בקרקע צריך שיאכל פירות ולא ימחו בו, ואילו במטלטלין כל שהוא תופס הוא מוחזק, דחזקה מה שתח"י של אדם שלו, דאין כוונת הריטב"א לדמות את חזקת קרקעות לתפיסת מטלטלין</w:t>
      </w:r>
      <w:r>
        <w:rPr>
          <w:rStyle w:val="afb"/>
          <w:rFonts w:hint="cs"/>
          <w:rtl/>
        </w:rPr>
        <w:t>.</w:t>
      </w:r>
    </w:p>
    <w:p w:rsidR="00265073" w:rsidRDefault="00265073" w:rsidP="00F163D7">
      <w:pPr>
        <w:pStyle w:val="af"/>
        <w:rPr>
          <w:rtl/>
        </w:rPr>
      </w:pPr>
      <w:r w:rsidRPr="00322304">
        <w:rPr>
          <w:rStyle w:val="afb"/>
          <w:rtl/>
        </w:rPr>
        <w:t xml:space="preserve">אלא </w:t>
      </w:r>
      <w:r>
        <w:rPr>
          <w:rStyle w:val="afb"/>
          <w:rFonts w:hint="cs"/>
          <w:rtl/>
        </w:rPr>
        <w:t xml:space="preserve">כתב </w:t>
      </w:r>
      <w:r w:rsidRPr="006E03BB">
        <w:rPr>
          <w:rStyle w:val="affa"/>
          <w:rtl/>
        </w:rPr>
        <w:t>בחי' רבי נחום</w:t>
      </w:r>
      <w:r w:rsidRPr="006A0A42">
        <w:rPr>
          <w:rStyle w:val="afb"/>
          <w:rtl/>
        </w:rPr>
        <w:t xml:space="preserve"> </w:t>
      </w:r>
      <w:r>
        <w:rPr>
          <w:rStyle w:val="afb"/>
          <w:rFonts w:hint="cs"/>
          <w:rtl/>
        </w:rPr>
        <w:t>ד</w:t>
      </w:r>
      <w:r w:rsidRPr="00322304">
        <w:rPr>
          <w:rStyle w:val="afb"/>
          <w:rtl/>
        </w:rPr>
        <w:t xml:space="preserve">כוונת </w:t>
      </w:r>
      <w:r w:rsidRPr="009274B2">
        <w:rPr>
          <w:rStyle w:val="affa"/>
          <w:rtl/>
        </w:rPr>
        <w:t>הריטב"א</w:t>
      </w:r>
      <w:r w:rsidRPr="00322304">
        <w:rPr>
          <w:rStyle w:val="afb"/>
          <w:rtl/>
        </w:rPr>
        <w:t xml:space="preserve"> לומר דכמו שהתפיסה מהני במטלטלין לעשותו למוחזק, ה"ה בחזקה בקרקע דכשאכל פירות בשופי הוא נעשה למוחזק</w:t>
      </w:r>
      <w:r>
        <w:rPr>
          <w:rStyle w:val="afb"/>
          <w:rFonts w:hint="cs"/>
          <w:rtl/>
        </w:rPr>
        <w:t xml:space="preserve">, </w:t>
      </w:r>
      <w:r w:rsidRPr="006A0A42">
        <w:rPr>
          <w:rStyle w:val="afb"/>
          <w:rFonts w:hint="cs"/>
          <w:rtl/>
        </w:rPr>
        <w:t>עיי"ש בדבריו.</w:t>
      </w:r>
    </w:p>
  </w:footnote>
  <w:footnote w:id="24">
    <w:p w:rsidR="00265073" w:rsidRDefault="00265073" w:rsidP="00CA3FDF">
      <w:pPr>
        <w:pStyle w:val="af"/>
        <w:rPr>
          <w:rtl/>
        </w:rPr>
      </w:pPr>
      <w:r>
        <w:rPr>
          <w:rStyle w:val="af1"/>
        </w:rPr>
        <w:footnoteRef/>
      </w:r>
      <w:r>
        <w:rPr>
          <w:rtl/>
        </w:rPr>
        <w:t xml:space="preserve"> </w:t>
      </w:r>
      <w:r>
        <w:rPr>
          <w:rFonts w:hint="cs"/>
          <w:rtl/>
        </w:rPr>
        <w:t>חי' הר"ן מהדו' פרדס נפוצים מאוד, הודפסו בכרכים גבוהים ודקים בכריכה כחולה.</w:t>
      </w:r>
    </w:p>
  </w:footnote>
  <w:footnote w:id="25">
    <w:p w:rsidR="00265073" w:rsidRDefault="00265073" w:rsidP="00E874E8">
      <w:pPr>
        <w:pStyle w:val="af"/>
        <w:rPr>
          <w:rtl/>
        </w:rPr>
      </w:pPr>
      <w:r>
        <w:rPr>
          <w:rStyle w:val="af1"/>
        </w:rPr>
        <w:footnoteRef/>
      </w:r>
      <w:r>
        <w:rPr>
          <w:rtl/>
        </w:rPr>
        <w:t xml:space="preserve"> </w:t>
      </w:r>
      <w:r w:rsidRPr="007338D0">
        <w:rPr>
          <w:rStyle w:val="afb"/>
          <w:rFonts w:hint="cs"/>
          <w:rtl/>
        </w:rPr>
        <w:t>וד</w:t>
      </w:r>
      <w:r>
        <w:rPr>
          <w:rStyle w:val="afb"/>
          <w:rFonts w:hint="cs"/>
          <w:rtl/>
        </w:rPr>
        <w:t xml:space="preserve">לא </w:t>
      </w:r>
      <w:r w:rsidRPr="00C13CCE">
        <w:rPr>
          <w:rStyle w:val="affa"/>
          <w:rFonts w:hint="cs"/>
          <w:rtl/>
        </w:rPr>
        <w:t>כ</w:t>
      </w:r>
      <w:r>
        <w:rPr>
          <w:rStyle w:val="affa"/>
          <w:rFonts w:hint="cs"/>
          <w:rtl/>
        </w:rPr>
        <w:t>הנימוק"י בסוגיין</w:t>
      </w:r>
      <w:r w:rsidRPr="00822394">
        <w:rPr>
          <w:rStyle w:val="aff6"/>
          <w:rFonts w:hint="cs"/>
          <w:rtl/>
        </w:rPr>
        <w:t xml:space="preserve"> (עי' אות </w:t>
      </w:r>
      <w:r w:rsidRPr="00822394">
        <w:rPr>
          <w:rStyle w:val="aff6"/>
          <w:rtl/>
        </w:rPr>
        <w:fldChar w:fldCharType="begin"/>
      </w:r>
      <w:r w:rsidRPr="00822394">
        <w:rPr>
          <w:rStyle w:val="aff6"/>
          <w:rtl/>
        </w:rPr>
        <w:instrText xml:space="preserve"> </w:instrText>
      </w:r>
      <w:r w:rsidRPr="00822394">
        <w:rPr>
          <w:rStyle w:val="aff6"/>
          <w:rFonts w:hint="cs"/>
        </w:rPr>
        <w:instrText>REF</w:instrText>
      </w:r>
      <w:r w:rsidRPr="00822394">
        <w:rPr>
          <w:rStyle w:val="aff6"/>
          <w:rFonts w:hint="cs"/>
          <w:rtl/>
        </w:rPr>
        <w:instrText xml:space="preserve"> _</w:instrText>
      </w:r>
      <w:r w:rsidRPr="00822394">
        <w:rPr>
          <w:rStyle w:val="aff6"/>
          <w:rFonts w:hint="cs"/>
        </w:rPr>
        <w:instrText>Ref56510050 \r \h</w:instrText>
      </w:r>
      <w:r w:rsidRPr="00822394">
        <w:rPr>
          <w:rStyle w:val="aff6"/>
          <w:rtl/>
        </w:rPr>
        <w:instrText xml:space="preserve"> </w:instrText>
      </w:r>
      <w:r w:rsidRPr="00822394">
        <w:rPr>
          <w:rStyle w:val="aff6"/>
          <w:rtl/>
        </w:rPr>
      </w:r>
      <w:r w:rsidRPr="00822394">
        <w:rPr>
          <w:rStyle w:val="aff6"/>
          <w:rtl/>
        </w:rPr>
        <w:fldChar w:fldCharType="separate"/>
      </w:r>
      <w:r>
        <w:rPr>
          <w:rStyle w:val="aff6"/>
          <w:cs/>
        </w:rPr>
        <w:t>‎</w:t>
      </w:r>
      <w:r>
        <w:rPr>
          <w:rStyle w:val="aff6"/>
          <w:rtl/>
        </w:rPr>
        <w:t>ח)</w:t>
      </w:r>
      <w:r w:rsidRPr="00822394">
        <w:rPr>
          <w:rStyle w:val="aff6"/>
          <w:rtl/>
        </w:rPr>
        <w:fldChar w:fldCharType="end"/>
      </w:r>
      <w:r>
        <w:rPr>
          <w:rStyle w:val="affa"/>
          <w:rFonts w:hint="cs"/>
          <w:rtl/>
        </w:rPr>
        <w:t xml:space="preserve"> ו</w:t>
      </w:r>
      <w:r w:rsidRPr="00A249FD">
        <w:rPr>
          <w:rStyle w:val="affa"/>
          <w:rtl/>
        </w:rPr>
        <w:t xml:space="preserve">הר"ן על הרי"ף [הנדמ"ח] </w:t>
      </w:r>
      <w:r w:rsidRPr="00822394">
        <w:rPr>
          <w:rStyle w:val="aff6"/>
          <w:rFonts w:hint="cs"/>
          <w:rtl/>
        </w:rPr>
        <w:t xml:space="preserve">(עי' אות </w:t>
      </w:r>
      <w:r w:rsidRPr="00822394">
        <w:rPr>
          <w:rStyle w:val="aff6"/>
          <w:rtl/>
        </w:rPr>
        <w:fldChar w:fldCharType="begin"/>
      </w:r>
      <w:r w:rsidRPr="00822394">
        <w:rPr>
          <w:rStyle w:val="aff6"/>
          <w:rtl/>
        </w:rPr>
        <w:instrText xml:space="preserve"> </w:instrText>
      </w:r>
      <w:r w:rsidRPr="00822394">
        <w:rPr>
          <w:rStyle w:val="aff6"/>
          <w:rFonts w:hint="cs"/>
        </w:rPr>
        <w:instrText>REF</w:instrText>
      </w:r>
      <w:r w:rsidRPr="00822394">
        <w:rPr>
          <w:rStyle w:val="aff6"/>
          <w:rFonts w:hint="cs"/>
          <w:rtl/>
        </w:rPr>
        <w:instrText xml:space="preserve"> _</w:instrText>
      </w:r>
      <w:r w:rsidRPr="00822394">
        <w:rPr>
          <w:rStyle w:val="aff6"/>
          <w:rFonts w:hint="cs"/>
        </w:rPr>
        <w:instrText>Ref55725350 \r \h</w:instrText>
      </w:r>
      <w:r w:rsidRPr="00822394">
        <w:rPr>
          <w:rStyle w:val="aff6"/>
          <w:rtl/>
        </w:rPr>
        <w:instrText xml:space="preserve"> </w:instrText>
      </w:r>
      <w:r w:rsidRPr="00822394">
        <w:rPr>
          <w:rStyle w:val="aff6"/>
          <w:rtl/>
        </w:rPr>
      </w:r>
      <w:r w:rsidRPr="00822394">
        <w:rPr>
          <w:rStyle w:val="aff6"/>
          <w:rtl/>
        </w:rPr>
        <w:fldChar w:fldCharType="separate"/>
      </w:r>
      <w:r>
        <w:rPr>
          <w:rStyle w:val="aff6"/>
          <w:cs/>
        </w:rPr>
        <w:t>‎</w:t>
      </w:r>
      <w:r>
        <w:rPr>
          <w:rStyle w:val="aff6"/>
          <w:rtl/>
        </w:rPr>
        <w:t>ב)</w:t>
      </w:r>
      <w:r w:rsidRPr="00822394">
        <w:rPr>
          <w:rStyle w:val="aff6"/>
          <w:rtl/>
        </w:rPr>
        <w:fldChar w:fldCharType="end"/>
      </w:r>
      <w:r>
        <w:rPr>
          <w:rStyle w:val="affa"/>
          <w:rFonts w:hint="cs"/>
          <w:rtl/>
        </w:rPr>
        <w:t xml:space="preserve"> ו</w:t>
      </w:r>
      <w:r w:rsidRPr="004B6E60">
        <w:rPr>
          <w:rStyle w:val="affa"/>
          <w:rFonts w:hint="cs"/>
          <w:rtl/>
        </w:rPr>
        <w:t>הרשב"א</w:t>
      </w:r>
      <w:r>
        <w:rPr>
          <w:rStyle w:val="afb"/>
          <w:rFonts w:hint="cs"/>
          <w:rtl/>
        </w:rPr>
        <w:t xml:space="preserve"> </w:t>
      </w:r>
      <w:r w:rsidRPr="008E4944">
        <w:rPr>
          <w:rStyle w:val="aff6"/>
          <w:rFonts w:hint="cs"/>
          <w:rtl/>
        </w:rPr>
        <w:t>(ד"ה אלא, הובא בסימן ה' אות מ"</w:t>
      </w:r>
      <w:r>
        <w:rPr>
          <w:rStyle w:val="aff6"/>
          <w:rFonts w:hint="cs"/>
          <w:rtl/>
        </w:rPr>
        <w:t>ה</w:t>
      </w:r>
      <w:r w:rsidRPr="008E4944">
        <w:rPr>
          <w:rStyle w:val="aff6"/>
          <w:rFonts w:hint="cs"/>
          <w:rtl/>
        </w:rPr>
        <w:t>)</w:t>
      </w:r>
      <w:r>
        <w:rPr>
          <w:rStyle w:val="aff6"/>
          <w:rFonts w:hint="cs"/>
          <w:rtl/>
        </w:rPr>
        <w:t xml:space="preserve"> </w:t>
      </w:r>
      <w:r w:rsidRPr="004B6E60">
        <w:rPr>
          <w:rStyle w:val="affa"/>
          <w:rFonts w:hint="cs"/>
          <w:rtl/>
        </w:rPr>
        <w:t>ו</w:t>
      </w:r>
      <w:r w:rsidRPr="00C13CCE">
        <w:rPr>
          <w:rStyle w:val="affa"/>
          <w:rFonts w:hint="cs"/>
          <w:rtl/>
        </w:rPr>
        <w:t>ה</w:t>
      </w:r>
      <w:r w:rsidRPr="004B6E60">
        <w:rPr>
          <w:rStyle w:val="affa"/>
          <w:rFonts w:hint="cs"/>
          <w:rtl/>
        </w:rPr>
        <w:t>יד רמ"ה</w:t>
      </w:r>
      <w:r w:rsidRPr="0004162B">
        <w:rPr>
          <w:rStyle w:val="afb"/>
          <w:rFonts w:hint="cs"/>
          <w:rtl/>
        </w:rPr>
        <w:t xml:space="preserve"> </w:t>
      </w:r>
      <w:r w:rsidRPr="00822394">
        <w:rPr>
          <w:rStyle w:val="aff6"/>
          <w:rFonts w:hint="cs"/>
          <w:rtl/>
        </w:rPr>
        <w:t xml:space="preserve">(עי' אות </w:t>
      </w:r>
      <w:r w:rsidRPr="00822394">
        <w:rPr>
          <w:rStyle w:val="aff6"/>
          <w:rtl/>
        </w:rPr>
        <w:fldChar w:fldCharType="begin"/>
      </w:r>
      <w:r w:rsidRPr="00822394">
        <w:rPr>
          <w:rStyle w:val="aff6"/>
          <w:rtl/>
        </w:rPr>
        <w:instrText xml:space="preserve"> </w:instrText>
      </w:r>
      <w:r w:rsidRPr="00822394">
        <w:rPr>
          <w:rStyle w:val="aff6"/>
          <w:rFonts w:hint="cs"/>
        </w:rPr>
        <w:instrText>REF</w:instrText>
      </w:r>
      <w:r w:rsidRPr="00822394">
        <w:rPr>
          <w:rStyle w:val="aff6"/>
          <w:rFonts w:hint="cs"/>
          <w:rtl/>
        </w:rPr>
        <w:instrText xml:space="preserve"> _</w:instrText>
      </w:r>
      <w:r w:rsidRPr="00822394">
        <w:rPr>
          <w:rStyle w:val="aff6"/>
          <w:rFonts w:hint="cs"/>
        </w:rPr>
        <w:instrText>Ref55809540 \r \h</w:instrText>
      </w:r>
      <w:r w:rsidRPr="00822394">
        <w:rPr>
          <w:rStyle w:val="aff6"/>
          <w:rtl/>
        </w:rPr>
        <w:instrText xml:space="preserve"> </w:instrText>
      </w:r>
      <w:r w:rsidRPr="00822394">
        <w:rPr>
          <w:rStyle w:val="aff6"/>
          <w:rtl/>
        </w:rPr>
      </w:r>
      <w:r w:rsidRPr="00822394">
        <w:rPr>
          <w:rStyle w:val="aff6"/>
          <w:rtl/>
        </w:rPr>
        <w:fldChar w:fldCharType="separate"/>
      </w:r>
      <w:r>
        <w:rPr>
          <w:rStyle w:val="aff6"/>
          <w:cs/>
        </w:rPr>
        <w:t>‎</w:t>
      </w:r>
      <w:r>
        <w:rPr>
          <w:rStyle w:val="aff6"/>
          <w:rtl/>
        </w:rPr>
        <w:t>נח)</w:t>
      </w:r>
      <w:r w:rsidRPr="00822394">
        <w:rPr>
          <w:rStyle w:val="aff6"/>
          <w:rtl/>
        </w:rPr>
        <w:fldChar w:fldCharType="end"/>
      </w:r>
      <w:r>
        <w:rPr>
          <w:rStyle w:val="af7"/>
          <w:rFonts w:eastAsia="Guttman Hodes" w:hint="cs"/>
          <w:rtl/>
        </w:rPr>
        <w:t xml:space="preserve"> </w:t>
      </w:r>
      <w:r w:rsidRPr="0004162B">
        <w:rPr>
          <w:rStyle w:val="afb"/>
          <w:rFonts w:hint="cs"/>
          <w:rtl/>
        </w:rPr>
        <w:t>דכתב</w:t>
      </w:r>
      <w:r>
        <w:rPr>
          <w:rStyle w:val="afb"/>
          <w:rFonts w:hint="cs"/>
          <w:rtl/>
        </w:rPr>
        <w:t>ו</w:t>
      </w:r>
      <w:r w:rsidRPr="0004162B">
        <w:rPr>
          <w:rStyle w:val="afb"/>
          <w:rFonts w:hint="cs"/>
          <w:rtl/>
        </w:rPr>
        <w:t xml:space="preserve"> </w:t>
      </w:r>
      <w:r>
        <w:rPr>
          <w:rStyle w:val="afb"/>
          <w:rFonts w:hint="cs"/>
          <w:rtl/>
        </w:rPr>
        <w:t>ד</w:t>
      </w:r>
      <w:r w:rsidRPr="0004162B">
        <w:rPr>
          <w:rStyle w:val="afb"/>
          <w:rFonts w:hint="cs"/>
          <w:rtl/>
        </w:rPr>
        <w:t xml:space="preserve">לאחר ג"ש </w:t>
      </w:r>
      <w:r>
        <w:rPr>
          <w:rStyle w:val="afb"/>
          <w:rFonts w:hint="cs"/>
          <w:rtl/>
        </w:rPr>
        <w:t xml:space="preserve">ששתק </w:t>
      </w:r>
      <w:r w:rsidRPr="0004162B">
        <w:rPr>
          <w:rStyle w:val="afb"/>
          <w:rFonts w:hint="cs"/>
          <w:rtl/>
        </w:rPr>
        <w:t>המרא קמא, הוא בוטח שלא יחזו</w:t>
      </w:r>
      <w:r>
        <w:rPr>
          <w:rStyle w:val="afb"/>
          <w:rFonts w:hint="cs"/>
          <w:rtl/>
        </w:rPr>
        <w:t xml:space="preserve">ר ויערער עליו, ואינו נזהר </w:t>
      </w:r>
      <w:r w:rsidRPr="007338D0">
        <w:rPr>
          <w:rStyle w:val="afb"/>
          <w:rFonts w:hint="cs"/>
          <w:rtl/>
        </w:rPr>
        <w:t>בשטרו</w:t>
      </w:r>
      <w:r>
        <w:rPr>
          <w:rStyle w:val="afb"/>
          <w:rFonts w:hint="cs"/>
          <w:rtl/>
        </w:rPr>
        <w:t xml:space="preserve">, וע"ע במ"ש </w:t>
      </w:r>
      <w:r w:rsidRPr="00822394">
        <w:rPr>
          <w:rStyle w:val="affa"/>
          <w:rtl/>
        </w:rPr>
        <w:t>בחי' רבי ראובן</w:t>
      </w:r>
      <w:r w:rsidRPr="00822394">
        <w:rPr>
          <w:rStyle w:val="aff6"/>
          <w:rtl/>
        </w:rPr>
        <w:t xml:space="preserve"> (סי' י"א ד"ה ובהנתיה"מ</w:t>
      </w:r>
      <w:r w:rsidRPr="00822394">
        <w:rPr>
          <w:rStyle w:val="aff6"/>
          <w:rFonts w:hint="cs"/>
          <w:rtl/>
        </w:rPr>
        <w:t>, הובא בסימן ה' אות ע"</w:t>
      </w:r>
      <w:r>
        <w:rPr>
          <w:rStyle w:val="aff6"/>
          <w:rFonts w:hint="cs"/>
          <w:rtl/>
        </w:rPr>
        <w:t>ה)</w:t>
      </w:r>
      <w:r>
        <w:rPr>
          <w:rStyle w:val="afb"/>
          <w:rFonts w:hint="cs"/>
          <w:rtl/>
        </w:rPr>
        <w:t xml:space="preserve"> דמדברי </w:t>
      </w:r>
      <w:r w:rsidRPr="00822394">
        <w:rPr>
          <w:rStyle w:val="affa"/>
          <w:rtl/>
        </w:rPr>
        <w:t xml:space="preserve">הרמב"ן לקמן </w:t>
      </w:r>
      <w:r w:rsidRPr="00822394">
        <w:rPr>
          <w:rStyle w:val="aff6"/>
          <w:rtl/>
        </w:rPr>
        <w:t>(לו: ד"ה אלא כך</w:t>
      </w:r>
      <w:r w:rsidRPr="00822394">
        <w:rPr>
          <w:rStyle w:val="aff6"/>
          <w:rFonts w:hint="cs"/>
          <w:rtl/>
        </w:rPr>
        <w:t>, הובא בסימן ה' אות י')</w:t>
      </w:r>
      <w:r w:rsidRPr="00822394">
        <w:rPr>
          <w:rStyle w:val="affa"/>
          <w:rtl/>
        </w:rPr>
        <w:t xml:space="preserve"> </w:t>
      </w:r>
      <w:r>
        <w:rPr>
          <w:rStyle w:val="afb"/>
          <w:rFonts w:hint="cs"/>
          <w:rtl/>
        </w:rPr>
        <w:t xml:space="preserve">מבואר </w:t>
      </w:r>
      <w:r w:rsidRPr="003F3913">
        <w:rPr>
          <w:rStyle w:val="afb"/>
          <w:rtl/>
        </w:rPr>
        <w:t>דהא דאינו נזהר בשטרו לאחר ג"ש, הוא כיון שסומך על החזקה, ולא כיון שאחר ג"ש סומך שלא יערערו עליו</w:t>
      </w:r>
      <w:r w:rsidRPr="007338D0">
        <w:rPr>
          <w:rStyle w:val="afb"/>
          <w:rFonts w:hint="cs"/>
          <w:rtl/>
        </w:rPr>
        <w:t>.</w:t>
      </w:r>
    </w:p>
  </w:footnote>
  <w:footnote w:id="26">
    <w:p w:rsidR="00265073" w:rsidRDefault="00265073" w:rsidP="00E874E8">
      <w:pPr>
        <w:pStyle w:val="af"/>
        <w:rPr>
          <w:rtl/>
        </w:rPr>
      </w:pPr>
      <w:r>
        <w:rPr>
          <w:rStyle w:val="af1"/>
        </w:rPr>
        <w:footnoteRef/>
      </w:r>
      <w:r>
        <w:rPr>
          <w:rtl/>
        </w:rPr>
        <w:t xml:space="preserve"> </w:t>
      </w:r>
      <w:r w:rsidRPr="003B5BFC">
        <w:rPr>
          <w:rStyle w:val="afb"/>
          <w:rFonts w:hint="cs"/>
          <w:rtl/>
        </w:rPr>
        <w:t xml:space="preserve">אך יעוי' במה שביאר </w:t>
      </w:r>
      <w:r w:rsidRPr="003B5BFC">
        <w:rPr>
          <w:rStyle w:val="affa"/>
          <w:rFonts w:hint="cs"/>
          <w:rtl/>
        </w:rPr>
        <w:t>החזון יחזקאל</w:t>
      </w:r>
      <w:r w:rsidRPr="003B5BFC">
        <w:rPr>
          <w:rStyle w:val="afb"/>
          <w:rFonts w:hint="cs"/>
          <w:rtl/>
        </w:rPr>
        <w:t xml:space="preserve"> </w:t>
      </w:r>
      <w:r w:rsidRPr="00183B68">
        <w:rPr>
          <w:rStyle w:val="aff6"/>
          <w:rFonts w:hint="cs"/>
          <w:rtl/>
        </w:rPr>
        <w:t>(השמטות בסוף המסכת, פ"ב ה"א או' ב' ד"ה מסתברא כי)</w:t>
      </w:r>
      <w:r w:rsidRPr="003B5BFC">
        <w:rPr>
          <w:rStyle w:val="afb"/>
          <w:rFonts w:hint="cs"/>
          <w:rtl/>
        </w:rPr>
        <w:t xml:space="preserve"> דכוונת </w:t>
      </w:r>
      <w:r w:rsidRPr="003B5BFC">
        <w:rPr>
          <w:rStyle w:val="affa"/>
          <w:rFonts w:hint="cs"/>
          <w:rtl/>
        </w:rPr>
        <w:t>הרא"ש</w:t>
      </w:r>
      <w:r w:rsidRPr="003B5BFC">
        <w:rPr>
          <w:rStyle w:val="afb"/>
          <w:rFonts w:hint="cs"/>
          <w:rtl/>
        </w:rPr>
        <w:t xml:space="preserve"> דהתקנה היא רק לענין </w:t>
      </w:r>
      <w:r>
        <w:rPr>
          <w:rStyle w:val="afb"/>
          <w:rFonts w:hint="cs"/>
          <w:rtl/>
        </w:rPr>
        <w:t>להראות את שטרו לאחר ג"ש</w:t>
      </w:r>
      <w:r w:rsidRPr="003B5BFC">
        <w:rPr>
          <w:rStyle w:val="afb"/>
          <w:rFonts w:hint="cs"/>
          <w:rtl/>
        </w:rPr>
        <w:t>, אך דוחק לומר</w:t>
      </w:r>
      <w:r w:rsidRPr="003C4D94">
        <w:rPr>
          <w:rStyle w:val="afb"/>
          <w:rFonts w:hint="cs"/>
          <w:rtl/>
        </w:rPr>
        <w:t xml:space="preserve"> </w:t>
      </w:r>
      <w:r>
        <w:rPr>
          <w:rStyle w:val="afb"/>
          <w:rFonts w:hint="cs"/>
          <w:rtl/>
        </w:rPr>
        <w:t>[</w:t>
      </w:r>
      <w:r w:rsidRPr="00980008">
        <w:rPr>
          <w:rStyle w:val="affa"/>
          <w:rFonts w:hint="cs"/>
          <w:rtl/>
        </w:rPr>
        <w:t>כהשער המשפט</w:t>
      </w:r>
      <w:r>
        <w:rPr>
          <w:rStyle w:val="afb"/>
          <w:rFonts w:hint="cs"/>
          <w:rtl/>
        </w:rPr>
        <w:t>]</w:t>
      </w:r>
      <w:r w:rsidRPr="00183B68">
        <w:rPr>
          <w:rStyle w:val="afb"/>
          <w:rFonts w:hint="cs"/>
          <w:rtl/>
        </w:rPr>
        <w:t xml:space="preserve"> </w:t>
      </w:r>
      <w:r w:rsidRPr="003C4D94">
        <w:rPr>
          <w:rStyle w:val="afb"/>
          <w:rFonts w:hint="cs"/>
          <w:rtl/>
        </w:rPr>
        <w:t>דעצם החזקה דמהני מדין תקנת חכמים, אלא החזקה היא דבג"ש נעשה המחזיק למוחזק.</w:t>
      </w:r>
    </w:p>
  </w:footnote>
  <w:footnote w:id="27">
    <w:p w:rsidR="00265073" w:rsidRPr="00E901A5" w:rsidRDefault="00265073" w:rsidP="00E874E8">
      <w:pPr>
        <w:pStyle w:val="af"/>
        <w:rPr>
          <w:rtl/>
        </w:rPr>
      </w:pPr>
      <w:r w:rsidRPr="00E901A5">
        <w:rPr>
          <w:rStyle w:val="af1"/>
        </w:rPr>
        <w:footnoteRef/>
      </w:r>
      <w:r w:rsidRPr="00E901A5">
        <w:rPr>
          <w:rtl/>
        </w:rPr>
        <w:t xml:space="preserve"> </w:t>
      </w:r>
      <w:r w:rsidRPr="00E901A5">
        <w:rPr>
          <w:rFonts w:hint="cs"/>
          <w:rtl/>
        </w:rPr>
        <w:t xml:space="preserve">והוסיף </w:t>
      </w:r>
      <w:r w:rsidRPr="00E901A5">
        <w:rPr>
          <w:rStyle w:val="affa"/>
          <w:rFonts w:hint="cs"/>
          <w:rtl/>
        </w:rPr>
        <w:t>הנתיה"מ</w:t>
      </w:r>
      <w:r w:rsidRPr="00E901A5">
        <w:rPr>
          <w:rFonts w:hint="cs"/>
          <w:rtl/>
        </w:rPr>
        <w:t xml:space="preserve"> דלדעת רב יהודה בגמ' בב"מ </w:t>
      </w:r>
      <w:r w:rsidRPr="00E901A5">
        <w:rPr>
          <w:rStyle w:val="aff6"/>
          <w:rFonts w:hint="cs"/>
          <w:rtl/>
        </w:rPr>
        <w:t>(קי.)</w:t>
      </w:r>
      <w:r w:rsidRPr="00E901A5">
        <w:rPr>
          <w:rFonts w:hint="cs"/>
          <w:rtl/>
        </w:rPr>
        <w:t xml:space="preserve"> דס"ל דכשהמלוה אומר שקיבל את הקרקע למשכנתא לה' שנים והלוה אומר לג"ש דהמלוה נאמן במיגו דהיה אומר לקוחה היא בידי, ולא ס"ל דהיה לו להזהר בשטרו כיון דלגוביינא קאתי, כיון דס"ל לר"י כדעת הולכי אושא דילפינן חזקה משור המועד ומהני מדאו' אף במקום שהיה לו להזהר בשטרו, וא"כ ודאי דמהני מחאה במשכנתא כיון שלא הוחזק שתקן בג"פ, וכדעת </w:t>
      </w:r>
      <w:r w:rsidRPr="00E901A5">
        <w:rPr>
          <w:rStyle w:val="affa"/>
          <w:rFonts w:hint="cs"/>
          <w:rtl/>
        </w:rPr>
        <w:t xml:space="preserve">התוס' </w:t>
      </w:r>
      <w:r w:rsidRPr="00E901A5">
        <w:rPr>
          <w:rStyle w:val="aff6"/>
          <w:rFonts w:hint="cs"/>
          <w:rtl/>
        </w:rPr>
        <w:t>(כח. ד</w:t>
      </w:r>
      <w:r w:rsidRPr="00E901A5">
        <w:rPr>
          <w:rStyle w:val="aff6"/>
          <w:rtl/>
        </w:rPr>
        <w:t>"</w:t>
      </w:r>
      <w:r w:rsidRPr="00E901A5">
        <w:rPr>
          <w:rStyle w:val="aff6"/>
          <w:rFonts w:hint="cs"/>
          <w:rtl/>
        </w:rPr>
        <w:t>ה עד ,כט. ד"ה שתא, הובא בסימן ג' אות י"ג)</w:t>
      </w:r>
      <w:r w:rsidRPr="00E901A5">
        <w:rPr>
          <w:rFonts w:hint="cs"/>
          <w:rtl/>
        </w:rPr>
        <w:t>.</w:t>
      </w:r>
    </w:p>
    <w:p w:rsidR="00265073" w:rsidRDefault="00265073" w:rsidP="00E874E8">
      <w:pPr>
        <w:pStyle w:val="af"/>
        <w:rPr>
          <w:rtl/>
        </w:rPr>
      </w:pPr>
      <w:r w:rsidRPr="00E901A5">
        <w:rPr>
          <w:rFonts w:hint="cs"/>
          <w:rtl/>
        </w:rPr>
        <w:t xml:space="preserve">וכתב </w:t>
      </w:r>
      <w:r w:rsidRPr="00E901A5">
        <w:rPr>
          <w:rStyle w:val="affa"/>
          <w:rFonts w:hint="cs"/>
          <w:rtl/>
        </w:rPr>
        <w:t>הנתיה"מ</w:t>
      </w:r>
      <w:r w:rsidRPr="00E901A5">
        <w:rPr>
          <w:rFonts w:hint="cs"/>
          <w:rtl/>
        </w:rPr>
        <w:t xml:space="preserve"> דכל קושית הגמ' בב"מ דלא תועיל מחאה במשכנתא, היא רק לדעת ר"פ דס"ל כרבנן דטעמא דחזקה הוא מתקנת חכמים, וא"כ המחאה צריכה להיות דוקא בלשון שתיקנו חכמים, דמוחה במחזיק שיושב בקרקע בגזלנות, אך כיון דמוכח דמהני המחאה אף כנגד המשכנתא, דאל"ה אף כשטוען המערער דהיא גזולה ביד המחזיק, לא היה מהני חזקת ג"ש, כיון דבלא"ה הוא צריך לשמור את השטר, כדי שלא יטען עליו שהוא משכנתא, כדכתבו </w:t>
      </w:r>
      <w:r w:rsidRPr="00E901A5">
        <w:rPr>
          <w:rStyle w:val="affa"/>
          <w:rFonts w:hint="cs"/>
          <w:rtl/>
        </w:rPr>
        <w:t>התוס' בב"מ</w:t>
      </w:r>
      <w:r w:rsidRPr="00E901A5">
        <w:rPr>
          <w:rFonts w:hint="cs"/>
          <w:rtl/>
        </w:rPr>
        <w:t xml:space="preserve"> </w:t>
      </w:r>
      <w:r w:rsidRPr="00E901A5">
        <w:rPr>
          <w:rStyle w:val="aff6"/>
          <w:rFonts w:hint="cs"/>
          <w:rtl/>
        </w:rPr>
        <w:t xml:space="preserve">(עי' אות </w:t>
      </w:r>
      <w:r w:rsidRPr="00E901A5">
        <w:rPr>
          <w:rStyle w:val="aff6"/>
          <w:rtl/>
        </w:rPr>
        <w:fldChar w:fldCharType="begin"/>
      </w:r>
      <w:r w:rsidRPr="00E901A5">
        <w:rPr>
          <w:rStyle w:val="aff6"/>
          <w:rtl/>
        </w:rPr>
        <w:instrText xml:space="preserve"> </w:instrText>
      </w:r>
      <w:r w:rsidRPr="00E901A5">
        <w:rPr>
          <w:rStyle w:val="aff6"/>
          <w:rFonts w:hint="cs"/>
        </w:rPr>
        <w:instrText>REF</w:instrText>
      </w:r>
      <w:r w:rsidRPr="00E901A5">
        <w:rPr>
          <w:rStyle w:val="aff6"/>
          <w:rFonts w:hint="cs"/>
          <w:rtl/>
        </w:rPr>
        <w:instrText xml:space="preserve"> _</w:instrText>
      </w:r>
      <w:r w:rsidRPr="00E901A5">
        <w:rPr>
          <w:rStyle w:val="aff6"/>
          <w:rFonts w:hint="cs"/>
        </w:rPr>
        <w:instrText>Ref56530074 \r \h</w:instrText>
      </w:r>
      <w:r w:rsidRPr="00E901A5">
        <w:rPr>
          <w:rStyle w:val="aff6"/>
          <w:rtl/>
        </w:rPr>
        <w:instrText xml:space="preserve">  \* </w:instrText>
      </w:r>
      <w:r w:rsidRPr="00E901A5">
        <w:rPr>
          <w:rStyle w:val="aff6"/>
        </w:rPr>
        <w:instrText>MERGEFORMAT</w:instrText>
      </w:r>
      <w:r w:rsidRPr="00E901A5">
        <w:rPr>
          <w:rStyle w:val="aff6"/>
          <w:rtl/>
        </w:rPr>
        <w:instrText xml:space="preserve"> </w:instrText>
      </w:r>
      <w:r w:rsidRPr="00E901A5">
        <w:rPr>
          <w:rStyle w:val="aff6"/>
          <w:rtl/>
        </w:rPr>
      </w:r>
      <w:r w:rsidRPr="00E901A5">
        <w:rPr>
          <w:rStyle w:val="aff6"/>
          <w:rtl/>
        </w:rPr>
        <w:fldChar w:fldCharType="separate"/>
      </w:r>
      <w:r>
        <w:rPr>
          <w:rStyle w:val="aff6"/>
          <w:cs/>
        </w:rPr>
        <w:t>‎</w:t>
      </w:r>
      <w:r>
        <w:rPr>
          <w:rStyle w:val="aff6"/>
          <w:rtl/>
        </w:rPr>
        <w:t>כב)</w:t>
      </w:r>
      <w:r w:rsidRPr="00E901A5">
        <w:rPr>
          <w:rStyle w:val="aff6"/>
          <w:rtl/>
        </w:rPr>
        <w:fldChar w:fldCharType="end"/>
      </w:r>
      <w:r w:rsidRPr="00E901A5">
        <w:rPr>
          <w:rFonts w:hint="cs"/>
          <w:rtl/>
        </w:rPr>
        <w:t>, ולכן מקשה הגמ' דהיאך יכול המערער לבטל את החזקה במשכנתא, דלא תיקנו רבנן דבר שיכול לבא לידי הפסד אם יטען עליו טענת משכנתא, ועוד דכיון שאינו יכול למחות בו במשכנתא, ממילא לא הוי חזקה, דכל שאין משכנתא אין חזקה.</w:t>
      </w:r>
    </w:p>
  </w:footnote>
  <w:footnote w:id="28">
    <w:p w:rsidR="00265073" w:rsidRDefault="00265073" w:rsidP="00E874E8">
      <w:pPr>
        <w:pStyle w:val="af"/>
        <w:rPr>
          <w:rtl/>
        </w:rPr>
      </w:pPr>
      <w:r>
        <w:rPr>
          <w:rStyle w:val="af1"/>
        </w:rPr>
        <w:footnoteRef/>
      </w:r>
      <w:r>
        <w:rPr>
          <w:rtl/>
        </w:rPr>
        <w:t xml:space="preserve"> אך עי' במה שביאר </w:t>
      </w:r>
      <w:r w:rsidRPr="0024741A">
        <w:rPr>
          <w:rStyle w:val="affa"/>
          <w:rtl/>
        </w:rPr>
        <w:t>בחי' רבי נחום</w:t>
      </w:r>
      <w:r>
        <w:rPr>
          <w:rtl/>
        </w:rPr>
        <w:t xml:space="preserve"> </w:t>
      </w:r>
      <w:r w:rsidRPr="0024741A">
        <w:rPr>
          <w:rStyle w:val="aff6"/>
          <w:rtl/>
        </w:rPr>
        <w:t xml:space="preserve">(או' כ"ח ד"ה אמנם בעיקר, הובא בסימן </w:t>
      </w:r>
      <w:r>
        <w:rPr>
          <w:rStyle w:val="aff6"/>
          <w:rFonts w:hint="cs"/>
          <w:rtl/>
        </w:rPr>
        <w:t>ה'</w:t>
      </w:r>
      <w:r w:rsidRPr="0024741A">
        <w:rPr>
          <w:rStyle w:val="aff6"/>
          <w:rtl/>
        </w:rPr>
        <w:t xml:space="preserve"> </w:t>
      </w:r>
      <w:r>
        <w:rPr>
          <w:rStyle w:val="aff6"/>
          <w:rFonts w:hint="cs"/>
          <w:rtl/>
        </w:rPr>
        <w:t>בהערה 6</w:t>
      </w:r>
      <w:r w:rsidRPr="0024741A">
        <w:rPr>
          <w:rStyle w:val="aff6"/>
          <w:rtl/>
        </w:rPr>
        <w:t>)</w:t>
      </w:r>
      <w:r>
        <w:rPr>
          <w:rtl/>
        </w:rPr>
        <w:t xml:space="preserve"> בדברי </w:t>
      </w:r>
      <w:r w:rsidRPr="0024741A">
        <w:rPr>
          <w:rStyle w:val="affa"/>
          <w:rtl/>
        </w:rPr>
        <w:t xml:space="preserve">הרשב"א </w:t>
      </w:r>
      <w:r w:rsidRPr="00AA3E95">
        <w:rPr>
          <w:rStyle w:val="af7"/>
          <w:rFonts w:eastAsia="Guttman Hodes" w:hint="cs"/>
          <w:rtl/>
        </w:rPr>
        <w:t>(ד"ה אלא</w:t>
      </w:r>
      <w:r w:rsidRPr="0024741A">
        <w:rPr>
          <w:rStyle w:val="aff6"/>
          <w:rtl/>
        </w:rPr>
        <w:t xml:space="preserve">,הובא בסימן </w:t>
      </w:r>
      <w:r>
        <w:rPr>
          <w:rStyle w:val="aff6"/>
          <w:rFonts w:hint="cs"/>
          <w:rtl/>
        </w:rPr>
        <w:t>ה</w:t>
      </w:r>
      <w:r w:rsidRPr="0024741A">
        <w:rPr>
          <w:rStyle w:val="aff6"/>
          <w:rtl/>
        </w:rPr>
        <w:t xml:space="preserve">' אות </w:t>
      </w:r>
      <w:r>
        <w:rPr>
          <w:rStyle w:val="aff6"/>
          <w:rFonts w:hint="cs"/>
          <w:rtl/>
        </w:rPr>
        <w:t>מ"ד</w:t>
      </w:r>
      <w:r w:rsidRPr="0024741A">
        <w:rPr>
          <w:rStyle w:val="aff6"/>
          <w:rtl/>
        </w:rPr>
        <w:t>)</w:t>
      </w:r>
      <w:r>
        <w:rPr>
          <w:rtl/>
        </w:rPr>
        <w:t xml:space="preserve"> דס"ל דכיון דבתוך ג"ש אין אדם מקפיד, לכן הלוקח חושש שימחה בו המרא קמא בשקר, והוא נזהר בשטרו, אבל לאחר ג"ש שיש ריעותא בטענת המערער דהיה לו למחות בתוך ג"ש, אין הלוקח חושש יותר ואינו נזהר בשטרו</w:t>
      </w:r>
      <w:r>
        <w:rPr>
          <w:rFonts w:hint="cs"/>
          <w:rtl/>
        </w:rPr>
        <w:t>.</w:t>
      </w:r>
    </w:p>
    <w:p w:rsidR="00265073" w:rsidRDefault="00265073" w:rsidP="00E874E8">
      <w:pPr>
        <w:pStyle w:val="af"/>
      </w:pPr>
      <w:r>
        <w:rPr>
          <w:rtl/>
        </w:rPr>
        <w:t xml:space="preserve">וכתב </w:t>
      </w:r>
      <w:r w:rsidRPr="0024741A">
        <w:rPr>
          <w:rStyle w:val="affa"/>
          <w:rtl/>
        </w:rPr>
        <w:t xml:space="preserve">בחי' רבי נחום </w:t>
      </w:r>
      <w:r w:rsidRPr="0024741A">
        <w:rPr>
          <w:rStyle w:val="aff6"/>
          <w:rtl/>
        </w:rPr>
        <w:t>(או' כ"ח ד"ה והנה בתוס')</w:t>
      </w:r>
      <w:r>
        <w:rPr>
          <w:rtl/>
        </w:rPr>
        <w:t xml:space="preserve"> דלפי"ז א"צ לבאר </w:t>
      </w:r>
      <w:r w:rsidRPr="0024741A">
        <w:rPr>
          <w:rStyle w:val="affa"/>
          <w:rtl/>
        </w:rPr>
        <w:t xml:space="preserve">בתוס' </w:t>
      </w:r>
      <w:r>
        <w:rPr>
          <w:rtl/>
        </w:rPr>
        <w:t xml:space="preserve">דכוונתם להקשות דמה הועילו חכמים בתקנתם, אלא כוונת </w:t>
      </w:r>
      <w:r w:rsidRPr="00B842E8">
        <w:rPr>
          <w:rStyle w:val="affa"/>
          <w:rtl/>
        </w:rPr>
        <w:t>התוס'</w:t>
      </w:r>
      <w:r>
        <w:rPr>
          <w:rtl/>
        </w:rPr>
        <w:t xml:space="preserve"> לומר דהא דאין המחזיק נזהר בשטרו הוא כיון דהלוקח אינו חושש שימחה המערער, דיש ריעותא בטענתו דהיה לו למחות בתוך ג"ש, ולכן הקשו </w:t>
      </w:r>
      <w:r w:rsidRPr="0024741A">
        <w:rPr>
          <w:rStyle w:val="affa"/>
          <w:rtl/>
        </w:rPr>
        <w:t>התוס'</w:t>
      </w:r>
      <w:r>
        <w:rPr>
          <w:rtl/>
        </w:rPr>
        <w:t xml:space="preserve"> דלרב אשי עדיין יחשוש המחזיק שמא יטען לו לפירות הורדתיך, ובטענה זו אין כל ריעותא בטענת המערער, וא"כ יצטרך המחזיק להזהר בשטרו.</w:t>
      </w:r>
    </w:p>
  </w:footnote>
  <w:footnote w:id="29">
    <w:p w:rsidR="00265073" w:rsidRDefault="00265073" w:rsidP="00E874E8">
      <w:pPr>
        <w:pStyle w:val="af"/>
        <w:rPr>
          <w:rtl/>
        </w:rPr>
      </w:pPr>
      <w:r>
        <w:rPr>
          <w:rStyle w:val="af1"/>
        </w:rPr>
        <w:footnoteRef/>
      </w:r>
      <w:r>
        <w:rPr>
          <w:rtl/>
        </w:rPr>
        <w:t xml:space="preserve"> </w:t>
      </w:r>
      <w:r>
        <w:rPr>
          <w:rStyle w:val="afb"/>
          <w:rFonts w:hint="cs"/>
          <w:rtl/>
        </w:rPr>
        <w:t xml:space="preserve">ועי' במ"ש </w:t>
      </w:r>
      <w:r w:rsidRPr="00780F6B">
        <w:rPr>
          <w:rStyle w:val="affa"/>
          <w:rFonts w:hint="cs"/>
          <w:rtl/>
        </w:rPr>
        <w:t>בחי' רבי ראובן</w:t>
      </w:r>
      <w:r>
        <w:rPr>
          <w:rStyle w:val="afb"/>
          <w:rFonts w:hint="cs"/>
          <w:rtl/>
        </w:rPr>
        <w:t xml:space="preserve"> </w:t>
      </w:r>
      <w:r w:rsidRPr="00DF6A3E">
        <w:rPr>
          <w:rStyle w:val="aff6"/>
          <w:rFonts w:hint="cs"/>
          <w:rtl/>
        </w:rPr>
        <w:t>(סי' י"א ד"ה שי' הרמב"ן, הובא בסימן ה' אות ס"ח)</w:t>
      </w:r>
      <w:r>
        <w:rPr>
          <w:rStyle w:val="afb"/>
          <w:rFonts w:hint="cs"/>
          <w:rtl/>
        </w:rPr>
        <w:t xml:space="preserve"> </w:t>
      </w:r>
      <w:r w:rsidRPr="00780F6B">
        <w:rPr>
          <w:rStyle w:val="affa"/>
          <w:rFonts w:hint="cs"/>
          <w:rtl/>
        </w:rPr>
        <w:t>ובקה"י</w:t>
      </w:r>
      <w:r>
        <w:rPr>
          <w:rStyle w:val="afb"/>
          <w:rFonts w:hint="cs"/>
          <w:rtl/>
        </w:rPr>
        <w:t xml:space="preserve"> </w:t>
      </w:r>
      <w:r w:rsidRPr="00DF6A3E">
        <w:rPr>
          <w:rStyle w:val="aff6"/>
          <w:rFonts w:hint="cs"/>
          <w:rtl/>
        </w:rPr>
        <w:t>(סי' י"ח או' ח' ד"ה ואשר, הובא בסימן ה' אות</w:t>
      </w:r>
      <w:r>
        <w:rPr>
          <w:rStyle w:val="aff6"/>
          <w:rFonts w:hint="cs"/>
          <w:rtl/>
        </w:rPr>
        <w:t xml:space="preserve"> ע'</w:t>
      </w:r>
      <w:r w:rsidRPr="00DF6A3E">
        <w:rPr>
          <w:rStyle w:val="aff6"/>
          <w:rFonts w:hint="cs"/>
          <w:rtl/>
        </w:rPr>
        <w:t>)</w:t>
      </w:r>
      <w:r>
        <w:rPr>
          <w:rStyle w:val="afb"/>
          <w:rFonts w:hint="cs"/>
          <w:rtl/>
        </w:rPr>
        <w:t xml:space="preserve"> דביארו בדעת </w:t>
      </w:r>
      <w:r w:rsidRPr="004055E5">
        <w:rPr>
          <w:rStyle w:val="affa"/>
          <w:rFonts w:hint="cs"/>
          <w:rtl/>
        </w:rPr>
        <w:t>הרמב"ן לקמן</w:t>
      </w:r>
      <w:r>
        <w:rPr>
          <w:rFonts w:hint="cs"/>
          <w:rtl/>
        </w:rPr>
        <w:t xml:space="preserve"> </w:t>
      </w:r>
      <w:r w:rsidRPr="004055E5">
        <w:rPr>
          <w:rStyle w:val="aff6"/>
          <w:rFonts w:hint="cs"/>
          <w:rtl/>
        </w:rPr>
        <w:t>(</w:t>
      </w:r>
      <w:r w:rsidRPr="00DF6A3E">
        <w:rPr>
          <w:rStyle w:val="aff6"/>
          <w:rFonts w:hint="cs"/>
          <w:rtl/>
        </w:rPr>
        <w:t>מב. ד"ה הא, הובא בסימן ה' אות ז')</w:t>
      </w:r>
      <w:r>
        <w:rPr>
          <w:rStyle w:val="afb"/>
          <w:rFonts w:hint="cs"/>
          <w:rtl/>
        </w:rPr>
        <w:t>, דכיון שהחזקה מהני רק לאחר ג"ש, מחמת טענת אחוי שטרך, א"כ אף מדאו' מהני הראיה רק לאחר ג"ש, ודלא כדברי</w:t>
      </w:r>
      <w:r w:rsidRPr="00A510F2">
        <w:rPr>
          <w:rStyle w:val="affa"/>
          <w:rFonts w:hint="cs"/>
          <w:rtl/>
        </w:rPr>
        <w:t xml:space="preserve"> הקצוה"ח</w:t>
      </w:r>
      <w:r w:rsidRPr="005F0D66">
        <w:rPr>
          <w:rStyle w:val="afb"/>
          <w:rFonts w:hint="cs"/>
          <w:rtl/>
        </w:rPr>
        <w:t xml:space="preserve"> </w:t>
      </w:r>
      <w:r w:rsidRPr="00DF6A3E">
        <w:rPr>
          <w:rStyle w:val="aff6"/>
          <w:rFonts w:hint="cs"/>
          <w:rtl/>
        </w:rPr>
        <w:t>(סי</w:t>
      </w:r>
      <w:r w:rsidRPr="00DF6A3E">
        <w:rPr>
          <w:rStyle w:val="aff6"/>
          <w:rtl/>
        </w:rPr>
        <w:t>'</w:t>
      </w:r>
      <w:r w:rsidRPr="00DF6A3E">
        <w:rPr>
          <w:rStyle w:val="aff6"/>
          <w:rFonts w:hint="cs"/>
          <w:rtl/>
        </w:rPr>
        <w:t xml:space="preserve"> ק</w:t>
      </w:r>
      <w:r w:rsidRPr="00DF6A3E">
        <w:rPr>
          <w:rStyle w:val="aff6"/>
          <w:rtl/>
        </w:rPr>
        <w:t>"</w:t>
      </w:r>
      <w:r w:rsidRPr="00DF6A3E">
        <w:rPr>
          <w:rStyle w:val="aff6"/>
          <w:rFonts w:hint="cs"/>
          <w:rtl/>
        </w:rPr>
        <w:t>מ סק</w:t>
      </w:r>
      <w:r w:rsidRPr="00DF6A3E">
        <w:rPr>
          <w:rStyle w:val="aff6"/>
          <w:rtl/>
        </w:rPr>
        <w:t>"</w:t>
      </w:r>
      <w:r w:rsidRPr="00DF6A3E">
        <w:rPr>
          <w:rStyle w:val="aff6"/>
          <w:rFonts w:hint="cs"/>
          <w:rtl/>
        </w:rPr>
        <w:t>ב ד"ה כיצד)</w:t>
      </w:r>
      <w:r>
        <w:rPr>
          <w:rStyle w:val="afb"/>
          <w:rFonts w:hint="cs"/>
          <w:rtl/>
        </w:rPr>
        <w:t xml:space="preserve"> </w:t>
      </w:r>
      <w:r w:rsidRPr="00780F6B">
        <w:rPr>
          <w:rStyle w:val="affa"/>
          <w:rFonts w:hint="cs"/>
          <w:rtl/>
        </w:rPr>
        <w:t>והשער משפט</w:t>
      </w:r>
      <w:r>
        <w:rPr>
          <w:rStyle w:val="afb"/>
          <w:rFonts w:hint="cs"/>
          <w:rtl/>
        </w:rPr>
        <w:t xml:space="preserve"> </w:t>
      </w:r>
      <w:r w:rsidRPr="00DF6A3E">
        <w:rPr>
          <w:rStyle w:val="aff6"/>
          <w:rFonts w:hint="cs"/>
          <w:rtl/>
        </w:rPr>
        <w:t>(סי' ק"מ סק"ג, הובאו</w:t>
      </w:r>
      <w:r w:rsidRPr="004055E5">
        <w:rPr>
          <w:rStyle w:val="aff6"/>
          <w:rFonts w:hint="cs"/>
          <w:rtl/>
        </w:rPr>
        <w:t xml:space="preserve"> </w:t>
      </w:r>
      <w:r w:rsidRPr="00DF6A3E">
        <w:rPr>
          <w:rStyle w:val="aff6"/>
          <w:rFonts w:hint="cs"/>
          <w:rtl/>
        </w:rPr>
        <w:t>בסימן ה' אות כ"ו)</w:t>
      </w:r>
      <w:r>
        <w:rPr>
          <w:rStyle w:val="afb"/>
          <w:rFonts w:hint="cs"/>
          <w:rtl/>
        </w:rPr>
        <w:t xml:space="preserve"> דהוכיחו מדברי</w:t>
      </w:r>
      <w:r w:rsidRPr="005F0D66">
        <w:rPr>
          <w:rStyle w:val="afb"/>
          <w:rFonts w:hint="cs"/>
          <w:rtl/>
        </w:rPr>
        <w:t xml:space="preserve"> </w:t>
      </w:r>
      <w:r w:rsidRPr="004055E5">
        <w:rPr>
          <w:rStyle w:val="affa"/>
          <w:rFonts w:hint="cs"/>
          <w:rtl/>
        </w:rPr>
        <w:t>הרמב"ן לקמן</w:t>
      </w:r>
      <w:r>
        <w:rPr>
          <w:rFonts w:hint="cs"/>
          <w:rtl/>
        </w:rPr>
        <w:t xml:space="preserve"> </w:t>
      </w:r>
      <w:r w:rsidRPr="004055E5">
        <w:rPr>
          <w:rStyle w:val="afb"/>
          <w:rFonts w:hint="cs"/>
          <w:rtl/>
        </w:rPr>
        <w:t>ד</w:t>
      </w:r>
      <w:r>
        <w:rPr>
          <w:rStyle w:val="afb"/>
          <w:rFonts w:hint="cs"/>
          <w:rtl/>
        </w:rPr>
        <w:t>ב</w:t>
      </w:r>
      <w:r w:rsidRPr="004055E5">
        <w:rPr>
          <w:rStyle w:val="afb"/>
          <w:rFonts w:hint="cs"/>
          <w:rtl/>
        </w:rPr>
        <w:t>חז</w:t>
      </w:r>
      <w:r w:rsidRPr="005F0D66">
        <w:rPr>
          <w:rStyle w:val="afb"/>
          <w:rFonts w:hint="cs"/>
          <w:rtl/>
        </w:rPr>
        <w:t xml:space="preserve">קת ג"ש </w:t>
      </w:r>
      <w:r>
        <w:rPr>
          <w:rStyle w:val="afb"/>
          <w:rFonts w:hint="cs"/>
          <w:rtl/>
        </w:rPr>
        <w:t>מיד בתחילת החזקה יש</w:t>
      </w:r>
      <w:r w:rsidRPr="005F0D66">
        <w:rPr>
          <w:rStyle w:val="afb"/>
          <w:rFonts w:hint="cs"/>
          <w:rtl/>
        </w:rPr>
        <w:t xml:space="preserve"> </w:t>
      </w:r>
      <w:r>
        <w:rPr>
          <w:rStyle w:val="afb"/>
          <w:rFonts w:hint="cs"/>
          <w:rtl/>
        </w:rPr>
        <w:t xml:space="preserve">ראיה </w:t>
      </w:r>
      <w:r w:rsidRPr="005F0D66">
        <w:rPr>
          <w:rStyle w:val="afb"/>
          <w:rFonts w:hint="cs"/>
          <w:rtl/>
        </w:rPr>
        <w:t>מדאו'</w:t>
      </w:r>
      <w:r>
        <w:rPr>
          <w:rStyle w:val="afb"/>
          <w:rFonts w:hint="cs"/>
          <w:rtl/>
        </w:rPr>
        <w:t xml:space="preserve">, ועי' במה שדחה </w:t>
      </w:r>
      <w:r w:rsidRPr="00780F6B">
        <w:rPr>
          <w:rStyle w:val="affa"/>
          <w:rFonts w:hint="cs"/>
          <w:rtl/>
        </w:rPr>
        <w:t>בחי' רבי נחום</w:t>
      </w:r>
      <w:r>
        <w:rPr>
          <w:rStyle w:val="afb"/>
          <w:rFonts w:hint="cs"/>
          <w:rtl/>
        </w:rPr>
        <w:t xml:space="preserve"> </w:t>
      </w:r>
      <w:r w:rsidRPr="00DF6A3E">
        <w:rPr>
          <w:rStyle w:val="aff6"/>
          <w:rFonts w:hint="cs"/>
          <w:rtl/>
        </w:rPr>
        <w:t>(או' כ"ו ד"ה אמנם אכתי, הובא בסימן ה' אות פ"</w:t>
      </w:r>
      <w:r>
        <w:rPr>
          <w:rStyle w:val="aff6"/>
          <w:rFonts w:hint="cs"/>
          <w:rtl/>
        </w:rPr>
        <w:t>ד</w:t>
      </w:r>
      <w:r w:rsidRPr="00DF6A3E">
        <w:rPr>
          <w:rStyle w:val="aff6"/>
          <w:rFonts w:hint="cs"/>
          <w:rtl/>
        </w:rPr>
        <w:t>)</w:t>
      </w:r>
      <w:r>
        <w:rPr>
          <w:rStyle w:val="afb"/>
          <w:rFonts w:hint="cs"/>
          <w:rtl/>
        </w:rPr>
        <w:t xml:space="preserve"> </w:t>
      </w:r>
      <w:r w:rsidRPr="00780F6B">
        <w:rPr>
          <w:rStyle w:val="affa"/>
          <w:rFonts w:hint="cs"/>
          <w:rtl/>
        </w:rPr>
        <w:t>דברמב"ן לקמן</w:t>
      </w:r>
      <w:r>
        <w:rPr>
          <w:rStyle w:val="afb"/>
          <w:rFonts w:hint="cs"/>
          <w:rtl/>
        </w:rPr>
        <w:t xml:space="preserve"> מוכח דא"א לבאר דהראיה מהני רק לאחר ג"ש.</w:t>
      </w:r>
    </w:p>
  </w:footnote>
  <w:footnote w:id="30">
    <w:p w:rsidR="00265073" w:rsidRDefault="00265073" w:rsidP="00E874E8">
      <w:pPr>
        <w:pStyle w:val="af"/>
        <w:rPr>
          <w:rtl/>
        </w:rPr>
      </w:pPr>
      <w:r>
        <w:rPr>
          <w:rStyle w:val="af1"/>
        </w:rPr>
        <w:footnoteRef/>
      </w:r>
      <w:r>
        <w:rPr>
          <w:rtl/>
        </w:rPr>
        <w:t xml:space="preserve"> </w:t>
      </w:r>
      <w:r>
        <w:rPr>
          <w:rStyle w:val="afb"/>
          <w:rFonts w:hint="cs"/>
          <w:rtl/>
        </w:rPr>
        <w:t>וע"ע</w:t>
      </w:r>
      <w:r w:rsidRPr="003B5BFC">
        <w:rPr>
          <w:rStyle w:val="afb"/>
          <w:rFonts w:hint="cs"/>
          <w:rtl/>
        </w:rPr>
        <w:t xml:space="preserve"> במה שביאר </w:t>
      </w:r>
      <w:r w:rsidRPr="003B5BFC">
        <w:rPr>
          <w:rStyle w:val="affa"/>
          <w:rFonts w:hint="cs"/>
          <w:rtl/>
        </w:rPr>
        <w:t>החזון יחזקאל</w:t>
      </w:r>
      <w:r w:rsidRPr="003B5BFC">
        <w:rPr>
          <w:rStyle w:val="afb"/>
          <w:rFonts w:hint="cs"/>
          <w:rtl/>
        </w:rPr>
        <w:t xml:space="preserve"> </w:t>
      </w:r>
      <w:r w:rsidRPr="00183B68">
        <w:rPr>
          <w:rStyle w:val="aff6"/>
          <w:rFonts w:hint="cs"/>
          <w:rtl/>
        </w:rPr>
        <w:t>(השמטות בסוף המסכת, פ"ב ה"א או' ב' ד"ה</w:t>
      </w:r>
      <w:r>
        <w:rPr>
          <w:rStyle w:val="aff6"/>
          <w:rFonts w:hint="cs"/>
          <w:rtl/>
        </w:rPr>
        <w:t xml:space="preserve"> אחר העיון</w:t>
      </w:r>
      <w:r w:rsidRPr="00183B68">
        <w:rPr>
          <w:rStyle w:val="aff6"/>
          <w:rFonts w:hint="cs"/>
          <w:rtl/>
        </w:rPr>
        <w:t>)</w:t>
      </w:r>
      <w:r w:rsidRPr="003B5BFC">
        <w:rPr>
          <w:rStyle w:val="afb"/>
          <w:rFonts w:hint="cs"/>
          <w:rtl/>
        </w:rPr>
        <w:t xml:space="preserve"> ד</w:t>
      </w:r>
      <w:r>
        <w:rPr>
          <w:rStyle w:val="afb"/>
          <w:rFonts w:hint="cs"/>
          <w:rtl/>
        </w:rPr>
        <w:t xml:space="preserve">דעת </w:t>
      </w:r>
      <w:r>
        <w:rPr>
          <w:rStyle w:val="affa"/>
          <w:rFonts w:hint="cs"/>
          <w:rtl/>
        </w:rPr>
        <w:t xml:space="preserve">הרשב"ם </w:t>
      </w:r>
      <w:r>
        <w:rPr>
          <w:rStyle w:val="afb"/>
          <w:rFonts w:hint="cs"/>
          <w:rtl/>
        </w:rPr>
        <w:t xml:space="preserve">דטעמא דחזקה הוא כתירוץ הראשון של רבא, דאחר ג"ש מקפיד ומדלא מחה מוכח דמכר, וכ"מ שהוסיף רבא דאחר ג"ש אינו נזהר בשטר, ואין החזקה תלויה בקפידא של כ"א, וכן ביאר </w:t>
      </w:r>
      <w:r w:rsidRPr="00ED0B3A">
        <w:rPr>
          <w:rStyle w:val="affa"/>
          <w:rFonts w:hint="cs"/>
          <w:rtl/>
        </w:rPr>
        <w:t xml:space="preserve">בחי' רבי ראובן </w:t>
      </w:r>
      <w:r>
        <w:rPr>
          <w:rStyle w:val="af7"/>
          <w:rFonts w:eastAsia="Guttman Hodes" w:hint="cs"/>
          <w:rtl/>
        </w:rPr>
        <w:t xml:space="preserve">(עי' אות </w:t>
      </w:r>
      <w:r>
        <w:rPr>
          <w:rStyle w:val="af7"/>
          <w:rFonts w:eastAsia="Guttman Hodes"/>
          <w:rtl/>
        </w:rPr>
        <w:fldChar w:fldCharType="begin"/>
      </w:r>
      <w:r>
        <w:rPr>
          <w:rStyle w:val="af7"/>
          <w:rFonts w:eastAsia="Guttman Hodes"/>
          <w:rtl/>
        </w:rPr>
        <w:instrText xml:space="preserve"> </w:instrText>
      </w:r>
      <w:r>
        <w:rPr>
          <w:rStyle w:val="af7"/>
          <w:rFonts w:eastAsia="Guttman Hodes" w:hint="cs"/>
        </w:rPr>
        <w:instrText>REF</w:instrText>
      </w:r>
      <w:r>
        <w:rPr>
          <w:rStyle w:val="af7"/>
          <w:rFonts w:eastAsia="Guttman Hodes" w:hint="cs"/>
          <w:rtl/>
        </w:rPr>
        <w:instrText xml:space="preserve"> _</w:instrText>
      </w:r>
      <w:r>
        <w:rPr>
          <w:rStyle w:val="af7"/>
          <w:rFonts w:eastAsia="Guttman Hodes" w:hint="cs"/>
        </w:rPr>
        <w:instrText>Ref56626994 \r \h</w:instrText>
      </w:r>
      <w:r>
        <w:rPr>
          <w:rStyle w:val="af7"/>
          <w:rFonts w:eastAsia="Guttman Hodes"/>
          <w:rtl/>
        </w:rPr>
        <w:instrText xml:space="preserve"> </w:instrText>
      </w:r>
      <w:r>
        <w:rPr>
          <w:rStyle w:val="af7"/>
          <w:rFonts w:eastAsia="Guttman Hodes"/>
          <w:rtl/>
        </w:rPr>
      </w:r>
      <w:r>
        <w:rPr>
          <w:rStyle w:val="af7"/>
          <w:rFonts w:eastAsia="Guttman Hodes"/>
          <w:rtl/>
        </w:rPr>
        <w:fldChar w:fldCharType="separate"/>
      </w:r>
      <w:r>
        <w:rPr>
          <w:rStyle w:val="af7"/>
          <w:rFonts w:eastAsia="Guttman Hodes"/>
          <w:cs/>
        </w:rPr>
        <w:t>‎</w:t>
      </w:r>
      <w:r>
        <w:rPr>
          <w:rStyle w:val="af7"/>
          <w:rFonts w:eastAsia="Guttman Hodes"/>
          <w:rtl/>
        </w:rPr>
        <w:t>קד)</w:t>
      </w:r>
      <w:r>
        <w:rPr>
          <w:rStyle w:val="af7"/>
          <w:rFonts w:eastAsia="Guttman Hodes"/>
          <w:rtl/>
        </w:rPr>
        <w:fldChar w:fldCharType="end"/>
      </w:r>
      <w:r>
        <w:rPr>
          <w:rStyle w:val="af7"/>
          <w:rFonts w:eastAsia="Guttman Hodes" w:hint="cs"/>
          <w:rtl/>
        </w:rPr>
        <w:t xml:space="preserve"> </w:t>
      </w:r>
      <w:r>
        <w:rPr>
          <w:rFonts w:hint="cs"/>
          <w:rtl/>
        </w:rPr>
        <w:t xml:space="preserve">בדעת </w:t>
      </w:r>
      <w:r w:rsidRPr="00ED0B3A">
        <w:rPr>
          <w:rStyle w:val="affa"/>
          <w:rFonts w:hint="cs"/>
          <w:rtl/>
        </w:rPr>
        <w:t>התוס'</w:t>
      </w:r>
      <w:r>
        <w:rPr>
          <w:rStyle w:val="afb"/>
          <w:rFonts w:hint="cs"/>
          <w:rtl/>
        </w:rPr>
        <w:t>.</w:t>
      </w:r>
    </w:p>
  </w:footnote>
  <w:footnote w:id="31">
    <w:p w:rsidR="00265073" w:rsidRDefault="00265073" w:rsidP="00E874E8">
      <w:pPr>
        <w:pStyle w:val="af"/>
        <w:rPr>
          <w:rtl/>
        </w:rPr>
      </w:pPr>
      <w:r>
        <w:rPr>
          <w:rStyle w:val="af1"/>
        </w:rPr>
        <w:footnoteRef/>
      </w:r>
      <w:r>
        <w:rPr>
          <w:rtl/>
        </w:rPr>
        <w:t xml:space="preserve"> </w:t>
      </w:r>
      <w:r>
        <w:rPr>
          <w:rFonts w:hint="cs"/>
          <w:rtl/>
        </w:rPr>
        <w:t>ו</w:t>
      </w:r>
      <w:r w:rsidRPr="0042399D">
        <w:rPr>
          <w:rtl/>
        </w:rPr>
        <w:t xml:space="preserve">יעוי' עוד בדברי </w:t>
      </w:r>
      <w:r w:rsidRPr="0042399D">
        <w:rPr>
          <w:rStyle w:val="affa"/>
          <w:rtl/>
        </w:rPr>
        <w:t>הרשב"ם</w:t>
      </w:r>
      <w:r w:rsidRPr="0042399D">
        <w:rPr>
          <w:rtl/>
        </w:rPr>
        <w:t xml:space="preserve"> </w:t>
      </w:r>
      <w:r w:rsidRPr="0042399D">
        <w:rPr>
          <w:rStyle w:val="aff6"/>
          <w:rtl/>
        </w:rPr>
        <w:t xml:space="preserve">(ל. ד"ה המוציא, ל: ד"ה אלא וד"ה אמר רבא דינא, לא: ד"ה הדר א"ל וד"ה הדר אייתי, לב: ד"ה כה"ג, לד. ד"ה הכא, לד: ד"ה תפסינן וד"ה רב הונא, מ: ד"ה ומשני וד"ה כה"ג, נב. ד"ה שאם וד"ה כלום) </w:t>
      </w:r>
      <w:r w:rsidRPr="0042399D">
        <w:rPr>
          <w:rtl/>
        </w:rPr>
        <w:t xml:space="preserve">דבכל מקום שמוציאין קרקע או מעות מאחד מהבע"ד, נקט </w:t>
      </w:r>
      <w:r w:rsidRPr="0042399D">
        <w:rPr>
          <w:rStyle w:val="affa"/>
          <w:rtl/>
        </w:rPr>
        <w:t>הרשב"ם</w:t>
      </w:r>
      <w:r w:rsidRPr="0042399D">
        <w:rPr>
          <w:rtl/>
        </w:rPr>
        <w:t xml:space="preserve"> לשון שהוא מפסיד</w:t>
      </w:r>
      <w:r>
        <w:rPr>
          <w:rFonts w:hint="cs"/>
          <w:rtl/>
        </w:rPr>
        <w:t>, ולא נקט כן רק לענין דין חזקת ג"ש.</w:t>
      </w:r>
    </w:p>
    <w:p w:rsidR="00265073" w:rsidRDefault="00265073" w:rsidP="00E874E8">
      <w:pPr>
        <w:pStyle w:val="af"/>
        <w:rPr>
          <w:rtl/>
        </w:rPr>
      </w:pPr>
      <w:r w:rsidRPr="0042399D">
        <w:rPr>
          <w:rtl/>
        </w:rPr>
        <w:t xml:space="preserve">וע"ע בדברי </w:t>
      </w:r>
      <w:r w:rsidRPr="0042399D">
        <w:rPr>
          <w:rStyle w:val="affa"/>
          <w:rtl/>
        </w:rPr>
        <w:t>הרשב"ם</w:t>
      </w:r>
      <w:r w:rsidRPr="0042399D">
        <w:rPr>
          <w:rtl/>
        </w:rPr>
        <w:t xml:space="preserve"> לענין דלי ליה צנא דפירי, דכתב </w:t>
      </w:r>
      <w:r w:rsidRPr="0042399D">
        <w:rPr>
          <w:rStyle w:val="affa"/>
          <w:rtl/>
        </w:rPr>
        <w:t>הרשב"ם לקמן</w:t>
      </w:r>
      <w:r w:rsidRPr="0042399D">
        <w:rPr>
          <w:rtl/>
        </w:rPr>
        <w:t xml:space="preserve"> </w:t>
      </w:r>
      <w:r w:rsidRPr="0042399D">
        <w:rPr>
          <w:rStyle w:val="aff6"/>
          <w:rtl/>
        </w:rPr>
        <w:t>(לה: ד"ה אי)</w:t>
      </w:r>
      <w:r w:rsidRPr="0042399D">
        <w:rPr>
          <w:rtl/>
        </w:rPr>
        <w:t xml:space="preserve"> דכל שדלי ליה צנא דפירי הוא מפסיד כיון שסייע לו הוא כמודה שמכר לו.</w:t>
      </w:r>
    </w:p>
    <w:p w:rsidR="00265073" w:rsidRDefault="00265073" w:rsidP="00E874E8">
      <w:pPr>
        <w:pStyle w:val="af"/>
      </w:pPr>
      <w:r w:rsidRPr="0021736D">
        <w:rPr>
          <w:rtl/>
        </w:rPr>
        <w:t xml:space="preserve">וע"ע בדברי </w:t>
      </w:r>
      <w:r w:rsidRPr="0021736D">
        <w:rPr>
          <w:rStyle w:val="affa"/>
          <w:rtl/>
        </w:rPr>
        <w:t>הרשב"ם</w:t>
      </w:r>
      <w:r w:rsidRPr="0021736D">
        <w:rPr>
          <w:rtl/>
        </w:rPr>
        <w:t xml:space="preserve"> דמשמע דס"ל דכיון דהחזקה היא במקום השטר, לכן דין החזקה היא כדין השטר, דכתב </w:t>
      </w:r>
      <w:r w:rsidRPr="0021736D">
        <w:rPr>
          <w:rStyle w:val="affa"/>
          <w:rtl/>
        </w:rPr>
        <w:t>הרשב"ם לקמן</w:t>
      </w:r>
      <w:r w:rsidRPr="0021736D">
        <w:rPr>
          <w:rtl/>
        </w:rPr>
        <w:t xml:space="preserve"> </w:t>
      </w:r>
      <w:r w:rsidRPr="0021736D">
        <w:rPr>
          <w:rStyle w:val="aff6"/>
          <w:rtl/>
        </w:rPr>
        <w:t>(ל. ד"ה מי לא)</w:t>
      </w:r>
      <w:r w:rsidRPr="0021736D">
        <w:rPr>
          <w:rtl/>
        </w:rPr>
        <w:t xml:space="preserve"> דכשהמוכר בא לפסול את חזקת הג"ש, צריך המחזיק לקיים את חזקתו, כיון דהחזקה היא במקום השטר, וכמו דבשטר אמרינן ליה קיים שטרך, ה"ה בחזקה שצריך לקיימה, וכן משמע בדברי </w:t>
      </w:r>
      <w:r w:rsidRPr="0021736D">
        <w:rPr>
          <w:rStyle w:val="affa"/>
          <w:rtl/>
        </w:rPr>
        <w:t>הרשב"ם לקמן</w:t>
      </w:r>
      <w:r w:rsidRPr="0021736D">
        <w:rPr>
          <w:rtl/>
        </w:rPr>
        <w:t xml:space="preserve"> </w:t>
      </w:r>
      <w:r w:rsidRPr="0021736D">
        <w:rPr>
          <w:rStyle w:val="aff6"/>
          <w:rtl/>
        </w:rPr>
        <w:t>(ל: ד"ה הני מילי)</w:t>
      </w:r>
      <w:r w:rsidRPr="0021736D">
        <w:rPr>
          <w:rtl/>
        </w:rPr>
        <w:t xml:space="preserve"> דהעדות על החזקה מהני כמו העדות על שטר, עיי"ש בדבריו, וכן משמע </w:t>
      </w:r>
      <w:r w:rsidRPr="0021736D">
        <w:rPr>
          <w:rStyle w:val="affa"/>
          <w:rtl/>
        </w:rPr>
        <w:t>ברשב"ם לקמן</w:t>
      </w:r>
      <w:r w:rsidRPr="0021736D">
        <w:rPr>
          <w:rtl/>
        </w:rPr>
        <w:t xml:space="preserve"> </w:t>
      </w:r>
      <w:r w:rsidRPr="0021736D">
        <w:rPr>
          <w:rStyle w:val="aff6"/>
          <w:rtl/>
        </w:rPr>
        <w:t>(לג. ד"ה מהימננא)</w:t>
      </w:r>
      <w:r w:rsidRPr="0021736D">
        <w:rPr>
          <w:rtl/>
        </w:rPr>
        <w:t xml:space="preserve"> דכתב דבחזקת ג"ש א"צ להשבע שבועת היסת, כיון דהחזקה במקום שטר קיימא.</w:t>
      </w:r>
    </w:p>
  </w:footnote>
  <w:footnote w:id="32">
    <w:p w:rsidR="00265073" w:rsidRDefault="00265073" w:rsidP="00E874E8">
      <w:pPr>
        <w:pStyle w:val="af"/>
        <w:rPr>
          <w:rtl/>
        </w:rPr>
      </w:pPr>
      <w:r>
        <w:rPr>
          <w:rStyle w:val="af1"/>
        </w:rPr>
        <w:footnoteRef/>
      </w:r>
      <w:r>
        <w:rPr>
          <w:rtl/>
        </w:rPr>
        <w:t xml:space="preserve"> </w:t>
      </w:r>
      <w:r w:rsidRPr="003B2AFB">
        <w:rPr>
          <w:rStyle w:val="afb"/>
          <w:rFonts w:hint="cs"/>
          <w:rtl/>
        </w:rPr>
        <w:t xml:space="preserve">וקצת משמע מדברי </w:t>
      </w:r>
      <w:r w:rsidRPr="003B2AFB">
        <w:rPr>
          <w:rStyle w:val="affa"/>
          <w:rFonts w:hint="cs"/>
          <w:rtl/>
        </w:rPr>
        <w:t xml:space="preserve">הרשב"ם </w:t>
      </w:r>
      <w:r w:rsidRPr="003B2AFB">
        <w:rPr>
          <w:rStyle w:val="afb"/>
          <w:rFonts w:hint="cs"/>
          <w:rtl/>
        </w:rPr>
        <w:t xml:space="preserve">דהחזקה מהני מדין קנין, וע"ע בזה בדברי </w:t>
      </w:r>
      <w:r w:rsidRPr="003B2AFB">
        <w:rPr>
          <w:rStyle w:val="affa"/>
          <w:rFonts w:hint="cs"/>
          <w:rtl/>
        </w:rPr>
        <w:t>רה"ג בספר המקח</w:t>
      </w:r>
      <w:r>
        <w:rPr>
          <w:rFonts w:hint="cs"/>
          <w:rtl/>
        </w:rPr>
        <w:t xml:space="preserve"> </w:t>
      </w:r>
      <w:r w:rsidRPr="003B2AFB">
        <w:rPr>
          <w:rStyle w:val="aff6"/>
          <w:rFonts w:hint="cs"/>
          <w:rtl/>
        </w:rPr>
        <w:t>(שער י"ג השער הג', הועתק בקובץ שיטות קמאי ב"ב ח"א עמ' תרל"ח)</w:t>
      </w:r>
      <w:r w:rsidRPr="003B2AFB">
        <w:rPr>
          <w:rStyle w:val="afb"/>
          <w:rFonts w:hint="cs"/>
          <w:rtl/>
        </w:rPr>
        <w:t>.</w:t>
      </w:r>
    </w:p>
  </w:footnote>
  <w:footnote w:id="33">
    <w:p w:rsidR="00265073" w:rsidRDefault="00265073" w:rsidP="0019070E">
      <w:pPr>
        <w:pStyle w:val="af"/>
        <w:rPr>
          <w:rtl/>
        </w:rPr>
      </w:pPr>
      <w:r>
        <w:rPr>
          <w:rStyle w:val="af1"/>
        </w:rPr>
        <w:footnoteRef/>
      </w:r>
      <w:r>
        <w:rPr>
          <w:rtl/>
        </w:rPr>
        <w:t xml:space="preserve"> וכתבו </w:t>
      </w:r>
      <w:r w:rsidRPr="00E26D0C">
        <w:rPr>
          <w:rStyle w:val="affa"/>
          <w:rtl/>
        </w:rPr>
        <w:t>הר"ן</w:t>
      </w:r>
      <w:r>
        <w:rPr>
          <w:rtl/>
        </w:rPr>
        <w:t xml:space="preserve"> </w:t>
      </w:r>
      <w:r w:rsidRPr="00E26D0C">
        <w:rPr>
          <w:rStyle w:val="aff6"/>
          <w:rtl/>
        </w:rPr>
        <w:t>(ד"ה בשכוני)</w:t>
      </w:r>
      <w:r>
        <w:rPr>
          <w:rtl/>
        </w:rPr>
        <w:t xml:space="preserve"> </w:t>
      </w:r>
      <w:r w:rsidRPr="00E26D0C">
        <w:rPr>
          <w:rStyle w:val="affa"/>
          <w:rtl/>
        </w:rPr>
        <w:t>והנימוק"י</w:t>
      </w:r>
      <w:r>
        <w:rPr>
          <w:rtl/>
        </w:rPr>
        <w:t xml:space="preserve"> </w:t>
      </w:r>
      <w:r w:rsidRPr="00E26D0C">
        <w:rPr>
          <w:rStyle w:val="aff6"/>
          <w:rtl/>
        </w:rPr>
        <w:t>(טו. מדה"ר ד"ה ההוא)</w:t>
      </w:r>
      <w:r w:rsidRPr="00E26D0C">
        <w:rPr>
          <w:rStyle w:val="affa"/>
          <w:rtl/>
        </w:rPr>
        <w:t xml:space="preserve"> דהרשב"ם</w:t>
      </w:r>
      <w:r>
        <w:rPr>
          <w:rtl/>
        </w:rPr>
        <w:t xml:space="preserve"> </w:t>
      </w:r>
      <w:r w:rsidRPr="00E26D0C">
        <w:rPr>
          <w:rStyle w:val="aff6"/>
          <w:rtl/>
        </w:rPr>
        <w:t xml:space="preserve">(עי' אות </w:t>
      </w:r>
      <w:r w:rsidRPr="00E26D0C">
        <w:rPr>
          <w:rStyle w:val="aff6"/>
          <w:cs/>
        </w:rPr>
        <w:fldChar w:fldCharType="begin"/>
      </w:r>
      <w:r w:rsidRPr="00E26D0C">
        <w:rPr>
          <w:rStyle w:val="aff6"/>
          <w:rtl/>
        </w:rPr>
        <w:instrText xml:space="preserve"> </w:instrText>
      </w:r>
      <w:r w:rsidRPr="00E26D0C">
        <w:rPr>
          <w:rStyle w:val="aff6"/>
        </w:rPr>
        <w:instrText>REF</w:instrText>
      </w:r>
      <w:r w:rsidRPr="00E26D0C">
        <w:rPr>
          <w:rStyle w:val="aff6"/>
          <w:rtl/>
        </w:rPr>
        <w:instrText xml:space="preserve"> _</w:instrText>
      </w:r>
      <w:r w:rsidRPr="00E26D0C">
        <w:rPr>
          <w:rStyle w:val="aff6"/>
        </w:rPr>
        <w:instrText>Ref56936382 \r \h</w:instrText>
      </w:r>
      <w:r w:rsidRPr="00E26D0C">
        <w:rPr>
          <w:rStyle w:val="aff6"/>
          <w:rtl/>
        </w:rPr>
        <w:instrText xml:space="preserve"> </w:instrText>
      </w:r>
      <w:r w:rsidRPr="00E26D0C">
        <w:rPr>
          <w:rStyle w:val="aff6"/>
          <w:cs/>
        </w:rPr>
      </w:r>
      <w:r w:rsidRPr="00E26D0C">
        <w:rPr>
          <w:rStyle w:val="aff6"/>
          <w:cs/>
        </w:rPr>
        <w:fldChar w:fldCharType="separate"/>
      </w:r>
      <w:r>
        <w:rPr>
          <w:rStyle w:val="aff6"/>
          <w:cs/>
        </w:rPr>
        <w:t>‎</w:t>
      </w:r>
      <w:r>
        <w:rPr>
          <w:rStyle w:val="aff6"/>
          <w:rtl/>
        </w:rPr>
        <w:t>א)</w:t>
      </w:r>
      <w:r w:rsidRPr="00E26D0C">
        <w:rPr>
          <w:rStyle w:val="aff6"/>
          <w:cs/>
        </w:rPr>
        <w:fldChar w:fldCharType="end"/>
      </w:r>
      <w:r>
        <w:rPr>
          <w:rFonts w:hint="cs"/>
          <w:rtl/>
        </w:rPr>
        <w:t xml:space="preserve"> </w:t>
      </w:r>
      <w:r>
        <w:rPr>
          <w:rtl/>
        </w:rPr>
        <w:t>גרס בגמ' דההוא דאמר ליה לחבריה מאי בעית בהאי "ביתא", ולכן ביאר דשיכוני גוואי היינו שמערער היה דר בחדרים הפנימים, וכיון שהיה לו דרך בבית החיצון, לכן טוען המערער דחזקת המחזיק בבית החיצון אינה חזקה, כיון שהמערער היה משתמש יחד עמו בבית החיצון.</w:t>
      </w:r>
    </w:p>
    <w:p w:rsidR="00265073" w:rsidRDefault="00265073" w:rsidP="0019070E">
      <w:pPr>
        <w:pStyle w:val="af"/>
      </w:pPr>
      <w:r>
        <w:rPr>
          <w:rtl/>
        </w:rPr>
        <w:t xml:space="preserve">אך </w:t>
      </w:r>
      <w:r w:rsidRPr="00E26D0C">
        <w:rPr>
          <w:rStyle w:val="affa"/>
          <w:rtl/>
        </w:rPr>
        <w:t>הרמב"ן</w:t>
      </w:r>
      <w:r>
        <w:rPr>
          <w:rtl/>
        </w:rPr>
        <w:t xml:space="preserve"> </w:t>
      </w:r>
      <w:r w:rsidRPr="00E26D0C">
        <w:rPr>
          <w:rStyle w:val="aff6"/>
          <w:rtl/>
        </w:rPr>
        <w:t>(סוד"ה אנא)</w:t>
      </w:r>
      <w:r>
        <w:rPr>
          <w:rtl/>
        </w:rPr>
        <w:t xml:space="preserve"> הקשה דבכל הגירסאות לא גרסינן כגירסת </w:t>
      </w:r>
      <w:r w:rsidRPr="00E26D0C">
        <w:rPr>
          <w:rStyle w:val="affa"/>
          <w:rtl/>
        </w:rPr>
        <w:t>הרשב"ם</w:t>
      </w:r>
      <w:r>
        <w:rPr>
          <w:rtl/>
        </w:rPr>
        <w:t xml:space="preserve"> דא"ל מאי בעית בהאי "ביתא", אמנם </w:t>
      </w:r>
      <w:r w:rsidRPr="00E26D0C">
        <w:rPr>
          <w:rStyle w:val="affa"/>
          <w:rtl/>
        </w:rPr>
        <w:t>היד רמ"ה</w:t>
      </w:r>
      <w:r>
        <w:rPr>
          <w:rtl/>
        </w:rPr>
        <w:t xml:space="preserve"> </w:t>
      </w:r>
      <w:r w:rsidRPr="00E26D0C">
        <w:rPr>
          <w:rStyle w:val="aff6"/>
          <w:rtl/>
        </w:rPr>
        <w:t>(או' כ"ח ד"ה ההוא)</w:t>
      </w:r>
      <w:r>
        <w:rPr>
          <w:rtl/>
        </w:rPr>
        <w:t xml:space="preserve"> גרס כגירסת </w:t>
      </w:r>
      <w:r w:rsidRPr="00E26D0C">
        <w:rPr>
          <w:rStyle w:val="affa"/>
          <w:rtl/>
        </w:rPr>
        <w:t>הרשב"ם</w:t>
      </w:r>
      <w:r>
        <w:rPr>
          <w:rtl/>
        </w:rPr>
        <w:t xml:space="preserve"> דמאי בעית בהאי "ביתא", וביאר </w:t>
      </w:r>
      <w:r w:rsidRPr="00E26D0C">
        <w:rPr>
          <w:rStyle w:val="affa"/>
          <w:rtl/>
        </w:rPr>
        <w:t>כרמב"ן</w:t>
      </w:r>
      <w:r>
        <w:rPr>
          <w:rtl/>
        </w:rPr>
        <w:t xml:space="preserve"> </w:t>
      </w:r>
      <w:r w:rsidRPr="00E26D0C">
        <w:rPr>
          <w:rStyle w:val="aff6"/>
          <w:rtl/>
        </w:rPr>
        <w:t xml:space="preserve">(עי' אות </w:t>
      </w:r>
      <w:r w:rsidRPr="00E26D0C">
        <w:rPr>
          <w:rStyle w:val="aff6"/>
          <w:cs/>
        </w:rPr>
        <w:t>‎</w:t>
      </w:r>
      <w:r w:rsidRPr="00E26D0C">
        <w:rPr>
          <w:rStyle w:val="aff6"/>
          <w:rtl/>
        </w:rPr>
        <w:fldChar w:fldCharType="begin"/>
      </w:r>
      <w:r w:rsidRPr="00E26D0C">
        <w:rPr>
          <w:rStyle w:val="aff6"/>
          <w:rtl/>
        </w:rPr>
        <w:instrText xml:space="preserve"> </w:instrText>
      </w:r>
      <w:r w:rsidRPr="00E26D0C">
        <w:rPr>
          <w:rStyle w:val="aff6"/>
        </w:rPr>
        <w:instrText>REF</w:instrText>
      </w:r>
      <w:r w:rsidRPr="00E26D0C">
        <w:rPr>
          <w:rStyle w:val="aff6"/>
          <w:rtl/>
        </w:rPr>
        <w:instrText xml:space="preserve"> _</w:instrText>
      </w:r>
      <w:r w:rsidRPr="00E26D0C">
        <w:rPr>
          <w:rStyle w:val="aff6"/>
        </w:rPr>
        <w:instrText>Ref57321016 \r \h</w:instrText>
      </w:r>
      <w:r w:rsidRPr="00E26D0C">
        <w:rPr>
          <w:rStyle w:val="aff6"/>
          <w:rtl/>
        </w:rPr>
        <w:instrText xml:space="preserve"> </w:instrText>
      </w:r>
      <w:r w:rsidRPr="00E26D0C">
        <w:rPr>
          <w:rStyle w:val="aff6"/>
          <w:rtl/>
        </w:rPr>
      </w:r>
      <w:r w:rsidRPr="00E26D0C">
        <w:rPr>
          <w:rStyle w:val="aff6"/>
          <w:rtl/>
        </w:rPr>
        <w:fldChar w:fldCharType="separate"/>
      </w:r>
      <w:r>
        <w:rPr>
          <w:rStyle w:val="aff6"/>
          <w:cs/>
        </w:rPr>
        <w:t>‎</w:t>
      </w:r>
      <w:r>
        <w:rPr>
          <w:rStyle w:val="aff6"/>
          <w:rtl/>
        </w:rPr>
        <w:t>מט)</w:t>
      </w:r>
      <w:r w:rsidRPr="00E26D0C">
        <w:rPr>
          <w:rStyle w:val="aff6"/>
          <w:rtl/>
        </w:rPr>
        <w:fldChar w:fldCharType="end"/>
      </w:r>
      <w:r>
        <w:rPr>
          <w:rtl/>
        </w:rPr>
        <w:t xml:space="preserve"> דטוען שהיה במקום חרום.</w:t>
      </w:r>
    </w:p>
  </w:footnote>
  <w:footnote w:id="34">
    <w:p w:rsidR="00265073" w:rsidRDefault="00265073" w:rsidP="0019070E">
      <w:pPr>
        <w:pStyle w:val="af"/>
      </w:pPr>
      <w:r>
        <w:rPr>
          <w:rStyle w:val="af1"/>
        </w:rPr>
        <w:footnoteRef/>
      </w:r>
      <w:r>
        <w:rPr>
          <w:rtl/>
        </w:rPr>
        <w:t xml:space="preserve"> </w:t>
      </w:r>
      <w:r>
        <w:rPr>
          <w:rFonts w:hint="cs"/>
          <w:rtl/>
        </w:rPr>
        <w:t xml:space="preserve">ממ"ש </w:t>
      </w:r>
      <w:r w:rsidRPr="005166CB">
        <w:rPr>
          <w:rStyle w:val="affa"/>
          <w:rFonts w:hint="cs"/>
          <w:rtl/>
        </w:rPr>
        <w:t>התוס'</w:t>
      </w:r>
      <w:r>
        <w:rPr>
          <w:rFonts w:hint="cs"/>
          <w:rtl/>
        </w:rPr>
        <w:t xml:space="preserve"> דאין למחזיק חזקת ג"ש שלימות, משמע קצת, דס"ל</w:t>
      </w:r>
      <w:r w:rsidRPr="00F22BEF">
        <w:rPr>
          <w:rStyle w:val="affa"/>
          <w:rFonts w:hint="cs"/>
          <w:rtl/>
        </w:rPr>
        <w:t xml:space="preserve"> להתוס' </w:t>
      </w:r>
      <w:r>
        <w:rPr>
          <w:rFonts w:hint="cs"/>
          <w:rtl/>
        </w:rPr>
        <w:t xml:space="preserve">שאם היה המערער בבית הפנימי, הוא חסרון בעצם החזקה, דאין למחזיק חזקה של ג"ש שלימות, ואינו רק מחאה כדכתב </w:t>
      </w:r>
      <w:r w:rsidRPr="005166CB">
        <w:rPr>
          <w:rStyle w:val="affa"/>
          <w:rFonts w:hint="cs"/>
          <w:rtl/>
        </w:rPr>
        <w:t>הרשב"ם</w:t>
      </w:r>
      <w:r>
        <w:rPr>
          <w:rFonts w:hint="cs"/>
          <w:rtl/>
        </w:rPr>
        <w:t xml:space="preserve"> </w:t>
      </w:r>
      <w:r w:rsidRPr="005166CB">
        <w:rPr>
          <w:rStyle w:val="aff6"/>
          <w:rFonts w:hint="cs"/>
          <w:rtl/>
        </w:rPr>
        <w:t xml:space="preserve">(עי' אות </w:t>
      </w:r>
      <w:r w:rsidRPr="005166CB">
        <w:rPr>
          <w:rStyle w:val="aff6"/>
          <w:rtl/>
        </w:rPr>
        <w:fldChar w:fldCharType="begin"/>
      </w:r>
      <w:r w:rsidRPr="005166CB">
        <w:rPr>
          <w:rStyle w:val="aff6"/>
          <w:rtl/>
        </w:rPr>
        <w:instrText xml:space="preserve"> </w:instrText>
      </w:r>
      <w:r w:rsidRPr="005166CB">
        <w:rPr>
          <w:rStyle w:val="aff6"/>
          <w:rFonts w:hint="cs"/>
        </w:rPr>
        <w:instrText>REF</w:instrText>
      </w:r>
      <w:r w:rsidRPr="005166CB">
        <w:rPr>
          <w:rStyle w:val="aff6"/>
          <w:rFonts w:hint="cs"/>
          <w:rtl/>
        </w:rPr>
        <w:instrText xml:space="preserve"> _</w:instrText>
      </w:r>
      <w:r w:rsidRPr="005166CB">
        <w:rPr>
          <w:rStyle w:val="aff6"/>
          <w:rFonts w:hint="cs"/>
        </w:rPr>
        <w:instrText>Ref56936382 \r \h</w:instrText>
      </w:r>
      <w:r w:rsidRPr="005166CB">
        <w:rPr>
          <w:rStyle w:val="aff6"/>
          <w:rtl/>
        </w:rPr>
        <w:instrText xml:space="preserve"> </w:instrText>
      </w:r>
      <w:r w:rsidRPr="005166CB">
        <w:rPr>
          <w:rStyle w:val="aff6"/>
          <w:rtl/>
        </w:rPr>
      </w:r>
      <w:r w:rsidRPr="005166CB">
        <w:rPr>
          <w:rStyle w:val="aff6"/>
          <w:rtl/>
        </w:rPr>
        <w:fldChar w:fldCharType="separate"/>
      </w:r>
      <w:r>
        <w:rPr>
          <w:rStyle w:val="aff6"/>
          <w:cs/>
        </w:rPr>
        <w:t>‎</w:t>
      </w:r>
      <w:r>
        <w:rPr>
          <w:rStyle w:val="aff6"/>
          <w:rtl/>
        </w:rPr>
        <w:t>א)</w:t>
      </w:r>
      <w:r w:rsidRPr="005166CB">
        <w:rPr>
          <w:rStyle w:val="aff6"/>
          <w:rtl/>
        </w:rPr>
        <w:fldChar w:fldCharType="end"/>
      </w:r>
      <w:r>
        <w:rPr>
          <w:rFonts w:hint="cs"/>
          <w:rtl/>
        </w:rPr>
        <w:t xml:space="preserve">, ועי' </w:t>
      </w:r>
      <w:r w:rsidRPr="00B96E9A">
        <w:rPr>
          <w:rStyle w:val="affa"/>
          <w:rFonts w:hint="cs"/>
          <w:rtl/>
        </w:rPr>
        <w:t>בחי' רבי נחום</w:t>
      </w:r>
      <w:r w:rsidRPr="00B65CA4">
        <w:rPr>
          <w:rStyle w:val="af9"/>
          <w:rFonts w:hint="cs"/>
          <w:rtl/>
        </w:rPr>
        <w:t xml:space="preserve"> </w:t>
      </w:r>
      <w:r w:rsidRPr="00760011">
        <w:rPr>
          <w:rStyle w:val="aff6"/>
          <w:rFonts w:hint="cs"/>
          <w:rtl/>
        </w:rPr>
        <w:t xml:space="preserve">(עי' אות </w:t>
      </w:r>
      <w:r w:rsidRPr="00760011">
        <w:rPr>
          <w:rStyle w:val="aff6"/>
          <w:rtl/>
        </w:rPr>
        <w:fldChar w:fldCharType="begin"/>
      </w:r>
      <w:r w:rsidRPr="00760011">
        <w:rPr>
          <w:rStyle w:val="aff6"/>
          <w:rtl/>
        </w:rPr>
        <w:instrText xml:space="preserve"> </w:instrText>
      </w:r>
      <w:r w:rsidRPr="00760011">
        <w:rPr>
          <w:rStyle w:val="aff6"/>
          <w:rFonts w:hint="cs"/>
        </w:rPr>
        <w:instrText>REF</w:instrText>
      </w:r>
      <w:r w:rsidRPr="00760011">
        <w:rPr>
          <w:rStyle w:val="aff6"/>
          <w:rFonts w:hint="cs"/>
          <w:rtl/>
        </w:rPr>
        <w:instrText xml:space="preserve"> _</w:instrText>
      </w:r>
      <w:r w:rsidRPr="00760011">
        <w:rPr>
          <w:rStyle w:val="aff6"/>
          <w:rFonts w:hint="cs"/>
        </w:rPr>
        <w:instrText>Ref57495212 \r \h</w:instrText>
      </w:r>
      <w:r w:rsidRPr="00760011">
        <w:rPr>
          <w:rStyle w:val="aff6"/>
          <w:rtl/>
        </w:rPr>
        <w:instrText xml:space="preserve"> </w:instrText>
      </w:r>
      <w:r w:rsidRPr="00760011">
        <w:rPr>
          <w:rStyle w:val="aff6"/>
          <w:rtl/>
        </w:rPr>
      </w:r>
      <w:r w:rsidRPr="00760011">
        <w:rPr>
          <w:rStyle w:val="aff6"/>
          <w:rtl/>
        </w:rPr>
        <w:fldChar w:fldCharType="separate"/>
      </w:r>
      <w:r>
        <w:rPr>
          <w:rStyle w:val="aff6"/>
          <w:cs/>
        </w:rPr>
        <w:t>‎</w:t>
      </w:r>
      <w:r>
        <w:rPr>
          <w:rStyle w:val="aff6"/>
          <w:rtl/>
        </w:rPr>
        <w:t>קג)</w:t>
      </w:r>
      <w:r w:rsidRPr="00760011">
        <w:rPr>
          <w:rStyle w:val="aff6"/>
          <w:rtl/>
        </w:rPr>
        <w:fldChar w:fldCharType="end"/>
      </w:r>
      <w:r w:rsidRPr="00B65CA4">
        <w:rPr>
          <w:rStyle w:val="af7"/>
          <w:rFonts w:eastAsia="Guttman Hodes" w:hint="cs"/>
          <w:rtl/>
        </w:rPr>
        <w:t xml:space="preserve"> </w:t>
      </w:r>
      <w:r>
        <w:rPr>
          <w:rFonts w:hint="cs"/>
          <w:rtl/>
        </w:rPr>
        <w:t xml:space="preserve">דכ"כ בדעת </w:t>
      </w:r>
      <w:r w:rsidRPr="00B96E9A">
        <w:rPr>
          <w:rStyle w:val="affa"/>
          <w:rFonts w:hint="cs"/>
          <w:rtl/>
        </w:rPr>
        <w:t>הרמב"ן</w:t>
      </w:r>
      <w:r>
        <w:rPr>
          <w:rFonts w:hint="cs"/>
          <w:rtl/>
        </w:rPr>
        <w:t xml:space="preserve"> </w:t>
      </w:r>
      <w:r w:rsidRPr="00760011">
        <w:rPr>
          <w:rStyle w:val="aff6"/>
          <w:rFonts w:hint="cs"/>
          <w:rtl/>
        </w:rPr>
        <w:t xml:space="preserve">(עי' אות </w:t>
      </w:r>
      <w:r w:rsidRPr="00760011">
        <w:rPr>
          <w:rStyle w:val="aff6"/>
          <w:rtl/>
        </w:rPr>
        <w:fldChar w:fldCharType="begin"/>
      </w:r>
      <w:r w:rsidRPr="00760011">
        <w:rPr>
          <w:rStyle w:val="aff6"/>
          <w:rtl/>
        </w:rPr>
        <w:instrText xml:space="preserve"> </w:instrText>
      </w:r>
      <w:r w:rsidRPr="00760011">
        <w:rPr>
          <w:rStyle w:val="aff6"/>
          <w:rFonts w:hint="cs"/>
        </w:rPr>
        <w:instrText>REF</w:instrText>
      </w:r>
      <w:r w:rsidRPr="00760011">
        <w:rPr>
          <w:rStyle w:val="aff6"/>
          <w:rFonts w:hint="cs"/>
          <w:rtl/>
        </w:rPr>
        <w:instrText xml:space="preserve"> _</w:instrText>
      </w:r>
      <w:r w:rsidRPr="00760011">
        <w:rPr>
          <w:rStyle w:val="aff6"/>
          <w:rFonts w:hint="cs"/>
        </w:rPr>
        <w:instrText>Ref57051203 \r \h</w:instrText>
      </w:r>
      <w:r w:rsidRPr="00760011">
        <w:rPr>
          <w:rStyle w:val="aff6"/>
          <w:rtl/>
        </w:rPr>
        <w:instrText xml:space="preserve"> </w:instrText>
      </w:r>
      <w:r w:rsidRPr="00760011">
        <w:rPr>
          <w:rStyle w:val="aff6"/>
          <w:rtl/>
        </w:rPr>
      </w:r>
      <w:r w:rsidRPr="00760011">
        <w:rPr>
          <w:rStyle w:val="aff6"/>
          <w:rtl/>
        </w:rPr>
        <w:fldChar w:fldCharType="separate"/>
      </w:r>
      <w:r>
        <w:rPr>
          <w:rStyle w:val="aff6"/>
          <w:cs/>
        </w:rPr>
        <w:t>‎</w:t>
      </w:r>
      <w:r>
        <w:rPr>
          <w:rStyle w:val="aff6"/>
          <w:rtl/>
        </w:rPr>
        <w:t>ח)</w:t>
      </w:r>
      <w:r w:rsidRPr="00760011">
        <w:rPr>
          <w:rStyle w:val="aff6"/>
          <w:rtl/>
        </w:rPr>
        <w:fldChar w:fldCharType="end"/>
      </w:r>
      <w:r>
        <w:rPr>
          <w:rStyle w:val="af7"/>
          <w:rFonts w:eastAsia="Guttman Hodes" w:hint="cs"/>
          <w:rtl/>
        </w:rPr>
        <w:t xml:space="preserve">, </w:t>
      </w:r>
      <w:r w:rsidRPr="00760011">
        <w:rPr>
          <w:rStyle w:val="afb"/>
          <w:rFonts w:hint="cs"/>
          <w:rtl/>
        </w:rPr>
        <w:t>אמנם יעוי'</w:t>
      </w:r>
      <w:r>
        <w:rPr>
          <w:rStyle w:val="afb"/>
          <w:rFonts w:hint="cs"/>
          <w:rtl/>
        </w:rPr>
        <w:t xml:space="preserve"> במ"ש </w:t>
      </w:r>
      <w:r w:rsidRPr="00760011">
        <w:rPr>
          <w:rStyle w:val="affa"/>
          <w:rFonts w:hint="cs"/>
          <w:rtl/>
        </w:rPr>
        <w:t>בחי' רבי נחום</w:t>
      </w:r>
      <w:r>
        <w:rPr>
          <w:rStyle w:val="afb"/>
          <w:rFonts w:hint="cs"/>
          <w:rtl/>
        </w:rPr>
        <w:t xml:space="preserve"> </w:t>
      </w:r>
      <w:r w:rsidRPr="00760011">
        <w:rPr>
          <w:rStyle w:val="aff6"/>
          <w:rFonts w:hint="cs"/>
          <w:rtl/>
        </w:rPr>
        <w:t xml:space="preserve">(עי' אות </w:t>
      </w:r>
      <w:r w:rsidRPr="00760011">
        <w:rPr>
          <w:rStyle w:val="aff6"/>
          <w:rtl/>
        </w:rPr>
        <w:fldChar w:fldCharType="begin"/>
      </w:r>
      <w:r w:rsidRPr="00760011">
        <w:rPr>
          <w:rStyle w:val="aff6"/>
          <w:rtl/>
        </w:rPr>
        <w:instrText xml:space="preserve"> </w:instrText>
      </w:r>
      <w:r w:rsidRPr="00760011">
        <w:rPr>
          <w:rStyle w:val="aff6"/>
          <w:rFonts w:hint="cs"/>
        </w:rPr>
        <w:instrText>REF</w:instrText>
      </w:r>
      <w:r w:rsidRPr="00760011">
        <w:rPr>
          <w:rStyle w:val="aff6"/>
          <w:rFonts w:hint="cs"/>
          <w:rtl/>
        </w:rPr>
        <w:instrText xml:space="preserve"> _</w:instrText>
      </w:r>
      <w:r w:rsidRPr="00760011">
        <w:rPr>
          <w:rStyle w:val="aff6"/>
          <w:rFonts w:hint="cs"/>
        </w:rPr>
        <w:instrText>Ref57136824 \r \h</w:instrText>
      </w:r>
      <w:r w:rsidRPr="00760011">
        <w:rPr>
          <w:rStyle w:val="aff6"/>
          <w:rtl/>
        </w:rPr>
        <w:instrText xml:space="preserve"> </w:instrText>
      </w:r>
      <w:r w:rsidRPr="00760011">
        <w:rPr>
          <w:rStyle w:val="aff6"/>
          <w:rtl/>
        </w:rPr>
      </w:r>
      <w:r w:rsidRPr="00760011">
        <w:rPr>
          <w:rStyle w:val="aff6"/>
          <w:rtl/>
        </w:rPr>
        <w:fldChar w:fldCharType="separate"/>
      </w:r>
      <w:r>
        <w:rPr>
          <w:rStyle w:val="aff6"/>
          <w:cs/>
        </w:rPr>
        <w:t>‎</w:t>
      </w:r>
      <w:r>
        <w:rPr>
          <w:rStyle w:val="aff6"/>
          <w:rtl/>
        </w:rPr>
        <w:t>קיב)</w:t>
      </w:r>
      <w:r w:rsidRPr="00760011">
        <w:rPr>
          <w:rStyle w:val="aff6"/>
          <w:rtl/>
        </w:rPr>
        <w:fldChar w:fldCharType="end"/>
      </w:r>
      <w:r>
        <w:rPr>
          <w:rStyle w:val="afb"/>
          <w:rFonts w:hint="cs"/>
          <w:rtl/>
        </w:rPr>
        <w:t xml:space="preserve"> דלדעת </w:t>
      </w:r>
      <w:r w:rsidRPr="00760011">
        <w:rPr>
          <w:rStyle w:val="affa"/>
          <w:rFonts w:hint="cs"/>
          <w:rtl/>
        </w:rPr>
        <w:t xml:space="preserve">התוס' </w:t>
      </w:r>
      <w:r>
        <w:rPr>
          <w:rStyle w:val="afb"/>
          <w:rFonts w:hint="cs"/>
          <w:rtl/>
        </w:rPr>
        <w:t>אינו חסרון בחזקה אלא חשיב כמחאה</w:t>
      </w:r>
      <w:r>
        <w:rPr>
          <w:rFonts w:hint="cs"/>
          <w:rtl/>
        </w:rPr>
        <w:t xml:space="preserve">. </w:t>
      </w:r>
    </w:p>
  </w:footnote>
  <w:footnote w:id="35">
    <w:p w:rsidR="00265073" w:rsidRDefault="00265073" w:rsidP="0019070E">
      <w:pPr>
        <w:pStyle w:val="af"/>
        <w:rPr>
          <w:rtl/>
        </w:rPr>
      </w:pPr>
      <w:r>
        <w:rPr>
          <w:rStyle w:val="af1"/>
        </w:rPr>
        <w:footnoteRef/>
      </w:r>
      <w:r>
        <w:rPr>
          <w:rtl/>
        </w:rPr>
        <w:t xml:space="preserve"> </w:t>
      </w:r>
      <w:r w:rsidRPr="003F38A7">
        <w:rPr>
          <w:rFonts w:hint="cs"/>
          <w:rtl/>
        </w:rPr>
        <w:t>והקשה</w:t>
      </w:r>
      <w:r w:rsidRPr="003F38A7">
        <w:rPr>
          <w:rtl/>
        </w:rPr>
        <w:t xml:space="preserve"> </w:t>
      </w:r>
      <w:r w:rsidRPr="001F6689">
        <w:rPr>
          <w:rStyle w:val="affa"/>
          <w:rFonts w:hint="cs"/>
          <w:rtl/>
        </w:rPr>
        <w:t>בחי</w:t>
      </w:r>
      <w:r w:rsidRPr="001F6689">
        <w:rPr>
          <w:rStyle w:val="affa"/>
          <w:rtl/>
        </w:rPr>
        <w:t xml:space="preserve">' </w:t>
      </w:r>
      <w:r w:rsidRPr="001F6689">
        <w:rPr>
          <w:rStyle w:val="affa"/>
          <w:rFonts w:hint="cs"/>
          <w:rtl/>
        </w:rPr>
        <w:t>הרי</w:t>
      </w:r>
      <w:r w:rsidRPr="001F6689">
        <w:rPr>
          <w:rStyle w:val="affa"/>
          <w:rtl/>
        </w:rPr>
        <w:t>"</w:t>
      </w:r>
      <w:r w:rsidRPr="001F6689">
        <w:rPr>
          <w:rStyle w:val="affa"/>
          <w:rFonts w:hint="cs"/>
          <w:rtl/>
        </w:rPr>
        <w:t>ם</w:t>
      </w:r>
      <w:r w:rsidRPr="003F38A7">
        <w:rPr>
          <w:rtl/>
        </w:rPr>
        <w:t xml:space="preserve"> </w:t>
      </w:r>
      <w:r w:rsidRPr="001F6689">
        <w:rPr>
          <w:rStyle w:val="aff6"/>
          <w:rtl/>
        </w:rPr>
        <w:t>(</w:t>
      </w:r>
      <w:r w:rsidRPr="001F6689">
        <w:rPr>
          <w:rStyle w:val="aff6"/>
          <w:rFonts w:hint="cs"/>
          <w:rtl/>
        </w:rPr>
        <w:t>סוד</w:t>
      </w:r>
      <w:r w:rsidRPr="001F6689">
        <w:rPr>
          <w:rStyle w:val="aff6"/>
          <w:rtl/>
        </w:rPr>
        <w:t>"</w:t>
      </w:r>
      <w:r w:rsidRPr="001F6689">
        <w:rPr>
          <w:rStyle w:val="aff6"/>
          <w:rFonts w:hint="cs"/>
          <w:rtl/>
        </w:rPr>
        <w:t>ה</w:t>
      </w:r>
      <w:r w:rsidRPr="001F6689">
        <w:rPr>
          <w:rStyle w:val="aff6"/>
          <w:rtl/>
        </w:rPr>
        <w:t xml:space="preserve"> </w:t>
      </w:r>
      <w:r w:rsidRPr="001F6689">
        <w:rPr>
          <w:rStyle w:val="aff6"/>
          <w:rFonts w:hint="cs"/>
          <w:rtl/>
        </w:rPr>
        <w:t>עוד</w:t>
      </w:r>
      <w:r w:rsidRPr="001F6689">
        <w:rPr>
          <w:rStyle w:val="aff6"/>
          <w:rtl/>
        </w:rPr>
        <w:t xml:space="preserve"> </w:t>
      </w:r>
      <w:r w:rsidRPr="001F6689">
        <w:rPr>
          <w:rStyle w:val="aff6"/>
          <w:rFonts w:hint="cs"/>
          <w:rtl/>
        </w:rPr>
        <w:t>י</w:t>
      </w:r>
      <w:r w:rsidRPr="001F6689">
        <w:rPr>
          <w:rStyle w:val="aff6"/>
          <w:rtl/>
        </w:rPr>
        <w:t>"</w:t>
      </w:r>
      <w:r w:rsidRPr="001F6689">
        <w:rPr>
          <w:rStyle w:val="aff6"/>
          <w:rFonts w:hint="cs"/>
          <w:rtl/>
        </w:rPr>
        <w:t>ל</w:t>
      </w:r>
      <w:r w:rsidRPr="001F6689">
        <w:rPr>
          <w:rStyle w:val="aff6"/>
          <w:rtl/>
        </w:rPr>
        <w:t>)</w:t>
      </w:r>
      <w:r w:rsidRPr="003F38A7">
        <w:rPr>
          <w:rtl/>
        </w:rPr>
        <w:t xml:space="preserve"> </w:t>
      </w:r>
      <w:r w:rsidRPr="003F38A7">
        <w:rPr>
          <w:rFonts w:hint="cs"/>
          <w:rtl/>
        </w:rPr>
        <w:t>על</w:t>
      </w:r>
      <w:r w:rsidRPr="001F6689">
        <w:rPr>
          <w:rStyle w:val="affa"/>
          <w:rtl/>
        </w:rPr>
        <w:t xml:space="preserve"> </w:t>
      </w:r>
      <w:r w:rsidRPr="001F6689">
        <w:rPr>
          <w:rStyle w:val="affa"/>
          <w:rFonts w:hint="cs"/>
          <w:rtl/>
        </w:rPr>
        <w:t>התוס</w:t>
      </w:r>
      <w:r w:rsidRPr="001F6689">
        <w:rPr>
          <w:rStyle w:val="affa"/>
          <w:rtl/>
        </w:rPr>
        <w:t xml:space="preserve">' </w:t>
      </w:r>
      <w:r w:rsidRPr="003F38A7">
        <w:rPr>
          <w:rFonts w:hint="cs"/>
          <w:rtl/>
        </w:rPr>
        <w:t>דאי</w:t>
      </w:r>
      <w:r w:rsidRPr="003F38A7">
        <w:rPr>
          <w:rtl/>
        </w:rPr>
        <w:t xml:space="preserve"> </w:t>
      </w:r>
      <w:r w:rsidRPr="003F38A7">
        <w:rPr>
          <w:rFonts w:hint="cs"/>
          <w:rtl/>
        </w:rPr>
        <w:t>יש</w:t>
      </w:r>
      <w:r w:rsidRPr="003F38A7">
        <w:rPr>
          <w:rtl/>
        </w:rPr>
        <w:t xml:space="preserve"> </w:t>
      </w:r>
      <w:r w:rsidRPr="003F38A7">
        <w:rPr>
          <w:rFonts w:hint="cs"/>
          <w:rtl/>
        </w:rPr>
        <w:t>עדים</w:t>
      </w:r>
      <w:r w:rsidRPr="003F38A7">
        <w:rPr>
          <w:rtl/>
        </w:rPr>
        <w:t xml:space="preserve"> </w:t>
      </w:r>
      <w:r w:rsidRPr="003F38A7">
        <w:rPr>
          <w:rFonts w:hint="cs"/>
          <w:rtl/>
        </w:rPr>
        <w:t>שהיה</w:t>
      </w:r>
      <w:r w:rsidRPr="003F38A7">
        <w:rPr>
          <w:rtl/>
        </w:rPr>
        <w:t xml:space="preserve"> </w:t>
      </w:r>
      <w:r w:rsidRPr="003F38A7">
        <w:rPr>
          <w:rFonts w:hint="cs"/>
          <w:rtl/>
        </w:rPr>
        <w:t>דר</w:t>
      </w:r>
      <w:r w:rsidRPr="003F38A7">
        <w:rPr>
          <w:rtl/>
        </w:rPr>
        <w:t xml:space="preserve"> </w:t>
      </w:r>
      <w:r w:rsidRPr="003F38A7">
        <w:rPr>
          <w:rFonts w:hint="cs"/>
          <w:rtl/>
        </w:rPr>
        <w:t>בבית</w:t>
      </w:r>
      <w:r w:rsidRPr="003F38A7">
        <w:rPr>
          <w:rtl/>
        </w:rPr>
        <w:t xml:space="preserve"> </w:t>
      </w:r>
      <w:r w:rsidRPr="003F38A7">
        <w:rPr>
          <w:rFonts w:hint="cs"/>
          <w:rtl/>
        </w:rPr>
        <w:t>הפנימי</w:t>
      </w:r>
      <w:r w:rsidRPr="003F38A7">
        <w:rPr>
          <w:rtl/>
        </w:rPr>
        <w:t xml:space="preserve">, </w:t>
      </w:r>
      <w:r w:rsidRPr="003F38A7">
        <w:rPr>
          <w:rFonts w:hint="cs"/>
          <w:rtl/>
        </w:rPr>
        <w:t>א</w:t>
      </w:r>
      <w:r w:rsidRPr="003F38A7">
        <w:rPr>
          <w:rtl/>
        </w:rPr>
        <w:t>"</w:t>
      </w:r>
      <w:r w:rsidRPr="003F38A7">
        <w:rPr>
          <w:rFonts w:hint="cs"/>
          <w:rtl/>
        </w:rPr>
        <w:t>כ</w:t>
      </w:r>
      <w:r w:rsidRPr="003F38A7">
        <w:rPr>
          <w:rtl/>
        </w:rPr>
        <w:t xml:space="preserve"> </w:t>
      </w:r>
      <w:r w:rsidRPr="003F38A7">
        <w:rPr>
          <w:rFonts w:hint="cs"/>
          <w:rtl/>
        </w:rPr>
        <w:t>כל</w:t>
      </w:r>
      <w:r w:rsidRPr="003F38A7">
        <w:rPr>
          <w:rtl/>
        </w:rPr>
        <w:t xml:space="preserve"> </w:t>
      </w:r>
      <w:r w:rsidRPr="003F38A7">
        <w:rPr>
          <w:rFonts w:hint="cs"/>
          <w:rtl/>
        </w:rPr>
        <w:t>טענת</w:t>
      </w:r>
      <w:r w:rsidRPr="003F38A7">
        <w:rPr>
          <w:rtl/>
        </w:rPr>
        <w:t xml:space="preserve"> </w:t>
      </w:r>
      <w:r w:rsidRPr="003F38A7">
        <w:rPr>
          <w:rFonts w:hint="cs"/>
          <w:rtl/>
        </w:rPr>
        <w:t>המערער</w:t>
      </w:r>
      <w:r w:rsidRPr="003F38A7">
        <w:rPr>
          <w:rtl/>
        </w:rPr>
        <w:t xml:space="preserve"> </w:t>
      </w:r>
      <w:r w:rsidRPr="003F38A7">
        <w:rPr>
          <w:rFonts w:hint="cs"/>
          <w:rtl/>
        </w:rPr>
        <w:t>היא</w:t>
      </w:r>
      <w:r w:rsidRPr="003F38A7">
        <w:rPr>
          <w:rtl/>
        </w:rPr>
        <w:t xml:space="preserve"> </w:t>
      </w:r>
      <w:r w:rsidRPr="003F38A7">
        <w:rPr>
          <w:rFonts w:hint="cs"/>
          <w:rtl/>
        </w:rPr>
        <w:t>שהיה</w:t>
      </w:r>
      <w:r w:rsidRPr="003F38A7">
        <w:rPr>
          <w:rtl/>
        </w:rPr>
        <w:t xml:space="preserve"> </w:t>
      </w:r>
      <w:r w:rsidRPr="003F38A7">
        <w:rPr>
          <w:rFonts w:hint="cs"/>
          <w:rtl/>
        </w:rPr>
        <w:t>עובר</w:t>
      </w:r>
      <w:r w:rsidRPr="003F38A7">
        <w:rPr>
          <w:rtl/>
        </w:rPr>
        <w:t xml:space="preserve"> </w:t>
      </w:r>
      <w:r w:rsidRPr="003F38A7">
        <w:rPr>
          <w:rFonts w:hint="cs"/>
          <w:rtl/>
        </w:rPr>
        <w:t>דרך</w:t>
      </w:r>
      <w:r w:rsidRPr="003F38A7">
        <w:rPr>
          <w:rtl/>
        </w:rPr>
        <w:t xml:space="preserve"> </w:t>
      </w:r>
      <w:r w:rsidRPr="003F38A7">
        <w:rPr>
          <w:rFonts w:hint="cs"/>
          <w:rtl/>
        </w:rPr>
        <w:t>עליו</w:t>
      </w:r>
      <w:r w:rsidRPr="003F38A7">
        <w:rPr>
          <w:rtl/>
        </w:rPr>
        <w:t xml:space="preserve">, </w:t>
      </w:r>
      <w:r w:rsidRPr="003F38A7">
        <w:rPr>
          <w:rFonts w:hint="cs"/>
          <w:rtl/>
        </w:rPr>
        <w:t>וא</w:t>
      </w:r>
      <w:r w:rsidRPr="003F38A7">
        <w:rPr>
          <w:rtl/>
        </w:rPr>
        <w:t>"</w:t>
      </w:r>
      <w:r w:rsidRPr="003F38A7">
        <w:rPr>
          <w:rFonts w:hint="cs"/>
          <w:rtl/>
        </w:rPr>
        <w:t>כ</w:t>
      </w:r>
      <w:r w:rsidRPr="003F38A7">
        <w:rPr>
          <w:rtl/>
        </w:rPr>
        <w:t xml:space="preserve"> </w:t>
      </w:r>
      <w:r w:rsidRPr="003F38A7">
        <w:rPr>
          <w:rFonts w:hint="cs"/>
          <w:rtl/>
        </w:rPr>
        <w:t>עיקר</w:t>
      </w:r>
      <w:r w:rsidRPr="003F38A7">
        <w:rPr>
          <w:rtl/>
        </w:rPr>
        <w:t xml:space="preserve"> </w:t>
      </w:r>
      <w:r w:rsidRPr="003F38A7">
        <w:rPr>
          <w:rFonts w:hint="cs"/>
          <w:rtl/>
        </w:rPr>
        <w:t>טענת</w:t>
      </w:r>
      <w:r w:rsidRPr="003F38A7">
        <w:rPr>
          <w:rtl/>
        </w:rPr>
        <w:t xml:space="preserve"> </w:t>
      </w:r>
      <w:r w:rsidRPr="003F38A7">
        <w:rPr>
          <w:rFonts w:hint="cs"/>
          <w:rtl/>
        </w:rPr>
        <w:t>המערער</w:t>
      </w:r>
      <w:r w:rsidRPr="003F38A7">
        <w:rPr>
          <w:rtl/>
        </w:rPr>
        <w:t xml:space="preserve"> </w:t>
      </w:r>
      <w:r w:rsidRPr="003F38A7">
        <w:rPr>
          <w:rFonts w:hint="cs"/>
          <w:rtl/>
        </w:rPr>
        <w:t>חסרה</w:t>
      </w:r>
      <w:r w:rsidRPr="003F38A7">
        <w:rPr>
          <w:rtl/>
        </w:rPr>
        <w:t xml:space="preserve"> </w:t>
      </w:r>
      <w:r w:rsidRPr="003F38A7">
        <w:rPr>
          <w:rFonts w:hint="cs"/>
          <w:rtl/>
        </w:rPr>
        <w:t>מן</w:t>
      </w:r>
      <w:r w:rsidRPr="003F38A7">
        <w:rPr>
          <w:rtl/>
        </w:rPr>
        <w:t xml:space="preserve"> </w:t>
      </w:r>
      <w:r w:rsidRPr="003F38A7">
        <w:rPr>
          <w:rFonts w:hint="cs"/>
          <w:rtl/>
        </w:rPr>
        <w:t>הספר</w:t>
      </w:r>
      <w:r w:rsidRPr="003F38A7">
        <w:rPr>
          <w:rtl/>
        </w:rPr>
        <w:t xml:space="preserve">, </w:t>
      </w:r>
      <w:r w:rsidRPr="003F38A7">
        <w:rPr>
          <w:rFonts w:hint="cs"/>
          <w:rtl/>
        </w:rPr>
        <w:t>וכתב</w:t>
      </w:r>
      <w:r w:rsidRPr="003F38A7">
        <w:rPr>
          <w:rtl/>
        </w:rPr>
        <w:t xml:space="preserve"> </w:t>
      </w:r>
      <w:r w:rsidRPr="001F6689">
        <w:rPr>
          <w:rStyle w:val="affa"/>
          <w:rFonts w:hint="cs"/>
          <w:rtl/>
        </w:rPr>
        <w:t>החי</w:t>
      </w:r>
      <w:r w:rsidRPr="001F6689">
        <w:rPr>
          <w:rStyle w:val="affa"/>
          <w:rtl/>
        </w:rPr>
        <w:t xml:space="preserve">' </w:t>
      </w:r>
      <w:r w:rsidRPr="001F6689">
        <w:rPr>
          <w:rStyle w:val="affa"/>
          <w:rFonts w:hint="cs"/>
          <w:rtl/>
        </w:rPr>
        <w:t>הרי</w:t>
      </w:r>
      <w:r w:rsidRPr="001F6689">
        <w:rPr>
          <w:rStyle w:val="affa"/>
          <w:rtl/>
        </w:rPr>
        <w:t>"</w:t>
      </w:r>
      <w:r w:rsidRPr="001F6689">
        <w:rPr>
          <w:rStyle w:val="affa"/>
          <w:rFonts w:hint="cs"/>
          <w:rtl/>
        </w:rPr>
        <w:t>ם</w:t>
      </w:r>
      <w:r w:rsidRPr="003F38A7">
        <w:rPr>
          <w:rtl/>
        </w:rPr>
        <w:t xml:space="preserve"> </w:t>
      </w:r>
      <w:r w:rsidRPr="003F38A7">
        <w:rPr>
          <w:rFonts w:hint="cs"/>
          <w:rtl/>
        </w:rPr>
        <w:t>דצ</w:t>
      </w:r>
      <w:r w:rsidRPr="003F38A7">
        <w:rPr>
          <w:rtl/>
        </w:rPr>
        <w:t>"</w:t>
      </w:r>
      <w:r w:rsidRPr="003F38A7">
        <w:rPr>
          <w:rFonts w:hint="cs"/>
          <w:rtl/>
        </w:rPr>
        <w:t>ל</w:t>
      </w:r>
      <w:r w:rsidRPr="003F38A7">
        <w:rPr>
          <w:rtl/>
        </w:rPr>
        <w:t xml:space="preserve"> </w:t>
      </w:r>
      <w:r w:rsidRPr="003F38A7">
        <w:rPr>
          <w:rFonts w:hint="cs"/>
          <w:rtl/>
        </w:rPr>
        <w:t>דהעברת</w:t>
      </w:r>
      <w:r w:rsidRPr="003F38A7">
        <w:rPr>
          <w:rtl/>
        </w:rPr>
        <w:t xml:space="preserve"> </w:t>
      </w:r>
      <w:r w:rsidRPr="003F38A7">
        <w:rPr>
          <w:rFonts w:hint="cs"/>
          <w:rtl/>
        </w:rPr>
        <w:t>דרך</w:t>
      </w:r>
      <w:r w:rsidRPr="003F38A7">
        <w:rPr>
          <w:rtl/>
        </w:rPr>
        <w:t xml:space="preserve"> </w:t>
      </w:r>
      <w:r w:rsidRPr="003F38A7">
        <w:rPr>
          <w:rFonts w:hint="cs"/>
          <w:rtl/>
        </w:rPr>
        <w:t>כלולה</w:t>
      </w:r>
      <w:r w:rsidRPr="003F38A7">
        <w:rPr>
          <w:rtl/>
        </w:rPr>
        <w:t xml:space="preserve"> </w:t>
      </w:r>
      <w:r w:rsidRPr="003F38A7">
        <w:rPr>
          <w:rFonts w:hint="cs"/>
          <w:rtl/>
        </w:rPr>
        <w:t>בלשון</w:t>
      </w:r>
      <w:r w:rsidRPr="003F38A7">
        <w:rPr>
          <w:rtl/>
        </w:rPr>
        <w:t xml:space="preserve"> </w:t>
      </w:r>
      <w:r w:rsidRPr="003F38A7">
        <w:rPr>
          <w:rFonts w:hint="cs"/>
          <w:rtl/>
        </w:rPr>
        <w:t>הגמ</w:t>
      </w:r>
      <w:r w:rsidRPr="003F38A7">
        <w:rPr>
          <w:rtl/>
        </w:rPr>
        <w:t xml:space="preserve">' </w:t>
      </w:r>
      <w:r w:rsidRPr="003F38A7">
        <w:rPr>
          <w:rFonts w:hint="cs"/>
          <w:rtl/>
        </w:rPr>
        <w:t>אנא</w:t>
      </w:r>
      <w:r w:rsidRPr="003F38A7">
        <w:rPr>
          <w:rtl/>
        </w:rPr>
        <w:t xml:space="preserve"> </w:t>
      </w:r>
      <w:r w:rsidRPr="003F38A7">
        <w:rPr>
          <w:rFonts w:hint="cs"/>
          <w:rtl/>
        </w:rPr>
        <w:t>בשיכוני</w:t>
      </w:r>
      <w:r w:rsidRPr="003F38A7">
        <w:rPr>
          <w:rtl/>
        </w:rPr>
        <w:t xml:space="preserve"> </w:t>
      </w:r>
      <w:r w:rsidRPr="003F38A7">
        <w:rPr>
          <w:rFonts w:hint="cs"/>
          <w:rtl/>
        </w:rPr>
        <w:t>גוואי</w:t>
      </w:r>
      <w:r w:rsidRPr="003F38A7">
        <w:rPr>
          <w:rtl/>
        </w:rPr>
        <w:t xml:space="preserve"> </w:t>
      </w:r>
      <w:r w:rsidRPr="003F38A7">
        <w:rPr>
          <w:rFonts w:hint="cs"/>
          <w:rtl/>
        </w:rPr>
        <w:t>הוואי</w:t>
      </w:r>
      <w:r w:rsidRPr="003F38A7">
        <w:rPr>
          <w:rtl/>
        </w:rPr>
        <w:t xml:space="preserve">, </w:t>
      </w:r>
      <w:r w:rsidRPr="003F38A7">
        <w:rPr>
          <w:rFonts w:hint="cs"/>
          <w:rtl/>
        </w:rPr>
        <w:t>דהא</w:t>
      </w:r>
      <w:r w:rsidRPr="003F38A7">
        <w:rPr>
          <w:rtl/>
        </w:rPr>
        <w:t xml:space="preserve"> </w:t>
      </w:r>
      <w:r w:rsidRPr="003F38A7">
        <w:rPr>
          <w:rFonts w:hint="cs"/>
          <w:rtl/>
        </w:rPr>
        <w:t>אי</w:t>
      </w:r>
      <w:r w:rsidRPr="003F38A7">
        <w:rPr>
          <w:rtl/>
        </w:rPr>
        <w:t xml:space="preserve"> </w:t>
      </w:r>
      <w:r w:rsidRPr="003F38A7">
        <w:rPr>
          <w:rFonts w:hint="cs"/>
          <w:rtl/>
        </w:rPr>
        <w:t>אינו</w:t>
      </w:r>
      <w:r w:rsidRPr="003F38A7">
        <w:rPr>
          <w:rtl/>
        </w:rPr>
        <w:t xml:space="preserve"> </w:t>
      </w:r>
      <w:r w:rsidRPr="003F38A7">
        <w:rPr>
          <w:rFonts w:hint="cs"/>
          <w:rtl/>
        </w:rPr>
        <w:t>עובר</w:t>
      </w:r>
      <w:r w:rsidRPr="003F38A7">
        <w:rPr>
          <w:rtl/>
        </w:rPr>
        <w:t xml:space="preserve"> </w:t>
      </w:r>
      <w:r w:rsidRPr="003F38A7">
        <w:rPr>
          <w:rFonts w:hint="cs"/>
          <w:rtl/>
        </w:rPr>
        <w:t>דרך</w:t>
      </w:r>
      <w:r w:rsidRPr="003F38A7">
        <w:rPr>
          <w:rtl/>
        </w:rPr>
        <w:t xml:space="preserve"> </w:t>
      </w:r>
      <w:r w:rsidRPr="003F38A7">
        <w:rPr>
          <w:rFonts w:hint="cs"/>
          <w:rtl/>
        </w:rPr>
        <w:t>עליו</w:t>
      </w:r>
      <w:r w:rsidRPr="003F38A7">
        <w:rPr>
          <w:rtl/>
        </w:rPr>
        <w:t xml:space="preserve"> </w:t>
      </w:r>
      <w:r w:rsidRPr="003F38A7">
        <w:rPr>
          <w:rFonts w:hint="cs"/>
          <w:rtl/>
        </w:rPr>
        <w:t>לא</w:t>
      </w:r>
      <w:r w:rsidRPr="003F38A7">
        <w:rPr>
          <w:rtl/>
        </w:rPr>
        <w:t xml:space="preserve"> </w:t>
      </w:r>
      <w:r w:rsidRPr="003F38A7">
        <w:rPr>
          <w:rFonts w:hint="cs"/>
          <w:rtl/>
        </w:rPr>
        <w:t>נקרא</w:t>
      </w:r>
      <w:r w:rsidRPr="003F38A7">
        <w:rPr>
          <w:rtl/>
        </w:rPr>
        <w:t xml:space="preserve"> </w:t>
      </w:r>
      <w:r w:rsidRPr="003F38A7">
        <w:rPr>
          <w:rFonts w:hint="cs"/>
          <w:rtl/>
        </w:rPr>
        <w:t>שכוני</w:t>
      </w:r>
      <w:r w:rsidRPr="003F38A7">
        <w:rPr>
          <w:rtl/>
        </w:rPr>
        <w:t xml:space="preserve"> </w:t>
      </w:r>
      <w:r w:rsidRPr="003F38A7">
        <w:rPr>
          <w:rFonts w:hint="cs"/>
          <w:rtl/>
        </w:rPr>
        <w:t>גוואי</w:t>
      </w:r>
      <w:r w:rsidRPr="003F38A7">
        <w:rPr>
          <w:rtl/>
        </w:rPr>
        <w:t xml:space="preserve">, </w:t>
      </w:r>
      <w:r w:rsidRPr="003F38A7">
        <w:rPr>
          <w:rFonts w:hint="cs"/>
          <w:rtl/>
        </w:rPr>
        <w:t>אלא</w:t>
      </w:r>
      <w:r w:rsidRPr="003F38A7">
        <w:rPr>
          <w:rtl/>
        </w:rPr>
        <w:t xml:space="preserve"> </w:t>
      </w:r>
      <w:r w:rsidRPr="003F38A7">
        <w:rPr>
          <w:rFonts w:hint="cs"/>
          <w:rtl/>
        </w:rPr>
        <w:t>הוא</w:t>
      </w:r>
      <w:r w:rsidRPr="003F38A7">
        <w:rPr>
          <w:rtl/>
        </w:rPr>
        <w:t xml:space="preserve"> </w:t>
      </w:r>
      <w:r w:rsidRPr="003F38A7">
        <w:rPr>
          <w:rFonts w:hint="cs"/>
          <w:rtl/>
        </w:rPr>
        <w:t>בית</w:t>
      </w:r>
      <w:r w:rsidRPr="003F38A7">
        <w:rPr>
          <w:rtl/>
        </w:rPr>
        <w:t xml:space="preserve"> </w:t>
      </w:r>
      <w:r w:rsidRPr="003F38A7">
        <w:rPr>
          <w:rFonts w:hint="cs"/>
          <w:rtl/>
        </w:rPr>
        <w:t>בפנ</w:t>
      </w:r>
      <w:r w:rsidRPr="003F38A7">
        <w:rPr>
          <w:rtl/>
        </w:rPr>
        <w:t>"</w:t>
      </w:r>
      <w:r w:rsidRPr="003F38A7">
        <w:rPr>
          <w:rFonts w:hint="cs"/>
          <w:rtl/>
        </w:rPr>
        <w:t>ע</w:t>
      </w:r>
      <w:r w:rsidRPr="003F38A7">
        <w:rPr>
          <w:rtl/>
        </w:rPr>
        <w:t>.</w:t>
      </w:r>
    </w:p>
  </w:footnote>
  <w:footnote w:id="36">
    <w:p w:rsidR="00265073" w:rsidRDefault="00265073" w:rsidP="0019070E">
      <w:pPr>
        <w:pStyle w:val="af"/>
        <w:rPr>
          <w:rtl/>
        </w:rPr>
      </w:pPr>
      <w:r>
        <w:rPr>
          <w:rStyle w:val="af1"/>
        </w:rPr>
        <w:footnoteRef/>
      </w:r>
      <w:r>
        <w:rPr>
          <w:rtl/>
        </w:rPr>
        <w:t xml:space="preserve"> </w:t>
      </w:r>
      <w:r w:rsidRPr="00EC246C">
        <w:rPr>
          <w:rStyle w:val="afb"/>
          <w:rFonts w:hint="cs"/>
          <w:rtl/>
        </w:rPr>
        <w:t xml:space="preserve">וביאר </w:t>
      </w:r>
      <w:r w:rsidRPr="00EC246C">
        <w:rPr>
          <w:rStyle w:val="affa"/>
          <w:rFonts w:hint="cs"/>
          <w:rtl/>
        </w:rPr>
        <w:t>התוס' רי"ד</w:t>
      </w:r>
      <w:r w:rsidRPr="00EC246C">
        <w:rPr>
          <w:rStyle w:val="afb"/>
          <w:rFonts w:hint="cs"/>
          <w:rtl/>
        </w:rPr>
        <w:t xml:space="preserve"> דכיון דצ"ל דאיירי שהיה למערער עדים שהיה דר בבית הפנימי, א"כ צ"ל שיש לבית הפנימי יציאה בפנ"ע לרה"ר, וא"צ לעבור דרך הבית</w:t>
      </w:r>
      <w:r>
        <w:rPr>
          <w:rFonts w:hint="cs"/>
          <w:rtl/>
        </w:rPr>
        <w:t xml:space="preserve"> </w:t>
      </w:r>
      <w:r w:rsidRPr="00EC246C">
        <w:rPr>
          <w:rStyle w:val="afb"/>
          <w:rFonts w:hint="cs"/>
          <w:rtl/>
        </w:rPr>
        <w:t>החיצון, וגם לבית החיצון הייתה יציאה בפנ"ע</w:t>
      </w:r>
      <w:r>
        <w:rPr>
          <w:rFonts w:hint="cs"/>
          <w:rtl/>
        </w:rPr>
        <w:t xml:space="preserve"> </w:t>
      </w:r>
      <w:r w:rsidRPr="003F38A7">
        <w:rPr>
          <w:rStyle w:val="afb"/>
          <w:rFonts w:hint="cs"/>
          <w:rtl/>
        </w:rPr>
        <w:t>לרה"ר, דאל"ה לא היה אומר רבא דעל המערער להביא ראיה, דהא יש לו עדים שדר בבית הפנימי, וממילא ידוע שיצא דרך הבית החיצון</w:t>
      </w:r>
      <w:r>
        <w:rPr>
          <w:rFonts w:hint="cs"/>
          <w:rtl/>
        </w:rPr>
        <w:t xml:space="preserve">, ועי' במ"ש </w:t>
      </w:r>
      <w:r w:rsidRPr="00DD1C30">
        <w:rPr>
          <w:rStyle w:val="affa"/>
          <w:rFonts w:hint="cs"/>
          <w:rtl/>
        </w:rPr>
        <w:t>הריטב"א</w:t>
      </w:r>
      <w:r>
        <w:rPr>
          <w:rFonts w:hint="cs"/>
          <w:rtl/>
        </w:rPr>
        <w:t xml:space="preserve"> </w:t>
      </w:r>
      <w:r w:rsidRPr="00DD1C30">
        <w:rPr>
          <w:rStyle w:val="aff6"/>
          <w:rFonts w:hint="cs"/>
          <w:rtl/>
        </w:rPr>
        <w:t xml:space="preserve">(עי' אות </w:t>
      </w:r>
      <w:r w:rsidRPr="00DD1C30">
        <w:rPr>
          <w:rStyle w:val="aff6"/>
          <w:rtl/>
        </w:rPr>
        <w:fldChar w:fldCharType="begin"/>
      </w:r>
      <w:r w:rsidRPr="00DD1C30">
        <w:rPr>
          <w:rStyle w:val="aff6"/>
          <w:rtl/>
        </w:rPr>
        <w:instrText xml:space="preserve"> </w:instrText>
      </w:r>
      <w:r w:rsidRPr="00DD1C30">
        <w:rPr>
          <w:rStyle w:val="aff6"/>
          <w:rFonts w:hint="cs"/>
        </w:rPr>
        <w:instrText>REF</w:instrText>
      </w:r>
      <w:r w:rsidRPr="00DD1C30">
        <w:rPr>
          <w:rStyle w:val="aff6"/>
          <w:rFonts w:hint="cs"/>
          <w:rtl/>
        </w:rPr>
        <w:instrText xml:space="preserve"> _</w:instrText>
      </w:r>
      <w:r w:rsidRPr="00DD1C30">
        <w:rPr>
          <w:rStyle w:val="aff6"/>
          <w:rFonts w:hint="cs"/>
        </w:rPr>
        <w:instrText>Ref57231052 \r \h</w:instrText>
      </w:r>
      <w:r w:rsidRPr="00DD1C30">
        <w:rPr>
          <w:rStyle w:val="aff6"/>
          <w:rtl/>
        </w:rPr>
        <w:instrText xml:space="preserve"> </w:instrText>
      </w:r>
      <w:r w:rsidRPr="00DD1C30">
        <w:rPr>
          <w:rStyle w:val="aff6"/>
          <w:rtl/>
        </w:rPr>
      </w:r>
      <w:r w:rsidRPr="00DD1C30">
        <w:rPr>
          <w:rStyle w:val="aff6"/>
          <w:rtl/>
        </w:rPr>
        <w:fldChar w:fldCharType="separate"/>
      </w:r>
      <w:r>
        <w:rPr>
          <w:rStyle w:val="aff6"/>
          <w:cs/>
        </w:rPr>
        <w:t>‎</w:t>
      </w:r>
      <w:r>
        <w:rPr>
          <w:rStyle w:val="aff6"/>
          <w:rtl/>
        </w:rPr>
        <w:t>יא)</w:t>
      </w:r>
      <w:r w:rsidRPr="00DD1C30">
        <w:rPr>
          <w:rStyle w:val="aff6"/>
          <w:rtl/>
        </w:rPr>
        <w:fldChar w:fldCharType="end"/>
      </w:r>
      <w:r>
        <w:rPr>
          <w:rFonts w:hint="cs"/>
          <w:rtl/>
        </w:rPr>
        <w:t>.</w:t>
      </w:r>
    </w:p>
  </w:footnote>
  <w:footnote w:id="37">
    <w:p w:rsidR="00265073" w:rsidRDefault="00265073" w:rsidP="0019070E">
      <w:pPr>
        <w:pStyle w:val="af"/>
      </w:pPr>
      <w:r>
        <w:rPr>
          <w:rStyle w:val="af1"/>
        </w:rPr>
        <w:footnoteRef/>
      </w:r>
      <w:r>
        <w:rPr>
          <w:rtl/>
        </w:rPr>
        <w:t xml:space="preserve"> </w:t>
      </w:r>
      <w:r w:rsidRPr="000644E0">
        <w:rPr>
          <w:rStyle w:val="affa"/>
          <w:rFonts w:hint="cs"/>
          <w:rtl/>
        </w:rPr>
        <w:t>ובחי' הרי"ם</w:t>
      </w:r>
      <w:r>
        <w:rPr>
          <w:rFonts w:hint="cs"/>
          <w:rtl/>
        </w:rPr>
        <w:t xml:space="preserve"> </w:t>
      </w:r>
      <w:r w:rsidRPr="00A22A08">
        <w:rPr>
          <w:rStyle w:val="af7"/>
          <w:rFonts w:eastAsiaTheme="minorHAnsi" w:hint="cs"/>
          <w:rtl/>
        </w:rPr>
        <w:t xml:space="preserve">(ד"ה אנא) </w:t>
      </w:r>
      <w:r>
        <w:rPr>
          <w:rFonts w:hint="cs"/>
          <w:rtl/>
        </w:rPr>
        <w:t xml:space="preserve">הוסיף לבאר דס"ל </w:t>
      </w:r>
      <w:r w:rsidRPr="000644E0">
        <w:rPr>
          <w:rStyle w:val="affa"/>
          <w:rFonts w:hint="cs"/>
          <w:rtl/>
        </w:rPr>
        <w:t>להרשב"ם</w:t>
      </w:r>
      <w:r>
        <w:rPr>
          <w:rFonts w:hint="cs"/>
          <w:rtl/>
        </w:rPr>
        <w:t xml:space="preserve"> דאם באמת המחזיק היה טוען שקנה את הבית החיצון חוץ מהדרך של המערער ששייר לעצמו, ודאי דמהני חזקה, אלא דכיון דטוען המחזיק שהוא קנה את כל הבית החיצון לגמרי, א"כ ודאי דהוא מקפיד במה שהמערער עובר דרך עליו, ולכן ההעברת דרך חשיבא כמחאה, דהוא עושה מעשה שמוכיח שלא מכר את הבית החיצון למחזיק, ועיי"ש </w:t>
      </w:r>
      <w:r w:rsidRPr="000644E0">
        <w:rPr>
          <w:rStyle w:val="affa"/>
          <w:rFonts w:hint="cs"/>
          <w:rtl/>
        </w:rPr>
        <w:t>בחי' הרי"ם</w:t>
      </w:r>
      <w:r>
        <w:rPr>
          <w:rFonts w:hint="cs"/>
          <w:rtl/>
        </w:rPr>
        <w:t xml:space="preserve"> במה שהוסיף לתרץ את דעת </w:t>
      </w:r>
      <w:r w:rsidRPr="000644E0">
        <w:rPr>
          <w:rStyle w:val="affa"/>
          <w:rFonts w:hint="cs"/>
          <w:rtl/>
        </w:rPr>
        <w:t>הרשב"ם</w:t>
      </w:r>
      <w:r w:rsidRPr="000644E0">
        <w:rPr>
          <w:rStyle w:val="afb"/>
          <w:rFonts w:hint="cs"/>
          <w:rtl/>
        </w:rPr>
        <w:t>.</w:t>
      </w:r>
    </w:p>
  </w:footnote>
  <w:footnote w:id="38">
    <w:p w:rsidR="00265073" w:rsidRDefault="00265073" w:rsidP="0019070E">
      <w:pPr>
        <w:pStyle w:val="af"/>
        <w:rPr>
          <w:rtl/>
        </w:rPr>
      </w:pPr>
      <w:r>
        <w:rPr>
          <w:rStyle w:val="af1"/>
        </w:rPr>
        <w:footnoteRef/>
      </w:r>
      <w:r>
        <w:rPr>
          <w:rtl/>
        </w:rPr>
        <w:t xml:space="preserve"> </w:t>
      </w:r>
      <w:r w:rsidRPr="00723229">
        <w:rPr>
          <w:rStyle w:val="afb"/>
          <w:rFonts w:hint="cs"/>
          <w:rtl/>
        </w:rPr>
        <w:t xml:space="preserve">ועיי"ש </w:t>
      </w:r>
      <w:r w:rsidRPr="00723229">
        <w:rPr>
          <w:rStyle w:val="affa"/>
          <w:rFonts w:hint="cs"/>
          <w:rtl/>
        </w:rPr>
        <w:t>בנתיה"מ</w:t>
      </w:r>
      <w:r w:rsidRPr="00723229">
        <w:rPr>
          <w:rStyle w:val="afb"/>
          <w:rFonts w:hint="cs"/>
          <w:rtl/>
        </w:rPr>
        <w:t xml:space="preserve"> במה שדחה את הראיות שהביא </w:t>
      </w:r>
      <w:r w:rsidRPr="00723229">
        <w:rPr>
          <w:rStyle w:val="affa"/>
          <w:rFonts w:hint="cs"/>
          <w:rtl/>
        </w:rPr>
        <w:t>הקצוה"ח</w:t>
      </w:r>
      <w:r w:rsidRPr="00723229">
        <w:rPr>
          <w:rStyle w:val="afb"/>
          <w:rFonts w:hint="cs"/>
          <w:rtl/>
        </w:rPr>
        <w:t xml:space="preserve">, ועוד הקשה </w:t>
      </w:r>
      <w:r w:rsidRPr="00723229">
        <w:rPr>
          <w:rStyle w:val="affa"/>
          <w:rFonts w:hint="cs"/>
          <w:rtl/>
        </w:rPr>
        <w:t>הנתיה"מ</w:t>
      </w:r>
      <w:r w:rsidRPr="00723229">
        <w:rPr>
          <w:rStyle w:val="afb"/>
          <w:rFonts w:hint="cs"/>
          <w:rtl/>
        </w:rPr>
        <w:t xml:space="preserve"> על </w:t>
      </w:r>
      <w:r w:rsidRPr="00723229">
        <w:rPr>
          <w:rStyle w:val="affa"/>
          <w:rFonts w:hint="cs"/>
          <w:rtl/>
        </w:rPr>
        <w:t>הקצוה"ח</w:t>
      </w:r>
      <w:r w:rsidRPr="00723229">
        <w:rPr>
          <w:rStyle w:val="afb"/>
          <w:rFonts w:hint="cs"/>
          <w:rtl/>
        </w:rPr>
        <w:t xml:space="preserve"> ד</w:t>
      </w:r>
      <w:r>
        <w:rPr>
          <w:rStyle w:val="afb"/>
          <w:rFonts w:hint="cs"/>
          <w:rtl/>
        </w:rPr>
        <w:t>כיון ד</w:t>
      </w:r>
      <w:r w:rsidRPr="00723229">
        <w:rPr>
          <w:rStyle w:val="afb"/>
          <w:rFonts w:hint="cs"/>
          <w:rtl/>
        </w:rPr>
        <w:t>אם דרו המערער שנה ו</w:t>
      </w:r>
      <w:r>
        <w:rPr>
          <w:rStyle w:val="afb"/>
          <w:rFonts w:hint="cs"/>
          <w:rtl/>
        </w:rPr>
        <w:t xml:space="preserve">אחריו </w:t>
      </w:r>
      <w:r w:rsidRPr="00723229">
        <w:rPr>
          <w:rStyle w:val="afb"/>
          <w:rFonts w:hint="cs"/>
          <w:rtl/>
        </w:rPr>
        <w:t>המחזיק שנה, במשך שש שנים</w:t>
      </w:r>
      <w:r>
        <w:rPr>
          <w:rStyle w:val="afb"/>
          <w:rFonts w:hint="cs"/>
          <w:rtl/>
        </w:rPr>
        <w:t>,</w:t>
      </w:r>
      <w:r w:rsidRPr="00723229">
        <w:rPr>
          <w:rStyle w:val="afb"/>
          <w:rFonts w:hint="cs"/>
          <w:rtl/>
        </w:rPr>
        <w:t xml:space="preserve"> וטוען המחזיק שקנה בשותפות עם המערער, דודאי לא הוי חזקה, דהא אין לו ג"ש רצופות, וה"ה כשהמערער משתמש יחד עם המחזיק, דהשימוש של המערער מונע מהמחזיק </w:t>
      </w:r>
      <w:r>
        <w:rPr>
          <w:rStyle w:val="afb"/>
          <w:rFonts w:hint="cs"/>
          <w:rtl/>
        </w:rPr>
        <w:t>להחזיק</w:t>
      </w:r>
      <w:r w:rsidRPr="00723229">
        <w:rPr>
          <w:rStyle w:val="afb"/>
          <w:rFonts w:hint="cs"/>
          <w:rtl/>
        </w:rPr>
        <w:t xml:space="preserve"> ג"ש רצופות.</w:t>
      </w:r>
    </w:p>
  </w:footnote>
  <w:footnote w:id="39">
    <w:p w:rsidR="00265073" w:rsidRDefault="00265073" w:rsidP="0019070E">
      <w:pPr>
        <w:pStyle w:val="af"/>
        <w:rPr>
          <w:rStyle w:val="afb"/>
          <w:rtl/>
        </w:rPr>
      </w:pPr>
      <w:r>
        <w:rPr>
          <w:rStyle w:val="af1"/>
        </w:rPr>
        <w:footnoteRef/>
      </w:r>
      <w:r>
        <w:rPr>
          <w:rtl/>
        </w:rPr>
        <w:t xml:space="preserve"> </w:t>
      </w:r>
      <w:r w:rsidRPr="001475AD">
        <w:rPr>
          <w:rStyle w:val="afb"/>
          <w:rFonts w:hint="cs"/>
          <w:rtl/>
        </w:rPr>
        <w:t xml:space="preserve">וביאר </w:t>
      </w:r>
      <w:r w:rsidRPr="001475AD">
        <w:rPr>
          <w:rStyle w:val="affa"/>
          <w:rFonts w:hint="cs"/>
          <w:rtl/>
        </w:rPr>
        <w:t>הריטב"א</w:t>
      </w:r>
      <w:r w:rsidRPr="001475AD">
        <w:rPr>
          <w:rStyle w:val="afb"/>
          <w:rFonts w:hint="cs"/>
          <w:rtl/>
        </w:rPr>
        <w:t xml:space="preserve"> </w:t>
      </w:r>
      <w:r w:rsidRPr="001475AD">
        <w:rPr>
          <w:rStyle w:val="aff6"/>
          <w:rFonts w:hint="cs"/>
          <w:rtl/>
        </w:rPr>
        <w:t>(ד"ה א"ל)</w:t>
      </w:r>
      <w:r w:rsidRPr="001475AD">
        <w:rPr>
          <w:rStyle w:val="afb"/>
          <w:rFonts w:hint="cs"/>
          <w:rtl/>
        </w:rPr>
        <w:t xml:space="preserve"> בדעת </w:t>
      </w:r>
      <w:r w:rsidRPr="001475AD">
        <w:rPr>
          <w:rStyle w:val="affa"/>
          <w:rFonts w:hint="cs"/>
          <w:rtl/>
        </w:rPr>
        <w:t>הרי"ף</w:t>
      </w:r>
      <w:r>
        <w:rPr>
          <w:rStyle w:val="afb"/>
          <w:rFonts w:hint="cs"/>
          <w:rtl/>
        </w:rPr>
        <w:t xml:space="preserve"> </w:t>
      </w:r>
      <w:r w:rsidRPr="001475AD">
        <w:rPr>
          <w:rStyle w:val="afb"/>
          <w:rFonts w:hint="cs"/>
          <w:rtl/>
        </w:rPr>
        <w:t xml:space="preserve">דשכוני גוואי הוא מקום רחוק בצד דרום, והוא נקרא גוואי כיון שהוא מקום ששוכנים בו, ואילו בראי הוא רוח צפון שאין שוכנים בו, ועי' </w:t>
      </w:r>
      <w:r w:rsidRPr="001475AD">
        <w:rPr>
          <w:rStyle w:val="affa"/>
          <w:rFonts w:hint="cs"/>
          <w:rtl/>
        </w:rPr>
        <w:t>ברמב"ן</w:t>
      </w:r>
      <w:r w:rsidRPr="001475AD">
        <w:rPr>
          <w:rStyle w:val="afb"/>
          <w:rFonts w:hint="cs"/>
          <w:rtl/>
        </w:rPr>
        <w:t xml:space="preserve"> </w:t>
      </w:r>
      <w:r w:rsidRPr="004471E5">
        <w:rPr>
          <w:rStyle w:val="aff6"/>
          <w:rFonts w:hint="cs"/>
          <w:rtl/>
        </w:rPr>
        <w:t>(עי'</w:t>
      </w:r>
      <w:r>
        <w:rPr>
          <w:rStyle w:val="aff6"/>
          <w:rFonts w:hint="cs"/>
          <w:rtl/>
        </w:rPr>
        <w:t xml:space="preserve"> הערה</w:t>
      </w:r>
      <w:r w:rsidRPr="00FF11CD">
        <w:rPr>
          <w:rStyle w:val="a8"/>
          <w:vertAlign w:val="superscript"/>
          <w:rtl/>
        </w:rPr>
        <w:fldChar w:fldCharType="begin"/>
      </w:r>
      <w:r w:rsidRPr="00FF11CD">
        <w:rPr>
          <w:rStyle w:val="a8"/>
          <w:vertAlign w:val="superscript"/>
          <w:rtl/>
        </w:rPr>
        <w:instrText xml:space="preserve"> </w:instrText>
      </w:r>
      <w:r w:rsidRPr="00FF11CD">
        <w:rPr>
          <w:rStyle w:val="a8"/>
          <w:rFonts w:hint="cs"/>
          <w:vertAlign w:val="superscript"/>
        </w:rPr>
        <w:instrText>NOTEREF</w:instrText>
      </w:r>
      <w:r w:rsidRPr="00FF11CD">
        <w:rPr>
          <w:rStyle w:val="a8"/>
          <w:rFonts w:hint="cs"/>
          <w:vertAlign w:val="superscript"/>
          <w:rtl/>
        </w:rPr>
        <w:instrText xml:space="preserve"> _</w:instrText>
      </w:r>
      <w:r w:rsidRPr="00FF11CD">
        <w:rPr>
          <w:rStyle w:val="a8"/>
          <w:rFonts w:hint="cs"/>
          <w:vertAlign w:val="superscript"/>
        </w:rPr>
        <w:instrText>Ref57492714 \h</w:instrText>
      </w:r>
      <w:r w:rsidRPr="00FF11CD">
        <w:rPr>
          <w:rStyle w:val="a8"/>
          <w:vertAlign w:val="superscript"/>
          <w:rtl/>
        </w:rPr>
        <w:instrText xml:space="preserve"> </w:instrText>
      </w:r>
      <w:r>
        <w:rPr>
          <w:rStyle w:val="a8"/>
          <w:vertAlign w:val="superscript"/>
          <w:rtl/>
        </w:rPr>
        <w:instrText xml:space="preserve"> \* </w:instrText>
      </w:r>
      <w:r>
        <w:rPr>
          <w:rStyle w:val="a8"/>
          <w:vertAlign w:val="superscript"/>
        </w:rPr>
        <w:instrText>MERGEFORMAT</w:instrText>
      </w:r>
      <w:r>
        <w:rPr>
          <w:rStyle w:val="a8"/>
          <w:vertAlign w:val="superscript"/>
          <w:rtl/>
        </w:rPr>
        <w:instrText xml:space="preserve"> </w:instrText>
      </w:r>
      <w:r w:rsidRPr="00FF11CD">
        <w:rPr>
          <w:rStyle w:val="a8"/>
          <w:vertAlign w:val="superscript"/>
          <w:rtl/>
        </w:rPr>
      </w:r>
      <w:r w:rsidRPr="00FF11CD">
        <w:rPr>
          <w:rStyle w:val="a8"/>
          <w:vertAlign w:val="superscript"/>
          <w:rtl/>
        </w:rPr>
        <w:fldChar w:fldCharType="separate"/>
      </w:r>
      <w:r>
        <w:rPr>
          <w:rStyle w:val="a8"/>
          <w:vertAlign w:val="superscript"/>
          <w:rtl/>
        </w:rPr>
        <w:t>40</w:t>
      </w:r>
      <w:r w:rsidRPr="00FF11CD">
        <w:rPr>
          <w:rStyle w:val="a8"/>
          <w:vertAlign w:val="superscript"/>
          <w:rtl/>
        </w:rPr>
        <w:fldChar w:fldCharType="end"/>
      </w:r>
      <w:r>
        <w:rPr>
          <w:rStyle w:val="aff6"/>
          <w:rFonts w:hint="cs"/>
          <w:rtl/>
        </w:rPr>
        <w:t>)</w:t>
      </w:r>
      <w:r>
        <w:rPr>
          <w:rStyle w:val="afb"/>
          <w:rFonts w:hint="cs"/>
          <w:rtl/>
        </w:rPr>
        <w:t>.</w:t>
      </w:r>
    </w:p>
    <w:p w:rsidR="00265073" w:rsidRDefault="00265073" w:rsidP="0019070E">
      <w:pPr>
        <w:pStyle w:val="af"/>
      </w:pPr>
      <w:r>
        <w:rPr>
          <w:rStyle w:val="affa"/>
          <w:rFonts w:hint="cs"/>
          <w:rtl/>
        </w:rPr>
        <w:t>ו</w:t>
      </w:r>
      <w:r w:rsidRPr="00023EA1">
        <w:rPr>
          <w:rStyle w:val="affa"/>
          <w:rtl/>
        </w:rPr>
        <w:t>בתוס' רי"ד</w:t>
      </w:r>
      <w:r w:rsidRPr="00023EA1">
        <w:rPr>
          <w:rStyle w:val="afb"/>
          <w:rtl/>
        </w:rPr>
        <w:t xml:space="preserve"> </w:t>
      </w:r>
      <w:r w:rsidRPr="00023EA1">
        <w:rPr>
          <w:rStyle w:val="aff6"/>
          <w:rtl/>
        </w:rPr>
        <w:t>(כט. או' ד' ד"ה אנא)</w:t>
      </w:r>
      <w:r w:rsidRPr="00023EA1">
        <w:rPr>
          <w:rStyle w:val="afb"/>
          <w:rtl/>
        </w:rPr>
        <w:t xml:space="preserve"> </w:t>
      </w:r>
      <w:r>
        <w:rPr>
          <w:rStyle w:val="afb"/>
          <w:rFonts w:hint="cs"/>
          <w:rtl/>
        </w:rPr>
        <w:t xml:space="preserve">ביאר </w:t>
      </w:r>
      <w:r w:rsidRPr="00023EA1">
        <w:rPr>
          <w:rStyle w:val="afb"/>
          <w:rtl/>
        </w:rPr>
        <w:t xml:space="preserve">בשם </w:t>
      </w:r>
      <w:r w:rsidRPr="00023EA1">
        <w:rPr>
          <w:rStyle w:val="affa"/>
          <w:rtl/>
        </w:rPr>
        <w:t xml:space="preserve">הרי"ף </w:t>
      </w:r>
      <w:r w:rsidRPr="00023EA1">
        <w:rPr>
          <w:rStyle w:val="afb"/>
          <w:rtl/>
        </w:rPr>
        <w:t>דשכוני גוואי הוא שם של מקום</w:t>
      </w:r>
      <w:r w:rsidRPr="001475AD">
        <w:rPr>
          <w:rStyle w:val="afb"/>
          <w:rFonts w:hint="cs"/>
          <w:rtl/>
        </w:rPr>
        <w:t>.</w:t>
      </w:r>
    </w:p>
  </w:footnote>
  <w:footnote w:id="40">
    <w:p w:rsidR="00265073" w:rsidRDefault="00265073" w:rsidP="0019070E">
      <w:pPr>
        <w:pStyle w:val="af"/>
        <w:rPr>
          <w:rtl/>
        </w:rPr>
      </w:pPr>
      <w:r>
        <w:rPr>
          <w:rStyle w:val="af1"/>
        </w:rPr>
        <w:footnoteRef/>
      </w:r>
      <w:r>
        <w:rPr>
          <w:rtl/>
        </w:rPr>
        <w:t xml:space="preserve"> </w:t>
      </w:r>
      <w:r w:rsidRPr="007676C8">
        <w:rPr>
          <w:rStyle w:val="afb"/>
          <w:rFonts w:hint="cs"/>
          <w:rtl/>
        </w:rPr>
        <w:t xml:space="preserve">וכתב </w:t>
      </w:r>
      <w:r w:rsidRPr="007676C8">
        <w:rPr>
          <w:rStyle w:val="affa"/>
          <w:rFonts w:hint="cs"/>
          <w:rtl/>
        </w:rPr>
        <w:t>הרמב"ן</w:t>
      </w:r>
      <w:r w:rsidRPr="007676C8">
        <w:rPr>
          <w:rStyle w:val="afb"/>
          <w:rFonts w:hint="cs"/>
          <w:rtl/>
        </w:rPr>
        <w:t xml:space="preserve"> </w:t>
      </w:r>
      <w:r w:rsidRPr="0059176A">
        <w:rPr>
          <w:rStyle w:val="afb"/>
          <w:rFonts w:hint="cs"/>
          <w:rtl/>
        </w:rPr>
        <w:t>דהוא בצד דרום נקרא</w:t>
      </w:r>
      <w:r w:rsidRPr="007676C8">
        <w:rPr>
          <w:rStyle w:val="afb"/>
          <w:rFonts w:hint="cs"/>
          <w:rtl/>
        </w:rPr>
        <w:t xml:space="preserve"> גוואי כיון שהוא חדר כלשון הפסו' "מן החדר תבא סופה", וכלשון הפסו' "וחדרי תימן", ואילו בראי הוא רוח צפון שאינה מסוככת, כמבואר בגמ' לעיל </w:t>
      </w:r>
      <w:r w:rsidRPr="007676C8">
        <w:rPr>
          <w:rStyle w:val="aff6"/>
          <w:rFonts w:hint="cs"/>
          <w:rtl/>
        </w:rPr>
        <w:t>(כה:)</w:t>
      </w:r>
      <w:r>
        <w:rPr>
          <w:rFonts w:hint="cs"/>
          <w:rtl/>
        </w:rPr>
        <w:t>.</w:t>
      </w:r>
    </w:p>
  </w:footnote>
  <w:footnote w:id="41">
    <w:p w:rsidR="00265073" w:rsidRDefault="00265073" w:rsidP="004A6630">
      <w:pPr>
        <w:pStyle w:val="af"/>
      </w:pPr>
      <w:r>
        <w:rPr>
          <w:rStyle w:val="af1"/>
        </w:rPr>
        <w:footnoteRef/>
      </w:r>
      <w:r>
        <w:rPr>
          <w:rtl/>
        </w:rPr>
        <w:t xml:space="preserve"> </w:t>
      </w:r>
      <w:r>
        <w:rPr>
          <w:rFonts w:hint="cs"/>
          <w:rtl/>
        </w:rPr>
        <w:t xml:space="preserve">ועי' בדברי </w:t>
      </w:r>
      <w:r w:rsidRPr="00835EA3">
        <w:rPr>
          <w:rStyle w:val="affa"/>
          <w:rFonts w:hint="cs"/>
          <w:rtl/>
        </w:rPr>
        <w:t>הגר"א</w:t>
      </w:r>
      <w:r>
        <w:rPr>
          <w:rFonts w:hint="cs"/>
          <w:rtl/>
        </w:rPr>
        <w:t xml:space="preserve"> </w:t>
      </w:r>
      <w:r w:rsidRPr="00835EA3">
        <w:rPr>
          <w:rStyle w:val="aff6"/>
          <w:rFonts w:hint="cs"/>
          <w:rtl/>
        </w:rPr>
        <w:t>(סי' קמ"ג סק"ט)</w:t>
      </w:r>
      <w:r>
        <w:rPr>
          <w:rFonts w:hint="cs"/>
          <w:rtl/>
        </w:rPr>
        <w:t xml:space="preserve"> דכתב דלדעת </w:t>
      </w:r>
      <w:r w:rsidRPr="00835EA3">
        <w:rPr>
          <w:rStyle w:val="affa"/>
          <w:rFonts w:hint="cs"/>
          <w:rtl/>
        </w:rPr>
        <w:t>הראשונים</w:t>
      </w:r>
      <w:r w:rsidRPr="00217E25">
        <w:rPr>
          <w:rStyle w:val="aff6"/>
          <w:rFonts w:hint="cs"/>
          <w:rtl/>
        </w:rPr>
        <w:t xml:space="preserve"> (עי' אות </w:t>
      </w:r>
      <w:r w:rsidRPr="00217E25">
        <w:rPr>
          <w:rStyle w:val="aff6"/>
          <w:rtl/>
        </w:rPr>
        <w:fldChar w:fldCharType="begin"/>
      </w:r>
      <w:r w:rsidRPr="00217E25">
        <w:rPr>
          <w:rStyle w:val="aff6"/>
          <w:rtl/>
        </w:rPr>
        <w:instrText xml:space="preserve"> </w:instrText>
      </w:r>
      <w:r w:rsidRPr="00217E25">
        <w:rPr>
          <w:rStyle w:val="aff6"/>
          <w:rFonts w:hint="cs"/>
        </w:rPr>
        <w:instrText>REF</w:instrText>
      </w:r>
      <w:r w:rsidRPr="00217E25">
        <w:rPr>
          <w:rStyle w:val="aff6"/>
          <w:rFonts w:hint="cs"/>
          <w:rtl/>
        </w:rPr>
        <w:instrText xml:space="preserve"> _</w:instrText>
      </w:r>
      <w:r w:rsidRPr="00217E25">
        <w:rPr>
          <w:rStyle w:val="aff6"/>
          <w:rFonts w:hint="cs"/>
        </w:rPr>
        <w:instrText>Ref57321016 \r \h</w:instrText>
      </w:r>
      <w:r w:rsidRPr="00217E25">
        <w:rPr>
          <w:rStyle w:val="aff6"/>
          <w:rtl/>
        </w:rPr>
        <w:instrText xml:space="preserve"> </w:instrText>
      </w:r>
      <w:r w:rsidRPr="00217E25">
        <w:rPr>
          <w:rStyle w:val="aff6"/>
          <w:rtl/>
        </w:rPr>
      </w:r>
      <w:r w:rsidRPr="00217E25">
        <w:rPr>
          <w:rStyle w:val="aff6"/>
          <w:rtl/>
        </w:rPr>
        <w:fldChar w:fldCharType="separate"/>
      </w:r>
      <w:r>
        <w:rPr>
          <w:rStyle w:val="aff6"/>
          <w:cs/>
        </w:rPr>
        <w:t>‎</w:t>
      </w:r>
      <w:r>
        <w:rPr>
          <w:rStyle w:val="aff6"/>
          <w:rtl/>
        </w:rPr>
        <w:t>מט)</w:t>
      </w:r>
      <w:r w:rsidRPr="00217E25">
        <w:rPr>
          <w:rStyle w:val="aff6"/>
          <w:rtl/>
        </w:rPr>
        <w:fldChar w:fldCharType="end"/>
      </w:r>
      <w:r>
        <w:rPr>
          <w:rFonts w:hint="cs"/>
          <w:rtl/>
        </w:rPr>
        <w:t xml:space="preserve"> דשכוני גוואי היינו שהיה במקום חרום, מ"מ מבואר מדברי </w:t>
      </w:r>
      <w:r w:rsidRPr="00835EA3">
        <w:rPr>
          <w:rStyle w:val="affa"/>
          <w:rFonts w:hint="cs"/>
          <w:rtl/>
        </w:rPr>
        <w:t>התוס'</w:t>
      </w:r>
      <w:r>
        <w:rPr>
          <w:rFonts w:hint="cs"/>
          <w:rtl/>
        </w:rPr>
        <w:t xml:space="preserve"> </w:t>
      </w:r>
      <w:r w:rsidRPr="00835EA3">
        <w:rPr>
          <w:rStyle w:val="aff6"/>
          <w:rFonts w:hint="cs"/>
          <w:rtl/>
        </w:rPr>
        <w:t xml:space="preserve">(עי' אות </w:t>
      </w:r>
      <w:r w:rsidRPr="00835EA3">
        <w:rPr>
          <w:rStyle w:val="aff6"/>
          <w:rtl/>
        </w:rPr>
        <w:fldChar w:fldCharType="begin"/>
      </w:r>
      <w:r w:rsidRPr="00835EA3">
        <w:rPr>
          <w:rStyle w:val="aff6"/>
          <w:rtl/>
        </w:rPr>
        <w:instrText xml:space="preserve"> </w:instrText>
      </w:r>
      <w:r w:rsidRPr="00835EA3">
        <w:rPr>
          <w:rStyle w:val="aff6"/>
          <w:rFonts w:hint="cs"/>
        </w:rPr>
        <w:instrText>REF</w:instrText>
      </w:r>
      <w:r w:rsidRPr="00835EA3">
        <w:rPr>
          <w:rStyle w:val="aff6"/>
          <w:rFonts w:hint="cs"/>
          <w:rtl/>
        </w:rPr>
        <w:instrText xml:space="preserve"> _</w:instrText>
      </w:r>
      <w:r w:rsidRPr="00835EA3">
        <w:rPr>
          <w:rStyle w:val="aff6"/>
          <w:rFonts w:hint="cs"/>
        </w:rPr>
        <w:instrText>Ref57108495 \r \h</w:instrText>
      </w:r>
      <w:r w:rsidRPr="00835EA3">
        <w:rPr>
          <w:rStyle w:val="aff6"/>
          <w:rtl/>
        </w:rPr>
        <w:instrText xml:space="preserve"> </w:instrText>
      </w:r>
      <w:r w:rsidRPr="00835EA3">
        <w:rPr>
          <w:rStyle w:val="aff6"/>
          <w:rtl/>
        </w:rPr>
      </w:r>
      <w:r w:rsidRPr="00835EA3">
        <w:rPr>
          <w:rStyle w:val="aff6"/>
          <w:rtl/>
        </w:rPr>
        <w:fldChar w:fldCharType="separate"/>
      </w:r>
      <w:r>
        <w:rPr>
          <w:rStyle w:val="aff6"/>
          <w:cs/>
        </w:rPr>
        <w:t>‎</w:t>
      </w:r>
      <w:r>
        <w:rPr>
          <w:rStyle w:val="aff6"/>
          <w:rtl/>
        </w:rPr>
        <w:t>ה)</w:t>
      </w:r>
      <w:r w:rsidRPr="00835EA3">
        <w:rPr>
          <w:rStyle w:val="aff6"/>
          <w:rtl/>
        </w:rPr>
        <w:fldChar w:fldCharType="end"/>
      </w:r>
      <w:r>
        <w:rPr>
          <w:rFonts w:hint="cs"/>
          <w:rtl/>
        </w:rPr>
        <w:t xml:space="preserve"> דכתבו בדעת </w:t>
      </w:r>
      <w:r w:rsidRPr="00835EA3">
        <w:rPr>
          <w:rStyle w:val="affa"/>
          <w:rFonts w:hint="cs"/>
          <w:rtl/>
        </w:rPr>
        <w:t>הרשב"ם</w:t>
      </w:r>
      <w:r>
        <w:rPr>
          <w:rFonts w:hint="cs"/>
          <w:rtl/>
        </w:rPr>
        <w:t xml:space="preserve"> דשכוני גוואי היינו דטוען שהיה בבית הפנימי דאיירי שהיה למערער עדים שהיה בבית הפנימי, דה"ה לדעת </w:t>
      </w:r>
      <w:r w:rsidRPr="00835EA3">
        <w:rPr>
          <w:rStyle w:val="affa"/>
          <w:rFonts w:hint="cs"/>
          <w:rtl/>
        </w:rPr>
        <w:t>הראשונים</w:t>
      </w:r>
      <w:r>
        <w:rPr>
          <w:rFonts w:hint="cs"/>
          <w:rtl/>
        </w:rPr>
        <w:t xml:space="preserve"> כשטוען המערער שהיה במקום חרום דאיירי שהיה למערער עדים שהיה, באותו מקום, אבל אם לא ידוע שהיה שם אין טענתו טענה.</w:t>
      </w:r>
    </w:p>
  </w:footnote>
  <w:footnote w:id="42">
    <w:p w:rsidR="00265073" w:rsidRDefault="00265073" w:rsidP="00D618DF">
      <w:pPr>
        <w:pStyle w:val="af"/>
        <w:rPr>
          <w:rtl/>
        </w:rPr>
      </w:pPr>
      <w:r>
        <w:rPr>
          <w:rStyle w:val="af1"/>
        </w:rPr>
        <w:footnoteRef/>
      </w:r>
      <w:r>
        <w:rPr>
          <w:rtl/>
        </w:rPr>
        <w:t xml:space="preserve"> </w:t>
      </w:r>
      <w:r w:rsidRPr="003A2A3C">
        <w:rPr>
          <w:rtl/>
        </w:rPr>
        <w:t xml:space="preserve">וכתב </w:t>
      </w:r>
      <w:r w:rsidRPr="00785C13">
        <w:rPr>
          <w:rStyle w:val="affa"/>
          <w:rtl/>
        </w:rPr>
        <w:t>רבינו יונה</w:t>
      </w:r>
      <w:r w:rsidRPr="00B805D4">
        <w:rPr>
          <w:rtl/>
        </w:rPr>
        <w:t xml:space="preserve"> </w:t>
      </w:r>
      <w:r w:rsidRPr="00254EB4">
        <w:rPr>
          <w:rStyle w:val="afb"/>
          <w:rtl/>
        </w:rPr>
        <w:t>דאם באנו לפרש</w:t>
      </w:r>
      <w:r w:rsidRPr="00B805D4">
        <w:rPr>
          <w:rtl/>
        </w:rPr>
        <w:t xml:space="preserve"> </w:t>
      </w:r>
      <w:r w:rsidRPr="00785C13">
        <w:rPr>
          <w:rStyle w:val="affa"/>
          <w:rtl/>
        </w:rPr>
        <w:t>כהר"ח</w:t>
      </w:r>
      <w:r w:rsidRPr="00B805D4">
        <w:rPr>
          <w:rtl/>
        </w:rPr>
        <w:t xml:space="preserve"> </w:t>
      </w:r>
      <w:r w:rsidRPr="00785C13">
        <w:rPr>
          <w:rStyle w:val="aff6"/>
          <w:rtl/>
        </w:rPr>
        <w:t xml:space="preserve">(עי' אות </w:t>
      </w:r>
      <w:r w:rsidRPr="00785C13">
        <w:rPr>
          <w:rStyle w:val="aff6"/>
          <w:cs/>
        </w:rPr>
        <w:t>‎</w:t>
      </w:r>
      <w:r w:rsidRPr="00785C13">
        <w:rPr>
          <w:rStyle w:val="aff6"/>
          <w:rtl/>
        </w:rPr>
        <w:fldChar w:fldCharType="begin"/>
      </w:r>
      <w:r w:rsidRPr="00785C13">
        <w:rPr>
          <w:rStyle w:val="aff6"/>
          <w:rtl/>
        </w:rPr>
        <w:instrText xml:space="preserve"> </w:instrText>
      </w:r>
      <w:r w:rsidRPr="00785C13">
        <w:rPr>
          <w:rStyle w:val="aff6"/>
        </w:rPr>
        <w:instrText>REF</w:instrText>
      </w:r>
      <w:r w:rsidRPr="00785C13">
        <w:rPr>
          <w:rStyle w:val="aff6"/>
          <w:rtl/>
        </w:rPr>
        <w:instrText xml:space="preserve"> _</w:instrText>
      </w:r>
      <w:r w:rsidRPr="00785C13">
        <w:rPr>
          <w:rStyle w:val="aff6"/>
        </w:rPr>
        <w:instrText>Ref57320344 \r \h</w:instrText>
      </w:r>
      <w:r w:rsidRPr="00785C13">
        <w:rPr>
          <w:rStyle w:val="aff6"/>
          <w:rtl/>
        </w:rPr>
        <w:instrText xml:space="preserve"> </w:instrText>
      </w:r>
      <w:r w:rsidRPr="00785C13">
        <w:rPr>
          <w:rStyle w:val="aff6"/>
          <w:rtl/>
        </w:rPr>
      </w:r>
      <w:r w:rsidRPr="00785C13">
        <w:rPr>
          <w:rStyle w:val="aff6"/>
          <w:rtl/>
        </w:rPr>
        <w:fldChar w:fldCharType="separate"/>
      </w:r>
      <w:r>
        <w:rPr>
          <w:rStyle w:val="aff6"/>
          <w:cs/>
        </w:rPr>
        <w:t>‎</w:t>
      </w:r>
      <w:r>
        <w:rPr>
          <w:rStyle w:val="aff6"/>
          <w:rtl/>
        </w:rPr>
        <w:t>מח)</w:t>
      </w:r>
      <w:r w:rsidRPr="00785C13">
        <w:rPr>
          <w:rStyle w:val="aff6"/>
          <w:rtl/>
        </w:rPr>
        <w:fldChar w:fldCharType="end"/>
      </w:r>
      <w:r w:rsidRPr="00785C13">
        <w:rPr>
          <w:rStyle w:val="aff6"/>
          <w:rtl/>
        </w:rPr>
        <w:t xml:space="preserve"> </w:t>
      </w:r>
      <w:r w:rsidRPr="00785C13">
        <w:rPr>
          <w:rStyle w:val="affa"/>
          <w:rtl/>
        </w:rPr>
        <w:t>והרי"ף</w:t>
      </w:r>
      <w:r w:rsidRPr="00B805D4">
        <w:rPr>
          <w:rtl/>
        </w:rPr>
        <w:t xml:space="preserve"> </w:t>
      </w:r>
      <w:r w:rsidRPr="00785C13">
        <w:rPr>
          <w:rStyle w:val="aff6"/>
          <w:rtl/>
        </w:rPr>
        <w:t xml:space="preserve">(עי' אות </w:t>
      </w:r>
      <w:r w:rsidRPr="00785C13">
        <w:rPr>
          <w:rStyle w:val="aff6"/>
          <w:cs/>
        </w:rPr>
        <w:t>‎</w:t>
      </w:r>
      <w:r w:rsidRPr="00785C13">
        <w:rPr>
          <w:rStyle w:val="aff6"/>
          <w:rtl/>
        </w:rPr>
        <w:fldChar w:fldCharType="begin"/>
      </w:r>
      <w:r w:rsidRPr="00785C13">
        <w:rPr>
          <w:rStyle w:val="aff6"/>
          <w:rtl/>
        </w:rPr>
        <w:instrText xml:space="preserve"> </w:instrText>
      </w:r>
      <w:r w:rsidRPr="00785C13">
        <w:rPr>
          <w:rStyle w:val="aff6"/>
        </w:rPr>
        <w:instrText>REF</w:instrText>
      </w:r>
      <w:r w:rsidRPr="00785C13">
        <w:rPr>
          <w:rStyle w:val="aff6"/>
          <w:rtl/>
        </w:rPr>
        <w:instrText xml:space="preserve"> _</w:instrText>
      </w:r>
      <w:r w:rsidRPr="00785C13">
        <w:rPr>
          <w:rStyle w:val="aff6"/>
        </w:rPr>
        <w:instrText>Ref57491361 \r \h</w:instrText>
      </w:r>
      <w:r w:rsidRPr="00785C13">
        <w:rPr>
          <w:rStyle w:val="aff6"/>
          <w:rtl/>
        </w:rPr>
        <w:instrText xml:space="preserve"> </w:instrText>
      </w:r>
      <w:r w:rsidRPr="00785C13">
        <w:rPr>
          <w:rStyle w:val="aff6"/>
          <w:rtl/>
        </w:rPr>
      </w:r>
      <w:r w:rsidRPr="00785C13">
        <w:rPr>
          <w:rStyle w:val="aff6"/>
          <w:rtl/>
        </w:rPr>
        <w:fldChar w:fldCharType="separate"/>
      </w:r>
      <w:r>
        <w:rPr>
          <w:rStyle w:val="aff6"/>
          <w:cs/>
        </w:rPr>
        <w:t>‎</w:t>
      </w:r>
      <w:r>
        <w:rPr>
          <w:rStyle w:val="aff6"/>
          <w:rtl/>
        </w:rPr>
        <w:t>מז)</w:t>
      </w:r>
      <w:r w:rsidRPr="00785C13">
        <w:rPr>
          <w:rStyle w:val="aff6"/>
          <w:rtl/>
        </w:rPr>
        <w:fldChar w:fldCharType="end"/>
      </w:r>
      <w:r w:rsidRPr="003A2A3C">
        <w:rPr>
          <w:rtl/>
        </w:rPr>
        <w:t xml:space="preserve">דכוונת המערער לומר שבזמן שטוען שקנה ממנו היה בשכוני גוואי, א"כ צ"ל דכוונת המערער להשיב למחזיק על הזמן של תחילת שני החזקה שטוען המחזיק שהחזיק, דאומר לו המערער שבתחילת זמן זה היה בשכוני גוואי, דהיינו שלדבריך שיש לך חזקת ג"ש, משמע שקנית ממני לפני ג"ש, דהא סתם לשון שני חזקה משמע ג"ש בדיוק ולא יותר מג"ש, ואומר לו המערער דלפני ג"ש היה יום אחד או חודש אחד בשכוני גוואי, וא"כ אין המחזיק יכול לטעון שקנה לפני ג"ש בדיוק. [אמנם </w:t>
      </w:r>
      <w:r w:rsidRPr="00785C13">
        <w:rPr>
          <w:rStyle w:val="affa"/>
          <w:rtl/>
        </w:rPr>
        <w:t>הר"ח</w:t>
      </w:r>
      <w:r w:rsidRPr="00B805D4">
        <w:rPr>
          <w:rtl/>
        </w:rPr>
        <w:t xml:space="preserve"> </w:t>
      </w:r>
      <w:r w:rsidRPr="00785C13">
        <w:rPr>
          <w:rStyle w:val="aff6"/>
          <w:rtl/>
        </w:rPr>
        <w:t xml:space="preserve">(עי' אות </w:t>
      </w:r>
      <w:r w:rsidRPr="00785C13">
        <w:rPr>
          <w:rStyle w:val="aff6"/>
          <w:cs/>
        </w:rPr>
        <w:t>‎</w:t>
      </w:r>
      <w:r w:rsidRPr="00785C13">
        <w:rPr>
          <w:rStyle w:val="aff6"/>
          <w:rtl/>
        </w:rPr>
        <w:fldChar w:fldCharType="begin"/>
      </w:r>
      <w:r w:rsidRPr="00785C13">
        <w:rPr>
          <w:rStyle w:val="aff6"/>
          <w:rtl/>
        </w:rPr>
        <w:instrText xml:space="preserve"> </w:instrText>
      </w:r>
      <w:r w:rsidRPr="00785C13">
        <w:rPr>
          <w:rStyle w:val="aff6"/>
        </w:rPr>
        <w:instrText>REF</w:instrText>
      </w:r>
      <w:r w:rsidRPr="00785C13">
        <w:rPr>
          <w:rStyle w:val="aff6"/>
          <w:rtl/>
        </w:rPr>
        <w:instrText xml:space="preserve"> _</w:instrText>
      </w:r>
      <w:r w:rsidRPr="00785C13">
        <w:rPr>
          <w:rStyle w:val="aff6"/>
        </w:rPr>
        <w:instrText>Ref57320344 \r \h</w:instrText>
      </w:r>
      <w:r w:rsidRPr="00785C13">
        <w:rPr>
          <w:rStyle w:val="aff6"/>
          <w:rtl/>
        </w:rPr>
        <w:instrText xml:space="preserve"> </w:instrText>
      </w:r>
      <w:r w:rsidRPr="00785C13">
        <w:rPr>
          <w:rStyle w:val="aff6"/>
          <w:rtl/>
        </w:rPr>
      </w:r>
      <w:r w:rsidRPr="00785C13">
        <w:rPr>
          <w:rStyle w:val="aff6"/>
          <w:rtl/>
        </w:rPr>
        <w:fldChar w:fldCharType="separate"/>
      </w:r>
      <w:r>
        <w:rPr>
          <w:rStyle w:val="aff6"/>
          <w:cs/>
        </w:rPr>
        <w:t>‎</w:t>
      </w:r>
      <w:r>
        <w:rPr>
          <w:rStyle w:val="aff6"/>
          <w:rtl/>
        </w:rPr>
        <w:t>מח)</w:t>
      </w:r>
      <w:r w:rsidRPr="00785C13">
        <w:rPr>
          <w:rStyle w:val="aff6"/>
          <w:rtl/>
        </w:rPr>
        <w:fldChar w:fldCharType="end"/>
      </w:r>
      <w:r w:rsidRPr="00785C13">
        <w:rPr>
          <w:rStyle w:val="aff6"/>
          <w:rtl/>
        </w:rPr>
        <w:t xml:space="preserve"> </w:t>
      </w:r>
      <w:r w:rsidRPr="003A2A3C">
        <w:rPr>
          <w:rtl/>
        </w:rPr>
        <w:t>ביאר להדיא דהמחזיק טוען שקנה ממנו לפני יותר משני חזקה].</w:t>
      </w:r>
    </w:p>
  </w:footnote>
  <w:footnote w:id="43">
    <w:p w:rsidR="00265073" w:rsidRDefault="00265073" w:rsidP="0019070E">
      <w:pPr>
        <w:pStyle w:val="af"/>
      </w:pPr>
      <w:r>
        <w:rPr>
          <w:rStyle w:val="af1"/>
        </w:rPr>
        <w:footnoteRef/>
      </w:r>
      <w:r>
        <w:rPr>
          <w:rtl/>
        </w:rPr>
        <w:t xml:space="preserve"> </w:t>
      </w:r>
      <w:r w:rsidRPr="008A6D74">
        <w:rPr>
          <w:rtl/>
        </w:rPr>
        <w:t xml:space="preserve">וכתב </w:t>
      </w:r>
      <w:r w:rsidRPr="006F0E15">
        <w:rPr>
          <w:rStyle w:val="affa"/>
          <w:rtl/>
        </w:rPr>
        <w:t xml:space="preserve">רבינו יונה </w:t>
      </w:r>
      <w:r w:rsidRPr="006F0E15">
        <w:rPr>
          <w:rStyle w:val="aff6"/>
          <w:rtl/>
        </w:rPr>
        <w:t>(סוד"ה א"ל רבא)</w:t>
      </w:r>
      <w:r w:rsidRPr="008A6D74">
        <w:rPr>
          <w:rtl/>
        </w:rPr>
        <w:t xml:space="preserve"> דאין להקשות דכיון דשכוני גוואי הוא מקום חירום, א"כ מ"ש הכא דס"ל לרבא דעל המערער להביא ראיה, ואילו בגמ' לקמן </w:t>
      </w:r>
      <w:r w:rsidRPr="006F0E15">
        <w:rPr>
          <w:rStyle w:val="aff6"/>
          <w:rtl/>
        </w:rPr>
        <w:t>(ל.)</w:t>
      </w:r>
      <w:r w:rsidRPr="008A6D74">
        <w:rPr>
          <w:rtl/>
        </w:rPr>
        <w:t xml:space="preserve"> כשטוען המערער שהיה טרוד בשוק, לא הצריך רבא את המערער להביא עדים שהיה בשאר הזמן במקום חירום, דאפש"ל שהיו לו עדים מהשיירות שבאו עמו למקום השוק, שבשאר השנה הוא היה במקום חירום, או דאיירי שהמחזיק הודה לו בזה, וכתב</w:t>
      </w:r>
      <w:r w:rsidRPr="006F0E15">
        <w:rPr>
          <w:rStyle w:val="affa"/>
          <w:rtl/>
        </w:rPr>
        <w:t xml:space="preserve"> רבינו יונה</w:t>
      </w:r>
      <w:r w:rsidRPr="008A6D74">
        <w:rPr>
          <w:rtl/>
        </w:rPr>
        <w:t xml:space="preserve"> דהמחזיק אינו נאמן במיגו שהיה יכול לטעון שהיה עמו במדינה, כיון שהוא מילתא דעבידי לאיגלויי, שהוא דבר מפורסם לבני המקום שלא היה גר שם.</w:t>
      </w:r>
    </w:p>
  </w:footnote>
  <w:footnote w:id="44">
    <w:p w:rsidR="00265073" w:rsidRDefault="00265073" w:rsidP="0019070E">
      <w:pPr>
        <w:pStyle w:val="af"/>
        <w:rPr>
          <w:rtl/>
        </w:rPr>
      </w:pPr>
      <w:r>
        <w:rPr>
          <w:rStyle w:val="af1"/>
        </w:rPr>
        <w:footnoteRef/>
      </w:r>
      <w:r>
        <w:rPr>
          <w:rtl/>
        </w:rPr>
        <w:t xml:space="preserve"> </w:t>
      </w:r>
      <w:r w:rsidRPr="00C231B6">
        <w:rPr>
          <w:rtl/>
        </w:rPr>
        <w:t xml:space="preserve">והוסיף </w:t>
      </w:r>
      <w:r w:rsidRPr="00C231B6">
        <w:rPr>
          <w:rStyle w:val="affa"/>
          <w:rtl/>
        </w:rPr>
        <w:t>רבינו יונה</w:t>
      </w:r>
      <w:r w:rsidRPr="00C231B6">
        <w:rPr>
          <w:rtl/>
        </w:rPr>
        <w:t xml:space="preserve"> דאם היו עדים שהיו יודעים ששדה זו אינה דבי סיסין, א"כ יכול לומר המוכר שסמך על ידיעת העדים, ולכן לא פירש שאינה בכלל המכר, כיון שהוא מכר רק את מה שקנה מבר סיסין,</w:t>
      </w:r>
      <w:r>
        <w:rPr>
          <w:rtl/>
        </w:rPr>
        <w:t xml:space="preserve"> אבל כיון שאין עדים היה לו לפרש</w:t>
      </w:r>
      <w:r w:rsidRPr="00C231B6">
        <w:rPr>
          <w:rtl/>
        </w:rPr>
        <w:t>.</w:t>
      </w:r>
    </w:p>
  </w:footnote>
  <w:footnote w:id="45">
    <w:p w:rsidR="00265073" w:rsidRDefault="00265073" w:rsidP="0019070E">
      <w:pPr>
        <w:pStyle w:val="af"/>
      </w:pPr>
      <w:r>
        <w:rPr>
          <w:rStyle w:val="af1"/>
        </w:rPr>
        <w:footnoteRef/>
      </w:r>
      <w:r>
        <w:rPr>
          <w:rtl/>
        </w:rPr>
        <w:t xml:space="preserve"> </w:t>
      </w:r>
      <w:r w:rsidRPr="002C4B18">
        <w:rPr>
          <w:rtl/>
        </w:rPr>
        <w:t xml:space="preserve">וביאר </w:t>
      </w:r>
      <w:r w:rsidRPr="002C4B18">
        <w:rPr>
          <w:rStyle w:val="affa"/>
          <w:rtl/>
        </w:rPr>
        <w:t>הריטב"א</w:t>
      </w:r>
      <w:r w:rsidRPr="002C4B18">
        <w:rPr>
          <w:rtl/>
        </w:rPr>
        <w:t xml:space="preserve"> </w:t>
      </w:r>
      <w:r w:rsidRPr="002C4B18">
        <w:rPr>
          <w:rStyle w:val="aff6"/>
          <w:rtl/>
        </w:rPr>
        <w:t>(</w:t>
      </w:r>
      <w:r w:rsidRPr="002C4B18">
        <w:rPr>
          <w:rStyle w:val="aff6"/>
          <w:rFonts w:hint="cs"/>
          <w:rtl/>
        </w:rPr>
        <w:t>ל.</w:t>
      </w:r>
      <w:r w:rsidRPr="002C4B18">
        <w:rPr>
          <w:rStyle w:val="aff6"/>
          <w:rtl/>
        </w:rPr>
        <w:t xml:space="preserve">ד"ה הכא) </w:t>
      </w:r>
      <w:r w:rsidRPr="002C4B18">
        <w:rPr>
          <w:rtl/>
        </w:rPr>
        <w:t xml:space="preserve">דהוקשה </w:t>
      </w:r>
      <w:r w:rsidRPr="002C4B18">
        <w:rPr>
          <w:rStyle w:val="affa"/>
          <w:rtl/>
        </w:rPr>
        <w:t>לרבינו יונה</w:t>
      </w:r>
      <w:r w:rsidRPr="002C4B18">
        <w:rPr>
          <w:rtl/>
        </w:rPr>
        <w:t xml:space="preserve"> </w:t>
      </w:r>
      <w:r w:rsidRPr="002C4B18">
        <w:rPr>
          <w:rStyle w:val="aff6"/>
          <w:rtl/>
        </w:rPr>
        <w:t xml:space="preserve">(עי' אות </w:t>
      </w:r>
      <w:r w:rsidRPr="002C4B18">
        <w:rPr>
          <w:rStyle w:val="aff6"/>
          <w:cs/>
        </w:rPr>
        <w:t>‎</w:t>
      </w:r>
      <w:r w:rsidRPr="002C4B18">
        <w:rPr>
          <w:rStyle w:val="aff6"/>
          <w:rtl/>
        </w:rPr>
        <w:fldChar w:fldCharType="begin"/>
      </w:r>
      <w:r w:rsidRPr="002C4B18">
        <w:rPr>
          <w:rStyle w:val="aff6"/>
          <w:rtl/>
        </w:rPr>
        <w:instrText xml:space="preserve"> </w:instrText>
      </w:r>
      <w:r w:rsidRPr="002C4B18">
        <w:rPr>
          <w:rStyle w:val="aff6"/>
        </w:rPr>
        <w:instrText>REF</w:instrText>
      </w:r>
      <w:r w:rsidRPr="002C4B18">
        <w:rPr>
          <w:rStyle w:val="aff6"/>
          <w:rtl/>
        </w:rPr>
        <w:instrText xml:space="preserve"> _</w:instrText>
      </w:r>
      <w:r w:rsidRPr="002C4B18">
        <w:rPr>
          <w:rStyle w:val="aff6"/>
        </w:rPr>
        <w:instrText>Ref57627825 \r \h</w:instrText>
      </w:r>
      <w:r w:rsidRPr="002C4B18">
        <w:rPr>
          <w:rStyle w:val="aff6"/>
          <w:rtl/>
        </w:rPr>
        <w:instrText xml:space="preserve"> </w:instrText>
      </w:r>
      <w:r w:rsidRPr="002C4B18">
        <w:rPr>
          <w:rStyle w:val="aff6"/>
          <w:rtl/>
        </w:rPr>
      </w:r>
      <w:r w:rsidRPr="002C4B18">
        <w:rPr>
          <w:rStyle w:val="aff6"/>
          <w:rtl/>
        </w:rPr>
        <w:fldChar w:fldCharType="separate"/>
      </w:r>
      <w:r>
        <w:rPr>
          <w:rStyle w:val="aff6"/>
          <w:cs/>
        </w:rPr>
        <w:t>‎</w:t>
      </w:r>
      <w:r>
        <w:rPr>
          <w:rStyle w:val="aff6"/>
          <w:rtl/>
        </w:rPr>
        <w:t>עט)</w:t>
      </w:r>
      <w:r w:rsidRPr="002C4B18">
        <w:rPr>
          <w:rStyle w:val="aff6"/>
          <w:rtl/>
        </w:rPr>
        <w:fldChar w:fldCharType="end"/>
      </w:r>
      <w:r>
        <w:rPr>
          <w:rFonts w:hint="cs"/>
          <w:rtl/>
        </w:rPr>
        <w:t xml:space="preserve"> </w:t>
      </w:r>
      <w:r w:rsidRPr="002C4B18">
        <w:rPr>
          <w:rtl/>
        </w:rPr>
        <w:t xml:space="preserve">דהא שטר שאינו מקויים גרוע יותר מחזקה, כיון שהוא חספא בעלמא, ולכן תירץ </w:t>
      </w:r>
      <w:r w:rsidRPr="002C4B18">
        <w:rPr>
          <w:rStyle w:val="affa"/>
          <w:rtl/>
        </w:rPr>
        <w:t>רבינו יונה</w:t>
      </w:r>
      <w:r w:rsidRPr="002C4B18">
        <w:rPr>
          <w:rtl/>
        </w:rPr>
        <w:t xml:space="preserve"> דמדאו' אין השטר צריך קיום, וחששו רבנן לזיוף אף דאינו שכיח, וא"כ היאך לא יחושו רבנן לטענת המערער בחזקה, דיתכן שלא היה בעיר בזמן החזקה.</w:t>
      </w:r>
    </w:p>
  </w:footnote>
  <w:footnote w:id="46">
    <w:p w:rsidR="00265073" w:rsidRDefault="00265073" w:rsidP="0019070E">
      <w:pPr>
        <w:pStyle w:val="af"/>
      </w:pPr>
      <w:r>
        <w:rPr>
          <w:rStyle w:val="af1"/>
        </w:rPr>
        <w:footnoteRef/>
      </w:r>
      <w:r>
        <w:rPr>
          <w:rtl/>
        </w:rPr>
        <w:t xml:space="preserve"> </w:t>
      </w:r>
      <w:r>
        <w:rPr>
          <w:rFonts w:hint="cs"/>
          <w:rtl/>
        </w:rPr>
        <w:t xml:space="preserve">ולכאו' דברי </w:t>
      </w:r>
      <w:r w:rsidRPr="004056B9">
        <w:rPr>
          <w:rStyle w:val="affa"/>
          <w:rFonts w:hint="cs"/>
          <w:rtl/>
        </w:rPr>
        <w:t>הרשב"א</w:t>
      </w:r>
      <w:r>
        <w:rPr>
          <w:rFonts w:hint="cs"/>
          <w:rtl/>
        </w:rPr>
        <w:t xml:space="preserve"> הללו הם לשיטתו דביאר </w:t>
      </w:r>
      <w:r w:rsidRPr="004056B9">
        <w:rPr>
          <w:rStyle w:val="affa"/>
          <w:rFonts w:hint="cs"/>
          <w:rtl/>
        </w:rPr>
        <w:t>הרשב"א</w:t>
      </w:r>
      <w:r>
        <w:rPr>
          <w:rFonts w:hint="cs"/>
          <w:rtl/>
        </w:rPr>
        <w:t xml:space="preserve"> לעיל </w:t>
      </w:r>
      <w:r w:rsidRPr="00724C7B">
        <w:rPr>
          <w:rStyle w:val="aff6"/>
          <w:rFonts w:hint="cs"/>
          <w:rtl/>
        </w:rPr>
        <w:t xml:space="preserve">(כט.ד"ה אלא, הובא בסימן ה' אות מ"ד) </w:t>
      </w:r>
      <w:r>
        <w:rPr>
          <w:rFonts w:hint="cs"/>
          <w:rtl/>
        </w:rPr>
        <w:t xml:space="preserve">דכל שלא מחה המערער בתוך ג"ש נראה כמערים, ולכן כתב </w:t>
      </w:r>
      <w:r w:rsidRPr="004056B9">
        <w:rPr>
          <w:rStyle w:val="affa"/>
          <w:rFonts w:hint="cs"/>
          <w:rtl/>
        </w:rPr>
        <w:t>הרשב"א</w:t>
      </w:r>
      <w:r>
        <w:rPr>
          <w:rFonts w:hint="cs"/>
          <w:rtl/>
        </w:rPr>
        <w:t xml:space="preserve"> דהכא המחזיק נראה כמערים, ואילו המערער אינו נראה כמערים כיון שלא היה במדינה, ויל"ע אי לדעת </w:t>
      </w:r>
      <w:r w:rsidRPr="004056B9">
        <w:rPr>
          <w:rStyle w:val="affa"/>
          <w:rFonts w:hint="cs"/>
          <w:rtl/>
        </w:rPr>
        <w:t>רבינו יונה</w:t>
      </w:r>
      <w:r>
        <w:rPr>
          <w:rFonts w:hint="cs"/>
          <w:rtl/>
        </w:rPr>
        <w:t xml:space="preserve"> צריך לומר כסברא זו.</w:t>
      </w:r>
    </w:p>
  </w:footnote>
  <w:footnote w:id="47">
    <w:p w:rsidR="00265073" w:rsidRDefault="00265073" w:rsidP="005414DA">
      <w:pPr>
        <w:pStyle w:val="af"/>
        <w:rPr>
          <w:rtl/>
        </w:rPr>
      </w:pPr>
      <w:r>
        <w:rPr>
          <w:rStyle w:val="af1"/>
        </w:rPr>
        <w:footnoteRef/>
      </w:r>
      <w:r>
        <w:rPr>
          <w:rtl/>
        </w:rPr>
        <w:t xml:space="preserve"> </w:t>
      </w:r>
      <w:r>
        <w:rPr>
          <w:rFonts w:hint="cs"/>
          <w:rtl/>
        </w:rPr>
        <w:t>חי' הר"ן מהדו' פרדס נפוצים מאוד, הודפסו בכרכים גבוהים ודקים בכריכה כחולה.</w:t>
      </w:r>
    </w:p>
  </w:footnote>
  <w:footnote w:id="48">
    <w:p w:rsidR="00265073" w:rsidRPr="009043F0" w:rsidRDefault="00265073" w:rsidP="0007171D">
      <w:pPr>
        <w:pStyle w:val="af"/>
        <w:rPr>
          <w:rtl/>
        </w:rPr>
      </w:pPr>
      <w:r>
        <w:rPr>
          <w:rStyle w:val="af1"/>
        </w:rPr>
        <w:footnoteRef/>
      </w:r>
      <w:r>
        <w:rPr>
          <w:rtl/>
        </w:rPr>
        <w:t xml:space="preserve"> </w:t>
      </w:r>
      <w:r w:rsidRPr="009043F0">
        <w:rPr>
          <w:rFonts w:hint="cs"/>
          <w:rtl/>
        </w:rPr>
        <w:t xml:space="preserve">עי' בדברי </w:t>
      </w:r>
      <w:r w:rsidRPr="009043F0">
        <w:rPr>
          <w:rStyle w:val="affa"/>
          <w:rFonts w:hint="cs"/>
          <w:rtl/>
        </w:rPr>
        <w:t>הרשב"א</w:t>
      </w:r>
      <w:r w:rsidRPr="009043F0">
        <w:rPr>
          <w:rFonts w:hint="cs"/>
          <w:rtl/>
        </w:rPr>
        <w:t xml:space="preserve"> </w:t>
      </w:r>
      <w:r w:rsidRPr="00424BA2">
        <w:rPr>
          <w:rStyle w:val="aff6"/>
          <w:rFonts w:hint="cs"/>
          <w:rtl/>
        </w:rPr>
        <w:t>(סוד"ה והרב בעל העיטור)</w:t>
      </w:r>
      <w:r w:rsidRPr="009043F0">
        <w:rPr>
          <w:rFonts w:hint="cs"/>
          <w:rtl/>
        </w:rPr>
        <w:t xml:space="preserve"> דהביא ראיה לדעת </w:t>
      </w:r>
      <w:r w:rsidRPr="009043F0">
        <w:rPr>
          <w:rStyle w:val="affa"/>
          <w:rFonts w:hint="cs"/>
          <w:rtl/>
        </w:rPr>
        <w:t>הרמב"ן</w:t>
      </w:r>
      <w:r w:rsidRPr="009043F0">
        <w:rPr>
          <w:rFonts w:hint="cs"/>
          <w:rtl/>
        </w:rPr>
        <w:t xml:space="preserve"> </w:t>
      </w:r>
      <w:r w:rsidRPr="00424BA2">
        <w:rPr>
          <w:rStyle w:val="aff6"/>
          <w:rFonts w:hint="cs"/>
          <w:rtl/>
        </w:rPr>
        <w:t>(ד"ה והוי, הובא בסימן ט' אות ל"ו)</w:t>
      </w:r>
      <w:r w:rsidRPr="009043F0">
        <w:rPr>
          <w:rFonts w:hint="cs"/>
          <w:rtl/>
        </w:rPr>
        <w:t xml:space="preserve"> דכשיש למחזיק עדים דהמוכר דר בה חד יומא, טענינן ליה, אעפ"י שאין לו חזקת ג"ש, מהא דאיתא בגמ' בכתובות </w:t>
      </w:r>
      <w:r w:rsidRPr="00424BA2">
        <w:rPr>
          <w:rStyle w:val="aff6"/>
          <w:rFonts w:hint="cs"/>
          <w:rtl/>
        </w:rPr>
        <w:t>(קט:)</w:t>
      </w:r>
      <w:r w:rsidRPr="009043F0">
        <w:rPr>
          <w:rFonts w:hint="cs"/>
          <w:rtl/>
        </w:rPr>
        <w:t xml:space="preserve"> דהמערער על קרקע של יתומים, דדר בה אביהם חד יומא, ויש שטר ביד אחר דאביהם עשה את הקרקע הזו סימן למיצרים של קרקע אחרת, וכתב דהקרקע הזו היא של המערער, דאין המערער יכול להוציא מהם כיון שלאב היה מיגו, והיתומים לא הודו שהייתה של המערער, וכתב </w:t>
      </w:r>
      <w:r w:rsidRPr="009043F0">
        <w:rPr>
          <w:rStyle w:val="affa"/>
          <w:rFonts w:hint="cs"/>
          <w:rtl/>
        </w:rPr>
        <w:t>הרשב"א</w:t>
      </w:r>
      <w:r w:rsidRPr="009043F0">
        <w:rPr>
          <w:rFonts w:hint="cs"/>
          <w:rtl/>
        </w:rPr>
        <w:t xml:space="preserve"> דמוכח מהגמ' בכתובות, דלא </w:t>
      </w:r>
      <w:r w:rsidRPr="009043F0">
        <w:rPr>
          <w:rStyle w:val="affa"/>
          <w:rFonts w:hint="cs"/>
          <w:rtl/>
        </w:rPr>
        <w:t>כרשב"ם</w:t>
      </w:r>
      <w:r w:rsidRPr="009043F0">
        <w:rPr>
          <w:rFonts w:hint="cs"/>
          <w:rtl/>
        </w:rPr>
        <w:t xml:space="preserve"> </w:t>
      </w:r>
      <w:r w:rsidRPr="00424BA2">
        <w:rPr>
          <w:rStyle w:val="aff6"/>
          <w:rFonts w:hint="cs"/>
          <w:rtl/>
        </w:rPr>
        <w:t>(סוד"ה אמר ליה, הובא בסימן ט' אות כ"ח)</w:t>
      </w:r>
      <w:r w:rsidRPr="009043F0">
        <w:rPr>
          <w:rFonts w:hint="cs"/>
          <w:rtl/>
        </w:rPr>
        <w:t xml:space="preserve"> דס"ל דדוקא כשיש למחזיק חזקת ג"ש מהני עידי חד יומא, אלא דעידי חד יומא מהני אעפ"י שאין למחזיק חזקת ג"ש.</w:t>
      </w:r>
    </w:p>
    <w:p w:rsidR="00265073" w:rsidRPr="009043F0" w:rsidRDefault="00265073" w:rsidP="0007171D">
      <w:pPr>
        <w:pStyle w:val="af"/>
        <w:rPr>
          <w:rtl/>
        </w:rPr>
      </w:pPr>
      <w:r w:rsidRPr="009043F0">
        <w:rPr>
          <w:rFonts w:hint="cs"/>
          <w:rtl/>
        </w:rPr>
        <w:t xml:space="preserve">ומשמע מדברי </w:t>
      </w:r>
      <w:r w:rsidRPr="009043F0">
        <w:rPr>
          <w:rStyle w:val="affa"/>
          <w:rFonts w:hint="cs"/>
          <w:rtl/>
        </w:rPr>
        <w:t>הרשב"א</w:t>
      </w:r>
      <w:r w:rsidRPr="009043F0">
        <w:rPr>
          <w:rFonts w:hint="cs"/>
          <w:rtl/>
        </w:rPr>
        <w:t xml:space="preserve"> דביאר בדעת </w:t>
      </w:r>
      <w:r w:rsidRPr="009043F0">
        <w:rPr>
          <w:rStyle w:val="affa"/>
          <w:rFonts w:hint="cs"/>
          <w:rtl/>
        </w:rPr>
        <w:t>הרשב"ם</w:t>
      </w:r>
      <w:r w:rsidRPr="009043F0">
        <w:rPr>
          <w:rFonts w:hint="cs"/>
          <w:rtl/>
        </w:rPr>
        <w:t xml:space="preserve"> </w:t>
      </w:r>
      <w:r w:rsidRPr="00424BA2">
        <w:rPr>
          <w:rStyle w:val="aff6"/>
          <w:rFonts w:hint="cs"/>
          <w:rtl/>
        </w:rPr>
        <w:t xml:space="preserve">(עי' אות </w:t>
      </w:r>
      <w:r w:rsidRPr="00424BA2">
        <w:rPr>
          <w:rStyle w:val="aff6"/>
          <w:rtl/>
        </w:rPr>
        <w:fldChar w:fldCharType="begin"/>
      </w:r>
      <w:r w:rsidRPr="00424BA2">
        <w:rPr>
          <w:rStyle w:val="aff6"/>
          <w:rtl/>
        </w:rPr>
        <w:instrText xml:space="preserve"> </w:instrText>
      </w:r>
      <w:r w:rsidRPr="00424BA2">
        <w:rPr>
          <w:rStyle w:val="aff6"/>
          <w:rFonts w:hint="cs"/>
        </w:rPr>
        <w:instrText>REF</w:instrText>
      </w:r>
      <w:r w:rsidRPr="00424BA2">
        <w:rPr>
          <w:rStyle w:val="aff6"/>
          <w:rFonts w:hint="cs"/>
          <w:rtl/>
        </w:rPr>
        <w:instrText xml:space="preserve"> _</w:instrText>
      </w:r>
      <w:r w:rsidRPr="00424BA2">
        <w:rPr>
          <w:rStyle w:val="aff6"/>
          <w:rFonts w:hint="cs"/>
        </w:rPr>
        <w:instrText>Ref57824398 \r \h</w:instrText>
      </w:r>
      <w:r w:rsidRPr="00424BA2">
        <w:rPr>
          <w:rStyle w:val="aff6"/>
          <w:rtl/>
        </w:rPr>
        <w:instrText xml:space="preserve"> </w:instrText>
      </w:r>
      <w:r w:rsidRPr="00424BA2">
        <w:rPr>
          <w:rStyle w:val="aff6"/>
          <w:rtl/>
        </w:rPr>
      </w:r>
      <w:r w:rsidRPr="00424BA2">
        <w:rPr>
          <w:rStyle w:val="aff6"/>
          <w:rtl/>
        </w:rPr>
        <w:fldChar w:fldCharType="separate"/>
      </w:r>
      <w:r>
        <w:rPr>
          <w:rStyle w:val="aff6"/>
          <w:cs/>
        </w:rPr>
        <w:t>‎</w:t>
      </w:r>
      <w:r>
        <w:rPr>
          <w:rStyle w:val="aff6"/>
          <w:rtl/>
        </w:rPr>
        <w:t>א)</w:t>
      </w:r>
      <w:r w:rsidRPr="00424BA2">
        <w:rPr>
          <w:rStyle w:val="aff6"/>
          <w:rtl/>
        </w:rPr>
        <w:fldChar w:fldCharType="end"/>
      </w:r>
      <w:r w:rsidRPr="009043F0">
        <w:rPr>
          <w:rFonts w:hint="cs"/>
          <w:rtl/>
        </w:rPr>
        <w:t xml:space="preserve"> דהמחזיק לא הודה בפירוש, שיודע שהקרקע הייתה של המערער, אלא הוא שמע כן מפי המוכר, דהא בביאור הגמ' בכתובות כתב </w:t>
      </w:r>
      <w:r w:rsidRPr="009043F0">
        <w:rPr>
          <w:rStyle w:val="affa"/>
          <w:rFonts w:hint="cs"/>
          <w:rtl/>
        </w:rPr>
        <w:t>הרשב"א</w:t>
      </w:r>
      <w:r w:rsidRPr="009043F0">
        <w:rPr>
          <w:rFonts w:hint="cs"/>
          <w:rtl/>
        </w:rPr>
        <w:t xml:space="preserve"> להדיא דהיתומים לא הודו למערער, אלא יש רק ראיה מחמת דאביהם עשה סימן, ואי לדעת </w:t>
      </w:r>
      <w:r w:rsidRPr="009043F0">
        <w:rPr>
          <w:rStyle w:val="affa"/>
          <w:rFonts w:hint="cs"/>
          <w:rtl/>
        </w:rPr>
        <w:t>הרשב"ם</w:t>
      </w:r>
      <w:r w:rsidRPr="009043F0">
        <w:rPr>
          <w:rFonts w:hint="cs"/>
          <w:rtl/>
        </w:rPr>
        <w:t xml:space="preserve"> איירי שהודה בפירוש א"כ א"א להקשות מהגמ' בכתובות על דברי </w:t>
      </w:r>
      <w:r w:rsidRPr="009043F0">
        <w:rPr>
          <w:rStyle w:val="affa"/>
          <w:rFonts w:hint="cs"/>
          <w:rtl/>
        </w:rPr>
        <w:t>הרשב"ם</w:t>
      </w:r>
      <w:r w:rsidRPr="009043F0">
        <w:rPr>
          <w:rFonts w:hint="cs"/>
          <w:rtl/>
        </w:rPr>
        <w:t xml:space="preserve">, דאפש"ל דס"ל </w:t>
      </w:r>
      <w:r w:rsidRPr="009043F0">
        <w:rPr>
          <w:rStyle w:val="affa"/>
          <w:rFonts w:hint="cs"/>
          <w:rtl/>
        </w:rPr>
        <w:t>להרשב"ם</w:t>
      </w:r>
      <w:r w:rsidRPr="009043F0">
        <w:rPr>
          <w:rFonts w:hint="cs"/>
          <w:rtl/>
        </w:rPr>
        <w:t xml:space="preserve"> דבהודה בפירוש צריך חזקה</w:t>
      </w:r>
      <w:r>
        <w:rPr>
          <w:rFonts w:hint="cs"/>
          <w:rtl/>
        </w:rPr>
        <w:t xml:space="preserve">, דהרי ביאר </w:t>
      </w:r>
      <w:r w:rsidRPr="00CA799C">
        <w:rPr>
          <w:rStyle w:val="affa"/>
          <w:rFonts w:hint="cs"/>
          <w:rtl/>
        </w:rPr>
        <w:t>הרשב"א</w:t>
      </w:r>
      <w:r>
        <w:rPr>
          <w:rFonts w:hint="cs"/>
          <w:rtl/>
        </w:rPr>
        <w:t xml:space="preserve"> </w:t>
      </w:r>
      <w:r>
        <w:rPr>
          <w:rStyle w:val="af7"/>
          <w:rFonts w:eastAsia="Guttman Hodes" w:hint="cs"/>
          <w:rtl/>
        </w:rPr>
        <w:t xml:space="preserve">(ד"ה ומיהו, הובא בסימן ט' אות ל"א) </w:t>
      </w:r>
      <w:r w:rsidRPr="00CA799C">
        <w:rPr>
          <w:rStyle w:val="affa"/>
          <w:rFonts w:hint="cs"/>
          <w:rtl/>
        </w:rPr>
        <w:t>ברשב"ם</w:t>
      </w:r>
      <w:r>
        <w:rPr>
          <w:rStyle w:val="af7"/>
          <w:rFonts w:eastAsia="Guttman Hodes" w:hint="cs"/>
          <w:rtl/>
        </w:rPr>
        <w:t xml:space="preserve"> </w:t>
      </w:r>
      <w:r>
        <w:rPr>
          <w:rFonts w:hint="cs"/>
          <w:rtl/>
        </w:rPr>
        <w:t>דבלא חזקה אינו נאמן רק כיון שהודה</w:t>
      </w:r>
      <w:r w:rsidRPr="009043F0">
        <w:rPr>
          <w:rFonts w:hint="cs"/>
          <w:rtl/>
        </w:rPr>
        <w:t xml:space="preserve">. </w:t>
      </w:r>
    </w:p>
    <w:p w:rsidR="00265073" w:rsidRDefault="00265073" w:rsidP="0007171D">
      <w:pPr>
        <w:pStyle w:val="af"/>
      </w:pPr>
    </w:p>
  </w:footnote>
  <w:footnote w:id="49">
    <w:p w:rsidR="00265073" w:rsidRDefault="00265073" w:rsidP="0007171D">
      <w:pPr>
        <w:pStyle w:val="af"/>
        <w:rPr>
          <w:rtl/>
        </w:rPr>
      </w:pPr>
      <w:r>
        <w:rPr>
          <w:rStyle w:val="af1"/>
        </w:rPr>
        <w:footnoteRef/>
      </w:r>
      <w:r>
        <w:rPr>
          <w:rtl/>
        </w:rPr>
        <w:t xml:space="preserve"> </w:t>
      </w:r>
      <w:r>
        <w:rPr>
          <w:rFonts w:hint="cs"/>
          <w:rtl/>
        </w:rPr>
        <w:t xml:space="preserve">בהמשך דבריו כתב </w:t>
      </w:r>
      <w:r w:rsidRPr="00BA0616">
        <w:rPr>
          <w:rStyle w:val="affa"/>
          <w:rFonts w:hint="cs"/>
          <w:rtl/>
        </w:rPr>
        <w:t>הרא"ש</w:t>
      </w:r>
      <w:r>
        <w:rPr>
          <w:rFonts w:hint="cs"/>
          <w:rtl/>
        </w:rPr>
        <w:t xml:space="preserve"> </w:t>
      </w:r>
      <w:r w:rsidRPr="000752DE">
        <w:rPr>
          <w:rStyle w:val="aff6"/>
          <w:rFonts w:hint="cs"/>
          <w:rtl/>
        </w:rPr>
        <w:t xml:space="preserve">(עי' אות </w:t>
      </w:r>
      <w:r w:rsidRPr="000752DE">
        <w:rPr>
          <w:rStyle w:val="aff6"/>
          <w:rtl/>
        </w:rPr>
        <w:fldChar w:fldCharType="begin"/>
      </w:r>
      <w:r w:rsidRPr="000752DE">
        <w:rPr>
          <w:rStyle w:val="aff6"/>
          <w:rtl/>
        </w:rPr>
        <w:instrText xml:space="preserve"> </w:instrText>
      </w:r>
      <w:r w:rsidRPr="000752DE">
        <w:rPr>
          <w:rStyle w:val="aff6"/>
          <w:rFonts w:hint="cs"/>
        </w:rPr>
        <w:instrText>REF</w:instrText>
      </w:r>
      <w:r w:rsidRPr="000752DE">
        <w:rPr>
          <w:rStyle w:val="aff6"/>
          <w:rFonts w:hint="cs"/>
          <w:rtl/>
        </w:rPr>
        <w:instrText xml:space="preserve"> _</w:instrText>
      </w:r>
      <w:r w:rsidRPr="000752DE">
        <w:rPr>
          <w:rStyle w:val="aff6"/>
          <w:rFonts w:hint="cs"/>
        </w:rPr>
        <w:instrText>Ref58750522 \r \h</w:instrText>
      </w:r>
      <w:r w:rsidRPr="000752DE">
        <w:rPr>
          <w:rStyle w:val="aff6"/>
          <w:rtl/>
        </w:rPr>
        <w:instrText xml:space="preserve"> </w:instrText>
      </w:r>
      <w:r w:rsidRPr="000752DE">
        <w:rPr>
          <w:rStyle w:val="aff6"/>
          <w:rtl/>
        </w:rPr>
      </w:r>
      <w:r w:rsidRPr="000752DE">
        <w:rPr>
          <w:rStyle w:val="aff6"/>
          <w:rtl/>
        </w:rPr>
        <w:fldChar w:fldCharType="separate"/>
      </w:r>
      <w:r>
        <w:rPr>
          <w:rStyle w:val="aff6"/>
          <w:cs/>
        </w:rPr>
        <w:t>‎</w:t>
      </w:r>
      <w:r>
        <w:rPr>
          <w:rStyle w:val="aff6"/>
          <w:rtl/>
        </w:rPr>
        <w:t>ט)</w:t>
      </w:r>
      <w:r w:rsidRPr="000752DE">
        <w:rPr>
          <w:rStyle w:val="aff6"/>
          <w:rtl/>
        </w:rPr>
        <w:fldChar w:fldCharType="end"/>
      </w:r>
      <w:r>
        <w:rPr>
          <w:rFonts w:hint="cs"/>
          <w:rtl/>
        </w:rPr>
        <w:t xml:space="preserve"> דכך פירש </w:t>
      </w:r>
      <w:r w:rsidRPr="00BA0616">
        <w:rPr>
          <w:rStyle w:val="affa"/>
          <w:rFonts w:hint="cs"/>
          <w:rtl/>
        </w:rPr>
        <w:t>הרשב"ם</w:t>
      </w:r>
      <w:r>
        <w:rPr>
          <w:rFonts w:hint="cs"/>
          <w:rtl/>
        </w:rPr>
        <w:t xml:space="preserve">, </w:t>
      </w:r>
      <w:r w:rsidRPr="00F06CC5">
        <w:rPr>
          <w:rtl/>
        </w:rPr>
        <w:t>וכתב</w:t>
      </w:r>
      <w:r>
        <w:rPr>
          <w:rFonts w:hint="cs"/>
          <w:rtl/>
        </w:rPr>
        <w:t>ו</w:t>
      </w:r>
      <w:r w:rsidRPr="00F06CC5">
        <w:rPr>
          <w:rtl/>
        </w:rPr>
        <w:t xml:space="preserve"> </w:t>
      </w:r>
      <w:r w:rsidRPr="00BA0616">
        <w:rPr>
          <w:rStyle w:val="affa"/>
          <w:rtl/>
        </w:rPr>
        <w:t>הש"ך</w:t>
      </w:r>
      <w:r w:rsidRPr="004B244C">
        <w:rPr>
          <w:rStyle w:val="aff6"/>
          <w:rFonts w:hint="cs"/>
          <w:rtl/>
        </w:rPr>
        <w:t xml:space="preserve"> </w:t>
      </w:r>
      <w:r>
        <w:rPr>
          <w:rStyle w:val="aff6"/>
          <w:rFonts w:hint="cs"/>
          <w:rtl/>
        </w:rPr>
        <w:t>(</w:t>
      </w:r>
      <w:r w:rsidRPr="00E25E81">
        <w:rPr>
          <w:rStyle w:val="aff6"/>
          <w:rFonts w:hint="cs"/>
          <w:rtl/>
        </w:rPr>
        <w:t>סי' קמ"ו סקי"</w:t>
      </w:r>
      <w:r>
        <w:rPr>
          <w:rStyle w:val="aff6"/>
          <w:rFonts w:hint="cs"/>
          <w:rtl/>
        </w:rPr>
        <w:t>ג</w:t>
      </w:r>
      <w:r w:rsidRPr="00E25E81">
        <w:rPr>
          <w:rStyle w:val="aff6"/>
          <w:rFonts w:hint="cs"/>
          <w:rtl/>
        </w:rPr>
        <w:t>)</w:t>
      </w:r>
      <w:r w:rsidRPr="00F06CC5">
        <w:rPr>
          <w:rtl/>
        </w:rPr>
        <w:t xml:space="preserve"> </w:t>
      </w:r>
      <w:r>
        <w:rPr>
          <w:rStyle w:val="affa"/>
          <w:rFonts w:hint="cs"/>
          <w:rtl/>
        </w:rPr>
        <w:t>והדרישה</w:t>
      </w:r>
      <w:r w:rsidRPr="00F06CC5">
        <w:rPr>
          <w:rtl/>
        </w:rPr>
        <w:t xml:space="preserve"> </w:t>
      </w:r>
      <w:r w:rsidRPr="00E25E81">
        <w:rPr>
          <w:rStyle w:val="aff6"/>
          <w:rFonts w:hint="cs"/>
          <w:rtl/>
        </w:rPr>
        <w:t>(</w:t>
      </w:r>
      <w:r>
        <w:rPr>
          <w:rStyle w:val="aff6"/>
          <w:rFonts w:hint="cs"/>
          <w:rtl/>
        </w:rPr>
        <w:t>סי' קמ"ו סקכ"ד ד"ה ובזה נתיישב)</w:t>
      </w:r>
      <w:r>
        <w:rPr>
          <w:rFonts w:hint="cs"/>
          <w:rtl/>
        </w:rPr>
        <w:t xml:space="preserve"> </w:t>
      </w:r>
      <w:r w:rsidRPr="00F06CC5">
        <w:rPr>
          <w:rtl/>
        </w:rPr>
        <w:t>ד</w:t>
      </w:r>
      <w:r>
        <w:rPr>
          <w:rFonts w:hint="cs"/>
          <w:rtl/>
        </w:rPr>
        <w:t xml:space="preserve">אף מ"ש </w:t>
      </w:r>
      <w:r w:rsidRPr="00C17A49">
        <w:rPr>
          <w:rStyle w:val="affa"/>
          <w:rFonts w:hint="cs"/>
          <w:rtl/>
        </w:rPr>
        <w:t>הרא"ש</w:t>
      </w:r>
      <w:r>
        <w:rPr>
          <w:rFonts w:hint="cs"/>
          <w:rtl/>
        </w:rPr>
        <w:t xml:space="preserve"> </w:t>
      </w:r>
      <w:r w:rsidRPr="000752DE">
        <w:rPr>
          <w:rStyle w:val="aff6"/>
          <w:rFonts w:hint="cs"/>
          <w:rtl/>
        </w:rPr>
        <w:t xml:space="preserve">(עי' אות </w:t>
      </w:r>
      <w:r w:rsidRPr="000752DE">
        <w:rPr>
          <w:rStyle w:val="aff6"/>
          <w:rtl/>
        </w:rPr>
        <w:fldChar w:fldCharType="begin"/>
      </w:r>
      <w:r w:rsidRPr="000752DE">
        <w:rPr>
          <w:rStyle w:val="aff6"/>
          <w:rtl/>
        </w:rPr>
        <w:instrText xml:space="preserve"> </w:instrText>
      </w:r>
      <w:r w:rsidRPr="000752DE">
        <w:rPr>
          <w:rStyle w:val="aff6"/>
          <w:rFonts w:hint="cs"/>
        </w:rPr>
        <w:instrText>REF</w:instrText>
      </w:r>
      <w:r w:rsidRPr="000752DE">
        <w:rPr>
          <w:rStyle w:val="aff6"/>
          <w:rFonts w:hint="cs"/>
          <w:rtl/>
        </w:rPr>
        <w:instrText xml:space="preserve"> _</w:instrText>
      </w:r>
      <w:r w:rsidRPr="000752DE">
        <w:rPr>
          <w:rStyle w:val="aff6"/>
          <w:rFonts w:hint="cs"/>
        </w:rPr>
        <w:instrText>Ref58750532 \r \h</w:instrText>
      </w:r>
      <w:r w:rsidRPr="000752DE">
        <w:rPr>
          <w:rStyle w:val="aff6"/>
          <w:rtl/>
        </w:rPr>
        <w:instrText xml:space="preserve"> </w:instrText>
      </w:r>
      <w:r w:rsidRPr="000752DE">
        <w:rPr>
          <w:rStyle w:val="aff6"/>
          <w:rtl/>
        </w:rPr>
      </w:r>
      <w:r w:rsidRPr="000752DE">
        <w:rPr>
          <w:rStyle w:val="aff6"/>
          <w:rtl/>
        </w:rPr>
        <w:fldChar w:fldCharType="separate"/>
      </w:r>
      <w:r>
        <w:rPr>
          <w:rStyle w:val="aff6"/>
          <w:cs/>
        </w:rPr>
        <w:t>‎</w:t>
      </w:r>
      <w:r>
        <w:rPr>
          <w:rStyle w:val="aff6"/>
          <w:rtl/>
        </w:rPr>
        <w:t>ח)</w:t>
      </w:r>
      <w:r w:rsidRPr="000752DE">
        <w:rPr>
          <w:rStyle w:val="aff6"/>
          <w:rtl/>
        </w:rPr>
        <w:fldChar w:fldCharType="end"/>
      </w:r>
      <w:r>
        <w:rPr>
          <w:rFonts w:hint="cs"/>
          <w:rtl/>
        </w:rPr>
        <w:t xml:space="preserve"> בתחילת דבריו </w:t>
      </w:r>
      <w:r w:rsidRPr="00F06CC5">
        <w:rPr>
          <w:rtl/>
        </w:rPr>
        <w:t>כוונת</w:t>
      </w:r>
      <w:r>
        <w:rPr>
          <w:rFonts w:hint="cs"/>
          <w:rtl/>
        </w:rPr>
        <w:t xml:space="preserve">ו </w:t>
      </w:r>
      <w:r>
        <w:rPr>
          <w:rtl/>
        </w:rPr>
        <w:t xml:space="preserve">לבאר כן בדעת </w:t>
      </w:r>
      <w:r w:rsidRPr="00BA0616">
        <w:rPr>
          <w:rStyle w:val="affa"/>
          <w:rtl/>
        </w:rPr>
        <w:t>הרשב"ם</w:t>
      </w:r>
      <w:r>
        <w:rPr>
          <w:rFonts w:hint="cs"/>
          <w:rtl/>
        </w:rPr>
        <w:t xml:space="preserve">, אך כתב </w:t>
      </w:r>
      <w:r w:rsidRPr="00BA0616">
        <w:rPr>
          <w:rStyle w:val="affa"/>
          <w:rtl/>
        </w:rPr>
        <w:t>הש"ך</w:t>
      </w:r>
      <w:r w:rsidRPr="00F06CC5">
        <w:rPr>
          <w:rtl/>
        </w:rPr>
        <w:t xml:space="preserve"> </w:t>
      </w:r>
      <w:r>
        <w:rPr>
          <w:rFonts w:hint="cs"/>
          <w:rtl/>
        </w:rPr>
        <w:t xml:space="preserve">דאפש"ל דמ"ש </w:t>
      </w:r>
      <w:r w:rsidRPr="00C17A49">
        <w:rPr>
          <w:rStyle w:val="affa"/>
          <w:rFonts w:hint="cs"/>
          <w:rtl/>
        </w:rPr>
        <w:t>הרא"ש</w:t>
      </w:r>
      <w:r>
        <w:rPr>
          <w:rFonts w:hint="cs"/>
          <w:rtl/>
        </w:rPr>
        <w:t xml:space="preserve"> דכך פירש </w:t>
      </w:r>
      <w:r w:rsidRPr="00BA0616">
        <w:rPr>
          <w:rStyle w:val="affa"/>
          <w:rFonts w:hint="cs"/>
          <w:rtl/>
        </w:rPr>
        <w:t>הרשב"ם</w:t>
      </w:r>
      <w:r>
        <w:rPr>
          <w:rFonts w:hint="cs"/>
          <w:rtl/>
        </w:rPr>
        <w:t>, אין כוונתו למ"ש בתחילת דבריו.</w:t>
      </w:r>
    </w:p>
  </w:footnote>
  <w:footnote w:id="50">
    <w:p w:rsidR="00265073" w:rsidRDefault="00265073" w:rsidP="0007171D">
      <w:pPr>
        <w:pStyle w:val="af"/>
        <w:rPr>
          <w:rtl/>
        </w:rPr>
      </w:pPr>
      <w:r>
        <w:rPr>
          <w:rStyle w:val="af1"/>
        </w:rPr>
        <w:footnoteRef/>
      </w:r>
      <w:r>
        <w:rPr>
          <w:rFonts w:hint="cs"/>
          <w:rtl/>
        </w:rPr>
        <w:t xml:space="preserve"> </w:t>
      </w:r>
      <w:bookmarkStart w:id="7734" w:name="_Ref57836037"/>
      <w:r>
        <w:rPr>
          <w:rFonts w:hint="cs"/>
          <w:rtl/>
        </w:rPr>
        <w:t xml:space="preserve">אך הקשה </w:t>
      </w:r>
      <w:r>
        <w:rPr>
          <w:rStyle w:val="affa"/>
          <w:rtl/>
        </w:rPr>
        <w:t>בחי' רבי נחום</w:t>
      </w:r>
      <w:r>
        <w:rPr>
          <w:rFonts w:hint="cs"/>
          <w:rtl/>
        </w:rPr>
        <w:t xml:space="preserve"> </w:t>
      </w:r>
      <w:r>
        <w:rPr>
          <w:rStyle w:val="aff6"/>
          <w:rtl/>
        </w:rPr>
        <w:t>(או' נ"ט ד"ה עוד יל"ע)</w:t>
      </w:r>
      <w:r>
        <w:rPr>
          <w:rFonts w:hint="cs"/>
          <w:rtl/>
        </w:rPr>
        <w:t xml:space="preserve"> דמדברי </w:t>
      </w:r>
      <w:r>
        <w:rPr>
          <w:rStyle w:val="affa"/>
          <w:rtl/>
        </w:rPr>
        <w:t>הרשב"ם</w:t>
      </w:r>
      <w:r>
        <w:rPr>
          <w:rFonts w:hint="cs"/>
          <w:rtl/>
        </w:rPr>
        <w:t xml:space="preserve"> </w:t>
      </w:r>
      <w:r>
        <w:rPr>
          <w:rStyle w:val="aff6"/>
          <w:rtl/>
        </w:rPr>
        <w:t xml:space="preserve">(עי' אות </w:t>
      </w:r>
      <w:r>
        <w:rPr>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Ref57836017 \r \h</w:instrText>
      </w:r>
      <w:r>
        <w:rPr>
          <w:rStyle w:val="aff6"/>
          <w:rtl/>
        </w:rPr>
        <w:instrText xml:space="preserve"> </w:instrText>
      </w:r>
      <w:r>
        <w:rPr>
          <w:rtl/>
        </w:rPr>
      </w:r>
      <w:r>
        <w:rPr>
          <w:rtl/>
        </w:rPr>
        <w:fldChar w:fldCharType="separate"/>
      </w:r>
      <w:r>
        <w:rPr>
          <w:rStyle w:val="aff6"/>
          <w:cs/>
        </w:rPr>
        <w:t>‎</w:t>
      </w:r>
      <w:r>
        <w:rPr>
          <w:rStyle w:val="aff6"/>
          <w:rtl/>
        </w:rPr>
        <w:t>ה)</w:t>
      </w:r>
      <w:r>
        <w:rPr>
          <w:rtl/>
        </w:rPr>
        <w:fldChar w:fldCharType="end"/>
      </w:r>
      <w:r>
        <w:rPr>
          <w:rFonts w:hint="cs"/>
          <w:rtl/>
        </w:rPr>
        <w:t xml:space="preserve"> מוכח דאף כשטוען המחזיק מינך זבינתה אינו נאמן במיגו דלהד"ם, כשאין לו חזקה, וא"כ אף המוכר אינו נאמן מדין הפה שאסר.</w:t>
      </w:r>
      <w:bookmarkEnd w:id="7734"/>
    </w:p>
  </w:footnote>
  <w:footnote w:id="51">
    <w:p w:rsidR="00265073" w:rsidRDefault="00265073" w:rsidP="0007171D">
      <w:pPr>
        <w:pStyle w:val="af"/>
      </w:pPr>
      <w:r>
        <w:rPr>
          <w:rStyle w:val="af1"/>
        </w:rPr>
        <w:footnoteRef/>
      </w:r>
      <w:r>
        <w:rPr>
          <w:rtl/>
        </w:rPr>
        <w:t xml:space="preserve"> </w:t>
      </w:r>
      <w:r w:rsidRPr="00CF4A24">
        <w:rPr>
          <w:rStyle w:val="afb"/>
          <w:rFonts w:hint="cs"/>
          <w:rtl/>
        </w:rPr>
        <w:t xml:space="preserve">על </w:t>
      </w:r>
      <w:r w:rsidRPr="006907B8">
        <w:rPr>
          <w:rStyle w:val="affa"/>
          <w:rFonts w:hint="cs"/>
          <w:rtl/>
        </w:rPr>
        <w:t>הסמ"ע</w:t>
      </w:r>
      <w:r w:rsidRPr="00CF4A24">
        <w:rPr>
          <w:rStyle w:val="afb"/>
          <w:rFonts w:hint="cs"/>
          <w:rtl/>
        </w:rPr>
        <w:t xml:space="preserve"> </w:t>
      </w:r>
      <w:r w:rsidRPr="00CF4A24">
        <w:rPr>
          <w:rStyle w:val="aff6"/>
          <w:rFonts w:hint="cs"/>
          <w:rtl/>
        </w:rPr>
        <w:t>(סי' קמ"ו סקכ"ט)</w:t>
      </w:r>
      <w:r w:rsidRPr="00CF4A24">
        <w:rPr>
          <w:rStyle w:val="afb"/>
          <w:rFonts w:hint="cs"/>
          <w:rtl/>
        </w:rPr>
        <w:t xml:space="preserve"> שפסק </w:t>
      </w:r>
      <w:r w:rsidRPr="00CF4A24">
        <w:rPr>
          <w:rStyle w:val="affa"/>
          <w:rFonts w:hint="cs"/>
          <w:rtl/>
        </w:rPr>
        <w:t>כהרא"ש</w:t>
      </w:r>
      <w:r w:rsidRPr="00CF4A24">
        <w:rPr>
          <w:rStyle w:val="afb"/>
          <w:cs/>
        </w:rPr>
        <w:t>‎</w:t>
      </w:r>
      <w:r w:rsidRPr="00CF4A24">
        <w:rPr>
          <w:rStyle w:val="afb"/>
          <w:rtl/>
        </w:rPr>
        <w:t xml:space="preserve"> דאף שהמחזיק לא הודה בפירוש, ורק אמר שכך אמר לו המוכר, </w:t>
      </w:r>
      <w:r>
        <w:rPr>
          <w:rStyle w:val="afb"/>
          <w:rFonts w:hint="cs"/>
          <w:rtl/>
        </w:rPr>
        <w:t xml:space="preserve">מ"מ </w:t>
      </w:r>
      <w:r w:rsidRPr="00CF4A24">
        <w:rPr>
          <w:rStyle w:val="afb"/>
          <w:rtl/>
        </w:rPr>
        <w:t>מוציאין ממנו</w:t>
      </w:r>
      <w:r w:rsidRPr="00CF4A24">
        <w:rPr>
          <w:rStyle w:val="afb"/>
          <w:rFonts w:hint="cs"/>
          <w:rtl/>
        </w:rPr>
        <w:t>.</w:t>
      </w:r>
    </w:p>
  </w:footnote>
  <w:footnote w:id="52">
    <w:p w:rsidR="00265073" w:rsidRDefault="00265073" w:rsidP="0007171D">
      <w:pPr>
        <w:pStyle w:val="af"/>
        <w:rPr>
          <w:rtl/>
        </w:rPr>
      </w:pPr>
      <w:r>
        <w:rPr>
          <w:rStyle w:val="af1"/>
        </w:rPr>
        <w:footnoteRef/>
      </w:r>
      <w:r>
        <w:rPr>
          <w:rtl/>
        </w:rPr>
        <w:t xml:space="preserve"> </w:t>
      </w:r>
      <w:r>
        <w:rPr>
          <w:rFonts w:hint="cs"/>
          <w:rtl/>
        </w:rPr>
        <w:t>חי' הר"ן מהדו' פרדס נפוצים מאוד, הודפסו בכרכים גבוהים ודקים בכריכה כחולה.</w:t>
      </w:r>
    </w:p>
  </w:footnote>
  <w:footnote w:id="53">
    <w:p w:rsidR="00265073" w:rsidRDefault="00265073" w:rsidP="0007171D">
      <w:pPr>
        <w:pStyle w:val="af"/>
      </w:pPr>
      <w:r>
        <w:rPr>
          <w:rStyle w:val="af1"/>
        </w:rPr>
        <w:footnoteRef/>
      </w:r>
      <w:r>
        <w:rPr>
          <w:rtl/>
        </w:rPr>
        <w:t xml:space="preserve"> </w:t>
      </w:r>
      <w:r>
        <w:rPr>
          <w:rFonts w:hint="cs"/>
          <w:rtl/>
        </w:rPr>
        <w:t xml:space="preserve">ועי' במ"ש </w:t>
      </w:r>
      <w:r w:rsidRPr="00FB7E3A">
        <w:rPr>
          <w:rStyle w:val="affa"/>
          <w:rFonts w:hint="cs"/>
          <w:rtl/>
        </w:rPr>
        <w:t>בחי' רבי נחום</w:t>
      </w:r>
      <w:r>
        <w:rPr>
          <w:rFonts w:hint="cs"/>
          <w:rtl/>
        </w:rPr>
        <w:t xml:space="preserve"> </w:t>
      </w:r>
      <w:r w:rsidRPr="00FB7E3A">
        <w:rPr>
          <w:rStyle w:val="aff6"/>
          <w:rFonts w:hint="cs"/>
          <w:rtl/>
        </w:rPr>
        <w:t>(או' ע"ג)</w:t>
      </w:r>
      <w:r>
        <w:rPr>
          <w:rFonts w:hint="cs"/>
          <w:rtl/>
        </w:rPr>
        <w:t xml:space="preserve"> דלהסוברים דהמחזיק לא הודה בפירוש, גרסינן כגירסא דלפנינו "דאמר לי דזבנה מינך", ולהסוברים דהודה המחזיק בפירוש, לא גרסינן "דאמר לי", </w:t>
      </w:r>
      <w:r w:rsidRPr="00FB7E3A">
        <w:rPr>
          <w:rStyle w:val="affa"/>
          <w:rFonts w:hint="cs"/>
          <w:rtl/>
        </w:rPr>
        <w:t>וכגי' הב"ח</w:t>
      </w:r>
      <w:r>
        <w:rPr>
          <w:rFonts w:hint="cs"/>
          <w:rtl/>
        </w:rPr>
        <w:t xml:space="preserve">, [אמנם </w:t>
      </w:r>
      <w:r w:rsidRPr="00FB7E3A">
        <w:rPr>
          <w:rStyle w:val="affa"/>
          <w:rFonts w:hint="cs"/>
          <w:rtl/>
        </w:rPr>
        <w:t>ברמב"ן</w:t>
      </w:r>
      <w:r>
        <w:rPr>
          <w:rFonts w:hint="cs"/>
          <w:rtl/>
        </w:rPr>
        <w:t xml:space="preserve"> לא משמע כן דאף דביאר</w:t>
      </w:r>
      <w:r>
        <w:rPr>
          <w:rStyle w:val="affa"/>
          <w:rFonts w:hint="cs"/>
          <w:rtl/>
        </w:rPr>
        <w:t xml:space="preserve"> </w:t>
      </w:r>
      <w:r w:rsidRPr="00343879">
        <w:rPr>
          <w:rStyle w:val="affa"/>
          <w:rFonts w:hint="cs"/>
          <w:rtl/>
        </w:rPr>
        <w:t>הרמב"ן</w:t>
      </w:r>
      <w:r>
        <w:rPr>
          <w:rFonts w:hint="cs"/>
          <w:rtl/>
        </w:rPr>
        <w:t xml:space="preserve"> </w:t>
      </w:r>
      <w:r w:rsidRPr="00343879">
        <w:rPr>
          <w:rStyle w:val="aff6"/>
          <w:rFonts w:hint="cs"/>
          <w:rtl/>
        </w:rPr>
        <w:t xml:space="preserve">(עי' אות </w:t>
      </w:r>
      <w:r w:rsidRPr="00343879">
        <w:rPr>
          <w:rStyle w:val="aff6"/>
          <w:rtl/>
        </w:rPr>
        <w:fldChar w:fldCharType="begin"/>
      </w:r>
      <w:r w:rsidRPr="00343879">
        <w:rPr>
          <w:rStyle w:val="aff6"/>
          <w:rtl/>
        </w:rPr>
        <w:instrText xml:space="preserve"> </w:instrText>
      </w:r>
      <w:r w:rsidRPr="00343879">
        <w:rPr>
          <w:rStyle w:val="aff6"/>
          <w:rFonts w:hint="cs"/>
        </w:rPr>
        <w:instrText>REF</w:instrText>
      </w:r>
      <w:r w:rsidRPr="00343879">
        <w:rPr>
          <w:rStyle w:val="aff6"/>
          <w:rFonts w:hint="cs"/>
          <w:rtl/>
        </w:rPr>
        <w:instrText xml:space="preserve"> _</w:instrText>
      </w:r>
      <w:r w:rsidRPr="00343879">
        <w:rPr>
          <w:rStyle w:val="aff6"/>
          <w:rFonts w:hint="cs"/>
        </w:rPr>
        <w:instrText>Ref58875214 \r \h</w:instrText>
      </w:r>
      <w:r w:rsidRPr="00343879">
        <w:rPr>
          <w:rStyle w:val="aff6"/>
          <w:rtl/>
        </w:rPr>
        <w:instrText xml:space="preserve"> </w:instrText>
      </w:r>
      <w:r w:rsidRPr="00343879">
        <w:rPr>
          <w:rStyle w:val="aff6"/>
          <w:rtl/>
        </w:rPr>
      </w:r>
      <w:r w:rsidRPr="00343879">
        <w:rPr>
          <w:rStyle w:val="aff6"/>
          <w:rtl/>
        </w:rPr>
        <w:fldChar w:fldCharType="separate"/>
      </w:r>
      <w:r>
        <w:rPr>
          <w:rStyle w:val="aff6"/>
          <w:cs/>
        </w:rPr>
        <w:t>‎</w:t>
      </w:r>
      <w:r>
        <w:rPr>
          <w:rStyle w:val="aff6"/>
          <w:rtl/>
        </w:rPr>
        <w:t>כח)</w:t>
      </w:r>
      <w:r w:rsidRPr="00343879">
        <w:rPr>
          <w:rStyle w:val="aff6"/>
          <w:rtl/>
        </w:rPr>
        <w:fldChar w:fldCharType="end"/>
      </w:r>
      <w:r>
        <w:rPr>
          <w:rFonts w:hint="cs"/>
          <w:rtl/>
        </w:rPr>
        <w:t xml:space="preserve"> בדעת </w:t>
      </w:r>
      <w:r w:rsidRPr="00343879">
        <w:rPr>
          <w:rStyle w:val="affa"/>
          <w:rFonts w:hint="cs"/>
          <w:rtl/>
        </w:rPr>
        <w:t>הרי"ף</w:t>
      </w:r>
      <w:r>
        <w:rPr>
          <w:rFonts w:hint="cs"/>
          <w:rtl/>
        </w:rPr>
        <w:t xml:space="preserve"> דהמחזיק הודה בפירוש, מ"מ הביא </w:t>
      </w:r>
      <w:r w:rsidRPr="00343879">
        <w:rPr>
          <w:rStyle w:val="affa"/>
          <w:rFonts w:hint="cs"/>
          <w:rtl/>
        </w:rPr>
        <w:t>הרמב"ן</w:t>
      </w:r>
      <w:r>
        <w:rPr>
          <w:rFonts w:hint="cs"/>
          <w:rtl/>
        </w:rPr>
        <w:t xml:space="preserve"> </w:t>
      </w:r>
      <w:r w:rsidRPr="00343879">
        <w:rPr>
          <w:rStyle w:val="aff6"/>
          <w:rFonts w:hint="cs"/>
          <w:rtl/>
        </w:rPr>
        <w:t xml:space="preserve">(עי' אות </w:t>
      </w:r>
      <w:r w:rsidRPr="00343879">
        <w:rPr>
          <w:rStyle w:val="aff6"/>
          <w:rtl/>
        </w:rPr>
        <w:fldChar w:fldCharType="begin"/>
      </w:r>
      <w:r w:rsidRPr="00343879">
        <w:rPr>
          <w:rStyle w:val="aff6"/>
          <w:rtl/>
        </w:rPr>
        <w:instrText xml:space="preserve"> </w:instrText>
      </w:r>
      <w:r w:rsidRPr="00343879">
        <w:rPr>
          <w:rStyle w:val="aff6"/>
          <w:rFonts w:hint="cs"/>
        </w:rPr>
        <w:instrText>REF</w:instrText>
      </w:r>
      <w:r w:rsidRPr="00343879">
        <w:rPr>
          <w:rStyle w:val="aff6"/>
          <w:rFonts w:hint="cs"/>
          <w:rtl/>
        </w:rPr>
        <w:instrText xml:space="preserve"> _</w:instrText>
      </w:r>
      <w:r w:rsidRPr="00343879">
        <w:rPr>
          <w:rStyle w:val="aff6"/>
          <w:rFonts w:hint="cs"/>
        </w:rPr>
        <w:instrText>Ref58875250 \r \h</w:instrText>
      </w:r>
      <w:r w:rsidRPr="00343879">
        <w:rPr>
          <w:rStyle w:val="aff6"/>
          <w:rtl/>
        </w:rPr>
        <w:instrText xml:space="preserve"> </w:instrText>
      </w:r>
      <w:r w:rsidRPr="00343879">
        <w:rPr>
          <w:rStyle w:val="aff6"/>
          <w:rtl/>
        </w:rPr>
      </w:r>
      <w:r w:rsidRPr="00343879">
        <w:rPr>
          <w:rStyle w:val="aff6"/>
          <w:rtl/>
        </w:rPr>
        <w:fldChar w:fldCharType="separate"/>
      </w:r>
      <w:r>
        <w:rPr>
          <w:rStyle w:val="aff6"/>
          <w:cs/>
        </w:rPr>
        <w:t>‎</w:t>
      </w:r>
      <w:r>
        <w:rPr>
          <w:rStyle w:val="aff6"/>
          <w:rtl/>
        </w:rPr>
        <w:t>כא)</w:t>
      </w:r>
      <w:r w:rsidRPr="00343879">
        <w:rPr>
          <w:rStyle w:val="aff6"/>
          <w:rtl/>
        </w:rPr>
        <w:fldChar w:fldCharType="end"/>
      </w:r>
      <w:r>
        <w:rPr>
          <w:rFonts w:hint="cs"/>
          <w:rtl/>
        </w:rPr>
        <w:t xml:space="preserve"> </w:t>
      </w:r>
      <w:r w:rsidRPr="00FB7E3A">
        <w:rPr>
          <w:rStyle w:val="affa"/>
          <w:rFonts w:hint="cs"/>
          <w:rtl/>
        </w:rPr>
        <w:t>דהרי"ף</w:t>
      </w:r>
      <w:r>
        <w:rPr>
          <w:rFonts w:hint="cs"/>
          <w:rtl/>
        </w:rPr>
        <w:t xml:space="preserve"> גרס "דאמר לי דזבנה מינך"].</w:t>
      </w:r>
    </w:p>
  </w:footnote>
  <w:footnote w:id="54">
    <w:p w:rsidR="00265073" w:rsidRDefault="00265073" w:rsidP="0007171D">
      <w:pPr>
        <w:pStyle w:val="af"/>
        <w:rPr>
          <w:rtl/>
        </w:rPr>
      </w:pPr>
      <w:r>
        <w:rPr>
          <w:rStyle w:val="af1"/>
        </w:rPr>
        <w:footnoteRef/>
      </w:r>
      <w:r>
        <w:rPr>
          <w:rtl/>
        </w:rPr>
        <w:t xml:space="preserve"> </w:t>
      </w:r>
      <w:r w:rsidRPr="00D8403A">
        <w:rPr>
          <w:rtl/>
        </w:rPr>
        <w:t>וע</w:t>
      </w:r>
      <w:r>
        <w:rPr>
          <w:rFonts w:hint="cs"/>
          <w:rtl/>
        </w:rPr>
        <w:t xml:space="preserve">"ע </w:t>
      </w:r>
      <w:r w:rsidRPr="009F7051">
        <w:rPr>
          <w:rStyle w:val="affa"/>
          <w:rtl/>
        </w:rPr>
        <w:t>בספר התרומות</w:t>
      </w:r>
      <w:r w:rsidRPr="00D8403A">
        <w:rPr>
          <w:rtl/>
        </w:rPr>
        <w:t xml:space="preserve"> </w:t>
      </w:r>
      <w:r w:rsidRPr="00C90238">
        <w:rPr>
          <w:rStyle w:val="aff6"/>
          <w:rtl/>
        </w:rPr>
        <w:t>(שער נ"ב ח"ג או' ט')</w:t>
      </w:r>
      <w:r w:rsidRPr="00D8403A">
        <w:rPr>
          <w:rtl/>
        </w:rPr>
        <w:t xml:space="preserve"> דהביא את דברי </w:t>
      </w:r>
      <w:r w:rsidRPr="009F7051">
        <w:rPr>
          <w:rStyle w:val="affa"/>
          <w:rtl/>
        </w:rPr>
        <w:t>הרמב"ן בתשו'</w:t>
      </w:r>
      <w:r w:rsidRPr="00D8403A">
        <w:rPr>
          <w:rtl/>
        </w:rPr>
        <w:t xml:space="preserve"> </w:t>
      </w:r>
      <w:r>
        <w:rPr>
          <w:rFonts w:hint="cs"/>
          <w:rtl/>
        </w:rPr>
        <w:t>דהביא</w:t>
      </w:r>
      <w:r w:rsidRPr="00D8403A">
        <w:rPr>
          <w:rtl/>
        </w:rPr>
        <w:t xml:space="preserve"> </w:t>
      </w:r>
      <w:r>
        <w:rPr>
          <w:rFonts w:hint="cs"/>
          <w:rtl/>
        </w:rPr>
        <w:t xml:space="preserve">את </w:t>
      </w:r>
      <w:r w:rsidRPr="00D8403A">
        <w:rPr>
          <w:rtl/>
        </w:rPr>
        <w:t>דברי</w:t>
      </w:r>
      <w:r w:rsidRPr="001E6F68">
        <w:rPr>
          <w:rtl/>
        </w:rPr>
        <w:t xml:space="preserve"> </w:t>
      </w:r>
      <w:r w:rsidRPr="009F7051">
        <w:rPr>
          <w:rStyle w:val="affa"/>
          <w:rtl/>
        </w:rPr>
        <w:t xml:space="preserve">הראב"ד </w:t>
      </w:r>
      <w:r w:rsidRPr="00355386">
        <w:rPr>
          <w:rStyle w:val="aff6"/>
          <w:rFonts w:hint="cs"/>
          <w:rtl/>
        </w:rPr>
        <w:t xml:space="preserve">(עי' אות </w:t>
      </w:r>
      <w:r w:rsidRPr="00355386">
        <w:rPr>
          <w:rStyle w:val="aff6"/>
          <w:rtl/>
        </w:rPr>
        <w:fldChar w:fldCharType="begin"/>
      </w:r>
      <w:r w:rsidRPr="00355386">
        <w:rPr>
          <w:rStyle w:val="aff6"/>
          <w:rtl/>
        </w:rPr>
        <w:instrText xml:space="preserve"> </w:instrText>
      </w:r>
      <w:r w:rsidRPr="00355386">
        <w:rPr>
          <w:rStyle w:val="aff6"/>
          <w:rFonts w:hint="cs"/>
        </w:rPr>
        <w:instrText>REF</w:instrText>
      </w:r>
      <w:r w:rsidRPr="00355386">
        <w:rPr>
          <w:rStyle w:val="aff6"/>
          <w:rFonts w:hint="cs"/>
          <w:rtl/>
        </w:rPr>
        <w:instrText xml:space="preserve"> _</w:instrText>
      </w:r>
      <w:r w:rsidRPr="00355386">
        <w:rPr>
          <w:rStyle w:val="aff6"/>
          <w:rFonts w:hint="cs"/>
        </w:rPr>
        <w:instrText>Ref58702050 \r \h</w:instrText>
      </w:r>
      <w:r w:rsidRPr="00355386">
        <w:rPr>
          <w:rStyle w:val="aff6"/>
          <w:rtl/>
        </w:rPr>
        <w:instrText xml:space="preserve"> </w:instrText>
      </w:r>
      <w:r w:rsidRPr="00355386">
        <w:rPr>
          <w:rStyle w:val="aff6"/>
          <w:rtl/>
        </w:rPr>
      </w:r>
      <w:r w:rsidRPr="00355386">
        <w:rPr>
          <w:rStyle w:val="aff6"/>
          <w:rtl/>
        </w:rPr>
        <w:fldChar w:fldCharType="separate"/>
      </w:r>
      <w:r>
        <w:rPr>
          <w:rStyle w:val="aff6"/>
          <w:cs/>
        </w:rPr>
        <w:t>‎</w:t>
      </w:r>
      <w:r>
        <w:rPr>
          <w:rStyle w:val="aff6"/>
          <w:rtl/>
        </w:rPr>
        <w:t>לד)</w:t>
      </w:r>
      <w:r w:rsidRPr="00355386">
        <w:rPr>
          <w:rStyle w:val="aff6"/>
          <w:rtl/>
        </w:rPr>
        <w:fldChar w:fldCharType="end"/>
      </w:r>
      <w:r>
        <w:rPr>
          <w:rStyle w:val="affa"/>
          <w:rFonts w:hint="cs"/>
          <w:rtl/>
        </w:rPr>
        <w:t xml:space="preserve"> </w:t>
      </w:r>
      <w:r>
        <w:rPr>
          <w:rFonts w:hint="cs"/>
          <w:rtl/>
        </w:rPr>
        <w:t xml:space="preserve">דלא מהני הפה שאסר, לענין </w:t>
      </w:r>
      <w:r w:rsidRPr="00D8403A">
        <w:rPr>
          <w:rtl/>
        </w:rPr>
        <w:t xml:space="preserve">לוה </w:t>
      </w:r>
      <w:r>
        <w:rPr>
          <w:rFonts w:hint="cs"/>
          <w:rtl/>
        </w:rPr>
        <w:t>ש</w:t>
      </w:r>
      <w:r w:rsidRPr="00D8403A">
        <w:rPr>
          <w:rtl/>
        </w:rPr>
        <w:t>בא עם שליח של המלוה שבידו השט"ח לשליש</w:t>
      </w:r>
      <w:r>
        <w:rPr>
          <w:rFonts w:hint="cs"/>
          <w:rtl/>
        </w:rPr>
        <w:t>,</w:t>
      </w:r>
      <w:r w:rsidRPr="00D8403A">
        <w:rPr>
          <w:rtl/>
        </w:rPr>
        <w:t xml:space="preserve"> ואמר לו שהמלוה שלחו למנותו לשליש, ואח"כ הכחיש המלוה שלא מינהו לשליח, והוא הוציא מביתו את השטר, דכתב </w:t>
      </w:r>
      <w:r w:rsidRPr="009F7051">
        <w:rPr>
          <w:rStyle w:val="affa"/>
          <w:rtl/>
        </w:rPr>
        <w:t>הרמב"ן</w:t>
      </w:r>
      <w:r w:rsidRPr="00D8403A">
        <w:rPr>
          <w:rtl/>
        </w:rPr>
        <w:t xml:space="preserve"> דהשלי</w:t>
      </w:r>
      <w:r>
        <w:rPr>
          <w:rFonts w:hint="cs"/>
          <w:rtl/>
        </w:rPr>
        <w:t>ח</w:t>
      </w:r>
      <w:r w:rsidRPr="00D8403A">
        <w:rPr>
          <w:rtl/>
        </w:rPr>
        <w:t xml:space="preserve"> נאמן,</w:t>
      </w:r>
      <w:r>
        <w:rPr>
          <w:rFonts w:hint="cs"/>
          <w:rtl/>
        </w:rPr>
        <w:t xml:space="preserve"> דכיון שהשטר יוצא מתח"י, חשיב שאמר כן בב"ד,</w:t>
      </w:r>
      <w:r w:rsidRPr="00D8403A">
        <w:rPr>
          <w:rtl/>
        </w:rPr>
        <w:t xml:space="preserve"> אך </w:t>
      </w:r>
      <w:r>
        <w:rPr>
          <w:rFonts w:hint="cs"/>
          <w:rtl/>
        </w:rPr>
        <w:t>כתב</w:t>
      </w:r>
      <w:r w:rsidRPr="00D8403A">
        <w:rPr>
          <w:rtl/>
        </w:rPr>
        <w:t xml:space="preserve"> </w:t>
      </w:r>
      <w:r w:rsidRPr="009F7051">
        <w:rPr>
          <w:rStyle w:val="affa"/>
          <w:rtl/>
        </w:rPr>
        <w:t>הרמב"ן בתשו'</w:t>
      </w:r>
      <w:r w:rsidRPr="00D8403A">
        <w:rPr>
          <w:rtl/>
        </w:rPr>
        <w:t xml:space="preserve"> </w:t>
      </w:r>
      <w:r>
        <w:rPr>
          <w:rFonts w:hint="cs"/>
          <w:rtl/>
        </w:rPr>
        <w:t xml:space="preserve">דלפי </w:t>
      </w:r>
      <w:r w:rsidRPr="00D8403A">
        <w:rPr>
          <w:rtl/>
        </w:rPr>
        <w:t>דברי</w:t>
      </w:r>
      <w:r w:rsidRPr="001E6F68">
        <w:rPr>
          <w:rtl/>
        </w:rPr>
        <w:t xml:space="preserve"> </w:t>
      </w:r>
      <w:r w:rsidRPr="009F7051">
        <w:rPr>
          <w:rStyle w:val="affa"/>
          <w:rtl/>
        </w:rPr>
        <w:t>הראב"ד בסוגיין</w:t>
      </w:r>
      <w:r w:rsidRPr="00D8403A">
        <w:rPr>
          <w:rtl/>
        </w:rPr>
        <w:t xml:space="preserve"> דלא מהני הפה שאסר במקום שאינו אוסר מידיעתו ומתיר מידיעתו, </w:t>
      </w:r>
      <w:r>
        <w:rPr>
          <w:rFonts w:hint="cs"/>
          <w:rtl/>
        </w:rPr>
        <w:t>א"כ</w:t>
      </w:r>
      <w:r w:rsidRPr="00D8403A">
        <w:rPr>
          <w:rtl/>
        </w:rPr>
        <w:t xml:space="preserve"> אי</w:t>
      </w:r>
      <w:r>
        <w:rPr>
          <w:rFonts w:hint="cs"/>
          <w:rtl/>
        </w:rPr>
        <w:t>נו</w:t>
      </w:r>
      <w:r w:rsidRPr="00D8403A">
        <w:rPr>
          <w:rtl/>
        </w:rPr>
        <w:t xml:space="preserve"> נאמן</w:t>
      </w:r>
      <w:r>
        <w:rPr>
          <w:rFonts w:hint="cs"/>
          <w:rtl/>
        </w:rPr>
        <w:t>,</w:t>
      </w:r>
      <w:r w:rsidRPr="00D8403A">
        <w:rPr>
          <w:rtl/>
        </w:rPr>
        <w:t xml:space="preserve"> כיון ש</w:t>
      </w:r>
      <w:r>
        <w:rPr>
          <w:rFonts w:hint="cs"/>
          <w:rtl/>
        </w:rPr>
        <w:t>השליש בספק ד</w:t>
      </w:r>
      <w:r w:rsidRPr="00D8403A">
        <w:rPr>
          <w:rtl/>
        </w:rPr>
        <w:t>אינו יודע אם המלוה, מינה את השליח</w:t>
      </w:r>
      <w:r>
        <w:rPr>
          <w:rFonts w:hint="cs"/>
          <w:rtl/>
        </w:rPr>
        <w:t xml:space="preserve"> למנותו לשליש, וודאי שהשטר של המלוה, ואין ספק מוציא מידי ודאי</w:t>
      </w:r>
      <w:r>
        <w:rPr>
          <w:rtl/>
        </w:rPr>
        <w:t>.</w:t>
      </w:r>
    </w:p>
  </w:footnote>
  <w:footnote w:id="55">
    <w:p w:rsidR="00265073" w:rsidRDefault="00265073" w:rsidP="0007171D">
      <w:pPr>
        <w:pStyle w:val="af"/>
        <w:rPr>
          <w:rtl/>
        </w:rPr>
      </w:pPr>
      <w:r>
        <w:rPr>
          <w:rStyle w:val="af1"/>
        </w:rPr>
        <w:footnoteRef/>
      </w:r>
      <w:r>
        <w:rPr>
          <w:rtl/>
        </w:rPr>
        <w:t xml:space="preserve"> </w:t>
      </w:r>
      <w:r>
        <w:rPr>
          <w:rFonts w:hint="cs"/>
          <w:rtl/>
        </w:rPr>
        <w:t xml:space="preserve">וכתב </w:t>
      </w:r>
      <w:r w:rsidRPr="000002F9">
        <w:rPr>
          <w:rStyle w:val="affa"/>
          <w:rFonts w:hint="cs"/>
          <w:rtl/>
        </w:rPr>
        <w:t>הפלפולא חריפתא</w:t>
      </w:r>
      <w:r>
        <w:rPr>
          <w:rFonts w:hint="cs"/>
          <w:rtl/>
        </w:rPr>
        <w:t xml:space="preserve"> </w:t>
      </w:r>
      <w:r w:rsidRPr="000002F9">
        <w:rPr>
          <w:rStyle w:val="aff6"/>
          <w:rFonts w:hint="cs"/>
          <w:rtl/>
        </w:rPr>
        <w:t>(על הרא"ש סי' ז' או' ט')</w:t>
      </w:r>
      <w:r>
        <w:rPr>
          <w:rFonts w:hint="cs"/>
          <w:rtl/>
        </w:rPr>
        <w:t xml:space="preserve"> </w:t>
      </w:r>
      <w:r w:rsidRPr="000002F9">
        <w:rPr>
          <w:rStyle w:val="affa"/>
          <w:rFonts w:hint="cs"/>
          <w:rtl/>
        </w:rPr>
        <w:t>דהרשב"ם</w:t>
      </w:r>
      <w:r>
        <w:rPr>
          <w:rFonts w:hint="cs"/>
          <w:rtl/>
        </w:rPr>
        <w:t xml:space="preserve"> </w:t>
      </w:r>
      <w:r w:rsidRPr="000002F9">
        <w:rPr>
          <w:rStyle w:val="aff6"/>
          <w:rFonts w:hint="cs"/>
          <w:rtl/>
        </w:rPr>
        <w:t xml:space="preserve">(עי' אות </w:t>
      </w:r>
      <w:r w:rsidRPr="000002F9">
        <w:rPr>
          <w:rStyle w:val="aff6"/>
          <w:rtl/>
        </w:rPr>
        <w:fldChar w:fldCharType="begin"/>
      </w:r>
      <w:r w:rsidRPr="000002F9">
        <w:rPr>
          <w:rStyle w:val="aff6"/>
          <w:rtl/>
        </w:rPr>
        <w:instrText xml:space="preserve"> </w:instrText>
      </w:r>
      <w:r w:rsidRPr="000002F9">
        <w:rPr>
          <w:rStyle w:val="aff6"/>
          <w:rFonts w:hint="cs"/>
        </w:rPr>
        <w:instrText>REF</w:instrText>
      </w:r>
      <w:r w:rsidRPr="000002F9">
        <w:rPr>
          <w:rStyle w:val="aff6"/>
          <w:rFonts w:hint="cs"/>
          <w:rtl/>
        </w:rPr>
        <w:instrText xml:space="preserve"> _</w:instrText>
      </w:r>
      <w:r w:rsidRPr="000002F9">
        <w:rPr>
          <w:rStyle w:val="aff6"/>
          <w:rFonts w:hint="cs"/>
        </w:rPr>
        <w:instrText>Ref58318705 \r \h</w:instrText>
      </w:r>
      <w:r w:rsidRPr="000002F9">
        <w:rPr>
          <w:rStyle w:val="aff6"/>
          <w:rtl/>
        </w:rPr>
        <w:instrText xml:space="preserve"> </w:instrText>
      </w:r>
      <w:r w:rsidRPr="000002F9">
        <w:rPr>
          <w:rStyle w:val="aff6"/>
          <w:rtl/>
        </w:rPr>
      </w:r>
      <w:r w:rsidRPr="000002F9">
        <w:rPr>
          <w:rStyle w:val="aff6"/>
          <w:rtl/>
        </w:rPr>
        <w:fldChar w:fldCharType="separate"/>
      </w:r>
      <w:r>
        <w:rPr>
          <w:rStyle w:val="aff6"/>
          <w:cs/>
        </w:rPr>
        <w:t>‎</w:t>
      </w:r>
      <w:r>
        <w:rPr>
          <w:rStyle w:val="aff6"/>
          <w:rtl/>
        </w:rPr>
        <w:t>מג)</w:t>
      </w:r>
      <w:r w:rsidRPr="000002F9">
        <w:rPr>
          <w:rStyle w:val="aff6"/>
          <w:rtl/>
        </w:rPr>
        <w:fldChar w:fldCharType="end"/>
      </w:r>
      <w:r>
        <w:rPr>
          <w:rFonts w:hint="cs"/>
          <w:rtl/>
        </w:rPr>
        <w:t xml:space="preserve"> היה יכול להקשות גם ממיגו דלא הייתה של המערער מעולם, אלא נקט </w:t>
      </w:r>
      <w:r w:rsidRPr="003C18ED">
        <w:rPr>
          <w:rStyle w:val="affa"/>
          <w:rFonts w:hint="cs"/>
          <w:rtl/>
        </w:rPr>
        <w:t>הרשב"ם</w:t>
      </w:r>
      <w:r>
        <w:rPr>
          <w:rFonts w:hint="cs"/>
          <w:rtl/>
        </w:rPr>
        <w:t xml:space="preserve"> מיגו דמינך זבינתה, דהוא דומה לטענה הראשונה של המחזיק. [ומשמע דלפי"ז מה שהקשה </w:t>
      </w:r>
      <w:r w:rsidRPr="000002F9">
        <w:rPr>
          <w:rStyle w:val="affa"/>
          <w:rFonts w:hint="cs"/>
          <w:rtl/>
        </w:rPr>
        <w:t>הרא"ש</w:t>
      </w:r>
      <w:r>
        <w:rPr>
          <w:rFonts w:hint="cs"/>
          <w:rtl/>
        </w:rPr>
        <w:t xml:space="preserve"> </w:t>
      </w:r>
      <w:r w:rsidRPr="000002F9">
        <w:rPr>
          <w:rStyle w:val="aff6"/>
          <w:rFonts w:hint="cs"/>
          <w:rtl/>
        </w:rPr>
        <w:t xml:space="preserve">(עי' אות </w:t>
      </w:r>
      <w:r w:rsidRPr="000002F9">
        <w:rPr>
          <w:rStyle w:val="aff6"/>
          <w:rtl/>
        </w:rPr>
        <w:fldChar w:fldCharType="begin"/>
      </w:r>
      <w:r w:rsidRPr="000002F9">
        <w:rPr>
          <w:rStyle w:val="aff6"/>
          <w:rtl/>
        </w:rPr>
        <w:instrText xml:space="preserve"> </w:instrText>
      </w:r>
      <w:r w:rsidRPr="000002F9">
        <w:rPr>
          <w:rStyle w:val="aff6"/>
          <w:rFonts w:hint="cs"/>
        </w:rPr>
        <w:instrText>REF</w:instrText>
      </w:r>
      <w:r w:rsidRPr="000002F9">
        <w:rPr>
          <w:rStyle w:val="aff6"/>
          <w:rFonts w:hint="cs"/>
          <w:rtl/>
        </w:rPr>
        <w:instrText xml:space="preserve"> _</w:instrText>
      </w:r>
      <w:r w:rsidRPr="000002F9">
        <w:rPr>
          <w:rStyle w:val="aff6"/>
          <w:rFonts w:hint="cs"/>
        </w:rPr>
        <w:instrText>Ref58834676 \r \h</w:instrText>
      </w:r>
      <w:r w:rsidRPr="000002F9">
        <w:rPr>
          <w:rStyle w:val="aff6"/>
          <w:rtl/>
        </w:rPr>
        <w:instrText xml:space="preserve"> </w:instrText>
      </w:r>
      <w:r w:rsidRPr="000002F9">
        <w:rPr>
          <w:rStyle w:val="aff6"/>
          <w:rtl/>
        </w:rPr>
      </w:r>
      <w:r w:rsidRPr="000002F9">
        <w:rPr>
          <w:rStyle w:val="aff6"/>
          <w:rtl/>
        </w:rPr>
        <w:fldChar w:fldCharType="separate"/>
      </w:r>
      <w:r>
        <w:rPr>
          <w:rStyle w:val="aff6"/>
          <w:cs/>
        </w:rPr>
        <w:t>‎</w:t>
      </w:r>
      <w:r>
        <w:rPr>
          <w:rStyle w:val="aff6"/>
          <w:rtl/>
        </w:rPr>
        <w:t>מז)</w:t>
      </w:r>
      <w:r w:rsidRPr="000002F9">
        <w:rPr>
          <w:rStyle w:val="aff6"/>
          <w:rtl/>
        </w:rPr>
        <w:fldChar w:fldCharType="end"/>
      </w:r>
      <w:r>
        <w:rPr>
          <w:rFonts w:hint="cs"/>
          <w:rtl/>
        </w:rPr>
        <w:t xml:space="preserve"> על </w:t>
      </w:r>
      <w:r w:rsidRPr="000002F9">
        <w:rPr>
          <w:rStyle w:val="affa"/>
          <w:rFonts w:hint="cs"/>
          <w:rtl/>
        </w:rPr>
        <w:t>הרשב"ם</w:t>
      </w:r>
      <w:r>
        <w:rPr>
          <w:rFonts w:hint="cs"/>
          <w:rtl/>
        </w:rPr>
        <w:t xml:space="preserve"> דעדיין המחזיק נאמן במיגו דלהד"ם, כוונתו דתירוץ </w:t>
      </w:r>
      <w:r w:rsidRPr="000002F9">
        <w:rPr>
          <w:rStyle w:val="affa"/>
          <w:rFonts w:hint="cs"/>
          <w:rtl/>
        </w:rPr>
        <w:t>הרשב"ם</w:t>
      </w:r>
      <w:r>
        <w:rPr>
          <w:rFonts w:hint="cs"/>
          <w:rtl/>
        </w:rPr>
        <w:t xml:space="preserve"> מהני רק למיגו דמינך זבינתה, ולא למיגו דלהד"ם דהמוכר ג"כ היה נאמן בזה].</w:t>
      </w:r>
    </w:p>
    <w:p w:rsidR="00265073" w:rsidRDefault="00265073" w:rsidP="0007171D">
      <w:pPr>
        <w:pStyle w:val="af"/>
      </w:pPr>
      <w:r>
        <w:rPr>
          <w:rFonts w:hint="cs"/>
          <w:rtl/>
        </w:rPr>
        <w:t xml:space="preserve">ועי' בדברי </w:t>
      </w:r>
      <w:r w:rsidRPr="00C563B2">
        <w:rPr>
          <w:rStyle w:val="affa"/>
          <w:rtl/>
        </w:rPr>
        <w:t>החת"ס</w:t>
      </w:r>
      <w:r w:rsidRPr="00763706">
        <w:rPr>
          <w:rtl/>
        </w:rPr>
        <w:t xml:space="preserve"> </w:t>
      </w:r>
      <w:r w:rsidRPr="00C563B2">
        <w:rPr>
          <w:rStyle w:val="aff6"/>
          <w:rtl/>
        </w:rPr>
        <w:t xml:space="preserve">(ד"ה את) </w:t>
      </w:r>
      <w:r>
        <w:rPr>
          <w:rFonts w:hint="cs"/>
          <w:rtl/>
        </w:rPr>
        <w:t>ד</w:t>
      </w:r>
      <w:r w:rsidRPr="00763706">
        <w:rPr>
          <w:rtl/>
        </w:rPr>
        <w:t xml:space="preserve">ביאר </w:t>
      </w:r>
      <w:r>
        <w:rPr>
          <w:rFonts w:hint="cs"/>
          <w:rtl/>
        </w:rPr>
        <w:t xml:space="preserve">דהא דיכול לטעון </w:t>
      </w:r>
      <w:r w:rsidRPr="00763706">
        <w:rPr>
          <w:rtl/>
        </w:rPr>
        <w:t xml:space="preserve">מינך זבינתה, אעפ"י שטען שקנה מהמוכר, מ"מ יכול לומר שהוא קנה משניהם, כדאיתא בגמ' לקמן </w:t>
      </w:r>
      <w:r w:rsidRPr="00C563B2">
        <w:rPr>
          <w:rStyle w:val="aff6"/>
          <w:rtl/>
        </w:rPr>
        <w:t xml:space="preserve">(ל:) </w:t>
      </w:r>
      <w:r w:rsidRPr="00763706">
        <w:rPr>
          <w:rtl/>
        </w:rPr>
        <w:t>דעביד איניש דזבין דיניה.</w:t>
      </w:r>
    </w:p>
  </w:footnote>
  <w:footnote w:id="56">
    <w:p w:rsidR="00265073" w:rsidRDefault="00265073" w:rsidP="0007171D">
      <w:pPr>
        <w:pStyle w:val="af"/>
        <w:rPr>
          <w:rtl/>
        </w:rPr>
      </w:pPr>
      <w:r>
        <w:rPr>
          <w:rStyle w:val="af1"/>
        </w:rPr>
        <w:footnoteRef/>
      </w:r>
      <w:r>
        <w:rPr>
          <w:rtl/>
        </w:rPr>
        <w:t xml:space="preserve"> </w:t>
      </w:r>
      <w:r w:rsidRPr="00AB2399">
        <w:rPr>
          <w:rStyle w:val="afb"/>
          <w:rFonts w:hint="cs"/>
          <w:rtl/>
        </w:rPr>
        <w:t xml:space="preserve">וביאר </w:t>
      </w:r>
      <w:r w:rsidRPr="00AB2399">
        <w:rPr>
          <w:rStyle w:val="affa"/>
          <w:rFonts w:hint="cs"/>
          <w:rtl/>
        </w:rPr>
        <w:t>הדרישה</w:t>
      </w:r>
      <w:r w:rsidRPr="00AB2399">
        <w:rPr>
          <w:rFonts w:hint="cs"/>
          <w:rtl/>
        </w:rPr>
        <w:t xml:space="preserve"> </w:t>
      </w:r>
      <w:r w:rsidRPr="00AB2399">
        <w:rPr>
          <w:rStyle w:val="aff6"/>
          <w:rFonts w:hint="cs"/>
          <w:rtl/>
        </w:rPr>
        <w:t>(סי' קמ"ו סקכ"ד ד"ה אבל הרשב"ם בסוגריים)</w:t>
      </w:r>
      <w:r>
        <w:rPr>
          <w:rStyle w:val="afb"/>
          <w:rFonts w:hint="cs"/>
          <w:rtl/>
        </w:rPr>
        <w:t xml:space="preserve"> דמ"ש </w:t>
      </w:r>
      <w:r w:rsidRPr="009D7F97">
        <w:rPr>
          <w:rStyle w:val="affa"/>
          <w:rFonts w:hint="cs"/>
          <w:rtl/>
        </w:rPr>
        <w:t>הרא"ש</w:t>
      </w:r>
      <w:r>
        <w:rPr>
          <w:rStyle w:val="afb"/>
          <w:rFonts w:hint="cs"/>
          <w:rtl/>
        </w:rPr>
        <w:t xml:space="preserve"> דקושית </w:t>
      </w:r>
      <w:r w:rsidRPr="00A61C73">
        <w:rPr>
          <w:rStyle w:val="affa"/>
          <w:rFonts w:hint="cs"/>
          <w:rtl/>
        </w:rPr>
        <w:t>הרשב"ם</w:t>
      </w:r>
      <w:r>
        <w:rPr>
          <w:rStyle w:val="afb"/>
          <w:rFonts w:hint="cs"/>
          <w:rtl/>
        </w:rPr>
        <w:t xml:space="preserve"> דיהיה נאמן במיגו כיון שאין עדים למערער, היינו דביאר דמ"ש </w:t>
      </w:r>
      <w:r w:rsidRPr="009D7F97">
        <w:rPr>
          <w:rStyle w:val="affa"/>
          <w:rFonts w:hint="cs"/>
          <w:rtl/>
        </w:rPr>
        <w:t>הרשב"ם</w:t>
      </w:r>
      <w:r>
        <w:rPr>
          <w:rStyle w:val="afb"/>
          <w:rFonts w:hint="cs"/>
          <w:rtl/>
        </w:rPr>
        <w:t xml:space="preserve"> </w:t>
      </w:r>
      <w:r w:rsidRPr="009D7F97">
        <w:rPr>
          <w:rStyle w:val="aff6"/>
          <w:rFonts w:hint="cs"/>
          <w:rtl/>
        </w:rPr>
        <w:t xml:space="preserve">(עי' אות </w:t>
      </w:r>
      <w:r w:rsidRPr="009D7F97">
        <w:rPr>
          <w:rStyle w:val="aff6"/>
          <w:rtl/>
        </w:rPr>
        <w:fldChar w:fldCharType="begin"/>
      </w:r>
      <w:r w:rsidRPr="009D7F97">
        <w:rPr>
          <w:rStyle w:val="aff6"/>
          <w:rtl/>
        </w:rPr>
        <w:instrText xml:space="preserve"> </w:instrText>
      </w:r>
      <w:r w:rsidRPr="009D7F97">
        <w:rPr>
          <w:rStyle w:val="aff6"/>
          <w:rFonts w:hint="cs"/>
        </w:rPr>
        <w:instrText>REF</w:instrText>
      </w:r>
      <w:r w:rsidRPr="009D7F97">
        <w:rPr>
          <w:rStyle w:val="aff6"/>
          <w:rFonts w:hint="cs"/>
          <w:rtl/>
        </w:rPr>
        <w:instrText xml:space="preserve"> _</w:instrText>
      </w:r>
      <w:r w:rsidRPr="009D7F97">
        <w:rPr>
          <w:rStyle w:val="aff6"/>
          <w:rFonts w:hint="cs"/>
        </w:rPr>
        <w:instrText>Ref58747348 \r \h</w:instrText>
      </w:r>
      <w:r w:rsidRPr="009D7F97">
        <w:rPr>
          <w:rStyle w:val="aff6"/>
          <w:rtl/>
        </w:rPr>
        <w:instrText xml:space="preserve"> </w:instrText>
      </w:r>
      <w:r w:rsidRPr="009D7F97">
        <w:rPr>
          <w:rStyle w:val="aff6"/>
          <w:rtl/>
        </w:rPr>
      </w:r>
      <w:r w:rsidRPr="009D7F97">
        <w:rPr>
          <w:rStyle w:val="aff6"/>
          <w:rtl/>
        </w:rPr>
        <w:fldChar w:fldCharType="separate"/>
      </w:r>
      <w:r>
        <w:rPr>
          <w:rStyle w:val="aff6"/>
          <w:cs/>
        </w:rPr>
        <w:t>‎</w:t>
      </w:r>
      <w:r>
        <w:rPr>
          <w:rStyle w:val="aff6"/>
          <w:rtl/>
        </w:rPr>
        <w:t>ג)</w:t>
      </w:r>
      <w:r w:rsidRPr="009D7F97">
        <w:rPr>
          <w:rStyle w:val="aff6"/>
          <w:rtl/>
        </w:rPr>
        <w:fldChar w:fldCharType="end"/>
      </w:r>
      <w:r w:rsidRPr="009D7F97">
        <w:rPr>
          <w:rStyle w:val="aff6"/>
          <w:rFonts w:hint="cs"/>
          <w:rtl/>
        </w:rPr>
        <w:t xml:space="preserve"> </w:t>
      </w:r>
      <w:r>
        <w:rPr>
          <w:rStyle w:val="afb"/>
          <w:rFonts w:hint="cs"/>
          <w:rtl/>
        </w:rPr>
        <w:t xml:space="preserve">דהמוכר צריך להחזיר את המעות אעפ"י </w:t>
      </w:r>
      <w:r w:rsidRPr="006D7AC6">
        <w:rPr>
          <w:rStyle w:val="afb"/>
          <w:rFonts w:hint="cs"/>
          <w:rtl/>
        </w:rPr>
        <w:t xml:space="preserve">דמהא דאמר המערער למחזיק לאו קא מודית, מוכח דאין לו עדים שהוא </w:t>
      </w:r>
      <w:r>
        <w:rPr>
          <w:rStyle w:val="afb"/>
          <w:rFonts w:hint="cs"/>
          <w:rtl/>
        </w:rPr>
        <w:t xml:space="preserve">המערער, כוונתו גם על המשך דבריו, דכוונת </w:t>
      </w:r>
      <w:r w:rsidRPr="003C18ED">
        <w:rPr>
          <w:rStyle w:val="affa"/>
          <w:rFonts w:hint="cs"/>
          <w:rtl/>
        </w:rPr>
        <w:t>הרשב"ם</w:t>
      </w:r>
      <w:r>
        <w:rPr>
          <w:rStyle w:val="afb"/>
          <w:rFonts w:hint="cs"/>
          <w:rtl/>
        </w:rPr>
        <w:t xml:space="preserve"> להקשות דיועיל לו מיגו כיון שאין עדים למערער, וע"ע </w:t>
      </w:r>
      <w:r>
        <w:rPr>
          <w:rStyle w:val="affa"/>
          <w:rFonts w:hint="cs"/>
          <w:rtl/>
        </w:rPr>
        <w:t>ב</w:t>
      </w:r>
      <w:r w:rsidRPr="00D2183E">
        <w:rPr>
          <w:rStyle w:val="affa"/>
          <w:rFonts w:hint="cs"/>
          <w:rtl/>
        </w:rPr>
        <w:t>תומים</w:t>
      </w:r>
      <w:r>
        <w:rPr>
          <w:rStyle w:val="afb"/>
          <w:rFonts w:hint="cs"/>
          <w:rtl/>
        </w:rPr>
        <w:t xml:space="preserve"> </w:t>
      </w:r>
      <w:r w:rsidRPr="00D2183E">
        <w:rPr>
          <w:rStyle w:val="aff6"/>
          <w:rFonts w:hint="cs"/>
          <w:rtl/>
        </w:rPr>
        <w:t>(סי' קמ"ו סקט"ז ד"ה ובפרט)</w:t>
      </w:r>
      <w:r w:rsidRPr="00D36A4B">
        <w:rPr>
          <w:rStyle w:val="afb"/>
          <w:rFonts w:hint="cs"/>
          <w:rtl/>
        </w:rPr>
        <w:t xml:space="preserve"> </w:t>
      </w:r>
      <w:r>
        <w:rPr>
          <w:rStyle w:val="afb"/>
          <w:rFonts w:hint="cs"/>
          <w:rtl/>
        </w:rPr>
        <w:t>במה שביאר בזה.</w:t>
      </w:r>
    </w:p>
  </w:footnote>
  <w:footnote w:id="57">
    <w:p w:rsidR="00265073" w:rsidRDefault="00265073" w:rsidP="0007171D">
      <w:pPr>
        <w:pStyle w:val="af"/>
      </w:pPr>
      <w:r>
        <w:rPr>
          <w:rStyle w:val="af1"/>
        </w:rPr>
        <w:footnoteRef/>
      </w:r>
      <w:r>
        <w:rPr>
          <w:rtl/>
        </w:rPr>
        <w:t xml:space="preserve"> </w:t>
      </w:r>
      <w:r>
        <w:rPr>
          <w:rFonts w:hint="cs"/>
          <w:rtl/>
        </w:rPr>
        <w:t xml:space="preserve">וכתב </w:t>
      </w:r>
      <w:r w:rsidRPr="00A21272">
        <w:rPr>
          <w:rStyle w:val="affa"/>
          <w:rFonts w:hint="cs"/>
          <w:rtl/>
        </w:rPr>
        <w:t>הדרישה</w:t>
      </w:r>
      <w:r>
        <w:rPr>
          <w:rFonts w:hint="cs"/>
          <w:rtl/>
        </w:rPr>
        <w:t xml:space="preserve"> </w:t>
      </w:r>
      <w:r w:rsidRPr="00A21272">
        <w:rPr>
          <w:rStyle w:val="aff6"/>
          <w:rFonts w:hint="cs"/>
          <w:rtl/>
        </w:rPr>
        <w:t>(סי' קמ"ו סקכ"ד ד"ה</w:t>
      </w:r>
      <w:r w:rsidRPr="00A21272">
        <w:rPr>
          <w:rStyle w:val="aff6"/>
          <w:rtl/>
        </w:rPr>
        <w:t xml:space="preserve"> אלא שיש</w:t>
      </w:r>
      <w:r w:rsidRPr="00A21272">
        <w:rPr>
          <w:rStyle w:val="aff6"/>
          <w:rFonts w:hint="cs"/>
          <w:rtl/>
        </w:rPr>
        <w:t xml:space="preserve">) </w:t>
      </w:r>
      <w:r>
        <w:rPr>
          <w:rFonts w:hint="cs"/>
          <w:rtl/>
        </w:rPr>
        <w:t xml:space="preserve">דמדברי </w:t>
      </w:r>
      <w:r w:rsidRPr="00A21272">
        <w:rPr>
          <w:rStyle w:val="affa"/>
          <w:rFonts w:hint="cs"/>
          <w:rtl/>
        </w:rPr>
        <w:t>רבינו יונה</w:t>
      </w:r>
      <w:r w:rsidRPr="00A21272">
        <w:rPr>
          <w:rStyle w:val="aff6"/>
          <w:rFonts w:hint="cs"/>
          <w:rtl/>
        </w:rPr>
        <w:t xml:space="preserve"> (עי' אות </w:t>
      </w:r>
      <w:r w:rsidRPr="00A21272">
        <w:rPr>
          <w:rStyle w:val="aff6"/>
          <w:rtl/>
        </w:rPr>
        <w:fldChar w:fldCharType="begin"/>
      </w:r>
      <w:r w:rsidRPr="00A21272">
        <w:rPr>
          <w:rStyle w:val="aff6"/>
          <w:rtl/>
        </w:rPr>
        <w:instrText xml:space="preserve"> </w:instrText>
      </w:r>
      <w:r w:rsidRPr="00A21272">
        <w:rPr>
          <w:rStyle w:val="aff6"/>
          <w:rFonts w:hint="cs"/>
        </w:rPr>
        <w:instrText>REF</w:instrText>
      </w:r>
      <w:r w:rsidRPr="00A21272">
        <w:rPr>
          <w:rStyle w:val="aff6"/>
          <w:rFonts w:hint="cs"/>
          <w:rtl/>
        </w:rPr>
        <w:instrText xml:space="preserve"> _</w:instrText>
      </w:r>
      <w:r w:rsidRPr="00A21272">
        <w:rPr>
          <w:rStyle w:val="aff6"/>
          <w:rFonts w:hint="cs"/>
        </w:rPr>
        <w:instrText>Ref57923244 \r \h</w:instrText>
      </w:r>
      <w:r w:rsidRPr="00A21272">
        <w:rPr>
          <w:rStyle w:val="aff6"/>
          <w:rtl/>
        </w:rPr>
        <w:instrText xml:space="preserve"> </w:instrText>
      </w:r>
      <w:r w:rsidRPr="00A21272">
        <w:rPr>
          <w:rStyle w:val="aff6"/>
          <w:rtl/>
        </w:rPr>
      </w:r>
      <w:r w:rsidRPr="00A21272">
        <w:rPr>
          <w:rStyle w:val="aff6"/>
          <w:rtl/>
        </w:rPr>
        <w:fldChar w:fldCharType="separate"/>
      </w:r>
      <w:r>
        <w:rPr>
          <w:rStyle w:val="aff6"/>
          <w:cs/>
        </w:rPr>
        <w:t>‎</w:t>
      </w:r>
      <w:r>
        <w:rPr>
          <w:rStyle w:val="aff6"/>
          <w:rtl/>
        </w:rPr>
        <w:t>כו)</w:t>
      </w:r>
      <w:r w:rsidRPr="00A21272">
        <w:rPr>
          <w:rStyle w:val="aff6"/>
          <w:rtl/>
        </w:rPr>
        <w:fldChar w:fldCharType="end"/>
      </w:r>
      <w:r>
        <w:rPr>
          <w:rFonts w:hint="cs"/>
          <w:rtl/>
        </w:rPr>
        <w:t xml:space="preserve"> דכתב דכל לא הודה</w:t>
      </w:r>
      <w:r w:rsidRPr="00ED1866">
        <w:rPr>
          <w:rFonts w:hint="cs"/>
          <w:rtl/>
        </w:rPr>
        <w:t xml:space="preserve"> המחזיק אלא </w:t>
      </w:r>
      <w:r>
        <w:rPr>
          <w:rFonts w:hint="cs"/>
          <w:rtl/>
        </w:rPr>
        <w:t>א</w:t>
      </w:r>
      <w:r w:rsidRPr="00ED1866">
        <w:rPr>
          <w:rFonts w:hint="cs"/>
          <w:rtl/>
        </w:rPr>
        <w:t xml:space="preserve">מר שהמוכר אמר </w:t>
      </w:r>
      <w:r>
        <w:rPr>
          <w:rFonts w:hint="cs"/>
          <w:rtl/>
        </w:rPr>
        <w:t xml:space="preserve">לו שהייתה של המערער וקנה ממנו, דהמחזיק זוכה בקרקע בטענה זו, דהפה של המוכר שאמר לו שהקרקע הייתה של המערער, הוא הפה שהתיר שאמר לו שקנה ממנו, מבואר דלא ס"ל </w:t>
      </w:r>
      <w:r w:rsidRPr="00A21272">
        <w:rPr>
          <w:rStyle w:val="affa"/>
          <w:rFonts w:hint="cs"/>
          <w:rtl/>
        </w:rPr>
        <w:t>כהרא"ש</w:t>
      </w:r>
      <w:r>
        <w:rPr>
          <w:rFonts w:hint="cs"/>
          <w:rtl/>
        </w:rPr>
        <w:t xml:space="preserve"> </w:t>
      </w:r>
      <w:r w:rsidRPr="00A21272">
        <w:rPr>
          <w:rStyle w:val="aff6"/>
          <w:rFonts w:hint="cs"/>
          <w:rtl/>
        </w:rPr>
        <w:t xml:space="preserve">(עי' אות </w:t>
      </w:r>
      <w:r w:rsidRPr="00A21272">
        <w:rPr>
          <w:rStyle w:val="aff6"/>
          <w:rtl/>
        </w:rPr>
        <w:fldChar w:fldCharType="begin"/>
      </w:r>
      <w:r w:rsidRPr="00A21272">
        <w:rPr>
          <w:rStyle w:val="aff6"/>
          <w:rtl/>
        </w:rPr>
        <w:instrText xml:space="preserve"> </w:instrText>
      </w:r>
      <w:r w:rsidRPr="00A21272">
        <w:rPr>
          <w:rStyle w:val="aff6"/>
          <w:rFonts w:hint="cs"/>
        </w:rPr>
        <w:instrText>REF</w:instrText>
      </w:r>
      <w:r w:rsidRPr="00A21272">
        <w:rPr>
          <w:rStyle w:val="aff6"/>
          <w:rFonts w:hint="cs"/>
          <w:rtl/>
        </w:rPr>
        <w:instrText xml:space="preserve"> _</w:instrText>
      </w:r>
      <w:r w:rsidRPr="00A21272">
        <w:rPr>
          <w:rStyle w:val="aff6"/>
          <w:rFonts w:hint="cs"/>
        </w:rPr>
        <w:instrText>Ref57911051 \r \h</w:instrText>
      </w:r>
      <w:r w:rsidRPr="00A21272">
        <w:rPr>
          <w:rStyle w:val="aff6"/>
          <w:rtl/>
        </w:rPr>
        <w:instrText xml:space="preserve"> </w:instrText>
      </w:r>
      <w:r w:rsidRPr="00A21272">
        <w:rPr>
          <w:rStyle w:val="aff6"/>
          <w:rtl/>
        </w:rPr>
      </w:r>
      <w:r w:rsidRPr="00A21272">
        <w:rPr>
          <w:rStyle w:val="aff6"/>
          <w:rtl/>
        </w:rPr>
        <w:fldChar w:fldCharType="separate"/>
      </w:r>
      <w:r>
        <w:rPr>
          <w:rStyle w:val="aff6"/>
          <w:cs/>
        </w:rPr>
        <w:t>‎</w:t>
      </w:r>
      <w:r>
        <w:rPr>
          <w:rStyle w:val="aff6"/>
          <w:rtl/>
        </w:rPr>
        <w:t>מט)</w:t>
      </w:r>
      <w:r w:rsidRPr="00A21272">
        <w:rPr>
          <w:rStyle w:val="aff6"/>
          <w:rtl/>
        </w:rPr>
        <w:fldChar w:fldCharType="end"/>
      </w:r>
      <w:r w:rsidRPr="00A21272">
        <w:rPr>
          <w:rStyle w:val="aff6"/>
          <w:rFonts w:hint="cs"/>
          <w:rtl/>
        </w:rPr>
        <w:t xml:space="preserve"> </w:t>
      </w:r>
      <w:r>
        <w:rPr>
          <w:rFonts w:hint="cs"/>
          <w:rtl/>
        </w:rPr>
        <w:t xml:space="preserve">דהא </w:t>
      </w:r>
      <w:r w:rsidRPr="00A21272">
        <w:rPr>
          <w:rStyle w:val="affa"/>
          <w:rFonts w:hint="cs"/>
          <w:rtl/>
        </w:rPr>
        <w:t>להרא"ש</w:t>
      </w:r>
      <w:r>
        <w:rPr>
          <w:rFonts w:hint="cs"/>
          <w:rtl/>
        </w:rPr>
        <w:t xml:space="preserve"> אינו יכול לטעון מיגו דלהד"ם, ולכן טען שכך אמר לו המוכר.</w:t>
      </w:r>
    </w:p>
  </w:footnote>
  <w:footnote w:id="58">
    <w:p w:rsidR="00265073" w:rsidRDefault="00265073" w:rsidP="0007171D">
      <w:pPr>
        <w:pStyle w:val="af"/>
      </w:pPr>
      <w:r>
        <w:rPr>
          <w:rStyle w:val="af1"/>
        </w:rPr>
        <w:footnoteRef/>
      </w:r>
      <w:r>
        <w:rPr>
          <w:rtl/>
        </w:rPr>
        <w:t xml:space="preserve"> </w:t>
      </w:r>
      <w:r w:rsidRPr="00AD65D5">
        <w:rPr>
          <w:rStyle w:val="affa"/>
          <w:rtl/>
        </w:rPr>
        <w:t>והחת"ס</w:t>
      </w:r>
      <w:r w:rsidRPr="00F60A86">
        <w:rPr>
          <w:rtl/>
        </w:rPr>
        <w:t xml:space="preserve"> </w:t>
      </w:r>
      <w:r w:rsidRPr="00AD65D5">
        <w:rPr>
          <w:rStyle w:val="aff6"/>
          <w:rtl/>
        </w:rPr>
        <w:t>(ד"ה לאו קמודית)</w:t>
      </w:r>
      <w:r w:rsidRPr="00F60A86">
        <w:rPr>
          <w:rtl/>
        </w:rPr>
        <w:t xml:space="preserve"> כתב דאפשר לתרץ את קושית </w:t>
      </w:r>
      <w:r w:rsidRPr="001E4032">
        <w:rPr>
          <w:rStyle w:val="affa"/>
          <w:rtl/>
        </w:rPr>
        <w:t>המהרי"ט</w:t>
      </w:r>
      <w:r w:rsidRPr="00F60A86">
        <w:rPr>
          <w:rtl/>
        </w:rPr>
        <w:t xml:space="preserve"> </w:t>
      </w:r>
      <w:r w:rsidRPr="00AD65D5">
        <w:rPr>
          <w:rStyle w:val="aff6"/>
          <w:rtl/>
        </w:rPr>
        <w:t xml:space="preserve">(עי' אות </w:t>
      </w:r>
      <w:r w:rsidRPr="00AD65D5">
        <w:rPr>
          <w:rStyle w:val="aff6"/>
          <w:rtl/>
        </w:rPr>
        <w:fldChar w:fldCharType="begin"/>
      </w:r>
      <w:r w:rsidRPr="00AD65D5">
        <w:rPr>
          <w:rStyle w:val="aff6"/>
          <w:rtl/>
        </w:rPr>
        <w:instrText xml:space="preserve"> </w:instrText>
      </w:r>
      <w:r w:rsidRPr="00AD65D5">
        <w:rPr>
          <w:rStyle w:val="aff6"/>
        </w:rPr>
        <w:instrText>REF</w:instrText>
      </w:r>
      <w:r w:rsidRPr="00AD65D5">
        <w:rPr>
          <w:rStyle w:val="aff6"/>
          <w:rtl/>
        </w:rPr>
        <w:instrText xml:space="preserve"> _</w:instrText>
      </w:r>
      <w:r w:rsidRPr="00AD65D5">
        <w:rPr>
          <w:rStyle w:val="aff6"/>
        </w:rPr>
        <w:instrText>Ref58358296 \r \h</w:instrText>
      </w:r>
      <w:r w:rsidRPr="00AD65D5">
        <w:rPr>
          <w:rStyle w:val="aff6"/>
          <w:rtl/>
        </w:rPr>
        <w:instrText xml:space="preserve"> </w:instrText>
      </w:r>
      <w:r w:rsidRPr="00AD65D5">
        <w:rPr>
          <w:rStyle w:val="aff6"/>
          <w:rtl/>
        </w:rPr>
      </w:r>
      <w:r w:rsidRPr="00AD65D5">
        <w:rPr>
          <w:rStyle w:val="aff6"/>
          <w:rtl/>
        </w:rPr>
        <w:fldChar w:fldCharType="separate"/>
      </w:r>
      <w:r>
        <w:rPr>
          <w:rStyle w:val="aff6"/>
          <w:cs/>
        </w:rPr>
        <w:t>‎</w:t>
      </w:r>
      <w:r>
        <w:rPr>
          <w:rStyle w:val="aff6"/>
          <w:rtl/>
        </w:rPr>
        <w:t>נ)</w:t>
      </w:r>
      <w:r w:rsidRPr="00AD65D5">
        <w:rPr>
          <w:rStyle w:val="aff6"/>
          <w:rtl/>
        </w:rPr>
        <w:fldChar w:fldCharType="end"/>
      </w:r>
      <w:r w:rsidRPr="00F60A86">
        <w:rPr>
          <w:rtl/>
        </w:rPr>
        <w:t xml:space="preserve">, דכוונת </w:t>
      </w:r>
      <w:r w:rsidRPr="00AD65D5">
        <w:rPr>
          <w:rStyle w:val="affa"/>
          <w:rtl/>
        </w:rPr>
        <w:t>הרא"ש</w:t>
      </w:r>
      <w:r w:rsidRPr="00F60A86">
        <w:rPr>
          <w:rtl/>
        </w:rPr>
        <w:t xml:space="preserve"> לבאר כן בדעת </w:t>
      </w:r>
      <w:r w:rsidRPr="00AD65D5">
        <w:rPr>
          <w:rStyle w:val="affa"/>
          <w:rtl/>
        </w:rPr>
        <w:t>רבינו יונה</w:t>
      </w:r>
      <w:r w:rsidRPr="00F60A86">
        <w:rPr>
          <w:rtl/>
        </w:rPr>
        <w:t xml:space="preserve"> שהביא </w:t>
      </w:r>
      <w:r w:rsidRPr="00AD65D5">
        <w:rPr>
          <w:rStyle w:val="affa"/>
          <w:rtl/>
        </w:rPr>
        <w:t>הרא"ש</w:t>
      </w:r>
      <w:r w:rsidRPr="00F60A86">
        <w:rPr>
          <w:rtl/>
        </w:rPr>
        <w:t xml:space="preserve"> </w:t>
      </w:r>
      <w:r w:rsidRPr="00A23D44">
        <w:rPr>
          <w:rStyle w:val="aff6"/>
          <w:rFonts w:hint="cs"/>
          <w:rtl/>
        </w:rPr>
        <w:t xml:space="preserve">(עי' אות </w:t>
      </w:r>
      <w:r w:rsidRPr="00A23D44">
        <w:rPr>
          <w:rStyle w:val="aff6"/>
          <w:rtl/>
        </w:rPr>
        <w:fldChar w:fldCharType="begin"/>
      </w:r>
      <w:r w:rsidRPr="00A23D44">
        <w:rPr>
          <w:rStyle w:val="aff6"/>
          <w:rtl/>
        </w:rPr>
        <w:instrText xml:space="preserve"> </w:instrText>
      </w:r>
      <w:r w:rsidRPr="00A23D44">
        <w:rPr>
          <w:rStyle w:val="aff6"/>
          <w:rFonts w:hint="cs"/>
        </w:rPr>
        <w:instrText>REF</w:instrText>
      </w:r>
      <w:r w:rsidRPr="00A23D44">
        <w:rPr>
          <w:rStyle w:val="aff6"/>
          <w:rFonts w:hint="cs"/>
          <w:rtl/>
        </w:rPr>
        <w:instrText xml:space="preserve"> _</w:instrText>
      </w:r>
      <w:r w:rsidRPr="00A23D44">
        <w:rPr>
          <w:rStyle w:val="aff6"/>
          <w:rFonts w:hint="cs"/>
        </w:rPr>
        <w:instrText>Ref58764353 \r \h</w:instrText>
      </w:r>
      <w:r w:rsidRPr="00A23D44">
        <w:rPr>
          <w:rStyle w:val="aff6"/>
          <w:rtl/>
        </w:rPr>
        <w:instrText xml:space="preserve"> </w:instrText>
      </w:r>
      <w:r w:rsidRPr="00A23D44">
        <w:rPr>
          <w:rStyle w:val="aff6"/>
          <w:rtl/>
        </w:rPr>
      </w:r>
      <w:r w:rsidRPr="00A23D44">
        <w:rPr>
          <w:rStyle w:val="aff6"/>
          <w:rtl/>
        </w:rPr>
        <w:fldChar w:fldCharType="separate"/>
      </w:r>
      <w:r>
        <w:rPr>
          <w:rStyle w:val="aff6"/>
          <w:cs/>
        </w:rPr>
        <w:t>‎</w:t>
      </w:r>
      <w:r>
        <w:rPr>
          <w:rStyle w:val="aff6"/>
          <w:rtl/>
        </w:rPr>
        <w:t>מח)</w:t>
      </w:r>
      <w:r w:rsidRPr="00A23D44">
        <w:rPr>
          <w:rStyle w:val="aff6"/>
          <w:rtl/>
        </w:rPr>
        <w:fldChar w:fldCharType="end"/>
      </w:r>
      <w:r>
        <w:rPr>
          <w:rFonts w:hint="cs"/>
          <w:rtl/>
        </w:rPr>
        <w:t xml:space="preserve"> </w:t>
      </w:r>
      <w:r w:rsidRPr="00F60A86">
        <w:rPr>
          <w:rtl/>
        </w:rPr>
        <w:t>דכתב דאיירי שהמחזיק יודע בודאות ש</w:t>
      </w:r>
      <w:r>
        <w:rPr>
          <w:rtl/>
        </w:rPr>
        <w:t>הקרקע</w:t>
      </w:r>
      <w:r w:rsidRPr="00F60A86">
        <w:rPr>
          <w:rtl/>
        </w:rPr>
        <w:t xml:space="preserve"> הייתה של המערער, ואינו יודע שהייתה של המוכר, ולא היה לו לסמוך על דבריו, דאין ספק מוציא מידי ודאי, ולכן חיישינן שהמחזיק באמת יודע את האמת היאך הגיעה הקרקע לידי המוכר, דהא לא שדי אינש זוזי בכדי, וא"כ א"א לטעון בשבילו את כל הטענות שהמוכר היה יכול לטעון, דיתכן שהוא מערים, דחושש שיאמרו לו דאין ספק מוציא מידי ודאי, וכתב </w:t>
      </w:r>
      <w:r w:rsidRPr="001E4032">
        <w:rPr>
          <w:rStyle w:val="affa"/>
          <w:rtl/>
        </w:rPr>
        <w:t>הרא"ש</w:t>
      </w:r>
      <w:r w:rsidRPr="00F60A86">
        <w:rPr>
          <w:rtl/>
        </w:rPr>
        <w:t xml:space="preserve"> דמ"מ אפשר להאמין לו שאינו יודע מהיכן הגיעה הקרקע למוכר, במיגו דלא הייתה של המערער מעולם, וע"ז כתב הרא"ש דאינו מיגו טוב, דחושש שמא יביא המערער עדים.</w:t>
      </w:r>
    </w:p>
  </w:footnote>
  <w:footnote w:id="59">
    <w:p w:rsidR="00265073" w:rsidRDefault="00265073" w:rsidP="0007171D">
      <w:pPr>
        <w:pStyle w:val="af"/>
        <w:rPr>
          <w:rtl/>
        </w:rPr>
      </w:pPr>
      <w:r>
        <w:rPr>
          <w:rStyle w:val="af1"/>
        </w:rPr>
        <w:footnoteRef/>
      </w:r>
      <w:r>
        <w:rPr>
          <w:rtl/>
        </w:rPr>
        <w:t xml:space="preserve"> </w:t>
      </w:r>
      <w:r w:rsidRPr="009739ED">
        <w:rPr>
          <w:rtl/>
        </w:rPr>
        <w:t xml:space="preserve">אך הקשה </w:t>
      </w:r>
      <w:r w:rsidRPr="009739ED">
        <w:rPr>
          <w:rStyle w:val="affa"/>
          <w:rtl/>
        </w:rPr>
        <w:t xml:space="preserve">הפלפולא חריפתא </w:t>
      </w:r>
      <w:r w:rsidRPr="009739ED">
        <w:rPr>
          <w:rtl/>
        </w:rPr>
        <w:t xml:space="preserve">דהא אפש"ל דאף המוכר ירא שמא ימצא המערער עדים שהייתה שלו, והעדים יכחישו את טענתו, אבל כשהוא טוען שקנה מהמערער, א"א להכחישו בזה, ותירץ </w:t>
      </w:r>
      <w:r w:rsidRPr="009739ED">
        <w:rPr>
          <w:rStyle w:val="affa"/>
          <w:rtl/>
        </w:rPr>
        <w:t xml:space="preserve">הפלפולא חריפתא </w:t>
      </w:r>
      <w:r w:rsidRPr="009739ED">
        <w:rPr>
          <w:rtl/>
        </w:rPr>
        <w:t>דשייך שיכחישוהו גם בזה, שיבאו עדים שיאמרו לא זזה ידנו מתוך ידו של המערער, ולא מכר את הקרקע מעולם</w:t>
      </w:r>
      <w:r>
        <w:rPr>
          <w:rFonts w:hint="cs"/>
          <w:rtl/>
        </w:rPr>
        <w:t>.</w:t>
      </w:r>
    </w:p>
    <w:p w:rsidR="00265073" w:rsidRDefault="00265073" w:rsidP="0007171D">
      <w:pPr>
        <w:pStyle w:val="af"/>
        <w:rPr>
          <w:rtl/>
        </w:rPr>
      </w:pPr>
      <w:r w:rsidRPr="00C11F0A">
        <w:rPr>
          <w:rtl/>
        </w:rPr>
        <w:t xml:space="preserve">אך הקשה </w:t>
      </w:r>
      <w:r w:rsidRPr="009739ED">
        <w:rPr>
          <w:rStyle w:val="affa"/>
          <w:rtl/>
        </w:rPr>
        <w:t>התומים</w:t>
      </w:r>
      <w:r w:rsidRPr="009739ED">
        <w:rPr>
          <w:rtl/>
        </w:rPr>
        <w:t xml:space="preserve"> </w:t>
      </w:r>
      <w:r w:rsidRPr="009739ED">
        <w:rPr>
          <w:rStyle w:val="aff6"/>
          <w:rtl/>
        </w:rPr>
        <w:t>(סי' קמ"ו ס"ק ט"ז</w:t>
      </w:r>
      <w:r>
        <w:rPr>
          <w:rStyle w:val="aff6"/>
          <w:rFonts w:hint="cs"/>
          <w:rtl/>
        </w:rPr>
        <w:t xml:space="preserve"> ד"ה רק בהך)</w:t>
      </w:r>
      <w:r>
        <w:rPr>
          <w:rFonts w:hint="cs"/>
          <w:rtl/>
        </w:rPr>
        <w:t xml:space="preserve"> </w:t>
      </w:r>
      <w:r w:rsidRPr="00C11F0A">
        <w:rPr>
          <w:rtl/>
        </w:rPr>
        <w:t xml:space="preserve">דכיון דלמוכר יש מיגו דהיה יכול לטעון דלא הייתה של המערער מעולם, א"כ אף המחזיק יכול לומר דכיון שאם היה המוכר לפנינו הוא היה נאמן, וכדביאר </w:t>
      </w:r>
      <w:r w:rsidRPr="003239EC">
        <w:rPr>
          <w:rStyle w:val="affa"/>
          <w:rtl/>
        </w:rPr>
        <w:t>הפלפולא חריפתא</w:t>
      </w:r>
      <w:r w:rsidRPr="00C11F0A">
        <w:rPr>
          <w:rtl/>
        </w:rPr>
        <w:t xml:space="preserve"> </w:t>
      </w:r>
      <w:r w:rsidRPr="003239EC">
        <w:rPr>
          <w:rStyle w:val="aff6"/>
          <w:rtl/>
        </w:rPr>
        <w:t xml:space="preserve">(עי' אות </w:t>
      </w:r>
      <w:r w:rsidRPr="003239EC">
        <w:rPr>
          <w:rStyle w:val="aff6"/>
          <w:rtl/>
        </w:rPr>
        <w:fldChar w:fldCharType="begin"/>
      </w:r>
      <w:r w:rsidRPr="003239EC">
        <w:rPr>
          <w:rStyle w:val="aff6"/>
          <w:rtl/>
        </w:rPr>
        <w:instrText xml:space="preserve"> </w:instrText>
      </w:r>
      <w:r w:rsidRPr="003239EC">
        <w:rPr>
          <w:rStyle w:val="aff6"/>
        </w:rPr>
        <w:instrText>REF</w:instrText>
      </w:r>
      <w:r w:rsidRPr="003239EC">
        <w:rPr>
          <w:rStyle w:val="aff6"/>
          <w:rtl/>
        </w:rPr>
        <w:instrText xml:space="preserve"> _</w:instrText>
      </w:r>
      <w:r w:rsidRPr="003239EC">
        <w:rPr>
          <w:rStyle w:val="aff6"/>
        </w:rPr>
        <w:instrText>Ref58255891 \r \h</w:instrText>
      </w:r>
      <w:r w:rsidRPr="003239EC">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3239EC">
        <w:rPr>
          <w:rStyle w:val="aff6"/>
          <w:rtl/>
        </w:rPr>
      </w:r>
      <w:r w:rsidRPr="003239EC">
        <w:rPr>
          <w:rStyle w:val="aff6"/>
          <w:rtl/>
        </w:rPr>
        <w:fldChar w:fldCharType="separate"/>
      </w:r>
      <w:r>
        <w:rPr>
          <w:rStyle w:val="aff6"/>
          <w:cs/>
        </w:rPr>
        <w:t>‎</w:t>
      </w:r>
      <w:r>
        <w:rPr>
          <w:rStyle w:val="aff6"/>
          <w:rtl/>
        </w:rPr>
        <w:t>נג)</w:t>
      </w:r>
      <w:r w:rsidRPr="003239EC">
        <w:rPr>
          <w:rStyle w:val="aff6"/>
          <w:rtl/>
        </w:rPr>
        <w:fldChar w:fldCharType="end"/>
      </w:r>
      <w:r>
        <w:rPr>
          <w:rFonts w:hint="cs"/>
          <w:rtl/>
        </w:rPr>
        <w:t xml:space="preserve"> </w:t>
      </w:r>
      <w:r w:rsidRPr="00C11F0A">
        <w:rPr>
          <w:rtl/>
        </w:rPr>
        <w:t>דהמוכר אינו ירא לטעון דלא הייתה של המערער מעולם, וא"כ קשה דאמאי לא טענינן למחזיק את הטענה שהיה המוכר יכול לטעון, דאף שלמחזיק עצמו אין מיגו, מ"מ א"צ שהמחזיק עצמו יהיה נאמן במיגו, אלא שיועיל לו המיגו של המוכר, דטענינן ללוקח את כל מה שהמוכר היה יכול לטעון</w:t>
      </w:r>
      <w:r>
        <w:rPr>
          <w:rFonts w:hint="cs"/>
          <w:rtl/>
        </w:rPr>
        <w:t>.</w:t>
      </w:r>
    </w:p>
    <w:p w:rsidR="00265073" w:rsidRDefault="00265073" w:rsidP="0007171D">
      <w:pPr>
        <w:pStyle w:val="af"/>
      </w:pPr>
      <w:r w:rsidRPr="00C11F0A">
        <w:rPr>
          <w:rtl/>
        </w:rPr>
        <w:t xml:space="preserve">וכתב </w:t>
      </w:r>
      <w:r w:rsidRPr="003239EC">
        <w:rPr>
          <w:rStyle w:val="affa"/>
          <w:rtl/>
        </w:rPr>
        <w:t xml:space="preserve">התומים </w:t>
      </w:r>
      <w:r w:rsidRPr="00C11F0A">
        <w:rPr>
          <w:rtl/>
        </w:rPr>
        <w:t xml:space="preserve">דא"כ צריך לדחוק דכוונת </w:t>
      </w:r>
      <w:r w:rsidRPr="003239EC">
        <w:rPr>
          <w:rStyle w:val="affa"/>
          <w:rtl/>
        </w:rPr>
        <w:t>הרא"ש</w:t>
      </w:r>
      <w:r w:rsidRPr="00C11F0A">
        <w:rPr>
          <w:rtl/>
        </w:rPr>
        <w:t xml:space="preserve"> כדביאר </w:t>
      </w:r>
      <w:r w:rsidRPr="003239EC">
        <w:rPr>
          <w:rStyle w:val="affa"/>
          <w:rtl/>
        </w:rPr>
        <w:t>הפלפולא חריפתא</w:t>
      </w:r>
      <w:r w:rsidRPr="00C11F0A">
        <w:rPr>
          <w:rtl/>
        </w:rPr>
        <w:t xml:space="preserve"> </w:t>
      </w:r>
      <w:r w:rsidRPr="003239EC">
        <w:rPr>
          <w:rStyle w:val="aff6"/>
          <w:rtl/>
        </w:rPr>
        <w:t xml:space="preserve">(עי' אות </w:t>
      </w:r>
      <w:r w:rsidRPr="003239EC">
        <w:rPr>
          <w:rStyle w:val="aff6"/>
          <w:rtl/>
        </w:rPr>
        <w:fldChar w:fldCharType="begin"/>
      </w:r>
      <w:r w:rsidRPr="003239EC">
        <w:rPr>
          <w:rStyle w:val="aff6"/>
          <w:rtl/>
        </w:rPr>
        <w:instrText xml:space="preserve"> </w:instrText>
      </w:r>
      <w:r w:rsidRPr="003239EC">
        <w:rPr>
          <w:rStyle w:val="aff6"/>
        </w:rPr>
        <w:instrText>REF</w:instrText>
      </w:r>
      <w:r w:rsidRPr="003239EC">
        <w:rPr>
          <w:rStyle w:val="aff6"/>
          <w:rtl/>
        </w:rPr>
        <w:instrText xml:space="preserve"> _</w:instrText>
      </w:r>
      <w:r w:rsidRPr="003239EC">
        <w:rPr>
          <w:rStyle w:val="aff6"/>
        </w:rPr>
        <w:instrText>Ref59439806 \r \h</w:instrText>
      </w:r>
      <w:r w:rsidRPr="003239EC">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3239EC">
        <w:rPr>
          <w:rStyle w:val="aff6"/>
          <w:rtl/>
        </w:rPr>
      </w:r>
      <w:r w:rsidRPr="003239EC">
        <w:rPr>
          <w:rStyle w:val="aff6"/>
          <w:rtl/>
        </w:rPr>
        <w:fldChar w:fldCharType="separate"/>
      </w:r>
      <w:r>
        <w:rPr>
          <w:rStyle w:val="aff6"/>
          <w:cs/>
        </w:rPr>
        <w:t>‎</w:t>
      </w:r>
      <w:r>
        <w:rPr>
          <w:rStyle w:val="aff6"/>
          <w:rtl/>
        </w:rPr>
        <w:t>נד)</w:t>
      </w:r>
      <w:r w:rsidRPr="003239EC">
        <w:rPr>
          <w:rStyle w:val="aff6"/>
          <w:rtl/>
        </w:rPr>
        <w:fldChar w:fldCharType="end"/>
      </w:r>
      <w:r w:rsidRPr="00C11F0A">
        <w:rPr>
          <w:rtl/>
        </w:rPr>
        <w:t xml:space="preserve">, דלא טענינן ללוקח טענה שהוא עצמו אינו יכו לטעון, וכתב התומים דהוא דוחק טובא, דהא אפש"ל דדל לוקח מהכא, ואם היה המוכר לפנינו היה נאמן, וא"כ מהני טענתו ללוקח, מדין מה מכר ראשון לשני כל זכות שתבא לידו, וכתב </w:t>
      </w:r>
      <w:r w:rsidRPr="003239EC">
        <w:rPr>
          <w:rStyle w:val="affa"/>
          <w:rtl/>
        </w:rPr>
        <w:t>התומים</w:t>
      </w:r>
      <w:r w:rsidRPr="00C11F0A">
        <w:rPr>
          <w:rtl/>
        </w:rPr>
        <w:t xml:space="preserve"> דלכן הביא </w:t>
      </w:r>
      <w:r w:rsidRPr="003239EC">
        <w:rPr>
          <w:rStyle w:val="affa"/>
          <w:rtl/>
        </w:rPr>
        <w:t>הרא"ש</w:t>
      </w:r>
      <w:r w:rsidRPr="00C11F0A">
        <w:rPr>
          <w:rtl/>
        </w:rPr>
        <w:t xml:space="preserve"> </w:t>
      </w:r>
      <w:r w:rsidRPr="003239EC">
        <w:rPr>
          <w:rStyle w:val="aff6"/>
          <w:rtl/>
        </w:rPr>
        <w:t xml:space="preserve">(עי' אות </w:t>
      </w:r>
      <w:r w:rsidRPr="003239EC">
        <w:rPr>
          <w:rStyle w:val="aff6"/>
          <w:rtl/>
        </w:rPr>
        <w:fldChar w:fldCharType="begin"/>
      </w:r>
      <w:r w:rsidRPr="003239EC">
        <w:rPr>
          <w:rStyle w:val="aff6"/>
          <w:rtl/>
        </w:rPr>
        <w:instrText xml:space="preserve"> </w:instrText>
      </w:r>
      <w:r w:rsidRPr="003239EC">
        <w:rPr>
          <w:rStyle w:val="aff6"/>
        </w:rPr>
        <w:instrText>REF</w:instrText>
      </w:r>
      <w:r w:rsidRPr="003239EC">
        <w:rPr>
          <w:rStyle w:val="aff6"/>
          <w:rtl/>
        </w:rPr>
        <w:instrText xml:space="preserve"> _</w:instrText>
      </w:r>
      <w:r w:rsidRPr="003239EC">
        <w:rPr>
          <w:rStyle w:val="aff6"/>
        </w:rPr>
        <w:instrText>Ref59024352 \r \h</w:instrText>
      </w:r>
      <w:r w:rsidRPr="003239EC">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3239EC">
        <w:rPr>
          <w:rStyle w:val="aff6"/>
          <w:rtl/>
        </w:rPr>
      </w:r>
      <w:r w:rsidRPr="003239EC">
        <w:rPr>
          <w:rStyle w:val="aff6"/>
          <w:rtl/>
        </w:rPr>
        <w:fldChar w:fldCharType="separate"/>
      </w:r>
      <w:r>
        <w:rPr>
          <w:rStyle w:val="aff6"/>
          <w:cs/>
        </w:rPr>
        <w:t>‎</w:t>
      </w:r>
      <w:r>
        <w:rPr>
          <w:rStyle w:val="aff6"/>
          <w:rtl/>
        </w:rPr>
        <w:t>מח)</w:t>
      </w:r>
      <w:r w:rsidRPr="003239EC">
        <w:rPr>
          <w:rStyle w:val="aff6"/>
          <w:rtl/>
        </w:rPr>
        <w:fldChar w:fldCharType="end"/>
      </w:r>
      <w:r w:rsidRPr="00C11F0A">
        <w:rPr>
          <w:rtl/>
        </w:rPr>
        <w:t xml:space="preserve"> את דברי </w:t>
      </w:r>
      <w:r w:rsidRPr="003239EC">
        <w:rPr>
          <w:rStyle w:val="affa"/>
          <w:rtl/>
        </w:rPr>
        <w:t>רבינו יונה</w:t>
      </w:r>
      <w:r w:rsidRPr="00C11F0A">
        <w:rPr>
          <w:rtl/>
        </w:rPr>
        <w:t xml:space="preserve"> דביאר דהמחזיק הודה מעצמו, ואי"ז ספק וודאי, אלא וודאי וודאי, ולכן אין מוציאין ממנו</w:t>
      </w:r>
      <w:r>
        <w:rPr>
          <w:rFonts w:hint="cs"/>
          <w:rtl/>
        </w:rPr>
        <w:t>.</w:t>
      </w:r>
    </w:p>
  </w:footnote>
  <w:footnote w:id="60">
    <w:p w:rsidR="00265073" w:rsidRDefault="00265073" w:rsidP="0007171D">
      <w:pPr>
        <w:pStyle w:val="af"/>
      </w:pPr>
      <w:r>
        <w:rPr>
          <w:rStyle w:val="af1"/>
        </w:rPr>
        <w:footnoteRef/>
      </w:r>
      <w:r>
        <w:rPr>
          <w:rtl/>
        </w:rPr>
        <w:t xml:space="preserve"> </w:t>
      </w:r>
      <w:r>
        <w:rPr>
          <w:rFonts w:hint="cs"/>
          <w:rtl/>
        </w:rPr>
        <w:t xml:space="preserve">והוסיף </w:t>
      </w:r>
      <w:r w:rsidRPr="00E15C31">
        <w:rPr>
          <w:rStyle w:val="affa"/>
          <w:rFonts w:hint="cs"/>
          <w:rtl/>
        </w:rPr>
        <w:t>הריטב"א</w:t>
      </w:r>
      <w:r>
        <w:rPr>
          <w:rFonts w:hint="cs"/>
          <w:rtl/>
        </w:rPr>
        <w:t xml:space="preserve"> </w:t>
      </w:r>
      <w:r w:rsidRPr="00E15C31">
        <w:rPr>
          <w:rStyle w:val="aff6"/>
          <w:rFonts w:hint="cs"/>
          <w:rtl/>
        </w:rPr>
        <w:t>(ד"ה ואומר)</w:t>
      </w:r>
      <w:r>
        <w:rPr>
          <w:rFonts w:hint="cs"/>
          <w:rtl/>
        </w:rPr>
        <w:t xml:space="preserve"> בשם </w:t>
      </w:r>
      <w:r w:rsidRPr="00E15C31">
        <w:rPr>
          <w:rStyle w:val="affa"/>
          <w:rFonts w:hint="cs"/>
          <w:rtl/>
        </w:rPr>
        <w:t>הרא"ה</w:t>
      </w:r>
      <w:r>
        <w:rPr>
          <w:rFonts w:hint="cs"/>
          <w:rtl/>
        </w:rPr>
        <w:t xml:space="preserve"> דאין המחזיק יכול לטעון דהוא היה חייב להודות על האמת, שכך אמר לו המוכר שהוא קנה מהמערער, דדוקא בשבועת העדות חייב להודות על כל מה שהיה, אבל בעל דין אינו חייב להודות לתובע, דכיון שהוא מפסיד בזה את המוכר, היה למחזיק לומר למערער, שהוא קנה מהמוכר, ואם תתבע אותו ויפסקו ב"ד כמותך אתן לך את הקרקע, ועליך לתבוע את המוכר, ואם המערער לא ירצה לתבוע את המוכר, ויצטרך להודות שמכר לו, א"כ לא יפסיד המוכר כלום.</w:t>
      </w:r>
    </w:p>
  </w:footnote>
  <w:footnote w:id="61">
    <w:p w:rsidR="00265073" w:rsidRDefault="00265073" w:rsidP="0007171D">
      <w:pPr>
        <w:pStyle w:val="af"/>
        <w:rPr>
          <w:rtl/>
        </w:rPr>
      </w:pPr>
      <w:r>
        <w:rPr>
          <w:rStyle w:val="af1"/>
        </w:rPr>
        <w:footnoteRef/>
      </w:r>
      <w:r>
        <w:rPr>
          <w:rtl/>
        </w:rPr>
        <w:t xml:space="preserve"> </w:t>
      </w:r>
      <w:r w:rsidRPr="002225FB">
        <w:rPr>
          <w:rStyle w:val="afb"/>
          <w:rFonts w:hint="cs"/>
          <w:rtl/>
        </w:rPr>
        <w:t xml:space="preserve">אך כתב </w:t>
      </w:r>
      <w:r w:rsidRPr="002225FB">
        <w:rPr>
          <w:rStyle w:val="affa"/>
          <w:rFonts w:hint="cs"/>
          <w:rtl/>
        </w:rPr>
        <w:t>בחי' רבי נחום</w:t>
      </w:r>
      <w:r w:rsidRPr="002225FB">
        <w:rPr>
          <w:rStyle w:val="afb"/>
          <w:rFonts w:hint="cs"/>
          <w:rtl/>
        </w:rPr>
        <w:t xml:space="preserve"> דבאופן שדר המוכר חד יומא, אעפ"י שאינו מוחזק בקרקע ע"י חזקת ג"ש, מ"מ כ"ז שאין עליו ערעור של המרא קמא, חשיב המוכר כמוחזק ע"י חד יומא, ואינו</w:t>
      </w:r>
      <w:r>
        <w:rPr>
          <w:rFonts w:hint="cs"/>
          <w:rtl/>
        </w:rPr>
        <w:t xml:space="preserve"> </w:t>
      </w:r>
      <w:r w:rsidRPr="002225FB">
        <w:rPr>
          <w:rStyle w:val="afb"/>
          <w:rFonts w:hint="cs"/>
          <w:rtl/>
        </w:rPr>
        <w:t>כהכיר בה שאינה שלו</w:t>
      </w:r>
      <w:r>
        <w:rPr>
          <w:rStyle w:val="afb"/>
          <w:rFonts w:hint="cs"/>
          <w:rtl/>
        </w:rPr>
        <w:t>.</w:t>
      </w:r>
    </w:p>
    <w:p w:rsidR="00265073" w:rsidRDefault="00265073" w:rsidP="009B209D">
      <w:pPr>
        <w:pStyle w:val="af"/>
        <w:rPr>
          <w:rtl/>
        </w:rPr>
      </w:pPr>
      <w:r>
        <w:rPr>
          <w:rFonts w:hint="cs"/>
          <w:rtl/>
        </w:rPr>
        <w:t xml:space="preserve">אך הקשה </w:t>
      </w:r>
      <w:r w:rsidRPr="00E745A1">
        <w:rPr>
          <w:rStyle w:val="affa"/>
          <w:rFonts w:hint="cs"/>
          <w:rtl/>
        </w:rPr>
        <w:t>בחי' רבי נחום</w:t>
      </w:r>
      <w:r>
        <w:rPr>
          <w:rFonts w:hint="cs"/>
          <w:rtl/>
        </w:rPr>
        <w:t xml:space="preserve"> </w:t>
      </w:r>
      <w:r w:rsidRPr="00E745A1">
        <w:rPr>
          <w:rStyle w:val="aff6"/>
          <w:rFonts w:hint="cs"/>
          <w:rtl/>
        </w:rPr>
        <w:t xml:space="preserve">(או נ"ח ד"ה ואכתי) </w:t>
      </w:r>
      <w:r>
        <w:rPr>
          <w:rFonts w:hint="cs"/>
          <w:rtl/>
        </w:rPr>
        <w:t xml:space="preserve">דממ"ש </w:t>
      </w:r>
      <w:r w:rsidRPr="00E745A1">
        <w:rPr>
          <w:rStyle w:val="affa"/>
          <w:rFonts w:hint="cs"/>
          <w:rtl/>
        </w:rPr>
        <w:t>הרשב"ם</w:t>
      </w:r>
      <w:r>
        <w:rPr>
          <w:rFonts w:hint="cs"/>
          <w:rtl/>
        </w:rPr>
        <w:t xml:space="preserve"> </w:t>
      </w:r>
      <w:r w:rsidRPr="00E91194">
        <w:rPr>
          <w:rStyle w:val="aff6"/>
          <w:rFonts w:hint="cs"/>
          <w:rtl/>
        </w:rPr>
        <w:t>(סוד"ה אמר ליה</w:t>
      </w:r>
      <w:r>
        <w:rPr>
          <w:rStyle w:val="aff6"/>
          <w:rFonts w:hint="cs"/>
          <w:rtl/>
        </w:rPr>
        <w:t>, הובא בסימן ט' אות א')</w:t>
      </w:r>
      <w:r w:rsidRPr="00E91194">
        <w:rPr>
          <w:rStyle w:val="afb"/>
          <w:rFonts w:hint="cs"/>
          <w:rtl/>
        </w:rPr>
        <w:t xml:space="preserve"> ד</w:t>
      </w:r>
      <w:r>
        <w:rPr>
          <w:rFonts w:hint="cs"/>
          <w:rtl/>
        </w:rPr>
        <w:t>הא דהמחזיק אינו נאמן כיון שאינו טוען דלפניו קנה המוכר מהמערער, וכן אין לו עדים שדר בה חד יומא, משמע דלא סגי בטענת ברי שדר בה חד יומא, וצריך עדים ע"ז, ואם אין לו עדים חשיב כהכיר בה שאינו שלו, והוא צ"ב דכיון דהמחזיק טוען בברי שדר בה חד יומא א"א לומר דהוא כהכיר בה שאינה שלו.</w:t>
      </w:r>
    </w:p>
  </w:footnote>
  <w:footnote w:id="62">
    <w:p w:rsidR="00265073" w:rsidRDefault="00265073" w:rsidP="000E75A3">
      <w:pPr>
        <w:pStyle w:val="af"/>
      </w:pPr>
      <w:r>
        <w:rPr>
          <w:rStyle w:val="af1"/>
        </w:rPr>
        <w:footnoteRef/>
      </w:r>
      <w:r>
        <w:rPr>
          <w:rtl/>
        </w:rPr>
        <w:t xml:space="preserve"> </w:t>
      </w:r>
      <w:r>
        <w:rPr>
          <w:rFonts w:hint="cs"/>
          <w:rtl/>
        </w:rPr>
        <w:t>ו</w:t>
      </w:r>
      <w:r w:rsidRPr="00975501">
        <w:rPr>
          <w:rtl/>
        </w:rPr>
        <w:t xml:space="preserve">עי' במה שהקשה </w:t>
      </w:r>
      <w:r w:rsidRPr="009D156C">
        <w:rPr>
          <w:rStyle w:val="affa"/>
          <w:rtl/>
        </w:rPr>
        <w:t>הש"ך</w:t>
      </w:r>
      <w:r w:rsidRPr="00975501">
        <w:rPr>
          <w:rtl/>
        </w:rPr>
        <w:t xml:space="preserve"> </w:t>
      </w:r>
      <w:r w:rsidRPr="009D156C">
        <w:rPr>
          <w:rStyle w:val="aff6"/>
          <w:rtl/>
        </w:rPr>
        <w:t xml:space="preserve">(סי' קמ"ו </w:t>
      </w:r>
      <w:r w:rsidRPr="009D156C">
        <w:rPr>
          <w:rStyle w:val="aff6"/>
          <w:rFonts w:hint="cs"/>
          <w:rtl/>
        </w:rPr>
        <w:t xml:space="preserve">סוס"ק </w:t>
      </w:r>
      <w:r w:rsidRPr="009D156C">
        <w:rPr>
          <w:rStyle w:val="aff6"/>
          <w:rtl/>
        </w:rPr>
        <w:t xml:space="preserve">י"ג) </w:t>
      </w:r>
      <w:r w:rsidRPr="00975501">
        <w:rPr>
          <w:rtl/>
        </w:rPr>
        <w:t xml:space="preserve">על </w:t>
      </w:r>
      <w:r w:rsidRPr="009D156C">
        <w:rPr>
          <w:rStyle w:val="affa"/>
          <w:rtl/>
        </w:rPr>
        <w:t>הרמב"ן</w:t>
      </w:r>
      <w:r w:rsidRPr="00975501">
        <w:rPr>
          <w:rtl/>
        </w:rPr>
        <w:t xml:space="preserve"> דהתם אף המפקיד מודה שהחפץ בידם מאביהם, ולכן טענינן להו מדין טענינן ליורש, אבל הכא אין לנו ראיה שהמחזיק הוא לוקח, וא"כ מנלן דטענינן ליה</w:t>
      </w:r>
      <w:r>
        <w:rPr>
          <w:rFonts w:hint="cs"/>
          <w:rtl/>
        </w:rPr>
        <w:t xml:space="preserve">, עיי"ש בדבריו, ועי' במה שביאר </w:t>
      </w:r>
      <w:r w:rsidRPr="009D156C">
        <w:rPr>
          <w:rStyle w:val="affa"/>
          <w:rFonts w:hint="cs"/>
          <w:rtl/>
        </w:rPr>
        <w:t>התומים</w:t>
      </w:r>
      <w:r>
        <w:rPr>
          <w:rFonts w:hint="cs"/>
          <w:rtl/>
        </w:rPr>
        <w:t xml:space="preserve"> </w:t>
      </w:r>
      <w:r w:rsidRPr="009D156C">
        <w:rPr>
          <w:rStyle w:val="aff6"/>
          <w:rFonts w:hint="cs"/>
          <w:rtl/>
        </w:rPr>
        <w:t xml:space="preserve">(סי' קמ"ו סוס"ק ט"ז ד"ה והנה הש"ך) </w:t>
      </w:r>
      <w:r>
        <w:rPr>
          <w:rFonts w:hint="cs"/>
          <w:rtl/>
        </w:rPr>
        <w:t xml:space="preserve">בדברי </w:t>
      </w:r>
      <w:r w:rsidRPr="009D156C">
        <w:rPr>
          <w:rStyle w:val="affa"/>
          <w:rFonts w:hint="cs"/>
          <w:rtl/>
        </w:rPr>
        <w:t>הש"ך</w:t>
      </w:r>
      <w:r w:rsidRPr="00975501">
        <w:rPr>
          <w:rtl/>
        </w:rPr>
        <w:t>.</w:t>
      </w:r>
    </w:p>
  </w:footnote>
  <w:footnote w:id="63">
    <w:p w:rsidR="00265073" w:rsidRDefault="00265073" w:rsidP="000E75A3">
      <w:pPr>
        <w:pStyle w:val="af"/>
        <w:rPr>
          <w:rtl/>
        </w:rPr>
      </w:pPr>
      <w:r>
        <w:rPr>
          <w:rStyle w:val="af1"/>
        </w:rPr>
        <w:footnoteRef/>
      </w:r>
      <w:r>
        <w:rPr>
          <w:rtl/>
        </w:rPr>
        <w:t xml:space="preserve"> </w:t>
      </w:r>
      <w:r w:rsidRPr="002B0019">
        <w:rPr>
          <w:rtl/>
        </w:rPr>
        <w:t xml:space="preserve">והוסיף </w:t>
      </w:r>
      <w:r w:rsidRPr="00D466E2">
        <w:rPr>
          <w:rStyle w:val="affa"/>
          <w:rtl/>
        </w:rPr>
        <w:t>הריטב</w:t>
      </w:r>
      <w:r w:rsidRPr="004357E4">
        <w:rPr>
          <w:rStyle w:val="affa"/>
          <w:rtl/>
        </w:rPr>
        <w:t>"א</w:t>
      </w:r>
      <w:r w:rsidRPr="002B0019">
        <w:rPr>
          <w:rtl/>
        </w:rPr>
        <w:t xml:space="preserve"> דה"ה בהפקיד אצל חבירו בעדים ומת, והמפקיד עצמו לא ראה את החפץ אך היורשים הודו שהחפץ נמצא בידם מאביהם, דאביהם היה נאמן לומר שאחר הפקדון חזר וקנה מהמפקיד, במיגו דהחזרתיו לך, אך כיון שהיורשים מודים שהחפץ בידם, ממילא חשיב כאילו ראה המפקיד את החפץ בידם וממילא אין להם מיגו, והביא </w:t>
      </w:r>
      <w:r w:rsidRPr="00D466E2">
        <w:rPr>
          <w:rStyle w:val="affa"/>
          <w:rtl/>
        </w:rPr>
        <w:t>הריטב"א</w:t>
      </w:r>
      <w:r w:rsidRPr="002B0019">
        <w:rPr>
          <w:rtl/>
        </w:rPr>
        <w:t xml:space="preserve"> דכן מבואר בגמ' בכתובות </w:t>
      </w:r>
      <w:r w:rsidRPr="00D466E2">
        <w:rPr>
          <w:rStyle w:val="aff6"/>
          <w:rtl/>
        </w:rPr>
        <w:t>(פה:)</w:t>
      </w:r>
      <w:r w:rsidRPr="002B0019">
        <w:rPr>
          <w:rtl/>
        </w:rPr>
        <w:t xml:space="preserve"> ובגמ' בב"מ </w:t>
      </w:r>
      <w:r w:rsidRPr="00D466E2">
        <w:rPr>
          <w:rStyle w:val="aff6"/>
          <w:rtl/>
        </w:rPr>
        <w:t>(ע.)</w:t>
      </w:r>
      <w:r w:rsidRPr="002B0019">
        <w:rPr>
          <w:rtl/>
        </w:rPr>
        <w:t>, וכדהביא</w:t>
      </w:r>
      <w:r w:rsidRPr="00D466E2">
        <w:rPr>
          <w:rStyle w:val="affa"/>
          <w:rtl/>
        </w:rPr>
        <w:t xml:space="preserve"> הרשב"א</w:t>
      </w:r>
      <w:r w:rsidRPr="002B0019">
        <w:rPr>
          <w:rtl/>
        </w:rPr>
        <w:t xml:space="preserve"> </w:t>
      </w:r>
      <w:r w:rsidRPr="00D466E2">
        <w:rPr>
          <w:rStyle w:val="aff6"/>
          <w:rtl/>
        </w:rPr>
        <w:t xml:space="preserve">(עי' אות </w:t>
      </w:r>
      <w:r w:rsidRPr="00D466E2">
        <w:rPr>
          <w:rStyle w:val="aff6"/>
          <w:rtl/>
        </w:rPr>
        <w:fldChar w:fldCharType="begin"/>
      </w:r>
      <w:r w:rsidRPr="00D466E2">
        <w:rPr>
          <w:rStyle w:val="aff6"/>
          <w:rtl/>
        </w:rPr>
        <w:instrText xml:space="preserve"> </w:instrText>
      </w:r>
      <w:r w:rsidRPr="00D466E2">
        <w:rPr>
          <w:rStyle w:val="aff6"/>
        </w:rPr>
        <w:instrText>REF</w:instrText>
      </w:r>
      <w:r w:rsidRPr="00D466E2">
        <w:rPr>
          <w:rStyle w:val="aff6"/>
          <w:rtl/>
        </w:rPr>
        <w:instrText xml:space="preserve"> _</w:instrText>
      </w:r>
      <w:r w:rsidRPr="00D466E2">
        <w:rPr>
          <w:rStyle w:val="aff6"/>
        </w:rPr>
        <w:instrText>Ref59528052 \r \h</w:instrText>
      </w:r>
      <w:r w:rsidRPr="00D466E2">
        <w:rPr>
          <w:rStyle w:val="aff6"/>
          <w:rtl/>
        </w:rPr>
        <w:instrText xml:space="preserve">  \* </w:instrText>
      </w:r>
      <w:r w:rsidRPr="00D466E2">
        <w:rPr>
          <w:rStyle w:val="aff6"/>
        </w:rPr>
        <w:instrText>MERGEFORMAT</w:instrText>
      </w:r>
      <w:r w:rsidRPr="00D466E2">
        <w:rPr>
          <w:rStyle w:val="aff6"/>
          <w:rtl/>
        </w:rPr>
        <w:instrText xml:space="preserve"> </w:instrText>
      </w:r>
      <w:r w:rsidRPr="00D466E2">
        <w:rPr>
          <w:rStyle w:val="aff6"/>
          <w:rtl/>
        </w:rPr>
      </w:r>
      <w:r w:rsidRPr="00D466E2">
        <w:rPr>
          <w:rStyle w:val="aff6"/>
          <w:rtl/>
        </w:rPr>
        <w:fldChar w:fldCharType="separate"/>
      </w:r>
      <w:r>
        <w:rPr>
          <w:rStyle w:val="aff6"/>
          <w:cs/>
        </w:rPr>
        <w:t>‎</w:t>
      </w:r>
      <w:r>
        <w:rPr>
          <w:rStyle w:val="aff6"/>
          <w:rtl/>
        </w:rPr>
        <w:t>לט)</w:t>
      </w:r>
      <w:r w:rsidRPr="00D466E2">
        <w:rPr>
          <w:rStyle w:val="aff6"/>
          <w:rtl/>
        </w:rPr>
        <w:fldChar w:fldCharType="end"/>
      </w:r>
      <w:r w:rsidRPr="002B0019">
        <w:rPr>
          <w:rtl/>
        </w:rPr>
        <w:t xml:space="preserve"> </w:t>
      </w:r>
      <w:r w:rsidRPr="00D466E2">
        <w:rPr>
          <w:rStyle w:val="affa"/>
          <w:rtl/>
        </w:rPr>
        <w:t xml:space="preserve">דהרמב"ן </w:t>
      </w:r>
      <w:r w:rsidRPr="00D466E2">
        <w:rPr>
          <w:rStyle w:val="affa"/>
          <w:rFonts w:hint="cs"/>
          <w:rtl/>
        </w:rPr>
        <w:t>בב"מ</w:t>
      </w:r>
      <w:r>
        <w:rPr>
          <w:rStyle w:val="aff6"/>
          <w:rFonts w:hint="cs"/>
          <w:rtl/>
        </w:rPr>
        <w:t xml:space="preserve"> </w:t>
      </w:r>
      <w:r w:rsidRPr="002B0019">
        <w:rPr>
          <w:rtl/>
        </w:rPr>
        <w:t xml:space="preserve">כתב כן. </w:t>
      </w:r>
    </w:p>
  </w:footnote>
  <w:footnote w:id="64">
    <w:p w:rsidR="00265073" w:rsidRDefault="00265073" w:rsidP="000E75A3">
      <w:pPr>
        <w:pStyle w:val="af"/>
        <w:rPr>
          <w:rtl/>
        </w:rPr>
      </w:pPr>
      <w:r>
        <w:rPr>
          <w:rStyle w:val="af1"/>
        </w:rPr>
        <w:footnoteRef/>
      </w:r>
      <w:r>
        <w:rPr>
          <w:rtl/>
        </w:rPr>
        <w:t xml:space="preserve"> </w:t>
      </w:r>
      <w:r w:rsidRPr="00C637EE">
        <w:rPr>
          <w:rStyle w:val="afb"/>
          <w:rFonts w:hint="cs"/>
          <w:rtl/>
        </w:rPr>
        <w:t>וביאר</w:t>
      </w:r>
      <w:r w:rsidRPr="0092528E">
        <w:rPr>
          <w:rStyle w:val="affa"/>
          <w:rFonts w:hint="cs"/>
          <w:rtl/>
        </w:rPr>
        <w:t xml:space="preserve"> הדרישה</w:t>
      </w:r>
      <w:r w:rsidRPr="00C637EE">
        <w:rPr>
          <w:rStyle w:val="afb"/>
          <w:rFonts w:hint="cs"/>
          <w:rtl/>
        </w:rPr>
        <w:t xml:space="preserve"> </w:t>
      </w:r>
      <w:r w:rsidRPr="0092528E">
        <w:rPr>
          <w:rStyle w:val="aff6"/>
          <w:rFonts w:hint="cs"/>
          <w:rtl/>
        </w:rPr>
        <w:t>(סי' קמ"ו ריש סקכ"ד)</w:t>
      </w:r>
      <w:r w:rsidRPr="00C637EE">
        <w:rPr>
          <w:rStyle w:val="afb"/>
          <w:rFonts w:hint="cs"/>
          <w:rtl/>
        </w:rPr>
        <w:t xml:space="preserve"> דכוונת </w:t>
      </w:r>
      <w:r w:rsidRPr="0092528E">
        <w:rPr>
          <w:rStyle w:val="affa"/>
          <w:rFonts w:hint="cs"/>
          <w:rtl/>
        </w:rPr>
        <w:t>ר"י</w:t>
      </w:r>
      <w:r w:rsidRPr="00C637EE">
        <w:rPr>
          <w:rStyle w:val="afb"/>
          <w:rFonts w:hint="cs"/>
          <w:rtl/>
        </w:rPr>
        <w:t xml:space="preserve"> לומר דדוקא ביורשים טענינן כיון שהטענה שאביהם היה נאמן לטעון, יתכן שבאמת כך היה או שהחזיר או שנאנס, אבל הכא דיודע המחזיק דהאמת שהייתה של המערער, ואם היה המוכר טוען כן לא היה המחזיק מעכבה בידו, דהוא יודע את האמת, ממילא אין המחזיק יכול לזכות בטענת המיגו של המוכר כיון שאינו יכול לעמוד במקום המוכר ולטעון כן</w:t>
      </w:r>
      <w:r>
        <w:rPr>
          <w:rStyle w:val="afb"/>
          <w:rFonts w:hint="cs"/>
          <w:rtl/>
        </w:rPr>
        <w:t>.</w:t>
      </w:r>
    </w:p>
  </w:footnote>
  <w:footnote w:id="65">
    <w:p w:rsidR="00265073" w:rsidRDefault="00265073" w:rsidP="000E75A3">
      <w:pPr>
        <w:pStyle w:val="af"/>
      </w:pPr>
      <w:r>
        <w:rPr>
          <w:rStyle w:val="af1"/>
        </w:rPr>
        <w:footnoteRef/>
      </w:r>
      <w:r>
        <w:rPr>
          <w:rtl/>
        </w:rPr>
        <w:t xml:space="preserve"> </w:t>
      </w:r>
      <w:r>
        <w:rPr>
          <w:rFonts w:hint="cs"/>
          <w:rtl/>
        </w:rPr>
        <w:t xml:space="preserve">ועי' בדברי </w:t>
      </w:r>
      <w:r w:rsidRPr="00201EF3">
        <w:rPr>
          <w:rStyle w:val="affa"/>
          <w:rFonts w:hint="cs"/>
          <w:rtl/>
        </w:rPr>
        <w:t>המהרי"ט</w:t>
      </w:r>
      <w:r w:rsidRPr="00AD65D5">
        <w:rPr>
          <w:rStyle w:val="af7"/>
          <w:rFonts w:eastAsia="Guttman Hodes" w:hint="cs"/>
          <w:rtl/>
        </w:rPr>
        <w:t xml:space="preserve"> </w:t>
      </w:r>
      <w:r w:rsidRPr="00201EF3">
        <w:rPr>
          <w:rStyle w:val="aff6"/>
          <w:rFonts w:hint="cs"/>
          <w:rtl/>
        </w:rPr>
        <w:t>(ח"א סי' קי"ב ד"ה איברא, הובא בסימן ח' אות נ)</w:t>
      </w:r>
      <w:r>
        <w:rPr>
          <w:rFonts w:hint="cs"/>
          <w:rtl/>
        </w:rPr>
        <w:t xml:space="preserve"> דהוכיח דא"א לומר דכוונת </w:t>
      </w:r>
      <w:r w:rsidRPr="00201EF3">
        <w:rPr>
          <w:rStyle w:val="affa"/>
          <w:rFonts w:hint="cs"/>
          <w:rtl/>
        </w:rPr>
        <w:t>הרא"ש</w:t>
      </w:r>
      <w:r>
        <w:rPr>
          <w:rFonts w:hint="cs"/>
          <w:rtl/>
        </w:rPr>
        <w:t xml:space="preserve"> להקשות ע"ד </w:t>
      </w:r>
      <w:r w:rsidRPr="00201EF3">
        <w:rPr>
          <w:rStyle w:val="affa"/>
          <w:rFonts w:hint="cs"/>
          <w:rtl/>
        </w:rPr>
        <w:t>הרשב"ם</w:t>
      </w:r>
      <w:r>
        <w:rPr>
          <w:rFonts w:hint="cs"/>
          <w:rtl/>
        </w:rPr>
        <w:t xml:space="preserve"> דלא מהני למחזיק מיגו דמינך זבינתה, וכתב דקושית הרא"ש היא על הא דמבואר </w:t>
      </w:r>
      <w:r w:rsidRPr="00201EF3">
        <w:rPr>
          <w:rStyle w:val="affa"/>
          <w:rFonts w:hint="cs"/>
          <w:rtl/>
        </w:rPr>
        <w:t>ברשב"ם</w:t>
      </w:r>
      <w:r>
        <w:rPr>
          <w:rFonts w:hint="cs"/>
          <w:rtl/>
        </w:rPr>
        <w:t xml:space="preserve"> דבחד יומא המחזיק אינו נאמן בלי עדים, ועיי"ש במ"ש </w:t>
      </w:r>
      <w:r w:rsidRPr="00201EF3">
        <w:rPr>
          <w:rStyle w:val="affa"/>
          <w:rFonts w:hint="cs"/>
          <w:rtl/>
        </w:rPr>
        <w:t>המהרי"ט</w:t>
      </w:r>
      <w:r>
        <w:rPr>
          <w:rFonts w:hint="cs"/>
          <w:rtl/>
        </w:rPr>
        <w:t xml:space="preserve"> דאעפ"י </w:t>
      </w:r>
      <w:r w:rsidRPr="00F3060A">
        <w:rPr>
          <w:rStyle w:val="affa"/>
          <w:rFonts w:hint="cs"/>
          <w:rtl/>
        </w:rPr>
        <w:t>דהרא"ש</w:t>
      </w:r>
      <w:r w:rsidRPr="00F3060A">
        <w:rPr>
          <w:rStyle w:val="afb"/>
          <w:rFonts w:hint="cs"/>
          <w:rtl/>
        </w:rPr>
        <w:t xml:space="preserve"> לא הביא את דברי </w:t>
      </w:r>
      <w:r w:rsidRPr="00F3060A">
        <w:rPr>
          <w:rStyle w:val="affa"/>
          <w:rFonts w:hint="cs"/>
          <w:rtl/>
        </w:rPr>
        <w:t>הרשב"ם</w:t>
      </w:r>
      <w:r w:rsidRPr="00F3060A">
        <w:rPr>
          <w:rStyle w:val="afb"/>
          <w:rFonts w:hint="cs"/>
          <w:rtl/>
        </w:rPr>
        <w:t xml:space="preserve"> הללו, מ"מ אפש"ל דזו כוונתו</w:t>
      </w:r>
      <w:r>
        <w:rPr>
          <w:rFonts w:hint="cs"/>
          <w:rtl/>
        </w:rPr>
        <w:t>.</w:t>
      </w:r>
    </w:p>
  </w:footnote>
  <w:footnote w:id="66">
    <w:p w:rsidR="00265073" w:rsidRDefault="00265073" w:rsidP="000E75A3">
      <w:pPr>
        <w:pStyle w:val="af"/>
        <w:rPr>
          <w:rtl/>
        </w:rPr>
      </w:pPr>
      <w:r>
        <w:rPr>
          <w:rStyle w:val="af1"/>
        </w:rPr>
        <w:footnoteRef/>
      </w:r>
      <w:r>
        <w:rPr>
          <w:rtl/>
        </w:rPr>
        <w:t xml:space="preserve"> </w:t>
      </w:r>
      <w:r w:rsidRPr="00DC369E">
        <w:rPr>
          <w:rtl/>
        </w:rPr>
        <w:t xml:space="preserve">וכתב </w:t>
      </w:r>
      <w:r w:rsidRPr="00B73AAC">
        <w:rPr>
          <w:rStyle w:val="affa"/>
          <w:rtl/>
        </w:rPr>
        <w:t>הפרישה</w:t>
      </w:r>
      <w:r w:rsidRPr="00DC369E">
        <w:rPr>
          <w:rtl/>
        </w:rPr>
        <w:t xml:space="preserve"> </w:t>
      </w:r>
      <w:r w:rsidRPr="00363F48">
        <w:rPr>
          <w:rStyle w:val="aff6"/>
          <w:rtl/>
        </w:rPr>
        <w:t>(סי' קמ"ו סקכ"ד ד"ה וחזקת</w:t>
      </w:r>
      <w:r w:rsidRPr="00363F48">
        <w:rPr>
          <w:rStyle w:val="aff6"/>
          <w:rFonts w:hint="cs"/>
          <w:rtl/>
        </w:rPr>
        <w:t>)</w:t>
      </w:r>
      <w:r>
        <w:rPr>
          <w:rtl/>
        </w:rPr>
        <w:t xml:space="preserve"> </w:t>
      </w:r>
      <w:r w:rsidRPr="00DC369E">
        <w:rPr>
          <w:rtl/>
        </w:rPr>
        <w:t>ד</w:t>
      </w:r>
      <w:r>
        <w:rPr>
          <w:rFonts w:hint="cs"/>
          <w:rtl/>
        </w:rPr>
        <w:t>אעפ"י ד</w:t>
      </w:r>
      <w:r w:rsidRPr="00DC369E">
        <w:rPr>
          <w:rtl/>
        </w:rPr>
        <w:t xml:space="preserve">מדברי </w:t>
      </w:r>
      <w:r w:rsidRPr="00B73AAC">
        <w:rPr>
          <w:rStyle w:val="affa"/>
          <w:rtl/>
        </w:rPr>
        <w:t>הרא"ש</w:t>
      </w:r>
      <w:r>
        <w:rPr>
          <w:rtl/>
        </w:rPr>
        <w:t xml:space="preserve"> </w:t>
      </w:r>
      <w:r w:rsidRPr="00363F48">
        <w:rPr>
          <w:rStyle w:val="aff6"/>
          <w:rFonts w:hint="cs"/>
          <w:rtl/>
        </w:rPr>
        <w:t xml:space="preserve">(עי' אות </w:t>
      </w:r>
      <w:r w:rsidRPr="00363F48">
        <w:rPr>
          <w:rStyle w:val="aff6"/>
          <w:rtl/>
        </w:rPr>
        <w:fldChar w:fldCharType="begin"/>
      </w:r>
      <w:r w:rsidRPr="00363F48">
        <w:rPr>
          <w:rStyle w:val="aff6"/>
          <w:rtl/>
        </w:rPr>
        <w:instrText xml:space="preserve"> </w:instrText>
      </w:r>
      <w:r w:rsidRPr="00363F48">
        <w:rPr>
          <w:rStyle w:val="aff6"/>
        </w:rPr>
        <w:instrText>REF</w:instrText>
      </w:r>
      <w:r w:rsidRPr="00363F48">
        <w:rPr>
          <w:rStyle w:val="aff6"/>
          <w:rtl/>
        </w:rPr>
        <w:instrText xml:space="preserve"> _</w:instrText>
      </w:r>
      <w:r w:rsidRPr="00363F48">
        <w:rPr>
          <w:rStyle w:val="aff6"/>
        </w:rPr>
        <w:instrText>Ref59024352 \r \h</w:instrText>
      </w:r>
      <w:r w:rsidRPr="00363F48">
        <w:rPr>
          <w:rStyle w:val="aff6"/>
          <w:rtl/>
        </w:rPr>
        <w:instrText xml:space="preserve"> </w:instrText>
      </w:r>
      <w:r w:rsidRPr="00363F48">
        <w:rPr>
          <w:rStyle w:val="aff6"/>
          <w:rtl/>
        </w:rPr>
      </w:r>
      <w:r w:rsidRPr="00363F48">
        <w:rPr>
          <w:rStyle w:val="aff6"/>
          <w:rtl/>
        </w:rPr>
        <w:fldChar w:fldCharType="separate"/>
      </w:r>
      <w:r>
        <w:rPr>
          <w:rStyle w:val="aff6"/>
          <w:cs/>
        </w:rPr>
        <w:t>‎</w:t>
      </w:r>
      <w:r>
        <w:rPr>
          <w:rStyle w:val="aff6"/>
          <w:rtl/>
        </w:rPr>
        <w:t>מח)</w:t>
      </w:r>
      <w:r w:rsidRPr="00363F48">
        <w:rPr>
          <w:rStyle w:val="aff6"/>
          <w:rtl/>
        </w:rPr>
        <w:fldChar w:fldCharType="end"/>
      </w:r>
      <w:r w:rsidRPr="00363F48">
        <w:rPr>
          <w:rStyle w:val="af7"/>
          <w:rFonts w:eastAsia="Guttman Hodes" w:hint="cs"/>
          <w:rtl/>
        </w:rPr>
        <w:t xml:space="preserve"> </w:t>
      </w:r>
      <w:r w:rsidRPr="00DC369E">
        <w:rPr>
          <w:rtl/>
        </w:rPr>
        <w:t xml:space="preserve">לא משמע </w:t>
      </w:r>
      <w:r w:rsidRPr="00B73AAC">
        <w:rPr>
          <w:rStyle w:val="affa"/>
          <w:rtl/>
        </w:rPr>
        <w:t>דרבינו</w:t>
      </w:r>
      <w:r w:rsidRPr="00DC369E">
        <w:rPr>
          <w:rtl/>
        </w:rPr>
        <w:t xml:space="preserve"> י</w:t>
      </w:r>
      <w:r w:rsidRPr="00B73AAC">
        <w:rPr>
          <w:rStyle w:val="affa"/>
          <w:rtl/>
        </w:rPr>
        <w:t>ונה</w:t>
      </w:r>
      <w:r w:rsidRPr="00DC369E">
        <w:rPr>
          <w:rtl/>
        </w:rPr>
        <w:t xml:space="preserve"> ביאר את דברי </w:t>
      </w:r>
      <w:r w:rsidRPr="00B73AAC">
        <w:rPr>
          <w:rStyle w:val="affa"/>
          <w:rtl/>
        </w:rPr>
        <w:t>הרשב"ם</w:t>
      </w:r>
      <w:r w:rsidRPr="00DC369E">
        <w:rPr>
          <w:rtl/>
        </w:rPr>
        <w:t xml:space="preserve">, אלא </w:t>
      </w:r>
      <w:r w:rsidRPr="009D6479">
        <w:rPr>
          <w:rStyle w:val="affa"/>
          <w:rtl/>
        </w:rPr>
        <w:t>רבינו יונה</w:t>
      </w:r>
      <w:r w:rsidRPr="00DC369E">
        <w:rPr>
          <w:rtl/>
        </w:rPr>
        <w:t xml:space="preserve"> בא לפרש את דברי הגמ' </w:t>
      </w:r>
      <w:r>
        <w:rPr>
          <w:rFonts w:hint="cs"/>
          <w:rtl/>
        </w:rPr>
        <w:t xml:space="preserve">מ"מ </w:t>
      </w:r>
      <w:r w:rsidRPr="00DC369E">
        <w:rPr>
          <w:rtl/>
        </w:rPr>
        <w:t xml:space="preserve">כתב </w:t>
      </w:r>
      <w:r w:rsidRPr="00B73AAC">
        <w:rPr>
          <w:rStyle w:val="affa"/>
          <w:rtl/>
        </w:rPr>
        <w:t>הפרישה</w:t>
      </w:r>
      <w:r w:rsidRPr="00DC369E">
        <w:rPr>
          <w:rtl/>
        </w:rPr>
        <w:t xml:space="preserve"> דכיון דלפי דברי </w:t>
      </w:r>
      <w:r w:rsidRPr="00B73AAC">
        <w:rPr>
          <w:rStyle w:val="affa"/>
          <w:rtl/>
        </w:rPr>
        <w:t>רבינו יונה</w:t>
      </w:r>
      <w:r w:rsidRPr="00DC369E">
        <w:rPr>
          <w:rtl/>
        </w:rPr>
        <w:t xml:space="preserve"> מבוארים דברי </w:t>
      </w:r>
      <w:r w:rsidRPr="00B73AAC">
        <w:rPr>
          <w:rStyle w:val="affa"/>
          <w:rtl/>
        </w:rPr>
        <w:t>הרשב"ם</w:t>
      </w:r>
      <w:r>
        <w:rPr>
          <w:rFonts w:hint="cs"/>
          <w:rtl/>
        </w:rPr>
        <w:t>,</w:t>
      </w:r>
      <w:r w:rsidRPr="00DC369E">
        <w:rPr>
          <w:rtl/>
        </w:rPr>
        <w:t xml:space="preserve"> לכן כתב </w:t>
      </w:r>
      <w:r w:rsidRPr="00B73AAC">
        <w:rPr>
          <w:rStyle w:val="affa"/>
          <w:rtl/>
        </w:rPr>
        <w:t>הטור דרבינו יונה</w:t>
      </w:r>
      <w:r w:rsidRPr="00DC369E">
        <w:rPr>
          <w:rtl/>
        </w:rPr>
        <w:t xml:space="preserve"> ביאר את דברי </w:t>
      </w:r>
      <w:r w:rsidRPr="00B73AAC">
        <w:rPr>
          <w:rStyle w:val="affa"/>
          <w:rtl/>
        </w:rPr>
        <w:t>הרשב"ם</w:t>
      </w:r>
      <w:r w:rsidRPr="00DC369E">
        <w:rPr>
          <w:rtl/>
        </w:rPr>
        <w:t>.</w:t>
      </w:r>
    </w:p>
  </w:footnote>
  <w:footnote w:id="67">
    <w:p w:rsidR="00265073" w:rsidRDefault="00265073" w:rsidP="00923DD1">
      <w:pPr>
        <w:pStyle w:val="af"/>
      </w:pPr>
      <w:r>
        <w:rPr>
          <w:rStyle w:val="af1"/>
        </w:rPr>
        <w:footnoteRef/>
      </w:r>
      <w:r>
        <w:rPr>
          <w:rtl/>
        </w:rPr>
        <w:t xml:space="preserve"> </w:t>
      </w:r>
      <w:r w:rsidRPr="00F80B61">
        <w:rPr>
          <w:rtl/>
        </w:rPr>
        <w:t>אבל</w:t>
      </w:r>
      <w:r>
        <w:rPr>
          <w:rtl/>
        </w:rPr>
        <w:t xml:space="preserve"> </w:t>
      </w:r>
      <w:r w:rsidRPr="00E6118C">
        <w:rPr>
          <w:rStyle w:val="affa"/>
          <w:rtl/>
        </w:rPr>
        <w:t>הפני שלמה</w:t>
      </w:r>
      <w:r w:rsidRPr="00E6118C">
        <w:rPr>
          <w:rStyle w:val="aff6"/>
          <w:rtl/>
        </w:rPr>
        <w:t xml:space="preserve"> (על הרשב"ם ד"ה א"ל) </w:t>
      </w:r>
      <w:r w:rsidRPr="00F80B61">
        <w:rPr>
          <w:rtl/>
        </w:rPr>
        <w:t xml:space="preserve">דחה את הוכחת </w:t>
      </w:r>
      <w:r w:rsidRPr="00E6118C">
        <w:rPr>
          <w:rStyle w:val="affa"/>
          <w:rtl/>
        </w:rPr>
        <w:t>הש"ך</w:t>
      </w:r>
      <w:r w:rsidRPr="00F80B61">
        <w:rPr>
          <w:rtl/>
        </w:rPr>
        <w:t xml:space="preserve"> </w:t>
      </w:r>
      <w:r w:rsidRPr="00B4304C">
        <w:rPr>
          <w:rStyle w:val="aff6"/>
          <w:rtl/>
        </w:rPr>
        <w:t xml:space="preserve">(עי' אות </w:t>
      </w:r>
      <w:r w:rsidRPr="00B4304C">
        <w:rPr>
          <w:rStyle w:val="aff6"/>
          <w:rtl/>
        </w:rPr>
        <w:fldChar w:fldCharType="begin"/>
      </w:r>
      <w:r w:rsidRPr="00B4304C">
        <w:rPr>
          <w:rStyle w:val="aff6"/>
          <w:rtl/>
        </w:rPr>
        <w:instrText xml:space="preserve"> </w:instrText>
      </w:r>
      <w:r w:rsidRPr="00B4304C">
        <w:rPr>
          <w:rStyle w:val="aff6"/>
        </w:rPr>
        <w:instrText>REF</w:instrText>
      </w:r>
      <w:r w:rsidRPr="00B4304C">
        <w:rPr>
          <w:rStyle w:val="aff6"/>
          <w:rtl/>
        </w:rPr>
        <w:instrText xml:space="preserve"> _</w:instrText>
      </w:r>
      <w:r w:rsidRPr="00B4304C">
        <w:rPr>
          <w:rStyle w:val="aff6"/>
        </w:rPr>
        <w:instrText>Ref59550307 \r \h</w:instrText>
      </w:r>
      <w:r w:rsidRPr="00B4304C">
        <w:rPr>
          <w:rStyle w:val="aff6"/>
          <w:rtl/>
        </w:rPr>
        <w:instrText xml:space="preserve"> </w:instrText>
      </w:r>
      <w:r w:rsidRPr="00B4304C">
        <w:rPr>
          <w:rStyle w:val="aff6"/>
          <w:rtl/>
        </w:rPr>
      </w:r>
      <w:r w:rsidRPr="00B4304C">
        <w:rPr>
          <w:rStyle w:val="aff6"/>
          <w:rtl/>
        </w:rPr>
        <w:fldChar w:fldCharType="separate"/>
      </w:r>
      <w:r>
        <w:rPr>
          <w:rStyle w:val="aff6"/>
          <w:cs/>
        </w:rPr>
        <w:t>‎</w:t>
      </w:r>
      <w:r>
        <w:rPr>
          <w:rStyle w:val="aff6"/>
          <w:rtl/>
        </w:rPr>
        <w:t>עו)</w:t>
      </w:r>
      <w:r w:rsidRPr="00B4304C">
        <w:rPr>
          <w:rStyle w:val="aff6"/>
          <w:rtl/>
        </w:rPr>
        <w:fldChar w:fldCharType="end"/>
      </w:r>
      <w:r w:rsidRPr="00F80B61">
        <w:rPr>
          <w:rtl/>
        </w:rPr>
        <w:t xml:space="preserve"> דהא דכשאין למחזיק חזקת ג"ש, לא הוסיף </w:t>
      </w:r>
      <w:r w:rsidRPr="00B4304C">
        <w:rPr>
          <w:rStyle w:val="affa"/>
          <w:rtl/>
        </w:rPr>
        <w:t>הרשב"ם</w:t>
      </w:r>
      <w:r w:rsidRPr="00F80B61">
        <w:rPr>
          <w:rtl/>
        </w:rPr>
        <w:t xml:space="preserve"> דאף אם טען המחזיק דבפניו קנה המוכר מהמערער, לא מהני, הוא כיון דאיירי </w:t>
      </w:r>
      <w:r w:rsidRPr="00E6118C">
        <w:rPr>
          <w:rStyle w:val="affa"/>
          <w:rtl/>
        </w:rPr>
        <w:t>הרשב"ם</w:t>
      </w:r>
      <w:r w:rsidRPr="00F80B61">
        <w:rPr>
          <w:rtl/>
        </w:rPr>
        <w:t xml:space="preserve"> בדברי</w:t>
      </w:r>
      <w:r>
        <w:rPr>
          <w:rtl/>
        </w:rPr>
        <w:t xml:space="preserve"> </w:t>
      </w:r>
      <w:r w:rsidRPr="00F80B61">
        <w:rPr>
          <w:rtl/>
        </w:rPr>
        <w:t xml:space="preserve">המחזיק דאמר שהמוכר אמר לו שקנה מהמערער, וא"כ אינו יכול לטעון </w:t>
      </w:r>
      <w:r>
        <w:rPr>
          <w:rFonts w:hint="cs"/>
          <w:rtl/>
        </w:rPr>
        <w:t>קמי דידי זבנה מינך</w:t>
      </w:r>
      <w:r w:rsidRPr="00F80B61">
        <w:rPr>
          <w:rtl/>
        </w:rPr>
        <w:t xml:space="preserve">, דהרי בתחילת דבריו הוא הודה דלא קנה המוכר בפניו, רק שמע כן מהמוכר, והוסיף </w:t>
      </w:r>
      <w:r w:rsidRPr="00E6118C">
        <w:rPr>
          <w:rStyle w:val="affa"/>
          <w:rtl/>
        </w:rPr>
        <w:t>הפני שלמה</w:t>
      </w:r>
      <w:r w:rsidRPr="00F80B61">
        <w:rPr>
          <w:rtl/>
        </w:rPr>
        <w:t xml:space="preserve"> דהפשטות </w:t>
      </w:r>
      <w:r w:rsidRPr="00E6118C">
        <w:rPr>
          <w:rStyle w:val="affa"/>
          <w:rtl/>
        </w:rPr>
        <w:t>ברשב"ם</w:t>
      </w:r>
      <w:r w:rsidRPr="00F80B61">
        <w:rPr>
          <w:rtl/>
        </w:rPr>
        <w:t xml:space="preserve"> אינה </w:t>
      </w:r>
      <w:r w:rsidRPr="00E6118C">
        <w:rPr>
          <w:rStyle w:val="affa"/>
          <w:rtl/>
        </w:rPr>
        <w:t>כהש"ך</w:t>
      </w:r>
      <w:r w:rsidRPr="00F80B61">
        <w:rPr>
          <w:rtl/>
        </w:rPr>
        <w:t xml:space="preserve">, ובמה שהוסיף </w:t>
      </w:r>
      <w:r w:rsidRPr="00E6118C">
        <w:rPr>
          <w:rStyle w:val="affa"/>
          <w:rtl/>
        </w:rPr>
        <w:t>הש"ך</w:t>
      </w:r>
      <w:r w:rsidRPr="00F80B61">
        <w:rPr>
          <w:rtl/>
        </w:rPr>
        <w:t xml:space="preserve"> להוכיח מדברי </w:t>
      </w:r>
      <w:r w:rsidRPr="00E6118C">
        <w:rPr>
          <w:rStyle w:val="affa"/>
          <w:rtl/>
        </w:rPr>
        <w:t>הרשב"ם</w:t>
      </w:r>
      <w:r w:rsidRPr="00F80B61">
        <w:rPr>
          <w:rtl/>
        </w:rPr>
        <w:t xml:space="preserve">, א"א להוציא את דברי </w:t>
      </w:r>
      <w:r w:rsidRPr="00E6118C">
        <w:rPr>
          <w:rStyle w:val="affa"/>
          <w:rtl/>
        </w:rPr>
        <w:t>הרשב"ם</w:t>
      </w:r>
      <w:r w:rsidRPr="00F80B61">
        <w:rPr>
          <w:rtl/>
        </w:rPr>
        <w:t xml:space="preserve"> מפשטותם</w:t>
      </w:r>
      <w:r>
        <w:rPr>
          <w:rFonts w:hint="cs"/>
          <w:rtl/>
        </w:rPr>
        <w:t xml:space="preserve">, וציין </w:t>
      </w:r>
      <w:r w:rsidRPr="002723F7">
        <w:rPr>
          <w:rStyle w:val="affa"/>
          <w:rFonts w:hint="cs"/>
          <w:rtl/>
        </w:rPr>
        <w:t>הפני שלמה</w:t>
      </w:r>
      <w:r>
        <w:rPr>
          <w:rFonts w:hint="cs"/>
          <w:rtl/>
        </w:rPr>
        <w:t xml:space="preserve"> למה שביאר </w:t>
      </w:r>
      <w:r w:rsidRPr="002723F7">
        <w:rPr>
          <w:rStyle w:val="affa"/>
          <w:rFonts w:hint="cs"/>
          <w:rtl/>
        </w:rPr>
        <w:t>המהר"ן שפירא [בעל המגלה עמוקות] בחי' אנשי שם</w:t>
      </w:r>
      <w:r w:rsidRPr="00D37908">
        <w:rPr>
          <w:rStyle w:val="af9"/>
          <w:rFonts w:hint="cs"/>
          <w:rtl/>
        </w:rPr>
        <w:t xml:space="preserve"> </w:t>
      </w:r>
      <w:r w:rsidRPr="00923DD1">
        <w:rPr>
          <w:rStyle w:val="aff6"/>
          <w:rFonts w:hint="cs"/>
          <w:rtl/>
        </w:rPr>
        <w:t xml:space="preserve">(עי' אות </w:t>
      </w:r>
      <w:r w:rsidRPr="00923DD1">
        <w:rPr>
          <w:rStyle w:val="aff6"/>
          <w:rtl/>
        </w:rPr>
        <w:fldChar w:fldCharType="begin"/>
      </w:r>
      <w:r w:rsidRPr="00923DD1">
        <w:rPr>
          <w:rStyle w:val="aff6"/>
          <w:rtl/>
        </w:rPr>
        <w:instrText xml:space="preserve"> </w:instrText>
      </w:r>
      <w:r w:rsidRPr="00923DD1">
        <w:rPr>
          <w:rStyle w:val="aff6"/>
          <w:rFonts w:hint="cs"/>
        </w:rPr>
        <w:instrText>REF</w:instrText>
      </w:r>
      <w:r w:rsidRPr="00923DD1">
        <w:rPr>
          <w:rStyle w:val="aff6"/>
          <w:rFonts w:hint="cs"/>
          <w:rtl/>
        </w:rPr>
        <w:instrText xml:space="preserve"> _</w:instrText>
      </w:r>
      <w:r w:rsidRPr="00923DD1">
        <w:rPr>
          <w:rStyle w:val="aff6"/>
          <w:rFonts w:hint="cs"/>
        </w:rPr>
        <w:instrText>Ref59702723 \r \h</w:instrText>
      </w:r>
      <w:r w:rsidRPr="00923DD1">
        <w:rPr>
          <w:rStyle w:val="aff6"/>
          <w:rtl/>
        </w:rPr>
        <w:instrText xml:space="preserve"> </w:instrText>
      </w:r>
      <w:r w:rsidRPr="00923DD1">
        <w:rPr>
          <w:rStyle w:val="aff6"/>
          <w:rtl/>
        </w:rPr>
      </w:r>
      <w:r w:rsidRPr="00923DD1">
        <w:rPr>
          <w:rStyle w:val="aff6"/>
          <w:rtl/>
        </w:rPr>
        <w:fldChar w:fldCharType="separate"/>
      </w:r>
      <w:r>
        <w:rPr>
          <w:rStyle w:val="aff6"/>
          <w:cs/>
        </w:rPr>
        <w:t>‎</w:t>
      </w:r>
      <w:r>
        <w:rPr>
          <w:rStyle w:val="aff6"/>
          <w:rtl/>
        </w:rPr>
        <w:t>מא)</w:t>
      </w:r>
      <w:r w:rsidRPr="00923DD1">
        <w:rPr>
          <w:rStyle w:val="aff6"/>
          <w:rtl/>
        </w:rPr>
        <w:fldChar w:fldCharType="end"/>
      </w:r>
      <w:r w:rsidRPr="00F80B61">
        <w:rPr>
          <w:rtl/>
        </w:rPr>
        <w:t>.</w:t>
      </w:r>
    </w:p>
  </w:footnote>
  <w:footnote w:id="68">
    <w:p w:rsidR="00265073" w:rsidRPr="001404E0" w:rsidRDefault="00265073" w:rsidP="000E75A3">
      <w:pPr>
        <w:pStyle w:val="af"/>
        <w:rPr>
          <w:rStyle w:val="afb"/>
          <w:rtl/>
        </w:rPr>
      </w:pPr>
      <w:r>
        <w:rPr>
          <w:rStyle w:val="af1"/>
        </w:rPr>
        <w:footnoteRef/>
      </w:r>
      <w:r>
        <w:rPr>
          <w:rtl/>
        </w:rPr>
        <w:t xml:space="preserve"> </w:t>
      </w:r>
      <w:r w:rsidRPr="003959D3">
        <w:rPr>
          <w:rStyle w:val="afb"/>
          <w:rFonts w:hint="cs"/>
          <w:rtl/>
        </w:rPr>
        <w:t>ו</w:t>
      </w:r>
      <w:r>
        <w:rPr>
          <w:rStyle w:val="afb"/>
          <w:rFonts w:hint="cs"/>
          <w:rtl/>
        </w:rPr>
        <w:t>לכאו' אפשר להוסיף, ד</w:t>
      </w:r>
      <w:r w:rsidRPr="003959D3">
        <w:rPr>
          <w:rStyle w:val="afb"/>
          <w:rFonts w:hint="cs"/>
          <w:rtl/>
        </w:rPr>
        <w:t xml:space="preserve">כן משמע </w:t>
      </w:r>
      <w:r>
        <w:rPr>
          <w:rStyle w:val="afb"/>
          <w:rFonts w:hint="cs"/>
          <w:rtl/>
        </w:rPr>
        <w:t xml:space="preserve">גם </w:t>
      </w:r>
      <w:r w:rsidRPr="003959D3">
        <w:rPr>
          <w:rStyle w:val="afb"/>
          <w:rFonts w:hint="cs"/>
          <w:rtl/>
        </w:rPr>
        <w:t>מ</w:t>
      </w:r>
      <w:r>
        <w:rPr>
          <w:rStyle w:val="afb"/>
          <w:rFonts w:hint="cs"/>
          <w:rtl/>
        </w:rPr>
        <w:t xml:space="preserve">תחילת דברי </w:t>
      </w:r>
      <w:r w:rsidRPr="00B05CEE">
        <w:rPr>
          <w:rStyle w:val="affa"/>
          <w:rtl/>
        </w:rPr>
        <w:t>הרמב"ן</w:t>
      </w:r>
      <w:r w:rsidRPr="001404E0">
        <w:rPr>
          <w:rStyle w:val="afb"/>
          <w:rtl/>
        </w:rPr>
        <w:t xml:space="preserve"> </w:t>
      </w:r>
      <w:r w:rsidRPr="00EB2A2D">
        <w:rPr>
          <w:rStyle w:val="aff6"/>
          <w:rFonts w:hint="cs"/>
          <w:rtl/>
        </w:rPr>
        <w:t>(ד"ה הכי גרסינן)</w:t>
      </w:r>
      <w:r>
        <w:rPr>
          <w:rStyle w:val="afb"/>
          <w:rFonts w:hint="cs"/>
          <w:rtl/>
        </w:rPr>
        <w:t xml:space="preserve"> דכתב דנאמן בטענת</w:t>
      </w:r>
      <w:r w:rsidRPr="001404E0">
        <w:rPr>
          <w:rStyle w:val="afb"/>
          <w:rtl/>
        </w:rPr>
        <w:t xml:space="preserve"> קמי דידי זבנה מינך, כדאיתא בגמ' לקמן </w:t>
      </w:r>
      <w:r w:rsidRPr="00B05CEE">
        <w:rPr>
          <w:rStyle w:val="aff6"/>
          <w:rtl/>
        </w:rPr>
        <w:t>(מא:)</w:t>
      </w:r>
      <w:r w:rsidRPr="001404E0">
        <w:rPr>
          <w:rStyle w:val="afb"/>
          <w:rtl/>
        </w:rPr>
        <w:t xml:space="preserve">, וכדכתב </w:t>
      </w:r>
      <w:r w:rsidRPr="00B05CEE">
        <w:rPr>
          <w:rStyle w:val="affa"/>
          <w:rtl/>
        </w:rPr>
        <w:t>הרשב"ם</w:t>
      </w:r>
      <w:r>
        <w:rPr>
          <w:rStyle w:val="afb"/>
          <w:rFonts w:hint="cs"/>
          <w:rtl/>
        </w:rPr>
        <w:t xml:space="preserve">, ולא הזכיר </w:t>
      </w:r>
      <w:r w:rsidRPr="00B05CEE">
        <w:rPr>
          <w:rStyle w:val="affa"/>
          <w:rFonts w:hint="cs"/>
          <w:rtl/>
        </w:rPr>
        <w:t>הרמב"ן</w:t>
      </w:r>
      <w:r>
        <w:rPr>
          <w:rStyle w:val="afb"/>
          <w:rFonts w:hint="cs"/>
          <w:rtl/>
        </w:rPr>
        <w:t xml:space="preserve"> דלדבריו הנאמנות היא אף כשאין לו חזקת ג"ש, כדכתב </w:t>
      </w:r>
      <w:r w:rsidRPr="00B05CEE">
        <w:rPr>
          <w:rStyle w:val="affa"/>
          <w:rFonts w:hint="cs"/>
          <w:rtl/>
        </w:rPr>
        <w:t>הרמב"ן</w:t>
      </w:r>
      <w:r>
        <w:rPr>
          <w:rStyle w:val="afb"/>
          <w:rFonts w:hint="cs"/>
          <w:rtl/>
        </w:rPr>
        <w:t xml:space="preserve"> </w:t>
      </w:r>
      <w:r w:rsidRPr="00EB2A2D">
        <w:rPr>
          <w:rStyle w:val="aff6"/>
          <w:rFonts w:hint="cs"/>
          <w:rtl/>
        </w:rPr>
        <w:t xml:space="preserve">(עי' אות </w:t>
      </w:r>
      <w:r w:rsidRPr="00EB2A2D">
        <w:rPr>
          <w:rStyle w:val="aff6"/>
          <w:rtl/>
        </w:rPr>
        <w:fldChar w:fldCharType="begin"/>
      </w:r>
      <w:r w:rsidRPr="00EB2A2D">
        <w:rPr>
          <w:rStyle w:val="aff6"/>
          <w:rtl/>
        </w:rPr>
        <w:instrText xml:space="preserve"> </w:instrText>
      </w:r>
      <w:r w:rsidRPr="00EB2A2D">
        <w:rPr>
          <w:rStyle w:val="aff6"/>
          <w:rFonts w:hint="cs"/>
        </w:rPr>
        <w:instrText>REF</w:instrText>
      </w:r>
      <w:r w:rsidRPr="00EB2A2D">
        <w:rPr>
          <w:rStyle w:val="aff6"/>
          <w:rFonts w:hint="cs"/>
          <w:rtl/>
        </w:rPr>
        <w:instrText xml:space="preserve"> _</w:instrText>
      </w:r>
      <w:r w:rsidRPr="00EB2A2D">
        <w:rPr>
          <w:rStyle w:val="aff6"/>
          <w:rFonts w:hint="cs"/>
        </w:rPr>
        <w:instrText>Ref59615619 \r \h</w:instrText>
      </w:r>
      <w:r w:rsidRPr="00EB2A2D">
        <w:rPr>
          <w:rStyle w:val="aff6"/>
          <w:rtl/>
        </w:rPr>
        <w:instrText xml:space="preserve"> </w:instrText>
      </w:r>
      <w:r w:rsidRPr="00EB2A2D">
        <w:rPr>
          <w:rStyle w:val="aff6"/>
          <w:rtl/>
        </w:rPr>
      </w:r>
      <w:r w:rsidRPr="00EB2A2D">
        <w:rPr>
          <w:rStyle w:val="aff6"/>
          <w:rtl/>
        </w:rPr>
        <w:fldChar w:fldCharType="separate"/>
      </w:r>
      <w:r>
        <w:rPr>
          <w:rStyle w:val="aff6"/>
          <w:cs/>
        </w:rPr>
        <w:t>‎</w:t>
      </w:r>
      <w:r>
        <w:rPr>
          <w:rStyle w:val="aff6"/>
          <w:rtl/>
        </w:rPr>
        <w:t>צב)</w:t>
      </w:r>
      <w:r w:rsidRPr="00EB2A2D">
        <w:rPr>
          <w:rStyle w:val="aff6"/>
          <w:rtl/>
        </w:rPr>
        <w:fldChar w:fldCharType="end"/>
      </w:r>
      <w:r w:rsidRPr="00A3669A">
        <w:rPr>
          <w:rFonts w:hint="cs"/>
          <w:rtl/>
        </w:rPr>
        <w:t xml:space="preserve"> </w:t>
      </w:r>
      <w:r>
        <w:rPr>
          <w:rStyle w:val="afb"/>
          <w:rFonts w:hint="cs"/>
          <w:rtl/>
        </w:rPr>
        <w:t xml:space="preserve">בהמשך דבריו, ואילו </w:t>
      </w:r>
      <w:r w:rsidRPr="00B05CEE">
        <w:rPr>
          <w:rStyle w:val="affa"/>
          <w:rFonts w:hint="cs"/>
          <w:rtl/>
        </w:rPr>
        <w:t>לרשב"ם</w:t>
      </w:r>
      <w:r>
        <w:rPr>
          <w:rStyle w:val="afb"/>
          <w:rFonts w:hint="cs"/>
          <w:rtl/>
        </w:rPr>
        <w:t xml:space="preserve"> נאמן רק יחד עם חזקה, אבל לענין דר בה חד יומא, פליג </w:t>
      </w:r>
      <w:r w:rsidRPr="00382104">
        <w:rPr>
          <w:rStyle w:val="affa"/>
          <w:rFonts w:hint="cs"/>
          <w:rtl/>
        </w:rPr>
        <w:t>הרמב"ן</w:t>
      </w:r>
      <w:r>
        <w:rPr>
          <w:rStyle w:val="afb"/>
          <w:rFonts w:hint="cs"/>
          <w:rtl/>
        </w:rPr>
        <w:t xml:space="preserve"> </w:t>
      </w:r>
      <w:r w:rsidRPr="00B05CEE">
        <w:rPr>
          <w:rStyle w:val="aff6"/>
          <w:rFonts w:hint="cs"/>
          <w:rtl/>
        </w:rPr>
        <w:t xml:space="preserve">(עי' אות </w:t>
      </w:r>
      <w:r w:rsidRPr="00B05CEE">
        <w:rPr>
          <w:rStyle w:val="aff6"/>
          <w:rtl/>
        </w:rPr>
        <w:fldChar w:fldCharType="begin"/>
      </w:r>
      <w:r w:rsidRPr="00B05CEE">
        <w:rPr>
          <w:rStyle w:val="aff6"/>
          <w:rtl/>
        </w:rPr>
        <w:instrText xml:space="preserve"> </w:instrText>
      </w:r>
      <w:r w:rsidRPr="00B05CEE">
        <w:rPr>
          <w:rStyle w:val="aff6"/>
          <w:rFonts w:hint="cs"/>
        </w:rPr>
        <w:instrText>REF</w:instrText>
      </w:r>
      <w:r w:rsidRPr="00B05CEE">
        <w:rPr>
          <w:rStyle w:val="aff6"/>
          <w:rFonts w:hint="cs"/>
          <w:rtl/>
        </w:rPr>
        <w:instrText xml:space="preserve"> _</w:instrText>
      </w:r>
      <w:r w:rsidRPr="00B05CEE">
        <w:rPr>
          <w:rStyle w:val="aff6"/>
          <w:rFonts w:hint="cs"/>
        </w:rPr>
        <w:instrText>Ref58428245 \r \h</w:instrText>
      </w:r>
      <w:r w:rsidRPr="00B05CEE">
        <w:rPr>
          <w:rStyle w:val="aff6"/>
          <w:rtl/>
        </w:rPr>
        <w:instrText xml:space="preserve"> </w:instrText>
      </w:r>
      <w:r w:rsidRPr="00B05CEE">
        <w:rPr>
          <w:rStyle w:val="aff6"/>
          <w:rtl/>
        </w:rPr>
      </w:r>
      <w:r w:rsidRPr="00B05CEE">
        <w:rPr>
          <w:rStyle w:val="aff6"/>
          <w:rtl/>
        </w:rPr>
        <w:fldChar w:fldCharType="separate"/>
      </w:r>
      <w:r>
        <w:rPr>
          <w:rStyle w:val="aff6"/>
          <w:cs/>
        </w:rPr>
        <w:t>‎</w:t>
      </w:r>
      <w:r>
        <w:rPr>
          <w:rStyle w:val="aff6"/>
          <w:rtl/>
        </w:rPr>
        <w:t>לו)</w:t>
      </w:r>
      <w:r w:rsidRPr="00B05CEE">
        <w:rPr>
          <w:rStyle w:val="aff6"/>
          <w:rtl/>
        </w:rPr>
        <w:fldChar w:fldCharType="end"/>
      </w:r>
      <w:r>
        <w:rPr>
          <w:rStyle w:val="afb"/>
          <w:rFonts w:hint="cs"/>
          <w:rtl/>
        </w:rPr>
        <w:t xml:space="preserve"> להדיא על </w:t>
      </w:r>
      <w:r w:rsidRPr="00B05CEE">
        <w:rPr>
          <w:rStyle w:val="affa"/>
          <w:rFonts w:hint="cs"/>
          <w:rtl/>
        </w:rPr>
        <w:t>הרשב"ם</w:t>
      </w:r>
      <w:r>
        <w:rPr>
          <w:rStyle w:val="afb"/>
          <w:rFonts w:hint="cs"/>
          <w:rtl/>
        </w:rPr>
        <w:t xml:space="preserve">, ומשמע דבטענת קמי דידי, ס"ל </w:t>
      </w:r>
      <w:r w:rsidRPr="00B05CEE">
        <w:rPr>
          <w:rStyle w:val="affa"/>
          <w:rFonts w:hint="cs"/>
          <w:rtl/>
        </w:rPr>
        <w:t>להרמב"ן</w:t>
      </w:r>
      <w:r>
        <w:rPr>
          <w:rStyle w:val="afb"/>
          <w:rFonts w:hint="cs"/>
          <w:rtl/>
        </w:rPr>
        <w:t xml:space="preserve"> דאף </w:t>
      </w:r>
      <w:r w:rsidRPr="00382104">
        <w:rPr>
          <w:rStyle w:val="affa"/>
          <w:rFonts w:hint="cs"/>
          <w:rtl/>
        </w:rPr>
        <w:t>לרשב"ם</w:t>
      </w:r>
      <w:r>
        <w:rPr>
          <w:rStyle w:val="afb"/>
          <w:rFonts w:hint="cs"/>
          <w:rtl/>
        </w:rPr>
        <w:t xml:space="preserve"> א"צ חזקת ג"ש.</w:t>
      </w:r>
    </w:p>
  </w:footnote>
  <w:footnote w:id="69">
    <w:p w:rsidR="00265073" w:rsidRDefault="00265073" w:rsidP="006A4297">
      <w:pPr>
        <w:pStyle w:val="af"/>
      </w:pPr>
      <w:r>
        <w:rPr>
          <w:rStyle w:val="af1"/>
        </w:rPr>
        <w:footnoteRef/>
      </w:r>
      <w:r>
        <w:rPr>
          <w:rtl/>
        </w:rPr>
        <w:t xml:space="preserve"> </w:t>
      </w:r>
      <w:r>
        <w:rPr>
          <w:rStyle w:val="afb"/>
          <w:rFonts w:hint="cs"/>
          <w:rtl/>
        </w:rPr>
        <w:t xml:space="preserve">ועי' </w:t>
      </w:r>
      <w:r w:rsidRPr="003A5405">
        <w:rPr>
          <w:rStyle w:val="affa"/>
          <w:rFonts w:hint="cs"/>
          <w:rtl/>
        </w:rPr>
        <w:t>ברשב"ם לקמן</w:t>
      </w:r>
      <w:r>
        <w:rPr>
          <w:rStyle w:val="afb"/>
          <w:rFonts w:hint="cs"/>
          <w:rtl/>
        </w:rPr>
        <w:t xml:space="preserve"> </w:t>
      </w:r>
      <w:r w:rsidRPr="003A5405">
        <w:rPr>
          <w:rStyle w:val="aff6"/>
          <w:rFonts w:hint="cs"/>
          <w:rtl/>
        </w:rPr>
        <w:t xml:space="preserve">(לא. ד"ה ומודו </w:t>
      </w:r>
      <w:r w:rsidRPr="003A5405">
        <w:rPr>
          <w:rStyle w:val="aff6"/>
          <w:rtl/>
        </w:rPr>
        <w:t>נהרדעי</w:t>
      </w:r>
      <w:r w:rsidRPr="003A5405">
        <w:rPr>
          <w:rStyle w:val="aff6"/>
          <w:rFonts w:hint="cs"/>
          <w:rtl/>
        </w:rPr>
        <w:t>)</w:t>
      </w:r>
      <w:r>
        <w:rPr>
          <w:rStyle w:val="afb"/>
          <w:rFonts w:hint="cs"/>
          <w:rtl/>
        </w:rPr>
        <w:t xml:space="preserve"> דכתב דבגמ' לקמן</w:t>
      </w:r>
      <w:r w:rsidRPr="003A5405">
        <w:rPr>
          <w:rStyle w:val="aff6"/>
          <w:rFonts w:hint="cs"/>
          <w:rtl/>
        </w:rPr>
        <w:t xml:space="preserve"> (מא:) </w:t>
      </w:r>
      <w:r>
        <w:rPr>
          <w:rStyle w:val="afb"/>
          <w:rFonts w:hint="cs"/>
          <w:rtl/>
        </w:rPr>
        <w:t>בדין יורש איירי שיש ליורש חזקת ג"ש, ולכן סגי בראיה שהחזיק בה אביו חד יומא, ואינו צריך טענה דטענינן ליורש</w:t>
      </w:r>
      <w:r>
        <w:rPr>
          <w:rFonts w:hint="cs"/>
          <w:rtl/>
        </w:rPr>
        <w:t xml:space="preserve">, וא"כ בין בביאור </w:t>
      </w:r>
      <w:r w:rsidRPr="003A5405">
        <w:rPr>
          <w:rStyle w:val="affa"/>
          <w:rFonts w:hint="cs"/>
          <w:rtl/>
        </w:rPr>
        <w:t>המהרש"א</w:t>
      </w:r>
      <w:r>
        <w:rPr>
          <w:rFonts w:hint="cs"/>
          <w:rtl/>
        </w:rPr>
        <w:t xml:space="preserve"> </w:t>
      </w:r>
      <w:r w:rsidRPr="003A5405">
        <w:rPr>
          <w:rStyle w:val="aff6"/>
          <w:rFonts w:hint="cs"/>
          <w:rtl/>
        </w:rPr>
        <w:t xml:space="preserve">(עי' אות </w:t>
      </w:r>
      <w:r w:rsidRPr="003A5405">
        <w:rPr>
          <w:rStyle w:val="aff6"/>
          <w:rtl/>
        </w:rPr>
        <w:fldChar w:fldCharType="begin"/>
      </w:r>
      <w:r w:rsidRPr="003A5405">
        <w:rPr>
          <w:rStyle w:val="aff6"/>
          <w:rtl/>
        </w:rPr>
        <w:instrText xml:space="preserve"> </w:instrText>
      </w:r>
      <w:r w:rsidRPr="003A5405">
        <w:rPr>
          <w:rStyle w:val="aff6"/>
          <w:rFonts w:hint="cs"/>
        </w:rPr>
        <w:instrText>REF</w:instrText>
      </w:r>
      <w:r w:rsidRPr="003A5405">
        <w:rPr>
          <w:rStyle w:val="aff6"/>
          <w:rFonts w:hint="cs"/>
          <w:rtl/>
        </w:rPr>
        <w:instrText xml:space="preserve"> _</w:instrText>
      </w:r>
      <w:r w:rsidRPr="003A5405">
        <w:rPr>
          <w:rStyle w:val="aff6"/>
          <w:rFonts w:hint="cs"/>
        </w:rPr>
        <w:instrText>Ref60243234 \r \h</w:instrText>
      </w:r>
      <w:r w:rsidRPr="003A5405">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3A5405">
        <w:rPr>
          <w:rStyle w:val="aff6"/>
          <w:rtl/>
        </w:rPr>
      </w:r>
      <w:r w:rsidRPr="003A5405">
        <w:rPr>
          <w:rStyle w:val="aff6"/>
          <w:rtl/>
        </w:rPr>
        <w:fldChar w:fldCharType="separate"/>
      </w:r>
      <w:r>
        <w:rPr>
          <w:rStyle w:val="aff6"/>
          <w:cs/>
        </w:rPr>
        <w:t>‎</w:t>
      </w:r>
      <w:r>
        <w:rPr>
          <w:rStyle w:val="aff6"/>
          <w:rtl/>
        </w:rPr>
        <w:t>ז)</w:t>
      </w:r>
      <w:r w:rsidRPr="003A5405">
        <w:rPr>
          <w:rStyle w:val="aff6"/>
          <w:rtl/>
        </w:rPr>
        <w:fldChar w:fldCharType="end"/>
      </w:r>
      <w:r w:rsidRPr="003A5405">
        <w:rPr>
          <w:rStyle w:val="aff6"/>
          <w:rFonts w:hint="cs"/>
          <w:rtl/>
        </w:rPr>
        <w:t xml:space="preserve"> </w:t>
      </w:r>
      <w:r w:rsidRPr="003A5405">
        <w:rPr>
          <w:rStyle w:val="affa"/>
          <w:rFonts w:hint="cs"/>
          <w:rtl/>
        </w:rPr>
        <w:t>ברשב"ם בסוגיין</w:t>
      </w:r>
      <w:r>
        <w:rPr>
          <w:rFonts w:hint="cs"/>
          <w:rtl/>
        </w:rPr>
        <w:t xml:space="preserve"> דכתב דנאמן בקמי דידי דר בה חד יומא, ובין בביאור </w:t>
      </w:r>
      <w:r w:rsidRPr="003A5405">
        <w:rPr>
          <w:rStyle w:val="affa"/>
          <w:rFonts w:hint="cs"/>
          <w:rtl/>
        </w:rPr>
        <w:t>המהרש"א</w:t>
      </w:r>
      <w:r>
        <w:rPr>
          <w:rFonts w:hint="cs"/>
          <w:rtl/>
        </w:rPr>
        <w:t xml:space="preserve"> </w:t>
      </w:r>
      <w:r w:rsidRPr="000568D2">
        <w:rPr>
          <w:rStyle w:val="aff6"/>
          <w:rFonts w:hint="cs"/>
          <w:rtl/>
        </w:rPr>
        <w:t xml:space="preserve">(עי' אות </w:t>
      </w:r>
      <w:r w:rsidRPr="000568D2">
        <w:rPr>
          <w:rStyle w:val="aff6"/>
          <w:rtl/>
        </w:rPr>
        <w:fldChar w:fldCharType="begin"/>
      </w:r>
      <w:r w:rsidRPr="000568D2">
        <w:rPr>
          <w:rStyle w:val="aff6"/>
          <w:rtl/>
        </w:rPr>
        <w:instrText xml:space="preserve"> </w:instrText>
      </w:r>
      <w:r w:rsidRPr="000568D2">
        <w:rPr>
          <w:rStyle w:val="aff6"/>
          <w:rFonts w:hint="cs"/>
        </w:rPr>
        <w:instrText>REF</w:instrText>
      </w:r>
      <w:r w:rsidRPr="000568D2">
        <w:rPr>
          <w:rStyle w:val="aff6"/>
          <w:rFonts w:hint="cs"/>
          <w:rtl/>
        </w:rPr>
        <w:instrText xml:space="preserve"> _</w:instrText>
      </w:r>
      <w:r w:rsidRPr="000568D2">
        <w:rPr>
          <w:rStyle w:val="aff6"/>
          <w:rFonts w:hint="cs"/>
        </w:rPr>
        <w:instrText>Ref60243245 \r \h</w:instrText>
      </w:r>
      <w:r w:rsidRPr="000568D2">
        <w:rPr>
          <w:rStyle w:val="aff6"/>
          <w:rtl/>
        </w:rPr>
        <w:instrText xml:space="preserve"> </w:instrText>
      </w:r>
      <w:r w:rsidRPr="000568D2">
        <w:rPr>
          <w:rStyle w:val="aff6"/>
          <w:rtl/>
        </w:rPr>
      </w:r>
      <w:r w:rsidRPr="000568D2">
        <w:rPr>
          <w:rStyle w:val="aff6"/>
          <w:rtl/>
        </w:rPr>
        <w:fldChar w:fldCharType="separate"/>
      </w:r>
      <w:r>
        <w:rPr>
          <w:rStyle w:val="aff6"/>
          <w:cs/>
        </w:rPr>
        <w:t>‎</w:t>
      </w:r>
      <w:r>
        <w:rPr>
          <w:rStyle w:val="aff6"/>
          <w:rtl/>
        </w:rPr>
        <w:t>ג)</w:t>
      </w:r>
      <w:r w:rsidRPr="000568D2">
        <w:rPr>
          <w:rStyle w:val="aff6"/>
          <w:rtl/>
        </w:rPr>
        <w:fldChar w:fldCharType="end"/>
      </w:r>
      <w:r>
        <w:rPr>
          <w:rStyle w:val="aff6"/>
          <w:rFonts w:hint="cs"/>
          <w:rtl/>
        </w:rPr>
        <w:t xml:space="preserve"> </w:t>
      </w:r>
      <w:r w:rsidRPr="003A5405">
        <w:rPr>
          <w:rStyle w:val="affa"/>
          <w:rFonts w:hint="cs"/>
          <w:rtl/>
        </w:rPr>
        <w:t>ברשב"ם לקמן</w:t>
      </w:r>
      <w:r>
        <w:rPr>
          <w:rFonts w:hint="cs"/>
          <w:rtl/>
        </w:rPr>
        <w:t xml:space="preserve"> דכתב דאינו נאמן, איירי שיש למחזיק חזקת ג"ש, וצ"ע סתירת </w:t>
      </w:r>
      <w:r w:rsidRPr="003A5405">
        <w:rPr>
          <w:rStyle w:val="affa"/>
          <w:rFonts w:hint="cs"/>
          <w:rtl/>
        </w:rPr>
        <w:t>המהרש"א</w:t>
      </w:r>
      <w:r>
        <w:rPr>
          <w:rFonts w:hint="cs"/>
          <w:rtl/>
        </w:rPr>
        <w:t>.</w:t>
      </w:r>
    </w:p>
  </w:footnote>
  <w:footnote w:id="70">
    <w:p w:rsidR="00265073" w:rsidRPr="00996969" w:rsidRDefault="00265073" w:rsidP="006A4297">
      <w:pPr>
        <w:pStyle w:val="af"/>
        <w:rPr>
          <w:rtl/>
        </w:rPr>
      </w:pPr>
      <w:r>
        <w:rPr>
          <w:rStyle w:val="af1"/>
        </w:rPr>
        <w:footnoteRef/>
      </w:r>
      <w:r>
        <w:rPr>
          <w:rtl/>
        </w:rPr>
        <w:t xml:space="preserve"> </w:t>
      </w:r>
      <w:r w:rsidRPr="00996969">
        <w:rPr>
          <w:rFonts w:hint="cs"/>
          <w:rtl/>
        </w:rPr>
        <w:t xml:space="preserve">וכתב </w:t>
      </w:r>
      <w:r w:rsidRPr="00996969">
        <w:rPr>
          <w:rStyle w:val="affa"/>
          <w:rFonts w:hint="cs"/>
          <w:rtl/>
        </w:rPr>
        <w:t>הרמב"ן לקמן</w:t>
      </w:r>
      <w:r w:rsidRPr="00996969">
        <w:rPr>
          <w:rFonts w:hint="cs"/>
          <w:rtl/>
        </w:rPr>
        <w:t xml:space="preserve"> דע"ז הקשה רב לרבי חייא בגמ' לקמן </w:t>
      </w:r>
      <w:r w:rsidRPr="00E22C94">
        <w:rPr>
          <w:rStyle w:val="aff6"/>
          <w:rFonts w:hint="cs"/>
          <w:rtl/>
        </w:rPr>
        <w:t>(מא:)</w:t>
      </w:r>
      <w:r w:rsidRPr="00996969">
        <w:rPr>
          <w:rFonts w:hint="cs"/>
          <w:rtl/>
        </w:rPr>
        <w:t xml:space="preserve">, דאדם עשוי לקנות ולמכור בלילה, וכיון שהמחזיק הוא לוקח יהיה דין טענינן, וכתב </w:t>
      </w:r>
      <w:r w:rsidRPr="00996969">
        <w:rPr>
          <w:rStyle w:val="affa"/>
          <w:rFonts w:hint="cs"/>
          <w:rtl/>
        </w:rPr>
        <w:t>הרמב"ן</w:t>
      </w:r>
      <w:r w:rsidRPr="00996969">
        <w:rPr>
          <w:rFonts w:hint="cs"/>
          <w:rtl/>
        </w:rPr>
        <w:t xml:space="preserve"> דרבי חייא לא חשש לזה, וס"ל דכל שאין לו עדים דדר בה חד יומא אין דין טענינן.</w:t>
      </w:r>
    </w:p>
    <w:p w:rsidR="00265073" w:rsidRPr="00996969" w:rsidRDefault="00265073" w:rsidP="006A4297">
      <w:pPr>
        <w:pStyle w:val="af"/>
        <w:rPr>
          <w:rtl/>
        </w:rPr>
      </w:pPr>
      <w:r w:rsidRPr="00996969">
        <w:rPr>
          <w:rFonts w:hint="cs"/>
          <w:rtl/>
        </w:rPr>
        <w:t xml:space="preserve">וכתב </w:t>
      </w:r>
      <w:r w:rsidRPr="00996969">
        <w:rPr>
          <w:rStyle w:val="affa"/>
          <w:rFonts w:hint="cs"/>
          <w:rtl/>
        </w:rPr>
        <w:t>הרמב"ן לקמן</w:t>
      </w:r>
      <w:r w:rsidRPr="00996969">
        <w:rPr>
          <w:rFonts w:hint="cs"/>
          <w:rtl/>
        </w:rPr>
        <w:t xml:space="preserve"> דאפש"ל דאף אם המחזיק נאמן דהמוכר היה דר בה חד יומא, מ"מ כל שאין לו עדים ע"ז לא טענינן ליה, דכל דין טענינן הוא במקום שאנו יודעים שיש לו דין לוקח, אבל כשרק לפי טענתו הוא לוקח ואין לו ראיה ע"ז אין דין טענינן.</w:t>
      </w:r>
    </w:p>
    <w:p w:rsidR="00265073" w:rsidRPr="00996969" w:rsidRDefault="00265073" w:rsidP="006A4297">
      <w:pPr>
        <w:pStyle w:val="af"/>
        <w:rPr>
          <w:rtl/>
        </w:rPr>
      </w:pPr>
      <w:r w:rsidRPr="00996969">
        <w:rPr>
          <w:rFonts w:hint="cs"/>
          <w:rtl/>
        </w:rPr>
        <w:t xml:space="preserve">והקשה </w:t>
      </w:r>
      <w:r w:rsidRPr="009450FC">
        <w:rPr>
          <w:rStyle w:val="affa"/>
          <w:rFonts w:hint="cs"/>
          <w:rtl/>
        </w:rPr>
        <w:t>הרמב"ן לקמן</w:t>
      </w:r>
      <w:r w:rsidRPr="00996969">
        <w:rPr>
          <w:rFonts w:hint="cs"/>
          <w:rtl/>
        </w:rPr>
        <w:t xml:space="preserve"> דהא משמע בגמ' לקמן </w:t>
      </w:r>
      <w:r w:rsidRPr="00E22C94">
        <w:rPr>
          <w:rStyle w:val="aff6"/>
          <w:rFonts w:hint="cs"/>
          <w:rtl/>
        </w:rPr>
        <w:t xml:space="preserve">(מא:) </w:t>
      </w:r>
      <w:r w:rsidRPr="00996969">
        <w:rPr>
          <w:rFonts w:hint="cs"/>
          <w:rtl/>
        </w:rPr>
        <w:t xml:space="preserve">דכל שיש לו ראיה טענינן ליה, אעפ"י שאין ראיה שהוא לוקח או יורש, ותירץ </w:t>
      </w:r>
      <w:r w:rsidRPr="009450FC">
        <w:rPr>
          <w:rStyle w:val="affa"/>
          <w:rFonts w:hint="cs"/>
          <w:rtl/>
        </w:rPr>
        <w:t>הרמב"ן</w:t>
      </w:r>
      <w:r w:rsidRPr="00996969">
        <w:rPr>
          <w:rFonts w:hint="cs"/>
          <w:rtl/>
        </w:rPr>
        <w:t xml:space="preserve"> בשם </w:t>
      </w:r>
      <w:r w:rsidRPr="009450FC">
        <w:rPr>
          <w:rStyle w:val="affa"/>
          <w:rFonts w:hint="cs"/>
          <w:rtl/>
        </w:rPr>
        <w:t>הראב"ד</w:t>
      </w:r>
      <w:r w:rsidRPr="00996969">
        <w:rPr>
          <w:rFonts w:hint="cs"/>
          <w:rtl/>
        </w:rPr>
        <w:t xml:space="preserve"> דכוונת הגמ' דדוקא במי שהוא יורש בודאי דסגי לו בראיה, וכתב </w:t>
      </w:r>
      <w:r w:rsidRPr="009450FC">
        <w:rPr>
          <w:rStyle w:val="affa"/>
          <w:rFonts w:hint="cs"/>
          <w:rtl/>
        </w:rPr>
        <w:t>הרמב"ן</w:t>
      </w:r>
      <w:r w:rsidRPr="00996969">
        <w:rPr>
          <w:rFonts w:hint="cs"/>
          <w:rtl/>
        </w:rPr>
        <w:t xml:space="preserve"> דלפי דברי </w:t>
      </w:r>
      <w:r w:rsidRPr="009450FC">
        <w:rPr>
          <w:rStyle w:val="affa"/>
          <w:rFonts w:hint="cs"/>
          <w:rtl/>
        </w:rPr>
        <w:t>הראב"ד</w:t>
      </w:r>
      <w:r w:rsidRPr="00996969">
        <w:rPr>
          <w:rFonts w:hint="cs"/>
          <w:rtl/>
        </w:rPr>
        <w:t>, א"כ בסוגיין אין המחזיק נאמן אף כשיש לו עדים דדר המוכר חד יומא, אם אין לו עדים שהוא קנה מהמוכר, דבכה"ג אין לו דין לוקח ולא טענינן ליה.</w:t>
      </w:r>
    </w:p>
    <w:p w:rsidR="00265073" w:rsidRPr="00996969" w:rsidRDefault="00265073" w:rsidP="006A4297">
      <w:pPr>
        <w:pStyle w:val="af"/>
        <w:rPr>
          <w:rtl/>
        </w:rPr>
      </w:pPr>
      <w:r w:rsidRPr="00996969">
        <w:rPr>
          <w:rFonts w:hint="cs"/>
          <w:rtl/>
        </w:rPr>
        <w:t xml:space="preserve">ודחה </w:t>
      </w:r>
      <w:r w:rsidRPr="009450FC">
        <w:rPr>
          <w:rStyle w:val="affa"/>
          <w:rFonts w:hint="cs"/>
          <w:rtl/>
        </w:rPr>
        <w:t>הרמב"ן לקמן</w:t>
      </w:r>
      <w:r w:rsidRPr="00996969">
        <w:rPr>
          <w:rFonts w:hint="cs"/>
          <w:rtl/>
        </w:rPr>
        <w:t xml:space="preserve"> את דברי </w:t>
      </w:r>
      <w:r w:rsidRPr="00996969">
        <w:rPr>
          <w:rStyle w:val="affa"/>
          <w:rFonts w:hint="cs"/>
          <w:rtl/>
        </w:rPr>
        <w:t>הראב"ד</w:t>
      </w:r>
      <w:r w:rsidRPr="00996969">
        <w:rPr>
          <w:rFonts w:hint="cs"/>
          <w:rtl/>
        </w:rPr>
        <w:t xml:space="preserve"> דכל שהמחזיק טוען שהוא קנה מהמוכר הוא נאמן, כדמוכח מתפיסת מטלטלין, דאף שיש לתובע עדים שהם שלו, וטוען התפוס שקנה מפלוני, דטענינן ליה שאותו פלוני קנה מהמוכר, וכדאיתא בגמ' בב"מ </w:t>
      </w:r>
      <w:r w:rsidRPr="00E22C94">
        <w:rPr>
          <w:rStyle w:val="aff6"/>
          <w:rFonts w:hint="cs"/>
          <w:rtl/>
        </w:rPr>
        <w:t>(קיד:)</w:t>
      </w:r>
      <w:r w:rsidRPr="00996969">
        <w:rPr>
          <w:rFonts w:hint="cs"/>
          <w:rtl/>
        </w:rPr>
        <w:t>, וה"ה כשיש למחזיק חזקת ג"ש, והא דצריך עדים דדר המוכר חד יומא הוא כיון דבלא"ה הוא נראה כמשקר, אבל כשיש לו עידי חד יומא הוא נראה כלוקח, וכדמוכח מהא דהקשה רב דאדם עשיוי לקנות ולמכור בלילה, ומוכח דכל שהוא טוען דבר שאדם עשוי לעשות הוא נאמן כיון שיש לו חזקת ג"ש, ומדרב נשמע לרבי חייא.</w:t>
      </w:r>
    </w:p>
    <w:p w:rsidR="00265073" w:rsidRDefault="00265073" w:rsidP="006A4297">
      <w:pPr>
        <w:pStyle w:val="af"/>
      </w:pPr>
      <w:r w:rsidRPr="00996969">
        <w:rPr>
          <w:rFonts w:hint="cs"/>
          <w:rtl/>
        </w:rPr>
        <w:t xml:space="preserve">וביאר </w:t>
      </w:r>
      <w:r w:rsidRPr="009450FC">
        <w:rPr>
          <w:rStyle w:val="affa"/>
          <w:rFonts w:hint="cs"/>
          <w:rtl/>
        </w:rPr>
        <w:t>הנימוק"י לקמן</w:t>
      </w:r>
      <w:r w:rsidRPr="00996969">
        <w:rPr>
          <w:rFonts w:hint="cs"/>
          <w:rtl/>
        </w:rPr>
        <w:t xml:space="preserve"> </w:t>
      </w:r>
      <w:r w:rsidRPr="00E22C94">
        <w:rPr>
          <w:rStyle w:val="aff6"/>
          <w:rFonts w:hint="cs"/>
          <w:rtl/>
        </w:rPr>
        <w:t xml:space="preserve">(כב. מדה"ר ד"ה אי) </w:t>
      </w:r>
      <w:r w:rsidRPr="00996969">
        <w:rPr>
          <w:rFonts w:hint="cs"/>
          <w:rtl/>
        </w:rPr>
        <w:t xml:space="preserve">את דברי </w:t>
      </w:r>
      <w:r w:rsidRPr="009450FC">
        <w:rPr>
          <w:rStyle w:val="affa"/>
          <w:rFonts w:hint="cs"/>
          <w:rtl/>
        </w:rPr>
        <w:t>הרמב"ן לקמן</w:t>
      </w:r>
      <w:r w:rsidRPr="00996969">
        <w:rPr>
          <w:rFonts w:hint="cs"/>
          <w:b/>
          <w:bCs/>
          <w:rtl/>
        </w:rPr>
        <w:t xml:space="preserve"> </w:t>
      </w:r>
      <w:r w:rsidRPr="00996969">
        <w:rPr>
          <w:rFonts w:hint="cs"/>
          <w:rtl/>
        </w:rPr>
        <w:t xml:space="preserve">דהא דצריך להביא עדים דדר בה המוכר חד יומא, אינו מחמת דאינו נאמן במה שטוען שקנה, דכיון שיש למחזיק חזקת ג"ש ודאי דנאמן, כדאיתא בב"ק </w:t>
      </w:r>
      <w:r w:rsidRPr="00E22C94">
        <w:rPr>
          <w:rStyle w:val="aff6"/>
          <w:rFonts w:hint="cs"/>
          <w:rtl/>
        </w:rPr>
        <w:t xml:space="preserve">(קיד.) </w:t>
      </w:r>
      <w:r w:rsidRPr="00996969">
        <w:rPr>
          <w:rFonts w:hint="cs"/>
          <w:rtl/>
        </w:rPr>
        <w:t xml:space="preserve">דבתופס מטלטלין ויש עדים שהם של התובע, וטוען התופס שקנאם מפלוני, דטענינן ליה שהתובע מכר לאותו פלוני, אלא ביאר </w:t>
      </w:r>
      <w:r w:rsidRPr="009450FC">
        <w:rPr>
          <w:rStyle w:val="affa"/>
          <w:rFonts w:hint="cs"/>
          <w:rtl/>
        </w:rPr>
        <w:t>הנימוק"י</w:t>
      </w:r>
      <w:r w:rsidRPr="00996969">
        <w:rPr>
          <w:rFonts w:hint="cs"/>
          <w:rtl/>
        </w:rPr>
        <w:t xml:space="preserve"> דהא דצריך המחזיק להביא עדים דדר בה המוכר חד יומא, הוא כיון דכל שאינו מביא עדים, נראה המחזיק כמשקר, משא"כ במטלטלין דהמחזיק נראה כלוקח, ואינו צריך להביא ראיה שקנה.</w:t>
      </w:r>
    </w:p>
  </w:footnote>
  <w:footnote w:id="71">
    <w:p w:rsidR="00265073" w:rsidRDefault="00265073" w:rsidP="005306EB">
      <w:pPr>
        <w:pStyle w:val="af"/>
      </w:pPr>
      <w:r>
        <w:rPr>
          <w:rStyle w:val="af1"/>
        </w:rPr>
        <w:footnoteRef/>
      </w:r>
      <w:r>
        <w:rPr>
          <w:rtl/>
        </w:rPr>
        <w:t xml:space="preserve"> </w:t>
      </w:r>
      <w:r w:rsidRPr="00AE67FB">
        <w:rPr>
          <w:rtl/>
        </w:rPr>
        <w:t xml:space="preserve">וכן הקשה </w:t>
      </w:r>
      <w:r w:rsidRPr="005D2273">
        <w:rPr>
          <w:rStyle w:val="affa"/>
          <w:rtl/>
        </w:rPr>
        <w:t>הדרישה</w:t>
      </w:r>
      <w:r w:rsidRPr="00AE67FB">
        <w:rPr>
          <w:rtl/>
        </w:rPr>
        <w:t xml:space="preserve"> </w:t>
      </w:r>
      <w:r w:rsidRPr="005D2273">
        <w:rPr>
          <w:rStyle w:val="aff6"/>
          <w:rtl/>
        </w:rPr>
        <w:t xml:space="preserve">(סי' קמ"ו סקכ"ד ד"ה והנה מפשטא, הובא בסימן ט' אות ס"ח) </w:t>
      </w:r>
      <w:r w:rsidRPr="00AE67FB">
        <w:rPr>
          <w:rtl/>
        </w:rPr>
        <w:t xml:space="preserve">על מ"ש </w:t>
      </w:r>
      <w:r w:rsidRPr="005D2273">
        <w:rPr>
          <w:rStyle w:val="affa"/>
          <w:rtl/>
        </w:rPr>
        <w:t>הרשב"ם</w:t>
      </w:r>
      <w:r w:rsidRPr="00AE67FB">
        <w:rPr>
          <w:rtl/>
        </w:rPr>
        <w:t xml:space="preserve"> </w:t>
      </w:r>
      <w:r w:rsidRPr="005D2273">
        <w:rPr>
          <w:rStyle w:val="aff6"/>
          <w:rtl/>
        </w:rPr>
        <w:t xml:space="preserve">(ד"ה אמר ליה, הובא בסימן ט' אות ס"ב) </w:t>
      </w:r>
      <w:r w:rsidRPr="00AE67FB">
        <w:rPr>
          <w:rtl/>
        </w:rPr>
        <w:t xml:space="preserve">דבהחזיק ג"ש, וטען קמי דידי זבנה מינך, וכן כשיש עדים שהמוכר דר חד יומא, דנאמן במיגו, דמשמע דבכדי שלא יוציאו מהמחזיק, צריך שיהיה לו גם חזקה, וגם טענה או עדים שדר חד יומא, ואמאי אינו נאמן בטענת ברי או בעידי חד יומא, אף בלא חזקה, </w:t>
      </w:r>
      <w:r>
        <w:rPr>
          <w:rFonts w:hint="cs"/>
          <w:rtl/>
        </w:rPr>
        <w:t xml:space="preserve">והקשה </w:t>
      </w:r>
      <w:r w:rsidRPr="005D2273">
        <w:rPr>
          <w:rStyle w:val="affa"/>
          <w:rFonts w:hint="cs"/>
          <w:rtl/>
        </w:rPr>
        <w:t>הדרישה</w:t>
      </w:r>
      <w:r>
        <w:rPr>
          <w:rFonts w:hint="cs"/>
          <w:rtl/>
        </w:rPr>
        <w:t xml:space="preserve"> </w:t>
      </w:r>
      <w:r w:rsidRPr="00AE67FB">
        <w:rPr>
          <w:rtl/>
        </w:rPr>
        <w:t>דהרי</w:t>
      </w:r>
      <w:r w:rsidRPr="005D2273">
        <w:rPr>
          <w:rStyle w:val="affa"/>
          <w:rtl/>
        </w:rPr>
        <w:t xml:space="preserve"> הרא"ש</w:t>
      </w:r>
      <w:r w:rsidRPr="00AE67FB">
        <w:rPr>
          <w:rtl/>
        </w:rPr>
        <w:t xml:space="preserve"> </w:t>
      </w:r>
      <w:r w:rsidRPr="005D2273">
        <w:rPr>
          <w:rStyle w:val="aff6"/>
          <w:rtl/>
        </w:rPr>
        <w:t xml:space="preserve">(סי' ז', הובא בסימן ט' אות מ"ז) </w:t>
      </w:r>
      <w:r w:rsidRPr="00AE67FB">
        <w:rPr>
          <w:rtl/>
        </w:rPr>
        <w:t xml:space="preserve">ביאר דס"ל </w:t>
      </w:r>
      <w:r w:rsidRPr="005D2273">
        <w:rPr>
          <w:rStyle w:val="affa"/>
          <w:rtl/>
        </w:rPr>
        <w:t>להרשב"ם</w:t>
      </w:r>
      <w:r w:rsidRPr="00AE67FB">
        <w:rPr>
          <w:rtl/>
        </w:rPr>
        <w:t xml:space="preserve"> דהא דמוציאין מיד המחזיק, הוא כיון דהוי ספק וודאי, וא"כ כשטען טענת ברי הוא ודאי וודאי, דהפה של המוכר שאמר שהייתה של המערער, הוא הפה שהתיר דאמר שקנה מהמערער.</w:t>
      </w:r>
    </w:p>
  </w:footnote>
  <w:footnote w:id="72">
    <w:p w:rsidR="00265073" w:rsidRDefault="00265073" w:rsidP="005306EB">
      <w:pPr>
        <w:pStyle w:val="af"/>
      </w:pPr>
      <w:r>
        <w:rPr>
          <w:rStyle w:val="af1"/>
        </w:rPr>
        <w:footnoteRef/>
      </w:r>
      <w:r>
        <w:rPr>
          <w:rtl/>
        </w:rPr>
        <w:t xml:space="preserve"> </w:t>
      </w:r>
      <w:r w:rsidRPr="00057E1B">
        <w:rPr>
          <w:rFonts w:hint="cs"/>
          <w:rtl/>
        </w:rPr>
        <w:t xml:space="preserve">והוסיף </w:t>
      </w:r>
      <w:r w:rsidRPr="00057E1B">
        <w:rPr>
          <w:rFonts w:hint="cs"/>
          <w:b/>
          <w:bCs/>
          <w:rtl/>
        </w:rPr>
        <w:t xml:space="preserve">הדרישה </w:t>
      </w:r>
      <w:r w:rsidRPr="00057E1B">
        <w:rPr>
          <w:rFonts w:hint="cs"/>
          <w:rtl/>
        </w:rPr>
        <w:t xml:space="preserve">דלפי"ז צ"ל דמ"ש </w:t>
      </w:r>
      <w:r w:rsidRPr="00057E1B">
        <w:rPr>
          <w:rFonts w:hint="cs"/>
          <w:b/>
          <w:bCs/>
          <w:rtl/>
        </w:rPr>
        <w:t xml:space="preserve">הרשב"ם </w:t>
      </w:r>
      <w:r w:rsidRPr="000716DD">
        <w:rPr>
          <w:rStyle w:val="aff6"/>
          <w:rtl/>
        </w:rPr>
        <w:t>(ד"ה אמר ליה, הובא בסימן ט' אות ס"ב)</w:t>
      </w:r>
      <w:r w:rsidRPr="00057E1B">
        <w:rPr>
          <w:rtl/>
        </w:rPr>
        <w:t xml:space="preserve"> </w:t>
      </w:r>
      <w:r w:rsidRPr="00057E1B">
        <w:rPr>
          <w:rFonts w:hint="cs"/>
          <w:rtl/>
        </w:rPr>
        <w:t xml:space="preserve">דאם החזיק בה ג"ש, וטוען המחזיק קמי דידי זבנה מינך, נאמן במיגו דהיה טוען למערער מינך זבינתה ויש לו חזקת ג"ש, אין כוונת </w:t>
      </w:r>
      <w:r w:rsidRPr="00057E1B">
        <w:rPr>
          <w:rFonts w:hint="cs"/>
          <w:b/>
          <w:bCs/>
          <w:rtl/>
        </w:rPr>
        <w:t>הרשב"ם</w:t>
      </w:r>
      <w:r w:rsidRPr="00057E1B">
        <w:rPr>
          <w:rFonts w:hint="cs"/>
          <w:rtl/>
        </w:rPr>
        <w:t xml:space="preserve"> לומר שידוע לנו שיש לו חזקת ג"ש, אלא דכל שלא הודה בפירוש שאין לו חזקה הוא נאמן, והוסיף </w:t>
      </w:r>
      <w:r w:rsidRPr="00057E1B">
        <w:rPr>
          <w:rFonts w:hint="cs"/>
          <w:b/>
          <w:bCs/>
          <w:rtl/>
        </w:rPr>
        <w:t>הדרישה</w:t>
      </w:r>
      <w:r w:rsidRPr="00057E1B">
        <w:rPr>
          <w:rFonts w:hint="cs"/>
          <w:rtl/>
        </w:rPr>
        <w:t xml:space="preserve"> דלכן כתב </w:t>
      </w:r>
      <w:r w:rsidRPr="00057E1B">
        <w:rPr>
          <w:rFonts w:hint="cs"/>
          <w:b/>
          <w:bCs/>
          <w:rtl/>
        </w:rPr>
        <w:t>הרשב"ם</w:t>
      </w:r>
      <w:r w:rsidRPr="00057E1B">
        <w:rPr>
          <w:rFonts w:hint="cs"/>
          <w:rtl/>
        </w:rPr>
        <w:t xml:space="preserve"> </w:t>
      </w:r>
      <w:r w:rsidRPr="000716DD">
        <w:rPr>
          <w:rStyle w:val="aff6"/>
          <w:rtl/>
        </w:rPr>
        <w:t>(ד"ה אמר ליה, הובא בסימן ח' אות מ"ג)</w:t>
      </w:r>
      <w:r w:rsidRPr="00057E1B">
        <w:rPr>
          <w:rtl/>
        </w:rPr>
        <w:t xml:space="preserve"> </w:t>
      </w:r>
      <w:r w:rsidRPr="00057E1B">
        <w:rPr>
          <w:rFonts w:hint="cs"/>
          <w:rtl/>
        </w:rPr>
        <w:t>דהוא נאמן במיגו למערער מינך זבינתה, ולא כתב במיגו דלא הייתה שלך מעולם, כיון דהוא מיגו כנגד חזקה. [דכל שאין לנו ראיה שהחזיק ג"ש יש חזקה דיהיה לו שטר, אך אינו כמיגו במקום עדים כיון דלא הודה בהודאת בע"ד שלא החזיק].</w:t>
      </w:r>
      <w:r w:rsidRPr="00057E1B">
        <w:rPr>
          <w:rtl/>
        </w:rPr>
        <w:t xml:space="preserve"> </w:t>
      </w:r>
    </w:p>
  </w:footnote>
  <w:footnote w:id="73">
    <w:p w:rsidR="00265073" w:rsidRDefault="00265073" w:rsidP="005306EB">
      <w:pPr>
        <w:pStyle w:val="af"/>
        <w:rPr>
          <w:rtl/>
        </w:rPr>
      </w:pPr>
      <w:r>
        <w:rPr>
          <w:rStyle w:val="af1"/>
        </w:rPr>
        <w:footnoteRef/>
      </w:r>
      <w:r>
        <w:rPr>
          <w:rtl/>
        </w:rPr>
        <w:t xml:space="preserve"> </w:t>
      </w:r>
      <w:r>
        <w:rPr>
          <w:rFonts w:hint="cs"/>
          <w:rtl/>
        </w:rPr>
        <w:t xml:space="preserve">וע"ע במה שהסתפק </w:t>
      </w:r>
      <w:r w:rsidRPr="00607250">
        <w:rPr>
          <w:rStyle w:val="affa"/>
          <w:rFonts w:hint="cs"/>
          <w:rtl/>
        </w:rPr>
        <w:t>הבית הלוי</w:t>
      </w:r>
      <w:r w:rsidRPr="005D0ADC">
        <w:rPr>
          <w:rFonts w:hint="cs"/>
          <w:rtl/>
        </w:rPr>
        <w:t xml:space="preserve"> </w:t>
      </w:r>
      <w:r w:rsidRPr="00607250">
        <w:rPr>
          <w:rStyle w:val="aff6"/>
          <w:rFonts w:hint="cs"/>
          <w:rtl/>
        </w:rPr>
        <w:t>(ח"ג סי' ל"ו או' א' ד"ה היוצא)</w:t>
      </w:r>
      <w:r>
        <w:rPr>
          <w:rFonts w:hint="cs"/>
          <w:rtl/>
        </w:rPr>
        <w:t xml:space="preserve"> באופן שאנחנו לא יודעים אם יש למחזיק חזקת ג"ש, והמחזיק עצמו הודה שלא החזיק ג"ש, אי בכה"ג נאמן במיגו, עיי"ש בדבריו.</w:t>
      </w:r>
    </w:p>
  </w:footnote>
  <w:footnote w:id="74">
    <w:p w:rsidR="00265073" w:rsidRDefault="00265073" w:rsidP="005306EB">
      <w:pPr>
        <w:pStyle w:val="af"/>
      </w:pPr>
      <w:r>
        <w:rPr>
          <w:rStyle w:val="af1"/>
        </w:rPr>
        <w:footnoteRef/>
      </w:r>
      <w:r>
        <w:rPr>
          <w:rtl/>
        </w:rPr>
        <w:t xml:space="preserve"> </w:t>
      </w:r>
      <w:r>
        <w:rPr>
          <w:rStyle w:val="afb"/>
          <w:rtl/>
        </w:rPr>
        <w:t xml:space="preserve">והיינו דכ"מ דמהני המיגו של המוכר ללוקח, הוא באופן שהמוכר מפסיד אם לא הלוקח אינו יכול לטעון את המיגו, וכמבואר בגמ' בב"מ </w:t>
      </w:r>
      <w:r>
        <w:rPr>
          <w:rStyle w:val="af7"/>
          <w:rFonts w:eastAsia="Guttman Hodes" w:hint="cs"/>
          <w:rtl/>
        </w:rPr>
        <w:t>(יד.)</w:t>
      </w:r>
      <w:r>
        <w:rPr>
          <w:rStyle w:val="afb"/>
          <w:rtl/>
        </w:rPr>
        <w:t xml:space="preserve"> ובב"ק </w:t>
      </w:r>
      <w:r>
        <w:rPr>
          <w:rStyle w:val="af7"/>
          <w:rFonts w:eastAsia="Guttman Hodes" w:hint="cs"/>
          <w:rtl/>
        </w:rPr>
        <w:t>(ח:)</w:t>
      </w:r>
      <w:r>
        <w:rPr>
          <w:rStyle w:val="afb"/>
          <w:rtl/>
        </w:rPr>
        <w:t xml:space="preserve">, אבל הכא דהמוכר אינו מפסיד כלל, א"כ אין המחזיק יכול להשתמש בטענות שהיה המוכר משתמש בהם, כשהוא עצמו אינו יכול לטעון אותם, ומבואר מדברי </w:t>
      </w:r>
      <w:r>
        <w:rPr>
          <w:rStyle w:val="affa"/>
          <w:rtl/>
        </w:rPr>
        <w:t>התוס' רי"ד</w:t>
      </w:r>
      <w:r>
        <w:rPr>
          <w:rStyle w:val="aff6"/>
          <w:rtl/>
        </w:rPr>
        <w:t xml:space="preserve"> </w:t>
      </w:r>
      <w:r>
        <w:rPr>
          <w:rStyle w:val="afb"/>
          <w:rtl/>
        </w:rPr>
        <w:t xml:space="preserve">דלדעת </w:t>
      </w:r>
      <w:r>
        <w:rPr>
          <w:rStyle w:val="affa"/>
          <w:rtl/>
        </w:rPr>
        <w:t>הרשב"ם</w:t>
      </w:r>
      <w:r>
        <w:rPr>
          <w:rStyle w:val="afb"/>
          <w:rFonts w:hint="cs"/>
          <w:rtl/>
        </w:rPr>
        <w:t xml:space="preserve"> </w:t>
      </w:r>
      <w:r w:rsidRPr="00131AED">
        <w:rPr>
          <w:rStyle w:val="aff6"/>
          <w:rtl/>
        </w:rPr>
        <w:t>(ד"ה אמר ליה</w:t>
      </w:r>
      <w:r>
        <w:rPr>
          <w:rStyle w:val="aff6"/>
          <w:rFonts w:hint="cs"/>
          <w:rtl/>
        </w:rPr>
        <w:t>, הובא בסימן ח' אות ס"ט)</w:t>
      </w:r>
      <w:r w:rsidRPr="00131AED">
        <w:rPr>
          <w:rStyle w:val="aff6"/>
          <w:rtl/>
        </w:rPr>
        <w:t xml:space="preserve"> </w:t>
      </w:r>
      <w:r>
        <w:rPr>
          <w:rStyle w:val="afb"/>
          <w:rtl/>
        </w:rPr>
        <w:t xml:space="preserve">דהמחזיק יכול לתבוע את המוכר, א"כ ודאי דמהני טענת המוכר למחזיק כשהמוכר נמצא לפנינו, וכמבואר בגמ' בב"מ </w:t>
      </w:r>
      <w:r>
        <w:rPr>
          <w:rStyle w:val="af7"/>
          <w:rFonts w:eastAsia="Guttman Hodes" w:hint="cs"/>
          <w:rtl/>
        </w:rPr>
        <w:t>(יד.)</w:t>
      </w:r>
      <w:r>
        <w:rPr>
          <w:rStyle w:val="afb"/>
          <w:rtl/>
        </w:rPr>
        <w:t xml:space="preserve"> ובב"ק </w:t>
      </w:r>
      <w:r>
        <w:rPr>
          <w:rStyle w:val="af7"/>
          <w:rFonts w:eastAsia="Guttman Hodes" w:hint="cs"/>
          <w:rtl/>
        </w:rPr>
        <w:t>(ח:)</w:t>
      </w:r>
      <w:r>
        <w:rPr>
          <w:rStyle w:val="afb"/>
          <w:rtl/>
        </w:rPr>
        <w:t xml:space="preserve">, וכדביאר </w:t>
      </w:r>
      <w:r>
        <w:rPr>
          <w:rStyle w:val="affa"/>
          <w:rtl/>
        </w:rPr>
        <w:t>התוס' רי"ד</w:t>
      </w:r>
      <w:r>
        <w:rPr>
          <w:rStyle w:val="afb"/>
          <w:rtl/>
        </w:rPr>
        <w:t xml:space="preserve"> </w:t>
      </w:r>
      <w:r>
        <w:rPr>
          <w:rStyle w:val="aff6"/>
          <w:rtl/>
        </w:rPr>
        <w:t xml:space="preserve">(עי' אות </w:t>
      </w:r>
      <w:r>
        <w:rPr>
          <w:rStyle w:val="aff6"/>
          <w:rtl/>
        </w:rPr>
        <w:fldChar w:fldCharType="begin"/>
      </w:r>
      <w:r>
        <w:rPr>
          <w:rStyle w:val="aff6"/>
          <w:rtl/>
        </w:rPr>
        <w:instrText xml:space="preserve"> </w:instrText>
      </w:r>
      <w:r>
        <w:rPr>
          <w:rStyle w:val="aff6"/>
        </w:rPr>
        <w:instrText>REF</w:instrText>
      </w:r>
      <w:r>
        <w:rPr>
          <w:rStyle w:val="aff6"/>
          <w:rtl/>
        </w:rPr>
        <w:instrText xml:space="preserve"> _</w:instrText>
      </w:r>
      <w:r>
        <w:rPr>
          <w:rStyle w:val="aff6"/>
        </w:rPr>
        <w:instrText>Ref58323632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פד)</w:t>
      </w:r>
      <w:r>
        <w:rPr>
          <w:rStyle w:val="aff6"/>
          <w:rtl/>
        </w:rPr>
        <w:fldChar w:fldCharType="end"/>
      </w:r>
      <w:r>
        <w:rPr>
          <w:rStyle w:val="afb"/>
          <w:rtl/>
        </w:rPr>
        <w:t xml:space="preserve"> בתחילת דבריו</w:t>
      </w:r>
      <w:r>
        <w:rPr>
          <w:rStyle w:val="afb"/>
          <w:rFonts w:hint="cs"/>
          <w:rtl/>
        </w:rPr>
        <w:t>.</w:t>
      </w:r>
    </w:p>
  </w:footnote>
  <w:footnote w:id="75">
    <w:p w:rsidR="00265073" w:rsidRDefault="00265073" w:rsidP="00C34249">
      <w:pPr>
        <w:pStyle w:val="af"/>
        <w:rPr>
          <w:rtl/>
        </w:rPr>
      </w:pPr>
      <w:r>
        <w:rPr>
          <w:rStyle w:val="af1"/>
        </w:rPr>
        <w:footnoteRef/>
      </w:r>
      <w:r>
        <w:rPr>
          <w:rtl/>
        </w:rPr>
        <w:t xml:space="preserve"> </w:t>
      </w:r>
      <w:r>
        <w:rPr>
          <w:rFonts w:hint="cs"/>
          <w:rtl/>
        </w:rPr>
        <w:t xml:space="preserve">עי' </w:t>
      </w:r>
      <w:r w:rsidRPr="00F06E96">
        <w:rPr>
          <w:rStyle w:val="affa"/>
          <w:rFonts w:hint="cs"/>
          <w:rtl/>
        </w:rPr>
        <w:t>ברמב"ן</w:t>
      </w:r>
      <w:r>
        <w:rPr>
          <w:rFonts w:hint="cs"/>
          <w:rtl/>
        </w:rPr>
        <w:t xml:space="preserve"> מהדו' מערבא דהביאו את </w:t>
      </w:r>
      <w:r>
        <w:rPr>
          <w:rStyle w:val="affa"/>
          <w:rFonts w:hint="cs"/>
          <w:rtl/>
        </w:rPr>
        <w:t>ה</w:t>
      </w:r>
      <w:r w:rsidRPr="00627815">
        <w:rPr>
          <w:rStyle w:val="affa"/>
          <w:rFonts w:hint="cs"/>
          <w:rtl/>
        </w:rPr>
        <w:t>הג</w:t>
      </w:r>
      <w:r>
        <w:rPr>
          <w:rStyle w:val="affa"/>
          <w:rFonts w:hint="cs"/>
          <w:rtl/>
        </w:rPr>
        <w:t>'</w:t>
      </w:r>
      <w:r w:rsidRPr="00627815">
        <w:rPr>
          <w:rStyle w:val="affa"/>
          <w:rFonts w:hint="cs"/>
          <w:rtl/>
        </w:rPr>
        <w:t xml:space="preserve"> על הרמב"ן בדפו"ר </w:t>
      </w:r>
      <w:r>
        <w:rPr>
          <w:rStyle w:val="affa"/>
          <w:rFonts w:hint="cs"/>
          <w:rtl/>
        </w:rPr>
        <w:t>ל</w:t>
      </w:r>
      <w:r w:rsidRPr="00627815">
        <w:rPr>
          <w:rStyle w:val="affa"/>
          <w:rFonts w:hint="cs"/>
          <w:rtl/>
        </w:rPr>
        <w:t>רבינו אברהם חיים ישראל</w:t>
      </w:r>
      <w:r w:rsidRPr="001A5871">
        <w:rPr>
          <w:rStyle w:val="aff6"/>
          <w:rFonts w:hint="cs"/>
          <w:rtl/>
        </w:rPr>
        <w:t xml:space="preserve"> </w:t>
      </w:r>
      <w:r>
        <w:rPr>
          <w:rStyle w:val="aff6"/>
          <w:rFonts w:hint="cs"/>
          <w:rtl/>
        </w:rPr>
        <w:t>[</w:t>
      </w:r>
      <w:r w:rsidRPr="001A5871">
        <w:rPr>
          <w:rStyle w:val="aff6"/>
          <w:rFonts w:hint="cs"/>
          <w:rtl/>
        </w:rPr>
        <w:t>אב"ד אנקונה, בעמ"ח בית אברהם</w:t>
      </w:r>
      <w:r>
        <w:rPr>
          <w:rStyle w:val="aff6"/>
          <w:rFonts w:hint="cs"/>
          <w:rtl/>
        </w:rPr>
        <w:t xml:space="preserve"> נד' בליוורנו תקמ"ו]</w:t>
      </w:r>
      <w:r w:rsidRPr="001A5871">
        <w:rPr>
          <w:rStyle w:val="aff6"/>
          <w:rFonts w:hint="cs"/>
          <w:rtl/>
        </w:rPr>
        <w:t xml:space="preserve"> </w:t>
      </w:r>
      <w:r>
        <w:rPr>
          <w:rFonts w:hint="cs"/>
          <w:rtl/>
        </w:rPr>
        <w:t xml:space="preserve">דהגיה את לשון </w:t>
      </w:r>
      <w:r w:rsidRPr="00F06E96">
        <w:rPr>
          <w:rStyle w:val="affa"/>
          <w:rFonts w:hint="cs"/>
          <w:rtl/>
        </w:rPr>
        <w:t>הרמב"ן</w:t>
      </w:r>
      <w:r>
        <w:rPr>
          <w:rFonts w:hint="cs"/>
          <w:rtl/>
        </w:rPr>
        <w:t xml:space="preserve"> דבטענת שמא טענינן ליה, ורק בטענת ברי לא טענינן ליה, ועי' בדברי </w:t>
      </w:r>
      <w:r w:rsidRPr="00F06E96">
        <w:rPr>
          <w:rStyle w:val="affa"/>
          <w:rFonts w:hint="cs"/>
          <w:rtl/>
        </w:rPr>
        <w:t>רבינו יונה</w:t>
      </w:r>
      <w:r>
        <w:rPr>
          <w:rFonts w:hint="cs"/>
          <w:rtl/>
        </w:rPr>
        <w:t xml:space="preserve"> </w:t>
      </w:r>
      <w:r w:rsidRPr="00F06E96">
        <w:rPr>
          <w:rStyle w:val="aff6"/>
          <w:rFonts w:hint="cs"/>
          <w:rtl/>
        </w:rPr>
        <w:t xml:space="preserve">(עי' אות </w:t>
      </w:r>
      <w:r w:rsidRPr="00F06E96">
        <w:rPr>
          <w:rStyle w:val="aff6"/>
          <w:rtl/>
        </w:rPr>
        <w:fldChar w:fldCharType="begin"/>
      </w:r>
      <w:r w:rsidRPr="00F06E96">
        <w:rPr>
          <w:rStyle w:val="aff6"/>
          <w:rtl/>
        </w:rPr>
        <w:instrText xml:space="preserve"> </w:instrText>
      </w:r>
      <w:r w:rsidRPr="00F06E96">
        <w:rPr>
          <w:rStyle w:val="aff6"/>
          <w:rFonts w:hint="cs"/>
        </w:rPr>
        <w:instrText>REF</w:instrText>
      </w:r>
      <w:r w:rsidRPr="00F06E96">
        <w:rPr>
          <w:rStyle w:val="aff6"/>
          <w:rFonts w:hint="cs"/>
          <w:rtl/>
        </w:rPr>
        <w:instrText xml:space="preserve"> _</w:instrText>
      </w:r>
      <w:r w:rsidRPr="00F06E96">
        <w:rPr>
          <w:rStyle w:val="aff6"/>
          <w:rFonts w:hint="cs"/>
        </w:rPr>
        <w:instrText>Ref61867117 \r \h</w:instrText>
      </w:r>
      <w:r w:rsidRPr="00F06E96">
        <w:rPr>
          <w:rStyle w:val="aff6"/>
          <w:rtl/>
        </w:rPr>
        <w:instrText xml:space="preserve">  \* </w:instrText>
      </w:r>
      <w:r w:rsidRPr="00F06E96">
        <w:rPr>
          <w:rStyle w:val="aff6"/>
        </w:rPr>
        <w:instrText>MERGEFORMAT</w:instrText>
      </w:r>
      <w:r w:rsidRPr="00F06E96">
        <w:rPr>
          <w:rStyle w:val="aff6"/>
          <w:rtl/>
        </w:rPr>
        <w:instrText xml:space="preserve"> </w:instrText>
      </w:r>
      <w:r w:rsidRPr="00F06E96">
        <w:rPr>
          <w:rStyle w:val="aff6"/>
          <w:rtl/>
        </w:rPr>
      </w:r>
      <w:r w:rsidRPr="00F06E96">
        <w:rPr>
          <w:rStyle w:val="aff6"/>
          <w:rtl/>
        </w:rPr>
        <w:fldChar w:fldCharType="separate"/>
      </w:r>
      <w:r>
        <w:rPr>
          <w:rStyle w:val="aff6"/>
          <w:cs/>
        </w:rPr>
        <w:t>‎</w:t>
      </w:r>
      <w:r>
        <w:rPr>
          <w:rStyle w:val="aff6"/>
          <w:rtl/>
        </w:rPr>
        <w:t>נח)</w:t>
      </w:r>
      <w:r w:rsidRPr="00F06E96">
        <w:rPr>
          <w:rStyle w:val="aff6"/>
          <w:rtl/>
        </w:rPr>
        <w:fldChar w:fldCharType="end"/>
      </w:r>
      <w:r w:rsidRPr="00972147">
        <w:rPr>
          <w:rFonts w:hint="cs"/>
          <w:rtl/>
        </w:rPr>
        <w:t xml:space="preserve"> </w:t>
      </w:r>
      <w:r w:rsidRPr="00F06E96">
        <w:rPr>
          <w:rStyle w:val="affa"/>
          <w:rFonts w:hint="cs"/>
          <w:rtl/>
        </w:rPr>
        <w:t>והרשב"א</w:t>
      </w:r>
      <w:r>
        <w:rPr>
          <w:rFonts w:hint="cs"/>
          <w:rtl/>
        </w:rPr>
        <w:t xml:space="preserve"> </w:t>
      </w:r>
      <w:r w:rsidRPr="00F06E96">
        <w:rPr>
          <w:rStyle w:val="aff6"/>
          <w:rFonts w:hint="cs"/>
          <w:rtl/>
        </w:rPr>
        <w:t xml:space="preserve">(עי' אות </w:t>
      </w:r>
      <w:r w:rsidRPr="00F06E96">
        <w:rPr>
          <w:rStyle w:val="aff6"/>
          <w:rtl/>
        </w:rPr>
        <w:fldChar w:fldCharType="begin"/>
      </w:r>
      <w:r w:rsidRPr="00F06E96">
        <w:rPr>
          <w:rStyle w:val="aff6"/>
          <w:rtl/>
        </w:rPr>
        <w:instrText xml:space="preserve"> </w:instrText>
      </w:r>
      <w:r w:rsidRPr="00F06E96">
        <w:rPr>
          <w:rStyle w:val="aff6"/>
          <w:rFonts w:hint="cs"/>
        </w:rPr>
        <w:instrText>REF</w:instrText>
      </w:r>
      <w:r w:rsidRPr="00F06E96">
        <w:rPr>
          <w:rStyle w:val="aff6"/>
          <w:rFonts w:hint="cs"/>
          <w:rtl/>
        </w:rPr>
        <w:instrText xml:space="preserve"> _</w:instrText>
      </w:r>
      <w:r w:rsidRPr="00F06E96">
        <w:rPr>
          <w:rStyle w:val="aff6"/>
          <w:rFonts w:hint="cs"/>
        </w:rPr>
        <w:instrText>Ref61867265 \r \h</w:instrText>
      </w:r>
      <w:r w:rsidRPr="00F06E96">
        <w:rPr>
          <w:rStyle w:val="aff6"/>
          <w:rtl/>
        </w:rPr>
        <w:instrText xml:space="preserve"> </w:instrText>
      </w:r>
      <w:r w:rsidRPr="00F06E96">
        <w:rPr>
          <w:rStyle w:val="aff6"/>
          <w:rtl/>
        </w:rPr>
      </w:r>
      <w:r w:rsidRPr="00F06E96">
        <w:rPr>
          <w:rStyle w:val="aff6"/>
          <w:rtl/>
        </w:rPr>
        <w:fldChar w:fldCharType="separate"/>
      </w:r>
      <w:r>
        <w:rPr>
          <w:rStyle w:val="aff6"/>
          <w:cs/>
        </w:rPr>
        <w:t>‎</w:t>
      </w:r>
      <w:r>
        <w:rPr>
          <w:rStyle w:val="aff6"/>
          <w:rtl/>
        </w:rPr>
        <w:t>סג)</w:t>
      </w:r>
      <w:r w:rsidRPr="00F06E96">
        <w:rPr>
          <w:rStyle w:val="aff6"/>
          <w:rtl/>
        </w:rPr>
        <w:fldChar w:fldCharType="end"/>
      </w:r>
      <w:r>
        <w:rPr>
          <w:rFonts w:hint="cs"/>
          <w:rtl/>
        </w:rPr>
        <w:t xml:space="preserve"> דביארו כן.</w:t>
      </w:r>
    </w:p>
  </w:footnote>
  <w:footnote w:id="76">
    <w:p w:rsidR="00265073" w:rsidRDefault="00265073" w:rsidP="00C34249">
      <w:pPr>
        <w:pStyle w:val="af"/>
        <w:rPr>
          <w:rtl/>
        </w:rPr>
      </w:pPr>
      <w:r>
        <w:rPr>
          <w:rStyle w:val="af1"/>
        </w:rPr>
        <w:footnoteRef/>
      </w:r>
      <w:r>
        <w:rPr>
          <w:rtl/>
        </w:rPr>
        <w:t xml:space="preserve"> </w:t>
      </w:r>
      <w:r w:rsidRPr="00E3520A">
        <w:rPr>
          <w:rStyle w:val="afb"/>
          <w:rFonts w:hint="cs"/>
          <w:rtl/>
        </w:rPr>
        <w:t>ו</w:t>
      </w:r>
      <w:r>
        <w:rPr>
          <w:rStyle w:val="afb"/>
          <w:rFonts w:hint="cs"/>
          <w:rtl/>
        </w:rPr>
        <w:t>לכאו' נראה</w:t>
      </w:r>
      <w:r w:rsidRPr="00E3520A">
        <w:rPr>
          <w:rStyle w:val="afb"/>
          <w:rFonts w:hint="cs"/>
          <w:rtl/>
        </w:rPr>
        <w:t xml:space="preserve"> דהוקשה </w:t>
      </w:r>
      <w:r w:rsidRPr="00B057E6">
        <w:rPr>
          <w:rStyle w:val="affa"/>
          <w:rFonts w:hint="cs"/>
          <w:rtl/>
        </w:rPr>
        <w:t>לר"ן ולנימוק"י</w:t>
      </w:r>
      <w:r w:rsidRPr="00E3520A">
        <w:rPr>
          <w:rStyle w:val="afb"/>
          <w:rFonts w:hint="cs"/>
          <w:rtl/>
        </w:rPr>
        <w:t xml:space="preserve"> דאעפ"י דמשמע מדבריו דכוונתו לומר שלא הייתה של אבותיו של המערער, מ"מ מדין טענינן נתרץ את דבריו, שלא כמשמעות לשונו, ותירצו </w:t>
      </w:r>
      <w:r w:rsidRPr="00B057E6">
        <w:rPr>
          <w:rStyle w:val="affa"/>
          <w:rFonts w:hint="cs"/>
          <w:rtl/>
        </w:rPr>
        <w:t>הר"ן והנימוק"י</w:t>
      </w:r>
      <w:r>
        <w:rPr>
          <w:rStyle w:val="afb"/>
          <w:rFonts w:hint="cs"/>
          <w:rtl/>
        </w:rPr>
        <w:t xml:space="preserve"> </w:t>
      </w:r>
      <w:r w:rsidRPr="00E3520A">
        <w:rPr>
          <w:rStyle w:val="afb"/>
          <w:rFonts w:hint="cs"/>
          <w:rtl/>
        </w:rPr>
        <w:t xml:space="preserve">דחשיב שהודה שלא הייתה מעולם של אבותיו של מערער, והיינו דאעפ"י שאפשר לתרץ </w:t>
      </w:r>
      <w:r>
        <w:rPr>
          <w:rStyle w:val="afb"/>
          <w:rFonts w:hint="cs"/>
          <w:rtl/>
        </w:rPr>
        <w:t xml:space="preserve">את דבריו </w:t>
      </w:r>
      <w:r w:rsidRPr="00E3520A">
        <w:rPr>
          <w:rStyle w:val="afb"/>
          <w:rFonts w:hint="cs"/>
          <w:rtl/>
        </w:rPr>
        <w:t>דמה שאמר של אבותי היינו שלקחוה אבותיו, אך א"א לתרץ ד</w:t>
      </w:r>
      <w:r>
        <w:rPr>
          <w:rStyle w:val="afb"/>
          <w:rFonts w:hint="cs"/>
          <w:rtl/>
        </w:rPr>
        <w:t>הם קנו אותה מאבותיו</w:t>
      </w:r>
      <w:r w:rsidRPr="00E3520A">
        <w:rPr>
          <w:rStyle w:val="afb"/>
          <w:rFonts w:hint="cs"/>
          <w:rtl/>
        </w:rPr>
        <w:t xml:space="preserve"> של </w:t>
      </w:r>
      <w:r>
        <w:rPr>
          <w:rStyle w:val="afb"/>
          <w:rFonts w:hint="cs"/>
          <w:rtl/>
        </w:rPr>
        <w:t>ה</w:t>
      </w:r>
      <w:r w:rsidRPr="00E3520A">
        <w:rPr>
          <w:rStyle w:val="afb"/>
          <w:rFonts w:hint="cs"/>
          <w:rtl/>
        </w:rPr>
        <w:t>מערער, דה</w:t>
      </w:r>
      <w:r>
        <w:rPr>
          <w:rStyle w:val="afb"/>
          <w:rFonts w:hint="cs"/>
          <w:rtl/>
        </w:rPr>
        <w:t xml:space="preserve">א הודה המחזיק </w:t>
      </w:r>
      <w:r w:rsidRPr="00E3520A">
        <w:rPr>
          <w:rStyle w:val="afb"/>
          <w:rFonts w:hint="cs"/>
          <w:rtl/>
        </w:rPr>
        <w:t>שלא הייתה שלהם</w:t>
      </w:r>
      <w:r>
        <w:rPr>
          <w:rStyle w:val="afb"/>
          <w:rFonts w:hint="cs"/>
          <w:rtl/>
        </w:rPr>
        <w:t>, ואין אדם מוכר דבר שאינו שלו.</w:t>
      </w:r>
    </w:p>
  </w:footnote>
  <w:footnote w:id="77">
    <w:p w:rsidR="00265073" w:rsidRDefault="00265073" w:rsidP="00C34249">
      <w:pPr>
        <w:pStyle w:val="af"/>
        <w:rPr>
          <w:rtl/>
        </w:rPr>
      </w:pPr>
      <w:r>
        <w:rPr>
          <w:rStyle w:val="af1"/>
        </w:rPr>
        <w:footnoteRef/>
      </w:r>
      <w:r>
        <w:rPr>
          <w:rtl/>
        </w:rPr>
        <w:t xml:space="preserve"> </w:t>
      </w:r>
      <w:r w:rsidRPr="00BF24E1">
        <w:rPr>
          <w:rStyle w:val="afb"/>
          <w:rFonts w:hint="cs"/>
          <w:rtl/>
        </w:rPr>
        <w:t xml:space="preserve">ועי' במה שביאר </w:t>
      </w:r>
      <w:r w:rsidRPr="00BF24E1">
        <w:rPr>
          <w:rStyle w:val="affa"/>
          <w:rFonts w:hint="cs"/>
          <w:rtl/>
        </w:rPr>
        <w:t>הגר"ח מטעלז</w:t>
      </w:r>
      <w:r w:rsidRPr="00BF24E1">
        <w:rPr>
          <w:rStyle w:val="afb"/>
          <w:rFonts w:hint="cs"/>
          <w:rtl/>
        </w:rPr>
        <w:t xml:space="preserve"> </w:t>
      </w:r>
      <w:r w:rsidRPr="00DB616A">
        <w:rPr>
          <w:rStyle w:val="aff6"/>
          <w:rFonts w:hint="cs"/>
          <w:rtl/>
        </w:rPr>
        <w:t>(עי' או</w:t>
      </w:r>
      <w:r w:rsidRPr="00830480">
        <w:rPr>
          <w:rStyle w:val="aff6"/>
          <w:rFonts w:hint="cs"/>
          <w:rtl/>
        </w:rPr>
        <w:t xml:space="preserve">ת </w:t>
      </w:r>
      <w:r w:rsidRPr="00830480">
        <w:rPr>
          <w:rStyle w:val="aff6"/>
          <w:rtl/>
        </w:rPr>
        <w:fldChar w:fldCharType="begin"/>
      </w:r>
      <w:r w:rsidRPr="00830480">
        <w:rPr>
          <w:rStyle w:val="aff6"/>
          <w:rtl/>
        </w:rPr>
        <w:instrText xml:space="preserve"> </w:instrText>
      </w:r>
      <w:r w:rsidRPr="00830480">
        <w:rPr>
          <w:rStyle w:val="aff6"/>
          <w:rFonts w:hint="cs"/>
        </w:rPr>
        <w:instrText>REF</w:instrText>
      </w:r>
      <w:r w:rsidRPr="00830480">
        <w:rPr>
          <w:rStyle w:val="aff6"/>
          <w:rFonts w:hint="cs"/>
          <w:rtl/>
        </w:rPr>
        <w:instrText xml:space="preserve"> _</w:instrText>
      </w:r>
      <w:r w:rsidRPr="00830480">
        <w:rPr>
          <w:rStyle w:val="aff6"/>
          <w:rFonts w:hint="cs"/>
        </w:rPr>
        <w:instrText>Ref61885229 \r \h</w:instrText>
      </w:r>
      <w:r w:rsidRPr="00830480">
        <w:rPr>
          <w:rStyle w:val="aff6"/>
          <w:rtl/>
        </w:rPr>
        <w:instrText xml:space="preserve"> </w:instrText>
      </w:r>
      <w:r w:rsidRPr="00830480">
        <w:rPr>
          <w:rStyle w:val="aff6"/>
          <w:rtl/>
        </w:rPr>
      </w:r>
      <w:r w:rsidRPr="00830480">
        <w:rPr>
          <w:rStyle w:val="aff6"/>
          <w:rtl/>
        </w:rPr>
        <w:fldChar w:fldCharType="separate"/>
      </w:r>
      <w:r>
        <w:rPr>
          <w:rStyle w:val="aff6"/>
          <w:cs/>
        </w:rPr>
        <w:t>‎</w:t>
      </w:r>
      <w:r>
        <w:rPr>
          <w:rStyle w:val="aff6"/>
          <w:rtl/>
        </w:rPr>
        <w:t>עה)</w:t>
      </w:r>
      <w:r w:rsidRPr="00830480">
        <w:rPr>
          <w:rStyle w:val="aff6"/>
          <w:rtl/>
        </w:rPr>
        <w:fldChar w:fldCharType="end"/>
      </w:r>
      <w:r>
        <w:rPr>
          <w:rStyle w:val="aff6"/>
          <w:rFonts w:hint="cs"/>
          <w:rtl/>
        </w:rPr>
        <w:t xml:space="preserve"> </w:t>
      </w:r>
      <w:r w:rsidRPr="00830480">
        <w:rPr>
          <w:rStyle w:val="afb"/>
          <w:rFonts w:hint="cs"/>
          <w:rtl/>
        </w:rPr>
        <w:t xml:space="preserve">בדעת </w:t>
      </w:r>
      <w:r>
        <w:rPr>
          <w:rStyle w:val="affa"/>
          <w:rFonts w:hint="cs"/>
          <w:rtl/>
        </w:rPr>
        <w:t>הרשב"ם ותוס'</w:t>
      </w:r>
      <w:r w:rsidRPr="00BF24E1">
        <w:rPr>
          <w:rStyle w:val="afb"/>
          <w:rFonts w:hint="cs"/>
          <w:rtl/>
        </w:rPr>
        <w:t xml:space="preserve"> דטענת להד"ם</w:t>
      </w:r>
      <w:r>
        <w:rPr>
          <w:rStyle w:val="afb"/>
          <w:rFonts w:hint="cs"/>
          <w:rtl/>
        </w:rPr>
        <w:t xml:space="preserve">, </w:t>
      </w:r>
      <w:r w:rsidRPr="00BF24E1">
        <w:rPr>
          <w:rStyle w:val="afb"/>
          <w:rFonts w:hint="cs"/>
          <w:rtl/>
        </w:rPr>
        <w:t xml:space="preserve">היינו </w:t>
      </w:r>
      <w:r>
        <w:rPr>
          <w:rStyle w:val="afb"/>
          <w:rFonts w:hint="cs"/>
          <w:rtl/>
        </w:rPr>
        <w:t xml:space="preserve">דטוען </w:t>
      </w:r>
      <w:r w:rsidRPr="00BF24E1">
        <w:rPr>
          <w:rStyle w:val="afb"/>
          <w:rFonts w:hint="cs"/>
          <w:rtl/>
        </w:rPr>
        <w:t>שהיה משטה בו במה שהודה</w:t>
      </w:r>
      <w:r w:rsidRPr="00D478E6">
        <w:rPr>
          <w:rStyle w:val="afb"/>
          <w:rFonts w:hint="cs"/>
          <w:rtl/>
        </w:rPr>
        <w:t>.</w:t>
      </w:r>
    </w:p>
  </w:footnote>
  <w:footnote w:id="78">
    <w:p w:rsidR="00265073" w:rsidRDefault="00265073" w:rsidP="00C34249">
      <w:pPr>
        <w:pStyle w:val="af"/>
        <w:rPr>
          <w:rtl/>
        </w:rPr>
      </w:pPr>
      <w:r>
        <w:rPr>
          <w:rStyle w:val="af1"/>
        </w:rPr>
        <w:footnoteRef/>
      </w:r>
      <w:r>
        <w:rPr>
          <w:rtl/>
        </w:rPr>
        <w:t xml:space="preserve"> </w:t>
      </w:r>
      <w:r w:rsidRPr="00BC5EC3">
        <w:rPr>
          <w:rStyle w:val="affa"/>
          <w:rFonts w:hint="cs"/>
          <w:rtl/>
        </w:rPr>
        <w:t>והר"ן על הרי"ף</w:t>
      </w:r>
      <w:r>
        <w:rPr>
          <w:rFonts w:hint="cs"/>
          <w:rtl/>
        </w:rPr>
        <w:t xml:space="preserve"> [הנדמ"ח] </w:t>
      </w:r>
      <w:r w:rsidRPr="00BC5EC3">
        <w:rPr>
          <w:rStyle w:val="aff6"/>
          <w:rFonts w:hint="cs"/>
          <w:rtl/>
        </w:rPr>
        <w:t>(ד"ה מה)</w:t>
      </w:r>
      <w:r>
        <w:rPr>
          <w:rFonts w:hint="cs"/>
          <w:rtl/>
        </w:rPr>
        <w:t xml:space="preserve"> כ"כ בשם </w:t>
      </w:r>
      <w:r w:rsidRPr="00BC5EC3">
        <w:rPr>
          <w:rStyle w:val="affa"/>
          <w:rFonts w:hint="cs"/>
          <w:rtl/>
        </w:rPr>
        <w:t>ר"ת</w:t>
      </w:r>
      <w:r>
        <w:rPr>
          <w:rFonts w:hint="cs"/>
          <w:rtl/>
        </w:rPr>
        <w:t>.</w:t>
      </w:r>
    </w:p>
  </w:footnote>
  <w:footnote w:id="79">
    <w:p w:rsidR="00265073" w:rsidRPr="006F7665" w:rsidRDefault="00265073" w:rsidP="00EC445E">
      <w:pPr>
        <w:pStyle w:val="af"/>
      </w:pPr>
      <w:r>
        <w:rPr>
          <w:rStyle w:val="af1"/>
        </w:rPr>
        <w:footnoteRef/>
      </w:r>
      <w:r>
        <w:rPr>
          <w:rtl/>
        </w:rPr>
        <w:t xml:space="preserve"> </w:t>
      </w:r>
      <w:r w:rsidRPr="006F7665">
        <w:rPr>
          <w:rFonts w:hint="cs"/>
          <w:rtl/>
        </w:rPr>
        <w:t xml:space="preserve">במ"ש </w:t>
      </w:r>
      <w:r w:rsidRPr="006F7665">
        <w:rPr>
          <w:b/>
          <w:bCs/>
          <w:rtl/>
        </w:rPr>
        <w:t>ר"י בתוס'</w:t>
      </w:r>
      <w:r w:rsidRPr="006F7665">
        <w:rPr>
          <w:rFonts w:hint="cs"/>
          <w:rtl/>
        </w:rPr>
        <w:t xml:space="preserve"> </w:t>
      </w:r>
      <w:r w:rsidRPr="00C91236">
        <w:rPr>
          <w:rStyle w:val="aff6"/>
          <w:rFonts w:hint="cs"/>
          <w:rtl/>
        </w:rPr>
        <w:t xml:space="preserve">(עי' אות </w:t>
      </w:r>
      <w:r w:rsidRPr="00C91236">
        <w:rPr>
          <w:rStyle w:val="aff6"/>
          <w:rtl/>
        </w:rPr>
        <w:fldChar w:fldCharType="begin"/>
      </w:r>
      <w:r w:rsidRPr="00C91236">
        <w:rPr>
          <w:rStyle w:val="aff6"/>
          <w:rtl/>
        </w:rPr>
        <w:instrText xml:space="preserve"> </w:instrText>
      </w:r>
      <w:r w:rsidRPr="00C91236">
        <w:rPr>
          <w:rStyle w:val="aff6"/>
          <w:rFonts w:hint="cs"/>
        </w:rPr>
        <w:instrText>REF</w:instrText>
      </w:r>
      <w:r w:rsidRPr="00C91236">
        <w:rPr>
          <w:rStyle w:val="aff6"/>
          <w:rFonts w:hint="cs"/>
          <w:rtl/>
        </w:rPr>
        <w:instrText xml:space="preserve"> _</w:instrText>
      </w:r>
      <w:r w:rsidRPr="00C91236">
        <w:rPr>
          <w:rStyle w:val="aff6"/>
          <w:rFonts w:hint="cs"/>
        </w:rPr>
        <w:instrText>Ref62403787 \r \h</w:instrText>
      </w:r>
      <w:r w:rsidRPr="00C91236">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C91236">
        <w:rPr>
          <w:rStyle w:val="aff6"/>
          <w:rtl/>
        </w:rPr>
      </w:r>
      <w:r w:rsidRPr="00C91236">
        <w:rPr>
          <w:rStyle w:val="aff6"/>
          <w:rtl/>
        </w:rPr>
        <w:fldChar w:fldCharType="separate"/>
      </w:r>
      <w:r>
        <w:rPr>
          <w:rStyle w:val="aff6"/>
          <w:cs/>
        </w:rPr>
        <w:t>‎</w:t>
      </w:r>
      <w:r>
        <w:rPr>
          <w:rStyle w:val="aff6"/>
          <w:rtl/>
        </w:rPr>
        <w:t>טו)</w:t>
      </w:r>
      <w:r w:rsidRPr="00C91236">
        <w:rPr>
          <w:rStyle w:val="aff6"/>
          <w:rtl/>
        </w:rPr>
        <w:fldChar w:fldCharType="end"/>
      </w:r>
      <w:r w:rsidRPr="00C91236">
        <w:rPr>
          <w:rStyle w:val="aff6"/>
          <w:rFonts w:hint="cs"/>
          <w:rtl/>
        </w:rPr>
        <w:t xml:space="preserve"> </w:t>
      </w:r>
      <w:r w:rsidRPr="006F7665">
        <w:rPr>
          <w:rFonts w:hint="cs"/>
          <w:rtl/>
        </w:rPr>
        <w:t xml:space="preserve">דיש להסתפק אי מודו נהרדעי אף באופן שיצא חוץ לב"ד, וחזר לב"ד, אי יכול לחזור ולטעון או לא, הקשה </w:t>
      </w:r>
      <w:r w:rsidRPr="00C91236">
        <w:rPr>
          <w:rStyle w:val="affa"/>
          <w:rFonts w:hint="cs"/>
          <w:rtl/>
        </w:rPr>
        <w:t>בחי' הגר"ח מטעלז</w:t>
      </w:r>
      <w:r w:rsidRPr="006F7665">
        <w:rPr>
          <w:rFonts w:hint="cs"/>
          <w:rtl/>
        </w:rPr>
        <w:t xml:space="preserve"> </w:t>
      </w:r>
      <w:r w:rsidRPr="00C91236">
        <w:rPr>
          <w:rStyle w:val="aff6"/>
          <w:rFonts w:hint="cs"/>
          <w:rtl/>
        </w:rPr>
        <w:t>(סו"ס י"ב ד"ה</w:t>
      </w:r>
      <w:r w:rsidRPr="006F7665">
        <w:rPr>
          <w:rFonts w:hint="cs"/>
          <w:rtl/>
        </w:rPr>
        <w:t xml:space="preserve"> </w:t>
      </w:r>
      <w:r w:rsidRPr="00C91236">
        <w:rPr>
          <w:rStyle w:val="aff6"/>
          <w:rFonts w:hint="cs"/>
          <w:rtl/>
        </w:rPr>
        <w:t>ולהלן)</w:t>
      </w:r>
      <w:r w:rsidRPr="006F7665">
        <w:rPr>
          <w:rFonts w:hint="cs"/>
          <w:rtl/>
        </w:rPr>
        <w:t xml:space="preserve"> דהאיך אפש"ל דאחר שיצא מב"ד, הוא נאמן לחזור ולטעון של אבותי שלקחוה מאבותיך, הא א"כ אף כשיצא מב"ד וחזר וטען דסמיך עלה כדאבהתי, יהיה נאמן לעולא, במיגו דהיה יכול לחזור ולטעון של אבותי שלקחוה מאבותיך, אלא מוכח דכל שיצא חוץ לב"ד אינו נאמן לחזור ולטעון אף באופן דמודו נהרדעי, בחוזר וטוען של אבותי שלקחוה מאבותיך.</w:t>
      </w:r>
    </w:p>
    <w:p w:rsidR="00265073" w:rsidRDefault="00265073" w:rsidP="00EC445E">
      <w:pPr>
        <w:pStyle w:val="af"/>
        <w:rPr>
          <w:rtl/>
        </w:rPr>
      </w:pPr>
      <w:r w:rsidRPr="006F7665">
        <w:rPr>
          <w:rFonts w:hint="cs"/>
          <w:rtl/>
        </w:rPr>
        <w:t xml:space="preserve">ותירץ </w:t>
      </w:r>
      <w:r w:rsidRPr="00C91236">
        <w:rPr>
          <w:rStyle w:val="affa"/>
          <w:rFonts w:hint="cs"/>
          <w:rtl/>
        </w:rPr>
        <w:t>בחי' הגר"ח מטעלז</w:t>
      </w:r>
      <w:r w:rsidRPr="006F7665">
        <w:rPr>
          <w:rFonts w:hint="cs"/>
          <w:rtl/>
        </w:rPr>
        <w:t xml:space="preserve"> דהא דאינו נאמן כשיצא חוץ לב"ד, אינו רק מחמת שמא לימדוהו קרוביו לטעון כן, דהא אף אם לא דיבר אם שום אדם אינו נאמן, אלא דכל שאינו חוזר וטוען מיד בב"ד אמרינן דהוא נמלך ואינו מפרש את דבריו, ולכן אמר עולא דאינו נאמן</w:t>
      </w:r>
      <w:r>
        <w:rPr>
          <w:rFonts w:hint="cs"/>
          <w:rtl/>
        </w:rPr>
        <w:t xml:space="preserve">. </w:t>
      </w:r>
      <w:r w:rsidRPr="006F7665">
        <w:rPr>
          <w:rFonts w:hint="cs"/>
          <w:rtl/>
        </w:rPr>
        <w:t xml:space="preserve">[אמנם </w:t>
      </w:r>
      <w:r>
        <w:rPr>
          <w:rFonts w:hint="cs"/>
          <w:rtl/>
        </w:rPr>
        <w:t xml:space="preserve">יעוי' בדברי </w:t>
      </w:r>
      <w:r w:rsidRPr="00C708CC">
        <w:rPr>
          <w:rStyle w:val="affa"/>
          <w:rFonts w:hint="cs"/>
          <w:rtl/>
        </w:rPr>
        <w:t>היד רמ"ה</w:t>
      </w:r>
      <w:r>
        <w:rPr>
          <w:rFonts w:hint="cs"/>
          <w:rtl/>
        </w:rPr>
        <w:t xml:space="preserve"> </w:t>
      </w:r>
      <w:r w:rsidRPr="00C708CC">
        <w:rPr>
          <w:rStyle w:val="aff6"/>
          <w:rFonts w:hint="cs"/>
          <w:rtl/>
        </w:rPr>
        <w:t xml:space="preserve">(או' ל"ט </w:t>
      </w:r>
      <w:r>
        <w:rPr>
          <w:rStyle w:val="aff6"/>
          <w:rFonts w:hint="cs"/>
          <w:rtl/>
        </w:rPr>
        <w:t>סו</w:t>
      </w:r>
      <w:r w:rsidRPr="00C708CC">
        <w:rPr>
          <w:rStyle w:val="aff6"/>
          <w:rFonts w:hint="cs"/>
          <w:rtl/>
        </w:rPr>
        <w:t>ד"ה ודוקא דקא)</w:t>
      </w:r>
      <w:r>
        <w:rPr>
          <w:rFonts w:hint="cs"/>
          <w:rtl/>
        </w:rPr>
        <w:t xml:space="preserve"> דכתב דכל שהוברר לנו שאף שיצא מב"ד, לא לימדוהו לחזור ולטעון, דנאמן, וע"ע</w:t>
      </w:r>
      <w:r w:rsidRPr="006F7665">
        <w:rPr>
          <w:rFonts w:hint="cs"/>
          <w:rtl/>
        </w:rPr>
        <w:t xml:space="preserve"> </w:t>
      </w:r>
      <w:r w:rsidRPr="00C91236">
        <w:rPr>
          <w:rStyle w:val="affa"/>
          <w:rFonts w:hint="cs"/>
          <w:rtl/>
        </w:rPr>
        <w:t>בריטב"א</w:t>
      </w:r>
      <w:r w:rsidRPr="00C91236">
        <w:rPr>
          <w:rStyle w:val="aff6"/>
          <w:rFonts w:hint="cs"/>
          <w:rtl/>
        </w:rPr>
        <w:t xml:space="preserve"> (ד"ה ומאי)</w:t>
      </w:r>
      <w:r w:rsidRPr="006F7665">
        <w:rPr>
          <w:rFonts w:hint="cs"/>
          <w:rtl/>
        </w:rPr>
        <w:t xml:space="preserve"> דכתב דאף אם דיבר עם אדם אחר בתוך ב"ד אינו נאמן, ומשמע דחוץ לב"ד אינו נאמן רק כשדיבר עם אחר]</w:t>
      </w:r>
      <w:r>
        <w:rPr>
          <w:rFonts w:hint="cs"/>
          <w:rtl/>
        </w:rPr>
        <w:t>.</w:t>
      </w:r>
    </w:p>
    <w:p w:rsidR="00265073" w:rsidRDefault="00265073" w:rsidP="00EC445E">
      <w:pPr>
        <w:pStyle w:val="af"/>
        <w:rPr>
          <w:rtl/>
        </w:rPr>
      </w:pPr>
      <w:r w:rsidRPr="006F7665">
        <w:rPr>
          <w:rFonts w:hint="cs"/>
          <w:rtl/>
        </w:rPr>
        <w:t xml:space="preserve">וכתב </w:t>
      </w:r>
      <w:r w:rsidRPr="00354AE8">
        <w:rPr>
          <w:rStyle w:val="affa"/>
          <w:rFonts w:hint="cs"/>
          <w:rtl/>
        </w:rPr>
        <w:t>בחי' הגר"ח מטעלז</w:t>
      </w:r>
      <w:r w:rsidRPr="006F7665">
        <w:rPr>
          <w:rFonts w:hint="cs"/>
          <w:rtl/>
        </w:rPr>
        <w:t xml:space="preserve"> דהא דבדעת נהרדעי כתב </w:t>
      </w:r>
      <w:r w:rsidRPr="006F7665">
        <w:rPr>
          <w:b/>
          <w:bCs/>
          <w:rtl/>
        </w:rPr>
        <w:t>ר"י בתוס'</w:t>
      </w:r>
      <w:r w:rsidRPr="006F7665">
        <w:rPr>
          <w:rFonts w:hint="cs"/>
          <w:rtl/>
        </w:rPr>
        <w:t xml:space="preserve"> </w:t>
      </w:r>
      <w:r w:rsidRPr="00C91236">
        <w:rPr>
          <w:rStyle w:val="aff6"/>
          <w:rFonts w:hint="cs"/>
          <w:rtl/>
        </w:rPr>
        <w:t xml:space="preserve">(עי' אות </w:t>
      </w:r>
      <w:r w:rsidRPr="00C91236">
        <w:rPr>
          <w:rStyle w:val="aff6"/>
          <w:rtl/>
        </w:rPr>
        <w:fldChar w:fldCharType="begin"/>
      </w:r>
      <w:r w:rsidRPr="00C91236">
        <w:rPr>
          <w:rStyle w:val="aff6"/>
          <w:rtl/>
        </w:rPr>
        <w:instrText xml:space="preserve"> </w:instrText>
      </w:r>
      <w:r w:rsidRPr="00C91236">
        <w:rPr>
          <w:rStyle w:val="aff6"/>
          <w:rFonts w:hint="cs"/>
        </w:rPr>
        <w:instrText>REF</w:instrText>
      </w:r>
      <w:r w:rsidRPr="00C91236">
        <w:rPr>
          <w:rStyle w:val="aff6"/>
          <w:rFonts w:hint="cs"/>
          <w:rtl/>
        </w:rPr>
        <w:instrText xml:space="preserve"> _</w:instrText>
      </w:r>
      <w:r w:rsidRPr="00C91236">
        <w:rPr>
          <w:rStyle w:val="aff6"/>
          <w:rFonts w:hint="cs"/>
        </w:rPr>
        <w:instrText>Ref62403787 \r \h</w:instrText>
      </w:r>
      <w:r w:rsidRPr="00C91236">
        <w:rPr>
          <w:rStyle w:val="aff6"/>
          <w:rtl/>
        </w:rPr>
        <w:instrText xml:space="preserve"> </w:instrText>
      </w:r>
      <w:r w:rsidRPr="00C91236">
        <w:rPr>
          <w:rStyle w:val="aff6"/>
          <w:rtl/>
        </w:rPr>
      </w:r>
      <w:r w:rsidRPr="00C91236">
        <w:rPr>
          <w:rStyle w:val="aff6"/>
          <w:rtl/>
        </w:rPr>
        <w:fldChar w:fldCharType="separate"/>
      </w:r>
      <w:r>
        <w:rPr>
          <w:rStyle w:val="aff6"/>
          <w:cs/>
        </w:rPr>
        <w:t>‎</w:t>
      </w:r>
      <w:r>
        <w:rPr>
          <w:rStyle w:val="aff6"/>
          <w:rtl/>
        </w:rPr>
        <w:t>טו)</w:t>
      </w:r>
      <w:r w:rsidRPr="00C91236">
        <w:rPr>
          <w:rStyle w:val="aff6"/>
          <w:rtl/>
        </w:rPr>
        <w:fldChar w:fldCharType="end"/>
      </w:r>
      <w:r w:rsidRPr="006F7665">
        <w:rPr>
          <w:rFonts w:hint="cs"/>
          <w:rtl/>
        </w:rPr>
        <w:t xml:space="preserve"> דיש להסתפק אי נאמן לחזור ולטעון, היינו כיון דאפש"ל דלא פירש את דבריו בב"ד, דהוא סבר דהב"ד עצמם יבינו שזו הייתה כוונתו</w:t>
      </w:r>
      <w:r>
        <w:rPr>
          <w:rFonts w:hint="cs"/>
          <w:rtl/>
        </w:rPr>
        <w:t>.</w:t>
      </w:r>
      <w:r w:rsidRPr="00354AE8">
        <w:rPr>
          <w:rFonts w:hint="cs"/>
          <w:rtl/>
        </w:rPr>
        <w:t xml:space="preserve"> </w:t>
      </w:r>
    </w:p>
    <w:p w:rsidR="00265073" w:rsidRPr="006F7665" w:rsidRDefault="00265073" w:rsidP="00EC445E">
      <w:pPr>
        <w:pStyle w:val="af"/>
      </w:pPr>
      <w:r w:rsidRPr="006F7665">
        <w:rPr>
          <w:rFonts w:hint="cs"/>
          <w:rtl/>
        </w:rPr>
        <w:t xml:space="preserve">וכתב </w:t>
      </w:r>
      <w:r w:rsidRPr="00354AE8">
        <w:rPr>
          <w:rStyle w:val="affa"/>
          <w:rFonts w:hint="cs"/>
          <w:rtl/>
        </w:rPr>
        <w:t>בחי' הגר"ח מטעלז</w:t>
      </w:r>
      <w:r w:rsidRPr="006F7665">
        <w:rPr>
          <w:rFonts w:hint="cs"/>
          <w:rtl/>
        </w:rPr>
        <w:t xml:space="preserve"> דא"כ אינו נאמן לטעון כשיצא חוץ לב"ד דסמיך עלה כדאבהתי, במיגו דהיה טוען של אבותי שלקחוה מאבותיך, דהוא כמיגו במקום עדים, דלעולא אמרינן דכל שלא טען כן בב"ד, ודאי אינו מפרש את דבריו, אלא הוא נמלך</w:t>
      </w:r>
      <w:r>
        <w:rPr>
          <w:rFonts w:hint="cs"/>
          <w:rtl/>
        </w:rPr>
        <w:t xml:space="preserve">, וע"ע במ"ש </w:t>
      </w:r>
      <w:r w:rsidRPr="00C91236">
        <w:rPr>
          <w:rStyle w:val="affa"/>
          <w:rFonts w:hint="cs"/>
          <w:rtl/>
        </w:rPr>
        <w:t>בחי' רבי נחום</w:t>
      </w:r>
      <w:r>
        <w:rPr>
          <w:rFonts w:hint="cs"/>
          <w:rtl/>
        </w:rPr>
        <w:t xml:space="preserve"> </w:t>
      </w:r>
      <w:r w:rsidRPr="00C91236">
        <w:rPr>
          <w:rStyle w:val="aff6"/>
          <w:rFonts w:hint="cs"/>
          <w:rtl/>
        </w:rPr>
        <w:t>(או' צ')</w:t>
      </w:r>
      <w:r>
        <w:rPr>
          <w:rFonts w:hint="cs"/>
          <w:rtl/>
        </w:rPr>
        <w:t xml:space="preserve"> </w:t>
      </w:r>
      <w:r w:rsidRPr="00B50C06">
        <w:rPr>
          <w:rStyle w:val="affa"/>
          <w:rFonts w:hint="cs"/>
          <w:rtl/>
        </w:rPr>
        <w:t>ובאבי עזרי</w:t>
      </w:r>
      <w:r>
        <w:rPr>
          <w:rFonts w:hint="cs"/>
          <w:rtl/>
        </w:rPr>
        <w:t xml:space="preserve"> </w:t>
      </w:r>
      <w:r w:rsidRPr="00B50C06">
        <w:rPr>
          <w:rStyle w:val="aff6"/>
          <w:rFonts w:hint="cs"/>
          <w:rtl/>
        </w:rPr>
        <w:t>(טו"נ פ"ו ה"ג או' ח')</w:t>
      </w:r>
      <w:r w:rsidRPr="006F7665">
        <w:rPr>
          <w:rFonts w:hint="cs"/>
          <w:rtl/>
        </w:rPr>
        <w:t>.</w:t>
      </w:r>
    </w:p>
    <w:p w:rsidR="00265073" w:rsidRPr="006F7665" w:rsidRDefault="00265073" w:rsidP="00EC445E">
      <w:pPr>
        <w:pStyle w:val="af"/>
        <w:rPr>
          <w:rtl/>
        </w:rPr>
      </w:pPr>
    </w:p>
  </w:footnote>
  <w:footnote w:id="80">
    <w:p w:rsidR="00265073" w:rsidRDefault="00265073" w:rsidP="00EC445E">
      <w:pPr>
        <w:pStyle w:val="af"/>
        <w:rPr>
          <w:rtl/>
        </w:rPr>
      </w:pPr>
      <w:r>
        <w:rPr>
          <w:rStyle w:val="af1"/>
        </w:rPr>
        <w:footnoteRef/>
      </w:r>
      <w:r>
        <w:rPr>
          <w:rtl/>
        </w:rPr>
        <w:t xml:space="preserve"> </w:t>
      </w:r>
      <w:r w:rsidRPr="002147BC">
        <w:rPr>
          <w:rStyle w:val="affa"/>
          <w:rFonts w:hint="cs"/>
          <w:rtl/>
        </w:rPr>
        <w:t>ובחי' רבי נחום</w:t>
      </w:r>
      <w:r w:rsidRPr="002147BC">
        <w:rPr>
          <w:rStyle w:val="afb"/>
          <w:rFonts w:hint="cs"/>
          <w:rtl/>
        </w:rPr>
        <w:t xml:space="preserve"> </w:t>
      </w:r>
      <w:r w:rsidRPr="002147BC">
        <w:rPr>
          <w:rStyle w:val="aff6"/>
          <w:rFonts w:hint="cs"/>
          <w:rtl/>
        </w:rPr>
        <w:t>(או' פ"ז)</w:t>
      </w:r>
      <w:r w:rsidRPr="002147BC">
        <w:rPr>
          <w:rStyle w:val="afb"/>
          <w:rFonts w:hint="cs"/>
          <w:rtl/>
        </w:rPr>
        <w:t xml:space="preserve"> הקשה על </w:t>
      </w:r>
      <w:r w:rsidRPr="002147BC">
        <w:rPr>
          <w:rStyle w:val="affa"/>
          <w:rFonts w:hint="cs"/>
          <w:rtl/>
        </w:rPr>
        <w:t>הרשב"ם</w:t>
      </w:r>
      <w:r w:rsidRPr="002147BC">
        <w:rPr>
          <w:rStyle w:val="afb"/>
          <w:rFonts w:hint="cs"/>
          <w:rtl/>
        </w:rPr>
        <w:t xml:space="preserve"> </w:t>
      </w:r>
      <w:r w:rsidRPr="00CB4248">
        <w:rPr>
          <w:rStyle w:val="aff6"/>
          <w:rFonts w:hint="cs"/>
          <w:rtl/>
        </w:rPr>
        <w:t xml:space="preserve">(עי' אות </w:t>
      </w:r>
      <w:r w:rsidRPr="00CB4248">
        <w:rPr>
          <w:rStyle w:val="aff6"/>
          <w:rtl/>
        </w:rPr>
        <w:fldChar w:fldCharType="begin"/>
      </w:r>
      <w:r w:rsidRPr="00CB4248">
        <w:rPr>
          <w:rStyle w:val="aff6"/>
          <w:rtl/>
        </w:rPr>
        <w:instrText xml:space="preserve"> </w:instrText>
      </w:r>
      <w:r w:rsidRPr="00CB4248">
        <w:rPr>
          <w:rStyle w:val="aff6"/>
          <w:rFonts w:hint="cs"/>
        </w:rPr>
        <w:instrText>REF</w:instrText>
      </w:r>
      <w:r w:rsidRPr="00CB4248">
        <w:rPr>
          <w:rStyle w:val="aff6"/>
          <w:rFonts w:hint="cs"/>
          <w:rtl/>
        </w:rPr>
        <w:instrText xml:space="preserve"> _</w:instrText>
      </w:r>
      <w:r w:rsidRPr="00CB4248">
        <w:rPr>
          <w:rStyle w:val="aff6"/>
          <w:rFonts w:hint="cs"/>
        </w:rPr>
        <w:instrText>Ref62574746 \r \h</w:instrText>
      </w:r>
      <w:r w:rsidRPr="00CB4248">
        <w:rPr>
          <w:rStyle w:val="aff6"/>
          <w:rtl/>
        </w:rPr>
        <w:instrText xml:space="preserve"> </w:instrText>
      </w:r>
      <w:r w:rsidRPr="00CB4248">
        <w:rPr>
          <w:rStyle w:val="aff6"/>
          <w:rtl/>
        </w:rPr>
      </w:r>
      <w:r w:rsidRPr="00CB4248">
        <w:rPr>
          <w:rStyle w:val="aff6"/>
          <w:rtl/>
        </w:rPr>
        <w:fldChar w:fldCharType="separate"/>
      </w:r>
      <w:r>
        <w:rPr>
          <w:rStyle w:val="aff6"/>
          <w:cs/>
        </w:rPr>
        <w:t>‎</w:t>
      </w:r>
      <w:r>
        <w:rPr>
          <w:rStyle w:val="aff6"/>
          <w:rtl/>
        </w:rPr>
        <w:t>כט)</w:t>
      </w:r>
      <w:r w:rsidRPr="00CB4248">
        <w:rPr>
          <w:rStyle w:val="aff6"/>
          <w:rtl/>
        </w:rPr>
        <w:fldChar w:fldCharType="end"/>
      </w:r>
      <w:r>
        <w:rPr>
          <w:rStyle w:val="afb"/>
          <w:rFonts w:hint="cs"/>
          <w:rtl/>
        </w:rPr>
        <w:t xml:space="preserve"> </w:t>
      </w:r>
      <w:r w:rsidRPr="002147BC">
        <w:rPr>
          <w:rStyle w:val="afb"/>
          <w:rFonts w:hint="cs"/>
          <w:rtl/>
        </w:rPr>
        <w:t>דאי נאמן להכחיש את דבריו לגמרי, א"כ אמאי אמרינן דמודו נהרדעי, הא אף לעולא יש בזה חידוש דנאמן להכחיש את טענתו הראשונה שטען מחוץ לב"ד לגמרי.</w:t>
      </w:r>
    </w:p>
    <w:p w:rsidR="00265073" w:rsidRDefault="00265073" w:rsidP="00EC445E">
      <w:pPr>
        <w:pStyle w:val="af"/>
        <w:rPr>
          <w:rtl/>
        </w:rPr>
      </w:pPr>
      <w:r>
        <w:rPr>
          <w:rFonts w:hint="cs"/>
          <w:rtl/>
        </w:rPr>
        <w:t xml:space="preserve">ועי' במה שביאר </w:t>
      </w:r>
      <w:r w:rsidRPr="00CB4248">
        <w:rPr>
          <w:rStyle w:val="affa"/>
          <w:rFonts w:hint="cs"/>
          <w:rtl/>
        </w:rPr>
        <w:t>היד רמ"ה</w:t>
      </w:r>
      <w:r>
        <w:rPr>
          <w:rFonts w:hint="cs"/>
          <w:rtl/>
        </w:rPr>
        <w:t xml:space="preserve"> </w:t>
      </w:r>
      <w:r w:rsidRPr="00CB4248">
        <w:rPr>
          <w:rStyle w:val="aff6"/>
          <w:rFonts w:hint="cs"/>
          <w:rtl/>
        </w:rPr>
        <w:t xml:space="preserve">(עי' אות </w:t>
      </w:r>
      <w:r w:rsidRPr="00CB4248">
        <w:rPr>
          <w:rStyle w:val="aff6"/>
          <w:rtl/>
        </w:rPr>
        <w:fldChar w:fldCharType="begin"/>
      </w:r>
      <w:r w:rsidRPr="00CB4248">
        <w:rPr>
          <w:rStyle w:val="aff6"/>
          <w:rtl/>
        </w:rPr>
        <w:instrText xml:space="preserve"> </w:instrText>
      </w:r>
      <w:r w:rsidRPr="00CB4248">
        <w:rPr>
          <w:rStyle w:val="aff6"/>
          <w:rFonts w:hint="cs"/>
        </w:rPr>
        <w:instrText>REF</w:instrText>
      </w:r>
      <w:r w:rsidRPr="00CB4248">
        <w:rPr>
          <w:rStyle w:val="aff6"/>
          <w:rFonts w:hint="cs"/>
          <w:rtl/>
        </w:rPr>
        <w:instrText xml:space="preserve"> _</w:instrText>
      </w:r>
      <w:r w:rsidRPr="00CB4248">
        <w:rPr>
          <w:rStyle w:val="aff6"/>
          <w:rFonts w:hint="cs"/>
        </w:rPr>
        <w:instrText>Ref62574916 \r \h</w:instrText>
      </w:r>
      <w:r w:rsidRPr="00CB4248">
        <w:rPr>
          <w:rStyle w:val="aff6"/>
          <w:rtl/>
        </w:rPr>
        <w:instrText xml:space="preserve"> </w:instrText>
      </w:r>
      <w:r w:rsidRPr="00CB4248">
        <w:rPr>
          <w:rStyle w:val="aff6"/>
          <w:rtl/>
        </w:rPr>
      </w:r>
      <w:r w:rsidRPr="00CB4248">
        <w:rPr>
          <w:rStyle w:val="aff6"/>
          <w:rtl/>
        </w:rPr>
        <w:fldChar w:fldCharType="separate"/>
      </w:r>
      <w:r>
        <w:rPr>
          <w:rStyle w:val="aff6"/>
          <w:cs/>
        </w:rPr>
        <w:t>‎</w:t>
      </w:r>
      <w:r>
        <w:rPr>
          <w:rStyle w:val="aff6"/>
          <w:rtl/>
        </w:rPr>
        <w:t>ל)</w:t>
      </w:r>
      <w:r w:rsidRPr="00CB4248">
        <w:rPr>
          <w:rStyle w:val="aff6"/>
          <w:rtl/>
        </w:rPr>
        <w:fldChar w:fldCharType="end"/>
      </w:r>
      <w:r>
        <w:rPr>
          <w:rFonts w:hint="cs"/>
          <w:rtl/>
        </w:rPr>
        <w:t xml:space="preserve"> דנהרדעי הודו לעולא בחוזר וטוען דסמיך עלה כדאבהתי, אלא דכיון דאמרי נהרדעי דאינו מגלה טענותיו חוץ לב"ד, כתב </w:t>
      </w:r>
      <w:r w:rsidRPr="00CB4248">
        <w:rPr>
          <w:rStyle w:val="affa"/>
          <w:rFonts w:hint="cs"/>
          <w:rtl/>
        </w:rPr>
        <w:t>היד רמ"ה</w:t>
      </w:r>
      <w:r>
        <w:rPr>
          <w:rFonts w:hint="cs"/>
          <w:rtl/>
        </w:rPr>
        <w:t xml:space="preserve"> דה"ה בטען חוץ לב"ד של אבותי ולא של אבותיך, דנאמן לחזור ולטעון בב"ד מינך זבינתה, ואומר למחזיק משטה הייתי, ולפי"ז מיושבת קושית </w:t>
      </w:r>
      <w:r w:rsidRPr="00CB4248">
        <w:rPr>
          <w:rStyle w:val="affa"/>
          <w:rFonts w:hint="cs"/>
          <w:rtl/>
        </w:rPr>
        <w:t>רבי נחום</w:t>
      </w:r>
      <w:r>
        <w:rPr>
          <w:rFonts w:hint="cs"/>
          <w:rtl/>
        </w:rPr>
        <w:t>.</w:t>
      </w:r>
    </w:p>
  </w:footnote>
  <w:footnote w:id="81">
    <w:p w:rsidR="00265073" w:rsidRDefault="00265073" w:rsidP="00EC445E">
      <w:pPr>
        <w:pStyle w:val="af"/>
        <w:rPr>
          <w:rtl/>
        </w:rPr>
      </w:pPr>
      <w:r>
        <w:rPr>
          <w:rStyle w:val="af1"/>
        </w:rPr>
        <w:footnoteRef/>
      </w:r>
      <w:r>
        <w:rPr>
          <w:rtl/>
        </w:rPr>
        <w:t xml:space="preserve"> </w:t>
      </w:r>
      <w:r>
        <w:rPr>
          <w:rFonts w:hint="cs"/>
          <w:rtl/>
        </w:rPr>
        <w:t>ו</w:t>
      </w:r>
      <w:r>
        <w:rPr>
          <w:rtl/>
        </w:rPr>
        <w:t xml:space="preserve">עוד כתב </w:t>
      </w:r>
      <w:r w:rsidRPr="00FC1D78">
        <w:rPr>
          <w:rStyle w:val="affa"/>
          <w:rtl/>
        </w:rPr>
        <w:t>הר"י מגאש בשבועות</w:t>
      </w:r>
      <w:r w:rsidRPr="00A64DE0">
        <w:rPr>
          <w:rStyle w:val="aff6"/>
          <w:rtl/>
        </w:rPr>
        <w:t xml:space="preserve"> (לד. ריש ד"ה ונקטינן) </w:t>
      </w:r>
      <w:r>
        <w:rPr>
          <w:rtl/>
        </w:rPr>
        <w:t>דהוחזק כפרן היינו דוקא כשהוכחש בעיקר הממון עצמו, כגון שתבעו שהלוהו ואמר לא נטלתי ממון, והעידו עדים שראו שנטל, דאח"כ אינו יכול לחזור ולטעון שנתן לי במתנה, כיון שידוע דהוא חזר בו מטענתו הראשונה לטענתו האחרונה, מחמת עדות העדים.</w:t>
      </w:r>
    </w:p>
    <w:p w:rsidR="00265073" w:rsidRDefault="00265073" w:rsidP="00EC445E">
      <w:pPr>
        <w:pStyle w:val="af"/>
        <w:rPr>
          <w:rtl/>
        </w:rPr>
      </w:pPr>
      <w:r>
        <w:rPr>
          <w:rtl/>
        </w:rPr>
        <w:t xml:space="preserve">אך כתב </w:t>
      </w:r>
      <w:r w:rsidRPr="00FC1D78">
        <w:rPr>
          <w:rStyle w:val="affa"/>
          <w:rtl/>
        </w:rPr>
        <w:t>הר"י מגאש בשבועות</w:t>
      </w:r>
      <w:r>
        <w:rPr>
          <w:rtl/>
        </w:rPr>
        <w:t xml:space="preserve"> דאם לא הוכחש בעיקר הממון, אלא הוכחש בחקירות, כגון לא עברתי בצד עמוד זה מעולם, </w:t>
      </w:r>
      <w:r>
        <w:rPr>
          <w:rFonts w:hint="cs"/>
          <w:rtl/>
        </w:rPr>
        <w:t xml:space="preserve">והעידו עדים שעבר בצד עמוד זה, </w:t>
      </w:r>
      <w:r>
        <w:rPr>
          <w:rtl/>
        </w:rPr>
        <w:t>דהוא חוזר וטוען אף שהוכחש בזה ע"י העדים, דכל מילתא דלא רמי עליה דאיניש לאו אדעתיה, ויתכן שעבר בצד עמוד זה, אך לא לוה ממנו מעולם.</w:t>
      </w:r>
    </w:p>
    <w:p w:rsidR="00265073" w:rsidRPr="00FC1D78" w:rsidRDefault="00265073" w:rsidP="00EC445E">
      <w:pPr>
        <w:pStyle w:val="af"/>
        <w:rPr>
          <w:rtl/>
        </w:rPr>
      </w:pPr>
      <w:r>
        <w:rPr>
          <w:rtl/>
        </w:rPr>
        <w:t xml:space="preserve">והוסיף </w:t>
      </w:r>
      <w:r w:rsidRPr="00FC1D78">
        <w:rPr>
          <w:rStyle w:val="affa"/>
          <w:rtl/>
        </w:rPr>
        <w:t>הר"י מגאש בשבועות</w:t>
      </w:r>
      <w:r>
        <w:rPr>
          <w:rtl/>
        </w:rPr>
        <w:t xml:space="preserve"> דכ"ש דבטען בתחילה לא לויתי והוכחש ע"י עדים אינו נאמן לחזור ולטעון פרעתי, מחמת ב' טעמים, הא' כיון שידוע דחזר בו מחמת שהכחישו העדים את טענתו הראשונה, והב' דמדיוק לשונו בטענתו הראשונה הוא מכחיש בעצמו את טענתו האחרונה, דכשטען בתחילה להד"ם, ממילא מדוייק מדבריו דלא פרע לו, דכל שלא לוה אינו יכול לפרוע, כדקיי"ל כל האומר לא לויתי כאומר לא פרעתי דמי.</w:t>
      </w:r>
    </w:p>
  </w:footnote>
  <w:footnote w:id="82">
    <w:p w:rsidR="00265073" w:rsidRDefault="00265073" w:rsidP="00EC445E">
      <w:pPr>
        <w:pStyle w:val="af"/>
        <w:rPr>
          <w:rtl/>
        </w:rPr>
      </w:pPr>
      <w:r>
        <w:rPr>
          <w:rStyle w:val="af1"/>
        </w:rPr>
        <w:footnoteRef/>
      </w:r>
      <w:r>
        <w:rPr>
          <w:rtl/>
        </w:rPr>
        <w:t xml:space="preserve"> </w:t>
      </w:r>
      <w:bookmarkStart w:id="13145" w:name="_Ref62402128"/>
      <w:r w:rsidRPr="00AE4AA9">
        <w:rPr>
          <w:rFonts w:hint="cs"/>
          <w:rtl/>
        </w:rPr>
        <w:t>וע"ע ב</w:t>
      </w:r>
      <w:r>
        <w:rPr>
          <w:rFonts w:hint="cs"/>
          <w:rtl/>
        </w:rPr>
        <w:t xml:space="preserve">מ"ש לפני כן </w:t>
      </w:r>
      <w:r w:rsidRPr="00AE4AA9">
        <w:rPr>
          <w:rFonts w:hint="cs"/>
          <w:rtl/>
        </w:rPr>
        <w:t xml:space="preserve"> </w:t>
      </w:r>
      <w:r w:rsidRPr="00550FC7">
        <w:rPr>
          <w:rStyle w:val="affa"/>
          <w:rFonts w:hint="cs"/>
          <w:rtl/>
        </w:rPr>
        <w:t>במרדכי</w:t>
      </w:r>
      <w:r w:rsidRPr="00AE4AA9">
        <w:rPr>
          <w:rStyle w:val="af9"/>
          <w:rFonts w:hint="cs"/>
          <w:rtl/>
        </w:rPr>
        <w:t xml:space="preserve"> </w:t>
      </w:r>
      <w:r w:rsidRPr="00550FC7">
        <w:rPr>
          <w:rStyle w:val="aff6"/>
          <w:rFonts w:hint="cs"/>
          <w:rtl/>
        </w:rPr>
        <w:t xml:space="preserve">(סוף </w:t>
      </w:r>
      <w:r w:rsidRPr="00550FC7">
        <w:rPr>
          <w:rStyle w:val="aff6"/>
          <w:rtl/>
        </w:rPr>
        <w:t>רמז תקכ</w:t>
      </w:r>
      <w:r w:rsidRPr="00550FC7">
        <w:rPr>
          <w:rStyle w:val="aff6"/>
          <w:rFonts w:hint="cs"/>
          <w:rtl/>
        </w:rPr>
        <w:t>"ד)</w:t>
      </w:r>
      <w:r w:rsidRPr="00AE4AA9">
        <w:rPr>
          <w:rFonts w:hint="cs"/>
          <w:rtl/>
        </w:rPr>
        <w:t xml:space="preserve"> דכתב </w:t>
      </w:r>
      <w:r>
        <w:rPr>
          <w:rFonts w:hint="cs"/>
          <w:rtl/>
        </w:rPr>
        <w:t xml:space="preserve">דבמקום שהודה בתחילה לטענת התובע, ואח"כ חזר בו וטען טעיתי דאינו נאמן, </w:t>
      </w:r>
      <w:r w:rsidRPr="00AE4AA9">
        <w:rPr>
          <w:rFonts w:hint="cs"/>
          <w:rtl/>
        </w:rPr>
        <w:t>דכיון דלא אמרינן מיגו במקום עדים, ה"ה ד</w:t>
      </w:r>
      <w:r>
        <w:rPr>
          <w:rFonts w:hint="cs"/>
          <w:rtl/>
        </w:rPr>
        <w:t>לא אמרינן מיגו במקום הודאת בע"ד, ומדברי</w:t>
      </w:r>
      <w:r w:rsidRPr="00AE4AA9">
        <w:rPr>
          <w:rFonts w:hint="cs"/>
          <w:rtl/>
        </w:rPr>
        <w:t xml:space="preserve"> </w:t>
      </w:r>
      <w:r w:rsidRPr="00B74E1E">
        <w:rPr>
          <w:rStyle w:val="affa"/>
          <w:rFonts w:hint="cs"/>
          <w:rtl/>
        </w:rPr>
        <w:t xml:space="preserve">המהריב"ל </w:t>
      </w:r>
      <w:r w:rsidRPr="00550FC7">
        <w:rPr>
          <w:rStyle w:val="aff6"/>
          <w:rFonts w:hint="cs"/>
          <w:rtl/>
        </w:rPr>
        <w:t>(ח"ג סו"ס ע"ט ד"ה ובמאי דכתבינן)</w:t>
      </w:r>
      <w:r>
        <w:rPr>
          <w:rFonts w:hint="cs"/>
          <w:rtl/>
        </w:rPr>
        <w:t xml:space="preserve"> משמע דמסקנת דברי </w:t>
      </w:r>
      <w:r w:rsidRPr="007C1ABA">
        <w:rPr>
          <w:rStyle w:val="affa"/>
          <w:rFonts w:hint="cs"/>
          <w:rtl/>
        </w:rPr>
        <w:t>המרדכי</w:t>
      </w:r>
      <w:r>
        <w:rPr>
          <w:rFonts w:hint="cs"/>
          <w:rtl/>
        </w:rPr>
        <w:t xml:space="preserve"> </w:t>
      </w:r>
      <w:r w:rsidRPr="00550FC7">
        <w:rPr>
          <w:rStyle w:val="aff6"/>
          <w:rFonts w:hint="cs"/>
          <w:rtl/>
        </w:rPr>
        <w:t>(</w:t>
      </w:r>
      <w:r w:rsidRPr="00550FC7">
        <w:rPr>
          <w:rStyle w:val="aff6"/>
          <w:rtl/>
        </w:rPr>
        <w:t>רמז תקכ</w:t>
      </w:r>
      <w:r w:rsidRPr="00550FC7">
        <w:rPr>
          <w:rStyle w:val="aff6"/>
          <w:rFonts w:hint="cs"/>
          <w:rtl/>
        </w:rPr>
        <w:t>"</w:t>
      </w:r>
      <w:r w:rsidRPr="00550FC7">
        <w:rPr>
          <w:rStyle w:val="aff6"/>
          <w:rtl/>
        </w:rPr>
        <w:t>ה</w:t>
      </w:r>
      <w:r w:rsidRPr="00550FC7">
        <w:rPr>
          <w:rStyle w:val="aff6"/>
          <w:rFonts w:hint="cs"/>
          <w:rtl/>
        </w:rPr>
        <w:t>)</w:t>
      </w:r>
      <w:r>
        <w:rPr>
          <w:rStyle w:val="af9"/>
          <w:rFonts w:hint="cs"/>
          <w:rtl/>
        </w:rPr>
        <w:t xml:space="preserve"> </w:t>
      </w:r>
      <w:r>
        <w:rPr>
          <w:rFonts w:hint="cs"/>
          <w:rtl/>
        </w:rPr>
        <w:t xml:space="preserve">דנאמן במיגו כנגד הודאת בע"ד וכדעת </w:t>
      </w:r>
      <w:r w:rsidRPr="00550FC7">
        <w:rPr>
          <w:rStyle w:val="affa"/>
          <w:rFonts w:hint="cs"/>
          <w:rtl/>
        </w:rPr>
        <w:t>הר"י</w:t>
      </w:r>
      <w:r>
        <w:rPr>
          <w:rFonts w:hint="cs"/>
          <w:rtl/>
        </w:rPr>
        <w:t xml:space="preserve"> </w:t>
      </w:r>
      <w:r w:rsidRPr="00550FC7">
        <w:rPr>
          <w:rStyle w:val="affa"/>
          <w:rFonts w:hint="cs"/>
          <w:rtl/>
        </w:rPr>
        <w:t>מגאש</w:t>
      </w:r>
      <w:r>
        <w:rPr>
          <w:rFonts w:hint="cs"/>
          <w:rtl/>
        </w:rPr>
        <w:t xml:space="preserve"> </w:t>
      </w:r>
      <w:r w:rsidRPr="00550FC7">
        <w:rPr>
          <w:rStyle w:val="aff6"/>
          <w:rFonts w:hint="cs"/>
          <w:rtl/>
        </w:rPr>
        <w:t xml:space="preserve">(עי' אות </w:t>
      </w:r>
      <w:r w:rsidRPr="00550FC7">
        <w:rPr>
          <w:rStyle w:val="aff6"/>
          <w:rtl/>
        </w:rPr>
        <w:fldChar w:fldCharType="begin"/>
      </w:r>
      <w:r w:rsidRPr="00550FC7">
        <w:rPr>
          <w:rStyle w:val="aff6"/>
          <w:rtl/>
        </w:rPr>
        <w:instrText xml:space="preserve"> </w:instrText>
      </w:r>
      <w:r w:rsidRPr="00550FC7">
        <w:rPr>
          <w:rStyle w:val="aff6"/>
          <w:rFonts w:hint="cs"/>
        </w:rPr>
        <w:instrText>REF</w:instrText>
      </w:r>
      <w:r w:rsidRPr="00550FC7">
        <w:rPr>
          <w:rStyle w:val="aff6"/>
          <w:rFonts w:hint="cs"/>
          <w:rtl/>
        </w:rPr>
        <w:instrText xml:space="preserve"> _</w:instrText>
      </w:r>
      <w:r w:rsidRPr="00550FC7">
        <w:rPr>
          <w:rStyle w:val="aff6"/>
          <w:rFonts w:hint="cs"/>
        </w:rPr>
        <w:instrText>Ref62452796 \r \h</w:instrText>
      </w:r>
      <w:r w:rsidRPr="00550FC7">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550FC7">
        <w:rPr>
          <w:rStyle w:val="aff6"/>
          <w:rtl/>
        </w:rPr>
      </w:r>
      <w:r w:rsidRPr="00550FC7">
        <w:rPr>
          <w:rStyle w:val="aff6"/>
          <w:rtl/>
        </w:rPr>
        <w:fldChar w:fldCharType="separate"/>
      </w:r>
      <w:r>
        <w:rPr>
          <w:rStyle w:val="aff6"/>
          <w:cs/>
        </w:rPr>
        <w:t>‎</w:t>
      </w:r>
      <w:r>
        <w:rPr>
          <w:rStyle w:val="aff6"/>
          <w:rtl/>
        </w:rPr>
        <w:t>מב)</w:t>
      </w:r>
      <w:r w:rsidRPr="00550FC7">
        <w:rPr>
          <w:rStyle w:val="aff6"/>
          <w:rtl/>
        </w:rPr>
        <w:fldChar w:fldCharType="end"/>
      </w:r>
      <w:r>
        <w:rPr>
          <w:rFonts w:hint="cs"/>
          <w:rtl/>
        </w:rPr>
        <w:t xml:space="preserve">, ולכן </w:t>
      </w:r>
      <w:r w:rsidRPr="00FD4B0D">
        <w:rPr>
          <w:rFonts w:hint="cs"/>
          <w:rtl/>
        </w:rPr>
        <w:t xml:space="preserve">ביאר </w:t>
      </w:r>
      <w:r w:rsidRPr="00B74E1E">
        <w:rPr>
          <w:rStyle w:val="affa"/>
          <w:rFonts w:hint="cs"/>
          <w:rtl/>
        </w:rPr>
        <w:t xml:space="preserve">המהריב"ל </w:t>
      </w:r>
      <w:r w:rsidRPr="00550FC7">
        <w:rPr>
          <w:rStyle w:val="aff6"/>
          <w:rFonts w:hint="cs"/>
          <w:rtl/>
        </w:rPr>
        <w:t xml:space="preserve">(עי' אות </w:t>
      </w:r>
      <w:r w:rsidRPr="00550FC7">
        <w:rPr>
          <w:rStyle w:val="aff6"/>
          <w:rtl/>
        </w:rPr>
        <w:fldChar w:fldCharType="begin"/>
      </w:r>
      <w:r w:rsidRPr="00550FC7">
        <w:rPr>
          <w:rStyle w:val="aff6"/>
          <w:rtl/>
        </w:rPr>
        <w:instrText xml:space="preserve"> </w:instrText>
      </w:r>
      <w:r w:rsidRPr="00550FC7">
        <w:rPr>
          <w:rStyle w:val="aff6"/>
          <w:rFonts w:hint="cs"/>
        </w:rPr>
        <w:instrText>REF</w:instrText>
      </w:r>
      <w:r w:rsidRPr="00550FC7">
        <w:rPr>
          <w:rStyle w:val="aff6"/>
          <w:rFonts w:hint="cs"/>
          <w:rtl/>
        </w:rPr>
        <w:instrText xml:space="preserve"> _</w:instrText>
      </w:r>
      <w:r w:rsidRPr="00550FC7">
        <w:rPr>
          <w:rStyle w:val="aff6"/>
          <w:rFonts w:hint="cs"/>
        </w:rPr>
        <w:instrText>Ref62402139 \r \h</w:instrText>
      </w:r>
      <w:r w:rsidRPr="00550FC7">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550FC7">
        <w:rPr>
          <w:rStyle w:val="aff6"/>
          <w:rtl/>
        </w:rPr>
      </w:r>
      <w:r w:rsidRPr="00550FC7">
        <w:rPr>
          <w:rStyle w:val="aff6"/>
          <w:rtl/>
        </w:rPr>
        <w:fldChar w:fldCharType="separate"/>
      </w:r>
      <w:r>
        <w:rPr>
          <w:rStyle w:val="aff6"/>
          <w:cs/>
        </w:rPr>
        <w:t>‎</w:t>
      </w:r>
      <w:r>
        <w:rPr>
          <w:rStyle w:val="aff6"/>
          <w:rtl/>
        </w:rPr>
        <w:t>עו)</w:t>
      </w:r>
      <w:r w:rsidRPr="00550FC7">
        <w:rPr>
          <w:rStyle w:val="aff6"/>
          <w:rtl/>
        </w:rPr>
        <w:fldChar w:fldCharType="end"/>
      </w:r>
      <w:r>
        <w:rPr>
          <w:rStyle w:val="affa"/>
          <w:rFonts w:hint="cs"/>
          <w:rtl/>
        </w:rPr>
        <w:t xml:space="preserve"> </w:t>
      </w:r>
      <w:r w:rsidRPr="00B74E1E">
        <w:rPr>
          <w:rStyle w:val="affa"/>
          <w:rFonts w:hint="cs"/>
          <w:rtl/>
        </w:rPr>
        <w:t>במרדכי</w:t>
      </w:r>
      <w:r w:rsidRPr="00FD4B0D">
        <w:rPr>
          <w:rFonts w:hint="cs"/>
          <w:rtl/>
        </w:rPr>
        <w:t xml:space="preserve"> ד</w:t>
      </w:r>
      <w:r>
        <w:rPr>
          <w:rFonts w:hint="cs"/>
          <w:rtl/>
        </w:rPr>
        <w:t xml:space="preserve">ס"ל </w:t>
      </w:r>
      <w:r w:rsidRPr="00FD4B0D">
        <w:rPr>
          <w:rFonts w:hint="cs"/>
          <w:rtl/>
        </w:rPr>
        <w:t>מהני מיגו כנגד הודאת בע"ד.</w:t>
      </w:r>
      <w:bookmarkEnd w:id="13145"/>
    </w:p>
  </w:footnote>
  <w:footnote w:id="83">
    <w:p w:rsidR="00265073" w:rsidRDefault="00265073" w:rsidP="00EC445E">
      <w:pPr>
        <w:pStyle w:val="af"/>
        <w:rPr>
          <w:rtl/>
        </w:rPr>
      </w:pPr>
      <w:r>
        <w:rPr>
          <w:rStyle w:val="af1"/>
        </w:rPr>
        <w:footnoteRef/>
      </w:r>
      <w:r>
        <w:rPr>
          <w:rtl/>
        </w:rPr>
        <w:t xml:space="preserve"> </w:t>
      </w:r>
      <w:r>
        <w:rPr>
          <w:rFonts w:hint="cs"/>
          <w:rtl/>
        </w:rPr>
        <w:t xml:space="preserve">ועוד תירץ </w:t>
      </w:r>
      <w:r w:rsidRPr="008D5E60">
        <w:rPr>
          <w:rStyle w:val="affa"/>
          <w:rFonts w:hint="cs"/>
          <w:rtl/>
        </w:rPr>
        <w:t>הריטב"א בשבועות</w:t>
      </w:r>
      <w:r>
        <w:rPr>
          <w:rFonts w:hint="cs"/>
          <w:rtl/>
        </w:rPr>
        <w:t xml:space="preserve"> </w:t>
      </w:r>
      <w:r w:rsidRPr="003E117E">
        <w:rPr>
          <w:rStyle w:val="aff6"/>
          <w:rFonts w:hint="cs"/>
          <w:rtl/>
        </w:rPr>
        <w:t xml:space="preserve">(מ: ד"ה עוד י"ל) </w:t>
      </w:r>
      <w:r>
        <w:rPr>
          <w:rFonts w:hint="cs"/>
          <w:rtl/>
        </w:rPr>
        <w:t xml:space="preserve">דיש חילוק בין אם הוחזק כפרן עפ"י עדים שהעידו שהודה בפניהם, לבין אם הוחזק כפרן עפ"י עדים שהעידו על עצם ההלואה, דכל שטען לא לויתי, ואח"כ באו עדים שראו את ההלואה, הוא הוחזק כפרן לאותו ממון לעולם, וכדאיתא בגמ' בב"מ </w:t>
      </w:r>
      <w:r w:rsidRPr="003E117E">
        <w:rPr>
          <w:rStyle w:val="aff6"/>
          <w:rFonts w:hint="cs"/>
          <w:rtl/>
        </w:rPr>
        <w:t>(יז.)</w:t>
      </w:r>
      <w:r>
        <w:rPr>
          <w:rFonts w:hint="cs"/>
          <w:rtl/>
        </w:rPr>
        <w:t xml:space="preserve">, אבל אם באו עדים שהודה בפניהם, אינו מוחזק כפרן, [לעולם לאותו ממון], וא"כ אפש"ל דהא דמבואר בגמ' בב"מ </w:t>
      </w:r>
      <w:r w:rsidRPr="003E117E">
        <w:rPr>
          <w:rStyle w:val="aff6"/>
          <w:rFonts w:hint="cs"/>
          <w:rtl/>
        </w:rPr>
        <w:t xml:space="preserve">(ד.) </w:t>
      </w:r>
      <w:r>
        <w:rPr>
          <w:rFonts w:hint="cs"/>
          <w:rtl/>
        </w:rPr>
        <w:t>דאינו מוחזק כפרן על פיו, היינו דהוחזק כפרן לעולם לאותו ממון, הוא רק בעידי הלואה ולא בעידי הודאה.</w:t>
      </w:r>
    </w:p>
  </w:footnote>
  <w:footnote w:id="84">
    <w:p w:rsidR="00265073" w:rsidRDefault="00265073" w:rsidP="00EC445E">
      <w:pPr>
        <w:pStyle w:val="af"/>
        <w:rPr>
          <w:rtl/>
        </w:rPr>
      </w:pPr>
      <w:r>
        <w:rPr>
          <w:rStyle w:val="af1"/>
        </w:rPr>
        <w:footnoteRef/>
      </w:r>
      <w:r>
        <w:rPr>
          <w:rtl/>
        </w:rPr>
        <w:t xml:space="preserve"> </w:t>
      </w:r>
      <w:r>
        <w:rPr>
          <w:rStyle w:val="afb"/>
          <w:rFonts w:hint="cs"/>
          <w:rtl/>
        </w:rPr>
        <w:t>ועי' במה שנחלקו</w:t>
      </w:r>
      <w:r w:rsidRPr="00D4231F">
        <w:rPr>
          <w:rStyle w:val="affa"/>
          <w:rtl/>
        </w:rPr>
        <w:t xml:space="preserve"> </w:t>
      </w:r>
      <w:r w:rsidRPr="00844D72">
        <w:rPr>
          <w:rStyle w:val="affa"/>
          <w:rtl/>
        </w:rPr>
        <w:t>המבי"ט</w:t>
      </w:r>
      <w:r w:rsidRPr="00844D72">
        <w:rPr>
          <w:rStyle w:val="afb"/>
          <w:rtl/>
        </w:rPr>
        <w:t xml:space="preserve"> </w:t>
      </w:r>
      <w:r w:rsidRPr="00844D72">
        <w:rPr>
          <w:rStyle w:val="aff6"/>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Ref62465543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צ)</w:t>
      </w:r>
      <w:r>
        <w:rPr>
          <w:rStyle w:val="aff6"/>
          <w:rtl/>
        </w:rPr>
        <w:fldChar w:fldCharType="end"/>
      </w:r>
      <w:r w:rsidRPr="00844D72">
        <w:rPr>
          <w:rStyle w:val="afb"/>
          <w:rtl/>
        </w:rPr>
        <w:t xml:space="preserve"> </w:t>
      </w:r>
      <w:r w:rsidRPr="00D4231F">
        <w:rPr>
          <w:rStyle w:val="affa"/>
          <w:rFonts w:hint="cs"/>
          <w:rtl/>
        </w:rPr>
        <w:t>ו</w:t>
      </w:r>
      <w:r w:rsidRPr="00D4231F">
        <w:rPr>
          <w:rStyle w:val="affa"/>
          <w:rtl/>
        </w:rPr>
        <w:t>ה</w:t>
      </w:r>
      <w:r w:rsidRPr="00844D72">
        <w:rPr>
          <w:rStyle w:val="affa"/>
          <w:rtl/>
        </w:rPr>
        <w:t>ש"ך</w:t>
      </w:r>
      <w:r w:rsidRPr="00844D72">
        <w:rPr>
          <w:rStyle w:val="afb"/>
          <w:rtl/>
        </w:rPr>
        <w:t xml:space="preserve"> </w:t>
      </w:r>
      <w:r w:rsidRPr="00844D72">
        <w:rPr>
          <w:rStyle w:val="aff6"/>
          <w:rtl/>
        </w:rPr>
        <w:t>(עי' 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Ref62637730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צג)</w:t>
      </w:r>
      <w:r>
        <w:rPr>
          <w:rStyle w:val="aff6"/>
          <w:rtl/>
        </w:rPr>
        <w:fldChar w:fldCharType="end"/>
      </w:r>
      <w:r w:rsidRPr="00844D72">
        <w:rPr>
          <w:rStyle w:val="aff6"/>
          <w:rtl/>
        </w:rPr>
        <w:t xml:space="preserve"> </w:t>
      </w:r>
      <w:r>
        <w:rPr>
          <w:rStyle w:val="afb"/>
          <w:rFonts w:hint="cs"/>
          <w:rtl/>
        </w:rPr>
        <w:t xml:space="preserve">בהא דמשמע מדברי </w:t>
      </w:r>
      <w:r w:rsidRPr="00D4231F">
        <w:rPr>
          <w:rStyle w:val="affa"/>
          <w:rFonts w:hint="cs"/>
          <w:rtl/>
        </w:rPr>
        <w:t>הרמ"ה</w:t>
      </w:r>
      <w:r>
        <w:rPr>
          <w:rStyle w:val="afb"/>
          <w:rFonts w:hint="cs"/>
          <w:rtl/>
        </w:rPr>
        <w:t xml:space="preserve"> דאם הביא ראיה נאמן.</w:t>
      </w:r>
    </w:p>
  </w:footnote>
  <w:footnote w:id="85">
    <w:p w:rsidR="00265073" w:rsidRDefault="00265073" w:rsidP="00EC445E">
      <w:pPr>
        <w:pStyle w:val="af"/>
        <w:rPr>
          <w:rtl/>
        </w:rPr>
      </w:pPr>
      <w:r>
        <w:rPr>
          <w:rStyle w:val="af1"/>
        </w:rPr>
        <w:footnoteRef/>
      </w:r>
      <w:r>
        <w:rPr>
          <w:rtl/>
        </w:rPr>
        <w:t xml:space="preserve"> </w:t>
      </w:r>
      <w:r>
        <w:rPr>
          <w:rFonts w:hint="cs"/>
          <w:rtl/>
        </w:rPr>
        <w:t xml:space="preserve">אבל </w:t>
      </w:r>
      <w:r w:rsidRPr="009F28B1">
        <w:rPr>
          <w:rStyle w:val="affa"/>
          <w:rFonts w:hint="cs"/>
          <w:rtl/>
        </w:rPr>
        <w:t>הב"י</w:t>
      </w:r>
      <w:r>
        <w:rPr>
          <w:rFonts w:hint="cs"/>
          <w:rtl/>
        </w:rPr>
        <w:t xml:space="preserve"> </w:t>
      </w:r>
      <w:r w:rsidRPr="009F28B1">
        <w:rPr>
          <w:rStyle w:val="aff6"/>
          <w:rFonts w:hint="cs"/>
          <w:rtl/>
        </w:rPr>
        <w:t xml:space="preserve">(סי' פי' א') </w:t>
      </w:r>
      <w:r>
        <w:rPr>
          <w:rFonts w:hint="cs"/>
          <w:rtl/>
        </w:rPr>
        <w:t xml:space="preserve">כתב דכוונת </w:t>
      </w:r>
      <w:r w:rsidRPr="009F28B1">
        <w:rPr>
          <w:rStyle w:val="affa"/>
          <w:rFonts w:hint="cs"/>
          <w:rtl/>
        </w:rPr>
        <w:t>המ"מ</w:t>
      </w:r>
      <w:r>
        <w:rPr>
          <w:rFonts w:hint="cs"/>
          <w:rtl/>
        </w:rPr>
        <w:t xml:space="preserve">  </w:t>
      </w:r>
      <w:r w:rsidRPr="0013726B">
        <w:rPr>
          <w:rStyle w:val="aff6"/>
          <w:rFonts w:hint="cs"/>
          <w:rtl/>
        </w:rPr>
        <w:t xml:space="preserve">(עי' אות </w:t>
      </w:r>
      <w:r w:rsidRPr="0013726B">
        <w:rPr>
          <w:rStyle w:val="aff6"/>
          <w:rtl/>
        </w:rPr>
        <w:fldChar w:fldCharType="begin"/>
      </w:r>
      <w:r w:rsidRPr="0013726B">
        <w:rPr>
          <w:rStyle w:val="aff6"/>
          <w:rtl/>
        </w:rPr>
        <w:instrText xml:space="preserve"> </w:instrText>
      </w:r>
      <w:r w:rsidRPr="0013726B">
        <w:rPr>
          <w:rStyle w:val="aff6"/>
          <w:rFonts w:hint="cs"/>
        </w:rPr>
        <w:instrText>REF</w:instrText>
      </w:r>
      <w:r w:rsidRPr="0013726B">
        <w:rPr>
          <w:rStyle w:val="aff6"/>
          <w:rFonts w:hint="cs"/>
          <w:rtl/>
        </w:rPr>
        <w:instrText xml:space="preserve"> _</w:instrText>
      </w:r>
      <w:r w:rsidRPr="0013726B">
        <w:rPr>
          <w:rStyle w:val="aff6"/>
          <w:rFonts w:hint="cs"/>
        </w:rPr>
        <w:instrText>Ref62125009 \r \h</w:instrText>
      </w:r>
      <w:r w:rsidRPr="0013726B">
        <w:rPr>
          <w:rStyle w:val="aff6"/>
          <w:rtl/>
        </w:rPr>
        <w:instrText xml:space="preserve">  \* </w:instrText>
      </w:r>
      <w:r w:rsidRPr="0013726B">
        <w:rPr>
          <w:rStyle w:val="aff6"/>
        </w:rPr>
        <w:instrText>MERGEFORMAT</w:instrText>
      </w:r>
      <w:r w:rsidRPr="0013726B">
        <w:rPr>
          <w:rStyle w:val="aff6"/>
          <w:rtl/>
        </w:rPr>
        <w:instrText xml:space="preserve"> </w:instrText>
      </w:r>
      <w:r w:rsidRPr="0013726B">
        <w:rPr>
          <w:rStyle w:val="aff6"/>
          <w:rtl/>
        </w:rPr>
      </w:r>
      <w:r w:rsidRPr="0013726B">
        <w:rPr>
          <w:rStyle w:val="aff6"/>
          <w:rtl/>
        </w:rPr>
        <w:fldChar w:fldCharType="separate"/>
      </w:r>
      <w:r>
        <w:rPr>
          <w:rStyle w:val="aff6"/>
          <w:cs/>
        </w:rPr>
        <w:t>‎</w:t>
      </w:r>
      <w:r>
        <w:rPr>
          <w:rStyle w:val="aff6"/>
          <w:rtl/>
        </w:rPr>
        <w:t>מח)</w:t>
      </w:r>
      <w:r w:rsidRPr="0013726B">
        <w:rPr>
          <w:rStyle w:val="aff6"/>
          <w:rtl/>
        </w:rPr>
        <w:fldChar w:fldCharType="end"/>
      </w:r>
      <w:r>
        <w:rPr>
          <w:rFonts w:hint="cs"/>
          <w:rtl/>
        </w:rPr>
        <w:t xml:space="preserve"> לומר דמקור דברי </w:t>
      </w:r>
      <w:r w:rsidRPr="00211F85">
        <w:rPr>
          <w:rStyle w:val="affa"/>
          <w:rFonts w:hint="cs"/>
          <w:rtl/>
        </w:rPr>
        <w:t>הר"י מגאש</w:t>
      </w:r>
      <w:r>
        <w:rPr>
          <w:rFonts w:hint="cs"/>
          <w:rtl/>
        </w:rPr>
        <w:t xml:space="preserve"> </w:t>
      </w:r>
      <w:r w:rsidRPr="00211F85">
        <w:rPr>
          <w:rStyle w:val="aff6"/>
          <w:rFonts w:hint="cs"/>
          <w:rtl/>
        </w:rPr>
        <w:t xml:space="preserve">(עי' אות </w:t>
      </w:r>
      <w:r w:rsidRPr="00211F85">
        <w:rPr>
          <w:rStyle w:val="aff6"/>
          <w:rtl/>
        </w:rPr>
        <w:fldChar w:fldCharType="begin"/>
      </w:r>
      <w:r w:rsidRPr="00211F85">
        <w:rPr>
          <w:rStyle w:val="aff6"/>
          <w:rtl/>
        </w:rPr>
        <w:instrText xml:space="preserve"> </w:instrText>
      </w:r>
      <w:r w:rsidRPr="00211F85">
        <w:rPr>
          <w:rStyle w:val="aff6"/>
          <w:rFonts w:hint="cs"/>
        </w:rPr>
        <w:instrText>REF</w:instrText>
      </w:r>
      <w:r w:rsidRPr="00211F85">
        <w:rPr>
          <w:rStyle w:val="aff6"/>
          <w:rFonts w:hint="cs"/>
          <w:rtl/>
        </w:rPr>
        <w:instrText xml:space="preserve"> _</w:instrText>
      </w:r>
      <w:r w:rsidRPr="00211F85">
        <w:rPr>
          <w:rStyle w:val="aff6"/>
          <w:rFonts w:hint="cs"/>
        </w:rPr>
        <w:instrText>Ref61987752 \r \h</w:instrText>
      </w:r>
      <w:r w:rsidRPr="00211F85">
        <w:rPr>
          <w:rStyle w:val="aff6"/>
          <w:rtl/>
        </w:rPr>
        <w:instrText xml:space="preserve"> </w:instrText>
      </w:r>
      <w:r w:rsidRPr="00211F85">
        <w:rPr>
          <w:rStyle w:val="aff6"/>
          <w:rtl/>
        </w:rPr>
      </w:r>
      <w:r w:rsidRPr="00211F85">
        <w:rPr>
          <w:rStyle w:val="aff6"/>
          <w:rtl/>
        </w:rPr>
        <w:fldChar w:fldCharType="separate"/>
      </w:r>
      <w:r>
        <w:rPr>
          <w:rStyle w:val="aff6"/>
          <w:cs/>
        </w:rPr>
        <w:t>‎</w:t>
      </w:r>
      <w:r>
        <w:rPr>
          <w:rStyle w:val="aff6"/>
          <w:rtl/>
        </w:rPr>
        <w:t>מא)</w:t>
      </w:r>
      <w:r w:rsidRPr="00211F85">
        <w:rPr>
          <w:rStyle w:val="aff6"/>
          <w:rtl/>
        </w:rPr>
        <w:fldChar w:fldCharType="end"/>
      </w:r>
      <w:r>
        <w:rPr>
          <w:rStyle w:val="af9"/>
          <w:rFonts w:hint="cs"/>
          <w:rtl/>
        </w:rPr>
        <w:t xml:space="preserve"> </w:t>
      </w:r>
      <w:r w:rsidRPr="00211F85">
        <w:rPr>
          <w:rStyle w:val="affa"/>
          <w:rFonts w:hint="cs"/>
          <w:rtl/>
        </w:rPr>
        <w:t>והרמב"ם</w:t>
      </w:r>
      <w:r>
        <w:rPr>
          <w:rFonts w:hint="cs"/>
          <w:rtl/>
        </w:rPr>
        <w:t xml:space="preserve"> </w:t>
      </w:r>
      <w:r w:rsidRPr="00211F85">
        <w:rPr>
          <w:rStyle w:val="aff6"/>
          <w:rFonts w:hint="cs"/>
          <w:rtl/>
        </w:rPr>
        <w:t xml:space="preserve">(עי' אות </w:t>
      </w:r>
      <w:r w:rsidRPr="00211F85">
        <w:rPr>
          <w:rStyle w:val="aff6"/>
          <w:rtl/>
        </w:rPr>
        <w:fldChar w:fldCharType="begin"/>
      </w:r>
      <w:r w:rsidRPr="00211F85">
        <w:rPr>
          <w:rStyle w:val="aff6"/>
          <w:rtl/>
        </w:rPr>
        <w:instrText xml:space="preserve"> </w:instrText>
      </w:r>
      <w:r w:rsidRPr="00211F85">
        <w:rPr>
          <w:rStyle w:val="aff6"/>
          <w:rFonts w:hint="cs"/>
        </w:rPr>
        <w:instrText>REF</w:instrText>
      </w:r>
      <w:r w:rsidRPr="00211F85">
        <w:rPr>
          <w:rStyle w:val="aff6"/>
          <w:rFonts w:hint="cs"/>
          <w:rtl/>
        </w:rPr>
        <w:instrText xml:space="preserve"> _</w:instrText>
      </w:r>
      <w:r w:rsidRPr="00211F85">
        <w:rPr>
          <w:rStyle w:val="aff6"/>
          <w:rFonts w:hint="cs"/>
        </w:rPr>
        <w:instrText>Ref62124167 \r \h</w:instrText>
      </w:r>
      <w:r w:rsidRPr="00211F85">
        <w:rPr>
          <w:rStyle w:val="aff6"/>
          <w:rtl/>
        </w:rPr>
        <w:instrText xml:space="preserve"> </w:instrText>
      </w:r>
      <w:r w:rsidRPr="00211F85">
        <w:rPr>
          <w:rStyle w:val="aff6"/>
          <w:rtl/>
        </w:rPr>
      </w:r>
      <w:r w:rsidRPr="00211F85">
        <w:rPr>
          <w:rStyle w:val="aff6"/>
          <w:rtl/>
        </w:rPr>
        <w:fldChar w:fldCharType="separate"/>
      </w:r>
      <w:r>
        <w:rPr>
          <w:rStyle w:val="aff6"/>
          <w:cs/>
        </w:rPr>
        <w:t>‎</w:t>
      </w:r>
      <w:r>
        <w:rPr>
          <w:rStyle w:val="aff6"/>
          <w:rtl/>
        </w:rPr>
        <w:t>מו)</w:t>
      </w:r>
      <w:r w:rsidRPr="00211F85">
        <w:rPr>
          <w:rStyle w:val="aff6"/>
          <w:rtl/>
        </w:rPr>
        <w:fldChar w:fldCharType="end"/>
      </w:r>
      <w:r>
        <w:rPr>
          <w:rFonts w:hint="cs"/>
          <w:rtl/>
        </w:rPr>
        <w:t xml:space="preserve"> דנאמן לחזור מפטור כשלא באו עדים לפני שחזר וטען, הוא כיון דבסוגיין איירי שבאו עדים לפני שחזר וטען, ומשמע דרק בזה אינו נאמן.</w:t>
      </w:r>
    </w:p>
    <w:p w:rsidR="00265073" w:rsidRDefault="00265073" w:rsidP="00EC445E">
      <w:pPr>
        <w:pStyle w:val="af"/>
      </w:pPr>
      <w:r>
        <w:rPr>
          <w:rFonts w:hint="cs"/>
          <w:rtl/>
        </w:rPr>
        <w:t xml:space="preserve">וכן </w:t>
      </w:r>
      <w:r w:rsidRPr="006D4A51">
        <w:rPr>
          <w:rStyle w:val="afb"/>
          <w:rFonts w:hint="cs"/>
          <w:rtl/>
        </w:rPr>
        <w:t xml:space="preserve">משמע </w:t>
      </w:r>
      <w:r w:rsidRPr="00EC5CF1">
        <w:rPr>
          <w:rStyle w:val="affa"/>
          <w:rFonts w:hint="cs"/>
          <w:rtl/>
        </w:rPr>
        <w:t>בריב"ש</w:t>
      </w:r>
      <w:r w:rsidRPr="006D4A51">
        <w:rPr>
          <w:rStyle w:val="afb"/>
          <w:rFonts w:hint="cs"/>
          <w:rtl/>
        </w:rPr>
        <w:t xml:space="preserve"> </w:t>
      </w:r>
      <w:r w:rsidRPr="00EC5CF1">
        <w:rPr>
          <w:rStyle w:val="aff6"/>
          <w:rFonts w:hint="cs"/>
          <w:rtl/>
        </w:rPr>
        <w:t xml:space="preserve">(סי' שכ"ז ד"ה ואעפ"י שמה) </w:t>
      </w:r>
      <w:r w:rsidRPr="006D4A51">
        <w:rPr>
          <w:rStyle w:val="afb"/>
          <w:rFonts w:hint="cs"/>
          <w:rtl/>
        </w:rPr>
        <w:t xml:space="preserve">דביאר דמ"ש </w:t>
      </w:r>
      <w:r w:rsidRPr="00EC5CF1">
        <w:rPr>
          <w:rStyle w:val="affa"/>
          <w:rFonts w:hint="cs"/>
          <w:rtl/>
        </w:rPr>
        <w:t>הרמב"ם</w:t>
      </w:r>
      <w:r w:rsidRPr="006D4A51">
        <w:rPr>
          <w:rStyle w:val="afb"/>
          <w:rFonts w:hint="cs"/>
          <w:rtl/>
        </w:rPr>
        <w:t xml:space="preserve"> דבאו עדים בין טענה הראשונה לשניה, היינו דומיא דהמעשה שהוזכר בגמ', וכוונתו דכן ההלכה, ולא שרק כך היה המעשה וה"ה כשבאו אח"כ</w:t>
      </w:r>
    </w:p>
  </w:footnote>
  <w:footnote w:id="86">
    <w:p w:rsidR="00265073" w:rsidRDefault="00265073" w:rsidP="00EC445E">
      <w:pPr>
        <w:pStyle w:val="af"/>
      </w:pPr>
      <w:r>
        <w:rPr>
          <w:rStyle w:val="af1"/>
        </w:rPr>
        <w:footnoteRef/>
      </w:r>
      <w:r>
        <w:rPr>
          <w:rtl/>
        </w:rPr>
        <w:t xml:space="preserve"> </w:t>
      </w:r>
      <w:r>
        <w:rPr>
          <w:rFonts w:hint="cs"/>
          <w:rtl/>
        </w:rPr>
        <w:t xml:space="preserve">ועי' </w:t>
      </w:r>
      <w:r w:rsidRPr="00D27A40">
        <w:rPr>
          <w:rStyle w:val="affa"/>
          <w:rFonts w:hint="cs"/>
          <w:rtl/>
        </w:rPr>
        <w:t>בתוס' הרא"ש בשיטמ"ק לקמן</w:t>
      </w:r>
      <w:r>
        <w:rPr>
          <w:rFonts w:hint="cs"/>
          <w:rtl/>
        </w:rPr>
        <w:t xml:space="preserve"> </w:t>
      </w:r>
      <w:r w:rsidRPr="00D27A40">
        <w:rPr>
          <w:rStyle w:val="aff6"/>
          <w:rFonts w:hint="cs"/>
          <w:rtl/>
        </w:rPr>
        <w:t xml:space="preserve">(לב: ד"ה על מה שתירצו) </w:t>
      </w:r>
      <w:r>
        <w:rPr>
          <w:rFonts w:hint="cs"/>
          <w:rtl/>
        </w:rPr>
        <w:t>דהוסיף תירוץ נוסף דלא מהני מיגו כיון שטענתו הראשונה הייתה שיש לו שטר, ועכשיו שהודה שאין לו שטר, א"כ א"א לסמוך על טענתו הראשונה, ובמה שטוען עכשיו שהיה לו שטר ואבד, אינו נאמן אף שיש לו מיגו, כיון שבתחילה לא טען שהייתה שלו מעולם, וחשיב כטוען וחוזר וטוען.</w:t>
      </w:r>
    </w:p>
  </w:footnote>
  <w:footnote w:id="87">
    <w:p w:rsidR="00265073" w:rsidRDefault="00265073" w:rsidP="00EC445E">
      <w:pPr>
        <w:pStyle w:val="af"/>
        <w:rPr>
          <w:rtl/>
        </w:rPr>
      </w:pPr>
      <w:r>
        <w:rPr>
          <w:rStyle w:val="af1"/>
        </w:rPr>
        <w:footnoteRef/>
      </w:r>
      <w:r>
        <w:rPr>
          <w:rtl/>
        </w:rPr>
        <w:t xml:space="preserve"> </w:t>
      </w:r>
      <w:r w:rsidRPr="00D471AA">
        <w:rPr>
          <w:rtl/>
        </w:rPr>
        <w:t xml:space="preserve">ועי' במה שהאריך </w:t>
      </w:r>
      <w:r w:rsidRPr="00D471AA">
        <w:rPr>
          <w:rStyle w:val="affa"/>
          <w:rtl/>
        </w:rPr>
        <w:t>האבי עזרי</w:t>
      </w:r>
      <w:r w:rsidRPr="00D471AA">
        <w:rPr>
          <w:rtl/>
        </w:rPr>
        <w:t xml:space="preserve"> </w:t>
      </w:r>
      <w:r w:rsidRPr="00D471AA">
        <w:rPr>
          <w:rStyle w:val="aff6"/>
          <w:rtl/>
        </w:rPr>
        <w:t xml:space="preserve">(טו"נ פ"ו ה"ג או' </w:t>
      </w:r>
      <w:r w:rsidRPr="00D471AA">
        <w:rPr>
          <w:rStyle w:val="aff6"/>
          <w:rFonts w:hint="cs"/>
          <w:rtl/>
        </w:rPr>
        <w:t>ד</w:t>
      </w:r>
      <w:r w:rsidRPr="00D471AA">
        <w:rPr>
          <w:rStyle w:val="aff6"/>
          <w:rtl/>
        </w:rPr>
        <w:t>')</w:t>
      </w:r>
      <w:r w:rsidRPr="00D471AA">
        <w:rPr>
          <w:rtl/>
        </w:rPr>
        <w:t xml:space="preserve"> </w:t>
      </w:r>
      <w:r>
        <w:rPr>
          <w:rFonts w:hint="cs"/>
          <w:rtl/>
        </w:rPr>
        <w:t xml:space="preserve">בהוכחת </w:t>
      </w:r>
      <w:r w:rsidRPr="00D471AA">
        <w:rPr>
          <w:rStyle w:val="affa"/>
          <w:rFonts w:hint="cs"/>
          <w:rtl/>
        </w:rPr>
        <w:t>הקצוה"ח</w:t>
      </w:r>
      <w:r>
        <w:rPr>
          <w:rFonts w:hint="cs"/>
          <w:rtl/>
        </w:rPr>
        <w:t xml:space="preserve"> מדברי </w:t>
      </w:r>
      <w:r w:rsidRPr="00D471AA">
        <w:rPr>
          <w:rStyle w:val="affa"/>
          <w:rFonts w:hint="cs"/>
          <w:rtl/>
        </w:rPr>
        <w:t>היש"ש</w:t>
      </w:r>
      <w:r w:rsidRPr="00D471AA">
        <w:rPr>
          <w:rtl/>
        </w:rPr>
        <w:t>.</w:t>
      </w:r>
    </w:p>
  </w:footnote>
  <w:footnote w:id="88">
    <w:p w:rsidR="00265073" w:rsidRDefault="00265073" w:rsidP="00EC445E">
      <w:pPr>
        <w:pStyle w:val="af"/>
        <w:rPr>
          <w:rtl/>
        </w:rPr>
      </w:pPr>
      <w:r>
        <w:rPr>
          <w:rStyle w:val="af1"/>
        </w:rPr>
        <w:footnoteRef/>
      </w:r>
      <w:r>
        <w:rPr>
          <w:rtl/>
        </w:rPr>
        <w:t xml:space="preserve"> </w:t>
      </w:r>
      <w:r w:rsidRPr="00AB6ACE">
        <w:rPr>
          <w:rStyle w:val="afb"/>
          <w:rFonts w:hint="cs"/>
          <w:rtl/>
        </w:rPr>
        <w:t xml:space="preserve">והיינו דהיה אפש"ל דטענתו הראשונה היא הודאת בע"ד, ואינו נאמן להכחישה במיגו, דהיא כמיגו במקום עדים, ומבואר מדברי </w:t>
      </w:r>
      <w:r w:rsidRPr="006B740E">
        <w:rPr>
          <w:rStyle w:val="affa"/>
          <w:rFonts w:hint="cs"/>
          <w:rtl/>
        </w:rPr>
        <w:t>המהריב"ל</w:t>
      </w:r>
      <w:r w:rsidRPr="00AB6ACE">
        <w:rPr>
          <w:rStyle w:val="afb"/>
          <w:rFonts w:hint="cs"/>
          <w:rtl/>
        </w:rPr>
        <w:t xml:space="preserve"> דאעפ"י דהוא חוזר וטוען מפטור לפטור, מ"מ הטענה הראשונה חשיבא כהודאת בע"ד, ודלא </w:t>
      </w:r>
      <w:r w:rsidRPr="006B740E">
        <w:rPr>
          <w:rStyle w:val="affa"/>
          <w:rFonts w:hint="cs"/>
          <w:rtl/>
        </w:rPr>
        <w:t>כהקצוה"ח</w:t>
      </w:r>
      <w:r w:rsidRPr="00AB6ACE">
        <w:rPr>
          <w:rStyle w:val="afb"/>
          <w:rFonts w:hint="cs"/>
          <w:rtl/>
        </w:rPr>
        <w:t xml:space="preserve"> </w:t>
      </w:r>
      <w:r w:rsidRPr="007C1ABA">
        <w:rPr>
          <w:rStyle w:val="aff6"/>
          <w:rFonts w:hint="cs"/>
          <w:rtl/>
        </w:rPr>
        <w:t xml:space="preserve">(עי' אות </w:t>
      </w:r>
      <w:r w:rsidRPr="007C1ABA">
        <w:rPr>
          <w:rStyle w:val="aff6"/>
          <w:rtl/>
        </w:rPr>
        <w:fldChar w:fldCharType="begin"/>
      </w:r>
      <w:r w:rsidRPr="007C1ABA">
        <w:rPr>
          <w:rStyle w:val="aff6"/>
          <w:rtl/>
        </w:rPr>
        <w:instrText xml:space="preserve"> </w:instrText>
      </w:r>
      <w:r w:rsidRPr="007C1ABA">
        <w:rPr>
          <w:rStyle w:val="aff6"/>
          <w:rFonts w:hint="cs"/>
        </w:rPr>
        <w:instrText>REF</w:instrText>
      </w:r>
      <w:r w:rsidRPr="007C1ABA">
        <w:rPr>
          <w:rStyle w:val="aff6"/>
          <w:rFonts w:hint="cs"/>
          <w:rtl/>
        </w:rPr>
        <w:instrText xml:space="preserve"> _</w:instrText>
      </w:r>
      <w:r w:rsidRPr="007C1ABA">
        <w:rPr>
          <w:rStyle w:val="aff6"/>
          <w:rFonts w:hint="cs"/>
        </w:rPr>
        <w:instrText>Ref62463813 \r \h</w:instrText>
      </w:r>
      <w:r w:rsidRPr="007C1ABA">
        <w:rPr>
          <w:rStyle w:val="aff6"/>
          <w:rtl/>
        </w:rPr>
        <w:instrText xml:space="preserve"> </w:instrText>
      </w:r>
      <w:r w:rsidRPr="007C1ABA">
        <w:rPr>
          <w:rStyle w:val="aff6"/>
          <w:rtl/>
        </w:rPr>
      </w:r>
      <w:r w:rsidRPr="007C1ABA">
        <w:rPr>
          <w:rStyle w:val="aff6"/>
          <w:rtl/>
        </w:rPr>
        <w:fldChar w:fldCharType="separate"/>
      </w:r>
      <w:r>
        <w:rPr>
          <w:rStyle w:val="aff6"/>
          <w:cs/>
        </w:rPr>
        <w:t>‎</w:t>
      </w:r>
      <w:r>
        <w:rPr>
          <w:rStyle w:val="aff6"/>
          <w:rtl/>
        </w:rPr>
        <w:t>עא)</w:t>
      </w:r>
      <w:r w:rsidRPr="007C1ABA">
        <w:rPr>
          <w:rStyle w:val="aff6"/>
          <w:rtl/>
        </w:rPr>
        <w:fldChar w:fldCharType="end"/>
      </w:r>
      <w:r w:rsidRPr="00AB6ACE">
        <w:rPr>
          <w:rStyle w:val="afb"/>
          <w:rFonts w:hint="cs"/>
          <w:rtl/>
        </w:rPr>
        <w:t xml:space="preserve"> אלא דחידש </w:t>
      </w:r>
      <w:r w:rsidRPr="006B740E">
        <w:rPr>
          <w:rStyle w:val="affa"/>
          <w:rFonts w:hint="cs"/>
          <w:rtl/>
        </w:rPr>
        <w:t>המהריב"ל</w:t>
      </w:r>
      <w:r w:rsidRPr="00AB6ACE">
        <w:rPr>
          <w:rStyle w:val="afb"/>
          <w:rFonts w:hint="cs"/>
          <w:rtl/>
        </w:rPr>
        <w:t xml:space="preserve"> דאף שהיא כהודאת בע"ד, מ"מ לענין מיגו, אינה כמו עדים, דאעפ"י דלא מהני מיגו במקום עדים, מ"מ מהני מיגו כנגד ההודאת בע"ד, וע"ע בדברי</w:t>
      </w:r>
      <w:r w:rsidRPr="006B740E">
        <w:rPr>
          <w:rStyle w:val="affa"/>
          <w:rFonts w:hint="cs"/>
          <w:rtl/>
        </w:rPr>
        <w:t xml:space="preserve"> </w:t>
      </w:r>
      <w:r>
        <w:rPr>
          <w:rStyle w:val="affa"/>
          <w:rFonts w:hint="cs"/>
          <w:rtl/>
        </w:rPr>
        <w:t>הר"י מגאש בשבועות</w:t>
      </w:r>
      <w:r w:rsidRPr="00AB6ACE">
        <w:rPr>
          <w:rStyle w:val="afb"/>
          <w:rFonts w:hint="cs"/>
          <w:rtl/>
        </w:rPr>
        <w:t xml:space="preserve"> </w:t>
      </w:r>
      <w:r w:rsidRPr="007C1ABA">
        <w:rPr>
          <w:rStyle w:val="aff6"/>
          <w:rFonts w:hint="cs"/>
          <w:rtl/>
        </w:rPr>
        <w:t xml:space="preserve">(עי' אות </w:t>
      </w:r>
      <w:r w:rsidRPr="007C1ABA">
        <w:rPr>
          <w:rStyle w:val="aff6"/>
          <w:rtl/>
        </w:rPr>
        <w:fldChar w:fldCharType="begin"/>
      </w:r>
      <w:r w:rsidRPr="007C1ABA">
        <w:rPr>
          <w:rStyle w:val="aff6"/>
          <w:rtl/>
        </w:rPr>
        <w:instrText xml:space="preserve"> </w:instrText>
      </w:r>
      <w:r w:rsidRPr="007C1ABA">
        <w:rPr>
          <w:rStyle w:val="aff6"/>
          <w:rFonts w:hint="cs"/>
        </w:rPr>
        <w:instrText>REF</w:instrText>
      </w:r>
      <w:r w:rsidRPr="007C1ABA">
        <w:rPr>
          <w:rStyle w:val="aff6"/>
          <w:rFonts w:hint="cs"/>
          <w:rtl/>
        </w:rPr>
        <w:instrText xml:space="preserve"> _</w:instrText>
      </w:r>
      <w:r w:rsidRPr="007C1ABA">
        <w:rPr>
          <w:rStyle w:val="aff6"/>
          <w:rFonts w:hint="cs"/>
        </w:rPr>
        <w:instrText>Ref62462156 \r \h</w:instrText>
      </w:r>
      <w:r w:rsidRPr="007C1ABA">
        <w:rPr>
          <w:rStyle w:val="aff6"/>
          <w:rtl/>
        </w:rPr>
        <w:instrText xml:space="preserve"> </w:instrText>
      </w:r>
      <w:r w:rsidRPr="007C1ABA">
        <w:rPr>
          <w:rStyle w:val="aff6"/>
          <w:rtl/>
        </w:rPr>
      </w:r>
      <w:r w:rsidRPr="007C1ABA">
        <w:rPr>
          <w:rStyle w:val="aff6"/>
          <w:rtl/>
        </w:rPr>
        <w:fldChar w:fldCharType="separate"/>
      </w:r>
      <w:r>
        <w:rPr>
          <w:rStyle w:val="aff6"/>
          <w:cs/>
        </w:rPr>
        <w:t>‎</w:t>
      </w:r>
      <w:r>
        <w:rPr>
          <w:rStyle w:val="aff6"/>
          <w:rtl/>
        </w:rPr>
        <w:t>מה)</w:t>
      </w:r>
      <w:r w:rsidRPr="007C1ABA">
        <w:rPr>
          <w:rStyle w:val="aff6"/>
          <w:rtl/>
        </w:rPr>
        <w:fldChar w:fldCharType="end"/>
      </w:r>
      <w:r>
        <w:rPr>
          <w:rStyle w:val="afb"/>
          <w:rFonts w:hint="cs"/>
          <w:rtl/>
        </w:rPr>
        <w:t xml:space="preserve"> דכתב דטענתו הראשונה אינה הודאת בע"ד, וע"ע במ"ש </w:t>
      </w:r>
      <w:r w:rsidRPr="00D4231F">
        <w:rPr>
          <w:rStyle w:val="affa"/>
          <w:rFonts w:hint="cs"/>
          <w:rtl/>
        </w:rPr>
        <w:t>באבי עזרי</w:t>
      </w:r>
      <w:r w:rsidRPr="005C5449">
        <w:rPr>
          <w:rFonts w:hint="cs"/>
          <w:rtl/>
        </w:rPr>
        <w:t xml:space="preserve"> </w:t>
      </w:r>
      <w:r w:rsidRPr="00983BCF">
        <w:rPr>
          <w:rStyle w:val="aff6"/>
          <w:rFonts w:hint="cs"/>
          <w:rtl/>
        </w:rPr>
        <w:t xml:space="preserve">(עי' אות </w:t>
      </w:r>
      <w:r w:rsidRPr="00983BCF">
        <w:rPr>
          <w:rStyle w:val="aff6"/>
          <w:rtl/>
        </w:rPr>
        <w:fldChar w:fldCharType="begin"/>
      </w:r>
      <w:r w:rsidRPr="00983BCF">
        <w:rPr>
          <w:rStyle w:val="aff6"/>
          <w:rtl/>
        </w:rPr>
        <w:instrText xml:space="preserve"> </w:instrText>
      </w:r>
      <w:r w:rsidRPr="00983BCF">
        <w:rPr>
          <w:rStyle w:val="aff6"/>
          <w:rFonts w:hint="cs"/>
        </w:rPr>
        <w:instrText>REF</w:instrText>
      </w:r>
      <w:r w:rsidRPr="00983BCF">
        <w:rPr>
          <w:rStyle w:val="aff6"/>
          <w:rFonts w:hint="cs"/>
          <w:rtl/>
        </w:rPr>
        <w:instrText xml:space="preserve"> _</w:instrText>
      </w:r>
      <w:r w:rsidRPr="00983BCF">
        <w:rPr>
          <w:rStyle w:val="aff6"/>
          <w:rFonts w:hint="cs"/>
        </w:rPr>
        <w:instrText>Ref62484503 \r \h</w:instrText>
      </w:r>
      <w:r w:rsidRPr="00983BCF">
        <w:rPr>
          <w:rStyle w:val="aff6"/>
          <w:rtl/>
        </w:rPr>
        <w:instrText xml:space="preserve"> </w:instrText>
      </w:r>
      <w:r w:rsidRPr="00983BCF">
        <w:rPr>
          <w:rStyle w:val="aff6"/>
          <w:rtl/>
        </w:rPr>
      </w:r>
      <w:r w:rsidRPr="00983BCF">
        <w:rPr>
          <w:rStyle w:val="aff6"/>
          <w:rtl/>
        </w:rPr>
        <w:fldChar w:fldCharType="separate"/>
      </w:r>
      <w:r>
        <w:rPr>
          <w:rStyle w:val="aff6"/>
          <w:cs/>
        </w:rPr>
        <w:t>‎</w:t>
      </w:r>
      <w:r>
        <w:rPr>
          <w:rStyle w:val="aff6"/>
          <w:rtl/>
        </w:rPr>
        <w:t>קכג)</w:t>
      </w:r>
      <w:r w:rsidRPr="00983BCF">
        <w:rPr>
          <w:rStyle w:val="aff6"/>
          <w:rtl/>
        </w:rPr>
        <w:fldChar w:fldCharType="end"/>
      </w:r>
      <w:r>
        <w:rPr>
          <w:rStyle w:val="af9"/>
          <w:rFonts w:eastAsia="Guttman Adii-Light" w:hint="cs"/>
          <w:rtl/>
        </w:rPr>
        <w:t xml:space="preserve"> </w:t>
      </w:r>
      <w:r w:rsidRPr="00D4231F">
        <w:rPr>
          <w:rStyle w:val="affa"/>
          <w:rFonts w:hint="cs"/>
          <w:rtl/>
        </w:rPr>
        <w:t>ו</w:t>
      </w:r>
      <w:r w:rsidRPr="00D4231F">
        <w:rPr>
          <w:rStyle w:val="affa"/>
          <w:rtl/>
        </w:rPr>
        <w:t>בחי' רבי שמואל</w:t>
      </w:r>
      <w:r w:rsidRPr="005B3DBF">
        <w:rPr>
          <w:rStyle w:val="af7"/>
          <w:rFonts w:eastAsia="Guttman Hodes"/>
          <w:rtl/>
        </w:rPr>
        <w:t xml:space="preserve"> </w:t>
      </w:r>
      <w:r w:rsidRPr="008B78C1">
        <w:rPr>
          <w:rStyle w:val="aff6"/>
          <w:rFonts w:hint="cs"/>
          <w:rtl/>
        </w:rPr>
        <w:t>(עי' אות</w:t>
      </w:r>
      <w:r w:rsidRPr="00D4231F">
        <w:rPr>
          <w:rStyle w:val="aff6"/>
          <w:rFonts w:hint="cs"/>
          <w:rtl/>
        </w:rPr>
        <w:t xml:space="preserve"> </w:t>
      </w:r>
      <w:r w:rsidRPr="00D4231F">
        <w:rPr>
          <w:rStyle w:val="aff6"/>
          <w:rtl/>
        </w:rPr>
        <w:fldChar w:fldCharType="begin"/>
      </w:r>
      <w:r w:rsidRPr="00D4231F">
        <w:rPr>
          <w:rStyle w:val="aff6"/>
          <w:rtl/>
        </w:rPr>
        <w:instrText xml:space="preserve"> </w:instrText>
      </w:r>
      <w:r w:rsidRPr="00D4231F">
        <w:rPr>
          <w:rStyle w:val="aff6"/>
          <w:rFonts w:hint="cs"/>
        </w:rPr>
        <w:instrText>REF</w:instrText>
      </w:r>
      <w:r w:rsidRPr="00D4231F">
        <w:rPr>
          <w:rStyle w:val="aff6"/>
          <w:rFonts w:hint="cs"/>
          <w:rtl/>
        </w:rPr>
        <w:instrText xml:space="preserve"> _</w:instrText>
      </w:r>
      <w:r w:rsidRPr="00D4231F">
        <w:rPr>
          <w:rStyle w:val="aff6"/>
          <w:rFonts w:hint="cs"/>
        </w:rPr>
        <w:instrText>Ref62637524 \r \h</w:instrText>
      </w:r>
      <w:r w:rsidRPr="00D4231F">
        <w:rPr>
          <w:rStyle w:val="aff6"/>
          <w:rtl/>
        </w:rPr>
        <w:instrText xml:space="preserve"> </w:instrText>
      </w:r>
      <w:r w:rsidRPr="00D4231F">
        <w:rPr>
          <w:rStyle w:val="aff6"/>
          <w:rtl/>
        </w:rPr>
      </w:r>
      <w:r w:rsidRPr="00D4231F">
        <w:rPr>
          <w:rStyle w:val="aff6"/>
          <w:rtl/>
        </w:rPr>
        <w:fldChar w:fldCharType="separate"/>
      </w:r>
      <w:r>
        <w:rPr>
          <w:rStyle w:val="aff6"/>
          <w:cs/>
        </w:rPr>
        <w:t>‎</w:t>
      </w:r>
      <w:r>
        <w:rPr>
          <w:rStyle w:val="aff6"/>
          <w:rtl/>
        </w:rPr>
        <w:t>קח)</w:t>
      </w:r>
      <w:r w:rsidRPr="00D4231F">
        <w:rPr>
          <w:rStyle w:val="aff6"/>
          <w:rtl/>
        </w:rPr>
        <w:fldChar w:fldCharType="end"/>
      </w:r>
      <w:r w:rsidRPr="00AB6ACE">
        <w:rPr>
          <w:rStyle w:val="afb"/>
          <w:rFonts w:hint="cs"/>
          <w:rtl/>
        </w:rPr>
        <w:t>.</w:t>
      </w:r>
    </w:p>
    <w:p w:rsidR="00265073" w:rsidRDefault="00265073" w:rsidP="00EC445E">
      <w:pPr>
        <w:pStyle w:val="af"/>
        <w:rPr>
          <w:rtl/>
        </w:rPr>
      </w:pPr>
      <w:r w:rsidRPr="00AB6ACE">
        <w:rPr>
          <w:rStyle w:val="afb"/>
          <w:rFonts w:hint="cs"/>
          <w:rtl/>
        </w:rPr>
        <w:t>וע"ע ב</w:t>
      </w:r>
      <w:r>
        <w:rPr>
          <w:rStyle w:val="afb"/>
          <w:rFonts w:hint="cs"/>
          <w:rtl/>
        </w:rPr>
        <w:t xml:space="preserve">מה שהביא </w:t>
      </w:r>
      <w:r w:rsidRPr="008B78C1">
        <w:rPr>
          <w:rStyle w:val="affa"/>
          <w:rFonts w:hint="cs"/>
          <w:rtl/>
        </w:rPr>
        <w:t>הקצוה"ח</w:t>
      </w:r>
      <w:r>
        <w:rPr>
          <w:rStyle w:val="afb"/>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Ref62675299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פה)</w:t>
      </w:r>
      <w:r>
        <w:rPr>
          <w:rStyle w:val="aff6"/>
          <w:rtl/>
        </w:rPr>
        <w:fldChar w:fldCharType="end"/>
      </w:r>
      <w:r>
        <w:rPr>
          <w:rStyle w:val="aff6"/>
          <w:rFonts w:hint="cs"/>
          <w:rtl/>
        </w:rPr>
        <w:t xml:space="preserve"> </w:t>
      </w:r>
      <w:r>
        <w:rPr>
          <w:rStyle w:val="afb"/>
          <w:rFonts w:hint="cs"/>
          <w:rtl/>
        </w:rPr>
        <w:t>בשם</w:t>
      </w:r>
      <w:r w:rsidRPr="006B740E">
        <w:rPr>
          <w:rStyle w:val="affa"/>
          <w:rFonts w:hint="cs"/>
          <w:rtl/>
        </w:rPr>
        <w:t xml:space="preserve"> </w:t>
      </w:r>
      <w:r w:rsidRPr="00AB6ACE">
        <w:rPr>
          <w:rStyle w:val="affa"/>
          <w:rFonts w:hint="cs"/>
          <w:rtl/>
        </w:rPr>
        <w:t>המהר"י בן לב</w:t>
      </w:r>
      <w:r w:rsidRPr="00AB6ACE">
        <w:rPr>
          <w:rStyle w:val="afb"/>
          <w:rFonts w:hint="cs"/>
          <w:rtl/>
        </w:rPr>
        <w:t xml:space="preserve"> ד</w:t>
      </w:r>
      <w:r>
        <w:rPr>
          <w:rStyle w:val="afb"/>
          <w:rFonts w:hint="cs"/>
          <w:rtl/>
        </w:rPr>
        <w:t>ס"ל</w:t>
      </w:r>
      <w:r w:rsidRPr="00AB6ACE">
        <w:rPr>
          <w:rStyle w:val="afb"/>
          <w:rFonts w:hint="cs"/>
          <w:rtl/>
        </w:rPr>
        <w:t xml:space="preserve"> </w:t>
      </w:r>
      <w:r>
        <w:rPr>
          <w:rStyle w:val="afb"/>
          <w:rFonts w:hint="cs"/>
          <w:rtl/>
        </w:rPr>
        <w:t>ד</w:t>
      </w:r>
      <w:r w:rsidRPr="00AB6ACE">
        <w:rPr>
          <w:rStyle w:val="afb"/>
          <w:rFonts w:hint="cs"/>
          <w:rtl/>
        </w:rPr>
        <w:t xml:space="preserve">החיוב בהודאת בע"ד הוא מתורת חיוב ומתנה, </w:t>
      </w:r>
      <w:r>
        <w:rPr>
          <w:rStyle w:val="afb"/>
          <w:rFonts w:hint="cs"/>
          <w:rtl/>
        </w:rPr>
        <w:t>ואולי לכן ס"ל דמהני מיגו כנגד הודאת בע"ד.</w:t>
      </w:r>
    </w:p>
  </w:footnote>
  <w:footnote w:id="89">
    <w:p w:rsidR="00265073" w:rsidRDefault="00265073" w:rsidP="00EC445E">
      <w:pPr>
        <w:pStyle w:val="af"/>
      </w:pPr>
      <w:r>
        <w:rPr>
          <w:rStyle w:val="af1"/>
        </w:rPr>
        <w:footnoteRef/>
      </w:r>
      <w:r>
        <w:rPr>
          <w:rtl/>
        </w:rPr>
        <w:t xml:space="preserve"> </w:t>
      </w:r>
      <w:r>
        <w:rPr>
          <w:rFonts w:hint="cs"/>
          <w:rtl/>
        </w:rPr>
        <w:t xml:space="preserve">יעוי' בדברי </w:t>
      </w:r>
      <w:r w:rsidRPr="006B740E">
        <w:rPr>
          <w:rStyle w:val="affa"/>
          <w:rFonts w:hint="cs"/>
          <w:rtl/>
        </w:rPr>
        <w:t xml:space="preserve">הכנה"ג </w:t>
      </w:r>
      <w:r w:rsidRPr="006B740E">
        <w:rPr>
          <w:rStyle w:val="aff6"/>
          <w:rFonts w:hint="cs"/>
          <w:rtl/>
        </w:rPr>
        <w:t>(סי' פ"ב הג' לטור כללי מיגו קצ"ב)</w:t>
      </w:r>
      <w:r w:rsidRPr="004E6452">
        <w:rPr>
          <w:rFonts w:hint="cs"/>
          <w:rtl/>
        </w:rPr>
        <w:t xml:space="preserve"> </w:t>
      </w:r>
      <w:r>
        <w:rPr>
          <w:rFonts w:hint="cs"/>
          <w:rtl/>
        </w:rPr>
        <w:t xml:space="preserve">דכ"כ להדיא בשם </w:t>
      </w:r>
      <w:r w:rsidRPr="006B740E">
        <w:rPr>
          <w:rStyle w:val="affa"/>
          <w:rFonts w:hint="cs"/>
          <w:rtl/>
        </w:rPr>
        <w:t>המהריב"ל</w:t>
      </w:r>
      <w:r>
        <w:rPr>
          <w:rFonts w:hint="cs"/>
          <w:rtl/>
        </w:rPr>
        <w:t xml:space="preserve">, וכוונתו כדברי </w:t>
      </w:r>
      <w:r w:rsidRPr="006B740E">
        <w:rPr>
          <w:rStyle w:val="affa"/>
          <w:rFonts w:hint="cs"/>
          <w:rtl/>
        </w:rPr>
        <w:t xml:space="preserve">המהריב"ל </w:t>
      </w:r>
      <w:r>
        <w:rPr>
          <w:rFonts w:hint="cs"/>
          <w:rtl/>
        </w:rPr>
        <w:t xml:space="preserve">דמבואר בדברי </w:t>
      </w:r>
      <w:r w:rsidRPr="006B740E">
        <w:rPr>
          <w:rStyle w:val="affa"/>
          <w:rFonts w:hint="cs"/>
          <w:rtl/>
        </w:rPr>
        <w:t xml:space="preserve">המרדכי והנימוק"י </w:t>
      </w:r>
      <w:r>
        <w:rPr>
          <w:rFonts w:hint="cs"/>
          <w:rtl/>
        </w:rPr>
        <w:t xml:space="preserve">בשם </w:t>
      </w:r>
      <w:r w:rsidRPr="006B740E">
        <w:rPr>
          <w:rStyle w:val="affa"/>
          <w:rFonts w:hint="cs"/>
          <w:rtl/>
        </w:rPr>
        <w:t>הר"י מגאש</w:t>
      </w:r>
      <w:r>
        <w:rPr>
          <w:rFonts w:hint="cs"/>
          <w:rtl/>
        </w:rPr>
        <w:t xml:space="preserve">, דאעפ"י דלא מהני מיגו במקום עדים, מ"מ מהני מיגו במקום הודאת בע"ד, ולכן כתב </w:t>
      </w:r>
      <w:r w:rsidRPr="006B740E">
        <w:rPr>
          <w:rStyle w:val="affa"/>
          <w:rFonts w:hint="cs"/>
          <w:rtl/>
        </w:rPr>
        <w:t xml:space="preserve">הכנה"ג דהריב"ש </w:t>
      </w:r>
      <w:r w:rsidRPr="009F718F">
        <w:rPr>
          <w:rStyle w:val="aff6"/>
          <w:rFonts w:hint="cs"/>
          <w:rtl/>
        </w:rPr>
        <w:t xml:space="preserve">(עי' אות </w:t>
      </w:r>
      <w:r w:rsidRPr="009F718F">
        <w:rPr>
          <w:rStyle w:val="aff6"/>
          <w:rtl/>
        </w:rPr>
        <w:fldChar w:fldCharType="begin"/>
      </w:r>
      <w:r w:rsidRPr="009F718F">
        <w:rPr>
          <w:rStyle w:val="aff6"/>
          <w:rtl/>
        </w:rPr>
        <w:instrText xml:space="preserve"> </w:instrText>
      </w:r>
      <w:r w:rsidRPr="009F718F">
        <w:rPr>
          <w:rStyle w:val="aff6"/>
          <w:rFonts w:hint="cs"/>
        </w:rPr>
        <w:instrText>REF</w:instrText>
      </w:r>
      <w:r w:rsidRPr="009F718F">
        <w:rPr>
          <w:rStyle w:val="aff6"/>
          <w:rFonts w:hint="cs"/>
          <w:rtl/>
        </w:rPr>
        <w:instrText xml:space="preserve"> _</w:instrText>
      </w:r>
      <w:r w:rsidRPr="009F718F">
        <w:rPr>
          <w:rStyle w:val="aff6"/>
          <w:rFonts w:hint="cs"/>
        </w:rPr>
        <w:instrText>Ref62464042 \r \h</w:instrText>
      </w:r>
      <w:r w:rsidRPr="009F718F">
        <w:rPr>
          <w:rStyle w:val="aff6"/>
          <w:rtl/>
        </w:rPr>
        <w:instrText xml:space="preserve">  \* </w:instrText>
      </w:r>
      <w:r w:rsidRPr="009F718F">
        <w:rPr>
          <w:rStyle w:val="aff6"/>
        </w:rPr>
        <w:instrText>MERGEFORMAT</w:instrText>
      </w:r>
      <w:r w:rsidRPr="009F718F">
        <w:rPr>
          <w:rStyle w:val="aff6"/>
          <w:rtl/>
        </w:rPr>
        <w:instrText xml:space="preserve"> </w:instrText>
      </w:r>
      <w:r w:rsidRPr="009F718F">
        <w:rPr>
          <w:rStyle w:val="aff6"/>
          <w:rtl/>
        </w:rPr>
      </w:r>
      <w:r w:rsidRPr="009F718F">
        <w:rPr>
          <w:rStyle w:val="aff6"/>
          <w:rtl/>
        </w:rPr>
        <w:fldChar w:fldCharType="separate"/>
      </w:r>
      <w:r>
        <w:rPr>
          <w:rStyle w:val="aff6"/>
          <w:cs/>
        </w:rPr>
        <w:t>‎</w:t>
      </w:r>
      <w:r>
        <w:rPr>
          <w:rStyle w:val="aff6"/>
          <w:rtl/>
        </w:rPr>
        <w:t>עז)</w:t>
      </w:r>
      <w:r w:rsidRPr="009F718F">
        <w:rPr>
          <w:rStyle w:val="aff6"/>
          <w:rtl/>
        </w:rPr>
        <w:fldChar w:fldCharType="end"/>
      </w:r>
      <w:r>
        <w:rPr>
          <w:rFonts w:hint="cs"/>
          <w:rtl/>
        </w:rPr>
        <w:t xml:space="preserve"> פליג על זה, אמנם במה שהביא </w:t>
      </w:r>
      <w:r w:rsidRPr="006B740E">
        <w:rPr>
          <w:rStyle w:val="affa"/>
          <w:rFonts w:hint="cs"/>
          <w:rtl/>
        </w:rPr>
        <w:t xml:space="preserve">התומים את קיצור כללי המיגו לכנה"ג </w:t>
      </w:r>
      <w:r w:rsidRPr="006B740E">
        <w:rPr>
          <w:rStyle w:val="aff6"/>
          <w:rFonts w:hint="cs"/>
          <w:rtl/>
        </w:rPr>
        <w:t>(תומים סו"ס פ"ב קיצור כללי מיגו</w:t>
      </w:r>
      <w:r>
        <w:rPr>
          <w:rStyle w:val="aff6"/>
          <w:rFonts w:hint="cs"/>
          <w:rtl/>
        </w:rPr>
        <w:t xml:space="preserve"> </w:t>
      </w:r>
      <w:r w:rsidRPr="006B740E">
        <w:rPr>
          <w:rStyle w:val="aff6"/>
          <w:rFonts w:hint="cs"/>
          <w:rtl/>
        </w:rPr>
        <w:t>לכנה"ג קל"ג)</w:t>
      </w:r>
      <w:r>
        <w:rPr>
          <w:rFonts w:hint="cs"/>
          <w:rtl/>
        </w:rPr>
        <w:t xml:space="preserve"> לא הזכיר דהוא בשם </w:t>
      </w:r>
      <w:r w:rsidRPr="006B740E">
        <w:rPr>
          <w:rStyle w:val="affa"/>
          <w:rFonts w:hint="cs"/>
          <w:rtl/>
        </w:rPr>
        <w:t>המהריב"ל</w:t>
      </w:r>
      <w:r>
        <w:rPr>
          <w:rFonts w:hint="cs"/>
          <w:rtl/>
        </w:rPr>
        <w:t xml:space="preserve">, ולא מבואר בדבריו דכוונתו לחידוש של </w:t>
      </w:r>
      <w:r w:rsidRPr="006B740E">
        <w:rPr>
          <w:rStyle w:val="affa"/>
          <w:rFonts w:hint="cs"/>
          <w:rtl/>
        </w:rPr>
        <w:t xml:space="preserve">המהריב"ל </w:t>
      </w:r>
      <w:r>
        <w:rPr>
          <w:rFonts w:hint="cs"/>
          <w:rtl/>
        </w:rPr>
        <w:t xml:space="preserve">בדברי </w:t>
      </w:r>
      <w:r w:rsidRPr="006B740E">
        <w:rPr>
          <w:rStyle w:val="affa"/>
          <w:rFonts w:hint="cs"/>
          <w:rtl/>
        </w:rPr>
        <w:t xml:space="preserve">המרדכי והנימוק"י </w:t>
      </w:r>
      <w:r>
        <w:rPr>
          <w:rFonts w:hint="cs"/>
          <w:rtl/>
        </w:rPr>
        <w:t xml:space="preserve">בשם </w:t>
      </w:r>
      <w:r w:rsidRPr="006B740E">
        <w:rPr>
          <w:rStyle w:val="affa"/>
          <w:rFonts w:hint="cs"/>
          <w:rtl/>
        </w:rPr>
        <w:t>הר"י מגאש</w:t>
      </w:r>
      <w:r>
        <w:rPr>
          <w:rFonts w:hint="cs"/>
          <w:rtl/>
        </w:rPr>
        <w:t xml:space="preserve">, וא"כ קשה טובא קושית </w:t>
      </w:r>
      <w:r w:rsidRPr="006B740E">
        <w:rPr>
          <w:rStyle w:val="affa"/>
          <w:rFonts w:hint="cs"/>
          <w:rtl/>
        </w:rPr>
        <w:t>התומים</w:t>
      </w:r>
      <w:r>
        <w:rPr>
          <w:rFonts w:hint="cs"/>
          <w:rtl/>
        </w:rPr>
        <w:t xml:space="preserve"> דבדברי </w:t>
      </w:r>
      <w:r w:rsidRPr="006B740E">
        <w:rPr>
          <w:rStyle w:val="affa"/>
          <w:rFonts w:hint="cs"/>
          <w:rtl/>
        </w:rPr>
        <w:t xml:space="preserve">הריב"ש </w:t>
      </w:r>
      <w:r>
        <w:rPr>
          <w:rFonts w:hint="cs"/>
          <w:rtl/>
        </w:rPr>
        <w:t xml:space="preserve">לא משמע כלל דפליג על דברי </w:t>
      </w:r>
      <w:r w:rsidRPr="006B740E">
        <w:rPr>
          <w:rStyle w:val="affa"/>
          <w:rFonts w:hint="cs"/>
          <w:rtl/>
        </w:rPr>
        <w:t>המרדכי והנימוק"י</w:t>
      </w:r>
      <w:r>
        <w:rPr>
          <w:rFonts w:hint="cs"/>
          <w:rtl/>
        </w:rPr>
        <w:t>.</w:t>
      </w:r>
    </w:p>
  </w:footnote>
  <w:footnote w:id="90">
    <w:p w:rsidR="00265073" w:rsidRPr="004D2856" w:rsidRDefault="00265073" w:rsidP="00EC445E">
      <w:pPr>
        <w:pStyle w:val="af"/>
      </w:pPr>
      <w:r>
        <w:rPr>
          <w:rStyle w:val="af1"/>
        </w:rPr>
        <w:footnoteRef/>
      </w:r>
      <w:r>
        <w:rPr>
          <w:rtl/>
        </w:rPr>
        <w:t xml:space="preserve"> </w:t>
      </w:r>
      <w:r w:rsidRPr="004D2856">
        <w:rPr>
          <w:rFonts w:hint="cs"/>
          <w:rtl/>
        </w:rPr>
        <w:t xml:space="preserve">אך הקשה </w:t>
      </w:r>
      <w:r w:rsidRPr="004D2856">
        <w:rPr>
          <w:rStyle w:val="affa"/>
          <w:rFonts w:hint="cs"/>
          <w:rtl/>
        </w:rPr>
        <w:t>הקוב"ש</w:t>
      </w:r>
      <w:r w:rsidRPr="004D2856">
        <w:rPr>
          <w:rFonts w:hint="cs"/>
          <w:rtl/>
        </w:rPr>
        <w:t xml:space="preserve"> </w:t>
      </w:r>
      <w:r w:rsidRPr="004D2856">
        <w:rPr>
          <w:rStyle w:val="aff6"/>
          <w:rFonts w:hint="cs"/>
          <w:rtl/>
        </w:rPr>
        <w:t xml:space="preserve">(או' קי"ג) </w:t>
      </w:r>
      <w:r w:rsidRPr="004D2856">
        <w:rPr>
          <w:rFonts w:hint="cs"/>
          <w:rtl/>
        </w:rPr>
        <w:t>דמ"מ היאך נאמן לחזור מטענתו הראשונה, הרי חשיב כהודאת בע"ד דאלימא אף יותר מעדים, ובעדים אינם נאמנים כשהם חוזרים ומגידים, אף כשיש להם מיגו.</w:t>
      </w:r>
    </w:p>
    <w:p w:rsidR="00265073" w:rsidRPr="004D2856" w:rsidRDefault="00265073" w:rsidP="00EC445E">
      <w:pPr>
        <w:pStyle w:val="af"/>
        <w:rPr>
          <w:rtl/>
        </w:rPr>
      </w:pPr>
      <w:r w:rsidRPr="004D2856">
        <w:rPr>
          <w:rFonts w:hint="cs"/>
          <w:rtl/>
        </w:rPr>
        <w:t xml:space="preserve">ותירץ </w:t>
      </w:r>
      <w:r w:rsidRPr="004D2856">
        <w:rPr>
          <w:rStyle w:val="affa"/>
          <w:rFonts w:hint="cs"/>
          <w:rtl/>
        </w:rPr>
        <w:t>הקוב"ש</w:t>
      </w:r>
      <w:r w:rsidRPr="004D2856">
        <w:rPr>
          <w:rFonts w:hint="cs"/>
          <w:rtl/>
        </w:rPr>
        <w:t xml:space="preserve"> </w:t>
      </w:r>
      <w:r w:rsidRPr="004D2856">
        <w:rPr>
          <w:rStyle w:val="aff6"/>
          <w:rFonts w:hint="cs"/>
          <w:rtl/>
        </w:rPr>
        <w:t xml:space="preserve">(או' קי"ד) </w:t>
      </w:r>
      <w:r w:rsidRPr="004D2856">
        <w:rPr>
          <w:rFonts w:hint="cs"/>
          <w:rtl/>
        </w:rPr>
        <w:t>דבעדים יש גזיה"כ דאינו חוזר ומגיד, אף כשלדבריהם אינם חוזרים ומגידים, כעידי שטר שמעידים שלא חתמו עליו, אבל בהודאת בע"ד, לא נאמרה הגזיה"כ דאינו חוזר ומגיד, וכ"מ שאחר שהודה אינו נאמן לחזור בו לטובתו, הוא כיון שאינו נאמן ע"ע לזכותו דאדם קרוב אצל עצמו, ודמי לעד כשר שהעיד ואח"כ נפסל שאינו יכול לחזור בו, אף בלא הגזיה"כ דאינו חוזר ומגיד.</w:t>
      </w:r>
    </w:p>
    <w:p w:rsidR="00265073" w:rsidRPr="004D2856" w:rsidRDefault="00265073" w:rsidP="00EC445E">
      <w:pPr>
        <w:pStyle w:val="af"/>
      </w:pPr>
      <w:r w:rsidRPr="004D2856">
        <w:rPr>
          <w:rFonts w:hint="cs"/>
          <w:rtl/>
        </w:rPr>
        <w:t xml:space="preserve">אך כתב </w:t>
      </w:r>
      <w:r w:rsidRPr="004D2856">
        <w:rPr>
          <w:rStyle w:val="affa"/>
          <w:rFonts w:hint="cs"/>
          <w:rtl/>
        </w:rPr>
        <w:t>הקוב"ש</w:t>
      </w:r>
      <w:r w:rsidRPr="004D2856">
        <w:rPr>
          <w:rFonts w:hint="cs"/>
          <w:rtl/>
        </w:rPr>
        <w:t xml:space="preserve"> דמבקום שחוזר וטוען ויש לו מיגו, צריך להיות נאמן אף כנגד הודאתו, אלא דאינו נאמן להכחיש הודאת בע"ד, אבל במקום שהוא מפרש את דבריו, וטוען שבטענה הראשונה לא הודה כלל כנגד הטענה השניה, א"כ נאמן במיגו.</w:t>
      </w:r>
    </w:p>
  </w:footnote>
  <w:footnote w:id="91">
    <w:p w:rsidR="00265073" w:rsidRDefault="00265073" w:rsidP="003B7617">
      <w:pPr>
        <w:pStyle w:val="af"/>
        <w:rPr>
          <w:rtl/>
        </w:rPr>
      </w:pPr>
      <w:r>
        <w:rPr>
          <w:rStyle w:val="af1"/>
        </w:rPr>
        <w:footnoteRef/>
      </w:r>
      <w:r>
        <w:rPr>
          <w:rtl/>
        </w:rPr>
        <w:t xml:space="preserve"> במ"ש </w:t>
      </w:r>
      <w:r w:rsidRPr="00110E3C">
        <w:rPr>
          <w:rStyle w:val="affa"/>
          <w:rtl/>
        </w:rPr>
        <w:t>הרשב"ם</w:t>
      </w:r>
      <w:r>
        <w:rPr>
          <w:rtl/>
        </w:rPr>
        <w:t xml:space="preserve"> </w:t>
      </w:r>
      <w:r w:rsidRPr="00110E3C">
        <w:rPr>
          <w:rStyle w:val="aff6"/>
          <w:rtl/>
        </w:rPr>
        <w:t>(עי' אות</w:t>
      </w:r>
      <w:r w:rsidRPr="00110E3C">
        <w:rPr>
          <w:rStyle w:val="aff6"/>
          <w:rFonts w:hint="cs"/>
          <w:rtl/>
        </w:rPr>
        <w:t xml:space="preserve"> </w:t>
      </w:r>
      <w:r w:rsidRPr="00110E3C">
        <w:rPr>
          <w:rStyle w:val="aff6"/>
          <w:rtl/>
        </w:rPr>
        <w:fldChar w:fldCharType="begin"/>
      </w:r>
      <w:r w:rsidRPr="00110E3C">
        <w:rPr>
          <w:rStyle w:val="aff6"/>
          <w:rtl/>
        </w:rPr>
        <w:instrText xml:space="preserve"> </w:instrText>
      </w:r>
      <w:r w:rsidRPr="00110E3C">
        <w:rPr>
          <w:rStyle w:val="aff6"/>
          <w:rFonts w:hint="cs"/>
        </w:rPr>
        <w:instrText>REF</w:instrText>
      </w:r>
      <w:r w:rsidRPr="00110E3C">
        <w:rPr>
          <w:rStyle w:val="aff6"/>
          <w:rFonts w:hint="cs"/>
          <w:rtl/>
        </w:rPr>
        <w:instrText xml:space="preserve"> _</w:instrText>
      </w:r>
      <w:r w:rsidRPr="00110E3C">
        <w:rPr>
          <w:rStyle w:val="aff6"/>
          <w:rFonts w:hint="cs"/>
        </w:rPr>
        <w:instrText>Ref63160613 \r \h</w:instrText>
      </w:r>
      <w:r w:rsidRPr="00110E3C">
        <w:rPr>
          <w:rStyle w:val="aff6"/>
          <w:rtl/>
        </w:rPr>
        <w:instrText xml:space="preserve"> </w:instrText>
      </w:r>
      <w:r w:rsidRPr="00110E3C">
        <w:rPr>
          <w:rStyle w:val="aff6"/>
          <w:rtl/>
        </w:rPr>
      </w:r>
      <w:r w:rsidRPr="00110E3C">
        <w:rPr>
          <w:rStyle w:val="aff6"/>
          <w:rtl/>
        </w:rPr>
        <w:fldChar w:fldCharType="separate"/>
      </w:r>
      <w:r>
        <w:rPr>
          <w:rStyle w:val="aff6"/>
          <w:cs/>
        </w:rPr>
        <w:t>‎</w:t>
      </w:r>
      <w:r>
        <w:rPr>
          <w:rStyle w:val="aff6"/>
          <w:rtl/>
        </w:rPr>
        <w:t>א)</w:t>
      </w:r>
      <w:r w:rsidRPr="00110E3C">
        <w:rPr>
          <w:rStyle w:val="aff6"/>
          <w:rtl/>
        </w:rPr>
        <w:fldChar w:fldCharType="end"/>
      </w:r>
      <w:r w:rsidRPr="00110E3C">
        <w:rPr>
          <w:rStyle w:val="aff6"/>
          <w:rtl/>
        </w:rPr>
        <w:t xml:space="preserve"> </w:t>
      </w:r>
      <w:r>
        <w:rPr>
          <w:rtl/>
        </w:rPr>
        <w:t xml:space="preserve">דאיירי כשאין למחזיק חזקת ג"ש, כתב </w:t>
      </w:r>
      <w:r w:rsidRPr="00110E3C">
        <w:rPr>
          <w:rStyle w:val="affa"/>
          <w:rtl/>
        </w:rPr>
        <w:t>בחי' רבי נחום</w:t>
      </w:r>
      <w:r>
        <w:rPr>
          <w:rtl/>
        </w:rPr>
        <w:t xml:space="preserve"> </w:t>
      </w:r>
      <w:r w:rsidRPr="00110E3C">
        <w:rPr>
          <w:rStyle w:val="aff6"/>
          <w:rtl/>
        </w:rPr>
        <w:t xml:space="preserve">(או' קל"ח) </w:t>
      </w:r>
      <w:r>
        <w:rPr>
          <w:rtl/>
        </w:rPr>
        <w:t xml:space="preserve">דמשמע מדברי </w:t>
      </w:r>
      <w:r w:rsidRPr="00110E3C">
        <w:rPr>
          <w:rStyle w:val="affa"/>
          <w:rtl/>
        </w:rPr>
        <w:t>הרשב"ם</w:t>
      </w:r>
      <w:r>
        <w:rPr>
          <w:rtl/>
        </w:rPr>
        <w:t xml:space="preserve"> דאם היה לו חזקה, לכו"ע היה נאמן לטעון שהיה לו שטר אחר ואבד, כיון דרק כשהנאמנות שלו היא מכח מיגו פליגי רבה ורבה יוסף, אבל כשיש לו חזקה, אף שבתחילה הוציא שטר מזויף, מ"מ הוא נאמן לחזור ולטעון שהיה לו שטר טוב שאבד לו, והוסיף </w:t>
      </w:r>
      <w:r w:rsidRPr="00110E3C">
        <w:rPr>
          <w:rStyle w:val="affa"/>
          <w:rtl/>
        </w:rPr>
        <w:t>בחי' רבי נחום</w:t>
      </w:r>
      <w:r>
        <w:rPr>
          <w:rtl/>
        </w:rPr>
        <w:t xml:space="preserve"> דגם באופן שהנאמנות שלו תהיה רק מדין מיגו, מ"מ כל שיש לו חזקה ג"ש הוא נאמן לחזור ולטעון, כיון דכ"מ דאינו נאמן לדעת רב יוסף הוא מחמת שכל הנאמנות שלו היא מכח השטר שהוא חספא, אבל במקום שנאמן מכח חזקה, א"כ אף לדעת רב יוסף הוא נאמן במיגו.</w:t>
      </w:r>
    </w:p>
    <w:p w:rsidR="00265073" w:rsidRDefault="00265073" w:rsidP="003B7617">
      <w:pPr>
        <w:pStyle w:val="af"/>
      </w:pPr>
      <w:r>
        <w:rPr>
          <w:rtl/>
        </w:rPr>
        <w:t xml:space="preserve">אך כתב </w:t>
      </w:r>
      <w:r w:rsidRPr="00110E3C">
        <w:rPr>
          <w:rStyle w:val="affa"/>
          <w:rtl/>
        </w:rPr>
        <w:t>בחי' רבי נחום</w:t>
      </w:r>
      <w:r>
        <w:rPr>
          <w:rtl/>
        </w:rPr>
        <w:t xml:space="preserve"> דלפי דברי </w:t>
      </w:r>
      <w:r w:rsidRPr="00110E3C">
        <w:rPr>
          <w:rStyle w:val="affa"/>
          <w:rtl/>
        </w:rPr>
        <w:t>ר"י בתוס' בתי' הב'</w:t>
      </w:r>
      <w:r>
        <w:rPr>
          <w:rtl/>
        </w:rPr>
        <w:t xml:space="preserve"> </w:t>
      </w:r>
      <w:r w:rsidRPr="00110E3C">
        <w:rPr>
          <w:rStyle w:val="aff6"/>
          <w:rtl/>
        </w:rPr>
        <w:t xml:space="preserve">(עי' אות </w:t>
      </w:r>
      <w:r w:rsidRPr="00110E3C">
        <w:rPr>
          <w:rStyle w:val="aff6"/>
          <w:rtl/>
        </w:rPr>
        <w:fldChar w:fldCharType="begin"/>
      </w:r>
      <w:r w:rsidRPr="00110E3C">
        <w:rPr>
          <w:rStyle w:val="aff6"/>
          <w:rtl/>
        </w:rPr>
        <w:instrText xml:space="preserve"> </w:instrText>
      </w:r>
      <w:r w:rsidRPr="00110E3C">
        <w:rPr>
          <w:rStyle w:val="aff6"/>
        </w:rPr>
        <w:instrText>REF</w:instrText>
      </w:r>
      <w:r w:rsidRPr="00110E3C">
        <w:rPr>
          <w:rStyle w:val="aff6"/>
          <w:rtl/>
        </w:rPr>
        <w:instrText xml:space="preserve"> _</w:instrText>
      </w:r>
      <w:r w:rsidRPr="00110E3C">
        <w:rPr>
          <w:rStyle w:val="aff6"/>
        </w:rPr>
        <w:instrText>Ref63194406 \r \h</w:instrText>
      </w:r>
      <w:r w:rsidRPr="00110E3C">
        <w:rPr>
          <w:rStyle w:val="aff6"/>
          <w:rtl/>
        </w:rPr>
        <w:instrText xml:space="preserve"> </w:instrText>
      </w:r>
      <w:r w:rsidRPr="00110E3C">
        <w:rPr>
          <w:rStyle w:val="aff6"/>
          <w:rtl/>
        </w:rPr>
      </w:r>
      <w:r w:rsidRPr="00110E3C">
        <w:rPr>
          <w:rStyle w:val="aff6"/>
          <w:rtl/>
        </w:rPr>
        <w:fldChar w:fldCharType="separate"/>
      </w:r>
      <w:r>
        <w:rPr>
          <w:rStyle w:val="aff6"/>
          <w:cs/>
        </w:rPr>
        <w:t>‎</w:t>
      </w:r>
      <w:r>
        <w:rPr>
          <w:rStyle w:val="aff6"/>
          <w:rtl/>
        </w:rPr>
        <w:t>ס)</w:t>
      </w:r>
      <w:r w:rsidRPr="00110E3C">
        <w:rPr>
          <w:rStyle w:val="aff6"/>
          <w:rtl/>
        </w:rPr>
        <w:fldChar w:fldCharType="end"/>
      </w:r>
      <w:r>
        <w:rPr>
          <w:rtl/>
        </w:rPr>
        <w:t xml:space="preserve"> דלרב יוסף אינו נאמן כיון שאינו חוזר וטוען, א"כ אף כשיש לו חזקת ג"ש, מ"מ אינו נאמן, אך הקשה </w:t>
      </w:r>
      <w:r w:rsidRPr="00110E3C">
        <w:rPr>
          <w:rStyle w:val="affa"/>
          <w:rtl/>
        </w:rPr>
        <w:t>בחי' רבי</w:t>
      </w:r>
      <w:r>
        <w:rPr>
          <w:rtl/>
        </w:rPr>
        <w:t xml:space="preserve"> </w:t>
      </w:r>
      <w:r w:rsidRPr="00110E3C">
        <w:rPr>
          <w:rStyle w:val="affa"/>
          <w:rtl/>
        </w:rPr>
        <w:t>נחום</w:t>
      </w:r>
      <w:r>
        <w:rPr>
          <w:rtl/>
        </w:rPr>
        <w:t xml:space="preserve"> דאמאי אינו נאמן הוא הוא חוזר וטוען מפטור לפטור. [ועי' במה שביארו בזה </w:t>
      </w:r>
      <w:r w:rsidRPr="00110E3C">
        <w:rPr>
          <w:rStyle w:val="affa"/>
          <w:rtl/>
        </w:rPr>
        <w:t>הגר"ח מטעלז והקוב"ש ובחי' רבי נחום ובאבי עזרי</w:t>
      </w:r>
      <w:r>
        <w:rPr>
          <w:rtl/>
        </w:rPr>
        <w:t xml:space="preserve"> </w:t>
      </w:r>
      <w:r w:rsidRPr="00110E3C">
        <w:rPr>
          <w:rStyle w:val="aff6"/>
          <w:rtl/>
        </w:rPr>
        <w:t>(הובא בסימן י"ג אות קכ"ו)</w:t>
      </w:r>
      <w:r>
        <w:rPr>
          <w:rtl/>
        </w:rPr>
        <w:t>].</w:t>
      </w:r>
    </w:p>
  </w:footnote>
  <w:footnote w:id="92">
    <w:p w:rsidR="00265073" w:rsidRDefault="00265073" w:rsidP="003B7617">
      <w:pPr>
        <w:pStyle w:val="af"/>
      </w:pPr>
      <w:r>
        <w:rPr>
          <w:rStyle w:val="af1"/>
        </w:rPr>
        <w:footnoteRef/>
      </w:r>
      <w:r>
        <w:rPr>
          <w:rtl/>
        </w:rPr>
        <w:t xml:space="preserve"> </w:t>
      </w:r>
      <w:r>
        <w:rPr>
          <w:rFonts w:hint="cs"/>
          <w:rtl/>
        </w:rPr>
        <w:t xml:space="preserve">ועי' במה שביאר </w:t>
      </w:r>
      <w:r w:rsidRPr="009C217E">
        <w:rPr>
          <w:rStyle w:val="affa"/>
          <w:rFonts w:hint="cs"/>
          <w:rtl/>
        </w:rPr>
        <w:t>בחי' רבי נחום</w:t>
      </w:r>
      <w:r>
        <w:rPr>
          <w:rFonts w:hint="cs"/>
          <w:rtl/>
        </w:rPr>
        <w:t xml:space="preserve"> </w:t>
      </w:r>
      <w:r w:rsidRPr="009C217E">
        <w:rPr>
          <w:rStyle w:val="aff6"/>
          <w:rFonts w:hint="cs"/>
          <w:rtl/>
        </w:rPr>
        <w:t>(או' ק"מ ד"ה והנה ברשב"ם)</w:t>
      </w:r>
      <w:r>
        <w:rPr>
          <w:rFonts w:hint="cs"/>
          <w:rtl/>
        </w:rPr>
        <w:t xml:space="preserve"> דס"ל </w:t>
      </w:r>
      <w:r w:rsidRPr="009C217E">
        <w:rPr>
          <w:rStyle w:val="affa"/>
          <w:rFonts w:hint="cs"/>
          <w:rtl/>
        </w:rPr>
        <w:t>להרי"ף</w:t>
      </w:r>
      <w:r>
        <w:rPr>
          <w:rFonts w:hint="cs"/>
          <w:rtl/>
        </w:rPr>
        <w:t xml:space="preserve"> דאף אם אפשר לקיים את השטר, מ"מ לא מהני מיגו בכה"ג, דכיון שמודה שהשטר הוא נייר בעלמא, א"כ אין לו את כח הטענה של השטר.</w:t>
      </w:r>
    </w:p>
  </w:footnote>
  <w:footnote w:id="93">
    <w:p w:rsidR="00265073" w:rsidRDefault="00265073" w:rsidP="003B7617">
      <w:pPr>
        <w:pStyle w:val="af"/>
      </w:pPr>
      <w:r>
        <w:rPr>
          <w:rStyle w:val="af1"/>
        </w:rPr>
        <w:footnoteRef/>
      </w:r>
      <w:r>
        <w:rPr>
          <w:rtl/>
        </w:rPr>
        <w:t xml:space="preserve"> </w:t>
      </w:r>
      <w:r>
        <w:rPr>
          <w:rFonts w:hint="cs"/>
          <w:rtl/>
        </w:rPr>
        <w:t xml:space="preserve">ועי' בדברי </w:t>
      </w:r>
      <w:r w:rsidRPr="004D0FD1">
        <w:rPr>
          <w:rStyle w:val="affa"/>
          <w:rFonts w:hint="cs"/>
          <w:rtl/>
        </w:rPr>
        <w:t>הכס"מ</w:t>
      </w:r>
      <w:r w:rsidRPr="00866B51">
        <w:rPr>
          <w:rFonts w:hint="cs"/>
          <w:rtl/>
        </w:rPr>
        <w:t xml:space="preserve"> </w:t>
      </w:r>
      <w:r w:rsidRPr="004D0FD1">
        <w:rPr>
          <w:rStyle w:val="aff6"/>
          <w:rFonts w:hint="cs"/>
          <w:rtl/>
        </w:rPr>
        <w:t xml:space="preserve">(מלוה ולוה פי"ד ה"ו) </w:t>
      </w:r>
      <w:r>
        <w:rPr>
          <w:rFonts w:hint="cs"/>
          <w:rtl/>
        </w:rPr>
        <w:t xml:space="preserve">דהביא את דברי </w:t>
      </w:r>
      <w:r w:rsidRPr="004D0FD1">
        <w:rPr>
          <w:rStyle w:val="affa"/>
          <w:rFonts w:hint="cs"/>
          <w:rtl/>
        </w:rPr>
        <w:t>המ"מ דהרמב"ם</w:t>
      </w:r>
      <w:r w:rsidRPr="00866B51">
        <w:rPr>
          <w:rFonts w:hint="cs"/>
          <w:rtl/>
        </w:rPr>
        <w:t xml:space="preserve"> פליג על </w:t>
      </w:r>
      <w:r w:rsidRPr="004D0FD1">
        <w:rPr>
          <w:rStyle w:val="affa"/>
          <w:rFonts w:hint="cs"/>
          <w:rtl/>
        </w:rPr>
        <w:t>הרמב"ן והרשב"א</w:t>
      </w:r>
      <w:r w:rsidRPr="00866B51">
        <w:rPr>
          <w:rFonts w:hint="cs"/>
          <w:rtl/>
        </w:rPr>
        <w:t xml:space="preserve"> </w:t>
      </w:r>
      <w:r w:rsidRPr="004D0FD1">
        <w:rPr>
          <w:rStyle w:val="aff6"/>
          <w:rFonts w:hint="cs"/>
          <w:rtl/>
        </w:rPr>
        <w:t xml:space="preserve">(עי' אות </w:t>
      </w:r>
      <w:r w:rsidRPr="004D0FD1">
        <w:rPr>
          <w:rStyle w:val="aff6"/>
          <w:rtl/>
        </w:rPr>
        <w:fldChar w:fldCharType="begin"/>
      </w:r>
      <w:r w:rsidRPr="004D0FD1">
        <w:rPr>
          <w:rStyle w:val="aff6"/>
          <w:rtl/>
        </w:rPr>
        <w:instrText xml:space="preserve"> </w:instrText>
      </w:r>
      <w:r w:rsidRPr="004D0FD1">
        <w:rPr>
          <w:rStyle w:val="aff6"/>
          <w:rFonts w:hint="cs"/>
        </w:rPr>
        <w:instrText>REF</w:instrText>
      </w:r>
      <w:r w:rsidRPr="004D0FD1">
        <w:rPr>
          <w:rStyle w:val="aff6"/>
          <w:rFonts w:hint="cs"/>
          <w:rtl/>
        </w:rPr>
        <w:instrText xml:space="preserve"> _</w:instrText>
      </w:r>
      <w:r w:rsidRPr="004D0FD1">
        <w:rPr>
          <w:rStyle w:val="aff6"/>
          <w:rFonts w:hint="cs"/>
        </w:rPr>
        <w:instrText>Ref62760907 \r \h</w:instrText>
      </w:r>
      <w:r w:rsidRPr="004D0FD1">
        <w:rPr>
          <w:rStyle w:val="aff6"/>
          <w:rtl/>
        </w:rPr>
        <w:instrText xml:space="preserve"> </w:instrText>
      </w:r>
      <w:r w:rsidRPr="004D0FD1">
        <w:rPr>
          <w:rStyle w:val="aff6"/>
          <w:rtl/>
        </w:rPr>
      </w:r>
      <w:r w:rsidRPr="004D0FD1">
        <w:rPr>
          <w:rStyle w:val="aff6"/>
          <w:rtl/>
        </w:rPr>
        <w:fldChar w:fldCharType="separate"/>
      </w:r>
      <w:r>
        <w:rPr>
          <w:rStyle w:val="aff6"/>
          <w:cs/>
        </w:rPr>
        <w:t>‎</w:t>
      </w:r>
      <w:r>
        <w:rPr>
          <w:rStyle w:val="aff6"/>
          <w:rtl/>
        </w:rPr>
        <w:t>צא)</w:t>
      </w:r>
      <w:r w:rsidRPr="004D0FD1">
        <w:rPr>
          <w:rStyle w:val="aff6"/>
          <w:rtl/>
        </w:rPr>
        <w:fldChar w:fldCharType="end"/>
      </w:r>
      <w:r>
        <w:rPr>
          <w:rFonts w:hint="cs"/>
          <w:rtl/>
        </w:rPr>
        <w:t>, ו</w:t>
      </w:r>
      <w:r w:rsidRPr="00866B51">
        <w:rPr>
          <w:rFonts w:hint="cs"/>
          <w:rtl/>
        </w:rPr>
        <w:t xml:space="preserve">כתב </w:t>
      </w:r>
      <w:r w:rsidRPr="004D0FD1">
        <w:rPr>
          <w:rStyle w:val="affa"/>
          <w:rFonts w:hint="cs"/>
          <w:rtl/>
        </w:rPr>
        <w:t>הכס"מ</w:t>
      </w:r>
      <w:r>
        <w:rPr>
          <w:rFonts w:hint="cs"/>
          <w:rtl/>
        </w:rPr>
        <w:t xml:space="preserve"> </w:t>
      </w:r>
      <w:r w:rsidRPr="00866B51">
        <w:rPr>
          <w:rFonts w:hint="cs"/>
          <w:rtl/>
        </w:rPr>
        <w:t>ד</w:t>
      </w:r>
      <w:r>
        <w:rPr>
          <w:rFonts w:hint="cs"/>
          <w:rtl/>
        </w:rPr>
        <w:t xml:space="preserve">לא משמע כן </w:t>
      </w:r>
      <w:r w:rsidRPr="00866B51">
        <w:rPr>
          <w:rFonts w:hint="cs"/>
          <w:rtl/>
        </w:rPr>
        <w:t xml:space="preserve">מפשט דברי </w:t>
      </w:r>
      <w:r w:rsidRPr="004D0FD1">
        <w:rPr>
          <w:rStyle w:val="affa"/>
          <w:rFonts w:hint="cs"/>
          <w:rtl/>
        </w:rPr>
        <w:t>הרמב"ם</w:t>
      </w:r>
      <w:r>
        <w:rPr>
          <w:rFonts w:hint="cs"/>
          <w:rtl/>
        </w:rPr>
        <w:t xml:space="preserve">, ומשמע דכוונתו דמדברי </w:t>
      </w:r>
      <w:r w:rsidRPr="004D0FD1">
        <w:rPr>
          <w:rStyle w:val="affa"/>
          <w:rFonts w:hint="cs"/>
          <w:rtl/>
        </w:rPr>
        <w:t>הרמב"ם</w:t>
      </w:r>
      <w:r w:rsidRPr="00866B51">
        <w:rPr>
          <w:rFonts w:hint="cs"/>
          <w:rtl/>
        </w:rPr>
        <w:t xml:space="preserve"> לא משמע דפליג על </w:t>
      </w:r>
      <w:r w:rsidRPr="004D0FD1">
        <w:rPr>
          <w:rStyle w:val="affa"/>
          <w:rFonts w:hint="cs"/>
          <w:rtl/>
        </w:rPr>
        <w:t>הרמב"ן והרשב"א</w:t>
      </w:r>
      <w:r w:rsidRPr="00866B51">
        <w:rPr>
          <w:rFonts w:hint="cs"/>
          <w:rtl/>
        </w:rPr>
        <w:t xml:space="preserve"> וס"ל דהיה שטר </w:t>
      </w:r>
      <w:r>
        <w:rPr>
          <w:rFonts w:hint="cs"/>
          <w:rtl/>
        </w:rPr>
        <w:t xml:space="preserve">מקויים, ותמה </w:t>
      </w:r>
      <w:r w:rsidRPr="004D0FD1">
        <w:rPr>
          <w:rStyle w:val="affa"/>
          <w:rFonts w:hint="cs"/>
          <w:rtl/>
        </w:rPr>
        <w:t>האבהא"ז</w:t>
      </w:r>
      <w:r>
        <w:rPr>
          <w:rFonts w:hint="cs"/>
          <w:rtl/>
        </w:rPr>
        <w:t xml:space="preserve"> </w:t>
      </w:r>
      <w:r w:rsidRPr="004D0FD1">
        <w:rPr>
          <w:rStyle w:val="aff6"/>
          <w:rtl/>
        </w:rPr>
        <w:t>(מלוה ולוה פי"ד ה"ו)</w:t>
      </w:r>
      <w:r w:rsidRPr="004D0FD1">
        <w:rPr>
          <w:rStyle w:val="aff6"/>
          <w:rFonts w:hint="cs"/>
          <w:rtl/>
        </w:rPr>
        <w:t xml:space="preserve"> </w:t>
      </w:r>
      <w:r>
        <w:rPr>
          <w:rFonts w:hint="cs"/>
          <w:rtl/>
        </w:rPr>
        <w:t xml:space="preserve">דהא </w:t>
      </w:r>
      <w:r w:rsidRPr="004D0FD1">
        <w:rPr>
          <w:rStyle w:val="affa"/>
          <w:rFonts w:hint="cs"/>
          <w:rtl/>
        </w:rPr>
        <w:t>המ"מ</w:t>
      </w:r>
      <w:r>
        <w:rPr>
          <w:rFonts w:hint="cs"/>
          <w:rtl/>
        </w:rPr>
        <w:t xml:space="preserve"> ביאר להדיא דכן משמע מדברי </w:t>
      </w:r>
      <w:r w:rsidRPr="004D0FD1">
        <w:rPr>
          <w:rStyle w:val="affa"/>
          <w:rFonts w:hint="cs"/>
          <w:rtl/>
        </w:rPr>
        <w:t>הרמב"ם</w:t>
      </w:r>
      <w:r>
        <w:rPr>
          <w:rFonts w:hint="cs"/>
          <w:rtl/>
        </w:rPr>
        <w:t xml:space="preserve"> דכתב דהשטר מקויים, והביא </w:t>
      </w:r>
      <w:r w:rsidRPr="004D0FD1">
        <w:rPr>
          <w:rStyle w:val="affa"/>
          <w:rFonts w:hint="cs"/>
          <w:rtl/>
        </w:rPr>
        <w:t>האבאה"ז</w:t>
      </w:r>
      <w:r>
        <w:rPr>
          <w:rFonts w:hint="cs"/>
          <w:rtl/>
        </w:rPr>
        <w:t xml:space="preserve"> את דברי </w:t>
      </w:r>
      <w:r w:rsidRPr="004D0FD1">
        <w:rPr>
          <w:rStyle w:val="affa"/>
          <w:rFonts w:hint="cs"/>
          <w:rtl/>
        </w:rPr>
        <w:t>המשל"מ</w:t>
      </w:r>
      <w:r>
        <w:rPr>
          <w:rFonts w:hint="cs"/>
          <w:rtl/>
        </w:rPr>
        <w:t xml:space="preserve"> </w:t>
      </w:r>
      <w:r w:rsidRPr="004D0FD1">
        <w:rPr>
          <w:rStyle w:val="aff6"/>
          <w:rFonts w:hint="cs"/>
          <w:rtl/>
        </w:rPr>
        <w:t xml:space="preserve">(מלוה ולוה פי"ד ה"א) </w:t>
      </w:r>
      <w:r>
        <w:rPr>
          <w:rFonts w:hint="cs"/>
          <w:rtl/>
        </w:rPr>
        <w:t xml:space="preserve">[וכתב </w:t>
      </w:r>
      <w:r w:rsidRPr="004D0FD1">
        <w:rPr>
          <w:rStyle w:val="affa"/>
          <w:rFonts w:hint="cs"/>
          <w:rtl/>
        </w:rPr>
        <w:t>האבאה"ז</w:t>
      </w:r>
      <w:r>
        <w:rPr>
          <w:rFonts w:hint="cs"/>
          <w:rtl/>
        </w:rPr>
        <w:t xml:space="preserve"> דדברי </w:t>
      </w:r>
      <w:r w:rsidRPr="004D0FD1">
        <w:rPr>
          <w:rStyle w:val="affa"/>
          <w:rFonts w:hint="cs"/>
          <w:rtl/>
        </w:rPr>
        <w:t>המשל"מ</w:t>
      </w:r>
      <w:r>
        <w:rPr>
          <w:rFonts w:hint="cs"/>
          <w:rtl/>
        </w:rPr>
        <w:t xml:space="preserve"> נדפסו שלא במקומם] דהביא את דברי </w:t>
      </w:r>
      <w:r w:rsidRPr="004D0FD1">
        <w:rPr>
          <w:rStyle w:val="affa"/>
          <w:rFonts w:hint="cs"/>
          <w:rtl/>
        </w:rPr>
        <w:t>הכס"מ</w:t>
      </w:r>
      <w:r>
        <w:rPr>
          <w:rFonts w:hint="cs"/>
          <w:rtl/>
        </w:rPr>
        <w:t xml:space="preserve"> וכתב דכ"כ </w:t>
      </w:r>
      <w:r w:rsidRPr="004D0FD1">
        <w:rPr>
          <w:rStyle w:val="affa"/>
          <w:rFonts w:hint="cs"/>
          <w:rtl/>
        </w:rPr>
        <w:t xml:space="preserve">המ"מ </w:t>
      </w:r>
      <w:r w:rsidRPr="00803C8D">
        <w:rPr>
          <w:rStyle w:val="affa"/>
          <w:rFonts w:hint="cs"/>
          <w:rtl/>
        </w:rPr>
        <w:t>דהרמב"ם</w:t>
      </w:r>
      <w:r>
        <w:rPr>
          <w:rFonts w:hint="cs"/>
          <w:rtl/>
        </w:rPr>
        <w:t xml:space="preserve"> פליג על </w:t>
      </w:r>
      <w:r w:rsidRPr="004D0FD1">
        <w:rPr>
          <w:rStyle w:val="affa"/>
          <w:rFonts w:hint="cs"/>
          <w:rtl/>
        </w:rPr>
        <w:t>הרמב"ן</w:t>
      </w:r>
      <w:r>
        <w:rPr>
          <w:rFonts w:hint="cs"/>
          <w:rtl/>
        </w:rPr>
        <w:t xml:space="preserve">. [והיינו דכוונת </w:t>
      </w:r>
      <w:r w:rsidRPr="004D0FD1">
        <w:rPr>
          <w:rStyle w:val="affa"/>
          <w:rFonts w:hint="cs"/>
          <w:rtl/>
        </w:rPr>
        <w:t>הכס"מ</w:t>
      </w:r>
      <w:r>
        <w:rPr>
          <w:rFonts w:hint="cs"/>
          <w:rtl/>
        </w:rPr>
        <w:t xml:space="preserve"> לומר דמדברי</w:t>
      </w:r>
      <w:r w:rsidRPr="004D0FD1">
        <w:rPr>
          <w:rStyle w:val="affa"/>
          <w:rFonts w:hint="cs"/>
          <w:rtl/>
        </w:rPr>
        <w:t xml:space="preserve"> הרמב"ם</w:t>
      </w:r>
      <w:r>
        <w:rPr>
          <w:rFonts w:hint="cs"/>
          <w:rtl/>
        </w:rPr>
        <w:t xml:space="preserve"> לא משמע כביאור </w:t>
      </w:r>
      <w:r w:rsidRPr="004D0FD1">
        <w:rPr>
          <w:rStyle w:val="affa"/>
          <w:rFonts w:hint="cs"/>
          <w:rtl/>
        </w:rPr>
        <w:t>הרמב"ן,</w:t>
      </w:r>
      <w:r>
        <w:rPr>
          <w:rFonts w:hint="cs"/>
          <w:rtl/>
        </w:rPr>
        <w:t xml:space="preserve"> וכדכתב </w:t>
      </w:r>
      <w:r w:rsidRPr="004D0FD1">
        <w:rPr>
          <w:rStyle w:val="affa"/>
          <w:rFonts w:hint="cs"/>
          <w:rtl/>
        </w:rPr>
        <w:t>המ</w:t>
      </w:r>
      <w:r w:rsidRPr="00803C8D">
        <w:rPr>
          <w:rStyle w:val="affa"/>
          <w:rFonts w:hint="cs"/>
          <w:rtl/>
        </w:rPr>
        <w:t>"מ</w:t>
      </w:r>
      <w:r>
        <w:rPr>
          <w:rFonts w:hint="cs"/>
          <w:rtl/>
        </w:rPr>
        <w:t xml:space="preserve">, וכן מבואר </w:t>
      </w:r>
      <w:r w:rsidRPr="004D0FD1">
        <w:rPr>
          <w:rStyle w:val="affa"/>
          <w:rFonts w:hint="cs"/>
          <w:rtl/>
        </w:rPr>
        <w:t>בב"י</w:t>
      </w:r>
      <w:r>
        <w:rPr>
          <w:rFonts w:hint="cs"/>
          <w:rtl/>
        </w:rPr>
        <w:t xml:space="preserve"> </w:t>
      </w:r>
      <w:r w:rsidRPr="004D0FD1">
        <w:rPr>
          <w:rStyle w:val="aff6"/>
          <w:rFonts w:hint="cs"/>
          <w:rtl/>
        </w:rPr>
        <w:t xml:space="preserve">(סי' פ"ג ד') </w:t>
      </w:r>
      <w:r>
        <w:rPr>
          <w:rFonts w:hint="cs"/>
          <w:rtl/>
        </w:rPr>
        <w:t xml:space="preserve">דהביא רק את דברי </w:t>
      </w:r>
      <w:r w:rsidRPr="004D0FD1">
        <w:rPr>
          <w:rStyle w:val="affa"/>
          <w:rFonts w:hint="cs"/>
          <w:rtl/>
        </w:rPr>
        <w:t>המ"מ</w:t>
      </w:r>
      <w:r>
        <w:rPr>
          <w:rFonts w:hint="cs"/>
          <w:rtl/>
        </w:rPr>
        <w:t>]</w:t>
      </w:r>
      <w:r w:rsidRPr="008E3069">
        <w:rPr>
          <w:rFonts w:hint="cs"/>
          <w:rtl/>
        </w:rPr>
        <w:t>.</w:t>
      </w:r>
    </w:p>
  </w:footnote>
  <w:footnote w:id="94">
    <w:p w:rsidR="00265073" w:rsidRDefault="00265073" w:rsidP="003B7617">
      <w:pPr>
        <w:pStyle w:val="af"/>
        <w:rPr>
          <w:rtl/>
        </w:rPr>
      </w:pPr>
      <w:r>
        <w:rPr>
          <w:rStyle w:val="af1"/>
        </w:rPr>
        <w:footnoteRef/>
      </w:r>
      <w:r>
        <w:rPr>
          <w:rtl/>
        </w:rPr>
        <w:t xml:space="preserve"> </w:t>
      </w:r>
      <w:r w:rsidRPr="00747544">
        <w:rPr>
          <w:rtl/>
        </w:rPr>
        <w:t xml:space="preserve">במ"ש </w:t>
      </w:r>
      <w:r w:rsidRPr="00641EE5">
        <w:rPr>
          <w:rStyle w:val="affa"/>
          <w:rtl/>
        </w:rPr>
        <w:t>המ"מ</w:t>
      </w:r>
      <w:r w:rsidRPr="00747544">
        <w:rPr>
          <w:rtl/>
        </w:rPr>
        <w:t xml:space="preserve"> </w:t>
      </w:r>
      <w:r w:rsidRPr="00641EE5">
        <w:rPr>
          <w:rStyle w:val="aff6"/>
          <w:rtl/>
        </w:rPr>
        <w:t xml:space="preserve">(עי' אות </w:t>
      </w:r>
      <w:r w:rsidRPr="00641EE5">
        <w:rPr>
          <w:rStyle w:val="aff6"/>
          <w:rtl/>
        </w:rPr>
        <w:fldChar w:fldCharType="begin"/>
      </w:r>
      <w:r w:rsidRPr="00641EE5">
        <w:rPr>
          <w:rStyle w:val="aff6"/>
          <w:rtl/>
        </w:rPr>
        <w:instrText xml:space="preserve"> </w:instrText>
      </w:r>
      <w:r w:rsidRPr="00641EE5">
        <w:rPr>
          <w:rStyle w:val="aff6"/>
        </w:rPr>
        <w:instrText>REF</w:instrText>
      </w:r>
      <w:r w:rsidRPr="00641EE5">
        <w:rPr>
          <w:rStyle w:val="aff6"/>
          <w:rtl/>
        </w:rPr>
        <w:instrText xml:space="preserve"> _</w:instrText>
      </w:r>
      <w:r w:rsidRPr="00641EE5">
        <w:rPr>
          <w:rStyle w:val="aff6"/>
        </w:rPr>
        <w:instrText>Ref63249282 \r \h</w:instrText>
      </w:r>
      <w:r w:rsidRPr="00641EE5">
        <w:rPr>
          <w:rStyle w:val="aff6"/>
          <w:rtl/>
        </w:rPr>
        <w:instrText xml:space="preserve"> </w:instrText>
      </w:r>
      <w:r w:rsidRPr="00641EE5">
        <w:rPr>
          <w:rStyle w:val="aff6"/>
          <w:rtl/>
        </w:rPr>
      </w:r>
      <w:r w:rsidRPr="00641EE5">
        <w:rPr>
          <w:rStyle w:val="aff6"/>
          <w:rtl/>
        </w:rPr>
        <w:fldChar w:fldCharType="separate"/>
      </w:r>
      <w:r>
        <w:rPr>
          <w:rStyle w:val="aff6"/>
          <w:cs/>
        </w:rPr>
        <w:t>‎</w:t>
      </w:r>
      <w:r>
        <w:rPr>
          <w:rStyle w:val="aff6"/>
          <w:rtl/>
        </w:rPr>
        <w:t>כח)</w:t>
      </w:r>
      <w:r w:rsidRPr="00641EE5">
        <w:rPr>
          <w:rStyle w:val="aff6"/>
          <w:rtl/>
        </w:rPr>
        <w:fldChar w:fldCharType="end"/>
      </w:r>
      <w:r w:rsidRPr="00747544">
        <w:rPr>
          <w:rtl/>
        </w:rPr>
        <w:t xml:space="preserve"> דמדברי </w:t>
      </w:r>
      <w:r w:rsidRPr="00641EE5">
        <w:rPr>
          <w:rStyle w:val="affa"/>
          <w:rtl/>
        </w:rPr>
        <w:t>הרמב"ם</w:t>
      </w:r>
      <w:r w:rsidRPr="00747544">
        <w:rPr>
          <w:rtl/>
        </w:rPr>
        <w:t xml:space="preserve"> </w:t>
      </w:r>
      <w:r w:rsidRPr="00641EE5">
        <w:rPr>
          <w:rStyle w:val="aff6"/>
          <w:rtl/>
        </w:rPr>
        <w:t xml:space="preserve">(עי' אות </w:t>
      </w:r>
      <w:r w:rsidRPr="00641EE5">
        <w:rPr>
          <w:rStyle w:val="aff6"/>
          <w:cs/>
        </w:rPr>
        <w:t>‎</w:t>
      </w:r>
      <w:r w:rsidRPr="00641EE5">
        <w:rPr>
          <w:rStyle w:val="aff6"/>
          <w:rtl/>
        </w:rPr>
        <w:fldChar w:fldCharType="begin"/>
      </w:r>
      <w:r w:rsidRPr="00641EE5">
        <w:rPr>
          <w:rStyle w:val="aff6"/>
          <w:rtl/>
        </w:rPr>
        <w:instrText xml:space="preserve"> </w:instrText>
      </w:r>
      <w:r w:rsidRPr="00641EE5">
        <w:rPr>
          <w:rStyle w:val="aff6"/>
        </w:rPr>
        <w:instrText>REF</w:instrText>
      </w:r>
      <w:r w:rsidRPr="00641EE5">
        <w:rPr>
          <w:rStyle w:val="aff6"/>
          <w:rtl/>
        </w:rPr>
        <w:instrText xml:space="preserve"> _</w:instrText>
      </w:r>
      <w:r w:rsidRPr="00641EE5">
        <w:rPr>
          <w:rStyle w:val="aff6"/>
        </w:rPr>
        <w:instrText>Ref62747857 \r \h</w:instrText>
      </w:r>
      <w:r w:rsidRPr="00641EE5">
        <w:rPr>
          <w:rStyle w:val="aff6"/>
          <w:rtl/>
        </w:rPr>
        <w:instrText xml:space="preserve"> </w:instrText>
      </w:r>
      <w:r w:rsidRPr="00641EE5">
        <w:rPr>
          <w:rStyle w:val="aff6"/>
          <w:rtl/>
        </w:rPr>
      </w:r>
      <w:r w:rsidRPr="00641EE5">
        <w:rPr>
          <w:rStyle w:val="aff6"/>
          <w:rtl/>
        </w:rPr>
        <w:fldChar w:fldCharType="separate"/>
      </w:r>
      <w:r>
        <w:rPr>
          <w:rStyle w:val="aff6"/>
          <w:cs/>
        </w:rPr>
        <w:t>‎</w:t>
      </w:r>
      <w:r>
        <w:rPr>
          <w:rStyle w:val="aff6"/>
          <w:rtl/>
        </w:rPr>
        <w:t>יט)</w:t>
      </w:r>
      <w:r w:rsidRPr="00641EE5">
        <w:rPr>
          <w:rStyle w:val="aff6"/>
          <w:rtl/>
        </w:rPr>
        <w:fldChar w:fldCharType="end"/>
      </w:r>
      <w:r>
        <w:rPr>
          <w:rFonts w:hint="cs"/>
          <w:rtl/>
        </w:rPr>
        <w:t xml:space="preserve"> </w:t>
      </w:r>
      <w:r w:rsidRPr="00747544">
        <w:rPr>
          <w:rtl/>
        </w:rPr>
        <w:t xml:space="preserve">מבואר דאיירי בסוגיין בשטר מקוים דוקא, ופליג על </w:t>
      </w:r>
      <w:r w:rsidRPr="00641EE5">
        <w:rPr>
          <w:rStyle w:val="affa"/>
          <w:rtl/>
        </w:rPr>
        <w:t>הרמב"ן והרשב"א</w:t>
      </w:r>
      <w:r w:rsidRPr="00747544">
        <w:rPr>
          <w:rtl/>
        </w:rPr>
        <w:t xml:space="preserve"> </w:t>
      </w:r>
      <w:r w:rsidRPr="00641EE5">
        <w:rPr>
          <w:rStyle w:val="aff6"/>
          <w:rtl/>
        </w:rPr>
        <w:t xml:space="preserve">(עי' אות </w:t>
      </w:r>
      <w:r w:rsidRPr="00641EE5">
        <w:rPr>
          <w:rStyle w:val="aff6"/>
          <w:cs/>
        </w:rPr>
        <w:fldChar w:fldCharType="begin"/>
      </w:r>
      <w:r w:rsidRPr="00641EE5">
        <w:rPr>
          <w:rStyle w:val="aff6"/>
          <w:rtl/>
        </w:rPr>
        <w:instrText xml:space="preserve"> </w:instrText>
      </w:r>
      <w:r w:rsidRPr="00641EE5">
        <w:rPr>
          <w:rStyle w:val="aff6"/>
        </w:rPr>
        <w:instrText>REF</w:instrText>
      </w:r>
      <w:r w:rsidRPr="00641EE5">
        <w:rPr>
          <w:rStyle w:val="aff6"/>
          <w:rtl/>
        </w:rPr>
        <w:instrText xml:space="preserve"> _</w:instrText>
      </w:r>
      <w:r w:rsidRPr="00641EE5">
        <w:rPr>
          <w:rStyle w:val="aff6"/>
        </w:rPr>
        <w:instrText>Ref62760907 \r \h</w:instrText>
      </w:r>
      <w:r w:rsidRPr="00641EE5">
        <w:rPr>
          <w:rStyle w:val="aff6"/>
          <w:rtl/>
        </w:rPr>
        <w:instrText xml:space="preserve"> </w:instrText>
      </w:r>
      <w:r w:rsidRPr="00641EE5">
        <w:rPr>
          <w:rStyle w:val="aff6"/>
          <w:cs/>
        </w:rPr>
      </w:r>
      <w:r w:rsidRPr="00641EE5">
        <w:rPr>
          <w:rStyle w:val="aff6"/>
          <w:cs/>
        </w:rPr>
        <w:fldChar w:fldCharType="separate"/>
      </w:r>
      <w:r>
        <w:rPr>
          <w:rStyle w:val="aff6"/>
          <w:cs/>
        </w:rPr>
        <w:t>‎</w:t>
      </w:r>
      <w:r>
        <w:rPr>
          <w:rStyle w:val="aff6"/>
          <w:rtl/>
        </w:rPr>
        <w:t>צא)</w:t>
      </w:r>
      <w:r w:rsidRPr="00641EE5">
        <w:rPr>
          <w:rStyle w:val="aff6"/>
          <w:cs/>
        </w:rPr>
        <w:fldChar w:fldCharType="end"/>
      </w:r>
      <w:r>
        <w:rPr>
          <w:rFonts w:hint="cs"/>
          <w:rtl/>
        </w:rPr>
        <w:t xml:space="preserve"> </w:t>
      </w:r>
      <w:r w:rsidRPr="00747544">
        <w:rPr>
          <w:rtl/>
        </w:rPr>
        <w:t xml:space="preserve">דכתבו שבזמן ההודאה השטר לא היה מקוים, כתב </w:t>
      </w:r>
      <w:r w:rsidRPr="00641EE5">
        <w:rPr>
          <w:rStyle w:val="affa"/>
          <w:rtl/>
        </w:rPr>
        <w:t>האבהא"ז</w:t>
      </w:r>
      <w:r w:rsidRPr="00747544">
        <w:rPr>
          <w:rtl/>
        </w:rPr>
        <w:t xml:space="preserve"> </w:t>
      </w:r>
      <w:r w:rsidRPr="00641EE5">
        <w:rPr>
          <w:rStyle w:val="aff6"/>
          <w:rtl/>
        </w:rPr>
        <w:t>(מלוה ולוה פי"ד ה"ו ד"ה והנה)</w:t>
      </w:r>
      <w:r w:rsidRPr="00747544">
        <w:rPr>
          <w:rtl/>
        </w:rPr>
        <w:t xml:space="preserve"> דמבואר מדברי המ"מ </w:t>
      </w:r>
      <w:r w:rsidRPr="00641EE5">
        <w:rPr>
          <w:rStyle w:val="affa"/>
          <w:rtl/>
        </w:rPr>
        <w:t>דהרמב"ן</w:t>
      </w:r>
      <w:r w:rsidRPr="00747544">
        <w:rPr>
          <w:rtl/>
        </w:rPr>
        <w:t xml:space="preserve"> פליג על </w:t>
      </w:r>
      <w:r w:rsidRPr="00641EE5">
        <w:rPr>
          <w:rStyle w:val="affa"/>
          <w:rtl/>
        </w:rPr>
        <w:t>הרמב"ם</w:t>
      </w:r>
      <w:r w:rsidRPr="00747544">
        <w:rPr>
          <w:rtl/>
        </w:rPr>
        <w:t xml:space="preserve"> </w:t>
      </w:r>
      <w:r>
        <w:rPr>
          <w:rFonts w:hint="cs"/>
          <w:rtl/>
        </w:rPr>
        <w:t xml:space="preserve">בתרתי, גם </w:t>
      </w:r>
      <w:r w:rsidRPr="00747544">
        <w:rPr>
          <w:rtl/>
        </w:rPr>
        <w:t xml:space="preserve">במה דביאר </w:t>
      </w:r>
      <w:r w:rsidRPr="00641EE5">
        <w:rPr>
          <w:rStyle w:val="affa"/>
          <w:rtl/>
        </w:rPr>
        <w:t>הרמב"ן</w:t>
      </w:r>
      <w:r w:rsidRPr="00747544">
        <w:rPr>
          <w:rtl/>
        </w:rPr>
        <w:t xml:space="preserve"> דאיירי בשטר שאינו מקוים, אבל בשטר מקוים ס"ל </w:t>
      </w:r>
      <w:r w:rsidRPr="00641EE5">
        <w:rPr>
          <w:rStyle w:val="affa"/>
          <w:rtl/>
        </w:rPr>
        <w:t>להרמב"ן</w:t>
      </w:r>
      <w:r w:rsidRPr="00747544">
        <w:rPr>
          <w:rtl/>
        </w:rPr>
        <w:t xml:space="preserve"> דאף רב יוסף מודה דנאמן, ועוד ס"ל </w:t>
      </w:r>
      <w:r w:rsidRPr="00641EE5">
        <w:rPr>
          <w:rStyle w:val="affa"/>
          <w:rtl/>
        </w:rPr>
        <w:t>להרמב"ן</w:t>
      </w:r>
      <w:r w:rsidRPr="00747544">
        <w:rPr>
          <w:rtl/>
        </w:rPr>
        <w:t xml:space="preserve"> </w:t>
      </w:r>
      <w:r w:rsidRPr="00641EE5">
        <w:rPr>
          <w:rStyle w:val="aff6"/>
          <w:rtl/>
        </w:rPr>
        <w:t>(עי'</w:t>
      </w:r>
      <w:r w:rsidRPr="00747544">
        <w:rPr>
          <w:rtl/>
        </w:rPr>
        <w:t xml:space="preserve"> </w:t>
      </w:r>
      <w:r w:rsidRPr="00641EE5">
        <w:rPr>
          <w:rStyle w:val="aff6"/>
          <w:rtl/>
        </w:rPr>
        <w:t xml:space="preserve">אות </w:t>
      </w:r>
      <w:r w:rsidRPr="00641EE5">
        <w:rPr>
          <w:rStyle w:val="aff6"/>
          <w:rtl/>
        </w:rPr>
        <w:fldChar w:fldCharType="begin"/>
      </w:r>
      <w:r w:rsidRPr="00641EE5">
        <w:rPr>
          <w:rStyle w:val="aff6"/>
          <w:rtl/>
        </w:rPr>
        <w:instrText xml:space="preserve"> </w:instrText>
      </w:r>
      <w:r w:rsidRPr="00641EE5">
        <w:rPr>
          <w:rStyle w:val="aff6"/>
        </w:rPr>
        <w:instrText>REF</w:instrText>
      </w:r>
      <w:r w:rsidRPr="00641EE5">
        <w:rPr>
          <w:rStyle w:val="aff6"/>
          <w:rtl/>
        </w:rPr>
        <w:instrText xml:space="preserve"> _</w:instrText>
      </w:r>
      <w:r w:rsidRPr="00641EE5">
        <w:rPr>
          <w:rStyle w:val="aff6"/>
        </w:rPr>
        <w:instrText>Ref63249301 \r \h</w:instrText>
      </w:r>
      <w:r w:rsidRPr="00641EE5">
        <w:rPr>
          <w:rStyle w:val="aff6"/>
          <w:rtl/>
        </w:rPr>
        <w:instrText xml:space="preserve"> </w:instrText>
      </w:r>
      <w:r w:rsidRPr="00641EE5">
        <w:rPr>
          <w:rStyle w:val="aff6"/>
          <w:rtl/>
        </w:rPr>
      </w:r>
      <w:r w:rsidRPr="00641EE5">
        <w:rPr>
          <w:rStyle w:val="aff6"/>
          <w:rtl/>
        </w:rPr>
        <w:fldChar w:fldCharType="separate"/>
      </w:r>
      <w:r>
        <w:rPr>
          <w:rStyle w:val="aff6"/>
          <w:cs/>
        </w:rPr>
        <w:t>‎</w:t>
      </w:r>
      <w:r>
        <w:rPr>
          <w:rStyle w:val="aff6"/>
          <w:rtl/>
        </w:rPr>
        <w:t>פט)</w:t>
      </w:r>
      <w:r w:rsidRPr="00641EE5">
        <w:rPr>
          <w:rStyle w:val="aff6"/>
          <w:rtl/>
        </w:rPr>
        <w:fldChar w:fldCharType="end"/>
      </w:r>
      <w:r w:rsidRPr="00747544">
        <w:rPr>
          <w:rtl/>
        </w:rPr>
        <w:t xml:space="preserve"> דבשטר שאינו מקוים בקרקע ב"ד נזקקין לקיים את השטר בכדי שיהיה נאמן במיגו, אבל </w:t>
      </w:r>
      <w:r w:rsidRPr="00641EE5">
        <w:rPr>
          <w:rStyle w:val="affa"/>
          <w:rtl/>
        </w:rPr>
        <w:t>להרמב"ם</w:t>
      </w:r>
      <w:r w:rsidRPr="00747544">
        <w:rPr>
          <w:rtl/>
        </w:rPr>
        <w:t xml:space="preserve"> </w:t>
      </w:r>
      <w:r w:rsidRPr="00641EE5">
        <w:rPr>
          <w:rStyle w:val="aff6"/>
          <w:rtl/>
        </w:rPr>
        <w:t xml:space="preserve">(עי' אות </w:t>
      </w:r>
      <w:r w:rsidRPr="00641EE5">
        <w:rPr>
          <w:rStyle w:val="aff6"/>
          <w:rtl/>
        </w:rPr>
        <w:fldChar w:fldCharType="begin"/>
      </w:r>
      <w:r w:rsidRPr="00641EE5">
        <w:rPr>
          <w:rStyle w:val="aff6"/>
          <w:rtl/>
        </w:rPr>
        <w:instrText xml:space="preserve"> </w:instrText>
      </w:r>
      <w:r w:rsidRPr="00641EE5">
        <w:rPr>
          <w:rStyle w:val="aff6"/>
        </w:rPr>
        <w:instrText>REF</w:instrText>
      </w:r>
      <w:r w:rsidRPr="00641EE5">
        <w:rPr>
          <w:rStyle w:val="aff6"/>
          <w:rtl/>
        </w:rPr>
        <w:instrText xml:space="preserve"> _</w:instrText>
      </w:r>
      <w:r w:rsidRPr="00641EE5">
        <w:rPr>
          <w:rStyle w:val="aff6"/>
        </w:rPr>
        <w:instrText>Ref62747865 \r \h</w:instrText>
      </w:r>
      <w:r w:rsidRPr="00641EE5">
        <w:rPr>
          <w:rStyle w:val="aff6"/>
          <w:rtl/>
        </w:rPr>
        <w:instrText xml:space="preserve"> </w:instrText>
      </w:r>
      <w:r w:rsidRPr="00641EE5">
        <w:rPr>
          <w:rStyle w:val="aff6"/>
          <w:rtl/>
        </w:rPr>
      </w:r>
      <w:r w:rsidRPr="00641EE5">
        <w:rPr>
          <w:rStyle w:val="aff6"/>
          <w:rtl/>
        </w:rPr>
        <w:fldChar w:fldCharType="separate"/>
      </w:r>
      <w:r>
        <w:rPr>
          <w:rStyle w:val="aff6"/>
          <w:cs/>
        </w:rPr>
        <w:t>‎</w:t>
      </w:r>
      <w:r>
        <w:rPr>
          <w:rStyle w:val="aff6"/>
          <w:rtl/>
        </w:rPr>
        <w:t>כ)</w:t>
      </w:r>
      <w:r w:rsidRPr="00641EE5">
        <w:rPr>
          <w:rStyle w:val="aff6"/>
          <w:rtl/>
        </w:rPr>
        <w:fldChar w:fldCharType="end"/>
      </w:r>
      <w:r w:rsidRPr="00747544">
        <w:rPr>
          <w:rtl/>
        </w:rPr>
        <w:t xml:space="preserve"> אינו נאמן בשטר שאינו מקוים, ואף בזוזי דהוא מיגו להחזיק לא מהני לו המיגו, ועיי"ש במה שביאר </w:t>
      </w:r>
      <w:r w:rsidRPr="00641EE5">
        <w:rPr>
          <w:rStyle w:val="affa"/>
          <w:rtl/>
        </w:rPr>
        <w:t>האבאה"ז</w:t>
      </w:r>
      <w:r w:rsidRPr="00747544">
        <w:rPr>
          <w:rtl/>
        </w:rPr>
        <w:t xml:space="preserve"> </w:t>
      </w:r>
      <w:r>
        <w:rPr>
          <w:rFonts w:hint="cs"/>
          <w:rtl/>
        </w:rPr>
        <w:t>דנחלקו בדין מיגו להוציא</w:t>
      </w:r>
      <w:r w:rsidRPr="00747544">
        <w:rPr>
          <w:rtl/>
        </w:rPr>
        <w:t>.</w:t>
      </w:r>
    </w:p>
  </w:footnote>
  <w:footnote w:id="95">
    <w:p w:rsidR="00265073" w:rsidRDefault="00265073" w:rsidP="003B7617">
      <w:pPr>
        <w:pStyle w:val="af"/>
        <w:rPr>
          <w:rtl/>
        </w:rPr>
      </w:pPr>
      <w:r>
        <w:rPr>
          <w:rStyle w:val="af1"/>
        </w:rPr>
        <w:footnoteRef/>
      </w:r>
      <w:r>
        <w:rPr>
          <w:rtl/>
        </w:rPr>
        <w:t xml:space="preserve"> </w:t>
      </w:r>
      <w:r>
        <w:rPr>
          <w:rFonts w:hint="cs"/>
          <w:rtl/>
        </w:rPr>
        <w:t xml:space="preserve">וכתב </w:t>
      </w:r>
      <w:r w:rsidRPr="008E4AE1">
        <w:rPr>
          <w:rStyle w:val="affa"/>
          <w:rFonts w:hint="cs"/>
          <w:rtl/>
        </w:rPr>
        <w:t xml:space="preserve">הגידולי תרומה </w:t>
      </w:r>
      <w:r>
        <w:rPr>
          <w:rFonts w:hint="cs"/>
          <w:rtl/>
        </w:rPr>
        <w:t xml:space="preserve">דאפש"ל דכיון דכתב </w:t>
      </w:r>
      <w:r w:rsidRPr="008E4AE1">
        <w:rPr>
          <w:rStyle w:val="affa"/>
          <w:rFonts w:hint="cs"/>
          <w:rtl/>
        </w:rPr>
        <w:t xml:space="preserve">הרשב"ם </w:t>
      </w:r>
      <w:r w:rsidRPr="008E4AE1">
        <w:rPr>
          <w:rStyle w:val="aff6"/>
          <w:rFonts w:hint="cs"/>
          <w:rtl/>
        </w:rPr>
        <w:t xml:space="preserve">(עי' אות </w:t>
      </w:r>
      <w:r w:rsidRPr="008E4AE1">
        <w:rPr>
          <w:rStyle w:val="aff6"/>
          <w:rtl/>
        </w:rPr>
        <w:fldChar w:fldCharType="begin"/>
      </w:r>
      <w:r w:rsidRPr="008E4AE1">
        <w:rPr>
          <w:rStyle w:val="aff6"/>
          <w:rtl/>
        </w:rPr>
        <w:instrText xml:space="preserve"> </w:instrText>
      </w:r>
      <w:r w:rsidRPr="008E4AE1">
        <w:rPr>
          <w:rStyle w:val="aff6"/>
          <w:rFonts w:hint="cs"/>
        </w:rPr>
        <w:instrText>REF</w:instrText>
      </w:r>
      <w:r w:rsidRPr="008E4AE1">
        <w:rPr>
          <w:rStyle w:val="aff6"/>
          <w:rFonts w:hint="cs"/>
          <w:rtl/>
        </w:rPr>
        <w:instrText xml:space="preserve"> _</w:instrText>
      </w:r>
      <w:r w:rsidRPr="008E4AE1">
        <w:rPr>
          <w:rStyle w:val="aff6"/>
          <w:rFonts w:hint="cs"/>
        </w:rPr>
        <w:instrText>Ref63180798 \r \h</w:instrText>
      </w:r>
      <w:r w:rsidRPr="008E4AE1">
        <w:rPr>
          <w:rStyle w:val="aff6"/>
          <w:rtl/>
        </w:rPr>
        <w:instrText xml:space="preserve"> </w:instrText>
      </w:r>
      <w:r w:rsidRPr="008E4AE1">
        <w:rPr>
          <w:rStyle w:val="aff6"/>
          <w:rtl/>
        </w:rPr>
      </w:r>
      <w:r w:rsidRPr="008E4AE1">
        <w:rPr>
          <w:rStyle w:val="aff6"/>
          <w:rtl/>
        </w:rPr>
        <w:fldChar w:fldCharType="separate"/>
      </w:r>
      <w:r>
        <w:rPr>
          <w:rStyle w:val="aff6"/>
          <w:cs/>
        </w:rPr>
        <w:t>‎</w:t>
      </w:r>
      <w:r>
        <w:rPr>
          <w:rStyle w:val="aff6"/>
          <w:rtl/>
        </w:rPr>
        <w:t>מט)</w:t>
      </w:r>
      <w:r w:rsidRPr="008E4AE1">
        <w:rPr>
          <w:rStyle w:val="aff6"/>
          <w:rtl/>
        </w:rPr>
        <w:fldChar w:fldCharType="end"/>
      </w:r>
      <w:r>
        <w:rPr>
          <w:rFonts w:hint="cs"/>
          <w:rtl/>
        </w:rPr>
        <w:t xml:space="preserve"> דרב אידי בר אבין מספקא ליה האם קיי"ל כרבה או כרב יוסף, ומעמידים את הממון ביד המוחזק, לכן קיי"ל בגמ' בב"מ כר"נ דאין מוציאין את הממון מהמוחזק.</w:t>
      </w:r>
    </w:p>
    <w:p w:rsidR="00265073" w:rsidRDefault="00265073" w:rsidP="003B7617">
      <w:pPr>
        <w:pStyle w:val="af"/>
        <w:rPr>
          <w:rtl/>
        </w:rPr>
      </w:pPr>
      <w:r>
        <w:rPr>
          <w:rFonts w:hint="cs"/>
          <w:rtl/>
        </w:rPr>
        <w:t xml:space="preserve">אך הביא </w:t>
      </w:r>
      <w:r w:rsidRPr="008E4AE1">
        <w:rPr>
          <w:rStyle w:val="affa"/>
          <w:rFonts w:hint="cs"/>
          <w:rtl/>
        </w:rPr>
        <w:t xml:space="preserve">הגידולי תרומה </w:t>
      </w:r>
      <w:r w:rsidRPr="00D22A2B">
        <w:rPr>
          <w:rFonts w:hint="cs"/>
          <w:rtl/>
        </w:rPr>
        <w:t>את דברי</w:t>
      </w:r>
      <w:r>
        <w:rPr>
          <w:rStyle w:val="af9"/>
          <w:rFonts w:hint="cs"/>
          <w:rtl/>
        </w:rPr>
        <w:t xml:space="preserve"> </w:t>
      </w:r>
      <w:r w:rsidRPr="008E4AE1">
        <w:rPr>
          <w:rStyle w:val="affa"/>
          <w:rFonts w:hint="cs"/>
          <w:rtl/>
        </w:rPr>
        <w:t xml:space="preserve">הרשב"ם לקמן </w:t>
      </w:r>
      <w:r w:rsidRPr="008E4AE1">
        <w:rPr>
          <w:rStyle w:val="aff6"/>
          <w:rFonts w:hint="cs"/>
          <w:rtl/>
        </w:rPr>
        <w:t>(קנה. ד"ה נעשה)</w:t>
      </w:r>
      <w:r w:rsidRPr="00D22A2B">
        <w:rPr>
          <w:rStyle w:val="af7"/>
          <w:rFonts w:eastAsia="Guttman Hodes" w:hint="cs"/>
          <w:rtl/>
        </w:rPr>
        <w:t xml:space="preserve"> </w:t>
      </w:r>
      <w:r>
        <w:rPr>
          <w:rFonts w:hint="cs"/>
          <w:rtl/>
        </w:rPr>
        <w:t xml:space="preserve">דפסק כמ"ד דהמודה בשטר שכתבו א"צ לקיימו, וא"כ משמע דס"ל </w:t>
      </w:r>
      <w:r w:rsidRPr="008E4AE1">
        <w:rPr>
          <w:rStyle w:val="affa"/>
          <w:rFonts w:hint="cs"/>
          <w:rtl/>
        </w:rPr>
        <w:t xml:space="preserve">להרשב"ם </w:t>
      </w:r>
      <w:r>
        <w:rPr>
          <w:rFonts w:hint="cs"/>
          <w:rtl/>
        </w:rPr>
        <w:t>דבאמת אינו נאמן במיגו.</w:t>
      </w:r>
    </w:p>
    <w:p w:rsidR="00265073" w:rsidRDefault="00265073" w:rsidP="003B7617">
      <w:pPr>
        <w:pStyle w:val="af"/>
      </w:pPr>
      <w:r>
        <w:rPr>
          <w:rFonts w:hint="cs"/>
          <w:rtl/>
        </w:rPr>
        <w:t xml:space="preserve">אך כתב </w:t>
      </w:r>
      <w:r w:rsidRPr="008E4AE1">
        <w:rPr>
          <w:rStyle w:val="affa"/>
          <w:rFonts w:hint="cs"/>
          <w:rtl/>
        </w:rPr>
        <w:t>הגידולי</w:t>
      </w:r>
      <w:r w:rsidRPr="00E6281E">
        <w:rPr>
          <w:rStyle w:val="af9"/>
          <w:rFonts w:hint="cs"/>
          <w:rtl/>
        </w:rPr>
        <w:t xml:space="preserve"> </w:t>
      </w:r>
      <w:r w:rsidRPr="008E4AE1">
        <w:rPr>
          <w:rStyle w:val="affa"/>
          <w:rFonts w:hint="cs"/>
          <w:rtl/>
        </w:rPr>
        <w:t>תרומה</w:t>
      </w:r>
      <w:r>
        <w:rPr>
          <w:rFonts w:hint="cs"/>
          <w:rtl/>
        </w:rPr>
        <w:t xml:space="preserve"> דלפי"ז קשה להיפך, דכיון שהלוה הוא המוחזק, אמאי אינו נאמן במיגו שלא להוציא מידו, כמו דפסק רב אידי בארעא דנאמן שהיה לו שטר ואבד, ואין מוציאין מידו.</w:t>
      </w:r>
    </w:p>
  </w:footnote>
  <w:footnote w:id="96">
    <w:p w:rsidR="00265073" w:rsidRDefault="00265073" w:rsidP="003B7617">
      <w:pPr>
        <w:pStyle w:val="af"/>
      </w:pPr>
      <w:r>
        <w:rPr>
          <w:rStyle w:val="af1"/>
        </w:rPr>
        <w:footnoteRef/>
      </w:r>
      <w:r>
        <w:rPr>
          <w:rtl/>
        </w:rPr>
        <w:t xml:space="preserve"> </w:t>
      </w:r>
      <w:r>
        <w:rPr>
          <w:rFonts w:hint="cs"/>
          <w:rtl/>
        </w:rPr>
        <w:t xml:space="preserve">וביאר </w:t>
      </w:r>
      <w:r w:rsidRPr="00984DC4">
        <w:rPr>
          <w:rStyle w:val="affa"/>
          <w:rFonts w:hint="cs"/>
          <w:rtl/>
        </w:rPr>
        <w:t>הנימוק"י</w:t>
      </w:r>
      <w:r w:rsidRPr="00DB314B">
        <w:rPr>
          <w:rStyle w:val="af9"/>
          <w:rFonts w:hint="cs"/>
          <w:rtl/>
        </w:rPr>
        <w:t xml:space="preserve"> </w:t>
      </w:r>
      <w:r w:rsidRPr="00EB1F37">
        <w:rPr>
          <w:rStyle w:val="aff6"/>
          <w:rFonts w:hint="cs"/>
          <w:rtl/>
        </w:rPr>
        <w:t>(טז: מדה"ר סוד"ה שטרא)</w:t>
      </w:r>
      <w:r>
        <w:rPr>
          <w:rFonts w:hint="cs"/>
          <w:rtl/>
        </w:rPr>
        <w:t xml:space="preserve"> את דברי </w:t>
      </w:r>
      <w:r w:rsidRPr="00984DC4">
        <w:rPr>
          <w:rStyle w:val="affa"/>
          <w:rFonts w:hint="cs"/>
          <w:rtl/>
        </w:rPr>
        <w:t>הר"י מגאש</w:t>
      </w:r>
      <w:r>
        <w:rPr>
          <w:rFonts w:hint="cs"/>
          <w:rtl/>
        </w:rPr>
        <w:t xml:space="preserve"> </w:t>
      </w:r>
      <w:r w:rsidRPr="00EB1F37">
        <w:rPr>
          <w:rStyle w:val="aff6"/>
          <w:rFonts w:hint="cs"/>
          <w:rtl/>
        </w:rPr>
        <w:t xml:space="preserve">(עי' אות </w:t>
      </w:r>
      <w:r w:rsidRPr="00EB1F37">
        <w:rPr>
          <w:rStyle w:val="aff6"/>
          <w:rtl/>
        </w:rPr>
        <w:fldChar w:fldCharType="begin"/>
      </w:r>
      <w:r w:rsidRPr="00EB1F37">
        <w:rPr>
          <w:rStyle w:val="aff6"/>
          <w:rtl/>
        </w:rPr>
        <w:instrText xml:space="preserve"> </w:instrText>
      </w:r>
      <w:r w:rsidRPr="00EB1F37">
        <w:rPr>
          <w:rStyle w:val="aff6"/>
          <w:rFonts w:hint="cs"/>
        </w:rPr>
        <w:instrText>REF</w:instrText>
      </w:r>
      <w:r w:rsidRPr="00EB1F37">
        <w:rPr>
          <w:rStyle w:val="aff6"/>
          <w:rFonts w:hint="cs"/>
          <w:rtl/>
        </w:rPr>
        <w:instrText xml:space="preserve"> _</w:instrText>
      </w:r>
      <w:r w:rsidRPr="00EB1F37">
        <w:rPr>
          <w:rStyle w:val="aff6"/>
          <w:rFonts w:hint="cs"/>
        </w:rPr>
        <w:instrText>Ref63185874 \r \h</w:instrText>
      </w:r>
      <w:r w:rsidRPr="00EB1F37">
        <w:rPr>
          <w:rStyle w:val="aff6"/>
          <w:rtl/>
        </w:rPr>
        <w:instrText xml:space="preserve"> </w:instrText>
      </w:r>
      <w:r w:rsidRPr="00EB1F37">
        <w:rPr>
          <w:rStyle w:val="aff6"/>
          <w:rtl/>
        </w:rPr>
      </w:r>
      <w:r w:rsidRPr="00EB1F37">
        <w:rPr>
          <w:rStyle w:val="aff6"/>
          <w:rtl/>
        </w:rPr>
        <w:fldChar w:fldCharType="separate"/>
      </w:r>
      <w:r>
        <w:rPr>
          <w:rStyle w:val="aff6"/>
          <w:cs/>
        </w:rPr>
        <w:t>‎</w:t>
      </w:r>
      <w:r>
        <w:rPr>
          <w:rStyle w:val="aff6"/>
          <w:rtl/>
        </w:rPr>
        <w:t>סח)</w:t>
      </w:r>
      <w:r w:rsidRPr="00EB1F37">
        <w:rPr>
          <w:rStyle w:val="aff6"/>
          <w:rtl/>
        </w:rPr>
        <w:fldChar w:fldCharType="end"/>
      </w:r>
      <w:r w:rsidRPr="00E17A8C">
        <w:rPr>
          <w:rStyle w:val="af7"/>
          <w:rFonts w:eastAsiaTheme="minorHAnsi" w:hint="cs"/>
          <w:rtl/>
        </w:rPr>
        <w:t xml:space="preserve"> </w:t>
      </w:r>
      <w:r>
        <w:rPr>
          <w:rFonts w:hint="cs"/>
          <w:rtl/>
        </w:rPr>
        <w:t xml:space="preserve">דס"ל דהמיגו בסוגיין הוא מיגו טוב, ודמי לכל דין מיגו בעלמא, </w:t>
      </w:r>
      <w:r w:rsidRPr="00D67E0D">
        <w:rPr>
          <w:rFonts w:hint="cs"/>
          <w:rtl/>
        </w:rPr>
        <w:t xml:space="preserve">[ודלא </w:t>
      </w:r>
      <w:r w:rsidRPr="003D0D37">
        <w:rPr>
          <w:rStyle w:val="affa"/>
          <w:rFonts w:hint="cs"/>
          <w:rtl/>
        </w:rPr>
        <w:t>כהרשב"ם</w:t>
      </w:r>
      <w:r w:rsidRPr="00D67E0D">
        <w:rPr>
          <w:rFonts w:hint="cs"/>
          <w:rtl/>
        </w:rPr>
        <w:t xml:space="preserve"> </w:t>
      </w:r>
      <w:r w:rsidRPr="00E17A8C">
        <w:rPr>
          <w:rStyle w:val="aff6"/>
          <w:rFonts w:hint="cs"/>
          <w:rtl/>
        </w:rPr>
        <w:t xml:space="preserve">(עי' אות </w:t>
      </w:r>
      <w:r w:rsidRPr="00E17A8C">
        <w:rPr>
          <w:rStyle w:val="aff6"/>
          <w:rtl/>
        </w:rPr>
        <w:fldChar w:fldCharType="begin"/>
      </w:r>
      <w:r w:rsidRPr="00E17A8C">
        <w:rPr>
          <w:rStyle w:val="aff6"/>
          <w:rtl/>
        </w:rPr>
        <w:instrText xml:space="preserve"> </w:instrText>
      </w:r>
      <w:r w:rsidRPr="00E17A8C">
        <w:rPr>
          <w:rStyle w:val="aff6"/>
          <w:rFonts w:hint="cs"/>
        </w:rPr>
        <w:instrText>REF</w:instrText>
      </w:r>
      <w:r w:rsidRPr="00E17A8C">
        <w:rPr>
          <w:rStyle w:val="aff6"/>
          <w:rFonts w:hint="cs"/>
          <w:rtl/>
        </w:rPr>
        <w:instrText xml:space="preserve"> _</w:instrText>
      </w:r>
      <w:r w:rsidRPr="00E17A8C">
        <w:rPr>
          <w:rStyle w:val="aff6"/>
          <w:rFonts w:hint="cs"/>
        </w:rPr>
        <w:instrText>Ref63111068 \r \h</w:instrText>
      </w:r>
      <w:r w:rsidRPr="00E17A8C">
        <w:rPr>
          <w:rStyle w:val="aff6"/>
          <w:rtl/>
        </w:rPr>
        <w:instrText xml:space="preserve"> </w:instrText>
      </w:r>
      <w:r w:rsidRPr="00E17A8C">
        <w:rPr>
          <w:rStyle w:val="aff6"/>
          <w:rtl/>
        </w:rPr>
      </w:r>
      <w:r w:rsidRPr="00E17A8C">
        <w:rPr>
          <w:rStyle w:val="aff6"/>
          <w:rtl/>
        </w:rPr>
        <w:fldChar w:fldCharType="separate"/>
      </w:r>
      <w:r>
        <w:rPr>
          <w:rStyle w:val="aff6"/>
          <w:cs/>
        </w:rPr>
        <w:t>‎</w:t>
      </w:r>
      <w:r>
        <w:rPr>
          <w:rStyle w:val="aff6"/>
          <w:rtl/>
        </w:rPr>
        <w:t>כט)</w:t>
      </w:r>
      <w:r w:rsidRPr="00E17A8C">
        <w:rPr>
          <w:rStyle w:val="aff6"/>
          <w:rtl/>
        </w:rPr>
        <w:fldChar w:fldCharType="end"/>
      </w:r>
      <w:r w:rsidRPr="00D67E0D">
        <w:rPr>
          <w:rFonts w:hint="cs"/>
          <w:rtl/>
        </w:rPr>
        <w:t xml:space="preserve"> </w:t>
      </w:r>
      <w:r w:rsidRPr="00E17A8C">
        <w:rPr>
          <w:rStyle w:val="affa"/>
          <w:rFonts w:hint="cs"/>
          <w:rtl/>
        </w:rPr>
        <w:t>ור"י בתוס' בתי' הא'</w:t>
      </w:r>
      <w:r w:rsidRPr="00D67E0D">
        <w:rPr>
          <w:rFonts w:hint="cs"/>
          <w:rtl/>
        </w:rPr>
        <w:t xml:space="preserve"> </w:t>
      </w:r>
      <w:r w:rsidRPr="00E17A8C">
        <w:rPr>
          <w:rStyle w:val="aff6"/>
          <w:rFonts w:hint="cs"/>
          <w:rtl/>
        </w:rPr>
        <w:t xml:space="preserve">(עי' אות </w:t>
      </w:r>
      <w:r w:rsidRPr="00E17A8C">
        <w:rPr>
          <w:rStyle w:val="aff6"/>
          <w:rtl/>
        </w:rPr>
        <w:fldChar w:fldCharType="begin"/>
      </w:r>
      <w:r w:rsidRPr="00E17A8C">
        <w:rPr>
          <w:rStyle w:val="aff6"/>
          <w:rtl/>
        </w:rPr>
        <w:instrText xml:space="preserve"> </w:instrText>
      </w:r>
      <w:r w:rsidRPr="00E17A8C">
        <w:rPr>
          <w:rStyle w:val="aff6"/>
          <w:rFonts w:hint="cs"/>
        </w:rPr>
        <w:instrText>REF</w:instrText>
      </w:r>
      <w:r w:rsidRPr="00E17A8C">
        <w:rPr>
          <w:rStyle w:val="aff6"/>
          <w:rFonts w:hint="cs"/>
          <w:rtl/>
        </w:rPr>
        <w:instrText xml:space="preserve"> _</w:instrText>
      </w:r>
      <w:r w:rsidRPr="00E17A8C">
        <w:rPr>
          <w:rStyle w:val="aff6"/>
          <w:rFonts w:hint="cs"/>
        </w:rPr>
        <w:instrText>Ref62811640 \r \h</w:instrText>
      </w:r>
      <w:r w:rsidRPr="00E17A8C">
        <w:rPr>
          <w:rStyle w:val="aff6"/>
          <w:rtl/>
        </w:rPr>
        <w:instrText xml:space="preserve"> </w:instrText>
      </w:r>
      <w:r w:rsidRPr="00E17A8C">
        <w:rPr>
          <w:rStyle w:val="aff6"/>
          <w:rtl/>
        </w:rPr>
      </w:r>
      <w:r w:rsidRPr="00E17A8C">
        <w:rPr>
          <w:rStyle w:val="aff6"/>
          <w:rtl/>
        </w:rPr>
        <w:fldChar w:fldCharType="separate"/>
      </w:r>
      <w:r>
        <w:rPr>
          <w:rStyle w:val="aff6"/>
          <w:cs/>
        </w:rPr>
        <w:t>‎</w:t>
      </w:r>
      <w:r>
        <w:rPr>
          <w:rStyle w:val="aff6"/>
          <w:rtl/>
        </w:rPr>
        <w:t>נו)</w:t>
      </w:r>
      <w:r w:rsidRPr="00E17A8C">
        <w:rPr>
          <w:rStyle w:val="aff6"/>
          <w:rtl/>
        </w:rPr>
        <w:fldChar w:fldCharType="end"/>
      </w:r>
      <w:r w:rsidRPr="00E17A8C">
        <w:rPr>
          <w:rStyle w:val="aff6"/>
          <w:rFonts w:hint="cs"/>
          <w:rtl/>
        </w:rPr>
        <w:t xml:space="preserve"> </w:t>
      </w:r>
      <w:r w:rsidRPr="00E17A8C">
        <w:rPr>
          <w:rStyle w:val="affa"/>
          <w:rFonts w:hint="cs"/>
          <w:rtl/>
        </w:rPr>
        <w:t>ובתי' הב'</w:t>
      </w:r>
      <w:r w:rsidRPr="00E17A8C">
        <w:rPr>
          <w:rStyle w:val="aff6"/>
          <w:rFonts w:hint="cs"/>
          <w:rtl/>
        </w:rPr>
        <w:t xml:space="preserve"> (עי' </w:t>
      </w:r>
      <w:r w:rsidRPr="0044485A">
        <w:rPr>
          <w:rStyle w:val="aff6"/>
          <w:rFonts w:hint="cs"/>
          <w:rtl/>
        </w:rPr>
        <w:t xml:space="preserve">אות </w:t>
      </w:r>
      <w:r w:rsidRPr="0044485A">
        <w:rPr>
          <w:rStyle w:val="aff6"/>
          <w:rtl/>
        </w:rPr>
        <w:fldChar w:fldCharType="begin"/>
      </w:r>
      <w:r w:rsidRPr="0044485A">
        <w:rPr>
          <w:rStyle w:val="aff6"/>
          <w:rtl/>
        </w:rPr>
        <w:instrText xml:space="preserve"> </w:instrText>
      </w:r>
      <w:r w:rsidRPr="0044485A">
        <w:rPr>
          <w:rStyle w:val="aff6"/>
          <w:rFonts w:hint="cs"/>
        </w:rPr>
        <w:instrText>REF</w:instrText>
      </w:r>
      <w:r w:rsidRPr="0044485A">
        <w:rPr>
          <w:rStyle w:val="aff6"/>
          <w:rFonts w:hint="cs"/>
          <w:rtl/>
        </w:rPr>
        <w:instrText xml:space="preserve"> _</w:instrText>
      </w:r>
      <w:r w:rsidRPr="0044485A">
        <w:rPr>
          <w:rStyle w:val="aff6"/>
          <w:rFonts w:hint="cs"/>
        </w:rPr>
        <w:instrText>Ref63194406 \r \h</w:instrText>
      </w:r>
      <w:r w:rsidRPr="0044485A">
        <w:rPr>
          <w:rStyle w:val="aff6"/>
          <w:rtl/>
        </w:rPr>
        <w:instrText xml:space="preserve"> </w:instrText>
      </w:r>
      <w:r w:rsidRPr="0044485A">
        <w:rPr>
          <w:rStyle w:val="aff6"/>
          <w:rtl/>
        </w:rPr>
      </w:r>
      <w:r w:rsidRPr="0044485A">
        <w:rPr>
          <w:rStyle w:val="aff6"/>
          <w:rtl/>
        </w:rPr>
        <w:fldChar w:fldCharType="separate"/>
      </w:r>
      <w:r>
        <w:rPr>
          <w:rStyle w:val="aff6"/>
          <w:cs/>
        </w:rPr>
        <w:t>‎</w:t>
      </w:r>
      <w:r>
        <w:rPr>
          <w:rStyle w:val="aff6"/>
          <w:rtl/>
        </w:rPr>
        <w:t>ס)</w:t>
      </w:r>
      <w:r w:rsidRPr="0044485A">
        <w:rPr>
          <w:rStyle w:val="aff6"/>
          <w:rtl/>
        </w:rPr>
        <w:fldChar w:fldCharType="end"/>
      </w:r>
      <w:r w:rsidRPr="00D67E0D">
        <w:rPr>
          <w:rFonts w:hint="cs"/>
          <w:rtl/>
        </w:rPr>
        <w:t xml:space="preserve"> דביארו דהמיגו אינו מיגו טוב],</w:t>
      </w:r>
      <w:r>
        <w:rPr>
          <w:rFonts w:hint="cs"/>
          <w:rtl/>
        </w:rPr>
        <w:t xml:space="preserve"> אלא דבכל מיגו לא אמרינן מיגו להוציא, והא דקיי"ל כרבה בארעא דהיכא דקיימא תיקום, הוא כיון דחשיב שמעמיד את הממון ברשותו, ולכן הוא נאמן במיגו, דאינו מיגו להוציא, והמהערער הוא המוציא ועליו להביא ראיה, וכתב </w:t>
      </w:r>
      <w:r w:rsidRPr="00984DC4">
        <w:rPr>
          <w:rStyle w:val="affa"/>
          <w:rFonts w:hint="cs"/>
          <w:rtl/>
        </w:rPr>
        <w:t>הנימוק"י</w:t>
      </w:r>
      <w:r>
        <w:rPr>
          <w:rFonts w:hint="cs"/>
          <w:rtl/>
        </w:rPr>
        <w:t xml:space="preserve"> דכיון שיש ספק לגמ' אי קיי"ל כרבה או כרב יוסף לכן קיי"ל כרבה בארעא וכרב יוסף בזוזי.</w:t>
      </w:r>
    </w:p>
  </w:footnote>
  <w:footnote w:id="97">
    <w:p w:rsidR="00265073" w:rsidRDefault="00265073" w:rsidP="003B7617">
      <w:pPr>
        <w:pStyle w:val="af"/>
      </w:pPr>
      <w:r>
        <w:rPr>
          <w:rStyle w:val="af1"/>
        </w:rPr>
        <w:footnoteRef/>
      </w:r>
      <w:r>
        <w:rPr>
          <w:rtl/>
        </w:rPr>
        <w:t xml:space="preserve"> </w:t>
      </w:r>
      <w:r w:rsidRPr="004F6973">
        <w:rPr>
          <w:rStyle w:val="affa"/>
          <w:rFonts w:hint="cs"/>
          <w:rtl/>
        </w:rPr>
        <w:t>והמאירי</w:t>
      </w:r>
      <w:r>
        <w:rPr>
          <w:rFonts w:hint="cs"/>
          <w:rtl/>
        </w:rPr>
        <w:t xml:space="preserve"> </w:t>
      </w:r>
      <w:r w:rsidRPr="004F6973">
        <w:rPr>
          <w:rStyle w:val="aff6"/>
          <w:rFonts w:hint="cs"/>
          <w:rtl/>
        </w:rPr>
        <w:t>(ד"ה היה)</w:t>
      </w:r>
      <w:r>
        <w:rPr>
          <w:rFonts w:hint="cs"/>
          <w:rtl/>
        </w:rPr>
        <w:t xml:space="preserve"> כתב דאפש"ל דהגמ' בכתובות כתבה דנאמן במיגו בדרך דחיה, אעפ"י דלהלכה לא מהני מיגו בכה"ג.</w:t>
      </w:r>
    </w:p>
  </w:footnote>
  <w:footnote w:id="98">
    <w:p w:rsidR="00265073" w:rsidRDefault="00265073" w:rsidP="003B7617">
      <w:pPr>
        <w:pStyle w:val="af"/>
        <w:rPr>
          <w:rtl/>
        </w:rPr>
      </w:pPr>
      <w:r>
        <w:rPr>
          <w:rStyle w:val="af1"/>
        </w:rPr>
        <w:footnoteRef/>
      </w:r>
      <w:r>
        <w:rPr>
          <w:rtl/>
        </w:rPr>
        <w:t xml:space="preserve"> </w:t>
      </w:r>
      <w:r w:rsidRPr="00095288">
        <w:rPr>
          <w:rtl/>
        </w:rPr>
        <w:t xml:space="preserve">עי' </w:t>
      </w:r>
      <w:r w:rsidRPr="00095288">
        <w:rPr>
          <w:rStyle w:val="affa"/>
          <w:rtl/>
        </w:rPr>
        <w:t>בחי' רבי נחום</w:t>
      </w:r>
      <w:r w:rsidRPr="00095288">
        <w:rPr>
          <w:rtl/>
        </w:rPr>
        <w:t xml:space="preserve"> </w:t>
      </w:r>
      <w:r w:rsidRPr="00095288">
        <w:rPr>
          <w:rStyle w:val="aff6"/>
          <w:rtl/>
        </w:rPr>
        <w:t>(או' קנ"א ד"ה ואגב)</w:t>
      </w:r>
      <w:r w:rsidRPr="00095288">
        <w:rPr>
          <w:rtl/>
        </w:rPr>
        <w:t xml:space="preserve"> דכתב דלפי ביאור </w:t>
      </w:r>
      <w:r w:rsidRPr="00095288">
        <w:rPr>
          <w:rStyle w:val="affa"/>
          <w:rtl/>
        </w:rPr>
        <w:t>ברמב"ן</w:t>
      </w:r>
      <w:r w:rsidRPr="00095288">
        <w:rPr>
          <w:rtl/>
        </w:rPr>
        <w:t xml:space="preserve"> </w:t>
      </w:r>
      <w:r w:rsidRPr="00342601">
        <w:rPr>
          <w:rStyle w:val="aff6"/>
          <w:rFonts w:hint="cs"/>
          <w:rtl/>
        </w:rPr>
        <w:t xml:space="preserve">(עי' אות </w:t>
      </w:r>
      <w:r w:rsidRPr="00342601">
        <w:rPr>
          <w:rStyle w:val="aff6"/>
          <w:rtl/>
        </w:rPr>
        <w:fldChar w:fldCharType="begin"/>
      </w:r>
      <w:r w:rsidRPr="00342601">
        <w:rPr>
          <w:rStyle w:val="aff6"/>
          <w:rtl/>
        </w:rPr>
        <w:instrText xml:space="preserve"> </w:instrText>
      </w:r>
      <w:r w:rsidRPr="00342601">
        <w:rPr>
          <w:rStyle w:val="aff6"/>
          <w:rFonts w:hint="cs"/>
        </w:rPr>
        <w:instrText>REF</w:instrText>
      </w:r>
      <w:r w:rsidRPr="00342601">
        <w:rPr>
          <w:rStyle w:val="aff6"/>
          <w:rFonts w:hint="cs"/>
          <w:rtl/>
        </w:rPr>
        <w:instrText xml:space="preserve"> _</w:instrText>
      </w:r>
      <w:r w:rsidRPr="00342601">
        <w:rPr>
          <w:rStyle w:val="aff6"/>
          <w:rFonts w:hint="cs"/>
        </w:rPr>
        <w:instrText>Ref62760907 \r \h</w:instrText>
      </w:r>
      <w:r w:rsidRPr="00342601">
        <w:rPr>
          <w:rStyle w:val="aff6"/>
          <w:rtl/>
        </w:rPr>
        <w:instrText xml:space="preserve"> </w:instrText>
      </w:r>
      <w:r w:rsidRPr="00342601">
        <w:rPr>
          <w:rStyle w:val="aff6"/>
          <w:rtl/>
        </w:rPr>
      </w:r>
      <w:r w:rsidRPr="00342601">
        <w:rPr>
          <w:rStyle w:val="aff6"/>
          <w:rtl/>
        </w:rPr>
        <w:fldChar w:fldCharType="separate"/>
      </w:r>
      <w:r>
        <w:rPr>
          <w:rStyle w:val="aff6"/>
          <w:cs/>
        </w:rPr>
        <w:t>‎</w:t>
      </w:r>
      <w:r>
        <w:rPr>
          <w:rStyle w:val="aff6"/>
          <w:rtl/>
        </w:rPr>
        <w:t>צא)</w:t>
      </w:r>
      <w:r w:rsidRPr="00342601">
        <w:rPr>
          <w:rStyle w:val="aff6"/>
          <w:rtl/>
        </w:rPr>
        <w:fldChar w:fldCharType="end"/>
      </w:r>
      <w:r>
        <w:rPr>
          <w:rFonts w:hint="cs"/>
          <w:rtl/>
        </w:rPr>
        <w:t xml:space="preserve"> דהשטר אינו מקוים, א"כ </w:t>
      </w:r>
      <w:r w:rsidRPr="00095288">
        <w:rPr>
          <w:rtl/>
        </w:rPr>
        <w:t>איירי ד</w:t>
      </w:r>
      <w:r>
        <w:rPr>
          <w:rFonts w:hint="cs"/>
          <w:rtl/>
        </w:rPr>
        <w:t>המחזיק הודה דהוא ש</w:t>
      </w:r>
      <w:r w:rsidRPr="00095288">
        <w:rPr>
          <w:rtl/>
        </w:rPr>
        <w:t xml:space="preserve">טר אמנה, </w:t>
      </w:r>
      <w:r>
        <w:rPr>
          <w:rFonts w:hint="cs"/>
          <w:rtl/>
        </w:rPr>
        <w:t xml:space="preserve">ולא הודה שהוא מזויף, [אעפ"י דבטענת המערער ביאר </w:t>
      </w:r>
      <w:r w:rsidRPr="00342601">
        <w:rPr>
          <w:rStyle w:val="affa"/>
          <w:rFonts w:hint="cs"/>
          <w:rtl/>
        </w:rPr>
        <w:t>הרמב"ן</w:t>
      </w:r>
      <w:r>
        <w:rPr>
          <w:rFonts w:hint="cs"/>
          <w:rtl/>
        </w:rPr>
        <w:t xml:space="preserve"> </w:t>
      </w:r>
      <w:r w:rsidRPr="00342601">
        <w:rPr>
          <w:rStyle w:val="aff6"/>
          <w:rFonts w:hint="cs"/>
          <w:rtl/>
        </w:rPr>
        <w:t xml:space="preserve">(עי' אות </w:t>
      </w:r>
      <w:r w:rsidRPr="00342601">
        <w:rPr>
          <w:rStyle w:val="aff6"/>
          <w:rtl/>
        </w:rPr>
        <w:fldChar w:fldCharType="begin"/>
      </w:r>
      <w:r w:rsidRPr="00342601">
        <w:rPr>
          <w:rStyle w:val="aff6"/>
          <w:rtl/>
        </w:rPr>
        <w:instrText xml:space="preserve"> </w:instrText>
      </w:r>
      <w:r w:rsidRPr="00342601">
        <w:rPr>
          <w:rStyle w:val="aff6"/>
          <w:rFonts w:hint="cs"/>
        </w:rPr>
        <w:instrText>REF</w:instrText>
      </w:r>
      <w:r w:rsidRPr="00342601">
        <w:rPr>
          <w:rStyle w:val="aff6"/>
          <w:rFonts w:hint="cs"/>
          <w:rtl/>
        </w:rPr>
        <w:instrText xml:space="preserve"> _</w:instrText>
      </w:r>
      <w:r w:rsidRPr="00342601">
        <w:rPr>
          <w:rStyle w:val="aff6"/>
          <w:rFonts w:hint="cs"/>
        </w:rPr>
        <w:instrText>Ref62644256 \r \h</w:instrText>
      </w:r>
      <w:r w:rsidRPr="00342601">
        <w:rPr>
          <w:rStyle w:val="aff6"/>
          <w:rtl/>
        </w:rPr>
        <w:instrText xml:space="preserve"> </w:instrText>
      </w:r>
      <w:r w:rsidRPr="00342601">
        <w:rPr>
          <w:rStyle w:val="aff6"/>
          <w:rtl/>
        </w:rPr>
      </w:r>
      <w:r w:rsidRPr="00342601">
        <w:rPr>
          <w:rStyle w:val="aff6"/>
          <w:rtl/>
        </w:rPr>
        <w:fldChar w:fldCharType="separate"/>
      </w:r>
      <w:r>
        <w:rPr>
          <w:rStyle w:val="aff6"/>
          <w:cs/>
        </w:rPr>
        <w:t>‎</w:t>
      </w:r>
      <w:r>
        <w:rPr>
          <w:rStyle w:val="aff6"/>
          <w:rtl/>
        </w:rPr>
        <w:t>צ)</w:t>
      </w:r>
      <w:r w:rsidRPr="00342601">
        <w:rPr>
          <w:rStyle w:val="aff6"/>
          <w:rtl/>
        </w:rPr>
        <w:fldChar w:fldCharType="end"/>
      </w:r>
      <w:r>
        <w:rPr>
          <w:rFonts w:hint="cs"/>
          <w:rtl/>
        </w:rPr>
        <w:t xml:space="preserve"> דטען שהוא אמנה או מזויף], </w:t>
      </w:r>
      <w:r w:rsidRPr="00095288">
        <w:rPr>
          <w:rtl/>
        </w:rPr>
        <w:t>דהא לא שייך לומר דב"ד נזקקין לקיים שטר מזויף, ו</w:t>
      </w:r>
      <w:r>
        <w:rPr>
          <w:rFonts w:hint="cs"/>
          <w:rtl/>
        </w:rPr>
        <w:t xml:space="preserve">כתב </w:t>
      </w:r>
      <w:r w:rsidRPr="00095288">
        <w:rPr>
          <w:rStyle w:val="affa"/>
          <w:rtl/>
        </w:rPr>
        <w:t>בחי' רבי נחום</w:t>
      </w:r>
      <w:r w:rsidRPr="00095288">
        <w:rPr>
          <w:rtl/>
        </w:rPr>
        <w:t xml:space="preserve"> </w:t>
      </w:r>
      <w:r>
        <w:rPr>
          <w:rFonts w:hint="cs"/>
          <w:rtl/>
        </w:rPr>
        <w:t>ד</w:t>
      </w:r>
      <w:r w:rsidRPr="00095288">
        <w:rPr>
          <w:rtl/>
        </w:rPr>
        <w:t xml:space="preserve">כן משמע בלשון </w:t>
      </w:r>
      <w:r w:rsidRPr="00095288">
        <w:rPr>
          <w:rStyle w:val="affa"/>
          <w:rtl/>
        </w:rPr>
        <w:t>הרמב"ן</w:t>
      </w:r>
      <w:r w:rsidRPr="00095288">
        <w:rPr>
          <w:rtl/>
        </w:rPr>
        <w:t xml:space="preserve"> ד</w:t>
      </w:r>
      <w:r>
        <w:rPr>
          <w:rFonts w:hint="cs"/>
          <w:rtl/>
        </w:rPr>
        <w:t>ביאר את הודאת המחזיק</w:t>
      </w:r>
      <w:r w:rsidRPr="00095288">
        <w:rPr>
          <w:rtl/>
        </w:rPr>
        <w:t xml:space="preserve"> "כלומר שטר אמנה הוא", דכוונתו לומר דלביאור זה א"א לומר ד</w:t>
      </w:r>
      <w:r>
        <w:rPr>
          <w:rFonts w:hint="cs"/>
          <w:rtl/>
        </w:rPr>
        <w:t xml:space="preserve">הודה המחזיק שהוא </w:t>
      </w:r>
      <w:r w:rsidRPr="00095288">
        <w:rPr>
          <w:rtl/>
        </w:rPr>
        <w:t>מזויף.</w:t>
      </w:r>
    </w:p>
    <w:p w:rsidR="00265073" w:rsidRDefault="00265073" w:rsidP="003B7617">
      <w:pPr>
        <w:pStyle w:val="af"/>
        <w:rPr>
          <w:rtl/>
        </w:rPr>
      </w:pPr>
      <w:r>
        <w:rPr>
          <w:rFonts w:hint="cs"/>
          <w:rtl/>
        </w:rPr>
        <w:t xml:space="preserve">[וכן משמע ממה שביאר </w:t>
      </w:r>
      <w:r w:rsidRPr="005A0A58">
        <w:rPr>
          <w:rStyle w:val="affa"/>
          <w:rFonts w:hint="cs"/>
          <w:rtl/>
        </w:rPr>
        <w:t>הרמב"ן</w:t>
      </w:r>
      <w:r>
        <w:rPr>
          <w:rStyle w:val="affa"/>
          <w:rFonts w:hint="cs"/>
          <w:rtl/>
        </w:rPr>
        <w:t xml:space="preserve"> בביאורו הב'</w:t>
      </w:r>
      <w:r>
        <w:rPr>
          <w:rFonts w:hint="cs"/>
          <w:rtl/>
        </w:rPr>
        <w:t xml:space="preserve"> </w:t>
      </w:r>
      <w:r w:rsidRPr="005A0A58">
        <w:rPr>
          <w:rStyle w:val="aff6"/>
          <w:rFonts w:hint="cs"/>
          <w:rtl/>
        </w:rPr>
        <w:t xml:space="preserve">(עי' אות </w:t>
      </w:r>
      <w:r w:rsidRPr="005A0A58">
        <w:rPr>
          <w:rStyle w:val="aff6"/>
          <w:rtl/>
        </w:rPr>
        <w:fldChar w:fldCharType="begin"/>
      </w:r>
      <w:r w:rsidRPr="005A0A58">
        <w:rPr>
          <w:rStyle w:val="aff6"/>
          <w:rtl/>
        </w:rPr>
        <w:instrText xml:space="preserve"> </w:instrText>
      </w:r>
      <w:r w:rsidRPr="005A0A58">
        <w:rPr>
          <w:rStyle w:val="aff6"/>
          <w:rFonts w:hint="cs"/>
        </w:rPr>
        <w:instrText>REF</w:instrText>
      </w:r>
      <w:r w:rsidRPr="005A0A58">
        <w:rPr>
          <w:rStyle w:val="aff6"/>
          <w:rFonts w:hint="cs"/>
          <w:rtl/>
        </w:rPr>
        <w:instrText xml:space="preserve"> _</w:instrText>
      </w:r>
      <w:r w:rsidRPr="005A0A58">
        <w:rPr>
          <w:rStyle w:val="aff6"/>
          <w:rFonts w:hint="cs"/>
        </w:rPr>
        <w:instrText>Ref63237344 \r \h</w:instrText>
      </w:r>
      <w:r w:rsidRPr="005A0A58">
        <w:rPr>
          <w:rStyle w:val="aff6"/>
          <w:rtl/>
        </w:rPr>
        <w:instrText xml:space="preserve"> </w:instrText>
      </w:r>
      <w:r w:rsidRPr="005A0A58">
        <w:rPr>
          <w:rStyle w:val="aff6"/>
          <w:rtl/>
        </w:rPr>
      </w:r>
      <w:r w:rsidRPr="005A0A58">
        <w:rPr>
          <w:rStyle w:val="aff6"/>
          <w:rtl/>
        </w:rPr>
        <w:fldChar w:fldCharType="separate"/>
      </w:r>
      <w:r>
        <w:rPr>
          <w:rStyle w:val="aff6"/>
          <w:cs/>
        </w:rPr>
        <w:t>‎</w:t>
      </w:r>
      <w:r>
        <w:rPr>
          <w:rStyle w:val="aff6"/>
          <w:rtl/>
        </w:rPr>
        <w:t>צה)</w:t>
      </w:r>
      <w:r w:rsidRPr="005A0A58">
        <w:rPr>
          <w:rStyle w:val="aff6"/>
          <w:rtl/>
        </w:rPr>
        <w:fldChar w:fldCharType="end"/>
      </w:r>
      <w:r>
        <w:rPr>
          <w:rFonts w:hint="cs"/>
          <w:rtl/>
        </w:rPr>
        <w:t xml:space="preserve"> בדין פוחתת כתובתה, דבמודה שהכתובה מזויפת, אף לרבה אינה נאמנת במיגו].</w:t>
      </w:r>
    </w:p>
    <w:p w:rsidR="00265073" w:rsidRPr="007D55F8" w:rsidRDefault="00265073" w:rsidP="003B7617">
      <w:pPr>
        <w:pStyle w:val="af"/>
        <w:rPr>
          <w:rtl/>
        </w:rPr>
      </w:pPr>
      <w:r>
        <w:rPr>
          <w:rFonts w:hint="cs"/>
          <w:rtl/>
        </w:rPr>
        <w:t xml:space="preserve">ועי' בדברי </w:t>
      </w:r>
      <w:r w:rsidRPr="005A0A58">
        <w:rPr>
          <w:rStyle w:val="affa"/>
          <w:rFonts w:hint="cs"/>
          <w:rtl/>
        </w:rPr>
        <w:t xml:space="preserve">הרשב"ם </w:t>
      </w:r>
      <w:r w:rsidRPr="005A0A58">
        <w:rPr>
          <w:rStyle w:val="aff6"/>
          <w:rtl/>
        </w:rPr>
        <w:t>(ד"ה אמר)</w:t>
      </w:r>
      <w:r w:rsidRPr="007D55F8">
        <w:rPr>
          <w:rtl/>
        </w:rPr>
        <w:t xml:space="preserve"> </w:t>
      </w:r>
      <w:r>
        <w:rPr>
          <w:rFonts w:hint="cs"/>
          <w:rtl/>
        </w:rPr>
        <w:t xml:space="preserve">דביאר את </w:t>
      </w:r>
      <w:r w:rsidRPr="007D55F8">
        <w:rPr>
          <w:rtl/>
        </w:rPr>
        <w:t xml:space="preserve">טענת המערער דהשטר מזויף, </w:t>
      </w:r>
      <w:r>
        <w:rPr>
          <w:rFonts w:hint="cs"/>
          <w:rtl/>
        </w:rPr>
        <w:t xml:space="preserve">ואח"כ הביא </w:t>
      </w:r>
      <w:r w:rsidRPr="005A0A58">
        <w:rPr>
          <w:rStyle w:val="affa"/>
          <w:rFonts w:hint="cs"/>
          <w:rtl/>
        </w:rPr>
        <w:t xml:space="preserve">הרשב"ם </w:t>
      </w:r>
      <w:r>
        <w:rPr>
          <w:rFonts w:hint="cs"/>
          <w:rtl/>
        </w:rPr>
        <w:t xml:space="preserve">את ביאור </w:t>
      </w:r>
      <w:r w:rsidRPr="005A0A58">
        <w:rPr>
          <w:rStyle w:val="affa"/>
          <w:rFonts w:hint="cs"/>
          <w:rtl/>
        </w:rPr>
        <w:t xml:space="preserve">ר"ח </w:t>
      </w:r>
      <w:r>
        <w:rPr>
          <w:rFonts w:hint="cs"/>
          <w:rtl/>
        </w:rPr>
        <w:t xml:space="preserve">דהודה המחזיק שהשטר הוא אמנה, וקצת משמע מדברי </w:t>
      </w:r>
      <w:r w:rsidRPr="005A0A58">
        <w:rPr>
          <w:rStyle w:val="affa"/>
          <w:rtl/>
        </w:rPr>
        <w:t>הרשב"ם</w:t>
      </w:r>
      <w:r w:rsidRPr="007D55F8">
        <w:rPr>
          <w:rtl/>
        </w:rPr>
        <w:t xml:space="preserve"> ד</w:t>
      </w:r>
      <w:r>
        <w:rPr>
          <w:rFonts w:hint="cs"/>
          <w:rtl/>
        </w:rPr>
        <w:t xml:space="preserve">אף לדעת </w:t>
      </w:r>
      <w:r w:rsidRPr="005A0A58">
        <w:rPr>
          <w:rStyle w:val="affa"/>
          <w:rFonts w:hint="cs"/>
          <w:rtl/>
        </w:rPr>
        <w:t xml:space="preserve">ר"ח </w:t>
      </w:r>
      <w:r>
        <w:rPr>
          <w:rFonts w:hint="cs"/>
          <w:rtl/>
        </w:rPr>
        <w:t xml:space="preserve">המערער </w:t>
      </w:r>
      <w:r w:rsidRPr="007D55F8">
        <w:rPr>
          <w:rtl/>
        </w:rPr>
        <w:t>טוען שהוא מזויף ממש,</w:t>
      </w:r>
      <w:r>
        <w:rPr>
          <w:rFonts w:hint="cs"/>
          <w:rtl/>
        </w:rPr>
        <w:t xml:space="preserve"> אמנם עי' בדברי </w:t>
      </w:r>
      <w:r w:rsidRPr="005A0A58">
        <w:rPr>
          <w:rStyle w:val="affa"/>
          <w:rFonts w:hint="cs"/>
          <w:rtl/>
        </w:rPr>
        <w:t>ר"ח ורבינו יונה</w:t>
      </w:r>
      <w:r>
        <w:rPr>
          <w:rFonts w:hint="cs"/>
          <w:rtl/>
        </w:rPr>
        <w:t xml:space="preserve"> </w:t>
      </w:r>
      <w:r w:rsidRPr="005A0A58">
        <w:rPr>
          <w:rStyle w:val="aff6"/>
          <w:rFonts w:hint="cs"/>
          <w:rtl/>
        </w:rPr>
        <w:t xml:space="preserve">(עי' אות </w:t>
      </w:r>
      <w:r w:rsidRPr="005A0A58">
        <w:rPr>
          <w:rStyle w:val="aff6"/>
          <w:rtl/>
        </w:rPr>
        <w:fldChar w:fldCharType="begin"/>
      </w:r>
      <w:r w:rsidRPr="005A0A58">
        <w:rPr>
          <w:rStyle w:val="aff6"/>
          <w:rtl/>
        </w:rPr>
        <w:instrText xml:space="preserve"> </w:instrText>
      </w:r>
      <w:r w:rsidRPr="005A0A58">
        <w:rPr>
          <w:rStyle w:val="aff6"/>
          <w:rFonts w:hint="cs"/>
        </w:rPr>
        <w:instrText>REF</w:instrText>
      </w:r>
      <w:r w:rsidRPr="005A0A58">
        <w:rPr>
          <w:rStyle w:val="aff6"/>
          <w:rFonts w:hint="cs"/>
          <w:rtl/>
        </w:rPr>
        <w:instrText xml:space="preserve"> _</w:instrText>
      </w:r>
      <w:r w:rsidRPr="005A0A58">
        <w:rPr>
          <w:rStyle w:val="aff6"/>
          <w:rFonts w:hint="cs"/>
        </w:rPr>
        <w:instrText>Ref63236851 \r \h</w:instrText>
      </w:r>
      <w:r w:rsidRPr="005A0A58">
        <w:rPr>
          <w:rStyle w:val="aff6"/>
          <w:rtl/>
        </w:rPr>
        <w:instrText xml:space="preserve"> </w:instrText>
      </w:r>
      <w:r w:rsidRPr="005A0A58">
        <w:rPr>
          <w:rStyle w:val="aff6"/>
          <w:rtl/>
        </w:rPr>
      </w:r>
      <w:r w:rsidRPr="005A0A58">
        <w:rPr>
          <w:rStyle w:val="aff6"/>
          <w:rtl/>
        </w:rPr>
        <w:fldChar w:fldCharType="separate"/>
      </w:r>
      <w:r>
        <w:rPr>
          <w:rStyle w:val="aff6"/>
          <w:cs/>
        </w:rPr>
        <w:t>‎</w:t>
      </w:r>
      <w:r>
        <w:rPr>
          <w:rStyle w:val="aff6"/>
          <w:rtl/>
        </w:rPr>
        <w:t>ד)</w:t>
      </w:r>
      <w:r w:rsidRPr="005A0A58">
        <w:rPr>
          <w:rStyle w:val="aff6"/>
          <w:rtl/>
        </w:rPr>
        <w:fldChar w:fldCharType="end"/>
      </w:r>
      <w:r>
        <w:rPr>
          <w:rFonts w:hint="cs"/>
          <w:rtl/>
        </w:rPr>
        <w:t xml:space="preserve"> דכתבו דהמערער מודה שהשטר הוא אמנה.</w:t>
      </w:r>
    </w:p>
  </w:footnote>
  <w:footnote w:id="99">
    <w:p w:rsidR="00265073" w:rsidRDefault="00265073" w:rsidP="003B7617">
      <w:pPr>
        <w:pStyle w:val="af"/>
        <w:rPr>
          <w:rtl/>
        </w:rPr>
      </w:pPr>
      <w:r>
        <w:rPr>
          <w:rStyle w:val="af1"/>
        </w:rPr>
        <w:footnoteRef/>
      </w:r>
      <w:r>
        <w:rPr>
          <w:rtl/>
        </w:rPr>
        <w:t xml:space="preserve"> </w:t>
      </w:r>
      <w:r w:rsidRPr="002F31EA">
        <w:rPr>
          <w:rtl/>
        </w:rPr>
        <w:t xml:space="preserve">במ"ש </w:t>
      </w:r>
      <w:r w:rsidRPr="00032ED8">
        <w:rPr>
          <w:rStyle w:val="affa"/>
          <w:rtl/>
        </w:rPr>
        <w:t>הרשב"א</w:t>
      </w:r>
      <w:r w:rsidRPr="002F31EA">
        <w:rPr>
          <w:rtl/>
        </w:rPr>
        <w:t xml:space="preserve"> </w:t>
      </w:r>
      <w:r w:rsidRPr="00032ED8">
        <w:rPr>
          <w:rStyle w:val="aff6"/>
          <w:rtl/>
        </w:rPr>
        <w:t xml:space="preserve">(עי' אות </w:t>
      </w:r>
      <w:r w:rsidRPr="00032ED8">
        <w:rPr>
          <w:rStyle w:val="aff6"/>
          <w:rtl/>
        </w:rPr>
        <w:fldChar w:fldCharType="begin"/>
      </w:r>
      <w:r w:rsidRPr="00032ED8">
        <w:rPr>
          <w:rStyle w:val="aff6"/>
          <w:rtl/>
        </w:rPr>
        <w:instrText xml:space="preserve"> </w:instrText>
      </w:r>
      <w:r w:rsidRPr="00032ED8">
        <w:rPr>
          <w:rStyle w:val="aff6"/>
        </w:rPr>
        <w:instrText>REF</w:instrText>
      </w:r>
      <w:r w:rsidRPr="00032ED8">
        <w:rPr>
          <w:rStyle w:val="aff6"/>
          <w:rtl/>
        </w:rPr>
        <w:instrText xml:space="preserve"> _</w:instrText>
      </w:r>
      <w:r w:rsidRPr="00032ED8">
        <w:rPr>
          <w:rStyle w:val="aff6"/>
        </w:rPr>
        <w:instrText>Ref62678589 \r \h</w:instrText>
      </w:r>
      <w:r w:rsidRPr="00032ED8">
        <w:rPr>
          <w:rStyle w:val="aff6"/>
          <w:rtl/>
        </w:rPr>
        <w:instrText xml:space="preserve"> </w:instrText>
      </w:r>
      <w:r w:rsidRPr="00032ED8">
        <w:rPr>
          <w:rStyle w:val="aff6"/>
          <w:rtl/>
        </w:rPr>
      </w:r>
      <w:r w:rsidRPr="00032ED8">
        <w:rPr>
          <w:rStyle w:val="aff6"/>
          <w:rtl/>
        </w:rPr>
        <w:fldChar w:fldCharType="separate"/>
      </w:r>
      <w:r>
        <w:rPr>
          <w:rStyle w:val="aff6"/>
          <w:cs/>
        </w:rPr>
        <w:t>‎</w:t>
      </w:r>
      <w:r>
        <w:rPr>
          <w:rStyle w:val="aff6"/>
          <w:rtl/>
        </w:rPr>
        <w:t>צג)</w:t>
      </w:r>
      <w:r w:rsidRPr="00032ED8">
        <w:rPr>
          <w:rStyle w:val="aff6"/>
          <w:rtl/>
        </w:rPr>
        <w:fldChar w:fldCharType="end"/>
      </w:r>
      <w:r w:rsidRPr="002F31EA">
        <w:rPr>
          <w:rtl/>
        </w:rPr>
        <w:t xml:space="preserve"> דהא תניא בתוספתא </w:t>
      </w:r>
      <w:r w:rsidRPr="00032ED8">
        <w:rPr>
          <w:rStyle w:val="aff6"/>
          <w:rtl/>
        </w:rPr>
        <w:t>(פ"ב ה"א)</w:t>
      </w:r>
      <w:r w:rsidRPr="002F31EA">
        <w:rPr>
          <w:rtl/>
        </w:rPr>
        <w:t xml:space="preserve"> דהמחזיק בשדה מכח שטר, ובטל השטר, בטלה חזקתו אף שיש לו חזקת ג"ש, איירי שהשטר נפסל בעדים, ולכן אינו נאמן במיגו, דהוא מיגו במקום עדים, אבל הכא שהשטר נפסל מכח הודאתו, נאמן במיגו, הקשה </w:t>
      </w:r>
      <w:r w:rsidRPr="00032ED8">
        <w:rPr>
          <w:rStyle w:val="affa"/>
          <w:rtl/>
        </w:rPr>
        <w:t>בחי' רבי נחום</w:t>
      </w:r>
      <w:r w:rsidRPr="002F31EA">
        <w:rPr>
          <w:rtl/>
        </w:rPr>
        <w:t xml:space="preserve"> </w:t>
      </w:r>
      <w:r w:rsidRPr="00032ED8">
        <w:rPr>
          <w:rStyle w:val="aff6"/>
          <w:rtl/>
        </w:rPr>
        <w:t>(או' קמ"ג ד"ה וכעין)</w:t>
      </w:r>
      <w:r w:rsidRPr="002F31EA">
        <w:rPr>
          <w:rtl/>
        </w:rPr>
        <w:t xml:space="preserve"> על דלא דמי למיגו במקום עדים, דבמיגו במקום עדים אינו נאמן בטענה שטוען עכשיו, אבל הכא הודה על טענת המיגו דהשטר פסול, אבל אין בהודאתו כל סתירה למה שטוען עכשיו שהיה לו שטר ואבד</w:t>
      </w:r>
      <w:r>
        <w:rPr>
          <w:rFonts w:hint="cs"/>
          <w:rtl/>
        </w:rPr>
        <w:t>.</w:t>
      </w:r>
    </w:p>
    <w:p w:rsidR="00265073" w:rsidRDefault="00265073" w:rsidP="003B7617">
      <w:pPr>
        <w:pStyle w:val="af"/>
      </w:pPr>
      <w:r w:rsidRPr="002F31EA">
        <w:rPr>
          <w:rtl/>
        </w:rPr>
        <w:t xml:space="preserve">וכתב </w:t>
      </w:r>
      <w:r w:rsidRPr="00032ED8">
        <w:rPr>
          <w:rStyle w:val="affa"/>
          <w:rtl/>
        </w:rPr>
        <w:t>בחי' רבי נחום</w:t>
      </w:r>
      <w:r w:rsidRPr="002F31EA">
        <w:rPr>
          <w:rtl/>
        </w:rPr>
        <w:t xml:space="preserve"> דאפש"ל דכוונת </w:t>
      </w:r>
      <w:r w:rsidRPr="00032ED8">
        <w:rPr>
          <w:rStyle w:val="affa"/>
          <w:rtl/>
        </w:rPr>
        <w:t>הרשב"א</w:t>
      </w:r>
      <w:r w:rsidRPr="002F31EA">
        <w:rPr>
          <w:rtl/>
        </w:rPr>
        <w:t xml:space="preserve"> כדברי </w:t>
      </w:r>
      <w:r w:rsidRPr="003E6212">
        <w:rPr>
          <w:rStyle w:val="affa"/>
          <w:rFonts w:hint="cs"/>
          <w:rtl/>
        </w:rPr>
        <w:t>הרא"ש</w:t>
      </w:r>
      <w:r w:rsidRPr="00B60BBC">
        <w:rPr>
          <w:rStyle w:val="afb"/>
          <w:rFonts w:hint="cs"/>
          <w:rtl/>
        </w:rPr>
        <w:t xml:space="preserve"> </w:t>
      </w:r>
      <w:r w:rsidRPr="002138DC">
        <w:rPr>
          <w:rStyle w:val="aff6"/>
          <w:rFonts w:hint="cs"/>
          <w:rtl/>
        </w:rPr>
        <w:t xml:space="preserve">(עי' אות </w:t>
      </w:r>
      <w:r w:rsidRPr="002138DC">
        <w:rPr>
          <w:rStyle w:val="aff6"/>
          <w:rtl/>
        </w:rPr>
        <w:fldChar w:fldCharType="begin"/>
      </w:r>
      <w:r w:rsidRPr="002138DC">
        <w:rPr>
          <w:rStyle w:val="aff6"/>
          <w:rtl/>
        </w:rPr>
        <w:instrText xml:space="preserve"> </w:instrText>
      </w:r>
      <w:r w:rsidRPr="002138DC">
        <w:rPr>
          <w:rStyle w:val="aff6"/>
          <w:rFonts w:hint="cs"/>
        </w:rPr>
        <w:instrText>REF</w:instrText>
      </w:r>
      <w:r w:rsidRPr="002138DC">
        <w:rPr>
          <w:rStyle w:val="aff6"/>
          <w:rFonts w:hint="cs"/>
          <w:rtl/>
        </w:rPr>
        <w:instrText xml:space="preserve"> _</w:instrText>
      </w:r>
      <w:r w:rsidRPr="002138DC">
        <w:rPr>
          <w:rStyle w:val="aff6"/>
          <w:rFonts w:hint="cs"/>
        </w:rPr>
        <w:instrText>Ref62760413 \r \h</w:instrText>
      </w:r>
      <w:r w:rsidRPr="002138DC">
        <w:rPr>
          <w:rStyle w:val="aff6"/>
          <w:rtl/>
        </w:rPr>
        <w:instrText xml:space="preserve"> </w:instrText>
      </w:r>
      <w:r w:rsidRPr="002138DC">
        <w:rPr>
          <w:rStyle w:val="aff6"/>
          <w:rtl/>
        </w:rPr>
      </w:r>
      <w:r w:rsidRPr="002138DC">
        <w:rPr>
          <w:rStyle w:val="aff6"/>
          <w:rtl/>
        </w:rPr>
        <w:fldChar w:fldCharType="separate"/>
      </w:r>
      <w:r>
        <w:rPr>
          <w:rStyle w:val="aff6"/>
          <w:cs/>
        </w:rPr>
        <w:t>‎</w:t>
      </w:r>
      <w:r>
        <w:rPr>
          <w:rStyle w:val="aff6"/>
          <w:rtl/>
        </w:rPr>
        <w:t>לא)</w:t>
      </w:r>
      <w:r w:rsidRPr="002138DC">
        <w:rPr>
          <w:rStyle w:val="aff6"/>
          <w:rtl/>
        </w:rPr>
        <w:fldChar w:fldCharType="end"/>
      </w:r>
      <w:r>
        <w:rPr>
          <w:rStyle w:val="afb"/>
          <w:rFonts w:hint="cs"/>
          <w:rtl/>
        </w:rPr>
        <w:t xml:space="preserve"> </w:t>
      </w:r>
      <w:r w:rsidRPr="002F31EA">
        <w:rPr>
          <w:rtl/>
        </w:rPr>
        <w:t xml:space="preserve">דטענת מינך זבינתה היא אותה טענה עם מה טענת והא שטרא, וכדביאר </w:t>
      </w:r>
      <w:r w:rsidRPr="00032ED8">
        <w:rPr>
          <w:rStyle w:val="affa"/>
          <w:rtl/>
        </w:rPr>
        <w:t>בחי' רבי נחום</w:t>
      </w:r>
      <w:r w:rsidRPr="002F31EA">
        <w:rPr>
          <w:rtl/>
        </w:rPr>
        <w:t xml:space="preserve"> </w:t>
      </w:r>
      <w:r w:rsidRPr="005203BD">
        <w:rPr>
          <w:rStyle w:val="aff6"/>
          <w:rFonts w:hint="cs"/>
          <w:rtl/>
        </w:rPr>
        <w:t xml:space="preserve">(עי' אות </w:t>
      </w:r>
      <w:r w:rsidRPr="005203BD">
        <w:rPr>
          <w:rStyle w:val="aff6"/>
          <w:rtl/>
        </w:rPr>
        <w:fldChar w:fldCharType="begin"/>
      </w:r>
      <w:r w:rsidRPr="005203BD">
        <w:rPr>
          <w:rStyle w:val="aff6"/>
          <w:rtl/>
        </w:rPr>
        <w:instrText xml:space="preserve"> </w:instrText>
      </w:r>
      <w:r w:rsidRPr="005203BD">
        <w:rPr>
          <w:rStyle w:val="aff6"/>
          <w:rFonts w:hint="cs"/>
        </w:rPr>
        <w:instrText>REF</w:instrText>
      </w:r>
      <w:r w:rsidRPr="005203BD">
        <w:rPr>
          <w:rStyle w:val="aff6"/>
          <w:rFonts w:hint="cs"/>
          <w:rtl/>
        </w:rPr>
        <w:instrText xml:space="preserve"> _</w:instrText>
      </w:r>
      <w:r w:rsidRPr="005203BD">
        <w:rPr>
          <w:rStyle w:val="aff6"/>
          <w:rFonts w:hint="cs"/>
        </w:rPr>
        <w:instrText>Ref63180322 \r \h</w:instrText>
      </w:r>
      <w:r w:rsidRPr="005203BD">
        <w:rPr>
          <w:rStyle w:val="aff6"/>
          <w:rtl/>
        </w:rPr>
        <w:instrText xml:space="preserve"> </w:instrText>
      </w:r>
      <w:r w:rsidRPr="005203BD">
        <w:rPr>
          <w:rStyle w:val="aff6"/>
          <w:rtl/>
        </w:rPr>
      </w:r>
      <w:r w:rsidRPr="005203BD">
        <w:rPr>
          <w:rStyle w:val="aff6"/>
          <w:rtl/>
        </w:rPr>
        <w:fldChar w:fldCharType="separate"/>
      </w:r>
      <w:r>
        <w:rPr>
          <w:rStyle w:val="aff6"/>
          <w:cs/>
        </w:rPr>
        <w:t>‎</w:t>
      </w:r>
      <w:r>
        <w:rPr>
          <w:rStyle w:val="aff6"/>
          <w:rtl/>
        </w:rPr>
        <w:t>קיב)</w:t>
      </w:r>
      <w:r w:rsidRPr="005203BD">
        <w:rPr>
          <w:rStyle w:val="aff6"/>
          <w:rtl/>
        </w:rPr>
        <w:fldChar w:fldCharType="end"/>
      </w:r>
      <w:r w:rsidRPr="005203BD">
        <w:rPr>
          <w:rStyle w:val="aff6"/>
          <w:rFonts w:hint="cs"/>
          <w:rtl/>
        </w:rPr>
        <w:t xml:space="preserve"> </w:t>
      </w:r>
      <w:r w:rsidRPr="002F31EA">
        <w:rPr>
          <w:rtl/>
        </w:rPr>
        <w:t xml:space="preserve">דהטענה הראשונה בטלה לגמרי, וחשיב שלא טען כלל, ודמי למיגו במקום עדים, ותירץ </w:t>
      </w:r>
      <w:r w:rsidRPr="00032ED8">
        <w:rPr>
          <w:rStyle w:val="affa"/>
          <w:rtl/>
        </w:rPr>
        <w:t>הרשב"א</w:t>
      </w:r>
      <w:r w:rsidRPr="002F31EA">
        <w:rPr>
          <w:rtl/>
        </w:rPr>
        <w:t xml:space="preserve"> דהודאתו אינה כמיגו במקום עדים ממש.</w:t>
      </w:r>
    </w:p>
  </w:footnote>
  <w:footnote w:id="100">
    <w:p w:rsidR="00265073" w:rsidRDefault="00265073" w:rsidP="003B7617">
      <w:pPr>
        <w:pStyle w:val="af"/>
      </w:pPr>
      <w:r>
        <w:rPr>
          <w:rStyle w:val="af1"/>
        </w:rPr>
        <w:footnoteRef/>
      </w:r>
      <w:r>
        <w:rPr>
          <w:rtl/>
        </w:rPr>
        <w:t xml:space="preserve"> </w:t>
      </w:r>
      <w:r w:rsidRPr="0075672B">
        <w:rPr>
          <w:rStyle w:val="afb"/>
          <w:rFonts w:hint="cs"/>
          <w:rtl/>
        </w:rPr>
        <w:t xml:space="preserve">וכתב </w:t>
      </w:r>
      <w:r w:rsidRPr="00957244">
        <w:rPr>
          <w:rStyle w:val="affa"/>
          <w:rFonts w:hint="cs"/>
          <w:rtl/>
        </w:rPr>
        <w:t>בחי' רבי נחום</w:t>
      </w:r>
      <w:r w:rsidRPr="0075672B">
        <w:rPr>
          <w:rStyle w:val="afb"/>
          <w:rFonts w:hint="cs"/>
          <w:rtl/>
        </w:rPr>
        <w:t xml:space="preserve"> דלפי"ז רבה ורב יוסף נחלקו באותם הסברות דנחלקו רבה ואביי בגמ' לעיל </w:t>
      </w:r>
      <w:r w:rsidRPr="0075672B">
        <w:rPr>
          <w:rStyle w:val="aff6"/>
          <w:rFonts w:hint="cs"/>
          <w:rtl/>
        </w:rPr>
        <w:t>(לא.)</w:t>
      </w:r>
      <w:r w:rsidRPr="0075672B">
        <w:rPr>
          <w:rStyle w:val="afb"/>
          <w:rFonts w:hint="cs"/>
          <w:rtl/>
        </w:rPr>
        <w:t xml:space="preserve"> בדין מיגו במקום עדים, ורבה לשיטתו דמהני מיגו במקום עדים, וה"ה הכא חשיב שטענתו הראשונה היא טענה, ונאמן לחזור ולפרשה</w:t>
      </w:r>
      <w:r>
        <w:rPr>
          <w:rStyle w:val="afb"/>
          <w:rFonts w:hint="cs"/>
          <w:rtl/>
        </w:rPr>
        <w:t>.</w:t>
      </w:r>
    </w:p>
  </w:footnote>
  <w:footnote w:id="101">
    <w:p w:rsidR="00265073" w:rsidRDefault="00265073" w:rsidP="003B7617">
      <w:pPr>
        <w:pStyle w:val="af"/>
      </w:pPr>
      <w:r>
        <w:rPr>
          <w:rStyle w:val="af1"/>
        </w:rPr>
        <w:footnoteRef/>
      </w:r>
      <w:r>
        <w:rPr>
          <w:rtl/>
        </w:rPr>
        <w:t xml:space="preserve"> </w:t>
      </w:r>
      <w:r w:rsidRPr="00E675F1">
        <w:rPr>
          <w:rStyle w:val="afb"/>
          <w:rFonts w:hint="cs"/>
          <w:rtl/>
        </w:rPr>
        <w:t xml:space="preserve">ולפי"ז תירץ </w:t>
      </w:r>
      <w:r w:rsidRPr="00E675F1">
        <w:rPr>
          <w:rStyle w:val="affa"/>
          <w:rFonts w:hint="cs"/>
          <w:rtl/>
        </w:rPr>
        <w:t>בחי' רבי נחום</w:t>
      </w:r>
      <w:r w:rsidRPr="00E675F1">
        <w:rPr>
          <w:rStyle w:val="afb"/>
          <w:rFonts w:hint="cs"/>
          <w:rtl/>
        </w:rPr>
        <w:t xml:space="preserve"> </w:t>
      </w:r>
      <w:r w:rsidRPr="00E675F1">
        <w:rPr>
          <w:rStyle w:val="aff6"/>
          <w:rFonts w:hint="cs"/>
          <w:rtl/>
        </w:rPr>
        <w:t xml:space="preserve">(או' קמ"ה ד"ה והנה) </w:t>
      </w:r>
      <w:r w:rsidRPr="00E675F1">
        <w:rPr>
          <w:rStyle w:val="afb"/>
          <w:rFonts w:hint="cs"/>
          <w:rtl/>
        </w:rPr>
        <w:t xml:space="preserve">את קושית </w:t>
      </w:r>
      <w:r w:rsidRPr="00E675F1">
        <w:rPr>
          <w:rStyle w:val="affa"/>
          <w:rFonts w:hint="cs"/>
          <w:rtl/>
        </w:rPr>
        <w:t>ר"י</w:t>
      </w:r>
      <w:r w:rsidRPr="00E675F1">
        <w:rPr>
          <w:rStyle w:val="afb"/>
          <w:rFonts w:hint="cs"/>
          <w:rtl/>
        </w:rPr>
        <w:t xml:space="preserve"> </w:t>
      </w:r>
      <w:r w:rsidRPr="00E675F1">
        <w:rPr>
          <w:rStyle w:val="aff6"/>
          <w:rFonts w:hint="cs"/>
          <w:rtl/>
        </w:rPr>
        <w:t xml:space="preserve">(עי' אות </w:t>
      </w:r>
      <w:r w:rsidRPr="00E675F1">
        <w:rPr>
          <w:rStyle w:val="aff6"/>
          <w:rtl/>
        </w:rPr>
        <w:fldChar w:fldCharType="begin"/>
      </w:r>
      <w:r w:rsidRPr="00E675F1">
        <w:rPr>
          <w:rStyle w:val="aff6"/>
          <w:rtl/>
        </w:rPr>
        <w:instrText xml:space="preserve"> </w:instrText>
      </w:r>
      <w:r w:rsidRPr="00E675F1">
        <w:rPr>
          <w:rStyle w:val="aff6"/>
          <w:rFonts w:hint="cs"/>
        </w:rPr>
        <w:instrText>REF</w:instrText>
      </w:r>
      <w:r w:rsidRPr="00E675F1">
        <w:rPr>
          <w:rStyle w:val="aff6"/>
          <w:rFonts w:hint="cs"/>
          <w:rtl/>
        </w:rPr>
        <w:instrText xml:space="preserve"> _</w:instrText>
      </w:r>
      <w:r w:rsidRPr="00E675F1">
        <w:rPr>
          <w:rStyle w:val="aff6"/>
          <w:rFonts w:hint="cs"/>
        </w:rPr>
        <w:instrText>Ref63245664 \r \h</w:instrText>
      </w:r>
      <w:r w:rsidRPr="00E675F1">
        <w:rPr>
          <w:rStyle w:val="aff6"/>
          <w:rtl/>
        </w:rPr>
        <w:instrText xml:space="preserve"> </w:instrText>
      </w:r>
      <w:r w:rsidRPr="00E675F1">
        <w:rPr>
          <w:rStyle w:val="aff6"/>
          <w:rtl/>
        </w:rPr>
      </w:r>
      <w:r w:rsidRPr="00E675F1">
        <w:rPr>
          <w:rStyle w:val="aff6"/>
          <w:rtl/>
        </w:rPr>
        <w:fldChar w:fldCharType="separate"/>
      </w:r>
      <w:r>
        <w:rPr>
          <w:rStyle w:val="aff6"/>
          <w:cs/>
        </w:rPr>
        <w:t>‎</w:t>
      </w:r>
      <w:r>
        <w:rPr>
          <w:rStyle w:val="aff6"/>
          <w:rtl/>
        </w:rPr>
        <w:t>ע)</w:t>
      </w:r>
      <w:r w:rsidRPr="00E675F1">
        <w:rPr>
          <w:rStyle w:val="aff6"/>
          <w:rtl/>
        </w:rPr>
        <w:fldChar w:fldCharType="end"/>
      </w:r>
      <w:r w:rsidRPr="00E675F1">
        <w:rPr>
          <w:rStyle w:val="afb"/>
          <w:rFonts w:hint="cs"/>
          <w:rtl/>
        </w:rPr>
        <w:t xml:space="preserve"> על </w:t>
      </w:r>
      <w:r w:rsidRPr="00E675F1">
        <w:rPr>
          <w:rStyle w:val="affa"/>
          <w:rFonts w:hint="cs"/>
          <w:rtl/>
        </w:rPr>
        <w:t>הריב"ם</w:t>
      </w:r>
      <w:r w:rsidRPr="00E675F1">
        <w:rPr>
          <w:rStyle w:val="afb"/>
          <w:rFonts w:hint="cs"/>
          <w:rtl/>
        </w:rPr>
        <w:t xml:space="preserve"> דמדלא פירשה הגמ' בהדיא דאינו נאמן מחמת דהוא מיגו להוציא משמע שאי"ז סברת רב יוסף, דאין כוונת </w:t>
      </w:r>
      <w:r w:rsidRPr="00E675F1">
        <w:rPr>
          <w:rStyle w:val="affa"/>
          <w:rFonts w:hint="cs"/>
          <w:rtl/>
        </w:rPr>
        <w:t>הריב"ם</w:t>
      </w:r>
      <w:r w:rsidRPr="00E675F1">
        <w:rPr>
          <w:rStyle w:val="afb"/>
          <w:rFonts w:hint="cs"/>
          <w:rtl/>
        </w:rPr>
        <w:t xml:space="preserve"> לבאר את קושית רב יוסף על רבה, דאף לדעת </w:t>
      </w:r>
      <w:r w:rsidRPr="00E675F1">
        <w:rPr>
          <w:rStyle w:val="affa"/>
          <w:rFonts w:hint="cs"/>
          <w:rtl/>
        </w:rPr>
        <w:t>הריב"ם</w:t>
      </w:r>
      <w:r w:rsidRPr="00E675F1">
        <w:rPr>
          <w:rStyle w:val="afb"/>
          <w:rFonts w:hint="cs"/>
          <w:rtl/>
        </w:rPr>
        <w:t xml:space="preserve"> כוונת רב יוסף להקשות דלא מהני לו מיגו, כיון שאין לו את כח הטענה של השטר, אחר שהודה דהוא חספא בעלמא, אלא כוונת </w:t>
      </w:r>
      <w:r w:rsidRPr="00E675F1">
        <w:rPr>
          <w:rStyle w:val="affa"/>
          <w:rFonts w:hint="cs"/>
          <w:rtl/>
        </w:rPr>
        <w:t>הריב"ם</w:t>
      </w:r>
      <w:r w:rsidRPr="00E675F1">
        <w:rPr>
          <w:rStyle w:val="afb"/>
          <w:rFonts w:hint="cs"/>
          <w:rtl/>
        </w:rPr>
        <w:t xml:space="preserve"> לתרץ דלא מהני מיגו מדין מה לי לשקר, כיון שהוא מיגו להוציא.</w:t>
      </w:r>
    </w:p>
  </w:footnote>
  <w:footnote w:id="102">
    <w:p w:rsidR="00265073" w:rsidRDefault="00265073" w:rsidP="00F4065E">
      <w:pPr>
        <w:pStyle w:val="af"/>
        <w:rPr>
          <w:rtl/>
        </w:rPr>
      </w:pPr>
      <w:r>
        <w:rPr>
          <w:rStyle w:val="af1"/>
        </w:rPr>
        <w:footnoteRef/>
      </w:r>
      <w:r>
        <w:rPr>
          <w:rtl/>
        </w:rPr>
        <w:t xml:space="preserve"> </w:t>
      </w:r>
      <w:r w:rsidRPr="00292E95">
        <w:rPr>
          <w:rStyle w:val="afb"/>
          <w:rFonts w:hint="cs"/>
          <w:rtl/>
        </w:rPr>
        <w:t xml:space="preserve">והוסיפו </w:t>
      </w:r>
      <w:r w:rsidRPr="00292E95">
        <w:rPr>
          <w:rStyle w:val="affa"/>
          <w:rFonts w:hint="cs"/>
          <w:rtl/>
        </w:rPr>
        <w:t>התוס' והרא"ש</w:t>
      </w:r>
      <w:r w:rsidRPr="00292E95">
        <w:rPr>
          <w:rStyle w:val="afb"/>
          <w:rFonts w:hint="cs"/>
          <w:rtl/>
        </w:rPr>
        <w:t xml:space="preserve"> </w:t>
      </w:r>
      <w:r w:rsidRPr="00292E95">
        <w:rPr>
          <w:rStyle w:val="aff6"/>
          <w:rFonts w:hint="cs"/>
          <w:rtl/>
        </w:rPr>
        <w:t xml:space="preserve">(סי' י"ז) </w:t>
      </w:r>
      <w:r w:rsidRPr="00292E95">
        <w:rPr>
          <w:rStyle w:val="afb"/>
          <w:rFonts w:hint="cs"/>
          <w:rtl/>
        </w:rPr>
        <w:t>דס"ל ל</w:t>
      </w:r>
      <w:r>
        <w:rPr>
          <w:rStyle w:val="afb"/>
          <w:rFonts w:hint="cs"/>
          <w:rtl/>
        </w:rPr>
        <w:t xml:space="preserve">רבא </w:t>
      </w:r>
      <w:r w:rsidRPr="00292E95">
        <w:rPr>
          <w:rStyle w:val="afb"/>
          <w:rFonts w:hint="cs"/>
          <w:rtl/>
        </w:rPr>
        <w:t xml:space="preserve">בר שרשום כר"ה בריה דר"י לקמן </w:t>
      </w:r>
      <w:r w:rsidRPr="00292E95">
        <w:rPr>
          <w:rStyle w:val="aff6"/>
          <w:rFonts w:hint="cs"/>
          <w:rtl/>
        </w:rPr>
        <w:t xml:space="preserve">(קעד.) </w:t>
      </w:r>
      <w:r w:rsidRPr="00292E95">
        <w:rPr>
          <w:rStyle w:val="afb"/>
          <w:rFonts w:hint="cs"/>
          <w:rtl/>
        </w:rPr>
        <w:t xml:space="preserve">דאין נזקקין לנכסי יתומים משום צררי, [וכ"כ </w:t>
      </w:r>
      <w:r w:rsidRPr="00292E95">
        <w:rPr>
          <w:rStyle w:val="affa"/>
          <w:rFonts w:hint="cs"/>
          <w:rtl/>
        </w:rPr>
        <w:t>הרמב"ן</w:t>
      </w:r>
      <w:r w:rsidRPr="00292E95">
        <w:rPr>
          <w:rStyle w:val="afb"/>
          <w:rFonts w:hint="cs"/>
          <w:rtl/>
        </w:rPr>
        <w:t xml:space="preserve"> </w:t>
      </w:r>
      <w:r w:rsidRPr="00292E95">
        <w:rPr>
          <w:rStyle w:val="aff6"/>
          <w:rFonts w:hint="cs"/>
          <w:rtl/>
        </w:rPr>
        <w:t xml:space="preserve">(עי' אות </w:t>
      </w:r>
      <w:r w:rsidRPr="00292E95">
        <w:rPr>
          <w:rStyle w:val="aff6"/>
          <w:rtl/>
        </w:rPr>
        <w:fldChar w:fldCharType="begin"/>
      </w:r>
      <w:r w:rsidRPr="00292E95">
        <w:rPr>
          <w:rStyle w:val="aff6"/>
          <w:rtl/>
        </w:rPr>
        <w:instrText xml:space="preserve"> </w:instrText>
      </w:r>
      <w:r w:rsidRPr="00292E95">
        <w:rPr>
          <w:rStyle w:val="aff6"/>
          <w:rFonts w:hint="cs"/>
        </w:rPr>
        <w:instrText>REF</w:instrText>
      </w:r>
      <w:r w:rsidRPr="00292E95">
        <w:rPr>
          <w:rStyle w:val="aff6"/>
          <w:rFonts w:hint="cs"/>
          <w:rtl/>
        </w:rPr>
        <w:instrText xml:space="preserve"> _</w:instrText>
      </w:r>
      <w:r w:rsidRPr="00292E95">
        <w:rPr>
          <w:rStyle w:val="aff6"/>
          <w:rFonts w:hint="cs"/>
        </w:rPr>
        <w:instrText>Ref63676244 \r \h</w:instrText>
      </w:r>
      <w:r w:rsidRPr="00292E95">
        <w:rPr>
          <w:rStyle w:val="aff6"/>
          <w:rtl/>
        </w:rPr>
        <w:instrText xml:space="preserve"> </w:instrText>
      </w:r>
      <w:r w:rsidRPr="00292E95">
        <w:rPr>
          <w:rStyle w:val="aff6"/>
          <w:rtl/>
        </w:rPr>
      </w:r>
      <w:r w:rsidRPr="00292E95">
        <w:rPr>
          <w:rStyle w:val="aff6"/>
          <w:rtl/>
        </w:rPr>
        <w:fldChar w:fldCharType="separate"/>
      </w:r>
      <w:r>
        <w:rPr>
          <w:rStyle w:val="aff6"/>
          <w:cs/>
        </w:rPr>
        <w:t>‎</w:t>
      </w:r>
      <w:r>
        <w:rPr>
          <w:rStyle w:val="aff6"/>
          <w:rtl/>
        </w:rPr>
        <w:t>קא)</w:t>
      </w:r>
      <w:r w:rsidRPr="00292E95">
        <w:rPr>
          <w:rStyle w:val="aff6"/>
          <w:rtl/>
        </w:rPr>
        <w:fldChar w:fldCharType="end"/>
      </w:r>
      <w:r w:rsidRPr="00292E95">
        <w:rPr>
          <w:rStyle w:val="afb"/>
          <w:rFonts w:hint="cs"/>
          <w:rtl/>
        </w:rPr>
        <w:t>], דהא אי ס"ל כר"פ דפריעת בע"ח מצוה ואינם בני מצוה, א"כ אף כשיש לו ראיה מכח המיגו, אינו יכול לעכב את הקרקע בידו לגבות את החוב, דהא אינם מחוייבים במצות הפרעון</w:t>
      </w:r>
      <w:r>
        <w:rPr>
          <w:rStyle w:val="afb"/>
          <w:rFonts w:hint="cs"/>
          <w:rtl/>
        </w:rPr>
        <w:t>.</w:t>
      </w:r>
    </w:p>
  </w:footnote>
  <w:footnote w:id="103">
    <w:p w:rsidR="00265073" w:rsidRDefault="00265073" w:rsidP="00F4065E">
      <w:pPr>
        <w:pStyle w:val="af"/>
      </w:pPr>
      <w:r>
        <w:rPr>
          <w:rStyle w:val="af1"/>
        </w:rPr>
        <w:footnoteRef/>
      </w:r>
      <w:r>
        <w:rPr>
          <w:rtl/>
        </w:rPr>
        <w:t xml:space="preserve"> </w:t>
      </w:r>
      <w:r w:rsidRPr="00D404F0">
        <w:rPr>
          <w:rStyle w:val="afb"/>
          <w:rFonts w:hint="cs"/>
          <w:rtl/>
        </w:rPr>
        <w:t xml:space="preserve">אך כתב </w:t>
      </w:r>
      <w:r w:rsidRPr="00181401">
        <w:rPr>
          <w:rStyle w:val="affa"/>
          <w:rFonts w:hint="cs"/>
          <w:rtl/>
        </w:rPr>
        <w:t>רבינו יונה</w:t>
      </w:r>
      <w:r w:rsidRPr="00D404F0">
        <w:rPr>
          <w:rStyle w:val="afb"/>
          <w:rFonts w:hint="cs"/>
          <w:rtl/>
        </w:rPr>
        <w:t xml:space="preserve"> דהיורד לקרקע במשכון וטוען שיש לו עוד כמה שנים שהוא צריך לאוכלה במשכון, ואין לו שטר על זה, דהוא נאמן במיגו דלקוחה היא בידי, והוסיף </w:t>
      </w:r>
      <w:r w:rsidRPr="00181401">
        <w:rPr>
          <w:rStyle w:val="affa"/>
          <w:rFonts w:hint="cs"/>
          <w:rtl/>
        </w:rPr>
        <w:t>רבינו יונה</w:t>
      </w:r>
      <w:r w:rsidRPr="00D404F0">
        <w:rPr>
          <w:rStyle w:val="afb"/>
          <w:rFonts w:hint="cs"/>
          <w:rtl/>
        </w:rPr>
        <w:t xml:space="preserve"> </w:t>
      </w:r>
      <w:r w:rsidRPr="00181401">
        <w:rPr>
          <w:rStyle w:val="aff6"/>
          <w:rFonts w:hint="cs"/>
          <w:rtl/>
        </w:rPr>
        <w:t>(סוד"ה עלה</w:t>
      </w:r>
      <w:r w:rsidRPr="00D404F0">
        <w:rPr>
          <w:rStyle w:val="afb"/>
          <w:rFonts w:hint="cs"/>
          <w:rtl/>
        </w:rPr>
        <w:t xml:space="preserve"> </w:t>
      </w:r>
      <w:r w:rsidRPr="00181401">
        <w:rPr>
          <w:rStyle w:val="aff6"/>
          <w:rFonts w:hint="cs"/>
          <w:rtl/>
        </w:rPr>
        <w:t>בידינו)</w:t>
      </w:r>
      <w:r w:rsidRPr="00D404F0">
        <w:rPr>
          <w:rStyle w:val="afb"/>
          <w:rFonts w:hint="cs"/>
          <w:rtl/>
        </w:rPr>
        <w:t xml:space="preserve"> דלא חשיב כמוציא ממו</w:t>
      </w:r>
      <w:r>
        <w:rPr>
          <w:rStyle w:val="afb"/>
          <w:rFonts w:hint="cs"/>
          <w:rtl/>
        </w:rPr>
        <w:t>ן</w:t>
      </w:r>
      <w:r w:rsidRPr="00D404F0">
        <w:rPr>
          <w:rStyle w:val="afb"/>
          <w:rFonts w:hint="cs"/>
          <w:rtl/>
        </w:rPr>
        <w:t xml:space="preserve">, כיון שלטענתו הוא כבר זכה בקרקע הזו לכל השנים שהוא תובע, ועיי"ש במה שהביא </w:t>
      </w:r>
      <w:r w:rsidRPr="00181401">
        <w:rPr>
          <w:rStyle w:val="affa"/>
          <w:rFonts w:hint="cs"/>
          <w:rtl/>
        </w:rPr>
        <w:t>רבינו יונה</w:t>
      </w:r>
      <w:r w:rsidRPr="00D404F0">
        <w:rPr>
          <w:rStyle w:val="afb"/>
          <w:rFonts w:hint="cs"/>
          <w:rtl/>
        </w:rPr>
        <w:t xml:space="preserve"> </w:t>
      </w:r>
      <w:r w:rsidRPr="00181401">
        <w:rPr>
          <w:rStyle w:val="aff6"/>
          <w:rFonts w:hint="cs"/>
          <w:rtl/>
        </w:rPr>
        <w:t>(סוד"ה כי)</w:t>
      </w:r>
      <w:r w:rsidRPr="00D404F0">
        <w:rPr>
          <w:rStyle w:val="afb"/>
          <w:rFonts w:hint="cs"/>
          <w:rtl/>
        </w:rPr>
        <w:t xml:space="preserve"> ראיה מהגמ' בב"מ </w:t>
      </w:r>
      <w:r w:rsidRPr="00181401">
        <w:rPr>
          <w:rStyle w:val="aff6"/>
          <w:rFonts w:hint="cs"/>
          <w:rtl/>
        </w:rPr>
        <w:t>(קי.)</w:t>
      </w:r>
      <w:r w:rsidRPr="00D404F0">
        <w:rPr>
          <w:rStyle w:val="afb"/>
          <w:rFonts w:hint="cs"/>
          <w:rtl/>
        </w:rPr>
        <w:t xml:space="preserve">, ובמ"ש </w:t>
      </w:r>
      <w:r w:rsidRPr="00181401">
        <w:rPr>
          <w:rStyle w:val="affa"/>
          <w:rFonts w:hint="cs"/>
          <w:rtl/>
        </w:rPr>
        <w:t>רבינו יונה</w:t>
      </w:r>
      <w:r w:rsidRPr="00D404F0">
        <w:rPr>
          <w:rStyle w:val="afb"/>
          <w:rFonts w:hint="cs"/>
          <w:rtl/>
        </w:rPr>
        <w:t xml:space="preserve"> דלא דמי לעיזי דאכלו חושלא.</w:t>
      </w:r>
    </w:p>
  </w:footnote>
  <w:footnote w:id="104">
    <w:p w:rsidR="00265073" w:rsidRDefault="00265073" w:rsidP="00F4065E">
      <w:pPr>
        <w:pStyle w:val="af"/>
      </w:pPr>
      <w:r>
        <w:rPr>
          <w:rStyle w:val="af1"/>
        </w:rPr>
        <w:footnoteRef/>
      </w:r>
      <w:r>
        <w:rPr>
          <w:rtl/>
        </w:rPr>
        <w:t xml:space="preserve"> </w:t>
      </w:r>
      <w:r w:rsidRPr="00A315E2">
        <w:rPr>
          <w:rStyle w:val="afb"/>
          <w:rFonts w:hint="cs"/>
          <w:rtl/>
        </w:rPr>
        <w:t xml:space="preserve">והוסיף </w:t>
      </w:r>
      <w:r w:rsidRPr="00A315E2">
        <w:rPr>
          <w:rStyle w:val="affa"/>
          <w:rFonts w:hint="cs"/>
          <w:rtl/>
        </w:rPr>
        <w:t>הש"ך</w:t>
      </w:r>
      <w:r w:rsidRPr="00A315E2">
        <w:rPr>
          <w:rStyle w:val="afb"/>
          <w:rFonts w:hint="cs"/>
          <w:rtl/>
        </w:rPr>
        <w:t xml:space="preserve"> דאף באופן שאין לו שטר הוא נאמן, עיי"ש בדבריו</w:t>
      </w:r>
      <w:r>
        <w:rPr>
          <w:rStyle w:val="afb"/>
          <w:rFonts w:hint="cs"/>
          <w:rtl/>
        </w:rPr>
        <w:t xml:space="preserve">, אבל </w:t>
      </w:r>
      <w:r w:rsidRPr="00502014">
        <w:rPr>
          <w:rStyle w:val="affa"/>
          <w:rFonts w:hint="cs"/>
          <w:rtl/>
        </w:rPr>
        <w:t>הקצוה"ח</w:t>
      </w:r>
      <w:r>
        <w:rPr>
          <w:rStyle w:val="afb"/>
          <w:rFonts w:hint="cs"/>
          <w:rtl/>
        </w:rPr>
        <w:t xml:space="preserve"> </w:t>
      </w:r>
      <w:r w:rsidRPr="00502014">
        <w:rPr>
          <w:rStyle w:val="aff6"/>
          <w:rFonts w:hint="cs"/>
          <w:rtl/>
        </w:rPr>
        <w:t>(סי' ק"נ סק"ב ד"ה עוד שם בש"ך</w:t>
      </w:r>
      <w:r>
        <w:rPr>
          <w:rStyle w:val="aff6"/>
          <w:rFonts w:hint="cs"/>
          <w:rtl/>
        </w:rPr>
        <w:t xml:space="preserve"> הביא</w:t>
      </w:r>
      <w:r w:rsidRPr="00502014">
        <w:rPr>
          <w:rStyle w:val="aff6"/>
          <w:rFonts w:hint="cs"/>
          <w:rtl/>
        </w:rPr>
        <w:t xml:space="preserve">) </w:t>
      </w:r>
      <w:r>
        <w:rPr>
          <w:rStyle w:val="afb"/>
          <w:rFonts w:hint="cs"/>
          <w:rtl/>
        </w:rPr>
        <w:t xml:space="preserve">דחה את הוכחת </w:t>
      </w:r>
      <w:r w:rsidRPr="00502014">
        <w:rPr>
          <w:rStyle w:val="affa"/>
          <w:rFonts w:hint="cs"/>
          <w:rtl/>
        </w:rPr>
        <w:t>הש"ך</w:t>
      </w:r>
      <w:r>
        <w:rPr>
          <w:rStyle w:val="afb"/>
          <w:rFonts w:hint="cs"/>
          <w:rtl/>
        </w:rPr>
        <w:t xml:space="preserve"> מדברי </w:t>
      </w:r>
      <w:r w:rsidRPr="00502014">
        <w:rPr>
          <w:rStyle w:val="affa"/>
          <w:rFonts w:hint="cs"/>
          <w:rtl/>
        </w:rPr>
        <w:t>הרמב"ן</w:t>
      </w:r>
      <w:r>
        <w:rPr>
          <w:rStyle w:val="afb"/>
          <w:rFonts w:hint="cs"/>
          <w:rtl/>
        </w:rPr>
        <w:t xml:space="preserve">, וכתב דדוקא כשיש לו שטר נאמן על פירות דלהבא, אך כתב </w:t>
      </w:r>
      <w:r w:rsidRPr="00C81FA2">
        <w:rPr>
          <w:rStyle w:val="affa"/>
          <w:rFonts w:hint="cs"/>
          <w:rtl/>
        </w:rPr>
        <w:t>הנתיה"מ</w:t>
      </w:r>
      <w:r>
        <w:rPr>
          <w:rStyle w:val="afb"/>
          <w:rFonts w:hint="cs"/>
          <w:rtl/>
        </w:rPr>
        <w:t xml:space="preserve"> </w:t>
      </w:r>
      <w:r w:rsidRPr="00C81FA2">
        <w:rPr>
          <w:rStyle w:val="aff6"/>
          <w:rFonts w:hint="cs"/>
          <w:rtl/>
        </w:rPr>
        <w:t>(סי' ק"נ סק"ג ד"ה ומה</w:t>
      </w:r>
      <w:r w:rsidRPr="0074562B">
        <w:rPr>
          <w:rtl/>
        </w:rPr>
        <w:t xml:space="preserve"> </w:t>
      </w:r>
      <w:r w:rsidRPr="0074562B">
        <w:rPr>
          <w:rStyle w:val="aff6"/>
          <w:rtl/>
        </w:rPr>
        <w:t>שהוכיח הש"ך משאר</w:t>
      </w:r>
      <w:r w:rsidRPr="0074562B">
        <w:rPr>
          <w:rStyle w:val="aff6"/>
          <w:rFonts w:hint="cs"/>
          <w:rtl/>
        </w:rPr>
        <w:t>)</w:t>
      </w:r>
      <w:r>
        <w:rPr>
          <w:rStyle w:val="afb"/>
          <w:rFonts w:hint="cs"/>
          <w:rtl/>
        </w:rPr>
        <w:t xml:space="preserve"> דדחיית </w:t>
      </w:r>
      <w:r w:rsidRPr="00C81FA2">
        <w:rPr>
          <w:rStyle w:val="affa"/>
          <w:rFonts w:hint="cs"/>
          <w:rtl/>
        </w:rPr>
        <w:t>הקצוה"ח</w:t>
      </w:r>
      <w:r>
        <w:rPr>
          <w:rStyle w:val="afb"/>
          <w:rFonts w:hint="cs"/>
          <w:rtl/>
        </w:rPr>
        <w:t xml:space="preserve"> היא רק לפי ביאור </w:t>
      </w:r>
      <w:r w:rsidRPr="00C81FA2">
        <w:rPr>
          <w:rStyle w:val="affa"/>
          <w:rFonts w:hint="cs"/>
          <w:rtl/>
        </w:rPr>
        <w:t>הסמ"ע</w:t>
      </w:r>
      <w:r>
        <w:rPr>
          <w:rStyle w:val="afb"/>
          <w:rFonts w:hint="cs"/>
          <w:rtl/>
        </w:rPr>
        <w:t xml:space="preserve"> </w:t>
      </w:r>
      <w:r w:rsidRPr="00C81FA2">
        <w:rPr>
          <w:rStyle w:val="aff6"/>
          <w:rFonts w:hint="cs"/>
          <w:rtl/>
        </w:rPr>
        <w:t xml:space="preserve">(עי' אות </w:t>
      </w:r>
      <w:r w:rsidRPr="00C81FA2">
        <w:rPr>
          <w:rStyle w:val="aff6"/>
          <w:rtl/>
        </w:rPr>
        <w:fldChar w:fldCharType="begin"/>
      </w:r>
      <w:r w:rsidRPr="00C81FA2">
        <w:rPr>
          <w:rStyle w:val="aff6"/>
          <w:rtl/>
        </w:rPr>
        <w:instrText xml:space="preserve"> </w:instrText>
      </w:r>
      <w:r w:rsidRPr="00C81FA2">
        <w:rPr>
          <w:rStyle w:val="aff6"/>
          <w:rFonts w:hint="cs"/>
        </w:rPr>
        <w:instrText>REF</w:instrText>
      </w:r>
      <w:r w:rsidRPr="00C81FA2">
        <w:rPr>
          <w:rStyle w:val="aff6"/>
          <w:rFonts w:hint="cs"/>
          <w:rtl/>
        </w:rPr>
        <w:instrText xml:space="preserve"> _</w:instrText>
      </w:r>
      <w:r w:rsidRPr="00C81FA2">
        <w:rPr>
          <w:rStyle w:val="aff6"/>
          <w:rFonts w:hint="cs"/>
        </w:rPr>
        <w:instrText>Ref63847692 \r \h</w:instrText>
      </w:r>
      <w:r w:rsidRPr="00C81FA2">
        <w:rPr>
          <w:rStyle w:val="aff6"/>
          <w:rtl/>
        </w:rPr>
        <w:instrText xml:space="preserve"> </w:instrText>
      </w:r>
      <w:r w:rsidRPr="00C81FA2">
        <w:rPr>
          <w:rStyle w:val="aff6"/>
          <w:rtl/>
        </w:rPr>
      </w:r>
      <w:r w:rsidRPr="00C81FA2">
        <w:rPr>
          <w:rStyle w:val="aff6"/>
          <w:rtl/>
        </w:rPr>
        <w:fldChar w:fldCharType="separate"/>
      </w:r>
      <w:r>
        <w:rPr>
          <w:rStyle w:val="aff6"/>
          <w:cs/>
        </w:rPr>
        <w:t>‎</w:t>
      </w:r>
      <w:r>
        <w:rPr>
          <w:rStyle w:val="aff6"/>
          <w:rtl/>
        </w:rPr>
        <w:t>לד)</w:t>
      </w:r>
      <w:r w:rsidRPr="00C81FA2">
        <w:rPr>
          <w:rStyle w:val="aff6"/>
          <w:rtl/>
        </w:rPr>
        <w:fldChar w:fldCharType="end"/>
      </w:r>
      <w:r>
        <w:rPr>
          <w:rStyle w:val="afb"/>
          <w:rFonts w:hint="cs"/>
          <w:rtl/>
        </w:rPr>
        <w:t xml:space="preserve"> דלא מהני מיגו כיון דהוא כמיגו להוציא, אבל לביאור </w:t>
      </w:r>
      <w:r w:rsidRPr="00C81FA2">
        <w:rPr>
          <w:rStyle w:val="affa"/>
          <w:rFonts w:hint="cs"/>
          <w:rtl/>
        </w:rPr>
        <w:t>הש"ך</w:t>
      </w:r>
      <w:r>
        <w:rPr>
          <w:rStyle w:val="afb"/>
          <w:rFonts w:hint="cs"/>
          <w:rtl/>
        </w:rPr>
        <w:t xml:space="preserve"> </w:t>
      </w:r>
      <w:r w:rsidRPr="00C81FA2">
        <w:rPr>
          <w:rStyle w:val="aff6"/>
          <w:rFonts w:hint="cs"/>
          <w:rtl/>
        </w:rPr>
        <w:t>(עי'</w:t>
      </w:r>
      <w:r>
        <w:rPr>
          <w:rStyle w:val="afb"/>
          <w:rFonts w:hint="cs"/>
          <w:rtl/>
        </w:rPr>
        <w:t xml:space="preserve"> </w:t>
      </w:r>
      <w:r w:rsidRPr="00C81FA2">
        <w:rPr>
          <w:rStyle w:val="aff6"/>
          <w:rFonts w:hint="cs"/>
          <w:rtl/>
        </w:rPr>
        <w:t>אות</w:t>
      </w:r>
      <w:r>
        <w:rPr>
          <w:rStyle w:val="aff6"/>
          <w:rFonts w:hint="cs"/>
          <w:rtl/>
        </w:rPr>
        <w:t xml:space="preserve">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Ref63873450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מה)</w:t>
      </w:r>
      <w:r>
        <w:rPr>
          <w:rStyle w:val="aff6"/>
          <w:rtl/>
        </w:rPr>
        <w:fldChar w:fldCharType="end"/>
      </w:r>
      <w:r>
        <w:rPr>
          <w:rStyle w:val="aff6"/>
          <w:rFonts w:hint="cs"/>
          <w:rtl/>
        </w:rPr>
        <w:t xml:space="preserve"> </w:t>
      </w:r>
      <w:r>
        <w:rPr>
          <w:rStyle w:val="afb"/>
          <w:rFonts w:hint="cs"/>
          <w:rtl/>
        </w:rPr>
        <w:t>דהוא מיגו מממון לממון, בפשטות אין נ"מ אי יש לו שטר או לא</w:t>
      </w:r>
      <w:r w:rsidRPr="00A315E2">
        <w:rPr>
          <w:rStyle w:val="afb"/>
          <w:rFonts w:hint="cs"/>
          <w:rtl/>
        </w:rPr>
        <w:t>.</w:t>
      </w:r>
    </w:p>
  </w:footnote>
  <w:footnote w:id="105">
    <w:p w:rsidR="00265073" w:rsidRDefault="00265073" w:rsidP="00F4065E">
      <w:pPr>
        <w:pStyle w:val="af"/>
        <w:rPr>
          <w:rtl/>
        </w:rPr>
      </w:pPr>
      <w:r>
        <w:rPr>
          <w:rStyle w:val="af1"/>
        </w:rPr>
        <w:footnoteRef/>
      </w:r>
      <w:r>
        <w:rPr>
          <w:rtl/>
        </w:rPr>
        <w:t xml:space="preserve"> </w:t>
      </w:r>
      <w:r w:rsidRPr="004C5D5E">
        <w:rPr>
          <w:rtl/>
        </w:rPr>
        <w:t xml:space="preserve">כתב </w:t>
      </w:r>
      <w:r w:rsidRPr="00F83E50">
        <w:rPr>
          <w:rStyle w:val="affa"/>
          <w:rtl/>
        </w:rPr>
        <w:t>הקוב"ש</w:t>
      </w:r>
      <w:r w:rsidRPr="004C5D5E">
        <w:rPr>
          <w:rtl/>
        </w:rPr>
        <w:t xml:space="preserve"> </w:t>
      </w:r>
      <w:r w:rsidRPr="001827E6">
        <w:rPr>
          <w:rStyle w:val="aff6"/>
          <w:rtl/>
        </w:rPr>
        <w:t>(או' קל"ח)</w:t>
      </w:r>
      <w:r w:rsidRPr="004C5D5E">
        <w:rPr>
          <w:rtl/>
        </w:rPr>
        <w:t xml:space="preserve"> </w:t>
      </w:r>
      <w:r>
        <w:rPr>
          <w:rFonts w:hint="cs"/>
          <w:rtl/>
        </w:rPr>
        <w:t>ד</w:t>
      </w:r>
      <w:r>
        <w:rPr>
          <w:rtl/>
        </w:rPr>
        <w:t xml:space="preserve">מ"ש </w:t>
      </w:r>
      <w:r w:rsidRPr="00F83E50">
        <w:rPr>
          <w:rStyle w:val="affa"/>
          <w:rtl/>
        </w:rPr>
        <w:t>התוס</w:t>
      </w:r>
      <w:r w:rsidRPr="004C5D5E">
        <w:rPr>
          <w:rtl/>
        </w:rPr>
        <w:t>' דהא דרב</w:t>
      </w:r>
      <w:r>
        <w:rPr>
          <w:rFonts w:hint="cs"/>
          <w:rtl/>
        </w:rPr>
        <w:t>א</w:t>
      </w:r>
      <w:r w:rsidRPr="004C5D5E">
        <w:rPr>
          <w:rtl/>
        </w:rPr>
        <w:t xml:space="preserve"> בר שרשום לא היה מחויב שבועת היסת, הוא כיון דבטענת שמא אין שבועת היסת, היינו כיון דס"ל </w:t>
      </w:r>
      <w:r w:rsidRPr="00F83E50">
        <w:rPr>
          <w:rStyle w:val="affa"/>
          <w:rtl/>
        </w:rPr>
        <w:t>להתוס'</w:t>
      </w:r>
      <w:r w:rsidRPr="004C5D5E">
        <w:rPr>
          <w:rtl/>
        </w:rPr>
        <w:t xml:space="preserve"> </w:t>
      </w:r>
      <w:r w:rsidRPr="001827E6">
        <w:rPr>
          <w:rStyle w:val="aff6"/>
          <w:rtl/>
        </w:rPr>
        <w:t>(לב: ד"ה אמאי,</w:t>
      </w:r>
      <w:r w:rsidRPr="004C5D5E">
        <w:rPr>
          <w:rtl/>
        </w:rPr>
        <w:t xml:space="preserve"> </w:t>
      </w:r>
      <w:r w:rsidRPr="001827E6">
        <w:rPr>
          <w:rStyle w:val="aff6"/>
          <w:rtl/>
        </w:rPr>
        <w:t>הובא בסימן י"ד אות ס"ג)</w:t>
      </w:r>
      <w:r w:rsidRPr="004C5D5E">
        <w:rPr>
          <w:rtl/>
        </w:rPr>
        <w:t xml:space="preserve"> דמיגו להוציא לא אמרינן, וכדכתב </w:t>
      </w:r>
      <w:r w:rsidRPr="00F83E50">
        <w:rPr>
          <w:rStyle w:val="affa"/>
          <w:rtl/>
        </w:rPr>
        <w:t>רבינו יונה</w:t>
      </w:r>
      <w:r w:rsidRPr="004C5D5E">
        <w:rPr>
          <w:rtl/>
        </w:rPr>
        <w:t xml:space="preserve"> </w:t>
      </w:r>
      <w:r w:rsidRPr="001827E6">
        <w:rPr>
          <w:rStyle w:val="aff6"/>
          <w:rtl/>
        </w:rPr>
        <w:t xml:space="preserve">(עי' אות </w:t>
      </w:r>
      <w:r w:rsidRPr="001827E6">
        <w:rPr>
          <w:rStyle w:val="aff6"/>
          <w:rtl/>
        </w:rPr>
        <w:fldChar w:fldCharType="begin"/>
      </w:r>
      <w:r w:rsidRPr="001827E6">
        <w:rPr>
          <w:rStyle w:val="aff6"/>
          <w:rtl/>
        </w:rPr>
        <w:instrText xml:space="preserve"> </w:instrText>
      </w:r>
      <w:r w:rsidRPr="001827E6">
        <w:rPr>
          <w:rStyle w:val="aff6"/>
        </w:rPr>
        <w:instrText>REF</w:instrText>
      </w:r>
      <w:r w:rsidRPr="001827E6">
        <w:rPr>
          <w:rStyle w:val="aff6"/>
          <w:rtl/>
        </w:rPr>
        <w:instrText xml:space="preserve"> _</w:instrText>
      </w:r>
      <w:r w:rsidRPr="001827E6">
        <w:rPr>
          <w:rStyle w:val="aff6"/>
        </w:rPr>
        <w:instrText>Ref63589786 \r \h</w:instrText>
      </w:r>
      <w:r w:rsidRPr="001827E6">
        <w:rPr>
          <w:rStyle w:val="aff6"/>
          <w:rtl/>
        </w:rPr>
        <w:instrText xml:space="preserve"> </w:instrText>
      </w:r>
      <w:r w:rsidRPr="001827E6">
        <w:rPr>
          <w:rStyle w:val="aff6"/>
          <w:rtl/>
        </w:rPr>
      </w:r>
      <w:r w:rsidRPr="001827E6">
        <w:rPr>
          <w:rStyle w:val="aff6"/>
          <w:rtl/>
        </w:rPr>
        <w:fldChar w:fldCharType="separate"/>
      </w:r>
      <w:r>
        <w:rPr>
          <w:rStyle w:val="aff6"/>
          <w:cs/>
        </w:rPr>
        <w:t>‎</w:t>
      </w:r>
      <w:r>
        <w:rPr>
          <w:rStyle w:val="aff6"/>
          <w:rtl/>
        </w:rPr>
        <w:t>לח)</w:t>
      </w:r>
      <w:r w:rsidRPr="001827E6">
        <w:rPr>
          <w:rStyle w:val="aff6"/>
          <w:rtl/>
        </w:rPr>
        <w:fldChar w:fldCharType="end"/>
      </w:r>
      <w:r w:rsidRPr="004C5D5E">
        <w:rPr>
          <w:rtl/>
        </w:rPr>
        <w:t>.</w:t>
      </w:r>
    </w:p>
    <w:p w:rsidR="00265073" w:rsidRPr="004C5D5E" w:rsidRDefault="00265073" w:rsidP="00F4065E">
      <w:pPr>
        <w:pStyle w:val="af"/>
        <w:rPr>
          <w:rtl/>
        </w:rPr>
      </w:pPr>
      <w:r w:rsidRPr="004C5D5E">
        <w:rPr>
          <w:rtl/>
        </w:rPr>
        <w:t xml:space="preserve">[אמנם גם </w:t>
      </w:r>
      <w:r w:rsidRPr="00F83E50">
        <w:rPr>
          <w:rStyle w:val="affa"/>
          <w:rtl/>
        </w:rPr>
        <w:t>הרמב"ן והרשב"א</w:t>
      </w:r>
      <w:r w:rsidRPr="004C5D5E">
        <w:rPr>
          <w:rtl/>
        </w:rPr>
        <w:t xml:space="preserve"> תירצו </w:t>
      </w:r>
      <w:r w:rsidRPr="00F83E50">
        <w:rPr>
          <w:rStyle w:val="affa"/>
          <w:rtl/>
        </w:rPr>
        <w:t>כתוס'</w:t>
      </w:r>
      <w:r w:rsidRPr="004C5D5E">
        <w:rPr>
          <w:rtl/>
        </w:rPr>
        <w:t>, אעפ"י ד</w:t>
      </w:r>
      <w:r>
        <w:rPr>
          <w:rFonts w:hint="cs"/>
          <w:rtl/>
        </w:rPr>
        <w:t xml:space="preserve">בפשטות </w:t>
      </w:r>
      <w:r w:rsidRPr="004C5D5E">
        <w:rPr>
          <w:rtl/>
        </w:rPr>
        <w:t xml:space="preserve">ס"ל </w:t>
      </w:r>
      <w:r w:rsidRPr="00F83E50">
        <w:rPr>
          <w:rStyle w:val="affa"/>
          <w:rtl/>
        </w:rPr>
        <w:t>להרמב"ן</w:t>
      </w:r>
      <w:r>
        <w:rPr>
          <w:rStyle w:val="affa"/>
          <w:rFonts w:hint="cs"/>
          <w:rtl/>
        </w:rPr>
        <w:t xml:space="preserve"> לעיל</w:t>
      </w:r>
      <w:r w:rsidRPr="004C5D5E">
        <w:rPr>
          <w:rtl/>
        </w:rPr>
        <w:t xml:space="preserve"> </w:t>
      </w:r>
      <w:r w:rsidRPr="001827E6">
        <w:rPr>
          <w:rStyle w:val="aff6"/>
          <w:rtl/>
        </w:rPr>
        <w:t>(</w:t>
      </w:r>
      <w:r>
        <w:rPr>
          <w:rStyle w:val="aff6"/>
          <w:rFonts w:hint="cs"/>
          <w:rtl/>
        </w:rPr>
        <w:t xml:space="preserve">לב. </w:t>
      </w:r>
      <w:r w:rsidRPr="001827E6">
        <w:rPr>
          <w:rStyle w:val="aff6"/>
          <w:rtl/>
        </w:rPr>
        <w:t>ד"ה ומיהו, הובא בסימן י"ד אות פ')</w:t>
      </w:r>
      <w:r w:rsidRPr="004C5D5E">
        <w:rPr>
          <w:rtl/>
        </w:rPr>
        <w:t xml:space="preserve"> </w:t>
      </w:r>
      <w:r>
        <w:rPr>
          <w:rStyle w:val="affa"/>
          <w:rFonts w:hint="cs"/>
          <w:rtl/>
        </w:rPr>
        <w:t>ו</w:t>
      </w:r>
      <w:r w:rsidRPr="00F83E50">
        <w:rPr>
          <w:rStyle w:val="affa"/>
          <w:rtl/>
        </w:rPr>
        <w:t>הרשב"א</w:t>
      </w:r>
      <w:r>
        <w:rPr>
          <w:rStyle w:val="affa"/>
          <w:rFonts w:hint="cs"/>
          <w:rtl/>
        </w:rPr>
        <w:t xml:space="preserve"> לעיל</w:t>
      </w:r>
      <w:r w:rsidRPr="004C5D5E">
        <w:rPr>
          <w:rtl/>
        </w:rPr>
        <w:t xml:space="preserve"> </w:t>
      </w:r>
      <w:r w:rsidRPr="001827E6">
        <w:rPr>
          <w:rStyle w:val="aff6"/>
          <w:rtl/>
        </w:rPr>
        <w:t>(</w:t>
      </w:r>
      <w:r>
        <w:rPr>
          <w:rStyle w:val="aff6"/>
          <w:rFonts w:hint="cs"/>
          <w:rtl/>
        </w:rPr>
        <w:t xml:space="preserve">לב. </w:t>
      </w:r>
      <w:r w:rsidRPr="001827E6">
        <w:rPr>
          <w:rStyle w:val="aff6"/>
          <w:rtl/>
        </w:rPr>
        <w:t>ד"ה ויש מקשים, הובא בסימן י"ד אות פ"ג)</w:t>
      </w:r>
      <w:r w:rsidRPr="004C5D5E">
        <w:rPr>
          <w:rtl/>
        </w:rPr>
        <w:t xml:space="preserve"> דאמרינן מיגו להוציא].</w:t>
      </w:r>
    </w:p>
  </w:footnote>
  <w:footnote w:id="106">
    <w:p w:rsidR="00265073" w:rsidRDefault="00265073" w:rsidP="00F4065E">
      <w:pPr>
        <w:pStyle w:val="af"/>
      </w:pPr>
      <w:r>
        <w:rPr>
          <w:rStyle w:val="af1"/>
        </w:rPr>
        <w:footnoteRef/>
      </w:r>
      <w:r>
        <w:rPr>
          <w:rtl/>
        </w:rPr>
        <w:t xml:space="preserve"> </w:t>
      </w:r>
      <w:r>
        <w:rPr>
          <w:rFonts w:hint="cs"/>
          <w:rtl/>
        </w:rPr>
        <w:t xml:space="preserve">ועי' במה שביאר </w:t>
      </w:r>
      <w:r w:rsidRPr="00F90399">
        <w:rPr>
          <w:rStyle w:val="affa"/>
          <w:rFonts w:hint="cs"/>
          <w:rtl/>
        </w:rPr>
        <w:t>בחי' רבי ראובן</w:t>
      </w:r>
      <w:r>
        <w:rPr>
          <w:rFonts w:hint="cs"/>
          <w:rtl/>
        </w:rPr>
        <w:t xml:space="preserve"> </w:t>
      </w:r>
      <w:r w:rsidRPr="00F90399">
        <w:rPr>
          <w:rStyle w:val="aff6"/>
          <w:rFonts w:hint="cs"/>
          <w:rtl/>
        </w:rPr>
        <w:t xml:space="preserve">(סי' ד' או' ב' ד"ה והי') </w:t>
      </w:r>
      <w:r>
        <w:rPr>
          <w:rFonts w:hint="cs"/>
          <w:rtl/>
        </w:rPr>
        <w:t xml:space="preserve">את דברי </w:t>
      </w:r>
      <w:r w:rsidRPr="00F90399">
        <w:rPr>
          <w:rStyle w:val="affa"/>
          <w:rFonts w:hint="cs"/>
          <w:rtl/>
        </w:rPr>
        <w:t>הרא"ש</w:t>
      </w:r>
      <w:r>
        <w:rPr>
          <w:rFonts w:hint="cs"/>
          <w:rtl/>
        </w:rPr>
        <w:t xml:space="preserve"> בדין טענינן.</w:t>
      </w:r>
    </w:p>
  </w:footnote>
  <w:footnote w:id="107">
    <w:p w:rsidR="00265073" w:rsidRDefault="00265073" w:rsidP="00F4065E">
      <w:pPr>
        <w:pStyle w:val="af"/>
      </w:pPr>
      <w:r>
        <w:rPr>
          <w:rStyle w:val="af1"/>
        </w:rPr>
        <w:footnoteRef/>
      </w:r>
      <w:r>
        <w:rPr>
          <w:rtl/>
        </w:rPr>
        <w:t xml:space="preserve"> </w:t>
      </w:r>
      <w:r w:rsidRPr="00D939A0">
        <w:rPr>
          <w:rStyle w:val="afb"/>
          <w:rFonts w:hint="cs"/>
          <w:rtl/>
        </w:rPr>
        <w:t xml:space="preserve">וביאר </w:t>
      </w:r>
      <w:r w:rsidRPr="00D939A0">
        <w:rPr>
          <w:rStyle w:val="affa"/>
          <w:rFonts w:hint="cs"/>
          <w:rtl/>
        </w:rPr>
        <w:t>הרמב"ן</w:t>
      </w:r>
      <w:r w:rsidRPr="00D939A0">
        <w:rPr>
          <w:rStyle w:val="afb"/>
          <w:rFonts w:hint="cs"/>
          <w:rtl/>
        </w:rPr>
        <w:t xml:space="preserve"> דבגמ' בב"ק איירי בבית שהיה בחזקת אביו חמיו של רבי ירמיה, וכשמת חמיו הוציא בנו היתום את רבי ירמיה מהבית, כיון שרבי ירמיה אינו יכול להביא עדים שהחזיק בו בחיי חמיו, וה"ה הכא שיש קול שהקרקע של היתומים</w:t>
      </w:r>
      <w:r>
        <w:rPr>
          <w:rStyle w:val="afb"/>
          <w:rFonts w:hint="cs"/>
          <w:rtl/>
        </w:rPr>
        <w:t>.</w:t>
      </w:r>
    </w:p>
  </w:footnote>
  <w:footnote w:id="108">
    <w:p w:rsidR="00265073" w:rsidRDefault="00265073" w:rsidP="00F4065E">
      <w:pPr>
        <w:pStyle w:val="af"/>
        <w:rPr>
          <w:rtl/>
        </w:rPr>
      </w:pPr>
      <w:r>
        <w:rPr>
          <w:rStyle w:val="af1"/>
        </w:rPr>
        <w:footnoteRef/>
      </w:r>
      <w:r>
        <w:rPr>
          <w:rtl/>
        </w:rPr>
        <w:t xml:space="preserve"> </w:t>
      </w:r>
      <w:r>
        <w:rPr>
          <w:rFonts w:hint="cs"/>
          <w:rtl/>
        </w:rPr>
        <w:t>הקשה</w:t>
      </w:r>
      <w:r w:rsidRPr="002F7270">
        <w:rPr>
          <w:rStyle w:val="affa"/>
          <w:rFonts w:hint="cs"/>
          <w:rtl/>
        </w:rPr>
        <w:t xml:space="preserve"> בחי' רבי נחום</w:t>
      </w:r>
      <w:r>
        <w:rPr>
          <w:rFonts w:hint="cs"/>
          <w:rtl/>
        </w:rPr>
        <w:t xml:space="preserve"> </w:t>
      </w:r>
      <w:r w:rsidRPr="00CF0BB0">
        <w:rPr>
          <w:rStyle w:val="aff6"/>
          <w:rFonts w:hint="cs"/>
          <w:rtl/>
        </w:rPr>
        <w:t xml:space="preserve">(או' קס"ז) </w:t>
      </w:r>
      <w:r>
        <w:rPr>
          <w:rFonts w:hint="cs"/>
          <w:rtl/>
        </w:rPr>
        <w:t xml:space="preserve">דכיון דרבא בר שרשום נאמן מדין מיגו, א"כ אמאי הוצרך </w:t>
      </w:r>
      <w:r w:rsidRPr="002F7270">
        <w:rPr>
          <w:rStyle w:val="affa"/>
          <w:rFonts w:hint="cs"/>
          <w:rtl/>
        </w:rPr>
        <w:t>הר"י מגאש</w:t>
      </w:r>
      <w:r>
        <w:rPr>
          <w:rFonts w:hint="cs"/>
          <w:rtl/>
        </w:rPr>
        <w:t xml:space="preserve"> להעמיד שהחזיק ג"ש בחיי היתומים, וכתב </w:t>
      </w:r>
      <w:r w:rsidRPr="002F7270">
        <w:rPr>
          <w:rStyle w:val="affa"/>
          <w:rFonts w:hint="cs"/>
          <w:rtl/>
        </w:rPr>
        <w:t>בחי' רבי</w:t>
      </w:r>
      <w:r>
        <w:rPr>
          <w:rFonts w:hint="cs"/>
          <w:rtl/>
        </w:rPr>
        <w:t xml:space="preserve"> </w:t>
      </w:r>
      <w:r w:rsidRPr="002F7270">
        <w:rPr>
          <w:rStyle w:val="affa"/>
          <w:rFonts w:hint="cs"/>
          <w:rtl/>
        </w:rPr>
        <w:t>נחום</w:t>
      </w:r>
      <w:r>
        <w:rPr>
          <w:rFonts w:hint="cs"/>
          <w:rtl/>
        </w:rPr>
        <w:t xml:space="preserve"> דאולי כוונת </w:t>
      </w:r>
      <w:r w:rsidRPr="002F7270">
        <w:rPr>
          <w:rStyle w:val="affa"/>
          <w:rFonts w:hint="cs"/>
          <w:rtl/>
        </w:rPr>
        <w:t>הר"י מגאש</w:t>
      </w:r>
      <w:r>
        <w:rPr>
          <w:rFonts w:hint="cs"/>
          <w:rtl/>
        </w:rPr>
        <w:t xml:space="preserve"> לחדש דאף שהחזיק ג"ש בחיי היתומים ויש לו מיגו, מ"מ אינו נאמן כשיש קול.</w:t>
      </w:r>
    </w:p>
    <w:p w:rsidR="00265073" w:rsidRDefault="00265073" w:rsidP="00F4065E">
      <w:pPr>
        <w:pStyle w:val="af"/>
      </w:pPr>
      <w:r>
        <w:rPr>
          <w:rStyle w:val="afb"/>
          <w:rFonts w:hint="cs"/>
          <w:rtl/>
        </w:rPr>
        <w:t>[ואולי אפש"ל ד</w:t>
      </w:r>
      <w:r w:rsidRPr="00A74EE6">
        <w:rPr>
          <w:rStyle w:val="afb"/>
          <w:rFonts w:hint="cs"/>
          <w:rtl/>
        </w:rPr>
        <w:t>צריך חזקת ג"ש בחיי היתומים, דאל"ה אמרינן ליה אחוי שטרך</w:t>
      </w:r>
      <w:r>
        <w:rPr>
          <w:rStyle w:val="afb"/>
          <w:rFonts w:hint="cs"/>
          <w:rtl/>
        </w:rPr>
        <w:t>].</w:t>
      </w:r>
    </w:p>
  </w:footnote>
  <w:footnote w:id="109">
    <w:p w:rsidR="00265073" w:rsidRDefault="00265073" w:rsidP="00F4065E">
      <w:pPr>
        <w:pStyle w:val="af"/>
      </w:pPr>
      <w:r>
        <w:rPr>
          <w:rStyle w:val="af1"/>
        </w:rPr>
        <w:footnoteRef/>
      </w:r>
      <w:r>
        <w:rPr>
          <w:rtl/>
        </w:rPr>
        <w:t xml:space="preserve"> </w:t>
      </w:r>
      <w:r>
        <w:rPr>
          <w:rFonts w:hint="cs"/>
          <w:rtl/>
        </w:rPr>
        <w:t>עי' במה שביאר</w:t>
      </w:r>
      <w:r w:rsidRPr="00103E47">
        <w:rPr>
          <w:rStyle w:val="affa"/>
          <w:rFonts w:hint="cs"/>
          <w:rtl/>
        </w:rPr>
        <w:t xml:space="preserve"> </w:t>
      </w:r>
      <w:r w:rsidRPr="002F7270">
        <w:rPr>
          <w:rStyle w:val="affa"/>
          <w:rFonts w:hint="cs"/>
          <w:rtl/>
        </w:rPr>
        <w:t>בחי' רבי נחום</w:t>
      </w:r>
      <w:r>
        <w:rPr>
          <w:rFonts w:hint="cs"/>
          <w:rtl/>
        </w:rPr>
        <w:t xml:space="preserve"> </w:t>
      </w:r>
      <w:r w:rsidRPr="00CF0BB0">
        <w:rPr>
          <w:rStyle w:val="aff6"/>
          <w:rFonts w:hint="cs"/>
          <w:rtl/>
        </w:rPr>
        <w:t xml:space="preserve">(או' </w:t>
      </w:r>
      <w:r>
        <w:rPr>
          <w:rStyle w:val="aff6"/>
          <w:rFonts w:hint="cs"/>
          <w:rtl/>
        </w:rPr>
        <w:t>ק"ע</w:t>
      </w:r>
      <w:r w:rsidRPr="00CF0BB0">
        <w:rPr>
          <w:rStyle w:val="aff6"/>
          <w:rFonts w:hint="cs"/>
          <w:rtl/>
        </w:rPr>
        <w:t xml:space="preserve">) </w:t>
      </w:r>
      <w:r>
        <w:rPr>
          <w:rFonts w:hint="cs"/>
          <w:rtl/>
        </w:rPr>
        <w:t xml:space="preserve">אמאי הוצרך </w:t>
      </w:r>
      <w:r w:rsidRPr="00103E47">
        <w:rPr>
          <w:rStyle w:val="affa"/>
          <w:rFonts w:hint="cs"/>
          <w:rtl/>
        </w:rPr>
        <w:t>הרא"ש</w:t>
      </w:r>
      <w:r>
        <w:rPr>
          <w:rFonts w:hint="cs"/>
          <w:rtl/>
        </w:rPr>
        <w:t xml:space="preserve"> להוסיף דלא ידוע שהקרקע באה לידו במשכנתא.</w:t>
      </w:r>
    </w:p>
  </w:footnote>
  <w:footnote w:id="110">
    <w:p w:rsidR="00265073" w:rsidRPr="00D94EF8" w:rsidRDefault="00265073" w:rsidP="00F4065E">
      <w:pPr>
        <w:pStyle w:val="af"/>
      </w:pPr>
      <w:r>
        <w:rPr>
          <w:rStyle w:val="af1"/>
        </w:rPr>
        <w:footnoteRef/>
      </w:r>
      <w:r>
        <w:rPr>
          <w:rtl/>
        </w:rPr>
        <w:t xml:space="preserve"> </w:t>
      </w:r>
      <w:r>
        <w:rPr>
          <w:rFonts w:hint="cs"/>
          <w:rtl/>
        </w:rPr>
        <w:t xml:space="preserve">עי' </w:t>
      </w:r>
      <w:r w:rsidRPr="001E3C11">
        <w:rPr>
          <w:rStyle w:val="affa"/>
          <w:rFonts w:hint="cs"/>
          <w:rtl/>
        </w:rPr>
        <w:t>בההג"מ</w:t>
      </w:r>
      <w:r>
        <w:rPr>
          <w:rFonts w:hint="cs"/>
          <w:rtl/>
        </w:rPr>
        <w:t xml:space="preserve"> </w:t>
      </w:r>
      <w:r w:rsidRPr="001E3C11">
        <w:rPr>
          <w:rStyle w:val="aff6"/>
          <w:rFonts w:hint="cs"/>
          <w:rtl/>
        </w:rPr>
        <w:t xml:space="preserve">(טו"נ פי"ד ה"ח) </w:t>
      </w:r>
      <w:r>
        <w:rPr>
          <w:rFonts w:hint="cs"/>
          <w:rtl/>
        </w:rPr>
        <w:t xml:space="preserve">דגרס </w:t>
      </w:r>
      <w:r w:rsidRPr="001E3C11">
        <w:rPr>
          <w:rStyle w:val="affa"/>
          <w:rFonts w:hint="cs"/>
          <w:rtl/>
        </w:rPr>
        <w:t>ברמב"ם</w:t>
      </w:r>
      <w:r>
        <w:rPr>
          <w:rFonts w:hint="cs"/>
          <w:rtl/>
        </w:rPr>
        <w:t xml:space="preserve"> דגובה "בשבועה", אבל</w:t>
      </w:r>
      <w:r>
        <w:rPr>
          <w:rStyle w:val="affa"/>
          <w:rFonts w:hint="cs"/>
          <w:rtl/>
        </w:rPr>
        <w:t xml:space="preserve"> ה</w:t>
      </w:r>
      <w:r w:rsidRPr="001E3C11">
        <w:rPr>
          <w:rStyle w:val="affa"/>
          <w:rFonts w:hint="cs"/>
          <w:rtl/>
        </w:rPr>
        <w:t>סמ"ע</w:t>
      </w:r>
      <w:r>
        <w:rPr>
          <w:rFonts w:hint="cs"/>
          <w:rtl/>
        </w:rPr>
        <w:t xml:space="preserve"> </w:t>
      </w:r>
      <w:r w:rsidRPr="001E3C11">
        <w:rPr>
          <w:rStyle w:val="aff6"/>
          <w:rFonts w:hint="cs"/>
          <w:rtl/>
        </w:rPr>
        <w:t xml:space="preserve">(סי' קמ"ט סקל"ו) </w:t>
      </w:r>
      <w:r>
        <w:rPr>
          <w:rFonts w:hint="cs"/>
          <w:rtl/>
        </w:rPr>
        <w:t xml:space="preserve">כתב דהוא ט"ס, והגירסא היא דגובה "משבחה" ועי' במ"ש </w:t>
      </w:r>
      <w:r w:rsidRPr="001E3C11">
        <w:rPr>
          <w:rStyle w:val="affa"/>
          <w:rFonts w:hint="cs"/>
          <w:rtl/>
        </w:rPr>
        <w:t>הלח"מ</w:t>
      </w:r>
      <w:r>
        <w:rPr>
          <w:rFonts w:hint="cs"/>
          <w:rtl/>
        </w:rPr>
        <w:t xml:space="preserve"> </w:t>
      </w:r>
      <w:r w:rsidRPr="001E3C11">
        <w:rPr>
          <w:rStyle w:val="aff6"/>
          <w:rFonts w:hint="cs"/>
          <w:rtl/>
        </w:rPr>
        <w:t xml:space="preserve">(טו"נ פי"ד ה"ח) </w:t>
      </w:r>
      <w:r w:rsidRPr="001E3C11">
        <w:rPr>
          <w:rStyle w:val="affa"/>
          <w:rFonts w:hint="cs"/>
          <w:rtl/>
        </w:rPr>
        <w:t>והש"ך</w:t>
      </w:r>
      <w:r w:rsidRPr="001E3C11">
        <w:rPr>
          <w:rStyle w:val="aff6"/>
          <w:rFonts w:hint="cs"/>
          <w:rtl/>
        </w:rPr>
        <w:t xml:space="preserve"> (סי' קמ"ט סקכ"א)</w:t>
      </w:r>
      <w:r w:rsidRPr="00D94EF8">
        <w:rPr>
          <w:rtl/>
        </w:rPr>
        <w:t xml:space="preserve"> </w:t>
      </w:r>
      <w:r>
        <w:rPr>
          <w:rStyle w:val="affa"/>
          <w:rFonts w:hint="cs"/>
          <w:rtl/>
        </w:rPr>
        <w:t>והנתיה"מ</w:t>
      </w:r>
      <w:r w:rsidRPr="00D94EF8">
        <w:rPr>
          <w:rtl/>
        </w:rPr>
        <w:t xml:space="preserve"> </w:t>
      </w:r>
      <w:r>
        <w:rPr>
          <w:rStyle w:val="aff6"/>
          <w:rtl/>
        </w:rPr>
        <w:t>(סי' קמ"ט סק</w:t>
      </w:r>
      <w:r w:rsidRPr="00D94EF8">
        <w:rPr>
          <w:rStyle w:val="aff6"/>
          <w:rtl/>
        </w:rPr>
        <w:t>"</w:t>
      </w:r>
      <w:r>
        <w:rPr>
          <w:rStyle w:val="aff6"/>
          <w:rFonts w:hint="cs"/>
          <w:rtl/>
        </w:rPr>
        <w:t>ט</w:t>
      </w:r>
      <w:r w:rsidRPr="00D94EF8">
        <w:rPr>
          <w:rStyle w:val="aff6"/>
          <w:rtl/>
        </w:rPr>
        <w:t>)</w:t>
      </w:r>
      <w:r>
        <w:rPr>
          <w:rFonts w:hint="cs"/>
          <w:rtl/>
        </w:rPr>
        <w:t>.</w:t>
      </w:r>
    </w:p>
  </w:footnote>
  <w:footnote w:id="111">
    <w:p w:rsidR="00265073" w:rsidRDefault="00265073" w:rsidP="00103C1B">
      <w:pPr>
        <w:pStyle w:val="af"/>
        <w:rPr>
          <w:rtl/>
        </w:rPr>
      </w:pPr>
      <w:r>
        <w:rPr>
          <w:rStyle w:val="af1"/>
        </w:rPr>
        <w:footnoteRef/>
      </w:r>
      <w:r>
        <w:rPr>
          <w:rtl/>
        </w:rPr>
        <w:t xml:space="preserve"> </w:t>
      </w:r>
      <w:r w:rsidRPr="001F2661">
        <w:rPr>
          <w:rStyle w:val="afb"/>
          <w:rFonts w:hint="cs"/>
          <w:rtl/>
        </w:rPr>
        <w:t xml:space="preserve">וקצ"ב דהא כתב </w:t>
      </w:r>
      <w:r w:rsidRPr="002E698A">
        <w:rPr>
          <w:rStyle w:val="affa"/>
          <w:rFonts w:hint="cs"/>
          <w:rtl/>
        </w:rPr>
        <w:t>הרשב"ם</w:t>
      </w:r>
      <w:r w:rsidRPr="001F2661">
        <w:rPr>
          <w:rStyle w:val="afb"/>
          <w:rFonts w:hint="cs"/>
          <w:rtl/>
        </w:rPr>
        <w:t xml:space="preserve"> </w:t>
      </w:r>
      <w:r w:rsidRPr="002E698A">
        <w:rPr>
          <w:rStyle w:val="aff6"/>
          <w:rFonts w:hint="cs"/>
          <w:rtl/>
        </w:rPr>
        <w:t xml:space="preserve">(עי' אות </w:t>
      </w:r>
      <w:r w:rsidRPr="002E698A">
        <w:rPr>
          <w:rStyle w:val="aff6"/>
          <w:rtl/>
        </w:rPr>
        <w:fldChar w:fldCharType="begin"/>
      </w:r>
      <w:r w:rsidRPr="002E698A">
        <w:rPr>
          <w:rStyle w:val="aff6"/>
          <w:rtl/>
        </w:rPr>
        <w:instrText xml:space="preserve"> </w:instrText>
      </w:r>
      <w:r w:rsidRPr="002E698A">
        <w:rPr>
          <w:rStyle w:val="aff6"/>
          <w:rFonts w:hint="cs"/>
        </w:rPr>
        <w:instrText>REF</w:instrText>
      </w:r>
      <w:r w:rsidRPr="002E698A">
        <w:rPr>
          <w:rStyle w:val="aff6"/>
          <w:rFonts w:hint="cs"/>
          <w:rtl/>
        </w:rPr>
        <w:instrText xml:space="preserve"> _</w:instrText>
      </w:r>
      <w:r w:rsidRPr="002E698A">
        <w:rPr>
          <w:rStyle w:val="aff6"/>
          <w:rFonts w:hint="cs"/>
        </w:rPr>
        <w:instrText>Ref64279749 \r \h</w:instrText>
      </w:r>
      <w:r w:rsidRPr="002E698A">
        <w:rPr>
          <w:rStyle w:val="aff6"/>
          <w:rtl/>
        </w:rPr>
        <w:instrText xml:space="preserve"> </w:instrText>
      </w:r>
      <w:r w:rsidRPr="002E698A">
        <w:rPr>
          <w:rStyle w:val="aff6"/>
          <w:rtl/>
        </w:rPr>
      </w:r>
      <w:r w:rsidRPr="002E698A">
        <w:rPr>
          <w:rStyle w:val="aff6"/>
          <w:rtl/>
        </w:rPr>
        <w:fldChar w:fldCharType="separate"/>
      </w:r>
      <w:r>
        <w:rPr>
          <w:rStyle w:val="aff6"/>
          <w:cs/>
        </w:rPr>
        <w:t>‎</w:t>
      </w:r>
      <w:r>
        <w:rPr>
          <w:rStyle w:val="aff6"/>
          <w:rtl/>
        </w:rPr>
        <w:t>ו)</w:t>
      </w:r>
      <w:r w:rsidRPr="002E698A">
        <w:rPr>
          <w:rStyle w:val="aff6"/>
          <w:rtl/>
        </w:rPr>
        <w:fldChar w:fldCharType="end"/>
      </w:r>
      <w:r w:rsidRPr="001F2661">
        <w:rPr>
          <w:rStyle w:val="afb"/>
          <w:rFonts w:hint="cs"/>
          <w:rtl/>
        </w:rPr>
        <w:t xml:space="preserve"> דקיי"ל כאביי ורבא</w:t>
      </w:r>
      <w:r>
        <w:rPr>
          <w:rStyle w:val="afb"/>
          <w:rFonts w:hint="cs"/>
          <w:rtl/>
        </w:rPr>
        <w:t>,</w:t>
      </w:r>
      <w:r w:rsidRPr="001F2661">
        <w:rPr>
          <w:rStyle w:val="afb"/>
          <w:rFonts w:hint="cs"/>
          <w:rtl/>
        </w:rPr>
        <w:t xml:space="preserve"> ודלא כרב חסדא, וא"כ </w:t>
      </w:r>
      <w:r>
        <w:rPr>
          <w:rStyle w:val="afb"/>
          <w:rFonts w:hint="cs"/>
          <w:rtl/>
        </w:rPr>
        <w:t xml:space="preserve">להלכה </w:t>
      </w:r>
      <w:r w:rsidRPr="001F2661">
        <w:rPr>
          <w:rStyle w:val="afb"/>
          <w:rFonts w:hint="cs"/>
          <w:rtl/>
        </w:rPr>
        <w:t>אי</w:t>
      </w:r>
      <w:r>
        <w:rPr>
          <w:rStyle w:val="afb"/>
          <w:rFonts w:hint="cs"/>
          <w:rtl/>
        </w:rPr>
        <w:t>ן כל</w:t>
      </w:r>
      <w:r w:rsidRPr="001F2661">
        <w:rPr>
          <w:rStyle w:val="afb"/>
          <w:rFonts w:hint="cs"/>
          <w:rtl/>
        </w:rPr>
        <w:t xml:space="preserve"> ראיה </w:t>
      </w:r>
      <w:r w:rsidRPr="002E698A">
        <w:rPr>
          <w:rStyle w:val="affa"/>
          <w:rFonts w:hint="cs"/>
          <w:rtl/>
        </w:rPr>
        <w:t>למהריב"ל</w:t>
      </w:r>
      <w:r w:rsidRPr="001F2661">
        <w:rPr>
          <w:rStyle w:val="afb"/>
          <w:rFonts w:hint="cs"/>
          <w:rtl/>
        </w:rPr>
        <w:t>.</w:t>
      </w:r>
    </w:p>
  </w:footnote>
  <w:footnote w:id="112">
    <w:p w:rsidR="00265073" w:rsidRDefault="00265073" w:rsidP="008C2BD2">
      <w:pPr>
        <w:pStyle w:val="af"/>
        <w:rPr>
          <w:rtl/>
        </w:rPr>
      </w:pPr>
      <w:r>
        <w:rPr>
          <w:rStyle w:val="af1"/>
        </w:rPr>
        <w:footnoteRef/>
      </w:r>
      <w:r>
        <w:rPr>
          <w:rtl/>
        </w:rPr>
        <w:t xml:space="preserve"> </w:t>
      </w:r>
      <w:r>
        <w:rPr>
          <w:rStyle w:val="affa"/>
          <w:rtl/>
        </w:rPr>
        <w:t>בההג"ה על דברי הרשב"ם</w:t>
      </w:r>
      <w:r>
        <w:rPr>
          <w:rtl/>
        </w:rPr>
        <w:t xml:space="preserve"> ביאר </w:t>
      </w:r>
      <w:r>
        <w:rPr>
          <w:rStyle w:val="affa"/>
          <w:rtl/>
        </w:rPr>
        <w:t>המהרש"ל</w:t>
      </w:r>
      <w:r>
        <w:rPr>
          <w:rtl/>
        </w:rPr>
        <w:t xml:space="preserve"> </w:t>
      </w:r>
      <w:r w:rsidRPr="00D23455">
        <w:rPr>
          <w:rStyle w:val="aff6"/>
          <w:rtl/>
        </w:rPr>
        <w:t>(ד"ה בהג"ה לא)</w:t>
      </w:r>
      <w:r>
        <w:rPr>
          <w:rtl/>
        </w:rPr>
        <w:t xml:space="preserve"> דכוונתו לדחות את ביאור </w:t>
      </w:r>
      <w:r>
        <w:rPr>
          <w:rStyle w:val="affa"/>
          <w:rtl/>
        </w:rPr>
        <w:t>הרשב"ם</w:t>
      </w:r>
      <w:r>
        <w:rPr>
          <w:rtl/>
        </w:rPr>
        <w:t xml:space="preserve"> </w:t>
      </w:r>
      <w:r>
        <w:rPr>
          <w:rStyle w:val="af7"/>
          <w:rFonts w:eastAsia="Guttman Hodes" w:hint="cs"/>
          <w:rtl/>
        </w:rPr>
        <w:t>(</w:t>
      </w:r>
      <w:r w:rsidRPr="00D23455">
        <w:rPr>
          <w:rStyle w:val="aff6"/>
          <w:rFonts w:hint="cs"/>
          <w:rtl/>
        </w:rPr>
        <w:t xml:space="preserve">עי' אות </w:t>
      </w:r>
      <w:r w:rsidRPr="00D23455">
        <w:rPr>
          <w:rStyle w:val="aff6"/>
          <w:rFonts w:hint="cs"/>
          <w:rtl/>
        </w:rPr>
        <w:fldChar w:fldCharType="begin"/>
      </w:r>
      <w:r w:rsidRPr="00D23455">
        <w:rPr>
          <w:rStyle w:val="aff6"/>
          <w:rFonts w:hint="cs"/>
          <w:rtl/>
        </w:rPr>
        <w:instrText xml:space="preserve"> </w:instrText>
      </w:r>
      <w:r w:rsidRPr="00D23455">
        <w:rPr>
          <w:rStyle w:val="aff6"/>
        </w:rPr>
        <w:instrText>REF</w:instrText>
      </w:r>
      <w:r w:rsidRPr="00D23455">
        <w:rPr>
          <w:rStyle w:val="aff6"/>
          <w:rFonts w:hint="cs"/>
          <w:rtl/>
        </w:rPr>
        <w:instrText xml:space="preserve"> _</w:instrText>
      </w:r>
      <w:r w:rsidRPr="00D23455">
        <w:rPr>
          <w:rStyle w:val="aff6"/>
        </w:rPr>
        <w:instrText>Ref64303077 \r \h</w:instrText>
      </w:r>
      <w:r w:rsidRPr="00D23455">
        <w:rPr>
          <w:rStyle w:val="aff6"/>
          <w:rFonts w:hint="cs"/>
          <w:rtl/>
        </w:rPr>
        <w:instrText xml:space="preserve">  \* </w:instrText>
      </w:r>
      <w:r w:rsidRPr="00D23455">
        <w:rPr>
          <w:rStyle w:val="aff6"/>
        </w:rPr>
        <w:instrText>MERGEFORMAT</w:instrText>
      </w:r>
      <w:r w:rsidRPr="00D23455">
        <w:rPr>
          <w:rStyle w:val="aff6"/>
          <w:rFonts w:hint="cs"/>
          <w:rtl/>
        </w:rPr>
        <w:instrText xml:space="preserve"> </w:instrText>
      </w:r>
      <w:r w:rsidRPr="00D23455">
        <w:rPr>
          <w:rStyle w:val="aff6"/>
          <w:rFonts w:hint="cs"/>
          <w:rtl/>
        </w:rPr>
      </w:r>
      <w:r w:rsidRPr="00D23455">
        <w:rPr>
          <w:rStyle w:val="aff6"/>
          <w:rFonts w:hint="cs"/>
          <w:rtl/>
        </w:rPr>
        <w:fldChar w:fldCharType="separate"/>
      </w:r>
      <w:r>
        <w:rPr>
          <w:rStyle w:val="aff6"/>
          <w:rFonts w:hint="eastAsia"/>
          <w:cs/>
        </w:rPr>
        <w:t>‎</w:t>
      </w:r>
      <w:r>
        <w:rPr>
          <w:rStyle w:val="aff6"/>
          <w:rFonts w:hint="eastAsia"/>
          <w:rtl/>
        </w:rPr>
        <w:t>לח</w:t>
      </w:r>
      <w:r>
        <w:rPr>
          <w:rStyle w:val="aff6"/>
          <w:rtl/>
        </w:rPr>
        <w:t>)</w:t>
      </w:r>
      <w:r w:rsidRPr="00D23455">
        <w:rPr>
          <w:rStyle w:val="aff6"/>
          <w:rFonts w:hint="cs"/>
          <w:rtl/>
        </w:rPr>
        <w:fldChar w:fldCharType="end"/>
      </w:r>
      <w:r>
        <w:rPr>
          <w:rStyle w:val="af7"/>
          <w:rFonts w:eastAsia="Guttman Hodes" w:hint="cs"/>
          <w:rtl/>
        </w:rPr>
        <w:t xml:space="preserve"> </w:t>
      </w:r>
      <w:r>
        <w:rPr>
          <w:rtl/>
        </w:rPr>
        <w:t xml:space="preserve">בגירסת </w:t>
      </w:r>
      <w:r>
        <w:rPr>
          <w:rStyle w:val="affa"/>
          <w:rtl/>
        </w:rPr>
        <w:t>ר"ח</w:t>
      </w:r>
      <w:r>
        <w:rPr>
          <w:rtl/>
        </w:rPr>
        <w:t>,</w:t>
      </w:r>
      <w:r>
        <w:rPr>
          <w:rStyle w:val="af9"/>
          <w:rtl/>
        </w:rPr>
        <w:t xml:space="preserve"> </w:t>
      </w:r>
      <w:r>
        <w:rPr>
          <w:rtl/>
        </w:rPr>
        <w:t>דלא איירי דההוא גברא הודה שהוא אכל את הפירות, אלא איירי כדביאר</w:t>
      </w:r>
      <w:r>
        <w:rPr>
          <w:rStyle w:val="af9"/>
          <w:rtl/>
        </w:rPr>
        <w:t xml:space="preserve"> </w:t>
      </w:r>
      <w:r>
        <w:rPr>
          <w:rStyle w:val="affa"/>
          <w:rtl/>
        </w:rPr>
        <w:t>הרשב"ם</w:t>
      </w:r>
      <w:r>
        <w:rPr>
          <w:rtl/>
        </w:rPr>
        <w:t xml:space="preserve"> </w:t>
      </w:r>
      <w:r w:rsidRPr="00D23455">
        <w:rPr>
          <w:rStyle w:val="aff6"/>
          <w:rFonts w:hint="cs"/>
          <w:rtl/>
        </w:rPr>
        <w:t xml:space="preserve">(עי' אות </w:t>
      </w:r>
      <w:r w:rsidRPr="00D23455">
        <w:rPr>
          <w:rStyle w:val="aff6"/>
          <w:rFonts w:hint="cs"/>
          <w:rtl/>
        </w:rPr>
        <w:fldChar w:fldCharType="begin"/>
      </w:r>
      <w:r w:rsidRPr="00D23455">
        <w:rPr>
          <w:rStyle w:val="aff6"/>
          <w:rFonts w:hint="cs"/>
          <w:rtl/>
        </w:rPr>
        <w:instrText xml:space="preserve"> </w:instrText>
      </w:r>
      <w:r w:rsidRPr="00D23455">
        <w:rPr>
          <w:rStyle w:val="aff6"/>
        </w:rPr>
        <w:instrText>REF</w:instrText>
      </w:r>
      <w:r w:rsidRPr="00D23455">
        <w:rPr>
          <w:rStyle w:val="aff6"/>
          <w:rFonts w:hint="cs"/>
          <w:rtl/>
        </w:rPr>
        <w:instrText xml:space="preserve"> _</w:instrText>
      </w:r>
      <w:r w:rsidRPr="00D23455">
        <w:rPr>
          <w:rStyle w:val="aff6"/>
        </w:rPr>
        <w:instrText>Ref64302897 \r \h</w:instrText>
      </w:r>
      <w:r w:rsidRPr="00D23455">
        <w:rPr>
          <w:rStyle w:val="aff6"/>
          <w:rFonts w:hint="cs"/>
          <w:rtl/>
        </w:rPr>
        <w:instrText xml:space="preserve">  \* </w:instrText>
      </w:r>
      <w:r w:rsidRPr="00D23455">
        <w:rPr>
          <w:rStyle w:val="aff6"/>
        </w:rPr>
        <w:instrText>MERGEFORMAT</w:instrText>
      </w:r>
      <w:r w:rsidRPr="00D23455">
        <w:rPr>
          <w:rStyle w:val="aff6"/>
          <w:rFonts w:hint="cs"/>
          <w:rtl/>
        </w:rPr>
        <w:instrText xml:space="preserve"> </w:instrText>
      </w:r>
      <w:r w:rsidRPr="00D23455">
        <w:rPr>
          <w:rStyle w:val="aff6"/>
          <w:rFonts w:hint="cs"/>
          <w:rtl/>
        </w:rPr>
      </w:r>
      <w:r w:rsidRPr="00D23455">
        <w:rPr>
          <w:rStyle w:val="aff6"/>
          <w:rFonts w:hint="cs"/>
          <w:rtl/>
        </w:rPr>
        <w:fldChar w:fldCharType="separate"/>
      </w:r>
      <w:r>
        <w:rPr>
          <w:rStyle w:val="aff6"/>
          <w:rFonts w:hint="eastAsia"/>
          <w:cs/>
        </w:rPr>
        <w:t>‎</w:t>
      </w:r>
      <w:r>
        <w:rPr>
          <w:rStyle w:val="aff6"/>
          <w:rFonts w:hint="eastAsia"/>
          <w:rtl/>
        </w:rPr>
        <w:t>נא</w:t>
      </w:r>
      <w:r>
        <w:rPr>
          <w:rStyle w:val="aff6"/>
          <w:rtl/>
        </w:rPr>
        <w:t>)</w:t>
      </w:r>
      <w:r w:rsidRPr="00D23455">
        <w:rPr>
          <w:rStyle w:val="aff6"/>
          <w:rFonts w:hint="cs"/>
          <w:rtl/>
        </w:rPr>
        <w:fldChar w:fldCharType="end"/>
      </w:r>
      <w:r>
        <w:rPr>
          <w:rtl/>
        </w:rPr>
        <w:t xml:space="preserve"> שהיו עדים שאכל את הפירות ואינו יכול לכפור בזה, וההוא גברא הודה על הקרקע, ומ"מ מה שאכל עד עכשיו א"א להוציא ממנו, כיון שאין עדים שרב אידי קרוב יותר ממנו, א"כ כל מה שאנו יודעים שרב אידי יותר קרוב ממנו הוא מכח הודאתו, ולכן אמר רב חסדא דא"א להוציא ממנו את הפירות שאכל, ואביי ורבא סברי דכיון שהודה שאכל פירות א"כ הודאת בע"ד כמאה עדים, ופיו חייבו ממון לכן מוציאין ממנו, אך הקשה </w:t>
      </w:r>
      <w:r>
        <w:rPr>
          <w:rStyle w:val="affa"/>
          <w:rtl/>
        </w:rPr>
        <w:t>בההג"ה על הרשב"ם</w:t>
      </w:r>
      <w:r>
        <w:rPr>
          <w:rtl/>
        </w:rPr>
        <w:t xml:space="preserve"> דא"כ אמאי פליג רב חסדא על אביי ורבא בזה</w:t>
      </w:r>
      <w:r>
        <w:rPr>
          <w:rFonts w:hint="cs"/>
          <w:rtl/>
        </w:rPr>
        <w:t xml:space="preserve">, </w:t>
      </w:r>
      <w:r>
        <w:rPr>
          <w:rtl/>
        </w:rPr>
        <w:t xml:space="preserve">אבל </w:t>
      </w:r>
      <w:r w:rsidRPr="00ED6674">
        <w:rPr>
          <w:rStyle w:val="affa"/>
          <w:rtl/>
        </w:rPr>
        <w:t>המהרש"א</w:t>
      </w:r>
      <w:r>
        <w:rPr>
          <w:rtl/>
        </w:rPr>
        <w:t xml:space="preserve"> </w:t>
      </w:r>
      <w:r w:rsidRPr="00D23455">
        <w:rPr>
          <w:rStyle w:val="aff6"/>
          <w:rtl/>
        </w:rPr>
        <w:t xml:space="preserve">(ד"ה </w:t>
      </w:r>
      <w:r w:rsidRPr="00ED6674">
        <w:rPr>
          <w:rStyle w:val="aff6"/>
          <w:rtl/>
        </w:rPr>
        <w:t>בפרשב"ם</w:t>
      </w:r>
      <w:r w:rsidRPr="00D23455">
        <w:rPr>
          <w:rStyle w:val="aff6"/>
          <w:rtl/>
        </w:rPr>
        <w:t xml:space="preserve"> בהג"ה)</w:t>
      </w:r>
      <w:r>
        <w:rPr>
          <w:rtl/>
        </w:rPr>
        <w:t xml:space="preserve"> האריך להקשות דלא משמע כן בדברי </w:t>
      </w:r>
      <w:r w:rsidRPr="00ED6674">
        <w:rPr>
          <w:rStyle w:val="affa"/>
          <w:rtl/>
        </w:rPr>
        <w:t>ההג"ה על</w:t>
      </w:r>
      <w:r>
        <w:rPr>
          <w:rtl/>
        </w:rPr>
        <w:t xml:space="preserve"> </w:t>
      </w:r>
      <w:r w:rsidRPr="00ED6674">
        <w:rPr>
          <w:rStyle w:val="affa"/>
          <w:rtl/>
        </w:rPr>
        <w:t>הרשב"ם</w:t>
      </w:r>
      <w:r>
        <w:rPr>
          <w:rtl/>
        </w:rPr>
        <w:t xml:space="preserve">, אלא ביאר </w:t>
      </w:r>
      <w:r w:rsidRPr="00ED6674">
        <w:rPr>
          <w:rStyle w:val="affa"/>
          <w:rtl/>
        </w:rPr>
        <w:t>המהרש"א</w:t>
      </w:r>
      <w:r>
        <w:rPr>
          <w:rtl/>
        </w:rPr>
        <w:t xml:space="preserve"> דכוונתו לדחות את גירסת </w:t>
      </w:r>
      <w:r w:rsidRPr="00ED6674">
        <w:rPr>
          <w:rStyle w:val="affa"/>
          <w:rtl/>
        </w:rPr>
        <w:t>ר"ח</w:t>
      </w:r>
      <w:r>
        <w:rPr>
          <w:rtl/>
        </w:rPr>
        <w:t xml:space="preserve"> ולבאר </w:t>
      </w:r>
      <w:r>
        <w:rPr>
          <w:rFonts w:hint="cs"/>
          <w:rtl/>
        </w:rPr>
        <w:t>כ</w:t>
      </w:r>
      <w:r>
        <w:rPr>
          <w:rtl/>
        </w:rPr>
        <w:t xml:space="preserve">גירסת </w:t>
      </w:r>
      <w:r w:rsidRPr="00ED6674">
        <w:rPr>
          <w:rStyle w:val="affa"/>
          <w:rtl/>
        </w:rPr>
        <w:t>הרשב"ם</w:t>
      </w:r>
      <w:r>
        <w:rPr>
          <w:rtl/>
        </w:rPr>
        <w:t xml:space="preserve">, עיי"ש במה שהאריך </w:t>
      </w:r>
      <w:r w:rsidRPr="00ED6674">
        <w:rPr>
          <w:rStyle w:val="affa"/>
          <w:rtl/>
        </w:rPr>
        <w:t>המהרש"א</w:t>
      </w:r>
      <w:r>
        <w:rPr>
          <w:rtl/>
        </w:rPr>
        <w:t xml:space="preserve"> בזה, וע"ע במ"ש </w:t>
      </w:r>
      <w:r w:rsidRPr="00ED6674">
        <w:rPr>
          <w:rStyle w:val="affa"/>
          <w:rtl/>
        </w:rPr>
        <w:t>הפני שלמה</w:t>
      </w:r>
      <w:r>
        <w:rPr>
          <w:rtl/>
        </w:rPr>
        <w:t xml:space="preserve"> </w:t>
      </w:r>
      <w:r w:rsidRPr="00D23455">
        <w:rPr>
          <w:rStyle w:val="aff6"/>
          <w:rtl/>
        </w:rPr>
        <w:t>(ד"ה גם ההג"ה)</w:t>
      </w:r>
      <w:r>
        <w:rPr>
          <w:rtl/>
        </w:rPr>
        <w:t>.</w:t>
      </w:r>
    </w:p>
  </w:footnote>
  <w:footnote w:id="113">
    <w:p w:rsidR="00265073" w:rsidRDefault="00265073" w:rsidP="00103C1B">
      <w:pPr>
        <w:pStyle w:val="af"/>
        <w:rPr>
          <w:rtl/>
        </w:rPr>
      </w:pPr>
      <w:r>
        <w:rPr>
          <w:rStyle w:val="af1"/>
        </w:rPr>
        <w:footnoteRef/>
      </w:r>
      <w:r>
        <w:rPr>
          <w:rtl/>
        </w:rPr>
        <w:t xml:space="preserve"> </w:t>
      </w:r>
      <w:r>
        <w:rPr>
          <w:rFonts w:hint="cs"/>
          <w:rtl/>
        </w:rPr>
        <w:t xml:space="preserve">ועי' במה שביאר </w:t>
      </w:r>
      <w:r w:rsidRPr="00963F5C">
        <w:rPr>
          <w:rStyle w:val="affa"/>
          <w:rFonts w:hint="cs"/>
          <w:rtl/>
        </w:rPr>
        <w:t>הגרעק"א</w:t>
      </w:r>
      <w:r>
        <w:rPr>
          <w:rFonts w:hint="cs"/>
          <w:rtl/>
        </w:rPr>
        <w:t xml:space="preserve"> </w:t>
      </w:r>
      <w:r w:rsidRPr="00963F5C">
        <w:rPr>
          <w:rStyle w:val="aff6"/>
          <w:rFonts w:hint="cs"/>
          <w:rtl/>
        </w:rPr>
        <w:t>(בתוס' במשניות (או' י"ט), נד' בחי' הגרעק"א לעיל כח. ד"ה במתני', ובחי' הגרעק"א השלם [כחול] לג: ד"ה כתב הרע"ב)</w:t>
      </w:r>
      <w:r>
        <w:rPr>
          <w:rFonts w:hint="cs"/>
          <w:rtl/>
        </w:rPr>
        <w:t xml:space="preserve"> דכוונת </w:t>
      </w:r>
      <w:r w:rsidRPr="00963F5C">
        <w:rPr>
          <w:rStyle w:val="affa"/>
          <w:rFonts w:hint="cs"/>
          <w:rtl/>
        </w:rPr>
        <w:t>התוס'</w:t>
      </w:r>
      <w:r>
        <w:rPr>
          <w:rFonts w:hint="cs"/>
          <w:rtl/>
        </w:rPr>
        <w:t xml:space="preserve"> דאינו נאמן על אכילת הפירות מדין ממה נפשך, ובמה שהקשה </w:t>
      </w:r>
      <w:r w:rsidRPr="00963F5C">
        <w:rPr>
          <w:rStyle w:val="affa"/>
          <w:rFonts w:hint="cs"/>
          <w:rtl/>
        </w:rPr>
        <w:t>בחי' רבי נחום</w:t>
      </w:r>
      <w:r>
        <w:rPr>
          <w:rFonts w:hint="cs"/>
          <w:rtl/>
        </w:rPr>
        <w:t xml:space="preserve"> </w:t>
      </w:r>
      <w:r w:rsidRPr="00963F5C">
        <w:rPr>
          <w:rStyle w:val="aff6"/>
          <w:rFonts w:hint="cs"/>
          <w:rtl/>
        </w:rPr>
        <w:t>(או' קע"ד ד"ה ולכ' מהמשך)</w:t>
      </w:r>
      <w:r>
        <w:rPr>
          <w:rFonts w:hint="cs"/>
          <w:rtl/>
        </w:rPr>
        <w:t xml:space="preserve"> על ביאור </w:t>
      </w:r>
      <w:r w:rsidRPr="00963F5C">
        <w:rPr>
          <w:rStyle w:val="affa"/>
          <w:rFonts w:hint="cs"/>
          <w:rtl/>
        </w:rPr>
        <w:t>הגרעק"א</w:t>
      </w:r>
      <w:r>
        <w:rPr>
          <w:rFonts w:hint="cs"/>
          <w:rtl/>
        </w:rPr>
        <w:t xml:space="preserve">, ובמה שביאר </w:t>
      </w:r>
      <w:r w:rsidRPr="00963F5C">
        <w:rPr>
          <w:rStyle w:val="affa"/>
          <w:rFonts w:hint="cs"/>
          <w:rtl/>
        </w:rPr>
        <w:t>בחי' רבי נחום</w:t>
      </w:r>
      <w:r>
        <w:rPr>
          <w:rFonts w:hint="cs"/>
          <w:rtl/>
        </w:rPr>
        <w:t xml:space="preserve"> </w:t>
      </w:r>
      <w:r w:rsidRPr="00963F5C">
        <w:rPr>
          <w:rStyle w:val="aff6"/>
          <w:rFonts w:hint="cs"/>
          <w:rtl/>
        </w:rPr>
        <w:t>(או' קע"ד ד"ה ובביאור</w:t>
      </w:r>
      <w:r>
        <w:rPr>
          <w:rFonts w:hint="cs"/>
          <w:rtl/>
        </w:rPr>
        <w:t xml:space="preserve"> </w:t>
      </w:r>
      <w:r w:rsidRPr="00963F5C">
        <w:rPr>
          <w:rStyle w:val="aff6"/>
          <w:rFonts w:hint="cs"/>
          <w:rtl/>
        </w:rPr>
        <w:t>מש"כ)</w:t>
      </w:r>
      <w:r>
        <w:rPr>
          <w:rFonts w:hint="cs"/>
          <w:rtl/>
        </w:rPr>
        <w:t xml:space="preserve"> בדעת </w:t>
      </w:r>
      <w:r w:rsidRPr="00963F5C">
        <w:rPr>
          <w:rStyle w:val="affa"/>
          <w:rFonts w:hint="cs"/>
          <w:rtl/>
        </w:rPr>
        <w:t>התוס'</w:t>
      </w:r>
      <w:r>
        <w:rPr>
          <w:rFonts w:hint="cs"/>
          <w:rtl/>
        </w:rPr>
        <w:t>.</w:t>
      </w:r>
    </w:p>
    <w:p w:rsidR="00265073" w:rsidRDefault="00265073" w:rsidP="00103C1B">
      <w:pPr>
        <w:pStyle w:val="af"/>
      </w:pPr>
      <w:r>
        <w:rPr>
          <w:rFonts w:hint="cs"/>
          <w:rtl/>
        </w:rPr>
        <w:t xml:space="preserve">וע"ע </w:t>
      </w:r>
      <w:r w:rsidRPr="0041015C">
        <w:rPr>
          <w:rStyle w:val="affa"/>
          <w:rFonts w:hint="cs"/>
          <w:rtl/>
        </w:rPr>
        <w:t xml:space="preserve">בשער משפט בכללי מיגו </w:t>
      </w:r>
      <w:r w:rsidRPr="0041015C">
        <w:rPr>
          <w:rStyle w:val="aff6"/>
          <w:rFonts w:hint="cs"/>
          <w:rtl/>
        </w:rPr>
        <w:t>(סו"ס פ"ב או' ג)</w:t>
      </w:r>
      <w:r>
        <w:rPr>
          <w:rFonts w:hint="cs"/>
          <w:rtl/>
        </w:rPr>
        <w:t xml:space="preserve"> דהביא בשם </w:t>
      </w:r>
      <w:r w:rsidRPr="0041015C">
        <w:rPr>
          <w:rStyle w:val="affa"/>
          <w:rFonts w:hint="cs"/>
          <w:rtl/>
        </w:rPr>
        <w:t>המהרי"ט</w:t>
      </w:r>
      <w:r w:rsidRPr="0041015C">
        <w:rPr>
          <w:rStyle w:val="aff6"/>
          <w:rFonts w:hint="cs"/>
          <w:b/>
          <w:bCs/>
          <w:rtl/>
        </w:rPr>
        <w:t xml:space="preserve"> </w:t>
      </w:r>
      <w:r w:rsidRPr="0041015C">
        <w:rPr>
          <w:rStyle w:val="aff6"/>
          <w:rFonts w:hint="cs"/>
          <w:rtl/>
        </w:rPr>
        <w:t>(ח"א סי' ק"ה ד"ה ומנא</w:t>
      </w:r>
      <w:r>
        <w:rPr>
          <w:rFonts w:hint="cs"/>
          <w:rtl/>
        </w:rPr>
        <w:t xml:space="preserve"> </w:t>
      </w:r>
      <w:r w:rsidRPr="0041015C">
        <w:rPr>
          <w:rStyle w:val="aff6"/>
          <w:rFonts w:hint="cs"/>
          <w:rtl/>
        </w:rPr>
        <w:t>תימרא)</w:t>
      </w:r>
      <w:r>
        <w:rPr>
          <w:rFonts w:hint="cs"/>
          <w:rtl/>
        </w:rPr>
        <w:t xml:space="preserve"> דהוכיח מדברי </w:t>
      </w:r>
      <w:r w:rsidRPr="0041015C">
        <w:rPr>
          <w:rStyle w:val="affa"/>
          <w:rFonts w:hint="cs"/>
          <w:rtl/>
        </w:rPr>
        <w:t xml:space="preserve">התוס' </w:t>
      </w:r>
      <w:r w:rsidRPr="00AA1D4F">
        <w:rPr>
          <w:rStyle w:val="aff6"/>
          <w:rFonts w:hint="cs"/>
          <w:rtl/>
        </w:rPr>
        <w:t xml:space="preserve">(עי' אות </w:t>
      </w:r>
      <w:r w:rsidRPr="00AA1D4F">
        <w:rPr>
          <w:rStyle w:val="aff6"/>
          <w:rtl/>
        </w:rPr>
        <w:fldChar w:fldCharType="begin"/>
      </w:r>
      <w:r w:rsidRPr="00AA1D4F">
        <w:rPr>
          <w:rStyle w:val="aff6"/>
          <w:rtl/>
        </w:rPr>
        <w:instrText xml:space="preserve"> </w:instrText>
      </w:r>
      <w:r w:rsidRPr="00AA1D4F">
        <w:rPr>
          <w:rStyle w:val="aff6"/>
          <w:rFonts w:hint="cs"/>
        </w:rPr>
        <w:instrText>REF</w:instrText>
      </w:r>
      <w:r w:rsidRPr="00AA1D4F">
        <w:rPr>
          <w:rStyle w:val="aff6"/>
          <w:rFonts w:hint="cs"/>
          <w:rtl/>
        </w:rPr>
        <w:instrText xml:space="preserve"> _</w:instrText>
      </w:r>
      <w:r w:rsidRPr="00AA1D4F">
        <w:rPr>
          <w:rStyle w:val="aff6"/>
          <w:rFonts w:hint="cs"/>
        </w:rPr>
        <w:instrText>Ref64389009 \r \h</w:instrText>
      </w:r>
      <w:r w:rsidRPr="00AA1D4F">
        <w:rPr>
          <w:rStyle w:val="aff6"/>
          <w:rtl/>
        </w:rPr>
        <w:instrText xml:space="preserve"> </w:instrText>
      </w:r>
      <w:r w:rsidRPr="00AA1D4F">
        <w:rPr>
          <w:rStyle w:val="aff6"/>
          <w:rtl/>
        </w:rPr>
      </w:r>
      <w:r w:rsidRPr="00AA1D4F">
        <w:rPr>
          <w:rStyle w:val="aff6"/>
          <w:rtl/>
        </w:rPr>
        <w:fldChar w:fldCharType="separate"/>
      </w:r>
      <w:r>
        <w:rPr>
          <w:rStyle w:val="aff6"/>
          <w:cs/>
        </w:rPr>
        <w:t>‎</w:t>
      </w:r>
      <w:r>
        <w:rPr>
          <w:rStyle w:val="aff6"/>
          <w:rtl/>
        </w:rPr>
        <w:t>פא)</w:t>
      </w:r>
      <w:r w:rsidRPr="00AA1D4F">
        <w:rPr>
          <w:rStyle w:val="aff6"/>
          <w:rtl/>
        </w:rPr>
        <w:fldChar w:fldCharType="end"/>
      </w:r>
      <w:r>
        <w:rPr>
          <w:rStyle w:val="affa"/>
          <w:rFonts w:hint="cs"/>
          <w:rtl/>
        </w:rPr>
        <w:t xml:space="preserve"> </w:t>
      </w:r>
      <w:r>
        <w:rPr>
          <w:rFonts w:hint="cs"/>
          <w:rtl/>
        </w:rPr>
        <w:t xml:space="preserve">דלא מהני מיגו לחצי טענה, ודחה </w:t>
      </w:r>
      <w:r w:rsidRPr="0041015C">
        <w:rPr>
          <w:rStyle w:val="affa"/>
          <w:rFonts w:hint="cs"/>
          <w:rtl/>
        </w:rPr>
        <w:t>השער</w:t>
      </w:r>
      <w:r>
        <w:rPr>
          <w:rFonts w:hint="cs"/>
          <w:rtl/>
        </w:rPr>
        <w:t xml:space="preserve"> </w:t>
      </w:r>
      <w:r w:rsidRPr="0041015C">
        <w:rPr>
          <w:rStyle w:val="affa"/>
          <w:rFonts w:hint="cs"/>
          <w:rtl/>
        </w:rPr>
        <w:t xml:space="preserve">המשפט </w:t>
      </w:r>
      <w:r>
        <w:rPr>
          <w:rFonts w:hint="cs"/>
          <w:rtl/>
        </w:rPr>
        <w:t xml:space="preserve">דהכא ל"מ המיגו כיון שא"א לתת את הקרקע לאחד ואת הפירות לאחר דהפירות נגררים אחר הקרקע, וציין </w:t>
      </w:r>
      <w:r w:rsidRPr="0041015C">
        <w:rPr>
          <w:rStyle w:val="affa"/>
          <w:rFonts w:hint="cs"/>
          <w:rtl/>
        </w:rPr>
        <w:t xml:space="preserve">השער משפט </w:t>
      </w:r>
      <w:r>
        <w:rPr>
          <w:rFonts w:hint="cs"/>
          <w:rtl/>
        </w:rPr>
        <w:t xml:space="preserve">דכן מבואר בדברי </w:t>
      </w:r>
      <w:r w:rsidRPr="0041015C">
        <w:rPr>
          <w:rStyle w:val="affa"/>
          <w:rFonts w:hint="cs"/>
          <w:rtl/>
        </w:rPr>
        <w:t xml:space="preserve">הריב"ש </w:t>
      </w:r>
      <w:r w:rsidRPr="0041015C">
        <w:rPr>
          <w:rStyle w:val="aff6"/>
          <w:rFonts w:hint="cs"/>
          <w:b/>
          <w:bCs/>
          <w:rtl/>
        </w:rPr>
        <w:t>(</w:t>
      </w:r>
      <w:r w:rsidRPr="0041015C">
        <w:rPr>
          <w:rStyle w:val="aff6"/>
          <w:rFonts w:hint="cs"/>
          <w:rtl/>
        </w:rPr>
        <w:t>עי'</w:t>
      </w:r>
      <w:r w:rsidRPr="0041015C">
        <w:rPr>
          <w:rStyle w:val="aff6"/>
          <w:rtl/>
        </w:rPr>
        <w:t xml:space="preserve"> </w:t>
      </w:r>
      <w:r w:rsidRPr="0041015C">
        <w:rPr>
          <w:rStyle w:val="aff6"/>
          <w:rFonts w:hint="cs"/>
          <w:rtl/>
        </w:rPr>
        <w:t xml:space="preserve">אות </w:t>
      </w:r>
      <w:r w:rsidRPr="0041015C">
        <w:rPr>
          <w:rStyle w:val="aff6"/>
          <w:rFonts w:hint="cs"/>
          <w:rtl/>
        </w:rPr>
        <w:fldChar w:fldCharType="begin"/>
      </w:r>
      <w:r w:rsidRPr="0041015C">
        <w:rPr>
          <w:rStyle w:val="aff6"/>
          <w:rFonts w:hint="cs"/>
          <w:rtl/>
        </w:rPr>
        <w:instrText xml:space="preserve"> </w:instrText>
      </w:r>
      <w:r w:rsidRPr="0041015C">
        <w:rPr>
          <w:rStyle w:val="aff6"/>
        </w:rPr>
        <w:instrText>REF</w:instrText>
      </w:r>
      <w:r w:rsidRPr="0041015C">
        <w:rPr>
          <w:rStyle w:val="aff6"/>
          <w:rFonts w:hint="cs"/>
          <w:rtl/>
        </w:rPr>
        <w:instrText xml:space="preserve"> _</w:instrText>
      </w:r>
      <w:r w:rsidRPr="0041015C">
        <w:rPr>
          <w:rStyle w:val="aff6"/>
        </w:rPr>
        <w:instrText>Ref64625697 \r \h</w:instrText>
      </w:r>
      <w:r w:rsidRPr="0041015C">
        <w:rPr>
          <w:rStyle w:val="aff6"/>
          <w:rFonts w:hint="cs"/>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41015C">
        <w:rPr>
          <w:rStyle w:val="aff6"/>
          <w:rFonts w:hint="cs"/>
          <w:rtl/>
        </w:rPr>
      </w:r>
      <w:r w:rsidRPr="0041015C">
        <w:rPr>
          <w:rStyle w:val="aff6"/>
          <w:rFonts w:hint="cs"/>
          <w:rtl/>
        </w:rPr>
        <w:fldChar w:fldCharType="separate"/>
      </w:r>
      <w:r>
        <w:rPr>
          <w:rStyle w:val="aff6"/>
          <w:rFonts w:hint="eastAsia"/>
          <w:cs/>
        </w:rPr>
        <w:t>‎</w:t>
      </w:r>
      <w:r>
        <w:rPr>
          <w:rStyle w:val="aff6"/>
          <w:rFonts w:hint="eastAsia"/>
          <w:rtl/>
        </w:rPr>
        <w:t>צה</w:t>
      </w:r>
      <w:r>
        <w:rPr>
          <w:rStyle w:val="aff6"/>
          <w:rtl/>
        </w:rPr>
        <w:t>)</w:t>
      </w:r>
      <w:r w:rsidRPr="0041015C">
        <w:rPr>
          <w:rStyle w:val="aff6"/>
          <w:rFonts w:hint="cs"/>
          <w:rtl/>
        </w:rPr>
        <w:fldChar w:fldCharType="end"/>
      </w:r>
      <w:r>
        <w:rPr>
          <w:rFonts w:hint="cs"/>
          <w:rtl/>
        </w:rPr>
        <w:t xml:space="preserve">. [ודלא </w:t>
      </w:r>
      <w:r w:rsidRPr="0041015C">
        <w:rPr>
          <w:rStyle w:val="affa"/>
          <w:rFonts w:hint="cs"/>
          <w:rtl/>
        </w:rPr>
        <w:t xml:space="preserve">כהש"ך </w:t>
      </w:r>
      <w:r w:rsidRPr="0041015C">
        <w:rPr>
          <w:rStyle w:val="aff6"/>
          <w:rFonts w:hint="cs"/>
          <w:rtl/>
        </w:rPr>
        <w:t>(עי'</w:t>
      </w:r>
      <w:r>
        <w:rPr>
          <w:rFonts w:hint="cs"/>
          <w:rtl/>
        </w:rPr>
        <w:t xml:space="preserve"> </w:t>
      </w:r>
      <w:r w:rsidRPr="0041015C">
        <w:rPr>
          <w:rStyle w:val="aff6"/>
          <w:rFonts w:hint="cs"/>
          <w:rtl/>
        </w:rPr>
        <w:t xml:space="preserve">אות </w:t>
      </w:r>
      <w:r w:rsidRPr="0041015C">
        <w:rPr>
          <w:rStyle w:val="aff6"/>
          <w:rtl/>
        </w:rPr>
        <w:fldChar w:fldCharType="begin"/>
      </w:r>
      <w:r w:rsidRPr="0041015C">
        <w:rPr>
          <w:rStyle w:val="aff6"/>
          <w:rtl/>
        </w:rPr>
        <w:instrText xml:space="preserve"> </w:instrText>
      </w:r>
      <w:r w:rsidRPr="0041015C">
        <w:rPr>
          <w:rStyle w:val="aff6"/>
          <w:rFonts w:hint="cs"/>
        </w:rPr>
        <w:instrText>REF</w:instrText>
      </w:r>
      <w:r w:rsidRPr="0041015C">
        <w:rPr>
          <w:rStyle w:val="aff6"/>
          <w:rFonts w:hint="cs"/>
          <w:rtl/>
        </w:rPr>
        <w:instrText xml:space="preserve"> _</w:instrText>
      </w:r>
      <w:r w:rsidRPr="0041015C">
        <w:rPr>
          <w:rStyle w:val="aff6"/>
          <w:rFonts w:hint="cs"/>
        </w:rPr>
        <w:instrText>Ref64542143 \r \h</w:instrText>
      </w:r>
      <w:r w:rsidRPr="0041015C">
        <w:rPr>
          <w:rStyle w:val="aff6"/>
          <w:rtl/>
        </w:rPr>
        <w:instrText xml:space="preserve"> </w:instrText>
      </w:r>
      <w:r>
        <w:rPr>
          <w:rStyle w:val="aff6"/>
          <w:rtl/>
        </w:rPr>
        <w:instrText xml:space="preserve"> \* </w:instrText>
      </w:r>
      <w:r>
        <w:rPr>
          <w:rStyle w:val="aff6"/>
        </w:rPr>
        <w:instrText>MERGEFORMAT</w:instrText>
      </w:r>
      <w:r>
        <w:rPr>
          <w:rStyle w:val="aff6"/>
          <w:rtl/>
        </w:rPr>
        <w:instrText xml:space="preserve"> </w:instrText>
      </w:r>
      <w:r w:rsidRPr="0041015C">
        <w:rPr>
          <w:rStyle w:val="aff6"/>
          <w:rtl/>
        </w:rPr>
      </w:r>
      <w:r w:rsidRPr="0041015C">
        <w:rPr>
          <w:rStyle w:val="aff6"/>
          <w:rtl/>
        </w:rPr>
        <w:fldChar w:fldCharType="separate"/>
      </w:r>
      <w:r>
        <w:rPr>
          <w:rStyle w:val="aff6"/>
          <w:cs/>
        </w:rPr>
        <w:t>‎</w:t>
      </w:r>
      <w:r>
        <w:rPr>
          <w:rStyle w:val="aff6"/>
          <w:rtl/>
        </w:rPr>
        <w:t>פג)</w:t>
      </w:r>
      <w:r w:rsidRPr="0041015C">
        <w:rPr>
          <w:rStyle w:val="aff6"/>
          <w:rtl/>
        </w:rPr>
        <w:fldChar w:fldCharType="end"/>
      </w:r>
      <w:r>
        <w:rPr>
          <w:rFonts w:hint="cs"/>
          <w:rtl/>
        </w:rPr>
        <w:t xml:space="preserve"> דכתב </w:t>
      </w:r>
      <w:r w:rsidRPr="0041015C">
        <w:rPr>
          <w:rStyle w:val="affa"/>
          <w:rFonts w:hint="cs"/>
          <w:rtl/>
        </w:rPr>
        <w:t xml:space="preserve">דהריב"ש </w:t>
      </w:r>
      <w:r>
        <w:rPr>
          <w:rFonts w:hint="cs"/>
          <w:rtl/>
        </w:rPr>
        <w:t xml:space="preserve">פליג על </w:t>
      </w:r>
      <w:r w:rsidRPr="0041015C">
        <w:rPr>
          <w:rStyle w:val="affa"/>
          <w:rFonts w:hint="cs"/>
          <w:rtl/>
        </w:rPr>
        <w:t>התוס'</w:t>
      </w:r>
      <w:r>
        <w:rPr>
          <w:rFonts w:hint="cs"/>
          <w:rtl/>
        </w:rPr>
        <w:t xml:space="preserve">], וע"ע בדברי </w:t>
      </w:r>
      <w:r w:rsidRPr="0041015C">
        <w:rPr>
          <w:rStyle w:val="affa"/>
          <w:rFonts w:hint="cs"/>
          <w:rtl/>
        </w:rPr>
        <w:t xml:space="preserve">הנתיה"מ בכללי מיגו </w:t>
      </w:r>
      <w:r w:rsidRPr="0041015C">
        <w:rPr>
          <w:rStyle w:val="aff6"/>
          <w:rFonts w:hint="cs"/>
          <w:rtl/>
        </w:rPr>
        <w:t>(סו"ס פ"ב או' י"א)</w:t>
      </w:r>
      <w:r>
        <w:rPr>
          <w:rFonts w:hint="cs"/>
          <w:rtl/>
        </w:rPr>
        <w:t xml:space="preserve"> במ"ש בדין מיגו לחצי טענה.</w:t>
      </w:r>
    </w:p>
  </w:footnote>
  <w:footnote w:id="114">
    <w:p w:rsidR="00265073" w:rsidRPr="0043675E" w:rsidRDefault="00265073" w:rsidP="000F5507">
      <w:pPr>
        <w:pStyle w:val="af"/>
        <w:rPr>
          <w:rStyle w:val="afb"/>
          <w:rtl/>
        </w:rPr>
      </w:pPr>
      <w:r>
        <w:rPr>
          <w:rStyle w:val="af1"/>
        </w:rPr>
        <w:footnoteRef/>
      </w:r>
      <w:r>
        <w:rPr>
          <w:rtl/>
        </w:rPr>
        <w:t xml:space="preserve"> </w:t>
      </w:r>
      <w:r>
        <w:rPr>
          <w:rStyle w:val="afb"/>
          <w:rFonts w:hint="cs"/>
          <w:rtl/>
        </w:rPr>
        <w:t xml:space="preserve">גי' </w:t>
      </w:r>
      <w:r w:rsidRPr="009C5BEB">
        <w:rPr>
          <w:rStyle w:val="affa"/>
          <w:rFonts w:hint="cs"/>
          <w:rtl/>
        </w:rPr>
        <w:t>הבה"ג והרא"ש</w:t>
      </w:r>
      <w:r>
        <w:rPr>
          <w:rStyle w:val="afb"/>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Ref65689629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מז)</w:t>
      </w:r>
      <w:r>
        <w:rPr>
          <w:rStyle w:val="aff6"/>
          <w:rtl/>
        </w:rPr>
        <w:fldChar w:fldCharType="end"/>
      </w:r>
      <w:r>
        <w:rPr>
          <w:rStyle w:val="aff6"/>
          <w:rFonts w:hint="cs"/>
          <w:rtl/>
        </w:rPr>
        <w:t xml:space="preserve"> </w:t>
      </w:r>
      <w:r>
        <w:rPr>
          <w:rStyle w:val="afb"/>
          <w:rFonts w:hint="cs"/>
          <w:rtl/>
        </w:rPr>
        <w:t xml:space="preserve">היא </w:t>
      </w:r>
      <w:r>
        <w:rPr>
          <w:rFonts w:hint="cs"/>
          <w:rtl/>
        </w:rPr>
        <w:t>"</w:t>
      </w:r>
      <w:r>
        <w:rPr>
          <w:rtl/>
        </w:rPr>
        <w:t>כיון דאמר מחטף חטפה</w:t>
      </w:r>
      <w:r>
        <w:rPr>
          <w:rFonts w:hint="cs"/>
          <w:rtl/>
        </w:rPr>
        <w:t>,</w:t>
      </w:r>
      <w:r>
        <w:rPr>
          <w:rtl/>
        </w:rPr>
        <w:t xml:space="preserve"> הוה ליה כגזלן</w:t>
      </w:r>
      <w:r>
        <w:rPr>
          <w:rFonts w:hint="cs"/>
          <w:rtl/>
        </w:rPr>
        <w:t xml:space="preserve">" </w:t>
      </w:r>
      <w:r>
        <w:rPr>
          <w:rStyle w:val="afb"/>
          <w:rFonts w:hint="cs"/>
          <w:rtl/>
        </w:rPr>
        <w:t xml:space="preserve">ומשמע דמחמת שאמר שחטף נעשה כמו גזלן, ואינה </w:t>
      </w:r>
      <w:r w:rsidRPr="002F7C87">
        <w:rPr>
          <w:rStyle w:val="afb"/>
          <w:rFonts w:hint="cs"/>
          <w:rtl/>
        </w:rPr>
        <w:t xml:space="preserve">כגי' </w:t>
      </w:r>
      <w:r>
        <w:rPr>
          <w:rStyle w:val="afb"/>
          <w:rFonts w:hint="cs"/>
          <w:rtl/>
        </w:rPr>
        <w:t>הנוסחאות שהביאו</w:t>
      </w:r>
      <w:r w:rsidRPr="00466489">
        <w:rPr>
          <w:rStyle w:val="afb"/>
          <w:rFonts w:hint="cs"/>
          <w:rtl/>
        </w:rPr>
        <w:t xml:space="preserve"> </w:t>
      </w:r>
      <w:r w:rsidRPr="002F7C87">
        <w:rPr>
          <w:rStyle w:val="affa"/>
          <w:rFonts w:hint="cs"/>
          <w:rtl/>
        </w:rPr>
        <w:t>ר"ח והראשונים</w:t>
      </w:r>
      <w:r w:rsidRPr="002F7C87">
        <w:rPr>
          <w:rStyle w:val="afb"/>
          <w:rFonts w:hint="cs"/>
          <w:rtl/>
        </w:rPr>
        <w:t xml:space="preserve"> </w:t>
      </w:r>
      <w:r w:rsidRPr="003A77BF">
        <w:rPr>
          <w:rStyle w:val="aff6"/>
          <w:rFonts w:hint="cs"/>
          <w:rtl/>
        </w:rPr>
        <w:t xml:space="preserve">(עי' אות </w:t>
      </w:r>
      <w:r w:rsidRPr="003A77BF">
        <w:rPr>
          <w:rStyle w:val="aff6"/>
          <w:rtl/>
        </w:rPr>
        <w:fldChar w:fldCharType="begin"/>
      </w:r>
      <w:r w:rsidRPr="003A77BF">
        <w:rPr>
          <w:rStyle w:val="aff6"/>
          <w:rtl/>
        </w:rPr>
        <w:instrText xml:space="preserve"> </w:instrText>
      </w:r>
      <w:r w:rsidRPr="003A77BF">
        <w:rPr>
          <w:rStyle w:val="aff6"/>
          <w:rFonts w:hint="cs"/>
        </w:rPr>
        <w:instrText>REF</w:instrText>
      </w:r>
      <w:r w:rsidRPr="003A77BF">
        <w:rPr>
          <w:rStyle w:val="aff6"/>
          <w:rFonts w:hint="cs"/>
          <w:rtl/>
        </w:rPr>
        <w:instrText xml:space="preserve"> _</w:instrText>
      </w:r>
      <w:r w:rsidRPr="003A77BF">
        <w:rPr>
          <w:rStyle w:val="aff6"/>
          <w:rFonts w:hint="cs"/>
        </w:rPr>
        <w:instrText>Ref65689666 \r \h</w:instrText>
      </w:r>
      <w:r w:rsidRPr="003A77BF">
        <w:rPr>
          <w:rStyle w:val="aff6"/>
          <w:rtl/>
        </w:rPr>
        <w:instrText xml:space="preserve"> </w:instrText>
      </w:r>
      <w:r w:rsidRPr="003A77BF">
        <w:rPr>
          <w:rStyle w:val="aff6"/>
          <w:rtl/>
        </w:rPr>
      </w:r>
      <w:r w:rsidRPr="003A77BF">
        <w:rPr>
          <w:rStyle w:val="aff6"/>
          <w:rtl/>
        </w:rPr>
        <w:fldChar w:fldCharType="separate"/>
      </w:r>
      <w:r>
        <w:rPr>
          <w:rStyle w:val="aff6"/>
          <w:cs/>
        </w:rPr>
        <w:t>‎</w:t>
      </w:r>
      <w:r>
        <w:rPr>
          <w:rStyle w:val="aff6"/>
          <w:rtl/>
        </w:rPr>
        <w:t>מט)</w:t>
      </w:r>
      <w:r w:rsidRPr="003A77BF">
        <w:rPr>
          <w:rStyle w:val="aff6"/>
          <w:rtl/>
        </w:rPr>
        <w:fldChar w:fldCharType="end"/>
      </w:r>
      <w:r>
        <w:rPr>
          <w:rStyle w:val="aff6"/>
          <w:rFonts w:hint="cs"/>
          <w:rtl/>
        </w:rPr>
        <w:t xml:space="preserve"> </w:t>
      </w:r>
      <w:r>
        <w:rPr>
          <w:rFonts w:hint="cs"/>
          <w:rtl/>
        </w:rPr>
        <w:t>"</w:t>
      </w:r>
      <w:r>
        <w:rPr>
          <w:rtl/>
        </w:rPr>
        <w:t>לישתבע הוה ליה כגזלן</w:t>
      </w:r>
      <w:r>
        <w:rPr>
          <w:rFonts w:hint="cs"/>
          <w:rtl/>
        </w:rPr>
        <w:t>"</w:t>
      </w:r>
      <w:r>
        <w:rPr>
          <w:rStyle w:val="afb"/>
          <w:rFonts w:hint="cs"/>
          <w:rtl/>
        </w:rPr>
        <w:t xml:space="preserve">, ומשמע מדבריהם דלא גרסינן </w:t>
      </w:r>
      <w:r>
        <w:rPr>
          <w:rFonts w:hint="cs"/>
          <w:rtl/>
        </w:rPr>
        <w:t>"</w:t>
      </w:r>
      <w:r>
        <w:rPr>
          <w:rtl/>
        </w:rPr>
        <w:t>כיון דאמר מחטף חטפה</w:t>
      </w:r>
      <w:r>
        <w:rPr>
          <w:rFonts w:hint="cs"/>
          <w:rtl/>
        </w:rPr>
        <w:t>"</w:t>
      </w:r>
      <w:r>
        <w:rPr>
          <w:rStyle w:val="afb"/>
          <w:rFonts w:hint="cs"/>
          <w:rtl/>
        </w:rPr>
        <w:t xml:space="preserve">, וא"כ משמע שהוא גזלן ממש, ולכן הוצרכו </w:t>
      </w:r>
      <w:r w:rsidRPr="00731882">
        <w:rPr>
          <w:rStyle w:val="affa"/>
          <w:rFonts w:hint="cs"/>
          <w:rtl/>
        </w:rPr>
        <w:t>ר"ח והראשונים</w:t>
      </w:r>
      <w:r>
        <w:rPr>
          <w:rStyle w:val="afb"/>
          <w:rFonts w:hint="cs"/>
          <w:rtl/>
        </w:rPr>
        <w:t xml:space="preserve"> </w:t>
      </w:r>
      <w:r w:rsidRPr="003A77BF">
        <w:rPr>
          <w:rStyle w:val="aff6"/>
          <w:rFonts w:hint="cs"/>
          <w:rtl/>
        </w:rPr>
        <w:t xml:space="preserve">(עי' </w:t>
      </w:r>
      <w:r>
        <w:rPr>
          <w:rStyle w:val="aff6"/>
          <w:rFonts w:hint="cs"/>
          <w:rtl/>
        </w:rPr>
        <w:t xml:space="preserve">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Ref65690143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נ)</w:t>
      </w:r>
      <w:r>
        <w:rPr>
          <w:rStyle w:val="aff6"/>
          <w:rtl/>
        </w:rPr>
        <w:fldChar w:fldCharType="end"/>
      </w:r>
      <w:r>
        <w:rPr>
          <w:rStyle w:val="aff6"/>
          <w:rFonts w:hint="cs"/>
          <w:rtl/>
        </w:rPr>
        <w:t xml:space="preserve"> </w:t>
      </w:r>
      <w:r>
        <w:rPr>
          <w:rStyle w:val="afb"/>
          <w:rFonts w:hint="cs"/>
          <w:rtl/>
        </w:rPr>
        <w:t xml:space="preserve">לבאר דאין הכוונה שהוא כגזלן ממש. </w:t>
      </w:r>
    </w:p>
    <w:p w:rsidR="00265073" w:rsidRDefault="00265073" w:rsidP="000F5507">
      <w:pPr>
        <w:pStyle w:val="af"/>
        <w:rPr>
          <w:rStyle w:val="afb"/>
          <w:rtl/>
        </w:rPr>
      </w:pPr>
      <w:r>
        <w:rPr>
          <w:rStyle w:val="afb"/>
          <w:rFonts w:hint="cs"/>
          <w:rtl/>
        </w:rPr>
        <w:t xml:space="preserve">וכן לגי' </w:t>
      </w:r>
      <w:r w:rsidRPr="009C5BEB">
        <w:rPr>
          <w:rStyle w:val="affa"/>
          <w:rFonts w:hint="cs"/>
          <w:rtl/>
        </w:rPr>
        <w:t>הבה"ג והרא"ש</w:t>
      </w:r>
      <w:r>
        <w:rPr>
          <w:rStyle w:val="afb"/>
          <w:rFonts w:hint="cs"/>
          <w:rtl/>
        </w:rPr>
        <w:t xml:space="preserve"> </w:t>
      </w:r>
      <w:r>
        <w:rPr>
          <w:rStyle w:val="aff6"/>
          <w:rFonts w:hint="cs"/>
          <w:rtl/>
        </w:rPr>
        <w:t xml:space="preserve">(עי' אות </w:t>
      </w:r>
      <w:r>
        <w:rPr>
          <w:rStyle w:val="aff6"/>
          <w:rtl/>
        </w:rPr>
        <w:fldChar w:fldCharType="begin"/>
      </w:r>
      <w:r>
        <w:rPr>
          <w:rStyle w:val="aff6"/>
          <w:rtl/>
        </w:rPr>
        <w:instrText xml:space="preserve"> </w:instrText>
      </w:r>
      <w:r>
        <w:rPr>
          <w:rStyle w:val="aff6"/>
          <w:rFonts w:hint="cs"/>
        </w:rPr>
        <w:instrText>REF</w:instrText>
      </w:r>
      <w:r>
        <w:rPr>
          <w:rStyle w:val="aff6"/>
          <w:rFonts w:hint="cs"/>
          <w:rtl/>
        </w:rPr>
        <w:instrText xml:space="preserve"> _</w:instrText>
      </w:r>
      <w:r>
        <w:rPr>
          <w:rStyle w:val="aff6"/>
          <w:rFonts w:hint="cs"/>
        </w:rPr>
        <w:instrText>Ref65689629 \r \h</w:instrText>
      </w:r>
      <w:r>
        <w:rPr>
          <w:rStyle w:val="aff6"/>
          <w:rtl/>
        </w:rPr>
        <w:instrText xml:space="preserve"> </w:instrText>
      </w:r>
      <w:r>
        <w:rPr>
          <w:rStyle w:val="aff6"/>
          <w:rtl/>
        </w:rPr>
      </w:r>
      <w:r>
        <w:rPr>
          <w:rStyle w:val="aff6"/>
          <w:rtl/>
        </w:rPr>
        <w:fldChar w:fldCharType="separate"/>
      </w:r>
      <w:r>
        <w:rPr>
          <w:rStyle w:val="aff6"/>
          <w:cs/>
        </w:rPr>
        <w:t>‎</w:t>
      </w:r>
      <w:r>
        <w:rPr>
          <w:rStyle w:val="aff6"/>
          <w:rtl/>
        </w:rPr>
        <w:t>מז)</w:t>
      </w:r>
      <w:r>
        <w:rPr>
          <w:rStyle w:val="aff6"/>
          <w:rtl/>
        </w:rPr>
        <w:fldChar w:fldCharType="end"/>
      </w:r>
      <w:r>
        <w:rPr>
          <w:rStyle w:val="afb"/>
          <w:rFonts w:hint="cs"/>
          <w:rtl/>
        </w:rPr>
        <w:t xml:space="preserve"> לא גרסינן כגי' </w:t>
      </w:r>
      <w:r w:rsidRPr="009C5BEB">
        <w:rPr>
          <w:rStyle w:val="affa"/>
          <w:rFonts w:hint="cs"/>
          <w:rtl/>
        </w:rPr>
        <w:t>הרי"ף</w:t>
      </w:r>
      <w:r>
        <w:rPr>
          <w:rStyle w:val="afb"/>
          <w:rFonts w:hint="cs"/>
          <w:rtl/>
        </w:rPr>
        <w:t xml:space="preserve"> </w:t>
      </w:r>
      <w:r w:rsidRPr="00971FF1">
        <w:rPr>
          <w:rStyle w:val="aff6"/>
          <w:rFonts w:hint="cs"/>
          <w:rtl/>
        </w:rPr>
        <w:t xml:space="preserve">(עי' אות </w:t>
      </w:r>
      <w:r w:rsidRPr="00971FF1">
        <w:rPr>
          <w:rStyle w:val="aff6"/>
          <w:rtl/>
        </w:rPr>
        <w:fldChar w:fldCharType="begin"/>
      </w:r>
      <w:r w:rsidRPr="00971FF1">
        <w:rPr>
          <w:rStyle w:val="aff6"/>
          <w:rtl/>
        </w:rPr>
        <w:instrText xml:space="preserve"> </w:instrText>
      </w:r>
      <w:r w:rsidRPr="00971FF1">
        <w:rPr>
          <w:rStyle w:val="aff6"/>
          <w:rFonts w:hint="cs"/>
        </w:rPr>
        <w:instrText>REF</w:instrText>
      </w:r>
      <w:r w:rsidRPr="00971FF1">
        <w:rPr>
          <w:rStyle w:val="aff6"/>
          <w:rFonts w:hint="cs"/>
          <w:rtl/>
        </w:rPr>
        <w:instrText xml:space="preserve"> _</w:instrText>
      </w:r>
      <w:r w:rsidRPr="00971FF1">
        <w:rPr>
          <w:rStyle w:val="aff6"/>
          <w:rFonts w:hint="cs"/>
        </w:rPr>
        <w:instrText>Ref65689731 \r \h</w:instrText>
      </w:r>
      <w:r w:rsidRPr="00971FF1">
        <w:rPr>
          <w:rStyle w:val="aff6"/>
          <w:rtl/>
        </w:rPr>
        <w:instrText xml:space="preserve"> </w:instrText>
      </w:r>
      <w:r w:rsidRPr="00971FF1">
        <w:rPr>
          <w:rStyle w:val="aff6"/>
          <w:rtl/>
        </w:rPr>
      </w:r>
      <w:r w:rsidRPr="00971FF1">
        <w:rPr>
          <w:rStyle w:val="aff6"/>
          <w:rtl/>
        </w:rPr>
        <w:fldChar w:fldCharType="separate"/>
      </w:r>
      <w:r>
        <w:rPr>
          <w:rStyle w:val="aff6"/>
          <w:cs/>
        </w:rPr>
        <w:t>‎</w:t>
      </w:r>
      <w:r>
        <w:rPr>
          <w:rStyle w:val="aff6"/>
          <w:rtl/>
        </w:rPr>
        <w:t>מה)</w:t>
      </w:r>
      <w:r w:rsidRPr="00971FF1">
        <w:rPr>
          <w:rStyle w:val="aff6"/>
          <w:rtl/>
        </w:rPr>
        <w:fldChar w:fldCharType="end"/>
      </w:r>
      <w:r>
        <w:rPr>
          <w:rStyle w:val="afb"/>
          <w:rFonts w:hint="cs"/>
          <w:rtl/>
        </w:rPr>
        <w:t xml:space="preserve"> דאינו נשבע כיון שהודה, אלא כיון שאמר שחטף הו"ל כגזלן.</w:t>
      </w:r>
    </w:p>
    <w:p w:rsidR="00265073" w:rsidRDefault="00265073" w:rsidP="000F5507">
      <w:pPr>
        <w:pStyle w:val="af"/>
      </w:pPr>
      <w:r>
        <w:rPr>
          <w:rStyle w:val="afb"/>
          <w:rFonts w:hint="cs"/>
          <w:rtl/>
        </w:rPr>
        <w:t>ועי'</w:t>
      </w:r>
      <w:r w:rsidRPr="0043675E">
        <w:rPr>
          <w:rStyle w:val="afb"/>
          <w:rFonts w:hint="cs"/>
          <w:rtl/>
        </w:rPr>
        <w:t xml:space="preserve"> במה שביאר </w:t>
      </w:r>
      <w:r w:rsidRPr="0043675E">
        <w:rPr>
          <w:rStyle w:val="affa"/>
          <w:rFonts w:hint="cs"/>
          <w:rtl/>
        </w:rPr>
        <w:t xml:space="preserve">המרדכי </w:t>
      </w:r>
      <w:r w:rsidRPr="0043675E">
        <w:rPr>
          <w:rStyle w:val="aff6"/>
          <w:rFonts w:hint="cs"/>
          <w:rtl/>
        </w:rPr>
        <w:t xml:space="preserve">(עי' אות </w:t>
      </w:r>
      <w:r w:rsidRPr="0043675E">
        <w:rPr>
          <w:rStyle w:val="aff6"/>
          <w:rtl/>
        </w:rPr>
        <w:fldChar w:fldCharType="begin"/>
      </w:r>
      <w:r w:rsidRPr="0043675E">
        <w:rPr>
          <w:rStyle w:val="aff6"/>
          <w:rtl/>
        </w:rPr>
        <w:instrText xml:space="preserve"> </w:instrText>
      </w:r>
      <w:r w:rsidRPr="0043675E">
        <w:rPr>
          <w:rStyle w:val="aff6"/>
          <w:rFonts w:hint="cs"/>
        </w:rPr>
        <w:instrText>REF</w:instrText>
      </w:r>
      <w:r w:rsidRPr="0043675E">
        <w:rPr>
          <w:rStyle w:val="aff6"/>
          <w:rFonts w:hint="cs"/>
          <w:rtl/>
        </w:rPr>
        <w:instrText xml:space="preserve"> _</w:instrText>
      </w:r>
      <w:r w:rsidRPr="0043675E">
        <w:rPr>
          <w:rStyle w:val="aff6"/>
          <w:rFonts w:hint="cs"/>
        </w:rPr>
        <w:instrText>Ref65517321 \r \h</w:instrText>
      </w:r>
      <w:r w:rsidRPr="0043675E">
        <w:rPr>
          <w:rStyle w:val="aff6"/>
          <w:rtl/>
        </w:rPr>
        <w:instrText xml:space="preserve"> </w:instrText>
      </w:r>
      <w:r w:rsidRPr="0043675E">
        <w:rPr>
          <w:rStyle w:val="aff6"/>
          <w:rtl/>
        </w:rPr>
      </w:r>
      <w:r w:rsidRPr="0043675E">
        <w:rPr>
          <w:rStyle w:val="aff6"/>
          <w:rtl/>
        </w:rPr>
        <w:fldChar w:fldCharType="separate"/>
      </w:r>
      <w:r>
        <w:rPr>
          <w:rStyle w:val="aff6"/>
          <w:cs/>
        </w:rPr>
        <w:t>‎</w:t>
      </w:r>
      <w:r>
        <w:rPr>
          <w:rStyle w:val="aff6"/>
          <w:rtl/>
        </w:rPr>
        <w:t>לט)</w:t>
      </w:r>
      <w:r w:rsidRPr="0043675E">
        <w:rPr>
          <w:rStyle w:val="aff6"/>
          <w:rtl/>
        </w:rPr>
        <w:fldChar w:fldCharType="end"/>
      </w:r>
      <w:r w:rsidRPr="0043675E">
        <w:rPr>
          <w:rStyle w:val="afb"/>
          <w:rFonts w:hint="cs"/>
          <w:rtl/>
        </w:rPr>
        <w:t xml:space="preserve"> בשם </w:t>
      </w:r>
      <w:r w:rsidRPr="0043675E">
        <w:rPr>
          <w:rStyle w:val="affa"/>
          <w:rFonts w:hint="cs"/>
          <w:rtl/>
        </w:rPr>
        <w:t xml:space="preserve">הראב"ן </w:t>
      </w:r>
      <w:r w:rsidRPr="0043675E">
        <w:rPr>
          <w:rStyle w:val="afb"/>
          <w:rFonts w:hint="cs"/>
          <w:rtl/>
        </w:rPr>
        <w:t>דהוא חשוד כגזלן.</w:t>
      </w:r>
    </w:p>
  </w:footnote>
  <w:footnote w:id="115">
    <w:p w:rsidR="00265073" w:rsidRDefault="00265073" w:rsidP="000F5507">
      <w:pPr>
        <w:pStyle w:val="af"/>
        <w:rPr>
          <w:rtl/>
        </w:rPr>
      </w:pPr>
      <w:r>
        <w:rPr>
          <w:rStyle w:val="af1"/>
        </w:rPr>
        <w:footnoteRef/>
      </w:r>
      <w:r>
        <w:rPr>
          <w:rtl/>
        </w:rPr>
        <w:t xml:space="preserve"> </w:t>
      </w:r>
      <w:r>
        <w:rPr>
          <w:rStyle w:val="afb"/>
          <w:rFonts w:hint="cs"/>
          <w:rtl/>
        </w:rPr>
        <w:t>ועי' בדברי</w:t>
      </w:r>
      <w:r w:rsidRPr="00255EB7">
        <w:rPr>
          <w:rStyle w:val="afb"/>
          <w:rFonts w:hint="cs"/>
          <w:rtl/>
        </w:rPr>
        <w:t xml:space="preserve"> </w:t>
      </w:r>
      <w:r w:rsidRPr="00255EB7">
        <w:rPr>
          <w:rStyle w:val="affa"/>
          <w:rtl/>
        </w:rPr>
        <w:t>התוס' בסוגיין</w:t>
      </w:r>
      <w:r w:rsidRPr="00255EB7">
        <w:rPr>
          <w:rStyle w:val="afb"/>
          <w:rFonts w:hint="cs"/>
          <w:rtl/>
        </w:rPr>
        <w:t xml:space="preserve"> </w:t>
      </w:r>
      <w:r w:rsidRPr="00255EB7">
        <w:rPr>
          <w:rStyle w:val="aff6"/>
          <w:rFonts w:hint="cs"/>
          <w:rtl/>
        </w:rPr>
        <w:t>(ד"ה הוי)</w:t>
      </w:r>
      <w:r w:rsidRPr="00255EB7">
        <w:rPr>
          <w:rStyle w:val="afb"/>
          <w:rFonts w:hint="cs"/>
          <w:rtl/>
        </w:rPr>
        <w:t xml:space="preserve"> </w:t>
      </w:r>
      <w:r>
        <w:rPr>
          <w:rStyle w:val="afb"/>
          <w:rFonts w:hint="cs"/>
          <w:rtl/>
        </w:rPr>
        <w:t>ד</w:t>
      </w:r>
      <w:r w:rsidRPr="00255EB7">
        <w:rPr>
          <w:rStyle w:val="afb"/>
          <w:rFonts w:hint="cs"/>
          <w:rtl/>
        </w:rPr>
        <w:t>ביארו דהא דאינו יכול להשבע הוא</w:t>
      </w:r>
      <w:r>
        <w:rPr>
          <w:rStyle w:val="afb"/>
          <w:rFonts w:hint="cs"/>
          <w:rtl/>
        </w:rPr>
        <w:t xml:space="preserve"> </w:t>
      </w:r>
      <w:r w:rsidRPr="00255EB7">
        <w:rPr>
          <w:rStyle w:val="afb"/>
          <w:rFonts w:hint="cs"/>
          <w:rtl/>
        </w:rPr>
        <w:t xml:space="preserve">כיון שהודה, וקצת משמע דגרסי כגירסת </w:t>
      </w:r>
      <w:r w:rsidRPr="00255EB7">
        <w:rPr>
          <w:rStyle w:val="affa"/>
          <w:rFonts w:hint="cs"/>
          <w:rtl/>
        </w:rPr>
        <w:t>הרי"ף</w:t>
      </w:r>
      <w:r w:rsidRPr="00255EB7">
        <w:rPr>
          <w:rStyle w:val="afb"/>
          <w:rFonts w:hint="cs"/>
          <w:rtl/>
        </w:rPr>
        <w:t xml:space="preserve"> </w:t>
      </w:r>
      <w:r w:rsidRPr="00971FF1">
        <w:rPr>
          <w:rStyle w:val="aff6"/>
          <w:rFonts w:hint="cs"/>
          <w:rtl/>
        </w:rPr>
        <w:t xml:space="preserve">(עי' אות </w:t>
      </w:r>
      <w:r w:rsidRPr="00971FF1">
        <w:rPr>
          <w:rStyle w:val="aff6"/>
          <w:rtl/>
        </w:rPr>
        <w:fldChar w:fldCharType="begin"/>
      </w:r>
      <w:r w:rsidRPr="00971FF1">
        <w:rPr>
          <w:rStyle w:val="aff6"/>
          <w:rtl/>
        </w:rPr>
        <w:instrText xml:space="preserve"> </w:instrText>
      </w:r>
      <w:r w:rsidRPr="00971FF1">
        <w:rPr>
          <w:rStyle w:val="aff6"/>
          <w:rFonts w:hint="cs"/>
        </w:rPr>
        <w:instrText>REF</w:instrText>
      </w:r>
      <w:r w:rsidRPr="00971FF1">
        <w:rPr>
          <w:rStyle w:val="aff6"/>
          <w:rFonts w:hint="cs"/>
          <w:rtl/>
        </w:rPr>
        <w:instrText xml:space="preserve"> _</w:instrText>
      </w:r>
      <w:r w:rsidRPr="00971FF1">
        <w:rPr>
          <w:rStyle w:val="aff6"/>
          <w:rFonts w:hint="cs"/>
        </w:rPr>
        <w:instrText>Ref65689731 \r \h</w:instrText>
      </w:r>
      <w:r w:rsidRPr="00971FF1">
        <w:rPr>
          <w:rStyle w:val="aff6"/>
          <w:rtl/>
        </w:rPr>
        <w:instrText xml:space="preserve"> </w:instrText>
      </w:r>
      <w:r w:rsidRPr="00971FF1">
        <w:rPr>
          <w:rStyle w:val="aff6"/>
          <w:rtl/>
        </w:rPr>
      </w:r>
      <w:r w:rsidRPr="00971FF1">
        <w:rPr>
          <w:rStyle w:val="aff6"/>
          <w:rtl/>
        </w:rPr>
        <w:fldChar w:fldCharType="separate"/>
      </w:r>
      <w:r>
        <w:rPr>
          <w:rStyle w:val="aff6"/>
          <w:cs/>
        </w:rPr>
        <w:t>‎</w:t>
      </w:r>
      <w:r>
        <w:rPr>
          <w:rStyle w:val="aff6"/>
          <w:rtl/>
        </w:rPr>
        <w:t>מה)</w:t>
      </w:r>
      <w:r w:rsidRPr="00971FF1">
        <w:rPr>
          <w:rStyle w:val="aff6"/>
          <w:rtl/>
        </w:rPr>
        <w:fldChar w:fldCharType="end"/>
      </w:r>
      <w:r w:rsidRPr="00255EB7">
        <w:rPr>
          <w:rStyle w:val="afb"/>
          <w:rFonts w:hint="cs"/>
          <w:rtl/>
        </w:rPr>
        <w:t xml:space="preserve">, אך </w:t>
      </w:r>
      <w:r>
        <w:rPr>
          <w:rStyle w:val="afb"/>
          <w:rFonts w:hint="cs"/>
          <w:rtl/>
        </w:rPr>
        <w:t>צ</w:t>
      </w:r>
      <w:r w:rsidRPr="00255EB7">
        <w:rPr>
          <w:rStyle w:val="afb"/>
          <w:rFonts w:hint="cs"/>
          <w:rtl/>
        </w:rPr>
        <w:t>"ל דכוונתם לבאר את הגירסא ש</w:t>
      </w:r>
      <w:r>
        <w:rPr>
          <w:rStyle w:val="afb"/>
          <w:rFonts w:hint="cs"/>
          <w:rtl/>
        </w:rPr>
        <w:t>אינו יכול להשבע דהו"ל</w:t>
      </w:r>
      <w:r w:rsidRPr="00255EB7">
        <w:rPr>
          <w:rStyle w:val="afb"/>
          <w:rFonts w:hint="cs"/>
          <w:rtl/>
        </w:rPr>
        <w:t xml:space="preserve"> כגזלן</w:t>
      </w:r>
      <w:r>
        <w:rPr>
          <w:rStyle w:val="afb"/>
          <w:rFonts w:hint="cs"/>
          <w:rtl/>
        </w:rPr>
        <w:t>,</w:t>
      </w:r>
      <w:r w:rsidRPr="00255EB7">
        <w:rPr>
          <w:rStyle w:val="afb"/>
          <w:rFonts w:hint="cs"/>
          <w:rtl/>
        </w:rPr>
        <w:t xml:space="preserve"> </w:t>
      </w:r>
      <w:r>
        <w:rPr>
          <w:rStyle w:val="afb"/>
          <w:rFonts w:hint="cs"/>
          <w:rtl/>
        </w:rPr>
        <w:t>ד</w:t>
      </w:r>
      <w:r w:rsidRPr="00255EB7">
        <w:rPr>
          <w:rStyle w:val="afb"/>
          <w:rFonts w:hint="cs"/>
          <w:rtl/>
        </w:rPr>
        <w:t>כיון שהודה</w:t>
      </w:r>
      <w:r>
        <w:rPr>
          <w:rStyle w:val="afb"/>
          <w:rFonts w:hint="cs"/>
          <w:rtl/>
        </w:rPr>
        <w:t xml:space="preserve"> הוא כגזלן, וכדביארו </w:t>
      </w:r>
      <w:r w:rsidRPr="00255EB7">
        <w:rPr>
          <w:rStyle w:val="affa"/>
          <w:rtl/>
        </w:rPr>
        <w:t>התוס' ב</w:t>
      </w:r>
      <w:r>
        <w:rPr>
          <w:rStyle w:val="affa"/>
          <w:rFonts w:hint="cs"/>
          <w:rtl/>
        </w:rPr>
        <w:t xml:space="preserve">שבועות </w:t>
      </w:r>
      <w:r w:rsidRPr="00077EF2">
        <w:rPr>
          <w:rStyle w:val="aff6"/>
          <w:rFonts w:hint="cs"/>
          <w:rtl/>
        </w:rPr>
        <w:t xml:space="preserve">(עי' אות </w:t>
      </w:r>
      <w:r w:rsidRPr="00077EF2">
        <w:rPr>
          <w:rStyle w:val="aff6"/>
          <w:rtl/>
        </w:rPr>
        <w:fldChar w:fldCharType="begin"/>
      </w:r>
      <w:r w:rsidRPr="00077EF2">
        <w:rPr>
          <w:rStyle w:val="aff6"/>
          <w:rtl/>
        </w:rPr>
        <w:instrText xml:space="preserve"> </w:instrText>
      </w:r>
      <w:r w:rsidRPr="00077EF2">
        <w:rPr>
          <w:rStyle w:val="aff6"/>
          <w:rFonts w:hint="cs"/>
        </w:rPr>
        <w:instrText>REF</w:instrText>
      </w:r>
      <w:r w:rsidRPr="00077EF2">
        <w:rPr>
          <w:rStyle w:val="aff6"/>
          <w:rFonts w:hint="cs"/>
          <w:rtl/>
        </w:rPr>
        <w:instrText xml:space="preserve"> _</w:instrText>
      </w:r>
      <w:r w:rsidRPr="00077EF2">
        <w:rPr>
          <w:rStyle w:val="aff6"/>
          <w:rFonts w:hint="cs"/>
        </w:rPr>
        <w:instrText>Ref64998749 \r \h</w:instrText>
      </w:r>
      <w:r w:rsidRPr="00077EF2">
        <w:rPr>
          <w:rStyle w:val="aff6"/>
          <w:rtl/>
        </w:rPr>
        <w:instrText xml:space="preserve"> </w:instrText>
      </w:r>
      <w:r w:rsidRPr="00077EF2">
        <w:rPr>
          <w:rStyle w:val="aff6"/>
          <w:rtl/>
        </w:rPr>
      </w:r>
      <w:r w:rsidRPr="00077EF2">
        <w:rPr>
          <w:rStyle w:val="aff6"/>
          <w:rtl/>
        </w:rPr>
        <w:fldChar w:fldCharType="separate"/>
      </w:r>
      <w:r>
        <w:rPr>
          <w:rStyle w:val="aff6"/>
          <w:cs/>
        </w:rPr>
        <w:t>‎</w:t>
      </w:r>
      <w:r>
        <w:rPr>
          <w:rStyle w:val="aff6"/>
          <w:rtl/>
        </w:rPr>
        <w:t>כג)</w:t>
      </w:r>
      <w:r w:rsidRPr="00077EF2">
        <w:rPr>
          <w:rStyle w:val="aff6"/>
          <w:rtl/>
        </w:rPr>
        <w:fldChar w:fldCharType="end"/>
      </w:r>
      <w:r>
        <w:rPr>
          <w:rStyle w:val="afb"/>
          <w:rFonts w:hint="cs"/>
          <w:rtl/>
        </w:rPr>
        <w:t>.</w:t>
      </w:r>
    </w:p>
  </w:footnote>
  <w:footnote w:id="116">
    <w:p w:rsidR="00265073" w:rsidRDefault="00265073" w:rsidP="000F5507">
      <w:pPr>
        <w:pStyle w:val="af"/>
        <w:rPr>
          <w:rtl/>
        </w:rPr>
      </w:pPr>
      <w:r>
        <w:rPr>
          <w:rStyle w:val="af1"/>
        </w:rPr>
        <w:footnoteRef/>
      </w:r>
      <w:r>
        <w:rPr>
          <w:rtl/>
        </w:rPr>
        <w:t xml:space="preserve"> </w:t>
      </w:r>
      <w:r>
        <w:rPr>
          <w:rFonts w:hint="cs"/>
          <w:rtl/>
        </w:rPr>
        <w:t xml:space="preserve">והקשה </w:t>
      </w:r>
      <w:r w:rsidRPr="00C82DEE">
        <w:rPr>
          <w:rStyle w:val="affa"/>
          <w:rFonts w:hint="cs"/>
          <w:rtl/>
        </w:rPr>
        <w:t>בפסקי הרי"ד בשבועות</w:t>
      </w:r>
      <w:r>
        <w:rPr>
          <w:rStyle w:val="af9"/>
          <w:rFonts w:eastAsiaTheme="minorHAnsi" w:hint="cs"/>
          <w:rtl/>
        </w:rPr>
        <w:t xml:space="preserve"> </w:t>
      </w:r>
      <w:r w:rsidRPr="001308C8">
        <w:rPr>
          <w:rStyle w:val="aff6"/>
          <w:rtl/>
        </w:rPr>
        <w:t xml:space="preserve">(לב: ד"ה </w:t>
      </w:r>
      <w:r w:rsidRPr="001308C8">
        <w:rPr>
          <w:rStyle w:val="aff6"/>
          <w:rFonts w:hint="cs"/>
          <w:rtl/>
        </w:rPr>
        <w:t>ואי קשיא</w:t>
      </w:r>
      <w:r w:rsidRPr="001308C8">
        <w:rPr>
          <w:rStyle w:val="aff6"/>
          <w:rtl/>
        </w:rPr>
        <w:t>, הועתק בקובץ שיטות קמאי שבועות עמ' ש"ה)</w:t>
      </w:r>
      <w:r w:rsidRPr="001308C8">
        <w:rPr>
          <w:rtl/>
        </w:rPr>
        <w:t xml:space="preserve"> </w:t>
      </w:r>
      <w:r>
        <w:rPr>
          <w:rFonts w:hint="cs"/>
          <w:rtl/>
        </w:rPr>
        <w:t>דאי בתחילה טען לא חטפתי, ואח"כ חזר וטען אין חטפי ודידי, א"כ אף אם לא בא ע"א שהוא חטף, ג"כ הוא חייב לשלם, דכיון שאמר בתחילה לא חטפי, חשיב שהודה שהנסכא אינה שלו, כמו בהאומר לא לויתי כאומר לא פרעתי דמי, וא"כ כשחזר וטען אין חטפי ודידי חטפי, יתחייב לשלם.</w:t>
      </w:r>
    </w:p>
    <w:p w:rsidR="00265073" w:rsidRDefault="00265073" w:rsidP="000F5507">
      <w:pPr>
        <w:pStyle w:val="af"/>
        <w:rPr>
          <w:rtl/>
        </w:rPr>
      </w:pPr>
      <w:r>
        <w:rPr>
          <w:rFonts w:hint="cs"/>
          <w:rtl/>
        </w:rPr>
        <w:t xml:space="preserve">ותירץ </w:t>
      </w:r>
      <w:r w:rsidRPr="00C82DEE">
        <w:rPr>
          <w:rStyle w:val="affa"/>
          <w:rFonts w:hint="cs"/>
          <w:rtl/>
        </w:rPr>
        <w:t>בפסקי הרי"ד בשבועות</w:t>
      </w:r>
      <w:r>
        <w:rPr>
          <w:rFonts w:hint="cs"/>
          <w:rtl/>
        </w:rPr>
        <w:t xml:space="preserve"> דהא דהאומר לא לויתי כאומר לא פרעתי, הוא דוקא כשהוכחש ע"י עדים, שהעידו שלוה, ואח"כ חזר וטען שלוה ופרע, אבל אם לא באו עדים וחזר מעצמו וטען לויתי ופרעתי נאמן במיגו שלא היה חוזר מטענתו הראשונה. [כדעת </w:t>
      </w:r>
      <w:r w:rsidRPr="00827FAD">
        <w:rPr>
          <w:rStyle w:val="affa"/>
          <w:rFonts w:hint="cs"/>
          <w:rtl/>
        </w:rPr>
        <w:t>הר"י מגאש</w:t>
      </w:r>
      <w:r>
        <w:rPr>
          <w:rFonts w:hint="cs"/>
          <w:rtl/>
        </w:rPr>
        <w:t xml:space="preserve"> </w:t>
      </w:r>
      <w:r w:rsidRPr="00827FAD">
        <w:rPr>
          <w:rStyle w:val="affa"/>
          <w:rFonts w:hint="cs"/>
          <w:rtl/>
        </w:rPr>
        <w:t>לעיל</w:t>
      </w:r>
      <w:r>
        <w:rPr>
          <w:rFonts w:hint="cs"/>
          <w:rtl/>
        </w:rPr>
        <w:t xml:space="preserve"> </w:t>
      </w:r>
      <w:r w:rsidRPr="00827FAD">
        <w:rPr>
          <w:rStyle w:val="aff6"/>
          <w:rtl/>
        </w:rPr>
        <w:t>(</w:t>
      </w:r>
      <w:r w:rsidRPr="00827FAD">
        <w:rPr>
          <w:rStyle w:val="aff6"/>
          <w:rFonts w:hint="cs"/>
          <w:rtl/>
        </w:rPr>
        <w:t xml:space="preserve">לא. </w:t>
      </w:r>
      <w:r w:rsidRPr="00827FAD">
        <w:rPr>
          <w:rStyle w:val="aff6"/>
          <w:rtl/>
        </w:rPr>
        <w:t>ד"ה הדר אמר</w:t>
      </w:r>
      <w:r w:rsidRPr="00827FAD">
        <w:rPr>
          <w:rStyle w:val="aff6"/>
          <w:rFonts w:hint="cs"/>
          <w:rtl/>
        </w:rPr>
        <w:t xml:space="preserve">, הובא בסימן י"ג אות ל"ח) </w:t>
      </w:r>
      <w:r>
        <w:rPr>
          <w:rFonts w:hint="cs"/>
          <w:rtl/>
        </w:rPr>
        <w:t>דהחוזר מפטור לפטור נאמן].</w:t>
      </w:r>
    </w:p>
    <w:p w:rsidR="00265073" w:rsidRDefault="00265073" w:rsidP="000F5507">
      <w:pPr>
        <w:pStyle w:val="af"/>
      </w:pPr>
      <w:r>
        <w:rPr>
          <w:rFonts w:hint="cs"/>
          <w:rtl/>
        </w:rPr>
        <w:t xml:space="preserve">וכתב </w:t>
      </w:r>
      <w:r w:rsidRPr="00C82DEE">
        <w:rPr>
          <w:rStyle w:val="affa"/>
          <w:rFonts w:hint="cs"/>
          <w:rtl/>
        </w:rPr>
        <w:t>בפסקי הרי"ד בשבועות</w:t>
      </w:r>
      <w:r>
        <w:rPr>
          <w:rFonts w:hint="cs"/>
          <w:rtl/>
        </w:rPr>
        <w:t xml:space="preserve"> דלכן הכא אם טען לא חטפי וחזר מעצמו וטען אין חטפי ודידי חטפי נאמן, ורק במקום שבא ע"א והעיד שחטף, ואח"כ חזר בו חייב לשלם, כיון שהוא חזר מחמת שפחד שהע"א ישביע אותו שבועה דאו', שלא חטף, ולכן אינו נאמן לחזור ולטעון אין חטפי ודידי חטפי.</w:t>
      </w:r>
    </w:p>
  </w:footnote>
  <w:footnote w:id="117">
    <w:p w:rsidR="00265073" w:rsidRDefault="00265073" w:rsidP="000F5507">
      <w:pPr>
        <w:pStyle w:val="af"/>
        <w:rPr>
          <w:rtl/>
        </w:rPr>
      </w:pPr>
      <w:r>
        <w:rPr>
          <w:rStyle w:val="af1"/>
        </w:rPr>
        <w:footnoteRef/>
      </w:r>
      <w:r>
        <w:rPr>
          <w:rtl/>
        </w:rPr>
        <w:t xml:space="preserve"> </w:t>
      </w:r>
      <w:r w:rsidRPr="00951CA3">
        <w:rPr>
          <w:rStyle w:val="afb"/>
          <w:rFonts w:hint="cs"/>
          <w:rtl/>
        </w:rPr>
        <w:t xml:space="preserve">וציין </w:t>
      </w:r>
      <w:r w:rsidRPr="004339BC">
        <w:rPr>
          <w:rStyle w:val="affa"/>
          <w:rFonts w:hint="cs"/>
          <w:rtl/>
        </w:rPr>
        <w:t>בחי' רבי נחום</w:t>
      </w:r>
      <w:r w:rsidRPr="00951CA3">
        <w:rPr>
          <w:rStyle w:val="afb"/>
          <w:rFonts w:hint="cs"/>
          <w:rtl/>
        </w:rPr>
        <w:t xml:space="preserve"> למה שביאר כן </w:t>
      </w:r>
      <w:r w:rsidRPr="004339BC">
        <w:rPr>
          <w:rStyle w:val="affa"/>
          <w:rFonts w:hint="cs"/>
          <w:rtl/>
        </w:rPr>
        <w:t>בחי' רבי נחום לעיל</w:t>
      </w:r>
      <w:r w:rsidRPr="00951CA3">
        <w:rPr>
          <w:rStyle w:val="afb"/>
          <w:rFonts w:hint="cs"/>
          <w:rtl/>
        </w:rPr>
        <w:t xml:space="preserve"> </w:t>
      </w:r>
      <w:r w:rsidRPr="004339BC">
        <w:rPr>
          <w:rStyle w:val="aff6"/>
          <w:rFonts w:hint="cs"/>
          <w:rtl/>
        </w:rPr>
        <w:t xml:space="preserve">(או' קמ"ג ד"ה והנה, הובא בסימן י"ד אות </w:t>
      </w:r>
      <w:r w:rsidRPr="004339BC">
        <w:rPr>
          <w:rStyle w:val="aff6"/>
          <w:cs/>
        </w:rPr>
        <w:t>‎</w:t>
      </w:r>
      <w:r w:rsidRPr="004339BC">
        <w:rPr>
          <w:rStyle w:val="aff6"/>
          <w:rtl/>
        </w:rPr>
        <w:t>ק</w:t>
      </w:r>
      <w:r w:rsidRPr="004339BC">
        <w:rPr>
          <w:rStyle w:val="aff6"/>
          <w:rFonts w:hint="cs"/>
          <w:rtl/>
        </w:rPr>
        <w:t>ט"ו</w:t>
      </w:r>
      <w:r w:rsidRPr="004339BC">
        <w:rPr>
          <w:rStyle w:val="aff6"/>
          <w:rtl/>
        </w:rPr>
        <w:t>)</w:t>
      </w:r>
      <w:r w:rsidRPr="004339BC">
        <w:rPr>
          <w:rStyle w:val="aff6"/>
          <w:rFonts w:hint="cs"/>
          <w:rtl/>
        </w:rPr>
        <w:t xml:space="preserve"> </w:t>
      </w:r>
      <w:r w:rsidRPr="00951CA3">
        <w:rPr>
          <w:rStyle w:val="afb"/>
          <w:rFonts w:hint="cs"/>
          <w:rtl/>
        </w:rPr>
        <w:t xml:space="preserve">דכן ביאר </w:t>
      </w:r>
      <w:r w:rsidRPr="004339BC">
        <w:rPr>
          <w:rStyle w:val="affa"/>
          <w:rFonts w:hint="cs"/>
          <w:rtl/>
        </w:rPr>
        <w:t>הנימוק"י</w:t>
      </w:r>
      <w:r w:rsidRPr="004339BC">
        <w:rPr>
          <w:rStyle w:val="affa"/>
          <w:rtl/>
        </w:rPr>
        <w:t xml:space="preserve"> לעיל</w:t>
      </w:r>
      <w:r w:rsidRPr="00951CA3">
        <w:rPr>
          <w:rStyle w:val="afb"/>
          <w:rFonts w:hint="cs"/>
          <w:rtl/>
        </w:rPr>
        <w:t xml:space="preserve"> </w:t>
      </w:r>
      <w:r w:rsidRPr="004339BC">
        <w:rPr>
          <w:rStyle w:val="aff6"/>
          <w:rFonts w:hint="cs"/>
          <w:rtl/>
        </w:rPr>
        <w:t xml:space="preserve">(טז: מדה"ר ד"ה שטרא, הובא בסימן י"ד אות ל"ו) </w:t>
      </w:r>
      <w:r w:rsidRPr="00951CA3">
        <w:rPr>
          <w:rStyle w:val="afb"/>
          <w:rFonts w:hint="cs"/>
          <w:rtl/>
        </w:rPr>
        <w:t xml:space="preserve">בדעת </w:t>
      </w:r>
      <w:r w:rsidRPr="004339BC">
        <w:rPr>
          <w:rStyle w:val="affa"/>
          <w:rFonts w:hint="cs"/>
          <w:rtl/>
        </w:rPr>
        <w:t>הרשב"ם לעיל</w:t>
      </w:r>
      <w:r w:rsidRPr="00951CA3">
        <w:rPr>
          <w:rStyle w:val="afb"/>
          <w:rFonts w:hint="cs"/>
          <w:rtl/>
        </w:rPr>
        <w:t xml:space="preserve"> </w:t>
      </w:r>
      <w:r w:rsidRPr="004339BC">
        <w:rPr>
          <w:rStyle w:val="aff6"/>
          <w:rFonts w:hint="cs"/>
          <w:rtl/>
        </w:rPr>
        <w:t xml:space="preserve">(לב: ד"ה אמאי, הובא בסימן י"ד אות כ"ט) </w:t>
      </w:r>
      <w:r w:rsidRPr="00951CA3">
        <w:rPr>
          <w:rStyle w:val="afb"/>
          <w:rFonts w:hint="cs"/>
          <w:rtl/>
        </w:rPr>
        <w:t xml:space="preserve">דביאר בדעת רב יוסף בסוגיא דשטרא זייפא, יסוד דין מיגו, הוא מדין כח הטענה, וכל שהודה בפירוש שטענתו הראשונה היא שקר, בטלה כח הנאמנות של המיגו, אבל </w:t>
      </w:r>
      <w:r w:rsidRPr="004339BC">
        <w:rPr>
          <w:rStyle w:val="affa"/>
          <w:rFonts w:hint="cs"/>
          <w:rtl/>
        </w:rPr>
        <w:t>התוס'</w:t>
      </w:r>
      <w:r w:rsidRPr="00951CA3">
        <w:rPr>
          <w:rStyle w:val="afb"/>
          <w:rFonts w:hint="cs"/>
          <w:rtl/>
        </w:rPr>
        <w:t xml:space="preserve"> </w:t>
      </w:r>
      <w:r>
        <w:rPr>
          <w:rStyle w:val="aff6"/>
          <w:rFonts w:hint="cs"/>
          <w:rtl/>
        </w:rPr>
        <w:t xml:space="preserve">(ד"ה </w:t>
      </w:r>
      <w:r w:rsidRPr="001B08D4">
        <w:rPr>
          <w:rStyle w:val="aff6"/>
          <w:rFonts w:hint="cs"/>
          <w:rtl/>
        </w:rPr>
        <w:t>הוי)</w:t>
      </w:r>
      <w:r>
        <w:rPr>
          <w:rFonts w:hint="cs"/>
          <w:rtl/>
        </w:rPr>
        <w:t xml:space="preserve"> </w:t>
      </w:r>
      <w:r w:rsidRPr="004769A2">
        <w:rPr>
          <w:rStyle w:val="afb"/>
          <w:rFonts w:hint="cs"/>
          <w:rtl/>
        </w:rPr>
        <w:t xml:space="preserve">[אי"ה יובאו דבריהם בהמשך] </w:t>
      </w:r>
      <w:r w:rsidRPr="00951CA3">
        <w:rPr>
          <w:rStyle w:val="afb"/>
          <w:rFonts w:hint="cs"/>
          <w:rtl/>
        </w:rPr>
        <w:t xml:space="preserve">דהקשו שיהיה נאמן במיגו דהיה נשבע דלא חטפי, ס"ל כדברי </w:t>
      </w:r>
      <w:r w:rsidRPr="004339BC">
        <w:rPr>
          <w:rStyle w:val="affa"/>
          <w:rFonts w:hint="cs"/>
          <w:rtl/>
        </w:rPr>
        <w:t>התוס' לעיל</w:t>
      </w:r>
      <w:r w:rsidRPr="00951CA3">
        <w:rPr>
          <w:rStyle w:val="afb"/>
          <w:rFonts w:hint="cs"/>
          <w:rtl/>
        </w:rPr>
        <w:t xml:space="preserve"> </w:t>
      </w:r>
      <w:r w:rsidRPr="004339BC">
        <w:rPr>
          <w:rStyle w:val="aff6"/>
          <w:rFonts w:hint="cs"/>
          <w:rtl/>
        </w:rPr>
        <w:t>(לב: ד"ה אמאי, הובא בסימן י"ד אות נ"ג)</w:t>
      </w:r>
      <w:r w:rsidRPr="00951CA3">
        <w:rPr>
          <w:rStyle w:val="afb"/>
          <w:rFonts w:hint="cs"/>
          <w:rtl/>
        </w:rPr>
        <w:t xml:space="preserve"> דביארו באופן אחר את דעת רב יוסף בסוגיא דשטרא זייפא.</w:t>
      </w:r>
    </w:p>
  </w:footnote>
  <w:footnote w:id="118">
    <w:p w:rsidR="00265073" w:rsidRPr="00F1489E" w:rsidRDefault="00265073" w:rsidP="00E824D3">
      <w:pPr>
        <w:pStyle w:val="af"/>
        <w:rPr>
          <w:rFonts w:ascii="Guttman Hodes" w:eastAsia="Guttman Hodes" w:hAnsi="Guttman Hodes"/>
          <w:noProof/>
          <w:sz w:val="10"/>
        </w:rPr>
      </w:pPr>
      <w:r>
        <w:rPr>
          <w:rStyle w:val="af1"/>
        </w:rPr>
        <w:footnoteRef/>
      </w:r>
      <w:r>
        <w:rPr>
          <w:rtl/>
        </w:rPr>
        <w:t xml:space="preserve"> </w:t>
      </w:r>
      <w:r>
        <w:rPr>
          <w:rStyle w:val="afb"/>
          <w:rFonts w:hint="cs"/>
          <w:rtl/>
        </w:rPr>
        <w:t>ו</w:t>
      </w:r>
      <w:r w:rsidRPr="00944CB3">
        <w:rPr>
          <w:rStyle w:val="afb"/>
          <w:rFonts w:hint="cs"/>
          <w:rtl/>
        </w:rPr>
        <w:t xml:space="preserve">עי' </w:t>
      </w:r>
      <w:r>
        <w:rPr>
          <w:rStyle w:val="afb"/>
          <w:rFonts w:hint="cs"/>
          <w:rtl/>
        </w:rPr>
        <w:t>בדברי</w:t>
      </w:r>
      <w:r w:rsidRPr="00944CB3">
        <w:rPr>
          <w:rStyle w:val="afb"/>
          <w:rFonts w:hint="cs"/>
          <w:rtl/>
        </w:rPr>
        <w:t xml:space="preserve"> </w:t>
      </w:r>
      <w:r w:rsidRPr="00E143CC">
        <w:rPr>
          <w:rStyle w:val="affa"/>
          <w:rFonts w:hint="cs"/>
          <w:rtl/>
        </w:rPr>
        <w:t>התורת חיים</w:t>
      </w:r>
      <w:r w:rsidRPr="00944CB3">
        <w:rPr>
          <w:rStyle w:val="afb"/>
          <w:rFonts w:hint="cs"/>
          <w:rtl/>
        </w:rPr>
        <w:t xml:space="preserve"> </w:t>
      </w:r>
      <w:r w:rsidRPr="00EB155B">
        <w:rPr>
          <w:rStyle w:val="aff6"/>
          <w:rtl/>
        </w:rPr>
        <w:t>(ד"ה וכיון</w:t>
      </w:r>
      <w:r w:rsidRPr="00EB155B">
        <w:rPr>
          <w:rStyle w:val="aff6"/>
          <w:rFonts w:hint="cs"/>
          <w:rtl/>
        </w:rPr>
        <w:t xml:space="preserve">, הובא בסימן י"ז אות י"ח) </w:t>
      </w:r>
      <w:r w:rsidRPr="00E143CC">
        <w:rPr>
          <w:rStyle w:val="affa"/>
          <w:rFonts w:hint="cs"/>
          <w:rtl/>
        </w:rPr>
        <w:t>ובחי'</w:t>
      </w:r>
      <w:r w:rsidRPr="00944CB3">
        <w:rPr>
          <w:rStyle w:val="afb"/>
          <w:rFonts w:hint="cs"/>
          <w:rtl/>
        </w:rPr>
        <w:t xml:space="preserve"> </w:t>
      </w:r>
      <w:r w:rsidRPr="00E143CC">
        <w:rPr>
          <w:rStyle w:val="affa"/>
          <w:rFonts w:hint="cs"/>
          <w:rtl/>
        </w:rPr>
        <w:t>רבי</w:t>
      </w:r>
      <w:r w:rsidRPr="00944CB3">
        <w:rPr>
          <w:rStyle w:val="afb"/>
          <w:rFonts w:hint="cs"/>
          <w:rtl/>
        </w:rPr>
        <w:t xml:space="preserve"> </w:t>
      </w:r>
      <w:r w:rsidRPr="00E143CC">
        <w:rPr>
          <w:rStyle w:val="affa"/>
          <w:rFonts w:hint="cs"/>
          <w:rtl/>
        </w:rPr>
        <w:t>נחום</w:t>
      </w:r>
      <w:r w:rsidRPr="00944CB3">
        <w:rPr>
          <w:rStyle w:val="afb"/>
          <w:rFonts w:hint="cs"/>
          <w:rtl/>
        </w:rPr>
        <w:t xml:space="preserve"> </w:t>
      </w:r>
      <w:r w:rsidRPr="00EB155B">
        <w:rPr>
          <w:rStyle w:val="aff6"/>
          <w:rtl/>
        </w:rPr>
        <w:t>(או' קצ"ג ד"ה רשב"ם</w:t>
      </w:r>
      <w:r w:rsidRPr="00EB155B">
        <w:rPr>
          <w:rStyle w:val="aff6"/>
          <w:rFonts w:hint="cs"/>
          <w:rtl/>
        </w:rPr>
        <w:t>, הובא בסימן י</w:t>
      </w:r>
      <w:r w:rsidRPr="00EB155B">
        <w:rPr>
          <w:rStyle w:val="aff6"/>
          <w:rtl/>
        </w:rPr>
        <w:t>"</w:t>
      </w:r>
      <w:r w:rsidRPr="00EB155B">
        <w:rPr>
          <w:rStyle w:val="aff6"/>
          <w:rFonts w:hint="cs"/>
          <w:rtl/>
        </w:rPr>
        <w:t>ז אות צ"ב)</w:t>
      </w:r>
      <w:r w:rsidRPr="00944CB3">
        <w:rPr>
          <w:rStyle w:val="afb"/>
          <w:rFonts w:hint="cs"/>
          <w:rtl/>
        </w:rPr>
        <w:t xml:space="preserve"> </w:t>
      </w:r>
      <w:r>
        <w:rPr>
          <w:rStyle w:val="afb"/>
          <w:rFonts w:hint="cs"/>
          <w:rtl/>
        </w:rPr>
        <w:t xml:space="preserve">במה שביארו בדעת </w:t>
      </w:r>
      <w:r w:rsidRPr="00E143CC">
        <w:rPr>
          <w:rStyle w:val="affa"/>
          <w:rFonts w:hint="cs"/>
          <w:rtl/>
        </w:rPr>
        <w:t>רש"י והרשב"ם</w:t>
      </w:r>
      <w:r w:rsidRPr="00944CB3">
        <w:rPr>
          <w:rStyle w:val="afb"/>
          <w:rFonts w:hint="cs"/>
          <w:rtl/>
        </w:rPr>
        <w:t xml:space="preserve"> </w:t>
      </w:r>
      <w:r>
        <w:rPr>
          <w:rStyle w:val="afb"/>
          <w:rFonts w:hint="cs"/>
          <w:rtl/>
        </w:rPr>
        <w:t xml:space="preserve">אמאי לא נאמן במיגו, וע"ע </w:t>
      </w:r>
      <w:r w:rsidRPr="00944CB3">
        <w:rPr>
          <w:rStyle w:val="afb"/>
          <w:rFonts w:hint="cs"/>
          <w:rtl/>
        </w:rPr>
        <w:t xml:space="preserve">במ"ש </w:t>
      </w:r>
      <w:r w:rsidRPr="00E143CC">
        <w:rPr>
          <w:rStyle w:val="affa"/>
          <w:rFonts w:hint="cs"/>
          <w:rtl/>
        </w:rPr>
        <w:t xml:space="preserve">המרדכי </w:t>
      </w:r>
      <w:r w:rsidRPr="00EB155B">
        <w:rPr>
          <w:rStyle w:val="aff6"/>
          <w:rFonts w:hint="cs"/>
          <w:rtl/>
        </w:rPr>
        <w:t>(רמז תקכ"ח)</w:t>
      </w:r>
      <w:r>
        <w:rPr>
          <w:rFonts w:hint="cs"/>
          <w:rtl/>
        </w:rPr>
        <w:t xml:space="preserve"> </w:t>
      </w:r>
      <w:r w:rsidRPr="00EB155B">
        <w:rPr>
          <w:rStyle w:val="afb"/>
          <w:rFonts w:hint="cs"/>
          <w:rtl/>
        </w:rPr>
        <w:t xml:space="preserve">בשם </w:t>
      </w:r>
      <w:r w:rsidRPr="00E143CC">
        <w:rPr>
          <w:rStyle w:val="affa"/>
          <w:rFonts w:hint="cs"/>
          <w:rtl/>
        </w:rPr>
        <w:t>הראב"ן</w:t>
      </w:r>
      <w:r>
        <w:rPr>
          <w:rFonts w:hint="cs"/>
          <w:rtl/>
        </w:rPr>
        <w:t xml:space="preserve"> </w:t>
      </w:r>
      <w:r w:rsidRPr="00EB155B">
        <w:rPr>
          <w:rStyle w:val="aff6"/>
          <w:rFonts w:hint="cs"/>
          <w:rtl/>
        </w:rPr>
        <w:t xml:space="preserve">(בתשו' בתחילת הספר סי' כ"ז ד"ה ראיתי, הובא בסימן י"ז אות ל"ט) </w:t>
      </w:r>
      <w:r>
        <w:rPr>
          <w:rStyle w:val="afb"/>
          <w:rFonts w:hint="cs"/>
          <w:rtl/>
        </w:rPr>
        <w:t>דמהא דלא נאמן במיגו, מוכח דהוא כחשוד לשבועה זו.</w:t>
      </w:r>
    </w:p>
  </w:footnote>
  <w:footnote w:id="119">
    <w:p w:rsidR="00265073" w:rsidRDefault="00265073" w:rsidP="00E824D3">
      <w:pPr>
        <w:pStyle w:val="af"/>
        <w:rPr>
          <w:rtl/>
        </w:rPr>
      </w:pPr>
      <w:r>
        <w:rPr>
          <w:rStyle w:val="af1"/>
        </w:rPr>
        <w:footnoteRef/>
      </w:r>
      <w:r>
        <w:rPr>
          <w:rtl/>
        </w:rPr>
        <w:t xml:space="preserve"> </w:t>
      </w:r>
      <w:r w:rsidRPr="00932DD7">
        <w:rPr>
          <w:rStyle w:val="afb"/>
          <w:rFonts w:hint="cs"/>
          <w:rtl/>
        </w:rPr>
        <w:t>עי' במ</w:t>
      </w:r>
      <w:r>
        <w:rPr>
          <w:rStyle w:val="afb"/>
          <w:rFonts w:hint="cs"/>
          <w:rtl/>
        </w:rPr>
        <w:t>ה שביארו</w:t>
      </w:r>
      <w:r w:rsidRPr="00932DD7">
        <w:rPr>
          <w:rStyle w:val="afb"/>
          <w:rFonts w:hint="cs"/>
          <w:rtl/>
        </w:rPr>
        <w:t xml:space="preserve"> </w:t>
      </w:r>
      <w:r w:rsidRPr="00932DD7">
        <w:rPr>
          <w:rStyle w:val="affa"/>
          <w:rFonts w:hint="cs"/>
          <w:rtl/>
        </w:rPr>
        <w:t>הגרנ"ט</w:t>
      </w:r>
      <w:r w:rsidRPr="00932DD7">
        <w:rPr>
          <w:rStyle w:val="afb"/>
          <w:rFonts w:hint="cs"/>
          <w:rtl/>
        </w:rPr>
        <w:t xml:space="preserve"> </w:t>
      </w:r>
      <w:r w:rsidRPr="00932DD7">
        <w:rPr>
          <w:rStyle w:val="aff6"/>
          <w:rFonts w:hint="cs"/>
          <w:rtl/>
        </w:rPr>
        <w:t>(סי' קע"ט או' ג' ד"ה ואין כוונת)</w:t>
      </w:r>
      <w:r w:rsidRPr="00932DD7">
        <w:rPr>
          <w:rStyle w:val="afb"/>
          <w:rFonts w:hint="cs"/>
          <w:rtl/>
        </w:rPr>
        <w:t xml:space="preserve"> </w:t>
      </w:r>
      <w:r w:rsidRPr="00DD32A3">
        <w:rPr>
          <w:rStyle w:val="affa"/>
          <w:rFonts w:hint="cs"/>
          <w:rtl/>
        </w:rPr>
        <w:t>ובחי' רבי נחום</w:t>
      </w:r>
      <w:r>
        <w:rPr>
          <w:rFonts w:hint="cs"/>
          <w:rtl/>
        </w:rPr>
        <w:t xml:space="preserve"> </w:t>
      </w:r>
      <w:r w:rsidRPr="00DD32A3">
        <w:rPr>
          <w:rStyle w:val="aff6"/>
          <w:rFonts w:hint="cs"/>
          <w:rtl/>
        </w:rPr>
        <w:t>(או' קצ"ח)</w:t>
      </w:r>
      <w:r>
        <w:rPr>
          <w:rStyle w:val="afb"/>
          <w:rFonts w:hint="cs"/>
          <w:rtl/>
        </w:rPr>
        <w:t xml:space="preserve"> </w:t>
      </w:r>
      <w:r w:rsidRPr="00932DD7">
        <w:rPr>
          <w:rStyle w:val="afb"/>
          <w:rFonts w:hint="cs"/>
          <w:rtl/>
        </w:rPr>
        <w:t>ב</w:t>
      </w:r>
      <w:r>
        <w:rPr>
          <w:rStyle w:val="afb"/>
          <w:rFonts w:hint="cs"/>
          <w:rtl/>
        </w:rPr>
        <w:t xml:space="preserve">הו"א </w:t>
      </w:r>
      <w:r w:rsidRPr="00932DD7">
        <w:rPr>
          <w:rStyle w:val="affa"/>
          <w:rFonts w:hint="cs"/>
          <w:rtl/>
        </w:rPr>
        <w:t>בתוס'</w:t>
      </w:r>
      <w:r>
        <w:rPr>
          <w:rStyle w:val="afb"/>
          <w:rFonts w:hint="cs"/>
          <w:rtl/>
        </w:rPr>
        <w:t xml:space="preserve"> לחלק בין שבועה דאו' לשבועה דרבנן</w:t>
      </w:r>
      <w:r>
        <w:rPr>
          <w:rFonts w:hint="cs"/>
          <w:rtl/>
        </w:rPr>
        <w:t>.</w:t>
      </w:r>
    </w:p>
  </w:footnote>
  <w:footnote w:id="120">
    <w:p w:rsidR="00265073" w:rsidRDefault="00265073" w:rsidP="00E824D3">
      <w:pPr>
        <w:pStyle w:val="af"/>
      </w:pPr>
      <w:r>
        <w:rPr>
          <w:rStyle w:val="af1"/>
        </w:rPr>
        <w:footnoteRef/>
      </w:r>
      <w:r>
        <w:rPr>
          <w:rtl/>
        </w:rPr>
        <w:t xml:space="preserve"> </w:t>
      </w:r>
      <w:r w:rsidRPr="00DD46D5">
        <w:rPr>
          <w:rStyle w:val="afb"/>
          <w:rFonts w:hint="cs"/>
          <w:rtl/>
        </w:rPr>
        <w:t xml:space="preserve">והביא </w:t>
      </w:r>
      <w:r w:rsidRPr="00DD46D5">
        <w:rPr>
          <w:rStyle w:val="affa"/>
          <w:rFonts w:hint="cs"/>
          <w:rtl/>
        </w:rPr>
        <w:t>הקצוה"ח</w:t>
      </w:r>
      <w:r w:rsidRPr="00DD46D5">
        <w:rPr>
          <w:rStyle w:val="afb"/>
          <w:rFonts w:hint="cs"/>
          <w:rtl/>
        </w:rPr>
        <w:t xml:space="preserve"> דכן מבואר בדברי </w:t>
      </w:r>
      <w:r w:rsidRPr="00DD46D5">
        <w:rPr>
          <w:rStyle w:val="affa"/>
          <w:rFonts w:hint="cs"/>
          <w:rtl/>
        </w:rPr>
        <w:t>ר"י בתוס' לעיל</w:t>
      </w:r>
      <w:r w:rsidRPr="00DD46D5">
        <w:rPr>
          <w:rStyle w:val="afb"/>
          <w:rFonts w:hint="cs"/>
          <w:rtl/>
        </w:rPr>
        <w:t xml:space="preserve"> </w:t>
      </w:r>
      <w:r w:rsidRPr="00DD46D5">
        <w:rPr>
          <w:rStyle w:val="aff6"/>
          <w:rFonts w:hint="cs"/>
          <w:rtl/>
        </w:rPr>
        <w:t>(ל. סוד"ה לאו קמודית, הובא בסימן י' אות נ"ב)</w:t>
      </w:r>
      <w:r w:rsidRPr="00DD46D5">
        <w:rPr>
          <w:rStyle w:val="afb"/>
          <w:rFonts w:hint="cs"/>
          <w:rtl/>
        </w:rPr>
        <w:t xml:space="preserve"> דכתב דבטוען מפלניא זבינתה דזבנה מינך, ויש עדים דהמוכר דר חד יומא, דאעפ"י שלמוכר היה מיגו דהיה יכול לטעון דלא הייתה של המערער מעולם, מ"מ באופן שהמחזיק יודע שהייתה של המערער, לא היה יכול לעכב המחזיק את הקרקע בידו, וצריך להחזיר למערער, כיון שהוא יודע שהמיגו אינו נכון.</w:t>
      </w:r>
    </w:p>
  </w:footnote>
  <w:footnote w:id="121">
    <w:p w:rsidR="00265073" w:rsidRDefault="00265073" w:rsidP="00E824D3">
      <w:pPr>
        <w:pStyle w:val="af"/>
      </w:pPr>
      <w:r>
        <w:rPr>
          <w:rStyle w:val="af1"/>
        </w:rPr>
        <w:footnoteRef/>
      </w:r>
      <w:r>
        <w:rPr>
          <w:rtl/>
        </w:rPr>
        <w:t xml:space="preserve"> </w:t>
      </w:r>
      <w:r>
        <w:rPr>
          <w:rFonts w:hint="cs"/>
          <w:rtl/>
        </w:rPr>
        <w:t xml:space="preserve">וכתב </w:t>
      </w:r>
      <w:r w:rsidRPr="000B2CE9">
        <w:rPr>
          <w:rStyle w:val="affa"/>
          <w:rFonts w:hint="cs"/>
          <w:rtl/>
        </w:rPr>
        <w:t>הקצוה"ח</w:t>
      </w:r>
      <w:r>
        <w:rPr>
          <w:rFonts w:hint="cs"/>
          <w:rtl/>
        </w:rPr>
        <w:t xml:space="preserve"> דלפי"ז מתוצרת קושית </w:t>
      </w:r>
      <w:r w:rsidRPr="000B2CE9">
        <w:rPr>
          <w:rStyle w:val="affa"/>
          <w:rFonts w:hint="cs"/>
          <w:rtl/>
        </w:rPr>
        <w:t>הרמב"ן</w:t>
      </w:r>
      <w:r>
        <w:rPr>
          <w:rFonts w:hint="cs"/>
          <w:rtl/>
        </w:rPr>
        <w:t xml:space="preserve"> </w:t>
      </w:r>
      <w:r w:rsidRPr="003B024D">
        <w:rPr>
          <w:rStyle w:val="aff6"/>
          <w:rFonts w:hint="cs"/>
          <w:rtl/>
        </w:rPr>
        <w:t>(ד"ה ויש שפירשו, הובא בסימן י</w:t>
      </w:r>
      <w:r w:rsidRPr="003B024D">
        <w:rPr>
          <w:rStyle w:val="aff6"/>
          <w:rtl/>
        </w:rPr>
        <w:t>"</w:t>
      </w:r>
      <w:r w:rsidRPr="003B024D">
        <w:rPr>
          <w:rStyle w:val="aff6"/>
          <w:rFonts w:hint="cs"/>
          <w:rtl/>
        </w:rPr>
        <w:t>ז אות נ')</w:t>
      </w:r>
      <w:r>
        <w:rPr>
          <w:rFonts w:hint="cs"/>
          <w:rtl/>
        </w:rPr>
        <w:t xml:space="preserve"> על לשון הגמ' דאינו יכול להשבע כיון דהו"ל כגזלן, דכוונת הגמ' לומר דאעפ"י שלא גזלה</w:t>
      </w:r>
      <w:r w:rsidRPr="007F42FD">
        <w:rPr>
          <w:rFonts w:hint="cs"/>
          <w:rtl/>
        </w:rPr>
        <w:t xml:space="preserve"> </w:t>
      </w:r>
      <w:r>
        <w:rPr>
          <w:rFonts w:hint="cs"/>
          <w:rtl/>
        </w:rPr>
        <w:t>לפנינו, מ"מ לגבי העד הוא כגזלן, ולכן העד נאמן כל שאינו יכול להכחישו בשבועה, וכמו שאם היה העד קונה ממנו את הנסכא הוא היה חייב להחזיר, אף כלפי הנאמנות של העד שכ"ז שלא הוכחש הוא כשנים, ולכן חייב להחזיר.</w:t>
      </w:r>
    </w:p>
  </w:footnote>
  <w:footnote w:id="122">
    <w:p w:rsidR="00265073" w:rsidRDefault="00265073" w:rsidP="00E824D3">
      <w:pPr>
        <w:pStyle w:val="af"/>
        <w:rPr>
          <w:rtl/>
        </w:rPr>
      </w:pPr>
      <w:r>
        <w:rPr>
          <w:rStyle w:val="af1"/>
        </w:rPr>
        <w:footnoteRef/>
      </w:r>
      <w:r>
        <w:rPr>
          <w:rtl/>
        </w:rPr>
        <w:t xml:space="preserve"> ועי' במה שביאר </w:t>
      </w:r>
      <w:r w:rsidRPr="00A739BC">
        <w:rPr>
          <w:rStyle w:val="affa"/>
          <w:rtl/>
        </w:rPr>
        <w:t>בחי' רבי נחום</w:t>
      </w:r>
      <w:r>
        <w:rPr>
          <w:rtl/>
        </w:rPr>
        <w:t xml:space="preserve"> </w:t>
      </w:r>
      <w:r w:rsidRPr="00A739BC">
        <w:rPr>
          <w:rStyle w:val="aff6"/>
          <w:rtl/>
        </w:rPr>
        <w:t>(או' ר"ד ד"ה והנה)</w:t>
      </w:r>
      <w:r>
        <w:rPr>
          <w:rtl/>
        </w:rPr>
        <w:t xml:space="preserve"> את דברי </w:t>
      </w:r>
      <w:r w:rsidRPr="00A739BC">
        <w:rPr>
          <w:rStyle w:val="affa"/>
          <w:rtl/>
        </w:rPr>
        <w:t>האמרי ברוך</w:t>
      </w:r>
      <w:r>
        <w:rPr>
          <w:rtl/>
        </w:rPr>
        <w:t xml:space="preserve"> </w:t>
      </w:r>
      <w:r w:rsidRPr="00A739BC">
        <w:rPr>
          <w:rStyle w:val="aff6"/>
          <w:rtl/>
        </w:rPr>
        <w:t>(עי' אות</w:t>
      </w:r>
      <w:r>
        <w:rPr>
          <w:rtl/>
        </w:rPr>
        <w:t xml:space="preserve"> </w:t>
      </w:r>
      <w:r w:rsidRPr="00A739BC">
        <w:rPr>
          <w:rStyle w:val="aff6"/>
          <w:rtl/>
        </w:rPr>
        <w:fldChar w:fldCharType="begin"/>
      </w:r>
      <w:r w:rsidRPr="00A739BC">
        <w:rPr>
          <w:rStyle w:val="aff6"/>
          <w:rtl/>
        </w:rPr>
        <w:instrText xml:space="preserve"> </w:instrText>
      </w:r>
      <w:r w:rsidRPr="00A739BC">
        <w:rPr>
          <w:rStyle w:val="aff6"/>
        </w:rPr>
        <w:instrText>REF</w:instrText>
      </w:r>
      <w:r w:rsidRPr="00A739BC">
        <w:rPr>
          <w:rStyle w:val="aff6"/>
          <w:rtl/>
        </w:rPr>
        <w:instrText xml:space="preserve"> _</w:instrText>
      </w:r>
      <w:r w:rsidRPr="00A739BC">
        <w:rPr>
          <w:rStyle w:val="aff6"/>
        </w:rPr>
        <w:instrText>Ref66182670 \r \h</w:instrText>
      </w:r>
      <w:r w:rsidRPr="00A739BC">
        <w:rPr>
          <w:rStyle w:val="aff6"/>
          <w:rtl/>
        </w:rPr>
        <w:instrText xml:space="preserve"> </w:instrText>
      </w:r>
      <w:r w:rsidRPr="00A739BC">
        <w:rPr>
          <w:rStyle w:val="aff6"/>
          <w:rtl/>
        </w:rPr>
      </w:r>
      <w:r w:rsidRPr="00A739BC">
        <w:rPr>
          <w:rStyle w:val="aff6"/>
          <w:rtl/>
        </w:rPr>
        <w:fldChar w:fldCharType="separate"/>
      </w:r>
      <w:r>
        <w:rPr>
          <w:rStyle w:val="aff6"/>
          <w:cs/>
        </w:rPr>
        <w:t>‎</w:t>
      </w:r>
      <w:r>
        <w:rPr>
          <w:rStyle w:val="aff6"/>
          <w:rtl/>
        </w:rPr>
        <w:t>נב)</w:t>
      </w:r>
      <w:r w:rsidRPr="00A739BC">
        <w:rPr>
          <w:rStyle w:val="aff6"/>
          <w:rtl/>
        </w:rPr>
        <w:fldChar w:fldCharType="end"/>
      </w:r>
      <w:r>
        <w:rPr>
          <w:rtl/>
        </w:rPr>
        <w:t xml:space="preserve"> דמדברי התוס' משמע דלדעת </w:t>
      </w:r>
      <w:r w:rsidRPr="00A739BC">
        <w:rPr>
          <w:rStyle w:val="affa"/>
          <w:rtl/>
        </w:rPr>
        <w:t>הריב"ם</w:t>
      </w:r>
      <w:r>
        <w:rPr>
          <w:rtl/>
        </w:rPr>
        <w:t xml:space="preserve"> </w:t>
      </w:r>
      <w:r w:rsidRPr="00A739BC">
        <w:rPr>
          <w:rStyle w:val="aff6"/>
          <w:rFonts w:hint="cs"/>
          <w:rtl/>
        </w:rPr>
        <w:t xml:space="preserve">(עי' אות </w:t>
      </w:r>
      <w:r w:rsidRPr="00A739BC">
        <w:rPr>
          <w:rStyle w:val="aff6"/>
          <w:rtl/>
        </w:rPr>
        <w:fldChar w:fldCharType="begin"/>
      </w:r>
      <w:r w:rsidRPr="00A739BC">
        <w:rPr>
          <w:rStyle w:val="aff6"/>
          <w:rtl/>
        </w:rPr>
        <w:instrText xml:space="preserve"> </w:instrText>
      </w:r>
      <w:r w:rsidRPr="00A739BC">
        <w:rPr>
          <w:rStyle w:val="aff6"/>
          <w:rFonts w:hint="cs"/>
        </w:rPr>
        <w:instrText>REF</w:instrText>
      </w:r>
      <w:r w:rsidRPr="00A739BC">
        <w:rPr>
          <w:rStyle w:val="aff6"/>
          <w:rFonts w:hint="cs"/>
          <w:rtl/>
        </w:rPr>
        <w:instrText xml:space="preserve"> _</w:instrText>
      </w:r>
      <w:r w:rsidRPr="00A739BC">
        <w:rPr>
          <w:rStyle w:val="aff6"/>
          <w:rFonts w:hint="cs"/>
        </w:rPr>
        <w:instrText>Ref65795831 \r \h</w:instrText>
      </w:r>
      <w:r w:rsidRPr="00A739BC">
        <w:rPr>
          <w:rStyle w:val="aff6"/>
          <w:rtl/>
        </w:rPr>
        <w:instrText xml:space="preserve"> </w:instrText>
      </w:r>
      <w:r w:rsidRPr="00A739BC">
        <w:rPr>
          <w:rStyle w:val="aff6"/>
          <w:rtl/>
        </w:rPr>
      </w:r>
      <w:r w:rsidRPr="00A739BC">
        <w:rPr>
          <w:rStyle w:val="aff6"/>
          <w:rtl/>
        </w:rPr>
        <w:fldChar w:fldCharType="separate"/>
      </w:r>
      <w:r>
        <w:rPr>
          <w:rStyle w:val="aff6"/>
          <w:cs/>
        </w:rPr>
        <w:t>‎</w:t>
      </w:r>
      <w:r>
        <w:rPr>
          <w:rStyle w:val="aff6"/>
          <w:rtl/>
        </w:rPr>
        <w:t>לה)</w:t>
      </w:r>
      <w:r w:rsidRPr="00A739BC">
        <w:rPr>
          <w:rStyle w:val="aff6"/>
          <w:rtl/>
        </w:rPr>
        <w:fldChar w:fldCharType="end"/>
      </w:r>
      <w:r>
        <w:rPr>
          <w:rFonts w:hint="cs"/>
          <w:rtl/>
        </w:rPr>
        <w:t xml:space="preserve"> </w:t>
      </w:r>
      <w:r>
        <w:rPr>
          <w:rtl/>
        </w:rPr>
        <w:t xml:space="preserve">דחיוב שבועת התורה הוא דאו ישבע או ישלם, א"כ אין כל חילוק בין שבועת ע"א לשאר שבועות, ודלא </w:t>
      </w:r>
      <w:r w:rsidRPr="00A739BC">
        <w:rPr>
          <w:rStyle w:val="affa"/>
          <w:rtl/>
        </w:rPr>
        <w:t>כרמב"ן</w:t>
      </w:r>
      <w:r>
        <w:rPr>
          <w:rtl/>
        </w:rPr>
        <w:t xml:space="preserve"> </w:t>
      </w:r>
      <w:r w:rsidRPr="00A739BC">
        <w:rPr>
          <w:rStyle w:val="aff6"/>
          <w:rFonts w:hint="cs"/>
          <w:rtl/>
        </w:rPr>
        <w:t xml:space="preserve">(עי' אות </w:t>
      </w:r>
      <w:r w:rsidRPr="00A739BC">
        <w:rPr>
          <w:rStyle w:val="aff6"/>
          <w:rtl/>
        </w:rPr>
        <w:fldChar w:fldCharType="begin"/>
      </w:r>
      <w:r w:rsidRPr="00A739BC">
        <w:rPr>
          <w:rStyle w:val="aff6"/>
          <w:rtl/>
        </w:rPr>
        <w:instrText xml:space="preserve"> </w:instrText>
      </w:r>
      <w:r w:rsidRPr="00A739BC">
        <w:rPr>
          <w:rStyle w:val="aff6"/>
          <w:rFonts w:hint="cs"/>
        </w:rPr>
        <w:instrText>REF</w:instrText>
      </w:r>
      <w:r w:rsidRPr="00A739BC">
        <w:rPr>
          <w:rStyle w:val="aff6"/>
          <w:rFonts w:hint="cs"/>
          <w:rtl/>
        </w:rPr>
        <w:instrText xml:space="preserve"> _</w:instrText>
      </w:r>
      <w:r w:rsidRPr="00A739BC">
        <w:rPr>
          <w:rStyle w:val="aff6"/>
          <w:rFonts w:hint="cs"/>
        </w:rPr>
        <w:instrText>Ref66054904 \r \h</w:instrText>
      </w:r>
      <w:r w:rsidRPr="00A739BC">
        <w:rPr>
          <w:rStyle w:val="aff6"/>
          <w:rtl/>
        </w:rPr>
        <w:instrText xml:space="preserve"> </w:instrText>
      </w:r>
      <w:r w:rsidRPr="00A739BC">
        <w:rPr>
          <w:rStyle w:val="aff6"/>
          <w:rtl/>
        </w:rPr>
      </w:r>
      <w:r w:rsidRPr="00A739BC">
        <w:rPr>
          <w:rStyle w:val="aff6"/>
          <w:rtl/>
        </w:rPr>
        <w:fldChar w:fldCharType="separate"/>
      </w:r>
      <w:r>
        <w:rPr>
          <w:rStyle w:val="aff6"/>
          <w:cs/>
        </w:rPr>
        <w:t>‎</w:t>
      </w:r>
      <w:r>
        <w:rPr>
          <w:rStyle w:val="aff6"/>
          <w:rtl/>
        </w:rPr>
        <w:t>לח)</w:t>
      </w:r>
      <w:r w:rsidRPr="00A739BC">
        <w:rPr>
          <w:rStyle w:val="aff6"/>
          <w:rtl/>
        </w:rPr>
        <w:fldChar w:fldCharType="end"/>
      </w:r>
      <w:r>
        <w:rPr>
          <w:rtl/>
        </w:rPr>
        <w:t xml:space="preserve">, ולכן הוצרכו </w:t>
      </w:r>
      <w:r w:rsidRPr="00A739BC">
        <w:rPr>
          <w:rStyle w:val="affa"/>
          <w:rtl/>
        </w:rPr>
        <w:t>רבינו יונה והתוס' הרא"ש</w:t>
      </w:r>
      <w:r>
        <w:rPr>
          <w:rtl/>
        </w:rPr>
        <w:t xml:space="preserve"> </w:t>
      </w:r>
      <w:r w:rsidRPr="00A739BC">
        <w:rPr>
          <w:rStyle w:val="aff6"/>
          <w:rFonts w:hint="cs"/>
          <w:rtl/>
        </w:rPr>
        <w:t xml:space="preserve">(עי' אות </w:t>
      </w:r>
      <w:r w:rsidRPr="00A739BC">
        <w:rPr>
          <w:rStyle w:val="aff6"/>
          <w:rtl/>
        </w:rPr>
        <w:fldChar w:fldCharType="begin"/>
      </w:r>
      <w:r w:rsidRPr="00A739BC">
        <w:rPr>
          <w:rStyle w:val="aff6"/>
          <w:rtl/>
        </w:rPr>
        <w:instrText xml:space="preserve"> </w:instrText>
      </w:r>
      <w:r w:rsidRPr="00A739BC">
        <w:rPr>
          <w:rStyle w:val="aff6"/>
          <w:rFonts w:hint="cs"/>
        </w:rPr>
        <w:instrText>REF</w:instrText>
      </w:r>
      <w:r w:rsidRPr="00A739BC">
        <w:rPr>
          <w:rStyle w:val="aff6"/>
          <w:rFonts w:hint="cs"/>
          <w:rtl/>
        </w:rPr>
        <w:instrText xml:space="preserve"> _</w:instrText>
      </w:r>
      <w:r w:rsidRPr="00A739BC">
        <w:rPr>
          <w:rStyle w:val="aff6"/>
          <w:rFonts w:hint="cs"/>
        </w:rPr>
        <w:instrText>Ref66054768 \r \h</w:instrText>
      </w:r>
      <w:r w:rsidRPr="00A739BC">
        <w:rPr>
          <w:rStyle w:val="aff6"/>
          <w:rtl/>
        </w:rPr>
        <w:instrText xml:space="preserve">  \* </w:instrText>
      </w:r>
      <w:r w:rsidRPr="00A739BC">
        <w:rPr>
          <w:rStyle w:val="aff6"/>
        </w:rPr>
        <w:instrText>MERGEFORMAT</w:instrText>
      </w:r>
      <w:r w:rsidRPr="00A739BC">
        <w:rPr>
          <w:rStyle w:val="aff6"/>
          <w:rtl/>
        </w:rPr>
        <w:instrText xml:space="preserve"> </w:instrText>
      </w:r>
      <w:r w:rsidRPr="00A739BC">
        <w:rPr>
          <w:rStyle w:val="aff6"/>
          <w:rtl/>
        </w:rPr>
      </w:r>
      <w:r w:rsidRPr="00A739BC">
        <w:rPr>
          <w:rStyle w:val="aff6"/>
          <w:rtl/>
        </w:rPr>
        <w:fldChar w:fldCharType="separate"/>
      </w:r>
      <w:r>
        <w:rPr>
          <w:rStyle w:val="aff6"/>
          <w:cs/>
        </w:rPr>
        <w:t>‎</w:t>
      </w:r>
      <w:r>
        <w:rPr>
          <w:rStyle w:val="aff6"/>
          <w:rtl/>
        </w:rPr>
        <w:t>מא)</w:t>
      </w:r>
      <w:r w:rsidRPr="00A739BC">
        <w:rPr>
          <w:rStyle w:val="aff6"/>
          <w:rtl/>
        </w:rPr>
        <w:fldChar w:fldCharType="end"/>
      </w:r>
      <w:r w:rsidRPr="005D1B07">
        <w:rPr>
          <w:rFonts w:hint="cs"/>
          <w:rtl/>
        </w:rPr>
        <w:t xml:space="preserve"> </w:t>
      </w:r>
      <w:r>
        <w:rPr>
          <w:rtl/>
        </w:rPr>
        <w:t>לבאר דבהחזרתי במיגו דנאנסו לא חל חיוב השבועה.</w:t>
      </w:r>
    </w:p>
    <w:p w:rsidR="00265073" w:rsidRDefault="00265073" w:rsidP="00E824D3">
      <w:pPr>
        <w:pStyle w:val="af"/>
        <w:rPr>
          <w:rtl/>
        </w:rPr>
      </w:pPr>
      <w:r>
        <w:rPr>
          <w:rtl/>
        </w:rPr>
        <w:t xml:space="preserve">אך כתב </w:t>
      </w:r>
      <w:r w:rsidRPr="00A739BC">
        <w:rPr>
          <w:rStyle w:val="affa"/>
          <w:rtl/>
        </w:rPr>
        <w:t>בחי' רבי נחום</w:t>
      </w:r>
      <w:r>
        <w:rPr>
          <w:rtl/>
        </w:rPr>
        <w:t xml:space="preserve"> דמדברי </w:t>
      </w:r>
      <w:r w:rsidRPr="00A739BC">
        <w:rPr>
          <w:rStyle w:val="affa"/>
          <w:rtl/>
        </w:rPr>
        <w:t>הרשב"א</w:t>
      </w:r>
      <w:r>
        <w:rPr>
          <w:rtl/>
        </w:rPr>
        <w:t xml:space="preserve"> </w:t>
      </w:r>
      <w:r w:rsidRPr="00A739BC">
        <w:rPr>
          <w:rStyle w:val="aff6"/>
          <w:rFonts w:hint="cs"/>
          <w:rtl/>
        </w:rPr>
        <w:t xml:space="preserve">(עי' אות </w:t>
      </w:r>
      <w:r w:rsidRPr="00A739BC">
        <w:rPr>
          <w:rStyle w:val="aff6"/>
          <w:rtl/>
        </w:rPr>
        <w:fldChar w:fldCharType="begin"/>
      </w:r>
      <w:r w:rsidRPr="00A739BC">
        <w:rPr>
          <w:rStyle w:val="aff6"/>
          <w:rtl/>
        </w:rPr>
        <w:instrText xml:space="preserve"> </w:instrText>
      </w:r>
      <w:r w:rsidRPr="00A739BC">
        <w:rPr>
          <w:rStyle w:val="aff6"/>
          <w:rFonts w:hint="cs"/>
        </w:rPr>
        <w:instrText>REF</w:instrText>
      </w:r>
      <w:r w:rsidRPr="00A739BC">
        <w:rPr>
          <w:rStyle w:val="aff6"/>
          <w:rFonts w:hint="cs"/>
          <w:rtl/>
        </w:rPr>
        <w:instrText xml:space="preserve"> _</w:instrText>
      </w:r>
      <w:r w:rsidRPr="00A739BC">
        <w:rPr>
          <w:rStyle w:val="aff6"/>
          <w:rFonts w:hint="cs"/>
        </w:rPr>
        <w:instrText>Ref66036200 \r \h</w:instrText>
      </w:r>
      <w:r w:rsidRPr="00A739BC">
        <w:rPr>
          <w:rStyle w:val="aff6"/>
          <w:rtl/>
        </w:rPr>
        <w:instrText xml:space="preserve"> </w:instrText>
      </w:r>
      <w:r w:rsidRPr="00A739BC">
        <w:rPr>
          <w:rStyle w:val="aff6"/>
          <w:rtl/>
        </w:rPr>
      </w:r>
      <w:r w:rsidRPr="00A739BC">
        <w:rPr>
          <w:rStyle w:val="aff6"/>
          <w:rtl/>
        </w:rPr>
        <w:fldChar w:fldCharType="separate"/>
      </w:r>
      <w:r>
        <w:rPr>
          <w:rStyle w:val="aff6"/>
          <w:cs/>
        </w:rPr>
        <w:t>‎</w:t>
      </w:r>
      <w:r>
        <w:rPr>
          <w:rStyle w:val="aff6"/>
          <w:rtl/>
        </w:rPr>
        <w:t>לז)</w:t>
      </w:r>
      <w:r w:rsidRPr="00A739BC">
        <w:rPr>
          <w:rStyle w:val="aff6"/>
          <w:rtl/>
        </w:rPr>
        <w:fldChar w:fldCharType="end"/>
      </w:r>
      <w:r>
        <w:rPr>
          <w:rFonts w:hint="cs"/>
          <w:rtl/>
        </w:rPr>
        <w:t xml:space="preserve"> </w:t>
      </w:r>
      <w:r>
        <w:rPr>
          <w:rtl/>
        </w:rPr>
        <w:t xml:space="preserve">מבואר דאף דבעיקר דברי </w:t>
      </w:r>
      <w:r w:rsidRPr="00A739BC">
        <w:rPr>
          <w:rStyle w:val="affa"/>
          <w:rtl/>
        </w:rPr>
        <w:t>הריב"ם</w:t>
      </w:r>
      <w:r>
        <w:rPr>
          <w:rtl/>
        </w:rPr>
        <w:t xml:space="preserve"> כוונתו דדין חיוב מתוך שאינו יכול לישבע משלם, הוא דחייבה תורה או להשבע או לשלם, מ"מ יש חילוק בין שבועת ע"א לשאר השבועות, דבשבועת ע"א, נתנה תורה לע"א נאמנות גמורה לענין שבועה, ולכן ל"מ מיגו לפוטרו, אבל בשאר השבועות אף שחל עליו חיוב שבועה וצריך או להשבע או לשלם, מ"מ אין בירור גמור שהוא חייב, ולכן מהני המיגו לפוטרו משבועה.</w:t>
      </w:r>
    </w:p>
  </w:footnote>
  <w:footnote w:id="123">
    <w:p w:rsidR="00265073" w:rsidRDefault="00265073" w:rsidP="00E824D3">
      <w:pPr>
        <w:pStyle w:val="af"/>
        <w:rPr>
          <w:rtl/>
        </w:rPr>
      </w:pPr>
      <w:r>
        <w:rPr>
          <w:rStyle w:val="af1"/>
        </w:rPr>
        <w:footnoteRef/>
      </w:r>
      <w:r>
        <w:rPr>
          <w:rtl/>
        </w:rPr>
        <w:t xml:space="preserve"> אך הקשה </w:t>
      </w:r>
      <w:r w:rsidRPr="009B557F">
        <w:rPr>
          <w:rStyle w:val="affa"/>
          <w:rtl/>
        </w:rPr>
        <w:t xml:space="preserve">הרמב"ן </w:t>
      </w:r>
      <w:r>
        <w:rPr>
          <w:rtl/>
        </w:rPr>
        <w:t xml:space="preserve">דהא </w:t>
      </w:r>
      <w:r w:rsidRPr="009B557F">
        <w:rPr>
          <w:rStyle w:val="affa"/>
          <w:rtl/>
        </w:rPr>
        <w:t xml:space="preserve">הרי"ף בקידושין </w:t>
      </w:r>
      <w:r w:rsidRPr="009B557F">
        <w:rPr>
          <w:rStyle w:val="aff6"/>
          <w:rtl/>
        </w:rPr>
        <w:t>(יז: מדה"ר)</w:t>
      </w:r>
      <w:r>
        <w:rPr>
          <w:rtl/>
        </w:rPr>
        <w:t xml:space="preserve"> פסק את דברי הירושלמי בקידושין </w:t>
      </w:r>
      <w:r w:rsidRPr="009B557F">
        <w:rPr>
          <w:rStyle w:val="aff6"/>
          <w:rtl/>
        </w:rPr>
        <w:t>(פ"ב ה"א, כג:)</w:t>
      </w:r>
      <w:r>
        <w:rPr>
          <w:rtl/>
        </w:rPr>
        <w:t xml:space="preserve"> דאדם ששלח כתף להפקיד חבית יין אצל חבירו, וכפר בו חבירו וטען שלא הפקיד אצלו יין, וחייב רב אמי את המפקיד שבועה, כיון שהכתף השליח הוא ע"א על הפקדון, ומבואר דאף שהשליח מחוייב שבועת היסת, מ"מ הוא נאמן ונעשה עד</w:t>
      </w:r>
      <w:r>
        <w:rPr>
          <w:rFonts w:hint="cs"/>
          <w:rtl/>
        </w:rPr>
        <w:t>.</w:t>
      </w:r>
    </w:p>
    <w:p w:rsidR="00265073" w:rsidRDefault="00265073" w:rsidP="00E824D3">
      <w:pPr>
        <w:pStyle w:val="af"/>
        <w:rPr>
          <w:rtl/>
        </w:rPr>
      </w:pPr>
      <w:r>
        <w:rPr>
          <w:rtl/>
        </w:rPr>
        <w:t>ותירץ</w:t>
      </w:r>
      <w:r w:rsidRPr="009B557F">
        <w:rPr>
          <w:rStyle w:val="affa"/>
          <w:rtl/>
        </w:rPr>
        <w:t xml:space="preserve"> הרמב"ן </w:t>
      </w:r>
      <w:r>
        <w:rPr>
          <w:rtl/>
        </w:rPr>
        <w:t>דצ"ל דבירושלמי איירי שהמפקיד טען מתחילה שהוא הלך יחד עם הכתף, וראה שהפקיד אצלו את היין, וא"כ אין הכתף מחוייב שבועה למפקיד, דבתחילת דבריו הוא כבר האמין לו, ולכן הכתף נעשה ע"א כנגד הנפקד, דקיי"ל דשליח נעשה עד.</w:t>
      </w:r>
    </w:p>
    <w:p w:rsidR="00265073" w:rsidRDefault="00265073" w:rsidP="00E824D3">
      <w:pPr>
        <w:pStyle w:val="af"/>
        <w:rPr>
          <w:rtl/>
        </w:rPr>
      </w:pPr>
      <w:r>
        <w:rPr>
          <w:rtl/>
        </w:rPr>
        <w:t xml:space="preserve">וכתב </w:t>
      </w:r>
      <w:r w:rsidRPr="009B557F">
        <w:rPr>
          <w:rStyle w:val="affa"/>
          <w:rtl/>
        </w:rPr>
        <w:t xml:space="preserve">הרמב"ן </w:t>
      </w:r>
      <w:r>
        <w:rPr>
          <w:rtl/>
        </w:rPr>
        <w:t>דבמקום שהשליח אינו נאמן [כשהוא מחוייב שבועת היסת], נאמן במיגו להכחיש את השליח, אעפ"י שהוא חוצפא להכחיש את הע"א, מ"מ כיון שהע"א הוא שליח, אי"ז נראה חוצפה דאמרי אינשי דהשליח גנב את היין, ואין הכופר בשליח נראה כחשוד כשכופר בע"א שהוא שליח</w:t>
      </w:r>
      <w:r>
        <w:rPr>
          <w:rFonts w:hint="cs"/>
          <w:rtl/>
        </w:rPr>
        <w:t>.</w:t>
      </w:r>
    </w:p>
    <w:p w:rsidR="00265073" w:rsidRDefault="00265073" w:rsidP="00E824D3">
      <w:pPr>
        <w:pStyle w:val="af"/>
        <w:rPr>
          <w:rtl/>
        </w:rPr>
      </w:pPr>
      <w:r>
        <w:rPr>
          <w:rtl/>
        </w:rPr>
        <w:t xml:space="preserve">והוסיף </w:t>
      </w:r>
      <w:r w:rsidRPr="009B557F">
        <w:rPr>
          <w:rStyle w:val="affa"/>
          <w:rtl/>
        </w:rPr>
        <w:t xml:space="preserve">הרמב"ן </w:t>
      </w:r>
      <w:r>
        <w:rPr>
          <w:rtl/>
        </w:rPr>
        <w:t>דבמקום שהע"א נאמן ואינו מחוייב שבועת היסת, אינו מעיז פניו להכחיש את העד ולהשבע לשקר, אבל במקום שהע"א אינו נאמן, ואין הכופר בו חייב שבועה, יתכן שהוא מעיז לכפור בו, ואי"ז נחשב כמיגו דהעזה.</w:t>
      </w:r>
    </w:p>
    <w:p w:rsidR="00265073" w:rsidRDefault="00265073" w:rsidP="00E824D3">
      <w:pPr>
        <w:pStyle w:val="af"/>
        <w:rPr>
          <w:rtl/>
        </w:rPr>
      </w:pPr>
      <w:r>
        <w:rPr>
          <w:rtl/>
        </w:rPr>
        <w:t xml:space="preserve">וכתב </w:t>
      </w:r>
      <w:r w:rsidRPr="009B557F">
        <w:rPr>
          <w:rStyle w:val="affa"/>
          <w:rtl/>
        </w:rPr>
        <w:t xml:space="preserve">הרמב"ן </w:t>
      </w:r>
      <w:r>
        <w:rPr>
          <w:rtl/>
        </w:rPr>
        <w:t xml:space="preserve">דלדברי </w:t>
      </w:r>
      <w:r w:rsidRPr="009B557F">
        <w:rPr>
          <w:rStyle w:val="affa"/>
          <w:rtl/>
        </w:rPr>
        <w:t>תלמידי הרי</w:t>
      </w:r>
      <w:r w:rsidRPr="005033E1">
        <w:rPr>
          <w:rStyle w:val="affa"/>
          <w:rtl/>
        </w:rPr>
        <w:t>"ף</w:t>
      </w:r>
      <w:r>
        <w:rPr>
          <w:rtl/>
        </w:rPr>
        <w:t xml:space="preserve"> דס"ל דחיוב שבועה בע"א הוא רק במקום שטוען ברי, א"כ אף לפני שתיקנו שבועת היסת, אינו מחוייב שבועה במקום שיש שליח.</w:t>
      </w:r>
    </w:p>
  </w:footnote>
  <w:footnote w:id="124">
    <w:p w:rsidR="00265073" w:rsidRDefault="00265073" w:rsidP="00E824D3">
      <w:pPr>
        <w:pStyle w:val="af"/>
      </w:pPr>
      <w:r>
        <w:rPr>
          <w:rStyle w:val="af1"/>
        </w:rPr>
        <w:footnoteRef/>
      </w:r>
      <w:r>
        <w:rPr>
          <w:rtl/>
        </w:rPr>
        <w:t xml:space="preserve"> </w:t>
      </w:r>
      <w:r>
        <w:rPr>
          <w:rFonts w:hint="cs"/>
          <w:rtl/>
        </w:rPr>
        <w:t xml:space="preserve">ועוד הביא </w:t>
      </w:r>
      <w:r w:rsidRPr="003E0364">
        <w:rPr>
          <w:rStyle w:val="affa"/>
          <w:rFonts w:hint="cs"/>
          <w:rtl/>
        </w:rPr>
        <w:t>המ"מ</w:t>
      </w:r>
      <w:r>
        <w:rPr>
          <w:rFonts w:hint="cs"/>
          <w:rtl/>
        </w:rPr>
        <w:t xml:space="preserve"> בשם </w:t>
      </w:r>
      <w:r w:rsidRPr="003E0364">
        <w:rPr>
          <w:rStyle w:val="affa"/>
          <w:rFonts w:hint="cs"/>
          <w:rtl/>
        </w:rPr>
        <w:t>י"א</w:t>
      </w:r>
      <w:r>
        <w:rPr>
          <w:rFonts w:hint="cs"/>
          <w:rtl/>
        </w:rPr>
        <w:t xml:space="preserve"> דלא מהני מיגו במקום שהטענות אינם שוות, דאם היה הלוה נותנם במתנה לאחר, לא היה המקבל את המתנה חייב להחזיר לו, אבל לפי טענתו שראובן הפקיד את המטלטלין בידו, א"כ אם טענתו אינה אמת, א"כ חייב ראובן להניח אצלו את המטלטלין, בבא לצאת ידי שמים, או להחזירם לו אח"כ, </w:t>
      </w:r>
      <w:r w:rsidRPr="00ED68E4">
        <w:rPr>
          <w:rFonts w:hint="cs"/>
          <w:rtl/>
        </w:rPr>
        <w:t xml:space="preserve">[דהא יודע ראובן שבאמת אינם שלו], </w:t>
      </w:r>
      <w:r>
        <w:rPr>
          <w:rFonts w:hint="cs"/>
          <w:rtl/>
        </w:rPr>
        <w:t>ולכן חשיב שהטענה שטוען עכשיו דהם פקדון בידו, היא טענה טובה יותר מטענת המיגו דהיה יכול לתתם במתנה, ולכן אינו נאמן.</w:t>
      </w:r>
    </w:p>
  </w:footnote>
  <w:footnote w:id="125">
    <w:p w:rsidR="00265073" w:rsidRDefault="00265073" w:rsidP="00E824D3">
      <w:pPr>
        <w:pStyle w:val="af"/>
        <w:rPr>
          <w:rtl/>
        </w:rPr>
      </w:pPr>
      <w:r>
        <w:rPr>
          <w:rStyle w:val="af1"/>
        </w:rPr>
        <w:footnoteRef/>
      </w:r>
      <w:r>
        <w:rPr>
          <w:rtl/>
        </w:rPr>
        <w:t xml:space="preserve"> </w:t>
      </w:r>
      <w:r w:rsidRPr="008B6BC9">
        <w:rPr>
          <w:rtl/>
        </w:rPr>
        <w:t xml:space="preserve">וביאר </w:t>
      </w:r>
      <w:r w:rsidRPr="00FB0465">
        <w:rPr>
          <w:rStyle w:val="affa"/>
          <w:rtl/>
        </w:rPr>
        <w:t>בחי' רבי נחום</w:t>
      </w:r>
      <w:r w:rsidRPr="008B6BC9">
        <w:rPr>
          <w:rtl/>
        </w:rPr>
        <w:t xml:space="preserve"> </w:t>
      </w:r>
      <w:r w:rsidRPr="00FB0465">
        <w:rPr>
          <w:rStyle w:val="aff6"/>
          <w:rtl/>
        </w:rPr>
        <w:t>(או' ר"ח ד"ה בענין)</w:t>
      </w:r>
      <w:r w:rsidRPr="008B6BC9">
        <w:rPr>
          <w:rtl/>
        </w:rPr>
        <w:t xml:space="preserve"> דכוונת </w:t>
      </w:r>
      <w:r w:rsidRPr="00FB0465">
        <w:rPr>
          <w:rStyle w:val="affa"/>
          <w:rtl/>
        </w:rPr>
        <w:t>הגר"ח</w:t>
      </w:r>
      <w:r w:rsidRPr="008B6BC9">
        <w:rPr>
          <w:rtl/>
        </w:rPr>
        <w:t xml:space="preserve"> </w:t>
      </w:r>
      <w:r w:rsidRPr="00FB0465">
        <w:rPr>
          <w:rStyle w:val="aff6"/>
          <w:rtl/>
        </w:rPr>
        <w:t xml:space="preserve">(עי' אות </w:t>
      </w:r>
      <w:r w:rsidRPr="00FB0465">
        <w:rPr>
          <w:rStyle w:val="aff6"/>
          <w:rtl/>
        </w:rPr>
        <w:fldChar w:fldCharType="begin"/>
      </w:r>
      <w:r w:rsidRPr="00FB0465">
        <w:rPr>
          <w:rStyle w:val="aff6"/>
          <w:rtl/>
        </w:rPr>
        <w:instrText xml:space="preserve"> </w:instrText>
      </w:r>
      <w:r w:rsidRPr="00FB0465">
        <w:rPr>
          <w:rStyle w:val="aff6"/>
        </w:rPr>
        <w:instrText>REF</w:instrText>
      </w:r>
      <w:r w:rsidRPr="00FB0465">
        <w:rPr>
          <w:rStyle w:val="aff6"/>
          <w:rtl/>
        </w:rPr>
        <w:instrText xml:space="preserve"> _</w:instrText>
      </w:r>
      <w:r w:rsidRPr="00FB0465">
        <w:rPr>
          <w:rStyle w:val="aff6"/>
        </w:rPr>
        <w:instrText>Ref66116134 \r \h</w:instrText>
      </w:r>
      <w:r w:rsidRPr="00FB0465">
        <w:rPr>
          <w:rStyle w:val="aff6"/>
          <w:rtl/>
        </w:rPr>
        <w:instrText xml:space="preserve"> </w:instrText>
      </w:r>
      <w:r w:rsidRPr="00FB0465">
        <w:rPr>
          <w:rStyle w:val="aff6"/>
          <w:rtl/>
        </w:rPr>
      </w:r>
      <w:r w:rsidRPr="00FB0465">
        <w:rPr>
          <w:rStyle w:val="aff6"/>
          <w:rtl/>
        </w:rPr>
        <w:fldChar w:fldCharType="separate"/>
      </w:r>
      <w:r>
        <w:rPr>
          <w:rStyle w:val="aff6"/>
          <w:cs/>
        </w:rPr>
        <w:t>‎</w:t>
      </w:r>
      <w:r>
        <w:rPr>
          <w:rStyle w:val="aff6"/>
          <w:rtl/>
        </w:rPr>
        <w:t>סד)</w:t>
      </w:r>
      <w:r w:rsidRPr="00FB0465">
        <w:rPr>
          <w:rStyle w:val="aff6"/>
          <w:rtl/>
        </w:rPr>
        <w:fldChar w:fldCharType="end"/>
      </w:r>
      <w:r w:rsidRPr="008B6BC9">
        <w:rPr>
          <w:rtl/>
        </w:rPr>
        <w:t xml:space="preserve"> לתרץ את דברי </w:t>
      </w:r>
      <w:r w:rsidRPr="00FB0465">
        <w:rPr>
          <w:rStyle w:val="affa"/>
          <w:rtl/>
        </w:rPr>
        <w:t>המ"מ</w:t>
      </w:r>
      <w:r w:rsidRPr="008B6BC9">
        <w:rPr>
          <w:rtl/>
        </w:rPr>
        <w:t xml:space="preserve"> </w:t>
      </w:r>
      <w:r w:rsidRPr="00FB0465">
        <w:rPr>
          <w:rStyle w:val="aff6"/>
          <w:rtl/>
        </w:rPr>
        <w:t xml:space="preserve">(עי' אות </w:t>
      </w:r>
      <w:r w:rsidRPr="00FB0465">
        <w:rPr>
          <w:rStyle w:val="aff6"/>
          <w:cs/>
        </w:rPr>
        <w:fldChar w:fldCharType="begin"/>
      </w:r>
      <w:r w:rsidRPr="00FB0465">
        <w:rPr>
          <w:rStyle w:val="aff6"/>
          <w:rtl/>
        </w:rPr>
        <w:instrText xml:space="preserve"> </w:instrText>
      </w:r>
      <w:r w:rsidRPr="00FB0465">
        <w:rPr>
          <w:rStyle w:val="aff6"/>
        </w:rPr>
        <w:instrText>REF</w:instrText>
      </w:r>
      <w:r w:rsidRPr="00FB0465">
        <w:rPr>
          <w:rStyle w:val="aff6"/>
          <w:rtl/>
        </w:rPr>
        <w:instrText xml:space="preserve"> _</w:instrText>
      </w:r>
      <w:r w:rsidRPr="00FB0465">
        <w:rPr>
          <w:rStyle w:val="aff6"/>
        </w:rPr>
        <w:instrText>Ref66184949 \r \h</w:instrText>
      </w:r>
      <w:r w:rsidRPr="00FB0465">
        <w:rPr>
          <w:rStyle w:val="aff6"/>
          <w:rtl/>
        </w:rPr>
        <w:instrText xml:space="preserve"> </w:instrText>
      </w:r>
      <w:r w:rsidRPr="00FB0465">
        <w:rPr>
          <w:rStyle w:val="aff6"/>
          <w:cs/>
        </w:rPr>
      </w:r>
      <w:r w:rsidRPr="00FB0465">
        <w:rPr>
          <w:rStyle w:val="aff6"/>
          <w:cs/>
        </w:rPr>
        <w:fldChar w:fldCharType="separate"/>
      </w:r>
      <w:r>
        <w:rPr>
          <w:rStyle w:val="aff6"/>
          <w:cs/>
        </w:rPr>
        <w:t>‎</w:t>
      </w:r>
      <w:r>
        <w:rPr>
          <w:rStyle w:val="aff6"/>
          <w:rtl/>
        </w:rPr>
        <w:t>ס)</w:t>
      </w:r>
      <w:r w:rsidRPr="00FB0465">
        <w:rPr>
          <w:rStyle w:val="aff6"/>
          <w:cs/>
        </w:rPr>
        <w:fldChar w:fldCharType="end"/>
      </w:r>
      <w:r>
        <w:rPr>
          <w:rFonts w:hint="cs"/>
          <w:rtl/>
          <w:cs/>
        </w:rPr>
        <w:t xml:space="preserve"> </w:t>
      </w:r>
      <w:r w:rsidRPr="008B6BC9">
        <w:rPr>
          <w:rtl/>
        </w:rPr>
        <w:t xml:space="preserve">בשם </w:t>
      </w:r>
      <w:r w:rsidRPr="00FB0465">
        <w:rPr>
          <w:rStyle w:val="affa"/>
          <w:rtl/>
        </w:rPr>
        <w:t>הרמב"ן</w:t>
      </w:r>
      <w:r w:rsidRPr="008B6BC9">
        <w:rPr>
          <w:rtl/>
        </w:rPr>
        <w:t xml:space="preserve"> דכתב דמיגו לא מהני במקום חזקה דכ"מ שתח"י שלו הוא, וקשה דהא בסוגיין מבואר דכל שאין עדים, נאמן לומר אין חטפי ודידי חטפי, אעפ"י שמודה שהייתה ביד הראשון ויש לו חזקה דמה שתח"י שלו, </w:t>
      </w:r>
      <w:r>
        <w:rPr>
          <w:rFonts w:hint="cs"/>
          <w:rtl/>
        </w:rPr>
        <w:t xml:space="preserve">ועי' במ"ש </w:t>
      </w:r>
      <w:r w:rsidRPr="004E7016">
        <w:rPr>
          <w:rStyle w:val="affa"/>
          <w:rFonts w:hint="cs"/>
          <w:rtl/>
        </w:rPr>
        <w:t>ה</w:t>
      </w:r>
      <w:r w:rsidRPr="004E7016">
        <w:rPr>
          <w:rStyle w:val="affa"/>
          <w:rtl/>
        </w:rPr>
        <w:t>אבהא"ז</w:t>
      </w:r>
      <w:r w:rsidRPr="004E7016">
        <w:rPr>
          <w:rStyle w:val="aff6"/>
          <w:rtl/>
        </w:rPr>
        <w:t xml:space="preserve"> </w:t>
      </w:r>
      <w:r w:rsidRPr="004E7016">
        <w:rPr>
          <w:rStyle w:val="aff6"/>
          <w:rFonts w:hint="cs"/>
          <w:rtl/>
        </w:rPr>
        <w:t xml:space="preserve">(עי' אות </w:t>
      </w:r>
      <w:r w:rsidRPr="004E7016">
        <w:rPr>
          <w:rStyle w:val="aff6"/>
          <w:rFonts w:hint="cs"/>
          <w:rtl/>
        </w:rPr>
        <w:fldChar w:fldCharType="begin"/>
      </w:r>
      <w:r w:rsidRPr="004E7016">
        <w:rPr>
          <w:rStyle w:val="aff6"/>
          <w:rFonts w:hint="cs"/>
          <w:rtl/>
        </w:rPr>
        <w:instrText xml:space="preserve"> </w:instrText>
      </w:r>
      <w:r w:rsidRPr="004E7016">
        <w:rPr>
          <w:rStyle w:val="aff6"/>
        </w:rPr>
        <w:instrText>REF</w:instrText>
      </w:r>
      <w:r w:rsidRPr="004E7016">
        <w:rPr>
          <w:rStyle w:val="aff6"/>
          <w:rFonts w:hint="cs"/>
          <w:rtl/>
        </w:rPr>
        <w:instrText xml:space="preserve"> _</w:instrText>
      </w:r>
      <w:r w:rsidRPr="004E7016">
        <w:rPr>
          <w:rStyle w:val="aff6"/>
        </w:rPr>
        <w:instrText>Ref66186718 \r \h</w:instrText>
      </w:r>
      <w:r w:rsidRPr="004E7016">
        <w:rPr>
          <w:rStyle w:val="aff6"/>
          <w:rFonts w:hint="cs"/>
          <w:rtl/>
        </w:rPr>
        <w:instrText xml:space="preserve"> </w:instrText>
      </w:r>
      <w:r w:rsidRPr="004E7016">
        <w:rPr>
          <w:rStyle w:val="aff6"/>
          <w:rFonts w:hint="cs"/>
          <w:rtl/>
        </w:rPr>
      </w:r>
      <w:r w:rsidRPr="004E7016">
        <w:rPr>
          <w:rStyle w:val="aff6"/>
          <w:rFonts w:hint="cs"/>
          <w:rtl/>
        </w:rPr>
        <w:fldChar w:fldCharType="separate"/>
      </w:r>
      <w:r>
        <w:rPr>
          <w:rStyle w:val="aff6"/>
          <w:rFonts w:hint="eastAsia"/>
          <w:cs/>
        </w:rPr>
        <w:t>‎</w:t>
      </w:r>
      <w:r>
        <w:rPr>
          <w:rStyle w:val="aff6"/>
          <w:rFonts w:hint="eastAsia"/>
          <w:rtl/>
        </w:rPr>
        <w:t>ע</w:t>
      </w:r>
      <w:r>
        <w:rPr>
          <w:rStyle w:val="aff6"/>
          <w:rtl/>
        </w:rPr>
        <w:t>)</w:t>
      </w:r>
      <w:r w:rsidRPr="004E7016">
        <w:rPr>
          <w:rStyle w:val="aff6"/>
          <w:rFonts w:hint="cs"/>
          <w:rtl/>
        </w:rPr>
        <w:fldChar w:fldCharType="end"/>
      </w:r>
      <w:r>
        <w:rPr>
          <w:rFonts w:hint="cs"/>
          <w:rtl/>
        </w:rPr>
        <w:t>.</w:t>
      </w:r>
    </w:p>
    <w:p w:rsidR="00265073" w:rsidRDefault="00265073" w:rsidP="00E824D3">
      <w:pPr>
        <w:pStyle w:val="af"/>
        <w:rPr>
          <w:rtl/>
        </w:rPr>
      </w:pPr>
      <w:r w:rsidRPr="008B6BC9">
        <w:rPr>
          <w:rtl/>
        </w:rPr>
        <w:t xml:space="preserve">והוסיף </w:t>
      </w:r>
      <w:r w:rsidRPr="00FB0465">
        <w:rPr>
          <w:rStyle w:val="affa"/>
          <w:rtl/>
        </w:rPr>
        <w:t>בחי' רבי נחום</w:t>
      </w:r>
      <w:r w:rsidRPr="008B6BC9">
        <w:rPr>
          <w:rtl/>
        </w:rPr>
        <w:t xml:space="preserve"> להקשות דהא </w:t>
      </w:r>
      <w:r w:rsidRPr="00FB0465">
        <w:rPr>
          <w:rStyle w:val="affa"/>
          <w:rtl/>
        </w:rPr>
        <w:t>הרמב"ן</w:t>
      </w:r>
      <w:r w:rsidRPr="008B6BC9">
        <w:rPr>
          <w:rtl/>
        </w:rPr>
        <w:t xml:space="preserve"> </w:t>
      </w:r>
      <w:r w:rsidRPr="00FB0465">
        <w:rPr>
          <w:rStyle w:val="aff6"/>
          <w:rtl/>
        </w:rPr>
        <w:t xml:space="preserve">(עי' אות </w:t>
      </w:r>
      <w:r w:rsidRPr="00FB0465">
        <w:rPr>
          <w:rStyle w:val="aff6"/>
          <w:rtl/>
        </w:rPr>
        <w:fldChar w:fldCharType="begin"/>
      </w:r>
      <w:r w:rsidRPr="00FB0465">
        <w:rPr>
          <w:rStyle w:val="aff6"/>
          <w:rtl/>
        </w:rPr>
        <w:instrText xml:space="preserve"> </w:instrText>
      </w:r>
      <w:r w:rsidRPr="00FB0465">
        <w:rPr>
          <w:rStyle w:val="aff6"/>
        </w:rPr>
        <w:instrText>REF</w:instrText>
      </w:r>
      <w:r w:rsidRPr="00FB0465">
        <w:rPr>
          <w:rStyle w:val="aff6"/>
          <w:rtl/>
        </w:rPr>
        <w:instrText xml:space="preserve"> _</w:instrText>
      </w:r>
      <w:r w:rsidRPr="00FB0465">
        <w:rPr>
          <w:rStyle w:val="aff6"/>
        </w:rPr>
        <w:instrText>Ref66116856 \r \h</w:instrText>
      </w:r>
      <w:r w:rsidRPr="00FB0465">
        <w:rPr>
          <w:rStyle w:val="aff6"/>
          <w:rtl/>
        </w:rPr>
        <w:instrText xml:space="preserve"> </w:instrText>
      </w:r>
      <w:r w:rsidRPr="00FB0465">
        <w:rPr>
          <w:rStyle w:val="aff6"/>
          <w:rtl/>
        </w:rPr>
      </w:r>
      <w:r w:rsidRPr="00FB0465">
        <w:rPr>
          <w:rStyle w:val="aff6"/>
          <w:rtl/>
        </w:rPr>
        <w:fldChar w:fldCharType="separate"/>
      </w:r>
      <w:r>
        <w:rPr>
          <w:rStyle w:val="aff6"/>
          <w:cs/>
        </w:rPr>
        <w:t>‎</w:t>
      </w:r>
      <w:r>
        <w:rPr>
          <w:rStyle w:val="aff6"/>
          <w:rtl/>
        </w:rPr>
        <w:t>א)</w:t>
      </w:r>
      <w:r w:rsidRPr="00FB0465">
        <w:rPr>
          <w:rStyle w:val="aff6"/>
          <w:rtl/>
        </w:rPr>
        <w:fldChar w:fldCharType="end"/>
      </w:r>
      <w:r w:rsidRPr="008B6BC9">
        <w:rPr>
          <w:rtl/>
        </w:rPr>
        <w:t xml:space="preserve"> הקשה בסוגיין דיהיה נאמן במיגו, ומוכח דמהני מיגו נגד החזקה</w:t>
      </w:r>
      <w:r>
        <w:rPr>
          <w:rFonts w:hint="cs"/>
          <w:rtl/>
        </w:rPr>
        <w:t>.</w:t>
      </w:r>
    </w:p>
    <w:p w:rsidR="00265073" w:rsidRDefault="00265073" w:rsidP="00E824D3">
      <w:pPr>
        <w:pStyle w:val="af"/>
        <w:rPr>
          <w:rtl/>
        </w:rPr>
      </w:pPr>
      <w:r w:rsidRPr="008B6BC9">
        <w:rPr>
          <w:rtl/>
        </w:rPr>
        <w:t>ו</w:t>
      </w:r>
      <w:r>
        <w:rPr>
          <w:rFonts w:hint="cs"/>
          <w:rtl/>
        </w:rPr>
        <w:t xml:space="preserve">כתב </w:t>
      </w:r>
      <w:r w:rsidRPr="00FB0465">
        <w:rPr>
          <w:rStyle w:val="affa"/>
          <w:rFonts w:hint="cs"/>
          <w:rtl/>
        </w:rPr>
        <w:t>בחי' רבי נחום</w:t>
      </w:r>
      <w:r>
        <w:rPr>
          <w:rFonts w:hint="cs"/>
          <w:rtl/>
        </w:rPr>
        <w:t xml:space="preserve"> ד</w:t>
      </w:r>
      <w:r w:rsidRPr="008B6BC9">
        <w:rPr>
          <w:rtl/>
        </w:rPr>
        <w:t xml:space="preserve">ע"ז תירץ </w:t>
      </w:r>
      <w:r w:rsidRPr="00FB0465">
        <w:rPr>
          <w:rStyle w:val="affa"/>
          <w:rtl/>
        </w:rPr>
        <w:t>הגר"ח</w:t>
      </w:r>
      <w:r w:rsidRPr="008B6BC9">
        <w:rPr>
          <w:rtl/>
        </w:rPr>
        <w:t xml:space="preserve"> דכל שלא ראינו את החטיפה לפנינו אין לראשון חזקה דמה שתח"י שלו, ואף שהודה שהייתה ביד הראשון, מ"מ א"א לחייבו דהוא נאמן מדין הפה שאסר.</w:t>
      </w:r>
    </w:p>
    <w:p w:rsidR="00265073" w:rsidRPr="00FD2699" w:rsidRDefault="00265073" w:rsidP="00E824D3">
      <w:pPr>
        <w:pStyle w:val="af"/>
      </w:pPr>
      <w:r>
        <w:rPr>
          <w:rFonts w:hint="cs"/>
          <w:rtl/>
        </w:rPr>
        <w:t xml:space="preserve">וע"ע במה שתירץ </w:t>
      </w:r>
      <w:r w:rsidRPr="00FB0465">
        <w:rPr>
          <w:rStyle w:val="affa"/>
          <w:rtl/>
        </w:rPr>
        <w:t>בחי' רבי נחום</w:t>
      </w:r>
      <w:r w:rsidRPr="008B6BC9">
        <w:rPr>
          <w:rtl/>
        </w:rPr>
        <w:t xml:space="preserve"> </w:t>
      </w:r>
      <w:r w:rsidRPr="00FB0465">
        <w:rPr>
          <w:rStyle w:val="aff6"/>
          <w:rtl/>
        </w:rPr>
        <w:t>(או' ר"ח ד"</w:t>
      </w:r>
      <w:r w:rsidRPr="0012755E">
        <w:rPr>
          <w:rStyle w:val="aff6"/>
          <w:rtl/>
        </w:rPr>
        <w:t>ה ובעיקר הקו'</w:t>
      </w:r>
      <w:r w:rsidRPr="0012755E">
        <w:rPr>
          <w:rStyle w:val="aff6"/>
          <w:rFonts w:hint="cs"/>
          <w:rtl/>
        </w:rPr>
        <w:t>)</w:t>
      </w:r>
      <w:r>
        <w:rPr>
          <w:rFonts w:hint="cs"/>
          <w:rtl/>
        </w:rPr>
        <w:t xml:space="preserve"> את דברי </w:t>
      </w:r>
      <w:r w:rsidRPr="0012755E">
        <w:rPr>
          <w:rStyle w:val="affa"/>
          <w:rFonts w:hint="cs"/>
          <w:rtl/>
        </w:rPr>
        <w:t>הרמב"ן</w:t>
      </w:r>
      <w:r>
        <w:rPr>
          <w:rFonts w:hint="cs"/>
          <w:rtl/>
        </w:rPr>
        <w:t>, דכל שטוען דידי חטפי ויש לו טענה כנגד החזקה, מהני אף מיגו כנגד החזקה.</w:t>
      </w:r>
    </w:p>
  </w:footnote>
  <w:footnote w:id="126">
    <w:p w:rsidR="00265073" w:rsidRDefault="00265073" w:rsidP="00E824D3">
      <w:pPr>
        <w:pStyle w:val="af"/>
        <w:rPr>
          <w:rtl/>
        </w:rPr>
      </w:pPr>
      <w:r>
        <w:rPr>
          <w:rStyle w:val="af1"/>
        </w:rPr>
        <w:footnoteRef/>
      </w:r>
      <w:r>
        <w:rPr>
          <w:rtl/>
        </w:rPr>
        <w:t xml:space="preserve"> </w:t>
      </w:r>
      <w:r>
        <w:rPr>
          <w:rFonts w:hint="cs"/>
          <w:rtl/>
        </w:rPr>
        <w:t>אך הקשה</w:t>
      </w:r>
      <w:r>
        <w:rPr>
          <w:rtl/>
        </w:rPr>
        <w:t xml:space="preserve"> </w:t>
      </w:r>
      <w:r w:rsidRPr="00571006">
        <w:rPr>
          <w:rStyle w:val="affa"/>
          <w:rtl/>
        </w:rPr>
        <w:t>בחו"ש הגרב"ב</w:t>
      </w:r>
      <w:r>
        <w:rPr>
          <w:rFonts w:hint="cs"/>
          <w:rtl/>
        </w:rPr>
        <w:t xml:space="preserve"> </w:t>
      </w:r>
      <w:r w:rsidRPr="00571006">
        <w:rPr>
          <w:rStyle w:val="aff6"/>
          <w:rFonts w:hint="cs"/>
          <w:rtl/>
        </w:rPr>
        <w:t xml:space="preserve">(ח"א סי' י"ג ד"ה ע"כ) </w:t>
      </w:r>
      <w:r>
        <w:rPr>
          <w:rFonts w:hint="cs"/>
          <w:rtl/>
        </w:rPr>
        <w:t xml:space="preserve">דהא כתב </w:t>
      </w:r>
      <w:r w:rsidRPr="00571006">
        <w:rPr>
          <w:rStyle w:val="affa"/>
          <w:rtl/>
        </w:rPr>
        <w:t xml:space="preserve">הרמב"ן </w:t>
      </w:r>
      <w:r w:rsidRPr="00FB33E1">
        <w:rPr>
          <w:rStyle w:val="af7"/>
          <w:rFonts w:eastAsia="Guttman Hodes"/>
          <w:rtl/>
        </w:rPr>
        <w:t>(ד"ה</w:t>
      </w:r>
      <w:r>
        <w:rPr>
          <w:rStyle w:val="af7"/>
          <w:rFonts w:eastAsia="Guttman Hodes" w:hint="cs"/>
          <w:rtl/>
        </w:rPr>
        <w:t xml:space="preserve"> והוי, הובא בסימן י"ז אות נ"ה) </w:t>
      </w:r>
      <w:r>
        <w:rPr>
          <w:rFonts w:hint="cs"/>
          <w:rtl/>
        </w:rPr>
        <w:t xml:space="preserve">דאף כשיש ב' עדים הוא נאמן במיגו דהחזרתי, </w:t>
      </w:r>
      <w:r w:rsidRPr="0062095A">
        <w:rPr>
          <w:rFonts w:hint="cs"/>
          <w:rtl/>
        </w:rPr>
        <w:t xml:space="preserve">וביאר </w:t>
      </w:r>
      <w:r w:rsidRPr="007C16A0">
        <w:rPr>
          <w:rStyle w:val="affa"/>
          <w:rFonts w:hint="cs"/>
          <w:rtl/>
        </w:rPr>
        <w:t>הרמב"ן</w:t>
      </w:r>
      <w:r w:rsidRPr="0062095A">
        <w:rPr>
          <w:rFonts w:hint="cs"/>
          <w:rtl/>
        </w:rPr>
        <w:t xml:space="preserve"> דבסוגיין איירי דראו עדים את הנסכא ברשות הגזלן, ולכן אין לו מיגו דהחזרתי,</w:t>
      </w:r>
      <w:r>
        <w:rPr>
          <w:rFonts w:hint="cs"/>
          <w:rtl/>
        </w:rPr>
        <w:t xml:space="preserve"> וכתב </w:t>
      </w:r>
      <w:r w:rsidRPr="00571006">
        <w:rPr>
          <w:rStyle w:val="affa"/>
          <w:rtl/>
        </w:rPr>
        <w:t>בחו"ש הגרב"ב</w:t>
      </w:r>
      <w:r>
        <w:rPr>
          <w:rFonts w:hint="cs"/>
          <w:rtl/>
        </w:rPr>
        <w:t xml:space="preserve"> דמוכח </w:t>
      </w:r>
      <w:r w:rsidRPr="00571006">
        <w:rPr>
          <w:rStyle w:val="affa"/>
          <w:rFonts w:hint="cs"/>
          <w:rtl/>
        </w:rPr>
        <w:t>מהרמב"ן</w:t>
      </w:r>
      <w:r>
        <w:rPr>
          <w:rFonts w:hint="cs"/>
          <w:rtl/>
        </w:rPr>
        <w:t xml:space="preserve"> דמהני מיגו אף כשיש ב' שחטף, כיון דע"י המיגו אמרינן דהחטיפה אין בה גזילה, ואף שיש עדים שחטף מ"מ אין עדות על גזילה, </w:t>
      </w:r>
      <w:r w:rsidRPr="0062095A">
        <w:rPr>
          <w:rFonts w:hint="cs"/>
          <w:rtl/>
        </w:rPr>
        <w:t xml:space="preserve">[כמ"ש </w:t>
      </w:r>
      <w:r w:rsidRPr="00020F76">
        <w:rPr>
          <w:rStyle w:val="affa"/>
          <w:rFonts w:hint="cs"/>
          <w:rtl/>
        </w:rPr>
        <w:t>הגר"ח</w:t>
      </w:r>
      <w:r w:rsidRPr="0062095A">
        <w:rPr>
          <w:rFonts w:hint="cs"/>
          <w:rtl/>
        </w:rPr>
        <w:t xml:space="preserve"> </w:t>
      </w:r>
      <w:r w:rsidRPr="00571006">
        <w:rPr>
          <w:rStyle w:val="aff6"/>
          <w:rFonts w:hint="cs"/>
          <w:rtl/>
        </w:rPr>
        <w:t xml:space="preserve">(עי' אות </w:t>
      </w:r>
      <w:r w:rsidRPr="00571006">
        <w:rPr>
          <w:rStyle w:val="aff6"/>
          <w:rtl/>
        </w:rPr>
        <w:fldChar w:fldCharType="begin"/>
      </w:r>
      <w:r w:rsidRPr="00571006">
        <w:rPr>
          <w:rStyle w:val="aff6"/>
          <w:rtl/>
        </w:rPr>
        <w:instrText xml:space="preserve"> </w:instrText>
      </w:r>
      <w:r w:rsidRPr="00571006">
        <w:rPr>
          <w:rStyle w:val="aff6"/>
          <w:rFonts w:hint="cs"/>
        </w:rPr>
        <w:instrText>REF</w:instrText>
      </w:r>
      <w:r w:rsidRPr="00571006">
        <w:rPr>
          <w:rStyle w:val="aff6"/>
          <w:rFonts w:hint="cs"/>
          <w:rtl/>
        </w:rPr>
        <w:instrText xml:space="preserve"> _</w:instrText>
      </w:r>
      <w:r w:rsidRPr="00571006">
        <w:rPr>
          <w:rStyle w:val="aff6"/>
          <w:rFonts w:hint="cs"/>
        </w:rPr>
        <w:instrText>Ref66130004 \r \h</w:instrText>
      </w:r>
      <w:r w:rsidRPr="00571006">
        <w:rPr>
          <w:rStyle w:val="aff6"/>
          <w:rtl/>
        </w:rPr>
        <w:instrText xml:space="preserve"> </w:instrText>
      </w:r>
      <w:r w:rsidRPr="00571006">
        <w:rPr>
          <w:rStyle w:val="aff6"/>
          <w:rtl/>
        </w:rPr>
      </w:r>
      <w:r w:rsidRPr="00571006">
        <w:rPr>
          <w:rStyle w:val="aff6"/>
          <w:rtl/>
        </w:rPr>
        <w:fldChar w:fldCharType="separate"/>
      </w:r>
      <w:r>
        <w:rPr>
          <w:rStyle w:val="aff6"/>
          <w:cs/>
        </w:rPr>
        <w:t>‎</w:t>
      </w:r>
      <w:r>
        <w:rPr>
          <w:rStyle w:val="aff6"/>
          <w:rtl/>
        </w:rPr>
        <w:t>צ)</w:t>
      </w:r>
      <w:r w:rsidRPr="00571006">
        <w:rPr>
          <w:rStyle w:val="aff6"/>
          <w:rtl/>
        </w:rPr>
        <w:fldChar w:fldCharType="end"/>
      </w:r>
      <w:r w:rsidRPr="0062095A">
        <w:rPr>
          <w:rFonts w:hint="cs"/>
          <w:rtl/>
        </w:rPr>
        <w:t>],</w:t>
      </w:r>
      <w:r>
        <w:rPr>
          <w:rFonts w:hint="cs"/>
          <w:rtl/>
        </w:rPr>
        <w:t xml:space="preserve"> וא"כ וא"כ אף כשאינו נשבע להכחיש את העד, וחשיב שיש ב' עדים שחטף, מ"מ ע"י המיגו נימא דאין גזילה</w:t>
      </w:r>
      <w:r w:rsidRPr="007B7582">
        <w:rPr>
          <w:rFonts w:hint="cs"/>
          <w:rtl/>
        </w:rPr>
        <w:t xml:space="preserve"> </w:t>
      </w:r>
      <w:r>
        <w:rPr>
          <w:rFonts w:hint="cs"/>
          <w:rtl/>
        </w:rPr>
        <w:t>בחטיפה, ואי"ז מיגו במקום עדים.</w:t>
      </w:r>
    </w:p>
    <w:p w:rsidR="00265073" w:rsidRDefault="00265073" w:rsidP="00E824D3">
      <w:pPr>
        <w:pStyle w:val="af"/>
        <w:rPr>
          <w:rStyle w:val="afb"/>
          <w:rtl/>
        </w:rPr>
      </w:pPr>
      <w:r w:rsidRPr="0062095A">
        <w:rPr>
          <w:rStyle w:val="afb"/>
          <w:rFonts w:hint="cs"/>
          <w:rtl/>
        </w:rPr>
        <w:t xml:space="preserve">ותירץ </w:t>
      </w:r>
      <w:r w:rsidRPr="00571006">
        <w:rPr>
          <w:rStyle w:val="affa"/>
          <w:rFonts w:hint="cs"/>
          <w:rtl/>
        </w:rPr>
        <w:t>בחו"ש הגרב"ב</w:t>
      </w:r>
      <w:r w:rsidRPr="0062095A">
        <w:rPr>
          <w:rStyle w:val="afb"/>
          <w:rFonts w:hint="cs"/>
          <w:rtl/>
        </w:rPr>
        <w:t xml:space="preserve"> דלדעת </w:t>
      </w:r>
      <w:r w:rsidRPr="00571006">
        <w:rPr>
          <w:rStyle w:val="affa"/>
          <w:rFonts w:hint="cs"/>
          <w:rtl/>
        </w:rPr>
        <w:t>הריב"ם</w:t>
      </w:r>
      <w:r w:rsidRPr="0062095A">
        <w:rPr>
          <w:rStyle w:val="afb"/>
          <w:rFonts w:hint="cs"/>
          <w:rtl/>
        </w:rPr>
        <w:t xml:space="preserve"> דכיון שהע"א בא להעיד על הממון, לכן לענין הממון יש גזיה"כ שהע"א הוא כשנים, וכיון דכשיש ב' עדים שחטף לא מהני מיגו לומר שאין גזילה בחטיפה, לכן אף בע"א אינו נאמן בטענת דידי חטפי במיגו דלא חטפי, ורק במיגו דהחזרתי ס"ל </w:t>
      </w:r>
      <w:r w:rsidRPr="005F2B7C">
        <w:rPr>
          <w:rStyle w:val="affa"/>
          <w:rFonts w:hint="cs"/>
          <w:rtl/>
        </w:rPr>
        <w:t>להרמב"ן</w:t>
      </w:r>
      <w:r w:rsidRPr="0062095A">
        <w:rPr>
          <w:rStyle w:val="afb"/>
          <w:rFonts w:hint="cs"/>
          <w:rtl/>
        </w:rPr>
        <w:t xml:space="preserve"> דמהני, כיון שהמיגו מהני אף כשיש ב' עדים.</w:t>
      </w:r>
      <w:r w:rsidRPr="00823A02">
        <w:rPr>
          <w:rFonts w:hint="cs"/>
          <w:rtl/>
        </w:rPr>
        <w:t xml:space="preserve"> </w:t>
      </w:r>
    </w:p>
    <w:p w:rsidR="00265073" w:rsidRDefault="00265073" w:rsidP="00E824D3">
      <w:pPr>
        <w:pStyle w:val="af"/>
      </w:pPr>
      <w:r w:rsidRPr="0048056A">
        <w:rPr>
          <w:rStyle w:val="afb"/>
          <w:rFonts w:hint="cs"/>
          <w:rtl/>
        </w:rPr>
        <w:t xml:space="preserve">וכתב </w:t>
      </w:r>
      <w:r w:rsidRPr="0048056A">
        <w:rPr>
          <w:rStyle w:val="affa"/>
          <w:rFonts w:hint="cs"/>
          <w:rtl/>
        </w:rPr>
        <w:t>בחו"ש הגרב"ב</w:t>
      </w:r>
      <w:r w:rsidRPr="0048056A">
        <w:rPr>
          <w:rStyle w:val="afb"/>
          <w:rFonts w:hint="cs"/>
          <w:rtl/>
        </w:rPr>
        <w:t xml:space="preserve"> דהא </w:t>
      </w:r>
      <w:r w:rsidRPr="0048056A">
        <w:rPr>
          <w:rStyle w:val="affa"/>
          <w:rFonts w:hint="cs"/>
          <w:rtl/>
        </w:rPr>
        <w:t>דהגר"ח</w:t>
      </w:r>
      <w:r w:rsidRPr="0048056A">
        <w:rPr>
          <w:rStyle w:val="afb"/>
          <w:rFonts w:hint="cs"/>
          <w:rtl/>
        </w:rPr>
        <w:t xml:space="preserve"> </w:t>
      </w:r>
      <w:r w:rsidRPr="00571006">
        <w:rPr>
          <w:rStyle w:val="aff6"/>
          <w:rFonts w:hint="cs"/>
          <w:rtl/>
        </w:rPr>
        <w:t xml:space="preserve">(עי' אות </w:t>
      </w:r>
      <w:r w:rsidRPr="00571006">
        <w:rPr>
          <w:rStyle w:val="aff6"/>
          <w:rtl/>
        </w:rPr>
        <w:fldChar w:fldCharType="begin"/>
      </w:r>
      <w:r w:rsidRPr="00571006">
        <w:rPr>
          <w:rStyle w:val="aff6"/>
          <w:rtl/>
        </w:rPr>
        <w:instrText xml:space="preserve"> </w:instrText>
      </w:r>
      <w:r w:rsidRPr="00571006">
        <w:rPr>
          <w:rStyle w:val="aff6"/>
          <w:rFonts w:hint="cs"/>
        </w:rPr>
        <w:instrText>REF</w:instrText>
      </w:r>
      <w:r w:rsidRPr="00571006">
        <w:rPr>
          <w:rStyle w:val="aff6"/>
          <w:rFonts w:hint="cs"/>
          <w:rtl/>
        </w:rPr>
        <w:instrText xml:space="preserve"> _</w:instrText>
      </w:r>
      <w:r w:rsidRPr="00571006">
        <w:rPr>
          <w:rStyle w:val="aff6"/>
          <w:rFonts w:hint="cs"/>
        </w:rPr>
        <w:instrText>Ref66130004 \r \h</w:instrText>
      </w:r>
      <w:r w:rsidRPr="00571006">
        <w:rPr>
          <w:rStyle w:val="aff6"/>
          <w:rtl/>
        </w:rPr>
        <w:instrText xml:space="preserve"> </w:instrText>
      </w:r>
      <w:r w:rsidRPr="00571006">
        <w:rPr>
          <w:rStyle w:val="aff6"/>
          <w:rtl/>
        </w:rPr>
      </w:r>
      <w:r w:rsidRPr="00571006">
        <w:rPr>
          <w:rStyle w:val="aff6"/>
          <w:rtl/>
        </w:rPr>
        <w:fldChar w:fldCharType="separate"/>
      </w:r>
      <w:r>
        <w:rPr>
          <w:rStyle w:val="aff6"/>
          <w:cs/>
        </w:rPr>
        <w:t>‎</w:t>
      </w:r>
      <w:r>
        <w:rPr>
          <w:rStyle w:val="aff6"/>
          <w:rtl/>
        </w:rPr>
        <w:t>צ)</w:t>
      </w:r>
      <w:r w:rsidRPr="00571006">
        <w:rPr>
          <w:rStyle w:val="aff6"/>
          <w:rtl/>
        </w:rPr>
        <w:fldChar w:fldCharType="end"/>
      </w:r>
      <w:r w:rsidRPr="0048056A">
        <w:rPr>
          <w:rStyle w:val="afb"/>
          <w:rFonts w:hint="cs"/>
          <w:rtl/>
        </w:rPr>
        <w:t xml:space="preserve"> לא ביאר כן בדעת </w:t>
      </w:r>
      <w:r w:rsidRPr="0048056A">
        <w:rPr>
          <w:rStyle w:val="affa"/>
          <w:rFonts w:hint="cs"/>
          <w:rtl/>
        </w:rPr>
        <w:t>הריב"ם</w:t>
      </w:r>
      <w:r w:rsidRPr="0048056A">
        <w:rPr>
          <w:rStyle w:val="afb"/>
          <w:rFonts w:hint="cs"/>
          <w:rtl/>
        </w:rPr>
        <w:t xml:space="preserve">, וביאר </w:t>
      </w:r>
      <w:r w:rsidRPr="0048056A">
        <w:rPr>
          <w:rStyle w:val="affa"/>
          <w:rFonts w:hint="cs"/>
          <w:rtl/>
        </w:rPr>
        <w:t>הגר"ח דלריב"ם</w:t>
      </w:r>
      <w:r w:rsidRPr="0048056A">
        <w:rPr>
          <w:rStyle w:val="afb"/>
          <w:rFonts w:hint="cs"/>
          <w:rtl/>
        </w:rPr>
        <w:t xml:space="preserve"> כמו דבב' עדים על החטיפה, חשיב שיש עדים שגזל את ממונו ממש, כיון שלראשון יש חזקה דמה שתח"י שלו הוא, ה"ה בע"א כשלא נשבע להכחישו</w:t>
      </w:r>
      <w:r w:rsidRPr="0048056A">
        <w:rPr>
          <w:rStyle w:val="afb"/>
          <w:rtl/>
        </w:rPr>
        <w:t>,</w:t>
      </w:r>
      <w:r w:rsidRPr="0048056A">
        <w:rPr>
          <w:rStyle w:val="afb"/>
          <w:rFonts w:hint="cs"/>
          <w:rtl/>
        </w:rPr>
        <w:t xml:space="preserve"> ולכן הוי מיגו במקום עדים, הוא כיון דהוקשה </w:t>
      </w:r>
      <w:r w:rsidRPr="0048056A">
        <w:rPr>
          <w:rStyle w:val="affa"/>
          <w:rFonts w:hint="cs"/>
          <w:rtl/>
        </w:rPr>
        <w:t>להגר"ח</w:t>
      </w:r>
      <w:r w:rsidRPr="0048056A">
        <w:rPr>
          <w:rStyle w:val="afb"/>
          <w:rFonts w:hint="cs"/>
          <w:rtl/>
        </w:rPr>
        <w:t xml:space="preserve"> מדברי </w:t>
      </w:r>
      <w:r w:rsidRPr="0048056A">
        <w:rPr>
          <w:rStyle w:val="affa"/>
          <w:rFonts w:hint="cs"/>
          <w:rtl/>
        </w:rPr>
        <w:t>הרמב"ן</w:t>
      </w:r>
      <w:r w:rsidRPr="0048056A">
        <w:rPr>
          <w:rStyle w:val="afb"/>
          <w:rFonts w:hint="cs"/>
          <w:rtl/>
        </w:rPr>
        <w:t xml:space="preserve"> דמהני מיגו דהחזרתי, ולא חשיב מיגו</w:t>
      </w:r>
      <w:r>
        <w:rPr>
          <w:rStyle w:val="afb"/>
          <w:rFonts w:hint="cs"/>
          <w:rtl/>
        </w:rPr>
        <w:t xml:space="preserve"> במקום עדים.</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A96632" w:rsidRDefault="00265073" w:rsidP="000F071D">
    <w:pPr>
      <w:pStyle w:val="a9"/>
      <w:ind w:left="0"/>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rsidR="00265073" w:rsidRDefault="00265073" w:rsidP="000F07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265073" w:rsidRDefault="00265073" w:rsidP="000F071D">
    <w:pPr>
      <w:pStyle w:val="a9"/>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787A6E">
    <w:pPr>
      <w:pStyle w:val="a9"/>
      <w:ind w:left="0"/>
      <w:jc w:val="right"/>
      <w:rPr>
        <w:rFonts w:cs="Guttman Hodes"/>
        <w:sz w:val="14"/>
        <w:szCs w:val="14"/>
        <w:rtl/>
      </w:rPr>
    </w:pPr>
    <w:r>
      <w:rPr>
        <w:rFonts w:cs="Guttman Hodes" w:hint="cs"/>
        <w:sz w:val="14"/>
        <w:szCs w:val="14"/>
        <w:rtl/>
      </w:rPr>
      <w:t>ב"ב</w:t>
    </w:r>
    <w:r w:rsidRPr="00181149">
      <w:rPr>
        <w:rFonts w:cs="Guttman Hodes" w:hint="cs"/>
        <w:sz w:val="14"/>
        <w:szCs w:val="14"/>
        <w:rtl/>
      </w:rPr>
      <w:t xml:space="preserve"> דף</w:t>
    </w:r>
    <w:r>
      <w:rPr>
        <w:rFonts w:cs="Guttman Hodes" w:hint="cs"/>
        <w:sz w:val="14"/>
        <w:szCs w:val="14"/>
        <w:rtl/>
      </w:rPr>
      <w:t xml:space="preserve"> כח ע"א </w:t>
    </w:r>
  </w:p>
  <w:p w:rsidR="00265073" w:rsidRDefault="00265073" w:rsidP="00AB3447">
    <w:pPr>
      <w:pStyle w:val="a9"/>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AB3447">
    <w:pPr>
      <w:pStyle w:val="a9"/>
      <w:ind w:left="0"/>
      <w:jc w:val="center"/>
      <w:rPr>
        <w:rFonts w:cs="Guttman Hodes"/>
        <w:sz w:val="14"/>
        <w:szCs w:val="14"/>
        <w:rt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900B10">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r>
      <w:rPr>
        <w:rFonts w:cs="Guttman Hodes" w:hint="cs"/>
        <w:sz w:val="14"/>
        <w:szCs w:val="14"/>
        <w:rtl/>
      </w:rPr>
      <w:t>כח ע"א ע"ב</w:t>
    </w:r>
  </w:p>
  <w:p w:rsidR="00265073" w:rsidRDefault="00265073" w:rsidP="00900B10">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900B10">
    <w:pPr>
      <w:pStyle w:val="a9"/>
      <w:ind w:left="0"/>
      <w:jc w:val="center"/>
      <w:rPr>
        <w:rFonts w:cs="Guttman Hodes"/>
        <w:sz w:val="14"/>
        <w:szCs w:val="14"/>
        <w:rtl/>
      </w:rPr>
    </w:pPr>
    <w:r w:rsidRPr="00BB0C9F">
      <w:rPr>
        <w:rFonts w:cs="Guttman Hodes"/>
        <w:sz w:val="14"/>
        <w:szCs w:val="14"/>
        <w:rtl/>
      </w:rPr>
      <w:t xml:space="preserve">סימן </w:t>
    </w:r>
    <w:r>
      <w:rPr>
        <w:rFonts w:cs="Guttman Hodes" w:hint="cs"/>
        <w:sz w:val="14"/>
        <w:szCs w:val="14"/>
        <w:rtl/>
      </w:rPr>
      <w:t>ג'</w:t>
    </w:r>
    <w:r w:rsidRPr="003D462A">
      <w:rPr>
        <w:rtl/>
      </w:rPr>
      <w:t xml:space="preserve"> </w:t>
    </w:r>
    <w:r w:rsidRPr="00266B9A">
      <w:rPr>
        <w:rFonts w:cs="Guttman Hodes"/>
        <w:sz w:val="14"/>
        <w:szCs w:val="14"/>
        <w:rtl/>
      </w:rPr>
      <w:t>סוגיא דהולכי אושא (א') בביאור הילפות</w:t>
    </w:r>
    <w:r>
      <w:rPr>
        <w:rFonts w:cs="Guttman Hodes" w:hint="cs"/>
        <w:sz w:val="14"/>
        <w:szCs w:val="14"/>
        <w:rtl/>
      </w:rPr>
      <w:t>א</w:t>
    </w:r>
    <w:r w:rsidRPr="00266B9A">
      <w:rPr>
        <w:rFonts w:cs="Guttman Hodes"/>
        <w:sz w:val="14"/>
        <w:szCs w:val="14"/>
        <w:rtl/>
      </w:rPr>
      <w:t xml:space="preserve"> דחזקת ג"ש מג' נגיחות בשור המועד ובדין חזקה שאין עמה טענה</w:t>
    </w:r>
  </w:p>
  <w:p w:rsidR="00265073" w:rsidRDefault="00265073" w:rsidP="00900B10">
    <w:pPr>
      <w:pStyle w:val="a9"/>
      <w:ind w:left="0"/>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900B10">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r>
      <w:rPr>
        <w:rFonts w:cs="Guttman Hodes" w:hint="cs"/>
        <w:sz w:val="14"/>
        <w:szCs w:val="14"/>
        <w:rtl/>
      </w:rPr>
      <w:t>כח ע"א ע"ב</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900B10">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5E415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r>
      <w:rPr>
        <w:rFonts w:cs="Guttman Hodes" w:hint="cs"/>
        <w:sz w:val="14"/>
        <w:szCs w:val="14"/>
        <w:rtl/>
      </w:rPr>
      <w:t>כח ע"ב</w:t>
    </w:r>
  </w:p>
  <w:p w:rsidR="00265073" w:rsidRDefault="00265073" w:rsidP="007A505A">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7A505A">
    <w:pPr>
      <w:pStyle w:val="a9"/>
      <w:ind w:left="0"/>
      <w:jc w:val="center"/>
      <w:rPr>
        <w:rFonts w:cs="Guttman Hodes"/>
        <w:sz w:val="14"/>
        <w:szCs w:val="14"/>
        <w:rtl/>
      </w:rPr>
    </w:pPr>
    <w:r w:rsidRPr="00892A90">
      <w:rPr>
        <w:rFonts w:cs="Guttman Hodes"/>
        <w:sz w:val="14"/>
        <w:szCs w:val="14"/>
        <w:rtl/>
      </w:rPr>
      <w:t>סימן ד' סוגיא דהולכי אושא (ב') בדין מחאה וחזקה שלא בפניו</w:t>
    </w:r>
    <w:r w:rsidRPr="005F2DD5">
      <w:rPr>
        <w:rtl/>
      </w:rPr>
      <w:t xml:space="preserve"> </w:t>
    </w:r>
    <w:r w:rsidRPr="005F2DD5">
      <w:rPr>
        <w:rFonts w:cs="Guttman Hodes"/>
        <w:sz w:val="14"/>
        <w:szCs w:val="14"/>
        <w:rtl/>
      </w:rPr>
      <w:t>להולכי אושא</w:t>
    </w:r>
    <w:r>
      <w:rPr>
        <w:rFonts w:hint="cs"/>
        <w:rtl/>
      </w:rPr>
      <w:t xml:space="preserve"> </w:t>
    </w:r>
    <w:r w:rsidRPr="001D1883">
      <w:rPr>
        <w:rFonts w:cs="Guttman Hodes"/>
        <w:sz w:val="14"/>
        <w:szCs w:val="14"/>
        <w:rtl/>
      </w:rPr>
      <w:t>ולרבנן</w:t>
    </w:r>
  </w:p>
  <w:p w:rsidR="00265073" w:rsidRDefault="00265073" w:rsidP="007A505A">
    <w:pPr>
      <w:pStyle w:val="a9"/>
      <w:ind w:left="0"/>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7A505A">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r>
      <w:rPr>
        <w:rFonts w:cs="Guttman Hodes" w:hint="cs"/>
        <w:sz w:val="14"/>
        <w:szCs w:val="14"/>
        <w:rtl/>
      </w:rPr>
      <w:t>כח ע"ב</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7A505A">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F163D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כט ע"א</w:t>
    </w:r>
  </w:p>
  <w:p w:rsidR="00265073" w:rsidRDefault="00265073" w:rsidP="00F163D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F163D7">
    <w:pPr>
      <w:pStyle w:val="a9"/>
      <w:ind w:left="0"/>
      <w:jc w:val="center"/>
      <w:rPr>
        <w:rFonts w:cs="Guttman Hodes"/>
        <w:sz w:val="14"/>
        <w:szCs w:val="14"/>
        <w:rtl/>
      </w:rPr>
    </w:pPr>
    <w:r w:rsidRPr="000E555D">
      <w:rPr>
        <w:rFonts w:cs="Guttman Hodes"/>
        <w:sz w:val="14"/>
        <w:szCs w:val="14"/>
        <w:rtl/>
      </w:rPr>
      <w:t xml:space="preserve">סימן ה' בטעם חזקת ג"ש לרבנן (א') </w:t>
    </w:r>
    <w:r w:rsidRPr="00AB399D">
      <w:rPr>
        <w:rFonts w:cs="Guttman Hodes"/>
        <w:sz w:val="14"/>
        <w:szCs w:val="14"/>
        <w:rtl/>
      </w:rPr>
      <w:t>ב</w:t>
    </w:r>
    <w:r>
      <w:rPr>
        <w:rFonts w:cs="Guttman Hodes" w:hint="cs"/>
        <w:sz w:val="14"/>
        <w:szCs w:val="14"/>
        <w:rtl/>
      </w:rPr>
      <w:t xml:space="preserve">ביאור </w:t>
    </w:r>
    <w:r w:rsidRPr="00AB399D">
      <w:rPr>
        <w:rFonts w:cs="Guttman Hodes"/>
        <w:sz w:val="14"/>
        <w:szCs w:val="14"/>
        <w:rtl/>
      </w:rPr>
      <w:t>דע</w:t>
    </w:r>
    <w:r>
      <w:rPr>
        <w:rFonts w:cs="Guttman Hodes" w:hint="cs"/>
        <w:sz w:val="14"/>
        <w:szCs w:val="14"/>
        <w:rtl/>
      </w:rPr>
      <w:t>ו</w:t>
    </w:r>
    <w:r w:rsidRPr="00AB399D">
      <w:rPr>
        <w:rFonts w:cs="Guttman Hodes"/>
        <w:sz w:val="14"/>
        <w:szCs w:val="14"/>
        <w:rtl/>
      </w:rPr>
      <w:t>ת הסוברים דכיון דלא מחה המרא קמא לכן מהני חזקת ג"ש</w:t>
    </w:r>
  </w:p>
  <w:p w:rsidR="00265073" w:rsidRDefault="00265073" w:rsidP="00F163D7">
    <w:pPr>
      <w:pStyle w:val="a9"/>
      <w:ind w:left="0"/>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F163D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כט ע"א</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F163D7">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E874E8">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r>
      <w:rPr>
        <w:rFonts w:cs="Guttman Hodes" w:hint="cs"/>
        <w:sz w:val="14"/>
        <w:szCs w:val="14"/>
        <w:rtl/>
      </w:rPr>
      <w:t>כט ע"א</w:t>
    </w:r>
  </w:p>
  <w:p w:rsidR="00265073" w:rsidRDefault="00265073" w:rsidP="00E874E8">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E874E8">
    <w:pPr>
      <w:pStyle w:val="a9"/>
      <w:ind w:left="0"/>
      <w:jc w:val="center"/>
      <w:rPr>
        <w:rFonts w:cs="Guttman Hodes"/>
        <w:sz w:val="14"/>
        <w:szCs w:val="14"/>
        <w:rtl/>
      </w:rPr>
    </w:pPr>
    <w:r w:rsidRPr="006B189A">
      <w:rPr>
        <w:rFonts w:cs="Guttman Hodes"/>
        <w:sz w:val="14"/>
        <w:szCs w:val="14"/>
        <w:rtl/>
      </w:rPr>
      <w:t>סימן ו' בטעם חזקת ג"ש לרבנן (ב') בביאור דעות הסוברים דחזקת ג"ש היא תקנת חכמים</w:t>
    </w:r>
  </w:p>
  <w:p w:rsidR="00265073" w:rsidRDefault="00265073" w:rsidP="00E874E8">
    <w:pPr>
      <w:pStyle w:val="a9"/>
      <w:ind w:left="0"/>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E874E8">
    <w:pPr>
      <w:pStyle w:val="a9"/>
      <w:ind w:left="0"/>
      <w:jc w:val="right"/>
      <w:rPr>
        <w:rFonts w:cs="Guttman Hodes"/>
        <w:sz w:val="14"/>
        <w:szCs w:val="14"/>
        <w:rtl/>
      </w:rPr>
    </w:pPr>
    <w:r>
      <w:rPr>
        <w:rFonts w:cs="Guttman Hodes" w:hint="cs"/>
        <w:sz w:val="14"/>
        <w:szCs w:val="14"/>
        <w:rtl/>
      </w:rPr>
      <w:t>ב"ב</w:t>
    </w:r>
    <w:r>
      <w:rPr>
        <w:rFonts w:cs="Guttman Hodes"/>
        <w:sz w:val="14"/>
        <w:szCs w:val="14"/>
        <w:rtl/>
      </w:rPr>
      <w:t xml:space="preserve"> דף</w:t>
    </w:r>
    <w:r>
      <w:rPr>
        <w:rFonts w:cs="Guttman Hodes" w:hint="cs"/>
        <w:sz w:val="14"/>
        <w:szCs w:val="14"/>
        <w:rtl/>
      </w:rPr>
      <w:t xml:space="preserve"> כט ע"א</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E874E8">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0F07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265073" w:rsidRDefault="00265073" w:rsidP="000F071D">
    <w:pPr>
      <w:pStyle w:val="a9"/>
      <w:ind w:left="0"/>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5E415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כט ע"ב</w:t>
    </w:r>
  </w:p>
  <w:p w:rsidR="00265073" w:rsidRDefault="00265073" w:rsidP="0019070E">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19070E">
    <w:pPr>
      <w:pStyle w:val="a9"/>
      <w:ind w:left="0"/>
      <w:jc w:val="center"/>
      <w:rPr>
        <w:rFonts w:cs="Guttman Hodes"/>
        <w:sz w:val="14"/>
        <w:szCs w:val="14"/>
        <w:rtl/>
      </w:rPr>
    </w:pPr>
    <w:r w:rsidRPr="00CF1C03">
      <w:rPr>
        <w:rFonts w:cs="Guttman Hodes"/>
        <w:sz w:val="14"/>
        <w:szCs w:val="14"/>
        <w:rtl/>
      </w:rPr>
      <w:t>סימן ז' בסוגיא דשכוני גוואי</w:t>
    </w:r>
    <w:r w:rsidRPr="009C5EDB">
      <w:rPr>
        <w:rtl/>
      </w:rPr>
      <w:t xml:space="preserve"> </w:t>
    </w:r>
    <w:r w:rsidRPr="009C5EDB">
      <w:rPr>
        <w:rFonts w:cs="Guttman Hodes"/>
        <w:sz w:val="14"/>
        <w:szCs w:val="14"/>
        <w:rtl/>
      </w:rPr>
      <w:t>ובפלוגתת רבא ור"נ בדין המוחזקות בספק בחזקת ג"ש</w:t>
    </w:r>
  </w:p>
  <w:p w:rsidR="00265073" w:rsidRDefault="00265073" w:rsidP="0019070E">
    <w:pPr>
      <w:pStyle w:val="a9"/>
      <w:ind w:left="0"/>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19070E">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כט ע"ב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976B17">
    <w:pPr>
      <w:pStyle w:val="a9"/>
      <w:ind w:left="0"/>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5E415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 ע"א ע"ב</w:t>
    </w:r>
  </w:p>
  <w:p w:rsidR="00265073" w:rsidRDefault="00265073" w:rsidP="0007171D">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5E415B">
    <w:pPr>
      <w:pStyle w:val="a9"/>
      <w:ind w:left="0"/>
      <w:jc w:val="center"/>
      <w:rPr>
        <w:rFonts w:cs="Guttman Hodes"/>
        <w:sz w:val="14"/>
        <w:szCs w:val="14"/>
        <w:rtl/>
      </w:rPr>
    </w:pPr>
    <w:r w:rsidRPr="00AA70A7">
      <w:rPr>
        <w:rFonts w:cs="Guttman Hodes"/>
        <w:sz w:val="14"/>
        <w:szCs w:val="14"/>
        <w:rtl/>
      </w:rPr>
      <w:t>סימן ח' בסוגיא דלאו קא מודית</w:t>
    </w:r>
    <w:r>
      <w:rPr>
        <w:rFonts w:cs="Guttman Hodes" w:hint="cs"/>
        <w:sz w:val="14"/>
        <w:szCs w:val="14"/>
        <w:rtl/>
      </w:rPr>
      <w:t xml:space="preserve"> </w:t>
    </w:r>
    <w:r w:rsidRPr="00BA75E7">
      <w:rPr>
        <w:rFonts w:cs="Guttman Hodes"/>
        <w:sz w:val="14"/>
        <w:szCs w:val="14"/>
        <w:rtl/>
      </w:rPr>
      <w:t>(א')</w:t>
    </w:r>
    <w:r>
      <w:rPr>
        <w:rFonts w:cs="Guttman Hodes"/>
        <w:sz w:val="14"/>
        <w:szCs w:val="14"/>
        <w:rtl/>
      </w:rPr>
      <w:t xml:space="preserve"> </w:t>
    </w:r>
    <w:r w:rsidRPr="00BA75E7">
      <w:rPr>
        <w:rFonts w:cs="Guttman Hodes"/>
        <w:sz w:val="14"/>
        <w:szCs w:val="14"/>
        <w:rtl/>
      </w:rPr>
      <w:t>בביאור הודאת המחזיק למערער ואמאי ל"מ לו מיגו דמינך זבינתה</w:t>
    </w:r>
    <w:r>
      <w:rPr>
        <w:rFonts w:cs="Guttman Hodes" w:hint="cs"/>
        <w:sz w:val="14"/>
        <w:szCs w:val="14"/>
        <w:rtl/>
      </w:rPr>
      <w:t xml:space="preserve"> ולהד"ם</w:t>
    </w:r>
  </w:p>
  <w:p w:rsidR="00265073" w:rsidRDefault="00265073" w:rsidP="0007171D">
    <w:pPr>
      <w:pStyle w:val="a9"/>
      <w:ind w:left="0"/>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07171D">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 ע"א ע"ב</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07171D">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0E75A3">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 ע"א ע"ב</w:t>
    </w:r>
  </w:p>
  <w:p w:rsidR="00265073" w:rsidRDefault="00265073" w:rsidP="000E75A3">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0E75A3">
    <w:pPr>
      <w:pStyle w:val="a9"/>
      <w:ind w:left="0"/>
      <w:jc w:val="center"/>
      <w:rPr>
        <w:rFonts w:cs="Guttman Hodes"/>
        <w:sz w:val="14"/>
        <w:szCs w:val="14"/>
        <w:rtl/>
      </w:rPr>
    </w:pPr>
    <w:r w:rsidRPr="00D32A3F">
      <w:rPr>
        <w:rFonts w:cs="Guttman Hodes"/>
        <w:sz w:val="14"/>
        <w:szCs w:val="14"/>
        <w:rtl/>
      </w:rPr>
      <w:t xml:space="preserve">סימן ט' בסוגיא דלאו קא מודית (ב') </w:t>
    </w:r>
    <w:r>
      <w:rPr>
        <w:rFonts w:cs="Guttman Hodes" w:hint="cs"/>
        <w:sz w:val="14"/>
        <w:szCs w:val="14"/>
        <w:rtl/>
      </w:rPr>
      <w:t xml:space="preserve">בהביא המחזיק עדים </w:t>
    </w:r>
    <w:r w:rsidRPr="00D32A3F">
      <w:rPr>
        <w:rFonts w:cs="Guttman Hodes"/>
        <w:sz w:val="14"/>
        <w:szCs w:val="14"/>
        <w:rtl/>
      </w:rPr>
      <w:t xml:space="preserve">דהמוכר דר חד יומא </w:t>
    </w:r>
    <w:r>
      <w:rPr>
        <w:rFonts w:cs="Guttman Hodes" w:hint="cs"/>
        <w:sz w:val="14"/>
        <w:szCs w:val="14"/>
        <w:rtl/>
      </w:rPr>
      <w:t>או ד</w:t>
    </w:r>
    <w:r w:rsidRPr="00D32A3F">
      <w:rPr>
        <w:rFonts w:cs="Guttman Hodes"/>
        <w:sz w:val="14"/>
        <w:szCs w:val="14"/>
        <w:rtl/>
      </w:rPr>
      <w:t>טוען המחזיק קמי דידי זבנה מינך</w:t>
    </w:r>
  </w:p>
  <w:p w:rsidR="00265073" w:rsidRDefault="00265073" w:rsidP="000E75A3">
    <w:pPr>
      <w:pStyle w:val="a9"/>
      <w:ind w:left="0"/>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0E75A3">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 ע"א ע"ב</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0E75A3">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0E75A3">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0E75A3">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6A429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 ע"א ע"ב</w:t>
    </w:r>
  </w:p>
  <w:p w:rsidR="00265073" w:rsidRDefault="00265073" w:rsidP="006A429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6A4297">
    <w:pPr>
      <w:pStyle w:val="a9"/>
      <w:ind w:left="0"/>
      <w:jc w:val="center"/>
      <w:rPr>
        <w:rFonts w:cs="Guttman Hodes"/>
        <w:sz w:val="14"/>
        <w:szCs w:val="14"/>
        <w:rtl/>
      </w:rPr>
    </w:pPr>
    <w:r w:rsidRPr="00BB0C9F">
      <w:rPr>
        <w:rFonts w:cs="Guttman Hodes"/>
        <w:sz w:val="14"/>
        <w:szCs w:val="14"/>
        <w:rtl/>
      </w:rPr>
      <w:t xml:space="preserve">סימן </w:t>
    </w:r>
    <w:r>
      <w:rPr>
        <w:rFonts w:cs="Guttman Hodes" w:hint="cs"/>
        <w:sz w:val="14"/>
        <w:szCs w:val="14"/>
        <w:rtl/>
      </w:rPr>
      <w:t xml:space="preserve">י' </w:t>
    </w:r>
    <w:r w:rsidRPr="00C56B22">
      <w:rPr>
        <w:rFonts w:cs="Guttman Hodes"/>
        <w:sz w:val="14"/>
        <w:szCs w:val="14"/>
        <w:rtl/>
      </w:rPr>
      <w:t>בסוגיא דלאו קא מודית (ג')</w:t>
    </w:r>
    <w:r>
      <w:rPr>
        <w:rFonts w:cs="Guttman Hodes" w:hint="cs"/>
        <w:sz w:val="14"/>
        <w:szCs w:val="14"/>
        <w:rtl/>
      </w:rPr>
      <w:t xml:space="preserve"> </w:t>
    </w:r>
    <w:r w:rsidRPr="006F6C6B">
      <w:rPr>
        <w:rFonts w:cs="Guttman Hodes"/>
        <w:sz w:val="14"/>
        <w:szCs w:val="14"/>
        <w:rtl/>
      </w:rPr>
      <w:t>ב</w:t>
    </w:r>
    <w:r>
      <w:rPr>
        <w:rFonts w:cs="Guttman Hodes" w:hint="cs"/>
        <w:sz w:val="14"/>
        <w:szCs w:val="14"/>
        <w:rtl/>
      </w:rPr>
      <w:t xml:space="preserve">גדר </w:t>
    </w:r>
    <w:r w:rsidRPr="006F6C6B">
      <w:rPr>
        <w:rFonts w:cs="Guttman Hodes"/>
        <w:sz w:val="14"/>
        <w:szCs w:val="14"/>
        <w:rtl/>
      </w:rPr>
      <w:t xml:space="preserve">דין טענינן בקמי דידי דר בה חד יומא ובדברי הרשב"א בתוס' ור"י </w:t>
    </w:r>
  </w:p>
  <w:p w:rsidR="00265073" w:rsidRDefault="00265073" w:rsidP="006A4297">
    <w:pPr>
      <w:pStyle w:val="a9"/>
      <w:ind w:left="0"/>
      <w:jc w:val="center"/>
      <w:rPr>
        <w:rFonts w:cs="Guttman Hodes"/>
        <w:sz w:val="14"/>
        <w:szCs w:val="14"/>
        <w:rtl/>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6A429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 ע"א ע"ב</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6A4297">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0F07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6A429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6A4297">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6A429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 ע"א ע"ב</w:t>
    </w:r>
  </w:p>
  <w:p w:rsidR="00265073" w:rsidRDefault="00265073" w:rsidP="006A429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6A4297">
    <w:pPr>
      <w:pStyle w:val="a9"/>
      <w:ind w:left="0"/>
      <w:jc w:val="center"/>
      <w:rPr>
        <w:rFonts w:cs="Guttman Hodes"/>
        <w:sz w:val="14"/>
        <w:szCs w:val="14"/>
        <w:rtl/>
      </w:rPr>
    </w:pPr>
    <w:r w:rsidRPr="00BB0C9F">
      <w:rPr>
        <w:rFonts w:cs="Guttman Hodes"/>
        <w:sz w:val="14"/>
        <w:szCs w:val="14"/>
        <w:rtl/>
      </w:rPr>
      <w:t xml:space="preserve">סימן </w:t>
    </w:r>
    <w:r>
      <w:rPr>
        <w:rFonts w:cs="Guttman Hodes" w:hint="cs"/>
        <w:sz w:val="14"/>
        <w:szCs w:val="14"/>
        <w:rtl/>
      </w:rPr>
      <w:t xml:space="preserve">י' </w:t>
    </w:r>
    <w:r w:rsidRPr="00C56B22">
      <w:rPr>
        <w:rFonts w:cs="Guttman Hodes"/>
        <w:sz w:val="14"/>
        <w:szCs w:val="14"/>
        <w:rtl/>
      </w:rPr>
      <w:t>בסוגיא דלאו קא מודית (ג')</w:t>
    </w:r>
    <w:r>
      <w:rPr>
        <w:rFonts w:cs="Guttman Hodes" w:hint="cs"/>
        <w:sz w:val="14"/>
        <w:szCs w:val="14"/>
        <w:rtl/>
      </w:rPr>
      <w:t xml:space="preserve"> </w:t>
    </w:r>
    <w:r w:rsidRPr="006F6C6B">
      <w:rPr>
        <w:rFonts w:cs="Guttman Hodes"/>
        <w:sz w:val="14"/>
        <w:szCs w:val="14"/>
        <w:rtl/>
      </w:rPr>
      <w:t>ב</w:t>
    </w:r>
    <w:r>
      <w:rPr>
        <w:rFonts w:cs="Guttman Hodes" w:hint="cs"/>
        <w:sz w:val="14"/>
        <w:szCs w:val="14"/>
        <w:rtl/>
      </w:rPr>
      <w:t xml:space="preserve">גדר </w:t>
    </w:r>
    <w:r w:rsidRPr="006F6C6B">
      <w:rPr>
        <w:rFonts w:cs="Guttman Hodes"/>
        <w:sz w:val="14"/>
        <w:szCs w:val="14"/>
        <w:rtl/>
      </w:rPr>
      <w:t xml:space="preserve">דין טענינן בקמי דידי דר בה חד יומא ובדברי הרשב"א בתוס' ור"י </w:t>
    </w:r>
  </w:p>
  <w:p w:rsidR="00265073" w:rsidRDefault="00265073" w:rsidP="006A4297">
    <w:pPr>
      <w:pStyle w:val="a9"/>
      <w:ind w:left="0"/>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5306E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 ע"א ע"ב</w:t>
    </w:r>
  </w:p>
  <w:p w:rsidR="00265073" w:rsidRDefault="00265073" w:rsidP="005306EB">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5306EB">
    <w:pPr>
      <w:pStyle w:val="a9"/>
      <w:ind w:left="0"/>
      <w:jc w:val="center"/>
      <w:rPr>
        <w:rFonts w:cs="Guttman Hodes"/>
        <w:sz w:val="14"/>
        <w:szCs w:val="14"/>
        <w:rtl/>
      </w:rPr>
    </w:pPr>
    <w:r w:rsidRPr="004459D8">
      <w:rPr>
        <w:rFonts w:cs="Guttman Hodes"/>
        <w:sz w:val="14"/>
        <w:szCs w:val="14"/>
        <w:rtl/>
      </w:rPr>
      <w:t xml:space="preserve">סימן י"א בסוגיא דלאו קא מודית (ד') </w:t>
    </w:r>
    <w:r w:rsidRPr="00BA45D2">
      <w:rPr>
        <w:rFonts w:cs="Guttman Hodes"/>
        <w:sz w:val="14"/>
        <w:szCs w:val="14"/>
        <w:rtl/>
      </w:rPr>
      <w:t>במיגו למפרע ומיגו כנגד אחוי שטרך ובדברי הרשב"ם ור"ח אי המחזיק בע"ד</w:t>
    </w:r>
  </w:p>
  <w:p w:rsidR="00265073" w:rsidRPr="004459D8" w:rsidRDefault="00265073" w:rsidP="005306EB">
    <w:pPr>
      <w:pStyle w:val="a9"/>
      <w:ind w:left="0"/>
      <w:jc w:val="center"/>
      <w:rPr>
        <w:rFonts w:cs="Guttman Hodes"/>
        <w:sz w:val="14"/>
        <w:szCs w:val="14"/>
        <w:rtl/>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5306E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 ע"א ע"ב</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5306EB">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5306E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5306EB">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C34249">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לא ע"א</w:t>
    </w:r>
  </w:p>
  <w:p w:rsidR="00265073" w:rsidRDefault="00265073" w:rsidP="00C34249">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C34249">
    <w:pPr>
      <w:pStyle w:val="a9"/>
      <w:ind w:left="0"/>
      <w:jc w:val="center"/>
      <w:rPr>
        <w:rFonts w:cs="Guttman Hodes"/>
        <w:sz w:val="14"/>
        <w:szCs w:val="14"/>
        <w:rtl/>
      </w:rPr>
    </w:pPr>
    <w:r w:rsidRPr="00BB0C9F">
      <w:rPr>
        <w:rFonts w:cs="Guttman Hodes"/>
        <w:sz w:val="14"/>
        <w:szCs w:val="14"/>
        <w:rtl/>
      </w:rPr>
      <w:t xml:space="preserve">סימן </w:t>
    </w:r>
    <w:r w:rsidRPr="00F57DBE">
      <w:rPr>
        <w:rFonts w:cs="Guttman Hodes"/>
        <w:sz w:val="14"/>
        <w:szCs w:val="14"/>
        <w:rtl/>
      </w:rPr>
      <w:t xml:space="preserve">י"ב </w:t>
    </w:r>
    <w:r w:rsidRPr="008E6765">
      <w:rPr>
        <w:rFonts w:cs="Guttman Hodes"/>
        <w:sz w:val="14"/>
        <w:szCs w:val="14"/>
        <w:rtl/>
      </w:rPr>
      <w:t xml:space="preserve">בביאור המחלוקת אי אמרינן </w:t>
    </w:r>
    <w:r w:rsidRPr="00F57DBE">
      <w:rPr>
        <w:rFonts w:cs="Guttman Hodes"/>
        <w:sz w:val="14"/>
        <w:szCs w:val="14"/>
        <w:rtl/>
      </w:rPr>
      <w:t>מיגו במקום עדים</w:t>
    </w:r>
  </w:p>
  <w:p w:rsidR="00265073" w:rsidRDefault="00265073" w:rsidP="00C34249">
    <w:pPr>
      <w:pStyle w:val="a9"/>
      <w:ind w:left="0"/>
      <w:jc w:val="center"/>
      <w:rPr>
        <w:rFonts w:cs="Guttman Hodes"/>
        <w:sz w:val="14"/>
        <w:szCs w:val="14"/>
        <w:rtl/>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A77F33">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לא ע"א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A77F33">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0F071D">
    <w:pPr>
      <w:pStyle w:val="a9"/>
      <w:ind w:left="0"/>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rsidR="00265073" w:rsidRDefault="00265073">
    <w:pPr>
      <w:pStyle w:val="a9"/>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5E415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לא ע"א</w:t>
    </w:r>
  </w:p>
  <w:p w:rsidR="00265073" w:rsidRDefault="00265073" w:rsidP="00A77F33">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A77F33">
    <w:pPr>
      <w:pStyle w:val="a9"/>
      <w:ind w:left="0"/>
      <w:jc w:val="center"/>
      <w:rPr>
        <w:rFonts w:cs="Guttman Hodes"/>
        <w:sz w:val="14"/>
        <w:szCs w:val="14"/>
        <w:rtl/>
      </w:rPr>
    </w:pPr>
    <w:r w:rsidRPr="00BB0C9F">
      <w:rPr>
        <w:rFonts w:cs="Guttman Hodes"/>
        <w:sz w:val="14"/>
        <w:szCs w:val="14"/>
        <w:rtl/>
      </w:rPr>
      <w:t xml:space="preserve">סימן </w:t>
    </w:r>
    <w:r w:rsidRPr="00F57DBE">
      <w:rPr>
        <w:rFonts w:cs="Guttman Hodes"/>
        <w:sz w:val="14"/>
        <w:szCs w:val="14"/>
        <w:rtl/>
      </w:rPr>
      <w:t xml:space="preserve">י"ב </w:t>
    </w:r>
    <w:r w:rsidRPr="008E6765">
      <w:rPr>
        <w:rFonts w:cs="Guttman Hodes"/>
        <w:sz w:val="14"/>
        <w:szCs w:val="14"/>
        <w:rtl/>
      </w:rPr>
      <w:t xml:space="preserve">בביאור המחלוקת אי אמרינן </w:t>
    </w:r>
    <w:r w:rsidRPr="00F57DBE">
      <w:rPr>
        <w:rFonts w:cs="Guttman Hodes"/>
        <w:sz w:val="14"/>
        <w:szCs w:val="14"/>
        <w:rtl/>
      </w:rPr>
      <w:t>מיגו במקום עדים</w:t>
    </w:r>
  </w:p>
  <w:p w:rsidR="00265073" w:rsidRDefault="00265073" w:rsidP="00A77F33">
    <w:pPr>
      <w:pStyle w:val="a9"/>
      <w:ind w:left="0"/>
      <w:jc w:val="center"/>
      <w:rPr>
        <w:rFonts w:cs="Guttman Hodes"/>
        <w:sz w:val="14"/>
        <w:szCs w:val="14"/>
        <w:rtl/>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A77F33">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A77F33">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EC445E">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לא ע"א</w:t>
    </w:r>
  </w:p>
  <w:p w:rsidR="00265073" w:rsidRDefault="00265073" w:rsidP="00EC445E">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EC445E">
    <w:pPr>
      <w:pStyle w:val="a9"/>
      <w:ind w:left="0"/>
      <w:jc w:val="center"/>
      <w:rPr>
        <w:rFonts w:cs="Guttman Hodes"/>
        <w:sz w:val="14"/>
        <w:szCs w:val="14"/>
        <w:rtl/>
      </w:rPr>
    </w:pPr>
    <w:r w:rsidRPr="007E6D9D">
      <w:rPr>
        <w:rFonts w:cs="Guttman Hodes"/>
        <w:sz w:val="14"/>
        <w:szCs w:val="14"/>
        <w:rtl/>
      </w:rPr>
      <w:t xml:space="preserve">סימן י"ג </w:t>
    </w:r>
    <w:r w:rsidRPr="00987F92">
      <w:rPr>
        <w:rFonts w:cs="Guttman Hodes"/>
        <w:sz w:val="14"/>
        <w:szCs w:val="14"/>
        <w:rtl/>
      </w:rPr>
      <w:t>בפלוגתת עולא ונהרדעי בטוען וחוזר וטוען וב</w:t>
    </w:r>
    <w:r>
      <w:rPr>
        <w:rFonts w:cs="Guttman Hodes" w:hint="cs"/>
        <w:sz w:val="14"/>
        <w:szCs w:val="14"/>
        <w:rtl/>
      </w:rPr>
      <w:t xml:space="preserve">דין </w:t>
    </w:r>
    <w:r w:rsidRPr="00987F92">
      <w:rPr>
        <w:rFonts w:cs="Guttman Hodes"/>
        <w:sz w:val="14"/>
        <w:szCs w:val="14"/>
        <w:rtl/>
      </w:rPr>
      <w:t>חוזר וטוען מפטור לפטור</w:t>
    </w:r>
  </w:p>
  <w:p w:rsidR="00265073" w:rsidRDefault="00265073" w:rsidP="00EC445E">
    <w:pPr>
      <w:pStyle w:val="a9"/>
      <w:ind w:left="0"/>
      <w:jc w:val="center"/>
      <w:rPr>
        <w:rFonts w:cs="Guttman Hodes"/>
        <w:sz w:val="14"/>
        <w:szCs w:val="14"/>
        <w:rtl/>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EC445E">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לא ע"א</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EC445E">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EC445E">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EC445E">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3B761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לב ע"ב</w:t>
    </w:r>
  </w:p>
  <w:p w:rsidR="00265073" w:rsidRDefault="00265073" w:rsidP="003B76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3B7617">
    <w:pPr>
      <w:pStyle w:val="a9"/>
      <w:ind w:left="0"/>
      <w:jc w:val="center"/>
      <w:rPr>
        <w:rFonts w:cs="Guttman Hodes"/>
        <w:sz w:val="14"/>
        <w:szCs w:val="14"/>
        <w:rtl/>
      </w:rPr>
    </w:pPr>
    <w:r w:rsidRPr="00C873B2">
      <w:rPr>
        <w:rFonts w:cs="Guttman Hodes"/>
        <w:sz w:val="14"/>
        <w:szCs w:val="14"/>
        <w:rtl/>
      </w:rPr>
      <w:t>סימן י"ד בסוגיא דשטרא זייפא</w:t>
    </w:r>
    <w:r w:rsidRPr="00D22EFC">
      <w:rPr>
        <w:rtl/>
      </w:rPr>
      <w:t xml:space="preserve"> </w:t>
    </w:r>
    <w:r w:rsidRPr="00D22EFC">
      <w:rPr>
        <w:rFonts w:cs="Guttman Hodes"/>
        <w:sz w:val="14"/>
        <w:szCs w:val="14"/>
        <w:rtl/>
      </w:rPr>
      <w:t>ובדין מיגו להוציא</w:t>
    </w:r>
  </w:p>
  <w:p w:rsidR="00265073" w:rsidRDefault="00265073" w:rsidP="003B7617">
    <w:pPr>
      <w:pStyle w:val="a9"/>
      <w:ind w:left="0"/>
      <w:jc w:val="center"/>
      <w:rPr>
        <w:rFonts w:cs="Guttman Hodes"/>
        <w:sz w:val="14"/>
        <w:szCs w:val="14"/>
        <w:rtl/>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5E1ABF">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r>
      <w:rPr>
        <w:rFonts w:cs="Guttman Hodes" w:hint="cs"/>
        <w:sz w:val="14"/>
        <w:szCs w:val="14"/>
        <w:rtl/>
      </w:rPr>
      <w:t>לב ע"ב</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976B17">
    <w:pPr>
      <w:pStyle w:val="a9"/>
      <w:ind w:left="0"/>
      <w:jc w:val="center"/>
      <w:rPr>
        <w:rFonts w:cs="Guttman Hodes"/>
        <w:sz w:val="14"/>
        <w:szCs w:val="14"/>
        <w:rtl/>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5E1ABF">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976B17">
    <w:pPr>
      <w:pStyle w:val="a9"/>
      <w:ind w:left="0"/>
      <w:jc w:val="center"/>
      <w:rPr>
        <w:rFonts w:cs="Guttman Hodes"/>
        <w:sz w:val="14"/>
        <w:szCs w:val="1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1C39BB">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F4065E">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לב ע"ב - ל"ג ע"א</w:t>
    </w:r>
  </w:p>
  <w:p w:rsidR="00265073" w:rsidRDefault="00265073" w:rsidP="00F4065E">
    <w:pPr>
      <w:pStyle w:val="a9"/>
      <w:ind w:left="0"/>
      <w:jc w:val="center"/>
      <w:rPr>
        <w:rFonts w:cs="Guttman Hodes"/>
        <w:b/>
        <w:bCs/>
        <w:sz w:val="28"/>
        <w:szCs w:val="28"/>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F4065E">
    <w:pPr>
      <w:pStyle w:val="a9"/>
      <w:ind w:left="0"/>
      <w:jc w:val="center"/>
      <w:rPr>
        <w:rFonts w:cs="Guttman Hodes"/>
        <w:sz w:val="14"/>
        <w:szCs w:val="14"/>
        <w:rtl/>
      </w:rPr>
    </w:pPr>
    <w:r w:rsidRPr="00BB0C9F">
      <w:rPr>
        <w:rFonts w:cs="Guttman Hodes"/>
        <w:sz w:val="14"/>
        <w:szCs w:val="14"/>
        <w:rtl/>
      </w:rPr>
      <w:t xml:space="preserve">סימן </w:t>
    </w:r>
    <w:r>
      <w:rPr>
        <w:rFonts w:cs="Guttman Hodes" w:hint="cs"/>
        <w:sz w:val="14"/>
        <w:szCs w:val="14"/>
        <w:rtl/>
      </w:rPr>
      <w:t>ט"ו בסוגיא דרבא בר שרשום</w:t>
    </w:r>
  </w:p>
  <w:p w:rsidR="00265073" w:rsidRDefault="00265073" w:rsidP="00F4065E">
    <w:pPr>
      <w:pStyle w:val="a9"/>
      <w:ind w:left="0"/>
      <w:jc w:val="center"/>
      <w:rPr>
        <w:rFonts w:cs="Guttman Hodes"/>
        <w:sz w:val="14"/>
        <w:szCs w:val="14"/>
        <w:rtl/>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F4065E">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לד ע"א</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F4065E">
    <w:pPr>
      <w:pStyle w:val="a9"/>
      <w:ind w:left="0"/>
      <w:jc w:val="center"/>
      <w:rPr>
        <w:rFonts w:cs="Guttman Hodes"/>
        <w:sz w:val="14"/>
        <w:szCs w:val="14"/>
        <w:rtl/>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F4065E">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F4065E">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103C1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לג ע"א - ל"ג ע"ב</w:t>
    </w:r>
  </w:p>
  <w:p w:rsidR="00265073" w:rsidRDefault="00265073" w:rsidP="00103C1B">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103C1B">
    <w:pPr>
      <w:pStyle w:val="a9"/>
      <w:ind w:left="0"/>
      <w:jc w:val="center"/>
      <w:rPr>
        <w:rFonts w:cs="Guttman Hodes"/>
        <w:sz w:val="14"/>
        <w:szCs w:val="14"/>
        <w:rtl/>
      </w:rPr>
    </w:pPr>
    <w:r w:rsidRPr="00D90E58">
      <w:rPr>
        <w:rFonts w:cs="Guttman Hodes"/>
        <w:sz w:val="14"/>
        <w:szCs w:val="14"/>
        <w:rtl/>
      </w:rPr>
      <w:t>סימן ט"ז בסוגיא דקריביה דרב אידי</w:t>
    </w:r>
  </w:p>
  <w:p w:rsidR="00265073" w:rsidRDefault="00265073" w:rsidP="00103C1B">
    <w:pPr>
      <w:pStyle w:val="a9"/>
      <w:ind w:left="0"/>
      <w:jc w:val="center"/>
      <w:rPr>
        <w:rFonts w:cs="Guttman Hodes"/>
        <w:sz w:val="14"/>
        <w:szCs w:val="14"/>
        <w:rtl/>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103C1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976B17">
    <w:pPr>
      <w:pStyle w:val="a9"/>
      <w:ind w:left="0"/>
      <w:jc w:val="center"/>
      <w:rPr>
        <w:rFonts w:cs="Guttman Hodes"/>
        <w:sz w:val="14"/>
        <w:szCs w:val="14"/>
        <w:rtl/>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490FEF">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לג ע"ב - לד ע"א</w:t>
    </w:r>
  </w:p>
  <w:p w:rsidR="00265073" w:rsidRDefault="00265073" w:rsidP="00490FEF">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490FEF">
    <w:pPr>
      <w:pStyle w:val="a9"/>
      <w:ind w:left="0"/>
      <w:jc w:val="center"/>
      <w:rPr>
        <w:rFonts w:cs="Guttman Hodes"/>
        <w:sz w:val="14"/>
        <w:szCs w:val="14"/>
        <w:rtl/>
      </w:rPr>
    </w:pPr>
    <w:r w:rsidRPr="00532C2E">
      <w:rPr>
        <w:rFonts w:cs="Guttman Hodes"/>
        <w:sz w:val="14"/>
        <w:szCs w:val="14"/>
        <w:rtl/>
      </w:rPr>
      <w:t>סימן י"ז בסוגיא דנסכא דרבי אבא (א') בהא דא"א לחייבו או לפוטרו ואינו יכול להשבע ובדין ע"א באכילת פירות</w:t>
    </w:r>
  </w:p>
  <w:p w:rsidR="00265073" w:rsidRDefault="00265073" w:rsidP="00490FEF">
    <w:pPr>
      <w:pStyle w:val="a9"/>
      <w:ind w:left="0"/>
      <w:jc w:val="center"/>
      <w:rPr>
        <w:rFonts w:cs="Guttman Hodes"/>
        <w:sz w:val="14"/>
        <w:szCs w:val="14"/>
        <w:rtl/>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0F550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0F5507">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976B17">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FE4F99">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לד ע"א</w:t>
    </w:r>
  </w:p>
  <w:p w:rsidR="00265073" w:rsidRDefault="00265073" w:rsidP="00FE4F99">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FE4F99">
    <w:pPr>
      <w:pStyle w:val="a9"/>
      <w:ind w:left="0"/>
      <w:jc w:val="center"/>
      <w:rPr>
        <w:rFonts w:cs="Guttman Hodes"/>
        <w:sz w:val="14"/>
        <w:szCs w:val="14"/>
        <w:rtl/>
      </w:rPr>
    </w:pPr>
    <w:r w:rsidRPr="009C43CD">
      <w:rPr>
        <w:rFonts w:cs="Guttman Hodes"/>
        <w:sz w:val="14"/>
        <w:szCs w:val="14"/>
        <w:rtl/>
      </w:rPr>
      <w:t xml:space="preserve">סימן י"ח בסוגיא דנסכא דרבי אבא (ב') בהא דלא נאמן בשבועה במיגו </w:t>
    </w:r>
    <w:r>
      <w:rPr>
        <w:rFonts w:cs="Guttman Hodes" w:hint="cs"/>
        <w:sz w:val="14"/>
        <w:szCs w:val="14"/>
        <w:rtl/>
      </w:rPr>
      <w:t xml:space="preserve">ובגדר שבועת ע"א </w:t>
    </w:r>
    <w:r w:rsidRPr="0049611F">
      <w:rPr>
        <w:rFonts w:cs="Guttman Hodes"/>
        <w:sz w:val="14"/>
        <w:szCs w:val="14"/>
        <w:rtl/>
      </w:rPr>
      <w:t>ובמיגו נגד חזקה דמה שתח"י</w:t>
    </w:r>
  </w:p>
  <w:p w:rsidR="00265073" w:rsidRDefault="00265073" w:rsidP="00FE4F99">
    <w:pPr>
      <w:pStyle w:val="a9"/>
      <w:ind w:left="0"/>
      <w:jc w:val="center"/>
      <w:rPr>
        <w:rFonts w:cs="Guttman Hodes"/>
        <w:sz w:val="14"/>
        <w:szCs w:val="14"/>
        <w:rtl/>
      </w:rP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E824D3">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לד ע"א</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E824D3">
    <w:pPr>
      <w:pStyle w:val="a9"/>
      <w:ind w:left="0"/>
      <w:jc w:val="center"/>
      <w:rPr>
        <w:rFonts w:cs="Guttman Hodes"/>
        <w:sz w:val="14"/>
        <w:szCs w:val="14"/>
        <w:rtl/>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E824D3">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E824D3">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490FEF">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לג ע"ב - לד ע"א</w:t>
    </w:r>
  </w:p>
  <w:p w:rsidR="00265073" w:rsidRDefault="00265073" w:rsidP="00490FEF">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490FEF">
    <w:pPr>
      <w:pStyle w:val="a9"/>
      <w:ind w:left="0"/>
      <w:jc w:val="center"/>
      <w:rPr>
        <w:rFonts w:cs="Guttman Hodes"/>
        <w:sz w:val="14"/>
        <w:szCs w:val="14"/>
        <w:rtl/>
      </w:rPr>
    </w:pPr>
    <w:r w:rsidRPr="00532C2E">
      <w:rPr>
        <w:rFonts w:cs="Guttman Hodes"/>
        <w:sz w:val="14"/>
        <w:szCs w:val="14"/>
        <w:rtl/>
      </w:rPr>
      <w:t>סימן י"ז בסוגיא דנסכא דרבי אבא (א') בהא דא"א לחייבו או לפוטרו ואינו יכול להשבע ובדין ע"א באכילת פירות</w:t>
    </w:r>
  </w:p>
  <w:p w:rsidR="00265073" w:rsidRDefault="00265073" w:rsidP="00490FEF">
    <w:pPr>
      <w:pStyle w:val="a9"/>
      <w:ind w:left="0"/>
      <w:jc w:val="center"/>
      <w:rPr>
        <w:rFonts w:cs="Guttman Hodes"/>
        <w:sz w:val="14"/>
        <w:szCs w:val="14"/>
        <w:rtl/>
      </w:rP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0F550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rsidR="00265073" w:rsidRDefault="00265073" w:rsidP="00976B1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0F5507">
    <w:pPr>
      <w:pStyle w:val="a9"/>
      <w:ind w:left="0"/>
      <w:jc w:val="center"/>
      <w:rPr>
        <w:rFonts w:cs="Guttman Hodes"/>
        <w:sz w:val="14"/>
        <w:szCs w:val="14"/>
        <w:rtl/>
      </w:rPr>
    </w:pPr>
  </w:p>
  <w:p w:rsidR="00265073" w:rsidRDefault="00265073" w:rsidP="00976B17">
    <w:pPr>
      <w:pStyle w:val="a9"/>
      <w:ind w:left="0"/>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1C39BB">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כח ע"א</w:t>
    </w:r>
  </w:p>
  <w:p w:rsidR="00265073" w:rsidRDefault="00265073" w:rsidP="001C39BB">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1C39BB">
    <w:pPr>
      <w:pStyle w:val="a9"/>
      <w:ind w:left="0"/>
      <w:jc w:val="center"/>
      <w:rPr>
        <w:rFonts w:cs="Guttman Hodes"/>
        <w:sz w:val="14"/>
        <w:szCs w:val="14"/>
        <w:rtl/>
      </w:rPr>
    </w:pPr>
    <w:r w:rsidRPr="006B5E7C">
      <w:rPr>
        <w:rFonts w:cs="Guttman Hodes"/>
        <w:sz w:val="14"/>
        <w:szCs w:val="14"/>
        <w:rtl/>
      </w:rPr>
      <w:t xml:space="preserve">סימן א' </w:t>
    </w:r>
    <w:r w:rsidRPr="008E43CF">
      <w:rPr>
        <w:rFonts w:cs="Guttman Hodes"/>
        <w:sz w:val="14"/>
        <w:szCs w:val="14"/>
        <w:rtl/>
      </w:rPr>
      <w:t>בגדרי מוחזקות המר"ק והמחזיק בקרקע ובמטלטלין ובחזקת עבדים וגודרות</w:t>
    </w:r>
  </w:p>
  <w:p w:rsidR="00265073" w:rsidRDefault="00265073" w:rsidP="001C39BB">
    <w:pPr>
      <w:pStyle w:val="a9"/>
      <w:ind w:left="0"/>
      <w:jc w:val="center"/>
      <w:rPr>
        <w:rFonts w:cs="Guttman Hodes"/>
        <w:sz w:val="14"/>
        <w:szCs w:val="14"/>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Default="00265073">
    <w:pPr>
      <w:pStyle w:val="a9"/>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5073" w:rsidRPr="00181149" w:rsidRDefault="00265073" w:rsidP="00AB3447">
    <w:pPr>
      <w:pStyle w:val="a9"/>
      <w:ind w:left="0"/>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כח ע"א</w:t>
    </w:r>
  </w:p>
  <w:p w:rsidR="00265073" w:rsidRDefault="00265073" w:rsidP="00AB3447">
    <w:pPr>
      <w:pStyle w:val="a9"/>
      <w:ind w:left="0"/>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rsidR="00265073" w:rsidRDefault="00265073" w:rsidP="00AB3447">
    <w:pPr>
      <w:pStyle w:val="a9"/>
      <w:ind w:left="0"/>
      <w:jc w:val="center"/>
      <w:rPr>
        <w:rFonts w:cs="Guttman Hodes"/>
        <w:sz w:val="14"/>
        <w:szCs w:val="14"/>
        <w:rtl/>
      </w:rPr>
    </w:pPr>
    <w:r>
      <w:rPr>
        <w:rFonts w:cs="Guttman Hodes"/>
        <w:sz w:val="14"/>
        <w:szCs w:val="14"/>
        <w:rtl/>
      </w:rPr>
      <w:t xml:space="preserve">סימן </w:t>
    </w:r>
    <w:r>
      <w:rPr>
        <w:rFonts w:cs="Guttman Hodes" w:hint="cs"/>
        <w:sz w:val="14"/>
        <w:szCs w:val="14"/>
        <w:rtl/>
      </w:rPr>
      <w:t xml:space="preserve">ב' </w:t>
    </w:r>
    <w:r w:rsidRPr="004C0081">
      <w:rPr>
        <w:rFonts w:cs="Guttman Hodes"/>
        <w:sz w:val="14"/>
        <w:szCs w:val="14"/>
        <w:rtl/>
      </w:rPr>
      <w:t>בפלוגתת רבנן ורבי ישמעאל ור"ע בחזקת ג"ש</w:t>
    </w:r>
  </w:p>
  <w:p w:rsidR="00265073" w:rsidRDefault="00265073" w:rsidP="00AB3447">
    <w:pPr>
      <w:pStyle w:val="a9"/>
      <w:ind w:left="0"/>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35A4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8E6754"/>
    <w:multiLevelType w:val="hybridMultilevel"/>
    <w:tmpl w:val="6F8237C8"/>
    <w:lvl w:ilvl="0" w:tplc="590CAB9E">
      <w:start w:val="1"/>
      <w:numFmt w:val="hebrew1"/>
      <w:pStyle w:val="a"/>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5763DF"/>
    <w:multiLevelType w:val="hybridMultilevel"/>
    <w:tmpl w:val="89284C10"/>
    <w:lvl w:ilvl="0" w:tplc="65F4B8FE">
      <w:start w:val="1"/>
      <w:numFmt w:val="hebrew1"/>
      <w:pStyle w:val="a0"/>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 w15:restartNumberingAfterBreak="0">
    <w:nsid w:val="5F4F2948"/>
    <w:multiLevelType w:val="hybridMultilevel"/>
    <w:tmpl w:val="BDC48624"/>
    <w:lvl w:ilvl="0" w:tplc="79C4BC42">
      <w:start w:val="1"/>
      <w:numFmt w:val="hebrew1"/>
      <w:pStyle w:val="a1"/>
      <w:suff w:val="space"/>
      <w:lvlText w:val="%1)"/>
      <w:lvlJc w:val="left"/>
      <w:pPr>
        <w:ind w:left="0" w:firstLine="0"/>
      </w:pPr>
      <w:rPr>
        <w:rFonts w:cs="Guttman Hodes"/>
        <w:b w:val="0"/>
        <w:bCs w:val="0"/>
        <w:sz w:val="16"/>
        <w:szCs w:val="18"/>
        <w:lang w:val="en-US"/>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lvlOverride w:ilvl="0">
      <w:startOverride w:val="1"/>
    </w:lvlOverride>
  </w:num>
  <w:num w:numId="5">
    <w:abstractNumId w:val="2"/>
    <w:lvlOverride w:ilvl="0">
      <w:startOverride w:val="1"/>
    </w:lvlOverride>
  </w:num>
  <w:num w:numId="6">
    <w:abstractNumId w:val="0"/>
  </w:num>
  <w:num w:numId="7">
    <w:abstractNumId w:val="1"/>
    <w:lvlOverride w:ilvl="0">
      <w:startOverride w:val="1"/>
    </w:lvlOverride>
  </w:num>
  <w:num w:numId="8">
    <w:abstractNumId w:val="2"/>
    <w:lvlOverride w:ilvl="0">
      <w:startOverride w:val="1"/>
    </w:lvlOverride>
  </w:num>
  <w:num w:numId="9">
    <w:abstractNumId w:val="1"/>
    <w:lvlOverride w:ilvl="0">
      <w:startOverride w:val="1"/>
    </w:lvlOverride>
  </w:num>
  <w:num w:numId="10">
    <w:abstractNumId w:val="2"/>
    <w:lvlOverride w:ilvl="0">
      <w:startOverride w:val="1"/>
    </w:lvlOverride>
  </w:num>
  <w:num w:numId="11">
    <w:abstractNumId w:val="1"/>
    <w:lvlOverride w:ilvl="0">
      <w:startOverride w:val="1"/>
    </w:lvlOverride>
  </w:num>
  <w:num w:numId="12">
    <w:abstractNumId w:val="2"/>
    <w:lvlOverride w:ilvl="0">
      <w:startOverride w:val="1"/>
    </w:lvlOverride>
  </w:num>
  <w:num w:numId="13">
    <w:abstractNumId w:val="1"/>
    <w:lvlOverride w:ilvl="0">
      <w:startOverride w:val="1"/>
    </w:lvlOverride>
  </w:num>
  <w:num w:numId="14">
    <w:abstractNumId w:val="2"/>
    <w:lvlOverride w:ilvl="0">
      <w:startOverride w:val="1"/>
    </w:lvlOverride>
  </w:num>
  <w:num w:numId="15">
    <w:abstractNumId w:val="1"/>
    <w:lvlOverride w:ilvl="0">
      <w:startOverride w:val="1"/>
    </w:lvlOverride>
  </w:num>
  <w:num w:numId="16">
    <w:abstractNumId w:val="2"/>
    <w:lvlOverride w:ilvl="0">
      <w:startOverride w:val="1"/>
    </w:lvlOverride>
  </w:num>
  <w:num w:numId="17">
    <w:abstractNumId w:val="1"/>
    <w:lvlOverride w:ilvl="0">
      <w:startOverride w:val="1"/>
    </w:lvlOverride>
  </w:num>
  <w:num w:numId="18">
    <w:abstractNumId w:val="2"/>
    <w:lvlOverride w:ilvl="0">
      <w:startOverride w:val="1"/>
    </w:lvlOverride>
  </w:num>
  <w:num w:numId="19">
    <w:abstractNumId w:val="1"/>
    <w:lvlOverride w:ilvl="0">
      <w:startOverride w:val="1"/>
    </w:lvlOverride>
  </w:num>
  <w:num w:numId="20">
    <w:abstractNumId w:val="2"/>
    <w:lvlOverride w:ilvl="0">
      <w:startOverride w:val="1"/>
    </w:lvlOverride>
  </w:num>
  <w:num w:numId="21">
    <w:abstractNumId w:val="1"/>
    <w:lvlOverride w:ilvl="0">
      <w:startOverride w:val="1"/>
    </w:lvlOverride>
  </w:num>
  <w:num w:numId="22">
    <w:abstractNumId w:val="2"/>
    <w:lvlOverride w:ilvl="0">
      <w:startOverride w:val="1"/>
    </w:lvlOverride>
  </w:num>
  <w:num w:numId="23">
    <w:abstractNumId w:val="1"/>
    <w:lvlOverride w:ilvl="0">
      <w:startOverride w:val="1"/>
    </w:lvlOverride>
  </w:num>
  <w:num w:numId="24">
    <w:abstractNumId w:val="2"/>
    <w:lvlOverride w:ilvl="0">
      <w:startOverride w:val="1"/>
    </w:lvlOverride>
  </w:num>
  <w:num w:numId="25">
    <w:abstractNumId w:val="1"/>
    <w:lvlOverride w:ilvl="0">
      <w:startOverride w:val="1"/>
    </w:lvlOverride>
  </w:num>
  <w:num w:numId="26">
    <w:abstractNumId w:val="2"/>
    <w:lvlOverride w:ilvl="0">
      <w:startOverride w:val="1"/>
    </w:lvlOverride>
  </w:num>
  <w:num w:numId="27">
    <w:abstractNumId w:val="1"/>
    <w:lvlOverride w:ilvl="0">
      <w:startOverride w:val="1"/>
    </w:lvlOverride>
  </w:num>
  <w:num w:numId="28">
    <w:abstractNumId w:val="2"/>
    <w:lvlOverride w:ilvl="0">
      <w:startOverride w:val="1"/>
    </w:lvlOverride>
  </w:num>
  <w:num w:numId="29">
    <w:abstractNumId w:val="1"/>
    <w:lvlOverride w:ilvl="0">
      <w:startOverride w:val="1"/>
    </w:lvlOverride>
  </w:num>
  <w:num w:numId="30">
    <w:abstractNumId w:val="2"/>
    <w:lvlOverride w:ilvl="0">
      <w:startOverride w:val="1"/>
    </w:lvlOverride>
  </w:num>
  <w:num w:numId="31">
    <w:abstractNumId w:val="1"/>
    <w:lvlOverride w:ilvl="0">
      <w:startOverride w:val="1"/>
    </w:lvlOverride>
  </w:num>
  <w:num w:numId="32">
    <w:abstractNumId w:val="2"/>
    <w:lvlOverride w:ilvl="0">
      <w:startOverride w:val="1"/>
    </w:lvlOverride>
  </w:num>
  <w:num w:numId="33">
    <w:abstractNumId w:val="1"/>
    <w:lvlOverride w:ilvl="0">
      <w:startOverride w:val="1"/>
    </w:lvlOverride>
  </w:num>
  <w:num w:numId="34">
    <w:abstractNumId w:val="2"/>
    <w:lvlOverride w:ilvl="0">
      <w:startOverride w:val="1"/>
    </w:lvlOverride>
  </w:num>
  <w:num w:numId="35">
    <w:abstractNumId w:val="1"/>
    <w:lvlOverride w:ilvl="0">
      <w:startOverride w:val="1"/>
    </w:lvlOverride>
  </w:num>
  <w:num w:numId="36">
    <w:abstractNumId w:val="2"/>
    <w:lvlOverride w:ilvl="0">
      <w:startOverride w:val="1"/>
    </w:lvlOverride>
  </w:num>
  <w:num w:numId="37">
    <w:abstractNumId w:val="1"/>
    <w:lvlOverride w:ilvl="0">
      <w:startOverride w:val="1"/>
    </w:lvlOverride>
  </w:num>
  <w:num w:numId="38">
    <w:abstractNumId w:val="2"/>
    <w:lvlOverride w:ilvl="0">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5"/>
  <w:embedSystemFonts/>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477"/>
    <w:rsid w:val="0000063D"/>
    <w:rsid w:val="000007F3"/>
    <w:rsid w:val="000011C5"/>
    <w:rsid w:val="000018B8"/>
    <w:rsid w:val="0000195E"/>
    <w:rsid w:val="000019F6"/>
    <w:rsid w:val="00001AEA"/>
    <w:rsid w:val="00001B54"/>
    <w:rsid w:val="00001BE6"/>
    <w:rsid w:val="00001F3B"/>
    <w:rsid w:val="0000238C"/>
    <w:rsid w:val="00002727"/>
    <w:rsid w:val="00002D86"/>
    <w:rsid w:val="00003212"/>
    <w:rsid w:val="00003284"/>
    <w:rsid w:val="000036C0"/>
    <w:rsid w:val="000039FE"/>
    <w:rsid w:val="00003A32"/>
    <w:rsid w:val="00003AE2"/>
    <w:rsid w:val="000040D7"/>
    <w:rsid w:val="00004C83"/>
    <w:rsid w:val="00004D84"/>
    <w:rsid w:val="00004E05"/>
    <w:rsid w:val="0000574C"/>
    <w:rsid w:val="00005CBB"/>
    <w:rsid w:val="00005F41"/>
    <w:rsid w:val="00006213"/>
    <w:rsid w:val="000063EE"/>
    <w:rsid w:val="000066BF"/>
    <w:rsid w:val="000066CF"/>
    <w:rsid w:val="0000676E"/>
    <w:rsid w:val="0000684C"/>
    <w:rsid w:val="00006980"/>
    <w:rsid w:val="00006C9D"/>
    <w:rsid w:val="00006CF7"/>
    <w:rsid w:val="00006FC7"/>
    <w:rsid w:val="0000700F"/>
    <w:rsid w:val="000072A5"/>
    <w:rsid w:val="000076F4"/>
    <w:rsid w:val="00007BF4"/>
    <w:rsid w:val="0001009A"/>
    <w:rsid w:val="000102E4"/>
    <w:rsid w:val="00010313"/>
    <w:rsid w:val="0001067D"/>
    <w:rsid w:val="000107DC"/>
    <w:rsid w:val="00010C96"/>
    <w:rsid w:val="0001100A"/>
    <w:rsid w:val="0001199C"/>
    <w:rsid w:val="000122BB"/>
    <w:rsid w:val="00012312"/>
    <w:rsid w:val="00012623"/>
    <w:rsid w:val="00012717"/>
    <w:rsid w:val="00012980"/>
    <w:rsid w:val="00012C0D"/>
    <w:rsid w:val="000130D1"/>
    <w:rsid w:val="0001389A"/>
    <w:rsid w:val="00013A06"/>
    <w:rsid w:val="00013A1F"/>
    <w:rsid w:val="00013BF5"/>
    <w:rsid w:val="00014148"/>
    <w:rsid w:val="00014461"/>
    <w:rsid w:val="00014489"/>
    <w:rsid w:val="000145F9"/>
    <w:rsid w:val="000148E0"/>
    <w:rsid w:val="00014A86"/>
    <w:rsid w:val="00014F1C"/>
    <w:rsid w:val="00015064"/>
    <w:rsid w:val="0001514D"/>
    <w:rsid w:val="0001525E"/>
    <w:rsid w:val="000155E8"/>
    <w:rsid w:val="00015728"/>
    <w:rsid w:val="000157C9"/>
    <w:rsid w:val="0001580B"/>
    <w:rsid w:val="0001596B"/>
    <w:rsid w:val="00015EFA"/>
    <w:rsid w:val="00015FCA"/>
    <w:rsid w:val="00016081"/>
    <w:rsid w:val="0001608C"/>
    <w:rsid w:val="00016194"/>
    <w:rsid w:val="00016816"/>
    <w:rsid w:val="00016819"/>
    <w:rsid w:val="000168F7"/>
    <w:rsid w:val="0001694D"/>
    <w:rsid w:val="00016E66"/>
    <w:rsid w:val="0001716B"/>
    <w:rsid w:val="00017270"/>
    <w:rsid w:val="00017723"/>
    <w:rsid w:val="0001775A"/>
    <w:rsid w:val="00017ADE"/>
    <w:rsid w:val="00017CAA"/>
    <w:rsid w:val="00017D85"/>
    <w:rsid w:val="00020427"/>
    <w:rsid w:val="000204E6"/>
    <w:rsid w:val="00020653"/>
    <w:rsid w:val="00020740"/>
    <w:rsid w:val="00020755"/>
    <w:rsid w:val="000208DD"/>
    <w:rsid w:val="00020C71"/>
    <w:rsid w:val="00021006"/>
    <w:rsid w:val="00021067"/>
    <w:rsid w:val="0002115B"/>
    <w:rsid w:val="00021389"/>
    <w:rsid w:val="0002167D"/>
    <w:rsid w:val="00021885"/>
    <w:rsid w:val="00021AD2"/>
    <w:rsid w:val="00021C03"/>
    <w:rsid w:val="00021C5E"/>
    <w:rsid w:val="00022299"/>
    <w:rsid w:val="000238C5"/>
    <w:rsid w:val="000239C5"/>
    <w:rsid w:val="00023A81"/>
    <w:rsid w:val="00023B18"/>
    <w:rsid w:val="00023C7A"/>
    <w:rsid w:val="00023D01"/>
    <w:rsid w:val="000241CE"/>
    <w:rsid w:val="00024338"/>
    <w:rsid w:val="000245BF"/>
    <w:rsid w:val="00024841"/>
    <w:rsid w:val="00024D06"/>
    <w:rsid w:val="0002513B"/>
    <w:rsid w:val="00025569"/>
    <w:rsid w:val="000257C7"/>
    <w:rsid w:val="000260E1"/>
    <w:rsid w:val="00026578"/>
    <w:rsid w:val="00026836"/>
    <w:rsid w:val="00026995"/>
    <w:rsid w:val="000269E9"/>
    <w:rsid w:val="00027451"/>
    <w:rsid w:val="000274B9"/>
    <w:rsid w:val="00027823"/>
    <w:rsid w:val="0002794C"/>
    <w:rsid w:val="00027E93"/>
    <w:rsid w:val="00027F26"/>
    <w:rsid w:val="0003012F"/>
    <w:rsid w:val="00030871"/>
    <w:rsid w:val="00031035"/>
    <w:rsid w:val="0003138F"/>
    <w:rsid w:val="0003160D"/>
    <w:rsid w:val="0003169A"/>
    <w:rsid w:val="000318E1"/>
    <w:rsid w:val="00031C60"/>
    <w:rsid w:val="00031D04"/>
    <w:rsid w:val="00031D51"/>
    <w:rsid w:val="0003224E"/>
    <w:rsid w:val="00032DBC"/>
    <w:rsid w:val="00032E9C"/>
    <w:rsid w:val="00033AC2"/>
    <w:rsid w:val="00033FA9"/>
    <w:rsid w:val="000343AC"/>
    <w:rsid w:val="000349F3"/>
    <w:rsid w:val="00034F66"/>
    <w:rsid w:val="0003548D"/>
    <w:rsid w:val="0003574B"/>
    <w:rsid w:val="00035C33"/>
    <w:rsid w:val="00036147"/>
    <w:rsid w:val="00036198"/>
    <w:rsid w:val="000363DA"/>
    <w:rsid w:val="000364B5"/>
    <w:rsid w:val="0003656A"/>
    <w:rsid w:val="00036901"/>
    <w:rsid w:val="00036BB9"/>
    <w:rsid w:val="00036C79"/>
    <w:rsid w:val="00036E7E"/>
    <w:rsid w:val="000371DC"/>
    <w:rsid w:val="0003725D"/>
    <w:rsid w:val="00037416"/>
    <w:rsid w:val="000379BE"/>
    <w:rsid w:val="000379DE"/>
    <w:rsid w:val="00037C0F"/>
    <w:rsid w:val="00040102"/>
    <w:rsid w:val="000403E0"/>
    <w:rsid w:val="00040497"/>
    <w:rsid w:val="00040515"/>
    <w:rsid w:val="00040698"/>
    <w:rsid w:val="000406B1"/>
    <w:rsid w:val="00040E78"/>
    <w:rsid w:val="000410CD"/>
    <w:rsid w:val="00041227"/>
    <w:rsid w:val="00041242"/>
    <w:rsid w:val="00041586"/>
    <w:rsid w:val="000415B8"/>
    <w:rsid w:val="00041D4D"/>
    <w:rsid w:val="000424D0"/>
    <w:rsid w:val="00042552"/>
    <w:rsid w:val="00042651"/>
    <w:rsid w:val="00042A46"/>
    <w:rsid w:val="00042C98"/>
    <w:rsid w:val="00042F32"/>
    <w:rsid w:val="00042F96"/>
    <w:rsid w:val="00043108"/>
    <w:rsid w:val="00043480"/>
    <w:rsid w:val="0004448C"/>
    <w:rsid w:val="000444B9"/>
    <w:rsid w:val="00044A09"/>
    <w:rsid w:val="00044DA6"/>
    <w:rsid w:val="000459F9"/>
    <w:rsid w:val="00046B90"/>
    <w:rsid w:val="00046F3A"/>
    <w:rsid w:val="000472D9"/>
    <w:rsid w:val="00047916"/>
    <w:rsid w:val="00047D1E"/>
    <w:rsid w:val="00050AC9"/>
    <w:rsid w:val="00050BC0"/>
    <w:rsid w:val="00050CA1"/>
    <w:rsid w:val="00051974"/>
    <w:rsid w:val="00051F7E"/>
    <w:rsid w:val="00052294"/>
    <w:rsid w:val="00052647"/>
    <w:rsid w:val="000527AE"/>
    <w:rsid w:val="000528DD"/>
    <w:rsid w:val="00052C5B"/>
    <w:rsid w:val="000535EB"/>
    <w:rsid w:val="0005366A"/>
    <w:rsid w:val="00053E95"/>
    <w:rsid w:val="0005421A"/>
    <w:rsid w:val="00054B37"/>
    <w:rsid w:val="00054C68"/>
    <w:rsid w:val="00054E71"/>
    <w:rsid w:val="0005527F"/>
    <w:rsid w:val="000554A3"/>
    <w:rsid w:val="00055B50"/>
    <w:rsid w:val="000560AA"/>
    <w:rsid w:val="000565E7"/>
    <w:rsid w:val="00056748"/>
    <w:rsid w:val="00056F76"/>
    <w:rsid w:val="000573B7"/>
    <w:rsid w:val="00057409"/>
    <w:rsid w:val="000578D6"/>
    <w:rsid w:val="00057B1D"/>
    <w:rsid w:val="00060219"/>
    <w:rsid w:val="0006069A"/>
    <w:rsid w:val="00061038"/>
    <w:rsid w:val="00061203"/>
    <w:rsid w:val="000613C3"/>
    <w:rsid w:val="00061429"/>
    <w:rsid w:val="00062219"/>
    <w:rsid w:val="000624B7"/>
    <w:rsid w:val="000624CF"/>
    <w:rsid w:val="00062A33"/>
    <w:rsid w:val="00062AD9"/>
    <w:rsid w:val="00062BB2"/>
    <w:rsid w:val="00062E39"/>
    <w:rsid w:val="000631FA"/>
    <w:rsid w:val="0006335F"/>
    <w:rsid w:val="00063411"/>
    <w:rsid w:val="00063492"/>
    <w:rsid w:val="0006388F"/>
    <w:rsid w:val="00063CC2"/>
    <w:rsid w:val="00063DE1"/>
    <w:rsid w:val="00063FD5"/>
    <w:rsid w:val="00064030"/>
    <w:rsid w:val="00064117"/>
    <w:rsid w:val="000641D5"/>
    <w:rsid w:val="00064A3B"/>
    <w:rsid w:val="00064C1D"/>
    <w:rsid w:val="00064C89"/>
    <w:rsid w:val="00064E15"/>
    <w:rsid w:val="00064FC9"/>
    <w:rsid w:val="0006518D"/>
    <w:rsid w:val="0006537B"/>
    <w:rsid w:val="00065828"/>
    <w:rsid w:val="0006583C"/>
    <w:rsid w:val="00065D58"/>
    <w:rsid w:val="00066C85"/>
    <w:rsid w:val="000677F8"/>
    <w:rsid w:val="00067D36"/>
    <w:rsid w:val="00067D9B"/>
    <w:rsid w:val="00067EC3"/>
    <w:rsid w:val="00070491"/>
    <w:rsid w:val="0007085E"/>
    <w:rsid w:val="000709E4"/>
    <w:rsid w:val="00070DAB"/>
    <w:rsid w:val="0007171D"/>
    <w:rsid w:val="00071E87"/>
    <w:rsid w:val="0007213D"/>
    <w:rsid w:val="00072959"/>
    <w:rsid w:val="000729FE"/>
    <w:rsid w:val="00072C37"/>
    <w:rsid w:val="00072DA9"/>
    <w:rsid w:val="00072F68"/>
    <w:rsid w:val="00073485"/>
    <w:rsid w:val="0007366C"/>
    <w:rsid w:val="00073C90"/>
    <w:rsid w:val="00074210"/>
    <w:rsid w:val="0007439F"/>
    <w:rsid w:val="00074918"/>
    <w:rsid w:val="000749A1"/>
    <w:rsid w:val="00074B41"/>
    <w:rsid w:val="00074F23"/>
    <w:rsid w:val="0007532A"/>
    <w:rsid w:val="00075ECC"/>
    <w:rsid w:val="00076010"/>
    <w:rsid w:val="00076370"/>
    <w:rsid w:val="00076833"/>
    <w:rsid w:val="00076B04"/>
    <w:rsid w:val="00076CF9"/>
    <w:rsid w:val="0007716F"/>
    <w:rsid w:val="00077721"/>
    <w:rsid w:val="00077A1A"/>
    <w:rsid w:val="00077F94"/>
    <w:rsid w:val="00080153"/>
    <w:rsid w:val="000802A0"/>
    <w:rsid w:val="00080545"/>
    <w:rsid w:val="00080882"/>
    <w:rsid w:val="00080AB7"/>
    <w:rsid w:val="00080B69"/>
    <w:rsid w:val="00080C61"/>
    <w:rsid w:val="00080D82"/>
    <w:rsid w:val="0008102D"/>
    <w:rsid w:val="000815A7"/>
    <w:rsid w:val="00081606"/>
    <w:rsid w:val="000816CA"/>
    <w:rsid w:val="000817ED"/>
    <w:rsid w:val="00081BF6"/>
    <w:rsid w:val="00081E45"/>
    <w:rsid w:val="000820B2"/>
    <w:rsid w:val="000822A3"/>
    <w:rsid w:val="00082A42"/>
    <w:rsid w:val="00083A73"/>
    <w:rsid w:val="000847B6"/>
    <w:rsid w:val="00084DCB"/>
    <w:rsid w:val="00084F4F"/>
    <w:rsid w:val="00085528"/>
    <w:rsid w:val="00085603"/>
    <w:rsid w:val="000857A1"/>
    <w:rsid w:val="00085A63"/>
    <w:rsid w:val="00085E02"/>
    <w:rsid w:val="00085E60"/>
    <w:rsid w:val="0008604D"/>
    <w:rsid w:val="000861DA"/>
    <w:rsid w:val="00086318"/>
    <w:rsid w:val="00086331"/>
    <w:rsid w:val="00086889"/>
    <w:rsid w:val="00086D50"/>
    <w:rsid w:val="0008707C"/>
    <w:rsid w:val="000874A3"/>
    <w:rsid w:val="00087787"/>
    <w:rsid w:val="0008796E"/>
    <w:rsid w:val="00087D85"/>
    <w:rsid w:val="00087ECC"/>
    <w:rsid w:val="000900FD"/>
    <w:rsid w:val="00090344"/>
    <w:rsid w:val="000903B3"/>
    <w:rsid w:val="000903C9"/>
    <w:rsid w:val="00090533"/>
    <w:rsid w:val="00090677"/>
    <w:rsid w:val="0009074B"/>
    <w:rsid w:val="00090806"/>
    <w:rsid w:val="00090A04"/>
    <w:rsid w:val="00090A86"/>
    <w:rsid w:val="00090AFD"/>
    <w:rsid w:val="00090F19"/>
    <w:rsid w:val="0009110D"/>
    <w:rsid w:val="000914F8"/>
    <w:rsid w:val="00091549"/>
    <w:rsid w:val="00091550"/>
    <w:rsid w:val="0009193D"/>
    <w:rsid w:val="00091D51"/>
    <w:rsid w:val="00091EBE"/>
    <w:rsid w:val="00092690"/>
    <w:rsid w:val="00092F26"/>
    <w:rsid w:val="0009302F"/>
    <w:rsid w:val="0009314A"/>
    <w:rsid w:val="000936DE"/>
    <w:rsid w:val="000937E4"/>
    <w:rsid w:val="00093F13"/>
    <w:rsid w:val="00093F94"/>
    <w:rsid w:val="00093FEC"/>
    <w:rsid w:val="00094339"/>
    <w:rsid w:val="00094946"/>
    <w:rsid w:val="000951E2"/>
    <w:rsid w:val="00096220"/>
    <w:rsid w:val="00096561"/>
    <w:rsid w:val="00096CC0"/>
    <w:rsid w:val="00096D5A"/>
    <w:rsid w:val="0009729B"/>
    <w:rsid w:val="00097360"/>
    <w:rsid w:val="000976AE"/>
    <w:rsid w:val="00097850"/>
    <w:rsid w:val="00097D47"/>
    <w:rsid w:val="00097D7A"/>
    <w:rsid w:val="000A0101"/>
    <w:rsid w:val="000A0657"/>
    <w:rsid w:val="000A06E2"/>
    <w:rsid w:val="000A0B6F"/>
    <w:rsid w:val="000A0CC5"/>
    <w:rsid w:val="000A0EA5"/>
    <w:rsid w:val="000A0FB0"/>
    <w:rsid w:val="000A1144"/>
    <w:rsid w:val="000A1477"/>
    <w:rsid w:val="000A1645"/>
    <w:rsid w:val="000A196F"/>
    <w:rsid w:val="000A1B20"/>
    <w:rsid w:val="000A200A"/>
    <w:rsid w:val="000A200F"/>
    <w:rsid w:val="000A21E2"/>
    <w:rsid w:val="000A2A27"/>
    <w:rsid w:val="000A2D6D"/>
    <w:rsid w:val="000A3287"/>
    <w:rsid w:val="000A39C4"/>
    <w:rsid w:val="000A39E3"/>
    <w:rsid w:val="000A3AAF"/>
    <w:rsid w:val="000A3F69"/>
    <w:rsid w:val="000A4558"/>
    <w:rsid w:val="000A46AF"/>
    <w:rsid w:val="000A46D0"/>
    <w:rsid w:val="000A4728"/>
    <w:rsid w:val="000A4B4B"/>
    <w:rsid w:val="000A4B8F"/>
    <w:rsid w:val="000A516A"/>
    <w:rsid w:val="000A5C64"/>
    <w:rsid w:val="000A61A2"/>
    <w:rsid w:val="000A66FC"/>
    <w:rsid w:val="000A6DFB"/>
    <w:rsid w:val="000A72F7"/>
    <w:rsid w:val="000A7357"/>
    <w:rsid w:val="000A791D"/>
    <w:rsid w:val="000A795C"/>
    <w:rsid w:val="000A79F2"/>
    <w:rsid w:val="000A7BD7"/>
    <w:rsid w:val="000B007B"/>
    <w:rsid w:val="000B00EB"/>
    <w:rsid w:val="000B0204"/>
    <w:rsid w:val="000B023C"/>
    <w:rsid w:val="000B0686"/>
    <w:rsid w:val="000B0C8E"/>
    <w:rsid w:val="000B0D3C"/>
    <w:rsid w:val="000B0DF4"/>
    <w:rsid w:val="000B14FC"/>
    <w:rsid w:val="000B1DA9"/>
    <w:rsid w:val="000B1EEC"/>
    <w:rsid w:val="000B2068"/>
    <w:rsid w:val="000B213F"/>
    <w:rsid w:val="000B2674"/>
    <w:rsid w:val="000B2769"/>
    <w:rsid w:val="000B27DE"/>
    <w:rsid w:val="000B2804"/>
    <w:rsid w:val="000B2BBA"/>
    <w:rsid w:val="000B2C3C"/>
    <w:rsid w:val="000B2C44"/>
    <w:rsid w:val="000B2F4C"/>
    <w:rsid w:val="000B31AA"/>
    <w:rsid w:val="000B328B"/>
    <w:rsid w:val="000B3440"/>
    <w:rsid w:val="000B3518"/>
    <w:rsid w:val="000B3690"/>
    <w:rsid w:val="000B3C5D"/>
    <w:rsid w:val="000B3E35"/>
    <w:rsid w:val="000B4794"/>
    <w:rsid w:val="000B4A24"/>
    <w:rsid w:val="000B4C22"/>
    <w:rsid w:val="000B4DCC"/>
    <w:rsid w:val="000B533C"/>
    <w:rsid w:val="000B5624"/>
    <w:rsid w:val="000B5774"/>
    <w:rsid w:val="000B57B2"/>
    <w:rsid w:val="000B5C14"/>
    <w:rsid w:val="000B5FB4"/>
    <w:rsid w:val="000B6603"/>
    <w:rsid w:val="000B6ACF"/>
    <w:rsid w:val="000B6F08"/>
    <w:rsid w:val="000B7089"/>
    <w:rsid w:val="000B7917"/>
    <w:rsid w:val="000B7D23"/>
    <w:rsid w:val="000B7EEE"/>
    <w:rsid w:val="000C06DA"/>
    <w:rsid w:val="000C09A5"/>
    <w:rsid w:val="000C0A9F"/>
    <w:rsid w:val="000C0DA4"/>
    <w:rsid w:val="000C0FB7"/>
    <w:rsid w:val="000C0FE5"/>
    <w:rsid w:val="000C13B7"/>
    <w:rsid w:val="000C14BD"/>
    <w:rsid w:val="000C190D"/>
    <w:rsid w:val="000C1B7D"/>
    <w:rsid w:val="000C1D74"/>
    <w:rsid w:val="000C1DE0"/>
    <w:rsid w:val="000C1F8B"/>
    <w:rsid w:val="000C1FA7"/>
    <w:rsid w:val="000C2021"/>
    <w:rsid w:val="000C216E"/>
    <w:rsid w:val="000C26BA"/>
    <w:rsid w:val="000C2B69"/>
    <w:rsid w:val="000C2CC6"/>
    <w:rsid w:val="000C2F88"/>
    <w:rsid w:val="000C31B4"/>
    <w:rsid w:val="000C3869"/>
    <w:rsid w:val="000C3B3B"/>
    <w:rsid w:val="000C3F88"/>
    <w:rsid w:val="000C475C"/>
    <w:rsid w:val="000C5019"/>
    <w:rsid w:val="000C5537"/>
    <w:rsid w:val="000C55B1"/>
    <w:rsid w:val="000C5F81"/>
    <w:rsid w:val="000C6078"/>
    <w:rsid w:val="000C63F8"/>
    <w:rsid w:val="000C652B"/>
    <w:rsid w:val="000C65E0"/>
    <w:rsid w:val="000C683F"/>
    <w:rsid w:val="000C6E0F"/>
    <w:rsid w:val="000C7116"/>
    <w:rsid w:val="000C71A5"/>
    <w:rsid w:val="000C78C5"/>
    <w:rsid w:val="000C79C3"/>
    <w:rsid w:val="000C7BD5"/>
    <w:rsid w:val="000C7CF5"/>
    <w:rsid w:val="000D020B"/>
    <w:rsid w:val="000D09DF"/>
    <w:rsid w:val="000D0BF6"/>
    <w:rsid w:val="000D0F7E"/>
    <w:rsid w:val="000D10F8"/>
    <w:rsid w:val="000D11F7"/>
    <w:rsid w:val="000D13EF"/>
    <w:rsid w:val="000D17D4"/>
    <w:rsid w:val="000D1B7A"/>
    <w:rsid w:val="000D1D1A"/>
    <w:rsid w:val="000D1EA6"/>
    <w:rsid w:val="000D228C"/>
    <w:rsid w:val="000D254A"/>
    <w:rsid w:val="000D2749"/>
    <w:rsid w:val="000D2781"/>
    <w:rsid w:val="000D2A8D"/>
    <w:rsid w:val="000D3249"/>
    <w:rsid w:val="000D354C"/>
    <w:rsid w:val="000D36B4"/>
    <w:rsid w:val="000D39E0"/>
    <w:rsid w:val="000D3B17"/>
    <w:rsid w:val="000D3F98"/>
    <w:rsid w:val="000D3FC1"/>
    <w:rsid w:val="000D402F"/>
    <w:rsid w:val="000D4154"/>
    <w:rsid w:val="000D473D"/>
    <w:rsid w:val="000D48E7"/>
    <w:rsid w:val="000D4A25"/>
    <w:rsid w:val="000D4A33"/>
    <w:rsid w:val="000D4C35"/>
    <w:rsid w:val="000D4D26"/>
    <w:rsid w:val="000D4FBB"/>
    <w:rsid w:val="000D51BE"/>
    <w:rsid w:val="000D5AD5"/>
    <w:rsid w:val="000D5EBE"/>
    <w:rsid w:val="000D5F94"/>
    <w:rsid w:val="000D695D"/>
    <w:rsid w:val="000D6BE1"/>
    <w:rsid w:val="000D6D83"/>
    <w:rsid w:val="000D6DC4"/>
    <w:rsid w:val="000D6DFF"/>
    <w:rsid w:val="000D6EF7"/>
    <w:rsid w:val="000D70DA"/>
    <w:rsid w:val="000D7F87"/>
    <w:rsid w:val="000D7FBA"/>
    <w:rsid w:val="000E0A4E"/>
    <w:rsid w:val="000E0E2A"/>
    <w:rsid w:val="000E17F6"/>
    <w:rsid w:val="000E1B62"/>
    <w:rsid w:val="000E1D8F"/>
    <w:rsid w:val="000E209B"/>
    <w:rsid w:val="000E25CD"/>
    <w:rsid w:val="000E2613"/>
    <w:rsid w:val="000E2F75"/>
    <w:rsid w:val="000E351F"/>
    <w:rsid w:val="000E3C6A"/>
    <w:rsid w:val="000E4041"/>
    <w:rsid w:val="000E43F7"/>
    <w:rsid w:val="000E4689"/>
    <w:rsid w:val="000E4862"/>
    <w:rsid w:val="000E4ACF"/>
    <w:rsid w:val="000E4B60"/>
    <w:rsid w:val="000E4FAD"/>
    <w:rsid w:val="000E5250"/>
    <w:rsid w:val="000E55AF"/>
    <w:rsid w:val="000E55D0"/>
    <w:rsid w:val="000E5B99"/>
    <w:rsid w:val="000E5DDB"/>
    <w:rsid w:val="000E5E3F"/>
    <w:rsid w:val="000E6309"/>
    <w:rsid w:val="000E6368"/>
    <w:rsid w:val="000E68A9"/>
    <w:rsid w:val="000E6909"/>
    <w:rsid w:val="000E6C87"/>
    <w:rsid w:val="000E6F12"/>
    <w:rsid w:val="000E6F91"/>
    <w:rsid w:val="000E7362"/>
    <w:rsid w:val="000E75A3"/>
    <w:rsid w:val="000E7AAA"/>
    <w:rsid w:val="000E7C5A"/>
    <w:rsid w:val="000F0070"/>
    <w:rsid w:val="000F0088"/>
    <w:rsid w:val="000F0650"/>
    <w:rsid w:val="000F071D"/>
    <w:rsid w:val="000F0F46"/>
    <w:rsid w:val="000F10FC"/>
    <w:rsid w:val="000F126A"/>
    <w:rsid w:val="000F148D"/>
    <w:rsid w:val="000F1531"/>
    <w:rsid w:val="000F1A1B"/>
    <w:rsid w:val="000F1BE6"/>
    <w:rsid w:val="000F1EA3"/>
    <w:rsid w:val="000F1F09"/>
    <w:rsid w:val="000F1FF0"/>
    <w:rsid w:val="000F211D"/>
    <w:rsid w:val="000F2179"/>
    <w:rsid w:val="000F26A2"/>
    <w:rsid w:val="000F27D4"/>
    <w:rsid w:val="000F29F0"/>
    <w:rsid w:val="000F2CB5"/>
    <w:rsid w:val="000F2E35"/>
    <w:rsid w:val="000F309E"/>
    <w:rsid w:val="000F3807"/>
    <w:rsid w:val="000F3C0B"/>
    <w:rsid w:val="000F456E"/>
    <w:rsid w:val="000F4A6B"/>
    <w:rsid w:val="000F4B79"/>
    <w:rsid w:val="000F4BC6"/>
    <w:rsid w:val="000F4C40"/>
    <w:rsid w:val="000F4F90"/>
    <w:rsid w:val="000F4FF6"/>
    <w:rsid w:val="000F5111"/>
    <w:rsid w:val="000F513E"/>
    <w:rsid w:val="000F524F"/>
    <w:rsid w:val="000F52DA"/>
    <w:rsid w:val="000F5507"/>
    <w:rsid w:val="000F5527"/>
    <w:rsid w:val="000F5561"/>
    <w:rsid w:val="000F57E0"/>
    <w:rsid w:val="000F5995"/>
    <w:rsid w:val="000F5B69"/>
    <w:rsid w:val="000F5D31"/>
    <w:rsid w:val="000F5F64"/>
    <w:rsid w:val="000F62B9"/>
    <w:rsid w:val="000F6721"/>
    <w:rsid w:val="000F692B"/>
    <w:rsid w:val="000F69BA"/>
    <w:rsid w:val="000F6C12"/>
    <w:rsid w:val="000F6C4D"/>
    <w:rsid w:val="000F6E00"/>
    <w:rsid w:val="000F6E8D"/>
    <w:rsid w:val="000F6FCB"/>
    <w:rsid w:val="000F715A"/>
    <w:rsid w:val="000F7326"/>
    <w:rsid w:val="000F76C8"/>
    <w:rsid w:val="000F771A"/>
    <w:rsid w:val="000F779D"/>
    <w:rsid w:val="000F77C3"/>
    <w:rsid w:val="000F7A5A"/>
    <w:rsid w:val="000F7F66"/>
    <w:rsid w:val="0010005C"/>
    <w:rsid w:val="00100206"/>
    <w:rsid w:val="001002D1"/>
    <w:rsid w:val="001004C7"/>
    <w:rsid w:val="001004EB"/>
    <w:rsid w:val="001007BE"/>
    <w:rsid w:val="00100AC5"/>
    <w:rsid w:val="00100B54"/>
    <w:rsid w:val="00100C0F"/>
    <w:rsid w:val="00100F21"/>
    <w:rsid w:val="00101C30"/>
    <w:rsid w:val="00101E1E"/>
    <w:rsid w:val="00102282"/>
    <w:rsid w:val="00102440"/>
    <w:rsid w:val="00102762"/>
    <w:rsid w:val="00102EE5"/>
    <w:rsid w:val="00102F91"/>
    <w:rsid w:val="00102FD8"/>
    <w:rsid w:val="001031F0"/>
    <w:rsid w:val="00103432"/>
    <w:rsid w:val="001037F7"/>
    <w:rsid w:val="00103C1B"/>
    <w:rsid w:val="00103EA6"/>
    <w:rsid w:val="00104562"/>
    <w:rsid w:val="0010544D"/>
    <w:rsid w:val="00105E7C"/>
    <w:rsid w:val="001065E3"/>
    <w:rsid w:val="001066AA"/>
    <w:rsid w:val="001066D3"/>
    <w:rsid w:val="0010694B"/>
    <w:rsid w:val="00106A46"/>
    <w:rsid w:val="00106D02"/>
    <w:rsid w:val="00106E6A"/>
    <w:rsid w:val="00107025"/>
    <w:rsid w:val="001071DE"/>
    <w:rsid w:val="00107348"/>
    <w:rsid w:val="001076E7"/>
    <w:rsid w:val="0010774B"/>
    <w:rsid w:val="00107A1D"/>
    <w:rsid w:val="00107A35"/>
    <w:rsid w:val="00107AE7"/>
    <w:rsid w:val="00107B84"/>
    <w:rsid w:val="0011009C"/>
    <w:rsid w:val="00110196"/>
    <w:rsid w:val="001101FD"/>
    <w:rsid w:val="0011031E"/>
    <w:rsid w:val="0011034C"/>
    <w:rsid w:val="00110883"/>
    <w:rsid w:val="00110C0D"/>
    <w:rsid w:val="0011100F"/>
    <w:rsid w:val="00111073"/>
    <w:rsid w:val="001112D4"/>
    <w:rsid w:val="0011166D"/>
    <w:rsid w:val="00111720"/>
    <w:rsid w:val="00111986"/>
    <w:rsid w:val="00111A2C"/>
    <w:rsid w:val="00111B82"/>
    <w:rsid w:val="00111C24"/>
    <w:rsid w:val="00111C83"/>
    <w:rsid w:val="001123B6"/>
    <w:rsid w:val="00112500"/>
    <w:rsid w:val="001125DD"/>
    <w:rsid w:val="001126B0"/>
    <w:rsid w:val="00112708"/>
    <w:rsid w:val="00112735"/>
    <w:rsid w:val="00112D71"/>
    <w:rsid w:val="00113476"/>
    <w:rsid w:val="001135EA"/>
    <w:rsid w:val="001137E7"/>
    <w:rsid w:val="001141DB"/>
    <w:rsid w:val="001142CA"/>
    <w:rsid w:val="00114379"/>
    <w:rsid w:val="001144E6"/>
    <w:rsid w:val="001146E5"/>
    <w:rsid w:val="001147C0"/>
    <w:rsid w:val="00114AE9"/>
    <w:rsid w:val="00115457"/>
    <w:rsid w:val="00115D00"/>
    <w:rsid w:val="001160D3"/>
    <w:rsid w:val="0011614A"/>
    <w:rsid w:val="0011626A"/>
    <w:rsid w:val="0011660F"/>
    <w:rsid w:val="00116787"/>
    <w:rsid w:val="00116A35"/>
    <w:rsid w:val="00116E46"/>
    <w:rsid w:val="00116F32"/>
    <w:rsid w:val="0011716D"/>
    <w:rsid w:val="00117BF9"/>
    <w:rsid w:val="00117C0A"/>
    <w:rsid w:val="00117D9A"/>
    <w:rsid w:val="001202A6"/>
    <w:rsid w:val="0012102B"/>
    <w:rsid w:val="001214A0"/>
    <w:rsid w:val="001214F8"/>
    <w:rsid w:val="001219E1"/>
    <w:rsid w:val="00121E2F"/>
    <w:rsid w:val="00122144"/>
    <w:rsid w:val="001227AF"/>
    <w:rsid w:val="00122846"/>
    <w:rsid w:val="00123995"/>
    <w:rsid w:val="00123EA5"/>
    <w:rsid w:val="0012408D"/>
    <w:rsid w:val="0012432E"/>
    <w:rsid w:val="00124643"/>
    <w:rsid w:val="00124C8A"/>
    <w:rsid w:val="00124E96"/>
    <w:rsid w:val="00125212"/>
    <w:rsid w:val="00125232"/>
    <w:rsid w:val="00125CA4"/>
    <w:rsid w:val="00125E54"/>
    <w:rsid w:val="001260FC"/>
    <w:rsid w:val="001261C5"/>
    <w:rsid w:val="0012625F"/>
    <w:rsid w:val="001269E9"/>
    <w:rsid w:val="00126CF0"/>
    <w:rsid w:val="00126FAF"/>
    <w:rsid w:val="0012751E"/>
    <w:rsid w:val="00127B1D"/>
    <w:rsid w:val="00127D37"/>
    <w:rsid w:val="00130614"/>
    <w:rsid w:val="001306E4"/>
    <w:rsid w:val="00130709"/>
    <w:rsid w:val="00130C72"/>
    <w:rsid w:val="0013101E"/>
    <w:rsid w:val="0013110A"/>
    <w:rsid w:val="001314CB"/>
    <w:rsid w:val="001315D7"/>
    <w:rsid w:val="00131D8B"/>
    <w:rsid w:val="00131E9E"/>
    <w:rsid w:val="00132381"/>
    <w:rsid w:val="00132603"/>
    <w:rsid w:val="00132E84"/>
    <w:rsid w:val="00132F86"/>
    <w:rsid w:val="0013320D"/>
    <w:rsid w:val="00133777"/>
    <w:rsid w:val="00133A9F"/>
    <w:rsid w:val="00133EB8"/>
    <w:rsid w:val="0013416B"/>
    <w:rsid w:val="00134404"/>
    <w:rsid w:val="0013463C"/>
    <w:rsid w:val="001346EC"/>
    <w:rsid w:val="001348A2"/>
    <w:rsid w:val="00135BD2"/>
    <w:rsid w:val="00135DD0"/>
    <w:rsid w:val="00136704"/>
    <w:rsid w:val="00136AE2"/>
    <w:rsid w:val="00136CC7"/>
    <w:rsid w:val="00136EDF"/>
    <w:rsid w:val="001371E3"/>
    <w:rsid w:val="001374DD"/>
    <w:rsid w:val="001378F0"/>
    <w:rsid w:val="001400F4"/>
    <w:rsid w:val="001404D8"/>
    <w:rsid w:val="001405C5"/>
    <w:rsid w:val="001408FB"/>
    <w:rsid w:val="0014091D"/>
    <w:rsid w:val="00140D98"/>
    <w:rsid w:val="001416EB"/>
    <w:rsid w:val="0014184A"/>
    <w:rsid w:val="00141BE5"/>
    <w:rsid w:val="00141D03"/>
    <w:rsid w:val="00141F33"/>
    <w:rsid w:val="001423C8"/>
    <w:rsid w:val="00142531"/>
    <w:rsid w:val="00142729"/>
    <w:rsid w:val="0014286A"/>
    <w:rsid w:val="001428A4"/>
    <w:rsid w:val="00142BD7"/>
    <w:rsid w:val="00142E8E"/>
    <w:rsid w:val="001431AE"/>
    <w:rsid w:val="001432FD"/>
    <w:rsid w:val="00143C1B"/>
    <w:rsid w:val="0014454F"/>
    <w:rsid w:val="001445DE"/>
    <w:rsid w:val="001446DD"/>
    <w:rsid w:val="001448BA"/>
    <w:rsid w:val="001451D5"/>
    <w:rsid w:val="0014552E"/>
    <w:rsid w:val="0014559F"/>
    <w:rsid w:val="00145DCD"/>
    <w:rsid w:val="00146201"/>
    <w:rsid w:val="00146C5E"/>
    <w:rsid w:val="00146C84"/>
    <w:rsid w:val="00146FA7"/>
    <w:rsid w:val="00147592"/>
    <w:rsid w:val="001476BA"/>
    <w:rsid w:val="00147B59"/>
    <w:rsid w:val="00150669"/>
    <w:rsid w:val="001508B3"/>
    <w:rsid w:val="0015096D"/>
    <w:rsid w:val="00150DBF"/>
    <w:rsid w:val="0015145D"/>
    <w:rsid w:val="00151631"/>
    <w:rsid w:val="001517A9"/>
    <w:rsid w:val="001526B6"/>
    <w:rsid w:val="0015283A"/>
    <w:rsid w:val="001528AA"/>
    <w:rsid w:val="00153269"/>
    <w:rsid w:val="001532C5"/>
    <w:rsid w:val="0015399C"/>
    <w:rsid w:val="00153F85"/>
    <w:rsid w:val="001542A8"/>
    <w:rsid w:val="001543A7"/>
    <w:rsid w:val="00154741"/>
    <w:rsid w:val="001547E2"/>
    <w:rsid w:val="00154E9E"/>
    <w:rsid w:val="0015545C"/>
    <w:rsid w:val="001554F5"/>
    <w:rsid w:val="001555B6"/>
    <w:rsid w:val="001559D7"/>
    <w:rsid w:val="00155CAA"/>
    <w:rsid w:val="00156166"/>
    <w:rsid w:val="001568A4"/>
    <w:rsid w:val="00156F6E"/>
    <w:rsid w:val="00157194"/>
    <w:rsid w:val="00157232"/>
    <w:rsid w:val="001577CA"/>
    <w:rsid w:val="001578DA"/>
    <w:rsid w:val="001578E3"/>
    <w:rsid w:val="0015799C"/>
    <w:rsid w:val="001579E5"/>
    <w:rsid w:val="00160026"/>
    <w:rsid w:val="00160212"/>
    <w:rsid w:val="00160223"/>
    <w:rsid w:val="001604FF"/>
    <w:rsid w:val="0016089F"/>
    <w:rsid w:val="00160E91"/>
    <w:rsid w:val="001610D1"/>
    <w:rsid w:val="00161186"/>
    <w:rsid w:val="001614DA"/>
    <w:rsid w:val="0016181B"/>
    <w:rsid w:val="00161A41"/>
    <w:rsid w:val="00161C8E"/>
    <w:rsid w:val="00161CB9"/>
    <w:rsid w:val="00162170"/>
    <w:rsid w:val="001624BC"/>
    <w:rsid w:val="001624E8"/>
    <w:rsid w:val="00162A29"/>
    <w:rsid w:val="00163B21"/>
    <w:rsid w:val="00163B47"/>
    <w:rsid w:val="00163B78"/>
    <w:rsid w:val="00163D6E"/>
    <w:rsid w:val="001641BC"/>
    <w:rsid w:val="00164225"/>
    <w:rsid w:val="00164B4C"/>
    <w:rsid w:val="00164B96"/>
    <w:rsid w:val="00164CB1"/>
    <w:rsid w:val="00164DFC"/>
    <w:rsid w:val="00165476"/>
    <w:rsid w:val="001655FB"/>
    <w:rsid w:val="001656D5"/>
    <w:rsid w:val="00165961"/>
    <w:rsid w:val="001659F0"/>
    <w:rsid w:val="00165A2E"/>
    <w:rsid w:val="00165B54"/>
    <w:rsid w:val="00165BC1"/>
    <w:rsid w:val="00166459"/>
    <w:rsid w:val="001665FB"/>
    <w:rsid w:val="001667F0"/>
    <w:rsid w:val="00167000"/>
    <w:rsid w:val="001671CC"/>
    <w:rsid w:val="0016726C"/>
    <w:rsid w:val="001673DD"/>
    <w:rsid w:val="00167869"/>
    <w:rsid w:val="00167A29"/>
    <w:rsid w:val="00167AE5"/>
    <w:rsid w:val="00167B20"/>
    <w:rsid w:val="00167D7D"/>
    <w:rsid w:val="00170060"/>
    <w:rsid w:val="00170652"/>
    <w:rsid w:val="0017093D"/>
    <w:rsid w:val="00170F3F"/>
    <w:rsid w:val="00171179"/>
    <w:rsid w:val="00171458"/>
    <w:rsid w:val="00171465"/>
    <w:rsid w:val="001714B8"/>
    <w:rsid w:val="0017159D"/>
    <w:rsid w:val="00171604"/>
    <w:rsid w:val="00171979"/>
    <w:rsid w:val="001719D4"/>
    <w:rsid w:val="00171F85"/>
    <w:rsid w:val="001720F9"/>
    <w:rsid w:val="001722EF"/>
    <w:rsid w:val="001725B5"/>
    <w:rsid w:val="001726C6"/>
    <w:rsid w:val="001728B1"/>
    <w:rsid w:val="00172DE2"/>
    <w:rsid w:val="00172E33"/>
    <w:rsid w:val="00172F33"/>
    <w:rsid w:val="0017329D"/>
    <w:rsid w:val="001736E0"/>
    <w:rsid w:val="0017387D"/>
    <w:rsid w:val="0017395A"/>
    <w:rsid w:val="0017400A"/>
    <w:rsid w:val="001741F8"/>
    <w:rsid w:val="001744A3"/>
    <w:rsid w:val="00174C62"/>
    <w:rsid w:val="00174E85"/>
    <w:rsid w:val="0017515C"/>
    <w:rsid w:val="00175746"/>
    <w:rsid w:val="00175758"/>
    <w:rsid w:val="0017598E"/>
    <w:rsid w:val="00175A83"/>
    <w:rsid w:val="00175D46"/>
    <w:rsid w:val="00175DF5"/>
    <w:rsid w:val="00176231"/>
    <w:rsid w:val="00176669"/>
    <w:rsid w:val="0017670B"/>
    <w:rsid w:val="00176853"/>
    <w:rsid w:val="00177028"/>
    <w:rsid w:val="00177043"/>
    <w:rsid w:val="001770EF"/>
    <w:rsid w:val="00177225"/>
    <w:rsid w:val="00177381"/>
    <w:rsid w:val="0017775A"/>
    <w:rsid w:val="001777CF"/>
    <w:rsid w:val="0017799F"/>
    <w:rsid w:val="00177C1A"/>
    <w:rsid w:val="00177FA7"/>
    <w:rsid w:val="001802EE"/>
    <w:rsid w:val="001806C8"/>
    <w:rsid w:val="001807D6"/>
    <w:rsid w:val="00181149"/>
    <w:rsid w:val="00181500"/>
    <w:rsid w:val="0018163E"/>
    <w:rsid w:val="00181681"/>
    <w:rsid w:val="001816FD"/>
    <w:rsid w:val="0018185D"/>
    <w:rsid w:val="00181994"/>
    <w:rsid w:val="00181D3E"/>
    <w:rsid w:val="00181E0D"/>
    <w:rsid w:val="00182191"/>
    <w:rsid w:val="001823E1"/>
    <w:rsid w:val="0018249C"/>
    <w:rsid w:val="00182590"/>
    <w:rsid w:val="00182632"/>
    <w:rsid w:val="0018294F"/>
    <w:rsid w:val="001829B1"/>
    <w:rsid w:val="00182C4D"/>
    <w:rsid w:val="001830B3"/>
    <w:rsid w:val="001832CC"/>
    <w:rsid w:val="001833BC"/>
    <w:rsid w:val="001835C0"/>
    <w:rsid w:val="00183CD2"/>
    <w:rsid w:val="00183DC3"/>
    <w:rsid w:val="0018414B"/>
    <w:rsid w:val="001843F3"/>
    <w:rsid w:val="00184781"/>
    <w:rsid w:val="001847AC"/>
    <w:rsid w:val="00184898"/>
    <w:rsid w:val="00184F44"/>
    <w:rsid w:val="00185041"/>
    <w:rsid w:val="001855F9"/>
    <w:rsid w:val="001858D2"/>
    <w:rsid w:val="001858EE"/>
    <w:rsid w:val="0018598C"/>
    <w:rsid w:val="001859E9"/>
    <w:rsid w:val="00185A40"/>
    <w:rsid w:val="00185DFB"/>
    <w:rsid w:val="00185F74"/>
    <w:rsid w:val="00185F99"/>
    <w:rsid w:val="00186468"/>
    <w:rsid w:val="00186AEB"/>
    <w:rsid w:val="00187234"/>
    <w:rsid w:val="001873E3"/>
    <w:rsid w:val="00187964"/>
    <w:rsid w:val="00187995"/>
    <w:rsid w:val="00187D25"/>
    <w:rsid w:val="00187DE6"/>
    <w:rsid w:val="001900E2"/>
    <w:rsid w:val="001903BC"/>
    <w:rsid w:val="0019053C"/>
    <w:rsid w:val="0019070E"/>
    <w:rsid w:val="001908AE"/>
    <w:rsid w:val="00190F59"/>
    <w:rsid w:val="00190F9B"/>
    <w:rsid w:val="001913A2"/>
    <w:rsid w:val="001916FF"/>
    <w:rsid w:val="00191986"/>
    <w:rsid w:val="00191F94"/>
    <w:rsid w:val="00192181"/>
    <w:rsid w:val="00192357"/>
    <w:rsid w:val="001930AD"/>
    <w:rsid w:val="0019319F"/>
    <w:rsid w:val="00193278"/>
    <w:rsid w:val="00193320"/>
    <w:rsid w:val="001934FA"/>
    <w:rsid w:val="0019366A"/>
    <w:rsid w:val="001936FC"/>
    <w:rsid w:val="00193811"/>
    <w:rsid w:val="001939BB"/>
    <w:rsid w:val="00193A69"/>
    <w:rsid w:val="00193E3D"/>
    <w:rsid w:val="0019409D"/>
    <w:rsid w:val="001944AF"/>
    <w:rsid w:val="00194530"/>
    <w:rsid w:val="00195055"/>
    <w:rsid w:val="001955A5"/>
    <w:rsid w:val="00195CB0"/>
    <w:rsid w:val="00195CD3"/>
    <w:rsid w:val="00195F2E"/>
    <w:rsid w:val="00195F3E"/>
    <w:rsid w:val="00196366"/>
    <w:rsid w:val="001965F2"/>
    <w:rsid w:val="00196612"/>
    <w:rsid w:val="00196A19"/>
    <w:rsid w:val="00196C31"/>
    <w:rsid w:val="00196C92"/>
    <w:rsid w:val="00196E52"/>
    <w:rsid w:val="00197E3D"/>
    <w:rsid w:val="00197F5A"/>
    <w:rsid w:val="001A02E0"/>
    <w:rsid w:val="001A0617"/>
    <w:rsid w:val="001A063F"/>
    <w:rsid w:val="001A0CB7"/>
    <w:rsid w:val="001A0EA7"/>
    <w:rsid w:val="001A0F96"/>
    <w:rsid w:val="001A114B"/>
    <w:rsid w:val="001A1250"/>
    <w:rsid w:val="001A1B32"/>
    <w:rsid w:val="001A25B1"/>
    <w:rsid w:val="001A2613"/>
    <w:rsid w:val="001A2622"/>
    <w:rsid w:val="001A27E5"/>
    <w:rsid w:val="001A282D"/>
    <w:rsid w:val="001A28CF"/>
    <w:rsid w:val="001A28D3"/>
    <w:rsid w:val="001A2BCE"/>
    <w:rsid w:val="001A3140"/>
    <w:rsid w:val="001A3329"/>
    <w:rsid w:val="001A35C6"/>
    <w:rsid w:val="001A4474"/>
    <w:rsid w:val="001A4B7E"/>
    <w:rsid w:val="001A5253"/>
    <w:rsid w:val="001A5285"/>
    <w:rsid w:val="001A5C64"/>
    <w:rsid w:val="001A60C5"/>
    <w:rsid w:val="001A60D3"/>
    <w:rsid w:val="001A6CA4"/>
    <w:rsid w:val="001A6CF4"/>
    <w:rsid w:val="001A6F9A"/>
    <w:rsid w:val="001A6FF5"/>
    <w:rsid w:val="001A7244"/>
    <w:rsid w:val="001A76E8"/>
    <w:rsid w:val="001A78F3"/>
    <w:rsid w:val="001B0012"/>
    <w:rsid w:val="001B0702"/>
    <w:rsid w:val="001B073E"/>
    <w:rsid w:val="001B0874"/>
    <w:rsid w:val="001B0B1F"/>
    <w:rsid w:val="001B0D1F"/>
    <w:rsid w:val="001B1189"/>
    <w:rsid w:val="001B1568"/>
    <w:rsid w:val="001B15B6"/>
    <w:rsid w:val="001B1802"/>
    <w:rsid w:val="001B1963"/>
    <w:rsid w:val="001B1F40"/>
    <w:rsid w:val="001B2012"/>
    <w:rsid w:val="001B2021"/>
    <w:rsid w:val="001B20DC"/>
    <w:rsid w:val="001B21C2"/>
    <w:rsid w:val="001B25A0"/>
    <w:rsid w:val="001B26C0"/>
    <w:rsid w:val="001B2AB8"/>
    <w:rsid w:val="001B2DFE"/>
    <w:rsid w:val="001B2FF9"/>
    <w:rsid w:val="001B32F0"/>
    <w:rsid w:val="001B35C4"/>
    <w:rsid w:val="001B365A"/>
    <w:rsid w:val="001B3693"/>
    <w:rsid w:val="001B3746"/>
    <w:rsid w:val="001B39E6"/>
    <w:rsid w:val="001B3A46"/>
    <w:rsid w:val="001B3BBD"/>
    <w:rsid w:val="001B3DDF"/>
    <w:rsid w:val="001B41C6"/>
    <w:rsid w:val="001B433D"/>
    <w:rsid w:val="001B4602"/>
    <w:rsid w:val="001B4A29"/>
    <w:rsid w:val="001B4AA1"/>
    <w:rsid w:val="001B4DA2"/>
    <w:rsid w:val="001B4E25"/>
    <w:rsid w:val="001B4E79"/>
    <w:rsid w:val="001B5579"/>
    <w:rsid w:val="001B639E"/>
    <w:rsid w:val="001B6519"/>
    <w:rsid w:val="001B695F"/>
    <w:rsid w:val="001B6E1E"/>
    <w:rsid w:val="001B72A8"/>
    <w:rsid w:val="001B77F7"/>
    <w:rsid w:val="001B78B5"/>
    <w:rsid w:val="001B7D1F"/>
    <w:rsid w:val="001C01C3"/>
    <w:rsid w:val="001C0FA9"/>
    <w:rsid w:val="001C152D"/>
    <w:rsid w:val="001C16F9"/>
    <w:rsid w:val="001C1F57"/>
    <w:rsid w:val="001C219D"/>
    <w:rsid w:val="001C24B8"/>
    <w:rsid w:val="001C27AA"/>
    <w:rsid w:val="001C2DEF"/>
    <w:rsid w:val="001C2F29"/>
    <w:rsid w:val="001C397C"/>
    <w:rsid w:val="001C3985"/>
    <w:rsid w:val="001C39BB"/>
    <w:rsid w:val="001C3D86"/>
    <w:rsid w:val="001C43A0"/>
    <w:rsid w:val="001C44BB"/>
    <w:rsid w:val="001C4A5E"/>
    <w:rsid w:val="001C4DFA"/>
    <w:rsid w:val="001C4F62"/>
    <w:rsid w:val="001C5212"/>
    <w:rsid w:val="001C52FF"/>
    <w:rsid w:val="001C5649"/>
    <w:rsid w:val="001C581D"/>
    <w:rsid w:val="001C606D"/>
    <w:rsid w:val="001C60DE"/>
    <w:rsid w:val="001C64D7"/>
    <w:rsid w:val="001C6692"/>
    <w:rsid w:val="001C66F9"/>
    <w:rsid w:val="001C6803"/>
    <w:rsid w:val="001C68BD"/>
    <w:rsid w:val="001C693C"/>
    <w:rsid w:val="001C6987"/>
    <w:rsid w:val="001C74C5"/>
    <w:rsid w:val="001C76F1"/>
    <w:rsid w:val="001C78B1"/>
    <w:rsid w:val="001C78B6"/>
    <w:rsid w:val="001C7CD0"/>
    <w:rsid w:val="001D066E"/>
    <w:rsid w:val="001D0758"/>
    <w:rsid w:val="001D0B55"/>
    <w:rsid w:val="001D0ECD"/>
    <w:rsid w:val="001D11AA"/>
    <w:rsid w:val="001D1201"/>
    <w:rsid w:val="001D3840"/>
    <w:rsid w:val="001D38B3"/>
    <w:rsid w:val="001D394C"/>
    <w:rsid w:val="001D3B8A"/>
    <w:rsid w:val="001D3ECA"/>
    <w:rsid w:val="001D404C"/>
    <w:rsid w:val="001D40DD"/>
    <w:rsid w:val="001D4316"/>
    <w:rsid w:val="001D431A"/>
    <w:rsid w:val="001D4AA9"/>
    <w:rsid w:val="001D4DAD"/>
    <w:rsid w:val="001D50BC"/>
    <w:rsid w:val="001D5300"/>
    <w:rsid w:val="001D5440"/>
    <w:rsid w:val="001D54F6"/>
    <w:rsid w:val="001D5BC1"/>
    <w:rsid w:val="001D5D29"/>
    <w:rsid w:val="001D5D64"/>
    <w:rsid w:val="001D7053"/>
    <w:rsid w:val="001D76AC"/>
    <w:rsid w:val="001D7715"/>
    <w:rsid w:val="001D7734"/>
    <w:rsid w:val="001D798E"/>
    <w:rsid w:val="001D7A7F"/>
    <w:rsid w:val="001D7D95"/>
    <w:rsid w:val="001D7EE4"/>
    <w:rsid w:val="001D7F91"/>
    <w:rsid w:val="001E0263"/>
    <w:rsid w:val="001E02C6"/>
    <w:rsid w:val="001E071E"/>
    <w:rsid w:val="001E0B33"/>
    <w:rsid w:val="001E0FD4"/>
    <w:rsid w:val="001E103D"/>
    <w:rsid w:val="001E11D7"/>
    <w:rsid w:val="001E1270"/>
    <w:rsid w:val="001E1654"/>
    <w:rsid w:val="001E170D"/>
    <w:rsid w:val="001E183F"/>
    <w:rsid w:val="001E1CBA"/>
    <w:rsid w:val="001E207A"/>
    <w:rsid w:val="001E2233"/>
    <w:rsid w:val="001E29E2"/>
    <w:rsid w:val="001E2CA6"/>
    <w:rsid w:val="001E329E"/>
    <w:rsid w:val="001E37FA"/>
    <w:rsid w:val="001E3B76"/>
    <w:rsid w:val="001E3E31"/>
    <w:rsid w:val="001E438D"/>
    <w:rsid w:val="001E43F1"/>
    <w:rsid w:val="001E490A"/>
    <w:rsid w:val="001E4A91"/>
    <w:rsid w:val="001E5583"/>
    <w:rsid w:val="001E59E0"/>
    <w:rsid w:val="001E5AAE"/>
    <w:rsid w:val="001E5D5C"/>
    <w:rsid w:val="001E648F"/>
    <w:rsid w:val="001E6563"/>
    <w:rsid w:val="001E6C15"/>
    <w:rsid w:val="001E6EAA"/>
    <w:rsid w:val="001E737B"/>
    <w:rsid w:val="001E7AC4"/>
    <w:rsid w:val="001E7B6D"/>
    <w:rsid w:val="001F0084"/>
    <w:rsid w:val="001F0ED9"/>
    <w:rsid w:val="001F0F18"/>
    <w:rsid w:val="001F0F39"/>
    <w:rsid w:val="001F0F5A"/>
    <w:rsid w:val="001F0FAC"/>
    <w:rsid w:val="001F1026"/>
    <w:rsid w:val="001F1426"/>
    <w:rsid w:val="001F14BC"/>
    <w:rsid w:val="001F15AC"/>
    <w:rsid w:val="001F1799"/>
    <w:rsid w:val="001F1AFA"/>
    <w:rsid w:val="001F1C60"/>
    <w:rsid w:val="001F1FC2"/>
    <w:rsid w:val="001F2096"/>
    <w:rsid w:val="001F20DC"/>
    <w:rsid w:val="001F21BE"/>
    <w:rsid w:val="001F2B83"/>
    <w:rsid w:val="001F2F7A"/>
    <w:rsid w:val="001F35EB"/>
    <w:rsid w:val="001F3977"/>
    <w:rsid w:val="001F3EE5"/>
    <w:rsid w:val="001F4078"/>
    <w:rsid w:val="001F43CF"/>
    <w:rsid w:val="001F450F"/>
    <w:rsid w:val="001F4795"/>
    <w:rsid w:val="001F499C"/>
    <w:rsid w:val="001F4AF0"/>
    <w:rsid w:val="001F4B93"/>
    <w:rsid w:val="001F4C02"/>
    <w:rsid w:val="001F536D"/>
    <w:rsid w:val="001F540B"/>
    <w:rsid w:val="001F5791"/>
    <w:rsid w:val="001F5988"/>
    <w:rsid w:val="001F5ED6"/>
    <w:rsid w:val="001F6001"/>
    <w:rsid w:val="001F62F4"/>
    <w:rsid w:val="001F6D0C"/>
    <w:rsid w:val="001F6D67"/>
    <w:rsid w:val="001F6DD8"/>
    <w:rsid w:val="001F6F76"/>
    <w:rsid w:val="001F759F"/>
    <w:rsid w:val="001F7600"/>
    <w:rsid w:val="001F7AF3"/>
    <w:rsid w:val="001F7EC7"/>
    <w:rsid w:val="001F7F8B"/>
    <w:rsid w:val="00200375"/>
    <w:rsid w:val="00200634"/>
    <w:rsid w:val="002008FE"/>
    <w:rsid w:val="00200A86"/>
    <w:rsid w:val="00200EDA"/>
    <w:rsid w:val="0020102B"/>
    <w:rsid w:val="002012C9"/>
    <w:rsid w:val="00201793"/>
    <w:rsid w:val="00201B64"/>
    <w:rsid w:val="00202063"/>
    <w:rsid w:val="0020213C"/>
    <w:rsid w:val="0020239E"/>
    <w:rsid w:val="002035C6"/>
    <w:rsid w:val="00203F5D"/>
    <w:rsid w:val="00204194"/>
    <w:rsid w:val="00204590"/>
    <w:rsid w:val="002045CC"/>
    <w:rsid w:val="00204A71"/>
    <w:rsid w:val="0020523C"/>
    <w:rsid w:val="0020536F"/>
    <w:rsid w:val="002057DE"/>
    <w:rsid w:val="00205B05"/>
    <w:rsid w:val="00205C9C"/>
    <w:rsid w:val="00205CB5"/>
    <w:rsid w:val="00205CD3"/>
    <w:rsid w:val="00206BE2"/>
    <w:rsid w:val="00206CF0"/>
    <w:rsid w:val="00206FF9"/>
    <w:rsid w:val="002070F7"/>
    <w:rsid w:val="0020743A"/>
    <w:rsid w:val="00207572"/>
    <w:rsid w:val="00207BCB"/>
    <w:rsid w:val="00207E09"/>
    <w:rsid w:val="00210031"/>
    <w:rsid w:val="0021006B"/>
    <w:rsid w:val="002104BC"/>
    <w:rsid w:val="00210595"/>
    <w:rsid w:val="0021075F"/>
    <w:rsid w:val="00210CDC"/>
    <w:rsid w:val="002111C5"/>
    <w:rsid w:val="00211B9F"/>
    <w:rsid w:val="00211DC6"/>
    <w:rsid w:val="00211F1B"/>
    <w:rsid w:val="00211FB7"/>
    <w:rsid w:val="00212093"/>
    <w:rsid w:val="00212370"/>
    <w:rsid w:val="002128B6"/>
    <w:rsid w:val="002128E9"/>
    <w:rsid w:val="0021309C"/>
    <w:rsid w:val="00213267"/>
    <w:rsid w:val="002136B0"/>
    <w:rsid w:val="00213F88"/>
    <w:rsid w:val="00214676"/>
    <w:rsid w:val="0021489F"/>
    <w:rsid w:val="002149EC"/>
    <w:rsid w:val="002152F0"/>
    <w:rsid w:val="002153DB"/>
    <w:rsid w:val="00215645"/>
    <w:rsid w:val="002157F7"/>
    <w:rsid w:val="00215D7D"/>
    <w:rsid w:val="00215F8E"/>
    <w:rsid w:val="0021619C"/>
    <w:rsid w:val="0021621F"/>
    <w:rsid w:val="002162AA"/>
    <w:rsid w:val="00216E0C"/>
    <w:rsid w:val="00216FBF"/>
    <w:rsid w:val="0021705C"/>
    <w:rsid w:val="002174C8"/>
    <w:rsid w:val="00217BA3"/>
    <w:rsid w:val="002200A7"/>
    <w:rsid w:val="002202F9"/>
    <w:rsid w:val="00220374"/>
    <w:rsid w:val="0022068B"/>
    <w:rsid w:val="00220730"/>
    <w:rsid w:val="002208A2"/>
    <w:rsid w:val="00220AD0"/>
    <w:rsid w:val="00220B78"/>
    <w:rsid w:val="00220E56"/>
    <w:rsid w:val="002213B8"/>
    <w:rsid w:val="0022146F"/>
    <w:rsid w:val="00221688"/>
    <w:rsid w:val="00221B1E"/>
    <w:rsid w:val="00221C96"/>
    <w:rsid w:val="00221CEA"/>
    <w:rsid w:val="00221D11"/>
    <w:rsid w:val="0022237B"/>
    <w:rsid w:val="00222385"/>
    <w:rsid w:val="00222619"/>
    <w:rsid w:val="00222B5B"/>
    <w:rsid w:val="00222CD7"/>
    <w:rsid w:val="00222D24"/>
    <w:rsid w:val="00223234"/>
    <w:rsid w:val="00223C08"/>
    <w:rsid w:val="00223DE6"/>
    <w:rsid w:val="00223E5C"/>
    <w:rsid w:val="002242A9"/>
    <w:rsid w:val="00224A65"/>
    <w:rsid w:val="00224EDD"/>
    <w:rsid w:val="00225A7F"/>
    <w:rsid w:val="00225DB0"/>
    <w:rsid w:val="00225E29"/>
    <w:rsid w:val="00226CA5"/>
    <w:rsid w:val="00227042"/>
    <w:rsid w:val="002270BD"/>
    <w:rsid w:val="00227397"/>
    <w:rsid w:val="00227526"/>
    <w:rsid w:val="0022755E"/>
    <w:rsid w:val="0022781A"/>
    <w:rsid w:val="00227BE4"/>
    <w:rsid w:val="00230DEB"/>
    <w:rsid w:val="00230E8D"/>
    <w:rsid w:val="002312C2"/>
    <w:rsid w:val="00231605"/>
    <w:rsid w:val="00231ABE"/>
    <w:rsid w:val="00231CC1"/>
    <w:rsid w:val="00232285"/>
    <w:rsid w:val="002326C3"/>
    <w:rsid w:val="00232995"/>
    <w:rsid w:val="00232BD1"/>
    <w:rsid w:val="00232FB6"/>
    <w:rsid w:val="00233341"/>
    <w:rsid w:val="00233471"/>
    <w:rsid w:val="00233507"/>
    <w:rsid w:val="002336C2"/>
    <w:rsid w:val="00233F6A"/>
    <w:rsid w:val="002343A3"/>
    <w:rsid w:val="00234440"/>
    <w:rsid w:val="002349C9"/>
    <w:rsid w:val="00234B3D"/>
    <w:rsid w:val="00234C06"/>
    <w:rsid w:val="00234E88"/>
    <w:rsid w:val="00235041"/>
    <w:rsid w:val="0023511E"/>
    <w:rsid w:val="00235151"/>
    <w:rsid w:val="002357BC"/>
    <w:rsid w:val="002358D6"/>
    <w:rsid w:val="00235953"/>
    <w:rsid w:val="00235C20"/>
    <w:rsid w:val="00235C6A"/>
    <w:rsid w:val="00235C71"/>
    <w:rsid w:val="00235DE4"/>
    <w:rsid w:val="00235F2D"/>
    <w:rsid w:val="00235FD2"/>
    <w:rsid w:val="002362D6"/>
    <w:rsid w:val="002363A0"/>
    <w:rsid w:val="00236734"/>
    <w:rsid w:val="0023696A"/>
    <w:rsid w:val="00236F2C"/>
    <w:rsid w:val="00237002"/>
    <w:rsid w:val="002373F4"/>
    <w:rsid w:val="002375E9"/>
    <w:rsid w:val="002377C2"/>
    <w:rsid w:val="00237AF3"/>
    <w:rsid w:val="00240071"/>
    <w:rsid w:val="00240500"/>
    <w:rsid w:val="00240E7A"/>
    <w:rsid w:val="00240EF7"/>
    <w:rsid w:val="00241071"/>
    <w:rsid w:val="002412F4"/>
    <w:rsid w:val="002413DC"/>
    <w:rsid w:val="00241C42"/>
    <w:rsid w:val="00241D05"/>
    <w:rsid w:val="002425C0"/>
    <w:rsid w:val="00242B14"/>
    <w:rsid w:val="00242D32"/>
    <w:rsid w:val="00242E7E"/>
    <w:rsid w:val="0024329A"/>
    <w:rsid w:val="002433E5"/>
    <w:rsid w:val="00243429"/>
    <w:rsid w:val="00243705"/>
    <w:rsid w:val="0024379C"/>
    <w:rsid w:val="00243B86"/>
    <w:rsid w:val="00244091"/>
    <w:rsid w:val="00244629"/>
    <w:rsid w:val="002448FA"/>
    <w:rsid w:val="00245308"/>
    <w:rsid w:val="002455AD"/>
    <w:rsid w:val="0024570C"/>
    <w:rsid w:val="0024599A"/>
    <w:rsid w:val="00245DA4"/>
    <w:rsid w:val="00245F38"/>
    <w:rsid w:val="00246256"/>
    <w:rsid w:val="002462BC"/>
    <w:rsid w:val="002466FB"/>
    <w:rsid w:val="00246976"/>
    <w:rsid w:val="00246D4D"/>
    <w:rsid w:val="00246F8C"/>
    <w:rsid w:val="00247692"/>
    <w:rsid w:val="0024781D"/>
    <w:rsid w:val="002479BF"/>
    <w:rsid w:val="00250993"/>
    <w:rsid w:val="00250D00"/>
    <w:rsid w:val="00250F9B"/>
    <w:rsid w:val="00251839"/>
    <w:rsid w:val="00251BA6"/>
    <w:rsid w:val="002521F5"/>
    <w:rsid w:val="00252279"/>
    <w:rsid w:val="002523F8"/>
    <w:rsid w:val="00252521"/>
    <w:rsid w:val="002528CF"/>
    <w:rsid w:val="00252928"/>
    <w:rsid w:val="00252B59"/>
    <w:rsid w:val="00252D7C"/>
    <w:rsid w:val="002530E8"/>
    <w:rsid w:val="00253A56"/>
    <w:rsid w:val="00253A7C"/>
    <w:rsid w:val="00253BEA"/>
    <w:rsid w:val="00254012"/>
    <w:rsid w:val="002541AD"/>
    <w:rsid w:val="00254EB4"/>
    <w:rsid w:val="00255165"/>
    <w:rsid w:val="002552E5"/>
    <w:rsid w:val="00256277"/>
    <w:rsid w:val="00256528"/>
    <w:rsid w:val="002569E3"/>
    <w:rsid w:val="00256F8B"/>
    <w:rsid w:val="002575E9"/>
    <w:rsid w:val="002576EC"/>
    <w:rsid w:val="00257892"/>
    <w:rsid w:val="00257A45"/>
    <w:rsid w:val="002600CB"/>
    <w:rsid w:val="00260416"/>
    <w:rsid w:val="00260492"/>
    <w:rsid w:val="002611E7"/>
    <w:rsid w:val="00261219"/>
    <w:rsid w:val="00261314"/>
    <w:rsid w:val="00261319"/>
    <w:rsid w:val="002613A5"/>
    <w:rsid w:val="0026179E"/>
    <w:rsid w:val="00261868"/>
    <w:rsid w:val="00261B64"/>
    <w:rsid w:val="00261C9D"/>
    <w:rsid w:val="0026210A"/>
    <w:rsid w:val="002626E2"/>
    <w:rsid w:val="00262AF1"/>
    <w:rsid w:val="00262FB8"/>
    <w:rsid w:val="00263181"/>
    <w:rsid w:val="00263332"/>
    <w:rsid w:val="002635D6"/>
    <w:rsid w:val="0026373D"/>
    <w:rsid w:val="0026389F"/>
    <w:rsid w:val="00263934"/>
    <w:rsid w:val="00263B34"/>
    <w:rsid w:val="00263FEA"/>
    <w:rsid w:val="00264131"/>
    <w:rsid w:val="002643E0"/>
    <w:rsid w:val="0026469F"/>
    <w:rsid w:val="00264827"/>
    <w:rsid w:val="00264DD9"/>
    <w:rsid w:val="00264F34"/>
    <w:rsid w:val="0026502E"/>
    <w:rsid w:val="00265073"/>
    <w:rsid w:val="00265093"/>
    <w:rsid w:val="002653F5"/>
    <w:rsid w:val="00265E11"/>
    <w:rsid w:val="0026613E"/>
    <w:rsid w:val="0026618C"/>
    <w:rsid w:val="002666BE"/>
    <w:rsid w:val="00267C97"/>
    <w:rsid w:val="00267F3B"/>
    <w:rsid w:val="00267FDB"/>
    <w:rsid w:val="002704FD"/>
    <w:rsid w:val="002705B9"/>
    <w:rsid w:val="002708A6"/>
    <w:rsid w:val="00270ACA"/>
    <w:rsid w:val="00270C8F"/>
    <w:rsid w:val="00270DBA"/>
    <w:rsid w:val="0027103C"/>
    <w:rsid w:val="00271723"/>
    <w:rsid w:val="00271813"/>
    <w:rsid w:val="00271AA6"/>
    <w:rsid w:val="002722A0"/>
    <w:rsid w:val="002723FA"/>
    <w:rsid w:val="00272555"/>
    <w:rsid w:val="0027269C"/>
    <w:rsid w:val="00272C24"/>
    <w:rsid w:val="0027306E"/>
    <w:rsid w:val="00273179"/>
    <w:rsid w:val="0027344B"/>
    <w:rsid w:val="00273573"/>
    <w:rsid w:val="00273619"/>
    <w:rsid w:val="0027388F"/>
    <w:rsid w:val="002739E8"/>
    <w:rsid w:val="00273D68"/>
    <w:rsid w:val="00273FB9"/>
    <w:rsid w:val="00274036"/>
    <w:rsid w:val="002740DE"/>
    <w:rsid w:val="0027419B"/>
    <w:rsid w:val="002742AC"/>
    <w:rsid w:val="002743CC"/>
    <w:rsid w:val="0027499F"/>
    <w:rsid w:val="002749E3"/>
    <w:rsid w:val="00274A61"/>
    <w:rsid w:val="00274A94"/>
    <w:rsid w:val="00274B96"/>
    <w:rsid w:val="00274EC6"/>
    <w:rsid w:val="00274FA6"/>
    <w:rsid w:val="00275182"/>
    <w:rsid w:val="00275544"/>
    <w:rsid w:val="002759E6"/>
    <w:rsid w:val="00275E34"/>
    <w:rsid w:val="00275E5B"/>
    <w:rsid w:val="00275E99"/>
    <w:rsid w:val="00275FED"/>
    <w:rsid w:val="00276421"/>
    <w:rsid w:val="0027698B"/>
    <w:rsid w:val="00276A23"/>
    <w:rsid w:val="002771CD"/>
    <w:rsid w:val="002772FD"/>
    <w:rsid w:val="00277CC2"/>
    <w:rsid w:val="00277D45"/>
    <w:rsid w:val="00277DBC"/>
    <w:rsid w:val="00280075"/>
    <w:rsid w:val="002800BD"/>
    <w:rsid w:val="0028032F"/>
    <w:rsid w:val="00280C51"/>
    <w:rsid w:val="00281CD6"/>
    <w:rsid w:val="00281DED"/>
    <w:rsid w:val="00282113"/>
    <w:rsid w:val="002823A9"/>
    <w:rsid w:val="002824E0"/>
    <w:rsid w:val="00282745"/>
    <w:rsid w:val="0028277A"/>
    <w:rsid w:val="00282AF2"/>
    <w:rsid w:val="00282EB0"/>
    <w:rsid w:val="00283934"/>
    <w:rsid w:val="00283A85"/>
    <w:rsid w:val="00283BD3"/>
    <w:rsid w:val="00283C76"/>
    <w:rsid w:val="00283CB0"/>
    <w:rsid w:val="00284673"/>
    <w:rsid w:val="0028491A"/>
    <w:rsid w:val="00284A00"/>
    <w:rsid w:val="00284ABB"/>
    <w:rsid w:val="00284DC4"/>
    <w:rsid w:val="0028514D"/>
    <w:rsid w:val="002852C1"/>
    <w:rsid w:val="0028556A"/>
    <w:rsid w:val="002857DD"/>
    <w:rsid w:val="002857F8"/>
    <w:rsid w:val="0028580B"/>
    <w:rsid w:val="00285833"/>
    <w:rsid w:val="00285979"/>
    <w:rsid w:val="002859B6"/>
    <w:rsid w:val="00285AA0"/>
    <w:rsid w:val="00285CBC"/>
    <w:rsid w:val="0028605B"/>
    <w:rsid w:val="0028652D"/>
    <w:rsid w:val="0028658F"/>
    <w:rsid w:val="0028692A"/>
    <w:rsid w:val="0028693C"/>
    <w:rsid w:val="00286A74"/>
    <w:rsid w:val="00286EE7"/>
    <w:rsid w:val="00286F7D"/>
    <w:rsid w:val="00286F8A"/>
    <w:rsid w:val="002873AB"/>
    <w:rsid w:val="00287A67"/>
    <w:rsid w:val="00287D16"/>
    <w:rsid w:val="00287D3D"/>
    <w:rsid w:val="0029001B"/>
    <w:rsid w:val="002901B7"/>
    <w:rsid w:val="00290383"/>
    <w:rsid w:val="00290AF6"/>
    <w:rsid w:val="00290E59"/>
    <w:rsid w:val="002911A8"/>
    <w:rsid w:val="002911AF"/>
    <w:rsid w:val="0029154B"/>
    <w:rsid w:val="00291FC0"/>
    <w:rsid w:val="00292159"/>
    <w:rsid w:val="00292165"/>
    <w:rsid w:val="002922A4"/>
    <w:rsid w:val="002923D7"/>
    <w:rsid w:val="002924A3"/>
    <w:rsid w:val="00292AF4"/>
    <w:rsid w:val="00292BC1"/>
    <w:rsid w:val="00292E21"/>
    <w:rsid w:val="0029306B"/>
    <w:rsid w:val="00293420"/>
    <w:rsid w:val="00293517"/>
    <w:rsid w:val="002939B0"/>
    <w:rsid w:val="002939D5"/>
    <w:rsid w:val="00293C20"/>
    <w:rsid w:val="00293C25"/>
    <w:rsid w:val="00293DBF"/>
    <w:rsid w:val="00293FD7"/>
    <w:rsid w:val="002940C9"/>
    <w:rsid w:val="00294E2E"/>
    <w:rsid w:val="002954DB"/>
    <w:rsid w:val="00295A57"/>
    <w:rsid w:val="00295AAB"/>
    <w:rsid w:val="00295D0A"/>
    <w:rsid w:val="00295E0D"/>
    <w:rsid w:val="00295E51"/>
    <w:rsid w:val="002963AA"/>
    <w:rsid w:val="002967AA"/>
    <w:rsid w:val="00296A8D"/>
    <w:rsid w:val="00296C15"/>
    <w:rsid w:val="00296E75"/>
    <w:rsid w:val="00296FBD"/>
    <w:rsid w:val="0029717C"/>
    <w:rsid w:val="002972C3"/>
    <w:rsid w:val="00297E11"/>
    <w:rsid w:val="00297E8A"/>
    <w:rsid w:val="002A05F5"/>
    <w:rsid w:val="002A06FA"/>
    <w:rsid w:val="002A0717"/>
    <w:rsid w:val="002A07DD"/>
    <w:rsid w:val="002A0B44"/>
    <w:rsid w:val="002A101F"/>
    <w:rsid w:val="002A1E75"/>
    <w:rsid w:val="002A1EF1"/>
    <w:rsid w:val="002A2026"/>
    <w:rsid w:val="002A241D"/>
    <w:rsid w:val="002A24E0"/>
    <w:rsid w:val="002A26A0"/>
    <w:rsid w:val="002A2C2B"/>
    <w:rsid w:val="002A2E7A"/>
    <w:rsid w:val="002A3029"/>
    <w:rsid w:val="002A3092"/>
    <w:rsid w:val="002A35C8"/>
    <w:rsid w:val="002A35E3"/>
    <w:rsid w:val="002A3FA2"/>
    <w:rsid w:val="002A4833"/>
    <w:rsid w:val="002A4BB7"/>
    <w:rsid w:val="002A587F"/>
    <w:rsid w:val="002A58B4"/>
    <w:rsid w:val="002A6306"/>
    <w:rsid w:val="002A6977"/>
    <w:rsid w:val="002A6C82"/>
    <w:rsid w:val="002A6D68"/>
    <w:rsid w:val="002A6D75"/>
    <w:rsid w:val="002A70A0"/>
    <w:rsid w:val="002A7224"/>
    <w:rsid w:val="002A7868"/>
    <w:rsid w:val="002A7979"/>
    <w:rsid w:val="002A7CD8"/>
    <w:rsid w:val="002B0082"/>
    <w:rsid w:val="002B0137"/>
    <w:rsid w:val="002B0BF6"/>
    <w:rsid w:val="002B11E1"/>
    <w:rsid w:val="002B1420"/>
    <w:rsid w:val="002B1597"/>
    <w:rsid w:val="002B1643"/>
    <w:rsid w:val="002B191E"/>
    <w:rsid w:val="002B22F6"/>
    <w:rsid w:val="002B2963"/>
    <w:rsid w:val="002B2CBE"/>
    <w:rsid w:val="002B30EF"/>
    <w:rsid w:val="002B3431"/>
    <w:rsid w:val="002B34C8"/>
    <w:rsid w:val="002B37BC"/>
    <w:rsid w:val="002B45A9"/>
    <w:rsid w:val="002B4702"/>
    <w:rsid w:val="002B4963"/>
    <w:rsid w:val="002B499B"/>
    <w:rsid w:val="002B4BEA"/>
    <w:rsid w:val="002B5324"/>
    <w:rsid w:val="002B58D1"/>
    <w:rsid w:val="002B629E"/>
    <w:rsid w:val="002B681F"/>
    <w:rsid w:val="002B68F5"/>
    <w:rsid w:val="002B69C4"/>
    <w:rsid w:val="002B6E1F"/>
    <w:rsid w:val="002B712D"/>
    <w:rsid w:val="002B7371"/>
    <w:rsid w:val="002B739B"/>
    <w:rsid w:val="002B78F1"/>
    <w:rsid w:val="002B7E50"/>
    <w:rsid w:val="002B7FB6"/>
    <w:rsid w:val="002C05F6"/>
    <w:rsid w:val="002C05FD"/>
    <w:rsid w:val="002C064B"/>
    <w:rsid w:val="002C0E85"/>
    <w:rsid w:val="002C1285"/>
    <w:rsid w:val="002C12BB"/>
    <w:rsid w:val="002C1871"/>
    <w:rsid w:val="002C1A57"/>
    <w:rsid w:val="002C1AB2"/>
    <w:rsid w:val="002C1C0F"/>
    <w:rsid w:val="002C1E34"/>
    <w:rsid w:val="002C1FBF"/>
    <w:rsid w:val="002C22BA"/>
    <w:rsid w:val="002C235A"/>
    <w:rsid w:val="002C25D4"/>
    <w:rsid w:val="002C2A0F"/>
    <w:rsid w:val="002C2AF7"/>
    <w:rsid w:val="002C3017"/>
    <w:rsid w:val="002C316B"/>
    <w:rsid w:val="002C31A4"/>
    <w:rsid w:val="002C33BB"/>
    <w:rsid w:val="002C3599"/>
    <w:rsid w:val="002C377D"/>
    <w:rsid w:val="002C3AC7"/>
    <w:rsid w:val="002C3E5B"/>
    <w:rsid w:val="002C3F43"/>
    <w:rsid w:val="002C3F5B"/>
    <w:rsid w:val="002C4AAD"/>
    <w:rsid w:val="002C4F3B"/>
    <w:rsid w:val="002C5783"/>
    <w:rsid w:val="002C58A7"/>
    <w:rsid w:val="002C5C9B"/>
    <w:rsid w:val="002C5F25"/>
    <w:rsid w:val="002C66E1"/>
    <w:rsid w:val="002C6983"/>
    <w:rsid w:val="002C6EB6"/>
    <w:rsid w:val="002C70D7"/>
    <w:rsid w:val="002C7119"/>
    <w:rsid w:val="002C72D7"/>
    <w:rsid w:val="002C7D1C"/>
    <w:rsid w:val="002D01ED"/>
    <w:rsid w:val="002D0219"/>
    <w:rsid w:val="002D06CD"/>
    <w:rsid w:val="002D093F"/>
    <w:rsid w:val="002D0F74"/>
    <w:rsid w:val="002D100F"/>
    <w:rsid w:val="002D11D7"/>
    <w:rsid w:val="002D126D"/>
    <w:rsid w:val="002D18A2"/>
    <w:rsid w:val="002D1C98"/>
    <w:rsid w:val="002D1CE5"/>
    <w:rsid w:val="002D1D73"/>
    <w:rsid w:val="002D1E59"/>
    <w:rsid w:val="002D1F28"/>
    <w:rsid w:val="002D1F2C"/>
    <w:rsid w:val="002D2147"/>
    <w:rsid w:val="002D21F3"/>
    <w:rsid w:val="002D2DBD"/>
    <w:rsid w:val="002D2E04"/>
    <w:rsid w:val="002D2E1F"/>
    <w:rsid w:val="002D2E5A"/>
    <w:rsid w:val="002D30BF"/>
    <w:rsid w:val="002D35FC"/>
    <w:rsid w:val="002D3906"/>
    <w:rsid w:val="002D3F85"/>
    <w:rsid w:val="002D4136"/>
    <w:rsid w:val="002D483F"/>
    <w:rsid w:val="002D49D5"/>
    <w:rsid w:val="002D5015"/>
    <w:rsid w:val="002D5064"/>
    <w:rsid w:val="002D5413"/>
    <w:rsid w:val="002D5506"/>
    <w:rsid w:val="002D558E"/>
    <w:rsid w:val="002D55F6"/>
    <w:rsid w:val="002D588A"/>
    <w:rsid w:val="002D58AE"/>
    <w:rsid w:val="002D5E77"/>
    <w:rsid w:val="002D5F56"/>
    <w:rsid w:val="002D6028"/>
    <w:rsid w:val="002D65FE"/>
    <w:rsid w:val="002D6792"/>
    <w:rsid w:val="002D6E9B"/>
    <w:rsid w:val="002D74C6"/>
    <w:rsid w:val="002E0025"/>
    <w:rsid w:val="002E03B8"/>
    <w:rsid w:val="002E0772"/>
    <w:rsid w:val="002E085F"/>
    <w:rsid w:val="002E0AB3"/>
    <w:rsid w:val="002E1134"/>
    <w:rsid w:val="002E14F3"/>
    <w:rsid w:val="002E1639"/>
    <w:rsid w:val="002E2321"/>
    <w:rsid w:val="002E299A"/>
    <w:rsid w:val="002E2A3E"/>
    <w:rsid w:val="002E31A3"/>
    <w:rsid w:val="002E324E"/>
    <w:rsid w:val="002E33D7"/>
    <w:rsid w:val="002E3498"/>
    <w:rsid w:val="002E4320"/>
    <w:rsid w:val="002E43EE"/>
    <w:rsid w:val="002E45B6"/>
    <w:rsid w:val="002E4634"/>
    <w:rsid w:val="002E4704"/>
    <w:rsid w:val="002E477D"/>
    <w:rsid w:val="002E4965"/>
    <w:rsid w:val="002E4BD9"/>
    <w:rsid w:val="002E4C14"/>
    <w:rsid w:val="002E5526"/>
    <w:rsid w:val="002E56EE"/>
    <w:rsid w:val="002E56FE"/>
    <w:rsid w:val="002E5ABA"/>
    <w:rsid w:val="002E5DF1"/>
    <w:rsid w:val="002E5EBA"/>
    <w:rsid w:val="002E6018"/>
    <w:rsid w:val="002E6045"/>
    <w:rsid w:val="002E64B7"/>
    <w:rsid w:val="002E650A"/>
    <w:rsid w:val="002E669F"/>
    <w:rsid w:val="002E6737"/>
    <w:rsid w:val="002E67BA"/>
    <w:rsid w:val="002E6940"/>
    <w:rsid w:val="002E698F"/>
    <w:rsid w:val="002E76A0"/>
    <w:rsid w:val="002E7868"/>
    <w:rsid w:val="002E7E42"/>
    <w:rsid w:val="002F0196"/>
    <w:rsid w:val="002F05CF"/>
    <w:rsid w:val="002F0E32"/>
    <w:rsid w:val="002F0F20"/>
    <w:rsid w:val="002F1170"/>
    <w:rsid w:val="002F18C4"/>
    <w:rsid w:val="002F1ECE"/>
    <w:rsid w:val="002F24E5"/>
    <w:rsid w:val="002F2E07"/>
    <w:rsid w:val="002F2EE1"/>
    <w:rsid w:val="002F31AF"/>
    <w:rsid w:val="002F31D0"/>
    <w:rsid w:val="002F32A8"/>
    <w:rsid w:val="002F35BE"/>
    <w:rsid w:val="002F38F0"/>
    <w:rsid w:val="002F4597"/>
    <w:rsid w:val="002F4D1D"/>
    <w:rsid w:val="002F5253"/>
    <w:rsid w:val="002F5387"/>
    <w:rsid w:val="002F5927"/>
    <w:rsid w:val="002F5988"/>
    <w:rsid w:val="002F5BEA"/>
    <w:rsid w:val="002F5D47"/>
    <w:rsid w:val="002F6AC6"/>
    <w:rsid w:val="002F6AE5"/>
    <w:rsid w:val="002F6B5E"/>
    <w:rsid w:val="002F6BB7"/>
    <w:rsid w:val="002F756C"/>
    <w:rsid w:val="002F75A2"/>
    <w:rsid w:val="002F783B"/>
    <w:rsid w:val="002F7B41"/>
    <w:rsid w:val="003000F9"/>
    <w:rsid w:val="00300982"/>
    <w:rsid w:val="00300FF8"/>
    <w:rsid w:val="003013FB"/>
    <w:rsid w:val="00301607"/>
    <w:rsid w:val="003018BA"/>
    <w:rsid w:val="00301948"/>
    <w:rsid w:val="00301CD9"/>
    <w:rsid w:val="0030221F"/>
    <w:rsid w:val="00302475"/>
    <w:rsid w:val="00302820"/>
    <w:rsid w:val="00302A4E"/>
    <w:rsid w:val="00302DCB"/>
    <w:rsid w:val="00303D54"/>
    <w:rsid w:val="00303F3F"/>
    <w:rsid w:val="00303FAF"/>
    <w:rsid w:val="0030405D"/>
    <w:rsid w:val="00304229"/>
    <w:rsid w:val="00304480"/>
    <w:rsid w:val="003047F8"/>
    <w:rsid w:val="00304D83"/>
    <w:rsid w:val="00304E25"/>
    <w:rsid w:val="00304E4C"/>
    <w:rsid w:val="003051B4"/>
    <w:rsid w:val="0030568E"/>
    <w:rsid w:val="003056B8"/>
    <w:rsid w:val="00305BDC"/>
    <w:rsid w:val="00305C4E"/>
    <w:rsid w:val="00305E07"/>
    <w:rsid w:val="00305FAF"/>
    <w:rsid w:val="00306775"/>
    <w:rsid w:val="00306AE0"/>
    <w:rsid w:val="0030772A"/>
    <w:rsid w:val="00307869"/>
    <w:rsid w:val="00307AE4"/>
    <w:rsid w:val="00307BA0"/>
    <w:rsid w:val="0031007E"/>
    <w:rsid w:val="00310155"/>
    <w:rsid w:val="00310162"/>
    <w:rsid w:val="00310260"/>
    <w:rsid w:val="003102A3"/>
    <w:rsid w:val="003102E1"/>
    <w:rsid w:val="003104A6"/>
    <w:rsid w:val="00310AF0"/>
    <w:rsid w:val="003116B0"/>
    <w:rsid w:val="00311AC5"/>
    <w:rsid w:val="00312063"/>
    <w:rsid w:val="0031291B"/>
    <w:rsid w:val="00312A30"/>
    <w:rsid w:val="00312D73"/>
    <w:rsid w:val="00312F24"/>
    <w:rsid w:val="0031334F"/>
    <w:rsid w:val="0031354E"/>
    <w:rsid w:val="00313605"/>
    <w:rsid w:val="00313B1B"/>
    <w:rsid w:val="00313B30"/>
    <w:rsid w:val="00313B5C"/>
    <w:rsid w:val="00313C3C"/>
    <w:rsid w:val="00313D8D"/>
    <w:rsid w:val="00314326"/>
    <w:rsid w:val="00314C1E"/>
    <w:rsid w:val="003150D4"/>
    <w:rsid w:val="003159E3"/>
    <w:rsid w:val="00315A16"/>
    <w:rsid w:val="00315BFC"/>
    <w:rsid w:val="00315CC1"/>
    <w:rsid w:val="00315D6C"/>
    <w:rsid w:val="00315D78"/>
    <w:rsid w:val="00315F15"/>
    <w:rsid w:val="00315F59"/>
    <w:rsid w:val="00316083"/>
    <w:rsid w:val="003162BD"/>
    <w:rsid w:val="0031644D"/>
    <w:rsid w:val="00316B36"/>
    <w:rsid w:val="00316D55"/>
    <w:rsid w:val="00316E87"/>
    <w:rsid w:val="00316EB2"/>
    <w:rsid w:val="00316EEB"/>
    <w:rsid w:val="00317159"/>
    <w:rsid w:val="00317301"/>
    <w:rsid w:val="003177B5"/>
    <w:rsid w:val="0031783D"/>
    <w:rsid w:val="00317A4B"/>
    <w:rsid w:val="00317ABB"/>
    <w:rsid w:val="00317C4D"/>
    <w:rsid w:val="00317C5F"/>
    <w:rsid w:val="00317CBF"/>
    <w:rsid w:val="00320C5C"/>
    <w:rsid w:val="00320D33"/>
    <w:rsid w:val="00320E1B"/>
    <w:rsid w:val="003210B0"/>
    <w:rsid w:val="00321346"/>
    <w:rsid w:val="00321CB4"/>
    <w:rsid w:val="00322110"/>
    <w:rsid w:val="00322369"/>
    <w:rsid w:val="00322579"/>
    <w:rsid w:val="0032261B"/>
    <w:rsid w:val="00322C70"/>
    <w:rsid w:val="003231FC"/>
    <w:rsid w:val="00323366"/>
    <w:rsid w:val="00323CF2"/>
    <w:rsid w:val="00323FDD"/>
    <w:rsid w:val="003244C4"/>
    <w:rsid w:val="0032455B"/>
    <w:rsid w:val="003246F9"/>
    <w:rsid w:val="0032478E"/>
    <w:rsid w:val="00324898"/>
    <w:rsid w:val="00325033"/>
    <w:rsid w:val="00325140"/>
    <w:rsid w:val="00325146"/>
    <w:rsid w:val="00325494"/>
    <w:rsid w:val="00325692"/>
    <w:rsid w:val="00325774"/>
    <w:rsid w:val="003259C7"/>
    <w:rsid w:val="00325C19"/>
    <w:rsid w:val="00325FBC"/>
    <w:rsid w:val="00326538"/>
    <w:rsid w:val="00326DCF"/>
    <w:rsid w:val="00327152"/>
    <w:rsid w:val="003272F4"/>
    <w:rsid w:val="003274AD"/>
    <w:rsid w:val="00327755"/>
    <w:rsid w:val="003277E7"/>
    <w:rsid w:val="003278CC"/>
    <w:rsid w:val="003278EF"/>
    <w:rsid w:val="00327952"/>
    <w:rsid w:val="00327A26"/>
    <w:rsid w:val="00327F3B"/>
    <w:rsid w:val="003300FB"/>
    <w:rsid w:val="0033073D"/>
    <w:rsid w:val="0033077D"/>
    <w:rsid w:val="00330895"/>
    <w:rsid w:val="0033093D"/>
    <w:rsid w:val="00330A8B"/>
    <w:rsid w:val="003313C9"/>
    <w:rsid w:val="00331447"/>
    <w:rsid w:val="0033153E"/>
    <w:rsid w:val="003316BE"/>
    <w:rsid w:val="00331805"/>
    <w:rsid w:val="0033190C"/>
    <w:rsid w:val="003323F7"/>
    <w:rsid w:val="00332EB4"/>
    <w:rsid w:val="0033339D"/>
    <w:rsid w:val="00333E32"/>
    <w:rsid w:val="00334344"/>
    <w:rsid w:val="00334449"/>
    <w:rsid w:val="003345CF"/>
    <w:rsid w:val="00334E47"/>
    <w:rsid w:val="003353EE"/>
    <w:rsid w:val="00335789"/>
    <w:rsid w:val="00336148"/>
    <w:rsid w:val="00336549"/>
    <w:rsid w:val="00336930"/>
    <w:rsid w:val="00336A83"/>
    <w:rsid w:val="00336DCD"/>
    <w:rsid w:val="003373F9"/>
    <w:rsid w:val="003374EB"/>
    <w:rsid w:val="00337BF0"/>
    <w:rsid w:val="00340183"/>
    <w:rsid w:val="0034052C"/>
    <w:rsid w:val="0034076A"/>
    <w:rsid w:val="0034090E"/>
    <w:rsid w:val="003409B3"/>
    <w:rsid w:val="00340BB1"/>
    <w:rsid w:val="00340FCB"/>
    <w:rsid w:val="00341147"/>
    <w:rsid w:val="003411FA"/>
    <w:rsid w:val="003418A8"/>
    <w:rsid w:val="00341D6F"/>
    <w:rsid w:val="003421FB"/>
    <w:rsid w:val="0034227B"/>
    <w:rsid w:val="00342404"/>
    <w:rsid w:val="003425DB"/>
    <w:rsid w:val="00342A2A"/>
    <w:rsid w:val="00342A46"/>
    <w:rsid w:val="00342A9C"/>
    <w:rsid w:val="003434BD"/>
    <w:rsid w:val="00343976"/>
    <w:rsid w:val="00343992"/>
    <w:rsid w:val="00343E6F"/>
    <w:rsid w:val="00344184"/>
    <w:rsid w:val="00344C7A"/>
    <w:rsid w:val="00344D02"/>
    <w:rsid w:val="00344E87"/>
    <w:rsid w:val="00344F1D"/>
    <w:rsid w:val="003452DD"/>
    <w:rsid w:val="003459E0"/>
    <w:rsid w:val="00345A36"/>
    <w:rsid w:val="00345AB6"/>
    <w:rsid w:val="00345C73"/>
    <w:rsid w:val="00346599"/>
    <w:rsid w:val="003468D9"/>
    <w:rsid w:val="00346AB5"/>
    <w:rsid w:val="00346F88"/>
    <w:rsid w:val="003479F7"/>
    <w:rsid w:val="00347D2E"/>
    <w:rsid w:val="00347F87"/>
    <w:rsid w:val="003503AA"/>
    <w:rsid w:val="00350EDE"/>
    <w:rsid w:val="0035137A"/>
    <w:rsid w:val="00351476"/>
    <w:rsid w:val="0035170F"/>
    <w:rsid w:val="00351AF4"/>
    <w:rsid w:val="00351B9E"/>
    <w:rsid w:val="00351D94"/>
    <w:rsid w:val="0035217A"/>
    <w:rsid w:val="00352532"/>
    <w:rsid w:val="003526C3"/>
    <w:rsid w:val="00352D24"/>
    <w:rsid w:val="00352DAC"/>
    <w:rsid w:val="00352DE9"/>
    <w:rsid w:val="003532DF"/>
    <w:rsid w:val="003532F2"/>
    <w:rsid w:val="0035357B"/>
    <w:rsid w:val="00353853"/>
    <w:rsid w:val="00353B11"/>
    <w:rsid w:val="00353B39"/>
    <w:rsid w:val="00354438"/>
    <w:rsid w:val="003548D4"/>
    <w:rsid w:val="003548F4"/>
    <w:rsid w:val="00354B25"/>
    <w:rsid w:val="00354D26"/>
    <w:rsid w:val="003553AB"/>
    <w:rsid w:val="00355B02"/>
    <w:rsid w:val="00355E2E"/>
    <w:rsid w:val="00356B65"/>
    <w:rsid w:val="00356BB5"/>
    <w:rsid w:val="00356E9A"/>
    <w:rsid w:val="003571A8"/>
    <w:rsid w:val="003573EB"/>
    <w:rsid w:val="00357920"/>
    <w:rsid w:val="0035792E"/>
    <w:rsid w:val="00357DEB"/>
    <w:rsid w:val="00357DF3"/>
    <w:rsid w:val="00357E3D"/>
    <w:rsid w:val="00357E56"/>
    <w:rsid w:val="00357E75"/>
    <w:rsid w:val="00357FA1"/>
    <w:rsid w:val="0036012C"/>
    <w:rsid w:val="00360206"/>
    <w:rsid w:val="00360663"/>
    <w:rsid w:val="0036096E"/>
    <w:rsid w:val="00360D69"/>
    <w:rsid w:val="00360DE3"/>
    <w:rsid w:val="00361133"/>
    <w:rsid w:val="00361165"/>
    <w:rsid w:val="003613FC"/>
    <w:rsid w:val="003617FF"/>
    <w:rsid w:val="003619F7"/>
    <w:rsid w:val="00361B2E"/>
    <w:rsid w:val="00361E28"/>
    <w:rsid w:val="003625FB"/>
    <w:rsid w:val="0036274A"/>
    <w:rsid w:val="00362B10"/>
    <w:rsid w:val="00363027"/>
    <w:rsid w:val="0036392A"/>
    <w:rsid w:val="00363B18"/>
    <w:rsid w:val="00363B95"/>
    <w:rsid w:val="00363D14"/>
    <w:rsid w:val="003640D2"/>
    <w:rsid w:val="00364137"/>
    <w:rsid w:val="00364351"/>
    <w:rsid w:val="00364BA9"/>
    <w:rsid w:val="00364E41"/>
    <w:rsid w:val="00365EDD"/>
    <w:rsid w:val="00365F06"/>
    <w:rsid w:val="00366038"/>
    <w:rsid w:val="0036604F"/>
    <w:rsid w:val="003664F3"/>
    <w:rsid w:val="00366A29"/>
    <w:rsid w:val="00366A9F"/>
    <w:rsid w:val="00366B33"/>
    <w:rsid w:val="00366B87"/>
    <w:rsid w:val="00366EF0"/>
    <w:rsid w:val="00367060"/>
    <w:rsid w:val="003670C6"/>
    <w:rsid w:val="00367AA3"/>
    <w:rsid w:val="00367F9F"/>
    <w:rsid w:val="00367FF7"/>
    <w:rsid w:val="003700AD"/>
    <w:rsid w:val="00370122"/>
    <w:rsid w:val="003702FC"/>
    <w:rsid w:val="003704A9"/>
    <w:rsid w:val="00370EC5"/>
    <w:rsid w:val="0037110F"/>
    <w:rsid w:val="00371152"/>
    <w:rsid w:val="00371877"/>
    <w:rsid w:val="0037189E"/>
    <w:rsid w:val="003718E5"/>
    <w:rsid w:val="0037215A"/>
    <w:rsid w:val="00372200"/>
    <w:rsid w:val="003723CE"/>
    <w:rsid w:val="00372680"/>
    <w:rsid w:val="003726BF"/>
    <w:rsid w:val="003726E9"/>
    <w:rsid w:val="0037285A"/>
    <w:rsid w:val="00372C99"/>
    <w:rsid w:val="00372F7F"/>
    <w:rsid w:val="003733C1"/>
    <w:rsid w:val="00373849"/>
    <w:rsid w:val="00373E42"/>
    <w:rsid w:val="00373E55"/>
    <w:rsid w:val="00373E77"/>
    <w:rsid w:val="00373EC9"/>
    <w:rsid w:val="00374002"/>
    <w:rsid w:val="0037418F"/>
    <w:rsid w:val="003741CF"/>
    <w:rsid w:val="003744FC"/>
    <w:rsid w:val="003748AA"/>
    <w:rsid w:val="00374DC1"/>
    <w:rsid w:val="0037515B"/>
    <w:rsid w:val="003753DC"/>
    <w:rsid w:val="0037548C"/>
    <w:rsid w:val="0037558D"/>
    <w:rsid w:val="00375C10"/>
    <w:rsid w:val="00375D1E"/>
    <w:rsid w:val="00375E11"/>
    <w:rsid w:val="00375EA8"/>
    <w:rsid w:val="00375EF6"/>
    <w:rsid w:val="0037606E"/>
    <w:rsid w:val="003764F6"/>
    <w:rsid w:val="00376687"/>
    <w:rsid w:val="00376F78"/>
    <w:rsid w:val="00377752"/>
    <w:rsid w:val="00377B1D"/>
    <w:rsid w:val="00377C82"/>
    <w:rsid w:val="00380361"/>
    <w:rsid w:val="0038037C"/>
    <w:rsid w:val="00380426"/>
    <w:rsid w:val="003809A0"/>
    <w:rsid w:val="00380C79"/>
    <w:rsid w:val="003813C8"/>
    <w:rsid w:val="0038191B"/>
    <w:rsid w:val="00381947"/>
    <w:rsid w:val="00381A70"/>
    <w:rsid w:val="00381D74"/>
    <w:rsid w:val="00381EA9"/>
    <w:rsid w:val="0038211E"/>
    <w:rsid w:val="00382501"/>
    <w:rsid w:val="003825ED"/>
    <w:rsid w:val="0038269F"/>
    <w:rsid w:val="003828FB"/>
    <w:rsid w:val="00382E74"/>
    <w:rsid w:val="00383961"/>
    <w:rsid w:val="00383B45"/>
    <w:rsid w:val="0038449D"/>
    <w:rsid w:val="00384583"/>
    <w:rsid w:val="00384745"/>
    <w:rsid w:val="00384970"/>
    <w:rsid w:val="003855E8"/>
    <w:rsid w:val="00385B1F"/>
    <w:rsid w:val="00385CEE"/>
    <w:rsid w:val="00385EFB"/>
    <w:rsid w:val="003860EA"/>
    <w:rsid w:val="00386469"/>
    <w:rsid w:val="00386512"/>
    <w:rsid w:val="00386538"/>
    <w:rsid w:val="003868E0"/>
    <w:rsid w:val="00386E5E"/>
    <w:rsid w:val="0038712E"/>
    <w:rsid w:val="00387661"/>
    <w:rsid w:val="003876FC"/>
    <w:rsid w:val="00387839"/>
    <w:rsid w:val="00387D31"/>
    <w:rsid w:val="00387F89"/>
    <w:rsid w:val="0039068F"/>
    <w:rsid w:val="00390882"/>
    <w:rsid w:val="00390A69"/>
    <w:rsid w:val="0039108D"/>
    <w:rsid w:val="003912EB"/>
    <w:rsid w:val="003916FA"/>
    <w:rsid w:val="00391FD5"/>
    <w:rsid w:val="00392134"/>
    <w:rsid w:val="0039296F"/>
    <w:rsid w:val="00392A77"/>
    <w:rsid w:val="00392F25"/>
    <w:rsid w:val="003937A7"/>
    <w:rsid w:val="00393BE2"/>
    <w:rsid w:val="00393EA3"/>
    <w:rsid w:val="003940DB"/>
    <w:rsid w:val="003945BB"/>
    <w:rsid w:val="00394690"/>
    <w:rsid w:val="00394870"/>
    <w:rsid w:val="003949FB"/>
    <w:rsid w:val="00394A02"/>
    <w:rsid w:val="00394A44"/>
    <w:rsid w:val="00394F94"/>
    <w:rsid w:val="00394FEC"/>
    <w:rsid w:val="00395F4F"/>
    <w:rsid w:val="0039632D"/>
    <w:rsid w:val="00396379"/>
    <w:rsid w:val="003968AD"/>
    <w:rsid w:val="00396B1E"/>
    <w:rsid w:val="00396FA4"/>
    <w:rsid w:val="00397393"/>
    <w:rsid w:val="00397520"/>
    <w:rsid w:val="003976C6"/>
    <w:rsid w:val="003977C3"/>
    <w:rsid w:val="00397A7C"/>
    <w:rsid w:val="00397FCB"/>
    <w:rsid w:val="003A00A5"/>
    <w:rsid w:val="003A03D1"/>
    <w:rsid w:val="003A04C3"/>
    <w:rsid w:val="003A0504"/>
    <w:rsid w:val="003A06D6"/>
    <w:rsid w:val="003A07D1"/>
    <w:rsid w:val="003A0ABE"/>
    <w:rsid w:val="003A0C9F"/>
    <w:rsid w:val="003A0F03"/>
    <w:rsid w:val="003A10CA"/>
    <w:rsid w:val="003A115E"/>
    <w:rsid w:val="003A163C"/>
    <w:rsid w:val="003A16AC"/>
    <w:rsid w:val="003A1877"/>
    <w:rsid w:val="003A1A39"/>
    <w:rsid w:val="003A2297"/>
    <w:rsid w:val="003A239A"/>
    <w:rsid w:val="003A254A"/>
    <w:rsid w:val="003A25B9"/>
    <w:rsid w:val="003A2969"/>
    <w:rsid w:val="003A2A3C"/>
    <w:rsid w:val="003A2EA2"/>
    <w:rsid w:val="003A32CB"/>
    <w:rsid w:val="003A384B"/>
    <w:rsid w:val="003A3E2B"/>
    <w:rsid w:val="003A3E58"/>
    <w:rsid w:val="003A4A8F"/>
    <w:rsid w:val="003A4C9D"/>
    <w:rsid w:val="003A4D0F"/>
    <w:rsid w:val="003A4E89"/>
    <w:rsid w:val="003A4F47"/>
    <w:rsid w:val="003A54C3"/>
    <w:rsid w:val="003A56C3"/>
    <w:rsid w:val="003A56DD"/>
    <w:rsid w:val="003A571C"/>
    <w:rsid w:val="003A580C"/>
    <w:rsid w:val="003A5B4F"/>
    <w:rsid w:val="003A5D5F"/>
    <w:rsid w:val="003A5E88"/>
    <w:rsid w:val="003A60AB"/>
    <w:rsid w:val="003A6737"/>
    <w:rsid w:val="003A6754"/>
    <w:rsid w:val="003A6A14"/>
    <w:rsid w:val="003A6D1D"/>
    <w:rsid w:val="003A702B"/>
    <w:rsid w:val="003A741E"/>
    <w:rsid w:val="003A74AD"/>
    <w:rsid w:val="003A7668"/>
    <w:rsid w:val="003A7968"/>
    <w:rsid w:val="003A7D7D"/>
    <w:rsid w:val="003A7DAC"/>
    <w:rsid w:val="003B05FC"/>
    <w:rsid w:val="003B08C5"/>
    <w:rsid w:val="003B0D0D"/>
    <w:rsid w:val="003B0F80"/>
    <w:rsid w:val="003B13AA"/>
    <w:rsid w:val="003B1456"/>
    <w:rsid w:val="003B1B13"/>
    <w:rsid w:val="003B20DB"/>
    <w:rsid w:val="003B217F"/>
    <w:rsid w:val="003B26BF"/>
    <w:rsid w:val="003B26CD"/>
    <w:rsid w:val="003B27E5"/>
    <w:rsid w:val="003B2AE9"/>
    <w:rsid w:val="003B2CA1"/>
    <w:rsid w:val="003B2E69"/>
    <w:rsid w:val="003B2E9D"/>
    <w:rsid w:val="003B3085"/>
    <w:rsid w:val="003B33CF"/>
    <w:rsid w:val="003B379C"/>
    <w:rsid w:val="003B3BB2"/>
    <w:rsid w:val="003B3C9F"/>
    <w:rsid w:val="003B3CD6"/>
    <w:rsid w:val="003B43E2"/>
    <w:rsid w:val="003B4601"/>
    <w:rsid w:val="003B46A1"/>
    <w:rsid w:val="003B4988"/>
    <w:rsid w:val="003B4E9D"/>
    <w:rsid w:val="003B5192"/>
    <w:rsid w:val="003B526E"/>
    <w:rsid w:val="003B5496"/>
    <w:rsid w:val="003B5708"/>
    <w:rsid w:val="003B5794"/>
    <w:rsid w:val="003B58D0"/>
    <w:rsid w:val="003B59ED"/>
    <w:rsid w:val="003B5B35"/>
    <w:rsid w:val="003B662E"/>
    <w:rsid w:val="003B66E0"/>
    <w:rsid w:val="003B6931"/>
    <w:rsid w:val="003B6979"/>
    <w:rsid w:val="003B6A0B"/>
    <w:rsid w:val="003B6ABA"/>
    <w:rsid w:val="003B6E0A"/>
    <w:rsid w:val="003B6F72"/>
    <w:rsid w:val="003B70B5"/>
    <w:rsid w:val="003B7304"/>
    <w:rsid w:val="003B7367"/>
    <w:rsid w:val="003B73CF"/>
    <w:rsid w:val="003B7457"/>
    <w:rsid w:val="003B75D6"/>
    <w:rsid w:val="003B7617"/>
    <w:rsid w:val="003B78A9"/>
    <w:rsid w:val="003C06A9"/>
    <w:rsid w:val="003C13CA"/>
    <w:rsid w:val="003C145A"/>
    <w:rsid w:val="003C173F"/>
    <w:rsid w:val="003C2031"/>
    <w:rsid w:val="003C2098"/>
    <w:rsid w:val="003C2902"/>
    <w:rsid w:val="003C2CD3"/>
    <w:rsid w:val="003C2E14"/>
    <w:rsid w:val="003C32B8"/>
    <w:rsid w:val="003C34F9"/>
    <w:rsid w:val="003C35FA"/>
    <w:rsid w:val="003C387A"/>
    <w:rsid w:val="003C395C"/>
    <w:rsid w:val="003C3B09"/>
    <w:rsid w:val="003C3C3C"/>
    <w:rsid w:val="003C3C98"/>
    <w:rsid w:val="003C3EEE"/>
    <w:rsid w:val="003C422C"/>
    <w:rsid w:val="003C4FB5"/>
    <w:rsid w:val="003C5151"/>
    <w:rsid w:val="003C5AFD"/>
    <w:rsid w:val="003C5BF8"/>
    <w:rsid w:val="003C5C3B"/>
    <w:rsid w:val="003C5CF9"/>
    <w:rsid w:val="003C62E1"/>
    <w:rsid w:val="003C676B"/>
    <w:rsid w:val="003C6ADF"/>
    <w:rsid w:val="003C70BB"/>
    <w:rsid w:val="003C7231"/>
    <w:rsid w:val="003C73D1"/>
    <w:rsid w:val="003C7782"/>
    <w:rsid w:val="003C7EF1"/>
    <w:rsid w:val="003D02E8"/>
    <w:rsid w:val="003D045E"/>
    <w:rsid w:val="003D0910"/>
    <w:rsid w:val="003D09D1"/>
    <w:rsid w:val="003D0A4E"/>
    <w:rsid w:val="003D0DD4"/>
    <w:rsid w:val="003D12DD"/>
    <w:rsid w:val="003D184C"/>
    <w:rsid w:val="003D19A9"/>
    <w:rsid w:val="003D1A58"/>
    <w:rsid w:val="003D1B51"/>
    <w:rsid w:val="003D1E73"/>
    <w:rsid w:val="003D2012"/>
    <w:rsid w:val="003D20BE"/>
    <w:rsid w:val="003D305E"/>
    <w:rsid w:val="003D32E7"/>
    <w:rsid w:val="003D34A7"/>
    <w:rsid w:val="003D37D5"/>
    <w:rsid w:val="003D37F9"/>
    <w:rsid w:val="003D3A0A"/>
    <w:rsid w:val="003D3BB6"/>
    <w:rsid w:val="003D3D8E"/>
    <w:rsid w:val="003D4320"/>
    <w:rsid w:val="003D4703"/>
    <w:rsid w:val="003D561F"/>
    <w:rsid w:val="003D585C"/>
    <w:rsid w:val="003D58ED"/>
    <w:rsid w:val="003D5A09"/>
    <w:rsid w:val="003D5BBB"/>
    <w:rsid w:val="003D5EFA"/>
    <w:rsid w:val="003D647F"/>
    <w:rsid w:val="003D65E4"/>
    <w:rsid w:val="003D667A"/>
    <w:rsid w:val="003D69E5"/>
    <w:rsid w:val="003D6CDE"/>
    <w:rsid w:val="003D6E1D"/>
    <w:rsid w:val="003D703C"/>
    <w:rsid w:val="003D74D3"/>
    <w:rsid w:val="003D77B1"/>
    <w:rsid w:val="003D78F7"/>
    <w:rsid w:val="003D7A3E"/>
    <w:rsid w:val="003D7ADE"/>
    <w:rsid w:val="003D7FE3"/>
    <w:rsid w:val="003E03DF"/>
    <w:rsid w:val="003E0693"/>
    <w:rsid w:val="003E0C06"/>
    <w:rsid w:val="003E0EC7"/>
    <w:rsid w:val="003E154D"/>
    <w:rsid w:val="003E16D2"/>
    <w:rsid w:val="003E1D14"/>
    <w:rsid w:val="003E1D8D"/>
    <w:rsid w:val="003E1DCE"/>
    <w:rsid w:val="003E2113"/>
    <w:rsid w:val="003E25CF"/>
    <w:rsid w:val="003E27A4"/>
    <w:rsid w:val="003E29D6"/>
    <w:rsid w:val="003E2C4B"/>
    <w:rsid w:val="003E33D8"/>
    <w:rsid w:val="003E3525"/>
    <w:rsid w:val="003E3C44"/>
    <w:rsid w:val="003E46C6"/>
    <w:rsid w:val="003E46EC"/>
    <w:rsid w:val="003E4839"/>
    <w:rsid w:val="003E487E"/>
    <w:rsid w:val="003E4C98"/>
    <w:rsid w:val="003E54F6"/>
    <w:rsid w:val="003E5845"/>
    <w:rsid w:val="003E5940"/>
    <w:rsid w:val="003E5BFC"/>
    <w:rsid w:val="003E613A"/>
    <w:rsid w:val="003E651A"/>
    <w:rsid w:val="003E667B"/>
    <w:rsid w:val="003E6EAE"/>
    <w:rsid w:val="003E6F3A"/>
    <w:rsid w:val="003E7153"/>
    <w:rsid w:val="003E7444"/>
    <w:rsid w:val="003E75F7"/>
    <w:rsid w:val="003E785A"/>
    <w:rsid w:val="003E7FF3"/>
    <w:rsid w:val="003F019E"/>
    <w:rsid w:val="003F02ED"/>
    <w:rsid w:val="003F0346"/>
    <w:rsid w:val="003F076C"/>
    <w:rsid w:val="003F08A6"/>
    <w:rsid w:val="003F0F25"/>
    <w:rsid w:val="003F1182"/>
    <w:rsid w:val="003F1223"/>
    <w:rsid w:val="003F12AF"/>
    <w:rsid w:val="003F138F"/>
    <w:rsid w:val="003F13E4"/>
    <w:rsid w:val="003F1BB0"/>
    <w:rsid w:val="003F1F72"/>
    <w:rsid w:val="003F21BD"/>
    <w:rsid w:val="003F237F"/>
    <w:rsid w:val="003F245D"/>
    <w:rsid w:val="003F2463"/>
    <w:rsid w:val="003F2A29"/>
    <w:rsid w:val="003F2BF4"/>
    <w:rsid w:val="003F3136"/>
    <w:rsid w:val="003F33FC"/>
    <w:rsid w:val="003F3A7A"/>
    <w:rsid w:val="003F3BD3"/>
    <w:rsid w:val="003F4266"/>
    <w:rsid w:val="003F4278"/>
    <w:rsid w:val="003F462D"/>
    <w:rsid w:val="003F46B2"/>
    <w:rsid w:val="003F46CE"/>
    <w:rsid w:val="003F48C6"/>
    <w:rsid w:val="003F49F7"/>
    <w:rsid w:val="003F4E94"/>
    <w:rsid w:val="003F5341"/>
    <w:rsid w:val="003F537C"/>
    <w:rsid w:val="003F5466"/>
    <w:rsid w:val="003F557F"/>
    <w:rsid w:val="003F5886"/>
    <w:rsid w:val="003F5B64"/>
    <w:rsid w:val="003F5DFF"/>
    <w:rsid w:val="003F64F2"/>
    <w:rsid w:val="003F66A1"/>
    <w:rsid w:val="003F6789"/>
    <w:rsid w:val="003F6AB9"/>
    <w:rsid w:val="003F6D97"/>
    <w:rsid w:val="003F6DBB"/>
    <w:rsid w:val="003F6E42"/>
    <w:rsid w:val="003F71BD"/>
    <w:rsid w:val="003F7469"/>
    <w:rsid w:val="003F74BA"/>
    <w:rsid w:val="003F7795"/>
    <w:rsid w:val="003F7A8C"/>
    <w:rsid w:val="00400678"/>
    <w:rsid w:val="00400903"/>
    <w:rsid w:val="00400AC3"/>
    <w:rsid w:val="00400B33"/>
    <w:rsid w:val="00400D16"/>
    <w:rsid w:val="004011C8"/>
    <w:rsid w:val="00401465"/>
    <w:rsid w:val="00401753"/>
    <w:rsid w:val="004019BD"/>
    <w:rsid w:val="00401ED7"/>
    <w:rsid w:val="004020A1"/>
    <w:rsid w:val="00402769"/>
    <w:rsid w:val="00402980"/>
    <w:rsid w:val="00402BED"/>
    <w:rsid w:val="00402C09"/>
    <w:rsid w:val="00402C17"/>
    <w:rsid w:val="00402D53"/>
    <w:rsid w:val="00402E00"/>
    <w:rsid w:val="00403719"/>
    <w:rsid w:val="004040D2"/>
    <w:rsid w:val="0040434E"/>
    <w:rsid w:val="004045B6"/>
    <w:rsid w:val="004046B9"/>
    <w:rsid w:val="004046E3"/>
    <w:rsid w:val="00404794"/>
    <w:rsid w:val="00404F4E"/>
    <w:rsid w:val="0040520D"/>
    <w:rsid w:val="00405388"/>
    <w:rsid w:val="00405531"/>
    <w:rsid w:val="00405760"/>
    <w:rsid w:val="004059D9"/>
    <w:rsid w:val="00405CD8"/>
    <w:rsid w:val="00405E1E"/>
    <w:rsid w:val="00405EFC"/>
    <w:rsid w:val="00406A12"/>
    <w:rsid w:val="00406FA8"/>
    <w:rsid w:val="00407297"/>
    <w:rsid w:val="00407592"/>
    <w:rsid w:val="004077C7"/>
    <w:rsid w:val="004100B8"/>
    <w:rsid w:val="0041058C"/>
    <w:rsid w:val="00410CE7"/>
    <w:rsid w:val="00411275"/>
    <w:rsid w:val="004112EC"/>
    <w:rsid w:val="00411A39"/>
    <w:rsid w:val="00411B2B"/>
    <w:rsid w:val="00411E2A"/>
    <w:rsid w:val="0041211B"/>
    <w:rsid w:val="004124AC"/>
    <w:rsid w:val="004125E1"/>
    <w:rsid w:val="00412886"/>
    <w:rsid w:val="00412C80"/>
    <w:rsid w:val="00412D5C"/>
    <w:rsid w:val="00413150"/>
    <w:rsid w:val="00413305"/>
    <w:rsid w:val="00413442"/>
    <w:rsid w:val="00413514"/>
    <w:rsid w:val="004135A9"/>
    <w:rsid w:val="004137EE"/>
    <w:rsid w:val="0041388D"/>
    <w:rsid w:val="00413AAA"/>
    <w:rsid w:val="00413B20"/>
    <w:rsid w:val="00413BD2"/>
    <w:rsid w:val="00413E39"/>
    <w:rsid w:val="00414896"/>
    <w:rsid w:val="00414BD1"/>
    <w:rsid w:val="00414DC8"/>
    <w:rsid w:val="00414F83"/>
    <w:rsid w:val="004151F8"/>
    <w:rsid w:val="004151F9"/>
    <w:rsid w:val="00415386"/>
    <w:rsid w:val="004153DD"/>
    <w:rsid w:val="004159FC"/>
    <w:rsid w:val="00415A45"/>
    <w:rsid w:val="00415A6F"/>
    <w:rsid w:val="00415BD7"/>
    <w:rsid w:val="00415FF9"/>
    <w:rsid w:val="00416436"/>
    <w:rsid w:val="004165C7"/>
    <w:rsid w:val="004166E4"/>
    <w:rsid w:val="0041679D"/>
    <w:rsid w:val="00416BE2"/>
    <w:rsid w:val="00416F76"/>
    <w:rsid w:val="0041728D"/>
    <w:rsid w:val="004172DF"/>
    <w:rsid w:val="0041750B"/>
    <w:rsid w:val="004175A2"/>
    <w:rsid w:val="00417646"/>
    <w:rsid w:val="0041783E"/>
    <w:rsid w:val="00417B72"/>
    <w:rsid w:val="00417CDC"/>
    <w:rsid w:val="00417FA9"/>
    <w:rsid w:val="00420048"/>
    <w:rsid w:val="004201D7"/>
    <w:rsid w:val="004204BB"/>
    <w:rsid w:val="0042060B"/>
    <w:rsid w:val="004207BE"/>
    <w:rsid w:val="0042086C"/>
    <w:rsid w:val="0042095B"/>
    <w:rsid w:val="00420979"/>
    <w:rsid w:val="00420EB2"/>
    <w:rsid w:val="00421059"/>
    <w:rsid w:val="004213EC"/>
    <w:rsid w:val="0042164B"/>
    <w:rsid w:val="004217D6"/>
    <w:rsid w:val="00421D91"/>
    <w:rsid w:val="00421FE3"/>
    <w:rsid w:val="00422017"/>
    <w:rsid w:val="00422391"/>
    <w:rsid w:val="004225EE"/>
    <w:rsid w:val="004228F9"/>
    <w:rsid w:val="00422ED5"/>
    <w:rsid w:val="00423220"/>
    <w:rsid w:val="004232BE"/>
    <w:rsid w:val="00423676"/>
    <w:rsid w:val="0042369C"/>
    <w:rsid w:val="00423D28"/>
    <w:rsid w:val="0042419F"/>
    <w:rsid w:val="00424248"/>
    <w:rsid w:val="004244B0"/>
    <w:rsid w:val="004244D1"/>
    <w:rsid w:val="00424A8F"/>
    <w:rsid w:val="00424AD2"/>
    <w:rsid w:val="00424BDC"/>
    <w:rsid w:val="00424DEA"/>
    <w:rsid w:val="00425051"/>
    <w:rsid w:val="00425377"/>
    <w:rsid w:val="004256DF"/>
    <w:rsid w:val="0042581E"/>
    <w:rsid w:val="00425CFB"/>
    <w:rsid w:val="004261CF"/>
    <w:rsid w:val="00426725"/>
    <w:rsid w:val="00427478"/>
    <w:rsid w:val="00427749"/>
    <w:rsid w:val="0042775F"/>
    <w:rsid w:val="00427E61"/>
    <w:rsid w:val="00427FFB"/>
    <w:rsid w:val="00430107"/>
    <w:rsid w:val="004303A9"/>
    <w:rsid w:val="004307C4"/>
    <w:rsid w:val="00430F44"/>
    <w:rsid w:val="00431CB0"/>
    <w:rsid w:val="00431D9C"/>
    <w:rsid w:val="0043254B"/>
    <w:rsid w:val="0043289C"/>
    <w:rsid w:val="004328BD"/>
    <w:rsid w:val="00432E57"/>
    <w:rsid w:val="00433094"/>
    <w:rsid w:val="004339BB"/>
    <w:rsid w:val="00433A97"/>
    <w:rsid w:val="00434458"/>
    <w:rsid w:val="0043447A"/>
    <w:rsid w:val="00434586"/>
    <w:rsid w:val="004345AF"/>
    <w:rsid w:val="004345DF"/>
    <w:rsid w:val="004347BD"/>
    <w:rsid w:val="00434836"/>
    <w:rsid w:val="00434CFA"/>
    <w:rsid w:val="00435029"/>
    <w:rsid w:val="00435162"/>
    <w:rsid w:val="00435349"/>
    <w:rsid w:val="0043596B"/>
    <w:rsid w:val="0043598F"/>
    <w:rsid w:val="00435B5A"/>
    <w:rsid w:val="00436200"/>
    <w:rsid w:val="00436FA5"/>
    <w:rsid w:val="004376A0"/>
    <w:rsid w:val="00437940"/>
    <w:rsid w:val="00437B27"/>
    <w:rsid w:val="00437B41"/>
    <w:rsid w:val="00440284"/>
    <w:rsid w:val="0044037F"/>
    <w:rsid w:val="0044050A"/>
    <w:rsid w:val="004406C9"/>
    <w:rsid w:val="00440786"/>
    <w:rsid w:val="00440977"/>
    <w:rsid w:val="0044100F"/>
    <w:rsid w:val="0044150E"/>
    <w:rsid w:val="004415CE"/>
    <w:rsid w:val="00441982"/>
    <w:rsid w:val="00441CC5"/>
    <w:rsid w:val="00441D20"/>
    <w:rsid w:val="00441F10"/>
    <w:rsid w:val="00441FA6"/>
    <w:rsid w:val="004427E9"/>
    <w:rsid w:val="0044297E"/>
    <w:rsid w:val="004429FC"/>
    <w:rsid w:val="00442D3E"/>
    <w:rsid w:val="00442DD3"/>
    <w:rsid w:val="00442E7C"/>
    <w:rsid w:val="00442F7C"/>
    <w:rsid w:val="00443116"/>
    <w:rsid w:val="004431F2"/>
    <w:rsid w:val="0044324C"/>
    <w:rsid w:val="0044332E"/>
    <w:rsid w:val="004434FA"/>
    <w:rsid w:val="00443C41"/>
    <w:rsid w:val="00443D1C"/>
    <w:rsid w:val="00443D80"/>
    <w:rsid w:val="004447D2"/>
    <w:rsid w:val="004448F0"/>
    <w:rsid w:val="00444ADF"/>
    <w:rsid w:val="00444DD5"/>
    <w:rsid w:val="00445047"/>
    <w:rsid w:val="004455A5"/>
    <w:rsid w:val="004457C3"/>
    <w:rsid w:val="00445D67"/>
    <w:rsid w:val="00445E2A"/>
    <w:rsid w:val="00446044"/>
    <w:rsid w:val="00446399"/>
    <w:rsid w:val="00446513"/>
    <w:rsid w:val="0044693A"/>
    <w:rsid w:val="004469A0"/>
    <w:rsid w:val="004475C4"/>
    <w:rsid w:val="00447C83"/>
    <w:rsid w:val="00450139"/>
    <w:rsid w:val="0045026C"/>
    <w:rsid w:val="00450441"/>
    <w:rsid w:val="00450644"/>
    <w:rsid w:val="00451452"/>
    <w:rsid w:val="00451523"/>
    <w:rsid w:val="004522A7"/>
    <w:rsid w:val="0045283A"/>
    <w:rsid w:val="00452ABE"/>
    <w:rsid w:val="00452E40"/>
    <w:rsid w:val="004539D4"/>
    <w:rsid w:val="00453C24"/>
    <w:rsid w:val="00454122"/>
    <w:rsid w:val="004546AC"/>
    <w:rsid w:val="00454914"/>
    <w:rsid w:val="00454EA3"/>
    <w:rsid w:val="0045500D"/>
    <w:rsid w:val="0045515C"/>
    <w:rsid w:val="004553CE"/>
    <w:rsid w:val="00455401"/>
    <w:rsid w:val="004554F9"/>
    <w:rsid w:val="0045566B"/>
    <w:rsid w:val="00455784"/>
    <w:rsid w:val="00455980"/>
    <w:rsid w:val="00455A52"/>
    <w:rsid w:val="00455BE2"/>
    <w:rsid w:val="00455EF6"/>
    <w:rsid w:val="0045606F"/>
    <w:rsid w:val="0045615F"/>
    <w:rsid w:val="0045638D"/>
    <w:rsid w:val="00456398"/>
    <w:rsid w:val="004569A4"/>
    <w:rsid w:val="00456C67"/>
    <w:rsid w:val="00457248"/>
    <w:rsid w:val="0045726B"/>
    <w:rsid w:val="0045732A"/>
    <w:rsid w:val="00457428"/>
    <w:rsid w:val="00457595"/>
    <w:rsid w:val="00457CAB"/>
    <w:rsid w:val="004600FB"/>
    <w:rsid w:val="004602CE"/>
    <w:rsid w:val="0046030E"/>
    <w:rsid w:val="00460709"/>
    <w:rsid w:val="00460CA1"/>
    <w:rsid w:val="0046109A"/>
    <w:rsid w:val="004615A6"/>
    <w:rsid w:val="00461951"/>
    <w:rsid w:val="00461D27"/>
    <w:rsid w:val="00461E79"/>
    <w:rsid w:val="00462200"/>
    <w:rsid w:val="00462219"/>
    <w:rsid w:val="00462431"/>
    <w:rsid w:val="004625D1"/>
    <w:rsid w:val="00462722"/>
    <w:rsid w:val="00462850"/>
    <w:rsid w:val="0046293E"/>
    <w:rsid w:val="00462B32"/>
    <w:rsid w:val="00462BAA"/>
    <w:rsid w:val="004633F4"/>
    <w:rsid w:val="00463BAD"/>
    <w:rsid w:val="00464892"/>
    <w:rsid w:val="0046490F"/>
    <w:rsid w:val="00464B22"/>
    <w:rsid w:val="00465234"/>
    <w:rsid w:val="00465313"/>
    <w:rsid w:val="0046557D"/>
    <w:rsid w:val="004656EC"/>
    <w:rsid w:val="00465CF3"/>
    <w:rsid w:val="00467E1A"/>
    <w:rsid w:val="00470070"/>
    <w:rsid w:val="004700A0"/>
    <w:rsid w:val="00470253"/>
    <w:rsid w:val="004711A9"/>
    <w:rsid w:val="00471221"/>
    <w:rsid w:val="0047159C"/>
    <w:rsid w:val="0047174D"/>
    <w:rsid w:val="00471AB1"/>
    <w:rsid w:val="00471CA3"/>
    <w:rsid w:val="00471DC9"/>
    <w:rsid w:val="00471EDE"/>
    <w:rsid w:val="0047222A"/>
    <w:rsid w:val="00472379"/>
    <w:rsid w:val="004727DA"/>
    <w:rsid w:val="004728B8"/>
    <w:rsid w:val="004729A0"/>
    <w:rsid w:val="00473794"/>
    <w:rsid w:val="00473DBF"/>
    <w:rsid w:val="00473E8A"/>
    <w:rsid w:val="00474600"/>
    <w:rsid w:val="004747B0"/>
    <w:rsid w:val="004749E8"/>
    <w:rsid w:val="00474B7B"/>
    <w:rsid w:val="00474CF9"/>
    <w:rsid w:val="00474E98"/>
    <w:rsid w:val="00474F72"/>
    <w:rsid w:val="00475052"/>
    <w:rsid w:val="00475847"/>
    <w:rsid w:val="00475BAF"/>
    <w:rsid w:val="00475C77"/>
    <w:rsid w:val="004762EF"/>
    <w:rsid w:val="0047676A"/>
    <w:rsid w:val="00476D30"/>
    <w:rsid w:val="00476F49"/>
    <w:rsid w:val="0047746A"/>
    <w:rsid w:val="00477565"/>
    <w:rsid w:val="004778F4"/>
    <w:rsid w:val="00477A60"/>
    <w:rsid w:val="004801F8"/>
    <w:rsid w:val="004811F3"/>
    <w:rsid w:val="004817D1"/>
    <w:rsid w:val="00481AE4"/>
    <w:rsid w:val="00481EEE"/>
    <w:rsid w:val="00481F63"/>
    <w:rsid w:val="00481FCA"/>
    <w:rsid w:val="00482050"/>
    <w:rsid w:val="004821D7"/>
    <w:rsid w:val="0048248A"/>
    <w:rsid w:val="0048248F"/>
    <w:rsid w:val="00482792"/>
    <w:rsid w:val="004827A7"/>
    <w:rsid w:val="00482EBC"/>
    <w:rsid w:val="00483787"/>
    <w:rsid w:val="00483D69"/>
    <w:rsid w:val="00483DAC"/>
    <w:rsid w:val="00483DCD"/>
    <w:rsid w:val="00483F2B"/>
    <w:rsid w:val="004840BA"/>
    <w:rsid w:val="00484A0C"/>
    <w:rsid w:val="00484C8F"/>
    <w:rsid w:val="004853AA"/>
    <w:rsid w:val="0048573B"/>
    <w:rsid w:val="0048587F"/>
    <w:rsid w:val="00485B2F"/>
    <w:rsid w:val="00485E01"/>
    <w:rsid w:val="00486442"/>
    <w:rsid w:val="00487773"/>
    <w:rsid w:val="004877FB"/>
    <w:rsid w:val="00487A52"/>
    <w:rsid w:val="00487FE2"/>
    <w:rsid w:val="004900B9"/>
    <w:rsid w:val="00490120"/>
    <w:rsid w:val="00490201"/>
    <w:rsid w:val="004903AF"/>
    <w:rsid w:val="004903BA"/>
    <w:rsid w:val="004907A8"/>
    <w:rsid w:val="00490E66"/>
    <w:rsid w:val="00490FEF"/>
    <w:rsid w:val="00491576"/>
    <w:rsid w:val="00491647"/>
    <w:rsid w:val="00491C67"/>
    <w:rsid w:val="004925DB"/>
    <w:rsid w:val="00492910"/>
    <w:rsid w:val="004929AA"/>
    <w:rsid w:val="00492B04"/>
    <w:rsid w:val="00492E4D"/>
    <w:rsid w:val="0049310F"/>
    <w:rsid w:val="0049336B"/>
    <w:rsid w:val="0049409D"/>
    <w:rsid w:val="004944CA"/>
    <w:rsid w:val="0049455A"/>
    <w:rsid w:val="00494A78"/>
    <w:rsid w:val="00494B06"/>
    <w:rsid w:val="00494EE0"/>
    <w:rsid w:val="004953C6"/>
    <w:rsid w:val="0049544F"/>
    <w:rsid w:val="00495515"/>
    <w:rsid w:val="00495974"/>
    <w:rsid w:val="0049617C"/>
    <w:rsid w:val="00496A63"/>
    <w:rsid w:val="00496B02"/>
    <w:rsid w:val="00496DD4"/>
    <w:rsid w:val="00496E05"/>
    <w:rsid w:val="00496FD2"/>
    <w:rsid w:val="00497D3A"/>
    <w:rsid w:val="00497DF9"/>
    <w:rsid w:val="004A0187"/>
    <w:rsid w:val="004A01F4"/>
    <w:rsid w:val="004A02F7"/>
    <w:rsid w:val="004A0429"/>
    <w:rsid w:val="004A069B"/>
    <w:rsid w:val="004A0712"/>
    <w:rsid w:val="004A08AF"/>
    <w:rsid w:val="004A08F8"/>
    <w:rsid w:val="004A0A39"/>
    <w:rsid w:val="004A0FEA"/>
    <w:rsid w:val="004A113D"/>
    <w:rsid w:val="004A147D"/>
    <w:rsid w:val="004A16DF"/>
    <w:rsid w:val="004A1A3C"/>
    <w:rsid w:val="004A20F2"/>
    <w:rsid w:val="004A20F9"/>
    <w:rsid w:val="004A23DE"/>
    <w:rsid w:val="004A2975"/>
    <w:rsid w:val="004A2AA0"/>
    <w:rsid w:val="004A2B72"/>
    <w:rsid w:val="004A2D36"/>
    <w:rsid w:val="004A2E86"/>
    <w:rsid w:val="004A3004"/>
    <w:rsid w:val="004A33A4"/>
    <w:rsid w:val="004A344C"/>
    <w:rsid w:val="004A3450"/>
    <w:rsid w:val="004A3CBD"/>
    <w:rsid w:val="004A3EB2"/>
    <w:rsid w:val="004A3F1B"/>
    <w:rsid w:val="004A4074"/>
    <w:rsid w:val="004A46D3"/>
    <w:rsid w:val="004A50BB"/>
    <w:rsid w:val="004A5458"/>
    <w:rsid w:val="004A55DE"/>
    <w:rsid w:val="004A5AB8"/>
    <w:rsid w:val="004A5DFB"/>
    <w:rsid w:val="004A6048"/>
    <w:rsid w:val="004A610A"/>
    <w:rsid w:val="004A61AF"/>
    <w:rsid w:val="004A6359"/>
    <w:rsid w:val="004A6506"/>
    <w:rsid w:val="004A6630"/>
    <w:rsid w:val="004A6939"/>
    <w:rsid w:val="004A6B1B"/>
    <w:rsid w:val="004A6C91"/>
    <w:rsid w:val="004A71AF"/>
    <w:rsid w:val="004A75AC"/>
    <w:rsid w:val="004A762C"/>
    <w:rsid w:val="004A7910"/>
    <w:rsid w:val="004A7DB8"/>
    <w:rsid w:val="004A7F72"/>
    <w:rsid w:val="004B0434"/>
    <w:rsid w:val="004B05CA"/>
    <w:rsid w:val="004B078E"/>
    <w:rsid w:val="004B0BAD"/>
    <w:rsid w:val="004B16A3"/>
    <w:rsid w:val="004B16E7"/>
    <w:rsid w:val="004B1784"/>
    <w:rsid w:val="004B178F"/>
    <w:rsid w:val="004B1807"/>
    <w:rsid w:val="004B1E0F"/>
    <w:rsid w:val="004B1F22"/>
    <w:rsid w:val="004B20FF"/>
    <w:rsid w:val="004B2511"/>
    <w:rsid w:val="004B27D8"/>
    <w:rsid w:val="004B27F1"/>
    <w:rsid w:val="004B2936"/>
    <w:rsid w:val="004B2B52"/>
    <w:rsid w:val="004B2D04"/>
    <w:rsid w:val="004B2EBB"/>
    <w:rsid w:val="004B3405"/>
    <w:rsid w:val="004B347E"/>
    <w:rsid w:val="004B374A"/>
    <w:rsid w:val="004B3B26"/>
    <w:rsid w:val="004B3C2B"/>
    <w:rsid w:val="004B4200"/>
    <w:rsid w:val="004B42FF"/>
    <w:rsid w:val="004B4332"/>
    <w:rsid w:val="004B4418"/>
    <w:rsid w:val="004B4954"/>
    <w:rsid w:val="004B4B99"/>
    <w:rsid w:val="004B4E8D"/>
    <w:rsid w:val="004B5043"/>
    <w:rsid w:val="004B51DA"/>
    <w:rsid w:val="004B53E4"/>
    <w:rsid w:val="004B5579"/>
    <w:rsid w:val="004B5662"/>
    <w:rsid w:val="004B56FF"/>
    <w:rsid w:val="004B5D3D"/>
    <w:rsid w:val="004B5F62"/>
    <w:rsid w:val="004B5FB6"/>
    <w:rsid w:val="004B63E4"/>
    <w:rsid w:val="004B655F"/>
    <w:rsid w:val="004B6652"/>
    <w:rsid w:val="004B668B"/>
    <w:rsid w:val="004B6819"/>
    <w:rsid w:val="004B6909"/>
    <w:rsid w:val="004B6A84"/>
    <w:rsid w:val="004B6AAB"/>
    <w:rsid w:val="004B6CD6"/>
    <w:rsid w:val="004B70F4"/>
    <w:rsid w:val="004B7121"/>
    <w:rsid w:val="004B785D"/>
    <w:rsid w:val="004B798E"/>
    <w:rsid w:val="004B79A0"/>
    <w:rsid w:val="004B79BE"/>
    <w:rsid w:val="004B7A5F"/>
    <w:rsid w:val="004B7AE8"/>
    <w:rsid w:val="004B7B74"/>
    <w:rsid w:val="004B7C8A"/>
    <w:rsid w:val="004B7E61"/>
    <w:rsid w:val="004C051C"/>
    <w:rsid w:val="004C07F5"/>
    <w:rsid w:val="004C15A6"/>
    <w:rsid w:val="004C1821"/>
    <w:rsid w:val="004C1A37"/>
    <w:rsid w:val="004C1B2F"/>
    <w:rsid w:val="004C1B3D"/>
    <w:rsid w:val="004C246F"/>
    <w:rsid w:val="004C24B5"/>
    <w:rsid w:val="004C2EC3"/>
    <w:rsid w:val="004C2FCB"/>
    <w:rsid w:val="004C3142"/>
    <w:rsid w:val="004C3389"/>
    <w:rsid w:val="004C339A"/>
    <w:rsid w:val="004C361A"/>
    <w:rsid w:val="004C3919"/>
    <w:rsid w:val="004C39A2"/>
    <w:rsid w:val="004C3CB2"/>
    <w:rsid w:val="004C3ED7"/>
    <w:rsid w:val="004C45DF"/>
    <w:rsid w:val="004C487B"/>
    <w:rsid w:val="004C4E92"/>
    <w:rsid w:val="004C5182"/>
    <w:rsid w:val="004C53F3"/>
    <w:rsid w:val="004C55A6"/>
    <w:rsid w:val="004C57E9"/>
    <w:rsid w:val="004C58EA"/>
    <w:rsid w:val="004C5A58"/>
    <w:rsid w:val="004C5A7B"/>
    <w:rsid w:val="004C5D00"/>
    <w:rsid w:val="004C6550"/>
    <w:rsid w:val="004C669B"/>
    <w:rsid w:val="004C6794"/>
    <w:rsid w:val="004C6968"/>
    <w:rsid w:val="004C6C87"/>
    <w:rsid w:val="004C6E8D"/>
    <w:rsid w:val="004C75D8"/>
    <w:rsid w:val="004C7808"/>
    <w:rsid w:val="004C7A05"/>
    <w:rsid w:val="004C7D40"/>
    <w:rsid w:val="004C7EF9"/>
    <w:rsid w:val="004C7F7E"/>
    <w:rsid w:val="004D00BB"/>
    <w:rsid w:val="004D0201"/>
    <w:rsid w:val="004D027E"/>
    <w:rsid w:val="004D02A4"/>
    <w:rsid w:val="004D0E0E"/>
    <w:rsid w:val="004D1146"/>
    <w:rsid w:val="004D11C5"/>
    <w:rsid w:val="004D1415"/>
    <w:rsid w:val="004D14C8"/>
    <w:rsid w:val="004D172E"/>
    <w:rsid w:val="004D1767"/>
    <w:rsid w:val="004D1839"/>
    <w:rsid w:val="004D2376"/>
    <w:rsid w:val="004D278E"/>
    <w:rsid w:val="004D2AD9"/>
    <w:rsid w:val="004D2D32"/>
    <w:rsid w:val="004D30BA"/>
    <w:rsid w:val="004D3167"/>
    <w:rsid w:val="004D31DB"/>
    <w:rsid w:val="004D324C"/>
    <w:rsid w:val="004D3965"/>
    <w:rsid w:val="004D43E5"/>
    <w:rsid w:val="004D4B52"/>
    <w:rsid w:val="004D4D81"/>
    <w:rsid w:val="004D5025"/>
    <w:rsid w:val="004D5121"/>
    <w:rsid w:val="004D5267"/>
    <w:rsid w:val="004D56E5"/>
    <w:rsid w:val="004D5714"/>
    <w:rsid w:val="004D5855"/>
    <w:rsid w:val="004D58C9"/>
    <w:rsid w:val="004D5B50"/>
    <w:rsid w:val="004D5F32"/>
    <w:rsid w:val="004D6491"/>
    <w:rsid w:val="004D7365"/>
    <w:rsid w:val="004D7815"/>
    <w:rsid w:val="004D7BC7"/>
    <w:rsid w:val="004E00DC"/>
    <w:rsid w:val="004E05D1"/>
    <w:rsid w:val="004E06C4"/>
    <w:rsid w:val="004E08D4"/>
    <w:rsid w:val="004E0AD3"/>
    <w:rsid w:val="004E0C80"/>
    <w:rsid w:val="004E11C8"/>
    <w:rsid w:val="004E1436"/>
    <w:rsid w:val="004E1616"/>
    <w:rsid w:val="004E1DA8"/>
    <w:rsid w:val="004E1EBC"/>
    <w:rsid w:val="004E2609"/>
    <w:rsid w:val="004E2650"/>
    <w:rsid w:val="004E2AAF"/>
    <w:rsid w:val="004E2CC2"/>
    <w:rsid w:val="004E2CD0"/>
    <w:rsid w:val="004E2DCA"/>
    <w:rsid w:val="004E2E9B"/>
    <w:rsid w:val="004E3099"/>
    <w:rsid w:val="004E3A98"/>
    <w:rsid w:val="004E3C83"/>
    <w:rsid w:val="004E42D1"/>
    <w:rsid w:val="004E42E5"/>
    <w:rsid w:val="004E43E9"/>
    <w:rsid w:val="004E4836"/>
    <w:rsid w:val="004E4A7B"/>
    <w:rsid w:val="004E4B1E"/>
    <w:rsid w:val="004E4CEC"/>
    <w:rsid w:val="004E4F8B"/>
    <w:rsid w:val="004E53C8"/>
    <w:rsid w:val="004E54E6"/>
    <w:rsid w:val="004E55E7"/>
    <w:rsid w:val="004E5969"/>
    <w:rsid w:val="004E5B0E"/>
    <w:rsid w:val="004E64D5"/>
    <w:rsid w:val="004E682F"/>
    <w:rsid w:val="004E6BA8"/>
    <w:rsid w:val="004E6C30"/>
    <w:rsid w:val="004E7045"/>
    <w:rsid w:val="004E7112"/>
    <w:rsid w:val="004E7508"/>
    <w:rsid w:val="004E7F78"/>
    <w:rsid w:val="004F0018"/>
    <w:rsid w:val="004F00F3"/>
    <w:rsid w:val="004F0240"/>
    <w:rsid w:val="004F037A"/>
    <w:rsid w:val="004F054C"/>
    <w:rsid w:val="004F07F4"/>
    <w:rsid w:val="004F0A9F"/>
    <w:rsid w:val="004F0B34"/>
    <w:rsid w:val="004F0F97"/>
    <w:rsid w:val="004F140D"/>
    <w:rsid w:val="004F1BF7"/>
    <w:rsid w:val="004F1C7E"/>
    <w:rsid w:val="004F2013"/>
    <w:rsid w:val="004F280F"/>
    <w:rsid w:val="004F2A6B"/>
    <w:rsid w:val="004F2CB1"/>
    <w:rsid w:val="004F2F01"/>
    <w:rsid w:val="004F2FED"/>
    <w:rsid w:val="004F3477"/>
    <w:rsid w:val="004F353D"/>
    <w:rsid w:val="004F370F"/>
    <w:rsid w:val="004F4018"/>
    <w:rsid w:val="004F4534"/>
    <w:rsid w:val="004F46E0"/>
    <w:rsid w:val="004F4B22"/>
    <w:rsid w:val="004F4BF7"/>
    <w:rsid w:val="004F4C4A"/>
    <w:rsid w:val="004F50E3"/>
    <w:rsid w:val="004F5351"/>
    <w:rsid w:val="004F56DF"/>
    <w:rsid w:val="004F58CC"/>
    <w:rsid w:val="004F5984"/>
    <w:rsid w:val="004F5A89"/>
    <w:rsid w:val="004F5A97"/>
    <w:rsid w:val="004F61DE"/>
    <w:rsid w:val="004F673B"/>
    <w:rsid w:val="004F6D11"/>
    <w:rsid w:val="004F6DF7"/>
    <w:rsid w:val="004F7444"/>
    <w:rsid w:val="004F7837"/>
    <w:rsid w:val="004F785F"/>
    <w:rsid w:val="004F7A15"/>
    <w:rsid w:val="004F7E17"/>
    <w:rsid w:val="004F7E2D"/>
    <w:rsid w:val="005000A6"/>
    <w:rsid w:val="0050016A"/>
    <w:rsid w:val="005002FB"/>
    <w:rsid w:val="005003C9"/>
    <w:rsid w:val="005004F8"/>
    <w:rsid w:val="00500DAB"/>
    <w:rsid w:val="00501089"/>
    <w:rsid w:val="005021B5"/>
    <w:rsid w:val="005024E2"/>
    <w:rsid w:val="00502886"/>
    <w:rsid w:val="00502D9F"/>
    <w:rsid w:val="00503279"/>
    <w:rsid w:val="005036DF"/>
    <w:rsid w:val="00503AEF"/>
    <w:rsid w:val="00503CE1"/>
    <w:rsid w:val="00504179"/>
    <w:rsid w:val="00504359"/>
    <w:rsid w:val="00504367"/>
    <w:rsid w:val="0050467E"/>
    <w:rsid w:val="005046BB"/>
    <w:rsid w:val="0050489B"/>
    <w:rsid w:val="005049E2"/>
    <w:rsid w:val="00504AE7"/>
    <w:rsid w:val="005051F2"/>
    <w:rsid w:val="00505203"/>
    <w:rsid w:val="0050525A"/>
    <w:rsid w:val="0050530D"/>
    <w:rsid w:val="005057F9"/>
    <w:rsid w:val="00505984"/>
    <w:rsid w:val="00505A71"/>
    <w:rsid w:val="00505EC5"/>
    <w:rsid w:val="00505F84"/>
    <w:rsid w:val="00505FE1"/>
    <w:rsid w:val="00505FE5"/>
    <w:rsid w:val="005064DC"/>
    <w:rsid w:val="00506784"/>
    <w:rsid w:val="00506A6D"/>
    <w:rsid w:val="00506B30"/>
    <w:rsid w:val="00507041"/>
    <w:rsid w:val="005072E0"/>
    <w:rsid w:val="0050744C"/>
    <w:rsid w:val="00507AD7"/>
    <w:rsid w:val="00507B4E"/>
    <w:rsid w:val="00507B67"/>
    <w:rsid w:val="00507F90"/>
    <w:rsid w:val="005100DE"/>
    <w:rsid w:val="0051095A"/>
    <w:rsid w:val="00510AC6"/>
    <w:rsid w:val="00510D65"/>
    <w:rsid w:val="00510D9A"/>
    <w:rsid w:val="00510E8C"/>
    <w:rsid w:val="00511019"/>
    <w:rsid w:val="005114BE"/>
    <w:rsid w:val="0051158B"/>
    <w:rsid w:val="005118D3"/>
    <w:rsid w:val="00511A85"/>
    <w:rsid w:val="00512464"/>
    <w:rsid w:val="005126FF"/>
    <w:rsid w:val="00512934"/>
    <w:rsid w:val="005130A6"/>
    <w:rsid w:val="00513507"/>
    <w:rsid w:val="00513834"/>
    <w:rsid w:val="0051387B"/>
    <w:rsid w:val="00513C1F"/>
    <w:rsid w:val="00513CDF"/>
    <w:rsid w:val="0051426E"/>
    <w:rsid w:val="005147B2"/>
    <w:rsid w:val="00514FF3"/>
    <w:rsid w:val="0051508C"/>
    <w:rsid w:val="005159A1"/>
    <w:rsid w:val="0051604B"/>
    <w:rsid w:val="0051668B"/>
    <w:rsid w:val="005166B0"/>
    <w:rsid w:val="00516B33"/>
    <w:rsid w:val="00516DD5"/>
    <w:rsid w:val="00517267"/>
    <w:rsid w:val="005172C7"/>
    <w:rsid w:val="00517FCE"/>
    <w:rsid w:val="00520759"/>
    <w:rsid w:val="005208C2"/>
    <w:rsid w:val="005208D8"/>
    <w:rsid w:val="0052094F"/>
    <w:rsid w:val="0052109E"/>
    <w:rsid w:val="005213B2"/>
    <w:rsid w:val="00521433"/>
    <w:rsid w:val="00521BCF"/>
    <w:rsid w:val="00521D97"/>
    <w:rsid w:val="00521E7D"/>
    <w:rsid w:val="005222D3"/>
    <w:rsid w:val="00522354"/>
    <w:rsid w:val="00522F76"/>
    <w:rsid w:val="00523388"/>
    <w:rsid w:val="0052360D"/>
    <w:rsid w:val="00523A75"/>
    <w:rsid w:val="00523E35"/>
    <w:rsid w:val="00523F92"/>
    <w:rsid w:val="00523FFE"/>
    <w:rsid w:val="00524252"/>
    <w:rsid w:val="005242C3"/>
    <w:rsid w:val="00524538"/>
    <w:rsid w:val="005247E0"/>
    <w:rsid w:val="00524962"/>
    <w:rsid w:val="00524D67"/>
    <w:rsid w:val="00524DB6"/>
    <w:rsid w:val="00524F5A"/>
    <w:rsid w:val="00524FB8"/>
    <w:rsid w:val="00525158"/>
    <w:rsid w:val="00526646"/>
    <w:rsid w:val="00526CA5"/>
    <w:rsid w:val="00526DD5"/>
    <w:rsid w:val="00526E81"/>
    <w:rsid w:val="005274EE"/>
    <w:rsid w:val="0052765B"/>
    <w:rsid w:val="00527A92"/>
    <w:rsid w:val="00527D04"/>
    <w:rsid w:val="00527D97"/>
    <w:rsid w:val="00527F27"/>
    <w:rsid w:val="00527FAA"/>
    <w:rsid w:val="00530156"/>
    <w:rsid w:val="005306EB"/>
    <w:rsid w:val="0053075F"/>
    <w:rsid w:val="00530AA8"/>
    <w:rsid w:val="00531208"/>
    <w:rsid w:val="005314CF"/>
    <w:rsid w:val="0053150F"/>
    <w:rsid w:val="00531D9B"/>
    <w:rsid w:val="00532736"/>
    <w:rsid w:val="005335FF"/>
    <w:rsid w:val="00533B3D"/>
    <w:rsid w:val="00533CF0"/>
    <w:rsid w:val="0053405C"/>
    <w:rsid w:val="0053461B"/>
    <w:rsid w:val="00534D54"/>
    <w:rsid w:val="00534F73"/>
    <w:rsid w:val="00535470"/>
    <w:rsid w:val="005355C0"/>
    <w:rsid w:val="005356E2"/>
    <w:rsid w:val="00535C44"/>
    <w:rsid w:val="0053624E"/>
    <w:rsid w:val="0053635E"/>
    <w:rsid w:val="00536551"/>
    <w:rsid w:val="00536604"/>
    <w:rsid w:val="00536CE0"/>
    <w:rsid w:val="00536DE9"/>
    <w:rsid w:val="00537280"/>
    <w:rsid w:val="005372B4"/>
    <w:rsid w:val="0053770C"/>
    <w:rsid w:val="00537A48"/>
    <w:rsid w:val="00540280"/>
    <w:rsid w:val="0054069C"/>
    <w:rsid w:val="00540A22"/>
    <w:rsid w:val="00541084"/>
    <w:rsid w:val="005414DA"/>
    <w:rsid w:val="00541759"/>
    <w:rsid w:val="0054195C"/>
    <w:rsid w:val="00541CCE"/>
    <w:rsid w:val="00541E00"/>
    <w:rsid w:val="0054205C"/>
    <w:rsid w:val="0054234E"/>
    <w:rsid w:val="00542B0B"/>
    <w:rsid w:val="00542D7C"/>
    <w:rsid w:val="005432DA"/>
    <w:rsid w:val="005437E2"/>
    <w:rsid w:val="0054382D"/>
    <w:rsid w:val="00543831"/>
    <w:rsid w:val="0054394C"/>
    <w:rsid w:val="00543F55"/>
    <w:rsid w:val="005441FE"/>
    <w:rsid w:val="005445A7"/>
    <w:rsid w:val="005447D0"/>
    <w:rsid w:val="00544B79"/>
    <w:rsid w:val="00544F2D"/>
    <w:rsid w:val="00545300"/>
    <w:rsid w:val="00545434"/>
    <w:rsid w:val="00545691"/>
    <w:rsid w:val="005458C8"/>
    <w:rsid w:val="00545B76"/>
    <w:rsid w:val="00545EEC"/>
    <w:rsid w:val="00546079"/>
    <w:rsid w:val="00546244"/>
    <w:rsid w:val="005463E6"/>
    <w:rsid w:val="005464AC"/>
    <w:rsid w:val="00546AE9"/>
    <w:rsid w:val="00546E5F"/>
    <w:rsid w:val="00546ED7"/>
    <w:rsid w:val="0054743F"/>
    <w:rsid w:val="00547756"/>
    <w:rsid w:val="0054782C"/>
    <w:rsid w:val="00547FE6"/>
    <w:rsid w:val="005503B5"/>
    <w:rsid w:val="005508A1"/>
    <w:rsid w:val="005508D9"/>
    <w:rsid w:val="00550C6B"/>
    <w:rsid w:val="00550CDE"/>
    <w:rsid w:val="00550DB4"/>
    <w:rsid w:val="00550DD3"/>
    <w:rsid w:val="00550F0E"/>
    <w:rsid w:val="005511EE"/>
    <w:rsid w:val="00551BB6"/>
    <w:rsid w:val="00551EF9"/>
    <w:rsid w:val="005522AC"/>
    <w:rsid w:val="005525F7"/>
    <w:rsid w:val="00552649"/>
    <w:rsid w:val="00552CD6"/>
    <w:rsid w:val="00552DD9"/>
    <w:rsid w:val="00553B07"/>
    <w:rsid w:val="00554010"/>
    <w:rsid w:val="005543BB"/>
    <w:rsid w:val="00554491"/>
    <w:rsid w:val="00554510"/>
    <w:rsid w:val="005546E5"/>
    <w:rsid w:val="0055474E"/>
    <w:rsid w:val="005547B4"/>
    <w:rsid w:val="005547F8"/>
    <w:rsid w:val="0055495C"/>
    <w:rsid w:val="00555259"/>
    <w:rsid w:val="0055558C"/>
    <w:rsid w:val="0055563A"/>
    <w:rsid w:val="00555996"/>
    <w:rsid w:val="00555A8F"/>
    <w:rsid w:val="00555B8C"/>
    <w:rsid w:val="00556532"/>
    <w:rsid w:val="005568ED"/>
    <w:rsid w:val="005570AD"/>
    <w:rsid w:val="0055721A"/>
    <w:rsid w:val="00557258"/>
    <w:rsid w:val="005573CE"/>
    <w:rsid w:val="005576C4"/>
    <w:rsid w:val="00557837"/>
    <w:rsid w:val="00557CA9"/>
    <w:rsid w:val="00560434"/>
    <w:rsid w:val="0056087B"/>
    <w:rsid w:val="00560E06"/>
    <w:rsid w:val="00560E65"/>
    <w:rsid w:val="005610E6"/>
    <w:rsid w:val="00561FF2"/>
    <w:rsid w:val="005621C3"/>
    <w:rsid w:val="00562557"/>
    <w:rsid w:val="00562883"/>
    <w:rsid w:val="005629E6"/>
    <w:rsid w:val="00563453"/>
    <w:rsid w:val="005634A2"/>
    <w:rsid w:val="0056364A"/>
    <w:rsid w:val="00563D89"/>
    <w:rsid w:val="00564ED3"/>
    <w:rsid w:val="00564F4B"/>
    <w:rsid w:val="0056555E"/>
    <w:rsid w:val="0056575D"/>
    <w:rsid w:val="005659A6"/>
    <w:rsid w:val="005659C0"/>
    <w:rsid w:val="0056602C"/>
    <w:rsid w:val="00566D5E"/>
    <w:rsid w:val="0056726F"/>
    <w:rsid w:val="00567848"/>
    <w:rsid w:val="00570226"/>
    <w:rsid w:val="005705D1"/>
    <w:rsid w:val="005706FD"/>
    <w:rsid w:val="005709AE"/>
    <w:rsid w:val="00570A8F"/>
    <w:rsid w:val="00570B71"/>
    <w:rsid w:val="005710BC"/>
    <w:rsid w:val="00571999"/>
    <w:rsid w:val="00571E5D"/>
    <w:rsid w:val="00572751"/>
    <w:rsid w:val="00572DCA"/>
    <w:rsid w:val="0057321E"/>
    <w:rsid w:val="005735EA"/>
    <w:rsid w:val="0057365D"/>
    <w:rsid w:val="005737A5"/>
    <w:rsid w:val="005739FD"/>
    <w:rsid w:val="00573FEE"/>
    <w:rsid w:val="005741EF"/>
    <w:rsid w:val="005741F5"/>
    <w:rsid w:val="0057465E"/>
    <w:rsid w:val="00574832"/>
    <w:rsid w:val="00575203"/>
    <w:rsid w:val="005754C3"/>
    <w:rsid w:val="005754FC"/>
    <w:rsid w:val="005759CB"/>
    <w:rsid w:val="00575D35"/>
    <w:rsid w:val="00575E95"/>
    <w:rsid w:val="00575F70"/>
    <w:rsid w:val="00576292"/>
    <w:rsid w:val="005764BE"/>
    <w:rsid w:val="005765B0"/>
    <w:rsid w:val="005767BE"/>
    <w:rsid w:val="00576AFB"/>
    <w:rsid w:val="00576E7E"/>
    <w:rsid w:val="00577082"/>
    <w:rsid w:val="00577172"/>
    <w:rsid w:val="0057794F"/>
    <w:rsid w:val="005803B5"/>
    <w:rsid w:val="0058051E"/>
    <w:rsid w:val="005806AC"/>
    <w:rsid w:val="0058082C"/>
    <w:rsid w:val="0058095F"/>
    <w:rsid w:val="0058120D"/>
    <w:rsid w:val="005817CF"/>
    <w:rsid w:val="00581BF7"/>
    <w:rsid w:val="005820F1"/>
    <w:rsid w:val="005829AB"/>
    <w:rsid w:val="005831FC"/>
    <w:rsid w:val="005833C3"/>
    <w:rsid w:val="0058386A"/>
    <w:rsid w:val="00583F28"/>
    <w:rsid w:val="00584856"/>
    <w:rsid w:val="00584A0C"/>
    <w:rsid w:val="00584BE6"/>
    <w:rsid w:val="00584E5C"/>
    <w:rsid w:val="00584F05"/>
    <w:rsid w:val="00584F27"/>
    <w:rsid w:val="00585186"/>
    <w:rsid w:val="005854EE"/>
    <w:rsid w:val="00585A89"/>
    <w:rsid w:val="00585ECD"/>
    <w:rsid w:val="00586027"/>
    <w:rsid w:val="0058656E"/>
    <w:rsid w:val="00586B2F"/>
    <w:rsid w:val="005870DC"/>
    <w:rsid w:val="00587110"/>
    <w:rsid w:val="00587E34"/>
    <w:rsid w:val="00590352"/>
    <w:rsid w:val="00590564"/>
    <w:rsid w:val="00590DB8"/>
    <w:rsid w:val="00590EE6"/>
    <w:rsid w:val="00591668"/>
    <w:rsid w:val="0059170D"/>
    <w:rsid w:val="005920EB"/>
    <w:rsid w:val="00592656"/>
    <w:rsid w:val="00592999"/>
    <w:rsid w:val="00592BAA"/>
    <w:rsid w:val="00592BD5"/>
    <w:rsid w:val="00593276"/>
    <w:rsid w:val="005940F6"/>
    <w:rsid w:val="00594136"/>
    <w:rsid w:val="005944F2"/>
    <w:rsid w:val="00594DA9"/>
    <w:rsid w:val="0059512D"/>
    <w:rsid w:val="005953AA"/>
    <w:rsid w:val="00595460"/>
    <w:rsid w:val="00595600"/>
    <w:rsid w:val="005957FA"/>
    <w:rsid w:val="0059585C"/>
    <w:rsid w:val="00595AE8"/>
    <w:rsid w:val="00595BC1"/>
    <w:rsid w:val="00595D10"/>
    <w:rsid w:val="005960DB"/>
    <w:rsid w:val="00596594"/>
    <w:rsid w:val="00596865"/>
    <w:rsid w:val="00596F97"/>
    <w:rsid w:val="0059772B"/>
    <w:rsid w:val="0059785D"/>
    <w:rsid w:val="00597E54"/>
    <w:rsid w:val="005A05C5"/>
    <w:rsid w:val="005A07E7"/>
    <w:rsid w:val="005A0AAF"/>
    <w:rsid w:val="005A133E"/>
    <w:rsid w:val="005A191A"/>
    <w:rsid w:val="005A1C55"/>
    <w:rsid w:val="005A1D43"/>
    <w:rsid w:val="005A2686"/>
    <w:rsid w:val="005A2893"/>
    <w:rsid w:val="005A2ACD"/>
    <w:rsid w:val="005A2CB5"/>
    <w:rsid w:val="005A3166"/>
    <w:rsid w:val="005A32FF"/>
    <w:rsid w:val="005A3694"/>
    <w:rsid w:val="005A3729"/>
    <w:rsid w:val="005A3730"/>
    <w:rsid w:val="005A3D9D"/>
    <w:rsid w:val="005A3FAA"/>
    <w:rsid w:val="005A3FF7"/>
    <w:rsid w:val="005A443C"/>
    <w:rsid w:val="005A459F"/>
    <w:rsid w:val="005A4CE5"/>
    <w:rsid w:val="005A4DB4"/>
    <w:rsid w:val="005A5037"/>
    <w:rsid w:val="005A518E"/>
    <w:rsid w:val="005A535F"/>
    <w:rsid w:val="005A5540"/>
    <w:rsid w:val="005A5C26"/>
    <w:rsid w:val="005A5EB6"/>
    <w:rsid w:val="005A5ED7"/>
    <w:rsid w:val="005A6119"/>
    <w:rsid w:val="005A6613"/>
    <w:rsid w:val="005A6A7F"/>
    <w:rsid w:val="005A6C02"/>
    <w:rsid w:val="005A6C12"/>
    <w:rsid w:val="005A713E"/>
    <w:rsid w:val="005A7324"/>
    <w:rsid w:val="005A766C"/>
    <w:rsid w:val="005A7EEF"/>
    <w:rsid w:val="005B0920"/>
    <w:rsid w:val="005B0DD5"/>
    <w:rsid w:val="005B0E7A"/>
    <w:rsid w:val="005B0F4D"/>
    <w:rsid w:val="005B11B4"/>
    <w:rsid w:val="005B17E5"/>
    <w:rsid w:val="005B1B00"/>
    <w:rsid w:val="005B1FDA"/>
    <w:rsid w:val="005B228C"/>
    <w:rsid w:val="005B2298"/>
    <w:rsid w:val="005B2423"/>
    <w:rsid w:val="005B2649"/>
    <w:rsid w:val="005B289E"/>
    <w:rsid w:val="005B2AF3"/>
    <w:rsid w:val="005B2D1A"/>
    <w:rsid w:val="005B35C8"/>
    <w:rsid w:val="005B41BC"/>
    <w:rsid w:val="005B48CE"/>
    <w:rsid w:val="005B4B9B"/>
    <w:rsid w:val="005B4CA4"/>
    <w:rsid w:val="005B4CED"/>
    <w:rsid w:val="005B550B"/>
    <w:rsid w:val="005B5639"/>
    <w:rsid w:val="005B564C"/>
    <w:rsid w:val="005B572A"/>
    <w:rsid w:val="005B59CA"/>
    <w:rsid w:val="005B5B5F"/>
    <w:rsid w:val="005B6A5D"/>
    <w:rsid w:val="005B6F2F"/>
    <w:rsid w:val="005B7049"/>
    <w:rsid w:val="005B74FF"/>
    <w:rsid w:val="005B7876"/>
    <w:rsid w:val="005B7955"/>
    <w:rsid w:val="005B7BEA"/>
    <w:rsid w:val="005C01EA"/>
    <w:rsid w:val="005C0247"/>
    <w:rsid w:val="005C02CA"/>
    <w:rsid w:val="005C0366"/>
    <w:rsid w:val="005C0CA2"/>
    <w:rsid w:val="005C114F"/>
    <w:rsid w:val="005C1183"/>
    <w:rsid w:val="005C1374"/>
    <w:rsid w:val="005C1521"/>
    <w:rsid w:val="005C1963"/>
    <w:rsid w:val="005C1994"/>
    <w:rsid w:val="005C19D5"/>
    <w:rsid w:val="005C1AD0"/>
    <w:rsid w:val="005C1E43"/>
    <w:rsid w:val="005C1EFD"/>
    <w:rsid w:val="005C20E7"/>
    <w:rsid w:val="005C30EE"/>
    <w:rsid w:val="005C31CE"/>
    <w:rsid w:val="005C3290"/>
    <w:rsid w:val="005C3307"/>
    <w:rsid w:val="005C396C"/>
    <w:rsid w:val="005C3976"/>
    <w:rsid w:val="005C3A9E"/>
    <w:rsid w:val="005C3FD2"/>
    <w:rsid w:val="005C3FEE"/>
    <w:rsid w:val="005C4684"/>
    <w:rsid w:val="005C49ED"/>
    <w:rsid w:val="005C4A15"/>
    <w:rsid w:val="005C506E"/>
    <w:rsid w:val="005C50CC"/>
    <w:rsid w:val="005C522E"/>
    <w:rsid w:val="005C5311"/>
    <w:rsid w:val="005C5446"/>
    <w:rsid w:val="005C55BC"/>
    <w:rsid w:val="005C5646"/>
    <w:rsid w:val="005C5A33"/>
    <w:rsid w:val="005C5B3B"/>
    <w:rsid w:val="005C5FEF"/>
    <w:rsid w:val="005C6106"/>
    <w:rsid w:val="005C612E"/>
    <w:rsid w:val="005C626E"/>
    <w:rsid w:val="005C66EE"/>
    <w:rsid w:val="005C6AB2"/>
    <w:rsid w:val="005C71AD"/>
    <w:rsid w:val="005C74B5"/>
    <w:rsid w:val="005C7698"/>
    <w:rsid w:val="005C77AF"/>
    <w:rsid w:val="005D00EC"/>
    <w:rsid w:val="005D013F"/>
    <w:rsid w:val="005D0172"/>
    <w:rsid w:val="005D03E8"/>
    <w:rsid w:val="005D0EF6"/>
    <w:rsid w:val="005D108C"/>
    <w:rsid w:val="005D11D5"/>
    <w:rsid w:val="005D1274"/>
    <w:rsid w:val="005D129D"/>
    <w:rsid w:val="005D1473"/>
    <w:rsid w:val="005D1700"/>
    <w:rsid w:val="005D1719"/>
    <w:rsid w:val="005D199E"/>
    <w:rsid w:val="005D1D49"/>
    <w:rsid w:val="005D223D"/>
    <w:rsid w:val="005D2259"/>
    <w:rsid w:val="005D23AE"/>
    <w:rsid w:val="005D26E2"/>
    <w:rsid w:val="005D29C2"/>
    <w:rsid w:val="005D2CF6"/>
    <w:rsid w:val="005D2FB9"/>
    <w:rsid w:val="005D3B8E"/>
    <w:rsid w:val="005D41FA"/>
    <w:rsid w:val="005D46C3"/>
    <w:rsid w:val="005D4D04"/>
    <w:rsid w:val="005D59D3"/>
    <w:rsid w:val="005D5DA7"/>
    <w:rsid w:val="005D5DD8"/>
    <w:rsid w:val="005D5DF1"/>
    <w:rsid w:val="005D6024"/>
    <w:rsid w:val="005D669F"/>
    <w:rsid w:val="005D6AE3"/>
    <w:rsid w:val="005D6BBC"/>
    <w:rsid w:val="005D6C77"/>
    <w:rsid w:val="005D6C99"/>
    <w:rsid w:val="005D6CDC"/>
    <w:rsid w:val="005D70E1"/>
    <w:rsid w:val="005D716B"/>
    <w:rsid w:val="005D726C"/>
    <w:rsid w:val="005D74EC"/>
    <w:rsid w:val="005D750A"/>
    <w:rsid w:val="005D753A"/>
    <w:rsid w:val="005D763C"/>
    <w:rsid w:val="005D7F1B"/>
    <w:rsid w:val="005D7FC9"/>
    <w:rsid w:val="005E03E3"/>
    <w:rsid w:val="005E0420"/>
    <w:rsid w:val="005E0962"/>
    <w:rsid w:val="005E1295"/>
    <w:rsid w:val="005E1466"/>
    <w:rsid w:val="005E1522"/>
    <w:rsid w:val="005E15A3"/>
    <w:rsid w:val="005E1689"/>
    <w:rsid w:val="005E1874"/>
    <w:rsid w:val="005E196C"/>
    <w:rsid w:val="005E1ABF"/>
    <w:rsid w:val="005E1B23"/>
    <w:rsid w:val="005E2288"/>
    <w:rsid w:val="005E2292"/>
    <w:rsid w:val="005E2595"/>
    <w:rsid w:val="005E2612"/>
    <w:rsid w:val="005E29E0"/>
    <w:rsid w:val="005E2B22"/>
    <w:rsid w:val="005E2E8E"/>
    <w:rsid w:val="005E3194"/>
    <w:rsid w:val="005E39E5"/>
    <w:rsid w:val="005E3C1D"/>
    <w:rsid w:val="005E3C80"/>
    <w:rsid w:val="005E3D58"/>
    <w:rsid w:val="005E3EEC"/>
    <w:rsid w:val="005E40E7"/>
    <w:rsid w:val="005E415B"/>
    <w:rsid w:val="005E4C24"/>
    <w:rsid w:val="005E4C2A"/>
    <w:rsid w:val="005E549A"/>
    <w:rsid w:val="005E5E27"/>
    <w:rsid w:val="005E602B"/>
    <w:rsid w:val="005E63FD"/>
    <w:rsid w:val="005E6939"/>
    <w:rsid w:val="005E6ABC"/>
    <w:rsid w:val="005E6BBF"/>
    <w:rsid w:val="005E6CD6"/>
    <w:rsid w:val="005E6ED1"/>
    <w:rsid w:val="005E7769"/>
    <w:rsid w:val="005E7781"/>
    <w:rsid w:val="005E7AEF"/>
    <w:rsid w:val="005E7D42"/>
    <w:rsid w:val="005F0020"/>
    <w:rsid w:val="005F02BF"/>
    <w:rsid w:val="005F043A"/>
    <w:rsid w:val="005F0507"/>
    <w:rsid w:val="005F06DA"/>
    <w:rsid w:val="005F1344"/>
    <w:rsid w:val="005F1566"/>
    <w:rsid w:val="005F1615"/>
    <w:rsid w:val="005F16D5"/>
    <w:rsid w:val="005F1F9B"/>
    <w:rsid w:val="005F2146"/>
    <w:rsid w:val="005F21D6"/>
    <w:rsid w:val="005F27DB"/>
    <w:rsid w:val="005F2895"/>
    <w:rsid w:val="005F28F6"/>
    <w:rsid w:val="005F2C38"/>
    <w:rsid w:val="005F2E53"/>
    <w:rsid w:val="005F2F63"/>
    <w:rsid w:val="005F2F70"/>
    <w:rsid w:val="005F31E1"/>
    <w:rsid w:val="005F3E31"/>
    <w:rsid w:val="005F3F18"/>
    <w:rsid w:val="005F472F"/>
    <w:rsid w:val="005F4FC7"/>
    <w:rsid w:val="005F566C"/>
    <w:rsid w:val="005F581C"/>
    <w:rsid w:val="005F5906"/>
    <w:rsid w:val="005F5D1A"/>
    <w:rsid w:val="005F5EAA"/>
    <w:rsid w:val="005F5F66"/>
    <w:rsid w:val="005F6394"/>
    <w:rsid w:val="005F682E"/>
    <w:rsid w:val="005F6838"/>
    <w:rsid w:val="005F68B8"/>
    <w:rsid w:val="005F6BFE"/>
    <w:rsid w:val="005F6E2C"/>
    <w:rsid w:val="005F6FA1"/>
    <w:rsid w:val="005F6FFD"/>
    <w:rsid w:val="005F7811"/>
    <w:rsid w:val="005F7D1F"/>
    <w:rsid w:val="005F7E49"/>
    <w:rsid w:val="006002BE"/>
    <w:rsid w:val="00600999"/>
    <w:rsid w:val="006009E7"/>
    <w:rsid w:val="00601DDE"/>
    <w:rsid w:val="00601E11"/>
    <w:rsid w:val="00602057"/>
    <w:rsid w:val="00602462"/>
    <w:rsid w:val="0060246A"/>
    <w:rsid w:val="00602562"/>
    <w:rsid w:val="00602B87"/>
    <w:rsid w:val="0060325C"/>
    <w:rsid w:val="006038A1"/>
    <w:rsid w:val="00603C34"/>
    <w:rsid w:val="00604A17"/>
    <w:rsid w:val="00604D47"/>
    <w:rsid w:val="00604E65"/>
    <w:rsid w:val="0060536D"/>
    <w:rsid w:val="00605636"/>
    <w:rsid w:val="006056FA"/>
    <w:rsid w:val="00605F08"/>
    <w:rsid w:val="006063AA"/>
    <w:rsid w:val="00606A14"/>
    <w:rsid w:val="00606D13"/>
    <w:rsid w:val="00607220"/>
    <w:rsid w:val="00607590"/>
    <w:rsid w:val="0060797B"/>
    <w:rsid w:val="00607A0B"/>
    <w:rsid w:val="00607A3E"/>
    <w:rsid w:val="00607D44"/>
    <w:rsid w:val="00610543"/>
    <w:rsid w:val="00610703"/>
    <w:rsid w:val="006109D1"/>
    <w:rsid w:val="00610C08"/>
    <w:rsid w:val="00611022"/>
    <w:rsid w:val="006112CA"/>
    <w:rsid w:val="006113BF"/>
    <w:rsid w:val="006115E0"/>
    <w:rsid w:val="00611711"/>
    <w:rsid w:val="00611E0B"/>
    <w:rsid w:val="0061266B"/>
    <w:rsid w:val="006129FF"/>
    <w:rsid w:val="00612D37"/>
    <w:rsid w:val="006131C2"/>
    <w:rsid w:val="006132D9"/>
    <w:rsid w:val="0061344C"/>
    <w:rsid w:val="006134AC"/>
    <w:rsid w:val="00613681"/>
    <w:rsid w:val="00613703"/>
    <w:rsid w:val="0061380C"/>
    <w:rsid w:val="006139D0"/>
    <w:rsid w:val="00613C32"/>
    <w:rsid w:val="00613D5F"/>
    <w:rsid w:val="0061401B"/>
    <w:rsid w:val="0061454E"/>
    <w:rsid w:val="00614BFB"/>
    <w:rsid w:val="0061505F"/>
    <w:rsid w:val="006152F7"/>
    <w:rsid w:val="006159AF"/>
    <w:rsid w:val="00615EB1"/>
    <w:rsid w:val="00616085"/>
    <w:rsid w:val="006160B8"/>
    <w:rsid w:val="00616235"/>
    <w:rsid w:val="00616342"/>
    <w:rsid w:val="006169F1"/>
    <w:rsid w:val="00617670"/>
    <w:rsid w:val="006176D1"/>
    <w:rsid w:val="00617E0C"/>
    <w:rsid w:val="0062076E"/>
    <w:rsid w:val="0062084A"/>
    <w:rsid w:val="00620F92"/>
    <w:rsid w:val="006211C0"/>
    <w:rsid w:val="006214B0"/>
    <w:rsid w:val="00621A84"/>
    <w:rsid w:val="00621C4F"/>
    <w:rsid w:val="00621C9C"/>
    <w:rsid w:val="00621F50"/>
    <w:rsid w:val="00622A83"/>
    <w:rsid w:val="00622C56"/>
    <w:rsid w:val="00622DE4"/>
    <w:rsid w:val="00622F5F"/>
    <w:rsid w:val="006238F7"/>
    <w:rsid w:val="00623BD3"/>
    <w:rsid w:val="00624108"/>
    <w:rsid w:val="006243C0"/>
    <w:rsid w:val="00624592"/>
    <w:rsid w:val="006245CB"/>
    <w:rsid w:val="006245D2"/>
    <w:rsid w:val="006247FB"/>
    <w:rsid w:val="00624CDF"/>
    <w:rsid w:val="00624E41"/>
    <w:rsid w:val="00624EB5"/>
    <w:rsid w:val="00625138"/>
    <w:rsid w:val="006251F9"/>
    <w:rsid w:val="0062539B"/>
    <w:rsid w:val="00625564"/>
    <w:rsid w:val="00626221"/>
    <w:rsid w:val="006263C0"/>
    <w:rsid w:val="00626664"/>
    <w:rsid w:val="00626A51"/>
    <w:rsid w:val="006274C3"/>
    <w:rsid w:val="0063057B"/>
    <w:rsid w:val="00630C47"/>
    <w:rsid w:val="0063106C"/>
    <w:rsid w:val="006311CE"/>
    <w:rsid w:val="00631B4D"/>
    <w:rsid w:val="00631BDE"/>
    <w:rsid w:val="006321AB"/>
    <w:rsid w:val="006325B5"/>
    <w:rsid w:val="00632D2C"/>
    <w:rsid w:val="00632FA8"/>
    <w:rsid w:val="00632FB6"/>
    <w:rsid w:val="006336D3"/>
    <w:rsid w:val="00633A5B"/>
    <w:rsid w:val="00633D96"/>
    <w:rsid w:val="00633E4E"/>
    <w:rsid w:val="00633E9E"/>
    <w:rsid w:val="006340AE"/>
    <w:rsid w:val="006344D9"/>
    <w:rsid w:val="00634712"/>
    <w:rsid w:val="006349BB"/>
    <w:rsid w:val="00634A6F"/>
    <w:rsid w:val="006350DB"/>
    <w:rsid w:val="00635113"/>
    <w:rsid w:val="0063536D"/>
    <w:rsid w:val="00635E8C"/>
    <w:rsid w:val="00635ECB"/>
    <w:rsid w:val="00636063"/>
    <w:rsid w:val="00636368"/>
    <w:rsid w:val="006364BC"/>
    <w:rsid w:val="00636BB5"/>
    <w:rsid w:val="00636C81"/>
    <w:rsid w:val="0063715E"/>
    <w:rsid w:val="006371D9"/>
    <w:rsid w:val="006373BB"/>
    <w:rsid w:val="0063755D"/>
    <w:rsid w:val="00637A90"/>
    <w:rsid w:val="00637CF0"/>
    <w:rsid w:val="00640440"/>
    <w:rsid w:val="0064097F"/>
    <w:rsid w:val="00640B38"/>
    <w:rsid w:val="00640D85"/>
    <w:rsid w:val="00640ECC"/>
    <w:rsid w:val="006410D0"/>
    <w:rsid w:val="006411F3"/>
    <w:rsid w:val="00641565"/>
    <w:rsid w:val="00641577"/>
    <w:rsid w:val="006419AC"/>
    <w:rsid w:val="00641A46"/>
    <w:rsid w:val="00641B6C"/>
    <w:rsid w:val="00641C19"/>
    <w:rsid w:val="00642347"/>
    <w:rsid w:val="0064263B"/>
    <w:rsid w:val="00642684"/>
    <w:rsid w:val="006428A1"/>
    <w:rsid w:val="00642A2B"/>
    <w:rsid w:val="0064314D"/>
    <w:rsid w:val="0064325A"/>
    <w:rsid w:val="006434EE"/>
    <w:rsid w:val="0064383B"/>
    <w:rsid w:val="00643B6B"/>
    <w:rsid w:val="00643D72"/>
    <w:rsid w:val="00644086"/>
    <w:rsid w:val="006441D6"/>
    <w:rsid w:val="006441E5"/>
    <w:rsid w:val="006442A1"/>
    <w:rsid w:val="006442A5"/>
    <w:rsid w:val="00644418"/>
    <w:rsid w:val="0064441A"/>
    <w:rsid w:val="00644BFB"/>
    <w:rsid w:val="00645076"/>
    <w:rsid w:val="00645521"/>
    <w:rsid w:val="00645778"/>
    <w:rsid w:val="00645A7C"/>
    <w:rsid w:val="00645CFD"/>
    <w:rsid w:val="00645D34"/>
    <w:rsid w:val="00645F27"/>
    <w:rsid w:val="00645FDC"/>
    <w:rsid w:val="006460CA"/>
    <w:rsid w:val="00646329"/>
    <w:rsid w:val="006463B8"/>
    <w:rsid w:val="006464CC"/>
    <w:rsid w:val="00646873"/>
    <w:rsid w:val="00646930"/>
    <w:rsid w:val="00646A61"/>
    <w:rsid w:val="00646FC4"/>
    <w:rsid w:val="0064722C"/>
    <w:rsid w:val="00647896"/>
    <w:rsid w:val="0064797E"/>
    <w:rsid w:val="00650D4E"/>
    <w:rsid w:val="00650D7F"/>
    <w:rsid w:val="0065105E"/>
    <w:rsid w:val="006514FF"/>
    <w:rsid w:val="00651527"/>
    <w:rsid w:val="006519C4"/>
    <w:rsid w:val="00651AA8"/>
    <w:rsid w:val="00651B45"/>
    <w:rsid w:val="00651C0E"/>
    <w:rsid w:val="0065206C"/>
    <w:rsid w:val="00652280"/>
    <w:rsid w:val="00652360"/>
    <w:rsid w:val="00652443"/>
    <w:rsid w:val="0065280C"/>
    <w:rsid w:val="0065280D"/>
    <w:rsid w:val="00652D4A"/>
    <w:rsid w:val="00652DF1"/>
    <w:rsid w:val="00652F14"/>
    <w:rsid w:val="0065318E"/>
    <w:rsid w:val="0065321B"/>
    <w:rsid w:val="006534E0"/>
    <w:rsid w:val="006536A2"/>
    <w:rsid w:val="00653D34"/>
    <w:rsid w:val="00654430"/>
    <w:rsid w:val="0065473B"/>
    <w:rsid w:val="00654784"/>
    <w:rsid w:val="00654B2B"/>
    <w:rsid w:val="00654DBC"/>
    <w:rsid w:val="006553ED"/>
    <w:rsid w:val="0065564A"/>
    <w:rsid w:val="006558A2"/>
    <w:rsid w:val="006558AC"/>
    <w:rsid w:val="0065620B"/>
    <w:rsid w:val="00656420"/>
    <w:rsid w:val="006569D2"/>
    <w:rsid w:val="00656D04"/>
    <w:rsid w:val="0065737D"/>
    <w:rsid w:val="006579F5"/>
    <w:rsid w:val="00657B56"/>
    <w:rsid w:val="00660440"/>
    <w:rsid w:val="00660537"/>
    <w:rsid w:val="00660B70"/>
    <w:rsid w:val="0066210B"/>
    <w:rsid w:val="006623B6"/>
    <w:rsid w:val="0066241C"/>
    <w:rsid w:val="0066292E"/>
    <w:rsid w:val="00662E78"/>
    <w:rsid w:val="006630BE"/>
    <w:rsid w:val="00663E7A"/>
    <w:rsid w:val="00664013"/>
    <w:rsid w:val="006643F4"/>
    <w:rsid w:val="00664416"/>
    <w:rsid w:val="00664561"/>
    <w:rsid w:val="006646D4"/>
    <w:rsid w:val="0066488A"/>
    <w:rsid w:val="00664CBC"/>
    <w:rsid w:val="00664D27"/>
    <w:rsid w:val="00664DF1"/>
    <w:rsid w:val="00665074"/>
    <w:rsid w:val="006656B7"/>
    <w:rsid w:val="00665E5B"/>
    <w:rsid w:val="006663DD"/>
    <w:rsid w:val="0066646E"/>
    <w:rsid w:val="006665D5"/>
    <w:rsid w:val="0066661A"/>
    <w:rsid w:val="0066662E"/>
    <w:rsid w:val="00667909"/>
    <w:rsid w:val="00667BC3"/>
    <w:rsid w:val="00667C3E"/>
    <w:rsid w:val="00667E50"/>
    <w:rsid w:val="006703B1"/>
    <w:rsid w:val="00670411"/>
    <w:rsid w:val="00670549"/>
    <w:rsid w:val="00670621"/>
    <w:rsid w:val="006709D4"/>
    <w:rsid w:val="00670BB6"/>
    <w:rsid w:val="0067141E"/>
    <w:rsid w:val="00671903"/>
    <w:rsid w:val="00671C34"/>
    <w:rsid w:val="00671F98"/>
    <w:rsid w:val="00672568"/>
    <w:rsid w:val="00672806"/>
    <w:rsid w:val="006728ED"/>
    <w:rsid w:val="00672AA8"/>
    <w:rsid w:val="00672EF3"/>
    <w:rsid w:val="00673064"/>
    <w:rsid w:val="006730A9"/>
    <w:rsid w:val="00673576"/>
    <w:rsid w:val="006736A2"/>
    <w:rsid w:val="006738FB"/>
    <w:rsid w:val="0067421E"/>
    <w:rsid w:val="00674A84"/>
    <w:rsid w:val="00674C64"/>
    <w:rsid w:val="00674D26"/>
    <w:rsid w:val="00675252"/>
    <w:rsid w:val="0067538B"/>
    <w:rsid w:val="00675463"/>
    <w:rsid w:val="00675464"/>
    <w:rsid w:val="00675695"/>
    <w:rsid w:val="006759D6"/>
    <w:rsid w:val="00675C57"/>
    <w:rsid w:val="00675E36"/>
    <w:rsid w:val="00676348"/>
    <w:rsid w:val="00676AC3"/>
    <w:rsid w:val="00676E97"/>
    <w:rsid w:val="00676EFB"/>
    <w:rsid w:val="00677717"/>
    <w:rsid w:val="00677990"/>
    <w:rsid w:val="006804D8"/>
    <w:rsid w:val="006804DB"/>
    <w:rsid w:val="006805BC"/>
    <w:rsid w:val="0068066C"/>
    <w:rsid w:val="00680684"/>
    <w:rsid w:val="00680B15"/>
    <w:rsid w:val="0068122A"/>
    <w:rsid w:val="00681271"/>
    <w:rsid w:val="00681B81"/>
    <w:rsid w:val="00681D72"/>
    <w:rsid w:val="00682252"/>
    <w:rsid w:val="006822BE"/>
    <w:rsid w:val="00682389"/>
    <w:rsid w:val="00682475"/>
    <w:rsid w:val="00682719"/>
    <w:rsid w:val="00682A30"/>
    <w:rsid w:val="00682A61"/>
    <w:rsid w:val="006831E7"/>
    <w:rsid w:val="00683297"/>
    <w:rsid w:val="006836D7"/>
    <w:rsid w:val="0068392C"/>
    <w:rsid w:val="00683AC5"/>
    <w:rsid w:val="00683C85"/>
    <w:rsid w:val="00683DC8"/>
    <w:rsid w:val="006841CB"/>
    <w:rsid w:val="0068439C"/>
    <w:rsid w:val="006845B5"/>
    <w:rsid w:val="00684D27"/>
    <w:rsid w:val="00684D75"/>
    <w:rsid w:val="00685074"/>
    <w:rsid w:val="006854B5"/>
    <w:rsid w:val="00685658"/>
    <w:rsid w:val="00685AF7"/>
    <w:rsid w:val="00685C66"/>
    <w:rsid w:val="00686040"/>
    <w:rsid w:val="006862A4"/>
    <w:rsid w:val="006864B8"/>
    <w:rsid w:val="00686781"/>
    <w:rsid w:val="00687235"/>
    <w:rsid w:val="00687808"/>
    <w:rsid w:val="006878A2"/>
    <w:rsid w:val="006879A3"/>
    <w:rsid w:val="00687CD8"/>
    <w:rsid w:val="006901A7"/>
    <w:rsid w:val="006903AF"/>
    <w:rsid w:val="00690477"/>
    <w:rsid w:val="006907F7"/>
    <w:rsid w:val="0069101C"/>
    <w:rsid w:val="00691540"/>
    <w:rsid w:val="00691737"/>
    <w:rsid w:val="00691CBB"/>
    <w:rsid w:val="00691F38"/>
    <w:rsid w:val="0069205D"/>
    <w:rsid w:val="006921A3"/>
    <w:rsid w:val="00692260"/>
    <w:rsid w:val="0069238E"/>
    <w:rsid w:val="00692748"/>
    <w:rsid w:val="00692AD0"/>
    <w:rsid w:val="00692B0F"/>
    <w:rsid w:val="0069320B"/>
    <w:rsid w:val="006936CE"/>
    <w:rsid w:val="00693831"/>
    <w:rsid w:val="0069398D"/>
    <w:rsid w:val="006940D6"/>
    <w:rsid w:val="00694166"/>
    <w:rsid w:val="006943B4"/>
    <w:rsid w:val="00694528"/>
    <w:rsid w:val="00694681"/>
    <w:rsid w:val="00694A6E"/>
    <w:rsid w:val="00694EA6"/>
    <w:rsid w:val="00695135"/>
    <w:rsid w:val="006955D8"/>
    <w:rsid w:val="00695EE2"/>
    <w:rsid w:val="00696446"/>
    <w:rsid w:val="006965EA"/>
    <w:rsid w:val="00696756"/>
    <w:rsid w:val="00696AA0"/>
    <w:rsid w:val="00696B1F"/>
    <w:rsid w:val="00696CA1"/>
    <w:rsid w:val="00696CFE"/>
    <w:rsid w:val="00696EE6"/>
    <w:rsid w:val="00697EB8"/>
    <w:rsid w:val="006A0572"/>
    <w:rsid w:val="006A0665"/>
    <w:rsid w:val="006A06E3"/>
    <w:rsid w:val="006A09D7"/>
    <w:rsid w:val="006A0CCF"/>
    <w:rsid w:val="006A10C6"/>
    <w:rsid w:val="006A153D"/>
    <w:rsid w:val="006A160C"/>
    <w:rsid w:val="006A186C"/>
    <w:rsid w:val="006A19C2"/>
    <w:rsid w:val="006A1B81"/>
    <w:rsid w:val="006A1C29"/>
    <w:rsid w:val="006A1F32"/>
    <w:rsid w:val="006A2354"/>
    <w:rsid w:val="006A24F8"/>
    <w:rsid w:val="006A2633"/>
    <w:rsid w:val="006A2701"/>
    <w:rsid w:val="006A2937"/>
    <w:rsid w:val="006A2B04"/>
    <w:rsid w:val="006A2C57"/>
    <w:rsid w:val="006A2EC2"/>
    <w:rsid w:val="006A3190"/>
    <w:rsid w:val="006A3396"/>
    <w:rsid w:val="006A3908"/>
    <w:rsid w:val="006A406B"/>
    <w:rsid w:val="006A4297"/>
    <w:rsid w:val="006A44D0"/>
    <w:rsid w:val="006A4986"/>
    <w:rsid w:val="006A4B4E"/>
    <w:rsid w:val="006A4CD8"/>
    <w:rsid w:val="006A4FCB"/>
    <w:rsid w:val="006A50C8"/>
    <w:rsid w:val="006A50CD"/>
    <w:rsid w:val="006A589F"/>
    <w:rsid w:val="006A5913"/>
    <w:rsid w:val="006A61F7"/>
    <w:rsid w:val="006A68D2"/>
    <w:rsid w:val="006A6D8E"/>
    <w:rsid w:val="006A6E41"/>
    <w:rsid w:val="006A70BF"/>
    <w:rsid w:val="006A7174"/>
    <w:rsid w:val="006A7249"/>
    <w:rsid w:val="006A78D4"/>
    <w:rsid w:val="006A7A65"/>
    <w:rsid w:val="006A7D0B"/>
    <w:rsid w:val="006B00C7"/>
    <w:rsid w:val="006B03AF"/>
    <w:rsid w:val="006B0486"/>
    <w:rsid w:val="006B0C88"/>
    <w:rsid w:val="006B0E3D"/>
    <w:rsid w:val="006B1486"/>
    <w:rsid w:val="006B17B1"/>
    <w:rsid w:val="006B1960"/>
    <w:rsid w:val="006B1D51"/>
    <w:rsid w:val="006B1DE7"/>
    <w:rsid w:val="006B1E47"/>
    <w:rsid w:val="006B2190"/>
    <w:rsid w:val="006B2428"/>
    <w:rsid w:val="006B243B"/>
    <w:rsid w:val="006B29BD"/>
    <w:rsid w:val="006B2D21"/>
    <w:rsid w:val="006B3486"/>
    <w:rsid w:val="006B3661"/>
    <w:rsid w:val="006B366B"/>
    <w:rsid w:val="006B36A0"/>
    <w:rsid w:val="006B3706"/>
    <w:rsid w:val="006B3C37"/>
    <w:rsid w:val="006B4027"/>
    <w:rsid w:val="006B4096"/>
    <w:rsid w:val="006B4CBF"/>
    <w:rsid w:val="006B54E4"/>
    <w:rsid w:val="006B5A74"/>
    <w:rsid w:val="006B6B99"/>
    <w:rsid w:val="006B6BAB"/>
    <w:rsid w:val="006B6F39"/>
    <w:rsid w:val="006B74AB"/>
    <w:rsid w:val="006B776C"/>
    <w:rsid w:val="006B7B0D"/>
    <w:rsid w:val="006B7CAB"/>
    <w:rsid w:val="006C0251"/>
    <w:rsid w:val="006C05B0"/>
    <w:rsid w:val="006C077E"/>
    <w:rsid w:val="006C07F1"/>
    <w:rsid w:val="006C1148"/>
    <w:rsid w:val="006C114B"/>
    <w:rsid w:val="006C1D1C"/>
    <w:rsid w:val="006C23B3"/>
    <w:rsid w:val="006C242E"/>
    <w:rsid w:val="006C2605"/>
    <w:rsid w:val="006C2857"/>
    <w:rsid w:val="006C2B78"/>
    <w:rsid w:val="006C2DCE"/>
    <w:rsid w:val="006C3B33"/>
    <w:rsid w:val="006C3E7E"/>
    <w:rsid w:val="006C4019"/>
    <w:rsid w:val="006C4238"/>
    <w:rsid w:val="006C4687"/>
    <w:rsid w:val="006C46C2"/>
    <w:rsid w:val="006C47AC"/>
    <w:rsid w:val="006C4B13"/>
    <w:rsid w:val="006C4D15"/>
    <w:rsid w:val="006C4D67"/>
    <w:rsid w:val="006C4EFB"/>
    <w:rsid w:val="006C4F47"/>
    <w:rsid w:val="006C52BA"/>
    <w:rsid w:val="006C567A"/>
    <w:rsid w:val="006C6503"/>
    <w:rsid w:val="006C655E"/>
    <w:rsid w:val="006C6BEC"/>
    <w:rsid w:val="006C6C40"/>
    <w:rsid w:val="006C6CCF"/>
    <w:rsid w:val="006C6D00"/>
    <w:rsid w:val="006C6D57"/>
    <w:rsid w:val="006C6FD5"/>
    <w:rsid w:val="006C7036"/>
    <w:rsid w:val="006C7140"/>
    <w:rsid w:val="006C74D9"/>
    <w:rsid w:val="006C7780"/>
    <w:rsid w:val="006C7BED"/>
    <w:rsid w:val="006C7DDF"/>
    <w:rsid w:val="006D0A4C"/>
    <w:rsid w:val="006D0F21"/>
    <w:rsid w:val="006D17FF"/>
    <w:rsid w:val="006D189D"/>
    <w:rsid w:val="006D1954"/>
    <w:rsid w:val="006D19A0"/>
    <w:rsid w:val="006D1B6B"/>
    <w:rsid w:val="006D1C29"/>
    <w:rsid w:val="006D1CD3"/>
    <w:rsid w:val="006D2494"/>
    <w:rsid w:val="006D29BC"/>
    <w:rsid w:val="006D2C8C"/>
    <w:rsid w:val="006D2F58"/>
    <w:rsid w:val="006D30C9"/>
    <w:rsid w:val="006D3341"/>
    <w:rsid w:val="006D36AA"/>
    <w:rsid w:val="006D36FB"/>
    <w:rsid w:val="006D379A"/>
    <w:rsid w:val="006D3D14"/>
    <w:rsid w:val="006D4417"/>
    <w:rsid w:val="006D4FBE"/>
    <w:rsid w:val="006D500E"/>
    <w:rsid w:val="006D5056"/>
    <w:rsid w:val="006D51E8"/>
    <w:rsid w:val="006D52A8"/>
    <w:rsid w:val="006D5E41"/>
    <w:rsid w:val="006D601C"/>
    <w:rsid w:val="006D60E1"/>
    <w:rsid w:val="006D632C"/>
    <w:rsid w:val="006D64E4"/>
    <w:rsid w:val="006D651E"/>
    <w:rsid w:val="006D6554"/>
    <w:rsid w:val="006D6686"/>
    <w:rsid w:val="006D6BF1"/>
    <w:rsid w:val="006D75FD"/>
    <w:rsid w:val="006D78F3"/>
    <w:rsid w:val="006D78F8"/>
    <w:rsid w:val="006D7A9C"/>
    <w:rsid w:val="006D7B57"/>
    <w:rsid w:val="006D7EAB"/>
    <w:rsid w:val="006D7F9C"/>
    <w:rsid w:val="006E019E"/>
    <w:rsid w:val="006E045E"/>
    <w:rsid w:val="006E051F"/>
    <w:rsid w:val="006E0C26"/>
    <w:rsid w:val="006E0C7F"/>
    <w:rsid w:val="006E0EE6"/>
    <w:rsid w:val="006E1223"/>
    <w:rsid w:val="006E1357"/>
    <w:rsid w:val="006E1BC3"/>
    <w:rsid w:val="006E1D13"/>
    <w:rsid w:val="006E20F9"/>
    <w:rsid w:val="006E23AB"/>
    <w:rsid w:val="006E2432"/>
    <w:rsid w:val="006E24A0"/>
    <w:rsid w:val="006E26C2"/>
    <w:rsid w:val="006E2AD0"/>
    <w:rsid w:val="006E2CDD"/>
    <w:rsid w:val="006E3755"/>
    <w:rsid w:val="006E37E5"/>
    <w:rsid w:val="006E3A63"/>
    <w:rsid w:val="006E3D1F"/>
    <w:rsid w:val="006E4194"/>
    <w:rsid w:val="006E4222"/>
    <w:rsid w:val="006E4372"/>
    <w:rsid w:val="006E444A"/>
    <w:rsid w:val="006E45A0"/>
    <w:rsid w:val="006E45ED"/>
    <w:rsid w:val="006E48B0"/>
    <w:rsid w:val="006E4AA0"/>
    <w:rsid w:val="006E4AAE"/>
    <w:rsid w:val="006E5568"/>
    <w:rsid w:val="006E5B9F"/>
    <w:rsid w:val="006E5F50"/>
    <w:rsid w:val="006E6A0C"/>
    <w:rsid w:val="006E6ACC"/>
    <w:rsid w:val="006E6EB0"/>
    <w:rsid w:val="006E6FC3"/>
    <w:rsid w:val="006E72AB"/>
    <w:rsid w:val="006E77CC"/>
    <w:rsid w:val="006E799E"/>
    <w:rsid w:val="006E79AD"/>
    <w:rsid w:val="006E7C97"/>
    <w:rsid w:val="006E7F3B"/>
    <w:rsid w:val="006F0239"/>
    <w:rsid w:val="006F0353"/>
    <w:rsid w:val="006F066C"/>
    <w:rsid w:val="006F087F"/>
    <w:rsid w:val="006F0C21"/>
    <w:rsid w:val="006F1F25"/>
    <w:rsid w:val="006F2583"/>
    <w:rsid w:val="006F308C"/>
    <w:rsid w:val="006F33DB"/>
    <w:rsid w:val="006F376C"/>
    <w:rsid w:val="006F3D61"/>
    <w:rsid w:val="006F3F60"/>
    <w:rsid w:val="006F45B9"/>
    <w:rsid w:val="006F4918"/>
    <w:rsid w:val="006F4B13"/>
    <w:rsid w:val="006F4D93"/>
    <w:rsid w:val="006F4F2C"/>
    <w:rsid w:val="006F5135"/>
    <w:rsid w:val="006F576E"/>
    <w:rsid w:val="006F5829"/>
    <w:rsid w:val="006F5833"/>
    <w:rsid w:val="006F5A67"/>
    <w:rsid w:val="006F5B61"/>
    <w:rsid w:val="006F668D"/>
    <w:rsid w:val="006F675A"/>
    <w:rsid w:val="006F6B64"/>
    <w:rsid w:val="006F6BD5"/>
    <w:rsid w:val="006F6F23"/>
    <w:rsid w:val="006F706B"/>
    <w:rsid w:val="006F7269"/>
    <w:rsid w:val="006F72CA"/>
    <w:rsid w:val="006F746D"/>
    <w:rsid w:val="006F777C"/>
    <w:rsid w:val="006F778F"/>
    <w:rsid w:val="006F7886"/>
    <w:rsid w:val="007000D0"/>
    <w:rsid w:val="00700238"/>
    <w:rsid w:val="007002B2"/>
    <w:rsid w:val="007003B1"/>
    <w:rsid w:val="00700755"/>
    <w:rsid w:val="00700B0B"/>
    <w:rsid w:val="00701067"/>
    <w:rsid w:val="00701091"/>
    <w:rsid w:val="00701369"/>
    <w:rsid w:val="007015A7"/>
    <w:rsid w:val="00701623"/>
    <w:rsid w:val="00701699"/>
    <w:rsid w:val="007020AA"/>
    <w:rsid w:val="007020FE"/>
    <w:rsid w:val="00702711"/>
    <w:rsid w:val="00702778"/>
    <w:rsid w:val="00702906"/>
    <w:rsid w:val="00702FB1"/>
    <w:rsid w:val="007030D8"/>
    <w:rsid w:val="00703209"/>
    <w:rsid w:val="007032D8"/>
    <w:rsid w:val="00703AFA"/>
    <w:rsid w:val="00703D10"/>
    <w:rsid w:val="00703D63"/>
    <w:rsid w:val="0070457F"/>
    <w:rsid w:val="00704825"/>
    <w:rsid w:val="00704898"/>
    <w:rsid w:val="007049C1"/>
    <w:rsid w:val="00704A98"/>
    <w:rsid w:val="00704BE2"/>
    <w:rsid w:val="00705040"/>
    <w:rsid w:val="00705149"/>
    <w:rsid w:val="0070531E"/>
    <w:rsid w:val="007054CB"/>
    <w:rsid w:val="0070591A"/>
    <w:rsid w:val="00705B2B"/>
    <w:rsid w:val="00706098"/>
    <w:rsid w:val="00706276"/>
    <w:rsid w:val="0070638B"/>
    <w:rsid w:val="007063D4"/>
    <w:rsid w:val="00706F76"/>
    <w:rsid w:val="007072F7"/>
    <w:rsid w:val="00707783"/>
    <w:rsid w:val="007079F1"/>
    <w:rsid w:val="00707D65"/>
    <w:rsid w:val="007100F4"/>
    <w:rsid w:val="007108DE"/>
    <w:rsid w:val="007109FD"/>
    <w:rsid w:val="00710A93"/>
    <w:rsid w:val="00710E30"/>
    <w:rsid w:val="00710F87"/>
    <w:rsid w:val="007111BB"/>
    <w:rsid w:val="007115C9"/>
    <w:rsid w:val="007117DE"/>
    <w:rsid w:val="00711D37"/>
    <w:rsid w:val="0071266C"/>
    <w:rsid w:val="007127A9"/>
    <w:rsid w:val="007128A2"/>
    <w:rsid w:val="00712D6C"/>
    <w:rsid w:val="00712F7F"/>
    <w:rsid w:val="0071313A"/>
    <w:rsid w:val="0071338E"/>
    <w:rsid w:val="007137CC"/>
    <w:rsid w:val="00713991"/>
    <w:rsid w:val="00713C56"/>
    <w:rsid w:val="0071448C"/>
    <w:rsid w:val="00714ED3"/>
    <w:rsid w:val="0071576A"/>
    <w:rsid w:val="007159C4"/>
    <w:rsid w:val="00715A71"/>
    <w:rsid w:val="00715B97"/>
    <w:rsid w:val="00715D4E"/>
    <w:rsid w:val="00715F25"/>
    <w:rsid w:val="00715FDC"/>
    <w:rsid w:val="00715FF5"/>
    <w:rsid w:val="007169B5"/>
    <w:rsid w:val="00716DD5"/>
    <w:rsid w:val="00717514"/>
    <w:rsid w:val="007175C3"/>
    <w:rsid w:val="00717630"/>
    <w:rsid w:val="00717828"/>
    <w:rsid w:val="007179C8"/>
    <w:rsid w:val="00717C6F"/>
    <w:rsid w:val="00717CAF"/>
    <w:rsid w:val="0072047F"/>
    <w:rsid w:val="00720598"/>
    <w:rsid w:val="00720706"/>
    <w:rsid w:val="00720721"/>
    <w:rsid w:val="00720CEA"/>
    <w:rsid w:val="007210FF"/>
    <w:rsid w:val="0072133C"/>
    <w:rsid w:val="0072148E"/>
    <w:rsid w:val="007214AE"/>
    <w:rsid w:val="007215BC"/>
    <w:rsid w:val="00721971"/>
    <w:rsid w:val="00722200"/>
    <w:rsid w:val="00722699"/>
    <w:rsid w:val="00722D4E"/>
    <w:rsid w:val="00722E5F"/>
    <w:rsid w:val="00722F6E"/>
    <w:rsid w:val="00723064"/>
    <w:rsid w:val="007234B3"/>
    <w:rsid w:val="007237AF"/>
    <w:rsid w:val="00723C9F"/>
    <w:rsid w:val="00724B93"/>
    <w:rsid w:val="00724C89"/>
    <w:rsid w:val="0072517E"/>
    <w:rsid w:val="0072557E"/>
    <w:rsid w:val="00725934"/>
    <w:rsid w:val="00725B1E"/>
    <w:rsid w:val="0072652D"/>
    <w:rsid w:val="00726621"/>
    <w:rsid w:val="00726D42"/>
    <w:rsid w:val="007277C8"/>
    <w:rsid w:val="00727BE8"/>
    <w:rsid w:val="00727CBC"/>
    <w:rsid w:val="007301CE"/>
    <w:rsid w:val="0073030A"/>
    <w:rsid w:val="007304AA"/>
    <w:rsid w:val="007305D5"/>
    <w:rsid w:val="007306F4"/>
    <w:rsid w:val="00730C4B"/>
    <w:rsid w:val="00730DC4"/>
    <w:rsid w:val="00730DE8"/>
    <w:rsid w:val="00730F4A"/>
    <w:rsid w:val="00730FDD"/>
    <w:rsid w:val="00731317"/>
    <w:rsid w:val="00731450"/>
    <w:rsid w:val="0073223D"/>
    <w:rsid w:val="00732385"/>
    <w:rsid w:val="007328AA"/>
    <w:rsid w:val="00732A23"/>
    <w:rsid w:val="00733131"/>
    <w:rsid w:val="00733149"/>
    <w:rsid w:val="007331BA"/>
    <w:rsid w:val="0073324E"/>
    <w:rsid w:val="00733505"/>
    <w:rsid w:val="00733760"/>
    <w:rsid w:val="00733924"/>
    <w:rsid w:val="00733ACA"/>
    <w:rsid w:val="00733C06"/>
    <w:rsid w:val="00733C56"/>
    <w:rsid w:val="00733D44"/>
    <w:rsid w:val="00733F61"/>
    <w:rsid w:val="007344D6"/>
    <w:rsid w:val="00734B64"/>
    <w:rsid w:val="00735132"/>
    <w:rsid w:val="007353D7"/>
    <w:rsid w:val="00735614"/>
    <w:rsid w:val="00735661"/>
    <w:rsid w:val="0073572D"/>
    <w:rsid w:val="00735B5B"/>
    <w:rsid w:val="00736AC1"/>
    <w:rsid w:val="00736BBE"/>
    <w:rsid w:val="00736EE1"/>
    <w:rsid w:val="00737344"/>
    <w:rsid w:val="0073795B"/>
    <w:rsid w:val="00737A44"/>
    <w:rsid w:val="00737BBE"/>
    <w:rsid w:val="00737E97"/>
    <w:rsid w:val="007401EC"/>
    <w:rsid w:val="0074028B"/>
    <w:rsid w:val="00740F17"/>
    <w:rsid w:val="00740F67"/>
    <w:rsid w:val="00740FF9"/>
    <w:rsid w:val="007410CC"/>
    <w:rsid w:val="007411AC"/>
    <w:rsid w:val="00741374"/>
    <w:rsid w:val="00741483"/>
    <w:rsid w:val="00741F57"/>
    <w:rsid w:val="00742408"/>
    <w:rsid w:val="00742756"/>
    <w:rsid w:val="007428CC"/>
    <w:rsid w:val="00743638"/>
    <w:rsid w:val="007437D6"/>
    <w:rsid w:val="00743EE5"/>
    <w:rsid w:val="00743F49"/>
    <w:rsid w:val="007442FD"/>
    <w:rsid w:val="00744353"/>
    <w:rsid w:val="00744647"/>
    <w:rsid w:val="007449F1"/>
    <w:rsid w:val="00744A1E"/>
    <w:rsid w:val="00744B7C"/>
    <w:rsid w:val="00744C92"/>
    <w:rsid w:val="00744F25"/>
    <w:rsid w:val="007452E4"/>
    <w:rsid w:val="0074545A"/>
    <w:rsid w:val="0074546D"/>
    <w:rsid w:val="0074574A"/>
    <w:rsid w:val="00745886"/>
    <w:rsid w:val="0074599B"/>
    <w:rsid w:val="007459EA"/>
    <w:rsid w:val="00745E59"/>
    <w:rsid w:val="0074615F"/>
    <w:rsid w:val="00746328"/>
    <w:rsid w:val="0074672B"/>
    <w:rsid w:val="00746868"/>
    <w:rsid w:val="0074692B"/>
    <w:rsid w:val="00746B3E"/>
    <w:rsid w:val="00747343"/>
    <w:rsid w:val="00747679"/>
    <w:rsid w:val="00747716"/>
    <w:rsid w:val="0074779F"/>
    <w:rsid w:val="00747FEA"/>
    <w:rsid w:val="0075013A"/>
    <w:rsid w:val="007504F3"/>
    <w:rsid w:val="00750771"/>
    <w:rsid w:val="00750ADA"/>
    <w:rsid w:val="00750AEA"/>
    <w:rsid w:val="00750BAA"/>
    <w:rsid w:val="00750D56"/>
    <w:rsid w:val="00750E72"/>
    <w:rsid w:val="00750FCA"/>
    <w:rsid w:val="00751948"/>
    <w:rsid w:val="0075204C"/>
    <w:rsid w:val="00752395"/>
    <w:rsid w:val="00752430"/>
    <w:rsid w:val="00752644"/>
    <w:rsid w:val="00752695"/>
    <w:rsid w:val="0075277D"/>
    <w:rsid w:val="00752BDC"/>
    <w:rsid w:val="00753112"/>
    <w:rsid w:val="00753A47"/>
    <w:rsid w:val="00753BC9"/>
    <w:rsid w:val="0075419C"/>
    <w:rsid w:val="0075427E"/>
    <w:rsid w:val="007544F5"/>
    <w:rsid w:val="007544F8"/>
    <w:rsid w:val="00754B4F"/>
    <w:rsid w:val="00755031"/>
    <w:rsid w:val="007550AB"/>
    <w:rsid w:val="007553DF"/>
    <w:rsid w:val="007553F1"/>
    <w:rsid w:val="007553F8"/>
    <w:rsid w:val="0075542D"/>
    <w:rsid w:val="00756081"/>
    <w:rsid w:val="007560D5"/>
    <w:rsid w:val="007562DF"/>
    <w:rsid w:val="00756E0B"/>
    <w:rsid w:val="007570DE"/>
    <w:rsid w:val="007571C3"/>
    <w:rsid w:val="00757B4E"/>
    <w:rsid w:val="00757C06"/>
    <w:rsid w:val="00757DC7"/>
    <w:rsid w:val="0076030A"/>
    <w:rsid w:val="0076092C"/>
    <w:rsid w:val="0076095E"/>
    <w:rsid w:val="00760D47"/>
    <w:rsid w:val="007612F1"/>
    <w:rsid w:val="00761499"/>
    <w:rsid w:val="007618F8"/>
    <w:rsid w:val="00761B0C"/>
    <w:rsid w:val="00761CED"/>
    <w:rsid w:val="00761D15"/>
    <w:rsid w:val="00761D7A"/>
    <w:rsid w:val="00761E71"/>
    <w:rsid w:val="00762023"/>
    <w:rsid w:val="00762AC9"/>
    <w:rsid w:val="00762E11"/>
    <w:rsid w:val="00762EE1"/>
    <w:rsid w:val="00763029"/>
    <w:rsid w:val="00763301"/>
    <w:rsid w:val="00763647"/>
    <w:rsid w:val="007636D1"/>
    <w:rsid w:val="00763A17"/>
    <w:rsid w:val="00763B99"/>
    <w:rsid w:val="00764381"/>
    <w:rsid w:val="007644F5"/>
    <w:rsid w:val="0076477D"/>
    <w:rsid w:val="0076489A"/>
    <w:rsid w:val="00764C8E"/>
    <w:rsid w:val="00764CEE"/>
    <w:rsid w:val="00764D81"/>
    <w:rsid w:val="00765093"/>
    <w:rsid w:val="007650B2"/>
    <w:rsid w:val="00765491"/>
    <w:rsid w:val="00765858"/>
    <w:rsid w:val="0076586F"/>
    <w:rsid w:val="00765970"/>
    <w:rsid w:val="00765DDB"/>
    <w:rsid w:val="00766333"/>
    <w:rsid w:val="0076650F"/>
    <w:rsid w:val="00766F2D"/>
    <w:rsid w:val="007670FF"/>
    <w:rsid w:val="007672D1"/>
    <w:rsid w:val="00767632"/>
    <w:rsid w:val="00767782"/>
    <w:rsid w:val="00767B97"/>
    <w:rsid w:val="00767EA9"/>
    <w:rsid w:val="00767FE4"/>
    <w:rsid w:val="007702A7"/>
    <w:rsid w:val="00770502"/>
    <w:rsid w:val="007705C0"/>
    <w:rsid w:val="00770717"/>
    <w:rsid w:val="00771085"/>
    <w:rsid w:val="007711DB"/>
    <w:rsid w:val="0077140C"/>
    <w:rsid w:val="0077155B"/>
    <w:rsid w:val="007715D4"/>
    <w:rsid w:val="00771657"/>
    <w:rsid w:val="00771D5B"/>
    <w:rsid w:val="00771D95"/>
    <w:rsid w:val="00772142"/>
    <w:rsid w:val="0077230D"/>
    <w:rsid w:val="0077257D"/>
    <w:rsid w:val="00772761"/>
    <w:rsid w:val="007727CD"/>
    <w:rsid w:val="00772C06"/>
    <w:rsid w:val="00772C66"/>
    <w:rsid w:val="00773B0B"/>
    <w:rsid w:val="00773D44"/>
    <w:rsid w:val="0077474F"/>
    <w:rsid w:val="00774B60"/>
    <w:rsid w:val="0077545B"/>
    <w:rsid w:val="00775823"/>
    <w:rsid w:val="007758FF"/>
    <w:rsid w:val="00775987"/>
    <w:rsid w:val="00775BB0"/>
    <w:rsid w:val="00775BCF"/>
    <w:rsid w:val="00775D44"/>
    <w:rsid w:val="00775E77"/>
    <w:rsid w:val="0077624A"/>
    <w:rsid w:val="007763FA"/>
    <w:rsid w:val="00776439"/>
    <w:rsid w:val="0077645A"/>
    <w:rsid w:val="0077656B"/>
    <w:rsid w:val="007766A4"/>
    <w:rsid w:val="00776A26"/>
    <w:rsid w:val="00776B87"/>
    <w:rsid w:val="00776FE8"/>
    <w:rsid w:val="00777025"/>
    <w:rsid w:val="0077728E"/>
    <w:rsid w:val="007775FF"/>
    <w:rsid w:val="00780124"/>
    <w:rsid w:val="00780318"/>
    <w:rsid w:val="0078043A"/>
    <w:rsid w:val="0078050A"/>
    <w:rsid w:val="007806B4"/>
    <w:rsid w:val="007806E5"/>
    <w:rsid w:val="00780803"/>
    <w:rsid w:val="0078093A"/>
    <w:rsid w:val="00780C47"/>
    <w:rsid w:val="00780F68"/>
    <w:rsid w:val="0078116A"/>
    <w:rsid w:val="007812A0"/>
    <w:rsid w:val="007812FD"/>
    <w:rsid w:val="0078180F"/>
    <w:rsid w:val="0078188A"/>
    <w:rsid w:val="00781F2C"/>
    <w:rsid w:val="007823C4"/>
    <w:rsid w:val="007823E5"/>
    <w:rsid w:val="007824D0"/>
    <w:rsid w:val="0078268A"/>
    <w:rsid w:val="00782FBE"/>
    <w:rsid w:val="0078321B"/>
    <w:rsid w:val="00783303"/>
    <w:rsid w:val="0078391E"/>
    <w:rsid w:val="007840DF"/>
    <w:rsid w:val="0078414B"/>
    <w:rsid w:val="00784222"/>
    <w:rsid w:val="00784988"/>
    <w:rsid w:val="00784B34"/>
    <w:rsid w:val="00784E34"/>
    <w:rsid w:val="00784FDD"/>
    <w:rsid w:val="007853E3"/>
    <w:rsid w:val="0078579C"/>
    <w:rsid w:val="00785962"/>
    <w:rsid w:val="007859BF"/>
    <w:rsid w:val="0078660D"/>
    <w:rsid w:val="0078682C"/>
    <w:rsid w:val="00786A49"/>
    <w:rsid w:val="00786FF3"/>
    <w:rsid w:val="00786FFA"/>
    <w:rsid w:val="007872E6"/>
    <w:rsid w:val="0078732B"/>
    <w:rsid w:val="00787761"/>
    <w:rsid w:val="00787A6E"/>
    <w:rsid w:val="00787AA6"/>
    <w:rsid w:val="00787CBC"/>
    <w:rsid w:val="00787D8E"/>
    <w:rsid w:val="007905C9"/>
    <w:rsid w:val="00790983"/>
    <w:rsid w:val="00790FAF"/>
    <w:rsid w:val="00790FB2"/>
    <w:rsid w:val="007911F2"/>
    <w:rsid w:val="007919BD"/>
    <w:rsid w:val="00791A32"/>
    <w:rsid w:val="00791A99"/>
    <w:rsid w:val="00792C90"/>
    <w:rsid w:val="00793455"/>
    <w:rsid w:val="0079361E"/>
    <w:rsid w:val="0079388D"/>
    <w:rsid w:val="00793A06"/>
    <w:rsid w:val="00793BCE"/>
    <w:rsid w:val="00794092"/>
    <w:rsid w:val="00794296"/>
    <w:rsid w:val="00794FD4"/>
    <w:rsid w:val="007956B9"/>
    <w:rsid w:val="00795C85"/>
    <w:rsid w:val="00795EFD"/>
    <w:rsid w:val="00795F8B"/>
    <w:rsid w:val="00795FF4"/>
    <w:rsid w:val="00796094"/>
    <w:rsid w:val="00796D7E"/>
    <w:rsid w:val="0079713E"/>
    <w:rsid w:val="00797161"/>
    <w:rsid w:val="0079723D"/>
    <w:rsid w:val="00797278"/>
    <w:rsid w:val="007974C7"/>
    <w:rsid w:val="00797AA6"/>
    <w:rsid w:val="00797DBF"/>
    <w:rsid w:val="00797E64"/>
    <w:rsid w:val="007A017F"/>
    <w:rsid w:val="007A0FAA"/>
    <w:rsid w:val="007A110F"/>
    <w:rsid w:val="007A175F"/>
    <w:rsid w:val="007A21C0"/>
    <w:rsid w:val="007A2551"/>
    <w:rsid w:val="007A2A6A"/>
    <w:rsid w:val="007A31B9"/>
    <w:rsid w:val="007A3762"/>
    <w:rsid w:val="007A3BF1"/>
    <w:rsid w:val="007A410C"/>
    <w:rsid w:val="007A4964"/>
    <w:rsid w:val="007A505A"/>
    <w:rsid w:val="007A532D"/>
    <w:rsid w:val="007A5418"/>
    <w:rsid w:val="007A5E80"/>
    <w:rsid w:val="007A64F5"/>
    <w:rsid w:val="007A663C"/>
    <w:rsid w:val="007A6716"/>
    <w:rsid w:val="007A6AFC"/>
    <w:rsid w:val="007A706F"/>
    <w:rsid w:val="007A70C9"/>
    <w:rsid w:val="007A730F"/>
    <w:rsid w:val="007A7A95"/>
    <w:rsid w:val="007A7BCC"/>
    <w:rsid w:val="007A7F10"/>
    <w:rsid w:val="007B00B3"/>
    <w:rsid w:val="007B0874"/>
    <w:rsid w:val="007B0D9F"/>
    <w:rsid w:val="007B1291"/>
    <w:rsid w:val="007B1804"/>
    <w:rsid w:val="007B22D9"/>
    <w:rsid w:val="007B289A"/>
    <w:rsid w:val="007B2A6E"/>
    <w:rsid w:val="007B2ABF"/>
    <w:rsid w:val="007B3083"/>
    <w:rsid w:val="007B33D3"/>
    <w:rsid w:val="007B3583"/>
    <w:rsid w:val="007B4182"/>
    <w:rsid w:val="007B43A3"/>
    <w:rsid w:val="007B485D"/>
    <w:rsid w:val="007B49C5"/>
    <w:rsid w:val="007B4CD6"/>
    <w:rsid w:val="007B5C9A"/>
    <w:rsid w:val="007B5C9C"/>
    <w:rsid w:val="007B5E31"/>
    <w:rsid w:val="007B60E4"/>
    <w:rsid w:val="007B60F6"/>
    <w:rsid w:val="007B6194"/>
    <w:rsid w:val="007B621C"/>
    <w:rsid w:val="007B68FC"/>
    <w:rsid w:val="007B6DA5"/>
    <w:rsid w:val="007B731E"/>
    <w:rsid w:val="007B759B"/>
    <w:rsid w:val="007B7C71"/>
    <w:rsid w:val="007B7F3A"/>
    <w:rsid w:val="007C0645"/>
    <w:rsid w:val="007C07BF"/>
    <w:rsid w:val="007C14CE"/>
    <w:rsid w:val="007C1520"/>
    <w:rsid w:val="007C1814"/>
    <w:rsid w:val="007C1883"/>
    <w:rsid w:val="007C1ECB"/>
    <w:rsid w:val="007C2560"/>
    <w:rsid w:val="007C2CC4"/>
    <w:rsid w:val="007C2F34"/>
    <w:rsid w:val="007C30DF"/>
    <w:rsid w:val="007C30EE"/>
    <w:rsid w:val="007C33E6"/>
    <w:rsid w:val="007C3497"/>
    <w:rsid w:val="007C37DA"/>
    <w:rsid w:val="007C3884"/>
    <w:rsid w:val="007C38B9"/>
    <w:rsid w:val="007C390C"/>
    <w:rsid w:val="007C3F7A"/>
    <w:rsid w:val="007C3FE8"/>
    <w:rsid w:val="007C43E7"/>
    <w:rsid w:val="007C44A4"/>
    <w:rsid w:val="007C4C99"/>
    <w:rsid w:val="007C518C"/>
    <w:rsid w:val="007C5338"/>
    <w:rsid w:val="007C5536"/>
    <w:rsid w:val="007C5780"/>
    <w:rsid w:val="007C5DE9"/>
    <w:rsid w:val="007C6A7B"/>
    <w:rsid w:val="007C6CC7"/>
    <w:rsid w:val="007C7458"/>
    <w:rsid w:val="007C7779"/>
    <w:rsid w:val="007C7927"/>
    <w:rsid w:val="007C7C51"/>
    <w:rsid w:val="007C7E53"/>
    <w:rsid w:val="007C7E5A"/>
    <w:rsid w:val="007D08B4"/>
    <w:rsid w:val="007D0994"/>
    <w:rsid w:val="007D0ABC"/>
    <w:rsid w:val="007D0FDE"/>
    <w:rsid w:val="007D110F"/>
    <w:rsid w:val="007D176C"/>
    <w:rsid w:val="007D1F6C"/>
    <w:rsid w:val="007D205A"/>
    <w:rsid w:val="007D2084"/>
    <w:rsid w:val="007D21F8"/>
    <w:rsid w:val="007D2359"/>
    <w:rsid w:val="007D2563"/>
    <w:rsid w:val="007D2C5B"/>
    <w:rsid w:val="007D39FB"/>
    <w:rsid w:val="007D39FE"/>
    <w:rsid w:val="007D3A3A"/>
    <w:rsid w:val="007D3C9A"/>
    <w:rsid w:val="007D4154"/>
    <w:rsid w:val="007D47DB"/>
    <w:rsid w:val="007D5A15"/>
    <w:rsid w:val="007D5A61"/>
    <w:rsid w:val="007D5A9E"/>
    <w:rsid w:val="007D5ACB"/>
    <w:rsid w:val="007D642D"/>
    <w:rsid w:val="007D6723"/>
    <w:rsid w:val="007D67E7"/>
    <w:rsid w:val="007D697F"/>
    <w:rsid w:val="007D6F51"/>
    <w:rsid w:val="007D7266"/>
    <w:rsid w:val="007D75E8"/>
    <w:rsid w:val="007D7EA9"/>
    <w:rsid w:val="007D7F41"/>
    <w:rsid w:val="007E0E98"/>
    <w:rsid w:val="007E0EC0"/>
    <w:rsid w:val="007E1207"/>
    <w:rsid w:val="007E13E7"/>
    <w:rsid w:val="007E1BB5"/>
    <w:rsid w:val="007E1CC6"/>
    <w:rsid w:val="007E2230"/>
    <w:rsid w:val="007E2865"/>
    <w:rsid w:val="007E2899"/>
    <w:rsid w:val="007E2E7A"/>
    <w:rsid w:val="007E3020"/>
    <w:rsid w:val="007E32AB"/>
    <w:rsid w:val="007E33B0"/>
    <w:rsid w:val="007E3507"/>
    <w:rsid w:val="007E3543"/>
    <w:rsid w:val="007E35AA"/>
    <w:rsid w:val="007E3658"/>
    <w:rsid w:val="007E36AE"/>
    <w:rsid w:val="007E3AA7"/>
    <w:rsid w:val="007E3AEC"/>
    <w:rsid w:val="007E3C2E"/>
    <w:rsid w:val="007E3FB1"/>
    <w:rsid w:val="007E4684"/>
    <w:rsid w:val="007E47F0"/>
    <w:rsid w:val="007E49E4"/>
    <w:rsid w:val="007E4BC0"/>
    <w:rsid w:val="007E4CEB"/>
    <w:rsid w:val="007E4E81"/>
    <w:rsid w:val="007E4F6E"/>
    <w:rsid w:val="007E53DA"/>
    <w:rsid w:val="007E53E5"/>
    <w:rsid w:val="007E5574"/>
    <w:rsid w:val="007E5647"/>
    <w:rsid w:val="007E578E"/>
    <w:rsid w:val="007E5871"/>
    <w:rsid w:val="007E5A2D"/>
    <w:rsid w:val="007E5CC6"/>
    <w:rsid w:val="007E5F4A"/>
    <w:rsid w:val="007E6D56"/>
    <w:rsid w:val="007E6FFF"/>
    <w:rsid w:val="007E7036"/>
    <w:rsid w:val="007E7164"/>
    <w:rsid w:val="007E76B5"/>
    <w:rsid w:val="007E7782"/>
    <w:rsid w:val="007E7E8B"/>
    <w:rsid w:val="007F0369"/>
    <w:rsid w:val="007F0B4D"/>
    <w:rsid w:val="007F0CA3"/>
    <w:rsid w:val="007F0CE0"/>
    <w:rsid w:val="007F0DE0"/>
    <w:rsid w:val="007F0F1E"/>
    <w:rsid w:val="007F0F22"/>
    <w:rsid w:val="007F10C0"/>
    <w:rsid w:val="007F1A3A"/>
    <w:rsid w:val="007F1BF5"/>
    <w:rsid w:val="007F21B8"/>
    <w:rsid w:val="007F2251"/>
    <w:rsid w:val="007F29A5"/>
    <w:rsid w:val="007F3147"/>
    <w:rsid w:val="007F3297"/>
    <w:rsid w:val="007F34C4"/>
    <w:rsid w:val="007F3574"/>
    <w:rsid w:val="007F36A4"/>
    <w:rsid w:val="007F422A"/>
    <w:rsid w:val="007F4444"/>
    <w:rsid w:val="007F46E0"/>
    <w:rsid w:val="007F48D5"/>
    <w:rsid w:val="007F4D4F"/>
    <w:rsid w:val="007F4E3D"/>
    <w:rsid w:val="007F55DB"/>
    <w:rsid w:val="007F562C"/>
    <w:rsid w:val="007F59CA"/>
    <w:rsid w:val="007F5C1A"/>
    <w:rsid w:val="007F62B0"/>
    <w:rsid w:val="007F63C5"/>
    <w:rsid w:val="007F63FC"/>
    <w:rsid w:val="007F67E2"/>
    <w:rsid w:val="007F6C5F"/>
    <w:rsid w:val="007F6E7B"/>
    <w:rsid w:val="007F6EE7"/>
    <w:rsid w:val="007F6F9D"/>
    <w:rsid w:val="007F714B"/>
    <w:rsid w:val="007F719B"/>
    <w:rsid w:val="007F751A"/>
    <w:rsid w:val="007F7ED1"/>
    <w:rsid w:val="0080020B"/>
    <w:rsid w:val="0080025D"/>
    <w:rsid w:val="00800742"/>
    <w:rsid w:val="00800A96"/>
    <w:rsid w:val="00801123"/>
    <w:rsid w:val="008017CD"/>
    <w:rsid w:val="00801EC4"/>
    <w:rsid w:val="0080228B"/>
    <w:rsid w:val="0080285F"/>
    <w:rsid w:val="0080312F"/>
    <w:rsid w:val="00803799"/>
    <w:rsid w:val="008043C4"/>
    <w:rsid w:val="00805456"/>
    <w:rsid w:val="008057AD"/>
    <w:rsid w:val="00805899"/>
    <w:rsid w:val="00805A8D"/>
    <w:rsid w:val="00805BEA"/>
    <w:rsid w:val="00806038"/>
    <w:rsid w:val="008062D0"/>
    <w:rsid w:val="008065F2"/>
    <w:rsid w:val="00806893"/>
    <w:rsid w:val="00806B9A"/>
    <w:rsid w:val="00806BD2"/>
    <w:rsid w:val="00806D37"/>
    <w:rsid w:val="008071F3"/>
    <w:rsid w:val="00807665"/>
    <w:rsid w:val="0080770F"/>
    <w:rsid w:val="00807C00"/>
    <w:rsid w:val="00807CBE"/>
    <w:rsid w:val="00807F52"/>
    <w:rsid w:val="00807F58"/>
    <w:rsid w:val="0081003D"/>
    <w:rsid w:val="008100C9"/>
    <w:rsid w:val="00810411"/>
    <w:rsid w:val="00810508"/>
    <w:rsid w:val="00810797"/>
    <w:rsid w:val="00810AE1"/>
    <w:rsid w:val="00810C19"/>
    <w:rsid w:val="00810E39"/>
    <w:rsid w:val="008114B8"/>
    <w:rsid w:val="00811863"/>
    <w:rsid w:val="0081186A"/>
    <w:rsid w:val="008121A8"/>
    <w:rsid w:val="008122E2"/>
    <w:rsid w:val="00812BD6"/>
    <w:rsid w:val="00813207"/>
    <w:rsid w:val="008134A6"/>
    <w:rsid w:val="0081356D"/>
    <w:rsid w:val="00814124"/>
    <w:rsid w:val="008141B2"/>
    <w:rsid w:val="008147E2"/>
    <w:rsid w:val="00814D2A"/>
    <w:rsid w:val="008152CE"/>
    <w:rsid w:val="008155D7"/>
    <w:rsid w:val="00815B06"/>
    <w:rsid w:val="00815CFF"/>
    <w:rsid w:val="00815F45"/>
    <w:rsid w:val="00815FBF"/>
    <w:rsid w:val="00816124"/>
    <w:rsid w:val="008167A4"/>
    <w:rsid w:val="008167D3"/>
    <w:rsid w:val="0081685A"/>
    <w:rsid w:val="008169B6"/>
    <w:rsid w:val="00816BBB"/>
    <w:rsid w:val="00816EB2"/>
    <w:rsid w:val="00816EE7"/>
    <w:rsid w:val="00817075"/>
    <w:rsid w:val="0081764C"/>
    <w:rsid w:val="008201B5"/>
    <w:rsid w:val="00820416"/>
    <w:rsid w:val="00820540"/>
    <w:rsid w:val="00820614"/>
    <w:rsid w:val="00820AE3"/>
    <w:rsid w:val="00821054"/>
    <w:rsid w:val="0082124B"/>
    <w:rsid w:val="0082163C"/>
    <w:rsid w:val="0082165C"/>
    <w:rsid w:val="00821A13"/>
    <w:rsid w:val="00821AC1"/>
    <w:rsid w:val="00821B80"/>
    <w:rsid w:val="00821EBD"/>
    <w:rsid w:val="00822261"/>
    <w:rsid w:val="0082232B"/>
    <w:rsid w:val="00822375"/>
    <w:rsid w:val="00822620"/>
    <w:rsid w:val="008227E2"/>
    <w:rsid w:val="00822953"/>
    <w:rsid w:val="008229B8"/>
    <w:rsid w:val="00822DB6"/>
    <w:rsid w:val="00823531"/>
    <w:rsid w:val="0082382D"/>
    <w:rsid w:val="00823954"/>
    <w:rsid w:val="00823CC8"/>
    <w:rsid w:val="00823DE1"/>
    <w:rsid w:val="00824210"/>
    <w:rsid w:val="0082428E"/>
    <w:rsid w:val="00824514"/>
    <w:rsid w:val="008245A4"/>
    <w:rsid w:val="00824A91"/>
    <w:rsid w:val="00824C2F"/>
    <w:rsid w:val="00824CAB"/>
    <w:rsid w:val="0082507C"/>
    <w:rsid w:val="00825DC2"/>
    <w:rsid w:val="0082616B"/>
    <w:rsid w:val="0082644E"/>
    <w:rsid w:val="008266B0"/>
    <w:rsid w:val="0082677A"/>
    <w:rsid w:val="00827140"/>
    <w:rsid w:val="0082769F"/>
    <w:rsid w:val="008279BE"/>
    <w:rsid w:val="00827F5C"/>
    <w:rsid w:val="008309CB"/>
    <w:rsid w:val="00830EE8"/>
    <w:rsid w:val="00830F7F"/>
    <w:rsid w:val="008316BF"/>
    <w:rsid w:val="008316E1"/>
    <w:rsid w:val="00832874"/>
    <w:rsid w:val="00832EC2"/>
    <w:rsid w:val="008331BF"/>
    <w:rsid w:val="00833359"/>
    <w:rsid w:val="0083336E"/>
    <w:rsid w:val="008334C3"/>
    <w:rsid w:val="00833A03"/>
    <w:rsid w:val="008347CB"/>
    <w:rsid w:val="008347F3"/>
    <w:rsid w:val="00834BB7"/>
    <w:rsid w:val="00834C78"/>
    <w:rsid w:val="00835211"/>
    <w:rsid w:val="00835221"/>
    <w:rsid w:val="00835326"/>
    <w:rsid w:val="008356CE"/>
    <w:rsid w:val="00835F1E"/>
    <w:rsid w:val="008365CF"/>
    <w:rsid w:val="00837058"/>
    <w:rsid w:val="008372D4"/>
    <w:rsid w:val="008375B6"/>
    <w:rsid w:val="00837A59"/>
    <w:rsid w:val="00837A74"/>
    <w:rsid w:val="008404CB"/>
    <w:rsid w:val="00840A97"/>
    <w:rsid w:val="00840B11"/>
    <w:rsid w:val="00840C73"/>
    <w:rsid w:val="00840EBD"/>
    <w:rsid w:val="00841402"/>
    <w:rsid w:val="00841593"/>
    <w:rsid w:val="008417E7"/>
    <w:rsid w:val="00841A47"/>
    <w:rsid w:val="00841E40"/>
    <w:rsid w:val="008421D5"/>
    <w:rsid w:val="00842306"/>
    <w:rsid w:val="0084296D"/>
    <w:rsid w:val="00842987"/>
    <w:rsid w:val="00843B53"/>
    <w:rsid w:val="00843BA6"/>
    <w:rsid w:val="00843D99"/>
    <w:rsid w:val="00844197"/>
    <w:rsid w:val="008441DA"/>
    <w:rsid w:val="00844316"/>
    <w:rsid w:val="00844833"/>
    <w:rsid w:val="00844AAB"/>
    <w:rsid w:val="00844C54"/>
    <w:rsid w:val="00845742"/>
    <w:rsid w:val="008459BA"/>
    <w:rsid w:val="00845DD9"/>
    <w:rsid w:val="00845FB9"/>
    <w:rsid w:val="008461E8"/>
    <w:rsid w:val="0084641E"/>
    <w:rsid w:val="0084679E"/>
    <w:rsid w:val="00846D73"/>
    <w:rsid w:val="00850076"/>
    <w:rsid w:val="0085014C"/>
    <w:rsid w:val="00850516"/>
    <w:rsid w:val="0085069F"/>
    <w:rsid w:val="00850874"/>
    <w:rsid w:val="00850D07"/>
    <w:rsid w:val="00850D45"/>
    <w:rsid w:val="00850F5F"/>
    <w:rsid w:val="00850FF0"/>
    <w:rsid w:val="00850FF8"/>
    <w:rsid w:val="008512BB"/>
    <w:rsid w:val="00851553"/>
    <w:rsid w:val="0085195A"/>
    <w:rsid w:val="00851C71"/>
    <w:rsid w:val="00851D60"/>
    <w:rsid w:val="0085236E"/>
    <w:rsid w:val="00852852"/>
    <w:rsid w:val="008528B6"/>
    <w:rsid w:val="00852AAD"/>
    <w:rsid w:val="008535B7"/>
    <w:rsid w:val="00853774"/>
    <w:rsid w:val="0085390E"/>
    <w:rsid w:val="00853B95"/>
    <w:rsid w:val="00853E17"/>
    <w:rsid w:val="00853EEA"/>
    <w:rsid w:val="00853F75"/>
    <w:rsid w:val="0085402B"/>
    <w:rsid w:val="008545CE"/>
    <w:rsid w:val="00854A62"/>
    <w:rsid w:val="00854B01"/>
    <w:rsid w:val="00854B32"/>
    <w:rsid w:val="00854B97"/>
    <w:rsid w:val="0085500F"/>
    <w:rsid w:val="008556CB"/>
    <w:rsid w:val="00855E23"/>
    <w:rsid w:val="0085613F"/>
    <w:rsid w:val="0085694F"/>
    <w:rsid w:val="008569E4"/>
    <w:rsid w:val="00856AAD"/>
    <w:rsid w:val="00857053"/>
    <w:rsid w:val="00857108"/>
    <w:rsid w:val="00857485"/>
    <w:rsid w:val="00857B65"/>
    <w:rsid w:val="008603FE"/>
    <w:rsid w:val="0086060E"/>
    <w:rsid w:val="00860740"/>
    <w:rsid w:val="00860B0C"/>
    <w:rsid w:val="00860B3B"/>
    <w:rsid w:val="0086110F"/>
    <w:rsid w:val="0086134C"/>
    <w:rsid w:val="008618FC"/>
    <w:rsid w:val="00861CB2"/>
    <w:rsid w:val="008620D7"/>
    <w:rsid w:val="008621D5"/>
    <w:rsid w:val="008624B3"/>
    <w:rsid w:val="00862500"/>
    <w:rsid w:val="0086267D"/>
    <w:rsid w:val="008627C2"/>
    <w:rsid w:val="008627F4"/>
    <w:rsid w:val="00862CF4"/>
    <w:rsid w:val="00862E4F"/>
    <w:rsid w:val="00862E66"/>
    <w:rsid w:val="00863BE6"/>
    <w:rsid w:val="00864802"/>
    <w:rsid w:val="00864B60"/>
    <w:rsid w:val="00865717"/>
    <w:rsid w:val="00865AD4"/>
    <w:rsid w:val="00865B03"/>
    <w:rsid w:val="00865D1E"/>
    <w:rsid w:val="00866271"/>
    <w:rsid w:val="008663AA"/>
    <w:rsid w:val="00866474"/>
    <w:rsid w:val="00866514"/>
    <w:rsid w:val="0086669A"/>
    <w:rsid w:val="00866ADF"/>
    <w:rsid w:val="0086727C"/>
    <w:rsid w:val="00867305"/>
    <w:rsid w:val="00867498"/>
    <w:rsid w:val="0086789C"/>
    <w:rsid w:val="008678B1"/>
    <w:rsid w:val="008679B4"/>
    <w:rsid w:val="00870200"/>
    <w:rsid w:val="008702C1"/>
    <w:rsid w:val="0087058F"/>
    <w:rsid w:val="00870618"/>
    <w:rsid w:val="0087065E"/>
    <w:rsid w:val="0087086B"/>
    <w:rsid w:val="008708A3"/>
    <w:rsid w:val="00870FB0"/>
    <w:rsid w:val="0087111F"/>
    <w:rsid w:val="008713F2"/>
    <w:rsid w:val="00871402"/>
    <w:rsid w:val="0087161F"/>
    <w:rsid w:val="0087186B"/>
    <w:rsid w:val="008718CE"/>
    <w:rsid w:val="00871A0B"/>
    <w:rsid w:val="00871C13"/>
    <w:rsid w:val="00871C63"/>
    <w:rsid w:val="00871FF9"/>
    <w:rsid w:val="00872099"/>
    <w:rsid w:val="008722CB"/>
    <w:rsid w:val="008723DC"/>
    <w:rsid w:val="00872795"/>
    <w:rsid w:val="00872C88"/>
    <w:rsid w:val="00873282"/>
    <w:rsid w:val="0087343B"/>
    <w:rsid w:val="00873556"/>
    <w:rsid w:val="00873D56"/>
    <w:rsid w:val="008740D5"/>
    <w:rsid w:val="0087467D"/>
    <w:rsid w:val="00875153"/>
    <w:rsid w:val="00875278"/>
    <w:rsid w:val="008753A7"/>
    <w:rsid w:val="008753EF"/>
    <w:rsid w:val="00875A63"/>
    <w:rsid w:val="008762EA"/>
    <w:rsid w:val="00876969"/>
    <w:rsid w:val="00876AE1"/>
    <w:rsid w:val="00876B3C"/>
    <w:rsid w:val="00876F65"/>
    <w:rsid w:val="008770F9"/>
    <w:rsid w:val="00877185"/>
    <w:rsid w:val="00877342"/>
    <w:rsid w:val="00877723"/>
    <w:rsid w:val="00877AEA"/>
    <w:rsid w:val="00877EA3"/>
    <w:rsid w:val="00880286"/>
    <w:rsid w:val="008802B8"/>
    <w:rsid w:val="008806BC"/>
    <w:rsid w:val="00880853"/>
    <w:rsid w:val="008808AF"/>
    <w:rsid w:val="00880B99"/>
    <w:rsid w:val="00880F3A"/>
    <w:rsid w:val="008812F5"/>
    <w:rsid w:val="0088180F"/>
    <w:rsid w:val="00881CF4"/>
    <w:rsid w:val="00881D3B"/>
    <w:rsid w:val="00881EC0"/>
    <w:rsid w:val="00881F33"/>
    <w:rsid w:val="00883069"/>
    <w:rsid w:val="008833F9"/>
    <w:rsid w:val="008839B3"/>
    <w:rsid w:val="00883F36"/>
    <w:rsid w:val="008841C1"/>
    <w:rsid w:val="0088458F"/>
    <w:rsid w:val="00884599"/>
    <w:rsid w:val="008854BA"/>
    <w:rsid w:val="00885A22"/>
    <w:rsid w:val="00885FD8"/>
    <w:rsid w:val="00886416"/>
    <w:rsid w:val="00886F54"/>
    <w:rsid w:val="008871F3"/>
    <w:rsid w:val="00887C4B"/>
    <w:rsid w:val="00890359"/>
    <w:rsid w:val="00890383"/>
    <w:rsid w:val="0089090E"/>
    <w:rsid w:val="00890FCB"/>
    <w:rsid w:val="0089143A"/>
    <w:rsid w:val="008919BB"/>
    <w:rsid w:val="00891F39"/>
    <w:rsid w:val="00892489"/>
    <w:rsid w:val="008924DA"/>
    <w:rsid w:val="008928B6"/>
    <w:rsid w:val="0089291A"/>
    <w:rsid w:val="00892C4A"/>
    <w:rsid w:val="00892D03"/>
    <w:rsid w:val="00892EC0"/>
    <w:rsid w:val="00892EF0"/>
    <w:rsid w:val="00893668"/>
    <w:rsid w:val="00893AED"/>
    <w:rsid w:val="00893BA4"/>
    <w:rsid w:val="00893D9E"/>
    <w:rsid w:val="00893E0F"/>
    <w:rsid w:val="00894001"/>
    <w:rsid w:val="00894654"/>
    <w:rsid w:val="008948D7"/>
    <w:rsid w:val="00894E29"/>
    <w:rsid w:val="0089542D"/>
    <w:rsid w:val="00895492"/>
    <w:rsid w:val="008954A8"/>
    <w:rsid w:val="00895562"/>
    <w:rsid w:val="00895752"/>
    <w:rsid w:val="0089587B"/>
    <w:rsid w:val="00896068"/>
    <w:rsid w:val="0089632D"/>
    <w:rsid w:val="00896523"/>
    <w:rsid w:val="00896634"/>
    <w:rsid w:val="00896663"/>
    <w:rsid w:val="00896CB2"/>
    <w:rsid w:val="00897232"/>
    <w:rsid w:val="00897C0A"/>
    <w:rsid w:val="00897C57"/>
    <w:rsid w:val="008A000A"/>
    <w:rsid w:val="008A065B"/>
    <w:rsid w:val="008A06AA"/>
    <w:rsid w:val="008A085C"/>
    <w:rsid w:val="008A0D7F"/>
    <w:rsid w:val="008A10D9"/>
    <w:rsid w:val="008A11B6"/>
    <w:rsid w:val="008A1605"/>
    <w:rsid w:val="008A1778"/>
    <w:rsid w:val="008A1F6E"/>
    <w:rsid w:val="008A2034"/>
    <w:rsid w:val="008A215A"/>
    <w:rsid w:val="008A220E"/>
    <w:rsid w:val="008A230B"/>
    <w:rsid w:val="008A234C"/>
    <w:rsid w:val="008A2763"/>
    <w:rsid w:val="008A2A3B"/>
    <w:rsid w:val="008A2FB3"/>
    <w:rsid w:val="008A3436"/>
    <w:rsid w:val="008A3678"/>
    <w:rsid w:val="008A394C"/>
    <w:rsid w:val="008A3D26"/>
    <w:rsid w:val="008A3DC5"/>
    <w:rsid w:val="008A3F95"/>
    <w:rsid w:val="008A49F9"/>
    <w:rsid w:val="008A523E"/>
    <w:rsid w:val="008A52D1"/>
    <w:rsid w:val="008A54C1"/>
    <w:rsid w:val="008A5AE3"/>
    <w:rsid w:val="008A6119"/>
    <w:rsid w:val="008A6331"/>
    <w:rsid w:val="008A6612"/>
    <w:rsid w:val="008A66FF"/>
    <w:rsid w:val="008A6864"/>
    <w:rsid w:val="008A6F76"/>
    <w:rsid w:val="008A72A4"/>
    <w:rsid w:val="008A7889"/>
    <w:rsid w:val="008A7E25"/>
    <w:rsid w:val="008A7ED5"/>
    <w:rsid w:val="008B06C8"/>
    <w:rsid w:val="008B076C"/>
    <w:rsid w:val="008B094F"/>
    <w:rsid w:val="008B0F91"/>
    <w:rsid w:val="008B110F"/>
    <w:rsid w:val="008B11D7"/>
    <w:rsid w:val="008B1981"/>
    <w:rsid w:val="008B219C"/>
    <w:rsid w:val="008B31A7"/>
    <w:rsid w:val="008B385E"/>
    <w:rsid w:val="008B3ABF"/>
    <w:rsid w:val="008B4172"/>
    <w:rsid w:val="008B42BD"/>
    <w:rsid w:val="008B4700"/>
    <w:rsid w:val="008B4798"/>
    <w:rsid w:val="008B4863"/>
    <w:rsid w:val="008B4935"/>
    <w:rsid w:val="008B4A7A"/>
    <w:rsid w:val="008B505F"/>
    <w:rsid w:val="008B5094"/>
    <w:rsid w:val="008B52B7"/>
    <w:rsid w:val="008B539E"/>
    <w:rsid w:val="008B557E"/>
    <w:rsid w:val="008B5EFF"/>
    <w:rsid w:val="008B6546"/>
    <w:rsid w:val="008B677C"/>
    <w:rsid w:val="008B6B4C"/>
    <w:rsid w:val="008B6B80"/>
    <w:rsid w:val="008B78DC"/>
    <w:rsid w:val="008B791E"/>
    <w:rsid w:val="008B7998"/>
    <w:rsid w:val="008B7C20"/>
    <w:rsid w:val="008B7F8C"/>
    <w:rsid w:val="008C0212"/>
    <w:rsid w:val="008C0FB4"/>
    <w:rsid w:val="008C10BD"/>
    <w:rsid w:val="008C1506"/>
    <w:rsid w:val="008C172B"/>
    <w:rsid w:val="008C198F"/>
    <w:rsid w:val="008C1BE4"/>
    <w:rsid w:val="008C219A"/>
    <w:rsid w:val="008C2BD2"/>
    <w:rsid w:val="008C3096"/>
    <w:rsid w:val="008C3111"/>
    <w:rsid w:val="008C3128"/>
    <w:rsid w:val="008C3238"/>
    <w:rsid w:val="008C3807"/>
    <w:rsid w:val="008C39F7"/>
    <w:rsid w:val="008C3D5F"/>
    <w:rsid w:val="008C3F3B"/>
    <w:rsid w:val="008C3FA5"/>
    <w:rsid w:val="008C47EE"/>
    <w:rsid w:val="008C483D"/>
    <w:rsid w:val="008C49E0"/>
    <w:rsid w:val="008C4B07"/>
    <w:rsid w:val="008C515F"/>
    <w:rsid w:val="008C5185"/>
    <w:rsid w:val="008C5719"/>
    <w:rsid w:val="008C598C"/>
    <w:rsid w:val="008C6035"/>
    <w:rsid w:val="008C624A"/>
    <w:rsid w:val="008C63BB"/>
    <w:rsid w:val="008C6B13"/>
    <w:rsid w:val="008C6BD3"/>
    <w:rsid w:val="008C7020"/>
    <w:rsid w:val="008C7352"/>
    <w:rsid w:val="008C765C"/>
    <w:rsid w:val="008C7AA2"/>
    <w:rsid w:val="008D0165"/>
    <w:rsid w:val="008D01F9"/>
    <w:rsid w:val="008D035E"/>
    <w:rsid w:val="008D08BD"/>
    <w:rsid w:val="008D091D"/>
    <w:rsid w:val="008D0DC2"/>
    <w:rsid w:val="008D11E8"/>
    <w:rsid w:val="008D19C8"/>
    <w:rsid w:val="008D1B3A"/>
    <w:rsid w:val="008D2651"/>
    <w:rsid w:val="008D2A58"/>
    <w:rsid w:val="008D2D3F"/>
    <w:rsid w:val="008D2EBB"/>
    <w:rsid w:val="008D31CE"/>
    <w:rsid w:val="008D33D6"/>
    <w:rsid w:val="008D3775"/>
    <w:rsid w:val="008D3928"/>
    <w:rsid w:val="008D3BE0"/>
    <w:rsid w:val="008D409A"/>
    <w:rsid w:val="008D40BE"/>
    <w:rsid w:val="008D467C"/>
    <w:rsid w:val="008D4AC1"/>
    <w:rsid w:val="008D4B34"/>
    <w:rsid w:val="008D4BCE"/>
    <w:rsid w:val="008D4D57"/>
    <w:rsid w:val="008D4D73"/>
    <w:rsid w:val="008D5011"/>
    <w:rsid w:val="008D502A"/>
    <w:rsid w:val="008D50E3"/>
    <w:rsid w:val="008D5107"/>
    <w:rsid w:val="008D5253"/>
    <w:rsid w:val="008D535E"/>
    <w:rsid w:val="008D5A11"/>
    <w:rsid w:val="008D5A89"/>
    <w:rsid w:val="008D5C5A"/>
    <w:rsid w:val="008D667A"/>
    <w:rsid w:val="008D6984"/>
    <w:rsid w:val="008D6AA4"/>
    <w:rsid w:val="008D6F2A"/>
    <w:rsid w:val="008D7014"/>
    <w:rsid w:val="008D71A4"/>
    <w:rsid w:val="008D7578"/>
    <w:rsid w:val="008D788A"/>
    <w:rsid w:val="008D7B06"/>
    <w:rsid w:val="008E0857"/>
    <w:rsid w:val="008E08B3"/>
    <w:rsid w:val="008E0A2B"/>
    <w:rsid w:val="008E11FD"/>
    <w:rsid w:val="008E13A5"/>
    <w:rsid w:val="008E1408"/>
    <w:rsid w:val="008E179C"/>
    <w:rsid w:val="008E18DB"/>
    <w:rsid w:val="008E19C2"/>
    <w:rsid w:val="008E1AE3"/>
    <w:rsid w:val="008E1E22"/>
    <w:rsid w:val="008E1F04"/>
    <w:rsid w:val="008E20C9"/>
    <w:rsid w:val="008E2330"/>
    <w:rsid w:val="008E2428"/>
    <w:rsid w:val="008E255C"/>
    <w:rsid w:val="008E26BF"/>
    <w:rsid w:val="008E27B4"/>
    <w:rsid w:val="008E2D57"/>
    <w:rsid w:val="008E2DA0"/>
    <w:rsid w:val="008E3076"/>
    <w:rsid w:val="008E31CA"/>
    <w:rsid w:val="008E33DF"/>
    <w:rsid w:val="008E342E"/>
    <w:rsid w:val="008E3441"/>
    <w:rsid w:val="008E42E2"/>
    <w:rsid w:val="008E43CF"/>
    <w:rsid w:val="008E4493"/>
    <w:rsid w:val="008E44EC"/>
    <w:rsid w:val="008E4538"/>
    <w:rsid w:val="008E45CE"/>
    <w:rsid w:val="008E465B"/>
    <w:rsid w:val="008E4C3F"/>
    <w:rsid w:val="008E4CCD"/>
    <w:rsid w:val="008E52CA"/>
    <w:rsid w:val="008E5B19"/>
    <w:rsid w:val="008E5B5E"/>
    <w:rsid w:val="008E5C43"/>
    <w:rsid w:val="008E65E4"/>
    <w:rsid w:val="008E6E07"/>
    <w:rsid w:val="008E7068"/>
    <w:rsid w:val="008E72FE"/>
    <w:rsid w:val="008E7409"/>
    <w:rsid w:val="008E758E"/>
    <w:rsid w:val="008E78DF"/>
    <w:rsid w:val="008E7AD3"/>
    <w:rsid w:val="008E7C11"/>
    <w:rsid w:val="008F0218"/>
    <w:rsid w:val="008F027B"/>
    <w:rsid w:val="008F0F05"/>
    <w:rsid w:val="008F11E6"/>
    <w:rsid w:val="008F1294"/>
    <w:rsid w:val="008F15D6"/>
    <w:rsid w:val="008F185C"/>
    <w:rsid w:val="008F1BDA"/>
    <w:rsid w:val="008F1C90"/>
    <w:rsid w:val="008F2216"/>
    <w:rsid w:val="008F22CD"/>
    <w:rsid w:val="008F25A9"/>
    <w:rsid w:val="008F2601"/>
    <w:rsid w:val="008F2DB6"/>
    <w:rsid w:val="008F2E84"/>
    <w:rsid w:val="008F3177"/>
    <w:rsid w:val="008F36BC"/>
    <w:rsid w:val="008F36C0"/>
    <w:rsid w:val="008F38BB"/>
    <w:rsid w:val="008F3E1E"/>
    <w:rsid w:val="008F41BC"/>
    <w:rsid w:val="008F460B"/>
    <w:rsid w:val="008F47C6"/>
    <w:rsid w:val="008F4935"/>
    <w:rsid w:val="008F4952"/>
    <w:rsid w:val="008F49CB"/>
    <w:rsid w:val="008F4D94"/>
    <w:rsid w:val="008F5251"/>
    <w:rsid w:val="008F54A3"/>
    <w:rsid w:val="008F5562"/>
    <w:rsid w:val="008F5641"/>
    <w:rsid w:val="008F586F"/>
    <w:rsid w:val="008F5F20"/>
    <w:rsid w:val="008F5F50"/>
    <w:rsid w:val="008F5F74"/>
    <w:rsid w:val="008F70CC"/>
    <w:rsid w:val="008F7851"/>
    <w:rsid w:val="008F7887"/>
    <w:rsid w:val="008F796C"/>
    <w:rsid w:val="008F7A34"/>
    <w:rsid w:val="00900216"/>
    <w:rsid w:val="00900325"/>
    <w:rsid w:val="00900430"/>
    <w:rsid w:val="00900742"/>
    <w:rsid w:val="00900B10"/>
    <w:rsid w:val="00900D87"/>
    <w:rsid w:val="00901049"/>
    <w:rsid w:val="0090119B"/>
    <w:rsid w:val="0090150B"/>
    <w:rsid w:val="00901813"/>
    <w:rsid w:val="00901905"/>
    <w:rsid w:val="00901A0F"/>
    <w:rsid w:val="00901E41"/>
    <w:rsid w:val="00902478"/>
    <w:rsid w:val="0090331C"/>
    <w:rsid w:val="009034FE"/>
    <w:rsid w:val="009037C8"/>
    <w:rsid w:val="0090384B"/>
    <w:rsid w:val="00903934"/>
    <w:rsid w:val="00903A9A"/>
    <w:rsid w:val="00903B3D"/>
    <w:rsid w:val="00903CB6"/>
    <w:rsid w:val="00904524"/>
    <w:rsid w:val="009049A2"/>
    <w:rsid w:val="00904DC8"/>
    <w:rsid w:val="00904F42"/>
    <w:rsid w:val="00904FA7"/>
    <w:rsid w:val="00904FEF"/>
    <w:rsid w:val="009050BA"/>
    <w:rsid w:val="00905702"/>
    <w:rsid w:val="00905874"/>
    <w:rsid w:val="0090599F"/>
    <w:rsid w:val="00905AD8"/>
    <w:rsid w:val="00905B62"/>
    <w:rsid w:val="00905BF9"/>
    <w:rsid w:val="00905D5D"/>
    <w:rsid w:val="0090616D"/>
    <w:rsid w:val="009062A1"/>
    <w:rsid w:val="00906892"/>
    <w:rsid w:val="00906B96"/>
    <w:rsid w:val="00906C62"/>
    <w:rsid w:val="00906E3C"/>
    <w:rsid w:val="00906F15"/>
    <w:rsid w:val="00906FD7"/>
    <w:rsid w:val="00907284"/>
    <w:rsid w:val="009076C7"/>
    <w:rsid w:val="0090778E"/>
    <w:rsid w:val="00907811"/>
    <w:rsid w:val="00907867"/>
    <w:rsid w:val="00907D02"/>
    <w:rsid w:val="00907D37"/>
    <w:rsid w:val="00907DBE"/>
    <w:rsid w:val="00907F78"/>
    <w:rsid w:val="00907FC9"/>
    <w:rsid w:val="0091019F"/>
    <w:rsid w:val="0091071B"/>
    <w:rsid w:val="00910763"/>
    <w:rsid w:val="00910C3F"/>
    <w:rsid w:val="0091155D"/>
    <w:rsid w:val="00911A51"/>
    <w:rsid w:val="00911A5C"/>
    <w:rsid w:val="00911FB9"/>
    <w:rsid w:val="00911FD0"/>
    <w:rsid w:val="00912370"/>
    <w:rsid w:val="00912488"/>
    <w:rsid w:val="0091257A"/>
    <w:rsid w:val="00912899"/>
    <w:rsid w:val="0091298E"/>
    <w:rsid w:val="00912DC5"/>
    <w:rsid w:val="00913038"/>
    <w:rsid w:val="00913118"/>
    <w:rsid w:val="00913579"/>
    <w:rsid w:val="009137DA"/>
    <w:rsid w:val="00913F28"/>
    <w:rsid w:val="00914027"/>
    <w:rsid w:val="009145D0"/>
    <w:rsid w:val="00914728"/>
    <w:rsid w:val="00914E77"/>
    <w:rsid w:val="009155AC"/>
    <w:rsid w:val="009159D8"/>
    <w:rsid w:val="00915A0D"/>
    <w:rsid w:val="00915BC9"/>
    <w:rsid w:val="00915D9A"/>
    <w:rsid w:val="00915DD0"/>
    <w:rsid w:val="00916F1D"/>
    <w:rsid w:val="009170EF"/>
    <w:rsid w:val="00917D88"/>
    <w:rsid w:val="0092018E"/>
    <w:rsid w:val="00920305"/>
    <w:rsid w:val="00920B63"/>
    <w:rsid w:val="00920EDF"/>
    <w:rsid w:val="0092130A"/>
    <w:rsid w:val="0092146B"/>
    <w:rsid w:val="0092208F"/>
    <w:rsid w:val="009221C8"/>
    <w:rsid w:val="00922506"/>
    <w:rsid w:val="009225C2"/>
    <w:rsid w:val="009226D1"/>
    <w:rsid w:val="0092278D"/>
    <w:rsid w:val="009227A5"/>
    <w:rsid w:val="0092296F"/>
    <w:rsid w:val="00922C63"/>
    <w:rsid w:val="0092308F"/>
    <w:rsid w:val="0092318E"/>
    <w:rsid w:val="0092398D"/>
    <w:rsid w:val="00923C4B"/>
    <w:rsid w:val="00923DCB"/>
    <w:rsid w:val="00923DD1"/>
    <w:rsid w:val="009242FD"/>
    <w:rsid w:val="00924727"/>
    <w:rsid w:val="009248E0"/>
    <w:rsid w:val="009248F6"/>
    <w:rsid w:val="00924C3B"/>
    <w:rsid w:val="009252FC"/>
    <w:rsid w:val="009253C7"/>
    <w:rsid w:val="009256E1"/>
    <w:rsid w:val="0092592F"/>
    <w:rsid w:val="00925B0E"/>
    <w:rsid w:val="00925F37"/>
    <w:rsid w:val="0092620B"/>
    <w:rsid w:val="00926249"/>
    <w:rsid w:val="0092632C"/>
    <w:rsid w:val="00926A26"/>
    <w:rsid w:val="00926F64"/>
    <w:rsid w:val="00927296"/>
    <w:rsid w:val="00927673"/>
    <w:rsid w:val="00927808"/>
    <w:rsid w:val="009304F8"/>
    <w:rsid w:val="009306B4"/>
    <w:rsid w:val="00930739"/>
    <w:rsid w:val="009308C3"/>
    <w:rsid w:val="009310E5"/>
    <w:rsid w:val="0093124A"/>
    <w:rsid w:val="00931D82"/>
    <w:rsid w:val="00931DDC"/>
    <w:rsid w:val="00932600"/>
    <w:rsid w:val="00932620"/>
    <w:rsid w:val="00932EE2"/>
    <w:rsid w:val="0093308F"/>
    <w:rsid w:val="009335BD"/>
    <w:rsid w:val="009335CD"/>
    <w:rsid w:val="0093368B"/>
    <w:rsid w:val="009339A2"/>
    <w:rsid w:val="00933CE8"/>
    <w:rsid w:val="00933D20"/>
    <w:rsid w:val="00933FCA"/>
    <w:rsid w:val="0093440F"/>
    <w:rsid w:val="009344E6"/>
    <w:rsid w:val="00934DD4"/>
    <w:rsid w:val="00934EA0"/>
    <w:rsid w:val="00935688"/>
    <w:rsid w:val="00935B58"/>
    <w:rsid w:val="00936112"/>
    <w:rsid w:val="009369EC"/>
    <w:rsid w:val="00936A1F"/>
    <w:rsid w:val="00936AE0"/>
    <w:rsid w:val="00936CC8"/>
    <w:rsid w:val="009371B4"/>
    <w:rsid w:val="009376DC"/>
    <w:rsid w:val="0093777E"/>
    <w:rsid w:val="00937816"/>
    <w:rsid w:val="00937A68"/>
    <w:rsid w:val="00937EE5"/>
    <w:rsid w:val="00940089"/>
    <w:rsid w:val="00940372"/>
    <w:rsid w:val="00940975"/>
    <w:rsid w:val="0094097A"/>
    <w:rsid w:val="00940A89"/>
    <w:rsid w:val="00940D0E"/>
    <w:rsid w:val="00940EE4"/>
    <w:rsid w:val="009413B9"/>
    <w:rsid w:val="00941438"/>
    <w:rsid w:val="009414B2"/>
    <w:rsid w:val="00941D06"/>
    <w:rsid w:val="00942188"/>
    <w:rsid w:val="0094290A"/>
    <w:rsid w:val="00942AB9"/>
    <w:rsid w:val="00943918"/>
    <w:rsid w:val="00944012"/>
    <w:rsid w:val="009440F9"/>
    <w:rsid w:val="0094480B"/>
    <w:rsid w:val="0094497C"/>
    <w:rsid w:val="00944B88"/>
    <w:rsid w:val="00944C84"/>
    <w:rsid w:val="00945765"/>
    <w:rsid w:val="009458FE"/>
    <w:rsid w:val="00945A5E"/>
    <w:rsid w:val="00945B0F"/>
    <w:rsid w:val="009460C6"/>
    <w:rsid w:val="00946415"/>
    <w:rsid w:val="00946C23"/>
    <w:rsid w:val="00946E10"/>
    <w:rsid w:val="009475D8"/>
    <w:rsid w:val="009508C7"/>
    <w:rsid w:val="00950D16"/>
    <w:rsid w:val="00950E2D"/>
    <w:rsid w:val="00950F09"/>
    <w:rsid w:val="00951499"/>
    <w:rsid w:val="009517B8"/>
    <w:rsid w:val="00951809"/>
    <w:rsid w:val="00951A4A"/>
    <w:rsid w:val="00951D3F"/>
    <w:rsid w:val="00952124"/>
    <w:rsid w:val="00952394"/>
    <w:rsid w:val="0095268C"/>
    <w:rsid w:val="009526D4"/>
    <w:rsid w:val="00952A58"/>
    <w:rsid w:val="00952ABB"/>
    <w:rsid w:val="00952B3D"/>
    <w:rsid w:val="00952E6F"/>
    <w:rsid w:val="009538BC"/>
    <w:rsid w:val="00953CFF"/>
    <w:rsid w:val="00953E51"/>
    <w:rsid w:val="009548A2"/>
    <w:rsid w:val="00954A46"/>
    <w:rsid w:val="009550ED"/>
    <w:rsid w:val="00955181"/>
    <w:rsid w:val="00955461"/>
    <w:rsid w:val="009554D9"/>
    <w:rsid w:val="0095587E"/>
    <w:rsid w:val="00955C70"/>
    <w:rsid w:val="00955CF1"/>
    <w:rsid w:val="00955E1F"/>
    <w:rsid w:val="0095673D"/>
    <w:rsid w:val="00956FEF"/>
    <w:rsid w:val="009570A8"/>
    <w:rsid w:val="009571C7"/>
    <w:rsid w:val="009573FA"/>
    <w:rsid w:val="009577BD"/>
    <w:rsid w:val="009578A4"/>
    <w:rsid w:val="009579E7"/>
    <w:rsid w:val="00957D52"/>
    <w:rsid w:val="0096021E"/>
    <w:rsid w:val="00960433"/>
    <w:rsid w:val="00960DD0"/>
    <w:rsid w:val="00960DEE"/>
    <w:rsid w:val="00961142"/>
    <w:rsid w:val="00961817"/>
    <w:rsid w:val="009619C2"/>
    <w:rsid w:val="00961A93"/>
    <w:rsid w:val="00961EA8"/>
    <w:rsid w:val="00962163"/>
    <w:rsid w:val="00962B71"/>
    <w:rsid w:val="00962FD5"/>
    <w:rsid w:val="009632E6"/>
    <w:rsid w:val="00963596"/>
    <w:rsid w:val="00963968"/>
    <w:rsid w:val="0096413E"/>
    <w:rsid w:val="00964229"/>
    <w:rsid w:val="009647B3"/>
    <w:rsid w:val="00965267"/>
    <w:rsid w:val="009655DD"/>
    <w:rsid w:val="0096572B"/>
    <w:rsid w:val="00965C76"/>
    <w:rsid w:val="00965D4B"/>
    <w:rsid w:val="00965E31"/>
    <w:rsid w:val="0096639D"/>
    <w:rsid w:val="009664D9"/>
    <w:rsid w:val="00966A14"/>
    <w:rsid w:val="00966CA6"/>
    <w:rsid w:val="00967088"/>
    <w:rsid w:val="009679AB"/>
    <w:rsid w:val="009679EC"/>
    <w:rsid w:val="00967BC7"/>
    <w:rsid w:val="00967C72"/>
    <w:rsid w:val="00970215"/>
    <w:rsid w:val="00970565"/>
    <w:rsid w:val="009707E1"/>
    <w:rsid w:val="00970ABA"/>
    <w:rsid w:val="0097188E"/>
    <w:rsid w:val="00971A4E"/>
    <w:rsid w:val="00971AB1"/>
    <w:rsid w:val="00971D47"/>
    <w:rsid w:val="00972001"/>
    <w:rsid w:val="0097202A"/>
    <w:rsid w:val="00972253"/>
    <w:rsid w:val="00972283"/>
    <w:rsid w:val="009728C9"/>
    <w:rsid w:val="00972B10"/>
    <w:rsid w:val="00972C05"/>
    <w:rsid w:val="00972FD5"/>
    <w:rsid w:val="00973225"/>
    <w:rsid w:val="00973486"/>
    <w:rsid w:val="00974227"/>
    <w:rsid w:val="00974473"/>
    <w:rsid w:val="009745E6"/>
    <w:rsid w:val="00974857"/>
    <w:rsid w:val="0097493C"/>
    <w:rsid w:val="00974BA7"/>
    <w:rsid w:val="00975033"/>
    <w:rsid w:val="0097526C"/>
    <w:rsid w:val="009755E5"/>
    <w:rsid w:val="0097572B"/>
    <w:rsid w:val="00975949"/>
    <w:rsid w:val="00975997"/>
    <w:rsid w:val="00975ADA"/>
    <w:rsid w:val="00975CEC"/>
    <w:rsid w:val="00975DBE"/>
    <w:rsid w:val="00975F18"/>
    <w:rsid w:val="00976628"/>
    <w:rsid w:val="00976915"/>
    <w:rsid w:val="00976B17"/>
    <w:rsid w:val="00976BFC"/>
    <w:rsid w:val="00976C13"/>
    <w:rsid w:val="00976F82"/>
    <w:rsid w:val="009771C8"/>
    <w:rsid w:val="00977363"/>
    <w:rsid w:val="009773FB"/>
    <w:rsid w:val="009774E2"/>
    <w:rsid w:val="0097760C"/>
    <w:rsid w:val="009778A0"/>
    <w:rsid w:val="00977911"/>
    <w:rsid w:val="00977A3F"/>
    <w:rsid w:val="00977B88"/>
    <w:rsid w:val="00977F00"/>
    <w:rsid w:val="009801BF"/>
    <w:rsid w:val="00980390"/>
    <w:rsid w:val="009806E8"/>
    <w:rsid w:val="00980891"/>
    <w:rsid w:val="00980AB2"/>
    <w:rsid w:val="00980D27"/>
    <w:rsid w:val="00980E2A"/>
    <w:rsid w:val="00980EAF"/>
    <w:rsid w:val="00980F1D"/>
    <w:rsid w:val="00980FBB"/>
    <w:rsid w:val="009812D6"/>
    <w:rsid w:val="00981821"/>
    <w:rsid w:val="009819CD"/>
    <w:rsid w:val="00981B66"/>
    <w:rsid w:val="0098239D"/>
    <w:rsid w:val="0098277E"/>
    <w:rsid w:val="00982A73"/>
    <w:rsid w:val="00982BD1"/>
    <w:rsid w:val="00982C05"/>
    <w:rsid w:val="00983041"/>
    <w:rsid w:val="00983121"/>
    <w:rsid w:val="00983237"/>
    <w:rsid w:val="009836A0"/>
    <w:rsid w:val="00983A4D"/>
    <w:rsid w:val="00983BBD"/>
    <w:rsid w:val="00983E08"/>
    <w:rsid w:val="009847BB"/>
    <w:rsid w:val="00984A15"/>
    <w:rsid w:val="00985998"/>
    <w:rsid w:val="00985A83"/>
    <w:rsid w:val="00985CA8"/>
    <w:rsid w:val="00985ED5"/>
    <w:rsid w:val="00986089"/>
    <w:rsid w:val="00986540"/>
    <w:rsid w:val="00986878"/>
    <w:rsid w:val="00986A49"/>
    <w:rsid w:val="00986AD1"/>
    <w:rsid w:val="00987320"/>
    <w:rsid w:val="00987331"/>
    <w:rsid w:val="00987858"/>
    <w:rsid w:val="00987A68"/>
    <w:rsid w:val="00987D8B"/>
    <w:rsid w:val="0099007D"/>
    <w:rsid w:val="009905AB"/>
    <w:rsid w:val="00990606"/>
    <w:rsid w:val="0099065D"/>
    <w:rsid w:val="00990882"/>
    <w:rsid w:val="0099092E"/>
    <w:rsid w:val="00991030"/>
    <w:rsid w:val="009915B3"/>
    <w:rsid w:val="009915FF"/>
    <w:rsid w:val="009916A8"/>
    <w:rsid w:val="009917E9"/>
    <w:rsid w:val="00991C26"/>
    <w:rsid w:val="00992002"/>
    <w:rsid w:val="00992774"/>
    <w:rsid w:val="00992A9A"/>
    <w:rsid w:val="0099315D"/>
    <w:rsid w:val="0099397E"/>
    <w:rsid w:val="00993C30"/>
    <w:rsid w:val="00994092"/>
    <w:rsid w:val="009942EB"/>
    <w:rsid w:val="00994656"/>
    <w:rsid w:val="009949F3"/>
    <w:rsid w:val="00995291"/>
    <w:rsid w:val="009952D2"/>
    <w:rsid w:val="00995301"/>
    <w:rsid w:val="0099584A"/>
    <w:rsid w:val="00995BC5"/>
    <w:rsid w:val="00995D38"/>
    <w:rsid w:val="00995EC2"/>
    <w:rsid w:val="00996197"/>
    <w:rsid w:val="0099629A"/>
    <w:rsid w:val="00996CCA"/>
    <w:rsid w:val="00996D4B"/>
    <w:rsid w:val="0099700F"/>
    <w:rsid w:val="009970CB"/>
    <w:rsid w:val="00997248"/>
    <w:rsid w:val="0099765E"/>
    <w:rsid w:val="009A00BC"/>
    <w:rsid w:val="009A087E"/>
    <w:rsid w:val="009A0968"/>
    <w:rsid w:val="009A0B6B"/>
    <w:rsid w:val="009A0B74"/>
    <w:rsid w:val="009A0E40"/>
    <w:rsid w:val="009A1036"/>
    <w:rsid w:val="009A120F"/>
    <w:rsid w:val="009A1307"/>
    <w:rsid w:val="009A16E7"/>
    <w:rsid w:val="009A1AC1"/>
    <w:rsid w:val="009A1C16"/>
    <w:rsid w:val="009A2084"/>
    <w:rsid w:val="009A2975"/>
    <w:rsid w:val="009A2C25"/>
    <w:rsid w:val="009A2DA1"/>
    <w:rsid w:val="009A2EAB"/>
    <w:rsid w:val="009A2F31"/>
    <w:rsid w:val="009A3C2F"/>
    <w:rsid w:val="009A448B"/>
    <w:rsid w:val="009A460D"/>
    <w:rsid w:val="009A4691"/>
    <w:rsid w:val="009A4DBB"/>
    <w:rsid w:val="009A4EFD"/>
    <w:rsid w:val="009A50F6"/>
    <w:rsid w:val="009A597F"/>
    <w:rsid w:val="009A66AC"/>
    <w:rsid w:val="009A6A9E"/>
    <w:rsid w:val="009A73DC"/>
    <w:rsid w:val="009A782A"/>
    <w:rsid w:val="009A7FD7"/>
    <w:rsid w:val="009B0333"/>
    <w:rsid w:val="009B05C1"/>
    <w:rsid w:val="009B05C9"/>
    <w:rsid w:val="009B083C"/>
    <w:rsid w:val="009B10A5"/>
    <w:rsid w:val="009B115C"/>
    <w:rsid w:val="009B11D6"/>
    <w:rsid w:val="009B120E"/>
    <w:rsid w:val="009B1443"/>
    <w:rsid w:val="009B14F9"/>
    <w:rsid w:val="009B1992"/>
    <w:rsid w:val="009B1DE9"/>
    <w:rsid w:val="009B1E94"/>
    <w:rsid w:val="009B1F1B"/>
    <w:rsid w:val="009B1F26"/>
    <w:rsid w:val="009B209D"/>
    <w:rsid w:val="009B25FD"/>
    <w:rsid w:val="009B2D19"/>
    <w:rsid w:val="009B2F6D"/>
    <w:rsid w:val="009B3967"/>
    <w:rsid w:val="009B39A3"/>
    <w:rsid w:val="009B401C"/>
    <w:rsid w:val="009B43D4"/>
    <w:rsid w:val="009B43F4"/>
    <w:rsid w:val="009B49E0"/>
    <w:rsid w:val="009B4F1B"/>
    <w:rsid w:val="009B5BE8"/>
    <w:rsid w:val="009B625B"/>
    <w:rsid w:val="009B6B17"/>
    <w:rsid w:val="009B6E2B"/>
    <w:rsid w:val="009B716C"/>
    <w:rsid w:val="009B7B80"/>
    <w:rsid w:val="009C0078"/>
    <w:rsid w:val="009C0364"/>
    <w:rsid w:val="009C03D5"/>
    <w:rsid w:val="009C0484"/>
    <w:rsid w:val="009C06FD"/>
    <w:rsid w:val="009C0770"/>
    <w:rsid w:val="009C0841"/>
    <w:rsid w:val="009C0C2A"/>
    <w:rsid w:val="009C0CCE"/>
    <w:rsid w:val="009C0EE1"/>
    <w:rsid w:val="009C0EEB"/>
    <w:rsid w:val="009C1497"/>
    <w:rsid w:val="009C14C3"/>
    <w:rsid w:val="009C184B"/>
    <w:rsid w:val="009C1F82"/>
    <w:rsid w:val="009C227B"/>
    <w:rsid w:val="009C24BC"/>
    <w:rsid w:val="009C25D1"/>
    <w:rsid w:val="009C25FE"/>
    <w:rsid w:val="009C26A2"/>
    <w:rsid w:val="009C2C64"/>
    <w:rsid w:val="009C2C65"/>
    <w:rsid w:val="009C3637"/>
    <w:rsid w:val="009C3991"/>
    <w:rsid w:val="009C3A65"/>
    <w:rsid w:val="009C3B51"/>
    <w:rsid w:val="009C3CA4"/>
    <w:rsid w:val="009C456B"/>
    <w:rsid w:val="009C46FA"/>
    <w:rsid w:val="009C47C0"/>
    <w:rsid w:val="009C47DA"/>
    <w:rsid w:val="009C4B2D"/>
    <w:rsid w:val="009C4C2C"/>
    <w:rsid w:val="009C4ECC"/>
    <w:rsid w:val="009C501F"/>
    <w:rsid w:val="009C532D"/>
    <w:rsid w:val="009C546A"/>
    <w:rsid w:val="009C571B"/>
    <w:rsid w:val="009C589D"/>
    <w:rsid w:val="009C5F7B"/>
    <w:rsid w:val="009C6118"/>
    <w:rsid w:val="009C62BA"/>
    <w:rsid w:val="009C6471"/>
    <w:rsid w:val="009C64FD"/>
    <w:rsid w:val="009C664C"/>
    <w:rsid w:val="009C67AC"/>
    <w:rsid w:val="009C697B"/>
    <w:rsid w:val="009C6AE6"/>
    <w:rsid w:val="009C6C36"/>
    <w:rsid w:val="009C70A3"/>
    <w:rsid w:val="009C7642"/>
    <w:rsid w:val="009C778D"/>
    <w:rsid w:val="009D016B"/>
    <w:rsid w:val="009D065A"/>
    <w:rsid w:val="009D0BA5"/>
    <w:rsid w:val="009D0C7B"/>
    <w:rsid w:val="009D0DB5"/>
    <w:rsid w:val="009D0F0A"/>
    <w:rsid w:val="009D1332"/>
    <w:rsid w:val="009D1385"/>
    <w:rsid w:val="009D1853"/>
    <w:rsid w:val="009D18A2"/>
    <w:rsid w:val="009D1947"/>
    <w:rsid w:val="009D1D3C"/>
    <w:rsid w:val="009D23BE"/>
    <w:rsid w:val="009D26D9"/>
    <w:rsid w:val="009D31BD"/>
    <w:rsid w:val="009D356E"/>
    <w:rsid w:val="009D3629"/>
    <w:rsid w:val="009D3826"/>
    <w:rsid w:val="009D4271"/>
    <w:rsid w:val="009D44F6"/>
    <w:rsid w:val="009D4646"/>
    <w:rsid w:val="009D472A"/>
    <w:rsid w:val="009D551A"/>
    <w:rsid w:val="009D55D0"/>
    <w:rsid w:val="009D59E9"/>
    <w:rsid w:val="009D5B92"/>
    <w:rsid w:val="009D6026"/>
    <w:rsid w:val="009D614B"/>
    <w:rsid w:val="009D6212"/>
    <w:rsid w:val="009D6615"/>
    <w:rsid w:val="009D697A"/>
    <w:rsid w:val="009D6B16"/>
    <w:rsid w:val="009D6C60"/>
    <w:rsid w:val="009D7602"/>
    <w:rsid w:val="009D77E7"/>
    <w:rsid w:val="009D7946"/>
    <w:rsid w:val="009D7CB9"/>
    <w:rsid w:val="009E0121"/>
    <w:rsid w:val="009E02E3"/>
    <w:rsid w:val="009E046A"/>
    <w:rsid w:val="009E05E7"/>
    <w:rsid w:val="009E0757"/>
    <w:rsid w:val="009E0835"/>
    <w:rsid w:val="009E0918"/>
    <w:rsid w:val="009E0A71"/>
    <w:rsid w:val="009E0C74"/>
    <w:rsid w:val="009E12BE"/>
    <w:rsid w:val="009E1AEF"/>
    <w:rsid w:val="009E1B4B"/>
    <w:rsid w:val="009E1D4A"/>
    <w:rsid w:val="009E1F03"/>
    <w:rsid w:val="009E21B3"/>
    <w:rsid w:val="009E2D5A"/>
    <w:rsid w:val="009E3388"/>
    <w:rsid w:val="009E3685"/>
    <w:rsid w:val="009E3863"/>
    <w:rsid w:val="009E45AA"/>
    <w:rsid w:val="009E47BA"/>
    <w:rsid w:val="009E47DD"/>
    <w:rsid w:val="009E4C96"/>
    <w:rsid w:val="009E501F"/>
    <w:rsid w:val="009E521F"/>
    <w:rsid w:val="009E5A33"/>
    <w:rsid w:val="009E5AF4"/>
    <w:rsid w:val="009E5CEF"/>
    <w:rsid w:val="009E5E2A"/>
    <w:rsid w:val="009E6427"/>
    <w:rsid w:val="009E64CD"/>
    <w:rsid w:val="009E6C1C"/>
    <w:rsid w:val="009E6E05"/>
    <w:rsid w:val="009E6E19"/>
    <w:rsid w:val="009E6E59"/>
    <w:rsid w:val="009E7026"/>
    <w:rsid w:val="009E7035"/>
    <w:rsid w:val="009E72F1"/>
    <w:rsid w:val="009E75AA"/>
    <w:rsid w:val="009E7B31"/>
    <w:rsid w:val="009E7B54"/>
    <w:rsid w:val="009F018C"/>
    <w:rsid w:val="009F04AE"/>
    <w:rsid w:val="009F092A"/>
    <w:rsid w:val="009F0ADD"/>
    <w:rsid w:val="009F0B67"/>
    <w:rsid w:val="009F0C98"/>
    <w:rsid w:val="009F0CB2"/>
    <w:rsid w:val="009F0FDE"/>
    <w:rsid w:val="009F1245"/>
    <w:rsid w:val="009F13E7"/>
    <w:rsid w:val="009F140B"/>
    <w:rsid w:val="009F145D"/>
    <w:rsid w:val="009F148D"/>
    <w:rsid w:val="009F1784"/>
    <w:rsid w:val="009F1E89"/>
    <w:rsid w:val="009F2239"/>
    <w:rsid w:val="009F24CC"/>
    <w:rsid w:val="009F2552"/>
    <w:rsid w:val="009F27E2"/>
    <w:rsid w:val="009F27E4"/>
    <w:rsid w:val="009F2A3F"/>
    <w:rsid w:val="009F2C3B"/>
    <w:rsid w:val="009F2F2D"/>
    <w:rsid w:val="009F358B"/>
    <w:rsid w:val="009F3C24"/>
    <w:rsid w:val="009F4014"/>
    <w:rsid w:val="009F43D3"/>
    <w:rsid w:val="009F475C"/>
    <w:rsid w:val="009F4862"/>
    <w:rsid w:val="009F49BA"/>
    <w:rsid w:val="009F4B67"/>
    <w:rsid w:val="009F4EE9"/>
    <w:rsid w:val="009F51AF"/>
    <w:rsid w:val="009F5780"/>
    <w:rsid w:val="009F59C0"/>
    <w:rsid w:val="009F5B8C"/>
    <w:rsid w:val="009F625B"/>
    <w:rsid w:val="009F63AE"/>
    <w:rsid w:val="009F6842"/>
    <w:rsid w:val="009F6DFE"/>
    <w:rsid w:val="009F6E1A"/>
    <w:rsid w:val="009F6F25"/>
    <w:rsid w:val="009F73A5"/>
    <w:rsid w:val="009F79EA"/>
    <w:rsid w:val="009F7A01"/>
    <w:rsid w:val="00A0067C"/>
    <w:rsid w:val="00A0072A"/>
    <w:rsid w:val="00A00AB0"/>
    <w:rsid w:val="00A00CC0"/>
    <w:rsid w:val="00A00DDA"/>
    <w:rsid w:val="00A00FC5"/>
    <w:rsid w:val="00A013B9"/>
    <w:rsid w:val="00A013F2"/>
    <w:rsid w:val="00A01CB8"/>
    <w:rsid w:val="00A01F59"/>
    <w:rsid w:val="00A02DDA"/>
    <w:rsid w:val="00A02DE5"/>
    <w:rsid w:val="00A0308E"/>
    <w:rsid w:val="00A032B9"/>
    <w:rsid w:val="00A03425"/>
    <w:rsid w:val="00A038B8"/>
    <w:rsid w:val="00A03A1A"/>
    <w:rsid w:val="00A03B1F"/>
    <w:rsid w:val="00A04096"/>
    <w:rsid w:val="00A043A5"/>
    <w:rsid w:val="00A044C3"/>
    <w:rsid w:val="00A04620"/>
    <w:rsid w:val="00A04810"/>
    <w:rsid w:val="00A048E1"/>
    <w:rsid w:val="00A04A79"/>
    <w:rsid w:val="00A04C67"/>
    <w:rsid w:val="00A051C2"/>
    <w:rsid w:val="00A051E7"/>
    <w:rsid w:val="00A052B7"/>
    <w:rsid w:val="00A0576D"/>
    <w:rsid w:val="00A05AA4"/>
    <w:rsid w:val="00A05C9A"/>
    <w:rsid w:val="00A05FA2"/>
    <w:rsid w:val="00A0622E"/>
    <w:rsid w:val="00A062AA"/>
    <w:rsid w:val="00A06773"/>
    <w:rsid w:val="00A06AAE"/>
    <w:rsid w:val="00A06B91"/>
    <w:rsid w:val="00A07715"/>
    <w:rsid w:val="00A0798F"/>
    <w:rsid w:val="00A079E7"/>
    <w:rsid w:val="00A10ACD"/>
    <w:rsid w:val="00A10B03"/>
    <w:rsid w:val="00A10B68"/>
    <w:rsid w:val="00A10CF3"/>
    <w:rsid w:val="00A10D2A"/>
    <w:rsid w:val="00A111F7"/>
    <w:rsid w:val="00A1165C"/>
    <w:rsid w:val="00A11C83"/>
    <w:rsid w:val="00A11EFE"/>
    <w:rsid w:val="00A13146"/>
    <w:rsid w:val="00A1336A"/>
    <w:rsid w:val="00A135E2"/>
    <w:rsid w:val="00A13BAE"/>
    <w:rsid w:val="00A14881"/>
    <w:rsid w:val="00A14A13"/>
    <w:rsid w:val="00A14A96"/>
    <w:rsid w:val="00A14D4B"/>
    <w:rsid w:val="00A151B8"/>
    <w:rsid w:val="00A154C9"/>
    <w:rsid w:val="00A15753"/>
    <w:rsid w:val="00A15836"/>
    <w:rsid w:val="00A15849"/>
    <w:rsid w:val="00A15D11"/>
    <w:rsid w:val="00A15DA2"/>
    <w:rsid w:val="00A15DEB"/>
    <w:rsid w:val="00A15E48"/>
    <w:rsid w:val="00A15FDA"/>
    <w:rsid w:val="00A1698B"/>
    <w:rsid w:val="00A16BB2"/>
    <w:rsid w:val="00A17372"/>
    <w:rsid w:val="00A17695"/>
    <w:rsid w:val="00A17BB9"/>
    <w:rsid w:val="00A17E8A"/>
    <w:rsid w:val="00A20159"/>
    <w:rsid w:val="00A20166"/>
    <w:rsid w:val="00A201C9"/>
    <w:rsid w:val="00A2065F"/>
    <w:rsid w:val="00A208FF"/>
    <w:rsid w:val="00A20B3E"/>
    <w:rsid w:val="00A20B7D"/>
    <w:rsid w:val="00A20BDD"/>
    <w:rsid w:val="00A20CFA"/>
    <w:rsid w:val="00A2111E"/>
    <w:rsid w:val="00A214A1"/>
    <w:rsid w:val="00A21B0C"/>
    <w:rsid w:val="00A21F6C"/>
    <w:rsid w:val="00A2219A"/>
    <w:rsid w:val="00A221B2"/>
    <w:rsid w:val="00A221B9"/>
    <w:rsid w:val="00A2229B"/>
    <w:rsid w:val="00A223EF"/>
    <w:rsid w:val="00A226DE"/>
    <w:rsid w:val="00A22826"/>
    <w:rsid w:val="00A23155"/>
    <w:rsid w:val="00A23242"/>
    <w:rsid w:val="00A235C5"/>
    <w:rsid w:val="00A235F0"/>
    <w:rsid w:val="00A24659"/>
    <w:rsid w:val="00A24B6B"/>
    <w:rsid w:val="00A24BC9"/>
    <w:rsid w:val="00A24EE7"/>
    <w:rsid w:val="00A24F11"/>
    <w:rsid w:val="00A2527E"/>
    <w:rsid w:val="00A25327"/>
    <w:rsid w:val="00A25462"/>
    <w:rsid w:val="00A254D7"/>
    <w:rsid w:val="00A257CE"/>
    <w:rsid w:val="00A259E6"/>
    <w:rsid w:val="00A25DDA"/>
    <w:rsid w:val="00A26363"/>
    <w:rsid w:val="00A263FE"/>
    <w:rsid w:val="00A2647E"/>
    <w:rsid w:val="00A265E1"/>
    <w:rsid w:val="00A26B58"/>
    <w:rsid w:val="00A26CE3"/>
    <w:rsid w:val="00A26F8A"/>
    <w:rsid w:val="00A27514"/>
    <w:rsid w:val="00A27685"/>
    <w:rsid w:val="00A3002E"/>
    <w:rsid w:val="00A30232"/>
    <w:rsid w:val="00A30727"/>
    <w:rsid w:val="00A30D0B"/>
    <w:rsid w:val="00A315BF"/>
    <w:rsid w:val="00A3215E"/>
    <w:rsid w:val="00A32237"/>
    <w:rsid w:val="00A32915"/>
    <w:rsid w:val="00A3292D"/>
    <w:rsid w:val="00A329FB"/>
    <w:rsid w:val="00A32B5C"/>
    <w:rsid w:val="00A32E8F"/>
    <w:rsid w:val="00A332CD"/>
    <w:rsid w:val="00A333E1"/>
    <w:rsid w:val="00A33576"/>
    <w:rsid w:val="00A33754"/>
    <w:rsid w:val="00A33B18"/>
    <w:rsid w:val="00A33CD9"/>
    <w:rsid w:val="00A33F7D"/>
    <w:rsid w:val="00A3442E"/>
    <w:rsid w:val="00A34A08"/>
    <w:rsid w:val="00A34C24"/>
    <w:rsid w:val="00A34CD4"/>
    <w:rsid w:val="00A34EFC"/>
    <w:rsid w:val="00A350CB"/>
    <w:rsid w:val="00A355DD"/>
    <w:rsid w:val="00A35665"/>
    <w:rsid w:val="00A356A4"/>
    <w:rsid w:val="00A35745"/>
    <w:rsid w:val="00A358BF"/>
    <w:rsid w:val="00A35C9A"/>
    <w:rsid w:val="00A35EA5"/>
    <w:rsid w:val="00A35F32"/>
    <w:rsid w:val="00A35F5F"/>
    <w:rsid w:val="00A35FFC"/>
    <w:rsid w:val="00A36DF6"/>
    <w:rsid w:val="00A371B6"/>
    <w:rsid w:val="00A371CC"/>
    <w:rsid w:val="00A37524"/>
    <w:rsid w:val="00A37615"/>
    <w:rsid w:val="00A40333"/>
    <w:rsid w:val="00A409F6"/>
    <w:rsid w:val="00A40C40"/>
    <w:rsid w:val="00A40E97"/>
    <w:rsid w:val="00A40F7B"/>
    <w:rsid w:val="00A414D0"/>
    <w:rsid w:val="00A4184A"/>
    <w:rsid w:val="00A41A1D"/>
    <w:rsid w:val="00A41D95"/>
    <w:rsid w:val="00A424D7"/>
    <w:rsid w:val="00A424D9"/>
    <w:rsid w:val="00A427AD"/>
    <w:rsid w:val="00A4290F"/>
    <w:rsid w:val="00A42AEB"/>
    <w:rsid w:val="00A42C6A"/>
    <w:rsid w:val="00A42E68"/>
    <w:rsid w:val="00A4332D"/>
    <w:rsid w:val="00A43AF3"/>
    <w:rsid w:val="00A43C0F"/>
    <w:rsid w:val="00A440C0"/>
    <w:rsid w:val="00A44145"/>
    <w:rsid w:val="00A44282"/>
    <w:rsid w:val="00A442D7"/>
    <w:rsid w:val="00A445C6"/>
    <w:rsid w:val="00A44719"/>
    <w:rsid w:val="00A44D4D"/>
    <w:rsid w:val="00A44FDA"/>
    <w:rsid w:val="00A454B7"/>
    <w:rsid w:val="00A45D53"/>
    <w:rsid w:val="00A4664E"/>
    <w:rsid w:val="00A46678"/>
    <w:rsid w:val="00A46BB6"/>
    <w:rsid w:val="00A46BBD"/>
    <w:rsid w:val="00A46CDB"/>
    <w:rsid w:val="00A46DD1"/>
    <w:rsid w:val="00A46E41"/>
    <w:rsid w:val="00A46F4D"/>
    <w:rsid w:val="00A4783B"/>
    <w:rsid w:val="00A47858"/>
    <w:rsid w:val="00A478D1"/>
    <w:rsid w:val="00A47984"/>
    <w:rsid w:val="00A47A87"/>
    <w:rsid w:val="00A47E9A"/>
    <w:rsid w:val="00A503B8"/>
    <w:rsid w:val="00A5045C"/>
    <w:rsid w:val="00A50720"/>
    <w:rsid w:val="00A50966"/>
    <w:rsid w:val="00A513AF"/>
    <w:rsid w:val="00A513EC"/>
    <w:rsid w:val="00A513FC"/>
    <w:rsid w:val="00A5249C"/>
    <w:rsid w:val="00A52538"/>
    <w:rsid w:val="00A5253D"/>
    <w:rsid w:val="00A52D69"/>
    <w:rsid w:val="00A52F52"/>
    <w:rsid w:val="00A53041"/>
    <w:rsid w:val="00A530CE"/>
    <w:rsid w:val="00A532E5"/>
    <w:rsid w:val="00A53657"/>
    <w:rsid w:val="00A5370B"/>
    <w:rsid w:val="00A53BD7"/>
    <w:rsid w:val="00A53C84"/>
    <w:rsid w:val="00A53F3C"/>
    <w:rsid w:val="00A5438D"/>
    <w:rsid w:val="00A54466"/>
    <w:rsid w:val="00A5446A"/>
    <w:rsid w:val="00A545A4"/>
    <w:rsid w:val="00A545FF"/>
    <w:rsid w:val="00A547B8"/>
    <w:rsid w:val="00A54A0F"/>
    <w:rsid w:val="00A5500D"/>
    <w:rsid w:val="00A5595B"/>
    <w:rsid w:val="00A55D20"/>
    <w:rsid w:val="00A5604D"/>
    <w:rsid w:val="00A56645"/>
    <w:rsid w:val="00A56AD1"/>
    <w:rsid w:val="00A56C07"/>
    <w:rsid w:val="00A56C46"/>
    <w:rsid w:val="00A56D48"/>
    <w:rsid w:val="00A571BE"/>
    <w:rsid w:val="00A575A0"/>
    <w:rsid w:val="00A57F72"/>
    <w:rsid w:val="00A60025"/>
    <w:rsid w:val="00A602B9"/>
    <w:rsid w:val="00A60D4F"/>
    <w:rsid w:val="00A612D2"/>
    <w:rsid w:val="00A61364"/>
    <w:rsid w:val="00A61923"/>
    <w:rsid w:val="00A61AF9"/>
    <w:rsid w:val="00A61BAB"/>
    <w:rsid w:val="00A61E90"/>
    <w:rsid w:val="00A61EF9"/>
    <w:rsid w:val="00A6201C"/>
    <w:rsid w:val="00A62183"/>
    <w:rsid w:val="00A622D0"/>
    <w:rsid w:val="00A627D9"/>
    <w:rsid w:val="00A627EA"/>
    <w:rsid w:val="00A62A0B"/>
    <w:rsid w:val="00A62E08"/>
    <w:rsid w:val="00A62E3A"/>
    <w:rsid w:val="00A6311A"/>
    <w:rsid w:val="00A633F2"/>
    <w:rsid w:val="00A639E0"/>
    <w:rsid w:val="00A63C8A"/>
    <w:rsid w:val="00A63DE9"/>
    <w:rsid w:val="00A63E70"/>
    <w:rsid w:val="00A63EAD"/>
    <w:rsid w:val="00A642E2"/>
    <w:rsid w:val="00A644B9"/>
    <w:rsid w:val="00A64B36"/>
    <w:rsid w:val="00A64B59"/>
    <w:rsid w:val="00A64E04"/>
    <w:rsid w:val="00A64E54"/>
    <w:rsid w:val="00A64E72"/>
    <w:rsid w:val="00A6520C"/>
    <w:rsid w:val="00A654C0"/>
    <w:rsid w:val="00A65899"/>
    <w:rsid w:val="00A658B0"/>
    <w:rsid w:val="00A659B2"/>
    <w:rsid w:val="00A659E2"/>
    <w:rsid w:val="00A65ACF"/>
    <w:rsid w:val="00A65C13"/>
    <w:rsid w:val="00A65E09"/>
    <w:rsid w:val="00A660FE"/>
    <w:rsid w:val="00A66533"/>
    <w:rsid w:val="00A66627"/>
    <w:rsid w:val="00A66A3F"/>
    <w:rsid w:val="00A66BEA"/>
    <w:rsid w:val="00A66E87"/>
    <w:rsid w:val="00A66F6B"/>
    <w:rsid w:val="00A6725B"/>
    <w:rsid w:val="00A672C5"/>
    <w:rsid w:val="00A673A2"/>
    <w:rsid w:val="00A6755D"/>
    <w:rsid w:val="00A677E0"/>
    <w:rsid w:val="00A700D3"/>
    <w:rsid w:val="00A7064F"/>
    <w:rsid w:val="00A707B1"/>
    <w:rsid w:val="00A708CF"/>
    <w:rsid w:val="00A70A5F"/>
    <w:rsid w:val="00A70B28"/>
    <w:rsid w:val="00A70CDD"/>
    <w:rsid w:val="00A71163"/>
    <w:rsid w:val="00A7137C"/>
    <w:rsid w:val="00A71573"/>
    <w:rsid w:val="00A71894"/>
    <w:rsid w:val="00A71CA0"/>
    <w:rsid w:val="00A71EC0"/>
    <w:rsid w:val="00A71FF1"/>
    <w:rsid w:val="00A7245B"/>
    <w:rsid w:val="00A72527"/>
    <w:rsid w:val="00A7267E"/>
    <w:rsid w:val="00A72753"/>
    <w:rsid w:val="00A727F2"/>
    <w:rsid w:val="00A728C7"/>
    <w:rsid w:val="00A72EAE"/>
    <w:rsid w:val="00A72F9E"/>
    <w:rsid w:val="00A73047"/>
    <w:rsid w:val="00A73210"/>
    <w:rsid w:val="00A7324A"/>
    <w:rsid w:val="00A73363"/>
    <w:rsid w:val="00A733E5"/>
    <w:rsid w:val="00A73CB3"/>
    <w:rsid w:val="00A74042"/>
    <w:rsid w:val="00A7453E"/>
    <w:rsid w:val="00A747E0"/>
    <w:rsid w:val="00A74F55"/>
    <w:rsid w:val="00A7509D"/>
    <w:rsid w:val="00A7578B"/>
    <w:rsid w:val="00A75A93"/>
    <w:rsid w:val="00A75BC5"/>
    <w:rsid w:val="00A75C7D"/>
    <w:rsid w:val="00A76107"/>
    <w:rsid w:val="00A765BC"/>
    <w:rsid w:val="00A766B4"/>
    <w:rsid w:val="00A76775"/>
    <w:rsid w:val="00A7677B"/>
    <w:rsid w:val="00A768FE"/>
    <w:rsid w:val="00A76B5C"/>
    <w:rsid w:val="00A76BAC"/>
    <w:rsid w:val="00A76D0B"/>
    <w:rsid w:val="00A7723D"/>
    <w:rsid w:val="00A77A39"/>
    <w:rsid w:val="00A77B9C"/>
    <w:rsid w:val="00A77D21"/>
    <w:rsid w:val="00A77F33"/>
    <w:rsid w:val="00A80316"/>
    <w:rsid w:val="00A8061A"/>
    <w:rsid w:val="00A80F78"/>
    <w:rsid w:val="00A813D3"/>
    <w:rsid w:val="00A81ADC"/>
    <w:rsid w:val="00A81C1F"/>
    <w:rsid w:val="00A82176"/>
    <w:rsid w:val="00A82ACB"/>
    <w:rsid w:val="00A82D94"/>
    <w:rsid w:val="00A834C9"/>
    <w:rsid w:val="00A83855"/>
    <w:rsid w:val="00A83985"/>
    <w:rsid w:val="00A83DCF"/>
    <w:rsid w:val="00A83F48"/>
    <w:rsid w:val="00A8402D"/>
    <w:rsid w:val="00A840B3"/>
    <w:rsid w:val="00A842A6"/>
    <w:rsid w:val="00A8445E"/>
    <w:rsid w:val="00A84571"/>
    <w:rsid w:val="00A84BC0"/>
    <w:rsid w:val="00A84BD1"/>
    <w:rsid w:val="00A84FE2"/>
    <w:rsid w:val="00A853D8"/>
    <w:rsid w:val="00A854E8"/>
    <w:rsid w:val="00A8629B"/>
    <w:rsid w:val="00A8673E"/>
    <w:rsid w:val="00A86A61"/>
    <w:rsid w:val="00A86D15"/>
    <w:rsid w:val="00A8726E"/>
    <w:rsid w:val="00A87BA0"/>
    <w:rsid w:val="00A905FD"/>
    <w:rsid w:val="00A90653"/>
    <w:rsid w:val="00A906A4"/>
    <w:rsid w:val="00A906F9"/>
    <w:rsid w:val="00A90B69"/>
    <w:rsid w:val="00A90C1B"/>
    <w:rsid w:val="00A911AB"/>
    <w:rsid w:val="00A911CB"/>
    <w:rsid w:val="00A92003"/>
    <w:rsid w:val="00A92151"/>
    <w:rsid w:val="00A92286"/>
    <w:rsid w:val="00A92608"/>
    <w:rsid w:val="00A92680"/>
    <w:rsid w:val="00A92A7B"/>
    <w:rsid w:val="00A92C38"/>
    <w:rsid w:val="00A92CEF"/>
    <w:rsid w:val="00A93093"/>
    <w:rsid w:val="00A930BD"/>
    <w:rsid w:val="00A93207"/>
    <w:rsid w:val="00A9346E"/>
    <w:rsid w:val="00A937D4"/>
    <w:rsid w:val="00A937EE"/>
    <w:rsid w:val="00A93C83"/>
    <w:rsid w:val="00A945D1"/>
    <w:rsid w:val="00A946FB"/>
    <w:rsid w:val="00A947B1"/>
    <w:rsid w:val="00A94E10"/>
    <w:rsid w:val="00A9643E"/>
    <w:rsid w:val="00A96632"/>
    <w:rsid w:val="00A9671B"/>
    <w:rsid w:val="00A96A89"/>
    <w:rsid w:val="00A9775D"/>
    <w:rsid w:val="00A97B85"/>
    <w:rsid w:val="00A97EF5"/>
    <w:rsid w:val="00AA0239"/>
    <w:rsid w:val="00AA05B3"/>
    <w:rsid w:val="00AA0659"/>
    <w:rsid w:val="00AA08EC"/>
    <w:rsid w:val="00AA1191"/>
    <w:rsid w:val="00AA15E2"/>
    <w:rsid w:val="00AA1614"/>
    <w:rsid w:val="00AA1621"/>
    <w:rsid w:val="00AA1CCC"/>
    <w:rsid w:val="00AA256F"/>
    <w:rsid w:val="00AA25AE"/>
    <w:rsid w:val="00AA2901"/>
    <w:rsid w:val="00AA2AE6"/>
    <w:rsid w:val="00AA2C3A"/>
    <w:rsid w:val="00AA3004"/>
    <w:rsid w:val="00AA31C2"/>
    <w:rsid w:val="00AA3519"/>
    <w:rsid w:val="00AA3612"/>
    <w:rsid w:val="00AA3ACA"/>
    <w:rsid w:val="00AA3D37"/>
    <w:rsid w:val="00AA41BA"/>
    <w:rsid w:val="00AA4DA5"/>
    <w:rsid w:val="00AA5310"/>
    <w:rsid w:val="00AA53D2"/>
    <w:rsid w:val="00AA55EF"/>
    <w:rsid w:val="00AA560C"/>
    <w:rsid w:val="00AA5D3E"/>
    <w:rsid w:val="00AA60E7"/>
    <w:rsid w:val="00AA6454"/>
    <w:rsid w:val="00AA6942"/>
    <w:rsid w:val="00AA6C34"/>
    <w:rsid w:val="00AA6E7F"/>
    <w:rsid w:val="00AA7125"/>
    <w:rsid w:val="00AA7336"/>
    <w:rsid w:val="00AA7626"/>
    <w:rsid w:val="00AA7979"/>
    <w:rsid w:val="00AA798C"/>
    <w:rsid w:val="00AA7AAF"/>
    <w:rsid w:val="00AA7DE2"/>
    <w:rsid w:val="00AB03DA"/>
    <w:rsid w:val="00AB086A"/>
    <w:rsid w:val="00AB0C16"/>
    <w:rsid w:val="00AB0E43"/>
    <w:rsid w:val="00AB1223"/>
    <w:rsid w:val="00AB1452"/>
    <w:rsid w:val="00AB15E9"/>
    <w:rsid w:val="00AB18B3"/>
    <w:rsid w:val="00AB1D98"/>
    <w:rsid w:val="00AB1DED"/>
    <w:rsid w:val="00AB21AF"/>
    <w:rsid w:val="00AB220B"/>
    <w:rsid w:val="00AB2853"/>
    <w:rsid w:val="00AB2AB2"/>
    <w:rsid w:val="00AB2B7A"/>
    <w:rsid w:val="00AB332A"/>
    <w:rsid w:val="00AB3447"/>
    <w:rsid w:val="00AB3742"/>
    <w:rsid w:val="00AB3C3F"/>
    <w:rsid w:val="00AB3D2B"/>
    <w:rsid w:val="00AB3E69"/>
    <w:rsid w:val="00AB3E76"/>
    <w:rsid w:val="00AB3F3B"/>
    <w:rsid w:val="00AB410C"/>
    <w:rsid w:val="00AB4393"/>
    <w:rsid w:val="00AB4520"/>
    <w:rsid w:val="00AB4BEB"/>
    <w:rsid w:val="00AB58A4"/>
    <w:rsid w:val="00AB594D"/>
    <w:rsid w:val="00AB5C3F"/>
    <w:rsid w:val="00AB5D48"/>
    <w:rsid w:val="00AB5E08"/>
    <w:rsid w:val="00AB6054"/>
    <w:rsid w:val="00AB6086"/>
    <w:rsid w:val="00AB610A"/>
    <w:rsid w:val="00AB6210"/>
    <w:rsid w:val="00AB6A04"/>
    <w:rsid w:val="00AB6BFA"/>
    <w:rsid w:val="00AB6C42"/>
    <w:rsid w:val="00AB7DE9"/>
    <w:rsid w:val="00AC035E"/>
    <w:rsid w:val="00AC05DA"/>
    <w:rsid w:val="00AC0B08"/>
    <w:rsid w:val="00AC0D78"/>
    <w:rsid w:val="00AC0EED"/>
    <w:rsid w:val="00AC1094"/>
    <w:rsid w:val="00AC12C0"/>
    <w:rsid w:val="00AC1E27"/>
    <w:rsid w:val="00AC20AF"/>
    <w:rsid w:val="00AC2248"/>
    <w:rsid w:val="00AC232F"/>
    <w:rsid w:val="00AC2514"/>
    <w:rsid w:val="00AC2566"/>
    <w:rsid w:val="00AC2C12"/>
    <w:rsid w:val="00AC2C6B"/>
    <w:rsid w:val="00AC2D65"/>
    <w:rsid w:val="00AC2DA2"/>
    <w:rsid w:val="00AC3153"/>
    <w:rsid w:val="00AC3439"/>
    <w:rsid w:val="00AC34A0"/>
    <w:rsid w:val="00AC358C"/>
    <w:rsid w:val="00AC35FF"/>
    <w:rsid w:val="00AC3B10"/>
    <w:rsid w:val="00AC40F9"/>
    <w:rsid w:val="00AC410E"/>
    <w:rsid w:val="00AC427F"/>
    <w:rsid w:val="00AC442D"/>
    <w:rsid w:val="00AC46BB"/>
    <w:rsid w:val="00AC4BEB"/>
    <w:rsid w:val="00AC4F94"/>
    <w:rsid w:val="00AC5116"/>
    <w:rsid w:val="00AC55CF"/>
    <w:rsid w:val="00AC594F"/>
    <w:rsid w:val="00AC59B9"/>
    <w:rsid w:val="00AC5C3F"/>
    <w:rsid w:val="00AC5D79"/>
    <w:rsid w:val="00AC6008"/>
    <w:rsid w:val="00AC645B"/>
    <w:rsid w:val="00AC6B8D"/>
    <w:rsid w:val="00AC6F38"/>
    <w:rsid w:val="00AC6F4A"/>
    <w:rsid w:val="00AC6F89"/>
    <w:rsid w:val="00AC7090"/>
    <w:rsid w:val="00AC716B"/>
    <w:rsid w:val="00AC7444"/>
    <w:rsid w:val="00AC7E14"/>
    <w:rsid w:val="00AC7F6D"/>
    <w:rsid w:val="00AD0223"/>
    <w:rsid w:val="00AD02A1"/>
    <w:rsid w:val="00AD0B26"/>
    <w:rsid w:val="00AD0BAA"/>
    <w:rsid w:val="00AD0E92"/>
    <w:rsid w:val="00AD1375"/>
    <w:rsid w:val="00AD1873"/>
    <w:rsid w:val="00AD188F"/>
    <w:rsid w:val="00AD1968"/>
    <w:rsid w:val="00AD1A99"/>
    <w:rsid w:val="00AD1EAA"/>
    <w:rsid w:val="00AD2731"/>
    <w:rsid w:val="00AD2A0D"/>
    <w:rsid w:val="00AD2CD4"/>
    <w:rsid w:val="00AD2DD4"/>
    <w:rsid w:val="00AD2F4D"/>
    <w:rsid w:val="00AD30BB"/>
    <w:rsid w:val="00AD31AE"/>
    <w:rsid w:val="00AD31DC"/>
    <w:rsid w:val="00AD34B6"/>
    <w:rsid w:val="00AD3679"/>
    <w:rsid w:val="00AD3D3C"/>
    <w:rsid w:val="00AD42EF"/>
    <w:rsid w:val="00AD4C47"/>
    <w:rsid w:val="00AD548E"/>
    <w:rsid w:val="00AD56CB"/>
    <w:rsid w:val="00AD6DD4"/>
    <w:rsid w:val="00AD7063"/>
    <w:rsid w:val="00AD7859"/>
    <w:rsid w:val="00AD7BC1"/>
    <w:rsid w:val="00AE01DF"/>
    <w:rsid w:val="00AE0275"/>
    <w:rsid w:val="00AE0347"/>
    <w:rsid w:val="00AE04D0"/>
    <w:rsid w:val="00AE06CB"/>
    <w:rsid w:val="00AE076F"/>
    <w:rsid w:val="00AE0848"/>
    <w:rsid w:val="00AE0A42"/>
    <w:rsid w:val="00AE14D1"/>
    <w:rsid w:val="00AE1626"/>
    <w:rsid w:val="00AE16BA"/>
    <w:rsid w:val="00AE18CB"/>
    <w:rsid w:val="00AE1CD1"/>
    <w:rsid w:val="00AE1CF1"/>
    <w:rsid w:val="00AE29D9"/>
    <w:rsid w:val="00AE2CFE"/>
    <w:rsid w:val="00AE2E81"/>
    <w:rsid w:val="00AE2EC3"/>
    <w:rsid w:val="00AE366D"/>
    <w:rsid w:val="00AE389A"/>
    <w:rsid w:val="00AE3B97"/>
    <w:rsid w:val="00AE408C"/>
    <w:rsid w:val="00AE4919"/>
    <w:rsid w:val="00AE4A07"/>
    <w:rsid w:val="00AE4E17"/>
    <w:rsid w:val="00AE4FB7"/>
    <w:rsid w:val="00AE5083"/>
    <w:rsid w:val="00AE5941"/>
    <w:rsid w:val="00AE6013"/>
    <w:rsid w:val="00AE6115"/>
    <w:rsid w:val="00AE681A"/>
    <w:rsid w:val="00AE692E"/>
    <w:rsid w:val="00AE6C20"/>
    <w:rsid w:val="00AE6E24"/>
    <w:rsid w:val="00AE706B"/>
    <w:rsid w:val="00AE7338"/>
    <w:rsid w:val="00AE7643"/>
    <w:rsid w:val="00AE7ACC"/>
    <w:rsid w:val="00AE7BA2"/>
    <w:rsid w:val="00AE7D94"/>
    <w:rsid w:val="00AE7DE7"/>
    <w:rsid w:val="00AF038A"/>
    <w:rsid w:val="00AF0464"/>
    <w:rsid w:val="00AF075B"/>
    <w:rsid w:val="00AF0783"/>
    <w:rsid w:val="00AF0C22"/>
    <w:rsid w:val="00AF0EBD"/>
    <w:rsid w:val="00AF1858"/>
    <w:rsid w:val="00AF1D51"/>
    <w:rsid w:val="00AF1F8A"/>
    <w:rsid w:val="00AF2339"/>
    <w:rsid w:val="00AF25B2"/>
    <w:rsid w:val="00AF2678"/>
    <w:rsid w:val="00AF26E8"/>
    <w:rsid w:val="00AF2863"/>
    <w:rsid w:val="00AF2AFC"/>
    <w:rsid w:val="00AF2C50"/>
    <w:rsid w:val="00AF3035"/>
    <w:rsid w:val="00AF3494"/>
    <w:rsid w:val="00AF3B61"/>
    <w:rsid w:val="00AF3D21"/>
    <w:rsid w:val="00AF3DFE"/>
    <w:rsid w:val="00AF425D"/>
    <w:rsid w:val="00AF441D"/>
    <w:rsid w:val="00AF444A"/>
    <w:rsid w:val="00AF496E"/>
    <w:rsid w:val="00AF4A9B"/>
    <w:rsid w:val="00AF4F2A"/>
    <w:rsid w:val="00AF516B"/>
    <w:rsid w:val="00AF5175"/>
    <w:rsid w:val="00AF52C2"/>
    <w:rsid w:val="00AF5643"/>
    <w:rsid w:val="00AF5671"/>
    <w:rsid w:val="00AF56E6"/>
    <w:rsid w:val="00AF57B7"/>
    <w:rsid w:val="00AF5CFA"/>
    <w:rsid w:val="00AF5E68"/>
    <w:rsid w:val="00AF5E79"/>
    <w:rsid w:val="00AF62D9"/>
    <w:rsid w:val="00AF651E"/>
    <w:rsid w:val="00AF6560"/>
    <w:rsid w:val="00AF7349"/>
    <w:rsid w:val="00AF7CEF"/>
    <w:rsid w:val="00B000B6"/>
    <w:rsid w:val="00B0035E"/>
    <w:rsid w:val="00B00963"/>
    <w:rsid w:val="00B00BAC"/>
    <w:rsid w:val="00B00D6A"/>
    <w:rsid w:val="00B011F1"/>
    <w:rsid w:val="00B013C8"/>
    <w:rsid w:val="00B01590"/>
    <w:rsid w:val="00B015A1"/>
    <w:rsid w:val="00B01713"/>
    <w:rsid w:val="00B017CD"/>
    <w:rsid w:val="00B01B1B"/>
    <w:rsid w:val="00B02438"/>
    <w:rsid w:val="00B02C48"/>
    <w:rsid w:val="00B02E62"/>
    <w:rsid w:val="00B03043"/>
    <w:rsid w:val="00B03195"/>
    <w:rsid w:val="00B0333E"/>
    <w:rsid w:val="00B0351F"/>
    <w:rsid w:val="00B039FC"/>
    <w:rsid w:val="00B04374"/>
    <w:rsid w:val="00B05494"/>
    <w:rsid w:val="00B0569B"/>
    <w:rsid w:val="00B05993"/>
    <w:rsid w:val="00B05C82"/>
    <w:rsid w:val="00B05DF4"/>
    <w:rsid w:val="00B060F4"/>
    <w:rsid w:val="00B069A9"/>
    <w:rsid w:val="00B0762E"/>
    <w:rsid w:val="00B079FA"/>
    <w:rsid w:val="00B07AC9"/>
    <w:rsid w:val="00B07C13"/>
    <w:rsid w:val="00B07E93"/>
    <w:rsid w:val="00B07EC9"/>
    <w:rsid w:val="00B102C0"/>
    <w:rsid w:val="00B104F8"/>
    <w:rsid w:val="00B10615"/>
    <w:rsid w:val="00B10B24"/>
    <w:rsid w:val="00B10BD1"/>
    <w:rsid w:val="00B10CD3"/>
    <w:rsid w:val="00B113C8"/>
    <w:rsid w:val="00B1154F"/>
    <w:rsid w:val="00B118F9"/>
    <w:rsid w:val="00B11CF2"/>
    <w:rsid w:val="00B1202D"/>
    <w:rsid w:val="00B12338"/>
    <w:rsid w:val="00B12505"/>
    <w:rsid w:val="00B128D1"/>
    <w:rsid w:val="00B12AED"/>
    <w:rsid w:val="00B1301E"/>
    <w:rsid w:val="00B13E65"/>
    <w:rsid w:val="00B13EB4"/>
    <w:rsid w:val="00B143CA"/>
    <w:rsid w:val="00B14BFA"/>
    <w:rsid w:val="00B14C28"/>
    <w:rsid w:val="00B154DF"/>
    <w:rsid w:val="00B1557E"/>
    <w:rsid w:val="00B15906"/>
    <w:rsid w:val="00B16007"/>
    <w:rsid w:val="00B1651B"/>
    <w:rsid w:val="00B16554"/>
    <w:rsid w:val="00B16707"/>
    <w:rsid w:val="00B16B26"/>
    <w:rsid w:val="00B16BD7"/>
    <w:rsid w:val="00B17562"/>
    <w:rsid w:val="00B17AB9"/>
    <w:rsid w:val="00B20413"/>
    <w:rsid w:val="00B20532"/>
    <w:rsid w:val="00B21444"/>
    <w:rsid w:val="00B21530"/>
    <w:rsid w:val="00B2187A"/>
    <w:rsid w:val="00B21A19"/>
    <w:rsid w:val="00B21A46"/>
    <w:rsid w:val="00B21AD6"/>
    <w:rsid w:val="00B22094"/>
    <w:rsid w:val="00B22682"/>
    <w:rsid w:val="00B22CE4"/>
    <w:rsid w:val="00B22E49"/>
    <w:rsid w:val="00B23137"/>
    <w:rsid w:val="00B231C9"/>
    <w:rsid w:val="00B23289"/>
    <w:rsid w:val="00B235EC"/>
    <w:rsid w:val="00B23BA3"/>
    <w:rsid w:val="00B23F95"/>
    <w:rsid w:val="00B247B0"/>
    <w:rsid w:val="00B24964"/>
    <w:rsid w:val="00B24A3D"/>
    <w:rsid w:val="00B24DBD"/>
    <w:rsid w:val="00B24E0B"/>
    <w:rsid w:val="00B24E63"/>
    <w:rsid w:val="00B25207"/>
    <w:rsid w:val="00B2520D"/>
    <w:rsid w:val="00B254BC"/>
    <w:rsid w:val="00B2550C"/>
    <w:rsid w:val="00B2563E"/>
    <w:rsid w:val="00B256D0"/>
    <w:rsid w:val="00B2586F"/>
    <w:rsid w:val="00B25A5E"/>
    <w:rsid w:val="00B25C48"/>
    <w:rsid w:val="00B25DCB"/>
    <w:rsid w:val="00B25E6B"/>
    <w:rsid w:val="00B25FDA"/>
    <w:rsid w:val="00B262DC"/>
    <w:rsid w:val="00B26590"/>
    <w:rsid w:val="00B2685A"/>
    <w:rsid w:val="00B26A8E"/>
    <w:rsid w:val="00B27349"/>
    <w:rsid w:val="00B274ED"/>
    <w:rsid w:val="00B27EC0"/>
    <w:rsid w:val="00B30859"/>
    <w:rsid w:val="00B30A55"/>
    <w:rsid w:val="00B312B1"/>
    <w:rsid w:val="00B319CC"/>
    <w:rsid w:val="00B31D30"/>
    <w:rsid w:val="00B31D61"/>
    <w:rsid w:val="00B31E07"/>
    <w:rsid w:val="00B32AED"/>
    <w:rsid w:val="00B3357B"/>
    <w:rsid w:val="00B33F2A"/>
    <w:rsid w:val="00B34071"/>
    <w:rsid w:val="00B34687"/>
    <w:rsid w:val="00B349D9"/>
    <w:rsid w:val="00B34E94"/>
    <w:rsid w:val="00B34EAD"/>
    <w:rsid w:val="00B35214"/>
    <w:rsid w:val="00B354B1"/>
    <w:rsid w:val="00B35647"/>
    <w:rsid w:val="00B357F4"/>
    <w:rsid w:val="00B35AE0"/>
    <w:rsid w:val="00B35D31"/>
    <w:rsid w:val="00B35DC4"/>
    <w:rsid w:val="00B35E6B"/>
    <w:rsid w:val="00B36235"/>
    <w:rsid w:val="00B36298"/>
    <w:rsid w:val="00B365B5"/>
    <w:rsid w:val="00B366EB"/>
    <w:rsid w:val="00B36B68"/>
    <w:rsid w:val="00B370C4"/>
    <w:rsid w:val="00B372DE"/>
    <w:rsid w:val="00B3731B"/>
    <w:rsid w:val="00B37EBB"/>
    <w:rsid w:val="00B37FE3"/>
    <w:rsid w:val="00B40133"/>
    <w:rsid w:val="00B402BE"/>
    <w:rsid w:val="00B403FF"/>
    <w:rsid w:val="00B40412"/>
    <w:rsid w:val="00B404E1"/>
    <w:rsid w:val="00B409BC"/>
    <w:rsid w:val="00B40AAD"/>
    <w:rsid w:val="00B40FAD"/>
    <w:rsid w:val="00B41B61"/>
    <w:rsid w:val="00B41BAC"/>
    <w:rsid w:val="00B41C35"/>
    <w:rsid w:val="00B41D8B"/>
    <w:rsid w:val="00B41DDB"/>
    <w:rsid w:val="00B423CB"/>
    <w:rsid w:val="00B42B16"/>
    <w:rsid w:val="00B42BF7"/>
    <w:rsid w:val="00B42CA3"/>
    <w:rsid w:val="00B42F71"/>
    <w:rsid w:val="00B4318A"/>
    <w:rsid w:val="00B433C2"/>
    <w:rsid w:val="00B433D0"/>
    <w:rsid w:val="00B438ED"/>
    <w:rsid w:val="00B4390A"/>
    <w:rsid w:val="00B43C68"/>
    <w:rsid w:val="00B43EC5"/>
    <w:rsid w:val="00B446E6"/>
    <w:rsid w:val="00B44B82"/>
    <w:rsid w:val="00B44D6B"/>
    <w:rsid w:val="00B45060"/>
    <w:rsid w:val="00B4512C"/>
    <w:rsid w:val="00B45229"/>
    <w:rsid w:val="00B4525F"/>
    <w:rsid w:val="00B45B20"/>
    <w:rsid w:val="00B45B64"/>
    <w:rsid w:val="00B45EE4"/>
    <w:rsid w:val="00B468E4"/>
    <w:rsid w:val="00B46D2D"/>
    <w:rsid w:val="00B473FA"/>
    <w:rsid w:val="00B47532"/>
    <w:rsid w:val="00B47626"/>
    <w:rsid w:val="00B47789"/>
    <w:rsid w:val="00B47C0F"/>
    <w:rsid w:val="00B47E5B"/>
    <w:rsid w:val="00B5005B"/>
    <w:rsid w:val="00B50186"/>
    <w:rsid w:val="00B5025D"/>
    <w:rsid w:val="00B50510"/>
    <w:rsid w:val="00B50514"/>
    <w:rsid w:val="00B50582"/>
    <w:rsid w:val="00B50741"/>
    <w:rsid w:val="00B507CF"/>
    <w:rsid w:val="00B508A5"/>
    <w:rsid w:val="00B514DC"/>
    <w:rsid w:val="00B518D0"/>
    <w:rsid w:val="00B51AA7"/>
    <w:rsid w:val="00B5273D"/>
    <w:rsid w:val="00B5276A"/>
    <w:rsid w:val="00B532CF"/>
    <w:rsid w:val="00B53329"/>
    <w:rsid w:val="00B537A9"/>
    <w:rsid w:val="00B53AE9"/>
    <w:rsid w:val="00B54185"/>
    <w:rsid w:val="00B547BC"/>
    <w:rsid w:val="00B548C6"/>
    <w:rsid w:val="00B54EE1"/>
    <w:rsid w:val="00B5517F"/>
    <w:rsid w:val="00B55274"/>
    <w:rsid w:val="00B5560A"/>
    <w:rsid w:val="00B55DF7"/>
    <w:rsid w:val="00B55EBB"/>
    <w:rsid w:val="00B56196"/>
    <w:rsid w:val="00B5631C"/>
    <w:rsid w:val="00B56963"/>
    <w:rsid w:val="00B56F39"/>
    <w:rsid w:val="00B5705E"/>
    <w:rsid w:val="00B57639"/>
    <w:rsid w:val="00B57873"/>
    <w:rsid w:val="00B57CFD"/>
    <w:rsid w:val="00B57D4A"/>
    <w:rsid w:val="00B57D94"/>
    <w:rsid w:val="00B57E0E"/>
    <w:rsid w:val="00B57E6F"/>
    <w:rsid w:val="00B6040C"/>
    <w:rsid w:val="00B609D5"/>
    <w:rsid w:val="00B60B33"/>
    <w:rsid w:val="00B60F67"/>
    <w:rsid w:val="00B61292"/>
    <w:rsid w:val="00B61454"/>
    <w:rsid w:val="00B61549"/>
    <w:rsid w:val="00B6181E"/>
    <w:rsid w:val="00B61937"/>
    <w:rsid w:val="00B61E8E"/>
    <w:rsid w:val="00B6247C"/>
    <w:rsid w:val="00B625DB"/>
    <w:rsid w:val="00B6260B"/>
    <w:rsid w:val="00B62618"/>
    <w:rsid w:val="00B62651"/>
    <w:rsid w:val="00B628F9"/>
    <w:rsid w:val="00B62C08"/>
    <w:rsid w:val="00B62EFE"/>
    <w:rsid w:val="00B63088"/>
    <w:rsid w:val="00B633B6"/>
    <w:rsid w:val="00B63417"/>
    <w:rsid w:val="00B6370F"/>
    <w:rsid w:val="00B6393C"/>
    <w:rsid w:val="00B63A87"/>
    <w:rsid w:val="00B63DC8"/>
    <w:rsid w:val="00B63E73"/>
    <w:rsid w:val="00B64036"/>
    <w:rsid w:val="00B64430"/>
    <w:rsid w:val="00B6484E"/>
    <w:rsid w:val="00B65231"/>
    <w:rsid w:val="00B65369"/>
    <w:rsid w:val="00B6543A"/>
    <w:rsid w:val="00B654AC"/>
    <w:rsid w:val="00B656B0"/>
    <w:rsid w:val="00B65716"/>
    <w:rsid w:val="00B65FD7"/>
    <w:rsid w:val="00B66504"/>
    <w:rsid w:val="00B6650F"/>
    <w:rsid w:val="00B66D33"/>
    <w:rsid w:val="00B67600"/>
    <w:rsid w:val="00B67981"/>
    <w:rsid w:val="00B67CAC"/>
    <w:rsid w:val="00B67F0F"/>
    <w:rsid w:val="00B70297"/>
    <w:rsid w:val="00B70318"/>
    <w:rsid w:val="00B7047E"/>
    <w:rsid w:val="00B704CD"/>
    <w:rsid w:val="00B70761"/>
    <w:rsid w:val="00B70FDF"/>
    <w:rsid w:val="00B713AE"/>
    <w:rsid w:val="00B7154C"/>
    <w:rsid w:val="00B7167D"/>
    <w:rsid w:val="00B71689"/>
    <w:rsid w:val="00B71867"/>
    <w:rsid w:val="00B71DEA"/>
    <w:rsid w:val="00B71F31"/>
    <w:rsid w:val="00B72349"/>
    <w:rsid w:val="00B72F0B"/>
    <w:rsid w:val="00B73A4D"/>
    <w:rsid w:val="00B73C9B"/>
    <w:rsid w:val="00B73DC7"/>
    <w:rsid w:val="00B74127"/>
    <w:rsid w:val="00B7432A"/>
    <w:rsid w:val="00B7433D"/>
    <w:rsid w:val="00B7451B"/>
    <w:rsid w:val="00B74601"/>
    <w:rsid w:val="00B747BA"/>
    <w:rsid w:val="00B7496B"/>
    <w:rsid w:val="00B7513D"/>
    <w:rsid w:val="00B75361"/>
    <w:rsid w:val="00B753C3"/>
    <w:rsid w:val="00B7558D"/>
    <w:rsid w:val="00B755B8"/>
    <w:rsid w:val="00B75BCA"/>
    <w:rsid w:val="00B75CD2"/>
    <w:rsid w:val="00B75D72"/>
    <w:rsid w:val="00B75EF7"/>
    <w:rsid w:val="00B76623"/>
    <w:rsid w:val="00B76822"/>
    <w:rsid w:val="00B7682B"/>
    <w:rsid w:val="00B76926"/>
    <w:rsid w:val="00B76C96"/>
    <w:rsid w:val="00B76CE8"/>
    <w:rsid w:val="00B76E9E"/>
    <w:rsid w:val="00B773FC"/>
    <w:rsid w:val="00B77714"/>
    <w:rsid w:val="00B7772A"/>
    <w:rsid w:val="00B77859"/>
    <w:rsid w:val="00B77D30"/>
    <w:rsid w:val="00B8008B"/>
    <w:rsid w:val="00B8044F"/>
    <w:rsid w:val="00B80784"/>
    <w:rsid w:val="00B80840"/>
    <w:rsid w:val="00B809FD"/>
    <w:rsid w:val="00B80B1C"/>
    <w:rsid w:val="00B80C2D"/>
    <w:rsid w:val="00B81649"/>
    <w:rsid w:val="00B816E0"/>
    <w:rsid w:val="00B82652"/>
    <w:rsid w:val="00B82A2F"/>
    <w:rsid w:val="00B82A9D"/>
    <w:rsid w:val="00B82FD2"/>
    <w:rsid w:val="00B83584"/>
    <w:rsid w:val="00B83593"/>
    <w:rsid w:val="00B83A62"/>
    <w:rsid w:val="00B83B8B"/>
    <w:rsid w:val="00B83CC0"/>
    <w:rsid w:val="00B8412C"/>
    <w:rsid w:val="00B846E9"/>
    <w:rsid w:val="00B8490A"/>
    <w:rsid w:val="00B84F7F"/>
    <w:rsid w:val="00B854CB"/>
    <w:rsid w:val="00B854F7"/>
    <w:rsid w:val="00B85AE5"/>
    <w:rsid w:val="00B85E0F"/>
    <w:rsid w:val="00B865B4"/>
    <w:rsid w:val="00B866BF"/>
    <w:rsid w:val="00B8672D"/>
    <w:rsid w:val="00B867B3"/>
    <w:rsid w:val="00B86A55"/>
    <w:rsid w:val="00B86F7E"/>
    <w:rsid w:val="00B871FD"/>
    <w:rsid w:val="00B872F9"/>
    <w:rsid w:val="00B8732D"/>
    <w:rsid w:val="00B8750B"/>
    <w:rsid w:val="00B8753C"/>
    <w:rsid w:val="00B87B37"/>
    <w:rsid w:val="00B87B7B"/>
    <w:rsid w:val="00B87DA1"/>
    <w:rsid w:val="00B87EB3"/>
    <w:rsid w:val="00B90145"/>
    <w:rsid w:val="00B90209"/>
    <w:rsid w:val="00B90538"/>
    <w:rsid w:val="00B90658"/>
    <w:rsid w:val="00B90679"/>
    <w:rsid w:val="00B90C60"/>
    <w:rsid w:val="00B90DE7"/>
    <w:rsid w:val="00B91195"/>
    <w:rsid w:val="00B91756"/>
    <w:rsid w:val="00B91CA8"/>
    <w:rsid w:val="00B91F48"/>
    <w:rsid w:val="00B91FDC"/>
    <w:rsid w:val="00B9206F"/>
    <w:rsid w:val="00B92465"/>
    <w:rsid w:val="00B924C7"/>
    <w:rsid w:val="00B928B7"/>
    <w:rsid w:val="00B92D10"/>
    <w:rsid w:val="00B92E24"/>
    <w:rsid w:val="00B92E2D"/>
    <w:rsid w:val="00B92F90"/>
    <w:rsid w:val="00B93073"/>
    <w:rsid w:val="00B9322A"/>
    <w:rsid w:val="00B93620"/>
    <w:rsid w:val="00B93756"/>
    <w:rsid w:val="00B9382A"/>
    <w:rsid w:val="00B93AA0"/>
    <w:rsid w:val="00B9427D"/>
    <w:rsid w:val="00B94322"/>
    <w:rsid w:val="00B94461"/>
    <w:rsid w:val="00B94910"/>
    <w:rsid w:val="00B94A10"/>
    <w:rsid w:val="00B94AA3"/>
    <w:rsid w:val="00B94EC9"/>
    <w:rsid w:val="00B9557E"/>
    <w:rsid w:val="00B95693"/>
    <w:rsid w:val="00B95B0A"/>
    <w:rsid w:val="00B95EB0"/>
    <w:rsid w:val="00B96160"/>
    <w:rsid w:val="00B961DD"/>
    <w:rsid w:val="00B96351"/>
    <w:rsid w:val="00B966F4"/>
    <w:rsid w:val="00B9689C"/>
    <w:rsid w:val="00B96B74"/>
    <w:rsid w:val="00B96F49"/>
    <w:rsid w:val="00B97481"/>
    <w:rsid w:val="00B974ED"/>
    <w:rsid w:val="00B9752F"/>
    <w:rsid w:val="00B97C91"/>
    <w:rsid w:val="00BA015E"/>
    <w:rsid w:val="00BA02B0"/>
    <w:rsid w:val="00BA087E"/>
    <w:rsid w:val="00BA08F4"/>
    <w:rsid w:val="00BA10A1"/>
    <w:rsid w:val="00BA10DE"/>
    <w:rsid w:val="00BA11A4"/>
    <w:rsid w:val="00BA1360"/>
    <w:rsid w:val="00BA19C9"/>
    <w:rsid w:val="00BA1A86"/>
    <w:rsid w:val="00BA211B"/>
    <w:rsid w:val="00BA21D8"/>
    <w:rsid w:val="00BA238D"/>
    <w:rsid w:val="00BA2416"/>
    <w:rsid w:val="00BA2A75"/>
    <w:rsid w:val="00BA3263"/>
    <w:rsid w:val="00BA3F86"/>
    <w:rsid w:val="00BA4126"/>
    <w:rsid w:val="00BA4401"/>
    <w:rsid w:val="00BA446C"/>
    <w:rsid w:val="00BA4478"/>
    <w:rsid w:val="00BA451F"/>
    <w:rsid w:val="00BA4577"/>
    <w:rsid w:val="00BA4BE6"/>
    <w:rsid w:val="00BA4BFF"/>
    <w:rsid w:val="00BA4EFB"/>
    <w:rsid w:val="00BA52B8"/>
    <w:rsid w:val="00BA558E"/>
    <w:rsid w:val="00BA594D"/>
    <w:rsid w:val="00BA5AEB"/>
    <w:rsid w:val="00BA5C7B"/>
    <w:rsid w:val="00BA6139"/>
    <w:rsid w:val="00BA6196"/>
    <w:rsid w:val="00BA6EB6"/>
    <w:rsid w:val="00BA7042"/>
    <w:rsid w:val="00BA75AA"/>
    <w:rsid w:val="00BA7BCA"/>
    <w:rsid w:val="00BB05B8"/>
    <w:rsid w:val="00BB05DA"/>
    <w:rsid w:val="00BB0B95"/>
    <w:rsid w:val="00BB0DC6"/>
    <w:rsid w:val="00BB1403"/>
    <w:rsid w:val="00BB15FF"/>
    <w:rsid w:val="00BB171E"/>
    <w:rsid w:val="00BB1BC9"/>
    <w:rsid w:val="00BB1EDE"/>
    <w:rsid w:val="00BB1F58"/>
    <w:rsid w:val="00BB2245"/>
    <w:rsid w:val="00BB24B7"/>
    <w:rsid w:val="00BB2767"/>
    <w:rsid w:val="00BB3214"/>
    <w:rsid w:val="00BB322A"/>
    <w:rsid w:val="00BB33D0"/>
    <w:rsid w:val="00BB36BB"/>
    <w:rsid w:val="00BB38C2"/>
    <w:rsid w:val="00BB3939"/>
    <w:rsid w:val="00BB3A32"/>
    <w:rsid w:val="00BB45C8"/>
    <w:rsid w:val="00BB46D0"/>
    <w:rsid w:val="00BB4A27"/>
    <w:rsid w:val="00BB4D25"/>
    <w:rsid w:val="00BB4DCC"/>
    <w:rsid w:val="00BB53B1"/>
    <w:rsid w:val="00BB5543"/>
    <w:rsid w:val="00BB6014"/>
    <w:rsid w:val="00BB632A"/>
    <w:rsid w:val="00BB6450"/>
    <w:rsid w:val="00BB6471"/>
    <w:rsid w:val="00BB6647"/>
    <w:rsid w:val="00BB68D1"/>
    <w:rsid w:val="00BB6C70"/>
    <w:rsid w:val="00BB6EAB"/>
    <w:rsid w:val="00BB719B"/>
    <w:rsid w:val="00BB73A6"/>
    <w:rsid w:val="00BB74DC"/>
    <w:rsid w:val="00BB759D"/>
    <w:rsid w:val="00BB774F"/>
    <w:rsid w:val="00BB79DC"/>
    <w:rsid w:val="00BB7A7C"/>
    <w:rsid w:val="00BB7FBA"/>
    <w:rsid w:val="00BC03FF"/>
    <w:rsid w:val="00BC1E75"/>
    <w:rsid w:val="00BC27B7"/>
    <w:rsid w:val="00BC289C"/>
    <w:rsid w:val="00BC2A12"/>
    <w:rsid w:val="00BC2CF8"/>
    <w:rsid w:val="00BC3BD9"/>
    <w:rsid w:val="00BC4136"/>
    <w:rsid w:val="00BC4239"/>
    <w:rsid w:val="00BC4CAE"/>
    <w:rsid w:val="00BC4EE9"/>
    <w:rsid w:val="00BC5144"/>
    <w:rsid w:val="00BC53A1"/>
    <w:rsid w:val="00BC5463"/>
    <w:rsid w:val="00BC62F2"/>
    <w:rsid w:val="00BC6712"/>
    <w:rsid w:val="00BC677A"/>
    <w:rsid w:val="00BC6854"/>
    <w:rsid w:val="00BC6BFB"/>
    <w:rsid w:val="00BC6C1A"/>
    <w:rsid w:val="00BC6C3B"/>
    <w:rsid w:val="00BC6C85"/>
    <w:rsid w:val="00BC6ED0"/>
    <w:rsid w:val="00BC724F"/>
    <w:rsid w:val="00BC7265"/>
    <w:rsid w:val="00BC73FA"/>
    <w:rsid w:val="00BC74E7"/>
    <w:rsid w:val="00BC7849"/>
    <w:rsid w:val="00BC787B"/>
    <w:rsid w:val="00BC791D"/>
    <w:rsid w:val="00BC7A77"/>
    <w:rsid w:val="00BD0120"/>
    <w:rsid w:val="00BD012A"/>
    <w:rsid w:val="00BD081C"/>
    <w:rsid w:val="00BD0F1E"/>
    <w:rsid w:val="00BD0F33"/>
    <w:rsid w:val="00BD1310"/>
    <w:rsid w:val="00BD14EF"/>
    <w:rsid w:val="00BD1856"/>
    <w:rsid w:val="00BD1875"/>
    <w:rsid w:val="00BD1A13"/>
    <w:rsid w:val="00BD24DD"/>
    <w:rsid w:val="00BD2768"/>
    <w:rsid w:val="00BD29FC"/>
    <w:rsid w:val="00BD2DDC"/>
    <w:rsid w:val="00BD2FFB"/>
    <w:rsid w:val="00BD3066"/>
    <w:rsid w:val="00BD3519"/>
    <w:rsid w:val="00BD3872"/>
    <w:rsid w:val="00BD3A1D"/>
    <w:rsid w:val="00BD3D9A"/>
    <w:rsid w:val="00BD40E4"/>
    <w:rsid w:val="00BD4116"/>
    <w:rsid w:val="00BD4350"/>
    <w:rsid w:val="00BD45AD"/>
    <w:rsid w:val="00BD460E"/>
    <w:rsid w:val="00BD4627"/>
    <w:rsid w:val="00BD4C38"/>
    <w:rsid w:val="00BD5E19"/>
    <w:rsid w:val="00BD6078"/>
    <w:rsid w:val="00BD610A"/>
    <w:rsid w:val="00BD6909"/>
    <w:rsid w:val="00BD6A8C"/>
    <w:rsid w:val="00BD741D"/>
    <w:rsid w:val="00BD7770"/>
    <w:rsid w:val="00BD787D"/>
    <w:rsid w:val="00BD7898"/>
    <w:rsid w:val="00BD78EC"/>
    <w:rsid w:val="00BD7A50"/>
    <w:rsid w:val="00BD7AF9"/>
    <w:rsid w:val="00BD7CB6"/>
    <w:rsid w:val="00BD7EE9"/>
    <w:rsid w:val="00BE01C5"/>
    <w:rsid w:val="00BE040A"/>
    <w:rsid w:val="00BE0918"/>
    <w:rsid w:val="00BE09EF"/>
    <w:rsid w:val="00BE1047"/>
    <w:rsid w:val="00BE10A7"/>
    <w:rsid w:val="00BE12A1"/>
    <w:rsid w:val="00BE12AD"/>
    <w:rsid w:val="00BE1642"/>
    <w:rsid w:val="00BE18DC"/>
    <w:rsid w:val="00BE19CA"/>
    <w:rsid w:val="00BE1A83"/>
    <w:rsid w:val="00BE1D63"/>
    <w:rsid w:val="00BE1DC1"/>
    <w:rsid w:val="00BE2078"/>
    <w:rsid w:val="00BE20E3"/>
    <w:rsid w:val="00BE2964"/>
    <w:rsid w:val="00BE33FE"/>
    <w:rsid w:val="00BE3755"/>
    <w:rsid w:val="00BE422F"/>
    <w:rsid w:val="00BE462C"/>
    <w:rsid w:val="00BE4747"/>
    <w:rsid w:val="00BE4B5A"/>
    <w:rsid w:val="00BE4C37"/>
    <w:rsid w:val="00BE6057"/>
    <w:rsid w:val="00BE6358"/>
    <w:rsid w:val="00BE63F0"/>
    <w:rsid w:val="00BE6655"/>
    <w:rsid w:val="00BE6661"/>
    <w:rsid w:val="00BE6716"/>
    <w:rsid w:val="00BE6D90"/>
    <w:rsid w:val="00BE7166"/>
    <w:rsid w:val="00BE724B"/>
    <w:rsid w:val="00BE738F"/>
    <w:rsid w:val="00BE74E7"/>
    <w:rsid w:val="00BE7586"/>
    <w:rsid w:val="00BE7EDC"/>
    <w:rsid w:val="00BE7EE1"/>
    <w:rsid w:val="00BE7EED"/>
    <w:rsid w:val="00BF070E"/>
    <w:rsid w:val="00BF0860"/>
    <w:rsid w:val="00BF0DEF"/>
    <w:rsid w:val="00BF1223"/>
    <w:rsid w:val="00BF14DE"/>
    <w:rsid w:val="00BF161E"/>
    <w:rsid w:val="00BF1814"/>
    <w:rsid w:val="00BF1A94"/>
    <w:rsid w:val="00BF235A"/>
    <w:rsid w:val="00BF247A"/>
    <w:rsid w:val="00BF25B8"/>
    <w:rsid w:val="00BF2CE3"/>
    <w:rsid w:val="00BF3034"/>
    <w:rsid w:val="00BF3773"/>
    <w:rsid w:val="00BF382C"/>
    <w:rsid w:val="00BF3837"/>
    <w:rsid w:val="00BF3CEF"/>
    <w:rsid w:val="00BF4671"/>
    <w:rsid w:val="00BF4737"/>
    <w:rsid w:val="00BF4864"/>
    <w:rsid w:val="00BF48EE"/>
    <w:rsid w:val="00BF48EF"/>
    <w:rsid w:val="00BF4983"/>
    <w:rsid w:val="00BF4BC9"/>
    <w:rsid w:val="00BF4E40"/>
    <w:rsid w:val="00BF4E65"/>
    <w:rsid w:val="00BF4EBC"/>
    <w:rsid w:val="00BF5194"/>
    <w:rsid w:val="00BF53E5"/>
    <w:rsid w:val="00BF569B"/>
    <w:rsid w:val="00BF5A3F"/>
    <w:rsid w:val="00BF5E4C"/>
    <w:rsid w:val="00BF5F22"/>
    <w:rsid w:val="00BF5FDD"/>
    <w:rsid w:val="00BF612D"/>
    <w:rsid w:val="00BF623E"/>
    <w:rsid w:val="00BF6243"/>
    <w:rsid w:val="00BF6591"/>
    <w:rsid w:val="00BF6664"/>
    <w:rsid w:val="00BF742A"/>
    <w:rsid w:val="00BF7679"/>
    <w:rsid w:val="00BF7884"/>
    <w:rsid w:val="00BF7EEB"/>
    <w:rsid w:val="00C0038C"/>
    <w:rsid w:val="00C00811"/>
    <w:rsid w:val="00C0099E"/>
    <w:rsid w:val="00C009BB"/>
    <w:rsid w:val="00C00CA8"/>
    <w:rsid w:val="00C00DC4"/>
    <w:rsid w:val="00C00ED6"/>
    <w:rsid w:val="00C0180C"/>
    <w:rsid w:val="00C01883"/>
    <w:rsid w:val="00C01A7C"/>
    <w:rsid w:val="00C01D77"/>
    <w:rsid w:val="00C01F18"/>
    <w:rsid w:val="00C020AB"/>
    <w:rsid w:val="00C0262B"/>
    <w:rsid w:val="00C026B2"/>
    <w:rsid w:val="00C02810"/>
    <w:rsid w:val="00C02D7A"/>
    <w:rsid w:val="00C02EC4"/>
    <w:rsid w:val="00C03510"/>
    <w:rsid w:val="00C03F15"/>
    <w:rsid w:val="00C0401C"/>
    <w:rsid w:val="00C04267"/>
    <w:rsid w:val="00C04447"/>
    <w:rsid w:val="00C0448D"/>
    <w:rsid w:val="00C045C0"/>
    <w:rsid w:val="00C04604"/>
    <w:rsid w:val="00C04643"/>
    <w:rsid w:val="00C049DB"/>
    <w:rsid w:val="00C04AFD"/>
    <w:rsid w:val="00C04BFE"/>
    <w:rsid w:val="00C04C4A"/>
    <w:rsid w:val="00C04DED"/>
    <w:rsid w:val="00C04E3B"/>
    <w:rsid w:val="00C0581E"/>
    <w:rsid w:val="00C05B85"/>
    <w:rsid w:val="00C05FC5"/>
    <w:rsid w:val="00C06567"/>
    <w:rsid w:val="00C065F0"/>
    <w:rsid w:val="00C067D6"/>
    <w:rsid w:val="00C06D63"/>
    <w:rsid w:val="00C07054"/>
    <w:rsid w:val="00C07815"/>
    <w:rsid w:val="00C10118"/>
    <w:rsid w:val="00C10454"/>
    <w:rsid w:val="00C10508"/>
    <w:rsid w:val="00C10700"/>
    <w:rsid w:val="00C107FE"/>
    <w:rsid w:val="00C108EB"/>
    <w:rsid w:val="00C108F5"/>
    <w:rsid w:val="00C10B5C"/>
    <w:rsid w:val="00C10C0E"/>
    <w:rsid w:val="00C10CFB"/>
    <w:rsid w:val="00C11011"/>
    <w:rsid w:val="00C11112"/>
    <w:rsid w:val="00C1124E"/>
    <w:rsid w:val="00C11390"/>
    <w:rsid w:val="00C1167B"/>
    <w:rsid w:val="00C117AD"/>
    <w:rsid w:val="00C11D55"/>
    <w:rsid w:val="00C12868"/>
    <w:rsid w:val="00C12C8B"/>
    <w:rsid w:val="00C13081"/>
    <w:rsid w:val="00C133B1"/>
    <w:rsid w:val="00C13763"/>
    <w:rsid w:val="00C13EF2"/>
    <w:rsid w:val="00C14000"/>
    <w:rsid w:val="00C14278"/>
    <w:rsid w:val="00C14375"/>
    <w:rsid w:val="00C144D4"/>
    <w:rsid w:val="00C1450A"/>
    <w:rsid w:val="00C14630"/>
    <w:rsid w:val="00C15625"/>
    <w:rsid w:val="00C15FFE"/>
    <w:rsid w:val="00C163C8"/>
    <w:rsid w:val="00C16480"/>
    <w:rsid w:val="00C16506"/>
    <w:rsid w:val="00C1652F"/>
    <w:rsid w:val="00C16FBB"/>
    <w:rsid w:val="00C17363"/>
    <w:rsid w:val="00C1741D"/>
    <w:rsid w:val="00C1769B"/>
    <w:rsid w:val="00C17731"/>
    <w:rsid w:val="00C177CC"/>
    <w:rsid w:val="00C2040D"/>
    <w:rsid w:val="00C204BD"/>
    <w:rsid w:val="00C20A6E"/>
    <w:rsid w:val="00C210F2"/>
    <w:rsid w:val="00C21953"/>
    <w:rsid w:val="00C21AA0"/>
    <w:rsid w:val="00C220F2"/>
    <w:rsid w:val="00C224B2"/>
    <w:rsid w:val="00C224CB"/>
    <w:rsid w:val="00C22DBC"/>
    <w:rsid w:val="00C22FA1"/>
    <w:rsid w:val="00C23A5E"/>
    <w:rsid w:val="00C23CD0"/>
    <w:rsid w:val="00C24061"/>
    <w:rsid w:val="00C24296"/>
    <w:rsid w:val="00C24BFA"/>
    <w:rsid w:val="00C24CA1"/>
    <w:rsid w:val="00C24D6D"/>
    <w:rsid w:val="00C24EC0"/>
    <w:rsid w:val="00C2516A"/>
    <w:rsid w:val="00C25546"/>
    <w:rsid w:val="00C2562B"/>
    <w:rsid w:val="00C258EE"/>
    <w:rsid w:val="00C260C4"/>
    <w:rsid w:val="00C26BF6"/>
    <w:rsid w:val="00C26D1D"/>
    <w:rsid w:val="00C2744A"/>
    <w:rsid w:val="00C27922"/>
    <w:rsid w:val="00C279CF"/>
    <w:rsid w:val="00C27AAB"/>
    <w:rsid w:val="00C27E60"/>
    <w:rsid w:val="00C30066"/>
    <w:rsid w:val="00C301A2"/>
    <w:rsid w:val="00C302EF"/>
    <w:rsid w:val="00C303B0"/>
    <w:rsid w:val="00C3060B"/>
    <w:rsid w:val="00C308BE"/>
    <w:rsid w:val="00C3097C"/>
    <w:rsid w:val="00C30B46"/>
    <w:rsid w:val="00C3149A"/>
    <w:rsid w:val="00C316A9"/>
    <w:rsid w:val="00C31AB5"/>
    <w:rsid w:val="00C31BE3"/>
    <w:rsid w:val="00C31CBD"/>
    <w:rsid w:val="00C31D10"/>
    <w:rsid w:val="00C31F81"/>
    <w:rsid w:val="00C32354"/>
    <w:rsid w:val="00C32455"/>
    <w:rsid w:val="00C325CB"/>
    <w:rsid w:val="00C329FA"/>
    <w:rsid w:val="00C32B00"/>
    <w:rsid w:val="00C32C27"/>
    <w:rsid w:val="00C33659"/>
    <w:rsid w:val="00C336C5"/>
    <w:rsid w:val="00C33718"/>
    <w:rsid w:val="00C3388D"/>
    <w:rsid w:val="00C33A36"/>
    <w:rsid w:val="00C33B21"/>
    <w:rsid w:val="00C33D84"/>
    <w:rsid w:val="00C34106"/>
    <w:rsid w:val="00C34249"/>
    <w:rsid w:val="00C34502"/>
    <w:rsid w:val="00C345A6"/>
    <w:rsid w:val="00C345F0"/>
    <w:rsid w:val="00C3463C"/>
    <w:rsid w:val="00C347DF"/>
    <w:rsid w:val="00C34B67"/>
    <w:rsid w:val="00C34EEF"/>
    <w:rsid w:val="00C34F17"/>
    <w:rsid w:val="00C3525B"/>
    <w:rsid w:val="00C352AB"/>
    <w:rsid w:val="00C354ED"/>
    <w:rsid w:val="00C35764"/>
    <w:rsid w:val="00C35BE3"/>
    <w:rsid w:val="00C35BF3"/>
    <w:rsid w:val="00C35D10"/>
    <w:rsid w:val="00C35DE4"/>
    <w:rsid w:val="00C36138"/>
    <w:rsid w:val="00C36188"/>
    <w:rsid w:val="00C364FB"/>
    <w:rsid w:val="00C3799B"/>
    <w:rsid w:val="00C37C09"/>
    <w:rsid w:val="00C37CAA"/>
    <w:rsid w:val="00C37CB5"/>
    <w:rsid w:val="00C37E1B"/>
    <w:rsid w:val="00C4031B"/>
    <w:rsid w:val="00C403E6"/>
    <w:rsid w:val="00C40450"/>
    <w:rsid w:val="00C408B7"/>
    <w:rsid w:val="00C409BE"/>
    <w:rsid w:val="00C40A34"/>
    <w:rsid w:val="00C40C12"/>
    <w:rsid w:val="00C40D66"/>
    <w:rsid w:val="00C412D4"/>
    <w:rsid w:val="00C41439"/>
    <w:rsid w:val="00C41487"/>
    <w:rsid w:val="00C41572"/>
    <w:rsid w:val="00C41B1A"/>
    <w:rsid w:val="00C41CDE"/>
    <w:rsid w:val="00C420D5"/>
    <w:rsid w:val="00C42E2A"/>
    <w:rsid w:val="00C43734"/>
    <w:rsid w:val="00C43933"/>
    <w:rsid w:val="00C4441C"/>
    <w:rsid w:val="00C44850"/>
    <w:rsid w:val="00C44D0E"/>
    <w:rsid w:val="00C44EFE"/>
    <w:rsid w:val="00C45431"/>
    <w:rsid w:val="00C45885"/>
    <w:rsid w:val="00C459EE"/>
    <w:rsid w:val="00C45A33"/>
    <w:rsid w:val="00C4624E"/>
    <w:rsid w:val="00C46371"/>
    <w:rsid w:val="00C46A45"/>
    <w:rsid w:val="00C46DBA"/>
    <w:rsid w:val="00C47377"/>
    <w:rsid w:val="00C47478"/>
    <w:rsid w:val="00C47566"/>
    <w:rsid w:val="00C47875"/>
    <w:rsid w:val="00C47AFC"/>
    <w:rsid w:val="00C47C06"/>
    <w:rsid w:val="00C47ED3"/>
    <w:rsid w:val="00C502F7"/>
    <w:rsid w:val="00C503B3"/>
    <w:rsid w:val="00C50690"/>
    <w:rsid w:val="00C50890"/>
    <w:rsid w:val="00C5096E"/>
    <w:rsid w:val="00C50CAB"/>
    <w:rsid w:val="00C50DAE"/>
    <w:rsid w:val="00C51299"/>
    <w:rsid w:val="00C51761"/>
    <w:rsid w:val="00C51B0E"/>
    <w:rsid w:val="00C5226B"/>
    <w:rsid w:val="00C5307D"/>
    <w:rsid w:val="00C53246"/>
    <w:rsid w:val="00C53437"/>
    <w:rsid w:val="00C53480"/>
    <w:rsid w:val="00C5385E"/>
    <w:rsid w:val="00C538EA"/>
    <w:rsid w:val="00C53A41"/>
    <w:rsid w:val="00C53C17"/>
    <w:rsid w:val="00C543CE"/>
    <w:rsid w:val="00C545DE"/>
    <w:rsid w:val="00C545FD"/>
    <w:rsid w:val="00C54993"/>
    <w:rsid w:val="00C54D53"/>
    <w:rsid w:val="00C550D1"/>
    <w:rsid w:val="00C55186"/>
    <w:rsid w:val="00C55226"/>
    <w:rsid w:val="00C557CB"/>
    <w:rsid w:val="00C5597E"/>
    <w:rsid w:val="00C55FA4"/>
    <w:rsid w:val="00C5613E"/>
    <w:rsid w:val="00C561D1"/>
    <w:rsid w:val="00C562B2"/>
    <w:rsid w:val="00C563AE"/>
    <w:rsid w:val="00C56485"/>
    <w:rsid w:val="00C5675F"/>
    <w:rsid w:val="00C56B0B"/>
    <w:rsid w:val="00C56D52"/>
    <w:rsid w:val="00C57617"/>
    <w:rsid w:val="00C57BEB"/>
    <w:rsid w:val="00C57FDB"/>
    <w:rsid w:val="00C57FEF"/>
    <w:rsid w:val="00C60029"/>
    <w:rsid w:val="00C60FF0"/>
    <w:rsid w:val="00C61135"/>
    <w:rsid w:val="00C6181D"/>
    <w:rsid w:val="00C6190F"/>
    <w:rsid w:val="00C61BD0"/>
    <w:rsid w:val="00C622AB"/>
    <w:rsid w:val="00C62A60"/>
    <w:rsid w:val="00C62E1A"/>
    <w:rsid w:val="00C630DD"/>
    <w:rsid w:val="00C6367C"/>
    <w:rsid w:val="00C63A41"/>
    <w:rsid w:val="00C63A5B"/>
    <w:rsid w:val="00C63EE4"/>
    <w:rsid w:val="00C64130"/>
    <w:rsid w:val="00C6419D"/>
    <w:rsid w:val="00C6443E"/>
    <w:rsid w:val="00C6453E"/>
    <w:rsid w:val="00C6461B"/>
    <w:rsid w:val="00C64C15"/>
    <w:rsid w:val="00C64D96"/>
    <w:rsid w:val="00C64ED3"/>
    <w:rsid w:val="00C6560E"/>
    <w:rsid w:val="00C658E7"/>
    <w:rsid w:val="00C65CE3"/>
    <w:rsid w:val="00C65DFF"/>
    <w:rsid w:val="00C66550"/>
    <w:rsid w:val="00C6667E"/>
    <w:rsid w:val="00C66738"/>
    <w:rsid w:val="00C66797"/>
    <w:rsid w:val="00C66E72"/>
    <w:rsid w:val="00C6753C"/>
    <w:rsid w:val="00C67692"/>
    <w:rsid w:val="00C67873"/>
    <w:rsid w:val="00C67911"/>
    <w:rsid w:val="00C67979"/>
    <w:rsid w:val="00C67ECD"/>
    <w:rsid w:val="00C67FB8"/>
    <w:rsid w:val="00C70270"/>
    <w:rsid w:val="00C705B0"/>
    <w:rsid w:val="00C70714"/>
    <w:rsid w:val="00C70C1B"/>
    <w:rsid w:val="00C71507"/>
    <w:rsid w:val="00C71525"/>
    <w:rsid w:val="00C717E4"/>
    <w:rsid w:val="00C717F4"/>
    <w:rsid w:val="00C71828"/>
    <w:rsid w:val="00C71F9F"/>
    <w:rsid w:val="00C71FBB"/>
    <w:rsid w:val="00C72210"/>
    <w:rsid w:val="00C723CC"/>
    <w:rsid w:val="00C72D1F"/>
    <w:rsid w:val="00C72DF4"/>
    <w:rsid w:val="00C72F67"/>
    <w:rsid w:val="00C72F7C"/>
    <w:rsid w:val="00C73437"/>
    <w:rsid w:val="00C7380E"/>
    <w:rsid w:val="00C73868"/>
    <w:rsid w:val="00C73AC0"/>
    <w:rsid w:val="00C73B92"/>
    <w:rsid w:val="00C73DCB"/>
    <w:rsid w:val="00C73E92"/>
    <w:rsid w:val="00C73F66"/>
    <w:rsid w:val="00C74096"/>
    <w:rsid w:val="00C74607"/>
    <w:rsid w:val="00C74B63"/>
    <w:rsid w:val="00C74DBF"/>
    <w:rsid w:val="00C74F66"/>
    <w:rsid w:val="00C75335"/>
    <w:rsid w:val="00C75560"/>
    <w:rsid w:val="00C759A3"/>
    <w:rsid w:val="00C75DBA"/>
    <w:rsid w:val="00C75F81"/>
    <w:rsid w:val="00C76179"/>
    <w:rsid w:val="00C76365"/>
    <w:rsid w:val="00C766A9"/>
    <w:rsid w:val="00C76B2E"/>
    <w:rsid w:val="00C77253"/>
    <w:rsid w:val="00C77B4B"/>
    <w:rsid w:val="00C77B83"/>
    <w:rsid w:val="00C77C11"/>
    <w:rsid w:val="00C77CF9"/>
    <w:rsid w:val="00C77D71"/>
    <w:rsid w:val="00C77DC7"/>
    <w:rsid w:val="00C801E1"/>
    <w:rsid w:val="00C80445"/>
    <w:rsid w:val="00C8046D"/>
    <w:rsid w:val="00C806B8"/>
    <w:rsid w:val="00C80A22"/>
    <w:rsid w:val="00C80B0A"/>
    <w:rsid w:val="00C80CD5"/>
    <w:rsid w:val="00C8112F"/>
    <w:rsid w:val="00C811D0"/>
    <w:rsid w:val="00C812DE"/>
    <w:rsid w:val="00C814E1"/>
    <w:rsid w:val="00C81740"/>
    <w:rsid w:val="00C81C9C"/>
    <w:rsid w:val="00C81E20"/>
    <w:rsid w:val="00C82065"/>
    <w:rsid w:val="00C82458"/>
    <w:rsid w:val="00C825F1"/>
    <w:rsid w:val="00C827A5"/>
    <w:rsid w:val="00C82C7A"/>
    <w:rsid w:val="00C82D2A"/>
    <w:rsid w:val="00C82DA4"/>
    <w:rsid w:val="00C82E23"/>
    <w:rsid w:val="00C835C6"/>
    <w:rsid w:val="00C83E6E"/>
    <w:rsid w:val="00C83F33"/>
    <w:rsid w:val="00C83FAB"/>
    <w:rsid w:val="00C8417A"/>
    <w:rsid w:val="00C841BC"/>
    <w:rsid w:val="00C84252"/>
    <w:rsid w:val="00C844E3"/>
    <w:rsid w:val="00C8456B"/>
    <w:rsid w:val="00C851D0"/>
    <w:rsid w:val="00C851FF"/>
    <w:rsid w:val="00C8526A"/>
    <w:rsid w:val="00C854BE"/>
    <w:rsid w:val="00C85601"/>
    <w:rsid w:val="00C85E57"/>
    <w:rsid w:val="00C861C1"/>
    <w:rsid w:val="00C86305"/>
    <w:rsid w:val="00C86A6C"/>
    <w:rsid w:val="00C86A98"/>
    <w:rsid w:val="00C86C95"/>
    <w:rsid w:val="00C87018"/>
    <w:rsid w:val="00C87B1F"/>
    <w:rsid w:val="00C87D96"/>
    <w:rsid w:val="00C87D9F"/>
    <w:rsid w:val="00C87E9F"/>
    <w:rsid w:val="00C87EE4"/>
    <w:rsid w:val="00C87F14"/>
    <w:rsid w:val="00C907AB"/>
    <w:rsid w:val="00C907FE"/>
    <w:rsid w:val="00C908A9"/>
    <w:rsid w:val="00C908FC"/>
    <w:rsid w:val="00C91242"/>
    <w:rsid w:val="00C91625"/>
    <w:rsid w:val="00C916F6"/>
    <w:rsid w:val="00C91DC3"/>
    <w:rsid w:val="00C91EB4"/>
    <w:rsid w:val="00C922A9"/>
    <w:rsid w:val="00C9297B"/>
    <w:rsid w:val="00C92A8F"/>
    <w:rsid w:val="00C92BE7"/>
    <w:rsid w:val="00C9329D"/>
    <w:rsid w:val="00C93366"/>
    <w:rsid w:val="00C93863"/>
    <w:rsid w:val="00C93880"/>
    <w:rsid w:val="00C938FB"/>
    <w:rsid w:val="00C93A0F"/>
    <w:rsid w:val="00C93B2B"/>
    <w:rsid w:val="00C93D20"/>
    <w:rsid w:val="00C942C2"/>
    <w:rsid w:val="00C946B2"/>
    <w:rsid w:val="00C947E8"/>
    <w:rsid w:val="00C94BA1"/>
    <w:rsid w:val="00C94E80"/>
    <w:rsid w:val="00C95099"/>
    <w:rsid w:val="00C95203"/>
    <w:rsid w:val="00C952BE"/>
    <w:rsid w:val="00C95411"/>
    <w:rsid w:val="00C95736"/>
    <w:rsid w:val="00C957BF"/>
    <w:rsid w:val="00C95A86"/>
    <w:rsid w:val="00C95AC4"/>
    <w:rsid w:val="00C95B18"/>
    <w:rsid w:val="00C95C35"/>
    <w:rsid w:val="00C960D1"/>
    <w:rsid w:val="00C9618C"/>
    <w:rsid w:val="00C9627A"/>
    <w:rsid w:val="00C962F6"/>
    <w:rsid w:val="00C96620"/>
    <w:rsid w:val="00C966EA"/>
    <w:rsid w:val="00C969B3"/>
    <w:rsid w:val="00C96B8A"/>
    <w:rsid w:val="00C979C7"/>
    <w:rsid w:val="00C97B52"/>
    <w:rsid w:val="00C97B9F"/>
    <w:rsid w:val="00C97F8B"/>
    <w:rsid w:val="00CA033F"/>
    <w:rsid w:val="00CA03BD"/>
    <w:rsid w:val="00CA0535"/>
    <w:rsid w:val="00CA05A8"/>
    <w:rsid w:val="00CA0A09"/>
    <w:rsid w:val="00CA0B0A"/>
    <w:rsid w:val="00CA133F"/>
    <w:rsid w:val="00CA170C"/>
    <w:rsid w:val="00CA17F6"/>
    <w:rsid w:val="00CA1812"/>
    <w:rsid w:val="00CA18F6"/>
    <w:rsid w:val="00CA194D"/>
    <w:rsid w:val="00CA1E58"/>
    <w:rsid w:val="00CA1EF6"/>
    <w:rsid w:val="00CA21D3"/>
    <w:rsid w:val="00CA2538"/>
    <w:rsid w:val="00CA285B"/>
    <w:rsid w:val="00CA294A"/>
    <w:rsid w:val="00CA2B7A"/>
    <w:rsid w:val="00CA35E4"/>
    <w:rsid w:val="00CA36D9"/>
    <w:rsid w:val="00CA3EEE"/>
    <w:rsid w:val="00CA3F48"/>
    <w:rsid w:val="00CA3FDF"/>
    <w:rsid w:val="00CA46FE"/>
    <w:rsid w:val="00CA507C"/>
    <w:rsid w:val="00CA53EE"/>
    <w:rsid w:val="00CA59DB"/>
    <w:rsid w:val="00CA5AB7"/>
    <w:rsid w:val="00CA5C83"/>
    <w:rsid w:val="00CA5C86"/>
    <w:rsid w:val="00CA5EB1"/>
    <w:rsid w:val="00CA5F36"/>
    <w:rsid w:val="00CA6A99"/>
    <w:rsid w:val="00CA6C25"/>
    <w:rsid w:val="00CA6CE9"/>
    <w:rsid w:val="00CA77C7"/>
    <w:rsid w:val="00CA7807"/>
    <w:rsid w:val="00CA78D2"/>
    <w:rsid w:val="00CA7976"/>
    <w:rsid w:val="00CA79EE"/>
    <w:rsid w:val="00CA7B15"/>
    <w:rsid w:val="00CA7DD9"/>
    <w:rsid w:val="00CA7EE2"/>
    <w:rsid w:val="00CB0174"/>
    <w:rsid w:val="00CB01ED"/>
    <w:rsid w:val="00CB02EF"/>
    <w:rsid w:val="00CB04C9"/>
    <w:rsid w:val="00CB0D1B"/>
    <w:rsid w:val="00CB1AEE"/>
    <w:rsid w:val="00CB1F0A"/>
    <w:rsid w:val="00CB21C3"/>
    <w:rsid w:val="00CB22A9"/>
    <w:rsid w:val="00CB23A8"/>
    <w:rsid w:val="00CB23BE"/>
    <w:rsid w:val="00CB2660"/>
    <w:rsid w:val="00CB274E"/>
    <w:rsid w:val="00CB27C6"/>
    <w:rsid w:val="00CB2983"/>
    <w:rsid w:val="00CB29C8"/>
    <w:rsid w:val="00CB2A1E"/>
    <w:rsid w:val="00CB2AAA"/>
    <w:rsid w:val="00CB2CBD"/>
    <w:rsid w:val="00CB3540"/>
    <w:rsid w:val="00CB35CB"/>
    <w:rsid w:val="00CB38E9"/>
    <w:rsid w:val="00CB3B98"/>
    <w:rsid w:val="00CB3EB0"/>
    <w:rsid w:val="00CB4294"/>
    <w:rsid w:val="00CB448B"/>
    <w:rsid w:val="00CB4635"/>
    <w:rsid w:val="00CB4970"/>
    <w:rsid w:val="00CB4B72"/>
    <w:rsid w:val="00CB4D8F"/>
    <w:rsid w:val="00CB4DD1"/>
    <w:rsid w:val="00CB51FD"/>
    <w:rsid w:val="00CB52D1"/>
    <w:rsid w:val="00CB5362"/>
    <w:rsid w:val="00CB57BB"/>
    <w:rsid w:val="00CB61C3"/>
    <w:rsid w:val="00CB67AE"/>
    <w:rsid w:val="00CB6FA2"/>
    <w:rsid w:val="00CB70CB"/>
    <w:rsid w:val="00CB72EF"/>
    <w:rsid w:val="00CB7379"/>
    <w:rsid w:val="00CB7984"/>
    <w:rsid w:val="00CC03A1"/>
    <w:rsid w:val="00CC09D1"/>
    <w:rsid w:val="00CC0CD1"/>
    <w:rsid w:val="00CC0D9C"/>
    <w:rsid w:val="00CC0ED5"/>
    <w:rsid w:val="00CC10BC"/>
    <w:rsid w:val="00CC117B"/>
    <w:rsid w:val="00CC1316"/>
    <w:rsid w:val="00CC1A07"/>
    <w:rsid w:val="00CC1AD6"/>
    <w:rsid w:val="00CC227B"/>
    <w:rsid w:val="00CC236C"/>
    <w:rsid w:val="00CC23DA"/>
    <w:rsid w:val="00CC2A8F"/>
    <w:rsid w:val="00CC2B03"/>
    <w:rsid w:val="00CC2D84"/>
    <w:rsid w:val="00CC2ED4"/>
    <w:rsid w:val="00CC4088"/>
    <w:rsid w:val="00CC4309"/>
    <w:rsid w:val="00CC4370"/>
    <w:rsid w:val="00CC479A"/>
    <w:rsid w:val="00CC493F"/>
    <w:rsid w:val="00CC4973"/>
    <w:rsid w:val="00CC4C61"/>
    <w:rsid w:val="00CC5940"/>
    <w:rsid w:val="00CC5BEB"/>
    <w:rsid w:val="00CC5D0B"/>
    <w:rsid w:val="00CC5D3E"/>
    <w:rsid w:val="00CC5DC4"/>
    <w:rsid w:val="00CC5E30"/>
    <w:rsid w:val="00CC6102"/>
    <w:rsid w:val="00CC627C"/>
    <w:rsid w:val="00CC65C1"/>
    <w:rsid w:val="00CC6C11"/>
    <w:rsid w:val="00CC7132"/>
    <w:rsid w:val="00CC71CD"/>
    <w:rsid w:val="00CC7247"/>
    <w:rsid w:val="00CC74CC"/>
    <w:rsid w:val="00CC75FB"/>
    <w:rsid w:val="00CC77A7"/>
    <w:rsid w:val="00CC788F"/>
    <w:rsid w:val="00CC78B6"/>
    <w:rsid w:val="00CC78C9"/>
    <w:rsid w:val="00CC7A41"/>
    <w:rsid w:val="00CC7E41"/>
    <w:rsid w:val="00CD00B0"/>
    <w:rsid w:val="00CD0410"/>
    <w:rsid w:val="00CD072E"/>
    <w:rsid w:val="00CD0EBE"/>
    <w:rsid w:val="00CD1074"/>
    <w:rsid w:val="00CD12DB"/>
    <w:rsid w:val="00CD1344"/>
    <w:rsid w:val="00CD21EE"/>
    <w:rsid w:val="00CD3000"/>
    <w:rsid w:val="00CD31A3"/>
    <w:rsid w:val="00CD3438"/>
    <w:rsid w:val="00CD34E8"/>
    <w:rsid w:val="00CD354D"/>
    <w:rsid w:val="00CD3C3B"/>
    <w:rsid w:val="00CD3E9A"/>
    <w:rsid w:val="00CD40AD"/>
    <w:rsid w:val="00CD4425"/>
    <w:rsid w:val="00CD46DF"/>
    <w:rsid w:val="00CD4B99"/>
    <w:rsid w:val="00CD4C7F"/>
    <w:rsid w:val="00CD4E62"/>
    <w:rsid w:val="00CD4E96"/>
    <w:rsid w:val="00CD4FCC"/>
    <w:rsid w:val="00CD52DF"/>
    <w:rsid w:val="00CD545B"/>
    <w:rsid w:val="00CD57A0"/>
    <w:rsid w:val="00CD58AA"/>
    <w:rsid w:val="00CD6094"/>
    <w:rsid w:val="00CD64D9"/>
    <w:rsid w:val="00CD6510"/>
    <w:rsid w:val="00CD6B07"/>
    <w:rsid w:val="00CD6BA1"/>
    <w:rsid w:val="00CD6D12"/>
    <w:rsid w:val="00CD7489"/>
    <w:rsid w:val="00CD7516"/>
    <w:rsid w:val="00CD7B63"/>
    <w:rsid w:val="00CD7E53"/>
    <w:rsid w:val="00CE0059"/>
    <w:rsid w:val="00CE0581"/>
    <w:rsid w:val="00CE0AEE"/>
    <w:rsid w:val="00CE0C21"/>
    <w:rsid w:val="00CE0EC3"/>
    <w:rsid w:val="00CE11A1"/>
    <w:rsid w:val="00CE16EF"/>
    <w:rsid w:val="00CE1830"/>
    <w:rsid w:val="00CE1A26"/>
    <w:rsid w:val="00CE1C87"/>
    <w:rsid w:val="00CE2505"/>
    <w:rsid w:val="00CE2966"/>
    <w:rsid w:val="00CE2B8D"/>
    <w:rsid w:val="00CE2BA0"/>
    <w:rsid w:val="00CE2D97"/>
    <w:rsid w:val="00CE3079"/>
    <w:rsid w:val="00CE35C9"/>
    <w:rsid w:val="00CE366C"/>
    <w:rsid w:val="00CE3E2E"/>
    <w:rsid w:val="00CE3F23"/>
    <w:rsid w:val="00CE3F73"/>
    <w:rsid w:val="00CE4102"/>
    <w:rsid w:val="00CE4353"/>
    <w:rsid w:val="00CE4FD7"/>
    <w:rsid w:val="00CE5180"/>
    <w:rsid w:val="00CE527D"/>
    <w:rsid w:val="00CE529C"/>
    <w:rsid w:val="00CE5821"/>
    <w:rsid w:val="00CE58E9"/>
    <w:rsid w:val="00CE5CFD"/>
    <w:rsid w:val="00CE5E07"/>
    <w:rsid w:val="00CE5EFE"/>
    <w:rsid w:val="00CE6F61"/>
    <w:rsid w:val="00CE7099"/>
    <w:rsid w:val="00CE70CB"/>
    <w:rsid w:val="00CE7360"/>
    <w:rsid w:val="00CE7FCE"/>
    <w:rsid w:val="00CF0688"/>
    <w:rsid w:val="00CF0713"/>
    <w:rsid w:val="00CF07CC"/>
    <w:rsid w:val="00CF0ADC"/>
    <w:rsid w:val="00CF0D32"/>
    <w:rsid w:val="00CF18A0"/>
    <w:rsid w:val="00CF1A51"/>
    <w:rsid w:val="00CF1D03"/>
    <w:rsid w:val="00CF1FF8"/>
    <w:rsid w:val="00CF2498"/>
    <w:rsid w:val="00CF29C2"/>
    <w:rsid w:val="00CF2AF4"/>
    <w:rsid w:val="00CF2B09"/>
    <w:rsid w:val="00CF3080"/>
    <w:rsid w:val="00CF30C8"/>
    <w:rsid w:val="00CF34FB"/>
    <w:rsid w:val="00CF3526"/>
    <w:rsid w:val="00CF359A"/>
    <w:rsid w:val="00CF3989"/>
    <w:rsid w:val="00CF3DA6"/>
    <w:rsid w:val="00CF3F68"/>
    <w:rsid w:val="00CF4190"/>
    <w:rsid w:val="00CF4753"/>
    <w:rsid w:val="00CF4AF5"/>
    <w:rsid w:val="00CF4B06"/>
    <w:rsid w:val="00CF4EF6"/>
    <w:rsid w:val="00CF51FC"/>
    <w:rsid w:val="00CF54BA"/>
    <w:rsid w:val="00CF54BD"/>
    <w:rsid w:val="00CF55D0"/>
    <w:rsid w:val="00CF5896"/>
    <w:rsid w:val="00CF59A7"/>
    <w:rsid w:val="00CF5B2D"/>
    <w:rsid w:val="00CF5BA2"/>
    <w:rsid w:val="00CF5F54"/>
    <w:rsid w:val="00CF673A"/>
    <w:rsid w:val="00CF68AD"/>
    <w:rsid w:val="00CF6A40"/>
    <w:rsid w:val="00CF7038"/>
    <w:rsid w:val="00CF776F"/>
    <w:rsid w:val="00CF77D1"/>
    <w:rsid w:val="00CF7E04"/>
    <w:rsid w:val="00CF7FC7"/>
    <w:rsid w:val="00D0009D"/>
    <w:rsid w:val="00D0055D"/>
    <w:rsid w:val="00D0075F"/>
    <w:rsid w:val="00D00BCB"/>
    <w:rsid w:val="00D00EB3"/>
    <w:rsid w:val="00D01317"/>
    <w:rsid w:val="00D013A7"/>
    <w:rsid w:val="00D014F4"/>
    <w:rsid w:val="00D01732"/>
    <w:rsid w:val="00D01788"/>
    <w:rsid w:val="00D018D5"/>
    <w:rsid w:val="00D01B80"/>
    <w:rsid w:val="00D01F32"/>
    <w:rsid w:val="00D0220F"/>
    <w:rsid w:val="00D02458"/>
    <w:rsid w:val="00D025C6"/>
    <w:rsid w:val="00D025E4"/>
    <w:rsid w:val="00D025F2"/>
    <w:rsid w:val="00D02AE7"/>
    <w:rsid w:val="00D02B17"/>
    <w:rsid w:val="00D02FF3"/>
    <w:rsid w:val="00D03079"/>
    <w:rsid w:val="00D034C9"/>
    <w:rsid w:val="00D03676"/>
    <w:rsid w:val="00D0379C"/>
    <w:rsid w:val="00D03960"/>
    <w:rsid w:val="00D03AD5"/>
    <w:rsid w:val="00D03B5B"/>
    <w:rsid w:val="00D04661"/>
    <w:rsid w:val="00D048FB"/>
    <w:rsid w:val="00D04931"/>
    <w:rsid w:val="00D04A92"/>
    <w:rsid w:val="00D04A9B"/>
    <w:rsid w:val="00D04BDE"/>
    <w:rsid w:val="00D04E55"/>
    <w:rsid w:val="00D05012"/>
    <w:rsid w:val="00D05366"/>
    <w:rsid w:val="00D05601"/>
    <w:rsid w:val="00D05C2A"/>
    <w:rsid w:val="00D05FF9"/>
    <w:rsid w:val="00D060D7"/>
    <w:rsid w:val="00D063C0"/>
    <w:rsid w:val="00D069F3"/>
    <w:rsid w:val="00D06A4C"/>
    <w:rsid w:val="00D06ECA"/>
    <w:rsid w:val="00D070BA"/>
    <w:rsid w:val="00D078F5"/>
    <w:rsid w:val="00D1001C"/>
    <w:rsid w:val="00D103BD"/>
    <w:rsid w:val="00D10ACC"/>
    <w:rsid w:val="00D10F18"/>
    <w:rsid w:val="00D113F6"/>
    <w:rsid w:val="00D1189E"/>
    <w:rsid w:val="00D11D01"/>
    <w:rsid w:val="00D124FC"/>
    <w:rsid w:val="00D12882"/>
    <w:rsid w:val="00D12DDE"/>
    <w:rsid w:val="00D12E8E"/>
    <w:rsid w:val="00D13037"/>
    <w:rsid w:val="00D13137"/>
    <w:rsid w:val="00D139BA"/>
    <w:rsid w:val="00D13BC9"/>
    <w:rsid w:val="00D13D68"/>
    <w:rsid w:val="00D13DA3"/>
    <w:rsid w:val="00D14009"/>
    <w:rsid w:val="00D142B8"/>
    <w:rsid w:val="00D1482D"/>
    <w:rsid w:val="00D149F3"/>
    <w:rsid w:val="00D15D05"/>
    <w:rsid w:val="00D15FAD"/>
    <w:rsid w:val="00D162CF"/>
    <w:rsid w:val="00D16332"/>
    <w:rsid w:val="00D1658E"/>
    <w:rsid w:val="00D16601"/>
    <w:rsid w:val="00D17800"/>
    <w:rsid w:val="00D178FD"/>
    <w:rsid w:val="00D17D40"/>
    <w:rsid w:val="00D200E0"/>
    <w:rsid w:val="00D20435"/>
    <w:rsid w:val="00D204BF"/>
    <w:rsid w:val="00D207DA"/>
    <w:rsid w:val="00D20994"/>
    <w:rsid w:val="00D20D32"/>
    <w:rsid w:val="00D20D8C"/>
    <w:rsid w:val="00D20F7D"/>
    <w:rsid w:val="00D20FB4"/>
    <w:rsid w:val="00D210C6"/>
    <w:rsid w:val="00D2148B"/>
    <w:rsid w:val="00D214F4"/>
    <w:rsid w:val="00D21555"/>
    <w:rsid w:val="00D215AD"/>
    <w:rsid w:val="00D21601"/>
    <w:rsid w:val="00D216AB"/>
    <w:rsid w:val="00D21986"/>
    <w:rsid w:val="00D219F5"/>
    <w:rsid w:val="00D21B29"/>
    <w:rsid w:val="00D21F07"/>
    <w:rsid w:val="00D22075"/>
    <w:rsid w:val="00D2258E"/>
    <w:rsid w:val="00D22631"/>
    <w:rsid w:val="00D22670"/>
    <w:rsid w:val="00D2276E"/>
    <w:rsid w:val="00D22D03"/>
    <w:rsid w:val="00D23305"/>
    <w:rsid w:val="00D23420"/>
    <w:rsid w:val="00D234EA"/>
    <w:rsid w:val="00D236D0"/>
    <w:rsid w:val="00D23A8D"/>
    <w:rsid w:val="00D23C68"/>
    <w:rsid w:val="00D241A2"/>
    <w:rsid w:val="00D242CB"/>
    <w:rsid w:val="00D24834"/>
    <w:rsid w:val="00D24D74"/>
    <w:rsid w:val="00D24DBF"/>
    <w:rsid w:val="00D24E0F"/>
    <w:rsid w:val="00D25222"/>
    <w:rsid w:val="00D256CD"/>
    <w:rsid w:val="00D25ADC"/>
    <w:rsid w:val="00D25F32"/>
    <w:rsid w:val="00D263B0"/>
    <w:rsid w:val="00D265DC"/>
    <w:rsid w:val="00D26636"/>
    <w:rsid w:val="00D266D1"/>
    <w:rsid w:val="00D26961"/>
    <w:rsid w:val="00D26A29"/>
    <w:rsid w:val="00D26ECF"/>
    <w:rsid w:val="00D26F71"/>
    <w:rsid w:val="00D27535"/>
    <w:rsid w:val="00D305EE"/>
    <w:rsid w:val="00D30EF5"/>
    <w:rsid w:val="00D31164"/>
    <w:rsid w:val="00D31897"/>
    <w:rsid w:val="00D31975"/>
    <w:rsid w:val="00D319DF"/>
    <w:rsid w:val="00D31E02"/>
    <w:rsid w:val="00D31EB9"/>
    <w:rsid w:val="00D3201B"/>
    <w:rsid w:val="00D325C0"/>
    <w:rsid w:val="00D32776"/>
    <w:rsid w:val="00D327DB"/>
    <w:rsid w:val="00D32AE9"/>
    <w:rsid w:val="00D32B6E"/>
    <w:rsid w:val="00D3304A"/>
    <w:rsid w:val="00D33C0C"/>
    <w:rsid w:val="00D34099"/>
    <w:rsid w:val="00D3483E"/>
    <w:rsid w:val="00D348B7"/>
    <w:rsid w:val="00D34B11"/>
    <w:rsid w:val="00D34D8F"/>
    <w:rsid w:val="00D34EBC"/>
    <w:rsid w:val="00D34FDC"/>
    <w:rsid w:val="00D35AF6"/>
    <w:rsid w:val="00D35D77"/>
    <w:rsid w:val="00D35F5C"/>
    <w:rsid w:val="00D3653E"/>
    <w:rsid w:val="00D3692E"/>
    <w:rsid w:val="00D36CAF"/>
    <w:rsid w:val="00D36EAB"/>
    <w:rsid w:val="00D37112"/>
    <w:rsid w:val="00D37445"/>
    <w:rsid w:val="00D374CA"/>
    <w:rsid w:val="00D37E2C"/>
    <w:rsid w:val="00D37E2E"/>
    <w:rsid w:val="00D4056E"/>
    <w:rsid w:val="00D409FE"/>
    <w:rsid w:val="00D40A38"/>
    <w:rsid w:val="00D40B3C"/>
    <w:rsid w:val="00D40B90"/>
    <w:rsid w:val="00D40C24"/>
    <w:rsid w:val="00D413B8"/>
    <w:rsid w:val="00D4160D"/>
    <w:rsid w:val="00D41E86"/>
    <w:rsid w:val="00D4217A"/>
    <w:rsid w:val="00D423F3"/>
    <w:rsid w:val="00D42528"/>
    <w:rsid w:val="00D426A2"/>
    <w:rsid w:val="00D42B3B"/>
    <w:rsid w:val="00D42CA9"/>
    <w:rsid w:val="00D42EBE"/>
    <w:rsid w:val="00D42F76"/>
    <w:rsid w:val="00D43240"/>
    <w:rsid w:val="00D432F4"/>
    <w:rsid w:val="00D43456"/>
    <w:rsid w:val="00D437A2"/>
    <w:rsid w:val="00D43A18"/>
    <w:rsid w:val="00D43AB2"/>
    <w:rsid w:val="00D44369"/>
    <w:rsid w:val="00D44617"/>
    <w:rsid w:val="00D44729"/>
    <w:rsid w:val="00D44A23"/>
    <w:rsid w:val="00D44AD9"/>
    <w:rsid w:val="00D44BE5"/>
    <w:rsid w:val="00D44EBF"/>
    <w:rsid w:val="00D454FF"/>
    <w:rsid w:val="00D45868"/>
    <w:rsid w:val="00D458EB"/>
    <w:rsid w:val="00D45977"/>
    <w:rsid w:val="00D45A21"/>
    <w:rsid w:val="00D460BD"/>
    <w:rsid w:val="00D4622C"/>
    <w:rsid w:val="00D46696"/>
    <w:rsid w:val="00D4679A"/>
    <w:rsid w:val="00D46ACC"/>
    <w:rsid w:val="00D46F3A"/>
    <w:rsid w:val="00D4711B"/>
    <w:rsid w:val="00D472F9"/>
    <w:rsid w:val="00D474CB"/>
    <w:rsid w:val="00D47B56"/>
    <w:rsid w:val="00D47CCB"/>
    <w:rsid w:val="00D47F9C"/>
    <w:rsid w:val="00D50AB8"/>
    <w:rsid w:val="00D50B33"/>
    <w:rsid w:val="00D50B5C"/>
    <w:rsid w:val="00D50BB8"/>
    <w:rsid w:val="00D50FC6"/>
    <w:rsid w:val="00D51075"/>
    <w:rsid w:val="00D51289"/>
    <w:rsid w:val="00D5132A"/>
    <w:rsid w:val="00D51C01"/>
    <w:rsid w:val="00D5200E"/>
    <w:rsid w:val="00D522BC"/>
    <w:rsid w:val="00D522BD"/>
    <w:rsid w:val="00D524DA"/>
    <w:rsid w:val="00D52579"/>
    <w:rsid w:val="00D5271C"/>
    <w:rsid w:val="00D52C1C"/>
    <w:rsid w:val="00D52C1E"/>
    <w:rsid w:val="00D52CC2"/>
    <w:rsid w:val="00D53358"/>
    <w:rsid w:val="00D533DA"/>
    <w:rsid w:val="00D534AB"/>
    <w:rsid w:val="00D53BAA"/>
    <w:rsid w:val="00D5454E"/>
    <w:rsid w:val="00D54615"/>
    <w:rsid w:val="00D54C27"/>
    <w:rsid w:val="00D550C3"/>
    <w:rsid w:val="00D55334"/>
    <w:rsid w:val="00D558E0"/>
    <w:rsid w:val="00D559BB"/>
    <w:rsid w:val="00D55A5F"/>
    <w:rsid w:val="00D56174"/>
    <w:rsid w:val="00D564D3"/>
    <w:rsid w:val="00D569FF"/>
    <w:rsid w:val="00D56CAB"/>
    <w:rsid w:val="00D56E62"/>
    <w:rsid w:val="00D56EFA"/>
    <w:rsid w:val="00D5706B"/>
    <w:rsid w:val="00D57188"/>
    <w:rsid w:val="00D574FC"/>
    <w:rsid w:val="00D57D02"/>
    <w:rsid w:val="00D60488"/>
    <w:rsid w:val="00D6079E"/>
    <w:rsid w:val="00D60A6F"/>
    <w:rsid w:val="00D60D12"/>
    <w:rsid w:val="00D60F16"/>
    <w:rsid w:val="00D61019"/>
    <w:rsid w:val="00D61083"/>
    <w:rsid w:val="00D610C7"/>
    <w:rsid w:val="00D61290"/>
    <w:rsid w:val="00D6160F"/>
    <w:rsid w:val="00D616D4"/>
    <w:rsid w:val="00D618DF"/>
    <w:rsid w:val="00D61B41"/>
    <w:rsid w:val="00D61D22"/>
    <w:rsid w:val="00D62155"/>
    <w:rsid w:val="00D62A99"/>
    <w:rsid w:val="00D63286"/>
    <w:rsid w:val="00D633FE"/>
    <w:rsid w:val="00D63B09"/>
    <w:rsid w:val="00D63E2D"/>
    <w:rsid w:val="00D64097"/>
    <w:rsid w:val="00D6471B"/>
    <w:rsid w:val="00D6472B"/>
    <w:rsid w:val="00D64AC4"/>
    <w:rsid w:val="00D64BA0"/>
    <w:rsid w:val="00D64BE2"/>
    <w:rsid w:val="00D65203"/>
    <w:rsid w:val="00D65810"/>
    <w:rsid w:val="00D66044"/>
    <w:rsid w:val="00D661B5"/>
    <w:rsid w:val="00D66E70"/>
    <w:rsid w:val="00D66F4C"/>
    <w:rsid w:val="00D671D4"/>
    <w:rsid w:val="00D676AC"/>
    <w:rsid w:val="00D676E5"/>
    <w:rsid w:val="00D67D56"/>
    <w:rsid w:val="00D70136"/>
    <w:rsid w:val="00D708FC"/>
    <w:rsid w:val="00D70C07"/>
    <w:rsid w:val="00D70C82"/>
    <w:rsid w:val="00D71A22"/>
    <w:rsid w:val="00D71B98"/>
    <w:rsid w:val="00D71D67"/>
    <w:rsid w:val="00D723A0"/>
    <w:rsid w:val="00D726B5"/>
    <w:rsid w:val="00D72AAB"/>
    <w:rsid w:val="00D72D4C"/>
    <w:rsid w:val="00D72F4B"/>
    <w:rsid w:val="00D73811"/>
    <w:rsid w:val="00D742B9"/>
    <w:rsid w:val="00D74C2A"/>
    <w:rsid w:val="00D74E52"/>
    <w:rsid w:val="00D74F46"/>
    <w:rsid w:val="00D751AB"/>
    <w:rsid w:val="00D756D9"/>
    <w:rsid w:val="00D75A35"/>
    <w:rsid w:val="00D76241"/>
    <w:rsid w:val="00D76264"/>
    <w:rsid w:val="00D7636A"/>
    <w:rsid w:val="00D76B0A"/>
    <w:rsid w:val="00D76C99"/>
    <w:rsid w:val="00D7751D"/>
    <w:rsid w:val="00D77856"/>
    <w:rsid w:val="00D77A3C"/>
    <w:rsid w:val="00D77DFC"/>
    <w:rsid w:val="00D801E7"/>
    <w:rsid w:val="00D805C8"/>
    <w:rsid w:val="00D81171"/>
    <w:rsid w:val="00D81929"/>
    <w:rsid w:val="00D81CCB"/>
    <w:rsid w:val="00D81F5C"/>
    <w:rsid w:val="00D8217E"/>
    <w:rsid w:val="00D8231B"/>
    <w:rsid w:val="00D82566"/>
    <w:rsid w:val="00D82E81"/>
    <w:rsid w:val="00D83207"/>
    <w:rsid w:val="00D836CF"/>
    <w:rsid w:val="00D839D8"/>
    <w:rsid w:val="00D83C98"/>
    <w:rsid w:val="00D83DFE"/>
    <w:rsid w:val="00D8467E"/>
    <w:rsid w:val="00D84A01"/>
    <w:rsid w:val="00D84D9E"/>
    <w:rsid w:val="00D85454"/>
    <w:rsid w:val="00D85817"/>
    <w:rsid w:val="00D8582F"/>
    <w:rsid w:val="00D85916"/>
    <w:rsid w:val="00D85C05"/>
    <w:rsid w:val="00D85CD9"/>
    <w:rsid w:val="00D85F2E"/>
    <w:rsid w:val="00D85FC3"/>
    <w:rsid w:val="00D86148"/>
    <w:rsid w:val="00D86607"/>
    <w:rsid w:val="00D86662"/>
    <w:rsid w:val="00D8677E"/>
    <w:rsid w:val="00D86C43"/>
    <w:rsid w:val="00D87175"/>
    <w:rsid w:val="00D8796B"/>
    <w:rsid w:val="00D90045"/>
    <w:rsid w:val="00D90145"/>
    <w:rsid w:val="00D902B6"/>
    <w:rsid w:val="00D904D5"/>
    <w:rsid w:val="00D906EA"/>
    <w:rsid w:val="00D9088E"/>
    <w:rsid w:val="00D90CFD"/>
    <w:rsid w:val="00D91189"/>
    <w:rsid w:val="00D91334"/>
    <w:rsid w:val="00D917B2"/>
    <w:rsid w:val="00D919FA"/>
    <w:rsid w:val="00D92142"/>
    <w:rsid w:val="00D921C6"/>
    <w:rsid w:val="00D92A89"/>
    <w:rsid w:val="00D92A8B"/>
    <w:rsid w:val="00D92A9A"/>
    <w:rsid w:val="00D93070"/>
    <w:rsid w:val="00D9360E"/>
    <w:rsid w:val="00D93DC3"/>
    <w:rsid w:val="00D93F15"/>
    <w:rsid w:val="00D9487A"/>
    <w:rsid w:val="00D9493C"/>
    <w:rsid w:val="00D94A5A"/>
    <w:rsid w:val="00D94DA3"/>
    <w:rsid w:val="00D95095"/>
    <w:rsid w:val="00D9510F"/>
    <w:rsid w:val="00D951D8"/>
    <w:rsid w:val="00D95478"/>
    <w:rsid w:val="00D9597F"/>
    <w:rsid w:val="00D95FB8"/>
    <w:rsid w:val="00D96088"/>
    <w:rsid w:val="00D960A1"/>
    <w:rsid w:val="00D965AC"/>
    <w:rsid w:val="00D968F4"/>
    <w:rsid w:val="00D96A7D"/>
    <w:rsid w:val="00D96C76"/>
    <w:rsid w:val="00D96CAC"/>
    <w:rsid w:val="00D9788D"/>
    <w:rsid w:val="00D97899"/>
    <w:rsid w:val="00D97A1D"/>
    <w:rsid w:val="00DA001D"/>
    <w:rsid w:val="00DA009A"/>
    <w:rsid w:val="00DA031C"/>
    <w:rsid w:val="00DA044E"/>
    <w:rsid w:val="00DA05BE"/>
    <w:rsid w:val="00DA08C5"/>
    <w:rsid w:val="00DA0BBE"/>
    <w:rsid w:val="00DA0D3B"/>
    <w:rsid w:val="00DA1E0E"/>
    <w:rsid w:val="00DA20A8"/>
    <w:rsid w:val="00DA2141"/>
    <w:rsid w:val="00DA21F8"/>
    <w:rsid w:val="00DA268C"/>
    <w:rsid w:val="00DA291D"/>
    <w:rsid w:val="00DA3458"/>
    <w:rsid w:val="00DA34D3"/>
    <w:rsid w:val="00DA37DB"/>
    <w:rsid w:val="00DA39FD"/>
    <w:rsid w:val="00DA3E99"/>
    <w:rsid w:val="00DA3F4F"/>
    <w:rsid w:val="00DA4540"/>
    <w:rsid w:val="00DA480C"/>
    <w:rsid w:val="00DA49CE"/>
    <w:rsid w:val="00DA4E87"/>
    <w:rsid w:val="00DA4F6D"/>
    <w:rsid w:val="00DA5195"/>
    <w:rsid w:val="00DA5237"/>
    <w:rsid w:val="00DA54AA"/>
    <w:rsid w:val="00DA5994"/>
    <w:rsid w:val="00DA59BF"/>
    <w:rsid w:val="00DA5B17"/>
    <w:rsid w:val="00DA5B32"/>
    <w:rsid w:val="00DA5DB1"/>
    <w:rsid w:val="00DA5EC6"/>
    <w:rsid w:val="00DA6020"/>
    <w:rsid w:val="00DA637F"/>
    <w:rsid w:val="00DA6573"/>
    <w:rsid w:val="00DA678B"/>
    <w:rsid w:val="00DA6A84"/>
    <w:rsid w:val="00DA6B70"/>
    <w:rsid w:val="00DA6DA7"/>
    <w:rsid w:val="00DA72E1"/>
    <w:rsid w:val="00DA7309"/>
    <w:rsid w:val="00DA76F4"/>
    <w:rsid w:val="00DA7868"/>
    <w:rsid w:val="00DA7981"/>
    <w:rsid w:val="00DA7E57"/>
    <w:rsid w:val="00DB00C8"/>
    <w:rsid w:val="00DB1038"/>
    <w:rsid w:val="00DB130F"/>
    <w:rsid w:val="00DB16DF"/>
    <w:rsid w:val="00DB1721"/>
    <w:rsid w:val="00DB1A0B"/>
    <w:rsid w:val="00DB2233"/>
    <w:rsid w:val="00DB23E7"/>
    <w:rsid w:val="00DB28EE"/>
    <w:rsid w:val="00DB2D40"/>
    <w:rsid w:val="00DB2DF4"/>
    <w:rsid w:val="00DB2E64"/>
    <w:rsid w:val="00DB3292"/>
    <w:rsid w:val="00DB3D10"/>
    <w:rsid w:val="00DB40BF"/>
    <w:rsid w:val="00DB42DF"/>
    <w:rsid w:val="00DB4CFE"/>
    <w:rsid w:val="00DB4EDD"/>
    <w:rsid w:val="00DB527A"/>
    <w:rsid w:val="00DB5859"/>
    <w:rsid w:val="00DB5AF1"/>
    <w:rsid w:val="00DB5C24"/>
    <w:rsid w:val="00DB5DB7"/>
    <w:rsid w:val="00DB605D"/>
    <w:rsid w:val="00DB616F"/>
    <w:rsid w:val="00DB66F5"/>
    <w:rsid w:val="00DB6968"/>
    <w:rsid w:val="00DB6DCB"/>
    <w:rsid w:val="00DB704B"/>
    <w:rsid w:val="00DB7B99"/>
    <w:rsid w:val="00DC0377"/>
    <w:rsid w:val="00DC069D"/>
    <w:rsid w:val="00DC0AD0"/>
    <w:rsid w:val="00DC0EC4"/>
    <w:rsid w:val="00DC0EE8"/>
    <w:rsid w:val="00DC130F"/>
    <w:rsid w:val="00DC1571"/>
    <w:rsid w:val="00DC1839"/>
    <w:rsid w:val="00DC21A0"/>
    <w:rsid w:val="00DC22E3"/>
    <w:rsid w:val="00DC2771"/>
    <w:rsid w:val="00DC277F"/>
    <w:rsid w:val="00DC2C80"/>
    <w:rsid w:val="00DC2CAA"/>
    <w:rsid w:val="00DC2D16"/>
    <w:rsid w:val="00DC2D8D"/>
    <w:rsid w:val="00DC2E30"/>
    <w:rsid w:val="00DC3232"/>
    <w:rsid w:val="00DC350A"/>
    <w:rsid w:val="00DC38A4"/>
    <w:rsid w:val="00DC3BC8"/>
    <w:rsid w:val="00DC3C12"/>
    <w:rsid w:val="00DC430B"/>
    <w:rsid w:val="00DC45D9"/>
    <w:rsid w:val="00DC4663"/>
    <w:rsid w:val="00DC46CC"/>
    <w:rsid w:val="00DC4956"/>
    <w:rsid w:val="00DC4999"/>
    <w:rsid w:val="00DC4A72"/>
    <w:rsid w:val="00DC4DE5"/>
    <w:rsid w:val="00DC4E8C"/>
    <w:rsid w:val="00DC522A"/>
    <w:rsid w:val="00DC534B"/>
    <w:rsid w:val="00DC538C"/>
    <w:rsid w:val="00DC5C03"/>
    <w:rsid w:val="00DC5E34"/>
    <w:rsid w:val="00DC5EEA"/>
    <w:rsid w:val="00DC60F7"/>
    <w:rsid w:val="00DC6163"/>
    <w:rsid w:val="00DC6198"/>
    <w:rsid w:val="00DC637D"/>
    <w:rsid w:val="00DC64A9"/>
    <w:rsid w:val="00DC6AC5"/>
    <w:rsid w:val="00DC6F74"/>
    <w:rsid w:val="00DC72FA"/>
    <w:rsid w:val="00DC7416"/>
    <w:rsid w:val="00DD0014"/>
    <w:rsid w:val="00DD03D2"/>
    <w:rsid w:val="00DD0558"/>
    <w:rsid w:val="00DD055A"/>
    <w:rsid w:val="00DD0831"/>
    <w:rsid w:val="00DD088C"/>
    <w:rsid w:val="00DD1021"/>
    <w:rsid w:val="00DD121E"/>
    <w:rsid w:val="00DD130B"/>
    <w:rsid w:val="00DD142E"/>
    <w:rsid w:val="00DD14F5"/>
    <w:rsid w:val="00DD159B"/>
    <w:rsid w:val="00DD172D"/>
    <w:rsid w:val="00DD1E85"/>
    <w:rsid w:val="00DD29D2"/>
    <w:rsid w:val="00DD2F07"/>
    <w:rsid w:val="00DD31CF"/>
    <w:rsid w:val="00DD3390"/>
    <w:rsid w:val="00DD341A"/>
    <w:rsid w:val="00DD34D8"/>
    <w:rsid w:val="00DD3C19"/>
    <w:rsid w:val="00DD3CD4"/>
    <w:rsid w:val="00DD46F3"/>
    <w:rsid w:val="00DD5084"/>
    <w:rsid w:val="00DD5286"/>
    <w:rsid w:val="00DD568F"/>
    <w:rsid w:val="00DD5EE1"/>
    <w:rsid w:val="00DD635C"/>
    <w:rsid w:val="00DD65CF"/>
    <w:rsid w:val="00DD6687"/>
    <w:rsid w:val="00DD693A"/>
    <w:rsid w:val="00DD69B2"/>
    <w:rsid w:val="00DD7219"/>
    <w:rsid w:val="00DD7456"/>
    <w:rsid w:val="00DD7480"/>
    <w:rsid w:val="00DD76DB"/>
    <w:rsid w:val="00DD799A"/>
    <w:rsid w:val="00DD7D0E"/>
    <w:rsid w:val="00DD7E34"/>
    <w:rsid w:val="00DD7F86"/>
    <w:rsid w:val="00DE0133"/>
    <w:rsid w:val="00DE0182"/>
    <w:rsid w:val="00DE024D"/>
    <w:rsid w:val="00DE052D"/>
    <w:rsid w:val="00DE052E"/>
    <w:rsid w:val="00DE06D5"/>
    <w:rsid w:val="00DE0A69"/>
    <w:rsid w:val="00DE0DC8"/>
    <w:rsid w:val="00DE0F54"/>
    <w:rsid w:val="00DE1517"/>
    <w:rsid w:val="00DE1D70"/>
    <w:rsid w:val="00DE1E37"/>
    <w:rsid w:val="00DE1EBC"/>
    <w:rsid w:val="00DE1ECE"/>
    <w:rsid w:val="00DE2932"/>
    <w:rsid w:val="00DE29B2"/>
    <w:rsid w:val="00DE2D83"/>
    <w:rsid w:val="00DE2FC9"/>
    <w:rsid w:val="00DE305C"/>
    <w:rsid w:val="00DE3148"/>
    <w:rsid w:val="00DE329B"/>
    <w:rsid w:val="00DE339A"/>
    <w:rsid w:val="00DE367E"/>
    <w:rsid w:val="00DE386B"/>
    <w:rsid w:val="00DE3A33"/>
    <w:rsid w:val="00DE3F5A"/>
    <w:rsid w:val="00DE3FD6"/>
    <w:rsid w:val="00DE3FF0"/>
    <w:rsid w:val="00DE40A9"/>
    <w:rsid w:val="00DE43A0"/>
    <w:rsid w:val="00DE46B8"/>
    <w:rsid w:val="00DE46C2"/>
    <w:rsid w:val="00DE48DE"/>
    <w:rsid w:val="00DE4A03"/>
    <w:rsid w:val="00DE4D0B"/>
    <w:rsid w:val="00DE4D60"/>
    <w:rsid w:val="00DE4DF6"/>
    <w:rsid w:val="00DE4DF8"/>
    <w:rsid w:val="00DE50A9"/>
    <w:rsid w:val="00DE5445"/>
    <w:rsid w:val="00DE597C"/>
    <w:rsid w:val="00DE5A7B"/>
    <w:rsid w:val="00DE65C0"/>
    <w:rsid w:val="00DE671B"/>
    <w:rsid w:val="00DE6C21"/>
    <w:rsid w:val="00DE70A3"/>
    <w:rsid w:val="00DE71BB"/>
    <w:rsid w:val="00DE7378"/>
    <w:rsid w:val="00DE7455"/>
    <w:rsid w:val="00DE7646"/>
    <w:rsid w:val="00DE778F"/>
    <w:rsid w:val="00DE77BB"/>
    <w:rsid w:val="00DE78FC"/>
    <w:rsid w:val="00DE7DDB"/>
    <w:rsid w:val="00DF00CD"/>
    <w:rsid w:val="00DF09EA"/>
    <w:rsid w:val="00DF0A47"/>
    <w:rsid w:val="00DF0D78"/>
    <w:rsid w:val="00DF1098"/>
    <w:rsid w:val="00DF1872"/>
    <w:rsid w:val="00DF19B4"/>
    <w:rsid w:val="00DF26EB"/>
    <w:rsid w:val="00DF29FB"/>
    <w:rsid w:val="00DF2A94"/>
    <w:rsid w:val="00DF2D6D"/>
    <w:rsid w:val="00DF2EC1"/>
    <w:rsid w:val="00DF30B2"/>
    <w:rsid w:val="00DF36FA"/>
    <w:rsid w:val="00DF3AFD"/>
    <w:rsid w:val="00DF3EC3"/>
    <w:rsid w:val="00DF3EF1"/>
    <w:rsid w:val="00DF40AD"/>
    <w:rsid w:val="00DF40E0"/>
    <w:rsid w:val="00DF412A"/>
    <w:rsid w:val="00DF423F"/>
    <w:rsid w:val="00DF44AB"/>
    <w:rsid w:val="00DF5208"/>
    <w:rsid w:val="00DF5893"/>
    <w:rsid w:val="00DF58BC"/>
    <w:rsid w:val="00DF622C"/>
    <w:rsid w:val="00DF64FF"/>
    <w:rsid w:val="00DF6839"/>
    <w:rsid w:val="00DF6C32"/>
    <w:rsid w:val="00DF6CCC"/>
    <w:rsid w:val="00DF6F4B"/>
    <w:rsid w:val="00DF71BD"/>
    <w:rsid w:val="00DF7ECE"/>
    <w:rsid w:val="00E00761"/>
    <w:rsid w:val="00E009BB"/>
    <w:rsid w:val="00E009EA"/>
    <w:rsid w:val="00E00D0C"/>
    <w:rsid w:val="00E00EA5"/>
    <w:rsid w:val="00E01157"/>
    <w:rsid w:val="00E013B8"/>
    <w:rsid w:val="00E0193B"/>
    <w:rsid w:val="00E01C7B"/>
    <w:rsid w:val="00E02122"/>
    <w:rsid w:val="00E02295"/>
    <w:rsid w:val="00E0274C"/>
    <w:rsid w:val="00E027BE"/>
    <w:rsid w:val="00E02976"/>
    <w:rsid w:val="00E0308F"/>
    <w:rsid w:val="00E03ACA"/>
    <w:rsid w:val="00E03D6F"/>
    <w:rsid w:val="00E048EA"/>
    <w:rsid w:val="00E04B6B"/>
    <w:rsid w:val="00E050C5"/>
    <w:rsid w:val="00E05559"/>
    <w:rsid w:val="00E05B68"/>
    <w:rsid w:val="00E062BF"/>
    <w:rsid w:val="00E06330"/>
    <w:rsid w:val="00E0640D"/>
    <w:rsid w:val="00E06672"/>
    <w:rsid w:val="00E068DE"/>
    <w:rsid w:val="00E06A6B"/>
    <w:rsid w:val="00E06AEB"/>
    <w:rsid w:val="00E06EED"/>
    <w:rsid w:val="00E06FD3"/>
    <w:rsid w:val="00E07167"/>
    <w:rsid w:val="00E07400"/>
    <w:rsid w:val="00E075F7"/>
    <w:rsid w:val="00E07A6E"/>
    <w:rsid w:val="00E07F73"/>
    <w:rsid w:val="00E100B1"/>
    <w:rsid w:val="00E1020A"/>
    <w:rsid w:val="00E105FD"/>
    <w:rsid w:val="00E108FA"/>
    <w:rsid w:val="00E109A2"/>
    <w:rsid w:val="00E10C2C"/>
    <w:rsid w:val="00E1115E"/>
    <w:rsid w:val="00E11617"/>
    <w:rsid w:val="00E1176E"/>
    <w:rsid w:val="00E119CA"/>
    <w:rsid w:val="00E12476"/>
    <w:rsid w:val="00E12649"/>
    <w:rsid w:val="00E128B8"/>
    <w:rsid w:val="00E12E2A"/>
    <w:rsid w:val="00E1331A"/>
    <w:rsid w:val="00E137FB"/>
    <w:rsid w:val="00E13901"/>
    <w:rsid w:val="00E14335"/>
    <w:rsid w:val="00E1455F"/>
    <w:rsid w:val="00E145B9"/>
    <w:rsid w:val="00E14822"/>
    <w:rsid w:val="00E14904"/>
    <w:rsid w:val="00E14C46"/>
    <w:rsid w:val="00E14F3F"/>
    <w:rsid w:val="00E151C8"/>
    <w:rsid w:val="00E154A5"/>
    <w:rsid w:val="00E156CA"/>
    <w:rsid w:val="00E15A2E"/>
    <w:rsid w:val="00E15B2B"/>
    <w:rsid w:val="00E15D0F"/>
    <w:rsid w:val="00E15E5D"/>
    <w:rsid w:val="00E1696D"/>
    <w:rsid w:val="00E16996"/>
    <w:rsid w:val="00E16AF1"/>
    <w:rsid w:val="00E171EA"/>
    <w:rsid w:val="00E17AB0"/>
    <w:rsid w:val="00E17D96"/>
    <w:rsid w:val="00E17EE4"/>
    <w:rsid w:val="00E20250"/>
    <w:rsid w:val="00E2037C"/>
    <w:rsid w:val="00E205BA"/>
    <w:rsid w:val="00E20E50"/>
    <w:rsid w:val="00E20F9D"/>
    <w:rsid w:val="00E214A8"/>
    <w:rsid w:val="00E218FF"/>
    <w:rsid w:val="00E219D6"/>
    <w:rsid w:val="00E21A6C"/>
    <w:rsid w:val="00E21BBB"/>
    <w:rsid w:val="00E21C22"/>
    <w:rsid w:val="00E21C7B"/>
    <w:rsid w:val="00E229BC"/>
    <w:rsid w:val="00E22AC9"/>
    <w:rsid w:val="00E22BDA"/>
    <w:rsid w:val="00E232F0"/>
    <w:rsid w:val="00E23346"/>
    <w:rsid w:val="00E239E4"/>
    <w:rsid w:val="00E23B6D"/>
    <w:rsid w:val="00E23CD9"/>
    <w:rsid w:val="00E23F53"/>
    <w:rsid w:val="00E2405A"/>
    <w:rsid w:val="00E240D0"/>
    <w:rsid w:val="00E24180"/>
    <w:rsid w:val="00E241FF"/>
    <w:rsid w:val="00E24280"/>
    <w:rsid w:val="00E24B5F"/>
    <w:rsid w:val="00E24B9B"/>
    <w:rsid w:val="00E25010"/>
    <w:rsid w:val="00E252F7"/>
    <w:rsid w:val="00E25DC7"/>
    <w:rsid w:val="00E264AE"/>
    <w:rsid w:val="00E266E1"/>
    <w:rsid w:val="00E26844"/>
    <w:rsid w:val="00E26D55"/>
    <w:rsid w:val="00E26F6E"/>
    <w:rsid w:val="00E27448"/>
    <w:rsid w:val="00E278AB"/>
    <w:rsid w:val="00E27B81"/>
    <w:rsid w:val="00E3044D"/>
    <w:rsid w:val="00E3080D"/>
    <w:rsid w:val="00E309EC"/>
    <w:rsid w:val="00E30B72"/>
    <w:rsid w:val="00E30BAC"/>
    <w:rsid w:val="00E30C46"/>
    <w:rsid w:val="00E312FC"/>
    <w:rsid w:val="00E3133B"/>
    <w:rsid w:val="00E31B05"/>
    <w:rsid w:val="00E31BE1"/>
    <w:rsid w:val="00E31DC1"/>
    <w:rsid w:val="00E31DFF"/>
    <w:rsid w:val="00E31F61"/>
    <w:rsid w:val="00E32199"/>
    <w:rsid w:val="00E32206"/>
    <w:rsid w:val="00E323D4"/>
    <w:rsid w:val="00E32D6B"/>
    <w:rsid w:val="00E32F55"/>
    <w:rsid w:val="00E3312F"/>
    <w:rsid w:val="00E33A91"/>
    <w:rsid w:val="00E33AF3"/>
    <w:rsid w:val="00E33BC2"/>
    <w:rsid w:val="00E33C8D"/>
    <w:rsid w:val="00E33D3A"/>
    <w:rsid w:val="00E33FDB"/>
    <w:rsid w:val="00E342DF"/>
    <w:rsid w:val="00E344FC"/>
    <w:rsid w:val="00E34D7F"/>
    <w:rsid w:val="00E3525C"/>
    <w:rsid w:val="00E353DF"/>
    <w:rsid w:val="00E356E3"/>
    <w:rsid w:val="00E35D0F"/>
    <w:rsid w:val="00E361CC"/>
    <w:rsid w:val="00E361D6"/>
    <w:rsid w:val="00E36305"/>
    <w:rsid w:val="00E36354"/>
    <w:rsid w:val="00E365C5"/>
    <w:rsid w:val="00E366AF"/>
    <w:rsid w:val="00E36710"/>
    <w:rsid w:val="00E3674F"/>
    <w:rsid w:val="00E3694A"/>
    <w:rsid w:val="00E36AA9"/>
    <w:rsid w:val="00E3724E"/>
    <w:rsid w:val="00E373D6"/>
    <w:rsid w:val="00E3775C"/>
    <w:rsid w:val="00E379F4"/>
    <w:rsid w:val="00E37A20"/>
    <w:rsid w:val="00E40232"/>
    <w:rsid w:val="00E4063B"/>
    <w:rsid w:val="00E40720"/>
    <w:rsid w:val="00E40E74"/>
    <w:rsid w:val="00E4104C"/>
    <w:rsid w:val="00E4127E"/>
    <w:rsid w:val="00E41567"/>
    <w:rsid w:val="00E419FE"/>
    <w:rsid w:val="00E41DD4"/>
    <w:rsid w:val="00E41F86"/>
    <w:rsid w:val="00E42193"/>
    <w:rsid w:val="00E42429"/>
    <w:rsid w:val="00E427EA"/>
    <w:rsid w:val="00E429BF"/>
    <w:rsid w:val="00E42BCB"/>
    <w:rsid w:val="00E432E8"/>
    <w:rsid w:val="00E4356C"/>
    <w:rsid w:val="00E43AE9"/>
    <w:rsid w:val="00E43C6C"/>
    <w:rsid w:val="00E43EE2"/>
    <w:rsid w:val="00E44183"/>
    <w:rsid w:val="00E4463F"/>
    <w:rsid w:val="00E446F2"/>
    <w:rsid w:val="00E44B19"/>
    <w:rsid w:val="00E44F37"/>
    <w:rsid w:val="00E452EF"/>
    <w:rsid w:val="00E45572"/>
    <w:rsid w:val="00E45CA7"/>
    <w:rsid w:val="00E45E27"/>
    <w:rsid w:val="00E46194"/>
    <w:rsid w:val="00E461A7"/>
    <w:rsid w:val="00E46311"/>
    <w:rsid w:val="00E46388"/>
    <w:rsid w:val="00E4673F"/>
    <w:rsid w:val="00E46B8A"/>
    <w:rsid w:val="00E46C76"/>
    <w:rsid w:val="00E46F0A"/>
    <w:rsid w:val="00E47649"/>
    <w:rsid w:val="00E50DAF"/>
    <w:rsid w:val="00E5114B"/>
    <w:rsid w:val="00E5121D"/>
    <w:rsid w:val="00E51497"/>
    <w:rsid w:val="00E51C17"/>
    <w:rsid w:val="00E51ECA"/>
    <w:rsid w:val="00E5264D"/>
    <w:rsid w:val="00E528AC"/>
    <w:rsid w:val="00E5297F"/>
    <w:rsid w:val="00E52AD0"/>
    <w:rsid w:val="00E53405"/>
    <w:rsid w:val="00E5395C"/>
    <w:rsid w:val="00E53B66"/>
    <w:rsid w:val="00E544F0"/>
    <w:rsid w:val="00E547B9"/>
    <w:rsid w:val="00E548A9"/>
    <w:rsid w:val="00E54A38"/>
    <w:rsid w:val="00E54B72"/>
    <w:rsid w:val="00E54F31"/>
    <w:rsid w:val="00E55647"/>
    <w:rsid w:val="00E558EF"/>
    <w:rsid w:val="00E560D2"/>
    <w:rsid w:val="00E560E3"/>
    <w:rsid w:val="00E562F9"/>
    <w:rsid w:val="00E5662A"/>
    <w:rsid w:val="00E568BB"/>
    <w:rsid w:val="00E5694B"/>
    <w:rsid w:val="00E56A85"/>
    <w:rsid w:val="00E56AFB"/>
    <w:rsid w:val="00E56CA6"/>
    <w:rsid w:val="00E56CBF"/>
    <w:rsid w:val="00E56ECA"/>
    <w:rsid w:val="00E56F3B"/>
    <w:rsid w:val="00E57041"/>
    <w:rsid w:val="00E570C8"/>
    <w:rsid w:val="00E57682"/>
    <w:rsid w:val="00E57683"/>
    <w:rsid w:val="00E579B1"/>
    <w:rsid w:val="00E57D36"/>
    <w:rsid w:val="00E57F8C"/>
    <w:rsid w:val="00E6033D"/>
    <w:rsid w:val="00E603BC"/>
    <w:rsid w:val="00E606D2"/>
    <w:rsid w:val="00E60767"/>
    <w:rsid w:val="00E60991"/>
    <w:rsid w:val="00E60F98"/>
    <w:rsid w:val="00E6179F"/>
    <w:rsid w:val="00E619C8"/>
    <w:rsid w:val="00E6201F"/>
    <w:rsid w:val="00E620C3"/>
    <w:rsid w:val="00E622BC"/>
    <w:rsid w:val="00E6248B"/>
    <w:rsid w:val="00E62549"/>
    <w:rsid w:val="00E628DD"/>
    <w:rsid w:val="00E62AAA"/>
    <w:rsid w:val="00E62FA6"/>
    <w:rsid w:val="00E6343E"/>
    <w:rsid w:val="00E639C0"/>
    <w:rsid w:val="00E63D42"/>
    <w:rsid w:val="00E644CD"/>
    <w:rsid w:val="00E64571"/>
    <w:rsid w:val="00E645CD"/>
    <w:rsid w:val="00E648E7"/>
    <w:rsid w:val="00E64B40"/>
    <w:rsid w:val="00E64DBC"/>
    <w:rsid w:val="00E64E82"/>
    <w:rsid w:val="00E65278"/>
    <w:rsid w:val="00E655AA"/>
    <w:rsid w:val="00E6579A"/>
    <w:rsid w:val="00E66095"/>
    <w:rsid w:val="00E660A7"/>
    <w:rsid w:val="00E664DF"/>
    <w:rsid w:val="00E66628"/>
    <w:rsid w:val="00E668F2"/>
    <w:rsid w:val="00E66D1B"/>
    <w:rsid w:val="00E67044"/>
    <w:rsid w:val="00E67104"/>
    <w:rsid w:val="00E67598"/>
    <w:rsid w:val="00E67686"/>
    <w:rsid w:val="00E6791C"/>
    <w:rsid w:val="00E7063E"/>
    <w:rsid w:val="00E71045"/>
    <w:rsid w:val="00E710EC"/>
    <w:rsid w:val="00E71212"/>
    <w:rsid w:val="00E713E9"/>
    <w:rsid w:val="00E7144C"/>
    <w:rsid w:val="00E7167E"/>
    <w:rsid w:val="00E71EB4"/>
    <w:rsid w:val="00E71F64"/>
    <w:rsid w:val="00E7213A"/>
    <w:rsid w:val="00E7229B"/>
    <w:rsid w:val="00E724B4"/>
    <w:rsid w:val="00E72DA2"/>
    <w:rsid w:val="00E72EA8"/>
    <w:rsid w:val="00E73116"/>
    <w:rsid w:val="00E73462"/>
    <w:rsid w:val="00E739B3"/>
    <w:rsid w:val="00E73ACE"/>
    <w:rsid w:val="00E740B4"/>
    <w:rsid w:val="00E74146"/>
    <w:rsid w:val="00E7417B"/>
    <w:rsid w:val="00E74526"/>
    <w:rsid w:val="00E74699"/>
    <w:rsid w:val="00E74C20"/>
    <w:rsid w:val="00E75B72"/>
    <w:rsid w:val="00E75D9A"/>
    <w:rsid w:val="00E761D8"/>
    <w:rsid w:val="00E765B7"/>
    <w:rsid w:val="00E76A1E"/>
    <w:rsid w:val="00E76E9A"/>
    <w:rsid w:val="00E76F37"/>
    <w:rsid w:val="00E770A7"/>
    <w:rsid w:val="00E7720A"/>
    <w:rsid w:val="00E77379"/>
    <w:rsid w:val="00E801EA"/>
    <w:rsid w:val="00E80302"/>
    <w:rsid w:val="00E80F12"/>
    <w:rsid w:val="00E814BC"/>
    <w:rsid w:val="00E8197E"/>
    <w:rsid w:val="00E819D7"/>
    <w:rsid w:val="00E820D7"/>
    <w:rsid w:val="00E821C6"/>
    <w:rsid w:val="00E82273"/>
    <w:rsid w:val="00E824D3"/>
    <w:rsid w:val="00E824E8"/>
    <w:rsid w:val="00E82902"/>
    <w:rsid w:val="00E82B4D"/>
    <w:rsid w:val="00E831F8"/>
    <w:rsid w:val="00E83467"/>
    <w:rsid w:val="00E83A2D"/>
    <w:rsid w:val="00E83E16"/>
    <w:rsid w:val="00E83FFB"/>
    <w:rsid w:val="00E845FD"/>
    <w:rsid w:val="00E84761"/>
    <w:rsid w:val="00E8488B"/>
    <w:rsid w:val="00E849C9"/>
    <w:rsid w:val="00E84A0C"/>
    <w:rsid w:val="00E84B39"/>
    <w:rsid w:val="00E84CF7"/>
    <w:rsid w:val="00E84F77"/>
    <w:rsid w:val="00E85254"/>
    <w:rsid w:val="00E852F0"/>
    <w:rsid w:val="00E85494"/>
    <w:rsid w:val="00E863C1"/>
    <w:rsid w:val="00E8668B"/>
    <w:rsid w:val="00E86824"/>
    <w:rsid w:val="00E86A9F"/>
    <w:rsid w:val="00E86CBF"/>
    <w:rsid w:val="00E874E8"/>
    <w:rsid w:val="00E877B4"/>
    <w:rsid w:val="00E90148"/>
    <w:rsid w:val="00E90566"/>
    <w:rsid w:val="00E90C35"/>
    <w:rsid w:val="00E90E24"/>
    <w:rsid w:val="00E90E2B"/>
    <w:rsid w:val="00E90E60"/>
    <w:rsid w:val="00E91DE9"/>
    <w:rsid w:val="00E92171"/>
    <w:rsid w:val="00E924DD"/>
    <w:rsid w:val="00E924F1"/>
    <w:rsid w:val="00E92761"/>
    <w:rsid w:val="00E929FC"/>
    <w:rsid w:val="00E92A6A"/>
    <w:rsid w:val="00E9351E"/>
    <w:rsid w:val="00E936D7"/>
    <w:rsid w:val="00E939EB"/>
    <w:rsid w:val="00E93E73"/>
    <w:rsid w:val="00E943BD"/>
    <w:rsid w:val="00E944D4"/>
    <w:rsid w:val="00E9459A"/>
    <w:rsid w:val="00E947E9"/>
    <w:rsid w:val="00E94829"/>
    <w:rsid w:val="00E94839"/>
    <w:rsid w:val="00E949D5"/>
    <w:rsid w:val="00E94F91"/>
    <w:rsid w:val="00E95160"/>
    <w:rsid w:val="00E95195"/>
    <w:rsid w:val="00E96433"/>
    <w:rsid w:val="00E9643C"/>
    <w:rsid w:val="00E96710"/>
    <w:rsid w:val="00E96AE9"/>
    <w:rsid w:val="00E97224"/>
    <w:rsid w:val="00E9759E"/>
    <w:rsid w:val="00E97612"/>
    <w:rsid w:val="00E97797"/>
    <w:rsid w:val="00E97856"/>
    <w:rsid w:val="00E97C6F"/>
    <w:rsid w:val="00EA00C1"/>
    <w:rsid w:val="00EA028F"/>
    <w:rsid w:val="00EA04AF"/>
    <w:rsid w:val="00EA0BC6"/>
    <w:rsid w:val="00EA0D90"/>
    <w:rsid w:val="00EA11A8"/>
    <w:rsid w:val="00EA14E0"/>
    <w:rsid w:val="00EA154D"/>
    <w:rsid w:val="00EA1742"/>
    <w:rsid w:val="00EA219E"/>
    <w:rsid w:val="00EA2249"/>
    <w:rsid w:val="00EA22ED"/>
    <w:rsid w:val="00EA24D3"/>
    <w:rsid w:val="00EA2682"/>
    <w:rsid w:val="00EA2875"/>
    <w:rsid w:val="00EA2973"/>
    <w:rsid w:val="00EA2E27"/>
    <w:rsid w:val="00EA3184"/>
    <w:rsid w:val="00EA3439"/>
    <w:rsid w:val="00EA3613"/>
    <w:rsid w:val="00EA4764"/>
    <w:rsid w:val="00EA4833"/>
    <w:rsid w:val="00EA487D"/>
    <w:rsid w:val="00EA4A32"/>
    <w:rsid w:val="00EA584F"/>
    <w:rsid w:val="00EA6087"/>
    <w:rsid w:val="00EA60C2"/>
    <w:rsid w:val="00EA65D0"/>
    <w:rsid w:val="00EA6B89"/>
    <w:rsid w:val="00EA72C6"/>
    <w:rsid w:val="00EA7469"/>
    <w:rsid w:val="00EA7597"/>
    <w:rsid w:val="00EA7AB6"/>
    <w:rsid w:val="00EB00C9"/>
    <w:rsid w:val="00EB01A6"/>
    <w:rsid w:val="00EB0209"/>
    <w:rsid w:val="00EB0502"/>
    <w:rsid w:val="00EB077E"/>
    <w:rsid w:val="00EB0888"/>
    <w:rsid w:val="00EB0F68"/>
    <w:rsid w:val="00EB11BD"/>
    <w:rsid w:val="00EB12B1"/>
    <w:rsid w:val="00EB1B91"/>
    <w:rsid w:val="00EB2784"/>
    <w:rsid w:val="00EB2933"/>
    <w:rsid w:val="00EB2D87"/>
    <w:rsid w:val="00EB2F6B"/>
    <w:rsid w:val="00EB314A"/>
    <w:rsid w:val="00EB3420"/>
    <w:rsid w:val="00EB3856"/>
    <w:rsid w:val="00EB3D44"/>
    <w:rsid w:val="00EB3F32"/>
    <w:rsid w:val="00EB41B9"/>
    <w:rsid w:val="00EB4375"/>
    <w:rsid w:val="00EB49B5"/>
    <w:rsid w:val="00EB4F86"/>
    <w:rsid w:val="00EB5330"/>
    <w:rsid w:val="00EB5842"/>
    <w:rsid w:val="00EB5C4B"/>
    <w:rsid w:val="00EB6C3E"/>
    <w:rsid w:val="00EB76B2"/>
    <w:rsid w:val="00EB7DB2"/>
    <w:rsid w:val="00EB7DCF"/>
    <w:rsid w:val="00EB7EE8"/>
    <w:rsid w:val="00EC00BE"/>
    <w:rsid w:val="00EC03AE"/>
    <w:rsid w:val="00EC138E"/>
    <w:rsid w:val="00EC1794"/>
    <w:rsid w:val="00EC22BB"/>
    <w:rsid w:val="00EC268E"/>
    <w:rsid w:val="00EC27C8"/>
    <w:rsid w:val="00EC30EE"/>
    <w:rsid w:val="00EC31A6"/>
    <w:rsid w:val="00EC3278"/>
    <w:rsid w:val="00EC36E6"/>
    <w:rsid w:val="00EC3E57"/>
    <w:rsid w:val="00EC40F7"/>
    <w:rsid w:val="00EC445E"/>
    <w:rsid w:val="00EC49FA"/>
    <w:rsid w:val="00EC4CCC"/>
    <w:rsid w:val="00EC4D55"/>
    <w:rsid w:val="00EC4E3D"/>
    <w:rsid w:val="00EC4FBD"/>
    <w:rsid w:val="00EC5203"/>
    <w:rsid w:val="00EC5502"/>
    <w:rsid w:val="00EC556D"/>
    <w:rsid w:val="00EC55DC"/>
    <w:rsid w:val="00EC5A51"/>
    <w:rsid w:val="00EC610A"/>
    <w:rsid w:val="00EC6533"/>
    <w:rsid w:val="00EC659D"/>
    <w:rsid w:val="00EC6895"/>
    <w:rsid w:val="00EC6BFF"/>
    <w:rsid w:val="00EC6D90"/>
    <w:rsid w:val="00EC6D9E"/>
    <w:rsid w:val="00EC6EFE"/>
    <w:rsid w:val="00EC70FD"/>
    <w:rsid w:val="00EC7355"/>
    <w:rsid w:val="00EC754C"/>
    <w:rsid w:val="00EC7882"/>
    <w:rsid w:val="00EC7A1C"/>
    <w:rsid w:val="00ED069F"/>
    <w:rsid w:val="00ED0A5D"/>
    <w:rsid w:val="00ED1077"/>
    <w:rsid w:val="00ED1C3C"/>
    <w:rsid w:val="00ED1E85"/>
    <w:rsid w:val="00ED24DB"/>
    <w:rsid w:val="00ED296A"/>
    <w:rsid w:val="00ED29F2"/>
    <w:rsid w:val="00ED2B52"/>
    <w:rsid w:val="00ED2D31"/>
    <w:rsid w:val="00ED2D76"/>
    <w:rsid w:val="00ED33D0"/>
    <w:rsid w:val="00ED3563"/>
    <w:rsid w:val="00ED39C7"/>
    <w:rsid w:val="00ED3A3D"/>
    <w:rsid w:val="00ED3AEB"/>
    <w:rsid w:val="00ED3AFF"/>
    <w:rsid w:val="00ED3B89"/>
    <w:rsid w:val="00ED3F13"/>
    <w:rsid w:val="00ED40F6"/>
    <w:rsid w:val="00ED45F0"/>
    <w:rsid w:val="00ED4718"/>
    <w:rsid w:val="00ED4779"/>
    <w:rsid w:val="00ED4995"/>
    <w:rsid w:val="00ED4E38"/>
    <w:rsid w:val="00ED4EBA"/>
    <w:rsid w:val="00ED4F22"/>
    <w:rsid w:val="00ED5199"/>
    <w:rsid w:val="00ED5BBF"/>
    <w:rsid w:val="00ED5EDC"/>
    <w:rsid w:val="00ED62A2"/>
    <w:rsid w:val="00ED6882"/>
    <w:rsid w:val="00ED6905"/>
    <w:rsid w:val="00ED6AC3"/>
    <w:rsid w:val="00ED6BF4"/>
    <w:rsid w:val="00ED6E04"/>
    <w:rsid w:val="00ED6FC8"/>
    <w:rsid w:val="00ED73AD"/>
    <w:rsid w:val="00ED7656"/>
    <w:rsid w:val="00ED7E85"/>
    <w:rsid w:val="00EE078B"/>
    <w:rsid w:val="00EE090B"/>
    <w:rsid w:val="00EE099B"/>
    <w:rsid w:val="00EE0A96"/>
    <w:rsid w:val="00EE0EE4"/>
    <w:rsid w:val="00EE1123"/>
    <w:rsid w:val="00EE1291"/>
    <w:rsid w:val="00EE16C9"/>
    <w:rsid w:val="00EE1B05"/>
    <w:rsid w:val="00EE2091"/>
    <w:rsid w:val="00EE20F7"/>
    <w:rsid w:val="00EE21B1"/>
    <w:rsid w:val="00EE22BA"/>
    <w:rsid w:val="00EE269D"/>
    <w:rsid w:val="00EE2D14"/>
    <w:rsid w:val="00EE2EB3"/>
    <w:rsid w:val="00EE3460"/>
    <w:rsid w:val="00EE36C7"/>
    <w:rsid w:val="00EE37F8"/>
    <w:rsid w:val="00EE397A"/>
    <w:rsid w:val="00EE3B25"/>
    <w:rsid w:val="00EE3DF5"/>
    <w:rsid w:val="00EE4396"/>
    <w:rsid w:val="00EE457F"/>
    <w:rsid w:val="00EE4718"/>
    <w:rsid w:val="00EE4AE7"/>
    <w:rsid w:val="00EE4E5F"/>
    <w:rsid w:val="00EE4EA8"/>
    <w:rsid w:val="00EE50C6"/>
    <w:rsid w:val="00EE5463"/>
    <w:rsid w:val="00EE564B"/>
    <w:rsid w:val="00EE569E"/>
    <w:rsid w:val="00EE5956"/>
    <w:rsid w:val="00EE5B33"/>
    <w:rsid w:val="00EE5FCE"/>
    <w:rsid w:val="00EE6089"/>
    <w:rsid w:val="00EE61A6"/>
    <w:rsid w:val="00EE6847"/>
    <w:rsid w:val="00EE6C16"/>
    <w:rsid w:val="00EE6D1A"/>
    <w:rsid w:val="00EE6FCB"/>
    <w:rsid w:val="00EE7832"/>
    <w:rsid w:val="00EF00C4"/>
    <w:rsid w:val="00EF046F"/>
    <w:rsid w:val="00EF0520"/>
    <w:rsid w:val="00EF0986"/>
    <w:rsid w:val="00EF0BBC"/>
    <w:rsid w:val="00EF10CB"/>
    <w:rsid w:val="00EF14DB"/>
    <w:rsid w:val="00EF1751"/>
    <w:rsid w:val="00EF199B"/>
    <w:rsid w:val="00EF1BE1"/>
    <w:rsid w:val="00EF1ED4"/>
    <w:rsid w:val="00EF255D"/>
    <w:rsid w:val="00EF2B88"/>
    <w:rsid w:val="00EF2E0E"/>
    <w:rsid w:val="00EF2F6B"/>
    <w:rsid w:val="00EF3127"/>
    <w:rsid w:val="00EF397D"/>
    <w:rsid w:val="00EF3CBD"/>
    <w:rsid w:val="00EF3FA3"/>
    <w:rsid w:val="00EF4245"/>
    <w:rsid w:val="00EF43EA"/>
    <w:rsid w:val="00EF44D6"/>
    <w:rsid w:val="00EF4630"/>
    <w:rsid w:val="00EF4ADC"/>
    <w:rsid w:val="00EF4D2D"/>
    <w:rsid w:val="00EF4DD4"/>
    <w:rsid w:val="00EF5153"/>
    <w:rsid w:val="00EF58A6"/>
    <w:rsid w:val="00EF5D01"/>
    <w:rsid w:val="00EF5F11"/>
    <w:rsid w:val="00EF6329"/>
    <w:rsid w:val="00EF6D94"/>
    <w:rsid w:val="00EF6EF8"/>
    <w:rsid w:val="00EF6F12"/>
    <w:rsid w:val="00EF6F1D"/>
    <w:rsid w:val="00EF7A58"/>
    <w:rsid w:val="00EF7B77"/>
    <w:rsid w:val="00EF7E9E"/>
    <w:rsid w:val="00EF7FE4"/>
    <w:rsid w:val="00F002C5"/>
    <w:rsid w:val="00F01885"/>
    <w:rsid w:val="00F01AA3"/>
    <w:rsid w:val="00F01B1B"/>
    <w:rsid w:val="00F02324"/>
    <w:rsid w:val="00F0275F"/>
    <w:rsid w:val="00F02966"/>
    <w:rsid w:val="00F02C07"/>
    <w:rsid w:val="00F02C74"/>
    <w:rsid w:val="00F02FAC"/>
    <w:rsid w:val="00F034E0"/>
    <w:rsid w:val="00F03AA6"/>
    <w:rsid w:val="00F03B2F"/>
    <w:rsid w:val="00F03BC8"/>
    <w:rsid w:val="00F03F19"/>
    <w:rsid w:val="00F04956"/>
    <w:rsid w:val="00F04D89"/>
    <w:rsid w:val="00F054C6"/>
    <w:rsid w:val="00F05DEB"/>
    <w:rsid w:val="00F06230"/>
    <w:rsid w:val="00F06371"/>
    <w:rsid w:val="00F0650D"/>
    <w:rsid w:val="00F067C0"/>
    <w:rsid w:val="00F06A8D"/>
    <w:rsid w:val="00F06D2B"/>
    <w:rsid w:val="00F06E68"/>
    <w:rsid w:val="00F07037"/>
    <w:rsid w:val="00F07A96"/>
    <w:rsid w:val="00F07AC5"/>
    <w:rsid w:val="00F07DC3"/>
    <w:rsid w:val="00F07FDB"/>
    <w:rsid w:val="00F1007C"/>
    <w:rsid w:val="00F1032B"/>
    <w:rsid w:val="00F1083F"/>
    <w:rsid w:val="00F10844"/>
    <w:rsid w:val="00F10BEE"/>
    <w:rsid w:val="00F10D65"/>
    <w:rsid w:val="00F10E49"/>
    <w:rsid w:val="00F10E95"/>
    <w:rsid w:val="00F10FDA"/>
    <w:rsid w:val="00F11657"/>
    <w:rsid w:val="00F11B3A"/>
    <w:rsid w:val="00F1219E"/>
    <w:rsid w:val="00F121BC"/>
    <w:rsid w:val="00F12312"/>
    <w:rsid w:val="00F12A64"/>
    <w:rsid w:val="00F132FA"/>
    <w:rsid w:val="00F13663"/>
    <w:rsid w:val="00F13ABC"/>
    <w:rsid w:val="00F13E04"/>
    <w:rsid w:val="00F13E10"/>
    <w:rsid w:val="00F143CD"/>
    <w:rsid w:val="00F14550"/>
    <w:rsid w:val="00F14675"/>
    <w:rsid w:val="00F148DB"/>
    <w:rsid w:val="00F14A0B"/>
    <w:rsid w:val="00F14A63"/>
    <w:rsid w:val="00F14CCC"/>
    <w:rsid w:val="00F14D27"/>
    <w:rsid w:val="00F150A6"/>
    <w:rsid w:val="00F150B9"/>
    <w:rsid w:val="00F15611"/>
    <w:rsid w:val="00F15B3C"/>
    <w:rsid w:val="00F15BEE"/>
    <w:rsid w:val="00F15DCE"/>
    <w:rsid w:val="00F15E1B"/>
    <w:rsid w:val="00F163D7"/>
    <w:rsid w:val="00F16692"/>
    <w:rsid w:val="00F16AB5"/>
    <w:rsid w:val="00F16D29"/>
    <w:rsid w:val="00F171FB"/>
    <w:rsid w:val="00F17329"/>
    <w:rsid w:val="00F175BA"/>
    <w:rsid w:val="00F17619"/>
    <w:rsid w:val="00F1780C"/>
    <w:rsid w:val="00F178A2"/>
    <w:rsid w:val="00F17974"/>
    <w:rsid w:val="00F17ABC"/>
    <w:rsid w:val="00F17FC7"/>
    <w:rsid w:val="00F2025F"/>
    <w:rsid w:val="00F208C4"/>
    <w:rsid w:val="00F20DF9"/>
    <w:rsid w:val="00F21123"/>
    <w:rsid w:val="00F211C1"/>
    <w:rsid w:val="00F213A0"/>
    <w:rsid w:val="00F218AE"/>
    <w:rsid w:val="00F21B32"/>
    <w:rsid w:val="00F21E09"/>
    <w:rsid w:val="00F21E84"/>
    <w:rsid w:val="00F222DB"/>
    <w:rsid w:val="00F2246E"/>
    <w:rsid w:val="00F2253B"/>
    <w:rsid w:val="00F225F9"/>
    <w:rsid w:val="00F22992"/>
    <w:rsid w:val="00F22A4E"/>
    <w:rsid w:val="00F22C29"/>
    <w:rsid w:val="00F23B5E"/>
    <w:rsid w:val="00F23D50"/>
    <w:rsid w:val="00F23DE1"/>
    <w:rsid w:val="00F23DF7"/>
    <w:rsid w:val="00F23E05"/>
    <w:rsid w:val="00F24076"/>
    <w:rsid w:val="00F2419B"/>
    <w:rsid w:val="00F244EE"/>
    <w:rsid w:val="00F24F3D"/>
    <w:rsid w:val="00F24FCF"/>
    <w:rsid w:val="00F251DB"/>
    <w:rsid w:val="00F2523B"/>
    <w:rsid w:val="00F253A1"/>
    <w:rsid w:val="00F255D3"/>
    <w:rsid w:val="00F256BE"/>
    <w:rsid w:val="00F256C2"/>
    <w:rsid w:val="00F25B8A"/>
    <w:rsid w:val="00F25E71"/>
    <w:rsid w:val="00F263A2"/>
    <w:rsid w:val="00F265FA"/>
    <w:rsid w:val="00F26676"/>
    <w:rsid w:val="00F2667C"/>
    <w:rsid w:val="00F266BD"/>
    <w:rsid w:val="00F26D64"/>
    <w:rsid w:val="00F26E83"/>
    <w:rsid w:val="00F272A3"/>
    <w:rsid w:val="00F272F9"/>
    <w:rsid w:val="00F277B0"/>
    <w:rsid w:val="00F27832"/>
    <w:rsid w:val="00F27AB0"/>
    <w:rsid w:val="00F27B5F"/>
    <w:rsid w:val="00F27B92"/>
    <w:rsid w:val="00F30400"/>
    <w:rsid w:val="00F305A9"/>
    <w:rsid w:val="00F308FC"/>
    <w:rsid w:val="00F30CC9"/>
    <w:rsid w:val="00F30E8C"/>
    <w:rsid w:val="00F31155"/>
    <w:rsid w:val="00F3141D"/>
    <w:rsid w:val="00F3153D"/>
    <w:rsid w:val="00F31B39"/>
    <w:rsid w:val="00F325B5"/>
    <w:rsid w:val="00F3289E"/>
    <w:rsid w:val="00F32CD7"/>
    <w:rsid w:val="00F32DCE"/>
    <w:rsid w:val="00F32FDA"/>
    <w:rsid w:val="00F334BA"/>
    <w:rsid w:val="00F33A4E"/>
    <w:rsid w:val="00F33D4B"/>
    <w:rsid w:val="00F3403C"/>
    <w:rsid w:val="00F344CE"/>
    <w:rsid w:val="00F345F2"/>
    <w:rsid w:val="00F348D9"/>
    <w:rsid w:val="00F34B18"/>
    <w:rsid w:val="00F34FC0"/>
    <w:rsid w:val="00F351C1"/>
    <w:rsid w:val="00F35477"/>
    <w:rsid w:val="00F35661"/>
    <w:rsid w:val="00F35E93"/>
    <w:rsid w:val="00F36042"/>
    <w:rsid w:val="00F36155"/>
    <w:rsid w:val="00F36291"/>
    <w:rsid w:val="00F364D4"/>
    <w:rsid w:val="00F367E0"/>
    <w:rsid w:val="00F3699A"/>
    <w:rsid w:val="00F36CD4"/>
    <w:rsid w:val="00F36E21"/>
    <w:rsid w:val="00F37253"/>
    <w:rsid w:val="00F37266"/>
    <w:rsid w:val="00F37D2A"/>
    <w:rsid w:val="00F37E51"/>
    <w:rsid w:val="00F37F8E"/>
    <w:rsid w:val="00F4065E"/>
    <w:rsid w:val="00F407AD"/>
    <w:rsid w:val="00F407F1"/>
    <w:rsid w:val="00F4080F"/>
    <w:rsid w:val="00F40956"/>
    <w:rsid w:val="00F41610"/>
    <w:rsid w:val="00F418C7"/>
    <w:rsid w:val="00F41EC7"/>
    <w:rsid w:val="00F4244D"/>
    <w:rsid w:val="00F42838"/>
    <w:rsid w:val="00F4284E"/>
    <w:rsid w:val="00F42C81"/>
    <w:rsid w:val="00F42D97"/>
    <w:rsid w:val="00F43003"/>
    <w:rsid w:val="00F4306E"/>
    <w:rsid w:val="00F430AA"/>
    <w:rsid w:val="00F438C7"/>
    <w:rsid w:val="00F441ED"/>
    <w:rsid w:val="00F447DD"/>
    <w:rsid w:val="00F447E6"/>
    <w:rsid w:val="00F44B73"/>
    <w:rsid w:val="00F454C2"/>
    <w:rsid w:val="00F4555D"/>
    <w:rsid w:val="00F45960"/>
    <w:rsid w:val="00F459A9"/>
    <w:rsid w:val="00F459D4"/>
    <w:rsid w:val="00F45A3D"/>
    <w:rsid w:val="00F463FD"/>
    <w:rsid w:val="00F46468"/>
    <w:rsid w:val="00F4651F"/>
    <w:rsid w:val="00F46A62"/>
    <w:rsid w:val="00F46D84"/>
    <w:rsid w:val="00F471B0"/>
    <w:rsid w:val="00F47535"/>
    <w:rsid w:val="00F50EE2"/>
    <w:rsid w:val="00F5111C"/>
    <w:rsid w:val="00F51267"/>
    <w:rsid w:val="00F516E1"/>
    <w:rsid w:val="00F5186A"/>
    <w:rsid w:val="00F51B17"/>
    <w:rsid w:val="00F51DDD"/>
    <w:rsid w:val="00F51E46"/>
    <w:rsid w:val="00F522E6"/>
    <w:rsid w:val="00F528A0"/>
    <w:rsid w:val="00F52D57"/>
    <w:rsid w:val="00F52DA4"/>
    <w:rsid w:val="00F5335C"/>
    <w:rsid w:val="00F53367"/>
    <w:rsid w:val="00F535D6"/>
    <w:rsid w:val="00F537F5"/>
    <w:rsid w:val="00F538EF"/>
    <w:rsid w:val="00F539C3"/>
    <w:rsid w:val="00F539CC"/>
    <w:rsid w:val="00F53E32"/>
    <w:rsid w:val="00F53E39"/>
    <w:rsid w:val="00F53F48"/>
    <w:rsid w:val="00F54464"/>
    <w:rsid w:val="00F5450F"/>
    <w:rsid w:val="00F54876"/>
    <w:rsid w:val="00F549BA"/>
    <w:rsid w:val="00F55059"/>
    <w:rsid w:val="00F55382"/>
    <w:rsid w:val="00F553AE"/>
    <w:rsid w:val="00F554FB"/>
    <w:rsid w:val="00F55535"/>
    <w:rsid w:val="00F556B0"/>
    <w:rsid w:val="00F55B7D"/>
    <w:rsid w:val="00F56019"/>
    <w:rsid w:val="00F56124"/>
    <w:rsid w:val="00F5623B"/>
    <w:rsid w:val="00F563BD"/>
    <w:rsid w:val="00F5644A"/>
    <w:rsid w:val="00F566E7"/>
    <w:rsid w:val="00F569E1"/>
    <w:rsid w:val="00F56E6E"/>
    <w:rsid w:val="00F56EA0"/>
    <w:rsid w:val="00F5714C"/>
    <w:rsid w:val="00F572CF"/>
    <w:rsid w:val="00F573A8"/>
    <w:rsid w:val="00F5747A"/>
    <w:rsid w:val="00F5752E"/>
    <w:rsid w:val="00F5766E"/>
    <w:rsid w:val="00F60476"/>
    <w:rsid w:val="00F604ED"/>
    <w:rsid w:val="00F6081C"/>
    <w:rsid w:val="00F60C2A"/>
    <w:rsid w:val="00F60D04"/>
    <w:rsid w:val="00F61612"/>
    <w:rsid w:val="00F617C9"/>
    <w:rsid w:val="00F620BC"/>
    <w:rsid w:val="00F62413"/>
    <w:rsid w:val="00F62B9C"/>
    <w:rsid w:val="00F62E28"/>
    <w:rsid w:val="00F63866"/>
    <w:rsid w:val="00F639D9"/>
    <w:rsid w:val="00F63A65"/>
    <w:rsid w:val="00F63AC7"/>
    <w:rsid w:val="00F63BBA"/>
    <w:rsid w:val="00F63BC2"/>
    <w:rsid w:val="00F63DA4"/>
    <w:rsid w:val="00F645A5"/>
    <w:rsid w:val="00F645EA"/>
    <w:rsid w:val="00F64790"/>
    <w:rsid w:val="00F6485E"/>
    <w:rsid w:val="00F64B98"/>
    <w:rsid w:val="00F64CC1"/>
    <w:rsid w:val="00F6501D"/>
    <w:rsid w:val="00F65315"/>
    <w:rsid w:val="00F65799"/>
    <w:rsid w:val="00F65B31"/>
    <w:rsid w:val="00F65B63"/>
    <w:rsid w:val="00F6638D"/>
    <w:rsid w:val="00F663BD"/>
    <w:rsid w:val="00F664EC"/>
    <w:rsid w:val="00F666F6"/>
    <w:rsid w:val="00F66703"/>
    <w:rsid w:val="00F66A8C"/>
    <w:rsid w:val="00F675CA"/>
    <w:rsid w:val="00F67D4D"/>
    <w:rsid w:val="00F67D5D"/>
    <w:rsid w:val="00F67E74"/>
    <w:rsid w:val="00F7001F"/>
    <w:rsid w:val="00F70704"/>
    <w:rsid w:val="00F70710"/>
    <w:rsid w:val="00F70750"/>
    <w:rsid w:val="00F708D9"/>
    <w:rsid w:val="00F70B5F"/>
    <w:rsid w:val="00F70DAE"/>
    <w:rsid w:val="00F714CA"/>
    <w:rsid w:val="00F717A4"/>
    <w:rsid w:val="00F71AC7"/>
    <w:rsid w:val="00F727D1"/>
    <w:rsid w:val="00F729DF"/>
    <w:rsid w:val="00F72A75"/>
    <w:rsid w:val="00F72ABB"/>
    <w:rsid w:val="00F72AC6"/>
    <w:rsid w:val="00F72C13"/>
    <w:rsid w:val="00F72EF1"/>
    <w:rsid w:val="00F73001"/>
    <w:rsid w:val="00F7388D"/>
    <w:rsid w:val="00F73C40"/>
    <w:rsid w:val="00F73DA3"/>
    <w:rsid w:val="00F7403C"/>
    <w:rsid w:val="00F740D1"/>
    <w:rsid w:val="00F74433"/>
    <w:rsid w:val="00F748C2"/>
    <w:rsid w:val="00F74BBB"/>
    <w:rsid w:val="00F74BD5"/>
    <w:rsid w:val="00F74F16"/>
    <w:rsid w:val="00F75051"/>
    <w:rsid w:val="00F7530A"/>
    <w:rsid w:val="00F757F0"/>
    <w:rsid w:val="00F75A70"/>
    <w:rsid w:val="00F75FFE"/>
    <w:rsid w:val="00F765F1"/>
    <w:rsid w:val="00F769D5"/>
    <w:rsid w:val="00F76FD8"/>
    <w:rsid w:val="00F77482"/>
    <w:rsid w:val="00F7751C"/>
    <w:rsid w:val="00F77937"/>
    <w:rsid w:val="00F77993"/>
    <w:rsid w:val="00F80370"/>
    <w:rsid w:val="00F80799"/>
    <w:rsid w:val="00F8097B"/>
    <w:rsid w:val="00F80E28"/>
    <w:rsid w:val="00F80FC0"/>
    <w:rsid w:val="00F811FD"/>
    <w:rsid w:val="00F8170C"/>
    <w:rsid w:val="00F81D3B"/>
    <w:rsid w:val="00F8229C"/>
    <w:rsid w:val="00F822EB"/>
    <w:rsid w:val="00F82828"/>
    <w:rsid w:val="00F82AE2"/>
    <w:rsid w:val="00F82D12"/>
    <w:rsid w:val="00F83906"/>
    <w:rsid w:val="00F83957"/>
    <w:rsid w:val="00F83C6F"/>
    <w:rsid w:val="00F83D61"/>
    <w:rsid w:val="00F84116"/>
    <w:rsid w:val="00F842A7"/>
    <w:rsid w:val="00F84407"/>
    <w:rsid w:val="00F8443B"/>
    <w:rsid w:val="00F84B0C"/>
    <w:rsid w:val="00F84B80"/>
    <w:rsid w:val="00F8528B"/>
    <w:rsid w:val="00F85346"/>
    <w:rsid w:val="00F85368"/>
    <w:rsid w:val="00F8552A"/>
    <w:rsid w:val="00F856D4"/>
    <w:rsid w:val="00F85ADB"/>
    <w:rsid w:val="00F86004"/>
    <w:rsid w:val="00F8610C"/>
    <w:rsid w:val="00F864B5"/>
    <w:rsid w:val="00F8685D"/>
    <w:rsid w:val="00F86CA0"/>
    <w:rsid w:val="00F86CF5"/>
    <w:rsid w:val="00F877E8"/>
    <w:rsid w:val="00F87903"/>
    <w:rsid w:val="00F87E13"/>
    <w:rsid w:val="00F87ED3"/>
    <w:rsid w:val="00F90050"/>
    <w:rsid w:val="00F902F8"/>
    <w:rsid w:val="00F903E3"/>
    <w:rsid w:val="00F904E8"/>
    <w:rsid w:val="00F90790"/>
    <w:rsid w:val="00F9114C"/>
    <w:rsid w:val="00F911D8"/>
    <w:rsid w:val="00F91929"/>
    <w:rsid w:val="00F91BCF"/>
    <w:rsid w:val="00F91EE9"/>
    <w:rsid w:val="00F92244"/>
    <w:rsid w:val="00F925EA"/>
    <w:rsid w:val="00F92B5C"/>
    <w:rsid w:val="00F92EB7"/>
    <w:rsid w:val="00F93E01"/>
    <w:rsid w:val="00F941C3"/>
    <w:rsid w:val="00F9439A"/>
    <w:rsid w:val="00F94489"/>
    <w:rsid w:val="00F9463D"/>
    <w:rsid w:val="00F9468F"/>
    <w:rsid w:val="00F94AB7"/>
    <w:rsid w:val="00F94D09"/>
    <w:rsid w:val="00F9536C"/>
    <w:rsid w:val="00F9572D"/>
    <w:rsid w:val="00F95751"/>
    <w:rsid w:val="00F95CB1"/>
    <w:rsid w:val="00F95F27"/>
    <w:rsid w:val="00F9631F"/>
    <w:rsid w:val="00F9665F"/>
    <w:rsid w:val="00F96CC4"/>
    <w:rsid w:val="00F97562"/>
    <w:rsid w:val="00F975A8"/>
    <w:rsid w:val="00F97A5C"/>
    <w:rsid w:val="00F97C8C"/>
    <w:rsid w:val="00FA00FE"/>
    <w:rsid w:val="00FA034B"/>
    <w:rsid w:val="00FA086F"/>
    <w:rsid w:val="00FA0F63"/>
    <w:rsid w:val="00FA10B1"/>
    <w:rsid w:val="00FA11DA"/>
    <w:rsid w:val="00FA1211"/>
    <w:rsid w:val="00FA1216"/>
    <w:rsid w:val="00FA143D"/>
    <w:rsid w:val="00FA161A"/>
    <w:rsid w:val="00FA174C"/>
    <w:rsid w:val="00FA23F4"/>
    <w:rsid w:val="00FA267D"/>
    <w:rsid w:val="00FA290C"/>
    <w:rsid w:val="00FA29FD"/>
    <w:rsid w:val="00FA2A4F"/>
    <w:rsid w:val="00FA33D6"/>
    <w:rsid w:val="00FA34CD"/>
    <w:rsid w:val="00FA364A"/>
    <w:rsid w:val="00FA39A9"/>
    <w:rsid w:val="00FA40D4"/>
    <w:rsid w:val="00FA4259"/>
    <w:rsid w:val="00FA426E"/>
    <w:rsid w:val="00FA4372"/>
    <w:rsid w:val="00FA43EA"/>
    <w:rsid w:val="00FA4A5A"/>
    <w:rsid w:val="00FA4B6A"/>
    <w:rsid w:val="00FA4C36"/>
    <w:rsid w:val="00FA4CDF"/>
    <w:rsid w:val="00FA4DBF"/>
    <w:rsid w:val="00FA547C"/>
    <w:rsid w:val="00FA55DC"/>
    <w:rsid w:val="00FA574E"/>
    <w:rsid w:val="00FA599F"/>
    <w:rsid w:val="00FA5B57"/>
    <w:rsid w:val="00FA5D75"/>
    <w:rsid w:val="00FA620A"/>
    <w:rsid w:val="00FA6ED6"/>
    <w:rsid w:val="00FA709D"/>
    <w:rsid w:val="00FA7743"/>
    <w:rsid w:val="00FA78DD"/>
    <w:rsid w:val="00FA7EDB"/>
    <w:rsid w:val="00FA7F23"/>
    <w:rsid w:val="00FA7F7C"/>
    <w:rsid w:val="00FB045B"/>
    <w:rsid w:val="00FB0C12"/>
    <w:rsid w:val="00FB0F35"/>
    <w:rsid w:val="00FB0F88"/>
    <w:rsid w:val="00FB13B4"/>
    <w:rsid w:val="00FB1893"/>
    <w:rsid w:val="00FB1B27"/>
    <w:rsid w:val="00FB1E3F"/>
    <w:rsid w:val="00FB1EE6"/>
    <w:rsid w:val="00FB219D"/>
    <w:rsid w:val="00FB221F"/>
    <w:rsid w:val="00FB237F"/>
    <w:rsid w:val="00FB2724"/>
    <w:rsid w:val="00FB27DF"/>
    <w:rsid w:val="00FB288A"/>
    <w:rsid w:val="00FB2FCF"/>
    <w:rsid w:val="00FB313A"/>
    <w:rsid w:val="00FB31A2"/>
    <w:rsid w:val="00FB36F9"/>
    <w:rsid w:val="00FB3889"/>
    <w:rsid w:val="00FB39C0"/>
    <w:rsid w:val="00FB43B7"/>
    <w:rsid w:val="00FB442D"/>
    <w:rsid w:val="00FB461C"/>
    <w:rsid w:val="00FB48AD"/>
    <w:rsid w:val="00FB4A11"/>
    <w:rsid w:val="00FB4BC6"/>
    <w:rsid w:val="00FB4D2F"/>
    <w:rsid w:val="00FB4E01"/>
    <w:rsid w:val="00FB5052"/>
    <w:rsid w:val="00FB509F"/>
    <w:rsid w:val="00FB5475"/>
    <w:rsid w:val="00FB561C"/>
    <w:rsid w:val="00FB5831"/>
    <w:rsid w:val="00FB5B75"/>
    <w:rsid w:val="00FB5C92"/>
    <w:rsid w:val="00FB5CA2"/>
    <w:rsid w:val="00FB6D5F"/>
    <w:rsid w:val="00FB6E76"/>
    <w:rsid w:val="00FB7700"/>
    <w:rsid w:val="00FB7C6F"/>
    <w:rsid w:val="00FC00CD"/>
    <w:rsid w:val="00FC03EB"/>
    <w:rsid w:val="00FC0B39"/>
    <w:rsid w:val="00FC0BB9"/>
    <w:rsid w:val="00FC0C1D"/>
    <w:rsid w:val="00FC0C6E"/>
    <w:rsid w:val="00FC0F7D"/>
    <w:rsid w:val="00FC0FD6"/>
    <w:rsid w:val="00FC187A"/>
    <w:rsid w:val="00FC1A45"/>
    <w:rsid w:val="00FC2181"/>
    <w:rsid w:val="00FC237B"/>
    <w:rsid w:val="00FC253E"/>
    <w:rsid w:val="00FC35D2"/>
    <w:rsid w:val="00FC397D"/>
    <w:rsid w:val="00FC3B92"/>
    <w:rsid w:val="00FC3FCC"/>
    <w:rsid w:val="00FC4264"/>
    <w:rsid w:val="00FC47ED"/>
    <w:rsid w:val="00FC53DE"/>
    <w:rsid w:val="00FC544F"/>
    <w:rsid w:val="00FC547C"/>
    <w:rsid w:val="00FC5A52"/>
    <w:rsid w:val="00FC6285"/>
    <w:rsid w:val="00FC644D"/>
    <w:rsid w:val="00FC6590"/>
    <w:rsid w:val="00FC6CEA"/>
    <w:rsid w:val="00FC76A3"/>
    <w:rsid w:val="00FC78DE"/>
    <w:rsid w:val="00FC794E"/>
    <w:rsid w:val="00FC7AB8"/>
    <w:rsid w:val="00FD05EA"/>
    <w:rsid w:val="00FD0739"/>
    <w:rsid w:val="00FD08DE"/>
    <w:rsid w:val="00FD099F"/>
    <w:rsid w:val="00FD0A1E"/>
    <w:rsid w:val="00FD0B45"/>
    <w:rsid w:val="00FD0C7E"/>
    <w:rsid w:val="00FD0E8E"/>
    <w:rsid w:val="00FD1222"/>
    <w:rsid w:val="00FD15A3"/>
    <w:rsid w:val="00FD1A75"/>
    <w:rsid w:val="00FD1C87"/>
    <w:rsid w:val="00FD20B9"/>
    <w:rsid w:val="00FD2689"/>
    <w:rsid w:val="00FD296E"/>
    <w:rsid w:val="00FD2EA1"/>
    <w:rsid w:val="00FD3048"/>
    <w:rsid w:val="00FD3180"/>
    <w:rsid w:val="00FD3181"/>
    <w:rsid w:val="00FD35C5"/>
    <w:rsid w:val="00FD3A17"/>
    <w:rsid w:val="00FD4848"/>
    <w:rsid w:val="00FD48F6"/>
    <w:rsid w:val="00FD4951"/>
    <w:rsid w:val="00FD49BA"/>
    <w:rsid w:val="00FD4ABF"/>
    <w:rsid w:val="00FD4B89"/>
    <w:rsid w:val="00FD5246"/>
    <w:rsid w:val="00FD5375"/>
    <w:rsid w:val="00FD54DA"/>
    <w:rsid w:val="00FD5C0D"/>
    <w:rsid w:val="00FD5D79"/>
    <w:rsid w:val="00FD5D7B"/>
    <w:rsid w:val="00FD602F"/>
    <w:rsid w:val="00FD647C"/>
    <w:rsid w:val="00FD6585"/>
    <w:rsid w:val="00FD66A8"/>
    <w:rsid w:val="00FD6C5D"/>
    <w:rsid w:val="00FD73A6"/>
    <w:rsid w:val="00FD73CD"/>
    <w:rsid w:val="00FD74C5"/>
    <w:rsid w:val="00FD758B"/>
    <w:rsid w:val="00FD75F0"/>
    <w:rsid w:val="00FD76E6"/>
    <w:rsid w:val="00FD7DB2"/>
    <w:rsid w:val="00FE02D7"/>
    <w:rsid w:val="00FE073D"/>
    <w:rsid w:val="00FE096C"/>
    <w:rsid w:val="00FE09F6"/>
    <w:rsid w:val="00FE0B5A"/>
    <w:rsid w:val="00FE0BFD"/>
    <w:rsid w:val="00FE1165"/>
    <w:rsid w:val="00FE131E"/>
    <w:rsid w:val="00FE14FB"/>
    <w:rsid w:val="00FE1C02"/>
    <w:rsid w:val="00FE1D34"/>
    <w:rsid w:val="00FE1E11"/>
    <w:rsid w:val="00FE2036"/>
    <w:rsid w:val="00FE2187"/>
    <w:rsid w:val="00FE2223"/>
    <w:rsid w:val="00FE2BF7"/>
    <w:rsid w:val="00FE2F59"/>
    <w:rsid w:val="00FE3143"/>
    <w:rsid w:val="00FE31E2"/>
    <w:rsid w:val="00FE3D48"/>
    <w:rsid w:val="00FE3D77"/>
    <w:rsid w:val="00FE3FAA"/>
    <w:rsid w:val="00FE41C1"/>
    <w:rsid w:val="00FE42D3"/>
    <w:rsid w:val="00FE4430"/>
    <w:rsid w:val="00FE478D"/>
    <w:rsid w:val="00FE47E8"/>
    <w:rsid w:val="00FE4AC6"/>
    <w:rsid w:val="00FE4AC8"/>
    <w:rsid w:val="00FE4AFE"/>
    <w:rsid w:val="00FE4B1B"/>
    <w:rsid w:val="00FE4F0C"/>
    <w:rsid w:val="00FE4F99"/>
    <w:rsid w:val="00FE5999"/>
    <w:rsid w:val="00FE6164"/>
    <w:rsid w:val="00FE6237"/>
    <w:rsid w:val="00FE645B"/>
    <w:rsid w:val="00FE6A64"/>
    <w:rsid w:val="00FE6C52"/>
    <w:rsid w:val="00FE7D73"/>
    <w:rsid w:val="00FE7E28"/>
    <w:rsid w:val="00FE7F3E"/>
    <w:rsid w:val="00FF02D8"/>
    <w:rsid w:val="00FF0594"/>
    <w:rsid w:val="00FF072C"/>
    <w:rsid w:val="00FF077A"/>
    <w:rsid w:val="00FF087F"/>
    <w:rsid w:val="00FF0FB2"/>
    <w:rsid w:val="00FF1085"/>
    <w:rsid w:val="00FF110B"/>
    <w:rsid w:val="00FF123A"/>
    <w:rsid w:val="00FF131D"/>
    <w:rsid w:val="00FF155F"/>
    <w:rsid w:val="00FF21B6"/>
    <w:rsid w:val="00FF2789"/>
    <w:rsid w:val="00FF2A53"/>
    <w:rsid w:val="00FF2A6F"/>
    <w:rsid w:val="00FF2E27"/>
    <w:rsid w:val="00FF30BF"/>
    <w:rsid w:val="00FF34CA"/>
    <w:rsid w:val="00FF36CC"/>
    <w:rsid w:val="00FF386B"/>
    <w:rsid w:val="00FF38AA"/>
    <w:rsid w:val="00FF38F2"/>
    <w:rsid w:val="00FF3A11"/>
    <w:rsid w:val="00FF4200"/>
    <w:rsid w:val="00FF4739"/>
    <w:rsid w:val="00FF4A3B"/>
    <w:rsid w:val="00FF4C36"/>
    <w:rsid w:val="00FF4F77"/>
    <w:rsid w:val="00FF500E"/>
    <w:rsid w:val="00FF50E3"/>
    <w:rsid w:val="00FF55DD"/>
    <w:rsid w:val="00FF57F2"/>
    <w:rsid w:val="00FF5F79"/>
    <w:rsid w:val="00FF611B"/>
    <w:rsid w:val="00FF6463"/>
    <w:rsid w:val="00FF665E"/>
    <w:rsid w:val="00FF6BCD"/>
    <w:rsid w:val="00FF6EFD"/>
    <w:rsid w:val="00FF762B"/>
    <w:rsid w:val="00FF7781"/>
    <w:rsid w:val="00FF7ACD"/>
    <w:rsid w:val="00FF7B34"/>
    <w:rsid w:val="00FF7B75"/>
    <w:rsid w:val="00FF7C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D19E64"/>
  <w15:docId w15:val="{D78933A6-5FCB-4A58-81CD-3F687AC3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line="360" w:lineRule="auto"/>
        <w:ind w:left="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46868"/>
    <w:pPr>
      <w:bidi/>
    </w:pPr>
  </w:style>
  <w:style w:type="paragraph" w:styleId="1">
    <w:name w:val="heading 1"/>
    <w:aliases w:val="כות גד"/>
    <w:basedOn w:val="a2"/>
    <w:next w:val="a3"/>
    <w:link w:val="10"/>
    <w:autoRedefine/>
    <w:uiPriority w:val="9"/>
    <w:qFormat/>
    <w:rsid w:val="00B07C13"/>
    <w:pPr>
      <w:keepNext/>
      <w:keepLines/>
      <w:spacing w:before="480"/>
      <w:ind w:left="0"/>
      <w:jc w:val="center"/>
      <w:outlineLvl w:val="0"/>
    </w:pPr>
    <w:rPr>
      <w:rFonts w:ascii="Guttman Hodes" w:eastAsia="Guttman Hodes" w:hAnsi="Guttman Hodes" w:cs="Guttman Hodes"/>
      <w:b/>
      <w:bCs/>
      <w:sz w:val="18"/>
      <w:szCs w:val="18"/>
    </w:rPr>
  </w:style>
  <w:style w:type="paragraph" w:styleId="2">
    <w:name w:val="heading 2"/>
    <w:basedOn w:val="a2"/>
    <w:next w:val="a2"/>
    <w:link w:val="20"/>
    <w:autoRedefine/>
    <w:uiPriority w:val="9"/>
    <w:unhideWhenUsed/>
    <w:qFormat/>
    <w:rsid w:val="0007171D"/>
    <w:pPr>
      <w:keepNext/>
      <w:keepLines/>
      <w:spacing w:line="240" w:lineRule="auto"/>
      <w:ind w:left="0"/>
      <w:jc w:val="center"/>
      <w:outlineLvl w:val="1"/>
    </w:pPr>
    <w:rPr>
      <w:rFonts w:ascii="FrankRuehl" w:eastAsia="Guttman Adii-Light" w:hAnsi="FrankRuehl" w:cs="Guttman Hodes"/>
      <w:b/>
      <w:bCs/>
      <w:noProof/>
      <w:sz w:val="24"/>
      <w:szCs w:val="24"/>
    </w:rPr>
  </w:style>
  <w:style w:type="paragraph" w:styleId="3">
    <w:name w:val="heading 3"/>
    <w:basedOn w:val="a2"/>
    <w:next w:val="a2"/>
    <w:link w:val="30"/>
    <w:uiPriority w:val="9"/>
    <w:semiHidden/>
    <w:unhideWhenUsed/>
    <w:rsid w:val="0080020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2"/>
    <w:next w:val="a2"/>
    <w:link w:val="40"/>
    <w:uiPriority w:val="9"/>
    <w:semiHidden/>
    <w:unhideWhenUsed/>
    <w:qFormat/>
    <w:rsid w:val="00503CE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2"/>
    <w:next w:val="a2"/>
    <w:link w:val="50"/>
    <w:uiPriority w:val="9"/>
    <w:semiHidden/>
    <w:unhideWhenUsed/>
    <w:qFormat/>
    <w:rsid w:val="00303F3F"/>
    <w:pPr>
      <w:keepNext/>
      <w:keepLines/>
      <w:spacing w:before="40"/>
      <w:outlineLvl w:val="4"/>
    </w:pPr>
    <w:rPr>
      <w:rFonts w:asciiTheme="majorHAnsi" w:eastAsiaTheme="majorEastAsia" w:hAnsiTheme="majorHAnsi" w:cstheme="majorBidi"/>
      <w:color w:val="365F91"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כות קט"/>
    <w:basedOn w:val="a2"/>
    <w:next w:val="a0"/>
    <w:link w:val="a7"/>
    <w:autoRedefine/>
    <w:qFormat/>
    <w:rsid w:val="00A37615"/>
    <w:pPr>
      <w:spacing w:before="200"/>
      <w:ind w:left="0"/>
      <w:jc w:val="center"/>
      <w:outlineLvl w:val="1"/>
    </w:pPr>
    <w:rPr>
      <w:rFonts w:ascii="Guttman Hodes" w:eastAsia="Guttman Hodes" w:hAnsi="Guttman Hodes" w:cs="Guttman Hodes"/>
      <w:b/>
      <w:bCs/>
      <w:sz w:val="12"/>
      <w:szCs w:val="12"/>
    </w:rPr>
  </w:style>
  <w:style w:type="paragraph" w:customStyle="1" w:styleId="a0">
    <w:name w:val="קטע רגיל"/>
    <w:basedOn w:val="a2"/>
    <w:next w:val="a3"/>
    <w:link w:val="a8"/>
    <w:autoRedefine/>
    <w:qFormat/>
    <w:rsid w:val="007E4E81"/>
    <w:pPr>
      <w:numPr>
        <w:numId w:val="1"/>
      </w:numPr>
      <w:tabs>
        <w:tab w:val="left" w:pos="1163"/>
      </w:tabs>
      <w:spacing w:after="120" w:line="280" w:lineRule="exact"/>
    </w:pPr>
    <w:rPr>
      <w:rFonts w:ascii="Guttman Hodes" w:eastAsia="Guttman Hodes" w:hAnsi="Guttman Hodes" w:cs="Guttman Hodes"/>
      <w:noProof/>
      <w:sz w:val="18"/>
      <w:szCs w:val="18"/>
    </w:rPr>
  </w:style>
  <w:style w:type="character" w:customStyle="1" w:styleId="a8">
    <w:name w:val="קטע רגיל תו"/>
    <w:basedOn w:val="a4"/>
    <w:link w:val="a0"/>
    <w:rsid w:val="007E4E81"/>
    <w:rPr>
      <w:rFonts w:ascii="Guttman Hodes" w:eastAsia="Guttman Hodes" w:hAnsi="Guttman Hodes" w:cs="Guttman Hodes"/>
      <w:noProof/>
      <w:sz w:val="18"/>
      <w:szCs w:val="18"/>
    </w:rPr>
  </w:style>
  <w:style w:type="character" w:customStyle="1" w:styleId="a7">
    <w:name w:val="כות קט תו"/>
    <w:basedOn w:val="a4"/>
    <w:link w:val="a3"/>
    <w:rsid w:val="00A37615"/>
    <w:rPr>
      <w:rFonts w:ascii="Guttman Hodes" w:eastAsia="Guttman Hodes" w:hAnsi="Guttman Hodes" w:cs="Guttman Hodes"/>
      <w:b/>
      <w:bCs/>
      <w:sz w:val="12"/>
      <w:szCs w:val="12"/>
    </w:rPr>
  </w:style>
  <w:style w:type="character" w:customStyle="1" w:styleId="10">
    <w:name w:val="כותרת 1 תו"/>
    <w:aliases w:val="כות גד תו"/>
    <w:basedOn w:val="a4"/>
    <w:link w:val="1"/>
    <w:uiPriority w:val="9"/>
    <w:rsid w:val="00B07C13"/>
    <w:rPr>
      <w:rFonts w:ascii="Guttman Hodes" w:eastAsia="Guttman Hodes" w:hAnsi="Guttman Hodes" w:cs="Guttman Hodes"/>
      <w:b/>
      <w:bCs/>
      <w:sz w:val="18"/>
      <w:szCs w:val="18"/>
    </w:rPr>
  </w:style>
  <w:style w:type="character" w:customStyle="1" w:styleId="20">
    <w:name w:val="כותרת 2 תו"/>
    <w:basedOn w:val="a4"/>
    <w:link w:val="2"/>
    <w:uiPriority w:val="9"/>
    <w:rsid w:val="0007171D"/>
    <w:rPr>
      <w:rFonts w:ascii="FrankRuehl" w:eastAsia="Guttman Adii-Light" w:hAnsi="FrankRuehl" w:cs="Guttman Hodes"/>
      <w:b/>
      <w:bCs/>
      <w:noProof/>
      <w:sz w:val="24"/>
      <w:szCs w:val="24"/>
    </w:rPr>
  </w:style>
  <w:style w:type="character" w:customStyle="1" w:styleId="30">
    <w:name w:val="כותרת 3 תו"/>
    <w:basedOn w:val="a4"/>
    <w:link w:val="3"/>
    <w:uiPriority w:val="9"/>
    <w:semiHidden/>
    <w:rsid w:val="0080020B"/>
    <w:rPr>
      <w:rFonts w:asciiTheme="majorHAnsi" w:eastAsiaTheme="majorEastAsia" w:hAnsiTheme="majorHAnsi" w:cstheme="majorBidi"/>
      <w:color w:val="243F60" w:themeColor="accent1" w:themeShade="7F"/>
      <w:sz w:val="24"/>
      <w:szCs w:val="24"/>
    </w:rPr>
  </w:style>
  <w:style w:type="character" w:customStyle="1" w:styleId="40">
    <w:name w:val="כותרת 4 תו"/>
    <w:basedOn w:val="a4"/>
    <w:link w:val="4"/>
    <w:uiPriority w:val="9"/>
    <w:semiHidden/>
    <w:rsid w:val="00503CE1"/>
    <w:rPr>
      <w:rFonts w:asciiTheme="majorHAnsi" w:eastAsiaTheme="majorEastAsia" w:hAnsiTheme="majorHAnsi" w:cstheme="majorBidi"/>
      <w:i/>
      <w:iCs/>
      <w:color w:val="365F91" w:themeColor="accent1" w:themeShade="BF"/>
    </w:rPr>
  </w:style>
  <w:style w:type="paragraph" w:styleId="a9">
    <w:name w:val="header"/>
    <w:basedOn w:val="a2"/>
    <w:link w:val="aa"/>
    <w:uiPriority w:val="99"/>
    <w:unhideWhenUsed/>
    <w:rsid w:val="00F35477"/>
    <w:pPr>
      <w:tabs>
        <w:tab w:val="center" w:pos="4153"/>
        <w:tab w:val="right" w:pos="8306"/>
      </w:tabs>
      <w:spacing w:line="240" w:lineRule="auto"/>
    </w:pPr>
  </w:style>
  <w:style w:type="character" w:customStyle="1" w:styleId="aa">
    <w:name w:val="כותרת עליונה תו"/>
    <w:basedOn w:val="a4"/>
    <w:link w:val="a9"/>
    <w:uiPriority w:val="99"/>
    <w:rsid w:val="00F35477"/>
  </w:style>
  <w:style w:type="paragraph" w:styleId="ab">
    <w:name w:val="footer"/>
    <w:basedOn w:val="a2"/>
    <w:link w:val="ac"/>
    <w:uiPriority w:val="99"/>
    <w:unhideWhenUsed/>
    <w:rsid w:val="00F35477"/>
    <w:pPr>
      <w:tabs>
        <w:tab w:val="center" w:pos="4153"/>
        <w:tab w:val="right" w:pos="8306"/>
      </w:tabs>
      <w:spacing w:line="240" w:lineRule="auto"/>
    </w:pPr>
  </w:style>
  <w:style w:type="character" w:customStyle="1" w:styleId="ac">
    <w:name w:val="כותרת תחתונה תו"/>
    <w:basedOn w:val="a4"/>
    <w:link w:val="ab"/>
    <w:uiPriority w:val="99"/>
    <w:rsid w:val="00F35477"/>
  </w:style>
  <w:style w:type="paragraph" w:styleId="ad">
    <w:name w:val="List Paragraph"/>
    <w:basedOn w:val="a2"/>
    <w:link w:val="ae"/>
    <w:uiPriority w:val="34"/>
    <w:qFormat/>
    <w:rsid w:val="00F35477"/>
    <w:pPr>
      <w:ind w:left="720"/>
      <w:contextualSpacing/>
    </w:pPr>
  </w:style>
  <w:style w:type="character" w:customStyle="1" w:styleId="ae">
    <w:name w:val="פיסקת רשימה תו"/>
    <w:basedOn w:val="a4"/>
    <w:link w:val="ad"/>
    <w:uiPriority w:val="34"/>
    <w:rsid w:val="00743EE5"/>
  </w:style>
  <w:style w:type="paragraph" w:styleId="af">
    <w:name w:val="footnote text"/>
    <w:basedOn w:val="a2"/>
    <w:link w:val="af0"/>
    <w:autoRedefine/>
    <w:uiPriority w:val="99"/>
    <w:unhideWhenUsed/>
    <w:rsid w:val="00D348B7"/>
    <w:pPr>
      <w:spacing w:line="240" w:lineRule="auto"/>
      <w:ind w:left="0"/>
    </w:pPr>
    <w:rPr>
      <w:rFonts w:cs="Guttman Hodes"/>
      <w:sz w:val="18"/>
      <w:szCs w:val="14"/>
    </w:rPr>
  </w:style>
  <w:style w:type="character" w:customStyle="1" w:styleId="af0">
    <w:name w:val="טקסט הערת שוליים תו"/>
    <w:basedOn w:val="a4"/>
    <w:link w:val="af"/>
    <w:uiPriority w:val="99"/>
    <w:rsid w:val="00D348B7"/>
    <w:rPr>
      <w:rFonts w:cs="Guttman Hodes"/>
      <w:sz w:val="18"/>
      <w:szCs w:val="14"/>
    </w:rPr>
  </w:style>
  <w:style w:type="character" w:styleId="af1">
    <w:name w:val="footnote reference"/>
    <w:basedOn w:val="a4"/>
    <w:uiPriority w:val="99"/>
    <w:unhideWhenUsed/>
    <w:rsid w:val="00572DCA"/>
    <w:rPr>
      <w:vertAlign w:val="superscript"/>
    </w:rPr>
  </w:style>
  <w:style w:type="paragraph" w:styleId="af2">
    <w:name w:val="Balloon Text"/>
    <w:basedOn w:val="a2"/>
    <w:link w:val="af3"/>
    <w:uiPriority w:val="99"/>
    <w:semiHidden/>
    <w:unhideWhenUsed/>
    <w:rsid w:val="00C6753C"/>
    <w:pPr>
      <w:spacing w:line="240" w:lineRule="auto"/>
    </w:pPr>
    <w:rPr>
      <w:rFonts w:ascii="Tahoma" w:hAnsi="Tahoma" w:cs="Tahoma"/>
      <w:sz w:val="16"/>
      <w:szCs w:val="16"/>
    </w:rPr>
  </w:style>
  <w:style w:type="character" w:customStyle="1" w:styleId="af3">
    <w:name w:val="טקסט בלונים תו"/>
    <w:basedOn w:val="a4"/>
    <w:link w:val="af2"/>
    <w:uiPriority w:val="99"/>
    <w:semiHidden/>
    <w:rsid w:val="00C6753C"/>
    <w:rPr>
      <w:rFonts w:ascii="Tahoma" w:hAnsi="Tahoma" w:cs="Tahoma"/>
      <w:sz w:val="16"/>
      <w:szCs w:val="16"/>
    </w:rPr>
  </w:style>
  <w:style w:type="paragraph" w:customStyle="1" w:styleId="af4">
    <w:name w:val="כות מש רהי"/>
    <w:basedOn w:val="ad"/>
    <w:link w:val="af5"/>
    <w:rsid w:val="009773FB"/>
    <w:pPr>
      <w:widowControl w:val="0"/>
      <w:spacing w:line="240" w:lineRule="auto"/>
      <w:ind w:left="0"/>
      <w:jc w:val="center"/>
    </w:pPr>
    <w:rPr>
      <w:rFonts w:ascii="Arial" w:eastAsia="Times New Roman" w:hAnsi="Arial" w:cs="Guttman Hodes"/>
      <w:sz w:val="12"/>
      <w:szCs w:val="12"/>
    </w:rPr>
  </w:style>
  <w:style w:type="character" w:customStyle="1" w:styleId="af5">
    <w:name w:val="כות מש רהי תו"/>
    <w:basedOn w:val="a4"/>
    <w:link w:val="af4"/>
    <w:rsid w:val="009773FB"/>
    <w:rPr>
      <w:rFonts w:ascii="Arial" w:eastAsia="Times New Roman" w:hAnsi="Arial" w:cs="Guttman Hodes"/>
      <w:sz w:val="12"/>
      <w:szCs w:val="12"/>
    </w:rPr>
  </w:style>
  <w:style w:type="paragraph" w:customStyle="1" w:styleId="af6">
    <w:name w:val="מ&quot;מ"/>
    <w:basedOn w:val="a2"/>
    <w:link w:val="af7"/>
    <w:qFormat/>
    <w:rsid w:val="000D4A33"/>
    <w:pPr>
      <w:tabs>
        <w:tab w:val="left" w:pos="1163"/>
      </w:tabs>
      <w:spacing w:after="120" w:line="240" w:lineRule="auto"/>
      <w:ind w:left="0"/>
    </w:pPr>
    <w:rPr>
      <w:rFonts w:ascii="Calibri" w:eastAsia="Times New Roman" w:hAnsi="Calibri" w:cs="Guttman Rashi"/>
      <w:sz w:val="10"/>
      <w:szCs w:val="12"/>
    </w:rPr>
  </w:style>
  <w:style w:type="character" w:customStyle="1" w:styleId="af7">
    <w:name w:val="מ&quot;מ תו"/>
    <w:basedOn w:val="a4"/>
    <w:link w:val="af6"/>
    <w:rsid w:val="00E5694B"/>
    <w:rPr>
      <w:rFonts w:ascii="Calibri" w:eastAsia="Times New Roman" w:hAnsi="Calibri" w:cs="Guttman Rashi"/>
      <w:sz w:val="10"/>
      <w:szCs w:val="12"/>
    </w:rPr>
  </w:style>
  <w:style w:type="paragraph" w:customStyle="1" w:styleId="af8">
    <w:name w:val="מודגש"/>
    <w:basedOn w:val="a0"/>
    <w:link w:val="af9"/>
    <w:qFormat/>
    <w:rsid w:val="00D3653E"/>
    <w:rPr>
      <w:b/>
      <w:bCs/>
    </w:rPr>
  </w:style>
  <w:style w:type="character" w:customStyle="1" w:styleId="af9">
    <w:name w:val="מודגש תו"/>
    <w:basedOn w:val="a8"/>
    <w:link w:val="af8"/>
    <w:rsid w:val="00D3653E"/>
    <w:rPr>
      <w:rFonts w:ascii="Guttman Hodes" w:eastAsia="Guttman Hodes" w:hAnsi="Guttman Hodes" w:cs="Guttman Hodes"/>
      <w:b/>
      <w:bCs/>
      <w:noProof/>
      <w:sz w:val="18"/>
      <w:szCs w:val="18"/>
    </w:rPr>
  </w:style>
  <w:style w:type="paragraph" w:customStyle="1" w:styleId="afa">
    <w:name w:val="מוקטן"/>
    <w:basedOn w:val="a0"/>
    <w:link w:val="afb"/>
    <w:autoRedefine/>
    <w:qFormat/>
    <w:rsid w:val="000B7917"/>
    <w:pPr>
      <w:numPr>
        <w:numId w:val="0"/>
      </w:numPr>
    </w:pPr>
    <w:rPr>
      <w:sz w:val="10"/>
      <w:szCs w:val="14"/>
    </w:rPr>
  </w:style>
  <w:style w:type="character" w:customStyle="1" w:styleId="afb">
    <w:name w:val="מוקטן תו"/>
    <w:basedOn w:val="a8"/>
    <w:link w:val="afa"/>
    <w:rsid w:val="000B7917"/>
    <w:rPr>
      <w:rFonts w:ascii="Guttman Hodes" w:eastAsia="Guttman Hodes" w:hAnsi="Guttman Hodes" w:cs="Guttman Hodes"/>
      <w:noProof/>
      <w:sz w:val="10"/>
      <w:szCs w:val="14"/>
    </w:rPr>
  </w:style>
  <w:style w:type="paragraph" w:styleId="afc">
    <w:name w:val="TOC Heading"/>
    <w:basedOn w:val="1"/>
    <w:next w:val="a2"/>
    <w:uiPriority w:val="39"/>
    <w:unhideWhenUsed/>
    <w:rsid w:val="00490201"/>
    <w:p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tl/>
      <w:cs/>
    </w:rPr>
  </w:style>
  <w:style w:type="paragraph" w:styleId="TOC1">
    <w:name w:val="toc 1"/>
    <w:basedOn w:val="a2"/>
    <w:next w:val="a2"/>
    <w:autoRedefine/>
    <w:uiPriority w:val="39"/>
    <w:unhideWhenUsed/>
    <w:rsid w:val="00490201"/>
    <w:pPr>
      <w:spacing w:before="240" w:after="120"/>
      <w:ind w:left="0"/>
      <w:jc w:val="left"/>
    </w:pPr>
    <w:rPr>
      <w:rFonts w:cstheme="minorHAnsi"/>
      <w:b/>
      <w:bCs/>
      <w:sz w:val="20"/>
      <w:szCs w:val="20"/>
    </w:rPr>
  </w:style>
  <w:style w:type="paragraph" w:styleId="TOC2">
    <w:name w:val="toc 2"/>
    <w:basedOn w:val="a2"/>
    <w:next w:val="a2"/>
    <w:autoRedefine/>
    <w:uiPriority w:val="39"/>
    <w:unhideWhenUsed/>
    <w:rsid w:val="00ED296A"/>
    <w:pPr>
      <w:tabs>
        <w:tab w:val="right" w:leader="dot" w:pos="8296"/>
      </w:tabs>
      <w:spacing w:line="500" w:lineRule="exact"/>
      <w:ind w:left="0"/>
      <w:jc w:val="left"/>
    </w:pPr>
    <w:rPr>
      <w:rFonts w:cstheme="minorHAnsi"/>
      <w:i/>
      <w:iCs/>
      <w:sz w:val="20"/>
      <w:szCs w:val="20"/>
    </w:rPr>
  </w:style>
  <w:style w:type="character" w:styleId="Hyperlink">
    <w:name w:val="Hyperlink"/>
    <w:basedOn w:val="a4"/>
    <w:uiPriority w:val="99"/>
    <w:unhideWhenUsed/>
    <w:rsid w:val="00490201"/>
    <w:rPr>
      <w:color w:val="0000FF" w:themeColor="hyperlink"/>
      <w:u w:val="single"/>
    </w:rPr>
  </w:style>
  <w:style w:type="paragraph" w:customStyle="1" w:styleId="afd">
    <w:name w:val="כות מקטע"/>
    <w:basedOn w:val="afe"/>
    <w:next w:val="afe"/>
    <w:link w:val="aff"/>
    <w:autoRedefine/>
    <w:qFormat/>
    <w:rsid w:val="00D21555"/>
    <w:pPr>
      <w:spacing w:line="240" w:lineRule="auto"/>
    </w:pPr>
  </w:style>
  <w:style w:type="paragraph" w:customStyle="1" w:styleId="afe">
    <w:name w:val="כות מק פנ"/>
    <w:basedOn w:val="a3"/>
    <w:next w:val="1"/>
    <w:link w:val="aff0"/>
    <w:autoRedefine/>
    <w:qFormat/>
    <w:rsid w:val="00DC277F"/>
    <w:pPr>
      <w:spacing w:before="240"/>
    </w:pPr>
    <w:rPr>
      <w:rFonts w:ascii="Guttman Adii-Light" w:eastAsia="Guttman Adii-Light" w:hAnsi="Guttman Adii-Light"/>
      <w:b w:val="0"/>
      <w:sz w:val="22"/>
      <w:szCs w:val="28"/>
    </w:rPr>
  </w:style>
  <w:style w:type="character" w:customStyle="1" w:styleId="aff0">
    <w:name w:val="כות מק פנ תו"/>
    <w:basedOn w:val="10"/>
    <w:link w:val="afe"/>
    <w:rsid w:val="00DC277F"/>
    <w:rPr>
      <w:rFonts w:ascii="Guttman Adii-Light" w:eastAsia="Guttman Adii-Light" w:hAnsi="Guttman Adii-Light" w:cs="Guttman Hodes"/>
      <w:b w:val="0"/>
      <w:bCs/>
      <w:sz w:val="18"/>
      <w:szCs w:val="28"/>
    </w:rPr>
  </w:style>
  <w:style w:type="character" w:customStyle="1" w:styleId="aff">
    <w:name w:val="כות מקטע תו"/>
    <w:basedOn w:val="ae"/>
    <w:link w:val="afd"/>
    <w:rsid w:val="00D21555"/>
    <w:rPr>
      <w:rFonts w:ascii="Guttman Adii-Light" w:eastAsia="Guttman Adii-Light" w:hAnsi="Guttman Adii-Light" w:cs="Guttman Adii-Light"/>
      <w:bCs/>
      <w:szCs w:val="28"/>
    </w:rPr>
  </w:style>
  <w:style w:type="paragraph" w:customStyle="1" w:styleId="aff1">
    <w:name w:val="מ&quot;מ מוקטן"/>
    <w:basedOn w:val="a0"/>
    <w:next w:val="a0"/>
    <w:link w:val="aff2"/>
    <w:autoRedefine/>
    <w:qFormat/>
    <w:rsid w:val="00312A30"/>
    <w:rPr>
      <w:rFonts w:ascii="Guttman Rashi" w:eastAsia="Guttman Rashi" w:hAnsi="Guttman Rashi" w:cs="Guttman Rashi"/>
      <w:sz w:val="10"/>
      <w:szCs w:val="10"/>
    </w:rPr>
  </w:style>
  <w:style w:type="character" w:customStyle="1" w:styleId="aff2">
    <w:name w:val="מ&quot;מ מוקטן תו"/>
    <w:basedOn w:val="a8"/>
    <w:link w:val="aff1"/>
    <w:rsid w:val="00312A30"/>
    <w:rPr>
      <w:rFonts w:ascii="Guttman Rashi" w:eastAsia="Guttman Rashi" w:hAnsi="Guttman Rashi" w:cs="Guttman Rashi"/>
      <w:noProof/>
      <w:sz w:val="10"/>
      <w:szCs w:val="10"/>
    </w:rPr>
  </w:style>
  <w:style w:type="paragraph" w:styleId="TOC3">
    <w:name w:val="toc 3"/>
    <w:basedOn w:val="a2"/>
    <w:next w:val="a2"/>
    <w:autoRedefine/>
    <w:uiPriority w:val="39"/>
    <w:unhideWhenUsed/>
    <w:rsid w:val="0080020B"/>
    <w:pPr>
      <w:ind w:left="440"/>
      <w:jc w:val="left"/>
    </w:pPr>
    <w:rPr>
      <w:rFonts w:cstheme="minorHAnsi"/>
      <w:sz w:val="20"/>
      <w:szCs w:val="20"/>
    </w:rPr>
  </w:style>
  <w:style w:type="paragraph" w:styleId="TOC4">
    <w:name w:val="toc 4"/>
    <w:basedOn w:val="a2"/>
    <w:next w:val="a2"/>
    <w:autoRedefine/>
    <w:uiPriority w:val="39"/>
    <w:unhideWhenUsed/>
    <w:rsid w:val="0080020B"/>
    <w:pPr>
      <w:ind w:left="660"/>
      <w:jc w:val="left"/>
    </w:pPr>
    <w:rPr>
      <w:rFonts w:cstheme="minorHAnsi"/>
      <w:sz w:val="20"/>
      <w:szCs w:val="20"/>
    </w:rPr>
  </w:style>
  <w:style w:type="paragraph" w:styleId="TOC5">
    <w:name w:val="toc 5"/>
    <w:basedOn w:val="a2"/>
    <w:next w:val="a2"/>
    <w:autoRedefine/>
    <w:uiPriority w:val="39"/>
    <w:unhideWhenUsed/>
    <w:rsid w:val="0080020B"/>
    <w:pPr>
      <w:ind w:left="880"/>
      <w:jc w:val="left"/>
    </w:pPr>
    <w:rPr>
      <w:rFonts w:cstheme="minorHAnsi"/>
      <w:sz w:val="20"/>
      <w:szCs w:val="20"/>
    </w:rPr>
  </w:style>
  <w:style w:type="paragraph" w:styleId="TOC6">
    <w:name w:val="toc 6"/>
    <w:basedOn w:val="a2"/>
    <w:next w:val="a2"/>
    <w:autoRedefine/>
    <w:uiPriority w:val="39"/>
    <w:unhideWhenUsed/>
    <w:rsid w:val="0080020B"/>
    <w:pPr>
      <w:ind w:left="1100"/>
      <w:jc w:val="left"/>
    </w:pPr>
    <w:rPr>
      <w:rFonts w:cstheme="minorHAnsi"/>
      <w:sz w:val="20"/>
      <w:szCs w:val="20"/>
    </w:rPr>
  </w:style>
  <w:style w:type="paragraph" w:styleId="TOC7">
    <w:name w:val="toc 7"/>
    <w:basedOn w:val="a2"/>
    <w:next w:val="a2"/>
    <w:autoRedefine/>
    <w:uiPriority w:val="39"/>
    <w:unhideWhenUsed/>
    <w:rsid w:val="0080020B"/>
    <w:pPr>
      <w:ind w:left="1320"/>
      <w:jc w:val="left"/>
    </w:pPr>
    <w:rPr>
      <w:rFonts w:cstheme="minorHAnsi"/>
      <w:sz w:val="20"/>
      <w:szCs w:val="20"/>
    </w:rPr>
  </w:style>
  <w:style w:type="paragraph" w:styleId="TOC8">
    <w:name w:val="toc 8"/>
    <w:basedOn w:val="a2"/>
    <w:next w:val="a2"/>
    <w:autoRedefine/>
    <w:uiPriority w:val="39"/>
    <w:unhideWhenUsed/>
    <w:rsid w:val="0080020B"/>
    <w:pPr>
      <w:ind w:left="1540"/>
      <w:jc w:val="left"/>
    </w:pPr>
    <w:rPr>
      <w:rFonts w:cstheme="minorHAnsi"/>
      <w:sz w:val="20"/>
      <w:szCs w:val="20"/>
    </w:rPr>
  </w:style>
  <w:style w:type="paragraph" w:styleId="TOC9">
    <w:name w:val="toc 9"/>
    <w:basedOn w:val="a2"/>
    <w:next w:val="a2"/>
    <w:autoRedefine/>
    <w:uiPriority w:val="39"/>
    <w:unhideWhenUsed/>
    <w:rsid w:val="0080020B"/>
    <w:pPr>
      <w:ind w:left="1760"/>
      <w:jc w:val="left"/>
    </w:pPr>
    <w:rPr>
      <w:rFonts w:cstheme="minorHAnsi"/>
      <w:sz w:val="20"/>
      <w:szCs w:val="20"/>
    </w:rPr>
  </w:style>
  <w:style w:type="paragraph" w:customStyle="1" w:styleId="a">
    <w:name w:val="תוכן"/>
    <w:basedOn w:val="ad"/>
    <w:link w:val="aff3"/>
    <w:autoRedefine/>
    <w:qFormat/>
    <w:rsid w:val="007E4E81"/>
    <w:pPr>
      <w:numPr>
        <w:numId w:val="3"/>
      </w:numPr>
      <w:contextualSpacing w:val="0"/>
      <w:jc w:val="left"/>
    </w:pPr>
    <w:rPr>
      <w:rFonts w:ascii="Guttman Hodes" w:eastAsia="Guttman Hodes" w:hAnsi="Guttman Hodes" w:cs="Guttman Hodes"/>
      <w:noProof/>
      <w:sz w:val="12"/>
      <w:szCs w:val="12"/>
    </w:rPr>
  </w:style>
  <w:style w:type="character" w:customStyle="1" w:styleId="aff3">
    <w:name w:val="תוכן תו"/>
    <w:basedOn w:val="a4"/>
    <w:link w:val="a"/>
    <w:rsid w:val="007E4E81"/>
    <w:rPr>
      <w:rFonts w:ascii="Guttman Hodes" w:eastAsia="Guttman Hodes" w:hAnsi="Guttman Hodes" w:cs="Guttman Hodes"/>
      <w:noProof/>
      <w:sz w:val="12"/>
      <w:szCs w:val="12"/>
    </w:rPr>
  </w:style>
  <w:style w:type="paragraph" w:customStyle="1" w:styleId="aff4">
    <w:name w:val="כות תוכן"/>
    <w:basedOn w:val="a2"/>
    <w:link w:val="aff5"/>
    <w:autoRedefine/>
    <w:qFormat/>
    <w:rsid w:val="0007171D"/>
    <w:pPr>
      <w:spacing w:after="120" w:line="240" w:lineRule="auto"/>
      <w:ind w:left="0"/>
      <w:jc w:val="center"/>
      <w:outlineLvl w:val="2"/>
    </w:pPr>
    <w:rPr>
      <w:rFonts w:ascii="Guttman Hodes" w:eastAsia="Guttman Hodes" w:hAnsi="Guttman Hodes" w:cs="Guttman Hodes"/>
      <w:b/>
      <w:bCs/>
      <w:sz w:val="18"/>
      <w:szCs w:val="18"/>
    </w:rPr>
  </w:style>
  <w:style w:type="character" w:customStyle="1" w:styleId="aff5">
    <w:name w:val="כות תוכן תו"/>
    <w:basedOn w:val="a4"/>
    <w:link w:val="aff4"/>
    <w:rsid w:val="0007171D"/>
    <w:rPr>
      <w:rFonts w:ascii="Guttman Hodes" w:eastAsia="Guttman Hodes" w:hAnsi="Guttman Hodes" w:cs="Guttman Hodes"/>
      <w:b/>
      <w:bCs/>
      <w:sz w:val="18"/>
      <w:szCs w:val="18"/>
    </w:rPr>
  </w:style>
  <w:style w:type="paragraph" w:customStyle="1" w:styleId="a1">
    <w:name w:val="מ''מ מוקטן"/>
    <w:basedOn w:val="a0"/>
    <w:next w:val="a3"/>
    <w:link w:val="aff6"/>
    <w:autoRedefine/>
    <w:qFormat/>
    <w:rsid w:val="00161186"/>
    <w:pPr>
      <w:numPr>
        <w:numId w:val="2"/>
      </w:numPr>
    </w:pPr>
    <w:rPr>
      <w:rFonts w:ascii="Guttman Rashi" w:eastAsia="Guttman Rashi" w:hAnsi="Guttman Rashi" w:cs="Guttman Rashi"/>
      <w:sz w:val="10"/>
      <w:szCs w:val="10"/>
    </w:rPr>
  </w:style>
  <w:style w:type="character" w:customStyle="1" w:styleId="aff6">
    <w:name w:val="מ''מ מוקטן תו"/>
    <w:basedOn w:val="a8"/>
    <w:link w:val="a1"/>
    <w:rsid w:val="00161186"/>
    <w:rPr>
      <w:rFonts w:ascii="Guttman Rashi" w:eastAsia="Guttman Rashi" w:hAnsi="Guttman Rashi" w:cs="Guttman Rashi"/>
      <w:noProof/>
      <w:sz w:val="10"/>
      <w:szCs w:val="10"/>
    </w:rPr>
  </w:style>
  <w:style w:type="paragraph" w:customStyle="1" w:styleId="aff7">
    <w:name w:val="מפרשים מועתק"/>
    <w:basedOn w:val="a2"/>
    <w:link w:val="aff8"/>
    <w:autoRedefine/>
    <w:qFormat/>
    <w:rsid w:val="00D210C6"/>
    <w:pPr>
      <w:spacing w:line="240" w:lineRule="auto"/>
      <w:ind w:left="0"/>
    </w:pPr>
    <w:rPr>
      <w:rFonts w:ascii="Guttman Hodes" w:eastAsia="Guttman Hodes" w:hAnsi="Guttman Hodes" w:cs="Guttman Hodes"/>
      <w:color w:val="7030A0"/>
      <w:sz w:val="16"/>
      <w:szCs w:val="16"/>
    </w:rPr>
  </w:style>
  <w:style w:type="character" w:customStyle="1" w:styleId="aff8">
    <w:name w:val="מפרשים מועתק תו"/>
    <w:basedOn w:val="a4"/>
    <w:link w:val="aff7"/>
    <w:rsid w:val="00D210C6"/>
    <w:rPr>
      <w:rFonts w:ascii="Guttman Hodes" w:eastAsia="Guttman Hodes" w:hAnsi="Guttman Hodes" w:cs="Guttman Hodes"/>
      <w:color w:val="7030A0"/>
      <w:sz w:val="16"/>
      <w:szCs w:val="16"/>
    </w:rPr>
  </w:style>
  <w:style w:type="paragraph" w:customStyle="1" w:styleId="aff9">
    <w:name w:val="מוקט מודגש"/>
    <w:basedOn w:val="a0"/>
    <w:link w:val="affa"/>
    <w:autoRedefine/>
    <w:qFormat/>
    <w:rsid w:val="006B1960"/>
    <w:pPr>
      <w:numPr>
        <w:numId w:val="0"/>
      </w:numPr>
    </w:pPr>
    <w:rPr>
      <w:b/>
      <w:bCs/>
      <w:szCs w:val="14"/>
    </w:rPr>
  </w:style>
  <w:style w:type="character" w:customStyle="1" w:styleId="affa">
    <w:name w:val="מוקט מודגש תו"/>
    <w:basedOn w:val="a8"/>
    <w:link w:val="aff9"/>
    <w:rsid w:val="006B1960"/>
    <w:rPr>
      <w:rFonts w:ascii="Guttman Hodes" w:eastAsia="Guttman Hodes" w:hAnsi="Guttman Hodes" w:cs="Guttman Hodes"/>
      <w:b/>
      <w:bCs/>
      <w:noProof/>
      <w:sz w:val="18"/>
      <w:szCs w:val="14"/>
    </w:rPr>
  </w:style>
  <w:style w:type="paragraph" w:customStyle="1" w:styleId="affb">
    <w:name w:val="מועתק"/>
    <w:basedOn w:val="a0"/>
    <w:link w:val="affc"/>
    <w:autoRedefine/>
    <w:qFormat/>
    <w:rsid w:val="00434836"/>
    <w:pPr>
      <w:numPr>
        <w:numId w:val="0"/>
      </w:numPr>
    </w:pPr>
    <w:rPr>
      <w:color w:val="7030A0"/>
      <w:sz w:val="12"/>
      <w:szCs w:val="12"/>
    </w:rPr>
  </w:style>
  <w:style w:type="character" w:customStyle="1" w:styleId="affc">
    <w:name w:val="מועתק תו"/>
    <w:basedOn w:val="a8"/>
    <w:link w:val="affb"/>
    <w:rsid w:val="00434836"/>
    <w:rPr>
      <w:rFonts w:ascii="Guttman Hodes" w:eastAsia="Guttman Hodes" w:hAnsi="Guttman Hodes" w:cs="Guttman Hodes"/>
      <w:noProof/>
      <w:color w:val="7030A0"/>
      <w:sz w:val="12"/>
      <w:szCs w:val="12"/>
    </w:rPr>
  </w:style>
  <w:style w:type="paragraph" w:customStyle="1" w:styleId="affd">
    <w:name w:val="כותרת מקטעים"/>
    <w:basedOn w:val="a9"/>
    <w:next w:val="1"/>
    <w:autoRedefine/>
    <w:qFormat/>
    <w:rsid w:val="00434836"/>
    <w:pPr>
      <w:spacing w:before="360"/>
      <w:ind w:left="0"/>
      <w:jc w:val="center"/>
    </w:pPr>
    <w:rPr>
      <w:rFonts w:ascii="Guttman Hodes" w:eastAsia="Guttman Hodes" w:hAnsi="Guttman Hodes" w:cs="Guttman Hodes"/>
      <w:b/>
      <w:bCs/>
      <w:sz w:val="23"/>
      <w:szCs w:val="23"/>
    </w:rPr>
  </w:style>
  <w:style w:type="character" w:customStyle="1" w:styleId="50">
    <w:name w:val="כותרת 5 תו"/>
    <w:basedOn w:val="a4"/>
    <w:link w:val="5"/>
    <w:uiPriority w:val="9"/>
    <w:semiHidden/>
    <w:rsid w:val="00303F3F"/>
    <w:rPr>
      <w:rFonts w:asciiTheme="majorHAnsi" w:eastAsiaTheme="majorEastAsia" w:hAnsiTheme="majorHAnsi" w:cstheme="majorBidi"/>
      <w:color w:val="365F91" w:themeColor="accent1" w:themeShade="BF"/>
    </w:rPr>
  </w:style>
  <w:style w:type="paragraph" w:customStyle="1" w:styleId="11">
    <w:name w:val="מפרשים 1"/>
    <w:basedOn w:val="a2"/>
    <w:link w:val="12"/>
    <w:autoRedefine/>
    <w:qFormat/>
    <w:rsid w:val="00797161"/>
    <w:pPr>
      <w:spacing w:line="240" w:lineRule="auto"/>
      <w:ind w:left="0"/>
    </w:pPr>
    <w:rPr>
      <w:rFonts w:ascii="Guttman Hodes" w:eastAsia="Guttman Hodes" w:hAnsi="Guttman Hodes" w:cs="Guttman Hodes"/>
      <w:sz w:val="16"/>
      <w:szCs w:val="16"/>
    </w:rPr>
  </w:style>
  <w:style w:type="character" w:customStyle="1" w:styleId="12">
    <w:name w:val="מפרשים 1 תו"/>
    <w:basedOn w:val="a4"/>
    <w:link w:val="11"/>
    <w:rsid w:val="00797161"/>
    <w:rPr>
      <w:rFonts w:ascii="Guttman Hodes" w:eastAsia="Guttman Hodes" w:hAnsi="Guttman Hodes" w:cs="Guttman Hodes"/>
      <w:sz w:val="16"/>
      <w:szCs w:val="16"/>
    </w:rPr>
  </w:style>
  <w:style w:type="character" w:styleId="FollowedHyperlink">
    <w:name w:val="FollowedHyperlink"/>
    <w:basedOn w:val="a4"/>
    <w:uiPriority w:val="99"/>
    <w:semiHidden/>
    <w:unhideWhenUsed/>
    <w:rsid w:val="006579F5"/>
    <w:rPr>
      <w:color w:val="800080" w:themeColor="followedHyperlink"/>
      <w:u w:val="single"/>
    </w:rPr>
  </w:style>
  <w:style w:type="numbering" w:styleId="111111">
    <w:name w:val="Outline List 2"/>
    <w:basedOn w:val="a6"/>
    <w:uiPriority w:val="99"/>
    <w:semiHidden/>
    <w:unhideWhenUsed/>
    <w:rsid w:val="00900B10"/>
    <w:pPr>
      <w:numPr>
        <w:numId w:val="6"/>
      </w:numPr>
    </w:pPr>
  </w:style>
  <w:style w:type="character" w:styleId="affe">
    <w:name w:val="annotation reference"/>
    <w:basedOn w:val="a4"/>
    <w:uiPriority w:val="99"/>
    <w:semiHidden/>
    <w:unhideWhenUsed/>
    <w:rsid w:val="00F163D7"/>
    <w:rPr>
      <w:sz w:val="16"/>
      <w:szCs w:val="16"/>
    </w:rPr>
  </w:style>
  <w:style w:type="paragraph" w:styleId="afff">
    <w:name w:val="annotation text"/>
    <w:basedOn w:val="a2"/>
    <w:link w:val="afff0"/>
    <w:uiPriority w:val="99"/>
    <w:semiHidden/>
    <w:unhideWhenUsed/>
    <w:rsid w:val="00F163D7"/>
    <w:pPr>
      <w:spacing w:line="240" w:lineRule="auto"/>
    </w:pPr>
    <w:rPr>
      <w:sz w:val="20"/>
      <w:szCs w:val="20"/>
    </w:rPr>
  </w:style>
  <w:style w:type="character" w:customStyle="1" w:styleId="afff0">
    <w:name w:val="טקסט הערה תו"/>
    <w:basedOn w:val="a4"/>
    <w:link w:val="afff"/>
    <w:uiPriority w:val="99"/>
    <w:semiHidden/>
    <w:rsid w:val="00F163D7"/>
    <w:rPr>
      <w:sz w:val="20"/>
      <w:szCs w:val="20"/>
    </w:rPr>
  </w:style>
  <w:style w:type="paragraph" w:styleId="afff1">
    <w:name w:val="annotation subject"/>
    <w:basedOn w:val="afff"/>
    <w:next w:val="afff"/>
    <w:link w:val="afff2"/>
    <w:uiPriority w:val="99"/>
    <w:semiHidden/>
    <w:unhideWhenUsed/>
    <w:rsid w:val="00F163D7"/>
    <w:rPr>
      <w:b/>
      <w:bCs/>
    </w:rPr>
  </w:style>
  <w:style w:type="character" w:customStyle="1" w:styleId="afff2">
    <w:name w:val="נושא הערה תו"/>
    <w:basedOn w:val="afff0"/>
    <w:link w:val="afff1"/>
    <w:uiPriority w:val="99"/>
    <w:semiHidden/>
    <w:rsid w:val="00F163D7"/>
    <w:rPr>
      <w:b/>
      <w:bCs/>
      <w:sz w:val="20"/>
      <w:szCs w:val="20"/>
    </w:rPr>
  </w:style>
  <w:style w:type="paragraph" w:customStyle="1" w:styleId="afff3">
    <w:name w:val="עברתי"/>
    <w:basedOn w:val="a2"/>
    <w:link w:val="afff4"/>
    <w:autoRedefine/>
    <w:qFormat/>
    <w:rsid w:val="006A4297"/>
    <w:pPr>
      <w:spacing w:line="240" w:lineRule="auto"/>
      <w:ind w:left="0"/>
    </w:pPr>
    <w:rPr>
      <w:rFonts w:ascii="Guttman Hodes" w:eastAsia="Guttman Hodes" w:hAnsi="Guttman Hodes" w:cs="Guttman Hodes"/>
      <w:color w:val="000000" w:themeColor="text1"/>
      <w:sz w:val="12"/>
      <w:szCs w:val="12"/>
    </w:rPr>
  </w:style>
  <w:style w:type="character" w:customStyle="1" w:styleId="afff4">
    <w:name w:val="עברתי תו"/>
    <w:basedOn w:val="a4"/>
    <w:link w:val="afff3"/>
    <w:rsid w:val="006A4297"/>
    <w:rPr>
      <w:rFonts w:ascii="Guttman Hodes" w:eastAsia="Guttman Hodes" w:hAnsi="Guttman Hodes" w:cs="Guttman Hodes"/>
      <w:color w:val="000000" w:themeColor="text1"/>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1722">
      <w:bodyDiv w:val="1"/>
      <w:marLeft w:val="0"/>
      <w:marRight w:val="0"/>
      <w:marTop w:val="0"/>
      <w:marBottom w:val="0"/>
      <w:divBdr>
        <w:top w:val="none" w:sz="0" w:space="0" w:color="auto"/>
        <w:left w:val="none" w:sz="0" w:space="0" w:color="auto"/>
        <w:bottom w:val="none" w:sz="0" w:space="0" w:color="auto"/>
        <w:right w:val="none" w:sz="0" w:space="0" w:color="auto"/>
      </w:divBdr>
    </w:div>
    <w:div w:id="12920946">
      <w:bodyDiv w:val="1"/>
      <w:marLeft w:val="0"/>
      <w:marRight w:val="0"/>
      <w:marTop w:val="0"/>
      <w:marBottom w:val="0"/>
      <w:divBdr>
        <w:top w:val="none" w:sz="0" w:space="0" w:color="auto"/>
        <w:left w:val="none" w:sz="0" w:space="0" w:color="auto"/>
        <w:bottom w:val="none" w:sz="0" w:space="0" w:color="auto"/>
        <w:right w:val="none" w:sz="0" w:space="0" w:color="auto"/>
      </w:divBdr>
    </w:div>
    <w:div w:id="19166609">
      <w:bodyDiv w:val="1"/>
      <w:marLeft w:val="0"/>
      <w:marRight w:val="0"/>
      <w:marTop w:val="0"/>
      <w:marBottom w:val="0"/>
      <w:divBdr>
        <w:top w:val="none" w:sz="0" w:space="0" w:color="auto"/>
        <w:left w:val="none" w:sz="0" w:space="0" w:color="auto"/>
        <w:bottom w:val="none" w:sz="0" w:space="0" w:color="auto"/>
        <w:right w:val="none" w:sz="0" w:space="0" w:color="auto"/>
      </w:divBdr>
    </w:div>
    <w:div w:id="22901043">
      <w:bodyDiv w:val="1"/>
      <w:marLeft w:val="0"/>
      <w:marRight w:val="0"/>
      <w:marTop w:val="0"/>
      <w:marBottom w:val="0"/>
      <w:divBdr>
        <w:top w:val="none" w:sz="0" w:space="0" w:color="auto"/>
        <w:left w:val="none" w:sz="0" w:space="0" w:color="auto"/>
        <w:bottom w:val="none" w:sz="0" w:space="0" w:color="auto"/>
        <w:right w:val="none" w:sz="0" w:space="0" w:color="auto"/>
      </w:divBdr>
    </w:div>
    <w:div w:id="51543579">
      <w:bodyDiv w:val="1"/>
      <w:marLeft w:val="0"/>
      <w:marRight w:val="0"/>
      <w:marTop w:val="0"/>
      <w:marBottom w:val="0"/>
      <w:divBdr>
        <w:top w:val="none" w:sz="0" w:space="0" w:color="auto"/>
        <w:left w:val="none" w:sz="0" w:space="0" w:color="auto"/>
        <w:bottom w:val="none" w:sz="0" w:space="0" w:color="auto"/>
        <w:right w:val="none" w:sz="0" w:space="0" w:color="auto"/>
      </w:divBdr>
    </w:div>
    <w:div w:id="62726618">
      <w:bodyDiv w:val="1"/>
      <w:marLeft w:val="0"/>
      <w:marRight w:val="0"/>
      <w:marTop w:val="0"/>
      <w:marBottom w:val="0"/>
      <w:divBdr>
        <w:top w:val="none" w:sz="0" w:space="0" w:color="auto"/>
        <w:left w:val="none" w:sz="0" w:space="0" w:color="auto"/>
        <w:bottom w:val="none" w:sz="0" w:space="0" w:color="auto"/>
        <w:right w:val="none" w:sz="0" w:space="0" w:color="auto"/>
      </w:divBdr>
    </w:div>
    <w:div w:id="62997140">
      <w:bodyDiv w:val="1"/>
      <w:marLeft w:val="0"/>
      <w:marRight w:val="0"/>
      <w:marTop w:val="0"/>
      <w:marBottom w:val="0"/>
      <w:divBdr>
        <w:top w:val="none" w:sz="0" w:space="0" w:color="auto"/>
        <w:left w:val="none" w:sz="0" w:space="0" w:color="auto"/>
        <w:bottom w:val="none" w:sz="0" w:space="0" w:color="auto"/>
        <w:right w:val="none" w:sz="0" w:space="0" w:color="auto"/>
      </w:divBdr>
    </w:div>
    <w:div w:id="75901827">
      <w:bodyDiv w:val="1"/>
      <w:marLeft w:val="0"/>
      <w:marRight w:val="0"/>
      <w:marTop w:val="0"/>
      <w:marBottom w:val="0"/>
      <w:divBdr>
        <w:top w:val="none" w:sz="0" w:space="0" w:color="auto"/>
        <w:left w:val="none" w:sz="0" w:space="0" w:color="auto"/>
        <w:bottom w:val="none" w:sz="0" w:space="0" w:color="auto"/>
        <w:right w:val="none" w:sz="0" w:space="0" w:color="auto"/>
      </w:divBdr>
    </w:div>
    <w:div w:id="76483138">
      <w:bodyDiv w:val="1"/>
      <w:marLeft w:val="0"/>
      <w:marRight w:val="0"/>
      <w:marTop w:val="0"/>
      <w:marBottom w:val="0"/>
      <w:divBdr>
        <w:top w:val="none" w:sz="0" w:space="0" w:color="auto"/>
        <w:left w:val="none" w:sz="0" w:space="0" w:color="auto"/>
        <w:bottom w:val="none" w:sz="0" w:space="0" w:color="auto"/>
        <w:right w:val="none" w:sz="0" w:space="0" w:color="auto"/>
      </w:divBdr>
    </w:div>
    <w:div w:id="77214971">
      <w:bodyDiv w:val="1"/>
      <w:marLeft w:val="0"/>
      <w:marRight w:val="0"/>
      <w:marTop w:val="0"/>
      <w:marBottom w:val="0"/>
      <w:divBdr>
        <w:top w:val="none" w:sz="0" w:space="0" w:color="auto"/>
        <w:left w:val="none" w:sz="0" w:space="0" w:color="auto"/>
        <w:bottom w:val="none" w:sz="0" w:space="0" w:color="auto"/>
        <w:right w:val="none" w:sz="0" w:space="0" w:color="auto"/>
      </w:divBdr>
    </w:div>
    <w:div w:id="78792984">
      <w:bodyDiv w:val="1"/>
      <w:marLeft w:val="0"/>
      <w:marRight w:val="0"/>
      <w:marTop w:val="0"/>
      <w:marBottom w:val="0"/>
      <w:divBdr>
        <w:top w:val="none" w:sz="0" w:space="0" w:color="auto"/>
        <w:left w:val="none" w:sz="0" w:space="0" w:color="auto"/>
        <w:bottom w:val="none" w:sz="0" w:space="0" w:color="auto"/>
        <w:right w:val="none" w:sz="0" w:space="0" w:color="auto"/>
      </w:divBdr>
    </w:div>
    <w:div w:id="80151800">
      <w:bodyDiv w:val="1"/>
      <w:marLeft w:val="0"/>
      <w:marRight w:val="0"/>
      <w:marTop w:val="0"/>
      <w:marBottom w:val="0"/>
      <w:divBdr>
        <w:top w:val="none" w:sz="0" w:space="0" w:color="auto"/>
        <w:left w:val="none" w:sz="0" w:space="0" w:color="auto"/>
        <w:bottom w:val="none" w:sz="0" w:space="0" w:color="auto"/>
        <w:right w:val="none" w:sz="0" w:space="0" w:color="auto"/>
      </w:divBdr>
    </w:div>
    <w:div w:id="83035543">
      <w:bodyDiv w:val="1"/>
      <w:marLeft w:val="0"/>
      <w:marRight w:val="0"/>
      <w:marTop w:val="0"/>
      <w:marBottom w:val="0"/>
      <w:divBdr>
        <w:top w:val="none" w:sz="0" w:space="0" w:color="auto"/>
        <w:left w:val="none" w:sz="0" w:space="0" w:color="auto"/>
        <w:bottom w:val="none" w:sz="0" w:space="0" w:color="auto"/>
        <w:right w:val="none" w:sz="0" w:space="0" w:color="auto"/>
      </w:divBdr>
    </w:div>
    <w:div w:id="86123290">
      <w:bodyDiv w:val="1"/>
      <w:marLeft w:val="0"/>
      <w:marRight w:val="0"/>
      <w:marTop w:val="0"/>
      <w:marBottom w:val="0"/>
      <w:divBdr>
        <w:top w:val="none" w:sz="0" w:space="0" w:color="auto"/>
        <w:left w:val="none" w:sz="0" w:space="0" w:color="auto"/>
        <w:bottom w:val="none" w:sz="0" w:space="0" w:color="auto"/>
        <w:right w:val="none" w:sz="0" w:space="0" w:color="auto"/>
      </w:divBdr>
    </w:div>
    <w:div w:id="87584375">
      <w:bodyDiv w:val="1"/>
      <w:marLeft w:val="0"/>
      <w:marRight w:val="0"/>
      <w:marTop w:val="0"/>
      <w:marBottom w:val="0"/>
      <w:divBdr>
        <w:top w:val="none" w:sz="0" w:space="0" w:color="auto"/>
        <w:left w:val="none" w:sz="0" w:space="0" w:color="auto"/>
        <w:bottom w:val="none" w:sz="0" w:space="0" w:color="auto"/>
        <w:right w:val="none" w:sz="0" w:space="0" w:color="auto"/>
      </w:divBdr>
    </w:div>
    <w:div w:id="94448725">
      <w:bodyDiv w:val="1"/>
      <w:marLeft w:val="0"/>
      <w:marRight w:val="0"/>
      <w:marTop w:val="0"/>
      <w:marBottom w:val="0"/>
      <w:divBdr>
        <w:top w:val="none" w:sz="0" w:space="0" w:color="auto"/>
        <w:left w:val="none" w:sz="0" w:space="0" w:color="auto"/>
        <w:bottom w:val="none" w:sz="0" w:space="0" w:color="auto"/>
        <w:right w:val="none" w:sz="0" w:space="0" w:color="auto"/>
      </w:divBdr>
    </w:div>
    <w:div w:id="94600550">
      <w:bodyDiv w:val="1"/>
      <w:marLeft w:val="0"/>
      <w:marRight w:val="0"/>
      <w:marTop w:val="0"/>
      <w:marBottom w:val="0"/>
      <w:divBdr>
        <w:top w:val="none" w:sz="0" w:space="0" w:color="auto"/>
        <w:left w:val="none" w:sz="0" w:space="0" w:color="auto"/>
        <w:bottom w:val="none" w:sz="0" w:space="0" w:color="auto"/>
        <w:right w:val="none" w:sz="0" w:space="0" w:color="auto"/>
      </w:divBdr>
      <w:divsChild>
        <w:div w:id="1282348297">
          <w:marLeft w:val="0"/>
          <w:marRight w:val="0"/>
          <w:marTop w:val="0"/>
          <w:marBottom w:val="120"/>
          <w:divBdr>
            <w:top w:val="none" w:sz="0" w:space="0" w:color="auto"/>
            <w:left w:val="none" w:sz="0" w:space="0" w:color="auto"/>
            <w:bottom w:val="none" w:sz="0" w:space="0" w:color="auto"/>
            <w:right w:val="none" w:sz="0" w:space="0" w:color="auto"/>
          </w:divBdr>
        </w:div>
      </w:divsChild>
    </w:div>
    <w:div w:id="96949648">
      <w:bodyDiv w:val="1"/>
      <w:marLeft w:val="0"/>
      <w:marRight w:val="0"/>
      <w:marTop w:val="0"/>
      <w:marBottom w:val="0"/>
      <w:divBdr>
        <w:top w:val="none" w:sz="0" w:space="0" w:color="auto"/>
        <w:left w:val="none" w:sz="0" w:space="0" w:color="auto"/>
        <w:bottom w:val="none" w:sz="0" w:space="0" w:color="auto"/>
        <w:right w:val="none" w:sz="0" w:space="0" w:color="auto"/>
      </w:divBdr>
    </w:div>
    <w:div w:id="98646878">
      <w:bodyDiv w:val="1"/>
      <w:marLeft w:val="0"/>
      <w:marRight w:val="0"/>
      <w:marTop w:val="0"/>
      <w:marBottom w:val="0"/>
      <w:divBdr>
        <w:top w:val="none" w:sz="0" w:space="0" w:color="auto"/>
        <w:left w:val="none" w:sz="0" w:space="0" w:color="auto"/>
        <w:bottom w:val="none" w:sz="0" w:space="0" w:color="auto"/>
        <w:right w:val="none" w:sz="0" w:space="0" w:color="auto"/>
      </w:divBdr>
    </w:div>
    <w:div w:id="101539037">
      <w:bodyDiv w:val="1"/>
      <w:marLeft w:val="0"/>
      <w:marRight w:val="0"/>
      <w:marTop w:val="0"/>
      <w:marBottom w:val="0"/>
      <w:divBdr>
        <w:top w:val="none" w:sz="0" w:space="0" w:color="auto"/>
        <w:left w:val="none" w:sz="0" w:space="0" w:color="auto"/>
        <w:bottom w:val="none" w:sz="0" w:space="0" w:color="auto"/>
        <w:right w:val="none" w:sz="0" w:space="0" w:color="auto"/>
      </w:divBdr>
    </w:div>
    <w:div w:id="102068788">
      <w:bodyDiv w:val="1"/>
      <w:marLeft w:val="0"/>
      <w:marRight w:val="0"/>
      <w:marTop w:val="0"/>
      <w:marBottom w:val="0"/>
      <w:divBdr>
        <w:top w:val="none" w:sz="0" w:space="0" w:color="auto"/>
        <w:left w:val="none" w:sz="0" w:space="0" w:color="auto"/>
        <w:bottom w:val="none" w:sz="0" w:space="0" w:color="auto"/>
        <w:right w:val="none" w:sz="0" w:space="0" w:color="auto"/>
      </w:divBdr>
    </w:div>
    <w:div w:id="106581970">
      <w:bodyDiv w:val="1"/>
      <w:marLeft w:val="0"/>
      <w:marRight w:val="0"/>
      <w:marTop w:val="0"/>
      <w:marBottom w:val="0"/>
      <w:divBdr>
        <w:top w:val="none" w:sz="0" w:space="0" w:color="auto"/>
        <w:left w:val="none" w:sz="0" w:space="0" w:color="auto"/>
        <w:bottom w:val="none" w:sz="0" w:space="0" w:color="auto"/>
        <w:right w:val="none" w:sz="0" w:space="0" w:color="auto"/>
      </w:divBdr>
    </w:div>
    <w:div w:id="112284870">
      <w:bodyDiv w:val="1"/>
      <w:marLeft w:val="0"/>
      <w:marRight w:val="0"/>
      <w:marTop w:val="0"/>
      <w:marBottom w:val="0"/>
      <w:divBdr>
        <w:top w:val="none" w:sz="0" w:space="0" w:color="auto"/>
        <w:left w:val="none" w:sz="0" w:space="0" w:color="auto"/>
        <w:bottom w:val="none" w:sz="0" w:space="0" w:color="auto"/>
        <w:right w:val="none" w:sz="0" w:space="0" w:color="auto"/>
      </w:divBdr>
    </w:div>
    <w:div w:id="113258751">
      <w:bodyDiv w:val="1"/>
      <w:marLeft w:val="0"/>
      <w:marRight w:val="0"/>
      <w:marTop w:val="0"/>
      <w:marBottom w:val="0"/>
      <w:divBdr>
        <w:top w:val="none" w:sz="0" w:space="0" w:color="auto"/>
        <w:left w:val="none" w:sz="0" w:space="0" w:color="auto"/>
        <w:bottom w:val="none" w:sz="0" w:space="0" w:color="auto"/>
        <w:right w:val="none" w:sz="0" w:space="0" w:color="auto"/>
      </w:divBdr>
    </w:div>
    <w:div w:id="130103540">
      <w:bodyDiv w:val="1"/>
      <w:marLeft w:val="0"/>
      <w:marRight w:val="0"/>
      <w:marTop w:val="0"/>
      <w:marBottom w:val="0"/>
      <w:divBdr>
        <w:top w:val="none" w:sz="0" w:space="0" w:color="auto"/>
        <w:left w:val="none" w:sz="0" w:space="0" w:color="auto"/>
        <w:bottom w:val="none" w:sz="0" w:space="0" w:color="auto"/>
        <w:right w:val="none" w:sz="0" w:space="0" w:color="auto"/>
      </w:divBdr>
    </w:div>
    <w:div w:id="133917128">
      <w:bodyDiv w:val="1"/>
      <w:marLeft w:val="0"/>
      <w:marRight w:val="0"/>
      <w:marTop w:val="0"/>
      <w:marBottom w:val="0"/>
      <w:divBdr>
        <w:top w:val="none" w:sz="0" w:space="0" w:color="auto"/>
        <w:left w:val="none" w:sz="0" w:space="0" w:color="auto"/>
        <w:bottom w:val="none" w:sz="0" w:space="0" w:color="auto"/>
        <w:right w:val="none" w:sz="0" w:space="0" w:color="auto"/>
      </w:divBdr>
    </w:div>
    <w:div w:id="141778401">
      <w:bodyDiv w:val="1"/>
      <w:marLeft w:val="0"/>
      <w:marRight w:val="0"/>
      <w:marTop w:val="0"/>
      <w:marBottom w:val="0"/>
      <w:divBdr>
        <w:top w:val="none" w:sz="0" w:space="0" w:color="auto"/>
        <w:left w:val="none" w:sz="0" w:space="0" w:color="auto"/>
        <w:bottom w:val="none" w:sz="0" w:space="0" w:color="auto"/>
        <w:right w:val="none" w:sz="0" w:space="0" w:color="auto"/>
      </w:divBdr>
    </w:div>
    <w:div w:id="144199319">
      <w:bodyDiv w:val="1"/>
      <w:marLeft w:val="0"/>
      <w:marRight w:val="0"/>
      <w:marTop w:val="0"/>
      <w:marBottom w:val="0"/>
      <w:divBdr>
        <w:top w:val="none" w:sz="0" w:space="0" w:color="auto"/>
        <w:left w:val="none" w:sz="0" w:space="0" w:color="auto"/>
        <w:bottom w:val="none" w:sz="0" w:space="0" w:color="auto"/>
        <w:right w:val="none" w:sz="0" w:space="0" w:color="auto"/>
      </w:divBdr>
    </w:div>
    <w:div w:id="161968927">
      <w:bodyDiv w:val="1"/>
      <w:marLeft w:val="0"/>
      <w:marRight w:val="0"/>
      <w:marTop w:val="0"/>
      <w:marBottom w:val="0"/>
      <w:divBdr>
        <w:top w:val="none" w:sz="0" w:space="0" w:color="auto"/>
        <w:left w:val="none" w:sz="0" w:space="0" w:color="auto"/>
        <w:bottom w:val="none" w:sz="0" w:space="0" w:color="auto"/>
        <w:right w:val="none" w:sz="0" w:space="0" w:color="auto"/>
      </w:divBdr>
    </w:div>
    <w:div w:id="164173129">
      <w:bodyDiv w:val="1"/>
      <w:marLeft w:val="0"/>
      <w:marRight w:val="0"/>
      <w:marTop w:val="0"/>
      <w:marBottom w:val="0"/>
      <w:divBdr>
        <w:top w:val="none" w:sz="0" w:space="0" w:color="auto"/>
        <w:left w:val="none" w:sz="0" w:space="0" w:color="auto"/>
        <w:bottom w:val="none" w:sz="0" w:space="0" w:color="auto"/>
        <w:right w:val="none" w:sz="0" w:space="0" w:color="auto"/>
      </w:divBdr>
    </w:div>
    <w:div w:id="179245791">
      <w:bodyDiv w:val="1"/>
      <w:marLeft w:val="0"/>
      <w:marRight w:val="0"/>
      <w:marTop w:val="0"/>
      <w:marBottom w:val="0"/>
      <w:divBdr>
        <w:top w:val="none" w:sz="0" w:space="0" w:color="auto"/>
        <w:left w:val="none" w:sz="0" w:space="0" w:color="auto"/>
        <w:bottom w:val="none" w:sz="0" w:space="0" w:color="auto"/>
        <w:right w:val="none" w:sz="0" w:space="0" w:color="auto"/>
      </w:divBdr>
    </w:div>
    <w:div w:id="182403655">
      <w:bodyDiv w:val="1"/>
      <w:marLeft w:val="0"/>
      <w:marRight w:val="0"/>
      <w:marTop w:val="0"/>
      <w:marBottom w:val="0"/>
      <w:divBdr>
        <w:top w:val="none" w:sz="0" w:space="0" w:color="auto"/>
        <w:left w:val="none" w:sz="0" w:space="0" w:color="auto"/>
        <w:bottom w:val="none" w:sz="0" w:space="0" w:color="auto"/>
        <w:right w:val="none" w:sz="0" w:space="0" w:color="auto"/>
      </w:divBdr>
    </w:div>
    <w:div w:id="183714465">
      <w:bodyDiv w:val="1"/>
      <w:marLeft w:val="0"/>
      <w:marRight w:val="0"/>
      <w:marTop w:val="0"/>
      <w:marBottom w:val="0"/>
      <w:divBdr>
        <w:top w:val="none" w:sz="0" w:space="0" w:color="auto"/>
        <w:left w:val="none" w:sz="0" w:space="0" w:color="auto"/>
        <w:bottom w:val="none" w:sz="0" w:space="0" w:color="auto"/>
        <w:right w:val="none" w:sz="0" w:space="0" w:color="auto"/>
      </w:divBdr>
    </w:div>
    <w:div w:id="196353218">
      <w:bodyDiv w:val="1"/>
      <w:marLeft w:val="0"/>
      <w:marRight w:val="0"/>
      <w:marTop w:val="0"/>
      <w:marBottom w:val="0"/>
      <w:divBdr>
        <w:top w:val="none" w:sz="0" w:space="0" w:color="auto"/>
        <w:left w:val="none" w:sz="0" w:space="0" w:color="auto"/>
        <w:bottom w:val="none" w:sz="0" w:space="0" w:color="auto"/>
        <w:right w:val="none" w:sz="0" w:space="0" w:color="auto"/>
      </w:divBdr>
    </w:div>
    <w:div w:id="208958152">
      <w:bodyDiv w:val="1"/>
      <w:marLeft w:val="0"/>
      <w:marRight w:val="0"/>
      <w:marTop w:val="0"/>
      <w:marBottom w:val="0"/>
      <w:divBdr>
        <w:top w:val="none" w:sz="0" w:space="0" w:color="auto"/>
        <w:left w:val="none" w:sz="0" w:space="0" w:color="auto"/>
        <w:bottom w:val="none" w:sz="0" w:space="0" w:color="auto"/>
        <w:right w:val="none" w:sz="0" w:space="0" w:color="auto"/>
      </w:divBdr>
    </w:div>
    <w:div w:id="215895799">
      <w:bodyDiv w:val="1"/>
      <w:marLeft w:val="0"/>
      <w:marRight w:val="0"/>
      <w:marTop w:val="0"/>
      <w:marBottom w:val="0"/>
      <w:divBdr>
        <w:top w:val="none" w:sz="0" w:space="0" w:color="auto"/>
        <w:left w:val="none" w:sz="0" w:space="0" w:color="auto"/>
        <w:bottom w:val="none" w:sz="0" w:space="0" w:color="auto"/>
        <w:right w:val="none" w:sz="0" w:space="0" w:color="auto"/>
      </w:divBdr>
    </w:div>
    <w:div w:id="217403432">
      <w:bodyDiv w:val="1"/>
      <w:marLeft w:val="0"/>
      <w:marRight w:val="0"/>
      <w:marTop w:val="0"/>
      <w:marBottom w:val="0"/>
      <w:divBdr>
        <w:top w:val="none" w:sz="0" w:space="0" w:color="auto"/>
        <w:left w:val="none" w:sz="0" w:space="0" w:color="auto"/>
        <w:bottom w:val="none" w:sz="0" w:space="0" w:color="auto"/>
        <w:right w:val="none" w:sz="0" w:space="0" w:color="auto"/>
      </w:divBdr>
    </w:div>
    <w:div w:id="225576682">
      <w:bodyDiv w:val="1"/>
      <w:marLeft w:val="0"/>
      <w:marRight w:val="0"/>
      <w:marTop w:val="0"/>
      <w:marBottom w:val="0"/>
      <w:divBdr>
        <w:top w:val="none" w:sz="0" w:space="0" w:color="auto"/>
        <w:left w:val="none" w:sz="0" w:space="0" w:color="auto"/>
        <w:bottom w:val="none" w:sz="0" w:space="0" w:color="auto"/>
        <w:right w:val="none" w:sz="0" w:space="0" w:color="auto"/>
      </w:divBdr>
    </w:div>
    <w:div w:id="226303557">
      <w:bodyDiv w:val="1"/>
      <w:marLeft w:val="0"/>
      <w:marRight w:val="0"/>
      <w:marTop w:val="0"/>
      <w:marBottom w:val="0"/>
      <w:divBdr>
        <w:top w:val="none" w:sz="0" w:space="0" w:color="auto"/>
        <w:left w:val="none" w:sz="0" w:space="0" w:color="auto"/>
        <w:bottom w:val="none" w:sz="0" w:space="0" w:color="auto"/>
        <w:right w:val="none" w:sz="0" w:space="0" w:color="auto"/>
      </w:divBdr>
    </w:div>
    <w:div w:id="246964360">
      <w:bodyDiv w:val="1"/>
      <w:marLeft w:val="0"/>
      <w:marRight w:val="0"/>
      <w:marTop w:val="0"/>
      <w:marBottom w:val="0"/>
      <w:divBdr>
        <w:top w:val="none" w:sz="0" w:space="0" w:color="auto"/>
        <w:left w:val="none" w:sz="0" w:space="0" w:color="auto"/>
        <w:bottom w:val="none" w:sz="0" w:space="0" w:color="auto"/>
        <w:right w:val="none" w:sz="0" w:space="0" w:color="auto"/>
      </w:divBdr>
    </w:div>
    <w:div w:id="250623813">
      <w:bodyDiv w:val="1"/>
      <w:marLeft w:val="0"/>
      <w:marRight w:val="0"/>
      <w:marTop w:val="0"/>
      <w:marBottom w:val="0"/>
      <w:divBdr>
        <w:top w:val="none" w:sz="0" w:space="0" w:color="auto"/>
        <w:left w:val="none" w:sz="0" w:space="0" w:color="auto"/>
        <w:bottom w:val="none" w:sz="0" w:space="0" w:color="auto"/>
        <w:right w:val="none" w:sz="0" w:space="0" w:color="auto"/>
      </w:divBdr>
    </w:div>
    <w:div w:id="251205878">
      <w:bodyDiv w:val="1"/>
      <w:marLeft w:val="0"/>
      <w:marRight w:val="0"/>
      <w:marTop w:val="0"/>
      <w:marBottom w:val="0"/>
      <w:divBdr>
        <w:top w:val="none" w:sz="0" w:space="0" w:color="auto"/>
        <w:left w:val="none" w:sz="0" w:space="0" w:color="auto"/>
        <w:bottom w:val="none" w:sz="0" w:space="0" w:color="auto"/>
        <w:right w:val="none" w:sz="0" w:space="0" w:color="auto"/>
      </w:divBdr>
    </w:div>
    <w:div w:id="251360520">
      <w:bodyDiv w:val="1"/>
      <w:marLeft w:val="0"/>
      <w:marRight w:val="0"/>
      <w:marTop w:val="0"/>
      <w:marBottom w:val="0"/>
      <w:divBdr>
        <w:top w:val="none" w:sz="0" w:space="0" w:color="auto"/>
        <w:left w:val="none" w:sz="0" w:space="0" w:color="auto"/>
        <w:bottom w:val="none" w:sz="0" w:space="0" w:color="auto"/>
        <w:right w:val="none" w:sz="0" w:space="0" w:color="auto"/>
      </w:divBdr>
    </w:div>
    <w:div w:id="258681471">
      <w:bodyDiv w:val="1"/>
      <w:marLeft w:val="0"/>
      <w:marRight w:val="0"/>
      <w:marTop w:val="0"/>
      <w:marBottom w:val="0"/>
      <w:divBdr>
        <w:top w:val="none" w:sz="0" w:space="0" w:color="auto"/>
        <w:left w:val="none" w:sz="0" w:space="0" w:color="auto"/>
        <w:bottom w:val="none" w:sz="0" w:space="0" w:color="auto"/>
        <w:right w:val="none" w:sz="0" w:space="0" w:color="auto"/>
      </w:divBdr>
    </w:div>
    <w:div w:id="261498275">
      <w:bodyDiv w:val="1"/>
      <w:marLeft w:val="0"/>
      <w:marRight w:val="0"/>
      <w:marTop w:val="0"/>
      <w:marBottom w:val="0"/>
      <w:divBdr>
        <w:top w:val="none" w:sz="0" w:space="0" w:color="auto"/>
        <w:left w:val="none" w:sz="0" w:space="0" w:color="auto"/>
        <w:bottom w:val="none" w:sz="0" w:space="0" w:color="auto"/>
        <w:right w:val="none" w:sz="0" w:space="0" w:color="auto"/>
      </w:divBdr>
    </w:div>
    <w:div w:id="263660739">
      <w:bodyDiv w:val="1"/>
      <w:marLeft w:val="0"/>
      <w:marRight w:val="0"/>
      <w:marTop w:val="0"/>
      <w:marBottom w:val="0"/>
      <w:divBdr>
        <w:top w:val="none" w:sz="0" w:space="0" w:color="auto"/>
        <w:left w:val="none" w:sz="0" w:space="0" w:color="auto"/>
        <w:bottom w:val="none" w:sz="0" w:space="0" w:color="auto"/>
        <w:right w:val="none" w:sz="0" w:space="0" w:color="auto"/>
      </w:divBdr>
    </w:div>
    <w:div w:id="265310569">
      <w:bodyDiv w:val="1"/>
      <w:marLeft w:val="0"/>
      <w:marRight w:val="0"/>
      <w:marTop w:val="0"/>
      <w:marBottom w:val="0"/>
      <w:divBdr>
        <w:top w:val="none" w:sz="0" w:space="0" w:color="auto"/>
        <w:left w:val="none" w:sz="0" w:space="0" w:color="auto"/>
        <w:bottom w:val="none" w:sz="0" w:space="0" w:color="auto"/>
        <w:right w:val="none" w:sz="0" w:space="0" w:color="auto"/>
      </w:divBdr>
    </w:div>
    <w:div w:id="266545424">
      <w:bodyDiv w:val="1"/>
      <w:marLeft w:val="0"/>
      <w:marRight w:val="0"/>
      <w:marTop w:val="0"/>
      <w:marBottom w:val="0"/>
      <w:divBdr>
        <w:top w:val="none" w:sz="0" w:space="0" w:color="auto"/>
        <w:left w:val="none" w:sz="0" w:space="0" w:color="auto"/>
        <w:bottom w:val="none" w:sz="0" w:space="0" w:color="auto"/>
        <w:right w:val="none" w:sz="0" w:space="0" w:color="auto"/>
      </w:divBdr>
    </w:div>
    <w:div w:id="270666233">
      <w:bodyDiv w:val="1"/>
      <w:marLeft w:val="0"/>
      <w:marRight w:val="0"/>
      <w:marTop w:val="0"/>
      <w:marBottom w:val="0"/>
      <w:divBdr>
        <w:top w:val="none" w:sz="0" w:space="0" w:color="auto"/>
        <w:left w:val="none" w:sz="0" w:space="0" w:color="auto"/>
        <w:bottom w:val="none" w:sz="0" w:space="0" w:color="auto"/>
        <w:right w:val="none" w:sz="0" w:space="0" w:color="auto"/>
      </w:divBdr>
    </w:div>
    <w:div w:id="272132226">
      <w:bodyDiv w:val="1"/>
      <w:marLeft w:val="0"/>
      <w:marRight w:val="0"/>
      <w:marTop w:val="0"/>
      <w:marBottom w:val="0"/>
      <w:divBdr>
        <w:top w:val="none" w:sz="0" w:space="0" w:color="auto"/>
        <w:left w:val="none" w:sz="0" w:space="0" w:color="auto"/>
        <w:bottom w:val="none" w:sz="0" w:space="0" w:color="auto"/>
        <w:right w:val="none" w:sz="0" w:space="0" w:color="auto"/>
      </w:divBdr>
    </w:div>
    <w:div w:id="275984177">
      <w:bodyDiv w:val="1"/>
      <w:marLeft w:val="0"/>
      <w:marRight w:val="0"/>
      <w:marTop w:val="0"/>
      <w:marBottom w:val="0"/>
      <w:divBdr>
        <w:top w:val="none" w:sz="0" w:space="0" w:color="auto"/>
        <w:left w:val="none" w:sz="0" w:space="0" w:color="auto"/>
        <w:bottom w:val="none" w:sz="0" w:space="0" w:color="auto"/>
        <w:right w:val="none" w:sz="0" w:space="0" w:color="auto"/>
      </w:divBdr>
    </w:div>
    <w:div w:id="276497142">
      <w:bodyDiv w:val="1"/>
      <w:marLeft w:val="0"/>
      <w:marRight w:val="0"/>
      <w:marTop w:val="0"/>
      <w:marBottom w:val="0"/>
      <w:divBdr>
        <w:top w:val="none" w:sz="0" w:space="0" w:color="auto"/>
        <w:left w:val="none" w:sz="0" w:space="0" w:color="auto"/>
        <w:bottom w:val="none" w:sz="0" w:space="0" w:color="auto"/>
        <w:right w:val="none" w:sz="0" w:space="0" w:color="auto"/>
      </w:divBdr>
    </w:div>
    <w:div w:id="285812563">
      <w:bodyDiv w:val="1"/>
      <w:marLeft w:val="0"/>
      <w:marRight w:val="0"/>
      <w:marTop w:val="0"/>
      <w:marBottom w:val="0"/>
      <w:divBdr>
        <w:top w:val="none" w:sz="0" w:space="0" w:color="auto"/>
        <w:left w:val="none" w:sz="0" w:space="0" w:color="auto"/>
        <w:bottom w:val="none" w:sz="0" w:space="0" w:color="auto"/>
        <w:right w:val="none" w:sz="0" w:space="0" w:color="auto"/>
      </w:divBdr>
    </w:div>
    <w:div w:id="308367974">
      <w:bodyDiv w:val="1"/>
      <w:marLeft w:val="0"/>
      <w:marRight w:val="0"/>
      <w:marTop w:val="0"/>
      <w:marBottom w:val="0"/>
      <w:divBdr>
        <w:top w:val="none" w:sz="0" w:space="0" w:color="auto"/>
        <w:left w:val="none" w:sz="0" w:space="0" w:color="auto"/>
        <w:bottom w:val="none" w:sz="0" w:space="0" w:color="auto"/>
        <w:right w:val="none" w:sz="0" w:space="0" w:color="auto"/>
      </w:divBdr>
    </w:div>
    <w:div w:id="308754937">
      <w:bodyDiv w:val="1"/>
      <w:marLeft w:val="0"/>
      <w:marRight w:val="0"/>
      <w:marTop w:val="0"/>
      <w:marBottom w:val="0"/>
      <w:divBdr>
        <w:top w:val="none" w:sz="0" w:space="0" w:color="auto"/>
        <w:left w:val="none" w:sz="0" w:space="0" w:color="auto"/>
        <w:bottom w:val="none" w:sz="0" w:space="0" w:color="auto"/>
        <w:right w:val="none" w:sz="0" w:space="0" w:color="auto"/>
      </w:divBdr>
    </w:div>
    <w:div w:id="318656949">
      <w:bodyDiv w:val="1"/>
      <w:marLeft w:val="0"/>
      <w:marRight w:val="0"/>
      <w:marTop w:val="0"/>
      <w:marBottom w:val="0"/>
      <w:divBdr>
        <w:top w:val="none" w:sz="0" w:space="0" w:color="auto"/>
        <w:left w:val="none" w:sz="0" w:space="0" w:color="auto"/>
        <w:bottom w:val="none" w:sz="0" w:space="0" w:color="auto"/>
        <w:right w:val="none" w:sz="0" w:space="0" w:color="auto"/>
      </w:divBdr>
    </w:div>
    <w:div w:id="319427279">
      <w:bodyDiv w:val="1"/>
      <w:marLeft w:val="0"/>
      <w:marRight w:val="0"/>
      <w:marTop w:val="0"/>
      <w:marBottom w:val="0"/>
      <w:divBdr>
        <w:top w:val="none" w:sz="0" w:space="0" w:color="auto"/>
        <w:left w:val="none" w:sz="0" w:space="0" w:color="auto"/>
        <w:bottom w:val="none" w:sz="0" w:space="0" w:color="auto"/>
        <w:right w:val="none" w:sz="0" w:space="0" w:color="auto"/>
      </w:divBdr>
    </w:div>
    <w:div w:id="334916167">
      <w:bodyDiv w:val="1"/>
      <w:marLeft w:val="0"/>
      <w:marRight w:val="0"/>
      <w:marTop w:val="0"/>
      <w:marBottom w:val="0"/>
      <w:divBdr>
        <w:top w:val="none" w:sz="0" w:space="0" w:color="auto"/>
        <w:left w:val="none" w:sz="0" w:space="0" w:color="auto"/>
        <w:bottom w:val="none" w:sz="0" w:space="0" w:color="auto"/>
        <w:right w:val="none" w:sz="0" w:space="0" w:color="auto"/>
      </w:divBdr>
    </w:div>
    <w:div w:id="343945530">
      <w:bodyDiv w:val="1"/>
      <w:marLeft w:val="0"/>
      <w:marRight w:val="0"/>
      <w:marTop w:val="0"/>
      <w:marBottom w:val="0"/>
      <w:divBdr>
        <w:top w:val="none" w:sz="0" w:space="0" w:color="auto"/>
        <w:left w:val="none" w:sz="0" w:space="0" w:color="auto"/>
        <w:bottom w:val="none" w:sz="0" w:space="0" w:color="auto"/>
        <w:right w:val="none" w:sz="0" w:space="0" w:color="auto"/>
      </w:divBdr>
    </w:div>
    <w:div w:id="360325964">
      <w:bodyDiv w:val="1"/>
      <w:marLeft w:val="0"/>
      <w:marRight w:val="0"/>
      <w:marTop w:val="0"/>
      <w:marBottom w:val="0"/>
      <w:divBdr>
        <w:top w:val="none" w:sz="0" w:space="0" w:color="auto"/>
        <w:left w:val="none" w:sz="0" w:space="0" w:color="auto"/>
        <w:bottom w:val="none" w:sz="0" w:space="0" w:color="auto"/>
        <w:right w:val="none" w:sz="0" w:space="0" w:color="auto"/>
      </w:divBdr>
    </w:div>
    <w:div w:id="360398311">
      <w:bodyDiv w:val="1"/>
      <w:marLeft w:val="0"/>
      <w:marRight w:val="0"/>
      <w:marTop w:val="0"/>
      <w:marBottom w:val="0"/>
      <w:divBdr>
        <w:top w:val="none" w:sz="0" w:space="0" w:color="auto"/>
        <w:left w:val="none" w:sz="0" w:space="0" w:color="auto"/>
        <w:bottom w:val="none" w:sz="0" w:space="0" w:color="auto"/>
        <w:right w:val="none" w:sz="0" w:space="0" w:color="auto"/>
      </w:divBdr>
    </w:div>
    <w:div w:id="362635222">
      <w:bodyDiv w:val="1"/>
      <w:marLeft w:val="0"/>
      <w:marRight w:val="0"/>
      <w:marTop w:val="0"/>
      <w:marBottom w:val="0"/>
      <w:divBdr>
        <w:top w:val="none" w:sz="0" w:space="0" w:color="auto"/>
        <w:left w:val="none" w:sz="0" w:space="0" w:color="auto"/>
        <w:bottom w:val="none" w:sz="0" w:space="0" w:color="auto"/>
        <w:right w:val="none" w:sz="0" w:space="0" w:color="auto"/>
      </w:divBdr>
    </w:div>
    <w:div w:id="370543443">
      <w:bodyDiv w:val="1"/>
      <w:marLeft w:val="0"/>
      <w:marRight w:val="0"/>
      <w:marTop w:val="0"/>
      <w:marBottom w:val="0"/>
      <w:divBdr>
        <w:top w:val="none" w:sz="0" w:space="0" w:color="auto"/>
        <w:left w:val="none" w:sz="0" w:space="0" w:color="auto"/>
        <w:bottom w:val="none" w:sz="0" w:space="0" w:color="auto"/>
        <w:right w:val="none" w:sz="0" w:space="0" w:color="auto"/>
      </w:divBdr>
    </w:div>
    <w:div w:id="370957876">
      <w:bodyDiv w:val="1"/>
      <w:marLeft w:val="0"/>
      <w:marRight w:val="0"/>
      <w:marTop w:val="0"/>
      <w:marBottom w:val="0"/>
      <w:divBdr>
        <w:top w:val="none" w:sz="0" w:space="0" w:color="auto"/>
        <w:left w:val="none" w:sz="0" w:space="0" w:color="auto"/>
        <w:bottom w:val="none" w:sz="0" w:space="0" w:color="auto"/>
        <w:right w:val="none" w:sz="0" w:space="0" w:color="auto"/>
      </w:divBdr>
    </w:div>
    <w:div w:id="376394520">
      <w:bodyDiv w:val="1"/>
      <w:marLeft w:val="0"/>
      <w:marRight w:val="0"/>
      <w:marTop w:val="0"/>
      <w:marBottom w:val="0"/>
      <w:divBdr>
        <w:top w:val="none" w:sz="0" w:space="0" w:color="auto"/>
        <w:left w:val="none" w:sz="0" w:space="0" w:color="auto"/>
        <w:bottom w:val="none" w:sz="0" w:space="0" w:color="auto"/>
        <w:right w:val="none" w:sz="0" w:space="0" w:color="auto"/>
      </w:divBdr>
    </w:div>
    <w:div w:id="377095805">
      <w:bodyDiv w:val="1"/>
      <w:marLeft w:val="0"/>
      <w:marRight w:val="0"/>
      <w:marTop w:val="0"/>
      <w:marBottom w:val="0"/>
      <w:divBdr>
        <w:top w:val="none" w:sz="0" w:space="0" w:color="auto"/>
        <w:left w:val="none" w:sz="0" w:space="0" w:color="auto"/>
        <w:bottom w:val="none" w:sz="0" w:space="0" w:color="auto"/>
        <w:right w:val="none" w:sz="0" w:space="0" w:color="auto"/>
      </w:divBdr>
    </w:div>
    <w:div w:id="378894783">
      <w:bodyDiv w:val="1"/>
      <w:marLeft w:val="0"/>
      <w:marRight w:val="0"/>
      <w:marTop w:val="0"/>
      <w:marBottom w:val="0"/>
      <w:divBdr>
        <w:top w:val="none" w:sz="0" w:space="0" w:color="auto"/>
        <w:left w:val="none" w:sz="0" w:space="0" w:color="auto"/>
        <w:bottom w:val="none" w:sz="0" w:space="0" w:color="auto"/>
        <w:right w:val="none" w:sz="0" w:space="0" w:color="auto"/>
      </w:divBdr>
    </w:div>
    <w:div w:id="382297091">
      <w:bodyDiv w:val="1"/>
      <w:marLeft w:val="0"/>
      <w:marRight w:val="0"/>
      <w:marTop w:val="0"/>
      <w:marBottom w:val="0"/>
      <w:divBdr>
        <w:top w:val="none" w:sz="0" w:space="0" w:color="auto"/>
        <w:left w:val="none" w:sz="0" w:space="0" w:color="auto"/>
        <w:bottom w:val="none" w:sz="0" w:space="0" w:color="auto"/>
        <w:right w:val="none" w:sz="0" w:space="0" w:color="auto"/>
      </w:divBdr>
    </w:div>
    <w:div w:id="391731641">
      <w:bodyDiv w:val="1"/>
      <w:marLeft w:val="0"/>
      <w:marRight w:val="0"/>
      <w:marTop w:val="0"/>
      <w:marBottom w:val="0"/>
      <w:divBdr>
        <w:top w:val="none" w:sz="0" w:space="0" w:color="auto"/>
        <w:left w:val="none" w:sz="0" w:space="0" w:color="auto"/>
        <w:bottom w:val="none" w:sz="0" w:space="0" w:color="auto"/>
        <w:right w:val="none" w:sz="0" w:space="0" w:color="auto"/>
      </w:divBdr>
    </w:div>
    <w:div w:id="397169944">
      <w:bodyDiv w:val="1"/>
      <w:marLeft w:val="0"/>
      <w:marRight w:val="0"/>
      <w:marTop w:val="0"/>
      <w:marBottom w:val="0"/>
      <w:divBdr>
        <w:top w:val="none" w:sz="0" w:space="0" w:color="auto"/>
        <w:left w:val="none" w:sz="0" w:space="0" w:color="auto"/>
        <w:bottom w:val="none" w:sz="0" w:space="0" w:color="auto"/>
        <w:right w:val="none" w:sz="0" w:space="0" w:color="auto"/>
      </w:divBdr>
    </w:div>
    <w:div w:id="400061844">
      <w:bodyDiv w:val="1"/>
      <w:marLeft w:val="0"/>
      <w:marRight w:val="0"/>
      <w:marTop w:val="0"/>
      <w:marBottom w:val="0"/>
      <w:divBdr>
        <w:top w:val="none" w:sz="0" w:space="0" w:color="auto"/>
        <w:left w:val="none" w:sz="0" w:space="0" w:color="auto"/>
        <w:bottom w:val="none" w:sz="0" w:space="0" w:color="auto"/>
        <w:right w:val="none" w:sz="0" w:space="0" w:color="auto"/>
      </w:divBdr>
    </w:div>
    <w:div w:id="403917852">
      <w:bodyDiv w:val="1"/>
      <w:marLeft w:val="0"/>
      <w:marRight w:val="0"/>
      <w:marTop w:val="0"/>
      <w:marBottom w:val="0"/>
      <w:divBdr>
        <w:top w:val="none" w:sz="0" w:space="0" w:color="auto"/>
        <w:left w:val="none" w:sz="0" w:space="0" w:color="auto"/>
        <w:bottom w:val="none" w:sz="0" w:space="0" w:color="auto"/>
        <w:right w:val="none" w:sz="0" w:space="0" w:color="auto"/>
      </w:divBdr>
    </w:div>
    <w:div w:id="414666748">
      <w:bodyDiv w:val="1"/>
      <w:marLeft w:val="0"/>
      <w:marRight w:val="0"/>
      <w:marTop w:val="0"/>
      <w:marBottom w:val="0"/>
      <w:divBdr>
        <w:top w:val="none" w:sz="0" w:space="0" w:color="auto"/>
        <w:left w:val="none" w:sz="0" w:space="0" w:color="auto"/>
        <w:bottom w:val="none" w:sz="0" w:space="0" w:color="auto"/>
        <w:right w:val="none" w:sz="0" w:space="0" w:color="auto"/>
      </w:divBdr>
    </w:div>
    <w:div w:id="415057796">
      <w:bodyDiv w:val="1"/>
      <w:marLeft w:val="0"/>
      <w:marRight w:val="0"/>
      <w:marTop w:val="0"/>
      <w:marBottom w:val="0"/>
      <w:divBdr>
        <w:top w:val="none" w:sz="0" w:space="0" w:color="auto"/>
        <w:left w:val="none" w:sz="0" w:space="0" w:color="auto"/>
        <w:bottom w:val="none" w:sz="0" w:space="0" w:color="auto"/>
        <w:right w:val="none" w:sz="0" w:space="0" w:color="auto"/>
      </w:divBdr>
    </w:div>
    <w:div w:id="426120195">
      <w:bodyDiv w:val="1"/>
      <w:marLeft w:val="0"/>
      <w:marRight w:val="0"/>
      <w:marTop w:val="0"/>
      <w:marBottom w:val="0"/>
      <w:divBdr>
        <w:top w:val="none" w:sz="0" w:space="0" w:color="auto"/>
        <w:left w:val="none" w:sz="0" w:space="0" w:color="auto"/>
        <w:bottom w:val="none" w:sz="0" w:space="0" w:color="auto"/>
        <w:right w:val="none" w:sz="0" w:space="0" w:color="auto"/>
      </w:divBdr>
    </w:div>
    <w:div w:id="428043570">
      <w:bodyDiv w:val="1"/>
      <w:marLeft w:val="0"/>
      <w:marRight w:val="0"/>
      <w:marTop w:val="0"/>
      <w:marBottom w:val="0"/>
      <w:divBdr>
        <w:top w:val="none" w:sz="0" w:space="0" w:color="auto"/>
        <w:left w:val="none" w:sz="0" w:space="0" w:color="auto"/>
        <w:bottom w:val="none" w:sz="0" w:space="0" w:color="auto"/>
        <w:right w:val="none" w:sz="0" w:space="0" w:color="auto"/>
      </w:divBdr>
    </w:div>
    <w:div w:id="435831262">
      <w:bodyDiv w:val="1"/>
      <w:marLeft w:val="0"/>
      <w:marRight w:val="0"/>
      <w:marTop w:val="0"/>
      <w:marBottom w:val="0"/>
      <w:divBdr>
        <w:top w:val="none" w:sz="0" w:space="0" w:color="auto"/>
        <w:left w:val="none" w:sz="0" w:space="0" w:color="auto"/>
        <w:bottom w:val="none" w:sz="0" w:space="0" w:color="auto"/>
        <w:right w:val="none" w:sz="0" w:space="0" w:color="auto"/>
      </w:divBdr>
    </w:div>
    <w:div w:id="442268548">
      <w:bodyDiv w:val="1"/>
      <w:marLeft w:val="0"/>
      <w:marRight w:val="0"/>
      <w:marTop w:val="0"/>
      <w:marBottom w:val="0"/>
      <w:divBdr>
        <w:top w:val="none" w:sz="0" w:space="0" w:color="auto"/>
        <w:left w:val="none" w:sz="0" w:space="0" w:color="auto"/>
        <w:bottom w:val="none" w:sz="0" w:space="0" w:color="auto"/>
        <w:right w:val="none" w:sz="0" w:space="0" w:color="auto"/>
      </w:divBdr>
    </w:div>
    <w:div w:id="444495881">
      <w:bodyDiv w:val="1"/>
      <w:marLeft w:val="0"/>
      <w:marRight w:val="0"/>
      <w:marTop w:val="0"/>
      <w:marBottom w:val="0"/>
      <w:divBdr>
        <w:top w:val="none" w:sz="0" w:space="0" w:color="auto"/>
        <w:left w:val="none" w:sz="0" w:space="0" w:color="auto"/>
        <w:bottom w:val="none" w:sz="0" w:space="0" w:color="auto"/>
        <w:right w:val="none" w:sz="0" w:space="0" w:color="auto"/>
      </w:divBdr>
    </w:div>
    <w:div w:id="446589006">
      <w:bodyDiv w:val="1"/>
      <w:marLeft w:val="0"/>
      <w:marRight w:val="0"/>
      <w:marTop w:val="0"/>
      <w:marBottom w:val="0"/>
      <w:divBdr>
        <w:top w:val="none" w:sz="0" w:space="0" w:color="auto"/>
        <w:left w:val="none" w:sz="0" w:space="0" w:color="auto"/>
        <w:bottom w:val="none" w:sz="0" w:space="0" w:color="auto"/>
        <w:right w:val="none" w:sz="0" w:space="0" w:color="auto"/>
      </w:divBdr>
    </w:div>
    <w:div w:id="449130071">
      <w:bodyDiv w:val="1"/>
      <w:marLeft w:val="0"/>
      <w:marRight w:val="0"/>
      <w:marTop w:val="0"/>
      <w:marBottom w:val="0"/>
      <w:divBdr>
        <w:top w:val="none" w:sz="0" w:space="0" w:color="auto"/>
        <w:left w:val="none" w:sz="0" w:space="0" w:color="auto"/>
        <w:bottom w:val="none" w:sz="0" w:space="0" w:color="auto"/>
        <w:right w:val="none" w:sz="0" w:space="0" w:color="auto"/>
      </w:divBdr>
    </w:div>
    <w:div w:id="449512655">
      <w:bodyDiv w:val="1"/>
      <w:marLeft w:val="0"/>
      <w:marRight w:val="0"/>
      <w:marTop w:val="0"/>
      <w:marBottom w:val="0"/>
      <w:divBdr>
        <w:top w:val="none" w:sz="0" w:space="0" w:color="auto"/>
        <w:left w:val="none" w:sz="0" w:space="0" w:color="auto"/>
        <w:bottom w:val="none" w:sz="0" w:space="0" w:color="auto"/>
        <w:right w:val="none" w:sz="0" w:space="0" w:color="auto"/>
      </w:divBdr>
    </w:div>
    <w:div w:id="453865694">
      <w:bodyDiv w:val="1"/>
      <w:marLeft w:val="0"/>
      <w:marRight w:val="0"/>
      <w:marTop w:val="0"/>
      <w:marBottom w:val="0"/>
      <w:divBdr>
        <w:top w:val="none" w:sz="0" w:space="0" w:color="auto"/>
        <w:left w:val="none" w:sz="0" w:space="0" w:color="auto"/>
        <w:bottom w:val="none" w:sz="0" w:space="0" w:color="auto"/>
        <w:right w:val="none" w:sz="0" w:space="0" w:color="auto"/>
      </w:divBdr>
    </w:div>
    <w:div w:id="457915981">
      <w:bodyDiv w:val="1"/>
      <w:marLeft w:val="0"/>
      <w:marRight w:val="0"/>
      <w:marTop w:val="0"/>
      <w:marBottom w:val="0"/>
      <w:divBdr>
        <w:top w:val="none" w:sz="0" w:space="0" w:color="auto"/>
        <w:left w:val="none" w:sz="0" w:space="0" w:color="auto"/>
        <w:bottom w:val="none" w:sz="0" w:space="0" w:color="auto"/>
        <w:right w:val="none" w:sz="0" w:space="0" w:color="auto"/>
      </w:divBdr>
    </w:div>
    <w:div w:id="459107295">
      <w:bodyDiv w:val="1"/>
      <w:marLeft w:val="0"/>
      <w:marRight w:val="0"/>
      <w:marTop w:val="0"/>
      <w:marBottom w:val="0"/>
      <w:divBdr>
        <w:top w:val="none" w:sz="0" w:space="0" w:color="auto"/>
        <w:left w:val="none" w:sz="0" w:space="0" w:color="auto"/>
        <w:bottom w:val="none" w:sz="0" w:space="0" w:color="auto"/>
        <w:right w:val="none" w:sz="0" w:space="0" w:color="auto"/>
      </w:divBdr>
    </w:div>
    <w:div w:id="474684680">
      <w:bodyDiv w:val="1"/>
      <w:marLeft w:val="0"/>
      <w:marRight w:val="0"/>
      <w:marTop w:val="0"/>
      <w:marBottom w:val="0"/>
      <w:divBdr>
        <w:top w:val="none" w:sz="0" w:space="0" w:color="auto"/>
        <w:left w:val="none" w:sz="0" w:space="0" w:color="auto"/>
        <w:bottom w:val="none" w:sz="0" w:space="0" w:color="auto"/>
        <w:right w:val="none" w:sz="0" w:space="0" w:color="auto"/>
      </w:divBdr>
    </w:div>
    <w:div w:id="474879540">
      <w:bodyDiv w:val="1"/>
      <w:marLeft w:val="0"/>
      <w:marRight w:val="0"/>
      <w:marTop w:val="0"/>
      <w:marBottom w:val="0"/>
      <w:divBdr>
        <w:top w:val="none" w:sz="0" w:space="0" w:color="auto"/>
        <w:left w:val="none" w:sz="0" w:space="0" w:color="auto"/>
        <w:bottom w:val="none" w:sz="0" w:space="0" w:color="auto"/>
        <w:right w:val="none" w:sz="0" w:space="0" w:color="auto"/>
      </w:divBdr>
    </w:div>
    <w:div w:id="482164069">
      <w:bodyDiv w:val="1"/>
      <w:marLeft w:val="0"/>
      <w:marRight w:val="0"/>
      <w:marTop w:val="0"/>
      <w:marBottom w:val="0"/>
      <w:divBdr>
        <w:top w:val="none" w:sz="0" w:space="0" w:color="auto"/>
        <w:left w:val="none" w:sz="0" w:space="0" w:color="auto"/>
        <w:bottom w:val="none" w:sz="0" w:space="0" w:color="auto"/>
        <w:right w:val="none" w:sz="0" w:space="0" w:color="auto"/>
      </w:divBdr>
    </w:div>
    <w:div w:id="482624217">
      <w:bodyDiv w:val="1"/>
      <w:marLeft w:val="0"/>
      <w:marRight w:val="0"/>
      <w:marTop w:val="0"/>
      <w:marBottom w:val="0"/>
      <w:divBdr>
        <w:top w:val="none" w:sz="0" w:space="0" w:color="auto"/>
        <w:left w:val="none" w:sz="0" w:space="0" w:color="auto"/>
        <w:bottom w:val="none" w:sz="0" w:space="0" w:color="auto"/>
        <w:right w:val="none" w:sz="0" w:space="0" w:color="auto"/>
      </w:divBdr>
    </w:div>
    <w:div w:id="483864045">
      <w:bodyDiv w:val="1"/>
      <w:marLeft w:val="0"/>
      <w:marRight w:val="0"/>
      <w:marTop w:val="0"/>
      <w:marBottom w:val="0"/>
      <w:divBdr>
        <w:top w:val="none" w:sz="0" w:space="0" w:color="auto"/>
        <w:left w:val="none" w:sz="0" w:space="0" w:color="auto"/>
        <w:bottom w:val="none" w:sz="0" w:space="0" w:color="auto"/>
        <w:right w:val="none" w:sz="0" w:space="0" w:color="auto"/>
      </w:divBdr>
    </w:div>
    <w:div w:id="485240718">
      <w:bodyDiv w:val="1"/>
      <w:marLeft w:val="0"/>
      <w:marRight w:val="0"/>
      <w:marTop w:val="0"/>
      <w:marBottom w:val="0"/>
      <w:divBdr>
        <w:top w:val="none" w:sz="0" w:space="0" w:color="auto"/>
        <w:left w:val="none" w:sz="0" w:space="0" w:color="auto"/>
        <w:bottom w:val="none" w:sz="0" w:space="0" w:color="auto"/>
        <w:right w:val="none" w:sz="0" w:space="0" w:color="auto"/>
      </w:divBdr>
    </w:div>
    <w:div w:id="493306285">
      <w:bodyDiv w:val="1"/>
      <w:marLeft w:val="0"/>
      <w:marRight w:val="0"/>
      <w:marTop w:val="0"/>
      <w:marBottom w:val="0"/>
      <w:divBdr>
        <w:top w:val="none" w:sz="0" w:space="0" w:color="auto"/>
        <w:left w:val="none" w:sz="0" w:space="0" w:color="auto"/>
        <w:bottom w:val="none" w:sz="0" w:space="0" w:color="auto"/>
        <w:right w:val="none" w:sz="0" w:space="0" w:color="auto"/>
      </w:divBdr>
    </w:div>
    <w:div w:id="510336907">
      <w:bodyDiv w:val="1"/>
      <w:marLeft w:val="0"/>
      <w:marRight w:val="0"/>
      <w:marTop w:val="0"/>
      <w:marBottom w:val="0"/>
      <w:divBdr>
        <w:top w:val="none" w:sz="0" w:space="0" w:color="auto"/>
        <w:left w:val="none" w:sz="0" w:space="0" w:color="auto"/>
        <w:bottom w:val="none" w:sz="0" w:space="0" w:color="auto"/>
        <w:right w:val="none" w:sz="0" w:space="0" w:color="auto"/>
      </w:divBdr>
    </w:div>
    <w:div w:id="510416583">
      <w:bodyDiv w:val="1"/>
      <w:marLeft w:val="0"/>
      <w:marRight w:val="0"/>
      <w:marTop w:val="0"/>
      <w:marBottom w:val="0"/>
      <w:divBdr>
        <w:top w:val="none" w:sz="0" w:space="0" w:color="auto"/>
        <w:left w:val="none" w:sz="0" w:space="0" w:color="auto"/>
        <w:bottom w:val="none" w:sz="0" w:space="0" w:color="auto"/>
        <w:right w:val="none" w:sz="0" w:space="0" w:color="auto"/>
      </w:divBdr>
    </w:div>
    <w:div w:id="514879054">
      <w:bodyDiv w:val="1"/>
      <w:marLeft w:val="0"/>
      <w:marRight w:val="0"/>
      <w:marTop w:val="0"/>
      <w:marBottom w:val="0"/>
      <w:divBdr>
        <w:top w:val="none" w:sz="0" w:space="0" w:color="auto"/>
        <w:left w:val="none" w:sz="0" w:space="0" w:color="auto"/>
        <w:bottom w:val="none" w:sz="0" w:space="0" w:color="auto"/>
        <w:right w:val="none" w:sz="0" w:space="0" w:color="auto"/>
      </w:divBdr>
    </w:div>
    <w:div w:id="535889552">
      <w:bodyDiv w:val="1"/>
      <w:marLeft w:val="0"/>
      <w:marRight w:val="0"/>
      <w:marTop w:val="0"/>
      <w:marBottom w:val="0"/>
      <w:divBdr>
        <w:top w:val="none" w:sz="0" w:space="0" w:color="auto"/>
        <w:left w:val="none" w:sz="0" w:space="0" w:color="auto"/>
        <w:bottom w:val="none" w:sz="0" w:space="0" w:color="auto"/>
        <w:right w:val="none" w:sz="0" w:space="0" w:color="auto"/>
      </w:divBdr>
    </w:div>
    <w:div w:id="539125511">
      <w:bodyDiv w:val="1"/>
      <w:marLeft w:val="0"/>
      <w:marRight w:val="0"/>
      <w:marTop w:val="0"/>
      <w:marBottom w:val="0"/>
      <w:divBdr>
        <w:top w:val="none" w:sz="0" w:space="0" w:color="auto"/>
        <w:left w:val="none" w:sz="0" w:space="0" w:color="auto"/>
        <w:bottom w:val="none" w:sz="0" w:space="0" w:color="auto"/>
        <w:right w:val="none" w:sz="0" w:space="0" w:color="auto"/>
      </w:divBdr>
    </w:div>
    <w:div w:id="539786994">
      <w:bodyDiv w:val="1"/>
      <w:marLeft w:val="0"/>
      <w:marRight w:val="0"/>
      <w:marTop w:val="0"/>
      <w:marBottom w:val="0"/>
      <w:divBdr>
        <w:top w:val="none" w:sz="0" w:space="0" w:color="auto"/>
        <w:left w:val="none" w:sz="0" w:space="0" w:color="auto"/>
        <w:bottom w:val="none" w:sz="0" w:space="0" w:color="auto"/>
        <w:right w:val="none" w:sz="0" w:space="0" w:color="auto"/>
      </w:divBdr>
    </w:div>
    <w:div w:id="543635779">
      <w:bodyDiv w:val="1"/>
      <w:marLeft w:val="0"/>
      <w:marRight w:val="0"/>
      <w:marTop w:val="0"/>
      <w:marBottom w:val="0"/>
      <w:divBdr>
        <w:top w:val="none" w:sz="0" w:space="0" w:color="auto"/>
        <w:left w:val="none" w:sz="0" w:space="0" w:color="auto"/>
        <w:bottom w:val="none" w:sz="0" w:space="0" w:color="auto"/>
        <w:right w:val="none" w:sz="0" w:space="0" w:color="auto"/>
      </w:divBdr>
    </w:div>
    <w:div w:id="547839918">
      <w:bodyDiv w:val="1"/>
      <w:marLeft w:val="0"/>
      <w:marRight w:val="0"/>
      <w:marTop w:val="0"/>
      <w:marBottom w:val="0"/>
      <w:divBdr>
        <w:top w:val="none" w:sz="0" w:space="0" w:color="auto"/>
        <w:left w:val="none" w:sz="0" w:space="0" w:color="auto"/>
        <w:bottom w:val="none" w:sz="0" w:space="0" w:color="auto"/>
        <w:right w:val="none" w:sz="0" w:space="0" w:color="auto"/>
      </w:divBdr>
      <w:divsChild>
        <w:div w:id="1633829610">
          <w:marLeft w:val="0"/>
          <w:marRight w:val="0"/>
          <w:marTop w:val="0"/>
          <w:marBottom w:val="120"/>
          <w:divBdr>
            <w:top w:val="none" w:sz="0" w:space="0" w:color="auto"/>
            <w:left w:val="none" w:sz="0" w:space="0" w:color="auto"/>
            <w:bottom w:val="none" w:sz="0" w:space="0" w:color="auto"/>
            <w:right w:val="none" w:sz="0" w:space="0" w:color="auto"/>
          </w:divBdr>
        </w:div>
      </w:divsChild>
    </w:div>
    <w:div w:id="554894116">
      <w:bodyDiv w:val="1"/>
      <w:marLeft w:val="0"/>
      <w:marRight w:val="0"/>
      <w:marTop w:val="0"/>
      <w:marBottom w:val="0"/>
      <w:divBdr>
        <w:top w:val="none" w:sz="0" w:space="0" w:color="auto"/>
        <w:left w:val="none" w:sz="0" w:space="0" w:color="auto"/>
        <w:bottom w:val="none" w:sz="0" w:space="0" w:color="auto"/>
        <w:right w:val="none" w:sz="0" w:space="0" w:color="auto"/>
      </w:divBdr>
    </w:div>
    <w:div w:id="568540402">
      <w:bodyDiv w:val="1"/>
      <w:marLeft w:val="0"/>
      <w:marRight w:val="0"/>
      <w:marTop w:val="0"/>
      <w:marBottom w:val="0"/>
      <w:divBdr>
        <w:top w:val="none" w:sz="0" w:space="0" w:color="auto"/>
        <w:left w:val="none" w:sz="0" w:space="0" w:color="auto"/>
        <w:bottom w:val="none" w:sz="0" w:space="0" w:color="auto"/>
        <w:right w:val="none" w:sz="0" w:space="0" w:color="auto"/>
      </w:divBdr>
    </w:div>
    <w:div w:id="579944742">
      <w:bodyDiv w:val="1"/>
      <w:marLeft w:val="0"/>
      <w:marRight w:val="0"/>
      <w:marTop w:val="0"/>
      <w:marBottom w:val="0"/>
      <w:divBdr>
        <w:top w:val="none" w:sz="0" w:space="0" w:color="auto"/>
        <w:left w:val="none" w:sz="0" w:space="0" w:color="auto"/>
        <w:bottom w:val="none" w:sz="0" w:space="0" w:color="auto"/>
        <w:right w:val="none" w:sz="0" w:space="0" w:color="auto"/>
      </w:divBdr>
    </w:div>
    <w:div w:id="581329036">
      <w:bodyDiv w:val="1"/>
      <w:marLeft w:val="0"/>
      <w:marRight w:val="0"/>
      <w:marTop w:val="0"/>
      <w:marBottom w:val="0"/>
      <w:divBdr>
        <w:top w:val="none" w:sz="0" w:space="0" w:color="auto"/>
        <w:left w:val="none" w:sz="0" w:space="0" w:color="auto"/>
        <w:bottom w:val="none" w:sz="0" w:space="0" w:color="auto"/>
        <w:right w:val="none" w:sz="0" w:space="0" w:color="auto"/>
      </w:divBdr>
    </w:div>
    <w:div w:id="581722686">
      <w:bodyDiv w:val="1"/>
      <w:marLeft w:val="0"/>
      <w:marRight w:val="0"/>
      <w:marTop w:val="0"/>
      <w:marBottom w:val="0"/>
      <w:divBdr>
        <w:top w:val="none" w:sz="0" w:space="0" w:color="auto"/>
        <w:left w:val="none" w:sz="0" w:space="0" w:color="auto"/>
        <w:bottom w:val="none" w:sz="0" w:space="0" w:color="auto"/>
        <w:right w:val="none" w:sz="0" w:space="0" w:color="auto"/>
      </w:divBdr>
    </w:div>
    <w:div w:id="582497872">
      <w:bodyDiv w:val="1"/>
      <w:marLeft w:val="0"/>
      <w:marRight w:val="0"/>
      <w:marTop w:val="0"/>
      <w:marBottom w:val="0"/>
      <w:divBdr>
        <w:top w:val="none" w:sz="0" w:space="0" w:color="auto"/>
        <w:left w:val="none" w:sz="0" w:space="0" w:color="auto"/>
        <w:bottom w:val="none" w:sz="0" w:space="0" w:color="auto"/>
        <w:right w:val="none" w:sz="0" w:space="0" w:color="auto"/>
      </w:divBdr>
    </w:div>
    <w:div w:id="585918212">
      <w:bodyDiv w:val="1"/>
      <w:marLeft w:val="0"/>
      <w:marRight w:val="0"/>
      <w:marTop w:val="0"/>
      <w:marBottom w:val="0"/>
      <w:divBdr>
        <w:top w:val="none" w:sz="0" w:space="0" w:color="auto"/>
        <w:left w:val="none" w:sz="0" w:space="0" w:color="auto"/>
        <w:bottom w:val="none" w:sz="0" w:space="0" w:color="auto"/>
        <w:right w:val="none" w:sz="0" w:space="0" w:color="auto"/>
      </w:divBdr>
    </w:div>
    <w:div w:id="586810347">
      <w:bodyDiv w:val="1"/>
      <w:marLeft w:val="0"/>
      <w:marRight w:val="0"/>
      <w:marTop w:val="0"/>
      <w:marBottom w:val="0"/>
      <w:divBdr>
        <w:top w:val="none" w:sz="0" w:space="0" w:color="auto"/>
        <w:left w:val="none" w:sz="0" w:space="0" w:color="auto"/>
        <w:bottom w:val="none" w:sz="0" w:space="0" w:color="auto"/>
        <w:right w:val="none" w:sz="0" w:space="0" w:color="auto"/>
      </w:divBdr>
    </w:div>
    <w:div w:id="596326713">
      <w:bodyDiv w:val="1"/>
      <w:marLeft w:val="0"/>
      <w:marRight w:val="0"/>
      <w:marTop w:val="0"/>
      <w:marBottom w:val="0"/>
      <w:divBdr>
        <w:top w:val="none" w:sz="0" w:space="0" w:color="auto"/>
        <w:left w:val="none" w:sz="0" w:space="0" w:color="auto"/>
        <w:bottom w:val="none" w:sz="0" w:space="0" w:color="auto"/>
        <w:right w:val="none" w:sz="0" w:space="0" w:color="auto"/>
      </w:divBdr>
    </w:div>
    <w:div w:id="599072731">
      <w:bodyDiv w:val="1"/>
      <w:marLeft w:val="0"/>
      <w:marRight w:val="0"/>
      <w:marTop w:val="0"/>
      <w:marBottom w:val="0"/>
      <w:divBdr>
        <w:top w:val="none" w:sz="0" w:space="0" w:color="auto"/>
        <w:left w:val="none" w:sz="0" w:space="0" w:color="auto"/>
        <w:bottom w:val="none" w:sz="0" w:space="0" w:color="auto"/>
        <w:right w:val="none" w:sz="0" w:space="0" w:color="auto"/>
      </w:divBdr>
    </w:div>
    <w:div w:id="608243067">
      <w:bodyDiv w:val="1"/>
      <w:marLeft w:val="0"/>
      <w:marRight w:val="0"/>
      <w:marTop w:val="0"/>
      <w:marBottom w:val="0"/>
      <w:divBdr>
        <w:top w:val="none" w:sz="0" w:space="0" w:color="auto"/>
        <w:left w:val="none" w:sz="0" w:space="0" w:color="auto"/>
        <w:bottom w:val="none" w:sz="0" w:space="0" w:color="auto"/>
        <w:right w:val="none" w:sz="0" w:space="0" w:color="auto"/>
      </w:divBdr>
    </w:div>
    <w:div w:id="611742004">
      <w:bodyDiv w:val="1"/>
      <w:marLeft w:val="0"/>
      <w:marRight w:val="0"/>
      <w:marTop w:val="0"/>
      <w:marBottom w:val="0"/>
      <w:divBdr>
        <w:top w:val="none" w:sz="0" w:space="0" w:color="auto"/>
        <w:left w:val="none" w:sz="0" w:space="0" w:color="auto"/>
        <w:bottom w:val="none" w:sz="0" w:space="0" w:color="auto"/>
        <w:right w:val="none" w:sz="0" w:space="0" w:color="auto"/>
      </w:divBdr>
    </w:div>
    <w:div w:id="616331233">
      <w:bodyDiv w:val="1"/>
      <w:marLeft w:val="0"/>
      <w:marRight w:val="0"/>
      <w:marTop w:val="0"/>
      <w:marBottom w:val="0"/>
      <w:divBdr>
        <w:top w:val="none" w:sz="0" w:space="0" w:color="auto"/>
        <w:left w:val="none" w:sz="0" w:space="0" w:color="auto"/>
        <w:bottom w:val="none" w:sz="0" w:space="0" w:color="auto"/>
        <w:right w:val="none" w:sz="0" w:space="0" w:color="auto"/>
      </w:divBdr>
    </w:div>
    <w:div w:id="617831563">
      <w:bodyDiv w:val="1"/>
      <w:marLeft w:val="0"/>
      <w:marRight w:val="0"/>
      <w:marTop w:val="0"/>
      <w:marBottom w:val="0"/>
      <w:divBdr>
        <w:top w:val="none" w:sz="0" w:space="0" w:color="auto"/>
        <w:left w:val="none" w:sz="0" w:space="0" w:color="auto"/>
        <w:bottom w:val="none" w:sz="0" w:space="0" w:color="auto"/>
        <w:right w:val="none" w:sz="0" w:space="0" w:color="auto"/>
      </w:divBdr>
    </w:div>
    <w:div w:id="621573307">
      <w:bodyDiv w:val="1"/>
      <w:marLeft w:val="0"/>
      <w:marRight w:val="0"/>
      <w:marTop w:val="0"/>
      <w:marBottom w:val="0"/>
      <w:divBdr>
        <w:top w:val="none" w:sz="0" w:space="0" w:color="auto"/>
        <w:left w:val="none" w:sz="0" w:space="0" w:color="auto"/>
        <w:bottom w:val="none" w:sz="0" w:space="0" w:color="auto"/>
        <w:right w:val="none" w:sz="0" w:space="0" w:color="auto"/>
      </w:divBdr>
    </w:div>
    <w:div w:id="623073398">
      <w:bodyDiv w:val="1"/>
      <w:marLeft w:val="0"/>
      <w:marRight w:val="0"/>
      <w:marTop w:val="0"/>
      <w:marBottom w:val="0"/>
      <w:divBdr>
        <w:top w:val="none" w:sz="0" w:space="0" w:color="auto"/>
        <w:left w:val="none" w:sz="0" w:space="0" w:color="auto"/>
        <w:bottom w:val="none" w:sz="0" w:space="0" w:color="auto"/>
        <w:right w:val="none" w:sz="0" w:space="0" w:color="auto"/>
      </w:divBdr>
    </w:div>
    <w:div w:id="624039910">
      <w:bodyDiv w:val="1"/>
      <w:marLeft w:val="0"/>
      <w:marRight w:val="0"/>
      <w:marTop w:val="0"/>
      <w:marBottom w:val="0"/>
      <w:divBdr>
        <w:top w:val="none" w:sz="0" w:space="0" w:color="auto"/>
        <w:left w:val="none" w:sz="0" w:space="0" w:color="auto"/>
        <w:bottom w:val="none" w:sz="0" w:space="0" w:color="auto"/>
        <w:right w:val="none" w:sz="0" w:space="0" w:color="auto"/>
      </w:divBdr>
    </w:div>
    <w:div w:id="624115226">
      <w:bodyDiv w:val="1"/>
      <w:marLeft w:val="0"/>
      <w:marRight w:val="0"/>
      <w:marTop w:val="0"/>
      <w:marBottom w:val="0"/>
      <w:divBdr>
        <w:top w:val="none" w:sz="0" w:space="0" w:color="auto"/>
        <w:left w:val="none" w:sz="0" w:space="0" w:color="auto"/>
        <w:bottom w:val="none" w:sz="0" w:space="0" w:color="auto"/>
        <w:right w:val="none" w:sz="0" w:space="0" w:color="auto"/>
      </w:divBdr>
    </w:div>
    <w:div w:id="637806449">
      <w:bodyDiv w:val="1"/>
      <w:marLeft w:val="0"/>
      <w:marRight w:val="0"/>
      <w:marTop w:val="0"/>
      <w:marBottom w:val="0"/>
      <w:divBdr>
        <w:top w:val="none" w:sz="0" w:space="0" w:color="auto"/>
        <w:left w:val="none" w:sz="0" w:space="0" w:color="auto"/>
        <w:bottom w:val="none" w:sz="0" w:space="0" w:color="auto"/>
        <w:right w:val="none" w:sz="0" w:space="0" w:color="auto"/>
      </w:divBdr>
    </w:div>
    <w:div w:id="640038723">
      <w:bodyDiv w:val="1"/>
      <w:marLeft w:val="0"/>
      <w:marRight w:val="0"/>
      <w:marTop w:val="0"/>
      <w:marBottom w:val="0"/>
      <w:divBdr>
        <w:top w:val="none" w:sz="0" w:space="0" w:color="auto"/>
        <w:left w:val="none" w:sz="0" w:space="0" w:color="auto"/>
        <w:bottom w:val="none" w:sz="0" w:space="0" w:color="auto"/>
        <w:right w:val="none" w:sz="0" w:space="0" w:color="auto"/>
      </w:divBdr>
    </w:div>
    <w:div w:id="642930069">
      <w:bodyDiv w:val="1"/>
      <w:marLeft w:val="0"/>
      <w:marRight w:val="0"/>
      <w:marTop w:val="0"/>
      <w:marBottom w:val="0"/>
      <w:divBdr>
        <w:top w:val="none" w:sz="0" w:space="0" w:color="auto"/>
        <w:left w:val="none" w:sz="0" w:space="0" w:color="auto"/>
        <w:bottom w:val="none" w:sz="0" w:space="0" w:color="auto"/>
        <w:right w:val="none" w:sz="0" w:space="0" w:color="auto"/>
      </w:divBdr>
    </w:div>
    <w:div w:id="644820063">
      <w:bodyDiv w:val="1"/>
      <w:marLeft w:val="0"/>
      <w:marRight w:val="0"/>
      <w:marTop w:val="0"/>
      <w:marBottom w:val="0"/>
      <w:divBdr>
        <w:top w:val="none" w:sz="0" w:space="0" w:color="auto"/>
        <w:left w:val="none" w:sz="0" w:space="0" w:color="auto"/>
        <w:bottom w:val="none" w:sz="0" w:space="0" w:color="auto"/>
        <w:right w:val="none" w:sz="0" w:space="0" w:color="auto"/>
      </w:divBdr>
    </w:div>
    <w:div w:id="649945019">
      <w:bodyDiv w:val="1"/>
      <w:marLeft w:val="0"/>
      <w:marRight w:val="0"/>
      <w:marTop w:val="0"/>
      <w:marBottom w:val="0"/>
      <w:divBdr>
        <w:top w:val="none" w:sz="0" w:space="0" w:color="auto"/>
        <w:left w:val="none" w:sz="0" w:space="0" w:color="auto"/>
        <w:bottom w:val="none" w:sz="0" w:space="0" w:color="auto"/>
        <w:right w:val="none" w:sz="0" w:space="0" w:color="auto"/>
      </w:divBdr>
    </w:div>
    <w:div w:id="651297614">
      <w:bodyDiv w:val="1"/>
      <w:marLeft w:val="0"/>
      <w:marRight w:val="0"/>
      <w:marTop w:val="0"/>
      <w:marBottom w:val="0"/>
      <w:divBdr>
        <w:top w:val="none" w:sz="0" w:space="0" w:color="auto"/>
        <w:left w:val="none" w:sz="0" w:space="0" w:color="auto"/>
        <w:bottom w:val="none" w:sz="0" w:space="0" w:color="auto"/>
        <w:right w:val="none" w:sz="0" w:space="0" w:color="auto"/>
      </w:divBdr>
    </w:div>
    <w:div w:id="652296523">
      <w:bodyDiv w:val="1"/>
      <w:marLeft w:val="0"/>
      <w:marRight w:val="0"/>
      <w:marTop w:val="0"/>
      <w:marBottom w:val="0"/>
      <w:divBdr>
        <w:top w:val="none" w:sz="0" w:space="0" w:color="auto"/>
        <w:left w:val="none" w:sz="0" w:space="0" w:color="auto"/>
        <w:bottom w:val="none" w:sz="0" w:space="0" w:color="auto"/>
        <w:right w:val="none" w:sz="0" w:space="0" w:color="auto"/>
      </w:divBdr>
    </w:div>
    <w:div w:id="653608217">
      <w:bodyDiv w:val="1"/>
      <w:marLeft w:val="0"/>
      <w:marRight w:val="0"/>
      <w:marTop w:val="0"/>
      <w:marBottom w:val="0"/>
      <w:divBdr>
        <w:top w:val="none" w:sz="0" w:space="0" w:color="auto"/>
        <w:left w:val="none" w:sz="0" w:space="0" w:color="auto"/>
        <w:bottom w:val="none" w:sz="0" w:space="0" w:color="auto"/>
        <w:right w:val="none" w:sz="0" w:space="0" w:color="auto"/>
      </w:divBdr>
    </w:div>
    <w:div w:id="655306811">
      <w:bodyDiv w:val="1"/>
      <w:marLeft w:val="0"/>
      <w:marRight w:val="0"/>
      <w:marTop w:val="0"/>
      <w:marBottom w:val="0"/>
      <w:divBdr>
        <w:top w:val="none" w:sz="0" w:space="0" w:color="auto"/>
        <w:left w:val="none" w:sz="0" w:space="0" w:color="auto"/>
        <w:bottom w:val="none" w:sz="0" w:space="0" w:color="auto"/>
        <w:right w:val="none" w:sz="0" w:space="0" w:color="auto"/>
      </w:divBdr>
    </w:div>
    <w:div w:id="661157113">
      <w:bodyDiv w:val="1"/>
      <w:marLeft w:val="0"/>
      <w:marRight w:val="0"/>
      <w:marTop w:val="0"/>
      <w:marBottom w:val="0"/>
      <w:divBdr>
        <w:top w:val="none" w:sz="0" w:space="0" w:color="auto"/>
        <w:left w:val="none" w:sz="0" w:space="0" w:color="auto"/>
        <w:bottom w:val="none" w:sz="0" w:space="0" w:color="auto"/>
        <w:right w:val="none" w:sz="0" w:space="0" w:color="auto"/>
      </w:divBdr>
    </w:div>
    <w:div w:id="668483031">
      <w:bodyDiv w:val="1"/>
      <w:marLeft w:val="0"/>
      <w:marRight w:val="0"/>
      <w:marTop w:val="0"/>
      <w:marBottom w:val="0"/>
      <w:divBdr>
        <w:top w:val="none" w:sz="0" w:space="0" w:color="auto"/>
        <w:left w:val="none" w:sz="0" w:space="0" w:color="auto"/>
        <w:bottom w:val="none" w:sz="0" w:space="0" w:color="auto"/>
        <w:right w:val="none" w:sz="0" w:space="0" w:color="auto"/>
      </w:divBdr>
    </w:div>
    <w:div w:id="668867404">
      <w:bodyDiv w:val="1"/>
      <w:marLeft w:val="0"/>
      <w:marRight w:val="0"/>
      <w:marTop w:val="0"/>
      <w:marBottom w:val="0"/>
      <w:divBdr>
        <w:top w:val="none" w:sz="0" w:space="0" w:color="auto"/>
        <w:left w:val="none" w:sz="0" w:space="0" w:color="auto"/>
        <w:bottom w:val="none" w:sz="0" w:space="0" w:color="auto"/>
        <w:right w:val="none" w:sz="0" w:space="0" w:color="auto"/>
      </w:divBdr>
    </w:div>
    <w:div w:id="670723437">
      <w:bodyDiv w:val="1"/>
      <w:marLeft w:val="0"/>
      <w:marRight w:val="0"/>
      <w:marTop w:val="0"/>
      <w:marBottom w:val="0"/>
      <w:divBdr>
        <w:top w:val="none" w:sz="0" w:space="0" w:color="auto"/>
        <w:left w:val="none" w:sz="0" w:space="0" w:color="auto"/>
        <w:bottom w:val="none" w:sz="0" w:space="0" w:color="auto"/>
        <w:right w:val="none" w:sz="0" w:space="0" w:color="auto"/>
      </w:divBdr>
    </w:div>
    <w:div w:id="672613567">
      <w:bodyDiv w:val="1"/>
      <w:marLeft w:val="0"/>
      <w:marRight w:val="0"/>
      <w:marTop w:val="0"/>
      <w:marBottom w:val="0"/>
      <w:divBdr>
        <w:top w:val="none" w:sz="0" w:space="0" w:color="auto"/>
        <w:left w:val="none" w:sz="0" w:space="0" w:color="auto"/>
        <w:bottom w:val="none" w:sz="0" w:space="0" w:color="auto"/>
        <w:right w:val="none" w:sz="0" w:space="0" w:color="auto"/>
      </w:divBdr>
    </w:div>
    <w:div w:id="682367783">
      <w:bodyDiv w:val="1"/>
      <w:marLeft w:val="0"/>
      <w:marRight w:val="0"/>
      <w:marTop w:val="0"/>
      <w:marBottom w:val="0"/>
      <w:divBdr>
        <w:top w:val="none" w:sz="0" w:space="0" w:color="auto"/>
        <w:left w:val="none" w:sz="0" w:space="0" w:color="auto"/>
        <w:bottom w:val="none" w:sz="0" w:space="0" w:color="auto"/>
        <w:right w:val="none" w:sz="0" w:space="0" w:color="auto"/>
      </w:divBdr>
    </w:div>
    <w:div w:id="683433605">
      <w:bodyDiv w:val="1"/>
      <w:marLeft w:val="0"/>
      <w:marRight w:val="0"/>
      <w:marTop w:val="0"/>
      <w:marBottom w:val="0"/>
      <w:divBdr>
        <w:top w:val="none" w:sz="0" w:space="0" w:color="auto"/>
        <w:left w:val="none" w:sz="0" w:space="0" w:color="auto"/>
        <w:bottom w:val="none" w:sz="0" w:space="0" w:color="auto"/>
        <w:right w:val="none" w:sz="0" w:space="0" w:color="auto"/>
      </w:divBdr>
    </w:div>
    <w:div w:id="684864734">
      <w:bodyDiv w:val="1"/>
      <w:marLeft w:val="0"/>
      <w:marRight w:val="0"/>
      <w:marTop w:val="0"/>
      <w:marBottom w:val="0"/>
      <w:divBdr>
        <w:top w:val="none" w:sz="0" w:space="0" w:color="auto"/>
        <w:left w:val="none" w:sz="0" w:space="0" w:color="auto"/>
        <w:bottom w:val="none" w:sz="0" w:space="0" w:color="auto"/>
        <w:right w:val="none" w:sz="0" w:space="0" w:color="auto"/>
      </w:divBdr>
    </w:div>
    <w:div w:id="689456838">
      <w:bodyDiv w:val="1"/>
      <w:marLeft w:val="0"/>
      <w:marRight w:val="0"/>
      <w:marTop w:val="0"/>
      <w:marBottom w:val="0"/>
      <w:divBdr>
        <w:top w:val="none" w:sz="0" w:space="0" w:color="auto"/>
        <w:left w:val="none" w:sz="0" w:space="0" w:color="auto"/>
        <w:bottom w:val="none" w:sz="0" w:space="0" w:color="auto"/>
        <w:right w:val="none" w:sz="0" w:space="0" w:color="auto"/>
      </w:divBdr>
    </w:div>
    <w:div w:id="689523732">
      <w:bodyDiv w:val="1"/>
      <w:marLeft w:val="0"/>
      <w:marRight w:val="0"/>
      <w:marTop w:val="0"/>
      <w:marBottom w:val="0"/>
      <w:divBdr>
        <w:top w:val="none" w:sz="0" w:space="0" w:color="auto"/>
        <w:left w:val="none" w:sz="0" w:space="0" w:color="auto"/>
        <w:bottom w:val="none" w:sz="0" w:space="0" w:color="auto"/>
        <w:right w:val="none" w:sz="0" w:space="0" w:color="auto"/>
      </w:divBdr>
    </w:div>
    <w:div w:id="691222745">
      <w:bodyDiv w:val="1"/>
      <w:marLeft w:val="0"/>
      <w:marRight w:val="0"/>
      <w:marTop w:val="0"/>
      <w:marBottom w:val="0"/>
      <w:divBdr>
        <w:top w:val="none" w:sz="0" w:space="0" w:color="auto"/>
        <w:left w:val="none" w:sz="0" w:space="0" w:color="auto"/>
        <w:bottom w:val="none" w:sz="0" w:space="0" w:color="auto"/>
        <w:right w:val="none" w:sz="0" w:space="0" w:color="auto"/>
      </w:divBdr>
    </w:div>
    <w:div w:id="692073870">
      <w:bodyDiv w:val="1"/>
      <w:marLeft w:val="0"/>
      <w:marRight w:val="0"/>
      <w:marTop w:val="0"/>
      <w:marBottom w:val="0"/>
      <w:divBdr>
        <w:top w:val="none" w:sz="0" w:space="0" w:color="auto"/>
        <w:left w:val="none" w:sz="0" w:space="0" w:color="auto"/>
        <w:bottom w:val="none" w:sz="0" w:space="0" w:color="auto"/>
        <w:right w:val="none" w:sz="0" w:space="0" w:color="auto"/>
      </w:divBdr>
    </w:div>
    <w:div w:id="694114720">
      <w:bodyDiv w:val="1"/>
      <w:marLeft w:val="0"/>
      <w:marRight w:val="0"/>
      <w:marTop w:val="0"/>
      <w:marBottom w:val="0"/>
      <w:divBdr>
        <w:top w:val="none" w:sz="0" w:space="0" w:color="auto"/>
        <w:left w:val="none" w:sz="0" w:space="0" w:color="auto"/>
        <w:bottom w:val="none" w:sz="0" w:space="0" w:color="auto"/>
        <w:right w:val="none" w:sz="0" w:space="0" w:color="auto"/>
      </w:divBdr>
    </w:div>
    <w:div w:id="698121347">
      <w:bodyDiv w:val="1"/>
      <w:marLeft w:val="0"/>
      <w:marRight w:val="0"/>
      <w:marTop w:val="0"/>
      <w:marBottom w:val="0"/>
      <w:divBdr>
        <w:top w:val="none" w:sz="0" w:space="0" w:color="auto"/>
        <w:left w:val="none" w:sz="0" w:space="0" w:color="auto"/>
        <w:bottom w:val="none" w:sz="0" w:space="0" w:color="auto"/>
        <w:right w:val="none" w:sz="0" w:space="0" w:color="auto"/>
      </w:divBdr>
    </w:div>
    <w:div w:id="701132878">
      <w:bodyDiv w:val="1"/>
      <w:marLeft w:val="0"/>
      <w:marRight w:val="0"/>
      <w:marTop w:val="0"/>
      <w:marBottom w:val="0"/>
      <w:divBdr>
        <w:top w:val="none" w:sz="0" w:space="0" w:color="auto"/>
        <w:left w:val="none" w:sz="0" w:space="0" w:color="auto"/>
        <w:bottom w:val="none" w:sz="0" w:space="0" w:color="auto"/>
        <w:right w:val="none" w:sz="0" w:space="0" w:color="auto"/>
      </w:divBdr>
    </w:div>
    <w:div w:id="701902086">
      <w:bodyDiv w:val="1"/>
      <w:marLeft w:val="0"/>
      <w:marRight w:val="0"/>
      <w:marTop w:val="0"/>
      <w:marBottom w:val="0"/>
      <w:divBdr>
        <w:top w:val="none" w:sz="0" w:space="0" w:color="auto"/>
        <w:left w:val="none" w:sz="0" w:space="0" w:color="auto"/>
        <w:bottom w:val="none" w:sz="0" w:space="0" w:color="auto"/>
        <w:right w:val="none" w:sz="0" w:space="0" w:color="auto"/>
      </w:divBdr>
    </w:div>
    <w:div w:id="709498719">
      <w:bodyDiv w:val="1"/>
      <w:marLeft w:val="0"/>
      <w:marRight w:val="0"/>
      <w:marTop w:val="0"/>
      <w:marBottom w:val="0"/>
      <w:divBdr>
        <w:top w:val="none" w:sz="0" w:space="0" w:color="auto"/>
        <w:left w:val="none" w:sz="0" w:space="0" w:color="auto"/>
        <w:bottom w:val="none" w:sz="0" w:space="0" w:color="auto"/>
        <w:right w:val="none" w:sz="0" w:space="0" w:color="auto"/>
      </w:divBdr>
    </w:div>
    <w:div w:id="710568521">
      <w:bodyDiv w:val="1"/>
      <w:marLeft w:val="0"/>
      <w:marRight w:val="0"/>
      <w:marTop w:val="0"/>
      <w:marBottom w:val="0"/>
      <w:divBdr>
        <w:top w:val="none" w:sz="0" w:space="0" w:color="auto"/>
        <w:left w:val="none" w:sz="0" w:space="0" w:color="auto"/>
        <w:bottom w:val="none" w:sz="0" w:space="0" w:color="auto"/>
        <w:right w:val="none" w:sz="0" w:space="0" w:color="auto"/>
      </w:divBdr>
    </w:div>
    <w:div w:id="719401051">
      <w:bodyDiv w:val="1"/>
      <w:marLeft w:val="0"/>
      <w:marRight w:val="0"/>
      <w:marTop w:val="0"/>
      <w:marBottom w:val="0"/>
      <w:divBdr>
        <w:top w:val="none" w:sz="0" w:space="0" w:color="auto"/>
        <w:left w:val="none" w:sz="0" w:space="0" w:color="auto"/>
        <w:bottom w:val="none" w:sz="0" w:space="0" w:color="auto"/>
        <w:right w:val="none" w:sz="0" w:space="0" w:color="auto"/>
      </w:divBdr>
    </w:div>
    <w:div w:id="723061615">
      <w:bodyDiv w:val="1"/>
      <w:marLeft w:val="0"/>
      <w:marRight w:val="0"/>
      <w:marTop w:val="0"/>
      <w:marBottom w:val="0"/>
      <w:divBdr>
        <w:top w:val="none" w:sz="0" w:space="0" w:color="auto"/>
        <w:left w:val="none" w:sz="0" w:space="0" w:color="auto"/>
        <w:bottom w:val="none" w:sz="0" w:space="0" w:color="auto"/>
        <w:right w:val="none" w:sz="0" w:space="0" w:color="auto"/>
      </w:divBdr>
    </w:div>
    <w:div w:id="723064500">
      <w:bodyDiv w:val="1"/>
      <w:marLeft w:val="0"/>
      <w:marRight w:val="0"/>
      <w:marTop w:val="0"/>
      <w:marBottom w:val="0"/>
      <w:divBdr>
        <w:top w:val="none" w:sz="0" w:space="0" w:color="auto"/>
        <w:left w:val="none" w:sz="0" w:space="0" w:color="auto"/>
        <w:bottom w:val="none" w:sz="0" w:space="0" w:color="auto"/>
        <w:right w:val="none" w:sz="0" w:space="0" w:color="auto"/>
      </w:divBdr>
    </w:div>
    <w:div w:id="723674821">
      <w:bodyDiv w:val="1"/>
      <w:marLeft w:val="0"/>
      <w:marRight w:val="0"/>
      <w:marTop w:val="0"/>
      <w:marBottom w:val="0"/>
      <w:divBdr>
        <w:top w:val="none" w:sz="0" w:space="0" w:color="auto"/>
        <w:left w:val="none" w:sz="0" w:space="0" w:color="auto"/>
        <w:bottom w:val="none" w:sz="0" w:space="0" w:color="auto"/>
        <w:right w:val="none" w:sz="0" w:space="0" w:color="auto"/>
      </w:divBdr>
    </w:div>
    <w:div w:id="723912026">
      <w:bodyDiv w:val="1"/>
      <w:marLeft w:val="0"/>
      <w:marRight w:val="0"/>
      <w:marTop w:val="0"/>
      <w:marBottom w:val="0"/>
      <w:divBdr>
        <w:top w:val="none" w:sz="0" w:space="0" w:color="auto"/>
        <w:left w:val="none" w:sz="0" w:space="0" w:color="auto"/>
        <w:bottom w:val="none" w:sz="0" w:space="0" w:color="auto"/>
        <w:right w:val="none" w:sz="0" w:space="0" w:color="auto"/>
      </w:divBdr>
    </w:div>
    <w:div w:id="737900967">
      <w:bodyDiv w:val="1"/>
      <w:marLeft w:val="0"/>
      <w:marRight w:val="0"/>
      <w:marTop w:val="0"/>
      <w:marBottom w:val="0"/>
      <w:divBdr>
        <w:top w:val="none" w:sz="0" w:space="0" w:color="auto"/>
        <w:left w:val="none" w:sz="0" w:space="0" w:color="auto"/>
        <w:bottom w:val="none" w:sz="0" w:space="0" w:color="auto"/>
        <w:right w:val="none" w:sz="0" w:space="0" w:color="auto"/>
      </w:divBdr>
    </w:div>
    <w:div w:id="738210800">
      <w:bodyDiv w:val="1"/>
      <w:marLeft w:val="0"/>
      <w:marRight w:val="0"/>
      <w:marTop w:val="0"/>
      <w:marBottom w:val="0"/>
      <w:divBdr>
        <w:top w:val="none" w:sz="0" w:space="0" w:color="auto"/>
        <w:left w:val="none" w:sz="0" w:space="0" w:color="auto"/>
        <w:bottom w:val="none" w:sz="0" w:space="0" w:color="auto"/>
        <w:right w:val="none" w:sz="0" w:space="0" w:color="auto"/>
      </w:divBdr>
    </w:div>
    <w:div w:id="738791864">
      <w:bodyDiv w:val="1"/>
      <w:marLeft w:val="0"/>
      <w:marRight w:val="0"/>
      <w:marTop w:val="0"/>
      <w:marBottom w:val="0"/>
      <w:divBdr>
        <w:top w:val="none" w:sz="0" w:space="0" w:color="auto"/>
        <w:left w:val="none" w:sz="0" w:space="0" w:color="auto"/>
        <w:bottom w:val="none" w:sz="0" w:space="0" w:color="auto"/>
        <w:right w:val="none" w:sz="0" w:space="0" w:color="auto"/>
      </w:divBdr>
    </w:div>
    <w:div w:id="738986539">
      <w:bodyDiv w:val="1"/>
      <w:marLeft w:val="0"/>
      <w:marRight w:val="0"/>
      <w:marTop w:val="0"/>
      <w:marBottom w:val="0"/>
      <w:divBdr>
        <w:top w:val="none" w:sz="0" w:space="0" w:color="auto"/>
        <w:left w:val="none" w:sz="0" w:space="0" w:color="auto"/>
        <w:bottom w:val="none" w:sz="0" w:space="0" w:color="auto"/>
        <w:right w:val="none" w:sz="0" w:space="0" w:color="auto"/>
      </w:divBdr>
    </w:div>
    <w:div w:id="742143795">
      <w:bodyDiv w:val="1"/>
      <w:marLeft w:val="0"/>
      <w:marRight w:val="0"/>
      <w:marTop w:val="0"/>
      <w:marBottom w:val="0"/>
      <w:divBdr>
        <w:top w:val="none" w:sz="0" w:space="0" w:color="auto"/>
        <w:left w:val="none" w:sz="0" w:space="0" w:color="auto"/>
        <w:bottom w:val="none" w:sz="0" w:space="0" w:color="auto"/>
        <w:right w:val="none" w:sz="0" w:space="0" w:color="auto"/>
      </w:divBdr>
    </w:div>
    <w:div w:id="755635823">
      <w:bodyDiv w:val="1"/>
      <w:marLeft w:val="0"/>
      <w:marRight w:val="0"/>
      <w:marTop w:val="0"/>
      <w:marBottom w:val="0"/>
      <w:divBdr>
        <w:top w:val="none" w:sz="0" w:space="0" w:color="auto"/>
        <w:left w:val="none" w:sz="0" w:space="0" w:color="auto"/>
        <w:bottom w:val="none" w:sz="0" w:space="0" w:color="auto"/>
        <w:right w:val="none" w:sz="0" w:space="0" w:color="auto"/>
      </w:divBdr>
    </w:div>
    <w:div w:id="761294547">
      <w:bodyDiv w:val="1"/>
      <w:marLeft w:val="0"/>
      <w:marRight w:val="0"/>
      <w:marTop w:val="0"/>
      <w:marBottom w:val="0"/>
      <w:divBdr>
        <w:top w:val="none" w:sz="0" w:space="0" w:color="auto"/>
        <w:left w:val="none" w:sz="0" w:space="0" w:color="auto"/>
        <w:bottom w:val="none" w:sz="0" w:space="0" w:color="auto"/>
        <w:right w:val="none" w:sz="0" w:space="0" w:color="auto"/>
      </w:divBdr>
    </w:div>
    <w:div w:id="763841408">
      <w:bodyDiv w:val="1"/>
      <w:marLeft w:val="0"/>
      <w:marRight w:val="0"/>
      <w:marTop w:val="0"/>
      <w:marBottom w:val="0"/>
      <w:divBdr>
        <w:top w:val="none" w:sz="0" w:space="0" w:color="auto"/>
        <w:left w:val="none" w:sz="0" w:space="0" w:color="auto"/>
        <w:bottom w:val="none" w:sz="0" w:space="0" w:color="auto"/>
        <w:right w:val="none" w:sz="0" w:space="0" w:color="auto"/>
      </w:divBdr>
    </w:div>
    <w:div w:id="767503270">
      <w:bodyDiv w:val="1"/>
      <w:marLeft w:val="0"/>
      <w:marRight w:val="0"/>
      <w:marTop w:val="0"/>
      <w:marBottom w:val="0"/>
      <w:divBdr>
        <w:top w:val="none" w:sz="0" w:space="0" w:color="auto"/>
        <w:left w:val="none" w:sz="0" w:space="0" w:color="auto"/>
        <w:bottom w:val="none" w:sz="0" w:space="0" w:color="auto"/>
        <w:right w:val="none" w:sz="0" w:space="0" w:color="auto"/>
      </w:divBdr>
    </w:div>
    <w:div w:id="772213840">
      <w:bodyDiv w:val="1"/>
      <w:marLeft w:val="0"/>
      <w:marRight w:val="0"/>
      <w:marTop w:val="0"/>
      <w:marBottom w:val="0"/>
      <w:divBdr>
        <w:top w:val="none" w:sz="0" w:space="0" w:color="auto"/>
        <w:left w:val="none" w:sz="0" w:space="0" w:color="auto"/>
        <w:bottom w:val="none" w:sz="0" w:space="0" w:color="auto"/>
        <w:right w:val="none" w:sz="0" w:space="0" w:color="auto"/>
      </w:divBdr>
    </w:div>
    <w:div w:id="782381537">
      <w:bodyDiv w:val="1"/>
      <w:marLeft w:val="0"/>
      <w:marRight w:val="0"/>
      <w:marTop w:val="0"/>
      <w:marBottom w:val="0"/>
      <w:divBdr>
        <w:top w:val="none" w:sz="0" w:space="0" w:color="auto"/>
        <w:left w:val="none" w:sz="0" w:space="0" w:color="auto"/>
        <w:bottom w:val="none" w:sz="0" w:space="0" w:color="auto"/>
        <w:right w:val="none" w:sz="0" w:space="0" w:color="auto"/>
      </w:divBdr>
    </w:div>
    <w:div w:id="783039230">
      <w:bodyDiv w:val="1"/>
      <w:marLeft w:val="0"/>
      <w:marRight w:val="0"/>
      <w:marTop w:val="0"/>
      <w:marBottom w:val="0"/>
      <w:divBdr>
        <w:top w:val="none" w:sz="0" w:space="0" w:color="auto"/>
        <w:left w:val="none" w:sz="0" w:space="0" w:color="auto"/>
        <w:bottom w:val="none" w:sz="0" w:space="0" w:color="auto"/>
        <w:right w:val="none" w:sz="0" w:space="0" w:color="auto"/>
      </w:divBdr>
    </w:div>
    <w:div w:id="783615747">
      <w:bodyDiv w:val="1"/>
      <w:marLeft w:val="0"/>
      <w:marRight w:val="0"/>
      <w:marTop w:val="0"/>
      <w:marBottom w:val="0"/>
      <w:divBdr>
        <w:top w:val="none" w:sz="0" w:space="0" w:color="auto"/>
        <w:left w:val="none" w:sz="0" w:space="0" w:color="auto"/>
        <w:bottom w:val="none" w:sz="0" w:space="0" w:color="auto"/>
        <w:right w:val="none" w:sz="0" w:space="0" w:color="auto"/>
      </w:divBdr>
    </w:div>
    <w:div w:id="785345752">
      <w:bodyDiv w:val="1"/>
      <w:marLeft w:val="0"/>
      <w:marRight w:val="0"/>
      <w:marTop w:val="0"/>
      <w:marBottom w:val="0"/>
      <w:divBdr>
        <w:top w:val="none" w:sz="0" w:space="0" w:color="auto"/>
        <w:left w:val="none" w:sz="0" w:space="0" w:color="auto"/>
        <w:bottom w:val="none" w:sz="0" w:space="0" w:color="auto"/>
        <w:right w:val="none" w:sz="0" w:space="0" w:color="auto"/>
      </w:divBdr>
    </w:div>
    <w:div w:id="790250353">
      <w:bodyDiv w:val="1"/>
      <w:marLeft w:val="0"/>
      <w:marRight w:val="0"/>
      <w:marTop w:val="0"/>
      <w:marBottom w:val="0"/>
      <w:divBdr>
        <w:top w:val="none" w:sz="0" w:space="0" w:color="auto"/>
        <w:left w:val="none" w:sz="0" w:space="0" w:color="auto"/>
        <w:bottom w:val="none" w:sz="0" w:space="0" w:color="auto"/>
        <w:right w:val="none" w:sz="0" w:space="0" w:color="auto"/>
      </w:divBdr>
    </w:div>
    <w:div w:id="801774934">
      <w:bodyDiv w:val="1"/>
      <w:marLeft w:val="0"/>
      <w:marRight w:val="0"/>
      <w:marTop w:val="0"/>
      <w:marBottom w:val="0"/>
      <w:divBdr>
        <w:top w:val="none" w:sz="0" w:space="0" w:color="auto"/>
        <w:left w:val="none" w:sz="0" w:space="0" w:color="auto"/>
        <w:bottom w:val="none" w:sz="0" w:space="0" w:color="auto"/>
        <w:right w:val="none" w:sz="0" w:space="0" w:color="auto"/>
      </w:divBdr>
    </w:div>
    <w:div w:id="801923729">
      <w:bodyDiv w:val="1"/>
      <w:marLeft w:val="0"/>
      <w:marRight w:val="0"/>
      <w:marTop w:val="0"/>
      <w:marBottom w:val="0"/>
      <w:divBdr>
        <w:top w:val="none" w:sz="0" w:space="0" w:color="auto"/>
        <w:left w:val="none" w:sz="0" w:space="0" w:color="auto"/>
        <w:bottom w:val="none" w:sz="0" w:space="0" w:color="auto"/>
        <w:right w:val="none" w:sz="0" w:space="0" w:color="auto"/>
      </w:divBdr>
    </w:div>
    <w:div w:id="820077135">
      <w:bodyDiv w:val="1"/>
      <w:marLeft w:val="0"/>
      <w:marRight w:val="0"/>
      <w:marTop w:val="0"/>
      <w:marBottom w:val="0"/>
      <w:divBdr>
        <w:top w:val="none" w:sz="0" w:space="0" w:color="auto"/>
        <w:left w:val="none" w:sz="0" w:space="0" w:color="auto"/>
        <w:bottom w:val="none" w:sz="0" w:space="0" w:color="auto"/>
        <w:right w:val="none" w:sz="0" w:space="0" w:color="auto"/>
      </w:divBdr>
    </w:div>
    <w:div w:id="823591045">
      <w:bodyDiv w:val="1"/>
      <w:marLeft w:val="0"/>
      <w:marRight w:val="0"/>
      <w:marTop w:val="0"/>
      <w:marBottom w:val="0"/>
      <w:divBdr>
        <w:top w:val="none" w:sz="0" w:space="0" w:color="auto"/>
        <w:left w:val="none" w:sz="0" w:space="0" w:color="auto"/>
        <w:bottom w:val="none" w:sz="0" w:space="0" w:color="auto"/>
        <w:right w:val="none" w:sz="0" w:space="0" w:color="auto"/>
      </w:divBdr>
    </w:div>
    <w:div w:id="824661085">
      <w:bodyDiv w:val="1"/>
      <w:marLeft w:val="0"/>
      <w:marRight w:val="0"/>
      <w:marTop w:val="0"/>
      <w:marBottom w:val="0"/>
      <w:divBdr>
        <w:top w:val="none" w:sz="0" w:space="0" w:color="auto"/>
        <w:left w:val="none" w:sz="0" w:space="0" w:color="auto"/>
        <w:bottom w:val="none" w:sz="0" w:space="0" w:color="auto"/>
        <w:right w:val="none" w:sz="0" w:space="0" w:color="auto"/>
      </w:divBdr>
    </w:div>
    <w:div w:id="829948379">
      <w:bodyDiv w:val="1"/>
      <w:marLeft w:val="0"/>
      <w:marRight w:val="0"/>
      <w:marTop w:val="0"/>
      <w:marBottom w:val="0"/>
      <w:divBdr>
        <w:top w:val="none" w:sz="0" w:space="0" w:color="auto"/>
        <w:left w:val="none" w:sz="0" w:space="0" w:color="auto"/>
        <w:bottom w:val="none" w:sz="0" w:space="0" w:color="auto"/>
        <w:right w:val="none" w:sz="0" w:space="0" w:color="auto"/>
      </w:divBdr>
    </w:div>
    <w:div w:id="830295796">
      <w:bodyDiv w:val="1"/>
      <w:marLeft w:val="0"/>
      <w:marRight w:val="0"/>
      <w:marTop w:val="0"/>
      <w:marBottom w:val="0"/>
      <w:divBdr>
        <w:top w:val="none" w:sz="0" w:space="0" w:color="auto"/>
        <w:left w:val="none" w:sz="0" w:space="0" w:color="auto"/>
        <w:bottom w:val="none" w:sz="0" w:space="0" w:color="auto"/>
        <w:right w:val="none" w:sz="0" w:space="0" w:color="auto"/>
      </w:divBdr>
    </w:div>
    <w:div w:id="830682782">
      <w:bodyDiv w:val="1"/>
      <w:marLeft w:val="0"/>
      <w:marRight w:val="0"/>
      <w:marTop w:val="0"/>
      <w:marBottom w:val="0"/>
      <w:divBdr>
        <w:top w:val="none" w:sz="0" w:space="0" w:color="auto"/>
        <w:left w:val="none" w:sz="0" w:space="0" w:color="auto"/>
        <w:bottom w:val="none" w:sz="0" w:space="0" w:color="auto"/>
        <w:right w:val="none" w:sz="0" w:space="0" w:color="auto"/>
      </w:divBdr>
    </w:div>
    <w:div w:id="832262798">
      <w:bodyDiv w:val="1"/>
      <w:marLeft w:val="0"/>
      <w:marRight w:val="0"/>
      <w:marTop w:val="0"/>
      <w:marBottom w:val="0"/>
      <w:divBdr>
        <w:top w:val="none" w:sz="0" w:space="0" w:color="auto"/>
        <w:left w:val="none" w:sz="0" w:space="0" w:color="auto"/>
        <w:bottom w:val="none" w:sz="0" w:space="0" w:color="auto"/>
        <w:right w:val="none" w:sz="0" w:space="0" w:color="auto"/>
      </w:divBdr>
    </w:div>
    <w:div w:id="844519383">
      <w:bodyDiv w:val="1"/>
      <w:marLeft w:val="0"/>
      <w:marRight w:val="0"/>
      <w:marTop w:val="0"/>
      <w:marBottom w:val="0"/>
      <w:divBdr>
        <w:top w:val="none" w:sz="0" w:space="0" w:color="auto"/>
        <w:left w:val="none" w:sz="0" w:space="0" w:color="auto"/>
        <w:bottom w:val="none" w:sz="0" w:space="0" w:color="auto"/>
        <w:right w:val="none" w:sz="0" w:space="0" w:color="auto"/>
      </w:divBdr>
    </w:div>
    <w:div w:id="849830537">
      <w:bodyDiv w:val="1"/>
      <w:marLeft w:val="0"/>
      <w:marRight w:val="0"/>
      <w:marTop w:val="0"/>
      <w:marBottom w:val="0"/>
      <w:divBdr>
        <w:top w:val="none" w:sz="0" w:space="0" w:color="auto"/>
        <w:left w:val="none" w:sz="0" w:space="0" w:color="auto"/>
        <w:bottom w:val="none" w:sz="0" w:space="0" w:color="auto"/>
        <w:right w:val="none" w:sz="0" w:space="0" w:color="auto"/>
      </w:divBdr>
    </w:div>
    <w:div w:id="853038273">
      <w:bodyDiv w:val="1"/>
      <w:marLeft w:val="0"/>
      <w:marRight w:val="0"/>
      <w:marTop w:val="0"/>
      <w:marBottom w:val="0"/>
      <w:divBdr>
        <w:top w:val="none" w:sz="0" w:space="0" w:color="auto"/>
        <w:left w:val="none" w:sz="0" w:space="0" w:color="auto"/>
        <w:bottom w:val="none" w:sz="0" w:space="0" w:color="auto"/>
        <w:right w:val="none" w:sz="0" w:space="0" w:color="auto"/>
      </w:divBdr>
    </w:div>
    <w:div w:id="873226761">
      <w:bodyDiv w:val="1"/>
      <w:marLeft w:val="0"/>
      <w:marRight w:val="0"/>
      <w:marTop w:val="0"/>
      <w:marBottom w:val="0"/>
      <w:divBdr>
        <w:top w:val="none" w:sz="0" w:space="0" w:color="auto"/>
        <w:left w:val="none" w:sz="0" w:space="0" w:color="auto"/>
        <w:bottom w:val="none" w:sz="0" w:space="0" w:color="auto"/>
        <w:right w:val="none" w:sz="0" w:space="0" w:color="auto"/>
      </w:divBdr>
    </w:div>
    <w:div w:id="880169882">
      <w:bodyDiv w:val="1"/>
      <w:marLeft w:val="0"/>
      <w:marRight w:val="0"/>
      <w:marTop w:val="0"/>
      <w:marBottom w:val="0"/>
      <w:divBdr>
        <w:top w:val="none" w:sz="0" w:space="0" w:color="auto"/>
        <w:left w:val="none" w:sz="0" w:space="0" w:color="auto"/>
        <w:bottom w:val="none" w:sz="0" w:space="0" w:color="auto"/>
        <w:right w:val="none" w:sz="0" w:space="0" w:color="auto"/>
      </w:divBdr>
    </w:div>
    <w:div w:id="884876604">
      <w:bodyDiv w:val="1"/>
      <w:marLeft w:val="0"/>
      <w:marRight w:val="0"/>
      <w:marTop w:val="0"/>
      <w:marBottom w:val="0"/>
      <w:divBdr>
        <w:top w:val="none" w:sz="0" w:space="0" w:color="auto"/>
        <w:left w:val="none" w:sz="0" w:space="0" w:color="auto"/>
        <w:bottom w:val="none" w:sz="0" w:space="0" w:color="auto"/>
        <w:right w:val="none" w:sz="0" w:space="0" w:color="auto"/>
      </w:divBdr>
    </w:div>
    <w:div w:id="885525304">
      <w:bodyDiv w:val="1"/>
      <w:marLeft w:val="0"/>
      <w:marRight w:val="0"/>
      <w:marTop w:val="0"/>
      <w:marBottom w:val="0"/>
      <w:divBdr>
        <w:top w:val="none" w:sz="0" w:space="0" w:color="auto"/>
        <w:left w:val="none" w:sz="0" w:space="0" w:color="auto"/>
        <w:bottom w:val="none" w:sz="0" w:space="0" w:color="auto"/>
        <w:right w:val="none" w:sz="0" w:space="0" w:color="auto"/>
      </w:divBdr>
    </w:div>
    <w:div w:id="893853480">
      <w:bodyDiv w:val="1"/>
      <w:marLeft w:val="0"/>
      <w:marRight w:val="0"/>
      <w:marTop w:val="0"/>
      <w:marBottom w:val="0"/>
      <w:divBdr>
        <w:top w:val="none" w:sz="0" w:space="0" w:color="auto"/>
        <w:left w:val="none" w:sz="0" w:space="0" w:color="auto"/>
        <w:bottom w:val="none" w:sz="0" w:space="0" w:color="auto"/>
        <w:right w:val="none" w:sz="0" w:space="0" w:color="auto"/>
      </w:divBdr>
    </w:div>
    <w:div w:id="899752369">
      <w:bodyDiv w:val="1"/>
      <w:marLeft w:val="0"/>
      <w:marRight w:val="0"/>
      <w:marTop w:val="0"/>
      <w:marBottom w:val="0"/>
      <w:divBdr>
        <w:top w:val="none" w:sz="0" w:space="0" w:color="auto"/>
        <w:left w:val="none" w:sz="0" w:space="0" w:color="auto"/>
        <w:bottom w:val="none" w:sz="0" w:space="0" w:color="auto"/>
        <w:right w:val="none" w:sz="0" w:space="0" w:color="auto"/>
      </w:divBdr>
    </w:div>
    <w:div w:id="900284468">
      <w:bodyDiv w:val="1"/>
      <w:marLeft w:val="0"/>
      <w:marRight w:val="0"/>
      <w:marTop w:val="0"/>
      <w:marBottom w:val="0"/>
      <w:divBdr>
        <w:top w:val="none" w:sz="0" w:space="0" w:color="auto"/>
        <w:left w:val="none" w:sz="0" w:space="0" w:color="auto"/>
        <w:bottom w:val="none" w:sz="0" w:space="0" w:color="auto"/>
        <w:right w:val="none" w:sz="0" w:space="0" w:color="auto"/>
      </w:divBdr>
    </w:div>
    <w:div w:id="911888787">
      <w:bodyDiv w:val="1"/>
      <w:marLeft w:val="0"/>
      <w:marRight w:val="0"/>
      <w:marTop w:val="0"/>
      <w:marBottom w:val="0"/>
      <w:divBdr>
        <w:top w:val="none" w:sz="0" w:space="0" w:color="auto"/>
        <w:left w:val="none" w:sz="0" w:space="0" w:color="auto"/>
        <w:bottom w:val="none" w:sz="0" w:space="0" w:color="auto"/>
        <w:right w:val="none" w:sz="0" w:space="0" w:color="auto"/>
      </w:divBdr>
    </w:div>
    <w:div w:id="912548997">
      <w:bodyDiv w:val="1"/>
      <w:marLeft w:val="0"/>
      <w:marRight w:val="0"/>
      <w:marTop w:val="0"/>
      <w:marBottom w:val="0"/>
      <w:divBdr>
        <w:top w:val="none" w:sz="0" w:space="0" w:color="auto"/>
        <w:left w:val="none" w:sz="0" w:space="0" w:color="auto"/>
        <w:bottom w:val="none" w:sz="0" w:space="0" w:color="auto"/>
        <w:right w:val="none" w:sz="0" w:space="0" w:color="auto"/>
      </w:divBdr>
    </w:div>
    <w:div w:id="928149753">
      <w:bodyDiv w:val="1"/>
      <w:marLeft w:val="0"/>
      <w:marRight w:val="0"/>
      <w:marTop w:val="0"/>
      <w:marBottom w:val="0"/>
      <w:divBdr>
        <w:top w:val="none" w:sz="0" w:space="0" w:color="auto"/>
        <w:left w:val="none" w:sz="0" w:space="0" w:color="auto"/>
        <w:bottom w:val="none" w:sz="0" w:space="0" w:color="auto"/>
        <w:right w:val="none" w:sz="0" w:space="0" w:color="auto"/>
      </w:divBdr>
    </w:div>
    <w:div w:id="929660084">
      <w:bodyDiv w:val="1"/>
      <w:marLeft w:val="0"/>
      <w:marRight w:val="0"/>
      <w:marTop w:val="0"/>
      <w:marBottom w:val="0"/>
      <w:divBdr>
        <w:top w:val="none" w:sz="0" w:space="0" w:color="auto"/>
        <w:left w:val="none" w:sz="0" w:space="0" w:color="auto"/>
        <w:bottom w:val="none" w:sz="0" w:space="0" w:color="auto"/>
        <w:right w:val="none" w:sz="0" w:space="0" w:color="auto"/>
      </w:divBdr>
    </w:div>
    <w:div w:id="931161306">
      <w:bodyDiv w:val="1"/>
      <w:marLeft w:val="0"/>
      <w:marRight w:val="0"/>
      <w:marTop w:val="0"/>
      <w:marBottom w:val="0"/>
      <w:divBdr>
        <w:top w:val="none" w:sz="0" w:space="0" w:color="auto"/>
        <w:left w:val="none" w:sz="0" w:space="0" w:color="auto"/>
        <w:bottom w:val="none" w:sz="0" w:space="0" w:color="auto"/>
        <w:right w:val="none" w:sz="0" w:space="0" w:color="auto"/>
      </w:divBdr>
    </w:div>
    <w:div w:id="932929928">
      <w:bodyDiv w:val="1"/>
      <w:marLeft w:val="0"/>
      <w:marRight w:val="0"/>
      <w:marTop w:val="0"/>
      <w:marBottom w:val="0"/>
      <w:divBdr>
        <w:top w:val="none" w:sz="0" w:space="0" w:color="auto"/>
        <w:left w:val="none" w:sz="0" w:space="0" w:color="auto"/>
        <w:bottom w:val="none" w:sz="0" w:space="0" w:color="auto"/>
        <w:right w:val="none" w:sz="0" w:space="0" w:color="auto"/>
      </w:divBdr>
    </w:div>
    <w:div w:id="936979412">
      <w:bodyDiv w:val="1"/>
      <w:marLeft w:val="0"/>
      <w:marRight w:val="0"/>
      <w:marTop w:val="0"/>
      <w:marBottom w:val="0"/>
      <w:divBdr>
        <w:top w:val="none" w:sz="0" w:space="0" w:color="auto"/>
        <w:left w:val="none" w:sz="0" w:space="0" w:color="auto"/>
        <w:bottom w:val="none" w:sz="0" w:space="0" w:color="auto"/>
        <w:right w:val="none" w:sz="0" w:space="0" w:color="auto"/>
      </w:divBdr>
    </w:div>
    <w:div w:id="958027310">
      <w:bodyDiv w:val="1"/>
      <w:marLeft w:val="0"/>
      <w:marRight w:val="0"/>
      <w:marTop w:val="0"/>
      <w:marBottom w:val="0"/>
      <w:divBdr>
        <w:top w:val="none" w:sz="0" w:space="0" w:color="auto"/>
        <w:left w:val="none" w:sz="0" w:space="0" w:color="auto"/>
        <w:bottom w:val="none" w:sz="0" w:space="0" w:color="auto"/>
        <w:right w:val="none" w:sz="0" w:space="0" w:color="auto"/>
      </w:divBdr>
    </w:div>
    <w:div w:id="958874031">
      <w:bodyDiv w:val="1"/>
      <w:marLeft w:val="0"/>
      <w:marRight w:val="0"/>
      <w:marTop w:val="0"/>
      <w:marBottom w:val="0"/>
      <w:divBdr>
        <w:top w:val="none" w:sz="0" w:space="0" w:color="auto"/>
        <w:left w:val="none" w:sz="0" w:space="0" w:color="auto"/>
        <w:bottom w:val="none" w:sz="0" w:space="0" w:color="auto"/>
        <w:right w:val="none" w:sz="0" w:space="0" w:color="auto"/>
      </w:divBdr>
    </w:div>
    <w:div w:id="960569161">
      <w:bodyDiv w:val="1"/>
      <w:marLeft w:val="0"/>
      <w:marRight w:val="0"/>
      <w:marTop w:val="0"/>
      <w:marBottom w:val="0"/>
      <w:divBdr>
        <w:top w:val="none" w:sz="0" w:space="0" w:color="auto"/>
        <w:left w:val="none" w:sz="0" w:space="0" w:color="auto"/>
        <w:bottom w:val="none" w:sz="0" w:space="0" w:color="auto"/>
        <w:right w:val="none" w:sz="0" w:space="0" w:color="auto"/>
      </w:divBdr>
    </w:div>
    <w:div w:id="989674013">
      <w:bodyDiv w:val="1"/>
      <w:marLeft w:val="0"/>
      <w:marRight w:val="0"/>
      <w:marTop w:val="0"/>
      <w:marBottom w:val="0"/>
      <w:divBdr>
        <w:top w:val="none" w:sz="0" w:space="0" w:color="auto"/>
        <w:left w:val="none" w:sz="0" w:space="0" w:color="auto"/>
        <w:bottom w:val="none" w:sz="0" w:space="0" w:color="auto"/>
        <w:right w:val="none" w:sz="0" w:space="0" w:color="auto"/>
      </w:divBdr>
    </w:div>
    <w:div w:id="991371833">
      <w:bodyDiv w:val="1"/>
      <w:marLeft w:val="0"/>
      <w:marRight w:val="0"/>
      <w:marTop w:val="0"/>
      <w:marBottom w:val="0"/>
      <w:divBdr>
        <w:top w:val="none" w:sz="0" w:space="0" w:color="auto"/>
        <w:left w:val="none" w:sz="0" w:space="0" w:color="auto"/>
        <w:bottom w:val="none" w:sz="0" w:space="0" w:color="auto"/>
        <w:right w:val="none" w:sz="0" w:space="0" w:color="auto"/>
      </w:divBdr>
    </w:div>
    <w:div w:id="994799691">
      <w:bodyDiv w:val="1"/>
      <w:marLeft w:val="0"/>
      <w:marRight w:val="0"/>
      <w:marTop w:val="0"/>
      <w:marBottom w:val="0"/>
      <w:divBdr>
        <w:top w:val="none" w:sz="0" w:space="0" w:color="auto"/>
        <w:left w:val="none" w:sz="0" w:space="0" w:color="auto"/>
        <w:bottom w:val="none" w:sz="0" w:space="0" w:color="auto"/>
        <w:right w:val="none" w:sz="0" w:space="0" w:color="auto"/>
      </w:divBdr>
    </w:div>
    <w:div w:id="1003167978">
      <w:bodyDiv w:val="1"/>
      <w:marLeft w:val="0"/>
      <w:marRight w:val="0"/>
      <w:marTop w:val="0"/>
      <w:marBottom w:val="0"/>
      <w:divBdr>
        <w:top w:val="none" w:sz="0" w:space="0" w:color="auto"/>
        <w:left w:val="none" w:sz="0" w:space="0" w:color="auto"/>
        <w:bottom w:val="none" w:sz="0" w:space="0" w:color="auto"/>
        <w:right w:val="none" w:sz="0" w:space="0" w:color="auto"/>
      </w:divBdr>
    </w:div>
    <w:div w:id="1006786419">
      <w:bodyDiv w:val="1"/>
      <w:marLeft w:val="0"/>
      <w:marRight w:val="0"/>
      <w:marTop w:val="0"/>
      <w:marBottom w:val="0"/>
      <w:divBdr>
        <w:top w:val="none" w:sz="0" w:space="0" w:color="auto"/>
        <w:left w:val="none" w:sz="0" w:space="0" w:color="auto"/>
        <w:bottom w:val="none" w:sz="0" w:space="0" w:color="auto"/>
        <w:right w:val="none" w:sz="0" w:space="0" w:color="auto"/>
      </w:divBdr>
    </w:div>
    <w:div w:id="1013268537">
      <w:bodyDiv w:val="1"/>
      <w:marLeft w:val="0"/>
      <w:marRight w:val="0"/>
      <w:marTop w:val="0"/>
      <w:marBottom w:val="0"/>
      <w:divBdr>
        <w:top w:val="none" w:sz="0" w:space="0" w:color="auto"/>
        <w:left w:val="none" w:sz="0" w:space="0" w:color="auto"/>
        <w:bottom w:val="none" w:sz="0" w:space="0" w:color="auto"/>
        <w:right w:val="none" w:sz="0" w:space="0" w:color="auto"/>
      </w:divBdr>
    </w:div>
    <w:div w:id="1015688784">
      <w:bodyDiv w:val="1"/>
      <w:marLeft w:val="0"/>
      <w:marRight w:val="0"/>
      <w:marTop w:val="0"/>
      <w:marBottom w:val="0"/>
      <w:divBdr>
        <w:top w:val="none" w:sz="0" w:space="0" w:color="auto"/>
        <w:left w:val="none" w:sz="0" w:space="0" w:color="auto"/>
        <w:bottom w:val="none" w:sz="0" w:space="0" w:color="auto"/>
        <w:right w:val="none" w:sz="0" w:space="0" w:color="auto"/>
      </w:divBdr>
    </w:div>
    <w:div w:id="1025711253">
      <w:bodyDiv w:val="1"/>
      <w:marLeft w:val="0"/>
      <w:marRight w:val="0"/>
      <w:marTop w:val="0"/>
      <w:marBottom w:val="0"/>
      <w:divBdr>
        <w:top w:val="none" w:sz="0" w:space="0" w:color="auto"/>
        <w:left w:val="none" w:sz="0" w:space="0" w:color="auto"/>
        <w:bottom w:val="none" w:sz="0" w:space="0" w:color="auto"/>
        <w:right w:val="none" w:sz="0" w:space="0" w:color="auto"/>
      </w:divBdr>
    </w:div>
    <w:div w:id="1026905366">
      <w:bodyDiv w:val="1"/>
      <w:marLeft w:val="0"/>
      <w:marRight w:val="0"/>
      <w:marTop w:val="0"/>
      <w:marBottom w:val="0"/>
      <w:divBdr>
        <w:top w:val="none" w:sz="0" w:space="0" w:color="auto"/>
        <w:left w:val="none" w:sz="0" w:space="0" w:color="auto"/>
        <w:bottom w:val="none" w:sz="0" w:space="0" w:color="auto"/>
        <w:right w:val="none" w:sz="0" w:space="0" w:color="auto"/>
      </w:divBdr>
    </w:div>
    <w:div w:id="1049651831">
      <w:bodyDiv w:val="1"/>
      <w:marLeft w:val="0"/>
      <w:marRight w:val="0"/>
      <w:marTop w:val="0"/>
      <w:marBottom w:val="0"/>
      <w:divBdr>
        <w:top w:val="none" w:sz="0" w:space="0" w:color="auto"/>
        <w:left w:val="none" w:sz="0" w:space="0" w:color="auto"/>
        <w:bottom w:val="none" w:sz="0" w:space="0" w:color="auto"/>
        <w:right w:val="none" w:sz="0" w:space="0" w:color="auto"/>
      </w:divBdr>
    </w:div>
    <w:div w:id="1058436064">
      <w:bodyDiv w:val="1"/>
      <w:marLeft w:val="0"/>
      <w:marRight w:val="0"/>
      <w:marTop w:val="0"/>
      <w:marBottom w:val="0"/>
      <w:divBdr>
        <w:top w:val="none" w:sz="0" w:space="0" w:color="auto"/>
        <w:left w:val="none" w:sz="0" w:space="0" w:color="auto"/>
        <w:bottom w:val="none" w:sz="0" w:space="0" w:color="auto"/>
        <w:right w:val="none" w:sz="0" w:space="0" w:color="auto"/>
      </w:divBdr>
    </w:div>
    <w:div w:id="1063870782">
      <w:bodyDiv w:val="1"/>
      <w:marLeft w:val="0"/>
      <w:marRight w:val="0"/>
      <w:marTop w:val="0"/>
      <w:marBottom w:val="0"/>
      <w:divBdr>
        <w:top w:val="none" w:sz="0" w:space="0" w:color="auto"/>
        <w:left w:val="none" w:sz="0" w:space="0" w:color="auto"/>
        <w:bottom w:val="none" w:sz="0" w:space="0" w:color="auto"/>
        <w:right w:val="none" w:sz="0" w:space="0" w:color="auto"/>
      </w:divBdr>
    </w:div>
    <w:div w:id="1073627488">
      <w:bodyDiv w:val="1"/>
      <w:marLeft w:val="0"/>
      <w:marRight w:val="0"/>
      <w:marTop w:val="0"/>
      <w:marBottom w:val="0"/>
      <w:divBdr>
        <w:top w:val="none" w:sz="0" w:space="0" w:color="auto"/>
        <w:left w:val="none" w:sz="0" w:space="0" w:color="auto"/>
        <w:bottom w:val="none" w:sz="0" w:space="0" w:color="auto"/>
        <w:right w:val="none" w:sz="0" w:space="0" w:color="auto"/>
      </w:divBdr>
    </w:div>
    <w:div w:id="1077482627">
      <w:bodyDiv w:val="1"/>
      <w:marLeft w:val="0"/>
      <w:marRight w:val="0"/>
      <w:marTop w:val="0"/>
      <w:marBottom w:val="0"/>
      <w:divBdr>
        <w:top w:val="none" w:sz="0" w:space="0" w:color="auto"/>
        <w:left w:val="none" w:sz="0" w:space="0" w:color="auto"/>
        <w:bottom w:val="none" w:sz="0" w:space="0" w:color="auto"/>
        <w:right w:val="none" w:sz="0" w:space="0" w:color="auto"/>
      </w:divBdr>
    </w:div>
    <w:div w:id="1078407409">
      <w:bodyDiv w:val="1"/>
      <w:marLeft w:val="0"/>
      <w:marRight w:val="0"/>
      <w:marTop w:val="0"/>
      <w:marBottom w:val="0"/>
      <w:divBdr>
        <w:top w:val="none" w:sz="0" w:space="0" w:color="auto"/>
        <w:left w:val="none" w:sz="0" w:space="0" w:color="auto"/>
        <w:bottom w:val="none" w:sz="0" w:space="0" w:color="auto"/>
        <w:right w:val="none" w:sz="0" w:space="0" w:color="auto"/>
      </w:divBdr>
    </w:div>
    <w:div w:id="1079329006">
      <w:bodyDiv w:val="1"/>
      <w:marLeft w:val="0"/>
      <w:marRight w:val="0"/>
      <w:marTop w:val="0"/>
      <w:marBottom w:val="0"/>
      <w:divBdr>
        <w:top w:val="none" w:sz="0" w:space="0" w:color="auto"/>
        <w:left w:val="none" w:sz="0" w:space="0" w:color="auto"/>
        <w:bottom w:val="none" w:sz="0" w:space="0" w:color="auto"/>
        <w:right w:val="none" w:sz="0" w:space="0" w:color="auto"/>
      </w:divBdr>
    </w:div>
    <w:div w:id="1081559743">
      <w:bodyDiv w:val="1"/>
      <w:marLeft w:val="0"/>
      <w:marRight w:val="0"/>
      <w:marTop w:val="0"/>
      <w:marBottom w:val="0"/>
      <w:divBdr>
        <w:top w:val="none" w:sz="0" w:space="0" w:color="auto"/>
        <w:left w:val="none" w:sz="0" w:space="0" w:color="auto"/>
        <w:bottom w:val="none" w:sz="0" w:space="0" w:color="auto"/>
        <w:right w:val="none" w:sz="0" w:space="0" w:color="auto"/>
      </w:divBdr>
    </w:div>
    <w:div w:id="1083450295">
      <w:bodyDiv w:val="1"/>
      <w:marLeft w:val="0"/>
      <w:marRight w:val="0"/>
      <w:marTop w:val="0"/>
      <w:marBottom w:val="0"/>
      <w:divBdr>
        <w:top w:val="none" w:sz="0" w:space="0" w:color="auto"/>
        <w:left w:val="none" w:sz="0" w:space="0" w:color="auto"/>
        <w:bottom w:val="none" w:sz="0" w:space="0" w:color="auto"/>
        <w:right w:val="none" w:sz="0" w:space="0" w:color="auto"/>
      </w:divBdr>
    </w:div>
    <w:div w:id="1087000310">
      <w:bodyDiv w:val="1"/>
      <w:marLeft w:val="0"/>
      <w:marRight w:val="0"/>
      <w:marTop w:val="0"/>
      <w:marBottom w:val="0"/>
      <w:divBdr>
        <w:top w:val="none" w:sz="0" w:space="0" w:color="auto"/>
        <w:left w:val="none" w:sz="0" w:space="0" w:color="auto"/>
        <w:bottom w:val="none" w:sz="0" w:space="0" w:color="auto"/>
        <w:right w:val="none" w:sz="0" w:space="0" w:color="auto"/>
      </w:divBdr>
    </w:div>
    <w:div w:id="1096318256">
      <w:bodyDiv w:val="1"/>
      <w:marLeft w:val="0"/>
      <w:marRight w:val="0"/>
      <w:marTop w:val="0"/>
      <w:marBottom w:val="0"/>
      <w:divBdr>
        <w:top w:val="none" w:sz="0" w:space="0" w:color="auto"/>
        <w:left w:val="none" w:sz="0" w:space="0" w:color="auto"/>
        <w:bottom w:val="none" w:sz="0" w:space="0" w:color="auto"/>
        <w:right w:val="none" w:sz="0" w:space="0" w:color="auto"/>
      </w:divBdr>
    </w:div>
    <w:div w:id="1103842140">
      <w:bodyDiv w:val="1"/>
      <w:marLeft w:val="0"/>
      <w:marRight w:val="0"/>
      <w:marTop w:val="0"/>
      <w:marBottom w:val="0"/>
      <w:divBdr>
        <w:top w:val="none" w:sz="0" w:space="0" w:color="auto"/>
        <w:left w:val="none" w:sz="0" w:space="0" w:color="auto"/>
        <w:bottom w:val="none" w:sz="0" w:space="0" w:color="auto"/>
        <w:right w:val="none" w:sz="0" w:space="0" w:color="auto"/>
      </w:divBdr>
    </w:div>
    <w:div w:id="1104421661">
      <w:bodyDiv w:val="1"/>
      <w:marLeft w:val="0"/>
      <w:marRight w:val="0"/>
      <w:marTop w:val="0"/>
      <w:marBottom w:val="0"/>
      <w:divBdr>
        <w:top w:val="none" w:sz="0" w:space="0" w:color="auto"/>
        <w:left w:val="none" w:sz="0" w:space="0" w:color="auto"/>
        <w:bottom w:val="none" w:sz="0" w:space="0" w:color="auto"/>
        <w:right w:val="none" w:sz="0" w:space="0" w:color="auto"/>
      </w:divBdr>
    </w:div>
    <w:div w:id="1111440201">
      <w:bodyDiv w:val="1"/>
      <w:marLeft w:val="0"/>
      <w:marRight w:val="0"/>
      <w:marTop w:val="0"/>
      <w:marBottom w:val="0"/>
      <w:divBdr>
        <w:top w:val="none" w:sz="0" w:space="0" w:color="auto"/>
        <w:left w:val="none" w:sz="0" w:space="0" w:color="auto"/>
        <w:bottom w:val="none" w:sz="0" w:space="0" w:color="auto"/>
        <w:right w:val="none" w:sz="0" w:space="0" w:color="auto"/>
      </w:divBdr>
    </w:div>
    <w:div w:id="1117792047">
      <w:bodyDiv w:val="1"/>
      <w:marLeft w:val="0"/>
      <w:marRight w:val="0"/>
      <w:marTop w:val="0"/>
      <w:marBottom w:val="0"/>
      <w:divBdr>
        <w:top w:val="none" w:sz="0" w:space="0" w:color="auto"/>
        <w:left w:val="none" w:sz="0" w:space="0" w:color="auto"/>
        <w:bottom w:val="none" w:sz="0" w:space="0" w:color="auto"/>
        <w:right w:val="none" w:sz="0" w:space="0" w:color="auto"/>
      </w:divBdr>
    </w:div>
    <w:div w:id="1126460235">
      <w:bodyDiv w:val="1"/>
      <w:marLeft w:val="0"/>
      <w:marRight w:val="0"/>
      <w:marTop w:val="0"/>
      <w:marBottom w:val="0"/>
      <w:divBdr>
        <w:top w:val="none" w:sz="0" w:space="0" w:color="auto"/>
        <w:left w:val="none" w:sz="0" w:space="0" w:color="auto"/>
        <w:bottom w:val="none" w:sz="0" w:space="0" w:color="auto"/>
        <w:right w:val="none" w:sz="0" w:space="0" w:color="auto"/>
      </w:divBdr>
    </w:div>
    <w:div w:id="1127502258">
      <w:bodyDiv w:val="1"/>
      <w:marLeft w:val="0"/>
      <w:marRight w:val="0"/>
      <w:marTop w:val="0"/>
      <w:marBottom w:val="0"/>
      <w:divBdr>
        <w:top w:val="none" w:sz="0" w:space="0" w:color="auto"/>
        <w:left w:val="none" w:sz="0" w:space="0" w:color="auto"/>
        <w:bottom w:val="none" w:sz="0" w:space="0" w:color="auto"/>
        <w:right w:val="none" w:sz="0" w:space="0" w:color="auto"/>
      </w:divBdr>
    </w:div>
    <w:div w:id="1130517584">
      <w:bodyDiv w:val="1"/>
      <w:marLeft w:val="0"/>
      <w:marRight w:val="0"/>
      <w:marTop w:val="0"/>
      <w:marBottom w:val="0"/>
      <w:divBdr>
        <w:top w:val="none" w:sz="0" w:space="0" w:color="auto"/>
        <w:left w:val="none" w:sz="0" w:space="0" w:color="auto"/>
        <w:bottom w:val="none" w:sz="0" w:space="0" w:color="auto"/>
        <w:right w:val="none" w:sz="0" w:space="0" w:color="auto"/>
      </w:divBdr>
    </w:div>
    <w:div w:id="1137644883">
      <w:bodyDiv w:val="1"/>
      <w:marLeft w:val="0"/>
      <w:marRight w:val="0"/>
      <w:marTop w:val="0"/>
      <w:marBottom w:val="0"/>
      <w:divBdr>
        <w:top w:val="none" w:sz="0" w:space="0" w:color="auto"/>
        <w:left w:val="none" w:sz="0" w:space="0" w:color="auto"/>
        <w:bottom w:val="none" w:sz="0" w:space="0" w:color="auto"/>
        <w:right w:val="none" w:sz="0" w:space="0" w:color="auto"/>
      </w:divBdr>
    </w:div>
    <w:div w:id="1145858637">
      <w:bodyDiv w:val="1"/>
      <w:marLeft w:val="0"/>
      <w:marRight w:val="0"/>
      <w:marTop w:val="0"/>
      <w:marBottom w:val="0"/>
      <w:divBdr>
        <w:top w:val="none" w:sz="0" w:space="0" w:color="auto"/>
        <w:left w:val="none" w:sz="0" w:space="0" w:color="auto"/>
        <w:bottom w:val="none" w:sz="0" w:space="0" w:color="auto"/>
        <w:right w:val="none" w:sz="0" w:space="0" w:color="auto"/>
      </w:divBdr>
    </w:div>
    <w:div w:id="1154754807">
      <w:bodyDiv w:val="1"/>
      <w:marLeft w:val="0"/>
      <w:marRight w:val="0"/>
      <w:marTop w:val="0"/>
      <w:marBottom w:val="0"/>
      <w:divBdr>
        <w:top w:val="none" w:sz="0" w:space="0" w:color="auto"/>
        <w:left w:val="none" w:sz="0" w:space="0" w:color="auto"/>
        <w:bottom w:val="none" w:sz="0" w:space="0" w:color="auto"/>
        <w:right w:val="none" w:sz="0" w:space="0" w:color="auto"/>
      </w:divBdr>
    </w:div>
    <w:div w:id="1155488319">
      <w:bodyDiv w:val="1"/>
      <w:marLeft w:val="0"/>
      <w:marRight w:val="0"/>
      <w:marTop w:val="0"/>
      <w:marBottom w:val="0"/>
      <w:divBdr>
        <w:top w:val="none" w:sz="0" w:space="0" w:color="auto"/>
        <w:left w:val="none" w:sz="0" w:space="0" w:color="auto"/>
        <w:bottom w:val="none" w:sz="0" w:space="0" w:color="auto"/>
        <w:right w:val="none" w:sz="0" w:space="0" w:color="auto"/>
      </w:divBdr>
    </w:div>
    <w:div w:id="1158036268">
      <w:bodyDiv w:val="1"/>
      <w:marLeft w:val="0"/>
      <w:marRight w:val="0"/>
      <w:marTop w:val="0"/>
      <w:marBottom w:val="0"/>
      <w:divBdr>
        <w:top w:val="none" w:sz="0" w:space="0" w:color="auto"/>
        <w:left w:val="none" w:sz="0" w:space="0" w:color="auto"/>
        <w:bottom w:val="none" w:sz="0" w:space="0" w:color="auto"/>
        <w:right w:val="none" w:sz="0" w:space="0" w:color="auto"/>
      </w:divBdr>
    </w:div>
    <w:div w:id="1159232543">
      <w:bodyDiv w:val="1"/>
      <w:marLeft w:val="0"/>
      <w:marRight w:val="0"/>
      <w:marTop w:val="0"/>
      <w:marBottom w:val="0"/>
      <w:divBdr>
        <w:top w:val="none" w:sz="0" w:space="0" w:color="auto"/>
        <w:left w:val="none" w:sz="0" w:space="0" w:color="auto"/>
        <w:bottom w:val="none" w:sz="0" w:space="0" w:color="auto"/>
        <w:right w:val="none" w:sz="0" w:space="0" w:color="auto"/>
      </w:divBdr>
    </w:div>
    <w:div w:id="1162696358">
      <w:bodyDiv w:val="1"/>
      <w:marLeft w:val="0"/>
      <w:marRight w:val="0"/>
      <w:marTop w:val="0"/>
      <w:marBottom w:val="0"/>
      <w:divBdr>
        <w:top w:val="none" w:sz="0" w:space="0" w:color="auto"/>
        <w:left w:val="none" w:sz="0" w:space="0" w:color="auto"/>
        <w:bottom w:val="none" w:sz="0" w:space="0" w:color="auto"/>
        <w:right w:val="none" w:sz="0" w:space="0" w:color="auto"/>
      </w:divBdr>
    </w:div>
    <w:div w:id="1172600934">
      <w:bodyDiv w:val="1"/>
      <w:marLeft w:val="0"/>
      <w:marRight w:val="0"/>
      <w:marTop w:val="0"/>
      <w:marBottom w:val="0"/>
      <w:divBdr>
        <w:top w:val="none" w:sz="0" w:space="0" w:color="auto"/>
        <w:left w:val="none" w:sz="0" w:space="0" w:color="auto"/>
        <w:bottom w:val="none" w:sz="0" w:space="0" w:color="auto"/>
        <w:right w:val="none" w:sz="0" w:space="0" w:color="auto"/>
      </w:divBdr>
    </w:div>
    <w:div w:id="1181317828">
      <w:bodyDiv w:val="1"/>
      <w:marLeft w:val="0"/>
      <w:marRight w:val="0"/>
      <w:marTop w:val="0"/>
      <w:marBottom w:val="0"/>
      <w:divBdr>
        <w:top w:val="none" w:sz="0" w:space="0" w:color="auto"/>
        <w:left w:val="none" w:sz="0" w:space="0" w:color="auto"/>
        <w:bottom w:val="none" w:sz="0" w:space="0" w:color="auto"/>
        <w:right w:val="none" w:sz="0" w:space="0" w:color="auto"/>
      </w:divBdr>
    </w:div>
    <w:div w:id="1185359263">
      <w:bodyDiv w:val="1"/>
      <w:marLeft w:val="0"/>
      <w:marRight w:val="0"/>
      <w:marTop w:val="0"/>
      <w:marBottom w:val="0"/>
      <w:divBdr>
        <w:top w:val="none" w:sz="0" w:space="0" w:color="auto"/>
        <w:left w:val="none" w:sz="0" w:space="0" w:color="auto"/>
        <w:bottom w:val="none" w:sz="0" w:space="0" w:color="auto"/>
        <w:right w:val="none" w:sz="0" w:space="0" w:color="auto"/>
      </w:divBdr>
    </w:div>
    <w:div w:id="1185367652">
      <w:bodyDiv w:val="1"/>
      <w:marLeft w:val="0"/>
      <w:marRight w:val="0"/>
      <w:marTop w:val="0"/>
      <w:marBottom w:val="0"/>
      <w:divBdr>
        <w:top w:val="none" w:sz="0" w:space="0" w:color="auto"/>
        <w:left w:val="none" w:sz="0" w:space="0" w:color="auto"/>
        <w:bottom w:val="none" w:sz="0" w:space="0" w:color="auto"/>
        <w:right w:val="none" w:sz="0" w:space="0" w:color="auto"/>
      </w:divBdr>
    </w:div>
    <w:div w:id="1186215330">
      <w:bodyDiv w:val="1"/>
      <w:marLeft w:val="0"/>
      <w:marRight w:val="0"/>
      <w:marTop w:val="0"/>
      <w:marBottom w:val="0"/>
      <w:divBdr>
        <w:top w:val="none" w:sz="0" w:space="0" w:color="auto"/>
        <w:left w:val="none" w:sz="0" w:space="0" w:color="auto"/>
        <w:bottom w:val="none" w:sz="0" w:space="0" w:color="auto"/>
        <w:right w:val="none" w:sz="0" w:space="0" w:color="auto"/>
      </w:divBdr>
    </w:div>
    <w:div w:id="1187140762">
      <w:bodyDiv w:val="1"/>
      <w:marLeft w:val="0"/>
      <w:marRight w:val="0"/>
      <w:marTop w:val="0"/>
      <w:marBottom w:val="0"/>
      <w:divBdr>
        <w:top w:val="none" w:sz="0" w:space="0" w:color="auto"/>
        <w:left w:val="none" w:sz="0" w:space="0" w:color="auto"/>
        <w:bottom w:val="none" w:sz="0" w:space="0" w:color="auto"/>
        <w:right w:val="none" w:sz="0" w:space="0" w:color="auto"/>
      </w:divBdr>
    </w:div>
    <w:div w:id="1187869804">
      <w:bodyDiv w:val="1"/>
      <w:marLeft w:val="0"/>
      <w:marRight w:val="0"/>
      <w:marTop w:val="0"/>
      <w:marBottom w:val="0"/>
      <w:divBdr>
        <w:top w:val="none" w:sz="0" w:space="0" w:color="auto"/>
        <w:left w:val="none" w:sz="0" w:space="0" w:color="auto"/>
        <w:bottom w:val="none" w:sz="0" w:space="0" w:color="auto"/>
        <w:right w:val="none" w:sz="0" w:space="0" w:color="auto"/>
      </w:divBdr>
    </w:div>
    <w:div w:id="1190409875">
      <w:bodyDiv w:val="1"/>
      <w:marLeft w:val="0"/>
      <w:marRight w:val="0"/>
      <w:marTop w:val="0"/>
      <w:marBottom w:val="0"/>
      <w:divBdr>
        <w:top w:val="none" w:sz="0" w:space="0" w:color="auto"/>
        <w:left w:val="none" w:sz="0" w:space="0" w:color="auto"/>
        <w:bottom w:val="none" w:sz="0" w:space="0" w:color="auto"/>
        <w:right w:val="none" w:sz="0" w:space="0" w:color="auto"/>
      </w:divBdr>
    </w:div>
    <w:div w:id="1199931364">
      <w:bodyDiv w:val="1"/>
      <w:marLeft w:val="0"/>
      <w:marRight w:val="0"/>
      <w:marTop w:val="0"/>
      <w:marBottom w:val="0"/>
      <w:divBdr>
        <w:top w:val="none" w:sz="0" w:space="0" w:color="auto"/>
        <w:left w:val="none" w:sz="0" w:space="0" w:color="auto"/>
        <w:bottom w:val="none" w:sz="0" w:space="0" w:color="auto"/>
        <w:right w:val="none" w:sz="0" w:space="0" w:color="auto"/>
      </w:divBdr>
    </w:div>
    <w:div w:id="1201741585">
      <w:bodyDiv w:val="1"/>
      <w:marLeft w:val="0"/>
      <w:marRight w:val="0"/>
      <w:marTop w:val="0"/>
      <w:marBottom w:val="0"/>
      <w:divBdr>
        <w:top w:val="none" w:sz="0" w:space="0" w:color="auto"/>
        <w:left w:val="none" w:sz="0" w:space="0" w:color="auto"/>
        <w:bottom w:val="none" w:sz="0" w:space="0" w:color="auto"/>
        <w:right w:val="none" w:sz="0" w:space="0" w:color="auto"/>
      </w:divBdr>
    </w:div>
    <w:div w:id="1204250944">
      <w:bodyDiv w:val="1"/>
      <w:marLeft w:val="0"/>
      <w:marRight w:val="0"/>
      <w:marTop w:val="0"/>
      <w:marBottom w:val="0"/>
      <w:divBdr>
        <w:top w:val="none" w:sz="0" w:space="0" w:color="auto"/>
        <w:left w:val="none" w:sz="0" w:space="0" w:color="auto"/>
        <w:bottom w:val="none" w:sz="0" w:space="0" w:color="auto"/>
        <w:right w:val="none" w:sz="0" w:space="0" w:color="auto"/>
      </w:divBdr>
    </w:div>
    <w:div w:id="1212771819">
      <w:bodyDiv w:val="1"/>
      <w:marLeft w:val="0"/>
      <w:marRight w:val="0"/>
      <w:marTop w:val="0"/>
      <w:marBottom w:val="0"/>
      <w:divBdr>
        <w:top w:val="none" w:sz="0" w:space="0" w:color="auto"/>
        <w:left w:val="none" w:sz="0" w:space="0" w:color="auto"/>
        <w:bottom w:val="none" w:sz="0" w:space="0" w:color="auto"/>
        <w:right w:val="none" w:sz="0" w:space="0" w:color="auto"/>
      </w:divBdr>
    </w:div>
    <w:div w:id="1220018720">
      <w:bodyDiv w:val="1"/>
      <w:marLeft w:val="0"/>
      <w:marRight w:val="0"/>
      <w:marTop w:val="0"/>
      <w:marBottom w:val="0"/>
      <w:divBdr>
        <w:top w:val="none" w:sz="0" w:space="0" w:color="auto"/>
        <w:left w:val="none" w:sz="0" w:space="0" w:color="auto"/>
        <w:bottom w:val="none" w:sz="0" w:space="0" w:color="auto"/>
        <w:right w:val="none" w:sz="0" w:space="0" w:color="auto"/>
      </w:divBdr>
    </w:div>
    <w:div w:id="1220937184">
      <w:bodyDiv w:val="1"/>
      <w:marLeft w:val="0"/>
      <w:marRight w:val="0"/>
      <w:marTop w:val="0"/>
      <w:marBottom w:val="0"/>
      <w:divBdr>
        <w:top w:val="none" w:sz="0" w:space="0" w:color="auto"/>
        <w:left w:val="none" w:sz="0" w:space="0" w:color="auto"/>
        <w:bottom w:val="none" w:sz="0" w:space="0" w:color="auto"/>
        <w:right w:val="none" w:sz="0" w:space="0" w:color="auto"/>
      </w:divBdr>
    </w:div>
    <w:div w:id="1240793500">
      <w:bodyDiv w:val="1"/>
      <w:marLeft w:val="0"/>
      <w:marRight w:val="0"/>
      <w:marTop w:val="0"/>
      <w:marBottom w:val="0"/>
      <w:divBdr>
        <w:top w:val="none" w:sz="0" w:space="0" w:color="auto"/>
        <w:left w:val="none" w:sz="0" w:space="0" w:color="auto"/>
        <w:bottom w:val="none" w:sz="0" w:space="0" w:color="auto"/>
        <w:right w:val="none" w:sz="0" w:space="0" w:color="auto"/>
      </w:divBdr>
    </w:div>
    <w:div w:id="1244948921">
      <w:bodyDiv w:val="1"/>
      <w:marLeft w:val="0"/>
      <w:marRight w:val="0"/>
      <w:marTop w:val="0"/>
      <w:marBottom w:val="0"/>
      <w:divBdr>
        <w:top w:val="none" w:sz="0" w:space="0" w:color="auto"/>
        <w:left w:val="none" w:sz="0" w:space="0" w:color="auto"/>
        <w:bottom w:val="none" w:sz="0" w:space="0" w:color="auto"/>
        <w:right w:val="none" w:sz="0" w:space="0" w:color="auto"/>
      </w:divBdr>
    </w:div>
    <w:div w:id="1245525925">
      <w:bodyDiv w:val="1"/>
      <w:marLeft w:val="0"/>
      <w:marRight w:val="0"/>
      <w:marTop w:val="0"/>
      <w:marBottom w:val="0"/>
      <w:divBdr>
        <w:top w:val="none" w:sz="0" w:space="0" w:color="auto"/>
        <w:left w:val="none" w:sz="0" w:space="0" w:color="auto"/>
        <w:bottom w:val="none" w:sz="0" w:space="0" w:color="auto"/>
        <w:right w:val="none" w:sz="0" w:space="0" w:color="auto"/>
      </w:divBdr>
    </w:div>
    <w:div w:id="1278559855">
      <w:bodyDiv w:val="1"/>
      <w:marLeft w:val="0"/>
      <w:marRight w:val="0"/>
      <w:marTop w:val="0"/>
      <w:marBottom w:val="0"/>
      <w:divBdr>
        <w:top w:val="none" w:sz="0" w:space="0" w:color="auto"/>
        <w:left w:val="none" w:sz="0" w:space="0" w:color="auto"/>
        <w:bottom w:val="none" w:sz="0" w:space="0" w:color="auto"/>
        <w:right w:val="none" w:sz="0" w:space="0" w:color="auto"/>
      </w:divBdr>
    </w:div>
    <w:div w:id="1287587036">
      <w:bodyDiv w:val="1"/>
      <w:marLeft w:val="0"/>
      <w:marRight w:val="0"/>
      <w:marTop w:val="0"/>
      <w:marBottom w:val="0"/>
      <w:divBdr>
        <w:top w:val="none" w:sz="0" w:space="0" w:color="auto"/>
        <w:left w:val="none" w:sz="0" w:space="0" w:color="auto"/>
        <w:bottom w:val="none" w:sz="0" w:space="0" w:color="auto"/>
        <w:right w:val="none" w:sz="0" w:space="0" w:color="auto"/>
      </w:divBdr>
    </w:div>
    <w:div w:id="1288972680">
      <w:bodyDiv w:val="1"/>
      <w:marLeft w:val="0"/>
      <w:marRight w:val="0"/>
      <w:marTop w:val="0"/>
      <w:marBottom w:val="0"/>
      <w:divBdr>
        <w:top w:val="none" w:sz="0" w:space="0" w:color="auto"/>
        <w:left w:val="none" w:sz="0" w:space="0" w:color="auto"/>
        <w:bottom w:val="none" w:sz="0" w:space="0" w:color="auto"/>
        <w:right w:val="none" w:sz="0" w:space="0" w:color="auto"/>
      </w:divBdr>
    </w:div>
    <w:div w:id="1290822666">
      <w:bodyDiv w:val="1"/>
      <w:marLeft w:val="0"/>
      <w:marRight w:val="0"/>
      <w:marTop w:val="0"/>
      <w:marBottom w:val="0"/>
      <w:divBdr>
        <w:top w:val="none" w:sz="0" w:space="0" w:color="auto"/>
        <w:left w:val="none" w:sz="0" w:space="0" w:color="auto"/>
        <w:bottom w:val="none" w:sz="0" w:space="0" w:color="auto"/>
        <w:right w:val="none" w:sz="0" w:space="0" w:color="auto"/>
      </w:divBdr>
    </w:div>
    <w:div w:id="1291127051">
      <w:bodyDiv w:val="1"/>
      <w:marLeft w:val="0"/>
      <w:marRight w:val="0"/>
      <w:marTop w:val="0"/>
      <w:marBottom w:val="0"/>
      <w:divBdr>
        <w:top w:val="none" w:sz="0" w:space="0" w:color="auto"/>
        <w:left w:val="none" w:sz="0" w:space="0" w:color="auto"/>
        <w:bottom w:val="none" w:sz="0" w:space="0" w:color="auto"/>
        <w:right w:val="none" w:sz="0" w:space="0" w:color="auto"/>
      </w:divBdr>
    </w:div>
    <w:div w:id="1311786679">
      <w:bodyDiv w:val="1"/>
      <w:marLeft w:val="0"/>
      <w:marRight w:val="0"/>
      <w:marTop w:val="0"/>
      <w:marBottom w:val="0"/>
      <w:divBdr>
        <w:top w:val="none" w:sz="0" w:space="0" w:color="auto"/>
        <w:left w:val="none" w:sz="0" w:space="0" w:color="auto"/>
        <w:bottom w:val="none" w:sz="0" w:space="0" w:color="auto"/>
        <w:right w:val="none" w:sz="0" w:space="0" w:color="auto"/>
      </w:divBdr>
    </w:div>
    <w:div w:id="1329408363">
      <w:bodyDiv w:val="1"/>
      <w:marLeft w:val="0"/>
      <w:marRight w:val="0"/>
      <w:marTop w:val="0"/>
      <w:marBottom w:val="0"/>
      <w:divBdr>
        <w:top w:val="none" w:sz="0" w:space="0" w:color="auto"/>
        <w:left w:val="none" w:sz="0" w:space="0" w:color="auto"/>
        <w:bottom w:val="none" w:sz="0" w:space="0" w:color="auto"/>
        <w:right w:val="none" w:sz="0" w:space="0" w:color="auto"/>
      </w:divBdr>
    </w:div>
    <w:div w:id="1330711731">
      <w:bodyDiv w:val="1"/>
      <w:marLeft w:val="0"/>
      <w:marRight w:val="0"/>
      <w:marTop w:val="0"/>
      <w:marBottom w:val="0"/>
      <w:divBdr>
        <w:top w:val="none" w:sz="0" w:space="0" w:color="auto"/>
        <w:left w:val="none" w:sz="0" w:space="0" w:color="auto"/>
        <w:bottom w:val="none" w:sz="0" w:space="0" w:color="auto"/>
        <w:right w:val="none" w:sz="0" w:space="0" w:color="auto"/>
      </w:divBdr>
    </w:div>
    <w:div w:id="1332903053">
      <w:bodyDiv w:val="1"/>
      <w:marLeft w:val="0"/>
      <w:marRight w:val="0"/>
      <w:marTop w:val="0"/>
      <w:marBottom w:val="0"/>
      <w:divBdr>
        <w:top w:val="none" w:sz="0" w:space="0" w:color="auto"/>
        <w:left w:val="none" w:sz="0" w:space="0" w:color="auto"/>
        <w:bottom w:val="none" w:sz="0" w:space="0" w:color="auto"/>
        <w:right w:val="none" w:sz="0" w:space="0" w:color="auto"/>
      </w:divBdr>
    </w:div>
    <w:div w:id="1340350036">
      <w:bodyDiv w:val="1"/>
      <w:marLeft w:val="0"/>
      <w:marRight w:val="0"/>
      <w:marTop w:val="0"/>
      <w:marBottom w:val="0"/>
      <w:divBdr>
        <w:top w:val="none" w:sz="0" w:space="0" w:color="auto"/>
        <w:left w:val="none" w:sz="0" w:space="0" w:color="auto"/>
        <w:bottom w:val="none" w:sz="0" w:space="0" w:color="auto"/>
        <w:right w:val="none" w:sz="0" w:space="0" w:color="auto"/>
      </w:divBdr>
    </w:div>
    <w:div w:id="1348822827">
      <w:bodyDiv w:val="1"/>
      <w:marLeft w:val="0"/>
      <w:marRight w:val="0"/>
      <w:marTop w:val="0"/>
      <w:marBottom w:val="0"/>
      <w:divBdr>
        <w:top w:val="none" w:sz="0" w:space="0" w:color="auto"/>
        <w:left w:val="none" w:sz="0" w:space="0" w:color="auto"/>
        <w:bottom w:val="none" w:sz="0" w:space="0" w:color="auto"/>
        <w:right w:val="none" w:sz="0" w:space="0" w:color="auto"/>
      </w:divBdr>
    </w:div>
    <w:div w:id="1350721905">
      <w:bodyDiv w:val="1"/>
      <w:marLeft w:val="0"/>
      <w:marRight w:val="0"/>
      <w:marTop w:val="0"/>
      <w:marBottom w:val="0"/>
      <w:divBdr>
        <w:top w:val="none" w:sz="0" w:space="0" w:color="auto"/>
        <w:left w:val="none" w:sz="0" w:space="0" w:color="auto"/>
        <w:bottom w:val="none" w:sz="0" w:space="0" w:color="auto"/>
        <w:right w:val="none" w:sz="0" w:space="0" w:color="auto"/>
      </w:divBdr>
    </w:div>
    <w:div w:id="1374503694">
      <w:bodyDiv w:val="1"/>
      <w:marLeft w:val="0"/>
      <w:marRight w:val="0"/>
      <w:marTop w:val="0"/>
      <w:marBottom w:val="0"/>
      <w:divBdr>
        <w:top w:val="none" w:sz="0" w:space="0" w:color="auto"/>
        <w:left w:val="none" w:sz="0" w:space="0" w:color="auto"/>
        <w:bottom w:val="none" w:sz="0" w:space="0" w:color="auto"/>
        <w:right w:val="none" w:sz="0" w:space="0" w:color="auto"/>
      </w:divBdr>
    </w:div>
    <w:div w:id="1377124924">
      <w:bodyDiv w:val="1"/>
      <w:marLeft w:val="0"/>
      <w:marRight w:val="0"/>
      <w:marTop w:val="0"/>
      <w:marBottom w:val="0"/>
      <w:divBdr>
        <w:top w:val="none" w:sz="0" w:space="0" w:color="auto"/>
        <w:left w:val="none" w:sz="0" w:space="0" w:color="auto"/>
        <w:bottom w:val="none" w:sz="0" w:space="0" w:color="auto"/>
        <w:right w:val="none" w:sz="0" w:space="0" w:color="auto"/>
      </w:divBdr>
    </w:div>
    <w:div w:id="1379937923">
      <w:bodyDiv w:val="1"/>
      <w:marLeft w:val="0"/>
      <w:marRight w:val="0"/>
      <w:marTop w:val="0"/>
      <w:marBottom w:val="0"/>
      <w:divBdr>
        <w:top w:val="none" w:sz="0" w:space="0" w:color="auto"/>
        <w:left w:val="none" w:sz="0" w:space="0" w:color="auto"/>
        <w:bottom w:val="none" w:sz="0" w:space="0" w:color="auto"/>
        <w:right w:val="none" w:sz="0" w:space="0" w:color="auto"/>
      </w:divBdr>
    </w:div>
    <w:div w:id="1380283946">
      <w:bodyDiv w:val="1"/>
      <w:marLeft w:val="0"/>
      <w:marRight w:val="0"/>
      <w:marTop w:val="0"/>
      <w:marBottom w:val="0"/>
      <w:divBdr>
        <w:top w:val="none" w:sz="0" w:space="0" w:color="auto"/>
        <w:left w:val="none" w:sz="0" w:space="0" w:color="auto"/>
        <w:bottom w:val="none" w:sz="0" w:space="0" w:color="auto"/>
        <w:right w:val="none" w:sz="0" w:space="0" w:color="auto"/>
      </w:divBdr>
    </w:div>
    <w:div w:id="1381588834">
      <w:bodyDiv w:val="1"/>
      <w:marLeft w:val="0"/>
      <w:marRight w:val="0"/>
      <w:marTop w:val="0"/>
      <w:marBottom w:val="0"/>
      <w:divBdr>
        <w:top w:val="none" w:sz="0" w:space="0" w:color="auto"/>
        <w:left w:val="none" w:sz="0" w:space="0" w:color="auto"/>
        <w:bottom w:val="none" w:sz="0" w:space="0" w:color="auto"/>
        <w:right w:val="none" w:sz="0" w:space="0" w:color="auto"/>
      </w:divBdr>
    </w:div>
    <w:div w:id="1387756335">
      <w:bodyDiv w:val="1"/>
      <w:marLeft w:val="0"/>
      <w:marRight w:val="0"/>
      <w:marTop w:val="0"/>
      <w:marBottom w:val="0"/>
      <w:divBdr>
        <w:top w:val="none" w:sz="0" w:space="0" w:color="auto"/>
        <w:left w:val="none" w:sz="0" w:space="0" w:color="auto"/>
        <w:bottom w:val="none" w:sz="0" w:space="0" w:color="auto"/>
        <w:right w:val="none" w:sz="0" w:space="0" w:color="auto"/>
      </w:divBdr>
    </w:div>
    <w:div w:id="1397774968">
      <w:bodyDiv w:val="1"/>
      <w:marLeft w:val="0"/>
      <w:marRight w:val="0"/>
      <w:marTop w:val="0"/>
      <w:marBottom w:val="0"/>
      <w:divBdr>
        <w:top w:val="none" w:sz="0" w:space="0" w:color="auto"/>
        <w:left w:val="none" w:sz="0" w:space="0" w:color="auto"/>
        <w:bottom w:val="none" w:sz="0" w:space="0" w:color="auto"/>
        <w:right w:val="none" w:sz="0" w:space="0" w:color="auto"/>
      </w:divBdr>
    </w:div>
    <w:div w:id="1406075180">
      <w:bodyDiv w:val="1"/>
      <w:marLeft w:val="0"/>
      <w:marRight w:val="0"/>
      <w:marTop w:val="0"/>
      <w:marBottom w:val="0"/>
      <w:divBdr>
        <w:top w:val="none" w:sz="0" w:space="0" w:color="auto"/>
        <w:left w:val="none" w:sz="0" w:space="0" w:color="auto"/>
        <w:bottom w:val="none" w:sz="0" w:space="0" w:color="auto"/>
        <w:right w:val="none" w:sz="0" w:space="0" w:color="auto"/>
      </w:divBdr>
    </w:div>
    <w:div w:id="1412969614">
      <w:bodyDiv w:val="1"/>
      <w:marLeft w:val="0"/>
      <w:marRight w:val="0"/>
      <w:marTop w:val="0"/>
      <w:marBottom w:val="0"/>
      <w:divBdr>
        <w:top w:val="none" w:sz="0" w:space="0" w:color="auto"/>
        <w:left w:val="none" w:sz="0" w:space="0" w:color="auto"/>
        <w:bottom w:val="none" w:sz="0" w:space="0" w:color="auto"/>
        <w:right w:val="none" w:sz="0" w:space="0" w:color="auto"/>
      </w:divBdr>
    </w:div>
    <w:div w:id="1427385874">
      <w:bodyDiv w:val="1"/>
      <w:marLeft w:val="0"/>
      <w:marRight w:val="0"/>
      <w:marTop w:val="0"/>
      <w:marBottom w:val="0"/>
      <w:divBdr>
        <w:top w:val="none" w:sz="0" w:space="0" w:color="auto"/>
        <w:left w:val="none" w:sz="0" w:space="0" w:color="auto"/>
        <w:bottom w:val="none" w:sz="0" w:space="0" w:color="auto"/>
        <w:right w:val="none" w:sz="0" w:space="0" w:color="auto"/>
      </w:divBdr>
    </w:div>
    <w:div w:id="1430544396">
      <w:bodyDiv w:val="1"/>
      <w:marLeft w:val="0"/>
      <w:marRight w:val="0"/>
      <w:marTop w:val="0"/>
      <w:marBottom w:val="0"/>
      <w:divBdr>
        <w:top w:val="none" w:sz="0" w:space="0" w:color="auto"/>
        <w:left w:val="none" w:sz="0" w:space="0" w:color="auto"/>
        <w:bottom w:val="none" w:sz="0" w:space="0" w:color="auto"/>
        <w:right w:val="none" w:sz="0" w:space="0" w:color="auto"/>
      </w:divBdr>
    </w:div>
    <w:div w:id="1434471854">
      <w:bodyDiv w:val="1"/>
      <w:marLeft w:val="0"/>
      <w:marRight w:val="0"/>
      <w:marTop w:val="0"/>
      <w:marBottom w:val="0"/>
      <w:divBdr>
        <w:top w:val="none" w:sz="0" w:space="0" w:color="auto"/>
        <w:left w:val="none" w:sz="0" w:space="0" w:color="auto"/>
        <w:bottom w:val="none" w:sz="0" w:space="0" w:color="auto"/>
        <w:right w:val="none" w:sz="0" w:space="0" w:color="auto"/>
      </w:divBdr>
    </w:div>
    <w:div w:id="1434982614">
      <w:bodyDiv w:val="1"/>
      <w:marLeft w:val="0"/>
      <w:marRight w:val="0"/>
      <w:marTop w:val="0"/>
      <w:marBottom w:val="0"/>
      <w:divBdr>
        <w:top w:val="none" w:sz="0" w:space="0" w:color="auto"/>
        <w:left w:val="none" w:sz="0" w:space="0" w:color="auto"/>
        <w:bottom w:val="none" w:sz="0" w:space="0" w:color="auto"/>
        <w:right w:val="none" w:sz="0" w:space="0" w:color="auto"/>
      </w:divBdr>
    </w:div>
    <w:div w:id="1457024737">
      <w:bodyDiv w:val="1"/>
      <w:marLeft w:val="0"/>
      <w:marRight w:val="0"/>
      <w:marTop w:val="0"/>
      <w:marBottom w:val="0"/>
      <w:divBdr>
        <w:top w:val="none" w:sz="0" w:space="0" w:color="auto"/>
        <w:left w:val="none" w:sz="0" w:space="0" w:color="auto"/>
        <w:bottom w:val="none" w:sz="0" w:space="0" w:color="auto"/>
        <w:right w:val="none" w:sz="0" w:space="0" w:color="auto"/>
      </w:divBdr>
    </w:div>
    <w:div w:id="1466778662">
      <w:bodyDiv w:val="1"/>
      <w:marLeft w:val="0"/>
      <w:marRight w:val="0"/>
      <w:marTop w:val="0"/>
      <w:marBottom w:val="0"/>
      <w:divBdr>
        <w:top w:val="none" w:sz="0" w:space="0" w:color="auto"/>
        <w:left w:val="none" w:sz="0" w:space="0" w:color="auto"/>
        <w:bottom w:val="none" w:sz="0" w:space="0" w:color="auto"/>
        <w:right w:val="none" w:sz="0" w:space="0" w:color="auto"/>
      </w:divBdr>
    </w:div>
    <w:div w:id="1472751696">
      <w:bodyDiv w:val="1"/>
      <w:marLeft w:val="0"/>
      <w:marRight w:val="0"/>
      <w:marTop w:val="0"/>
      <w:marBottom w:val="0"/>
      <w:divBdr>
        <w:top w:val="none" w:sz="0" w:space="0" w:color="auto"/>
        <w:left w:val="none" w:sz="0" w:space="0" w:color="auto"/>
        <w:bottom w:val="none" w:sz="0" w:space="0" w:color="auto"/>
        <w:right w:val="none" w:sz="0" w:space="0" w:color="auto"/>
      </w:divBdr>
    </w:div>
    <w:div w:id="1473600427">
      <w:bodyDiv w:val="1"/>
      <w:marLeft w:val="0"/>
      <w:marRight w:val="0"/>
      <w:marTop w:val="0"/>
      <w:marBottom w:val="0"/>
      <w:divBdr>
        <w:top w:val="none" w:sz="0" w:space="0" w:color="auto"/>
        <w:left w:val="none" w:sz="0" w:space="0" w:color="auto"/>
        <w:bottom w:val="none" w:sz="0" w:space="0" w:color="auto"/>
        <w:right w:val="none" w:sz="0" w:space="0" w:color="auto"/>
      </w:divBdr>
    </w:div>
    <w:div w:id="1487434212">
      <w:bodyDiv w:val="1"/>
      <w:marLeft w:val="0"/>
      <w:marRight w:val="0"/>
      <w:marTop w:val="0"/>
      <w:marBottom w:val="0"/>
      <w:divBdr>
        <w:top w:val="none" w:sz="0" w:space="0" w:color="auto"/>
        <w:left w:val="none" w:sz="0" w:space="0" w:color="auto"/>
        <w:bottom w:val="none" w:sz="0" w:space="0" w:color="auto"/>
        <w:right w:val="none" w:sz="0" w:space="0" w:color="auto"/>
      </w:divBdr>
    </w:div>
    <w:div w:id="1495612100">
      <w:bodyDiv w:val="1"/>
      <w:marLeft w:val="0"/>
      <w:marRight w:val="0"/>
      <w:marTop w:val="0"/>
      <w:marBottom w:val="0"/>
      <w:divBdr>
        <w:top w:val="none" w:sz="0" w:space="0" w:color="auto"/>
        <w:left w:val="none" w:sz="0" w:space="0" w:color="auto"/>
        <w:bottom w:val="none" w:sz="0" w:space="0" w:color="auto"/>
        <w:right w:val="none" w:sz="0" w:space="0" w:color="auto"/>
      </w:divBdr>
    </w:div>
    <w:div w:id="1498501072">
      <w:bodyDiv w:val="1"/>
      <w:marLeft w:val="0"/>
      <w:marRight w:val="0"/>
      <w:marTop w:val="0"/>
      <w:marBottom w:val="0"/>
      <w:divBdr>
        <w:top w:val="none" w:sz="0" w:space="0" w:color="auto"/>
        <w:left w:val="none" w:sz="0" w:space="0" w:color="auto"/>
        <w:bottom w:val="none" w:sz="0" w:space="0" w:color="auto"/>
        <w:right w:val="none" w:sz="0" w:space="0" w:color="auto"/>
      </w:divBdr>
    </w:div>
    <w:div w:id="1501892449">
      <w:bodyDiv w:val="1"/>
      <w:marLeft w:val="0"/>
      <w:marRight w:val="0"/>
      <w:marTop w:val="0"/>
      <w:marBottom w:val="0"/>
      <w:divBdr>
        <w:top w:val="none" w:sz="0" w:space="0" w:color="auto"/>
        <w:left w:val="none" w:sz="0" w:space="0" w:color="auto"/>
        <w:bottom w:val="none" w:sz="0" w:space="0" w:color="auto"/>
        <w:right w:val="none" w:sz="0" w:space="0" w:color="auto"/>
      </w:divBdr>
    </w:div>
    <w:div w:id="1502626747">
      <w:bodyDiv w:val="1"/>
      <w:marLeft w:val="0"/>
      <w:marRight w:val="0"/>
      <w:marTop w:val="0"/>
      <w:marBottom w:val="0"/>
      <w:divBdr>
        <w:top w:val="none" w:sz="0" w:space="0" w:color="auto"/>
        <w:left w:val="none" w:sz="0" w:space="0" w:color="auto"/>
        <w:bottom w:val="none" w:sz="0" w:space="0" w:color="auto"/>
        <w:right w:val="none" w:sz="0" w:space="0" w:color="auto"/>
      </w:divBdr>
    </w:div>
    <w:div w:id="1504130653">
      <w:bodyDiv w:val="1"/>
      <w:marLeft w:val="0"/>
      <w:marRight w:val="0"/>
      <w:marTop w:val="0"/>
      <w:marBottom w:val="0"/>
      <w:divBdr>
        <w:top w:val="none" w:sz="0" w:space="0" w:color="auto"/>
        <w:left w:val="none" w:sz="0" w:space="0" w:color="auto"/>
        <w:bottom w:val="none" w:sz="0" w:space="0" w:color="auto"/>
        <w:right w:val="none" w:sz="0" w:space="0" w:color="auto"/>
      </w:divBdr>
    </w:div>
    <w:div w:id="1513446500">
      <w:bodyDiv w:val="1"/>
      <w:marLeft w:val="0"/>
      <w:marRight w:val="0"/>
      <w:marTop w:val="0"/>
      <w:marBottom w:val="0"/>
      <w:divBdr>
        <w:top w:val="none" w:sz="0" w:space="0" w:color="auto"/>
        <w:left w:val="none" w:sz="0" w:space="0" w:color="auto"/>
        <w:bottom w:val="none" w:sz="0" w:space="0" w:color="auto"/>
        <w:right w:val="none" w:sz="0" w:space="0" w:color="auto"/>
      </w:divBdr>
    </w:div>
    <w:div w:id="1514298768">
      <w:bodyDiv w:val="1"/>
      <w:marLeft w:val="0"/>
      <w:marRight w:val="0"/>
      <w:marTop w:val="0"/>
      <w:marBottom w:val="0"/>
      <w:divBdr>
        <w:top w:val="none" w:sz="0" w:space="0" w:color="auto"/>
        <w:left w:val="none" w:sz="0" w:space="0" w:color="auto"/>
        <w:bottom w:val="none" w:sz="0" w:space="0" w:color="auto"/>
        <w:right w:val="none" w:sz="0" w:space="0" w:color="auto"/>
      </w:divBdr>
    </w:div>
    <w:div w:id="1522818224">
      <w:bodyDiv w:val="1"/>
      <w:marLeft w:val="0"/>
      <w:marRight w:val="0"/>
      <w:marTop w:val="0"/>
      <w:marBottom w:val="0"/>
      <w:divBdr>
        <w:top w:val="none" w:sz="0" w:space="0" w:color="auto"/>
        <w:left w:val="none" w:sz="0" w:space="0" w:color="auto"/>
        <w:bottom w:val="none" w:sz="0" w:space="0" w:color="auto"/>
        <w:right w:val="none" w:sz="0" w:space="0" w:color="auto"/>
      </w:divBdr>
    </w:div>
    <w:div w:id="1524903271">
      <w:bodyDiv w:val="1"/>
      <w:marLeft w:val="0"/>
      <w:marRight w:val="0"/>
      <w:marTop w:val="0"/>
      <w:marBottom w:val="0"/>
      <w:divBdr>
        <w:top w:val="none" w:sz="0" w:space="0" w:color="auto"/>
        <w:left w:val="none" w:sz="0" w:space="0" w:color="auto"/>
        <w:bottom w:val="none" w:sz="0" w:space="0" w:color="auto"/>
        <w:right w:val="none" w:sz="0" w:space="0" w:color="auto"/>
      </w:divBdr>
    </w:div>
    <w:div w:id="1530801007">
      <w:bodyDiv w:val="1"/>
      <w:marLeft w:val="0"/>
      <w:marRight w:val="0"/>
      <w:marTop w:val="0"/>
      <w:marBottom w:val="0"/>
      <w:divBdr>
        <w:top w:val="none" w:sz="0" w:space="0" w:color="auto"/>
        <w:left w:val="none" w:sz="0" w:space="0" w:color="auto"/>
        <w:bottom w:val="none" w:sz="0" w:space="0" w:color="auto"/>
        <w:right w:val="none" w:sz="0" w:space="0" w:color="auto"/>
      </w:divBdr>
    </w:div>
    <w:div w:id="1556890761">
      <w:bodyDiv w:val="1"/>
      <w:marLeft w:val="0"/>
      <w:marRight w:val="0"/>
      <w:marTop w:val="0"/>
      <w:marBottom w:val="0"/>
      <w:divBdr>
        <w:top w:val="none" w:sz="0" w:space="0" w:color="auto"/>
        <w:left w:val="none" w:sz="0" w:space="0" w:color="auto"/>
        <w:bottom w:val="none" w:sz="0" w:space="0" w:color="auto"/>
        <w:right w:val="none" w:sz="0" w:space="0" w:color="auto"/>
      </w:divBdr>
    </w:div>
    <w:div w:id="1563130733">
      <w:bodyDiv w:val="1"/>
      <w:marLeft w:val="0"/>
      <w:marRight w:val="0"/>
      <w:marTop w:val="0"/>
      <w:marBottom w:val="0"/>
      <w:divBdr>
        <w:top w:val="none" w:sz="0" w:space="0" w:color="auto"/>
        <w:left w:val="none" w:sz="0" w:space="0" w:color="auto"/>
        <w:bottom w:val="none" w:sz="0" w:space="0" w:color="auto"/>
        <w:right w:val="none" w:sz="0" w:space="0" w:color="auto"/>
      </w:divBdr>
    </w:div>
    <w:div w:id="1563368030">
      <w:bodyDiv w:val="1"/>
      <w:marLeft w:val="0"/>
      <w:marRight w:val="0"/>
      <w:marTop w:val="0"/>
      <w:marBottom w:val="0"/>
      <w:divBdr>
        <w:top w:val="none" w:sz="0" w:space="0" w:color="auto"/>
        <w:left w:val="none" w:sz="0" w:space="0" w:color="auto"/>
        <w:bottom w:val="none" w:sz="0" w:space="0" w:color="auto"/>
        <w:right w:val="none" w:sz="0" w:space="0" w:color="auto"/>
      </w:divBdr>
    </w:div>
    <w:div w:id="1573002705">
      <w:bodyDiv w:val="1"/>
      <w:marLeft w:val="0"/>
      <w:marRight w:val="0"/>
      <w:marTop w:val="0"/>
      <w:marBottom w:val="0"/>
      <w:divBdr>
        <w:top w:val="none" w:sz="0" w:space="0" w:color="auto"/>
        <w:left w:val="none" w:sz="0" w:space="0" w:color="auto"/>
        <w:bottom w:val="none" w:sz="0" w:space="0" w:color="auto"/>
        <w:right w:val="none" w:sz="0" w:space="0" w:color="auto"/>
      </w:divBdr>
    </w:div>
    <w:div w:id="1580364860">
      <w:bodyDiv w:val="1"/>
      <w:marLeft w:val="0"/>
      <w:marRight w:val="0"/>
      <w:marTop w:val="0"/>
      <w:marBottom w:val="0"/>
      <w:divBdr>
        <w:top w:val="none" w:sz="0" w:space="0" w:color="auto"/>
        <w:left w:val="none" w:sz="0" w:space="0" w:color="auto"/>
        <w:bottom w:val="none" w:sz="0" w:space="0" w:color="auto"/>
        <w:right w:val="none" w:sz="0" w:space="0" w:color="auto"/>
      </w:divBdr>
    </w:div>
    <w:div w:id="1581403614">
      <w:bodyDiv w:val="1"/>
      <w:marLeft w:val="0"/>
      <w:marRight w:val="0"/>
      <w:marTop w:val="0"/>
      <w:marBottom w:val="0"/>
      <w:divBdr>
        <w:top w:val="none" w:sz="0" w:space="0" w:color="auto"/>
        <w:left w:val="none" w:sz="0" w:space="0" w:color="auto"/>
        <w:bottom w:val="none" w:sz="0" w:space="0" w:color="auto"/>
        <w:right w:val="none" w:sz="0" w:space="0" w:color="auto"/>
      </w:divBdr>
    </w:div>
    <w:div w:id="1593124806">
      <w:bodyDiv w:val="1"/>
      <w:marLeft w:val="0"/>
      <w:marRight w:val="0"/>
      <w:marTop w:val="0"/>
      <w:marBottom w:val="0"/>
      <w:divBdr>
        <w:top w:val="none" w:sz="0" w:space="0" w:color="auto"/>
        <w:left w:val="none" w:sz="0" w:space="0" w:color="auto"/>
        <w:bottom w:val="none" w:sz="0" w:space="0" w:color="auto"/>
        <w:right w:val="none" w:sz="0" w:space="0" w:color="auto"/>
      </w:divBdr>
    </w:div>
    <w:div w:id="1597861725">
      <w:bodyDiv w:val="1"/>
      <w:marLeft w:val="0"/>
      <w:marRight w:val="0"/>
      <w:marTop w:val="0"/>
      <w:marBottom w:val="0"/>
      <w:divBdr>
        <w:top w:val="none" w:sz="0" w:space="0" w:color="auto"/>
        <w:left w:val="none" w:sz="0" w:space="0" w:color="auto"/>
        <w:bottom w:val="none" w:sz="0" w:space="0" w:color="auto"/>
        <w:right w:val="none" w:sz="0" w:space="0" w:color="auto"/>
      </w:divBdr>
    </w:div>
    <w:div w:id="1599409005">
      <w:bodyDiv w:val="1"/>
      <w:marLeft w:val="0"/>
      <w:marRight w:val="0"/>
      <w:marTop w:val="0"/>
      <w:marBottom w:val="0"/>
      <w:divBdr>
        <w:top w:val="none" w:sz="0" w:space="0" w:color="auto"/>
        <w:left w:val="none" w:sz="0" w:space="0" w:color="auto"/>
        <w:bottom w:val="none" w:sz="0" w:space="0" w:color="auto"/>
        <w:right w:val="none" w:sz="0" w:space="0" w:color="auto"/>
      </w:divBdr>
    </w:div>
    <w:div w:id="1601912043">
      <w:bodyDiv w:val="1"/>
      <w:marLeft w:val="0"/>
      <w:marRight w:val="0"/>
      <w:marTop w:val="0"/>
      <w:marBottom w:val="0"/>
      <w:divBdr>
        <w:top w:val="none" w:sz="0" w:space="0" w:color="auto"/>
        <w:left w:val="none" w:sz="0" w:space="0" w:color="auto"/>
        <w:bottom w:val="none" w:sz="0" w:space="0" w:color="auto"/>
        <w:right w:val="none" w:sz="0" w:space="0" w:color="auto"/>
      </w:divBdr>
    </w:div>
    <w:div w:id="1607616833">
      <w:bodyDiv w:val="1"/>
      <w:marLeft w:val="0"/>
      <w:marRight w:val="0"/>
      <w:marTop w:val="0"/>
      <w:marBottom w:val="0"/>
      <w:divBdr>
        <w:top w:val="none" w:sz="0" w:space="0" w:color="auto"/>
        <w:left w:val="none" w:sz="0" w:space="0" w:color="auto"/>
        <w:bottom w:val="none" w:sz="0" w:space="0" w:color="auto"/>
        <w:right w:val="none" w:sz="0" w:space="0" w:color="auto"/>
      </w:divBdr>
    </w:div>
    <w:div w:id="1630744337">
      <w:bodyDiv w:val="1"/>
      <w:marLeft w:val="0"/>
      <w:marRight w:val="0"/>
      <w:marTop w:val="0"/>
      <w:marBottom w:val="0"/>
      <w:divBdr>
        <w:top w:val="none" w:sz="0" w:space="0" w:color="auto"/>
        <w:left w:val="none" w:sz="0" w:space="0" w:color="auto"/>
        <w:bottom w:val="none" w:sz="0" w:space="0" w:color="auto"/>
        <w:right w:val="none" w:sz="0" w:space="0" w:color="auto"/>
      </w:divBdr>
    </w:div>
    <w:div w:id="1631934900">
      <w:bodyDiv w:val="1"/>
      <w:marLeft w:val="0"/>
      <w:marRight w:val="0"/>
      <w:marTop w:val="0"/>
      <w:marBottom w:val="0"/>
      <w:divBdr>
        <w:top w:val="none" w:sz="0" w:space="0" w:color="auto"/>
        <w:left w:val="none" w:sz="0" w:space="0" w:color="auto"/>
        <w:bottom w:val="none" w:sz="0" w:space="0" w:color="auto"/>
        <w:right w:val="none" w:sz="0" w:space="0" w:color="auto"/>
      </w:divBdr>
    </w:div>
    <w:div w:id="1633560090">
      <w:bodyDiv w:val="1"/>
      <w:marLeft w:val="0"/>
      <w:marRight w:val="0"/>
      <w:marTop w:val="0"/>
      <w:marBottom w:val="0"/>
      <w:divBdr>
        <w:top w:val="none" w:sz="0" w:space="0" w:color="auto"/>
        <w:left w:val="none" w:sz="0" w:space="0" w:color="auto"/>
        <w:bottom w:val="none" w:sz="0" w:space="0" w:color="auto"/>
        <w:right w:val="none" w:sz="0" w:space="0" w:color="auto"/>
      </w:divBdr>
    </w:div>
    <w:div w:id="1641692965">
      <w:bodyDiv w:val="1"/>
      <w:marLeft w:val="0"/>
      <w:marRight w:val="0"/>
      <w:marTop w:val="0"/>
      <w:marBottom w:val="0"/>
      <w:divBdr>
        <w:top w:val="none" w:sz="0" w:space="0" w:color="auto"/>
        <w:left w:val="none" w:sz="0" w:space="0" w:color="auto"/>
        <w:bottom w:val="none" w:sz="0" w:space="0" w:color="auto"/>
        <w:right w:val="none" w:sz="0" w:space="0" w:color="auto"/>
      </w:divBdr>
    </w:div>
    <w:div w:id="1645311912">
      <w:bodyDiv w:val="1"/>
      <w:marLeft w:val="0"/>
      <w:marRight w:val="0"/>
      <w:marTop w:val="0"/>
      <w:marBottom w:val="0"/>
      <w:divBdr>
        <w:top w:val="none" w:sz="0" w:space="0" w:color="auto"/>
        <w:left w:val="none" w:sz="0" w:space="0" w:color="auto"/>
        <w:bottom w:val="none" w:sz="0" w:space="0" w:color="auto"/>
        <w:right w:val="none" w:sz="0" w:space="0" w:color="auto"/>
      </w:divBdr>
    </w:div>
    <w:div w:id="1647709994">
      <w:bodyDiv w:val="1"/>
      <w:marLeft w:val="0"/>
      <w:marRight w:val="0"/>
      <w:marTop w:val="0"/>
      <w:marBottom w:val="0"/>
      <w:divBdr>
        <w:top w:val="none" w:sz="0" w:space="0" w:color="auto"/>
        <w:left w:val="none" w:sz="0" w:space="0" w:color="auto"/>
        <w:bottom w:val="none" w:sz="0" w:space="0" w:color="auto"/>
        <w:right w:val="none" w:sz="0" w:space="0" w:color="auto"/>
      </w:divBdr>
    </w:div>
    <w:div w:id="1654026732">
      <w:bodyDiv w:val="1"/>
      <w:marLeft w:val="0"/>
      <w:marRight w:val="0"/>
      <w:marTop w:val="0"/>
      <w:marBottom w:val="0"/>
      <w:divBdr>
        <w:top w:val="none" w:sz="0" w:space="0" w:color="auto"/>
        <w:left w:val="none" w:sz="0" w:space="0" w:color="auto"/>
        <w:bottom w:val="none" w:sz="0" w:space="0" w:color="auto"/>
        <w:right w:val="none" w:sz="0" w:space="0" w:color="auto"/>
      </w:divBdr>
    </w:div>
    <w:div w:id="1658730342">
      <w:bodyDiv w:val="1"/>
      <w:marLeft w:val="0"/>
      <w:marRight w:val="0"/>
      <w:marTop w:val="0"/>
      <w:marBottom w:val="0"/>
      <w:divBdr>
        <w:top w:val="none" w:sz="0" w:space="0" w:color="auto"/>
        <w:left w:val="none" w:sz="0" w:space="0" w:color="auto"/>
        <w:bottom w:val="none" w:sz="0" w:space="0" w:color="auto"/>
        <w:right w:val="none" w:sz="0" w:space="0" w:color="auto"/>
      </w:divBdr>
    </w:div>
    <w:div w:id="1668358418">
      <w:bodyDiv w:val="1"/>
      <w:marLeft w:val="0"/>
      <w:marRight w:val="0"/>
      <w:marTop w:val="0"/>
      <w:marBottom w:val="0"/>
      <w:divBdr>
        <w:top w:val="none" w:sz="0" w:space="0" w:color="auto"/>
        <w:left w:val="none" w:sz="0" w:space="0" w:color="auto"/>
        <w:bottom w:val="none" w:sz="0" w:space="0" w:color="auto"/>
        <w:right w:val="none" w:sz="0" w:space="0" w:color="auto"/>
      </w:divBdr>
    </w:div>
    <w:div w:id="1670281580">
      <w:bodyDiv w:val="1"/>
      <w:marLeft w:val="0"/>
      <w:marRight w:val="0"/>
      <w:marTop w:val="0"/>
      <w:marBottom w:val="0"/>
      <w:divBdr>
        <w:top w:val="none" w:sz="0" w:space="0" w:color="auto"/>
        <w:left w:val="none" w:sz="0" w:space="0" w:color="auto"/>
        <w:bottom w:val="none" w:sz="0" w:space="0" w:color="auto"/>
        <w:right w:val="none" w:sz="0" w:space="0" w:color="auto"/>
      </w:divBdr>
    </w:div>
    <w:div w:id="1671984070">
      <w:bodyDiv w:val="1"/>
      <w:marLeft w:val="0"/>
      <w:marRight w:val="0"/>
      <w:marTop w:val="0"/>
      <w:marBottom w:val="0"/>
      <w:divBdr>
        <w:top w:val="none" w:sz="0" w:space="0" w:color="auto"/>
        <w:left w:val="none" w:sz="0" w:space="0" w:color="auto"/>
        <w:bottom w:val="none" w:sz="0" w:space="0" w:color="auto"/>
        <w:right w:val="none" w:sz="0" w:space="0" w:color="auto"/>
      </w:divBdr>
    </w:div>
    <w:div w:id="1673023136">
      <w:bodyDiv w:val="1"/>
      <w:marLeft w:val="0"/>
      <w:marRight w:val="0"/>
      <w:marTop w:val="0"/>
      <w:marBottom w:val="0"/>
      <w:divBdr>
        <w:top w:val="none" w:sz="0" w:space="0" w:color="auto"/>
        <w:left w:val="none" w:sz="0" w:space="0" w:color="auto"/>
        <w:bottom w:val="none" w:sz="0" w:space="0" w:color="auto"/>
        <w:right w:val="none" w:sz="0" w:space="0" w:color="auto"/>
      </w:divBdr>
    </w:div>
    <w:div w:id="1698120568">
      <w:bodyDiv w:val="1"/>
      <w:marLeft w:val="0"/>
      <w:marRight w:val="0"/>
      <w:marTop w:val="0"/>
      <w:marBottom w:val="0"/>
      <w:divBdr>
        <w:top w:val="none" w:sz="0" w:space="0" w:color="auto"/>
        <w:left w:val="none" w:sz="0" w:space="0" w:color="auto"/>
        <w:bottom w:val="none" w:sz="0" w:space="0" w:color="auto"/>
        <w:right w:val="none" w:sz="0" w:space="0" w:color="auto"/>
      </w:divBdr>
    </w:div>
    <w:div w:id="1701927804">
      <w:bodyDiv w:val="1"/>
      <w:marLeft w:val="0"/>
      <w:marRight w:val="0"/>
      <w:marTop w:val="0"/>
      <w:marBottom w:val="0"/>
      <w:divBdr>
        <w:top w:val="none" w:sz="0" w:space="0" w:color="auto"/>
        <w:left w:val="none" w:sz="0" w:space="0" w:color="auto"/>
        <w:bottom w:val="none" w:sz="0" w:space="0" w:color="auto"/>
        <w:right w:val="none" w:sz="0" w:space="0" w:color="auto"/>
      </w:divBdr>
    </w:div>
    <w:div w:id="1719011774">
      <w:bodyDiv w:val="1"/>
      <w:marLeft w:val="0"/>
      <w:marRight w:val="0"/>
      <w:marTop w:val="0"/>
      <w:marBottom w:val="0"/>
      <w:divBdr>
        <w:top w:val="none" w:sz="0" w:space="0" w:color="auto"/>
        <w:left w:val="none" w:sz="0" w:space="0" w:color="auto"/>
        <w:bottom w:val="none" w:sz="0" w:space="0" w:color="auto"/>
        <w:right w:val="none" w:sz="0" w:space="0" w:color="auto"/>
      </w:divBdr>
    </w:div>
    <w:div w:id="1719236096">
      <w:bodyDiv w:val="1"/>
      <w:marLeft w:val="0"/>
      <w:marRight w:val="0"/>
      <w:marTop w:val="0"/>
      <w:marBottom w:val="0"/>
      <w:divBdr>
        <w:top w:val="none" w:sz="0" w:space="0" w:color="auto"/>
        <w:left w:val="none" w:sz="0" w:space="0" w:color="auto"/>
        <w:bottom w:val="none" w:sz="0" w:space="0" w:color="auto"/>
        <w:right w:val="none" w:sz="0" w:space="0" w:color="auto"/>
      </w:divBdr>
    </w:div>
    <w:div w:id="1731074898">
      <w:bodyDiv w:val="1"/>
      <w:marLeft w:val="0"/>
      <w:marRight w:val="0"/>
      <w:marTop w:val="0"/>
      <w:marBottom w:val="0"/>
      <w:divBdr>
        <w:top w:val="none" w:sz="0" w:space="0" w:color="auto"/>
        <w:left w:val="none" w:sz="0" w:space="0" w:color="auto"/>
        <w:bottom w:val="none" w:sz="0" w:space="0" w:color="auto"/>
        <w:right w:val="none" w:sz="0" w:space="0" w:color="auto"/>
      </w:divBdr>
    </w:div>
    <w:div w:id="1733693060">
      <w:bodyDiv w:val="1"/>
      <w:marLeft w:val="0"/>
      <w:marRight w:val="0"/>
      <w:marTop w:val="0"/>
      <w:marBottom w:val="0"/>
      <w:divBdr>
        <w:top w:val="none" w:sz="0" w:space="0" w:color="auto"/>
        <w:left w:val="none" w:sz="0" w:space="0" w:color="auto"/>
        <w:bottom w:val="none" w:sz="0" w:space="0" w:color="auto"/>
        <w:right w:val="none" w:sz="0" w:space="0" w:color="auto"/>
      </w:divBdr>
    </w:div>
    <w:div w:id="1733698471">
      <w:bodyDiv w:val="1"/>
      <w:marLeft w:val="0"/>
      <w:marRight w:val="0"/>
      <w:marTop w:val="0"/>
      <w:marBottom w:val="0"/>
      <w:divBdr>
        <w:top w:val="none" w:sz="0" w:space="0" w:color="auto"/>
        <w:left w:val="none" w:sz="0" w:space="0" w:color="auto"/>
        <w:bottom w:val="none" w:sz="0" w:space="0" w:color="auto"/>
        <w:right w:val="none" w:sz="0" w:space="0" w:color="auto"/>
      </w:divBdr>
    </w:div>
    <w:div w:id="1735228969">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59669118">
      <w:bodyDiv w:val="1"/>
      <w:marLeft w:val="0"/>
      <w:marRight w:val="0"/>
      <w:marTop w:val="0"/>
      <w:marBottom w:val="0"/>
      <w:divBdr>
        <w:top w:val="none" w:sz="0" w:space="0" w:color="auto"/>
        <w:left w:val="none" w:sz="0" w:space="0" w:color="auto"/>
        <w:bottom w:val="none" w:sz="0" w:space="0" w:color="auto"/>
        <w:right w:val="none" w:sz="0" w:space="0" w:color="auto"/>
      </w:divBdr>
    </w:div>
    <w:div w:id="1761756949">
      <w:bodyDiv w:val="1"/>
      <w:marLeft w:val="0"/>
      <w:marRight w:val="0"/>
      <w:marTop w:val="0"/>
      <w:marBottom w:val="0"/>
      <w:divBdr>
        <w:top w:val="none" w:sz="0" w:space="0" w:color="auto"/>
        <w:left w:val="none" w:sz="0" w:space="0" w:color="auto"/>
        <w:bottom w:val="none" w:sz="0" w:space="0" w:color="auto"/>
        <w:right w:val="none" w:sz="0" w:space="0" w:color="auto"/>
      </w:divBdr>
    </w:div>
    <w:div w:id="1764111072">
      <w:bodyDiv w:val="1"/>
      <w:marLeft w:val="0"/>
      <w:marRight w:val="0"/>
      <w:marTop w:val="0"/>
      <w:marBottom w:val="0"/>
      <w:divBdr>
        <w:top w:val="none" w:sz="0" w:space="0" w:color="auto"/>
        <w:left w:val="none" w:sz="0" w:space="0" w:color="auto"/>
        <w:bottom w:val="none" w:sz="0" w:space="0" w:color="auto"/>
        <w:right w:val="none" w:sz="0" w:space="0" w:color="auto"/>
      </w:divBdr>
    </w:div>
    <w:div w:id="1765832985">
      <w:bodyDiv w:val="1"/>
      <w:marLeft w:val="0"/>
      <w:marRight w:val="0"/>
      <w:marTop w:val="0"/>
      <w:marBottom w:val="0"/>
      <w:divBdr>
        <w:top w:val="none" w:sz="0" w:space="0" w:color="auto"/>
        <w:left w:val="none" w:sz="0" w:space="0" w:color="auto"/>
        <w:bottom w:val="none" w:sz="0" w:space="0" w:color="auto"/>
        <w:right w:val="none" w:sz="0" w:space="0" w:color="auto"/>
      </w:divBdr>
    </w:div>
    <w:div w:id="1767193677">
      <w:bodyDiv w:val="1"/>
      <w:marLeft w:val="0"/>
      <w:marRight w:val="0"/>
      <w:marTop w:val="0"/>
      <w:marBottom w:val="0"/>
      <w:divBdr>
        <w:top w:val="none" w:sz="0" w:space="0" w:color="auto"/>
        <w:left w:val="none" w:sz="0" w:space="0" w:color="auto"/>
        <w:bottom w:val="none" w:sz="0" w:space="0" w:color="auto"/>
        <w:right w:val="none" w:sz="0" w:space="0" w:color="auto"/>
      </w:divBdr>
    </w:div>
    <w:div w:id="1777746668">
      <w:bodyDiv w:val="1"/>
      <w:marLeft w:val="0"/>
      <w:marRight w:val="0"/>
      <w:marTop w:val="0"/>
      <w:marBottom w:val="0"/>
      <w:divBdr>
        <w:top w:val="none" w:sz="0" w:space="0" w:color="auto"/>
        <w:left w:val="none" w:sz="0" w:space="0" w:color="auto"/>
        <w:bottom w:val="none" w:sz="0" w:space="0" w:color="auto"/>
        <w:right w:val="none" w:sz="0" w:space="0" w:color="auto"/>
      </w:divBdr>
    </w:div>
    <w:div w:id="1779718426">
      <w:bodyDiv w:val="1"/>
      <w:marLeft w:val="0"/>
      <w:marRight w:val="0"/>
      <w:marTop w:val="0"/>
      <w:marBottom w:val="0"/>
      <w:divBdr>
        <w:top w:val="none" w:sz="0" w:space="0" w:color="auto"/>
        <w:left w:val="none" w:sz="0" w:space="0" w:color="auto"/>
        <w:bottom w:val="none" w:sz="0" w:space="0" w:color="auto"/>
        <w:right w:val="none" w:sz="0" w:space="0" w:color="auto"/>
      </w:divBdr>
    </w:div>
    <w:div w:id="1780951645">
      <w:bodyDiv w:val="1"/>
      <w:marLeft w:val="0"/>
      <w:marRight w:val="0"/>
      <w:marTop w:val="0"/>
      <w:marBottom w:val="0"/>
      <w:divBdr>
        <w:top w:val="none" w:sz="0" w:space="0" w:color="auto"/>
        <w:left w:val="none" w:sz="0" w:space="0" w:color="auto"/>
        <w:bottom w:val="none" w:sz="0" w:space="0" w:color="auto"/>
        <w:right w:val="none" w:sz="0" w:space="0" w:color="auto"/>
      </w:divBdr>
    </w:div>
    <w:div w:id="1792823283">
      <w:bodyDiv w:val="1"/>
      <w:marLeft w:val="0"/>
      <w:marRight w:val="0"/>
      <w:marTop w:val="0"/>
      <w:marBottom w:val="0"/>
      <w:divBdr>
        <w:top w:val="none" w:sz="0" w:space="0" w:color="auto"/>
        <w:left w:val="none" w:sz="0" w:space="0" w:color="auto"/>
        <w:bottom w:val="none" w:sz="0" w:space="0" w:color="auto"/>
        <w:right w:val="none" w:sz="0" w:space="0" w:color="auto"/>
      </w:divBdr>
    </w:div>
    <w:div w:id="1795754920">
      <w:bodyDiv w:val="1"/>
      <w:marLeft w:val="0"/>
      <w:marRight w:val="0"/>
      <w:marTop w:val="0"/>
      <w:marBottom w:val="0"/>
      <w:divBdr>
        <w:top w:val="none" w:sz="0" w:space="0" w:color="auto"/>
        <w:left w:val="none" w:sz="0" w:space="0" w:color="auto"/>
        <w:bottom w:val="none" w:sz="0" w:space="0" w:color="auto"/>
        <w:right w:val="none" w:sz="0" w:space="0" w:color="auto"/>
      </w:divBdr>
    </w:div>
    <w:div w:id="1810171931">
      <w:bodyDiv w:val="1"/>
      <w:marLeft w:val="0"/>
      <w:marRight w:val="0"/>
      <w:marTop w:val="0"/>
      <w:marBottom w:val="0"/>
      <w:divBdr>
        <w:top w:val="none" w:sz="0" w:space="0" w:color="auto"/>
        <w:left w:val="none" w:sz="0" w:space="0" w:color="auto"/>
        <w:bottom w:val="none" w:sz="0" w:space="0" w:color="auto"/>
        <w:right w:val="none" w:sz="0" w:space="0" w:color="auto"/>
      </w:divBdr>
    </w:div>
    <w:div w:id="1815565889">
      <w:bodyDiv w:val="1"/>
      <w:marLeft w:val="0"/>
      <w:marRight w:val="0"/>
      <w:marTop w:val="0"/>
      <w:marBottom w:val="0"/>
      <w:divBdr>
        <w:top w:val="none" w:sz="0" w:space="0" w:color="auto"/>
        <w:left w:val="none" w:sz="0" w:space="0" w:color="auto"/>
        <w:bottom w:val="none" w:sz="0" w:space="0" w:color="auto"/>
        <w:right w:val="none" w:sz="0" w:space="0" w:color="auto"/>
      </w:divBdr>
    </w:div>
    <w:div w:id="1830095168">
      <w:bodyDiv w:val="1"/>
      <w:marLeft w:val="0"/>
      <w:marRight w:val="0"/>
      <w:marTop w:val="0"/>
      <w:marBottom w:val="0"/>
      <w:divBdr>
        <w:top w:val="none" w:sz="0" w:space="0" w:color="auto"/>
        <w:left w:val="none" w:sz="0" w:space="0" w:color="auto"/>
        <w:bottom w:val="none" w:sz="0" w:space="0" w:color="auto"/>
        <w:right w:val="none" w:sz="0" w:space="0" w:color="auto"/>
      </w:divBdr>
    </w:div>
    <w:div w:id="1836678181">
      <w:bodyDiv w:val="1"/>
      <w:marLeft w:val="0"/>
      <w:marRight w:val="0"/>
      <w:marTop w:val="0"/>
      <w:marBottom w:val="0"/>
      <w:divBdr>
        <w:top w:val="none" w:sz="0" w:space="0" w:color="auto"/>
        <w:left w:val="none" w:sz="0" w:space="0" w:color="auto"/>
        <w:bottom w:val="none" w:sz="0" w:space="0" w:color="auto"/>
        <w:right w:val="none" w:sz="0" w:space="0" w:color="auto"/>
      </w:divBdr>
    </w:div>
    <w:div w:id="1841963960">
      <w:bodyDiv w:val="1"/>
      <w:marLeft w:val="0"/>
      <w:marRight w:val="0"/>
      <w:marTop w:val="0"/>
      <w:marBottom w:val="0"/>
      <w:divBdr>
        <w:top w:val="none" w:sz="0" w:space="0" w:color="auto"/>
        <w:left w:val="none" w:sz="0" w:space="0" w:color="auto"/>
        <w:bottom w:val="none" w:sz="0" w:space="0" w:color="auto"/>
        <w:right w:val="none" w:sz="0" w:space="0" w:color="auto"/>
      </w:divBdr>
    </w:div>
    <w:div w:id="1845591309">
      <w:bodyDiv w:val="1"/>
      <w:marLeft w:val="0"/>
      <w:marRight w:val="0"/>
      <w:marTop w:val="0"/>
      <w:marBottom w:val="0"/>
      <w:divBdr>
        <w:top w:val="none" w:sz="0" w:space="0" w:color="auto"/>
        <w:left w:val="none" w:sz="0" w:space="0" w:color="auto"/>
        <w:bottom w:val="none" w:sz="0" w:space="0" w:color="auto"/>
        <w:right w:val="none" w:sz="0" w:space="0" w:color="auto"/>
      </w:divBdr>
    </w:div>
    <w:div w:id="1845702698">
      <w:bodyDiv w:val="1"/>
      <w:marLeft w:val="0"/>
      <w:marRight w:val="0"/>
      <w:marTop w:val="0"/>
      <w:marBottom w:val="0"/>
      <w:divBdr>
        <w:top w:val="none" w:sz="0" w:space="0" w:color="auto"/>
        <w:left w:val="none" w:sz="0" w:space="0" w:color="auto"/>
        <w:bottom w:val="none" w:sz="0" w:space="0" w:color="auto"/>
        <w:right w:val="none" w:sz="0" w:space="0" w:color="auto"/>
      </w:divBdr>
    </w:div>
    <w:div w:id="1858231685">
      <w:bodyDiv w:val="1"/>
      <w:marLeft w:val="0"/>
      <w:marRight w:val="0"/>
      <w:marTop w:val="0"/>
      <w:marBottom w:val="0"/>
      <w:divBdr>
        <w:top w:val="none" w:sz="0" w:space="0" w:color="auto"/>
        <w:left w:val="none" w:sz="0" w:space="0" w:color="auto"/>
        <w:bottom w:val="none" w:sz="0" w:space="0" w:color="auto"/>
        <w:right w:val="none" w:sz="0" w:space="0" w:color="auto"/>
      </w:divBdr>
    </w:div>
    <w:div w:id="1861624510">
      <w:bodyDiv w:val="1"/>
      <w:marLeft w:val="0"/>
      <w:marRight w:val="0"/>
      <w:marTop w:val="0"/>
      <w:marBottom w:val="0"/>
      <w:divBdr>
        <w:top w:val="none" w:sz="0" w:space="0" w:color="auto"/>
        <w:left w:val="none" w:sz="0" w:space="0" w:color="auto"/>
        <w:bottom w:val="none" w:sz="0" w:space="0" w:color="auto"/>
        <w:right w:val="none" w:sz="0" w:space="0" w:color="auto"/>
      </w:divBdr>
    </w:div>
    <w:div w:id="1861968035">
      <w:bodyDiv w:val="1"/>
      <w:marLeft w:val="0"/>
      <w:marRight w:val="0"/>
      <w:marTop w:val="0"/>
      <w:marBottom w:val="0"/>
      <w:divBdr>
        <w:top w:val="none" w:sz="0" w:space="0" w:color="auto"/>
        <w:left w:val="none" w:sz="0" w:space="0" w:color="auto"/>
        <w:bottom w:val="none" w:sz="0" w:space="0" w:color="auto"/>
        <w:right w:val="none" w:sz="0" w:space="0" w:color="auto"/>
      </w:divBdr>
    </w:div>
    <w:div w:id="1863545249">
      <w:bodyDiv w:val="1"/>
      <w:marLeft w:val="0"/>
      <w:marRight w:val="0"/>
      <w:marTop w:val="0"/>
      <w:marBottom w:val="0"/>
      <w:divBdr>
        <w:top w:val="none" w:sz="0" w:space="0" w:color="auto"/>
        <w:left w:val="none" w:sz="0" w:space="0" w:color="auto"/>
        <w:bottom w:val="none" w:sz="0" w:space="0" w:color="auto"/>
        <w:right w:val="none" w:sz="0" w:space="0" w:color="auto"/>
      </w:divBdr>
    </w:div>
    <w:div w:id="1885747891">
      <w:bodyDiv w:val="1"/>
      <w:marLeft w:val="0"/>
      <w:marRight w:val="0"/>
      <w:marTop w:val="0"/>
      <w:marBottom w:val="0"/>
      <w:divBdr>
        <w:top w:val="none" w:sz="0" w:space="0" w:color="auto"/>
        <w:left w:val="none" w:sz="0" w:space="0" w:color="auto"/>
        <w:bottom w:val="none" w:sz="0" w:space="0" w:color="auto"/>
        <w:right w:val="none" w:sz="0" w:space="0" w:color="auto"/>
      </w:divBdr>
    </w:div>
    <w:div w:id="1889680422">
      <w:bodyDiv w:val="1"/>
      <w:marLeft w:val="0"/>
      <w:marRight w:val="0"/>
      <w:marTop w:val="0"/>
      <w:marBottom w:val="0"/>
      <w:divBdr>
        <w:top w:val="none" w:sz="0" w:space="0" w:color="auto"/>
        <w:left w:val="none" w:sz="0" w:space="0" w:color="auto"/>
        <w:bottom w:val="none" w:sz="0" w:space="0" w:color="auto"/>
        <w:right w:val="none" w:sz="0" w:space="0" w:color="auto"/>
      </w:divBdr>
    </w:div>
    <w:div w:id="1891843582">
      <w:bodyDiv w:val="1"/>
      <w:marLeft w:val="0"/>
      <w:marRight w:val="0"/>
      <w:marTop w:val="0"/>
      <w:marBottom w:val="0"/>
      <w:divBdr>
        <w:top w:val="none" w:sz="0" w:space="0" w:color="auto"/>
        <w:left w:val="none" w:sz="0" w:space="0" w:color="auto"/>
        <w:bottom w:val="none" w:sz="0" w:space="0" w:color="auto"/>
        <w:right w:val="none" w:sz="0" w:space="0" w:color="auto"/>
      </w:divBdr>
    </w:div>
    <w:div w:id="1898279755">
      <w:bodyDiv w:val="1"/>
      <w:marLeft w:val="0"/>
      <w:marRight w:val="0"/>
      <w:marTop w:val="0"/>
      <w:marBottom w:val="0"/>
      <w:divBdr>
        <w:top w:val="none" w:sz="0" w:space="0" w:color="auto"/>
        <w:left w:val="none" w:sz="0" w:space="0" w:color="auto"/>
        <w:bottom w:val="none" w:sz="0" w:space="0" w:color="auto"/>
        <w:right w:val="none" w:sz="0" w:space="0" w:color="auto"/>
      </w:divBdr>
    </w:div>
    <w:div w:id="1901549512">
      <w:bodyDiv w:val="1"/>
      <w:marLeft w:val="0"/>
      <w:marRight w:val="0"/>
      <w:marTop w:val="0"/>
      <w:marBottom w:val="0"/>
      <w:divBdr>
        <w:top w:val="none" w:sz="0" w:space="0" w:color="auto"/>
        <w:left w:val="none" w:sz="0" w:space="0" w:color="auto"/>
        <w:bottom w:val="none" w:sz="0" w:space="0" w:color="auto"/>
        <w:right w:val="none" w:sz="0" w:space="0" w:color="auto"/>
      </w:divBdr>
    </w:div>
    <w:div w:id="1909613293">
      <w:bodyDiv w:val="1"/>
      <w:marLeft w:val="0"/>
      <w:marRight w:val="0"/>
      <w:marTop w:val="0"/>
      <w:marBottom w:val="0"/>
      <w:divBdr>
        <w:top w:val="none" w:sz="0" w:space="0" w:color="auto"/>
        <w:left w:val="none" w:sz="0" w:space="0" w:color="auto"/>
        <w:bottom w:val="none" w:sz="0" w:space="0" w:color="auto"/>
        <w:right w:val="none" w:sz="0" w:space="0" w:color="auto"/>
      </w:divBdr>
    </w:div>
    <w:div w:id="1910185763">
      <w:bodyDiv w:val="1"/>
      <w:marLeft w:val="0"/>
      <w:marRight w:val="0"/>
      <w:marTop w:val="0"/>
      <w:marBottom w:val="0"/>
      <w:divBdr>
        <w:top w:val="none" w:sz="0" w:space="0" w:color="auto"/>
        <w:left w:val="none" w:sz="0" w:space="0" w:color="auto"/>
        <w:bottom w:val="none" w:sz="0" w:space="0" w:color="auto"/>
        <w:right w:val="none" w:sz="0" w:space="0" w:color="auto"/>
      </w:divBdr>
    </w:div>
    <w:div w:id="1925215655">
      <w:bodyDiv w:val="1"/>
      <w:marLeft w:val="0"/>
      <w:marRight w:val="0"/>
      <w:marTop w:val="0"/>
      <w:marBottom w:val="0"/>
      <w:divBdr>
        <w:top w:val="none" w:sz="0" w:space="0" w:color="auto"/>
        <w:left w:val="none" w:sz="0" w:space="0" w:color="auto"/>
        <w:bottom w:val="none" w:sz="0" w:space="0" w:color="auto"/>
        <w:right w:val="none" w:sz="0" w:space="0" w:color="auto"/>
      </w:divBdr>
    </w:div>
    <w:div w:id="1928223557">
      <w:bodyDiv w:val="1"/>
      <w:marLeft w:val="0"/>
      <w:marRight w:val="0"/>
      <w:marTop w:val="0"/>
      <w:marBottom w:val="0"/>
      <w:divBdr>
        <w:top w:val="none" w:sz="0" w:space="0" w:color="auto"/>
        <w:left w:val="none" w:sz="0" w:space="0" w:color="auto"/>
        <w:bottom w:val="none" w:sz="0" w:space="0" w:color="auto"/>
        <w:right w:val="none" w:sz="0" w:space="0" w:color="auto"/>
      </w:divBdr>
    </w:div>
    <w:div w:id="1936555263">
      <w:bodyDiv w:val="1"/>
      <w:marLeft w:val="0"/>
      <w:marRight w:val="0"/>
      <w:marTop w:val="0"/>
      <w:marBottom w:val="0"/>
      <w:divBdr>
        <w:top w:val="none" w:sz="0" w:space="0" w:color="auto"/>
        <w:left w:val="none" w:sz="0" w:space="0" w:color="auto"/>
        <w:bottom w:val="none" w:sz="0" w:space="0" w:color="auto"/>
        <w:right w:val="none" w:sz="0" w:space="0" w:color="auto"/>
      </w:divBdr>
    </w:div>
    <w:div w:id="1941327390">
      <w:bodyDiv w:val="1"/>
      <w:marLeft w:val="0"/>
      <w:marRight w:val="0"/>
      <w:marTop w:val="0"/>
      <w:marBottom w:val="0"/>
      <w:divBdr>
        <w:top w:val="none" w:sz="0" w:space="0" w:color="auto"/>
        <w:left w:val="none" w:sz="0" w:space="0" w:color="auto"/>
        <w:bottom w:val="none" w:sz="0" w:space="0" w:color="auto"/>
        <w:right w:val="none" w:sz="0" w:space="0" w:color="auto"/>
      </w:divBdr>
    </w:div>
    <w:div w:id="1943418236">
      <w:bodyDiv w:val="1"/>
      <w:marLeft w:val="0"/>
      <w:marRight w:val="0"/>
      <w:marTop w:val="0"/>
      <w:marBottom w:val="0"/>
      <w:divBdr>
        <w:top w:val="none" w:sz="0" w:space="0" w:color="auto"/>
        <w:left w:val="none" w:sz="0" w:space="0" w:color="auto"/>
        <w:bottom w:val="none" w:sz="0" w:space="0" w:color="auto"/>
        <w:right w:val="none" w:sz="0" w:space="0" w:color="auto"/>
      </w:divBdr>
    </w:div>
    <w:div w:id="1948080593">
      <w:bodyDiv w:val="1"/>
      <w:marLeft w:val="0"/>
      <w:marRight w:val="0"/>
      <w:marTop w:val="0"/>
      <w:marBottom w:val="0"/>
      <w:divBdr>
        <w:top w:val="none" w:sz="0" w:space="0" w:color="auto"/>
        <w:left w:val="none" w:sz="0" w:space="0" w:color="auto"/>
        <w:bottom w:val="none" w:sz="0" w:space="0" w:color="auto"/>
        <w:right w:val="none" w:sz="0" w:space="0" w:color="auto"/>
      </w:divBdr>
    </w:div>
    <w:div w:id="1953897154">
      <w:bodyDiv w:val="1"/>
      <w:marLeft w:val="0"/>
      <w:marRight w:val="0"/>
      <w:marTop w:val="0"/>
      <w:marBottom w:val="0"/>
      <w:divBdr>
        <w:top w:val="none" w:sz="0" w:space="0" w:color="auto"/>
        <w:left w:val="none" w:sz="0" w:space="0" w:color="auto"/>
        <w:bottom w:val="none" w:sz="0" w:space="0" w:color="auto"/>
        <w:right w:val="none" w:sz="0" w:space="0" w:color="auto"/>
      </w:divBdr>
    </w:div>
    <w:div w:id="1964001027">
      <w:bodyDiv w:val="1"/>
      <w:marLeft w:val="0"/>
      <w:marRight w:val="0"/>
      <w:marTop w:val="0"/>
      <w:marBottom w:val="0"/>
      <w:divBdr>
        <w:top w:val="none" w:sz="0" w:space="0" w:color="auto"/>
        <w:left w:val="none" w:sz="0" w:space="0" w:color="auto"/>
        <w:bottom w:val="none" w:sz="0" w:space="0" w:color="auto"/>
        <w:right w:val="none" w:sz="0" w:space="0" w:color="auto"/>
      </w:divBdr>
    </w:div>
    <w:div w:id="1967814686">
      <w:bodyDiv w:val="1"/>
      <w:marLeft w:val="0"/>
      <w:marRight w:val="0"/>
      <w:marTop w:val="0"/>
      <w:marBottom w:val="0"/>
      <w:divBdr>
        <w:top w:val="none" w:sz="0" w:space="0" w:color="auto"/>
        <w:left w:val="none" w:sz="0" w:space="0" w:color="auto"/>
        <w:bottom w:val="none" w:sz="0" w:space="0" w:color="auto"/>
        <w:right w:val="none" w:sz="0" w:space="0" w:color="auto"/>
      </w:divBdr>
    </w:div>
    <w:div w:id="1972396037">
      <w:bodyDiv w:val="1"/>
      <w:marLeft w:val="0"/>
      <w:marRight w:val="0"/>
      <w:marTop w:val="0"/>
      <w:marBottom w:val="0"/>
      <w:divBdr>
        <w:top w:val="none" w:sz="0" w:space="0" w:color="auto"/>
        <w:left w:val="none" w:sz="0" w:space="0" w:color="auto"/>
        <w:bottom w:val="none" w:sz="0" w:space="0" w:color="auto"/>
        <w:right w:val="none" w:sz="0" w:space="0" w:color="auto"/>
      </w:divBdr>
    </w:div>
    <w:div w:id="1973511346">
      <w:bodyDiv w:val="1"/>
      <w:marLeft w:val="0"/>
      <w:marRight w:val="0"/>
      <w:marTop w:val="0"/>
      <w:marBottom w:val="0"/>
      <w:divBdr>
        <w:top w:val="none" w:sz="0" w:space="0" w:color="auto"/>
        <w:left w:val="none" w:sz="0" w:space="0" w:color="auto"/>
        <w:bottom w:val="none" w:sz="0" w:space="0" w:color="auto"/>
        <w:right w:val="none" w:sz="0" w:space="0" w:color="auto"/>
      </w:divBdr>
    </w:div>
    <w:div w:id="1973559263">
      <w:bodyDiv w:val="1"/>
      <w:marLeft w:val="0"/>
      <w:marRight w:val="0"/>
      <w:marTop w:val="0"/>
      <w:marBottom w:val="0"/>
      <w:divBdr>
        <w:top w:val="none" w:sz="0" w:space="0" w:color="auto"/>
        <w:left w:val="none" w:sz="0" w:space="0" w:color="auto"/>
        <w:bottom w:val="none" w:sz="0" w:space="0" w:color="auto"/>
        <w:right w:val="none" w:sz="0" w:space="0" w:color="auto"/>
      </w:divBdr>
    </w:div>
    <w:div w:id="1976904885">
      <w:bodyDiv w:val="1"/>
      <w:marLeft w:val="0"/>
      <w:marRight w:val="0"/>
      <w:marTop w:val="0"/>
      <w:marBottom w:val="0"/>
      <w:divBdr>
        <w:top w:val="none" w:sz="0" w:space="0" w:color="auto"/>
        <w:left w:val="none" w:sz="0" w:space="0" w:color="auto"/>
        <w:bottom w:val="none" w:sz="0" w:space="0" w:color="auto"/>
        <w:right w:val="none" w:sz="0" w:space="0" w:color="auto"/>
      </w:divBdr>
    </w:div>
    <w:div w:id="1983266174">
      <w:bodyDiv w:val="1"/>
      <w:marLeft w:val="0"/>
      <w:marRight w:val="0"/>
      <w:marTop w:val="0"/>
      <w:marBottom w:val="0"/>
      <w:divBdr>
        <w:top w:val="none" w:sz="0" w:space="0" w:color="auto"/>
        <w:left w:val="none" w:sz="0" w:space="0" w:color="auto"/>
        <w:bottom w:val="none" w:sz="0" w:space="0" w:color="auto"/>
        <w:right w:val="none" w:sz="0" w:space="0" w:color="auto"/>
      </w:divBdr>
    </w:div>
    <w:div w:id="1988047709">
      <w:bodyDiv w:val="1"/>
      <w:marLeft w:val="0"/>
      <w:marRight w:val="0"/>
      <w:marTop w:val="0"/>
      <w:marBottom w:val="0"/>
      <w:divBdr>
        <w:top w:val="none" w:sz="0" w:space="0" w:color="auto"/>
        <w:left w:val="none" w:sz="0" w:space="0" w:color="auto"/>
        <w:bottom w:val="none" w:sz="0" w:space="0" w:color="auto"/>
        <w:right w:val="none" w:sz="0" w:space="0" w:color="auto"/>
      </w:divBdr>
    </w:div>
    <w:div w:id="1995835471">
      <w:bodyDiv w:val="1"/>
      <w:marLeft w:val="0"/>
      <w:marRight w:val="0"/>
      <w:marTop w:val="0"/>
      <w:marBottom w:val="0"/>
      <w:divBdr>
        <w:top w:val="none" w:sz="0" w:space="0" w:color="auto"/>
        <w:left w:val="none" w:sz="0" w:space="0" w:color="auto"/>
        <w:bottom w:val="none" w:sz="0" w:space="0" w:color="auto"/>
        <w:right w:val="none" w:sz="0" w:space="0" w:color="auto"/>
      </w:divBdr>
    </w:div>
    <w:div w:id="2000646254">
      <w:bodyDiv w:val="1"/>
      <w:marLeft w:val="0"/>
      <w:marRight w:val="0"/>
      <w:marTop w:val="0"/>
      <w:marBottom w:val="0"/>
      <w:divBdr>
        <w:top w:val="none" w:sz="0" w:space="0" w:color="auto"/>
        <w:left w:val="none" w:sz="0" w:space="0" w:color="auto"/>
        <w:bottom w:val="none" w:sz="0" w:space="0" w:color="auto"/>
        <w:right w:val="none" w:sz="0" w:space="0" w:color="auto"/>
      </w:divBdr>
    </w:div>
    <w:div w:id="2002997612">
      <w:bodyDiv w:val="1"/>
      <w:marLeft w:val="0"/>
      <w:marRight w:val="0"/>
      <w:marTop w:val="0"/>
      <w:marBottom w:val="0"/>
      <w:divBdr>
        <w:top w:val="none" w:sz="0" w:space="0" w:color="auto"/>
        <w:left w:val="none" w:sz="0" w:space="0" w:color="auto"/>
        <w:bottom w:val="none" w:sz="0" w:space="0" w:color="auto"/>
        <w:right w:val="none" w:sz="0" w:space="0" w:color="auto"/>
      </w:divBdr>
    </w:div>
    <w:div w:id="2009673594">
      <w:bodyDiv w:val="1"/>
      <w:marLeft w:val="0"/>
      <w:marRight w:val="0"/>
      <w:marTop w:val="0"/>
      <w:marBottom w:val="0"/>
      <w:divBdr>
        <w:top w:val="none" w:sz="0" w:space="0" w:color="auto"/>
        <w:left w:val="none" w:sz="0" w:space="0" w:color="auto"/>
        <w:bottom w:val="none" w:sz="0" w:space="0" w:color="auto"/>
        <w:right w:val="none" w:sz="0" w:space="0" w:color="auto"/>
      </w:divBdr>
    </w:div>
    <w:div w:id="2014917666">
      <w:bodyDiv w:val="1"/>
      <w:marLeft w:val="0"/>
      <w:marRight w:val="0"/>
      <w:marTop w:val="0"/>
      <w:marBottom w:val="0"/>
      <w:divBdr>
        <w:top w:val="none" w:sz="0" w:space="0" w:color="auto"/>
        <w:left w:val="none" w:sz="0" w:space="0" w:color="auto"/>
        <w:bottom w:val="none" w:sz="0" w:space="0" w:color="auto"/>
        <w:right w:val="none" w:sz="0" w:space="0" w:color="auto"/>
      </w:divBdr>
    </w:div>
    <w:div w:id="2018458924">
      <w:bodyDiv w:val="1"/>
      <w:marLeft w:val="0"/>
      <w:marRight w:val="0"/>
      <w:marTop w:val="0"/>
      <w:marBottom w:val="0"/>
      <w:divBdr>
        <w:top w:val="none" w:sz="0" w:space="0" w:color="auto"/>
        <w:left w:val="none" w:sz="0" w:space="0" w:color="auto"/>
        <w:bottom w:val="none" w:sz="0" w:space="0" w:color="auto"/>
        <w:right w:val="none" w:sz="0" w:space="0" w:color="auto"/>
      </w:divBdr>
    </w:div>
    <w:div w:id="2024475219">
      <w:bodyDiv w:val="1"/>
      <w:marLeft w:val="0"/>
      <w:marRight w:val="0"/>
      <w:marTop w:val="0"/>
      <w:marBottom w:val="0"/>
      <w:divBdr>
        <w:top w:val="none" w:sz="0" w:space="0" w:color="auto"/>
        <w:left w:val="none" w:sz="0" w:space="0" w:color="auto"/>
        <w:bottom w:val="none" w:sz="0" w:space="0" w:color="auto"/>
        <w:right w:val="none" w:sz="0" w:space="0" w:color="auto"/>
      </w:divBdr>
    </w:div>
    <w:div w:id="2027831392">
      <w:bodyDiv w:val="1"/>
      <w:marLeft w:val="0"/>
      <w:marRight w:val="0"/>
      <w:marTop w:val="0"/>
      <w:marBottom w:val="0"/>
      <w:divBdr>
        <w:top w:val="none" w:sz="0" w:space="0" w:color="auto"/>
        <w:left w:val="none" w:sz="0" w:space="0" w:color="auto"/>
        <w:bottom w:val="none" w:sz="0" w:space="0" w:color="auto"/>
        <w:right w:val="none" w:sz="0" w:space="0" w:color="auto"/>
      </w:divBdr>
    </w:div>
    <w:div w:id="2037344077">
      <w:bodyDiv w:val="1"/>
      <w:marLeft w:val="0"/>
      <w:marRight w:val="0"/>
      <w:marTop w:val="0"/>
      <w:marBottom w:val="0"/>
      <w:divBdr>
        <w:top w:val="none" w:sz="0" w:space="0" w:color="auto"/>
        <w:left w:val="none" w:sz="0" w:space="0" w:color="auto"/>
        <w:bottom w:val="none" w:sz="0" w:space="0" w:color="auto"/>
        <w:right w:val="none" w:sz="0" w:space="0" w:color="auto"/>
      </w:divBdr>
    </w:div>
    <w:div w:id="2039161669">
      <w:bodyDiv w:val="1"/>
      <w:marLeft w:val="0"/>
      <w:marRight w:val="0"/>
      <w:marTop w:val="0"/>
      <w:marBottom w:val="0"/>
      <w:divBdr>
        <w:top w:val="none" w:sz="0" w:space="0" w:color="auto"/>
        <w:left w:val="none" w:sz="0" w:space="0" w:color="auto"/>
        <w:bottom w:val="none" w:sz="0" w:space="0" w:color="auto"/>
        <w:right w:val="none" w:sz="0" w:space="0" w:color="auto"/>
      </w:divBdr>
    </w:div>
    <w:div w:id="2048950070">
      <w:bodyDiv w:val="1"/>
      <w:marLeft w:val="0"/>
      <w:marRight w:val="0"/>
      <w:marTop w:val="0"/>
      <w:marBottom w:val="0"/>
      <w:divBdr>
        <w:top w:val="none" w:sz="0" w:space="0" w:color="auto"/>
        <w:left w:val="none" w:sz="0" w:space="0" w:color="auto"/>
        <w:bottom w:val="none" w:sz="0" w:space="0" w:color="auto"/>
        <w:right w:val="none" w:sz="0" w:space="0" w:color="auto"/>
      </w:divBdr>
    </w:div>
    <w:div w:id="2049140459">
      <w:bodyDiv w:val="1"/>
      <w:marLeft w:val="0"/>
      <w:marRight w:val="0"/>
      <w:marTop w:val="0"/>
      <w:marBottom w:val="0"/>
      <w:divBdr>
        <w:top w:val="none" w:sz="0" w:space="0" w:color="auto"/>
        <w:left w:val="none" w:sz="0" w:space="0" w:color="auto"/>
        <w:bottom w:val="none" w:sz="0" w:space="0" w:color="auto"/>
        <w:right w:val="none" w:sz="0" w:space="0" w:color="auto"/>
      </w:divBdr>
    </w:div>
    <w:div w:id="2051806555">
      <w:bodyDiv w:val="1"/>
      <w:marLeft w:val="0"/>
      <w:marRight w:val="0"/>
      <w:marTop w:val="0"/>
      <w:marBottom w:val="0"/>
      <w:divBdr>
        <w:top w:val="none" w:sz="0" w:space="0" w:color="auto"/>
        <w:left w:val="none" w:sz="0" w:space="0" w:color="auto"/>
        <w:bottom w:val="none" w:sz="0" w:space="0" w:color="auto"/>
        <w:right w:val="none" w:sz="0" w:space="0" w:color="auto"/>
      </w:divBdr>
    </w:div>
    <w:div w:id="2051878747">
      <w:bodyDiv w:val="1"/>
      <w:marLeft w:val="0"/>
      <w:marRight w:val="0"/>
      <w:marTop w:val="0"/>
      <w:marBottom w:val="0"/>
      <w:divBdr>
        <w:top w:val="none" w:sz="0" w:space="0" w:color="auto"/>
        <w:left w:val="none" w:sz="0" w:space="0" w:color="auto"/>
        <w:bottom w:val="none" w:sz="0" w:space="0" w:color="auto"/>
        <w:right w:val="none" w:sz="0" w:space="0" w:color="auto"/>
      </w:divBdr>
    </w:div>
    <w:div w:id="2052722884">
      <w:bodyDiv w:val="1"/>
      <w:marLeft w:val="0"/>
      <w:marRight w:val="0"/>
      <w:marTop w:val="0"/>
      <w:marBottom w:val="0"/>
      <w:divBdr>
        <w:top w:val="none" w:sz="0" w:space="0" w:color="auto"/>
        <w:left w:val="none" w:sz="0" w:space="0" w:color="auto"/>
        <w:bottom w:val="none" w:sz="0" w:space="0" w:color="auto"/>
        <w:right w:val="none" w:sz="0" w:space="0" w:color="auto"/>
      </w:divBdr>
    </w:div>
    <w:div w:id="2061632280">
      <w:bodyDiv w:val="1"/>
      <w:marLeft w:val="0"/>
      <w:marRight w:val="0"/>
      <w:marTop w:val="0"/>
      <w:marBottom w:val="0"/>
      <w:divBdr>
        <w:top w:val="none" w:sz="0" w:space="0" w:color="auto"/>
        <w:left w:val="none" w:sz="0" w:space="0" w:color="auto"/>
        <w:bottom w:val="none" w:sz="0" w:space="0" w:color="auto"/>
        <w:right w:val="none" w:sz="0" w:space="0" w:color="auto"/>
      </w:divBdr>
    </w:div>
    <w:div w:id="2073962926">
      <w:bodyDiv w:val="1"/>
      <w:marLeft w:val="0"/>
      <w:marRight w:val="0"/>
      <w:marTop w:val="0"/>
      <w:marBottom w:val="0"/>
      <w:divBdr>
        <w:top w:val="none" w:sz="0" w:space="0" w:color="auto"/>
        <w:left w:val="none" w:sz="0" w:space="0" w:color="auto"/>
        <w:bottom w:val="none" w:sz="0" w:space="0" w:color="auto"/>
        <w:right w:val="none" w:sz="0" w:space="0" w:color="auto"/>
      </w:divBdr>
    </w:div>
    <w:div w:id="2086023725">
      <w:bodyDiv w:val="1"/>
      <w:marLeft w:val="0"/>
      <w:marRight w:val="0"/>
      <w:marTop w:val="0"/>
      <w:marBottom w:val="0"/>
      <w:divBdr>
        <w:top w:val="none" w:sz="0" w:space="0" w:color="auto"/>
        <w:left w:val="none" w:sz="0" w:space="0" w:color="auto"/>
        <w:bottom w:val="none" w:sz="0" w:space="0" w:color="auto"/>
        <w:right w:val="none" w:sz="0" w:space="0" w:color="auto"/>
      </w:divBdr>
    </w:div>
    <w:div w:id="2096121981">
      <w:bodyDiv w:val="1"/>
      <w:marLeft w:val="0"/>
      <w:marRight w:val="0"/>
      <w:marTop w:val="0"/>
      <w:marBottom w:val="0"/>
      <w:divBdr>
        <w:top w:val="none" w:sz="0" w:space="0" w:color="auto"/>
        <w:left w:val="none" w:sz="0" w:space="0" w:color="auto"/>
        <w:bottom w:val="none" w:sz="0" w:space="0" w:color="auto"/>
        <w:right w:val="none" w:sz="0" w:space="0" w:color="auto"/>
      </w:divBdr>
    </w:div>
    <w:div w:id="2098478248">
      <w:bodyDiv w:val="1"/>
      <w:marLeft w:val="0"/>
      <w:marRight w:val="0"/>
      <w:marTop w:val="0"/>
      <w:marBottom w:val="0"/>
      <w:divBdr>
        <w:top w:val="none" w:sz="0" w:space="0" w:color="auto"/>
        <w:left w:val="none" w:sz="0" w:space="0" w:color="auto"/>
        <w:bottom w:val="none" w:sz="0" w:space="0" w:color="auto"/>
        <w:right w:val="none" w:sz="0" w:space="0" w:color="auto"/>
      </w:divBdr>
    </w:div>
    <w:div w:id="2101095149">
      <w:bodyDiv w:val="1"/>
      <w:marLeft w:val="0"/>
      <w:marRight w:val="0"/>
      <w:marTop w:val="0"/>
      <w:marBottom w:val="0"/>
      <w:divBdr>
        <w:top w:val="none" w:sz="0" w:space="0" w:color="auto"/>
        <w:left w:val="none" w:sz="0" w:space="0" w:color="auto"/>
        <w:bottom w:val="none" w:sz="0" w:space="0" w:color="auto"/>
        <w:right w:val="none" w:sz="0" w:space="0" w:color="auto"/>
      </w:divBdr>
    </w:div>
    <w:div w:id="2101902386">
      <w:bodyDiv w:val="1"/>
      <w:marLeft w:val="0"/>
      <w:marRight w:val="0"/>
      <w:marTop w:val="0"/>
      <w:marBottom w:val="0"/>
      <w:divBdr>
        <w:top w:val="none" w:sz="0" w:space="0" w:color="auto"/>
        <w:left w:val="none" w:sz="0" w:space="0" w:color="auto"/>
        <w:bottom w:val="none" w:sz="0" w:space="0" w:color="auto"/>
        <w:right w:val="none" w:sz="0" w:space="0" w:color="auto"/>
      </w:divBdr>
    </w:div>
    <w:div w:id="2107917715">
      <w:bodyDiv w:val="1"/>
      <w:marLeft w:val="0"/>
      <w:marRight w:val="0"/>
      <w:marTop w:val="0"/>
      <w:marBottom w:val="0"/>
      <w:divBdr>
        <w:top w:val="none" w:sz="0" w:space="0" w:color="auto"/>
        <w:left w:val="none" w:sz="0" w:space="0" w:color="auto"/>
        <w:bottom w:val="none" w:sz="0" w:space="0" w:color="auto"/>
        <w:right w:val="none" w:sz="0" w:space="0" w:color="auto"/>
      </w:divBdr>
    </w:div>
    <w:div w:id="2122450863">
      <w:bodyDiv w:val="1"/>
      <w:marLeft w:val="0"/>
      <w:marRight w:val="0"/>
      <w:marTop w:val="0"/>
      <w:marBottom w:val="0"/>
      <w:divBdr>
        <w:top w:val="none" w:sz="0" w:space="0" w:color="auto"/>
        <w:left w:val="none" w:sz="0" w:space="0" w:color="auto"/>
        <w:bottom w:val="none" w:sz="0" w:space="0" w:color="auto"/>
        <w:right w:val="none" w:sz="0" w:space="0" w:color="auto"/>
      </w:divBdr>
    </w:div>
    <w:div w:id="2123064296">
      <w:bodyDiv w:val="1"/>
      <w:marLeft w:val="0"/>
      <w:marRight w:val="0"/>
      <w:marTop w:val="0"/>
      <w:marBottom w:val="0"/>
      <w:divBdr>
        <w:top w:val="none" w:sz="0" w:space="0" w:color="auto"/>
        <w:left w:val="none" w:sz="0" w:space="0" w:color="auto"/>
        <w:bottom w:val="none" w:sz="0" w:space="0" w:color="auto"/>
        <w:right w:val="none" w:sz="0" w:space="0" w:color="auto"/>
      </w:divBdr>
    </w:div>
    <w:div w:id="2126847962">
      <w:bodyDiv w:val="1"/>
      <w:marLeft w:val="0"/>
      <w:marRight w:val="0"/>
      <w:marTop w:val="0"/>
      <w:marBottom w:val="0"/>
      <w:divBdr>
        <w:top w:val="none" w:sz="0" w:space="0" w:color="auto"/>
        <w:left w:val="none" w:sz="0" w:space="0" w:color="auto"/>
        <w:bottom w:val="none" w:sz="0" w:space="0" w:color="auto"/>
        <w:right w:val="none" w:sz="0" w:space="0" w:color="auto"/>
      </w:divBdr>
    </w:div>
    <w:div w:id="2129006447">
      <w:bodyDiv w:val="1"/>
      <w:marLeft w:val="0"/>
      <w:marRight w:val="0"/>
      <w:marTop w:val="0"/>
      <w:marBottom w:val="0"/>
      <w:divBdr>
        <w:top w:val="none" w:sz="0" w:space="0" w:color="auto"/>
        <w:left w:val="none" w:sz="0" w:space="0" w:color="auto"/>
        <w:bottom w:val="none" w:sz="0" w:space="0" w:color="auto"/>
        <w:right w:val="none" w:sz="0" w:space="0" w:color="auto"/>
      </w:divBdr>
    </w:div>
    <w:div w:id="2130078230">
      <w:bodyDiv w:val="1"/>
      <w:marLeft w:val="0"/>
      <w:marRight w:val="0"/>
      <w:marTop w:val="0"/>
      <w:marBottom w:val="0"/>
      <w:divBdr>
        <w:top w:val="none" w:sz="0" w:space="0" w:color="auto"/>
        <w:left w:val="none" w:sz="0" w:space="0" w:color="auto"/>
        <w:bottom w:val="none" w:sz="0" w:space="0" w:color="auto"/>
        <w:right w:val="none" w:sz="0" w:space="0" w:color="auto"/>
      </w:divBdr>
    </w:div>
    <w:div w:id="2131052058">
      <w:bodyDiv w:val="1"/>
      <w:marLeft w:val="0"/>
      <w:marRight w:val="0"/>
      <w:marTop w:val="0"/>
      <w:marBottom w:val="0"/>
      <w:divBdr>
        <w:top w:val="none" w:sz="0" w:space="0" w:color="auto"/>
        <w:left w:val="none" w:sz="0" w:space="0" w:color="auto"/>
        <w:bottom w:val="none" w:sz="0" w:space="0" w:color="auto"/>
        <w:right w:val="none" w:sz="0" w:space="0" w:color="auto"/>
      </w:divBdr>
    </w:div>
    <w:div w:id="2133134781">
      <w:bodyDiv w:val="1"/>
      <w:marLeft w:val="0"/>
      <w:marRight w:val="0"/>
      <w:marTop w:val="0"/>
      <w:marBottom w:val="0"/>
      <w:divBdr>
        <w:top w:val="none" w:sz="0" w:space="0" w:color="auto"/>
        <w:left w:val="none" w:sz="0" w:space="0" w:color="auto"/>
        <w:bottom w:val="none" w:sz="0" w:space="0" w:color="auto"/>
        <w:right w:val="none" w:sz="0" w:space="0" w:color="auto"/>
      </w:divBdr>
    </w:div>
    <w:div w:id="2134515623">
      <w:bodyDiv w:val="1"/>
      <w:marLeft w:val="0"/>
      <w:marRight w:val="0"/>
      <w:marTop w:val="0"/>
      <w:marBottom w:val="0"/>
      <w:divBdr>
        <w:top w:val="none" w:sz="0" w:space="0" w:color="auto"/>
        <w:left w:val="none" w:sz="0" w:space="0" w:color="auto"/>
        <w:bottom w:val="none" w:sz="0" w:space="0" w:color="auto"/>
        <w:right w:val="none" w:sz="0" w:space="0" w:color="auto"/>
      </w:divBdr>
    </w:div>
    <w:div w:id="2137288366">
      <w:bodyDiv w:val="1"/>
      <w:marLeft w:val="0"/>
      <w:marRight w:val="0"/>
      <w:marTop w:val="0"/>
      <w:marBottom w:val="0"/>
      <w:divBdr>
        <w:top w:val="none" w:sz="0" w:space="0" w:color="auto"/>
        <w:left w:val="none" w:sz="0" w:space="0" w:color="auto"/>
        <w:bottom w:val="none" w:sz="0" w:space="0" w:color="auto"/>
        <w:right w:val="none" w:sz="0" w:space="0" w:color="auto"/>
      </w:divBdr>
    </w:div>
    <w:div w:id="213806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61.xml"/><Relationship Id="rId21" Type="http://schemas.openxmlformats.org/officeDocument/2006/relationships/footer" Target="footer5.xml"/><Relationship Id="rId42" Type="http://schemas.openxmlformats.org/officeDocument/2006/relationships/footer" Target="footer18.xml"/><Relationship Id="rId63" Type="http://schemas.openxmlformats.org/officeDocument/2006/relationships/footer" Target="footer31.xml"/><Relationship Id="rId84" Type="http://schemas.openxmlformats.org/officeDocument/2006/relationships/footer" Target="footer43.xml"/><Relationship Id="rId138" Type="http://schemas.openxmlformats.org/officeDocument/2006/relationships/footer" Target="footer74.xml"/><Relationship Id="rId159" Type="http://schemas.openxmlformats.org/officeDocument/2006/relationships/header" Target="header63.xml"/><Relationship Id="rId107" Type="http://schemas.openxmlformats.org/officeDocument/2006/relationships/footer" Target="footer55.xml"/><Relationship Id="rId11" Type="http://schemas.openxmlformats.org/officeDocument/2006/relationships/header" Target="header2.xml"/><Relationship Id="rId32" Type="http://schemas.openxmlformats.org/officeDocument/2006/relationships/footer" Target="footer11.xml"/><Relationship Id="rId53" Type="http://schemas.openxmlformats.org/officeDocument/2006/relationships/header" Target="header17.xml"/><Relationship Id="rId74" Type="http://schemas.openxmlformats.org/officeDocument/2006/relationships/header" Target="header26.xml"/><Relationship Id="rId128" Type="http://schemas.openxmlformats.org/officeDocument/2006/relationships/footer" Target="footer68.xml"/><Relationship Id="rId149" Type="http://schemas.openxmlformats.org/officeDocument/2006/relationships/footer" Target="footer80.xml"/><Relationship Id="rId5" Type="http://schemas.openxmlformats.org/officeDocument/2006/relationships/webSettings" Target="webSettings.xml"/><Relationship Id="rId95" Type="http://schemas.openxmlformats.org/officeDocument/2006/relationships/header" Target="header36.xml"/><Relationship Id="rId160" Type="http://schemas.openxmlformats.org/officeDocument/2006/relationships/footer" Target="footer86.xml"/><Relationship Id="rId22" Type="http://schemas.openxmlformats.org/officeDocument/2006/relationships/header" Target="header7.xml"/><Relationship Id="rId43" Type="http://schemas.openxmlformats.org/officeDocument/2006/relationships/header" Target="header14.xml"/><Relationship Id="rId64" Type="http://schemas.openxmlformats.org/officeDocument/2006/relationships/footer" Target="footer32.xml"/><Relationship Id="rId118" Type="http://schemas.openxmlformats.org/officeDocument/2006/relationships/footer" Target="footer62.xml"/><Relationship Id="rId139" Type="http://schemas.openxmlformats.org/officeDocument/2006/relationships/footer" Target="footer75.xml"/><Relationship Id="rId85" Type="http://schemas.openxmlformats.org/officeDocument/2006/relationships/header" Target="header31.xml"/><Relationship Id="rId150" Type="http://schemas.openxmlformats.org/officeDocument/2006/relationships/header" Target="header59.xml"/><Relationship Id="rId12" Type="http://schemas.openxmlformats.org/officeDocument/2006/relationships/image" Target="media/image1.jpeg"/><Relationship Id="rId17" Type="http://schemas.openxmlformats.org/officeDocument/2006/relationships/footer" Target="footer3.xml"/><Relationship Id="rId33" Type="http://schemas.openxmlformats.org/officeDocument/2006/relationships/footer" Target="footer12.xml"/><Relationship Id="rId38" Type="http://schemas.openxmlformats.org/officeDocument/2006/relationships/footer" Target="footer15.xml"/><Relationship Id="rId59" Type="http://schemas.openxmlformats.org/officeDocument/2006/relationships/footer" Target="footer29.xml"/><Relationship Id="rId103" Type="http://schemas.openxmlformats.org/officeDocument/2006/relationships/header" Target="header40.xml"/><Relationship Id="rId108" Type="http://schemas.openxmlformats.org/officeDocument/2006/relationships/footer" Target="footer56.xml"/><Relationship Id="rId124" Type="http://schemas.openxmlformats.org/officeDocument/2006/relationships/footer" Target="footer65.xml"/><Relationship Id="rId129" Type="http://schemas.openxmlformats.org/officeDocument/2006/relationships/footer" Target="footer69.xml"/><Relationship Id="rId54" Type="http://schemas.openxmlformats.org/officeDocument/2006/relationships/header" Target="header18.xml"/><Relationship Id="rId70" Type="http://schemas.openxmlformats.org/officeDocument/2006/relationships/footer" Target="footer36.xml"/><Relationship Id="rId75" Type="http://schemas.openxmlformats.org/officeDocument/2006/relationships/footer" Target="footer38.xml"/><Relationship Id="rId91" Type="http://schemas.openxmlformats.org/officeDocument/2006/relationships/header" Target="header34.xml"/><Relationship Id="rId96" Type="http://schemas.openxmlformats.org/officeDocument/2006/relationships/footer" Target="footer49.xml"/><Relationship Id="rId140" Type="http://schemas.openxmlformats.org/officeDocument/2006/relationships/header" Target="header54.xml"/><Relationship Id="rId145" Type="http://schemas.openxmlformats.org/officeDocument/2006/relationships/footer" Target="footer78.xml"/><Relationship Id="rId161" Type="http://schemas.openxmlformats.org/officeDocument/2006/relationships/footer" Target="footer8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6.xml"/><Relationship Id="rId28" Type="http://schemas.openxmlformats.org/officeDocument/2006/relationships/footer" Target="footer8.xml"/><Relationship Id="rId49" Type="http://schemas.openxmlformats.org/officeDocument/2006/relationships/footer" Target="footer22.xml"/><Relationship Id="rId114" Type="http://schemas.openxmlformats.org/officeDocument/2006/relationships/footer" Target="footer59.xml"/><Relationship Id="rId119" Type="http://schemas.openxmlformats.org/officeDocument/2006/relationships/footer" Target="footer63.xml"/><Relationship Id="rId44" Type="http://schemas.openxmlformats.org/officeDocument/2006/relationships/footer" Target="footer19.xml"/><Relationship Id="rId60" Type="http://schemas.openxmlformats.org/officeDocument/2006/relationships/footer" Target="footer30.xml"/><Relationship Id="rId65" Type="http://schemas.openxmlformats.org/officeDocument/2006/relationships/footer" Target="footer33.xml"/><Relationship Id="rId81" Type="http://schemas.openxmlformats.org/officeDocument/2006/relationships/header" Target="header29.xml"/><Relationship Id="rId86" Type="http://schemas.openxmlformats.org/officeDocument/2006/relationships/footer" Target="footer44.xml"/><Relationship Id="rId130" Type="http://schemas.openxmlformats.org/officeDocument/2006/relationships/header" Target="header50.xml"/><Relationship Id="rId135" Type="http://schemas.openxmlformats.org/officeDocument/2006/relationships/header" Target="header53.xml"/><Relationship Id="rId151" Type="http://schemas.openxmlformats.org/officeDocument/2006/relationships/footer" Target="footer81.xml"/><Relationship Id="rId156" Type="http://schemas.openxmlformats.org/officeDocument/2006/relationships/footer" Target="footer84.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footer" Target="footer16.xml"/><Relationship Id="rId109" Type="http://schemas.openxmlformats.org/officeDocument/2006/relationships/footer" Target="footer57.xml"/><Relationship Id="rId34" Type="http://schemas.openxmlformats.org/officeDocument/2006/relationships/footer" Target="footer13.xml"/><Relationship Id="rId50" Type="http://schemas.openxmlformats.org/officeDocument/2006/relationships/footer" Target="footer23.xml"/><Relationship Id="rId55" Type="http://schemas.openxmlformats.org/officeDocument/2006/relationships/footer" Target="footer26.xml"/><Relationship Id="rId76" Type="http://schemas.openxmlformats.org/officeDocument/2006/relationships/header" Target="header27.xml"/><Relationship Id="rId97" Type="http://schemas.openxmlformats.org/officeDocument/2006/relationships/footer" Target="footer50.xml"/><Relationship Id="rId104" Type="http://schemas.openxmlformats.org/officeDocument/2006/relationships/footer" Target="footer53.xml"/><Relationship Id="rId120" Type="http://schemas.openxmlformats.org/officeDocument/2006/relationships/header" Target="header46.xml"/><Relationship Id="rId125" Type="http://schemas.openxmlformats.org/officeDocument/2006/relationships/footer" Target="footer66.xml"/><Relationship Id="rId141" Type="http://schemas.openxmlformats.org/officeDocument/2006/relationships/header" Target="header55.xml"/><Relationship Id="rId146" Type="http://schemas.openxmlformats.org/officeDocument/2006/relationships/footer" Target="footer79.xml"/><Relationship Id="rId7" Type="http://schemas.openxmlformats.org/officeDocument/2006/relationships/endnotes" Target="endnotes.xml"/><Relationship Id="rId71" Type="http://schemas.openxmlformats.org/officeDocument/2006/relationships/header" Target="header24.xml"/><Relationship Id="rId92" Type="http://schemas.openxmlformats.org/officeDocument/2006/relationships/footer" Target="footer47.xml"/><Relationship Id="rId162" Type="http://schemas.openxmlformats.org/officeDocument/2006/relationships/header" Target="header64.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image" Target="media/image4.png"/><Relationship Id="rId40" Type="http://schemas.openxmlformats.org/officeDocument/2006/relationships/footer" Target="footer17.xml"/><Relationship Id="rId45" Type="http://schemas.openxmlformats.org/officeDocument/2006/relationships/footer" Target="footer20.xml"/><Relationship Id="rId66" Type="http://schemas.openxmlformats.org/officeDocument/2006/relationships/header" Target="header22.xml"/><Relationship Id="rId87" Type="http://schemas.openxmlformats.org/officeDocument/2006/relationships/header" Target="header32.xml"/><Relationship Id="rId110" Type="http://schemas.openxmlformats.org/officeDocument/2006/relationships/header" Target="header42.xml"/><Relationship Id="rId115" Type="http://schemas.openxmlformats.org/officeDocument/2006/relationships/footer" Target="footer60.xml"/><Relationship Id="rId131" Type="http://schemas.openxmlformats.org/officeDocument/2006/relationships/header" Target="header51.xml"/><Relationship Id="rId136" Type="http://schemas.openxmlformats.org/officeDocument/2006/relationships/footer" Target="footer72.xml"/><Relationship Id="rId157" Type="http://schemas.openxmlformats.org/officeDocument/2006/relationships/header" Target="header62.xml"/><Relationship Id="rId61" Type="http://schemas.openxmlformats.org/officeDocument/2006/relationships/header" Target="header20.xml"/><Relationship Id="rId82" Type="http://schemas.openxmlformats.org/officeDocument/2006/relationships/footer" Target="footer42.xml"/><Relationship Id="rId152" Type="http://schemas.openxmlformats.org/officeDocument/2006/relationships/footer" Target="footer82.xml"/><Relationship Id="rId19" Type="http://schemas.openxmlformats.org/officeDocument/2006/relationships/footer" Target="footer4.xml"/><Relationship Id="rId14" Type="http://schemas.openxmlformats.org/officeDocument/2006/relationships/image" Target="media/image2.png"/><Relationship Id="rId30" Type="http://schemas.openxmlformats.org/officeDocument/2006/relationships/header" Target="header10.xml"/><Relationship Id="rId35" Type="http://schemas.openxmlformats.org/officeDocument/2006/relationships/header" Target="header11.xml"/><Relationship Id="rId56" Type="http://schemas.openxmlformats.org/officeDocument/2006/relationships/footer" Target="footer27.xml"/><Relationship Id="rId77" Type="http://schemas.openxmlformats.org/officeDocument/2006/relationships/footer" Target="footer39.xml"/><Relationship Id="rId100" Type="http://schemas.openxmlformats.org/officeDocument/2006/relationships/header" Target="header38.xml"/><Relationship Id="rId105" Type="http://schemas.openxmlformats.org/officeDocument/2006/relationships/footer" Target="footer54.xml"/><Relationship Id="rId126" Type="http://schemas.openxmlformats.org/officeDocument/2006/relationships/header" Target="header49.xml"/><Relationship Id="rId147" Type="http://schemas.openxmlformats.org/officeDocument/2006/relationships/header" Target="header57.xml"/><Relationship Id="rId8" Type="http://schemas.openxmlformats.org/officeDocument/2006/relationships/footer" Target="footer1.xml"/><Relationship Id="rId51" Type="http://schemas.openxmlformats.org/officeDocument/2006/relationships/footer" Target="footer24.xml"/><Relationship Id="rId72" Type="http://schemas.openxmlformats.org/officeDocument/2006/relationships/header" Target="header25.xml"/><Relationship Id="rId93" Type="http://schemas.openxmlformats.org/officeDocument/2006/relationships/header" Target="header35.xml"/><Relationship Id="rId98" Type="http://schemas.openxmlformats.org/officeDocument/2006/relationships/footer" Target="footer51.xml"/><Relationship Id="rId121" Type="http://schemas.openxmlformats.org/officeDocument/2006/relationships/header" Target="header47.xml"/><Relationship Id="rId142" Type="http://schemas.openxmlformats.org/officeDocument/2006/relationships/footer" Target="footer76.xml"/><Relationship Id="rId163" Type="http://schemas.openxmlformats.org/officeDocument/2006/relationships/header" Target="header65.xm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footer" Target="footer21.xml"/><Relationship Id="rId67" Type="http://schemas.openxmlformats.org/officeDocument/2006/relationships/header" Target="header23.xml"/><Relationship Id="rId116" Type="http://schemas.openxmlformats.org/officeDocument/2006/relationships/header" Target="header45.xml"/><Relationship Id="rId137" Type="http://schemas.openxmlformats.org/officeDocument/2006/relationships/footer" Target="footer73.xml"/><Relationship Id="rId158" Type="http://schemas.openxmlformats.org/officeDocument/2006/relationships/footer" Target="footer85.xml"/><Relationship Id="rId20" Type="http://schemas.openxmlformats.org/officeDocument/2006/relationships/header" Target="header6.xml"/><Relationship Id="rId41" Type="http://schemas.openxmlformats.org/officeDocument/2006/relationships/header" Target="header13.xml"/><Relationship Id="rId62" Type="http://schemas.openxmlformats.org/officeDocument/2006/relationships/header" Target="header21.xml"/><Relationship Id="rId83" Type="http://schemas.openxmlformats.org/officeDocument/2006/relationships/header" Target="header30.xml"/><Relationship Id="rId88" Type="http://schemas.openxmlformats.org/officeDocument/2006/relationships/footer" Target="footer45.xml"/><Relationship Id="rId111" Type="http://schemas.openxmlformats.org/officeDocument/2006/relationships/header" Target="header43.xml"/><Relationship Id="rId132" Type="http://schemas.openxmlformats.org/officeDocument/2006/relationships/footer" Target="footer70.xml"/><Relationship Id="rId153" Type="http://schemas.openxmlformats.org/officeDocument/2006/relationships/footer" Target="footer83.xml"/><Relationship Id="rId15" Type="http://schemas.openxmlformats.org/officeDocument/2006/relationships/image" Target="media/image3.png"/><Relationship Id="rId36" Type="http://schemas.openxmlformats.org/officeDocument/2006/relationships/footer" Target="footer14.xml"/><Relationship Id="rId57" Type="http://schemas.openxmlformats.org/officeDocument/2006/relationships/header" Target="header19.xml"/><Relationship Id="rId106" Type="http://schemas.openxmlformats.org/officeDocument/2006/relationships/header" Target="header41.xml"/><Relationship Id="rId127" Type="http://schemas.openxmlformats.org/officeDocument/2006/relationships/footer" Target="footer67.xml"/><Relationship Id="rId10" Type="http://schemas.openxmlformats.org/officeDocument/2006/relationships/footer" Target="footer2.xml"/><Relationship Id="rId31" Type="http://schemas.openxmlformats.org/officeDocument/2006/relationships/footer" Target="footer10.xml"/><Relationship Id="rId52" Type="http://schemas.openxmlformats.org/officeDocument/2006/relationships/footer" Target="footer25.xml"/><Relationship Id="rId73" Type="http://schemas.openxmlformats.org/officeDocument/2006/relationships/footer" Target="footer37.xml"/><Relationship Id="rId78" Type="http://schemas.openxmlformats.org/officeDocument/2006/relationships/footer" Target="footer40.xml"/><Relationship Id="rId94" Type="http://schemas.openxmlformats.org/officeDocument/2006/relationships/footer" Target="footer48.xml"/><Relationship Id="rId99" Type="http://schemas.openxmlformats.org/officeDocument/2006/relationships/header" Target="header37.xml"/><Relationship Id="rId101" Type="http://schemas.openxmlformats.org/officeDocument/2006/relationships/footer" Target="footer52.xml"/><Relationship Id="rId122" Type="http://schemas.openxmlformats.org/officeDocument/2006/relationships/footer" Target="footer64.xml"/><Relationship Id="rId143" Type="http://schemas.openxmlformats.org/officeDocument/2006/relationships/header" Target="header56.xml"/><Relationship Id="rId148" Type="http://schemas.openxmlformats.org/officeDocument/2006/relationships/header" Target="header58.xm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8.xml"/><Relationship Id="rId47" Type="http://schemas.openxmlformats.org/officeDocument/2006/relationships/header" Target="header15.xml"/><Relationship Id="rId68" Type="http://schemas.openxmlformats.org/officeDocument/2006/relationships/footer" Target="footer34.xml"/><Relationship Id="rId89" Type="http://schemas.openxmlformats.org/officeDocument/2006/relationships/footer" Target="footer46.xml"/><Relationship Id="rId112" Type="http://schemas.openxmlformats.org/officeDocument/2006/relationships/footer" Target="footer58.xml"/><Relationship Id="rId133" Type="http://schemas.openxmlformats.org/officeDocument/2006/relationships/header" Target="header52.xml"/><Relationship Id="rId154" Type="http://schemas.openxmlformats.org/officeDocument/2006/relationships/header" Target="header60.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footer" Target="footer28.xml"/><Relationship Id="rId79" Type="http://schemas.openxmlformats.org/officeDocument/2006/relationships/footer" Target="footer41.xml"/><Relationship Id="rId102" Type="http://schemas.openxmlformats.org/officeDocument/2006/relationships/header" Target="header39.xml"/><Relationship Id="rId123" Type="http://schemas.openxmlformats.org/officeDocument/2006/relationships/header" Target="header48.xml"/><Relationship Id="rId144" Type="http://schemas.openxmlformats.org/officeDocument/2006/relationships/footer" Target="footer77.xml"/><Relationship Id="rId90" Type="http://schemas.openxmlformats.org/officeDocument/2006/relationships/header" Target="header33.xml"/><Relationship Id="rId165" Type="http://schemas.openxmlformats.org/officeDocument/2006/relationships/theme" Target="theme/theme1.xml"/><Relationship Id="rId27" Type="http://schemas.openxmlformats.org/officeDocument/2006/relationships/header" Target="header9.xml"/><Relationship Id="rId48" Type="http://schemas.openxmlformats.org/officeDocument/2006/relationships/header" Target="header16.xml"/><Relationship Id="rId69" Type="http://schemas.openxmlformats.org/officeDocument/2006/relationships/footer" Target="footer35.xml"/><Relationship Id="rId113" Type="http://schemas.openxmlformats.org/officeDocument/2006/relationships/header" Target="header44.xml"/><Relationship Id="rId134" Type="http://schemas.openxmlformats.org/officeDocument/2006/relationships/footer" Target="footer71.xml"/><Relationship Id="rId80" Type="http://schemas.openxmlformats.org/officeDocument/2006/relationships/header" Target="header28.xml"/><Relationship Id="rId155" Type="http://schemas.openxmlformats.org/officeDocument/2006/relationships/header" Target="header61.xml"/></Relationships>
</file>

<file path=word/_rels/footer1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62C7B-5935-4C48-9C45-9D9D6D3CE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298</Pages>
  <Words>246310</Words>
  <Characters>1231553</Characters>
  <Application>Microsoft Office Word</Application>
  <DocSecurity>0</DocSecurity>
  <Lines>10262</Lines>
  <Paragraphs>2949</Paragraphs>
  <ScaleCrop>false</ScaleCrop>
  <HeadingPairs>
    <vt:vector size="2" baseType="variant">
      <vt:variant>
        <vt:lpstr>שם</vt:lpstr>
      </vt:variant>
      <vt:variant>
        <vt:i4>1</vt:i4>
      </vt:variant>
    </vt:vector>
  </HeadingPairs>
  <TitlesOfParts>
    <vt:vector size="1" baseType="lpstr">
      <vt:lpstr/>
    </vt:vector>
  </TitlesOfParts>
  <Company>Grizli777</Company>
  <LinksUpToDate>false</LinksUpToDate>
  <CharactersWithSpaces>1474914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שלמה הנדל</dc:creator>
  <cp:keywords/>
  <dc:description/>
  <cp:lastModifiedBy>‏‏שלמה הנדל</cp:lastModifiedBy>
  <cp:revision>4</cp:revision>
  <cp:lastPrinted>2021-03-11T09:32:00Z</cp:lastPrinted>
  <dcterms:created xsi:type="dcterms:W3CDTF">2021-03-09T19:53:00Z</dcterms:created>
  <dcterms:modified xsi:type="dcterms:W3CDTF">2021-03-11T09:34:00Z</dcterms:modified>
</cp:coreProperties>
</file>